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8.xml" ContentType="application/vnd.openxmlformats-officedocument.wordprocessingml.header+xml"/>
  <Override PartName="/word/footer16.xml" ContentType="application/vnd.openxmlformats-officedocument.wordprocessingml.footer+xml"/>
  <Override PartName="/word/header9.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header10.xml" ContentType="application/vnd.openxmlformats-officedocument.wordprocessingml.header+xml"/>
  <Override PartName="/word/footer20.xml" ContentType="application/vnd.openxmlformats-officedocument.wordprocessingml.footer+xml"/>
  <Override PartName="/word/header11.xml" ContentType="application/vnd.openxmlformats-officedocument.wordprocessingml.header+xml"/>
  <Override PartName="/word/footer21.xml" ContentType="application/vnd.openxmlformats-officedocument.wordprocessingml.footer+xml"/>
  <Override PartName="/word/header12.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header17.xml" ContentType="application/vnd.openxmlformats-officedocument.wordprocessingml.header+xml"/>
  <Override PartName="/word/footer31.xml" ContentType="application/vnd.openxmlformats-officedocument.wordprocessingml.footer+xml"/>
  <Override PartName="/word/header18.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38.xml" ContentType="application/vnd.openxmlformats-officedocument.wordprocessingml.footer+xml"/>
  <Override PartName="/word/header23.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header24.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25.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header26.xml" ContentType="application/vnd.openxmlformats-officedocument.wordprocessingml.header+xml"/>
  <Override PartName="/word/footer47.xml" ContentType="application/vnd.openxmlformats-officedocument.wordprocessingml.footer+xml"/>
  <Override PartName="/word/header27.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header28.xml" ContentType="application/vnd.openxmlformats-officedocument.wordprocessingml.header+xml"/>
  <Override PartName="/word/footer51.xml" ContentType="application/vnd.openxmlformats-officedocument.wordprocessingml.footer+xml"/>
  <Override PartName="/word/header29.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header30.xml" ContentType="application/vnd.openxmlformats-officedocument.wordprocessingml.header+xml"/>
  <Override PartName="/word/footer55.xml" ContentType="application/vnd.openxmlformats-officedocument.wordprocessingml.footer+xml"/>
  <Override PartName="/word/header31.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header34.xml" ContentType="application/vnd.openxmlformats-officedocument.wordprocessingml.header+xml"/>
  <Override PartName="/word/footer62.xml" ContentType="application/vnd.openxmlformats-officedocument.wordprocessingml.footer+xml"/>
  <Override PartName="/word/header35.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header36.xml" ContentType="application/vnd.openxmlformats-officedocument.wordprocessingml.header+xml"/>
  <Override PartName="/word/footer66.xml" ContentType="application/vnd.openxmlformats-officedocument.wordprocessingml.footer+xml"/>
  <Override PartName="/word/header37.xml" ContentType="application/vnd.openxmlformats-officedocument.wordprocessingml.header+xml"/>
  <Override PartName="/word/footer6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r>
        <w:rPr>
          <w:rFonts w:ascii="Times New Roman"/>
          <w:sz w:val="20"/>
        </w:rPr>
        <w:drawing>
          <wp:inline distT="0" distB="0" distL="0" distR="0">
            <wp:extent cx="13392912" cy="882091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3392912" cy="8820912"/>
                    </a:xfrm>
                    <a:prstGeom prst="rect">
                      <a:avLst/>
                    </a:prstGeom>
                  </pic:spPr>
                </pic:pic>
              </a:graphicData>
            </a:graphic>
          </wp:inline>
        </w:drawing>
      </w:r>
      <w:r>
        <w:rPr>
          <w:rFonts w:ascii="Times New Roman"/>
          <w:sz w:val="20"/>
        </w:rPr>
      </w:r>
    </w:p>
    <w:p>
      <w:pPr>
        <w:spacing w:after="0"/>
        <w:rPr>
          <w:rFonts w:ascii="Times New Roman"/>
          <w:sz w:val="20"/>
        </w:rPr>
        <w:sectPr>
          <w:type w:val="continuous"/>
          <w:pgSz w:w="21100" w:h="13900" w:orient="landscape"/>
          <w:pgMar w:top="0" w:bottom="0" w:left="0" w:right="0"/>
        </w:sectPr>
      </w:pPr>
    </w:p>
    <w:p>
      <w:pPr>
        <w:pStyle w:val="BodyText"/>
        <w:spacing w:before="4"/>
        <w:rPr>
          <w:rFonts w:ascii="Times New Roman"/>
          <w:sz w:val="17"/>
        </w:rPr>
      </w:pPr>
    </w:p>
    <w:p>
      <w:pPr>
        <w:spacing w:after="0"/>
        <w:rPr>
          <w:rFonts w:ascii="Times New Roman"/>
          <w:sz w:val="17"/>
        </w:rPr>
        <w:sectPr>
          <w:headerReference w:type="default" r:id="rId6"/>
          <w:footerReference w:type="default" r:id="rId7"/>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8"/>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7"/>
        </w:rPr>
      </w:pPr>
    </w:p>
    <w:p>
      <w:pPr>
        <w:pStyle w:val="Heading3"/>
        <w:spacing w:line="249" w:lineRule="auto" w:before="54"/>
        <w:ind w:left="2974" w:right="2804"/>
        <w:jc w:val="center"/>
      </w:pPr>
      <w:r>
        <w:rPr>
          <w:color w:val="58595B"/>
        </w:rPr>
        <w:t>Continuidades</w:t>
      </w:r>
      <w:r>
        <w:rPr>
          <w:color w:val="58595B"/>
          <w:spacing w:val="-41"/>
        </w:rPr>
        <w:t> </w:t>
      </w:r>
      <w:r>
        <w:rPr>
          <w:color w:val="58595B"/>
        </w:rPr>
        <w:t>y</w:t>
      </w:r>
      <w:r>
        <w:rPr>
          <w:color w:val="58595B"/>
          <w:spacing w:val="-41"/>
        </w:rPr>
        <w:t> </w:t>
      </w:r>
      <w:r>
        <w:rPr>
          <w:color w:val="58595B"/>
        </w:rPr>
        <w:t>cambios</w:t>
      </w:r>
      <w:r>
        <w:rPr>
          <w:color w:val="58595B"/>
          <w:spacing w:val="-41"/>
        </w:rPr>
        <w:t> </w:t>
      </w:r>
      <w:r>
        <w:rPr>
          <w:color w:val="58595B"/>
        </w:rPr>
        <w:t>en</w:t>
      </w:r>
      <w:r>
        <w:rPr>
          <w:color w:val="58595B"/>
          <w:spacing w:val="-41"/>
        </w:rPr>
        <w:t> </w:t>
      </w:r>
      <w:r>
        <w:rPr>
          <w:color w:val="58595B"/>
        </w:rPr>
        <w:t>las</w:t>
      </w:r>
      <w:r>
        <w:rPr>
          <w:color w:val="58595B"/>
          <w:spacing w:val="-41"/>
        </w:rPr>
        <w:t> </w:t>
      </w:r>
      <w:r>
        <w:rPr>
          <w:color w:val="58595B"/>
        </w:rPr>
        <w:t>migraciones</w:t>
      </w:r>
      <w:r>
        <w:rPr>
          <w:color w:val="58595B"/>
          <w:w w:val="94"/>
        </w:rPr>
        <w:t> </w:t>
      </w:r>
      <w:r>
        <w:rPr>
          <w:color w:val="58595B"/>
        </w:rPr>
        <w:t>de</w:t>
      </w:r>
      <w:r>
        <w:rPr>
          <w:color w:val="58595B"/>
          <w:spacing w:val="-28"/>
        </w:rPr>
        <w:t> </w:t>
      </w:r>
      <w:r>
        <w:rPr>
          <w:color w:val="58595B"/>
        </w:rPr>
        <w:t>México</w:t>
      </w:r>
      <w:r>
        <w:rPr>
          <w:color w:val="58595B"/>
          <w:spacing w:val="-28"/>
        </w:rPr>
        <w:t> </w:t>
      </w:r>
      <w:r>
        <w:rPr>
          <w:color w:val="58595B"/>
        </w:rPr>
        <w:t>a</w:t>
      </w:r>
      <w:r>
        <w:rPr>
          <w:color w:val="58595B"/>
          <w:spacing w:val="-28"/>
        </w:rPr>
        <w:t> </w:t>
      </w:r>
      <w:r>
        <w:rPr>
          <w:color w:val="58595B"/>
        </w:rPr>
        <w:t>Estados</w:t>
      </w:r>
      <w:r>
        <w:rPr>
          <w:color w:val="58595B"/>
          <w:spacing w:val="-28"/>
        </w:rPr>
        <w:t> </w:t>
      </w:r>
      <w:r>
        <w:rPr>
          <w:color w:val="58595B"/>
        </w:rPr>
        <w:t>Unidos</w:t>
      </w:r>
    </w:p>
    <w:p>
      <w:pPr>
        <w:pStyle w:val="BodyText"/>
        <w:spacing w:before="6"/>
        <w:rPr>
          <w:rFonts w:ascii="Arial"/>
          <w:b/>
          <w:sz w:val="22"/>
        </w:rPr>
      </w:pPr>
    </w:p>
    <w:p>
      <w:pPr>
        <w:spacing w:line="249" w:lineRule="auto" w:before="1"/>
        <w:ind w:left="2428" w:right="2313" w:firstLine="0"/>
        <w:jc w:val="center"/>
        <w:rPr>
          <w:rFonts w:ascii="Arial" w:hAnsi="Arial"/>
          <w:b/>
          <w:i/>
          <w:sz w:val="20"/>
        </w:rPr>
      </w:pPr>
      <w:r>
        <w:rPr>
          <w:rFonts w:ascii="Arial" w:hAnsi="Arial"/>
          <w:b/>
          <w:i/>
          <w:color w:val="58595B"/>
          <w:w w:val="95"/>
          <w:sz w:val="20"/>
        </w:rPr>
        <w:t>Tendencias en la circulación, experiencias y resignificaciones </w:t>
      </w:r>
      <w:r>
        <w:rPr>
          <w:rFonts w:ascii="Arial" w:hAnsi="Arial"/>
          <w:b/>
          <w:i/>
          <w:color w:val="58595B"/>
          <w:sz w:val="20"/>
        </w:rPr>
        <w:t>de la migración y el retorno en el Estado de México</w:t>
      </w:r>
    </w:p>
    <w:p>
      <w:pPr>
        <w:spacing w:after="0" w:line="249" w:lineRule="auto"/>
        <w:jc w:val="center"/>
        <w:rPr>
          <w:rFonts w:ascii="Arial" w:hAnsi="Arial"/>
          <w:sz w:val="20"/>
        </w:rPr>
        <w:sectPr>
          <w:footerReference w:type="default" r:id="rId9"/>
          <w:pgSz w:w="10480" w:h="14730"/>
          <w:pgMar w:footer="223" w:header="0" w:top="420" w:bottom="420" w:left="0" w:right="0"/>
        </w:sect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spacing w:before="7" w:after="1"/>
        <w:rPr>
          <w:rFonts w:ascii="Arial"/>
          <w:b/>
          <w:i/>
          <w:sz w:val="15"/>
        </w:rPr>
      </w:pPr>
    </w:p>
    <w:p>
      <w:pPr>
        <w:pStyle w:val="BodyText"/>
        <w:ind w:left="4818"/>
        <w:rPr>
          <w:rFonts w:ascii="Arial"/>
          <w:sz w:val="20"/>
        </w:rPr>
      </w:pPr>
      <w:r>
        <w:rPr>
          <w:rFonts w:ascii="Arial"/>
          <w:sz w:val="20"/>
        </w:rPr>
        <w:drawing>
          <wp:inline distT="0" distB="0" distL="0" distR="0">
            <wp:extent cx="542547" cy="542543"/>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10" cstate="print"/>
                    <a:stretch>
                      <a:fillRect/>
                    </a:stretch>
                  </pic:blipFill>
                  <pic:spPr>
                    <a:xfrm>
                      <a:off x="0" y="0"/>
                      <a:ext cx="542547" cy="542543"/>
                    </a:xfrm>
                    <a:prstGeom prst="rect">
                      <a:avLst/>
                    </a:prstGeom>
                  </pic:spPr>
                </pic:pic>
              </a:graphicData>
            </a:graphic>
          </wp:inline>
        </w:drawing>
      </w:r>
      <w:r>
        <w:rPr>
          <w:rFonts w:ascii="Arial"/>
          <w:sz w:val="20"/>
        </w:rPr>
      </w:r>
    </w:p>
    <w:p>
      <w:pPr>
        <w:pStyle w:val="BodyText"/>
        <w:spacing w:before="1"/>
        <w:rPr>
          <w:rFonts w:ascii="Arial"/>
          <w:b/>
          <w:i/>
          <w:sz w:val="13"/>
        </w:rPr>
      </w:pPr>
      <w:r>
        <w:rPr/>
        <w:pict>
          <v:group style="position:absolute;margin-left:205.315598pt;margin-top:12.7282pt;width:47.1pt;height:12.15pt;mso-position-horizontal-relative:page;mso-position-vertical-relative:paragraph;z-index:0;mso-wrap-distance-left:0;mso-wrap-distance-right:0" coordorigin="4106,255" coordsize="942,243">
            <v:shape style="position:absolute;left:4106;top:255;width:644;height:230" type="#_x0000_t75" stroked="false">
              <v:imagedata r:id="rId11" o:title=""/>
            </v:shape>
            <v:shape style="position:absolute;left:4782;top:255;width:266;height:242" type="#_x0000_t75" stroked="false">
              <v:imagedata r:id="rId12" o:title=""/>
            </v:shape>
            <w10:wrap type="topAndBottom"/>
          </v:group>
        </w:pict>
      </w:r>
      <w:r>
        <w:rPr/>
        <w:pict>
          <v:line style="position:absolute;mso-position-horizontal-relative:page;mso-position-vertical-relative:paragraph;z-index:1048;mso-wrap-distance-left:0;mso-wrap-distance-right:0" from="257.819489pt,9.667pt" to="257.819489pt,27.911pt" stroked="true" strokeweight=".343pt" strokecolor="#58595b">
            <w10:wrap type="topAndBottom"/>
          </v:line>
        </w:pict>
      </w:r>
      <w:r>
        <w:rPr/>
        <w:drawing>
          <wp:anchor distT="0" distB="0" distL="0" distR="0" allowOverlap="1" layoutInCell="1" locked="0" behindDoc="0" simplePos="0" relativeHeight="1072">
            <wp:simplePos x="0" y="0"/>
            <wp:positionH relativeFrom="page">
              <wp:posOffset>3341535</wp:posOffset>
            </wp:positionH>
            <wp:positionV relativeFrom="paragraph">
              <wp:posOffset>163741</wp:posOffset>
            </wp:positionV>
            <wp:extent cx="709708" cy="135350"/>
            <wp:effectExtent l="0" t="0" r="0" b="0"/>
            <wp:wrapTopAndBottom/>
            <wp:docPr id="5" name="image5.png" descr=""/>
            <wp:cNvGraphicFramePr>
              <a:graphicFrameLocks noChangeAspect="1"/>
            </wp:cNvGraphicFramePr>
            <a:graphic>
              <a:graphicData uri="http://schemas.openxmlformats.org/drawingml/2006/picture">
                <pic:pic>
                  <pic:nvPicPr>
                    <pic:cNvPr id="6" name="image5.png"/>
                    <pic:cNvPicPr/>
                  </pic:nvPicPr>
                  <pic:blipFill>
                    <a:blip r:embed="rId13" cstate="print"/>
                    <a:stretch>
                      <a:fillRect/>
                    </a:stretch>
                  </pic:blipFill>
                  <pic:spPr>
                    <a:xfrm>
                      <a:off x="0" y="0"/>
                      <a:ext cx="709708" cy="135350"/>
                    </a:xfrm>
                    <a:prstGeom prst="rect">
                      <a:avLst/>
                    </a:prstGeom>
                  </pic:spPr>
                </pic:pic>
              </a:graphicData>
            </a:graphic>
          </wp:anchor>
        </w:drawing>
      </w:r>
    </w:p>
    <w:p>
      <w:pPr>
        <w:pStyle w:val="BodyText"/>
        <w:rPr>
          <w:rFonts w:ascii="Arial"/>
          <w:b/>
          <w:i/>
          <w:sz w:val="20"/>
        </w:rPr>
      </w:pPr>
    </w:p>
    <w:p>
      <w:pPr>
        <w:pStyle w:val="BodyText"/>
        <w:spacing w:before="1"/>
        <w:rPr>
          <w:rFonts w:ascii="Arial"/>
          <w:b/>
          <w:i/>
          <w:sz w:val="17"/>
        </w:rPr>
      </w:pPr>
    </w:p>
    <w:p>
      <w:pPr>
        <w:spacing w:line="182" w:lineRule="exact" w:before="1"/>
        <w:ind w:left="2804" w:right="2804" w:firstLine="0"/>
        <w:jc w:val="center"/>
        <w:rPr>
          <w:rFonts w:ascii="Arial" w:hAnsi="Arial"/>
          <w:sz w:val="16"/>
        </w:rPr>
      </w:pPr>
      <w:r>
        <w:rPr>
          <w:rFonts w:ascii="Arial" w:hAnsi="Arial"/>
          <w:color w:val="231F20"/>
          <w:sz w:val="16"/>
        </w:rPr>
        <w:t>Dr. en D. Jorge Olvera García</w:t>
      </w:r>
    </w:p>
    <w:p>
      <w:pPr>
        <w:spacing w:line="182" w:lineRule="exact" w:before="0"/>
        <w:ind w:left="2804" w:right="2804" w:firstLine="0"/>
        <w:jc w:val="center"/>
        <w:rPr>
          <w:rFonts w:ascii="Arial"/>
          <w:i/>
          <w:sz w:val="16"/>
        </w:rPr>
      </w:pPr>
      <w:r>
        <w:rPr>
          <w:rFonts w:ascii="Arial"/>
          <w:i/>
          <w:color w:val="231F20"/>
          <w:sz w:val="16"/>
        </w:rPr>
        <w:t>Rector</w:t>
      </w:r>
    </w:p>
    <w:p>
      <w:pPr>
        <w:pStyle w:val="BodyText"/>
        <w:spacing w:before="3"/>
        <w:rPr>
          <w:rFonts w:ascii="Arial"/>
          <w:i/>
          <w:sz w:val="15"/>
        </w:rPr>
      </w:pPr>
    </w:p>
    <w:p>
      <w:pPr>
        <w:spacing w:line="182" w:lineRule="exact" w:before="0"/>
        <w:ind w:left="2804" w:right="2804" w:firstLine="0"/>
        <w:jc w:val="center"/>
        <w:rPr>
          <w:rFonts w:ascii="Arial" w:hAnsi="Arial"/>
          <w:sz w:val="16"/>
        </w:rPr>
      </w:pPr>
      <w:r>
        <w:rPr>
          <w:rFonts w:ascii="Arial" w:hAnsi="Arial"/>
          <w:color w:val="231F20"/>
          <w:sz w:val="16"/>
        </w:rPr>
        <w:t>Dra. en Est. Lat. Ángeles Ma. del Rosario Pérez Bernal</w:t>
      </w:r>
    </w:p>
    <w:p>
      <w:pPr>
        <w:spacing w:line="182" w:lineRule="exact" w:before="0"/>
        <w:ind w:left="2804" w:right="2804" w:firstLine="0"/>
        <w:jc w:val="center"/>
        <w:rPr>
          <w:rFonts w:ascii="Arial" w:hAnsi="Arial"/>
          <w:i/>
          <w:sz w:val="16"/>
        </w:rPr>
      </w:pPr>
      <w:r>
        <w:rPr>
          <w:rFonts w:ascii="Arial" w:hAnsi="Arial"/>
          <w:i/>
          <w:color w:val="231F20"/>
          <w:sz w:val="16"/>
        </w:rPr>
        <w:t>Secretaria de Investigación y Estudios Avanzados</w:t>
      </w:r>
    </w:p>
    <w:p>
      <w:pPr>
        <w:pStyle w:val="BodyText"/>
        <w:spacing w:before="3"/>
        <w:rPr>
          <w:rFonts w:ascii="Arial"/>
          <w:i/>
          <w:sz w:val="15"/>
        </w:rPr>
      </w:pPr>
    </w:p>
    <w:p>
      <w:pPr>
        <w:spacing w:line="182" w:lineRule="exact" w:before="0"/>
        <w:ind w:left="2804" w:right="2804" w:firstLine="0"/>
        <w:jc w:val="center"/>
        <w:rPr>
          <w:rFonts w:ascii="Arial" w:hAnsi="Arial"/>
          <w:sz w:val="16"/>
        </w:rPr>
      </w:pPr>
      <w:r>
        <w:rPr>
          <w:rFonts w:ascii="Arial" w:hAnsi="Arial"/>
          <w:color w:val="231F20"/>
          <w:sz w:val="16"/>
        </w:rPr>
        <w:t>L. C. C. María del Socorro Castañeda Díaz</w:t>
      </w:r>
    </w:p>
    <w:p>
      <w:pPr>
        <w:spacing w:line="180" w:lineRule="exact" w:before="4"/>
        <w:ind w:left="3336" w:right="3334" w:firstLine="0"/>
        <w:jc w:val="center"/>
        <w:rPr>
          <w:rFonts w:ascii="Arial" w:hAnsi="Arial"/>
          <w:i/>
          <w:sz w:val="16"/>
        </w:rPr>
      </w:pPr>
      <w:r>
        <w:rPr>
          <w:rFonts w:ascii="Arial" w:hAnsi="Arial"/>
          <w:i/>
          <w:color w:val="231F20"/>
          <w:sz w:val="16"/>
        </w:rPr>
        <w:t>Directora de Difusión y Promoción de la Investigación </w:t>
      </w:r>
      <w:r>
        <w:rPr>
          <w:rFonts w:ascii="Arial" w:hAnsi="Arial"/>
          <w:i/>
          <w:color w:val="231F20"/>
          <w:sz w:val="16"/>
        </w:rPr>
        <w:t>y los Estudios Avanzados</w:t>
      </w:r>
    </w:p>
    <w:p>
      <w:pPr>
        <w:spacing w:after="0" w:line="180" w:lineRule="exact"/>
        <w:jc w:val="center"/>
        <w:rPr>
          <w:rFonts w:ascii="Arial" w:hAnsi="Arial"/>
          <w:sz w:val="16"/>
        </w:rPr>
        <w:sectPr>
          <w:pgSz w:w="10480" w:h="14730"/>
          <w:pgMar w:header="0" w:footer="223" w:top="420" w:bottom="420" w:left="0" w:right="0"/>
        </w:sectPr>
      </w:pPr>
    </w:p>
    <w:p>
      <w:pPr>
        <w:pStyle w:val="BodyText"/>
        <w:rPr>
          <w:rFonts w:ascii="Arial"/>
          <w:i/>
          <w:sz w:val="20"/>
        </w:rPr>
      </w:pPr>
      <w:r>
        <w:rPr/>
        <w:drawing>
          <wp:anchor distT="0" distB="0" distL="0" distR="0" allowOverlap="1" layoutInCell="1" locked="0" behindDoc="1" simplePos="0" relativeHeight="267946439">
            <wp:simplePos x="0" y="0"/>
            <wp:positionH relativeFrom="page">
              <wp:posOffset>1688394</wp:posOffset>
            </wp:positionH>
            <wp:positionV relativeFrom="page">
              <wp:posOffset>8053591</wp:posOffset>
            </wp:positionV>
            <wp:extent cx="509316" cy="97155"/>
            <wp:effectExtent l="0" t="0" r="0" b="0"/>
            <wp:wrapNone/>
            <wp:docPr id="7" name="image6.png" descr=""/>
            <wp:cNvGraphicFramePr>
              <a:graphicFrameLocks noChangeAspect="1"/>
            </wp:cNvGraphicFramePr>
            <a:graphic>
              <a:graphicData uri="http://schemas.openxmlformats.org/drawingml/2006/picture">
                <pic:pic>
                  <pic:nvPicPr>
                    <pic:cNvPr id="8" name="image6.png"/>
                    <pic:cNvPicPr/>
                  </pic:nvPicPr>
                  <pic:blipFill>
                    <a:blip r:embed="rId14" cstate="print"/>
                    <a:stretch>
                      <a:fillRect/>
                    </a:stretch>
                  </pic:blipFill>
                  <pic:spPr>
                    <a:xfrm>
                      <a:off x="0" y="0"/>
                      <a:ext cx="509316" cy="97155"/>
                    </a:xfrm>
                    <a:prstGeom prst="rect">
                      <a:avLst/>
                    </a:prstGeom>
                  </pic:spPr>
                </pic:pic>
              </a:graphicData>
            </a:graphic>
          </wp:anchor>
        </w:drawing>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9"/>
        <w:rPr>
          <w:rFonts w:ascii="Arial"/>
          <w:i/>
        </w:rPr>
      </w:pPr>
    </w:p>
    <w:p>
      <w:pPr>
        <w:spacing w:line="249" w:lineRule="auto" w:before="47"/>
        <w:ind w:left="2538" w:right="2423" w:firstLine="0"/>
        <w:jc w:val="center"/>
        <w:rPr>
          <w:rFonts w:ascii="Arial" w:hAnsi="Arial"/>
          <w:b/>
          <w:sz w:val="26"/>
        </w:rPr>
      </w:pPr>
      <w:r>
        <w:rPr>
          <w:rFonts w:ascii="Arial" w:hAnsi="Arial"/>
          <w:b/>
          <w:color w:val="231F20"/>
          <w:sz w:val="26"/>
        </w:rPr>
        <w:t>Continuidades</w:t>
      </w:r>
      <w:r>
        <w:rPr>
          <w:rFonts w:ascii="Arial" w:hAnsi="Arial"/>
          <w:b/>
          <w:color w:val="231F20"/>
          <w:spacing w:val="-49"/>
          <w:sz w:val="26"/>
        </w:rPr>
        <w:t> </w:t>
      </w:r>
      <w:r>
        <w:rPr>
          <w:rFonts w:ascii="Arial" w:hAnsi="Arial"/>
          <w:b/>
          <w:color w:val="231F20"/>
          <w:sz w:val="26"/>
        </w:rPr>
        <w:t>y</w:t>
      </w:r>
      <w:r>
        <w:rPr>
          <w:rFonts w:ascii="Arial" w:hAnsi="Arial"/>
          <w:b/>
          <w:color w:val="231F20"/>
          <w:spacing w:val="-49"/>
          <w:sz w:val="26"/>
        </w:rPr>
        <w:t> </w:t>
      </w:r>
      <w:r>
        <w:rPr>
          <w:rFonts w:ascii="Arial" w:hAnsi="Arial"/>
          <w:b/>
          <w:color w:val="231F20"/>
          <w:sz w:val="26"/>
        </w:rPr>
        <w:t>cambios</w:t>
      </w:r>
      <w:r>
        <w:rPr>
          <w:rFonts w:ascii="Arial" w:hAnsi="Arial"/>
          <w:b/>
          <w:color w:val="231F20"/>
          <w:spacing w:val="-49"/>
          <w:sz w:val="26"/>
        </w:rPr>
        <w:t> </w:t>
      </w:r>
      <w:r>
        <w:rPr>
          <w:rFonts w:ascii="Arial" w:hAnsi="Arial"/>
          <w:b/>
          <w:color w:val="231F20"/>
          <w:sz w:val="26"/>
        </w:rPr>
        <w:t>en</w:t>
      </w:r>
      <w:r>
        <w:rPr>
          <w:rFonts w:ascii="Arial" w:hAnsi="Arial"/>
          <w:b/>
          <w:color w:val="231F20"/>
          <w:spacing w:val="-49"/>
          <w:sz w:val="26"/>
        </w:rPr>
        <w:t> </w:t>
      </w:r>
      <w:r>
        <w:rPr>
          <w:rFonts w:ascii="Arial" w:hAnsi="Arial"/>
          <w:b/>
          <w:color w:val="231F20"/>
          <w:sz w:val="26"/>
        </w:rPr>
        <w:t>las</w:t>
      </w:r>
      <w:r>
        <w:rPr>
          <w:rFonts w:ascii="Arial" w:hAnsi="Arial"/>
          <w:b/>
          <w:color w:val="231F20"/>
          <w:spacing w:val="-49"/>
          <w:sz w:val="26"/>
        </w:rPr>
        <w:t> </w:t>
      </w:r>
      <w:r>
        <w:rPr>
          <w:rFonts w:ascii="Arial" w:hAnsi="Arial"/>
          <w:b/>
          <w:color w:val="231F20"/>
          <w:sz w:val="26"/>
        </w:rPr>
        <w:t>migraciones de</w:t>
      </w:r>
      <w:r>
        <w:rPr>
          <w:rFonts w:ascii="Arial" w:hAnsi="Arial"/>
          <w:b/>
          <w:color w:val="231F20"/>
          <w:spacing w:val="-32"/>
          <w:sz w:val="26"/>
        </w:rPr>
        <w:t> </w:t>
      </w:r>
      <w:r>
        <w:rPr>
          <w:rFonts w:ascii="Arial" w:hAnsi="Arial"/>
          <w:b/>
          <w:color w:val="231F20"/>
          <w:sz w:val="26"/>
        </w:rPr>
        <w:t>México</w:t>
      </w:r>
      <w:r>
        <w:rPr>
          <w:rFonts w:ascii="Arial" w:hAnsi="Arial"/>
          <w:b/>
          <w:color w:val="231F20"/>
          <w:spacing w:val="-32"/>
          <w:sz w:val="26"/>
        </w:rPr>
        <w:t> </w:t>
      </w:r>
      <w:r>
        <w:rPr>
          <w:rFonts w:ascii="Arial" w:hAnsi="Arial"/>
          <w:b/>
          <w:color w:val="231F20"/>
          <w:sz w:val="26"/>
        </w:rPr>
        <w:t>a</w:t>
      </w:r>
      <w:r>
        <w:rPr>
          <w:rFonts w:ascii="Arial" w:hAnsi="Arial"/>
          <w:b/>
          <w:color w:val="231F20"/>
          <w:spacing w:val="-32"/>
          <w:sz w:val="26"/>
        </w:rPr>
        <w:t> </w:t>
      </w:r>
      <w:r>
        <w:rPr>
          <w:rFonts w:ascii="Arial" w:hAnsi="Arial"/>
          <w:b/>
          <w:color w:val="231F20"/>
          <w:sz w:val="26"/>
        </w:rPr>
        <w:t>Estados</w:t>
      </w:r>
      <w:r>
        <w:rPr>
          <w:rFonts w:ascii="Arial" w:hAnsi="Arial"/>
          <w:b/>
          <w:color w:val="231F20"/>
          <w:spacing w:val="-32"/>
          <w:sz w:val="26"/>
        </w:rPr>
        <w:t> </w:t>
      </w:r>
      <w:r>
        <w:rPr>
          <w:rFonts w:ascii="Arial" w:hAnsi="Arial"/>
          <w:b/>
          <w:color w:val="231F20"/>
          <w:sz w:val="26"/>
        </w:rPr>
        <w:t>Unidos</w:t>
      </w:r>
    </w:p>
    <w:p>
      <w:pPr>
        <w:pStyle w:val="BodyText"/>
        <w:spacing w:before="9"/>
        <w:rPr>
          <w:rFonts w:ascii="Arial"/>
          <w:b/>
          <w:sz w:val="26"/>
        </w:rPr>
      </w:pPr>
    </w:p>
    <w:p>
      <w:pPr>
        <w:spacing w:line="249" w:lineRule="auto" w:before="0"/>
        <w:ind w:left="1849" w:right="1733" w:firstLine="0"/>
        <w:jc w:val="center"/>
        <w:rPr>
          <w:rFonts w:ascii="Arial" w:hAnsi="Arial"/>
          <w:b/>
          <w:i/>
          <w:sz w:val="24"/>
        </w:rPr>
      </w:pPr>
      <w:r>
        <w:rPr>
          <w:rFonts w:ascii="Arial" w:hAnsi="Arial"/>
          <w:b/>
          <w:i/>
          <w:color w:val="231F20"/>
          <w:spacing w:val="-3"/>
          <w:w w:val="95"/>
          <w:sz w:val="24"/>
        </w:rPr>
        <w:t>Tendencias </w:t>
      </w:r>
      <w:r>
        <w:rPr>
          <w:rFonts w:ascii="Arial" w:hAnsi="Arial"/>
          <w:b/>
          <w:i/>
          <w:color w:val="231F20"/>
          <w:w w:val="95"/>
          <w:sz w:val="24"/>
        </w:rPr>
        <w:t>en la circulación, experiencias y resignificaciones </w:t>
      </w:r>
      <w:r>
        <w:rPr>
          <w:rFonts w:ascii="Arial" w:hAnsi="Arial"/>
          <w:b/>
          <w:i/>
          <w:color w:val="231F20"/>
          <w:sz w:val="24"/>
        </w:rPr>
        <w:t>de la migración y el retorno en el Estado de México</w:t>
      </w:r>
    </w:p>
    <w:p>
      <w:pPr>
        <w:pStyle w:val="BodyText"/>
        <w:rPr>
          <w:rFonts w:ascii="Arial"/>
          <w:b/>
          <w:i/>
          <w:sz w:val="25"/>
        </w:rPr>
      </w:pPr>
    </w:p>
    <w:p>
      <w:pPr>
        <w:pStyle w:val="Heading4"/>
        <w:spacing w:line="254" w:lineRule="auto"/>
        <w:ind w:left="4263" w:right="4148"/>
        <w:jc w:val="center"/>
        <w:rPr>
          <w:rFonts w:ascii="Microsoft Sans Serif" w:hAnsi="Microsoft Sans Serif"/>
        </w:rPr>
      </w:pPr>
      <w:r>
        <w:rPr>
          <w:rFonts w:ascii="Microsoft Sans Serif" w:hAnsi="Microsoft Sans Serif"/>
          <w:color w:val="231F20"/>
        </w:rPr>
        <w:t>Jorge Olvera García y Norma Baca Tavira</w:t>
      </w:r>
    </w:p>
    <w:p>
      <w:pPr>
        <w:spacing w:before="102"/>
        <w:ind w:left="2922" w:right="2804" w:firstLine="0"/>
        <w:jc w:val="center"/>
        <w:rPr>
          <w:sz w:val="18"/>
        </w:rPr>
      </w:pPr>
      <w:r>
        <w:rPr>
          <w:color w:val="231F20"/>
          <w:w w:val="105"/>
          <w:sz w:val="18"/>
        </w:rPr>
        <w:t>Coords.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4"/>
        </w:rPr>
      </w:pPr>
      <w:r>
        <w:rPr/>
        <w:pict>
          <v:group style="position:absolute;margin-left:91.866096pt;margin-top:15.909577pt;width:52.6pt;height:40.75pt;mso-position-horizontal-relative:page;mso-position-vertical-relative:paragraph;z-index:1096;mso-wrap-distance-left:0;mso-wrap-distance-right:0" coordorigin="1837,318" coordsize="1052,815">
            <v:shape style="position:absolute;left:1837;top:868;width:749;height:264" type="#_x0000_t75" stroked="false">
              <v:imagedata r:id="rId15" o:title=""/>
            </v:shape>
            <v:shape style="position:absolute;left:2399;top:318;width:490;height:493" type="#_x0000_t75" stroked="false">
              <v:imagedata r:id="rId16" o:title=""/>
            </v:shape>
            <w10:wrap type="topAndBottom"/>
          </v:group>
        </w:pict>
      </w:r>
      <w:r>
        <w:rPr/>
        <w:pict>
          <v:group style="position:absolute;margin-left:217.157547pt;margin-top:26.764608pt;width:114.1pt;height:20.8pt;mso-position-horizontal-relative:page;mso-position-vertical-relative:paragraph;z-index:1120;mso-wrap-distance-left:0;mso-wrap-distance-right:0" coordorigin="4343,535" coordsize="2282,416">
            <v:shape style="position:absolute;left:4343;top:835;width:2282;height:116" type="#_x0000_t75" stroked="false">
              <v:imagedata r:id="rId17" o:title=""/>
            </v:shape>
            <v:shape style="position:absolute;left:5099;top:535;width:785;height:282" type="#_x0000_t75" stroked="false">
              <v:imagedata r:id="rId18" o:title=""/>
            </v:shape>
            <w10:wrap type="topAndBottom"/>
          </v:group>
        </w:pict>
      </w:r>
      <w:r>
        <w:rPr/>
        <w:drawing>
          <wp:anchor distT="0" distB="0" distL="0" distR="0" allowOverlap="1" layoutInCell="1" locked="0" behindDoc="0" simplePos="0" relativeHeight="1144">
            <wp:simplePos x="0" y="0"/>
            <wp:positionH relativeFrom="page">
              <wp:posOffset>4604842</wp:posOffset>
            </wp:positionH>
            <wp:positionV relativeFrom="paragraph">
              <wp:posOffset>228835</wp:posOffset>
            </wp:positionV>
            <wp:extent cx="776124" cy="487680"/>
            <wp:effectExtent l="0" t="0" r="0" b="0"/>
            <wp:wrapTopAndBottom/>
            <wp:docPr id="9" name="image11.png" descr=""/>
            <wp:cNvGraphicFramePr>
              <a:graphicFrameLocks noChangeAspect="1"/>
            </wp:cNvGraphicFramePr>
            <a:graphic>
              <a:graphicData uri="http://schemas.openxmlformats.org/drawingml/2006/picture">
                <pic:pic>
                  <pic:nvPicPr>
                    <pic:cNvPr id="10" name="image11.png"/>
                    <pic:cNvPicPr/>
                  </pic:nvPicPr>
                  <pic:blipFill>
                    <a:blip r:embed="rId19" cstate="print"/>
                    <a:stretch>
                      <a:fillRect/>
                    </a:stretch>
                  </pic:blipFill>
                  <pic:spPr>
                    <a:xfrm>
                      <a:off x="0" y="0"/>
                      <a:ext cx="776124" cy="487680"/>
                    </a:xfrm>
                    <a:prstGeom prst="rect">
                      <a:avLst/>
                    </a:prstGeom>
                  </pic:spPr>
                </pic:pic>
              </a:graphicData>
            </a:graphic>
          </wp:anchor>
        </w:drawing>
      </w:r>
    </w:p>
    <w:p>
      <w:pPr>
        <w:spacing w:after="0"/>
        <w:rPr>
          <w:sz w:val="24"/>
        </w:rPr>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line="249" w:lineRule="auto" w:before="1"/>
        <w:ind w:left="1723" w:right="4726" w:firstLine="0"/>
        <w:jc w:val="both"/>
        <w:rPr>
          <w:rFonts w:ascii="Times New Roman" w:hAnsi="Times New Roman"/>
          <w:i/>
          <w:sz w:val="18"/>
        </w:rPr>
      </w:pPr>
      <w:r>
        <w:rPr>
          <w:rFonts w:ascii="Times New Roman" w:hAnsi="Times New Roman"/>
          <w:i/>
          <w:color w:val="58595B"/>
          <w:sz w:val="18"/>
        </w:rPr>
        <w:t>Continuidades</w:t>
      </w:r>
      <w:r>
        <w:rPr>
          <w:rFonts w:ascii="Times New Roman" w:hAnsi="Times New Roman"/>
          <w:i/>
          <w:color w:val="58595B"/>
          <w:spacing w:val="-17"/>
          <w:sz w:val="18"/>
        </w:rPr>
        <w:t> </w:t>
      </w:r>
      <w:r>
        <w:rPr>
          <w:rFonts w:ascii="Times New Roman" w:hAnsi="Times New Roman"/>
          <w:i/>
          <w:color w:val="58595B"/>
          <w:sz w:val="18"/>
        </w:rPr>
        <w:t>y</w:t>
      </w:r>
      <w:r>
        <w:rPr>
          <w:rFonts w:ascii="Times New Roman" w:hAnsi="Times New Roman"/>
          <w:i/>
          <w:color w:val="58595B"/>
          <w:spacing w:val="-17"/>
          <w:sz w:val="18"/>
        </w:rPr>
        <w:t> </w:t>
      </w:r>
      <w:r>
        <w:rPr>
          <w:rFonts w:ascii="Times New Roman" w:hAnsi="Times New Roman"/>
          <w:i/>
          <w:color w:val="58595B"/>
          <w:sz w:val="18"/>
        </w:rPr>
        <w:t>cambios</w:t>
      </w:r>
      <w:r>
        <w:rPr>
          <w:rFonts w:ascii="Times New Roman" w:hAnsi="Times New Roman"/>
          <w:i/>
          <w:color w:val="58595B"/>
          <w:spacing w:val="-17"/>
          <w:sz w:val="18"/>
        </w:rPr>
        <w:t> </w:t>
      </w:r>
      <w:r>
        <w:rPr>
          <w:rFonts w:ascii="Times New Roman" w:hAnsi="Times New Roman"/>
          <w:i/>
          <w:color w:val="58595B"/>
          <w:sz w:val="18"/>
        </w:rPr>
        <w:t>en</w:t>
      </w:r>
      <w:r>
        <w:rPr>
          <w:rFonts w:ascii="Times New Roman" w:hAnsi="Times New Roman"/>
          <w:i/>
          <w:color w:val="58595B"/>
          <w:spacing w:val="-17"/>
          <w:sz w:val="18"/>
        </w:rPr>
        <w:t> </w:t>
      </w:r>
      <w:r>
        <w:rPr>
          <w:rFonts w:ascii="Times New Roman" w:hAnsi="Times New Roman"/>
          <w:i/>
          <w:color w:val="58595B"/>
          <w:sz w:val="18"/>
        </w:rPr>
        <w:t>las</w:t>
      </w:r>
      <w:r>
        <w:rPr>
          <w:rFonts w:ascii="Times New Roman" w:hAnsi="Times New Roman"/>
          <w:i/>
          <w:color w:val="58595B"/>
          <w:spacing w:val="-17"/>
          <w:sz w:val="18"/>
        </w:rPr>
        <w:t> </w:t>
      </w:r>
      <w:r>
        <w:rPr>
          <w:rFonts w:ascii="Times New Roman" w:hAnsi="Times New Roman"/>
          <w:i/>
          <w:color w:val="58595B"/>
          <w:sz w:val="18"/>
        </w:rPr>
        <w:t>migraciones</w:t>
      </w:r>
      <w:r>
        <w:rPr>
          <w:rFonts w:ascii="Times New Roman" w:hAnsi="Times New Roman"/>
          <w:i/>
          <w:color w:val="58595B"/>
          <w:spacing w:val="-17"/>
          <w:sz w:val="18"/>
        </w:rPr>
        <w:t> </w:t>
      </w:r>
      <w:r>
        <w:rPr>
          <w:rFonts w:ascii="Times New Roman" w:hAnsi="Times New Roman"/>
          <w:i/>
          <w:color w:val="58595B"/>
          <w:sz w:val="18"/>
        </w:rPr>
        <w:t>de</w:t>
      </w:r>
      <w:r>
        <w:rPr>
          <w:rFonts w:ascii="Times New Roman" w:hAnsi="Times New Roman"/>
          <w:i/>
          <w:color w:val="58595B"/>
          <w:spacing w:val="-17"/>
          <w:sz w:val="18"/>
        </w:rPr>
        <w:t> </w:t>
      </w:r>
      <w:r>
        <w:rPr>
          <w:rFonts w:ascii="Times New Roman" w:hAnsi="Times New Roman"/>
          <w:i/>
          <w:color w:val="58595B"/>
          <w:sz w:val="18"/>
        </w:rPr>
        <w:t>México</w:t>
      </w:r>
      <w:r>
        <w:rPr>
          <w:rFonts w:ascii="Times New Roman" w:hAnsi="Times New Roman"/>
          <w:i/>
          <w:color w:val="58595B"/>
          <w:spacing w:val="-17"/>
          <w:sz w:val="18"/>
        </w:rPr>
        <w:t> </w:t>
      </w:r>
      <w:r>
        <w:rPr>
          <w:rFonts w:ascii="Times New Roman" w:hAnsi="Times New Roman"/>
          <w:i/>
          <w:color w:val="58595B"/>
          <w:sz w:val="18"/>
        </w:rPr>
        <w:t>a </w:t>
      </w:r>
      <w:r>
        <w:rPr>
          <w:rFonts w:ascii="Times New Roman" w:hAnsi="Times New Roman"/>
          <w:i/>
          <w:color w:val="58595B"/>
          <w:spacing w:val="-4"/>
          <w:sz w:val="18"/>
        </w:rPr>
        <w:t>Estados</w:t>
      </w:r>
      <w:r>
        <w:rPr>
          <w:rFonts w:ascii="Times New Roman" w:hAnsi="Times New Roman"/>
          <w:i/>
          <w:color w:val="58595B"/>
          <w:spacing w:val="-15"/>
          <w:sz w:val="18"/>
        </w:rPr>
        <w:t> </w:t>
      </w:r>
      <w:r>
        <w:rPr>
          <w:rFonts w:ascii="Times New Roman" w:hAnsi="Times New Roman"/>
          <w:i/>
          <w:color w:val="58595B"/>
          <w:spacing w:val="-4"/>
          <w:sz w:val="18"/>
        </w:rPr>
        <w:t>Unidos.</w:t>
      </w:r>
      <w:r>
        <w:rPr>
          <w:rFonts w:ascii="Times New Roman" w:hAnsi="Times New Roman"/>
          <w:i/>
          <w:color w:val="58595B"/>
          <w:spacing w:val="-15"/>
          <w:sz w:val="18"/>
        </w:rPr>
        <w:t> </w:t>
      </w:r>
      <w:r>
        <w:rPr>
          <w:rFonts w:ascii="Times New Roman" w:hAnsi="Times New Roman"/>
          <w:i/>
          <w:color w:val="58595B"/>
          <w:spacing w:val="-5"/>
          <w:sz w:val="18"/>
        </w:rPr>
        <w:t>Tendencias</w:t>
      </w:r>
      <w:r>
        <w:rPr>
          <w:rFonts w:ascii="Times New Roman" w:hAnsi="Times New Roman"/>
          <w:i/>
          <w:color w:val="58595B"/>
          <w:spacing w:val="-15"/>
          <w:sz w:val="18"/>
        </w:rPr>
        <w:t> </w:t>
      </w:r>
      <w:r>
        <w:rPr>
          <w:rFonts w:ascii="Times New Roman" w:hAnsi="Times New Roman"/>
          <w:i/>
          <w:color w:val="58595B"/>
          <w:sz w:val="18"/>
        </w:rPr>
        <w:t>en</w:t>
      </w:r>
      <w:r>
        <w:rPr>
          <w:rFonts w:ascii="Times New Roman" w:hAnsi="Times New Roman"/>
          <w:i/>
          <w:color w:val="58595B"/>
          <w:spacing w:val="-15"/>
          <w:sz w:val="18"/>
        </w:rPr>
        <w:t> </w:t>
      </w:r>
      <w:r>
        <w:rPr>
          <w:rFonts w:ascii="Times New Roman" w:hAnsi="Times New Roman"/>
          <w:i/>
          <w:color w:val="58595B"/>
          <w:sz w:val="18"/>
        </w:rPr>
        <w:t>la</w:t>
      </w:r>
      <w:r>
        <w:rPr>
          <w:rFonts w:ascii="Times New Roman" w:hAnsi="Times New Roman"/>
          <w:i/>
          <w:color w:val="58595B"/>
          <w:spacing w:val="-15"/>
          <w:sz w:val="18"/>
        </w:rPr>
        <w:t> </w:t>
      </w:r>
      <w:r>
        <w:rPr>
          <w:rFonts w:ascii="Times New Roman" w:hAnsi="Times New Roman"/>
          <w:i/>
          <w:color w:val="58595B"/>
          <w:spacing w:val="-5"/>
          <w:sz w:val="18"/>
        </w:rPr>
        <w:t>circulación,</w:t>
      </w:r>
      <w:r>
        <w:rPr>
          <w:rFonts w:ascii="Times New Roman" w:hAnsi="Times New Roman"/>
          <w:i/>
          <w:color w:val="58595B"/>
          <w:spacing w:val="-15"/>
          <w:sz w:val="18"/>
        </w:rPr>
        <w:t> </w:t>
      </w:r>
      <w:r>
        <w:rPr>
          <w:rFonts w:ascii="Times New Roman" w:hAnsi="Times New Roman"/>
          <w:i/>
          <w:color w:val="58595B"/>
          <w:spacing w:val="-5"/>
          <w:sz w:val="18"/>
        </w:rPr>
        <w:t>experiencias </w:t>
      </w:r>
      <w:r>
        <w:rPr>
          <w:rFonts w:ascii="Times New Roman" w:hAnsi="Times New Roman"/>
          <w:i/>
          <w:color w:val="58595B"/>
          <w:sz w:val="18"/>
        </w:rPr>
        <w:t>y resignificaciones de la migración y el retorno en el Estado de</w:t>
      </w:r>
      <w:r>
        <w:rPr>
          <w:rFonts w:ascii="Times New Roman" w:hAnsi="Times New Roman"/>
          <w:i/>
          <w:color w:val="58595B"/>
          <w:spacing w:val="-3"/>
          <w:sz w:val="18"/>
        </w:rPr>
        <w:t> </w:t>
      </w:r>
      <w:r>
        <w:rPr>
          <w:rFonts w:ascii="Times New Roman" w:hAnsi="Times New Roman"/>
          <w:i/>
          <w:color w:val="58595B"/>
          <w:sz w:val="18"/>
        </w:rPr>
        <w:t>México</w:t>
      </w:r>
    </w:p>
    <w:p>
      <w:pPr>
        <w:pStyle w:val="BodyText"/>
        <w:spacing w:before="3"/>
        <w:rPr>
          <w:rFonts w:ascii="Times New Roman"/>
          <w:i/>
          <w:sz w:val="16"/>
        </w:rPr>
      </w:pPr>
    </w:p>
    <w:p>
      <w:pPr>
        <w:spacing w:before="0"/>
        <w:ind w:left="1723" w:right="0" w:firstLine="0"/>
        <w:jc w:val="both"/>
        <w:rPr>
          <w:rFonts w:ascii="Arial" w:hAnsi="Arial"/>
          <w:sz w:val="16"/>
        </w:rPr>
      </w:pPr>
      <w:r>
        <w:rPr>
          <w:rFonts w:ascii="Arial" w:hAnsi="Arial"/>
          <w:color w:val="231F20"/>
          <w:sz w:val="16"/>
        </w:rPr>
        <w:t>1a edición, agosto 2016</w:t>
      </w:r>
    </w:p>
    <w:p>
      <w:pPr>
        <w:pStyle w:val="BodyText"/>
        <w:spacing w:before="4"/>
        <w:rPr>
          <w:rFonts w:ascii="Arial"/>
          <w:sz w:val="17"/>
        </w:rPr>
      </w:pPr>
    </w:p>
    <w:p>
      <w:pPr>
        <w:spacing w:before="0"/>
        <w:ind w:left="1723" w:right="0" w:firstLine="0"/>
        <w:jc w:val="both"/>
        <w:rPr>
          <w:rFonts w:ascii="Arial"/>
          <w:sz w:val="16"/>
        </w:rPr>
      </w:pPr>
      <w:r>
        <w:rPr>
          <w:rFonts w:ascii="Arial"/>
          <w:color w:val="231F20"/>
          <w:sz w:val="16"/>
        </w:rPr>
        <w:t>ISBN: 978-607-422-737-6</w:t>
      </w:r>
    </w:p>
    <w:p>
      <w:pPr>
        <w:spacing w:line="249" w:lineRule="auto" w:before="121"/>
        <w:ind w:left="1723" w:right="4726" w:firstLine="0"/>
        <w:jc w:val="both"/>
        <w:rPr>
          <w:rFonts w:ascii="Arial" w:hAnsi="Arial"/>
          <w:sz w:val="16"/>
        </w:rPr>
      </w:pPr>
      <w:r>
        <w:rPr>
          <w:rFonts w:ascii="Arial" w:hAnsi="Arial"/>
          <w:color w:val="231F20"/>
          <w:sz w:val="16"/>
        </w:rPr>
        <w:t>D.R. © Universidad Autónoma del Estado de México Instituto Literario núm. 100 Ote., Centro, C.P.     50000,</w:t>
      </w:r>
    </w:p>
    <w:p>
      <w:pPr>
        <w:spacing w:line="249" w:lineRule="auto" w:before="1"/>
        <w:ind w:left="1723" w:right="6753" w:firstLine="0"/>
        <w:jc w:val="left"/>
        <w:rPr>
          <w:rFonts w:ascii="Arial" w:hAnsi="Arial"/>
          <w:sz w:val="16"/>
        </w:rPr>
      </w:pPr>
      <w:r>
        <w:rPr>
          <w:rFonts w:ascii="Arial" w:hAnsi="Arial"/>
          <w:color w:val="231F20"/>
          <w:sz w:val="16"/>
        </w:rPr>
        <w:t>Toluca, México </w:t>
      </w:r>
      <w:hyperlink r:id="rId20">
        <w:r>
          <w:rPr>
            <w:rFonts w:ascii="Arial" w:hAnsi="Arial"/>
            <w:color w:val="231F20"/>
            <w:sz w:val="16"/>
          </w:rPr>
          <w:t>http://www.uaemex.mx</w:t>
        </w:r>
      </w:hyperlink>
    </w:p>
    <w:p>
      <w:pPr>
        <w:pStyle w:val="BodyText"/>
        <w:spacing w:before="8"/>
        <w:rPr>
          <w:rFonts w:ascii="Arial"/>
          <w:sz w:val="16"/>
        </w:rPr>
      </w:pPr>
    </w:p>
    <w:p>
      <w:pPr>
        <w:spacing w:line="249" w:lineRule="auto" w:before="1"/>
        <w:ind w:left="1723" w:right="6753" w:firstLine="0"/>
        <w:jc w:val="left"/>
        <w:rPr>
          <w:rFonts w:ascii="Arial" w:hAnsi="Arial"/>
          <w:sz w:val="16"/>
        </w:rPr>
      </w:pPr>
      <w:r>
        <w:rPr>
          <w:rFonts w:ascii="Arial" w:hAnsi="Arial"/>
          <w:color w:val="231F20"/>
          <w:sz w:val="16"/>
        </w:rPr>
        <w:t>Impreso y hecho en México Printed and made in Mexico</w:t>
      </w:r>
    </w:p>
    <w:p>
      <w:pPr>
        <w:pStyle w:val="BodyText"/>
        <w:spacing w:before="8"/>
        <w:rPr>
          <w:rFonts w:ascii="Arial"/>
          <w:sz w:val="16"/>
        </w:rPr>
      </w:pPr>
    </w:p>
    <w:p>
      <w:pPr>
        <w:spacing w:line="249" w:lineRule="auto" w:before="1"/>
        <w:ind w:left="1723" w:right="4724" w:firstLine="0"/>
        <w:jc w:val="both"/>
        <w:rPr>
          <w:rFonts w:ascii="Arial" w:hAnsi="Arial"/>
          <w:sz w:val="16"/>
        </w:rPr>
      </w:pPr>
      <w:r>
        <w:rPr>
          <w:rFonts w:ascii="Arial" w:hAnsi="Arial"/>
          <w:color w:val="231F20"/>
          <w:sz w:val="16"/>
        </w:rPr>
        <w:t>La presente investigación fue sometida a dictamen en el sistema de pares ciegos.</w:t>
      </w:r>
    </w:p>
    <w:p>
      <w:pPr>
        <w:pStyle w:val="BodyText"/>
        <w:spacing w:before="8"/>
        <w:rPr>
          <w:rFonts w:ascii="Arial"/>
          <w:sz w:val="16"/>
        </w:rPr>
      </w:pPr>
    </w:p>
    <w:p>
      <w:pPr>
        <w:spacing w:line="249" w:lineRule="auto" w:before="1"/>
        <w:ind w:left="1723" w:right="4726" w:firstLine="0"/>
        <w:jc w:val="both"/>
        <w:rPr>
          <w:rFonts w:ascii="Arial" w:hAnsi="Arial"/>
          <w:sz w:val="16"/>
        </w:rPr>
      </w:pPr>
      <w:r>
        <w:rPr>
          <w:rFonts w:ascii="Arial" w:hAnsi="Arial"/>
          <w:color w:val="231F20"/>
          <w:sz w:val="16"/>
        </w:rPr>
        <w:t>El</w:t>
      </w:r>
      <w:r>
        <w:rPr>
          <w:rFonts w:ascii="Arial" w:hAnsi="Arial"/>
          <w:color w:val="231F20"/>
          <w:spacing w:val="-15"/>
          <w:sz w:val="16"/>
        </w:rPr>
        <w:t> </w:t>
      </w:r>
      <w:r>
        <w:rPr>
          <w:rFonts w:ascii="Arial" w:hAnsi="Arial"/>
          <w:color w:val="231F20"/>
          <w:sz w:val="16"/>
        </w:rPr>
        <w:t>contenido</w:t>
      </w:r>
      <w:r>
        <w:rPr>
          <w:rFonts w:ascii="Arial" w:hAnsi="Arial"/>
          <w:color w:val="231F20"/>
          <w:spacing w:val="-15"/>
          <w:sz w:val="16"/>
        </w:rPr>
        <w:t> </w:t>
      </w:r>
      <w:r>
        <w:rPr>
          <w:rFonts w:ascii="Arial" w:hAnsi="Arial"/>
          <w:color w:val="231F20"/>
          <w:sz w:val="16"/>
        </w:rPr>
        <w:t>de</w:t>
      </w:r>
      <w:r>
        <w:rPr>
          <w:rFonts w:ascii="Arial" w:hAnsi="Arial"/>
          <w:color w:val="231F20"/>
          <w:spacing w:val="-15"/>
          <w:sz w:val="16"/>
        </w:rPr>
        <w:t> </w:t>
      </w:r>
      <w:r>
        <w:rPr>
          <w:rFonts w:ascii="Arial" w:hAnsi="Arial"/>
          <w:color w:val="231F20"/>
          <w:sz w:val="16"/>
        </w:rPr>
        <w:t>esta</w:t>
      </w:r>
      <w:r>
        <w:rPr>
          <w:rFonts w:ascii="Arial" w:hAnsi="Arial"/>
          <w:color w:val="231F20"/>
          <w:spacing w:val="-15"/>
          <w:sz w:val="16"/>
        </w:rPr>
        <w:t> </w:t>
      </w:r>
      <w:r>
        <w:rPr>
          <w:rFonts w:ascii="Arial" w:hAnsi="Arial"/>
          <w:color w:val="231F20"/>
          <w:sz w:val="16"/>
        </w:rPr>
        <w:t>publicación</w:t>
      </w:r>
      <w:r>
        <w:rPr>
          <w:rFonts w:ascii="Arial" w:hAnsi="Arial"/>
          <w:color w:val="231F20"/>
          <w:spacing w:val="-15"/>
          <w:sz w:val="16"/>
        </w:rPr>
        <w:t> </w:t>
      </w:r>
      <w:r>
        <w:rPr>
          <w:rFonts w:ascii="Arial" w:hAnsi="Arial"/>
          <w:color w:val="231F20"/>
          <w:sz w:val="16"/>
        </w:rPr>
        <w:t>es</w:t>
      </w:r>
      <w:r>
        <w:rPr>
          <w:rFonts w:ascii="Arial" w:hAnsi="Arial"/>
          <w:color w:val="231F20"/>
          <w:spacing w:val="-15"/>
          <w:sz w:val="16"/>
        </w:rPr>
        <w:t> </w:t>
      </w:r>
      <w:r>
        <w:rPr>
          <w:rFonts w:ascii="Arial" w:hAnsi="Arial"/>
          <w:color w:val="231F20"/>
          <w:sz w:val="16"/>
        </w:rPr>
        <w:t>responsabilidad</w:t>
      </w:r>
      <w:r>
        <w:rPr>
          <w:rFonts w:ascii="Arial" w:hAnsi="Arial"/>
          <w:color w:val="231F20"/>
          <w:spacing w:val="-15"/>
          <w:sz w:val="16"/>
        </w:rPr>
        <w:t> </w:t>
      </w:r>
      <w:r>
        <w:rPr>
          <w:rFonts w:ascii="Arial" w:hAnsi="Arial"/>
          <w:color w:val="231F20"/>
          <w:sz w:val="16"/>
        </w:rPr>
        <w:t>de</w:t>
      </w:r>
      <w:r>
        <w:rPr>
          <w:rFonts w:ascii="Arial" w:hAnsi="Arial"/>
          <w:color w:val="231F20"/>
          <w:spacing w:val="-15"/>
          <w:sz w:val="16"/>
        </w:rPr>
        <w:t> </w:t>
      </w:r>
      <w:r>
        <w:rPr>
          <w:rFonts w:ascii="Arial" w:hAnsi="Arial"/>
          <w:color w:val="231F20"/>
          <w:sz w:val="16"/>
        </w:rPr>
        <w:t>los autores.</w:t>
      </w:r>
    </w:p>
    <w:p>
      <w:pPr>
        <w:pStyle w:val="BodyText"/>
        <w:spacing w:before="8"/>
        <w:rPr>
          <w:rFonts w:ascii="Arial"/>
          <w:sz w:val="16"/>
        </w:rPr>
      </w:pPr>
    </w:p>
    <w:p>
      <w:pPr>
        <w:spacing w:line="249" w:lineRule="auto" w:before="1"/>
        <w:ind w:left="1723" w:right="4726" w:firstLine="0"/>
        <w:jc w:val="both"/>
        <w:rPr>
          <w:rFonts w:ascii="Arial" w:hAnsi="Arial"/>
          <w:sz w:val="16"/>
        </w:rPr>
      </w:pPr>
      <w:r>
        <w:rPr>
          <w:rFonts w:ascii="Arial" w:hAnsi="Arial"/>
          <w:color w:val="231F20"/>
          <w:sz w:val="16"/>
        </w:rPr>
        <w:t>Queda</w:t>
      </w:r>
      <w:r>
        <w:rPr>
          <w:rFonts w:ascii="Arial" w:hAnsi="Arial"/>
          <w:color w:val="231F20"/>
          <w:spacing w:val="-27"/>
          <w:sz w:val="16"/>
        </w:rPr>
        <w:t> </w:t>
      </w:r>
      <w:r>
        <w:rPr>
          <w:rFonts w:ascii="Arial" w:hAnsi="Arial"/>
          <w:color w:val="231F20"/>
          <w:spacing w:val="-3"/>
          <w:sz w:val="16"/>
        </w:rPr>
        <w:t>prohibida</w:t>
      </w:r>
      <w:r>
        <w:rPr>
          <w:rFonts w:ascii="Arial" w:hAnsi="Arial"/>
          <w:color w:val="231F20"/>
          <w:spacing w:val="-27"/>
          <w:sz w:val="16"/>
        </w:rPr>
        <w:t> </w:t>
      </w:r>
      <w:r>
        <w:rPr>
          <w:rFonts w:ascii="Arial" w:hAnsi="Arial"/>
          <w:color w:val="231F20"/>
          <w:sz w:val="16"/>
        </w:rPr>
        <w:t>la</w:t>
      </w:r>
      <w:r>
        <w:rPr>
          <w:rFonts w:ascii="Arial" w:hAnsi="Arial"/>
          <w:color w:val="231F20"/>
          <w:spacing w:val="-27"/>
          <w:sz w:val="16"/>
        </w:rPr>
        <w:t> </w:t>
      </w:r>
      <w:r>
        <w:rPr>
          <w:rFonts w:ascii="Arial" w:hAnsi="Arial"/>
          <w:color w:val="231F20"/>
          <w:spacing w:val="-3"/>
          <w:sz w:val="16"/>
        </w:rPr>
        <w:t>reproducción</w:t>
      </w:r>
      <w:r>
        <w:rPr>
          <w:rFonts w:ascii="Arial" w:hAnsi="Arial"/>
          <w:color w:val="231F20"/>
          <w:spacing w:val="-27"/>
          <w:sz w:val="16"/>
        </w:rPr>
        <w:t> </w:t>
      </w:r>
      <w:r>
        <w:rPr>
          <w:rFonts w:ascii="Arial" w:hAnsi="Arial"/>
          <w:color w:val="231F20"/>
          <w:spacing w:val="-3"/>
          <w:sz w:val="16"/>
        </w:rPr>
        <w:t>parcial</w:t>
      </w:r>
      <w:r>
        <w:rPr>
          <w:rFonts w:ascii="Arial" w:hAnsi="Arial"/>
          <w:color w:val="231F20"/>
          <w:spacing w:val="-27"/>
          <w:sz w:val="16"/>
        </w:rPr>
        <w:t> </w:t>
      </w:r>
      <w:r>
        <w:rPr>
          <w:rFonts w:ascii="Arial" w:hAnsi="Arial"/>
          <w:color w:val="231F20"/>
          <w:sz w:val="16"/>
        </w:rPr>
        <w:t>o</w:t>
      </w:r>
      <w:r>
        <w:rPr>
          <w:rFonts w:ascii="Arial" w:hAnsi="Arial"/>
          <w:color w:val="231F20"/>
          <w:spacing w:val="-27"/>
          <w:sz w:val="16"/>
        </w:rPr>
        <w:t> </w:t>
      </w:r>
      <w:r>
        <w:rPr>
          <w:rFonts w:ascii="Arial" w:hAnsi="Arial"/>
          <w:color w:val="231F20"/>
          <w:sz w:val="16"/>
        </w:rPr>
        <w:t>total</w:t>
      </w:r>
      <w:r>
        <w:rPr>
          <w:rFonts w:ascii="Arial" w:hAnsi="Arial"/>
          <w:color w:val="231F20"/>
          <w:spacing w:val="-27"/>
          <w:sz w:val="16"/>
        </w:rPr>
        <w:t> </w:t>
      </w:r>
      <w:r>
        <w:rPr>
          <w:rFonts w:ascii="Arial" w:hAnsi="Arial"/>
          <w:color w:val="231F20"/>
          <w:sz w:val="16"/>
        </w:rPr>
        <w:t>del</w:t>
      </w:r>
      <w:r>
        <w:rPr>
          <w:rFonts w:ascii="Arial" w:hAnsi="Arial"/>
          <w:color w:val="231F20"/>
          <w:spacing w:val="-27"/>
          <w:sz w:val="16"/>
        </w:rPr>
        <w:t> </w:t>
      </w:r>
      <w:r>
        <w:rPr>
          <w:rFonts w:ascii="Arial" w:hAnsi="Arial"/>
          <w:color w:val="231F20"/>
          <w:sz w:val="16"/>
        </w:rPr>
        <w:t>contenido de</w:t>
      </w:r>
      <w:r>
        <w:rPr>
          <w:rFonts w:ascii="Arial" w:hAnsi="Arial"/>
          <w:color w:val="231F20"/>
          <w:spacing w:val="-30"/>
          <w:sz w:val="16"/>
        </w:rPr>
        <w:t> </w:t>
      </w:r>
      <w:r>
        <w:rPr>
          <w:rFonts w:ascii="Arial" w:hAnsi="Arial"/>
          <w:color w:val="231F20"/>
          <w:sz w:val="16"/>
        </w:rPr>
        <w:t>la</w:t>
      </w:r>
      <w:r>
        <w:rPr>
          <w:rFonts w:ascii="Arial" w:hAnsi="Arial"/>
          <w:color w:val="231F20"/>
          <w:spacing w:val="-30"/>
          <w:sz w:val="16"/>
        </w:rPr>
        <w:t> </w:t>
      </w:r>
      <w:r>
        <w:rPr>
          <w:rFonts w:ascii="Arial" w:hAnsi="Arial"/>
          <w:color w:val="231F20"/>
          <w:spacing w:val="-4"/>
          <w:sz w:val="16"/>
        </w:rPr>
        <w:t>presente</w:t>
      </w:r>
      <w:r>
        <w:rPr>
          <w:rFonts w:ascii="Arial" w:hAnsi="Arial"/>
          <w:color w:val="231F20"/>
          <w:spacing w:val="-30"/>
          <w:sz w:val="16"/>
        </w:rPr>
        <w:t> </w:t>
      </w:r>
      <w:r>
        <w:rPr>
          <w:rFonts w:ascii="Arial" w:hAnsi="Arial"/>
          <w:color w:val="231F20"/>
          <w:spacing w:val="-4"/>
          <w:sz w:val="16"/>
        </w:rPr>
        <w:t>obra,</w:t>
      </w:r>
      <w:r>
        <w:rPr>
          <w:rFonts w:ascii="Arial" w:hAnsi="Arial"/>
          <w:color w:val="231F20"/>
          <w:spacing w:val="-30"/>
          <w:sz w:val="16"/>
        </w:rPr>
        <w:t> </w:t>
      </w:r>
      <w:r>
        <w:rPr>
          <w:rFonts w:ascii="Arial" w:hAnsi="Arial"/>
          <w:color w:val="231F20"/>
          <w:spacing w:val="-3"/>
          <w:sz w:val="16"/>
        </w:rPr>
        <w:t>sin</w:t>
      </w:r>
      <w:r>
        <w:rPr>
          <w:rFonts w:ascii="Arial" w:hAnsi="Arial"/>
          <w:color w:val="231F20"/>
          <w:spacing w:val="-30"/>
          <w:sz w:val="16"/>
        </w:rPr>
        <w:t> </w:t>
      </w:r>
      <w:r>
        <w:rPr>
          <w:rFonts w:ascii="Arial" w:hAnsi="Arial"/>
          <w:color w:val="231F20"/>
          <w:spacing w:val="-4"/>
          <w:sz w:val="16"/>
        </w:rPr>
        <w:t>contar</w:t>
      </w:r>
      <w:r>
        <w:rPr>
          <w:rFonts w:ascii="Arial" w:hAnsi="Arial"/>
          <w:color w:val="231F20"/>
          <w:spacing w:val="-30"/>
          <w:sz w:val="16"/>
        </w:rPr>
        <w:t> </w:t>
      </w:r>
      <w:r>
        <w:rPr>
          <w:rFonts w:ascii="Arial" w:hAnsi="Arial"/>
          <w:color w:val="231F20"/>
          <w:spacing w:val="-4"/>
          <w:sz w:val="16"/>
        </w:rPr>
        <w:t>previamente</w:t>
      </w:r>
      <w:r>
        <w:rPr>
          <w:rFonts w:ascii="Arial" w:hAnsi="Arial"/>
          <w:color w:val="231F20"/>
          <w:spacing w:val="-30"/>
          <w:sz w:val="16"/>
        </w:rPr>
        <w:t> </w:t>
      </w:r>
      <w:r>
        <w:rPr>
          <w:rFonts w:ascii="Arial" w:hAnsi="Arial"/>
          <w:color w:val="231F20"/>
          <w:spacing w:val="-3"/>
          <w:sz w:val="16"/>
        </w:rPr>
        <w:t>con</w:t>
      </w:r>
      <w:r>
        <w:rPr>
          <w:rFonts w:ascii="Arial" w:hAnsi="Arial"/>
          <w:color w:val="231F20"/>
          <w:spacing w:val="-30"/>
          <w:sz w:val="16"/>
        </w:rPr>
        <w:t> </w:t>
      </w:r>
      <w:r>
        <w:rPr>
          <w:rFonts w:ascii="Arial" w:hAnsi="Arial"/>
          <w:color w:val="231F20"/>
          <w:sz w:val="16"/>
        </w:rPr>
        <w:t>la</w:t>
      </w:r>
      <w:r>
        <w:rPr>
          <w:rFonts w:ascii="Arial" w:hAnsi="Arial"/>
          <w:color w:val="231F20"/>
          <w:spacing w:val="-30"/>
          <w:sz w:val="16"/>
        </w:rPr>
        <w:t> </w:t>
      </w:r>
      <w:r>
        <w:rPr>
          <w:rFonts w:ascii="Arial" w:hAnsi="Arial"/>
          <w:color w:val="231F20"/>
          <w:spacing w:val="-4"/>
          <w:sz w:val="16"/>
        </w:rPr>
        <w:t>autorización </w:t>
      </w:r>
      <w:r>
        <w:rPr>
          <w:rFonts w:ascii="Arial" w:hAnsi="Arial"/>
          <w:color w:val="231F20"/>
          <w:sz w:val="16"/>
        </w:rPr>
        <w:t>por</w:t>
      </w:r>
      <w:r>
        <w:rPr>
          <w:rFonts w:ascii="Arial" w:hAnsi="Arial"/>
          <w:color w:val="231F20"/>
          <w:spacing w:val="-16"/>
          <w:sz w:val="16"/>
        </w:rPr>
        <w:t> </w:t>
      </w:r>
      <w:r>
        <w:rPr>
          <w:rFonts w:ascii="Arial" w:hAnsi="Arial"/>
          <w:color w:val="231F20"/>
          <w:sz w:val="16"/>
        </w:rPr>
        <w:t>escrito</w:t>
      </w:r>
      <w:r>
        <w:rPr>
          <w:rFonts w:ascii="Arial" w:hAnsi="Arial"/>
          <w:color w:val="231F20"/>
          <w:spacing w:val="-16"/>
          <w:sz w:val="16"/>
        </w:rPr>
        <w:t> </w:t>
      </w:r>
      <w:r>
        <w:rPr>
          <w:rFonts w:ascii="Arial" w:hAnsi="Arial"/>
          <w:color w:val="231F20"/>
          <w:sz w:val="16"/>
        </w:rPr>
        <w:t>del</w:t>
      </w:r>
      <w:r>
        <w:rPr>
          <w:rFonts w:ascii="Arial" w:hAnsi="Arial"/>
          <w:color w:val="231F20"/>
          <w:spacing w:val="-16"/>
          <w:sz w:val="16"/>
        </w:rPr>
        <w:t> </w:t>
      </w:r>
      <w:r>
        <w:rPr>
          <w:rFonts w:ascii="Arial" w:hAnsi="Arial"/>
          <w:color w:val="231F20"/>
          <w:sz w:val="16"/>
        </w:rPr>
        <w:t>titular</w:t>
      </w:r>
      <w:r>
        <w:rPr>
          <w:rFonts w:ascii="Arial" w:hAnsi="Arial"/>
          <w:color w:val="231F20"/>
          <w:spacing w:val="-16"/>
          <w:sz w:val="16"/>
        </w:rPr>
        <w:t> </w:t>
      </w:r>
      <w:r>
        <w:rPr>
          <w:rFonts w:ascii="Arial" w:hAnsi="Arial"/>
          <w:color w:val="231F20"/>
          <w:sz w:val="16"/>
        </w:rPr>
        <w:t>de</w:t>
      </w:r>
      <w:r>
        <w:rPr>
          <w:rFonts w:ascii="Arial" w:hAnsi="Arial"/>
          <w:color w:val="231F20"/>
          <w:spacing w:val="-16"/>
          <w:sz w:val="16"/>
        </w:rPr>
        <w:t> </w:t>
      </w:r>
      <w:r>
        <w:rPr>
          <w:rFonts w:ascii="Arial" w:hAnsi="Arial"/>
          <w:color w:val="231F20"/>
          <w:sz w:val="16"/>
        </w:rPr>
        <w:t>los</w:t>
      </w:r>
      <w:r>
        <w:rPr>
          <w:rFonts w:ascii="Arial" w:hAnsi="Arial"/>
          <w:color w:val="231F20"/>
          <w:spacing w:val="-16"/>
          <w:sz w:val="16"/>
        </w:rPr>
        <w:t> </w:t>
      </w:r>
      <w:r>
        <w:rPr>
          <w:rFonts w:ascii="Arial" w:hAnsi="Arial"/>
          <w:color w:val="231F20"/>
          <w:sz w:val="16"/>
        </w:rPr>
        <w:t>derechos</w:t>
      </w:r>
      <w:r>
        <w:rPr>
          <w:rFonts w:ascii="Arial" w:hAnsi="Arial"/>
          <w:color w:val="231F20"/>
          <w:spacing w:val="-16"/>
          <w:sz w:val="16"/>
        </w:rPr>
        <w:t> </w:t>
      </w:r>
      <w:r>
        <w:rPr>
          <w:rFonts w:ascii="Arial" w:hAnsi="Arial"/>
          <w:color w:val="231F20"/>
          <w:sz w:val="16"/>
        </w:rPr>
        <w:t>en</w:t>
      </w:r>
      <w:r>
        <w:rPr>
          <w:rFonts w:ascii="Arial" w:hAnsi="Arial"/>
          <w:color w:val="231F20"/>
          <w:spacing w:val="-16"/>
          <w:sz w:val="16"/>
        </w:rPr>
        <w:t> </w:t>
      </w:r>
      <w:r>
        <w:rPr>
          <w:rFonts w:ascii="Arial" w:hAnsi="Arial"/>
          <w:color w:val="231F20"/>
          <w:sz w:val="16"/>
        </w:rPr>
        <w:t>términos</w:t>
      </w:r>
      <w:r>
        <w:rPr>
          <w:rFonts w:ascii="Arial" w:hAnsi="Arial"/>
          <w:color w:val="231F20"/>
          <w:spacing w:val="-16"/>
          <w:sz w:val="16"/>
        </w:rPr>
        <w:t> </w:t>
      </w:r>
      <w:r>
        <w:rPr>
          <w:rFonts w:ascii="Arial" w:hAnsi="Arial"/>
          <w:color w:val="231F20"/>
          <w:sz w:val="16"/>
        </w:rPr>
        <w:t>de</w:t>
      </w:r>
      <w:r>
        <w:rPr>
          <w:rFonts w:ascii="Arial" w:hAnsi="Arial"/>
          <w:color w:val="231F20"/>
          <w:spacing w:val="-16"/>
          <w:sz w:val="16"/>
        </w:rPr>
        <w:t> </w:t>
      </w:r>
      <w:r>
        <w:rPr>
          <w:rFonts w:ascii="Arial" w:hAnsi="Arial"/>
          <w:color w:val="231F20"/>
          <w:sz w:val="16"/>
        </w:rPr>
        <w:t>la</w:t>
      </w:r>
      <w:r>
        <w:rPr>
          <w:rFonts w:ascii="Arial" w:hAnsi="Arial"/>
          <w:color w:val="231F20"/>
          <w:spacing w:val="-16"/>
          <w:sz w:val="16"/>
        </w:rPr>
        <w:t> </w:t>
      </w:r>
      <w:r>
        <w:rPr>
          <w:rFonts w:ascii="Arial" w:hAnsi="Arial"/>
          <w:color w:val="231F20"/>
          <w:sz w:val="16"/>
        </w:rPr>
        <w:t>Ley Federal</w:t>
      </w:r>
      <w:r>
        <w:rPr>
          <w:rFonts w:ascii="Arial" w:hAnsi="Arial"/>
          <w:color w:val="231F20"/>
          <w:spacing w:val="-11"/>
          <w:sz w:val="16"/>
        </w:rPr>
        <w:t> </w:t>
      </w:r>
      <w:r>
        <w:rPr>
          <w:rFonts w:ascii="Arial" w:hAnsi="Arial"/>
          <w:color w:val="231F20"/>
          <w:sz w:val="16"/>
        </w:rPr>
        <w:t>del</w:t>
      </w:r>
      <w:r>
        <w:rPr>
          <w:rFonts w:ascii="Arial" w:hAnsi="Arial"/>
          <w:color w:val="231F20"/>
          <w:spacing w:val="-11"/>
          <w:sz w:val="16"/>
        </w:rPr>
        <w:t> </w:t>
      </w:r>
      <w:r>
        <w:rPr>
          <w:rFonts w:ascii="Arial" w:hAnsi="Arial"/>
          <w:color w:val="231F20"/>
          <w:sz w:val="16"/>
        </w:rPr>
        <w:t>Derecho</w:t>
      </w:r>
      <w:r>
        <w:rPr>
          <w:rFonts w:ascii="Arial" w:hAnsi="Arial"/>
          <w:color w:val="231F20"/>
          <w:spacing w:val="-11"/>
          <w:sz w:val="16"/>
        </w:rPr>
        <w:t> </w:t>
      </w:r>
      <w:r>
        <w:rPr>
          <w:rFonts w:ascii="Arial" w:hAnsi="Arial"/>
          <w:color w:val="231F20"/>
          <w:sz w:val="16"/>
        </w:rPr>
        <w:t>de</w:t>
      </w:r>
      <w:r>
        <w:rPr>
          <w:rFonts w:ascii="Arial" w:hAnsi="Arial"/>
          <w:color w:val="231F20"/>
          <w:spacing w:val="-11"/>
          <w:sz w:val="16"/>
        </w:rPr>
        <w:t> </w:t>
      </w:r>
      <w:r>
        <w:rPr>
          <w:rFonts w:ascii="Arial" w:hAnsi="Arial"/>
          <w:color w:val="231F20"/>
          <w:sz w:val="16"/>
        </w:rPr>
        <w:t>Autor</w:t>
      </w:r>
      <w:r>
        <w:rPr>
          <w:rFonts w:ascii="Arial" w:hAnsi="Arial"/>
          <w:color w:val="231F20"/>
          <w:spacing w:val="-11"/>
          <w:sz w:val="16"/>
        </w:rPr>
        <w:t> </w:t>
      </w:r>
      <w:r>
        <w:rPr>
          <w:rFonts w:ascii="Arial" w:hAnsi="Arial"/>
          <w:color w:val="231F20"/>
          <w:sz w:val="16"/>
        </w:rPr>
        <w:t>y</w:t>
      </w:r>
      <w:r>
        <w:rPr>
          <w:rFonts w:ascii="Arial" w:hAnsi="Arial"/>
          <w:color w:val="231F20"/>
          <w:spacing w:val="-11"/>
          <w:sz w:val="16"/>
        </w:rPr>
        <w:t> </w:t>
      </w:r>
      <w:r>
        <w:rPr>
          <w:rFonts w:ascii="Arial" w:hAnsi="Arial"/>
          <w:color w:val="231F20"/>
          <w:sz w:val="16"/>
        </w:rPr>
        <w:t>en</w:t>
      </w:r>
      <w:r>
        <w:rPr>
          <w:rFonts w:ascii="Arial" w:hAnsi="Arial"/>
          <w:color w:val="231F20"/>
          <w:spacing w:val="-11"/>
          <w:sz w:val="16"/>
        </w:rPr>
        <w:t> </w:t>
      </w:r>
      <w:r>
        <w:rPr>
          <w:rFonts w:ascii="Arial" w:hAnsi="Arial"/>
          <w:color w:val="231F20"/>
          <w:sz w:val="16"/>
        </w:rPr>
        <w:t>su</w:t>
      </w:r>
      <w:r>
        <w:rPr>
          <w:rFonts w:ascii="Arial" w:hAnsi="Arial"/>
          <w:color w:val="231F20"/>
          <w:spacing w:val="-11"/>
          <w:sz w:val="16"/>
        </w:rPr>
        <w:t> </w:t>
      </w:r>
      <w:r>
        <w:rPr>
          <w:rFonts w:ascii="Arial" w:hAnsi="Arial"/>
          <w:color w:val="231F20"/>
          <w:sz w:val="16"/>
        </w:rPr>
        <w:t>caso</w:t>
      </w:r>
      <w:r>
        <w:rPr>
          <w:rFonts w:ascii="Arial" w:hAnsi="Arial"/>
          <w:color w:val="231F20"/>
          <w:spacing w:val="-11"/>
          <w:sz w:val="16"/>
        </w:rPr>
        <w:t> </w:t>
      </w:r>
      <w:r>
        <w:rPr>
          <w:rFonts w:ascii="Arial" w:hAnsi="Arial"/>
          <w:color w:val="231F20"/>
          <w:sz w:val="16"/>
        </w:rPr>
        <w:t>de</w:t>
      </w:r>
      <w:r>
        <w:rPr>
          <w:rFonts w:ascii="Arial" w:hAnsi="Arial"/>
          <w:color w:val="231F20"/>
          <w:spacing w:val="-11"/>
          <w:sz w:val="16"/>
        </w:rPr>
        <w:t> </w:t>
      </w:r>
      <w:r>
        <w:rPr>
          <w:rFonts w:ascii="Arial" w:hAnsi="Arial"/>
          <w:color w:val="231F20"/>
          <w:sz w:val="16"/>
        </w:rPr>
        <w:t>los</w:t>
      </w:r>
      <w:r>
        <w:rPr>
          <w:rFonts w:ascii="Arial" w:hAnsi="Arial"/>
          <w:color w:val="231F20"/>
          <w:spacing w:val="-11"/>
          <w:sz w:val="16"/>
        </w:rPr>
        <w:t> </w:t>
      </w:r>
      <w:r>
        <w:rPr>
          <w:rFonts w:ascii="Arial" w:hAnsi="Arial"/>
          <w:color w:val="231F20"/>
          <w:sz w:val="16"/>
        </w:rPr>
        <w:t>tratados </w:t>
      </w:r>
      <w:r>
        <w:rPr>
          <w:rFonts w:ascii="Arial" w:hAnsi="Arial"/>
          <w:color w:val="231F20"/>
          <w:w w:val="95"/>
          <w:sz w:val="16"/>
        </w:rPr>
        <w:t>internacionales</w:t>
      </w:r>
      <w:r>
        <w:rPr>
          <w:rFonts w:ascii="Arial" w:hAnsi="Arial"/>
          <w:color w:val="231F20"/>
          <w:spacing w:val="15"/>
          <w:w w:val="95"/>
          <w:sz w:val="16"/>
        </w:rPr>
        <w:t> </w:t>
      </w:r>
      <w:r>
        <w:rPr>
          <w:rFonts w:ascii="Arial" w:hAnsi="Arial"/>
          <w:color w:val="231F20"/>
          <w:w w:val="95"/>
          <w:sz w:val="16"/>
        </w:rPr>
        <w:t>aplicables.</w:t>
      </w:r>
    </w:p>
    <w:p>
      <w:pPr>
        <w:spacing w:after="0" w:line="249" w:lineRule="auto"/>
        <w:jc w:val="both"/>
        <w:rPr>
          <w:rFonts w:ascii="Arial" w:hAnsi="Arial"/>
          <w:sz w:val="16"/>
        </w:rPr>
        <w:sectPr>
          <w:pgSz w:w="10480" w:h="14730"/>
          <w:pgMar w:header="0" w:footer="223" w:top="420" w:bottom="420" w:left="0" w:right="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spacing w:before="154"/>
        <w:ind w:left="2750" w:right="2804" w:firstLine="0"/>
        <w:jc w:val="center"/>
        <w:rPr>
          <w:rFonts w:ascii="Calibri" w:hAnsi="Calibri"/>
          <w:sz w:val="28"/>
        </w:rPr>
      </w:pPr>
      <w:r>
        <w:rPr>
          <w:rFonts w:ascii="Calibri" w:hAnsi="Calibri"/>
          <w:color w:val="231F20"/>
          <w:sz w:val="28"/>
        </w:rPr>
        <w:t>Índice</w:t>
      </w:r>
    </w:p>
    <w:sdt>
      <w:sdtPr>
        <w:docPartObj>
          <w:docPartGallery w:val="Table of Contents"/>
          <w:docPartUnique/>
        </w:docPartObj>
      </w:sdtPr>
      <w:sdtEndPr/>
      <w:sdtContent>
        <w:p>
          <w:pPr>
            <w:pStyle w:val="TOC1"/>
            <w:tabs>
              <w:tab w:pos="7676" w:val="right" w:leader="dot"/>
            </w:tabs>
            <w:spacing w:line="240" w:lineRule="auto" w:before="603"/>
          </w:pPr>
          <w:hyperlink w:history="true" w:anchor="_TOC_250003">
            <w:r>
              <w:rPr>
                <w:color w:val="231F20"/>
                <w:w w:val="105"/>
              </w:rPr>
              <w:t>Introducción</w:t>
              <w:tab/>
              <w:t>11</w:t>
            </w:r>
          </w:hyperlink>
        </w:p>
        <w:p>
          <w:pPr>
            <w:pStyle w:val="TOC2"/>
          </w:pPr>
          <w:hyperlink w:history="true" w:anchor="_TOC_250002">
            <w:r>
              <w:rPr>
                <w:color w:val="231F20"/>
                <w:w w:val="95"/>
              </w:rPr>
              <w:t>DERECHOS HUMANOS, EDUCACIÓN E INFANCIA</w:t>
            </w:r>
          </w:hyperlink>
        </w:p>
        <w:p>
          <w:pPr>
            <w:pStyle w:val="TOC1"/>
            <w:tabs>
              <w:tab w:pos="7676" w:val="right" w:leader="dot"/>
            </w:tabs>
            <w:spacing w:before="418"/>
            <w:ind w:right="2795"/>
          </w:pPr>
          <w:r>
            <w:rPr>
              <w:color w:val="231F20"/>
              <w:w w:val="105"/>
            </w:rPr>
            <w:t>Derechos humanos, educación y participación de la población</w:t>
          </w:r>
          <w:r>
            <w:rPr>
              <w:color w:val="231F20"/>
              <w:spacing w:val="7"/>
              <w:w w:val="105"/>
            </w:rPr>
            <w:t> </w:t>
          </w:r>
          <w:r>
            <w:rPr>
              <w:color w:val="231F20"/>
              <w:w w:val="105"/>
            </w:rPr>
            <w:t>migrante</w:t>
            <w:tab/>
            <w:t>25</w:t>
          </w:r>
        </w:p>
        <w:p>
          <w:pPr>
            <w:pStyle w:val="TOC1"/>
            <w:spacing w:line="240" w:lineRule="auto"/>
            <w:jc w:val="both"/>
          </w:pPr>
          <w:hyperlink w:history="true" w:anchor="_TOC_250001">
            <w:r>
              <w:rPr>
                <w:color w:val="4C4D4F"/>
                <w:w w:val="105"/>
              </w:rPr>
              <w:t>Jorge Olvera García</w:t>
            </w:r>
          </w:hyperlink>
        </w:p>
        <w:p>
          <w:pPr>
            <w:pStyle w:val="TOC1"/>
            <w:tabs>
              <w:tab w:pos="7676" w:val="right" w:leader="dot"/>
            </w:tabs>
            <w:spacing w:line="240" w:lineRule="auto" w:before="279"/>
          </w:pPr>
          <w:r>
            <w:rPr>
              <w:color w:val="231F20"/>
              <w:w w:val="105"/>
            </w:rPr>
            <w:t>Children of Immigrants in the</w:t>
          </w:r>
          <w:r>
            <w:rPr>
              <w:color w:val="231F20"/>
              <w:spacing w:val="18"/>
              <w:w w:val="105"/>
            </w:rPr>
            <w:t> </w:t>
          </w:r>
          <w:r>
            <w:rPr>
              <w:color w:val="231F20"/>
              <w:w w:val="105"/>
            </w:rPr>
            <w:t>United</w:t>
          </w:r>
          <w:r>
            <w:rPr>
              <w:color w:val="231F20"/>
              <w:spacing w:val="3"/>
              <w:w w:val="105"/>
            </w:rPr>
            <w:t> </w:t>
          </w:r>
          <w:r>
            <w:rPr>
              <w:color w:val="231F20"/>
              <w:w w:val="105"/>
            </w:rPr>
            <w:t>States</w:t>
            <w:tab/>
            <w:t>45</w:t>
          </w:r>
        </w:p>
        <w:p>
          <w:pPr>
            <w:pStyle w:val="TOC1"/>
            <w:spacing w:before="50"/>
            <w:ind w:right="2795"/>
          </w:pPr>
          <w:r>
            <w:rPr>
              <w:color w:val="4C4D4F"/>
              <w:w w:val="105"/>
            </w:rPr>
            <w:t>Harriett Romo, Janeth Martínez y Christina López- Mobilia</w:t>
          </w:r>
        </w:p>
        <w:p>
          <w:pPr>
            <w:pStyle w:val="TOC1"/>
            <w:tabs>
              <w:tab w:pos="7676" w:val="right" w:leader="dot"/>
            </w:tabs>
            <w:spacing w:before="283"/>
            <w:ind w:right="2796"/>
            <w:jc w:val="both"/>
          </w:pPr>
          <w:r>
            <w:rPr>
              <w:color w:val="231F20"/>
              <w:w w:val="105"/>
            </w:rPr>
            <w:t>Los </w:t>
          </w:r>
          <w:r>
            <w:rPr>
              <w:color w:val="231F20"/>
              <w:spacing w:val="2"/>
              <w:w w:val="105"/>
            </w:rPr>
            <w:t>pequeños “soñadores” </w:t>
          </w:r>
          <w:r>
            <w:rPr>
              <w:color w:val="231F20"/>
              <w:w w:val="105"/>
            </w:rPr>
            <w:t>no acompañados en su tránsito</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Estado</w:t>
          </w:r>
          <w:r>
            <w:rPr>
              <w:color w:val="231F20"/>
              <w:spacing w:val="-15"/>
              <w:w w:val="105"/>
            </w:rPr>
            <w:t> </w:t>
          </w:r>
          <w:r>
            <w:rPr>
              <w:color w:val="231F20"/>
              <w:w w:val="105"/>
            </w:rPr>
            <w:t>de</w:t>
          </w:r>
          <w:r>
            <w:rPr>
              <w:color w:val="231F20"/>
              <w:spacing w:val="-15"/>
              <w:w w:val="105"/>
            </w:rPr>
            <w:t> </w:t>
          </w:r>
          <w:r>
            <w:rPr>
              <w:color w:val="231F20"/>
              <w:w w:val="105"/>
            </w:rPr>
            <w:t>México.</w:t>
          </w:r>
          <w:r>
            <w:rPr>
              <w:color w:val="231F20"/>
              <w:spacing w:val="-15"/>
              <w:w w:val="105"/>
            </w:rPr>
            <w:t> </w:t>
          </w:r>
          <w:r>
            <w:rPr>
              <w:color w:val="231F20"/>
              <w:w w:val="105"/>
            </w:rPr>
            <w:t>Una</w:t>
          </w:r>
          <w:r>
            <w:rPr>
              <w:color w:val="231F20"/>
              <w:spacing w:val="-15"/>
              <w:w w:val="105"/>
            </w:rPr>
            <w:t> </w:t>
          </w:r>
          <w:r>
            <w:rPr>
              <w:color w:val="231F20"/>
              <w:w w:val="105"/>
            </w:rPr>
            <w:t>revisión</w:t>
          </w:r>
          <w:r>
            <w:rPr>
              <w:color w:val="231F20"/>
              <w:spacing w:val="-15"/>
              <w:w w:val="105"/>
            </w:rPr>
            <w:t> </w:t>
          </w:r>
          <w:r>
            <w:rPr>
              <w:color w:val="231F20"/>
              <w:w w:val="105"/>
            </w:rPr>
            <w:t>a</w:t>
          </w:r>
          <w:r>
            <w:rPr>
              <w:color w:val="231F20"/>
              <w:spacing w:val="-15"/>
              <w:w w:val="105"/>
            </w:rPr>
            <w:t> </w:t>
          </w:r>
          <w:r>
            <w:rPr>
              <w:color w:val="231F20"/>
              <w:w w:val="105"/>
            </w:rPr>
            <w:t>partir del interés superior de</w:t>
          </w:r>
          <w:r>
            <w:rPr>
              <w:color w:val="231F20"/>
              <w:spacing w:val="24"/>
              <w:w w:val="105"/>
            </w:rPr>
            <w:t> </w:t>
          </w:r>
          <w:r>
            <w:rPr>
              <w:color w:val="231F20"/>
              <w:w w:val="105"/>
            </w:rPr>
            <w:t>la</w:t>
          </w:r>
          <w:r>
            <w:rPr>
              <w:color w:val="231F20"/>
              <w:spacing w:val="6"/>
              <w:w w:val="105"/>
            </w:rPr>
            <w:t> </w:t>
          </w:r>
          <w:r>
            <w:rPr>
              <w:color w:val="231F20"/>
              <w:w w:val="105"/>
            </w:rPr>
            <w:t>infancia</w:t>
            <w:tab/>
            <w:t>65</w:t>
          </w:r>
        </w:p>
        <w:p>
          <w:pPr>
            <w:pStyle w:val="TOC1"/>
            <w:spacing w:before="56"/>
            <w:ind w:right="2711"/>
          </w:pPr>
          <w:r>
            <w:rPr>
              <w:color w:val="4C4D4F"/>
              <w:w w:val="105"/>
            </w:rPr>
            <w:t>María de Lourdes Morales Reynoso y Claudia Arianne Martínez Zaragoza</w:t>
          </w:r>
        </w:p>
        <w:p>
          <w:pPr>
            <w:pStyle w:val="TOC1"/>
            <w:tabs>
              <w:tab w:pos="7676" w:val="right" w:leader="dot"/>
            </w:tabs>
            <w:spacing w:before="283"/>
            <w:ind w:right="2795"/>
          </w:pPr>
          <w:r>
            <w:rPr>
              <w:color w:val="231F20"/>
              <w:spacing w:val="4"/>
              <w:w w:val="105"/>
            </w:rPr>
            <w:t>Imaginarios </w:t>
          </w:r>
          <w:r>
            <w:rPr>
              <w:color w:val="231F20"/>
              <w:w w:val="105"/>
            </w:rPr>
            <w:t>a </w:t>
          </w:r>
          <w:r>
            <w:rPr>
              <w:color w:val="231F20"/>
              <w:spacing w:val="3"/>
              <w:w w:val="105"/>
            </w:rPr>
            <w:t>futuro </w:t>
          </w:r>
          <w:r>
            <w:rPr>
              <w:color w:val="231F20"/>
              <w:spacing w:val="2"/>
              <w:w w:val="105"/>
            </w:rPr>
            <w:t>de </w:t>
          </w:r>
          <w:r>
            <w:rPr>
              <w:color w:val="231F20"/>
              <w:spacing w:val="4"/>
              <w:w w:val="105"/>
            </w:rPr>
            <w:t>niños jornaleros </w:t>
          </w:r>
          <w:r>
            <w:rPr>
              <w:color w:val="231F20"/>
              <w:spacing w:val="2"/>
              <w:w w:val="105"/>
            </w:rPr>
            <w:t>de </w:t>
          </w:r>
          <w:r>
            <w:rPr>
              <w:color w:val="231F20"/>
              <w:spacing w:val="5"/>
              <w:w w:val="105"/>
            </w:rPr>
            <w:t>Villa </w:t>
          </w:r>
          <w:r>
            <w:rPr>
              <w:color w:val="231F20"/>
              <w:w w:val="105"/>
            </w:rPr>
            <w:t>Guerrero</w:t>
            <w:tab/>
            <w:t>87</w:t>
          </w:r>
        </w:p>
        <w:p>
          <w:pPr>
            <w:pStyle w:val="TOC1"/>
            <w:spacing w:line="240" w:lineRule="auto"/>
            <w:jc w:val="both"/>
          </w:pPr>
          <w:hyperlink w:history="true" w:anchor="_TOC_250000">
            <w:r>
              <w:rPr>
                <w:color w:val="4C4D4F"/>
                <w:w w:val="105"/>
              </w:rPr>
              <w:t>Saraí Miranda Juárez</w:t>
            </w:r>
          </w:hyperlink>
        </w:p>
        <w:p>
          <w:pPr>
            <w:pStyle w:val="TOC3"/>
            <w:spacing w:line="187" w:lineRule="auto"/>
          </w:pPr>
          <w:r>
            <w:rPr>
              <w:color w:val="231F20"/>
              <w:w w:val="95"/>
            </w:rPr>
            <w:t>MIftRACIONES</w:t>
          </w:r>
          <w:r>
            <w:rPr>
              <w:color w:val="231F20"/>
              <w:spacing w:val="-38"/>
              <w:w w:val="95"/>
            </w:rPr>
            <w:t> </w:t>
          </w:r>
          <w:r>
            <w:rPr>
              <w:color w:val="231F20"/>
              <w:w w:val="95"/>
            </w:rPr>
            <w:t>DE</w:t>
          </w:r>
          <w:r>
            <w:rPr>
              <w:color w:val="231F20"/>
              <w:spacing w:val="-38"/>
              <w:w w:val="95"/>
            </w:rPr>
            <w:t> </w:t>
          </w:r>
          <w:r>
            <w:rPr>
              <w:color w:val="231F20"/>
              <w:w w:val="95"/>
            </w:rPr>
            <w:t>RETORNO.</w:t>
          </w:r>
          <w:r>
            <w:rPr>
              <w:color w:val="231F20"/>
              <w:spacing w:val="-38"/>
              <w:w w:val="95"/>
            </w:rPr>
            <w:t> </w:t>
          </w:r>
          <w:r>
            <w:rPr>
              <w:color w:val="231F20"/>
              <w:w w:val="95"/>
            </w:rPr>
            <w:t>DIMENSIONES</w:t>
          </w:r>
          <w:r>
            <w:rPr>
              <w:color w:val="231F20"/>
              <w:spacing w:val="2"/>
              <w:w w:val="92"/>
            </w:rPr>
            <w:t> </w:t>
          </w:r>
          <w:r>
            <w:rPr>
              <w:color w:val="231F20"/>
              <w:w w:val="95"/>
            </w:rPr>
            <w:t>Y</w:t>
          </w:r>
          <w:r>
            <w:rPr>
              <w:color w:val="231F20"/>
              <w:spacing w:val="4"/>
              <w:w w:val="95"/>
            </w:rPr>
            <w:t> </w:t>
          </w:r>
          <w:r>
            <w:rPr>
              <w:color w:val="231F20"/>
              <w:w w:val="95"/>
            </w:rPr>
            <w:t>EXPERIENCIAS</w:t>
          </w:r>
        </w:p>
        <w:p>
          <w:pPr>
            <w:pStyle w:val="TOC1"/>
            <w:tabs>
              <w:tab w:pos="7676" w:val="right" w:leader="dot"/>
            </w:tabs>
            <w:spacing w:before="437"/>
            <w:ind w:right="2796"/>
          </w:pPr>
          <w:r>
            <w:rPr>
              <w:color w:val="231F20"/>
              <w:spacing w:val="3"/>
              <w:w w:val="105"/>
            </w:rPr>
            <w:t>¿Volver </w:t>
          </w:r>
          <w:r>
            <w:rPr>
              <w:color w:val="231F20"/>
              <w:w w:val="105"/>
            </w:rPr>
            <w:t>a </w:t>
          </w:r>
          <w:r>
            <w:rPr>
              <w:color w:val="231F20"/>
              <w:spacing w:val="3"/>
              <w:w w:val="105"/>
            </w:rPr>
            <w:t>casa? </w:t>
          </w:r>
          <w:r>
            <w:rPr>
              <w:color w:val="231F20"/>
              <w:spacing w:val="4"/>
              <w:w w:val="105"/>
            </w:rPr>
            <w:t>Desafíos </w:t>
          </w:r>
          <w:r>
            <w:rPr>
              <w:color w:val="231F20"/>
              <w:w w:val="105"/>
            </w:rPr>
            <w:t>y </w:t>
          </w:r>
          <w:r>
            <w:rPr>
              <w:color w:val="231F20"/>
              <w:spacing w:val="4"/>
              <w:w w:val="105"/>
            </w:rPr>
            <w:t>rutas divergentes </w:t>
          </w:r>
          <w:r>
            <w:rPr>
              <w:color w:val="231F20"/>
              <w:spacing w:val="5"/>
              <w:w w:val="105"/>
            </w:rPr>
            <w:t>de </w:t>
          </w:r>
          <w:r>
            <w:rPr>
              <w:color w:val="231F20"/>
              <w:w w:val="105"/>
            </w:rPr>
            <w:t>migrantes</w:t>
          </w:r>
          <w:r>
            <w:rPr>
              <w:color w:val="231F20"/>
              <w:spacing w:val="7"/>
              <w:w w:val="105"/>
            </w:rPr>
            <w:t> </w:t>
          </w:r>
          <w:r>
            <w:rPr>
              <w:color w:val="231F20"/>
              <w:w w:val="105"/>
            </w:rPr>
            <w:t>de</w:t>
          </w:r>
          <w:r>
            <w:rPr>
              <w:color w:val="231F20"/>
              <w:spacing w:val="7"/>
              <w:w w:val="105"/>
            </w:rPr>
            <w:t> </w:t>
          </w:r>
          <w:r>
            <w:rPr>
              <w:color w:val="231F20"/>
              <w:w w:val="105"/>
            </w:rPr>
            <w:t>retorno</w:t>
            <w:tab/>
            <w:t>113</w:t>
          </w:r>
        </w:p>
      </w:sdtContent>
    </w:sdt>
    <w:p>
      <w:pPr>
        <w:pStyle w:val="Heading4"/>
        <w:spacing w:before="58"/>
        <w:ind w:left="2744"/>
        <w:jc w:val="both"/>
      </w:pPr>
      <w:r>
        <w:rPr>
          <w:color w:val="4C4D4F"/>
          <w:w w:val="105"/>
        </w:rPr>
        <w:t>Liliana Rivera Sánchez</w:t>
      </w:r>
    </w:p>
    <w:p>
      <w:pPr>
        <w:spacing w:after="0"/>
        <w:jc w:val="both"/>
        <w:sectPr>
          <w:pgSz w:w="10480" w:h="14730"/>
          <w:pgMar w:header="0" w:footer="223" w:top="420" w:bottom="420" w:left="0" w:right="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6"/>
        <w:rPr>
          <w:rFonts w:ascii="Calibri"/>
          <w:sz w:val="25"/>
        </w:rPr>
      </w:pPr>
    </w:p>
    <w:p>
      <w:pPr>
        <w:tabs>
          <w:tab w:pos="7429" w:val="left" w:leader="dot"/>
        </w:tabs>
        <w:spacing w:line="264" w:lineRule="exact" w:before="0"/>
        <w:ind w:left="2857" w:right="2677" w:firstLine="0"/>
        <w:jc w:val="both"/>
        <w:rPr>
          <w:rFonts w:ascii="Calibri" w:hAnsi="Calibri"/>
          <w:sz w:val="22"/>
        </w:rPr>
      </w:pPr>
      <w:r>
        <w:rPr>
          <w:rFonts w:ascii="Calibri" w:hAnsi="Calibri"/>
          <w:color w:val="231F20"/>
          <w:w w:val="105"/>
          <w:sz w:val="22"/>
        </w:rPr>
        <w:t>Población migrante mexiquense devuelta de</w:t>
      </w:r>
      <w:r>
        <w:rPr>
          <w:rFonts w:ascii="Calibri" w:hAnsi="Calibri"/>
          <w:color w:val="231F20"/>
          <w:spacing w:val="-14"/>
          <w:w w:val="105"/>
          <w:sz w:val="22"/>
        </w:rPr>
        <w:t> </w:t>
      </w:r>
      <w:r>
        <w:rPr>
          <w:rFonts w:ascii="Calibri" w:hAnsi="Calibri"/>
          <w:color w:val="231F20"/>
          <w:w w:val="105"/>
          <w:sz w:val="22"/>
        </w:rPr>
        <w:t>Estados </w:t>
      </w:r>
      <w:r>
        <w:rPr>
          <w:rFonts w:ascii="Calibri" w:hAnsi="Calibri"/>
          <w:color w:val="231F20"/>
          <w:spacing w:val="6"/>
          <w:w w:val="105"/>
          <w:sz w:val="22"/>
        </w:rPr>
        <w:t>Unidos: </w:t>
      </w:r>
      <w:r>
        <w:rPr>
          <w:rFonts w:ascii="Calibri" w:hAnsi="Calibri"/>
          <w:color w:val="231F20"/>
          <w:spacing w:val="5"/>
          <w:w w:val="105"/>
          <w:sz w:val="22"/>
        </w:rPr>
        <w:t>dinámica </w:t>
      </w:r>
      <w:r>
        <w:rPr>
          <w:rFonts w:ascii="Calibri" w:hAnsi="Calibri"/>
          <w:color w:val="231F20"/>
          <w:spacing w:val="4"/>
          <w:w w:val="105"/>
          <w:sz w:val="22"/>
        </w:rPr>
        <w:t>del </w:t>
      </w:r>
      <w:r>
        <w:rPr>
          <w:rFonts w:ascii="Calibri" w:hAnsi="Calibri"/>
          <w:color w:val="231F20"/>
          <w:spacing w:val="5"/>
          <w:w w:val="105"/>
          <w:sz w:val="22"/>
        </w:rPr>
        <w:t>flujo </w:t>
      </w:r>
      <w:r>
        <w:rPr>
          <w:rFonts w:ascii="Calibri" w:hAnsi="Calibri"/>
          <w:color w:val="231F20"/>
          <w:spacing w:val="3"/>
          <w:w w:val="105"/>
          <w:sz w:val="22"/>
        </w:rPr>
        <w:t>en </w:t>
      </w:r>
      <w:r>
        <w:rPr>
          <w:rFonts w:ascii="Calibri" w:hAnsi="Calibri"/>
          <w:color w:val="231F20"/>
          <w:spacing w:val="6"/>
          <w:w w:val="105"/>
          <w:sz w:val="22"/>
        </w:rPr>
        <w:t>tiempos </w:t>
      </w:r>
      <w:r>
        <w:rPr>
          <w:rFonts w:ascii="Calibri" w:hAnsi="Calibri"/>
          <w:color w:val="231F20"/>
          <w:spacing w:val="3"/>
          <w:w w:val="105"/>
          <w:sz w:val="22"/>
        </w:rPr>
        <w:t>de </w:t>
      </w:r>
      <w:r>
        <w:rPr>
          <w:rFonts w:ascii="Calibri" w:hAnsi="Calibri"/>
          <w:color w:val="231F20"/>
          <w:spacing w:val="7"/>
          <w:w w:val="105"/>
          <w:sz w:val="22"/>
        </w:rPr>
        <w:t>crisis </w:t>
      </w:r>
      <w:r>
        <w:rPr>
          <w:rFonts w:ascii="Calibri" w:hAnsi="Calibri"/>
          <w:color w:val="231F20"/>
          <w:w w:val="105"/>
          <w:sz w:val="22"/>
        </w:rPr>
        <w:t>económica y</w:t>
      </w:r>
      <w:r>
        <w:rPr>
          <w:rFonts w:ascii="Calibri" w:hAnsi="Calibri"/>
          <w:color w:val="231F20"/>
          <w:spacing w:val="-17"/>
          <w:w w:val="105"/>
          <w:sz w:val="22"/>
        </w:rPr>
        <w:t> </w:t>
      </w:r>
      <w:r>
        <w:rPr>
          <w:rFonts w:ascii="Calibri" w:hAnsi="Calibri"/>
          <w:color w:val="231F20"/>
          <w:w w:val="105"/>
          <w:sz w:val="22"/>
        </w:rPr>
        <w:t>violencia</w:t>
      </w:r>
      <w:r>
        <w:rPr>
          <w:rFonts w:ascii="Calibri" w:hAnsi="Calibri"/>
          <w:color w:val="231F20"/>
          <w:spacing w:val="-9"/>
          <w:w w:val="105"/>
          <w:sz w:val="22"/>
        </w:rPr>
        <w:t> </w:t>
      </w:r>
      <w:r>
        <w:rPr>
          <w:rFonts w:ascii="Calibri" w:hAnsi="Calibri"/>
          <w:color w:val="231F20"/>
          <w:w w:val="105"/>
          <w:sz w:val="22"/>
        </w:rPr>
        <w:t>antiinmigrante</w:t>
        <w:tab/>
        <w:t>145</w:t>
      </w:r>
    </w:p>
    <w:p>
      <w:pPr>
        <w:spacing w:line="264" w:lineRule="exact" w:before="56"/>
        <w:ind w:left="2857" w:right="2708" w:firstLine="0"/>
        <w:jc w:val="both"/>
        <w:rPr>
          <w:rFonts w:ascii="Calibri" w:hAnsi="Calibri"/>
          <w:sz w:val="22"/>
        </w:rPr>
      </w:pPr>
      <w:r>
        <w:rPr>
          <w:rFonts w:ascii="Calibri" w:hAnsi="Calibri"/>
          <w:color w:val="4C4D4F"/>
          <w:w w:val="105"/>
          <w:sz w:val="22"/>
        </w:rPr>
        <w:t>Ana Elizabeth Jardón Hernández, Norma Baca Tavira e Itzel Hernández Lara</w:t>
      </w:r>
    </w:p>
    <w:p>
      <w:pPr>
        <w:pStyle w:val="Heading4"/>
        <w:tabs>
          <w:tab w:pos="7790" w:val="right" w:leader="dot"/>
        </w:tabs>
        <w:spacing w:line="206" w:lineRule="auto" w:before="314"/>
        <w:ind w:left="2857" w:right="2685"/>
        <w:jc w:val="both"/>
      </w:pPr>
      <w:r>
        <w:rPr>
          <w:color w:val="231F20"/>
          <w:spacing w:val="-6"/>
        </w:rPr>
        <w:t>Acceso </w:t>
      </w:r>
      <w:r>
        <w:rPr>
          <w:color w:val="231F20"/>
        </w:rPr>
        <w:t>a </w:t>
      </w:r>
      <w:r>
        <w:rPr>
          <w:color w:val="231F20"/>
          <w:spacing w:val="-4"/>
        </w:rPr>
        <w:t>los </w:t>
      </w:r>
      <w:r>
        <w:rPr>
          <w:color w:val="231F20"/>
          <w:spacing w:val="-6"/>
        </w:rPr>
        <w:t>servicios </w:t>
      </w:r>
      <w:r>
        <w:rPr>
          <w:color w:val="231F20"/>
          <w:spacing w:val="-3"/>
        </w:rPr>
        <w:t>de </w:t>
      </w:r>
      <w:r>
        <w:rPr>
          <w:color w:val="231F20"/>
          <w:spacing w:val="-5"/>
        </w:rPr>
        <w:t>salud </w:t>
      </w:r>
      <w:r>
        <w:rPr>
          <w:color w:val="231F20"/>
          <w:spacing w:val="-3"/>
        </w:rPr>
        <w:t>de </w:t>
      </w:r>
      <w:r>
        <w:rPr>
          <w:color w:val="231F20"/>
          <w:spacing w:val="-6"/>
        </w:rPr>
        <w:t>migrantes </w:t>
      </w:r>
      <w:r>
        <w:rPr>
          <w:color w:val="231F20"/>
          <w:spacing w:val="-7"/>
        </w:rPr>
        <w:t>mexiquenses </w:t>
      </w:r>
      <w:r>
        <w:rPr>
          <w:rFonts w:ascii="Lucida Sans Unicode"/>
          <w:color w:val="231F20"/>
        </w:rPr>
        <w:t>en</w:t>
      </w:r>
      <w:r>
        <w:rPr>
          <w:rFonts w:ascii="Lucida Sans Unicode"/>
          <w:color w:val="231F20"/>
          <w:spacing w:val="-36"/>
        </w:rPr>
        <w:t> </w:t>
      </w:r>
      <w:r>
        <w:rPr>
          <w:rFonts w:ascii="Lucida Sans Unicode"/>
          <w:color w:val="231F20"/>
        </w:rPr>
        <w:t>flujo</w:t>
      </w:r>
      <w:r>
        <w:rPr>
          <w:rFonts w:ascii="Lucida Sans Unicode"/>
          <w:color w:val="231F20"/>
          <w:spacing w:val="-36"/>
        </w:rPr>
        <w:t> </w:t>
      </w:r>
      <w:r>
        <w:rPr>
          <w:rFonts w:ascii="Lucida Sans Unicode"/>
          <w:color w:val="231F20"/>
        </w:rPr>
        <w:t>procedentes</w:t>
      </w:r>
      <w:r>
        <w:rPr>
          <w:rFonts w:ascii="Lucida Sans Unicode"/>
          <w:color w:val="231F20"/>
          <w:spacing w:val="-36"/>
        </w:rPr>
        <w:t> </w:t>
      </w:r>
      <w:r>
        <w:rPr>
          <w:rFonts w:ascii="Lucida Sans Unicode"/>
          <w:color w:val="231F20"/>
        </w:rPr>
        <w:t>de</w:t>
      </w:r>
      <w:r>
        <w:rPr>
          <w:rFonts w:ascii="Lucida Sans Unicode"/>
          <w:color w:val="231F20"/>
          <w:spacing w:val="-36"/>
        </w:rPr>
        <w:t> </w:t>
      </w:r>
      <w:r>
        <w:rPr>
          <w:rFonts w:ascii="Lucida Sans Unicode"/>
          <w:color w:val="231F20"/>
        </w:rPr>
        <w:t>Estados</w:t>
      </w:r>
      <w:r>
        <w:rPr>
          <w:rFonts w:ascii="Lucida Sans Unicode"/>
          <w:color w:val="231F20"/>
          <w:spacing w:val="-36"/>
        </w:rPr>
        <w:t> </w:t>
      </w:r>
      <w:r>
        <w:rPr>
          <w:rFonts w:ascii="Lucida Sans Unicode"/>
          <w:color w:val="231F20"/>
          <w:spacing w:val="-2"/>
        </w:rPr>
        <w:t>Unidos</w:t>
      </w:r>
      <w:r>
        <w:rPr>
          <w:color w:val="231F20"/>
          <w:spacing w:val="-2"/>
        </w:rPr>
        <w:tab/>
      </w:r>
      <w:r>
        <w:rPr>
          <w:color w:val="231F20"/>
        </w:rPr>
        <w:t>175</w:t>
      </w:r>
    </w:p>
    <w:p>
      <w:pPr>
        <w:pStyle w:val="Heading4"/>
        <w:spacing w:before="28"/>
        <w:ind w:left="2857"/>
        <w:jc w:val="both"/>
      </w:pPr>
      <w:r>
        <w:rPr>
          <w:color w:val="4C4D4F"/>
          <w:w w:val="105"/>
        </w:rPr>
        <w:t>Giovanni Alberto Macías Suárez</w:t>
      </w:r>
    </w:p>
    <w:p>
      <w:pPr>
        <w:pStyle w:val="Heading4"/>
        <w:tabs>
          <w:tab w:pos="7790" w:val="right" w:leader="dot"/>
        </w:tabs>
        <w:spacing w:line="264" w:lineRule="exact" w:before="277"/>
        <w:ind w:left="2857" w:right="2681"/>
        <w:jc w:val="both"/>
      </w:pPr>
      <w:r>
        <w:rPr>
          <w:color w:val="231F20"/>
          <w:w w:val="105"/>
        </w:rPr>
        <w:t>De regreso al </w:t>
      </w:r>
      <w:r>
        <w:rPr>
          <w:color w:val="231F20"/>
          <w:spacing w:val="2"/>
          <w:w w:val="105"/>
        </w:rPr>
        <w:t>terruño: reinserción sociocultural </w:t>
      </w:r>
      <w:r>
        <w:rPr>
          <w:color w:val="231F20"/>
          <w:spacing w:val="3"/>
          <w:w w:val="105"/>
        </w:rPr>
        <w:t>de </w:t>
      </w:r>
      <w:r>
        <w:rPr>
          <w:color w:val="231F20"/>
          <w:w w:val="105"/>
        </w:rPr>
        <w:t>migrantes</w:t>
      </w:r>
      <w:r>
        <w:rPr>
          <w:color w:val="231F20"/>
          <w:spacing w:val="-23"/>
          <w:w w:val="105"/>
        </w:rPr>
        <w:t> </w:t>
      </w:r>
      <w:r>
        <w:rPr>
          <w:color w:val="231F20"/>
          <w:w w:val="105"/>
        </w:rPr>
        <w:t>indígenas</w:t>
      </w:r>
      <w:r>
        <w:rPr>
          <w:color w:val="231F20"/>
          <w:spacing w:val="-23"/>
          <w:w w:val="105"/>
        </w:rPr>
        <w:t> </w:t>
      </w:r>
      <w:r>
        <w:rPr>
          <w:color w:val="231F20"/>
          <w:w w:val="105"/>
        </w:rPr>
        <w:t>mazahuas</w:t>
      </w:r>
      <w:r>
        <w:rPr>
          <w:color w:val="231F20"/>
          <w:spacing w:val="-23"/>
          <w:w w:val="105"/>
        </w:rPr>
        <w:t> </w:t>
      </w:r>
      <w:r>
        <w:rPr>
          <w:color w:val="231F20"/>
          <w:w w:val="105"/>
        </w:rPr>
        <w:t>retornados</w:t>
      </w:r>
      <w:r>
        <w:rPr>
          <w:color w:val="231F20"/>
          <w:spacing w:val="-23"/>
          <w:w w:val="105"/>
        </w:rPr>
        <w:t> </w:t>
      </w:r>
      <w:r>
        <w:rPr>
          <w:color w:val="231F20"/>
          <w:w w:val="105"/>
        </w:rPr>
        <w:t>de</w:t>
      </w:r>
      <w:r>
        <w:rPr>
          <w:color w:val="231F20"/>
          <w:spacing w:val="-23"/>
          <w:w w:val="105"/>
        </w:rPr>
        <w:t> </w:t>
      </w:r>
      <w:r>
        <w:rPr>
          <w:color w:val="231F20"/>
          <w:w w:val="105"/>
        </w:rPr>
        <w:t>Estados Unidos</w:t>
        <w:tab/>
        <w:t>203</w:t>
      </w:r>
    </w:p>
    <w:p>
      <w:pPr>
        <w:pStyle w:val="Heading4"/>
        <w:spacing w:before="58"/>
        <w:ind w:left="2857"/>
        <w:jc w:val="both"/>
      </w:pPr>
      <w:r>
        <w:rPr>
          <w:color w:val="4C4D4F"/>
          <w:w w:val="105"/>
        </w:rPr>
        <w:t>Patricia Nicolás Flores</w:t>
      </w:r>
    </w:p>
    <w:p>
      <w:pPr>
        <w:pStyle w:val="Heading4"/>
        <w:tabs>
          <w:tab w:pos="7790" w:val="right" w:leader="dot"/>
        </w:tabs>
        <w:spacing w:line="264" w:lineRule="exact" w:before="277"/>
        <w:ind w:left="2857" w:right="2678"/>
        <w:jc w:val="both"/>
      </w:pPr>
      <w:r>
        <w:rPr>
          <w:color w:val="231F20"/>
          <w:spacing w:val="3"/>
          <w:w w:val="105"/>
        </w:rPr>
        <w:t>El </w:t>
      </w:r>
      <w:r>
        <w:rPr>
          <w:color w:val="231F20"/>
          <w:spacing w:val="5"/>
          <w:w w:val="105"/>
        </w:rPr>
        <w:t>retorno  </w:t>
      </w:r>
      <w:r>
        <w:rPr>
          <w:color w:val="231F20"/>
          <w:spacing w:val="3"/>
          <w:w w:val="105"/>
        </w:rPr>
        <w:t>de  </w:t>
      </w:r>
      <w:r>
        <w:rPr>
          <w:color w:val="231F20"/>
          <w:spacing w:val="4"/>
          <w:w w:val="105"/>
        </w:rPr>
        <w:t>los  </w:t>
      </w:r>
      <w:r>
        <w:rPr>
          <w:color w:val="231F20"/>
          <w:spacing w:val="6"/>
          <w:w w:val="105"/>
        </w:rPr>
        <w:t>mexiquenses  </w:t>
      </w:r>
      <w:r>
        <w:rPr>
          <w:color w:val="231F20"/>
          <w:spacing w:val="4"/>
          <w:w w:val="105"/>
        </w:rPr>
        <w:t>que  </w:t>
      </w:r>
      <w:r>
        <w:rPr>
          <w:color w:val="231F20"/>
          <w:spacing w:val="6"/>
          <w:w w:val="105"/>
        </w:rPr>
        <w:t>emigraron  </w:t>
      </w:r>
      <w:r>
        <w:rPr>
          <w:color w:val="231F20"/>
          <w:w w:val="105"/>
        </w:rPr>
        <w:t>a</w:t>
      </w:r>
      <w:r>
        <w:rPr>
          <w:color w:val="231F20"/>
          <w:spacing w:val="8"/>
          <w:w w:val="105"/>
        </w:rPr>
        <w:t> </w:t>
      </w:r>
      <w:r>
        <w:rPr>
          <w:color w:val="231F20"/>
          <w:spacing w:val="-3"/>
          <w:w w:val="105"/>
        </w:rPr>
        <w:t>Texas</w:t>
        <w:tab/>
      </w:r>
      <w:r>
        <w:rPr>
          <w:color w:val="231F20"/>
          <w:w w:val="105"/>
        </w:rPr>
        <w:t>229</w:t>
      </w:r>
    </w:p>
    <w:p>
      <w:pPr>
        <w:pStyle w:val="Heading4"/>
        <w:spacing w:before="58"/>
        <w:ind w:left="2857"/>
        <w:jc w:val="both"/>
      </w:pPr>
      <w:r>
        <w:rPr>
          <w:color w:val="4C4D4F"/>
          <w:w w:val="110"/>
        </w:rPr>
        <w:t>Renato Salas Alfaro</w:t>
      </w:r>
    </w:p>
    <w:p>
      <w:pPr>
        <w:spacing w:line="187" w:lineRule="auto" w:before="633"/>
        <w:ind w:left="3175" w:right="3001" w:firstLine="0"/>
        <w:jc w:val="center"/>
        <w:rPr>
          <w:rFonts w:ascii="Lucida Sans Unicode"/>
          <w:sz w:val="20"/>
        </w:rPr>
      </w:pPr>
      <w:r>
        <w:rPr>
          <w:rFonts w:ascii="Lucida Sans Unicode"/>
          <w:color w:val="231F20"/>
          <w:w w:val="95"/>
          <w:sz w:val="20"/>
        </w:rPr>
        <w:t>PROCESOS</w:t>
      </w:r>
      <w:r>
        <w:rPr>
          <w:rFonts w:ascii="Lucida Sans Unicode"/>
          <w:color w:val="231F20"/>
          <w:spacing w:val="-35"/>
          <w:w w:val="95"/>
          <w:sz w:val="20"/>
        </w:rPr>
        <w:t> </w:t>
      </w:r>
      <w:r>
        <w:rPr>
          <w:rFonts w:ascii="Lucida Sans Unicode"/>
          <w:color w:val="231F20"/>
          <w:w w:val="95"/>
          <w:sz w:val="20"/>
        </w:rPr>
        <w:t>MIftRATORIOS,</w:t>
      </w:r>
      <w:r>
        <w:rPr>
          <w:rFonts w:ascii="Lucida Sans Unicode"/>
          <w:color w:val="231F20"/>
          <w:spacing w:val="-35"/>
          <w:w w:val="95"/>
          <w:sz w:val="20"/>
        </w:rPr>
        <w:t> </w:t>
      </w:r>
      <w:r>
        <w:rPr>
          <w:rFonts w:ascii="Lucida Sans Unicode"/>
          <w:color w:val="231F20"/>
          <w:w w:val="95"/>
          <w:sz w:val="20"/>
        </w:rPr>
        <w:t>SUJETOS</w:t>
      </w:r>
      <w:r>
        <w:rPr>
          <w:rFonts w:ascii="Lucida Sans Unicode"/>
          <w:color w:val="231F20"/>
          <w:spacing w:val="-35"/>
          <w:w w:val="95"/>
          <w:sz w:val="20"/>
        </w:rPr>
        <w:t> </w:t>
      </w:r>
      <w:r>
        <w:rPr>
          <w:rFonts w:ascii="Lucida Sans Unicode"/>
          <w:color w:val="231F20"/>
          <w:w w:val="95"/>
          <w:sz w:val="20"/>
        </w:rPr>
        <w:t>MIftRANTES</w:t>
      </w:r>
      <w:r>
        <w:rPr>
          <w:rFonts w:ascii="Lucida Sans Unicode"/>
          <w:color w:val="231F20"/>
          <w:spacing w:val="2"/>
          <w:w w:val="91"/>
          <w:sz w:val="20"/>
        </w:rPr>
        <w:t> </w:t>
      </w:r>
      <w:r>
        <w:rPr>
          <w:rFonts w:ascii="Lucida Sans Unicode"/>
          <w:color w:val="231F20"/>
          <w:w w:val="95"/>
          <w:sz w:val="20"/>
        </w:rPr>
        <w:t>Y</w:t>
      </w:r>
      <w:r>
        <w:rPr>
          <w:rFonts w:ascii="Lucida Sans Unicode"/>
          <w:color w:val="231F20"/>
          <w:spacing w:val="-30"/>
          <w:w w:val="95"/>
          <w:sz w:val="20"/>
        </w:rPr>
        <w:t> </w:t>
      </w:r>
      <w:r>
        <w:rPr>
          <w:rFonts w:ascii="Lucida Sans Unicode"/>
          <w:color w:val="231F20"/>
          <w:w w:val="95"/>
          <w:sz w:val="20"/>
        </w:rPr>
        <w:t>ESTRATEftIAS</w:t>
      </w:r>
      <w:r>
        <w:rPr>
          <w:rFonts w:ascii="Lucida Sans Unicode"/>
          <w:color w:val="231F20"/>
          <w:spacing w:val="-30"/>
          <w:w w:val="95"/>
          <w:sz w:val="20"/>
        </w:rPr>
        <w:t> </w:t>
      </w:r>
      <w:r>
        <w:rPr>
          <w:rFonts w:ascii="Lucida Sans Unicode"/>
          <w:color w:val="231F20"/>
          <w:w w:val="95"/>
          <w:sz w:val="20"/>
        </w:rPr>
        <w:t>DE</w:t>
      </w:r>
      <w:r>
        <w:rPr>
          <w:rFonts w:ascii="Lucida Sans Unicode"/>
          <w:color w:val="231F20"/>
          <w:spacing w:val="-30"/>
          <w:w w:val="95"/>
          <w:sz w:val="20"/>
        </w:rPr>
        <w:t> </w:t>
      </w:r>
      <w:r>
        <w:rPr>
          <w:rFonts w:ascii="Lucida Sans Unicode"/>
          <w:color w:val="231F20"/>
          <w:w w:val="95"/>
          <w:sz w:val="20"/>
        </w:rPr>
        <w:t>VIDA</w:t>
      </w:r>
    </w:p>
    <w:p>
      <w:pPr>
        <w:pStyle w:val="Heading4"/>
        <w:tabs>
          <w:tab w:pos="7792" w:val="right" w:leader="dot"/>
        </w:tabs>
        <w:spacing w:line="264" w:lineRule="exact" w:before="437"/>
        <w:ind w:left="2857" w:right="2676"/>
        <w:jc w:val="both"/>
      </w:pPr>
      <w:r>
        <w:rPr>
          <w:color w:val="231F20"/>
          <w:spacing w:val="2"/>
          <w:w w:val="105"/>
        </w:rPr>
        <w:t>Cambios </w:t>
      </w:r>
      <w:r>
        <w:rPr>
          <w:color w:val="231F20"/>
          <w:w w:val="105"/>
        </w:rPr>
        <w:t>y </w:t>
      </w:r>
      <w:r>
        <w:rPr>
          <w:color w:val="231F20"/>
          <w:spacing w:val="2"/>
          <w:w w:val="105"/>
        </w:rPr>
        <w:t>continuidades </w:t>
      </w:r>
      <w:r>
        <w:rPr>
          <w:color w:val="231F20"/>
          <w:w w:val="105"/>
        </w:rPr>
        <w:t>en el </w:t>
      </w:r>
      <w:r>
        <w:rPr>
          <w:color w:val="231F20"/>
          <w:spacing w:val="2"/>
          <w:w w:val="105"/>
        </w:rPr>
        <w:t>proceso migratorio </w:t>
      </w:r>
      <w:r>
        <w:rPr>
          <w:color w:val="231F20"/>
          <w:spacing w:val="3"/>
          <w:w w:val="105"/>
        </w:rPr>
        <w:t>de </w:t>
      </w:r>
      <w:r>
        <w:rPr>
          <w:color w:val="231F20"/>
          <w:spacing w:val="4"/>
          <w:w w:val="105"/>
        </w:rPr>
        <w:t>las </w:t>
      </w:r>
      <w:r>
        <w:rPr>
          <w:color w:val="231F20"/>
          <w:spacing w:val="5"/>
          <w:w w:val="105"/>
        </w:rPr>
        <w:t>mujeres </w:t>
      </w:r>
      <w:r>
        <w:rPr>
          <w:color w:val="231F20"/>
          <w:spacing w:val="4"/>
          <w:w w:val="105"/>
        </w:rPr>
        <w:t>del </w:t>
      </w:r>
      <w:r>
        <w:rPr>
          <w:color w:val="231F20"/>
          <w:spacing w:val="5"/>
          <w:w w:val="105"/>
        </w:rPr>
        <w:t>Estado </w:t>
      </w:r>
      <w:r>
        <w:rPr>
          <w:color w:val="231F20"/>
          <w:spacing w:val="3"/>
          <w:w w:val="105"/>
        </w:rPr>
        <w:t>de </w:t>
      </w:r>
      <w:r>
        <w:rPr>
          <w:color w:val="231F20"/>
          <w:spacing w:val="4"/>
          <w:w w:val="105"/>
        </w:rPr>
        <w:t>México </w:t>
      </w:r>
      <w:r>
        <w:rPr>
          <w:color w:val="231F20"/>
          <w:w w:val="105"/>
        </w:rPr>
        <w:t>a </w:t>
      </w:r>
      <w:r>
        <w:rPr>
          <w:color w:val="231F20"/>
          <w:spacing w:val="7"/>
          <w:w w:val="105"/>
        </w:rPr>
        <w:t>Estados </w:t>
      </w:r>
      <w:r>
        <w:rPr>
          <w:color w:val="231F20"/>
          <w:spacing w:val="2"/>
          <w:w w:val="105"/>
        </w:rPr>
        <w:t>Unidos</w:t>
        <w:tab/>
        <w:t>259</w:t>
      </w:r>
    </w:p>
    <w:p>
      <w:pPr>
        <w:pStyle w:val="Heading4"/>
        <w:spacing w:before="58"/>
        <w:ind w:left="2857"/>
        <w:jc w:val="both"/>
      </w:pPr>
      <w:r>
        <w:rPr>
          <w:color w:val="4C4D4F"/>
          <w:w w:val="105"/>
        </w:rPr>
        <w:t>Andrea Bautista León y Mauricio Rodríguez Abreu</w:t>
      </w:r>
    </w:p>
    <w:p>
      <w:pPr>
        <w:pStyle w:val="Heading4"/>
        <w:tabs>
          <w:tab w:pos="7790" w:val="right" w:leader="dot"/>
        </w:tabs>
        <w:spacing w:line="264" w:lineRule="exact" w:before="277"/>
        <w:ind w:left="2857" w:right="2678"/>
        <w:jc w:val="both"/>
      </w:pPr>
      <w:r>
        <w:rPr>
          <w:color w:val="231F20"/>
        </w:rPr>
        <w:t>Territorialidad rural y redes de migración de Almoloya de </w:t>
      </w:r>
      <w:r>
        <w:rPr>
          <w:color w:val="231F20"/>
          <w:spacing w:val="3"/>
        </w:rPr>
        <w:t>Alquisiras. </w:t>
      </w:r>
      <w:r>
        <w:rPr>
          <w:color w:val="231F20"/>
        </w:rPr>
        <w:t>Un </w:t>
      </w:r>
      <w:r>
        <w:rPr>
          <w:color w:val="231F20"/>
          <w:spacing w:val="3"/>
        </w:rPr>
        <w:t>análisis desde </w:t>
      </w:r>
      <w:r>
        <w:rPr>
          <w:color w:val="231F20"/>
        </w:rPr>
        <w:t>la </w:t>
      </w:r>
      <w:r>
        <w:rPr>
          <w:color w:val="231F20"/>
          <w:spacing w:val="2"/>
        </w:rPr>
        <w:t>mirada </w:t>
      </w:r>
      <w:r>
        <w:rPr>
          <w:color w:val="231F20"/>
        </w:rPr>
        <w:t>de </w:t>
      </w:r>
      <w:r>
        <w:rPr>
          <w:color w:val="231F20"/>
          <w:spacing w:val="4"/>
        </w:rPr>
        <w:t>sus </w:t>
      </w:r>
      <w:r>
        <w:rPr>
          <w:color w:val="231F20"/>
        </w:rPr>
        <w:t>protagonistas</w:t>
        <w:tab/>
        <w:t>285</w:t>
      </w:r>
    </w:p>
    <w:p>
      <w:pPr>
        <w:pStyle w:val="Heading4"/>
        <w:spacing w:before="58"/>
        <w:ind w:left="2857"/>
        <w:jc w:val="both"/>
      </w:pPr>
      <w:r>
        <w:rPr>
          <w:color w:val="4C4D4F"/>
          <w:w w:val="105"/>
        </w:rPr>
        <w:t>Francisco Herrera Tapia y Alejandro Rosendo Chávez</w:t>
      </w:r>
    </w:p>
    <w:p>
      <w:pPr>
        <w:pStyle w:val="Heading4"/>
        <w:tabs>
          <w:tab w:pos="7789" w:val="right" w:leader="dot"/>
        </w:tabs>
        <w:spacing w:line="264" w:lineRule="exact" w:before="277"/>
        <w:ind w:left="2857" w:right="2685"/>
        <w:jc w:val="both"/>
      </w:pPr>
      <w:r>
        <w:rPr>
          <w:color w:val="231F20"/>
          <w:w w:val="105"/>
        </w:rPr>
        <w:t>Migración intergeneracional en el Estado de México. La búsqueda de</w:t>
      </w:r>
      <w:r>
        <w:rPr>
          <w:color w:val="231F20"/>
          <w:spacing w:val="20"/>
          <w:w w:val="105"/>
        </w:rPr>
        <w:t> </w:t>
      </w:r>
      <w:r>
        <w:rPr>
          <w:color w:val="231F20"/>
          <w:w w:val="105"/>
        </w:rPr>
        <w:t>movilidad</w:t>
      </w:r>
      <w:r>
        <w:rPr>
          <w:color w:val="231F20"/>
          <w:spacing w:val="6"/>
          <w:w w:val="105"/>
        </w:rPr>
        <w:t> </w:t>
      </w:r>
      <w:r>
        <w:rPr>
          <w:color w:val="231F20"/>
          <w:w w:val="105"/>
        </w:rPr>
        <w:t>social</w:t>
        <w:tab/>
        <w:t>311</w:t>
      </w:r>
    </w:p>
    <w:p>
      <w:pPr>
        <w:spacing w:line="264" w:lineRule="exact" w:before="56"/>
        <w:ind w:left="2857" w:right="2685" w:firstLine="0"/>
        <w:jc w:val="both"/>
        <w:rPr>
          <w:rFonts w:ascii="Calibri" w:hAnsi="Calibri"/>
          <w:sz w:val="22"/>
        </w:rPr>
      </w:pPr>
      <w:r>
        <w:rPr>
          <w:rFonts w:ascii="Calibri" w:hAnsi="Calibri"/>
          <w:color w:val="4C4D4F"/>
          <w:w w:val="105"/>
          <w:sz w:val="22"/>
        </w:rPr>
        <w:t>Zoraida Ronzón Hernández, Norma Baca Tavira y Pa- tricia Román Reyes</w:t>
      </w:r>
    </w:p>
    <w:p>
      <w:pPr>
        <w:spacing w:after="0" w:line="264" w:lineRule="exact"/>
        <w:jc w:val="both"/>
        <w:rPr>
          <w:rFonts w:ascii="Calibri" w:hAnsi="Calibri"/>
          <w:sz w:val="22"/>
        </w:rPr>
        <w:sectPr>
          <w:pgSz w:w="10480" w:h="14730"/>
          <w:pgMar w:header="0" w:footer="223" w:top="420" w:bottom="420" w:left="0" w:right="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0"/>
        <w:rPr>
          <w:rFonts w:ascii="Calibri"/>
          <w:sz w:val="25"/>
        </w:rPr>
      </w:pPr>
    </w:p>
    <w:p>
      <w:pPr>
        <w:tabs>
          <w:tab w:pos="7395" w:val="left" w:leader="dot"/>
        </w:tabs>
        <w:spacing w:line="264" w:lineRule="exact" w:before="0"/>
        <w:ind w:left="2823" w:right="2719" w:firstLine="0"/>
        <w:jc w:val="left"/>
        <w:rPr>
          <w:rFonts w:ascii="Calibri" w:hAnsi="Calibri"/>
          <w:sz w:val="22"/>
        </w:rPr>
      </w:pPr>
      <w:r>
        <w:rPr>
          <w:rFonts w:ascii="Calibri" w:hAnsi="Calibri"/>
          <w:color w:val="231F20"/>
          <w:w w:val="105"/>
          <w:sz w:val="22"/>
        </w:rPr>
        <w:t>Migración internacional y estrategias de</w:t>
      </w:r>
      <w:r>
        <w:rPr>
          <w:rFonts w:ascii="Calibri" w:hAnsi="Calibri"/>
          <w:color w:val="231F20"/>
          <w:spacing w:val="-22"/>
          <w:w w:val="105"/>
          <w:sz w:val="22"/>
        </w:rPr>
        <w:t> </w:t>
      </w:r>
      <w:r>
        <w:rPr>
          <w:rFonts w:ascii="Calibri" w:hAnsi="Calibri"/>
          <w:color w:val="231F20"/>
          <w:w w:val="105"/>
          <w:sz w:val="22"/>
        </w:rPr>
        <w:t>subsistencia campesina en</w:t>
      </w:r>
      <w:r>
        <w:rPr>
          <w:rFonts w:ascii="Calibri" w:hAnsi="Calibri"/>
          <w:color w:val="231F20"/>
          <w:spacing w:val="-7"/>
          <w:w w:val="105"/>
          <w:sz w:val="22"/>
        </w:rPr>
        <w:t> </w:t>
      </w:r>
      <w:r>
        <w:rPr>
          <w:rFonts w:ascii="Calibri" w:hAnsi="Calibri"/>
          <w:color w:val="231F20"/>
          <w:w w:val="105"/>
          <w:sz w:val="22"/>
        </w:rPr>
        <w:t>Santiago,</w:t>
      </w:r>
      <w:r>
        <w:rPr>
          <w:rFonts w:ascii="Calibri" w:hAnsi="Calibri"/>
          <w:color w:val="231F20"/>
          <w:spacing w:val="-4"/>
          <w:w w:val="105"/>
          <w:sz w:val="22"/>
        </w:rPr>
        <w:t> </w:t>
      </w:r>
      <w:r>
        <w:rPr>
          <w:rFonts w:ascii="Calibri" w:hAnsi="Calibri"/>
          <w:color w:val="231F20"/>
          <w:w w:val="105"/>
          <w:sz w:val="22"/>
        </w:rPr>
        <w:t>Amatepec</w:t>
        <w:tab/>
        <w:t>327</w:t>
      </w:r>
    </w:p>
    <w:p>
      <w:pPr>
        <w:spacing w:line="264" w:lineRule="exact" w:before="56"/>
        <w:ind w:left="2823" w:right="2719" w:firstLine="0"/>
        <w:jc w:val="both"/>
        <w:rPr>
          <w:rFonts w:ascii="Calibri" w:hAnsi="Calibri"/>
          <w:sz w:val="22"/>
        </w:rPr>
      </w:pPr>
      <w:r>
        <w:rPr>
          <w:rFonts w:ascii="Calibri" w:hAnsi="Calibri"/>
          <w:color w:val="4C4D4F"/>
          <w:w w:val="105"/>
          <w:sz w:val="22"/>
        </w:rPr>
        <w:t>Daniela Macedo Garduño, Gladys Rivera Herrejón y Francisco Herrera Tapia</w:t>
      </w:r>
    </w:p>
    <w:p>
      <w:pPr>
        <w:pStyle w:val="BodyText"/>
        <w:rPr>
          <w:rFonts w:ascii="Calibri"/>
          <w:sz w:val="22"/>
        </w:rPr>
      </w:pPr>
    </w:p>
    <w:p>
      <w:pPr>
        <w:pStyle w:val="BodyText"/>
        <w:spacing w:before="4"/>
        <w:rPr>
          <w:rFonts w:ascii="Calibri"/>
          <w:sz w:val="30"/>
        </w:rPr>
      </w:pPr>
    </w:p>
    <w:p>
      <w:pPr>
        <w:spacing w:line="187" w:lineRule="auto" w:before="1"/>
        <w:ind w:left="2910" w:right="2804" w:firstLine="0"/>
        <w:jc w:val="center"/>
        <w:rPr>
          <w:rFonts w:ascii="Lucida Sans Unicode" w:hAnsi="Lucida Sans Unicode"/>
          <w:sz w:val="20"/>
        </w:rPr>
      </w:pPr>
      <w:r>
        <w:rPr>
          <w:rFonts w:ascii="Lucida Sans Unicode" w:hAnsi="Lucida Sans Unicode"/>
          <w:color w:val="231F20"/>
          <w:w w:val="90"/>
          <w:sz w:val="20"/>
        </w:rPr>
        <w:t>COMUNICACIÓN Y EMOCIONES EN CONTEXTOS </w:t>
      </w:r>
      <w:r>
        <w:rPr>
          <w:rFonts w:ascii="Lucida Sans Unicode" w:hAnsi="Lucida Sans Unicode"/>
          <w:color w:val="231F20"/>
          <w:sz w:val="20"/>
        </w:rPr>
        <w:t>TRANSNACIONALES</w:t>
      </w:r>
    </w:p>
    <w:p>
      <w:pPr>
        <w:pStyle w:val="Heading4"/>
        <w:tabs>
          <w:tab w:pos="7756" w:val="right" w:leader="dot"/>
        </w:tabs>
        <w:spacing w:line="264" w:lineRule="exact" w:before="437"/>
        <w:ind w:left="2823" w:right="2716"/>
      </w:pPr>
      <w:r>
        <w:rPr>
          <w:color w:val="231F20"/>
          <w:spacing w:val="5"/>
          <w:w w:val="105"/>
        </w:rPr>
        <w:t>Maintaining transnationalism: </w:t>
      </w:r>
      <w:r>
        <w:rPr>
          <w:color w:val="231F20"/>
          <w:spacing w:val="4"/>
          <w:w w:val="105"/>
        </w:rPr>
        <w:t>The </w:t>
      </w:r>
      <w:r>
        <w:rPr>
          <w:color w:val="231F20"/>
          <w:spacing w:val="3"/>
          <w:w w:val="105"/>
        </w:rPr>
        <w:t>role of </w:t>
      </w:r>
      <w:r>
        <w:rPr>
          <w:color w:val="231F20"/>
          <w:spacing w:val="5"/>
          <w:w w:val="105"/>
        </w:rPr>
        <w:t>digital </w:t>
      </w:r>
      <w:r>
        <w:rPr>
          <w:color w:val="231F20"/>
          <w:w w:val="105"/>
        </w:rPr>
        <w:t>communication among</w:t>
      </w:r>
      <w:r>
        <w:rPr>
          <w:color w:val="231F20"/>
          <w:spacing w:val="4"/>
          <w:w w:val="105"/>
        </w:rPr>
        <w:t> </w:t>
      </w:r>
      <w:r>
        <w:rPr>
          <w:color w:val="231F20"/>
          <w:w w:val="105"/>
        </w:rPr>
        <w:t>US-born</w:t>
      </w:r>
      <w:r>
        <w:rPr>
          <w:color w:val="231F20"/>
          <w:spacing w:val="2"/>
          <w:w w:val="105"/>
        </w:rPr>
        <w:t> </w:t>
      </w:r>
      <w:r>
        <w:rPr>
          <w:color w:val="231F20"/>
          <w:w w:val="105"/>
        </w:rPr>
        <w:t>Mexicans</w:t>
        <w:tab/>
        <w:t>353</w:t>
      </w:r>
    </w:p>
    <w:p>
      <w:pPr>
        <w:pStyle w:val="Heading4"/>
        <w:spacing w:before="58"/>
        <w:ind w:left="2823"/>
        <w:jc w:val="both"/>
      </w:pPr>
      <w:r>
        <w:rPr>
          <w:color w:val="4C4D4F"/>
          <w:w w:val="105"/>
        </w:rPr>
        <w:t>Martha Sidury Christiansen</w:t>
      </w:r>
    </w:p>
    <w:p>
      <w:pPr>
        <w:pStyle w:val="Heading4"/>
        <w:tabs>
          <w:tab w:pos="7756" w:val="right" w:leader="dot"/>
        </w:tabs>
        <w:spacing w:line="264" w:lineRule="exact" w:before="277"/>
        <w:ind w:left="2823" w:right="2718"/>
      </w:pPr>
      <w:r>
        <w:rPr>
          <w:color w:val="231F20"/>
          <w:w w:val="105"/>
        </w:rPr>
        <w:t>Lo que no se fue en el veliz azul. Relato de vida de Rafael, un</w:t>
      </w:r>
      <w:r>
        <w:rPr>
          <w:color w:val="231F20"/>
          <w:spacing w:val="12"/>
          <w:w w:val="105"/>
        </w:rPr>
        <w:t> </w:t>
      </w:r>
      <w:r>
        <w:rPr>
          <w:color w:val="231F20"/>
          <w:w w:val="105"/>
        </w:rPr>
        <w:t>migrante</w:t>
      </w:r>
      <w:r>
        <w:rPr>
          <w:color w:val="231F20"/>
          <w:spacing w:val="6"/>
          <w:w w:val="105"/>
        </w:rPr>
        <w:t> </w:t>
      </w:r>
      <w:r>
        <w:rPr>
          <w:color w:val="231F20"/>
          <w:w w:val="105"/>
        </w:rPr>
        <w:t>tonatiquense</w:t>
        <w:tab/>
        <w:t>377</w:t>
      </w:r>
    </w:p>
    <w:p>
      <w:pPr>
        <w:pStyle w:val="Heading4"/>
        <w:spacing w:before="58"/>
        <w:ind w:left="2823"/>
        <w:jc w:val="both"/>
      </w:pPr>
      <w:r>
        <w:rPr>
          <w:color w:val="4C4D4F"/>
          <w:w w:val="105"/>
        </w:rPr>
        <w:t>Alejandro Zarur Osorio</w:t>
      </w:r>
    </w:p>
    <w:p>
      <w:pPr>
        <w:pStyle w:val="Heading4"/>
        <w:tabs>
          <w:tab w:pos="7756" w:val="right" w:leader="dot"/>
        </w:tabs>
        <w:spacing w:line="264" w:lineRule="exact" w:before="277"/>
        <w:ind w:left="2823" w:right="2711"/>
        <w:jc w:val="both"/>
      </w:pPr>
      <w:r>
        <w:rPr>
          <w:color w:val="231F20"/>
          <w:w w:val="105"/>
        </w:rPr>
        <w:t>Lo </w:t>
      </w:r>
      <w:r>
        <w:rPr>
          <w:color w:val="231F20"/>
          <w:spacing w:val="5"/>
          <w:w w:val="105"/>
        </w:rPr>
        <w:t>emocional </w:t>
      </w:r>
      <w:r>
        <w:rPr>
          <w:color w:val="231F20"/>
          <w:spacing w:val="3"/>
          <w:w w:val="105"/>
        </w:rPr>
        <w:t>en el </w:t>
      </w:r>
      <w:r>
        <w:rPr>
          <w:color w:val="231F20"/>
          <w:spacing w:val="4"/>
          <w:w w:val="105"/>
        </w:rPr>
        <w:t>vaivén </w:t>
      </w:r>
      <w:r>
        <w:rPr>
          <w:color w:val="231F20"/>
          <w:spacing w:val="3"/>
          <w:w w:val="105"/>
        </w:rPr>
        <w:t>de </w:t>
      </w:r>
      <w:r>
        <w:rPr>
          <w:color w:val="231F20"/>
          <w:spacing w:val="4"/>
          <w:w w:val="105"/>
        </w:rPr>
        <w:t>los migrantes </w:t>
      </w:r>
      <w:r>
        <w:rPr>
          <w:color w:val="231F20"/>
          <w:spacing w:val="6"/>
          <w:w w:val="105"/>
        </w:rPr>
        <w:t>no </w:t>
      </w:r>
      <w:r>
        <w:rPr>
          <w:color w:val="231F20"/>
          <w:spacing w:val="3"/>
          <w:w w:val="105"/>
        </w:rPr>
        <w:t>autorizados </w:t>
      </w:r>
      <w:r>
        <w:rPr>
          <w:color w:val="231F20"/>
          <w:spacing w:val="2"/>
          <w:w w:val="105"/>
        </w:rPr>
        <w:t>del </w:t>
      </w:r>
      <w:r>
        <w:rPr>
          <w:color w:val="231F20"/>
          <w:spacing w:val="3"/>
          <w:w w:val="105"/>
        </w:rPr>
        <w:t>noroeste </w:t>
      </w:r>
      <w:r>
        <w:rPr>
          <w:color w:val="231F20"/>
          <w:spacing w:val="2"/>
          <w:w w:val="105"/>
        </w:rPr>
        <w:t>del </w:t>
      </w:r>
      <w:r>
        <w:rPr>
          <w:color w:val="231F20"/>
          <w:spacing w:val="3"/>
          <w:w w:val="105"/>
        </w:rPr>
        <w:t>Estado </w:t>
      </w:r>
      <w:r>
        <w:rPr>
          <w:color w:val="231F20"/>
          <w:w w:val="105"/>
        </w:rPr>
        <w:t>de México a Estados</w:t>
      </w:r>
      <w:r>
        <w:rPr>
          <w:color w:val="231F20"/>
          <w:spacing w:val="8"/>
          <w:w w:val="105"/>
        </w:rPr>
        <w:t> </w:t>
      </w:r>
      <w:r>
        <w:rPr>
          <w:color w:val="231F20"/>
          <w:w w:val="105"/>
        </w:rPr>
        <w:t>Unidos</w:t>
        <w:tab/>
        <w:t>397</w:t>
      </w:r>
    </w:p>
    <w:p>
      <w:pPr>
        <w:pStyle w:val="Heading4"/>
        <w:spacing w:before="58"/>
        <w:ind w:left="2823"/>
        <w:jc w:val="both"/>
      </w:pPr>
      <w:r>
        <w:rPr>
          <w:color w:val="4C4D4F"/>
          <w:w w:val="105"/>
        </w:rPr>
        <w:t>Fabiana Sánchez Plata</w:t>
      </w:r>
    </w:p>
    <w:p>
      <w:pPr>
        <w:spacing w:after="0"/>
        <w:jc w:val="both"/>
        <w:sectPr>
          <w:footerReference w:type="default" r:id="rId21"/>
          <w:pgSz w:w="10480" w:h="14730"/>
          <w:pgMar w:footer="223" w:header="0" w:top="420" w:bottom="420" w:left="0" w:right="0"/>
        </w:sectPr>
      </w:pPr>
    </w:p>
    <w:p>
      <w:pPr>
        <w:pStyle w:val="BodyText"/>
        <w:spacing w:before="4"/>
        <w:rPr>
          <w:rFonts w:ascii="Times New Roman"/>
          <w:sz w:val="17"/>
        </w:rPr>
      </w:pPr>
    </w:p>
    <w:p>
      <w:pPr>
        <w:spacing w:after="0"/>
        <w:rPr>
          <w:rFonts w:ascii="Times New Roman"/>
          <w:sz w:val="17"/>
        </w:rPr>
        <w:sectPr>
          <w:pgSz w:w="10480" w:h="14730"/>
          <w:pgMar w:header="0" w:footer="223" w:top="420" w:bottom="420" w:left="0" w:right="0"/>
        </w:sect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Heading3"/>
        <w:spacing w:before="185"/>
        <w:ind w:left="2917" w:right="2804"/>
        <w:jc w:val="center"/>
      </w:pPr>
      <w:bookmarkStart w:name="_TOC_250003" w:id="1"/>
      <w:bookmarkEnd w:id="1"/>
      <w:r>
        <w:rPr>
          <w:color w:val="231F20"/>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871" w:right="1693"/>
        <w:jc w:val="both"/>
      </w:pPr>
      <w:r>
        <w:rPr/>
        <w:pict>
          <v:shapetype id="_x0000_t202" o:spt="202" coordsize="21600,21600" path="m,l,21600r21600,l21600,xe">
            <v:stroke joinstyle="miter"/>
            <v:path gradientshapeok="t" o:connecttype="rect"/>
          </v:shapetype>
          <v:shape style="position:absolute;margin-left:101.801498pt;margin-top:8.848101pt;width:31.2pt;height:51pt;mso-position-horizontal-relative:page;mso-position-vertical-relative:paragraph;z-index:1192"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Las</w:t>
      </w:r>
      <w:r>
        <w:rPr>
          <w:color w:val="231F20"/>
          <w:spacing w:val="-15"/>
          <w:w w:val="105"/>
        </w:rPr>
        <w:t> </w:t>
      </w:r>
      <w:r>
        <w:rPr>
          <w:color w:val="231F20"/>
          <w:w w:val="105"/>
        </w:rPr>
        <w:t>migraciones</w:t>
      </w:r>
      <w:r>
        <w:rPr>
          <w:color w:val="231F20"/>
          <w:spacing w:val="-15"/>
          <w:w w:val="105"/>
        </w:rPr>
        <w:t> </w:t>
      </w:r>
      <w:r>
        <w:rPr>
          <w:color w:val="231F20"/>
          <w:w w:val="105"/>
        </w:rPr>
        <w:t>son</w:t>
      </w:r>
      <w:r>
        <w:rPr>
          <w:color w:val="231F20"/>
          <w:spacing w:val="-15"/>
          <w:w w:val="105"/>
        </w:rPr>
        <w:t> </w:t>
      </w:r>
      <w:r>
        <w:rPr>
          <w:color w:val="231F20"/>
          <w:w w:val="105"/>
        </w:rPr>
        <w:t>determinadas</w:t>
      </w:r>
      <w:r>
        <w:rPr>
          <w:color w:val="231F20"/>
          <w:spacing w:val="-15"/>
          <w:w w:val="105"/>
        </w:rPr>
        <w:t> </w:t>
      </w:r>
      <w:r>
        <w:rPr>
          <w:color w:val="231F20"/>
          <w:w w:val="105"/>
        </w:rPr>
        <w:t>por</w:t>
      </w:r>
      <w:r>
        <w:rPr>
          <w:color w:val="231F20"/>
          <w:spacing w:val="-15"/>
          <w:w w:val="105"/>
        </w:rPr>
        <w:t> </w:t>
      </w:r>
      <w:r>
        <w:rPr>
          <w:color w:val="231F20"/>
          <w:w w:val="105"/>
        </w:rPr>
        <w:t>procesos</w:t>
      </w:r>
      <w:r>
        <w:rPr>
          <w:color w:val="231F20"/>
          <w:spacing w:val="-15"/>
          <w:w w:val="105"/>
        </w:rPr>
        <w:t> </w:t>
      </w:r>
      <w:r>
        <w:rPr>
          <w:color w:val="231F20"/>
          <w:w w:val="105"/>
        </w:rPr>
        <w:t>socioeconó- micos</w:t>
      </w:r>
      <w:r>
        <w:rPr>
          <w:color w:val="231F20"/>
          <w:spacing w:val="-11"/>
          <w:w w:val="105"/>
        </w:rPr>
        <w:t> </w:t>
      </w:r>
      <w:r>
        <w:rPr>
          <w:color w:val="231F20"/>
          <w:w w:val="105"/>
        </w:rPr>
        <w:t>históricos,</w:t>
      </w:r>
      <w:r>
        <w:rPr>
          <w:color w:val="231F20"/>
          <w:spacing w:val="-16"/>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intervención</w:t>
      </w:r>
      <w:r>
        <w:rPr>
          <w:color w:val="231F20"/>
          <w:spacing w:val="-11"/>
          <w:w w:val="105"/>
        </w:rPr>
        <w:t> </w:t>
      </w:r>
      <w:r>
        <w:rPr>
          <w:color w:val="231F20"/>
          <w:w w:val="105"/>
        </w:rPr>
        <w:t>de</w:t>
      </w:r>
      <w:r>
        <w:rPr>
          <w:color w:val="231F20"/>
          <w:spacing w:val="-11"/>
          <w:w w:val="105"/>
        </w:rPr>
        <w:t> </w:t>
      </w:r>
      <w:r>
        <w:rPr>
          <w:color w:val="231F20"/>
          <w:w w:val="105"/>
        </w:rPr>
        <w:t>actores</w:t>
      </w:r>
      <w:r>
        <w:rPr>
          <w:color w:val="231F20"/>
          <w:spacing w:val="-11"/>
          <w:w w:val="105"/>
        </w:rPr>
        <w:t> </w:t>
      </w:r>
      <w:r>
        <w:rPr>
          <w:color w:val="231F20"/>
          <w:w w:val="105"/>
        </w:rPr>
        <w:t>diversos</w:t>
      </w:r>
      <w:r>
        <w:rPr>
          <w:color w:val="231F20"/>
          <w:spacing w:val="-11"/>
          <w:w w:val="105"/>
        </w:rPr>
        <w:t> </w:t>
      </w:r>
      <w:r>
        <w:rPr>
          <w:color w:val="231F20"/>
          <w:w w:val="105"/>
        </w:rPr>
        <w:t>den- tro</w:t>
      </w:r>
      <w:r>
        <w:rPr>
          <w:color w:val="231F20"/>
          <w:spacing w:val="-7"/>
          <w:w w:val="105"/>
        </w:rPr>
        <w:t> </w:t>
      </w:r>
      <w:r>
        <w:rPr>
          <w:color w:val="231F20"/>
          <w:w w:val="105"/>
        </w:rPr>
        <w:t>del</w:t>
      </w:r>
      <w:r>
        <w:rPr>
          <w:color w:val="231F20"/>
          <w:spacing w:val="-7"/>
          <w:w w:val="105"/>
        </w:rPr>
        <w:t> </w:t>
      </w:r>
      <w:r>
        <w:rPr>
          <w:color w:val="231F20"/>
          <w:w w:val="105"/>
        </w:rPr>
        <w:t>contexto</w:t>
      </w:r>
      <w:r>
        <w:rPr>
          <w:color w:val="231F20"/>
          <w:spacing w:val="-7"/>
          <w:w w:val="105"/>
        </w:rPr>
        <w:t> </w:t>
      </w:r>
      <w:r>
        <w:rPr>
          <w:color w:val="231F20"/>
          <w:w w:val="105"/>
        </w:rPr>
        <w:t>capitalista.</w:t>
      </w:r>
      <w:r>
        <w:rPr>
          <w:color w:val="231F20"/>
          <w:spacing w:val="-13"/>
          <w:w w:val="105"/>
        </w:rPr>
        <w:t> </w:t>
      </w:r>
      <w:r>
        <w:rPr>
          <w:color w:val="231F20"/>
          <w:w w:val="105"/>
        </w:rPr>
        <w:t>Si</w:t>
      </w:r>
      <w:r>
        <w:rPr>
          <w:color w:val="231F20"/>
          <w:spacing w:val="-7"/>
          <w:w w:val="105"/>
        </w:rPr>
        <w:t> </w:t>
      </w:r>
      <w:r>
        <w:rPr>
          <w:color w:val="231F20"/>
          <w:w w:val="105"/>
        </w:rPr>
        <w:t>bien,</w:t>
      </w:r>
      <w:r>
        <w:rPr>
          <w:color w:val="231F20"/>
          <w:spacing w:val="-13"/>
          <w:w w:val="105"/>
        </w:rPr>
        <w:t> </w:t>
      </w:r>
      <w:r>
        <w:rPr>
          <w:color w:val="231F20"/>
          <w:w w:val="105"/>
        </w:rPr>
        <w:t>los</w:t>
      </w:r>
      <w:r>
        <w:rPr>
          <w:color w:val="231F20"/>
          <w:spacing w:val="-7"/>
          <w:w w:val="105"/>
        </w:rPr>
        <w:t> </w:t>
      </w:r>
      <w:r>
        <w:rPr>
          <w:color w:val="231F20"/>
          <w:w w:val="105"/>
        </w:rPr>
        <w:t>sujetos</w:t>
      </w:r>
      <w:r>
        <w:rPr>
          <w:color w:val="231F20"/>
          <w:spacing w:val="-7"/>
          <w:w w:val="105"/>
        </w:rPr>
        <w:t> </w:t>
      </w:r>
      <w:r>
        <w:rPr>
          <w:color w:val="231F20"/>
          <w:w w:val="105"/>
        </w:rPr>
        <w:t>pueden</w:t>
      </w:r>
      <w:r>
        <w:rPr>
          <w:color w:val="231F20"/>
          <w:spacing w:val="-7"/>
          <w:w w:val="105"/>
        </w:rPr>
        <w:t> </w:t>
      </w:r>
      <w:r>
        <w:rPr>
          <w:color w:val="231F20"/>
          <w:w w:val="105"/>
        </w:rPr>
        <w:t>enten- der su migración como una decisión individual o de su grupo familiar, la opción de migrar es producida socialmente:</w:t>
      </w:r>
      <w:r>
        <w:rPr>
          <w:color w:val="231F20"/>
          <w:spacing w:val="41"/>
          <w:w w:val="105"/>
        </w:rPr>
        <w:t> </w:t>
      </w:r>
      <w:r>
        <w:rPr>
          <w:color w:val="231F20"/>
          <w:w w:val="105"/>
        </w:rPr>
        <w:t>cada</w:t>
      </w:r>
    </w:p>
    <w:p>
      <w:pPr>
        <w:pStyle w:val="BodyText"/>
        <w:spacing w:line="261" w:lineRule="auto" w:before="1"/>
        <w:ind w:left="1808" w:right="1683"/>
      </w:pPr>
      <w:r>
        <w:rPr>
          <w:color w:val="231F20"/>
          <w:w w:val="105"/>
        </w:rPr>
        <w:t>flujo</w:t>
      </w:r>
      <w:r>
        <w:rPr>
          <w:color w:val="231F20"/>
          <w:spacing w:val="-14"/>
          <w:w w:val="105"/>
        </w:rPr>
        <w:t> </w:t>
      </w:r>
      <w:r>
        <w:rPr>
          <w:color w:val="231F20"/>
          <w:w w:val="105"/>
        </w:rPr>
        <w:t>migratorio</w:t>
      </w:r>
      <w:r>
        <w:rPr>
          <w:color w:val="231F20"/>
          <w:spacing w:val="-14"/>
          <w:w w:val="105"/>
        </w:rPr>
        <w:t> </w:t>
      </w:r>
      <w:r>
        <w:rPr>
          <w:color w:val="231F20"/>
          <w:w w:val="105"/>
        </w:rPr>
        <w:t>es</w:t>
      </w:r>
      <w:r>
        <w:rPr>
          <w:color w:val="231F20"/>
          <w:spacing w:val="-14"/>
          <w:w w:val="105"/>
        </w:rPr>
        <w:t> </w:t>
      </w:r>
      <w:r>
        <w:rPr>
          <w:color w:val="231F20"/>
          <w:w w:val="105"/>
        </w:rPr>
        <w:t>ocasionado</w:t>
      </w:r>
      <w:r>
        <w:rPr>
          <w:color w:val="231F20"/>
          <w:spacing w:val="-14"/>
          <w:w w:val="105"/>
        </w:rPr>
        <w:t> </w:t>
      </w:r>
      <w:r>
        <w:rPr>
          <w:color w:val="231F20"/>
          <w:w w:val="105"/>
        </w:rPr>
        <w:t>por</w:t>
      </w:r>
      <w:r>
        <w:rPr>
          <w:color w:val="231F20"/>
          <w:spacing w:val="-14"/>
          <w:w w:val="105"/>
        </w:rPr>
        <w:t> </w:t>
      </w:r>
      <w:r>
        <w:rPr>
          <w:color w:val="231F20"/>
          <w:w w:val="105"/>
        </w:rPr>
        <w:t>condiciones</w:t>
      </w:r>
      <w:r>
        <w:rPr>
          <w:color w:val="231F20"/>
          <w:spacing w:val="-14"/>
          <w:w w:val="105"/>
        </w:rPr>
        <w:t> </w:t>
      </w:r>
      <w:r>
        <w:rPr>
          <w:color w:val="231F20"/>
          <w:w w:val="105"/>
        </w:rPr>
        <w:t>específicas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tiempo</w:t>
      </w:r>
      <w:r>
        <w:rPr>
          <w:color w:val="231F20"/>
          <w:spacing w:val="-14"/>
          <w:w w:val="105"/>
        </w:rPr>
        <w:t> </w:t>
      </w:r>
      <w:r>
        <w:rPr>
          <w:color w:val="231F20"/>
          <w:w w:val="105"/>
        </w:rPr>
        <w:t>y el</w:t>
      </w:r>
      <w:r>
        <w:rPr>
          <w:color w:val="231F20"/>
          <w:spacing w:val="-33"/>
          <w:w w:val="105"/>
        </w:rPr>
        <w:t> </w:t>
      </w:r>
      <w:r>
        <w:rPr>
          <w:color w:val="231F20"/>
          <w:w w:val="105"/>
        </w:rPr>
        <w:t>espacio.</w:t>
      </w:r>
    </w:p>
    <w:p>
      <w:pPr>
        <w:pStyle w:val="BodyText"/>
        <w:spacing w:line="261" w:lineRule="auto" w:before="1"/>
        <w:ind w:left="1808" w:right="1688" w:firstLine="567"/>
        <w:jc w:val="both"/>
      </w:pPr>
      <w:r>
        <w:rPr>
          <w:color w:val="231F20"/>
          <w:w w:val="105"/>
        </w:rPr>
        <w:t>Asimismo, son resultado de diversos factores. La mayoría de las personas desarrollan su experiencia como migrantes en busca de</w:t>
      </w:r>
      <w:r>
        <w:rPr>
          <w:color w:val="231F20"/>
          <w:spacing w:val="-24"/>
          <w:w w:val="105"/>
        </w:rPr>
        <w:t> </w:t>
      </w:r>
      <w:r>
        <w:rPr>
          <w:color w:val="231F20"/>
          <w:w w:val="105"/>
        </w:rPr>
        <w:t>opor- tunidades más favorables: mejorar sus condiciones materiales de vida, desarrollarse</w:t>
      </w:r>
      <w:r>
        <w:rPr>
          <w:color w:val="231F20"/>
          <w:spacing w:val="-6"/>
          <w:w w:val="105"/>
        </w:rPr>
        <w:t> </w:t>
      </w:r>
      <w:r>
        <w:rPr>
          <w:color w:val="231F20"/>
          <w:w w:val="105"/>
        </w:rPr>
        <w:t>profesionalmente,</w:t>
      </w:r>
      <w:r>
        <w:rPr>
          <w:color w:val="231F20"/>
          <w:spacing w:val="-11"/>
          <w:w w:val="105"/>
        </w:rPr>
        <w:t> </w:t>
      </w:r>
      <w:r>
        <w:rPr>
          <w:color w:val="231F20"/>
          <w:w w:val="105"/>
        </w:rPr>
        <w:t>reunirse</w:t>
      </w:r>
      <w:r>
        <w:rPr>
          <w:color w:val="231F20"/>
          <w:spacing w:val="-6"/>
          <w:w w:val="105"/>
        </w:rPr>
        <w:t> </w:t>
      </w:r>
      <w:r>
        <w:rPr>
          <w:color w:val="231F20"/>
          <w:w w:val="105"/>
        </w:rPr>
        <w:t>con</w:t>
      </w:r>
      <w:r>
        <w:rPr>
          <w:color w:val="231F20"/>
          <w:spacing w:val="-6"/>
          <w:w w:val="105"/>
        </w:rPr>
        <w:t> </w:t>
      </w:r>
      <w:r>
        <w:rPr>
          <w:color w:val="231F20"/>
          <w:w w:val="105"/>
        </w:rPr>
        <w:t>sus</w:t>
      </w:r>
      <w:r>
        <w:rPr>
          <w:color w:val="231F20"/>
          <w:spacing w:val="-6"/>
          <w:w w:val="105"/>
        </w:rPr>
        <w:t> </w:t>
      </w:r>
      <w:r>
        <w:rPr>
          <w:color w:val="231F20"/>
          <w:w w:val="105"/>
        </w:rPr>
        <w:t>familiares</w:t>
      </w:r>
      <w:r>
        <w:rPr>
          <w:color w:val="231F20"/>
          <w:spacing w:val="-6"/>
          <w:w w:val="105"/>
        </w:rPr>
        <w:t> </w:t>
      </w:r>
      <w:r>
        <w:rPr>
          <w:color w:val="231F20"/>
          <w:w w:val="105"/>
        </w:rPr>
        <w:t>o</w:t>
      </w:r>
      <w:r>
        <w:rPr>
          <w:color w:val="231F20"/>
          <w:spacing w:val="-6"/>
          <w:w w:val="105"/>
        </w:rPr>
        <w:t> </w:t>
      </w:r>
      <w:r>
        <w:rPr>
          <w:color w:val="231F20"/>
          <w:w w:val="105"/>
        </w:rPr>
        <w:t>amigos</w:t>
      </w:r>
      <w:r>
        <w:rPr>
          <w:color w:val="231F20"/>
          <w:spacing w:val="-6"/>
          <w:w w:val="105"/>
        </w:rPr>
        <w:t> </w:t>
      </w:r>
      <w:r>
        <w:rPr>
          <w:color w:val="231F20"/>
          <w:w w:val="105"/>
        </w:rPr>
        <w:t>en otro</w:t>
      </w:r>
      <w:r>
        <w:rPr>
          <w:color w:val="231F20"/>
          <w:spacing w:val="-15"/>
          <w:w w:val="105"/>
        </w:rPr>
        <w:t> </w:t>
      </w:r>
      <w:r>
        <w:rPr>
          <w:color w:val="231F20"/>
          <w:w w:val="105"/>
        </w:rPr>
        <w:t>país</w:t>
      </w:r>
      <w:r>
        <w:rPr>
          <w:color w:val="231F20"/>
          <w:spacing w:val="-15"/>
          <w:w w:val="105"/>
        </w:rPr>
        <w:t> </w:t>
      </w:r>
      <w:r>
        <w:rPr>
          <w:color w:val="231F20"/>
          <w:w w:val="105"/>
        </w:rPr>
        <w:t>e</w:t>
      </w:r>
      <w:r>
        <w:rPr>
          <w:color w:val="231F20"/>
          <w:spacing w:val="-15"/>
          <w:w w:val="105"/>
        </w:rPr>
        <w:t> </w:t>
      </w:r>
      <w:r>
        <w:rPr>
          <w:color w:val="231F20"/>
          <w:w w:val="105"/>
        </w:rPr>
        <w:t>incluso</w:t>
      </w:r>
      <w:r>
        <w:rPr>
          <w:color w:val="231F20"/>
          <w:spacing w:val="-15"/>
          <w:w w:val="105"/>
        </w:rPr>
        <w:t> </w:t>
      </w:r>
      <w:r>
        <w:rPr>
          <w:color w:val="231F20"/>
          <w:w w:val="105"/>
        </w:rPr>
        <w:t>buscando</w:t>
      </w:r>
      <w:r>
        <w:rPr>
          <w:color w:val="231F20"/>
          <w:spacing w:val="-15"/>
          <w:w w:val="105"/>
        </w:rPr>
        <w:t> </w:t>
      </w:r>
      <w:r>
        <w:rPr>
          <w:color w:val="231F20"/>
          <w:w w:val="105"/>
        </w:rPr>
        <w:t>poner</w:t>
      </w:r>
      <w:r>
        <w:rPr>
          <w:color w:val="231F20"/>
          <w:spacing w:val="-15"/>
          <w:w w:val="105"/>
        </w:rPr>
        <w:t> </w:t>
      </w:r>
      <w:r>
        <w:rPr>
          <w:color w:val="231F20"/>
          <w:w w:val="105"/>
        </w:rPr>
        <w:t>a</w:t>
      </w:r>
      <w:r>
        <w:rPr>
          <w:color w:val="231F20"/>
          <w:spacing w:val="-15"/>
          <w:w w:val="105"/>
        </w:rPr>
        <w:t> </w:t>
      </w:r>
      <w:r>
        <w:rPr>
          <w:color w:val="231F20"/>
          <w:w w:val="105"/>
        </w:rPr>
        <w:t>salvo</w:t>
      </w:r>
      <w:r>
        <w:rPr>
          <w:color w:val="231F20"/>
          <w:spacing w:val="-15"/>
          <w:w w:val="105"/>
        </w:rPr>
        <w:t> </w:t>
      </w:r>
      <w:r>
        <w:rPr>
          <w:color w:val="231F20"/>
          <w:w w:val="105"/>
        </w:rPr>
        <w:t>su</w:t>
      </w:r>
      <w:r>
        <w:rPr>
          <w:color w:val="231F20"/>
          <w:spacing w:val="-15"/>
          <w:w w:val="105"/>
        </w:rPr>
        <w:t> </w:t>
      </w:r>
      <w:r>
        <w:rPr>
          <w:color w:val="231F20"/>
          <w:w w:val="105"/>
        </w:rPr>
        <w:t>integridad</w:t>
      </w:r>
      <w:r>
        <w:rPr>
          <w:color w:val="231F20"/>
          <w:spacing w:val="-15"/>
          <w:w w:val="105"/>
        </w:rPr>
        <w:t> </w:t>
      </w:r>
      <w:r>
        <w:rPr>
          <w:color w:val="231F20"/>
          <w:w w:val="105"/>
        </w:rPr>
        <w:t>física,</w:t>
      </w:r>
      <w:r>
        <w:rPr>
          <w:color w:val="231F20"/>
          <w:spacing w:val="-20"/>
          <w:w w:val="105"/>
        </w:rPr>
        <w:t> </w:t>
      </w:r>
      <w:r>
        <w:rPr>
          <w:color w:val="231F20"/>
          <w:w w:val="105"/>
        </w:rPr>
        <w:t>es</w:t>
      </w:r>
      <w:r>
        <w:rPr>
          <w:color w:val="231F20"/>
          <w:spacing w:val="-15"/>
          <w:w w:val="105"/>
        </w:rPr>
        <w:t> </w:t>
      </w:r>
      <w:r>
        <w:rPr>
          <w:color w:val="231F20"/>
          <w:w w:val="105"/>
        </w:rPr>
        <w:t>el</w:t>
      </w:r>
      <w:r>
        <w:rPr>
          <w:color w:val="231F20"/>
          <w:spacing w:val="-15"/>
          <w:w w:val="105"/>
        </w:rPr>
        <w:t> </w:t>
      </w:r>
      <w:r>
        <w:rPr>
          <w:color w:val="231F20"/>
          <w:w w:val="105"/>
        </w:rPr>
        <w:t>caso de</w:t>
      </w:r>
      <w:r>
        <w:rPr>
          <w:color w:val="231F20"/>
          <w:spacing w:val="-9"/>
          <w:w w:val="105"/>
        </w:rPr>
        <w:t> </w:t>
      </w:r>
      <w:r>
        <w:rPr>
          <w:color w:val="231F20"/>
          <w:w w:val="105"/>
        </w:rPr>
        <w:t>los</w:t>
      </w:r>
      <w:r>
        <w:rPr>
          <w:color w:val="231F20"/>
          <w:spacing w:val="-9"/>
          <w:w w:val="105"/>
        </w:rPr>
        <w:t> </w:t>
      </w:r>
      <w:r>
        <w:rPr>
          <w:color w:val="231F20"/>
          <w:w w:val="105"/>
        </w:rPr>
        <w:t>refugiados</w:t>
      </w:r>
      <w:r>
        <w:rPr>
          <w:color w:val="231F20"/>
          <w:spacing w:val="-9"/>
          <w:w w:val="105"/>
        </w:rPr>
        <w:t> </w:t>
      </w:r>
      <w:r>
        <w:rPr>
          <w:color w:val="231F20"/>
          <w:w w:val="105"/>
        </w:rPr>
        <w:t>que</w:t>
      </w:r>
      <w:r>
        <w:rPr>
          <w:color w:val="231F20"/>
          <w:spacing w:val="-9"/>
          <w:w w:val="105"/>
        </w:rPr>
        <w:t> </w:t>
      </w:r>
      <w:r>
        <w:rPr>
          <w:color w:val="231F20"/>
          <w:w w:val="105"/>
        </w:rPr>
        <w:t>huyen</w:t>
      </w:r>
      <w:r>
        <w:rPr>
          <w:color w:val="231F20"/>
          <w:spacing w:val="-9"/>
          <w:w w:val="105"/>
        </w:rPr>
        <w:t> </w:t>
      </w:r>
      <w:r>
        <w:rPr>
          <w:color w:val="231F20"/>
          <w:w w:val="105"/>
        </w:rPr>
        <w:t>del</w:t>
      </w:r>
      <w:r>
        <w:rPr>
          <w:color w:val="231F20"/>
          <w:spacing w:val="-9"/>
          <w:w w:val="105"/>
        </w:rPr>
        <w:t> </w:t>
      </w:r>
      <w:r>
        <w:rPr>
          <w:color w:val="231F20"/>
          <w:w w:val="105"/>
        </w:rPr>
        <w:t>acoso,</w:t>
      </w:r>
      <w:r>
        <w:rPr>
          <w:color w:val="231F20"/>
          <w:spacing w:val="-14"/>
          <w:w w:val="105"/>
        </w:rPr>
        <w:t> </w:t>
      </w:r>
      <w:r>
        <w:rPr>
          <w:color w:val="231F20"/>
          <w:w w:val="105"/>
        </w:rPr>
        <w:t>los</w:t>
      </w:r>
      <w:r>
        <w:rPr>
          <w:color w:val="231F20"/>
          <w:spacing w:val="-9"/>
          <w:w w:val="105"/>
        </w:rPr>
        <w:t> </w:t>
      </w:r>
      <w:r>
        <w:rPr>
          <w:color w:val="231F20"/>
          <w:w w:val="105"/>
        </w:rPr>
        <w:t>damnificados</w:t>
      </w:r>
      <w:r>
        <w:rPr>
          <w:color w:val="231F20"/>
          <w:spacing w:val="-9"/>
          <w:w w:val="105"/>
        </w:rPr>
        <w:t> </w:t>
      </w:r>
      <w:r>
        <w:rPr>
          <w:color w:val="231F20"/>
          <w:w w:val="105"/>
        </w:rPr>
        <w:t>por</w:t>
      </w:r>
      <w:r>
        <w:rPr>
          <w:color w:val="231F20"/>
          <w:spacing w:val="-9"/>
          <w:w w:val="105"/>
        </w:rPr>
        <w:t> </w:t>
      </w:r>
      <w:r>
        <w:rPr>
          <w:color w:val="231F20"/>
          <w:w w:val="105"/>
        </w:rPr>
        <w:t>fenómenos naturales</w:t>
      </w:r>
      <w:r>
        <w:rPr>
          <w:color w:val="231F20"/>
          <w:spacing w:val="-35"/>
          <w:w w:val="105"/>
        </w:rPr>
        <w:t> </w:t>
      </w:r>
      <w:r>
        <w:rPr>
          <w:color w:val="231F20"/>
          <w:w w:val="105"/>
        </w:rPr>
        <w:t>o</w:t>
      </w:r>
      <w:r>
        <w:rPr>
          <w:color w:val="231F20"/>
          <w:spacing w:val="-35"/>
          <w:w w:val="105"/>
        </w:rPr>
        <w:t> </w:t>
      </w:r>
      <w:r>
        <w:rPr>
          <w:color w:val="231F20"/>
          <w:w w:val="105"/>
        </w:rPr>
        <w:t>las</w:t>
      </w:r>
      <w:r>
        <w:rPr>
          <w:color w:val="231F20"/>
          <w:spacing w:val="-35"/>
          <w:w w:val="105"/>
        </w:rPr>
        <w:t> </w:t>
      </w:r>
      <w:r>
        <w:rPr>
          <w:color w:val="231F20"/>
          <w:w w:val="105"/>
        </w:rPr>
        <w:t>víctimas</w:t>
      </w:r>
      <w:r>
        <w:rPr>
          <w:color w:val="231F20"/>
          <w:spacing w:val="-35"/>
          <w:w w:val="105"/>
        </w:rPr>
        <w:t> </w:t>
      </w:r>
      <w:r>
        <w:rPr>
          <w:color w:val="231F20"/>
          <w:w w:val="105"/>
        </w:rPr>
        <w:t>de</w:t>
      </w:r>
      <w:r>
        <w:rPr>
          <w:color w:val="231F20"/>
          <w:spacing w:val="-35"/>
          <w:w w:val="105"/>
        </w:rPr>
        <w:t> </w:t>
      </w:r>
      <w:r>
        <w:rPr>
          <w:color w:val="231F20"/>
          <w:w w:val="105"/>
        </w:rPr>
        <w:t>trata.</w:t>
      </w:r>
      <w:r>
        <w:rPr>
          <w:color w:val="231F20"/>
          <w:spacing w:val="-38"/>
          <w:w w:val="105"/>
        </w:rPr>
        <w:t> </w:t>
      </w:r>
      <w:r>
        <w:rPr>
          <w:color w:val="231F20"/>
          <w:w w:val="105"/>
        </w:rPr>
        <w:t>En</w:t>
      </w:r>
      <w:r>
        <w:rPr>
          <w:color w:val="231F20"/>
          <w:spacing w:val="-35"/>
          <w:w w:val="105"/>
        </w:rPr>
        <w:t> </w:t>
      </w:r>
      <w:r>
        <w:rPr>
          <w:color w:val="231F20"/>
          <w:w w:val="105"/>
        </w:rPr>
        <w:t>estos</w:t>
      </w:r>
      <w:r>
        <w:rPr>
          <w:color w:val="231F20"/>
          <w:spacing w:val="-35"/>
          <w:w w:val="105"/>
        </w:rPr>
        <w:t> </w:t>
      </w:r>
      <w:r>
        <w:rPr>
          <w:color w:val="231F20"/>
          <w:w w:val="105"/>
        </w:rPr>
        <w:t>últimos</w:t>
      </w:r>
      <w:r>
        <w:rPr>
          <w:color w:val="231F20"/>
          <w:spacing w:val="-35"/>
          <w:w w:val="105"/>
        </w:rPr>
        <w:t> </w:t>
      </w:r>
      <w:r>
        <w:rPr>
          <w:color w:val="231F20"/>
          <w:w w:val="105"/>
        </w:rPr>
        <w:t>casos,</w:t>
      </w:r>
      <w:r>
        <w:rPr>
          <w:color w:val="231F20"/>
          <w:spacing w:val="-38"/>
          <w:w w:val="105"/>
        </w:rPr>
        <w:t> </w:t>
      </w:r>
      <w:r>
        <w:rPr>
          <w:color w:val="231F20"/>
          <w:w w:val="105"/>
        </w:rPr>
        <w:t>las</w:t>
      </w:r>
      <w:r>
        <w:rPr>
          <w:color w:val="231F20"/>
          <w:spacing w:val="-35"/>
          <w:w w:val="105"/>
        </w:rPr>
        <w:t> </w:t>
      </w:r>
      <w:r>
        <w:rPr>
          <w:color w:val="231F20"/>
          <w:w w:val="105"/>
        </w:rPr>
        <w:t>personas</w:t>
      </w:r>
      <w:r>
        <w:rPr>
          <w:color w:val="231F20"/>
          <w:spacing w:val="-35"/>
          <w:w w:val="105"/>
        </w:rPr>
        <w:t> </w:t>
      </w:r>
      <w:r>
        <w:rPr>
          <w:color w:val="231F20"/>
          <w:w w:val="105"/>
        </w:rPr>
        <w:t>no</w:t>
      </w:r>
      <w:r>
        <w:rPr>
          <w:color w:val="231F20"/>
          <w:spacing w:val="-35"/>
          <w:w w:val="105"/>
        </w:rPr>
        <w:t> </w:t>
      </w:r>
      <w:r>
        <w:rPr>
          <w:color w:val="231F20"/>
          <w:w w:val="105"/>
        </w:rPr>
        <w:t>se desplazan por voluntad propia, en realidad se ven obligadas a dejar</w:t>
      </w:r>
      <w:r>
        <w:rPr>
          <w:color w:val="231F20"/>
          <w:spacing w:val="-40"/>
          <w:w w:val="105"/>
        </w:rPr>
        <w:t> </w:t>
      </w:r>
      <w:r>
        <w:rPr>
          <w:color w:val="231F20"/>
          <w:w w:val="105"/>
        </w:rPr>
        <w:t>sus hogares</w:t>
      </w:r>
      <w:r>
        <w:rPr>
          <w:color w:val="231F20"/>
          <w:spacing w:val="-21"/>
          <w:w w:val="105"/>
        </w:rPr>
        <w:t> </w:t>
      </w:r>
      <w:r>
        <w:rPr>
          <w:color w:val="231F20"/>
          <w:w w:val="105"/>
        </w:rPr>
        <w:t>y</w:t>
      </w:r>
      <w:r>
        <w:rPr>
          <w:color w:val="231F20"/>
          <w:spacing w:val="-21"/>
          <w:w w:val="105"/>
        </w:rPr>
        <w:t> </w:t>
      </w:r>
      <w:r>
        <w:rPr>
          <w:color w:val="231F20"/>
          <w:w w:val="105"/>
        </w:rPr>
        <w:t>lugares</w:t>
      </w:r>
      <w:r>
        <w:rPr>
          <w:color w:val="231F20"/>
          <w:spacing w:val="-21"/>
          <w:w w:val="105"/>
        </w:rPr>
        <w:t> </w:t>
      </w:r>
      <w:r>
        <w:rPr>
          <w:color w:val="231F20"/>
          <w:w w:val="105"/>
        </w:rPr>
        <w:t>de</w:t>
      </w:r>
      <w:r>
        <w:rPr>
          <w:color w:val="231F20"/>
          <w:spacing w:val="-21"/>
          <w:w w:val="105"/>
        </w:rPr>
        <w:t> </w:t>
      </w:r>
      <w:r>
        <w:rPr>
          <w:color w:val="231F20"/>
          <w:w w:val="105"/>
        </w:rPr>
        <w:t>residencia.</w:t>
      </w:r>
      <w:r>
        <w:rPr>
          <w:color w:val="231F20"/>
          <w:spacing w:val="-27"/>
          <w:w w:val="105"/>
        </w:rPr>
        <w:t> </w:t>
      </w:r>
      <w:r>
        <w:rPr>
          <w:color w:val="231F20"/>
          <w:w w:val="105"/>
        </w:rPr>
        <w:t>En</w:t>
      </w:r>
      <w:r>
        <w:rPr>
          <w:color w:val="231F20"/>
          <w:spacing w:val="-21"/>
          <w:w w:val="105"/>
        </w:rPr>
        <w:t> </w:t>
      </w:r>
      <w:r>
        <w:rPr>
          <w:color w:val="231F20"/>
          <w:w w:val="105"/>
        </w:rPr>
        <w:t>tanto</w:t>
      </w:r>
      <w:r>
        <w:rPr>
          <w:color w:val="231F20"/>
          <w:spacing w:val="-21"/>
          <w:w w:val="105"/>
        </w:rPr>
        <w:t> </w:t>
      </w:r>
      <w:r>
        <w:rPr>
          <w:color w:val="231F20"/>
          <w:w w:val="105"/>
        </w:rPr>
        <w:t>quienes</w:t>
      </w:r>
      <w:r>
        <w:rPr>
          <w:color w:val="231F20"/>
          <w:spacing w:val="-21"/>
          <w:w w:val="105"/>
        </w:rPr>
        <w:t> </w:t>
      </w:r>
      <w:r>
        <w:rPr>
          <w:color w:val="231F20"/>
          <w:w w:val="105"/>
        </w:rPr>
        <w:t>deciden</w:t>
      </w:r>
      <w:r>
        <w:rPr>
          <w:color w:val="231F20"/>
          <w:spacing w:val="-21"/>
          <w:w w:val="105"/>
        </w:rPr>
        <w:t> </w:t>
      </w:r>
      <w:r>
        <w:rPr>
          <w:color w:val="231F20"/>
          <w:w w:val="105"/>
        </w:rPr>
        <w:t>emigrar,</w:t>
      </w:r>
      <w:r>
        <w:rPr>
          <w:color w:val="231F20"/>
          <w:spacing w:val="-27"/>
          <w:w w:val="105"/>
        </w:rPr>
        <w:t> </w:t>
      </w:r>
      <w:r>
        <w:rPr>
          <w:color w:val="231F20"/>
          <w:w w:val="105"/>
        </w:rPr>
        <w:t>como decíamos</w:t>
      </w:r>
      <w:r>
        <w:rPr>
          <w:color w:val="231F20"/>
          <w:spacing w:val="-16"/>
          <w:w w:val="105"/>
        </w:rPr>
        <w:t> </w:t>
      </w:r>
      <w:r>
        <w:rPr>
          <w:color w:val="231F20"/>
          <w:w w:val="105"/>
        </w:rPr>
        <w:t>antes,</w:t>
      </w:r>
      <w:r>
        <w:rPr>
          <w:color w:val="231F20"/>
          <w:spacing w:val="-20"/>
          <w:w w:val="105"/>
        </w:rPr>
        <w:t> </w:t>
      </w:r>
      <w:r>
        <w:rPr>
          <w:color w:val="231F20"/>
          <w:w w:val="105"/>
        </w:rPr>
        <w:t>siguen</w:t>
      </w:r>
      <w:r>
        <w:rPr>
          <w:color w:val="231F20"/>
          <w:spacing w:val="-16"/>
          <w:w w:val="105"/>
        </w:rPr>
        <w:t> </w:t>
      </w:r>
      <w:r>
        <w:rPr>
          <w:color w:val="231F20"/>
          <w:w w:val="105"/>
        </w:rPr>
        <w:t>motivaciones</w:t>
      </w:r>
      <w:r>
        <w:rPr>
          <w:color w:val="231F20"/>
          <w:spacing w:val="-16"/>
          <w:w w:val="105"/>
        </w:rPr>
        <w:t> </w:t>
      </w:r>
      <w:r>
        <w:rPr>
          <w:color w:val="231F20"/>
          <w:w w:val="105"/>
        </w:rPr>
        <w:t>relacionadas</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expectativa</w:t>
      </w:r>
      <w:r>
        <w:rPr>
          <w:color w:val="231F20"/>
          <w:spacing w:val="-16"/>
          <w:w w:val="105"/>
        </w:rPr>
        <w:t> </w:t>
      </w:r>
      <w:r>
        <w:rPr>
          <w:color w:val="231F20"/>
          <w:w w:val="105"/>
        </w:rPr>
        <w:t>de mejorar</w:t>
      </w:r>
      <w:r>
        <w:rPr>
          <w:color w:val="231F20"/>
          <w:spacing w:val="-15"/>
          <w:w w:val="105"/>
        </w:rPr>
        <w:t> </w:t>
      </w:r>
      <w:r>
        <w:rPr>
          <w:color w:val="231F20"/>
          <w:w w:val="105"/>
        </w:rPr>
        <w:t>algún</w:t>
      </w:r>
      <w:r>
        <w:rPr>
          <w:color w:val="231F20"/>
          <w:spacing w:val="-15"/>
          <w:w w:val="105"/>
        </w:rPr>
        <w:t> </w:t>
      </w:r>
      <w:r>
        <w:rPr>
          <w:color w:val="231F20"/>
          <w:w w:val="105"/>
        </w:rPr>
        <w:t>o</w:t>
      </w:r>
      <w:r>
        <w:rPr>
          <w:color w:val="231F20"/>
          <w:spacing w:val="-15"/>
          <w:w w:val="105"/>
        </w:rPr>
        <w:t> </w:t>
      </w:r>
      <w:r>
        <w:rPr>
          <w:color w:val="231F20"/>
          <w:w w:val="105"/>
        </w:rPr>
        <w:t>algunos</w:t>
      </w:r>
      <w:r>
        <w:rPr>
          <w:color w:val="231F20"/>
          <w:spacing w:val="-15"/>
          <w:w w:val="105"/>
        </w:rPr>
        <w:t> </w:t>
      </w:r>
      <w:r>
        <w:rPr>
          <w:color w:val="231F20"/>
          <w:w w:val="105"/>
        </w:rPr>
        <w:t>aspectos</w:t>
      </w:r>
      <w:r>
        <w:rPr>
          <w:color w:val="231F20"/>
          <w:spacing w:val="-15"/>
          <w:w w:val="105"/>
        </w:rPr>
        <w:t> </w:t>
      </w:r>
      <w:r>
        <w:rPr>
          <w:color w:val="231F20"/>
          <w:w w:val="105"/>
        </w:rPr>
        <w:t>de</w:t>
      </w:r>
      <w:r>
        <w:rPr>
          <w:color w:val="231F20"/>
          <w:spacing w:val="-15"/>
          <w:w w:val="105"/>
        </w:rPr>
        <w:t> </w:t>
      </w:r>
      <w:r>
        <w:rPr>
          <w:color w:val="231F20"/>
          <w:w w:val="105"/>
        </w:rPr>
        <w:t>su</w:t>
      </w:r>
      <w:r>
        <w:rPr>
          <w:color w:val="231F20"/>
          <w:spacing w:val="-15"/>
          <w:w w:val="105"/>
        </w:rPr>
        <w:t> </w:t>
      </w:r>
      <w:r>
        <w:rPr>
          <w:color w:val="231F20"/>
          <w:w w:val="105"/>
        </w:rPr>
        <w:t>vida.</w:t>
      </w:r>
    </w:p>
    <w:p>
      <w:pPr>
        <w:pStyle w:val="BodyText"/>
        <w:spacing w:line="261" w:lineRule="auto" w:before="1"/>
        <w:ind w:left="1808" w:right="1695" w:firstLine="567"/>
        <w:jc w:val="both"/>
      </w:pPr>
      <w:r>
        <w:rPr>
          <w:color w:val="231F20"/>
          <w:w w:val="105"/>
        </w:rPr>
        <w:t>Más</w:t>
      </w:r>
      <w:r>
        <w:rPr>
          <w:color w:val="231F20"/>
          <w:spacing w:val="-25"/>
          <w:w w:val="105"/>
        </w:rPr>
        <w:t> </w:t>
      </w:r>
      <w:r>
        <w:rPr>
          <w:color w:val="231F20"/>
          <w:spacing w:val="-3"/>
          <w:w w:val="105"/>
        </w:rPr>
        <w:t>allá</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3"/>
          <w:w w:val="105"/>
        </w:rPr>
        <w:t>motivación,</w:t>
      </w:r>
      <w:r>
        <w:rPr>
          <w:color w:val="231F20"/>
          <w:spacing w:val="-30"/>
          <w:w w:val="105"/>
        </w:rPr>
        <w:t> </w:t>
      </w:r>
      <w:r>
        <w:rPr>
          <w:color w:val="231F20"/>
          <w:w w:val="105"/>
        </w:rPr>
        <w:t>las</w:t>
      </w:r>
      <w:r>
        <w:rPr>
          <w:color w:val="231F20"/>
          <w:spacing w:val="-25"/>
          <w:w w:val="105"/>
        </w:rPr>
        <w:t> </w:t>
      </w:r>
      <w:r>
        <w:rPr>
          <w:color w:val="231F20"/>
          <w:spacing w:val="-3"/>
          <w:w w:val="105"/>
        </w:rPr>
        <w:t>migraciones</w:t>
      </w:r>
      <w:r>
        <w:rPr>
          <w:color w:val="231F20"/>
          <w:spacing w:val="-25"/>
          <w:w w:val="105"/>
        </w:rPr>
        <w:t> </w:t>
      </w:r>
      <w:r>
        <w:rPr>
          <w:color w:val="231F20"/>
          <w:spacing w:val="-3"/>
          <w:w w:val="105"/>
        </w:rPr>
        <w:t>internacionales</w:t>
      </w:r>
      <w:r>
        <w:rPr>
          <w:color w:val="231F20"/>
          <w:spacing w:val="-25"/>
          <w:w w:val="105"/>
        </w:rPr>
        <w:t> </w:t>
      </w:r>
      <w:r>
        <w:rPr>
          <w:color w:val="231F20"/>
          <w:spacing w:val="-4"/>
          <w:w w:val="105"/>
        </w:rPr>
        <w:t>involucran </w:t>
      </w:r>
      <w:r>
        <w:rPr>
          <w:color w:val="231F20"/>
          <w:spacing w:val="-3"/>
          <w:w w:val="105"/>
        </w:rPr>
        <w:t>complejas</w:t>
      </w:r>
      <w:r>
        <w:rPr>
          <w:color w:val="231F20"/>
          <w:spacing w:val="-43"/>
          <w:w w:val="105"/>
        </w:rPr>
        <w:t> </w:t>
      </w:r>
      <w:r>
        <w:rPr>
          <w:color w:val="231F20"/>
          <w:spacing w:val="-3"/>
          <w:w w:val="105"/>
        </w:rPr>
        <w:t>relaciones</w:t>
      </w:r>
      <w:r>
        <w:rPr>
          <w:color w:val="231F20"/>
          <w:spacing w:val="-43"/>
          <w:w w:val="105"/>
        </w:rPr>
        <w:t> </w:t>
      </w:r>
      <w:r>
        <w:rPr>
          <w:color w:val="231F20"/>
          <w:spacing w:val="-3"/>
          <w:w w:val="105"/>
        </w:rPr>
        <w:t>sociales,</w:t>
      </w:r>
      <w:r>
        <w:rPr>
          <w:color w:val="231F20"/>
          <w:spacing w:val="-46"/>
          <w:w w:val="105"/>
        </w:rPr>
        <w:t> </w:t>
      </w:r>
      <w:r>
        <w:rPr>
          <w:color w:val="231F20"/>
          <w:w w:val="105"/>
        </w:rPr>
        <w:t>ya</w:t>
      </w:r>
      <w:r>
        <w:rPr>
          <w:color w:val="231F20"/>
          <w:spacing w:val="-43"/>
          <w:w w:val="105"/>
        </w:rPr>
        <w:t> </w:t>
      </w:r>
      <w:r>
        <w:rPr>
          <w:color w:val="231F20"/>
          <w:w w:val="105"/>
        </w:rPr>
        <w:t>que</w:t>
      </w:r>
      <w:r>
        <w:rPr>
          <w:color w:val="231F20"/>
          <w:spacing w:val="-43"/>
          <w:w w:val="105"/>
        </w:rPr>
        <w:t> </w:t>
      </w:r>
      <w:r>
        <w:rPr>
          <w:color w:val="231F20"/>
          <w:w w:val="105"/>
        </w:rPr>
        <w:t>al</w:t>
      </w:r>
      <w:r>
        <w:rPr>
          <w:color w:val="231F20"/>
          <w:spacing w:val="-43"/>
          <w:w w:val="105"/>
        </w:rPr>
        <w:t> </w:t>
      </w:r>
      <w:r>
        <w:rPr>
          <w:color w:val="231F20"/>
          <w:spacing w:val="-3"/>
          <w:w w:val="105"/>
        </w:rPr>
        <w:t>desplazarse</w:t>
      </w:r>
      <w:r>
        <w:rPr>
          <w:color w:val="231F20"/>
          <w:spacing w:val="-43"/>
          <w:w w:val="105"/>
        </w:rPr>
        <w:t> </w:t>
      </w:r>
      <w:r>
        <w:rPr>
          <w:color w:val="231F20"/>
          <w:w w:val="105"/>
        </w:rPr>
        <w:t>las</w:t>
      </w:r>
      <w:r>
        <w:rPr>
          <w:color w:val="231F20"/>
          <w:spacing w:val="-43"/>
          <w:w w:val="105"/>
        </w:rPr>
        <w:t> </w:t>
      </w:r>
      <w:r>
        <w:rPr>
          <w:color w:val="231F20"/>
          <w:spacing w:val="-3"/>
          <w:w w:val="105"/>
        </w:rPr>
        <w:t>personas</w:t>
      </w:r>
      <w:r>
        <w:rPr>
          <w:color w:val="231F20"/>
          <w:spacing w:val="-43"/>
          <w:w w:val="105"/>
        </w:rPr>
        <w:t> </w:t>
      </w:r>
      <w:r>
        <w:rPr>
          <w:color w:val="231F20"/>
          <w:spacing w:val="-4"/>
          <w:w w:val="105"/>
        </w:rPr>
        <w:t>migrantes </w:t>
      </w:r>
      <w:r>
        <w:rPr>
          <w:color w:val="231F20"/>
          <w:w w:val="105"/>
        </w:rPr>
        <w:t>“lo</w:t>
      </w:r>
      <w:r>
        <w:rPr>
          <w:color w:val="231F20"/>
          <w:spacing w:val="-19"/>
          <w:w w:val="105"/>
        </w:rPr>
        <w:t> </w:t>
      </w:r>
      <w:r>
        <w:rPr>
          <w:color w:val="231F20"/>
          <w:spacing w:val="-3"/>
          <w:w w:val="105"/>
        </w:rPr>
        <w:t>hacen</w:t>
      </w:r>
      <w:r>
        <w:rPr>
          <w:color w:val="231F20"/>
          <w:spacing w:val="-19"/>
          <w:w w:val="105"/>
        </w:rPr>
        <w:t> </w:t>
      </w:r>
      <w:r>
        <w:rPr>
          <w:color w:val="231F20"/>
          <w:w w:val="105"/>
        </w:rPr>
        <w:t>con</w:t>
      </w:r>
      <w:r>
        <w:rPr>
          <w:color w:val="231F20"/>
          <w:spacing w:val="-19"/>
          <w:w w:val="105"/>
        </w:rPr>
        <w:t> </w:t>
      </w:r>
      <w:r>
        <w:rPr>
          <w:color w:val="231F20"/>
          <w:w w:val="105"/>
        </w:rPr>
        <w:t>una</w:t>
      </w:r>
      <w:r>
        <w:rPr>
          <w:color w:val="231F20"/>
          <w:spacing w:val="-19"/>
          <w:w w:val="105"/>
        </w:rPr>
        <w:t> </w:t>
      </w:r>
      <w:r>
        <w:rPr>
          <w:color w:val="231F20"/>
          <w:spacing w:val="-4"/>
          <w:w w:val="105"/>
        </w:rPr>
        <w:t>‘mochila’</w:t>
      </w:r>
      <w:r>
        <w:rPr>
          <w:color w:val="231F20"/>
          <w:spacing w:val="-19"/>
          <w:w w:val="105"/>
        </w:rPr>
        <w:t> </w:t>
      </w:r>
      <w:r>
        <w:rPr>
          <w:color w:val="231F20"/>
          <w:w w:val="105"/>
        </w:rPr>
        <w:t>que</w:t>
      </w:r>
      <w:r>
        <w:rPr>
          <w:color w:val="231F20"/>
          <w:spacing w:val="-19"/>
          <w:w w:val="105"/>
        </w:rPr>
        <w:t> </w:t>
      </w:r>
      <w:r>
        <w:rPr>
          <w:color w:val="231F20"/>
          <w:spacing w:val="-3"/>
          <w:w w:val="105"/>
        </w:rPr>
        <w:t>incluye</w:t>
      </w:r>
      <w:r>
        <w:rPr>
          <w:color w:val="231F20"/>
          <w:spacing w:val="-19"/>
          <w:w w:val="105"/>
        </w:rPr>
        <w:t> </w:t>
      </w:r>
      <w:r>
        <w:rPr>
          <w:color w:val="231F20"/>
          <w:w w:val="105"/>
        </w:rPr>
        <w:t>una</w:t>
      </w:r>
      <w:r>
        <w:rPr>
          <w:color w:val="231F20"/>
          <w:spacing w:val="-19"/>
          <w:w w:val="105"/>
        </w:rPr>
        <w:t> </w:t>
      </w:r>
      <w:r>
        <w:rPr>
          <w:color w:val="231F20"/>
          <w:spacing w:val="-3"/>
          <w:w w:val="105"/>
        </w:rPr>
        <w:t>historia,</w:t>
      </w:r>
      <w:r>
        <w:rPr>
          <w:color w:val="231F20"/>
          <w:spacing w:val="-25"/>
          <w:w w:val="105"/>
        </w:rPr>
        <w:t> </w:t>
      </w:r>
      <w:r>
        <w:rPr>
          <w:color w:val="231F20"/>
          <w:w w:val="105"/>
        </w:rPr>
        <w:t>un</w:t>
      </w:r>
      <w:r>
        <w:rPr>
          <w:color w:val="231F20"/>
          <w:spacing w:val="-19"/>
          <w:w w:val="105"/>
        </w:rPr>
        <w:t> </w:t>
      </w:r>
      <w:r>
        <w:rPr>
          <w:color w:val="231F20"/>
          <w:spacing w:val="-3"/>
          <w:w w:val="105"/>
        </w:rPr>
        <w:t>idioma,</w:t>
      </w:r>
      <w:r>
        <w:rPr>
          <w:color w:val="231F20"/>
          <w:spacing w:val="-25"/>
          <w:w w:val="105"/>
        </w:rPr>
        <w:t> </w:t>
      </w:r>
      <w:r>
        <w:rPr>
          <w:color w:val="231F20"/>
          <w:w w:val="105"/>
        </w:rPr>
        <w:t>una</w:t>
      </w:r>
      <w:r>
        <w:rPr>
          <w:color w:val="231F20"/>
          <w:spacing w:val="-19"/>
          <w:w w:val="105"/>
        </w:rPr>
        <w:t> </w:t>
      </w:r>
      <w:r>
        <w:rPr>
          <w:color w:val="231F20"/>
          <w:spacing w:val="-3"/>
          <w:w w:val="105"/>
        </w:rPr>
        <w:t>familia</w:t>
      </w:r>
    </w:p>
    <w:p>
      <w:pPr>
        <w:pStyle w:val="BodyText"/>
        <w:spacing w:line="241" w:lineRule="exact"/>
        <w:ind w:left="1808"/>
      </w:pPr>
      <w:r>
        <w:rPr>
          <w:rFonts w:ascii="Symbol" w:hAnsi="Symbol"/>
          <w:color w:val="231F20"/>
        </w:rPr>
        <w:t></w:t>
      </w:r>
      <w:r>
        <w:rPr>
          <w:color w:val="231F20"/>
        </w:rPr>
        <w:t>o relaciones  sociales  con grupos  de semejantes</w:t>
      </w:r>
      <w:r>
        <w:rPr>
          <w:rFonts w:ascii="Symbol" w:hAnsi="Symbol"/>
          <w:color w:val="231F20"/>
        </w:rPr>
        <w:t></w:t>
      </w:r>
      <w:r>
        <w:rPr>
          <w:rFonts w:ascii="Times New Roman" w:hAnsi="Times New Roman"/>
          <w:color w:val="231F20"/>
        </w:rPr>
        <w:t>  </w:t>
      </w:r>
      <w:r>
        <w:rPr>
          <w:color w:val="231F20"/>
        </w:rPr>
        <w:t>y una cultura     propia”</w:t>
      </w:r>
    </w:p>
    <w:p>
      <w:pPr>
        <w:pStyle w:val="BodyText"/>
        <w:spacing w:before="20"/>
        <w:ind w:left="1808"/>
      </w:pPr>
      <w:r>
        <w:rPr>
          <w:color w:val="231F20"/>
        </w:rPr>
        <w:t>(Mármora, 2003:2), insistimos, condicionadas  histórica  y espacialmente.</w:t>
      </w:r>
    </w:p>
    <w:p>
      <w:pPr>
        <w:pStyle w:val="BodyText"/>
        <w:spacing w:line="261" w:lineRule="auto" w:before="22"/>
        <w:ind w:left="1808" w:right="1694" w:firstLine="567"/>
        <w:jc w:val="both"/>
      </w:pPr>
      <w:r>
        <w:rPr>
          <w:color w:val="231F20"/>
          <w:w w:val="105"/>
        </w:rPr>
        <w:t>La</w:t>
      </w:r>
      <w:r>
        <w:rPr>
          <w:color w:val="231F20"/>
          <w:spacing w:val="-20"/>
          <w:w w:val="105"/>
        </w:rPr>
        <w:t> </w:t>
      </w:r>
      <w:r>
        <w:rPr>
          <w:color w:val="231F20"/>
          <w:w w:val="105"/>
        </w:rPr>
        <w:t>dimensión</w:t>
      </w:r>
      <w:r>
        <w:rPr>
          <w:color w:val="231F20"/>
          <w:spacing w:val="-20"/>
          <w:w w:val="105"/>
        </w:rPr>
        <w:t> </w:t>
      </w:r>
      <w:r>
        <w:rPr>
          <w:color w:val="231F20"/>
          <w:w w:val="105"/>
        </w:rPr>
        <w:t>cuantitativa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migración</w:t>
      </w:r>
      <w:r>
        <w:rPr>
          <w:color w:val="231F20"/>
          <w:spacing w:val="-20"/>
          <w:w w:val="105"/>
        </w:rPr>
        <w:t> </w:t>
      </w:r>
      <w:r>
        <w:rPr>
          <w:color w:val="231F20"/>
          <w:w w:val="105"/>
        </w:rPr>
        <w:t>internacional</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escala mundial</w:t>
      </w:r>
      <w:r>
        <w:rPr>
          <w:color w:val="231F20"/>
          <w:spacing w:val="-11"/>
          <w:w w:val="105"/>
        </w:rPr>
        <w:t> </w:t>
      </w:r>
      <w:r>
        <w:rPr>
          <w:color w:val="231F20"/>
          <w:w w:val="105"/>
        </w:rPr>
        <w:t>se</w:t>
      </w:r>
      <w:r>
        <w:rPr>
          <w:color w:val="231F20"/>
          <w:spacing w:val="-11"/>
          <w:w w:val="105"/>
        </w:rPr>
        <w:t> </w:t>
      </w:r>
      <w:r>
        <w:rPr>
          <w:color w:val="231F20"/>
          <w:w w:val="105"/>
        </w:rPr>
        <w:t>estima</w:t>
      </w:r>
      <w:r>
        <w:rPr>
          <w:color w:val="231F20"/>
          <w:spacing w:val="-11"/>
          <w:w w:val="105"/>
        </w:rPr>
        <w:t> </w:t>
      </w:r>
      <w:r>
        <w:rPr>
          <w:color w:val="231F20"/>
          <w:w w:val="105"/>
        </w:rPr>
        <w:t>para</w:t>
      </w:r>
      <w:r>
        <w:rPr>
          <w:color w:val="231F20"/>
          <w:spacing w:val="-11"/>
          <w:w w:val="105"/>
        </w:rPr>
        <w:t> </w:t>
      </w:r>
      <w:r>
        <w:rPr>
          <w:color w:val="231F20"/>
          <w:w w:val="105"/>
        </w:rPr>
        <w:t>2013</w:t>
      </w:r>
      <w:r>
        <w:rPr>
          <w:color w:val="231F20"/>
          <w:spacing w:val="-11"/>
          <w:w w:val="105"/>
        </w:rPr>
        <w:t> </w:t>
      </w:r>
      <w:r>
        <w:rPr>
          <w:color w:val="231F20"/>
          <w:w w:val="105"/>
        </w:rPr>
        <w:t>en</w:t>
      </w:r>
      <w:r>
        <w:rPr>
          <w:color w:val="231F20"/>
          <w:spacing w:val="-11"/>
          <w:w w:val="105"/>
        </w:rPr>
        <w:t> </w:t>
      </w:r>
      <w:r>
        <w:rPr>
          <w:color w:val="231F20"/>
          <w:w w:val="105"/>
        </w:rPr>
        <w:t>231.5</w:t>
      </w:r>
      <w:r>
        <w:rPr>
          <w:color w:val="231F20"/>
          <w:spacing w:val="-11"/>
          <w:w w:val="105"/>
        </w:rPr>
        <w:t> </w:t>
      </w:r>
      <w:r>
        <w:rPr>
          <w:color w:val="231F20"/>
          <w:w w:val="105"/>
        </w:rPr>
        <w:t>millones</w:t>
      </w:r>
      <w:r>
        <w:rPr>
          <w:color w:val="231F20"/>
          <w:spacing w:val="-11"/>
          <w:w w:val="105"/>
        </w:rPr>
        <w:t> </w:t>
      </w:r>
      <w:r>
        <w:rPr>
          <w:color w:val="231F20"/>
          <w:w w:val="105"/>
        </w:rPr>
        <w:t>de</w:t>
      </w:r>
      <w:r>
        <w:rPr>
          <w:color w:val="231F20"/>
          <w:spacing w:val="-11"/>
          <w:w w:val="105"/>
        </w:rPr>
        <w:t> </w:t>
      </w:r>
      <w:r>
        <w:rPr>
          <w:color w:val="231F20"/>
          <w:w w:val="105"/>
        </w:rPr>
        <w:t>personas</w:t>
      </w:r>
      <w:r>
        <w:rPr>
          <w:color w:val="231F20"/>
          <w:spacing w:val="-11"/>
          <w:w w:val="105"/>
        </w:rPr>
        <w:t> </w:t>
      </w:r>
      <w:r>
        <w:rPr>
          <w:color w:val="231F20"/>
          <w:w w:val="105"/>
        </w:rPr>
        <w:t>que</w:t>
      </w:r>
      <w:r>
        <w:rPr>
          <w:color w:val="231F20"/>
          <w:spacing w:val="-11"/>
          <w:w w:val="105"/>
        </w:rPr>
        <w:t> </w:t>
      </w:r>
      <w:r>
        <w:rPr>
          <w:color w:val="231F20"/>
          <w:w w:val="105"/>
        </w:rPr>
        <w:t>residen fuera</w:t>
      </w:r>
      <w:r>
        <w:rPr>
          <w:color w:val="231F20"/>
          <w:spacing w:val="-6"/>
          <w:w w:val="105"/>
        </w:rPr>
        <w:t> </w:t>
      </w:r>
      <w:r>
        <w:rPr>
          <w:color w:val="231F20"/>
          <w:w w:val="105"/>
        </w:rPr>
        <w:t>del</w:t>
      </w:r>
      <w:r>
        <w:rPr>
          <w:color w:val="231F20"/>
          <w:spacing w:val="-6"/>
          <w:w w:val="105"/>
        </w:rPr>
        <w:t> </w:t>
      </w:r>
      <w:r>
        <w:rPr>
          <w:color w:val="231F20"/>
          <w:w w:val="105"/>
        </w:rPr>
        <w:t>país</w:t>
      </w:r>
      <w:r>
        <w:rPr>
          <w:color w:val="231F20"/>
          <w:spacing w:val="-6"/>
          <w:w w:val="105"/>
        </w:rPr>
        <w:t> </w:t>
      </w:r>
      <w:r>
        <w:rPr>
          <w:color w:val="231F20"/>
          <w:w w:val="105"/>
        </w:rPr>
        <w:t>de</w:t>
      </w:r>
      <w:r>
        <w:rPr>
          <w:color w:val="231F20"/>
          <w:spacing w:val="-6"/>
          <w:w w:val="105"/>
        </w:rPr>
        <w:t> </w:t>
      </w:r>
      <w:r>
        <w:rPr>
          <w:color w:val="231F20"/>
          <w:w w:val="105"/>
        </w:rPr>
        <w:t>nacimiento.</w:t>
      </w:r>
      <w:r>
        <w:rPr>
          <w:color w:val="231F20"/>
          <w:spacing w:val="-11"/>
          <w:w w:val="105"/>
        </w:rPr>
        <w:t> </w:t>
      </w:r>
      <w:r>
        <w:rPr>
          <w:color w:val="231F20"/>
          <w:w w:val="105"/>
        </w:rPr>
        <w:t>Esta</w:t>
      </w:r>
      <w:r>
        <w:rPr>
          <w:color w:val="231F20"/>
          <w:spacing w:val="-6"/>
          <w:w w:val="105"/>
        </w:rPr>
        <w:t> </w:t>
      </w:r>
      <w:r>
        <w:rPr>
          <w:color w:val="231F20"/>
          <w:w w:val="105"/>
        </w:rPr>
        <w:t>cifra</w:t>
      </w:r>
      <w:r>
        <w:rPr>
          <w:color w:val="231F20"/>
          <w:spacing w:val="-6"/>
          <w:w w:val="105"/>
        </w:rPr>
        <w:t> </w:t>
      </w:r>
      <w:r>
        <w:rPr>
          <w:color w:val="231F20"/>
          <w:w w:val="105"/>
        </w:rPr>
        <w:t>significa</w:t>
      </w:r>
      <w:r>
        <w:rPr>
          <w:color w:val="231F20"/>
          <w:spacing w:val="-6"/>
          <w:w w:val="105"/>
        </w:rPr>
        <w:t> </w:t>
      </w:r>
      <w:r>
        <w:rPr>
          <w:color w:val="231F20"/>
          <w:w w:val="105"/>
        </w:rPr>
        <w:t>un</w:t>
      </w:r>
      <w:r>
        <w:rPr>
          <w:color w:val="231F20"/>
          <w:spacing w:val="-6"/>
          <w:w w:val="105"/>
        </w:rPr>
        <w:t> </w:t>
      </w:r>
      <w:r>
        <w:rPr>
          <w:color w:val="231F20"/>
          <w:w w:val="105"/>
        </w:rPr>
        <w:t>crecimiento</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vo- lumen de migrantes internacionales, respecto de 1965 cuando eran 73 millones</w:t>
      </w:r>
      <w:r>
        <w:rPr>
          <w:color w:val="231F20"/>
          <w:spacing w:val="-9"/>
          <w:w w:val="105"/>
        </w:rPr>
        <w:t> </w:t>
      </w:r>
      <w:r>
        <w:rPr>
          <w:color w:val="231F20"/>
          <w:w w:val="105"/>
        </w:rPr>
        <w:t>de</w:t>
      </w:r>
      <w:r>
        <w:rPr>
          <w:color w:val="231F20"/>
          <w:spacing w:val="-9"/>
          <w:w w:val="105"/>
        </w:rPr>
        <w:t> </w:t>
      </w:r>
      <w:r>
        <w:rPr>
          <w:color w:val="231F20"/>
          <w:w w:val="105"/>
        </w:rPr>
        <w:t>personas</w:t>
      </w:r>
      <w:r>
        <w:rPr>
          <w:color w:val="231F20"/>
          <w:spacing w:val="-9"/>
          <w:w w:val="105"/>
        </w:rPr>
        <w:t> </w:t>
      </w:r>
      <w:r>
        <w:rPr>
          <w:color w:val="231F20"/>
          <w:w w:val="105"/>
        </w:rPr>
        <w:t>las</w:t>
      </w:r>
      <w:r>
        <w:rPr>
          <w:color w:val="231F20"/>
          <w:spacing w:val="-9"/>
          <w:w w:val="105"/>
        </w:rPr>
        <w:t> </w:t>
      </w:r>
      <w:r>
        <w:rPr>
          <w:color w:val="231F20"/>
          <w:w w:val="105"/>
        </w:rPr>
        <w:t>que</w:t>
      </w:r>
      <w:r>
        <w:rPr>
          <w:color w:val="231F20"/>
          <w:spacing w:val="-9"/>
          <w:w w:val="105"/>
        </w:rPr>
        <w:t> </w:t>
      </w:r>
      <w:r>
        <w:rPr>
          <w:color w:val="231F20"/>
          <w:w w:val="105"/>
        </w:rPr>
        <w:t>residían</w:t>
      </w:r>
      <w:r>
        <w:rPr>
          <w:color w:val="231F20"/>
          <w:spacing w:val="-9"/>
          <w:w w:val="105"/>
        </w:rPr>
        <w:t> </w:t>
      </w:r>
      <w:r>
        <w:rPr>
          <w:color w:val="231F20"/>
          <w:w w:val="105"/>
        </w:rPr>
        <w:t>fuera</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país.</w:t>
      </w:r>
      <w:r>
        <w:rPr>
          <w:color w:val="231F20"/>
          <w:spacing w:val="-14"/>
          <w:w w:val="105"/>
        </w:rPr>
        <w:t> </w:t>
      </w:r>
      <w:r>
        <w:rPr>
          <w:color w:val="231F20"/>
          <w:w w:val="105"/>
        </w:rPr>
        <w:t>El</w:t>
      </w:r>
      <w:r>
        <w:rPr>
          <w:color w:val="231F20"/>
          <w:spacing w:val="-9"/>
          <w:w w:val="105"/>
        </w:rPr>
        <w:t> </w:t>
      </w:r>
      <w:r>
        <w:rPr>
          <w:color w:val="231F20"/>
          <w:w w:val="105"/>
        </w:rPr>
        <w:t>incremento</w:t>
      </w:r>
      <w:r>
        <w:rPr>
          <w:color w:val="231F20"/>
          <w:spacing w:val="-9"/>
          <w:w w:val="105"/>
        </w:rPr>
        <w:t> </w:t>
      </w:r>
      <w:r>
        <w:rPr>
          <w:color w:val="231F20"/>
          <w:w w:val="105"/>
        </w:rPr>
        <w:t>ha sido</w:t>
      </w:r>
      <w:r>
        <w:rPr>
          <w:color w:val="231F20"/>
          <w:spacing w:val="-12"/>
          <w:w w:val="105"/>
        </w:rPr>
        <w:t> </w:t>
      </w:r>
      <w:r>
        <w:rPr>
          <w:color w:val="231F20"/>
          <w:w w:val="105"/>
        </w:rPr>
        <w:t>sostenido</w:t>
      </w:r>
      <w:r>
        <w:rPr>
          <w:color w:val="231F20"/>
          <w:spacing w:val="-12"/>
          <w:w w:val="105"/>
        </w:rPr>
        <w:t> </w:t>
      </w:r>
      <w:r>
        <w:rPr>
          <w:color w:val="231F20"/>
          <w:w w:val="105"/>
        </w:rPr>
        <w:t>durante</w:t>
      </w:r>
      <w:r>
        <w:rPr>
          <w:color w:val="231F20"/>
          <w:spacing w:val="-12"/>
          <w:w w:val="105"/>
        </w:rPr>
        <w:t> </w:t>
      </w:r>
      <w:r>
        <w:rPr>
          <w:color w:val="231F20"/>
          <w:w w:val="105"/>
        </w:rPr>
        <w:t>los</w:t>
      </w:r>
      <w:r>
        <w:rPr>
          <w:color w:val="231F20"/>
          <w:spacing w:val="-12"/>
          <w:w w:val="105"/>
        </w:rPr>
        <w:t> </w:t>
      </w:r>
      <w:r>
        <w:rPr>
          <w:color w:val="231F20"/>
          <w:w w:val="105"/>
        </w:rPr>
        <w:t>últimos</w:t>
      </w:r>
      <w:r>
        <w:rPr>
          <w:color w:val="231F20"/>
          <w:spacing w:val="-12"/>
          <w:w w:val="105"/>
        </w:rPr>
        <w:t> </w:t>
      </w:r>
      <w:r>
        <w:rPr>
          <w:color w:val="231F20"/>
          <w:w w:val="105"/>
        </w:rPr>
        <w:t>50</w:t>
      </w:r>
      <w:r>
        <w:rPr>
          <w:color w:val="231F20"/>
          <w:spacing w:val="-12"/>
          <w:w w:val="105"/>
        </w:rPr>
        <w:t> </w:t>
      </w:r>
      <w:r>
        <w:rPr>
          <w:color w:val="231F20"/>
          <w:w w:val="105"/>
        </w:rPr>
        <w:t>años,</w:t>
      </w:r>
      <w:r>
        <w:rPr>
          <w:color w:val="231F20"/>
          <w:spacing w:val="-17"/>
          <w:w w:val="105"/>
        </w:rPr>
        <w:t> </w:t>
      </w:r>
      <w:r>
        <w:rPr>
          <w:color w:val="231F20"/>
          <w:w w:val="105"/>
        </w:rPr>
        <w:t>el</w:t>
      </w:r>
      <w:r>
        <w:rPr>
          <w:color w:val="231F20"/>
          <w:spacing w:val="-12"/>
          <w:w w:val="105"/>
        </w:rPr>
        <w:t> </w:t>
      </w:r>
      <w:r>
        <w:rPr>
          <w:color w:val="231F20"/>
          <w:w w:val="105"/>
        </w:rPr>
        <w:t>monto</w:t>
      </w:r>
      <w:r>
        <w:rPr>
          <w:color w:val="231F20"/>
          <w:spacing w:val="-12"/>
          <w:w w:val="105"/>
        </w:rPr>
        <w:t> </w:t>
      </w:r>
      <w:r>
        <w:rPr>
          <w:color w:val="231F20"/>
          <w:w w:val="105"/>
        </w:rPr>
        <w:t>internacional</w:t>
      </w:r>
      <w:r>
        <w:rPr>
          <w:color w:val="231F20"/>
          <w:spacing w:val="-12"/>
          <w:w w:val="105"/>
        </w:rPr>
        <w:t> </w:t>
      </w:r>
      <w:r>
        <w:rPr>
          <w:color w:val="231F20"/>
          <w:w w:val="105"/>
        </w:rPr>
        <w:t>creció</w:t>
      </w:r>
    </w:p>
    <w:p>
      <w:pPr>
        <w:pStyle w:val="BodyText"/>
        <w:spacing w:before="1"/>
        <w:ind w:left="1808"/>
      </w:pPr>
      <w:r>
        <w:rPr>
          <w:color w:val="231F20"/>
          <w:w w:val="105"/>
        </w:rPr>
        <w:t>3.2 veces entre los años de referencia. Mientras que el peso porcentual de</w:t>
      </w:r>
    </w:p>
    <w:p>
      <w:pPr>
        <w:spacing w:after="0"/>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738"/>
      </w:pPr>
      <w:r>
        <w:rPr>
          <w:color w:val="231F20"/>
          <w:w w:val="105"/>
        </w:rPr>
        <w:t>la población migrante internacional respecto a la población en el mundo aumentó de 2.2% a 3.3% en el mismo periodo (</w:t>
      </w:r>
      <w:r>
        <w:rPr>
          <w:color w:val="231F20"/>
          <w:w w:val="105"/>
          <w:sz w:val="17"/>
        </w:rPr>
        <w:t>PR</w:t>
      </w:r>
      <w:r>
        <w:rPr>
          <w:color w:val="231F20"/>
          <w:w w:val="105"/>
        </w:rPr>
        <w:t>, 2014).</w:t>
      </w:r>
    </w:p>
    <w:p>
      <w:pPr>
        <w:pStyle w:val="BodyText"/>
        <w:spacing w:line="261" w:lineRule="auto" w:before="1"/>
        <w:ind w:left="1723" w:right="1835" w:firstLine="567"/>
        <w:jc w:val="both"/>
      </w:pPr>
      <w:r>
        <w:rPr>
          <w:color w:val="231F20"/>
          <w:w w:val="105"/>
        </w:rPr>
        <w:t>Las migraciones contemporáneas han adquirido una mayor com- plejidad. En el caso particular de México vemos que su ubicación geo- gráfica,</w:t>
      </w:r>
      <w:r>
        <w:rPr>
          <w:color w:val="231F20"/>
          <w:spacing w:val="-18"/>
          <w:w w:val="105"/>
        </w:rPr>
        <w:t> </w:t>
      </w:r>
      <w:r>
        <w:rPr>
          <w:color w:val="231F20"/>
          <w:w w:val="105"/>
        </w:rPr>
        <w:t>su</w:t>
      </w:r>
      <w:r>
        <w:rPr>
          <w:color w:val="231F20"/>
          <w:spacing w:val="-13"/>
          <w:w w:val="105"/>
        </w:rPr>
        <w:t> </w:t>
      </w:r>
      <w:r>
        <w:rPr>
          <w:color w:val="231F20"/>
          <w:w w:val="105"/>
        </w:rPr>
        <w:t>propia</w:t>
      </w:r>
      <w:r>
        <w:rPr>
          <w:color w:val="231F20"/>
          <w:spacing w:val="-13"/>
          <w:w w:val="105"/>
        </w:rPr>
        <w:t> </w:t>
      </w:r>
      <w:r>
        <w:rPr>
          <w:color w:val="231F20"/>
          <w:w w:val="105"/>
        </w:rPr>
        <w:t>historia</w:t>
      </w:r>
      <w:r>
        <w:rPr>
          <w:color w:val="231F20"/>
          <w:spacing w:val="-13"/>
          <w:w w:val="105"/>
        </w:rPr>
        <w:t> </w:t>
      </w:r>
      <w:r>
        <w:rPr>
          <w:color w:val="231F20"/>
          <w:w w:val="105"/>
        </w:rPr>
        <w:t>y</w:t>
      </w:r>
      <w:r>
        <w:rPr>
          <w:color w:val="231F20"/>
          <w:spacing w:val="-13"/>
          <w:w w:val="105"/>
        </w:rPr>
        <w:t> </w:t>
      </w:r>
      <w:r>
        <w:rPr>
          <w:color w:val="231F20"/>
          <w:w w:val="105"/>
        </w:rPr>
        <w:t>las</w:t>
      </w:r>
      <w:r>
        <w:rPr>
          <w:color w:val="231F20"/>
          <w:spacing w:val="-13"/>
          <w:w w:val="105"/>
        </w:rPr>
        <w:t> </w:t>
      </w:r>
      <w:r>
        <w:rPr>
          <w:color w:val="231F20"/>
          <w:w w:val="105"/>
        </w:rPr>
        <w:t>condiciones</w:t>
      </w:r>
      <w:r>
        <w:rPr>
          <w:color w:val="231F20"/>
          <w:spacing w:val="-13"/>
          <w:w w:val="105"/>
        </w:rPr>
        <w:t> </w:t>
      </w:r>
      <w:r>
        <w:rPr>
          <w:color w:val="231F20"/>
          <w:w w:val="105"/>
        </w:rPr>
        <w:t>sociales</w:t>
      </w:r>
      <w:r>
        <w:rPr>
          <w:color w:val="231F20"/>
          <w:spacing w:val="-13"/>
          <w:w w:val="105"/>
        </w:rPr>
        <w:t> </w:t>
      </w:r>
      <w:r>
        <w:rPr>
          <w:color w:val="231F20"/>
          <w:w w:val="105"/>
        </w:rPr>
        <w:t>y</w:t>
      </w:r>
      <w:r>
        <w:rPr>
          <w:color w:val="231F20"/>
          <w:spacing w:val="-13"/>
          <w:w w:val="105"/>
        </w:rPr>
        <w:t> </w:t>
      </w:r>
      <w:r>
        <w:rPr>
          <w:color w:val="231F20"/>
          <w:w w:val="105"/>
        </w:rPr>
        <w:t>económicas</w:t>
      </w:r>
      <w:r>
        <w:rPr>
          <w:color w:val="231F20"/>
          <w:spacing w:val="-13"/>
          <w:w w:val="105"/>
        </w:rPr>
        <w:t> </w:t>
      </w:r>
      <w:r>
        <w:rPr>
          <w:color w:val="231F20"/>
          <w:w w:val="105"/>
        </w:rPr>
        <w:t>de</w:t>
      </w:r>
      <w:r>
        <w:rPr>
          <w:color w:val="231F20"/>
          <w:spacing w:val="-13"/>
          <w:w w:val="105"/>
        </w:rPr>
        <w:t> </w:t>
      </w:r>
      <w:r>
        <w:rPr>
          <w:color w:val="231F20"/>
          <w:w w:val="105"/>
        </w:rPr>
        <w:t>su población han hecho que en nuestro país confluyan múltiples flujos mi- gratorios</w:t>
      </w:r>
      <w:r>
        <w:rPr>
          <w:color w:val="231F20"/>
          <w:spacing w:val="-5"/>
          <w:w w:val="105"/>
        </w:rPr>
        <w:t> </w:t>
      </w:r>
      <w:r>
        <w:rPr>
          <w:color w:val="231F20"/>
          <w:w w:val="105"/>
        </w:rPr>
        <w:t>de</w:t>
      </w:r>
      <w:r>
        <w:rPr>
          <w:color w:val="231F20"/>
          <w:spacing w:val="-5"/>
          <w:w w:val="105"/>
        </w:rPr>
        <w:t> </w:t>
      </w:r>
      <w:r>
        <w:rPr>
          <w:color w:val="231F20"/>
          <w:w w:val="105"/>
        </w:rPr>
        <w:t>origen,</w:t>
      </w:r>
      <w:r>
        <w:rPr>
          <w:color w:val="231F20"/>
          <w:spacing w:val="-11"/>
          <w:w w:val="105"/>
        </w:rPr>
        <w:t> </w:t>
      </w:r>
      <w:r>
        <w:rPr>
          <w:color w:val="231F20"/>
          <w:w w:val="105"/>
        </w:rPr>
        <w:t>tránsito,</w:t>
      </w:r>
      <w:r>
        <w:rPr>
          <w:color w:val="231F20"/>
          <w:spacing w:val="-11"/>
          <w:w w:val="105"/>
        </w:rPr>
        <w:t> </w:t>
      </w:r>
      <w:r>
        <w:rPr>
          <w:color w:val="231F20"/>
          <w:w w:val="105"/>
        </w:rPr>
        <w:t>destino</w:t>
      </w:r>
      <w:r>
        <w:rPr>
          <w:color w:val="231F20"/>
          <w:spacing w:val="-5"/>
          <w:w w:val="105"/>
        </w:rPr>
        <w:t> </w:t>
      </w:r>
      <w:r>
        <w:rPr>
          <w:color w:val="231F20"/>
          <w:w w:val="105"/>
        </w:rPr>
        <w:t>y</w:t>
      </w:r>
      <w:r>
        <w:rPr>
          <w:color w:val="231F20"/>
          <w:spacing w:val="-5"/>
          <w:w w:val="105"/>
        </w:rPr>
        <w:t> </w:t>
      </w:r>
      <w:r>
        <w:rPr>
          <w:color w:val="231F20"/>
          <w:w w:val="105"/>
        </w:rPr>
        <w:t>retorno,</w:t>
      </w:r>
      <w:r>
        <w:rPr>
          <w:color w:val="231F20"/>
          <w:spacing w:val="-11"/>
          <w:w w:val="105"/>
        </w:rPr>
        <w:t> </w:t>
      </w:r>
      <w:r>
        <w:rPr>
          <w:color w:val="231F20"/>
          <w:w w:val="105"/>
        </w:rPr>
        <w:t>que</w:t>
      </w:r>
      <w:r>
        <w:rPr>
          <w:color w:val="231F20"/>
          <w:spacing w:val="-5"/>
          <w:w w:val="105"/>
        </w:rPr>
        <w:t> </w:t>
      </w:r>
      <w:r>
        <w:rPr>
          <w:color w:val="231F20"/>
          <w:w w:val="105"/>
        </w:rPr>
        <w:t>en</w:t>
      </w:r>
      <w:r>
        <w:rPr>
          <w:color w:val="231F20"/>
          <w:spacing w:val="-5"/>
          <w:w w:val="105"/>
        </w:rPr>
        <w:t> </w:t>
      </w:r>
      <w:r>
        <w:rPr>
          <w:color w:val="231F20"/>
          <w:w w:val="105"/>
        </w:rPr>
        <w:t>materia</w:t>
      </w:r>
      <w:r>
        <w:rPr>
          <w:color w:val="231F20"/>
          <w:spacing w:val="-5"/>
          <w:w w:val="105"/>
        </w:rPr>
        <w:t> </w:t>
      </w:r>
      <w:r>
        <w:rPr>
          <w:color w:val="231F20"/>
          <w:w w:val="105"/>
        </w:rPr>
        <w:t>de</w:t>
      </w:r>
      <w:r>
        <w:rPr>
          <w:color w:val="231F20"/>
          <w:spacing w:val="-5"/>
          <w:w w:val="105"/>
        </w:rPr>
        <w:t> </w:t>
      </w:r>
      <w:r>
        <w:rPr>
          <w:color w:val="231F20"/>
          <w:w w:val="105"/>
        </w:rPr>
        <w:t>inves- tigación y de política pública implican desafíos para conocer, atender y regular el fenómeno migratorio desde una perspectiva integral, asegu- rando el cumplimiento de los principios rectores que definen la política migratoria de</w:t>
      </w:r>
      <w:r>
        <w:rPr>
          <w:color w:val="231F20"/>
          <w:spacing w:val="-18"/>
          <w:w w:val="105"/>
        </w:rPr>
        <w:t> </w:t>
      </w:r>
      <w:r>
        <w:rPr>
          <w:color w:val="231F20"/>
          <w:w w:val="105"/>
        </w:rPr>
        <w:t>México.</w:t>
      </w:r>
    </w:p>
    <w:p>
      <w:pPr>
        <w:pStyle w:val="BodyText"/>
        <w:spacing w:line="261" w:lineRule="auto" w:before="1"/>
        <w:ind w:left="1723" w:right="1834" w:firstLine="567"/>
        <w:jc w:val="both"/>
      </w:pPr>
      <w:r>
        <w:rPr>
          <w:color w:val="231F20"/>
          <w:w w:val="105"/>
        </w:rPr>
        <w:t>En</w:t>
      </w:r>
      <w:r>
        <w:rPr>
          <w:color w:val="231F20"/>
          <w:spacing w:val="-19"/>
          <w:w w:val="105"/>
        </w:rPr>
        <w:t> </w:t>
      </w:r>
      <w:r>
        <w:rPr>
          <w:color w:val="231F20"/>
          <w:w w:val="105"/>
        </w:rPr>
        <w:t>esta</w:t>
      </w:r>
      <w:r>
        <w:rPr>
          <w:color w:val="231F20"/>
          <w:spacing w:val="-19"/>
          <w:w w:val="105"/>
        </w:rPr>
        <w:t> </w:t>
      </w:r>
      <w:r>
        <w:rPr>
          <w:color w:val="231F20"/>
          <w:w w:val="105"/>
        </w:rPr>
        <w:t>perspectiva</w:t>
      </w:r>
      <w:r>
        <w:rPr>
          <w:color w:val="231F20"/>
          <w:spacing w:val="-19"/>
          <w:w w:val="105"/>
        </w:rPr>
        <w:t> </w:t>
      </w:r>
      <w:r>
        <w:rPr>
          <w:color w:val="231F20"/>
          <w:w w:val="105"/>
        </w:rPr>
        <w:t>integral</w:t>
      </w:r>
      <w:r>
        <w:rPr>
          <w:color w:val="231F20"/>
          <w:spacing w:val="-19"/>
          <w:w w:val="105"/>
        </w:rPr>
        <w:t> </w:t>
      </w:r>
      <w:r>
        <w:rPr>
          <w:color w:val="231F20"/>
          <w:w w:val="105"/>
        </w:rPr>
        <w:t>no</w:t>
      </w:r>
      <w:r>
        <w:rPr>
          <w:color w:val="231F20"/>
          <w:spacing w:val="-19"/>
          <w:w w:val="105"/>
        </w:rPr>
        <w:t> </w:t>
      </w:r>
      <w:r>
        <w:rPr>
          <w:color w:val="231F20"/>
          <w:w w:val="105"/>
        </w:rPr>
        <w:t>debe</w:t>
      </w:r>
      <w:r>
        <w:rPr>
          <w:color w:val="231F20"/>
          <w:spacing w:val="-19"/>
          <w:w w:val="105"/>
        </w:rPr>
        <w:t> </w:t>
      </w:r>
      <w:r>
        <w:rPr>
          <w:color w:val="231F20"/>
          <w:w w:val="105"/>
        </w:rPr>
        <w:t>perderse</w:t>
      </w:r>
      <w:r>
        <w:rPr>
          <w:color w:val="231F20"/>
          <w:spacing w:val="-19"/>
          <w:w w:val="105"/>
        </w:rPr>
        <w:t> </w:t>
      </w:r>
      <w:r>
        <w:rPr>
          <w:color w:val="231F20"/>
          <w:w w:val="105"/>
        </w:rPr>
        <w:t>de</w:t>
      </w:r>
      <w:r>
        <w:rPr>
          <w:color w:val="231F20"/>
          <w:spacing w:val="-19"/>
          <w:w w:val="105"/>
        </w:rPr>
        <w:t> </w:t>
      </w:r>
      <w:r>
        <w:rPr>
          <w:color w:val="231F20"/>
          <w:w w:val="105"/>
        </w:rPr>
        <w:t>vista</w:t>
      </w:r>
      <w:r>
        <w:rPr>
          <w:color w:val="231F20"/>
          <w:spacing w:val="-19"/>
          <w:w w:val="105"/>
        </w:rPr>
        <w:t> </w:t>
      </w:r>
      <w:r>
        <w:rPr>
          <w:color w:val="231F20"/>
          <w:w w:val="105"/>
        </w:rPr>
        <w:t>que</w:t>
      </w:r>
      <w:r>
        <w:rPr>
          <w:color w:val="231F20"/>
          <w:spacing w:val="-19"/>
          <w:w w:val="105"/>
        </w:rPr>
        <w:t> </w:t>
      </w:r>
      <w:r>
        <w:rPr>
          <w:color w:val="231F20"/>
          <w:w w:val="105"/>
        </w:rPr>
        <w:t>nuestro país</w:t>
      </w:r>
      <w:r>
        <w:rPr>
          <w:color w:val="231F20"/>
          <w:spacing w:val="-19"/>
          <w:w w:val="105"/>
        </w:rPr>
        <w:t> </w:t>
      </w:r>
      <w:r>
        <w:rPr>
          <w:color w:val="231F20"/>
          <w:w w:val="105"/>
        </w:rPr>
        <w:t>se</w:t>
      </w:r>
      <w:r>
        <w:rPr>
          <w:color w:val="231F20"/>
          <w:spacing w:val="-19"/>
          <w:w w:val="105"/>
        </w:rPr>
        <w:t> </w:t>
      </w:r>
      <w:r>
        <w:rPr>
          <w:color w:val="231F20"/>
          <w:w w:val="105"/>
        </w:rPr>
        <w:t>encuentra</w:t>
      </w:r>
      <w:r>
        <w:rPr>
          <w:color w:val="231F20"/>
          <w:spacing w:val="-19"/>
          <w:w w:val="105"/>
        </w:rPr>
        <w:t> </w:t>
      </w:r>
      <w:r>
        <w:rPr>
          <w:color w:val="231F20"/>
          <w:w w:val="105"/>
        </w:rPr>
        <w:t>integrado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sistema</w:t>
      </w:r>
      <w:r>
        <w:rPr>
          <w:color w:val="231F20"/>
          <w:spacing w:val="-19"/>
          <w:w w:val="105"/>
        </w:rPr>
        <w:t> </w:t>
      </w:r>
      <w:r>
        <w:rPr>
          <w:color w:val="231F20"/>
          <w:w w:val="105"/>
        </w:rPr>
        <w:t>migratorio</w:t>
      </w:r>
      <w:r>
        <w:rPr>
          <w:color w:val="231F20"/>
          <w:spacing w:val="-19"/>
          <w:w w:val="105"/>
        </w:rPr>
        <w:t> </w:t>
      </w:r>
      <w:r>
        <w:rPr>
          <w:color w:val="231F20"/>
          <w:w w:val="105"/>
        </w:rPr>
        <w:t>de</w:t>
      </w:r>
      <w:r>
        <w:rPr>
          <w:color w:val="231F20"/>
          <w:spacing w:val="-23"/>
          <w:w w:val="105"/>
        </w:rPr>
        <w:t> </w:t>
      </w:r>
      <w:r>
        <w:rPr>
          <w:color w:val="231F20"/>
          <w:w w:val="105"/>
        </w:rPr>
        <w:t>América</w:t>
      </w:r>
      <w:r>
        <w:rPr>
          <w:color w:val="231F20"/>
          <w:spacing w:val="-19"/>
          <w:w w:val="105"/>
        </w:rPr>
        <w:t> </w:t>
      </w:r>
      <w:r>
        <w:rPr>
          <w:color w:val="231F20"/>
          <w:w w:val="105"/>
        </w:rPr>
        <w:t>del</w:t>
      </w:r>
      <w:r>
        <w:rPr>
          <w:color w:val="231F20"/>
          <w:spacing w:val="-19"/>
          <w:w w:val="105"/>
        </w:rPr>
        <w:t> </w:t>
      </w:r>
      <w:r>
        <w:rPr>
          <w:color w:val="231F20"/>
          <w:w w:val="105"/>
        </w:rPr>
        <w:t>Nor- te,</w:t>
      </w:r>
      <w:r>
        <w:rPr>
          <w:color w:val="231F20"/>
          <w:spacing w:val="-13"/>
          <w:w w:val="105"/>
        </w:rPr>
        <w:t> </w:t>
      </w:r>
      <w:r>
        <w:rPr>
          <w:color w:val="231F20"/>
          <w:w w:val="105"/>
        </w:rPr>
        <w:t>el</w:t>
      </w:r>
      <w:r>
        <w:rPr>
          <w:color w:val="231F20"/>
          <w:spacing w:val="-8"/>
          <w:w w:val="105"/>
        </w:rPr>
        <w:t> </w:t>
      </w:r>
      <w:r>
        <w:rPr>
          <w:color w:val="231F20"/>
          <w:w w:val="105"/>
        </w:rPr>
        <w:t>de</w:t>
      </w:r>
      <w:r>
        <w:rPr>
          <w:color w:val="231F20"/>
          <w:spacing w:val="-8"/>
          <w:w w:val="105"/>
        </w:rPr>
        <w:t> </w:t>
      </w:r>
      <w:r>
        <w:rPr>
          <w:color w:val="231F20"/>
          <w:w w:val="105"/>
        </w:rPr>
        <w:t>mayor</w:t>
      </w:r>
      <w:r>
        <w:rPr>
          <w:color w:val="231F20"/>
          <w:spacing w:val="-8"/>
          <w:w w:val="105"/>
        </w:rPr>
        <w:t> </w:t>
      </w:r>
      <w:r>
        <w:rPr>
          <w:color w:val="231F20"/>
          <w:w w:val="105"/>
        </w:rPr>
        <w:t>movilidad</w:t>
      </w:r>
      <w:r>
        <w:rPr>
          <w:color w:val="231F20"/>
          <w:spacing w:val="-8"/>
          <w:w w:val="105"/>
        </w:rPr>
        <w:t> </w:t>
      </w:r>
      <w:r>
        <w:rPr>
          <w:color w:val="231F20"/>
          <w:w w:val="105"/>
        </w:rPr>
        <w:t>humana</w:t>
      </w:r>
      <w:r>
        <w:rPr>
          <w:color w:val="231F20"/>
          <w:spacing w:val="-8"/>
          <w:w w:val="105"/>
        </w:rPr>
        <w:t> </w:t>
      </w:r>
      <w:r>
        <w:rPr>
          <w:color w:val="231F20"/>
          <w:w w:val="105"/>
        </w:rPr>
        <w:t>y</w:t>
      </w:r>
      <w:r>
        <w:rPr>
          <w:color w:val="231F20"/>
          <w:spacing w:val="-8"/>
          <w:w w:val="105"/>
        </w:rPr>
        <w:t> </w:t>
      </w:r>
      <w:r>
        <w:rPr>
          <w:color w:val="231F20"/>
          <w:w w:val="105"/>
        </w:rPr>
        <w:t>complejidad</w:t>
      </w:r>
      <w:r>
        <w:rPr>
          <w:color w:val="231F20"/>
          <w:spacing w:val="-8"/>
          <w:w w:val="105"/>
        </w:rPr>
        <w:t> </w:t>
      </w:r>
      <w:r>
        <w:rPr>
          <w:color w:val="231F20"/>
          <w:w w:val="105"/>
        </w:rPr>
        <w:t>social.</w:t>
      </w:r>
      <w:r>
        <w:rPr>
          <w:color w:val="231F20"/>
          <w:spacing w:val="-13"/>
          <w:w w:val="105"/>
        </w:rPr>
        <w:t> </w:t>
      </w:r>
      <w:r>
        <w:rPr>
          <w:color w:val="231F20"/>
          <w:w w:val="105"/>
        </w:rPr>
        <w:t>Estados</w:t>
      </w:r>
      <w:r>
        <w:rPr>
          <w:color w:val="231F20"/>
          <w:spacing w:val="-8"/>
          <w:w w:val="105"/>
        </w:rPr>
        <w:t> </w:t>
      </w:r>
      <w:r>
        <w:rPr>
          <w:color w:val="231F20"/>
          <w:w w:val="105"/>
        </w:rPr>
        <w:t>Unidos es el principal destino de migrantes del planeta, particularmente de los mexicanos.</w:t>
      </w:r>
      <w:r>
        <w:rPr>
          <w:color w:val="231F20"/>
          <w:spacing w:val="-31"/>
          <w:w w:val="105"/>
        </w:rPr>
        <w:t> </w:t>
      </w:r>
      <w:r>
        <w:rPr>
          <w:color w:val="231F20"/>
          <w:w w:val="105"/>
        </w:rPr>
        <w:t>Los</w:t>
      </w:r>
      <w:r>
        <w:rPr>
          <w:color w:val="231F20"/>
          <w:spacing w:val="-27"/>
          <w:w w:val="105"/>
        </w:rPr>
        <w:t> </w:t>
      </w:r>
      <w:r>
        <w:rPr>
          <w:color w:val="231F20"/>
          <w:w w:val="105"/>
        </w:rPr>
        <w:t>migrantes</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desplazan</w:t>
      </w:r>
      <w:r>
        <w:rPr>
          <w:color w:val="231F20"/>
          <w:spacing w:val="-27"/>
          <w:w w:val="105"/>
        </w:rPr>
        <w:t> </w:t>
      </w:r>
      <w:r>
        <w:rPr>
          <w:color w:val="231F20"/>
          <w:w w:val="105"/>
        </w:rPr>
        <w:t>de</w:t>
      </w:r>
      <w:r>
        <w:rPr>
          <w:color w:val="231F20"/>
          <w:spacing w:val="-27"/>
          <w:w w:val="105"/>
        </w:rPr>
        <w:t> </w:t>
      </w:r>
      <w:r>
        <w:rPr>
          <w:color w:val="231F20"/>
          <w:w w:val="105"/>
        </w:rPr>
        <w:t>México</w:t>
      </w:r>
      <w:r>
        <w:rPr>
          <w:color w:val="231F20"/>
          <w:spacing w:val="-27"/>
          <w:w w:val="105"/>
        </w:rPr>
        <w:t> </w:t>
      </w:r>
      <w:r>
        <w:rPr>
          <w:color w:val="231F20"/>
          <w:w w:val="105"/>
        </w:rPr>
        <w:t>a</w:t>
      </w:r>
      <w:r>
        <w:rPr>
          <w:color w:val="231F20"/>
          <w:spacing w:val="-27"/>
          <w:w w:val="105"/>
        </w:rPr>
        <w:t> </w:t>
      </w:r>
      <w:r>
        <w:rPr>
          <w:color w:val="231F20"/>
          <w:w w:val="105"/>
        </w:rPr>
        <w:t>Estados</w:t>
      </w:r>
      <w:r>
        <w:rPr>
          <w:color w:val="231F20"/>
          <w:spacing w:val="-27"/>
          <w:w w:val="105"/>
        </w:rPr>
        <w:t> </w:t>
      </w:r>
      <w:r>
        <w:rPr>
          <w:color w:val="231F20"/>
          <w:w w:val="105"/>
        </w:rPr>
        <w:t>Unidos significan</w:t>
      </w:r>
      <w:r>
        <w:rPr>
          <w:color w:val="231F20"/>
          <w:spacing w:val="-16"/>
          <w:w w:val="105"/>
        </w:rPr>
        <w:t> </w:t>
      </w:r>
      <w:r>
        <w:rPr>
          <w:color w:val="231F20"/>
          <w:w w:val="105"/>
        </w:rPr>
        <w:t>casi</w:t>
      </w:r>
      <w:r>
        <w:rPr>
          <w:color w:val="231F20"/>
          <w:spacing w:val="-16"/>
          <w:w w:val="105"/>
        </w:rPr>
        <w:t> </w:t>
      </w:r>
      <w:r>
        <w:rPr>
          <w:color w:val="231F20"/>
          <w:w w:val="105"/>
        </w:rPr>
        <w:t>6%</w:t>
      </w:r>
      <w:r>
        <w:rPr>
          <w:color w:val="231F20"/>
          <w:spacing w:val="-16"/>
          <w:w w:val="105"/>
        </w:rPr>
        <w:t> </w:t>
      </w:r>
      <w:r>
        <w:rPr>
          <w:color w:val="231F20"/>
          <w:w w:val="105"/>
        </w:rPr>
        <w:t>del</w:t>
      </w:r>
      <w:r>
        <w:rPr>
          <w:color w:val="231F20"/>
          <w:spacing w:val="-16"/>
          <w:w w:val="105"/>
        </w:rPr>
        <w:t> </w:t>
      </w:r>
      <w:r>
        <w:rPr>
          <w:color w:val="231F20"/>
          <w:w w:val="105"/>
        </w:rPr>
        <w:t>contingente</w:t>
      </w:r>
      <w:r>
        <w:rPr>
          <w:color w:val="231F20"/>
          <w:spacing w:val="-16"/>
          <w:w w:val="105"/>
        </w:rPr>
        <w:t> </w:t>
      </w:r>
      <w:r>
        <w:rPr>
          <w:color w:val="231F20"/>
          <w:w w:val="105"/>
        </w:rPr>
        <w:t>mundial</w:t>
      </w:r>
      <w:r>
        <w:rPr>
          <w:color w:val="231F20"/>
          <w:spacing w:val="-16"/>
          <w:w w:val="105"/>
        </w:rPr>
        <w:t> </w:t>
      </w:r>
      <w:r>
        <w:rPr>
          <w:color w:val="231F20"/>
          <w:w w:val="105"/>
        </w:rPr>
        <w:t>de</w:t>
      </w:r>
      <w:r>
        <w:rPr>
          <w:color w:val="231F20"/>
          <w:spacing w:val="-16"/>
          <w:w w:val="105"/>
        </w:rPr>
        <w:t> </w:t>
      </w:r>
      <w:r>
        <w:rPr>
          <w:color w:val="231F20"/>
          <w:w w:val="105"/>
        </w:rPr>
        <w:t>migrantes</w:t>
      </w:r>
      <w:r>
        <w:rPr>
          <w:color w:val="231F20"/>
          <w:spacing w:val="-16"/>
          <w:w w:val="105"/>
        </w:rPr>
        <w:t> </w:t>
      </w:r>
      <w:r>
        <w:rPr>
          <w:color w:val="231F20"/>
          <w:w w:val="105"/>
        </w:rPr>
        <w:t>(</w:t>
      </w:r>
      <w:r>
        <w:rPr>
          <w:color w:val="231F20"/>
          <w:w w:val="105"/>
          <w:sz w:val="17"/>
        </w:rPr>
        <w:t>OIM</w:t>
      </w:r>
      <w:r>
        <w:rPr>
          <w:color w:val="231F20"/>
          <w:w w:val="105"/>
        </w:rPr>
        <w:t>,</w:t>
      </w:r>
      <w:r>
        <w:rPr>
          <w:color w:val="231F20"/>
          <w:spacing w:val="-21"/>
          <w:w w:val="105"/>
        </w:rPr>
        <w:t> </w:t>
      </w:r>
      <w:r>
        <w:rPr>
          <w:color w:val="231F20"/>
          <w:w w:val="105"/>
        </w:rPr>
        <w:t>2013).</w:t>
      </w:r>
    </w:p>
    <w:p>
      <w:pPr>
        <w:pStyle w:val="BodyText"/>
        <w:spacing w:line="261" w:lineRule="auto" w:before="1"/>
        <w:ind w:left="1723" w:right="1834" w:firstLine="567"/>
        <w:jc w:val="both"/>
      </w:pPr>
      <w:r>
        <w:rPr>
          <w:color w:val="231F20"/>
          <w:w w:val="105"/>
        </w:rPr>
        <w:t>En este marco, México enfrenta diversos retos asociados con su vecindad</w:t>
      </w:r>
      <w:r>
        <w:rPr>
          <w:color w:val="231F20"/>
          <w:spacing w:val="-10"/>
          <w:w w:val="105"/>
        </w:rPr>
        <w:t> </w:t>
      </w:r>
      <w:r>
        <w:rPr>
          <w:color w:val="231F20"/>
          <w:w w:val="105"/>
        </w:rPr>
        <w:t>geográfica</w:t>
      </w:r>
      <w:r>
        <w:rPr>
          <w:color w:val="231F20"/>
          <w:spacing w:val="-10"/>
          <w:w w:val="105"/>
        </w:rPr>
        <w:t> </w:t>
      </w:r>
      <w:r>
        <w:rPr>
          <w:color w:val="231F20"/>
          <w:w w:val="105"/>
        </w:rPr>
        <w:t>con</w:t>
      </w:r>
      <w:r>
        <w:rPr>
          <w:color w:val="231F20"/>
          <w:spacing w:val="-10"/>
          <w:w w:val="105"/>
        </w:rPr>
        <w:t> </w:t>
      </w:r>
      <w:r>
        <w:rPr>
          <w:color w:val="231F20"/>
          <w:w w:val="105"/>
        </w:rPr>
        <w:t>Estados</w:t>
      </w:r>
      <w:r>
        <w:rPr>
          <w:color w:val="231F20"/>
          <w:spacing w:val="-10"/>
          <w:w w:val="105"/>
        </w:rPr>
        <w:t> </w:t>
      </w:r>
      <w:r>
        <w:rPr>
          <w:color w:val="231F20"/>
          <w:w w:val="105"/>
        </w:rPr>
        <w:t>Unidos,</w:t>
      </w:r>
      <w:r>
        <w:rPr>
          <w:color w:val="231F20"/>
          <w:spacing w:val="-15"/>
          <w:w w:val="105"/>
        </w:rPr>
        <w:t> </w:t>
      </w:r>
      <w:r>
        <w:rPr>
          <w:color w:val="231F20"/>
          <w:w w:val="105"/>
        </w:rPr>
        <w:t>por</w:t>
      </w:r>
      <w:r>
        <w:rPr>
          <w:color w:val="231F20"/>
          <w:spacing w:val="-10"/>
          <w:w w:val="105"/>
        </w:rPr>
        <w:t> </w:t>
      </w:r>
      <w:r>
        <w:rPr>
          <w:color w:val="231F20"/>
          <w:w w:val="105"/>
        </w:rPr>
        <w:t>un</w:t>
      </w:r>
      <w:r>
        <w:rPr>
          <w:color w:val="231F20"/>
          <w:spacing w:val="-10"/>
          <w:w w:val="105"/>
        </w:rPr>
        <w:t> </w:t>
      </w:r>
      <w:r>
        <w:rPr>
          <w:color w:val="231F20"/>
          <w:w w:val="105"/>
        </w:rPr>
        <w:t>lado,</w:t>
      </w:r>
      <w:r>
        <w:rPr>
          <w:color w:val="231F20"/>
          <w:spacing w:val="-16"/>
          <w:w w:val="105"/>
        </w:rPr>
        <w:t> </w:t>
      </w:r>
      <w:r>
        <w:rPr>
          <w:color w:val="231F20"/>
          <w:w w:val="105"/>
        </w:rPr>
        <w:t>con</w:t>
      </w:r>
      <w:r>
        <w:rPr>
          <w:color w:val="231F20"/>
          <w:spacing w:val="-10"/>
          <w:w w:val="105"/>
        </w:rPr>
        <w:t> </w:t>
      </w:r>
      <w:r>
        <w:rPr>
          <w:color w:val="231F20"/>
          <w:w w:val="105"/>
        </w:rPr>
        <w:t>todo</w:t>
      </w:r>
      <w:r>
        <w:rPr>
          <w:color w:val="231F20"/>
          <w:spacing w:val="-10"/>
          <w:w w:val="105"/>
        </w:rPr>
        <w:t> </w:t>
      </w:r>
      <w:r>
        <w:rPr>
          <w:color w:val="231F20"/>
          <w:w w:val="105"/>
        </w:rPr>
        <w:t>y</w:t>
      </w:r>
      <w:r>
        <w:rPr>
          <w:color w:val="231F20"/>
          <w:spacing w:val="-10"/>
          <w:w w:val="105"/>
        </w:rPr>
        <w:t> </w:t>
      </w:r>
      <w:r>
        <w:rPr>
          <w:color w:val="231F20"/>
          <w:w w:val="105"/>
        </w:rPr>
        <w:t>las</w:t>
      </w:r>
      <w:r>
        <w:rPr>
          <w:color w:val="231F20"/>
          <w:spacing w:val="-10"/>
          <w:w w:val="105"/>
        </w:rPr>
        <w:t> </w:t>
      </w:r>
      <w:r>
        <w:rPr>
          <w:color w:val="231F20"/>
          <w:w w:val="105"/>
        </w:rPr>
        <w:t>ini- ciativas</w:t>
      </w:r>
      <w:r>
        <w:rPr>
          <w:color w:val="231F20"/>
          <w:spacing w:val="-6"/>
          <w:w w:val="105"/>
        </w:rPr>
        <w:t> </w:t>
      </w:r>
      <w:r>
        <w:rPr>
          <w:color w:val="231F20"/>
          <w:w w:val="105"/>
        </w:rPr>
        <w:t>de</w:t>
      </w:r>
      <w:r>
        <w:rPr>
          <w:color w:val="231F20"/>
          <w:spacing w:val="-6"/>
          <w:w w:val="105"/>
        </w:rPr>
        <w:t> </w:t>
      </w:r>
      <w:r>
        <w:rPr>
          <w:color w:val="231F20"/>
          <w:w w:val="105"/>
        </w:rPr>
        <w:t>control</w:t>
      </w:r>
      <w:r>
        <w:rPr>
          <w:color w:val="231F20"/>
          <w:spacing w:val="-6"/>
          <w:w w:val="105"/>
        </w:rPr>
        <w:t> </w:t>
      </w:r>
      <w:r>
        <w:rPr>
          <w:color w:val="231F20"/>
          <w:w w:val="105"/>
        </w:rPr>
        <w:t>y</w:t>
      </w:r>
      <w:r>
        <w:rPr>
          <w:color w:val="231F20"/>
          <w:spacing w:val="-6"/>
          <w:w w:val="105"/>
        </w:rPr>
        <w:t> </w:t>
      </w:r>
      <w:r>
        <w:rPr>
          <w:color w:val="231F20"/>
          <w:w w:val="105"/>
        </w:rPr>
        <w:t>resguardo</w:t>
      </w:r>
      <w:r>
        <w:rPr>
          <w:color w:val="231F20"/>
          <w:spacing w:val="-6"/>
          <w:w w:val="105"/>
        </w:rPr>
        <w:t> </w:t>
      </w:r>
      <w:r>
        <w:rPr>
          <w:color w:val="231F20"/>
          <w:w w:val="105"/>
        </w:rPr>
        <w:t>fronterizo,</w:t>
      </w:r>
      <w:r>
        <w:rPr>
          <w:color w:val="231F20"/>
          <w:spacing w:val="-11"/>
          <w:w w:val="105"/>
        </w:rPr>
        <w:t> </w:t>
      </w:r>
      <w:r>
        <w:rPr>
          <w:color w:val="231F20"/>
          <w:w w:val="105"/>
        </w:rPr>
        <w:t>la</w:t>
      </w:r>
      <w:r>
        <w:rPr>
          <w:color w:val="231F20"/>
          <w:spacing w:val="-6"/>
          <w:w w:val="105"/>
        </w:rPr>
        <w:t> </w:t>
      </w:r>
      <w:r>
        <w:rPr>
          <w:color w:val="231F20"/>
          <w:w w:val="105"/>
        </w:rPr>
        <w:t>circulación</w:t>
      </w:r>
      <w:r>
        <w:rPr>
          <w:color w:val="231F20"/>
          <w:spacing w:val="-6"/>
          <w:w w:val="105"/>
        </w:rPr>
        <w:t> </w:t>
      </w:r>
      <w:r>
        <w:rPr>
          <w:color w:val="231F20"/>
          <w:w w:val="105"/>
        </w:rPr>
        <w:t>migratoria</w:t>
      </w:r>
      <w:r>
        <w:rPr>
          <w:color w:val="231F20"/>
          <w:spacing w:val="-6"/>
          <w:w w:val="105"/>
        </w:rPr>
        <w:t> </w:t>
      </w:r>
      <w:r>
        <w:rPr>
          <w:color w:val="231F20"/>
          <w:w w:val="105"/>
        </w:rPr>
        <w:t>entre estas dos naciones es constante y en ambos países se reconoce de</w:t>
      </w:r>
      <w:r>
        <w:rPr>
          <w:color w:val="231F20"/>
          <w:spacing w:val="-35"/>
          <w:w w:val="105"/>
        </w:rPr>
        <w:t> </w:t>
      </w:r>
      <w:r>
        <w:rPr>
          <w:color w:val="231F20"/>
          <w:w w:val="105"/>
        </w:rPr>
        <w:t>al- cance</w:t>
      </w:r>
      <w:r>
        <w:rPr>
          <w:color w:val="231F20"/>
          <w:spacing w:val="-19"/>
          <w:w w:val="105"/>
        </w:rPr>
        <w:t> </w:t>
      </w:r>
      <w:r>
        <w:rPr>
          <w:color w:val="231F20"/>
          <w:w w:val="105"/>
        </w:rPr>
        <w:t>nacional,</w:t>
      </w:r>
      <w:r>
        <w:rPr>
          <w:color w:val="231F20"/>
          <w:spacing w:val="-23"/>
          <w:w w:val="105"/>
        </w:rPr>
        <w:t> </w:t>
      </w:r>
      <w:r>
        <w:rPr>
          <w:color w:val="231F20"/>
          <w:w w:val="105"/>
        </w:rPr>
        <w:t>aunque</w:t>
      </w:r>
      <w:r>
        <w:rPr>
          <w:color w:val="231F20"/>
          <w:spacing w:val="-19"/>
          <w:w w:val="105"/>
        </w:rPr>
        <w:t> </w:t>
      </w:r>
      <w:r>
        <w:rPr>
          <w:color w:val="231F20"/>
          <w:w w:val="105"/>
        </w:rPr>
        <w:t>con</w:t>
      </w:r>
      <w:r>
        <w:rPr>
          <w:color w:val="231F20"/>
          <w:spacing w:val="-19"/>
          <w:w w:val="105"/>
        </w:rPr>
        <w:t> </w:t>
      </w:r>
      <w:r>
        <w:rPr>
          <w:color w:val="231F20"/>
          <w:w w:val="105"/>
        </w:rPr>
        <w:t>intensidades,</w:t>
      </w:r>
      <w:r>
        <w:rPr>
          <w:color w:val="231F20"/>
          <w:spacing w:val="-23"/>
          <w:w w:val="105"/>
        </w:rPr>
        <w:t> </w:t>
      </w:r>
      <w:r>
        <w:rPr>
          <w:color w:val="231F20"/>
          <w:w w:val="105"/>
        </w:rPr>
        <w:t>modalidades</w:t>
      </w:r>
      <w:r>
        <w:rPr>
          <w:color w:val="231F20"/>
          <w:spacing w:val="-19"/>
          <w:w w:val="105"/>
        </w:rPr>
        <w:t> </w:t>
      </w:r>
      <w:r>
        <w:rPr>
          <w:color w:val="231F20"/>
          <w:w w:val="105"/>
        </w:rPr>
        <w:t>y</w:t>
      </w:r>
      <w:r>
        <w:rPr>
          <w:color w:val="231F20"/>
          <w:spacing w:val="-19"/>
          <w:w w:val="105"/>
        </w:rPr>
        <w:t> </w:t>
      </w:r>
      <w:r>
        <w:rPr>
          <w:color w:val="231F20"/>
          <w:w w:val="105"/>
        </w:rPr>
        <w:t>características diferenciadas regional y localmente. </w:t>
      </w:r>
      <w:r>
        <w:rPr>
          <w:color w:val="231F20"/>
          <w:spacing w:val="-6"/>
          <w:w w:val="105"/>
        </w:rPr>
        <w:t>Por </w:t>
      </w:r>
      <w:r>
        <w:rPr>
          <w:color w:val="231F20"/>
          <w:w w:val="105"/>
        </w:rPr>
        <w:t>otro lado, la migración de</w:t>
      </w:r>
      <w:r>
        <w:rPr>
          <w:color w:val="231F20"/>
          <w:spacing w:val="-28"/>
          <w:w w:val="105"/>
        </w:rPr>
        <w:t> </w:t>
      </w:r>
      <w:r>
        <w:rPr>
          <w:color w:val="231F20"/>
          <w:w w:val="105"/>
        </w:rPr>
        <w:t>trán- sito irregular por México, particularmente de nacionales de países cen- troamericanos,</w:t>
      </w:r>
      <w:r>
        <w:rPr>
          <w:color w:val="231F20"/>
          <w:spacing w:val="-12"/>
          <w:w w:val="105"/>
        </w:rPr>
        <w:t> </w:t>
      </w:r>
      <w:r>
        <w:rPr>
          <w:color w:val="231F20"/>
          <w:w w:val="105"/>
        </w:rPr>
        <w:t>ha</w:t>
      </w:r>
      <w:r>
        <w:rPr>
          <w:color w:val="231F20"/>
          <w:spacing w:val="-7"/>
          <w:w w:val="105"/>
        </w:rPr>
        <w:t> </w:t>
      </w:r>
      <w:r>
        <w:rPr>
          <w:color w:val="231F20"/>
          <w:w w:val="105"/>
        </w:rPr>
        <w:t>venido</w:t>
      </w:r>
      <w:r>
        <w:rPr>
          <w:color w:val="231F20"/>
          <w:spacing w:val="-7"/>
          <w:w w:val="105"/>
        </w:rPr>
        <w:t> </w:t>
      </w:r>
      <w:r>
        <w:rPr>
          <w:color w:val="231F20"/>
          <w:w w:val="105"/>
        </w:rPr>
        <w:t>cobrando</w:t>
      </w:r>
      <w:r>
        <w:rPr>
          <w:color w:val="231F20"/>
          <w:spacing w:val="-7"/>
          <w:w w:val="105"/>
        </w:rPr>
        <w:t> </w:t>
      </w:r>
      <w:r>
        <w:rPr>
          <w:color w:val="231F20"/>
          <w:w w:val="105"/>
        </w:rPr>
        <w:t>importancia</w:t>
      </w:r>
      <w:r>
        <w:rPr>
          <w:color w:val="231F20"/>
          <w:spacing w:val="-7"/>
          <w:w w:val="105"/>
        </w:rPr>
        <w:t> </w:t>
      </w:r>
      <w:r>
        <w:rPr>
          <w:color w:val="231F20"/>
          <w:w w:val="105"/>
        </w:rPr>
        <w:t>desde</w:t>
      </w:r>
      <w:r>
        <w:rPr>
          <w:color w:val="231F20"/>
          <w:spacing w:val="-7"/>
          <w:w w:val="105"/>
        </w:rPr>
        <w:t> </w:t>
      </w:r>
      <w:r>
        <w:rPr>
          <w:color w:val="231F20"/>
          <w:w w:val="105"/>
        </w:rPr>
        <w:t>la</w:t>
      </w:r>
      <w:r>
        <w:rPr>
          <w:color w:val="231F20"/>
          <w:spacing w:val="-7"/>
          <w:w w:val="105"/>
        </w:rPr>
        <w:t> </w:t>
      </w:r>
      <w:r>
        <w:rPr>
          <w:color w:val="231F20"/>
          <w:w w:val="105"/>
        </w:rPr>
        <w:t>década</w:t>
      </w:r>
      <w:r>
        <w:rPr>
          <w:color w:val="231F20"/>
          <w:spacing w:val="-7"/>
          <w:w w:val="105"/>
        </w:rPr>
        <w:t> </w:t>
      </w:r>
      <w:r>
        <w:rPr>
          <w:color w:val="231F20"/>
          <w:w w:val="105"/>
        </w:rPr>
        <w:t>de</w:t>
      </w:r>
      <w:r>
        <w:rPr>
          <w:color w:val="231F20"/>
          <w:spacing w:val="-7"/>
          <w:w w:val="105"/>
        </w:rPr>
        <w:t> </w:t>
      </w:r>
      <w:r>
        <w:rPr>
          <w:color w:val="231F20"/>
          <w:w w:val="105"/>
        </w:rPr>
        <w:t>los noventa,</w:t>
      </w:r>
      <w:r>
        <w:rPr>
          <w:color w:val="231F20"/>
          <w:spacing w:val="-26"/>
          <w:w w:val="105"/>
        </w:rPr>
        <w:t> </w:t>
      </w:r>
      <w:r>
        <w:rPr>
          <w:color w:val="231F20"/>
          <w:w w:val="105"/>
        </w:rPr>
        <w:t>además</w:t>
      </w:r>
      <w:r>
        <w:rPr>
          <w:color w:val="231F20"/>
          <w:spacing w:val="-21"/>
          <w:w w:val="105"/>
        </w:rPr>
        <w:t> </w:t>
      </w:r>
      <w:r>
        <w:rPr>
          <w:color w:val="231F20"/>
          <w:w w:val="105"/>
        </w:rPr>
        <w:t>de</w:t>
      </w:r>
      <w:r>
        <w:rPr>
          <w:color w:val="231F20"/>
          <w:spacing w:val="-21"/>
          <w:w w:val="105"/>
        </w:rPr>
        <w:t> </w:t>
      </w:r>
      <w:r>
        <w:rPr>
          <w:color w:val="231F20"/>
          <w:w w:val="105"/>
        </w:rPr>
        <w:t>que</w:t>
      </w:r>
      <w:r>
        <w:rPr>
          <w:color w:val="231F20"/>
          <w:spacing w:val="-21"/>
          <w:w w:val="105"/>
        </w:rPr>
        <w:t> </w:t>
      </w:r>
      <w:r>
        <w:rPr>
          <w:color w:val="231F20"/>
          <w:w w:val="105"/>
        </w:rPr>
        <w:t>parece</w:t>
      </w:r>
      <w:r>
        <w:rPr>
          <w:color w:val="231F20"/>
          <w:spacing w:val="-21"/>
          <w:w w:val="105"/>
        </w:rPr>
        <w:t> </w:t>
      </w:r>
      <w:r>
        <w:rPr>
          <w:color w:val="231F20"/>
          <w:w w:val="105"/>
        </w:rPr>
        <w:t>registrarse</w:t>
      </w:r>
      <w:r>
        <w:rPr>
          <w:color w:val="231F20"/>
          <w:spacing w:val="-21"/>
          <w:w w:val="105"/>
        </w:rPr>
        <w:t> </w:t>
      </w:r>
      <w:r>
        <w:rPr>
          <w:color w:val="231F20"/>
          <w:w w:val="105"/>
        </w:rPr>
        <w:t>una</w:t>
      </w:r>
      <w:r>
        <w:rPr>
          <w:color w:val="231F20"/>
          <w:spacing w:val="-21"/>
          <w:w w:val="105"/>
        </w:rPr>
        <w:t> </w:t>
      </w:r>
      <w:r>
        <w:rPr>
          <w:color w:val="231F20"/>
          <w:w w:val="105"/>
        </w:rPr>
        <w:t>tendencia</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alza,</w:t>
      </w:r>
      <w:r>
        <w:rPr>
          <w:color w:val="231F20"/>
          <w:spacing w:val="-26"/>
          <w:w w:val="105"/>
        </w:rPr>
        <w:t> </w:t>
      </w:r>
      <w:r>
        <w:rPr>
          <w:color w:val="231F20"/>
          <w:w w:val="105"/>
        </w:rPr>
        <w:t>de</w:t>
      </w:r>
      <w:r>
        <w:rPr>
          <w:color w:val="231F20"/>
          <w:spacing w:val="-21"/>
          <w:w w:val="105"/>
        </w:rPr>
        <w:t> </w:t>
      </w:r>
      <w:r>
        <w:rPr>
          <w:color w:val="231F20"/>
          <w:w w:val="105"/>
        </w:rPr>
        <w:t>la que</w:t>
      </w:r>
      <w:r>
        <w:rPr>
          <w:color w:val="231F20"/>
          <w:spacing w:val="-11"/>
          <w:w w:val="105"/>
        </w:rPr>
        <w:t> </w:t>
      </w:r>
      <w:r>
        <w:rPr>
          <w:color w:val="231F20"/>
          <w:w w:val="105"/>
        </w:rPr>
        <w:t>puede</w:t>
      </w:r>
      <w:r>
        <w:rPr>
          <w:color w:val="231F20"/>
          <w:spacing w:val="-11"/>
          <w:w w:val="105"/>
        </w:rPr>
        <w:t> </w:t>
      </w:r>
      <w:r>
        <w:rPr>
          <w:color w:val="231F20"/>
          <w:w w:val="105"/>
        </w:rPr>
        <w:t>advertirse</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alternativa</w:t>
      </w:r>
      <w:r>
        <w:rPr>
          <w:color w:val="231F20"/>
          <w:spacing w:val="-11"/>
          <w:w w:val="105"/>
        </w:rPr>
        <w:t> </w:t>
      </w:r>
      <w:r>
        <w:rPr>
          <w:color w:val="231F20"/>
          <w:w w:val="105"/>
        </w:rPr>
        <w:t>de</w:t>
      </w:r>
      <w:r>
        <w:rPr>
          <w:color w:val="231F20"/>
          <w:spacing w:val="-11"/>
          <w:w w:val="105"/>
        </w:rPr>
        <w:t> </w:t>
      </w:r>
      <w:r>
        <w:rPr>
          <w:color w:val="231F20"/>
          <w:w w:val="105"/>
        </w:rPr>
        <w:t>migrar</w:t>
      </w:r>
      <w:r>
        <w:rPr>
          <w:color w:val="231F20"/>
          <w:spacing w:val="-11"/>
          <w:w w:val="105"/>
        </w:rPr>
        <w:t> </w:t>
      </w:r>
      <w:r>
        <w:rPr>
          <w:color w:val="231F20"/>
          <w:w w:val="105"/>
        </w:rPr>
        <w:t>sigue</w:t>
      </w:r>
      <w:r>
        <w:rPr>
          <w:color w:val="231F20"/>
          <w:spacing w:val="-11"/>
          <w:w w:val="105"/>
        </w:rPr>
        <w:t> </w:t>
      </w:r>
      <w:r>
        <w:rPr>
          <w:color w:val="231F20"/>
          <w:w w:val="105"/>
        </w:rPr>
        <w:t>siendo</w:t>
      </w:r>
      <w:r>
        <w:rPr>
          <w:color w:val="231F20"/>
          <w:spacing w:val="-11"/>
          <w:w w:val="105"/>
        </w:rPr>
        <w:t> </w:t>
      </w:r>
      <w:r>
        <w:rPr>
          <w:color w:val="231F20"/>
          <w:w w:val="105"/>
        </w:rPr>
        <w:t>para</w:t>
      </w:r>
      <w:r>
        <w:rPr>
          <w:color w:val="231F20"/>
          <w:spacing w:val="-11"/>
          <w:w w:val="105"/>
        </w:rPr>
        <w:t> </w:t>
      </w:r>
      <w:r>
        <w:rPr>
          <w:color w:val="231F20"/>
          <w:w w:val="105"/>
        </w:rPr>
        <w:t>mu- chos</w:t>
      </w:r>
      <w:r>
        <w:rPr>
          <w:color w:val="231F20"/>
          <w:spacing w:val="-14"/>
          <w:w w:val="105"/>
        </w:rPr>
        <w:t> </w:t>
      </w:r>
      <w:r>
        <w:rPr>
          <w:color w:val="231F20"/>
          <w:w w:val="105"/>
        </w:rPr>
        <w:t>ciudadanos</w:t>
      </w:r>
      <w:r>
        <w:rPr>
          <w:color w:val="231F20"/>
          <w:spacing w:val="-14"/>
          <w:w w:val="105"/>
        </w:rPr>
        <w:t> </w:t>
      </w:r>
      <w:r>
        <w:rPr>
          <w:color w:val="231F20"/>
          <w:w w:val="105"/>
        </w:rPr>
        <w:t>de</w:t>
      </w:r>
      <w:r>
        <w:rPr>
          <w:color w:val="231F20"/>
          <w:spacing w:val="-14"/>
          <w:w w:val="105"/>
        </w:rPr>
        <w:t> </w:t>
      </w:r>
      <w:r>
        <w:rPr>
          <w:color w:val="231F20"/>
          <w:w w:val="105"/>
        </w:rPr>
        <w:t>El</w:t>
      </w:r>
      <w:r>
        <w:rPr>
          <w:color w:val="231F20"/>
          <w:spacing w:val="-14"/>
          <w:w w:val="105"/>
        </w:rPr>
        <w:t> </w:t>
      </w:r>
      <w:r>
        <w:rPr>
          <w:color w:val="231F20"/>
          <w:w w:val="105"/>
        </w:rPr>
        <w:t>Salvador,</w:t>
      </w:r>
      <w:r>
        <w:rPr>
          <w:color w:val="231F20"/>
          <w:spacing w:val="-19"/>
          <w:w w:val="105"/>
        </w:rPr>
        <w:t> </w:t>
      </w:r>
      <w:r>
        <w:rPr>
          <w:color w:val="231F20"/>
          <w:w w:val="105"/>
        </w:rPr>
        <w:t>Honduras</w:t>
      </w:r>
      <w:r>
        <w:rPr>
          <w:color w:val="231F20"/>
          <w:spacing w:val="-14"/>
          <w:w w:val="105"/>
        </w:rPr>
        <w:t> </w:t>
      </w:r>
      <w:r>
        <w:rPr>
          <w:color w:val="231F20"/>
          <w:w w:val="105"/>
        </w:rPr>
        <w:t>y</w:t>
      </w:r>
      <w:r>
        <w:rPr>
          <w:color w:val="231F20"/>
          <w:spacing w:val="-14"/>
          <w:w w:val="105"/>
        </w:rPr>
        <w:t> </w:t>
      </w:r>
      <w:r>
        <w:rPr>
          <w:color w:val="231F20"/>
          <w:w w:val="105"/>
        </w:rPr>
        <w:t>Guatemala</w:t>
      </w:r>
      <w:r>
        <w:rPr>
          <w:color w:val="231F20"/>
          <w:spacing w:val="-14"/>
          <w:w w:val="105"/>
        </w:rPr>
        <w:t> </w:t>
      </w:r>
      <w:r>
        <w:rPr>
          <w:color w:val="231F20"/>
          <w:w w:val="105"/>
        </w:rPr>
        <w:t>la</w:t>
      </w:r>
      <w:r>
        <w:rPr>
          <w:color w:val="231F20"/>
          <w:spacing w:val="-14"/>
          <w:w w:val="105"/>
        </w:rPr>
        <w:t> </w:t>
      </w:r>
      <w:r>
        <w:rPr>
          <w:color w:val="231F20"/>
          <w:w w:val="105"/>
        </w:rPr>
        <w:t>única</w:t>
      </w:r>
      <w:r>
        <w:rPr>
          <w:color w:val="231F20"/>
          <w:spacing w:val="-14"/>
          <w:w w:val="105"/>
        </w:rPr>
        <w:t> </w:t>
      </w:r>
      <w:r>
        <w:rPr>
          <w:color w:val="231F20"/>
          <w:w w:val="105"/>
        </w:rPr>
        <w:t>opción viable</w:t>
      </w:r>
      <w:r>
        <w:rPr>
          <w:color w:val="231F20"/>
          <w:spacing w:val="-18"/>
          <w:w w:val="105"/>
        </w:rPr>
        <w:t> </w:t>
      </w:r>
      <w:r>
        <w:rPr>
          <w:color w:val="231F20"/>
          <w:w w:val="105"/>
        </w:rPr>
        <w:t>ante</w:t>
      </w:r>
      <w:r>
        <w:rPr>
          <w:color w:val="231F20"/>
          <w:spacing w:val="-18"/>
          <w:w w:val="105"/>
        </w:rPr>
        <w:t> </w:t>
      </w:r>
      <w:r>
        <w:rPr>
          <w:color w:val="231F20"/>
          <w:w w:val="105"/>
        </w:rPr>
        <w:t>las</w:t>
      </w:r>
      <w:r>
        <w:rPr>
          <w:color w:val="231F20"/>
          <w:spacing w:val="-18"/>
          <w:w w:val="105"/>
        </w:rPr>
        <w:t> </w:t>
      </w:r>
      <w:r>
        <w:rPr>
          <w:color w:val="231F20"/>
          <w:w w:val="105"/>
        </w:rPr>
        <w:t>situaciones</w:t>
      </w:r>
      <w:r>
        <w:rPr>
          <w:color w:val="231F20"/>
          <w:spacing w:val="-18"/>
          <w:w w:val="105"/>
        </w:rPr>
        <w:t> </w:t>
      </w:r>
      <w:r>
        <w:rPr>
          <w:color w:val="231F20"/>
          <w:w w:val="105"/>
        </w:rPr>
        <w:t>de</w:t>
      </w:r>
      <w:r>
        <w:rPr>
          <w:color w:val="231F20"/>
          <w:spacing w:val="-18"/>
          <w:w w:val="105"/>
        </w:rPr>
        <w:t> </w:t>
      </w:r>
      <w:r>
        <w:rPr>
          <w:color w:val="231F20"/>
          <w:w w:val="105"/>
        </w:rPr>
        <w:t>marginación</w:t>
      </w:r>
      <w:r>
        <w:rPr>
          <w:color w:val="231F20"/>
          <w:spacing w:val="-18"/>
          <w:w w:val="105"/>
        </w:rPr>
        <w:t> </w:t>
      </w:r>
      <w:r>
        <w:rPr>
          <w:color w:val="231F20"/>
          <w:w w:val="105"/>
        </w:rPr>
        <w:t>(</w:t>
      </w:r>
      <w:r>
        <w:rPr>
          <w:color w:val="231F20"/>
          <w:w w:val="105"/>
          <w:sz w:val="17"/>
        </w:rPr>
        <w:t>PR</w:t>
      </w:r>
      <w:r>
        <w:rPr>
          <w:color w:val="231F20"/>
          <w:w w:val="105"/>
        </w:rPr>
        <w:t>,</w:t>
      </w:r>
      <w:r>
        <w:rPr>
          <w:color w:val="231F20"/>
          <w:spacing w:val="-23"/>
          <w:w w:val="105"/>
        </w:rPr>
        <w:t> </w:t>
      </w:r>
      <w:r>
        <w:rPr>
          <w:color w:val="231F20"/>
          <w:w w:val="105"/>
        </w:rPr>
        <w:t>2014)</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violencia</w:t>
      </w:r>
      <w:r>
        <w:rPr>
          <w:color w:val="231F20"/>
          <w:spacing w:val="-18"/>
          <w:w w:val="105"/>
        </w:rPr>
        <w:t> </w:t>
      </w:r>
      <w:r>
        <w:rPr>
          <w:color w:val="231F20"/>
          <w:w w:val="105"/>
        </w:rPr>
        <w:t>de</w:t>
      </w:r>
      <w:r>
        <w:rPr>
          <w:color w:val="231F20"/>
          <w:spacing w:val="-18"/>
          <w:w w:val="105"/>
        </w:rPr>
        <w:t> </w:t>
      </w:r>
      <w:r>
        <w:rPr>
          <w:color w:val="231F20"/>
          <w:w w:val="105"/>
        </w:rPr>
        <w:t>la que</w:t>
      </w:r>
      <w:r>
        <w:rPr>
          <w:color w:val="231F20"/>
          <w:spacing w:val="-22"/>
          <w:w w:val="105"/>
        </w:rPr>
        <w:t> </w:t>
      </w:r>
      <w:r>
        <w:rPr>
          <w:color w:val="231F20"/>
          <w:w w:val="105"/>
        </w:rPr>
        <w:t>buscan</w:t>
      </w:r>
      <w:r>
        <w:rPr>
          <w:color w:val="231F20"/>
          <w:spacing w:val="-22"/>
          <w:w w:val="105"/>
        </w:rPr>
        <w:t> </w:t>
      </w:r>
      <w:r>
        <w:rPr>
          <w:color w:val="231F20"/>
          <w:w w:val="105"/>
        </w:rPr>
        <w:t>escapar</w:t>
      </w:r>
      <w:r>
        <w:rPr>
          <w:color w:val="231F20"/>
          <w:spacing w:val="-22"/>
          <w:w w:val="105"/>
        </w:rPr>
        <w:t> </w:t>
      </w:r>
      <w:r>
        <w:rPr>
          <w:color w:val="231F20"/>
          <w:w w:val="105"/>
        </w:rPr>
        <w:t>en</w:t>
      </w:r>
      <w:r>
        <w:rPr>
          <w:color w:val="231F20"/>
          <w:spacing w:val="-22"/>
          <w:w w:val="105"/>
        </w:rPr>
        <w:t> </w:t>
      </w:r>
      <w:r>
        <w:rPr>
          <w:color w:val="231F20"/>
          <w:w w:val="105"/>
        </w:rPr>
        <w:t>sus</w:t>
      </w:r>
      <w:r>
        <w:rPr>
          <w:color w:val="231F20"/>
          <w:spacing w:val="-22"/>
          <w:w w:val="105"/>
        </w:rPr>
        <w:t> </w:t>
      </w:r>
      <w:r>
        <w:rPr>
          <w:color w:val="231F20"/>
          <w:w w:val="105"/>
        </w:rPr>
        <w:t>países</w:t>
      </w:r>
      <w:r>
        <w:rPr>
          <w:color w:val="231F20"/>
          <w:spacing w:val="-22"/>
          <w:w w:val="105"/>
        </w:rPr>
        <w:t> </w:t>
      </w:r>
      <w:r>
        <w:rPr>
          <w:color w:val="231F20"/>
          <w:w w:val="105"/>
        </w:rPr>
        <w:t>de</w:t>
      </w:r>
      <w:r>
        <w:rPr>
          <w:color w:val="231F20"/>
          <w:spacing w:val="-22"/>
          <w:w w:val="105"/>
        </w:rPr>
        <w:t> </w:t>
      </w:r>
      <w:r>
        <w:rPr>
          <w:color w:val="231F20"/>
          <w:w w:val="105"/>
        </w:rPr>
        <w:t>origen.</w:t>
      </w:r>
    </w:p>
    <w:p>
      <w:pPr>
        <w:pStyle w:val="BodyText"/>
        <w:spacing w:line="261" w:lineRule="auto" w:before="1"/>
        <w:ind w:left="1723" w:right="1828" w:firstLine="567"/>
        <w:jc w:val="both"/>
      </w:pP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contexto</w:t>
      </w:r>
      <w:r>
        <w:rPr>
          <w:color w:val="231F20"/>
          <w:spacing w:val="-11"/>
          <w:w w:val="105"/>
        </w:rPr>
        <w:t> </w:t>
      </w:r>
      <w:r>
        <w:rPr>
          <w:color w:val="231F20"/>
          <w:w w:val="105"/>
        </w:rPr>
        <w:t>de</w:t>
      </w:r>
      <w:r>
        <w:rPr>
          <w:color w:val="231F20"/>
          <w:spacing w:val="-11"/>
          <w:w w:val="105"/>
        </w:rPr>
        <w:t> </w:t>
      </w:r>
      <w:r>
        <w:rPr>
          <w:color w:val="231F20"/>
          <w:w w:val="105"/>
        </w:rPr>
        <w:t>nuestro</w:t>
      </w:r>
      <w:r>
        <w:rPr>
          <w:color w:val="231F20"/>
          <w:spacing w:val="-11"/>
          <w:w w:val="105"/>
        </w:rPr>
        <w:t> </w:t>
      </w:r>
      <w:r>
        <w:rPr>
          <w:color w:val="231F20"/>
          <w:w w:val="105"/>
        </w:rPr>
        <w:t>país,</w:t>
      </w:r>
      <w:r>
        <w:rPr>
          <w:color w:val="231F20"/>
          <w:spacing w:val="-17"/>
          <w:w w:val="105"/>
        </w:rPr>
        <w:t> </w:t>
      </w:r>
      <w:r>
        <w:rPr>
          <w:color w:val="231F20"/>
          <w:w w:val="105"/>
        </w:rPr>
        <w:t>el</w:t>
      </w:r>
      <w:r>
        <w:rPr>
          <w:color w:val="231F20"/>
          <w:spacing w:val="-11"/>
          <w:w w:val="105"/>
        </w:rPr>
        <w:t> </w:t>
      </w:r>
      <w:r>
        <w:rPr>
          <w:color w:val="231F20"/>
          <w:w w:val="105"/>
        </w:rPr>
        <w:t>Estado</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7"/>
          <w:w w:val="105"/>
        </w:rPr>
        <w:t> </w:t>
      </w:r>
      <w:r>
        <w:rPr>
          <w:color w:val="231F20"/>
          <w:w w:val="105"/>
        </w:rPr>
        <w:t>ubicado</w:t>
      </w:r>
      <w:r>
        <w:rPr>
          <w:color w:val="231F20"/>
          <w:spacing w:val="-11"/>
          <w:w w:val="105"/>
        </w:rPr>
        <w:t> </w:t>
      </w:r>
      <w:r>
        <w:rPr>
          <w:color w:val="231F20"/>
          <w:w w:val="105"/>
        </w:rPr>
        <w:t>en</w:t>
      </w:r>
      <w:r>
        <w:rPr>
          <w:color w:val="231F20"/>
          <w:spacing w:val="-11"/>
          <w:w w:val="105"/>
        </w:rPr>
        <w:t> </w:t>
      </w:r>
      <w:r>
        <w:rPr>
          <w:color w:val="231F20"/>
          <w:w w:val="105"/>
        </w:rPr>
        <w:t>la región</w:t>
      </w:r>
      <w:r>
        <w:rPr>
          <w:color w:val="231F20"/>
          <w:spacing w:val="-6"/>
          <w:w w:val="105"/>
        </w:rPr>
        <w:t> </w:t>
      </w:r>
      <w:r>
        <w:rPr>
          <w:color w:val="231F20"/>
          <w:w w:val="105"/>
        </w:rPr>
        <w:t>centro</w:t>
      </w:r>
      <w:r>
        <w:rPr>
          <w:color w:val="231F20"/>
          <w:spacing w:val="-6"/>
          <w:w w:val="105"/>
        </w:rPr>
        <w:t> </w:t>
      </w:r>
      <w:r>
        <w:rPr>
          <w:color w:val="231F20"/>
          <w:w w:val="105"/>
        </w:rPr>
        <w:t>del</w:t>
      </w:r>
      <w:r>
        <w:rPr>
          <w:color w:val="231F20"/>
          <w:spacing w:val="-6"/>
          <w:w w:val="105"/>
        </w:rPr>
        <w:t> </w:t>
      </w:r>
      <w:r>
        <w:rPr>
          <w:color w:val="231F20"/>
          <w:w w:val="105"/>
        </w:rPr>
        <w:t>territorio</w:t>
      </w:r>
      <w:r>
        <w:rPr>
          <w:color w:val="231F20"/>
          <w:spacing w:val="-6"/>
          <w:w w:val="105"/>
        </w:rPr>
        <w:t> </w:t>
      </w:r>
      <w:r>
        <w:rPr>
          <w:color w:val="231F20"/>
          <w:w w:val="105"/>
        </w:rPr>
        <w:t>nacional,</w:t>
      </w:r>
      <w:r>
        <w:rPr>
          <w:color w:val="231F20"/>
          <w:spacing w:val="-12"/>
          <w:w w:val="105"/>
        </w:rPr>
        <w:t> </w:t>
      </w:r>
      <w:r>
        <w:rPr>
          <w:color w:val="231F20"/>
          <w:w w:val="105"/>
        </w:rPr>
        <w:t>es</w:t>
      </w:r>
      <w:r>
        <w:rPr>
          <w:color w:val="231F20"/>
          <w:spacing w:val="-6"/>
          <w:w w:val="105"/>
        </w:rPr>
        <w:t> </w:t>
      </w:r>
      <w:r>
        <w:rPr>
          <w:color w:val="231F20"/>
          <w:w w:val="105"/>
        </w:rPr>
        <w:t>una</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entidades</w:t>
      </w:r>
      <w:r>
        <w:rPr>
          <w:color w:val="231F20"/>
          <w:spacing w:val="-6"/>
          <w:w w:val="105"/>
        </w:rPr>
        <w:t> </w:t>
      </w:r>
      <w:r>
        <w:rPr>
          <w:color w:val="231F20"/>
          <w:w w:val="105"/>
        </w:rPr>
        <w:t>federativas con mayor dinámica migratoria interna e internacional. Recientemente, las migraciones y movilidades de las y los mexiquenses han adquirido características</w:t>
      </w:r>
      <w:r>
        <w:rPr>
          <w:color w:val="231F20"/>
          <w:spacing w:val="-6"/>
          <w:w w:val="105"/>
        </w:rPr>
        <w:t> </w:t>
      </w:r>
      <w:r>
        <w:rPr>
          <w:color w:val="231F20"/>
          <w:w w:val="105"/>
        </w:rPr>
        <w:t>específicas.</w:t>
      </w:r>
      <w:r>
        <w:rPr>
          <w:color w:val="231F20"/>
          <w:spacing w:val="-14"/>
          <w:w w:val="105"/>
        </w:rPr>
        <w:t> </w:t>
      </w:r>
      <w:r>
        <w:rPr>
          <w:color w:val="231F20"/>
          <w:w w:val="105"/>
        </w:rPr>
        <w:t>A</w:t>
      </w:r>
      <w:r>
        <w:rPr>
          <w:color w:val="231F20"/>
          <w:spacing w:val="-9"/>
          <w:w w:val="105"/>
        </w:rPr>
        <w:t> </w:t>
      </w:r>
      <w:r>
        <w:rPr>
          <w:color w:val="231F20"/>
          <w:w w:val="105"/>
        </w:rPr>
        <w:t>partir</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años</w:t>
      </w:r>
      <w:r>
        <w:rPr>
          <w:color w:val="231F20"/>
          <w:spacing w:val="-6"/>
          <w:w w:val="105"/>
        </w:rPr>
        <w:t> </w:t>
      </w:r>
      <w:r>
        <w:rPr>
          <w:color w:val="231F20"/>
          <w:w w:val="105"/>
        </w:rPr>
        <w:t>noventa</w:t>
      </w:r>
      <w:r>
        <w:rPr>
          <w:color w:val="231F20"/>
          <w:spacing w:val="-6"/>
          <w:w w:val="105"/>
        </w:rPr>
        <w:t> </w:t>
      </w:r>
      <w:r>
        <w:rPr>
          <w:color w:val="231F20"/>
          <w:w w:val="105"/>
        </w:rPr>
        <w:t>esta</w:t>
      </w:r>
      <w:r>
        <w:rPr>
          <w:color w:val="231F20"/>
          <w:spacing w:val="-6"/>
          <w:w w:val="105"/>
        </w:rPr>
        <w:t> </w:t>
      </w:r>
      <w:r>
        <w:rPr>
          <w:color w:val="231F20"/>
          <w:w w:val="105"/>
        </w:rPr>
        <w:t>entidad</w:t>
      </w:r>
      <w:r>
        <w:rPr>
          <w:color w:val="231F20"/>
          <w:spacing w:val="-6"/>
          <w:w w:val="105"/>
        </w:rPr>
        <w:t> </w:t>
      </w:r>
      <w:r>
        <w:rPr>
          <w:color w:val="231F20"/>
          <w:w w:val="105"/>
        </w:rPr>
        <w:t>in- crementó notablemente el número de emigrantes internacionales. En 1992</w:t>
      </w:r>
      <w:r>
        <w:rPr>
          <w:color w:val="231F20"/>
          <w:spacing w:val="-9"/>
          <w:w w:val="105"/>
        </w:rPr>
        <w:t> </w:t>
      </w:r>
      <w:r>
        <w:rPr>
          <w:color w:val="231F20"/>
          <w:w w:val="105"/>
        </w:rPr>
        <w:t>aportó</w:t>
      </w:r>
      <w:r>
        <w:rPr>
          <w:color w:val="231F20"/>
          <w:spacing w:val="-9"/>
          <w:w w:val="105"/>
        </w:rPr>
        <w:t> </w:t>
      </w:r>
      <w:r>
        <w:rPr>
          <w:color w:val="231F20"/>
          <w:w w:val="105"/>
        </w:rPr>
        <w:t>6%</w:t>
      </w:r>
      <w:r>
        <w:rPr>
          <w:color w:val="231F20"/>
          <w:spacing w:val="-9"/>
          <w:w w:val="105"/>
        </w:rPr>
        <w:t> </w:t>
      </w:r>
      <w:r>
        <w:rPr>
          <w:color w:val="231F20"/>
          <w:w w:val="105"/>
        </w:rPr>
        <w:t>al</w:t>
      </w:r>
      <w:r>
        <w:rPr>
          <w:color w:val="231F20"/>
          <w:spacing w:val="-9"/>
          <w:w w:val="105"/>
        </w:rPr>
        <w:t> </w:t>
      </w:r>
      <w:r>
        <w:rPr>
          <w:color w:val="231F20"/>
          <w:w w:val="105"/>
        </w:rPr>
        <w:t>volumen</w:t>
      </w:r>
      <w:r>
        <w:rPr>
          <w:color w:val="231F20"/>
          <w:spacing w:val="-9"/>
          <w:w w:val="105"/>
        </w:rPr>
        <w:t> </w:t>
      </w:r>
      <w:r>
        <w:rPr>
          <w:color w:val="231F20"/>
          <w:w w:val="105"/>
        </w:rPr>
        <w:t>nacional</w:t>
      </w:r>
      <w:r>
        <w:rPr>
          <w:color w:val="231F20"/>
          <w:spacing w:val="-9"/>
          <w:w w:val="105"/>
        </w:rPr>
        <w:t> </w:t>
      </w:r>
      <w:r>
        <w:rPr>
          <w:color w:val="231F20"/>
          <w:w w:val="105"/>
        </w:rPr>
        <w:t>de</w:t>
      </w:r>
      <w:r>
        <w:rPr>
          <w:color w:val="231F20"/>
          <w:spacing w:val="-9"/>
          <w:w w:val="105"/>
        </w:rPr>
        <w:t> </w:t>
      </w:r>
      <w:r>
        <w:rPr>
          <w:color w:val="231F20"/>
          <w:w w:val="105"/>
        </w:rPr>
        <w:t>emigración</w:t>
      </w:r>
      <w:r>
        <w:rPr>
          <w:color w:val="231F20"/>
          <w:spacing w:val="-9"/>
          <w:w w:val="105"/>
        </w:rPr>
        <w:t> </w:t>
      </w:r>
      <w:r>
        <w:rPr>
          <w:color w:val="231F20"/>
          <w:w w:val="105"/>
        </w:rPr>
        <w:t>a</w:t>
      </w:r>
      <w:r>
        <w:rPr>
          <w:color w:val="231F20"/>
          <w:spacing w:val="-9"/>
          <w:w w:val="105"/>
        </w:rPr>
        <w:t> </w:t>
      </w:r>
      <w:r>
        <w:rPr>
          <w:color w:val="231F20"/>
          <w:w w:val="105"/>
        </w:rPr>
        <w:t>Estados</w:t>
      </w:r>
      <w:r>
        <w:rPr>
          <w:color w:val="231F20"/>
          <w:spacing w:val="-9"/>
          <w:w w:val="105"/>
        </w:rPr>
        <w:t> </w:t>
      </w:r>
      <w:r>
        <w:rPr>
          <w:color w:val="231F20"/>
          <w:w w:val="105"/>
        </w:rPr>
        <w:t>Unidos,</w:t>
      </w:r>
      <w:r>
        <w:rPr>
          <w:color w:val="231F20"/>
          <w:spacing w:val="-15"/>
          <w:w w:val="105"/>
        </w:rPr>
        <w:t> </w:t>
      </w:r>
      <w:r>
        <w:rPr>
          <w:color w:val="231F20"/>
          <w:w w:val="105"/>
        </w:rPr>
        <w:t>y en</w:t>
      </w:r>
      <w:r>
        <w:rPr>
          <w:color w:val="231F20"/>
          <w:spacing w:val="-11"/>
          <w:w w:val="105"/>
        </w:rPr>
        <w:t> </w:t>
      </w:r>
      <w:r>
        <w:rPr>
          <w:color w:val="231F20"/>
          <w:w w:val="105"/>
        </w:rPr>
        <w:t>los</w:t>
      </w:r>
      <w:r>
        <w:rPr>
          <w:color w:val="231F20"/>
          <w:spacing w:val="-11"/>
          <w:w w:val="105"/>
        </w:rPr>
        <w:t> </w:t>
      </w:r>
      <w:r>
        <w:rPr>
          <w:color w:val="231F20"/>
          <w:w w:val="105"/>
        </w:rPr>
        <w:t>años</w:t>
      </w:r>
      <w:r>
        <w:rPr>
          <w:color w:val="231F20"/>
          <w:spacing w:val="-11"/>
          <w:w w:val="105"/>
        </w:rPr>
        <w:t> </w:t>
      </w:r>
      <w:r>
        <w:rPr>
          <w:color w:val="231F20"/>
          <w:w w:val="105"/>
        </w:rPr>
        <w:t>2000</w:t>
      </w:r>
      <w:r>
        <w:rPr>
          <w:color w:val="231F20"/>
          <w:spacing w:val="-11"/>
          <w:w w:val="105"/>
        </w:rPr>
        <w:t> </w:t>
      </w:r>
      <w:r>
        <w:rPr>
          <w:color w:val="231F20"/>
          <w:w w:val="105"/>
        </w:rPr>
        <w:t>y</w:t>
      </w:r>
      <w:r>
        <w:rPr>
          <w:color w:val="231F20"/>
          <w:spacing w:val="-11"/>
          <w:w w:val="105"/>
        </w:rPr>
        <w:t> </w:t>
      </w:r>
      <w:r>
        <w:rPr>
          <w:color w:val="231F20"/>
          <w:w w:val="105"/>
        </w:rPr>
        <w:t>2010,</w:t>
      </w:r>
      <w:r>
        <w:rPr>
          <w:color w:val="231F20"/>
          <w:spacing w:val="-16"/>
          <w:w w:val="105"/>
        </w:rPr>
        <w:t> </w:t>
      </w:r>
      <w:r>
        <w:rPr>
          <w:color w:val="231F20"/>
          <w:w w:val="105"/>
        </w:rPr>
        <w:t>se</w:t>
      </w:r>
      <w:r>
        <w:rPr>
          <w:color w:val="231F20"/>
          <w:spacing w:val="-11"/>
          <w:w w:val="105"/>
        </w:rPr>
        <w:t> </w:t>
      </w:r>
      <w:r>
        <w:rPr>
          <w:color w:val="231F20"/>
          <w:w w:val="105"/>
        </w:rPr>
        <w:t>colocó</w:t>
      </w:r>
      <w:r>
        <w:rPr>
          <w:color w:val="231F20"/>
          <w:spacing w:val="-11"/>
          <w:w w:val="105"/>
        </w:rPr>
        <w:t> </w:t>
      </w:r>
      <w:r>
        <w:rPr>
          <w:color w:val="231F20"/>
          <w:w w:val="105"/>
        </w:rPr>
        <w:t>como</w:t>
      </w:r>
      <w:r>
        <w:rPr>
          <w:color w:val="231F20"/>
          <w:spacing w:val="-11"/>
          <w:w w:val="105"/>
        </w:rPr>
        <w:t> </w:t>
      </w:r>
      <w:r>
        <w:rPr>
          <w:color w:val="231F20"/>
          <w:w w:val="105"/>
        </w:rPr>
        <w:t>la</w:t>
      </w:r>
      <w:r>
        <w:rPr>
          <w:color w:val="231F20"/>
          <w:spacing w:val="-11"/>
          <w:w w:val="105"/>
        </w:rPr>
        <w:t> </w:t>
      </w:r>
      <w:r>
        <w:rPr>
          <w:color w:val="231F20"/>
          <w:w w:val="105"/>
        </w:rPr>
        <w:t>cuarta</w:t>
      </w:r>
      <w:r>
        <w:rPr>
          <w:color w:val="231F20"/>
          <w:spacing w:val="-11"/>
          <w:w w:val="105"/>
        </w:rPr>
        <w:t> </w:t>
      </w:r>
      <w:r>
        <w:rPr>
          <w:color w:val="231F20"/>
          <w:w w:val="105"/>
        </w:rPr>
        <w:t>entidad</w:t>
      </w:r>
      <w:r>
        <w:rPr>
          <w:color w:val="231F20"/>
          <w:spacing w:val="-11"/>
          <w:w w:val="105"/>
        </w:rPr>
        <w:t> </w:t>
      </w:r>
      <w:r>
        <w:rPr>
          <w:color w:val="231F20"/>
          <w:w w:val="105"/>
        </w:rPr>
        <w:t>expulsora</w:t>
      </w:r>
      <w:r>
        <w:rPr>
          <w:color w:val="231F20"/>
          <w:spacing w:val="-11"/>
          <w:w w:val="105"/>
        </w:rPr>
        <w:t> </w:t>
      </w:r>
      <w:r>
        <w:rPr>
          <w:color w:val="231F20"/>
          <w:w w:val="105"/>
        </w:rPr>
        <w:t>de migrantes.</w:t>
      </w:r>
      <w:r>
        <w:rPr>
          <w:color w:val="231F20"/>
          <w:spacing w:val="-26"/>
          <w:w w:val="105"/>
        </w:rPr>
        <w:t> </w:t>
      </w:r>
      <w:r>
        <w:rPr>
          <w:color w:val="231F20"/>
          <w:w w:val="105"/>
        </w:rPr>
        <w:t>De</w:t>
      </w:r>
      <w:r>
        <w:rPr>
          <w:color w:val="231F20"/>
          <w:spacing w:val="-21"/>
          <w:w w:val="105"/>
        </w:rPr>
        <w:t> </w:t>
      </w:r>
      <w:r>
        <w:rPr>
          <w:color w:val="231F20"/>
          <w:w w:val="105"/>
        </w:rPr>
        <w:t>esta</w:t>
      </w:r>
      <w:r>
        <w:rPr>
          <w:color w:val="231F20"/>
          <w:spacing w:val="-21"/>
          <w:w w:val="105"/>
        </w:rPr>
        <w:t> </w:t>
      </w:r>
      <w:r>
        <w:rPr>
          <w:color w:val="231F20"/>
          <w:w w:val="105"/>
        </w:rPr>
        <w:t>forma,</w:t>
      </w:r>
      <w:r>
        <w:rPr>
          <w:color w:val="231F20"/>
          <w:spacing w:val="-26"/>
          <w:w w:val="105"/>
        </w:rPr>
        <w:t> </w:t>
      </w:r>
      <w:r>
        <w:rPr>
          <w:color w:val="231F20"/>
          <w:w w:val="105"/>
        </w:rPr>
        <w:t>la</w:t>
      </w:r>
      <w:r>
        <w:rPr>
          <w:color w:val="231F20"/>
          <w:spacing w:val="-21"/>
          <w:w w:val="105"/>
        </w:rPr>
        <w:t> </w:t>
      </w:r>
      <w:r>
        <w:rPr>
          <w:color w:val="231F20"/>
          <w:w w:val="105"/>
        </w:rPr>
        <w:t>posición</w:t>
      </w:r>
      <w:r>
        <w:rPr>
          <w:color w:val="231F20"/>
          <w:spacing w:val="-21"/>
          <w:w w:val="105"/>
        </w:rPr>
        <w:t> </w:t>
      </w:r>
      <w:r>
        <w:rPr>
          <w:color w:val="231F20"/>
          <w:w w:val="105"/>
        </w:rPr>
        <w:t>de</w:t>
      </w:r>
      <w:r>
        <w:rPr>
          <w:color w:val="231F20"/>
          <w:spacing w:val="-21"/>
          <w:w w:val="105"/>
        </w:rPr>
        <w:t> </w:t>
      </w:r>
      <w:r>
        <w:rPr>
          <w:color w:val="231F20"/>
          <w:w w:val="105"/>
        </w:rPr>
        <w:t>alta</w:t>
      </w:r>
      <w:r>
        <w:rPr>
          <w:color w:val="231F20"/>
          <w:spacing w:val="-21"/>
          <w:w w:val="105"/>
        </w:rPr>
        <w:t> </w:t>
      </w:r>
      <w:r>
        <w:rPr>
          <w:color w:val="231F20"/>
          <w:w w:val="105"/>
        </w:rPr>
        <w:t>migración</w:t>
      </w:r>
      <w:r>
        <w:rPr>
          <w:color w:val="231F20"/>
          <w:spacing w:val="-21"/>
          <w:w w:val="105"/>
        </w:rPr>
        <w:t> </w:t>
      </w:r>
      <w:r>
        <w:rPr>
          <w:color w:val="231F20"/>
          <w:w w:val="105"/>
        </w:rPr>
        <w:t>a</w:t>
      </w:r>
      <w:r>
        <w:rPr>
          <w:color w:val="231F20"/>
          <w:spacing w:val="-21"/>
          <w:w w:val="105"/>
        </w:rPr>
        <w:t> </w:t>
      </w:r>
      <w:r>
        <w:rPr>
          <w:color w:val="231F20"/>
          <w:w w:val="105"/>
        </w:rPr>
        <w:t>Estados</w:t>
      </w:r>
      <w:r>
        <w:rPr>
          <w:color w:val="231F20"/>
          <w:spacing w:val="-21"/>
          <w:w w:val="105"/>
        </w:rPr>
        <w:t> </w:t>
      </w:r>
      <w:r>
        <w:rPr>
          <w:color w:val="231F20"/>
          <w:w w:val="105"/>
        </w:rPr>
        <w:t>Unidos es</w:t>
      </w:r>
      <w:r>
        <w:rPr>
          <w:color w:val="231F20"/>
          <w:spacing w:val="-16"/>
          <w:w w:val="105"/>
        </w:rPr>
        <w:t> </w:t>
      </w:r>
      <w:r>
        <w:rPr>
          <w:color w:val="231F20"/>
          <w:w w:val="105"/>
        </w:rPr>
        <w:t>equiparable</w:t>
      </w:r>
      <w:r>
        <w:rPr>
          <w:color w:val="231F20"/>
          <w:spacing w:val="-16"/>
          <w:w w:val="105"/>
        </w:rPr>
        <w:t> </w:t>
      </w:r>
      <w:r>
        <w:rPr>
          <w:color w:val="231F20"/>
          <w:w w:val="105"/>
        </w:rPr>
        <w:t>con</w:t>
      </w:r>
      <w:r>
        <w:rPr>
          <w:color w:val="231F20"/>
          <w:spacing w:val="-16"/>
          <w:w w:val="105"/>
        </w:rPr>
        <w:t> </w:t>
      </w:r>
      <w:r>
        <w:rPr>
          <w:color w:val="231F20"/>
          <w:w w:val="105"/>
        </w:rPr>
        <w:t>entidades</w:t>
      </w:r>
      <w:r>
        <w:rPr>
          <w:color w:val="231F20"/>
          <w:spacing w:val="-16"/>
          <w:w w:val="105"/>
        </w:rPr>
        <w:t> </w:t>
      </w:r>
      <w:r>
        <w:rPr>
          <w:color w:val="231F20"/>
          <w:w w:val="105"/>
        </w:rPr>
        <w:t>consideradas</w:t>
      </w:r>
      <w:r>
        <w:rPr>
          <w:color w:val="231F20"/>
          <w:spacing w:val="-16"/>
          <w:w w:val="105"/>
        </w:rPr>
        <w:t> </w:t>
      </w:r>
      <w:r>
        <w:rPr>
          <w:color w:val="231F20"/>
          <w:w w:val="105"/>
        </w:rPr>
        <w:t>como</w:t>
      </w:r>
      <w:r>
        <w:rPr>
          <w:color w:val="231F20"/>
          <w:spacing w:val="-16"/>
          <w:w w:val="105"/>
        </w:rPr>
        <w:t> </w:t>
      </w:r>
      <w:r>
        <w:rPr>
          <w:color w:val="231F20"/>
          <w:w w:val="105"/>
        </w:rPr>
        <w:t>tradicionales</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mi- gración</w:t>
      </w:r>
      <w:r>
        <w:rPr>
          <w:color w:val="231F20"/>
          <w:spacing w:val="-23"/>
          <w:w w:val="105"/>
        </w:rPr>
        <w:t> </w:t>
      </w:r>
      <w:r>
        <w:rPr>
          <w:color w:val="231F20"/>
          <w:w w:val="105"/>
        </w:rPr>
        <w:t>internacional.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0"/>
        <w:ind w:left="1887" w:right="6753" w:firstLine="0"/>
        <w:jc w:val="left"/>
        <w:rPr>
          <w:rFonts w:ascii="Arial"/>
          <w:sz w:val="20"/>
        </w:rPr>
      </w:pPr>
      <w:r>
        <w:rPr/>
        <w:pict>
          <v:line style="position:absolute;mso-position-horizontal-relative:page;mso-position-vertical-relative:paragraph;z-index:1216" from="131.551193pt,-.620118pt" to="131.551193pt,35.18228pt" stroked="true" strokeweight=".35pt" strokecolor="#231f20">
            <w10:wrap type="none"/>
          </v:line>
        </w:pict>
      </w:r>
      <w:r>
        <w:rPr/>
        <w:pict>
          <v:line style="position:absolute;mso-position-horizontal-relative:page;mso-position-vertical-relative:paragraph;z-index:-488944" from="15pt,35.182083pt" to="0pt,35.182083pt" stroked="true" strokeweight=".25pt" strokecolor="#000000">
            <w10:wrap type="none"/>
          </v:line>
        </w:pict>
      </w:r>
      <w:r>
        <w:rPr/>
        <w:pict>
          <v:line style="position:absolute;mso-position-horizontal-relative:page;mso-position-vertical-relative:paragraph;z-index:1264" from="508.890015pt,35.182083pt" to="523.890015pt,35.182083pt" stroked="true" strokeweight=".25pt" strokecolor="#000000">
            <w10:wrap type="none"/>
          </v:line>
        </w:pict>
      </w:r>
      <w:r>
        <w:rPr>
          <w:rFonts w:ascii="Arial"/>
          <w:color w:val="414042"/>
          <w:sz w:val="20"/>
        </w:rPr>
        <w:t>12</w:t>
      </w:r>
    </w:p>
    <w:p>
      <w:pPr>
        <w:spacing w:after="0"/>
        <w:jc w:val="left"/>
        <w:rPr>
          <w:rFonts w:ascii="Arial"/>
          <w:sz w:val="20"/>
        </w:rPr>
        <w:sectPr>
          <w:footerReference w:type="default" r:id="rId22"/>
          <w:pgSz w:w="10480" w:h="14730"/>
          <w:pgMar w:footer="103" w:header="0" w:top="420" w:bottom="300" w:left="0" w:right="0"/>
        </w:sectPr>
      </w:pPr>
    </w:p>
    <w:p>
      <w:pPr>
        <w:pStyle w:val="BodyText"/>
        <w:rPr>
          <w:rFonts w:ascii="Arial"/>
          <w:sz w:val="20"/>
        </w:rPr>
      </w:pPr>
    </w:p>
    <w:p>
      <w:pPr>
        <w:pStyle w:val="BodyText"/>
        <w:rPr>
          <w:rFonts w:ascii="Arial"/>
          <w:sz w:val="20"/>
        </w:rPr>
      </w:pPr>
    </w:p>
    <w:p>
      <w:pPr>
        <w:tabs>
          <w:tab w:pos="1578" w:val="right" w:leader="none"/>
        </w:tabs>
        <w:spacing w:before="221"/>
        <w:ind w:left="1516" w:right="1839" w:firstLine="0"/>
        <w:jc w:val="right"/>
        <w:rPr>
          <w:rFonts w:ascii="Arial" w:hAnsi="Arial"/>
          <w:sz w:val="20"/>
        </w:rPr>
      </w:pPr>
      <w:r>
        <w:rPr/>
        <w:pict>
          <v:line style="position:absolute;mso-position-horizontal-relative:page;mso-position-vertical-relative:paragraph;z-index:-488896" from="405.061005pt,-17.151169pt" to="405.061005pt,17.714705pt" stroked="true" strokeweight=".35pt" strokecolor="#231f20">
            <w10:wrap type="none"/>
          </v:line>
        </w:pict>
      </w:r>
      <w:r>
        <w:rPr/>
        <w:pict>
          <v:line style="position:absolute;mso-position-horizontal-relative:page;mso-position-vertical-relative:paragraph;z-index:1312" from="15pt,-17.151396pt" to="0pt,-17.151396pt" stroked="true" strokeweight=".25pt" strokecolor="#000000">
            <w10:wrap type="none"/>
          </v:line>
        </w:pict>
      </w:r>
      <w:r>
        <w:rPr/>
        <w:pict>
          <v:line style="position:absolute;mso-position-horizontal-relative:page;mso-position-vertical-relative:paragraph;z-index:1336" from="508.890015pt,-17.151396pt" to="523.890015pt,-17.151396pt" stroked="true" strokeweight=".25pt" strokecolor="#000000">
            <w10:wrap type="none"/>
          </v:line>
        </w:pict>
      </w:r>
      <w:r>
        <w:rPr>
          <w:rFonts w:ascii="Calibri" w:hAnsi="Calibri"/>
          <w:color w:val="6D6E71"/>
          <w:sz w:val="14"/>
        </w:rPr>
        <w:t>INTRODUCCIÓN</w:t>
      </w:r>
      <w:r>
        <w:rPr>
          <w:rFonts w:ascii="Arial" w:hAnsi="Arial"/>
          <w:color w:val="414042"/>
          <w:position w:val="-3"/>
          <w:sz w:val="20"/>
        </w:rPr>
        <w:tab/>
        <w:t>13</w:t>
      </w:r>
    </w:p>
    <w:p>
      <w:pPr>
        <w:pStyle w:val="BodyText"/>
        <w:rPr>
          <w:rFonts w:ascii="Arial"/>
          <w:sz w:val="20"/>
        </w:rPr>
      </w:pPr>
    </w:p>
    <w:p>
      <w:pPr>
        <w:pStyle w:val="BodyText"/>
        <w:rPr>
          <w:rFonts w:ascii="Arial"/>
          <w:sz w:val="20"/>
        </w:rPr>
      </w:pPr>
    </w:p>
    <w:p>
      <w:pPr>
        <w:pStyle w:val="BodyText"/>
        <w:spacing w:line="261" w:lineRule="auto" w:before="179"/>
        <w:ind w:left="1837" w:right="1716"/>
        <w:jc w:val="both"/>
      </w:pPr>
      <w:r>
        <w:rPr>
          <w:color w:val="231F20"/>
          <w:spacing w:val="-4"/>
          <w:w w:val="105"/>
        </w:rPr>
        <w:t>Para</w:t>
      </w:r>
      <w:r>
        <w:rPr>
          <w:color w:val="231F20"/>
          <w:spacing w:val="-30"/>
          <w:w w:val="105"/>
        </w:rPr>
        <w:t> </w:t>
      </w:r>
      <w:r>
        <w:rPr>
          <w:color w:val="231F20"/>
          <w:w w:val="105"/>
        </w:rPr>
        <w:t>abonar</w:t>
      </w:r>
      <w:r>
        <w:rPr>
          <w:color w:val="231F20"/>
          <w:spacing w:val="-30"/>
          <w:w w:val="105"/>
        </w:rPr>
        <w:t> </w:t>
      </w:r>
      <w:r>
        <w:rPr>
          <w:color w:val="231F20"/>
          <w:w w:val="105"/>
        </w:rPr>
        <w:t>al</w:t>
      </w:r>
      <w:r>
        <w:rPr>
          <w:color w:val="231F20"/>
          <w:spacing w:val="-30"/>
          <w:w w:val="105"/>
        </w:rPr>
        <w:t> </w:t>
      </w:r>
      <w:r>
        <w:rPr>
          <w:color w:val="231F20"/>
          <w:w w:val="105"/>
        </w:rPr>
        <w:t>estudio</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migraciones</w:t>
      </w:r>
      <w:r>
        <w:rPr>
          <w:color w:val="231F20"/>
          <w:spacing w:val="-30"/>
          <w:w w:val="105"/>
        </w:rPr>
        <w:t> </w:t>
      </w:r>
      <w:r>
        <w:rPr>
          <w:color w:val="231F20"/>
          <w:w w:val="105"/>
        </w:rPr>
        <w:t>entre</w:t>
      </w:r>
      <w:r>
        <w:rPr>
          <w:color w:val="231F20"/>
          <w:spacing w:val="-30"/>
          <w:w w:val="105"/>
        </w:rPr>
        <w:t> </w:t>
      </w:r>
      <w:r>
        <w:rPr>
          <w:color w:val="231F20"/>
          <w:w w:val="105"/>
        </w:rPr>
        <w:t>México</w:t>
      </w:r>
      <w:r>
        <w:rPr>
          <w:color w:val="231F20"/>
          <w:spacing w:val="-30"/>
          <w:w w:val="105"/>
        </w:rPr>
        <w:t> </w:t>
      </w:r>
      <w:r>
        <w:rPr>
          <w:color w:val="231F20"/>
          <w:w w:val="105"/>
        </w:rPr>
        <w:t>y</w:t>
      </w:r>
      <w:r>
        <w:rPr>
          <w:color w:val="231F20"/>
          <w:spacing w:val="-30"/>
          <w:w w:val="105"/>
        </w:rPr>
        <w:t> </w:t>
      </w:r>
      <w:r>
        <w:rPr>
          <w:color w:val="231F20"/>
          <w:w w:val="105"/>
        </w:rPr>
        <w:t>Estados</w:t>
      </w:r>
      <w:r>
        <w:rPr>
          <w:color w:val="231F20"/>
          <w:spacing w:val="-30"/>
          <w:w w:val="105"/>
        </w:rPr>
        <w:t> </w:t>
      </w:r>
      <w:r>
        <w:rPr>
          <w:color w:val="231F20"/>
          <w:w w:val="105"/>
        </w:rPr>
        <w:t>Unidos, y</w:t>
      </w:r>
      <w:r>
        <w:rPr>
          <w:color w:val="231F20"/>
          <w:spacing w:val="-27"/>
          <w:w w:val="105"/>
        </w:rPr>
        <w:t> </w:t>
      </w:r>
      <w:r>
        <w:rPr>
          <w:color w:val="231F20"/>
          <w:w w:val="105"/>
        </w:rPr>
        <w:t>en</w:t>
      </w:r>
      <w:r>
        <w:rPr>
          <w:color w:val="231F20"/>
          <w:spacing w:val="-27"/>
          <w:w w:val="105"/>
        </w:rPr>
        <w:t> </w:t>
      </w:r>
      <w:r>
        <w:rPr>
          <w:color w:val="231F20"/>
          <w:w w:val="105"/>
        </w:rPr>
        <w:t>especial</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migraciones</w:t>
      </w:r>
      <w:r>
        <w:rPr>
          <w:color w:val="231F20"/>
          <w:spacing w:val="-27"/>
          <w:w w:val="105"/>
        </w:rPr>
        <w:t> </w:t>
      </w:r>
      <w:r>
        <w:rPr>
          <w:color w:val="231F20"/>
          <w:w w:val="105"/>
        </w:rPr>
        <w:t>y</w:t>
      </w:r>
      <w:r>
        <w:rPr>
          <w:color w:val="231F20"/>
          <w:spacing w:val="-27"/>
          <w:w w:val="105"/>
        </w:rPr>
        <w:t> </w:t>
      </w:r>
      <w:r>
        <w:rPr>
          <w:color w:val="231F20"/>
          <w:w w:val="105"/>
        </w:rPr>
        <w:t>los</w:t>
      </w:r>
      <w:r>
        <w:rPr>
          <w:color w:val="231F20"/>
          <w:spacing w:val="-27"/>
          <w:w w:val="105"/>
        </w:rPr>
        <w:t> </w:t>
      </w:r>
      <w:r>
        <w:rPr>
          <w:color w:val="231F20"/>
          <w:w w:val="105"/>
        </w:rPr>
        <w:t>migrantes</w:t>
      </w:r>
      <w:r>
        <w:rPr>
          <w:color w:val="231F20"/>
          <w:spacing w:val="-27"/>
          <w:w w:val="105"/>
        </w:rPr>
        <w:t> </w:t>
      </w:r>
      <w:r>
        <w:rPr>
          <w:color w:val="231F20"/>
          <w:w w:val="105"/>
        </w:rPr>
        <w:t>desde</w:t>
      </w:r>
      <w:r>
        <w:rPr>
          <w:color w:val="231F20"/>
          <w:spacing w:val="-27"/>
          <w:w w:val="105"/>
        </w:rPr>
        <w:t> </w:t>
      </w:r>
      <w:r>
        <w:rPr>
          <w:color w:val="231F20"/>
          <w:w w:val="105"/>
        </w:rPr>
        <w:t>el</w:t>
      </w:r>
      <w:r>
        <w:rPr>
          <w:color w:val="231F20"/>
          <w:spacing w:val="-27"/>
          <w:w w:val="105"/>
        </w:rPr>
        <w:t> </w:t>
      </w:r>
      <w:r>
        <w:rPr>
          <w:color w:val="231F20"/>
          <w:w w:val="105"/>
        </w:rPr>
        <w:t>Estado</w:t>
      </w:r>
      <w:r>
        <w:rPr>
          <w:color w:val="231F20"/>
          <w:spacing w:val="-27"/>
          <w:w w:val="105"/>
        </w:rPr>
        <w:t> </w:t>
      </w:r>
      <w:r>
        <w:rPr>
          <w:color w:val="231F20"/>
          <w:w w:val="105"/>
        </w:rPr>
        <w:t>de</w:t>
      </w:r>
      <w:r>
        <w:rPr>
          <w:color w:val="231F20"/>
          <w:spacing w:val="-27"/>
          <w:w w:val="105"/>
        </w:rPr>
        <w:t> </w:t>
      </w:r>
      <w:r>
        <w:rPr>
          <w:color w:val="231F20"/>
          <w:w w:val="105"/>
        </w:rPr>
        <w:t>Méxi- co,</w:t>
      </w:r>
      <w:r>
        <w:rPr>
          <w:color w:val="231F20"/>
          <w:spacing w:val="-31"/>
          <w:w w:val="105"/>
        </w:rPr>
        <w:t> </w:t>
      </w:r>
      <w:r>
        <w:rPr>
          <w:color w:val="231F20"/>
          <w:w w:val="105"/>
        </w:rPr>
        <w:t>el</w:t>
      </w:r>
      <w:r>
        <w:rPr>
          <w:color w:val="231F20"/>
          <w:spacing w:val="-26"/>
          <w:w w:val="105"/>
        </w:rPr>
        <w:t> </w:t>
      </w:r>
      <w:r>
        <w:rPr>
          <w:color w:val="231F20"/>
          <w:w w:val="105"/>
        </w:rPr>
        <w:t>libro</w:t>
      </w:r>
      <w:r>
        <w:rPr>
          <w:color w:val="231F20"/>
          <w:spacing w:val="-26"/>
          <w:w w:val="105"/>
        </w:rPr>
        <w:t> </w:t>
      </w:r>
      <w:r>
        <w:rPr>
          <w:rFonts w:ascii="Arial" w:hAnsi="Arial"/>
          <w:i/>
          <w:color w:val="231F20"/>
          <w:w w:val="105"/>
        </w:rPr>
        <w:t>Continuidades</w:t>
      </w:r>
      <w:r>
        <w:rPr>
          <w:rFonts w:ascii="Arial" w:hAnsi="Arial"/>
          <w:i/>
          <w:color w:val="231F20"/>
          <w:spacing w:val="-29"/>
          <w:w w:val="105"/>
        </w:rPr>
        <w:t> </w:t>
      </w:r>
      <w:r>
        <w:rPr>
          <w:rFonts w:ascii="Arial" w:hAnsi="Arial"/>
          <w:i/>
          <w:color w:val="231F20"/>
          <w:w w:val="105"/>
        </w:rPr>
        <w:t>y</w:t>
      </w:r>
      <w:r>
        <w:rPr>
          <w:rFonts w:ascii="Arial" w:hAnsi="Arial"/>
          <w:i/>
          <w:color w:val="231F20"/>
          <w:spacing w:val="-29"/>
          <w:w w:val="105"/>
        </w:rPr>
        <w:t> </w:t>
      </w:r>
      <w:r>
        <w:rPr>
          <w:rFonts w:ascii="Arial" w:hAnsi="Arial"/>
          <w:i/>
          <w:color w:val="231F20"/>
          <w:w w:val="105"/>
        </w:rPr>
        <w:t>cambios</w:t>
      </w:r>
      <w:r>
        <w:rPr>
          <w:rFonts w:ascii="Arial" w:hAnsi="Arial"/>
          <w:i/>
          <w:color w:val="231F20"/>
          <w:spacing w:val="-29"/>
          <w:w w:val="105"/>
        </w:rPr>
        <w:t> </w:t>
      </w:r>
      <w:r>
        <w:rPr>
          <w:rFonts w:ascii="Arial" w:hAnsi="Arial"/>
          <w:i/>
          <w:color w:val="231F20"/>
          <w:w w:val="105"/>
        </w:rPr>
        <w:t>en</w:t>
      </w:r>
      <w:r>
        <w:rPr>
          <w:rFonts w:ascii="Arial" w:hAnsi="Arial"/>
          <w:i/>
          <w:color w:val="231F20"/>
          <w:spacing w:val="-29"/>
          <w:w w:val="105"/>
        </w:rPr>
        <w:t> </w:t>
      </w:r>
      <w:r>
        <w:rPr>
          <w:rFonts w:ascii="Arial" w:hAnsi="Arial"/>
          <w:i/>
          <w:color w:val="231F20"/>
          <w:w w:val="105"/>
        </w:rPr>
        <w:t>las</w:t>
      </w:r>
      <w:r>
        <w:rPr>
          <w:rFonts w:ascii="Arial" w:hAnsi="Arial"/>
          <w:i/>
          <w:color w:val="231F20"/>
          <w:spacing w:val="-29"/>
          <w:w w:val="105"/>
        </w:rPr>
        <w:t> </w:t>
      </w:r>
      <w:r>
        <w:rPr>
          <w:rFonts w:ascii="Arial" w:hAnsi="Arial"/>
          <w:i/>
          <w:color w:val="231F20"/>
          <w:w w:val="105"/>
        </w:rPr>
        <w:t>migraciones</w:t>
      </w:r>
      <w:r>
        <w:rPr>
          <w:rFonts w:ascii="Arial" w:hAnsi="Arial"/>
          <w:i/>
          <w:color w:val="231F20"/>
          <w:spacing w:val="-29"/>
          <w:w w:val="105"/>
        </w:rPr>
        <w:t> </w:t>
      </w:r>
      <w:r>
        <w:rPr>
          <w:rFonts w:ascii="Arial" w:hAnsi="Arial"/>
          <w:i/>
          <w:color w:val="231F20"/>
          <w:w w:val="105"/>
        </w:rPr>
        <w:t>de</w:t>
      </w:r>
      <w:r>
        <w:rPr>
          <w:rFonts w:ascii="Arial" w:hAnsi="Arial"/>
          <w:i/>
          <w:color w:val="231F20"/>
          <w:spacing w:val="-29"/>
          <w:w w:val="105"/>
        </w:rPr>
        <w:t> </w:t>
      </w:r>
      <w:r>
        <w:rPr>
          <w:rFonts w:ascii="Arial" w:hAnsi="Arial"/>
          <w:i/>
          <w:color w:val="231F20"/>
          <w:w w:val="105"/>
        </w:rPr>
        <w:t>México</w:t>
      </w:r>
      <w:r>
        <w:rPr>
          <w:rFonts w:ascii="Arial" w:hAnsi="Arial"/>
          <w:i/>
          <w:color w:val="231F20"/>
          <w:spacing w:val="-29"/>
          <w:w w:val="105"/>
        </w:rPr>
        <w:t> </w:t>
      </w:r>
      <w:r>
        <w:rPr>
          <w:rFonts w:ascii="Arial" w:hAnsi="Arial"/>
          <w:i/>
          <w:color w:val="231F20"/>
          <w:w w:val="105"/>
        </w:rPr>
        <w:t>a</w:t>
      </w:r>
      <w:r>
        <w:rPr>
          <w:rFonts w:ascii="Arial" w:hAnsi="Arial"/>
          <w:i/>
          <w:color w:val="231F20"/>
          <w:spacing w:val="-29"/>
          <w:w w:val="105"/>
        </w:rPr>
        <w:t> </w:t>
      </w:r>
      <w:r>
        <w:rPr>
          <w:rFonts w:ascii="Arial" w:hAnsi="Arial"/>
          <w:i/>
          <w:color w:val="231F20"/>
          <w:w w:val="105"/>
        </w:rPr>
        <w:t>Esta- </w:t>
      </w:r>
      <w:r>
        <w:rPr>
          <w:rFonts w:ascii="Arial" w:hAnsi="Arial"/>
          <w:i/>
          <w:color w:val="231F20"/>
          <w:w w:val="105"/>
        </w:rPr>
        <w:t>dos</w:t>
      </w:r>
      <w:r>
        <w:rPr>
          <w:rFonts w:ascii="Arial" w:hAnsi="Arial"/>
          <w:i/>
          <w:color w:val="231F20"/>
          <w:spacing w:val="-35"/>
          <w:w w:val="105"/>
        </w:rPr>
        <w:t> </w:t>
      </w:r>
      <w:r>
        <w:rPr>
          <w:rFonts w:ascii="Arial" w:hAnsi="Arial"/>
          <w:i/>
          <w:color w:val="231F20"/>
          <w:w w:val="105"/>
        </w:rPr>
        <w:t>Unidos.</w:t>
      </w:r>
      <w:r>
        <w:rPr>
          <w:rFonts w:ascii="Arial" w:hAnsi="Arial"/>
          <w:i/>
          <w:color w:val="231F20"/>
          <w:spacing w:val="-40"/>
          <w:w w:val="105"/>
        </w:rPr>
        <w:t> </w:t>
      </w:r>
      <w:r>
        <w:rPr>
          <w:rFonts w:ascii="Arial" w:hAnsi="Arial"/>
          <w:i/>
          <w:color w:val="231F20"/>
          <w:spacing w:val="-3"/>
          <w:w w:val="105"/>
        </w:rPr>
        <w:t>Tendencias</w:t>
      </w:r>
      <w:r>
        <w:rPr>
          <w:rFonts w:ascii="Arial" w:hAnsi="Arial"/>
          <w:i/>
          <w:color w:val="231F20"/>
          <w:spacing w:val="-35"/>
          <w:w w:val="105"/>
        </w:rPr>
        <w:t> </w:t>
      </w:r>
      <w:r>
        <w:rPr>
          <w:rFonts w:ascii="Arial" w:hAnsi="Arial"/>
          <w:i/>
          <w:color w:val="231F20"/>
          <w:w w:val="105"/>
        </w:rPr>
        <w:t>en</w:t>
      </w:r>
      <w:r>
        <w:rPr>
          <w:rFonts w:ascii="Arial" w:hAnsi="Arial"/>
          <w:i/>
          <w:color w:val="231F20"/>
          <w:spacing w:val="-35"/>
          <w:w w:val="105"/>
        </w:rPr>
        <w:t> </w:t>
      </w:r>
      <w:r>
        <w:rPr>
          <w:rFonts w:ascii="Arial" w:hAnsi="Arial"/>
          <w:i/>
          <w:color w:val="231F20"/>
          <w:w w:val="105"/>
        </w:rPr>
        <w:t>la</w:t>
      </w:r>
      <w:r>
        <w:rPr>
          <w:rFonts w:ascii="Arial" w:hAnsi="Arial"/>
          <w:i/>
          <w:color w:val="231F20"/>
          <w:spacing w:val="-35"/>
          <w:w w:val="105"/>
        </w:rPr>
        <w:t> </w:t>
      </w:r>
      <w:r>
        <w:rPr>
          <w:rFonts w:ascii="Arial" w:hAnsi="Arial"/>
          <w:i/>
          <w:color w:val="231F20"/>
          <w:w w:val="105"/>
        </w:rPr>
        <w:t>circulación,</w:t>
      </w:r>
      <w:r>
        <w:rPr>
          <w:rFonts w:ascii="Arial" w:hAnsi="Arial"/>
          <w:i/>
          <w:color w:val="231F20"/>
          <w:spacing w:val="-38"/>
          <w:w w:val="105"/>
        </w:rPr>
        <w:t> </w:t>
      </w:r>
      <w:r>
        <w:rPr>
          <w:rFonts w:ascii="Arial" w:hAnsi="Arial"/>
          <w:i/>
          <w:color w:val="231F20"/>
          <w:w w:val="105"/>
        </w:rPr>
        <w:t>experiencias</w:t>
      </w:r>
      <w:r>
        <w:rPr>
          <w:rFonts w:ascii="Arial" w:hAnsi="Arial"/>
          <w:i/>
          <w:color w:val="231F20"/>
          <w:spacing w:val="-35"/>
          <w:w w:val="105"/>
        </w:rPr>
        <w:t> </w:t>
      </w:r>
      <w:r>
        <w:rPr>
          <w:rFonts w:ascii="Arial" w:hAnsi="Arial"/>
          <w:i/>
          <w:color w:val="231F20"/>
          <w:w w:val="105"/>
        </w:rPr>
        <w:t>y</w:t>
      </w:r>
      <w:r>
        <w:rPr>
          <w:rFonts w:ascii="Arial" w:hAnsi="Arial"/>
          <w:i/>
          <w:color w:val="231F20"/>
          <w:spacing w:val="-35"/>
          <w:w w:val="105"/>
        </w:rPr>
        <w:t> </w:t>
      </w:r>
      <w:r>
        <w:rPr>
          <w:rFonts w:ascii="Arial" w:hAnsi="Arial"/>
          <w:i/>
          <w:color w:val="231F20"/>
          <w:w w:val="105"/>
        </w:rPr>
        <w:t>resignificaciones de la migración y el retorno en el Estado de México </w:t>
      </w:r>
      <w:r>
        <w:rPr>
          <w:color w:val="231F20"/>
          <w:w w:val="105"/>
        </w:rPr>
        <w:t>compila un total de 16 capítulos que con diferentes acercamientos, posicionamientos</w:t>
      </w:r>
      <w:r>
        <w:rPr>
          <w:color w:val="231F20"/>
          <w:spacing w:val="-16"/>
          <w:w w:val="105"/>
        </w:rPr>
        <w:t> </w:t>
      </w:r>
      <w:r>
        <w:rPr>
          <w:color w:val="231F20"/>
          <w:w w:val="105"/>
        </w:rPr>
        <w:t>teóri- cos</w:t>
      </w:r>
      <w:r>
        <w:rPr>
          <w:color w:val="231F20"/>
          <w:spacing w:val="-23"/>
          <w:w w:val="105"/>
        </w:rPr>
        <w:t> </w:t>
      </w:r>
      <w:r>
        <w:rPr>
          <w:color w:val="231F20"/>
          <w:w w:val="105"/>
        </w:rPr>
        <w:t>y</w:t>
      </w:r>
      <w:r>
        <w:rPr>
          <w:color w:val="231F20"/>
          <w:spacing w:val="-23"/>
          <w:w w:val="105"/>
        </w:rPr>
        <w:t> </w:t>
      </w:r>
      <w:r>
        <w:rPr>
          <w:color w:val="231F20"/>
          <w:w w:val="105"/>
        </w:rPr>
        <w:t>metodologías,</w:t>
      </w:r>
      <w:r>
        <w:rPr>
          <w:color w:val="231F20"/>
          <w:spacing w:val="-27"/>
          <w:w w:val="105"/>
        </w:rPr>
        <w:t> </w:t>
      </w:r>
      <w:r>
        <w:rPr>
          <w:color w:val="231F20"/>
          <w:w w:val="105"/>
        </w:rPr>
        <w:t>basadas</w:t>
      </w:r>
      <w:r>
        <w:rPr>
          <w:color w:val="231F20"/>
          <w:spacing w:val="-23"/>
          <w:w w:val="105"/>
        </w:rPr>
        <w:t> </w:t>
      </w:r>
      <w:r>
        <w:rPr>
          <w:color w:val="231F20"/>
          <w:w w:val="105"/>
        </w:rPr>
        <w:t>en</w:t>
      </w:r>
      <w:r>
        <w:rPr>
          <w:color w:val="231F20"/>
          <w:spacing w:val="-23"/>
          <w:w w:val="105"/>
        </w:rPr>
        <w:t> </w:t>
      </w:r>
      <w:r>
        <w:rPr>
          <w:color w:val="231F20"/>
          <w:w w:val="105"/>
        </w:rPr>
        <w:t>estudios</w:t>
      </w:r>
      <w:r>
        <w:rPr>
          <w:color w:val="231F20"/>
          <w:spacing w:val="-23"/>
          <w:w w:val="105"/>
        </w:rPr>
        <w:t> </w:t>
      </w:r>
      <w:r>
        <w:rPr>
          <w:color w:val="231F20"/>
          <w:w w:val="105"/>
        </w:rPr>
        <w:t>de</w:t>
      </w:r>
      <w:r>
        <w:rPr>
          <w:color w:val="231F20"/>
          <w:spacing w:val="-23"/>
          <w:w w:val="105"/>
        </w:rPr>
        <w:t> </w:t>
      </w:r>
      <w:r>
        <w:rPr>
          <w:color w:val="231F20"/>
          <w:w w:val="105"/>
        </w:rPr>
        <w:t>caso</w:t>
      </w:r>
      <w:r>
        <w:rPr>
          <w:color w:val="231F20"/>
          <w:spacing w:val="-23"/>
          <w:w w:val="105"/>
        </w:rPr>
        <w:t> </w:t>
      </w:r>
      <w:r>
        <w:rPr>
          <w:color w:val="231F20"/>
          <w:w w:val="105"/>
        </w:rPr>
        <w:t>y</w:t>
      </w:r>
      <w:r>
        <w:rPr>
          <w:color w:val="231F20"/>
          <w:spacing w:val="-23"/>
          <w:w w:val="105"/>
        </w:rPr>
        <w:t> </w:t>
      </w:r>
      <w:r>
        <w:rPr>
          <w:color w:val="231F20"/>
          <w:w w:val="105"/>
        </w:rPr>
        <w:t>análisis</w:t>
      </w:r>
      <w:r>
        <w:rPr>
          <w:color w:val="231F20"/>
          <w:spacing w:val="-23"/>
          <w:w w:val="105"/>
        </w:rPr>
        <w:t> </w:t>
      </w:r>
      <w:r>
        <w:rPr>
          <w:color w:val="231F20"/>
          <w:w w:val="105"/>
        </w:rPr>
        <w:t>cuantitativo</w:t>
      </w:r>
      <w:r>
        <w:rPr>
          <w:color w:val="231F20"/>
          <w:spacing w:val="-23"/>
          <w:w w:val="105"/>
        </w:rPr>
        <w:t> </w:t>
      </w:r>
      <w:r>
        <w:rPr>
          <w:color w:val="231F20"/>
          <w:w w:val="105"/>
        </w:rPr>
        <w:t>y cualitativo,</w:t>
      </w:r>
      <w:r>
        <w:rPr>
          <w:color w:val="231F20"/>
          <w:spacing w:val="-15"/>
          <w:w w:val="105"/>
        </w:rPr>
        <w:t> </w:t>
      </w:r>
      <w:r>
        <w:rPr>
          <w:color w:val="231F20"/>
          <w:w w:val="105"/>
        </w:rPr>
        <w:t>exponen</w:t>
      </w:r>
      <w:r>
        <w:rPr>
          <w:color w:val="231F20"/>
          <w:spacing w:val="-10"/>
          <w:w w:val="105"/>
        </w:rPr>
        <w:t> </w:t>
      </w:r>
      <w:r>
        <w:rPr>
          <w:color w:val="231F20"/>
          <w:w w:val="105"/>
        </w:rPr>
        <w:t>diversas</w:t>
      </w:r>
      <w:r>
        <w:rPr>
          <w:color w:val="231F20"/>
          <w:spacing w:val="-10"/>
          <w:w w:val="105"/>
        </w:rPr>
        <w:t> </w:t>
      </w:r>
      <w:r>
        <w:rPr>
          <w:color w:val="231F20"/>
          <w:w w:val="105"/>
        </w:rPr>
        <w:t>temáticas</w:t>
      </w:r>
      <w:r>
        <w:rPr>
          <w:color w:val="231F20"/>
          <w:spacing w:val="-10"/>
          <w:w w:val="105"/>
        </w:rPr>
        <w:t> </w:t>
      </w:r>
      <w:r>
        <w:rPr>
          <w:color w:val="231F20"/>
          <w:w w:val="105"/>
        </w:rPr>
        <w:t>que</w:t>
      </w:r>
      <w:r>
        <w:rPr>
          <w:color w:val="231F20"/>
          <w:spacing w:val="-10"/>
          <w:w w:val="105"/>
        </w:rPr>
        <w:t> </w:t>
      </w:r>
      <w:r>
        <w:rPr>
          <w:color w:val="231F20"/>
          <w:w w:val="105"/>
        </w:rPr>
        <w:t>revisten</w:t>
      </w:r>
      <w:r>
        <w:rPr>
          <w:color w:val="231F20"/>
          <w:spacing w:val="-10"/>
          <w:w w:val="105"/>
        </w:rPr>
        <w:t> </w:t>
      </w:r>
      <w:r>
        <w:rPr>
          <w:color w:val="231F20"/>
          <w:w w:val="105"/>
        </w:rPr>
        <w:t>la</w:t>
      </w:r>
      <w:r>
        <w:rPr>
          <w:color w:val="231F20"/>
          <w:spacing w:val="-10"/>
          <w:w w:val="105"/>
        </w:rPr>
        <w:t> </w:t>
      </w:r>
      <w:r>
        <w:rPr>
          <w:color w:val="231F20"/>
          <w:w w:val="105"/>
        </w:rPr>
        <w:t>complejidad</w:t>
      </w:r>
      <w:r>
        <w:rPr>
          <w:color w:val="231F20"/>
          <w:spacing w:val="-10"/>
          <w:w w:val="105"/>
        </w:rPr>
        <w:t> </w:t>
      </w:r>
      <w:r>
        <w:rPr>
          <w:color w:val="231F20"/>
          <w:w w:val="105"/>
        </w:rPr>
        <w:t>que ha adquirido el fenómeno migratorio,13 son los capítulos que exponen la</w:t>
      </w:r>
      <w:r>
        <w:rPr>
          <w:color w:val="231F20"/>
          <w:spacing w:val="-11"/>
          <w:w w:val="105"/>
        </w:rPr>
        <w:t> </w:t>
      </w:r>
      <w:r>
        <w:rPr>
          <w:color w:val="231F20"/>
          <w:w w:val="105"/>
        </w:rPr>
        <w:t>migración</w:t>
      </w:r>
      <w:r>
        <w:rPr>
          <w:color w:val="231F20"/>
          <w:spacing w:val="-11"/>
          <w:w w:val="105"/>
        </w:rPr>
        <w:t> </w:t>
      </w:r>
      <w:r>
        <w:rPr>
          <w:color w:val="231F20"/>
          <w:w w:val="105"/>
        </w:rPr>
        <w:t>internacional</w:t>
      </w:r>
      <w:r>
        <w:rPr>
          <w:color w:val="231F20"/>
          <w:spacing w:val="-11"/>
          <w:w w:val="105"/>
        </w:rPr>
        <w:t> </w:t>
      </w:r>
      <w:r>
        <w:rPr>
          <w:color w:val="231F20"/>
          <w:w w:val="105"/>
        </w:rPr>
        <w:t>desde</w:t>
      </w:r>
      <w:r>
        <w:rPr>
          <w:color w:val="231F20"/>
          <w:spacing w:val="-11"/>
          <w:w w:val="105"/>
        </w:rPr>
        <w:t> </w:t>
      </w:r>
      <w:r>
        <w:rPr>
          <w:color w:val="231F20"/>
          <w:w w:val="105"/>
        </w:rPr>
        <w:t>el</w:t>
      </w:r>
      <w:r>
        <w:rPr>
          <w:color w:val="231F20"/>
          <w:spacing w:val="-11"/>
          <w:w w:val="105"/>
        </w:rPr>
        <w:t> </w:t>
      </w:r>
      <w:r>
        <w:rPr>
          <w:color w:val="231F20"/>
          <w:w w:val="105"/>
        </w:rPr>
        <w:t>Estado</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7"/>
          <w:w w:val="105"/>
        </w:rPr>
        <w:t> </w:t>
      </w:r>
      <w:r>
        <w:rPr>
          <w:color w:val="231F20"/>
          <w:w w:val="105"/>
        </w:rPr>
        <w:t>entidad</w:t>
      </w:r>
      <w:r>
        <w:rPr>
          <w:color w:val="231F20"/>
          <w:spacing w:val="-11"/>
          <w:w w:val="105"/>
        </w:rPr>
        <w:t> </w:t>
      </w:r>
      <w:r>
        <w:rPr>
          <w:color w:val="231F20"/>
          <w:w w:val="105"/>
        </w:rPr>
        <w:t>que,</w:t>
      </w:r>
      <w:r>
        <w:rPr>
          <w:color w:val="231F20"/>
          <w:spacing w:val="-17"/>
          <w:w w:val="105"/>
        </w:rPr>
        <w:t> </w:t>
      </w:r>
      <w:r>
        <w:rPr>
          <w:color w:val="231F20"/>
          <w:w w:val="105"/>
        </w:rPr>
        <w:t>ade- más</w:t>
      </w:r>
      <w:r>
        <w:rPr>
          <w:color w:val="231F20"/>
          <w:spacing w:val="-9"/>
          <w:w w:val="105"/>
        </w:rPr>
        <w:t> </w:t>
      </w:r>
      <w:r>
        <w:rPr>
          <w:color w:val="231F20"/>
          <w:w w:val="105"/>
        </w:rPr>
        <w:t>de</w:t>
      </w:r>
      <w:r>
        <w:rPr>
          <w:color w:val="231F20"/>
          <w:spacing w:val="-9"/>
          <w:w w:val="105"/>
        </w:rPr>
        <w:t> </w:t>
      </w:r>
      <w:r>
        <w:rPr>
          <w:color w:val="231F20"/>
          <w:w w:val="105"/>
        </w:rPr>
        <w:t>constituirse</w:t>
      </w:r>
      <w:r>
        <w:rPr>
          <w:color w:val="231F20"/>
          <w:spacing w:val="-9"/>
          <w:w w:val="105"/>
        </w:rPr>
        <w:t> </w:t>
      </w:r>
      <w:r>
        <w:rPr>
          <w:color w:val="231F20"/>
          <w:w w:val="105"/>
        </w:rPr>
        <w:t>como</w:t>
      </w:r>
      <w:r>
        <w:rPr>
          <w:color w:val="231F20"/>
          <w:spacing w:val="-9"/>
          <w:w w:val="105"/>
        </w:rPr>
        <w:t> </w:t>
      </w:r>
      <w:r>
        <w:rPr>
          <w:color w:val="231F20"/>
          <w:w w:val="105"/>
        </w:rPr>
        <w:t>un</w:t>
      </w:r>
      <w:r>
        <w:rPr>
          <w:color w:val="231F20"/>
          <w:spacing w:val="-9"/>
          <w:w w:val="105"/>
        </w:rPr>
        <w:t> </w:t>
      </w:r>
      <w:r>
        <w:rPr>
          <w:color w:val="231F20"/>
          <w:w w:val="105"/>
        </w:rPr>
        <w:t>territorio</w:t>
      </w:r>
      <w:r>
        <w:rPr>
          <w:color w:val="231F20"/>
          <w:spacing w:val="-9"/>
          <w:w w:val="105"/>
        </w:rPr>
        <w:t> </w:t>
      </w:r>
      <w:r>
        <w:rPr>
          <w:color w:val="231F20"/>
          <w:w w:val="105"/>
        </w:rPr>
        <w:t>expulsor</w:t>
      </w:r>
      <w:r>
        <w:rPr>
          <w:color w:val="231F20"/>
          <w:spacing w:val="-9"/>
          <w:w w:val="105"/>
        </w:rPr>
        <w:t> </w:t>
      </w:r>
      <w:r>
        <w:rPr>
          <w:color w:val="231F20"/>
          <w:w w:val="105"/>
        </w:rPr>
        <w:t>de</w:t>
      </w:r>
      <w:r>
        <w:rPr>
          <w:color w:val="231F20"/>
          <w:spacing w:val="-9"/>
          <w:w w:val="105"/>
        </w:rPr>
        <w:t> </w:t>
      </w:r>
      <w:r>
        <w:rPr>
          <w:color w:val="231F20"/>
          <w:w w:val="105"/>
        </w:rPr>
        <w:t>migrantes</w:t>
      </w:r>
      <w:r>
        <w:rPr>
          <w:color w:val="231F20"/>
          <w:spacing w:val="-9"/>
          <w:w w:val="105"/>
        </w:rPr>
        <w:t> </w:t>
      </w:r>
      <w:r>
        <w:rPr>
          <w:color w:val="231F20"/>
          <w:w w:val="105"/>
        </w:rPr>
        <w:t>internacio- nales, ha incrementado su importancia como receptor de migrantes de retorno</w:t>
      </w:r>
      <w:r>
        <w:rPr>
          <w:color w:val="231F20"/>
          <w:spacing w:val="-10"/>
          <w:w w:val="105"/>
        </w:rPr>
        <w:t> </w:t>
      </w:r>
      <w:r>
        <w:rPr>
          <w:color w:val="231F20"/>
          <w:w w:val="105"/>
        </w:rPr>
        <w:t>(no</w:t>
      </w:r>
      <w:r>
        <w:rPr>
          <w:color w:val="231F20"/>
          <w:spacing w:val="-10"/>
          <w:w w:val="105"/>
        </w:rPr>
        <w:t> </w:t>
      </w:r>
      <w:r>
        <w:rPr>
          <w:color w:val="231F20"/>
          <w:w w:val="105"/>
        </w:rPr>
        <w:t>necesariamente</w:t>
      </w:r>
      <w:r>
        <w:rPr>
          <w:color w:val="231F20"/>
          <w:spacing w:val="-10"/>
          <w:w w:val="105"/>
        </w:rPr>
        <w:t> </w:t>
      </w:r>
      <w:r>
        <w:rPr>
          <w:color w:val="231F20"/>
          <w:w w:val="105"/>
        </w:rPr>
        <w:t>originarios</w:t>
      </w:r>
      <w:r>
        <w:rPr>
          <w:color w:val="231F20"/>
          <w:spacing w:val="-10"/>
          <w:w w:val="105"/>
        </w:rPr>
        <w:t> </w:t>
      </w:r>
      <w:r>
        <w:rPr>
          <w:color w:val="231F20"/>
          <w:w w:val="105"/>
        </w:rPr>
        <w:t>del</w:t>
      </w:r>
      <w:r>
        <w:rPr>
          <w:color w:val="231F20"/>
          <w:spacing w:val="-10"/>
          <w:w w:val="105"/>
        </w:rPr>
        <w:t> </w:t>
      </w:r>
      <w:r>
        <w:rPr>
          <w:color w:val="231F20"/>
          <w:w w:val="105"/>
        </w:rPr>
        <w:t>Estado</w:t>
      </w:r>
      <w:r>
        <w:rPr>
          <w:color w:val="231F20"/>
          <w:spacing w:val="-10"/>
          <w:w w:val="105"/>
        </w:rPr>
        <w:t> </w:t>
      </w:r>
      <w:r>
        <w:rPr>
          <w:color w:val="231F20"/>
          <w:w w:val="105"/>
        </w:rPr>
        <w:t>de</w:t>
      </w:r>
      <w:r>
        <w:rPr>
          <w:color w:val="231F20"/>
          <w:spacing w:val="-10"/>
          <w:w w:val="105"/>
        </w:rPr>
        <w:t> </w:t>
      </w:r>
      <w:r>
        <w:rPr>
          <w:color w:val="231F20"/>
          <w:w w:val="105"/>
        </w:rPr>
        <w:t>México)</w:t>
      </w:r>
      <w:r>
        <w:rPr>
          <w:color w:val="231F20"/>
          <w:spacing w:val="-10"/>
          <w:w w:val="105"/>
        </w:rPr>
        <w:t> </w:t>
      </w:r>
      <w:r>
        <w:rPr>
          <w:color w:val="231F20"/>
          <w:w w:val="105"/>
        </w:rPr>
        <w:t>y</w:t>
      </w:r>
      <w:r>
        <w:rPr>
          <w:color w:val="231F20"/>
          <w:spacing w:val="-10"/>
          <w:w w:val="105"/>
        </w:rPr>
        <w:t> </w:t>
      </w:r>
      <w:r>
        <w:rPr>
          <w:color w:val="231F20"/>
          <w:w w:val="105"/>
        </w:rPr>
        <w:t>migran- tes</w:t>
      </w:r>
      <w:r>
        <w:rPr>
          <w:color w:val="231F20"/>
          <w:spacing w:val="-13"/>
          <w:w w:val="105"/>
        </w:rPr>
        <w:t> </w:t>
      </w:r>
      <w:r>
        <w:rPr>
          <w:color w:val="231F20"/>
          <w:w w:val="105"/>
        </w:rPr>
        <w:t>en</w:t>
      </w:r>
      <w:r>
        <w:rPr>
          <w:color w:val="231F20"/>
          <w:spacing w:val="-13"/>
          <w:w w:val="105"/>
        </w:rPr>
        <w:t> </w:t>
      </w:r>
      <w:r>
        <w:rPr>
          <w:color w:val="231F20"/>
          <w:w w:val="105"/>
        </w:rPr>
        <w:t>tránsito</w:t>
      </w:r>
      <w:r>
        <w:rPr>
          <w:color w:val="231F20"/>
          <w:spacing w:val="-13"/>
          <w:w w:val="105"/>
        </w:rPr>
        <w:t> </w:t>
      </w:r>
      <w:r>
        <w:rPr>
          <w:color w:val="231F20"/>
          <w:w w:val="105"/>
        </w:rPr>
        <w:t>que</w:t>
      </w:r>
      <w:r>
        <w:rPr>
          <w:color w:val="231F20"/>
          <w:spacing w:val="-13"/>
          <w:w w:val="105"/>
        </w:rPr>
        <w:t> </w:t>
      </w:r>
      <w:r>
        <w:rPr>
          <w:color w:val="231F20"/>
          <w:w w:val="105"/>
        </w:rPr>
        <w:t>buscan</w:t>
      </w:r>
      <w:r>
        <w:rPr>
          <w:color w:val="231F20"/>
          <w:spacing w:val="-13"/>
          <w:w w:val="105"/>
        </w:rPr>
        <w:t> </w:t>
      </w:r>
      <w:r>
        <w:rPr>
          <w:color w:val="231F20"/>
          <w:w w:val="105"/>
        </w:rPr>
        <w:t>llegar</w:t>
      </w:r>
      <w:r>
        <w:rPr>
          <w:color w:val="231F20"/>
          <w:spacing w:val="-13"/>
          <w:w w:val="105"/>
        </w:rPr>
        <w:t> </w:t>
      </w:r>
      <w:r>
        <w:rPr>
          <w:color w:val="231F20"/>
          <w:w w:val="105"/>
        </w:rPr>
        <w:t>al</w:t>
      </w:r>
      <w:r>
        <w:rPr>
          <w:color w:val="231F20"/>
          <w:spacing w:val="-13"/>
          <w:w w:val="105"/>
        </w:rPr>
        <w:t> </w:t>
      </w:r>
      <w:r>
        <w:rPr>
          <w:color w:val="231F20"/>
          <w:w w:val="105"/>
        </w:rPr>
        <w:t>vecino</w:t>
      </w:r>
      <w:r>
        <w:rPr>
          <w:color w:val="231F20"/>
          <w:spacing w:val="-13"/>
          <w:w w:val="105"/>
        </w:rPr>
        <w:t> </w:t>
      </w:r>
      <w:r>
        <w:rPr>
          <w:color w:val="231F20"/>
          <w:w w:val="105"/>
        </w:rPr>
        <w:t>país</w:t>
      </w:r>
      <w:r>
        <w:rPr>
          <w:color w:val="231F20"/>
          <w:spacing w:val="-13"/>
          <w:w w:val="105"/>
        </w:rPr>
        <w:t> </w:t>
      </w:r>
      <w:r>
        <w:rPr>
          <w:color w:val="231F20"/>
          <w:w w:val="105"/>
        </w:rPr>
        <w:t>del</w:t>
      </w:r>
      <w:r>
        <w:rPr>
          <w:color w:val="231F20"/>
          <w:spacing w:val="-13"/>
          <w:w w:val="105"/>
        </w:rPr>
        <w:t> </w:t>
      </w:r>
      <w:r>
        <w:rPr>
          <w:color w:val="231F20"/>
          <w:w w:val="105"/>
        </w:rPr>
        <w:t>norte.</w:t>
      </w:r>
    </w:p>
    <w:p>
      <w:pPr>
        <w:pStyle w:val="BodyText"/>
        <w:spacing w:line="261" w:lineRule="auto" w:before="1"/>
        <w:ind w:left="1837" w:right="1721" w:firstLine="567"/>
        <w:jc w:val="both"/>
      </w:pPr>
      <w:r>
        <w:rPr>
          <w:color w:val="231F20"/>
          <w:w w:val="105"/>
        </w:rPr>
        <w:t>En</w:t>
      </w:r>
      <w:r>
        <w:rPr>
          <w:color w:val="231F20"/>
          <w:spacing w:val="-22"/>
          <w:w w:val="105"/>
        </w:rPr>
        <w:t> </w:t>
      </w:r>
      <w:r>
        <w:rPr>
          <w:color w:val="231F20"/>
          <w:w w:val="105"/>
        </w:rPr>
        <w:t>este</w:t>
      </w:r>
      <w:r>
        <w:rPr>
          <w:color w:val="231F20"/>
          <w:spacing w:val="-22"/>
          <w:w w:val="105"/>
        </w:rPr>
        <w:t> </w:t>
      </w:r>
      <w:r>
        <w:rPr>
          <w:color w:val="231F20"/>
          <w:w w:val="105"/>
        </w:rPr>
        <w:t>tenor,</w:t>
      </w:r>
      <w:r>
        <w:rPr>
          <w:color w:val="231F20"/>
          <w:spacing w:val="-26"/>
          <w:w w:val="105"/>
        </w:rPr>
        <w:t> </w:t>
      </w:r>
      <w:r>
        <w:rPr>
          <w:color w:val="231F20"/>
          <w:w w:val="105"/>
        </w:rPr>
        <w:t>las</w:t>
      </w:r>
      <w:r>
        <w:rPr>
          <w:color w:val="231F20"/>
          <w:spacing w:val="-22"/>
          <w:w w:val="105"/>
        </w:rPr>
        <w:t> </w:t>
      </w:r>
      <w:r>
        <w:rPr>
          <w:color w:val="231F20"/>
          <w:w w:val="105"/>
        </w:rPr>
        <w:t>movilidades</w:t>
      </w:r>
      <w:r>
        <w:rPr>
          <w:color w:val="231F20"/>
          <w:spacing w:val="-22"/>
          <w:w w:val="105"/>
        </w:rPr>
        <w:t> </w:t>
      </w:r>
      <w:r>
        <w:rPr>
          <w:color w:val="231F20"/>
          <w:w w:val="105"/>
        </w:rPr>
        <w:t>y</w:t>
      </w:r>
      <w:r>
        <w:rPr>
          <w:color w:val="231F20"/>
          <w:spacing w:val="-22"/>
          <w:w w:val="105"/>
        </w:rPr>
        <w:t> </w:t>
      </w:r>
      <w:r>
        <w:rPr>
          <w:color w:val="231F20"/>
          <w:w w:val="105"/>
        </w:rPr>
        <w:t>migraciones</w:t>
      </w:r>
      <w:r>
        <w:rPr>
          <w:color w:val="231F20"/>
          <w:spacing w:val="-22"/>
          <w:w w:val="105"/>
        </w:rPr>
        <w:t> </w:t>
      </w:r>
      <w:r>
        <w:rPr>
          <w:color w:val="231F20"/>
          <w:w w:val="105"/>
        </w:rPr>
        <w:t>internacionales</w:t>
      </w:r>
      <w:r>
        <w:rPr>
          <w:color w:val="231F20"/>
          <w:spacing w:val="-22"/>
          <w:w w:val="105"/>
        </w:rPr>
        <w:t> </w:t>
      </w:r>
      <w:r>
        <w:rPr>
          <w:color w:val="231F20"/>
          <w:w w:val="105"/>
        </w:rPr>
        <w:t>de</w:t>
      </w:r>
      <w:r>
        <w:rPr>
          <w:color w:val="231F20"/>
          <w:spacing w:val="-22"/>
          <w:w w:val="105"/>
        </w:rPr>
        <w:t> </w:t>
      </w:r>
      <w:r>
        <w:rPr>
          <w:color w:val="231F20"/>
          <w:w w:val="105"/>
        </w:rPr>
        <w:t>los mexiquenses</w:t>
      </w:r>
      <w:r>
        <w:rPr>
          <w:color w:val="231F20"/>
          <w:spacing w:val="-6"/>
          <w:w w:val="105"/>
        </w:rPr>
        <w:t> </w:t>
      </w:r>
      <w:r>
        <w:rPr>
          <w:color w:val="231F20"/>
          <w:w w:val="105"/>
        </w:rPr>
        <w:t>han</w:t>
      </w:r>
      <w:r>
        <w:rPr>
          <w:color w:val="231F20"/>
          <w:spacing w:val="-6"/>
          <w:w w:val="105"/>
        </w:rPr>
        <w:t> </w:t>
      </w:r>
      <w:r>
        <w:rPr>
          <w:color w:val="231F20"/>
          <w:w w:val="105"/>
        </w:rPr>
        <w:t>cobrado</w:t>
      </w:r>
      <w:r>
        <w:rPr>
          <w:color w:val="231F20"/>
          <w:spacing w:val="-6"/>
          <w:w w:val="105"/>
        </w:rPr>
        <w:t> </w:t>
      </w:r>
      <w:r>
        <w:rPr>
          <w:color w:val="231F20"/>
          <w:w w:val="105"/>
        </w:rPr>
        <w:t>una</w:t>
      </w:r>
      <w:r>
        <w:rPr>
          <w:color w:val="231F20"/>
          <w:spacing w:val="-6"/>
          <w:w w:val="105"/>
        </w:rPr>
        <w:t> </w:t>
      </w:r>
      <w:r>
        <w:rPr>
          <w:color w:val="231F20"/>
          <w:w w:val="105"/>
        </w:rPr>
        <w:t>importancia</w:t>
      </w:r>
      <w:r>
        <w:rPr>
          <w:color w:val="231F20"/>
          <w:spacing w:val="-6"/>
          <w:w w:val="105"/>
        </w:rPr>
        <w:t> </w:t>
      </w:r>
      <w:r>
        <w:rPr>
          <w:color w:val="231F20"/>
          <w:w w:val="105"/>
        </w:rPr>
        <w:t>particular</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últimas</w:t>
      </w:r>
      <w:r>
        <w:rPr>
          <w:color w:val="231F20"/>
          <w:spacing w:val="-6"/>
          <w:w w:val="105"/>
        </w:rPr>
        <w:t> </w:t>
      </w:r>
      <w:r>
        <w:rPr>
          <w:color w:val="231F20"/>
          <w:w w:val="105"/>
        </w:rPr>
        <w:t>dé- cadas, debido al aumento del número de población emigrante; motiva- do por factores estructurales como la pobreza, la desigualdad y la año- ranza de aspirar a una mejor calidad de vida. Sin embargo,</w:t>
      </w:r>
      <w:r>
        <w:rPr>
          <w:color w:val="231F20"/>
          <w:spacing w:val="-42"/>
          <w:w w:val="105"/>
        </w:rPr>
        <w:t> </w:t>
      </w:r>
      <w:r>
        <w:rPr>
          <w:color w:val="231F20"/>
          <w:w w:val="105"/>
        </w:rPr>
        <w:t>más allá de lo</w:t>
      </w:r>
      <w:r>
        <w:rPr>
          <w:color w:val="231F20"/>
          <w:spacing w:val="-15"/>
          <w:w w:val="105"/>
        </w:rPr>
        <w:t> </w:t>
      </w:r>
      <w:r>
        <w:rPr>
          <w:color w:val="231F20"/>
          <w:w w:val="105"/>
        </w:rPr>
        <w:t>económico,</w:t>
      </w:r>
      <w:r>
        <w:rPr>
          <w:color w:val="231F20"/>
          <w:spacing w:val="-20"/>
          <w:w w:val="105"/>
        </w:rPr>
        <w:t> </w:t>
      </w:r>
      <w:r>
        <w:rPr>
          <w:color w:val="231F20"/>
          <w:w w:val="105"/>
        </w:rPr>
        <w:t>son</w:t>
      </w:r>
      <w:r>
        <w:rPr>
          <w:color w:val="231F20"/>
          <w:spacing w:val="-15"/>
          <w:w w:val="105"/>
        </w:rPr>
        <w:t> </w:t>
      </w:r>
      <w:r>
        <w:rPr>
          <w:color w:val="231F20"/>
          <w:w w:val="105"/>
        </w:rPr>
        <w:t>diversos</w:t>
      </w:r>
      <w:r>
        <w:rPr>
          <w:color w:val="231F20"/>
          <w:spacing w:val="-15"/>
          <w:w w:val="105"/>
        </w:rPr>
        <w:t> </w:t>
      </w:r>
      <w:r>
        <w:rPr>
          <w:color w:val="231F20"/>
          <w:w w:val="105"/>
        </w:rPr>
        <w:t>los</w:t>
      </w:r>
      <w:r>
        <w:rPr>
          <w:color w:val="231F20"/>
          <w:spacing w:val="-15"/>
          <w:w w:val="105"/>
        </w:rPr>
        <w:t> </w:t>
      </w:r>
      <w:r>
        <w:rPr>
          <w:color w:val="231F20"/>
          <w:w w:val="105"/>
        </w:rPr>
        <w:t>factores</w:t>
      </w:r>
      <w:r>
        <w:rPr>
          <w:color w:val="231F20"/>
          <w:spacing w:val="-15"/>
          <w:w w:val="105"/>
        </w:rPr>
        <w:t> </w:t>
      </w:r>
      <w:r>
        <w:rPr>
          <w:color w:val="231F20"/>
          <w:w w:val="105"/>
        </w:rPr>
        <w:t>que</w:t>
      </w:r>
      <w:r>
        <w:rPr>
          <w:color w:val="231F20"/>
          <w:spacing w:val="-15"/>
          <w:w w:val="105"/>
        </w:rPr>
        <w:t> </w:t>
      </w:r>
      <w:r>
        <w:rPr>
          <w:color w:val="231F20"/>
          <w:w w:val="105"/>
        </w:rPr>
        <w:t>participan</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complejidad de</w:t>
      </w:r>
      <w:r>
        <w:rPr>
          <w:color w:val="231F20"/>
          <w:spacing w:val="-10"/>
          <w:w w:val="105"/>
        </w:rPr>
        <w:t> </w:t>
      </w:r>
      <w:r>
        <w:rPr>
          <w:color w:val="231F20"/>
          <w:w w:val="105"/>
        </w:rPr>
        <w:t>estos</w:t>
      </w:r>
      <w:r>
        <w:rPr>
          <w:color w:val="231F20"/>
          <w:spacing w:val="-10"/>
          <w:w w:val="105"/>
        </w:rPr>
        <w:t> </w:t>
      </w:r>
      <w:r>
        <w:rPr>
          <w:color w:val="231F20"/>
          <w:w w:val="105"/>
        </w:rPr>
        <w:t>procesos,</w:t>
      </w:r>
      <w:r>
        <w:rPr>
          <w:color w:val="231F20"/>
          <w:spacing w:val="-15"/>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cambios</w:t>
      </w:r>
      <w:r>
        <w:rPr>
          <w:color w:val="231F20"/>
          <w:spacing w:val="-10"/>
          <w:w w:val="105"/>
        </w:rPr>
        <w:t> </w:t>
      </w:r>
      <w:r>
        <w:rPr>
          <w:color w:val="231F20"/>
          <w:w w:val="105"/>
        </w:rPr>
        <w:t>observados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caracteri- zación,</w:t>
      </w:r>
      <w:r>
        <w:rPr>
          <w:color w:val="231F20"/>
          <w:spacing w:val="-22"/>
          <w:w w:val="105"/>
        </w:rPr>
        <w:t> </w:t>
      </w:r>
      <w:r>
        <w:rPr>
          <w:color w:val="231F20"/>
          <w:w w:val="105"/>
        </w:rPr>
        <w:t>las</w:t>
      </w:r>
      <w:r>
        <w:rPr>
          <w:color w:val="231F20"/>
          <w:spacing w:val="-18"/>
          <w:w w:val="105"/>
        </w:rPr>
        <w:t> </w:t>
      </w:r>
      <w:r>
        <w:rPr>
          <w:color w:val="231F20"/>
          <w:w w:val="105"/>
        </w:rPr>
        <w:t>modalidades</w:t>
      </w:r>
      <w:r>
        <w:rPr>
          <w:color w:val="231F20"/>
          <w:spacing w:val="-18"/>
          <w:w w:val="105"/>
        </w:rPr>
        <w:t> </w:t>
      </w:r>
      <w:r>
        <w:rPr>
          <w:color w:val="231F20"/>
          <w:w w:val="105"/>
        </w:rPr>
        <w:t>y</w:t>
      </w:r>
      <w:r>
        <w:rPr>
          <w:color w:val="231F20"/>
          <w:spacing w:val="-18"/>
          <w:w w:val="105"/>
        </w:rPr>
        <w:t> </w:t>
      </w:r>
      <w:r>
        <w:rPr>
          <w:color w:val="231F20"/>
          <w:w w:val="105"/>
        </w:rPr>
        <w:t>las</w:t>
      </w:r>
      <w:r>
        <w:rPr>
          <w:color w:val="231F20"/>
          <w:spacing w:val="-18"/>
          <w:w w:val="105"/>
        </w:rPr>
        <w:t> </w:t>
      </w:r>
      <w:r>
        <w:rPr>
          <w:color w:val="231F20"/>
          <w:w w:val="105"/>
        </w:rPr>
        <w:t>dinámicas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flujos</w:t>
      </w:r>
      <w:r>
        <w:rPr>
          <w:color w:val="231F20"/>
          <w:spacing w:val="-18"/>
          <w:w w:val="105"/>
        </w:rPr>
        <w:t> </w:t>
      </w:r>
      <w:r>
        <w:rPr>
          <w:color w:val="231F20"/>
          <w:w w:val="105"/>
        </w:rPr>
        <w:t>migratorios</w:t>
      </w:r>
      <w:r>
        <w:rPr>
          <w:color w:val="231F20"/>
          <w:spacing w:val="-18"/>
          <w:w w:val="105"/>
        </w:rPr>
        <w:t> </w:t>
      </w:r>
      <w:r>
        <w:rPr>
          <w:color w:val="231F20"/>
          <w:w w:val="105"/>
        </w:rPr>
        <w:t>hacia</w:t>
      </w:r>
      <w:r>
        <w:rPr>
          <w:color w:val="231F20"/>
          <w:spacing w:val="-18"/>
          <w:w w:val="105"/>
        </w:rPr>
        <w:t> </w:t>
      </w:r>
      <w:r>
        <w:rPr>
          <w:color w:val="231F20"/>
          <w:w w:val="105"/>
        </w:rPr>
        <w:t>el vecino país del norte, particularmente en los últimos cinco años. Tiem- po</w:t>
      </w:r>
      <w:r>
        <w:rPr>
          <w:color w:val="231F20"/>
          <w:spacing w:val="-9"/>
          <w:w w:val="105"/>
        </w:rPr>
        <w:t> </w:t>
      </w:r>
      <w:r>
        <w:rPr>
          <w:color w:val="231F20"/>
          <w:w w:val="105"/>
        </w:rPr>
        <w:t>suficiente</w:t>
      </w:r>
      <w:r>
        <w:rPr>
          <w:color w:val="231F20"/>
          <w:spacing w:val="-9"/>
          <w:w w:val="105"/>
        </w:rPr>
        <w:t> </w:t>
      </w:r>
      <w:r>
        <w:rPr>
          <w:color w:val="231F20"/>
          <w:w w:val="105"/>
        </w:rPr>
        <w:t>para</w:t>
      </w:r>
      <w:r>
        <w:rPr>
          <w:color w:val="231F20"/>
          <w:spacing w:val="-9"/>
          <w:w w:val="105"/>
        </w:rPr>
        <w:t> </w:t>
      </w:r>
      <w:r>
        <w:rPr>
          <w:color w:val="231F20"/>
          <w:w w:val="105"/>
        </w:rPr>
        <w:t>construir</w:t>
      </w:r>
      <w:r>
        <w:rPr>
          <w:color w:val="231F20"/>
          <w:spacing w:val="-9"/>
          <w:w w:val="105"/>
        </w:rPr>
        <w:t> </w:t>
      </w:r>
      <w:r>
        <w:rPr>
          <w:color w:val="231F20"/>
          <w:w w:val="105"/>
        </w:rPr>
        <w:t>el</w:t>
      </w:r>
      <w:r>
        <w:rPr>
          <w:color w:val="231F20"/>
          <w:spacing w:val="-9"/>
          <w:w w:val="105"/>
        </w:rPr>
        <w:t> </w:t>
      </w:r>
      <w:r>
        <w:rPr>
          <w:color w:val="231F20"/>
          <w:w w:val="105"/>
        </w:rPr>
        <w:t>debate</w:t>
      </w:r>
      <w:r>
        <w:rPr>
          <w:color w:val="231F20"/>
          <w:spacing w:val="-9"/>
          <w:w w:val="105"/>
        </w:rPr>
        <w:t> </w:t>
      </w:r>
      <w:r>
        <w:rPr>
          <w:color w:val="231F20"/>
          <w:w w:val="105"/>
        </w:rPr>
        <w:t>sobre</w:t>
      </w:r>
      <w:r>
        <w:rPr>
          <w:color w:val="231F20"/>
          <w:spacing w:val="-9"/>
          <w:w w:val="105"/>
        </w:rPr>
        <w:t> </w:t>
      </w:r>
      <w:r>
        <w:rPr>
          <w:color w:val="231F20"/>
          <w:w w:val="105"/>
        </w:rPr>
        <w:t>la</w:t>
      </w:r>
      <w:r>
        <w:rPr>
          <w:color w:val="231F20"/>
          <w:spacing w:val="-9"/>
          <w:w w:val="105"/>
        </w:rPr>
        <w:t> </w:t>
      </w:r>
      <w:r>
        <w:rPr>
          <w:color w:val="231F20"/>
          <w:w w:val="105"/>
        </w:rPr>
        <w:t>nueva</w:t>
      </w:r>
      <w:r>
        <w:rPr>
          <w:color w:val="231F20"/>
          <w:spacing w:val="-9"/>
          <w:w w:val="105"/>
        </w:rPr>
        <w:t> </w:t>
      </w:r>
      <w:r>
        <w:rPr>
          <w:color w:val="231F20"/>
          <w:w w:val="105"/>
        </w:rPr>
        <w:t>realidad</w:t>
      </w:r>
      <w:r>
        <w:rPr>
          <w:color w:val="231F20"/>
          <w:spacing w:val="-9"/>
          <w:w w:val="105"/>
        </w:rPr>
        <w:t> </w:t>
      </w:r>
      <w:r>
        <w:rPr>
          <w:color w:val="231F20"/>
          <w:w w:val="105"/>
        </w:rPr>
        <w:t>migratoria México-Estados</w:t>
      </w:r>
      <w:r>
        <w:rPr>
          <w:color w:val="231F20"/>
          <w:spacing w:val="-14"/>
          <w:w w:val="105"/>
        </w:rPr>
        <w:t> </w:t>
      </w:r>
      <w:r>
        <w:rPr>
          <w:color w:val="231F20"/>
          <w:w w:val="105"/>
        </w:rPr>
        <w:t>Unidos,</w:t>
      </w:r>
      <w:r>
        <w:rPr>
          <w:color w:val="231F20"/>
          <w:spacing w:val="-20"/>
          <w:w w:val="105"/>
        </w:rPr>
        <w:t> </w:t>
      </w:r>
      <w:r>
        <w:rPr>
          <w:color w:val="231F20"/>
          <w:w w:val="105"/>
        </w:rPr>
        <w:t>en</w:t>
      </w:r>
      <w:r>
        <w:rPr>
          <w:color w:val="231F20"/>
          <w:spacing w:val="-14"/>
          <w:w w:val="105"/>
        </w:rPr>
        <w:t> </w:t>
      </w:r>
      <w:r>
        <w:rPr>
          <w:color w:val="231F20"/>
          <w:w w:val="105"/>
        </w:rPr>
        <w:t>cuanto</w:t>
      </w:r>
      <w:r>
        <w:rPr>
          <w:color w:val="231F20"/>
          <w:spacing w:val="-14"/>
          <w:w w:val="105"/>
        </w:rPr>
        <w:t> </w:t>
      </w:r>
      <w:r>
        <w:rPr>
          <w:color w:val="231F20"/>
          <w:w w:val="105"/>
        </w:rPr>
        <w:t>proceso</w:t>
      </w:r>
      <w:r>
        <w:rPr>
          <w:color w:val="231F20"/>
          <w:spacing w:val="-14"/>
          <w:w w:val="105"/>
        </w:rPr>
        <w:t> </w:t>
      </w:r>
      <w:r>
        <w:rPr>
          <w:color w:val="231F20"/>
          <w:w w:val="105"/>
        </w:rPr>
        <w:t>caracterizado</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reconfi- guración</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modalidades</w:t>
      </w:r>
      <w:r>
        <w:rPr>
          <w:color w:val="231F20"/>
          <w:spacing w:val="-25"/>
          <w:w w:val="105"/>
        </w:rPr>
        <w:t> </w:t>
      </w:r>
      <w:r>
        <w:rPr>
          <w:color w:val="231F20"/>
          <w:w w:val="105"/>
        </w:rPr>
        <w:t>y</w:t>
      </w:r>
      <w:r>
        <w:rPr>
          <w:color w:val="231F20"/>
          <w:spacing w:val="-25"/>
          <w:w w:val="105"/>
        </w:rPr>
        <w:t> </w:t>
      </w:r>
      <w:r>
        <w:rPr>
          <w:color w:val="231F20"/>
          <w:w w:val="105"/>
        </w:rPr>
        <w:t>los</w:t>
      </w:r>
      <w:r>
        <w:rPr>
          <w:color w:val="231F20"/>
          <w:spacing w:val="-25"/>
          <w:w w:val="105"/>
        </w:rPr>
        <w:t> </w:t>
      </w:r>
      <w:r>
        <w:rPr>
          <w:color w:val="231F20"/>
          <w:w w:val="105"/>
        </w:rPr>
        <w:t>flujos</w:t>
      </w:r>
      <w:r>
        <w:rPr>
          <w:color w:val="231F20"/>
          <w:spacing w:val="-25"/>
          <w:w w:val="105"/>
        </w:rPr>
        <w:t> </w:t>
      </w:r>
      <w:r>
        <w:rPr>
          <w:color w:val="231F20"/>
          <w:w w:val="105"/>
        </w:rPr>
        <w:t>migratorios</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mexicanos.</w:t>
      </w:r>
      <w:r>
        <w:rPr>
          <w:color w:val="231F20"/>
          <w:spacing w:val="-31"/>
          <w:w w:val="105"/>
        </w:rPr>
        <w:t> </w:t>
      </w:r>
      <w:r>
        <w:rPr>
          <w:color w:val="231F20"/>
          <w:w w:val="105"/>
        </w:rPr>
        <w:t>En este</w:t>
      </w:r>
      <w:r>
        <w:rPr>
          <w:color w:val="231F20"/>
          <w:spacing w:val="-21"/>
          <w:w w:val="105"/>
        </w:rPr>
        <w:t> </w:t>
      </w:r>
      <w:r>
        <w:rPr>
          <w:color w:val="231F20"/>
          <w:w w:val="105"/>
        </w:rPr>
        <w:t>orden,</w:t>
      </w:r>
      <w:r>
        <w:rPr>
          <w:color w:val="231F20"/>
          <w:spacing w:val="-26"/>
          <w:w w:val="105"/>
        </w:rPr>
        <w:t> </w:t>
      </w:r>
      <w:r>
        <w:rPr>
          <w:color w:val="231F20"/>
          <w:w w:val="105"/>
        </w:rPr>
        <w:t>el</w:t>
      </w:r>
      <w:r>
        <w:rPr>
          <w:color w:val="231F20"/>
          <w:spacing w:val="-21"/>
          <w:w w:val="105"/>
        </w:rPr>
        <w:t> </w:t>
      </w:r>
      <w:r>
        <w:rPr>
          <w:color w:val="231F20"/>
          <w:w w:val="105"/>
        </w:rPr>
        <w:t>Estado</w:t>
      </w:r>
      <w:r>
        <w:rPr>
          <w:color w:val="231F20"/>
          <w:spacing w:val="-21"/>
          <w:w w:val="105"/>
        </w:rPr>
        <w:t> </w:t>
      </w:r>
      <w:r>
        <w:rPr>
          <w:color w:val="231F20"/>
          <w:w w:val="105"/>
        </w:rPr>
        <w:t>de</w:t>
      </w:r>
      <w:r>
        <w:rPr>
          <w:color w:val="231F20"/>
          <w:spacing w:val="-21"/>
          <w:w w:val="105"/>
        </w:rPr>
        <w:t> </w:t>
      </w:r>
      <w:r>
        <w:rPr>
          <w:color w:val="231F20"/>
          <w:w w:val="105"/>
        </w:rPr>
        <w:t>México</w:t>
      </w:r>
      <w:r>
        <w:rPr>
          <w:color w:val="231F20"/>
          <w:spacing w:val="-21"/>
          <w:w w:val="105"/>
        </w:rPr>
        <w:t> </w:t>
      </w:r>
      <w:r>
        <w:rPr>
          <w:color w:val="231F20"/>
          <w:w w:val="105"/>
        </w:rPr>
        <w:t>se</w:t>
      </w:r>
      <w:r>
        <w:rPr>
          <w:color w:val="231F20"/>
          <w:spacing w:val="-21"/>
          <w:w w:val="105"/>
        </w:rPr>
        <w:t> </w:t>
      </w:r>
      <w:r>
        <w:rPr>
          <w:color w:val="231F20"/>
          <w:w w:val="105"/>
        </w:rPr>
        <w:t>posiciona</w:t>
      </w:r>
      <w:r>
        <w:rPr>
          <w:color w:val="231F20"/>
          <w:spacing w:val="-21"/>
          <w:w w:val="105"/>
        </w:rPr>
        <w:t> </w:t>
      </w:r>
      <w:r>
        <w:rPr>
          <w:color w:val="231F20"/>
          <w:w w:val="105"/>
        </w:rPr>
        <w:t>entre</w:t>
      </w:r>
      <w:r>
        <w:rPr>
          <w:color w:val="231F20"/>
          <w:spacing w:val="-21"/>
          <w:w w:val="105"/>
        </w:rPr>
        <w:t> </w:t>
      </w:r>
      <w:r>
        <w:rPr>
          <w:color w:val="231F20"/>
          <w:w w:val="105"/>
        </w:rPr>
        <w:t>los</w:t>
      </w:r>
      <w:r>
        <w:rPr>
          <w:color w:val="231F20"/>
          <w:spacing w:val="-21"/>
          <w:w w:val="105"/>
        </w:rPr>
        <w:t> </w:t>
      </w:r>
      <w:r>
        <w:rPr>
          <w:color w:val="231F20"/>
          <w:w w:val="105"/>
        </w:rPr>
        <w:t>territorios</w:t>
      </w:r>
      <w:r>
        <w:rPr>
          <w:color w:val="231F20"/>
          <w:spacing w:val="-21"/>
          <w:w w:val="105"/>
        </w:rPr>
        <w:t> </w:t>
      </w:r>
      <w:r>
        <w:rPr>
          <w:color w:val="231F20"/>
          <w:w w:val="105"/>
        </w:rPr>
        <w:t>que</w:t>
      </w:r>
      <w:r>
        <w:rPr>
          <w:color w:val="231F20"/>
          <w:spacing w:val="-21"/>
          <w:w w:val="105"/>
        </w:rPr>
        <w:t> </w:t>
      </w:r>
      <w:r>
        <w:rPr>
          <w:color w:val="231F20"/>
          <w:w w:val="105"/>
        </w:rPr>
        <w:t>han registrado mayores cambios en la dinámica migratoria de su población </w:t>
      </w:r>
      <w:r>
        <w:rPr>
          <w:color w:val="231F20"/>
        </w:rPr>
        <w:t>(Jardón,</w:t>
      </w:r>
      <w:r>
        <w:rPr>
          <w:color w:val="231F20"/>
          <w:spacing w:val="8"/>
        </w:rPr>
        <w:t> </w:t>
      </w:r>
      <w:r>
        <w:rPr>
          <w:color w:val="231F20"/>
        </w:rPr>
        <w:t>2013).</w:t>
      </w:r>
    </w:p>
    <w:p>
      <w:pPr>
        <w:spacing w:line="261" w:lineRule="auto" w:before="0"/>
        <w:ind w:left="1837" w:right="1721" w:firstLine="567"/>
        <w:jc w:val="both"/>
        <w:rPr>
          <w:sz w:val="21"/>
        </w:rPr>
      </w:pPr>
      <w:r>
        <w:rPr>
          <w:color w:val="231F20"/>
          <w:w w:val="105"/>
          <w:sz w:val="21"/>
        </w:rPr>
        <w:t>En atención a esta complejidad, en el libro </w:t>
      </w:r>
      <w:r>
        <w:rPr>
          <w:rFonts w:ascii="Arial" w:hAnsi="Arial"/>
          <w:i/>
          <w:color w:val="231F20"/>
          <w:w w:val="105"/>
          <w:sz w:val="21"/>
        </w:rPr>
        <w:t>Continuidades y cam- </w:t>
      </w:r>
      <w:r>
        <w:rPr>
          <w:rFonts w:ascii="Arial" w:hAnsi="Arial"/>
          <w:i/>
          <w:color w:val="231F20"/>
          <w:w w:val="105"/>
          <w:sz w:val="21"/>
        </w:rPr>
        <w:t>bios en las migraciones de México a Estados Unidos. </w:t>
      </w:r>
      <w:r>
        <w:rPr>
          <w:rFonts w:ascii="Arial" w:hAnsi="Arial"/>
          <w:i/>
          <w:color w:val="231F20"/>
          <w:spacing w:val="-3"/>
          <w:w w:val="105"/>
          <w:sz w:val="21"/>
        </w:rPr>
        <w:t>Tendencias </w:t>
      </w:r>
      <w:r>
        <w:rPr>
          <w:rFonts w:ascii="Arial" w:hAnsi="Arial"/>
          <w:i/>
          <w:color w:val="231F20"/>
          <w:w w:val="105"/>
          <w:sz w:val="21"/>
        </w:rPr>
        <w:t>en</w:t>
      </w:r>
      <w:r>
        <w:rPr>
          <w:rFonts w:ascii="Arial" w:hAnsi="Arial"/>
          <w:i/>
          <w:color w:val="231F20"/>
          <w:spacing w:val="-13"/>
          <w:w w:val="105"/>
          <w:sz w:val="21"/>
        </w:rPr>
        <w:t> </w:t>
      </w:r>
      <w:r>
        <w:rPr>
          <w:rFonts w:ascii="Arial" w:hAnsi="Arial"/>
          <w:i/>
          <w:color w:val="231F20"/>
          <w:w w:val="105"/>
          <w:sz w:val="21"/>
        </w:rPr>
        <w:t>la circulación,</w:t>
      </w:r>
      <w:r>
        <w:rPr>
          <w:rFonts w:ascii="Arial" w:hAnsi="Arial"/>
          <w:i/>
          <w:color w:val="231F20"/>
          <w:spacing w:val="-13"/>
          <w:w w:val="105"/>
          <w:sz w:val="21"/>
        </w:rPr>
        <w:t> </w:t>
      </w:r>
      <w:r>
        <w:rPr>
          <w:rFonts w:ascii="Arial" w:hAnsi="Arial"/>
          <w:i/>
          <w:color w:val="231F20"/>
          <w:w w:val="105"/>
          <w:sz w:val="21"/>
        </w:rPr>
        <w:t>experiencias</w:t>
      </w:r>
      <w:r>
        <w:rPr>
          <w:rFonts w:ascii="Arial" w:hAnsi="Arial"/>
          <w:i/>
          <w:color w:val="231F20"/>
          <w:spacing w:val="-8"/>
          <w:w w:val="105"/>
          <w:sz w:val="21"/>
        </w:rPr>
        <w:t> </w:t>
      </w:r>
      <w:r>
        <w:rPr>
          <w:rFonts w:ascii="Arial" w:hAnsi="Arial"/>
          <w:i/>
          <w:color w:val="231F20"/>
          <w:w w:val="105"/>
          <w:sz w:val="21"/>
        </w:rPr>
        <w:t>y</w:t>
      </w:r>
      <w:r>
        <w:rPr>
          <w:rFonts w:ascii="Arial" w:hAnsi="Arial"/>
          <w:i/>
          <w:color w:val="231F20"/>
          <w:spacing w:val="-8"/>
          <w:w w:val="105"/>
          <w:sz w:val="21"/>
        </w:rPr>
        <w:t> </w:t>
      </w:r>
      <w:r>
        <w:rPr>
          <w:rFonts w:ascii="Arial" w:hAnsi="Arial"/>
          <w:i/>
          <w:color w:val="231F20"/>
          <w:w w:val="105"/>
          <w:sz w:val="21"/>
        </w:rPr>
        <w:t>resignificaciones</w:t>
      </w:r>
      <w:r>
        <w:rPr>
          <w:rFonts w:ascii="Arial" w:hAnsi="Arial"/>
          <w:i/>
          <w:color w:val="231F20"/>
          <w:spacing w:val="-8"/>
          <w:w w:val="105"/>
          <w:sz w:val="21"/>
        </w:rPr>
        <w:t> </w:t>
      </w:r>
      <w:r>
        <w:rPr>
          <w:rFonts w:ascii="Arial" w:hAnsi="Arial"/>
          <w:i/>
          <w:color w:val="231F20"/>
          <w:w w:val="105"/>
          <w:sz w:val="21"/>
        </w:rPr>
        <w:t>de</w:t>
      </w:r>
      <w:r>
        <w:rPr>
          <w:rFonts w:ascii="Arial" w:hAnsi="Arial"/>
          <w:i/>
          <w:color w:val="231F20"/>
          <w:spacing w:val="-8"/>
          <w:w w:val="105"/>
          <w:sz w:val="21"/>
        </w:rPr>
        <w:t> </w:t>
      </w:r>
      <w:r>
        <w:rPr>
          <w:rFonts w:ascii="Arial" w:hAnsi="Arial"/>
          <w:i/>
          <w:color w:val="231F20"/>
          <w:w w:val="105"/>
          <w:sz w:val="21"/>
        </w:rPr>
        <w:t>la</w:t>
      </w:r>
      <w:r>
        <w:rPr>
          <w:rFonts w:ascii="Arial" w:hAnsi="Arial"/>
          <w:i/>
          <w:color w:val="231F20"/>
          <w:spacing w:val="-8"/>
          <w:w w:val="105"/>
          <w:sz w:val="21"/>
        </w:rPr>
        <w:t> </w:t>
      </w:r>
      <w:r>
        <w:rPr>
          <w:rFonts w:ascii="Arial" w:hAnsi="Arial"/>
          <w:i/>
          <w:color w:val="231F20"/>
          <w:w w:val="105"/>
          <w:sz w:val="21"/>
        </w:rPr>
        <w:t>migración</w:t>
      </w:r>
      <w:r>
        <w:rPr>
          <w:rFonts w:ascii="Arial" w:hAnsi="Arial"/>
          <w:i/>
          <w:color w:val="231F20"/>
          <w:spacing w:val="-8"/>
          <w:w w:val="105"/>
          <w:sz w:val="21"/>
        </w:rPr>
        <w:t> </w:t>
      </w:r>
      <w:r>
        <w:rPr>
          <w:rFonts w:ascii="Arial" w:hAnsi="Arial"/>
          <w:i/>
          <w:color w:val="231F20"/>
          <w:w w:val="105"/>
          <w:sz w:val="21"/>
        </w:rPr>
        <w:t>y</w:t>
      </w:r>
      <w:r>
        <w:rPr>
          <w:rFonts w:ascii="Arial" w:hAnsi="Arial"/>
          <w:i/>
          <w:color w:val="231F20"/>
          <w:spacing w:val="-8"/>
          <w:w w:val="105"/>
          <w:sz w:val="21"/>
        </w:rPr>
        <w:t> </w:t>
      </w:r>
      <w:r>
        <w:rPr>
          <w:rFonts w:ascii="Arial" w:hAnsi="Arial"/>
          <w:i/>
          <w:color w:val="231F20"/>
          <w:w w:val="105"/>
          <w:sz w:val="21"/>
        </w:rPr>
        <w:t>el</w:t>
      </w:r>
      <w:r>
        <w:rPr>
          <w:rFonts w:ascii="Arial" w:hAnsi="Arial"/>
          <w:i/>
          <w:color w:val="231F20"/>
          <w:spacing w:val="-8"/>
          <w:w w:val="105"/>
          <w:sz w:val="21"/>
        </w:rPr>
        <w:t> </w:t>
      </w:r>
      <w:r>
        <w:rPr>
          <w:rFonts w:ascii="Arial" w:hAnsi="Arial"/>
          <w:i/>
          <w:color w:val="231F20"/>
          <w:w w:val="105"/>
          <w:sz w:val="21"/>
        </w:rPr>
        <w:t>retorno en el Estado de México </w:t>
      </w:r>
      <w:r>
        <w:rPr>
          <w:color w:val="231F20"/>
          <w:w w:val="105"/>
          <w:sz w:val="21"/>
        </w:rPr>
        <w:t>se abordan diversas temáticas enfocadas en</w:t>
      </w:r>
      <w:r>
        <w:rPr>
          <w:color w:val="231F20"/>
          <w:spacing w:val="-38"/>
          <w:w w:val="105"/>
          <w:sz w:val="21"/>
        </w:rPr>
        <w:t> </w:t>
      </w:r>
      <w:r>
        <w:rPr>
          <w:color w:val="231F20"/>
          <w:w w:val="105"/>
          <w:sz w:val="21"/>
        </w:rPr>
        <w:t>la dinámica de la emigración y la migración de retorno de la población mexiquense, a la vez que se dedica particular atención al análisis de la dimensión territorial del Estado de México como lugar de tránsito. En suma,</w:t>
      </w:r>
      <w:r>
        <w:rPr>
          <w:color w:val="231F20"/>
          <w:spacing w:val="-12"/>
          <w:w w:val="105"/>
          <w:sz w:val="21"/>
        </w:rPr>
        <w:t> </w:t>
      </w:r>
      <w:r>
        <w:rPr>
          <w:color w:val="231F20"/>
          <w:w w:val="105"/>
          <w:sz w:val="21"/>
        </w:rPr>
        <w:t>estos</w:t>
      </w:r>
      <w:r>
        <w:rPr>
          <w:color w:val="231F20"/>
          <w:spacing w:val="-6"/>
          <w:w w:val="105"/>
          <w:sz w:val="21"/>
        </w:rPr>
        <w:t> </w:t>
      </w:r>
      <w:r>
        <w:rPr>
          <w:color w:val="231F20"/>
          <w:w w:val="105"/>
          <w:sz w:val="21"/>
        </w:rPr>
        <w:t>trabajos</w:t>
      </w:r>
      <w:r>
        <w:rPr>
          <w:color w:val="231F20"/>
          <w:spacing w:val="-6"/>
          <w:w w:val="105"/>
          <w:sz w:val="21"/>
        </w:rPr>
        <w:t> </w:t>
      </w:r>
      <w:r>
        <w:rPr>
          <w:color w:val="231F20"/>
          <w:w w:val="105"/>
          <w:sz w:val="21"/>
        </w:rPr>
        <w:t>proponen</w:t>
      </w:r>
      <w:r>
        <w:rPr>
          <w:color w:val="231F20"/>
          <w:spacing w:val="-6"/>
          <w:w w:val="105"/>
          <w:sz w:val="21"/>
        </w:rPr>
        <w:t> </w:t>
      </w:r>
      <w:r>
        <w:rPr>
          <w:color w:val="231F20"/>
          <w:w w:val="105"/>
          <w:sz w:val="21"/>
        </w:rPr>
        <w:t>una</w:t>
      </w:r>
      <w:r>
        <w:rPr>
          <w:color w:val="231F20"/>
          <w:spacing w:val="-6"/>
          <w:w w:val="105"/>
          <w:sz w:val="21"/>
        </w:rPr>
        <w:t> </w:t>
      </w:r>
      <w:r>
        <w:rPr>
          <w:color w:val="231F20"/>
          <w:w w:val="105"/>
          <w:sz w:val="21"/>
        </w:rPr>
        <w:t>panorámica</w:t>
      </w:r>
      <w:r>
        <w:rPr>
          <w:color w:val="231F20"/>
          <w:spacing w:val="-6"/>
          <w:w w:val="105"/>
          <w:sz w:val="21"/>
        </w:rPr>
        <w:t> </w:t>
      </w:r>
      <w:r>
        <w:rPr>
          <w:color w:val="231F20"/>
          <w:w w:val="105"/>
          <w:sz w:val="21"/>
        </w:rPr>
        <w:t>amplia</w:t>
      </w:r>
      <w:r>
        <w:rPr>
          <w:color w:val="231F20"/>
          <w:spacing w:val="-6"/>
          <w:w w:val="105"/>
          <w:sz w:val="21"/>
        </w:rPr>
        <w:t> </w:t>
      </w:r>
      <w:r>
        <w:rPr>
          <w:color w:val="231F20"/>
          <w:w w:val="105"/>
          <w:sz w:val="21"/>
        </w:rPr>
        <w:t>que</w:t>
      </w:r>
      <w:r>
        <w:rPr>
          <w:color w:val="231F20"/>
          <w:spacing w:val="-6"/>
          <w:w w:val="105"/>
          <w:sz w:val="21"/>
        </w:rPr>
        <w:t> </w:t>
      </w:r>
      <w:r>
        <w:rPr>
          <w:color w:val="231F20"/>
          <w:w w:val="105"/>
          <w:sz w:val="21"/>
        </w:rPr>
        <w:t>permite</w:t>
      </w:r>
      <w:r>
        <w:rPr>
          <w:color w:val="231F20"/>
          <w:spacing w:val="-6"/>
          <w:w w:val="105"/>
          <w:sz w:val="21"/>
        </w:rPr>
        <w:t> </w:t>
      </w:r>
      <w:r>
        <w:rPr>
          <w:color w:val="231F20"/>
          <w:w w:val="105"/>
          <w:sz w:val="21"/>
        </w:rPr>
        <w:t>en- tender</w:t>
      </w:r>
      <w:r>
        <w:rPr>
          <w:color w:val="231F20"/>
          <w:spacing w:val="-27"/>
          <w:w w:val="105"/>
          <w:sz w:val="21"/>
        </w:rPr>
        <w:t> </w:t>
      </w:r>
      <w:r>
        <w:rPr>
          <w:color w:val="231F20"/>
          <w:w w:val="105"/>
          <w:sz w:val="21"/>
        </w:rPr>
        <w:t>las</w:t>
      </w:r>
      <w:r>
        <w:rPr>
          <w:color w:val="231F20"/>
          <w:spacing w:val="-27"/>
          <w:w w:val="105"/>
          <w:sz w:val="21"/>
        </w:rPr>
        <w:t> </w:t>
      </w:r>
      <w:r>
        <w:rPr>
          <w:color w:val="231F20"/>
          <w:w w:val="105"/>
          <w:sz w:val="21"/>
        </w:rPr>
        <w:t>interrelaciones</w:t>
      </w:r>
      <w:r>
        <w:rPr>
          <w:color w:val="231F20"/>
          <w:spacing w:val="-27"/>
          <w:w w:val="105"/>
          <w:sz w:val="21"/>
        </w:rPr>
        <w:t> </w:t>
      </w:r>
      <w:r>
        <w:rPr>
          <w:color w:val="231F20"/>
          <w:w w:val="105"/>
          <w:sz w:val="21"/>
        </w:rPr>
        <w:t>y</w:t>
      </w:r>
      <w:r>
        <w:rPr>
          <w:color w:val="231F20"/>
          <w:spacing w:val="-27"/>
          <w:w w:val="105"/>
          <w:sz w:val="21"/>
        </w:rPr>
        <w:t> </w:t>
      </w:r>
      <w:r>
        <w:rPr>
          <w:color w:val="231F20"/>
          <w:w w:val="105"/>
          <w:sz w:val="21"/>
        </w:rPr>
        <w:t>efectos</w:t>
      </w:r>
      <w:r>
        <w:rPr>
          <w:color w:val="231F20"/>
          <w:spacing w:val="-27"/>
          <w:w w:val="105"/>
          <w:sz w:val="21"/>
        </w:rPr>
        <w:t> </w:t>
      </w:r>
      <w:r>
        <w:rPr>
          <w:color w:val="231F20"/>
          <w:w w:val="105"/>
          <w:sz w:val="21"/>
        </w:rPr>
        <w:t>sociales,</w:t>
      </w:r>
      <w:r>
        <w:rPr>
          <w:color w:val="231F20"/>
          <w:spacing w:val="-31"/>
          <w:w w:val="105"/>
          <w:sz w:val="21"/>
        </w:rPr>
        <w:t> </w:t>
      </w:r>
      <w:r>
        <w:rPr>
          <w:color w:val="231F20"/>
          <w:w w:val="105"/>
          <w:sz w:val="21"/>
        </w:rPr>
        <w:t>culturales</w:t>
      </w:r>
      <w:r>
        <w:rPr>
          <w:color w:val="231F20"/>
          <w:spacing w:val="-27"/>
          <w:w w:val="105"/>
          <w:sz w:val="21"/>
        </w:rPr>
        <w:t> </w:t>
      </w:r>
      <w:r>
        <w:rPr>
          <w:color w:val="231F20"/>
          <w:w w:val="105"/>
          <w:sz w:val="21"/>
        </w:rPr>
        <w:t>y</w:t>
      </w:r>
      <w:r>
        <w:rPr>
          <w:color w:val="231F20"/>
          <w:spacing w:val="-27"/>
          <w:w w:val="105"/>
          <w:sz w:val="21"/>
        </w:rPr>
        <w:t> </w:t>
      </w:r>
      <w:r>
        <w:rPr>
          <w:color w:val="231F20"/>
          <w:w w:val="105"/>
          <w:sz w:val="21"/>
        </w:rPr>
        <w:t>económicos</w:t>
      </w:r>
      <w:r>
        <w:rPr>
          <w:color w:val="231F20"/>
          <w:spacing w:val="-27"/>
          <w:w w:val="105"/>
          <w:sz w:val="21"/>
        </w:rPr>
        <w:t> </w:t>
      </w:r>
      <w:r>
        <w:rPr>
          <w:color w:val="231F20"/>
          <w:w w:val="105"/>
          <w:sz w:val="21"/>
        </w:rPr>
        <w:t>que las</w:t>
      </w:r>
      <w:r>
        <w:rPr>
          <w:color w:val="231F20"/>
          <w:spacing w:val="-22"/>
          <w:w w:val="105"/>
          <w:sz w:val="21"/>
        </w:rPr>
        <w:t> </w:t>
      </w:r>
      <w:r>
        <w:rPr>
          <w:color w:val="231F20"/>
          <w:w w:val="105"/>
          <w:sz w:val="21"/>
        </w:rPr>
        <w:t>migraciones</w:t>
      </w:r>
      <w:r>
        <w:rPr>
          <w:color w:val="231F20"/>
          <w:spacing w:val="-22"/>
          <w:w w:val="105"/>
          <w:sz w:val="21"/>
        </w:rPr>
        <w:t> </w:t>
      </w:r>
      <w:r>
        <w:rPr>
          <w:color w:val="231F20"/>
          <w:w w:val="105"/>
          <w:sz w:val="21"/>
        </w:rPr>
        <w:t>internacionales</w:t>
      </w:r>
      <w:r>
        <w:rPr>
          <w:color w:val="231F20"/>
          <w:spacing w:val="-22"/>
          <w:w w:val="105"/>
          <w:sz w:val="21"/>
        </w:rPr>
        <w:t> </w:t>
      </w:r>
      <w:r>
        <w:rPr>
          <w:color w:val="231F20"/>
          <w:w w:val="105"/>
          <w:sz w:val="21"/>
        </w:rPr>
        <w:t>advierten</w:t>
      </w:r>
      <w:r>
        <w:rPr>
          <w:color w:val="231F20"/>
          <w:spacing w:val="-22"/>
          <w:w w:val="105"/>
          <w:sz w:val="21"/>
        </w:rPr>
        <w:t> </w:t>
      </w:r>
      <w:r>
        <w:rPr>
          <w:color w:val="231F20"/>
          <w:w w:val="105"/>
          <w:sz w:val="21"/>
        </w:rPr>
        <w:t>en</w:t>
      </w:r>
      <w:r>
        <w:rPr>
          <w:color w:val="231F20"/>
          <w:spacing w:val="-22"/>
          <w:w w:val="105"/>
          <w:sz w:val="21"/>
        </w:rPr>
        <w:t> </w:t>
      </w:r>
      <w:r>
        <w:rPr>
          <w:color w:val="231F20"/>
          <w:w w:val="105"/>
          <w:sz w:val="21"/>
        </w:rPr>
        <w:t>los</w:t>
      </w:r>
      <w:r>
        <w:rPr>
          <w:color w:val="231F20"/>
          <w:spacing w:val="-22"/>
          <w:w w:val="105"/>
          <w:sz w:val="21"/>
        </w:rPr>
        <w:t> </w:t>
      </w:r>
      <w:r>
        <w:rPr>
          <w:color w:val="231F20"/>
          <w:w w:val="105"/>
          <w:sz w:val="21"/>
        </w:rPr>
        <w:t>hogares</w:t>
      </w:r>
      <w:r>
        <w:rPr>
          <w:color w:val="231F20"/>
          <w:spacing w:val="-22"/>
          <w:w w:val="105"/>
          <w:sz w:val="21"/>
        </w:rPr>
        <w:t> </w:t>
      </w:r>
      <w:r>
        <w:rPr>
          <w:color w:val="231F20"/>
          <w:w w:val="105"/>
          <w:sz w:val="21"/>
        </w:rPr>
        <w:t>y</w:t>
      </w:r>
      <w:r>
        <w:rPr>
          <w:color w:val="231F20"/>
          <w:spacing w:val="-22"/>
          <w:w w:val="105"/>
          <w:sz w:val="21"/>
        </w:rPr>
        <w:t> </w:t>
      </w:r>
      <w:r>
        <w:rPr>
          <w:color w:val="231F20"/>
          <w:w w:val="105"/>
          <w:sz w:val="21"/>
        </w:rPr>
        <w:t>comunidades de esta</w:t>
      </w:r>
      <w:r>
        <w:rPr>
          <w:color w:val="231F20"/>
          <w:spacing w:val="-21"/>
          <w:w w:val="105"/>
          <w:sz w:val="21"/>
        </w:rPr>
        <w:t> </w:t>
      </w:r>
      <w:r>
        <w:rPr>
          <w:color w:val="231F20"/>
          <w:w w:val="105"/>
          <w:sz w:val="21"/>
        </w:rPr>
        <w:t>entidad.</w:t>
      </w:r>
    </w:p>
    <w:p>
      <w:pPr>
        <w:pStyle w:val="BodyText"/>
        <w:spacing w:line="261" w:lineRule="auto" w:before="1"/>
        <w:ind w:left="1837" w:right="1721" w:firstLine="567"/>
        <w:jc w:val="both"/>
      </w:pPr>
      <w:r>
        <w:rPr/>
        <w:pict>
          <v:line style="position:absolute;mso-position-horizontal-relative:page;mso-position-vertical-relative:paragraph;z-index:-488824" from="15pt,102.891586pt" to="0pt,102.891586pt" stroked="true" strokeweight=".25pt" strokecolor="#000000">
            <w10:wrap type="none"/>
          </v:line>
        </w:pict>
      </w:r>
      <w:r>
        <w:rPr/>
        <w:pict>
          <v:line style="position:absolute;mso-position-horizontal-relative:page;mso-position-vertical-relative:paragraph;z-index:1384" from="508.890015pt,102.891586pt" to="523.890015pt,102.891586pt" stroked="true" strokeweight=".25pt" strokecolor="#000000">
            <w10:wrap type="none"/>
          </v:line>
        </w:pict>
      </w:r>
      <w:r>
        <w:rPr>
          <w:color w:val="231F20"/>
          <w:w w:val="105"/>
        </w:rPr>
        <w:t>El</w:t>
      </w:r>
      <w:r>
        <w:rPr>
          <w:color w:val="231F20"/>
          <w:spacing w:val="-24"/>
          <w:w w:val="105"/>
        </w:rPr>
        <w:t> </w:t>
      </w:r>
      <w:r>
        <w:rPr>
          <w:color w:val="231F20"/>
          <w:w w:val="105"/>
        </w:rPr>
        <w:t>texto</w:t>
      </w:r>
      <w:r>
        <w:rPr>
          <w:color w:val="231F20"/>
          <w:spacing w:val="-24"/>
          <w:w w:val="105"/>
        </w:rPr>
        <w:t> </w:t>
      </w:r>
      <w:r>
        <w:rPr>
          <w:color w:val="231F20"/>
          <w:w w:val="105"/>
        </w:rPr>
        <w:t>se</w:t>
      </w:r>
      <w:r>
        <w:rPr>
          <w:color w:val="231F20"/>
          <w:spacing w:val="-24"/>
          <w:w w:val="105"/>
        </w:rPr>
        <w:t> </w:t>
      </w:r>
      <w:r>
        <w:rPr>
          <w:color w:val="231F20"/>
          <w:w w:val="105"/>
        </w:rPr>
        <w:t>ha</w:t>
      </w:r>
      <w:r>
        <w:rPr>
          <w:color w:val="231F20"/>
          <w:spacing w:val="-24"/>
          <w:w w:val="105"/>
        </w:rPr>
        <w:t> </w:t>
      </w:r>
      <w:r>
        <w:rPr>
          <w:color w:val="231F20"/>
          <w:w w:val="105"/>
        </w:rPr>
        <w:t>concebido</w:t>
      </w:r>
      <w:r>
        <w:rPr>
          <w:color w:val="231F20"/>
          <w:spacing w:val="-24"/>
          <w:w w:val="105"/>
        </w:rPr>
        <w:t> </w:t>
      </w:r>
      <w:r>
        <w:rPr>
          <w:color w:val="231F20"/>
          <w:w w:val="105"/>
        </w:rPr>
        <w:t>en</w:t>
      </w:r>
      <w:r>
        <w:rPr>
          <w:color w:val="231F20"/>
          <w:spacing w:val="-24"/>
          <w:w w:val="105"/>
        </w:rPr>
        <w:t> </w:t>
      </w:r>
      <w:r>
        <w:rPr>
          <w:color w:val="231F20"/>
          <w:w w:val="105"/>
        </w:rPr>
        <w:t>cuatro</w:t>
      </w:r>
      <w:r>
        <w:rPr>
          <w:color w:val="231F20"/>
          <w:spacing w:val="-24"/>
          <w:w w:val="105"/>
        </w:rPr>
        <w:t> </w:t>
      </w:r>
      <w:r>
        <w:rPr>
          <w:color w:val="231F20"/>
          <w:w w:val="105"/>
        </w:rPr>
        <w:t>grandes</w:t>
      </w:r>
      <w:r>
        <w:rPr>
          <w:color w:val="231F20"/>
          <w:spacing w:val="-24"/>
          <w:w w:val="105"/>
        </w:rPr>
        <w:t> </w:t>
      </w:r>
      <w:r>
        <w:rPr>
          <w:color w:val="231F20"/>
          <w:w w:val="105"/>
        </w:rPr>
        <w:t>secciones:</w:t>
      </w:r>
      <w:r>
        <w:rPr>
          <w:color w:val="231F20"/>
          <w:spacing w:val="-24"/>
          <w:w w:val="105"/>
        </w:rPr>
        <w:t> </w:t>
      </w:r>
      <w:r>
        <w:rPr>
          <w:color w:val="231F20"/>
          <w:w w:val="105"/>
        </w:rPr>
        <w:t>1)</w:t>
      </w:r>
      <w:r>
        <w:rPr>
          <w:color w:val="231F20"/>
          <w:spacing w:val="-24"/>
          <w:w w:val="105"/>
        </w:rPr>
        <w:t> </w:t>
      </w:r>
      <w:r>
        <w:rPr>
          <w:color w:val="231F20"/>
          <w:w w:val="105"/>
        </w:rPr>
        <w:t>Derechos humanos,</w:t>
      </w:r>
      <w:r>
        <w:rPr>
          <w:color w:val="231F20"/>
          <w:spacing w:val="-22"/>
          <w:w w:val="105"/>
        </w:rPr>
        <w:t> </w:t>
      </w:r>
      <w:r>
        <w:rPr>
          <w:color w:val="231F20"/>
          <w:w w:val="105"/>
        </w:rPr>
        <w:t>educación</w:t>
      </w:r>
      <w:r>
        <w:rPr>
          <w:color w:val="231F20"/>
          <w:spacing w:val="-17"/>
          <w:w w:val="105"/>
        </w:rPr>
        <w:t> </w:t>
      </w:r>
      <w:r>
        <w:rPr>
          <w:color w:val="231F20"/>
          <w:w w:val="105"/>
        </w:rPr>
        <w:t>e</w:t>
      </w:r>
      <w:r>
        <w:rPr>
          <w:color w:val="231F20"/>
          <w:spacing w:val="-17"/>
          <w:w w:val="105"/>
        </w:rPr>
        <w:t> </w:t>
      </w:r>
      <w:r>
        <w:rPr>
          <w:color w:val="231F20"/>
          <w:w w:val="105"/>
        </w:rPr>
        <w:t>infancia,</w:t>
      </w:r>
      <w:r>
        <w:rPr>
          <w:color w:val="231F20"/>
          <w:spacing w:val="-22"/>
          <w:w w:val="105"/>
        </w:rPr>
        <w:t> </w:t>
      </w:r>
      <w:r>
        <w:rPr>
          <w:color w:val="231F20"/>
          <w:w w:val="105"/>
        </w:rPr>
        <w:t>2)</w:t>
      </w:r>
      <w:r>
        <w:rPr>
          <w:color w:val="231F20"/>
          <w:spacing w:val="-17"/>
          <w:w w:val="105"/>
        </w:rPr>
        <w:t> </w:t>
      </w:r>
      <w:r>
        <w:rPr>
          <w:color w:val="231F20"/>
          <w:w w:val="105"/>
        </w:rPr>
        <w:t>Migraciones</w:t>
      </w:r>
      <w:r>
        <w:rPr>
          <w:color w:val="231F20"/>
          <w:spacing w:val="-17"/>
          <w:w w:val="105"/>
        </w:rPr>
        <w:t> </w:t>
      </w:r>
      <w:r>
        <w:rPr>
          <w:color w:val="231F20"/>
          <w:w w:val="105"/>
        </w:rPr>
        <w:t>de</w:t>
      </w:r>
      <w:r>
        <w:rPr>
          <w:color w:val="231F20"/>
          <w:spacing w:val="-17"/>
          <w:w w:val="105"/>
        </w:rPr>
        <w:t> </w:t>
      </w:r>
      <w:r>
        <w:rPr>
          <w:color w:val="231F20"/>
          <w:w w:val="105"/>
        </w:rPr>
        <w:t>retorno.</w:t>
      </w:r>
      <w:r>
        <w:rPr>
          <w:color w:val="231F20"/>
          <w:spacing w:val="-22"/>
          <w:w w:val="105"/>
        </w:rPr>
        <w:t> </w:t>
      </w:r>
      <w:r>
        <w:rPr>
          <w:color w:val="231F20"/>
          <w:w w:val="105"/>
        </w:rPr>
        <w:t>Dimensiones</w:t>
      </w:r>
    </w:p>
    <w:p>
      <w:pPr>
        <w:spacing w:after="0" w:line="261" w:lineRule="auto"/>
        <w:jc w:val="both"/>
        <w:sectPr>
          <w:headerReference w:type="default" r:id="rId23"/>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BodyText"/>
        <w:spacing w:line="261" w:lineRule="auto" w:before="60"/>
        <w:ind w:left="1723" w:right="1828"/>
        <w:jc w:val="both"/>
      </w:pPr>
      <w:r>
        <w:rPr/>
        <w:pict>
          <v:line style="position:absolute;mso-position-horizontal-relative:page;mso-position-vertical-relative:paragraph;z-index:1432" from="15pt,-65.851784pt" to="0pt,-65.851784pt" stroked="true" strokeweight=".25pt" strokecolor="#000000">
            <w10:wrap type="none"/>
          </v:line>
        </w:pict>
      </w:r>
      <w:r>
        <w:rPr/>
        <w:pict>
          <v:line style="position:absolute;mso-position-horizontal-relative:page;mso-position-vertical-relative:paragraph;z-index:1456" from="508.890015pt,-65.851784pt" to="523.890015pt,-65.851784pt" stroked="true" strokeweight=".25pt" strokecolor="#000000">
            <w10:wrap type="none"/>
          </v:line>
        </w:pict>
      </w:r>
      <w:r>
        <w:rPr>
          <w:color w:val="231F20"/>
        </w:rPr>
        <w:t>y experiencias, 3) Procesos migratorios, sujetos migrantes y estrategias  de vida y 4) Comunicación y emociones en contextos transnacionales. La idea de organizar de esta forma el libro surge de la necesidad de incor- porar al menos cuatro grandes dimensiones sustantivas de la migración, reconociendo especialmente la complejidad que implica interpretar este tipo  de</w:t>
      </w:r>
      <w:r>
        <w:rPr>
          <w:color w:val="231F20"/>
          <w:spacing w:val="31"/>
        </w:rPr>
        <w:t> </w:t>
      </w:r>
      <w:r>
        <w:rPr>
          <w:color w:val="231F20"/>
        </w:rPr>
        <w:t>realidad.</w:t>
      </w:r>
    </w:p>
    <w:p>
      <w:pPr>
        <w:pStyle w:val="BodyText"/>
        <w:spacing w:line="261" w:lineRule="auto"/>
        <w:ind w:left="1723" w:right="1835" w:firstLine="567"/>
        <w:jc w:val="both"/>
      </w:pPr>
      <w:r>
        <w:rPr>
          <w:color w:val="231F20"/>
          <w:w w:val="105"/>
        </w:rPr>
        <w:t>La</w:t>
      </w:r>
      <w:r>
        <w:rPr>
          <w:color w:val="231F20"/>
          <w:spacing w:val="-23"/>
          <w:w w:val="105"/>
        </w:rPr>
        <w:t> </w:t>
      </w:r>
      <w:r>
        <w:rPr>
          <w:color w:val="231F20"/>
          <w:w w:val="105"/>
        </w:rPr>
        <w:t>primera</w:t>
      </w:r>
      <w:r>
        <w:rPr>
          <w:color w:val="231F20"/>
          <w:spacing w:val="-23"/>
          <w:w w:val="105"/>
        </w:rPr>
        <w:t> </w:t>
      </w:r>
      <w:r>
        <w:rPr>
          <w:color w:val="231F20"/>
          <w:w w:val="105"/>
        </w:rPr>
        <w:t>sección,</w:t>
      </w:r>
      <w:r>
        <w:rPr>
          <w:color w:val="231F20"/>
          <w:spacing w:val="-28"/>
          <w:w w:val="105"/>
        </w:rPr>
        <w:t> </w:t>
      </w:r>
      <w:r>
        <w:rPr>
          <w:rFonts w:ascii="Arial" w:hAnsi="Arial"/>
          <w:color w:val="231F20"/>
          <w:spacing w:val="-3"/>
          <w:w w:val="105"/>
        </w:rPr>
        <w:t>Derechos</w:t>
      </w:r>
      <w:r>
        <w:rPr>
          <w:rFonts w:ascii="Arial" w:hAnsi="Arial"/>
          <w:color w:val="231F20"/>
          <w:spacing w:val="-29"/>
          <w:w w:val="105"/>
        </w:rPr>
        <w:t> </w:t>
      </w:r>
      <w:r>
        <w:rPr>
          <w:rFonts w:ascii="Arial" w:hAnsi="Arial"/>
          <w:color w:val="231F20"/>
          <w:spacing w:val="-3"/>
          <w:w w:val="105"/>
        </w:rPr>
        <w:t>humanos,</w:t>
      </w:r>
      <w:r>
        <w:rPr>
          <w:rFonts w:ascii="Arial" w:hAnsi="Arial"/>
          <w:color w:val="231F20"/>
          <w:spacing w:val="-33"/>
          <w:w w:val="105"/>
        </w:rPr>
        <w:t> </w:t>
      </w:r>
      <w:r>
        <w:rPr>
          <w:rFonts w:ascii="Arial" w:hAnsi="Arial"/>
          <w:color w:val="231F20"/>
          <w:spacing w:val="-3"/>
          <w:w w:val="105"/>
        </w:rPr>
        <w:t>educación</w:t>
      </w:r>
      <w:r>
        <w:rPr>
          <w:rFonts w:ascii="Arial" w:hAnsi="Arial"/>
          <w:color w:val="231F20"/>
          <w:spacing w:val="-29"/>
          <w:w w:val="105"/>
        </w:rPr>
        <w:t> </w:t>
      </w:r>
      <w:r>
        <w:rPr>
          <w:rFonts w:ascii="Arial" w:hAnsi="Arial"/>
          <w:color w:val="231F20"/>
          <w:w w:val="105"/>
        </w:rPr>
        <w:t>e</w:t>
      </w:r>
      <w:r>
        <w:rPr>
          <w:rFonts w:ascii="Arial" w:hAnsi="Arial"/>
          <w:color w:val="231F20"/>
          <w:spacing w:val="-29"/>
          <w:w w:val="105"/>
        </w:rPr>
        <w:t> </w:t>
      </w:r>
      <w:r>
        <w:rPr>
          <w:rFonts w:ascii="Arial" w:hAnsi="Arial"/>
          <w:color w:val="231F20"/>
          <w:spacing w:val="-3"/>
          <w:w w:val="105"/>
        </w:rPr>
        <w:t>infancia</w:t>
      </w:r>
      <w:r>
        <w:rPr>
          <w:color w:val="231F20"/>
          <w:spacing w:val="-3"/>
          <w:w w:val="105"/>
        </w:rPr>
        <w:t>,</w:t>
      </w:r>
      <w:r>
        <w:rPr>
          <w:color w:val="231F20"/>
          <w:spacing w:val="-31"/>
          <w:w w:val="105"/>
        </w:rPr>
        <w:t> </w:t>
      </w:r>
      <w:r>
        <w:rPr>
          <w:color w:val="231F20"/>
          <w:w w:val="105"/>
        </w:rPr>
        <w:t>inicia con</w:t>
      </w:r>
      <w:r>
        <w:rPr>
          <w:color w:val="231F20"/>
          <w:spacing w:val="-4"/>
          <w:w w:val="105"/>
        </w:rPr>
        <w:t> </w:t>
      </w:r>
      <w:r>
        <w:rPr>
          <w:color w:val="231F20"/>
          <w:w w:val="105"/>
        </w:rPr>
        <w:t>el</w:t>
      </w:r>
      <w:r>
        <w:rPr>
          <w:color w:val="231F20"/>
          <w:spacing w:val="-4"/>
          <w:w w:val="105"/>
        </w:rPr>
        <w:t> </w:t>
      </w:r>
      <w:r>
        <w:rPr>
          <w:color w:val="231F20"/>
          <w:w w:val="105"/>
        </w:rPr>
        <w:t>capítulo</w:t>
      </w:r>
      <w:r>
        <w:rPr>
          <w:color w:val="231F20"/>
          <w:spacing w:val="-4"/>
          <w:w w:val="105"/>
        </w:rPr>
        <w:t> </w:t>
      </w:r>
      <w:r>
        <w:rPr>
          <w:color w:val="231F20"/>
          <w:w w:val="105"/>
        </w:rPr>
        <w:t>“Derechos</w:t>
      </w:r>
      <w:r>
        <w:rPr>
          <w:color w:val="231F20"/>
          <w:spacing w:val="-4"/>
          <w:w w:val="105"/>
        </w:rPr>
        <w:t> </w:t>
      </w:r>
      <w:r>
        <w:rPr>
          <w:color w:val="231F20"/>
          <w:w w:val="105"/>
        </w:rPr>
        <w:t>humanos,</w:t>
      </w:r>
      <w:r>
        <w:rPr>
          <w:color w:val="231F20"/>
          <w:spacing w:val="-10"/>
          <w:w w:val="105"/>
        </w:rPr>
        <w:t> </w:t>
      </w:r>
      <w:r>
        <w:rPr>
          <w:color w:val="231F20"/>
          <w:w w:val="105"/>
        </w:rPr>
        <w:t>educación</w:t>
      </w:r>
      <w:r>
        <w:rPr>
          <w:color w:val="231F20"/>
          <w:spacing w:val="-4"/>
          <w:w w:val="105"/>
        </w:rPr>
        <w:t> </w:t>
      </w:r>
      <w:r>
        <w:rPr>
          <w:color w:val="231F20"/>
          <w:w w:val="105"/>
        </w:rPr>
        <w:t>y</w:t>
      </w:r>
      <w:r>
        <w:rPr>
          <w:color w:val="231F20"/>
          <w:spacing w:val="-4"/>
          <w:w w:val="105"/>
        </w:rPr>
        <w:t> </w:t>
      </w:r>
      <w:r>
        <w:rPr>
          <w:color w:val="231F20"/>
          <w:w w:val="105"/>
        </w:rPr>
        <w:t>participación</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po- blación</w:t>
      </w:r>
      <w:r>
        <w:rPr>
          <w:color w:val="231F20"/>
          <w:spacing w:val="-16"/>
          <w:w w:val="105"/>
        </w:rPr>
        <w:t> </w:t>
      </w:r>
      <w:r>
        <w:rPr>
          <w:color w:val="231F20"/>
          <w:w w:val="105"/>
        </w:rPr>
        <w:t>migrante”</w:t>
      </w:r>
      <w:r>
        <w:rPr>
          <w:rFonts w:ascii="Arial" w:hAnsi="Arial"/>
          <w:i/>
          <w:color w:val="231F20"/>
          <w:w w:val="105"/>
        </w:rPr>
        <w:t>,</w:t>
      </w:r>
      <w:r>
        <w:rPr>
          <w:rFonts w:ascii="Arial" w:hAnsi="Arial"/>
          <w:i/>
          <w:color w:val="231F20"/>
          <w:spacing w:val="-24"/>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autoría</w:t>
      </w:r>
      <w:r>
        <w:rPr>
          <w:color w:val="231F20"/>
          <w:spacing w:val="-16"/>
          <w:w w:val="105"/>
        </w:rPr>
        <w:t> </w:t>
      </w:r>
      <w:r>
        <w:rPr>
          <w:color w:val="231F20"/>
          <w:w w:val="105"/>
        </w:rPr>
        <w:t>del</w:t>
      </w:r>
      <w:r>
        <w:rPr>
          <w:color w:val="231F20"/>
          <w:spacing w:val="-16"/>
          <w:w w:val="105"/>
        </w:rPr>
        <w:t> </w:t>
      </w:r>
      <w:r>
        <w:rPr>
          <w:color w:val="231F20"/>
          <w:spacing w:val="-4"/>
          <w:w w:val="105"/>
        </w:rPr>
        <w:t>Dr.</w:t>
      </w:r>
      <w:r>
        <w:rPr>
          <w:color w:val="231F20"/>
          <w:spacing w:val="-24"/>
          <w:w w:val="105"/>
        </w:rPr>
        <w:t> </w:t>
      </w:r>
      <w:r>
        <w:rPr>
          <w:color w:val="231F20"/>
          <w:w w:val="105"/>
        </w:rPr>
        <w:t>Jorge</w:t>
      </w:r>
      <w:r>
        <w:rPr>
          <w:color w:val="231F20"/>
          <w:spacing w:val="-16"/>
          <w:w w:val="105"/>
        </w:rPr>
        <w:t> </w:t>
      </w:r>
      <w:r>
        <w:rPr>
          <w:color w:val="231F20"/>
          <w:w w:val="105"/>
        </w:rPr>
        <w:t>Olvera</w:t>
      </w:r>
      <w:r>
        <w:rPr>
          <w:color w:val="231F20"/>
          <w:spacing w:val="-16"/>
          <w:w w:val="105"/>
        </w:rPr>
        <w:t> </w:t>
      </w:r>
      <w:r>
        <w:rPr>
          <w:color w:val="231F20"/>
          <w:w w:val="105"/>
        </w:rPr>
        <w:t>García,</w:t>
      </w:r>
      <w:r>
        <w:rPr>
          <w:color w:val="231F20"/>
          <w:spacing w:val="-22"/>
          <w:w w:val="105"/>
        </w:rPr>
        <w:t> </w:t>
      </w:r>
      <w:r>
        <w:rPr>
          <w:color w:val="231F20"/>
          <w:w w:val="105"/>
        </w:rPr>
        <w:t>en</w:t>
      </w:r>
      <w:r>
        <w:rPr>
          <w:color w:val="231F20"/>
          <w:spacing w:val="-16"/>
          <w:w w:val="105"/>
        </w:rPr>
        <w:t> </w:t>
      </w:r>
      <w:r>
        <w:rPr>
          <w:color w:val="231F20"/>
          <w:w w:val="105"/>
        </w:rPr>
        <w:t>él</w:t>
      </w:r>
      <w:r>
        <w:rPr>
          <w:color w:val="231F20"/>
          <w:spacing w:val="-16"/>
          <w:w w:val="105"/>
        </w:rPr>
        <w:t> </w:t>
      </w:r>
      <w:r>
        <w:rPr>
          <w:color w:val="231F20"/>
          <w:w w:val="105"/>
        </w:rPr>
        <w:t>se</w:t>
      </w:r>
      <w:r>
        <w:rPr>
          <w:color w:val="231F20"/>
          <w:spacing w:val="-16"/>
          <w:w w:val="105"/>
        </w:rPr>
        <w:t> </w:t>
      </w:r>
      <w:r>
        <w:rPr>
          <w:color w:val="231F20"/>
          <w:w w:val="105"/>
        </w:rPr>
        <w:t>ana- liza</w:t>
      </w:r>
      <w:r>
        <w:rPr>
          <w:color w:val="231F20"/>
          <w:spacing w:val="-22"/>
          <w:w w:val="105"/>
        </w:rPr>
        <w:t> </w:t>
      </w:r>
      <w:r>
        <w:rPr>
          <w:color w:val="231F20"/>
          <w:w w:val="105"/>
        </w:rPr>
        <w:t>la</w:t>
      </w:r>
      <w:r>
        <w:rPr>
          <w:color w:val="231F20"/>
          <w:spacing w:val="-22"/>
          <w:w w:val="105"/>
        </w:rPr>
        <w:t> </w:t>
      </w:r>
      <w:r>
        <w:rPr>
          <w:color w:val="231F20"/>
          <w:w w:val="105"/>
        </w:rPr>
        <w:t>dinámica</w:t>
      </w:r>
      <w:r>
        <w:rPr>
          <w:color w:val="231F20"/>
          <w:spacing w:val="-22"/>
          <w:w w:val="105"/>
        </w:rPr>
        <w:t> </w:t>
      </w:r>
      <w:r>
        <w:rPr>
          <w:color w:val="231F20"/>
          <w:w w:val="105"/>
        </w:rPr>
        <w:t>migratoria</w:t>
      </w:r>
      <w:r>
        <w:rPr>
          <w:color w:val="231F20"/>
          <w:spacing w:val="-22"/>
          <w:w w:val="105"/>
        </w:rPr>
        <w:t> </w:t>
      </w:r>
      <w:r>
        <w:rPr>
          <w:color w:val="231F20"/>
          <w:w w:val="105"/>
        </w:rPr>
        <w:t>y</w:t>
      </w:r>
      <w:r>
        <w:rPr>
          <w:color w:val="231F20"/>
          <w:spacing w:val="-22"/>
          <w:w w:val="105"/>
        </w:rPr>
        <w:t> </w:t>
      </w:r>
      <w:r>
        <w:rPr>
          <w:color w:val="231F20"/>
          <w:w w:val="105"/>
        </w:rPr>
        <w:t>los</w:t>
      </w:r>
      <w:r>
        <w:rPr>
          <w:color w:val="231F20"/>
          <w:spacing w:val="-22"/>
          <w:w w:val="105"/>
        </w:rPr>
        <w:t> </w:t>
      </w:r>
      <w:r>
        <w:rPr>
          <w:color w:val="231F20"/>
          <w:w w:val="105"/>
        </w:rPr>
        <w:t>múltiples</w:t>
      </w:r>
      <w:r>
        <w:rPr>
          <w:color w:val="231F20"/>
          <w:spacing w:val="-22"/>
          <w:w w:val="105"/>
        </w:rPr>
        <w:t> </w:t>
      </w:r>
      <w:r>
        <w:rPr>
          <w:color w:val="231F20"/>
          <w:w w:val="105"/>
        </w:rPr>
        <w:t>procesos</w:t>
      </w:r>
      <w:r>
        <w:rPr>
          <w:color w:val="231F20"/>
          <w:spacing w:val="-22"/>
          <w:w w:val="105"/>
        </w:rPr>
        <w:t> </w:t>
      </w:r>
      <w:r>
        <w:rPr>
          <w:color w:val="231F20"/>
          <w:w w:val="105"/>
        </w:rPr>
        <w:t>sociales</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que</w:t>
      </w:r>
      <w:r>
        <w:rPr>
          <w:color w:val="231F20"/>
          <w:spacing w:val="-22"/>
          <w:w w:val="105"/>
        </w:rPr>
        <w:t> </w:t>
      </w:r>
      <w:r>
        <w:rPr>
          <w:color w:val="231F20"/>
          <w:w w:val="105"/>
        </w:rPr>
        <w:t>se expresa</w:t>
      </w:r>
      <w:r>
        <w:rPr>
          <w:color w:val="231F20"/>
          <w:spacing w:val="-6"/>
          <w:w w:val="105"/>
        </w:rPr>
        <w:t> </w:t>
      </w:r>
      <w:r>
        <w:rPr>
          <w:color w:val="231F20"/>
          <w:w w:val="105"/>
        </w:rPr>
        <w:t>la</w:t>
      </w:r>
      <w:r>
        <w:rPr>
          <w:color w:val="231F20"/>
          <w:spacing w:val="-6"/>
          <w:w w:val="105"/>
        </w:rPr>
        <w:t> </w:t>
      </w:r>
      <w:r>
        <w:rPr>
          <w:color w:val="231F20"/>
          <w:w w:val="105"/>
        </w:rPr>
        <w:t>migración,</w:t>
      </w:r>
      <w:r>
        <w:rPr>
          <w:color w:val="231F20"/>
          <w:spacing w:val="-12"/>
          <w:w w:val="105"/>
        </w:rPr>
        <w:t> </w:t>
      </w:r>
      <w:r>
        <w:rPr>
          <w:color w:val="231F20"/>
          <w:w w:val="105"/>
        </w:rPr>
        <w:t>especialmente</w:t>
      </w:r>
      <w:r>
        <w:rPr>
          <w:color w:val="231F20"/>
          <w:spacing w:val="-6"/>
          <w:w w:val="105"/>
        </w:rPr>
        <w:t> </w:t>
      </w:r>
      <w:r>
        <w:rPr>
          <w:color w:val="231F20"/>
          <w:w w:val="105"/>
        </w:rPr>
        <w:t>aquellos</w:t>
      </w:r>
      <w:r>
        <w:rPr>
          <w:color w:val="231F20"/>
          <w:spacing w:val="-6"/>
          <w:w w:val="105"/>
        </w:rPr>
        <w:t> </w:t>
      </w:r>
      <w:r>
        <w:rPr>
          <w:color w:val="231F20"/>
          <w:w w:val="105"/>
        </w:rPr>
        <w:t>vinculados</w:t>
      </w:r>
      <w:r>
        <w:rPr>
          <w:color w:val="231F20"/>
          <w:spacing w:val="-6"/>
          <w:w w:val="105"/>
        </w:rPr>
        <w:t> </w:t>
      </w:r>
      <w:r>
        <w:rPr>
          <w:color w:val="231F20"/>
          <w:w w:val="105"/>
        </w:rPr>
        <w:t>al</w:t>
      </w:r>
      <w:r>
        <w:rPr>
          <w:color w:val="231F20"/>
          <w:spacing w:val="-6"/>
          <w:w w:val="105"/>
        </w:rPr>
        <w:t> </w:t>
      </w:r>
      <w:r>
        <w:rPr>
          <w:color w:val="231F20"/>
          <w:w w:val="105"/>
        </w:rPr>
        <w:t>ejercicio</w:t>
      </w:r>
      <w:r>
        <w:rPr>
          <w:color w:val="231F20"/>
          <w:spacing w:val="-6"/>
          <w:w w:val="105"/>
        </w:rPr>
        <w:t> </w:t>
      </w:r>
      <w:r>
        <w:rPr>
          <w:color w:val="231F20"/>
          <w:w w:val="105"/>
        </w:rPr>
        <w:t>de los</w:t>
      </w:r>
      <w:r>
        <w:rPr>
          <w:color w:val="231F20"/>
          <w:spacing w:val="-12"/>
          <w:w w:val="105"/>
        </w:rPr>
        <w:t> </w:t>
      </w:r>
      <w:r>
        <w:rPr>
          <w:color w:val="231F20"/>
          <w:w w:val="105"/>
        </w:rPr>
        <w:t>derechos</w:t>
      </w:r>
      <w:r>
        <w:rPr>
          <w:color w:val="231F20"/>
          <w:spacing w:val="-12"/>
          <w:w w:val="105"/>
        </w:rPr>
        <w:t> </w:t>
      </w:r>
      <w:r>
        <w:rPr>
          <w:color w:val="231F20"/>
          <w:w w:val="105"/>
        </w:rPr>
        <w:t>humanos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migrantes,</w:t>
      </w:r>
      <w:r>
        <w:rPr>
          <w:color w:val="231F20"/>
          <w:spacing w:val="-19"/>
          <w:w w:val="105"/>
        </w:rPr>
        <w:t> </w:t>
      </w:r>
      <w:r>
        <w:rPr>
          <w:color w:val="231F20"/>
          <w:w w:val="105"/>
        </w:rPr>
        <w:t>que</w:t>
      </w:r>
      <w:r>
        <w:rPr>
          <w:color w:val="231F20"/>
          <w:spacing w:val="-12"/>
          <w:w w:val="105"/>
        </w:rPr>
        <w:t> </w:t>
      </w:r>
      <w:r>
        <w:rPr>
          <w:color w:val="231F20"/>
          <w:w w:val="105"/>
        </w:rPr>
        <w:t>por</w:t>
      </w:r>
      <w:r>
        <w:rPr>
          <w:color w:val="231F20"/>
          <w:spacing w:val="-12"/>
          <w:w w:val="105"/>
        </w:rPr>
        <w:t> </w:t>
      </w:r>
      <w:r>
        <w:rPr>
          <w:color w:val="231F20"/>
          <w:w w:val="105"/>
        </w:rPr>
        <w:t>obligación</w:t>
      </w:r>
      <w:r>
        <w:rPr>
          <w:color w:val="231F20"/>
          <w:spacing w:val="-12"/>
          <w:w w:val="105"/>
        </w:rPr>
        <w:t> </w:t>
      </w:r>
      <w:r>
        <w:rPr>
          <w:color w:val="231F20"/>
          <w:w w:val="105"/>
        </w:rPr>
        <w:t>debe</w:t>
      </w:r>
      <w:r>
        <w:rPr>
          <w:color w:val="231F20"/>
          <w:spacing w:val="-12"/>
          <w:w w:val="105"/>
        </w:rPr>
        <w:t> </w:t>
      </w:r>
      <w:r>
        <w:rPr>
          <w:color w:val="231F20"/>
          <w:w w:val="105"/>
        </w:rPr>
        <w:t>tutelar el Estado. Se plantea como argumento central que existen dos pilares fundamentales para el pleno reconocimiento de los derechos humanos de</w:t>
      </w:r>
      <w:r>
        <w:rPr>
          <w:color w:val="231F20"/>
          <w:spacing w:val="-15"/>
          <w:w w:val="105"/>
        </w:rPr>
        <w:t> </w:t>
      </w:r>
      <w:r>
        <w:rPr>
          <w:color w:val="231F20"/>
          <w:w w:val="105"/>
        </w:rPr>
        <w:t>los</w:t>
      </w:r>
      <w:r>
        <w:rPr>
          <w:color w:val="231F20"/>
          <w:spacing w:val="-15"/>
          <w:w w:val="105"/>
        </w:rPr>
        <w:t> </w:t>
      </w:r>
      <w:r>
        <w:rPr>
          <w:color w:val="231F20"/>
          <w:w w:val="105"/>
        </w:rPr>
        <w:t>migrantes:</w:t>
      </w:r>
      <w:r>
        <w:rPr>
          <w:color w:val="231F20"/>
          <w:spacing w:val="-15"/>
          <w:w w:val="105"/>
        </w:rPr>
        <w:t> </w:t>
      </w:r>
      <w:r>
        <w:rPr>
          <w:color w:val="231F20"/>
          <w:w w:val="105"/>
        </w:rPr>
        <w:t>educación</w:t>
      </w:r>
      <w:r>
        <w:rPr>
          <w:color w:val="231F20"/>
          <w:spacing w:val="-15"/>
          <w:w w:val="105"/>
        </w:rPr>
        <w:t> </w:t>
      </w:r>
      <w:r>
        <w:rPr>
          <w:color w:val="231F20"/>
          <w:w w:val="105"/>
        </w:rPr>
        <w:t>y</w:t>
      </w:r>
      <w:r>
        <w:rPr>
          <w:color w:val="231F20"/>
          <w:spacing w:val="-15"/>
          <w:w w:val="105"/>
        </w:rPr>
        <w:t> </w:t>
      </w:r>
      <w:r>
        <w:rPr>
          <w:color w:val="231F20"/>
          <w:w w:val="105"/>
        </w:rPr>
        <w:t>participación</w:t>
      </w:r>
      <w:r>
        <w:rPr>
          <w:color w:val="231F20"/>
          <w:spacing w:val="-15"/>
          <w:w w:val="105"/>
        </w:rPr>
        <w:t> </w:t>
      </w:r>
      <w:r>
        <w:rPr>
          <w:color w:val="231F20"/>
          <w:w w:val="105"/>
        </w:rPr>
        <w:t>social.</w:t>
      </w:r>
    </w:p>
    <w:p>
      <w:pPr>
        <w:pStyle w:val="BodyText"/>
        <w:spacing w:line="261" w:lineRule="auto" w:before="1"/>
        <w:ind w:left="1723" w:right="1834" w:firstLine="567"/>
        <w:jc w:val="both"/>
      </w:pPr>
      <w:r>
        <w:rPr>
          <w:color w:val="231F20"/>
          <w:w w:val="105"/>
        </w:rPr>
        <w:t>Dicho capítulo ve la educación y la participación social como un binomio que fortalece la ciudadanía, promueve el ejercicio de</w:t>
      </w:r>
      <w:r>
        <w:rPr>
          <w:color w:val="231F20"/>
          <w:spacing w:val="-27"/>
          <w:w w:val="105"/>
        </w:rPr>
        <w:t> </w:t>
      </w:r>
      <w:r>
        <w:rPr>
          <w:color w:val="231F20"/>
          <w:w w:val="105"/>
        </w:rPr>
        <w:t>derechos y brinda mejores oportunidades de desarrollo para los migrantes en lo individual, familiar y comunitario. De ahí que el autor plantee la necesi- dad</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implementación</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leyes</w:t>
      </w:r>
      <w:r>
        <w:rPr>
          <w:color w:val="231F20"/>
          <w:spacing w:val="-13"/>
          <w:w w:val="105"/>
        </w:rPr>
        <w:t> </w:t>
      </w:r>
      <w:r>
        <w:rPr>
          <w:color w:val="231F20"/>
          <w:w w:val="105"/>
        </w:rPr>
        <w:t>esté</w:t>
      </w:r>
      <w:r>
        <w:rPr>
          <w:color w:val="231F20"/>
          <w:spacing w:val="-13"/>
          <w:w w:val="105"/>
        </w:rPr>
        <w:t> </w:t>
      </w:r>
      <w:r>
        <w:rPr>
          <w:color w:val="231F20"/>
          <w:w w:val="105"/>
        </w:rPr>
        <w:t>acompañada</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so- ciedad</w:t>
      </w:r>
      <w:r>
        <w:rPr>
          <w:color w:val="231F20"/>
          <w:spacing w:val="-22"/>
          <w:w w:val="105"/>
        </w:rPr>
        <w:t> </w:t>
      </w:r>
      <w:r>
        <w:rPr>
          <w:color w:val="231F20"/>
          <w:w w:val="105"/>
        </w:rPr>
        <w:t>educada</w:t>
      </w:r>
      <w:r>
        <w:rPr>
          <w:color w:val="231F20"/>
          <w:spacing w:val="-22"/>
          <w:w w:val="105"/>
        </w:rPr>
        <w:t> </w:t>
      </w:r>
      <w:r>
        <w:rPr>
          <w:color w:val="231F20"/>
          <w:w w:val="105"/>
        </w:rPr>
        <w:t>y</w:t>
      </w:r>
      <w:r>
        <w:rPr>
          <w:color w:val="231F20"/>
          <w:spacing w:val="-22"/>
          <w:w w:val="105"/>
        </w:rPr>
        <w:t> </w:t>
      </w:r>
      <w:r>
        <w:rPr>
          <w:color w:val="231F20"/>
          <w:w w:val="105"/>
        </w:rPr>
        <w:t>participativa,</w:t>
      </w:r>
      <w:r>
        <w:rPr>
          <w:color w:val="231F20"/>
          <w:spacing w:val="-26"/>
          <w:w w:val="105"/>
        </w:rPr>
        <w:t> </w:t>
      </w:r>
      <w:r>
        <w:rPr>
          <w:color w:val="231F20"/>
          <w:w w:val="105"/>
        </w:rPr>
        <w:t>así</w:t>
      </w:r>
      <w:r>
        <w:rPr>
          <w:color w:val="231F20"/>
          <w:spacing w:val="-22"/>
          <w:w w:val="105"/>
        </w:rPr>
        <w:t> </w:t>
      </w:r>
      <w:r>
        <w:rPr>
          <w:color w:val="231F20"/>
          <w:w w:val="105"/>
        </w:rPr>
        <w:t>como</w:t>
      </w:r>
      <w:r>
        <w:rPr>
          <w:color w:val="231F20"/>
          <w:spacing w:val="-22"/>
          <w:w w:val="105"/>
        </w:rPr>
        <w:t> </w:t>
      </w:r>
      <w:r>
        <w:rPr>
          <w:color w:val="231F20"/>
          <w:w w:val="105"/>
        </w:rPr>
        <w:t>de</w:t>
      </w:r>
      <w:r>
        <w:rPr>
          <w:color w:val="231F20"/>
          <w:spacing w:val="-22"/>
          <w:w w:val="105"/>
        </w:rPr>
        <w:t> </w:t>
      </w:r>
      <w:r>
        <w:rPr>
          <w:color w:val="231F20"/>
          <w:w w:val="105"/>
        </w:rPr>
        <w:t>instituciones</w:t>
      </w:r>
      <w:r>
        <w:rPr>
          <w:color w:val="231F20"/>
          <w:spacing w:val="-22"/>
          <w:w w:val="105"/>
        </w:rPr>
        <w:t> </w:t>
      </w:r>
      <w:r>
        <w:rPr>
          <w:color w:val="231F20"/>
          <w:w w:val="105"/>
        </w:rPr>
        <w:t>que</w:t>
      </w:r>
      <w:r>
        <w:rPr>
          <w:color w:val="231F20"/>
          <w:spacing w:val="-22"/>
          <w:w w:val="105"/>
        </w:rPr>
        <w:t> </w:t>
      </w:r>
      <w:r>
        <w:rPr>
          <w:color w:val="231F20"/>
          <w:w w:val="105"/>
        </w:rPr>
        <w:t>favorezcan la inclusión de la población</w:t>
      </w:r>
      <w:r>
        <w:rPr>
          <w:color w:val="231F20"/>
          <w:spacing w:val="-33"/>
          <w:w w:val="105"/>
        </w:rPr>
        <w:t> </w:t>
      </w:r>
      <w:r>
        <w:rPr>
          <w:color w:val="231F20"/>
          <w:w w:val="105"/>
        </w:rPr>
        <w:t>migrante.</w:t>
      </w:r>
    </w:p>
    <w:p>
      <w:pPr>
        <w:pStyle w:val="BodyText"/>
        <w:spacing w:line="261" w:lineRule="auto"/>
        <w:ind w:left="1724" w:right="1834" w:firstLine="566"/>
        <w:jc w:val="both"/>
      </w:pPr>
      <w:r>
        <w:rPr>
          <w:color w:val="231F20"/>
          <w:w w:val="105"/>
        </w:rPr>
        <w:t>El capítulo “Children of Immigrants in the United States”</w:t>
      </w:r>
      <w:r>
        <w:rPr>
          <w:rFonts w:ascii="Arial" w:hAnsi="Arial"/>
          <w:i/>
          <w:color w:val="231F20"/>
          <w:w w:val="105"/>
        </w:rPr>
        <w:t>, </w:t>
      </w:r>
      <w:r>
        <w:rPr>
          <w:color w:val="231F20"/>
          <w:w w:val="105"/>
        </w:rPr>
        <w:t>de Ha- rriett</w:t>
      </w:r>
      <w:r>
        <w:rPr>
          <w:color w:val="231F20"/>
          <w:spacing w:val="-7"/>
          <w:w w:val="105"/>
        </w:rPr>
        <w:t> </w:t>
      </w:r>
      <w:r>
        <w:rPr>
          <w:color w:val="231F20"/>
          <w:w w:val="105"/>
        </w:rPr>
        <w:t>Romo,</w:t>
      </w:r>
      <w:r>
        <w:rPr>
          <w:color w:val="231F20"/>
          <w:spacing w:val="-15"/>
          <w:w w:val="105"/>
        </w:rPr>
        <w:t> </w:t>
      </w:r>
      <w:r>
        <w:rPr>
          <w:color w:val="231F20"/>
          <w:w w:val="105"/>
        </w:rPr>
        <w:t>Janeth</w:t>
      </w:r>
      <w:r>
        <w:rPr>
          <w:color w:val="231F20"/>
          <w:spacing w:val="-7"/>
          <w:w w:val="105"/>
        </w:rPr>
        <w:t> </w:t>
      </w:r>
      <w:r>
        <w:rPr>
          <w:color w:val="231F20"/>
          <w:w w:val="105"/>
        </w:rPr>
        <w:t>Martínez</w:t>
      </w:r>
      <w:r>
        <w:rPr>
          <w:color w:val="231F20"/>
          <w:spacing w:val="-7"/>
          <w:w w:val="105"/>
        </w:rPr>
        <w:t> </w:t>
      </w:r>
      <w:r>
        <w:rPr>
          <w:color w:val="231F20"/>
          <w:w w:val="105"/>
        </w:rPr>
        <w:t>y</w:t>
      </w:r>
      <w:r>
        <w:rPr>
          <w:color w:val="231F20"/>
          <w:spacing w:val="-7"/>
          <w:w w:val="105"/>
        </w:rPr>
        <w:t> </w:t>
      </w:r>
      <w:r>
        <w:rPr>
          <w:color w:val="231F20"/>
          <w:w w:val="105"/>
        </w:rPr>
        <w:t>Christina</w:t>
      </w:r>
      <w:r>
        <w:rPr>
          <w:color w:val="231F20"/>
          <w:spacing w:val="-7"/>
          <w:w w:val="105"/>
        </w:rPr>
        <w:t> </w:t>
      </w:r>
      <w:r>
        <w:rPr>
          <w:color w:val="231F20"/>
          <w:w w:val="105"/>
        </w:rPr>
        <w:t>López-Mobilia,</w:t>
      </w:r>
      <w:r>
        <w:rPr>
          <w:color w:val="231F20"/>
          <w:spacing w:val="-13"/>
          <w:w w:val="105"/>
        </w:rPr>
        <w:t> </w:t>
      </w:r>
      <w:r>
        <w:rPr>
          <w:color w:val="231F20"/>
          <w:w w:val="105"/>
        </w:rPr>
        <w:t>pone</w:t>
      </w:r>
      <w:r>
        <w:rPr>
          <w:color w:val="231F20"/>
          <w:spacing w:val="-7"/>
          <w:w w:val="105"/>
        </w:rPr>
        <w:t> </w:t>
      </w:r>
      <w:r>
        <w:rPr>
          <w:color w:val="231F20"/>
          <w:w w:val="105"/>
        </w:rPr>
        <w:t>en</w:t>
      </w:r>
      <w:r>
        <w:rPr>
          <w:color w:val="231F20"/>
          <w:spacing w:val="-7"/>
          <w:w w:val="105"/>
        </w:rPr>
        <w:t> </w:t>
      </w:r>
      <w:r>
        <w:rPr>
          <w:color w:val="231F20"/>
          <w:w w:val="105"/>
        </w:rPr>
        <w:t>valor</w:t>
      </w:r>
      <w:r>
        <w:rPr>
          <w:color w:val="231F20"/>
          <w:spacing w:val="-7"/>
          <w:w w:val="105"/>
        </w:rPr>
        <w:t> </w:t>
      </w:r>
      <w:r>
        <w:rPr>
          <w:color w:val="231F20"/>
          <w:w w:val="105"/>
        </w:rPr>
        <w:t>el papel</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hijos</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migrantes</w:t>
      </w:r>
      <w:r>
        <w:rPr>
          <w:color w:val="231F20"/>
          <w:spacing w:val="-4"/>
          <w:w w:val="105"/>
        </w:rPr>
        <w:t> </w:t>
      </w:r>
      <w:r>
        <w:rPr>
          <w:color w:val="231F20"/>
          <w:w w:val="105"/>
        </w:rPr>
        <w:t>en</w:t>
      </w:r>
      <w:r>
        <w:rPr>
          <w:color w:val="231F20"/>
          <w:spacing w:val="-4"/>
          <w:w w:val="105"/>
        </w:rPr>
        <w:t> </w:t>
      </w:r>
      <w:r>
        <w:rPr>
          <w:color w:val="231F20"/>
          <w:w w:val="105"/>
        </w:rPr>
        <w:t>Estados</w:t>
      </w:r>
      <w:r>
        <w:rPr>
          <w:color w:val="231F20"/>
          <w:spacing w:val="-4"/>
          <w:w w:val="105"/>
        </w:rPr>
        <w:t> </w:t>
      </w:r>
      <w:r>
        <w:rPr>
          <w:color w:val="231F20"/>
          <w:w w:val="105"/>
        </w:rPr>
        <w:t>Unidos</w:t>
      </w:r>
      <w:r>
        <w:rPr>
          <w:color w:val="231F20"/>
          <w:spacing w:val="-4"/>
          <w:w w:val="105"/>
        </w:rPr>
        <w:t> </w:t>
      </w:r>
      <w:r>
        <w:rPr>
          <w:color w:val="231F20"/>
          <w:w w:val="105"/>
        </w:rPr>
        <w:t>como</w:t>
      </w:r>
      <w:r>
        <w:rPr>
          <w:color w:val="231F20"/>
          <w:spacing w:val="-4"/>
          <w:w w:val="105"/>
        </w:rPr>
        <w:t> </w:t>
      </w:r>
      <w:r>
        <w:rPr>
          <w:color w:val="231F20"/>
          <w:w w:val="105"/>
        </w:rPr>
        <w:t>actores</w:t>
      </w:r>
      <w:r>
        <w:rPr>
          <w:color w:val="231F20"/>
          <w:spacing w:val="-4"/>
          <w:w w:val="105"/>
        </w:rPr>
        <w:t> </w:t>
      </w:r>
      <w:r>
        <w:rPr>
          <w:color w:val="231F20"/>
          <w:w w:val="105"/>
        </w:rPr>
        <w:t>de la</w:t>
      </w:r>
      <w:r>
        <w:rPr>
          <w:color w:val="231F20"/>
          <w:spacing w:val="-13"/>
          <w:w w:val="105"/>
        </w:rPr>
        <w:t> </w:t>
      </w:r>
      <w:r>
        <w:rPr>
          <w:color w:val="231F20"/>
          <w:w w:val="105"/>
        </w:rPr>
        <w:t>migración</w:t>
      </w:r>
      <w:r>
        <w:rPr>
          <w:color w:val="231F20"/>
          <w:spacing w:val="-13"/>
          <w:w w:val="105"/>
        </w:rPr>
        <w:t> </w:t>
      </w:r>
      <w:r>
        <w:rPr>
          <w:color w:val="231F20"/>
          <w:w w:val="105"/>
        </w:rPr>
        <w:t>poco</w:t>
      </w:r>
      <w:r>
        <w:rPr>
          <w:color w:val="231F20"/>
          <w:spacing w:val="-13"/>
          <w:w w:val="105"/>
        </w:rPr>
        <w:t> </w:t>
      </w:r>
      <w:r>
        <w:rPr>
          <w:color w:val="231F20"/>
          <w:w w:val="105"/>
        </w:rPr>
        <w:t>visibles.</w:t>
      </w:r>
      <w:r>
        <w:rPr>
          <w:color w:val="231F20"/>
          <w:spacing w:val="-17"/>
          <w:w w:val="105"/>
        </w:rPr>
        <w:t> </w:t>
      </w:r>
      <w:r>
        <w:rPr>
          <w:color w:val="231F20"/>
          <w:w w:val="105"/>
        </w:rPr>
        <w:t>En</w:t>
      </w:r>
      <w:r>
        <w:rPr>
          <w:color w:val="231F20"/>
          <w:spacing w:val="-13"/>
          <w:w w:val="105"/>
        </w:rPr>
        <w:t> </w:t>
      </w:r>
      <w:r>
        <w:rPr>
          <w:color w:val="231F20"/>
          <w:w w:val="105"/>
        </w:rPr>
        <w:t>este</w:t>
      </w:r>
      <w:r>
        <w:rPr>
          <w:color w:val="231F20"/>
          <w:spacing w:val="-13"/>
          <w:w w:val="105"/>
        </w:rPr>
        <w:t> </w:t>
      </w:r>
      <w:r>
        <w:rPr>
          <w:color w:val="231F20"/>
          <w:w w:val="105"/>
        </w:rPr>
        <w:t>trabajo</w:t>
      </w:r>
      <w:r>
        <w:rPr>
          <w:color w:val="231F20"/>
          <w:spacing w:val="-13"/>
          <w:w w:val="105"/>
        </w:rPr>
        <w:t> </w:t>
      </w:r>
      <w:r>
        <w:rPr>
          <w:color w:val="231F20"/>
          <w:w w:val="105"/>
        </w:rPr>
        <w:t>se</w:t>
      </w:r>
      <w:r>
        <w:rPr>
          <w:color w:val="231F20"/>
          <w:spacing w:val="-13"/>
          <w:w w:val="105"/>
        </w:rPr>
        <w:t> </w:t>
      </w:r>
      <w:r>
        <w:rPr>
          <w:color w:val="231F20"/>
          <w:w w:val="105"/>
        </w:rPr>
        <w:t>analiza</w:t>
      </w:r>
      <w:r>
        <w:rPr>
          <w:color w:val="231F20"/>
          <w:spacing w:val="-13"/>
          <w:w w:val="105"/>
        </w:rPr>
        <w:t> </w:t>
      </w:r>
      <w:r>
        <w:rPr>
          <w:color w:val="231F20"/>
          <w:w w:val="105"/>
        </w:rPr>
        <w:t>quiénes</w:t>
      </w:r>
      <w:r>
        <w:rPr>
          <w:color w:val="231F20"/>
          <w:spacing w:val="-13"/>
          <w:w w:val="105"/>
        </w:rPr>
        <w:t> </w:t>
      </w:r>
      <w:r>
        <w:rPr>
          <w:color w:val="231F20"/>
          <w:w w:val="105"/>
        </w:rPr>
        <w:t>son,</w:t>
      </w:r>
      <w:r>
        <w:rPr>
          <w:color w:val="231F20"/>
          <w:spacing w:val="-17"/>
          <w:w w:val="105"/>
        </w:rPr>
        <w:t> </w:t>
      </w:r>
      <w:r>
        <w:rPr>
          <w:color w:val="231F20"/>
          <w:w w:val="105"/>
        </w:rPr>
        <w:t>su</w:t>
      </w:r>
      <w:r>
        <w:rPr>
          <w:color w:val="231F20"/>
          <w:spacing w:val="-13"/>
          <w:w w:val="105"/>
        </w:rPr>
        <w:t> </w:t>
      </w:r>
      <w:r>
        <w:rPr>
          <w:color w:val="231F20"/>
          <w:w w:val="105"/>
        </w:rPr>
        <w:t>di- mensión sociodemográfica y sus vínculos con la educación en</w:t>
      </w:r>
      <w:r>
        <w:rPr>
          <w:color w:val="231F20"/>
          <w:spacing w:val="-6"/>
          <w:w w:val="105"/>
        </w:rPr>
        <w:t> </w:t>
      </w:r>
      <w:r>
        <w:rPr>
          <w:color w:val="231F20"/>
          <w:w w:val="105"/>
        </w:rPr>
        <w:t>Estados Unidos,</w:t>
      </w:r>
      <w:r>
        <w:rPr>
          <w:color w:val="231F20"/>
          <w:spacing w:val="-28"/>
          <w:w w:val="105"/>
        </w:rPr>
        <w:t> </w:t>
      </w:r>
      <w:r>
        <w:rPr>
          <w:color w:val="231F20"/>
          <w:w w:val="105"/>
        </w:rPr>
        <w:t>los</w:t>
      </w:r>
      <w:r>
        <w:rPr>
          <w:color w:val="231F20"/>
          <w:spacing w:val="-22"/>
          <w:w w:val="105"/>
        </w:rPr>
        <w:t> </w:t>
      </w:r>
      <w:r>
        <w:rPr>
          <w:color w:val="231F20"/>
          <w:w w:val="105"/>
        </w:rPr>
        <w:t>efectos</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deportaciones</w:t>
      </w:r>
      <w:r>
        <w:rPr>
          <w:color w:val="231F20"/>
          <w:spacing w:val="-22"/>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hijos</w:t>
      </w:r>
      <w:r>
        <w:rPr>
          <w:color w:val="231F20"/>
          <w:spacing w:val="-22"/>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migrantes,</w:t>
      </w:r>
      <w:r>
        <w:rPr>
          <w:color w:val="231F20"/>
          <w:spacing w:val="-28"/>
          <w:w w:val="105"/>
        </w:rPr>
        <w:t> </w:t>
      </w:r>
      <w:r>
        <w:rPr>
          <w:color w:val="231F20"/>
          <w:w w:val="105"/>
        </w:rPr>
        <w:t>así como la importancia de su condición migratoria para el sistema educa- tivo, también se destaca la importancia del bilingüismo en la identidad de los niños, el desarrollo del lenguaje así como su alfabetización. Se pone</w:t>
      </w:r>
      <w:r>
        <w:rPr>
          <w:color w:val="231F20"/>
          <w:spacing w:val="-20"/>
          <w:w w:val="105"/>
        </w:rPr>
        <w:t> </w:t>
      </w:r>
      <w:r>
        <w:rPr>
          <w:color w:val="231F20"/>
          <w:w w:val="105"/>
        </w:rPr>
        <w:t>énfasis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necesidad</w:t>
      </w:r>
      <w:r>
        <w:rPr>
          <w:color w:val="231F20"/>
          <w:spacing w:val="-20"/>
          <w:w w:val="105"/>
        </w:rPr>
        <w:t> </w:t>
      </w:r>
      <w:r>
        <w:rPr>
          <w:color w:val="231F20"/>
          <w:w w:val="105"/>
        </w:rPr>
        <w:t>de</w:t>
      </w:r>
      <w:r>
        <w:rPr>
          <w:color w:val="231F20"/>
          <w:spacing w:val="-20"/>
          <w:w w:val="105"/>
        </w:rPr>
        <w:t> </w:t>
      </w:r>
      <w:r>
        <w:rPr>
          <w:color w:val="231F20"/>
          <w:w w:val="105"/>
        </w:rPr>
        <w:t>abordar</w:t>
      </w:r>
      <w:r>
        <w:rPr>
          <w:color w:val="231F20"/>
          <w:spacing w:val="-20"/>
          <w:w w:val="105"/>
        </w:rPr>
        <w:t> </w:t>
      </w:r>
      <w:r>
        <w:rPr>
          <w:color w:val="231F20"/>
          <w:w w:val="105"/>
        </w:rPr>
        <w:t>estas</w:t>
      </w:r>
      <w:r>
        <w:rPr>
          <w:color w:val="231F20"/>
          <w:spacing w:val="-20"/>
          <w:w w:val="105"/>
        </w:rPr>
        <w:t> </w:t>
      </w:r>
      <w:r>
        <w:rPr>
          <w:color w:val="231F20"/>
          <w:w w:val="105"/>
        </w:rPr>
        <w:t>cuestiones</w:t>
      </w:r>
      <w:r>
        <w:rPr>
          <w:color w:val="231F20"/>
          <w:spacing w:val="-20"/>
          <w:w w:val="105"/>
        </w:rPr>
        <w:t> </w:t>
      </w:r>
      <w:r>
        <w:rPr>
          <w:color w:val="231F20"/>
          <w:w w:val="105"/>
        </w:rPr>
        <w:t>a</w:t>
      </w:r>
      <w:r>
        <w:rPr>
          <w:color w:val="231F20"/>
          <w:spacing w:val="-20"/>
          <w:w w:val="105"/>
        </w:rPr>
        <w:t> </w:t>
      </w:r>
      <w:r>
        <w:rPr>
          <w:color w:val="231F20"/>
          <w:w w:val="105"/>
        </w:rPr>
        <w:t>partir</w:t>
      </w:r>
      <w:r>
        <w:rPr>
          <w:color w:val="231F20"/>
          <w:spacing w:val="-20"/>
          <w:w w:val="105"/>
        </w:rPr>
        <w:t> </w:t>
      </w:r>
      <w:r>
        <w:rPr>
          <w:color w:val="231F20"/>
          <w:w w:val="105"/>
        </w:rPr>
        <w:t>de</w:t>
      </w:r>
      <w:r>
        <w:rPr>
          <w:color w:val="231F20"/>
          <w:spacing w:val="-20"/>
          <w:w w:val="105"/>
        </w:rPr>
        <w:t> </w:t>
      </w:r>
      <w:r>
        <w:rPr>
          <w:color w:val="231F20"/>
          <w:w w:val="105"/>
        </w:rPr>
        <w:t>una reforma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inmigración,</w:t>
      </w:r>
      <w:r>
        <w:rPr>
          <w:color w:val="231F20"/>
          <w:spacing w:val="-15"/>
          <w:w w:val="105"/>
        </w:rPr>
        <w:t> </w:t>
      </w:r>
      <w:r>
        <w:rPr>
          <w:color w:val="231F20"/>
          <w:w w:val="105"/>
        </w:rPr>
        <w:t>ya</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tema</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hijos</w:t>
      </w:r>
      <w:r>
        <w:rPr>
          <w:color w:val="231F20"/>
          <w:spacing w:val="-9"/>
          <w:w w:val="105"/>
        </w:rPr>
        <w:t> </w:t>
      </w:r>
      <w:r>
        <w:rPr>
          <w:color w:val="231F20"/>
          <w:w w:val="105"/>
        </w:rPr>
        <w:t>de</w:t>
      </w:r>
      <w:r>
        <w:rPr>
          <w:color w:val="231F20"/>
          <w:spacing w:val="-9"/>
          <w:w w:val="105"/>
        </w:rPr>
        <w:t> </w:t>
      </w:r>
      <w:r>
        <w:rPr>
          <w:color w:val="231F20"/>
          <w:w w:val="105"/>
        </w:rPr>
        <w:t>padres</w:t>
      </w:r>
      <w:r>
        <w:rPr>
          <w:color w:val="231F20"/>
          <w:spacing w:val="-9"/>
          <w:w w:val="105"/>
        </w:rPr>
        <w:t> </w:t>
      </w:r>
      <w:r>
        <w:rPr>
          <w:color w:val="231F20"/>
          <w:w w:val="105"/>
        </w:rPr>
        <w:t>indocu- mentados</w:t>
      </w:r>
      <w:r>
        <w:rPr>
          <w:color w:val="231F20"/>
          <w:spacing w:val="-10"/>
          <w:w w:val="105"/>
        </w:rPr>
        <w:t> </w:t>
      </w:r>
      <w:r>
        <w:rPr>
          <w:color w:val="231F20"/>
          <w:w w:val="105"/>
        </w:rPr>
        <w:t>sigue</w:t>
      </w:r>
      <w:r>
        <w:rPr>
          <w:color w:val="231F20"/>
          <w:spacing w:val="-10"/>
          <w:w w:val="105"/>
        </w:rPr>
        <w:t> </w:t>
      </w:r>
      <w:r>
        <w:rPr>
          <w:color w:val="231F20"/>
          <w:w w:val="105"/>
        </w:rPr>
        <w:t>siendo</w:t>
      </w:r>
      <w:r>
        <w:rPr>
          <w:color w:val="231F20"/>
          <w:spacing w:val="-10"/>
          <w:w w:val="105"/>
        </w:rPr>
        <w:t> </w:t>
      </w:r>
      <w:r>
        <w:rPr>
          <w:color w:val="231F20"/>
          <w:w w:val="105"/>
        </w:rPr>
        <w:t>un</w:t>
      </w:r>
      <w:r>
        <w:rPr>
          <w:color w:val="231F20"/>
          <w:spacing w:val="-10"/>
          <w:w w:val="105"/>
        </w:rPr>
        <w:t> </w:t>
      </w:r>
      <w:r>
        <w:rPr>
          <w:color w:val="231F20"/>
          <w:w w:val="105"/>
        </w:rPr>
        <w:t>imperativo</w:t>
      </w:r>
      <w:r>
        <w:rPr>
          <w:color w:val="231F20"/>
          <w:spacing w:val="-10"/>
          <w:w w:val="105"/>
        </w:rPr>
        <w:t> </w:t>
      </w:r>
      <w:r>
        <w:rPr>
          <w:color w:val="231F20"/>
          <w:w w:val="105"/>
        </w:rPr>
        <w:t>de</w:t>
      </w:r>
      <w:r>
        <w:rPr>
          <w:color w:val="231F20"/>
          <w:spacing w:val="-10"/>
          <w:w w:val="105"/>
        </w:rPr>
        <w:t> </w:t>
      </w:r>
      <w:r>
        <w:rPr>
          <w:color w:val="231F20"/>
          <w:w w:val="105"/>
        </w:rPr>
        <w:t>políticas</w:t>
      </w:r>
      <w:r>
        <w:rPr>
          <w:color w:val="231F20"/>
          <w:spacing w:val="-10"/>
          <w:w w:val="105"/>
        </w:rPr>
        <w:t> </w:t>
      </w:r>
      <w:r>
        <w:rPr>
          <w:color w:val="231F20"/>
          <w:w w:val="105"/>
        </w:rPr>
        <w:t>públicas.</w:t>
      </w:r>
    </w:p>
    <w:p>
      <w:pPr>
        <w:pStyle w:val="BodyText"/>
        <w:spacing w:line="261" w:lineRule="auto" w:before="1"/>
        <w:ind w:left="1724" w:right="1829" w:firstLine="567"/>
        <w:jc w:val="both"/>
      </w:pP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tercer</w:t>
      </w:r>
      <w:r>
        <w:rPr>
          <w:color w:val="231F20"/>
          <w:spacing w:val="-14"/>
          <w:w w:val="105"/>
        </w:rPr>
        <w:t> </w:t>
      </w:r>
      <w:r>
        <w:rPr>
          <w:color w:val="231F20"/>
          <w:w w:val="105"/>
        </w:rPr>
        <w:t>capítulo,</w:t>
      </w:r>
      <w:r>
        <w:rPr>
          <w:color w:val="231F20"/>
          <w:spacing w:val="-18"/>
          <w:w w:val="105"/>
        </w:rPr>
        <w:t> </w:t>
      </w:r>
      <w:r>
        <w:rPr>
          <w:color w:val="231F20"/>
          <w:w w:val="105"/>
        </w:rPr>
        <w:t>“Los</w:t>
      </w:r>
      <w:r>
        <w:rPr>
          <w:color w:val="231F20"/>
          <w:spacing w:val="-14"/>
          <w:w w:val="105"/>
        </w:rPr>
        <w:t> </w:t>
      </w:r>
      <w:r>
        <w:rPr>
          <w:color w:val="231F20"/>
          <w:w w:val="105"/>
        </w:rPr>
        <w:t>pequeños</w:t>
      </w:r>
      <w:r>
        <w:rPr>
          <w:color w:val="231F20"/>
          <w:spacing w:val="-14"/>
          <w:w w:val="105"/>
        </w:rPr>
        <w:t> </w:t>
      </w:r>
      <w:r>
        <w:rPr>
          <w:color w:val="231F20"/>
          <w:w w:val="105"/>
        </w:rPr>
        <w:t>‘soñadores’</w:t>
      </w:r>
      <w:r>
        <w:rPr>
          <w:color w:val="231F20"/>
          <w:spacing w:val="-14"/>
          <w:w w:val="105"/>
        </w:rPr>
        <w:t> </w:t>
      </w:r>
      <w:r>
        <w:rPr>
          <w:color w:val="231F20"/>
          <w:w w:val="105"/>
        </w:rPr>
        <w:t>no</w:t>
      </w:r>
      <w:r>
        <w:rPr>
          <w:color w:val="231F20"/>
          <w:spacing w:val="-14"/>
          <w:w w:val="105"/>
        </w:rPr>
        <w:t> </w:t>
      </w:r>
      <w:r>
        <w:rPr>
          <w:color w:val="231F20"/>
          <w:w w:val="105"/>
        </w:rPr>
        <w:t>acompañados en</w:t>
      </w:r>
      <w:r>
        <w:rPr>
          <w:color w:val="231F20"/>
          <w:spacing w:val="-26"/>
          <w:w w:val="105"/>
        </w:rPr>
        <w:t> </w:t>
      </w:r>
      <w:r>
        <w:rPr>
          <w:color w:val="231F20"/>
          <w:w w:val="105"/>
        </w:rPr>
        <w:t>su</w:t>
      </w:r>
      <w:r>
        <w:rPr>
          <w:color w:val="231F20"/>
          <w:spacing w:val="-26"/>
          <w:w w:val="105"/>
        </w:rPr>
        <w:t> </w:t>
      </w:r>
      <w:r>
        <w:rPr>
          <w:color w:val="231F20"/>
          <w:w w:val="105"/>
        </w:rPr>
        <w:t>tránsito</w:t>
      </w:r>
      <w:r>
        <w:rPr>
          <w:color w:val="231F20"/>
          <w:spacing w:val="-26"/>
          <w:w w:val="105"/>
        </w:rPr>
        <w:t> </w:t>
      </w:r>
      <w:r>
        <w:rPr>
          <w:color w:val="231F20"/>
          <w:w w:val="105"/>
        </w:rPr>
        <w:t>por</w:t>
      </w:r>
      <w:r>
        <w:rPr>
          <w:color w:val="231F20"/>
          <w:spacing w:val="-26"/>
          <w:w w:val="105"/>
        </w:rPr>
        <w:t> </w:t>
      </w:r>
      <w:r>
        <w:rPr>
          <w:color w:val="231F20"/>
          <w:w w:val="105"/>
        </w:rPr>
        <w:t>el</w:t>
      </w:r>
      <w:r>
        <w:rPr>
          <w:color w:val="231F20"/>
          <w:spacing w:val="-26"/>
          <w:w w:val="105"/>
        </w:rPr>
        <w:t> </w:t>
      </w:r>
      <w:r>
        <w:rPr>
          <w:color w:val="231F20"/>
          <w:w w:val="105"/>
        </w:rPr>
        <w:t>Estado</w:t>
      </w:r>
      <w:r>
        <w:rPr>
          <w:color w:val="231F20"/>
          <w:spacing w:val="-26"/>
          <w:w w:val="105"/>
        </w:rPr>
        <w:t> </w:t>
      </w:r>
      <w:r>
        <w:rPr>
          <w:color w:val="231F20"/>
          <w:w w:val="105"/>
        </w:rPr>
        <w:t>de</w:t>
      </w:r>
      <w:r>
        <w:rPr>
          <w:color w:val="231F20"/>
          <w:spacing w:val="-26"/>
          <w:w w:val="105"/>
        </w:rPr>
        <w:t> </w:t>
      </w:r>
      <w:r>
        <w:rPr>
          <w:color w:val="231F20"/>
          <w:w w:val="105"/>
        </w:rPr>
        <w:t>México.</w:t>
      </w:r>
      <w:r>
        <w:rPr>
          <w:color w:val="231F20"/>
          <w:spacing w:val="-30"/>
          <w:w w:val="105"/>
        </w:rPr>
        <w:t> </w:t>
      </w:r>
      <w:r>
        <w:rPr>
          <w:color w:val="231F20"/>
          <w:w w:val="105"/>
        </w:rPr>
        <w:t>Una</w:t>
      </w:r>
      <w:r>
        <w:rPr>
          <w:color w:val="231F20"/>
          <w:spacing w:val="-26"/>
          <w:w w:val="105"/>
        </w:rPr>
        <w:t> </w:t>
      </w:r>
      <w:r>
        <w:rPr>
          <w:color w:val="231F20"/>
          <w:w w:val="105"/>
        </w:rPr>
        <w:t>revisión</w:t>
      </w:r>
      <w:r>
        <w:rPr>
          <w:color w:val="231F20"/>
          <w:spacing w:val="-26"/>
          <w:w w:val="105"/>
        </w:rPr>
        <w:t> </w:t>
      </w:r>
      <w:r>
        <w:rPr>
          <w:color w:val="231F20"/>
          <w:w w:val="105"/>
        </w:rPr>
        <w:t>a</w:t>
      </w:r>
      <w:r>
        <w:rPr>
          <w:color w:val="231F20"/>
          <w:spacing w:val="-26"/>
          <w:w w:val="105"/>
        </w:rPr>
        <w:t> </w:t>
      </w:r>
      <w:r>
        <w:rPr>
          <w:color w:val="231F20"/>
          <w:w w:val="105"/>
        </w:rPr>
        <w:t>partir</w:t>
      </w:r>
      <w:r>
        <w:rPr>
          <w:color w:val="231F20"/>
          <w:spacing w:val="-26"/>
          <w:w w:val="105"/>
        </w:rPr>
        <w:t> </w:t>
      </w:r>
      <w:r>
        <w:rPr>
          <w:color w:val="231F20"/>
          <w:w w:val="105"/>
        </w:rPr>
        <w:t>del</w:t>
      </w:r>
      <w:r>
        <w:rPr>
          <w:color w:val="231F20"/>
          <w:spacing w:val="-26"/>
          <w:w w:val="105"/>
        </w:rPr>
        <w:t> </w:t>
      </w:r>
      <w:r>
        <w:rPr>
          <w:color w:val="231F20"/>
          <w:w w:val="105"/>
        </w:rPr>
        <w:t>interés</w:t>
      </w:r>
      <w:r>
        <w:rPr>
          <w:color w:val="231F20"/>
          <w:spacing w:val="-26"/>
          <w:w w:val="105"/>
        </w:rPr>
        <w:t> </w:t>
      </w:r>
      <w:r>
        <w:rPr>
          <w:color w:val="231F20"/>
          <w:w w:val="105"/>
        </w:rPr>
        <w:t>su- perior</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4"/>
          <w:w w:val="105"/>
        </w:rPr>
        <w:t>infancia”,</w:t>
      </w:r>
      <w:r>
        <w:rPr>
          <w:color w:val="231F20"/>
          <w:spacing w:val="-29"/>
          <w:w w:val="105"/>
        </w:rPr>
        <w:t> </w:t>
      </w:r>
      <w:r>
        <w:rPr>
          <w:color w:val="231F20"/>
          <w:w w:val="105"/>
        </w:rPr>
        <w:t>María</w:t>
      </w:r>
      <w:r>
        <w:rPr>
          <w:color w:val="231F20"/>
          <w:spacing w:val="-25"/>
          <w:w w:val="105"/>
        </w:rPr>
        <w:t> </w:t>
      </w:r>
      <w:r>
        <w:rPr>
          <w:color w:val="231F20"/>
          <w:w w:val="105"/>
        </w:rPr>
        <w:t>de</w:t>
      </w:r>
      <w:r>
        <w:rPr>
          <w:color w:val="231F20"/>
          <w:spacing w:val="-25"/>
          <w:w w:val="105"/>
        </w:rPr>
        <w:t> </w:t>
      </w:r>
      <w:r>
        <w:rPr>
          <w:color w:val="231F20"/>
          <w:w w:val="105"/>
        </w:rPr>
        <w:t>Lourdes</w:t>
      </w:r>
      <w:r>
        <w:rPr>
          <w:color w:val="231F20"/>
          <w:spacing w:val="-25"/>
          <w:w w:val="105"/>
        </w:rPr>
        <w:t> </w:t>
      </w:r>
      <w:r>
        <w:rPr>
          <w:color w:val="231F20"/>
          <w:w w:val="105"/>
        </w:rPr>
        <w:t>Morales</w:t>
      </w:r>
      <w:r>
        <w:rPr>
          <w:color w:val="231F20"/>
          <w:spacing w:val="-25"/>
          <w:w w:val="105"/>
        </w:rPr>
        <w:t> </w:t>
      </w:r>
      <w:r>
        <w:rPr>
          <w:color w:val="231F20"/>
          <w:w w:val="105"/>
        </w:rPr>
        <w:t>Reynoso</w:t>
      </w:r>
      <w:r>
        <w:rPr>
          <w:color w:val="231F20"/>
          <w:spacing w:val="-25"/>
          <w:w w:val="105"/>
        </w:rPr>
        <w:t> </w:t>
      </w:r>
      <w:r>
        <w:rPr>
          <w:color w:val="231F20"/>
          <w:w w:val="105"/>
        </w:rPr>
        <w:t>y</w:t>
      </w:r>
      <w:r>
        <w:rPr>
          <w:color w:val="231F20"/>
          <w:spacing w:val="-25"/>
          <w:w w:val="105"/>
        </w:rPr>
        <w:t> </w:t>
      </w:r>
      <w:r>
        <w:rPr>
          <w:color w:val="231F20"/>
          <w:w w:val="105"/>
        </w:rPr>
        <w:t>Claudia</w:t>
      </w:r>
      <w:r>
        <w:rPr>
          <w:color w:val="231F20"/>
          <w:spacing w:val="-27"/>
          <w:w w:val="105"/>
        </w:rPr>
        <w:t> </w:t>
      </w:r>
      <w:r>
        <w:rPr>
          <w:color w:val="231F20"/>
          <w:w w:val="105"/>
        </w:rPr>
        <w:t>Arian- ne</w:t>
      </w:r>
      <w:r>
        <w:rPr>
          <w:color w:val="231F20"/>
          <w:spacing w:val="-15"/>
          <w:w w:val="105"/>
        </w:rPr>
        <w:t> </w:t>
      </w:r>
      <w:r>
        <w:rPr>
          <w:color w:val="231F20"/>
          <w:w w:val="105"/>
        </w:rPr>
        <w:t>Martínez</w:t>
      </w:r>
      <w:r>
        <w:rPr>
          <w:color w:val="231F20"/>
          <w:spacing w:val="-15"/>
          <w:w w:val="105"/>
        </w:rPr>
        <w:t> </w:t>
      </w:r>
      <w:r>
        <w:rPr>
          <w:color w:val="231F20"/>
          <w:w w:val="105"/>
        </w:rPr>
        <w:t>Zaragoza</w:t>
      </w:r>
      <w:r>
        <w:rPr>
          <w:color w:val="231F20"/>
          <w:spacing w:val="-15"/>
          <w:w w:val="105"/>
        </w:rPr>
        <w:t> </w:t>
      </w:r>
      <w:r>
        <w:rPr>
          <w:color w:val="231F20"/>
          <w:w w:val="105"/>
        </w:rPr>
        <w:t>presentan</w:t>
      </w:r>
      <w:r>
        <w:rPr>
          <w:color w:val="231F20"/>
          <w:spacing w:val="-15"/>
          <w:w w:val="105"/>
        </w:rPr>
        <w:t> </w:t>
      </w:r>
      <w:r>
        <w:rPr>
          <w:color w:val="231F20"/>
          <w:w w:val="105"/>
        </w:rPr>
        <w:t>un</w:t>
      </w:r>
      <w:r>
        <w:rPr>
          <w:color w:val="231F20"/>
          <w:spacing w:val="-15"/>
          <w:w w:val="105"/>
        </w:rPr>
        <w:t> </w:t>
      </w:r>
      <w:r>
        <w:rPr>
          <w:color w:val="231F20"/>
          <w:w w:val="105"/>
        </w:rPr>
        <w:t>estudio</w:t>
      </w:r>
      <w:r>
        <w:rPr>
          <w:color w:val="231F20"/>
          <w:spacing w:val="-15"/>
          <w:w w:val="105"/>
        </w:rPr>
        <w:t> </w:t>
      </w:r>
      <w:r>
        <w:rPr>
          <w:color w:val="231F20"/>
          <w:w w:val="105"/>
        </w:rPr>
        <w:t>de</w:t>
      </w:r>
      <w:r>
        <w:rPr>
          <w:color w:val="231F20"/>
          <w:spacing w:val="-15"/>
          <w:w w:val="105"/>
        </w:rPr>
        <w:t> </w:t>
      </w:r>
      <w:r>
        <w:rPr>
          <w:color w:val="231F20"/>
          <w:w w:val="105"/>
        </w:rPr>
        <w:t>caso</w:t>
      </w:r>
      <w:r>
        <w:rPr>
          <w:color w:val="231F20"/>
          <w:spacing w:val="-15"/>
          <w:w w:val="105"/>
        </w:rPr>
        <w:t> </w:t>
      </w:r>
      <w:r>
        <w:rPr>
          <w:color w:val="231F20"/>
          <w:w w:val="105"/>
        </w:rPr>
        <w:t>sobre</w:t>
      </w:r>
      <w:r>
        <w:rPr>
          <w:color w:val="231F20"/>
          <w:spacing w:val="-15"/>
          <w:w w:val="105"/>
        </w:rPr>
        <w:t> </w:t>
      </w:r>
      <w:r>
        <w:rPr>
          <w:color w:val="231F20"/>
          <w:w w:val="105"/>
        </w:rPr>
        <w:t>la</w:t>
      </w:r>
      <w:r>
        <w:rPr>
          <w:color w:val="231F20"/>
          <w:spacing w:val="-15"/>
          <w:w w:val="105"/>
        </w:rPr>
        <w:t> </w:t>
      </w:r>
      <w:r>
        <w:rPr>
          <w:color w:val="231F20"/>
          <w:w w:val="105"/>
        </w:rPr>
        <w:t>realidad</w:t>
      </w:r>
      <w:r>
        <w:rPr>
          <w:color w:val="231F20"/>
          <w:spacing w:val="-15"/>
          <w:w w:val="105"/>
        </w:rPr>
        <w:t> </w:t>
      </w:r>
      <w:r>
        <w:rPr>
          <w:color w:val="231F20"/>
          <w:w w:val="105"/>
        </w:rPr>
        <w:t>de las niñas, los niños y los adolescentes en su trayecto migratorio por el Estado de México. Debido a su situación de vulnerabilidad demandan, con</w:t>
      </w:r>
      <w:r>
        <w:rPr>
          <w:color w:val="231F20"/>
          <w:spacing w:val="-17"/>
          <w:w w:val="105"/>
        </w:rPr>
        <w:t> </w:t>
      </w:r>
      <w:r>
        <w:rPr>
          <w:color w:val="231F20"/>
          <w:w w:val="105"/>
        </w:rPr>
        <w:t>base</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derechos</w:t>
      </w:r>
      <w:r>
        <w:rPr>
          <w:color w:val="231F20"/>
          <w:spacing w:val="-17"/>
          <w:w w:val="105"/>
        </w:rPr>
        <w:t> </w:t>
      </w:r>
      <w:r>
        <w:rPr>
          <w:color w:val="231F20"/>
          <w:w w:val="105"/>
        </w:rPr>
        <w:t>humanos,</w:t>
      </w:r>
      <w:r>
        <w:rPr>
          <w:color w:val="231F20"/>
          <w:spacing w:val="-22"/>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considere</w:t>
      </w:r>
      <w:r>
        <w:rPr>
          <w:color w:val="231F20"/>
          <w:spacing w:val="-17"/>
          <w:w w:val="105"/>
        </w:rPr>
        <w:t> </w:t>
      </w:r>
      <w:r>
        <w:rPr>
          <w:color w:val="231F20"/>
          <w:w w:val="105"/>
        </w:rPr>
        <w:t>la</w:t>
      </w:r>
      <w:r>
        <w:rPr>
          <w:color w:val="231F20"/>
          <w:spacing w:val="-17"/>
          <w:w w:val="105"/>
        </w:rPr>
        <w:t> </w:t>
      </w:r>
      <w:r>
        <w:rPr>
          <w:color w:val="231F20"/>
          <w:w w:val="105"/>
        </w:rPr>
        <w:t>construcción</w:t>
      </w:r>
      <w:r>
        <w:rPr>
          <w:color w:val="231F20"/>
          <w:spacing w:val="-17"/>
          <w:w w:val="105"/>
        </w:rPr>
        <w:t> </w:t>
      </w:r>
      <w:r>
        <w:rPr>
          <w:color w:val="231F20"/>
          <w:w w:val="105"/>
        </w:rPr>
        <w:t>de instalaciones</w:t>
      </w:r>
      <w:r>
        <w:rPr>
          <w:color w:val="231F20"/>
          <w:spacing w:val="-11"/>
          <w:w w:val="105"/>
        </w:rPr>
        <w:t> </w:t>
      </w:r>
      <w:r>
        <w:rPr>
          <w:color w:val="231F20"/>
          <w:w w:val="105"/>
        </w:rPr>
        <w:t>permanentes</w:t>
      </w:r>
      <w:r>
        <w:rPr>
          <w:color w:val="231F20"/>
          <w:spacing w:val="-11"/>
          <w:w w:val="105"/>
        </w:rPr>
        <w:t> </w:t>
      </w:r>
      <w:r>
        <w:rPr>
          <w:color w:val="231F20"/>
          <w:w w:val="105"/>
        </w:rPr>
        <w:t>para</w:t>
      </w:r>
      <w:r>
        <w:rPr>
          <w:color w:val="231F20"/>
          <w:spacing w:val="-11"/>
          <w:w w:val="105"/>
        </w:rPr>
        <w:t> </w:t>
      </w:r>
      <w:r>
        <w:rPr>
          <w:color w:val="231F20"/>
          <w:w w:val="105"/>
        </w:rPr>
        <w:t>la</w:t>
      </w:r>
      <w:r>
        <w:rPr>
          <w:color w:val="231F20"/>
          <w:spacing w:val="-11"/>
          <w:w w:val="105"/>
        </w:rPr>
        <w:t> </w:t>
      </w:r>
      <w:r>
        <w:rPr>
          <w:color w:val="231F20"/>
          <w:w w:val="105"/>
        </w:rPr>
        <w:t>atención,</w:t>
      </w:r>
      <w:r>
        <w:rPr>
          <w:color w:val="231F20"/>
          <w:spacing w:val="-16"/>
          <w:w w:val="105"/>
        </w:rPr>
        <w:t> </w:t>
      </w:r>
      <w:r>
        <w:rPr>
          <w:color w:val="231F20"/>
          <w:w w:val="105"/>
        </w:rPr>
        <w:t>al</w:t>
      </w:r>
      <w:r>
        <w:rPr>
          <w:color w:val="231F20"/>
          <w:spacing w:val="-11"/>
          <w:w w:val="105"/>
        </w:rPr>
        <w:t> </w:t>
      </w:r>
      <w:r>
        <w:rPr>
          <w:color w:val="231F20"/>
          <w:w w:val="105"/>
        </w:rPr>
        <w:t>menos,</w:t>
      </w:r>
      <w:r>
        <w:rPr>
          <w:color w:val="231F20"/>
          <w:spacing w:val="-16"/>
          <w:w w:val="105"/>
        </w:rPr>
        <w:t> </w:t>
      </w:r>
      <w:r>
        <w:rPr>
          <w:color w:val="231F20"/>
          <w:w w:val="105"/>
        </w:rPr>
        <w:t>de</w:t>
      </w:r>
      <w:r>
        <w:rPr>
          <w:color w:val="231F20"/>
          <w:spacing w:val="-11"/>
          <w:w w:val="105"/>
        </w:rPr>
        <w:t> </w:t>
      </w:r>
      <w:r>
        <w:rPr>
          <w:color w:val="231F20"/>
          <w:w w:val="105"/>
        </w:rPr>
        <w:t>estos</w:t>
      </w:r>
      <w:r>
        <w:rPr>
          <w:color w:val="231F20"/>
          <w:spacing w:val="-11"/>
          <w:w w:val="105"/>
        </w:rPr>
        <w:t> </w:t>
      </w:r>
      <w:r>
        <w:rPr>
          <w:color w:val="231F20"/>
          <w:w w:val="105"/>
        </w:rPr>
        <w:t>migran- tes</w:t>
      </w:r>
      <w:r>
        <w:rPr>
          <w:color w:val="231F20"/>
          <w:spacing w:val="-9"/>
          <w:w w:val="105"/>
        </w:rPr>
        <w:t> </w:t>
      </w:r>
      <w:r>
        <w:rPr>
          <w:color w:val="231F20"/>
          <w:w w:val="105"/>
        </w:rPr>
        <w:t>no</w:t>
      </w:r>
      <w:r>
        <w:rPr>
          <w:color w:val="231F20"/>
          <w:spacing w:val="-9"/>
          <w:w w:val="105"/>
        </w:rPr>
        <w:t> </w:t>
      </w:r>
      <w:r>
        <w:rPr>
          <w:color w:val="231F20"/>
          <w:w w:val="105"/>
        </w:rPr>
        <w:t>acompañados,</w:t>
      </w:r>
      <w:r>
        <w:rPr>
          <w:color w:val="231F20"/>
          <w:spacing w:val="-15"/>
          <w:w w:val="105"/>
        </w:rPr>
        <w:t> </w:t>
      </w:r>
      <w:r>
        <w:rPr>
          <w:color w:val="231F20"/>
          <w:w w:val="105"/>
        </w:rPr>
        <w:t>tanto</w:t>
      </w:r>
      <w:r>
        <w:rPr>
          <w:color w:val="231F20"/>
          <w:spacing w:val="-9"/>
          <w:w w:val="105"/>
        </w:rPr>
        <w:t> </w:t>
      </w:r>
      <w:r>
        <w:rPr>
          <w:color w:val="231F20"/>
          <w:w w:val="105"/>
        </w:rPr>
        <w:t>para</w:t>
      </w:r>
      <w:r>
        <w:rPr>
          <w:color w:val="231F20"/>
          <w:spacing w:val="-9"/>
          <w:w w:val="105"/>
        </w:rPr>
        <w:t> </w:t>
      </w:r>
      <w:r>
        <w:rPr>
          <w:color w:val="231F20"/>
          <w:w w:val="105"/>
        </w:rPr>
        <w:t>el</w:t>
      </w:r>
      <w:r>
        <w:rPr>
          <w:color w:val="231F20"/>
          <w:spacing w:val="-9"/>
          <w:w w:val="105"/>
        </w:rPr>
        <w:t> </w:t>
      </w:r>
      <w:r>
        <w:rPr>
          <w:color w:val="231F20"/>
          <w:w w:val="105"/>
        </w:rPr>
        <w:t>caso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que</w:t>
      </w:r>
      <w:r>
        <w:rPr>
          <w:color w:val="231F20"/>
          <w:spacing w:val="-9"/>
          <w:w w:val="105"/>
        </w:rPr>
        <w:t> </w:t>
      </w:r>
      <w:r>
        <w:rPr>
          <w:color w:val="231F20"/>
          <w:w w:val="105"/>
        </w:rPr>
        <w:t>pertenecen</w:t>
      </w:r>
      <w:r>
        <w:rPr>
          <w:color w:val="231F20"/>
          <w:spacing w:val="-9"/>
          <w:w w:val="105"/>
        </w:rPr>
        <w:t> </w:t>
      </w:r>
      <w:r>
        <w:rPr>
          <w:color w:val="231F20"/>
          <w:w w:val="105"/>
        </w:rPr>
        <w:t>a</w:t>
      </w:r>
      <w:r>
        <w:rPr>
          <w:color w:val="231F20"/>
          <w:spacing w:val="-9"/>
          <w:w w:val="105"/>
        </w:rPr>
        <w:t> </w:t>
      </w:r>
      <w:r>
        <w:rPr>
          <w:color w:val="231F20"/>
          <w:w w:val="105"/>
        </w:rPr>
        <w:t>territo-</w:t>
      </w:r>
    </w:p>
    <w:p>
      <w:pPr>
        <w:pStyle w:val="BodyText"/>
        <w:rPr>
          <w:sz w:val="20"/>
        </w:rPr>
      </w:pPr>
    </w:p>
    <w:p>
      <w:pPr>
        <w:pStyle w:val="BodyText"/>
        <w:rPr>
          <w:sz w:val="20"/>
        </w:rPr>
      </w:pPr>
    </w:p>
    <w:p>
      <w:pPr>
        <w:spacing w:before="178"/>
        <w:ind w:left="1887" w:right="6753" w:firstLine="0"/>
        <w:jc w:val="left"/>
        <w:rPr>
          <w:rFonts w:ascii="Arial"/>
          <w:sz w:val="20"/>
        </w:rPr>
      </w:pPr>
      <w:r>
        <w:rPr/>
        <w:pict>
          <v:line style="position:absolute;mso-position-horizontal-relative:page;mso-position-vertical-relative:paragraph;z-index:1408" from="131.551193pt,8.279881pt" to="131.551193pt,44.08228pt" stroked="true" strokeweight=".35pt" strokecolor="#231f20">
            <w10:wrap type="none"/>
          </v:line>
        </w:pict>
      </w:r>
      <w:r>
        <w:rPr/>
        <w:pict>
          <v:line style="position:absolute;mso-position-horizontal-relative:page;mso-position-vertical-relative:paragraph;z-index:-488704" from="15pt,44.082081pt" to="0pt,44.082081pt" stroked="true" strokeweight=".25pt" strokecolor="#000000">
            <w10:wrap type="none"/>
          </v:line>
        </w:pict>
      </w:r>
      <w:r>
        <w:rPr/>
        <w:pict>
          <v:line style="position:absolute;mso-position-horizontal-relative:page;mso-position-vertical-relative:paragraph;z-index:1504" from="508.890015pt,44.082081pt" to="523.890015pt,44.082081pt" stroked="true" strokeweight=".25pt" strokecolor="#000000">
            <w10:wrap type="none"/>
          </v:line>
        </w:pict>
      </w:r>
      <w:r>
        <w:rPr>
          <w:rFonts w:ascii="Arial"/>
          <w:color w:val="414042"/>
          <w:sz w:val="20"/>
        </w:rPr>
        <w:t>14</w:t>
      </w:r>
    </w:p>
    <w:p>
      <w:pPr>
        <w:spacing w:after="0"/>
        <w:jc w:val="left"/>
        <w:rPr>
          <w:rFonts w:ascii="Arial"/>
          <w:sz w:val="20"/>
        </w:rPr>
        <w:sectPr>
          <w:pgSz w:w="10480" w:h="14730"/>
          <w:pgMar w:header="0" w:footer="103" w:top="300" w:bottom="300" w:left="0" w:right="0"/>
        </w:sectPr>
      </w:pPr>
    </w:p>
    <w:p>
      <w:pPr>
        <w:pStyle w:val="BodyText"/>
        <w:rPr>
          <w:rFonts w:ascii="Arial"/>
          <w:sz w:val="20"/>
        </w:rPr>
      </w:pPr>
    </w:p>
    <w:p>
      <w:pPr>
        <w:pStyle w:val="BodyText"/>
        <w:rPr>
          <w:rFonts w:ascii="Arial"/>
          <w:sz w:val="20"/>
        </w:rPr>
      </w:pPr>
    </w:p>
    <w:p>
      <w:pPr>
        <w:tabs>
          <w:tab w:pos="1578" w:val="right" w:leader="none"/>
        </w:tabs>
        <w:spacing w:before="221"/>
        <w:ind w:left="1516" w:right="1839" w:firstLine="0"/>
        <w:jc w:val="right"/>
        <w:rPr>
          <w:rFonts w:ascii="Arial" w:hAnsi="Arial"/>
          <w:sz w:val="20"/>
        </w:rPr>
      </w:pPr>
      <w:r>
        <w:rPr/>
        <w:pict>
          <v:line style="position:absolute;mso-position-horizontal-relative:page;mso-position-vertical-relative:paragraph;z-index:-488656" from="405.061005pt,-17.151169pt" to="405.061005pt,17.714705pt" stroked="true" strokeweight=".35pt" strokecolor="#231f20">
            <w10:wrap type="none"/>
          </v:line>
        </w:pict>
      </w:r>
      <w:r>
        <w:rPr/>
        <w:pict>
          <v:line style="position:absolute;mso-position-horizontal-relative:page;mso-position-vertical-relative:paragraph;z-index:1552" from="15pt,-17.151396pt" to="0pt,-17.151396pt" stroked="true" strokeweight=".25pt" strokecolor="#000000">
            <w10:wrap type="none"/>
          </v:line>
        </w:pict>
      </w:r>
      <w:r>
        <w:rPr/>
        <w:pict>
          <v:line style="position:absolute;mso-position-horizontal-relative:page;mso-position-vertical-relative:paragraph;z-index:1576" from="508.890015pt,-17.151396pt" to="523.890015pt,-17.151396pt" stroked="true" strokeweight=".25pt" strokecolor="#000000">
            <w10:wrap type="none"/>
          </v:line>
        </w:pict>
      </w:r>
      <w:r>
        <w:rPr>
          <w:rFonts w:ascii="Calibri" w:hAnsi="Calibri"/>
          <w:color w:val="6D6E71"/>
          <w:sz w:val="14"/>
        </w:rPr>
        <w:t>INTRODUCCIÓN</w:t>
      </w:r>
      <w:r>
        <w:rPr>
          <w:rFonts w:ascii="Arial" w:hAnsi="Arial"/>
          <w:color w:val="414042"/>
          <w:position w:val="-3"/>
          <w:sz w:val="20"/>
        </w:rPr>
        <w:tab/>
        <w:t>15</w:t>
      </w:r>
    </w:p>
    <w:p>
      <w:pPr>
        <w:pStyle w:val="BodyText"/>
        <w:rPr>
          <w:rFonts w:ascii="Arial"/>
          <w:sz w:val="20"/>
        </w:rPr>
      </w:pPr>
    </w:p>
    <w:p>
      <w:pPr>
        <w:pStyle w:val="BodyText"/>
        <w:rPr>
          <w:rFonts w:ascii="Arial"/>
          <w:sz w:val="20"/>
        </w:rPr>
      </w:pPr>
    </w:p>
    <w:p>
      <w:pPr>
        <w:pStyle w:val="BodyText"/>
        <w:spacing w:line="261" w:lineRule="auto" w:before="123"/>
        <w:ind w:left="1837" w:right="1719"/>
      </w:pPr>
      <w:r>
        <w:rPr>
          <w:color w:val="231F20"/>
          <w:w w:val="105"/>
        </w:rPr>
        <w:t>rio</w:t>
      </w:r>
      <w:r>
        <w:rPr>
          <w:color w:val="231F20"/>
          <w:spacing w:val="-25"/>
          <w:w w:val="105"/>
        </w:rPr>
        <w:t> </w:t>
      </w:r>
      <w:r>
        <w:rPr>
          <w:color w:val="231F20"/>
          <w:w w:val="105"/>
        </w:rPr>
        <w:t>nacional</w:t>
      </w:r>
      <w:r>
        <w:rPr>
          <w:color w:val="231F20"/>
          <w:spacing w:val="-25"/>
          <w:w w:val="105"/>
        </w:rPr>
        <w:t> </w:t>
      </w:r>
      <w:r>
        <w:rPr>
          <w:color w:val="231F20"/>
          <w:w w:val="105"/>
        </w:rPr>
        <w:t>como</w:t>
      </w:r>
      <w:r>
        <w:rPr>
          <w:color w:val="231F20"/>
          <w:spacing w:val="-25"/>
          <w:w w:val="105"/>
        </w:rPr>
        <w:t> </w:t>
      </w:r>
      <w:r>
        <w:rPr>
          <w:color w:val="231F20"/>
          <w:w w:val="105"/>
        </w:rPr>
        <w:t>los</w:t>
      </w:r>
      <w:r>
        <w:rPr>
          <w:color w:val="231F20"/>
          <w:spacing w:val="-25"/>
          <w:w w:val="105"/>
        </w:rPr>
        <w:t> </w:t>
      </w:r>
      <w:r>
        <w:rPr>
          <w:color w:val="231F20"/>
          <w:w w:val="105"/>
        </w:rPr>
        <w:t>extranjeros.</w:t>
      </w:r>
      <w:r>
        <w:rPr>
          <w:color w:val="231F20"/>
          <w:spacing w:val="-29"/>
          <w:w w:val="105"/>
        </w:rPr>
        <w:t> </w:t>
      </w:r>
      <w:r>
        <w:rPr>
          <w:color w:val="231F20"/>
          <w:w w:val="105"/>
        </w:rPr>
        <w:t>Si</w:t>
      </w:r>
      <w:r>
        <w:rPr>
          <w:color w:val="231F20"/>
          <w:spacing w:val="-25"/>
          <w:w w:val="105"/>
        </w:rPr>
        <w:t> </w:t>
      </w:r>
      <w:r>
        <w:rPr>
          <w:color w:val="231F20"/>
          <w:w w:val="105"/>
        </w:rPr>
        <w:t>bien,</w:t>
      </w:r>
      <w:r>
        <w:rPr>
          <w:color w:val="231F20"/>
          <w:spacing w:val="-29"/>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último</w:t>
      </w:r>
      <w:r>
        <w:rPr>
          <w:color w:val="231F20"/>
          <w:spacing w:val="-25"/>
          <w:w w:val="105"/>
        </w:rPr>
        <w:t> </w:t>
      </w:r>
      <w:r>
        <w:rPr>
          <w:color w:val="231F20"/>
          <w:w w:val="105"/>
        </w:rPr>
        <w:t>caso</w:t>
      </w:r>
      <w:r>
        <w:rPr>
          <w:color w:val="231F20"/>
          <w:spacing w:val="-25"/>
          <w:w w:val="105"/>
        </w:rPr>
        <w:t> </w:t>
      </w:r>
      <w:r>
        <w:rPr>
          <w:color w:val="231F20"/>
          <w:w w:val="105"/>
        </w:rPr>
        <w:t>las</w:t>
      </w:r>
      <w:r>
        <w:rPr>
          <w:color w:val="231F20"/>
          <w:spacing w:val="-25"/>
          <w:w w:val="105"/>
        </w:rPr>
        <w:t> </w:t>
      </w:r>
      <w:r>
        <w:rPr>
          <w:color w:val="231F20"/>
          <w:w w:val="105"/>
        </w:rPr>
        <w:t>acciones</w:t>
      </w:r>
      <w:r>
        <w:rPr>
          <w:color w:val="231F20"/>
          <w:spacing w:val="-25"/>
          <w:w w:val="105"/>
        </w:rPr>
        <w:t> </w:t>
      </w:r>
      <w:r>
        <w:rPr>
          <w:color w:val="231F20"/>
          <w:w w:val="105"/>
        </w:rPr>
        <w:t>a tomar</w:t>
      </w:r>
      <w:r>
        <w:rPr>
          <w:color w:val="231F20"/>
          <w:spacing w:val="-8"/>
          <w:w w:val="105"/>
        </w:rPr>
        <w:t> </w:t>
      </w:r>
      <w:r>
        <w:rPr>
          <w:color w:val="231F20"/>
          <w:w w:val="105"/>
        </w:rPr>
        <w:t>corresponden</w:t>
      </w:r>
      <w:r>
        <w:rPr>
          <w:color w:val="231F20"/>
          <w:spacing w:val="-8"/>
          <w:w w:val="105"/>
        </w:rPr>
        <w:t> </w:t>
      </w:r>
      <w:r>
        <w:rPr>
          <w:color w:val="231F20"/>
          <w:w w:val="105"/>
        </w:rPr>
        <w:t>al</w:t>
      </w:r>
      <w:r>
        <w:rPr>
          <w:color w:val="231F20"/>
          <w:spacing w:val="-8"/>
          <w:w w:val="105"/>
        </w:rPr>
        <w:t> </w:t>
      </w:r>
      <w:r>
        <w:rPr>
          <w:color w:val="231F20"/>
          <w:w w:val="105"/>
        </w:rPr>
        <w:t>Instituto</w:t>
      </w:r>
      <w:r>
        <w:rPr>
          <w:color w:val="231F20"/>
          <w:spacing w:val="-8"/>
          <w:w w:val="105"/>
        </w:rPr>
        <w:t> </w:t>
      </w:r>
      <w:r>
        <w:rPr>
          <w:color w:val="231F20"/>
          <w:w w:val="105"/>
        </w:rPr>
        <w:t>Nacional</w:t>
      </w:r>
      <w:r>
        <w:rPr>
          <w:color w:val="231F20"/>
          <w:spacing w:val="-8"/>
          <w:w w:val="105"/>
        </w:rPr>
        <w:t> </w:t>
      </w:r>
      <w:r>
        <w:rPr>
          <w:color w:val="231F20"/>
          <w:w w:val="105"/>
        </w:rPr>
        <w:t>de</w:t>
      </w:r>
      <w:r>
        <w:rPr>
          <w:color w:val="231F20"/>
          <w:spacing w:val="-8"/>
          <w:w w:val="105"/>
        </w:rPr>
        <w:t> </w:t>
      </w:r>
      <w:r>
        <w:rPr>
          <w:color w:val="231F20"/>
          <w:w w:val="105"/>
        </w:rPr>
        <w:t>Migración.</w:t>
      </w:r>
    </w:p>
    <w:p>
      <w:pPr>
        <w:pStyle w:val="BodyText"/>
        <w:spacing w:line="261" w:lineRule="auto" w:before="1"/>
        <w:ind w:left="1837" w:right="1721" w:firstLine="567"/>
        <w:jc w:val="both"/>
      </w:pPr>
      <w:r>
        <w:rPr>
          <w:color w:val="231F20"/>
          <w:w w:val="105"/>
        </w:rPr>
        <w:t>Siguiendo con las autoras, los menores migrantes irregulares no acompañados necesitan más apoyo gubernamental que cualquier otro grupo de migrantes,</w:t>
      </w:r>
      <w:r>
        <w:rPr>
          <w:color w:val="231F20"/>
          <w:spacing w:val="-41"/>
          <w:w w:val="105"/>
        </w:rPr>
        <w:t> </w:t>
      </w:r>
      <w:r>
        <w:rPr>
          <w:color w:val="231F20"/>
          <w:w w:val="105"/>
        </w:rPr>
        <w:t>ya que no sólo carecen de la seguridad que brinda una</w:t>
      </w:r>
      <w:r>
        <w:rPr>
          <w:color w:val="231F20"/>
          <w:spacing w:val="-26"/>
          <w:w w:val="105"/>
        </w:rPr>
        <w:t> </w:t>
      </w:r>
      <w:r>
        <w:rPr>
          <w:color w:val="231F20"/>
          <w:w w:val="105"/>
        </w:rPr>
        <w:t>situación</w:t>
      </w:r>
      <w:r>
        <w:rPr>
          <w:color w:val="231F20"/>
          <w:spacing w:val="-26"/>
          <w:w w:val="105"/>
        </w:rPr>
        <w:t> </w:t>
      </w:r>
      <w:r>
        <w:rPr>
          <w:color w:val="231F20"/>
          <w:w w:val="105"/>
        </w:rPr>
        <w:t>legal</w:t>
      </w:r>
      <w:r>
        <w:rPr>
          <w:color w:val="231F20"/>
          <w:spacing w:val="-26"/>
          <w:w w:val="105"/>
        </w:rPr>
        <w:t> </w:t>
      </w:r>
      <w:r>
        <w:rPr>
          <w:color w:val="231F20"/>
          <w:w w:val="105"/>
        </w:rPr>
        <w:t>regular,</w:t>
      </w:r>
      <w:r>
        <w:rPr>
          <w:color w:val="231F20"/>
          <w:spacing w:val="-31"/>
          <w:w w:val="105"/>
        </w:rPr>
        <w:t> </w:t>
      </w:r>
      <w:r>
        <w:rPr>
          <w:color w:val="231F20"/>
          <w:w w:val="105"/>
        </w:rPr>
        <w:t>sino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asistencia</w:t>
      </w:r>
      <w:r>
        <w:rPr>
          <w:color w:val="231F20"/>
          <w:spacing w:val="-26"/>
          <w:w w:val="105"/>
        </w:rPr>
        <w:t> </w:t>
      </w:r>
      <w:r>
        <w:rPr>
          <w:color w:val="231F20"/>
          <w:w w:val="105"/>
        </w:rPr>
        <w:t>que</w:t>
      </w:r>
      <w:r>
        <w:rPr>
          <w:color w:val="231F20"/>
          <w:spacing w:val="-26"/>
          <w:w w:val="105"/>
        </w:rPr>
        <w:t> </w:t>
      </w:r>
      <w:r>
        <w:rPr>
          <w:color w:val="231F20"/>
          <w:w w:val="105"/>
        </w:rPr>
        <w:t>precisan</w:t>
      </w:r>
      <w:r>
        <w:rPr>
          <w:color w:val="231F20"/>
          <w:spacing w:val="-26"/>
          <w:w w:val="105"/>
        </w:rPr>
        <w:t> </w:t>
      </w:r>
      <w:r>
        <w:rPr>
          <w:color w:val="231F20"/>
          <w:w w:val="105"/>
        </w:rPr>
        <w:t>por</w:t>
      </w:r>
      <w:r>
        <w:rPr>
          <w:color w:val="231F20"/>
          <w:spacing w:val="-26"/>
          <w:w w:val="105"/>
        </w:rPr>
        <w:t> </w:t>
      </w:r>
      <w:r>
        <w:rPr>
          <w:color w:val="231F20"/>
          <w:w w:val="105"/>
        </w:rPr>
        <w:t>sus</w:t>
      </w:r>
      <w:r>
        <w:rPr>
          <w:color w:val="231F20"/>
          <w:spacing w:val="-26"/>
          <w:w w:val="105"/>
        </w:rPr>
        <w:t> </w:t>
      </w:r>
      <w:r>
        <w:rPr>
          <w:color w:val="231F20"/>
          <w:w w:val="105"/>
        </w:rPr>
        <w:t>pro- pias</w:t>
      </w:r>
      <w:r>
        <w:rPr>
          <w:color w:val="231F20"/>
          <w:spacing w:val="-8"/>
          <w:w w:val="105"/>
        </w:rPr>
        <w:t> </w:t>
      </w:r>
      <w:r>
        <w:rPr>
          <w:color w:val="231F20"/>
          <w:w w:val="105"/>
        </w:rPr>
        <w:t>características</w:t>
      </w:r>
      <w:r>
        <w:rPr>
          <w:color w:val="231F20"/>
          <w:spacing w:val="-8"/>
          <w:w w:val="105"/>
        </w:rPr>
        <w:t> </w:t>
      </w:r>
      <w:r>
        <w:rPr>
          <w:color w:val="231F20"/>
          <w:w w:val="105"/>
        </w:rPr>
        <w:t>físicas</w:t>
      </w:r>
      <w:r>
        <w:rPr>
          <w:color w:val="231F20"/>
          <w:spacing w:val="-8"/>
          <w:w w:val="105"/>
        </w:rPr>
        <w:t> </w:t>
      </w:r>
      <w:r>
        <w:rPr>
          <w:color w:val="231F20"/>
          <w:w w:val="105"/>
        </w:rPr>
        <w:t>y</w:t>
      </w:r>
      <w:r>
        <w:rPr>
          <w:color w:val="231F20"/>
          <w:spacing w:val="-8"/>
          <w:w w:val="105"/>
        </w:rPr>
        <w:t> </w:t>
      </w:r>
      <w:r>
        <w:rPr>
          <w:color w:val="231F20"/>
          <w:w w:val="105"/>
        </w:rPr>
        <w:t>emocionales.</w:t>
      </w:r>
      <w:r>
        <w:rPr>
          <w:color w:val="231F20"/>
          <w:spacing w:val="-13"/>
          <w:w w:val="105"/>
        </w:rPr>
        <w:t> </w:t>
      </w:r>
      <w:r>
        <w:rPr>
          <w:color w:val="231F20"/>
          <w:w w:val="105"/>
        </w:rPr>
        <w:t>De</w:t>
      </w:r>
      <w:r>
        <w:rPr>
          <w:color w:val="231F20"/>
          <w:spacing w:val="-8"/>
          <w:w w:val="105"/>
        </w:rPr>
        <w:t> </w:t>
      </w:r>
      <w:r>
        <w:rPr>
          <w:color w:val="231F20"/>
          <w:w w:val="105"/>
        </w:rPr>
        <w:t>acuerdo</w:t>
      </w:r>
      <w:r>
        <w:rPr>
          <w:color w:val="231F20"/>
          <w:spacing w:val="-8"/>
          <w:w w:val="105"/>
        </w:rPr>
        <w:t> </w:t>
      </w:r>
      <w:r>
        <w:rPr>
          <w:color w:val="231F20"/>
          <w:w w:val="105"/>
        </w:rPr>
        <w:t>con</w:t>
      </w:r>
      <w:r>
        <w:rPr>
          <w:color w:val="231F20"/>
          <w:spacing w:val="-8"/>
          <w:w w:val="105"/>
        </w:rPr>
        <w:t> </w:t>
      </w:r>
      <w:r>
        <w:rPr>
          <w:color w:val="231F20"/>
          <w:w w:val="105"/>
        </w:rPr>
        <w:t>este</w:t>
      </w:r>
      <w:r>
        <w:rPr>
          <w:color w:val="231F20"/>
          <w:spacing w:val="-8"/>
          <w:w w:val="105"/>
        </w:rPr>
        <w:t> </w:t>
      </w:r>
      <w:r>
        <w:rPr>
          <w:color w:val="231F20"/>
          <w:w w:val="105"/>
        </w:rPr>
        <w:t>capítulo desafortunadamente aunque están protegidos por diversos documen- tos,</w:t>
      </w:r>
      <w:r>
        <w:rPr>
          <w:color w:val="231F20"/>
          <w:spacing w:val="-18"/>
          <w:w w:val="105"/>
        </w:rPr>
        <w:t> </w:t>
      </w:r>
      <w:r>
        <w:rPr>
          <w:color w:val="231F20"/>
          <w:w w:val="105"/>
        </w:rPr>
        <w:t>la</w:t>
      </w:r>
      <w:r>
        <w:rPr>
          <w:color w:val="231F20"/>
          <w:spacing w:val="-13"/>
          <w:w w:val="105"/>
        </w:rPr>
        <w:t> </w:t>
      </w:r>
      <w:r>
        <w:rPr>
          <w:color w:val="231F20"/>
          <w:w w:val="105"/>
        </w:rPr>
        <w:t>protección</w:t>
      </w:r>
      <w:r>
        <w:rPr>
          <w:color w:val="231F20"/>
          <w:spacing w:val="-13"/>
          <w:w w:val="105"/>
        </w:rPr>
        <w:t> </w:t>
      </w:r>
      <w:r>
        <w:rPr>
          <w:color w:val="231F20"/>
          <w:w w:val="105"/>
        </w:rPr>
        <w:t>suele</w:t>
      </w:r>
      <w:r>
        <w:rPr>
          <w:color w:val="231F20"/>
          <w:spacing w:val="-13"/>
          <w:w w:val="105"/>
        </w:rPr>
        <w:t> </w:t>
      </w:r>
      <w:r>
        <w:rPr>
          <w:color w:val="231F20"/>
          <w:w w:val="105"/>
        </w:rPr>
        <w:t>darse</w:t>
      </w:r>
      <w:r>
        <w:rPr>
          <w:color w:val="231F20"/>
          <w:spacing w:val="-13"/>
          <w:w w:val="105"/>
        </w:rPr>
        <w:t> </w:t>
      </w:r>
      <w:r>
        <w:rPr>
          <w:color w:val="231F20"/>
          <w:w w:val="105"/>
        </w:rPr>
        <w:t>sólo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papel.</w:t>
      </w:r>
    </w:p>
    <w:p>
      <w:pPr>
        <w:pStyle w:val="BodyText"/>
        <w:spacing w:line="261" w:lineRule="auto" w:before="1"/>
        <w:ind w:left="1837" w:right="1721" w:firstLine="567"/>
        <w:jc w:val="both"/>
      </w:pPr>
      <w:r>
        <w:rPr>
          <w:color w:val="231F20"/>
          <w:w w:val="105"/>
        </w:rPr>
        <w:t>El</w:t>
      </w:r>
      <w:r>
        <w:rPr>
          <w:color w:val="231F20"/>
          <w:spacing w:val="-18"/>
          <w:w w:val="105"/>
        </w:rPr>
        <w:t> </w:t>
      </w:r>
      <w:r>
        <w:rPr>
          <w:color w:val="231F20"/>
          <w:w w:val="105"/>
        </w:rPr>
        <w:t>capítulo</w:t>
      </w:r>
      <w:r>
        <w:rPr>
          <w:color w:val="231F20"/>
          <w:spacing w:val="-18"/>
          <w:w w:val="105"/>
        </w:rPr>
        <w:t> </w:t>
      </w:r>
      <w:r>
        <w:rPr>
          <w:color w:val="231F20"/>
          <w:w w:val="105"/>
        </w:rPr>
        <w:t>cuarto,</w:t>
      </w:r>
      <w:r>
        <w:rPr>
          <w:color w:val="231F20"/>
          <w:spacing w:val="-23"/>
          <w:w w:val="105"/>
        </w:rPr>
        <w:t> </w:t>
      </w:r>
      <w:r>
        <w:rPr>
          <w:color w:val="231F20"/>
          <w:w w:val="105"/>
        </w:rPr>
        <w:t>“Imaginarios</w:t>
      </w:r>
      <w:r>
        <w:rPr>
          <w:color w:val="231F20"/>
          <w:spacing w:val="-18"/>
          <w:w w:val="105"/>
        </w:rPr>
        <w:t> </w:t>
      </w:r>
      <w:r>
        <w:rPr>
          <w:color w:val="231F20"/>
          <w:w w:val="105"/>
        </w:rPr>
        <w:t>a</w:t>
      </w:r>
      <w:r>
        <w:rPr>
          <w:color w:val="231F20"/>
          <w:spacing w:val="-18"/>
          <w:w w:val="105"/>
        </w:rPr>
        <w:t> </w:t>
      </w:r>
      <w:r>
        <w:rPr>
          <w:color w:val="231F20"/>
          <w:w w:val="105"/>
        </w:rPr>
        <w:t>futuro</w:t>
      </w:r>
      <w:r>
        <w:rPr>
          <w:color w:val="231F20"/>
          <w:spacing w:val="-18"/>
          <w:w w:val="105"/>
        </w:rPr>
        <w:t> </w:t>
      </w:r>
      <w:r>
        <w:rPr>
          <w:color w:val="231F20"/>
          <w:w w:val="105"/>
        </w:rPr>
        <w:t>de</w:t>
      </w:r>
      <w:r>
        <w:rPr>
          <w:color w:val="231F20"/>
          <w:spacing w:val="-18"/>
          <w:w w:val="105"/>
        </w:rPr>
        <w:t> </w:t>
      </w:r>
      <w:r>
        <w:rPr>
          <w:color w:val="231F20"/>
          <w:w w:val="105"/>
        </w:rPr>
        <w:t>niños</w:t>
      </w:r>
      <w:r>
        <w:rPr>
          <w:color w:val="231F20"/>
          <w:spacing w:val="-18"/>
          <w:w w:val="105"/>
        </w:rPr>
        <w:t> </w:t>
      </w:r>
      <w:r>
        <w:rPr>
          <w:color w:val="231F20"/>
          <w:w w:val="105"/>
        </w:rPr>
        <w:t>jornaleros</w:t>
      </w:r>
      <w:r>
        <w:rPr>
          <w:color w:val="231F20"/>
          <w:spacing w:val="-18"/>
          <w:w w:val="105"/>
        </w:rPr>
        <w:t> </w:t>
      </w:r>
      <w:r>
        <w:rPr>
          <w:color w:val="231F20"/>
          <w:w w:val="105"/>
        </w:rPr>
        <w:t>de</w:t>
      </w:r>
      <w:r>
        <w:rPr>
          <w:color w:val="231F20"/>
          <w:spacing w:val="-22"/>
          <w:w w:val="105"/>
        </w:rPr>
        <w:t> </w:t>
      </w:r>
      <w:r>
        <w:rPr>
          <w:color w:val="231F20"/>
          <w:w w:val="105"/>
        </w:rPr>
        <w:t>Villa Guerrero”</w:t>
      </w:r>
      <w:r>
        <w:rPr>
          <w:rFonts w:ascii="Arial" w:hAnsi="Arial"/>
          <w:i/>
          <w:color w:val="231F20"/>
          <w:w w:val="105"/>
        </w:rPr>
        <w:t>,</w:t>
      </w:r>
      <w:r>
        <w:rPr>
          <w:rFonts w:ascii="Arial" w:hAnsi="Arial"/>
          <w:i/>
          <w:color w:val="231F20"/>
          <w:spacing w:val="-33"/>
          <w:w w:val="105"/>
        </w:rPr>
        <w:t> </w:t>
      </w:r>
      <w:r>
        <w:rPr>
          <w:color w:val="231F20"/>
          <w:w w:val="105"/>
        </w:rPr>
        <w:t>escrito</w:t>
      </w:r>
      <w:r>
        <w:rPr>
          <w:color w:val="231F20"/>
          <w:spacing w:val="-25"/>
          <w:w w:val="105"/>
        </w:rPr>
        <w:t> </w:t>
      </w:r>
      <w:r>
        <w:rPr>
          <w:color w:val="231F20"/>
          <w:w w:val="105"/>
        </w:rPr>
        <w:t>por</w:t>
      </w:r>
      <w:r>
        <w:rPr>
          <w:color w:val="231F20"/>
          <w:spacing w:val="-25"/>
          <w:w w:val="105"/>
        </w:rPr>
        <w:t> </w:t>
      </w:r>
      <w:r>
        <w:rPr>
          <w:color w:val="231F20"/>
          <w:w w:val="105"/>
        </w:rPr>
        <w:t>Saraí</w:t>
      </w:r>
      <w:r>
        <w:rPr>
          <w:color w:val="231F20"/>
          <w:spacing w:val="-25"/>
          <w:w w:val="105"/>
        </w:rPr>
        <w:t> </w:t>
      </w:r>
      <w:r>
        <w:rPr>
          <w:color w:val="231F20"/>
          <w:w w:val="105"/>
        </w:rPr>
        <w:t>Miranda</w:t>
      </w:r>
      <w:r>
        <w:rPr>
          <w:color w:val="231F20"/>
          <w:spacing w:val="-27"/>
          <w:w w:val="105"/>
        </w:rPr>
        <w:t> </w:t>
      </w:r>
      <w:r>
        <w:rPr>
          <w:color w:val="231F20"/>
          <w:w w:val="105"/>
        </w:rPr>
        <w:t>Juárez,</w:t>
      </w:r>
      <w:r>
        <w:rPr>
          <w:color w:val="231F20"/>
          <w:spacing w:val="-30"/>
          <w:w w:val="105"/>
        </w:rPr>
        <w:t> </w:t>
      </w:r>
      <w:r>
        <w:rPr>
          <w:color w:val="231F20"/>
          <w:w w:val="105"/>
        </w:rPr>
        <w:t>da</w:t>
      </w:r>
      <w:r>
        <w:rPr>
          <w:color w:val="231F20"/>
          <w:spacing w:val="-25"/>
          <w:w w:val="105"/>
        </w:rPr>
        <w:t> </w:t>
      </w:r>
      <w:r>
        <w:rPr>
          <w:color w:val="231F20"/>
          <w:w w:val="105"/>
        </w:rPr>
        <w:t>cuenta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presencia</w:t>
      </w:r>
      <w:r>
        <w:rPr>
          <w:color w:val="231F20"/>
          <w:spacing w:val="-25"/>
          <w:w w:val="105"/>
        </w:rPr>
        <w:t> </w:t>
      </w:r>
      <w:r>
        <w:rPr>
          <w:color w:val="231F20"/>
          <w:w w:val="105"/>
        </w:rPr>
        <w:t>de la</w:t>
      </w:r>
      <w:r>
        <w:rPr>
          <w:color w:val="231F20"/>
          <w:spacing w:val="-23"/>
          <w:w w:val="105"/>
        </w:rPr>
        <w:t> </w:t>
      </w:r>
      <w:r>
        <w:rPr>
          <w:color w:val="231F20"/>
          <w:w w:val="105"/>
        </w:rPr>
        <w:t>migración</w:t>
      </w:r>
      <w:r>
        <w:rPr>
          <w:color w:val="231F20"/>
          <w:spacing w:val="-23"/>
          <w:w w:val="105"/>
        </w:rPr>
        <w:t> </w:t>
      </w:r>
      <w:r>
        <w:rPr>
          <w:color w:val="231F20"/>
          <w:w w:val="105"/>
        </w:rPr>
        <w:t>hacia</w:t>
      </w:r>
      <w:r>
        <w:rPr>
          <w:color w:val="231F20"/>
          <w:spacing w:val="-23"/>
          <w:w w:val="105"/>
        </w:rPr>
        <w:t> </w:t>
      </w:r>
      <w:r>
        <w:rPr>
          <w:color w:val="231F20"/>
          <w:w w:val="105"/>
        </w:rPr>
        <w:t>Estados</w:t>
      </w:r>
      <w:r>
        <w:rPr>
          <w:color w:val="231F20"/>
          <w:spacing w:val="-23"/>
          <w:w w:val="105"/>
        </w:rPr>
        <w:t> </w:t>
      </w:r>
      <w:r>
        <w:rPr>
          <w:color w:val="231F20"/>
          <w:w w:val="105"/>
        </w:rPr>
        <w:t>Unidos</w:t>
      </w:r>
      <w:r>
        <w:rPr>
          <w:color w:val="231F20"/>
          <w:spacing w:val="-23"/>
          <w:w w:val="105"/>
        </w:rPr>
        <w:t> </w:t>
      </w:r>
      <w:r>
        <w:rPr>
          <w:color w:val="231F20"/>
          <w:w w:val="105"/>
        </w:rPr>
        <w:t>como</w:t>
      </w:r>
      <w:r>
        <w:rPr>
          <w:color w:val="231F20"/>
          <w:spacing w:val="-23"/>
          <w:w w:val="105"/>
        </w:rPr>
        <w:t> </w:t>
      </w:r>
      <w:r>
        <w:rPr>
          <w:color w:val="231F20"/>
          <w:w w:val="105"/>
        </w:rPr>
        <w:t>una</w:t>
      </w:r>
      <w:r>
        <w:rPr>
          <w:color w:val="231F20"/>
          <w:spacing w:val="-23"/>
          <w:w w:val="105"/>
        </w:rPr>
        <w:t> </w:t>
      </w:r>
      <w:r>
        <w:rPr>
          <w:color w:val="231F20"/>
          <w:w w:val="105"/>
        </w:rPr>
        <w:t>opción</w:t>
      </w:r>
      <w:r>
        <w:rPr>
          <w:color w:val="231F20"/>
          <w:spacing w:val="-23"/>
          <w:w w:val="105"/>
        </w:rPr>
        <w:t> </w:t>
      </w:r>
      <w:r>
        <w:rPr>
          <w:color w:val="231F20"/>
          <w:w w:val="105"/>
        </w:rPr>
        <w:t>a</w:t>
      </w:r>
      <w:r>
        <w:rPr>
          <w:color w:val="231F20"/>
          <w:spacing w:val="-23"/>
          <w:w w:val="105"/>
        </w:rPr>
        <w:t> </w:t>
      </w:r>
      <w:r>
        <w:rPr>
          <w:color w:val="231F20"/>
          <w:w w:val="105"/>
        </w:rPr>
        <w:t>futuro</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discur- so</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imaginario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niños</w:t>
      </w:r>
      <w:r>
        <w:rPr>
          <w:color w:val="231F20"/>
          <w:spacing w:val="-17"/>
          <w:w w:val="105"/>
        </w:rPr>
        <w:t> </w:t>
      </w:r>
      <w:r>
        <w:rPr>
          <w:color w:val="231F20"/>
          <w:w w:val="105"/>
        </w:rPr>
        <w:t>y</w:t>
      </w:r>
      <w:r>
        <w:rPr>
          <w:color w:val="231F20"/>
          <w:spacing w:val="-17"/>
          <w:w w:val="105"/>
        </w:rPr>
        <w:t> </w:t>
      </w:r>
      <w:r>
        <w:rPr>
          <w:color w:val="231F20"/>
          <w:w w:val="105"/>
        </w:rPr>
        <w:t>adolescentes</w:t>
      </w:r>
      <w:r>
        <w:rPr>
          <w:color w:val="231F20"/>
          <w:spacing w:val="-17"/>
          <w:w w:val="105"/>
        </w:rPr>
        <w:t> </w:t>
      </w:r>
      <w:r>
        <w:rPr>
          <w:color w:val="231F20"/>
          <w:w w:val="105"/>
        </w:rPr>
        <w:t>jornaleros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floricultura en</w:t>
      </w:r>
      <w:r>
        <w:rPr>
          <w:color w:val="231F20"/>
          <w:spacing w:val="-21"/>
          <w:w w:val="105"/>
        </w:rPr>
        <w:t> </w:t>
      </w:r>
      <w:r>
        <w:rPr>
          <w:color w:val="231F20"/>
          <w:w w:val="105"/>
        </w:rPr>
        <w:t>el</w:t>
      </w:r>
      <w:r>
        <w:rPr>
          <w:color w:val="231F20"/>
          <w:spacing w:val="-21"/>
          <w:w w:val="105"/>
        </w:rPr>
        <w:t> </w:t>
      </w:r>
      <w:r>
        <w:rPr>
          <w:color w:val="231F20"/>
          <w:w w:val="105"/>
        </w:rPr>
        <w:t>municipio</w:t>
      </w:r>
      <w:r>
        <w:rPr>
          <w:color w:val="231F20"/>
          <w:spacing w:val="-21"/>
          <w:w w:val="105"/>
        </w:rPr>
        <w:t> </w:t>
      </w:r>
      <w:r>
        <w:rPr>
          <w:color w:val="231F20"/>
          <w:w w:val="105"/>
        </w:rPr>
        <w:t>de</w:t>
      </w:r>
      <w:r>
        <w:rPr>
          <w:color w:val="231F20"/>
          <w:spacing w:val="-25"/>
          <w:w w:val="105"/>
        </w:rPr>
        <w:t> </w:t>
      </w:r>
      <w:r>
        <w:rPr>
          <w:color w:val="231F20"/>
          <w:w w:val="105"/>
        </w:rPr>
        <w:t>Villa</w:t>
      </w:r>
      <w:r>
        <w:rPr>
          <w:color w:val="231F20"/>
          <w:spacing w:val="-21"/>
          <w:w w:val="105"/>
        </w:rPr>
        <w:t> </w:t>
      </w:r>
      <w:r>
        <w:rPr>
          <w:color w:val="231F20"/>
          <w:w w:val="105"/>
        </w:rPr>
        <w:t>Guerrero,</w:t>
      </w:r>
      <w:r>
        <w:rPr>
          <w:color w:val="231F20"/>
          <w:spacing w:val="-27"/>
          <w:w w:val="105"/>
        </w:rPr>
        <w:t> </w:t>
      </w:r>
      <w:r>
        <w:rPr>
          <w:color w:val="231F20"/>
          <w:w w:val="105"/>
        </w:rPr>
        <w:t>Estado</w:t>
      </w:r>
      <w:r>
        <w:rPr>
          <w:color w:val="231F20"/>
          <w:spacing w:val="-21"/>
          <w:w w:val="105"/>
        </w:rPr>
        <w:t> </w:t>
      </w:r>
      <w:r>
        <w:rPr>
          <w:color w:val="231F20"/>
          <w:w w:val="105"/>
        </w:rPr>
        <w:t>de</w:t>
      </w:r>
      <w:r>
        <w:rPr>
          <w:color w:val="231F20"/>
          <w:spacing w:val="-21"/>
          <w:w w:val="105"/>
        </w:rPr>
        <w:t> </w:t>
      </w:r>
      <w:r>
        <w:rPr>
          <w:color w:val="231F20"/>
          <w:w w:val="105"/>
        </w:rPr>
        <w:t>México.</w:t>
      </w:r>
      <w:r>
        <w:rPr>
          <w:color w:val="231F20"/>
          <w:spacing w:val="-27"/>
          <w:w w:val="105"/>
        </w:rPr>
        <w:t> </w:t>
      </w:r>
      <w:r>
        <w:rPr>
          <w:color w:val="231F20"/>
          <w:w w:val="105"/>
        </w:rPr>
        <w:t>Se</w:t>
      </w:r>
      <w:r>
        <w:rPr>
          <w:color w:val="231F20"/>
          <w:spacing w:val="-21"/>
          <w:w w:val="105"/>
        </w:rPr>
        <w:t> </w:t>
      </w:r>
      <w:r>
        <w:rPr>
          <w:color w:val="231F20"/>
          <w:w w:val="105"/>
        </w:rPr>
        <w:t>aborda</w:t>
      </w:r>
      <w:r>
        <w:rPr>
          <w:color w:val="231F20"/>
          <w:spacing w:val="-21"/>
          <w:w w:val="105"/>
        </w:rPr>
        <w:t> </w:t>
      </w:r>
      <w:r>
        <w:rPr>
          <w:color w:val="231F20"/>
          <w:w w:val="105"/>
        </w:rPr>
        <w:t>la</w:t>
      </w:r>
      <w:r>
        <w:rPr>
          <w:color w:val="231F20"/>
          <w:spacing w:val="-21"/>
          <w:w w:val="105"/>
        </w:rPr>
        <w:t> </w:t>
      </w:r>
      <w:r>
        <w:rPr>
          <w:color w:val="231F20"/>
          <w:w w:val="105"/>
        </w:rPr>
        <w:t>proble- mática</w:t>
      </w:r>
      <w:r>
        <w:rPr>
          <w:color w:val="231F20"/>
          <w:spacing w:val="-8"/>
          <w:w w:val="105"/>
        </w:rPr>
        <w:t> </w:t>
      </w:r>
      <w:r>
        <w:rPr>
          <w:color w:val="231F20"/>
          <w:w w:val="105"/>
        </w:rPr>
        <w:t>desde</w:t>
      </w:r>
      <w:r>
        <w:rPr>
          <w:color w:val="231F20"/>
          <w:spacing w:val="-8"/>
          <w:w w:val="105"/>
        </w:rPr>
        <w:t> </w:t>
      </w:r>
      <w:r>
        <w:rPr>
          <w:color w:val="231F20"/>
          <w:w w:val="105"/>
        </w:rPr>
        <w:t>la</w:t>
      </w:r>
      <w:r>
        <w:rPr>
          <w:color w:val="231F20"/>
          <w:spacing w:val="-8"/>
          <w:w w:val="105"/>
        </w:rPr>
        <w:t> </w:t>
      </w:r>
      <w:r>
        <w:rPr>
          <w:color w:val="231F20"/>
          <w:w w:val="105"/>
        </w:rPr>
        <w:t>noción</w:t>
      </w:r>
      <w:r>
        <w:rPr>
          <w:color w:val="231F20"/>
          <w:spacing w:val="-8"/>
          <w:w w:val="105"/>
        </w:rPr>
        <w:t> </w:t>
      </w:r>
      <w:r>
        <w:rPr>
          <w:color w:val="231F20"/>
          <w:w w:val="105"/>
        </w:rPr>
        <w:t>de</w:t>
      </w:r>
      <w:r>
        <w:rPr>
          <w:color w:val="231F20"/>
          <w:spacing w:val="-8"/>
          <w:w w:val="105"/>
        </w:rPr>
        <w:t> </w:t>
      </w:r>
      <w:r>
        <w:rPr>
          <w:rFonts w:ascii="Arial" w:hAnsi="Arial"/>
          <w:i/>
          <w:color w:val="231F20"/>
          <w:w w:val="105"/>
        </w:rPr>
        <w:t>habitus</w:t>
      </w:r>
      <w:r>
        <w:rPr>
          <w:color w:val="231F20"/>
          <w:w w:val="105"/>
        </w:rPr>
        <w:t>,</w:t>
      </w:r>
      <w:r>
        <w:rPr>
          <w:color w:val="231F20"/>
          <w:spacing w:val="-14"/>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análisis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apropiación</w:t>
      </w:r>
      <w:r>
        <w:rPr>
          <w:color w:val="231F20"/>
          <w:spacing w:val="-8"/>
          <w:w w:val="105"/>
        </w:rPr>
        <w:t> </w:t>
      </w:r>
      <w:r>
        <w:rPr>
          <w:color w:val="231F20"/>
          <w:w w:val="105"/>
        </w:rPr>
        <w:t>del discurso adulto en el imaginario sobre migración y trabajo en los niños jornaleros, abriendo así nuevos campos de investigación y acción para explorar</w:t>
      </w:r>
      <w:r>
        <w:rPr>
          <w:color w:val="231F20"/>
          <w:spacing w:val="-4"/>
          <w:w w:val="105"/>
        </w:rPr>
        <w:t> </w:t>
      </w:r>
      <w:r>
        <w:rPr>
          <w:color w:val="231F20"/>
          <w:w w:val="105"/>
        </w:rPr>
        <w:t>y</w:t>
      </w:r>
      <w:r>
        <w:rPr>
          <w:color w:val="231F20"/>
          <w:spacing w:val="-4"/>
          <w:w w:val="105"/>
        </w:rPr>
        <w:t> </w:t>
      </w:r>
      <w:r>
        <w:rPr>
          <w:color w:val="231F20"/>
          <w:w w:val="105"/>
        </w:rPr>
        <w:t>dar</w:t>
      </w:r>
      <w:r>
        <w:rPr>
          <w:color w:val="231F20"/>
          <w:spacing w:val="-4"/>
          <w:w w:val="105"/>
        </w:rPr>
        <w:t> </w:t>
      </w:r>
      <w:r>
        <w:rPr>
          <w:color w:val="231F20"/>
          <w:w w:val="105"/>
        </w:rPr>
        <w:t>mayor</w:t>
      </w:r>
      <w:r>
        <w:rPr>
          <w:color w:val="231F20"/>
          <w:spacing w:val="-4"/>
          <w:w w:val="105"/>
        </w:rPr>
        <w:t> </w:t>
      </w:r>
      <w:r>
        <w:rPr>
          <w:color w:val="231F20"/>
          <w:w w:val="105"/>
        </w:rPr>
        <w:t>relevancia</w:t>
      </w:r>
      <w:r>
        <w:rPr>
          <w:color w:val="231F20"/>
          <w:spacing w:val="-4"/>
          <w:w w:val="105"/>
        </w:rPr>
        <w:t> </w:t>
      </w:r>
      <w:r>
        <w:rPr>
          <w:color w:val="231F20"/>
          <w:w w:val="105"/>
        </w:rPr>
        <w:t>a</w:t>
      </w:r>
      <w:r>
        <w:rPr>
          <w:color w:val="231F20"/>
          <w:spacing w:val="-4"/>
          <w:w w:val="105"/>
        </w:rPr>
        <w:t> </w:t>
      </w:r>
      <w:r>
        <w:rPr>
          <w:color w:val="231F20"/>
          <w:w w:val="105"/>
        </w:rPr>
        <w:t>las</w:t>
      </w:r>
      <w:r>
        <w:rPr>
          <w:color w:val="231F20"/>
          <w:spacing w:val="-4"/>
          <w:w w:val="105"/>
        </w:rPr>
        <w:t> </w:t>
      </w:r>
      <w:r>
        <w:rPr>
          <w:color w:val="231F20"/>
          <w:w w:val="105"/>
        </w:rPr>
        <w:t>políticas</w:t>
      </w:r>
      <w:r>
        <w:rPr>
          <w:color w:val="231F20"/>
          <w:spacing w:val="-4"/>
          <w:w w:val="105"/>
        </w:rPr>
        <w:t> </w:t>
      </w:r>
      <w:r>
        <w:rPr>
          <w:color w:val="231F20"/>
          <w:w w:val="105"/>
        </w:rPr>
        <w:t>de</w:t>
      </w:r>
      <w:r>
        <w:rPr>
          <w:color w:val="231F20"/>
          <w:spacing w:val="-4"/>
          <w:w w:val="105"/>
        </w:rPr>
        <w:t> </w:t>
      </w:r>
      <w:r>
        <w:rPr>
          <w:color w:val="231F20"/>
          <w:w w:val="105"/>
        </w:rPr>
        <w:t>infancia</w:t>
      </w:r>
      <w:r>
        <w:rPr>
          <w:color w:val="231F20"/>
          <w:spacing w:val="-4"/>
          <w:w w:val="105"/>
        </w:rPr>
        <w:t> </w:t>
      </w:r>
      <w:r>
        <w:rPr>
          <w:color w:val="231F20"/>
          <w:w w:val="105"/>
        </w:rPr>
        <w:t>y</w:t>
      </w:r>
      <w:r>
        <w:rPr>
          <w:color w:val="231F20"/>
          <w:spacing w:val="-4"/>
          <w:w w:val="105"/>
        </w:rPr>
        <w:t> </w:t>
      </w:r>
      <w:r>
        <w:rPr>
          <w:color w:val="231F20"/>
          <w:w w:val="105"/>
        </w:rPr>
        <w:t>juventud</w:t>
      </w:r>
      <w:r>
        <w:rPr>
          <w:color w:val="231F20"/>
          <w:spacing w:val="-4"/>
          <w:w w:val="105"/>
        </w:rPr>
        <w:t> </w:t>
      </w:r>
      <w:r>
        <w:rPr>
          <w:color w:val="231F20"/>
          <w:w w:val="105"/>
        </w:rPr>
        <w:t>en el México</w:t>
      </w:r>
      <w:r>
        <w:rPr>
          <w:color w:val="231F20"/>
          <w:spacing w:val="-36"/>
          <w:w w:val="105"/>
        </w:rPr>
        <w:t> </w:t>
      </w:r>
      <w:r>
        <w:rPr>
          <w:color w:val="231F20"/>
          <w:w w:val="105"/>
        </w:rPr>
        <w:t>rural.</w:t>
      </w:r>
    </w:p>
    <w:p>
      <w:pPr>
        <w:pStyle w:val="BodyText"/>
        <w:spacing w:line="261" w:lineRule="auto" w:before="1"/>
        <w:ind w:left="1837" w:right="1718" w:firstLine="567"/>
        <w:jc w:val="both"/>
      </w:pPr>
      <w:r>
        <w:rPr>
          <w:color w:val="231F20"/>
          <w:w w:val="105"/>
        </w:rPr>
        <w:t>En </w:t>
      </w:r>
      <w:r>
        <w:rPr>
          <w:color w:val="231F20"/>
          <w:spacing w:val="-3"/>
          <w:w w:val="105"/>
        </w:rPr>
        <w:t>palabras </w:t>
      </w:r>
      <w:r>
        <w:rPr>
          <w:color w:val="231F20"/>
          <w:w w:val="105"/>
        </w:rPr>
        <w:t>de la </w:t>
      </w:r>
      <w:r>
        <w:rPr>
          <w:color w:val="231F20"/>
          <w:spacing w:val="-3"/>
          <w:w w:val="105"/>
        </w:rPr>
        <w:t>autora, </w:t>
      </w:r>
      <w:r>
        <w:rPr>
          <w:color w:val="231F20"/>
          <w:w w:val="105"/>
        </w:rPr>
        <w:t>el </w:t>
      </w:r>
      <w:r>
        <w:rPr>
          <w:color w:val="231F20"/>
          <w:spacing w:val="-3"/>
          <w:w w:val="105"/>
        </w:rPr>
        <w:t>imaginario social </w:t>
      </w:r>
      <w:r>
        <w:rPr>
          <w:color w:val="231F20"/>
          <w:w w:val="105"/>
        </w:rPr>
        <w:t>que </w:t>
      </w:r>
      <w:r>
        <w:rPr>
          <w:color w:val="231F20"/>
          <w:spacing w:val="-3"/>
          <w:w w:val="105"/>
        </w:rPr>
        <w:t>adoptan </w:t>
      </w:r>
      <w:r>
        <w:rPr>
          <w:color w:val="231F20"/>
          <w:w w:val="105"/>
        </w:rPr>
        <w:t>los ni- ños</w:t>
      </w:r>
      <w:r>
        <w:rPr>
          <w:color w:val="231F20"/>
          <w:spacing w:val="-20"/>
          <w:w w:val="105"/>
        </w:rPr>
        <w:t> </w:t>
      </w:r>
      <w:r>
        <w:rPr>
          <w:color w:val="231F20"/>
          <w:w w:val="105"/>
        </w:rPr>
        <w:t>de</w:t>
      </w:r>
      <w:r>
        <w:rPr>
          <w:color w:val="231F20"/>
          <w:spacing w:val="-20"/>
          <w:w w:val="105"/>
        </w:rPr>
        <w:t> </w:t>
      </w:r>
      <w:r>
        <w:rPr>
          <w:color w:val="231F20"/>
          <w:spacing w:val="-3"/>
          <w:w w:val="105"/>
        </w:rPr>
        <w:t>este</w:t>
      </w:r>
      <w:r>
        <w:rPr>
          <w:color w:val="231F20"/>
          <w:spacing w:val="-20"/>
          <w:w w:val="105"/>
        </w:rPr>
        <w:t> </w:t>
      </w:r>
      <w:r>
        <w:rPr>
          <w:color w:val="231F20"/>
          <w:spacing w:val="-3"/>
          <w:w w:val="105"/>
        </w:rPr>
        <w:t>municipio,</w:t>
      </w:r>
      <w:r>
        <w:rPr>
          <w:color w:val="231F20"/>
          <w:spacing w:val="-26"/>
          <w:w w:val="105"/>
        </w:rPr>
        <w:t> </w:t>
      </w:r>
      <w:r>
        <w:rPr>
          <w:color w:val="231F20"/>
          <w:spacing w:val="-3"/>
          <w:w w:val="105"/>
        </w:rPr>
        <w:t>frente</w:t>
      </w:r>
      <w:r>
        <w:rPr>
          <w:color w:val="231F20"/>
          <w:spacing w:val="-20"/>
          <w:w w:val="105"/>
        </w:rPr>
        <w:t> </w:t>
      </w:r>
      <w:r>
        <w:rPr>
          <w:color w:val="231F20"/>
          <w:w w:val="105"/>
        </w:rPr>
        <w:t>al</w:t>
      </w:r>
      <w:r>
        <w:rPr>
          <w:color w:val="231F20"/>
          <w:spacing w:val="-20"/>
          <w:w w:val="105"/>
        </w:rPr>
        <w:t> </w:t>
      </w:r>
      <w:r>
        <w:rPr>
          <w:color w:val="231F20"/>
          <w:spacing w:val="-3"/>
          <w:w w:val="105"/>
        </w:rPr>
        <w:t>trabajo</w:t>
      </w:r>
      <w:r>
        <w:rPr>
          <w:color w:val="231F20"/>
          <w:spacing w:val="-20"/>
          <w:w w:val="105"/>
        </w:rPr>
        <w:t> </w:t>
      </w:r>
      <w:r>
        <w:rPr>
          <w:color w:val="231F20"/>
          <w:spacing w:val="-3"/>
          <w:w w:val="105"/>
        </w:rPr>
        <w:t>infantil</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spacing w:val="-3"/>
          <w:w w:val="105"/>
        </w:rPr>
        <w:t>migración</w:t>
      </w:r>
      <w:r>
        <w:rPr>
          <w:color w:val="231F20"/>
          <w:spacing w:val="-20"/>
          <w:w w:val="105"/>
        </w:rPr>
        <w:t> </w:t>
      </w:r>
      <w:r>
        <w:rPr>
          <w:color w:val="231F20"/>
          <w:spacing w:val="-3"/>
          <w:w w:val="105"/>
        </w:rPr>
        <w:t>internacional, constituye </w:t>
      </w:r>
      <w:r>
        <w:rPr>
          <w:color w:val="231F20"/>
          <w:w w:val="105"/>
        </w:rPr>
        <w:t>un </w:t>
      </w:r>
      <w:r>
        <w:rPr>
          <w:color w:val="231F20"/>
          <w:spacing w:val="-3"/>
          <w:w w:val="105"/>
        </w:rPr>
        <w:t>campo </w:t>
      </w:r>
      <w:r>
        <w:rPr>
          <w:color w:val="231F20"/>
          <w:w w:val="105"/>
        </w:rPr>
        <w:t>de </w:t>
      </w:r>
      <w:r>
        <w:rPr>
          <w:color w:val="231F20"/>
          <w:spacing w:val="-3"/>
          <w:w w:val="105"/>
        </w:rPr>
        <w:t>acción hasta ahora desatendido </w:t>
      </w:r>
      <w:r>
        <w:rPr>
          <w:color w:val="231F20"/>
          <w:w w:val="105"/>
        </w:rPr>
        <w:t>de las </w:t>
      </w:r>
      <w:r>
        <w:rPr>
          <w:color w:val="231F20"/>
          <w:spacing w:val="-3"/>
          <w:w w:val="105"/>
        </w:rPr>
        <w:t>políticas públicas</w:t>
      </w:r>
      <w:r>
        <w:rPr>
          <w:color w:val="231F20"/>
          <w:spacing w:val="-18"/>
          <w:w w:val="105"/>
        </w:rPr>
        <w:t> </w:t>
      </w:r>
      <w:r>
        <w:rPr>
          <w:color w:val="231F20"/>
          <w:spacing w:val="-3"/>
          <w:w w:val="105"/>
        </w:rPr>
        <w:t>enfocadas</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spacing w:val="-3"/>
          <w:w w:val="105"/>
        </w:rPr>
        <w:t>pequeños</w:t>
      </w:r>
      <w:r>
        <w:rPr>
          <w:color w:val="231F20"/>
          <w:spacing w:val="-18"/>
          <w:w w:val="105"/>
        </w:rPr>
        <w:t> </w:t>
      </w:r>
      <w:r>
        <w:rPr>
          <w:color w:val="231F20"/>
          <w:spacing w:val="-4"/>
          <w:w w:val="105"/>
        </w:rPr>
        <w:t>productores</w:t>
      </w:r>
      <w:r>
        <w:rPr>
          <w:color w:val="231F20"/>
          <w:spacing w:val="-18"/>
          <w:w w:val="105"/>
        </w:rPr>
        <w:t> </w:t>
      </w:r>
      <w:r>
        <w:rPr>
          <w:color w:val="231F20"/>
          <w:w w:val="105"/>
        </w:rPr>
        <w:t>del</w:t>
      </w:r>
      <w:r>
        <w:rPr>
          <w:color w:val="231F20"/>
          <w:spacing w:val="-18"/>
          <w:w w:val="105"/>
        </w:rPr>
        <w:t> </w:t>
      </w:r>
      <w:r>
        <w:rPr>
          <w:color w:val="231F20"/>
          <w:spacing w:val="-3"/>
          <w:w w:val="105"/>
        </w:rPr>
        <w:t>campo</w:t>
      </w:r>
      <w:r>
        <w:rPr>
          <w:color w:val="231F20"/>
          <w:spacing w:val="-18"/>
          <w:w w:val="105"/>
        </w:rPr>
        <w:t> </w:t>
      </w:r>
      <w:r>
        <w:rPr>
          <w:color w:val="231F20"/>
          <w:spacing w:val="-3"/>
          <w:w w:val="105"/>
        </w:rPr>
        <w:t>mexicano.</w:t>
      </w:r>
      <w:r>
        <w:rPr>
          <w:color w:val="231F20"/>
          <w:spacing w:val="-24"/>
          <w:w w:val="105"/>
        </w:rPr>
        <w:t> </w:t>
      </w:r>
      <w:r>
        <w:rPr>
          <w:color w:val="231F20"/>
          <w:spacing w:val="-4"/>
          <w:w w:val="105"/>
        </w:rPr>
        <w:t>Los </w:t>
      </w:r>
      <w:r>
        <w:rPr>
          <w:color w:val="231F20"/>
          <w:spacing w:val="-3"/>
          <w:w w:val="105"/>
        </w:rPr>
        <w:t>fenómenos</w:t>
      </w:r>
      <w:r>
        <w:rPr>
          <w:color w:val="231F20"/>
          <w:spacing w:val="-20"/>
          <w:w w:val="105"/>
        </w:rPr>
        <w:t> </w:t>
      </w:r>
      <w:r>
        <w:rPr>
          <w:color w:val="231F20"/>
          <w:spacing w:val="-3"/>
          <w:w w:val="105"/>
        </w:rPr>
        <w:t>sociales</w:t>
      </w:r>
      <w:r>
        <w:rPr>
          <w:color w:val="231F20"/>
          <w:spacing w:val="-20"/>
          <w:w w:val="105"/>
        </w:rPr>
        <w:t> </w:t>
      </w:r>
      <w:r>
        <w:rPr>
          <w:color w:val="231F20"/>
          <w:w w:val="105"/>
        </w:rPr>
        <w:t>son</w:t>
      </w:r>
      <w:r>
        <w:rPr>
          <w:color w:val="231F20"/>
          <w:spacing w:val="-20"/>
          <w:w w:val="105"/>
        </w:rPr>
        <w:t> </w:t>
      </w:r>
      <w:r>
        <w:rPr>
          <w:color w:val="231F20"/>
          <w:spacing w:val="-3"/>
          <w:w w:val="105"/>
        </w:rPr>
        <w:t>complejos</w:t>
      </w:r>
      <w:r>
        <w:rPr>
          <w:color w:val="231F20"/>
          <w:spacing w:val="-20"/>
          <w:w w:val="105"/>
        </w:rPr>
        <w:t> </w:t>
      </w:r>
      <w:r>
        <w:rPr>
          <w:color w:val="231F20"/>
          <w:w w:val="105"/>
        </w:rPr>
        <w:t>y</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spacing w:val="-3"/>
          <w:w w:val="105"/>
        </w:rPr>
        <w:t>cotidiano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vida</w:t>
      </w:r>
      <w:r>
        <w:rPr>
          <w:color w:val="231F20"/>
          <w:spacing w:val="-20"/>
          <w:w w:val="105"/>
        </w:rPr>
        <w:t> </w:t>
      </w:r>
      <w:r>
        <w:rPr>
          <w:color w:val="231F20"/>
          <w:spacing w:val="-3"/>
          <w:w w:val="105"/>
        </w:rPr>
        <w:t>forman</w:t>
      </w:r>
      <w:r>
        <w:rPr>
          <w:color w:val="231F20"/>
          <w:spacing w:val="-20"/>
          <w:w w:val="105"/>
        </w:rPr>
        <w:t> </w:t>
      </w:r>
      <w:r>
        <w:rPr>
          <w:color w:val="231F20"/>
          <w:spacing w:val="-4"/>
          <w:w w:val="105"/>
        </w:rPr>
        <w:t>par- </w:t>
      </w:r>
      <w:r>
        <w:rPr>
          <w:color w:val="231F20"/>
          <w:w w:val="105"/>
        </w:rPr>
        <w:t>te de una </w:t>
      </w:r>
      <w:r>
        <w:rPr>
          <w:color w:val="231F20"/>
          <w:spacing w:val="-3"/>
          <w:w w:val="105"/>
        </w:rPr>
        <w:t>amplia gama </w:t>
      </w:r>
      <w:r>
        <w:rPr>
          <w:color w:val="231F20"/>
          <w:w w:val="105"/>
        </w:rPr>
        <w:t>de </w:t>
      </w:r>
      <w:r>
        <w:rPr>
          <w:color w:val="231F20"/>
          <w:spacing w:val="-3"/>
          <w:w w:val="105"/>
        </w:rPr>
        <w:t>posibilidades </w:t>
      </w:r>
      <w:r>
        <w:rPr>
          <w:color w:val="231F20"/>
          <w:w w:val="105"/>
        </w:rPr>
        <w:t>de </w:t>
      </w:r>
      <w:r>
        <w:rPr>
          <w:color w:val="231F20"/>
          <w:spacing w:val="-3"/>
          <w:w w:val="105"/>
        </w:rPr>
        <w:t>acción frente </w:t>
      </w:r>
      <w:r>
        <w:rPr>
          <w:color w:val="231F20"/>
          <w:w w:val="105"/>
        </w:rPr>
        <w:t>a la </w:t>
      </w:r>
      <w:r>
        <w:rPr>
          <w:color w:val="231F20"/>
          <w:spacing w:val="-4"/>
          <w:w w:val="105"/>
        </w:rPr>
        <w:t>tarea </w:t>
      </w:r>
      <w:r>
        <w:rPr>
          <w:color w:val="231F20"/>
          <w:spacing w:val="-3"/>
          <w:w w:val="105"/>
        </w:rPr>
        <w:t>diaria </w:t>
      </w:r>
      <w:r>
        <w:rPr>
          <w:color w:val="231F20"/>
          <w:w w:val="105"/>
        </w:rPr>
        <w:t>de</w:t>
      </w:r>
      <w:r>
        <w:rPr>
          <w:color w:val="231F20"/>
          <w:spacing w:val="-7"/>
          <w:w w:val="105"/>
        </w:rPr>
        <w:t> </w:t>
      </w:r>
      <w:r>
        <w:rPr>
          <w:color w:val="231F20"/>
          <w:spacing w:val="-4"/>
          <w:w w:val="105"/>
        </w:rPr>
        <w:t>subsistir.</w:t>
      </w:r>
      <w:r>
        <w:rPr>
          <w:color w:val="231F20"/>
          <w:spacing w:val="-12"/>
          <w:w w:val="105"/>
        </w:rPr>
        <w:t> </w:t>
      </w:r>
      <w:r>
        <w:rPr>
          <w:color w:val="231F20"/>
          <w:w w:val="105"/>
        </w:rPr>
        <w:t>Sin</w:t>
      </w:r>
      <w:r>
        <w:rPr>
          <w:color w:val="231F20"/>
          <w:spacing w:val="-7"/>
          <w:w w:val="105"/>
        </w:rPr>
        <w:t> </w:t>
      </w:r>
      <w:r>
        <w:rPr>
          <w:color w:val="231F20"/>
          <w:spacing w:val="-4"/>
          <w:w w:val="105"/>
        </w:rPr>
        <w:t>embargo,</w:t>
      </w:r>
      <w:r>
        <w:rPr>
          <w:color w:val="231F20"/>
          <w:spacing w:val="-12"/>
          <w:w w:val="105"/>
        </w:rPr>
        <w:t> </w:t>
      </w:r>
      <w:r>
        <w:rPr>
          <w:color w:val="231F20"/>
          <w:spacing w:val="-3"/>
          <w:w w:val="105"/>
        </w:rPr>
        <w:t>dice</w:t>
      </w:r>
      <w:r>
        <w:rPr>
          <w:color w:val="231F20"/>
          <w:spacing w:val="-7"/>
          <w:w w:val="105"/>
        </w:rPr>
        <w:t> </w:t>
      </w:r>
      <w:r>
        <w:rPr>
          <w:color w:val="231F20"/>
          <w:w w:val="105"/>
        </w:rPr>
        <w:t>la</w:t>
      </w:r>
      <w:r>
        <w:rPr>
          <w:color w:val="231F20"/>
          <w:spacing w:val="-7"/>
          <w:w w:val="105"/>
        </w:rPr>
        <w:t> </w:t>
      </w:r>
      <w:r>
        <w:rPr>
          <w:color w:val="231F20"/>
          <w:spacing w:val="-3"/>
          <w:w w:val="105"/>
        </w:rPr>
        <w:t>autora,</w:t>
      </w:r>
      <w:r>
        <w:rPr>
          <w:color w:val="231F20"/>
          <w:spacing w:val="-12"/>
          <w:w w:val="105"/>
        </w:rPr>
        <w:t> </w:t>
      </w:r>
      <w:r>
        <w:rPr>
          <w:color w:val="231F20"/>
          <w:w w:val="105"/>
        </w:rPr>
        <w:t>en</w:t>
      </w:r>
      <w:r>
        <w:rPr>
          <w:color w:val="231F20"/>
          <w:spacing w:val="-7"/>
          <w:w w:val="105"/>
        </w:rPr>
        <w:t> </w:t>
      </w:r>
      <w:r>
        <w:rPr>
          <w:color w:val="231F20"/>
          <w:spacing w:val="-3"/>
          <w:w w:val="105"/>
        </w:rPr>
        <w:t>cierta</w:t>
      </w:r>
      <w:r>
        <w:rPr>
          <w:color w:val="231F20"/>
          <w:spacing w:val="-7"/>
          <w:w w:val="105"/>
        </w:rPr>
        <w:t> </w:t>
      </w:r>
      <w:r>
        <w:rPr>
          <w:color w:val="231F20"/>
          <w:spacing w:val="-3"/>
          <w:w w:val="105"/>
        </w:rPr>
        <w:t>medida</w:t>
      </w:r>
      <w:r>
        <w:rPr>
          <w:color w:val="231F20"/>
          <w:spacing w:val="-7"/>
          <w:w w:val="105"/>
        </w:rPr>
        <w:t> </w:t>
      </w:r>
      <w:r>
        <w:rPr>
          <w:color w:val="231F20"/>
          <w:spacing w:val="-3"/>
          <w:w w:val="105"/>
        </w:rPr>
        <w:t>están</w:t>
      </w:r>
      <w:r>
        <w:rPr>
          <w:color w:val="231F20"/>
          <w:spacing w:val="-7"/>
          <w:w w:val="105"/>
        </w:rPr>
        <w:t> </w:t>
      </w:r>
      <w:r>
        <w:rPr>
          <w:color w:val="231F20"/>
          <w:spacing w:val="-3"/>
          <w:w w:val="105"/>
        </w:rPr>
        <w:t>compro- metiendo </w:t>
      </w:r>
      <w:r>
        <w:rPr>
          <w:color w:val="231F20"/>
          <w:w w:val="105"/>
        </w:rPr>
        <w:t>el </w:t>
      </w:r>
      <w:r>
        <w:rPr>
          <w:color w:val="231F20"/>
          <w:spacing w:val="-3"/>
          <w:w w:val="105"/>
        </w:rPr>
        <w:t>futuro </w:t>
      </w:r>
      <w:r>
        <w:rPr>
          <w:color w:val="231F20"/>
          <w:w w:val="105"/>
        </w:rPr>
        <w:t>a </w:t>
      </w:r>
      <w:r>
        <w:rPr>
          <w:color w:val="231F20"/>
          <w:spacing w:val="-3"/>
          <w:w w:val="105"/>
        </w:rPr>
        <w:t>largo plazo </w:t>
      </w:r>
      <w:r>
        <w:rPr>
          <w:color w:val="231F20"/>
          <w:w w:val="105"/>
        </w:rPr>
        <w:t>de </w:t>
      </w:r>
      <w:r>
        <w:rPr>
          <w:color w:val="231F20"/>
          <w:spacing w:val="-3"/>
          <w:w w:val="105"/>
        </w:rPr>
        <w:t>estos niños, pues tanto </w:t>
      </w:r>
      <w:r>
        <w:rPr>
          <w:color w:val="231F20"/>
          <w:w w:val="105"/>
        </w:rPr>
        <w:t>el </w:t>
      </w:r>
      <w:r>
        <w:rPr>
          <w:color w:val="231F20"/>
          <w:spacing w:val="-3"/>
          <w:w w:val="105"/>
        </w:rPr>
        <w:t>trabajo </w:t>
      </w:r>
      <w:r>
        <w:rPr>
          <w:color w:val="231F20"/>
          <w:w w:val="105"/>
        </w:rPr>
        <w:t>in- </w:t>
      </w:r>
      <w:r>
        <w:rPr>
          <w:color w:val="231F20"/>
          <w:spacing w:val="-3"/>
          <w:w w:val="105"/>
        </w:rPr>
        <w:t>fantil</w:t>
      </w:r>
      <w:r>
        <w:rPr>
          <w:color w:val="231F20"/>
          <w:spacing w:val="-11"/>
          <w:w w:val="105"/>
        </w:rPr>
        <w:t> </w:t>
      </w:r>
      <w:r>
        <w:rPr>
          <w:color w:val="231F20"/>
          <w:spacing w:val="-3"/>
          <w:w w:val="105"/>
        </w:rPr>
        <w:t>como</w:t>
      </w:r>
      <w:r>
        <w:rPr>
          <w:color w:val="231F20"/>
          <w:spacing w:val="-11"/>
          <w:w w:val="105"/>
        </w:rPr>
        <w:t> </w:t>
      </w:r>
      <w:r>
        <w:rPr>
          <w:color w:val="231F20"/>
          <w:w w:val="105"/>
        </w:rPr>
        <w:t>la</w:t>
      </w:r>
      <w:r>
        <w:rPr>
          <w:color w:val="231F20"/>
          <w:spacing w:val="-11"/>
          <w:w w:val="105"/>
        </w:rPr>
        <w:t> </w:t>
      </w:r>
      <w:r>
        <w:rPr>
          <w:color w:val="231F20"/>
          <w:spacing w:val="-3"/>
          <w:w w:val="105"/>
        </w:rPr>
        <w:t>migración</w:t>
      </w:r>
      <w:r>
        <w:rPr>
          <w:color w:val="231F20"/>
          <w:spacing w:val="-11"/>
          <w:w w:val="105"/>
        </w:rPr>
        <w:t> </w:t>
      </w:r>
      <w:r>
        <w:rPr>
          <w:color w:val="231F20"/>
          <w:spacing w:val="-3"/>
          <w:w w:val="105"/>
        </w:rPr>
        <w:t>internacional</w:t>
      </w:r>
      <w:r>
        <w:rPr>
          <w:color w:val="231F20"/>
          <w:spacing w:val="-11"/>
          <w:w w:val="105"/>
        </w:rPr>
        <w:t> </w:t>
      </w:r>
      <w:r>
        <w:rPr>
          <w:color w:val="231F20"/>
          <w:spacing w:val="-3"/>
          <w:w w:val="105"/>
        </w:rPr>
        <w:t>interrumpen</w:t>
      </w:r>
      <w:r>
        <w:rPr>
          <w:color w:val="231F20"/>
          <w:spacing w:val="-11"/>
          <w:w w:val="105"/>
        </w:rPr>
        <w:t> </w:t>
      </w:r>
      <w:r>
        <w:rPr>
          <w:color w:val="231F20"/>
          <w:w w:val="105"/>
        </w:rPr>
        <w:t>las</w:t>
      </w:r>
      <w:r>
        <w:rPr>
          <w:color w:val="231F20"/>
          <w:spacing w:val="-11"/>
          <w:w w:val="105"/>
        </w:rPr>
        <w:t> </w:t>
      </w:r>
      <w:r>
        <w:rPr>
          <w:color w:val="231F20"/>
          <w:spacing w:val="-3"/>
          <w:w w:val="105"/>
        </w:rPr>
        <w:t>trayectorias</w:t>
      </w:r>
      <w:r>
        <w:rPr>
          <w:color w:val="231F20"/>
          <w:spacing w:val="-11"/>
          <w:w w:val="105"/>
        </w:rPr>
        <w:t> </w:t>
      </w:r>
      <w:r>
        <w:rPr>
          <w:color w:val="231F20"/>
          <w:spacing w:val="-3"/>
          <w:w w:val="105"/>
        </w:rPr>
        <w:t>educa- tivas.</w:t>
      </w:r>
      <w:r>
        <w:rPr>
          <w:color w:val="231F20"/>
          <w:spacing w:val="-27"/>
          <w:w w:val="105"/>
        </w:rPr>
        <w:t> </w:t>
      </w:r>
      <w:r>
        <w:rPr>
          <w:color w:val="231F20"/>
          <w:w w:val="105"/>
        </w:rPr>
        <w:t>Son</w:t>
      </w:r>
      <w:r>
        <w:rPr>
          <w:color w:val="231F20"/>
          <w:spacing w:val="-20"/>
          <w:w w:val="105"/>
        </w:rPr>
        <w:t> </w:t>
      </w:r>
      <w:r>
        <w:rPr>
          <w:color w:val="231F20"/>
          <w:spacing w:val="-4"/>
          <w:w w:val="105"/>
        </w:rPr>
        <w:t>estrategias</w:t>
      </w:r>
      <w:r>
        <w:rPr>
          <w:color w:val="231F20"/>
          <w:spacing w:val="-20"/>
          <w:w w:val="105"/>
        </w:rPr>
        <w:t> </w:t>
      </w:r>
      <w:r>
        <w:rPr>
          <w:color w:val="231F20"/>
          <w:w w:val="105"/>
        </w:rPr>
        <w:t>a</w:t>
      </w:r>
      <w:r>
        <w:rPr>
          <w:color w:val="231F20"/>
          <w:spacing w:val="-20"/>
          <w:w w:val="105"/>
        </w:rPr>
        <w:t> </w:t>
      </w:r>
      <w:r>
        <w:rPr>
          <w:color w:val="231F20"/>
          <w:spacing w:val="-3"/>
          <w:w w:val="105"/>
        </w:rPr>
        <w:t>corto</w:t>
      </w:r>
      <w:r>
        <w:rPr>
          <w:color w:val="231F20"/>
          <w:spacing w:val="-20"/>
          <w:w w:val="105"/>
        </w:rPr>
        <w:t> </w:t>
      </w:r>
      <w:r>
        <w:rPr>
          <w:color w:val="231F20"/>
          <w:spacing w:val="-3"/>
          <w:w w:val="105"/>
        </w:rPr>
        <w:t>plazo</w:t>
      </w:r>
      <w:r>
        <w:rPr>
          <w:color w:val="231F20"/>
          <w:spacing w:val="-20"/>
          <w:w w:val="105"/>
        </w:rPr>
        <w:t> </w:t>
      </w:r>
      <w:r>
        <w:rPr>
          <w:color w:val="231F20"/>
          <w:w w:val="105"/>
        </w:rPr>
        <w:t>que</w:t>
      </w:r>
      <w:r>
        <w:rPr>
          <w:color w:val="231F20"/>
          <w:spacing w:val="-20"/>
          <w:w w:val="105"/>
        </w:rPr>
        <w:t> </w:t>
      </w:r>
      <w:r>
        <w:rPr>
          <w:color w:val="231F20"/>
          <w:spacing w:val="-3"/>
          <w:w w:val="105"/>
        </w:rPr>
        <w:t>pueden</w:t>
      </w:r>
      <w:r>
        <w:rPr>
          <w:color w:val="231F20"/>
          <w:spacing w:val="-20"/>
          <w:w w:val="105"/>
        </w:rPr>
        <w:t> </w:t>
      </w:r>
      <w:r>
        <w:rPr>
          <w:color w:val="231F20"/>
          <w:spacing w:val="-3"/>
          <w:w w:val="105"/>
        </w:rPr>
        <w:t>comprometer</w:t>
      </w:r>
      <w:r>
        <w:rPr>
          <w:color w:val="231F20"/>
          <w:spacing w:val="-20"/>
          <w:w w:val="105"/>
        </w:rPr>
        <w:t> </w:t>
      </w:r>
      <w:r>
        <w:rPr>
          <w:color w:val="231F20"/>
          <w:w w:val="105"/>
        </w:rPr>
        <w:t>el</w:t>
      </w:r>
      <w:r>
        <w:rPr>
          <w:color w:val="231F20"/>
          <w:spacing w:val="-20"/>
          <w:w w:val="105"/>
        </w:rPr>
        <w:t> </w:t>
      </w:r>
      <w:r>
        <w:rPr>
          <w:color w:val="231F20"/>
          <w:spacing w:val="-4"/>
          <w:w w:val="105"/>
        </w:rPr>
        <w:t>desarrollo </w:t>
      </w:r>
      <w:r>
        <w:rPr>
          <w:color w:val="231F20"/>
          <w:spacing w:val="-3"/>
          <w:w w:val="105"/>
        </w:rPr>
        <w:t>futuro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spacing w:val="-3"/>
          <w:w w:val="105"/>
        </w:rPr>
        <w:t>niños</w:t>
      </w:r>
      <w:r>
        <w:rPr>
          <w:color w:val="231F20"/>
          <w:spacing w:val="-17"/>
          <w:w w:val="105"/>
        </w:rPr>
        <w:t> </w:t>
      </w:r>
      <w:r>
        <w:rPr>
          <w:color w:val="231F20"/>
          <w:w w:val="105"/>
        </w:rPr>
        <w:t>y</w:t>
      </w:r>
      <w:r>
        <w:rPr>
          <w:color w:val="231F20"/>
          <w:spacing w:val="-17"/>
          <w:w w:val="105"/>
        </w:rPr>
        <w:t> </w:t>
      </w:r>
      <w:r>
        <w:rPr>
          <w:color w:val="231F20"/>
          <w:w w:val="105"/>
        </w:rPr>
        <w:t>las</w:t>
      </w:r>
      <w:r>
        <w:rPr>
          <w:color w:val="231F20"/>
          <w:spacing w:val="-17"/>
          <w:w w:val="105"/>
        </w:rPr>
        <w:t> </w:t>
      </w:r>
      <w:r>
        <w:rPr>
          <w:color w:val="231F20"/>
          <w:spacing w:val="-3"/>
          <w:w w:val="105"/>
        </w:rPr>
        <w:t>niñas.</w:t>
      </w:r>
      <w:r>
        <w:rPr>
          <w:color w:val="231F20"/>
          <w:spacing w:val="-22"/>
          <w:w w:val="105"/>
        </w:rPr>
        <w:t> </w:t>
      </w:r>
      <w:r>
        <w:rPr>
          <w:color w:val="231F20"/>
          <w:w w:val="105"/>
        </w:rPr>
        <w:t>Sin</w:t>
      </w:r>
      <w:r>
        <w:rPr>
          <w:color w:val="231F20"/>
          <w:spacing w:val="-17"/>
          <w:w w:val="105"/>
        </w:rPr>
        <w:t> </w:t>
      </w:r>
      <w:r>
        <w:rPr>
          <w:color w:val="231F20"/>
          <w:spacing w:val="-3"/>
          <w:w w:val="105"/>
        </w:rPr>
        <w:t>contar</w:t>
      </w:r>
      <w:r>
        <w:rPr>
          <w:color w:val="231F20"/>
          <w:spacing w:val="-17"/>
          <w:w w:val="105"/>
        </w:rPr>
        <w:t> </w:t>
      </w:r>
      <w:r>
        <w:rPr>
          <w:color w:val="231F20"/>
          <w:w w:val="105"/>
        </w:rPr>
        <w:t>con</w:t>
      </w:r>
      <w:r>
        <w:rPr>
          <w:color w:val="231F20"/>
          <w:spacing w:val="-17"/>
          <w:w w:val="105"/>
        </w:rPr>
        <w:t> </w:t>
      </w:r>
      <w:r>
        <w:rPr>
          <w:color w:val="231F20"/>
          <w:w w:val="105"/>
        </w:rPr>
        <w:t>los</w:t>
      </w:r>
      <w:r>
        <w:rPr>
          <w:color w:val="231F20"/>
          <w:spacing w:val="-17"/>
          <w:w w:val="105"/>
        </w:rPr>
        <w:t> </w:t>
      </w:r>
      <w:r>
        <w:rPr>
          <w:color w:val="231F20"/>
          <w:spacing w:val="-3"/>
          <w:w w:val="105"/>
        </w:rPr>
        <w:t>riesgos</w:t>
      </w:r>
      <w:r>
        <w:rPr>
          <w:color w:val="231F20"/>
          <w:spacing w:val="-17"/>
          <w:w w:val="105"/>
        </w:rPr>
        <w:t> </w:t>
      </w:r>
      <w:r>
        <w:rPr>
          <w:color w:val="231F20"/>
          <w:w w:val="105"/>
        </w:rPr>
        <w:t>que</w:t>
      </w:r>
      <w:r>
        <w:rPr>
          <w:color w:val="231F20"/>
          <w:spacing w:val="-17"/>
          <w:w w:val="105"/>
        </w:rPr>
        <w:t> </w:t>
      </w:r>
      <w:r>
        <w:rPr>
          <w:color w:val="231F20"/>
          <w:spacing w:val="-3"/>
          <w:w w:val="105"/>
        </w:rPr>
        <w:t>suponen</w:t>
      </w:r>
      <w:r>
        <w:rPr>
          <w:color w:val="231F20"/>
          <w:spacing w:val="-17"/>
          <w:w w:val="105"/>
        </w:rPr>
        <w:t> </w:t>
      </w:r>
      <w:r>
        <w:rPr>
          <w:color w:val="231F20"/>
          <w:spacing w:val="-3"/>
          <w:w w:val="105"/>
        </w:rPr>
        <w:t>ser </w:t>
      </w:r>
      <w:r>
        <w:rPr>
          <w:color w:val="231F20"/>
          <w:w w:val="105"/>
        </w:rPr>
        <w:t>un </w:t>
      </w:r>
      <w:r>
        <w:rPr>
          <w:color w:val="231F20"/>
          <w:spacing w:val="-3"/>
          <w:w w:val="105"/>
        </w:rPr>
        <w:t>niño trabajador </w:t>
      </w:r>
      <w:r>
        <w:rPr>
          <w:color w:val="231F20"/>
          <w:w w:val="105"/>
        </w:rPr>
        <w:t>y un </w:t>
      </w:r>
      <w:r>
        <w:rPr>
          <w:color w:val="231F20"/>
          <w:spacing w:val="-3"/>
          <w:w w:val="105"/>
        </w:rPr>
        <w:t>adolescente migrante. Este campo </w:t>
      </w:r>
      <w:r>
        <w:rPr>
          <w:color w:val="231F20"/>
          <w:w w:val="105"/>
        </w:rPr>
        <w:t>de </w:t>
      </w:r>
      <w:r>
        <w:rPr>
          <w:color w:val="231F20"/>
          <w:spacing w:val="-3"/>
          <w:w w:val="105"/>
        </w:rPr>
        <w:t>acción re- presenta </w:t>
      </w:r>
      <w:r>
        <w:rPr>
          <w:color w:val="231F20"/>
          <w:w w:val="105"/>
        </w:rPr>
        <w:t>un </w:t>
      </w:r>
      <w:r>
        <w:rPr>
          <w:color w:val="231F20"/>
          <w:spacing w:val="-3"/>
          <w:w w:val="105"/>
        </w:rPr>
        <w:t>importante ámbito </w:t>
      </w:r>
      <w:r>
        <w:rPr>
          <w:color w:val="231F20"/>
          <w:w w:val="105"/>
        </w:rPr>
        <w:t>por </w:t>
      </w:r>
      <w:r>
        <w:rPr>
          <w:color w:val="231F20"/>
          <w:spacing w:val="-3"/>
          <w:w w:val="105"/>
        </w:rPr>
        <w:t>explorar para </w:t>
      </w:r>
      <w:r>
        <w:rPr>
          <w:color w:val="231F20"/>
          <w:w w:val="105"/>
        </w:rPr>
        <w:t>dar </w:t>
      </w:r>
      <w:r>
        <w:rPr>
          <w:color w:val="231F20"/>
          <w:spacing w:val="-3"/>
          <w:w w:val="105"/>
        </w:rPr>
        <w:t>mayor relevancia </w:t>
      </w:r>
      <w:r>
        <w:rPr>
          <w:color w:val="231F20"/>
          <w:w w:val="105"/>
        </w:rPr>
        <w:t>a las</w:t>
      </w:r>
      <w:r>
        <w:rPr>
          <w:color w:val="231F20"/>
          <w:spacing w:val="-18"/>
          <w:w w:val="105"/>
        </w:rPr>
        <w:t> </w:t>
      </w:r>
      <w:r>
        <w:rPr>
          <w:color w:val="231F20"/>
          <w:spacing w:val="-3"/>
          <w:w w:val="105"/>
        </w:rPr>
        <w:t>políticas</w:t>
      </w:r>
      <w:r>
        <w:rPr>
          <w:color w:val="231F20"/>
          <w:spacing w:val="-18"/>
          <w:w w:val="105"/>
        </w:rPr>
        <w:t> </w:t>
      </w:r>
      <w:r>
        <w:rPr>
          <w:color w:val="231F20"/>
          <w:w w:val="105"/>
        </w:rPr>
        <w:t>de</w:t>
      </w:r>
      <w:r>
        <w:rPr>
          <w:color w:val="231F20"/>
          <w:spacing w:val="-18"/>
          <w:w w:val="105"/>
        </w:rPr>
        <w:t> </w:t>
      </w:r>
      <w:r>
        <w:rPr>
          <w:color w:val="231F20"/>
          <w:spacing w:val="-3"/>
          <w:w w:val="105"/>
        </w:rPr>
        <w:t>infancia</w:t>
      </w:r>
      <w:r>
        <w:rPr>
          <w:color w:val="231F20"/>
          <w:spacing w:val="-18"/>
          <w:w w:val="105"/>
        </w:rPr>
        <w:t> </w:t>
      </w:r>
      <w:r>
        <w:rPr>
          <w:color w:val="231F20"/>
          <w:w w:val="105"/>
        </w:rPr>
        <w:t>y</w:t>
      </w:r>
      <w:r>
        <w:rPr>
          <w:color w:val="231F20"/>
          <w:spacing w:val="-18"/>
          <w:w w:val="105"/>
        </w:rPr>
        <w:t> </w:t>
      </w:r>
      <w:r>
        <w:rPr>
          <w:color w:val="231F20"/>
          <w:spacing w:val="-3"/>
          <w:w w:val="105"/>
        </w:rPr>
        <w:t>juventud</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3"/>
          <w:w w:val="105"/>
        </w:rPr>
        <w:t>México</w:t>
      </w:r>
      <w:r>
        <w:rPr>
          <w:color w:val="231F20"/>
          <w:spacing w:val="-18"/>
          <w:w w:val="105"/>
        </w:rPr>
        <w:t> </w:t>
      </w:r>
      <w:r>
        <w:rPr>
          <w:color w:val="231F20"/>
          <w:spacing w:val="-4"/>
          <w:w w:val="105"/>
        </w:rPr>
        <w:t>rural.</w:t>
      </w:r>
    </w:p>
    <w:p>
      <w:pPr>
        <w:pStyle w:val="BodyText"/>
        <w:spacing w:line="261" w:lineRule="auto"/>
        <w:ind w:left="1837" w:right="1716" w:firstLine="567"/>
        <w:jc w:val="both"/>
      </w:pPr>
      <w:r>
        <w:rPr/>
        <w:pict>
          <v:line style="position:absolute;mso-position-horizontal-relative:page;mso-position-vertical-relative:paragraph;z-index:-488584" from="15pt,196.838379pt" to="0pt,196.838379pt" stroked="true" strokeweight=".25pt" strokecolor="#000000">
            <w10:wrap type="none"/>
          </v:line>
        </w:pict>
      </w:r>
      <w:r>
        <w:rPr/>
        <w:pict>
          <v:line style="position:absolute;mso-position-horizontal-relative:page;mso-position-vertical-relative:paragraph;z-index:1624" from="508.890015pt,196.838379pt" to="523.890015pt,196.838379pt" stroked="true" strokeweight=".25pt" strokecolor="#000000">
            <w10:wrap type="none"/>
          </v:line>
        </w:pict>
      </w:r>
      <w:r>
        <w:rPr>
          <w:color w:val="231F20"/>
          <w:w w:val="105"/>
        </w:rPr>
        <w:t>La</w:t>
      </w:r>
      <w:r>
        <w:rPr>
          <w:color w:val="231F20"/>
          <w:spacing w:val="-16"/>
          <w:w w:val="105"/>
        </w:rPr>
        <w:t> </w:t>
      </w:r>
      <w:r>
        <w:rPr>
          <w:color w:val="231F20"/>
          <w:w w:val="105"/>
        </w:rPr>
        <w:t>segunda</w:t>
      </w:r>
      <w:r>
        <w:rPr>
          <w:color w:val="231F20"/>
          <w:spacing w:val="-16"/>
          <w:w w:val="105"/>
        </w:rPr>
        <w:t> </w:t>
      </w:r>
      <w:r>
        <w:rPr>
          <w:color w:val="231F20"/>
          <w:w w:val="105"/>
        </w:rPr>
        <w:t>sección</w:t>
      </w:r>
      <w:r>
        <w:rPr>
          <w:color w:val="231F20"/>
          <w:spacing w:val="-16"/>
          <w:w w:val="105"/>
        </w:rPr>
        <w:t> </w:t>
      </w:r>
      <w:r>
        <w:rPr>
          <w:color w:val="231F20"/>
          <w:w w:val="105"/>
        </w:rPr>
        <w:t>del</w:t>
      </w:r>
      <w:r>
        <w:rPr>
          <w:color w:val="231F20"/>
          <w:spacing w:val="-16"/>
          <w:w w:val="105"/>
        </w:rPr>
        <w:t> </w:t>
      </w:r>
      <w:r>
        <w:rPr>
          <w:color w:val="231F20"/>
          <w:spacing w:val="-3"/>
          <w:w w:val="105"/>
        </w:rPr>
        <w:t>libro,</w:t>
      </w:r>
      <w:r>
        <w:rPr>
          <w:color w:val="231F20"/>
          <w:spacing w:val="-21"/>
          <w:w w:val="105"/>
        </w:rPr>
        <w:t> </w:t>
      </w:r>
      <w:r>
        <w:rPr>
          <w:color w:val="231F20"/>
          <w:w w:val="105"/>
        </w:rPr>
        <w:t>denominada</w:t>
      </w:r>
      <w:r>
        <w:rPr>
          <w:color w:val="231F20"/>
          <w:spacing w:val="-16"/>
          <w:w w:val="105"/>
        </w:rPr>
        <w:t> </w:t>
      </w:r>
      <w:r>
        <w:rPr>
          <w:rFonts w:ascii="Arial" w:hAnsi="Arial"/>
          <w:color w:val="231F20"/>
          <w:w w:val="105"/>
        </w:rPr>
        <w:t>Migraciones</w:t>
      </w:r>
      <w:r>
        <w:rPr>
          <w:rFonts w:ascii="Arial" w:hAnsi="Arial"/>
          <w:color w:val="231F20"/>
          <w:spacing w:val="-19"/>
          <w:w w:val="105"/>
        </w:rPr>
        <w:t> </w:t>
      </w:r>
      <w:r>
        <w:rPr>
          <w:rFonts w:ascii="Arial" w:hAnsi="Arial"/>
          <w:color w:val="231F20"/>
          <w:w w:val="105"/>
        </w:rPr>
        <w:t>de</w:t>
      </w:r>
      <w:r>
        <w:rPr>
          <w:rFonts w:ascii="Arial" w:hAnsi="Arial"/>
          <w:color w:val="231F20"/>
          <w:spacing w:val="-19"/>
          <w:w w:val="105"/>
        </w:rPr>
        <w:t> </w:t>
      </w:r>
      <w:r>
        <w:rPr>
          <w:rFonts w:ascii="Arial" w:hAnsi="Arial"/>
          <w:color w:val="231F20"/>
          <w:spacing w:val="-3"/>
          <w:w w:val="105"/>
        </w:rPr>
        <w:t>retorno. </w:t>
      </w:r>
      <w:r>
        <w:rPr>
          <w:rFonts w:ascii="Arial" w:hAnsi="Arial"/>
          <w:color w:val="231F20"/>
          <w:w w:val="105"/>
        </w:rPr>
        <w:t>Dimensiones</w:t>
      </w:r>
      <w:r>
        <w:rPr>
          <w:rFonts w:ascii="Arial" w:hAnsi="Arial"/>
          <w:color w:val="231F20"/>
          <w:spacing w:val="-15"/>
          <w:w w:val="105"/>
        </w:rPr>
        <w:t> </w:t>
      </w:r>
      <w:r>
        <w:rPr>
          <w:rFonts w:ascii="Arial" w:hAnsi="Arial"/>
          <w:color w:val="231F20"/>
          <w:w w:val="105"/>
        </w:rPr>
        <w:t>y</w:t>
      </w:r>
      <w:r>
        <w:rPr>
          <w:rFonts w:ascii="Arial" w:hAnsi="Arial"/>
          <w:color w:val="231F20"/>
          <w:spacing w:val="-15"/>
          <w:w w:val="105"/>
        </w:rPr>
        <w:t> </w:t>
      </w:r>
      <w:r>
        <w:rPr>
          <w:rFonts w:ascii="Arial" w:hAnsi="Arial"/>
          <w:color w:val="231F20"/>
          <w:w w:val="105"/>
        </w:rPr>
        <w:t>experiencias</w:t>
      </w:r>
      <w:r>
        <w:rPr>
          <w:color w:val="231F20"/>
          <w:w w:val="105"/>
        </w:rPr>
        <w:t>,</w:t>
      </w:r>
      <w:r>
        <w:rPr>
          <w:color w:val="231F20"/>
          <w:spacing w:val="-17"/>
          <w:w w:val="105"/>
        </w:rPr>
        <w:t> </w:t>
      </w:r>
      <w:r>
        <w:rPr>
          <w:color w:val="231F20"/>
          <w:w w:val="105"/>
        </w:rPr>
        <w:t>inicia</w:t>
      </w:r>
      <w:r>
        <w:rPr>
          <w:color w:val="231F20"/>
          <w:spacing w:val="-12"/>
          <w:w w:val="105"/>
        </w:rPr>
        <w:t> </w:t>
      </w:r>
      <w:r>
        <w:rPr>
          <w:color w:val="231F20"/>
          <w:w w:val="105"/>
        </w:rPr>
        <w:t>con</w:t>
      </w:r>
      <w:r>
        <w:rPr>
          <w:color w:val="231F20"/>
          <w:spacing w:val="-12"/>
          <w:w w:val="105"/>
        </w:rPr>
        <w:t> </w:t>
      </w:r>
      <w:r>
        <w:rPr>
          <w:color w:val="231F20"/>
          <w:w w:val="105"/>
        </w:rPr>
        <w:t>capítulo</w:t>
      </w:r>
      <w:r>
        <w:rPr>
          <w:color w:val="231F20"/>
          <w:spacing w:val="-12"/>
          <w:w w:val="105"/>
        </w:rPr>
        <w:t> </w:t>
      </w:r>
      <w:r>
        <w:rPr>
          <w:color w:val="231F20"/>
          <w:w w:val="105"/>
        </w:rPr>
        <w:t>quinto,</w:t>
      </w:r>
      <w:r>
        <w:rPr>
          <w:color w:val="231F20"/>
          <w:spacing w:val="-17"/>
          <w:w w:val="105"/>
        </w:rPr>
        <w:t> </w:t>
      </w:r>
      <w:r>
        <w:rPr>
          <w:color w:val="231F20"/>
          <w:w w:val="105"/>
        </w:rPr>
        <w:t>“¿Volver</w:t>
      </w:r>
      <w:r>
        <w:rPr>
          <w:color w:val="231F20"/>
          <w:spacing w:val="-12"/>
          <w:w w:val="105"/>
        </w:rPr>
        <w:t> </w:t>
      </w:r>
      <w:r>
        <w:rPr>
          <w:color w:val="231F20"/>
          <w:w w:val="105"/>
        </w:rPr>
        <w:t>a</w:t>
      </w:r>
      <w:r>
        <w:rPr>
          <w:color w:val="231F20"/>
          <w:spacing w:val="-12"/>
          <w:w w:val="105"/>
        </w:rPr>
        <w:t> </w:t>
      </w:r>
      <w:r>
        <w:rPr>
          <w:color w:val="231F20"/>
          <w:w w:val="105"/>
        </w:rPr>
        <w:t>casa? Desafíos</w:t>
      </w:r>
      <w:r>
        <w:rPr>
          <w:color w:val="231F20"/>
          <w:spacing w:val="-15"/>
          <w:w w:val="105"/>
        </w:rPr>
        <w:t> </w:t>
      </w:r>
      <w:r>
        <w:rPr>
          <w:color w:val="231F20"/>
          <w:w w:val="105"/>
        </w:rPr>
        <w:t>y</w:t>
      </w:r>
      <w:r>
        <w:rPr>
          <w:color w:val="231F20"/>
          <w:spacing w:val="-15"/>
          <w:w w:val="105"/>
        </w:rPr>
        <w:t> </w:t>
      </w:r>
      <w:r>
        <w:rPr>
          <w:color w:val="231F20"/>
          <w:w w:val="105"/>
        </w:rPr>
        <w:t>rutas</w:t>
      </w:r>
      <w:r>
        <w:rPr>
          <w:color w:val="231F20"/>
          <w:spacing w:val="-15"/>
          <w:w w:val="105"/>
        </w:rPr>
        <w:t> </w:t>
      </w:r>
      <w:r>
        <w:rPr>
          <w:color w:val="231F20"/>
          <w:w w:val="105"/>
        </w:rPr>
        <w:t>divergentes</w:t>
      </w:r>
      <w:r>
        <w:rPr>
          <w:color w:val="231F20"/>
          <w:spacing w:val="-15"/>
          <w:w w:val="105"/>
        </w:rPr>
        <w:t> </w:t>
      </w:r>
      <w:r>
        <w:rPr>
          <w:color w:val="231F20"/>
          <w:w w:val="105"/>
        </w:rPr>
        <w:t>de</w:t>
      </w:r>
      <w:r>
        <w:rPr>
          <w:color w:val="231F20"/>
          <w:spacing w:val="-15"/>
          <w:w w:val="105"/>
        </w:rPr>
        <w:t> </w:t>
      </w:r>
      <w:r>
        <w:rPr>
          <w:color w:val="231F20"/>
          <w:w w:val="105"/>
        </w:rPr>
        <w:t>migrantes</w:t>
      </w:r>
      <w:r>
        <w:rPr>
          <w:color w:val="231F20"/>
          <w:spacing w:val="-15"/>
          <w:w w:val="105"/>
        </w:rPr>
        <w:t> </w:t>
      </w:r>
      <w:r>
        <w:rPr>
          <w:color w:val="231F20"/>
          <w:w w:val="105"/>
        </w:rPr>
        <w:t>de</w:t>
      </w:r>
      <w:r>
        <w:rPr>
          <w:color w:val="231F20"/>
          <w:spacing w:val="-15"/>
          <w:w w:val="105"/>
        </w:rPr>
        <w:t> </w:t>
      </w:r>
      <w:r>
        <w:rPr>
          <w:color w:val="231F20"/>
          <w:spacing w:val="-4"/>
          <w:w w:val="105"/>
        </w:rPr>
        <w:t>retorno”,</w:t>
      </w:r>
      <w:r>
        <w:rPr>
          <w:color w:val="231F20"/>
          <w:spacing w:val="-20"/>
          <w:w w:val="105"/>
        </w:rPr>
        <w:t> </w:t>
      </w:r>
      <w:r>
        <w:rPr>
          <w:color w:val="231F20"/>
          <w:w w:val="105"/>
        </w:rPr>
        <w:t>en</w:t>
      </w:r>
      <w:r>
        <w:rPr>
          <w:color w:val="231F20"/>
          <w:spacing w:val="-15"/>
          <w:w w:val="105"/>
        </w:rPr>
        <w:t> </w:t>
      </w:r>
      <w:r>
        <w:rPr>
          <w:color w:val="231F20"/>
          <w:w w:val="105"/>
        </w:rPr>
        <w:t>él</w:t>
      </w:r>
      <w:r>
        <w:rPr>
          <w:color w:val="231F20"/>
          <w:spacing w:val="-15"/>
          <w:w w:val="105"/>
        </w:rPr>
        <w:t> </w:t>
      </w:r>
      <w:r>
        <w:rPr>
          <w:color w:val="231F20"/>
          <w:w w:val="105"/>
        </w:rPr>
        <w:t>Liliana</w:t>
      </w:r>
      <w:r>
        <w:rPr>
          <w:color w:val="231F20"/>
          <w:spacing w:val="-15"/>
          <w:w w:val="105"/>
        </w:rPr>
        <w:t> </w:t>
      </w:r>
      <w:r>
        <w:rPr>
          <w:color w:val="231F20"/>
          <w:w w:val="105"/>
        </w:rPr>
        <w:t>Rive- ra</w:t>
      </w:r>
      <w:r>
        <w:rPr>
          <w:color w:val="231F20"/>
          <w:spacing w:val="-10"/>
          <w:w w:val="105"/>
        </w:rPr>
        <w:t> </w:t>
      </w:r>
      <w:r>
        <w:rPr>
          <w:color w:val="231F20"/>
          <w:w w:val="105"/>
        </w:rPr>
        <w:t>Sánchez</w:t>
      </w:r>
      <w:r>
        <w:rPr>
          <w:color w:val="231F20"/>
          <w:spacing w:val="-10"/>
          <w:w w:val="105"/>
        </w:rPr>
        <w:t> </w:t>
      </w:r>
      <w:r>
        <w:rPr>
          <w:color w:val="231F20"/>
          <w:w w:val="105"/>
        </w:rPr>
        <w:t>documenta</w:t>
      </w:r>
      <w:r>
        <w:rPr>
          <w:color w:val="231F20"/>
          <w:spacing w:val="-10"/>
          <w:w w:val="105"/>
        </w:rPr>
        <w:t> </w:t>
      </w:r>
      <w:r>
        <w:rPr>
          <w:color w:val="231F20"/>
          <w:w w:val="105"/>
        </w:rPr>
        <w:t>las</w:t>
      </w:r>
      <w:r>
        <w:rPr>
          <w:color w:val="231F20"/>
          <w:spacing w:val="-10"/>
          <w:w w:val="105"/>
        </w:rPr>
        <w:t> </w:t>
      </w:r>
      <w:r>
        <w:rPr>
          <w:color w:val="231F20"/>
          <w:w w:val="105"/>
        </w:rPr>
        <w:t>modalidades</w:t>
      </w:r>
      <w:r>
        <w:rPr>
          <w:color w:val="231F20"/>
          <w:spacing w:val="-10"/>
          <w:w w:val="105"/>
        </w:rPr>
        <w:t> </w:t>
      </w:r>
      <w:r>
        <w:rPr>
          <w:color w:val="231F20"/>
          <w:w w:val="105"/>
        </w:rPr>
        <w:t>que</w:t>
      </w:r>
      <w:r>
        <w:rPr>
          <w:color w:val="231F20"/>
          <w:spacing w:val="-10"/>
          <w:w w:val="105"/>
        </w:rPr>
        <w:t> </w:t>
      </w:r>
      <w:r>
        <w:rPr>
          <w:color w:val="231F20"/>
          <w:w w:val="105"/>
        </w:rPr>
        <w:t>adopta</w:t>
      </w:r>
      <w:r>
        <w:rPr>
          <w:color w:val="231F20"/>
          <w:spacing w:val="-10"/>
          <w:w w:val="105"/>
        </w:rPr>
        <w:t> </w:t>
      </w:r>
      <w:r>
        <w:rPr>
          <w:color w:val="231F20"/>
          <w:w w:val="105"/>
        </w:rPr>
        <w:t>la</w:t>
      </w:r>
      <w:r>
        <w:rPr>
          <w:color w:val="231F20"/>
          <w:spacing w:val="-10"/>
          <w:w w:val="105"/>
        </w:rPr>
        <w:t> </w:t>
      </w:r>
      <w:r>
        <w:rPr>
          <w:color w:val="231F20"/>
          <w:w w:val="105"/>
        </w:rPr>
        <w:t>reinserción</w:t>
      </w:r>
      <w:r>
        <w:rPr>
          <w:color w:val="231F20"/>
          <w:spacing w:val="-10"/>
          <w:w w:val="105"/>
        </w:rPr>
        <w:t> </w:t>
      </w:r>
      <w:r>
        <w:rPr>
          <w:color w:val="231F20"/>
          <w:w w:val="105"/>
        </w:rPr>
        <w:t>labo- ral de los migrantes que retornaron al municipio metropolitano de Ne- zahualcóyotl,</w:t>
      </w:r>
      <w:r>
        <w:rPr>
          <w:color w:val="231F20"/>
          <w:spacing w:val="-23"/>
          <w:w w:val="105"/>
        </w:rPr>
        <w:t> </w:t>
      </w:r>
      <w:r>
        <w:rPr>
          <w:color w:val="231F20"/>
          <w:w w:val="105"/>
        </w:rPr>
        <w:t>Estado</w:t>
      </w:r>
      <w:r>
        <w:rPr>
          <w:color w:val="231F20"/>
          <w:spacing w:val="-18"/>
          <w:w w:val="105"/>
        </w:rPr>
        <w:t> </w:t>
      </w:r>
      <w:r>
        <w:rPr>
          <w:color w:val="231F20"/>
          <w:w w:val="105"/>
        </w:rPr>
        <w:t>de</w:t>
      </w:r>
      <w:r>
        <w:rPr>
          <w:color w:val="231F20"/>
          <w:spacing w:val="-18"/>
          <w:w w:val="105"/>
        </w:rPr>
        <w:t> </w:t>
      </w:r>
      <w:r>
        <w:rPr>
          <w:color w:val="231F20"/>
          <w:w w:val="105"/>
        </w:rPr>
        <w:t>México,</w:t>
      </w:r>
      <w:r>
        <w:rPr>
          <w:color w:val="231F20"/>
          <w:spacing w:val="-23"/>
          <w:w w:val="105"/>
        </w:rPr>
        <w:t> </w:t>
      </w:r>
      <w:r>
        <w:rPr>
          <w:color w:val="231F20"/>
          <w:w w:val="105"/>
        </w:rPr>
        <w:t>después</w:t>
      </w:r>
      <w:r>
        <w:rPr>
          <w:color w:val="231F20"/>
          <w:spacing w:val="-18"/>
          <w:w w:val="105"/>
        </w:rPr>
        <w:t> </w:t>
      </w:r>
      <w:r>
        <w:rPr>
          <w:color w:val="231F20"/>
          <w:w w:val="105"/>
        </w:rPr>
        <w:t>del</w:t>
      </w:r>
      <w:r>
        <w:rPr>
          <w:color w:val="231F20"/>
          <w:spacing w:val="-18"/>
          <w:w w:val="105"/>
        </w:rPr>
        <w:t> </w:t>
      </w:r>
      <w:r>
        <w:rPr>
          <w:color w:val="231F20"/>
          <w:w w:val="105"/>
        </w:rPr>
        <w:t>año</w:t>
      </w:r>
      <w:r>
        <w:rPr>
          <w:color w:val="231F20"/>
          <w:spacing w:val="-18"/>
          <w:w w:val="105"/>
        </w:rPr>
        <w:t> </w:t>
      </w:r>
      <w:r>
        <w:rPr>
          <w:color w:val="231F20"/>
          <w:w w:val="105"/>
        </w:rPr>
        <w:t>2008.</w:t>
      </w:r>
      <w:r>
        <w:rPr>
          <w:color w:val="231F20"/>
          <w:spacing w:val="-26"/>
          <w:w w:val="105"/>
        </w:rPr>
        <w:t> </w:t>
      </w:r>
      <w:r>
        <w:rPr>
          <w:color w:val="231F20"/>
          <w:w w:val="105"/>
        </w:rPr>
        <w:t>Año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que</w:t>
      </w:r>
      <w:r>
        <w:rPr>
          <w:color w:val="231F20"/>
          <w:spacing w:val="-18"/>
          <w:w w:val="105"/>
        </w:rPr>
        <w:t> </w:t>
      </w:r>
      <w:r>
        <w:rPr>
          <w:color w:val="231F20"/>
          <w:w w:val="105"/>
        </w:rPr>
        <w:t>se despliega</w:t>
      </w:r>
      <w:r>
        <w:rPr>
          <w:color w:val="231F20"/>
          <w:spacing w:val="-27"/>
          <w:w w:val="105"/>
        </w:rPr>
        <w:t> </w:t>
      </w:r>
      <w:r>
        <w:rPr>
          <w:color w:val="231F20"/>
          <w:w w:val="105"/>
        </w:rPr>
        <w:t>la</w:t>
      </w:r>
      <w:r>
        <w:rPr>
          <w:color w:val="231F20"/>
          <w:spacing w:val="-27"/>
          <w:w w:val="105"/>
        </w:rPr>
        <w:t> </w:t>
      </w:r>
      <w:r>
        <w:rPr>
          <w:color w:val="231F20"/>
          <w:w w:val="105"/>
        </w:rPr>
        <w:t>crisis</w:t>
      </w:r>
      <w:r>
        <w:rPr>
          <w:color w:val="231F20"/>
          <w:spacing w:val="-27"/>
          <w:w w:val="105"/>
        </w:rPr>
        <w:t> </w:t>
      </w:r>
      <w:r>
        <w:rPr>
          <w:color w:val="231F20"/>
          <w:w w:val="105"/>
        </w:rPr>
        <w:t>económica</w:t>
      </w:r>
      <w:r>
        <w:rPr>
          <w:color w:val="231F20"/>
          <w:spacing w:val="-27"/>
          <w:w w:val="105"/>
        </w:rPr>
        <w:t> </w:t>
      </w:r>
      <w:r>
        <w:rPr>
          <w:color w:val="231F20"/>
          <w:w w:val="105"/>
        </w:rPr>
        <w:t>internacional</w:t>
      </w:r>
      <w:r>
        <w:rPr>
          <w:color w:val="231F20"/>
          <w:spacing w:val="-27"/>
          <w:w w:val="105"/>
        </w:rPr>
        <w:t> </w:t>
      </w:r>
      <w:r>
        <w:rPr>
          <w:color w:val="231F20"/>
          <w:w w:val="105"/>
        </w:rPr>
        <w:t>y</w:t>
      </w:r>
      <w:r>
        <w:rPr>
          <w:color w:val="231F20"/>
          <w:spacing w:val="-27"/>
          <w:w w:val="105"/>
        </w:rPr>
        <w:t> </w:t>
      </w:r>
      <w:r>
        <w:rPr>
          <w:color w:val="231F20"/>
          <w:w w:val="105"/>
        </w:rPr>
        <w:t>se</w:t>
      </w:r>
      <w:r>
        <w:rPr>
          <w:color w:val="231F20"/>
          <w:spacing w:val="-27"/>
          <w:w w:val="105"/>
        </w:rPr>
        <w:t> </w:t>
      </w:r>
      <w:r>
        <w:rPr>
          <w:color w:val="231F20"/>
          <w:w w:val="105"/>
        </w:rPr>
        <w:t>endurecen</w:t>
      </w:r>
      <w:r>
        <w:rPr>
          <w:color w:val="231F20"/>
          <w:spacing w:val="-27"/>
          <w:w w:val="105"/>
        </w:rPr>
        <w:t> </w:t>
      </w:r>
      <w:r>
        <w:rPr>
          <w:color w:val="231F20"/>
          <w:w w:val="105"/>
        </w:rPr>
        <w:t>las</w:t>
      </w:r>
      <w:r>
        <w:rPr>
          <w:color w:val="231F20"/>
          <w:spacing w:val="-27"/>
          <w:w w:val="105"/>
        </w:rPr>
        <w:t> </w:t>
      </w:r>
      <w:r>
        <w:rPr>
          <w:color w:val="231F20"/>
          <w:w w:val="105"/>
        </w:rPr>
        <w:t>campañas de</w:t>
      </w:r>
      <w:r>
        <w:rPr>
          <w:color w:val="231F20"/>
          <w:spacing w:val="-10"/>
          <w:w w:val="105"/>
        </w:rPr>
        <w:t> </w:t>
      </w:r>
      <w:r>
        <w:rPr>
          <w:color w:val="231F20"/>
          <w:w w:val="105"/>
        </w:rPr>
        <w:t>persecución</w:t>
      </w:r>
      <w:r>
        <w:rPr>
          <w:color w:val="231F20"/>
          <w:spacing w:val="-10"/>
          <w:w w:val="105"/>
        </w:rPr>
        <w:t> </w:t>
      </w:r>
      <w:r>
        <w:rPr>
          <w:color w:val="231F20"/>
          <w:w w:val="105"/>
        </w:rPr>
        <w:t>y</w:t>
      </w:r>
      <w:r>
        <w:rPr>
          <w:color w:val="231F20"/>
          <w:spacing w:val="-10"/>
          <w:w w:val="105"/>
        </w:rPr>
        <w:t> </w:t>
      </w:r>
      <w:r>
        <w:rPr>
          <w:color w:val="231F20"/>
          <w:w w:val="105"/>
        </w:rPr>
        <w:t>hostigamiento</w:t>
      </w:r>
      <w:r>
        <w:rPr>
          <w:color w:val="231F20"/>
          <w:spacing w:val="-10"/>
          <w:w w:val="105"/>
        </w:rPr>
        <w:t> </w:t>
      </w:r>
      <w:r>
        <w:rPr>
          <w:color w:val="231F20"/>
          <w:w w:val="105"/>
        </w:rPr>
        <w:t>hacia</w:t>
      </w:r>
      <w:r>
        <w:rPr>
          <w:color w:val="231F20"/>
          <w:spacing w:val="-10"/>
          <w:w w:val="105"/>
        </w:rPr>
        <w:t> </w:t>
      </w:r>
      <w:r>
        <w:rPr>
          <w:color w:val="231F20"/>
          <w:w w:val="105"/>
        </w:rPr>
        <w:t>la</w:t>
      </w:r>
      <w:r>
        <w:rPr>
          <w:color w:val="231F20"/>
          <w:spacing w:val="-10"/>
          <w:w w:val="105"/>
        </w:rPr>
        <w:t> </w:t>
      </w:r>
      <w:r>
        <w:rPr>
          <w:color w:val="231F20"/>
          <w:w w:val="105"/>
        </w:rPr>
        <w:t>población</w:t>
      </w:r>
      <w:r>
        <w:rPr>
          <w:color w:val="231F20"/>
          <w:spacing w:val="-10"/>
          <w:w w:val="105"/>
        </w:rPr>
        <w:t> </w:t>
      </w:r>
      <w:r>
        <w:rPr>
          <w:color w:val="231F20"/>
          <w:w w:val="105"/>
        </w:rPr>
        <w:t>migrante</w:t>
      </w:r>
      <w:r>
        <w:rPr>
          <w:color w:val="231F20"/>
          <w:spacing w:val="-10"/>
          <w:w w:val="105"/>
        </w:rPr>
        <w:t> </w:t>
      </w:r>
      <w:r>
        <w:rPr>
          <w:color w:val="231F20"/>
          <w:w w:val="105"/>
        </w:rPr>
        <w:t>en</w:t>
      </w:r>
      <w:r>
        <w:rPr>
          <w:color w:val="231F20"/>
          <w:spacing w:val="-10"/>
          <w:w w:val="105"/>
        </w:rPr>
        <w:t> </w:t>
      </w:r>
      <w:r>
        <w:rPr>
          <w:color w:val="231F20"/>
          <w:w w:val="105"/>
        </w:rPr>
        <w:t>Estados Unidos. Aquí se discute el concepto de reinserción, para dar cuenta de los</w:t>
      </w:r>
      <w:r>
        <w:rPr>
          <w:color w:val="231F20"/>
          <w:spacing w:val="-12"/>
          <w:w w:val="105"/>
        </w:rPr>
        <w:t> </w:t>
      </w:r>
      <w:r>
        <w:rPr>
          <w:color w:val="231F20"/>
          <w:spacing w:val="-3"/>
          <w:w w:val="105"/>
        </w:rPr>
        <w:t>procesos</w:t>
      </w:r>
      <w:r>
        <w:rPr>
          <w:color w:val="231F20"/>
          <w:spacing w:val="-16"/>
          <w:w w:val="105"/>
        </w:rPr>
        <w:t> </w:t>
      </w:r>
      <w:r>
        <w:rPr>
          <w:color w:val="231F20"/>
          <w:w w:val="105"/>
        </w:rPr>
        <w:t>de</w:t>
      </w:r>
      <w:r>
        <w:rPr>
          <w:color w:val="231F20"/>
          <w:spacing w:val="-16"/>
          <w:w w:val="105"/>
        </w:rPr>
        <w:t> </w:t>
      </w:r>
      <w:r>
        <w:rPr>
          <w:color w:val="231F20"/>
          <w:spacing w:val="-3"/>
          <w:w w:val="105"/>
        </w:rPr>
        <w:t>inclusión</w:t>
      </w:r>
      <w:r>
        <w:rPr>
          <w:color w:val="231F20"/>
          <w:spacing w:val="-16"/>
          <w:w w:val="105"/>
        </w:rPr>
        <w:t> </w:t>
      </w:r>
      <w:r>
        <w:rPr>
          <w:color w:val="231F20"/>
          <w:w w:val="105"/>
        </w:rPr>
        <w:t>e</w:t>
      </w:r>
      <w:r>
        <w:rPr>
          <w:color w:val="231F20"/>
          <w:spacing w:val="-16"/>
          <w:w w:val="105"/>
        </w:rPr>
        <w:t> </w:t>
      </w:r>
      <w:r>
        <w:rPr>
          <w:color w:val="231F20"/>
          <w:spacing w:val="-3"/>
          <w:w w:val="105"/>
        </w:rPr>
        <w:t>involucramiento</w:t>
      </w:r>
      <w:r>
        <w:rPr>
          <w:color w:val="231F20"/>
          <w:spacing w:val="-16"/>
          <w:w w:val="105"/>
        </w:rPr>
        <w:t> </w:t>
      </w:r>
      <w:r>
        <w:rPr>
          <w:color w:val="231F20"/>
          <w:w w:val="105"/>
        </w:rPr>
        <w:t>del</w:t>
      </w:r>
      <w:r>
        <w:rPr>
          <w:color w:val="231F20"/>
          <w:spacing w:val="-16"/>
          <w:w w:val="105"/>
        </w:rPr>
        <w:t> </w:t>
      </w:r>
      <w:r>
        <w:rPr>
          <w:color w:val="231F20"/>
          <w:spacing w:val="-3"/>
          <w:w w:val="105"/>
        </w:rPr>
        <w:t>migrante</w:t>
      </w:r>
      <w:r>
        <w:rPr>
          <w:color w:val="231F20"/>
          <w:spacing w:val="-16"/>
          <w:w w:val="105"/>
        </w:rPr>
        <w:t> </w:t>
      </w:r>
      <w:r>
        <w:rPr>
          <w:color w:val="231F20"/>
          <w:w w:val="105"/>
        </w:rPr>
        <w:t>de</w:t>
      </w:r>
      <w:r>
        <w:rPr>
          <w:color w:val="231F20"/>
          <w:spacing w:val="-16"/>
          <w:w w:val="105"/>
        </w:rPr>
        <w:t> </w:t>
      </w:r>
      <w:r>
        <w:rPr>
          <w:color w:val="231F20"/>
          <w:spacing w:val="-3"/>
          <w:w w:val="105"/>
        </w:rPr>
        <w:t>retorno</w:t>
      </w:r>
      <w:r>
        <w:rPr>
          <w:color w:val="231F20"/>
          <w:spacing w:val="-16"/>
          <w:w w:val="105"/>
        </w:rPr>
        <w:t> </w:t>
      </w:r>
      <w:r>
        <w:rPr>
          <w:color w:val="231F20"/>
          <w:w w:val="105"/>
        </w:rPr>
        <w:t>en</w:t>
      </w:r>
      <w:r>
        <w:rPr>
          <w:color w:val="231F20"/>
          <w:spacing w:val="-16"/>
          <w:w w:val="105"/>
        </w:rPr>
        <w:t> </w:t>
      </w:r>
      <w:r>
        <w:rPr>
          <w:color w:val="231F20"/>
          <w:spacing w:val="-3"/>
          <w:w w:val="105"/>
        </w:rPr>
        <w:t>un</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1672" from="15pt,-71.68644pt" to="0pt,-71.68644pt" stroked="true" strokeweight=".25pt" strokecolor="#000000">
            <w10:wrap type="none"/>
          </v:line>
        </w:pict>
      </w:r>
      <w:r>
        <w:rPr/>
        <w:pict>
          <v:line style="position:absolute;mso-position-horizontal-relative:page;mso-position-vertical-relative:paragraph;z-index:1696" from="508.890015pt,-71.68644pt" to="523.890015pt,-71.68644pt" stroked="true" strokeweight=".25pt" strokecolor="#000000">
            <w10:wrap type="none"/>
          </v:line>
        </w:pict>
      </w:r>
      <w:r>
        <w:rPr>
          <w:color w:val="231F20"/>
          <w:spacing w:val="-3"/>
          <w:w w:val="105"/>
        </w:rPr>
        <w:t>lugar </w:t>
      </w:r>
      <w:r>
        <w:rPr>
          <w:color w:val="231F20"/>
          <w:w w:val="105"/>
        </w:rPr>
        <w:t>del </w:t>
      </w:r>
      <w:r>
        <w:rPr>
          <w:color w:val="231F20"/>
          <w:spacing w:val="-3"/>
          <w:w w:val="105"/>
        </w:rPr>
        <w:t>país </w:t>
      </w:r>
      <w:r>
        <w:rPr>
          <w:color w:val="231F20"/>
          <w:w w:val="105"/>
        </w:rPr>
        <w:t>de </w:t>
      </w:r>
      <w:r>
        <w:rPr>
          <w:color w:val="231F20"/>
          <w:spacing w:val="-3"/>
          <w:w w:val="105"/>
        </w:rPr>
        <w:t>origen, lugar </w:t>
      </w:r>
      <w:r>
        <w:rPr>
          <w:color w:val="231F20"/>
          <w:w w:val="105"/>
        </w:rPr>
        <w:t>en el que </w:t>
      </w:r>
      <w:r>
        <w:rPr>
          <w:color w:val="231F20"/>
          <w:spacing w:val="-3"/>
          <w:w w:val="105"/>
        </w:rPr>
        <w:t>puede </w:t>
      </w:r>
      <w:r>
        <w:rPr>
          <w:color w:val="231F20"/>
          <w:w w:val="105"/>
        </w:rPr>
        <w:t>ser un </w:t>
      </w:r>
      <w:r>
        <w:rPr>
          <w:color w:val="231F20"/>
          <w:spacing w:val="-3"/>
          <w:w w:val="105"/>
        </w:rPr>
        <w:t>propio </w:t>
      </w:r>
      <w:r>
        <w:rPr>
          <w:color w:val="231F20"/>
          <w:spacing w:val="-4"/>
          <w:w w:val="105"/>
        </w:rPr>
        <w:t>extranjero, </w:t>
      </w:r>
      <w:r>
        <w:rPr>
          <w:color w:val="231F20"/>
          <w:spacing w:val="-3"/>
          <w:w w:val="105"/>
        </w:rPr>
        <w:t>debido</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spacing w:val="-3"/>
          <w:w w:val="105"/>
        </w:rPr>
        <w:t>transformaciones</w:t>
      </w:r>
      <w:r>
        <w:rPr>
          <w:color w:val="231F20"/>
          <w:spacing w:val="-13"/>
          <w:w w:val="105"/>
        </w:rPr>
        <w:t> </w:t>
      </w:r>
      <w:r>
        <w:rPr>
          <w:color w:val="231F20"/>
          <w:w w:val="105"/>
        </w:rPr>
        <w:t>que</w:t>
      </w:r>
      <w:r>
        <w:rPr>
          <w:color w:val="231F20"/>
          <w:spacing w:val="-13"/>
          <w:w w:val="105"/>
        </w:rPr>
        <w:t> </w:t>
      </w:r>
      <w:r>
        <w:rPr>
          <w:color w:val="231F20"/>
          <w:w w:val="105"/>
        </w:rPr>
        <w:t>ha</w:t>
      </w:r>
      <w:r>
        <w:rPr>
          <w:color w:val="231F20"/>
          <w:spacing w:val="-13"/>
          <w:w w:val="105"/>
        </w:rPr>
        <w:t> </w:t>
      </w:r>
      <w:r>
        <w:rPr>
          <w:color w:val="231F20"/>
          <w:spacing w:val="-3"/>
          <w:w w:val="105"/>
        </w:rPr>
        <w:t>experimentado</w:t>
      </w:r>
      <w:r>
        <w:rPr>
          <w:color w:val="231F20"/>
          <w:spacing w:val="-13"/>
          <w:w w:val="105"/>
        </w:rPr>
        <w:t> </w:t>
      </w:r>
      <w:r>
        <w:rPr>
          <w:color w:val="231F20"/>
          <w:w w:val="105"/>
        </w:rPr>
        <w:t>el</w:t>
      </w:r>
      <w:r>
        <w:rPr>
          <w:color w:val="231F20"/>
          <w:spacing w:val="-13"/>
          <w:w w:val="105"/>
        </w:rPr>
        <w:t> </w:t>
      </w:r>
      <w:r>
        <w:rPr>
          <w:color w:val="231F20"/>
          <w:spacing w:val="-3"/>
          <w:w w:val="105"/>
        </w:rPr>
        <w:t>espacio</w:t>
      </w:r>
      <w:r>
        <w:rPr>
          <w:color w:val="231F20"/>
          <w:spacing w:val="-13"/>
          <w:w w:val="105"/>
        </w:rPr>
        <w:t> </w:t>
      </w:r>
      <w:r>
        <w:rPr>
          <w:color w:val="231F20"/>
          <w:spacing w:val="-3"/>
          <w:w w:val="105"/>
        </w:rPr>
        <w:t>social,</w:t>
      </w:r>
      <w:r>
        <w:rPr>
          <w:color w:val="231F20"/>
          <w:spacing w:val="-18"/>
          <w:w w:val="105"/>
        </w:rPr>
        <w:t> </w:t>
      </w:r>
      <w:r>
        <w:rPr>
          <w:color w:val="231F20"/>
          <w:spacing w:val="-3"/>
          <w:w w:val="105"/>
        </w:rPr>
        <w:t>el mismo</w:t>
      </w:r>
      <w:r>
        <w:rPr>
          <w:color w:val="231F20"/>
          <w:spacing w:val="-23"/>
          <w:w w:val="105"/>
        </w:rPr>
        <w:t> </w:t>
      </w:r>
      <w:r>
        <w:rPr>
          <w:color w:val="231F20"/>
          <w:spacing w:val="-3"/>
          <w:w w:val="105"/>
        </w:rPr>
        <w:t>migrante</w:t>
      </w:r>
      <w:r>
        <w:rPr>
          <w:color w:val="231F20"/>
          <w:spacing w:val="-23"/>
          <w:w w:val="105"/>
        </w:rPr>
        <w:t> </w:t>
      </w:r>
      <w:r>
        <w:rPr>
          <w:color w:val="231F20"/>
          <w:w w:val="105"/>
        </w:rPr>
        <w:t>y</w:t>
      </w:r>
      <w:r>
        <w:rPr>
          <w:color w:val="231F20"/>
          <w:spacing w:val="-23"/>
          <w:w w:val="105"/>
        </w:rPr>
        <w:t> </w:t>
      </w:r>
      <w:r>
        <w:rPr>
          <w:color w:val="231F20"/>
          <w:w w:val="105"/>
        </w:rPr>
        <w:t>los</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spacing w:val="-3"/>
          <w:w w:val="105"/>
        </w:rPr>
        <w:t>quedaron</w:t>
      </w:r>
      <w:r>
        <w:rPr>
          <w:color w:val="231F20"/>
          <w:spacing w:val="-23"/>
          <w:w w:val="105"/>
        </w:rPr>
        <w:t> </w:t>
      </w:r>
      <w:r>
        <w:rPr>
          <w:color w:val="231F20"/>
          <w:w w:val="105"/>
        </w:rPr>
        <w:t>en</w:t>
      </w:r>
      <w:r>
        <w:rPr>
          <w:color w:val="231F20"/>
          <w:spacing w:val="-23"/>
          <w:w w:val="105"/>
        </w:rPr>
        <w:t> </w:t>
      </w:r>
      <w:r>
        <w:rPr>
          <w:color w:val="231F20"/>
          <w:w w:val="105"/>
        </w:rPr>
        <w:t>ese</w:t>
      </w:r>
      <w:r>
        <w:rPr>
          <w:color w:val="231F20"/>
          <w:spacing w:val="-23"/>
          <w:w w:val="105"/>
        </w:rPr>
        <w:t> </w:t>
      </w:r>
      <w:r>
        <w:rPr>
          <w:color w:val="231F20"/>
          <w:spacing w:val="-3"/>
          <w:w w:val="105"/>
        </w:rPr>
        <w:t>territorio.</w:t>
      </w:r>
      <w:r>
        <w:rPr>
          <w:color w:val="231F20"/>
          <w:spacing w:val="-29"/>
          <w:w w:val="105"/>
        </w:rPr>
        <w:t> </w:t>
      </w:r>
      <w:r>
        <w:rPr>
          <w:color w:val="231F20"/>
          <w:spacing w:val="-3"/>
          <w:w w:val="105"/>
        </w:rPr>
        <w:t>Esto</w:t>
      </w:r>
      <w:r>
        <w:rPr>
          <w:color w:val="231F20"/>
          <w:spacing w:val="-23"/>
          <w:w w:val="105"/>
        </w:rPr>
        <w:t> </w:t>
      </w:r>
      <w:r>
        <w:rPr>
          <w:color w:val="231F20"/>
          <w:spacing w:val="-3"/>
          <w:w w:val="105"/>
        </w:rPr>
        <w:t>puede</w:t>
      </w:r>
      <w:r>
        <w:rPr>
          <w:color w:val="231F20"/>
          <w:spacing w:val="-23"/>
          <w:w w:val="105"/>
        </w:rPr>
        <w:t> </w:t>
      </w:r>
      <w:r>
        <w:rPr>
          <w:color w:val="231F20"/>
          <w:spacing w:val="-3"/>
          <w:w w:val="105"/>
        </w:rPr>
        <w:t>ocurrir particularmente </w:t>
      </w:r>
      <w:r>
        <w:rPr>
          <w:color w:val="231F20"/>
          <w:w w:val="105"/>
        </w:rPr>
        <w:t>en </w:t>
      </w:r>
      <w:r>
        <w:rPr>
          <w:color w:val="231F20"/>
          <w:spacing w:val="-3"/>
          <w:w w:val="105"/>
        </w:rPr>
        <w:t>contextos como ciudad Nezahualcóyotl, donde </w:t>
      </w:r>
      <w:r>
        <w:rPr>
          <w:color w:val="231F20"/>
          <w:w w:val="105"/>
        </w:rPr>
        <w:t>el </w:t>
      </w:r>
      <w:r>
        <w:rPr>
          <w:color w:val="231F20"/>
          <w:spacing w:val="-3"/>
          <w:w w:val="105"/>
        </w:rPr>
        <w:t>re- torno</w:t>
      </w:r>
      <w:r>
        <w:rPr>
          <w:color w:val="231F20"/>
          <w:spacing w:val="-19"/>
          <w:w w:val="105"/>
        </w:rPr>
        <w:t> </w:t>
      </w:r>
      <w:r>
        <w:rPr>
          <w:color w:val="231F20"/>
          <w:w w:val="105"/>
        </w:rPr>
        <w:t>no</w:t>
      </w:r>
      <w:r>
        <w:rPr>
          <w:color w:val="231F20"/>
          <w:spacing w:val="-19"/>
          <w:w w:val="105"/>
        </w:rPr>
        <w:t> </w:t>
      </w:r>
      <w:r>
        <w:rPr>
          <w:color w:val="231F20"/>
          <w:w w:val="105"/>
        </w:rPr>
        <w:t>en</w:t>
      </w:r>
      <w:r>
        <w:rPr>
          <w:color w:val="231F20"/>
          <w:spacing w:val="-19"/>
          <w:w w:val="105"/>
        </w:rPr>
        <w:t> </w:t>
      </w:r>
      <w:r>
        <w:rPr>
          <w:color w:val="231F20"/>
          <w:spacing w:val="-3"/>
          <w:w w:val="105"/>
        </w:rPr>
        <w:t>todos</w:t>
      </w:r>
      <w:r>
        <w:rPr>
          <w:color w:val="231F20"/>
          <w:spacing w:val="-19"/>
          <w:w w:val="105"/>
        </w:rPr>
        <w:t> </w:t>
      </w:r>
      <w:r>
        <w:rPr>
          <w:color w:val="231F20"/>
          <w:w w:val="105"/>
        </w:rPr>
        <w:t>los</w:t>
      </w:r>
      <w:r>
        <w:rPr>
          <w:color w:val="231F20"/>
          <w:spacing w:val="-19"/>
          <w:w w:val="105"/>
        </w:rPr>
        <w:t> </w:t>
      </w:r>
      <w:r>
        <w:rPr>
          <w:color w:val="231F20"/>
          <w:spacing w:val="-3"/>
          <w:w w:val="105"/>
        </w:rPr>
        <w:t>casos</w:t>
      </w:r>
      <w:r>
        <w:rPr>
          <w:color w:val="231F20"/>
          <w:spacing w:val="-19"/>
          <w:w w:val="105"/>
        </w:rPr>
        <w:t> </w:t>
      </w:r>
      <w:r>
        <w:rPr>
          <w:color w:val="231F20"/>
          <w:spacing w:val="-3"/>
          <w:w w:val="105"/>
        </w:rPr>
        <w:t>corresponde</w:t>
      </w:r>
      <w:r>
        <w:rPr>
          <w:color w:val="231F20"/>
          <w:spacing w:val="-19"/>
          <w:w w:val="105"/>
        </w:rPr>
        <w:t> </w:t>
      </w:r>
      <w:r>
        <w:rPr>
          <w:color w:val="231F20"/>
          <w:w w:val="105"/>
        </w:rPr>
        <w:t>al</w:t>
      </w:r>
      <w:r>
        <w:rPr>
          <w:color w:val="231F20"/>
          <w:spacing w:val="-19"/>
          <w:w w:val="105"/>
        </w:rPr>
        <w:t> </w:t>
      </w:r>
      <w:r>
        <w:rPr>
          <w:color w:val="231F20"/>
          <w:spacing w:val="-3"/>
          <w:w w:val="105"/>
        </w:rPr>
        <w:t>lugar</w:t>
      </w:r>
      <w:r>
        <w:rPr>
          <w:color w:val="231F20"/>
          <w:spacing w:val="-19"/>
          <w:w w:val="105"/>
        </w:rPr>
        <w:t> </w:t>
      </w:r>
      <w:r>
        <w:rPr>
          <w:color w:val="231F20"/>
          <w:w w:val="105"/>
        </w:rPr>
        <w:t>de</w:t>
      </w:r>
      <w:r>
        <w:rPr>
          <w:color w:val="231F20"/>
          <w:spacing w:val="-19"/>
          <w:w w:val="105"/>
        </w:rPr>
        <w:t> </w:t>
      </w:r>
      <w:r>
        <w:rPr>
          <w:color w:val="231F20"/>
          <w:spacing w:val="-3"/>
          <w:w w:val="105"/>
        </w:rPr>
        <w:t>origen</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spacing w:val="-4"/>
          <w:w w:val="105"/>
        </w:rPr>
        <w:t>reinserción </w:t>
      </w:r>
      <w:r>
        <w:rPr>
          <w:color w:val="231F20"/>
          <w:w w:val="105"/>
        </w:rPr>
        <w:t>no</w:t>
      </w:r>
      <w:r>
        <w:rPr>
          <w:color w:val="231F20"/>
          <w:spacing w:val="-22"/>
          <w:w w:val="105"/>
        </w:rPr>
        <w:t> </w:t>
      </w:r>
      <w:r>
        <w:rPr>
          <w:color w:val="231F20"/>
          <w:spacing w:val="-3"/>
          <w:w w:val="105"/>
        </w:rPr>
        <w:t>necesariamente</w:t>
      </w:r>
      <w:r>
        <w:rPr>
          <w:color w:val="231F20"/>
          <w:spacing w:val="-22"/>
          <w:w w:val="105"/>
        </w:rPr>
        <w:t> </w:t>
      </w:r>
      <w:r>
        <w:rPr>
          <w:color w:val="231F20"/>
          <w:spacing w:val="-3"/>
          <w:w w:val="105"/>
        </w:rPr>
        <w:t>cumple</w:t>
      </w:r>
      <w:r>
        <w:rPr>
          <w:color w:val="231F20"/>
          <w:spacing w:val="-22"/>
          <w:w w:val="105"/>
        </w:rPr>
        <w:t> </w:t>
      </w:r>
      <w:r>
        <w:rPr>
          <w:color w:val="231F20"/>
          <w:w w:val="105"/>
        </w:rPr>
        <w:t>la</w:t>
      </w:r>
      <w:r>
        <w:rPr>
          <w:color w:val="231F20"/>
          <w:spacing w:val="-22"/>
          <w:w w:val="105"/>
        </w:rPr>
        <w:t> </w:t>
      </w:r>
      <w:r>
        <w:rPr>
          <w:color w:val="231F20"/>
          <w:spacing w:val="-3"/>
          <w:w w:val="105"/>
        </w:rPr>
        <w:t>expectativa</w:t>
      </w:r>
      <w:r>
        <w:rPr>
          <w:color w:val="231F20"/>
          <w:spacing w:val="-22"/>
          <w:w w:val="105"/>
        </w:rPr>
        <w:t> </w:t>
      </w:r>
      <w:r>
        <w:rPr>
          <w:color w:val="231F20"/>
          <w:w w:val="105"/>
        </w:rPr>
        <w:t>de</w:t>
      </w:r>
      <w:r>
        <w:rPr>
          <w:color w:val="231F20"/>
          <w:spacing w:val="-22"/>
          <w:w w:val="105"/>
        </w:rPr>
        <w:t> </w:t>
      </w:r>
      <w:r>
        <w:rPr>
          <w:color w:val="231F20"/>
          <w:w w:val="105"/>
        </w:rPr>
        <w:t>ser</w:t>
      </w:r>
      <w:r>
        <w:rPr>
          <w:color w:val="231F20"/>
          <w:spacing w:val="-22"/>
          <w:w w:val="105"/>
        </w:rPr>
        <w:t> </w:t>
      </w:r>
      <w:r>
        <w:rPr>
          <w:color w:val="231F20"/>
          <w:spacing w:val="-3"/>
          <w:w w:val="105"/>
        </w:rPr>
        <w:t>incluido</w:t>
      </w:r>
      <w:r>
        <w:rPr>
          <w:color w:val="231F20"/>
          <w:spacing w:val="-22"/>
          <w:w w:val="105"/>
        </w:rPr>
        <w:t> </w:t>
      </w:r>
      <w:r>
        <w:rPr>
          <w:color w:val="231F20"/>
          <w:spacing w:val="-3"/>
          <w:w w:val="105"/>
        </w:rPr>
        <w:t>socialmente.</w:t>
      </w:r>
    </w:p>
    <w:p>
      <w:pPr>
        <w:pStyle w:val="BodyText"/>
        <w:spacing w:line="261" w:lineRule="auto" w:before="1"/>
        <w:ind w:left="1723" w:right="1828" w:firstLine="567"/>
        <w:jc w:val="both"/>
      </w:pPr>
      <w:r>
        <w:rPr>
          <w:color w:val="231F20"/>
          <w:w w:val="105"/>
        </w:rPr>
        <w:t>En</w:t>
      </w:r>
      <w:r>
        <w:rPr>
          <w:color w:val="231F20"/>
          <w:spacing w:val="-24"/>
          <w:w w:val="105"/>
        </w:rPr>
        <w:t> </w:t>
      </w:r>
      <w:r>
        <w:rPr>
          <w:color w:val="231F20"/>
          <w:w w:val="105"/>
        </w:rPr>
        <w:t>este</w:t>
      </w:r>
      <w:r>
        <w:rPr>
          <w:color w:val="231F20"/>
          <w:spacing w:val="-24"/>
          <w:w w:val="105"/>
        </w:rPr>
        <w:t> </w:t>
      </w:r>
      <w:r>
        <w:rPr>
          <w:color w:val="231F20"/>
          <w:w w:val="105"/>
        </w:rPr>
        <w:t>sentido,</w:t>
      </w:r>
      <w:r>
        <w:rPr>
          <w:color w:val="231F20"/>
          <w:spacing w:val="-28"/>
          <w:w w:val="105"/>
        </w:rPr>
        <w:t> </w:t>
      </w:r>
      <w:r>
        <w:rPr>
          <w:color w:val="231F20"/>
          <w:w w:val="105"/>
        </w:rPr>
        <w:t>el</w:t>
      </w:r>
      <w:r>
        <w:rPr>
          <w:color w:val="231F20"/>
          <w:spacing w:val="-24"/>
          <w:w w:val="105"/>
        </w:rPr>
        <w:t> </w:t>
      </w:r>
      <w:r>
        <w:rPr>
          <w:color w:val="231F20"/>
          <w:w w:val="105"/>
        </w:rPr>
        <w:t>sexto</w:t>
      </w:r>
      <w:r>
        <w:rPr>
          <w:color w:val="231F20"/>
          <w:spacing w:val="-24"/>
          <w:w w:val="105"/>
        </w:rPr>
        <w:t> </w:t>
      </w:r>
      <w:r>
        <w:rPr>
          <w:color w:val="231F20"/>
          <w:w w:val="105"/>
        </w:rPr>
        <w:t>capítulo,</w:t>
      </w:r>
      <w:r>
        <w:rPr>
          <w:color w:val="231F20"/>
          <w:spacing w:val="-28"/>
          <w:w w:val="105"/>
        </w:rPr>
        <w:t> </w:t>
      </w:r>
      <w:r>
        <w:rPr>
          <w:color w:val="231F20"/>
          <w:w w:val="105"/>
        </w:rPr>
        <w:t>“Población</w:t>
      </w:r>
      <w:r>
        <w:rPr>
          <w:color w:val="231F20"/>
          <w:spacing w:val="-24"/>
          <w:w w:val="105"/>
        </w:rPr>
        <w:t> </w:t>
      </w:r>
      <w:r>
        <w:rPr>
          <w:color w:val="231F20"/>
          <w:w w:val="105"/>
        </w:rPr>
        <w:t>migrante</w:t>
      </w:r>
      <w:r>
        <w:rPr>
          <w:color w:val="231F20"/>
          <w:spacing w:val="-24"/>
          <w:w w:val="105"/>
        </w:rPr>
        <w:t> </w:t>
      </w:r>
      <w:r>
        <w:rPr>
          <w:color w:val="231F20"/>
          <w:w w:val="105"/>
        </w:rPr>
        <w:t>mexiquense devuelta</w:t>
      </w:r>
      <w:r>
        <w:rPr>
          <w:color w:val="231F20"/>
          <w:spacing w:val="-17"/>
          <w:w w:val="105"/>
        </w:rPr>
        <w:t> </w:t>
      </w:r>
      <w:r>
        <w:rPr>
          <w:color w:val="231F20"/>
          <w:w w:val="105"/>
        </w:rPr>
        <w:t>de</w:t>
      </w:r>
      <w:r>
        <w:rPr>
          <w:color w:val="231F20"/>
          <w:spacing w:val="-17"/>
          <w:w w:val="105"/>
        </w:rPr>
        <w:t> </w:t>
      </w:r>
      <w:r>
        <w:rPr>
          <w:color w:val="231F20"/>
          <w:w w:val="105"/>
        </w:rPr>
        <w:t>Estados</w:t>
      </w:r>
      <w:r>
        <w:rPr>
          <w:color w:val="231F20"/>
          <w:spacing w:val="-17"/>
          <w:w w:val="105"/>
        </w:rPr>
        <w:t> </w:t>
      </w:r>
      <w:r>
        <w:rPr>
          <w:color w:val="231F20"/>
          <w:w w:val="105"/>
        </w:rPr>
        <w:t>Unidos:</w:t>
      </w:r>
      <w:r>
        <w:rPr>
          <w:color w:val="231F20"/>
          <w:spacing w:val="-17"/>
          <w:w w:val="105"/>
        </w:rPr>
        <w:t> </w:t>
      </w:r>
      <w:r>
        <w:rPr>
          <w:color w:val="231F20"/>
          <w:w w:val="105"/>
        </w:rPr>
        <w:t>Dinámica</w:t>
      </w:r>
      <w:r>
        <w:rPr>
          <w:color w:val="231F20"/>
          <w:spacing w:val="-17"/>
          <w:w w:val="105"/>
        </w:rPr>
        <w:t> </w:t>
      </w:r>
      <w:r>
        <w:rPr>
          <w:color w:val="231F20"/>
          <w:w w:val="105"/>
        </w:rPr>
        <w:t>del</w:t>
      </w:r>
      <w:r>
        <w:rPr>
          <w:color w:val="231F20"/>
          <w:spacing w:val="-17"/>
          <w:w w:val="105"/>
        </w:rPr>
        <w:t> </w:t>
      </w:r>
      <w:r>
        <w:rPr>
          <w:color w:val="231F20"/>
          <w:w w:val="105"/>
        </w:rPr>
        <w:t>flujo</w:t>
      </w:r>
      <w:r>
        <w:rPr>
          <w:color w:val="231F20"/>
          <w:spacing w:val="-17"/>
          <w:w w:val="105"/>
        </w:rPr>
        <w:t> </w:t>
      </w:r>
      <w:r>
        <w:rPr>
          <w:color w:val="231F20"/>
          <w:w w:val="105"/>
        </w:rPr>
        <w:t>en</w:t>
      </w:r>
      <w:r>
        <w:rPr>
          <w:color w:val="231F20"/>
          <w:spacing w:val="-17"/>
          <w:w w:val="105"/>
        </w:rPr>
        <w:t> </w:t>
      </w:r>
      <w:r>
        <w:rPr>
          <w:color w:val="231F20"/>
          <w:w w:val="105"/>
        </w:rPr>
        <w:t>tiempos</w:t>
      </w:r>
      <w:r>
        <w:rPr>
          <w:color w:val="231F20"/>
          <w:spacing w:val="-17"/>
          <w:w w:val="105"/>
        </w:rPr>
        <w:t> </w:t>
      </w:r>
      <w:r>
        <w:rPr>
          <w:color w:val="231F20"/>
          <w:w w:val="105"/>
        </w:rPr>
        <w:t>de</w:t>
      </w:r>
      <w:r>
        <w:rPr>
          <w:color w:val="231F20"/>
          <w:spacing w:val="-17"/>
          <w:w w:val="105"/>
        </w:rPr>
        <w:t> </w:t>
      </w:r>
      <w:r>
        <w:rPr>
          <w:color w:val="231F20"/>
          <w:w w:val="105"/>
        </w:rPr>
        <w:t>crisis</w:t>
      </w:r>
      <w:r>
        <w:rPr>
          <w:color w:val="231F20"/>
          <w:spacing w:val="-17"/>
          <w:w w:val="105"/>
        </w:rPr>
        <w:t> </w:t>
      </w:r>
      <w:r>
        <w:rPr>
          <w:color w:val="231F20"/>
          <w:w w:val="105"/>
        </w:rPr>
        <w:t>eco- nómica</w:t>
      </w:r>
      <w:r>
        <w:rPr>
          <w:color w:val="231F20"/>
          <w:spacing w:val="-14"/>
          <w:w w:val="105"/>
        </w:rPr>
        <w:t> </w:t>
      </w:r>
      <w:r>
        <w:rPr>
          <w:color w:val="231F20"/>
          <w:w w:val="105"/>
        </w:rPr>
        <w:t>y</w:t>
      </w:r>
      <w:r>
        <w:rPr>
          <w:color w:val="231F20"/>
          <w:spacing w:val="-14"/>
          <w:w w:val="105"/>
        </w:rPr>
        <w:t> </w:t>
      </w:r>
      <w:r>
        <w:rPr>
          <w:color w:val="231F20"/>
          <w:w w:val="105"/>
        </w:rPr>
        <w:t>violencia</w:t>
      </w:r>
      <w:r>
        <w:rPr>
          <w:color w:val="231F20"/>
          <w:spacing w:val="-14"/>
          <w:w w:val="105"/>
        </w:rPr>
        <w:t> </w:t>
      </w:r>
      <w:r>
        <w:rPr>
          <w:color w:val="231F20"/>
          <w:w w:val="105"/>
        </w:rPr>
        <w:t>antiinmigrante”,</w:t>
      </w:r>
      <w:r>
        <w:rPr>
          <w:color w:val="231F20"/>
          <w:spacing w:val="-18"/>
          <w:w w:val="105"/>
        </w:rPr>
        <w:t> </w:t>
      </w:r>
      <w:r>
        <w:rPr>
          <w:color w:val="231F20"/>
          <w:w w:val="105"/>
        </w:rPr>
        <w:t>de</w:t>
      </w:r>
      <w:r>
        <w:rPr>
          <w:color w:val="231F20"/>
          <w:spacing w:val="-17"/>
          <w:w w:val="105"/>
        </w:rPr>
        <w:t> </w:t>
      </w:r>
      <w:r>
        <w:rPr>
          <w:color w:val="231F20"/>
          <w:w w:val="105"/>
        </w:rPr>
        <w:t>Ana</w:t>
      </w:r>
      <w:r>
        <w:rPr>
          <w:color w:val="231F20"/>
          <w:spacing w:val="-14"/>
          <w:w w:val="105"/>
        </w:rPr>
        <w:t> </w:t>
      </w:r>
      <w:r>
        <w:rPr>
          <w:color w:val="231F20"/>
          <w:w w:val="105"/>
        </w:rPr>
        <w:t>Elizabeth</w:t>
      </w:r>
      <w:r>
        <w:rPr>
          <w:color w:val="231F20"/>
          <w:spacing w:val="-16"/>
          <w:w w:val="105"/>
        </w:rPr>
        <w:t> </w:t>
      </w:r>
      <w:r>
        <w:rPr>
          <w:color w:val="231F20"/>
          <w:w w:val="105"/>
        </w:rPr>
        <w:t>Jardón</w:t>
      </w:r>
      <w:r>
        <w:rPr>
          <w:color w:val="231F20"/>
          <w:spacing w:val="-14"/>
          <w:w w:val="105"/>
        </w:rPr>
        <w:t> </w:t>
      </w:r>
      <w:r>
        <w:rPr>
          <w:color w:val="231F20"/>
          <w:w w:val="105"/>
        </w:rPr>
        <w:t>Hernández, Norma</w:t>
      </w:r>
      <w:r>
        <w:rPr>
          <w:color w:val="231F20"/>
          <w:spacing w:val="-19"/>
          <w:w w:val="105"/>
        </w:rPr>
        <w:t> </w:t>
      </w:r>
      <w:r>
        <w:rPr>
          <w:color w:val="231F20"/>
          <w:w w:val="105"/>
        </w:rPr>
        <w:t>Baca</w:t>
      </w:r>
      <w:r>
        <w:rPr>
          <w:color w:val="231F20"/>
          <w:spacing w:val="-22"/>
          <w:w w:val="105"/>
        </w:rPr>
        <w:t> </w:t>
      </w:r>
      <w:r>
        <w:rPr>
          <w:color w:val="231F20"/>
          <w:spacing w:val="-4"/>
          <w:w w:val="105"/>
        </w:rPr>
        <w:t>Tavira</w:t>
      </w:r>
      <w:r>
        <w:rPr>
          <w:color w:val="231F20"/>
          <w:spacing w:val="-19"/>
          <w:w w:val="105"/>
        </w:rPr>
        <w:t> </w:t>
      </w:r>
      <w:r>
        <w:rPr>
          <w:color w:val="231F20"/>
          <w:w w:val="105"/>
        </w:rPr>
        <w:t>e</w:t>
      </w:r>
      <w:r>
        <w:rPr>
          <w:color w:val="231F20"/>
          <w:spacing w:val="-19"/>
          <w:w w:val="105"/>
        </w:rPr>
        <w:t> </w:t>
      </w:r>
      <w:r>
        <w:rPr>
          <w:color w:val="231F20"/>
          <w:w w:val="105"/>
        </w:rPr>
        <w:t>Itzel</w:t>
      </w:r>
      <w:r>
        <w:rPr>
          <w:color w:val="231F20"/>
          <w:spacing w:val="-19"/>
          <w:w w:val="105"/>
        </w:rPr>
        <w:t> </w:t>
      </w:r>
      <w:r>
        <w:rPr>
          <w:color w:val="231F20"/>
          <w:w w:val="105"/>
        </w:rPr>
        <w:t>Hernández</w:t>
      </w:r>
      <w:r>
        <w:rPr>
          <w:color w:val="231F20"/>
          <w:spacing w:val="-19"/>
          <w:w w:val="105"/>
        </w:rPr>
        <w:t> </w:t>
      </w:r>
      <w:r>
        <w:rPr>
          <w:color w:val="231F20"/>
          <w:w w:val="105"/>
        </w:rPr>
        <w:t>Lara,</w:t>
      </w:r>
      <w:r>
        <w:rPr>
          <w:color w:val="231F20"/>
          <w:spacing w:val="-22"/>
          <w:w w:val="105"/>
        </w:rPr>
        <w:t> </w:t>
      </w:r>
      <w:r>
        <w:rPr>
          <w:color w:val="231F20"/>
          <w:w w:val="105"/>
        </w:rPr>
        <w:t>analiza</w:t>
      </w:r>
      <w:r>
        <w:rPr>
          <w:color w:val="231F20"/>
          <w:spacing w:val="-19"/>
          <w:w w:val="105"/>
        </w:rPr>
        <w:t> </w:t>
      </w:r>
      <w:r>
        <w:rPr>
          <w:color w:val="231F20"/>
          <w:w w:val="105"/>
        </w:rPr>
        <w:t>las</w:t>
      </w:r>
      <w:r>
        <w:rPr>
          <w:color w:val="231F20"/>
          <w:spacing w:val="-19"/>
          <w:w w:val="105"/>
        </w:rPr>
        <w:t> </w:t>
      </w:r>
      <w:r>
        <w:rPr>
          <w:color w:val="231F20"/>
          <w:w w:val="105"/>
        </w:rPr>
        <w:t>principales</w:t>
      </w:r>
      <w:r>
        <w:rPr>
          <w:color w:val="231F20"/>
          <w:spacing w:val="-19"/>
          <w:w w:val="105"/>
        </w:rPr>
        <w:t> </w:t>
      </w:r>
      <w:r>
        <w:rPr>
          <w:color w:val="231F20"/>
          <w:w w:val="105"/>
        </w:rPr>
        <w:t>carac- terísticas</w:t>
      </w:r>
      <w:r>
        <w:rPr>
          <w:color w:val="231F20"/>
          <w:spacing w:val="-23"/>
          <w:w w:val="105"/>
        </w:rPr>
        <w:t> </w:t>
      </w:r>
      <w:r>
        <w:rPr>
          <w:color w:val="231F20"/>
          <w:w w:val="105"/>
        </w:rPr>
        <w:t>sociodemográficas,</w:t>
      </w:r>
      <w:r>
        <w:rPr>
          <w:color w:val="231F20"/>
          <w:spacing w:val="-28"/>
          <w:w w:val="105"/>
        </w:rPr>
        <w:t> </w:t>
      </w:r>
      <w:r>
        <w:rPr>
          <w:color w:val="231F20"/>
          <w:w w:val="105"/>
        </w:rPr>
        <w:t>así</w:t>
      </w:r>
      <w:r>
        <w:rPr>
          <w:color w:val="231F20"/>
          <w:spacing w:val="-23"/>
          <w:w w:val="105"/>
        </w:rPr>
        <w:t> </w:t>
      </w:r>
      <w:r>
        <w:rPr>
          <w:color w:val="231F20"/>
          <w:w w:val="105"/>
        </w:rPr>
        <w:t>como</w:t>
      </w:r>
      <w:r>
        <w:rPr>
          <w:color w:val="231F20"/>
          <w:spacing w:val="-23"/>
          <w:w w:val="105"/>
        </w:rPr>
        <w:t> </w:t>
      </w:r>
      <w:r>
        <w:rPr>
          <w:color w:val="231F20"/>
          <w:w w:val="105"/>
        </w:rPr>
        <w:t>la</w:t>
      </w:r>
      <w:r>
        <w:rPr>
          <w:color w:val="231F20"/>
          <w:spacing w:val="-23"/>
          <w:w w:val="105"/>
        </w:rPr>
        <w:t> </w:t>
      </w:r>
      <w:r>
        <w:rPr>
          <w:color w:val="231F20"/>
          <w:w w:val="105"/>
        </w:rPr>
        <w:t>experiencia</w:t>
      </w:r>
      <w:r>
        <w:rPr>
          <w:color w:val="231F20"/>
          <w:spacing w:val="-23"/>
          <w:w w:val="105"/>
        </w:rPr>
        <w:t> </w:t>
      </w:r>
      <w:r>
        <w:rPr>
          <w:color w:val="231F20"/>
          <w:w w:val="105"/>
        </w:rPr>
        <w:t>del</w:t>
      </w:r>
      <w:r>
        <w:rPr>
          <w:color w:val="231F20"/>
          <w:spacing w:val="-23"/>
          <w:w w:val="105"/>
        </w:rPr>
        <w:t> </w:t>
      </w:r>
      <w:r>
        <w:rPr>
          <w:color w:val="231F20"/>
          <w:w w:val="105"/>
        </w:rPr>
        <w:t>cruce</w:t>
      </w:r>
      <w:r>
        <w:rPr>
          <w:color w:val="231F20"/>
          <w:spacing w:val="-23"/>
          <w:w w:val="105"/>
        </w:rPr>
        <w:t> </w:t>
      </w:r>
      <w:r>
        <w:rPr>
          <w:color w:val="231F20"/>
          <w:w w:val="105"/>
        </w:rPr>
        <w:t>y</w:t>
      </w:r>
      <w:r>
        <w:rPr>
          <w:color w:val="231F20"/>
          <w:spacing w:val="-23"/>
          <w:w w:val="105"/>
        </w:rPr>
        <w:t> </w:t>
      </w:r>
      <w:r>
        <w:rPr>
          <w:color w:val="231F20"/>
          <w:w w:val="105"/>
        </w:rPr>
        <w:t>los</w:t>
      </w:r>
      <w:r>
        <w:rPr>
          <w:color w:val="231F20"/>
          <w:spacing w:val="-23"/>
          <w:w w:val="105"/>
        </w:rPr>
        <w:t> </w:t>
      </w:r>
      <w:r>
        <w:rPr>
          <w:color w:val="231F20"/>
          <w:w w:val="105"/>
        </w:rPr>
        <w:t>ries- gos</w:t>
      </w:r>
      <w:r>
        <w:rPr>
          <w:color w:val="231F20"/>
          <w:spacing w:val="-13"/>
          <w:w w:val="105"/>
        </w:rPr>
        <w:t> </w:t>
      </w:r>
      <w:r>
        <w:rPr>
          <w:color w:val="231F20"/>
          <w:w w:val="105"/>
        </w:rPr>
        <w:t>enfrentados</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población</w:t>
      </w:r>
      <w:r>
        <w:rPr>
          <w:color w:val="231F20"/>
          <w:spacing w:val="-13"/>
          <w:w w:val="105"/>
        </w:rPr>
        <w:t> </w:t>
      </w:r>
      <w:r>
        <w:rPr>
          <w:color w:val="231F20"/>
          <w:w w:val="105"/>
        </w:rPr>
        <w:t>mexicana</w:t>
      </w:r>
      <w:r>
        <w:rPr>
          <w:color w:val="231F20"/>
          <w:spacing w:val="-13"/>
          <w:w w:val="105"/>
        </w:rPr>
        <w:t> </w:t>
      </w:r>
      <w:r>
        <w:rPr>
          <w:color w:val="231F20"/>
          <w:w w:val="105"/>
        </w:rPr>
        <w:t>devuelta</w:t>
      </w:r>
      <w:r>
        <w:rPr>
          <w:color w:val="231F20"/>
          <w:spacing w:val="-13"/>
          <w:w w:val="105"/>
        </w:rPr>
        <w:t> </w:t>
      </w:r>
      <w:r>
        <w:rPr>
          <w:color w:val="231F20"/>
          <w:w w:val="105"/>
        </w:rPr>
        <w:t>por</w:t>
      </w:r>
      <w:r>
        <w:rPr>
          <w:color w:val="231F20"/>
          <w:spacing w:val="-13"/>
          <w:w w:val="105"/>
        </w:rPr>
        <w:t> </w:t>
      </w:r>
      <w:r>
        <w:rPr>
          <w:color w:val="231F20"/>
          <w:w w:val="105"/>
        </w:rPr>
        <w:t>las</w:t>
      </w:r>
      <w:r>
        <w:rPr>
          <w:color w:val="231F20"/>
          <w:spacing w:val="-13"/>
          <w:w w:val="105"/>
        </w:rPr>
        <w:t> </w:t>
      </w:r>
      <w:r>
        <w:rPr>
          <w:color w:val="231F20"/>
          <w:w w:val="105"/>
        </w:rPr>
        <w:t>autoridades migratorias</w:t>
      </w:r>
      <w:r>
        <w:rPr>
          <w:color w:val="231F20"/>
          <w:spacing w:val="-7"/>
          <w:w w:val="105"/>
        </w:rPr>
        <w:t> </w:t>
      </w:r>
      <w:r>
        <w:rPr>
          <w:color w:val="231F20"/>
          <w:w w:val="105"/>
        </w:rPr>
        <w:t>de</w:t>
      </w:r>
      <w:r>
        <w:rPr>
          <w:color w:val="231F20"/>
          <w:spacing w:val="-7"/>
          <w:w w:val="105"/>
        </w:rPr>
        <w:t> </w:t>
      </w:r>
      <w:r>
        <w:rPr>
          <w:color w:val="231F20"/>
          <w:w w:val="105"/>
        </w:rPr>
        <w:t>Estados</w:t>
      </w:r>
      <w:r>
        <w:rPr>
          <w:color w:val="231F20"/>
          <w:spacing w:val="-7"/>
          <w:w w:val="105"/>
        </w:rPr>
        <w:t> </w:t>
      </w:r>
      <w:r>
        <w:rPr>
          <w:color w:val="231F20"/>
          <w:w w:val="105"/>
        </w:rPr>
        <w:t>Unidos</w:t>
      </w:r>
      <w:r>
        <w:rPr>
          <w:color w:val="231F20"/>
          <w:spacing w:val="-7"/>
          <w:w w:val="105"/>
        </w:rPr>
        <w:t> </w:t>
      </w:r>
      <w:r>
        <w:rPr>
          <w:color w:val="231F20"/>
          <w:w w:val="105"/>
        </w:rPr>
        <w:t>durante</w:t>
      </w:r>
      <w:r>
        <w:rPr>
          <w:color w:val="231F20"/>
          <w:spacing w:val="-7"/>
          <w:w w:val="105"/>
        </w:rPr>
        <w:t> </w:t>
      </w:r>
      <w:r>
        <w:rPr>
          <w:color w:val="231F20"/>
          <w:w w:val="105"/>
        </w:rPr>
        <w:t>el</w:t>
      </w:r>
      <w:r>
        <w:rPr>
          <w:color w:val="231F20"/>
          <w:spacing w:val="-7"/>
          <w:w w:val="105"/>
        </w:rPr>
        <w:t> </w:t>
      </w:r>
      <w:r>
        <w:rPr>
          <w:color w:val="231F20"/>
          <w:w w:val="105"/>
        </w:rPr>
        <w:t>periodo</w:t>
      </w:r>
      <w:r>
        <w:rPr>
          <w:color w:val="231F20"/>
          <w:spacing w:val="-7"/>
          <w:w w:val="105"/>
        </w:rPr>
        <w:t> </w:t>
      </w:r>
      <w:r>
        <w:rPr>
          <w:color w:val="231F20"/>
          <w:w w:val="105"/>
        </w:rPr>
        <w:t>2007-2012.</w:t>
      </w:r>
      <w:r>
        <w:rPr>
          <w:color w:val="231F20"/>
          <w:spacing w:val="-12"/>
          <w:w w:val="105"/>
        </w:rPr>
        <w:t> </w:t>
      </w:r>
      <w:r>
        <w:rPr>
          <w:color w:val="231F20"/>
          <w:spacing w:val="-4"/>
          <w:w w:val="105"/>
        </w:rPr>
        <w:t>Para</w:t>
      </w:r>
      <w:r>
        <w:rPr>
          <w:color w:val="231F20"/>
          <w:spacing w:val="-7"/>
          <w:w w:val="105"/>
        </w:rPr>
        <w:t> </w:t>
      </w:r>
      <w:r>
        <w:rPr>
          <w:color w:val="231F20"/>
          <w:w w:val="105"/>
        </w:rPr>
        <w:t>ello, las autoras utilizaron como fuente de información estadística el flujo de migrantes devueltos por la patrulla fronteriza de la Encuesta sobre Mi- gración en la Frontera Norte de México (</w:t>
      </w:r>
      <w:r>
        <w:rPr>
          <w:color w:val="231F20"/>
          <w:w w:val="105"/>
          <w:sz w:val="17"/>
        </w:rPr>
        <w:t>EMIF</w:t>
      </w:r>
      <w:r>
        <w:rPr>
          <w:color w:val="231F20"/>
          <w:w w:val="105"/>
        </w:rPr>
        <w:t>-Norte), en cuya dinámica se observó el flujo migratorio en uno de los mayores momentos de re- cesión</w:t>
      </w:r>
      <w:r>
        <w:rPr>
          <w:color w:val="231F20"/>
          <w:spacing w:val="-16"/>
          <w:w w:val="105"/>
        </w:rPr>
        <w:t> </w:t>
      </w:r>
      <w:r>
        <w:rPr>
          <w:color w:val="231F20"/>
          <w:w w:val="105"/>
        </w:rPr>
        <w:t>económica</w:t>
      </w:r>
      <w:r>
        <w:rPr>
          <w:color w:val="231F20"/>
          <w:spacing w:val="-16"/>
          <w:w w:val="105"/>
        </w:rPr>
        <w:t> </w:t>
      </w:r>
      <w:r>
        <w:rPr>
          <w:color w:val="231F20"/>
          <w:w w:val="105"/>
        </w:rPr>
        <w:t>en</w:t>
      </w:r>
      <w:r>
        <w:rPr>
          <w:color w:val="231F20"/>
          <w:spacing w:val="-16"/>
          <w:w w:val="105"/>
        </w:rPr>
        <w:t> </w:t>
      </w:r>
      <w:r>
        <w:rPr>
          <w:color w:val="231F20"/>
          <w:w w:val="105"/>
        </w:rPr>
        <w:t>Estados</w:t>
      </w:r>
      <w:r>
        <w:rPr>
          <w:color w:val="231F20"/>
          <w:spacing w:val="-15"/>
          <w:w w:val="105"/>
        </w:rPr>
        <w:t> </w:t>
      </w:r>
      <w:r>
        <w:rPr>
          <w:color w:val="231F20"/>
          <w:w w:val="105"/>
        </w:rPr>
        <w:t>Unidos,</w:t>
      </w:r>
      <w:r>
        <w:rPr>
          <w:color w:val="231F20"/>
          <w:spacing w:val="-20"/>
          <w:w w:val="105"/>
        </w:rPr>
        <w:t> </w:t>
      </w:r>
      <w:r>
        <w:rPr>
          <w:color w:val="231F20"/>
          <w:w w:val="105"/>
        </w:rPr>
        <w:t>que</w:t>
      </w:r>
      <w:r>
        <w:rPr>
          <w:color w:val="231F20"/>
          <w:spacing w:val="-16"/>
          <w:w w:val="105"/>
        </w:rPr>
        <w:t> </w:t>
      </w:r>
      <w:r>
        <w:rPr>
          <w:color w:val="231F20"/>
          <w:w w:val="105"/>
        </w:rPr>
        <w:t>además</w:t>
      </w:r>
      <w:r>
        <w:rPr>
          <w:color w:val="231F20"/>
          <w:spacing w:val="-16"/>
          <w:w w:val="105"/>
        </w:rPr>
        <w:t> </w:t>
      </w:r>
      <w:r>
        <w:rPr>
          <w:color w:val="231F20"/>
          <w:w w:val="105"/>
        </w:rPr>
        <w:t>estuvo</w:t>
      </w:r>
      <w:r>
        <w:rPr>
          <w:color w:val="231F20"/>
          <w:spacing w:val="-16"/>
          <w:w w:val="105"/>
        </w:rPr>
        <w:t> </w:t>
      </w:r>
      <w:r>
        <w:rPr>
          <w:color w:val="231F20"/>
          <w:w w:val="105"/>
        </w:rPr>
        <w:t>acompañado de</w:t>
      </w:r>
      <w:r>
        <w:rPr>
          <w:color w:val="231F20"/>
          <w:spacing w:val="-9"/>
          <w:w w:val="105"/>
        </w:rPr>
        <w:t> </w:t>
      </w:r>
      <w:r>
        <w:rPr>
          <w:color w:val="231F20"/>
          <w:w w:val="105"/>
        </w:rPr>
        <w:t>fuertes</w:t>
      </w:r>
      <w:r>
        <w:rPr>
          <w:color w:val="231F20"/>
          <w:spacing w:val="-9"/>
          <w:w w:val="105"/>
        </w:rPr>
        <w:t> </w:t>
      </w:r>
      <w:r>
        <w:rPr>
          <w:color w:val="231F20"/>
          <w:w w:val="105"/>
        </w:rPr>
        <w:t>campañas</w:t>
      </w:r>
      <w:r>
        <w:rPr>
          <w:color w:val="231F20"/>
          <w:spacing w:val="-9"/>
          <w:w w:val="105"/>
        </w:rPr>
        <w:t> </w:t>
      </w:r>
      <w:r>
        <w:rPr>
          <w:color w:val="231F20"/>
          <w:w w:val="105"/>
        </w:rPr>
        <w:t>de</w:t>
      </w:r>
      <w:r>
        <w:rPr>
          <w:color w:val="231F20"/>
          <w:spacing w:val="-9"/>
          <w:w w:val="105"/>
        </w:rPr>
        <w:t> </w:t>
      </w:r>
      <w:r>
        <w:rPr>
          <w:color w:val="231F20"/>
          <w:w w:val="105"/>
        </w:rPr>
        <w:t>militarización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frontera</w:t>
      </w:r>
      <w:r>
        <w:rPr>
          <w:color w:val="231F20"/>
          <w:spacing w:val="-9"/>
          <w:w w:val="105"/>
        </w:rPr>
        <w:t> </w:t>
      </w:r>
      <w:r>
        <w:rPr>
          <w:color w:val="231F20"/>
          <w:w w:val="105"/>
        </w:rPr>
        <w:t>y</w:t>
      </w:r>
      <w:r>
        <w:rPr>
          <w:color w:val="231F20"/>
          <w:spacing w:val="-9"/>
          <w:w w:val="105"/>
        </w:rPr>
        <w:t> </w:t>
      </w:r>
      <w:r>
        <w:rPr>
          <w:color w:val="231F20"/>
          <w:w w:val="105"/>
        </w:rPr>
        <w:t>persecución</w:t>
      </w:r>
      <w:r>
        <w:rPr>
          <w:color w:val="231F20"/>
          <w:spacing w:val="-9"/>
          <w:w w:val="105"/>
        </w:rPr>
        <w:t> </w:t>
      </w:r>
      <w:r>
        <w:rPr>
          <w:color w:val="231F20"/>
          <w:w w:val="105"/>
        </w:rPr>
        <w:t>de</w:t>
      </w:r>
      <w:r>
        <w:rPr>
          <w:color w:val="231F20"/>
          <w:spacing w:val="-9"/>
          <w:w w:val="105"/>
        </w:rPr>
        <w:t> </w:t>
      </w:r>
      <w:r>
        <w:rPr>
          <w:color w:val="231F20"/>
          <w:w w:val="105"/>
        </w:rPr>
        <w:t>la población</w:t>
      </w:r>
      <w:r>
        <w:rPr>
          <w:color w:val="231F20"/>
          <w:spacing w:val="13"/>
          <w:w w:val="105"/>
        </w:rPr>
        <w:t> </w:t>
      </w:r>
      <w:r>
        <w:rPr>
          <w:color w:val="231F20"/>
          <w:w w:val="105"/>
        </w:rPr>
        <w:t>migrante.</w:t>
      </w:r>
    </w:p>
    <w:p>
      <w:pPr>
        <w:pStyle w:val="BodyText"/>
        <w:spacing w:line="261" w:lineRule="auto" w:before="1"/>
        <w:ind w:left="1723" w:right="1833" w:firstLine="567"/>
        <w:jc w:val="both"/>
      </w:pPr>
      <w:r>
        <w:rPr>
          <w:color w:val="231F20"/>
          <w:w w:val="105"/>
        </w:rPr>
        <w:t>Las</w:t>
      </w:r>
      <w:r>
        <w:rPr>
          <w:color w:val="231F20"/>
          <w:spacing w:val="-16"/>
          <w:w w:val="105"/>
        </w:rPr>
        <w:t> </w:t>
      </w:r>
      <w:r>
        <w:rPr>
          <w:color w:val="231F20"/>
          <w:w w:val="105"/>
        </w:rPr>
        <w:t>autoras</w:t>
      </w:r>
      <w:r>
        <w:rPr>
          <w:color w:val="231F20"/>
          <w:spacing w:val="-16"/>
          <w:w w:val="105"/>
        </w:rPr>
        <w:t> </w:t>
      </w:r>
      <w:r>
        <w:rPr>
          <w:color w:val="231F20"/>
          <w:w w:val="105"/>
        </w:rPr>
        <w:t>concluyen</w:t>
      </w:r>
      <w:r>
        <w:rPr>
          <w:color w:val="231F20"/>
          <w:spacing w:val="-16"/>
          <w:w w:val="105"/>
        </w:rPr>
        <w:t> </w:t>
      </w:r>
      <w:r>
        <w:rPr>
          <w:color w:val="231F20"/>
          <w:w w:val="105"/>
        </w:rPr>
        <w:t>la</w:t>
      </w:r>
      <w:r>
        <w:rPr>
          <w:color w:val="231F20"/>
          <w:spacing w:val="-16"/>
          <w:w w:val="105"/>
        </w:rPr>
        <w:t> </w:t>
      </w:r>
      <w:r>
        <w:rPr>
          <w:color w:val="231F20"/>
          <w:w w:val="105"/>
        </w:rPr>
        <w:t>importancia</w:t>
      </w:r>
      <w:r>
        <w:rPr>
          <w:color w:val="231F20"/>
          <w:spacing w:val="-16"/>
          <w:w w:val="105"/>
        </w:rPr>
        <w:t> </w:t>
      </w:r>
      <w:r>
        <w:rPr>
          <w:color w:val="231F20"/>
          <w:w w:val="105"/>
        </w:rPr>
        <w:t>de</w:t>
      </w:r>
      <w:r>
        <w:rPr>
          <w:color w:val="231F20"/>
          <w:spacing w:val="-16"/>
          <w:w w:val="105"/>
        </w:rPr>
        <w:t> </w:t>
      </w:r>
      <w:r>
        <w:rPr>
          <w:color w:val="231F20"/>
          <w:w w:val="105"/>
        </w:rPr>
        <w:t>considerar,</w:t>
      </w:r>
      <w:r>
        <w:rPr>
          <w:color w:val="231F20"/>
          <w:spacing w:val="-22"/>
          <w:w w:val="105"/>
        </w:rPr>
        <w:t> </w:t>
      </w:r>
      <w:r>
        <w:rPr>
          <w:color w:val="231F20"/>
          <w:w w:val="105"/>
        </w:rPr>
        <w:t>en</w:t>
      </w:r>
      <w:r>
        <w:rPr>
          <w:color w:val="231F20"/>
          <w:spacing w:val="-16"/>
          <w:w w:val="105"/>
        </w:rPr>
        <w:t> </w:t>
      </w:r>
      <w:r>
        <w:rPr>
          <w:color w:val="231F20"/>
          <w:w w:val="105"/>
        </w:rPr>
        <w:t>materia</w:t>
      </w:r>
      <w:r>
        <w:rPr>
          <w:color w:val="231F20"/>
          <w:spacing w:val="-16"/>
          <w:w w:val="105"/>
        </w:rPr>
        <w:t> </w:t>
      </w:r>
      <w:r>
        <w:rPr>
          <w:color w:val="231F20"/>
          <w:w w:val="105"/>
        </w:rPr>
        <w:t>de política pública, la desaceleración del flujo migratorio y el particular au- mento de los migrantes que están siendo deportados, pues aumentará la</w:t>
      </w:r>
      <w:r>
        <w:rPr>
          <w:color w:val="231F20"/>
          <w:spacing w:val="-14"/>
          <w:w w:val="105"/>
        </w:rPr>
        <w:t> </w:t>
      </w:r>
      <w:r>
        <w:rPr>
          <w:color w:val="231F20"/>
          <w:w w:val="105"/>
        </w:rPr>
        <w:t>demanda</w:t>
      </w:r>
      <w:r>
        <w:rPr>
          <w:color w:val="231F20"/>
          <w:spacing w:val="-14"/>
          <w:w w:val="105"/>
        </w:rPr>
        <w:t> </w:t>
      </w:r>
      <w:r>
        <w:rPr>
          <w:color w:val="231F20"/>
          <w:w w:val="105"/>
        </w:rPr>
        <w:t>de</w:t>
      </w:r>
      <w:r>
        <w:rPr>
          <w:color w:val="231F20"/>
          <w:spacing w:val="-14"/>
          <w:w w:val="105"/>
        </w:rPr>
        <w:t> </w:t>
      </w:r>
      <w:r>
        <w:rPr>
          <w:color w:val="231F20"/>
          <w:w w:val="105"/>
        </w:rPr>
        <w:t>empleo,</w:t>
      </w:r>
      <w:r>
        <w:rPr>
          <w:color w:val="231F20"/>
          <w:spacing w:val="-19"/>
          <w:w w:val="105"/>
        </w:rPr>
        <w:t> </w:t>
      </w:r>
      <w:r>
        <w:rPr>
          <w:color w:val="231F20"/>
          <w:w w:val="105"/>
        </w:rPr>
        <w:t>salud</w:t>
      </w:r>
      <w:r>
        <w:rPr>
          <w:color w:val="231F20"/>
          <w:spacing w:val="-14"/>
          <w:w w:val="105"/>
        </w:rPr>
        <w:t> </w:t>
      </w:r>
      <w:r>
        <w:rPr>
          <w:color w:val="231F20"/>
          <w:w w:val="105"/>
        </w:rPr>
        <w:t>y</w:t>
      </w:r>
      <w:r>
        <w:rPr>
          <w:color w:val="231F20"/>
          <w:spacing w:val="-14"/>
          <w:w w:val="105"/>
        </w:rPr>
        <w:t> </w:t>
      </w:r>
      <w:r>
        <w:rPr>
          <w:color w:val="231F20"/>
          <w:w w:val="105"/>
        </w:rPr>
        <w:t>otros</w:t>
      </w:r>
      <w:r>
        <w:rPr>
          <w:color w:val="231F20"/>
          <w:spacing w:val="-14"/>
          <w:w w:val="105"/>
        </w:rPr>
        <w:t> </w:t>
      </w:r>
      <w:r>
        <w:rPr>
          <w:color w:val="231F20"/>
          <w:w w:val="105"/>
        </w:rPr>
        <w:t>servicios,</w:t>
      </w:r>
      <w:r>
        <w:rPr>
          <w:color w:val="231F20"/>
          <w:spacing w:val="-19"/>
          <w:w w:val="105"/>
        </w:rPr>
        <w:t> </w:t>
      </w:r>
      <w:r>
        <w:rPr>
          <w:color w:val="231F20"/>
          <w:w w:val="105"/>
        </w:rPr>
        <w:t>según</w:t>
      </w:r>
      <w:r>
        <w:rPr>
          <w:color w:val="231F20"/>
          <w:spacing w:val="-14"/>
          <w:w w:val="105"/>
        </w:rPr>
        <w:t> </w:t>
      </w:r>
      <w:r>
        <w:rPr>
          <w:color w:val="231F20"/>
          <w:w w:val="105"/>
        </w:rPr>
        <w:t>las</w:t>
      </w:r>
      <w:r>
        <w:rPr>
          <w:color w:val="231F20"/>
          <w:spacing w:val="-14"/>
          <w:w w:val="105"/>
        </w:rPr>
        <w:t> </w:t>
      </w:r>
      <w:r>
        <w:rPr>
          <w:color w:val="231F20"/>
          <w:w w:val="105"/>
        </w:rPr>
        <w:t>características sociodemográficas de esta población. </w:t>
      </w:r>
      <w:r>
        <w:rPr>
          <w:color w:val="231F20"/>
          <w:spacing w:val="-5"/>
          <w:w w:val="105"/>
        </w:rPr>
        <w:t>Por </w:t>
      </w:r>
      <w:r>
        <w:rPr>
          <w:color w:val="231F20"/>
          <w:w w:val="105"/>
        </w:rPr>
        <w:t>lo cual, advierten la necesi- dad de reformular las políticas de intervención social en las comunida- des migrantes, toda vez que los cambios en las dinámicas migratorias requieren</w:t>
      </w:r>
      <w:r>
        <w:rPr>
          <w:color w:val="231F20"/>
          <w:spacing w:val="-19"/>
          <w:w w:val="105"/>
        </w:rPr>
        <w:t> </w:t>
      </w:r>
      <w:r>
        <w:rPr>
          <w:color w:val="231F20"/>
          <w:w w:val="105"/>
        </w:rPr>
        <w:t>marcos</w:t>
      </w:r>
      <w:r>
        <w:rPr>
          <w:color w:val="231F20"/>
          <w:spacing w:val="-19"/>
          <w:w w:val="105"/>
        </w:rPr>
        <w:t> </w:t>
      </w:r>
      <w:r>
        <w:rPr>
          <w:color w:val="231F20"/>
          <w:w w:val="105"/>
        </w:rPr>
        <w:t>de</w:t>
      </w:r>
      <w:r>
        <w:rPr>
          <w:color w:val="231F20"/>
          <w:spacing w:val="-19"/>
          <w:w w:val="105"/>
        </w:rPr>
        <w:t> </w:t>
      </w:r>
      <w:r>
        <w:rPr>
          <w:color w:val="231F20"/>
          <w:w w:val="105"/>
        </w:rPr>
        <w:t>actuación</w:t>
      </w:r>
      <w:r>
        <w:rPr>
          <w:color w:val="231F20"/>
          <w:spacing w:val="-19"/>
          <w:w w:val="105"/>
        </w:rPr>
        <w:t> </w:t>
      </w:r>
      <w:r>
        <w:rPr>
          <w:color w:val="231F20"/>
          <w:w w:val="105"/>
        </w:rPr>
        <w:t>y</w:t>
      </w:r>
      <w:r>
        <w:rPr>
          <w:color w:val="231F20"/>
          <w:spacing w:val="-19"/>
          <w:w w:val="105"/>
        </w:rPr>
        <w:t> </w:t>
      </w:r>
      <w:r>
        <w:rPr>
          <w:color w:val="231F20"/>
          <w:w w:val="105"/>
        </w:rPr>
        <w:t>diseño</w:t>
      </w:r>
      <w:r>
        <w:rPr>
          <w:color w:val="231F20"/>
          <w:spacing w:val="-19"/>
          <w:w w:val="105"/>
        </w:rPr>
        <w:t> </w:t>
      </w:r>
      <w:r>
        <w:rPr>
          <w:color w:val="231F20"/>
          <w:w w:val="105"/>
        </w:rPr>
        <w:t>de</w:t>
      </w:r>
      <w:r>
        <w:rPr>
          <w:color w:val="231F20"/>
          <w:spacing w:val="-19"/>
          <w:w w:val="105"/>
        </w:rPr>
        <w:t> </w:t>
      </w:r>
      <w:r>
        <w:rPr>
          <w:color w:val="231F20"/>
          <w:w w:val="105"/>
        </w:rPr>
        <w:t>políticas</w:t>
      </w:r>
      <w:r>
        <w:rPr>
          <w:color w:val="231F20"/>
          <w:spacing w:val="-19"/>
          <w:w w:val="105"/>
        </w:rPr>
        <w:t> </w:t>
      </w:r>
      <w:r>
        <w:rPr>
          <w:color w:val="231F20"/>
          <w:w w:val="105"/>
        </w:rPr>
        <w:t>focalizadas</w:t>
      </w:r>
      <w:r>
        <w:rPr>
          <w:color w:val="231F20"/>
          <w:spacing w:val="-19"/>
          <w:w w:val="105"/>
        </w:rPr>
        <w:t> </w:t>
      </w:r>
      <w:r>
        <w:rPr>
          <w:color w:val="231F20"/>
          <w:w w:val="105"/>
        </w:rPr>
        <w:t>en</w:t>
      </w:r>
      <w:r>
        <w:rPr>
          <w:color w:val="231F20"/>
          <w:spacing w:val="-19"/>
          <w:w w:val="105"/>
        </w:rPr>
        <w:t> </w:t>
      </w:r>
      <w:r>
        <w:rPr>
          <w:color w:val="231F20"/>
          <w:w w:val="105"/>
        </w:rPr>
        <w:t>aten- der dicha problemática desde una perspectiva incluyente y centrada</w:t>
      </w:r>
      <w:r>
        <w:rPr>
          <w:color w:val="231F20"/>
          <w:spacing w:val="-39"/>
          <w:w w:val="105"/>
        </w:rPr>
        <w:t> </w:t>
      </w:r>
      <w:r>
        <w:rPr>
          <w:color w:val="231F20"/>
          <w:w w:val="105"/>
        </w:rPr>
        <w:t>en las</w:t>
      </w:r>
      <w:r>
        <w:rPr>
          <w:color w:val="231F20"/>
          <w:spacing w:val="-15"/>
          <w:w w:val="105"/>
        </w:rPr>
        <w:t> </w:t>
      </w:r>
      <w:r>
        <w:rPr>
          <w:color w:val="231F20"/>
          <w:w w:val="105"/>
        </w:rPr>
        <w:t>necesidades</w:t>
      </w:r>
      <w:r>
        <w:rPr>
          <w:color w:val="231F20"/>
          <w:spacing w:val="-15"/>
          <w:w w:val="105"/>
        </w:rPr>
        <w:t> </w:t>
      </w:r>
      <w:r>
        <w:rPr>
          <w:color w:val="231F20"/>
          <w:w w:val="105"/>
        </w:rPr>
        <w:t>inmediatas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población</w:t>
      </w:r>
      <w:r>
        <w:rPr>
          <w:color w:val="231F20"/>
          <w:spacing w:val="-15"/>
          <w:w w:val="105"/>
        </w:rPr>
        <w:t> </w:t>
      </w:r>
      <w:r>
        <w:rPr>
          <w:color w:val="231F20"/>
          <w:w w:val="105"/>
        </w:rPr>
        <w:t>que</w:t>
      </w:r>
      <w:r>
        <w:rPr>
          <w:color w:val="231F20"/>
          <w:spacing w:val="-15"/>
          <w:w w:val="105"/>
        </w:rPr>
        <w:t> </w:t>
      </w:r>
      <w:r>
        <w:rPr>
          <w:color w:val="231F20"/>
          <w:w w:val="105"/>
        </w:rPr>
        <w:t>está</w:t>
      </w:r>
      <w:r>
        <w:rPr>
          <w:color w:val="231F20"/>
          <w:spacing w:val="-15"/>
          <w:w w:val="105"/>
        </w:rPr>
        <w:t> </w:t>
      </w:r>
      <w:r>
        <w:rPr>
          <w:color w:val="231F20"/>
          <w:w w:val="105"/>
        </w:rPr>
        <w:t>siendo</w:t>
      </w:r>
      <w:r>
        <w:rPr>
          <w:color w:val="231F20"/>
          <w:spacing w:val="-15"/>
          <w:w w:val="105"/>
        </w:rPr>
        <w:t> </w:t>
      </w:r>
      <w:r>
        <w:rPr>
          <w:color w:val="231F20"/>
          <w:w w:val="105"/>
        </w:rPr>
        <w:t>devuelta</w:t>
      </w:r>
      <w:r>
        <w:rPr>
          <w:color w:val="231F20"/>
          <w:spacing w:val="-15"/>
          <w:w w:val="105"/>
        </w:rPr>
        <w:t> </w:t>
      </w:r>
      <w:r>
        <w:rPr>
          <w:color w:val="231F20"/>
          <w:w w:val="105"/>
        </w:rPr>
        <w:t>de </w:t>
      </w:r>
      <w:r>
        <w:rPr>
          <w:color w:val="231F20"/>
        </w:rPr>
        <w:t>Estados</w:t>
      </w:r>
      <w:r>
        <w:rPr>
          <w:color w:val="231F20"/>
          <w:spacing w:val="24"/>
        </w:rPr>
        <w:t> </w:t>
      </w:r>
      <w:r>
        <w:rPr>
          <w:color w:val="231F20"/>
        </w:rPr>
        <w:t>Unidos.</w:t>
      </w:r>
    </w:p>
    <w:p>
      <w:pPr>
        <w:pStyle w:val="BodyText"/>
        <w:spacing w:line="261" w:lineRule="auto" w:before="1"/>
        <w:ind w:left="1723" w:right="1829" w:firstLine="567"/>
        <w:jc w:val="both"/>
      </w:pPr>
      <w:r>
        <w:rPr>
          <w:color w:val="231F20"/>
          <w:w w:val="105"/>
        </w:rPr>
        <w:t>El</w:t>
      </w:r>
      <w:r>
        <w:rPr>
          <w:color w:val="231F20"/>
          <w:spacing w:val="-6"/>
          <w:w w:val="105"/>
        </w:rPr>
        <w:t> </w:t>
      </w:r>
      <w:r>
        <w:rPr>
          <w:color w:val="231F20"/>
          <w:w w:val="105"/>
        </w:rPr>
        <w:t>capítulo</w:t>
      </w:r>
      <w:r>
        <w:rPr>
          <w:color w:val="231F20"/>
          <w:spacing w:val="-6"/>
          <w:w w:val="105"/>
        </w:rPr>
        <w:t> </w:t>
      </w:r>
      <w:r>
        <w:rPr>
          <w:color w:val="231F20"/>
          <w:w w:val="105"/>
        </w:rPr>
        <w:t>séptimo,</w:t>
      </w:r>
      <w:r>
        <w:rPr>
          <w:color w:val="231F20"/>
          <w:spacing w:val="-12"/>
          <w:w w:val="105"/>
        </w:rPr>
        <w:t> </w:t>
      </w:r>
      <w:r>
        <w:rPr>
          <w:color w:val="231F20"/>
          <w:spacing w:val="-3"/>
          <w:w w:val="105"/>
        </w:rPr>
        <w:t>“Acceso</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servicios</w:t>
      </w:r>
      <w:r>
        <w:rPr>
          <w:color w:val="231F20"/>
          <w:spacing w:val="-6"/>
          <w:w w:val="105"/>
        </w:rPr>
        <w:t> </w:t>
      </w:r>
      <w:r>
        <w:rPr>
          <w:color w:val="231F20"/>
          <w:w w:val="105"/>
        </w:rPr>
        <w:t>de</w:t>
      </w:r>
      <w:r>
        <w:rPr>
          <w:color w:val="231F20"/>
          <w:spacing w:val="-6"/>
          <w:w w:val="105"/>
        </w:rPr>
        <w:t> </w:t>
      </w:r>
      <w:r>
        <w:rPr>
          <w:color w:val="231F20"/>
          <w:w w:val="105"/>
        </w:rPr>
        <w:t>salud</w:t>
      </w:r>
      <w:r>
        <w:rPr>
          <w:color w:val="231F20"/>
          <w:spacing w:val="-6"/>
          <w:w w:val="105"/>
        </w:rPr>
        <w:t> </w:t>
      </w:r>
      <w:r>
        <w:rPr>
          <w:color w:val="231F20"/>
          <w:w w:val="105"/>
        </w:rPr>
        <w:t>de</w:t>
      </w:r>
      <w:r>
        <w:rPr>
          <w:color w:val="231F20"/>
          <w:spacing w:val="-6"/>
          <w:w w:val="105"/>
        </w:rPr>
        <w:t> </w:t>
      </w:r>
      <w:r>
        <w:rPr>
          <w:color w:val="231F20"/>
          <w:w w:val="105"/>
        </w:rPr>
        <w:t>migrantes mexiquenses en flujo procedentes de Estados </w:t>
      </w:r>
      <w:r>
        <w:rPr>
          <w:color w:val="231F20"/>
          <w:spacing w:val="-4"/>
          <w:w w:val="105"/>
        </w:rPr>
        <w:t>Unidos”, </w:t>
      </w:r>
      <w:r>
        <w:rPr>
          <w:color w:val="231F20"/>
          <w:w w:val="105"/>
        </w:rPr>
        <w:t>de la autoría de Giovanni</w:t>
      </w:r>
      <w:r>
        <w:rPr>
          <w:color w:val="231F20"/>
          <w:spacing w:val="-18"/>
          <w:w w:val="105"/>
        </w:rPr>
        <w:t> </w:t>
      </w:r>
      <w:r>
        <w:rPr>
          <w:color w:val="231F20"/>
          <w:w w:val="105"/>
        </w:rPr>
        <w:t>Alberto</w:t>
      </w:r>
      <w:r>
        <w:rPr>
          <w:color w:val="231F20"/>
          <w:spacing w:val="-15"/>
          <w:w w:val="105"/>
        </w:rPr>
        <w:t> </w:t>
      </w:r>
      <w:r>
        <w:rPr>
          <w:color w:val="231F20"/>
          <w:w w:val="105"/>
        </w:rPr>
        <w:t>Macías</w:t>
      </w:r>
      <w:r>
        <w:rPr>
          <w:color w:val="231F20"/>
          <w:spacing w:val="-15"/>
          <w:w w:val="105"/>
        </w:rPr>
        <w:t> </w:t>
      </w:r>
      <w:r>
        <w:rPr>
          <w:color w:val="231F20"/>
          <w:w w:val="105"/>
        </w:rPr>
        <w:t>Suárez,</w:t>
      </w:r>
      <w:r>
        <w:rPr>
          <w:color w:val="231F20"/>
          <w:spacing w:val="-19"/>
          <w:w w:val="105"/>
        </w:rPr>
        <w:t> </w:t>
      </w:r>
      <w:r>
        <w:rPr>
          <w:color w:val="231F20"/>
          <w:w w:val="105"/>
        </w:rPr>
        <w:t>expone</w:t>
      </w:r>
      <w:r>
        <w:rPr>
          <w:color w:val="231F20"/>
          <w:spacing w:val="-15"/>
          <w:w w:val="105"/>
        </w:rPr>
        <w:t> </w:t>
      </w:r>
      <w:r>
        <w:rPr>
          <w:color w:val="231F20"/>
          <w:w w:val="105"/>
        </w:rPr>
        <w:t>un</w:t>
      </w:r>
      <w:r>
        <w:rPr>
          <w:color w:val="231F20"/>
          <w:spacing w:val="-15"/>
          <w:w w:val="105"/>
        </w:rPr>
        <w:t> </w:t>
      </w:r>
      <w:r>
        <w:rPr>
          <w:color w:val="231F20"/>
          <w:w w:val="105"/>
        </w:rPr>
        <w:t>análisis</w:t>
      </w:r>
      <w:r>
        <w:rPr>
          <w:color w:val="231F20"/>
          <w:spacing w:val="-15"/>
          <w:w w:val="105"/>
        </w:rPr>
        <w:t> </w:t>
      </w:r>
      <w:r>
        <w:rPr>
          <w:color w:val="231F20"/>
          <w:w w:val="105"/>
        </w:rPr>
        <w:t>descriptivo</w:t>
      </w:r>
      <w:r>
        <w:rPr>
          <w:color w:val="231F20"/>
          <w:spacing w:val="-15"/>
          <w:w w:val="105"/>
        </w:rPr>
        <w:t> </w:t>
      </w:r>
      <w:r>
        <w:rPr>
          <w:color w:val="231F20"/>
          <w:w w:val="105"/>
        </w:rPr>
        <w:t>sobre</w:t>
      </w:r>
      <w:r>
        <w:rPr>
          <w:color w:val="231F20"/>
          <w:spacing w:val="-15"/>
          <w:w w:val="105"/>
        </w:rPr>
        <w:t> </w:t>
      </w:r>
      <w:r>
        <w:rPr>
          <w:color w:val="231F20"/>
          <w:w w:val="105"/>
        </w:rPr>
        <w:t>el acceso</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servicios</w:t>
      </w:r>
      <w:r>
        <w:rPr>
          <w:color w:val="231F20"/>
          <w:spacing w:val="-13"/>
          <w:w w:val="105"/>
        </w:rPr>
        <w:t> </w:t>
      </w:r>
      <w:r>
        <w:rPr>
          <w:color w:val="231F20"/>
          <w:w w:val="105"/>
        </w:rPr>
        <w:t>de</w:t>
      </w:r>
      <w:r>
        <w:rPr>
          <w:color w:val="231F20"/>
          <w:spacing w:val="-13"/>
          <w:w w:val="105"/>
        </w:rPr>
        <w:t> </w:t>
      </w:r>
      <w:r>
        <w:rPr>
          <w:color w:val="231F20"/>
          <w:w w:val="105"/>
        </w:rPr>
        <w:t>salud</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población</w:t>
      </w:r>
      <w:r>
        <w:rPr>
          <w:color w:val="231F20"/>
          <w:spacing w:val="-13"/>
          <w:w w:val="105"/>
        </w:rPr>
        <w:t> </w:t>
      </w:r>
      <w:r>
        <w:rPr>
          <w:color w:val="231F20"/>
          <w:w w:val="105"/>
        </w:rPr>
        <w:t>migrante</w:t>
      </w:r>
      <w:r>
        <w:rPr>
          <w:color w:val="231F20"/>
          <w:spacing w:val="-13"/>
          <w:w w:val="105"/>
        </w:rPr>
        <w:t> </w:t>
      </w:r>
      <w:r>
        <w:rPr>
          <w:color w:val="231F20"/>
          <w:w w:val="105"/>
        </w:rPr>
        <w:t>de</w:t>
      </w:r>
      <w:r>
        <w:rPr>
          <w:color w:val="231F20"/>
          <w:spacing w:val="-13"/>
          <w:w w:val="105"/>
        </w:rPr>
        <w:t> </w:t>
      </w:r>
      <w:r>
        <w:rPr>
          <w:color w:val="231F20"/>
          <w:w w:val="105"/>
        </w:rPr>
        <w:t>origen</w:t>
      </w:r>
      <w:r>
        <w:rPr>
          <w:color w:val="231F20"/>
          <w:spacing w:val="-13"/>
          <w:w w:val="105"/>
        </w:rPr>
        <w:t> </w:t>
      </w:r>
      <w:r>
        <w:rPr>
          <w:color w:val="231F20"/>
          <w:w w:val="105"/>
        </w:rPr>
        <w:t>mexi- quense</w:t>
      </w:r>
      <w:r>
        <w:rPr>
          <w:color w:val="231F20"/>
          <w:spacing w:val="-13"/>
          <w:w w:val="105"/>
        </w:rPr>
        <w:t> </w:t>
      </w:r>
      <w:r>
        <w:rPr>
          <w:color w:val="231F20"/>
          <w:w w:val="105"/>
        </w:rPr>
        <w:t>en</w:t>
      </w:r>
      <w:r>
        <w:rPr>
          <w:color w:val="231F20"/>
          <w:spacing w:val="-13"/>
          <w:w w:val="105"/>
        </w:rPr>
        <w:t> </w:t>
      </w:r>
      <w:r>
        <w:rPr>
          <w:color w:val="231F20"/>
          <w:w w:val="105"/>
        </w:rPr>
        <w:t>Estados</w:t>
      </w:r>
      <w:r>
        <w:rPr>
          <w:color w:val="231F20"/>
          <w:spacing w:val="-13"/>
          <w:w w:val="105"/>
        </w:rPr>
        <w:t> </w:t>
      </w:r>
      <w:r>
        <w:rPr>
          <w:color w:val="231F20"/>
          <w:w w:val="105"/>
        </w:rPr>
        <w:t>Unidos.</w:t>
      </w:r>
      <w:r>
        <w:rPr>
          <w:color w:val="231F20"/>
          <w:spacing w:val="-17"/>
          <w:w w:val="105"/>
        </w:rPr>
        <w:t> </w:t>
      </w:r>
      <w:r>
        <w:rPr>
          <w:color w:val="231F20"/>
          <w:w w:val="105"/>
        </w:rPr>
        <w:t>Con</w:t>
      </w:r>
      <w:r>
        <w:rPr>
          <w:color w:val="231F20"/>
          <w:spacing w:val="-13"/>
          <w:w w:val="105"/>
        </w:rPr>
        <w:t> </w:t>
      </w:r>
      <w:r>
        <w:rPr>
          <w:color w:val="231F20"/>
          <w:w w:val="105"/>
        </w:rPr>
        <w:t>base</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Encuesta</w:t>
      </w:r>
      <w:r>
        <w:rPr>
          <w:color w:val="231F20"/>
          <w:spacing w:val="-13"/>
          <w:w w:val="105"/>
        </w:rPr>
        <w:t> </w:t>
      </w:r>
      <w:r>
        <w:rPr>
          <w:color w:val="231F20"/>
          <w:w w:val="105"/>
        </w:rPr>
        <w:t>de</w:t>
      </w:r>
      <w:r>
        <w:rPr>
          <w:color w:val="231F20"/>
          <w:spacing w:val="-13"/>
          <w:w w:val="105"/>
        </w:rPr>
        <w:t> </w:t>
      </w:r>
      <w:r>
        <w:rPr>
          <w:color w:val="231F20"/>
          <w:w w:val="105"/>
        </w:rPr>
        <w:t>Migración</w:t>
      </w:r>
      <w:r>
        <w:rPr>
          <w:color w:val="231F20"/>
          <w:spacing w:val="-13"/>
          <w:w w:val="105"/>
        </w:rPr>
        <w:t> </w:t>
      </w:r>
      <w:r>
        <w:rPr>
          <w:color w:val="231F20"/>
          <w:w w:val="105"/>
        </w:rPr>
        <w:t>de</w:t>
      </w:r>
      <w:r>
        <w:rPr>
          <w:color w:val="231F20"/>
          <w:spacing w:val="-13"/>
          <w:w w:val="105"/>
        </w:rPr>
        <w:t> </w:t>
      </w:r>
      <w:r>
        <w:rPr>
          <w:color w:val="231F20"/>
          <w:w w:val="105"/>
        </w:rPr>
        <w:t>la Frontera Norte (</w:t>
      </w:r>
      <w:r>
        <w:rPr>
          <w:color w:val="231F20"/>
          <w:w w:val="105"/>
          <w:sz w:val="17"/>
        </w:rPr>
        <w:t>EMIF</w:t>
      </w:r>
      <w:r>
        <w:rPr>
          <w:color w:val="231F20"/>
          <w:w w:val="105"/>
        </w:rPr>
        <w:t>-Norte), específicamente el flujo de migrantes pro- cedentes de Estados Unidos en 2013, los hallazgos de este trabajo</w:t>
      </w:r>
      <w:r>
        <w:rPr>
          <w:color w:val="231F20"/>
          <w:spacing w:val="-25"/>
          <w:w w:val="105"/>
        </w:rPr>
        <w:t> </w:t>
      </w:r>
      <w:r>
        <w:rPr>
          <w:color w:val="231F20"/>
          <w:w w:val="105"/>
        </w:rPr>
        <w:t>po- nen de manifiesto el limitado acceso que tiene esta población a dichos servicios, así como la falta de revisión continua de su estado de salud. La</w:t>
      </w:r>
      <w:r>
        <w:rPr>
          <w:color w:val="231F20"/>
          <w:spacing w:val="-5"/>
          <w:w w:val="105"/>
        </w:rPr>
        <w:t> </w:t>
      </w:r>
      <w:r>
        <w:rPr>
          <w:color w:val="231F20"/>
          <w:w w:val="105"/>
        </w:rPr>
        <w:t>existencia</w:t>
      </w:r>
      <w:r>
        <w:rPr>
          <w:color w:val="231F20"/>
          <w:spacing w:val="-5"/>
          <w:w w:val="105"/>
        </w:rPr>
        <w:t> </w:t>
      </w:r>
      <w:r>
        <w:rPr>
          <w:color w:val="231F20"/>
          <w:w w:val="105"/>
        </w:rPr>
        <w:t>de</w:t>
      </w:r>
      <w:r>
        <w:rPr>
          <w:color w:val="231F20"/>
          <w:spacing w:val="-5"/>
          <w:w w:val="105"/>
        </w:rPr>
        <w:t> </w:t>
      </w:r>
      <w:r>
        <w:rPr>
          <w:color w:val="231F20"/>
          <w:w w:val="105"/>
        </w:rPr>
        <w:t>programas</w:t>
      </w:r>
      <w:r>
        <w:rPr>
          <w:color w:val="231F20"/>
          <w:spacing w:val="-5"/>
          <w:w w:val="105"/>
        </w:rPr>
        <w:t> </w:t>
      </w:r>
      <w:r>
        <w:rPr>
          <w:color w:val="231F20"/>
          <w:w w:val="105"/>
        </w:rPr>
        <w:t>como</w:t>
      </w:r>
      <w:r>
        <w:rPr>
          <w:color w:val="231F20"/>
          <w:spacing w:val="-5"/>
          <w:w w:val="105"/>
        </w:rPr>
        <w:t> </w:t>
      </w:r>
      <w:r>
        <w:rPr>
          <w:rFonts w:ascii="Arial" w:hAnsi="Arial"/>
          <w:i/>
          <w:color w:val="231F20"/>
          <w:w w:val="105"/>
        </w:rPr>
        <w:t>Medicare</w:t>
      </w:r>
      <w:r>
        <w:rPr>
          <w:rFonts w:ascii="Arial" w:hAnsi="Arial"/>
          <w:i/>
          <w:color w:val="231F20"/>
          <w:spacing w:val="-7"/>
          <w:w w:val="105"/>
        </w:rPr>
        <w:t> </w:t>
      </w:r>
      <w:r>
        <w:rPr>
          <w:color w:val="231F20"/>
          <w:w w:val="105"/>
        </w:rPr>
        <w:t>y</w:t>
      </w:r>
      <w:r>
        <w:rPr>
          <w:color w:val="231F20"/>
          <w:spacing w:val="-5"/>
          <w:w w:val="105"/>
        </w:rPr>
        <w:t> </w:t>
      </w:r>
      <w:r>
        <w:rPr>
          <w:rFonts w:ascii="Arial" w:hAnsi="Arial"/>
          <w:i/>
          <w:color w:val="231F20"/>
          <w:w w:val="105"/>
        </w:rPr>
        <w:t>Medicaid</w:t>
      </w:r>
      <w:r>
        <w:rPr>
          <w:color w:val="231F20"/>
          <w:w w:val="105"/>
        </w:rPr>
        <w:t>,</w:t>
      </w:r>
      <w:r>
        <w:rPr>
          <w:color w:val="231F20"/>
          <w:spacing w:val="-10"/>
          <w:w w:val="105"/>
        </w:rPr>
        <w:t> </w:t>
      </w:r>
      <w:r>
        <w:rPr>
          <w:color w:val="231F20"/>
          <w:w w:val="105"/>
        </w:rPr>
        <w:t>que</w:t>
      </w:r>
      <w:r>
        <w:rPr>
          <w:color w:val="231F20"/>
          <w:spacing w:val="-5"/>
          <w:w w:val="105"/>
        </w:rPr>
        <w:t> </w:t>
      </w:r>
      <w:r>
        <w:rPr>
          <w:color w:val="231F20"/>
          <w:w w:val="105"/>
        </w:rPr>
        <w:t>a</w:t>
      </w:r>
      <w:r>
        <w:rPr>
          <w:color w:val="231F20"/>
          <w:spacing w:val="-5"/>
          <w:w w:val="105"/>
        </w:rPr>
        <w:t> </w:t>
      </w:r>
      <w:r>
        <w:rPr>
          <w:color w:val="231F20"/>
          <w:w w:val="105"/>
        </w:rPr>
        <w:t>pesar</w:t>
      </w:r>
      <w:r>
        <w:rPr>
          <w:color w:val="231F20"/>
          <w:spacing w:val="-5"/>
          <w:w w:val="105"/>
        </w:rPr>
        <w:t> </w:t>
      </w:r>
      <w:r>
        <w:rPr>
          <w:color w:val="231F20"/>
          <w:w w:val="105"/>
        </w:rPr>
        <w:t>de prestar</w:t>
      </w:r>
      <w:r>
        <w:rPr>
          <w:color w:val="231F20"/>
          <w:spacing w:val="-15"/>
          <w:w w:val="105"/>
        </w:rPr>
        <w:t> </w:t>
      </w:r>
      <w:r>
        <w:rPr>
          <w:color w:val="231F20"/>
          <w:w w:val="105"/>
        </w:rPr>
        <w:t>atención</w:t>
      </w:r>
      <w:r>
        <w:rPr>
          <w:color w:val="231F20"/>
          <w:spacing w:val="-15"/>
          <w:w w:val="105"/>
        </w:rPr>
        <w:t> </w:t>
      </w:r>
      <w:r>
        <w:rPr>
          <w:color w:val="231F20"/>
          <w:w w:val="105"/>
        </w:rPr>
        <w:t>a</w:t>
      </w:r>
      <w:r>
        <w:rPr>
          <w:color w:val="231F20"/>
          <w:spacing w:val="-15"/>
          <w:w w:val="105"/>
        </w:rPr>
        <w:t> </w:t>
      </w:r>
      <w:r>
        <w:rPr>
          <w:color w:val="231F20"/>
          <w:w w:val="105"/>
        </w:rPr>
        <w:t>grupos</w:t>
      </w:r>
      <w:r>
        <w:rPr>
          <w:color w:val="231F20"/>
          <w:spacing w:val="-15"/>
          <w:w w:val="105"/>
        </w:rPr>
        <w:t> </w:t>
      </w:r>
      <w:r>
        <w:rPr>
          <w:color w:val="231F20"/>
          <w:w w:val="105"/>
        </w:rPr>
        <w:t>en</w:t>
      </w:r>
      <w:r>
        <w:rPr>
          <w:color w:val="231F20"/>
          <w:spacing w:val="-15"/>
          <w:w w:val="105"/>
        </w:rPr>
        <w:t> </w:t>
      </w:r>
      <w:r>
        <w:rPr>
          <w:color w:val="231F20"/>
          <w:w w:val="105"/>
        </w:rPr>
        <w:t>situación</w:t>
      </w:r>
      <w:r>
        <w:rPr>
          <w:color w:val="231F20"/>
          <w:spacing w:val="-15"/>
          <w:w w:val="105"/>
        </w:rPr>
        <w:t> </w:t>
      </w:r>
      <w:r>
        <w:rPr>
          <w:color w:val="231F20"/>
          <w:w w:val="105"/>
        </w:rPr>
        <w:t>de</w:t>
      </w:r>
      <w:r>
        <w:rPr>
          <w:color w:val="231F20"/>
          <w:spacing w:val="-15"/>
          <w:w w:val="105"/>
        </w:rPr>
        <w:t> </w:t>
      </w:r>
      <w:r>
        <w:rPr>
          <w:color w:val="231F20"/>
          <w:w w:val="105"/>
        </w:rPr>
        <w:t>vulnerabilidad,</w:t>
      </w:r>
      <w:r>
        <w:rPr>
          <w:color w:val="231F20"/>
          <w:spacing w:val="-21"/>
          <w:w w:val="105"/>
        </w:rPr>
        <w:t> </w:t>
      </w:r>
      <w:r>
        <w:rPr>
          <w:color w:val="231F20"/>
          <w:w w:val="105"/>
        </w:rPr>
        <w:t>condicionan</w:t>
      </w:r>
      <w:r>
        <w:rPr>
          <w:color w:val="231F20"/>
          <w:spacing w:val="-15"/>
          <w:w w:val="105"/>
        </w:rPr>
        <w:t> </w:t>
      </w:r>
      <w:r>
        <w:rPr>
          <w:color w:val="231F20"/>
          <w:w w:val="105"/>
        </w:rPr>
        <w:t>su</w:t>
      </w:r>
    </w:p>
    <w:p>
      <w:pPr>
        <w:pStyle w:val="BodyText"/>
        <w:rPr>
          <w:sz w:val="20"/>
        </w:rPr>
      </w:pPr>
    </w:p>
    <w:p>
      <w:pPr>
        <w:pStyle w:val="BodyText"/>
        <w:rPr>
          <w:sz w:val="20"/>
        </w:rPr>
      </w:pPr>
    </w:p>
    <w:p>
      <w:pPr>
        <w:pStyle w:val="BodyText"/>
        <w:spacing w:before="4"/>
        <w:rPr>
          <w:sz w:val="28"/>
        </w:rPr>
      </w:pPr>
    </w:p>
    <w:p>
      <w:pPr>
        <w:spacing w:before="59"/>
        <w:ind w:left="1887" w:right="6753" w:firstLine="0"/>
        <w:jc w:val="left"/>
        <w:rPr>
          <w:rFonts w:ascii="Arial"/>
          <w:sz w:val="20"/>
        </w:rPr>
      </w:pPr>
      <w:r>
        <w:rPr/>
        <w:pict>
          <v:line style="position:absolute;mso-position-horizontal-relative:page;mso-position-vertical-relative:paragraph;z-index:1648" from="131.551193pt,2.329881pt" to="131.551193pt,38.13228pt" stroked="true" strokeweight=".35pt" strokecolor="#231f20">
            <w10:wrap type="none"/>
          </v:line>
        </w:pict>
      </w:r>
      <w:r>
        <w:rPr/>
        <w:pict>
          <v:line style="position:absolute;mso-position-horizontal-relative:page;mso-position-vertical-relative:paragraph;z-index:-488464" from="15pt,38.13208pt" to="0pt,38.13208pt" stroked="true" strokeweight=".25pt" strokecolor="#000000">
            <w10:wrap type="none"/>
          </v:line>
        </w:pict>
      </w:r>
      <w:r>
        <w:rPr/>
        <w:pict>
          <v:line style="position:absolute;mso-position-horizontal-relative:page;mso-position-vertical-relative:paragraph;z-index:1744" from="508.890015pt,38.13208pt" to="523.890015pt,38.13208pt" stroked="true" strokeweight=".25pt" strokecolor="#000000">
            <w10:wrap type="none"/>
          </v:line>
        </w:pict>
      </w:r>
      <w:r>
        <w:rPr>
          <w:rFonts w:ascii="Arial"/>
          <w:color w:val="414042"/>
          <w:sz w:val="20"/>
        </w:rPr>
        <w:t>16</w:t>
      </w:r>
    </w:p>
    <w:p>
      <w:pPr>
        <w:spacing w:after="0"/>
        <w:jc w:val="left"/>
        <w:rPr>
          <w:rFonts w:ascii="Arial"/>
          <w:sz w:val="20"/>
        </w:rPr>
        <w:sectPr>
          <w:pgSz w:w="10480" w:h="14730"/>
          <w:pgMar w:header="0" w:footer="103" w:top="300" w:bottom="300" w:left="0" w:right="0"/>
        </w:sectPr>
      </w:pPr>
    </w:p>
    <w:p>
      <w:pPr>
        <w:pStyle w:val="BodyText"/>
        <w:rPr>
          <w:rFonts w:ascii="Arial"/>
          <w:sz w:val="20"/>
        </w:rPr>
      </w:pPr>
    </w:p>
    <w:p>
      <w:pPr>
        <w:pStyle w:val="BodyText"/>
        <w:rPr>
          <w:rFonts w:ascii="Arial"/>
          <w:sz w:val="20"/>
        </w:rPr>
      </w:pPr>
    </w:p>
    <w:p>
      <w:pPr>
        <w:tabs>
          <w:tab w:pos="1578" w:val="right" w:leader="none"/>
        </w:tabs>
        <w:spacing w:before="221"/>
        <w:ind w:left="1516" w:right="1839" w:firstLine="0"/>
        <w:jc w:val="right"/>
        <w:rPr>
          <w:rFonts w:ascii="Arial" w:hAnsi="Arial"/>
          <w:sz w:val="20"/>
        </w:rPr>
      </w:pPr>
      <w:r>
        <w:rPr/>
        <w:pict>
          <v:line style="position:absolute;mso-position-horizontal-relative:page;mso-position-vertical-relative:paragraph;z-index:-488416" from="405.061005pt,-17.151169pt" to="405.061005pt,17.714705pt" stroked="true" strokeweight=".35pt" strokecolor="#231f20">
            <w10:wrap type="none"/>
          </v:line>
        </w:pict>
      </w:r>
      <w:r>
        <w:rPr/>
        <w:pict>
          <v:line style="position:absolute;mso-position-horizontal-relative:page;mso-position-vertical-relative:paragraph;z-index:1792" from="15pt,-17.151396pt" to="0pt,-17.151396pt" stroked="true" strokeweight=".25pt" strokecolor="#000000">
            <w10:wrap type="none"/>
          </v:line>
        </w:pict>
      </w:r>
      <w:r>
        <w:rPr/>
        <w:pict>
          <v:line style="position:absolute;mso-position-horizontal-relative:page;mso-position-vertical-relative:paragraph;z-index:1816" from="508.890015pt,-17.151396pt" to="523.890015pt,-17.151396pt" stroked="true" strokeweight=".25pt" strokecolor="#000000">
            <w10:wrap type="none"/>
          </v:line>
        </w:pict>
      </w:r>
      <w:r>
        <w:rPr>
          <w:rFonts w:ascii="Calibri" w:hAnsi="Calibri"/>
          <w:color w:val="6D6E71"/>
          <w:sz w:val="14"/>
        </w:rPr>
        <w:t>INTRODUCCIÓN</w:t>
      </w:r>
      <w:r>
        <w:rPr>
          <w:rFonts w:ascii="Arial" w:hAnsi="Arial"/>
          <w:color w:val="414042"/>
          <w:position w:val="-3"/>
          <w:sz w:val="20"/>
        </w:rPr>
        <w:tab/>
        <w:t>17</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acceso</w:t>
      </w:r>
      <w:r>
        <w:rPr>
          <w:color w:val="231F20"/>
          <w:spacing w:val="-12"/>
          <w:w w:val="105"/>
        </w:rPr>
        <w:t> </w:t>
      </w:r>
      <w:r>
        <w:rPr>
          <w:color w:val="231F20"/>
          <w:w w:val="105"/>
        </w:rPr>
        <w:t>a</w:t>
      </w:r>
      <w:r>
        <w:rPr>
          <w:color w:val="231F20"/>
          <w:spacing w:val="-12"/>
          <w:w w:val="105"/>
        </w:rPr>
        <w:t> </w:t>
      </w:r>
      <w:r>
        <w:rPr>
          <w:color w:val="231F20"/>
          <w:w w:val="105"/>
        </w:rPr>
        <w:t>criterios</w:t>
      </w:r>
      <w:r>
        <w:rPr>
          <w:color w:val="231F20"/>
          <w:spacing w:val="-12"/>
          <w:w w:val="105"/>
        </w:rPr>
        <w:t> </w:t>
      </w:r>
      <w:r>
        <w:rPr>
          <w:color w:val="231F20"/>
          <w:w w:val="105"/>
        </w:rPr>
        <w:t>de</w:t>
      </w:r>
      <w:r>
        <w:rPr>
          <w:color w:val="231F20"/>
          <w:spacing w:val="-12"/>
          <w:w w:val="105"/>
        </w:rPr>
        <w:t> </w:t>
      </w:r>
      <w:r>
        <w:rPr>
          <w:color w:val="231F20"/>
          <w:w w:val="105"/>
        </w:rPr>
        <w:t>elegibilidad,</w:t>
      </w:r>
      <w:r>
        <w:rPr>
          <w:color w:val="231F20"/>
          <w:spacing w:val="-18"/>
          <w:w w:val="105"/>
        </w:rPr>
        <w:t> </w:t>
      </w:r>
      <w:r>
        <w:rPr>
          <w:color w:val="231F20"/>
          <w:w w:val="105"/>
        </w:rPr>
        <w:t>como</w:t>
      </w:r>
      <w:r>
        <w:rPr>
          <w:color w:val="231F20"/>
          <w:spacing w:val="-12"/>
          <w:w w:val="105"/>
        </w:rPr>
        <w:t> </w:t>
      </w:r>
      <w:r>
        <w:rPr>
          <w:color w:val="231F20"/>
          <w:w w:val="105"/>
        </w:rPr>
        <w:t>el</w:t>
      </w:r>
      <w:r>
        <w:rPr>
          <w:color w:val="231F20"/>
          <w:spacing w:val="-12"/>
          <w:w w:val="105"/>
        </w:rPr>
        <w:t> </w:t>
      </w:r>
      <w:r>
        <w:rPr>
          <w:color w:val="231F20"/>
          <w:w w:val="105"/>
        </w:rPr>
        <w:t>estatus</w:t>
      </w:r>
      <w:r>
        <w:rPr>
          <w:color w:val="231F20"/>
          <w:spacing w:val="-12"/>
          <w:w w:val="105"/>
        </w:rPr>
        <w:t> </w:t>
      </w:r>
      <w:r>
        <w:rPr>
          <w:color w:val="231F20"/>
          <w:w w:val="105"/>
        </w:rPr>
        <w:t>migratorio,</w:t>
      </w:r>
      <w:r>
        <w:rPr>
          <w:color w:val="231F20"/>
          <w:spacing w:val="-18"/>
          <w:w w:val="105"/>
        </w:rPr>
        <w:t> </w:t>
      </w:r>
      <w:r>
        <w:rPr>
          <w:color w:val="231F20"/>
          <w:w w:val="105"/>
        </w:rPr>
        <w:t>que</w:t>
      </w:r>
      <w:r>
        <w:rPr>
          <w:color w:val="231F20"/>
          <w:spacing w:val="-12"/>
          <w:w w:val="105"/>
        </w:rPr>
        <w:t> </w:t>
      </w:r>
      <w:r>
        <w:rPr>
          <w:color w:val="231F20"/>
          <w:w w:val="105"/>
        </w:rPr>
        <w:t>según el</w:t>
      </w:r>
      <w:r>
        <w:rPr>
          <w:color w:val="231F20"/>
          <w:spacing w:val="-13"/>
          <w:w w:val="105"/>
        </w:rPr>
        <w:t> </w:t>
      </w:r>
      <w:r>
        <w:rPr>
          <w:color w:val="231F20"/>
          <w:w w:val="105"/>
        </w:rPr>
        <w:t>perfil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migración</w:t>
      </w:r>
      <w:r>
        <w:rPr>
          <w:color w:val="231F20"/>
          <w:spacing w:val="-13"/>
          <w:w w:val="105"/>
        </w:rPr>
        <w:t> </w:t>
      </w:r>
      <w:r>
        <w:rPr>
          <w:color w:val="231F20"/>
          <w:w w:val="105"/>
        </w:rPr>
        <w:t>mexicana</w:t>
      </w:r>
      <w:r>
        <w:rPr>
          <w:color w:val="231F20"/>
          <w:spacing w:val="-13"/>
          <w:w w:val="105"/>
        </w:rPr>
        <w:t> </w:t>
      </w:r>
      <w:r>
        <w:rPr>
          <w:color w:val="231F20"/>
          <w:w w:val="105"/>
        </w:rPr>
        <w:t>y</w:t>
      </w:r>
      <w:r>
        <w:rPr>
          <w:color w:val="231F20"/>
          <w:spacing w:val="-13"/>
          <w:w w:val="105"/>
        </w:rPr>
        <w:t> </w:t>
      </w:r>
      <w:r>
        <w:rPr>
          <w:color w:val="231F20"/>
          <w:w w:val="105"/>
        </w:rPr>
        <w:t>mexiquense</w:t>
      </w:r>
      <w:r>
        <w:rPr>
          <w:color w:val="231F20"/>
          <w:spacing w:val="-13"/>
          <w:w w:val="105"/>
        </w:rPr>
        <w:t> </w:t>
      </w:r>
      <w:r>
        <w:rPr>
          <w:color w:val="231F20"/>
          <w:w w:val="105"/>
        </w:rPr>
        <w:t>se</w:t>
      </w:r>
      <w:r>
        <w:rPr>
          <w:color w:val="231F20"/>
          <w:spacing w:val="-13"/>
          <w:w w:val="105"/>
        </w:rPr>
        <w:t> </w:t>
      </w:r>
      <w:r>
        <w:rPr>
          <w:color w:val="231F20"/>
          <w:w w:val="105"/>
        </w:rPr>
        <w:t>constituye</w:t>
      </w:r>
      <w:r>
        <w:rPr>
          <w:color w:val="231F20"/>
          <w:spacing w:val="-13"/>
          <w:w w:val="105"/>
        </w:rPr>
        <w:t> </w:t>
      </w:r>
      <w:r>
        <w:rPr>
          <w:color w:val="231F20"/>
          <w:w w:val="105"/>
        </w:rPr>
        <w:t>en</w:t>
      </w:r>
      <w:r>
        <w:rPr>
          <w:color w:val="231F20"/>
          <w:spacing w:val="-13"/>
          <w:w w:val="105"/>
        </w:rPr>
        <w:t> </w:t>
      </w:r>
      <w:r>
        <w:rPr>
          <w:color w:val="231F20"/>
          <w:w w:val="105"/>
        </w:rPr>
        <w:t>una</w:t>
      </w:r>
      <w:r>
        <w:rPr>
          <w:color w:val="231F20"/>
          <w:spacing w:val="-13"/>
          <w:w w:val="105"/>
        </w:rPr>
        <w:t> </w:t>
      </w:r>
      <w:r>
        <w:rPr>
          <w:color w:val="231F20"/>
          <w:w w:val="105"/>
        </w:rPr>
        <w:t>de las primeras barreras para garantizar el cuidado de su salud y</w:t>
      </w:r>
      <w:r>
        <w:rPr>
          <w:color w:val="231F20"/>
          <w:spacing w:val="-22"/>
          <w:w w:val="105"/>
        </w:rPr>
        <w:t> </w:t>
      </w:r>
      <w:r>
        <w:rPr>
          <w:color w:val="231F20"/>
          <w:w w:val="105"/>
        </w:rPr>
        <w:t>atención de</w:t>
      </w:r>
      <w:r>
        <w:rPr>
          <w:color w:val="231F20"/>
          <w:spacing w:val="-17"/>
          <w:w w:val="105"/>
        </w:rPr>
        <w:t> </w:t>
      </w:r>
      <w:r>
        <w:rPr>
          <w:color w:val="231F20"/>
          <w:w w:val="105"/>
        </w:rPr>
        <w:t>enfermedades.</w:t>
      </w:r>
    </w:p>
    <w:p>
      <w:pPr>
        <w:pStyle w:val="BodyText"/>
        <w:spacing w:line="261" w:lineRule="auto" w:before="1"/>
        <w:ind w:left="1837" w:right="1721" w:firstLine="567"/>
        <w:jc w:val="both"/>
      </w:pPr>
      <w:r>
        <w:rPr>
          <w:color w:val="231F20"/>
        </w:rPr>
        <w:t>El estudio presentado por el autor pone de relieve algunas carac- terísticas y necesidades en cuanto a servicios de salud de la población migrante procedente de Estados Unidos de origen mexiquense, en este sentido, se espera que este trabajo sea un aporte a la discusión, ade-  más de representar un insumo para que las autoridades encargadas de tomar decisiones reconozcan la importancia del tema y promuevan la formulación de políticas públicas encaminadas a mejorar las condiciones de salud de los migrantes, mismas que de acuerdo con este capítulo re- quieren de un enfoque binacional entre ambos países con la finalidad de asegurar mayores y mejores  impactos.</w:t>
      </w:r>
    </w:p>
    <w:p>
      <w:pPr>
        <w:pStyle w:val="BodyText"/>
        <w:spacing w:line="261" w:lineRule="auto" w:before="1"/>
        <w:ind w:left="1837" w:right="1716" w:firstLine="567"/>
        <w:jc w:val="both"/>
      </w:pPr>
      <w:r>
        <w:rPr>
          <w:color w:val="231F20"/>
          <w:w w:val="105"/>
        </w:rPr>
        <w:t>El</w:t>
      </w:r>
      <w:r>
        <w:rPr>
          <w:color w:val="231F20"/>
          <w:spacing w:val="-17"/>
          <w:w w:val="105"/>
        </w:rPr>
        <w:t> </w:t>
      </w:r>
      <w:r>
        <w:rPr>
          <w:color w:val="231F20"/>
          <w:w w:val="105"/>
        </w:rPr>
        <w:t>capítulo</w:t>
      </w:r>
      <w:r>
        <w:rPr>
          <w:color w:val="231F20"/>
          <w:spacing w:val="-17"/>
          <w:w w:val="105"/>
        </w:rPr>
        <w:t> </w:t>
      </w:r>
      <w:r>
        <w:rPr>
          <w:color w:val="231F20"/>
          <w:w w:val="105"/>
        </w:rPr>
        <w:t>octavo,</w:t>
      </w:r>
      <w:r>
        <w:rPr>
          <w:color w:val="231F20"/>
          <w:spacing w:val="-22"/>
          <w:w w:val="105"/>
        </w:rPr>
        <w:t> </w:t>
      </w:r>
      <w:r>
        <w:rPr>
          <w:color w:val="231F20"/>
          <w:w w:val="105"/>
        </w:rPr>
        <w:t>“De</w:t>
      </w:r>
      <w:r>
        <w:rPr>
          <w:color w:val="231F20"/>
          <w:spacing w:val="-17"/>
          <w:w w:val="105"/>
        </w:rPr>
        <w:t> </w:t>
      </w:r>
      <w:r>
        <w:rPr>
          <w:color w:val="231F20"/>
          <w:w w:val="105"/>
        </w:rPr>
        <w:t>regreso</w:t>
      </w:r>
      <w:r>
        <w:rPr>
          <w:color w:val="231F20"/>
          <w:spacing w:val="-17"/>
          <w:w w:val="105"/>
        </w:rPr>
        <w:t> </w:t>
      </w:r>
      <w:r>
        <w:rPr>
          <w:color w:val="231F20"/>
          <w:w w:val="105"/>
        </w:rPr>
        <w:t>al</w:t>
      </w:r>
      <w:r>
        <w:rPr>
          <w:color w:val="231F20"/>
          <w:spacing w:val="-17"/>
          <w:w w:val="105"/>
        </w:rPr>
        <w:t> </w:t>
      </w:r>
      <w:r>
        <w:rPr>
          <w:color w:val="231F20"/>
          <w:w w:val="105"/>
        </w:rPr>
        <w:t>terruño:</w:t>
      </w:r>
      <w:r>
        <w:rPr>
          <w:color w:val="231F20"/>
          <w:spacing w:val="-17"/>
          <w:w w:val="105"/>
        </w:rPr>
        <w:t> </w:t>
      </w:r>
      <w:r>
        <w:rPr>
          <w:color w:val="231F20"/>
          <w:w w:val="105"/>
        </w:rPr>
        <w:t>reinserción</w:t>
      </w:r>
      <w:r>
        <w:rPr>
          <w:color w:val="231F20"/>
          <w:spacing w:val="-17"/>
          <w:w w:val="105"/>
        </w:rPr>
        <w:t> </w:t>
      </w:r>
      <w:r>
        <w:rPr>
          <w:color w:val="231F20"/>
          <w:w w:val="105"/>
        </w:rPr>
        <w:t>sociocultural de</w:t>
      </w:r>
      <w:r>
        <w:rPr>
          <w:color w:val="231F20"/>
          <w:spacing w:val="-17"/>
          <w:w w:val="105"/>
        </w:rPr>
        <w:t> </w:t>
      </w:r>
      <w:r>
        <w:rPr>
          <w:color w:val="231F20"/>
          <w:w w:val="105"/>
        </w:rPr>
        <w:t>migrantes</w:t>
      </w:r>
      <w:r>
        <w:rPr>
          <w:color w:val="231F20"/>
          <w:spacing w:val="-17"/>
          <w:w w:val="105"/>
        </w:rPr>
        <w:t> </w:t>
      </w:r>
      <w:r>
        <w:rPr>
          <w:color w:val="231F20"/>
          <w:w w:val="105"/>
        </w:rPr>
        <w:t>indígenas</w:t>
      </w:r>
      <w:r>
        <w:rPr>
          <w:color w:val="231F20"/>
          <w:spacing w:val="-17"/>
          <w:w w:val="105"/>
        </w:rPr>
        <w:t> </w:t>
      </w:r>
      <w:r>
        <w:rPr>
          <w:color w:val="231F20"/>
          <w:w w:val="105"/>
        </w:rPr>
        <w:t>mazahuas</w:t>
      </w:r>
      <w:r>
        <w:rPr>
          <w:color w:val="231F20"/>
          <w:spacing w:val="-17"/>
          <w:w w:val="105"/>
        </w:rPr>
        <w:t> </w:t>
      </w:r>
      <w:r>
        <w:rPr>
          <w:color w:val="231F20"/>
          <w:w w:val="105"/>
        </w:rPr>
        <w:t>retornados</w:t>
      </w:r>
      <w:r>
        <w:rPr>
          <w:color w:val="231F20"/>
          <w:spacing w:val="-17"/>
          <w:w w:val="105"/>
        </w:rPr>
        <w:t> </w:t>
      </w:r>
      <w:r>
        <w:rPr>
          <w:color w:val="231F20"/>
          <w:w w:val="105"/>
        </w:rPr>
        <w:t>de</w:t>
      </w:r>
      <w:r>
        <w:rPr>
          <w:color w:val="231F20"/>
          <w:spacing w:val="-17"/>
          <w:w w:val="105"/>
        </w:rPr>
        <w:t> </w:t>
      </w:r>
      <w:r>
        <w:rPr>
          <w:color w:val="231F20"/>
          <w:w w:val="105"/>
        </w:rPr>
        <w:t>Estados</w:t>
      </w:r>
      <w:r>
        <w:rPr>
          <w:color w:val="231F20"/>
          <w:spacing w:val="-17"/>
          <w:w w:val="105"/>
        </w:rPr>
        <w:t> </w:t>
      </w:r>
      <w:r>
        <w:rPr>
          <w:color w:val="231F20"/>
          <w:spacing w:val="-4"/>
          <w:w w:val="105"/>
        </w:rPr>
        <w:t>Unidos”,</w:t>
      </w:r>
      <w:r>
        <w:rPr>
          <w:color w:val="231F20"/>
          <w:spacing w:val="-21"/>
          <w:w w:val="105"/>
        </w:rPr>
        <w:t> </w:t>
      </w:r>
      <w:r>
        <w:rPr>
          <w:color w:val="231F20"/>
          <w:w w:val="105"/>
        </w:rPr>
        <w:t>apor- tación</w:t>
      </w:r>
      <w:r>
        <w:rPr>
          <w:color w:val="231F20"/>
          <w:spacing w:val="-17"/>
          <w:w w:val="105"/>
        </w:rPr>
        <w:t> </w:t>
      </w:r>
      <w:r>
        <w:rPr>
          <w:color w:val="231F20"/>
          <w:w w:val="105"/>
        </w:rPr>
        <w:t>de</w:t>
      </w:r>
      <w:r>
        <w:rPr>
          <w:color w:val="231F20"/>
          <w:spacing w:val="-17"/>
          <w:w w:val="105"/>
        </w:rPr>
        <w:t> </w:t>
      </w:r>
      <w:r>
        <w:rPr>
          <w:color w:val="231F20"/>
          <w:w w:val="105"/>
        </w:rPr>
        <w:t>Patricia</w:t>
      </w:r>
      <w:r>
        <w:rPr>
          <w:color w:val="231F20"/>
          <w:spacing w:val="-17"/>
          <w:w w:val="105"/>
        </w:rPr>
        <w:t> </w:t>
      </w:r>
      <w:r>
        <w:rPr>
          <w:color w:val="231F20"/>
          <w:w w:val="105"/>
        </w:rPr>
        <w:t>Nicolás</w:t>
      </w:r>
      <w:r>
        <w:rPr>
          <w:color w:val="231F20"/>
          <w:spacing w:val="-17"/>
          <w:w w:val="105"/>
        </w:rPr>
        <w:t> </w:t>
      </w:r>
      <w:r>
        <w:rPr>
          <w:color w:val="231F20"/>
          <w:w w:val="105"/>
        </w:rPr>
        <w:t>Flores,</w:t>
      </w:r>
      <w:r>
        <w:rPr>
          <w:color w:val="231F20"/>
          <w:spacing w:val="-22"/>
          <w:w w:val="105"/>
        </w:rPr>
        <w:t> </w:t>
      </w:r>
      <w:r>
        <w:rPr>
          <w:color w:val="231F20"/>
          <w:w w:val="105"/>
        </w:rPr>
        <w:t>constituye</w:t>
      </w:r>
      <w:r>
        <w:rPr>
          <w:color w:val="231F20"/>
          <w:spacing w:val="-17"/>
          <w:w w:val="105"/>
        </w:rPr>
        <w:t> </w:t>
      </w:r>
      <w:r>
        <w:rPr>
          <w:color w:val="231F20"/>
          <w:w w:val="105"/>
        </w:rPr>
        <w:t>un</w:t>
      </w:r>
      <w:r>
        <w:rPr>
          <w:color w:val="231F20"/>
          <w:spacing w:val="-17"/>
          <w:w w:val="105"/>
        </w:rPr>
        <w:t> </w:t>
      </w:r>
      <w:r>
        <w:rPr>
          <w:color w:val="231F20"/>
          <w:w w:val="105"/>
        </w:rPr>
        <w:t>esfuerzo</w:t>
      </w:r>
      <w:r>
        <w:rPr>
          <w:color w:val="231F20"/>
          <w:spacing w:val="-17"/>
          <w:w w:val="105"/>
        </w:rPr>
        <w:t> </w:t>
      </w:r>
      <w:r>
        <w:rPr>
          <w:color w:val="231F20"/>
          <w:w w:val="105"/>
        </w:rPr>
        <w:t>por</w:t>
      </w:r>
      <w:r>
        <w:rPr>
          <w:color w:val="231F20"/>
          <w:spacing w:val="-17"/>
          <w:w w:val="105"/>
        </w:rPr>
        <w:t> </w:t>
      </w:r>
      <w:r>
        <w:rPr>
          <w:color w:val="231F20"/>
          <w:w w:val="105"/>
        </w:rPr>
        <w:t>documentar y</w:t>
      </w:r>
      <w:r>
        <w:rPr>
          <w:color w:val="231F20"/>
          <w:spacing w:val="-22"/>
          <w:w w:val="105"/>
        </w:rPr>
        <w:t> </w:t>
      </w:r>
      <w:r>
        <w:rPr>
          <w:color w:val="231F20"/>
          <w:w w:val="105"/>
        </w:rPr>
        <w:t>analizar</w:t>
      </w:r>
      <w:r>
        <w:rPr>
          <w:color w:val="231F20"/>
          <w:spacing w:val="-22"/>
          <w:w w:val="105"/>
        </w:rPr>
        <w:t> </w:t>
      </w:r>
      <w:r>
        <w:rPr>
          <w:color w:val="231F20"/>
          <w:w w:val="105"/>
        </w:rPr>
        <w:t>desde</w:t>
      </w:r>
      <w:r>
        <w:rPr>
          <w:color w:val="231F20"/>
          <w:spacing w:val="-22"/>
          <w:w w:val="105"/>
        </w:rPr>
        <w:t> </w:t>
      </w:r>
      <w:r>
        <w:rPr>
          <w:color w:val="231F20"/>
          <w:w w:val="105"/>
        </w:rPr>
        <w:t>un</w:t>
      </w:r>
      <w:r>
        <w:rPr>
          <w:color w:val="231F20"/>
          <w:spacing w:val="-22"/>
          <w:w w:val="105"/>
        </w:rPr>
        <w:t> </w:t>
      </w:r>
      <w:r>
        <w:rPr>
          <w:color w:val="231F20"/>
          <w:w w:val="105"/>
        </w:rPr>
        <w:t>acercamiento</w:t>
      </w:r>
      <w:r>
        <w:rPr>
          <w:color w:val="231F20"/>
          <w:spacing w:val="-22"/>
          <w:w w:val="105"/>
        </w:rPr>
        <w:t> </w:t>
      </w:r>
      <w:r>
        <w:rPr>
          <w:color w:val="231F20"/>
          <w:w w:val="105"/>
        </w:rPr>
        <w:t>cualitativo,</w:t>
      </w:r>
      <w:r>
        <w:rPr>
          <w:color w:val="231F20"/>
          <w:spacing w:val="-27"/>
          <w:w w:val="105"/>
        </w:rPr>
        <w:t> </w:t>
      </w:r>
      <w:r>
        <w:rPr>
          <w:color w:val="231F20"/>
          <w:w w:val="105"/>
        </w:rPr>
        <w:t>el</w:t>
      </w:r>
      <w:r>
        <w:rPr>
          <w:color w:val="231F20"/>
          <w:spacing w:val="-22"/>
          <w:w w:val="105"/>
        </w:rPr>
        <w:t> </w:t>
      </w:r>
      <w:r>
        <w:rPr>
          <w:color w:val="231F20"/>
          <w:w w:val="105"/>
        </w:rPr>
        <w:t>modo</w:t>
      </w:r>
      <w:r>
        <w:rPr>
          <w:color w:val="231F20"/>
          <w:spacing w:val="-22"/>
          <w:w w:val="105"/>
        </w:rPr>
        <w:t> </w:t>
      </w:r>
      <w:r>
        <w:rPr>
          <w:color w:val="231F20"/>
          <w:w w:val="105"/>
        </w:rPr>
        <w:t>en</w:t>
      </w:r>
      <w:r>
        <w:rPr>
          <w:color w:val="231F20"/>
          <w:spacing w:val="-22"/>
          <w:w w:val="105"/>
        </w:rPr>
        <w:t> </w:t>
      </w:r>
      <w:r>
        <w:rPr>
          <w:color w:val="231F20"/>
          <w:w w:val="105"/>
        </w:rPr>
        <w:t>que</w:t>
      </w:r>
      <w:r>
        <w:rPr>
          <w:color w:val="231F20"/>
          <w:spacing w:val="-22"/>
          <w:w w:val="105"/>
        </w:rPr>
        <w:t> </w:t>
      </w:r>
      <w:r>
        <w:rPr>
          <w:color w:val="231F20"/>
          <w:w w:val="105"/>
        </w:rPr>
        <w:t>experimen- tan</w:t>
      </w:r>
      <w:r>
        <w:rPr>
          <w:color w:val="231F20"/>
          <w:spacing w:val="-11"/>
          <w:w w:val="105"/>
        </w:rPr>
        <w:t> </w:t>
      </w:r>
      <w:r>
        <w:rPr>
          <w:color w:val="231F20"/>
          <w:w w:val="105"/>
        </w:rPr>
        <w:t>la</w:t>
      </w:r>
      <w:r>
        <w:rPr>
          <w:color w:val="231F20"/>
          <w:spacing w:val="-11"/>
          <w:w w:val="105"/>
        </w:rPr>
        <w:t> </w:t>
      </w:r>
      <w:r>
        <w:rPr>
          <w:color w:val="231F20"/>
          <w:w w:val="105"/>
        </w:rPr>
        <w:t>reinserción</w:t>
      </w:r>
      <w:r>
        <w:rPr>
          <w:color w:val="231F20"/>
          <w:spacing w:val="-11"/>
          <w:w w:val="105"/>
        </w:rPr>
        <w:t> </w:t>
      </w:r>
      <w:r>
        <w:rPr>
          <w:color w:val="231F20"/>
          <w:w w:val="105"/>
        </w:rPr>
        <w:t>sociocultural</w:t>
      </w:r>
      <w:r>
        <w:rPr>
          <w:color w:val="231F20"/>
          <w:spacing w:val="-11"/>
          <w:w w:val="105"/>
        </w:rPr>
        <w:t> </w:t>
      </w:r>
      <w:r>
        <w:rPr>
          <w:color w:val="231F20"/>
          <w:w w:val="105"/>
        </w:rPr>
        <w:t>los</w:t>
      </w:r>
      <w:r>
        <w:rPr>
          <w:color w:val="231F20"/>
          <w:spacing w:val="-11"/>
          <w:w w:val="105"/>
        </w:rPr>
        <w:t> </w:t>
      </w:r>
      <w:r>
        <w:rPr>
          <w:color w:val="231F20"/>
          <w:w w:val="105"/>
        </w:rPr>
        <w:t>migrantes</w:t>
      </w:r>
      <w:r>
        <w:rPr>
          <w:color w:val="231F20"/>
          <w:spacing w:val="-11"/>
          <w:w w:val="105"/>
        </w:rPr>
        <w:t> </w:t>
      </w:r>
      <w:r>
        <w:rPr>
          <w:color w:val="231F20"/>
          <w:w w:val="105"/>
        </w:rPr>
        <w:t>indígenas</w:t>
      </w:r>
      <w:r>
        <w:rPr>
          <w:color w:val="231F20"/>
          <w:spacing w:val="-11"/>
          <w:w w:val="105"/>
        </w:rPr>
        <w:t> </w:t>
      </w:r>
      <w:r>
        <w:rPr>
          <w:color w:val="231F20"/>
          <w:w w:val="105"/>
        </w:rPr>
        <w:t>mazahuas</w:t>
      </w:r>
      <w:r>
        <w:rPr>
          <w:color w:val="231F20"/>
          <w:spacing w:val="-11"/>
          <w:w w:val="105"/>
        </w:rPr>
        <w:t> </w:t>
      </w:r>
      <w:r>
        <w:rPr>
          <w:color w:val="231F20"/>
          <w:w w:val="105"/>
        </w:rPr>
        <w:t>retor- nados</w:t>
      </w:r>
      <w:r>
        <w:rPr>
          <w:color w:val="231F20"/>
          <w:spacing w:val="-11"/>
          <w:w w:val="105"/>
        </w:rPr>
        <w:t> </w:t>
      </w:r>
      <w:r>
        <w:rPr>
          <w:color w:val="231F20"/>
          <w:w w:val="105"/>
        </w:rPr>
        <w:t>de</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1"/>
          <w:w w:val="105"/>
        </w:rPr>
        <w:t> </w:t>
      </w:r>
      <w:r>
        <w:rPr>
          <w:color w:val="231F20"/>
          <w:w w:val="105"/>
        </w:rPr>
        <w:t>al</w:t>
      </w:r>
      <w:r>
        <w:rPr>
          <w:color w:val="231F20"/>
          <w:spacing w:val="-11"/>
          <w:w w:val="105"/>
        </w:rPr>
        <w:t> </w:t>
      </w:r>
      <w:r>
        <w:rPr>
          <w:color w:val="231F20"/>
          <w:w w:val="105"/>
        </w:rPr>
        <w:t>municipio</w:t>
      </w:r>
      <w:r>
        <w:rPr>
          <w:color w:val="231F20"/>
          <w:spacing w:val="-11"/>
          <w:w w:val="105"/>
        </w:rPr>
        <w:t> </w:t>
      </w:r>
      <w:r>
        <w:rPr>
          <w:color w:val="231F20"/>
          <w:w w:val="105"/>
        </w:rPr>
        <w:t>de</w:t>
      </w:r>
      <w:r>
        <w:rPr>
          <w:color w:val="231F20"/>
          <w:spacing w:val="-11"/>
          <w:w w:val="105"/>
        </w:rPr>
        <w:t> </w:t>
      </w:r>
      <w:r>
        <w:rPr>
          <w:color w:val="231F20"/>
          <w:w w:val="105"/>
        </w:rPr>
        <w:t>Ixtlahuaca,</w:t>
      </w:r>
      <w:r>
        <w:rPr>
          <w:color w:val="231F20"/>
          <w:spacing w:val="-16"/>
          <w:w w:val="105"/>
        </w:rPr>
        <w:t> </w:t>
      </w:r>
      <w:r>
        <w:rPr>
          <w:color w:val="231F20"/>
          <w:w w:val="105"/>
        </w:rPr>
        <w:t>Estado</w:t>
      </w:r>
      <w:r>
        <w:rPr>
          <w:color w:val="231F20"/>
          <w:spacing w:val="-11"/>
          <w:w w:val="105"/>
        </w:rPr>
        <w:t> </w:t>
      </w:r>
      <w:r>
        <w:rPr>
          <w:color w:val="231F20"/>
          <w:w w:val="105"/>
        </w:rPr>
        <w:t>de</w:t>
      </w:r>
      <w:r>
        <w:rPr>
          <w:color w:val="231F20"/>
          <w:spacing w:val="-11"/>
          <w:w w:val="105"/>
        </w:rPr>
        <w:t> </w:t>
      </w:r>
      <w:r>
        <w:rPr>
          <w:color w:val="231F20"/>
          <w:w w:val="105"/>
        </w:rPr>
        <w:t>México. En</w:t>
      </w:r>
      <w:r>
        <w:rPr>
          <w:color w:val="231F20"/>
          <w:spacing w:val="-8"/>
          <w:w w:val="105"/>
        </w:rPr>
        <w:t> </w:t>
      </w:r>
      <w:r>
        <w:rPr>
          <w:color w:val="231F20"/>
          <w:w w:val="105"/>
        </w:rPr>
        <w:t>otras</w:t>
      </w:r>
      <w:r>
        <w:rPr>
          <w:color w:val="231F20"/>
          <w:spacing w:val="-8"/>
          <w:w w:val="105"/>
        </w:rPr>
        <w:t> </w:t>
      </w:r>
      <w:r>
        <w:rPr>
          <w:color w:val="231F20"/>
          <w:w w:val="105"/>
        </w:rPr>
        <w:t>palabras,</w:t>
      </w:r>
      <w:r>
        <w:rPr>
          <w:color w:val="231F20"/>
          <w:spacing w:val="-14"/>
          <w:w w:val="105"/>
        </w:rPr>
        <w:t> </w:t>
      </w:r>
      <w:r>
        <w:rPr>
          <w:color w:val="231F20"/>
          <w:w w:val="105"/>
        </w:rPr>
        <w:t>se</w:t>
      </w:r>
      <w:r>
        <w:rPr>
          <w:color w:val="231F20"/>
          <w:spacing w:val="-8"/>
          <w:w w:val="105"/>
        </w:rPr>
        <w:t> </w:t>
      </w:r>
      <w:r>
        <w:rPr>
          <w:color w:val="231F20"/>
          <w:w w:val="105"/>
        </w:rPr>
        <w:t>gira</w:t>
      </w:r>
      <w:r>
        <w:rPr>
          <w:color w:val="231F20"/>
          <w:spacing w:val="-8"/>
          <w:w w:val="105"/>
        </w:rPr>
        <w:t> </w:t>
      </w:r>
      <w:r>
        <w:rPr>
          <w:color w:val="231F20"/>
          <w:w w:val="105"/>
        </w:rPr>
        <w:t>la</w:t>
      </w:r>
      <w:r>
        <w:rPr>
          <w:color w:val="231F20"/>
          <w:spacing w:val="-8"/>
          <w:w w:val="105"/>
        </w:rPr>
        <w:t> </w:t>
      </w:r>
      <w:r>
        <w:rPr>
          <w:color w:val="231F20"/>
          <w:w w:val="105"/>
        </w:rPr>
        <w:t>lente</w:t>
      </w:r>
      <w:r>
        <w:rPr>
          <w:color w:val="231F20"/>
          <w:spacing w:val="-8"/>
          <w:w w:val="105"/>
        </w:rPr>
        <w:t> </w:t>
      </w:r>
      <w:r>
        <w:rPr>
          <w:color w:val="231F20"/>
          <w:w w:val="105"/>
        </w:rPr>
        <w:t>hacia</w:t>
      </w:r>
      <w:r>
        <w:rPr>
          <w:color w:val="231F20"/>
          <w:spacing w:val="-8"/>
          <w:w w:val="105"/>
        </w:rPr>
        <w:t> </w:t>
      </w:r>
      <w:r>
        <w:rPr>
          <w:color w:val="231F20"/>
          <w:w w:val="105"/>
        </w:rPr>
        <w:t>el</w:t>
      </w:r>
      <w:r>
        <w:rPr>
          <w:color w:val="231F20"/>
          <w:spacing w:val="-8"/>
          <w:w w:val="105"/>
        </w:rPr>
        <w:t> </w:t>
      </w:r>
      <w:r>
        <w:rPr>
          <w:color w:val="231F20"/>
          <w:w w:val="105"/>
        </w:rPr>
        <w:t>individuo,</w:t>
      </w:r>
      <w:r>
        <w:rPr>
          <w:color w:val="231F20"/>
          <w:spacing w:val="-14"/>
          <w:w w:val="105"/>
        </w:rPr>
        <w:t> </w:t>
      </w:r>
      <w:r>
        <w:rPr>
          <w:color w:val="231F20"/>
          <w:w w:val="105"/>
        </w:rPr>
        <w:t>a</w:t>
      </w:r>
      <w:r>
        <w:rPr>
          <w:color w:val="231F20"/>
          <w:spacing w:val="-8"/>
          <w:w w:val="105"/>
        </w:rPr>
        <w:t> </w:t>
      </w:r>
      <w:r>
        <w:rPr>
          <w:color w:val="231F20"/>
          <w:w w:val="105"/>
        </w:rPr>
        <w:t>sus</w:t>
      </w:r>
      <w:r>
        <w:rPr>
          <w:color w:val="231F20"/>
          <w:spacing w:val="-8"/>
          <w:w w:val="105"/>
        </w:rPr>
        <w:t> </w:t>
      </w:r>
      <w:r>
        <w:rPr>
          <w:color w:val="231F20"/>
          <w:w w:val="105"/>
        </w:rPr>
        <w:t>formas</w:t>
      </w:r>
      <w:r>
        <w:rPr>
          <w:color w:val="231F20"/>
          <w:spacing w:val="-8"/>
          <w:w w:val="105"/>
        </w:rPr>
        <w:t> </w:t>
      </w:r>
      <w:r>
        <w:rPr>
          <w:color w:val="231F20"/>
          <w:w w:val="105"/>
        </w:rPr>
        <w:t>de</w:t>
      </w:r>
      <w:r>
        <w:rPr>
          <w:color w:val="231F20"/>
          <w:spacing w:val="-8"/>
          <w:w w:val="105"/>
        </w:rPr>
        <w:t> </w:t>
      </w:r>
      <w:r>
        <w:rPr>
          <w:color w:val="231F20"/>
          <w:w w:val="105"/>
        </w:rPr>
        <w:t>re- conocerse, de asumir su pertenencia y de reconstruir sus identificacio- nes,</w:t>
      </w:r>
      <w:r>
        <w:rPr>
          <w:color w:val="231F20"/>
          <w:spacing w:val="-10"/>
          <w:w w:val="105"/>
        </w:rPr>
        <w:t> </w:t>
      </w:r>
      <w:r>
        <w:rPr>
          <w:color w:val="231F20"/>
          <w:w w:val="105"/>
        </w:rPr>
        <w:t>una</w:t>
      </w:r>
      <w:r>
        <w:rPr>
          <w:color w:val="231F20"/>
          <w:spacing w:val="-5"/>
          <w:w w:val="105"/>
        </w:rPr>
        <w:t> </w:t>
      </w:r>
      <w:r>
        <w:rPr>
          <w:color w:val="231F20"/>
          <w:w w:val="105"/>
        </w:rPr>
        <w:t>vez</w:t>
      </w:r>
      <w:r>
        <w:rPr>
          <w:color w:val="231F20"/>
          <w:spacing w:val="-5"/>
          <w:w w:val="105"/>
        </w:rPr>
        <w:t> </w:t>
      </w:r>
      <w:r>
        <w:rPr>
          <w:color w:val="231F20"/>
          <w:w w:val="105"/>
        </w:rPr>
        <w:t>entran</w:t>
      </w:r>
      <w:r>
        <w:rPr>
          <w:color w:val="231F20"/>
          <w:spacing w:val="-5"/>
          <w:w w:val="105"/>
        </w:rPr>
        <w:t> </w:t>
      </w:r>
      <w:r>
        <w:rPr>
          <w:color w:val="231F20"/>
          <w:w w:val="105"/>
        </w:rPr>
        <w:t>en</w:t>
      </w:r>
      <w:r>
        <w:rPr>
          <w:color w:val="231F20"/>
          <w:spacing w:val="-5"/>
          <w:w w:val="105"/>
        </w:rPr>
        <w:t> </w:t>
      </w:r>
      <w:r>
        <w:rPr>
          <w:color w:val="231F20"/>
          <w:w w:val="105"/>
        </w:rPr>
        <w:t>juego</w:t>
      </w:r>
      <w:r>
        <w:rPr>
          <w:color w:val="231F20"/>
          <w:spacing w:val="-5"/>
          <w:w w:val="105"/>
        </w:rPr>
        <w:t> </w:t>
      </w:r>
      <w:r>
        <w:rPr>
          <w:color w:val="231F20"/>
          <w:w w:val="105"/>
        </w:rPr>
        <w:t>múltiples</w:t>
      </w:r>
      <w:r>
        <w:rPr>
          <w:color w:val="231F20"/>
          <w:spacing w:val="-5"/>
          <w:w w:val="105"/>
        </w:rPr>
        <w:t> </w:t>
      </w:r>
      <w:r>
        <w:rPr>
          <w:color w:val="231F20"/>
          <w:w w:val="105"/>
        </w:rPr>
        <w:t>procesos</w:t>
      </w:r>
      <w:r>
        <w:rPr>
          <w:color w:val="231F20"/>
          <w:spacing w:val="-5"/>
          <w:w w:val="105"/>
        </w:rPr>
        <w:t> </w:t>
      </w:r>
      <w:r>
        <w:rPr>
          <w:color w:val="231F20"/>
          <w:w w:val="105"/>
        </w:rPr>
        <w:t>de</w:t>
      </w:r>
      <w:r>
        <w:rPr>
          <w:color w:val="231F20"/>
          <w:spacing w:val="-5"/>
          <w:w w:val="105"/>
        </w:rPr>
        <w:t> </w:t>
      </w:r>
      <w:r>
        <w:rPr>
          <w:color w:val="231F20"/>
          <w:w w:val="105"/>
        </w:rPr>
        <w:t>aprendizaje,</w:t>
      </w:r>
      <w:r>
        <w:rPr>
          <w:color w:val="231F20"/>
          <w:spacing w:val="-10"/>
          <w:w w:val="105"/>
        </w:rPr>
        <w:t> </w:t>
      </w:r>
      <w:r>
        <w:rPr>
          <w:color w:val="231F20"/>
          <w:w w:val="105"/>
        </w:rPr>
        <w:t>enten- dimiento y negociación, derivados del contacto con otras personas de orígenes</w:t>
      </w:r>
      <w:r>
        <w:rPr>
          <w:color w:val="231F20"/>
          <w:spacing w:val="-37"/>
          <w:w w:val="105"/>
        </w:rPr>
        <w:t> </w:t>
      </w:r>
      <w:r>
        <w:rPr>
          <w:color w:val="231F20"/>
          <w:w w:val="105"/>
        </w:rPr>
        <w:t>culturales</w:t>
      </w:r>
      <w:r>
        <w:rPr>
          <w:color w:val="231F20"/>
          <w:spacing w:val="-37"/>
          <w:w w:val="105"/>
        </w:rPr>
        <w:t> </w:t>
      </w:r>
      <w:r>
        <w:rPr>
          <w:color w:val="231F20"/>
          <w:w w:val="105"/>
        </w:rPr>
        <w:t>diversos.</w:t>
      </w:r>
    </w:p>
    <w:p>
      <w:pPr>
        <w:pStyle w:val="BodyText"/>
        <w:spacing w:line="261" w:lineRule="auto" w:before="1"/>
        <w:ind w:left="1837" w:right="1715" w:firstLine="567"/>
        <w:jc w:val="both"/>
      </w:pPr>
      <w:r>
        <w:rPr>
          <w:color w:val="231F20"/>
          <w:w w:val="105"/>
        </w:rPr>
        <w:t>A pesar del panorama estatal de la migración internacional de</w:t>
      </w:r>
      <w:r>
        <w:rPr>
          <w:color w:val="231F20"/>
          <w:spacing w:val="-27"/>
          <w:w w:val="105"/>
        </w:rPr>
        <w:t> </w:t>
      </w:r>
      <w:r>
        <w:rPr>
          <w:color w:val="231F20"/>
          <w:w w:val="105"/>
        </w:rPr>
        <w:t>re- torno, que incorpora el potencial de movilidad laboral de los retornados y el uso de los recursos e inversiones que realizan de vuelta al terruño, es</w:t>
      </w:r>
      <w:r>
        <w:rPr>
          <w:color w:val="231F20"/>
          <w:spacing w:val="-5"/>
          <w:w w:val="105"/>
        </w:rPr>
        <w:t> </w:t>
      </w:r>
      <w:r>
        <w:rPr>
          <w:color w:val="231F20"/>
          <w:w w:val="105"/>
        </w:rPr>
        <w:t>imprescindible,</w:t>
      </w:r>
      <w:r>
        <w:rPr>
          <w:color w:val="231F20"/>
          <w:spacing w:val="-11"/>
          <w:w w:val="105"/>
        </w:rPr>
        <w:t> </w:t>
      </w:r>
      <w:r>
        <w:rPr>
          <w:color w:val="231F20"/>
          <w:w w:val="105"/>
        </w:rPr>
        <w:t>según</w:t>
      </w:r>
      <w:r>
        <w:rPr>
          <w:color w:val="231F20"/>
          <w:spacing w:val="-5"/>
          <w:w w:val="105"/>
        </w:rPr>
        <w:t> </w:t>
      </w:r>
      <w:r>
        <w:rPr>
          <w:color w:val="231F20"/>
          <w:w w:val="105"/>
        </w:rPr>
        <w:t>la</w:t>
      </w:r>
      <w:r>
        <w:rPr>
          <w:color w:val="231F20"/>
          <w:spacing w:val="-5"/>
          <w:w w:val="105"/>
        </w:rPr>
        <w:t> </w:t>
      </w:r>
      <w:r>
        <w:rPr>
          <w:color w:val="231F20"/>
          <w:w w:val="105"/>
        </w:rPr>
        <w:t>autora,</w:t>
      </w:r>
      <w:r>
        <w:rPr>
          <w:color w:val="231F20"/>
          <w:spacing w:val="-11"/>
          <w:w w:val="105"/>
        </w:rPr>
        <w:t> </w:t>
      </w:r>
      <w:r>
        <w:rPr>
          <w:color w:val="231F20"/>
          <w:w w:val="105"/>
        </w:rPr>
        <w:t>conocer</w:t>
      </w:r>
      <w:r>
        <w:rPr>
          <w:color w:val="231F20"/>
          <w:spacing w:val="-5"/>
          <w:w w:val="105"/>
        </w:rPr>
        <w:t> </w:t>
      </w:r>
      <w:r>
        <w:rPr>
          <w:color w:val="231F20"/>
          <w:w w:val="105"/>
        </w:rPr>
        <w:t>de</w:t>
      </w:r>
      <w:r>
        <w:rPr>
          <w:color w:val="231F20"/>
          <w:spacing w:val="-5"/>
          <w:w w:val="105"/>
        </w:rPr>
        <w:t> </w:t>
      </w:r>
      <w:r>
        <w:rPr>
          <w:color w:val="231F20"/>
          <w:w w:val="105"/>
        </w:rPr>
        <w:t>qué</w:t>
      </w:r>
      <w:r>
        <w:rPr>
          <w:color w:val="231F20"/>
          <w:spacing w:val="-5"/>
          <w:w w:val="105"/>
        </w:rPr>
        <w:t> </w:t>
      </w:r>
      <w:r>
        <w:rPr>
          <w:color w:val="231F20"/>
          <w:w w:val="105"/>
        </w:rPr>
        <w:t>manera</w:t>
      </w:r>
      <w:r>
        <w:rPr>
          <w:color w:val="231F20"/>
          <w:spacing w:val="-5"/>
          <w:w w:val="105"/>
        </w:rPr>
        <w:t> </w:t>
      </w:r>
      <w:r>
        <w:rPr>
          <w:color w:val="231F20"/>
          <w:w w:val="105"/>
        </w:rPr>
        <w:t>todos</w:t>
      </w:r>
      <w:r>
        <w:rPr>
          <w:color w:val="231F20"/>
          <w:spacing w:val="-5"/>
          <w:w w:val="105"/>
        </w:rPr>
        <w:t> </w:t>
      </w:r>
      <w:r>
        <w:rPr>
          <w:color w:val="231F20"/>
          <w:w w:val="105"/>
        </w:rPr>
        <w:t>estos elementos</w:t>
      </w:r>
      <w:r>
        <w:rPr>
          <w:color w:val="231F20"/>
          <w:spacing w:val="-24"/>
          <w:w w:val="105"/>
        </w:rPr>
        <w:t> </w:t>
      </w:r>
      <w:r>
        <w:rPr>
          <w:color w:val="231F20"/>
          <w:w w:val="105"/>
        </w:rPr>
        <w:t>se</w:t>
      </w:r>
      <w:r>
        <w:rPr>
          <w:color w:val="231F20"/>
          <w:spacing w:val="-24"/>
          <w:w w:val="105"/>
        </w:rPr>
        <w:t> </w:t>
      </w:r>
      <w:r>
        <w:rPr>
          <w:color w:val="231F20"/>
          <w:w w:val="105"/>
        </w:rPr>
        <w:t>ven</w:t>
      </w:r>
      <w:r>
        <w:rPr>
          <w:color w:val="231F20"/>
          <w:spacing w:val="-24"/>
          <w:w w:val="105"/>
        </w:rPr>
        <w:t> </w:t>
      </w:r>
      <w:r>
        <w:rPr>
          <w:color w:val="231F20"/>
          <w:spacing w:val="-3"/>
          <w:w w:val="105"/>
        </w:rPr>
        <w:t>influidos</w:t>
      </w:r>
      <w:r>
        <w:rPr>
          <w:color w:val="231F20"/>
          <w:spacing w:val="-24"/>
          <w:w w:val="105"/>
        </w:rPr>
        <w:t> </w:t>
      </w:r>
      <w:r>
        <w:rPr>
          <w:color w:val="231F20"/>
          <w:w w:val="105"/>
        </w:rPr>
        <w:t>por</w:t>
      </w:r>
      <w:r>
        <w:rPr>
          <w:color w:val="231F20"/>
          <w:spacing w:val="-24"/>
          <w:w w:val="105"/>
        </w:rPr>
        <w:t> </w:t>
      </w:r>
      <w:r>
        <w:rPr>
          <w:color w:val="231F20"/>
          <w:spacing w:val="-3"/>
          <w:w w:val="105"/>
        </w:rPr>
        <w:t>procesos</w:t>
      </w:r>
      <w:r>
        <w:rPr>
          <w:color w:val="231F20"/>
          <w:spacing w:val="-24"/>
          <w:w w:val="105"/>
        </w:rPr>
        <w:t> </w:t>
      </w:r>
      <w:r>
        <w:rPr>
          <w:color w:val="231F20"/>
          <w:spacing w:val="-3"/>
          <w:w w:val="105"/>
        </w:rPr>
        <w:t>subjetivos</w:t>
      </w:r>
      <w:r>
        <w:rPr>
          <w:color w:val="231F20"/>
          <w:spacing w:val="-24"/>
          <w:w w:val="105"/>
        </w:rPr>
        <w:t> </w:t>
      </w:r>
      <w:r>
        <w:rPr>
          <w:color w:val="231F20"/>
          <w:w w:val="105"/>
        </w:rPr>
        <w:t>de</w:t>
      </w:r>
      <w:r>
        <w:rPr>
          <w:color w:val="231F20"/>
          <w:spacing w:val="-24"/>
          <w:w w:val="105"/>
        </w:rPr>
        <w:t> </w:t>
      </w:r>
      <w:r>
        <w:rPr>
          <w:color w:val="231F20"/>
          <w:spacing w:val="-3"/>
          <w:w w:val="105"/>
        </w:rPr>
        <w:t>orden</w:t>
      </w:r>
      <w:r>
        <w:rPr>
          <w:color w:val="231F20"/>
          <w:spacing w:val="-24"/>
          <w:w w:val="105"/>
        </w:rPr>
        <w:t> </w:t>
      </w:r>
      <w:r>
        <w:rPr>
          <w:color w:val="231F20"/>
          <w:spacing w:val="-4"/>
          <w:w w:val="105"/>
        </w:rPr>
        <w:t>sociocultural. </w:t>
      </w:r>
      <w:r>
        <w:rPr>
          <w:color w:val="231F20"/>
          <w:w w:val="105"/>
        </w:rPr>
        <w:t>Ante esta dinámica es necesario cuestionar el papel que la migración internacional de retorno adquiere toda vez que se socializa como una estrategia de beneficio</w:t>
      </w:r>
      <w:r>
        <w:rPr>
          <w:color w:val="231F20"/>
          <w:spacing w:val="-28"/>
          <w:w w:val="105"/>
        </w:rPr>
        <w:t> </w:t>
      </w:r>
      <w:r>
        <w:rPr>
          <w:color w:val="231F20"/>
          <w:w w:val="105"/>
        </w:rPr>
        <w:t>económico.</w:t>
      </w:r>
    </w:p>
    <w:p>
      <w:pPr>
        <w:pStyle w:val="BodyText"/>
        <w:spacing w:line="261" w:lineRule="auto" w:before="1"/>
        <w:ind w:left="1837" w:right="1719" w:firstLine="567"/>
        <w:jc w:val="both"/>
      </w:pPr>
      <w:r>
        <w:rPr>
          <w:color w:val="231F20"/>
          <w:w w:val="105"/>
        </w:rPr>
        <w:t>El</w:t>
      </w:r>
      <w:r>
        <w:rPr>
          <w:color w:val="231F20"/>
          <w:spacing w:val="-7"/>
          <w:w w:val="105"/>
        </w:rPr>
        <w:t> </w:t>
      </w:r>
      <w:r>
        <w:rPr>
          <w:color w:val="231F20"/>
          <w:w w:val="105"/>
        </w:rPr>
        <w:t>capítulo</w:t>
      </w:r>
      <w:r>
        <w:rPr>
          <w:color w:val="231F20"/>
          <w:spacing w:val="-7"/>
          <w:w w:val="105"/>
        </w:rPr>
        <w:t> </w:t>
      </w:r>
      <w:r>
        <w:rPr>
          <w:color w:val="231F20"/>
          <w:w w:val="105"/>
        </w:rPr>
        <w:t>noveno,</w:t>
      </w:r>
      <w:r>
        <w:rPr>
          <w:color w:val="231F20"/>
          <w:spacing w:val="-13"/>
          <w:w w:val="105"/>
        </w:rPr>
        <w:t> </w:t>
      </w:r>
      <w:r>
        <w:rPr>
          <w:color w:val="231F20"/>
          <w:w w:val="105"/>
        </w:rPr>
        <w:t>“El</w:t>
      </w:r>
      <w:r>
        <w:rPr>
          <w:color w:val="231F20"/>
          <w:spacing w:val="-11"/>
          <w:w w:val="105"/>
        </w:rPr>
        <w:t> </w:t>
      </w:r>
      <w:r>
        <w:rPr>
          <w:color w:val="231F20"/>
          <w:w w:val="105"/>
        </w:rPr>
        <w:t>retorno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mexiquenses</w:t>
      </w:r>
      <w:r>
        <w:rPr>
          <w:color w:val="231F20"/>
          <w:spacing w:val="-11"/>
          <w:w w:val="105"/>
        </w:rPr>
        <w:t> </w:t>
      </w:r>
      <w:r>
        <w:rPr>
          <w:color w:val="231F20"/>
          <w:w w:val="105"/>
        </w:rPr>
        <w:t>que</w:t>
      </w:r>
      <w:r>
        <w:rPr>
          <w:color w:val="231F20"/>
          <w:spacing w:val="-11"/>
          <w:w w:val="105"/>
        </w:rPr>
        <w:t> </w:t>
      </w:r>
      <w:r>
        <w:rPr>
          <w:color w:val="231F20"/>
          <w:w w:val="105"/>
        </w:rPr>
        <w:t>emigraron a</w:t>
      </w:r>
      <w:r>
        <w:rPr>
          <w:color w:val="231F20"/>
          <w:spacing w:val="-23"/>
          <w:w w:val="105"/>
        </w:rPr>
        <w:t> </w:t>
      </w:r>
      <w:r>
        <w:rPr>
          <w:color w:val="231F20"/>
          <w:spacing w:val="-4"/>
          <w:w w:val="105"/>
        </w:rPr>
        <w:t>Texas”</w:t>
      </w:r>
      <w:r>
        <w:rPr>
          <w:rFonts w:ascii="Arial" w:hAnsi="Arial"/>
          <w:i/>
          <w:color w:val="231F20"/>
          <w:spacing w:val="-4"/>
          <w:w w:val="105"/>
        </w:rPr>
        <w:t>,</w:t>
      </w:r>
      <w:r>
        <w:rPr>
          <w:rFonts w:ascii="Arial" w:hAnsi="Arial"/>
          <w:i/>
          <w:color w:val="231F20"/>
          <w:spacing w:val="-19"/>
          <w:w w:val="105"/>
        </w:rPr>
        <w:t> </w:t>
      </w:r>
      <w:r>
        <w:rPr>
          <w:color w:val="231F20"/>
          <w:w w:val="105"/>
        </w:rPr>
        <w:t>de</w:t>
      </w:r>
      <w:r>
        <w:rPr>
          <w:color w:val="231F20"/>
          <w:spacing w:val="-16"/>
          <w:w w:val="105"/>
        </w:rPr>
        <w:t> </w:t>
      </w:r>
      <w:r>
        <w:rPr>
          <w:color w:val="231F20"/>
          <w:w w:val="105"/>
        </w:rPr>
        <w:t>Renato</w:t>
      </w:r>
      <w:r>
        <w:rPr>
          <w:color w:val="231F20"/>
          <w:spacing w:val="-16"/>
          <w:w w:val="105"/>
        </w:rPr>
        <w:t> </w:t>
      </w:r>
      <w:r>
        <w:rPr>
          <w:color w:val="231F20"/>
          <w:w w:val="105"/>
        </w:rPr>
        <w:t>Salas</w:t>
      </w:r>
      <w:r>
        <w:rPr>
          <w:color w:val="231F20"/>
          <w:spacing w:val="-19"/>
          <w:w w:val="105"/>
        </w:rPr>
        <w:t> </w:t>
      </w:r>
      <w:r>
        <w:rPr>
          <w:color w:val="231F20"/>
          <w:w w:val="105"/>
        </w:rPr>
        <w:t>Alfaro,</w:t>
      </w:r>
      <w:r>
        <w:rPr>
          <w:color w:val="231F20"/>
          <w:spacing w:val="-21"/>
          <w:w w:val="105"/>
        </w:rPr>
        <w:t> </w:t>
      </w:r>
      <w:r>
        <w:rPr>
          <w:color w:val="231F20"/>
          <w:w w:val="105"/>
        </w:rPr>
        <w:t>pretende</w:t>
      </w:r>
      <w:r>
        <w:rPr>
          <w:color w:val="231F20"/>
          <w:spacing w:val="-16"/>
          <w:w w:val="105"/>
        </w:rPr>
        <w:t> </w:t>
      </w:r>
      <w:r>
        <w:rPr>
          <w:color w:val="231F20"/>
          <w:w w:val="105"/>
        </w:rPr>
        <w:t>analizar</w:t>
      </w:r>
      <w:r>
        <w:rPr>
          <w:color w:val="231F20"/>
          <w:spacing w:val="-16"/>
          <w:w w:val="105"/>
        </w:rPr>
        <w:t> </w:t>
      </w:r>
      <w:r>
        <w:rPr>
          <w:color w:val="231F20"/>
          <w:w w:val="105"/>
        </w:rPr>
        <w:t>cuáles</w:t>
      </w:r>
      <w:r>
        <w:rPr>
          <w:color w:val="231F20"/>
          <w:spacing w:val="-16"/>
          <w:w w:val="105"/>
        </w:rPr>
        <w:t> </w:t>
      </w:r>
      <w:r>
        <w:rPr>
          <w:color w:val="231F20"/>
          <w:w w:val="105"/>
        </w:rPr>
        <w:t>son</w:t>
      </w:r>
      <w:r>
        <w:rPr>
          <w:color w:val="231F20"/>
          <w:spacing w:val="-16"/>
          <w:w w:val="105"/>
        </w:rPr>
        <w:t> </w:t>
      </w:r>
      <w:r>
        <w:rPr>
          <w:color w:val="231F20"/>
          <w:w w:val="105"/>
        </w:rPr>
        <w:t>los</w:t>
      </w:r>
      <w:r>
        <w:rPr>
          <w:color w:val="231F20"/>
          <w:spacing w:val="-16"/>
          <w:w w:val="105"/>
        </w:rPr>
        <w:t> </w:t>
      </w:r>
      <w:r>
        <w:rPr>
          <w:color w:val="231F20"/>
          <w:w w:val="105"/>
        </w:rPr>
        <w:t>cono- cimientos productivos de uso práctico que traen consigo los migrantes mexiquenses retornados desde </w:t>
      </w:r>
      <w:r>
        <w:rPr>
          <w:color w:val="231F20"/>
          <w:spacing w:val="-3"/>
          <w:w w:val="105"/>
        </w:rPr>
        <w:t>Texas, </w:t>
      </w:r>
      <w:r>
        <w:rPr>
          <w:color w:val="231F20"/>
          <w:w w:val="105"/>
        </w:rPr>
        <w:t>de qué forma los utilizan en</w:t>
      </w:r>
      <w:r>
        <w:rPr>
          <w:color w:val="231F20"/>
          <w:spacing w:val="-19"/>
          <w:w w:val="105"/>
        </w:rPr>
        <w:t> </w:t>
      </w:r>
      <w:r>
        <w:rPr>
          <w:color w:val="231F20"/>
          <w:spacing w:val="2"/>
          <w:w w:val="105"/>
        </w:rPr>
        <w:t>sus </w:t>
      </w:r>
      <w:r>
        <w:rPr>
          <w:color w:val="231F20"/>
          <w:w w:val="105"/>
        </w:rPr>
        <w:t>localidades, las limitaciones que enfrentan y los apoyos que requieren para</w:t>
      </w:r>
      <w:r>
        <w:rPr>
          <w:color w:val="231F20"/>
          <w:spacing w:val="-35"/>
          <w:w w:val="105"/>
        </w:rPr>
        <w:t> </w:t>
      </w:r>
      <w:r>
        <w:rPr>
          <w:color w:val="231F20"/>
          <w:w w:val="105"/>
        </w:rPr>
        <w:t>reinsertarse.</w:t>
      </w:r>
    </w:p>
    <w:p>
      <w:pPr>
        <w:pStyle w:val="BodyText"/>
        <w:spacing w:line="261" w:lineRule="auto" w:before="1"/>
        <w:ind w:left="1837" w:right="1722" w:firstLine="567"/>
        <w:jc w:val="both"/>
      </w:pPr>
      <w:r>
        <w:rPr/>
        <w:pict>
          <v:line style="position:absolute;mso-position-horizontal-relative:page;mso-position-vertical-relative:paragraph;z-index:-488344" from="15pt,115.890587pt" to="0pt,115.890587pt" stroked="true" strokeweight=".25pt" strokecolor="#000000">
            <w10:wrap type="none"/>
          </v:line>
        </w:pict>
      </w:r>
      <w:r>
        <w:rPr/>
        <w:pict>
          <v:line style="position:absolute;mso-position-horizontal-relative:page;mso-position-vertical-relative:paragraph;z-index:1864" from="508.890015pt,115.890587pt" to="523.890015pt,115.890587pt" stroked="true" strokeweight=".25pt" strokecolor="#000000">
            <w10:wrap type="none"/>
          </v:line>
        </w:pict>
      </w:r>
      <w:r>
        <w:rPr>
          <w:color w:val="231F20"/>
          <w:w w:val="105"/>
        </w:rPr>
        <w:t>El</w:t>
      </w:r>
      <w:r>
        <w:rPr>
          <w:color w:val="231F20"/>
          <w:spacing w:val="-32"/>
          <w:w w:val="105"/>
        </w:rPr>
        <w:t> </w:t>
      </w:r>
      <w:r>
        <w:rPr>
          <w:color w:val="231F20"/>
          <w:w w:val="105"/>
        </w:rPr>
        <w:t>análisis</w:t>
      </w:r>
      <w:r>
        <w:rPr>
          <w:color w:val="231F20"/>
          <w:spacing w:val="-32"/>
          <w:w w:val="105"/>
        </w:rPr>
        <w:t> </w:t>
      </w:r>
      <w:r>
        <w:rPr>
          <w:color w:val="231F20"/>
          <w:w w:val="105"/>
        </w:rPr>
        <w:t>se</w:t>
      </w:r>
      <w:r>
        <w:rPr>
          <w:color w:val="231F20"/>
          <w:spacing w:val="-32"/>
          <w:w w:val="105"/>
        </w:rPr>
        <w:t> </w:t>
      </w:r>
      <w:r>
        <w:rPr>
          <w:color w:val="231F20"/>
          <w:spacing w:val="-3"/>
          <w:w w:val="105"/>
        </w:rPr>
        <w:t>realiza</w:t>
      </w:r>
      <w:r>
        <w:rPr>
          <w:color w:val="231F20"/>
          <w:spacing w:val="-32"/>
          <w:w w:val="105"/>
        </w:rPr>
        <w:t> </w:t>
      </w:r>
      <w:r>
        <w:rPr>
          <w:color w:val="231F20"/>
          <w:w w:val="105"/>
        </w:rPr>
        <w:t>desde</w:t>
      </w:r>
      <w:r>
        <w:rPr>
          <w:color w:val="231F20"/>
          <w:spacing w:val="-32"/>
          <w:w w:val="105"/>
        </w:rPr>
        <w:t> </w:t>
      </w:r>
      <w:r>
        <w:rPr>
          <w:color w:val="231F20"/>
          <w:w w:val="105"/>
        </w:rPr>
        <w:t>la</w:t>
      </w:r>
      <w:r>
        <w:rPr>
          <w:color w:val="231F20"/>
          <w:spacing w:val="-32"/>
          <w:w w:val="105"/>
        </w:rPr>
        <w:t> </w:t>
      </w:r>
      <w:r>
        <w:rPr>
          <w:color w:val="231F20"/>
          <w:w w:val="105"/>
        </w:rPr>
        <w:t>perspectiva</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spacing w:val="-3"/>
          <w:w w:val="105"/>
        </w:rPr>
        <w:t>retornados,</w:t>
      </w:r>
      <w:r>
        <w:rPr>
          <w:color w:val="231F20"/>
          <w:spacing w:val="-36"/>
          <w:w w:val="105"/>
        </w:rPr>
        <w:t> </w:t>
      </w:r>
      <w:r>
        <w:rPr>
          <w:color w:val="231F20"/>
          <w:w w:val="105"/>
        </w:rPr>
        <w:t>los</w:t>
      </w:r>
      <w:r>
        <w:rPr>
          <w:color w:val="231F20"/>
          <w:spacing w:val="-32"/>
          <w:w w:val="105"/>
        </w:rPr>
        <w:t> </w:t>
      </w:r>
      <w:r>
        <w:rPr>
          <w:color w:val="231F20"/>
          <w:w w:val="105"/>
        </w:rPr>
        <w:t>cua- les </w:t>
      </w:r>
      <w:r>
        <w:rPr>
          <w:color w:val="231F20"/>
          <w:spacing w:val="-3"/>
          <w:w w:val="105"/>
        </w:rPr>
        <w:t>fueron entrevistados </w:t>
      </w:r>
      <w:r>
        <w:rPr>
          <w:color w:val="231F20"/>
          <w:w w:val="105"/>
        </w:rPr>
        <w:t>a </w:t>
      </w:r>
      <w:r>
        <w:rPr>
          <w:color w:val="231F20"/>
          <w:spacing w:val="-3"/>
          <w:w w:val="105"/>
        </w:rPr>
        <w:t>profundidad </w:t>
      </w:r>
      <w:r>
        <w:rPr>
          <w:color w:val="231F20"/>
          <w:w w:val="105"/>
        </w:rPr>
        <w:t>mediante una selección no alea- toria durante </w:t>
      </w:r>
      <w:r>
        <w:rPr>
          <w:color w:val="231F20"/>
          <w:spacing w:val="-3"/>
          <w:w w:val="105"/>
        </w:rPr>
        <w:t>diciembre </w:t>
      </w:r>
      <w:r>
        <w:rPr>
          <w:color w:val="231F20"/>
          <w:w w:val="105"/>
        </w:rPr>
        <w:t>2012 y </w:t>
      </w:r>
      <w:r>
        <w:rPr>
          <w:color w:val="231F20"/>
          <w:spacing w:val="-3"/>
          <w:w w:val="105"/>
        </w:rPr>
        <w:t>febrero </w:t>
      </w:r>
      <w:r>
        <w:rPr>
          <w:color w:val="231F20"/>
          <w:w w:val="105"/>
        </w:rPr>
        <w:t>2013, en distintos municipios</w:t>
      </w:r>
      <w:r>
        <w:rPr>
          <w:color w:val="231F20"/>
          <w:spacing w:val="-4"/>
          <w:w w:val="105"/>
        </w:rPr>
        <w:t> </w:t>
      </w:r>
      <w:r>
        <w:rPr>
          <w:color w:val="231F20"/>
          <w:w w:val="105"/>
        </w:rPr>
        <w:t>de</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BodyText"/>
        <w:spacing w:line="261" w:lineRule="auto" w:before="60"/>
        <w:ind w:left="1723" w:right="1835"/>
        <w:jc w:val="both"/>
      </w:pPr>
      <w:r>
        <w:rPr/>
        <w:pict>
          <v:line style="position:absolute;mso-position-horizontal-relative:page;mso-position-vertical-relative:paragraph;z-index:1912" from="15pt,-65.851784pt" to="0pt,-65.851784pt" stroked="true" strokeweight=".25pt" strokecolor="#000000">
            <w10:wrap type="none"/>
          </v:line>
        </w:pict>
      </w:r>
      <w:r>
        <w:rPr/>
        <w:pict>
          <v:line style="position:absolute;mso-position-horizontal-relative:page;mso-position-vertical-relative:paragraph;z-index:1936" from="508.890015pt,-65.851784pt" to="523.890015pt,-65.851784pt" stroked="true" strokeweight=".25pt" strokecolor="#000000">
            <w10:wrap type="none"/>
          </v:line>
        </w:pict>
      </w:r>
      <w:r>
        <w:rPr>
          <w:color w:val="231F20"/>
          <w:w w:val="105"/>
        </w:rPr>
        <w:t>la</w:t>
      </w:r>
      <w:r>
        <w:rPr>
          <w:color w:val="231F20"/>
          <w:spacing w:val="-14"/>
          <w:w w:val="105"/>
        </w:rPr>
        <w:t> </w:t>
      </w:r>
      <w:r>
        <w:rPr>
          <w:color w:val="231F20"/>
          <w:w w:val="105"/>
        </w:rPr>
        <w:t>entidad.</w:t>
      </w:r>
      <w:r>
        <w:rPr>
          <w:color w:val="231F20"/>
          <w:spacing w:val="-19"/>
          <w:w w:val="105"/>
        </w:rPr>
        <w:t> </w:t>
      </w:r>
      <w:r>
        <w:rPr>
          <w:color w:val="231F20"/>
          <w:w w:val="105"/>
        </w:rPr>
        <w:t>El</w:t>
      </w:r>
      <w:r>
        <w:rPr>
          <w:color w:val="231F20"/>
          <w:spacing w:val="-14"/>
          <w:w w:val="105"/>
        </w:rPr>
        <w:t> </w:t>
      </w:r>
      <w:r>
        <w:rPr>
          <w:color w:val="231F20"/>
          <w:w w:val="105"/>
        </w:rPr>
        <w:t>capítulo</w:t>
      </w:r>
      <w:r>
        <w:rPr>
          <w:color w:val="231F20"/>
          <w:spacing w:val="-14"/>
          <w:w w:val="105"/>
        </w:rPr>
        <w:t> </w:t>
      </w:r>
      <w:r>
        <w:rPr>
          <w:color w:val="231F20"/>
          <w:w w:val="105"/>
        </w:rPr>
        <w:t>muestra</w:t>
      </w:r>
      <w:r>
        <w:rPr>
          <w:color w:val="231F20"/>
          <w:spacing w:val="-14"/>
          <w:w w:val="105"/>
        </w:rPr>
        <w:t> </w:t>
      </w:r>
      <w:r>
        <w:rPr>
          <w:color w:val="231F20"/>
          <w:w w:val="105"/>
        </w:rPr>
        <w:t>evidencias</w:t>
      </w:r>
      <w:r>
        <w:rPr>
          <w:color w:val="231F20"/>
          <w:spacing w:val="-14"/>
          <w:w w:val="105"/>
        </w:rPr>
        <w:t> </w:t>
      </w:r>
      <w:r>
        <w:rPr>
          <w:color w:val="231F20"/>
          <w:w w:val="105"/>
        </w:rPr>
        <w:t>de</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spacing w:val="-3"/>
          <w:w w:val="105"/>
        </w:rPr>
        <w:t>retornados</w:t>
      </w:r>
      <w:r>
        <w:rPr>
          <w:color w:val="231F20"/>
          <w:spacing w:val="-14"/>
          <w:w w:val="105"/>
        </w:rPr>
        <w:t> </w:t>
      </w:r>
      <w:r>
        <w:rPr>
          <w:color w:val="231F20"/>
          <w:spacing w:val="-3"/>
          <w:w w:val="105"/>
        </w:rPr>
        <w:t>exhiben </w:t>
      </w:r>
      <w:r>
        <w:rPr>
          <w:color w:val="231F20"/>
          <w:w w:val="105"/>
        </w:rPr>
        <w:t>conocimientos</w:t>
      </w:r>
      <w:r>
        <w:rPr>
          <w:color w:val="231F20"/>
          <w:spacing w:val="-28"/>
          <w:w w:val="105"/>
        </w:rPr>
        <w:t> </w:t>
      </w:r>
      <w:r>
        <w:rPr>
          <w:color w:val="231F20"/>
          <w:w w:val="105"/>
        </w:rPr>
        <w:t>traídos</w:t>
      </w:r>
      <w:r>
        <w:rPr>
          <w:color w:val="231F20"/>
          <w:spacing w:val="-28"/>
          <w:w w:val="105"/>
        </w:rPr>
        <w:t> </w:t>
      </w:r>
      <w:r>
        <w:rPr>
          <w:color w:val="231F20"/>
          <w:w w:val="105"/>
        </w:rPr>
        <w:t>consigo,</w:t>
      </w:r>
      <w:r>
        <w:rPr>
          <w:color w:val="231F20"/>
          <w:spacing w:val="-32"/>
          <w:w w:val="105"/>
        </w:rPr>
        <w:t> </w:t>
      </w:r>
      <w:r>
        <w:rPr>
          <w:color w:val="231F20"/>
          <w:w w:val="105"/>
        </w:rPr>
        <w:t>en</w:t>
      </w:r>
      <w:r>
        <w:rPr>
          <w:color w:val="231F20"/>
          <w:spacing w:val="-28"/>
          <w:w w:val="105"/>
        </w:rPr>
        <w:t> </w:t>
      </w:r>
      <w:r>
        <w:rPr>
          <w:color w:val="231F20"/>
          <w:w w:val="105"/>
        </w:rPr>
        <w:t>algunas</w:t>
      </w:r>
      <w:r>
        <w:rPr>
          <w:color w:val="231F20"/>
          <w:spacing w:val="-28"/>
          <w:w w:val="105"/>
        </w:rPr>
        <w:t> </w:t>
      </w:r>
      <w:r>
        <w:rPr>
          <w:color w:val="231F20"/>
          <w:w w:val="105"/>
        </w:rPr>
        <w:t>ocasiones</w:t>
      </w:r>
      <w:r>
        <w:rPr>
          <w:color w:val="231F20"/>
          <w:spacing w:val="-28"/>
          <w:w w:val="105"/>
        </w:rPr>
        <w:t> </w:t>
      </w:r>
      <w:r>
        <w:rPr>
          <w:color w:val="231F20"/>
          <w:w w:val="105"/>
        </w:rPr>
        <w:t>pueden</w:t>
      </w:r>
      <w:r>
        <w:rPr>
          <w:color w:val="231F20"/>
          <w:spacing w:val="-28"/>
          <w:w w:val="105"/>
        </w:rPr>
        <w:t> </w:t>
      </w:r>
      <w:r>
        <w:rPr>
          <w:color w:val="231F20"/>
          <w:w w:val="105"/>
        </w:rPr>
        <w:t>aplicarse</w:t>
      </w:r>
      <w:r>
        <w:rPr>
          <w:color w:val="231F20"/>
          <w:spacing w:val="-28"/>
          <w:w w:val="105"/>
        </w:rPr>
        <w:t> </w:t>
      </w:r>
      <w:r>
        <w:rPr>
          <w:color w:val="231F20"/>
          <w:w w:val="105"/>
        </w:rPr>
        <w:t>y vivir</w:t>
      </w:r>
      <w:r>
        <w:rPr>
          <w:color w:val="231F20"/>
          <w:spacing w:val="-23"/>
          <w:w w:val="105"/>
        </w:rPr>
        <w:t> </w:t>
      </w:r>
      <w:r>
        <w:rPr>
          <w:color w:val="231F20"/>
          <w:w w:val="105"/>
        </w:rPr>
        <w:t>de</w:t>
      </w:r>
      <w:r>
        <w:rPr>
          <w:color w:val="231F20"/>
          <w:spacing w:val="-23"/>
          <w:w w:val="105"/>
        </w:rPr>
        <w:t> </w:t>
      </w:r>
      <w:r>
        <w:rPr>
          <w:color w:val="231F20"/>
          <w:w w:val="105"/>
        </w:rPr>
        <w:t>ellos,</w:t>
      </w:r>
      <w:r>
        <w:rPr>
          <w:color w:val="231F20"/>
          <w:spacing w:val="-28"/>
          <w:w w:val="105"/>
        </w:rPr>
        <w:t> </w:t>
      </w:r>
      <w:r>
        <w:rPr>
          <w:color w:val="231F20"/>
          <w:spacing w:val="-3"/>
          <w:w w:val="105"/>
        </w:rPr>
        <w:t>pero</w:t>
      </w:r>
      <w:r>
        <w:rPr>
          <w:color w:val="231F20"/>
          <w:spacing w:val="-23"/>
          <w:w w:val="105"/>
        </w:rPr>
        <w:t> </w:t>
      </w:r>
      <w:r>
        <w:rPr>
          <w:color w:val="231F20"/>
          <w:w w:val="105"/>
        </w:rPr>
        <w:t>en</w:t>
      </w:r>
      <w:r>
        <w:rPr>
          <w:color w:val="231F20"/>
          <w:spacing w:val="-23"/>
          <w:w w:val="105"/>
        </w:rPr>
        <w:t> </w:t>
      </w:r>
      <w:r>
        <w:rPr>
          <w:color w:val="231F20"/>
          <w:w w:val="105"/>
        </w:rPr>
        <w:t>otras</w:t>
      </w:r>
      <w:r>
        <w:rPr>
          <w:color w:val="231F20"/>
          <w:spacing w:val="-23"/>
          <w:w w:val="105"/>
        </w:rPr>
        <w:t> </w:t>
      </w:r>
      <w:r>
        <w:rPr>
          <w:color w:val="231F20"/>
          <w:w w:val="105"/>
        </w:rPr>
        <w:t>no</w:t>
      </w:r>
      <w:r>
        <w:rPr>
          <w:color w:val="231F20"/>
          <w:spacing w:val="-23"/>
          <w:w w:val="105"/>
        </w:rPr>
        <w:t> </w:t>
      </w:r>
      <w:r>
        <w:rPr>
          <w:color w:val="231F20"/>
          <w:w w:val="105"/>
        </w:rPr>
        <w:t>es</w:t>
      </w:r>
      <w:r>
        <w:rPr>
          <w:color w:val="231F20"/>
          <w:spacing w:val="-23"/>
          <w:w w:val="105"/>
        </w:rPr>
        <w:t> </w:t>
      </w:r>
      <w:r>
        <w:rPr>
          <w:color w:val="231F20"/>
          <w:w w:val="105"/>
        </w:rPr>
        <w:t>posible,</w:t>
      </w:r>
      <w:r>
        <w:rPr>
          <w:color w:val="231F20"/>
          <w:spacing w:val="-28"/>
          <w:w w:val="105"/>
        </w:rPr>
        <w:t> </w:t>
      </w:r>
      <w:r>
        <w:rPr>
          <w:color w:val="231F20"/>
          <w:w w:val="105"/>
        </w:rPr>
        <w:t>y</w:t>
      </w:r>
      <w:r>
        <w:rPr>
          <w:color w:val="231F20"/>
          <w:spacing w:val="-23"/>
          <w:w w:val="105"/>
        </w:rPr>
        <w:t> </w:t>
      </w:r>
      <w:r>
        <w:rPr>
          <w:color w:val="231F20"/>
          <w:spacing w:val="-3"/>
          <w:w w:val="105"/>
        </w:rPr>
        <w:t>sobre</w:t>
      </w:r>
      <w:r>
        <w:rPr>
          <w:color w:val="231F20"/>
          <w:spacing w:val="-23"/>
          <w:w w:val="105"/>
        </w:rPr>
        <w:t> </w:t>
      </w:r>
      <w:r>
        <w:rPr>
          <w:color w:val="231F20"/>
          <w:w w:val="105"/>
        </w:rPr>
        <w:t>todo,</w:t>
      </w:r>
      <w:r>
        <w:rPr>
          <w:color w:val="231F20"/>
          <w:spacing w:val="-28"/>
          <w:w w:val="105"/>
        </w:rPr>
        <w:t> </w:t>
      </w:r>
      <w:r>
        <w:rPr>
          <w:color w:val="231F20"/>
          <w:w w:val="105"/>
        </w:rPr>
        <w:t>que</w:t>
      </w:r>
      <w:r>
        <w:rPr>
          <w:color w:val="231F20"/>
          <w:spacing w:val="-23"/>
          <w:w w:val="105"/>
        </w:rPr>
        <w:t> </w:t>
      </w:r>
      <w:r>
        <w:rPr>
          <w:color w:val="231F20"/>
          <w:w w:val="105"/>
        </w:rPr>
        <w:t>los</w:t>
      </w:r>
      <w:r>
        <w:rPr>
          <w:color w:val="231F20"/>
          <w:spacing w:val="-23"/>
          <w:w w:val="105"/>
        </w:rPr>
        <w:t> </w:t>
      </w:r>
      <w:r>
        <w:rPr>
          <w:color w:val="231F20"/>
          <w:spacing w:val="-3"/>
          <w:w w:val="105"/>
        </w:rPr>
        <w:t>retornados </w:t>
      </w:r>
      <w:r>
        <w:rPr>
          <w:color w:val="231F20"/>
          <w:w w:val="105"/>
        </w:rPr>
        <w:t>en</w:t>
      </w:r>
      <w:r>
        <w:rPr>
          <w:color w:val="231F20"/>
          <w:spacing w:val="-21"/>
          <w:w w:val="105"/>
        </w:rPr>
        <w:t> </w:t>
      </w:r>
      <w:r>
        <w:rPr>
          <w:color w:val="231F20"/>
          <w:w w:val="105"/>
        </w:rPr>
        <w:t>los</w:t>
      </w:r>
      <w:r>
        <w:rPr>
          <w:color w:val="231F20"/>
          <w:spacing w:val="-21"/>
          <w:w w:val="105"/>
        </w:rPr>
        <w:t> </w:t>
      </w:r>
      <w:r>
        <w:rPr>
          <w:color w:val="231F20"/>
          <w:spacing w:val="-3"/>
          <w:w w:val="105"/>
        </w:rPr>
        <w:t>lugares</w:t>
      </w:r>
      <w:r>
        <w:rPr>
          <w:color w:val="231F20"/>
          <w:spacing w:val="-21"/>
          <w:w w:val="105"/>
        </w:rPr>
        <w:t> </w:t>
      </w:r>
      <w:r>
        <w:rPr>
          <w:color w:val="231F20"/>
          <w:w w:val="105"/>
        </w:rPr>
        <w:t>de</w:t>
      </w:r>
      <w:r>
        <w:rPr>
          <w:color w:val="231F20"/>
          <w:spacing w:val="-21"/>
          <w:w w:val="105"/>
        </w:rPr>
        <w:t> </w:t>
      </w:r>
      <w:r>
        <w:rPr>
          <w:color w:val="231F20"/>
          <w:w w:val="105"/>
        </w:rPr>
        <w:t>origen</w:t>
      </w:r>
      <w:r>
        <w:rPr>
          <w:color w:val="231F20"/>
          <w:spacing w:val="-21"/>
          <w:w w:val="105"/>
        </w:rPr>
        <w:t> </w:t>
      </w:r>
      <w:r>
        <w:rPr>
          <w:color w:val="231F20"/>
          <w:w w:val="105"/>
        </w:rPr>
        <w:t>no</w:t>
      </w:r>
      <w:r>
        <w:rPr>
          <w:color w:val="231F20"/>
          <w:spacing w:val="-21"/>
          <w:w w:val="105"/>
        </w:rPr>
        <w:t> </w:t>
      </w:r>
      <w:r>
        <w:rPr>
          <w:color w:val="231F20"/>
          <w:w w:val="105"/>
        </w:rPr>
        <w:t>tienen</w:t>
      </w:r>
      <w:r>
        <w:rPr>
          <w:color w:val="231F20"/>
          <w:spacing w:val="-21"/>
          <w:w w:val="105"/>
        </w:rPr>
        <w:t> </w:t>
      </w:r>
      <w:r>
        <w:rPr>
          <w:color w:val="231F20"/>
          <w:w w:val="105"/>
        </w:rPr>
        <w:t>garantía</w:t>
      </w:r>
      <w:r>
        <w:rPr>
          <w:color w:val="231F20"/>
          <w:spacing w:val="-21"/>
          <w:w w:val="105"/>
        </w:rPr>
        <w:t> </w:t>
      </w:r>
      <w:r>
        <w:rPr>
          <w:color w:val="231F20"/>
          <w:w w:val="105"/>
        </w:rPr>
        <w:t>de</w:t>
      </w:r>
      <w:r>
        <w:rPr>
          <w:color w:val="231F20"/>
          <w:spacing w:val="-21"/>
          <w:w w:val="105"/>
        </w:rPr>
        <w:t> </w:t>
      </w:r>
      <w:r>
        <w:rPr>
          <w:color w:val="231F20"/>
          <w:w w:val="105"/>
        </w:rPr>
        <w:t>emplearse</w:t>
      </w:r>
      <w:r>
        <w:rPr>
          <w:color w:val="231F20"/>
          <w:spacing w:val="-21"/>
          <w:w w:val="105"/>
        </w:rPr>
        <w:t> </w:t>
      </w:r>
      <w:r>
        <w:rPr>
          <w:color w:val="231F20"/>
          <w:spacing w:val="-3"/>
          <w:w w:val="105"/>
        </w:rPr>
        <w:t>productivamen- </w:t>
      </w:r>
      <w:r>
        <w:rPr>
          <w:color w:val="231F20"/>
          <w:w w:val="105"/>
        </w:rPr>
        <w:t>te; la intervención de </w:t>
      </w:r>
      <w:r>
        <w:rPr>
          <w:color w:val="231F20"/>
          <w:spacing w:val="-3"/>
          <w:w w:val="105"/>
        </w:rPr>
        <w:t>actores </w:t>
      </w:r>
      <w:r>
        <w:rPr>
          <w:color w:val="231F20"/>
          <w:w w:val="105"/>
        </w:rPr>
        <w:t>y </w:t>
      </w:r>
      <w:r>
        <w:rPr>
          <w:color w:val="231F20"/>
          <w:spacing w:val="-3"/>
          <w:w w:val="105"/>
        </w:rPr>
        <w:t>circunstancias </w:t>
      </w:r>
      <w:r>
        <w:rPr>
          <w:color w:val="231F20"/>
          <w:w w:val="105"/>
        </w:rPr>
        <w:t>adicionales al </w:t>
      </w:r>
      <w:r>
        <w:rPr>
          <w:color w:val="231F20"/>
          <w:spacing w:val="-3"/>
          <w:w w:val="105"/>
        </w:rPr>
        <w:t>retornado </w:t>
      </w:r>
      <w:r>
        <w:rPr>
          <w:color w:val="231F20"/>
          <w:w w:val="105"/>
        </w:rPr>
        <w:t>vuelven</w:t>
      </w:r>
      <w:r>
        <w:rPr>
          <w:color w:val="231F20"/>
          <w:spacing w:val="-16"/>
          <w:w w:val="105"/>
        </w:rPr>
        <w:t> </w:t>
      </w:r>
      <w:r>
        <w:rPr>
          <w:color w:val="231F20"/>
          <w:w w:val="105"/>
        </w:rPr>
        <w:t>difícil</w:t>
      </w:r>
      <w:r>
        <w:rPr>
          <w:color w:val="231F20"/>
          <w:spacing w:val="-16"/>
          <w:w w:val="105"/>
        </w:rPr>
        <w:t> </w:t>
      </w:r>
      <w:r>
        <w:rPr>
          <w:color w:val="231F20"/>
          <w:w w:val="105"/>
        </w:rPr>
        <w:t>estimar</w:t>
      </w:r>
      <w:r>
        <w:rPr>
          <w:color w:val="231F20"/>
          <w:spacing w:val="-16"/>
          <w:w w:val="105"/>
        </w:rPr>
        <w:t> </w:t>
      </w:r>
      <w:r>
        <w:rPr>
          <w:rFonts w:ascii="Arial" w:hAnsi="Arial"/>
          <w:i/>
          <w:color w:val="231F20"/>
          <w:w w:val="105"/>
        </w:rPr>
        <w:t>a</w:t>
      </w:r>
      <w:r>
        <w:rPr>
          <w:rFonts w:ascii="Arial" w:hAnsi="Arial"/>
          <w:i/>
          <w:color w:val="231F20"/>
          <w:spacing w:val="-19"/>
          <w:w w:val="105"/>
        </w:rPr>
        <w:t> </w:t>
      </w:r>
      <w:r>
        <w:rPr>
          <w:rFonts w:ascii="Arial" w:hAnsi="Arial"/>
          <w:i/>
          <w:color w:val="231F20"/>
          <w:w w:val="105"/>
        </w:rPr>
        <w:t>priori</w:t>
      </w:r>
      <w:r>
        <w:rPr>
          <w:rFonts w:ascii="Arial" w:hAnsi="Arial"/>
          <w:i/>
          <w:color w:val="231F20"/>
          <w:spacing w:val="-19"/>
          <w:w w:val="105"/>
        </w:rPr>
        <w:t> </w:t>
      </w:r>
      <w:r>
        <w:rPr>
          <w:color w:val="231F20"/>
          <w:w w:val="105"/>
        </w:rPr>
        <w:t>los</w:t>
      </w:r>
      <w:r>
        <w:rPr>
          <w:color w:val="231F20"/>
          <w:spacing w:val="-16"/>
          <w:w w:val="105"/>
        </w:rPr>
        <w:t> </w:t>
      </w:r>
      <w:r>
        <w:rPr>
          <w:color w:val="231F20"/>
          <w:w w:val="105"/>
        </w:rPr>
        <w:t>efectos</w:t>
      </w:r>
      <w:r>
        <w:rPr>
          <w:color w:val="231F20"/>
          <w:spacing w:val="-16"/>
          <w:w w:val="105"/>
        </w:rPr>
        <w:t> </w:t>
      </w:r>
      <w:r>
        <w:rPr>
          <w:color w:val="231F20"/>
          <w:w w:val="105"/>
        </w:rPr>
        <w:t>del</w:t>
      </w:r>
      <w:r>
        <w:rPr>
          <w:color w:val="231F20"/>
          <w:spacing w:val="-16"/>
          <w:w w:val="105"/>
        </w:rPr>
        <w:t> </w:t>
      </w:r>
      <w:r>
        <w:rPr>
          <w:color w:val="231F20"/>
          <w:spacing w:val="-3"/>
          <w:w w:val="105"/>
        </w:rPr>
        <w:t>retorno.</w:t>
      </w:r>
      <w:r>
        <w:rPr>
          <w:color w:val="231F20"/>
          <w:spacing w:val="-20"/>
          <w:w w:val="105"/>
        </w:rPr>
        <w:t> </w:t>
      </w:r>
      <w:r>
        <w:rPr>
          <w:color w:val="231F20"/>
          <w:w w:val="105"/>
        </w:rPr>
        <w:t>El</w:t>
      </w:r>
      <w:r>
        <w:rPr>
          <w:color w:val="231F20"/>
          <w:spacing w:val="-16"/>
          <w:w w:val="105"/>
        </w:rPr>
        <w:t> </w:t>
      </w:r>
      <w:r>
        <w:rPr>
          <w:color w:val="231F20"/>
          <w:w w:val="105"/>
        </w:rPr>
        <w:t>estudio</w:t>
      </w:r>
      <w:r>
        <w:rPr>
          <w:color w:val="231F20"/>
          <w:spacing w:val="-16"/>
          <w:w w:val="105"/>
        </w:rPr>
        <w:t> </w:t>
      </w:r>
      <w:r>
        <w:rPr>
          <w:color w:val="231F20"/>
          <w:w w:val="105"/>
        </w:rPr>
        <w:t>concluye que</w:t>
      </w:r>
      <w:r>
        <w:rPr>
          <w:color w:val="231F20"/>
          <w:spacing w:val="-16"/>
          <w:w w:val="105"/>
        </w:rPr>
        <w:t> </w:t>
      </w:r>
      <w:r>
        <w:rPr>
          <w:color w:val="231F20"/>
          <w:w w:val="105"/>
        </w:rPr>
        <w:t>dado</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migrante</w:t>
      </w:r>
      <w:r>
        <w:rPr>
          <w:color w:val="231F20"/>
          <w:spacing w:val="-16"/>
          <w:w w:val="105"/>
        </w:rPr>
        <w:t> </w:t>
      </w:r>
      <w:r>
        <w:rPr>
          <w:color w:val="231F20"/>
          <w:w w:val="105"/>
        </w:rPr>
        <w:t>tiende</w:t>
      </w:r>
      <w:r>
        <w:rPr>
          <w:color w:val="231F20"/>
          <w:spacing w:val="-16"/>
          <w:w w:val="105"/>
        </w:rPr>
        <w:t> </w:t>
      </w:r>
      <w:r>
        <w:rPr>
          <w:color w:val="231F20"/>
          <w:w w:val="105"/>
        </w:rPr>
        <w:t>a</w:t>
      </w:r>
      <w:r>
        <w:rPr>
          <w:color w:val="231F20"/>
          <w:spacing w:val="-16"/>
          <w:w w:val="105"/>
        </w:rPr>
        <w:t> </w:t>
      </w:r>
      <w:r>
        <w:rPr>
          <w:color w:val="231F20"/>
          <w:w w:val="105"/>
        </w:rPr>
        <w:t>emular</w:t>
      </w:r>
      <w:r>
        <w:rPr>
          <w:color w:val="231F20"/>
          <w:spacing w:val="-16"/>
          <w:w w:val="105"/>
        </w:rPr>
        <w:t> </w:t>
      </w:r>
      <w:r>
        <w:rPr>
          <w:color w:val="231F20"/>
          <w:w w:val="105"/>
        </w:rPr>
        <w:t>los</w:t>
      </w:r>
      <w:r>
        <w:rPr>
          <w:color w:val="231F20"/>
          <w:spacing w:val="-16"/>
          <w:w w:val="105"/>
        </w:rPr>
        <w:t> </w:t>
      </w:r>
      <w:r>
        <w:rPr>
          <w:color w:val="231F20"/>
          <w:spacing w:val="-3"/>
          <w:w w:val="105"/>
        </w:rPr>
        <w:t>logros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se- mejantes,</w:t>
      </w:r>
      <w:r>
        <w:rPr>
          <w:color w:val="231F20"/>
          <w:spacing w:val="-26"/>
          <w:w w:val="105"/>
        </w:rPr>
        <w:t> </w:t>
      </w:r>
      <w:r>
        <w:rPr>
          <w:color w:val="231F20"/>
          <w:w w:val="105"/>
        </w:rPr>
        <w:t>es</w:t>
      </w:r>
      <w:r>
        <w:rPr>
          <w:color w:val="231F20"/>
          <w:spacing w:val="-21"/>
          <w:w w:val="105"/>
        </w:rPr>
        <w:t> </w:t>
      </w:r>
      <w:r>
        <w:rPr>
          <w:color w:val="231F20"/>
          <w:w w:val="105"/>
        </w:rPr>
        <w:t>posible</w:t>
      </w:r>
      <w:r>
        <w:rPr>
          <w:color w:val="231F20"/>
          <w:spacing w:val="-21"/>
          <w:w w:val="105"/>
        </w:rPr>
        <w:t> </w:t>
      </w:r>
      <w:r>
        <w:rPr>
          <w:color w:val="231F20"/>
          <w:w w:val="105"/>
        </w:rPr>
        <w:t>que</w:t>
      </w:r>
      <w:r>
        <w:rPr>
          <w:color w:val="231F20"/>
          <w:spacing w:val="-21"/>
          <w:w w:val="105"/>
        </w:rPr>
        <w:t> </w:t>
      </w:r>
      <w:r>
        <w:rPr>
          <w:color w:val="231F20"/>
          <w:w w:val="105"/>
        </w:rPr>
        <w:t>los</w:t>
      </w:r>
      <w:r>
        <w:rPr>
          <w:color w:val="231F20"/>
          <w:spacing w:val="-21"/>
          <w:w w:val="105"/>
        </w:rPr>
        <w:t> </w:t>
      </w:r>
      <w:r>
        <w:rPr>
          <w:color w:val="231F20"/>
          <w:spacing w:val="-3"/>
          <w:w w:val="105"/>
        </w:rPr>
        <w:t>resultados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migrantes</w:t>
      </w:r>
      <w:r>
        <w:rPr>
          <w:color w:val="231F20"/>
          <w:spacing w:val="-21"/>
          <w:w w:val="105"/>
        </w:rPr>
        <w:t> </w:t>
      </w:r>
      <w:r>
        <w:rPr>
          <w:color w:val="231F20"/>
          <w:spacing w:val="-3"/>
          <w:w w:val="105"/>
        </w:rPr>
        <w:t>emprendedores </w:t>
      </w:r>
      <w:r>
        <w:rPr>
          <w:color w:val="231F20"/>
          <w:w w:val="105"/>
        </w:rPr>
        <w:t>constituyan</w:t>
      </w:r>
      <w:r>
        <w:rPr>
          <w:color w:val="231F20"/>
          <w:spacing w:val="-23"/>
          <w:w w:val="105"/>
        </w:rPr>
        <w:t> </w:t>
      </w:r>
      <w:r>
        <w:rPr>
          <w:color w:val="231F20"/>
          <w:spacing w:val="-3"/>
          <w:w w:val="105"/>
        </w:rPr>
        <w:t>mejores</w:t>
      </w:r>
      <w:r>
        <w:rPr>
          <w:color w:val="231F20"/>
          <w:spacing w:val="-23"/>
          <w:w w:val="105"/>
        </w:rPr>
        <w:t> </w:t>
      </w:r>
      <w:r>
        <w:rPr>
          <w:color w:val="231F20"/>
          <w:w w:val="105"/>
        </w:rPr>
        <w:t>modos</w:t>
      </w:r>
      <w:r>
        <w:rPr>
          <w:color w:val="231F20"/>
          <w:spacing w:val="-23"/>
          <w:w w:val="105"/>
        </w:rPr>
        <w:t> </w:t>
      </w:r>
      <w:r>
        <w:rPr>
          <w:color w:val="231F20"/>
          <w:w w:val="105"/>
        </w:rPr>
        <w:t>de</w:t>
      </w:r>
      <w:r>
        <w:rPr>
          <w:color w:val="231F20"/>
          <w:spacing w:val="-23"/>
          <w:w w:val="105"/>
        </w:rPr>
        <w:t> </w:t>
      </w:r>
      <w:r>
        <w:rPr>
          <w:color w:val="231F20"/>
          <w:w w:val="105"/>
        </w:rPr>
        <w:t>vida,</w:t>
      </w:r>
      <w:r>
        <w:rPr>
          <w:color w:val="231F20"/>
          <w:spacing w:val="-27"/>
          <w:w w:val="105"/>
        </w:rPr>
        <w:t> </w:t>
      </w:r>
      <w:r>
        <w:rPr>
          <w:color w:val="231F20"/>
          <w:w w:val="105"/>
        </w:rPr>
        <w:t>con</w:t>
      </w:r>
      <w:r>
        <w:rPr>
          <w:color w:val="231F20"/>
          <w:spacing w:val="-23"/>
          <w:w w:val="105"/>
        </w:rPr>
        <w:t> </w:t>
      </w:r>
      <w:r>
        <w:rPr>
          <w:color w:val="231F20"/>
          <w:w w:val="105"/>
        </w:rPr>
        <w:t>mayor</w:t>
      </w:r>
      <w:r>
        <w:rPr>
          <w:color w:val="231F20"/>
          <w:spacing w:val="-23"/>
          <w:w w:val="105"/>
        </w:rPr>
        <w:t> </w:t>
      </w:r>
      <w:r>
        <w:rPr>
          <w:color w:val="231F20"/>
          <w:w w:val="105"/>
        </w:rPr>
        <w:t>nivel</w:t>
      </w:r>
      <w:r>
        <w:rPr>
          <w:color w:val="231F20"/>
          <w:spacing w:val="-23"/>
          <w:w w:val="105"/>
        </w:rPr>
        <w:t> </w:t>
      </w:r>
      <w:r>
        <w:rPr>
          <w:color w:val="231F20"/>
          <w:w w:val="105"/>
        </w:rPr>
        <w:t>de</w:t>
      </w:r>
      <w:r>
        <w:rPr>
          <w:color w:val="231F20"/>
          <w:spacing w:val="-23"/>
          <w:w w:val="105"/>
        </w:rPr>
        <w:t> </w:t>
      </w:r>
      <w:r>
        <w:rPr>
          <w:color w:val="231F20"/>
          <w:w w:val="105"/>
        </w:rPr>
        <w:t>sostenibilidad.</w:t>
      </w:r>
    </w:p>
    <w:p>
      <w:pPr>
        <w:pStyle w:val="BodyText"/>
        <w:spacing w:line="261" w:lineRule="auto"/>
        <w:ind w:left="1723" w:right="1829" w:firstLine="567"/>
        <w:jc w:val="both"/>
      </w:pP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sección</w:t>
      </w:r>
      <w:r>
        <w:rPr>
          <w:color w:val="231F20"/>
          <w:spacing w:val="-24"/>
          <w:w w:val="105"/>
        </w:rPr>
        <w:t> </w:t>
      </w:r>
      <w:r>
        <w:rPr>
          <w:color w:val="231F20"/>
          <w:w w:val="105"/>
        </w:rPr>
        <w:t>de</w:t>
      </w:r>
      <w:r>
        <w:rPr>
          <w:color w:val="231F20"/>
          <w:spacing w:val="-24"/>
          <w:w w:val="105"/>
        </w:rPr>
        <w:t> </w:t>
      </w:r>
      <w:r>
        <w:rPr>
          <w:rFonts w:ascii="Arial" w:hAnsi="Arial"/>
          <w:color w:val="231F20"/>
          <w:w w:val="105"/>
        </w:rPr>
        <w:t>Procesos</w:t>
      </w:r>
      <w:r>
        <w:rPr>
          <w:rFonts w:ascii="Arial" w:hAnsi="Arial"/>
          <w:color w:val="231F20"/>
          <w:spacing w:val="-26"/>
          <w:w w:val="105"/>
        </w:rPr>
        <w:t> </w:t>
      </w:r>
      <w:r>
        <w:rPr>
          <w:rFonts w:ascii="Arial" w:hAnsi="Arial"/>
          <w:color w:val="231F20"/>
          <w:w w:val="105"/>
        </w:rPr>
        <w:t>migratorios,</w:t>
      </w:r>
      <w:r>
        <w:rPr>
          <w:rFonts w:ascii="Arial" w:hAnsi="Arial"/>
          <w:color w:val="231F20"/>
          <w:spacing w:val="-31"/>
          <w:w w:val="105"/>
        </w:rPr>
        <w:t> </w:t>
      </w:r>
      <w:r>
        <w:rPr>
          <w:rFonts w:ascii="Arial" w:hAnsi="Arial"/>
          <w:color w:val="231F20"/>
          <w:w w:val="105"/>
        </w:rPr>
        <w:t>sujetos</w:t>
      </w:r>
      <w:r>
        <w:rPr>
          <w:rFonts w:ascii="Arial" w:hAnsi="Arial"/>
          <w:color w:val="231F20"/>
          <w:spacing w:val="-26"/>
          <w:w w:val="105"/>
        </w:rPr>
        <w:t> </w:t>
      </w:r>
      <w:r>
        <w:rPr>
          <w:rFonts w:ascii="Arial" w:hAnsi="Arial"/>
          <w:color w:val="231F20"/>
          <w:w w:val="105"/>
        </w:rPr>
        <w:t>migrantes</w:t>
      </w:r>
      <w:r>
        <w:rPr>
          <w:rFonts w:ascii="Arial" w:hAnsi="Arial"/>
          <w:color w:val="231F20"/>
          <w:spacing w:val="-26"/>
          <w:w w:val="105"/>
        </w:rPr>
        <w:t> </w:t>
      </w:r>
      <w:r>
        <w:rPr>
          <w:rFonts w:ascii="Arial" w:hAnsi="Arial"/>
          <w:color w:val="231F20"/>
          <w:w w:val="105"/>
        </w:rPr>
        <w:t>y</w:t>
      </w:r>
      <w:r>
        <w:rPr>
          <w:rFonts w:ascii="Arial" w:hAnsi="Arial"/>
          <w:color w:val="231F20"/>
          <w:spacing w:val="-26"/>
          <w:w w:val="105"/>
        </w:rPr>
        <w:t> </w:t>
      </w:r>
      <w:r>
        <w:rPr>
          <w:rFonts w:ascii="Arial" w:hAnsi="Arial"/>
          <w:color w:val="231F20"/>
          <w:w w:val="105"/>
        </w:rPr>
        <w:t>estrate- gias</w:t>
      </w:r>
      <w:r>
        <w:rPr>
          <w:rFonts w:ascii="Arial" w:hAnsi="Arial"/>
          <w:color w:val="231F20"/>
          <w:spacing w:val="-9"/>
          <w:w w:val="105"/>
        </w:rPr>
        <w:t> </w:t>
      </w:r>
      <w:r>
        <w:rPr>
          <w:rFonts w:ascii="Arial" w:hAnsi="Arial"/>
          <w:color w:val="231F20"/>
          <w:w w:val="105"/>
        </w:rPr>
        <w:t>de</w:t>
      </w:r>
      <w:r>
        <w:rPr>
          <w:rFonts w:ascii="Arial" w:hAnsi="Arial"/>
          <w:color w:val="231F20"/>
          <w:spacing w:val="-9"/>
          <w:w w:val="105"/>
        </w:rPr>
        <w:t> </w:t>
      </w:r>
      <w:r>
        <w:rPr>
          <w:rFonts w:ascii="Arial" w:hAnsi="Arial"/>
          <w:color w:val="231F20"/>
          <w:w w:val="105"/>
        </w:rPr>
        <w:t>vida</w:t>
      </w:r>
      <w:r>
        <w:rPr>
          <w:rFonts w:ascii="Arial" w:hAnsi="Arial"/>
          <w:color w:val="231F20"/>
          <w:spacing w:val="-9"/>
          <w:w w:val="105"/>
        </w:rPr>
        <w:t> </w:t>
      </w:r>
      <w:r>
        <w:rPr>
          <w:color w:val="231F20"/>
          <w:w w:val="105"/>
        </w:rPr>
        <w:t>se</w:t>
      </w:r>
      <w:r>
        <w:rPr>
          <w:color w:val="231F20"/>
          <w:spacing w:val="-6"/>
          <w:w w:val="105"/>
        </w:rPr>
        <w:t> </w:t>
      </w:r>
      <w:r>
        <w:rPr>
          <w:color w:val="231F20"/>
          <w:w w:val="105"/>
        </w:rPr>
        <w:t>presenta</w:t>
      </w:r>
      <w:r>
        <w:rPr>
          <w:color w:val="231F20"/>
          <w:spacing w:val="-6"/>
          <w:w w:val="105"/>
        </w:rPr>
        <w:t> </w:t>
      </w:r>
      <w:r>
        <w:rPr>
          <w:color w:val="231F20"/>
          <w:w w:val="105"/>
        </w:rPr>
        <w:t>una</w:t>
      </w:r>
      <w:r>
        <w:rPr>
          <w:color w:val="231F20"/>
          <w:spacing w:val="-6"/>
          <w:w w:val="105"/>
        </w:rPr>
        <w:t> </w:t>
      </w:r>
      <w:r>
        <w:rPr>
          <w:color w:val="231F20"/>
          <w:w w:val="105"/>
        </w:rPr>
        <w:t>serie</w:t>
      </w:r>
      <w:r>
        <w:rPr>
          <w:color w:val="231F20"/>
          <w:spacing w:val="-6"/>
          <w:w w:val="105"/>
        </w:rPr>
        <w:t> </w:t>
      </w:r>
      <w:r>
        <w:rPr>
          <w:color w:val="231F20"/>
          <w:w w:val="105"/>
        </w:rPr>
        <w:t>de</w:t>
      </w:r>
      <w:r>
        <w:rPr>
          <w:color w:val="231F20"/>
          <w:spacing w:val="-6"/>
          <w:w w:val="105"/>
        </w:rPr>
        <w:t> </w:t>
      </w:r>
      <w:r>
        <w:rPr>
          <w:color w:val="231F20"/>
          <w:w w:val="105"/>
        </w:rPr>
        <w:t>trabajos</w:t>
      </w:r>
      <w:r>
        <w:rPr>
          <w:color w:val="231F20"/>
          <w:spacing w:val="-6"/>
          <w:w w:val="105"/>
        </w:rPr>
        <w:t> </w:t>
      </w:r>
      <w:r>
        <w:rPr>
          <w:color w:val="231F20"/>
          <w:w w:val="105"/>
        </w:rPr>
        <w:t>que</w:t>
      </w:r>
      <w:r>
        <w:rPr>
          <w:color w:val="231F20"/>
          <w:spacing w:val="-6"/>
          <w:w w:val="105"/>
        </w:rPr>
        <w:t> </w:t>
      </w:r>
      <w:r>
        <w:rPr>
          <w:color w:val="231F20"/>
          <w:w w:val="105"/>
        </w:rPr>
        <w:t>analizan</w:t>
      </w:r>
      <w:r>
        <w:rPr>
          <w:color w:val="231F20"/>
          <w:spacing w:val="-6"/>
          <w:w w:val="105"/>
        </w:rPr>
        <w:t> </w:t>
      </w:r>
      <w:r>
        <w:rPr>
          <w:color w:val="231F20"/>
          <w:w w:val="105"/>
        </w:rPr>
        <w:t>el</w:t>
      </w:r>
      <w:r>
        <w:rPr>
          <w:color w:val="231F20"/>
          <w:spacing w:val="-6"/>
          <w:w w:val="105"/>
        </w:rPr>
        <w:t> </w:t>
      </w:r>
      <w:r>
        <w:rPr>
          <w:color w:val="231F20"/>
          <w:w w:val="105"/>
        </w:rPr>
        <w:t>rol</w:t>
      </w:r>
      <w:r>
        <w:rPr>
          <w:color w:val="231F20"/>
          <w:spacing w:val="-6"/>
          <w:w w:val="105"/>
        </w:rPr>
        <w:t> </w:t>
      </w:r>
      <w:r>
        <w:rPr>
          <w:color w:val="231F20"/>
          <w:w w:val="105"/>
        </w:rPr>
        <w:t>de</w:t>
      </w:r>
      <w:r>
        <w:rPr>
          <w:color w:val="231F20"/>
          <w:spacing w:val="-6"/>
          <w:w w:val="105"/>
        </w:rPr>
        <w:t> </w:t>
      </w:r>
      <w:r>
        <w:rPr>
          <w:color w:val="231F20"/>
          <w:w w:val="105"/>
        </w:rPr>
        <w:t>los migrantes</w:t>
      </w:r>
      <w:r>
        <w:rPr>
          <w:color w:val="231F20"/>
          <w:spacing w:val="-5"/>
          <w:w w:val="105"/>
        </w:rPr>
        <w:t> </w:t>
      </w:r>
      <w:r>
        <w:rPr>
          <w:color w:val="231F20"/>
          <w:w w:val="105"/>
        </w:rPr>
        <w:t>en</w:t>
      </w:r>
      <w:r>
        <w:rPr>
          <w:color w:val="231F20"/>
          <w:spacing w:val="-5"/>
          <w:w w:val="105"/>
        </w:rPr>
        <w:t> </w:t>
      </w:r>
      <w:r>
        <w:rPr>
          <w:color w:val="231F20"/>
          <w:w w:val="105"/>
        </w:rPr>
        <w:t>sus</w:t>
      </w:r>
      <w:r>
        <w:rPr>
          <w:color w:val="231F20"/>
          <w:spacing w:val="-5"/>
          <w:w w:val="105"/>
        </w:rPr>
        <w:t> </w:t>
      </w:r>
      <w:r>
        <w:rPr>
          <w:color w:val="231F20"/>
          <w:w w:val="105"/>
        </w:rPr>
        <w:t>contextos</w:t>
      </w:r>
      <w:r>
        <w:rPr>
          <w:color w:val="231F20"/>
          <w:spacing w:val="-5"/>
          <w:w w:val="105"/>
        </w:rPr>
        <w:t> </w:t>
      </w:r>
      <w:r>
        <w:rPr>
          <w:color w:val="231F20"/>
          <w:w w:val="105"/>
        </w:rPr>
        <w:t>sociales</w:t>
      </w:r>
      <w:r>
        <w:rPr>
          <w:color w:val="231F20"/>
          <w:spacing w:val="-5"/>
          <w:w w:val="105"/>
        </w:rPr>
        <w:t> </w:t>
      </w:r>
      <w:r>
        <w:rPr>
          <w:color w:val="231F20"/>
          <w:w w:val="105"/>
        </w:rPr>
        <w:t>y</w:t>
      </w:r>
      <w:r>
        <w:rPr>
          <w:color w:val="231F20"/>
          <w:spacing w:val="-5"/>
          <w:w w:val="105"/>
        </w:rPr>
        <w:t> </w:t>
      </w:r>
      <w:r>
        <w:rPr>
          <w:color w:val="231F20"/>
          <w:w w:val="105"/>
        </w:rPr>
        <w:t>territoriales</w:t>
      </w:r>
      <w:r>
        <w:rPr>
          <w:color w:val="231F20"/>
          <w:spacing w:val="-5"/>
          <w:w w:val="105"/>
        </w:rPr>
        <w:t> </w:t>
      </w:r>
      <w:r>
        <w:rPr>
          <w:color w:val="231F20"/>
          <w:w w:val="105"/>
        </w:rPr>
        <w:t>como</w:t>
      </w:r>
      <w:r>
        <w:rPr>
          <w:color w:val="231F20"/>
          <w:spacing w:val="-5"/>
          <w:w w:val="105"/>
        </w:rPr>
        <w:t> </w:t>
      </w:r>
      <w:r>
        <w:rPr>
          <w:color w:val="231F20"/>
          <w:w w:val="105"/>
        </w:rPr>
        <w:t>sujetos</w:t>
      </w:r>
      <w:r>
        <w:rPr>
          <w:color w:val="231F20"/>
          <w:spacing w:val="-5"/>
          <w:w w:val="105"/>
        </w:rPr>
        <w:t> </w:t>
      </w:r>
      <w:r>
        <w:rPr>
          <w:color w:val="231F20"/>
          <w:w w:val="105"/>
        </w:rPr>
        <w:t>activos y</w:t>
      </w:r>
      <w:r>
        <w:rPr>
          <w:color w:val="231F20"/>
          <w:spacing w:val="-7"/>
          <w:w w:val="105"/>
        </w:rPr>
        <w:t> </w:t>
      </w:r>
      <w:r>
        <w:rPr>
          <w:color w:val="231F20"/>
          <w:w w:val="105"/>
        </w:rPr>
        <w:t>transformadores.</w:t>
      </w:r>
      <w:r>
        <w:rPr>
          <w:color w:val="231F20"/>
          <w:spacing w:val="-16"/>
          <w:w w:val="105"/>
        </w:rPr>
        <w:t> </w:t>
      </w:r>
      <w:r>
        <w:rPr>
          <w:color w:val="231F20"/>
          <w:w w:val="105"/>
        </w:rPr>
        <w:t>Así</w:t>
      </w:r>
      <w:r>
        <w:rPr>
          <w:color w:val="231F20"/>
          <w:spacing w:val="-7"/>
          <w:w w:val="105"/>
        </w:rPr>
        <w:t> </w:t>
      </w:r>
      <w:r>
        <w:rPr>
          <w:color w:val="231F20"/>
          <w:w w:val="105"/>
        </w:rPr>
        <w:t>pues,</w:t>
      </w:r>
      <w:r>
        <w:rPr>
          <w:color w:val="231F20"/>
          <w:spacing w:val="-13"/>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capítulo</w:t>
      </w:r>
      <w:r>
        <w:rPr>
          <w:color w:val="231F20"/>
          <w:spacing w:val="-7"/>
          <w:w w:val="105"/>
        </w:rPr>
        <w:t> </w:t>
      </w:r>
      <w:r>
        <w:rPr>
          <w:color w:val="231F20"/>
          <w:w w:val="105"/>
        </w:rPr>
        <w:t>décimo</w:t>
      </w:r>
      <w:r>
        <w:rPr>
          <w:color w:val="231F20"/>
          <w:spacing w:val="-7"/>
          <w:w w:val="105"/>
        </w:rPr>
        <w:t> </w:t>
      </w:r>
      <w:r>
        <w:rPr>
          <w:color w:val="231F20"/>
          <w:w w:val="105"/>
        </w:rPr>
        <w:t>“Cambios</w:t>
      </w:r>
      <w:r>
        <w:rPr>
          <w:color w:val="231F20"/>
          <w:spacing w:val="-7"/>
          <w:w w:val="105"/>
        </w:rPr>
        <w:t> </w:t>
      </w:r>
      <w:r>
        <w:rPr>
          <w:color w:val="231F20"/>
          <w:w w:val="105"/>
        </w:rPr>
        <w:t>y</w:t>
      </w:r>
      <w:r>
        <w:rPr>
          <w:color w:val="231F20"/>
          <w:spacing w:val="-7"/>
          <w:w w:val="105"/>
        </w:rPr>
        <w:t> </w:t>
      </w:r>
      <w:r>
        <w:rPr>
          <w:color w:val="231F20"/>
          <w:w w:val="105"/>
        </w:rPr>
        <w:t>continui- dades en el proceso migratorio de las mujeres del Estado de México a Estados</w:t>
      </w:r>
      <w:r>
        <w:rPr>
          <w:color w:val="231F20"/>
          <w:spacing w:val="-8"/>
          <w:w w:val="105"/>
        </w:rPr>
        <w:t> </w:t>
      </w:r>
      <w:r>
        <w:rPr>
          <w:color w:val="231F20"/>
          <w:w w:val="105"/>
        </w:rPr>
        <w:t>Unidos”</w:t>
      </w:r>
      <w:r>
        <w:rPr>
          <w:rFonts w:ascii="Arial" w:hAnsi="Arial"/>
          <w:i/>
          <w:color w:val="231F20"/>
          <w:w w:val="105"/>
        </w:rPr>
        <w:t>,</w:t>
      </w:r>
      <w:r>
        <w:rPr>
          <w:rFonts w:ascii="Arial" w:hAnsi="Arial"/>
          <w:i/>
          <w:color w:val="231F20"/>
          <w:spacing w:val="-11"/>
          <w:w w:val="105"/>
        </w:rPr>
        <w:t> </w:t>
      </w:r>
      <w:r>
        <w:rPr>
          <w:color w:val="231F20"/>
          <w:w w:val="105"/>
        </w:rPr>
        <w:t>de</w:t>
      </w:r>
      <w:r>
        <w:rPr>
          <w:color w:val="231F20"/>
          <w:spacing w:val="-11"/>
          <w:w w:val="105"/>
        </w:rPr>
        <w:t> </w:t>
      </w:r>
      <w:r>
        <w:rPr>
          <w:color w:val="231F20"/>
          <w:w w:val="105"/>
        </w:rPr>
        <w:t>Andrea</w:t>
      </w:r>
      <w:r>
        <w:rPr>
          <w:color w:val="231F20"/>
          <w:spacing w:val="-8"/>
          <w:w w:val="105"/>
        </w:rPr>
        <w:t> </w:t>
      </w:r>
      <w:r>
        <w:rPr>
          <w:color w:val="231F20"/>
          <w:w w:val="105"/>
        </w:rPr>
        <w:t>Bautista</w:t>
      </w:r>
      <w:r>
        <w:rPr>
          <w:color w:val="231F20"/>
          <w:spacing w:val="-8"/>
          <w:w w:val="105"/>
        </w:rPr>
        <w:t> </w:t>
      </w:r>
      <w:r>
        <w:rPr>
          <w:color w:val="231F20"/>
          <w:w w:val="105"/>
        </w:rPr>
        <w:t>León</w:t>
      </w:r>
      <w:r>
        <w:rPr>
          <w:color w:val="231F20"/>
          <w:spacing w:val="-8"/>
          <w:w w:val="105"/>
        </w:rPr>
        <w:t> </w:t>
      </w:r>
      <w:r>
        <w:rPr>
          <w:color w:val="231F20"/>
          <w:w w:val="105"/>
        </w:rPr>
        <w:t>y</w:t>
      </w:r>
      <w:r>
        <w:rPr>
          <w:color w:val="231F20"/>
          <w:spacing w:val="-8"/>
          <w:w w:val="105"/>
        </w:rPr>
        <w:t> </w:t>
      </w:r>
      <w:r>
        <w:rPr>
          <w:color w:val="231F20"/>
          <w:w w:val="105"/>
        </w:rPr>
        <w:t>Mauricio</w:t>
      </w:r>
      <w:r>
        <w:rPr>
          <w:color w:val="231F20"/>
          <w:spacing w:val="-8"/>
          <w:w w:val="105"/>
        </w:rPr>
        <w:t> </w:t>
      </w:r>
      <w:r>
        <w:rPr>
          <w:color w:val="231F20"/>
          <w:w w:val="105"/>
        </w:rPr>
        <w:t>Rodríguez</w:t>
      </w:r>
      <w:r>
        <w:rPr>
          <w:color w:val="231F20"/>
          <w:spacing w:val="-11"/>
          <w:w w:val="105"/>
        </w:rPr>
        <w:t> </w:t>
      </w:r>
      <w:r>
        <w:rPr>
          <w:color w:val="231F20"/>
          <w:w w:val="105"/>
        </w:rPr>
        <w:t>Abreu, establece que aun cuando la tendencia actual del patrón migratorio es heterogénea e involucra el desplazamiento de hombres y mujeres con diferentes</w:t>
      </w:r>
      <w:r>
        <w:rPr>
          <w:color w:val="231F20"/>
          <w:spacing w:val="-9"/>
          <w:w w:val="105"/>
        </w:rPr>
        <w:t> </w:t>
      </w:r>
      <w:r>
        <w:rPr>
          <w:color w:val="231F20"/>
          <w:w w:val="105"/>
        </w:rPr>
        <w:t>propósitos,</w:t>
      </w:r>
      <w:r>
        <w:rPr>
          <w:color w:val="231F20"/>
          <w:spacing w:val="-15"/>
          <w:w w:val="105"/>
        </w:rPr>
        <w:t> </w:t>
      </w:r>
      <w:r>
        <w:rPr>
          <w:color w:val="231F20"/>
          <w:w w:val="105"/>
        </w:rPr>
        <w:t>la</w:t>
      </w:r>
      <w:r>
        <w:rPr>
          <w:color w:val="231F20"/>
          <w:spacing w:val="-9"/>
          <w:w w:val="105"/>
        </w:rPr>
        <w:t> </w:t>
      </w:r>
      <w:r>
        <w:rPr>
          <w:color w:val="231F20"/>
          <w:w w:val="105"/>
        </w:rPr>
        <w:t>mayor</w:t>
      </w:r>
      <w:r>
        <w:rPr>
          <w:color w:val="231F20"/>
          <w:spacing w:val="-9"/>
          <w:w w:val="105"/>
        </w:rPr>
        <w:t> </w:t>
      </w:r>
      <w:r>
        <w:rPr>
          <w:color w:val="231F20"/>
          <w:w w:val="105"/>
        </w:rPr>
        <w:t>parte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población</w:t>
      </w:r>
      <w:r>
        <w:rPr>
          <w:color w:val="231F20"/>
          <w:spacing w:val="-9"/>
          <w:w w:val="105"/>
        </w:rPr>
        <w:t> </w:t>
      </w:r>
      <w:r>
        <w:rPr>
          <w:color w:val="231F20"/>
          <w:w w:val="105"/>
        </w:rPr>
        <w:t>femenina</w:t>
      </w:r>
      <w:r>
        <w:rPr>
          <w:color w:val="231F20"/>
          <w:spacing w:val="-9"/>
          <w:w w:val="105"/>
        </w:rPr>
        <w:t> </w:t>
      </w:r>
      <w:r>
        <w:rPr>
          <w:color w:val="231F20"/>
          <w:w w:val="105"/>
        </w:rPr>
        <w:t>del</w:t>
      </w:r>
      <w:r>
        <w:rPr>
          <w:color w:val="231F20"/>
          <w:spacing w:val="-9"/>
          <w:w w:val="105"/>
        </w:rPr>
        <w:t> </w:t>
      </w:r>
      <w:r>
        <w:rPr>
          <w:color w:val="231F20"/>
          <w:w w:val="105"/>
        </w:rPr>
        <w:t>Esta- do de México que migra a Estados Unidos lo hace siguiendo un patrón de reunificación familiar. Plantean también que existen diferencias por tipo</w:t>
      </w:r>
      <w:r>
        <w:rPr>
          <w:color w:val="231F20"/>
          <w:spacing w:val="-8"/>
          <w:w w:val="105"/>
        </w:rPr>
        <w:t> </w:t>
      </w:r>
      <w:r>
        <w:rPr>
          <w:color w:val="231F20"/>
          <w:w w:val="105"/>
        </w:rPr>
        <w:t>de</w:t>
      </w:r>
      <w:r>
        <w:rPr>
          <w:color w:val="231F20"/>
          <w:spacing w:val="-8"/>
          <w:w w:val="105"/>
        </w:rPr>
        <w:t> </w:t>
      </w:r>
      <w:r>
        <w:rPr>
          <w:color w:val="231F20"/>
          <w:w w:val="105"/>
        </w:rPr>
        <w:t>comunidad</w:t>
      </w:r>
      <w:r>
        <w:rPr>
          <w:color w:val="231F20"/>
          <w:spacing w:val="-8"/>
          <w:w w:val="105"/>
        </w:rPr>
        <w:t> </w:t>
      </w:r>
      <w:r>
        <w:rPr>
          <w:color w:val="231F20"/>
          <w:w w:val="105"/>
        </w:rPr>
        <w:t>que</w:t>
      </w:r>
      <w:r>
        <w:rPr>
          <w:color w:val="231F20"/>
          <w:spacing w:val="-8"/>
          <w:w w:val="105"/>
        </w:rPr>
        <w:t> </w:t>
      </w:r>
      <w:r>
        <w:rPr>
          <w:color w:val="231F20"/>
          <w:w w:val="105"/>
        </w:rPr>
        <w:t>influyen</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intensidad</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migración</w:t>
      </w:r>
      <w:r>
        <w:rPr>
          <w:color w:val="231F20"/>
          <w:spacing w:val="-8"/>
          <w:w w:val="105"/>
        </w:rPr>
        <w:t> </w:t>
      </w:r>
      <w:r>
        <w:rPr>
          <w:color w:val="231F20"/>
          <w:w w:val="105"/>
        </w:rPr>
        <w:t>femeni- na</w:t>
      </w:r>
      <w:r>
        <w:rPr>
          <w:color w:val="231F20"/>
          <w:spacing w:val="-17"/>
          <w:w w:val="105"/>
        </w:rPr>
        <w:t> </w:t>
      </w:r>
      <w:r>
        <w:rPr>
          <w:color w:val="231F20"/>
          <w:w w:val="105"/>
        </w:rPr>
        <w:t>y</w:t>
      </w:r>
      <w:r>
        <w:rPr>
          <w:color w:val="231F20"/>
          <w:spacing w:val="-17"/>
          <w:w w:val="105"/>
        </w:rPr>
        <w:t> </w:t>
      </w:r>
      <w:r>
        <w:rPr>
          <w:color w:val="231F20"/>
          <w:w w:val="105"/>
        </w:rPr>
        <w:t>masculina</w:t>
      </w:r>
      <w:r>
        <w:rPr>
          <w:color w:val="231F20"/>
          <w:spacing w:val="-17"/>
          <w:w w:val="105"/>
        </w:rPr>
        <w:t> </w:t>
      </w:r>
      <w:r>
        <w:rPr>
          <w:color w:val="231F20"/>
          <w:w w:val="105"/>
        </w:rPr>
        <w:t>hacia</w:t>
      </w:r>
      <w:r>
        <w:rPr>
          <w:color w:val="231F20"/>
          <w:spacing w:val="-17"/>
          <w:w w:val="105"/>
        </w:rPr>
        <w:t> </w:t>
      </w:r>
      <w:r>
        <w:rPr>
          <w:color w:val="231F20"/>
          <w:w w:val="105"/>
        </w:rPr>
        <w:t>Estados</w:t>
      </w:r>
      <w:r>
        <w:rPr>
          <w:color w:val="231F20"/>
          <w:spacing w:val="-17"/>
          <w:w w:val="105"/>
        </w:rPr>
        <w:t> </w:t>
      </w:r>
      <w:r>
        <w:rPr>
          <w:color w:val="231F20"/>
          <w:w w:val="105"/>
        </w:rPr>
        <w:t>Unidos,</w:t>
      </w:r>
      <w:r>
        <w:rPr>
          <w:color w:val="231F20"/>
          <w:spacing w:val="-22"/>
          <w:w w:val="105"/>
        </w:rPr>
        <w:t> </w:t>
      </w:r>
      <w:r>
        <w:rPr>
          <w:color w:val="231F20"/>
          <w:w w:val="105"/>
        </w:rPr>
        <w:t>debido</w:t>
      </w:r>
      <w:r>
        <w:rPr>
          <w:color w:val="231F20"/>
          <w:spacing w:val="-17"/>
          <w:w w:val="105"/>
        </w:rPr>
        <w:t> </w:t>
      </w:r>
      <w:r>
        <w:rPr>
          <w:color w:val="231F20"/>
          <w:w w:val="105"/>
        </w:rPr>
        <w:t>al</w:t>
      </w:r>
      <w:r>
        <w:rPr>
          <w:color w:val="231F20"/>
          <w:spacing w:val="-17"/>
          <w:w w:val="105"/>
        </w:rPr>
        <w:t> </w:t>
      </w:r>
      <w:r>
        <w:rPr>
          <w:color w:val="231F20"/>
          <w:w w:val="105"/>
        </w:rPr>
        <w:t>proceso</w:t>
      </w:r>
      <w:r>
        <w:rPr>
          <w:color w:val="231F20"/>
          <w:spacing w:val="-17"/>
          <w:w w:val="105"/>
        </w:rPr>
        <w:t> </w:t>
      </w:r>
      <w:r>
        <w:rPr>
          <w:color w:val="231F20"/>
          <w:w w:val="105"/>
        </w:rPr>
        <w:t>diferenciado</w:t>
      </w:r>
      <w:r>
        <w:rPr>
          <w:color w:val="231F20"/>
          <w:spacing w:val="-17"/>
          <w:w w:val="105"/>
        </w:rPr>
        <w:t> </w:t>
      </w:r>
      <w:r>
        <w:rPr>
          <w:color w:val="231F20"/>
          <w:w w:val="105"/>
        </w:rPr>
        <w:t>de exposición migratoria propio de cada</w:t>
      </w:r>
      <w:r>
        <w:rPr>
          <w:color w:val="231F20"/>
          <w:spacing w:val="-26"/>
          <w:w w:val="105"/>
        </w:rPr>
        <w:t> </w:t>
      </w:r>
      <w:r>
        <w:rPr>
          <w:color w:val="231F20"/>
          <w:w w:val="105"/>
        </w:rPr>
        <w:t>lugar.</w:t>
      </w:r>
    </w:p>
    <w:p>
      <w:pPr>
        <w:pStyle w:val="BodyText"/>
        <w:spacing w:line="261" w:lineRule="auto" w:before="1"/>
        <w:ind w:left="1723" w:right="1835" w:firstLine="567"/>
        <w:jc w:val="both"/>
      </w:pPr>
      <w:r>
        <w:rPr>
          <w:color w:val="231F20"/>
          <w:w w:val="105"/>
        </w:rPr>
        <w:t>El</w:t>
      </w:r>
      <w:r>
        <w:rPr>
          <w:color w:val="231F20"/>
          <w:spacing w:val="-8"/>
          <w:w w:val="105"/>
        </w:rPr>
        <w:t> </w:t>
      </w:r>
      <w:r>
        <w:rPr>
          <w:color w:val="231F20"/>
          <w:w w:val="105"/>
        </w:rPr>
        <w:t>estudio</w:t>
      </w:r>
      <w:r>
        <w:rPr>
          <w:color w:val="231F20"/>
          <w:spacing w:val="-8"/>
          <w:w w:val="105"/>
        </w:rPr>
        <w:t> </w:t>
      </w:r>
      <w:r>
        <w:rPr>
          <w:color w:val="231F20"/>
          <w:w w:val="105"/>
        </w:rPr>
        <w:t>también</w:t>
      </w:r>
      <w:r>
        <w:rPr>
          <w:color w:val="231F20"/>
          <w:spacing w:val="-8"/>
          <w:w w:val="105"/>
        </w:rPr>
        <w:t> </w:t>
      </w:r>
      <w:r>
        <w:rPr>
          <w:color w:val="231F20"/>
          <w:w w:val="105"/>
        </w:rPr>
        <w:t>identifica</w:t>
      </w:r>
      <w:r>
        <w:rPr>
          <w:color w:val="231F20"/>
          <w:spacing w:val="-8"/>
          <w:w w:val="105"/>
        </w:rPr>
        <w:t> </w:t>
      </w:r>
      <w:r>
        <w:rPr>
          <w:color w:val="231F20"/>
          <w:w w:val="105"/>
        </w:rPr>
        <w:t>las</w:t>
      </w:r>
      <w:r>
        <w:rPr>
          <w:color w:val="231F20"/>
          <w:spacing w:val="-8"/>
          <w:w w:val="105"/>
        </w:rPr>
        <w:t> </w:t>
      </w:r>
      <w:r>
        <w:rPr>
          <w:color w:val="231F20"/>
          <w:w w:val="105"/>
        </w:rPr>
        <w:t>diferencias</w:t>
      </w:r>
      <w:r>
        <w:rPr>
          <w:color w:val="231F20"/>
          <w:spacing w:val="-8"/>
          <w:w w:val="105"/>
        </w:rPr>
        <w:t> </w:t>
      </w:r>
      <w:r>
        <w:rPr>
          <w:color w:val="231F20"/>
          <w:w w:val="105"/>
        </w:rPr>
        <w:t>que</w:t>
      </w:r>
      <w:r>
        <w:rPr>
          <w:color w:val="231F20"/>
          <w:spacing w:val="-8"/>
          <w:w w:val="105"/>
        </w:rPr>
        <w:t> </w:t>
      </w:r>
      <w:r>
        <w:rPr>
          <w:color w:val="231F20"/>
          <w:w w:val="105"/>
        </w:rPr>
        <w:t>observa</w:t>
      </w:r>
      <w:r>
        <w:rPr>
          <w:color w:val="231F20"/>
          <w:spacing w:val="-8"/>
          <w:w w:val="105"/>
        </w:rPr>
        <w:t> </w:t>
      </w:r>
      <w:r>
        <w:rPr>
          <w:color w:val="231F20"/>
          <w:w w:val="105"/>
        </w:rPr>
        <w:t>la</w:t>
      </w:r>
      <w:r>
        <w:rPr>
          <w:color w:val="231F20"/>
          <w:spacing w:val="-8"/>
          <w:w w:val="105"/>
        </w:rPr>
        <w:t> </w:t>
      </w:r>
      <w:r>
        <w:rPr>
          <w:color w:val="231F20"/>
          <w:w w:val="105"/>
        </w:rPr>
        <w:t>movili- dad</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mujeres</w:t>
      </w:r>
      <w:r>
        <w:rPr>
          <w:color w:val="231F20"/>
          <w:spacing w:val="-4"/>
          <w:w w:val="105"/>
        </w:rPr>
        <w:t> </w:t>
      </w:r>
      <w:r>
        <w:rPr>
          <w:color w:val="231F20"/>
          <w:w w:val="105"/>
        </w:rPr>
        <w:t>en</w:t>
      </w:r>
      <w:r>
        <w:rPr>
          <w:color w:val="231F20"/>
          <w:spacing w:val="-4"/>
          <w:w w:val="105"/>
        </w:rPr>
        <w:t> </w:t>
      </w:r>
      <w:r>
        <w:rPr>
          <w:color w:val="231F20"/>
          <w:w w:val="105"/>
        </w:rPr>
        <w:t>los</w:t>
      </w:r>
      <w:r>
        <w:rPr>
          <w:color w:val="231F20"/>
          <w:spacing w:val="-4"/>
          <w:w w:val="105"/>
        </w:rPr>
        <w:t> </w:t>
      </w:r>
      <w:r>
        <w:rPr>
          <w:color w:val="231F20"/>
          <w:w w:val="105"/>
        </w:rPr>
        <w:t>municipios</w:t>
      </w:r>
      <w:r>
        <w:rPr>
          <w:color w:val="231F20"/>
          <w:spacing w:val="-4"/>
          <w:w w:val="105"/>
        </w:rPr>
        <w:t> </w:t>
      </w:r>
      <w:r>
        <w:rPr>
          <w:color w:val="231F20"/>
          <w:w w:val="105"/>
        </w:rPr>
        <w:t>mexiquenses,</w:t>
      </w:r>
      <w:r>
        <w:rPr>
          <w:color w:val="231F20"/>
          <w:spacing w:val="-10"/>
          <w:w w:val="105"/>
        </w:rPr>
        <w:t> </w:t>
      </w:r>
      <w:r>
        <w:rPr>
          <w:color w:val="231F20"/>
          <w:w w:val="105"/>
        </w:rPr>
        <w:t>clasificados</w:t>
      </w:r>
      <w:r>
        <w:rPr>
          <w:color w:val="231F20"/>
          <w:spacing w:val="-4"/>
          <w:w w:val="105"/>
        </w:rPr>
        <w:t> </w:t>
      </w:r>
      <w:r>
        <w:rPr>
          <w:color w:val="231F20"/>
          <w:w w:val="105"/>
        </w:rPr>
        <w:t>en</w:t>
      </w:r>
      <w:r>
        <w:rPr>
          <w:color w:val="231F20"/>
          <w:spacing w:val="-4"/>
          <w:w w:val="105"/>
        </w:rPr>
        <w:t> </w:t>
      </w:r>
      <w:r>
        <w:rPr>
          <w:color w:val="231F20"/>
          <w:w w:val="105"/>
        </w:rPr>
        <w:t>tres tipos</w:t>
      </w:r>
      <w:r>
        <w:rPr>
          <w:color w:val="231F20"/>
          <w:spacing w:val="-7"/>
          <w:w w:val="105"/>
        </w:rPr>
        <w:t> </w:t>
      </w:r>
      <w:r>
        <w:rPr>
          <w:color w:val="231F20"/>
          <w:w w:val="105"/>
        </w:rPr>
        <w:t>de</w:t>
      </w:r>
      <w:r>
        <w:rPr>
          <w:color w:val="231F20"/>
          <w:spacing w:val="-7"/>
          <w:w w:val="105"/>
        </w:rPr>
        <w:t> </w:t>
      </w:r>
      <w:r>
        <w:rPr>
          <w:color w:val="231F20"/>
          <w:w w:val="105"/>
        </w:rPr>
        <w:t>migración:</w:t>
      </w:r>
      <w:r>
        <w:rPr>
          <w:color w:val="231F20"/>
          <w:spacing w:val="-7"/>
          <w:w w:val="105"/>
        </w:rPr>
        <w:t> </w:t>
      </w:r>
      <w:r>
        <w:rPr>
          <w:color w:val="231F20"/>
          <w:w w:val="105"/>
        </w:rPr>
        <w:t>tradicional,</w:t>
      </w:r>
      <w:r>
        <w:rPr>
          <w:color w:val="231F20"/>
          <w:spacing w:val="-12"/>
          <w:w w:val="105"/>
        </w:rPr>
        <w:t> </w:t>
      </w:r>
      <w:r>
        <w:rPr>
          <w:color w:val="231F20"/>
          <w:w w:val="105"/>
        </w:rPr>
        <w:t>emergente</w:t>
      </w:r>
      <w:r>
        <w:rPr>
          <w:color w:val="231F20"/>
          <w:spacing w:val="-7"/>
          <w:w w:val="105"/>
        </w:rPr>
        <w:t> </w:t>
      </w:r>
      <w:r>
        <w:rPr>
          <w:color w:val="231F20"/>
          <w:w w:val="105"/>
        </w:rPr>
        <w:t>y</w:t>
      </w:r>
      <w:r>
        <w:rPr>
          <w:color w:val="231F20"/>
          <w:spacing w:val="-7"/>
          <w:w w:val="105"/>
        </w:rPr>
        <w:t> </w:t>
      </w:r>
      <w:r>
        <w:rPr>
          <w:color w:val="231F20"/>
          <w:w w:val="105"/>
        </w:rPr>
        <w:t>étnica.</w:t>
      </w:r>
      <w:r>
        <w:rPr>
          <w:color w:val="231F20"/>
          <w:spacing w:val="-12"/>
          <w:w w:val="105"/>
        </w:rPr>
        <w:t> </w:t>
      </w:r>
      <w:r>
        <w:rPr>
          <w:color w:val="231F20"/>
          <w:w w:val="105"/>
        </w:rPr>
        <w:t>Siguiendo</w:t>
      </w:r>
      <w:r>
        <w:rPr>
          <w:color w:val="231F20"/>
          <w:spacing w:val="-7"/>
          <w:w w:val="105"/>
        </w:rPr>
        <w:t> </w:t>
      </w:r>
      <w:r>
        <w:rPr>
          <w:color w:val="231F20"/>
          <w:w w:val="105"/>
        </w:rPr>
        <w:t>esta</w:t>
      </w:r>
      <w:r>
        <w:rPr>
          <w:color w:val="231F20"/>
          <w:spacing w:val="-7"/>
          <w:w w:val="105"/>
        </w:rPr>
        <w:t> </w:t>
      </w:r>
      <w:r>
        <w:rPr>
          <w:color w:val="231F20"/>
          <w:w w:val="105"/>
        </w:rPr>
        <w:t>tipo- logía</w:t>
      </w:r>
      <w:r>
        <w:rPr>
          <w:color w:val="231F20"/>
          <w:spacing w:val="-12"/>
          <w:w w:val="105"/>
        </w:rPr>
        <w:t> </w:t>
      </w:r>
      <w:r>
        <w:rPr>
          <w:color w:val="231F20"/>
          <w:w w:val="105"/>
        </w:rPr>
        <w:t>se</w:t>
      </w:r>
      <w:r>
        <w:rPr>
          <w:color w:val="231F20"/>
          <w:spacing w:val="-12"/>
          <w:w w:val="105"/>
        </w:rPr>
        <w:t> </w:t>
      </w:r>
      <w:r>
        <w:rPr>
          <w:color w:val="231F20"/>
          <w:w w:val="105"/>
        </w:rPr>
        <w:t>expone</w:t>
      </w:r>
      <w:r>
        <w:rPr>
          <w:color w:val="231F20"/>
          <w:spacing w:val="-12"/>
          <w:w w:val="105"/>
        </w:rPr>
        <w:t> </w:t>
      </w:r>
      <w:r>
        <w:rPr>
          <w:color w:val="231F20"/>
          <w:w w:val="105"/>
        </w:rPr>
        <w:t>un</w:t>
      </w:r>
      <w:r>
        <w:rPr>
          <w:color w:val="231F20"/>
          <w:spacing w:val="-12"/>
          <w:w w:val="105"/>
        </w:rPr>
        <w:t> </w:t>
      </w:r>
      <w:r>
        <w:rPr>
          <w:color w:val="231F20"/>
          <w:w w:val="105"/>
        </w:rPr>
        <w:t>breve</w:t>
      </w:r>
      <w:r>
        <w:rPr>
          <w:color w:val="231F20"/>
          <w:spacing w:val="-12"/>
          <w:w w:val="105"/>
        </w:rPr>
        <w:t> </w:t>
      </w:r>
      <w:r>
        <w:rPr>
          <w:color w:val="231F20"/>
          <w:w w:val="105"/>
        </w:rPr>
        <w:t>acercamiento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dinámica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migración</w:t>
      </w:r>
      <w:r>
        <w:rPr>
          <w:color w:val="231F20"/>
          <w:spacing w:val="-12"/>
          <w:w w:val="105"/>
        </w:rPr>
        <w:t> </w:t>
      </w:r>
      <w:r>
        <w:rPr>
          <w:color w:val="231F20"/>
          <w:w w:val="105"/>
        </w:rPr>
        <w:t>de retorno,</w:t>
      </w:r>
      <w:r>
        <w:rPr>
          <w:color w:val="231F20"/>
          <w:spacing w:val="-21"/>
          <w:w w:val="105"/>
        </w:rPr>
        <w:t> </w:t>
      </w:r>
      <w:r>
        <w:rPr>
          <w:color w:val="231F20"/>
          <w:w w:val="105"/>
        </w:rPr>
        <w:t>la</w:t>
      </w:r>
      <w:r>
        <w:rPr>
          <w:color w:val="231F20"/>
          <w:spacing w:val="-16"/>
          <w:w w:val="105"/>
        </w:rPr>
        <w:t> </w:t>
      </w:r>
      <w:r>
        <w:rPr>
          <w:color w:val="231F20"/>
          <w:w w:val="105"/>
        </w:rPr>
        <w:t>migración</w:t>
      </w:r>
      <w:r>
        <w:rPr>
          <w:color w:val="231F20"/>
          <w:spacing w:val="-16"/>
          <w:w w:val="105"/>
        </w:rPr>
        <w:t> </w:t>
      </w:r>
      <w:r>
        <w:rPr>
          <w:color w:val="231F20"/>
          <w:w w:val="105"/>
        </w:rPr>
        <w:t>circular</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emigración</w:t>
      </w:r>
      <w:r>
        <w:rPr>
          <w:color w:val="231F20"/>
          <w:spacing w:val="-16"/>
          <w:w w:val="105"/>
        </w:rPr>
        <w:t> </w:t>
      </w:r>
      <w:r>
        <w:rPr>
          <w:color w:val="231F20"/>
          <w:w w:val="105"/>
        </w:rPr>
        <w:t>a</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21"/>
          <w:w w:val="105"/>
        </w:rPr>
        <w:t> </w:t>
      </w:r>
      <w:r>
        <w:rPr>
          <w:color w:val="231F20"/>
          <w:w w:val="105"/>
        </w:rPr>
        <w:t>Entre</w:t>
      </w:r>
      <w:r>
        <w:rPr>
          <w:color w:val="231F20"/>
          <w:spacing w:val="-16"/>
          <w:w w:val="105"/>
        </w:rPr>
        <w:t> </w:t>
      </w:r>
      <w:r>
        <w:rPr>
          <w:color w:val="231F20"/>
          <w:w w:val="105"/>
        </w:rPr>
        <w:t>los principales</w:t>
      </w:r>
      <w:r>
        <w:rPr>
          <w:color w:val="231F20"/>
          <w:spacing w:val="-27"/>
          <w:w w:val="105"/>
        </w:rPr>
        <w:t> </w:t>
      </w:r>
      <w:r>
        <w:rPr>
          <w:color w:val="231F20"/>
          <w:w w:val="105"/>
        </w:rPr>
        <w:t>hallazgos</w:t>
      </w:r>
      <w:r>
        <w:rPr>
          <w:color w:val="231F20"/>
          <w:spacing w:val="-27"/>
          <w:w w:val="105"/>
        </w:rPr>
        <w:t> </w:t>
      </w:r>
      <w:r>
        <w:rPr>
          <w:color w:val="231F20"/>
          <w:w w:val="105"/>
        </w:rPr>
        <w:t>se</w:t>
      </w:r>
      <w:r>
        <w:rPr>
          <w:color w:val="231F20"/>
          <w:spacing w:val="-27"/>
          <w:w w:val="105"/>
        </w:rPr>
        <w:t> </w:t>
      </w:r>
      <w:r>
        <w:rPr>
          <w:color w:val="231F20"/>
          <w:w w:val="105"/>
        </w:rPr>
        <w:t>advierte</w:t>
      </w:r>
      <w:r>
        <w:rPr>
          <w:color w:val="231F20"/>
          <w:spacing w:val="-27"/>
          <w:w w:val="105"/>
        </w:rPr>
        <w:t> </w:t>
      </w:r>
      <w:r>
        <w:rPr>
          <w:color w:val="231F20"/>
          <w:w w:val="105"/>
        </w:rPr>
        <w:t>sobre</w:t>
      </w:r>
      <w:r>
        <w:rPr>
          <w:color w:val="231F20"/>
          <w:spacing w:val="-27"/>
          <w:w w:val="105"/>
        </w:rPr>
        <w:t> </w:t>
      </w:r>
      <w:r>
        <w:rPr>
          <w:color w:val="231F20"/>
          <w:w w:val="105"/>
        </w:rPr>
        <w:t>la</w:t>
      </w:r>
      <w:r>
        <w:rPr>
          <w:color w:val="231F20"/>
          <w:spacing w:val="-27"/>
          <w:w w:val="105"/>
        </w:rPr>
        <w:t> </w:t>
      </w:r>
      <w:r>
        <w:rPr>
          <w:color w:val="231F20"/>
          <w:w w:val="105"/>
        </w:rPr>
        <w:t>menor</w:t>
      </w:r>
      <w:r>
        <w:rPr>
          <w:color w:val="231F20"/>
          <w:spacing w:val="-27"/>
          <w:w w:val="105"/>
        </w:rPr>
        <w:t> </w:t>
      </w:r>
      <w:r>
        <w:rPr>
          <w:color w:val="231F20"/>
          <w:w w:val="105"/>
        </w:rPr>
        <w:t>presencia</w:t>
      </w:r>
      <w:r>
        <w:rPr>
          <w:color w:val="231F20"/>
          <w:spacing w:val="-27"/>
          <w:w w:val="105"/>
        </w:rPr>
        <w:t> </w:t>
      </w:r>
      <w:r>
        <w:rPr>
          <w:color w:val="231F20"/>
          <w:w w:val="105"/>
        </w:rPr>
        <w:t>de</w:t>
      </w:r>
      <w:r>
        <w:rPr>
          <w:color w:val="231F20"/>
          <w:spacing w:val="-27"/>
          <w:w w:val="105"/>
        </w:rPr>
        <w:t> </w:t>
      </w:r>
      <w:r>
        <w:rPr>
          <w:color w:val="231F20"/>
          <w:w w:val="105"/>
        </w:rPr>
        <w:t>mujeres</w:t>
      </w:r>
      <w:r>
        <w:rPr>
          <w:color w:val="231F20"/>
          <w:spacing w:val="-27"/>
          <w:w w:val="105"/>
        </w:rPr>
        <w:t> </w:t>
      </w:r>
      <w:r>
        <w:rPr>
          <w:color w:val="231F20"/>
          <w:w w:val="105"/>
        </w:rPr>
        <w:t>en las modalidades de migración de retorno y migración circular, mientras que los patrones de emigración femenina precisan mayor importancia en los municipios no metropolitanos, particularmente en los municipios clasificados</w:t>
      </w:r>
      <w:r>
        <w:rPr>
          <w:color w:val="231F20"/>
          <w:spacing w:val="-13"/>
          <w:w w:val="105"/>
        </w:rPr>
        <w:t> </w:t>
      </w:r>
      <w:r>
        <w:rPr>
          <w:color w:val="231F20"/>
          <w:w w:val="105"/>
        </w:rPr>
        <w:t>como</w:t>
      </w:r>
      <w:r>
        <w:rPr>
          <w:color w:val="231F20"/>
          <w:spacing w:val="-13"/>
          <w:w w:val="105"/>
        </w:rPr>
        <w:t> </w:t>
      </w:r>
      <w:r>
        <w:rPr>
          <w:color w:val="231F20"/>
          <w:w w:val="105"/>
        </w:rPr>
        <w:t>étnicos</w:t>
      </w:r>
      <w:r>
        <w:rPr>
          <w:color w:val="231F20"/>
          <w:spacing w:val="-13"/>
          <w:w w:val="105"/>
        </w:rPr>
        <w:t> </w:t>
      </w:r>
      <w:r>
        <w:rPr>
          <w:color w:val="231F20"/>
          <w:w w:val="105"/>
        </w:rPr>
        <w:t>y</w:t>
      </w:r>
      <w:r>
        <w:rPr>
          <w:color w:val="231F20"/>
          <w:spacing w:val="-13"/>
          <w:w w:val="105"/>
        </w:rPr>
        <w:t> </w:t>
      </w:r>
      <w:r>
        <w:rPr>
          <w:color w:val="231F20"/>
          <w:w w:val="105"/>
        </w:rPr>
        <w:t>de</w:t>
      </w:r>
      <w:r>
        <w:rPr>
          <w:color w:val="231F20"/>
          <w:spacing w:val="-13"/>
          <w:w w:val="105"/>
        </w:rPr>
        <w:t> </w:t>
      </w:r>
      <w:r>
        <w:rPr>
          <w:color w:val="231F20"/>
          <w:w w:val="105"/>
        </w:rPr>
        <w:t>tradición</w:t>
      </w:r>
      <w:r>
        <w:rPr>
          <w:color w:val="231F20"/>
          <w:spacing w:val="-13"/>
          <w:w w:val="105"/>
        </w:rPr>
        <w:t> </w:t>
      </w:r>
      <w:r>
        <w:rPr>
          <w:color w:val="231F20"/>
          <w:w w:val="105"/>
        </w:rPr>
        <w:t>migratoria.</w:t>
      </w:r>
    </w:p>
    <w:p>
      <w:pPr>
        <w:pStyle w:val="BodyText"/>
        <w:spacing w:line="261" w:lineRule="auto" w:before="1"/>
        <w:ind w:left="1723" w:right="1829" w:firstLine="567"/>
        <w:jc w:val="both"/>
      </w:pPr>
      <w:r>
        <w:rPr>
          <w:color w:val="231F20"/>
          <w:w w:val="105"/>
        </w:rPr>
        <w:t>El capítulo once, </w:t>
      </w:r>
      <w:r>
        <w:rPr>
          <w:color w:val="231F20"/>
          <w:spacing w:val="-3"/>
          <w:w w:val="105"/>
        </w:rPr>
        <w:t>“Territorialidad </w:t>
      </w:r>
      <w:r>
        <w:rPr>
          <w:color w:val="231F20"/>
          <w:w w:val="105"/>
        </w:rPr>
        <w:t>rural y </w:t>
      </w:r>
      <w:r>
        <w:rPr>
          <w:color w:val="231F20"/>
          <w:spacing w:val="-3"/>
          <w:w w:val="105"/>
        </w:rPr>
        <w:t>redes </w:t>
      </w:r>
      <w:r>
        <w:rPr>
          <w:color w:val="231F20"/>
          <w:w w:val="105"/>
        </w:rPr>
        <w:t>de migración de Al- moloya</w:t>
      </w:r>
      <w:r>
        <w:rPr>
          <w:color w:val="231F20"/>
          <w:spacing w:val="-12"/>
          <w:w w:val="105"/>
        </w:rPr>
        <w:t> </w:t>
      </w:r>
      <w:r>
        <w:rPr>
          <w:color w:val="231F20"/>
          <w:w w:val="105"/>
        </w:rPr>
        <w:t>de</w:t>
      </w:r>
      <w:r>
        <w:rPr>
          <w:color w:val="231F20"/>
          <w:spacing w:val="-15"/>
          <w:w w:val="105"/>
        </w:rPr>
        <w:t> </w:t>
      </w:r>
      <w:r>
        <w:rPr>
          <w:color w:val="231F20"/>
          <w:w w:val="105"/>
        </w:rPr>
        <w:t>Alquisiras.</w:t>
      </w:r>
      <w:r>
        <w:rPr>
          <w:color w:val="231F20"/>
          <w:spacing w:val="-16"/>
          <w:w w:val="105"/>
        </w:rPr>
        <w:t> </w:t>
      </w:r>
      <w:r>
        <w:rPr>
          <w:color w:val="231F20"/>
          <w:w w:val="105"/>
        </w:rPr>
        <w:t>Un</w:t>
      </w:r>
      <w:r>
        <w:rPr>
          <w:color w:val="231F20"/>
          <w:spacing w:val="-12"/>
          <w:w w:val="105"/>
        </w:rPr>
        <w:t> </w:t>
      </w:r>
      <w:r>
        <w:rPr>
          <w:color w:val="231F20"/>
          <w:w w:val="105"/>
        </w:rPr>
        <w:t>análisis</w:t>
      </w:r>
      <w:r>
        <w:rPr>
          <w:color w:val="231F20"/>
          <w:spacing w:val="-12"/>
          <w:w w:val="105"/>
        </w:rPr>
        <w:t> </w:t>
      </w:r>
      <w:r>
        <w:rPr>
          <w:color w:val="231F20"/>
          <w:w w:val="105"/>
        </w:rPr>
        <w:t>desde</w:t>
      </w:r>
      <w:r>
        <w:rPr>
          <w:color w:val="231F20"/>
          <w:spacing w:val="-12"/>
          <w:w w:val="105"/>
        </w:rPr>
        <w:t> </w:t>
      </w:r>
      <w:r>
        <w:rPr>
          <w:color w:val="231F20"/>
          <w:w w:val="105"/>
        </w:rPr>
        <w:t>la</w:t>
      </w:r>
      <w:r>
        <w:rPr>
          <w:color w:val="231F20"/>
          <w:spacing w:val="-12"/>
          <w:w w:val="105"/>
        </w:rPr>
        <w:t> </w:t>
      </w:r>
      <w:r>
        <w:rPr>
          <w:color w:val="231F20"/>
          <w:spacing w:val="-2"/>
          <w:w w:val="105"/>
        </w:rPr>
        <w:t>mirada</w:t>
      </w:r>
      <w:r>
        <w:rPr>
          <w:color w:val="231F20"/>
          <w:spacing w:val="-12"/>
          <w:w w:val="105"/>
        </w:rPr>
        <w:t> </w:t>
      </w:r>
      <w:r>
        <w:rPr>
          <w:color w:val="231F20"/>
          <w:w w:val="105"/>
        </w:rPr>
        <w:t>de</w:t>
      </w:r>
      <w:r>
        <w:rPr>
          <w:color w:val="231F20"/>
          <w:spacing w:val="-12"/>
          <w:w w:val="105"/>
        </w:rPr>
        <w:t> </w:t>
      </w:r>
      <w:r>
        <w:rPr>
          <w:color w:val="231F20"/>
          <w:w w:val="105"/>
        </w:rPr>
        <w:t>sus</w:t>
      </w:r>
      <w:r>
        <w:rPr>
          <w:color w:val="231F20"/>
          <w:spacing w:val="-12"/>
          <w:w w:val="105"/>
        </w:rPr>
        <w:t> </w:t>
      </w:r>
      <w:r>
        <w:rPr>
          <w:color w:val="231F20"/>
          <w:spacing w:val="-4"/>
          <w:w w:val="105"/>
        </w:rPr>
        <w:t>protagonistas”, </w:t>
      </w:r>
      <w:r>
        <w:rPr>
          <w:color w:val="231F20"/>
          <w:w w:val="105"/>
        </w:rPr>
        <w:t>aportación</w:t>
      </w:r>
      <w:r>
        <w:rPr>
          <w:color w:val="231F20"/>
          <w:spacing w:val="-38"/>
          <w:w w:val="105"/>
        </w:rPr>
        <w:t> </w:t>
      </w:r>
      <w:r>
        <w:rPr>
          <w:color w:val="231F20"/>
          <w:w w:val="105"/>
        </w:rPr>
        <w:t>de</w:t>
      </w:r>
      <w:r>
        <w:rPr>
          <w:color w:val="231F20"/>
          <w:spacing w:val="-38"/>
          <w:w w:val="105"/>
        </w:rPr>
        <w:t> </w:t>
      </w:r>
      <w:r>
        <w:rPr>
          <w:color w:val="231F20"/>
          <w:w w:val="105"/>
        </w:rPr>
        <w:t>Francisco</w:t>
      </w:r>
      <w:r>
        <w:rPr>
          <w:color w:val="231F20"/>
          <w:spacing w:val="-38"/>
          <w:w w:val="105"/>
        </w:rPr>
        <w:t> </w:t>
      </w:r>
      <w:r>
        <w:rPr>
          <w:color w:val="231F20"/>
          <w:w w:val="105"/>
        </w:rPr>
        <w:t>Herrera</w:t>
      </w:r>
      <w:r>
        <w:rPr>
          <w:color w:val="231F20"/>
          <w:spacing w:val="-40"/>
          <w:w w:val="105"/>
        </w:rPr>
        <w:t> </w:t>
      </w:r>
      <w:r>
        <w:rPr>
          <w:color w:val="231F20"/>
          <w:spacing w:val="-5"/>
          <w:w w:val="105"/>
        </w:rPr>
        <w:t>Tapia</w:t>
      </w:r>
      <w:r>
        <w:rPr>
          <w:color w:val="231F20"/>
          <w:spacing w:val="-38"/>
          <w:w w:val="105"/>
        </w:rPr>
        <w:t> </w:t>
      </w:r>
      <w:r>
        <w:rPr>
          <w:color w:val="231F20"/>
          <w:w w:val="105"/>
        </w:rPr>
        <w:t>y</w:t>
      </w:r>
      <w:r>
        <w:rPr>
          <w:color w:val="231F20"/>
          <w:spacing w:val="-40"/>
          <w:w w:val="105"/>
        </w:rPr>
        <w:t> </w:t>
      </w:r>
      <w:r>
        <w:rPr>
          <w:color w:val="231F20"/>
          <w:w w:val="105"/>
        </w:rPr>
        <w:t>Alejandro</w:t>
      </w:r>
      <w:r>
        <w:rPr>
          <w:color w:val="231F20"/>
          <w:spacing w:val="-38"/>
          <w:w w:val="105"/>
        </w:rPr>
        <w:t> </w:t>
      </w:r>
      <w:r>
        <w:rPr>
          <w:color w:val="231F20"/>
          <w:w w:val="105"/>
        </w:rPr>
        <w:t>Rosendo</w:t>
      </w:r>
      <w:r>
        <w:rPr>
          <w:color w:val="231F20"/>
          <w:spacing w:val="-38"/>
          <w:w w:val="105"/>
        </w:rPr>
        <w:t> </w:t>
      </w:r>
      <w:r>
        <w:rPr>
          <w:color w:val="231F20"/>
          <w:w w:val="105"/>
        </w:rPr>
        <w:t>Chávez,</w:t>
      </w:r>
      <w:r>
        <w:rPr>
          <w:color w:val="231F20"/>
          <w:spacing w:val="-41"/>
          <w:w w:val="105"/>
        </w:rPr>
        <w:t> </w:t>
      </w:r>
      <w:r>
        <w:rPr>
          <w:color w:val="231F20"/>
          <w:w w:val="105"/>
        </w:rPr>
        <w:t>pone en</w:t>
      </w:r>
      <w:r>
        <w:rPr>
          <w:color w:val="231F20"/>
          <w:spacing w:val="-5"/>
          <w:w w:val="105"/>
        </w:rPr>
        <w:t> </w:t>
      </w:r>
      <w:r>
        <w:rPr>
          <w:color w:val="231F20"/>
          <w:w w:val="105"/>
        </w:rPr>
        <w:t>perspectiva</w:t>
      </w:r>
      <w:r>
        <w:rPr>
          <w:color w:val="231F20"/>
          <w:spacing w:val="-5"/>
          <w:w w:val="105"/>
        </w:rPr>
        <w:t> </w:t>
      </w:r>
      <w:r>
        <w:rPr>
          <w:color w:val="231F20"/>
          <w:w w:val="105"/>
        </w:rPr>
        <w:t>el</w:t>
      </w:r>
      <w:r>
        <w:rPr>
          <w:color w:val="231F20"/>
          <w:spacing w:val="-5"/>
          <w:w w:val="105"/>
        </w:rPr>
        <w:t> </w:t>
      </w:r>
      <w:r>
        <w:rPr>
          <w:color w:val="231F20"/>
          <w:w w:val="105"/>
        </w:rPr>
        <w:t>espacio</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territorio</w:t>
      </w:r>
      <w:r>
        <w:rPr>
          <w:color w:val="231F20"/>
          <w:spacing w:val="-5"/>
          <w:w w:val="105"/>
        </w:rPr>
        <w:t> </w:t>
      </w:r>
      <w:r>
        <w:rPr>
          <w:color w:val="231F20"/>
          <w:w w:val="105"/>
        </w:rPr>
        <w:t>como</w:t>
      </w:r>
      <w:r>
        <w:rPr>
          <w:color w:val="231F20"/>
          <w:spacing w:val="-5"/>
          <w:w w:val="105"/>
        </w:rPr>
        <w:t> </w:t>
      </w:r>
      <w:r>
        <w:rPr>
          <w:color w:val="231F20"/>
          <w:w w:val="105"/>
        </w:rPr>
        <w:t>parte</w:t>
      </w:r>
      <w:r>
        <w:rPr>
          <w:color w:val="231F20"/>
          <w:spacing w:val="-5"/>
          <w:w w:val="105"/>
        </w:rPr>
        <w:t> </w:t>
      </w:r>
      <w:r>
        <w:rPr>
          <w:color w:val="231F20"/>
          <w:w w:val="105"/>
        </w:rPr>
        <w:t>del</w:t>
      </w:r>
      <w:r>
        <w:rPr>
          <w:color w:val="231F20"/>
          <w:spacing w:val="-5"/>
          <w:w w:val="105"/>
        </w:rPr>
        <w:t> </w:t>
      </w:r>
      <w:r>
        <w:rPr>
          <w:color w:val="231F20"/>
          <w:w w:val="105"/>
        </w:rPr>
        <w:t>análisis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mi- gración y sus efectos en los territorios, especialmente rurales,</w:t>
      </w:r>
      <w:r>
        <w:rPr>
          <w:color w:val="231F20"/>
          <w:spacing w:val="-34"/>
          <w:w w:val="105"/>
        </w:rPr>
        <w:t> </w:t>
      </w:r>
      <w:r>
        <w:rPr>
          <w:color w:val="231F20"/>
          <w:w w:val="105"/>
        </w:rPr>
        <w:t>tomando como estudio de caso el municipio suriano de Almoloya de Alquisiras, Estado</w:t>
      </w:r>
      <w:r>
        <w:rPr>
          <w:color w:val="231F20"/>
          <w:spacing w:val="-8"/>
          <w:w w:val="105"/>
        </w:rPr>
        <w:t> </w:t>
      </w:r>
      <w:r>
        <w:rPr>
          <w:color w:val="231F20"/>
          <w:w w:val="105"/>
        </w:rPr>
        <w:t>de</w:t>
      </w:r>
      <w:r>
        <w:rPr>
          <w:color w:val="231F20"/>
          <w:spacing w:val="-8"/>
          <w:w w:val="105"/>
        </w:rPr>
        <w:t> </w:t>
      </w:r>
      <w:r>
        <w:rPr>
          <w:color w:val="231F20"/>
          <w:w w:val="105"/>
        </w:rPr>
        <w:t>México.</w:t>
      </w:r>
      <w:r>
        <w:rPr>
          <w:color w:val="231F20"/>
          <w:spacing w:val="-13"/>
          <w:w w:val="105"/>
        </w:rPr>
        <w:t> </w:t>
      </w:r>
      <w:r>
        <w:rPr>
          <w:color w:val="231F20"/>
          <w:w w:val="105"/>
        </w:rPr>
        <w:t>En</w:t>
      </w:r>
      <w:r>
        <w:rPr>
          <w:color w:val="231F20"/>
          <w:spacing w:val="-8"/>
          <w:w w:val="105"/>
        </w:rPr>
        <w:t> </w:t>
      </w:r>
      <w:r>
        <w:rPr>
          <w:color w:val="231F20"/>
          <w:w w:val="105"/>
        </w:rPr>
        <w:t>suma,</w:t>
      </w:r>
      <w:r>
        <w:rPr>
          <w:color w:val="231F20"/>
          <w:spacing w:val="-13"/>
          <w:w w:val="105"/>
        </w:rPr>
        <w:t> </w:t>
      </w:r>
      <w:r>
        <w:rPr>
          <w:color w:val="231F20"/>
          <w:w w:val="105"/>
        </w:rPr>
        <w:t>este</w:t>
      </w:r>
      <w:r>
        <w:rPr>
          <w:color w:val="231F20"/>
          <w:spacing w:val="-8"/>
          <w:w w:val="105"/>
        </w:rPr>
        <w:t> </w:t>
      </w:r>
      <w:r>
        <w:rPr>
          <w:color w:val="231F20"/>
          <w:w w:val="105"/>
        </w:rPr>
        <w:t>trabajo</w:t>
      </w:r>
      <w:r>
        <w:rPr>
          <w:color w:val="231F20"/>
          <w:spacing w:val="-8"/>
          <w:w w:val="105"/>
        </w:rPr>
        <w:t> </w:t>
      </w:r>
      <w:r>
        <w:rPr>
          <w:color w:val="231F20"/>
          <w:w w:val="105"/>
        </w:rPr>
        <w:t>pone</w:t>
      </w:r>
      <w:r>
        <w:rPr>
          <w:color w:val="231F20"/>
          <w:spacing w:val="-8"/>
          <w:w w:val="105"/>
        </w:rPr>
        <w:t> </w:t>
      </w:r>
      <w:r>
        <w:rPr>
          <w:color w:val="231F20"/>
          <w:w w:val="105"/>
        </w:rPr>
        <w:t>de</w:t>
      </w:r>
      <w:r>
        <w:rPr>
          <w:color w:val="231F20"/>
          <w:spacing w:val="-8"/>
          <w:w w:val="105"/>
        </w:rPr>
        <w:t> </w:t>
      </w:r>
      <w:r>
        <w:rPr>
          <w:color w:val="231F20"/>
          <w:w w:val="105"/>
        </w:rPr>
        <w:t>relieve</w:t>
      </w:r>
      <w:r>
        <w:rPr>
          <w:color w:val="231F20"/>
          <w:spacing w:val="-8"/>
          <w:w w:val="105"/>
        </w:rPr>
        <w:t> </w:t>
      </w:r>
      <w:r>
        <w:rPr>
          <w:color w:val="231F20"/>
          <w:w w:val="105"/>
        </w:rPr>
        <w:t>la</w:t>
      </w:r>
      <w:r>
        <w:rPr>
          <w:color w:val="231F20"/>
          <w:spacing w:val="-8"/>
          <w:w w:val="105"/>
        </w:rPr>
        <w:t> </w:t>
      </w:r>
      <w:r>
        <w:rPr>
          <w:color w:val="231F20"/>
          <w:w w:val="105"/>
        </w:rPr>
        <w:t>importancia de incorporar la dimensión territorial a los estudios de las migraciones rurales</w:t>
      </w:r>
      <w:r>
        <w:rPr>
          <w:color w:val="231F20"/>
          <w:spacing w:val="-6"/>
          <w:w w:val="105"/>
        </w:rPr>
        <w:t> </w:t>
      </w:r>
      <w:r>
        <w:rPr>
          <w:color w:val="231F20"/>
          <w:w w:val="105"/>
        </w:rPr>
        <w:t>hacia</w:t>
      </w:r>
      <w:r>
        <w:rPr>
          <w:color w:val="231F20"/>
          <w:spacing w:val="-6"/>
          <w:w w:val="105"/>
        </w:rPr>
        <w:t> </w:t>
      </w:r>
      <w:r>
        <w:rPr>
          <w:color w:val="231F20"/>
          <w:w w:val="105"/>
        </w:rPr>
        <w:t>Estados</w:t>
      </w:r>
      <w:r>
        <w:rPr>
          <w:color w:val="231F20"/>
          <w:spacing w:val="-6"/>
          <w:w w:val="105"/>
        </w:rPr>
        <w:t> </w:t>
      </w:r>
      <w:r>
        <w:rPr>
          <w:color w:val="231F20"/>
          <w:w w:val="105"/>
        </w:rPr>
        <w:t>Unidos,</w:t>
      </w:r>
      <w:r>
        <w:rPr>
          <w:color w:val="231F20"/>
          <w:spacing w:val="-10"/>
          <w:w w:val="105"/>
        </w:rPr>
        <w:t> </w:t>
      </w:r>
      <w:r>
        <w:rPr>
          <w:color w:val="231F20"/>
          <w:w w:val="105"/>
        </w:rPr>
        <w:t>valorando</w:t>
      </w:r>
      <w:r>
        <w:rPr>
          <w:color w:val="231F20"/>
          <w:spacing w:val="-6"/>
          <w:w w:val="105"/>
        </w:rPr>
        <w:t> </w:t>
      </w:r>
      <w:r>
        <w:rPr>
          <w:color w:val="231F20"/>
          <w:w w:val="105"/>
        </w:rPr>
        <w:t>los</w:t>
      </w:r>
      <w:r>
        <w:rPr>
          <w:color w:val="231F20"/>
          <w:spacing w:val="-6"/>
          <w:w w:val="105"/>
        </w:rPr>
        <w:t> </w:t>
      </w:r>
      <w:r>
        <w:rPr>
          <w:color w:val="231F20"/>
          <w:w w:val="105"/>
        </w:rPr>
        <w:t>impactos</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lugares</w:t>
      </w:r>
      <w:r>
        <w:rPr>
          <w:color w:val="231F20"/>
          <w:spacing w:val="-6"/>
          <w:w w:val="105"/>
        </w:rPr>
        <w:t> </w:t>
      </w:r>
      <w:r>
        <w:rPr>
          <w:color w:val="231F20"/>
          <w:w w:val="105"/>
        </w:rPr>
        <w:t>de origen,</w:t>
      </w:r>
      <w:r>
        <w:rPr>
          <w:color w:val="231F20"/>
          <w:spacing w:val="-17"/>
          <w:w w:val="105"/>
        </w:rPr>
        <w:t> </w:t>
      </w:r>
      <w:r>
        <w:rPr>
          <w:color w:val="231F20"/>
          <w:w w:val="105"/>
        </w:rPr>
        <w:t>tránsito</w:t>
      </w:r>
      <w:r>
        <w:rPr>
          <w:color w:val="231F20"/>
          <w:spacing w:val="-11"/>
          <w:w w:val="105"/>
        </w:rPr>
        <w:t> </w:t>
      </w:r>
      <w:r>
        <w:rPr>
          <w:color w:val="231F20"/>
          <w:w w:val="105"/>
        </w:rPr>
        <w:t>y</w:t>
      </w:r>
      <w:r>
        <w:rPr>
          <w:color w:val="231F20"/>
          <w:spacing w:val="-11"/>
          <w:w w:val="105"/>
        </w:rPr>
        <w:t> </w:t>
      </w:r>
      <w:r>
        <w:rPr>
          <w:color w:val="231F20"/>
          <w:w w:val="105"/>
        </w:rPr>
        <w:t>destino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migrantes.</w:t>
      </w:r>
    </w:p>
    <w:p>
      <w:pPr>
        <w:pStyle w:val="BodyText"/>
        <w:rPr>
          <w:sz w:val="20"/>
        </w:rPr>
      </w:pPr>
    </w:p>
    <w:p>
      <w:pPr>
        <w:pStyle w:val="BodyText"/>
        <w:rPr>
          <w:sz w:val="20"/>
        </w:rPr>
      </w:pPr>
    </w:p>
    <w:p>
      <w:pPr>
        <w:spacing w:before="178"/>
        <w:ind w:left="1887" w:right="6753" w:firstLine="0"/>
        <w:jc w:val="left"/>
        <w:rPr>
          <w:rFonts w:ascii="Arial"/>
          <w:sz w:val="20"/>
        </w:rPr>
      </w:pPr>
      <w:r>
        <w:rPr/>
        <w:pict>
          <v:line style="position:absolute;mso-position-horizontal-relative:page;mso-position-vertical-relative:paragraph;z-index:1888" from="131.551193pt,8.279881pt" to="131.551193pt,44.08228pt" stroked="true" strokeweight=".35pt" strokecolor="#231f20">
            <w10:wrap type="none"/>
          </v:line>
        </w:pict>
      </w:r>
      <w:r>
        <w:rPr/>
        <w:pict>
          <v:line style="position:absolute;mso-position-horizontal-relative:page;mso-position-vertical-relative:paragraph;z-index:-488224" from="15pt,44.082081pt" to="0pt,44.082081pt" stroked="true" strokeweight=".25pt" strokecolor="#000000">
            <w10:wrap type="none"/>
          </v:line>
        </w:pict>
      </w:r>
      <w:r>
        <w:rPr/>
        <w:pict>
          <v:line style="position:absolute;mso-position-horizontal-relative:page;mso-position-vertical-relative:paragraph;z-index:1984" from="508.890015pt,44.082081pt" to="523.890015pt,44.082081pt" stroked="true" strokeweight=".25pt" strokecolor="#000000">
            <w10:wrap type="none"/>
          </v:line>
        </w:pict>
      </w:r>
      <w:r>
        <w:rPr>
          <w:rFonts w:ascii="Arial"/>
          <w:color w:val="414042"/>
          <w:sz w:val="20"/>
        </w:rPr>
        <w:t>18</w:t>
      </w:r>
    </w:p>
    <w:p>
      <w:pPr>
        <w:spacing w:after="0"/>
        <w:jc w:val="left"/>
        <w:rPr>
          <w:rFonts w:ascii="Arial"/>
          <w:sz w:val="20"/>
        </w:rPr>
        <w:sectPr>
          <w:pgSz w:w="10480" w:h="14730"/>
          <w:pgMar w:header="0" w:footer="103" w:top="300" w:bottom="300" w:left="0" w:right="0"/>
        </w:sectPr>
      </w:pPr>
    </w:p>
    <w:p>
      <w:pPr>
        <w:pStyle w:val="BodyText"/>
        <w:rPr>
          <w:rFonts w:ascii="Arial"/>
          <w:sz w:val="20"/>
        </w:rPr>
      </w:pPr>
    </w:p>
    <w:p>
      <w:pPr>
        <w:pStyle w:val="BodyText"/>
        <w:rPr>
          <w:rFonts w:ascii="Arial"/>
          <w:sz w:val="20"/>
        </w:rPr>
      </w:pPr>
    </w:p>
    <w:p>
      <w:pPr>
        <w:tabs>
          <w:tab w:pos="1578" w:val="right" w:leader="none"/>
        </w:tabs>
        <w:spacing w:before="221"/>
        <w:ind w:left="1516" w:right="1839" w:firstLine="0"/>
        <w:jc w:val="right"/>
        <w:rPr>
          <w:rFonts w:ascii="Arial" w:hAnsi="Arial"/>
          <w:sz w:val="20"/>
        </w:rPr>
      </w:pPr>
      <w:r>
        <w:rPr/>
        <w:pict>
          <v:line style="position:absolute;mso-position-horizontal-relative:page;mso-position-vertical-relative:paragraph;z-index:-488176" from="405.061005pt,-17.151169pt" to="405.061005pt,17.714705pt" stroked="true" strokeweight=".35pt" strokecolor="#231f20">
            <w10:wrap type="none"/>
          </v:line>
        </w:pict>
      </w:r>
      <w:r>
        <w:rPr/>
        <w:pict>
          <v:line style="position:absolute;mso-position-horizontal-relative:page;mso-position-vertical-relative:paragraph;z-index:2032" from="15pt,-17.151396pt" to="0pt,-17.151396pt" stroked="true" strokeweight=".25pt" strokecolor="#000000">
            <w10:wrap type="none"/>
          </v:line>
        </w:pict>
      </w:r>
      <w:r>
        <w:rPr/>
        <w:pict>
          <v:line style="position:absolute;mso-position-horizontal-relative:page;mso-position-vertical-relative:paragraph;z-index:2056" from="508.890015pt,-17.151396pt" to="523.890015pt,-17.151396pt" stroked="true" strokeweight=".25pt" strokecolor="#000000">
            <w10:wrap type="none"/>
          </v:line>
        </w:pict>
      </w:r>
      <w:r>
        <w:rPr>
          <w:rFonts w:ascii="Calibri" w:hAnsi="Calibri"/>
          <w:color w:val="6D6E71"/>
          <w:sz w:val="14"/>
        </w:rPr>
        <w:t>INTRODUCCIÓN</w:t>
      </w:r>
      <w:r>
        <w:rPr>
          <w:rFonts w:ascii="Arial" w:hAnsi="Arial"/>
          <w:color w:val="414042"/>
          <w:position w:val="-3"/>
          <w:sz w:val="20"/>
        </w:rPr>
        <w:tab/>
        <w:t>19</w:t>
      </w:r>
    </w:p>
    <w:p>
      <w:pPr>
        <w:pStyle w:val="BodyText"/>
        <w:rPr>
          <w:rFonts w:ascii="Arial"/>
          <w:sz w:val="20"/>
        </w:rPr>
      </w:pPr>
    </w:p>
    <w:p>
      <w:pPr>
        <w:pStyle w:val="BodyText"/>
        <w:rPr>
          <w:rFonts w:ascii="Arial"/>
          <w:sz w:val="20"/>
        </w:rPr>
      </w:pPr>
    </w:p>
    <w:p>
      <w:pPr>
        <w:pStyle w:val="BodyText"/>
        <w:spacing w:line="261" w:lineRule="auto" w:before="179"/>
        <w:ind w:left="1837" w:right="1715"/>
        <w:jc w:val="both"/>
      </w:pPr>
      <w:r>
        <w:rPr>
          <w:color w:val="231F20"/>
          <w:w w:val="105"/>
        </w:rPr>
        <w:t>Ambos autores afirman que las oportunidades que brinda la globali- zación no rivalizan con esquemas de desarrollo local articulados en los territorios migratorios, ya que se pueden aprovechar las oportunidades que</w:t>
      </w:r>
      <w:r>
        <w:rPr>
          <w:color w:val="231F20"/>
          <w:spacing w:val="-7"/>
          <w:w w:val="105"/>
        </w:rPr>
        <w:t> </w:t>
      </w:r>
      <w:r>
        <w:rPr>
          <w:color w:val="231F20"/>
          <w:w w:val="105"/>
        </w:rPr>
        <w:t>brindan</w:t>
      </w:r>
      <w:r>
        <w:rPr>
          <w:color w:val="231F20"/>
          <w:spacing w:val="-7"/>
          <w:w w:val="105"/>
        </w:rPr>
        <w:t> </w:t>
      </w:r>
      <w:r>
        <w:rPr>
          <w:color w:val="231F20"/>
          <w:w w:val="105"/>
        </w:rPr>
        <w:t>la</w:t>
      </w:r>
      <w:r>
        <w:rPr>
          <w:color w:val="231F20"/>
          <w:spacing w:val="-7"/>
          <w:w w:val="105"/>
        </w:rPr>
        <w:t> </w:t>
      </w:r>
      <w:r>
        <w:rPr>
          <w:color w:val="231F20"/>
          <w:w w:val="105"/>
        </w:rPr>
        <w:t>producción</w:t>
      </w:r>
      <w:r>
        <w:rPr>
          <w:color w:val="231F20"/>
          <w:spacing w:val="-7"/>
          <w:w w:val="105"/>
        </w:rPr>
        <w:t> </w:t>
      </w:r>
      <w:r>
        <w:rPr>
          <w:color w:val="231F20"/>
          <w:w w:val="105"/>
        </w:rPr>
        <w:t>regional,</w:t>
      </w:r>
      <w:r>
        <w:rPr>
          <w:color w:val="231F20"/>
          <w:spacing w:val="-14"/>
          <w:w w:val="105"/>
        </w:rPr>
        <w:t> </w:t>
      </w:r>
      <w:r>
        <w:rPr>
          <w:color w:val="231F20"/>
          <w:w w:val="105"/>
        </w:rPr>
        <w:t>la</w:t>
      </w:r>
      <w:r>
        <w:rPr>
          <w:color w:val="231F20"/>
          <w:spacing w:val="-7"/>
          <w:w w:val="105"/>
        </w:rPr>
        <w:t> </w:t>
      </w:r>
      <w:r>
        <w:rPr>
          <w:color w:val="231F20"/>
          <w:w w:val="105"/>
        </w:rPr>
        <w:t>cultura</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aprecio</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w w:val="105"/>
        </w:rPr>
        <w:t>terruño. Innovando</w:t>
      </w:r>
      <w:r>
        <w:rPr>
          <w:color w:val="231F20"/>
          <w:spacing w:val="-11"/>
          <w:w w:val="105"/>
        </w:rPr>
        <w:t> </w:t>
      </w:r>
      <w:r>
        <w:rPr>
          <w:color w:val="231F20"/>
          <w:w w:val="105"/>
        </w:rPr>
        <w:t>y</w:t>
      </w:r>
      <w:r>
        <w:rPr>
          <w:color w:val="231F20"/>
          <w:spacing w:val="-11"/>
          <w:w w:val="105"/>
        </w:rPr>
        <w:t> </w:t>
      </w:r>
      <w:r>
        <w:rPr>
          <w:color w:val="231F20"/>
          <w:w w:val="105"/>
        </w:rPr>
        <w:t>actuando</w:t>
      </w:r>
      <w:r>
        <w:rPr>
          <w:color w:val="231F20"/>
          <w:spacing w:val="-11"/>
          <w:w w:val="105"/>
        </w:rPr>
        <w:t> </w:t>
      </w:r>
      <w:r>
        <w:rPr>
          <w:color w:val="231F20"/>
          <w:w w:val="105"/>
        </w:rPr>
        <w:t>entre</w:t>
      </w:r>
      <w:r>
        <w:rPr>
          <w:color w:val="231F20"/>
          <w:spacing w:val="-11"/>
          <w:w w:val="105"/>
        </w:rPr>
        <w:t> </w:t>
      </w:r>
      <w:r>
        <w:rPr>
          <w:color w:val="231F20"/>
          <w:w w:val="105"/>
        </w:rPr>
        <w:t>lo</w:t>
      </w:r>
      <w:r>
        <w:rPr>
          <w:color w:val="231F20"/>
          <w:spacing w:val="-11"/>
          <w:w w:val="105"/>
        </w:rPr>
        <w:t> </w:t>
      </w:r>
      <w:r>
        <w:rPr>
          <w:color w:val="231F20"/>
          <w:w w:val="105"/>
        </w:rPr>
        <w:t>local</w:t>
      </w:r>
      <w:r>
        <w:rPr>
          <w:color w:val="231F20"/>
          <w:spacing w:val="-11"/>
          <w:w w:val="105"/>
        </w:rPr>
        <w:t> </w:t>
      </w:r>
      <w:r>
        <w:rPr>
          <w:color w:val="231F20"/>
          <w:w w:val="105"/>
        </w:rPr>
        <w:t>y</w:t>
      </w:r>
      <w:r>
        <w:rPr>
          <w:color w:val="231F20"/>
          <w:spacing w:val="-11"/>
          <w:w w:val="105"/>
        </w:rPr>
        <w:t> </w:t>
      </w:r>
      <w:r>
        <w:rPr>
          <w:color w:val="231F20"/>
          <w:w w:val="105"/>
        </w:rPr>
        <w:t>lo</w:t>
      </w:r>
      <w:r>
        <w:rPr>
          <w:color w:val="231F20"/>
          <w:spacing w:val="-11"/>
          <w:w w:val="105"/>
        </w:rPr>
        <w:t> </w:t>
      </w:r>
      <w:r>
        <w:rPr>
          <w:color w:val="231F20"/>
          <w:w w:val="105"/>
        </w:rPr>
        <w:t>global</w:t>
      </w:r>
      <w:r>
        <w:rPr>
          <w:color w:val="231F20"/>
          <w:spacing w:val="-11"/>
          <w:w w:val="105"/>
        </w:rPr>
        <w:t> </w:t>
      </w:r>
      <w:r>
        <w:rPr>
          <w:color w:val="231F20"/>
          <w:w w:val="105"/>
        </w:rPr>
        <w:t>son</w:t>
      </w:r>
      <w:r>
        <w:rPr>
          <w:color w:val="231F20"/>
          <w:spacing w:val="-11"/>
          <w:w w:val="105"/>
        </w:rPr>
        <w:t> </w:t>
      </w:r>
      <w:r>
        <w:rPr>
          <w:color w:val="231F20"/>
          <w:w w:val="105"/>
        </w:rPr>
        <w:t>acciones</w:t>
      </w:r>
      <w:r>
        <w:rPr>
          <w:color w:val="231F20"/>
          <w:spacing w:val="-11"/>
          <w:w w:val="105"/>
        </w:rPr>
        <w:t> </w:t>
      </w:r>
      <w:r>
        <w:rPr>
          <w:color w:val="231F20"/>
          <w:w w:val="105"/>
        </w:rPr>
        <w:t>sustantivas en</w:t>
      </w:r>
      <w:r>
        <w:rPr>
          <w:color w:val="231F20"/>
          <w:spacing w:val="-10"/>
          <w:w w:val="105"/>
        </w:rPr>
        <w:t> </w:t>
      </w:r>
      <w:r>
        <w:rPr>
          <w:color w:val="231F20"/>
          <w:w w:val="105"/>
        </w:rPr>
        <w:t>la</w:t>
      </w:r>
      <w:r>
        <w:rPr>
          <w:color w:val="231F20"/>
          <w:spacing w:val="-10"/>
          <w:w w:val="105"/>
        </w:rPr>
        <w:t> </w:t>
      </w:r>
      <w:r>
        <w:rPr>
          <w:color w:val="231F20"/>
          <w:w w:val="105"/>
        </w:rPr>
        <w:t>búsqueda</w:t>
      </w:r>
      <w:r>
        <w:rPr>
          <w:color w:val="231F20"/>
          <w:spacing w:val="-10"/>
          <w:w w:val="105"/>
        </w:rPr>
        <w:t> </w:t>
      </w:r>
      <w:r>
        <w:rPr>
          <w:color w:val="231F20"/>
          <w:w w:val="105"/>
        </w:rPr>
        <w:t>de</w:t>
      </w:r>
      <w:r>
        <w:rPr>
          <w:color w:val="231F20"/>
          <w:spacing w:val="-10"/>
          <w:w w:val="105"/>
        </w:rPr>
        <w:t> </w:t>
      </w:r>
      <w:r>
        <w:rPr>
          <w:color w:val="231F20"/>
          <w:w w:val="105"/>
        </w:rPr>
        <w:t>repuestos</w:t>
      </w:r>
      <w:r>
        <w:rPr>
          <w:color w:val="231F20"/>
          <w:spacing w:val="-10"/>
          <w:w w:val="105"/>
        </w:rPr>
        <w:t> </w:t>
      </w:r>
      <w:r>
        <w:rPr>
          <w:color w:val="231F20"/>
          <w:w w:val="105"/>
        </w:rPr>
        <w:t>paradigmáticos</w:t>
      </w:r>
      <w:r>
        <w:rPr>
          <w:color w:val="231F20"/>
          <w:spacing w:val="-10"/>
          <w:w w:val="105"/>
        </w:rPr>
        <w:t> </w:t>
      </w:r>
      <w:r>
        <w:rPr>
          <w:color w:val="231F20"/>
          <w:w w:val="105"/>
        </w:rPr>
        <w:t>para</w:t>
      </w:r>
      <w:r>
        <w:rPr>
          <w:color w:val="231F20"/>
          <w:spacing w:val="-10"/>
          <w:w w:val="105"/>
        </w:rPr>
        <w:t> </w:t>
      </w:r>
      <w:r>
        <w:rPr>
          <w:color w:val="231F20"/>
          <w:w w:val="105"/>
        </w:rPr>
        <w:t>brindar</w:t>
      </w:r>
      <w:r>
        <w:rPr>
          <w:color w:val="231F20"/>
          <w:spacing w:val="-10"/>
          <w:w w:val="105"/>
        </w:rPr>
        <w:t> </w:t>
      </w:r>
      <w:r>
        <w:rPr>
          <w:color w:val="231F20"/>
          <w:w w:val="105"/>
        </w:rPr>
        <w:t>opciones</w:t>
      </w:r>
      <w:r>
        <w:rPr>
          <w:color w:val="231F20"/>
          <w:spacing w:val="-10"/>
          <w:w w:val="105"/>
        </w:rPr>
        <w:t> </w:t>
      </w:r>
      <w:r>
        <w:rPr>
          <w:color w:val="231F20"/>
          <w:w w:val="105"/>
        </w:rPr>
        <w:t>via- bles</w:t>
      </w:r>
      <w:r>
        <w:rPr>
          <w:color w:val="231F20"/>
          <w:spacing w:val="-21"/>
          <w:w w:val="105"/>
        </w:rPr>
        <w:t> </w:t>
      </w:r>
      <w:r>
        <w:rPr>
          <w:color w:val="231F20"/>
          <w:w w:val="105"/>
        </w:rPr>
        <w:t>de</w:t>
      </w:r>
      <w:r>
        <w:rPr>
          <w:color w:val="231F20"/>
          <w:spacing w:val="-21"/>
          <w:w w:val="105"/>
        </w:rPr>
        <w:t> </w:t>
      </w:r>
      <w:r>
        <w:rPr>
          <w:color w:val="231F20"/>
          <w:w w:val="105"/>
        </w:rPr>
        <w:t>desarrollo</w:t>
      </w:r>
      <w:r>
        <w:rPr>
          <w:color w:val="231F20"/>
          <w:spacing w:val="-21"/>
          <w:w w:val="105"/>
        </w:rPr>
        <w:t> </w:t>
      </w:r>
      <w:r>
        <w:rPr>
          <w:color w:val="231F20"/>
          <w:w w:val="105"/>
        </w:rPr>
        <w:t>para</w:t>
      </w:r>
      <w:r>
        <w:rPr>
          <w:color w:val="231F20"/>
          <w:spacing w:val="-21"/>
          <w:w w:val="105"/>
        </w:rPr>
        <w:t> </w:t>
      </w:r>
      <w:r>
        <w:rPr>
          <w:color w:val="231F20"/>
          <w:w w:val="105"/>
        </w:rPr>
        <w:t>los</w:t>
      </w:r>
      <w:r>
        <w:rPr>
          <w:color w:val="231F20"/>
          <w:spacing w:val="-21"/>
          <w:w w:val="105"/>
        </w:rPr>
        <w:t> </w:t>
      </w:r>
      <w:r>
        <w:rPr>
          <w:color w:val="231F20"/>
          <w:w w:val="105"/>
        </w:rPr>
        <w:t>migrantes</w:t>
      </w:r>
      <w:r>
        <w:rPr>
          <w:color w:val="231F20"/>
          <w:spacing w:val="-21"/>
          <w:w w:val="105"/>
        </w:rPr>
        <w:t> </w:t>
      </w:r>
      <w:r>
        <w:rPr>
          <w:color w:val="231F20"/>
          <w:w w:val="105"/>
        </w:rPr>
        <w:t>y</w:t>
      </w:r>
      <w:r>
        <w:rPr>
          <w:color w:val="231F20"/>
          <w:spacing w:val="-21"/>
          <w:w w:val="105"/>
        </w:rPr>
        <w:t> </w:t>
      </w:r>
      <w:r>
        <w:rPr>
          <w:color w:val="231F20"/>
          <w:w w:val="105"/>
        </w:rPr>
        <w:t>sus</w:t>
      </w:r>
      <w:r>
        <w:rPr>
          <w:color w:val="231F20"/>
          <w:spacing w:val="-21"/>
          <w:w w:val="105"/>
        </w:rPr>
        <w:t> </w:t>
      </w:r>
      <w:r>
        <w:rPr>
          <w:color w:val="231F20"/>
          <w:w w:val="105"/>
        </w:rPr>
        <w:t>familias.</w:t>
      </w:r>
    </w:p>
    <w:p>
      <w:pPr>
        <w:pStyle w:val="BodyText"/>
        <w:spacing w:line="261" w:lineRule="auto" w:before="1"/>
        <w:ind w:left="1837" w:right="1721" w:firstLine="567"/>
        <w:jc w:val="both"/>
      </w:pPr>
      <w:r>
        <w:rPr>
          <w:color w:val="231F20"/>
          <w:w w:val="105"/>
        </w:rPr>
        <w:t>El</w:t>
      </w:r>
      <w:r>
        <w:rPr>
          <w:color w:val="231F20"/>
          <w:spacing w:val="-14"/>
          <w:w w:val="105"/>
        </w:rPr>
        <w:t> </w:t>
      </w:r>
      <w:r>
        <w:rPr>
          <w:color w:val="231F20"/>
          <w:spacing w:val="-3"/>
          <w:w w:val="105"/>
        </w:rPr>
        <w:t>capítulo</w:t>
      </w:r>
      <w:r>
        <w:rPr>
          <w:color w:val="231F20"/>
          <w:spacing w:val="-14"/>
          <w:w w:val="105"/>
        </w:rPr>
        <w:t> </w:t>
      </w:r>
      <w:r>
        <w:rPr>
          <w:color w:val="231F20"/>
          <w:spacing w:val="-3"/>
          <w:w w:val="105"/>
        </w:rPr>
        <w:t>doce,</w:t>
      </w:r>
      <w:r>
        <w:rPr>
          <w:color w:val="231F20"/>
          <w:spacing w:val="-21"/>
          <w:w w:val="105"/>
        </w:rPr>
        <w:t> </w:t>
      </w:r>
      <w:r>
        <w:rPr>
          <w:color w:val="231F20"/>
          <w:w w:val="105"/>
        </w:rPr>
        <w:t>“Migración</w:t>
      </w:r>
      <w:r>
        <w:rPr>
          <w:color w:val="231F20"/>
          <w:spacing w:val="-11"/>
          <w:w w:val="105"/>
        </w:rPr>
        <w:t> </w:t>
      </w:r>
      <w:r>
        <w:rPr>
          <w:color w:val="231F20"/>
          <w:w w:val="105"/>
        </w:rPr>
        <w:t>intergeneracional</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Estado</w:t>
      </w:r>
      <w:r>
        <w:rPr>
          <w:color w:val="231F20"/>
          <w:spacing w:val="-11"/>
          <w:w w:val="105"/>
        </w:rPr>
        <w:t> </w:t>
      </w:r>
      <w:r>
        <w:rPr>
          <w:color w:val="231F20"/>
          <w:w w:val="105"/>
        </w:rPr>
        <w:t>de</w:t>
      </w:r>
      <w:r>
        <w:rPr>
          <w:color w:val="231F20"/>
          <w:spacing w:val="-11"/>
          <w:w w:val="105"/>
        </w:rPr>
        <w:t> </w:t>
      </w:r>
      <w:r>
        <w:rPr>
          <w:color w:val="231F20"/>
          <w:w w:val="105"/>
        </w:rPr>
        <w:t>Mé- xico. La búsqueda de movilidad social”</w:t>
      </w:r>
      <w:r>
        <w:rPr>
          <w:rFonts w:ascii="Arial" w:hAnsi="Arial"/>
          <w:i/>
          <w:color w:val="231F20"/>
          <w:w w:val="105"/>
        </w:rPr>
        <w:t>, </w:t>
      </w:r>
      <w:r>
        <w:rPr>
          <w:color w:val="231F20"/>
          <w:w w:val="105"/>
        </w:rPr>
        <w:t>de las </w:t>
      </w:r>
      <w:r>
        <w:rPr>
          <w:color w:val="231F20"/>
          <w:spacing w:val="-3"/>
          <w:w w:val="105"/>
        </w:rPr>
        <w:t>autoras </w:t>
      </w:r>
      <w:r>
        <w:rPr>
          <w:color w:val="231F20"/>
          <w:spacing w:val="-4"/>
          <w:w w:val="105"/>
        </w:rPr>
        <w:t>Zoraida Ronzón </w:t>
      </w:r>
      <w:r>
        <w:rPr>
          <w:color w:val="231F20"/>
          <w:spacing w:val="-3"/>
          <w:w w:val="105"/>
        </w:rPr>
        <w:t>Hernández,</w:t>
      </w:r>
      <w:r>
        <w:rPr>
          <w:color w:val="231F20"/>
          <w:spacing w:val="-19"/>
          <w:w w:val="105"/>
        </w:rPr>
        <w:t> </w:t>
      </w:r>
      <w:r>
        <w:rPr>
          <w:color w:val="231F20"/>
          <w:spacing w:val="-3"/>
          <w:w w:val="105"/>
        </w:rPr>
        <w:t>Norma</w:t>
      </w:r>
      <w:r>
        <w:rPr>
          <w:color w:val="231F20"/>
          <w:spacing w:val="-15"/>
          <w:w w:val="105"/>
        </w:rPr>
        <w:t> </w:t>
      </w:r>
      <w:r>
        <w:rPr>
          <w:color w:val="231F20"/>
          <w:spacing w:val="-3"/>
          <w:w w:val="105"/>
        </w:rPr>
        <w:t>Baca</w:t>
      </w:r>
      <w:r>
        <w:rPr>
          <w:color w:val="231F20"/>
          <w:spacing w:val="-19"/>
          <w:w w:val="105"/>
        </w:rPr>
        <w:t> </w:t>
      </w:r>
      <w:r>
        <w:rPr>
          <w:color w:val="231F20"/>
          <w:spacing w:val="-7"/>
          <w:w w:val="105"/>
        </w:rPr>
        <w:t>Tavira</w:t>
      </w:r>
      <w:r>
        <w:rPr>
          <w:color w:val="231F20"/>
          <w:spacing w:val="-15"/>
          <w:w w:val="105"/>
        </w:rPr>
        <w:t> </w:t>
      </w:r>
      <w:r>
        <w:rPr>
          <w:color w:val="231F20"/>
          <w:w w:val="105"/>
        </w:rPr>
        <w:t>y</w:t>
      </w:r>
      <w:r>
        <w:rPr>
          <w:color w:val="231F20"/>
          <w:spacing w:val="-15"/>
          <w:w w:val="105"/>
        </w:rPr>
        <w:t> </w:t>
      </w:r>
      <w:r>
        <w:rPr>
          <w:color w:val="231F20"/>
          <w:spacing w:val="-5"/>
          <w:w w:val="105"/>
        </w:rPr>
        <w:t>Patricia</w:t>
      </w:r>
      <w:r>
        <w:rPr>
          <w:color w:val="231F20"/>
          <w:spacing w:val="-15"/>
          <w:w w:val="105"/>
        </w:rPr>
        <w:t> </w:t>
      </w:r>
      <w:r>
        <w:rPr>
          <w:color w:val="231F20"/>
          <w:spacing w:val="-3"/>
          <w:w w:val="105"/>
        </w:rPr>
        <w:t>Román</w:t>
      </w:r>
      <w:r>
        <w:rPr>
          <w:color w:val="231F20"/>
          <w:spacing w:val="-15"/>
          <w:w w:val="105"/>
        </w:rPr>
        <w:t> </w:t>
      </w:r>
      <w:r>
        <w:rPr>
          <w:color w:val="231F20"/>
          <w:spacing w:val="-3"/>
          <w:w w:val="105"/>
        </w:rPr>
        <w:t>Reyes,</w:t>
      </w:r>
      <w:r>
        <w:rPr>
          <w:color w:val="231F20"/>
          <w:spacing w:val="-19"/>
          <w:w w:val="105"/>
        </w:rPr>
        <w:t> </w:t>
      </w:r>
      <w:r>
        <w:rPr>
          <w:color w:val="231F20"/>
          <w:spacing w:val="-3"/>
          <w:w w:val="105"/>
        </w:rPr>
        <w:t>muestra</w:t>
      </w:r>
      <w:r>
        <w:rPr>
          <w:color w:val="231F20"/>
          <w:spacing w:val="-15"/>
          <w:w w:val="105"/>
        </w:rPr>
        <w:t> </w:t>
      </w:r>
      <w:r>
        <w:rPr>
          <w:color w:val="231F20"/>
          <w:spacing w:val="-3"/>
          <w:w w:val="105"/>
        </w:rPr>
        <w:t>cómo</w:t>
      </w:r>
      <w:r>
        <w:rPr>
          <w:color w:val="231F20"/>
          <w:spacing w:val="-15"/>
          <w:w w:val="105"/>
        </w:rPr>
        <w:t> </w:t>
      </w:r>
      <w:r>
        <w:rPr>
          <w:color w:val="231F20"/>
          <w:spacing w:val="-3"/>
          <w:w w:val="105"/>
        </w:rPr>
        <w:t>la experiencia </w:t>
      </w:r>
      <w:r>
        <w:rPr>
          <w:color w:val="231F20"/>
          <w:spacing w:val="-4"/>
          <w:w w:val="105"/>
        </w:rPr>
        <w:t>migratoria </w:t>
      </w:r>
      <w:r>
        <w:rPr>
          <w:color w:val="231F20"/>
          <w:spacing w:val="-3"/>
          <w:w w:val="105"/>
        </w:rPr>
        <w:t>forma parte </w:t>
      </w:r>
      <w:r>
        <w:rPr>
          <w:color w:val="231F20"/>
          <w:w w:val="105"/>
        </w:rPr>
        <w:t>de un </w:t>
      </w:r>
      <w:r>
        <w:rPr>
          <w:color w:val="231F20"/>
          <w:spacing w:val="-3"/>
          <w:w w:val="105"/>
        </w:rPr>
        <w:t>bagaje cultural </w:t>
      </w:r>
      <w:r>
        <w:rPr>
          <w:color w:val="231F20"/>
          <w:w w:val="105"/>
        </w:rPr>
        <w:t>que se </w:t>
      </w:r>
      <w:r>
        <w:rPr>
          <w:color w:val="231F20"/>
          <w:spacing w:val="-3"/>
          <w:w w:val="105"/>
        </w:rPr>
        <w:t>transmi- </w:t>
      </w:r>
      <w:r>
        <w:rPr>
          <w:color w:val="231F20"/>
          <w:w w:val="105"/>
        </w:rPr>
        <w:t>te</w:t>
      </w:r>
      <w:r>
        <w:rPr>
          <w:color w:val="231F20"/>
          <w:spacing w:val="-6"/>
          <w:w w:val="105"/>
        </w:rPr>
        <w:t> </w:t>
      </w:r>
      <w:r>
        <w:rPr>
          <w:color w:val="231F20"/>
          <w:spacing w:val="-3"/>
          <w:w w:val="105"/>
        </w:rPr>
        <w:t>generacionalmente,</w:t>
      </w:r>
      <w:r>
        <w:rPr>
          <w:color w:val="231F20"/>
          <w:spacing w:val="-12"/>
          <w:w w:val="105"/>
        </w:rPr>
        <w:t> </w:t>
      </w:r>
      <w:r>
        <w:rPr>
          <w:color w:val="231F20"/>
          <w:w w:val="105"/>
        </w:rPr>
        <w:t>y</w:t>
      </w:r>
      <w:r>
        <w:rPr>
          <w:color w:val="231F20"/>
          <w:spacing w:val="-6"/>
          <w:w w:val="105"/>
        </w:rPr>
        <w:t> </w:t>
      </w:r>
      <w:r>
        <w:rPr>
          <w:color w:val="231F20"/>
          <w:w w:val="105"/>
        </w:rPr>
        <w:t>que</w:t>
      </w:r>
      <w:r>
        <w:rPr>
          <w:color w:val="231F20"/>
          <w:spacing w:val="-6"/>
          <w:w w:val="105"/>
        </w:rPr>
        <w:t> </w:t>
      </w:r>
      <w:r>
        <w:rPr>
          <w:color w:val="231F20"/>
          <w:spacing w:val="-3"/>
          <w:w w:val="105"/>
        </w:rPr>
        <w:t>conforme</w:t>
      </w:r>
      <w:r>
        <w:rPr>
          <w:color w:val="231F20"/>
          <w:spacing w:val="-6"/>
          <w:w w:val="105"/>
        </w:rPr>
        <w:t> </w:t>
      </w:r>
      <w:r>
        <w:rPr>
          <w:color w:val="231F20"/>
          <w:spacing w:val="-3"/>
          <w:w w:val="105"/>
        </w:rPr>
        <w:t>pasa</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spacing w:val="-3"/>
          <w:w w:val="105"/>
        </w:rPr>
        <w:t>generación</w:t>
      </w:r>
      <w:r>
        <w:rPr>
          <w:color w:val="231F20"/>
          <w:spacing w:val="-6"/>
          <w:w w:val="105"/>
        </w:rPr>
        <w:t> </w:t>
      </w:r>
      <w:r>
        <w:rPr>
          <w:color w:val="231F20"/>
          <w:w w:val="105"/>
        </w:rPr>
        <w:t>a</w:t>
      </w:r>
      <w:r>
        <w:rPr>
          <w:color w:val="231F20"/>
          <w:spacing w:val="-6"/>
          <w:w w:val="105"/>
        </w:rPr>
        <w:t> </w:t>
      </w:r>
      <w:r>
        <w:rPr>
          <w:color w:val="231F20"/>
          <w:spacing w:val="-3"/>
          <w:w w:val="105"/>
        </w:rPr>
        <w:t>otra</w:t>
      </w:r>
      <w:r>
        <w:rPr>
          <w:color w:val="231F20"/>
          <w:spacing w:val="-6"/>
          <w:w w:val="105"/>
        </w:rPr>
        <w:t> </w:t>
      </w:r>
      <w:r>
        <w:rPr>
          <w:color w:val="231F20"/>
          <w:spacing w:val="-3"/>
          <w:w w:val="105"/>
        </w:rPr>
        <w:t>se vuelve </w:t>
      </w:r>
      <w:r>
        <w:rPr>
          <w:color w:val="231F20"/>
          <w:w w:val="105"/>
        </w:rPr>
        <w:t>no </w:t>
      </w:r>
      <w:r>
        <w:rPr>
          <w:color w:val="231F20"/>
          <w:spacing w:val="-3"/>
          <w:w w:val="105"/>
        </w:rPr>
        <w:t>sólo </w:t>
      </w:r>
      <w:r>
        <w:rPr>
          <w:color w:val="231F20"/>
          <w:w w:val="105"/>
        </w:rPr>
        <w:t>más </w:t>
      </w:r>
      <w:r>
        <w:rPr>
          <w:color w:val="231F20"/>
          <w:spacing w:val="-3"/>
          <w:w w:val="105"/>
        </w:rPr>
        <w:t>larga </w:t>
      </w:r>
      <w:r>
        <w:rPr>
          <w:color w:val="231F20"/>
          <w:w w:val="105"/>
        </w:rPr>
        <w:t>y </w:t>
      </w:r>
      <w:r>
        <w:rPr>
          <w:color w:val="231F20"/>
          <w:spacing w:val="-3"/>
          <w:w w:val="105"/>
        </w:rPr>
        <w:t>frecuente sino </w:t>
      </w:r>
      <w:r>
        <w:rPr>
          <w:color w:val="231F20"/>
          <w:w w:val="105"/>
        </w:rPr>
        <w:t>en </w:t>
      </w:r>
      <w:r>
        <w:rPr>
          <w:color w:val="231F20"/>
          <w:spacing w:val="-3"/>
          <w:w w:val="105"/>
        </w:rPr>
        <w:t>muchas ocasiones perma- nente.</w:t>
      </w:r>
      <w:r>
        <w:rPr>
          <w:color w:val="231F20"/>
          <w:spacing w:val="-22"/>
          <w:w w:val="105"/>
        </w:rPr>
        <w:t> </w:t>
      </w:r>
      <w:r>
        <w:rPr>
          <w:color w:val="231F20"/>
          <w:w w:val="105"/>
        </w:rPr>
        <w:t>El</w:t>
      </w:r>
      <w:r>
        <w:rPr>
          <w:color w:val="231F20"/>
          <w:spacing w:val="-16"/>
          <w:w w:val="105"/>
        </w:rPr>
        <w:t> </w:t>
      </w:r>
      <w:r>
        <w:rPr>
          <w:color w:val="231F20"/>
          <w:spacing w:val="-3"/>
          <w:w w:val="105"/>
        </w:rPr>
        <w:t>documento</w:t>
      </w:r>
      <w:r>
        <w:rPr>
          <w:color w:val="231F20"/>
          <w:spacing w:val="-16"/>
          <w:w w:val="105"/>
        </w:rPr>
        <w:t> </w:t>
      </w:r>
      <w:r>
        <w:rPr>
          <w:color w:val="231F20"/>
          <w:spacing w:val="-3"/>
          <w:w w:val="105"/>
        </w:rPr>
        <w:t>presenta</w:t>
      </w:r>
      <w:r>
        <w:rPr>
          <w:color w:val="231F20"/>
          <w:spacing w:val="-16"/>
          <w:w w:val="105"/>
        </w:rPr>
        <w:t> </w:t>
      </w:r>
      <w:r>
        <w:rPr>
          <w:color w:val="231F20"/>
          <w:w w:val="105"/>
        </w:rPr>
        <w:t>un</w:t>
      </w:r>
      <w:r>
        <w:rPr>
          <w:color w:val="231F20"/>
          <w:spacing w:val="-16"/>
          <w:w w:val="105"/>
        </w:rPr>
        <w:t> </w:t>
      </w:r>
      <w:r>
        <w:rPr>
          <w:color w:val="231F20"/>
          <w:spacing w:val="-3"/>
          <w:w w:val="105"/>
        </w:rPr>
        <w:t>contexto</w:t>
      </w:r>
      <w:r>
        <w:rPr>
          <w:color w:val="231F20"/>
          <w:spacing w:val="-16"/>
          <w:w w:val="105"/>
        </w:rPr>
        <w:t> </w:t>
      </w:r>
      <w:r>
        <w:rPr>
          <w:color w:val="231F20"/>
          <w:spacing w:val="-3"/>
          <w:w w:val="105"/>
        </w:rPr>
        <w:t>nacional</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spacing w:val="-4"/>
          <w:w w:val="105"/>
        </w:rPr>
        <w:t>pretende </w:t>
      </w:r>
      <w:r>
        <w:rPr>
          <w:color w:val="231F20"/>
          <w:spacing w:val="-3"/>
          <w:w w:val="105"/>
        </w:rPr>
        <w:t>evidenciar</w:t>
      </w:r>
      <w:r>
        <w:rPr>
          <w:color w:val="231F20"/>
          <w:spacing w:val="-15"/>
          <w:w w:val="105"/>
        </w:rPr>
        <w:t> </w:t>
      </w:r>
      <w:r>
        <w:rPr>
          <w:color w:val="231F20"/>
          <w:w w:val="105"/>
        </w:rPr>
        <w:t>la</w:t>
      </w:r>
      <w:r>
        <w:rPr>
          <w:color w:val="231F20"/>
          <w:spacing w:val="-15"/>
          <w:w w:val="105"/>
        </w:rPr>
        <w:t> </w:t>
      </w:r>
      <w:r>
        <w:rPr>
          <w:color w:val="231F20"/>
          <w:spacing w:val="-3"/>
          <w:w w:val="105"/>
        </w:rPr>
        <w:t>manera</w:t>
      </w:r>
      <w:r>
        <w:rPr>
          <w:color w:val="231F20"/>
          <w:spacing w:val="-15"/>
          <w:w w:val="105"/>
        </w:rPr>
        <w:t> </w:t>
      </w:r>
      <w:r>
        <w:rPr>
          <w:color w:val="231F20"/>
          <w:w w:val="105"/>
        </w:rPr>
        <w:t>en</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spacing w:val="-3"/>
          <w:w w:val="105"/>
        </w:rPr>
        <w:t>siglo</w:t>
      </w:r>
      <w:r>
        <w:rPr>
          <w:color w:val="231F20"/>
          <w:spacing w:val="-15"/>
          <w:w w:val="105"/>
        </w:rPr>
        <w:t> </w:t>
      </w:r>
      <w:r>
        <w:rPr>
          <w:color w:val="231F20"/>
          <w:w w:val="105"/>
          <w:sz w:val="17"/>
        </w:rPr>
        <w:t>XX</w:t>
      </w:r>
      <w:r>
        <w:rPr>
          <w:color w:val="231F20"/>
          <w:spacing w:val="-3"/>
          <w:w w:val="105"/>
          <w:sz w:val="17"/>
        </w:rPr>
        <w:t> </w:t>
      </w:r>
      <w:r>
        <w:rPr>
          <w:color w:val="231F20"/>
          <w:spacing w:val="-3"/>
          <w:w w:val="105"/>
        </w:rPr>
        <w:t>tendría</w:t>
      </w:r>
      <w:r>
        <w:rPr>
          <w:color w:val="231F20"/>
          <w:spacing w:val="-15"/>
          <w:w w:val="105"/>
        </w:rPr>
        <w:t> </w:t>
      </w:r>
      <w:r>
        <w:rPr>
          <w:color w:val="231F20"/>
          <w:spacing w:val="-3"/>
          <w:w w:val="105"/>
        </w:rPr>
        <w:t>altas</w:t>
      </w:r>
      <w:r>
        <w:rPr>
          <w:color w:val="231F20"/>
          <w:spacing w:val="-15"/>
          <w:w w:val="105"/>
        </w:rPr>
        <w:t> </w:t>
      </w:r>
      <w:r>
        <w:rPr>
          <w:color w:val="231F20"/>
          <w:w w:val="105"/>
        </w:rPr>
        <w:t>y</w:t>
      </w:r>
      <w:r>
        <w:rPr>
          <w:color w:val="231F20"/>
          <w:spacing w:val="-15"/>
          <w:w w:val="105"/>
        </w:rPr>
        <w:t> </w:t>
      </w:r>
      <w:r>
        <w:rPr>
          <w:color w:val="231F20"/>
          <w:spacing w:val="-3"/>
          <w:w w:val="105"/>
        </w:rPr>
        <w:t>bajas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spacing w:val="-4"/>
          <w:w w:val="105"/>
        </w:rPr>
        <w:t>proceso migratorio,</w:t>
      </w:r>
      <w:r>
        <w:rPr>
          <w:color w:val="231F20"/>
          <w:spacing w:val="-35"/>
          <w:w w:val="105"/>
        </w:rPr>
        <w:t> </w:t>
      </w:r>
      <w:r>
        <w:rPr>
          <w:color w:val="231F20"/>
          <w:w w:val="105"/>
        </w:rPr>
        <w:t>en</w:t>
      </w:r>
      <w:r>
        <w:rPr>
          <w:color w:val="231F20"/>
          <w:spacing w:val="-30"/>
          <w:w w:val="105"/>
        </w:rPr>
        <w:t> </w:t>
      </w:r>
      <w:r>
        <w:rPr>
          <w:color w:val="231F20"/>
          <w:spacing w:val="-3"/>
          <w:w w:val="105"/>
        </w:rPr>
        <w:t>específico,</w:t>
      </w:r>
      <w:r>
        <w:rPr>
          <w:color w:val="231F20"/>
          <w:spacing w:val="-35"/>
          <w:w w:val="105"/>
        </w:rPr>
        <w:t> </w:t>
      </w:r>
      <w:r>
        <w:rPr>
          <w:color w:val="231F20"/>
          <w:spacing w:val="-3"/>
          <w:w w:val="105"/>
        </w:rPr>
        <w:t>hacia</w:t>
      </w:r>
      <w:r>
        <w:rPr>
          <w:color w:val="231F20"/>
          <w:spacing w:val="-30"/>
          <w:w w:val="105"/>
        </w:rPr>
        <w:t> </w:t>
      </w:r>
      <w:r>
        <w:rPr>
          <w:color w:val="231F20"/>
          <w:spacing w:val="-3"/>
          <w:w w:val="105"/>
        </w:rPr>
        <w:t>Estados</w:t>
      </w:r>
      <w:r>
        <w:rPr>
          <w:color w:val="231F20"/>
          <w:spacing w:val="-30"/>
          <w:w w:val="105"/>
        </w:rPr>
        <w:t> </w:t>
      </w:r>
      <w:r>
        <w:rPr>
          <w:color w:val="231F20"/>
          <w:spacing w:val="-3"/>
          <w:w w:val="105"/>
        </w:rPr>
        <w:t>Unidos,</w:t>
      </w:r>
      <w:r>
        <w:rPr>
          <w:color w:val="231F20"/>
          <w:spacing w:val="-35"/>
          <w:w w:val="105"/>
        </w:rPr>
        <w:t> </w:t>
      </w:r>
      <w:r>
        <w:rPr>
          <w:color w:val="231F20"/>
          <w:w w:val="105"/>
        </w:rPr>
        <w:t>y</w:t>
      </w:r>
      <w:r>
        <w:rPr>
          <w:color w:val="231F20"/>
          <w:spacing w:val="-30"/>
          <w:w w:val="105"/>
        </w:rPr>
        <w:t> </w:t>
      </w:r>
      <w:r>
        <w:rPr>
          <w:color w:val="231F20"/>
          <w:w w:val="105"/>
        </w:rPr>
        <w:t>que</w:t>
      </w:r>
      <w:r>
        <w:rPr>
          <w:color w:val="231F20"/>
          <w:spacing w:val="-30"/>
          <w:w w:val="105"/>
        </w:rPr>
        <w:t> </w:t>
      </w:r>
      <w:r>
        <w:rPr>
          <w:color w:val="231F20"/>
          <w:spacing w:val="-3"/>
          <w:w w:val="105"/>
        </w:rPr>
        <w:t>establecería</w:t>
      </w:r>
      <w:r>
        <w:rPr>
          <w:color w:val="231F20"/>
          <w:spacing w:val="-30"/>
          <w:w w:val="105"/>
        </w:rPr>
        <w:t> </w:t>
      </w:r>
      <w:r>
        <w:rPr>
          <w:color w:val="231F20"/>
          <w:w w:val="105"/>
        </w:rPr>
        <w:t>las</w:t>
      </w:r>
      <w:r>
        <w:rPr>
          <w:color w:val="231F20"/>
          <w:spacing w:val="-30"/>
          <w:w w:val="105"/>
        </w:rPr>
        <w:t> </w:t>
      </w:r>
      <w:r>
        <w:rPr>
          <w:color w:val="231F20"/>
          <w:spacing w:val="-3"/>
          <w:w w:val="105"/>
        </w:rPr>
        <w:t>con- diciones</w:t>
      </w:r>
      <w:r>
        <w:rPr>
          <w:color w:val="231F20"/>
          <w:spacing w:val="-14"/>
          <w:w w:val="105"/>
        </w:rPr>
        <w:t> </w:t>
      </w:r>
      <w:r>
        <w:rPr>
          <w:color w:val="231F20"/>
          <w:spacing w:val="-3"/>
          <w:w w:val="105"/>
        </w:rPr>
        <w:t>para</w:t>
      </w:r>
      <w:r>
        <w:rPr>
          <w:color w:val="231F20"/>
          <w:spacing w:val="-14"/>
          <w:w w:val="105"/>
        </w:rPr>
        <w:t> </w:t>
      </w:r>
      <w:r>
        <w:rPr>
          <w:color w:val="231F20"/>
          <w:w w:val="105"/>
        </w:rPr>
        <w:t>la</w:t>
      </w:r>
      <w:r>
        <w:rPr>
          <w:color w:val="231F20"/>
          <w:spacing w:val="-14"/>
          <w:w w:val="105"/>
        </w:rPr>
        <w:t> </w:t>
      </w:r>
      <w:r>
        <w:rPr>
          <w:color w:val="231F20"/>
          <w:spacing w:val="-3"/>
          <w:w w:val="105"/>
        </w:rPr>
        <w:t>toma</w:t>
      </w:r>
      <w:r>
        <w:rPr>
          <w:color w:val="231F20"/>
          <w:spacing w:val="-14"/>
          <w:w w:val="105"/>
        </w:rPr>
        <w:t> </w:t>
      </w:r>
      <w:r>
        <w:rPr>
          <w:color w:val="231F20"/>
          <w:w w:val="105"/>
        </w:rPr>
        <w:t>de</w:t>
      </w:r>
      <w:r>
        <w:rPr>
          <w:color w:val="231F20"/>
          <w:spacing w:val="-14"/>
          <w:w w:val="105"/>
        </w:rPr>
        <w:t> </w:t>
      </w:r>
      <w:r>
        <w:rPr>
          <w:color w:val="231F20"/>
          <w:spacing w:val="-3"/>
          <w:w w:val="105"/>
        </w:rPr>
        <w:t>decisiones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migración</w:t>
      </w:r>
      <w:r>
        <w:rPr>
          <w:color w:val="231F20"/>
          <w:spacing w:val="-14"/>
          <w:w w:val="105"/>
        </w:rPr>
        <w:t> </w:t>
      </w:r>
      <w:r>
        <w:rPr>
          <w:color w:val="231F20"/>
          <w:spacing w:val="-4"/>
          <w:w w:val="105"/>
        </w:rPr>
        <w:t>intergeneracional.</w:t>
      </w:r>
    </w:p>
    <w:p>
      <w:pPr>
        <w:pStyle w:val="BodyText"/>
        <w:spacing w:line="261" w:lineRule="auto" w:before="1"/>
        <w:ind w:left="1837" w:right="1715" w:firstLine="567"/>
        <w:jc w:val="both"/>
      </w:pPr>
      <w:r>
        <w:rPr>
          <w:color w:val="231F20"/>
          <w:w w:val="105"/>
        </w:rPr>
        <w:t>El</w:t>
      </w:r>
      <w:r>
        <w:rPr>
          <w:color w:val="231F20"/>
          <w:spacing w:val="-33"/>
          <w:w w:val="105"/>
        </w:rPr>
        <w:t> </w:t>
      </w:r>
      <w:r>
        <w:rPr>
          <w:color w:val="231F20"/>
          <w:spacing w:val="-4"/>
          <w:w w:val="105"/>
        </w:rPr>
        <w:t>trabajo</w:t>
      </w:r>
      <w:r>
        <w:rPr>
          <w:color w:val="231F20"/>
          <w:spacing w:val="-33"/>
          <w:w w:val="105"/>
        </w:rPr>
        <w:t> </w:t>
      </w:r>
      <w:r>
        <w:rPr>
          <w:color w:val="231F20"/>
          <w:spacing w:val="-4"/>
          <w:w w:val="105"/>
        </w:rPr>
        <w:t>muestra</w:t>
      </w:r>
      <w:r>
        <w:rPr>
          <w:color w:val="231F20"/>
          <w:spacing w:val="-33"/>
          <w:w w:val="105"/>
        </w:rPr>
        <w:t> </w:t>
      </w:r>
      <w:r>
        <w:rPr>
          <w:color w:val="231F20"/>
          <w:w w:val="105"/>
        </w:rPr>
        <w:t>de</w:t>
      </w:r>
      <w:r>
        <w:rPr>
          <w:color w:val="231F20"/>
          <w:spacing w:val="-33"/>
          <w:w w:val="105"/>
        </w:rPr>
        <w:t> </w:t>
      </w:r>
      <w:r>
        <w:rPr>
          <w:color w:val="231F20"/>
          <w:spacing w:val="-4"/>
          <w:w w:val="105"/>
        </w:rPr>
        <w:t>manera</w:t>
      </w:r>
      <w:r>
        <w:rPr>
          <w:color w:val="231F20"/>
          <w:spacing w:val="-33"/>
          <w:w w:val="105"/>
        </w:rPr>
        <w:t> </w:t>
      </w:r>
      <w:r>
        <w:rPr>
          <w:color w:val="231F20"/>
          <w:spacing w:val="-4"/>
          <w:w w:val="105"/>
        </w:rPr>
        <w:t>seria</w:t>
      </w:r>
      <w:r>
        <w:rPr>
          <w:color w:val="231F20"/>
          <w:spacing w:val="-33"/>
          <w:w w:val="105"/>
        </w:rPr>
        <w:t> </w:t>
      </w:r>
      <w:r>
        <w:rPr>
          <w:color w:val="231F20"/>
          <w:spacing w:val="-3"/>
          <w:w w:val="105"/>
        </w:rPr>
        <w:t>las</w:t>
      </w:r>
      <w:r>
        <w:rPr>
          <w:color w:val="231F20"/>
          <w:spacing w:val="-33"/>
          <w:w w:val="105"/>
        </w:rPr>
        <w:t> </w:t>
      </w:r>
      <w:r>
        <w:rPr>
          <w:color w:val="231F20"/>
          <w:spacing w:val="-4"/>
          <w:w w:val="105"/>
        </w:rPr>
        <w:t>diferentes</w:t>
      </w:r>
      <w:r>
        <w:rPr>
          <w:color w:val="231F20"/>
          <w:spacing w:val="-33"/>
          <w:w w:val="105"/>
        </w:rPr>
        <w:t> </w:t>
      </w:r>
      <w:r>
        <w:rPr>
          <w:color w:val="231F20"/>
          <w:spacing w:val="-4"/>
          <w:w w:val="105"/>
        </w:rPr>
        <w:t>condiciones</w:t>
      </w:r>
      <w:r>
        <w:rPr>
          <w:color w:val="231F20"/>
          <w:spacing w:val="-33"/>
          <w:w w:val="105"/>
        </w:rPr>
        <w:t> </w:t>
      </w:r>
      <w:r>
        <w:rPr>
          <w:color w:val="231F20"/>
          <w:w w:val="105"/>
        </w:rPr>
        <w:t>y</w:t>
      </w:r>
      <w:r>
        <w:rPr>
          <w:color w:val="231F20"/>
          <w:spacing w:val="-33"/>
          <w:w w:val="105"/>
        </w:rPr>
        <w:t> </w:t>
      </w:r>
      <w:r>
        <w:rPr>
          <w:color w:val="231F20"/>
          <w:spacing w:val="-4"/>
          <w:w w:val="105"/>
        </w:rPr>
        <w:t>carac- terísticas</w:t>
      </w:r>
      <w:r>
        <w:rPr>
          <w:color w:val="231F20"/>
          <w:spacing w:val="-24"/>
          <w:w w:val="105"/>
        </w:rPr>
        <w:t> </w:t>
      </w:r>
      <w:r>
        <w:rPr>
          <w:color w:val="231F20"/>
          <w:w w:val="105"/>
        </w:rPr>
        <w:t>de</w:t>
      </w:r>
      <w:r>
        <w:rPr>
          <w:color w:val="231F20"/>
          <w:spacing w:val="-24"/>
          <w:w w:val="105"/>
        </w:rPr>
        <w:t> </w:t>
      </w:r>
      <w:r>
        <w:rPr>
          <w:color w:val="231F20"/>
          <w:spacing w:val="-4"/>
          <w:w w:val="105"/>
        </w:rPr>
        <w:t>tres,</w:t>
      </w:r>
      <w:r>
        <w:rPr>
          <w:color w:val="231F20"/>
          <w:spacing w:val="-28"/>
          <w:w w:val="105"/>
        </w:rPr>
        <w:t> </w:t>
      </w:r>
      <w:r>
        <w:rPr>
          <w:color w:val="231F20"/>
          <w:spacing w:val="-4"/>
          <w:w w:val="105"/>
        </w:rPr>
        <w:t>hasta</w:t>
      </w:r>
      <w:r>
        <w:rPr>
          <w:color w:val="231F20"/>
          <w:spacing w:val="-24"/>
          <w:w w:val="105"/>
        </w:rPr>
        <w:t> </w:t>
      </w:r>
      <w:r>
        <w:rPr>
          <w:color w:val="231F20"/>
          <w:spacing w:val="-5"/>
          <w:w w:val="105"/>
        </w:rPr>
        <w:t>cuatro</w:t>
      </w:r>
      <w:r>
        <w:rPr>
          <w:color w:val="231F20"/>
          <w:spacing w:val="-24"/>
          <w:w w:val="105"/>
        </w:rPr>
        <w:t> </w:t>
      </w:r>
      <w:r>
        <w:rPr>
          <w:color w:val="231F20"/>
          <w:spacing w:val="-4"/>
          <w:w w:val="105"/>
        </w:rPr>
        <w:t>generaciones</w:t>
      </w:r>
      <w:r>
        <w:rPr>
          <w:color w:val="231F20"/>
          <w:spacing w:val="-24"/>
          <w:w w:val="105"/>
        </w:rPr>
        <w:t> </w:t>
      </w:r>
      <w:r>
        <w:rPr>
          <w:color w:val="231F20"/>
          <w:w w:val="105"/>
        </w:rPr>
        <w:t>de</w:t>
      </w:r>
      <w:r>
        <w:rPr>
          <w:color w:val="231F20"/>
          <w:spacing w:val="-24"/>
          <w:w w:val="105"/>
        </w:rPr>
        <w:t> </w:t>
      </w:r>
      <w:r>
        <w:rPr>
          <w:color w:val="231F20"/>
          <w:spacing w:val="-4"/>
          <w:w w:val="105"/>
        </w:rPr>
        <w:t>migrantes</w:t>
      </w:r>
      <w:r>
        <w:rPr>
          <w:color w:val="231F20"/>
          <w:spacing w:val="-24"/>
          <w:w w:val="105"/>
        </w:rPr>
        <w:t> </w:t>
      </w:r>
      <w:r>
        <w:rPr>
          <w:color w:val="231F20"/>
          <w:spacing w:val="-4"/>
          <w:w w:val="105"/>
        </w:rPr>
        <w:t>mexicanos</w:t>
      </w:r>
      <w:r>
        <w:rPr>
          <w:color w:val="231F20"/>
          <w:spacing w:val="-24"/>
          <w:w w:val="105"/>
        </w:rPr>
        <w:t> </w:t>
      </w:r>
      <w:r>
        <w:rPr>
          <w:color w:val="231F20"/>
          <w:spacing w:val="-4"/>
          <w:w w:val="105"/>
        </w:rPr>
        <w:t>hacia Estados</w:t>
      </w:r>
      <w:r>
        <w:rPr>
          <w:color w:val="231F20"/>
          <w:spacing w:val="-26"/>
          <w:w w:val="105"/>
        </w:rPr>
        <w:t> </w:t>
      </w:r>
      <w:r>
        <w:rPr>
          <w:color w:val="231F20"/>
          <w:spacing w:val="-4"/>
          <w:w w:val="105"/>
        </w:rPr>
        <w:t>Unidos.</w:t>
      </w:r>
      <w:r>
        <w:rPr>
          <w:color w:val="231F20"/>
          <w:spacing w:val="-31"/>
          <w:w w:val="105"/>
        </w:rPr>
        <w:t> </w:t>
      </w:r>
      <w:r>
        <w:rPr>
          <w:color w:val="231F20"/>
          <w:w w:val="105"/>
        </w:rPr>
        <w:t>De</w:t>
      </w:r>
      <w:r>
        <w:rPr>
          <w:color w:val="231F20"/>
          <w:spacing w:val="-26"/>
          <w:w w:val="105"/>
        </w:rPr>
        <w:t> </w:t>
      </w:r>
      <w:r>
        <w:rPr>
          <w:color w:val="231F20"/>
          <w:spacing w:val="-3"/>
          <w:w w:val="105"/>
        </w:rPr>
        <w:t>esta</w:t>
      </w:r>
      <w:r>
        <w:rPr>
          <w:color w:val="231F20"/>
          <w:spacing w:val="-26"/>
          <w:w w:val="105"/>
        </w:rPr>
        <w:t> </w:t>
      </w:r>
      <w:r>
        <w:rPr>
          <w:color w:val="231F20"/>
          <w:spacing w:val="-4"/>
          <w:w w:val="105"/>
        </w:rPr>
        <w:t>manera,</w:t>
      </w:r>
      <w:r>
        <w:rPr>
          <w:color w:val="231F20"/>
          <w:spacing w:val="-31"/>
          <w:w w:val="105"/>
        </w:rPr>
        <w:t> </w:t>
      </w:r>
      <w:r>
        <w:rPr>
          <w:color w:val="231F20"/>
          <w:w w:val="105"/>
        </w:rPr>
        <w:t>se</w:t>
      </w:r>
      <w:r>
        <w:rPr>
          <w:color w:val="231F20"/>
          <w:spacing w:val="-26"/>
          <w:w w:val="105"/>
        </w:rPr>
        <w:t> </w:t>
      </w:r>
      <w:r>
        <w:rPr>
          <w:color w:val="231F20"/>
          <w:spacing w:val="-4"/>
          <w:w w:val="105"/>
        </w:rPr>
        <w:t>abordan</w:t>
      </w:r>
      <w:r>
        <w:rPr>
          <w:color w:val="231F20"/>
          <w:spacing w:val="-26"/>
          <w:w w:val="105"/>
        </w:rPr>
        <w:t> </w:t>
      </w:r>
      <w:r>
        <w:rPr>
          <w:color w:val="231F20"/>
          <w:spacing w:val="-4"/>
          <w:w w:val="105"/>
        </w:rPr>
        <w:t>varios</w:t>
      </w:r>
      <w:r>
        <w:rPr>
          <w:color w:val="231F20"/>
          <w:spacing w:val="-26"/>
          <w:w w:val="105"/>
        </w:rPr>
        <w:t> </w:t>
      </w:r>
      <w:r>
        <w:rPr>
          <w:color w:val="231F20"/>
          <w:spacing w:val="-4"/>
          <w:w w:val="105"/>
        </w:rPr>
        <w:t>hechos</w:t>
      </w:r>
      <w:r>
        <w:rPr>
          <w:color w:val="231F20"/>
          <w:spacing w:val="-26"/>
          <w:w w:val="105"/>
        </w:rPr>
        <w:t> </w:t>
      </w:r>
      <w:r>
        <w:rPr>
          <w:color w:val="231F20"/>
          <w:spacing w:val="-4"/>
          <w:w w:val="105"/>
        </w:rPr>
        <w:t>sociales</w:t>
      </w:r>
      <w:r>
        <w:rPr>
          <w:color w:val="231F20"/>
          <w:spacing w:val="-26"/>
          <w:w w:val="105"/>
        </w:rPr>
        <w:t> </w:t>
      </w:r>
      <w:r>
        <w:rPr>
          <w:color w:val="231F20"/>
          <w:spacing w:val="-4"/>
          <w:w w:val="105"/>
        </w:rPr>
        <w:t>desde </w:t>
      </w:r>
      <w:r>
        <w:rPr>
          <w:color w:val="231F20"/>
          <w:w w:val="105"/>
        </w:rPr>
        <w:t>el </w:t>
      </w:r>
      <w:r>
        <w:rPr>
          <w:color w:val="231F20"/>
          <w:spacing w:val="-4"/>
          <w:w w:val="105"/>
        </w:rPr>
        <w:t>siglo </w:t>
      </w:r>
      <w:r>
        <w:rPr>
          <w:color w:val="231F20"/>
          <w:spacing w:val="-3"/>
          <w:w w:val="105"/>
          <w:sz w:val="17"/>
        </w:rPr>
        <w:t>XIX</w:t>
      </w:r>
      <w:r>
        <w:rPr>
          <w:color w:val="231F20"/>
          <w:spacing w:val="-3"/>
          <w:w w:val="105"/>
        </w:rPr>
        <w:t>, que </w:t>
      </w:r>
      <w:r>
        <w:rPr>
          <w:color w:val="231F20"/>
          <w:spacing w:val="-4"/>
          <w:w w:val="105"/>
        </w:rPr>
        <w:t>hicieron </w:t>
      </w:r>
      <w:r>
        <w:rPr>
          <w:color w:val="231F20"/>
          <w:w w:val="105"/>
        </w:rPr>
        <w:t>y </w:t>
      </w:r>
      <w:r>
        <w:rPr>
          <w:color w:val="231F20"/>
          <w:spacing w:val="-4"/>
          <w:w w:val="105"/>
        </w:rPr>
        <w:t>construyeron </w:t>
      </w:r>
      <w:r>
        <w:rPr>
          <w:color w:val="231F20"/>
          <w:w w:val="105"/>
        </w:rPr>
        <w:t>el </w:t>
      </w:r>
      <w:r>
        <w:rPr>
          <w:color w:val="231F20"/>
          <w:spacing w:val="-4"/>
          <w:w w:val="105"/>
        </w:rPr>
        <w:t>proceso migratorio </w:t>
      </w:r>
      <w:r>
        <w:rPr>
          <w:color w:val="231F20"/>
          <w:w w:val="105"/>
        </w:rPr>
        <w:t>de </w:t>
      </w:r>
      <w:r>
        <w:rPr>
          <w:color w:val="231F20"/>
          <w:spacing w:val="-4"/>
          <w:w w:val="105"/>
        </w:rPr>
        <w:t>millones </w:t>
      </w:r>
      <w:r>
        <w:rPr>
          <w:color w:val="231F20"/>
          <w:w w:val="105"/>
        </w:rPr>
        <w:t>de </w:t>
      </w:r>
      <w:r>
        <w:rPr>
          <w:color w:val="231F20"/>
          <w:spacing w:val="-4"/>
          <w:w w:val="105"/>
        </w:rPr>
        <w:t>mexicanos </w:t>
      </w:r>
      <w:r>
        <w:rPr>
          <w:color w:val="231F20"/>
          <w:spacing w:val="-3"/>
          <w:w w:val="105"/>
        </w:rPr>
        <w:t>que han </w:t>
      </w:r>
      <w:r>
        <w:rPr>
          <w:color w:val="231F20"/>
          <w:spacing w:val="-4"/>
          <w:w w:val="105"/>
        </w:rPr>
        <w:t>buscado </w:t>
      </w:r>
      <w:r>
        <w:rPr>
          <w:color w:val="231F20"/>
          <w:spacing w:val="-3"/>
          <w:w w:val="105"/>
        </w:rPr>
        <w:t>ser </w:t>
      </w:r>
      <w:r>
        <w:rPr>
          <w:color w:val="231F20"/>
          <w:spacing w:val="-4"/>
          <w:w w:val="105"/>
        </w:rPr>
        <w:t>parte </w:t>
      </w:r>
      <w:r>
        <w:rPr>
          <w:color w:val="231F20"/>
          <w:w w:val="105"/>
        </w:rPr>
        <w:t>de la </w:t>
      </w:r>
      <w:r>
        <w:rPr>
          <w:color w:val="231F20"/>
          <w:spacing w:val="-4"/>
          <w:w w:val="105"/>
        </w:rPr>
        <w:t>comunidad norteamerica- </w:t>
      </w:r>
      <w:r>
        <w:rPr>
          <w:color w:val="231F20"/>
          <w:spacing w:val="-3"/>
          <w:w w:val="105"/>
        </w:rPr>
        <w:t>na,</w:t>
      </w:r>
      <w:r>
        <w:rPr>
          <w:color w:val="231F20"/>
          <w:spacing w:val="-16"/>
          <w:w w:val="105"/>
        </w:rPr>
        <w:t> </w:t>
      </w:r>
      <w:r>
        <w:rPr>
          <w:color w:val="231F20"/>
          <w:spacing w:val="-3"/>
          <w:w w:val="105"/>
        </w:rPr>
        <w:t>como</w:t>
      </w:r>
      <w:r>
        <w:rPr>
          <w:color w:val="231F20"/>
          <w:spacing w:val="-10"/>
          <w:w w:val="105"/>
        </w:rPr>
        <w:t> </w:t>
      </w:r>
      <w:r>
        <w:rPr>
          <w:color w:val="231F20"/>
          <w:spacing w:val="-4"/>
          <w:w w:val="105"/>
        </w:rPr>
        <w:t>ciudadanos</w:t>
      </w:r>
      <w:r>
        <w:rPr>
          <w:color w:val="231F20"/>
          <w:spacing w:val="-10"/>
          <w:w w:val="105"/>
        </w:rPr>
        <w:t> </w:t>
      </w:r>
      <w:r>
        <w:rPr>
          <w:color w:val="231F20"/>
          <w:spacing w:val="-4"/>
          <w:w w:val="105"/>
        </w:rPr>
        <w:t>norteamericanos.</w:t>
      </w:r>
      <w:r>
        <w:rPr>
          <w:color w:val="231F20"/>
          <w:spacing w:val="-16"/>
          <w:w w:val="105"/>
        </w:rPr>
        <w:t> </w:t>
      </w:r>
      <w:r>
        <w:rPr>
          <w:color w:val="231F20"/>
          <w:spacing w:val="-4"/>
          <w:w w:val="105"/>
        </w:rPr>
        <w:t>Esto,</w:t>
      </w:r>
      <w:r>
        <w:rPr>
          <w:color w:val="231F20"/>
          <w:spacing w:val="-16"/>
          <w:w w:val="105"/>
        </w:rPr>
        <w:t> </w:t>
      </w:r>
      <w:r>
        <w:rPr>
          <w:color w:val="231F20"/>
          <w:spacing w:val="-5"/>
          <w:w w:val="105"/>
        </w:rPr>
        <w:t>claro,</w:t>
      </w:r>
      <w:r>
        <w:rPr>
          <w:color w:val="231F20"/>
          <w:spacing w:val="-16"/>
          <w:w w:val="105"/>
        </w:rPr>
        <w:t> </w:t>
      </w:r>
      <w:r>
        <w:rPr>
          <w:color w:val="231F20"/>
          <w:spacing w:val="-4"/>
          <w:w w:val="105"/>
        </w:rPr>
        <w:t>tras</w:t>
      </w:r>
      <w:r>
        <w:rPr>
          <w:color w:val="231F20"/>
          <w:spacing w:val="-10"/>
          <w:w w:val="105"/>
        </w:rPr>
        <w:t> </w:t>
      </w:r>
      <w:r>
        <w:rPr>
          <w:color w:val="231F20"/>
          <w:w w:val="105"/>
        </w:rPr>
        <w:t>un</w:t>
      </w:r>
      <w:r>
        <w:rPr>
          <w:color w:val="231F20"/>
          <w:spacing w:val="-10"/>
          <w:w w:val="105"/>
        </w:rPr>
        <w:t> </w:t>
      </w:r>
      <w:r>
        <w:rPr>
          <w:color w:val="231F20"/>
          <w:spacing w:val="-4"/>
          <w:w w:val="105"/>
        </w:rPr>
        <w:t>camino</w:t>
      </w:r>
      <w:r>
        <w:rPr>
          <w:color w:val="231F20"/>
          <w:spacing w:val="-10"/>
          <w:w w:val="105"/>
        </w:rPr>
        <w:t> </w:t>
      </w:r>
      <w:r>
        <w:rPr>
          <w:color w:val="231F20"/>
          <w:spacing w:val="-4"/>
          <w:w w:val="105"/>
        </w:rPr>
        <w:t>largo</w:t>
      </w:r>
      <w:r>
        <w:rPr>
          <w:color w:val="231F20"/>
          <w:spacing w:val="-10"/>
          <w:w w:val="105"/>
        </w:rPr>
        <w:t> </w:t>
      </w:r>
      <w:r>
        <w:rPr>
          <w:color w:val="231F20"/>
          <w:w w:val="105"/>
        </w:rPr>
        <w:t>y </w:t>
      </w:r>
      <w:r>
        <w:rPr>
          <w:color w:val="231F20"/>
          <w:spacing w:val="-4"/>
          <w:w w:val="105"/>
        </w:rPr>
        <w:t>sinuoso, </w:t>
      </w:r>
      <w:r>
        <w:rPr>
          <w:color w:val="231F20"/>
          <w:spacing w:val="-3"/>
          <w:w w:val="105"/>
        </w:rPr>
        <w:t>que </w:t>
      </w:r>
      <w:r>
        <w:rPr>
          <w:color w:val="231F20"/>
          <w:w w:val="105"/>
        </w:rPr>
        <w:t>ha </w:t>
      </w:r>
      <w:r>
        <w:rPr>
          <w:color w:val="231F20"/>
          <w:spacing w:val="-3"/>
          <w:w w:val="105"/>
        </w:rPr>
        <w:t>sido </w:t>
      </w:r>
      <w:r>
        <w:rPr>
          <w:color w:val="231F20"/>
          <w:spacing w:val="-4"/>
          <w:w w:val="105"/>
        </w:rPr>
        <w:t>caminado </w:t>
      </w:r>
      <w:r>
        <w:rPr>
          <w:color w:val="231F20"/>
          <w:w w:val="105"/>
        </w:rPr>
        <w:t>a </w:t>
      </w:r>
      <w:r>
        <w:rPr>
          <w:color w:val="231F20"/>
          <w:spacing w:val="-4"/>
          <w:w w:val="105"/>
        </w:rPr>
        <w:t>veces </w:t>
      </w:r>
      <w:r>
        <w:rPr>
          <w:color w:val="231F20"/>
          <w:w w:val="105"/>
        </w:rPr>
        <w:t>a </w:t>
      </w:r>
      <w:r>
        <w:rPr>
          <w:color w:val="231F20"/>
          <w:spacing w:val="-3"/>
          <w:w w:val="105"/>
        </w:rPr>
        <w:t>paso </w:t>
      </w:r>
      <w:r>
        <w:rPr>
          <w:color w:val="231F20"/>
          <w:spacing w:val="-4"/>
          <w:w w:val="105"/>
        </w:rPr>
        <w:t>lento </w:t>
      </w:r>
      <w:r>
        <w:rPr>
          <w:color w:val="231F20"/>
          <w:w w:val="105"/>
        </w:rPr>
        <w:t>y </w:t>
      </w:r>
      <w:r>
        <w:rPr>
          <w:color w:val="231F20"/>
          <w:spacing w:val="-4"/>
          <w:w w:val="105"/>
        </w:rPr>
        <w:t>otras </w:t>
      </w:r>
      <w:r>
        <w:rPr>
          <w:color w:val="231F20"/>
          <w:spacing w:val="-3"/>
          <w:w w:val="105"/>
        </w:rPr>
        <w:t>con </w:t>
      </w:r>
      <w:r>
        <w:rPr>
          <w:color w:val="231F20"/>
          <w:spacing w:val="-5"/>
          <w:w w:val="105"/>
        </w:rPr>
        <w:t>grandes </w:t>
      </w:r>
      <w:r>
        <w:rPr>
          <w:color w:val="231F20"/>
          <w:spacing w:val="-4"/>
          <w:w w:val="105"/>
        </w:rPr>
        <w:t>trotes</w:t>
      </w:r>
      <w:r>
        <w:rPr>
          <w:color w:val="231F20"/>
          <w:spacing w:val="-14"/>
          <w:w w:val="105"/>
        </w:rPr>
        <w:t> </w:t>
      </w:r>
      <w:r>
        <w:rPr>
          <w:color w:val="231F20"/>
          <w:w w:val="105"/>
        </w:rPr>
        <w:t>y</w:t>
      </w:r>
      <w:r>
        <w:rPr>
          <w:color w:val="231F20"/>
          <w:spacing w:val="-14"/>
          <w:w w:val="105"/>
        </w:rPr>
        <w:t> </w:t>
      </w:r>
      <w:r>
        <w:rPr>
          <w:color w:val="231F20"/>
          <w:w w:val="105"/>
        </w:rPr>
        <w:t>a</w:t>
      </w:r>
      <w:r>
        <w:rPr>
          <w:color w:val="231F20"/>
          <w:spacing w:val="-14"/>
          <w:w w:val="105"/>
        </w:rPr>
        <w:t> </w:t>
      </w:r>
      <w:r>
        <w:rPr>
          <w:color w:val="231F20"/>
          <w:spacing w:val="-4"/>
          <w:w w:val="105"/>
        </w:rPr>
        <w:t>saltos</w:t>
      </w:r>
      <w:r>
        <w:rPr>
          <w:color w:val="231F20"/>
          <w:spacing w:val="-14"/>
          <w:w w:val="105"/>
        </w:rPr>
        <w:t> </w:t>
      </w:r>
      <w:r>
        <w:rPr>
          <w:color w:val="231F20"/>
          <w:spacing w:val="-4"/>
          <w:w w:val="105"/>
        </w:rPr>
        <w:t>agigantados</w:t>
      </w:r>
      <w:r>
        <w:rPr>
          <w:color w:val="231F20"/>
          <w:spacing w:val="-14"/>
          <w:w w:val="105"/>
        </w:rPr>
        <w:t> </w:t>
      </w:r>
      <w:r>
        <w:rPr>
          <w:color w:val="231F20"/>
          <w:spacing w:val="-4"/>
          <w:w w:val="105"/>
        </w:rPr>
        <w:t>para</w:t>
      </w:r>
      <w:r>
        <w:rPr>
          <w:color w:val="231F20"/>
          <w:spacing w:val="-14"/>
          <w:w w:val="105"/>
        </w:rPr>
        <w:t> </w:t>
      </w:r>
      <w:r>
        <w:rPr>
          <w:color w:val="231F20"/>
          <w:spacing w:val="-4"/>
          <w:w w:val="105"/>
        </w:rPr>
        <w:t>llegar</w:t>
      </w:r>
      <w:r>
        <w:rPr>
          <w:color w:val="231F20"/>
          <w:spacing w:val="-14"/>
          <w:w w:val="105"/>
        </w:rPr>
        <w:t> </w:t>
      </w:r>
      <w:r>
        <w:rPr>
          <w:color w:val="231F20"/>
          <w:w w:val="105"/>
        </w:rPr>
        <w:t>a</w:t>
      </w:r>
      <w:r>
        <w:rPr>
          <w:color w:val="231F20"/>
          <w:spacing w:val="-14"/>
          <w:w w:val="105"/>
        </w:rPr>
        <w:t> </w:t>
      </w:r>
      <w:r>
        <w:rPr>
          <w:color w:val="231F20"/>
          <w:spacing w:val="-4"/>
          <w:w w:val="105"/>
        </w:rPr>
        <w:t>grandes</w:t>
      </w:r>
      <w:r>
        <w:rPr>
          <w:color w:val="231F20"/>
          <w:spacing w:val="-14"/>
          <w:w w:val="105"/>
        </w:rPr>
        <w:t> </w:t>
      </w:r>
      <w:r>
        <w:rPr>
          <w:color w:val="231F20"/>
          <w:spacing w:val="-5"/>
          <w:w w:val="105"/>
        </w:rPr>
        <w:t>fronteras.</w:t>
      </w:r>
      <w:r>
        <w:rPr>
          <w:color w:val="231F20"/>
          <w:spacing w:val="-19"/>
          <w:w w:val="105"/>
        </w:rPr>
        <w:t> </w:t>
      </w:r>
      <w:r>
        <w:rPr>
          <w:color w:val="231F20"/>
          <w:spacing w:val="-3"/>
          <w:w w:val="105"/>
        </w:rPr>
        <w:t>Sin</w:t>
      </w:r>
      <w:r>
        <w:rPr>
          <w:color w:val="231F20"/>
          <w:spacing w:val="-14"/>
          <w:w w:val="105"/>
        </w:rPr>
        <w:t> </w:t>
      </w:r>
      <w:r>
        <w:rPr>
          <w:color w:val="231F20"/>
          <w:spacing w:val="-5"/>
          <w:w w:val="105"/>
        </w:rPr>
        <w:t>embargo, </w:t>
      </w:r>
      <w:r>
        <w:rPr>
          <w:color w:val="231F20"/>
          <w:spacing w:val="-3"/>
          <w:w w:val="105"/>
        </w:rPr>
        <w:t>las</w:t>
      </w:r>
      <w:r>
        <w:rPr>
          <w:color w:val="231F20"/>
          <w:spacing w:val="-13"/>
          <w:w w:val="105"/>
        </w:rPr>
        <w:t> </w:t>
      </w:r>
      <w:r>
        <w:rPr>
          <w:color w:val="231F20"/>
          <w:spacing w:val="-4"/>
          <w:w w:val="105"/>
        </w:rPr>
        <w:t>autoras</w:t>
      </w:r>
      <w:r>
        <w:rPr>
          <w:color w:val="231F20"/>
          <w:spacing w:val="-13"/>
          <w:w w:val="105"/>
        </w:rPr>
        <w:t> </w:t>
      </w:r>
      <w:r>
        <w:rPr>
          <w:color w:val="231F20"/>
          <w:spacing w:val="-4"/>
          <w:w w:val="105"/>
        </w:rPr>
        <w:t>lanzan</w:t>
      </w:r>
      <w:r>
        <w:rPr>
          <w:color w:val="231F20"/>
          <w:spacing w:val="-13"/>
          <w:w w:val="105"/>
        </w:rPr>
        <w:t> </w:t>
      </w:r>
      <w:r>
        <w:rPr>
          <w:color w:val="231F20"/>
          <w:spacing w:val="-4"/>
          <w:w w:val="105"/>
        </w:rPr>
        <w:t>otras</w:t>
      </w:r>
      <w:r>
        <w:rPr>
          <w:color w:val="231F20"/>
          <w:spacing w:val="-13"/>
          <w:w w:val="105"/>
        </w:rPr>
        <w:t> </w:t>
      </w:r>
      <w:r>
        <w:rPr>
          <w:color w:val="231F20"/>
          <w:spacing w:val="-4"/>
          <w:w w:val="105"/>
        </w:rPr>
        <w:t>preguntas</w:t>
      </w:r>
      <w:r>
        <w:rPr>
          <w:color w:val="231F20"/>
          <w:spacing w:val="-13"/>
          <w:w w:val="105"/>
        </w:rPr>
        <w:t> </w:t>
      </w:r>
      <w:r>
        <w:rPr>
          <w:color w:val="231F20"/>
          <w:spacing w:val="-4"/>
          <w:w w:val="105"/>
        </w:rPr>
        <w:t>alrededor</w:t>
      </w:r>
      <w:r>
        <w:rPr>
          <w:color w:val="231F20"/>
          <w:spacing w:val="-13"/>
          <w:w w:val="105"/>
        </w:rPr>
        <w:t> </w:t>
      </w:r>
      <w:r>
        <w:rPr>
          <w:color w:val="231F20"/>
          <w:spacing w:val="-3"/>
          <w:w w:val="105"/>
        </w:rPr>
        <w:t>del</w:t>
      </w:r>
      <w:r>
        <w:rPr>
          <w:color w:val="231F20"/>
          <w:spacing w:val="-13"/>
          <w:w w:val="105"/>
        </w:rPr>
        <w:t> </w:t>
      </w:r>
      <w:r>
        <w:rPr>
          <w:color w:val="231F20"/>
          <w:spacing w:val="-4"/>
          <w:w w:val="105"/>
        </w:rPr>
        <w:t>fenómeno</w:t>
      </w:r>
      <w:r>
        <w:rPr>
          <w:color w:val="231F20"/>
          <w:spacing w:val="-13"/>
          <w:w w:val="105"/>
        </w:rPr>
        <w:t> </w:t>
      </w:r>
      <w:r>
        <w:rPr>
          <w:color w:val="231F20"/>
          <w:spacing w:val="-4"/>
          <w:w w:val="105"/>
        </w:rPr>
        <w:t>migratorio</w:t>
      </w:r>
      <w:r>
        <w:rPr>
          <w:color w:val="231F20"/>
          <w:spacing w:val="-13"/>
          <w:w w:val="105"/>
        </w:rPr>
        <w:t> </w:t>
      </w:r>
      <w:r>
        <w:rPr>
          <w:color w:val="231F20"/>
          <w:spacing w:val="-4"/>
          <w:w w:val="105"/>
        </w:rPr>
        <w:t>que </w:t>
      </w:r>
      <w:r>
        <w:rPr>
          <w:color w:val="231F20"/>
          <w:w w:val="105"/>
        </w:rPr>
        <w:t>se</w:t>
      </w:r>
      <w:r>
        <w:rPr>
          <w:color w:val="231F20"/>
          <w:spacing w:val="-19"/>
          <w:w w:val="105"/>
        </w:rPr>
        <w:t> </w:t>
      </w:r>
      <w:r>
        <w:rPr>
          <w:color w:val="231F20"/>
          <w:spacing w:val="-4"/>
          <w:w w:val="105"/>
        </w:rPr>
        <w:t>desprenden</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spacing w:val="-4"/>
          <w:w w:val="105"/>
        </w:rPr>
        <w:t>estudio:</w:t>
      </w:r>
      <w:r>
        <w:rPr>
          <w:color w:val="231F20"/>
          <w:spacing w:val="-19"/>
          <w:w w:val="105"/>
        </w:rPr>
        <w:t> </w:t>
      </w:r>
      <w:r>
        <w:rPr>
          <w:color w:val="231F20"/>
          <w:spacing w:val="-4"/>
          <w:w w:val="105"/>
        </w:rPr>
        <w:t>¿todos</w:t>
      </w:r>
      <w:r>
        <w:rPr>
          <w:color w:val="231F20"/>
          <w:spacing w:val="-19"/>
          <w:w w:val="105"/>
        </w:rPr>
        <w:t> </w:t>
      </w:r>
      <w:r>
        <w:rPr>
          <w:color w:val="231F20"/>
          <w:spacing w:val="-3"/>
          <w:w w:val="105"/>
        </w:rPr>
        <w:t>los</w:t>
      </w:r>
      <w:r>
        <w:rPr>
          <w:color w:val="231F20"/>
          <w:spacing w:val="-19"/>
          <w:w w:val="105"/>
        </w:rPr>
        <w:t> </w:t>
      </w:r>
      <w:r>
        <w:rPr>
          <w:color w:val="231F20"/>
          <w:spacing w:val="-4"/>
          <w:w w:val="105"/>
        </w:rPr>
        <w:t>mexicanos</w:t>
      </w:r>
      <w:r>
        <w:rPr>
          <w:color w:val="231F20"/>
          <w:spacing w:val="-19"/>
          <w:w w:val="105"/>
        </w:rPr>
        <w:t> </w:t>
      </w:r>
      <w:r>
        <w:rPr>
          <w:color w:val="231F20"/>
          <w:w w:val="105"/>
        </w:rPr>
        <w:t>se</w:t>
      </w:r>
      <w:r>
        <w:rPr>
          <w:color w:val="231F20"/>
          <w:spacing w:val="-19"/>
          <w:w w:val="105"/>
        </w:rPr>
        <w:t> </w:t>
      </w:r>
      <w:r>
        <w:rPr>
          <w:color w:val="231F20"/>
          <w:spacing w:val="-3"/>
          <w:w w:val="105"/>
        </w:rPr>
        <w:t>van</w:t>
      </w:r>
      <w:r>
        <w:rPr>
          <w:color w:val="231F20"/>
          <w:spacing w:val="-19"/>
          <w:w w:val="105"/>
        </w:rPr>
        <w:t> </w:t>
      </w:r>
      <w:r>
        <w:rPr>
          <w:color w:val="231F20"/>
          <w:spacing w:val="-4"/>
          <w:w w:val="105"/>
        </w:rPr>
        <w:t>buscando</w:t>
      </w:r>
      <w:r>
        <w:rPr>
          <w:color w:val="231F20"/>
          <w:spacing w:val="-19"/>
          <w:w w:val="105"/>
        </w:rPr>
        <w:t> </w:t>
      </w:r>
      <w:r>
        <w:rPr>
          <w:color w:val="231F20"/>
          <w:spacing w:val="-4"/>
          <w:w w:val="105"/>
        </w:rPr>
        <w:t>“una </w:t>
      </w:r>
      <w:r>
        <w:rPr>
          <w:color w:val="231F20"/>
          <w:spacing w:val="-3"/>
          <w:w w:val="105"/>
        </w:rPr>
        <w:t>vida</w:t>
      </w:r>
      <w:r>
        <w:rPr>
          <w:color w:val="231F20"/>
          <w:spacing w:val="-26"/>
          <w:w w:val="105"/>
        </w:rPr>
        <w:t> </w:t>
      </w:r>
      <w:r>
        <w:rPr>
          <w:color w:val="231F20"/>
          <w:spacing w:val="-3"/>
          <w:w w:val="105"/>
        </w:rPr>
        <w:t>mejor”?,</w:t>
      </w:r>
      <w:r>
        <w:rPr>
          <w:color w:val="231F20"/>
          <w:spacing w:val="-31"/>
          <w:w w:val="105"/>
        </w:rPr>
        <w:t> </w:t>
      </w:r>
      <w:r>
        <w:rPr>
          <w:color w:val="231F20"/>
          <w:w w:val="105"/>
        </w:rPr>
        <w:t>y</w:t>
      </w:r>
      <w:r>
        <w:rPr>
          <w:color w:val="231F20"/>
          <w:spacing w:val="-26"/>
          <w:w w:val="105"/>
        </w:rPr>
        <w:t> </w:t>
      </w:r>
      <w:r>
        <w:rPr>
          <w:color w:val="231F20"/>
          <w:spacing w:val="-4"/>
          <w:w w:val="105"/>
        </w:rPr>
        <w:t>todavía</w:t>
      </w:r>
      <w:r>
        <w:rPr>
          <w:color w:val="231F20"/>
          <w:spacing w:val="-26"/>
          <w:w w:val="105"/>
        </w:rPr>
        <w:t> </w:t>
      </w:r>
      <w:r>
        <w:rPr>
          <w:color w:val="231F20"/>
          <w:spacing w:val="-3"/>
          <w:w w:val="105"/>
        </w:rPr>
        <w:t>más</w:t>
      </w:r>
      <w:r>
        <w:rPr>
          <w:color w:val="231F20"/>
          <w:spacing w:val="-26"/>
          <w:w w:val="105"/>
        </w:rPr>
        <w:t> </w:t>
      </w:r>
      <w:r>
        <w:rPr>
          <w:color w:val="231F20"/>
          <w:spacing w:val="-4"/>
          <w:w w:val="105"/>
        </w:rPr>
        <w:t>importante,</w:t>
      </w:r>
      <w:r>
        <w:rPr>
          <w:color w:val="231F20"/>
          <w:spacing w:val="-31"/>
          <w:w w:val="105"/>
        </w:rPr>
        <w:t> </w:t>
      </w:r>
      <w:r>
        <w:rPr>
          <w:color w:val="231F20"/>
          <w:spacing w:val="-3"/>
          <w:w w:val="105"/>
        </w:rPr>
        <w:t>¿la</w:t>
      </w:r>
      <w:r>
        <w:rPr>
          <w:color w:val="231F20"/>
          <w:spacing w:val="-26"/>
          <w:w w:val="105"/>
        </w:rPr>
        <w:t> </w:t>
      </w:r>
      <w:r>
        <w:rPr>
          <w:color w:val="231F20"/>
          <w:spacing w:val="-5"/>
          <w:w w:val="105"/>
        </w:rPr>
        <w:t>encuentran?</w:t>
      </w:r>
    </w:p>
    <w:p>
      <w:pPr>
        <w:pStyle w:val="BodyText"/>
        <w:spacing w:line="261" w:lineRule="auto" w:before="1"/>
        <w:ind w:left="1837" w:right="1717" w:firstLine="567"/>
        <w:jc w:val="both"/>
      </w:pPr>
      <w:r>
        <w:rPr>
          <w:color w:val="231F20"/>
          <w:w w:val="105"/>
        </w:rPr>
        <w:t>En el </w:t>
      </w:r>
      <w:r>
        <w:rPr>
          <w:color w:val="231F20"/>
          <w:spacing w:val="-3"/>
          <w:w w:val="105"/>
        </w:rPr>
        <w:t>capítulo trece </w:t>
      </w:r>
      <w:r>
        <w:rPr>
          <w:color w:val="231F20"/>
          <w:w w:val="105"/>
        </w:rPr>
        <w:t>“Migración internacional y estrategias de sub- sistencia</w:t>
      </w:r>
      <w:r>
        <w:rPr>
          <w:color w:val="231F20"/>
          <w:spacing w:val="-30"/>
          <w:w w:val="105"/>
        </w:rPr>
        <w:t> </w:t>
      </w:r>
      <w:r>
        <w:rPr>
          <w:color w:val="231F20"/>
          <w:w w:val="105"/>
        </w:rPr>
        <w:t>campesina</w:t>
      </w:r>
      <w:r>
        <w:rPr>
          <w:color w:val="231F20"/>
          <w:spacing w:val="-30"/>
          <w:w w:val="105"/>
        </w:rPr>
        <w:t> </w:t>
      </w:r>
      <w:r>
        <w:rPr>
          <w:color w:val="231F20"/>
          <w:w w:val="105"/>
        </w:rPr>
        <w:t>en</w:t>
      </w:r>
      <w:r>
        <w:rPr>
          <w:color w:val="231F20"/>
          <w:spacing w:val="-30"/>
          <w:w w:val="105"/>
        </w:rPr>
        <w:t> </w:t>
      </w:r>
      <w:r>
        <w:rPr>
          <w:color w:val="231F20"/>
          <w:w w:val="105"/>
        </w:rPr>
        <w:t>Santiago,</w:t>
      </w:r>
      <w:r>
        <w:rPr>
          <w:color w:val="231F20"/>
          <w:spacing w:val="-36"/>
          <w:w w:val="105"/>
        </w:rPr>
        <w:t> </w:t>
      </w:r>
      <w:r>
        <w:rPr>
          <w:color w:val="231F20"/>
          <w:spacing w:val="-3"/>
          <w:w w:val="105"/>
        </w:rPr>
        <w:t>Amatepec”,</w:t>
      </w:r>
      <w:r>
        <w:rPr>
          <w:color w:val="231F20"/>
          <w:spacing w:val="-36"/>
          <w:w w:val="105"/>
        </w:rPr>
        <w:t> </w:t>
      </w:r>
      <w:r>
        <w:rPr>
          <w:color w:val="231F20"/>
          <w:w w:val="105"/>
        </w:rPr>
        <w:t>los</w:t>
      </w:r>
      <w:r>
        <w:rPr>
          <w:color w:val="231F20"/>
          <w:spacing w:val="-33"/>
          <w:w w:val="105"/>
        </w:rPr>
        <w:t> </w:t>
      </w:r>
      <w:r>
        <w:rPr>
          <w:color w:val="231F20"/>
          <w:spacing w:val="-3"/>
          <w:w w:val="105"/>
        </w:rPr>
        <w:t>autores</w:t>
      </w:r>
      <w:r>
        <w:rPr>
          <w:color w:val="231F20"/>
          <w:spacing w:val="-33"/>
          <w:w w:val="105"/>
        </w:rPr>
        <w:t> </w:t>
      </w:r>
      <w:r>
        <w:rPr>
          <w:color w:val="231F20"/>
          <w:spacing w:val="-3"/>
          <w:w w:val="105"/>
        </w:rPr>
        <w:t>Daniela</w:t>
      </w:r>
      <w:r>
        <w:rPr>
          <w:color w:val="231F20"/>
          <w:spacing w:val="-33"/>
          <w:w w:val="105"/>
        </w:rPr>
        <w:t> </w:t>
      </w:r>
      <w:r>
        <w:rPr>
          <w:color w:val="231F20"/>
          <w:spacing w:val="-3"/>
          <w:w w:val="105"/>
        </w:rPr>
        <w:t>Macedo </w:t>
      </w:r>
      <w:r>
        <w:rPr>
          <w:color w:val="231F20"/>
          <w:spacing w:val="-4"/>
          <w:w w:val="105"/>
        </w:rPr>
        <w:t>Garduño,</w:t>
      </w:r>
      <w:r>
        <w:rPr>
          <w:color w:val="231F20"/>
          <w:spacing w:val="-32"/>
          <w:w w:val="105"/>
        </w:rPr>
        <w:t> </w:t>
      </w:r>
      <w:r>
        <w:rPr>
          <w:color w:val="231F20"/>
          <w:spacing w:val="-3"/>
          <w:w w:val="105"/>
        </w:rPr>
        <w:t>Gladys</w:t>
      </w:r>
      <w:r>
        <w:rPr>
          <w:color w:val="231F20"/>
          <w:spacing w:val="-29"/>
          <w:w w:val="105"/>
        </w:rPr>
        <w:t> </w:t>
      </w:r>
      <w:r>
        <w:rPr>
          <w:color w:val="231F20"/>
          <w:spacing w:val="-3"/>
          <w:w w:val="105"/>
        </w:rPr>
        <w:t>Rivera</w:t>
      </w:r>
      <w:r>
        <w:rPr>
          <w:color w:val="231F20"/>
          <w:spacing w:val="-29"/>
          <w:w w:val="105"/>
        </w:rPr>
        <w:t> </w:t>
      </w:r>
      <w:r>
        <w:rPr>
          <w:color w:val="231F20"/>
          <w:spacing w:val="-3"/>
          <w:w w:val="105"/>
        </w:rPr>
        <w:t>Herrejón</w:t>
      </w:r>
      <w:r>
        <w:rPr>
          <w:color w:val="231F20"/>
          <w:spacing w:val="-29"/>
          <w:w w:val="105"/>
        </w:rPr>
        <w:t> </w:t>
      </w:r>
      <w:r>
        <w:rPr>
          <w:color w:val="231F20"/>
          <w:w w:val="105"/>
        </w:rPr>
        <w:t>y</w:t>
      </w:r>
      <w:r>
        <w:rPr>
          <w:color w:val="231F20"/>
          <w:spacing w:val="-29"/>
          <w:w w:val="105"/>
        </w:rPr>
        <w:t> </w:t>
      </w:r>
      <w:r>
        <w:rPr>
          <w:color w:val="231F20"/>
          <w:spacing w:val="-4"/>
          <w:w w:val="105"/>
        </w:rPr>
        <w:t>Francisco</w:t>
      </w:r>
      <w:r>
        <w:rPr>
          <w:color w:val="231F20"/>
          <w:spacing w:val="-29"/>
          <w:w w:val="105"/>
        </w:rPr>
        <w:t> </w:t>
      </w:r>
      <w:r>
        <w:rPr>
          <w:color w:val="231F20"/>
          <w:spacing w:val="-4"/>
          <w:w w:val="105"/>
        </w:rPr>
        <w:t>Herrera</w:t>
      </w:r>
      <w:r>
        <w:rPr>
          <w:color w:val="231F20"/>
          <w:spacing w:val="-32"/>
          <w:w w:val="105"/>
        </w:rPr>
        <w:t> </w:t>
      </w:r>
      <w:r>
        <w:rPr>
          <w:color w:val="231F20"/>
          <w:spacing w:val="-7"/>
          <w:w w:val="105"/>
        </w:rPr>
        <w:t>Tapia</w:t>
      </w:r>
      <w:r>
        <w:rPr>
          <w:color w:val="231F20"/>
          <w:spacing w:val="-29"/>
          <w:w w:val="105"/>
        </w:rPr>
        <w:t> </w:t>
      </w:r>
      <w:r>
        <w:rPr>
          <w:color w:val="231F20"/>
          <w:spacing w:val="-3"/>
          <w:w w:val="105"/>
        </w:rPr>
        <w:t>analizan</w:t>
      </w:r>
      <w:r>
        <w:rPr>
          <w:color w:val="231F20"/>
          <w:spacing w:val="-29"/>
          <w:w w:val="105"/>
        </w:rPr>
        <w:t> </w:t>
      </w:r>
      <w:r>
        <w:rPr>
          <w:color w:val="231F20"/>
          <w:w w:val="105"/>
        </w:rPr>
        <w:t>las</w:t>
      </w:r>
      <w:r>
        <w:rPr>
          <w:color w:val="231F20"/>
          <w:spacing w:val="-29"/>
          <w:w w:val="105"/>
        </w:rPr>
        <w:t> </w:t>
      </w:r>
      <w:r>
        <w:rPr>
          <w:color w:val="231F20"/>
          <w:w w:val="105"/>
        </w:rPr>
        <w:t>in- </w:t>
      </w:r>
      <w:r>
        <w:rPr>
          <w:color w:val="231F20"/>
          <w:spacing w:val="-3"/>
          <w:w w:val="105"/>
        </w:rPr>
        <w:t>terrelaciones</w:t>
      </w:r>
      <w:r>
        <w:rPr>
          <w:color w:val="231F20"/>
          <w:spacing w:val="-30"/>
          <w:w w:val="105"/>
        </w:rPr>
        <w:t> </w:t>
      </w:r>
      <w:r>
        <w:rPr>
          <w:color w:val="231F20"/>
          <w:spacing w:val="-3"/>
          <w:w w:val="105"/>
        </w:rPr>
        <w:t>entre</w:t>
      </w:r>
      <w:r>
        <w:rPr>
          <w:color w:val="231F20"/>
          <w:spacing w:val="-30"/>
          <w:w w:val="105"/>
        </w:rPr>
        <w:t> </w:t>
      </w:r>
      <w:r>
        <w:rPr>
          <w:color w:val="231F20"/>
          <w:w w:val="105"/>
        </w:rPr>
        <w:t>la</w:t>
      </w:r>
      <w:r>
        <w:rPr>
          <w:color w:val="231F20"/>
          <w:spacing w:val="-30"/>
          <w:w w:val="105"/>
        </w:rPr>
        <w:t> </w:t>
      </w:r>
      <w:r>
        <w:rPr>
          <w:color w:val="231F20"/>
          <w:spacing w:val="-3"/>
          <w:w w:val="105"/>
        </w:rPr>
        <w:t>migración</w:t>
      </w:r>
      <w:r>
        <w:rPr>
          <w:color w:val="231F20"/>
          <w:spacing w:val="-30"/>
          <w:w w:val="105"/>
        </w:rPr>
        <w:t> </w:t>
      </w:r>
      <w:r>
        <w:rPr>
          <w:color w:val="231F20"/>
          <w:w w:val="105"/>
        </w:rPr>
        <w:t>y</w:t>
      </w:r>
      <w:r>
        <w:rPr>
          <w:color w:val="231F20"/>
          <w:spacing w:val="-30"/>
          <w:w w:val="105"/>
        </w:rPr>
        <w:t> </w:t>
      </w:r>
      <w:r>
        <w:rPr>
          <w:color w:val="231F20"/>
          <w:w w:val="105"/>
        </w:rPr>
        <w:t>la</w:t>
      </w:r>
      <w:r>
        <w:rPr>
          <w:color w:val="231F20"/>
          <w:spacing w:val="-30"/>
          <w:w w:val="105"/>
        </w:rPr>
        <w:t> </w:t>
      </w:r>
      <w:r>
        <w:rPr>
          <w:color w:val="231F20"/>
          <w:spacing w:val="-3"/>
          <w:w w:val="105"/>
        </w:rPr>
        <w:t>agricultura</w:t>
      </w:r>
      <w:r>
        <w:rPr>
          <w:color w:val="231F20"/>
          <w:spacing w:val="-30"/>
          <w:w w:val="105"/>
        </w:rPr>
        <w:t> </w:t>
      </w:r>
      <w:r>
        <w:rPr>
          <w:color w:val="231F20"/>
          <w:spacing w:val="-3"/>
          <w:w w:val="105"/>
        </w:rPr>
        <w:t>como</w:t>
      </w:r>
      <w:r>
        <w:rPr>
          <w:color w:val="231F20"/>
          <w:spacing w:val="-30"/>
          <w:w w:val="105"/>
        </w:rPr>
        <w:t> </w:t>
      </w:r>
      <w:r>
        <w:rPr>
          <w:color w:val="231F20"/>
          <w:spacing w:val="-4"/>
          <w:w w:val="105"/>
        </w:rPr>
        <w:t>estrategias</w:t>
      </w:r>
      <w:r>
        <w:rPr>
          <w:color w:val="231F20"/>
          <w:spacing w:val="-30"/>
          <w:w w:val="105"/>
        </w:rPr>
        <w:t> </w:t>
      </w:r>
      <w:r>
        <w:rPr>
          <w:color w:val="231F20"/>
          <w:w w:val="105"/>
        </w:rPr>
        <w:t>de</w:t>
      </w:r>
      <w:r>
        <w:rPr>
          <w:color w:val="231F20"/>
          <w:spacing w:val="-30"/>
          <w:w w:val="105"/>
        </w:rPr>
        <w:t> </w:t>
      </w:r>
      <w:r>
        <w:rPr>
          <w:color w:val="231F20"/>
          <w:spacing w:val="-3"/>
          <w:w w:val="105"/>
        </w:rPr>
        <w:t>subsis- tencia</w:t>
      </w:r>
      <w:r>
        <w:rPr>
          <w:color w:val="231F20"/>
          <w:spacing w:val="-19"/>
          <w:w w:val="105"/>
        </w:rPr>
        <w:t> </w:t>
      </w:r>
      <w:r>
        <w:rPr>
          <w:color w:val="231F20"/>
          <w:spacing w:val="-3"/>
          <w:w w:val="105"/>
        </w:rPr>
        <w:t>campesina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pobladores</w:t>
      </w:r>
      <w:r>
        <w:rPr>
          <w:color w:val="231F20"/>
          <w:spacing w:val="-19"/>
          <w:w w:val="105"/>
        </w:rPr>
        <w:t> </w:t>
      </w:r>
      <w:r>
        <w:rPr>
          <w:color w:val="231F20"/>
          <w:w w:val="105"/>
        </w:rPr>
        <w:t>de</w:t>
      </w:r>
      <w:r>
        <w:rPr>
          <w:color w:val="231F20"/>
          <w:spacing w:val="-19"/>
          <w:w w:val="105"/>
        </w:rPr>
        <w:t> </w:t>
      </w:r>
      <w:r>
        <w:rPr>
          <w:color w:val="231F20"/>
          <w:spacing w:val="-3"/>
          <w:w w:val="105"/>
        </w:rPr>
        <w:t>Santiago,</w:t>
      </w:r>
      <w:r>
        <w:rPr>
          <w:color w:val="231F20"/>
          <w:spacing w:val="-25"/>
          <w:w w:val="105"/>
        </w:rPr>
        <w:t> </w:t>
      </w:r>
      <w:r>
        <w:rPr>
          <w:color w:val="231F20"/>
          <w:spacing w:val="-3"/>
          <w:w w:val="105"/>
        </w:rPr>
        <w:t>municipio</w:t>
      </w:r>
      <w:r>
        <w:rPr>
          <w:color w:val="231F20"/>
          <w:spacing w:val="-19"/>
          <w:w w:val="105"/>
        </w:rPr>
        <w:t> </w:t>
      </w:r>
      <w:r>
        <w:rPr>
          <w:color w:val="231F20"/>
          <w:w w:val="105"/>
        </w:rPr>
        <w:t>de</w:t>
      </w:r>
      <w:r>
        <w:rPr>
          <w:color w:val="231F20"/>
          <w:spacing w:val="-23"/>
          <w:w w:val="105"/>
        </w:rPr>
        <w:t> </w:t>
      </w:r>
      <w:r>
        <w:rPr>
          <w:color w:val="231F20"/>
          <w:spacing w:val="-4"/>
          <w:w w:val="105"/>
        </w:rPr>
        <w:t>Amatepec, </w:t>
      </w:r>
      <w:r>
        <w:rPr>
          <w:color w:val="231F20"/>
          <w:spacing w:val="-3"/>
          <w:w w:val="105"/>
        </w:rPr>
        <w:t>Estado</w:t>
      </w:r>
      <w:r>
        <w:rPr>
          <w:color w:val="231F20"/>
          <w:spacing w:val="-21"/>
          <w:w w:val="105"/>
        </w:rPr>
        <w:t> </w:t>
      </w:r>
      <w:r>
        <w:rPr>
          <w:color w:val="231F20"/>
          <w:w w:val="105"/>
        </w:rPr>
        <w:t>de</w:t>
      </w:r>
      <w:r>
        <w:rPr>
          <w:color w:val="231F20"/>
          <w:spacing w:val="-21"/>
          <w:w w:val="105"/>
        </w:rPr>
        <w:t> </w:t>
      </w:r>
      <w:r>
        <w:rPr>
          <w:color w:val="231F20"/>
          <w:spacing w:val="-3"/>
          <w:w w:val="105"/>
        </w:rPr>
        <w:t>México.</w:t>
      </w:r>
      <w:r>
        <w:rPr>
          <w:color w:val="231F20"/>
          <w:spacing w:val="-26"/>
          <w:w w:val="105"/>
        </w:rPr>
        <w:t> </w:t>
      </w:r>
      <w:r>
        <w:rPr>
          <w:color w:val="231F20"/>
          <w:w w:val="105"/>
        </w:rPr>
        <w:t>El</w:t>
      </w:r>
      <w:r>
        <w:rPr>
          <w:color w:val="231F20"/>
          <w:spacing w:val="-21"/>
          <w:w w:val="105"/>
        </w:rPr>
        <w:t> </w:t>
      </w:r>
      <w:r>
        <w:rPr>
          <w:color w:val="231F20"/>
          <w:spacing w:val="-3"/>
          <w:w w:val="105"/>
        </w:rPr>
        <w:t>estudio</w:t>
      </w:r>
      <w:r>
        <w:rPr>
          <w:color w:val="231F20"/>
          <w:spacing w:val="-21"/>
          <w:w w:val="105"/>
        </w:rPr>
        <w:t> </w:t>
      </w:r>
      <w:r>
        <w:rPr>
          <w:color w:val="231F20"/>
          <w:w w:val="105"/>
        </w:rPr>
        <w:t>se</w:t>
      </w:r>
      <w:r>
        <w:rPr>
          <w:color w:val="231F20"/>
          <w:spacing w:val="-21"/>
          <w:w w:val="105"/>
        </w:rPr>
        <w:t> </w:t>
      </w:r>
      <w:r>
        <w:rPr>
          <w:color w:val="231F20"/>
          <w:spacing w:val="-4"/>
          <w:w w:val="105"/>
        </w:rPr>
        <w:t>realizó</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spacing w:val="-3"/>
          <w:w w:val="105"/>
        </w:rPr>
        <w:t>localidad</w:t>
      </w:r>
      <w:r>
        <w:rPr>
          <w:color w:val="231F20"/>
          <w:spacing w:val="-21"/>
          <w:w w:val="105"/>
        </w:rPr>
        <w:t> </w:t>
      </w:r>
      <w:r>
        <w:rPr>
          <w:color w:val="231F20"/>
          <w:w w:val="105"/>
        </w:rPr>
        <w:t>de</w:t>
      </w:r>
      <w:r>
        <w:rPr>
          <w:color w:val="231F20"/>
          <w:spacing w:val="-21"/>
          <w:w w:val="105"/>
        </w:rPr>
        <w:t> </w:t>
      </w:r>
      <w:r>
        <w:rPr>
          <w:color w:val="231F20"/>
          <w:spacing w:val="-3"/>
          <w:w w:val="105"/>
        </w:rPr>
        <w:t>Santiago</w:t>
      </w:r>
      <w:r>
        <w:rPr>
          <w:color w:val="231F20"/>
          <w:spacing w:val="-21"/>
          <w:w w:val="105"/>
        </w:rPr>
        <w:t> </w:t>
      </w:r>
      <w:r>
        <w:rPr>
          <w:color w:val="231F20"/>
          <w:spacing w:val="-4"/>
          <w:w w:val="105"/>
        </w:rPr>
        <w:t>porque </w:t>
      </w:r>
      <w:r>
        <w:rPr>
          <w:color w:val="231F20"/>
          <w:w w:val="105"/>
        </w:rPr>
        <w:t>se</w:t>
      </w:r>
      <w:r>
        <w:rPr>
          <w:color w:val="231F20"/>
          <w:spacing w:val="-17"/>
          <w:w w:val="105"/>
        </w:rPr>
        <w:t> </w:t>
      </w:r>
      <w:r>
        <w:rPr>
          <w:color w:val="231F20"/>
          <w:spacing w:val="-3"/>
          <w:w w:val="105"/>
        </w:rPr>
        <w:t>encuentra</w:t>
      </w:r>
      <w:r>
        <w:rPr>
          <w:color w:val="231F20"/>
          <w:spacing w:val="-17"/>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spacing w:val="-3"/>
          <w:w w:val="105"/>
        </w:rPr>
        <w:t>territorio</w:t>
      </w:r>
      <w:r>
        <w:rPr>
          <w:color w:val="231F20"/>
          <w:spacing w:val="-17"/>
          <w:w w:val="105"/>
        </w:rPr>
        <w:t> </w:t>
      </w:r>
      <w:r>
        <w:rPr>
          <w:color w:val="231F20"/>
          <w:w w:val="105"/>
        </w:rPr>
        <w:t>de</w:t>
      </w:r>
      <w:r>
        <w:rPr>
          <w:color w:val="231F20"/>
          <w:spacing w:val="-17"/>
          <w:w w:val="105"/>
        </w:rPr>
        <w:t> </w:t>
      </w:r>
      <w:r>
        <w:rPr>
          <w:color w:val="231F20"/>
          <w:spacing w:val="-3"/>
          <w:w w:val="105"/>
        </w:rPr>
        <w:t>alta</w:t>
      </w:r>
      <w:r>
        <w:rPr>
          <w:color w:val="231F20"/>
          <w:spacing w:val="-17"/>
          <w:w w:val="105"/>
        </w:rPr>
        <w:t> </w:t>
      </w:r>
      <w:r>
        <w:rPr>
          <w:color w:val="231F20"/>
          <w:spacing w:val="-3"/>
          <w:w w:val="105"/>
        </w:rPr>
        <w:t>marginación,</w:t>
      </w:r>
      <w:r>
        <w:rPr>
          <w:color w:val="231F20"/>
          <w:spacing w:val="-23"/>
          <w:w w:val="105"/>
        </w:rPr>
        <w:t> </w:t>
      </w:r>
      <w:r>
        <w:rPr>
          <w:color w:val="231F20"/>
          <w:w w:val="105"/>
        </w:rPr>
        <w:t>con</w:t>
      </w:r>
      <w:r>
        <w:rPr>
          <w:color w:val="231F20"/>
          <w:spacing w:val="-17"/>
          <w:w w:val="105"/>
        </w:rPr>
        <w:t> </w:t>
      </w:r>
      <w:r>
        <w:rPr>
          <w:color w:val="231F20"/>
          <w:w w:val="105"/>
        </w:rPr>
        <w:t>una</w:t>
      </w:r>
      <w:r>
        <w:rPr>
          <w:color w:val="231F20"/>
          <w:spacing w:val="-17"/>
          <w:w w:val="105"/>
        </w:rPr>
        <w:t> </w:t>
      </w:r>
      <w:r>
        <w:rPr>
          <w:color w:val="231F20"/>
          <w:spacing w:val="-3"/>
          <w:w w:val="105"/>
        </w:rPr>
        <w:t>agricultura</w:t>
      </w:r>
      <w:r>
        <w:rPr>
          <w:color w:val="231F20"/>
          <w:spacing w:val="-17"/>
          <w:w w:val="105"/>
        </w:rPr>
        <w:t> </w:t>
      </w:r>
      <w:r>
        <w:rPr>
          <w:color w:val="231F20"/>
          <w:spacing w:val="-3"/>
          <w:w w:val="105"/>
        </w:rPr>
        <w:t>mai- cera </w:t>
      </w:r>
      <w:r>
        <w:rPr>
          <w:color w:val="231F20"/>
          <w:w w:val="105"/>
        </w:rPr>
        <w:t>de </w:t>
      </w:r>
      <w:r>
        <w:rPr>
          <w:color w:val="231F20"/>
          <w:spacing w:val="-3"/>
          <w:w w:val="105"/>
        </w:rPr>
        <w:t>subsistencia </w:t>
      </w:r>
      <w:r>
        <w:rPr>
          <w:color w:val="231F20"/>
          <w:w w:val="105"/>
        </w:rPr>
        <w:t>y </w:t>
      </w:r>
      <w:r>
        <w:rPr>
          <w:color w:val="231F20"/>
          <w:spacing w:val="-3"/>
          <w:w w:val="105"/>
        </w:rPr>
        <w:t>altos índices </w:t>
      </w:r>
      <w:r>
        <w:rPr>
          <w:color w:val="231F20"/>
          <w:w w:val="105"/>
        </w:rPr>
        <w:t>de </w:t>
      </w:r>
      <w:r>
        <w:rPr>
          <w:color w:val="231F20"/>
          <w:spacing w:val="-3"/>
          <w:w w:val="105"/>
        </w:rPr>
        <w:t>migración, principalmente </w:t>
      </w:r>
      <w:r>
        <w:rPr>
          <w:color w:val="231F20"/>
          <w:w w:val="105"/>
        </w:rPr>
        <w:t>a </w:t>
      </w:r>
      <w:r>
        <w:rPr>
          <w:color w:val="231F20"/>
          <w:spacing w:val="-3"/>
          <w:w w:val="105"/>
        </w:rPr>
        <w:t>Esta- </w:t>
      </w:r>
      <w:r>
        <w:rPr>
          <w:color w:val="231F20"/>
          <w:w w:val="105"/>
        </w:rPr>
        <w:t>dos</w:t>
      </w:r>
      <w:r>
        <w:rPr>
          <w:color w:val="231F20"/>
          <w:spacing w:val="-10"/>
          <w:w w:val="105"/>
        </w:rPr>
        <w:t> </w:t>
      </w:r>
      <w:r>
        <w:rPr>
          <w:color w:val="231F20"/>
          <w:spacing w:val="-3"/>
          <w:w w:val="105"/>
        </w:rPr>
        <w:t>Unidos.</w:t>
      </w:r>
      <w:r>
        <w:rPr>
          <w:color w:val="231F20"/>
          <w:spacing w:val="-15"/>
          <w:w w:val="105"/>
        </w:rPr>
        <w:t> </w:t>
      </w:r>
      <w:r>
        <w:rPr>
          <w:color w:val="231F20"/>
          <w:spacing w:val="-3"/>
          <w:w w:val="105"/>
        </w:rPr>
        <w:t>Esta</w:t>
      </w:r>
      <w:r>
        <w:rPr>
          <w:color w:val="231F20"/>
          <w:spacing w:val="-10"/>
          <w:w w:val="105"/>
        </w:rPr>
        <w:t> </w:t>
      </w:r>
      <w:r>
        <w:rPr>
          <w:color w:val="231F20"/>
          <w:spacing w:val="-3"/>
          <w:w w:val="105"/>
        </w:rPr>
        <w:t>combinación</w:t>
      </w:r>
      <w:r>
        <w:rPr>
          <w:color w:val="231F20"/>
          <w:spacing w:val="-10"/>
          <w:w w:val="105"/>
        </w:rPr>
        <w:t> </w:t>
      </w:r>
      <w:r>
        <w:rPr>
          <w:color w:val="231F20"/>
          <w:w w:val="105"/>
        </w:rPr>
        <w:t>de</w:t>
      </w:r>
      <w:r>
        <w:rPr>
          <w:color w:val="231F20"/>
          <w:spacing w:val="-10"/>
          <w:w w:val="105"/>
        </w:rPr>
        <w:t> </w:t>
      </w:r>
      <w:r>
        <w:rPr>
          <w:color w:val="231F20"/>
          <w:spacing w:val="-3"/>
          <w:w w:val="105"/>
        </w:rPr>
        <w:t>factores</w:t>
      </w:r>
      <w:r>
        <w:rPr>
          <w:color w:val="231F20"/>
          <w:spacing w:val="-10"/>
          <w:w w:val="105"/>
        </w:rPr>
        <w:t> </w:t>
      </w:r>
      <w:r>
        <w:rPr>
          <w:color w:val="231F20"/>
          <w:spacing w:val="-3"/>
          <w:w w:val="105"/>
        </w:rPr>
        <w:t>socioeconómicos</w:t>
      </w:r>
      <w:r>
        <w:rPr>
          <w:color w:val="231F20"/>
          <w:spacing w:val="-10"/>
          <w:w w:val="105"/>
        </w:rPr>
        <w:t> </w:t>
      </w:r>
      <w:r>
        <w:rPr>
          <w:color w:val="231F20"/>
          <w:w w:val="105"/>
        </w:rPr>
        <w:t>ha</w:t>
      </w:r>
      <w:r>
        <w:rPr>
          <w:color w:val="231F20"/>
          <w:spacing w:val="-10"/>
          <w:w w:val="105"/>
        </w:rPr>
        <w:t> </w:t>
      </w:r>
      <w:r>
        <w:rPr>
          <w:color w:val="231F20"/>
          <w:spacing w:val="-3"/>
          <w:w w:val="105"/>
        </w:rPr>
        <w:t>motivado </w:t>
      </w:r>
      <w:r>
        <w:rPr>
          <w:color w:val="231F20"/>
          <w:w w:val="105"/>
        </w:rPr>
        <w:t>un </w:t>
      </w:r>
      <w:r>
        <w:rPr>
          <w:color w:val="231F20"/>
          <w:spacing w:val="-3"/>
          <w:w w:val="105"/>
        </w:rPr>
        <w:t>interés heurístico </w:t>
      </w:r>
      <w:r>
        <w:rPr>
          <w:color w:val="231F20"/>
          <w:w w:val="105"/>
        </w:rPr>
        <w:t>por </w:t>
      </w:r>
      <w:r>
        <w:rPr>
          <w:color w:val="231F20"/>
          <w:spacing w:val="-3"/>
          <w:w w:val="105"/>
        </w:rPr>
        <w:t>indagar sobre </w:t>
      </w:r>
      <w:r>
        <w:rPr>
          <w:color w:val="231F20"/>
          <w:w w:val="105"/>
        </w:rPr>
        <w:t>las </w:t>
      </w:r>
      <w:r>
        <w:rPr>
          <w:color w:val="231F20"/>
          <w:spacing w:val="-3"/>
          <w:w w:val="105"/>
        </w:rPr>
        <w:t>relaciones entre </w:t>
      </w:r>
      <w:r>
        <w:rPr>
          <w:color w:val="231F20"/>
          <w:w w:val="105"/>
        </w:rPr>
        <w:t>el </w:t>
      </w:r>
      <w:r>
        <w:rPr>
          <w:color w:val="231F20"/>
          <w:spacing w:val="-3"/>
          <w:w w:val="105"/>
        </w:rPr>
        <w:t>fenómeno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3"/>
          <w:w w:val="105"/>
        </w:rPr>
        <w:t>migración,</w:t>
      </w:r>
      <w:r>
        <w:rPr>
          <w:color w:val="231F20"/>
          <w:spacing w:val="-31"/>
          <w:w w:val="105"/>
        </w:rPr>
        <w:t> </w:t>
      </w:r>
      <w:r>
        <w:rPr>
          <w:color w:val="231F20"/>
          <w:w w:val="105"/>
        </w:rPr>
        <w:t>la</w:t>
      </w:r>
      <w:r>
        <w:rPr>
          <w:color w:val="231F20"/>
          <w:spacing w:val="-26"/>
          <w:w w:val="105"/>
        </w:rPr>
        <w:t> </w:t>
      </w:r>
      <w:r>
        <w:rPr>
          <w:color w:val="231F20"/>
          <w:spacing w:val="-3"/>
          <w:w w:val="105"/>
        </w:rPr>
        <w:t>producción</w:t>
      </w:r>
      <w:r>
        <w:rPr>
          <w:color w:val="231F20"/>
          <w:spacing w:val="-26"/>
          <w:w w:val="105"/>
        </w:rPr>
        <w:t> </w:t>
      </w:r>
      <w:r>
        <w:rPr>
          <w:color w:val="231F20"/>
          <w:spacing w:val="-3"/>
          <w:w w:val="105"/>
        </w:rPr>
        <w:t>local</w:t>
      </w:r>
      <w:r>
        <w:rPr>
          <w:color w:val="231F20"/>
          <w:spacing w:val="-26"/>
          <w:w w:val="105"/>
        </w:rPr>
        <w:t> </w:t>
      </w:r>
      <w:r>
        <w:rPr>
          <w:color w:val="231F20"/>
          <w:w w:val="105"/>
        </w:rPr>
        <w:t>del</w:t>
      </w:r>
      <w:r>
        <w:rPr>
          <w:color w:val="231F20"/>
          <w:spacing w:val="-26"/>
          <w:w w:val="105"/>
        </w:rPr>
        <w:t> </w:t>
      </w:r>
      <w:r>
        <w:rPr>
          <w:color w:val="231F20"/>
          <w:spacing w:val="-3"/>
          <w:w w:val="105"/>
        </w:rPr>
        <w:t>maíz</w:t>
      </w:r>
      <w:r>
        <w:rPr>
          <w:color w:val="231F20"/>
          <w:spacing w:val="-26"/>
          <w:w w:val="105"/>
        </w:rPr>
        <w:t> </w:t>
      </w:r>
      <w:r>
        <w:rPr>
          <w:color w:val="231F20"/>
          <w:w w:val="105"/>
        </w:rPr>
        <w:t>y</w:t>
      </w:r>
      <w:r>
        <w:rPr>
          <w:color w:val="231F20"/>
          <w:spacing w:val="-26"/>
          <w:w w:val="105"/>
        </w:rPr>
        <w:t> </w:t>
      </w:r>
      <w:r>
        <w:rPr>
          <w:color w:val="231F20"/>
          <w:w w:val="105"/>
        </w:rPr>
        <w:t>las</w:t>
      </w:r>
      <w:r>
        <w:rPr>
          <w:color w:val="231F20"/>
          <w:spacing w:val="-26"/>
          <w:w w:val="105"/>
        </w:rPr>
        <w:t> </w:t>
      </w:r>
      <w:r>
        <w:rPr>
          <w:color w:val="231F20"/>
          <w:spacing w:val="-3"/>
          <w:w w:val="105"/>
        </w:rPr>
        <w:t>condiciones</w:t>
      </w:r>
      <w:r>
        <w:rPr>
          <w:color w:val="231F20"/>
          <w:spacing w:val="-26"/>
          <w:w w:val="105"/>
        </w:rPr>
        <w:t> </w:t>
      </w:r>
      <w:r>
        <w:rPr>
          <w:color w:val="231F20"/>
          <w:spacing w:val="-3"/>
          <w:w w:val="105"/>
        </w:rPr>
        <w:t>socioeconó- micas</w:t>
      </w:r>
      <w:r>
        <w:rPr>
          <w:color w:val="231F20"/>
          <w:spacing w:val="-14"/>
          <w:w w:val="105"/>
        </w:rPr>
        <w:t> </w:t>
      </w:r>
      <w:r>
        <w:rPr>
          <w:color w:val="231F20"/>
          <w:w w:val="105"/>
        </w:rPr>
        <w:t>que</w:t>
      </w:r>
      <w:r>
        <w:rPr>
          <w:color w:val="231F20"/>
          <w:spacing w:val="-14"/>
          <w:w w:val="105"/>
        </w:rPr>
        <w:t> </w:t>
      </w:r>
      <w:r>
        <w:rPr>
          <w:color w:val="231F20"/>
          <w:w w:val="105"/>
        </w:rPr>
        <w:t>han</w:t>
      </w:r>
      <w:r>
        <w:rPr>
          <w:color w:val="231F20"/>
          <w:spacing w:val="-14"/>
          <w:w w:val="105"/>
        </w:rPr>
        <w:t> </w:t>
      </w:r>
      <w:r>
        <w:rPr>
          <w:color w:val="231F20"/>
          <w:spacing w:val="-3"/>
          <w:w w:val="105"/>
        </w:rPr>
        <w:t>favorecido</w:t>
      </w:r>
      <w:r>
        <w:rPr>
          <w:color w:val="231F20"/>
          <w:spacing w:val="-14"/>
          <w:w w:val="105"/>
        </w:rPr>
        <w:t> </w:t>
      </w:r>
      <w:r>
        <w:rPr>
          <w:color w:val="231F20"/>
          <w:w w:val="105"/>
        </w:rPr>
        <w:t>la</w:t>
      </w:r>
      <w:r>
        <w:rPr>
          <w:color w:val="231F20"/>
          <w:spacing w:val="-14"/>
          <w:w w:val="105"/>
        </w:rPr>
        <w:t> </w:t>
      </w:r>
      <w:r>
        <w:rPr>
          <w:color w:val="231F20"/>
          <w:spacing w:val="-3"/>
          <w:w w:val="105"/>
        </w:rPr>
        <w:t>emigración</w:t>
      </w:r>
      <w:r>
        <w:rPr>
          <w:color w:val="231F20"/>
          <w:spacing w:val="-14"/>
          <w:w w:val="105"/>
        </w:rPr>
        <w:t> </w:t>
      </w:r>
      <w:r>
        <w:rPr>
          <w:color w:val="231F20"/>
          <w:spacing w:val="-3"/>
          <w:w w:val="105"/>
        </w:rPr>
        <w:t>rural</w:t>
      </w:r>
      <w:r>
        <w:rPr>
          <w:color w:val="231F20"/>
          <w:spacing w:val="-14"/>
          <w:w w:val="105"/>
        </w:rPr>
        <w:t> </w:t>
      </w:r>
      <w:r>
        <w:rPr>
          <w:color w:val="231F20"/>
          <w:w w:val="105"/>
        </w:rPr>
        <w:t>del</w:t>
      </w:r>
      <w:r>
        <w:rPr>
          <w:color w:val="231F20"/>
          <w:spacing w:val="-14"/>
          <w:w w:val="105"/>
        </w:rPr>
        <w:t> </w:t>
      </w:r>
      <w:r>
        <w:rPr>
          <w:color w:val="231F20"/>
          <w:spacing w:val="-3"/>
          <w:w w:val="105"/>
        </w:rPr>
        <w:t>lugar</w:t>
      </w:r>
      <w:r>
        <w:rPr>
          <w:color w:val="231F20"/>
          <w:spacing w:val="-14"/>
          <w:w w:val="105"/>
        </w:rPr>
        <w:t> </w:t>
      </w:r>
      <w:r>
        <w:rPr>
          <w:color w:val="231F20"/>
          <w:w w:val="105"/>
        </w:rPr>
        <w:t>de</w:t>
      </w:r>
      <w:r>
        <w:rPr>
          <w:color w:val="231F20"/>
          <w:spacing w:val="-14"/>
          <w:w w:val="105"/>
        </w:rPr>
        <w:t> </w:t>
      </w:r>
      <w:r>
        <w:rPr>
          <w:color w:val="231F20"/>
          <w:spacing w:val="-3"/>
          <w:w w:val="105"/>
        </w:rPr>
        <w:t>estudio.</w:t>
      </w:r>
    </w:p>
    <w:p>
      <w:pPr>
        <w:pStyle w:val="BodyText"/>
        <w:spacing w:line="261" w:lineRule="auto" w:before="1"/>
        <w:ind w:left="1837" w:right="1722" w:firstLine="567"/>
        <w:jc w:val="both"/>
      </w:pPr>
      <w:r>
        <w:rPr/>
        <w:pict>
          <v:line style="position:absolute;mso-position-horizontal-relative:page;mso-position-vertical-relative:paragraph;z-index:-488104" from="15pt,102.871483pt" to="0pt,102.871483pt" stroked="true" strokeweight=".25pt" strokecolor="#000000">
            <w10:wrap type="none"/>
          </v:line>
        </w:pict>
      </w:r>
      <w:r>
        <w:rPr/>
        <w:pict>
          <v:line style="position:absolute;mso-position-horizontal-relative:page;mso-position-vertical-relative:paragraph;z-index:2104" from="508.890015pt,102.871483pt" to="523.890015pt,102.871483pt" stroked="true" strokeweight=".25pt" strokecolor="#000000">
            <w10:wrap type="none"/>
          </v:line>
        </w:pict>
      </w:r>
      <w:r>
        <w:rPr>
          <w:color w:val="231F20"/>
          <w:w w:val="105"/>
        </w:rPr>
        <w:t>Se busca analizar la relación entre la migración internacional y la agricultura y ganadería como estrategias de subsistencia de las unida-</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2152" from="15pt,-71.68644pt" to="0pt,-71.68644pt" stroked="true" strokeweight=".25pt" strokecolor="#000000">
            <w10:wrap type="none"/>
          </v:line>
        </w:pict>
      </w:r>
      <w:r>
        <w:rPr/>
        <w:pict>
          <v:line style="position:absolute;mso-position-horizontal-relative:page;mso-position-vertical-relative:paragraph;z-index:2176" from="508.890015pt,-71.68644pt" to="523.890015pt,-71.68644pt" stroked="true" strokeweight=".25pt" strokecolor="#000000">
            <w10:wrap type="none"/>
          </v:line>
        </w:pict>
      </w:r>
      <w:r>
        <w:rPr>
          <w:color w:val="231F20"/>
          <w:w w:val="105"/>
        </w:rPr>
        <w:t>des</w:t>
      </w:r>
      <w:r>
        <w:rPr>
          <w:color w:val="231F20"/>
          <w:spacing w:val="-8"/>
          <w:w w:val="105"/>
        </w:rPr>
        <w:t> </w:t>
      </w:r>
      <w:r>
        <w:rPr>
          <w:color w:val="231F20"/>
          <w:w w:val="105"/>
        </w:rPr>
        <w:t>domésticas</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localidad</w:t>
      </w:r>
      <w:r>
        <w:rPr>
          <w:color w:val="231F20"/>
          <w:spacing w:val="-8"/>
          <w:w w:val="105"/>
        </w:rPr>
        <w:t> </w:t>
      </w:r>
      <w:r>
        <w:rPr>
          <w:color w:val="231F20"/>
          <w:w w:val="105"/>
        </w:rPr>
        <w:t>de</w:t>
      </w:r>
      <w:r>
        <w:rPr>
          <w:color w:val="231F20"/>
          <w:spacing w:val="-8"/>
          <w:w w:val="105"/>
        </w:rPr>
        <w:t> </w:t>
      </w:r>
      <w:r>
        <w:rPr>
          <w:color w:val="231F20"/>
          <w:w w:val="105"/>
        </w:rPr>
        <w:t>Santiago</w:t>
      </w:r>
      <w:r>
        <w:rPr>
          <w:color w:val="231F20"/>
          <w:spacing w:val="-8"/>
          <w:w w:val="105"/>
        </w:rPr>
        <w:t> </w:t>
      </w:r>
      <w:r>
        <w:rPr>
          <w:color w:val="231F20"/>
          <w:w w:val="105"/>
        </w:rPr>
        <w:t>del</w:t>
      </w:r>
      <w:r>
        <w:rPr>
          <w:color w:val="231F20"/>
          <w:spacing w:val="-8"/>
          <w:w w:val="105"/>
        </w:rPr>
        <w:t> </w:t>
      </w:r>
      <w:r>
        <w:rPr>
          <w:color w:val="231F20"/>
          <w:w w:val="105"/>
        </w:rPr>
        <w:t>municipio</w:t>
      </w:r>
      <w:r>
        <w:rPr>
          <w:color w:val="231F20"/>
          <w:spacing w:val="-8"/>
          <w:w w:val="105"/>
        </w:rPr>
        <w:t> </w:t>
      </w:r>
      <w:r>
        <w:rPr>
          <w:color w:val="231F20"/>
          <w:w w:val="105"/>
        </w:rPr>
        <w:t>de</w:t>
      </w:r>
      <w:r>
        <w:rPr>
          <w:color w:val="231F20"/>
          <w:spacing w:val="-12"/>
          <w:w w:val="105"/>
        </w:rPr>
        <w:t> </w:t>
      </w:r>
      <w:r>
        <w:rPr>
          <w:color w:val="231F20"/>
          <w:w w:val="105"/>
        </w:rPr>
        <w:t>Amatepec. Mediante una metodología que triangula herramientas de investigación cuantitativa y cualitativa se discuten las posturas histórico-estructural y funcionalista</w:t>
      </w:r>
      <w:r>
        <w:rPr>
          <w:color w:val="231F20"/>
          <w:spacing w:val="-8"/>
          <w:w w:val="105"/>
        </w:rPr>
        <w:t> </w:t>
      </w:r>
      <w:r>
        <w:rPr>
          <w:color w:val="231F20"/>
          <w:w w:val="105"/>
        </w:rPr>
        <w:t>sobre</w:t>
      </w:r>
      <w:r>
        <w:rPr>
          <w:color w:val="231F20"/>
          <w:spacing w:val="-8"/>
          <w:w w:val="105"/>
        </w:rPr>
        <w:t> </w:t>
      </w:r>
      <w:r>
        <w:rPr>
          <w:color w:val="231F20"/>
          <w:w w:val="105"/>
        </w:rPr>
        <w:t>el</w:t>
      </w:r>
      <w:r>
        <w:rPr>
          <w:color w:val="231F20"/>
          <w:spacing w:val="-8"/>
          <w:w w:val="105"/>
        </w:rPr>
        <w:t> </w:t>
      </w:r>
      <w:r>
        <w:rPr>
          <w:color w:val="231F20"/>
          <w:w w:val="105"/>
        </w:rPr>
        <w:t>debate</w:t>
      </w:r>
      <w:r>
        <w:rPr>
          <w:color w:val="231F20"/>
          <w:spacing w:val="-8"/>
          <w:w w:val="105"/>
        </w:rPr>
        <w:t> </w:t>
      </w:r>
      <w:r>
        <w:rPr>
          <w:color w:val="231F20"/>
          <w:w w:val="105"/>
        </w:rPr>
        <w:t>migración</w:t>
      </w:r>
      <w:r>
        <w:rPr>
          <w:color w:val="231F20"/>
          <w:spacing w:val="-8"/>
          <w:w w:val="105"/>
        </w:rPr>
        <w:t> </w:t>
      </w:r>
      <w:r>
        <w:rPr>
          <w:color w:val="231F20"/>
          <w:w w:val="105"/>
        </w:rPr>
        <w:t>y</w:t>
      </w:r>
      <w:r>
        <w:rPr>
          <w:color w:val="231F20"/>
          <w:spacing w:val="-8"/>
          <w:w w:val="105"/>
        </w:rPr>
        <w:t> </w:t>
      </w:r>
      <w:r>
        <w:rPr>
          <w:color w:val="231F20"/>
          <w:w w:val="105"/>
        </w:rPr>
        <w:t>desarrollo.</w:t>
      </w:r>
      <w:r>
        <w:rPr>
          <w:color w:val="231F20"/>
          <w:spacing w:val="-14"/>
          <w:w w:val="105"/>
        </w:rPr>
        <w:t> </w:t>
      </w:r>
      <w:r>
        <w:rPr>
          <w:color w:val="231F20"/>
          <w:w w:val="105"/>
        </w:rPr>
        <w:t>Los</w:t>
      </w:r>
      <w:r>
        <w:rPr>
          <w:color w:val="231F20"/>
          <w:spacing w:val="-8"/>
          <w:w w:val="105"/>
        </w:rPr>
        <w:t> </w:t>
      </w:r>
      <w:r>
        <w:rPr>
          <w:color w:val="231F20"/>
          <w:w w:val="105"/>
        </w:rPr>
        <w:t>principales</w:t>
      </w:r>
      <w:r>
        <w:rPr>
          <w:color w:val="231F20"/>
          <w:spacing w:val="-8"/>
          <w:w w:val="105"/>
        </w:rPr>
        <w:t> </w:t>
      </w:r>
      <w:r>
        <w:rPr>
          <w:color w:val="231F20"/>
          <w:w w:val="105"/>
        </w:rPr>
        <w:t>ha- llazgos del capítulo señalan que en la comunidad de estudio no existe evidencia de que la migración y las remesas incidan positivamente en una</w:t>
      </w:r>
      <w:r>
        <w:rPr>
          <w:color w:val="231F20"/>
          <w:spacing w:val="-11"/>
          <w:w w:val="105"/>
        </w:rPr>
        <w:t> </w:t>
      </w:r>
      <w:r>
        <w:rPr>
          <w:color w:val="231F20"/>
          <w:w w:val="105"/>
        </w:rPr>
        <w:t>mayor</w:t>
      </w:r>
      <w:r>
        <w:rPr>
          <w:color w:val="231F20"/>
          <w:spacing w:val="-11"/>
          <w:w w:val="105"/>
        </w:rPr>
        <w:t> </w:t>
      </w:r>
      <w:r>
        <w:rPr>
          <w:color w:val="231F20"/>
          <w:w w:val="105"/>
        </w:rPr>
        <w:t>productividad</w:t>
      </w:r>
      <w:r>
        <w:rPr>
          <w:color w:val="231F20"/>
          <w:spacing w:val="-11"/>
          <w:w w:val="105"/>
        </w:rPr>
        <w:t> </w:t>
      </w:r>
      <w:r>
        <w:rPr>
          <w:color w:val="231F20"/>
          <w:w w:val="105"/>
        </w:rPr>
        <w:t>agrícola</w:t>
      </w:r>
      <w:r>
        <w:rPr>
          <w:color w:val="231F20"/>
          <w:spacing w:val="-11"/>
          <w:w w:val="105"/>
        </w:rPr>
        <w:t> </w:t>
      </w:r>
      <w:r>
        <w:rPr>
          <w:color w:val="231F20"/>
          <w:w w:val="105"/>
        </w:rPr>
        <w:t>y</w:t>
      </w:r>
      <w:r>
        <w:rPr>
          <w:color w:val="231F20"/>
          <w:spacing w:val="-11"/>
          <w:w w:val="105"/>
        </w:rPr>
        <w:t> </w:t>
      </w:r>
      <w:r>
        <w:rPr>
          <w:color w:val="231F20"/>
          <w:w w:val="105"/>
        </w:rPr>
        <w:t>ganadera</w:t>
      </w:r>
      <w:r>
        <w:rPr>
          <w:color w:val="231F20"/>
          <w:spacing w:val="-11"/>
          <w:w w:val="105"/>
        </w:rPr>
        <w:t> </w:t>
      </w:r>
      <w:r>
        <w:rPr>
          <w:color w:val="231F20"/>
          <w:w w:val="105"/>
        </w:rPr>
        <w:t>local.</w:t>
      </w:r>
    </w:p>
    <w:p>
      <w:pPr>
        <w:pStyle w:val="BodyText"/>
        <w:spacing w:line="261" w:lineRule="auto"/>
        <w:ind w:left="1723" w:right="1834" w:firstLine="567"/>
        <w:jc w:val="both"/>
      </w:pPr>
      <w:r>
        <w:rPr>
          <w:color w:val="231F20"/>
          <w:w w:val="105"/>
        </w:rPr>
        <w:t>Finalmente la sección </w:t>
      </w:r>
      <w:r>
        <w:rPr>
          <w:rFonts w:ascii="Arial" w:hAnsi="Arial"/>
          <w:color w:val="231F20"/>
          <w:w w:val="105"/>
        </w:rPr>
        <w:t>Comunicación y emociones en contextos transnacionales</w:t>
      </w:r>
      <w:r>
        <w:rPr>
          <w:rFonts w:ascii="Arial" w:hAnsi="Arial"/>
          <w:color w:val="231F20"/>
          <w:spacing w:val="-21"/>
          <w:w w:val="105"/>
        </w:rPr>
        <w:t> </w:t>
      </w:r>
      <w:r>
        <w:rPr>
          <w:color w:val="231F20"/>
          <w:w w:val="105"/>
        </w:rPr>
        <w:t>resalta</w:t>
      </w:r>
      <w:r>
        <w:rPr>
          <w:color w:val="231F20"/>
          <w:spacing w:val="-19"/>
          <w:w w:val="105"/>
        </w:rPr>
        <w:t> </w:t>
      </w:r>
      <w:r>
        <w:rPr>
          <w:color w:val="231F20"/>
          <w:w w:val="105"/>
        </w:rPr>
        <w:t>la</w:t>
      </w:r>
      <w:r>
        <w:rPr>
          <w:color w:val="231F20"/>
          <w:spacing w:val="-19"/>
          <w:w w:val="105"/>
        </w:rPr>
        <w:t> </w:t>
      </w:r>
      <w:r>
        <w:rPr>
          <w:color w:val="231F20"/>
          <w:w w:val="105"/>
        </w:rPr>
        <w:t>dimensión</w:t>
      </w:r>
      <w:r>
        <w:rPr>
          <w:color w:val="231F20"/>
          <w:spacing w:val="-19"/>
          <w:w w:val="105"/>
        </w:rPr>
        <w:t> </w:t>
      </w:r>
      <w:r>
        <w:rPr>
          <w:color w:val="231F20"/>
          <w:w w:val="105"/>
        </w:rPr>
        <w:t>emocional</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sujetos</w:t>
      </w:r>
      <w:r>
        <w:rPr>
          <w:color w:val="231F20"/>
          <w:spacing w:val="-19"/>
          <w:w w:val="105"/>
        </w:rPr>
        <w:t> </w:t>
      </w:r>
      <w:r>
        <w:rPr>
          <w:color w:val="231F20"/>
          <w:w w:val="105"/>
        </w:rPr>
        <w:t>migrantes y</w:t>
      </w:r>
      <w:r>
        <w:rPr>
          <w:color w:val="231F20"/>
          <w:spacing w:val="-6"/>
          <w:w w:val="105"/>
        </w:rPr>
        <w:t> </w:t>
      </w:r>
      <w:r>
        <w:rPr>
          <w:color w:val="231F20"/>
          <w:w w:val="105"/>
        </w:rPr>
        <w:t>los</w:t>
      </w:r>
      <w:r>
        <w:rPr>
          <w:color w:val="231F20"/>
          <w:spacing w:val="-6"/>
          <w:w w:val="105"/>
        </w:rPr>
        <w:t> </w:t>
      </w:r>
      <w:r>
        <w:rPr>
          <w:color w:val="231F20"/>
          <w:w w:val="105"/>
        </w:rPr>
        <w:t>procesos</w:t>
      </w:r>
      <w:r>
        <w:rPr>
          <w:color w:val="231F20"/>
          <w:spacing w:val="-6"/>
          <w:w w:val="105"/>
        </w:rPr>
        <w:t> </w:t>
      </w:r>
      <w:r>
        <w:rPr>
          <w:color w:val="231F20"/>
          <w:w w:val="105"/>
        </w:rPr>
        <w:t>de</w:t>
      </w:r>
      <w:r>
        <w:rPr>
          <w:color w:val="231F20"/>
          <w:spacing w:val="-6"/>
          <w:w w:val="105"/>
        </w:rPr>
        <w:t> </w:t>
      </w:r>
      <w:r>
        <w:rPr>
          <w:color w:val="231F20"/>
          <w:w w:val="105"/>
        </w:rPr>
        <w:t>comunicación</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cuales</w:t>
      </w:r>
      <w:r>
        <w:rPr>
          <w:color w:val="231F20"/>
          <w:spacing w:val="-6"/>
          <w:w w:val="105"/>
        </w:rPr>
        <w:t> </w:t>
      </w:r>
      <w:r>
        <w:rPr>
          <w:color w:val="231F20"/>
          <w:w w:val="105"/>
        </w:rPr>
        <w:t>se</w:t>
      </w:r>
      <w:r>
        <w:rPr>
          <w:color w:val="231F20"/>
          <w:spacing w:val="-6"/>
          <w:w w:val="105"/>
        </w:rPr>
        <w:t> </w:t>
      </w:r>
      <w:r>
        <w:rPr>
          <w:color w:val="231F20"/>
          <w:w w:val="105"/>
        </w:rPr>
        <w:t>valen</w:t>
      </w:r>
      <w:r>
        <w:rPr>
          <w:color w:val="231F20"/>
          <w:spacing w:val="-6"/>
          <w:w w:val="105"/>
        </w:rPr>
        <w:t> </w:t>
      </w:r>
      <w:r>
        <w:rPr>
          <w:color w:val="231F20"/>
          <w:w w:val="105"/>
        </w:rPr>
        <w:t>para</w:t>
      </w:r>
      <w:r>
        <w:rPr>
          <w:color w:val="231F20"/>
          <w:spacing w:val="-6"/>
          <w:w w:val="105"/>
        </w:rPr>
        <w:t> </w:t>
      </w:r>
      <w:r>
        <w:rPr>
          <w:color w:val="231F20"/>
          <w:w w:val="105"/>
        </w:rPr>
        <w:t>conectarse entre</w:t>
      </w:r>
      <w:r>
        <w:rPr>
          <w:color w:val="231F20"/>
          <w:spacing w:val="-9"/>
          <w:w w:val="105"/>
        </w:rPr>
        <w:t> </w:t>
      </w:r>
      <w:r>
        <w:rPr>
          <w:color w:val="231F20"/>
          <w:w w:val="105"/>
        </w:rPr>
        <w:t>ellos,</w:t>
      </w:r>
      <w:r>
        <w:rPr>
          <w:color w:val="231F20"/>
          <w:spacing w:val="-14"/>
          <w:w w:val="105"/>
        </w:rPr>
        <w:t> </w:t>
      </w:r>
      <w:r>
        <w:rPr>
          <w:color w:val="231F20"/>
          <w:w w:val="105"/>
        </w:rPr>
        <w:t>sus</w:t>
      </w:r>
      <w:r>
        <w:rPr>
          <w:color w:val="231F20"/>
          <w:spacing w:val="-8"/>
          <w:w w:val="105"/>
        </w:rPr>
        <w:t> </w:t>
      </w:r>
      <w:r>
        <w:rPr>
          <w:color w:val="231F20"/>
          <w:w w:val="105"/>
        </w:rPr>
        <w:t>familiares</w:t>
      </w:r>
      <w:r>
        <w:rPr>
          <w:color w:val="231F20"/>
          <w:spacing w:val="-9"/>
          <w:w w:val="105"/>
        </w:rPr>
        <w:t> </w:t>
      </w:r>
      <w:r>
        <w:rPr>
          <w:color w:val="231F20"/>
          <w:w w:val="105"/>
        </w:rPr>
        <w:t>y</w:t>
      </w:r>
      <w:r>
        <w:rPr>
          <w:color w:val="231F20"/>
          <w:spacing w:val="-8"/>
          <w:w w:val="105"/>
        </w:rPr>
        <w:t> </w:t>
      </w:r>
      <w:r>
        <w:rPr>
          <w:color w:val="231F20"/>
          <w:w w:val="105"/>
        </w:rPr>
        <w:t>amigos.</w:t>
      </w:r>
      <w:r>
        <w:rPr>
          <w:color w:val="231F20"/>
          <w:spacing w:val="-17"/>
          <w:w w:val="105"/>
        </w:rPr>
        <w:t> </w:t>
      </w:r>
      <w:r>
        <w:rPr>
          <w:color w:val="231F20"/>
          <w:w w:val="105"/>
        </w:rPr>
        <w:t>Así</w:t>
      </w:r>
      <w:r>
        <w:rPr>
          <w:color w:val="231F20"/>
          <w:spacing w:val="-9"/>
          <w:w w:val="105"/>
        </w:rPr>
        <w:t> </w:t>
      </w:r>
      <w:r>
        <w:rPr>
          <w:color w:val="231F20"/>
          <w:w w:val="105"/>
        </w:rPr>
        <w:t>el</w:t>
      </w:r>
      <w:r>
        <w:rPr>
          <w:color w:val="231F20"/>
          <w:spacing w:val="-8"/>
          <w:w w:val="105"/>
        </w:rPr>
        <w:t> </w:t>
      </w:r>
      <w:r>
        <w:rPr>
          <w:color w:val="231F20"/>
          <w:w w:val="105"/>
        </w:rPr>
        <w:t>capítulo</w:t>
      </w:r>
      <w:r>
        <w:rPr>
          <w:color w:val="231F20"/>
          <w:spacing w:val="-8"/>
          <w:w w:val="105"/>
        </w:rPr>
        <w:t> </w:t>
      </w:r>
      <w:r>
        <w:rPr>
          <w:color w:val="231F20"/>
          <w:w w:val="105"/>
        </w:rPr>
        <w:t>catorce,</w:t>
      </w:r>
      <w:r>
        <w:rPr>
          <w:color w:val="231F20"/>
          <w:spacing w:val="-14"/>
          <w:w w:val="105"/>
        </w:rPr>
        <w:t> </w:t>
      </w:r>
      <w:r>
        <w:rPr>
          <w:color w:val="231F20"/>
          <w:w w:val="105"/>
        </w:rPr>
        <w:t>“Maintaining transnationalism:</w:t>
      </w:r>
      <w:r>
        <w:rPr>
          <w:color w:val="231F20"/>
          <w:spacing w:val="-37"/>
          <w:w w:val="105"/>
        </w:rPr>
        <w:t> </w:t>
      </w:r>
      <w:r>
        <w:rPr>
          <w:color w:val="231F20"/>
          <w:w w:val="105"/>
        </w:rPr>
        <w:t>The</w:t>
      </w:r>
      <w:r>
        <w:rPr>
          <w:color w:val="231F20"/>
          <w:spacing w:val="-33"/>
          <w:w w:val="105"/>
        </w:rPr>
        <w:t> </w:t>
      </w:r>
      <w:r>
        <w:rPr>
          <w:color w:val="231F20"/>
          <w:w w:val="105"/>
        </w:rPr>
        <w:t>role</w:t>
      </w:r>
      <w:r>
        <w:rPr>
          <w:color w:val="231F20"/>
          <w:spacing w:val="-33"/>
          <w:w w:val="105"/>
        </w:rPr>
        <w:t> </w:t>
      </w:r>
      <w:r>
        <w:rPr>
          <w:color w:val="231F20"/>
          <w:w w:val="105"/>
        </w:rPr>
        <w:t>of</w:t>
      </w:r>
      <w:r>
        <w:rPr>
          <w:color w:val="231F20"/>
          <w:spacing w:val="-30"/>
          <w:w w:val="105"/>
        </w:rPr>
        <w:t> </w:t>
      </w:r>
      <w:r>
        <w:rPr>
          <w:color w:val="231F20"/>
          <w:w w:val="105"/>
        </w:rPr>
        <w:t>digital</w:t>
      </w:r>
      <w:r>
        <w:rPr>
          <w:color w:val="231F20"/>
          <w:spacing w:val="-33"/>
          <w:w w:val="105"/>
        </w:rPr>
        <w:t> </w:t>
      </w:r>
      <w:r>
        <w:rPr>
          <w:color w:val="231F20"/>
          <w:w w:val="105"/>
        </w:rPr>
        <w:t>communication</w:t>
      </w:r>
      <w:r>
        <w:rPr>
          <w:color w:val="231F20"/>
          <w:spacing w:val="-33"/>
          <w:w w:val="105"/>
        </w:rPr>
        <w:t> </w:t>
      </w:r>
      <w:r>
        <w:rPr>
          <w:color w:val="231F20"/>
          <w:w w:val="105"/>
        </w:rPr>
        <w:t>among</w:t>
      </w:r>
      <w:r>
        <w:rPr>
          <w:color w:val="231F20"/>
          <w:spacing w:val="-33"/>
          <w:w w:val="105"/>
        </w:rPr>
        <w:t> </w:t>
      </w:r>
      <w:r>
        <w:rPr>
          <w:color w:val="231F20"/>
          <w:w w:val="105"/>
        </w:rPr>
        <w:t>US-born</w:t>
      </w:r>
      <w:r>
        <w:rPr>
          <w:color w:val="231F20"/>
          <w:spacing w:val="-33"/>
          <w:w w:val="105"/>
        </w:rPr>
        <w:t> </w:t>
      </w:r>
      <w:r>
        <w:rPr>
          <w:color w:val="231F20"/>
          <w:w w:val="105"/>
        </w:rPr>
        <w:t>Mexi- cans”</w:t>
      </w:r>
      <w:r>
        <w:rPr>
          <w:rFonts w:ascii="Arial" w:hAnsi="Arial"/>
          <w:i/>
          <w:color w:val="231F20"/>
          <w:w w:val="105"/>
        </w:rPr>
        <w:t>,</w:t>
      </w:r>
      <w:r>
        <w:rPr>
          <w:rFonts w:ascii="Arial" w:hAnsi="Arial"/>
          <w:i/>
          <w:color w:val="231F20"/>
          <w:spacing w:val="-13"/>
          <w:w w:val="105"/>
        </w:rPr>
        <w:t> </w:t>
      </w:r>
      <w:r>
        <w:rPr>
          <w:color w:val="231F20"/>
          <w:w w:val="105"/>
        </w:rPr>
        <w:t>propuesto</w:t>
      </w:r>
      <w:r>
        <w:rPr>
          <w:color w:val="231F20"/>
          <w:spacing w:val="-10"/>
          <w:w w:val="105"/>
        </w:rPr>
        <w:t> </w:t>
      </w:r>
      <w:r>
        <w:rPr>
          <w:color w:val="231F20"/>
          <w:w w:val="105"/>
        </w:rPr>
        <w:t>por</w:t>
      </w:r>
      <w:r>
        <w:rPr>
          <w:color w:val="231F20"/>
          <w:spacing w:val="-10"/>
          <w:w w:val="105"/>
        </w:rPr>
        <w:t> </w:t>
      </w:r>
      <w:r>
        <w:rPr>
          <w:color w:val="231F20"/>
          <w:w w:val="105"/>
        </w:rPr>
        <w:t>Martha</w:t>
      </w:r>
      <w:r>
        <w:rPr>
          <w:color w:val="231F20"/>
          <w:spacing w:val="-10"/>
          <w:w w:val="105"/>
        </w:rPr>
        <w:t> </w:t>
      </w:r>
      <w:r>
        <w:rPr>
          <w:color w:val="231F20"/>
          <w:w w:val="105"/>
        </w:rPr>
        <w:t>Sidury</w:t>
      </w:r>
      <w:r>
        <w:rPr>
          <w:color w:val="231F20"/>
          <w:spacing w:val="-10"/>
          <w:w w:val="105"/>
        </w:rPr>
        <w:t> </w:t>
      </w:r>
      <w:r>
        <w:rPr>
          <w:color w:val="231F20"/>
          <w:w w:val="105"/>
        </w:rPr>
        <w:t>Christiansen,</w:t>
      </w:r>
      <w:r>
        <w:rPr>
          <w:color w:val="231F20"/>
          <w:spacing w:val="-16"/>
          <w:w w:val="105"/>
        </w:rPr>
        <w:t> </w:t>
      </w:r>
      <w:r>
        <w:rPr>
          <w:color w:val="231F20"/>
          <w:w w:val="105"/>
        </w:rPr>
        <w:t>plantea</w:t>
      </w:r>
      <w:r>
        <w:rPr>
          <w:color w:val="231F20"/>
          <w:spacing w:val="-10"/>
          <w:w w:val="105"/>
        </w:rPr>
        <w:t> </w:t>
      </w:r>
      <w:r>
        <w:rPr>
          <w:color w:val="231F20"/>
          <w:w w:val="105"/>
        </w:rPr>
        <w:t>como</w:t>
      </w:r>
      <w:r>
        <w:rPr>
          <w:color w:val="231F20"/>
          <w:spacing w:val="-10"/>
          <w:w w:val="105"/>
        </w:rPr>
        <w:t> </w:t>
      </w:r>
      <w:r>
        <w:rPr>
          <w:color w:val="231F20"/>
          <w:w w:val="105"/>
        </w:rPr>
        <w:t>objetivo demostrar cómo las prácticas de comunicación digitales han cambiado la forma en que los individuos construyen el transnacionalismo. </w:t>
      </w:r>
      <w:r>
        <w:rPr>
          <w:color w:val="231F20"/>
          <w:spacing w:val="-6"/>
          <w:w w:val="105"/>
        </w:rPr>
        <w:t>Por </w:t>
      </w:r>
      <w:r>
        <w:rPr>
          <w:color w:val="231F20"/>
          <w:w w:val="105"/>
        </w:rPr>
        <w:t>lo tanto, se advierte un cambio de paradigma de cómo se interpreta y en- tiende, porque la comunicación digital ha hecho posible que todos los miembros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red</w:t>
      </w:r>
      <w:r>
        <w:rPr>
          <w:color w:val="231F20"/>
          <w:spacing w:val="-17"/>
          <w:w w:val="105"/>
        </w:rPr>
        <w:t> </w:t>
      </w:r>
      <w:r>
        <w:rPr>
          <w:color w:val="231F20"/>
          <w:w w:val="105"/>
        </w:rPr>
        <w:t>se</w:t>
      </w:r>
      <w:r>
        <w:rPr>
          <w:color w:val="231F20"/>
          <w:spacing w:val="-17"/>
          <w:w w:val="105"/>
        </w:rPr>
        <w:t> </w:t>
      </w:r>
      <w:r>
        <w:rPr>
          <w:color w:val="231F20"/>
          <w:w w:val="105"/>
        </w:rPr>
        <w:t>conecten</w:t>
      </w:r>
      <w:r>
        <w:rPr>
          <w:color w:val="231F20"/>
          <w:spacing w:val="-17"/>
          <w:w w:val="105"/>
        </w:rPr>
        <w:t> </w:t>
      </w:r>
      <w:r>
        <w:rPr>
          <w:color w:val="231F20"/>
          <w:w w:val="105"/>
        </w:rPr>
        <w:t>y</w:t>
      </w:r>
      <w:r>
        <w:rPr>
          <w:color w:val="231F20"/>
          <w:spacing w:val="-17"/>
          <w:w w:val="105"/>
        </w:rPr>
        <w:t> </w:t>
      </w:r>
      <w:r>
        <w:rPr>
          <w:color w:val="231F20"/>
          <w:w w:val="105"/>
        </w:rPr>
        <w:t>acoplen</w:t>
      </w:r>
      <w:r>
        <w:rPr>
          <w:color w:val="231F20"/>
          <w:spacing w:val="-17"/>
          <w:w w:val="105"/>
        </w:rPr>
        <w:t> </w:t>
      </w:r>
      <w:r>
        <w:rPr>
          <w:color w:val="231F20"/>
          <w:w w:val="105"/>
        </w:rPr>
        <w:t>entre</w:t>
      </w:r>
      <w:r>
        <w:rPr>
          <w:color w:val="231F20"/>
          <w:spacing w:val="-17"/>
          <w:w w:val="105"/>
        </w:rPr>
        <w:t> </w:t>
      </w:r>
      <w:r>
        <w:rPr>
          <w:color w:val="231F20"/>
          <w:w w:val="105"/>
        </w:rPr>
        <w:t>sí,</w:t>
      </w:r>
      <w:r>
        <w:rPr>
          <w:color w:val="231F20"/>
          <w:spacing w:val="-23"/>
          <w:w w:val="105"/>
        </w:rPr>
        <w:t> </w:t>
      </w:r>
      <w:r>
        <w:rPr>
          <w:color w:val="231F20"/>
          <w:w w:val="105"/>
        </w:rPr>
        <w:t>sin</w:t>
      </w:r>
      <w:r>
        <w:rPr>
          <w:color w:val="231F20"/>
          <w:spacing w:val="-17"/>
          <w:w w:val="105"/>
        </w:rPr>
        <w:t> </w:t>
      </w:r>
      <w:r>
        <w:rPr>
          <w:color w:val="231F20"/>
          <w:w w:val="105"/>
        </w:rPr>
        <w:t>tener</w:t>
      </w:r>
      <w:r>
        <w:rPr>
          <w:color w:val="231F20"/>
          <w:spacing w:val="-17"/>
          <w:w w:val="105"/>
        </w:rPr>
        <w:t> </w:t>
      </w:r>
      <w:r>
        <w:rPr>
          <w:color w:val="231F20"/>
          <w:w w:val="105"/>
        </w:rPr>
        <w:t>que</w:t>
      </w:r>
      <w:r>
        <w:rPr>
          <w:color w:val="231F20"/>
          <w:spacing w:val="-17"/>
          <w:w w:val="105"/>
        </w:rPr>
        <w:t> </w:t>
      </w:r>
      <w:r>
        <w:rPr>
          <w:color w:val="231F20"/>
          <w:w w:val="105"/>
        </w:rPr>
        <w:t>estar</w:t>
      </w:r>
      <w:r>
        <w:rPr>
          <w:color w:val="231F20"/>
          <w:spacing w:val="-17"/>
          <w:w w:val="105"/>
        </w:rPr>
        <w:t> </w:t>
      </w:r>
      <w:r>
        <w:rPr>
          <w:color w:val="231F20"/>
          <w:w w:val="105"/>
        </w:rPr>
        <w:t>en el mismo</w:t>
      </w:r>
      <w:r>
        <w:rPr>
          <w:color w:val="231F20"/>
          <w:spacing w:val="-33"/>
          <w:w w:val="105"/>
        </w:rPr>
        <w:t> </w:t>
      </w:r>
      <w:r>
        <w:rPr>
          <w:color w:val="231F20"/>
          <w:w w:val="105"/>
        </w:rPr>
        <w:t>lugar.</w:t>
      </w:r>
    </w:p>
    <w:p>
      <w:pPr>
        <w:pStyle w:val="BodyText"/>
        <w:spacing w:line="261" w:lineRule="auto" w:before="1"/>
        <w:ind w:left="1723" w:right="1834" w:firstLine="567"/>
        <w:jc w:val="both"/>
      </w:pPr>
      <w:r>
        <w:rPr>
          <w:color w:val="231F20"/>
        </w:rPr>
        <w:t>En este estudio de tipo etnográfico se argumenta que el transna- cionalismo ahora debe ser considerado a la luz del uso, cada vez más ubicuo, de la comunicación digital, especialmente a través de sitios de redes sociales en línea en los que se ha vuelto más relevante. El propó- sito de este estudio fue analizar los patrones de comunicación de una   red transnacional mexicana bilingüe que vive en Michoacán y Chicago, y tiene vínculos transnacionales de todas las variedades y grados. El aná- lisis se centró en las prácticas discursivas que cada miembro tiene entre sí, a través de medios digitales en línea, sitios de redes sociales como Facebook que facilitan y refuerzan una identidad transnacional. Los resul- tados sugieren que los participantes lo utilizan para construir el discurso con una serie de propósitos, incluyendo: a) la planificación; reuniendo en línea de forma espontánea, b) el mantenimiento de las conexiones, y c)    el cumplimiento de los roles familiares a pesar de tener limitaciones de tiempo  y</w:t>
      </w:r>
      <w:r>
        <w:rPr>
          <w:color w:val="231F20"/>
          <w:spacing w:val="1"/>
        </w:rPr>
        <w:t> </w:t>
      </w:r>
      <w:r>
        <w:rPr>
          <w:color w:val="231F20"/>
        </w:rPr>
        <w:t>espacio.</w:t>
      </w:r>
    </w:p>
    <w:p>
      <w:pPr>
        <w:pStyle w:val="BodyText"/>
        <w:spacing w:line="261" w:lineRule="auto" w:before="1"/>
        <w:ind w:left="1723" w:right="1828" w:firstLine="567"/>
        <w:jc w:val="both"/>
      </w:pPr>
      <w:r>
        <w:rPr>
          <w:color w:val="231F20"/>
          <w:w w:val="105"/>
        </w:rPr>
        <w:t>El</w:t>
      </w:r>
      <w:r>
        <w:rPr>
          <w:color w:val="231F20"/>
          <w:spacing w:val="-6"/>
          <w:w w:val="105"/>
        </w:rPr>
        <w:t> </w:t>
      </w:r>
      <w:r>
        <w:rPr>
          <w:color w:val="231F20"/>
          <w:w w:val="105"/>
        </w:rPr>
        <w:t>capítulo</w:t>
      </w:r>
      <w:r>
        <w:rPr>
          <w:color w:val="231F20"/>
          <w:spacing w:val="-6"/>
          <w:w w:val="105"/>
        </w:rPr>
        <w:t> </w:t>
      </w:r>
      <w:r>
        <w:rPr>
          <w:color w:val="231F20"/>
          <w:w w:val="105"/>
        </w:rPr>
        <w:t>quince,</w:t>
      </w:r>
      <w:r>
        <w:rPr>
          <w:color w:val="231F20"/>
          <w:spacing w:val="-11"/>
          <w:w w:val="105"/>
        </w:rPr>
        <w:t> </w:t>
      </w:r>
      <w:r>
        <w:rPr>
          <w:color w:val="231F20"/>
          <w:w w:val="105"/>
        </w:rPr>
        <w:t>denominado</w:t>
      </w:r>
      <w:r>
        <w:rPr>
          <w:color w:val="231F20"/>
          <w:spacing w:val="-6"/>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no</w:t>
      </w:r>
      <w:r>
        <w:rPr>
          <w:color w:val="231F20"/>
          <w:spacing w:val="-4"/>
          <w:w w:val="105"/>
        </w:rPr>
        <w:t> </w:t>
      </w:r>
      <w:r>
        <w:rPr>
          <w:color w:val="231F20"/>
          <w:w w:val="105"/>
        </w:rPr>
        <w:t>se</w:t>
      </w:r>
      <w:r>
        <w:rPr>
          <w:color w:val="231F20"/>
          <w:spacing w:val="-4"/>
          <w:w w:val="105"/>
        </w:rPr>
        <w:t> </w:t>
      </w:r>
      <w:r>
        <w:rPr>
          <w:color w:val="231F20"/>
          <w:w w:val="105"/>
        </w:rPr>
        <w:t>fue</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veliz</w:t>
      </w:r>
      <w:r>
        <w:rPr>
          <w:color w:val="231F20"/>
          <w:spacing w:val="-4"/>
          <w:w w:val="105"/>
        </w:rPr>
        <w:t> </w:t>
      </w:r>
      <w:r>
        <w:rPr>
          <w:color w:val="231F20"/>
          <w:w w:val="105"/>
        </w:rPr>
        <w:t>azul. Relato</w:t>
      </w:r>
      <w:r>
        <w:rPr>
          <w:color w:val="231F20"/>
          <w:spacing w:val="-11"/>
          <w:w w:val="105"/>
        </w:rPr>
        <w:t> </w:t>
      </w:r>
      <w:r>
        <w:rPr>
          <w:color w:val="231F20"/>
          <w:w w:val="105"/>
        </w:rPr>
        <w:t>de</w:t>
      </w:r>
      <w:r>
        <w:rPr>
          <w:color w:val="231F20"/>
          <w:spacing w:val="-11"/>
          <w:w w:val="105"/>
        </w:rPr>
        <w:t> </w:t>
      </w:r>
      <w:r>
        <w:rPr>
          <w:color w:val="231F20"/>
          <w:w w:val="105"/>
        </w:rPr>
        <w:t>vida</w:t>
      </w:r>
      <w:r>
        <w:rPr>
          <w:color w:val="231F20"/>
          <w:spacing w:val="-11"/>
          <w:w w:val="105"/>
        </w:rPr>
        <w:t> </w:t>
      </w:r>
      <w:r>
        <w:rPr>
          <w:color w:val="231F20"/>
          <w:w w:val="105"/>
        </w:rPr>
        <w:t>de</w:t>
      </w:r>
      <w:r>
        <w:rPr>
          <w:color w:val="231F20"/>
          <w:spacing w:val="-11"/>
          <w:w w:val="105"/>
        </w:rPr>
        <w:t> </w:t>
      </w:r>
      <w:r>
        <w:rPr>
          <w:color w:val="231F20"/>
          <w:w w:val="105"/>
        </w:rPr>
        <w:t>Rafael,</w:t>
      </w:r>
      <w:r>
        <w:rPr>
          <w:color w:val="231F20"/>
          <w:spacing w:val="-17"/>
          <w:w w:val="105"/>
        </w:rPr>
        <w:t> </w:t>
      </w:r>
      <w:r>
        <w:rPr>
          <w:color w:val="231F20"/>
          <w:w w:val="105"/>
        </w:rPr>
        <w:t>un</w:t>
      </w:r>
      <w:r>
        <w:rPr>
          <w:color w:val="231F20"/>
          <w:spacing w:val="-11"/>
          <w:w w:val="105"/>
        </w:rPr>
        <w:t> </w:t>
      </w:r>
      <w:r>
        <w:rPr>
          <w:color w:val="231F20"/>
          <w:w w:val="105"/>
        </w:rPr>
        <w:t>migrante</w:t>
      </w:r>
      <w:r>
        <w:rPr>
          <w:color w:val="231F20"/>
          <w:spacing w:val="-11"/>
          <w:w w:val="105"/>
        </w:rPr>
        <w:t> </w:t>
      </w:r>
      <w:r>
        <w:rPr>
          <w:color w:val="231F20"/>
          <w:w w:val="105"/>
        </w:rPr>
        <w:t>tonatiquense”</w:t>
      </w:r>
      <w:r>
        <w:rPr>
          <w:rFonts w:ascii="Arial" w:hAnsi="Arial"/>
          <w:i/>
          <w:color w:val="231F20"/>
          <w:w w:val="105"/>
        </w:rPr>
        <w:t>,</w:t>
      </w:r>
      <w:r>
        <w:rPr>
          <w:rFonts w:ascii="Arial" w:hAnsi="Arial"/>
          <w:i/>
          <w:color w:val="231F20"/>
          <w:spacing w:val="-21"/>
          <w:w w:val="105"/>
        </w:rPr>
        <w:t> </w:t>
      </w:r>
      <w:r>
        <w:rPr>
          <w:color w:val="231F20"/>
          <w:w w:val="105"/>
        </w:rPr>
        <w:t>del</w:t>
      </w:r>
      <w:r>
        <w:rPr>
          <w:color w:val="231F20"/>
          <w:spacing w:val="-13"/>
          <w:w w:val="105"/>
        </w:rPr>
        <w:t> </w:t>
      </w:r>
      <w:r>
        <w:rPr>
          <w:color w:val="231F20"/>
          <w:w w:val="105"/>
        </w:rPr>
        <w:t>autor</w:t>
      </w:r>
      <w:r>
        <w:rPr>
          <w:color w:val="231F20"/>
          <w:spacing w:val="-17"/>
          <w:w w:val="105"/>
        </w:rPr>
        <w:t> </w:t>
      </w:r>
      <w:r>
        <w:rPr>
          <w:color w:val="231F20"/>
          <w:spacing w:val="-3"/>
          <w:w w:val="105"/>
        </w:rPr>
        <w:t>Alejandro </w:t>
      </w:r>
      <w:r>
        <w:rPr>
          <w:color w:val="231F20"/>
          <w:w w:val="105"/>
        </w:rPr>
        <w:t>Zarur</w:t>
      </w:r>
      <w:r>
        <w:rPr>
          <w:color w:val="231F20"/>
          <w:spacing w:val="-25"/>
          <w:w w:val="105"/>
        </w:rPr>
        <w:t> </w:t>
      </w:r>
      <w:r>
        <w:rPr>
          <w:color w:val="231F20"/>
          <w:w w:val="105"/>
        </w:rPr>
        <w:t>Osorio,</w:t>
      </w:r>
      <w:r>
        <w:rPr>
          <w:color w:val="231F20"/>
          <w:spacing w:val="-29"/>
          <w:w w:val="105"/>
        </w:rPr>
        <w:t> </w:t>
      </w:r>
      <w:r>
        <w:rPr>
          <w:color w:val="231F20"/>
          <w:w w:val="105"/>
        </w:rPr>
        <w:t>a</w:t>
      </w:r>
      <w:r>
        <w:rPr>
          <w:color w:val="231F20"/>
          <w:spacing w:val="-25"/>
          <w:w w:val="105"/>
        </w:rPr>
        <w:t> </w:t>
      </w:r>
      <w:r>
        <w:rPr>
          <w:color w:val="231F20"/>
          <w:spacing w:val="-2"/>
          <w:w w:val="105"/>
        </w:rPr>
        <w:t>través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3"/>
          <w:w w:val="105"/>
        </w:rPr>
        <w:t>narrativa</w:t>
      </w:r>
      <w:r>
        <w:rPr>
          <w:color w:val="231F20"/>
          <w:spacing w:val="-25"/>
          <w:w w:val="105"/>
        </w:rPr>
        <w:t> </w:t>
      </w:r>
      <w:r>
        <w:rPr>
          <w:color w:val="231F20"/>
          <w:w w:val="105"/>
        </w:rPr>
        <w:t>de</w:t>
      </w:r>
      <w:r>
        <w:rPr>
          <w:color w:val="231F20"/>
          <w:spacing w:val="-25"/>
          <w:w w:val="105"/>
        </w:rPr>
        <w:t> </w:t>
      </w:r>
      <w:r>
        <w:rPr>
          <w:color w:val="231F20"/>
          <w:w w:val="105"/>
        </w:rPr>
        <w:t>un</w:t>
      </w:r>
      <w:r>
        <w:rPr>
          <w:color w:val="231F20"/>
          <w:spacing w:val="-25"/>
          <w:w w:val="105"/>
        </w:rPr>
        <w:t> </w:t>
      </w:r>
      <w:r>
        <w:rPr>
          <w:color w:val="231F20"/>
          <w:w w:val="105"/>
        </w:rPr>
        <w:t>migrante</w:t>
      </w:r>
      <w:r>
        <w:rPr>
          <w:color w:val="231F20"/>
          <w:spacing w:val="-25"/>
          <w:w w:val="105"/>
        </w:rPr>
        <w:t> </w:t>
      </w:r>
      <w:r>
        <w:rPr>
          <w:color w:val="231F20"/>
          <w:w w:val="105"/>
        </w:rPr>
        <w:t>mexiquense</w:t>
      </w:r>
      <w:r>
        <w:rPr>
          <w:color w:val="231F20"/>
          <w:spacing w:val="-25"/>
          <w:w w:val="105"/>
        </w:rPr>
        <w:t> </w:t>
      </w:r>
      <w:r>
        <w:rPr>
          <w:color w:val="231F20"/>
          <w:w w:val="105"/>
        </w:rPr>
        <w:t>con</w:t>
      </w:r>
      <w:r>
        <w:rPr>
          <w:color w:val="231F20"/>
          <w:spacing w:val="-25"/>
          <w:w w:val="105"/>
        </w:rPr>
        <w:t> </w:t>
      </w:r>
      <w:r>
        <w:rPr>
          <w:color w:val="231F20"/>
          <w:w w:val="105"/>
        </w:rPr>
        <w:t>am- plia</w:t>
      </w:r>
      <w:r>
        <w:rPr>
          <w:color w:val="231F20"/>
          <w:spacing w:val="-19"/>
          <w:w w:val="105"/>
        </w:rPr>
        <w:t> </w:t>
      </w:r>
      <w:r>
        <w:rPr>
          <w:color w:val="231F20"/>
          <w:w w:val="105"/>
        </w:rPr>
        <w:t>experiencia</w:t>
      </w:r>
      <w:r>
        <w:rPr>
          <w:color w:val="231F20"/>
          <w:spacing w:val="-19"/>
          <w:w w:val="105"/>
        </w:rPr>
        <w:t> </w:t>
      </w:r>
      <w:r>
        <w:rPr>
          <w:color w:val="231F20"/>
          <w:spacing w:val="-3"/>
          <w:w w:val="105"/>
        </w:rPr>
        <w:t>migratoria</w:t>
      </w:r>
      <w:r>
        <w:rPr>
          <w:color w:val="231F20"/>
          <w:spacing w:val="-19"/>
          <w:w w:val="105"/>
        </w:rPr>
        <w:t> </w:t>
      </w:r>
      <w:r>
        <w:rPr>
          <w:color w:val="231F20"/>
          <w:w w:val="105"/>
        </w:rPr>
        <w:t>nos</w:t>
      </w:r>
      <w:r>
        <w:rPr>
          <w:color w:val="231F20"/>
          <w:spacing w:val="-19"/>
          <w:w w:val="105"/>
        </w:rPr>
        <w:t> </w:t>
      </w:r>
      <w:r>
        <w:rPr>
          <w:color w:val="231F20"/>
          <w:spacing w:val="-3"/>
          <w:w w:val="105"/>
        </w:rPr>
        <w:t>remite</w:t>
      </w:r>
      <w:r>
        <w:rPr>
          <w:color w:val="231F20"/>
          <w:spacing w:val="-19"/>
          <w:w w:val="105"/>
        </w:rPr>
        <w:t> </w:t>
      </w:r>
      <w:r>
        <w:rPr>
          <w:color w:val="231F20"/>
          <w:w w:val="105"/>
        </w:rPr>
        <w:t>a</w:t>
      </w:r>
      <w:r>
        <w:rPr>
          <w:color w:val="231F20"/>
          <w:spacing w:val="-23"/>
          <w:w w:val="105"/>
        </w:rPr>
        <w:t> </w:t>
      </w:r>
      <w:r>
        <w:rPr>
          <w:color w:val="231F20"/>
          <w:spacing w:val="-5"/>
          <w:w w:val="105"/>
        </w:rPr>
        <w:t>Tonatico,</w:t>
      </w:r>
      <w:r>
        <w:rPr>
          <w:color w:val="231F20"/>
          <w:spacing w:val="-24"/>
          <w:w w:val="105"/>
        </w:rPr>
        <w:t> </w:t>
      </w:r>
      <w:r>
        <w:rPr>
          <w:color w:val="231F20"/>
          <w:w w:val="105"/>
        </w:rPr>
        <w:t>Estado</w:t>
      </w:r>
      <w:r>
        <w:rPr>
          <w:color w:val="231F20"/>
          <w:spacing w:val="-19"/>
          <w:w w:val="105"/>
        </w:rPr>
        <w:t> </w:t>
      </w:r>
      <w:r>
        <w:rPr>
          <w:color w:val="231F20"/>
          <w:w w:val="105"/>
        </w:rPr>
        <w:t>de</w:t>
      </w:r>
      <w:r>
        <w:rPr>
          <w:color w:val="231F20"/>
          <w:spacing w:val="-19"/>
          <w:w w:val="105"/>
        </w:rPr>
        <w:t> </w:t>
      </w:r>
      <w:r>
        <w:rPr>
          <w:color w:val="231F20"/>
          <w:spacing w:val="-3"/>
          <w:w w:val="105"/>
        </w:rPr>
        <w:t>México.</w:t>
      </w:r>
    </w:p>
    <w:p>
      <w:pPr>
        <w:pStyle w:val="BodyText"/>
        <w:spacing w:line="261" w:lineRule="auto" w:before="1"/>
        <w:ind w:left="1723" w:right="1834"/>
        <w:jc w:val="both"/>
      </w:pPr>
      <w:r>
        <w:rPr>
          <w:color w:val="231F20"/>
        </w:rPr>
        <w:t>El capítulo nos deja como enseñanza que hay que tener presente que en el relato de los migrantes se destaca la singularidad, la originalidad, la memoria y la lucidez, y que éstas, de acuerdo con el autor, no dependen de las formalidades investigativas, sino de la historia y las rupturas que</w:t>
      </w:r>
    </w:p>
    <w:p>
      <w:pPr>
        <w:pStyle w:val="BodyText"/>
        <w:rPr>
          <w:sz w:val="20"/>
        </w:rPr>
      </w:pPr>
    </w:p>
    <w:p>
      <w:pPr>
        <w:pStyle w:val="BodyText"/>
        <w:rPr>
          <w:sz w:val="20"/>
        </w:rPr>
      </w:pPr>
    </w:p>
    <w:p>
      <w:pPr>
        <w:pStyle w:val="BodyText"/>
        <w:spacing w:before="5"/>
        <w:rPr>
          <w:sz w:val="28"/>
        </w:rPr>
      </w:pPr>
    </w:p>
    <w:p>
      <w:pPr>
        <w:spacing w:before="59"/>
        <w:ind w:left="1887" w:right="6753" w:firstLine="0"/>
        <w:jc w:val="left"/>
        <w:rPr>
          <w:rFonts w:ascii="Arial"/>
          <w:sz w:val="20"/>
        </w:rPr>
      </w:pPr>
      <w:r>
        <w:rPr/>
        <w:pict>
          <v:line style="position:absolute;mso-position-horizontal-relative:page;mso-position-vertical-relative:paragraph;z-index:2128" from="131.551193pt,2.329881pt" to="131.551193pt,38.13228pt" stroked="true" strokeweight=".35pt" strokecolor="#231f20">
            <w10:wrap type="none"/>
          </v:line>
        </w:pict>
      </w:r>
      <w:r>
        <w:rPr/>
        <w:pict>
          <v:line style="position:absolute;mso-position-horizontal-relative:page;mso-position-vertical-relative:paragraph;z-index:-487984" from="15pt,38.13208pt" to="0pt,38.13208pt" stroked="true" strokeweight=".25pt" strokecolor="#000000">
            <w10:wrap type="none"/>
          </v:line>
        </w:pict>
      </w:r>
      <w:r>
        <w:rPr/>
        <w:pict>
          <v:line style="position:absolute;mso-position-horizontal-relative:page;mso-position-vertical-relative:paragraph;z-index:2224" from="508.890015pt,38.13208pt" to="523.890015pt,38.13208pt" stroked="true" strokeweight=".25pt" strokecolor="#000000">
            <w10:wrap type="none"/>
          </v:line>
        </w:pict>
      </w:r>
      <w:r>
        <w:rPr>
          <w:rFonts w:ascii="Arial"/>
          <w:color w:val="414042"/>
          <w:sz w:val="20"/>
        </w:rPr>
        <w:t>20</w:t>
      </w:r>
    </w:p>
    <w:p>
      <w:pPr>
        <w:spacing w:after="0"/>
        <w:jc w:val="left"/>
        <w:rPr>
          <w:rFonts w:ascii="Arial"/>
          <w:sz w:val="20"/>
        </w:rPr>
        <w:sectPr>
          <w:pgSz w:w="10480" w:h="14730"/>
          <w:pgMar w:header="0" w:footer="103" w:top="300" w:bottom="300" w:left="0" w:right="0"/>
        </w:sectPr>
      </w:pPr>
    </w:p>
    <w:p>
      <w:pPr>
        <w:pStyle w:val="BodyText"/>
        <w:rPr>
          <w:rFonts w:ascii="Arial"/>
          <w:sz w:val="20"/>
        </w:rPr>
      </w:pPr>
    </w:p>
    <w:p>
      <w:pPr>
        <w:pStyle w:val="BodyText"/>
        <w:rPr>
          <w:rFonts w:ascii="Arial"/>
          <w:sz w:val="20"/>
        </w:rPr>
      </w:pPr>
    </w:p>
    <w:p>
      <w:pPr>
        <w:tabs>
          <w:tab w:pos="1578" w:val="right" w:leader="none"/>
        </w:tabs>
        <w:spacing w:before="221"/>
        <w:ind w:left="1516" w:right="1839" w:firstLine="0"/>
        <w:jc w:val="right"/>
        <w:rPr>
          <w:rFonts w:ascii="Arial" w:hAnsi="Arial"/>
          <w:sz w:val="20"/>
        </w:rPr>
      </w:pPr>
      <w:r>
        <w:rPr/>
        <w:pict>
          <v:line style="position:absolute;mso-position-horizontal-relative:page;mso-position-vertical-relative:paragraph;z-index:-487936" from="405.061005pt,-17.151169pt" to="405.061005pt,17.714705pt" stroked="true" strokeweight=".35pt" strokecolor="#231f20">
            <w10:wrap type="none"/>
          </v:line>
        </w:pict>
      </w:r>
      <w:r>
        <w:rPr/>
        <w:pict>
          <v:line style="position:absolute;mso-position-horizontal-relative:page;mso-position-vertical-relative:paragraph;z-index:2272" from="15pt,-17.151396pt" to="0pt,-17.151396pt" stroked="true" strokeweight=".25pt" strokecolor="#000000">
            <w10:wrap type="none"/>
          </v:line>
        </w:pict>
      </w:r>
      <w:r>
        <w:rPr/>
        <w:pict>
          <v:line style="position:absolute;mso-position-horizontal-relative:page;mso-position-vertical-relative:paragraph;z-index:2296" from="508.890015pt,-17.151396pt" to="523.890015pt,-17.151396pt" stroked="true" strokeweight=".25pt" strokecolor="#000000">
            <w10:wrap type="none"/>
          </v:line>
        </w:pict>
      </w:r>
      <w:r>
        <w:rPr>
          <w:rFonts w:ascii="Calibri" w:hAnsi="Calibri"/>
          <w:color w:val="6D6E71"/>
          <w:sz w:val="14"/>
        </w:rPr>
        <w:t>INTRODUCCIÓN</w:t>
      </w:r>
      <w:r>
        <w:rPr>
          <w:rFonts w:ascii="Arial" w:hAnsi="Arial"/>
          <w:color w:val="414042"/>
          <w:position w:val="-3"/>
          <w:sz w:val="20"/>
        </w:rPr>
        <w:tab/>
        <w:t>21</w:t>
      </w:r>
    </w:p>
    <w:p>
      <w:pPr>
        <w:pStyle w:val="BodyText"/>
        <w:rPr>
          <w:rFonts w:ascii="Arial"/>
          <w:sz w:val="20"/>
        </w:rPr>
      </w:pPr>
    </w:p>
    <w:p>
      <w:pPr>
        <w:pStyle w:val="BodyText"/>
        <w:rPr>
          <w:rFonts w:ascii="Arial"/>
          <w:sz w:val="20"/>
        </w:rPr>
      </w:pPr>
    </w:p>
    <w:p>
      <w:pPr>
        <w:pStyle w:val="BodyText"/>
        <w:spacing w:line="261" w:lineRule="auto" w:before="137"/>
        <w:ind w:left="1837" w:right="1721"/>
        <w:jc w:val="both"/>
      </w:pPr>
      <w:r>
        <w:rPr>
          <w:color w:val="231F20"/>
          <w:w w:val="105"/>
        </w:rPr>
        <w:t>vienen</w:t>
      </w:r>
      <w:r>
        <w:rPr>
          <w:color w:val="231F20"/>
          <w:spacing w:val="-16"/>
          <w:w w:val="105"/>
        </w:rPr>
        <w:t> </w:t>
      </w:r>
      <w:r>
        <w:rPr>
          <w:color w:val="231F20"/>
          <w:w w:val="105"/>
        </w:rPr>
        <w:t>de</w:t>
      </w:r>
      <w:r>
        <w:rPr>
          <w:color w:val="231F20"/>
          <w:spacing w:val="-16"/>
          <w:w w:val="105"/>
        </w:rPr>
        <w:t> </w:t>
      </w:r>
      <w:r>
        <w:rPr>
          <w:color w:val="231F20"/>
          <w:w w:val="105"/>
        </w:rPr>
        <w:t>lo</w:t>
      </w:r>
      <w:r>
        <w:rPr>
          <w:color w:val="231F20"/>
          <w:spacing w:val="-16"/>
          <w:w w:val="105"/>
        </w:rPr>
        <w:t> </w:t>
      </w:r>
      <w:r>
        <w:rPr>
          <w:color w:val="231F20"/>
          <w:w w:val="105"/>
        </w:rPr>
        <w:t>particular,</w:t>
      </w:r>
      <w:r>
        <w:rPr>
          <w:color w:val="231F20"/>
          <w:spacing w:val="-22"/>
          <w:w w:val="105"/>
        </w:rPr>
        <w:t> </w:t>
      </w:r>
      <w:r>
        <w:rPr>
          <w:color w:val="231F20"/>
          <w:w w:val="105"/>
        </w:rPr>
        <w:t>de</w:t>
      </w:r>
      <w:r>
        <w:rPr>
          <w:color w:val="231F20"/>
          <w:spacing w:val="-16"/>
          <w:w w:val="105"/>
        </w:rPr>
        <w:t> </w:t>
      </w:r>
      <w:r>
        <w:rPr>
          <w:color w:val="231F20"/>
          <w:w w:val="105"/>
        </w:rPr>
        <w:t>lo</w:t>
      </w:r>
      <w:r>
        <w:rPr>
          <w:color w:val="231F20"/>
          <w:spacing w:val="-16"/>
          <w:w w:val="105"/>
        </w:rPr>
        <w:t> </w:t>
      </w:r>
      <w:r>
        <w:rPr>
          <w:color w:val="231F20"/>
          <w:w w:val="105"/>
        </w:rPr>
        <w:t>único</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lo</w:t>
      </w:r>
      <w:r>
        <w:rPr>
          <w:color w:val="231F20"/>
          <w:spacing w:val="-16"/>
          <w:w w:val="105"/>
        </w:rPr>
        <w:t> </w:t>
      </w:r>
      <w:r>
        <w:rPr>
          <w:color w:val="231F20"/>
          <w:w w:val="105"/>
        </w:rPr>
        <w:t>finito,</w:t>
      </w:r>
      <w:r>
        <w:rPr>
          <w:color w:val="231F20"/>
          <w:spacing w:val="-22"/>
          <w:w w:val="105"/>
        </w:rPr>
        <w:t> </w:t>
      </w:r>
      <w:r>
        <w:rPr>
          <w:color w:val="231F20"/>
          <w:w w:val="105"/>
        </w:rPr>
        <w:t>ya</w:t>
      </w:r>
      <w:r>
        <w:rPr>
          <w:color w:val="231F20"/>
          <w:spacing w:val="-16"/>
          <w:w w:val="105"/>
        </w:rPr>
        <w:t> </w:t>
      </w:r>
      <w:r>
        <w:rPr>
          <w:color w:val="231F20"/>
          <w:w w:val="105"/>
        </w:rPr>
        <w:t>que</w:t>
      </w:r>
      <w:r>
        <w:rPr>
          <w:color w:val="231F20"/>
          <w:spacing w:val="-16"/>
          <w:w w:val="105"/>
        </w:rPr>
        <w:t> </w:t>
      </w:r>
      <w:r>
        <w:rPr>
          <w:color w:val="231F20"/>
          <w:w w:val="105"/>
        </w:rPr>
        <w:t>tienen</w:t>
      </w:r>
      <w:r>
        <w:rPr>
          <w:color w:val="231F20"/>
          <w:spacing w:val="-16"/>
          <w:w w:val="105"/>
        </w:rPr>
        <w:t> </w:t>
      </w:r>
      <w:r>
        <w:rPr>
          <w:color w:val="231F20"/>
          <w:w w:val="105"/>
        </w:rPr>
        <w:t>un</w:t>
      </w:r>
      <w:r>
        <w:rPr>
          <w:color w:val="231F20"/>
          <w:spacing w:val="-16"/>
          <w:w w:val="105"/>
        </w:rPr>
        <w:t> </w:t>
      </w:r>
      <w:r>
        <w:rPr>
          <w:color w:val="231F20"/>
          <w:w w:val="105"/>
        </w:rPr>
        <w:t>lugar</w:t>
      </w:r>
      <w:r>
        <w:rPr>
          <w:color w:val="231F20"/>
          <w:spacing w:val="-16"/>
          <w:w w:val="105"/>
        </w:rPr>
        <w:t> </w:t>
      </w:r>
      <w:r>
        <w:rPr>
          <w:color w:val="231F20"/>
          <w:w w:val="105"/>
        </w:rPr>
        <w:t>en lo común, en lo colectivo y en lo socialmente trascendente. Cabe men- cionar que en este capítulo se enfatiza la migración internacional como experiencia</w:t>
      </w:r>
      <w:r>
        <w:rPr>
          <w:color w:val="231F20"/>
          <w:spacing w:val="-10"/>
          <w:w w:val="105"/>
        </w:rPr>
        <w:t> </w:t>
      </w:r>
      <w:r>
        <w:rPr>
          <w:color w:val="231F20"/>
          <w:w w:val="105"/>
        </w:rPr>
        <w:t>colectiva</w:t>
      </w:r>
      <w:r>
        <w:rPr>
          <w:color w:val="231F20"/>
          <w:spacing w:val="-10"/>
          <w:w w:val="105"/>
        </w:rPr>
        <w:t> </w:t>
      </w:r>
      <w:r>
        <w:rPr>
          <w:color w:val="231F20"/>
          <w:w w:val="105"/>
        </w:rPr>
        <w:t>e</w:t>
      </w:r>
      <w:r>
        <w:rPr>
          <w:color w:val="231F20"/>
          <w:spacing w:val="-10"/>
          <w:w w:val="105"/>
        </w:rPr>
        <w:t> </w:t>
      </w:r>
      <w:r>
        <w:rPr>
          <w:color w:val="231F20"/>
          <w:w w:val="105"/>
        </w:rPr>
        <w:t>histórica,</w:t>
      </w:r>
      <w:r>
        <w:rPr>
          <w:color w:val="231F20"/>
          <w:spacing w:val="-15"/>
          <w:w w:val="105"/>
        </w:rPr>
        <w:t> </w:t>
      </w:r>
      <w:r>
        <w:rPr>
          <w:color w:val="231F20"/>
          <w:w w:val="105"/>
        </w:rPr>
        <w:t>donde</w:t>
      </w:r>
      <w:r>
        <w:rPr>
          <w:color w:val="231F20"/>
          <w:spacing w:val="-10"/>
          <w:w w:val="105"/>
        </w:rPr>
        <w:t> </w:t>
      </w:r>
      <w:r>
        <w:rPr>
          <w:color w:val="231F20"/>
          <w:w w:val="105"/>
        </w:rPr>
        <w:t>cada</w:t>
      </w:r>
      <w:r>
        <w:rPr>
          <w:color w:val="231F20"/>
          <w:spacing w:val="-10"/>
          <w:w w:val="105"/>
        </w:rPr>
        <w:t> </w:t>
      </w:r>
      <w:r>
        <w:rPr>
          <w:color w:val="231F20"/>
          <w:w w:val="105"/>
        </w:rPr>
        <w:t>caso</w:t>
      </w:r>
      <w:r>
        <w:rPr>
          <w:color w:val="231F20"/>
          <w:spacing w:val="-10"/>
          <w:w w:val="105"/>
        </w:rPr>
        <w:t> </w:t>
      </w:r>
      <w:r>
        <w:rPr>
          <w:color w:val="231F20"/>
          <w:w w:val="105"/>
        </w:rPr>
        <w:t>tiene</w:t>
      </w:r>
      <w:r>
        <w:rPr>
          <w:color w:val="231F20"/>
          <w:spacing w:val="-10"/>
          <w:w w:val="105"/>
        </w:rPr>
        <w:t> </w:t>
      </w:r>
      <w:r>
        <w:rPr>
          <w:color w:val="231F20"/>
          <w:w w:val="105"/>
        </w:rPr>
        <w:t>autonomía,</w:t>
      </w:r>
      <w:r>
        <w:rPr>
          <w:color w:val="231F20"/>
          <w:spacing w:val="-15"/>
          <w:w w:val="105"/>
        </w:rPr>
        <w:t> </w:t>
      </w:r>
      <w:r>
        <w:rPr>
          <w:color w:val="231F20"/>
          <w:w w:val="105"/>
        </w:rPr>
        <w:t>sin- gularidad e</w:t>
      </w:r>
      <w:r>
        <w:rPr>
          <w:color w:val="231F20"/>
          <w:spacing w:val="24"/>
          <w:w w:val="105"/>
        </w:rPr>
        <w:t> </w:t>
      </w:r>
      <w:r>
        <w:rPr>
          <w:color w:val="231F20"/>
          <w:w w:val="105"/>
        </w:rPr>
        <w:t>identidad.</w:t>
      </w:r>
    </w:p>
    <w:p>
      <w:pPr>
        <w:pStyle w:val="BodyText"/>
        <w:spacing w:line="261" w:lineRule="auto" w:before="1"/>
        <w:ind w:left="1837" w:right="1721" w:firstLine="567"/>
        <w:jc w:val="both"/>
      </w:pPr>
      <w:r>
        <w:rPr>
          <w:color w:val="231F20"/>
          <w:w w:val="105"/>
        </w:rPr>
        <w:t>Como</w:t>
      </w:r>
      <w:r>
        <w:rPr>
          <w:color w:val="231F20"/>
          <w:spacing w:val="-5"/>
          <w:w w:val="105"/>
        </w:rPr>
        <w:t> </w:t>
      </w:r>
      <w:r>
        <w:rPr>
          <w:color w:val="231F20"/>
          <w:w w:val="105"/>
        </w:rPr>
        <w:t>cierre</w:t>
      </w:r>
      <w:r>
        <w:rPr>
          <w:color w:val="231F20"/>
          <w:spacing w:val="-5"/>
          <w:w w:val="105"/>
        </w:rPr>
        <w:t> </w:t>
      </w:r>
      <w:r>
        <w:rPr>
          <w:color w:val="231F20"/>
          <w:w w:val="105"/>
        </w:rPr>
        <w:t>de</w:t>
      </w:r>
      <w:r>
        <w:rPr>
          <w:color w:val="231F20"/>
          <w:spacing w:val="-5"/>
          <w:w w:val="105"/>
        </w:rPr>
        <w:t> </w:t>
      </w:r>
      <w:r>
        <w:rPr>
          <w:color w:val="231F20"/>
          <w:w w:val="105"/>
        </w:rPr>
        <w:t>sección,</w:t>
      </w:r>
      <w:r>
        <w:rPr>
          <w:color w:val="231F20"/>
          <w:spacing w:val="-11"/>
          <w:w w:val="105"/>
        </w:rPr>
        <w:t> </w:t>
      </w:r>
      <w:r>
        <w:rPr>
          <w:color w:val="231F20"/>
          <w:w w:val="105"/>
        </w:rPr>
        <w:t>el</w:t>
      </w:r>
      <w:r>
        <w:rPr>
          <w:color w:val="231F20"/>
          <w:spacing w:val="-5"/>
          <w:w w:val="105"/>
        </w:rPr>
        <w:t> </w:t>
      </w:r>
      <w:r>
        <w:rPr>
          <w:color w:val="231F20"/>
          <w:w w:val="105"/>
        </w:rPr>
        <w:t>capítulo</w:t>
      </w:r>
      <w:r>
        <w:rPr>
          <w:color w:val="231F20"/>
          <w:spacing w:val="-5"/>
          <w:w w:val="105"/>
        </w:rPr>
        <w:t> </w:t>
      </w:r>
      <w:r>
        <w:rPr>
          <w:color w:val="231F20"/>
          <w:w w:val="105"/>
        </w:rPr>
        <w:t>“Lo</w:t>
      </w:r>
      <w:r>
        <w:rPr>
          <w:color w:val="231F20"/>
          <w:spacing w:val="-5"/>
          <w:w w:val="105"/>
        </w:rPr>
        <w:t> </w:t>
      </w:r>
      <w:r>
        <w:rPr>
          <w:color w:val="231F20"/>
          <w:w w:val="105"/>
        </w:rPr>
        <w:t>emocional</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vaivén</w:t>
      </w:r>
      <w:r>
        <w:rPr>
          <w:color w:val="231F20"/>
          <w:spacing w:val="-5"/>
          <w:w w:val="105"/>
        </w:rPr>
        <w:t> </w:t>
      </w:r>
      <w:r>
        <w:rPr>
          <w:color w:val="231F20"/>
          <w:w w:val="105"/>
        </w:rPr>
        <w:t>de los</w:t>
      </w:r>
      <w:r>
        <w:rPr>
          <w:color w:val="231F20"/>
          <w:spacing w:val="-8"/>
          <w:w w:val="105"/>
        </w:rPr>
        <w:t> </w:t>
      </w:r>
      <w:r>
        <w:rPr>
          <w:color w:val="231F20"/>
          <w:w w:val="105"/>
        </w:rPr>
        <w:t>migrantes</w:t>
      </w:r>
      <w:r>
        <w:rPr>
          <w:color w:val="231F20"/>
          <w:spacing w:val="-8"/>
          <w:w w:val="105"/>
        </w:rPr>
        <w:t> </w:t>
      </w:r>
      <w:r>
        <w:rPr>
          <w:color w:val="231F20"/>
          <w:w w:val="105"/>
        </w:rPr>
        <w:t>no</w:t>
      </w:r>
      <w:r>
        <w:rPr>
          <w:color w:val="231F20"/>
          <w:spacing w:val="-8"/>
          <w:w w:val="105"/>
        </w:rPr>
        <w:t> </w:t>
      </w:r>
      <w:r>
        <w:rPr>
          <w:color w:val="231F20"/>
          <w:w w:val="105"/>
        </w:rPr>
        <w:t>autorizados</w:t>
      </w:r>
      <w:r>
        <w:rPr>
          <w:color w:val="231F20"/>
          <w:spacing w:val="-8"/>
          <w:w w:val="105"/>
        </w:rPr>
        <w:t> </w:t>
      </w:r>
      <w:r>
        <w:rPr>
          <w:color w:val="231F20"/>
          <w:w w:val="105"/>
        </w:rPr>
        <w:t>del</w:t>
      </w:r>
      <w:r>
        <w:rPr>
          <w:color w:val="231F20"/>
          <w:spacing w:val="-8"/>
          <w:w w:val="105"/>
        </w:rPr>
        <w:t> </w:t>
      </w:r>
      <w:r>
        <w:rPr>
          <w:color w:val="231F20"/>
          <w:w w:val="105"/>
        </w:rPr>
        <w:t>noroeste</w:t>
      </w:r>
      <w:r>
        <w:rPr>
          <w:color w:val="231F20"/>
          <w:spacing w:val="-8"/>
          <w:w w:val="105"/>
        </w:rPr>
        <w:t> </w:t>
      </w:r>
      <w:r>
        <w:rPr>
          <w:color w:val="231F20"/>
          <w:w w:val="105"/>
        </w:rPr>
        <w:t>del</w:t>
      </w:r>
      <w:r>
        <w:rPr>
          <w:color w:val="231F20"/>
          <w:spacing w:val="-8"/>
          <w:w w:val="105"/>
        </w:rPr>
        <w:t> </w:t>
      </w:r>
      <w:r>
        <w:rPr>
          <w:color w:val="231F20"/>
          <w:w w:val="105"/>
        </w:rPr>
        <w:t>Estado</w:t>
      </w:r>
      <w:r>
        <w:rPr>
          <w:color w:val="231F20"/>
          <w:spacing w:val="-8"/>
          <w:w w:val="105"/>
        </w:rPr>
        <w:t> </w:t>
      </w:r>
      <w:r>
        <w:rPr>
          <w:color w:val="231F20"/>
          <w:w w:val="105"/>
        </w:rPr>
        <w:t>de</w:t>
      </w:r>
      <w:r>
        <w:rPr>
          <w:color w:val="231F20"/>
          <w:spacing w:val="-8"/>
          <w:w w:val="105"/>
        </w:rPr>
        <w:t> </w:t>
      </w:r>
      <w:r>
        <w:rPr>
          <w:color w:val="231F20"/>
          <w:w w:val="105"/>
        </w:rPr>
        <w:t>México</w:t>
      </w:r>
      <w:r>
        <w:rPr>
          <w:color w:val="231F20"/>
          <w:spacing w:val="-8"/>
          <w:w w:val="105"/>
        </w:rPr>
        <w:t> </w:t>
      </w:r>
      <w:r>
        <w:rPr>
          <w:color w:val="231F20"/>
          <w:w w:val="105"/>
        </w:rPr>
        <w:t>a</w:t>
      </w:r>
      <w:r>
        <w:rPr>
          <w:color w:val="231F20"/>
          <w:spacing w:val="-8"/>
          <w:w w:val="105"/>
        </w:rPr>
        <w:t> </w:t>
      </w:r>
      <w:r>
        <w:rPr>
          <w:color w:val="231F20"/>
          <w:w w:val="105"/>
        </w:rPr>
        <w:t>Esta- dos</w:t>
      </w:r>
      <w:r>
        <w:rPr>
          <w:color w:val="231F20"/>
          <w:spacing w:val="-19"/>
          <w:w w:val="105"/>
        </w:rPr>
        <w:t> </w:t>
      </w:r>
      <w:r>
        <w:rPr>
          <w:color w:val="231F20"/>
          <w:spacing w:val="-4"/>
          <w:w w:val="105"/>
        </w:rPr>
        <w:t>Unidos”,</w:t>
      </w:r>
      <w:r>
        <w:rPr>
          <w:color w:val="231F20"/>
          <w:spacing w:val="-23"/>
          <w:w w:val="105"/>
        </w:rPr>
        <w:t> </w:t>
      </w:r>
      <w:r>
        <w:rPr>
          <w:color w:val="231F20"/>
          <w:w w:val="105"/>
        </w:rPr>
        <w:t>escrito</w:t>
      </w:r>
      <w:r>
        <w:rPr>
          <w:color w:val="231F20"/>
          <w:spacing w:val="-19"/>
          <w:w w:val="105"/>
        </w:rPr>
        <w:t> </w:t>
      </w:r>
      <w:r>
        <w:rPr>
          <w:color w:val="231F20"/>
          <w:w w:val="105"/>
        </w:rPr>
        <w:t>por</w:t>
      </w:r>
      <w:r>
        <w:rPr>
          <w:color w:val="231F20"/>
          <w:spacing w:val="-19"/>
          <w:w w:val="105"/>
        </w:rPr>
        <w:t> </w:t>
      </w:r>
      <w:r>
        <w:rPr>
          <w:color w:val="231F20"/>
          <w:w w:val="105"/>
        </w:rPr>
        <w:t>Fabiana</w:t>
      </w:r>
      <w:r>
        <w:rPr>
          <w:color w:val="231F20"/>
          <w:spacing w:val="-19"/>
          <w:w w:val="105"/>
        </w:rPr>
        <w:t> </w:t>
      </w:r>
      <w:r>
        <w:rPr>
          <w:color w:val="231F20"/>
          <w:w w:val="105"/>
        </w:rPr>
        <w:t>Sánchez</w:t>
      </w:r>
      <w:r>
        <w:rPr>
          <w:color w:val="231F20"/>
          <w:spacing w:val="-19"/>
          <w:w w:val="105"/>
        </w:rPr>
        <w:t> </w:t>
      </w:r>
      <w:r>
        <w:rPr>
          <w:color w:val="231F20"/>
          <w:w w:val="105"/>
        </w:rPr>
        <w:t>Plata,</w:t>
      </w:r>
      <w:r>
        <w:rPr>
          <w:color w:val="231F20"/>
          <w:spacing w:val="-23"/>
          <w:w w:val="105"/>
        </w:rPr>
        <w:t> </w:t>
      </w:r>
      <w:r>
        <w:rPr>
          <w:color w:val="231F20"/>
          <w:w w:val="105"/>
        </w:rPr>
        <w:t>interpreta</w:t>
      </w:r>
      <w:r>
        <w:rPr>
          <w:color w:val="231F20"/>
          <w:spacing w:val="-19"/>
          <w:w w:val="105"/>
        </w:rPr>
        <w:t> </w:t>
      </w:r>
      <w:r>
        <w:rPr>
          <w:color w:val="231F20"/>
          <w:w w:val="105"/>
        </w:rPr>
        <w:t>las</w:t>
      </w:r>
      <w:r>
        <w:rPr>
          <w:color w:val="231F20"/>
          <w:spacing w:val="-19"/>
          <w:w w:val="105"/>
        </w:rPr>
        <w:t> </w:t>
      </w:r>
      <w:r>
        <w:rPr>
          <w:color w:val="231F20"/>
          <w:w w:val="105"/>
        </w:rPr>
        <w:t>relaciones emocionales</w:t>
      </w:r>
      <w:r>
        <w:rPr>
          <w:color w:val="231F20"/>
          <w:spacing w:val="-26"/>
          <w:w w:val="105"/>
        </w:rPr>
        <w:t> </w:t>
      </w:r>
      <w:r>
        <w:rPr>
          <w:color w:val="231F20"/>
          <w:w w:val="105"/>
        </w:rPr>
        <w:t>que</w:t>
      </w:r>
      <w:r>
        <w:rPr>
          <w:color w:val="231F20"/>
          <w:spacing w:val="-26"/>
          <w:w w:val="105"/>
        </w:rPr>
        <w:t> </w:t>
      </w:r>
      <w:r>
        <w:rPr>
          <w:color w:val="231F20"/>
          <w:w w:val="105"/>
        </w:rPr>
        <w:t>desencadenan</w:t>
      </w:r>
      <w:r>
        <w:rPr>
          <w:color w:val="231F20"/>
          <w:spacing w:val="-26"/>
          <w:w w:val="105"/>
        </w:rPr>
        <w:t> </w:t>
      </w:r>
      <w:r>
        <w:rPr>
          <w:color w:val="231F20"/>
          <w:w w:val="105"/>
        </w:rPr>
        <w:t>los</w:t>
      </w:r>
      <w:r>
        <w:rPr>
          <w:color w:val="231F20"/>
          <w:spacing w:val="-26"/>
          <w:w w:val="105"/>
        </w:rPr>
        <w:t> </w:t>
      </w:r>
      <w:r>
        <w:rPr>
          <w:color w:val="231F20"/>
          <w:w w:val="105"/>
        </w:rPr>
        <w:t>“ires”</w:t>
      </w:r>
      <w:r>
        <w:rPr>
          <w:color w:val="231F20"/>
          <w:spacing w:val="-26"/>
          <w:w w:val="105"/>
        </w:rPr>
        <w:t> </w:t>
      </w:r>
      <w:r>
        <w:rPr>
          <w:color w:val="231F20"/>
          <w:w w:val="105"/>
        </w:rPr>
        <w:t>y</w:t>
      </w:r>
      <w:r>
        <w:rPr>
          <w:color w:val="231F20"/>
          <w:spacing w:val="-26"/>
          <w:w w:val="105"/>
        </w:rPr>
        <w:t> </w:t>
      </w:r>
      <w:r>
        <w:rPr>
          <w:color w:val="231F20"/>
          <w:w w:val="105"/>
        </w:rPr>
        <w:t>“venires”</w:t>
      </w:r>
      <w:r>
        <w:rPr>
          <w:color w:val="231F20"/>
          <w:spacing w:val="-26"/>
          <w:w w:val="105"/>
        </w:rPr>
        <w:t> </w:t>
      </w:r>
      <w:r>
        <w:rPr>
          <w:color w:val="231F20"/>
          <w:w w:val="105"/>
        </w:rPr>
        <w:t>entre</w:t>
      </w:r>
      <w:r>
        <w:rPr>
          <w:color w:val="231F20"/>
          <w:spacing w:val="-26"/>
          <w:w w:val="105"/>
        </w:rPr>
        <w:t> </w:t>
      </w:r>
      <w:r>
        <w:rPr>
          <w:color w:val="231F20"/>
          <w:w w:val="105"/>
        </w:rPr>
        <w:t>ambos</w:t>
      </w:r>
      <w:r>
        <w:rPr>
          <w:color w:val="231F20"/>
          <w:spacing w:val="-26"/>
          <w:w w:val="105"/>
        </w:rPr>
        <w:t> </w:t>
      </w:r>
      <w:r>
        <w:rPr>
          <w:color w:val="231F20"/>
          <w:w w:val="105"/>
        </w:rPr>
        <w:t>países en</w:t>
      </w:r>
      <w:r>
        <w:rPr>
          <w:color w:val="231F20"/>
          <w:spacing w:val="-22"/>
          <w:w w:val="105"/>
        </w:rPr>
        <w:t> </w:t>
      </w:r>
      <w:r>
        <w:rPr>
          <w:color w:val="231F20"/>
          <w:w w:val="105"/>
        </w:rPr>
        <w:t>parejas</w:t>
      </w:r>
      <w:r>
        <w:rPr>
          <w:color w:val="231F20"/>
          <w:spacing w:val="-22"/>
          <w:w w:val="105"/>
        </w:rPr>
        <w:t> </w:t>
      </w:r>
      <w:r>
        <w:rPr>
          <w:color w:val="231F20"/>
          <w:w w:val="105"/>
        </w:rPr>
        <w:t>con</w:t>
      </w:r>
      <w:r>
        <w:rPr>
          <w:color w:val="231F20"/>
          <w:spacing w:val="-22"/>
          <w:w w:val="105"/>
        </w:rPr>
        <w:t> </w:t>
      </w:r>
      <w:r>
        <w:rPr>
          <w:color w:val="231F20"/>
          <w:w w:val="105"/>
        </w:rPr>
        <w:t>migración</w:t>
      </w:r>
      <w:r>
        <w:rPr>
          <w:color w:val="231F20"/>
          <w:spacing w:val="-22"/>
          <w:w w:val="105"/>
        </w:rPr>
        <w:t> </w:t>
      </w:r>
      <w:r>
        <w:rPr>
          <w:color w:val="231F20"/>
          <w:w w:val="105"/>
        </w:rPr>
        <w:t>masculina.</w:t>
      </w:r>
      <w:r>
        <w:rPr>
          <w:color w:val="231F20"/>
          <w:spacing w:val="-27"/>
          <w:w w:val="105"/>
        </w:rPr>
        <w:t> </w:t>
      </w:r>
      <w:r>
        <w:rPr>
          <w:color w:val="231F20"/>
          <w:w w:val="105"/>
        </w:rPr>
        <w:t>Como</w:t>
      </w:r>
      <w:r>
        <w:rPr>
          <w:color w:val="231F20"/>
          <w:spacing w:val="-22"/>
          <w:w w:val="105"/>
        </w:rPr>
        <w:t> </w:t>
      </w:r>
      <w:r>
        <w:rPr>
          <w:color w:val="231F20"/>
          <w:w w:val="105"/>
        </w:rPr>
        <w:t>un</w:t>
      </w:r>
      <w:r>
        <w:rPr>
          <w:color w:val="231F20"/>
          <w:spacing w:val="-22"/>
          <w:w w:val="105"/>
        </w:rPr>
        <w:t> </w:t>
      </w:r>
      <w:r>
        <w:rPr>
          <w:color w:val="231F20"/>
          <w:w w:val="105"/>
        </w:rPr>
        <w:t>estudio</w:t>
      </w:r>
      <w:r>
        <w:rPr>
          <w:color w:val="231F20"/>
          <w:spacing w:val="-22"/>
          <w:w w:val="105"/>
        </w:rPr>
        <w:t> </w:t>
      </w:r>
      <w:r>
        <w:rPr>
          <w:color w:val="231F20"/>
          <w:w w:val="105"/>
        </w:rPr>
        <w:t>de</w:t>
      </w:r>
      <w:r>
        <w:rPr>
          <w:color w:val="231F20"/>
          <w:spacing w:val="-22"/>
          <w:w w:val="105"/>
        </w:rPr>
        <w:t> </w:t>
      </w:r>
      <w:r>
        <w:rPr>
          <w:color w:val="231F20"/>
          <w:w w:val="105"/>
        </w:rPr>
        <w:t>caso,</w:t>
      </w:r>
      <w:r>
        <w:rPr>
          <w:color w:val="231F20"/>
          <w:spacing w:val="-27"/>
          <w:w w:val="105"/>
        </w:rPr>
        <w:t> </w:t>
      </w:r>
      <w:r>
        <w:rPr>
          <w:color w:val="231F20"/>
          <w:w w:val="105"/>
        </w:rPr>
        <w:t>el</w:t>
      </w:r>
      <w:r>
        <w:rPr>
          <w:color w:val="231F20"/>
          <w:spacing w:val="-22"/>
          <w:w w:val="105"/>
        </w:rPr>
        <w:t> </w:t>
      </w:r>
      <w:r>
        <w:rPr>
          <w:color w:val="231F20"/>
          <w:w w:val="105"/>
        </w:rPr>
        <w:t>trabajo toma como lugares de análisis las localidades de Agostadero, La</w:t>
      </w:r>
      <w:r>
        <w:rPr>
          <w:color w:val="231F20"/>
          <w:spacing w:val="-34"/>
          <w:w w:val="105"/>
        </w:rPr>
        <w:t> </w:t>
      </w:r>
      <w:r>
        <w:rPr>
          <w:color w:val="231F20"/>
          <w:w w:val="105"/>
        </w:rPr>
        <w:t>Loma y</w:t>
      </w:r>
      <w:r>
        <w:rPr>
          <w:color w:val="231F20"/>
          <w:spacing w:val="-9"/>
          <w:w w:val="105"/>
        </w:rPr>
        <w:t> </w:t>
      </w:r>
      <w:r>
        <w:rPr>
          <w:color w:val="231F20"/>
          <w:w w:val="105"/>
        </w:rPr>
        <w:t>Puentecillas</w:t>
      </w:r>
      <w:r>
        <w:rPr>
          <w:color w:val="231F20"/>
          <w:spacing w:val="-9"/>
          <w:w w:val="105"/>
        </w:rPr>
        <w:t> </w:t>
      </w:r>
      <w:r>
        <w:rPr>
          <w:color w:val="231F20"/>
          <w:w w:val="105"/>
        </w:rPr>
        <w:t>del</w:t>
      </w:r>
      <w:r>
        <w:rPr>
          <w:color w:val="231F20"/>
          <w:spacing w:val="-9"/>
          <w:w w:val="105"/>
        </w:rPr>
        <w:t> </w:t>
      </w:r>
      <w:r>
        <w:rPr>
          <w:color w:val="231F20"/>
          <w:w w:val="105"/>
        </w:rPr>
        <w:t>municipio</w:t>
      </w:r>
      <w:r>
        <w:rPr>
          <w:color w:val="231F20"/>
          <w:spacing w:val="-9"/>
          <w:w w:val="105"/>
        </w:rPr>
        <w:t> </w:t>
      </w:r>
      <w:r>
        <w:rPr>
          <w:color w:val="231F20"/>
          <w:w w:val="105"/>
        </w:rPr>
        <w:t>de</w:t>
      </w:r>
      <w:r>
        <w:rPr>
          <w:color w:val="231F20"/>
          <w:spacing w:val="-12"/>
          <w:w w:val="105"/>
        </w:rPr>
        <w:t> </w:t>
      </w:r>
      <w:r>
        <w:rPr>
          <w:color w:val="231F20"/>
          <w:w w:val="105"/>
        </w:rPr>
        <w:t>Acambay,</w:t>
      </w:r>
      <w:r>
        <w:rPr>
          <w:color w:val="231F20"/>
          <w:spacing w:val="-14"/>
          <w:w w:val="105"/>
        </w:rPr>
        <w:t> </w:t>
      </w:r>
      <w:r>
        <w:rPr>
          <w:color w:val="231F20"/>
          <w:w w:val="105"/>
        </w:rPr>
        <w:t>Estado</w:t>
      </w:r>
      <w:r>
        <w:rPr>
          <w:color w:val="231F20"/>
          <w:spacing w:val="-9"/>
          <w:w w:val="105"/>
        </w:rPr>
        <w:t> </w:t>
      </w:r>
      <w:r>
        <w:rPr>
          <w:color w:val="231F20"/>
          <w:w w:val="105"/>
        </w:rPr>
        <w:t>de</w:t>
      </w:r>
      <w:r>
        <w:rPr>
          <w:color w:val="231F20"/>
          <w:spacing w:val="-9"/>
          <w:w w:val="105"/>
        </w:rPr>
        <w:t> </w:t>
      </w:r>
      <w:r>
        <w:rPr>
          <w:color w:val="231F20"/>
          <w:w w:val="105"/>
        </w:rPr>
        <w:t>México.</w:t>
      </w:r>
      <w:r>
        <w:rPr>
          <w:color w:val="231F20"/>
          <w:spacing w:val="-14"/>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texto se advierten los tintes económicos y sociales, también las</w:t>
      </w:r>
      <w:r>
        <w:rPr>
          <w:color w:val="231F20"/>
          <w:spacing w:val="-16"/>
          <w:w w:val="105"/>
        </w:rPr>
        <w:t> </w:t>
      </w:r>
      <w:r>
        <w:rPr>
          <w:color w:val="231F20"/>
          <w:w w:val="105"/>
        </w:rPr>
        <w:t>obligaciones de</w:t>
      </w:r>
      <w:r>
        <w:rPr>
          <w:color w:val="231F20"/>
          <w:spacing w:val="-15"/>
          <w:w w:val="105"/>
        </w:rPr>
        <w:t> </w:t>
      </w:r>
      <w:r>
        <w:rPr>
          <w:color w:val="231F20"/>
          <w:w w:val="105"/>
        </w:rPr>
        <w:t>género</w:t>
      </w:r>
      <w:r>
        <w:rPr>
          <w:color w:val="231F20"/>
          <w:spacing w:val="-15"/>
          <w:w w:val="105"/>
        </w:rPr>
        <w:t> </w:t>
      </w:r>
      <w:r>
        <w:rPr>
          <w:color w:val="231F20"/>
          <w:w w:val="105"/>
        </w:rPr>
        <w:t>y</w:t>
      </w:r>
      <w:r>
        <w:rPr>
          <w:color w:val="231F20"/>
          <w:spacing w:val="-15"/>
          <w:w w:val="105"/>
        </w:rPr>
        <w:t> </w:t>
      </w:r>
      <w:r>
        <w:rPr>
          <w:color w:val="231F20"/>
          <w:w w:val="105"/>
        </w:rPr>
        <w:t>las</w:t>
      </w:r>
      <w:r>
        <w:rPr>
          <w:color w:val="231F20"/>
          <w:spacing w:val="-15"/>
          <w:w w:val="105"/>
        </w:rPr>
        <w:t> </w:t>
      </w:r>
      <w:r>
        <w:rPr>
          <w:color w:val="231F20"/>
          <w:w w:val="105"/>
        </w:rPr>
        <w:t>propias</w:t>
      </w:r>
      <w:r>
        <w:rPr>
          <w:color w:val="231F20"/>
          <w:spacing w:val="-15"/>
          <w:w w:val="105"/>
        </w:rPr>
        <w:t> </w:t>
      </w:r>
      <w:r>
        <w:rPr>
          <w:color w:val="231F20"/>
          <w:w w:val="105"/>
        </w:rPr>
        <w:t>intenciones</w:t>
      </w:r>
      <w:r>
        <w:rPr>
          <w:color w:val="231F20"/>
          <w:spacing w:val="-15"/>
          <w:w w:val="105"/>
        </w:rPr>
        <w:t> </w:t>
      </w:r>
      <w:r>
        <w:rPr>
          <w:color w:val="231F20"/>
          <w:w w:val="105"/>
        </w:rPr>
        <w:t>individuales</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que</w:t>
      </w:r>
      <w:r>
        <w:rPr>
          <w:color w:val="231F20"/>
          <w:spacing w:val="-15"/>
          <w:w w:val="105"/>
        </w:rPr>
        <w:t> </w:t>
      </w:r>
      <w:r>
        <w:rPr>
          <w:color w:val="231F20"/>
          <w:w w:val="105"/>
        </w:rPr>
        <w:t>responden</w:t>
      </w:r>
      <w:r>
        <w:rPr>
          <w:color w:val="231F20"/>
          <w:spacing w:val="-15"/>
          <w:w w:val="105"/>
        </w:rPr>
        <w:t> </w:t>
      </w:r>
      <w:r>
        <w:rPr>
          <w:color w:val="231F20"/>
          <w:w w:val="105"/>
        </w:rPr>
        <w:t>los “ires”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hombres</w:t>
      </w:r>
      <w:r>
        <w:rPr>
          <w:color w:val="231F20"/>
          <w:spacing w:val="-15"/>
          <w:w w:val="105"/>
        </w:rPr>
        <w:t> </w:t>
      </w:r>
      <w:r>
        <w:rPr>
          <w:color w:val="231F20"/>
          <w:w w:val="105"/>
        </w:rPr>
        <w:t>de</w:t>
      </w:r>
      <w:r>
        <w:rPr>
          <w:color w:val="231F20"/>
          <w:spacing w:val="-15"/>
          <w:w w:val="105"/>
        </w:rPr>
        <w:t> </w:t>
      </w:r>
      <w:r>
        <w:rPr>
          <w:color w:val="231F20"/>
          <w:w w:val="105"/>
        </w:rPr>
        <w:t>estas</w:t>
      </w:r>
      <w:r>
        <w:rPr>
          <w:color w:val="231F20"/>
          <w:spacing w:val="-15"/>
          <w:w w:val="105"/>
        </w:rPr>
        <w:t> </w:t>
      </w:r>
      <w:r>
        <w:rPr>
          <w:color w:val="231F20"/>
          <w:w w:val="105"/>
        </w:rPr>
        <w:t>localidades;</w:t>
      </w:r>
      <w:r>
        <w:rPr>
          <w:color w:val="231F20"/>
          <w:spacing w:val="-15"/>
          <w:w w:val="105"/>
        </w:rPr>
        <w:t> </w:t>
      </w:r>
      <w:r>
        <w:rPr>
          <w:color w:val="231F20"/>
          <w:w w:val="105"/>
        </w:rPr>
        <w:t>mientras</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“venires”</w:t>
      </w:r>
      <w:r>
        <w:rPr>
          <w:color w:val="231F20"/>
          <w:spacing w:val="-15"/>
          <w:w w:val="105"/>
        </w:rPr>
        <w:t> </w:t>
      </w:r>
      <w:r>
        <w:rPr>
          <w:color w:val="231F20"/>
          <w:w w:val="105"/>
        </w:rPr>
        <w:t>se asocian</w:t>
      </w:r>
      <w:r>
        <w:rPr>
          <w:color w:val="231F20"/>
          <w:spacing w:val="-27"/>
          <w:w w:val="105"/>
        </w:rPr>
        <w:t> </w:t>
      </w:r>
      <w:r>
        <w:rPr>
          <w:color w:val="231F20"/>
          <w:w w:val="105"/>
        </w:rPr>
        <w:t>con</w:t>
      </w:r>
      <w:r>
        <w:rPr>
          <w:color w:val="231F20"/>
          <w:spacing w:val="-27"/>
          <w:w w:val="105"/>
        </w:rPr>
        <w:t> </w:t>
      </w:r>
      <w:r>
        <w:rPr>
          <w:color w:val="231F20"/>
          <w:w w:val="105"/>
        </w:rPr>
        <w:t>un</w:t>
      </w:r>
      <w:r>
        <w:rPr>
          <w:color w:val="231F20"/>
          <w:spacing w:val="-27"/>
          <w:w w:val="105"/>
        </w:rPr>
        <w:t> </w:t>
      </w:r>
      <w:r>
        <w:rPr>
          <w:color w:val="231F20"/>
          <w:w w:val="105"/>
        </w:rPr>
        <w:t>descanso</w:t>
      </w:r>
      <w:r>
        <w:rPr>
          <w:color w:val="231F20"/>
          <w:spacing w:val="-27"/>
          <w:w w:val="105"/>
        </w:rPr>
        <w:t> </w:t>
      </w:r>
      <w:r>
        <w:rPr>
          <w:color w:val="231F20"/>
          <w:w w:val="105"/>
        </w:rPr>
        <w:t>emocional,</w:t>
      </w:r>
      <w:r>
        <w:rPr>
          <w:color w:val="231F20"/>
          <w:spacing w:val="-31"/>
          <w:w w:val="105"/>
        </w:rPr>
        <w:t> </w:t>
      </w:r>
      <w:r>
        <w:rPr>
          <w:color w:val="231F20"/>
          <w:w w:val="105"/>
        </w:rPr>
        <w:t>que</w:t>
      </w:r>
      <w:r>
        <w:rPr>
          <w:color w:val="231F20"/>
          <w:spacing w:val="-27"/>
          <w:w w:val="105"/>
        </w:rPr>
        <w:t> </w:t>
      </w:r>
      <w:r>
        <w:rPr>
          <w:color w:val="231F20"/>
          <w:w w:val="105"/>
        </w:rPr>
        <w:t>permite</w:t>
      </w:r>
      <w:r>
        <w:rPr>
          <w:color w:val="231F20"/>
          <w:spacing w:val="-27"/>
          <w:w w:val="105"/>
        </w:rPr>
        <w:t> </w:t>
      </w:r>
      <w:r>
        <w:rPr>
          <w:color w:val="231F20"/>
          <w:w w:val="105"/>
        </w:rPr>
        <w:t>aligerar</w:t>
      </w:r>
      <w:r>
        <w:rPr>
          <w:color w:val="231F20"/>
          <w:spacing w:val="-27"/>
          <w:w w:val="105"/>
        </w:rPr>
        <w:t> </w:t>
      </w:r>
      <w:r>
        <w:rPr>
          <w:color w:val="231F20"/>
          <w:w w:val="105"/>
        </w:rPr>
        <w:t>los</w:t>
      </w:r>
      <w:r>
        <w:rPr>
          <w:color w:val="231F20"/>
          <w:spacing w:val="-27"/>
          <w:w w:val="105"/>
        </w:rPr>
        <w:t> </w:t>
      </w:r>
      <w:r>
        <w:rPr>
          <w:color w:val="231F20"/>
          <w:w w:val="105"/>
        </w:rPr>
        <w:t>sobresaltos de la</w:t>
      </w:r>
      <w:r>
        <w:rPr>
          <w:color w:val="231F20"/>
          <w:spacing w:val="-43"/>
          <w:w w:val="105"/>
        </w:rPr>
        <w:t> </w:t>
      </w:r>
      <w:r>
        <w:rPr>
          <w:color w:val="231F20"/>
          <w:w w:val="105"/>
        </w:rPr>
        <w:t>distancia.</w:t>
      </w:r>
    </w:p>
    <w:p>
      <w:pPr>
        <w:pStyle w:val="BodyText"/>
        <w:spacing w:line="261" w:lineRule="auto" w:before="1"/>
        <w:ind w:left="1837" w:right="1716" w:firstLine="567"/>
        <w:jc w:val="both"/>
      </w:pPr>
      <w:r>
        <w:rPr>
          <w:color w:val="231F20"/>
          <w:w w:val="105"/>
        </w:rPr>
        <w:t>Así,</w:t>
      </w:r>
      <w:r>
        <w:rPr>
          <w:color w:val="231F20"/>
          <w:spacing w:val="-14"/>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relación</w:t>
      </w:r>
      <w:r>
        <w:rPr>
          <w:color w:val="231F20"/>
          <w:spacing w:val="-9"/>
          <w:w w:val="105"/>
        </w:rPr>
        <w:t> </w:t>
      </w:r>
      <w:r>
        <w:rPr>
          <w:color w:val="231F20"/>
          <w:w w:val="105"/>
        </w:rPr>
        <w:t>migración-emociones,</w:t>
      </w:r>
      <w:r>
        <w:rPr>
          <w:color w:val="231F20"/>
          <w:spacing w:val="-14"/>
          <w:w w:val="105"/>
        </w:rPr>
        <w:t> </w:t>
      </w:r>
      <w:r>
        <w:rPr>
          <w:color w:val="231F20"/>
          <w:w w:val="105"/>
        </w:rPr>
        <w:t>la</w:t>
      </w:r>
      <w:r>
        <w:rPr>
          <w:color w:val="231F20"/>
          <w:spacing w:val="-9"/>
          <w:w w:val="105"/>
        </w:rPr>
        <w:t> </w:t>
      </w:r>
      <w:r>
        <w:rPr>
          <w:color w:val="231F20"/>
          <w:w w:val="105"/>
        </w:rPr>
        <w:t>narración</w:t>
      </w:r>
      <w:r>
        <w:rPr>
          <w:color w:val="231F20"/>
          <w:spacing w:val="-9"/>
          <w:w w:val="105"/>
        </w:rPr>
        <w:t> </w:t>
      </w:r>
      <w:r>
        <w:rPr>
          <w:color w:val="231F20"/>
          <w:w w:val="105"/>
        </w:rPr>
        <w:t>expuesta</w:t>
      </w:r>
      <w:r>
        <w:rPr>
          <w:color w:val="231F20"/>
          <w:spacing w:val="-9"/>
          <w:w w:val="105"/>
        </w:rPr>
        <w:t> </w:t>
      </w:r>
      <w:r>
        <w:rPr>
          <w:color w:val="231F20"/>
          <w:w w:val="105"/>
        </w:rPr>
        <w:t>en este</w:t>
      </w:r>
      <w:r>
        <w:rPr>
          <w:color w:val="231F20"/>
          <w:spacing w:val="-22"/>
          <w:w w:val="105"/>
        </w:rPr>
        <w:t> </w:t>
      </w:r>
      <w:r>
        <w:rPr>
          <w:color w:val="231F20"/>
          <w:w w:val="105"/>
        </w:rPr>
        <w:t>capítulo</w:t>
      </w:r>
      <w:r>
        <w:rPr>
          <w:color w:val="231F20"/>
          <w:spacing w:val="-22"/>
          <w:w w:val="105"/>
        </w:rPr>
        <w:t> </w:t>
      </w:r>
      <w:r>
        <w:rPr>
          <w:color w:val="231F20"/>
          <w:w w:val="105"/>
        </w:rPr>
        <w:t>refiere</w:t>
      </w:r>
      <w:r>
        <w:rPr>
          <w:color w:val="231F20"/>
          <w:spacing w:val="-22"/>
          <w:w w:val="105"/>
        </w:rPr>
        <w:t> </w:t>
      </w:r>
      <w:r>
        <w:rPr>
          <w:color w:val="231F20"/>
          <w:w w:val="105"/>
        </w:rPr>
        <w:t>un</w:t>
      </w:r>
      <w:r>
        <w:rPr>
          <w:color w:val="231F20"/>
          <w:spacing w:val="-22"/>
          <w:w w:val="105"/>
        </w:rPr>
        <w:t> </w:t>
      </w:r>
      <w:r>
        <w:rPr>
          <w:color w:val="231F20"/>
          <w:w w:val="105"/>
        </w:rPr>
        <w:t>mosaico</w:t>
      </w:r>
      <w:r>
        <w:rPr>
          <w:color w:val="231F20"/>
          <w:spacing w:val="-22"/>
          <w:w w:val="105"/>
        </w:rPr>
        <w:t> </w:t>
      </w:r>
      <w:r>
        <w:rPr>
          <w:color w:val="231F20"/>
          <w:w w:val="105"/>
        </w:rPr>
        <w:t>de</w:t>
      </w:r>
      <w:r>
        <w:rPr>
          <w:color w:val="231F20"/>
          <w:spacing w:val="-22"/>
          <w:w w:val="105"/>
        </w:rPr>
        <w:t> </w:t>
      </w:r>
      <w:r>
        <w:rPr>
          <w:color w:val="231F20"/>
          <w:w w:val="105"/>
        </w:rPr>
        <w:t>emociones</w:t>
      </w:r>
      <w:r>
        <w:rPr>
          <w:color w:val="231F20"/>
          <w:spacing w:val="-22"/>
          <w:w w:val="105"/>
        </w:rPr>
        <w:t> </w:t>
      </w:r>
      <w:r>
        <w:rPr>
          <w:color w:val="231F20"/>
          <w:w w:val="105"/>
        </w:rPr>
        <w:t>y</w:t>
      </w:r>
      <w:r>
        <w:rPr>
          <w:color w:val="231F20"/>
          <w:spacing w:val="-22"/>
          <w:w w:val="105"/>
        </w:rPr>
        <w:t> </w:t>
      </w:r>
      <w:r>
        <w:rPr>
          <w:color w:val="231F20"/>
          <w:w w:val="105"/>
        </w:rPr>
        <w:t>sentimientos</w:t>
      </w:r>
      <w:r>
        <w:rPr>
          <w:color w:val="231F20"/>
          <w:spacing w:val="-22"/>
          <w:w w:val="105"/>
        </w:rPr>
        <w:t> </w:t>
      </w:r>
      <w:r>
        <w:rPr>
          <w:color w:val="231F20"/>
          <w:w w:val="105"/>
        </w:rPr>
        <w:t>que</w:t>
      </w:r>
      <w:r>
        <w:rPr>
          <w:color w:val="231F20"/>
          <w:spacing w:val="-22"/>
          <w:w w:val="105"/>
        </w:rPr>
        <w:t> </w:t>
      </w:r>
      <w:r>
        <w:rPr>
          <w:color w:val="231F20"/>
          <w:w w:val="105"/>
        </w:rPr>
        <w:t>no</w:t>
      </w:r>
      <w:r>
        <w:rPr>
          <w:color w:val="231F20"/>
          <w:spacing w:val="-22"/>
          <w:w w:val="105"/>
        </w:rPr>
        <w:t> </w:t>
      </w:r>
      <w:r>
        <w:rPr>
          <w:color w:val="231F20"/>
          <w:w w:val="105"/>
        </w:rPr>
        <w:t>son exclusivos</w:t>
      </w:r>
      <w:r>
        <w:rPr>
          <w:color w:val="231F20"/>
          <w:spacing w:val="-15"/>
          <w:w w:val="105"/>
        </w:rPr>
        <w:t> </w:t>
      </w:r>
      <w:r>
        <w:rPr>
          <w:color w:val="231F20"/>
          <w:w w:val="105"/>
        </w:rPr>
        <w:t>para</w:t>
      </w:r>
      <w:r>
        <w:rPr>
          <w:color w:val="231F20"/>
          <w:spacing w:val="-15"/>
          <w:w w:val="105"/>
        </w:rPr>
        <w:t> </w:t>
      </w:r>
      <w:r>
        <w:rPr>
          <w:color w:val="231F20"/>
          <w:w w:val="105"/>
        </w:rPr>
        <w:t>cada</w:t>
      </w:r>
      <w:r>
        <w:rPr>
          <w:color w:val="231F20"/>
          <w:spacing w:val="-15"/>
          <w:w w:val="105"/>
        </w:rPr>
        <w:t> </w:t>
      </w:r>
      <w:r>
        <w:rPr>
          <w:color w:val="231F20"/>
          <w:w w:val="105"/>
        </w:rPr>
        <w:t>sexo</w:t>
      </w:r>
      <w:r>
        <w:rPr>
          <w:color w:val="231F20"/>
          <w:spacing w:val="-15"/>
          <w:w w:val="105"/>
        </w:rPr>
        <w:t> </w:t>
      </w:r>
      <w:r>
        <w:rPr>
          <w:color w:val="231F20"/>
          <w:w w:val="105"/>
        </w:rPr>
        <w:t>y</w:t>
      </w:r>
      <w:r>
        <w:rPr>
          <w:color w:val="231F20"/>
          <w:spacing w:val="-15"/>
          <w:w w:val="105"/>
        </w:rPr>
        <w:t> </w:t>
      </w:r>
      <w:r>
        <w:rPr>
          <w:color w:val="231F20"/>
          <w:w w:val="105"/>
        </w:rPr>
        <w:t>tampoco</w:t>
      </w:r>
      <w:r>
        <w:rPr>
          <w:color w:val="231F20"/>
          <w:spacing w:val="-15"/>
          <w:w w:val="105"/>
        </w:rPr>
        <w:t> </w:t>
      </w:r>
      <w:r>
        <w:rPr>
          <w:color w:val="231F20"/>
          <w:w w:val="105"/>
        </w:rPr>
        <w:t>corresponden</w:t>
      </w:r>
      <w:r>
        <w:rPr>
          <w:color w:val="231F20"/>
          <w:spacing w:val="-15"/>
          <w:w w:val="105"/>
        </w:rPr>
        <w:t> </w:t>
      </w:r>
      <w:r>
        <w:rPr>
          <w:color w:val="231F20"/>
          <w:w w:val="105"/>
        </w:rPr>
        <w:t>al</w:t>
      </w:r>
      <w:r>
        <w:rPr>
          <w:color w:val="231F20"/>
          <w:spacing w:val="-15"/>
          <w:w w:val="105"/>
        </w:rPr>
        <w:t> </w:t>
      </w:r>
      <w:r>
        <w:rPr>
          <w:color w:val="231F20"/>
          <w:w w:val="105"/>
        </w:rPr>
        <w:t>estereotipo</w:t>
      </w:r>
      <w:r>
        <w:rPr>
          <w:color w:val="231F20"/>
          <w:spacing w:val="-15"/>
          <w:w w:val="105"/>
        </w:rPr>
        <w:t> </w:t>
      </w:r>
      <w:r>
        <w:rPr>
          <w:color w:val="231F20"/>
          <w:w w:val="105"/>
        </w:rPr>
        <w:t>cons- truido</w:t>
      </w:r>
      <w:r>
        <w:rPr>
          <w:color w:val="231F20"/>
          <w:spacing w:val="-21"/>
          <w:w w:val="105"/>
        </w:rPr>
        <w:t> </w:t>
      </w:r>
      <w:r>
        <w:rPr>
          <w:color w:val="231F20"/>
          <w:w w:val="105"/>
        </w:rPr>
        <w:t>para</w:t>
      </w:r>
      <w:r>
        <w:rPr>
          <w:color w:val="231F20"/>
          <w:spacing w:val="-21"/>
          <w:w w:val="105"/>
        </w:rPr>
        <w:t> </w:t>
      </w:r>
      <w:r>
        <w:rPr>
          <w:color w:val="231F20"/>
          <w:w w:val="105"/>
        </w:rPr>
        <w:t>hombres</w:t>
      </w:r>
      <w:r>
        <w:rPr>
          <w:color w:val="231F20"/>
          <w:spacing w:val="-21"/>
          <w:w w:val="105"/>
        </w:rPr>
        <w:t> </w:t>
      </w:r>
      <w:r>
        <w:rPr>
          <w:color w:val="231F20"/>
          <w:w w:val="105"/>
        </w:rPr>
        <w:t>y</w:t>
      </w:r>
      <w:r>
        <w:rPr>
          <w:color w:val="231F20"/>
          <w:spacing w:val="-21"/>
          <w:w w:val="105"/>
        </w:rPr>
        <w:t> </w:t>
      </w:r>
      <w:r>
        <w:rPr>
          <w:color w:val="231F20"/>
          <w:w w:val="105"/>
        </w:rPr>
        <w:t>mujeres,</w:t>
      </w:r>
      <w:r>
        <w:rPr>
          <w:color w:val="231F20"/>
          <w:spacing w:val="-25"/>
          <w:w w:val="105"/>
        </w:rPr>
        <w:t> </w:t>
      </w:r>
      <w:r>
        <w:rPr>
          <w:color w:val="231F20"/>
          <w:w w:val="105"/>
        </w:rPr>
        <w:t>ambos</w:t>
      </w:r>
      <w:r>
        <w:rPr>
          <w:color w:val="231F20"/>
          <w:spacing w:val="-21"/>
          <w:w w:val="105"/>
        </w:rPr>
        <w:t> </w:t>
      </w:r>
      <w:r>
        <w:rPr>
          <w:color w:val="231F20"/>
          <w:w w:val="105"/>
        </w:rPr>
        <w:t>transitan</w:t>
      </w:r>
      <w:r>
        <w:rPr>
          <w:color w:val="231F20"/>
          <w:spacing w:val="-21"/>
          <w:w w:val="105"/>
        </w:rPr>
        <w:t> </w:t>
      </w:r>
      <w:r>
        <w:rPr>
          <w:color w:val="231F20"/>
          <w:w w:val="105"/>
        </w:rPr>
        <w:t>por</w:t>
      </w:r>
      <w:r>
        <w:rPr>
          <w:color w:val="231F20"/>
          <w:spacing w:val="-21"/>
          <w:w w:val="105"/>
        </w:rPr>
        <w:t> </w:t>
      </w:r>
      <w:r>
        <w:rPr>
          <w:color w:val="231F20"/>
          <w:w w:val="105"/>
        </w:rPr>
        <w:t>sus</w:t>
      </w:r>
      <w:r>
        <w:rPr>
          <w:color w:val="231F20"/>
          <w:spacing w:val="-21"/>
          <w:w w:val="105"/>
        </w:rPr>
        <w:t> </w:t>
      </w:r>
      <w:r>
        <w:rPr>
          <w:color w:val="231F20"/>
          <w:w w:val="105"/>
        </w:rPr>
        <w:t>propias</w:t>
      </w:r>
      <w:r>
        <w:rPr>
          <w:color w:val="231F20"/>
          <w:spacing w:val="-21"/>
          <w:w w:val="105"/>
        </w:rPr>
        <w:t> </w:t>
      </w:r>
      <w:r>
        <w:rPr>
          <w:color w:val="231F20"/>
          <w:w w:val="105"/>
        </w:rPr>
        <w:t>alegrías, tristezas</w:t>
      </w:r>
      <w:r>
        <w:rPr>
          <w:color w:val="231F20"/>
          <w:spacing w:val="-37"/>
          <w:w w:val="105"/>
        </w:rPr>
        <w:t> </w:t>
      </w:r>
      <w:r>
        <w:rPr>
          <w:color w:val="231F20"/>
          <w:w w:val="105"/>
        </w:rPr>
        <w:t>y</w:t>
      </w:r>
      <w:r>
        <w:rPr>
          <w:color w:val="231F20"/>
          <w:spacing w:val="-37"/>
          <w:w w:val="105"/>
        </w:rPr>
        <w:t> </w:t>
      </w:r>
      <w:r>
        <w:rPr>
          <w:color w:val="231F20"/>
          <w:w w:val="105"/>
        </w:rPr>
        <w:t>penas,</w:t>
      </w:r>
      <w:r>
        <w:rPr>
          <w:color w:val="231F20"/>
          <w:spacing w:val="-40"/>
          <w:w w:val="105"/>
        </w:rPr>
        <w:t> </w:t>
      </w:r>
      <w:r>
        <w:rPr>
          <w:color w:val="231F20"/>
          <w:w w:val="105"/>
        </w:rPr>
        <w:t>logrando</w:t>
      </w:r>
      <w:r>
        <w:rPr>
          <w:color w:val="231F20"/>
          <w:spacing w:val="-37"/>
          <w:w w:val="105"/>
        </w:rPr>
        <w:t> </w:t>
      </w:r>
      <w:r>
        <w:rPr>
          <w:color w:val="231F20"/>
          <w:w w:val="105"/>
        </w:rPr>
        <w:t>algunas</w:t>
      </w:r>
      <w:r>
        <w:rPr>
          <w:color w:val="231F20"/>
          <w:spacing w:val="-37"/>
          <w:w w:val="105"/>
        </w:rPr>
        <w:t> </w:t>
      </w:r>
      <w:r>
        <w:rPr>
          <w:color w:val="231F20"/>
          <w:w w:val="105"/>
        </w:rPr>
        <w:t>veces</w:t>
      </w:r>
      <w:r>
        <w:rPr>
          <w:color w:val="231F20"/>
          <w:spacing w:val="-37"/>
          <w:w w:val="105"/>
        </w:rPr>
        <w:t> </w:t>
      </w:r>
      <w:r>
        <w:rPr>
          <w:color w:val="231F20"/>
          <w:w w:val="105"/>
        </w:rPr>
        <w:t>mantenerse</w:t>
      </w:r>
      <w:r>
        <w:rPr>
          <w:color w:val="231F20"/>
          <w:spacing w:val="-37"/>
          <w:w w:val="105"/>
        </w:rPr>
        <w:t> </w:t>
      </w:r>
      <w:r>
        <w:rPr>
          <w:color w:val="231F20"/>
          <w:w w:val="105"/>
        </w:rPr>
        <w:t>felices</w:t>
      </w:r>
      <w:r>
        <w:rPr>
          <w:color w:val="231F20"/>
          <w:spacing w:val="-37"/>
          <w:w w:val="105"/>
        </w:rPr>
        <w:t> </w:t>
      </w:r>
      <w:r>
        <w:rPr>
          <w:color w:val="231F20"/>
          <w:w w:val="105"/>
        </w:rPr>
        <w:t>y</w:t>
      </w:r>
      <w:r>
        <w:rPr>
          <w:color w:val="231F20"/>
          <w:spacing w:val="-37"/>
          <w:w w:val="105"/>
        </w:rPr>
        <w:t> </w:t>
      </w:r>
      <w:r>
        <w:rPr>
          <w:color w:val="231F20"/>
          <w:w w:val="105"/>
        </w:rPr>
        <w:t>tranquilos, y</w:t>
      </w:r>
      <w:r>
        <w:rPr>
          <w:color w:val="231F20"/>
          <w:spacing w:val="-20"/>
          <w:w w:val="105"/>
        </w:rPr>
        <w:t> </w:t>
      </w:r>
      <w:r>
        <w:rPr>
          <w:color w:val="231F20"/>
          <w:w w:val="105"/>
        </w:rPr>
        <w:t>otras</w:t>
      </w:r>
      <w:r>
        <w:rPr>
          <w:color w:val="231F20"/>
          <w:spacing w:val="-20"/>
          <w:w w:val="105"/>
        </w:rPr>
        <w:t> </w:t>
      </w:r>
      <w:r>
        <w:rPr>
          <w:color w:val="231F20"/>
          <w:w w:val="105"/>
        </w:rPr>
        <w:t>veces</w:t>
      </w:r>
      <w:r>
        <w:rPr>
          <w:color w:val="231F20"/>
          <w:spacing w:val="-20"/>
          <w:w w:val="105"/>
        </w:rPr>
        <w:t> </w:t>
      </w:r>
      <w:r>
        <w:rPr>
          <w:color w:val="231F20"/>
          <w:w w:val="105"/>
        </w:rPr>
        <w:t>confundidos</w:t>
      </w:r>
      <w:r>
        <w:rPr>
          <w:color w:val="231F20"/>
          <w:spacing w:val="-20"/>
          <w:w w:val="105"/>
        </w:rPr>
        <w:t> </w:t>
      </w:r>
      <w:r>
        <w:rPr>
          <w:color w:val="231F20"/>
          <w:w w:val="105"/>
        </w:rPr>
        <w:t>bajo</w:t>
      </w:r>
      <w:r>
        <w:rPr>
          <w:color w:val="231F20"/>
          <w:spacing w:val="-20"/>
          <w:w w:val="105"/>
        </w:rPr>
        <w:t> </w:t>
      </w:r>
      <w:r>
        <w:rPr>
          <w:color w:val="231F20"/>
          <w:w w:val="105"/>
        </w:rPr>
        <w:t>la</w:t>
      </w:r>
      <w:r>
        <w:rPr>
          <w:color w:val="231F20"/>
          <w:spacing w:val="-20"/>
          <w:w w:val="105"/>
        </w:rPr>
        <w:t> </w:t>
      </w:r>
      <w:r>
        <w:rPr>
          <w:color w:val="231F20"/>
          <w:w w:val="105"/>
        </w:rPr>
        <w:t>experiencia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alegría,</w:t>
      </w:r>
      <w:r>
        <w:rPr>
          <w:color w:val="231F20"/>
          <w:spacing w:val="-25"/>
          <w:w w:val="105"/>
        </w:rPr>
        <w:t> </w:t>
      </w:r>
      <w:r>
        <w:rPr>
          <w:color w:val="231F20"/>
          <w:w w:val="105"/>
        </w:rPr>
        <w:t>el</w:t>
      </w:r>
      <w:r>
        <w:rPr>
          <w:color w:val="231F20"/>
          <w:spacing w:val="-20"/>
          <w:w w:val="105"/>
        </w:rPr>
        <w:t> </w:t>
      </w:r>
      <w:r>
        <w:rPr>
          <w:color w:val="231F20"/>
          <w:w w:val="105"/>
        </w:rPr>
        <w:t>sufrimiento y</w:t>
      </w:r>
      <w:r>
        <w:rPr>
          <w:color w:val="231F20"/>
          <w:spacing w:val="-21"/>
          <w:w w:val="105"/>
        </w:rPr>
        <w:t> </w:t>
      </w:r>
      <w:r>
        <w:rPr>
          <w:color w:val="231F20"/>
          <w:w w:val="105"/>
        </w:rPr>
        <w:t>la</w:t>
      </w:r>
      <w:r>
        <w:rPr>
          <w:color w:val="231F20"/>
          <w:spacing w:val="-21"/>
          <w:w w:val="105"/>
        </w:rPr>
        <w:t> </w:t>
      </w:r>
      <w:r>
        <w:rPr>
          <w:color w:val="231F20"/>
          <w:w w:val="105"/>
        </w:rPr>
        <w:t>tristeza.</w:t>
      </w:r>
      <w:r>
        <w:rPr>
          <w:color w:val="231F20"/>
          <w:spacing w:val="-26"/>
          <w:w w:val="105"/>
        </w:rPr>
        <w:t> </w:t>
      </w:r>
      <w:r>
        <w:rPr>
          <w:color w:val="231F20"/>
          <w:w w:val="105"/>
        </w:rPr>
        <w:t>Es</w:t>
      </w:r>
      <w:r>
        <w:rPr>
          <w:color w:val="231F20"/>
          <w:spacing w:val="-21"/>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las</w:t>
      </w:r>
      <w:r>
        <w:rPr>
          <w:color w:val="231F20"/>
          <w:spacing w:val="-21"/>
          <w:w w:val="105"/>
        </w:rPr>
        <w:t> </w:t>
      </w:r>
      <w:r>
        <w:rPr>
          <w:color w:val="231F20"/>
          <w:w w:val="105"/>
        </w:rPr>
        <w:t>emociones</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migración</w:t>
      </w:r>
      <w:r>
        <w:rPr>
          <w:color w:val="231F20"/>
          <w:spacing w:val="-21"/>
          <w:w w:val="105"/>
        </w:rPr>
        <w:t> </w:t>
      </w:r>
      <w:r>
        <w:rPr>
          <w:color w:val="231F20"/>
          <w:w w:val="105"/>
        </w:rPr>
        <w:t>trascienden</w:t>
      </w:r>
      <w:r>
        <w:rPr>
          <w:color w:val="231F20"/>
          <w:spacing w:val="-21"/>
          <w:w w:val="105"/>
        </w:rPr>
        <w:t> </w:t>
      </w:r>
      <w:r>
        <w:rPr>
          <w:color w:val="231F20"/>
          <w:w w:val="105"/>
        </w:rPr>
        <w:t>en</w:t>
      </w:r>
      <w:r>
        <w:rPr>
          <w:color w:val="231F20"/>
          <w:spacing w:val="-21"/>
          <w:w w:val="105"/>
        </w:rPr>
        <w:t> </w:t>
      </w:r>
      <w:r>
        <w:rPr>
          <w:color w:val="231F20"/>
          <w:w w:val="105"/>
        </w:rPr>
        <w:t>la estructura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relaciones</w:t>
      </w:r>
      <w:r>
        <w:rPr>
          <w:color w:val="231F20"/>
          <w:spacing w:val="-17"/>
          <w:w w:val="105"/>
        </w:rPr>
        <w:t> </w:t>
      </w:r>
      <w:r>
        <w:rPr>
          <w:color w:val="231F20"/>
          <w:w w:val="105"/>
        </w:rPr>
        <w:t>conyugales,</w:t>
      </w:r>
      <w:r>
        <w:rPr>
          <w:color w:val="231F20"/>
          <w:spacing w:val="-21"/>
          <w:w w:val="105"/>
        </w:rPr>
        <w:t> </w:t>
      </w:r>
      <w:r>
        <w:rPr>
          <w:color w:val="231F20"/>
          <w:w w:val="105"/>
        </w:rPr>
        <w:t>siendo</w:t>
      </w:r>
      <w:r>
        <w:rPr>
          <w:color w:val="231F20"/>
          <w:spacing w:val="-17"/>
          <w:w w:val="105"/>
        </w:rPr>
        <w:t> </w:t>
      </w:r>
      <w:r>
        <w:rPr>
          <w:color w:val="231F20"/>
          <w:w w:val="105"/>
        </w:rPr>
        <w:t>las</w:t>
      </w:r>
      <w:r>
        <w:rPr>
          <w:color w:val="231F20"/>
          <w:spacing w:val="-17"/>
          <w:w w:val="105"/>
        </w:rPr>
        <w:t> </w:t>
      </w:r>
      <w:r>
        <w:rPr>
          <w:color w:val="231F20"/>
          <w:w w:val="105"/>
        </w:rPr>
        <w:t>idas</w:t>
      </w:r>
      <w:r>
        <w:rPr>
          <w:color w:val="231F20"/>
          <w:spacing w:val="-17"/>
          <w:w w:val="105"/>
        </w:rPr>
        <w:t> </w:t>
      </w:r>
      <w:r>
        <w:rPr>
          <w:color w:val="231F20"/>
          <w:w w:val="105"/>
        </w:rPr>
        <w:t>tiempos</w:t>
      </w:r>
      <w:r>
        <w:rPr>
          <w:color w:val="231F20"/>
          <w:spacing w:val="-17"/>
          <w:w w:val="105"/>
        </w:rPr>
        <w:t> </w:t>
      </w:r>
      <w:r>
        <w:rPr>
          <w:color w:val="231F20"/>
          <w:w w:val="105"/>
        </w:rPr>
        <w:t>difíciles que</w:t>
      </w:r>
      <w:r>
        <w:rPr>
          <w:color w:val="231F20"/>
          <w:spacing w:val="-13"/>
          <w:w w:val="105"/>
        </w:rPr>
        <w:t> </w:t>
      </w:r>
      <w:r>
        <w:rPr>
          <w:color w:val="231F20"/>
          <w:w w:val="105"/>
        </w:rPr>
        <w:t>pueden</w:t>
      </w:r>
      <w:r>
        <w:rPr>
          <w:color w:val="231F20"/>
          <w:spacing w:val="-13"/>
          <w:w w:val="105"/>
        </w:rPr>
        <w:t> </w:t>
      </w:r>
      <w:r>
        <w:rPr>
          <w:color w:val="231F20"/>
          <w:w w:val="105"/>
        </w:rPr>
        <w:t>volver</w:t>
      </w:r>
      <w:r>
        <w:rPr>
          <w:color w:val="231F20"/>
          <w:spacing w:val="-13"/>
          <w:w w:val="105"/>
        </w:rPr>
        <w:t> </w:t>
      </w:r>
      <w:r>
        <w:rPr>
          <w:color w:val="231F20"/>
          <w:w w:val="105"/>
        </w:rPr>
        <w:t>“líquidas”</w:t>
      </w:r>
      <w:r>
        <w:rPr>
          <w:color w:val="231F20"/>
          <w:spacing w:val="-13"/>
          <w:w w:val="105"/>
        </w:rPr>
        <w:t> </w:t>
      </w:r>
      <w:r>
        <w:rPr>
          <w:color w:val="231F20"/>
          <w:w w:val="105"/>
        </w:rPr>
        <w:t>las</w:t>
      </w:r>
      <w:r>
        <w:rPr>
          <w:color w:val="231F20"/>
          <w:spacing w:val="-13"/>
          <w:w w:val="105"/>
        </w:rPr>
        <w:t> </w:t>
      </w:r>
      <w:r>
        <w:rPr>
          <w:color w:val="231F20"/>
          <w:w w:val="105"/>
        </w:rPr>
        <w:t>relaciones</w:t>
      </w:r>
      <w:r>
        <w:rPr>
          <w:color w:val="231F20"/>
          <w:spacing w:val="-13"/>
          <w:w w:val="105"/>
        </w:rPr>
        <w:t> </w:t>
      </w:r>
      <w:r>
        <w:rPr>
          <w:color w:val="231F20"/>
          <w:w w:val="105"/>
        </w:rPr>
        <w:t>de</w:t>
      </w:r>
      <w:r>
        <w:rPr>
          <w:color w:val="231F20"/>
          <w:spacing w:val="-13"/>
          <w:w w:val="105"/>
        </w:rPr>
        <w:t> </w:t>
      </w:r>
      <w:r>
        <w:rPr>
          <w:color w:val="231F20"/>
          <w:w w:val="105"/>
        </w:rPr>
        <w:t>pareja,</w:t>
      </w:r>
      <w:r>
        <w:rPr>
          <w:color w:val="231F20"/>
          <w:spacing w:val="-19"/>
          <w:w w:val="105"/>
        </w:rPr>
        <w:t> </w:t>
      </w:r>
      <w:r>
        <w:rPr>
          <w:color w:val="231F20"/>
          <w:w w:val="105"/>
        </w:rPr>
        <w:t>en</w:t>
      </w:r>
      <w:r>
        <w:rPr>
          <w:color w:val="231F20"/>
          <w:spacing w:val="-13"/>
          <w:w w:val="105"/>
        </w:rPr>
        <w:t> </w:t>
      </w:r>
      <w:r>
        <w:rPr>
          <w:color w:val="231F20"/>
          <w:w w:val="105"/>
        </w:rPr>
        <w:t>tanto</w:t>
      </w:r>
      <w:r>
        <w:rPr>
          <w:color w:val="231F20"/>
          <w:spacing w:val="-13"/>
          <w:w w:val="105"/>
        </w:rPr>
        <w:t> </w:t>
      </w:r>
      <w:r>
        <w:rPr>
          <w:color w:val="231F20"/>
          <w:w w:val="105"/>
        </w:rPr>
        <w:t>los</w:t>
      </w:r>
      <w:r>
        <w:rPr>
          <w:color w:val="231F20"/>
          <w:spacing w:val="-13"/>
          <w:w w:val="105"/>
        </w:rPr>
        <w:t> </w:t>
      </w:r>
      <w:r>
        <w:rPr>
          <w:color w:val="231F20"/>
          <w:w w:val="105"/>
        </w:rPr>
        <w:t>regre- sos</w:t>
      </w:r>
      <w:r>
        <w:rPr>
          <w:color w:val="231F20"/>
          <w:spacing w:val="-31"/>
          <w:w w:val="105"/>
        </w:rPr>
        <w:t> </w:t>
      </w:r>
      <w:r>
        <w:rPr>
          <w:color w:val="231F20"/>
          <w:w w:val="105"/>
        </w:rPr>
        <w:t>las</w:t>
      </w:r>
      <w:r>
        <w:rPr>
          <w:color w:val="231F20"/>
          <w:spacing w:val="-31"/>
          <w:w w:val="105"/>
        </w:rPr>
        <w:t> </w:t>
      </w:r>
      <w:r>
        <w:rPr>
          <w:color w:val="231F20"/>
          <w:w w:val="105"/>
        </w:rPr>
        <w:t>recuperan,</w:t>
      </w:r>
      <w:r>
        <w:rPr>
          <w:color w:val="231F20"/>
          <w:spacing w:val="-35"/>
          <w:w w:val="105"/>
        </w:rPr>
        <w:t> </w:t>
      </w:r>
      <w:r>
        <w:rPr>
          <w:color w:val="231F20"/>
          <w:w w:val="105"/>
        </w:rPr>
        <w:t>haciéndolas</w:t>
      </w:r>
      <w:r>
        <w:rPr>
          <w:color w:val="231F20"/>
          <w:spacing w:val="-31"/>
          <w:w w:val="105"/>
        </w:rPr>
        <w:t> </w:t>
      </w:r>
      <w:r>
        <w:rPr>
          <w:color w:val="231F20"/>
          <w:w w:val="105"/>
        </w:rPr>
        <w:t>social</w:t>
      </w:r>
      <w:r>
        <w:rPr>
          <w:color w:val="231F20"/>
          <w:spacing w:val="-31"/>
          <w:w w:val="105"/>
        </w:rPr>
        <w:t> </w:t>
      </w:r>
      <w:r>
        <w:rPr>
          <w:color w:val="231F20"/>
          <w:w w:val="105"/>
        </w:rPr>
        <w:t>y</w:t>
      </w:r>
      <w:r>
        <w:rPr>
          <w:color w:val="231F20"/>
          <w:spacing w:val="-31"/>
          <w:w w:val="105"/>
        </w:rPr>
        <w:t> </w:t>
      </w:r>
      <w:r>
        <w:rPr>
          <w:color w:val="231F20"/>
          <w:w w:val="105"/>
        </w:rPr>
        <w:t>afectivamente</w:t>
      </w:r>
      <w:r>
        <w:rPr>
          <w:color w:val="231F20"/>
          <w:spacing w:val="-31"/>
          <w:w w:val="105"/>
        </w:rPr>
        <w:t> </w:t>
      </w:r>
      <w:r>
        <w:rPr>
          <w:color w:val="231F20"/>
          <w:spacing w:val="-3"/>
          <w:w w:val="105"/>
        </w:rPr>
        <w:t>“sólidas”.</w:t>
      </w:r>
    </w:p>
    <w:p>
      <w:pPr>
        <w:pStyle w:val="BodyText"/>
        <w:spacing w:line="261" w:lineRule="auto" w:before="1"/>
        <w:ind w:left="1837" w:right="1721" w:firstLine="567"/>
        <w:jc w:val="both"/>
      </w:pPr>
      <w:r>
        <w:rPr>
          <w:color w:val="231F20"/>
          <w:w w:val="105"/>
        </w:rPr>
        <w:t>A manera de cierre se puede decir que la serie de trabajos aquí presentados</w:t>
      </w:r>
      <w:r>
        <w:rPr>
          <w:color w:val="231F20"/>
          <w:spacing w:val="-21"/>
          <w:w w:val="105"/>
        </w:rPr>
        <w:t> </w:t>
      </w:r>
      <w:r>
        <w:rPr>
          <w:color w:val="231F20"/>
          <w:w w:val="105"/>
        </w:rPr>
        <w:t>muestran</w:t>
      </w:r>
      <w:r>
        <w:rPr>
          <w:color w:val="231F20"/>
          <w:spacing w:val="-21"/>
          <w:w w:val="105"/>
        </w:rPr>
        <w:t> </w:t>
      </w:r>
      <w:r>
        <w:rPr>
          <w:color w:val="231F20"/>
          <w:w w:val="105"/>
        </w:rPr>
        <w:t>la</w:t>
      </w:r>
      <w:r>
        <w:rPr>
          <w:color w:val="231F20"/>
          <w:spacing w:val="-21"/>
          <w:w w:val="105"/>
        </w:rPr>
        <w:t> </w:t>
      </w:r>
      <w:r>
        <w:rPr>
          <w:color w:val="231F20"/>
          <w:w w:val="105"/>
        </w:rPr>
        <w:t>riqueza</w:t>
      </w:r>
      <w:r>
        <w:rPr>
          <w:color w:val="231F20"/>
          <w:spacing w:val="-21"/>
          <w:w w:val="105"/>
        </w:rPr>
        <w:t> </w:t>
      </w:r>
      <w:r>
        <w:rPr>
          <w:color w:val="231F20"/>
          <w:w w:val="105"/>
        </w:rPr>
        <w:t>temática</w:t>
      </w:r>
      <w:r>
        <w:rPr>
          <w:color w:val="231F20"/>
          <w:spacing w:val="-21"/>
          <w:w w:val="105"/>
        </w:rPr>
        <w:t> </w:t>
      </w:r>
      <w:r>
        <w:rPr>
          <w:color w:val="231F20"/>
          <w:w w:val="105"/>
        </w:rPr>
        <w:t>en</w:t>
      </w:r>
      <w:r>
        <w:rPr>
          <w:color w:val="231F20"/>
          <w:spacing w:val="-21"/>
          <w:w w:val="105"/>
        </w:rPr>
        <w:t> </w:t>
      </w:r>
      <w:r>
        <w:rPr>
          <w:color w:val="231F20"/>
          <w:w w:val="105"/>
        </w:rPr>
        <w:t>torno</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cambios</w:t>
      </w:r>
      <w:r>
        <w:rPr>
          <w:color w:val="231F20"/>
          <w:spacing w:val="-21"/>
          <w:w w:val="105"/>
        </w:rPr>
        <w:t> </w:t>
      </w:r>
      <w:r>
        <w:rPr>
          <w:color w:val="231F20"/>
          <w:w w:val="105"/>
        </w:rPr>
        <w:t>y</w:t>
      </w:r>
      <w:r>
        <w:rPr>
          <w:color w:val="231F20"/>
          <w:spacing w:val="-21"/>
          <w:w w:val="105"/>
        </w:rPr>
        <w:t> </w:t>
      </w:r>
      <w:r>
        <w:rPr>
          <w:color w:val="231F20"/>
          <w:w w:val="105"/>
        </w:rPr>
        <w:t>conti- nuidades</w:t>
      </w:r>
      <w:r>
        <w:rPr>
          <w:color w:val="231F20"/>
          <w:spacing w:val="-30"/>
          <w:w w:val="105"/>
        </w:rPr>
        <w:t> </w:t>
      </w:r>
      <w:r>
        <w:rPr>
          <w:color w:val="231F20"/>
          <w:w w:val="105"/>
        </w:rPr>
        <w:t>en</w:t>
      </w:r>
      <w:r>
        <w:rPr>
          <w:color w:val="231F20"/>
          <w:spacing w:val="-30"/>
          <w:w w:val="105"/>
        </w:rPr>
        <w:t> </w:t>
      </w:r>
      <w:r>
        <w:rPr>
          <w:color w:val="231F20"/>
          <w:w w:val="105"/>
        </w:rPr>
        <w:t>las</w:t>
      </w:r>
      <w:r>
        <w:rPr>
          <w:color w:val="231F20"/>
          <w:spacing w:val="-30"/>
          <w:w w:val="105"/>
        </w:rPr>
        <w:t> </w:t>
      </w:r>
      <w:r>
        <w:rPr>
          <w:color w:val="231F20"/>
          <w:w w:val="105"/>
        </w:rPr>
        <w:t>migraciones</w:t>
      </w:r>
      <w:r>
        <w:rPr>
          <w:color w:val="231F20"/>
          <w:spacing w:val="-30"/>
          <w:w w:val="105"/>
        </w:rPr>
        <w:t> </w:t>
      </w:r>
      <w:r>
        <w:rPr>
          <w:color w:val="231F20"/>
          <w:w w:val="105"/>
        </w:rPr>
        <w:t>de</w:t>
      </w:r>
      <w:r>
        <w:rPr>
          <w:color w:val="231F20"/>
          <w:spacing w:val="-30"/>
          <w:w w:val="105"/>
        </w:rPr>
        <w:t> </w:t>
      </w:r>
      <w:r>
        <w:rPr>
          <w:color w:val="231F20"/>
          <w:w w:val="105"/>
        </w:rPr>
        <w:t>México</w:t>
      </w:r>
      <w:r>
        <w:rPr>
          <w:color w:val="231F20"/>
          <w:spacing w:val="-30"/>
          <w:w w:val="105"/>
        </w:rPr>
        <w:t> </w:t>
      </w:r>
      <w:r>
        <w:rPr>
          <w:color w:val="231F20"/>
          <w:w w:val="105"/>
        </w:rPr>
        <w:t>a</w:t>
      </w:r>
      <w:r>
        <w:rPr>
          <w:color w:val="231F20"/>
          <w:spacing w:val="-30"/>
          <w:w w:val="105"/>
        </w:rPr>
        <w:t> </w:t>
      </w:r>
      <w:r>
        <w:rPr>
          <w:color w:val="231F20"/>
          <w:w w:val="105"/>
        </w:rPr>
        <w:t>Estados</w:t>
      </w:r>
      <w:r>
        <w:rPr>
          <w:color w:val="231F20"/>
          <w:spacing w:val="-30"/>
          <w:w w:val="105"/>
        </w:rPr>
        <w:t> </w:t>
      </w:r>
      <w:r>
        <w:rPr>
          <w:color w:val="231F20"/>
          <w:w w:val="105"/>
        </w:rPr>
        <w:t>Unidos,</w:t>
      </w:r>
      <w:r>
        <w:rPr>
          <w:color w:val="231F20"/>
          <w:spacing w:val="-34"/>
          <w:w w:val="105"/>
        </w:rPr>
        <w:t> </w:t>
      </w:r>
      <w:r>
        <w:rPr>
          <w:color w:val="231F20"/>
          <w:w w:val="105"/>
        </w:rPr>
        <w:t>especialmente en</w:t>
      </w:r>
      <w:r>
        <w:rPr>
          <w:color w:val="231F20"/>
          <w:spacing w:val="-16"/>
          <w:w w:val="105"/>
        </w:rPr>
        <w:t> </w:t>
      </w:r>
      <w:r>
        <w:rPr>
          <w:color w:val="231F20"/>
          <w:w w:val="105"/>
        </w:rPr>
        <w:t>cuanto</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perspectivas</w:t>
      </w:r>
      <w:r>
        <w:rPr>
          <w:color w:val="231F20"/>
          <w:spacing w:val="-16"/>
          <w:w w:val="105"/>
        </w:rPr>
        <w:t> </w:t>
      </w:r>
      <w:r>
        <w:rPr>
          <w:color w:val="231F20"/>
          <w:w w:val="105"/>
        </w:rPr>
        <w:t>y</w:t>
      </w:r>
      <w:r>
        <w:rPr>
          <w:color w:val="231F20"/>
          <w:spacing w:val="-16"/>
          <w:w w:val="105"/>
        </w:rPr>
        <w:t> </w:t>
      </w:r>
      <w:r>
        <w:rPr>
          <w:color w:val="231F20"/>
          <w:w w:val="105"/>
        </w:rPr>
        <w:t>tendencias</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circulación,</w:t>
      </w:r>
      <w:r>
        <w:rPr>
          <w:color w:val="231F20"/>
          <w:spacing w:val="-20"/>
          <w:w w:val="105"/>
        </w:rPr>
        <w:t> </w:t>
      </w:r>
      <w:r>
        <w:rPr>
          <w:color w:val="231F20"/>
          <w:w w:val="105"/>
        </w:rPr>
        <w:t>territorialida- des, experiencias y resignificaciones de la migración y el retorno en el Estado</w:t>
      </w:r>
      <w:r>
        <w:rPr>
          <w:color w:val="231F20"/>
          <w:spacing w:val="-26"/>
          <w:w w:val="105"/>
        </w:rPr>
        <w:t> </w:t>
      </w:r>
      <w:r>
        <w:rPr>
          <w:color w:val="231F20"/>
          <w:w w:val="105"/>
        </w:rPr>
        <w:t>de</w:t>
      </w:r>
      <w:r>
        <w:rPr>
          <w:color w:val="231F20"/>
          <w:spacing w:val="-26"/>
          <w:w w:val="105"/>
        </w:rPr>
        <w:t> </w:t>
      </w:r>
      <w:r>
        <w:rPr>
          <w:color w:val="231F20"/>
          <w:w w:val="105"/>
        </w:rPr>
        <w:t>México.</w:t>
      </w:r>
    </w:p>
    <w:p>
      <w:pPr>
        <w:pStyle w:val="BodyText"/>
        <w:spacing w:line="261" w:lineRule="auto" w:before="1"/>
        <w:ind w:left="1837" w:right="1715" w:firstLine="567"/>
        <w:jc w:val="right"/>
      </w:pPr>
      <w:r>
        <w:rPr/>
        <w:pict>
          <v:line style="position:absolute;mso-position-horizontal-relative:page;mso-position-vertical-relative:paragraph;z-index:-487864" from="15pt,196.010498pt" to="0pt,196.010498pt" stroked="true" strokeweight=".25pt" strokecolor="#000000">
            <w10:wrap type="none"/>
          </v:line>
        </w:pict>
      </w:r>
      <w:r>
        <w:rPr/>
        <w:pict>
          <v:line style="position:absolute;mso-position-horizontal-relative:page;mso-position-vertical-relative:paragraph;z-index:2344" from="508.890015pt,196.010498pt" to="523.890015pt,196.010498pt" stroked="true" strokeweight=".25pt" strokecolor="#000000">
            <w10:wrap type="none"/>
          </v:line>
        </w:pict>
      </w:r>
      <w:r>
        <w:rPr>
          <w:color w:val="231F20"/>
          <w:w w:val="105"/>
        </w:rPr>
        <w:t>El</w:t>
      </w:r>
      <w:r>
        <w:rPr>
          <w:color w:val="231F20"/>
          <w:spacing w:val="-15"/>
          <w:w w:val="105"/>
        </w:rPr>
        <w:t> </w:t>
      </w:r>
      <w:r>
        <w:rPr>
          <w:color w:val="231F20"/>
          <w:w w:val="105"/>
        </w:rPr>
        <w:t>texto</w:t>
      </w:r>
      <w:r>
        <w:rPr>
          <w:color w:val="231F20"/>
          <w:spacing w:val="-15"/>
          <w:w w:val="105"/>
        </w:rPr>
        <w:t> </w:t>
      </w:r>
      <w:r>
        <w:rPr>
          <w:color w:val="231F20"/>
          <w:w w:val="105"/>
        </w:rPr>
        <w:t>desarrollado</w:t>
      </w:r>
      <w:r>
        <w:rPr>
          <w:color w:val="231F20"/>
          <w:spacing w:val="-15"/>
          <w:w w:val="105"/>
        </w:rPr>
        <w:t> </w:t>
      </w:r>
      <w:r>
        <w:rPr>
          <w:color w:val="231F20"/>
          <w:w w:val="105"/>
        </w:rPr>
        <w:t>forma</w:t>
      </w:r>
      <w:r>
        <w:rPr>
          <w:color w:val="231F20"/>
          <w:spacing w:val="-15"/>
          <w:w w:val="105"/>
        </w:rPr>
        <w:t> </w:t>
      </w:r>
      <w:r>
        <w:rPr>
          <w:color w:val="231F20"/>
          <w:w w:val="105"/>
        </w:rPr>
        <w:t>parte</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esfuerzo</w:t>
      </w:r>
      <w:r>
        <w:rPr>
          <w:color w:val="231F20"/>
          <w:spacing w:val="-15"/>
          <w:w w:val="105"/>
        </w:rPr>
        <w:t> </w:t>
      </w:r>
      <w:r>
        <w:rPr>
          <w:color w:val="231F20"/>
          <w:w w:val="105"/>
        </w:rPr>
        <w:t>colectivo</w:t>
      </w:r>
      <w:r>
        <w:rPr>
          <w:color w:val="231F20"/>
          <w:spacing w:val="-15"/>
          <w:w w:val="105"/>
        </w:rPr>
        <w:t> </w:t>
      </w:r>
      <w:r>
        <w:rPr>
          <w:color w:val="231F20"/>
          <w:w w:val="105"/>
        </w:rPr>
        <w:t>de</w:t>
      </w:r>
      <w:r>
        <w:rPr>
          <w:color w:val="231F20"/>
          <w:spacing w:val="-15"/>
          <w:w w:val="105"/>
        </w:rPr>
        <w:t> </w:t>
      </w:r>
      <w:r>
        <w:rPr>
          <w:color w:val="231F20"/>
          <w:w w:val="105"/>
        </w:rPr>
        <w:t>auto-</w:t>
      </w:r>
      <w:r>
        <w:rPr>
          <w:color w:val="231F20"/>
          <w:w w:val="96"/>
        </w:rPr>
        <w:t> </w:t>
      </w:r>
      <w:r>
        <w:rPr>
          <w:color w:val="231F20"/>
          <w:w w:val="105"/>
        </w:rPr>
        <w:t>res</w:t>
      </w:r>
      <w:r>
        <w:rPr>
          <w:color w:val="231F20"/>
          <w:spacing w:val="-15"/>
          <w:w w:val="105"/>
        </w:rPr>
        <w:t> </w:t>
      </w:r>
      <w:r>
        <w:rPr>
          <w:color w:val="231F20"/>
          <w:w w:val="105"/>
        </w:rPr>
        <w:t>y</w:t>
      </w:r>
      <w:r>
        <w:rPr>
          <w:color w:val="231F20"/>
          <w:spacing w:val="-15"/>
          <w:w w:val="105"/>
        </w:rPr>
        <w:t> </w:t>
      </w:r>
      <w:r>
        <w:rPr>
          <w:color w:val="231F20"/>
          <w:w w:val="105"/>
        </w:rPr>
        <w:t>autoras</w:t>
      </w:r>
      <w:r>
        <w:rPr>
          <w:color w:val="231F20"/>
          <w:spacing w:val="-15"/>
          <w:w w:val="105"/>
        </w:rPr>
        <w:t> </w:t>
      </w:r>
      <w:r>
        <w:rPr>
          <w:color w:val="231F20"/>
          <w:w w:val="105"/>
        </w:rPr>
        <w:t>de</w:t>
      </w:r>
      <w:r>
        <w:rPr>
          <w:color w:val="231F20"/>
          <w:spacing w:val="-15"/>
          <w:w w:val="105"/>
        </w:rPr>
        <w:t> </w:t>
      </w:r>
      <w:r>
        <w:rPr>
          <w:color w:val="231F20"/>
          <w:w w:val="105"/>
        </w:rPr>
        <w:t>diversas</w:t>
      </w:r>
      <w:r>
        <w:rPr>
          <w:color w:val="231F20"/>
          <w:spacing w:val="-15"/>
          <w:w w:val="105"/>
        </w:rPr>
        <w:t> </w:t>
      </w:r>
      <w:r>
        <w:rPr>
          <w:color w:val="231F20"/>
          <w:w w:val="105"/>
        </w:rPr>
        <w:t>instituciones</w:t>
      </w:r>
      <w:r>
        <w:rPr>
          <w:color w:val="231F20"/>
          <w:spacing w:val="-15"/>
          <w:w w:val="105"/>
        </w:rPr>
        <w:t> </w:t>
      </w:r>
      <w:r>
        <w:rPr>
          <w:color w:val="231F20"/>
          <w:w w:val="105"/>
        </w:rPr>
        <w:t>académicas</w:t>
      </w:r>
      <w:r>
        <w:rPr>
          <w:color w:val="231F20"/>
          <w:spacing w:val="-15"/>
          <w:w w:val="105"/>
        </w:rPr>
        <w:t> </w:t>
      </w:r>
      <w:r>
        <w:rPr>
          <w:color w:val="231F20"/>
          <w:w w:val="105"/>
        </w:rPr>
        <w:t>de</w:t>
      </w:r>
      <w:r>
        <w:rPr>
          <w:color w:val="231F20"/>
          <w:spacing w:val="-15"/>
          <w:w w:val="105"/>
        </w:rPr>
        <w:t> </w:t>
      </w:r>
      <w:r>
        <w:rPr>
          <w:color w:val="231F20"/>
          <w:w w:val="105"/>
        </w:rPr>
        <w:t>México</w:t>
      </w:r>
      <w:r>
        <w:rPr>
          <w:color w:val="231F20"/>
          <w:spacing w:val="-15"/>
          <w:w w:val="105"/>
        </w:rPr>
        <w:t> </w:t>
      </w:r>
      <w:r>
        <w:rPr>
          <w:color w:val="231F20"/>
          <w:w w:val="105"/>
        </w:rPr>
        <w:t>y</w:t>
      </w:r>
      <w:r>
        <w:rPr>
          <w:color w:val="231F20"/>
          <w:spacing w:val="-15"/>
          <w:w w:val="105"/>
        </w:rPr>
        <w:t> </w:t>
      </w:r>
      <w:r>
        <w:rPr>
          <w:color w:val="231F20"/>
          <w:w w:val="105"/>
        </w:rPr>
        <w:t>Estados</w:t>
      </w:r>
      <w:r>
        <w:rPr>
          <w:color w:val="231F20"/>
          <w:w w:val="99"/>
        </w:rPr>
        <w:t> </w:t>
      </w:r>
      <w:r>
        <w:rPr>
          <w:color w:val="231F20"/>
          <w:w w:val="105"/>
        </w:rPr>
        <w:t>Unidos, interesados en generar conocimiento de</w:t>
      </w:r>
      <w:r>
        <w:rPr>
          <w:color w:val="231F20"/>
          <w:spacing w:val="38"/>
          <w:w w:val="105"/>
        </w:rPr>
        <w:t> </w:t>
      </w:r>
      <w:r>
        <w:rPr>
          <w:color w:val="231F20"/>
          <w:w w:val="105"/>
        </w:rPr>
        <w:t>tipo</w:t>
      </w:r>
      <w:r>
        <w:rPr>
          <w:color w:val="231F20"/>
          <w:spacing w:val="17"/>
          <w:w w:val="105"/>
        </w:rPr>
        <w:t> </w:t>
      </w:r>
      <w:r>
        <w:rPr>
          <w:color w:val="231F20"/>
          <w:w w:val="105"/>
        </w:rPr>
        <w:t>interdisciplinario</w:t>
      </w:r>
      <w:r>
        <w:rPr>
          <w:color w:val="231F20"/>
          <w:w w:val="105"/>
        </w:rPr>
        <w:t> </w:t>
      </w:r>
      <w:r>
        <w:rPr>
          <w:color w:val="231F20"/>
          <w:w w:val="105"/>
        </w:rPr>
        <w:t>en</w:t>
      </w:r>
      <w:r>
        <w:rPr>
          <w:color w:val="231F20"/>
          <w:spacing w:val="-12"/>
          <w:w w:val="105"/>
        </w:rPr>
        <w:t> </w:t>
      </w:r>
      <w:r>
        <w:rPr>
          <w:color w:val="231F20"/>
          <w:w w:val="105"/>
        </w:rPr>
        <w:t>torno</w:t>
      </w:r>
      <w:r>
        <w:rPr>
          <w:color w:val="231F20"/>
          <w:spacing w:val="-12"/>
          <w:w w:val="105"/>
        </w:rPr>
        <w:t> </w:t>
      </w:r>
      <w:r>
        <w:rPr>
          <w:color w:val="231F20"/>
          <w:w w:val="105"/>
        </w:rPr>
        <w:t>al</w:t>
      </w:r>
      <w:r>
        <w:rPr>
          <w:color w:val="231F20"/>
          <w:spacing w:val="-12"/>
          <w:w w:val="105"/>
        </w:rPr>
        <w:t> </w:t>
      </w:r>
      <w:r>
        <w:rPr>
          <w:color w:val="231F20"/>
          <w:w w:val="105"/>
        </w:rPr>
        <w:t>tema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migración</w:t>
      </w:r>
      <w:r>
        <w:rPr>
          <w:color w:val="231F20"/>
          <w:spacing w:val="-12"/>
          <w:w w:val="105"/>
        </w:rPr>
        <w:t> </w:t>
      </w:r>
      <w:r>
        <w:rPr>
          <w:color w:val="231F20"/>
          <w:w w:val="105"/>
        </w:rPr>
        <w:t>internacional</w:t>
      </w:r>
      <w:r>
        <w:rPr>
          <w:color w:val="231F20"/>
          <w:spacing w:val="-12"/>
          <w:w w:val="105"/>
        </w:rPr>
        <w:t> </w:t>
      </w:r>
      <w:r>
        <w:rPr>
          <w:color w:val="231F20"/>
          <w:w w:val="105"/>
        </w:rPr>
        <w:t>en</w:t>
      </w:r>
      <w:r>
        <w:rPr>
          <w:color w:val="231F20"/>
          <w:spacing w:val="-12"/>
          <w:w w:val="105"/>
        </w:rPr>
        <w:t> </w:t>
      </w:r>
      <w:r>
        <w:rPr>
          <w:color w:val="231F20"/>
          <w:w w:val="105"/>
        </w:rPr>
        <w:t>esta</w:t>
      </w:r>
      <w:r>
        <w:rPr>
          <w:color w:val="231F20"/>
          <w:spacing w:val="-12"/>
          <w:w w:val="105"/>
        </w:rPr>
        <w:t> </w:t>
      </w:r>
      <w:r>
        <w:rPr>
          <w:color w:val="231F20"/>
          <w:w w:val="105"/>
        </w:rPr>
        <w:t>región</w:t>
      </w:r>
      <w:r>
        <w:rPr>
          <w:color w:val="231F20"/>
          <w:spacing w:val="-12"/>
          <w:w w:val="105"/>
        </w:rPr>
        <w:t> </w:t>
      </w:r>
      <w:r>
        <w:rPr>
          <w:color w:val="231F20"/>
          <w:w w:val="105"/>
        </w:rPr>
        <w:t>del</w:t>
      </w:r>
      <w:r>
        <w:rPr>
          <w:color w:val="231F20"/>
          <w:spacing w:val="-12"/>
          <w:w w:val="105"/>
        </w:rPr>
        <w:t> </w:t>
      </w:r>
      <w:r>
        <w:rPr>
          <w:color w:val="231F20"/>
          <w:w w:val="105"/>
        </w:rPr>
        <w:t>mundo.</w:t>
      </w:r>
      <w:r>
        <w:rPr>
          <w:color w:val="231F20"/>
          <w:w w:val="93"/>
        </w:rPr>
        <w:t> </w:t>
      </w:r>
      <w:r>
        <w:rPr>
          <w:color w:val="231F20"/>
          <w:w w:val="105"/>
        </w:rPr>
        <w:t>Los</w:t>
      </w:r>
      <w:r>
        <w:rPr>
          <w:color w:val="231F20"/>
          <w:spacing w:val="-11"/>
          <w:w w:val="105"/>
        </w:rPr>
        <w:t> </w:t>
      </w:r>
      <w:r>
        <w:rPr>
          <w:color w:val="231F20"/>
          <w:w w:val="105"/>
        </w:rPr>
        <w:t>resultados</w:t>
      </w:r>
      <w:r>
        <w:rPr>
          <w:color w:val="231F20"/>
          <w:spacing w:val="-11"/>
          <w:w w:val="105"/>
        </w:rPr>
        <w:t> </w:t>
      </w:r>
      <w:r>
        <w:rPr>
          <w:color w:val="231F20"/>
          <w:w w:val="105"/>
        </w:rPr>
        <w:t>del</w:t>
      </w:r>
      <w:r>
        <w:rPr>
          <w:color w:val="231F20"/>
          <w:spacing w:val="-11"/>
          <w:w w:val="105"/>
        </w:rPr>
        <w:t> </w:t>
      </w:r>
      <w:r>
        <w:rPr>
          <w:color w:val="231F20"/>
          <w:w w:val="105"/>
        </w:rPr>
        <w:t>libro</w:t>
      </w:r>
      <w:r>
        <w:rPr>
          <w:color w:val="231F20"/>
          <w:spacing w:val="-11"/>
          <w:w w:val="105"/>
        </w:rPr>
        <w:t> </w:t>
      </w:r>
      <w:r>
        <w:rPr>
          <w:color w:val="231F20"/>
          <w:w w:val="105"/>
        </w:rPr>
        <w:t>mantienen</w:t>
      </w:r>
      <w:r>
        <w:rPr>
          <w:color w:val="231F20"/>
          <w:spacing w:val="-11"/>
          <w:w w:val="105"/>
        </w:rPr>
        <w:t> </w:t>
      </w:r>
      <w:r>
        <w:rPr>
          <w:color w:val="231F20"/>
          <w:w w:val="105"/>
        </w:rPr>
        <w:t>la</w:t>
      </w:r>
      <w:r>
        <w:rPr>
          <w:color w:val="231F20"/>
          <w:spacing w:val="-11"/>
          <w:w w:val="105"/>
        </w:rPr>
        <w:t> </w:t>
      </w:r>
      <w:r>
        <w:rPr>
          <w:color w:val="231F20"/>
          <w:w w:val="105"/>
        </w:rPr>
        <w:t>expectativa</w:t>
      </w:r>
      <w:r>
        <w:rPr>
          <w:color w:val="231F20"/>
          <w:spacing w:val="-11"/>
          <w:w w:val="105"/>
        </w:rPr>
        <w:t> </w:t>
      </w:r>
      <w:r>
        <w:rPr>
          <w:color w:val="231F20"/>
          <w:w w:val="105"/>
        </w:rPr>
        <w:t>de</w:t>
      </w:r>
      <w:r>
        <w:rPr>
          <w:color w:val="231F20"/>
          <w:spacing w:val="-11"/>
          <w:w w:val="105"/>
        </w:rPr>
        <w:t> </w:t>
      </w:r>
      <w:r>
        <w:rPr>
          <w:color w:val="231F20"/>
          <w:w w:val="105"/>
        </w:rPr>
        <w:t>contribuir</w:t>
      </w:r>
      <w:r>
        <w:rPr>
          <w:color w:val="231F20"/>
          <w:spacing w:val="-11"/>
          <w:w w:val="105"/>
        </w:rPr>
        <w:t> </w:t>
      </w:r>
      <w:r>
        <w:rPr>
          <w:color w:val="231F20"/>
          <w:w w:val="105"/>
        </w:rPr>
        <w:t>a</w:t>
      </w:r>
      <w:r>
        <w:rPr>
          <w:color w:val="231F20"/>
          <w:spacing w:val="-11"/>
          <w:w w:val="105"/>
        </w:rPr>
        <w:t> </w:t>
      </w:r>
      <w:r>
        <w:rPr>
          <w:color w:val="231F20"/>
          <w:w w:val="105"/>
        </w:rPr>
        <w:t>la</w:t>
      </w:r>
      <w:r>
        <w:rPr>
          <w:color w:val="231F20"/>
          <w:w w:val="100"/>
        </w:rPr>
        <w:t> </w:t>
      </w:r>
      <w:r>
        <w:rPr>
          <w:color w:val="231F20"/>
          <w:w w:val="105"/>
        </w:rPr>
        <w:t>teorización</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temas</w:t>
      </w:r>
      <w:r>
        <w:rPr>
          <w:color w:val="231F20"/>
          <w:spacing w:val="-15"/>
          <w:w w:val="105"/>
        </w:rPr>
        <w:t> </w:t>
      </w:r>
      <w:r>
        <w:rPr>
          <w:color w:val="231F20"/>
          <w:w w:val="105"/>
        </w:rPr>
        <w:t>de</w:t>
      </w:r>
      <w:r>
        <w:rPr>
          <w:color w:val="231F20"/>
          <w:spacing w:val="-15"/>
          <w:w w:val="105"/>
        </w:rPr>
        <w:t> </w:t>
      </w:r>
      <w:r>
        <w:rPr>
          <w:color w:val="231F20"/>
          <w:w w:val="105"/>
        </w:rPr>
        <w:t>migración</w:t>
      </w:r>
      <w:r>
        <w:rPr>
          <w:color w:val="231F20"/>
          <w:spacing w:val="-15"/>
          <w:w w:val="105"/>
        </w:rPr>
        <w:t> </w:t>
      </w:r>
      <w:r>
        <w:rPr>
          <w:color w:val="231F20"/>
          <w:w w:val="105"/>
        </w:rPr>
        <w:t>y</w:t>
      </w:r>
      <w:r>
        <w:rPr>
          <w:color w:val="231F20"/>
          <w:spacing w:val="-15"/>
          <w:w w:val="105"/>
        </w:rPr>
        <w:t> </w:t>
      </w:r>
      <w:r>
        <w:rPr>
          <w:color w:val="231F20"/>
          <w:w w:val="105"/>
        </w:rPr>
        <w:t>sus</w:t>
      </w:r>
      <w:r>
        <w:rPr>
          <w:color w:val="231F20"/>
          <w:spacing w:val="-15"/>
          <w:w w:val="105"/>
        </w:rPr>
        <w:t> </w:t>
      </w:r>
      <w:r>
        <w:rPr>
          <w:color w:val="231F20"/>
          <w:w w:val="105"/>
        </w:rPr>
        <w:t>procesos</w:t>
      </w:r>
      <w:r>
        <w:rPr>
          <w:color w:val="231F20"/>
          <w:spacing w:val="-15"/>
          <w:w w:val="105"/>
        </w:rPr>
        <w:t> </w:t>
      </w:r>
      <w:r>
        <w:rPr>
          <w:color w:val="231F20"/>
          <w:w w:val="105"/>
        </w:rPr>
        <w:t>sociales,</w:t>
      </w:r>
      <w:r>
        <w:rPr>
          <w:color w:val="231F20"/>
          <w:spacing w:val="-20"/>
          <w:w w:val="105"/>
        </w:rPr>
        <w:t> </w:t>
      </w:r>
      <w:r>
        <w:rPr>
          <w:color w:val="231F20"/>
          <w:w w:val="105"/>
        </w:rPr>
        <w:t>así</w:t>
      </w:r>
      <w:r>
        <w:rPr>
          <w:color w:val="231F20"/>
          <w:spacing w:val="-15"/>
          <w:w w:val="105"/>
        </w:rPr>
        <w:t> </w:t>
      </w:r>
      <w:r>
        <w:rPr>
          <w:color w:val="231F20"/>
          <w:w w:val="105"/>
        </w:rPr>
        <w:t>como</w:t>
      </w:r>
      <w:r>
        <w:rPr>
          <w:color w:val="231F20"/>
          <w:w w:val="106"/>
        </w:rPr>
        <w:t> </w:t>
      </w:r>
      <w:r>
        <w:rPr>
          <w:color w:val="231F20"/>
          <w:w w:val="105"/>
        </w:rPr>
        <w:t>incorporar</w:t>
      </w:r>
      <w:r>
        <w:rPr>
          <w:color w:val="231F20"/>
          <w:spacing w:val="-22"/>
          <w:w w:val="105"/>
        </w:rPr>
        <w:t> </w:t>
      </w:r>
      <w:r>
        <w:rPr>
          <w:color w:val="231F20"/>
          <w:w w:val="105"/>
        </w:rPr>
        <w:t>diferentes</w:t>
      </w:r>
      <w:r>
        <w:rPr>
          <w:color w:val="231F20"/>
          <w:spacing w:val="-22"/>
          <w:w w:val="105"/>
        </w:rPr>
        <w:t> </w:t>
      </w:r>
      <w:r>
        <w:rPr>
          <w:color w:val="231F20"/>
          <w:w w:val="105"/>
        </w:rPr>
        <w:t>perspectivas</w:t>
      </w:r>
      <w:r>
        <w:rPr>
          <w:color w:val="231F20"/>
          <w:spacing w:val="-22"/>
          <w:w w:val="105"/>
        </w:rPr>
        <w:t> </w:t>
      </w:r>
      <w:r>
        <w:rPr>
          <w:color w:val="231F20"/>
          <w:w w:val="105"/>
        </w:rPr>
        <w:t>metodológicas</w:t>
      </w:r>
      <w:r>
        <w:rPr>
          <w:color w:val="231F20"/>
          <w:spacing w:val="-22"/>
          <w:w w:val="105"/>
        </w:rPr>
        <w:t> </w:t>
      </w:r>
      <w:r>
        <w:rPr>
          <w:color w:val="231F20"/>
          <w:w w:val="105"/>
        </w:rPr>
        <w:t>y</w:t>
      </w:r>
      <w:r>
        <w:rPr>
          <w:color w:val="231F20"/>
          <w:spacing w:val="-22"/>
          <w:w w:val="105"/>
        </w:rPr>
        <w:t> </w:t>
      </w:r>
      <w:r>
        <w:rPr>
          <w:color w:val="231F20"/>
          <w:w w:val="105"/>
        </w:rPr>
        <w:t>estrategias</w:t>
      </w:r>
      <w:r>
        <w:rPr>
          <w:color w:val="231F20"/>
          <w:spacing w:val="-22"/>
          <w:w w:val="105"/>
        </w:rPr>
        <w:t> </w:t>
      </w:r>
      <w:r>
        <w:rPr>
          <w:color w:val="231F20"/>
          <w:w w:val="105"/>
        </w:rPr>
        <w:t>de</w:t>
      </w:r>
      <w:r>
        <w:rPr>
          <w:color w:val="231F20"/>
          <w:spacing w:val="-22"/>
          <w:w w:val="105"/>
        </w:rPr>
        <w:t> </w:t>
      </w:r>
      <w:r>
        <w:rPr>
          <w:color w:val="231F20"/>
          <w:w w:val="105"/>
        </w:rPr>
        <w:t>inves-</w:t>
      </w:r>
      <w:r>
        <w:rPr>
          <w:color w:val="231F20"/>
          <w:w w:val="96"/>
        </w:rPr>
        <w:t> </w:t>
      </w:r>
      <w:r>
        <w:rPr>
          <w:color w:val="231F20"/>
          <w:w w:val="105"/>
        </w:rPr>
        <w:t>tigación. Se espera que la obra aquí presentada tenga</w:t>
      </w:r>
      <w:r>
        <w:rPr>
          <w:color w:val="231F20"/>
          <w:spacing w:val="-18"/>
          <w:w w:val="105"/>
        </w:rPr>
        <w:t> </w:t>
      </w:r>
      <w:r>
        <w:rPr>
          <w:color w:val="231F20"/>
          <w:w w:val="105"/>
        </w:rPr>
        <w:t>impacto</w:t>
      </w:r>
      <w:r>
        <w:rPr>
          <w:color w:val="231F20"/>
          <w:spacing w:val="-2"/>
          <w:w w:val="105"/>
        </w:rPr>
        <w:t> </w:t>
      </w:r>
      <w:r>
        <w:rPr>
          <w:color w:val="231F20"/>
          <w:w w:val="105"/>
        </w:rPr>
        <w:t>positivo</w:t>
      </w:r>
      <w:r>
        <w:rPr>
          <w:color w:val="231F20"/>
          <w:w w:val="105"/>
        </w:rPr>
        <w:t> </w:t>
      </w:r>
      <w:r>
        <w:rPr>
          <w:color w:val="231F20"/>
          <w:w w:val="105"/>
        </w:rPr>
        <w:t>entre la comunidad académica especialista en los temas</w:t>
      </w:r>
      <w:r>
        <w:rPr>
          <w:color w:val="231F20"/>
          <w:spacing w:val="8"/>
          <w:w w:val="105"/>
        </w:rPr>
        <w:t> </w:t>
      </w:r>
      <w:r>
        <w:rPr>
          <w:color w:val="231F20"/>
          <w:w w:val="105"/>
        </w:rPr>
        <w:t>de</w:t>
      </w:r>
      <w:r>
        <w:rPr>
          <w:color w:val="231F20"/>
          <w:spacing w:val="8"/>
          <w:w w:val="105"/>
        </w:rPr>
        <w:t> </w:t>
      </w:r>
      <w:r>
        <w:rPr>
          <w:color w:val="231F20"/>
          <w:w w:val="105"/>
        </w:rPr>
        <w:t>migración</w:t>
      </w:r>
      <w:r>
        <w:rPr>
          <w:color w:val="231F20"/>
          <w:w w:val="103"/>
        </w:rPr>
        <w:t> </w:t>
      </w:r>
      <w:r>
        <w:rPr>
          <w:color w:val="231F20"/>
          <w:w w:val="105"/>
        </w:rPr>
        <w:t>con</w:t>
      </w:r>
      <w:r>
        <w:rPr>
          <w:color w:val="231F20"/>
          <w:spacing w:val="-14"/>
          <w:w w:val="105"/>
        </w:rPr>
        <w:t> </w:t>
      </w:r>
      <w:r>
        <w:rPr>
          <w:color w:val="231F20"/>
          <w:w w:val="105"/>
        </w:rPr>
        <w:t>énfasis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México,</w:t>
      </w:r>
      <w:r>
        <w:rPr>
          <w:color w:val="231F20"/>
          <w:spacing w:val="-19"/>
          <w:w w:val="105"/>
        </w:rPr>
        <w:t> </w:t>
      </w:r>
      <w:r>
        <w:rPr>
          <w:color w:val="231F20"/>
          <w:w w:val="105"/>
        </w:rPr>
        <w:t>así</w:t>
      </w:r>
      <w:r>
        <w:rPr>
          <w:color w:val="231F20"/>
          <w:spacing w:val="-14"/>
          <w:w w:val="105"/>
        </w:rPr>
        <w:t> </w:t>
      </w:r>
      <w:r>
        <w:rPr>
          <w:color w:val="231F20"/>
          <w:w w:val="105"/>
        </w:rPr>
        <w:t>como</w:t>
      </w:r>
      <w:r>
        <w:rPr>
          <w:color w:val="231F20"/>
          <w:spacing w:val="-14"/>
          <w:w w:val="105"/>
        </w:rPr>
        <w:t> </w:t>
      </w:r>
      <w:r>
        <w:rPr>
          <w:color w:val="231F20"/>
          <w:w w:val="105"/>
        </w:rPr>
        <w:t>aquellos</w:t>
      </w:r>
      <w:r>
        <w:rPr>
          <w:color w:val="231F20"/>
          <w:spacing w:val="-14"/>
          <w:w w:val="105"/>
        </w:rPr>
        <w:t> </w:t>
      </w:r>
      <w:r>
        <w:rPr>
          <w:color w:val="231F20"/>
          <w:w w:val="105"/>
        </w:rPr>
        <w:t>otros</w:t>
      </w:r>
      <w:r>
        <w:rPr>
          <w:color w:val="231F20"/>
          <w:spacing w:val="-14"/>
          <w:w w:val="105"/>
        </w:rPr>
        <w:t> </w:t>
      </w:r>
      <w:r>
        <w:rPr>
          <w:color w:val="231F20"/>
          <w:w w:val="105"/>
        </w:rPr>
        <w:t>lectores</w:t>
      </w:r>
      <w:r>
        <w:rPr>
          <w:color w:val="231F20"/>
          <w:spacing w:val="-14"/>
          <w:w w:val="105"/>
        </w:rPr>
        <w:t> </w:t>
      </w:r>
      <w:r>
        <w:rPr>
          <w:color w:val="231F20"/>
          <w:w w:val="105"/>
        </w:rPr>
        <w:t>del</w:t>
      </w:r>
    </w:p>
    <w:p>
      <w:pPr>
        <w:spacing w:after="0" w:line="261" w:lineRule="auto"/>
        <w:jc w:val="right"/>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753"/>
      </w:pPr>
      <w:r>
        <w:rPr>
          <w:color w:val="231F20"/>
          <w:w w:val="105"/>
        </w:rPr>
        <w:t>sector gubernamental o social. La finalidad es contribuir a los esfuerzos de investigación y difusión del conocimiento.</w:t>
      </w:r>
    </w:p>
    <w:p>
      <w:pPr>
        <w:pStyle w:val="BodyText"/>
        <w:rPr>
          <w:sz w:val="20"/>
        </w:rPr>
      </w:pPr>
    </w:p>
    <w:p>
      <w:pPr>
        <w:pStyle w:val="BodyText"/>
        <w:spacing w:before="9"/>
        <w:rPr>
          <w:sz w:val="20"/>
        </w:rPr>
      </w:pPr>
    </w:p>
    <w:p>
      <w:pPr>
        <w:pStyle w:val="Heading3"/>
        <w:ind w:left="1723" w:right="6753"/>
        <w:jc w:val="left"/>
      </w:pPr>
      <w:r>
        <w:rPr>
          <w:color w:val="231F20"/>
        </w:rPr>
        <w:t>Bibliografía</w:t>
      </w:r>
    </w:p>
    <w:p>
      <w:pPr>
        <w:pStyle w:val="BodyText"/>
        <w:rPr>
          <w:rFonts w:ascii="Arial"/>
          <w:b/>
          <w:sz w:val="22"/>
        </w:rPr>
      </w:pPr>
    </w:p>
    <w:p>
      <w:pPr>
        <w:spacing w:line="259" w:lineRule="auto" w:before="163"/>
        <w:ind w:left="2461" w:right="1834" w:hanging="738"/>
        <w:jc w:val="both"/>
        <w:rPr>
          <w:sz w:val="21"/>
        </w:rPr>
      </w:pPr>
      <w:r>
        <w:rPr>
          <w:color w:val="231F20"/>
          <w:spacing w:val="-3"/>
          <w:sz w:val="21"/>
        </w:rPr>
        <w:t>Baca, Norma </w:t>
      </w:r>
      <w:r>
        <w:rPr>
          <w:color w:val="231F20"/>
          <w:sz w:val="21"/>
        </w:rPr>
        <w:t>y </w:t>
      </w:r>
      <w:r>
        <w:rPr>
          <w:color w:val="231F20"/>
          <w:spacing w:val="-4"/>
          <w:sz w:val="21"/>
        </w:rPr>
        <w:t>Renato </w:t>
      </w:r>
      <w:r>
        <w:rPr>
          <w:color w:val="231F20"/>
          <w:spacing w:val="-3"/>
          <w:sz w:val="21"/>
        </w:rPr>
        <w:t>Salas, (2015), </w:t>
      </w:r>
      <w:r>
        <w:rPr>
          <w:color w:val="231F20"/>
          <w:spacing w:val="-5"/>
          <w:sz w:val="21"/>
        </w:rPr>
        <w:t>“Introducción”, </w:t>
      </w:r>
      <w:r>
        <w:rPr>
          <w:color w:val="231F20"/>
          <w:sz w:val="21"/>
        </w:rPr>
        <w:t>en </w:t>
      </w:r>
      <w:r>
        <w:rPr>
          <w:color w:val="231F20"/>
          <w:spacing w:val="-3"/>
          <w:sz w:val="21"/>
        </w:rPr>
        <w:t>Norma Baca </w:t>
      </w:r>
      <w:r>
        <w:rPr>
          <w:color w:val="231F20"/>
          <w:sz w:val="21"/>
        </w:rPr>
        <w:t>y </w:t>
      </w:r>
      <w:r>
        <w:rPr>
          <w:color w:val="231F20"/>
          <w:spacing w:val="-3"/>
          <w:sz w:val="21"/>
        </w:rPr>
        <w:t>Re- nato Salas </w:t>
      </w:r>
      <w:r>
        <w:rPr>
          <w:color w:val="231F20"/>
          <w:spacing w:val="-4"/>
          <w:sz w:val="21"/>
        </w:rPr>
        <w:t>(coords.), </w:t>
      </w:r>
      <w:r>
        <w:rPr>
          <w:rFonts w:ascii="Arial" w:hAnsi="Arial"/>
          <w:i/>
          <w:color w:val="231F20"/>
          <w:spacing w:val="-3"/>
          <w:sz w:val="21"/>
        </w:rPr>
        <w:t>Migración internacional, territorios </w:t>
      </w:r>
      <w:r>
        <w:rPr>
          <w:rFonts w:ascii="Arial" w:hAnsi="Arial"/>
          <w:i/>
          <w:color w:val="231F20"/>
          <w:sz w:val="21"/>
        </w:rPr>
        <w:t>y </w:t>
      </w:r>
      <w:r>
        <w:rPr>
          <w:rFonts w:ascii="Arial" w:hAnsi="Arial"/>
          <w:i/>
          <w:color w:val="231F20"/>
          <w:spacing w:val="-3"/>
          <w:sz w:val="21"/>
        </w:rPr>
        <w:t>sujetos </w:t>
      </w:r>
      <w:r>
        <w:rPr>
          <w:rFonts w:ascii="Arial" w:hAnsi="Arial"/>
          <w:i/>
          <w:color w:val="231F20"/>
          <w:spacing w:val="-3"/>
          <w:sz w:val="21"/>
        </w:rPr>
        <w:t>migrantes </w:t>
      </w:r>
      <w:r>
        <w:rPr>
          <w:rFonts w:ascii="Arial" w:hAnsi="Arial"/>
          <w:i/>
          <w:color w:val="231F20"/>
          <w:sz w:val="21"/>
        </w:rPr>
        <w:t>del </w:t>
      </w:r>
      <w:r>
        <w:rPr>
          <w:rFonts w:ascii="Arial" w:hAnsi="Arial"/>
          <w:i/>
          <w:color w:val="231F20"/>
          <w:spacing w:val="-3"/>
          <w:sz w:val="21"/>
        </w:rPr>
        <w:t>Estado </w:t>
      </w:r>
      <w:r>
        <w:rPr>
          <w:rFonts w:ascii="Arial" w:hAnsi="Arial"/>
          <w:i/>
          <w:color w:val="231F20"/>
          <w:sz w:val="21"/>
        </w:rPr>
        <w:t>de </w:t>
      </w:r>
      <w:r>
        <w:rPr>
          <w:rFonts w:ascii="Arial" w:hAnsi="Arial"/>
          <w:i/>
          <w:color w:val="231F20"/>
          <w:spacing w:val="-3"/>
          <w:sz w:val="21"/>
        </w:rPr>
        <w:t>México</w:t>
      </w:r>
      <w:r>
        <w:rPr>
          <w:color w:val="231F20"/>
          <w:spacing w:val="-3"/>
          <w:sz w:val="21"/>
        </w:rPr>
        <w:t>, México:  </w:t>
      </w:r>
      <w:r>
        <w:rPr>
          <w:color w:val="231F20"/>
          <w:spacing w:val="-3"/>
          <w:sz w:val="17"/>
        </w:rPr>
        <w:t>EÓN</w:t>
      </w:r>
      <w:r>
        <w:rPr>
          <w:color w:val="231F20"/>
          <w:spacing w:val="-3"/>
          <w:sz w:val="21"/>
        </w:rPr>
        <w:t>/</w:t>
      </w:r>
      <w:r>
        <w:rPr>
          <w:color w:val="231F20"/>
          <w:spacing w:val="-3"/>
          <w:sz w:val="17"/>
        </w:rPr>
        <w:t>UAEM</w:t>
      </w:r>
      <w:r>
        <w:rPr>
          <w:color w:val="231F20"/>
          <w:spacing w:val="-3"/>
          <w:sz w:val="21"/>
        </w:rPr>
        <w:t>.</w:t>
      </w:r>
    </w:p>
    <w:p>
      <w:pPr>
        <w:spacing w:line="259" w:lineRule="auto" w:before="0"/>
        <w:ind w:left="2461" w:right="1828" w:hanging="738"/>
        <w:jc w:val="both"/>
        <w:rPr>
          <w:sz w:val="21"/>
        </w:rPr>
      </w:pPr>
      <w:r>
        <w:rPr>
          <w:color w:val="231F20"/>
          <w:spacing w:val="-4"/>
          <w:w w:val="105"/>
          <w:sz w:val="21"/>
        </w:rPr>
        <w:t>Jardón,</w:t>
      </w:r>
      <w:r>
        <w:rPr>
          <w:color w:val="231F20"/>
          <w:spacing w:val="-47"/>
          <w:w w:val="105"/>
          <w:sz w:val="21"/>
        </w:rPr>
        <w:t> </w:t>
      </w:r>
      <w:r>
        <w:rPr>
          <w:color w:val="231F20"/>
          <w:spacing w:val="-3"/>
          <w:w w:val="105"/>
          <w:sz w:val="21"/>
        </w:rPr>
        <w:t>Ana,</w:t>
      </w:r>
      <w:r>
        <w:rPr>
          <w:color w:val="231F20"/>
          <w:spacing w:val="-45"/>
          <w:w w:val="105"/>
          <w:sz w:val="21"/>
        </w:rPr>
        <w:t> </w:t>
      </w:r>
      <w:r>
        <w:rPr>
          <w:color w:val="231F20"/>
          <w:spacing w:val="-3"/>
          <w:w w:val="105"/>
          <w:sz w:val="21"/>
        </w:rPr>
        <w:t>(2013),</w:t>
      </w:r>
      <w:r>
        <w:rPr>
          <w:color w:val="231F20"/>
          <w:spacing w:val="-45"/>
          <w:w w:val="105"/>
          <w:sz w:val="21"/>
        </w:rPr>
        <w:t> </w:t>
      </w:r>
      <w:r>
        <w:rPr>
          <w:rFonts w:ascii="Arial" w:hAnsi="Arial"/>
          <w:i/>
          <w:color w:val="231F20"/>
          <w:spacing w:val="-3"/>
          <w:w w:val="105"/>
          <w:sz w:val="21"/>
        </w:rPr>
        <w:t>Nuevos</w:t>
      </w:r>
      <w:r>
        <w:rPr>
          <w:rFonts w:ascii="Arial" w:hAnsi="Arial"/>
          <w:i/>
          <w:color w:val="231F20"/>
          <w:spacing w:val="-45"/>
          <w:w w:val="105"/>
          <w:sz w:val="21"/>
        </w:rPr>
        <w:t> </w:t>
      </w:r>
      <w:r>
        <w:rPr>
          <w:rFonts w:ascii="Arial" w:hAnsi="Arial"/>
          <w:i/>
          <w:color w:val="231F20"/>
          <w:spacing w:val="-3"/>
          <w:w w:val="105"/>
          <w:sz w:val="21"/>
        </w:rPr>
        <w:t>escenarios</w:t>
      </w:r>
      <w:r>
        <w:rPr>
          <w:rFonts w:ascii="Arial" w:hAnsi="Arial"/>
          <w:i/>
          <w:color w:val="231F20"/>
          <w:spacing w:val="-45"/>
          <w:w w:val="105"/>
          <w:sz w:val="21"/>
        </w:rPr>
        <w:t> </w:t>
      </w:r>
      <w:r>
        <w:rPr>
          <w:rFonts w:ascii="Arial" w:hAnsi="Arial"/>
          <w:i/>
          <w:color w:val="231F20"/>
          <w:w w:val="105"/>
          <w:sz w:val="21"/>
        </w:rPr>
        <w:t>en</w:t>
      </w:r>
      <w:r>
        <w:rPr>
          <w:rFonts w:ascii="Arial" w:hAnsi="Arial"/>
          <w:i/>
          <w:color w:val="231F20"/>
          <w:spacing w:val="-45"/>
          <w:w w:val="105"/>
          <w:sz w:val="21"/>
        </w:rPr>
        <w:t> </w:t>
      </w:r>
      <w:r>
        <w:rPr>
          <w:rFonts w:ascii="Arial" w:hAnsi="Arial"/>
          <w:i/>
          <w:color w:val="231F20"/>
          <w:w w:val="105"/>
          <w:sz w:val="21"/>
        </w:rPr>
        <w:t>los</w:t>
      </w:r>
      <w:r>
        <w:rPr>
          <w:rFonts w:ascii="Arial" w:hAnsi="Arial"/>
          <w:i/>
          <w:color w:val="231F20"/>
          <w:spacing w:val="-45"/>
          <w:w w:val="105"/>
          <w:sz w:val="21"/>
        </w:rPr>
        <w:t> </w:t>
      </w:r>
      <w:r>
        <w:rPr>
          <w:rFonts w:ascii="Arial" w:hAnsi="Arial"/>
          <w:i/>
          <w:color w:val="231F20"/>
          <w:spacing w:val="-3"/>
          <w:w w:val="105"/>
          <w:sz w:val="21"/>
        </w:rPr>
        <w:t>procesos</w:t>
      </w:r>
      <w:r>
        <w:rPr>
          <w:rFonts w:ascii="Arial" w:hAnsi="Arial"/>
          <w:i/>
          <w:color w:val="231F20"/>
          <w:spacing w:val="-45"/>
          <w:w w:val="105"/>
          <w:sz w:val="21"/>
        </w:rPr>
        <w:t> </w:t>
      </w:r>
      <w:r>
        <w:rPr>
          <w:rFonts w:ascii="Arial" w:hAnsi="Arial"/>
          <w:i/>
          <w:color w:val="231F20"/>
          <w:w w:val="105"/>
          <w:sz w:val="21"/>
        </w:rPr>
        <w:t>de</w:t>
      </w:r>
      <w:r>
        <w:rPr>
          <w:rFonts w:ascii="Arial" w:hAnsi="Arial"/>
          <w:i/>
          <w:color w:val="231F20"/>
          <w:spacing w:val="-45"/>
          <w:w w:val="105"/>
          <w:sz w:val="21"/>
        </w:rPr>
        <w:t> </w:t>
      </w:r>
      <w:r>
        <w:rPr>
          <w:rFonts w:ascii="Arial" w:hAnsi="Arial"/>
          <w:i/>
          <w:color w:val="231F20"/>
          <w:spacing w:val="-3"/>
          <w:w w:val="105"/>
          <w:sz w:val="21"/>
        </w:rPr>
        <w:t>organización</w:t>
      </w:r>
      <w:r>
        <w:rPr>
          <w:rFonts w:ascii="Arial" w:hAnsi="Arial"/>
          <w:i/>
          <w:color w:val="231F20"/>
          <w:spacing w:val="-45"/>
          <w:w w:val="105"/>
          <w:sz w:val="21"/>
        </w:rPr>
        <w:t> </w:t>
      </w:r>
      <w:r>
        <w:rPr>
          <w:rFonts w:ascii="Arial" w:hAnsi="Arial"/>
          <w:i/>
          <w:color w:val="231F20"/>
          <w:w w:val="105"/>
          <w:sz w:val="21"/>
        </w:rPr>
        <w:t>so- </w:t>
      </w:r>
      <w:r>
        <w:rPr>
          <w:rFonts w:ascii="Arial" w:hAnsi="Arial"/>
          <w:i/>
          <w:color w:val="231F20"/>
          <w:spacing w:val="-3"/>
          <w:w w:val="105"/>
          <w:sz w:val="21"/>
        </w:rPr>
        <w:t>cial</w:t>
      </w:r>
      <w:r>
        <w:rPr>
          <w:rFonts w:ascii="Arial" w:hAnsi="Arial"/>
          <w:i/>
          <w:color w:val="231F20"/>
          <w:spacing w:val="-33"/>
          <w:w w:val="105"/>
          <w:sz w:val="21"/>
        </w:rPr>
        <w:t> </w:t>
      </w:r>
      <w:r>
        <w:rPr>
          <w:rFonts w:ascii="Arial" w:hAnsi="Arial"/>
          <w:i/>
          <w:color w:val="231F20"/>
          <w:w w:val="105"/>
          <w:sz w:val="21"/>
        </w:rPr>
        <w:t>de</w:t>
      </w:r>
      <w:r>
        <w:rPr>
          <w:rFonts w:ascii="Arial" w:hAnsi="Arial"/>
          <w:i/>
          <w:color w:val="231F20"/>
          <w:spacing w:val="-33"/>
          <w:w w:val="105"/>
          <w:sz w:val="21"/>
        </w:rPr>
        <w:t> </w:t>
      </w:r>
      <w:r>
        <w:rPr>
          <w:rFonts w:ascii="Arial" w:hAnsi="Arial"/>
          <w:i/>
          <w:color w:val="231F20"/>
          <w:w w:val="105"/>
          <w:sz w:val="21"/>
        </w:rPr>
        <w:t>la</w:t>
      </w:r>
      <w:r>
        <w:rPr>
          <w:rFonts w:ascii="Arial" w:hAnsi="Arial"/>
          <w:i/>
          <w:color w:val="231F20"/>
          <w:spacing w:val="-33"/>
          <w:w w:val="105"/>
          <w:sz w:val="21"/>
        </w:rPr>
        <w:t> </w:t>
      </w:r>
      <w:r>
        <w:rPr>
          <w:rFonts w:ascii="Arial" w:hAnsi="Arial"/>
          <w:i/>
          <w:color w:val="231F20"/>
          <w:spacing w:val="-3"/>
          <w:w w:val="105"/>
          <w:sz w:val="21"/>
        </w:rPr>
        <w:t>migración</w:t>
      </w:r>
      <w:r>
        <w:rPr>
          <w:rFonts w:ascii="Arial" w:hAnsi="Arial"/>
          <w:i/>
          <w:color w:val="231F20"/>
          <w:spacing w:val="-33"/>
          <w:w w:val="105"/>
          <w:sz w:val="21"/>
        </w:rPr>
        <w:t> </w:t>
      </w:r>
      <w:r>
        <w:rPr>
          <w:rFonts w:ascii="Arial" w:hAnsi="Arial"/>
          <w:i/>
          <w:color w:val="231F20"/>
          <w:spacing w:val="-3"/>
          <w:w w:val="105"/>
          <w:sz w:val="21"/>
        </w:rPr>
        <w:t>internacional</w:t>
      </w:r>
      <w:r>
        <w:rPr>
          <w:rFonts w:ascii="Arial" w:hAnsi="Arial"/>
          <w:i/>
          <w:color w:val="231F20"/>
          <w:spacing w:val="-33"/>
          <w:w w:val="105"/>
          <w:sz w:val="21"/>
        </w:rPr>
        <w:t> </w:t>
      </w:r>
      <w:r>
        <w:rPr>
          <w:rFonts w:ascii="Arial" w:hAnsi="Arial"/>
          <w:i/>
          <w:color w:val="231F20"/>
          <w:w w:val="105"/>
          <w:sz w:val="21"/>
        </w:rPr>
        <w:t>en</w:t>
      </w:r>
      <w:r>
        <w:rPr>
          <w:rFonts w:ascii="Arial" w:hAnsi="Arial"/>
          <w:i/>
          <w:color w:val="231F20"/>
          <w:spacing w:val="-33"/>
          <w:w w:val="105"/>
          <w:sz w:val="21"/>
        </w:rPr>
        <w:t> </w:t>
      </w:r>
      <w:r>
        <w:rPr>
          <w:rFonts w:ascii="Arial" w:hAnsi="Arial"/>
          <w:i/>
          <w:color w:val="231F20"/>
          <w:w w:val="105"/>
          <w:sz w:val="21"/>
        </w:rPr>
        <w:t>Las</w:t>
      </w:r>
      <w:r>
        <w:rPr>
          <w:rFonts w:ascii="Arial" w:hAnsi="Arial"/>
          <w:i/>
          <w:color w:val="231F20"/>
          <w:spacing w:val="-36"/>
          <w:w w:val="105"/>
          <w:sz w:val="21"/>
        </w:rPr>
        <w:t> </w:t>
      </w:r>
      <w:r>
        <w:rPr>
          <w:rFonts w:ascii="Arial" w:hAnsi="Arial"/>
          <w:i/>
          <w:color w:val="231F20"/>
          <w:spacing w:val="-4"/>
          <w:w w:val="105"/>
          <w:sz w:val="21"/>
        </w:rPr>
        <w:t>Vueltas,</w:t>
      </w:r>
      <w:r>
        <w:rPr>
          <w:rFonts w:ascii="Arial" w:hAnsi="Arial"/>
          <w:i/>
          <w:color w:val="231F20"/>
          <w:spacing w:val="-37"/>
          <w:w w:val="105"/>
          <w:sz w:val="21"/>
        </w:rPr>
        <w:t> </w:t>
      </w:r>
      <w:r>
        <w:rPr>
          <w:rFonts w:ascii="Arial" w:hAnsi="Arial"/>
          <w:i/>
          <w:color w:val="231F20"/>
          <w:spacing w:val="-3"/>
          <w:w w:val="105"/>
          <w:sz w:val="21"/>
        </w:rPr>
        <w:t>Estado</w:t>
      </w:r>
      <w:r>
        <w:rPr>
          <w:rFonts w:ascii="Arial" w:hAnsi="Arial"/>
          <w:i/>
          <w:color w:val="231F20"/>
          <w:spacing w:val="-33"/>
          <w:w w:val="105"/>
          <w:sz w:val="21"/>
        </w:rPr>
        <w:t> </w:t>
      </w:r>
      <w:r>
        <w:rPr>
          <w:rFonts w:ascii="Arial" w:hAnsi="Arial"/>
          <w:i/>
          <w:color w:val="231F20"/>
          <w:w w:val="105"/>
          <w:sz w:val="21"/>
        </w:rPr>
        <w:t>de</w:t>
      </w:r>
      <w:r>
        <w:rPr>
          <w:rFonts w:ascii="Arial" w:hAnsi="Arial"/>
          <w:i/>
          <w:color w:val="231F20"/>
          <w:spacing w:val="-33"/>
          <w:w w:val="105"/>
          <w:sz w:val="21"/>
        </w:rPr>
        <w:t> </w:t>
      </w:r>
      <w:r>
        <w:rPr>
          <w:rFonts w:ascii="Arial" w:hAnsi="Arial"/>
          <w:i/>
          <w:color w:val="231F20"/>
          <w:spacing w:val="-3"/>
          <w:w w:val="105"/>
          <w:sz w:val="21"/>
        </w:rPr>
        <w:t>México</w:t>
      </w:r>
      <w:r>
        <w:rPr>
          <w:color w:val="231F20"/>
          <w:spacing w:val="-3"/>
          <w:w w:val="105"/>
          <w:sz w:val="21"/>
        </w:rPr>
        <w:t>, </w:t>
      </w:r>
      <w:r>
        <w:rPr>
          <w:color w:val="231F20"/>
          <w:spacing w:val="-6"/>
          <w:w w:val="105"/>
          <w:sz w:val="21"/>
        </w:rPr>
        <w:t>(Tesis</w:t>
      </w:r>
      <w:r>
        <w:rPr>
          <w:color w:val="231F20"/>
          <w:spacing w:val="-37"/>
          <w:w w:val="105"/>
          <w:sz w:val="21"/>
        </w:rPr>
        <w:t> </w:t>
      </w:r>
      <w:r>
        <w:rPr>
          <w:color w:val="231F20"/>
          <w:w w:val="105"/>
          <w:sz w:val="21"/>
        </w:rPr>
        <w:t>de</w:t>
      </w:r>
      <w:r>
        <w:rPr>
          <w:color w:val="231F20"/>
          <w:spacing w:val="-37"/>
          <w:w w:val="105"/>
          <w:sz w:val="21"/>
        </w:rPr>
        <w:t> </w:t>
      </w:r>
      <w:r>
        <w:rPr>
          <w:color w:val="231F20"/>
          <w:spacing w:val="-3"/>
          <w:w w:val="105"/>
          <w:sz w:val="21"/>
        </w:rPr>
        <w:t>doctorado),</w:t>
      </w:r>
      <w:r>
        <w:rPr>
          <w:color w:val="231F20"/>
          <w:spacing w:val="-40"/>
          <w:w w:val="105"/>
          <w:sz w:val="21"/>
        </w:rPr>
        <w:t> </w:t>
      </w:r>
      <w:r>
        <w:rPr>
          <w:color w:val="231F20"/>
          <w:spacing w:val="-3"/>
          <w:w w:val="105"/>
          <w:sz w:val="17"/>
        </w:rPr>
        <w:t>COLMICH,</w:t>
      </w:r>
      <w:r>
        <w:rPr>
          <w:color w:val="231F20"/>
          <w:spacing w:val="-32"/>
          <w:w w:val="105"/>
          <w:sz w:val="17"/>
        </w:rPr>
        <w:t> </w:t>
      </w:r>
      <w:r>
        <w:rPr>
          <w:color w:val="231F20"/>
          <w:spacing w:val="-4"/>
          <w:w w:val="105"/>
          <w:sz w:val="21"/>
        </w:rPr>
        <w:t>Zamora,</w:t>
      </w:r>
      <w:r>
        <w:rPr>
          <w:color w:val="231F20"/>
          <w:spacing w:val="-40"/>
          <w:w w:val="105"/>
          <w:sz w:val="21"/>
        </w:rPr>
        <w:t> </w:t>
      </w:r>
      <w:r>
        <w:rPr>
          <w:color w:val="231F20"/>
          <w:spacing w:val="-4"/>
          <w:w w:val="105"/>
          <w:sz w:val="21"/>
        </w:rPr>
        <w:t>México.</w:t>
      </w:r>
    </w:p>
    <w:p>
      <w:pPr>
        <w:spacing w:line="259" w:lineRule="auto" w:before="0"/>
        <w:ind w:left="2461" w:right="1834" w:hanging="738"/>
        <w:jc w:val="both"/>
        <w:rPr>
          <w:sz w:val="21"/>
        </w:rPr>
      </w:pPr>
      <w:r>
        <w:rPr>
          <w:color w:val="231F20"/>
          <w:spacing w:val="-3"/>
          <w:sz w:val="21"/>
        </w:rPr>
        <w:t>Mármora, </w:t>
      </w:r>
      <w:r>
        <w:rPr>
          <w:color w:val="231F20"/>
          <w:spacing w:val="-4"/>
          <w:sz w:val="21"/>
        </w:rPr>
        <w:t>Lelio, </w:t>
      </w:r>
      <w:r>
        <w:rPr>
          <w:color w:val="231F20"/>
          <w:spacing w:val="-3"/>
          <w:sz w:val="21"/>
        </w:rPr>
        <w:t>(2003), </w:t>
      </w:r>
      <w:r>
        <w:rPr>
          <w:rFonts w:ascii="Arial" w:hAnsi="Arial"/>
          <w:i/>
          <w:color w:val="231F20"/>
          <w:sz w:val="21"/>
        </w:rPr>
        <w:t>Las </w:t>
      </w:r>
      <w:r>
        <w:rPr>
          <w:rFonts w:ascii="Arial" w:hAnsi="Arial"/>
          <w:i/>
          <w:color w:val="231F20"/>
          <w:spacing w:val="-3"/>
          <w:sz w:val="21"/>
        </w:rPr>
        <w:t>migraciones internacionales: análisis </w:t>
      </w:r>
      <w:r>
        <w:rPr>
          <w:rFonts w:ascii="Arial" w:hAnsi="Arial"/>
          <w:i/>
          <w:color w:val="231F20"/>
          <w:sz w:val="21"/>
        </w:rPr>
        <w:t>y </w:t>
      </w:r>
      <w:r>
        <w:rPr>
          <w:rFonts w:ascii="Arial" w:hAnsi="Arial"/>
          <w:i/>
          <w:color w:val="231F20"/>
          <w:spacing w:val="-3"/>
          <w:sz w:val="21"/>
        </w:rPr>
        <w:t>perspec- </w:t>
      </w:r>
      <w:r>
        <w:rPr>
          <w:rFonts w:ascii="Arial" w:hAnsi="Arial"/>
          <w:i/>
          <w:color w:val="231F20"/>
          <w:spacing w:val="-4"/>
          <w:sz w:val="21"/>
        </w:rPr>
        <w:t>tivas </w:t>
      </w:r>
      <w:r>
        <w:rPr>
          <w:rFonts w:ascii="Arial" w:hAnsi="Arial"/>
          <w:i/>
          <w:color w:val="231F20"/>
          <w:spacing w:val="-5"/>
          <w:sz w:val="21"/>
        </w:rPr>
        <w:t>para </w:t>
      </w:r>
      <w:r>
        <w:rPr>
          <w:rFonts w:ascii="Arial" w:hAnsi="Arial"/>
          <w:i/>
          <w:color w:val="231F20"/>
          <w:spacing w:val="-4"/>
          <w:sz w:val="21"/>
        </w:rPr>
        <w:t>una </w:t>
      </w:r>
      <w:r>
        <w:rPr>
          <w:rFonts w:ascii="Arial" w:hAnsi="Arial"/>
          <w:i/>
          <w:color w:val="231F20"/>
          <w:spacing w:val="-5"/>
          <w:sz w:val="21"/>
        </w:rPr>
        <w:t>política migratoria. Documento </w:t>
      </w:r>
      <w:r>
        <w:rPr>
          <w:rFonts w:ascii="Arial" w:hAnsi="Arial"/>
          <w:i/>
          <w:color w:val="231F20"/>
          <w:spacing w:val="-3"/>
          <w:sz w:val="21"/>
        </w:rPr>
        <w:t>de </w:t>
      </w:r>
      <w:r>
        <w:rPr>
          <w:rFonts w:ascii="Arial" w:hAnsi="Arial"/>
          <w:i/>
          <w:color w:val="231F20"/>
          <w:spacing w:val="-5"/>
          <w:sz w:val="21"/>
        </w:rPr>
        <w:t>trabajo </w:t>
      </w:r>
      <w:r>
        <w:rPr>
          <w:rFonts w:ascii="Arial" w:hAnsi="Arial"/>
          <w:i/>
          <w:color w:val="231F20"/>
          <w:spacing w:val="-3"/>
          <w:sz w:val="21"/>
        </w:rPr>
        <w:t>2</w:t>
      </w:r>
      <w:r>
        <w:rPr>
          <w:color w:val="231F20"/>
          <w:spacing w:val="-3"/>
          <w:sz w:val="21"/>
        </w:rPr>
        <w:t>, </w:t>
      </w:r>
      <w:r>
        <w:rPr>
          <w:color w:val="231F20"/>
          <w:spacing w:val="-5"/>
          <w:sz w:val="21"/>
        </w:rPr>
        <w:t>Santiago </w:t>
      </w:r>
      <w:r>
        <w:rPr>
          <w:color w:val="231F20"/>
          <w:sz w:val="21"/>
        </w:rPr>
        <w:t>de </w:t>
      </w:r>
      <w:r>
        <w:rPr>
          <w:color w:val="231F20"/>
          <w:spacing w:val="-3"/>
          <w:sz w:val="21"/>
        </w:rPr>
        <w:t>Chile: </w:t>
      </w:r>
      <w:r>
        <w:rPr>
          <w:color w:val="231F20"/>
          <w:spacing w:val="-3"/>
          <w:sz w:val="17"/>
        </w:rPr>
        <w:t>OIM</w:t>
      </w:r>
      <w:r>
        <w:rPr>
          <w:color w:val="231F20"/>
          <w:spacing w:val="-3"/>
          <w:sz w:val="21"/>
        </w:rPr>
        <w:t>.</w:t>
      </w:r>
    </w:p>
    <w:p>
      <w:pPr>
        <w:spacing w:line="259" w:lineRule="auto" w:before="0"/>
        <w:ind w:left="2460" w:right="1835" w:hanging="737"/>
        <w:jc w:val="both"/>
        <w:rPr>
          <w:sz w:val="17"/>
        </w:rPr>
      </w:pPr>
      <w:r>
        <w:rPr>
          <w:color w:val="231F20"/>
          <w:spacing w:val="-4"/>
          <w:w w:val="105"/>
          <w:sz w:val="21"/>
        </w:rPr>
        <w:t>Organización</w:t>
      </w:r>
      <w:r>
        <w:rPr>
          <w:color w:val="231F20"/>
          <w:spacing w:val="-19"/>
          <w:w w:val="105"/>
          <w:sz w:val="21"/>
        </w:rPr>
        <w:t> </w:t>
      </w:r>
      <w:r>
        <w:rPr>
          <w:color w:val="231F20"/>
          <w:spacing w:val="-3"/>
          <w:w w:val="105"/>
          <w:sz w:val="21"/>
        </w:rPr>
        <w:t>Internacional</w:t>
      </w:r>
      <w:r>
        <w:rPr>
          <w:color w:val="231F20"/>
          <w:spacing w:val="-19"/>
          <w:w w:val="105"/>
          <w:sz w:val="21"/>
        </w:rPr>
        <w:t> </w:t>
      </w:r>
      <w:r>
        <w:rPr>
          <w:color w:val="231F20"/>
          <w:spacing w:val="-3"/>
          <w:w w:val="105"/>
          <w:sz w:val="21"/>
        </w:rPr>
        <w:t>para</w:t>
      </w:r>
      <w:r>
        <w:rPr>
          <w:color w:val="231F20"/>
          <w:spacing w:val="-19"/>
          <w:w w:val="105"/>
          <w:sz w:val="21"/>
        </w:rPr>
        <w:t> </w:t>
      </w:r>
      <w:r>
        <w:rPr>
          <w:color w:val="231F20"/>
          <w:w w:val="105"/>
          <w:sz w:val="21"/>
        </w:rPr>
        <w:t>las</w:t>
      </w:r>
      <w:r>
        <w:rPr>
          <w:color w:val="231F20"/>
          <w:spacing w:val="-19"/>
          <w:w w:val="105"/>
          <w:sz w:val="21"/>
        </w:rPr>
        <w:t> </w:t>
      </w:r>
      <w:r>
        <w:rPr>
          <w:color w:val="231F20"/>
          <w:spacing w:val="-3"/>
          <w:w w:val="105"/>
          <w:sz w:val="21"/>
        </w:rPr>
        <w:t>Migraciones</w:t>
      </w:r>
      <w:r>
        <w:rPr>
          <w:color w:val="231F20"/>
          <w:spacing w:val="-19"/>
          <w:w w:val="105"/>
          <w:sz w:val="21"/>
        </w:rPr>
        <w:t> </w:t>
      </w:r>
      <w:r>
        <w:rPr>
          <w:color w:val="231F20"/>
          <w:spacing w:val="-3"/>
          <w:w w:val="105"/>
          <w:sz w:val="21"/>
        </w:rPr>
        <w:t>(</w:t>
      </w:r>
      <w:r>
        <w:rPr>
          <w:color w:val="231F20"/>
          <w:spacing w:val="-3"/>
          <w:w w:val="105"/>
          <w:sz w:val="17"/>
        </w:rPr>
        <w:t>OIM</w:t>
      </w:r>
      <w:r>
        <w:rPr>
          <w:color w:val="231F20"/>
          <w:spacing w:val="-3"/>
          <w:w w:val="105"/>
          <w:sz w:val="21"/>
        </w:rPr>
        <w:t>),</w:t>
      </w:r>
      <w:r>
        <w:rPr>
          <w:color w:val="231F20"/>
          <w:spacing w:val="-24"/>
          <w:w w:val="105"/>
          <w:sz w:val="21"/>
        </w:rPr>
        <w:t> </w:t>
      </w:r>
      <w:r>
        <w:rPr>
          <w:color w:val="231F20"/>
          <w:spacing w:val="-3"/>
          <w:w w:val="105"/>
          <w:sz w:val="21"/>
        </w:rPr>
        <w:t>(2013),</w:t>
      </w:r>
      <w:r>
        <w:rPr>
          <w:color w:val="231F20"/>
          <w:spacing w:val="-24"/>
          <w:w w:val="105"/>
          <w:sz w:val="21"/>
        </w:rPr>
        <w:t> </w:t>
      </w:r>
      <w:r>
        <w:rPr>
          <w:rFonts w:ascii="Arial" w:hAnsi="Arial"/>
          <w:i/>
          <w:color w:val="231F20"/>
          <w:spacing w:val="-3"/>
          <w:w w:val="105"/>
          <w:sz w:val="21"/>
        </w:rPr>
        <w:t>Informe</w:t>
      </w:r>
      <w:r>
        <w:rPr>
          <w:rFonts w:ascii="Arial" w:hAnsi="Arial"/>
          <w:i/>
          <w:color w:val="231F20"/>
          <w:spacing w:val="-22"/>
          <w:w w:val="105"/>
          <w:sz w:val="21"/>
        </w:rPr>
        <w:t> </w:t>
      </w:r>
      <w:r>
        <w:rPr>
          <w:rFonts w:ascii="Arial" w:hAnsi="Arial"/>
          <w:i/>
          <w:color w:val="231F20"/>
          <w:w w:val="105"/>
          <w:sz w:val="21"/>
        </w:rPr>
        <w:t>so- </w:t>
      </w:r>
      <w:r>
        <w:rPr>
          <w:rFonts w:ascii="Arial" w:hAnsi="Arial"/>
          <w:i/>
          <w:color w:val="231F20"/>
          <w:spacing w:val="-3"/>
          <w:w w:val="105"/>
          <w:sz w:val="21"/>
        </w:rPr>
        <w:t>bre</w:t>
      </w:r>
      <w:r>
        <w:rPr>
          <w:rFonts w:ascii="Arial" w:hAnsi="Arial"/>
          <w:i/>
          <w:color w:val="231F20"/>
          <w:spacing w:val="-18"/>
          <w:w w:val="105"/>
          <w:sz w:val="21"/>
        </w:rPr>
        <w:t> </w:t>
      </w:r>
      <w:r>
        <w:rPr>
          <w:rFonts w:ascii="Arial" w:hAnsi="Arial"/>
          <w:i/>
          <w:color w:val="231F20"/>
          <w:w w:val="105"/>
          <w:sz w:val="21"/>
        </w:rPr>
        <w:t>las</w:t>
      </w:r>
      <w:r>
        <w:rPr>
          <w:rFonts w:ascii="Arial" w:hAnsi="Arial"/>
          <w:i/>
          <w:color w:val="231F20"/>
          <w:spacing w:val="-18"/>
          <w:w w:val="105"/>
          <w:sz w:val="21"/>
        </w:rPr>
        <w:t> </w:t>
      </w:r>
      <w:r>
        <w:rPr>
          <w:rFonts w:ascii="Arial" w:hAnsi="Arial"/>
          <w:i/>
          <w:color w:val="231F20"/>
          <w:spacing w:val="-3"/>
          <w:w w:val="105"/>
          <w:sz w:val="21"/>
        </w:rPr>
        <w:t>migraciones</w:t>
      </w:r>
      <w:r>
        <w:rPr>
          <w:rFonts w:ascii="Arial" w:hAnsi="Arial"/>
          <w:i/>
          <w:color w:val="231F20"/>
          <w:spacing w:val="-18"/>
          <w:w w:val="105"/>
          <w:sz w:val="21"/>
        </w:rPr>
        <w:t> </w:t>
      </w:r>
      <w:r>
        <w:rPr>
          <w:rFonts w:ascii="Arial" w:hAnsi="Arial"/>
          <w:i/>
          <w:color w:val="231F20"/>
          <w:w w:val="105"/>
          <w:sz w:val="21"/>
        </w:rPr>
        <w:t>en</w:t>
      </w:r>
      <w:r>
        <w:rPr>
          <w:rFonts w:ascii="Arial" w:hAnsi="Arial"/>
          <w:i/>
          <w:color w:val="231F20"/>
          <w:spacing w:val="-18"/>
          <w:w w:val="105"/>
          <w:sz w:val="21"/>
        </w:rPr>
        <w:t> </w:t>
      </w:r>
      <w:r>
        <w:rPr>
          <w:rFonts w:ascii="Arial" w:hAnsi="Arial"/>
          <w:i/>
          <w:color w:val="231F20"/>
          <w:w w:val="105"/>
          <w:sz w:val="21"/>
        </w:rPr>
        <w:t>el</w:t>
      </w:r>
      <w:r>
        <w:rPr>
          <w:rFonts w:ascii="Arial" w:hAnsi="Arial"/>
          <w:i/>
          <w:color w:val="231F20"/>
          <w:spacing w:val="-18"/>
          <w:w w:val="105"/>
          <w:sz w:val="21"/>
        </w:rPr>
        <w:t> </w:t>
      </w:r>
      <w:r>
        <w:rPr>
          <w:rFonts w:ascii="Arial" w:hAnsi="Arial"/>
          <w:i/>
          <w:color w:val="231F20"/>
          <w:spacing w:val="-3"/>
          <w:w w:val="105"/>
          <w:sz w:val="21"/>
        </w:rPr>
        <w:t>mundo</w:t>
      </w:r>
      <w:r>
        <w:rPr>
          <w:rFonts w:ascii="Arial" w:hAnsi="Arial"/>
          <w:i/>
          <w:color w:val="231F20"/>
          <w:spacing w:val="-18"/>
          <w:w w:val="105"/>
          <w:sz w:val="21"/>
        </w:rPr>
        <w:t> </w:t>
      </w:r>
      <w:r>
        <w:rPr>
          <w:rFonts w:ascii="Arial" w:hAnsi="Arial"/>
          <w:i/>
          <w:color w:val="231F20"/>
          <w:spacing w:val="-3"/>
          <w:w w:val="105"/>
          <w:sz w:val="21"/>
        </w:rPr>
        <w:t>2013</w:t>
      </w:r>
      <w:r>
        <w:rPr>
          <w:color w:val="231F20"/>
          <w:spacing w:val="-3"/>
          <w:w w:val="105"/>
          <w:sz w:val="21"/>
        </w:rPr>
        <w:t>,</w:t>
      </w:r>
      <w:r>
        <w:rPr>
          <w:color w:val="231F20"/>
          <w:spacing w:val="-22"/>
          <w:w w:val="105"/>
          <w:sz w:val="21"/>
        </w:rPr>
        <w:t> </w:t>
      </w:r>
      <w:r>
        <w:rPr>
          <w:color w:val="231F20"/>
          <w:spacing w:val="-3"/>
          <w:w w:val="105"/>
          <w:sz w:val="21"/>
        </w:rPr>
        <w:t>Madrid:</w:t>
      </w:r>
      <w:r>
        <w:rPr>
          <w:color w:val="231F20"/>
          <w:spacing w:val="-16"/>
          <w:w w:val="105"/>
          <w:sz w:val="21"/>
        </w:rPr>
        <w:t> </w:t>
      </w:r>
      <w:r>
        <w:rPr>
          <w:color w:val="231F20"/>
          <w:spacing w:val="-3"/>
          <w:w w:val="105"/>
          <w:sz w:val="17"/>
        </w:rPr>
        <w:t>OIM.</w:t>
      </w:r>
    </w:p>
    <w:p>
      <w:pPr>
        <w:pStyle w:val="BodyText"/>
        <w:spacing w:line="259" w:lineRule="auto" w:before="3"/>
        <w:ind w:left="2460" w:right="1835" w:hanging="737"/>
        <w:jc w:val="both"/>
      </w:pPr>
      <w:r>
        <w:rPr>
          <w:color w:val="231F20"/>
          <w:w w:val="105"/>
        </w:rPr>
        <w:t>Presidencia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República</w:t>
      </w:r>
      <w:r>
        <w:rPr>
          <w:color w:val="231F20"/>
          <w:spacing w:val="-17"/>
          <w:w w:val="105"/>
        </w:rPr>
        <w:t> </w:t>
      </w:r>
      <w:r>
        <w:rPr>
          <w:color w:val="231F20"/>
          <w:w w:val="105"/>
        </w:rPr>
        <w:t>(</w:t>
      </w:r>
      <w:r>
        <w:rPr>
          <w:color w:val="231F20"/>
          <w:w w:val="105"/>
          <w:sz w:val="17"/>
        </w:rPr>
        <w:t>PR</w:t>
      </w:r>
      <w:r>
        <w:rPr>
          <w:color w:val="231F20"/>
          <w:w w:val="105"/>
        </w:rPr>
        <w:t>),</w:t>
      </w:r>
      <w:r>
        <w:rPr>
          <w:color w:val="231F20"/>
          <w:spacing w:val="-21"/>
          <w:w w:val="105"/>
        </w:rPr>
        <w:t> </w:t>
      </w:r>
      <w:r>
        <w:rPr>
          <w:color w:val="231F20"/>
          <w:w w:val="105"/>
        </w:rPr>
        <w:t>(2014),</w:t>
      </w:r>
      <w:r>
        <w:rPr>
          <w:color w:val="231F20"/>
          <w:spacing w:val="-21"/>
          <w:w w:val="105"/>
        </w:rPr>
        <w:t> </w:t>
      </w:r>
      <w:r>
        <w:rPr>
          <w:color w:val="231F20"/>
          <w:w w:val="105"/>
        </w:rPr>
        <w:t>“Decreto</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aprueba el </w:t>
      </w:r>
      <w:r>
        <w:rPr>
          <w:color w:val="231F20"/>
          <w:spacing w:val="-3"/>
          <w:w w:val="105"/>
        </w:rPr>
        <w:t>Programa </w:t>
      </w:r>
      <w:r>
        <w:rPr>
          <w:color w:val="231F20"/>
          <w:w w:val="105"/>
        </w:rPr>
        <w:t>Especial de Migración </w:t>
      </w:r>
      <w:r>
        <w:rPr>
          <w:color w:val="231F20"/>
          <w:spacing w:val="-3"/>
          <w:w w:val="105"/>
        </w:rPr>
        <w:t>2014-2018”, </w:t>
      </w:r>
      <w:r>
        <w:rPr>
          <w:rFonts w:ascii="Arial" w:hAnsi="Arial"/>
          <w:i/>
          <w:color w:val="231F20"/>
          <w:w w:val="105"/>
        </w:rPr>
        <w:t>Diario Oficial</w:t>
      </w:r>
      <w:r>
        <w:rPr>
          <w:rFonts w:ascii="Arial" w:hAnsi="Arial"/>
          <w:i/>
          <w:color w:val="231F20"/>
          <w:spacing w:val="-43"/>
          <w:w w:val="105"/>
        </w:rPr>
        <w:t> </w:t>
      </w:r>
      <w:r>
        <w:rPr>
          <w:rFonts w:ascii="Arial" w:hAnsi="Arial"/>
          <w:i/>
          <w:color w:val="231F20"/>
          <w:w w:val="105"/>
        </w:rPr>
        <w:t>de </w:t>
      </w:r>
      <w:r>
        <w:rPr>
          <w:rFonts w:ascii="Arial" w:hAnsi="Arial"/>
          <w:i/>
          <w:color w:val="231F20"/>
          <w:w w:val="105"/>
        </w:rPr>
        <w:t>la Federación</w:t>
      </w:r>
      <w:r>
        <w:rPr>
          <w:color w:val="231F20"/>
          <w:w w:val="105"/>
        </w:rPr>
        <w:t>, México, recuperado de </w:t>
      </w:r>
      <w:hyperlink r:id="rId25">
        <w:r>
          <w:rPr>
            <w:color w:val="231F20"/>
            <w:w w:val="105"/>
          </w:rPr>
          <w:t>http://www.dof.gob.mx/</w:t>
        </w:r>
      </w:hyperlink>
      <w:r>
        <w:rPr>
          <w:color w:val="231F20"/>
          <w:w w:val="105"/>
        </w:rPr>
        <w:t> nota_detalle.php?codigo=534307&amp;fecha=30/04/2014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spacing w:before="59"/>
        <w:ind w:left="1887" w:right="6753" w:firstLine="0"/>
        <w:jc w:val="left"/>
        <w:rPr>
          <w:rFonts w:ascii="Arial"/>
          <w:sz w:val="20"/>
        </w:rPr>
      </w:pPr>
      <w:r>
        <w:rPr/>
        <w:pict>
          <v:line style="position:absolute;mso-position-horizontal-relative:page;mso-position-vertical-relative:paragraph;z-index:2368" from="131.551193pt,2.329881pt" to="131.551193pt,38.13228pt" stroked="true" strokeweight=".35pt" strokecolor="#231f20">
            <w10:wrap type="none"/>
          </v:line>
        </w:pict>
      </w:r>
      <w:r>
        <w:rPr/>
        <w:pict>
          <v:line style="position:absolute;mso-position-horizontal-relative:page;mso-position-vertical-relative:paragraph;z-index:-487792" from="15pt,38.13208pt" to="0pt,38.13208pt" stroked="true" strokeweight=".25pt" strokecolor="#000000">
            <w10:wrap type="none"/>
          </v:line>
        </w:pict>
      </w:r>
      <w:r>
        <w:rPr/>
        <w:pict>
          <v:line style="position:absolute;mso-position-horizontal-relative:page;mso-position-vertical-relative:paragraph;z-index:2416" from="508.890015pt,38.13208pt" to="523.890015pt,38.13208pt" stroked="true" strokeweight=".25pt" strokecolor="#000000">
            <w10:wrap type="none"/>
          </v:line>
        </w:pict>
      </w:r>
      <w:r>
        <w:rPr>
          <w:rFonts w:ascii="Arial"/>
          <w:color w:val="414042"/>
          <w:sz w:val="20"/>
        </w:rPr>
        <w:t>22</w:t>
      </w:r>
    </w:p>
    <w:p>
      <w:pPr>
        <w:spacing w:after="0"/>
        <w:jc w:val="left"/>
        <w:rPr>
          <w:rFonts w:ascii="Arial"/>
          <w:sz w:val="20"/>
        </w:rPr>
        <w:sectPr>
          <w:headerReference w:type="default" r:id="rId24"/>
          <w:pgSz w:w="10480" w:h="14730"/>
          <w:pgMar w:header="0" w:footer="103" w:top="420" w:bottom="300" w:left="0" w:right="0"/>
        </w:sectPr>
      </w:pPr>
    </w:p>
    <w:p>
      <w:pPr>
        <w:pStyle w:val="BodyText"/>
        <w:rPr>
          <w:rFonts w:ascii="Arial"/>
          <w:sz w:val="20"/>
        </w:rPr>
      </w:pPr>
      <w:r>
        <w:rPr/>
        <w:pict>
          <v:line style="position:absolute;mso-position-horizontal-relative:page;mso-position-vertical-relative:page;z-index:-487720" from="15pt,715.487793pt" to="0pt,715.487793pt" stroked="true" strokeweight=".25pt" strokecolor="#000000">
            <w10:wrap type="none"/>
          </v:line>
        </w:pict>
      </w:r>
      <w:r>
        <w:rPr/>
        <w:pict>
          <v:line style="position:absolute;mso-position-horizontal-relative:page;mso-position-vertical-relative:page;z-index:2488" from="508.890015pt,715.487793pt" to="523.890015pt,715.487793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17"/>
        </w:rPr>
      </w:pPr>
    </w:p>
    <w:p>
      <w:pPr>
        <w:pStyle w:val="Heading1"/>
        <w:spacing w:line="249" w:lineRule="auto"/>
        <w:ind w:left="3528" w:right="3388" w:firstLine="102"/>
      </w:pPr>
      <w:r>
        <w:rPr/>
        <w:drawing>
          <wp:anchor distT="0" distB="0" distL="0" distR="0" allowOverlap="1" layoutInCell="1" locked="0" behindDoc="1" simplePos="0" relativeHeight="267947711">
            <wp:simplePos x="0" y="0"/>
            <wp:positionH relativeFrom="page">
              <wp:posOffset>266700</wp:posOffset>
            </wp:positionH>
            <wp:positionV relativeFrom="paragraph">
              <wp:posOffset>127878</wp:posOffset>
            </wp:positionV>
            <wp:extent cx="6120003" cy="4910399"/>
            <wp:effectExtent l="0" t="0" r="0" b="0"/>
            <wp:wrapNone/>
            <wp:docPr id="11" name="image12.png" descr=""/>
            <wp:cNvGraphicFramePr>
              <a:graphicFrameLocks noChangeAspect="1"/>
            </wp:cNvGraphicFramePr>
            <a:graphic>
              <a:graphicData uri="http://schemas.openxmlformats.org/drawingml/2006/picture">
                <pic:pic>
                  <pic:nvPicPr>
                    <pic:cNvPr id="12" name="image12.png"/>
                    <pic:cNvPicPr/>
                  </pic:nvPicPr>
                  <pic:blipFill>
                    <a:blip r:embed="rId27" cstate="print"/>
                    <a:stretch>
                      <a:fillRect/>
                    </a:stretch>
                  </pic:blipFill>
                  <pic:spPr>
                    <a:xfrm>
                      <a:off x="0" y="0"/>
                      <a:ext cx="6120003" cy="4910399"/>
                    </a:xfrm>
                    <a:prstGeom prst="rect">
                      <a:avLst/>
                    </a:prstGeom>
                  </pic:spPr>
                </pic:pic>
              </a:graphicData>
            </a:graphic>
          </wp:anchor>
        </w:drawing>
      </w:r>
      <w:bookmarkStart w:name="_TOC_250002" w:id="2"/>
      <w:r>
        <w:rPr>
          <w:color w:val="231F20"/>
          <w:spacing w:val="6"/>
          <w:w w:val="105"/>
        </w:rPr>
        <w:t>DERECHOS</w:t>
      </w:r>
      <w:r>
        <w:rPr>
          <w:color w:val="231F20"/>
          <w:spacing w:val="-47"/>
          <w:w w:val="105"/>
        </w:rPr>
        <w:t> </w:t>
      </w:r>
      <w:r>
        <w:rPr>
          <w:color w:val="231F20"/>
          <w:spacing w:val="7"/>
          <w:w w:val="105"/>
        </w:rPr>
        <w:t>HUMANOS, </w:t>
      </w:r>
      <w:r>
        <w:rPr>
          <w:color w:val="231F20"/>
          <w:spacing w:val="5"/>
          <w:w w:val="105"/>
        </w:rPr>
        <w:t>EDUCACIÓN</w:t>
      </w:r>
      <w:r>
        <w:rPr>
          <w:color w:val="231F20"/>
          <w:spacing w:val="-43"/>
          <w:w w:val="105"/>
        </w:rPr>
        <w:t> </w:t>
      </w:r>
      <w:r>
        <w:rPr>
          <w:color w:val="231F20"/>
          <w:w w:val="105"/>
        </w:rPr>
        <w:t>E</w:t>
      </w:r>
      <w:r>
        <w:rPr>
          <w:color w:val="231F20"/>
          <w:spacing w:val="-43"/>
          <w:w w:val="105"/>
        </w:rPr>
        <w:t> </w:t>
      </w:r>
      <w:bookmarkEnd w:id="2"/>
      <w:r>
        <w:rPr>
          <w:color w:val="231F20"/>
          <w:spacing w:val="5"/>
          <w:w w:val="105"/>
        </w:rPr>
        <w:t>INFANCIA</w:t>
      </w:r>
    </w:p>
    <w:p>
      <w:pPr>
        <w:spacing w:after="0" w:line="249" w:lineRule="auto"/>
        <w:sectPr>
          <w:footerReference w:type="default" r:id="rId26"/>
          <w:pgSz w:w="10480" w:h="14730"/>
          <w:pgMar w:footer="103" w:header="0" w:top="420" w:bottom="300" w:left="0" w:right="0"/>
        </w:sectPr>
      </w:pPr>
    </w:p>
    <w:p>
      <w:pPr>
        <w:pStyle w:val="BodyText"/>
        <w:spacing w:before="4"/>
        <w:rPr>
          <w:rFonts w:ascii="Times New Roman"/>
          <w:sz w:val="17"/>
        </w:rPr>
      </w:pPr>
    </w:p>
    <w:p>
      <w:pPr>
        <w:spacing w:after="0"/>
        <w:rPr>
          <w:rFonts w:ascii="Times New Roman"/>
          <w:sz w:val="17"/>
        </w:rPr>
        <w:sectPr>
          <w:footerReference w:type="default" r:id="rId28"/>
          <w:pgSz w:w="10480" w:h="14730"/>
          <w:pgMar w:footer="223" w:header="0" w:top="420" w:bottom="420" w:left="0" w:right="0"/>
        </w:sectPr>
      </w:pPr>
    </w:p>
    <w:p>
      <w:pPr>
        <w:pStyle w:val="BodyText"/>
        <w:rPr>
          <w:rFonts w:ascii="Times New Roman"/>
          <w:sz w:val="20"/>
        </w:rPr>
      </w:pPr>
      <w:r>
        <w:rPr/>
        <w:pict>
          <v:group style="position:absolute;margin-left:21pt;margin-top:20.999975pt;width:481.9pt;height:694.5pt;mso-position-horizontal-relative:page;mso-position-vertical-relative:page;z-index:-487672" coordorigin="420,420" coordsize="9638,13890">
            <v:rect style="position:absolute;left:420;top:420;width:9638;height:13890" filled="true" fillcolor="#77787b" stroked="false">
              <v:fill type="solid"/>
            </v:rect>
            <v:shape style="position:absolute;left:420;top:6577;width:9638;height:7733" type="#_x0000_t75" stroked="false">
              <v:imagedata r:id="rId29"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2"/>
        </w:rPr>
      </w:pPr>
    </w:p>
    <w:p>
      <w:pPr>
        <w:pStyle w:val="Heading2"/>
        <w:spacing w:line="187" w:lineRule="auto" w:before="63"/>
        <w:ind w:left="2254" w:right="5584" w:firstLine="1058"/>
      </w:pPr>
      <w:r>
        <w:rPr>
          <w:color w:val="FFFFFF"/>
        </w:rPr>
        <w:t>DERECHOS </w:t>
      </w:r>
      <w:r>
        <w:rPr>
          <w:color w:val="FFFFFF"/>
          <w:w w:val="90"/>
        </w:rPr>
        <w:t>EDUCACIÓN Y PARTICIPA</w:t>
      </w:r>
    </w:p>
    <w:p>
      <w:pPr>
        <w:spacing w:line="311" w:lineRule="exact" w:before="0"/>
        <w:ind w:left="2941" w:right="0" w:firstLine="0"/>
        <w:jc w:val="left"/>
        <w:rPr>
          <w:rFonts w:ascii="Lucida Sans Unicode" w:hAnsi="Lucida Sans Unicode"/>
          <w:sz w:val="24"/>
        </w:rPr>
      </w:pPr>
      <w:r>
        <w:rPr>
          <w:rFonts w:ascii="Lucida Sans Unicode" w:hAnsi="Lucida Sans Unicode"/>
          <w:color w:val="FFFFFF"/>
          <w:w w:val="90"/>
          <w:sz w:val="24"/>
        </w:rPr>
        <w:t>LA PObLACIÓN MIftRANTE</w:t>
      </w:r>
    </w:p>
    <w:p>
      <w:pPr>
        <w:pStyle w:val="Heading4"/>
        <w:spacing w:before="89"/>
        <w:ind w:left="5692"/>
        <w:rPr>
          <w:sz w:val="18"/>
        </w:rPr>
      </w:pPr>
      <w:bookmarkStart w:name="_TOC_250001" w:id="3"/>
      <w:r>
        <w:rPr>
          <w:color w:val="FFFFFF"/>
        </w:rPr>
        <w:t>Jorge Olvera García</w:t>
      </w:r>
      <w:bookmarkEnd w:id="3"/>
      <w:r>
        <w:rPr>
          <w:color w:val="FFFFFF"/>
          <w:sz w:val="18"/>
        </w:rPr>
        <w:t>*</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0"/>
        <w:rPr>
          <w:rFonts w:ascii="Calibri"/>
          <w:sz w:val="29"/>
        </w:rPr>
      </w:pPr>
    </w:p>
    <w:p>
      <w:pPr>
        <w:spacing w:line="182" w:lineRule="exact" w:before="1"/>
        <w:ind w:left="2120" w:right="0" w:firstLine="0"/>
        <w:jc w:val="left"/>
        <w:rPr>
          <w:rFonts w:ascii="Calibri" w:hAnsi="Calibri"/>
          <w:sz w:val="15"/>
        </w:rPr>
      </w:pPr>
      <w:r>
        <w:rPr>
          <w:rFonts w:ascii="Calibri" w:hAnsi="Calibri"/>
          <w:color w:val="FFFFFF"/>
          <w:sz w:val="15"/>
        </w:rPr>
        <w:t>* Doctor en Derecho. Rector de la Universidad Autónoma del Estado de   México</w:t>
      </w:r>
    </w:p>
    <w:p>
      <w:pPr>
        <w:spacing w:line="182" w:lineRule="exact" w:before="0"/>
        <w:ind w:left="2120" w:right="0" w:firstLine="0"/>
        <w:jc w:val="left"/>
        <w:rPr>
          <w:rFonts w:ascii="Calibri"/>
          <w:i/>
          <w:sz w:val="15"/>
        </w:rPr>
      </w:pPr>
      <w:hyperlink r:id="rId30">
        <w:r>
          <w:rPr>
            <w:rFonts w:ascii="Calibri"/>
            <w:i/>
            <w:color w:val="FFFFFF"/>
            <w:sz w:val="15"/>
          </w:rPr>
          <w:t>jorgeolver</w:t>
        </w:r>
      </w:hyperlink>
      <w:hyperlink r:id="rId31">
        <w:r>
          <w:rPr>
            <w:rFonts w:ascii="Calibri"/>
            <w:i/>
            <w:color w:val="FFFFFF"/>
            <w:sz w:val="15"/>
          </w:rPr>
          <w:t>ag@uaemex.mx</w:t>
        </w:r>
      </w:hyperlink>
    </w:p>
    <w:p>
      <w:pPr>
        <w:spacing w:after="0" w:line="182" w:lineRule="exact"/>
        <w:jc w:val="left"/>
        <w:rPr>
          <w:rFonts w:ascii="Calibri"/>
          <w:sz w:val="15"/>
        </w:rPr>
        <w:sectPr>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32"/>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21"/>
        <w:jc w:val="both"/>
      </w:pPr>
      <w:r>
        <w:rPr/>
        <w:pict>
          <v:shape style="position:absolute;margin-left:103.667099pt;margin-top:13.11352pt;width:31.2pt;height:51pt;mso-position-horizontal-relative:page;mso-position-vertical-relative:paragraph;z-index:253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w w:val="105"/>
        </w:rPr>
        <w:t>a migración como problemática social implica el estudio de sus</w:t>
      </w:r>
      <w:r>
        <w:rPr>
          <w:color w:val="231F20"/>
          <w:spacing w:val="-41"/>
          <w:w w:val="105"/>
        </w:rPr>
        <w:t> </w:t>
      </w:r>
      <w:r>
        <w:rPr>
          <w:color w:val="231F20"/>
          <w:w w:val="105"/>
        </w:rPr>
        <w:t>distintas</w:t>
      </w:r>
      <w:r>
        <w:rPr>
          <w:color w:val="231F20"/>
          <w:spacing w:val="-41"/>
          <w:w w:val="105"/>
        </w:rPr>
        <w:t> </w:t>
      </w:r>
      <w:r>
        <w:rPr>
          <w:color w:val="231F20"/>
          <w:w w:val="105"/>
        </w:rPr>
        <w:t>escalas</w:t>
      </w:r>
      <w:r>
        <w:rPr>
          <w:color w:val="231F20"/>
          <w:spacing w:val="-41"/>
          <w:w w:val="105"/>
        </w:rPr>
        <w:t> </w:t>
      </w:r>
      <w:r>
        <w:rPr>
          <w:color w:val="231F20"/>
          <w:w w:val="105"/>
        </w:rPr>
        <w:t>y</w:t>
      </w:r>
      <w:r>
        <w:rPr>
          <w:color w:val="231F20"/>
          <w:spacing w:val="-41"/>
          <w:w w:val="105"/>
        </w:rPr>
        <w:t> </w:t>
      </w:r>
      <w:r>
        <w:rPr>
          <w:color w:val="231F20"/>
          <w:w w:val="105"/>
        </w:rPr>
        <w:t>dimensiones,</w:t>
      </w:r>
      <w:r>
        <w:rPr>
          <w:color w:val="231F20"/>
          <w:spacing w:val="-44"/>
          <w:w w:val="105"/>
        </w:rPr>
        <w:t> </w:t>
      </w:r>
      <w:r>
        <w:rPr>
          <w:color w:val="231F20"/>
          <w:w w:val="105"/>
        </w:rPr>
        <w:t>esto</w:t>
      </w:r>
      <w:r>
        <w:rPr>
          <w:color w:val="231F20"/>
          <w:spacing w:val="-41"/>
          <w:w w:val="105"/>
        </w:rPr>
        <w:t> </w:t>
      </w:r>
      <w:r>
        <w:rPr>
          <w:color w:val="231F20"/>
          <w:w w:val="105"/>
        </w:rPr>
        <w:t>es,</w:t>
      </w:r>
      <w:r>
        <w:rPr>
          <w:color w:val="231F20"/>
          <w:spacing w:val="-44"/>
          <w:w w:val="105"/>
        </w:rPr>
        <w:t> </w:t>
      </w:r>
      <w:r>
        <w:rPr>
          <w:color w:val="231F20"/>
          <w:w w:val="105"/>
        </w:rPr>
        <w:t>analizar</w:t>
      </w:r>
      <w:r>
        <w:rPr>
          <w:color w:val="231F20"/>
          <w:spacing w:val="-41"/>
          <w:w w:val="105"/>
        </w:rPr>
        <w:t> </w:t>
      </w:r>
      <w:r>
        <w:rPr>
          <w:color w:val="231F20"/>
          <w:w w:val="105"/>
        </w:rPr>
        <w:t>la</w:t>
      </w:r>
      <w:r>
        <w:rPr>
          <w:color w:val="231F20"/>
          <w:spacing w:val="-41"/>
          <w:w w:val="105"/>
        </w:rPr>
        <w:t> </w:t>
      </w:r>
      <w:r>
        <w:rPr>
          <w:color w:val="231F20"/>
          <w:w w:val="105"/>
        </w:rPr>
        <w:t>dinámi- ca</w:t>
      </w:r>
      <w:r>
        <w:rPr>
          <w:color w:val="231F20"/>
          <w:spacing w:val="-5"/>
          <w:w w:val="105"/>
        </w:rPr>
        <w:t> </w:t>
      </w:r>
      <w:r>
        <w:rPr>
          <w:color w:val="231F20"/>
          <w:w w:val="105"/>
        </w:rPr>
        <w:t>migratoria</w:t>
      </w:r>
      <w:r>
        <w:rPr>
          <w:color w:val="231F20"/>
          <w:spacing w:val="-5"/>
          <w:w w:val="105"/>
        </w:rPr>
        <w:t> </w:t>
      </w:r>
      <w:r>
        <w:rPr>
          <w:color w:val="231F20"/>
          <w:w w:val="105"/>
        </w:rPr>
        <w:t>y</w:t>
      </w:r>
      <w:r>
        <w:rPr>
          <w:color w:val="231F20"/>
          <w:spacing w:val="-5"/>
          <w:w w:val="105"/>
        </w:rPr>
        <w:t> </w:t>
      </w:r>
      <w:r>
        <w:rPr>
          <w:color w:val="231F20"/>
          <w:w w:val="105"/>
        </w:rPr>
        <w:t>los</w:t>
      </w:r>
      <w:r>
        <w:rPr>
          <w:color w:val="231F20"/>
          <w:spacing w:val="-5"/>
          <w:w w:val="105"/>
        </w:rPr>
        <w:t> </w:t>
      </w:r>
      <w:r>
        <w:rPr>
          <w:color w:val="231F20"/>
          <w:w w:val="105"/>
        </w:rPr>
        <w:t>múltiples</w:t>
      </w:r>
      <w:r>
        <w:rPr>
          <w:color w:val="231F20"/>
          <w:spacing w:val="-5"/>
          <w:w w:val="105"/>
        </w:rPr>
        <w:t> </w:t>
      </w:r>
      <w:r>
        <w:rPr>
          <w:color w:val="231F20"/>
          <w:w w:val="105"/>
        </w:rPr>
        <w:t>procesos</w:t>
      </w:r>
      <w:r>
        <w:rPr>
          <w:color w:val="231F20"/>
          <w:spacing w:val="-5"/>
          <w:w w:val="105"/>
        </w:rPr>
        <w:t> </w:t>
      </w:r>
      <w:r>
        <w:rPr>
          <w:color w:val="231F20"/>
          <w:w w:val="105"/>
        </w:rPr>
        <w:t>sociales</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que</w:t>
      </w:r>
      <w:r>
        <w:rPr>
          <w:color w:val="231F20"/>
          <w:spacing w:val="-5"/>
          <w:w w:val="105"/>
        </w:rPr>
        <w:t> </w:t>
      </w:r>
      <w:r>
        <w:rPr>
          <w:color w:val="231F20"/>
          <w:w w:val="105"/>
        </w:rPr>
        <w:t>se </w:t>
      </w:r>
      <w:r>
        <w:rPr>
          <w:color w:val="231F20"/>
          <w:spacing w:val="-4"/>
          <w:w w:val="105"/>
        </w:rPr>
        <w:t>expresa,</w:t>
      </w:r>
      <w:r>
        <w:rPr>
          <w:color w:val="231F20"/>
          <w:spacing w:val="-17"/>
          <w:w w:val="105"/>
        </w:rPr>
        <w:t> </w:t>
      </w:r>
      <w:r>
        <w:rPr>
          <w:color w:val="231F20"/>
          <w:spacing w:val="-3"/>
          <w:w w:val="105"/>
        </w:rPr>
        <w:t>especialmente</w:t>
      </w:r>
      <w:r>
        <w:rPr>
          <w:color w:val="231F20"/>
          <w:spacing w:val="-12"/>
          <w:w w:val="105"/>
        </w:rPr>
        <w:t> </w:t>
      </w:r>
      <w:r>
        <w:rPr>
          <w:color w:val="231F20"/>
          <w:spacing w:val="-3"/>
          <w:w w:val="105"/>
        </w:rPr>
        <w:t>aquellos</w:t>
      </w:r>
      <w:r>
        <w:rPr>
          <w:color w:val="231F20"/>
          <w:spacing w:val="-12"/>
          <w:w w:val="105"/>
        </w:rPr>
        <w:t> </w:t>
      </w:r>
      <w:r>
        <w:rPr>
          <w:color w:val="231F20"/>
          <w:spacing w:val="-3"/>
          <w:w w:val="105"/>
        </w:rPr>
        <w:t>vinculados</w:t>
      </w:r>
      <w:r>
        <w:rPr>
          <w:color w:val="231F20"/>
          <w:spacing w:val="-12"/>
          <w:w w:val="105"/>
        </w:rPr>
        <w:t> </w:t>
      </w:r>
      <w:r>
        <w:rPr>
          <w:color w:val="231F20"/>
          <w:w w:val="105"/>
        </w:rPr>
        <w:t>al</w:t>
      </w:r>
      <w:r>
        <w:rPr>
          <w:color w:val="231F20"/>
          <w:spacing w:val="-12"/>
          <w:w w:val="105"/>
        </w:rPr>
        <w:t> </w:t>
      </w:r>
      <w:r>
        <w:rPr>
          <w:color w:val="231F20"/>
          <w:spacing w:val="-3"/>
          <w:w w:val="105"/>
        </w:rPr>
        <w:t>ejercicio</w:t>
      </w:r>
      <w:r>
        <w:rPr>
          <w:color w:val="231F20"/>
          <w:spacing w:val="-12"/>
          <w:w w:val="105"/>
        </w:rPr>
        <w:t> </w:t>
      </w:r>
      <w:r>
        <w:rPr>
          <w:color w:val="231F20"/>
          <w:w w:val="105"/>
        </w:rPr>
        <w:t>de</w:t>
      </w:r>
      <w:r>
        <w:rPr>
          <w:color w:val="231F20"/>
          <w:spacing w:val="-12"/>
          <w:w w:val="105"/>
        </w:rPr>
        <w:t> </w:t>
      </w:r>
      <w:r>
        <w:rPr>
          <w:color w:val="231F20"/>
          <w:spacing w:val="-3"/>
          <w:w w:val="105"/>
        </w:rPr>
        <w:t>los derechos</w:t>
      </w:r>
      <w:r>
        <w:rPr>
          <w:color w:val="231F20"/>
          <w:spacing w:val="-10"/>
          <w:w w:val="105"/>
        </w:rPr>
        <w:t> </w:t>
      </w:r>
      <w:r>
        <w:rPr>
          <w:color w:val="231F20"/>
          <w:spacing w:val="-3"/>
          <w:w w:val="105"/>
        </w:rPr>
        <w:t>humanos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spacing w:val="-3"/>
          <w:w w:val="105"/>
        </w:rPr>
        <w:t>migrantes,</w:t>
      </w:r>
      <w:r>
        <w:rPr>
          <w:color w:val="231F20"/>
          <w:spacing w:val="-16"/>
          <w:w w:val="105"/>
        </w:rPr>
        <w:t> </w:t>
      </w:r>
      <w:r>
        <w:rPr>
          <w:color w:val="231F20"/>
          <w:w w:val="105"/>
        </w:rPr>
        <w:t>que</w:t>
      </w:r>
      <w:r>
        <w:rPr>
          <w:color w:val="231F20"/>
          <w:spacing w:val="-10"/>
          <w:w w:val="105"/>
        </w:rPr>
        <w:t> </w:t>
      </w:r>
      <w:r>
        <w:rPr>
          <w:color w:val="231F20"/>
          <w:w w:val="105"/>
        </w:rPr>
        <w:t>por</w:t>
      </w:r>
      <w:r>
        <w:rPr>
          <w:color w:val="231F20"/>
          <w:spacing w:val="-10"/>
          <w:w w:val="105"/>
        </w:rPr>
        <w:t> </w:t>
      </w:r>
      <w:r>
        <w:rPr>
          <w:color w:val="231F20"/>
          <w:spacing w:val="-3"/>
          <w:w w:val="105"/>
        </w:rPr>
        <w:t>obligación</w:t>
      </w:r>
      <w:r>
        <w:rPr>
          <w:color w:val="231F20"/>
          <w:spacing w:val="-10"/>
          <w:w w:val="105"/>
        </w:rPr>
        <w:t> </w:t>
      </w:r>
      <w:r>
        <w:rPr>
          <w:color w:val="231F20"/>
          <w:spacing w:val="-3"/>
          <w:w w:val="105"/>
        </w:rPr>
        <w:t>debe</w:t>
      </w:r>
    </w:p>
    <w:p>
      <w:pPr>
        <w:pStyle w:val="BodyText"/>
        <w:spacing w:before="1"/>
        <w:ind w:left="1837" w:right="6753"/>
      </w:pPr>
      <w:r>
        <w:rPr>
          <w:color w:val="231F20"/>
          <w:w w:val="105"/>
        </w:rPr>
        <w:t>tutelar el Estado.</w:t>
      </w:r>
    </w:p>
    <w:p>
      <w:pPr>
        <w:pStyle w:val="BodyText"/>
        <w:spacing w:line="261" w:lineRule="auto" w:before="22"/>
        <w:ind w:left="1837" w:right="1721" w:firstLine="567"/>
        <w:jc w:val="both"/>
      </w:pPr>
      <w:r>
        <w:rPr>
          <w:color w:val="231F20"/>
          <w:w w:val="105"/>
        </w:rPr>
        <w:t>Visto</w:t>
      </w:r>
      <w:r>
        <w:rPr>
          <w:color w:val="231F20"/>
          <w:spacing w:val="-13"/>
          <w:w w:val="105"/>
        </w:rPr>
        <w:t> </w:t>
      </w:r>
      <w:r>
        <w:rPr>
          <w:color w:val="231F20"/>
          <w:w w:val="105"/>
        </w:rPr>
        <w:t>así,</w:t>
      </w:r>
      <w:r>
        <w:rPr>
          <w:color w:val="231F20"/>
          <w:spacing w:val="-19"/>
          <w:w w:val="105"/>
        </w:rPr>
        <w:t> </w:t>
      </w:r>
      <w:r>
        <w:rPr>
          <w:color w:val="231F20"/>
          <w:w w:val="105"/>
        </w:rPr>
        <w:t>el</w:t>
      </w:r>
      <w:r>
        <w:rPr>
          <w:color w:val="231F20"/>
          <w:spacing w:val="-12"/>
          <w:w w:val="105"/>
        </w:rPr>
        <w:t> </w:t>
      </w:r>
      <w:r>
        <w:rPr>
          <w:color w:val="231F20"/>
          <w:w w:val="105"/>
        </w:rPr>
        <w:t>fenómeno</w:t>
      </w:r>
      <w:r>
        <w:rPr>
          <w:color w:val="231F20"/>
          <w:spacing w:val="-13"/>
          <w:w w:val="105"/>
        </w:rPr>
        <w:t> </w:t>
      </w:r>
      <w:r>
        <w:rPr>
          <w:color w:val="231F20"/>
          <w:w w:val="105"/>
        </w:rPr>
        <w:t>migratorio</w:t>
      </w:r>
      <w:r>
        <w:rPr>
          <w:color w:val="231F20"/>
          <w:spacing w:val="-13"/>
          <w:w w:val="105"/>
        </w:rPr>
        <w:t> </w:t>
      </w:r>
      <w:r>
        <w:rPr>
          <w:color w:val="231F20"/>
          <w:w w:val="105"/>
        </w:rPr>
        <w:t>requiere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2"/>
          <w:w w:val="105"/>
        </w:rPr>
        <w:t> </w:t>
      </w:r>
      <w:r>
        <w:rPr>
          <w:color w:val="231F20"/>
          <w:w w:val="105"/>
        </w:rPr>
        <w:t>procuración</w:t>
      </w:r>
      <w:r>
        <w:rPr>
          <w:color w:val="231F20"/>
          <w:spacing w:val="-12"/>
          <w:w w:val="105"/>
        </w:rPr>
        <w:t> </w:t>
      </w:r>
      <w:r>
        <w:rPr>
          <w:color w:val="231F20"/>
          <w:w w:val="105"/>
        </w:rPr>
        <w:t>de</w:t>
      </w:r>
      <w:r>
        <w:rPr>
          <w:color w:val="231F20"/>
          <w:spacing w:val="-13"/>
          <w:w w:val="105"/>
        </w:rPr>
        <w:t> </w:t>
      </w:r>
      <w:r>
        <w:rPr>
          <w:color w:val="231F20"/>
          <w:w w:val="105"/>
        </w:rPr>
        <w:t>los derechos humanos por parte de las comunidades migrantes y la ciuda- danía en general. </w:t>
      </w:r>
      <w:r>
        <w:rPr>
          <w:color w:val="231F20"/>
          <w:spacing w:val="-6"/>
          <w:w w:val="105"/>
        </w:rPr>
        <w:t>Por </w:t>
      </w:r>
      <w:r>
        <w:rPr>
          <w:color w:val="231F20"/>
          <w:w w:val="105"/>
        </w:rPr>
        <w:t>lo anterior, en este trabajo se plantea como</w:t>
      </w:r>
      <w:r>
        <w:rPr>
          <w:color w:val="231F20"/>
          <w:spacing w:val="-31"/>
          <w:w w:val="105"/>
        </w:rPr>
        <w:t> </w:t>
      </w:r>
      <w:r>
        <w:rPr>
          <w:color w:val="231F20"/>
          <w:w w:val="105"/>
        </w:rPr>
        <w:t>argu- mento central la existencia de dos pilares fundamentales para lograr el pleno reconocimiento de los derechos humanos de los migrantes: edu- cación</w:t>
      </w:r>
      <w:r>
        <w:rPr>
          <w:color w:val="231F20"/>
          <w:spacing w:val="-23"/>
          <w:w w:val="105"/>
        </w:rPr>
        <w:t> </w:t>
      </w:r>
      <w:r>
        <w:rPr>
          <w:color w:val="231F20"/>
          <w:w w:val="105"/>
        </w:rPr>
        <w:t>y</w:t>
      </w:r>
      <w:r>
        <w:rPr>
          <w:color w:val="231F20"/>
          <w:spacing w:val="-23"/>
          <w:w w:val="105"/>
        </w:rPr>
        <w:t> </w:t>
      </w:r>
      <w:r>
        <w:rPr>
          <w:color w:val="231F20"/>
          <w:w w:val="105"/>
        </w:rPr>
        <w:t>participación</w:t>
      </w:r>
      <w:r>
        <w:rPr>
          <w:color w:val="231F20"/>
          <w:spacing w:val="-23"/>
          <w:w w:val="105"/>
        </w:rPr>
        <w:t> </w:t>
      </w:r>
      <w:r>
        <w:rPr>
          <w:color w:val="231F20"/>
          <w:w w:val="105"/>
        </w:rPr>
        <w:t>social.</w:t>
      </w:r>
      <w:r>
        <w:rPr>
          <w:color w:val="231F20"/>
          <w:spacing w:val="-29"/>
          <w:w w:val="105"/>
        </w:rPr>
        <w:t> </w:t>
      </w:r>
      <w:r>
        <w:rPr>
          <w:color w:val="231F20"/>
          <w:w w:val="105"/>
        </w:rPr>
        <w:t>La</w:t>
      </w:r>
      <w:r>
        <w:rPr>
          <w:color w:val="231F20"/>
          <w:spacing w:val="-23"/>
          <w:w w:val="105"/>
        </w:rPr>
        <w:t> </w:t>
      </w:r>
      <w:r>
        <w:rPr>
          <w:color w:val="231F20"/>
          <w:w w:val="105"/>
        </w:rPr>
        <w:t>primera</w:t>
      </w:r>
      <w:r>
        <w:rPr>
          <w:color w:val="231F20"/>
          <w:spacing w:val="-23"/>
          <w:w w:val="105"/>
        </w:rPr>
        <w:t> </w:t>
      </w:r>
      <w:r>
        <w:rPr>
          <w:color w:val="231F20"/>
          <w:w w:val="105"/>
        </w:rPr>
        <w:t>tiene</w:t>
      </w:r>
      <w:r>
        <w:rPr>
          <w:color w:val="231F20"/>
          <w:spacing w:val="-23"/>
          <w:w w:val="105"/>
        </w:rPr>
        <w:t> </w:t>
      </w:r>
      <w:r>
        <w:rPr>
          <w:color w:val="231F20"/>
          <w:w w:val="105"/>
        </w:rPr>
        <w:t>que</w:t>
      </w:r>
      <w:r>
        <w:rPr>
          <w:color w:val="231F20"/>
          <w:spacing w:val="-23"/>
          <w:w w:val="105"/>
        </w:rPr>
        <w:t> </w:t>
      </w:r>
      <w:r>
        <w:rPr>
          <w:color w:val="231F20"/>
          <w:w w:val="105"/>
        </w:rPr>
        <w:t>ver</w:t>
      </w:r>
      <w:r>
        <w:rPr>
          <w:color w:val="231F20"/>
          <w:spacing w:val="-23"/>
          <w:w w:val="105"/>
        </w:rPr>
        <w:t> </w:t>
      </w:r>
      <w:r>
        <w:rPr>
          <w:color w:val="231F20"/>
          <w:w w:val="105"/>
        </w:rPr>
        <w:t>con</w:t>
      </w:r>
      <w:r>
        <w:rPr>
          <w:color w:val="231F20"/>
          <w:spacing w:val="-23"/>
          <w:w w:val="105"/>
        </w:rPr>
        <w:t> </w:t>
      </w:r>
      <w:r>
        <w:rPr>
          <w:color w:val="231F20"/>
          <w:w w:val="105"/>
        </w:rPr>
        <w:t>las</w:t>
      </w:r>
      <w:r>
        <w:rPr>
          <w:color w:val="231F20"/>
          <w:spacing w:val="-23"/>
          <w:w w:val="105"/>
        </w:rPr>
        <w:t> </w:t>
      </w:r>
      <w:r>
        <w:rPr>
          <w:color w:val="231F20"/>
          <w:w w:val="105"/>
        </w:rPr>
        <w:t>oportunida- des</w:t>
      </w:r>
      <w:r>
        <w:rPr>
          <w:color w:val="231F20"/>
          <w:spacing w:val="-21"/>
          <w:w w:val="105"/>
        </w:rPr>
        <w:t> </w:t>
      </w:r>
      <w:r>
        <w:rPr>
          <w:color w:val="231F20"/>
          <w:w w:val="105"/>
        </w:rPr>
        <w:t>educativas</w:t>
      </w:r>
      <w:r>
        <w:rPr>
          <w:color w:val="231F20"/>
          <w:spacing w:val="-21"/>
          <w:w w:val="105"/>
        </w:rPr>
        <w:t> </w:t>
      </w:r>
      <w:r>
        <w:rPr>
          <w:color w:val="231F20"/>
          <w:w w:val="105"/>
        </w:rPr>
        <w:t>disponibles</w:t>
      </w:r>
      <w:r>
        <w:rPr>
          <w:color w:val="231F20"/>
          <w:spacing w:val="-21"/>
          <w:w w:val="105"/>
        </w:rPr>
        <w:t> </w:t>
      </w:r>
      <w:r>
        <w:rPr>
          <w:color w:val="231F20"/>
          <w:w w:val="105"/>
        </w:rPr>
        <w:t>para</w:t>
      </w:r>
      <w:r>
        <w:rPr>
          <w:color w:val="231F20"/>
          <w:spacing w:val="-21"/>
          <w:w w:val="105"/>
        </w:rPr>
        <w:t> </w:t>
      </w:r>
      <w:r>
        <w:rPr>
          <w:color w:val="231F20"/>
          <w:w w:val="105"/>
        </w:rPr>
        <w:t>los</w:t>
      </w:r>
      <w:r>
        <w:rPr>
          <w:color w:val="231F20"/>
          <w:spacing w:val="-21"/>
          <w:w w:val="105"/>
        </w:rPr>
        <w:t> </w:t>
      </w:r>
      <w:r>
        <w:rPr>
          <w:color w:val="231F20"/>
          <w:w w:val="105"/>
        </w:rPr>
        <w:t>migrantes</w:t>
      </w:r>
      <w:r>
        <w:rPr>
          <w:color w:val="231F20"/>
          <w:spacing w:val="-21"/>
          <w:w w:val="105"/>
        </w:rPr>
        <w:t> </w:t>
      </w:r>
      <w:r>
        <w:rPr>
          <w:color w:val="231F20"/>
          <w:w w:val="105"/>
        </w:rPr>
        <w:t>en</w:t>
      </w:r>
      <w:r>
        <w:rPr>
          <w:color w:val="231F20"/>
          <w:spacing w:val="-21"/>
          <w:w w:val="105"/>
        </w:rPr>
        <w:t> </w:t>
      </w:r>
      <w:r>
        <w:rPr>
          <w:color w:val="231F20"/>
          <w:w w:val="105"/>
        </w:rPr>
        <w:t>sus</w:t>
      </w:r>
      <w:r>
        <w:rPr>
          <w:color w:val="231F20"/>
          <w:spacing w:val="-21"/>
          <w:w w:val="105"/>
        </w:rPr>
        <w:t> </w:t>
      </w:r>
      <w:r>
        <w:rPr>
          <w:color w:val="231F20"/>
          <w:w w:val="105"/>
        </w:rPr>
        <w:t>lugares</w:t>
      </w:r>
      <w:r>
        <w:rPr>
          <w:color w:val="231F20"/>
          <w:spacing w:val="-21"/>
          <w:w w:val="105"/>
        </w:rPr>
        <w:t> </w:t>
      </w:r>
      <w:r>
        <w:rPr>
          <w:color w:val="231F20"/>
          <w:w w:val="105"/>
        </w:rPr>
        <w:t>de</w:t>
      </w:r>
      <w:r>
        <w:rPr>
          <w:color w:val="231F20"/>
          <w:spacing w:val="-21"/>
          <w:w w:val="105"/>
        </w:rPr>
        <w:t> </w:t>
      </w:r>
      <w:r>
        <w:rPr>
          <w:color w:val="231F20"/>
          <w:w w:val="105"/>
        </w:rPr>
        <w:t>origen</w:t>
      </w:r>
      <w:r>
        <w:rPr>
          <w:color w:val="231F20"/>
          <w:spacing w:val="-21"/>
          <w:w w:val="105"/>
        </w:rPr>
        <w:t> </w:t>
      </w:r>
      <w:r>
        <w:rPr>
          <w:color w:val="231F20"/>
          <w:w w:val="105"/>
        </w:rPr>
        <w:t>y destino, especialmente en aquellas regiones de pobreza donde la edu- cación</w:t>
      </w:r>
      <w:r>
        <w:rPr>
          <w:color w:val="231F20"/>
          <w:spacing w:val="-4"/>
          <w:w w:val="105"/>
        </w:rPr>
        <w:t> </w:t>
      </w:r>
      <w:r>
        <w:rPr>
          <w:color w:val="231F20"/>
          <w:w w:val="105"/>
        </w:rPr>
        <w:t>debe</w:t>
      </w:r>
      <w:r>
        <w:rPr>
          <w:color w:val="231F20"/>
          <w:spacing w:val="-4"/>
          <w:w w:val="105"/>
        </w:rPr>
        <w:t> </w:t>
      </w:r>
      <w:r>
        <w:rPr>
          <w:color w:val="231F20"/>
          <w:w w:val="105"/>
        </w:rPr>
        <w:t>servir,</w:t>
      </w:r>
      <w:r>
        <w:rPr>
          <w:color w:val="231F20"/>
          <w:spacing w:val="-9"/>
          <w:w w:val="105"/>
        </w:rPr>
        <w:t> </w:t>
      </w:r>
      <w:r>
        <w:rPr>
          <w:color w:val="231F20"/>
          <w:w w:val="105"/>
        </w:rPr>
        <w:t>de</w:t>
      </w:r>
      <w:r>
        <w:rPr>
          <w:color w:val="231F20"/>
          <w:spacing w:val="-4"/>
          <w:w w:val="105"/>
        </w:rPr>
        <w:t> </w:t>
      </w:r>
      <w:r>
        <w:rPr>
          <w:color w:val="231F20"/>
          <w:w w:val="105"/>
        </w:rPr>
        <w:t>manera</w:t>
      </w:r>
      <w:r>
        <w:rPr>
          <w:color w:val="231F20"/>
          <w:spacing w:val="-4"/>
          <w:w w:val="105"/>
        </w:rPr>
        <w:t> </w:t>
      </w:r>
      <w:r>
        <w:rPr>
          <w:color w:val="231F20"/>
          <w:w w:val="105"/>
        </w:rPr>
        <w:t>apremiante,</w:t>
      </w:r>
      <w:r>
        <w:rPr>
          <w:color w:val="231F20"/>
          <w:spacing w:val="-9"/>
          <w:w w:val="105"/>
        </w:rPr>
        <w:t> </w:t>
      </w:r>
      <w:r>
        <w:rPr>
          <w:color w:val="231F20"/>
          <w:w w:val="105"/>
        </w:rPr>
        <w:t>como</w:t>
      </w:r>
      <w:r>
        <w:rPr>
          <w:color w:val="231F20"/>
          <w:spacing w:val="-4"/>
          <w:w w:val="105"/>
        </w:rPr>
        <w:t> </w:t>
      </w:r>
      <w:r>
        <w:rPr>
          <w:color w:val="231F20"/>
          <w:w w:val="105"/>
        </w:rPr>
        <w:t>un</w:t>
      </w:r>
      <w:r>
        <w:rPr>
          <w:color w:val="231F20"/>
          <w:spacing w:val="-4"/>
          <w:w w:val="105"/>
        </w:rPr>
        <w:t> </w:t>
      </w:r>
      <w:r>
        <w:rPr>
          <w:color w:val="231F20"/>
          <w:w w:val="105"/>
        </w:rPr>
        <w:t>vehículo</w:t>
      </w:r>
      <w:r>
        <w:rPr>
          <w:color w:val="231F20"/>
          <w:spacing w:val="-4"/>
          <w:w w:val="105"/>
        </w:rPr>
        <w:t> </w:t>
      </w:r>
      <w:r>
        <w:rPr>
          <w:color w:val="231F20"/>
          <w:w w:val="105"/>
        </w:rPr>
        <w:t>de</w:t>
      </w:r>
      <w:r>
        <w:rPr>
          <w:color w:val="231F20"/>
          <w:spacing w:val="-4"/>
          <w:w w:val="105"/>
        </w:rPr>
        <w:t> </w:t>
      </w:r>
      <w:r>
        <w:rPr>
          <w:color w:val="231F20"/>
          <w:w w:val="105"/>
        </w:rPr>
        <w:t>movili- dad</w:t>
      </w:r>
      <w:r>
        <w:rPr>
          <w:color w:val="231F20"/>
          <w:spacing w:val="-17"/>
          <w:w w:val="105"/>
        </w:rPr>
        <w:t> </w:t>
      </w:r>
      <w:r>
        <w:rPr>
          <w:color w:val="231F20"/>
          <w:w w:val="105"/>
        </w:rPr>
        <w:t>social</w:t>
      </w:r>
      <w:r>
        <w:rPr>
          <w:color w:val="231F20"/>
          <w:spacing w:val="-17"/>
          <w:w w:val="105"/>
        </w:rPr>
        <w:t> </w:t>
      </w:r>
      <w:r>
        <w:rPr>
          <w:color w:val="231F20"/>
          <w:w w:val="105"/>
        </w:rPr>
        <w:t>ascendente,</w:t>
      </w:r>
      <w:r>
        <w:rPr>
          <w:color w:val="231F20"/>
          <w:spacing w:val="-22"/>
          <w:w w:val="105"/>
        </w:rPr>
        <w:t> </w:t>
      </w:r>
      <w:r>
        <w:rPr>
          <w:color w:val="231F20"/>
          <w:w w:val="105"/>
        </w:rPr>
        <w:t>al</w:t>
      </w:r>
      <w:r>
        <w:rPr>
          <w:color w:val="231F20"/>
          <w:spacing w:val="-17"/>
          <w:w w:val="105"/>
        </w:rPr>
        <w:t> </w:t>
      </w:r>
      <w:r>
        <w:rPr>
          <w:color w:val="231F20"/>
          <w:w w:val="105"/>
        </w:rPr>
        <w:t>tiempo</w:t>
      </w:r>
      <w:r>
        <w:rPr>
          <w:color w:val="231F20"/>
          <w:spacing w:val="-17"/>
          <w:w w:val="105"/>
        </w:rPr>
        <w:t> </w:t>
      </w:r>
      <w:r>
        <w:rPr>
          <w:color w:val="231F20"/>
          <w:w w:val="105"/>
        </w:rPr>
        <w:t>de</w:t>
      </w:r>
      <w:r>
        <w:rPr>
          <w:color w:val="231F20"/>
          <w:spacing w:val="-17"/>
          <w:w w:val="105"/>
        </w:rPr>
        <w:t> </w:t>
      </w:r>
      <w:r>
        <w:rPr>
          <w:color w:val="231F20"/>
          <w:w w:val="105"/>
        </w:rPr>
        <w:t>brindar</w:t>
      </w:r>
      <w:r>
        <w:rPr>
          <w:color w:val="231F20"/>
          <w:spacing w:val="-17"/>
          <w:w w:val="105"/>
        </w:rPr>
        <w:t> </w:t>
      </w:r>
      <w:r>
        <w:rPr>
          <w:color w:val="231F20"/>
          <w:w w:val="105"/>
        </w:rPr>
        <w:t>las</w:t>
      </w:r>
      <w:r>
        <w:rPr>
          <w:color w:val="231F20"/>
          <w:spacing w:val="-17"/>
          <w:w w:val="105"/>
        </w:rPr>
        <w:t> </w:t>
      </w:r>
      <w:r>
        <w:rPr>
          <w:color w:val="231F20"/>
          <w:w w:val="105"/>
        </w:rPr>
        <w:t>herramientas</w:t>
      </w:r>
      <w:r>
        <w:rPr>
          <w:color w:val="231F20"/>
          <w:spacing w:val="-17"/>
          <w:w w:val="105"/>
        </w:rPr>
        <w:t> </w:t>
      </w:r>
      <w:r>
        <w:rPr>
          <w:color w:val="231F20"/>
          <w:w w:val="105"/>
        </w:rPr>
        <w:t>necesarias para</w:t>
      </w:r>
      <w:r>
        <w:rPr>
          <w:color w:val="231F20"/>
          <w:spacing w:val="-7"/>
          <w:w w:val="105"/>
        </w:rPr>
        <w:t> </w:t>
      </w:r>
      <w:r>
        <w:rPr>
          <w:color w:val="231F20"/>
          <w:w w:val="105"/>
        </w:rPr>
        <w:t>fortalecer</w:t>
      </w:r>
      <w:r>
        <w:rPr>
          <w:color w:val="231F20"/>
          <w:spacing w:val="-7"/>
          <w:w w:val="105"/>
        </w:rPr>
        <w:t> </w:t>
      </w:r>
      <w:r>
        <w:rPr>
          <w:color w:val="231F20"/>
          <w:w w:val="105"/>
        </w:rPr>
        <w:t>y</w:t>
      </w:r>
      <w:r>
        <w:rPr>
          <w:color w:val="231F20"/>
          <w:spacing w:val="-7"/>
          <w:w w:val="105"/>
        </w:rPr>
        <w:t> </w:t>
      </w:r>
      <w:r>
        <w:rPr>
          <w:color w:val="231F20"/>
          <w:w w:val="105"/>
        </w:rPr>
        <w:t>lograr</w:t>
      </w:r>
      <w:r>
        <w:rPr>
          <w:color w:val="231F20"/>
          <w:spacing w:val="-7"/>
          <w:w w:val="105"/>
        </w:rPr>
        <w:t> </w:t>
      </w:r>
      <w:r>
        <w:rPr>
          <w:color w:val="231F20"/>
          <w:w w:val="105"/>
        </w:rPr>
        <w:t>el</w:t>
      </w:r>
      <w:r>
        <w:rPr>
          <w:color w:val="231F20"/>
          <w:spacing w:val="-7"/>
          <w:w w:val="105"/>
        </w:rPr>
        <w:t> </w:t>
      </w:r>
      <w:r>
        <w:rPr>
          <w:color w:val="231F20"/>
          <w:w w:val="105"/>
        </w:rPr>
        <w:t>desempeño</w:t>
      </w:r>
      <w:r>
        <w:rPr>
          <w:color w:val="231F20"/>
          <w:spacing w:val="-7"/>
          <w:w w:val="105"/>
        </w:rPr>
        <w:t> </w:t>
      </w:r>
      <w:r>
        <w:rPr>
          <w:color w:val="231F20"/>
          <w:w w:val="105"/>
        </w:rPr>
        <w:t>eficiente</w:t>
      </w:r>
      <w:r>
        <w:rPr>
          <w:color w:val="231F20"/>
          <w:spacing w:val="-7"/>
          <w:w w:val="105"/>
        </w:rPr>
        <w:t> </w:t>
      </w:r>
      <w:r>
        <w:rPr>
          <w:color w:val="231F20"/>
          <w:w w:val="105"/>
        </w:rPr>
        <w:t>del</w:t>
      </w:r>
      <w:r>
        <w:rPr>
          <w:color w:val="231F20"/>
          <w:spacing w:val="-7"/>
          <w:w w:val="105"/>
        </w:rPr>
        <w:t> </w:t>
      </w:r>
      <w:r>
        <w:rPr>
          <w:color w:val="231F20"/>
          <w:w w:val="105"/>
        </w:rPr>
        <w:t>capital</w:t>
      </w:r>
      <w:r>
        <w:rPr>
          <w:color w:val="231F20"/>
          <w:spacing w:val="-7"/>
          <w:w w:val="105"/>
        </w:rPr>
        <w:t> </w:t>
      </w:r>
      <w:r>
        <w:rPr>
          <w:color w:val="231F20"/>
          <w:w w:val="105"/>
        </w:rPr>
        <w:t>humano</w:t>
      </w:r>
      <w:r>
        <w:rPr>
          <w:color w:val="231F20"/>
          <w:spacing w:val="-7"/>
          <w:w w:val="105"/>
        </w:rPr>
        <w:t> </w:t>
      </w:r>
      <w:r>
        <w:rPr>
          <w:color w:val="231F20"/>
          <w:w w:val="105"/>
        </w:rPr>
        <w:t>en</w:t>
      </w:r>
      <w:r>
        <w:rPr>
          <w:color w:val="231F20"/>
          <w:spacing w:val="-7"/>
          <w:w w:val="105"/>
        </w:rPr>
        <w:t> </w:t>
      </w:r>
      <w:r>
        <w:rPr>
          <w:color w:val="231F20"/>
          <w:w w:val="105"/>
        </w:rPr>
        <w:t>la vida económica; por otro lado, la participación ciudadana, como motor de cambio social, debe afianzar el conocimiento y defensa de los dere- chos</w:t>
      </w:r>
      <w:r>
        <w:rPr>
          <w:color w:val="231F20"/>
          <w:spacing w:val="-30"/>
          <w:w w:val="105"/>
        </w:rPr>
        <w:t> </w:t>
      </w:r>
      <w:r>
        <w:rPr>
          <w:color w:val="231F20"/>
          <w:w w:val="105"/>
        </w:rPr>
        <w:t>humanos</w:t>
      </w:r>
      <w:r>
        <w:rPr>
          <w:color w:val="231F20"/>
          <w:spacing w:val="-30"/>
          <w:w w:val="105"/>
        </w:rPr>
        <w:t> </w:t>
      </w:r>
      <w:r>
        <w:rPr>
          <w:color w:val="231F20"/>
          <w:w w:val="105"/>
        </w:rPr>
        <w:t>universales</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migrantes</w:t>
      </w:r>
      <w:r>
        <w:rPr>
          <w:color w:val="231F20"/>
          <w:spacing w:val="-30"/>
          <w:w w:val="105"/>
        </w:rPr>
        <w:t> </w:t>
      </w:r>
      <w:r>
        <w:rPr>
          <w:color w:val="231F20"/>
          <w:w w:val="105"/>
        </w:rPr>
        <w:t>y</w:t>
      </w:r>
      <w:r>
        <w:rPr>
          <w:color w:val="231F20"/>
          <w:spacing w:val="-30"/>
          <w:w w:val="105"/>
        </w:rPr>
        <w:t> </w:t>
      </w:r>
      <w:r>
        <w:rPr>
          <w:color w:val="231F20"/>
          <w:w w:val="105"/>
        </w:rPr>
        <w:t>sus</w:t>
      </w:r>
      <w:r>
        <w:rPr>
          <w:color w:val="231F20"/>
          <w:spacing w:val="-30"/>
          <w:w w:val="105"/>
        </w:rPr>
        <w:t> </w:t>
      </w:r>
      <w:r>
        <w:rPr>
          <w:color w:val="231F20"/>
          <w:w w:val="105"/>
        </w:rPr>
        <w:t>familias.</w:t>
      </w:r>
    </w:p>
    <w:p>
      <w:pPr>
        <w:pStyle w:val="BodyText"/>
        <w:spacing w:line="261" w:lineRule="auto" w:before="1"/>
        <w:ind w:left="1837" w:right="1721" w:firstLine="567"/>
        <w:jc w:val="both"/>
      </w:pPr>
      <w:r>
        <w:rPr>
          <w:color w:val="231F20"/>
          <w:w w:val="105"/>
        </w:rPr>
        <w:t>En</w:t>
      </w:r>
      <w:r>
        <w:rPr>
          <w:color w:val="231F20"/>
          <w:spacing w:val="-24"/>
          <w:w w:val="105"/>
        </w:rPr>
        <w:t> </w:t>
      </w:r>
      <w:r>
        <w:rPr>
          <w:color w:val="231F20"/>
          <w:w w:val="105"/>
        </w:rPr>
        <w:t>este</w:t>
      </w:r>
      <w:r>
        <w:rPr>
          <w:color w:val="231F20"/>
          <w:spacing w:val="-24"/>
          <w:w w:val="105"/>
        </w:rPr>
        <w:t> </w:t>
      </w:r>
      <w:r>
        <w:rPr>
          <w:color w:val="231F20"/>
          <w:w w:val="105"/>
        </w:rPr>
        <w:t>sentido,</w:t>
      </w:r>
      <w:r>
        <w:rPr>
          <w:color w:val="231F20"/>
          <w:spacing w:val="-29"/>
          <w:w w:val="105"/>
        </w:rPr>
        <w:t> </w:t>
      </w:r>
      <w:r>
        <w:rPr>
          <w:color w:val="231F20"/>
          <w:w w:val="105"/>
        </w:rPr>
        <w:t>la</w:t>
      </w:r>
      <w:r>
        <w:rPr>
          <w:color w:val="231F20"/>
          <w:spacing w:val="-24"/>
          <w:w w:val="105"/>
        </w:rPr>
        <w:t> </w:t>
      </w:r>
      <w:r>
        <w:rPr>
          <w:color w:val="231F20"/>
          <w:w w:val="105"/>
        </w:rPr>
        <w:t>educación</w:t>
      </w:r>
      <w:r>
        <w:rPr>
          <w:color w:val="231F20"/>
          <w:spacing w:val="-24"/>
          <w:w w:val="105"/>
        </w:rPr>
        <w:t> </w:t>
      </w:r>
      <w:r>
        <w:rPr>
          <w:color w:val="231F20"/>
          <w:w w:val="105"/>
        </w:rPr>
        <w:t>con</w:t>
      </w:r>
      <w:r>
        <w:rPr>
          <w:color w:val="231F20"/>
          <w:spacing w:val="-24"/>
          <w:w w:val="105"/>
        </w:rPr>
        <w:t> </w:t>
      </w:r>
      <w:r>
        <w:rPr>
          <w:color w:val="231F20"/>
          <w:w w:val="105"/>
        </w:rPr>
        <w:t>visión</w:t>
      </w:r>
      <w:r>
        <w:rPr>
          <w:color w:val="231F20"/>
          <w:spacing w:val="-24"/>
          <w:w w:val="105"/>
        </w:rPr>
        <w:t> </w:t>
      </w:r>
      <w:r>
        <w:rPr>
          <w:color w:val="231F20"/>
          <w:w w:val="105"/>
        </w:rPr>
        <w:t>humanista</w:t>
      </w:r>
      <w:r>
        <w:rPr>
          <w:color w:val="231F20"/>
          <w:spacing w:val="-24"/>
          <w:w w:val="105"/>
        </w:rPr>
        <w:t> </w:t>
      </w:r>
      <w:r>
        <w:rPr>
          <w:color w:val="231F20"/>
          <w:w w:val="105"/>
        </w:rPr>
        <w:t>puede</w:t>
      </w:r>
      <w:r>
        <w:rPr>
          <w:color w:val="231F20"/>
          <w:spacing w:val="-24"/>
          <w:w w:val="105"/>
        </w:rPr>
        <w:t> </w:t>
      </w:r>
      <w:r>
        <w:rPr>
          <w:color w:val="231F20"/>
          <w:w w:val="105"/>
        </w:rPr>
        <w:t>impactar y</w:t>
      </w:r>
      <w:r>
        <w:rPr>
          <w:color w:val="231F20"/>
          <w:spacing w:val="-23"/>
          <w:w w:val="105"/>
        </w:rPr>
        <w:t> </w:t>
      </w:r>
      <w:r>
        <w:rPr>
          <w:color w:val="231F20"/>
          <w:w w:val="105"/>
        </w:rPr>
        <w:t>trascender</w:t>
      </w:r>
      <w:r>
        <w:rPr>
          <w:color w:val="231F20"/>
          <w:spacing w:val="-23"/>
          <w:w w:val="105"/>
        </w:rPr>
        <w:t> </w:t>
      </w:r>
      <w:r>
        <w:rPr>
          <w:color w:val="231F20"/>
          <w:w w:val="105"/>
        </w:rPr>
        <w:t>de</w:t>
      </w:r>
      <w:r>
        <w:rPr>
          <w:color w:val="231F20"/>
          <w:spacing w:val="-23"/>
          <w:w w:val="105"/>
        </w:rPr>
        <w:t> </w:t>
      </w:r>
      <w:r>
        <w:rPr>
          <w:color w:val="231F20"/>
          <w:w w:val="105"/>
        </w:rPr>
        <w:t>manera</w:t>
      </w:r>
      <w:r>
        <w:rPr>
          <w:color w:val="231F20"/>
          <w:spacing w:val="-23"/>
          <w:w w:val="105"/>
        </w:rPr>
        <w:t> </w:t>
      </w:r>
      <w:r>
        <w:rPr>
          <w:color w:val="231F20"/>
          <w:w w:val="105"/>
        </w:rPr>
        <w:t>positiva</w:t>
      </w:r>
      <w:r>
        <w:rPr>
          <w:color w:val="231F20"/>
          <w:spacing w:val="-23"/>
          <w:w w:val="105"/>
        </w:rPr>
        <w:t> </w:t>
      </w:r>
      <w:r>
        <w:rPr>
          <w:color w:val="231F20"/>
          <w:w w:val="105"/>
        </w:rPr>
        <w:t>las</w:t>
      </w:r>
      <w:r>
        <w:rPr>
          <w:color w:val="231F20"/>
          <w:spacing w:val="-23"/>
          <w:w w:val="105"/>
        </w:rPr>
        <w:t> </w:t>
      </w:r>
      <w:r>
        <w:rPr>
          <w:color w:val="231F20"/>
          <w:w w:val="105"/>
        </w:rPr>
        <w:t>distintas</w:t>
      </w:r>
      <w:r>
        <w:rPr>
          <w:color w:val="231F20"/>
          <w:spacing w:val="-23"/>
          <w:w w:val="105"/>
        </w:rPr>
        <w:t> </w:t>
      </w:r>
      <w:r>
        <w:rPr>
          <w:color w:val="231F20"/>
          <w:w w:val="105"/>
        </w:rPr>
        <w:t>trayectorias</w:t>
      </w:r>
      <w:r>
        <w:rPr>
          <w:color w:val="231F20"/>
          <w:spacing w:val="-23"/>
          <w:w w:val="105"/>
        </w:rPr>
        <w:t> </w:t>
      </w:r>
      <w:r>
        <w:rPr>
          <w:color w:val="231F20"/>
          <w:w w:val="105"/>
        </w:rPr>
        <w:t>que</w:t>
      </w:r>
      <w:r>
        <w:rPr>
          <w:color w:val="231F20"/>
          <w:spacing w:val="-23"/>
          <w:w w:val="105"/>
        </w:rPr>
        <w:t> </w:t>
      </w:r>
      <w:r>
        <w:rPr>
          <w:color w:val="231F20"/>
          <w:w w:val="105"/>
        </w:rPr>
        <w:t>los</w:t>
      </w:r>
      <w:r>
        <w:rPr>
          <w:color w:val="231F20"/>
          <w:spacing w:val="-23"/>
          <w:w w:val="105"/>
        </w:rPr>
        <w:t> </w:t>
      </w:r>
      <w:r>
        <w:rPr>
          <w:color w:val="231F20"/>
          <w:w w:val="105"/>
        </w:rPr>
        <w:t>y</w:t>
      </w:r>
      <w:r>
        <w:rPr>
          <w:color w:val="231F20"/>
          <w:spacing w:val="-23"/>
          <w:w w:val="105"/>
        </w:rPr>
        <w:t> </w:t>
      </w:r>
      <w:r>
        <w:rPr>
          <w:color w:val="231F20"/>
          <w:w w:val="105"/>
        </w:rPr>
        <w:t>las</w:t>
      </w:r>
      <w:r>
        <w:rPr>
          <w:color w:val="231F20"/>
          <w:spacing w:val="-23"/>
          <w:w w:val="105"/>
        </w:rPr>
        <w:t> </w:t>
      </w:r>
      <w:r>
        <w:rPr>
          <w:color w:val="231F20"/>
          <w:w w:val="105"/>
        </w:rPr>
        <w:t>mi- grantes</w:t>
      </w:r>
      <w:r>
        <w:rPr>
          <w:color w:val="231F20"/>
          <w:spacing w:val="-11"/>
          <w:w w:val="105"/>
        </w:rPr>
        <w:t> </w:t>
      </w:r>
      <w:r>
        <w:rPr>
          <w:color w:val="231F20"/>
          <w:w w:val="105"/>
        </w:rPr>
        <w:t>tienen,</w:t>
      </w:r>
      <w:r>
        <w:rPr>
          <w:color w:val="231F20"/>
          <w:spacing w:val="-16"/>
          <w:w w:val="105"/>
        </w:rPr>
        <w:t> </w:t>
      </w:r>
      <w:r>
        <w:rPr>
          <w:color w:val="231F20"/>
          <w:w w:val="105"/>
        </w:rPr>
        <w:t>al</w:t>
      </w:r>
      <w:r>
        <w:rPr>
          <w:color w:val="231F20"/>
          <w:spacing w:val="-11"/>
          <w:w w:val="105"/>
        </w:rPr>
        <w:t> </w:t>
      </w:r>
      <w:r>
        <w:rPr>
          <w:color w:val="231F20"/>
          <w:w w:val="105"/>
        </w:rPr>
        <w:t>crear</w:t>
      </w:r>
      <w:r>
        <w:rPr>
          <w:color w:val="231F20"/>
          <w:spacing w:val="-11"/>
          <w:w w:val="105"/>
        </w:rPr>
        <w:t> </w:t>
      </w:r>
      <w:r>
        <w:rPr>
          <w:color w:val="231F20"/>
          <w:w w:val="105"/>
        </w:rPr>
        <w:t>los</w:t>
      </w:r>
      <w:r>
        <w:rPr>
          <w:color w:val="231F20"/>
          <w:spacing w:val="-11"/>
          <w:w w:val="105"/>
        </w:rPr>
        <w:t> </w:t>
      </w:r>
      <w:r>
        <w:rPr>
          <w:color w:val="231F20"/>
          <w:w w:val="105"/>
        </w:rPr>
        <w:t>mecanismos</w:t>
      </w:r>
      <w:r>
        <w:rPr>
          <w:color w:val="231F20"/>
          <w:spacing w:val="-11"/>
          <w:w w:val="105"/>
        </w:rPr>
        <w:t> </w:t>
      </w:r>
      <w:r>
        <w:rPr>
          <w:color w:val="231F20"/>
          <w:w w:val="105"/>
        </w:rPr>
        <w:t>para</w:t>
      </w:r>
      <w:r>
        <w:rPr>
          <w:color w:val="231F20"/>
          <w:spacing w:val="-11"/>
          <w:w w:val="105"/>
        </w:rPr>
        <w:t> </w:t>
      </w:r>
      <w:r>
        <w:rPr>
          <w:color w:val="231F20"/>
          <w:w w:val="105"/>
        </w:rPr>
        <w:t>conocer</w:t>
      </w:r>
      <w:r>
        <w:rPr>
          <w:color w:val="231F20"/>
          <w:spacing w:val="-11"/>
          <w:w w:val="105"/>
        </w:rPr>
        <w:t> </w:t>
      </w:r>
      <w:r>
        <w:rPr>
          <w:color w:val="231F20"/>
          <w:w w:val="105"/>
        </w:rPr>
        <w:t>más</w:t>
      </w:r>
      <w:r>
        <w:rPr>
          <w:color w:val="231F20"/>
          <w:spacing w:val="-11"/>
          <w:w w:val="105"/>
        </w:rPr>
        <w:t> </w:t>
      </w:r>
      <w:r>
        <w:rPr>
          <w:color w:val="231F20"/>
          <w:w w:val="105"/>
        </w:rPr>
        <w:t>sobre</w:t>
      </w:r>
      <w:r>
        <w:rPr>
          <w:color w:val="231F20"/>
          <w:spacing w:val="-11"/>
          <w:w w:val="105"/>
        </w:rPr>
        <w:t> </w:t>
      </w:r>
      <w:r>
        <w:rPr>
          <w:color w:val="231F20"/>
          <w:w w:val="105"/>
        </w:rPr>
        <w:t>los</w:t>
      </w:r>
      <w:r>
        <w:rPr>
          <w:color w:val="231F20"/>
          <w:spacing w:val="-11"/>
          <w:w w:val="105"/>
        </w:rPr>
        <w:t> </w:t>
      </w:r>
      <w:r>
        <w:rPr>
          <w:color w:val="231F20"/>
          <w:w w:val="105"/>
        </w:rPr>
        <w:t>de- rechos</w:t>
      </w:r>
      <w:r>
        <w:rPr>
          <w:color w:val="231F20"/>
          <w:spacing w:val="-18"/>
          <w:w w:val="105"/>
        </w:rPr>
        <w:t> </w:t>
      </w:r>
      <w:r>
        <w:rPr>
          <w:color w:val="231F20"/>
          <w:w w:val="105"/>
        </w:rPr>
        <w:t>que</w:t>
      </w:r>
      <w:r>
        <w:rPr>
          <w:color w:val="231F20"/>
          <w:spacing w:val="-18"/>
          <w:w w:val="105"/>
        </w:rPr>
        <w:t> </w:t>
      </w:r>
      <w:r>
        <w:rPr>
          <w:color w:val="231F20"/>
          <w:w w:val="105"/>
        </w:rPr>
        <w:t>tutela</w:t>
      </w:r>
      <w:r>
        <w:rPr>
          <w:color w:val="231F20"/>
          <w:spacing w:val="-18"/>
          <w:w w:val="105"/>
        </w:rPr>
        <w:t> </w:t>
      </w:r>
      <w:r>
        <w:rPr>
          <w:color w:val="231F20"/>
          <w:w w:val="105"/>
        </w:rPr>
        <w:t>el</w:t>
      </w:r>
      <w:r>
        <w:rPr>
          <w:color w:val="231F20"/>
          <w:spacing w:val="-18"/>
          <w:w w:val="105"/>
        </w:rPr>
        <w:t> </w:t>
      </w:r>
      <w:r>
        <w:rPr>
          <w:color w:val="231F20"/>
          <w:w w:val="105"/>
        </w:rPr>
        <w:t>Estado,</w:t>
      </w:r>
      <w:r>
        <w:rPr>
          <w:color w:val="231F20"/>
          <w:spacing w:val="-24"/>
          <w:w w:val="105"/>
        </w:rPr>
        <w:t> </w:t>
      </w:r>
      <w:r>
        <w:rPr>
          <w:color w:val="231F20"/>
          <w:w w:val="105"/>
        </w:rPr>
        <w:t>de</w:t>
      </w:r>
      <w:r>
        <w:rPr>
          <w:color w:val="231F20"/>
          <w:spacing w:val="-18"/>
          <w:w w:val="105"/>
        </w:rPr>
        <w:t> </w:t>
      </w:r>
      <w:r>
        <w:rPr>
          <w:color w:val="231F20"/>
          <w:w w:val="105"/>
        </w:rPr>
        <w:t>manera</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participación</w:t>
      </w:r>
      <w:r>
        <w:rPr>
          <w:color w:val="231F20"/>
          <w:spacing w:val="-18"/>
          <w:w w:val="105"/>
        </w:rPr>
        <w:t> </w:t>
      </w:r>
      <w:r>
        <w:rPr>
          <w:color w:val="231F20"/>
          <w:w w:val="105"/>
        </w:rPr>
        <w:t>e</w:t>
      </w:r>
      <w:r>
        <w:rPr>
          <w:color w:val="231F20"/>
          <w:spacing w:val="-18"/>
          <w:w w:val="105"/>
        </w:rPr>
        <w:t> </w:t>
      </w:r>
      <w:r>
        <w:rPr>
          <w:color w:val="231F20"/>
          <w:w w:val="105"/>
        </w:rPr>
        <w:t>integración de redes de conocimiento e intervención en el tema migratorio  </w:t>
      </w:r>
      <w:r>
        <w:rPr>
          <w:color w:val="231F20"/>
          <w:spacing w:val="49"/>
          <w:w w:val="105"/>
        </w:rPr>
        <w:t> </w:t>
      </w:r>
      <w:r>
        <w:rPr>
          <w:color w:val="231F20"/>
          <w:w w:val="105"/>
        </w:rPr>
        <w:t>pueda</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35"/>
        <w:jc w:val="both"/>
      </w:pPr>
      <w:r>
        <w:rPr>
          <w:color w:val="231F20"/>
          <w:w w:val="105"/>
        </w:rPr>
        <w:t>contribuir, de una mejor manera, a la gestión de la migración y a crear espacios</w:t>
      </w:r>
      <w:r>
        <w:rPr>
          <w:color w:val="231F20"/>
          <w:spacing w:val="-16"/>
          <w:w w:val="105"/>
        </w:rPr>
        <w:t> </w:t>
      </w:r>
      <w:r>
        <w:rPr>
          <w:color w:val="231F20"/>
          <w:w w:val="105"/>
        </w:rPr>
        <w:t>de</w:t>
      </w:r>
      <w:r>
        <w:rPr>
          <w:color w:val="231F20"/>
          <w:spacing w:val="-16"/>
          <w:w w:val="105"/>
        </w:rPr>
        <w:t> </w:t>
      </w:r>
      <w:r>
        <w:rPr>
          <w:color w:val="231F20"/>
          <w:w w:val="105"/>
        </w:rPr>
        <w:t>expresión</w:t>
      </w:r>
      <w:r>
        <w:rPr>
          <w:color w:val="231F20"/>
          <w:spacing w:val="-16"/>
          <w:w w:val="105"/>
        </w:rPr>
        <w:t> </w:t>
      </w:r>
      <w:r>
        <w:rPr>
          <w:color w:val="231F20"/>
          <w:w w:val="105"/>
        </w:rPr>
        <w:t>para</w:t>
      </w:r>
      <w:r>
        <w:rPr>
          <w:color w:val="231F20"/>
          <w:spacing w:val="-16"/>
          <w:w w:val="105"/>
        </w:rPr>
        <w:t> </w:t>
      </w:r>
      <w:r>
        <w:rPr>
          <w:color w:val="231F20"/>
          <w:w w:val="105"/>
        </w:rPr>
        <w:t>los</w:t>
      </w:r>
      <w:r>
        <w:rPr>
          <w:color w:val="231F20"/>
          <w:spacing w:val="-16"/>
          <w:w w:val="105"/>
        </w:rPr>
        <w:t> </w:t>
      </w:r>
      <w:r>
        <w:rPr>
          <w:color w:val="231F20"/>
          <w:w w:val="105"/>
        </w:rPr>
        <w:t>migrantes</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distintos</w:t>
      </w:r>
      <w:r>
        <w:rPr>
          <w:color w:val="231F20"/>
          <w:spacing w:val="-16"/>
          <w:w w:val="105"/>
        </w:rPr>
        <w:t> </w:t>
      </w:r>
      <w:r>
        <w:rPr>
          <w:color w:val="231F20"/>
          <w:w w:val="105"/>
        </w:rPr>
        <w:t>lugares</w:t>
      </w:r>
      <w:r>
        <w:rPr>
          <w:color w:val="231F20"/>
          <w:spacing w:val="-16"/>
          <w:w w:val="105"/>
        </w:rPr>
        <w:t> </w:t>
      </w:r>
      <w:r>
        <w:rPr>
          <w:color w:val="231F20"/>
          <w:w w:val="105"/>
        </w:rPr>
        <w:t>por</w:t>
      </w:r>
      <w:r>
        <w:rPr>
          <w:color w:val="231F20"/>
          <w:spacing w:val="-16"/>
          <w:w w:val="105"/>
        </w:rPr>
        <w:t> </w:t>
      </w:r>
      <w:r>
        <w:rPr>
          <w:color w:val="231F20"/>
          <w:w w:val="105"/>
        </w:rPr>
        <w:t>los cuales</w:t>
      </w:r>
      <w:r>
        <w:rPr>
          <w:color w:val="231F20"/>
          <w:spacing w:val="-31"/>
          <w:w w:val="105"/>
        </w:rPr>
        <w:t> </w:t>
      </w:r>
      <w:r>
        <w:rPr>
          <w:color w:val="231F20"/>
          <w:w w:val="105"/>
        </w:rPr>
        <w:t>trazan</w:t>
      </w:r>
      <w:r>
        <w:rPr>
          <w:color w:val="231F20"/>
          <w:spacing w:val="-31"/>
          <w:w w:val="105"/>
        </w:rPr>
        <w:t> </w:t>
      </w:r>
      <w:r>
        <w:rPr>
          <w:color w:val="231F20"/>
          <w:w w:val="105"/>
        </w:rPr>
        <w:t>sus</w:t>
      </w:r>
      <w:r>
        <w:rPr>
          <w:color w:val="231F20"/>
          <w:spacing w:val="-31"/>
          <w:w w:val="105"/>
        </w:rPr>
        <w:t> </w:t>
      </w:r>
      <w:r>
        <w:rPr>
          <w:color w:val="231F20"/>
          <w:w w:val="105"/>
        </w:rPr>
        <w:t>trayectorias</w:t>
      </w:r>
      <w:r>
        <w:rPr>
          <w:color w:val="231F20"/>
          <w:spacing w:val="-31"/>
          <w:w w:val="105"/>
        </w:rPr>
        <w:t> </w:t>
      </w:r>
      <w:r>
        <w:rPr>
          <w:color w:val="231F20"/>
          <w:w w:val="105"/>
        </w:rPr>
        <w:t>de</w:t>
      </w:r>
      <w:r>
        <w:rPr>
          <w:color w:val="231F20"/>
          <w:spacing w:val="-31"/>
          <w:w w:val="105"/>
        </w:rPr>
        <w:t> </w:t>
      </w:r>
      <w:r>
        <w:rPr>
          <w:color w:val="231F20"/>
          <w:w w:val="105"/>
        </w:rPr>
        <w:t>vida</w:t>
      </w:r>
      <w:r>
        <w:rPr>
          <w:color w:val="231F20"/>
          <w:spacing w:val="-31"/>
          <w:w w:val="105"/>
        </w:rPr>
        <w:t> </w:t>
      </w:r>
      <w:r>
        <w:rPr>
          <w:color w:val="231F20"/>
          <w:w w:val="105"/>
        </w:rPr>
        <w:t>y</w:t>
      </w:r>
      <w:r>
        <w:rPr>
          <w:color w:val="231F20"/>
          <w:spacing w:val="-31"/>
          <w:w w:val="105"/>
        </w:rPr>
        <w:t> </w:t>
      </w:r>
      <w:r>
        <w:rPr>
          <w:color w:val="231F20"/>
          <w:w w:val="105"/>
        </w:rPr>
        <w:t>laborales.</w:t>
      </w:r>
    </w:p>
    <w:p>
      <w:pPr>
        <w:pStyle w:val="BodyText"/>
        <w:spacing w:line="261" w:lineRule="auto" w:before="1"/>
        <w:ind w:left="1723" w:right="1834" w:firstLine="567"/>
        <w:jc w:val="both"/>
      </w:pPr>
      <w:r>
        <w:rPr>
          <w:color w:val="231F20"/>
          <w:w w:val="105"/>
        </w:rPr>
        <w:t>Este binomio, educación y participación social, es el pilar funda- mental para el cuidado de los derechos humanos, consagrados en los distintos ordenamientos legales y vinculados con el derecho</w:t>
      </w:r>
      <w:r>
        <w:rPr>
          <w:color w:val="231F20"/>
          <w:spacing w:val="-37"/>
          <w:w w:val="105"/>
        </w:rPr>
        <w:t> </w:t>
      </w:r>
      <w:r>
        <w:rPr>
          <w:color w:val="231F20"/>
          <w:w w:val="105"/>
        </w:rPr>
        <w:t>internacio- nal,</w:t>
      </w:r>
      <w:r>
        <w:rPr>
          <w:color w:val="231F20"/>
          <w:spacing w:val="-24"/>
          <w:w w:val="105"/>
        </w:rPr>
        <w:t> </w:t>
      </w:r>
      <w:r>
        <w:rPr>
          <w:color w:val="231F20"/>
          <w:w w:val="105"/>
        </w:rPr>
        <w:t>nacional</w:t>
      </w:r>
      <w:r>
        <w:rPr>
          <w:color w:val="231F20"/>
          <w:spacing w:val="-19"/>
          <w:w w:val="105"/>
        </w:rPr>
        <w:t> </w:t>
      </w:r>
      <w:r>
        <w:rPr>
          <w:color w:val="231F20"/>
          <w:w w:val="105"/>
        </w:rPr>
        <w:t>y</w:t>
      </w:r>
      <w:r>
        <w:rPr>
          <w:color w:val="231F20"/>
          <w:spacing w:val="-19"/>
          <w:w w:val="105"/>
        </w:rPr>
        <w:t> </w:t>
      </w:r>
      <w:r>
        <w:rPr>
          <w:color w:val="231F20"/>
          <w:w w:val="105"/>
        </w:rPr>
        <w:t>local.</w:t>
      </w:r>
      <w:r>
        <w:rPr>
          <w:color w:val="231F20"/>
          <w:spacing w:val="-24"/>
          <w:w w:val="105"/>
        </w:rPr>
        <w:t> </w:t>
      </w:r>
      <w:r>
        <w:rPr>
          <w:color w:val="231F20"/>
          <w:w w:val="105"/>
        </w:rPr>
        <w:t>Educación</w:t>
      </w:r>
      <w:r>
        <w:rPr>
          <w:color w:val="231F20"/>
          <w:spacing w:val="-19"/>
          <w:w w:val="105"/>
        </w:rPr>
        <w:t> </w:t>
      </w:r>
      <w:r>
        <w:rPr>
          <w:color w:val="231F20"/>
          <w:w w:val="105"/>
        </w:rPr>
        <w:t>y</w:t>
      </w:r>
      <w:r>
        <w:rPr>
          <w:color w:val="231F20"/>
          <w:spacing w:val="-19"/>
          <w:w w:val="105"/>
        </w:rPr>
        <w:t> </w:t>
      </w:r>
      <w:r>
        <w:rPr>
          <w:color w:val="231F20"/>
          <w:w w:val="105"/>
        </w:rPr>
        <w:t>participación</w:t>
      </w:r>
      <w:r>
        <w:rPr>
          <w:color w:val="231F20"/>
          <w:spacing w:val="-19"/>
          <w:w w:val="105"/>
        </w:rPr>
        <w:t> </w:t>
      </w:r>
      <w:r>
        <w:rPr>
          <w:color w:val="231F20"/>
          <w:w w:val="105"/>
        </w:rPr>
        <w:t>se</w:t>
      </w:r>
      <w:r>
        <w:rPr>
          <w:color w:val="231F20"/>
          <w:spacing w:val="-19"/>
          <w:w w:val="105"/>
        </w:rPr>
        <w:t> </w:t>
      </w:r>
      <w:r>
        <w:rPr>
          <w:color w:val="231F20"/>
          <w:w w:val="105"/>
        </w:rPr>
        <w:t>convierten</w:t>
      </w:r>
      <w:r>
        <w:rPr>
          <w:color w:val="231F20"/>
          <w:spacing w:val="-19"/>
          <w:w w:val="105"/>
        </w:rPr>
        <w:t> </w:t>
      </w:r>
      <w:r>
        <w:rPr>
          <w:color w:val="231F20"/>
          <w:w w:val="105"/>
        </w:rPr>
        <w:t>en</w:t>
      </w:r>
      <w:r>
        <w:rPr>
          <w:color w:val="231F20"/>
          <w:spacing w:val="-19"/>
          <w:w w:val="105"/>
        </w:rPr>
        <w:t> </w:t>
      </w:r>
      <w:r>
        <w:rPr>
          <w:color w:val="231F20"/>
          <w:w w:val="105"/>
        </w:rPr>
        <w:t>una</w:t>
      </w:r>
      <w:r>
        <w:rPr>
          <w:color w:val="231F20"/>
          <w:spacing w:val="-19"/>
          <w:w w:val="105"/>
        </w:rPr>
        <w:t> </w:t>
      </w:r>
      <w:r>
        <w:rPr>
          <w:color w:val="231F20"/>
          <w:w w:val="105"/>
        </w:rPr>
        <w:t>con- dición</w:t>
      </w:r>
      <w:r>
        <w:rPr>
          <w:color w:val="231F20"/>
          <w:spacing w:val="-7"/>
          <w:w w:val="105"/>
        </w:rPr>
        <w:t> </w:t>
      </w:r>
      <w:r>
        <w:rPr>
          <w:color w:val="231F20"/>
          <w:w w:val="105"/>
        </w:rPr>
        <w:t>que</w:t>
      </w:r>
      <w:r>
        <w:rPr>
          <w:color w:val="231F20"/>
          <w:spacing w:val="-7"/>
          <w:w w:val="105"/>
        </w:rPr>
        <w:t> </w:t>
      </w:r>
      <w:r>
        <w:rPr>
          <w:color w:val="231F20"/>
          <w:w w:val="105"/>
        </w:rPr>
        <w:t>permite</w:t>
      </w:r>
      <w:r>
        <w:rPr>
          <w:color w:val="231F20"/>
          <w:spacing w:val="-7"/>
          <w:w w:val="105"/>
        </w:rPr>
        <w:t> </w:t>
      </w:r>
      <w:r>
        <w:rPr>
          <w:color w:val="231F20"/>
          <w:w w:val="105"/>
        </w:rPr>
        <w:t>el</w:t>
      </w:r>
      <w:r>
        <w:rPr>
          <w:color w:val="231F20"/>
          <w:spacing w:val="-7"/>
          <w:w w:val="105"/>
        </w:rPr>
        <w:t> </w:t>
      </w:r>
      <w:r>
        <w:rPr>
          <w:color w:val="231F20"/>
          <w:w w:val="105"/>
        </w:rPr>
        <w:t>conocimiento</w:t>
      </w:r>
      <w:r>
        <w:rPr>
          <w:color w:val="231F20"/>
          <w:spacing w:val="-7"/>
          <w:w w:val="105"/>
        </w:rPr>
        <w:t> </w:t>
      </w:r>
      <w:r>
        <w:rPr>
          <w:color w:val="231F20"/>
          <w:w w:val="105"/>
        </w:rPr>
        <w:t>y</w:t>
      </w:r>
      <w:r>
        <w:rPr>
          <w:color w:val="231F20"/>
          <w:spacing w:val="-7"/>
          <w:w w:val="105"/>
        </w:rPr>
        <w:t> </w:t>
      </w:r>
      <w:r>
        <w:rPr>
          <w:color w:val="231F20"/>
          <w:w w:val="105"/>
        </w:rPr>
        <w:t>defensa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derechos</w:t>
      </w:r>
      <w:r>
        <w:rPr>
          <w:color w:val="231F20"/>
          <w:spacing w:val="-7"/>
          <w:w w:val="105"/>
        </w:rPr>
        <w:t> </w:t>
      </w:r>
      <w:r>
        <w:rPr>
          <w:color w:val="231F20"/>
          <w:w w:val="105"/>
        </w:rPr>
        <w:t>humanos por parte de los</w:t>
      </w:r>
      <w:r>
        <w:rPr>
          <w:color w:val="231F20"/>
          <w:spacing w:val="-26"/>
          <w:w w:val="105"/>
        </w:rPr>
        <w:t> </w:t>
      </w:r>
      <w:r>
        <w:rPr>
          <w:color w:val="231F20"/>
          <w:w w:val="105"/>
        </w:rPr>
        <w:t>migrantes.</w:t>
      </w:r>
    </w:p>
    <w:p>
      <w:pPr>
        <w:pStyle w:val="BodyText"/>
        <w:spacing w:line="261" w:lineRule="auto" w:before="1"/>
        <w:ind w:left="1723" w:right="1834" w:firstLine="567"/>
        <w:jc w:val="both"/>
      </w:pPr>
      <w:r>
        <w:rPr>
          <w:color w:val="231F20"/>
          <w:spacing w:val="-6"/>
          <w:w w:val="105"/>
        </w:rPr>
        <w:t>Por</w:t>
      </w:r>
      <w:r>
        <w:rPr>
          <w:color w:val="231F20"/>
          <w:spacing w:val="-10"/>
          <w:w w:val="105"/>
        </w:rPr>
        <w:t> </w:t>
      </w:r>
      <w:r>
        <w:rPr>
          <w:color w:val="231F20"/>
          <w:w w:val="105"/>
        </w:rPr>
        <w:t>lo</w:t>
      </w:r>
      <w:r>
        <w:rPr>
          <w:color w:val="231F20"/>
          <w:spacing w:val="-10"/>
          <w:w w:val="105"/>
        </w:rPr>
        <w:t> </w:t>
      </w:r>
      <w:r>
        <w:rPr>
          <w:color w:val="231F20"/>
          <w:w w:val="105"/>
        </w:rPr>
        <w:t>anterior,</w:t>
      </w:r>
      <w:r>
        <w:rPr>
          <w:color w:val="231F20"/>
          <w:spacing w:val="-15"/>
          <w:w w:val="105"/>
        </w:rPr>
        <w:t> </w:t>
      </w:r>
      <w:r>
        <w:rPr>
          <w:color w:val="231F20"/>
          <w:w w:val="105"/>
        </w:rPr>
        <w:t>el</w:t>
      </w:r>
      <w:r>
        <w:rPr>
          <w:color w:val="231F20"/>
          <w:spacing w:val="-10"/>
          <w:w w:val="105"/>
        </w:rPr>
        <w:t> </w:t>
      </w:r>
      <w:r>
        <w:rPr>
          <w:color w:val="231F20"/>
          <w:w w:val="105"/>
        </w:rPr>
        <w:t>objetivo</w:t>
      </w:r>
      <w:r>
        <w:rPr>
          <w:color w:val="231F20"/>
          <w:spacing w:val="-10"/>
          <w:w w:val="105"/>
        </w:rPr>
        <w:t> </w:t>
      </w:r>
      <w:r>
        <w:rPr>
          <w:color w:val="231F20"/>
          <w:w w:val="105"/>
        </w:rPr>
        <w:t>de</w:t>
      </w:r>
      <w:r>
        <w:rPr>
          <w:color w:val="231F20"/>
          <w:spacing w:val="-10"/>
          <w:w w:val="105"/>
        </w:rPr>
        <w:t> </w:t>
      </w:r>
      <w:r>
        <w:rPr>
          <w:color w:val="231F20"/>
          <w:w w:val="105"/>
        </w:rPr>
        <w:t>este</w:t>
      </w:r>
      <w:r>
        <w:rPr>
          <w:color w:val="231F20"/>
          <w:spacing w:val="-10"/>
          <w:w w:val="105"/>
        </w:rPr>
        <w:t> </w:t>
      </w:r>
      <w:r>
        <w:rPr>
          <w:color w:val="231F20"/>
          <w:w w:val="105"/>
        </w:rPr>
        <w:t>capítulo</w:t>
      </w:r>
      <w:r>
        <w:rPr>
          <w:color w:val="231F20"/>
          <w:spacing w:val="-10"/>
          <w:w w:val="105"/>
        </w:rPr>
        <w:t> </w:t>
      </w:r>
      <w:r>
        <w:rPr>
          <w:color w:val="231F20"/>
          <w:w w:val="105"/>
        </w:rPr>
        <w:t>es</w:t>
      </w:r>
      <w:r>
        <w:rPr>
          <w:color w:val="231F20"/>
          <w:spacing w:val="-10"/>
          <w:w w:val="105"/>
        </w:rPr>
        <w:t> </w:t>
      </w:r>
      <w:r>
        <w:rPr>
          <w:color w:val="231F20"/>
          <w:w w:val="105"/>
        </w:rPr>
        <w:t>analizar</w:t>
      </w:r>
      <w:r>
        <w:rPr>
          <w:color w:val="231F20"/>
          <w:spacing w:val="-10"/>
          <w:w w:val="105"/>
        </w:rPr>
        <w:t> </w:t>
      </w:r>
      <w:r>
        <w:rPr>
          <w:color w:val="231F20"/>
          <w:w w:val="105"/>
        </w:rPr>
        <w:t>la</w:t>
      </w:r>
      <w:r>
        <w:rPr>
          <w:color w:val="231F20"/>
          <w:spacing w:val="-10"/>
          <w:w w:val="105"/>
        </w:rPr>
        <w:t> </w:t>
      </w:r>
      <w:r>
        <w:rPr>
          <w:color w:val="231F20"/>
          <w:w w:val="105"/>
        </w:rPr>
        <w:t>migración y los derechos humanos como dos variables interdependientes para el análisis</w:t>
      </w:r>
      <w:r>
        <w:rPr>
          <w:color w:val="231F20"/>
          <w:spacing w:val="-17"/>
          <w:w w:val="105"/>
        </w:rPr>
        <w:t> </w:t>
      </w:r>
      <w:r>
        <w:rPr>
          <w:color w:val="231F20"/>
          <w:w w:val="105"/>
        </w:rPr>
        <w:t>y</w:t>
      </w:r>
      <w:r>
        <w:rPr>
          <w:color w:val="231F20"/>
          <w:spacing w:val="-17"/>
          <w:w w:val="105"/>
        </w:rPr>
        <w:t> </w:t>
      </w:r>
      <w:r>
        <w:rPr>
          <w:color w:val="231F20"/>
          <w:w w:val="105"/>
        </w:rPr>
        <w:t>tratamiento</w:t>
      </w:r>
      <w:r>
        <w:rPr>
          <w:color w:val="231F20"/>
          <w:spacing w:val="-17"/>
          <w:w w:val="105"/>
        </w:rPr>
        <w:t> </w:t>
      </w:r>
      <w:r>
        <w:rPr>
          <w:color w:val="231F20"/>
          <w:w w:val="105"/>
        </w:rPr>
        <w:t>integral</w:t>
      </w:r>
      <w:r>
        <w:rPr>
          <w:color w:val="231F20"/>
          <w:spacing w:val="-17"/>
          <w:w w:val="105"/>
        </w:rPr>
        <w:t> </w:t>
      </w:r>
      <w:r>
        <w:rPr>
          <w:color w:val="231F20"/>
          <w:w w:val="105"/>
        </w:rPr>
        <w:t>de</w:t>
      </w:r>
      <w:r>
        <w:rPr>
          <w:color w:val="231F20"/>
          <w:spacing w:val="-17"/>
          <w:w w:val="105"/>
        </w:rPr>
        <w:t> </w:t>
      </w:r>
      <w:r>
        <w:rPr>
          <w:color w:val="231F20"/>
          <w:w w:val="105"/>
        </w:rPr>
        <w:t>dicho</w:t>
      </w:r>
      <w:r>
        <w:rPr>
          <w:color w:val="231F20"/>
          <w:spacing w:val="-17"/>
          <w:w w:val="105"/>
        </w:rPr>
        <w:t> </w:t>
      </w:r>
      <w:r>
        <w:rPr>
          <w:color w:val="231F20"/>
          <w:w w:val="105"/>
        </w:rPr>
        <w:t>fenómeno</w:t>
      </w:r>
      <w:r>
        <w:rPr>
          <w:color w:val="231F20"/>
          <w:spacing w:val="-17"/>
          <w:w w:val="105"/>
        </w:rPr>
        <w:t> </w:t>
      </w:r>
      <w:r>
        <w:rPr>
          <w:color w:val="231F20"/>
          <w:w w:val="105"/>
        </w:rPr>
        <w:t>social.</w:t>
      </w:r>
      <w:r>
        <w:rPr>
          <w:color w:val="231F20"/>
          <w:spacing w:val="-22"/>
          <w:w w:val="105"/>
        </w:rPr>
        <w:t> </w:t>
      </w:r>
      <w:r>
        <w:rPr>
          <w:color w:val="231F20"/>
          <w:spacing w:val="-4"/>
          <w:w w:val="105"/>
        </w:rPr>
        <w:t>Para</w:t>
      </w:r>
      <w:r>
        <w:rPr>
          <w:color w:val="231F20"/>
          <w:spacing w:val="-17"/>
          <w:w w:val="105"/>
        </w:rPr>
        <w:t> </w:t>
      </w:r>
      <w:r>
        <w:rPr>
          <w:color w:val="231F20"/>
          <w:w w:val="105"/>
        </w:rPr>
        <w:t>ello,</w:t>
      </w:r>
      <w:r>
        <w:rPr>
          <w:color w:val="231F20"/>
          <w:spacing w:val="-22"/>
          <w:w w:val="105"/>
        </w:rPr>
        <w:t> </w:t>
      </w:r>
      <w:r>
        <w:rPr>
          <w:color w:val="231F20"/>
          <w:w w:val="105"/>
        </w:rPr>
        <w:t>el</w:t>
      </w:r>
      <w:r>
        <w:rPr>
          <w:color w:val="231F20"/>
          <w:spacing w:val="-17"/>
          <w:w w:val="105"/>
        </w:rPr>
        <w:t> </w:t>
      </w:r>
      <w:r>
        <w:rPr>
          <w:color w:val="231F20"/>
          <w:w w:val="105"/>
        </w:rPr>
        <w:t>tex- to se divide en tres apartados. El primero contextualiza el problema de la</w:t>
      </w:r>
      <w:r>
        <w:rPr>
          <w:color w:val="231F20"/>
          <w:spacing w:val="-16"/>
          <w:w w:val="105"/>
        </w:rPr>
        <w:t> </w:t>
      </w:r>
      <w:r>
        <w:rPr>
          <w:color w:val="231F20"/>
          <w:w w:val="105"/>
        </w:rPr>
        <w:t>migración</w:t>
      </w:r>
      <w:r>
        <w:rPr>
          <w:color w:val="231F20"/>
          <w:spacing w:val="-16"/>
          <w:w w:val="105"/>
        </w:rPr>
        <w:t> </w:t>
      </w:r>
      <w:r>
        <w:rPr>
          <w:color w:val="231F20"/>
          <w:w w:val="105"/>
        </w:rPr>
        <w:t>y</w:t>
      </w:r>
      <w:r>
        <w:rPr>
          <w:color w:val="231F20"/>
          <w:spacing w:val="-16"/>
          <w:w w:val="105"/>
        </w:rPr>
        <w:t> </w:t>
      </w:r>
      <w:r>
        <w:rPr>
          <w:color w:val="231F20"/>
          <w:w w:val="105"/>
        </w:rPr>
        <w:t>los</w:t>
      </w:r>
      <w:r>
        <w:rPr>
          <w:color w:val="231F20"/>
          <w:spacing w:val="-16"/>
          <w:w w:val="105"/>
        </w:rPr>
        <w:t> </w:t>
      </w:r>
      <w:r>
        <w:rPr>
          <w:color w:val="231F20"/>
          <w:w w:val="105"/>
        </w:rPr>
        <w:t>derechos</w:t>
      </w:r>
      <w:r>
        <w:rPr>
          <w:color w:val="231F20"/>
          <w:spacing w:val="-16"/>
          <w:w w:val="105"/>
        </w:rPr>
        <w:t> </w:t>
      </w:r>
      <w:r>
        <w:rPr>
          <w:color w:val="231F20"/>
          <w:w w:val="105"/>
        </w:rPr>
        <w:t>humanos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educación</w:t>
      </w:r>
      <w:r>
        <w:rPr>
          <w:color w:val="231F20"/>
          <w:spacing w:val="-16"/>
          <w:w w:val="105"/>
        </w:rPr>
        <w:t> </w:t>
      </w:r>
      <w:r>
        <w:rPr>
          <w:color w:val="231F20"/>
          <w:w w:val="105"/>
        </w:rPr>
        <w:t>y</w:t>
      </w:r>
      <w:r>
        <w:rPr>
          <w:color w:val="231F20"/>
          <w:spacing w:val="-16"/>
          <w:w w:val="105"/>
        </w:rPr>
        <w:t> </w:t>
      </w:r>
      <w:r>
        <w:rPr>
          <w:color w:val="231F20"/>
          <w:w w:val="105"/>
        </w:rPr>
        <w:t>participación.</w:t>
      </w:r>
      <w:r>
        <w:rPr>
          <w:color w:val="231F20"/>
          <w:spacing w:val="-21"/>
          <w:w w:val="105"/>
        </w:rPr>
        <w:t> </w:t>
      </w:r>
      <w:r>
        <w:rPr>
          <w:color w:val="231F20"/>
          <w:w w:val="105"/>
        </w:rPr>
        <w:t>En un segundo apartado se realiza una revisión de la normatividad migra- toria y los programas de atención al migrante, enfatizando el tema de las</w:t>
      </w:r>
      <w:r>
        <w:rPr>
          <w:color w:val="231F20"/>
          <w:spacing w:val="-9"/>
          <w:w w:val="105"/>
        </w:rPr>
        <w:t> </w:t>
      </w:r>
      <w:r>
        <w:rPr>
          <w:color w:val="231F20"/>
          <w:w w:val="105"/>
        </w:rPr>
        <w:t>políticas</w:t>
      </w:r>
      <w:r>
        <w:rPr>
          <w:color w:val="231F20"/>
          <w:spacing w:val="-9"/>
          <w:w w:val="105"/>
        </w:rPr>
        <w:t> </w:t>
      </w:r>
      <w:r>
        <w:rPr>
          <w:color w:val="231F20"/>
          <w:w w:val="105"/>
        </w:rPr>
        <w:t>públicas</w:t>
      </w:r>
      <w:r>
        <w:rPr>
          <w:color w:val="231F20"/>
          <w:spacing w:val="-9"/>
          <w:w w:val="105"/>
        </w:rPr>
        <w:t> </w:t>
      </w:r>
      <w:r>
        <w:rPr>
          <w:color w:val="231F20"/>
          <w:w w:val="105"/>
        </w:rPr>
        <w:t>en</w:t>
      </w:r>
      <w:r>
        <w:rPr>
          <w:color w:val="231F20"/>
          <w:spacing w:val="-9"/>
          <w:w w:val="105"/>
        </w:rPr>
        <w:t> </w:t>
      </w:r>
      <w:r>
        <w:rPr>
          <w:color w:val="231F20"/>
          <w:w w:val="105"/>
        </w:rPr>
        <w:t>México.</w:t>
      </w:r>
      <w:r>
        <w:rPr>
          <w:color w:val="231F20"/>
          <w:spacing w:val="-14"/>
          <w:w w:val="105"/>
        </w:rPr>
        <w:t> </w:t>
      </w:r>
      <w:r>
        <w:rPr>
          <w:color w:val="231F20"/>
          <w:w w:val="105"/>
        </w:rPr>
        <w:t>Finalmente,</w:t>
      </w:r>
      <w:r>
        <w:rPr>
          <w:color w:val="231F20"/>
          <w:spacing w:val="-14"/>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tercer</w:t>
      </w:r>
      <w:r>
        <w:rPr>
          <w:color w:val="231F20"/>
          <w:spacing w:val="-9"/>
          <w:w w:val="105"/>
        </w:rPr>
        <w:t> </w:t>
      </w:r>
      <w:r>
        <w:rPr>
          <w:color w:val="231F20"/>
          <w:w w:val="105"/>
        </w:rPr>
        <w:t>parte</w:t>
      </w:r>
      <w:r>
        <w:rPr>
          <w:color w:val="231F20"/>
          <w:spacing w:val="41"/>
          <w:w w:val="105"/>
        </w:rPr>
        <w:t> </w:t>
      </w:r>
      <w:r>
        <w:rPr>
          <w:color w:val="231F20"/>
          <w:w w:val="105"/>
        </w:rPr>
        <w:t>se</w:t>
      </w:r>
      <w:r>
        <w:rPr>
          <w:color w:val="231F20"/>
          <w:spacing w:val="-9"/>
          <w:w w:val="105"/>
        </w:rPr>
        <w:t> </w:t>
      </w:r>
      <w:r>
        <w:rPr>
          <w:color w:val="231F20"/>
          <w:w w:val="105"/>
        </w:rPr>
        <w:t>esbo- zan</w:t>
      </w:r>
      <w:r>
        <w:rPr>
          <w:color w:val="231F20"/>
          <w:spacing w:val="-9"/>
          <w:w w:val="105"/>
        </w:rPr>
        <w:t> </w:t>
      </w:r>
      <w:r>
        <w:rPr>
          <w:color w:val="231F20"/>
          <w:w w:val="105"/>
        </w:rPr>
        <w:t>algunas</w:t>
      </w:r>
      <w:r>
        <w:rPr>
          <w:color w:val="231F20"/>
          <w:spacing w:val="-9"/>
          <w:w w:val="105"/>
        </w:rPr>
        <w:t> </w:t>
      </w:r>
      <w:r>
        <w:rPr>
          <w:color w:val="231F20"/>
          <w:w w:val="105"/>
        </w:rPr>
        <w:t>ideas</w:t>
      </w:r>
      <w:r>
        <w:rPr>
          <w:color w:val="231F20"/>
          <w:spacing w:val="-9"/>
          <w:w w:val="105"/>
        </w:rPr>
        <w:t> </w:t>
      </w:r>
      <w:r>
        <w:rPr>
          <w:color w:val="231F20"/>
          <w:w w:val="105"/>
        </w:rPr>
        <w:t>en</w:t>
      </w:r>
      <w:r>
        <w:rPr>
          <w:color w:val="231F20"/>
          <w:spacing w:val="-9"/>
          <w:w w:val="105"/>
        </w:rPr>
        <w:t> </w:t>
      </w:r>
      <w:r>
        <w:rPr>
          <w:color w:val="231F20"/>
          <w:w w:val="105"/>
        </w:rPr>
        <w:t>favor</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educación</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participación</w:t>
      </w:r>
      <w:r>
        <w:rPr>
          <w:color w:val="231F20"/>
          <w:spacing w:val="-9"/>
          <w:w w:val="105"/>
        </w:rPr>
        <w:t> </w:t>
      </w:r>
      <w:r>
        <w:rPr>
          <w:color w:val="231F20"/>
          <w:w w:val="105"/>
        </w:rPr>
        <w:t>ciudadana como factores cruciales para hacer efectivos los derechos humanos</w:t>
      </w:r>
      <w:r>
        <w:rPr>
          <w:color w:val="231F20"/>
          <w:spacing w:val="-14"/>
          <w:w w:val="105"/>
        </w:rPr>
        <w:t> </w:t>
      </w:r>
      <w:r>
        <w:rPr>
          <w:color w:val="231F20"/>
          <w:w w:val="105"/>
        </w:rPr>
        <w:t>de este</w:t>
      </w:r>
      <w:r>
        <w:rPr>
          <w:color w:val="231F20"/>
          <w:spacing w:val="-9"/>
          <w:w w:val="105"/>
        </w:rPr>
        <w:t> </w:t>
      </w:r>
      <w:r>
        <w:rPr>
          <w:color w:val="231F20"/>
          <w:w w:val="105"/>
        </w:rPr>
        <w:t>grupo</w:t>
      </w:r>
      <w:r>
        <w:rPr>
          <w:color w:val="231F20"/>
          <w:spacing w:val="-9"/>
          <w:w w:val="105"/>
        </w:rPr>
        <w:t> </w:t>
      </w:r>
      <w:r>
        <w:rPr>
          <w:color w:val="231F20"/>
          <w:w w:val="105"/>
        </w:rPr>
        <w:t>vulnerable.</w:t>
      </w:r>
      <w:r>
        <w:rPr>
          <w:color w:val="231F20"/>
          <w:spacing w:val="-13"/>
          <w:w w:val="105"/>
        </w:rPr>
        <w:t> </w:t>
      </w:r>
      <w:r>
        <w:rPr>
          <w:color w:val="231F20"/>
          <w:w w:val="105"/>
        </w:rPr>
        <w:t>El</w:t>
      </w:r>
      <w:r>
        <w:rPr>
          <w:color w:val="231F20"/>
          <w:spacing w:val="-9"/>
          <w:w w:val="105"/>
        </w:rPr>
        <w:t> </w:t>
      </w:r>
      <w:r>
        <w:rPr>
          <w:color w:val="231F20"/>
          <w:w w:val="105"/>
        </w:rPr>
        <w:t>texto</w:t>
      </w:r>
      <w:r>
        <w:rPr>
          <w:color w:val="231F20"/>
          <w:spacing w:val="-9"/>
          <w:w w:val="105"/>
        </w:rPr>
        <w:t> </w:t>
      </w:r>
      <w:r>
        <w:rPr>
          <w:color w:val="231F20"/>
          <w:w w:val="105"/>
        </w:rPr>
        <w:t>cierra</w:t>
      </w:r>
      <w:r>
        <w:rPr>
          <w:color w:val="231F20"/>
          <w:spacing w:val="-9"/>
          <w:w w:val="105"/>
        </w:rPr>
        <w:t> </w:t>
      </w:r>
      <w:r>
        <w:rPr>
          <w:color w:val="231F20"/>
          <w:w w:val="105"/>
        </w:rPr>
        <w:t>con</w:t>
      </w:r>
      <w:r>
        <w:rPr>
          <w:color w:val="231F20"/>
          <w:spacing w:val="-9"/>
          <w:w w:val="105"/>
        </w:rPr>
        <w:t> </w:t>
      </w:r>
      <w:r>
        <w:rPr>
          <w:color w:val="231F20"/>
          <w:w w:val="105"/>
        </w:rPr>
        <w:t>las</w:t>
      </w:r>
      <w:r>
        <w:rPr>
          <w:color w:val="231F20"/>
          <w:spacing w:val="-9"/>
          <w:w w:val="105"/>
        </w:rPr>
        <w:t> </w:t>
      </w:r>
      <w:r>
        <w:rPr>
          <w:color w:val="231F20"/>
          <w:w w:val="105"/>
        </w:rPr>
        <w:t>conclusiones</w:t>
      </w:r>
      <w:r>
        <w:rPr>
          <w:color w:val="231F20"/>
          <w:spacing w:val="-9"/>
          <w:w w:val="105"/>
        </w:rPr>
        <w:t> </w:t>
      </w:r>
      <w:r>
        <w:rPr>
          <w:color w:val="231F20"/>
          <w:w w:val="105"/>
        </w:rPr>
        <w:t>y</w:t>
      </w:r>
      <w:r>
        <w:rPr>
          <w:color w:val="231F20"/>
          <w:spacing w:val="-9"/>
          <w:w w:val="105"/>
        </w:rPr>
        <w:t> </w:t>
      </w:r>
      <w:r>
        <w:rPr>
          <w:color w:val="231F20"/>
          <w:w w:val="105"/>
        </w:rPr>
        <w:t>algunas</w:t>
      </w:r>
      <w:r>
        <w:rPr>
          <w:color w:val="231F20"/>
          <w:spacing w:val="-9"/>
          <w:w w:val="105"/>
        </w:rPr>
        <w:t> </w:t>
      </w:r>
      <w:r>
        <w:rPr>
          <w:color w:val="231F20"/>
          <w:w w:val="105"/>
        </w:rPr>
        <w:t>re- </w:t>
      </w:r>
      <w:r>
        <w:rPr>
          <w:color w:val="231F20"/>
        </w:rPr>
        <w:t>flexiones</w:t>
      </w:r>
      <w:r>
        <w:rPr>
          <w:color w:val="231F20"/>
          <w:spacing w:val="16"/>
        </w:rPr>
        <w:t> </w:t>
      </w:r>
      <w:r>
        <w:rPr>
          <w:color w:val="231F20"/>
        </w:rPr>
        <w:t>finales.</w:t>
      </w:r>
    </w:p>
    <w:p>
      <w:pPr>
        <w:pStyle w:val="BodyText"/>
        <w:rPr>
          <w:sz w:val="20"/>
        </w:rPr>
      </w:pPr>
    </w:p>
    <w:p>
      <w:pPr>
        <w:pStyle w:val="BodyText"/>
        <w:spacing w:before="9"/>
        <w:rPr>
          <w:sz w:val="20"/>
        </w:rPr>
      </w:pPr>
    </w:p>
    <w:p>
      <w:pPr>
        <w:pStyle w:val="Heading3"/>
        <w:spacing w:line="266" w:lineRule="auto"/>
        <w:ind w:left="1723" w:right="2795"/>
        <w:jc w:val="left"/>
      </w:pPr>
      <w:r>
        <w:rPr>
          <w:color w:val="231F20"/>
        </w:rPr>
        <w:t>El</w:t>
      </w:r>
      <w:r>
        <w:rPr>
          <w:color w:val="231F20"/>
          <w:spacing w:val="-25"/>
        </w:rPr>
        <w:t> </w:t>
      </w:r>
      <w:r>
        <w:rPr>
          <w:color w:val="231F20"/>
          <w:spacing w:val="-4"/>
        </w:rPr>
        <w:t>problema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migración</w:t>
      </w:r>
      <w:r>
        <w:rPr>
          <w:color w:val="231F20"/>
          <w:spacing w:val="-25"/>
        </w:rPr>
        <w:t> </w:t>
      </w:r>
      <w:r>
        <w:rPr>
          <w:color w:val="231F20"/>
        </w:rPr>
        <w:t>y</w:t>
      </w:r>
      <w:r>
        <w:rPr>
          <w:color w:val="231F20"/>
          <w:spacing w:val="-25"/>
        </w:rPr>
        <w:t> </w:t>
      </w:r>
      <w:r>
        <w:rPr>
          <w:color w:val="231F20"/>
        </w:rPr>
        <w:t>los</w:t>
      </w:r>
      <w:r>
        <w:rPr>
          <w:color w:val="231F20"/>
          <w:spacing w:val="-25"/>
        </w:rPr>
        <w:t> </w:t>
      </w:r>
      <w:r>
        <w:rPr>
          <w:color w:val="231F20"/>
          <w:spacing w:val="-4"/>
        </w:rPr>
        <w:t>derechos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educación </w:t>
      </w:r>
      <w:r>
        <w:rPr>
          <w:color w:val="231F20"/>
          <w:w w:val="95"/>
        </w:rPr>
        <w:t>y</w:t>
      </w:r>
      <w:r>
        <w:rPr>
          <w:color w:val="231F20"/>
          <w:spacing w:val="28"/>
          <w:w w:val="95"/>
        </w:rPr>
        <w:t> </w:t>
      </w:r>
      <w:r>
        <w:rPr>
          <w:color w:val="231F20"/>
          <w:spacing w:val="-4"/>
          <w:w w:val="95"/>
        </w:rPr>
        <w:t>participación</w:t>
      </w:r>
    </w:p>
    <w:p>
      <w:pPr>
        <w:pStyle w:val="BodyText"/>
        <w:rPr>
          <w:rFonts w:ascii="Arial"/>
          <w:b/>
          <w:sz w:val="22"/>
        </w:rPr>
      </w:pPr>
    </w:p>
    <w:p>
      <w:pPr>
        <w:pStyle w:val="BodyText"/>
        <w:spacing w:line="261" w:lineRule="auto" w:before="136"/>
        <w:ind w:left="1723" w:right="1834"/>
        <w:jc w:val="both"/>
      </w:pPr>
      <w:r>
        <w:rPr>
          <w:color w:val="231F20"/>
          <w:w w:val="105"/>
        </w:rPr>
        <w:t>Formular</w:t>
      </w:r>
      <w:r>
        <w:rPr>
          <w:color w:val="231F20"/>
          <w:spacing w:val="-8"/>
          <w:w w:val="105"/>
        </w:rPr>
        <w:t> </w:t>
      </w:r>
      <w:r>
        <w:rPr>
          <w:color w:val="231F20"/>
          <w:w w:val="105"/>
        </w:rPr>
        <w:t>esquemas</w:t>
      </w:r>
      <w:r>
        <w:rPr>
          <w:color w:val="231F20"/>
          <w:spacing w:val="-8"/>
          <w:w w:val="105"/>
        </w:rPr>
        <w:t> </w:t>
      </w:r>
      <w:r>
        <w:rPr>
          <w:color w:val="231F20"/>
          <w:w w:val="105"/>
        </w:rPr>
        <w:t>para</w:t>
      </w:r>
      <w:r>
        <w:rPr>
          <w:color w:val="231F20"/>
          <w:spacing w:val="-8"/>
          <w:w w:val="105"/>
        </w:rPr>
        <w:t> </w:t>
      </w:r>
      <w:r>
        <w:rPr>
          <w:color w:val="231F20"/>
          <w:w w:val="105"/>
        </w:rPr>
        <w:t>atender</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migrantes</w:t>
      </w:r>
      <w:r>
        <w:rPr>
          <w:color w:val="231F20"/>
          <w:spacing w:val="-8"/>
          <w:w w:val="105"/>
        </w:rPr>
        <w:t> </w:t>
      </w:r>
      <w:r>
        <w:rPr>
          <w:color w:val="231F20"/>
          <w:w w:val="105"/>
        </w:rPr>
        <w:t>en</w:t>
      </w:r>
      <w:r>
        <w:rPr>
          <w:color w:val="231F20"/>
          <w:spacing w:val="-8"/>
          <w:w w:val="105"/>
        </w:rPr>
        <w:t> </w:t>
      </w:r>
      <w:r>
        <w:rPr>
          <w:color w:val="231F20"/>
          <w:w w:val="105"/>
        </w:rPr>
        <w:t>sus</w:t>
      </w:r>
      <w:r>
        <w:rPr>
          <w:color w:val="231F20"/>
          <w:spacing w:val="-8"/>
          <w:w w:val="105"/>
        </w:rPr>
        <w:t> </w:t>
      </w:r>
      <w:r>
        <w:rPr>
          <w:color w:val="231F20"/>
          <w:w w:val="105"/>
        </w:rPr>
        <w:t>lugares</w:t>
      </w:r>
      <w:r>
        <w:rPr>
          <w:color w:val="231F20"/>
          <w:spacing w:val="-8"/>
          <w:w w:val="105"/>
        </w:rPr>
        <w:t> </w:t>
      </w:r>
      <w:r>
        <w:rPr>
          <w:color w:val="231F20"/>
          <w:w w:val="105"/>
        </w:rPr>
        <w:t>de</w:t>
      </w:r>
      <w:r>
        <w:rPr>
          <w:color w:val="231F20"/>
          <w:spacing w:val="-8"/>
          <w:w w:val="105"/>
        </w:rPr>
        <w:t> </w:t>
      </w:r>
      <w:r>
        <w:rPr>
          <w:color w:val="231F20"/>
          <w:w w:val="105"/>
        </w:rPr>
        <w:t>ori- gen,</w:t>
      </w:r>
      <w:r>
        <w:rPr>
          <w:color w:val="231F20"/>
          <w:spacing w:val="-15"/>
          <w:w w:val="105"/>
        </w:rPr>
        <w:t> </w:t>
      </w:r>
      <w:r>
        <w:rPr>
          <w:color w:val="231F20"/>
          <w:w w:val="105"/>
        </w:rPr>
        <w:t>trayecto,</w:t>
      </w:r>
      <w:r>
        <w:rPr>
          <w:color w:val="231F20"/>
          <w:spacing w:val="-15"/>
          <w:w w:val="105"/>
        </w:rPr>
        <w:t> </w:t>
      </w:r>
      <w:r>
        <w:rPr>
          <w:color w:val="231F20"/>
          <w:w w:val="105"/>
        </w:rPr>
        <w:t>destino</w:t>
      </w:r>
      <w:r>
        <w:rPr>
          <w:color w:val="231F20"/>
          <w:spacing w:val="-10"/>
          <w:w w:val="105"/>
        </w:rPr>
        <w:t> </w:t>
      </w:r>
      <w:r>
        <w:rPr>
          <w:color w:val="231F20"/>
          <w:w w:val="105"/>
        </w:rPr>
        <w:t>y</w:t>
      </w:r>
      <w:r>
        <w:rPr>
          <w:color w:val="231F20"/>
          <w:spacing w:val="-10"/>
          <w:w w:val="105"/>
        </w:rPr>
        <w:t> </w:t>
      </w:r>
      <w:r>
        <w:rPr>
          <w:color w:val="231F20"/>
          <w:w w:val="105"/>
        </w:rPr>
        <w:t>retorno,</w:t>
      </w:r>
      <w:r>
        <w:rPr>
          <w:color w:val="231F20"/>
          <w:spacing w:val="-15"/>
          <w:w w:val="105"/>
        </w:rPr>
        <w:t> </w:t>
      </w:r>
      <w:r>
        <w:rPr>
          <w:color w:val="231F20"/>
          <w:w w:val="105"/>
        </w:rPr>
        <w:t>implica</w:t>
      </w:r>
      <w:r>
        <w:rPr>
          <w:color w:val="231F20"/>
          <w:spacing w:val="-10"/>
          <w:w w:val="105"/>
        </w:rPr>
        <w:t> </w:t>
      </w:r>
      <w:r>
        <w:rPr>
          <w:color w:val="231F20"/>
          <w:w w:val="105"/>
        </w:rPr>
        <w:t>crear</w:t>
      </w:r>
      <w:r>
        <w:rPr>
          <w:color w:val="231F20"/>
          <w:spacing w:val="-10"/>
          <w:w w:val="105"/>
        </w:rPr>
        <w:t> </w:t>
      </w:r>
      <w:r>
        <w:rPr>
          <w:color w:val="231F20"/>
          <w:w w:val="105"/>
        </w:rPr>
        <w:t>marcos</w:t>
      </w:r>
      <w:r>
        <w:rPr>
          <w:color w:val="231F20"/>
          <w:spacing w:val="-10"/>
          <w:w w:val="105"/>
        </w:rPr>
        <w:t> </w:t>
      </w:r>
      <w:r>
        <w:rPr>
          <w:color w:val="231F20"/>
          <w:w w:val="105"/>
        </w:rPr>
        <w:t>de</w:t>
      </w:r>
      <w:r>
        <w:rPr>
          <w:color w:val="231F20"/>
          <w:spacing w:val="-10"/>
          <w:w w:val="105"/>
        </w:rPr>
        <w:t> </w:t>
      </w:r>
      <w:r>
        <w:rPr>
          <w:color w:val="231F20"/>
          <w:w w:val="105"/>
        </w:rPr>
        <w:t>garantía</w:t>
      </w:r>
      <w:r>
        <w:rPr>
          <w:color w:val="231F20"/>
          <w:spacing w:val="-10"/>
          <w:w w:val="105"/>
        </w:rPr>
        <w:t> </w:t>
      </w:r>
      <w:r>
        <w:rPr>
          <w:color w:val="231F20"/>
          <w:w w:val="105"/>
        </w:rPr>
        <w:t>de</w:t>
      </w:r>
      <w:r>
        <w:rPr>
          <w:color w:val="231F20"/>
          <w:spacing w:val="-10"/>
          <w:w w:val="105"/>
        </w:rPr>
        <w:t> </w:t>
      </w:r>
      <w:r>
        <w:rPr>
          <w:color w:val="231F20"/>
          <w:w w:val="105"/>
        </w:rPr>
        <w:t>de- rechos</w:t>
      </w:r>
      <w:r>
        <w:rPr>
          <w:color w:val="231F20"/>
          <w:spacing w:val="-12"/>
          <w:w w:val="105"/>
        </w:rPr>
        <w:t> </w:t>
      </w:r>
      <w:r>
        <w:rPr>
          <w:color w:val="231F20"/>
          <w:w w:val="105"/>
        </w:rPr>
        <w:t>que</w:t>
      </w:r>
      <w:r>
        <w:rPr>
          <w:color w:val="231F20"/>
          <w:spacing w:val="-12"/>
          <w:w w:val="105"/>
        </w:rPr>
        <w:t> </w:t>
      </w:r>
      <w:r>
        <w:rPr>
          <w:color w:val="231F20"/>
          <w:w w:val="105"/>
        </w:rPr>
        <w:t>aseguren</w:t>
      </w:r>
      <w:r>
        <w:rPr>
          <w:color w:val="231F20"/>
          <w:spacing w:val="-12"/>
          <w:w w:val="105"/>
        </w:rPr>
        <w:t> </w:t>
      </w:r>
      <w:r>
        <w:rPr>
          <w:color w:val="231F20"/>
          <w:w w:val="105"/>
        </w:rPr>
        <w:t>el</w:t>
      </w:r>
      <w:r>
        <w:rPr>
          <w:color w:val="231F20"/>
          <w:spacing w:val="-12"/>
          <w:w w:val="105"/>
        </w:rPr>
        <w:t> </w:t>
      </w:r>
      <w:r>
        <w:rPr>
          <w:color w:val="231F20"/>
          <w:w w:val="105"/>
        </w:rPr>
        <w:t>acceso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educación,</w:t>
      </w:r>
      <w:r>
        <w:rPr>
          <w:color w:val="231F20"/>
          <w:spacing w:val="-17"/>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participación</w:t>
      </w:r>
      <w:r>
        <w:rPr>
          <w:color w:val="231F20"/>
          <w:spacing w:val="-12"/>
          <w:w w:val="105"/>
        </w:rPr>
        <w:t> </w:t>
      </w:r>
      <w:r>
        <w:rPr>
          <w:color w:val="231F20"/>
          <w:w w:val="105"/>
        </w:rPr>
        <w:t>y</w:t>
      </w:r>
      <w:r>
        <w:rPr>
          <w:color w:val="231F20"/>
          <w:spacing w:val="-12"/>
          <w:w w:val="105"/>
        </w:rPr>
        <w:t> </w:t>
      </w:r>
      <w:r>
        <w:rPr>
          <w:color w:val="231F20"/>
          <w:w w:val="105"/>
        </w:rPr>
        <w:t>orga- nización, a la justicia, a la libertad, entre muchos otros aspectos que</w:t>
      </w:r>
      <w:r>
        <w:rPr>
          <w:color w:val="231F20"/>
          <w:spacing w:val="-28"/>
          <w:w w:val="105"/>
        </w:rPr>
        <w:t> </w:t>
      </w:r>
      <w:r>
        <w:rPr>
          <w:color w:val="231F20"/>
          <w:w w:val="105"/>
        </w:rPr>
        <w:t>se deben resolver de manera expedita ante la situación de vulnerabilidad que viven los migrantes de todo el mundo, ya sea de México a</w:t>
      </w:r>
      <w:r>
        <w:rPr>
          <w:color w:val="231F20"/>
          <w:spacing w:val="-28"/>
          <w:w w:val="105"/>
        </w:rPr>
        <w:t> </w:t>
      </w:r>
      <w:r>
        <w:rPr>
          <w:color w:val="231F20"/>
          <w:w w:val="105"/>
        </w:rPr>
        <w:t>Estados Unidos,</w:t>
      </w:r>
      <w:r>
        <w:rPr>
          <w:color w:val="231F20"/>
          <w:spacing w:val="-32"/>
          <w:w w:val="105"/>
        </w:rPr>
        <w:t> </w:t>
      </w:r>
      <w:r>
        <w:rPr>
          <w:color w:val="231F20"/>
          <w:w w:val="105"/>
        </w:rPr>
        <w:t>de</w:t>
      </w:r>
      <w:r>
        <w:rPr>
          <w:color w:val="231F20"/>
          <w:spacing w:val="-27"/>
          <w:w w:val="105"/>
        </w:rPr>
        <w:t> </w:t>
      </w:r>
      <w:r>
        <w:rPr>
          <w:color w:val="231F20"/>
          <w:w w:val="105"/>
        </w:rPr>
        <w:t>Centroamérica</w:t>
      </w:r>
      <w:r>
        <w:rPr>
          <w:color w:val="231F20"/>
          <w:spacing w:val="-27"/>
          <w:w w:val="105"/>
        </w:rPr>
        <w:t> </w:t>
      </w:r>
      <w:r>
        <w:rPr>
          <w:color w:val="231F20"/>
          <w:w w:val="105"/>
        </w:rPr>
        <w:t>hacia</w:t>
      </w:r>
      <w:r>
        <w:rPr>
          <w:color w:val="231F20"/>
          <w:spacing w:val="-27"/>
          <w:w w:val="105"/>
        </w:rPr>
        <w:t> </w:t>
      </w:r>
      <w:r>
        <w:rPr>
          <w:color w:val="231F20"/>
          <w:w w:val="105"/>
        </w:rPr>
        <w:t>México</w:t>
      </w:r>
      <w:r>
        <w:rPr>
          <w:color w:val="231F20"/>
          <w:spacing w:val="-27"/>
          <w:w w:val="105"/>
        </w:rPr>
        <w:t> </w:t>
      </w:r>
      <w:r>
        <w:rPr>
          <w:color w:val="231F20"/>
          <w:w w:val="105"/>
        </w:rPr>
        <w:t>y</w:t>
      </w:r>
      <w:r>
        <w:rPr>
          <w:color w:val="231F20"/>
          <w:spacing w:val="-27"/>
          <w:w w:val="105"/>
        </w:rPr>
        <w:t> </w:t>
      </w:r>
      <w:r>
        <w:rPr>
          <w:color w:val="231F20"/>
          <w:w w:val="105"/>
        </w:rPr>
        <w:t>Estados</w:t>
      </w:r>
      <w:r>
        <w:rPr>
          <w:color w:val="231F20"/>
          <w:spacing w:val="-27"/>
          <w:w w:val="105"/>
        </w:rPr>
        <w:t> </w:t>
      </w:r>
      <w:r>
        <w:rPr>
          <w:color w:val="231F20"/>
          <w:w w:val="105"/>
        </w:rPr>
        <w:t>Unidos</w:t>
      </w:r>
      <w:r>
        <w:rPr>
          <w:color w:val="231F20"/>
          <w:spacing w:val="-27"/>
          <w:w w:val="105"/>
        </w:rPr>
        <w:t> </w:t>
      </w:r>
      <w:r>
        <w:rPr>
          <w:color w:val="231F20"/>
          <w:w w:val="105"/>
        </w:rPr>
        <w:t>o</w:t>
      </w:r>
      <w:r>
        <w:rPr>
          <w:color w:val="231F20"/>
          <w:spacing w:val="-27"/>
          <w:w w:val="105"/>
        </w:rPr>
        <w:t> </w:t>
      </w:r>
      <w:r>
        <w:rPr>
          <w:color w:val="231F20"/>
          <w:w w:val="105"/>
        </w:rPr>
        <w:t>de</w:t>
      </w:r>
      <w:r>
        <w:rPr>
          <w:color w:val="231F20"/>
          <w:spacing w:val="-27"/>
          <w:w w:val="105"/>
        </w:rPr>
        <w:t> </w:t>
      </w:r>
      <w:r>
        <w:rPr>
          <w:color w:val="231F20"/>
          <w:w w:val="105"/>
        </w:rPr>
        <w:t>países</w:t>
      </w:r>
      <w:r>
        <w:rPr>
          <w:color w:val="231F20"/>
          <w:spacing w:val="-27"/>
          <w:w w:val="105"/>
        </w:rPr>
        <w:t> </w:t>
      </w:r>
      <w:r>
        <w:rPr>
          <w:color w:val="231F20"/>
          <w:w w:val="105"/>
        </w:rPr>
        <w:t>del continente</w:t>
      </w:r>
      <w:r>
        <w:rPr>
          <w:color w:val="231F20"/>
          <w:spacing w:val="-25"/>
          <w:w w:val="105"/>
        </w:rPr>
        <w:t> </w:t>
      </w:r>
      <w:r>
        <w:rPr>
          <w:color w:val="231F20"/>
          <w:w w:val="105"/>
        </w:rPr>
        <w:t>Africano</w:t>
      </w:r>
      <w:r>
        <w:rPr>
          <w:color w:val="231F20"/>
          <w:spacing w:val="-22"/>
          <w:w w:val="105"/>
        </w:rPr>
        <w:t> </w:t>
      </w:r>
      <w:r>
        <w:rPr>
          <w:color w:val="231F20"/>
          <w:w w:val="105"/>
        </w:rPr>
        <w:t>hacia</w:t>
      </w:r>
      <w:r>
        <w:rPr>
          <w:color w:val="231F20"/>
          <w:spacing w:val="-22"/>
          <w:w w:val="105"/>
        </w:rPr>
        <w:t> </w:t>
      </w:r>
      <w:r>
        <w:rPr>
          <w:color w:val="231F20"/>
          <w:w w:val="105"/>
        </w:rPr>
        <w:t>países</w:t>
      </w:r>
      <w:r>
        <w:rPr>
          <w:color w:val="231F20"/>
          <w:spacing w:val="-22"/>
          <w:w w:val="105"/>
        </w:rPr>
        <w:t> </w:t>
      </w:r>
      <w:r>
        <w:rPr>
          <w:color w:val="231F20"/>
          <w:w w:val="105"/>
        </w:rPr>
        <w:t>de</w:t>
      </w:r>
      <w:r>
        <w:rPr>
          <w:color w:val="231F20"/>
          <w:spacing w:val="-22"/>
          <w:w w:val="105"/>
        </w:rPr>
        <w:t> </w:t>
      </w:r>
      <w:r>
        <w:rPr>
          <w:color w:val="231F20"/>
          <w:w w:val="105"/>
        </w:rPr>
        <w:t>Europa.</w:t>
      </w:r>
    </w:p>
    <w:p>
      <w:pPr>
        <w:pStyle w:val="BodyText"/>
        <w:spacing w:line="261" w:lineRule="auto" w:before="1"/>
        <w:ind w:left="1723" w:right="1835" w:firstLine="567"/>
        <w:jc w:val="both"/>
      </w:pPr>
      <w:r>
        <w:rPr>
          <w:color w:val="231F20"/>
        </w:rPr>
        <w:t>Aunque son múltiples y diversas las definiciones de los derechos humanos, la Oficina del Alto Comisionado de las Naciones Unidas para  los Derechos Humanos (</w:t>
      </w:r>
      <w:r>
        <w:rPr>
          <w:color w:val="231F20"/>
          <w:sz w:val="17"/>
        </w:rPr>
        <w:t>ACNUDH</w:t>
      </w:r>
      <w:r>
        <w:rPr>
          <w:color w:val="231F20"/>
        </w:rPr>
        <w:t>, 2008) los considera como garantías ju- rídicas universales que protegen a los individuos y los grupos contra ac- ciones y omisiones que interfieren con las libertades, los derechos funda- mentales y la dignidad humana. Entre sus características se encuentran las</w:t>
      </w:r>
      <w:r>
        <w:rPr>
          <w:color w:val="231F20"/>
          <w:spacing w:val="16"/>
        </w:rPr>
        <w:t> </w:t>
      </w:r>
      <w:r>
        <w:rPr>
          <w:color w:val="231F20"/>
        </w:rPr>
        <w:t>siguientes:</w:t>
      </w:r>
    </w:p>
    <w:p>
      <w:pPr>
        <w:pStyle w:val="BodyText"/>
        <w:rPr>
          <w:sz w:val="20"/>
        </w:rPr>
      </w:pPr>
    </w:p>
    <w:p>
      <w:pPr>
        <w:pStyle w:val="BodyText"/>
        <w:rPr>
          <w:sz w:val="20"/>
        </w:rPr>
      </w:pPr>
    </w:p>
    <w:p>
      <w:pPr>
        <w:pStyle w:val="BodyText"/>
        <w:rPr>
          <w:sz w:val="20"/>
        </w:rPr>
      </w:pPr>
    </w:p>
    <w:p>
      <w:pPr>
        <w:pStyle w:val="BodyText"/>
        <w:spacing w:before="2"/>
        <w:rPr>
          <w:sz w:val="19"/>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7624" from="131.551193pt,3.703715pt" to="131.551193pt,39.506114pt" stroked="true" strokeweight=".35pt" strokecolor="#231f20">
            <w10:wrap type="none"/>
          </v:line>
        </w:pict>
      </w:r>
      <w:r>
        <w:rPr/>
        <w:pict>
          <v:line style="position:absolute;mso-position-horizontal-relative:page;mso-position-vertical-relative:paragraph;z-index:-487600" from="15pt,39.505917pt" to="0pt,39.505917pt" stroked="true" strokeweight=".25pt" strokecolor="#000000">
            <w10:wrap type="none"/>
          </v:line>
        </w:pict>
      </w:r>
      <w:r>
        <w:rPr/>
        <w:pict>
          <v:line style="position:absolute;mso-position-horizontal-relative:page;mso-position-vertical-relative:paragraph;z-index:2608" from="508.890015pt,39.505917pt" to="523.890015pt,39.505917pt" stroked="true" strokeweight=".25pt" strokecolor="#000000">
            <w10:wrap type="none"/>
          </v:line>
        </w:pict>
      </w:r>
      <w:r>
        <w:rPr>
          <w:rFonts w:ascii="Arial" w:hAnsi="Arial"/>
          <w:color w:val="414042"/>
          <w:position w:val="-5"/>
          <w:sz w:val="20"/>
        </w:rPr>
        <w:t>28</w:t>
        <w:tab/>
      </w:r>
      <w:r>
        <w:rPr>
          <w:rFonts w:ascii="Calibri" w:hAnsi="Calibri"/>
          <w:color w:val="6D6E71"/>
          <w:sz w:val="15"/>
        </w:rPr>
        <w:t>Jorge Olvera</w:t>
      </w:r>
      <w:r>
        <w:rPr>
          <w:rFonts w:ascii="Calibri" w:hAnsi="Calibri"/>
          <w:color w:val="6D6E71"/>
          <w:spacing w:val="12"/>
          <w:sz w:val="15"/>
        </w:rPr>
        <w:t> </w:t>
      </w:r>
      <w:r>
        <w:rPr>
          <w:rFonts w:ascii="Calibri" w:hAnsi="Calibri"/>
          <w:color w:val="6D6E71"/>
          <w:sz w:val="15"/>
        </w:rPr>
        <w:t>García</w:t>
      </w:r>
    </w:p>
    <w:p>
      <w:pPr>
        <w:spacing w:after="0"/>
        <w:jc w:val="left"/>
        <w:rPr>
          <w:rFonts w:ascii="Calibri" w:hAnsi="Calibri"/>
          <w:sz w:val="15"/>
        </w:rPr>
        <w:sectPr>
          <w:footerReference w:type="default" r:id="rId33"/>
          <w:pgSz w:w="10480" w:h="14730"/>
          <w:pgMar w:footer="103" w:header="0" w:top="42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001" w:right="0" w:firstLine="0"/>
        <w:jc w:val="left"/>
        <w:rPr>
          <w:rFonts w:ascii="Arial" w:hAnsi="Arial"/>
          <w:sz w:val="20"/>
        </w:rPr>
      </w:pPr>
      <w:r>
        <w:rPr/>
        <w:pict>
          <v:line style="position:absolute;mso-position-horizontal-relative:page;mso-position-vertical-relative:paragraph;z-index:-487552" from="405.061005pt,-18.554295pt" to="405.061005pt,16.311579pt" stroked="true" strokeweight=".35pt" strokecolor="#231f20">
            <w10:wrap type="none"/>
          </v:line>
        </w:pict>
      </w:r>
      <w:r>
        <w:rPr/>
        <w:pict>
          <v:line style="position:absolute;mso-position-horizontal-relative:page;mso-position-vertical-relative:paragraph;z-index:2656" from="15pt,-18.554522pt" to="0pt,-18.554522pt" stroked="true" strokeweight=".25pt" strokecolor="#000000">
            <w10:wrap type="none"/>
          </v:line>
        </w:pict>
      </w:r>
      <w:r>
        <w:rPr/>
        <w:pict>
          <v:line style="position:absolute;mso-position-horizontal-relative:page;mso-position-vertical-relative:paragraph;z-index:2680" from="508.890015pt,-18.554522pt" to="523.890015pt,-18.554522pt" stroked="true" strokeweight=".25pt" strokecolor="#000000">
            <w10:wrap type="none"/>
          </v:line>
        </w:pict>
      </w:r>
      <w:r>
        <w:rPr>
          <w:rFonts w:ascii="Lucida Sans Unicode" w:hAnsi="Lucida Sans Unicode"/>
          <w:color w:val="6D6E71"/>
          <w:w w:val="105"/>
          <w:sz w:val="14"/>
        </w:rPr>
        <w:t>Derechos</w:t>
      </w:r>
      <w:r>
        <w:rPr>
          <w:rFonts w:ascii="Lucida Sans Unicode" w:hAnsi="Lucida Sans Unicode"/>
          <w:color w:val="6D6E71"/>
          <w:spacing w:val="-15"/>
          <w:w w:val="105"/>
          <w:sz w:val="14"/>
        </w:rPr>
        <w:t> </w:t>
      </w:r>
      <w:r>
        <w:rPr>
          <w:rFonts w:ascii="Lucida Sans Unicode" w:hAnsi="Lucida Sans Unicode"/>
          <w:color w:val="6D6E71"/>
          <w:w w:val="105"/>
          <w:sz w:val="14"/>
        </w:rPr>
        <w:t>humanos,</w:t>
      </w:r>
      <w:r>
        <w:rPr>
          <w:rFonts w:ascii="Lucida Sans Unicode" w:hAnsi="Lucida Sans Unicode"/>
          <w:color w:val="6D6E71"/>
          <w:spacing w:val="-15"/>
          <w:w w:val="105"/>
          <w:sz w:val="14"/>
        </w:rPr>
        <w:t> </w:t>
      </w:r>
      <w:r>
        <w:rPr>
          <w:rFonts w:ascii="Lucida Sans Unicode" w:hAnsi="Lucida Sans Unicode"/>
          <w:color w:val="6D6E71"/>
          <w:w w:val="105"/>
          <w:sz w:val="14"/>
        </w:rPr>
        <w:t>eDucación</w:t>
      </w:r>
      <w:r>
        <w:rPr>
          <w:rFonts w:ascii="Lucida Sans Unicode" w:hAnsi="Lucida Sans Unicode"/>
          <w:color w:val="6D6E71"/>
          <w:spacing w:val="-15"/>
          <w:w w:val="105"/>
          <w:sz w:val="14"/>
        </w:rPr>
        <w:t> </w:t>
      </w:r>
      <w:r>
        <w:rPr>
          <w:rFonts w:ascii="Lucida Sans Unicode" w:hAnsi="Lucida Sans Unicode"/>
          <w:color w:val="6D6E71"/>
          <w:w w:val="105"/>
          <w:sz w:val="14"/>
        </w:rPr>
        <w:t>y</w:t>
      </w:r>
      <w:r>
        <w:rPr>
          <w:rFonts w:ascii="Lucida Sans Unicode" w:hAnsi="Lucida Sans Unicode"/>
          <w:color w:val="6D6E71"/>
          <w:spacing w:val="-15"/>
          <w:w w:val="105"/>
          <w:sz w:val="14"/>
        </w:rPr>
        <w:t> </w:t>
      </w:r>
      <w:r>
        <w:rPr>
          <w:rFonts w:ascii="Lucida Sans Unicode" w:hAnsi="Lucida Sans Unicode"/>
          <w:color w:val="6D6E71"/>
          <w:w w:val="105"/>
          <w:sz w:val="14"/>
        </w:rPr>
        <w:t>participación</w:t>
      </w:r>
      <w:r>
        <w:rPr>
          <w:rFonts w:ascii="Lucida Sans Unicode" w:hAnsi="Lucida Sans Unicode"/>
          <w:color w:val="6D6E71"/>
          <w:spacing w:val="-15"/>
          <w:w w:val="105"/>
          <w:sz w:val="14"/>
        </w:rPr>
        <w:t> </w:t>
      </w:r>
      <w:r>
        <w:rPr>
          <w:rFonts w:ascii="Lucida Sans Unicode" w:hAnsi="Lucida Sans Unicode"/>
          <w:color w:val="6D6E71"/>
          <w:w w:val="105"/>
          <w:sz w:val="14"/>
        </w:rPr>
        <w:t>De</w:t>
      </w:r>
      <w:r>
        <w:rPr>
          <w:rFonts w:ascii="Lucida Sans Unicode" w:hAnsi="Lucida Sans Unicode"/>
          <w:color w:val="6D6E71"/>
          <w:spacing w:val="-15"/>
          <w:w w:val="105"/>
          <w:sz w:val="14"/>
        </w:rPr>
        <w:t> </w:t>
      </w:r>
      <w:r>
        <w:rPr>
          <w:rFonts w:ascii="Lucida Sans Unicode" w:hAnsi="Lucida Sans Unicode"/>
          <w:color w:val="6D6E71"/>
          <w:w w:val="115"/>
          <w:sz w:val="14"/>
        </w:rPr>
        <w:t>la</w:t>
      </w:r>
      <w:r>
        <w:rPr>
          <w:rFonts w:ascii="Lucida Sans Unicode" w:hAnsi="Lucida Sans Unicode"/>
          <w:color w:val="6D6E71"/>
          <w:spacing w:val="-19"/>
          <w:w w:val="115"/>
          <w:sz w:val="14"/>
        </w:rPr>
        <w:t> </w:t>
      </w:r>
      <w:r>
        <w:rPr>
          <w:rFonts w:ascii="Lucida Sans Unicode" w:hAnsi="Lucida Sans Unicode"/>
          <w:color w:val="6D6E71"/>
          <w:w w:val="105"/>
          <w:sz w:val="14"/>
        </w:rPr>
        <w:t>población</w:t>
      </w:r>
      <w:r>
        <w:rPr>
          <w:rFonts w:ascii="Lucida Sans Unicode" w:hAnsi="Lucida Sans Unicode"/>
          <w:color w:val="6D6E71"/>
          <w:spacing w:val="-15"/>
          <w:w w:val="105"/>
          <w:sz w:val="14"/>
        </w:rPr>
        <w:t> </w:t>
      </w:r>
      <w:r>
        <w:rPr>
          <w:rFonts w:ascii="Lucida Sans Unicode" w:hAnsi="Lucida Sans Unicode"/>
          <w:color w:val="6D6E71"/>
          <w:w w:val="105"/>
          <w:sz w:val="14"/>
        </w:rPr>
        <w:t>migrante</w:t>
      </w:r>
      <w:r>
        <w:rPr>
          <w:rFonts w:ascii="Arial" w:hAnsi="Arial"/>
          <w:color w:val="414042"/>
          <w:w w:val="105"/>
          <w:position w:val="-3"/>
          <w:sz w:val="20"/>
        </w:rPr>
        <w:tab/>
        <w:t>29</w:t>
      </w:r>
    </w:p>
    <w:p>
      <w:pPr>
        <w:pStyle w:val="BodyText"/>
        <w:rPr>
          <w:rFonts w:ascii="Arial"/>
          <w:sz w:val="20"/>
        </w:rPr>
      </w:pPr>
    </w:p>
    <w:p>
      <w:pPr>
        <w:pStyle w:val="BodyText"/>
        <w:rPr>
          <w:rFonts w:ascii="Arial"/>
          <w:sz w:val="20"/>
        </w:rPr>
      </w:pPr>
    </w:p>
    <w:p>
      <w:pPr>
        <w:pStyle w:val="ListParagraph"/>
        <w:numPr>
          <w:ilvl w:val="0"/>
          <w:numId w:val="1"/>
        </w:numPr>
        <w:tabs>
          <w:tab w:pos="3047" w:val="left" w:leader="none"/>
          <w:tab w:pos="3048" w:val="left" w:leader="none"/>
        </w:tabs>
        <w:spacing w:line="261" w:lineRule="auto" w:before="179" w:after="0"/>
        <w:ind w:left="3047" w:right="1722" w:hanging="360"/>
        <w:jc w:val="left"/>
        <w:rPr>
          <w:sz w:val="21"/>
        </w:rPr>
      </w:pPr>
      <w:r>
        <w:rPr>
          <w:color w:val="231F20"/>
          <w:w w:val="105"/>
          <w:sz w:val="21"/>
        </w:rPr>
        <w:t>Son universales, derechos inalienables de todos los seres humanos</w:t>
      </w:r>
    </w:p>
    <w:p>
      <w:pPr>
        <w:pStyle w:val="ListParagraph"/>
        <w:numPr>
          <w:ilvl w:val="0"/>
          <w:numId w:val="1"/>
        </w:numPr>
        <w:tabs>
          <w:tab w:pos="3047" w:val="left" w:leader="none"/>
          <w:tab w:pos="3048" w:val="left" w:leader="none"/>
        </w:tabs>
        <w:spacing w:line="261" w:lineRule="auto" w:before="171" w:after="0"/>
        <w:ind w:left="3047" w:right="1721" w:hanging="360"/>
        <w:jc w:val="left"/>
        <w:rPr>
          <w:sz w:val="21"/>
        </w:rPr>
      </w:pPr>
      <w:r>
        <w:rPr>
          <w:color w:val="231F20"/>
          <w:sz w:val="21"/>
        </w:rPr>
        <w:t>Se centran en la dignidad intrínseca y el valor igual de todos los seres</w:t>
      </w:r>
      <w:r>
        <w:rPr>
          <w:color w:val="231F20"/>
          <w:spacing w:val="3"/>
          <w:sz w:val="21"/>
        </w:rPr>
        <w:t> </w:t>
      </w:r>
      <w:r>
        <w:rPr>
          <w:color w:val="231F20"/>
          <w:sz w:val="21"/>
        </w:rPr>
        <w:t>humanos</w:t>
      </w:r>
    </w:p>
    <w:p>
      <w:pPr>
        <w:pStyle w:val="ListParagraph"/>
        <w:numPr>
          <w:ilvl w:val="0"/>
          <w:numId w:val="1"/>
        </w:numPr>
        <w:tabs>
          <w:tab w:pos="3047" w:val="left" w:leader="none"/>
          <w:tab w:pos="3048" w:val="left" w:leader="none"/>
        </w:tabs>
        <w:spacing w:line="240" w:lineRule="auto" w:before="171" w:after="0"/>
        <w:ind w:left="3047" w:right="0" w:hanging="360"/>
        <w:jc w:val="left"/>
        <w:rPr>
          <w:sz w:val="21"/>
        </w:rPr>
      </w:pPr>
      <w:r>
        <w:rPr>
          <w:color w:val="231F20"/>
          <w:w w:val="105"/>
          <w:sz w:val="21"/>
        </w:rPr>
        <w:t>Son</w:t>
      </w:r>
      <w:r>
        <w:rPr>
          <w:color w:val="231F20"/>
          <w:spacing w:val="-19"/>
          <w:w w:val="105"/>
          <w:sz w:val="21"/>
        </w:rPr>
        <w:t> </w:t>
      </w:r>
      <w:r>
        <w:rPr>
          <w:color w:val="231F20"/>
          <w:w w:val="105"/>
          <w:sz w:val="21"/>
        </w:rPr>
        <w:t>iguales,</w:t>
      </w:r>
      <w:r>
        <w:rPr>
          <w:color w:val="231F20"/>
          <w:spacing w:val="-23"/>
          <w:w w:val="105"/>
          <w:sz w:val="21"/>
        </w:rPr>
        <w:t> </w:t>
      </w:r>
      <w:r>
        <w:rPr>
          <w:color w:val="231F20"/>
          <w:w w:val="105"/>
          <w:sz w:val="21"/>
        </w:rPr>
        <w:t>indivisibles</w:t>
      </w:r>
      <w:r>
        <w:rPr>
          <w:color w:val="231F20"/>
          <w:spacing w:val="-19"/>
          <w:w w:val="105"/>
          <w:sz w:val="21"/>
        </w:rPr>
        <w:t> </w:t>
      </w:r>
      <w:r>
        <w:rPr>
          <w:color w:val="231F20"/>
          <w:w w:val="105"/>
          <w:sz w:val="21"/>
        </w:rPr>
        <w:t>e</w:t>
      </w:r>
      <w:r>
        <w:rPr>
          <w:color w:val="231F20"/>
          <w:spacing w:val="-19"/>
          <w:w w:val="105"/>
          <w:sz w:val="21"/>
        </w:rPr>
        <w:t> </w:t>
      </w:r>
      <w:r>
        <w:rPr>
          <w:color w:val="231F20"/>
          <w:w w:val="105"/>
          <w:sz w:val="21"/>
        </w:rPr>
        <w:t>interdependientes</w:t>
      </w:r>
    </w:p>
    <w:p>
      <w:pPr>
        <w:pStyle w:val="BodyText"/>
        <w:spacing w:before="11"/>
        <w:rPr>
          <w:sz w:val="16"/>
        </w:rPr>
      </w:pPr>
    </w:p>
    <w:p>
      <w:pPr>
        <w:pStyle w:val="ListParagraph"/>
        <w:numPr>
          <w:ilvl w:val="0"/>
          <w:numId w:val="1"/>
        </w:numPr>
        <w:tabs>
          <w:tab w:pos="3047" w:val="left" w:leader="none"/>
          <w:tab w:pos="3048" w:val="left" w:leader="none"/>
        </w:tabs>
        <w:spacing w:line="240" w:lineRule="auto" w:before="0" w:after="0"/>
        <w:ind w:left="3047" w:right="0" w:hanging="360"/>
        <w:jc w:val="left"/>
        <w:rPr>
          <w:sz w:val="21"/>
        </w:rPr>
      </w:pPr>
      <w:r>
        <w:rPr>
          <w:color w:val="231F20"/>
          <w:w w:val="105"/>
          <w:sz w:val="21"/>
        </w:rPr>
        <w:t>No</w:t>
      </w:r>
      <w:r>
        <w:rPr>
          <w:color w:val="231F20"/>
          <w:spacing w:val="-10"/>
          <w:w w:val="105"/>
          <w:sz w:val="21"/>
        </w:rPr>
        <w:t> </w:t>
      </w:r>
      <w:r>
        <w:rPr>
          <w:color w:val="231F20"/>
          <w:w w:val="105"/>
          <w:sz w:val="21"/>
        </w:rPr>
        <w:t>pueden</w:t>
      </w:r>
      <w:r>
        <w:rPr>
          <w:color w:val="231F20"/>
          <w:spacing w:val="-10"/>
          <w:w w:val="105"/>
          <w:sz w:val="21"/>
        </w:rPr>
        <w:t> </w:t>
      </w:r>
      <w:r>
        <w:rPr>
          <w:color w:val="231F20"/>
          <w:w w:val="105"/>
          <w:sz w:val="21"/>
        </w:rPr>
        <w:t>ser</w:t>
      </w:r>
      <w:r>
        <w:rPr>
          <w:color w:val="231F20"/>
          <w:spacing w:val="-10"/>
          <w:w w:val="105"/>
          <w:sz w:val="21"/>
        </w:rPr>
        <w:t> </w:t>
      </w:r>
      <w:r>
        <w:rPr>
          <w:color w:val="231F20"/>
          <w:w w:val="105"/>
          <w:sz w:val="21"/>
        </w:rPr>
        <w:t>suspendidos</w:t>
      </w:r>
      <w:r>
        <w:rPr>
          <w:color w:val="231F20"/>
          <w:spacing w:val="-10"/>
          <w:w w:val="105"/>
          <w:sz w:val="21"/>
        </w:rPr>
        <w:t> </w:t>
      </w:r>
      <w:r>
        <w:rPr>
          <w:color w:val="231F20"/>
          <w:w w:val="105"/>
          <w:sz w:val="21"/>
        </w:rPr>
        <w:t>o</w:t>
      </w:r>
      <w:r>
        <w:rPr>
          <w:color w:val="231F20"/>
          <w:spacing w:val="-10"/>
          <w:w w:val="105"/>
          <w:sz w:val="21"/>
        </w:rPr>
        <w:t> </w:t>
      </w:r>
      <w:r>
        <w:rPr>
          <w:color w:val="231F20"/>
          <w:w w:val="105"/>
          <w:sz w:val="21"/>
        </w:rPr>
        <w:t>retirados</w:t>
      </w:r>
    </w:p>
    <w:p>
      <w:pPr>
        <w:pStyle w:val="BodyText"/>
        <w:spacing w:before="11"/>
        <w:rPr>
          <w:sz w:val="16"/>
        </w:rPr>
      </w:pPr>
    </w:p>
    <w:p>
      <w:pPr>
        <w:pStyle w:val="ListParagraph"/>
        <w:numPr>
          <w:ilvl w:val="0"/>
          <w:numId w:val="1"/>
        </w:numPr>
        <w:tabs>
          <w:tab w:pos="3047" w:val="left" w:leader="none"/>
          <w:tab w:pos="3048" w:val="left" w:leader="none"/>
        </w:tabs>
        <w:spacing w:line="261" w:lineRule="auto" w:before="0" w:after="0"/>
        <w:ind w:left="3047" w:right="1722" w:hanging="360"/>
        <w:jc w:val="left"/>
        <w:rPr>
          <w:sz w:val="21"/>
        </w:rPr>
      </w:pPr>
      <w:r>
        <w:rPr>
          <w:color w:val="231F20"/>
          <w:w w:val="105"/>
          <w:sz w:val="21"/>
        </w:rPr>
        <w:t>Imponen</w:t>
      </w:r>
      <w:r>
        <w:rPr>
          <w:color w:val="231F20"/>
          <w:spacing w:val="-12"/>
          <w:w w:val="105"/>
          <w:sz w:val="21"/>
        </w:rPr>
        <w:t> </w:t>
      </w:r>
      <w:r>
        <w:rPr>
          <w:color w:val="231F20"/>
          <w:w w:val="105"/>
          <w:sz w:val="21"/>
        </w:rPr>
        <w:t>obligaciones</w:t>
      </w:r>
      <w:r>
        <w:rPr>
          <w:color w:val="231F20"/>
          <w:spacing w:val="-12"/>
          <w:w w:val="105"/>
          <w:sz w:val="21"/>
        </w:rPr>
        <w:t> </w:t>
      </w:r>
      <w:r>
        <w:rPr>
          <w:color w:val="231F20"/>
          <w:w w:val="105"/>
          <w:sz w:val="21"/>
        </w:rPr>
        <w:t>de</w:t>
      </w:r>
      <w:r>
        <w:rPr>
          <w:color w:val="231F20"/>
          <w:spacing w:val="-12"/>
          <w:w w:val="105"/>
          <w:sz w:val="21"/>
        </w:rPr>
        <w:t> </w:t>
      </w:r>
      <w:r>
        <w:rPr>
          <w:color w:val="231F20"/>
          <w:w w:val="105"/>
          <w:sz w:val="21"/>
        </w:rPr>
        <w:t>acción</w:t>
      </w:r>
      <w:r>
        <w:rPr>
          <w:color w:val="231F20"/>
          <w:spacing w:val="-12"/>
          <w:w w:val="105"/>
          <w:sz w:val="21"/>
        </w:rPr>
        <w:t> </w:t>
      </w:r>
      <w:r>
        <w:rPr>
          <w:color w:val="231F20"/>
          <w:w w:val="105"/>
          <w:sz w:val="21"/>
        </w:rPr>
        <w:t>y</w:t>
      </w:r>
      <w:r>
        <w:rPr>
          <w:color w:val="231F20"/>
          <w:spacing w:val="-12"/>
          <w:w w:val="105"/>
          <w:sz w:val="21"/>
        </w:rPr>
        <w:t> </w:t>
      </w:r>
      <w:r>
        <w:rPr>
          <w:color w:val="231F20"/>
          <w:w w:val="105"/>
          <w:sz w:val="21"/>
        </w:rPr>
        <w:t>omisión,</w:t>
      </w:r>
      <w:r>
        <w:rPr>
          <w:color w:val="231F20"/>
          <w:spacing w:val="-18"/>
          <w:w w:val="105"/>
          <w:sz w:val="21"/>
        </w:rPr>
        <w:t> </w:t>
      </w:r>
      <w:r>
        <w:rPr>
          <w:color w:val="231F20"/>
          <w:w w:val="105"/>
          <w:sz w:val="21"/>
        </w:rPr>
        <w:t>particularmente a</w:t>
      </w:r>
      <w:r>
        <w:rPr>
          <w:color w:val="231F20"/>
          <w:spacing w:val="-25"/>
          <w:w w:val="105"/>
          <w:sz w:val="21"/>
        </w:rPr>
        <w:t> </w:t>
      </w:r>
      <w:r>
        <w:rPr>
          <w:color w:val="231F20"/>
          <w:w w:val="105"/>
          <w:sz w:val="21"/>
        </w:rPr>
        <w:t>los</w:t>
      </w:r>
      <w:r>
        <w:rPr>
          <w:color w:val="231F20"/>
          <w:spacing w:val="-25"/>
          <w:w w:val="105"/>
          <w:sz w:val="21"/>
        </w:rPr>
        <w:t> </w:t>
      </w:r>
      <w:r>
        <w:rPr>
          <w:color w:val="231F20"/>
          <w:w w:val="105"/>
          <w:sz w:val="21"/>
        </w:rPr>
        <w:t>Estados</w:t>
      </w:r>
      <w:r>
        <w:rPr>
          <w:color w:val="231F20"/>
          <w:spacing w:val="-25"/>
          <w:w w:val="105"/>
          <w:sz w:val="21"/>
        </w:rPr>
        <w:t> </w:t>
      </w:r>
      <w:r>
        <w:rPr>
          <w:color w:val="231F20"/>
          <w:w w:val="105"/>
          <w:sz w:val="21"/>
        </w:rPr>
        <w:t>y</w:t>
      </w:r>
      <w:r>
        <w:rPr>
          <w:color w:val="231F20"/>
          <w:spacing w:val="-25"/>
          <w:w w:val="105"/>
          <w:sz w:val="21"/>
        </w:rPr>
        <w:t> </w:t>
      </w:r>
      <w:r>
        <w:rPr>
          <w:color w:val="231F20"/>
          <w:w w:val="105"/>
          <w:sz w:val="21"/>
        </w:rPr>
        <w:t>los</w:t>
      </w:r>
      <w:r>
        <w:rPr>
          <w:color w:val="231F20"/>
          <w:spacing w:val="-25"/>
          <w:w w:val="105"/>
          <w:sz w:val="21"/>
        </w:rPr>
        <w:t> </w:t>
      </w:r>
      <w:r>
        <w:rPr>
          <w:color w:val="231F20"/>
          <w:w w:val="105"/>
          <w:sz w:val="21"/>
        </w:rPr>
        <w:t>agentes</w:t>
      </w:r>
      <w:r>
        <w:rPr>
          <w:color w:val="231F20"/>
          <w:spacing w:val="-25"/>
          <w:w w:val="105"/>
          <w:sz w:val="21"/>
        </w:rPr>
        <w:t> </w:t>
      </w:r>
      <w:r>
        <w:rPr>
          <w:color w:val="231F20"/>
          <w:w w:val="105"/>
          <w:sz w:val="21"/>
        </w:rPr>
        <w:t>de</w:t>
      </w:r>
      <w:r>
        <w:rPr>
          <w:color w:val="231F20"/>
          <w:spacing w:val="-25"/>
          <w:w w:val="105"/>
          <w:sz w:val="21"/>
        </w:rPr>
        <w:t> </w:t>
      </w:r>
      <w:r>
        <w:rPr>
          <w:color w:val="231F20"/>
          <w:w w:val="105"/>
          <w:sz w:val="21"/>
        </w:rPr>
        <w:t>los</w:t>
      </w:r>
      <w:r>
        <w:rPr>
          <w:color w:val="231F20"/>
          <w:spacing w:val="-25"/>
          <w:w w:val="105"/>
          <w:sz w:val="21"/>
        </w:rPr>
        <w:t> </w:t>
      </w:r>
      <w:r>
        <w:rPr>
          <w:color w:val="231F20"/>
          <w:w w:val="105"/>
          <w:sz w:val="21"/>
        </w:rPr>
        <w:t>Estados</w:t>
      </w:r>
    </w:p>
    <w:p>
      <w:pPr>
        <w:pStyle w:val="ListParagraph"/>
        <w:numPr>
          <w:ilvl w:val="0"/>
          <w:numId w:val="1"/>
        </w:numPr>
        <w:tabs>
          <w:tab w:pos="3047" w:val="left" w:leader="none"/>
          <w:tab w:pos="3048" w:val="left" w:leader="none"/>
        </w:tabs>
        <w:spacing w:line="240" w:lineRule="auto" w:before="171" w:after="0"/>
        <w:ind w:left="3047" w:right="0" w:hanging="360"/>
        <w:jc w:val="left"/>
        <w:rPr>
          <w:sz w:val="21"/>
        </w:rPr>
      </w:pPr>
      <w:r>
        <w:rPr>
          <w:color w:val="231F20"/>
          <w:w w:val="105"/>
          <w:sz w:val="21"/>
        </w:rPr>
        <w:t>Han</w:t>
      </w:r>
      <w:r>
        <w:rPr>
          <w:color w:val="231F20"/>
          <w:spacing w:val="-13"/>
          <w:w w:val="105"/>
          <w:sz w:val="21"/>
        </w:rPr>
        <w:t> </w:t>
      </w:r>
      <w:r>
        <w:rPr>
          <w:color w:val="231F20"/>
          <w:w w:val="105"/>
          <w:sz w:val="21"/>
        </w:rPr>
        <w:t>sido</w:t>
      </w:r>
      <w:r>
        <w:rPr>
          <w:color w:val="231F20"/>
          <w:spacing w:val="-13"/>
          <w:w w:val="105"/>
          <w:sz w:val="21"/>
        </w:rPr>
        <w:t> </w:t>
      </w:r>
      <w:r>
        <w:rPr>
          <w:color w:val="231F20"/>
          <w:w w:val="105"/>
          <w:sz w:val="21"/>
        </w:rPr>
        <w:t>garantizados</w:t>
      </w:r>
      <w:r>
        <w:rPr>
          <w:color w:val="231F20"/>
          <w:spacing w:val="-13"/>
          <w:w w:val="105"/>
          <w:sz w:val="21"/>
        </w:rPr>
        <w:t> </w:t>
      </w:r>
      <w:r>
        <w:rPr>
          <w:color w:val="231F20"/>
          <w:w w:val="105"/>
          <w:sz w:val="21"/>
        </w:rPr>
        <w:t>por</w:t>
      </w:r>
      <w:r>
        <w:rPr>
          <w:color w:val="231F20"/>
          <w:spacing w:val="-13"/>
          <w:w w:val="105"/>
          <w:sz w:val="21"/>
        </w:rPr>
        <w:t> </w:t>
      </w:r>
      <w:r>
        <w:rPr>
          <w:color w:val="231F20"/>
          <w:w w:val="105"/>
          <w:sz w:val="21"/>
        </w:rPr>
        <w:t>la</w:t>
      </w:r>
      <w:r>
        <w:rPr>
          <w:color w:val="231F20"/>
          <w:spacing w:val="-13"/>
          <w:w w:val="105"/>
          <w:sz w:val="21"/>
        </w:rPr>
        <w:t> </w:t>
      </w:r>
      <w:r>
        <w:rPr>
          <w:color w:val="231F20"/>
          <w:w w:val="105"/>
          <w:sz w:val="21"/>
        </w:rPr>
        <w:t>comunidad</w:t>
      </w:r>
      <w:r>
        <w:rPr>
          <w:color w:val="231F20"/>
          <w:spacing w:val="-13"/>
          <w:w w:val="105"/>
          <w:sz w:val="21"/>
        </w:rPr>
        <w:t> </w:t>
      </w:r>
      <w:r>
        <w:rPr>
          <w:color w:val="231F20"/>
          <w:w w:val="105"/>
          <w:sz w:val="21"/>
        </w:rPr>
        <w:t>internacional</w:t>
      </w:r>
    </w:p>
    <w:p>
      <w:pPr>
        <w:pStyle w:val="BodyText"/>
        <w:spacing w:before="11"/>
        <w:rPr>
          <w:sz w:val="16"/>
        </w:rPr>
      </w:pPr>
    </w:p>
    <w:p>
      <w:pPr>
        <w:pStyle w:val="ListParagraph"/>
        <w:numPr>
          <w:ilvl w:val="0"/>
          <w:numId w:val="1"/>
        </w:numPr>
        <w:tabs>
          <w:tab w:pos="3047" w:val="left" w:leader="none"/>
          <w:tab w:pos="3048" w:val="left" w:leader="none"/>
        </w:tabs>
        <w:spacing w:line="240" w:lineRule="auto" w:before="0" w:after="0"/>
        <w:ind w:left="3047" w:right="0" w:hanging="360"/>
        <w:jc w:val="left"/>
        <w:rPr>
          <w:sz w:val="21"/>
        </w:rPr>
      </w:pPr>
      <w:r>
        <w:rPr>
          <w:color w:val="231F20"/>
          <w:w w:val="105"/>
          <w:sz w:val="21"/>
        </w:rPr>
        <w:t>Están protegidos por la</w:t>
      </w:r>
      <w:r>
        <w:rPr>
          <w:color w:val="231F20"/>
          <w:spacing w:val="-41"/>
          <w:w w:val="105"/>
          <w:sz w:val="21"/>
        </w:rPr>
        <w:t> </w:t>
      </w:r>
      <w:r>
        <w:rPr>
          <w:color w:val="231F20"/>
          <w:w w:val="105"/>
          <w:sz w:val="21"/>
        </w:rPr>
        <w:t>ley</w:t>
      </w:r>
    </w:p>
    <w:p>
      <w:pPr>
        <w:pStyle w:val="BodyText"/>
        <w:spacing w:before="11"/>
        <w:rPr>
          <w:sz w:val="16"/>
        </w:rPr>
      </w:pPr>
    </w:p>
    <w:p>
      <w:pPr>
        <w:pStyle w:val="ListParagraph"/>
        <w:numPr>
          <w:ilvl w:val="0"/>
          <w:numId w:val="1"/>
        </w:numPr>
        <w:tabs>
          <w:tab w:pos="3047" w:val="left" w:leader="none"/>
          <w:tab w:pos="3048" w:val="left" w:leader="none"/>
        </w:tabs>
        <w:spacing w:line="240" w:lineRule="auto" w:before="0" w:after="0"/>
        <w:ind w:left="3047" w:right="0" w:hanging="360"/>
        <w:jc w:val="left"/>
        <w:rPr>
          <w:sz w:val="21"/>
        </w:rPr>
      </w:pPr>
      <w:r>
        <w:rPr>
          <w:color w:val="231F20"/>
          <w:w w:val="105"/>
          <w:sz w:val="21"/>
        </w:rPr>
        <w:t>Protegen</w:t>
      </w:r>
      <w:r>
        <w:rPr>
          <w:color w:val="231F20"/>
          <w:spacing w:val="-18"/>
          <w:w w:val="105"/>
          <w:sz w:val="21"/>
        </w:rPr>
        <w:t> </w:t>
      </w:r>
      <w:r>
        <w:rPr>
          <w:color w:val="231F20"/>
          <w:w w:val="105"/>
          <w:sz w:val="21"/>
        </w:rPr>
        <w:t>a</w:t>
      </w:r>
      <w:r>
        <w:rPr>
          <w:color w:val="231F20"/>
          <w:spacing w:val="-18"/>
          <w:w w:val="105"/>
          <w:sz w:val="21"/>
        </w:rPr>
        <w:t> </w:t>
      </w:r>
      <w:r>
        <w:rPr>
          <w:color w:val="231F20"/>
          <w:w w:val="105"/>
          <w:sz w:val="21"/>
        </w:rPr>
        <w:t>los</w:t>
      </w:r>
      <w:r>
        <w:rPr>
          <w:color w:val="231F20"/>
          <w:spacing w:val="-18"/>
          <w:w w:val="105"/>
          <w:sz w:val="21"/>
        </w:rPr>
        <w:t> </w:t>
      </w:r>
      <w:r>
        <w:rPr>
          <w:color w:val="231F20"/>
          <w:w w:val="105"/>
          <w:sz w:val="21"/>
        </w:rPr>
        <w:t>individuos</w:t>
      </w:r>
    </w:p>
    <w:p>
      <w:pPr>
        <w:pStyle w:val="BodyText"/>
        <w:rPr>
          <w:sz w:val="20"/>
        </w:rPr>
      </w:pPr>
    </w:p>
    <w:p>
      <w:pPr>
        <w:pStyle w:val="BodyText"/>
        <w:spacing w:before="10"/>
        <w:rPr>
          <w:sz w:val="19"/>
        </w:rPr>
      </w:pPr>
    </w:p>
    <w:p>
      <w:pPr>
        <w:pStyle w:val="BodyText"/>
        <w:spacing w:before="1"/>
        <w:ind w:left="1837"/>
        <w:jc w:val="both"/>
      </w:pPr>
      <w:r>
        <w:rPr>
          <w:color w:val="231F20"/>
          <w:w w:val="105"/>
        </w:rPr>
        <w:t>Los derechos humanos pueden entenderse también como un</w:t>
      </w:r>
    </w:p>
    <w:p>
      <w:pPr>
        <w:pStyle w:val="BodyText"/>
        <w:spacing w:before="6"/>
        <w:rPr>
          <w:sz w:val="20"/>
        </w:rPr>
      </w:pPr>
    </w:p>
    <w:p>
      <w:pPr>
        <w:spacing w:line="254" w:lineRule="auto" w:before="0"/>
        <w:ind w:left="2971" w:right="1721" w:firstLine="0"/>
        <w:jc w:val="both"/>
        <w:rPr>
          <w:sz w:val="18"/>
        </w:rPr>
      </w:pPr>
      <w:r>
        <w:rPr>
          <w:color w:val="231F20"/>
          <w:w w:val="105"/>
          <w:sz w:val="18"/>
        </w:rPr>
        <w:t>conjunto</w:t>
      </w:r>
      <w:r>
        <w:rPr>
          <w:color w:val="231F20"/>
          <w:spacing w:val="-6"/>
          <w:w w:val="105"/>
          <w:sz w:val="18"/>
        </w:rPr>
        <w:t> </w:t>
      </w:r>
      <w:r>
        <w:rPr>
          <w:color w:val="231F20"/>
          <w:w w:val="105"/>
          <w:sz w:val="18"/>
        </w:rPr>
        <w:t>de</w:t>
      </w:r>
      <w:r>
        <w:rPr>
          <w:color w:val="231F20"/>
          <w:spacing w:val="-6"/>
          <w:w w:val="105"/>
          <w:sz w:val="18"/>
        </w:rPr>
        <w:t> </w:t>
      </w:r>
      <w:r>
        <w:rPr>
          <w:color w:val="231F20"/>
          <w:w w:val="105"/>
          <w:sz w:val="18"/>
        </w:rPr>
        <w:t>garantías</w:t>
      </w:r>
      <w:r>
        <w:rPr>
          <w:color w:val="231F20"/>
          <w:spacing w:val="-6"/>
          <w:w w:val="105"/>
          <w:sz w:val="18"/>
        </w:rPr>
        <w:t> </w:t>
      </w:r>
      <w:r>
        <w:rPr>
          <w:color w:val="231F20"/>
          <w:w w:val="105"/>
          <w:sz w:val="18"/>
        </w:rPr>
        <w:t>que</w:t>
      </w:r>
      <w:r>
        <w:rPr>
          <w:color w:val="231F20"/>
          <w:spacing w:val="-6"/>
          <w:w w:val="105"/>
          <w:sz w:val="18"/>
        </w:rPr>
        <w:t> </w:t>
      </w:r>
      <w:r>
        <w:rPr>
          <w:color w:val="231F20"/>
          <w:w w:val="105"/>
          <w:sz w:val="18"/>
        </w:rPr>
        <w:t>pueden</w:t>
      </w:r>
      <w:r>
        <w:rPr>
          <w:color w:val="231F20"/>
          <w:spacing w:val="-6"/>
          <w:w w:val="105"/>
          <w:sz w:val="18"/>
        </w:rPr>
        <w:t> </w:t>
      </w:r>
      <w:r>
        <w:rPr>
          <w:color w:val="231F20"/>
          <w:w w:val="105"/>
          <w:sz w:val="18"/>
        </w:rPr>
        <w:t>ser</w:t>
      </w:r>
      <w:r>
        <w:rPr>
          <w:color w:val="231F20"/>
          <w:spacing w:val="-6"/>
          <w:w w:val="105"/>
          <w:sz w:val="18"/>
        </w:rPr>
        <w:t> </w:t>
      </w:r>
      <w:r>
        <w:rPr>
          <w:color w:val="231F20"/>
          <w:w w:val="105"/>
          <w:sz w:val="18"/>
        </w:rPr>
        <w:t>reclamados</w:t>
      </w:r>
      <w:r>
        <w:rPr>
          <w:color w:val="231F20"/>
          <w:spacing w:val="-6"/>
          <w:w w:val="105"/>
          <w:sz w:val="18"/>
        </w:rPr>
        <w:t> </w:t>
      </w:r>
      <w:r>
        <w:rPr>
          <w:color w:val="231F20"/>
          <w:w w:val="105"/>
          <w:sz w:val="18"/>
        </w:rPr>
        <w:t>por</w:t>
      </w:r>
      <w:r>
        <w:rPr>
          <w:color w:val="231F20"/>
          <w:spacing w:val="-6"/>
          <w:w w:val="105"/>
          <w:sz w:val="18"/>
        </w:rPr>
        <w:t> </w:t>
      </w:r>
      <w:r>
        <w:rPr>
          <w:color w:val="231F20"/>
          <w:w w:val="105"/>
          <w:sz w:val="18"/>
        </w:rPr>
        <w:t>todos</w:t>
      </w:r>
      <w:r>
        <w:rPr>
          <w:color w:val="231F20"/>
          <w:spacing w:val="-6"/>
          <w:w w:val="105"/>
          <w:sz w:val="18"/>
        </w:rPr>
        <w:t> </w:t>
      </w:r>
      <w:r>
        <w:rPr>
          <w:color w:val="231F20"/>
          <w:w w:val="105"/>
          <w:sz w:val="18"/>
        </w:rPr>
        <w:t>por</w:t>
      </w:r>
      <w:r>
        <w:rPr>
          <w:color w:val="231F20"/>
          <w:spacing w:val="-6"/>
          <w:w w:val="105"/>
          <w:sz w:val="18"/>
        </w:rPr>
        <w:t> </w:t>
      </w:r>
      <w:r>
        <w:rPr>
          <w:color w:val="231F20"/>
          <w:w w:val="105"/>
          <w:sz w:val="18"/>
        </w:rPr>
        <w:t>ema- nar</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condición</w:t>
      </w:r>
      <w:r>
        <w:rPr>
          <w:color w:val="231F20"/>
          <w:spacing w:val="-6"/>
          <w:w w:val="105"/>
          <w:sz w:val="18"/>
        </w:rPr>
        <w:t> </w:t>
      </w:r>
      <w:r>
        <w:rPr>
          <w:color w:val="231F20"/>
          <w:w w:val="105"/>
          <w:sz w:val="18"/>
        </w:rPr>
        <w:t>de</w:t>
      </w:r>
      <w:r>
        <w:rPr>
          <w:color w:val="231F20"/>
          <w:spacing w:val="-6"/>
          <w:w w:val="105"/>
          <w:sz w:val="18"/>
        </w:rPr>
        <w:t> </w:t>
      </w:r>
      <w:r>
        <w:rPr>
          <w:color w:val="231F20"/>
          <w:w w:val="105"/>
          <w:sz w:val="18"/>
        </w:rPr>
        <w:t>dignidad</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persona.</w:t>
      </w:r>
      <w:r>
        <w:rPr>
          <w:color w:val="231F20"/>
          <w:spacing w:val="-12"/>
          <w:w w:val="105"/>
          <w:sz w:val="18"/>
        </w:rPr>
        <w:t> </w:t>
      </w:r>
      <w:r>
        <w:rPr>
          <w:color w:val="231F20"/>
          <w:w w:val="105"/>
          <w:sz w:val="18"/>
        </w:rPr>
        <w:t>Implican</w:t>
      </w:r>
      <w:r>
        <w:rPr>
          <w:color w:val="231F20"/>
          <w:spacing w:val="-6"/>
          <w:w w:val="105"/>
          <w:sz w:val="18"/>
        </w:rPr>
        <w:t> </w:t>
      </w:r>
      <w:r>
        <w:rPr>
          <w:color w:val="231F20"/>
          <w:w w:val="105"/>
          <w:sz w:val="18"/>
        </w:rPr>
        <w:t>la</w:t>
      </w:r>
      <w:r>
        <w:rPr>
          <w:color w:val="231F20"/>
          <w:spacing w:val="-6"/>
          <w:w w:val="105"/>
          <w:sz w:val="18"/>
        </w:rPr>
        <w:t> </w:t>
      </w:r>
      <w:r>
        <w:rPr>
          <w:color w:val="231F20"/>
          <w:w w:val="105"/>
          <w:sz w:val="18"/>
        </w:rPr>
        <w:t>satisfacción de</w:t>
      </w:r>
      <w:r>
        <w:rPr>
          <w:color w:val="231F20"/>
          <w:spacing w:val="-7"/>
          <w:w w:val="105"/>
          <w:sz w:val="18"/>
        </w:rPr>
        <w:t> </w:t>
      </w:r>
      <w:r>
        <w:rPr>
          <w:color w:val="231F20"/>
          <w:w w:val="105"/>
          <w:sz w:val="18"/>
        </w:rPr>
        <w:t>las</w:t>
      </w:r>
      <w:r>
        <w:rPr>
          <w:color w:val="231F20"/>
          <w:spacing w:val="-7"/>
          <w:w w:val="105"/>
          <w:sz w:val="18"/>
        </w:rPr>
        <w:t> </w:t>
      </w:r>
      <w:r>
        <w:rPr>
          <w:color w:val="231F20"/>
          <w:w w:val="105"/>
          <w:sz w:val="18"/>
        </w:rPr>
        <w:t>necesidades</w:t>
      </w:r>
      <w:r>
        <w:rPr>
          <w:color w:val="231F20"/>
          <w:spacing w:val="-7"/>
          <w:w w:val="105"/>
          <w:sz w:val="18"/>
        </w:rPr>
        <w:t> </w:t>
      </w:r>
      <w:r>
        <w:rPr>
          <w:color w:val="231F20"/>
          <w:w w:val="105"/>
          <w:sz w:val="18"/>
        </w:rPr>
        <w:t>básicas</w:t>
      </w:r>
      <w:r>
        <w:rPr>
          <w:color w:val="231F20"/>
          <w:spacing w:val="-7"/>
          <w:w w:val="105"/>
          <w:sz w:val="18"/>
        </w:rPr>
        <w:t> </w:t>
      </w:r>
      <w:r>
        <w:rPr>
          <w:color w:val="231F20"/>
          <w:w w:val="105"/>
          <w:sz w:val="18"/>
        </w:rPr>
        <w:t>que</w:t>
      </w:r>
      <w:r>
        <w:rPr>
          <w:color w:val="231F20"/>
          <w:spacing w:val="-7"/>
          <w:w w:val="105"/>
          <w:sz w:val="18"/>
        </w:rPr>
        <w:t> </w:t>
      </w:r>
      <w:r>
        <w:rPr>
          <w:color w:val="231F20"/>
          <w:w w:val="105"/>
          <w:sz w:val="18"/>
        </w:rPr>
        <w:t>el</w:t>
      </w:r>
      <w:r>
        <w:rPr>
          <w:color w:val="231F20"/>
          <w:spacing w:val="-7"/>
          <w:w w:val="105"/>
          <w:sz w:val="18"/>
        </w:rPr>
        <w:t> </w:t>
      </w:r>
      <w:r>
        <w:rPr>
          <w:color w:val="231F20"/>
          <w:w w:val="105"/>
          <w:sz w:val="18"/>
        </w:rPr>
        <w:t>ser</w:t>
      </w:r>
      <w:r>
        <w:rPr>
          <w:color w:val="231F20"/>
          <w:spacing w:val="-7"/>
          <w:w w:val="105"/>
          <w:sz w:val="18"/>
        </w:rPr>
        <w:t> </w:t>
      </w:r>
      <w:r>
        <w:rPr>
          <w:color w:val="231F20"/>
          <w:w w:val="105"/>
          <w:sz w:val="18"/>
        </w:rPr>
        <w:t>humano</w:t>
      </w:r>
      <w:r>
        <w:rPr>
          <w:color w:val="231F20"/>
          <w:spacing w:val="-7"/>
          <w:w w:val="105"/>
          <w:sz w:val="18"/>
        </w:rPr>
        <w:t> </w:t>
      </w:r>
      <w:r>
        <w:rPr>
          <w:color w:val="231F20"/>
          <w:w w:val="105"/>
          <w:sz w:val="18"/>
        </w:rPr>
        <w:t>requiere</w:t>
      </w:r>
      <w:r>
        <w:rPr>
          <w:color w:val="231F20"/>
          <w:spacing w:val="-7"/>
          <w:w w:val="105"/>
          <w:sz w:val="18"/>
        </w:rPr>
        <w:t> </w:t>
      </w:r>
      <w:r>
        <w:rPr>
          <w:color w:val="231F20"/>
          <w:w w:val="105"/>
          <w:sz w:val="18"/>
        </w:rPr>
        <w:t>para</w:t>
      </w:r>
      <w:r>
        <w:rPr>
          <w:color w:val="231F20"/>
          <w:spacing w:val="-7"/>
          <w:w w:val="105"/>
          <w:sz w:val="18"/>
        </w:rPr>
        <w:t> </w:t>
      </w:r>
      <w:r>
        <w:rPr>
          <w:color w:val="231F20"/>
          <w:w w:val="105"/>
          <w:sz w:val="18"/>
        </w:rPr>
        <w:t>desarro- llarse</w:t>
      </w:r>
      <w:r>
        <w:rPr>
          <w:color w:val="231F20"/>
          <w:spacing w:val="-23"/>
          <w:w w:val="105"/>
          <w:sz w:val="18"/>
        </w:rPr>
        <w:t> </w:t>
      </w:r>
      <w:r>
        <w:rPr>
          <w:color w:val="231F20"/>
          <w:w w:val="105"/>
          <w:sz w:val="18"/>
        </w:rPr>
        <w:t>plenamente</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su</w:t>
      </w:r>
      <w:r>
        <w:rPr>
          <w:color w:val="231F20"/>
          <w:spacing w:val="-23"/>
          <w:w w:val="105"/>
          <w:sz w:val="18"/>
        </w:rPr>
        <w:t> </w:t>
      </w:r>
      <w:r>
        <w:rPr>
          <w:color w:val="231F20"/>
          <w:w w:val="105"/>
          <w:sz w:val="18"/>
        </w:rPr>
        <w:t>entorno</w:t>
      </w:r>
      <w:r>
        <w:rPr>
          <w:color w:val="231F20"/>
          <w:spacing w:val="-23"/>
          <w:w w:val="105"/>
          <w:sz w:val="18"/>
        </w:rPr>
        <w:t> </w:t>
      </w:r>
      <w:r>
        <w:rPr>
          <w:color w:val="231F20"/>
          <w:spacing w:val="-4"/>
          <w:w w:val="105"/>
          <w:sz w:val="18"/>
        </w:rPr>
        <w:t>y,</w:t>
      </w:r>
      <w:r>
        <w:rPr>
          <w:color w:val="231F20"/>
          <w:spacing w:val="-26"/>
          <w:w w:val="105"/>
          <w:sz w:val="18"/>
        </w:rPr>
        <w:t> </w:t>
      </w:r>
      <w:r>
        <w:rPr>
          <w:color w:val="231F20"/>
          <w:w w:val="105"/>
          <w:sz w:val="18"/>
        </w:rPr>
        <w:t>el</w:t>
      </w:r>
      <w:r>
        <w:rPr>
          <w:color w:val="231F20"/>
          <w:spacing w:val="-23"/>
          <w:w w:val="105"/>
          <w:sz w:val="18"/>
        </w:rPr>
        <w:t> </w:t>
      </w:r>
      <w:r>
        <w:rPr>
          <w:color w:val="231F20"/>
          <w:w w:val="105"/>
          <w:sz w:val="18"/>
        </w:rPr>
        <w:t>disfrute</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las</w:t>
      </w:r>
      <w:r>
        <w:rPr>
          <w:color w:val="231F20"/>
          <w:spacing w:val="-23"/>
          <w:w w:val="105"/>
          <w:sz w:val="18"/>
        </w:rPr>
        <w:t> </w:t>
      </w:r>
      <w:r>
        <w:rPr>
          <w:color w:val="231F20"/>
          <w:w w:val="105"/>
          <w:sz w:val="18"/>
        </w:rPr>
        <w:t>estructuras</w:t>
      </w:r>
      <w:r>
        <w:rPr>
          <w:color w:val="231F20"/>
          <w:spacing w:val="-23"/>
          <w:w w:val="105"/>
          <w:sz w:val="18"/>
        </w:rPr>
        <w:t> </w:t>
      </w:r>
      <w:r>
        <w:rPr>
          <w:color w:val="231F20"/>
          <w:w w:val="105"/>
          <w:sz w:val="18"/>
        </w:rPr>
        <w:t>sociales y</w:t>
      </w:r>
      <w:r>
        <w:rPr>
          <w:color w:val="231F20"/>
          <w:spacing w:val="-10"/>
          <w:w w:val="105"/>
          <w:sz w:val="18"/>
        </w:rPr>
        <w:t> </w:t>
      </w:r>
      <w:r>
        <w:rPr>
          <w:color w:val="231F20"/>
          <w:w w:val="105"/>
          <w:sz w:val="18"/>
        </w:rPr>
        <w:t>políticas</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las</w:t>
      </w:r>
      <w:r>
        <w:rPr>
          <w:color w:val="231F20"/>
          <w:spacing w:val="-10"/>
          <w:w w:val="105"/>
          <w:sz w:val="18"/>
        </w:rPr>
        <w:t> </w:t>
      </w:r>
      <w:r>
        <w:rPr>
          <w:color w:val="231F20"/>
          <w:w w:val="105"/>
          <w:sz w:val="18"/>
        </w:rPr>
        <w:t>que</w:t>
      </w:r>
      <w:r>
        <w:rPr>
          <w:color w:val="231F20"/>
          <w:spacing w:val="-10"/>
          <w:w w:val="105"/>
          <w:sz w:val="18"/>
        </w:rPr>
        <w:t> </w:t>
      </w:r>
      <w:r>
        <w:rPr>
          <w:color w:val="231F20"/>
          <w:w w:val="105"/>
          <w:sz w:val="18"/>
        </w:rPr>
        <w:t>pueda</w:t>
      </w:r>
      <w:r>
        <w:rPr>
          <w:color w:val="231F20"/>
          <w:spacing w:val="-10"/>
          <w:w w:val="105"/>
          <w:sz w:val="18"/>
        </w:rPr>
        <w:t> </w:t>
      </w:r>
      <w:r>
        <w:rPr>
          <w:color w:val="231F20"/>
          <w:w w:val="105"/>
          <w:sz w:val="18"/>
        </w:rPr>
        <w:t>ejercerse,</w:t>
      </w:r>
      <w:r>
        <w:rPr>
          <w:color w:val="231F20"/>
          <w:spacing w:val="-15"/>
          <w:w w:val="105"/>
          <w:sz w:val="18"/>
        </w:rPr>
        <w:t> </w:t>
      </w:r>
      <w:r>
        <w:rPr>
          <w:color w:val="231F20"/>
          <w:w w:val="105"/>
          <w:sz w:val="18"/>
        </w:rPr>
        <w:t>en</w:t>
      </w:r>
      <w:r>
        <w:rPr>
          <w:color w:val="231F20"/>
          <w:spacing w:val="-10"/>
          <w:w w:val="105"/>
          <w:sz w:val="18"/>
        </w:rPr>
        <w:t> </w:t>
      </w:r>
      <w:r>
        <w:rPr>
          <w:color w:val="231F20"/>
          <w:w w:val="105"/>
          <w:sz w:val="18"/>
        </w:rPr>
        <w:t>el</w:t>
      </w:r>
      <w:r>
        <w:rPr>
          <w:color w:val="231F20"/>
          <w:spacing w:val="-10"/>
          <w:w w:val="105"/>
          <w:sz w:val="18"/>
        </w:rPr>
        <w:t> </w:t>
      </w:r>
      <w:r>
        <w:rPr>
          <w:color w:val="231F20"/>
          <w:w w:val="105"/>
          <w:sz w:val="18"/>
        </w:rPr>
        <w:t>respeto</w:t>
      </w:r>
      <w:r>
        <w:rPr>
          <w:color w:val="231F20"/>
          <w:spacing w:val="-10"/>
          <w:w w:val="105"/>
          <w:sz w:val="18"/>
        </w:rPr>
        <w:t> </w:t>
      </w:r>
      <w:r>
        <w:rPr>
          <w:color w:val="231F20"/>
          <w:w w:val="105"/>
          <w:sz w:val="18"/>
        </w:rPr>
        <w:t>y</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solidaridad,</w:t>
      </w:r>
      <w:r>
        <w:rPr>
          <w:color w:val="231F20"/>
          <w:spacing w:val="-15"/>
          <w:w w:val="105"/>
          <w:sz w:val="18"/>
        </w:rPr>
        <w:t> </w:t>
      </w:r>
      <w:r>
        <w:rPr>
          <w:color w:val="231F20"/>
          <w:w w:val="105"/>
          <w:sz w:val="18"/>
        </w:rPr>
        <w:t>la autonomía</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los</w:t>
      </w:r>
      <w:r>
        <w:rPr>
          <w:color w:val="231F20"/>
          <w:spacing w:val="-16"/>
          <w:w w:val="105"/>
          <w:sz w:val="18"/>
        </w:rPr>
        <w:t> </w:t>
      </w:r>
      <w:r>
        <w:rPr>
          <w:color w:val="231F20"/>
          <w:w w:val="105"/>
          <w:sz w:val="18"/>
        </w:rPr>
        <w:t>individuos</w:t>
      </w:r>
      <w:r>
        <w:rPr>
          <w:color w:val="231F20"/>
          <w:spacing w:val="-16"/>
          <w:w w:val="105"/>
          <w:sz w:val="18"/>
        </w:rPr>
        <w:t> </w:t>
      </w:r>
      <w:r>
        <w:rPr>
          <w:color w:val="231F20"/>
          <w:w w:val="105"/>
          <w:sz w:val="18"/>
        </w:rPr>
        <w:t>y</w:t>
      </w:r>
      <w:r>
        <w:rPr>
          <w:color w:val="231F20"/>
          <w:spacing w:val="-16"/>
          <w:w w:val="105"/>
          <w:sz w:val="18"/>
        </w:rPr>
        <w:t> </w:t>
      </w:r>
      <w:r>
        <w:rPr>
          <w:color w:val="231F20"/>
          <w:w w:val="105"/>
          <w:sz w:val="18"/>
        </w:rPr>
        <w:t>los</w:t>
      </w:r>
      <w:r>
        <w:rPr>
          <w:color w:val="231F20"/>
          <w:spacing w:val="-16"/>
          <w:w w:val="105"/>
          <w:sz w:val="18"/>
        </w:rPr>
        <w:t> </w:t>
      </w:r>
      <w:r>
        <w:rPr>
          <w:color w:val="231F20"/>
          <w:w w:val="105"/>
          <w:sz w:val="18"/>
        </w:rPr>
        <w:t>colectivos</w:t>
      </w:r>
      <w:r>
        <w:rPr>
          <w:color w:val="231F20"/>
          <w:spacing w:val="-16"/>
          <w:w w:val="105"/>
          <w:sz w:val="18"/>
        </w:rPr>
        <w:t> </w:t>
      </w:r>
      <w:r>
        <w:rPr>
          <w:color w:val="231F20"/>
          <w:w w:val="105"/>
          <w:sz w:val="18"/>
        </w:rPr>
        <w:t>sociales</w:t>
      </w:r>
      <w:r>
        <w:rPr>
          <w:color w:val="231F20"/>
          <w:spacing w:val="-16"/>
          <w:w w:val="105"/>
          <w:sz w:val="18"/>
        </w:rPr>
        <w:t> </w:t>
      </w:r>
      <w:r>
        <w:rPr>
          <w:color w:val="231F20"/>
          <w:w w:val="105"/>
          <w:sz w:val="18"/>
        </w:rPr>
        <w:t>(Ordoñez,</w:t>
      </w:r>
      <w:r>
        <w:rPr>
          <w:color w:val="231F20"/>
          <w:spacing w:val="-21"/>
          <w:w w:val="105"/>
          <w:sz w:val="18"/>
        </w:rPr>
        <w:t> </w:t>
      </w:r>
      <w:r>
        <w:rPr>
          <w:color w:val="231F20"/>
          <w:w w:val="105"/>
          <w:sz w:val="18"/>
        </w:rPr>
        <w:t>2010).</w:t>
      </w:r>
    </w:p>
    <w:p>
      <w:pPr>
        <w:pStyle w:val="BodyText"/>
        <w:spacing w:before="5"/>
      </w:pPr>
    </w:p>
    <w:p>
      <w:pPr>
        <w:pStyle w:val="BodyText"/>
        <w:spacing w:line="261" w:lineRule="auto"/>
        <w:ind w:left="1837" w:right="1721"/>
        <w:jc w:val="both"/>
      </w:pPr>
      <w:r>
        <w:rPr>
          <w:color w:val="231F20"/>
          <w:spacing w:val="-4"/>
          <w:w w:val="105"/>
        </w:rPr>
        <w:t>Para</w:t>
      </w:r>
      <w:r>
        <w:rPr>
          <w:color w:val="231F20"/>
          <w:spacing w:val="-27"/>
          <w:w w:val="105"/>
        </w:rPr>
        <w:t> </w:t>
      </w:r>
      <w:r>
        <w:rPr>
          <w:color w:val="231F20"/>
          <w:w w:val="105"/>
        </w:rPr>
        <w:t>comprender</w:t>
      </w:r>
      <w:r>
        <w:rPr>
          <w:color w:val="231F20"/>
          <w:spacing w:val="-27"/>
          <w:w w:val="105"/>
        </w:rPr>
        <w:t> </w:t>
      </w:r>
      <w:r>
        <w:rPr>
          <w:color w:val="231F20"/>
          <w:w w:val="105"/>
        </w:rPr>
        <w:t>cuáles</w:t>
      </w:r>
      <w:r>
        <w:rPr>
          <w:color w:val="231F20"/>
          <w:spacing w:val="-27"/>
          <w:w w:val="105"/>
        </w:rPr>
        <w:t> </w:t>
      </w:r>
      <w:r>
        <w:rPr>
          <w:color w:val="231F20"/>
          <w:w w:val="105"/>
        </w:rPr>
        <w:t>son</w:t>
      </w:r>
      <w:r>
        <w:rPr>
          <w:color w:val="231F20"/>
          <w:spacing w:val="-27"/>
          <w:w w:val="105"/>
        </w:rPr>
        <w:t> </w:t>
      </w:r>
      <w:r>
        <w:rPr>
          <w:color w:val="231F20"/>
          <w:w w:val="105"/>
        </w:rPr>
        <w:t>los</w:t>
      </w:r>
      <w:r>
        <w:rPr>
          <w:color w:val="231F20"/>
          <w:spacing w:val="-27"/>
          <w:w w:val="105"/>
        </w:rPr>
        <w:t> </w:t>
      </w:r>
      <w:r>
        <w:rPr>
          <w:color w:val="231F20"/>
          <w:w w:val="105"/>
        </w:rPr>
        <w:t>derechos</w:t>
      </w:r>
      <w:r>
        <w:rPr>
          <w:color w:val="231F20"/>
          <w:spacing w:val="-27"/>
          <w:w w:val="105"/>
        </w:rPr>
        <w:t> </w:t>
      </w:r>
      <w:r>
        <w:rPr>
          <w:color w:val="231F20"/>
          <w:w w:val="105"/>
        </w:rPr>
        <w:t>humanos</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migrantes</w:t>
      </w:r>
      <w:r>
        <w:rPr>
          <w:color w:val="231F20"/>
          <w:spacing w:val="-27"/>
          <w:w w:val="105"/>
        </w:rPr>
        <w:t> </w:t>
      </w:r>
      <w:r>
        <w:rPr>
          <w:color w:val="231F20"/>
          <w:w w:val="105"/>
        </w:rPr>
        <w:t>mo- viéndose en el mundo, es necesario tener en cuenta que estos deben corrresponder con los que se encuentran estipulados en la</w:t>
      </w:r>
      <w:r>
        <w:rPr>
          <w:color w:val="231F20"/>
          <w:spacing w:val="-36"/>
          <w:w w:val="105"/>
        </w:rPr>
        <w:t> </w:t>
      </w:r>
      <w:r>
        <w:rPr>
          <w:color w:val="231F20"/>
          <w:w w:val="105"/>
        </w:rPr>
        <w:t>Declaración Universal</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Derechos</w:t>
      </w:r>
      <w:r>
        <w:rPr>
          <w:color w:val="231F20"/>
          <w:spacing w:val="-17"/>
          <w:w w:val="105"/>
        </w:rPr>
        <w:t> </w:t>
      </w:r>
      <w:r>
        <w:rPr>
          <w:color w:val="231F20"/>
          <w:w w:val="105"/>
        </w:rPr>
        <w:t>Humanos</w:t>
      </w:r>
      <w:r>
        <w:rPr>
          <w:color w:val="231F20"/>
          <w:spacing w:val="-17"/>
          <w:w w:val="105"/>
        </w:rPr>
        <w:t> </w:t>
      </w:r>
      <w:r>
        <w:rPr>
          <w:color w:val="231F20"/>
          <w:w w:val="105"/>
        </w:rPr>
        <w:t>(1948),</w:t>
      </w:r>
      <w:r>
        <w:rPr>
          <w:color w:val="231F20"/>
          <w:spacing w:val="-22"/>
          <w:w w:val="105"/>
        </w:rPr>
        <w:t> </w:t>
      </w:r>
      <w:r>
        <w:rPr>
          <w:color w:val="231F20"/>
          <w:w w:val="105"/>
        </w:rPr>
        <w:t>emitida</w:t>
      </w:r>
      <w:r>
        <w:rPr>
          <w:color w:val="231F20"/>
          <w:spacing w:val="-17"/>
          <w:w w:val="105"/>
        </w:rPr>
        <w:t> </w:t>
      </w:r>
      <w:r>
        <w:rPr>
          <w:color w:val="231F20"/>
          <w:w w:val="105"/>
        </w:rPr>
        <w:t>por</w:t>
      </w:r>
      <w:r>
        <w:rPr>
          <w:color w:val="231F20"/>
          <w:spacing w:val="-17"/>
          <w:w w:val="105"/>
        </w:rPr>
        <w:t> </w:t>
      </w:r>
      <w:r>
        <w:rPr>
          <w:color w:val="231F20"/>
          <w:w w:val="105"/>
        </w:rPr>
        <w:t>la</w:t>
      </w:r>
      <w:r>
        <w:rPr>
          <w:color w:val="231F20"/>
          <w:spacing w:val="-17"/>
          <w:w w:val="105"/>
        </w:rPr>
        <w:t> </w:t>
      </w:r>
      <w:r>
        <w:rPr>
          <w:color w:val="231F20"/>
          <w:w w:val="105"/>
        </w:rPr>
        <w:t>Organización de</w:t>
      </w:r>
      <w:r>
        <w:rPr>
          <w:color w:val="231F20"/>
          <w:spacing w:val="-27"/>
          <w:w w:val="105"/>
        </w:rPr>
        <w:t> </w:t>
      </w:r>
      <w:r>
        <w:rPr>
          <w:color w:val="231F20"/>
          <w:w w:val="105"/>
        </w:rPr>
        <w:t>las</w:t>
      </w:r>
      <w:r>
        <w:rPr>
          <w:color w:val="231F20"/>
          <w:spacing w:val="-27"/>
          <w:w w:val="105"/>
        </w:rPr>
        <w:t> </w:t>
      </w:r>
      <w:r>
        <w:rPr>
          <w:color w:val="231F20"/>
          <w:w w:val="105"/>
        </w:rPr>
        <w:t>Naciones</w:t>
      </w:r>
      <w:r>
        <w:rPr>
          <w:color w:val="231F20"/>
          <w:spacing w:val="-27"/>
          <w:w w:val="105"/>
        </w:rPr>
        <w:t> </w:t>
      </w:r>
      <w:r>
        <w:rPr>
          <w:color w:val="231F20"/>
          <w:w w:val="105"/>
        </w:rPr>
        <w:t>Unidas,</w:t>
      </w:r>
      <w:r>
        <w:rPr>
          <w:color w:val="231F20"/>
          <w:spacing w:val="-31"/>
          <w:w w:val="105"/>
        </w:rPr>
        <w:t> </w:t>
      </w:r>
      <w:r>
        <w:rPr>
          <w:color w:val="231F20"/>
          <w:w w:val="105"/>
        </w:rPr>
        <w:t>y</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que</w:t>
      </w:r>
      <w:r>
        <w:rPr>
          <w:color w:val="231F20"/>
          <w:spacing w:val="-27"/>
          <w:w w:val="105"/>
        </w:rPr>
        <w:t> </w:t>
      </w:r>
      <w:r>
        <w:rPr>
          <w:color w:val="231F20"/>
          <w:w w:val="105"/>
        </w:rPr>
        <w:t>el</w:t>
      </w:r>
      <w:r>
        <w:rPr>
          <w:color w:val="231F20"/>
          <w:spacing w:val="-27"/>
          <w:w w:val="105"/>
        </w:rPr>
        <w:t> </w:t>
      </w:r>
      <w:r>
        <w:rPr>
          <w:color w:val="231F20"/>
          <w:w w:val="105"/>
        </w:rPr>
        <w:t>Estado</w:t>
      </w:r>
      <w:r>
        <w:rPr>
          <w:color w:val="231F20"/>
          <w:spacing w:val="-27"/>
          <w:w w:val="105"/>
        </w:rPr>
        <w:t> </w:t>
      </w:r>
      <w:r>
        <w:rPr>
          <w:color w:val="231F20"/>
          <w:w w:val="105"/>
        </w:rPr>
        <w:t>mexicano</w:t>
      </w:r>
      <w:r>
        <w:rPr>
          <w:color w:val="231F20"/>
          <w:spacing w:val="-27"/>
          <w:w w:val="105"/>
        </w:rPr>
        <w:t> </w:t>
      </w:r>
      <w:r>
        <w:rPr>
          <w:color w:val="231F20"/>
          <w:w w:val="105"/>
        </w:rPr>
        <w:t>se</w:t>
      </w:r>
      <w:r>
        <w:rPr>
          <w:color w:val="231F20"/>
          <w:spacing w:val="-27"/>
          <w:w w:val="105"/>
        </w:rPr>
        <w:t> </w:t>
      </w:r>
      <w:r>
        <w:rPr>
          <w:color w:val="231F20"/>
          <w:w w:val="105"/>
        </w:rPr>
        <w:t>adhirió</w:t>
      </w:r>
      <w:r>
        <w:rPr>
          <w:color w:val="231F20"/>
          <w:spacing w:val="-27"/>
          <w:w w:val="105"/>
        </w:rPr>
        <w:t> </w:t>
      </w:r>
      <w:r>
        <w:rPr>
          <w:color w:val="231F20"/>
          <w:w w:val="105"/>
        </w:rPr>
        <w:t>en</w:t>
      </w:r>
      <w:r>
        <w:rPr>
          <w:color w:val="231F20"/>
          <w:spacing w:val="-27"/>
          <w:w w:val="105"/>
        </w:rPr>
        <w:t> </w:t>
      </w:r>
      <w:r>
        <w:rPr>
          <w:color w:val="231F20"/>
          <w:w w:val="105"/>
        </w:rPr>
        <w:t>pleno uso</w:t>
      </w:r>
      <w:r>
        <w:rPr>
          <w:color w:val="231F20"/>
          <w:spacing w:val="-21"/>
          <w:w w:val="105"/>
        </w:rPr>
        <w:t> </w:t>
      </w:r>
      <w:r>
        <w:rPr>
          <w:color w:val="231F20"/>
          <w:w w:val="105"/>
        </w:rPr>
        <w:t>de</w:t>
      </w:r>
      <w:r>
        <w:rPr>
          <w:color w:val="231F20"/>
          <w:spacing w:val="-21"/>
          <w:w w:val="105"/>
        </w:rPr>
        <w:t> </w:t>
      </w:r>
      <w:r>
        <w:rPr>
          <w:color w:val="231F20"/>
          <w:w w:val="105"/>
        </w:rPr>
        <w:t>su</w:t>
      </w:r>
      <w:r>
        <w:rPr>
          <w:color w:val="231F20"/>
          <w:spacing w:val="-21"/>
          <w:w w:val="105"/>
        </w:rPr>
        <w:t> </w:t>
      </w:r>
      <w:r>
        <w:rPr>
          <w:color w:val="231F20"/>
          <w:w w:val="105"/>
        </w:rPr>
        <w:t>soberanía</w:t>
      </w:r>
      <w:r>
        <w:rPr>
          <w:color w:val="231F20"/>
          <w:spacing w:val="-21"/>
          <w:w w:val="105"/>
        </w:rPr>
        <w:t> </w:t>
      </w:r>
      <w:r>
        <w:rPr>
          <w:color w:val="231F20"/>
          <w:w w:val="105"/>
        </w:rPr>
        <w:t>como</w:t>
      </w:r>
      <w:r>
        <w:rPr>
          <w:color w:val="231F20"/>
          <w:spacing w:val="-21"/>
          <w:w w:val="105"/>
        </w:rPr>
        <w:t> </w:t>
      </w:r>
      <w:r>
        <w:rPr>
          <w:color w:val="231F20"/>
          <w:w w:val="105"/>
        </w:rPr>
        <w:t>nación</w:t>
      </w:r>
      <w:r>
        <w:rPr>
          <w:color w:val="231F20"/>
          <w:spacing w:val="-21"/>
          <w:w w:val="105"/>
        </w:rPr>
        <w:t> </w:t>
      </w:r>
      <w:r>
        <w:rPr>
          <w:color w:val="231F20"/>
          <w:w w:val="105"/>
        </w:rPr>
        <w:t>(Aranda,</w:t>
      </w:r>
      <w:r>
        <w:rPr>
          <w:color w:val="231F20"/>
          <w:spacing w:val="-25"/>
          <w:w w:val="105"/>
        </w:rPr>
        <w:t> </w:t>
      </w:r>
      <w:r>
        <w:rPr>
          <w:color w:val="231F20"/>
          <w:w w:val="105"/>
        </w:rPr>
        <w:t>2006).</w:t>
      </w:r>
    </w:p>
    <w:p>
      <w:pPr>
        <w:pStyle w:val="BodyText"/>
        <w:spacing w:line="261" w:lineRule="auto" w:before="1"/>
        <w:ind w:left="1837" w:right="1721" w:firstLine="567"/>
        <w:jc w:val="both"/>
      </w:pPr>
      <w:r>
        <w:rPr>
          <w:color w:val="231F20"/>
          <w:w w:val="105"/>
        </w:rPr>
        <w:t>A manera de ejemplo, el artículo primero de esta declaración</w:t>
      </w:r>
      <w:r>
        <w:rPr>
          <w:color w:val="231F20"/>
          <w:spacing w:val="-25"/>
          <w:w w:val="105"/>
        </w:rPr>
        <w:t> </w:t>
      </w:r>
      <w:r>
        <w:rPr>
          <w:color w:val="231F20"/>
          <w:w w:val="105"/>
        </w:rPr>
        <w:t>afir- ma que “todos los seres humanos nacen libres e iguales en dignidad y derechos </w:t>
      </w:r>
      <w:r>
        <w:rPr>
          <w:color w:val="231F20"/>
          <w:spacing w:val="-4"/>
          <w:w w:val="105"/>
        </w:rPr>
        <w:t>y, </w:t>
      </w:r>
      <w:r>
        <w:rPr>
          <w:color w:val="231F20"/>
          <w:w w:val="105"/>
        </w:rPr>
        <w:t>dotados como están de razón y conciencia,</w:t>
      </w:r>
      <w:r>
        <w:rPr>
          <w:color w:val="231F20"/>
          <w:spacing w:val="-41"/>
          <w:w w:val="105"/>
        </w:rPr>
        <w:t> </w:t>
      </w:r>
      <w:r>
        <w:rPr>
          <w:color w:val="231F20"/>
          <w:w w:val="105"/>
        </w:rPr>
        <w:t>deben compor- tarse fraternalmente los unos con los </w:t>
      </w:r>
      <w:r>
        <w:rPr>
          <w:color w:val="231F20"/>
          <w:spacing w:val="-5"/>
          <w:w w:val="105"/>
        </w:rPr>
        <w:t>otros”. </w:t>
      </w:r>
      <w:r>
        <w:rPr>
          <w:color w:val="231F20"/>
          <w:w w:val="105"/>
        </w:rPr>
        <w:t>En otros términos, puede decirse que el reconocimiento mutuo que acerca a las personas por su dignidad y derechos es un punto de partida para avanzar y consolidar una</w:t>
      </w:r>
      <w:r>
        <w:rPr>
          <w:color w:val="231F20"/>
          <w:spacing w:val="-16"/>
          <w:w w:val="105"/>
        </w:rPr>
        <w:t> </w:t>
      </w:r>
      <w:r>
        <w:rPr>
          <w:color w:val="231F20"/>
          <w:w w:val="105"/>
        </w:rPr>
        <w:t>cultura</w:t>
      </w:r>
      <w:r>
        <w:rPr>
          <w:color w:val="231F20"/>
          <w:spacing w:val="-16"/>
          <w:w w:val="105"/>
        </w:rPr>
        <w:t> </w:t>
      </w:r>
      <w:r>
        <w:rPr>
          <w:color w:val="231F20"/>
          <w:w w:val="105"/>
        </w:rPr>
        <w:t>y</w:t>
      </w:r>
      <w:r>
        <w:rPr>
          <w:color w:val="231F20"/>
          <w:spacing w:val="-16"/>
          <w:w w:val="105"/>
        </w:rPr>
        <w:t> </w:t>
      </w:r>
      <w:r>
        <w:rPr>
          <w:color w:val="231F20"/>
          <w:w w:val="105"/>
        </w:rPr>
        <w:t>un</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derecho.</w:t>
      </w:r>
    </w:p>
    <w:p>
      <w:pPr>
        <w:pStyle w:val="BodyText"/>
        <w:spacing w:line="261" w:lineRule="auto" w:before="1"/>
        <w:ind w:left="1837" w:right="1721" w:firstLine="567"/>
        <w:jc w:val="both"/>
      </w:pPr>
      <w:r>
        <w:rPr/>
        <w:pict>
          <v:line style="position:absolute;mso-position-horizontal-relative:page;mso-position-vertical-relative:paragraph;z-index:-487480" from="15pt,129.355896pt" to="0pt,129.355896pt" stroked="true" strokeweight=".25pt" strokecolor="#000000">
            <w10:wrap type="none"/>
          </v:line>
        </w:pict>
      </w:r>
      <w:r>
        <w:rPr/>
        <w:pict>
          <v:line style="position:absolute;mso-position-horizontal-relative:page;mso-position-vertical-relative:paragraph;z-index:2728" from="508.890015pt,129.355896pt" to="523.890015pt,129.355896pt" stroked="true" strokeweight=".25pt" strokecolor="#000000">
            <w10:wrap type="none"/>
          </v:line>
        </w:pict>
      </w:r>
      <w:r>
        <w:rPr>
          <w:color w:val="231F20"/>
          <w:w w:val="105"/>
        </w:rPr>
        <w:t>El</w:t>
      </w:r>
      <w:r>
        <w:rPr>
          <w:color w:val="231F20"/>
          <w:spacing w:val="-6"/>
          <w:w w:val="105"/>
        </w:rPr>
        <w:t> </w:t>
      </w:r>
      <w:r>
        <w:rPr>
          <w:color w:val="231F20"/>
          <w:w w:val="105"/>
        </w:rPr>
        <w:t>artículo</w:t>
      </w:r>
      <w:r>
        <w:rPr>
          <w:color w:val="231F20"/>
          <w:spacing w:val="-6"/>
          <w:w w:val="105"/>
        </w:rPr>
        <w:t> </w:t>
      </w:r>
      <w:r>
        <w:rPr>
          <w:color w:val="231F20"/>
          <w:w w:val="105"/>
        </w:rPr>
        <w:t>segundo,</w:t>
      </w:r>
      <w:r>
        <w:rPr>
          <w:color w:val="231F20"/>
          <w:spacing w:val="-13"/>
          <w:w w:val="105"/>
        </w:rPr>
        <w:t> </w:t>
      </w:r>
      <w:r>
        <w:rPr>
          <w:color w:val="231F20"/>
          <w:w w:val="105"/>
        </w:rPr>
        <w:t>proclama</w:t>
      </w:r>
      <w:r>
        <w:rPr>
          <w:color w:val="231F20"/>
          <w:spacing w:val="-6"/>
          <w:w w:val="105"/>
        </w:rPr>
        <w:t> </w:t>
      </w:r>
      <w:r>
        <w:rPr>
          <w:color w:val="231F20"/>
          <w:w w:val="105"/>
        </w:rPr>
        <w:t>el</w:t>
      </w:r>
      <w:r>
        <w:rPr>
          <w:color w:val="231F20"/>
          <w:spacing w:val="-6"/>
          <w:w w:val="105"/>
        </w:rPr>
        <w:t> </w:t>
      </w:r>
      <w:r>
        <w:rPr>
          <w:color w:val="231F20"/>
          <w:w w:val="105"/>
        </w:rPr>
        <w:t>principio</w:t>
      </w:r>
      <w:r>
        <w:rPr>
          <w:color w:val="231F20"/>
          <w:spacing w:val="-6"/>
          <w:w w:val="105"/>
        </w:rPr>
        <w:t> </w:t>
      </w:r>
      <w:r>
        <w:rPr>
          <w:color w:val="231F20"/>
          <w:w w:val="105"/>
        </w:rPr>
        <w:t>de</w:t>
      </w:r>
      <w:r>
        <w:rPr>
          <w:color w:val="231F20"/>
          <w:spacing w:val="-6"/>
          <w:w w:val="105"/>
        </w:rPr>
        <w:t> </w:t>
      </w:r>
      <w:r>
        <w:rPr>
          <w:color w:val="231F20"/>
          <w:w w:val="105"/>
        </w:rPr>
        <w:t>igualdad</w:t>
      </w:r>
      <w:r>
        <w:rPr>
          <w:color w:val="231F20"/>
          <w:spacing w:val="-6"/>
          <w:w w:val="105"/>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no</w:t>
      </w:r>
      <w:r>
        <w:rPr>
          <w:color w:val="231F20"/>
          <w:spacing w:val="-6"/>
          <w:w w:val="105"/>
        </w:rPr>
        <w:t> </w:t>
      </w:r>
      <w:r>
        <w:rPr>
          <w:color w:val="231F20"/>
          <w:w w:val="105"/>
        </w:rPr>
        <w:t>dis- criminación en el disfrute de los derechos humanos y libertades funda- mentales.</w:t>
      </w:r>
      <w:r>
        <w:rPr>
          <w:color w:val="231F20"/>
          <w:spacing w:val="-18"/>
          <w:w w:val="105"/>
        </w:rPr>
        <w:t> </w:t>
      </w:r>
      <w:r>
        <w:rPr>
          <w:color w:val="231F20"/>
          <w:w w:val="105"/>
        </w:rPr>
        <w:t>Esto</w:t>
      </w:r>
      <w:r>
        <w:rPr>
          <w:color w:val="231F20"/>
          <w:spacing w:val="-13"/>
          <w:w w:val="105"/>
        </w:rPr>
        <w:t> </w:t>
      </w:r>
      <w:r>
        <w:rPr>
          <w:color w:val="231F20"/>
          <w:w w:val="105"/>
        </w:rPr>
        <w:t>supone</w:t>
      </w:r>
      <w:r>
        <w:rPr>
          <w:color w:val="231F20"/>
          <w:spacing w:val="-13"/>
          <w:w w:val="105"/>
        </w:rPr>
        <w:t> </w:t>
      </w:r>
      <w:r>
        <w:rPr>
          <w:color w:val="231F20"/>
          <w:w w:val="105"/>
        </w:rPr>
        <w:t>que</w:t>
      </w:r>
      <w:r>
        <w:rPr>
          <w:color w:val="231F20"/>
          <w:spacing w:val="-13"/>
          <w:w w:val="105"/>
        </w:rPr>
        <w:t> </w:t>
      </w:r>
      <w:r>
        <w:rPr>
          <w:color w:val="231F20"/>
          <w:w w:val="105"/>
        </w:rPr>
        <w:t>por</w:t>
      </w:r>
      <w:r>
        <w:rPr>
          <w:color w:val="231F20"/>
          <w:spacing w:val="-13"/>
          <w:w w:val="105"/>
        </w:rPr>
        <w:t> </w:t>
      </w:r>
      <w:r>
        <w:rPr>
          <w:color w:val="231F20"/>
          <w:w w:val="105"/>
        </w:rPr>
        <w:t>ningún</w:t>
      </w:r>
      <w:r>
        <w:rPr>
          <w:color w:val="231F20"/>
          <w:spacing w:val="-13"/>
          <w:w w:val="105"/>
        </w:rPr>
        <w:t> </w:t>
      </w:r>
      <w:r>
        <w:rPr>
          <w:color w:val="231F20"/>
          <w:w w:val="105"/>
        </w:rPr>
        <w:t>motivo</w:t>
      </w:r>
      <w:r>
        <w:rPr>
          <w:color w:val="231F20"/>
          <w:spacing w:val="-13"/>
          <w:w w:val="105"/>
        </w:rPr>
        <w:t> </w:t>
      </w:r>
      <w:r>
        <w:rPr>
          <w:color w:val="231F20"/>
          <w:w w:val="105"/>
        </w:rPr>
        <w:t>se</w:t>
      </w:r>
      <w:r>
        <w:rPr>
          <w:color w:val="231F20"/>
          <w:spacing w:val="-13"/>
          <w:w w:val="105"/>
        </w:rPr>
        <w:t> </w:t>
      </w:r>
      <w:r>
        <w:rPr>
          <w:color w:val="231F20"/>
          <w:w w:val="105"/>
        </w:rPr>
        <w:t>discriminará</w:t>
      </w:r>
      <w:r>
        <w:rPr>
          <w:color w:val="231F20"/>
          <w:spacing w:val="-13"/>
          <w:w w:val="105"/>
        </w:rPr>
        <w:t> </w:t>
      </w:r>
      <w:r>
        <w:rPr>
          <w:color w:val="231F20"/>
          <w:w w:val="105"/>
        </w:rPr>
        <w:t>a</w:t>
      </w:r>
      <w:r>
        <w:rPr>
          <w:color w:val="231F20"/>
          <w:spacing w:val="-13"/>
          <w:w w:val="105"/>
        </w:rPr>
        <w:t> </w:t>
      </w:r>
      <w:r>
        <w:rPr>
          <w:color w:val="231F20"/>
          <w:w w:val="105"/>
        </w:rPr>
        <w:t>ninguna persona por argumentos relacionados con la condición política,</w:t>
      </w:r>
      <w:r>
        <w:rPr>
          <w:color w:val="231F20"/>
          <w:spacing w:val="-5"/>
          <w:w w:val="105"/>
        </w:rPr>
        <w:t> </w:t>
      </w:r>
      <w:r>
        <w:rPr>
          <w:color w:val="231F20"/>
          <w:w w:val="105"/>
        </w:rPr>
        <w:t>jurídica</w:t>
      </w:r>
    </w:p>
    <w:p>
      <w:pPr>
        <w:spacing w:after="0" w:line="261" w:lineRule="auto"/>
        <w:jc w:val="both"/>
        <w:sectPr>
          <w:headerReference w:type="default" r:id="rId34"/>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2776" from="15pt,-71.68644pt" to="0pt,-71.68644pt" stroked="true" strokeweight=".25pt" strokecolor="#000000">
            <w10:wrap type="none"/>
          </v:line>
        </w:pict>
      </w:r>
      <w:r>
        <w:rPr/>
        <w:pict>
          <v:line style="position:absolute;mso-position-horizontal-relative:page;mso-position-vertical-relative:paragraph;z-index:2800" from="508.890015pt,-71.68644pt" to="523.890015pt,-71.68644pt" stroked="true" strokeweight=".25pt" strokecolor="#000000">
            <w10:wrap type="none"/>
          </v:line>
        </w:pict>
      </w:r>
      <w:r>
        <w:rPr>
          <w:color w:val="231F20"/>
          <w:w w:val="105"/>
        </w:rPr>
        <w:t>o</w:t>
      </w:r>
      <w:r>
        <w:rPr>
          <w:color w:val="231F20"/>
          <w:spacing w:val="-23"/>
          <w:w w:val="105"/>
        </w:rPr>
        <w:t> </w:t>
      </w:r>
      <w:r>
        <w:rPr>
          <w:color w:val="231F20"/>
          <w:w w:val="105"/>
        </w:rPr>
        <w:t>internacional</w:t>
      </w:r>
      <w:r>
        <w:rPr>
          <w:color w:val="231F20"/>
          <w:spacing w:val="-23"/>
          <w:w w:val="105"/>
        </w:rPr>
        <w:t> </w:t>
      </w:r>
      <w:r>
        <w:rPr>
          <w:color w:val="231F20"/>
          <w:w w:val="105"/>
        </w:rPr>
        <w:t>del</w:t>
      </w:r>
      <w:r>
        <w:rPr>
          <w:color w:val="231F20"/>
          <w:spacing w:val="-23"/>
          <w:w w:val="105"/>
        </w:rPr>
        <w:t> </w:t>
      </w:r>
      <w:r>
        <w:rPr>
          <w:color w:val="231F20"/>
          <w:w w:val="105"/>
        </w:rPr>
        <w:t>país</w:t>
      </w:r>
      <w:r>
        <w:rPr>
          <w:color w:val="231F20"/>
          <w:spacing w:val="-23"/>
          <w:w w:val="105"/>
        </w:rPr>
        <w:t> </w:t>
      </w:r>
      <w:r>
        <w:rPr>
          <w:color w:val="231F20"/>
          <w:w w:val="105"/>
        </w:rPr>
        <w:t>o</w:t>
      </w:r>
      <w:r>
        <w:rPr>
          <w:color w:val="231F20"/>
          <w:spacing w:val="-23"/>
          <w:w w:val="105"/>
        </w:rPr>
        <w:t> </w:t>
      </w:r>
      <w:r>
        <w:rPr>
          <w:color w:val="231F20"/>
          <w:w w:val="105"/>
        </w:rPr>
        <w:t>territorio</w:t>
      </w:r>
      <w:r>
        <w:rPr>
          <w:color w:val="231F20"/>
          <w:spacing w:val="-23"/>
          <w:w w:val="105"/>
        </w:rPr>
        <w:t> </w:t>
      </w:r>
      <w:r>
        <w:rPr>
          <w:color w:val="231F20"/>
          <w:w w:val="105"/>
        </w:rPr>
        <w:t>de</w:t>
      </w:r>
      <w:r>
        <w:rPr>
          <w:color w:val="231F20"/>
          <w:spacing w:val="-23"/>
          <w:w w:val="105"/>
        </w:rPr>
        <w:t> </w:t>
      </w:r>
      <w:r>
        <w:rPr>
          <w:color w:val="231F20"/>
          <w:w w:val="105"/>
        </w:rPr>
        <w:t>cuya</w:t>
      </w:r>
      <w:r>
        <w:rPr>
          <w:color w:val="231F20"/>
          <w:spacing w:val="-23"/>
          <w:w w:val="105"/>
        </w:rPr>
        <w:t> </w:t>
      </w:r>
      <w:r>
        <w:rPr>
          <w:color w:val="231F20"/>
          <w:w w:val="105"/>
        </w:rPr>
        <w:t>jurisdicción</w:t>
      </w:r>
      <w:r>
        <w:rPr>
          <w:color w:val="231F20"/>
          <w:spacing w:val="-23"/>
          <w:w w:val="105"/>
        </w:rPr>
        <w:t> </w:t>
      </w:r>
      <w:r>
        <w:rPr>
          <w:color w:val="231F20"/>
          <w:w w:val="105"/>
        </w:rPr>
        <w:t>dependa</w:t>
      </w:r>
      <w:r>
        <w:rPr>
          <w:color w:val="231F20"/>
          <w:spacing w:val="-23"/>
          <w:w w:val="105"/>
        </w:rPr>
        <w:t> </w:t>
      </w:r>
      <w:r>
        <w:rPr>
          <w:color w:val="231F20"/>
          <w:w w:val="105"/>
        </w:rPr>
        <w:t>(Chávez, 2005).</w:t>
      </w:r>
      <w:r>
        <w:rPr>
          <w:color w:val="231F20"/>
          <w:spacing w:val="-21"/>
          <w:w w:val="105"/>
        </w:rPr>
        <w:t> </w:t>
      </w:r>
      <w:r>
        <w:rPr>
          <w:color w:val="231F20"/>
          <w:w w:val="105"/>
        </w:rPr>
        <w:t>En</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respecta</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migrante,</w:t>
      </w:r>
      <w:r>
        <w:rPr>
          <w:color w:val="231F20"/>
          <w:spacing w:val="-21"/>
          <w:w w:val="105"/>
        </w:rPr>
        <w:t> </w:t>
      </w:r>
      <w:r>
        <w:rPr>
          <w:color w:val="231F20"/>
          <w:w w:val="105"/>
        </w:rPr>
        <w:t>la</w:t>
      </w:r>
      <w:r>
        <w:rPr>
          <w:color w:val="231F20"/>
          <w:spacing w:val="-16"/>
          <w:w w:val="105"/>
        </w:rPr>
        <w:t> </w:t>
      </w:r>
      <w:r>
        <w:rPr>
          <w:color w:val="231F20"/>
          <w:w w:val="105"/>
        </w:rPr>
        <w:t>misma</w:t>
      </w:r>
      <w:r>
        <w:rPr>
          <w:color w:val="231F20"/>
          <w:spacing w:val="-16"/>
          <w:w w:val="105"/>
        </w:rPr>
        <w:t> </w:t>
      </w:r>
      <w:r>
        <w:rPr>
          <w:color w:val="231F20"/>
          <w:w w:val="105"/>
        </w:rPr>
        <w:t>declaración, en sus artículos del tercero al veintiuno, hace referencia a los</w:t>
      </w:r>
      <w:r>
        <w:rPr>
          <w:color w:val="231F20"/>
          <w:spacing w:val="-17"/>
          <w:w w:val="105"/>
        </w:rPr>
        <w:t> </w:t>
      </w:r>
      <w:r>
        <w:rPr>
          <w:color w:val="231F20"/>
          <w:w w:val="105"/>
        </w:rPr>
        <w:t>derechos civiles y políticos que estos tienen por el simple hecho de ser personas </w:t>
      </w:r>
      <w:r>
        <w:rPr>
          <w:color w:val="231F20"/>
        </w:rPr>
        <w:t>(Aranda,</w:t>
      </w:r>
      <w:r>
        <w:rPr>
          <w:color w:val="231F20"/>
          <w:spacing w:val="11"/>
        </w:rPr>
        <w:t> </w:t>
      </w:r>
      <w:r>
        <w:rPr>
          <w:color w:val="231F20"/>
        </w:rPr>
        <w:t>2006).</w:t>
      </w:r>
    </w:p>
    <w:p>
      <w:pPr>
        <w:pStyle w:val="BodyText"/>
        <w:spacing w:line="261" w:lineRule="auto" w:before="1"/>
        <w:ind w:left="1723" w:right="1834" w:firstLine="567"/>
        <w:jc w:val="both"/>
      </w:pPr>
      <w:r>
        <w:rPr>
          <w:color w:val="231F20"/>
          <w:spacing w:val="-6"/>
          <w:w w:val="105"/>
        </w:rPr>
        <w:t>Por</w:t>
      </w:r>
      <w:r>
        <w:rPr>
          <w:color w:val="231F20"/>
          <w:spacing w:val="-30"/>
          <w:w w:val="105"/>
        </w:rPr>
        <w:t> </w:t>
      </w:r>
      <w:r>
        <w:rPr>
          <w:color w:val="231F20"/>
          <w:w w:val="105"/>
        </w:rPr>
        <w:t>su</w:t>
      </w:r>
      <w:r>
        <w:rPr>
          <w:color w:val="231F20"/>
          <w:spacing w:val="-30"/>
          <w:w w:val="105"/>
        </w:rPr>
        <w:t> </w:t>
      </w:r>
      <w:r>
        <w:rPr>
          <w:color w:val="231F20"/>
          <w:w w:val="105"/>
        </w:rPr>
        <w:t>parte,</w:t>
      </w:r>
      <w:r>
        <w:rPr>
          <w:color w:val="231F20"/>
          <w:spacing w:val="-35"/>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w w:val="105"/>
        </w:rPr>
        <w:t>Conferencia</w:t>
      </w:r>
      <w:r>
        <w:rPr>
          <w:color w:val="231F20"/>
          <w:spacing w:val="-30"/>
          <w:w w:val="105"/>
        </w:rPr>
        <w:t> </w:t>
      </w:r>
      <w:r>
        <w:rPr>
          <w:color w:val="231F20"/>
          <w:w w:val="105"/>
        </w:rPr>
        <w:t>Mundial</w:t>
      </w:r>
      <w:r>
        <w:rPr>
          <w:color w:val="231F20"/>
          <w:spacing w:val="-30"/>
          <w:w w:val="105"/>
        </w:rPr>
        <w:t> </w:t>
      </w:r>
      <w:r>
        <w:rPr>
          <w:color w:val="231F20"/>
          <w:w w:val="105"/>
        </w:rPr>
        <w:t>de</w:t>
      </w:r>
      <w:r>
        <w:rPr>
          <w:color w:val="231F20"/>
          <w:spacing w:val="-30"/>
          <w:w w:val="105"/>
        </w:rPr>
        <w:t> </w:t>
      </w:r>
      <w:r>
        <w:rPr>
          <w:color w:val="231F20"/>
          <w:w w:val="105"/>
        </w:rPr>
        <w:t>Derechos</w:t>
      </w:r>
      <w:r>
        <w:rPr>
          <w:color w:val="231F20"/>
          <w:spacing w:val="-30"/>
          <w:w w:val="105"/>
        </w:rPr>
        <w:t> </w:t>
      </w:r>
      <w:r>
        <w:rPr>
          <w:color w:val="231F20"/>
          <w:w w:val="105"/>
        </w:rPr>
        <w:t>Humanos</w:t>
      </w:r>
      <w:r>
        <w:rPr>
          <w:color w:val="231F20"/>
          <w:spacing w:val="-30"/>
          <w:w w:val="105"/>
        </w:rPr>
        <w:t> </w:t>
      </w:r>
      <w:r>
        <w:rPr>
          <w:color w:val="231F20"/>
          <w:w w:val="105"/>
        </w:rPr>
        <w:t>(De- claración</w:t>
      </w:r>
      <w:r>
        <w:rPr>
          <w:color w:val="231F20"/>
          <w:spacing w:val="-23"/>
          <w:w w:val="105"/>
        </w:rPr>
        <w:t> </w:t>
      </w:r>
      <w:r>
        <w:rPr>
          <w:color w:val="231F20"/>
          <w:w w:val="105"/>
        </w:rPr>
        <w:t>de</w:t>
      </w:r>
      <w:r>
        <w:rPr>
          <w:color w:val="231F20"/>
          <w:spacing w:val="-26"/>
          <w:w w:val="105"/>
        </w:rPr>
        <w:t> </w:t>
      </w:r>
      <w:r>
        <w:rPr>
          <w:color w:val="231F20"/>
          <w:w w:val="105"/>
        </w:rPr>
        <w:t>Viena</w:t>
      </w:r>
      <w:r>
        <w:rPr>
          <w:color w:val="231F20"/>
          <w:spacing w:val="-23"/>
          <w:w w:val="105"/>
        </w:rPr>
        <w:t> </w:t>
      </w:r>
      <w:r>
        <w:rPr>
          <w:color w:val="231F20"/>
          <w:w w:val="105"/>
        </w:rPr>
        <w:t>de</w:t>
      </w:r>
      <w:r>
        <w:rPr>
          <w:color w:val="231F20"/>
          <w:spacing w:val="-23"/>
          <w:w w:val="105"/>
        </w:rPr>
        <w:t> </w:t>
      </w:r>
      <w:r>
        <w:rPr>
          <w:color w:val="231F20"/>
          <w:w w:val="105"/>
        </w:rPr>
        <w:t>1993)</w:t>
      </w:r>
      <w:r>
        <w:rPr>
          <w:color w:val="231F20"/>
          <w:spacing w:val="-23"/>
          <w:w w:val="105"/>
        </w:rPr>
        <w:t> </w:t>
      </w:r>
      <w:r>
        <w:rPr>
          <w:color w:val="231F20"/>
          <w:w w:val="105"/>
        </w:rPr>
        <w:t>se</w:t>
      </w:r>
      <w:r>
        <w:rPr>
          <w:color w:val="231F20"/>
          <w:spacing w:val="-23"/>
          <w:w w:val="105"/>
        </w:rPr>
        <w:t> </w:t>
      </w:r>
      <w:r>
        <w:rPr>
          <w:color w:val="231F20"/>
          <w:w w:val="105"/>
        </w:rPr>
        <w:t>reafirma</w:t>
      </w:r>
      <w:r>
        <w:rPr>
          <w:color w:val="231F20"/>
          <w:spacing w:val="-23"/>
          <w:w w:val="105"/>
        </w:rPr>
        <w:t> </w:t>
      </w:r>
      <w:r>
        <w:rPr>
          <w:color w:val="231F20"/>
          <w:w w:val="105"/>
        </w:rPr>
        <w:t>la</w:t>
      </w:r>
      <w:r>
        <w:rPr>
          <w:color w:val="231F20"/>
          <w:spacing w:val="-23"/>
          <w:w w:val="105"/>
        </w:rPr>
        <w:t> </w:t>
      </w:r>
      <w:r>
        <w:rPr>
          <w:color w:val="231F20"/>
          <w:w w:val="105"/>
        </w:rPr>
        <w:t>obligación</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Estados</w:t>
      </w:r>
      <w:r>
        <w:rPr>
          <w:color w:val="231F20"/>
          <w:spacing w:val="-23"/>
          <w:w w:val="105"/>
        </w:rPr>
        <w:t> </w:t>
      </w:r>
      <w:r>
        <w:rPr>
          <w:color w:val="231F20"/>
          <w:w w:val="105"/>
        </w:rPr>
        <w:t>para adoptar</w:t>
      </w:r>
      <w:r>
        <w:rPr>
          <w:color w:val="231F20"/>
          <w:spacing w:val="-9"/>
          <w:w w:val="105"/>
        </w:rPr>
        <w:t> </w:t>
      </w:r>
      <w:r>
        <w:rPr>
          <w:color w:val="231F20"/>
          <w:w w:val="105"/>
        </w:rPr>
        <w:t>medidas</w:t>
      </w:r>
      <w:r>
        <w:rPr>
          <w:color w:val="231F20"/>
          <w:spacing w:val="-9"/>
          <w:w w:val="105"/>
        </w:rPr>
        <w:t> </w:t>
      </w:r>
      <w:r>
        <w:rPr>
          <w:color w:val="231F20"/>
          <w:w w:val="105"/>
        </w:rPr>
        <w:t>que</w:t>
      </w:r>
      <w:r>
        <w:rPr>
          <w:color w:val="231F20"/>
          <w:spacing w:val="-9"/>
          <w:w w:val="105"/>
        </w:rPr>
        <w:t> </w:t>
      </w:r>
      <w:r>
        <w:rPr>
          <w:color w:val="231F20"/>
          <w:w w:val="105"/>
        </w:rPr>
        <w:t>garanticen</w:t>
      </w:r>
      <w:r>
        <w:rPr>
          <w:color w:val="231F20"/>
          <w:spacing w:val="-9"/>
          <w:w w:val="105"/>
        </w:rPr>
        <w:t> </w:t>
      </w:r>
      <w:r>
        <w:rPr>
          <w:color w:val="231F20"/>
          <w:w w:val="105"/>
        </w:rPr>
        <w:t>el</w:t>
      </w:r>
      <w:r>
        <w:rPr>
          <w:color w:val="231F20"/>
          <w:spacing w:val="-9"/>
          <w:w w:val="105"/>
        </w:rPr>
        <w:t> </w:t>
      </w:r>
      <w:r>
        <w:rPr>
          <w:color w:val="231F20"/>
          <w:w w:val="105"/>
        </w:rPr>
        <w:t>respeto</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derechos</w:t>
      </w:r>
      <w:r>
        <w:rPr>
          <w:color w:val="231F20"/>
          <w:spacing w:val="-9"/>
          <w:w w:val="105"/>
        </w:rPr>
        <w:t> </w:t>
      </w:r>
      <w:r>
        <w:rPr>
          <w:color w:val="231F20"/>
          <w:w w:val="105"/>
        </w:rPr>
        <w:t>relacionados con la educación y participación social de los grupos vulnerables,</w:t>
      </w:r>
      <w:r>
        <w:rPr>
          <w:color w:val="231F20"/>
          <w:spacing w:val="-27"/>
          <w:w w:val="105"/>
        </w:rPr>
        <w:t> </w:t>
      </w:r>
      <w:r>
        <w:rPr>
          <w:color w:val="231F20"/>
          <w:w w:val="105"/>
        </w:rPr>
        <w:t>entre los</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encuentran</w:t>
      </w:r>
      <w:r>
        <w:rPr>
          <w:color w:val="231F20"/>
          <w:spacing w:val="-17"/>
          <w:w w:val="105"/>
        </w:rPr>
        <w:t> </w:t>
      </w:r>
      <w:r>
        <w:rPr>
          <w:color w:val="231F20"/>
          <w:w w:val="105"/>
        </w:rPr>
        <w:t>los</w:t>
      </w:r>
      <w:r>
        <w:rPr>
          <w:color w:val="231F20"/>
          <w:spacing w:val="-17"/>
          <w:w w:val="105"/>
        </w:rPr>
        <w:t> </w:t>
      </w:r>
      <w:r>
        <w:rPr>
          <w:color w:val="231F20"/>
          <w:w w:val="105"/>
        </w:rPr>
        <w:t>trabajadores</w:t>
      </w:r>
      <w:r>
        <w:rPr>
          <w:color w:val="231F20"/>
          <w:spacing w:val="-17"/>
          <w:w w:val="105"/>
        </w:rPr>
        <w:t> </w:t>
      </w:r>
      <w:r>
        <w:rPr>
          <w:color w:val="231F20"/>
          <w:w w:val="105"/>
        </w:rPr>
        <w:t>migratorios:</w:t>
      </w:r>
    </w:p>
    <w:p>
      <w:pPr>
        <w:pStyle w:val="BodyText"/>
        <w:spacing w:before="7"/>
        <w:rPr>
          <w:sz w:val="18"/>
        </w:rPr>
      </w:pPr>
    </w:p>
    <w:p>
      <w:pPr>
        <w:spacing w:line="254" w:lineRule="auto" w:before="1"/>
        <w:ind w:left="2857" w:right="1834" w:firstLine="0"/>
        <w:jc w:val="both"/>
        <w:rPr>
          <w:sz w:val="18"/>
        </w:rPr>
      </w:pPr>
      <w:r>
        <w:rPr>
          <w:color w:val="231F20"/>
          <w:w w:val="105"/>
          <w:sz w:val="18"/>
        </w:rPr>
        <w:t>Debe darse gran importancia a la promoción y protección de los de- rechos</w:t>
      </w:r>
      <w:r>
        <w:rPr>
          <w:color w:val="231F20"/>
          <w:spacing w:val="-13"/>
          <w:w w:val="105"/>
          <w:sz w:val="18"/>
        </w:rPr>
        <w:t> </w:t>
      </w:r>
      <w:r>
        <w:rPr>
          <w:color w:val="231F20"/>
          <w:w w:val="105"/>
          <w:sz w:val="18"/>
        </w:rPr>
        <w:t>humanos</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las</w:t>
      </w:r>
      <w:r>
        <w:rPr>
          <w:color w:val="231F20"/>
          <w:spacing w:val="-13"/>
          <w:w w:val="105"/>
          <w:sz w:val="18"/>
        </w:rPr>
        <w:t> </w:t>
      </w:r>
      <w:r>
        <w:rPr>
          <w:color w:val="231F20"/>
          <w:w w:val="105"/>
          <w:sz w:val="18"/>
        </w:rPr>
        <w:t>personas</w:t>
      </w:r>
      <w:r>
        <w:rPr>
          <w:color w:val="231F20"/>
          <w:spacing w:val="-13"/>
          <w:w w:val="105"/>
          <w:sz w:val="18"/>
        </w:rPr>
        <w:t> </w:t>
      </w:r>
      <w:r>
        <w:rPr>
          <w:color w:val="231F20"/>
          <w:w w:val="105"/>
          <w:sz w:val="18"/>
        </w:rPr>
        <w:t>pertenecientes</w:t>
      </w:r>
      <w:r>
        <w:rPr>
          <w:color w:val="231F20"/>
          <w:spacing w:val="-13"/>
          <w:w w:val="105"/>
          <w:sz w:val="18"/>
        </w:rPr>
        <w:t> </w:t>
      </w:r>
      <w:r>
        <w:rPr>
          <w:color w:val="231F20"/>
          <w:w w:val="105"/>
          <w:sz w:val="18"/>
        </w:rPr>
        <w:t>a</w:t>
      </w:r>
      <w:r>
        <w:rPr>
          <w:color w:val="231F20"/>
          <w:spacing w:val="-13"/>
          <w:w w:val="105"/>
          <w:sz w:val="18"/>
        </w:rPr>
        <w:t> </w:t>
      </w:r>
      <w:r>
        <w:rPr>
          <w:color w:val="231F20"/>
          <w:w w:val="105"/>
          <w:sz w:val="18"/>
        </w:rPr>
        <w:t>grupos</w:t>
      </w:r>
      <w:r>
        <w:rPr>
          <w:color w:val="231F20"/>
          <w:spacing w:val="-13"/>
          <w:w w:val="105"/>
          <w:sz w:val="18"/>
        </w:rPr>
        <w:t> </w:t>
      </w:r>
      <w:r>
        <w:rPr>
          <w:color w:val="231F20"/>
          <w:w w:val="105"/>
          <w:sz w:val="18"/>
        </w:rPr>
        <w:t>que</w:t>
      </w:r>
      <w:r>
        <w:rPr>
          <w:color w:val="231F20"/>
          <w:spacing w:val="-13"/>
          <w:w w:val="105"/>
          <w:sz w:val="18"/>
        </w:rPr>
        <w:t> </w:t>
      </w:r>
      <w:r>
        <w:rPr>
          <w:color w:val="231F20"/>
          <w:w w:val="105"/>
          <w:sz w:val="18"/>
        </w:rPr>
        <w:t>han</w:t>
      </w:r>
      <w:r>
        <w:rPr>
          <w:color w:val="231F20"/>
          <w:spacing w:val="-13"/>
          <w:w w:val="105"/>
          <w:sz w:val="18"/>
        </w:rPr>
        <w:t> </w:t>
      </w:r>
      <w:r>
        <w:rPr>
          <w:color w:val="231F20"/>
          <w:w w:val="105"/>
          <w:sz w:val="18"/>
        </w:rPr>
        <w:t>pa- sado</w:t>
      </w:r>
      <w:r>
        <w:rPr>
          <w:color w:val="231F20"/>
          <w:spacing w:val="-5"/>
          <w:w w:val="105"/>
          <w:sz w:val="18"/>
        </w:rPr>
        <w:t> </w:t>
      </w:r>
      <w:r>
        <w:rPr>
          <w:color w:val="231F20"/>
          <w:w w:val="105"/>
          <w:sz w:val="18"/>
        </w:rPr>
        <w:t>a</w:t>
      </w:r>
      <w:r>
        <w:rPr>
          <w:color w:val="231F20"/>
          <w:spacing w:val="-5"/>
          <w:w w:val="105"/>
          <w:sz w:val="18"/>
        </w:rPr>
        <w:t> </w:t>
      </w:r>
      <w:r>
        <w:rPr>
          <w:color w:val="231F20"/>
          <w:w w:val="105"/>
          <w:sz w:val="18"/>
        </w:rPr>
        <w:t>ser</w:t>
      </w:r>
      <w:r>
        <w:rPr>
          <w:color w:val="231F20"/>
          <w:spacing w:val="-5"/>
          <w:w w:val="105"/>
          <w:sz w:val="18"/>
        </w:rPr>
        <w:t> </w:t>
      </w:r>
      <w:r>
        <w:rPr>
          <w:color w:val="231F20"/>
          <w:w w:val="105"/>
          <w:sz w:val="18"/>
        </w:rPr>
        <w:t>vulnerables,</w:t>
      </w:r>
      <w:r>
        <w:rPr>
          <w:color w:val="231F20"/>
          <w:spacing w:val="-9"/>
          <w:w w:val="105"/>
          <w:sz w:val="18"/>
        </w:rPr>
        <w:t> </w:t>
      </w:r>
      <w:r>
        <w:rPr>
          <w:color w:val="231F20"/>
          <w:w w:val="105"/>
          <w:sz w:val="18"/>
        </w:rPr>
        <w:t>en</w:t>
      </w:r>
      <w:r>
        <w:rPr>
          <w:color w:val="231F20"/>
          <w:spacing w:val="-5"/>
          <w:w w:val="105"/>
          <w:sz w:val="18"/>
        </w:rPr>
        <w:t> </w:t>
      </w:r>
      <w:r>
        <w:rPr>
          <w:color w:val="231F20"/>
          <w:w w:val="105"/>
          <w:sz w:val="18"/>
        </w:rPr>
        <w:t>particular</w:t>
      </w:r>
      <w:r>
        <w:rPr>
          <w:color w:val="231F20"/>
          <w:spacing w:val="-5"/>
          <w:w w:val="105"/>
          <w:sz w:val="18"/>
        </w:rPr>
        <w:t> </w:t>
      </w:r>
      <w:r>
        <w:rPr>
          <w:color w:val="231F20"/>
          <w:w w:val="105"/>
          <w:sz w:val="18"/>
        </w:rPr>
        <w:t>los</w:t>
      </w:r>
      <w:r>
        <w:rPr>
          <w:color w:val="231F20"/>
          <w:spacing w:val="-5"/>
          <w:w w:val="105"/>
          <w:sz w:val="18"/>
        </w:rPr>
        <w:t> </w:t>
      </w:r>
      <w:r>
        <w:rPr>
          <w:color w:val="231F20"/>
          <w:w w:val="105"/>
          <w:sz w:val="18"/>
        </w:rPr>
        <w:t>trabajadores</w:t>
      </w:r>
      <w:r>
        <w:rPr>
          <w:color w:val="231F20"/>
          <w:spacing w:val="-5"/>
          <w:w w:val="105"/>
          <w:sz w:val="18"/>
        </w:rPr>
        <w:t> </w:t>
      </w:r>
      <w:r>
        <w:rPr>
          <w:color w:val="231F20"/>
          <w:w w:val="105"/>
          <w:sz w:val="18"/>
        </w:rPr>
        <w:t>migratorios,</w:t>
      </w:r>
      <w:r>
        <w:rPr>
          <w:color w:val="231F20"/>
          <w:spacing w:val="-9"/>
          <w:w w:val="105"/>
          <w:sz w:val="18"/>
        </w:rPr>
        <w:t> </w:t>
      </w:r>
      <w:r>
        <w:rPr>
          <w:color w:val="231F20"/>
          <w:w w:val="105"/>
          <w:sz w:val="18"/>
        </w:rPr>
        <w:t>a</w:t>
      </w:r>
      <w:r>
        <w:rPr>
          <w:color w:val="231F20"/>
          <w:spacing w:val="-5"/>
          <w:w w:val="105"/>
          <w:sz w:val="18"/>
        </w:rPr>
        <w:t> </w:t>
      </w:r>
      <w:r>
        <w:rPr>
          <w:color w:val="231F20"/>
          <w:w w:val="105"/>
          <w:sz w:val="18"/>
        </w:rPr>
        <w:t>la eliminación</w:t>
      </w:r>
      <w:r>
        <w:rPr>
          <w:color w:val="231F20"/>
          <w:spacing w:val="-7"/>
          <w:w w:val="105"/>
          <w:sz w:val="18"/>
        </w:rPr>
        <w:t> </w:t>
      </w:r>
      <w:r>
        <w:rPr>
          <w:color w:val="231F20"/>
          <w:w w:val="105"/>
          <w:sz w:val="18"/>
        </w:rPr>
        <w:t>de</w:t>
      </w:r>
      <w:r>
        <w:rPr>
          <w:color w:val="231F20"/>
          <w:spacing w:val="-7"/>
          <w:w w:val="105"/>
          <w:sz w:val="18"/>
        </w:rPr>
        <w:t> </w:t>
      </w:r>
      <w:r>
        <w:rPr>
          <w:color w:val="231F20"/>
          <w:w w:val="105"/>
          <w:sz w:val="18"/>
        </w:rPr>
        <w:t>todas</w:t>
      </w:r>
      <w:r>
        <w:rPr>
          <w:color w:val="231F20"/>
          <w:spacing w:val="-7"/>
          <w:w w:val="105"/>
          <w:sz w:val="18"/>
        </w:rPr>
        <w:t> </w:t>
      </w:r>
      <w:r>
        <w:rPr>
          <w:color w:val="231F20"/>
          <w:w w:val="105"/>
          <w:sz w:val="18"/>
        </w:rPr>
        <w:t>las</w:t>
      </w:r>
      <w:r>
        <w:rPr>
          <w:color w:val="231F20"/>
          <w:spacing w:val="-7"/>
          <w:w w:val="105"/>
          <w:sz w:val="18"/>
        </w:rPr>
        <w:t> </w:t>
      </w:r>
      <w:r>
        <w:rPr>
          <w:color w:val="231F20"/>
          <w:w w:val="105"/>
          <w:sz w:val="18"/>
        </w:rPr>
        <w:t>formas</w:t>
      </w:r>
      <w:r>
        <w:rPr>
          <w:color w:val="231F20"/>
          <w:spacing w:val="-7"/>
          <w:w w:val="105"/>
          <w:sz w:val="18"/>
        </w:rPr>
        <w:t> </w:t>
      </w:r>
      <w:r>
        <w:rPr>
          <w:color w:val="231F20"/>
          <w:w w:val="105"/>
          <w:sz w:val="18"/>
        </w:rPr>
        <w:t>de</w:t>
      </w:r>
      <w:r>
        <w:rPr>
          <w:color w:val="231F20"/>
          <w:spacing w:val="-7"/>
          <w:w w:val="105"/>
          <w:sz w:val="18"/>
        </w:rPr>
        <w:t> </w:t>
      </w:r>
      <w:r>
        <w:rPr>
          <w:color w:val="231F20"/>
          <w:w w:val="105"/>
          <w:sz w:val="18"/>
        </w:rPr>
        <w:t>discriminación</w:t>
      </w:r>
      <w:r>
        <w:rPr>
          <w:color w:val="231F20"/>
          <w:spacing w:val="-7"/>
          <w:w w:val="105"/>
          <w:sz w:val="18"/>
        </w:rPr>
        <w:t> </w:t>
      </w:r>
      <w:r>
        <w:rPr>
          <w:color w:val="231F20"/>
          <w:w w:val="105"/>
          <w:sz w:val="18"/>
        </w:rPr>
        <w:t>contra</w:t>
      </w:r>
      <w:r>
        <w:rPr>
          <w:color w:val="231F20"/>
          <w:spacing w:val="-7"/>
          <w:w w:val="105"/>
          <w:sz w:val="18"/>
        </w:rPr>
        <w:t> </w:t>
      </w:r>
      <w:r>
        <w:rPr>
          <w:color w:val="231F20"/>
          <w:w w:val="105"/>
          <w:sz w:val="18"/>
        </w:rPr>
        <w:t>ellos</w:t>
      </w:r>
      <w:r>
        <w:rPr>
          <w:color w:val="231F20"/>
          <w:spacing w:val="-7"/>
          <w:w w:val="105"/>
          <w:sz w:val="18"/>
        </w:rPr>
        <w:t> </w:t>
      </w:r>
      <w:r>
        <w:rPr>
          <w:color w:val="231F20"/>
          <w:w w:val="105"/>
          <w:sz w:val="18"/>
        </w:rPr>
        <w:t>y</w:t>
      </w:r>
      <w:r>
        <w:rPr>
          <w:color w:val="231F20"/>
          <w:spacing w:val="-7"/>
          <w:w w:val="105"/>
          <w:sz w:val="18"/>
        </w:rPr>
        <w:t> </w:t>
      </w:r>
      <w:r>
        <w:rPr>
          <w:color w:val="231F20"/>
          <w:w w:val="105"/>
          <w:sz w:val="18"/>
        </w:rPr>
        <w:t>al</w:t>
      </w:r>
      <w:r>
        <w:rPr>
          <w:color w:val="231F20"/>
          <w:spacing w:val="-7"/>
          <w:w w:val="105"/>
          <w:sz w:val="18"/>
        </w:rPr>
        <w:t> </w:t>
      </w:r>
      <w:r>
        <w:rPr>
          <w:color w:val="231F20"/>
          <w:w w:val="105"/>
          <w:sz w:val="18"/>
        </w:rPr>
        <w:t>for- talecimiento</w:t>
      </w:r>
      <w:r>
        <w:rPr>
          <w:color w:val="231F20"/>
          <w:spacing w:val="-20"/>
          <w:w w:val="105"/>
          <w:sz w:val="18"/>
        </w:rPr>
        <w:t> </w:t>
      </w:r>
      <w:r>
        <w:rPr>
          <w:color w:val="231F20"/>
          <w:w w:val="105"/>
          <w:sz w:val="18"/>
        </w:rPr>
        <w:t>y</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aplicación</w:t>
      </w:r>
      <w:r>
        <w:rPr>
          <w:color w:val="231F20"/>
          <w:spacing w:val="-20"/>
          <w:w w:val="105"/>
          <w:sz w:val="18"/>
        </w:rPr>
        <w:t> </w:t>
      </w:r>
      <w:r>
        <w:rPr>
          <w:color w:val="231F20"/>
          <w:w w:val="105"/>
          <w:sz w:val="18"/>
        </w:rPr>
        <w:t>más</w:t>
      </w:r>
      <w:r>
        <w:rPr>
          <w:color w:val="231F20"/>
          <w:spacing w:val="-20"/>
          <w:w w:val="105"/>
          <w:sz w:val="18"/>
        </w:rPr>
        <w:t> </w:t>
      </w:r>
      <w:r>
        <w:rPr>
          <w:color w:val="231F20"/>
          <w:w w:val="105"/>
          <w:sz w:val="18"/>
        </w:rPr>
        <w:t>eficaz</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los</w:t>
      </w:r>
      <w:r>
        <w:rPr>
          <w:color w:val="231F20"/>
          <w:spacing w:val="-20"/>
          <w:w w:val="105"/>
          <w:sz w:val="18"/>
        </w:rPr>
        <w:t> </w:t>
      </w:r>
      <w:r>
        <w:rPr>
          <w:color w:val="231F20"/>
          <w:w w:val="105"/>
          <w:sz w:val="18"/>
        </w:rPr>
        <w:t>instrumentos</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derechos humanos.</w:t>
      </w:r>
      <w:r>
        <w:rPr>
          <w:color w:val="231F20"/>
          <w:spacing w:val="-17"/>
          <w:w w:val="105"/>
          <w:sz w:val="18"/>
        </w:rPr>
        <w:t> </w:t>
      </w:r>
      <w:r>
        <w:rPr>
          <w:color w:val="231F20"/>
          <w:w w:val="105"/>
          <w:sz w:val="18"/>
        </w:rPr>
        <w:t>Los</w:t>
      </w:r>
      <w:r>
        <w:rPr>
          <w:color w:val="231F20"/>
          <w:spacing w:val="-13"/>
          <w:w w:val="105"/>
          <w:sz w:val="18"/>
        </w:rPr>
        <w:t> </w:t>
      </w:r>
      <w:r>
        <w:rPr>
          <w:color w:val="231F20"/>
          <w:w w:val="105"/>
          <w:sz w:val="18"/>
        </w:rPr>
        <w:t>Estados</w:t>
      </w:r>
      <w:r>
        <w:rPr>
          <w:color w:val="231F20"/>
          <w:spacing w:val="-13"/>
          <w:w w:val="105"/>
          <w:sz w:val="18"/>
        </w:rPr>
        <w:t> </w:t>
      </w:r>
      <w:r>
        <w:rPr>
          <w:color w:val="231F20"/>
          <w:w w:val="105"/>
          <w:sz w:val="18"/>
        </w:rPr>
        <w:t>tienen</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obligación</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adoptar</w:t>
      </w:r>
      <w:r>
        <w:rPr>
          <w:color w:val="231F20"/>
          <w:spacing w:val="-13"/>
          <w:w w:val="105"/>
          <w:sz w:val="18"/>
        </w:rPr>
        <w:t> </w:t>
      </w:r>
      <w:r>
        <w:rPr>
          <w:color w:val="231F20"/>
          <w:w w:val="105"/>
          <w:sz w:val="18"/>
        </w:rPr>
        <w:t>y</w:t>
      </w:r>
      <w:r>
        <w:rPr>
          <w:color w:val="231F20"/>
          <w:spacing w:val="-13"/>
          <w:w w:val="105"/>
          <w:sz w:val="18"/>
        </w:rPr>
        <w:t> </w:t>
      </w:r>
      <w:r>
        <w:rPr>
          <w:color w:val="231F20"/>
          <w:w w:val="105"/>
          <w:sz w:val="18"/>
        </w:rPr>
        <w:t>mantener</w:t>
      </w:r>
      <w:r>
        <w:rPr>
          <w:color w:val="231F20"/>
          <w:spacing w:val="-13"/>
          <w:w w:val="105"/>
          <w:sz w:val="18"/>
        </w:rPr>
        <w:t> </w:t>
      </w:r>
      <w:r>
        <w:rPr>
          <w:color w:val="231F20"/>
          <w:w w:val="105"/>
          <w:sz w:val="18"/>
        </w:rPr>
        <w:t>me- didas</w:t>
      </w:r>
      <w:r>
        <w:rPr>
          <w:color w:val="231F20"/>
          <w:spacing w:val="-14"/>
          <w:w w:val="105"/>
          <w:sz w:val="18"/>
        </w:rPr>
        <w:t> </w:t>
      </w:r>
      <w:r>
        <w:rPr>
          <w:color w:val="231F20"/>
          <w:w w:val="105"/>
          <w:sz w:val="18"/>
        </w:rPr>
        <w:t>adecuadas</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el</w:t>
      </w:r>
      <w:r>
        <w:rPr>
          <w:color w:val="231F20"/>
          <w:spacing w:val="-14"/>
          <w:w w:val="105"/>
          <w:sz w:val="18"/>
        </w:rPr>
        <w:t> </w:t>
      </w:r>
      <w:r>
        <w:rPr>
          <w:color w:val="231F20"/>
          <w:w w:val="105"/>
          <w:sz w:val="18"/>
        </w:rPr>
        <w:t>plano</w:t>
      </w:r>
      <w:r>
        <w:rPr>
          <w:color w:val="231F20"/>
          <w:spacing w:val="-14"/>
          <w:w w:val="105"/>
          <w:sz w:val="18"/>
        </w:rPr>
        <w:t> </w:t>
      </w:r>
      <w:r>
        <w:rPr>
          <w:color w:val="231F20"/>
          <w:w w:val="105"/>
          <w:sz w:val="18"/>
        </w:rPr>
        <w:t>nacional,</w:t>
      </w:r>
      <w:r>
        <w:rPr>
          <w:color w:val="231F20"/>
          <w:spacing w:val="-19"/>
          <w:w w:val="105"/>
          <w:sz w:val="18"/>
        </w:rPr>
        <w:t> </w:t>
      </w:r>
      <w:r>
        <w:rPr>
          <w:color w:val="231F20"/>
          <w:w w:val="105"/>
          <w:sz w:val="18"/>
        </w:rPr>
        <w:t>en</w:t>
      </w:r>
      <w:r>
        <w:rPr>
          <w:color w:val="231F20"/>
          <w:spacing w:val="-14"/>
          <w:w w:val="105"/>
          <w:sz w:val="18"/>
        </w:rPr>
        <w:t> </w:t>
      </w:r>
      <w:r>
        <w:rPr>
          <w:color w:val="231F20"/>
          <w:w w:val="105"/>
          <w:sz w:val="18"/>
        </w:rPr>
        <w:t>particular</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materia</w:t>
      </w:r>
      <w:r>
        <w:rPr>
          <w:color w:val="231F20"/>
          <w:spacing w:val="-14"/>
          <w:w w:val="105"/>
          <w:sz w:val="18"/>
        </w:rPr>
        <w:t> </w:t>
      </w:r>
      <w:r>
        <w:rPr>
          <w:color w:val="231F20"/>
          <w:w w:val="105"/>
          <w:sz w:val="18"/>
        </w:rPr>
        <w:t>de</w:t>
      </w:r>
      <w:r>
        <w:rPr>
          <w:color w:val="231F20"/>
          <w:spacing w:val="-14"/>
          <w:w w:val="105"/>
          <w:sz w:val="18"/>
        </w:rPr>
        <w:t> </w:t>
      </w:r>
      <w:r>
        <w:rPr>
          <w:rFonts w:ascii="Arial" w:hAnsi="Arial"/>
          <w:color w:val="231F20"/>
          <w:w w:val="105"/>
          <w:sz w:val="18"/>
        </w:rPr>
        <w:t>edu- cación</w:t>
      </w:r>
      <w:r>
        <w:rPr>
          <w:color w:val="231F20"/>
          <w:w w:val="105"/>
          <w:sz w:val="18"/>
        </w:rPr>
        <w:t>, salud y apoyo social, para promover y proteger los derechos de</w:t>
      </w:r>
      <w:r>
        <w:rPr>
          <w:color w:val="231F20"/>
          <w:spacing w:val="-13"/>
          <w:w w:val="105"/>
          <w:sz w:val="18"/>
        </w:rPr>
        <w:t> </w:t>
      </w:r>
      <w:r>
        <w:rPr>
          <w:color w:val="231F20"/>
          <w:w w:val="105"/>
          <w:sz w:val="18"/>
        </w:rPr>
        <w:t>los</w:t>
      </w:r>
      <w:r>
        <w:rPr>
          <w:color w:val="231F20"/>
          <w:spacing w:val="-13"/>
          <w:w w:val="105"/>
          <w:sz w:val="18"/>
        </w:rPr>
        <w:t> </w:t>
      </w:r>
      <w:r>
        <w:rPr>
          <w:color w:val="231F20"/>
          <w:w w:val="105"/>
          <w:sz w:val="18"/>
        </w:rPr>
        <w:t>sectores</w:t>
      </w:r>
      <w:r>
        <w:rPr>
          <w:color w:val="231F20"/>
          <w:spacing w:val="-13"/>
          <w:w w:val="105"/>
          <w:sz w:val="18"/>
        </w:rPr>
        <w:t> </w:t>
      </w:r>
      <w:r>
        <w:rPr>
          <w:color w:val="231F20"/>
          <w:w w:val="105"/>
          <w:sz w:val="18"/>
        </w:rPr>
        <w:t>vulnerables</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su</w:t>
      </w:r>
      <w:r>
        <w:rPr>
          <w:color w:val="231F20"/>
          <w:spacing w:val="-13"/>
          <w:w w:val="105"/>
          <w:sz w:val="18"/>
        </w:rPr>
        <w:t> </w:t>
      </w:r>
      <w:r>
        <w:rPr>
          <w:color w:val="231F20"/>
          <w:w w:val="105"/>
          <w:sz w:val="18"/>
        </w:rPr>
        <w:t>población</w:t>
      </w:r>
      <w:r>
        <w:rPr>
          <w:color w:val="231F20"/>
          <w:spacing w:val="-13"/>
          <w:w w:val="105"/>
          <w:sz w:val="18"/>
        </w:rPr>
        <w:t> </w:t>
      </w:r>
      <w:r>
        <w:rPr>
          <w:color w:val="231F20"/>
          <w:w w:val="105"/>
          <w:sz w:val="18"/>
        </w:rPr>
        <w:t>y</w:t>
      </w:r>
      <w:r>
        <w:rPr>
          <w:color w:val="231F20"/>
          <w:spacing w:val="-13"/>
          <w:w w:val="105"/>
          <w:sz w:val="18"/>
        </w:rPr>
        <w:t> </w:t>
      </w:r>
      <w:r>
        <w:rPr>
          <w:rFonts w:ascii="Arial" w:hAnsi="Arial"/>
          <w:color w:val="231F20"/>
          <w:w w:val="105"/>
          <w:sz w:val="18"/>
        </w:rPr>
        <w:t>asegurar</w:t>
      </w:r>
      <w:r>
        <w:rPr>
          <w:rFonts w:ascii="Arial" w:hAnsi="Arial"/>
          <w:color w:val="231F20"/>
          <w:spacing w:val="-16"/>
          <w:w w:val="105"/>
          <w:sz w:val="18"/>
        </w:rPr>
        <w:t> </w:t>
      </w:r>
      <w:r>
        <w:rPr>
          <w:rFonts w:ascii="Arial" w:hAnsi="Arial"/>
          <w:color w:val="231F20"/>
          <w:w w:val="105"/>
          <w:sz w:val="18"/>
        </w:rPr>
        <w:t>la</w:t>
      </w:r>
      <w:r>
        <w:rPr>
          <w:rFonts w:ascii="Arial" w:hAnsi="Arial"/>
          <w:color w:val="231F20"/>
          <w:spacing w:val="-16"/>
          <w:w w:val="105"/>
          <w:sz w:val="18"/>
        </w:rPr>
        <w:t> </w:t>
      </w:r>
      <w:r>
        <w:rPr>
          <w:rFonts w:ascii="Arial" w:hAnsi="Arial"/>
          <w:color w:val="231F20"/>
          <w:w w:val="105"/>
          <w:sz w:val="18"/>
        </w:rPr>
        <w:t>participación </w:t>
      </w:r>
      <w:r>
        <w:rPr>
          <w:color w:val="231F20"/>
          <w:w w:val="105"/>
          <w:sz w:val="18"/>
        </w:rPr>
        <w:t>de</w:t>
      </w:r>
      <w:r>
        <w:rPr>
          <w:color w:val="231F20"/>
          <w:spacing w:val="-16"/>
          <w:w w:val="105"/>
          <w:sz w:val="18"/>
        </w:rPr>
        <w:t> </w:t>
      </w:r>
      <w:r>
        <w:rPr>
          <w:color w:val="231F20"/>
          <w:w w:val="105"/>
          <w:sz w:val="18"/>
        </w:rPr>
        <w:t>las</w:t>
      </w:r>
      <w:r>
        <w:rPr>
          <w:color w:val="231F20"/>
          <w:spacing w:val="-16"/>
          <w:w w:val="105"/>
          <w:sz w:val="18"/>
        </w:rPr>
        <w:t> </w:t>
      </w:r>
      <w:r>
        <w:rPr>
          <w:color w:val="231F20"/>
          <w:w w:val="105"/>
          <w:sz w:val="18"/>
        </w:rPr>
        <w:t>personas</w:t>
      </w:r>
      <w:r>
        <w:rPr>
          <w:color w:val="231F20"/>
          <w:spacing w:val="-16"/>
          <w:w w:val="105"/>
          <w:sz w:val="18"/>
        </w:rPr>
        <w:t> </w:t>
      </w:r>
      <w:r>
        <w:rPr>
          <w:color w:val="231F20"/>
          <w:w w:val="105"/>
          <w:sz w:val="18"/>
        </w:rPr>
        <w:t>pertenecientes</w:t>
      </w:r>
      <w:r>
        <w:rPr>
          <w:color w:val="231F20"/>
          <w:spacing w:val="-16"/>
          <w:w w:val="105"/>
          <w:sz w:val="18"/>
        </w:rPr>
        <w:t> </w:t>
      </w:r>
      <w:r>
        <w:rPr>
          <w:color w:val="231F20"/>
          <w:w w:val="105"/>
          <w:sz w:val="18"/>
        </w:rPr>
        <w:t>a</w:t>
      </w:r>
      <w:r>
        <w:rPr>
          <w:color w:val="231F20"/>
          <w:spacing w:val="-16"/>
          <w:w w:val="105"/>
          <w:sz w:val="18"/>
        </w:rPr>
        <w:t> </w:t>
      </w:r>
      <w:r>
        <w:rPr>
          <w:color w:val="231F20"/>
          <w:w w:val="105"/>
          <w:sz w:val="18"/>
        </w:rPr>
        <w:t>esos</w:t>
      </w:r>
      <w:r>
        <w:rPr>
          <w:color w:val="231F20"/>
          <w:spacing w:val="-16"/>
          <w:w w:val="105"/>
          <w:sz w:val="18"/>
        </w:rPr>
        <w:t> </w:t>
      </w:r>
      <w:r>
        <w:rPr>
          <w:color w:val="231F20"/>
          <w:w w:val="105"/>
          <w:sz w:val="18"/>
        </w:rPr>
        <w:t>sectores</w:t>
      </w:r>
      <w:r>
        <w:rPr>
          <w:color w:val="231F20"/>
          <w:spacing w:val="-16"/>
          <w:w w:val="105"/>
          <w:sz w:val="18"/>
        </w:rPr>
        <w:t> </w:t>
      </w:r>
      <w:r>
        <w:rPr>
          <w:color w:val="231F20"/>
          <w:w w:val="105"/>
          <w:sz w:val="18"/>
        </w:rPr>
        <w:t>en</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búsqueda</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una solución</w:t>
      </w:r>
      <w:r>
        <w:rPr>
          <w:color w:val="231F20"/>
          <w:spacing w:val="-18"/>
          <w:w w:val="105"/>
          <w:sz w:val="18"/>
        </w:rPr>
        <w:t> </w:t>
      </w:r>
      <w:r>
        <w:rPr>
          <w:color w:val="231F20"/>
          <w:w w:val="105"/>
          <w:sz w:val="18"/>
        </w:rPr>
        <w:t>a</w:t>
      </w:r>
      <w:r>
        <w:rPr>
          <w:color w:val="231F20"/>
          <w:spacing w:val="-18"/>
          <w:w w:val="105"/>
          <w:sz w:val="18"/>
        </w:rPr>
        <w:t> </w:t>
      </w:r>
      <w:r>
        <w:rPr>
          <w:color w:val="231F20"/>
          <w:w w:val="105"/>
          <w:sz w:val="18"/>
        </w:rPr>
        <w:t>sus</w:t>
      </w:r>
      <w:r>
        <w:rPr>
          <w:color w:val="231F20"/>
          <w:spacing w:val="-18"/>
          <w:w w:val="105"/>
          <w:sz w:val="18"/>
        </w:rPr>
        <w:t> </w:t>
      </w:r>
      <w:r>
        <w:rPr>
          <w:color w:val="231F20"/>
          <w:w w:val="105"/>
          <w:sz w:val="18"/>
        </w:rPr>
        <w:t>problemas</w:t>
      </w:r>
      <w:r>
        <w:rPr>
          <w:color w:val="231F20"/>
          <w:spacing w:val="-18"/>
          <w:w w:val="105"/>
          <w:sz w:val="18"/>
        </w:rPr>
        <w:t> </w:t>
      </w:r>
      <w:r>
        <w:rPr>
          <w:color w:val="231F20"/>
          <w:w w:val="105"/>
          <w:sz w:val="18"/>
        </w:rPr>
        <w:t>(Del</w:t>
      </w:r>
      <w:r>
        <w:rPr>
          <w:color w:val="231F20"/>
          <w:spacing w:val="-21"/>
          <w:w w:val="105"/>
          <w:sz w:val="18"/>
        </w:rPr>
        <w:t> </w:t>
      </w:r>
      <w:r>
        <w:rPr>
          <w:color w:val="231F20"/>
          <w:spacing w:val="-5"/>
          <w:w w:val="105"/>
          <w:sz w:val="18"/>
        </w:rPr>
        <w:t>Toro,</w:t>
      </w:r>
      <w:r>
        <w:rPr>
          <w:color w:val="231F20"/>
          <w:spacing w:val="-22"/>
          <w:w w:val="105"/>
          <w:sz w:val="18"/>
        </w:rPr>
        <w:t> </w:t>
      </w:r>
      <w:r>
        <w:rPr>
          <w:color w:val="231F20"/>
          <w:w w:val="105"/>
          <w:sz w:val="18"/>
        </w:rPr>
        <w:t>2012:</w:t>
      </w:r>
      <w:r>
        <w:rPr>
          <w:color w:val="231F20"/>
          <w:spacing w:val="-18"/>
          <w:w w:val="105"/>
          <w:sz w:val="18"/>
        </w:rPr>
        <w:t> </w:t>
      </w:r>
      <w:r>
        <w:rPr>
          <w:color w:val="231F20"/>
          <w:w w:val="105"/>
          <w:sz w:val="18"/>
        </w:rPr>
        <w:t>153).</w:t>
      </w:r>
    </w:p>
    <w:p>
      <w:pPr>
        <w:pStyle w:val="BodyText"/>
        <w:spacing w:before="5"/>
      </w:pPr>
    </w:p>
    <w:p>
      <w:pPr>
        <w:pStyle w:val="BodyText"/>
        <w:spacing w:line="261" w:lineRule="auto"/>
        <w:ind w:left="1723" w:right="1834"/>
        <w:jc w:val="both"/>
      </w:pPr>
      <w:r>
        <w:rPr>
          <w:color w:val="231F20"/>
          <w:w w:val="105"/>
        </w:rPr>
        <w:t>A pesar de la existencia de un </w:t>
      </w:r>
      <w:r>
        <w:rPr>
          <w:color w:val="231F20"/>
          <w:spacing w:val="-3"/>
          <w:w w:val="105"/>
        </w:rPr>
        <w:t>robusto </w:t>
      </w:r>
      <w:r>
        <w:rPr>
          <w:color w:val="231F20"/>
          <w:w w:val="105"/>
        </w:rPr>
        <w:t>sistema </w:t>
      </w:r>
      <w:r>
        <w:rPr>
          <w:color w:val="231F20"/>
          <w:spacing w:val="-2"/>
          <w:w w:val="105"/>
        </w:rPr>
        <w:t>normativo </w:t>
      </w:r>
      <w:r>
        <w:rPr>
          <w:color w:val="231F20"/>
          <w:w w:val="105"/>
        </w:rPr>
        <w:t>de </w:t>
      </w:r>
      <w:r>
        <w:rPr>
          <w:color w:val="231F20"/>
          <w:spacing w:val="-3"/>
          <w:w w:val="105"/>
        </w:rPr>
        <w:t>protección </w:t>
      </w:r>
      <w:r>
        <w:rPr>
          <w:color w:val="231F20"/>
          <w:w w:val="105"/>
        </w:rPr>
        <w:t>a</w:t>
      </w:r>
      <w:r>
        <w:rPr>
          <w:color w:val="231F20"/>
          <w:spacing w:val="-22"/>
          <w:w w:val="105"/>
        </w:rPr>
        <w:t> </w:t>
      </w:r>
      <w:r>
        <w:rPr>
          <w:color w:val="231F20"/>
          <w:w w:val="105"/>
        </w:rPr>
        <w:t>los</w:t>
      </w:r>
      <w:r>
        <w:rPr>
          <w:color w:val="231F20"/>
          <w:spacing w:val="-22"/>
          <w:w w:val="105"/>
        </w:rPr>
        <w:t> </w:t>
      </w:r>
      <w:r>
        <w:rPr>
          <w:color w:val="231F20"/>
          <w:spacing w:val="-3"/>
          <w:w w:val="105"/>
        </w:rPr>
        <w:t>derechos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población</w:t>
      </w:r>
      <w:r>
        <w:rPr>
          <w:color w:val="231F20"/>
          <w:spacing w:val="-22"/>
          <w:w w:val="105"/>
        </w:rPr>
        <w:t> </w:t>
      </w:r>
      <w:r>
        <w:rPr>
          <w:color w:val="231F20"/>
          <w:w w:val="105"/>
        </w:rPr>
        <w:t>migrante,</w:t>
      </w:r>
      <w:r>
        <w:rPr>
          <w:color w:val="231F20"/>
          <w:spacing w:val="-28"/>
          <w:w w:val="105"/>
        </w:rPr>
        <w:t> </w:t>
      </w:r>
      <w:r>
        <w:rPr>
          <w:color w:val="231F20"/>
          <w:w w:val="105"/>
        </w:rPr>
        <w:t>históricamente</w:t>
      </w:r>
      <w:r>
        <w:rPr>
          <w:color w:val="231F20"/>
          <w:spacing w:val="-22"/>
          <w:w w:val="105"/>
        </w:rPr>
        <w:t> </w:t>
      </w:r>
      <w:r>
        <w:rPr>
          <w:color w:val="231F20"/>
          <w:w w:val="105"/>
        </w:rPr>
        <w:t>se</w:t>
      </w:r>
      <w:r>
        <w:rPr>
          <w:color w:val="231F20"/>
          <w:spacing w:val="-22"/>
          <w:w w:val="105"/>
        </w:rPr>
        <w:t> </w:t>
      </w:r>
      <w:r>
        <w:rPr>
          <w:color w:val="231F20"/>
          <w:w w:val="105"/>
        </w:rPr>
        <w:t>ha</w:t>
      </w:r>
      <w:r>
        <w:rPr>
          <w:color w:val="231F20"/>
          <w:spacing w:val="-22"/>
          <w:w w:val="105"/>
        </w:rPr>
        <w:t> </w:t>
      </w:r>
      <w:r>
        <w:rPr>
          <w:color w:val="231F20"/>
          <w:w w:val="105"/>
        </w:rPr>
        <w:t>observado que</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práctica</w:t>
      </w:r>
      <w:r>
        <w:rPr>
          <w:color w:val="231F20"/>
          <w:spacing w:val="-23"/>
          <w:w w:val="105"/>
        </w:rPr>
        <w:t> </w:t>
      </w:r>
      <w:r>
        <w:rPr>
          <w:color w:val="231F20"/>
          <w:w w:val="105"/>
        </w:rPr>
        <w:t>son</w:t>
      </w:r>
      <w:r>
        <w:rPr>
          <w:color w:val="231F20"/>
          <w:spacing w:val="-23"/>
          <w:w w:val="105"/>
        </w:rPr>
        <w:t> </w:t>
      </w:r>
      <w:r>
        <w:rPr>
          <w:color w:val="231F20"/>
          <w:w w:val="105"/>
        </w:rPr>
        <w:t>múltiples,</w:t>
      </w:r>
      <w:r>
        <w:rPr>
          <w:color w:val="231F20"/>
          <w:spacing w:val="-28"/>
          <w:w w:val="105"/>
        </w:rPr>
        <w:t> </w:t>
      </w:r>
      <w:r>
        <w:rPr>
          <w:color w:val="231F20"/>
          <w:w w:val="105"/>
        </w:rPr>
        <w:t>diversas</w:t>
      </w:r>
      <w:r>
        <w:rPr>
          <w:color w:val="231F20"/>
          <w:spacing w:val="-23"/>
          <w:w w:val="105"/>
        </w:rPr>
        <w:t> </w:t>
      </w:r>
      <w:r>
        <w:rPr>
          <w:color w:val="231F20"/>
          <w:w w:val="105"/>
        </w:rPr>
        <w:t>y</w:t>
      </w:r>
      <w:r>
        <w:rPr>
          <w:color w:val="231F20"/>
          <w:spacing w:val="-23"/>
          <w:w w:val="105"/>
        </w:rPr>
        <w:t> </w:t>
      </w:r>
      <w:r>
        <w:rPr>
          <w:color w:val="231F20"/>
          <w:spacing w:val="-3"/>
          <w:w w:val="105"/>
        </w:rPr>
        <w:t>recurrentes</w:t>
      </w:r>
      <w:r>
        <w:rPr>
          <w:color w:val="231F20"/>
          <w:spacing w:val="-23"/>
          <w:w w:val="105"/>
        </w:rPr>
        <w:t> </w:t>
      </w:r>
      <w:r>
        <w:rPr>
          <w:color w:val="231F20"/>
          <w:w w:val="105"/>
        </w:rPr>
        <w:t>las</w:t>
      </w:r>
      <w:r>
        <w:rPr>
          <w:color w:val="231F20"/>
          <w:spacing w:val="-23"/>
          <w:w w:val="105"/>
        </w:rPr>
        <w:t> </w:t>
      </w:r>
      <w:r>
        <w:rPr>
          <w:color w:val="231F20"/>
          <w:w w:val="105"/>
        </w:rPr>
        <w:t>situaciones</w:t>
      </w:r>
      <w:r>
        <w:rPr>
          <w:color w:val="231F20"/>
          <w:spacing w:val="-23"/>
          <w:w w:val="105"/>
        </w:rPr>
        <w:t> </w:t>
      </w:r>
      <w:r>
        <w:rPr>
          <w:color w:val="231F20"/>
          <w:w w:val="105"/>
        </w:rPr>
        <w:t>de discriminación</w:t>
      </w:r>
      <w:r>
        <w:rPr>
          <w:color w:val="231F20"/>
          <w:spacing w:val="-33"/>
          <w:w w:val="105"/>
        </w:rPr>
        <w:t> </w:t>
      </w:r>
      <w:r>
        <w:rPr>
          <w:color w:val="231F20"/>
          <w:w w:val="105"/>
        </w:rPr>
        <w:t>y</w:t>
      </w:r>
      <w:r>
        <w:rPr>
          <w:color w:val="231F20"/>
          <w:spacing w:val="-33"/>
          <w:w w:val="105"/>
        </w:rPr>
        <w:t> </w:t>
      </w:r>
      <w:r>
        <w:rPr>
          <w:color w:val="231F20"/>
          <w:w w:val="105"/>
        </w:rPr>
        <w:t>violación</w:t>
      </w:r>
      <w:r>
        <w:rPr>
          <w:color w:val="231F20"/>
          <w:spacing w:val="-33"/>
          <w:w w:val="105"/>
        </w:rPr>
        <w:t> </w:t>
      </w:r>
      <w:r>
        <w:rPr>
          <w:color w:val="231F20"/>
          <w:w w:val="105"/>
        </w:rPr>
        <w:t>a</w:t>
      </w:r>
      <w:r>
        <w:rPr>
          <w:color w:val="231F20"/>
          <w:spacing w:val="-33"/>
          <w:w w:val="105"/>
        </w:rPr>
        <w:t> </w:t>
      </w:r>
      <w:r>
        <w:rPr>
          <w:color w:val="231F20"/>
          <w:w w:val="105"/>
        </w:rPr>
        <w:t>sus</w:t>
      </w:r>
      <w:r>
        <w:rPr>
          <w:color w:val="231F20"/>
          <w:spacing w:val="-33"/>
          <w:w w:val="105"/>
        </w:rPr>
        <w:t> </w:t>
      </w:r>
      <w:r>
        <w:rPr>
          <w:color w:val="231F20"/>
          <w:spacing w:val="-3"/>
          <w:w w:val="105"/>
        </w:rPr>
        <w:t>derechos</w:t>
      </w:r>
      <w:r>
        <w:rPr>
          <w:color w:val="231F20"/>
          <w:spacing w:val="-33"/>
          <w:w w:val="105"/>
        </w:rPr>
        <w:t> </w:t>
      </w:r>
      <w:r>
        <w:rPr>
          <w:color w:val="231F20"/>
          <w:w w:val="105"/>
        </w:rPr>
        <w:t>humanos</w:t>
      </w:r>
      <w:r>
        <w:rPr>
          <w:color w:val="231F20"/>
          <w:spacing w:val="-6"/>
          <w:w w:val="105"/>
        </w:rPr>
        <w:t> </w:t>
      </w:r>
      <w:r>
        <w:rPr>
          <w:color w:val="231F20"/>
          <w:w w:val="105"/>
        </w:rPr>
        <w:t>y</w:t>
      </w:r>
      <w:r>
        <w:rPr>
          <w:color w:val="231F20"/>
          <w:spacing w:val="-33"/>
          <w:w w:val="105"/>
        </w:rPr>
        <w:t> </w:t>
      </w:r>
      <w:r>
        <w:rPr>
          <w:color w:val="231F20"/>
          <w:w w:val="105"/>
        </w:rPr>
        <w:t>laborales.</w:t>
      </w:r>
      <w:r>
        <w:rPr>
          <w:color w:val="231F20"/>
          <w:spacing w:val="-40"/>
          <w:w w:val="105"/>
        </w:rPr>
        <w:t> </w:t>
      </w:r>
      <w:r>
        <w:rPr>
          <w:color w:val="231F20"/>
          <w:w w:val="105"/>
        </w:rPr>
        <w:t>Al</w:t>
      </w:r>
      <w:r>
        <w:rPr>
          <w:color w:val="231F20"/>
          <w:spacing w:val="-33"/>
          <w:w w:val="105"/>
        </w:rPr>
        <w:t> </w:t>
      </w:r>
      <w:r>
        <w:rPr>
          <w:color w:val="231F20"/>
          <w:spacing w:val="-3"/>
          <w:w w:val="105"/>
        </w:rPr>
        <w:t>respec- </w:t>
      </w:r>
      <w:r>
        <w:rPr>
          <w:color w:val="231F20"/>
          <w:spacing w:val="-2"/>
          <w:w w:val="105"/>
        </w:rPr>
        <w:t>to,</w:t>
      </w:r>
      <w:r>
        <w:rPr>
          <w:color w:val="231F20"/>
          <w:spacing w:val="-36"/>
          <w:w w:val="105"/>
        </w:rPr>
        <w:t> </w:t>
      </w:r>
      <w:r>
        <w:rPr>
          <w:color w:val="231F20"/>
          <w:spacing w:val="-3"/>
          <w:w w:val="105"/>
        </w:rPr>
        <w:t>García</w:t>
      </w:r>
      <w:r>
        <w:rPr>
          <w:color w:val="231F20"/>
          <w:spacing w:val="-32"/>
          <w:w w:val="105"/>
        </w:rPr>
        <w:t> </w:t>
      </w:r>
      <w:r>
        <w:rPr>
          <w:color w:val="231F20"/>
          <w:w w:val="105"/>
        </w:rPr>
        <w:t>y</w:t>
      </w:r>
      <w:r>
        <w:rPr>
          <w:color w:val="231F20"/>
          <w:spacing w:val="-36"/>
          <w:w w:val="105"/>
        </w:rPr>
        <w:t> </w:t>
      </w:r>
      <w:r>
        <w:rPr>
          <w:color w:val="231F20"/>
          <w:spacing w:val="-5"/>
          <w:w w:val="105"/>
        </w:rPr>
        <w:t>Tarrío</w:t>
      </w:r>
      <w:r>
        <w:rPr>
          <w:color w:val="231F20"/>
          <w:spacing w:val="-32"/>
          <w:w w:val="105"/>
        </w:rPr>
        <w:t> </w:t>
      </w:r>
      <w:r>
        <w:rPr>
          <w:color w:val="231F20"/>
          <w:w w:val="105"/>
        </w:rPr>
        <w:t>(2008)</w:t>
      </w:r>
      <w:r>
        <w:rPr>
          <w:color w:val="231F20"/>
          <w:spacing w:val="-32"/>
          <w:w w:val="105"/>
        </w:rPr>
        <w:t> </w:t>
      </w:r>
      <w:r>
        <w:rPr>
          <w:color w:val="231F20"/>
          <w:w w:val="105"/>
        </w:rPr>
        <w:t>advierten</w:t>
      </w:r>
      <w:r>
        <w:rPr>
          <w:color w:val="231F20"/>
          <w:spacing w:val="-32"/>
          <w:w w:val="105"/>
        </w:rPr>
        <w:t> </w:t>
      </w:r>
      <w:r>
        <w:rPr>
          <w:color w:val="231F20"/>
          <w:w w:val="105"/>
        </w:rPr>
        <w:t>que</w:t>
      </w:r>
      <w:r>
        <w:rPr>
          <w:color w:val="231F20"/>
          <w:spacing w:val="-32"/>
          <w:w w:val="105"/>
        </w:rPr>
        <w:t> </w:t>
      </w:r>
      <w:r>
        <w:rPr>
          <w:color w:val="231F20"/>
          <w:w w:val="105"/>
        </w:rPr>
        <w:t>los</w:t>
      </w:r>
      <w:r>
        <w:rPr>
          <w:color w:val="231F20"/>
          <w:spacing w:val="-32"/>
          <w:w w:val="105"/>
        </w:rPr>
        <w:t> </w:t>
      </w:r>
      <w:r>
        <w:rPr>
          <w:color w:val="231F20"/>
          <w:w w:val="105"/>
        </w:rPr>
        <w:t>migrantes</w:t>
      </w:r>
      <w:r>
        <w:rPr>
          <w:color w:val="231F20"/>
          <w:spacing w:val="-32"/>
          <w:w w:val="105"/>
        </w:rPr>
        <w:t> </w:t>
      </w:r>
      <w:r>
        <w:rPr>
          <w:color w:val="231F20"/>
          <w:spacing w:val="-3"/>
          <w:w w:val="105"/>
        </w:rPr>
        <w:t>sufren</w:t>
      </w:r>
      <w:r>
        <w:rPr>
          <w:color w:val="231F20"/>
          <w:spacing w:val="-32"/>
          <w:w w:val="105"/>
        </w:rPr>
        <w:t> </w:t>
      </w:r>
      <w:r>
        <w:rPr>
          <w:color w:val="231F20"/>
          <w:w w:val="105"/>
        </w:rPr>
        <w:t>dos</w:t>
      </w:r>
      <w:r>
        <w:rPr>
          <w:color w:val="231F20"/>
          <w:spacing w:val="-32"/>
          <w:w w:val="105"/>
        </w:rPr>
        <w:t> </w:t>
      </w:r>
      <w:r>
        <w:rPr>
          <w:color w:val="231F20"/>
          <w:w w:val="105"/>
        </w:rPr>
        <w:t>formas</w:t>
      </w:r>
      <w:r>
        <w:rPr>
          <w:color w:val="231F20"/>
          <w:spacing w:val="-32"/>
          <w:w w:val="105"/>
        </w:rPr>
        <w:t> </w:t>
      </w:r>
      <w:r>
        <w:rPr>
          <w:color w:val="231F20"/>
          <w:w w:val="105"/>
        </w:rPr>
        <w:t>de violencia:</w:t>
      </w:r>
      <w:r>
        <w:rPr>
          <w:color w:val="231F20"/>
          <w:spacing w:val="-24"/>
          <w:w w:val="105"/>
        </w:rPr>
        <w:t> </w:t>
      </w:r>
      <w:r>
        <w:rPr>
          <w:color w:val="231F20"/>
          <w:w w:val="105"/>
        </w:rPr>
        <w:t>la</w:t>
      </w:r>
      <w:r>
        <w:rPr>
          <w:color w:val="231F20"/>
          <w:spacing w:val="-24"/>
          <w:w w:val="105"/>
        </w:rPr>
        <w:t> </w:t>
      </w:r>
      <w:r>
        <w:rPr>
          <w:color w:val="231F20"/>
          <w:w w:val="105"/>
        </w:rPr>
        <w:t>institucional</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no</w:t>
      </w:r>
      <w:r>
        <w:rPr>
          <w:color w:val="231F20"/>
          <w:spacing w:val="-24"/>
          <w:w w:val="105"/>
        </w:rPr>
        <w:t> </w:t>
      </w:r>
      <w:r>
        <w:rPr>
          <w:color w:val="231F20"/>
          <w:w w:val="105"/>
        </w:rPr>
        <w:t>institucional.</w:t>
      </w:r>
      <w:r>
        <w:rPr>
          <w:color w:val="231F20"/>
          <w:spacing w:val="-28"/>
          <w:w w:val="105"/>
        </w:rPr>
        <w:t> </w:t>
      </w:r>
      <w:r>
        <w:rPr>
          <w:color w:val="231F20"/>
          <w:w w:val="105"/>
        </w:rPr>
        <w:t>La</w:t>
      </w:r>
      <w:r>
        <w:rPr>
          <w:color w:val="231F20"/>
          <w:spacing w:val="-24"/>
          <w:w w:val="105"/>
        </w:rPr>
        <w:t> </w:t>
      </w:r>
      <w:r>
        <w:rPr>
          <w:color w:val="231F20"/>
          <w:w w:val="105"/>
        </w:rPr>
        <w:t>primera</w:t>
      </w:r>
      <w:r>
        <w:rPr>
          <w:color w:val="231F20"/>
          <w:spacing w:val="-24"/>
          <w:w w:val="105"/>
        </w:rPr>
        <w:t> </w:t>
      </w:r>
      <w:r>
        <w:rPr>
          <w:color w:val="231F20"/>
          <w:spacing w:val="-3"/>
          <w:w w:val="105"/>
        </w:rPr>
        <w:t>ocurre</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spacing w:val="-3"/>
          <w:w w:val="105"/>
        </w:rPr>
        <w:t>mar- </w:t>
      </w:r>
      <w:r>
        <w:rPr>
          <w:color w:val="231F20"/>
          <w:w w:val="105"/>
        </w:rPr>
        <w:t>co</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instituciones</w:t>
      </w:r>
      <w:r>
        <w:rPr>
          <w:color w:val="231F20"/>
          <w:spacing w:val="-24"/>
          <w:w w:val="105"/>
        </w:rPr>
        <w:t> </w:t>
      </w:r>
      <w:r>
        <w:rPr>
          <w:color w:val="231F20"/>
          <w:w w:val="105"/>
        </w:rPr>
        <w:t>mediante</w:t>
      </w:r>
      <w:r>
        <w:rPr>
          <w:color w:val="231F20"/>
          <w:spacing w:val="-24"/>
          <w:w w:val="105"/>
        </w:rPr>
        <w:t> </w:t>
      </w:r>
      <w:r>
        <w:rPr>
          <w:color w:val="231F20"/>
          <w:w w:val="105"/>
        </w:rPr>
        <w:t>la</w:t>
      </w:r>
      <w:r>
        <w:rPr>
          <w:color w:val="231F20"/>
          <w:spacing w:val="-24"/>
          <w:w w:val="105"/>
        </w:rPr>
        <w:t> </w:t>
      </w:r>
      <w:r>
        <w:rPr>
          <w:color w:val="231F20"/>
          <w:w w:val="105"/>
        </w:rPr>
        <w:t>implementación</w:t>
      </w:r>
      <w:r>
        <w:rPr>
          <w:color w:val="231F20"/>
          <w:spacing w:val="-24"/>
          <w:w w:val="105"/>
        </w:rPr>
        <w:t> </w:t>
      </w:r>
      <w:r>
        <w:rPr>
          <w:color w:val="231F20"/>
          <w:w w:val="105"/>
        </w:rPr>
        <w:t>de</w:t>
      </w:r>
      <w:r>
        <w:rPr>
          <w:color w:val="231F20"/>
          <w:spacing w:val="-24"/>
          <w:w w:val="105"/>
        </w:rPr>
        <w:t> </w:t>
      </w:r>
      <w:r>
        <w:rPr>
          <w:color w:val="231F20"/>
          <w:w w:val="105"/>
        </w:rPr>
        <w:t>leyes</w:t>
      </w:r>
      <w:r>
        <w:rPr>
          <w:color w:val="231F20"/>
          <w:spacing w:val="-24"/>
          <w:w w:val="105"/>
        </w:rPr>
        <w:t> </w:t>
      </w:r>
      <w:r>
        <w:rPr>
          <w:color w:val="231F20"/>
          <w:w w:val="105"/>
        </w:rPr>
        <w:t>y</w:t>
      </w:r>
      <w:r>
        <w:rPr>
          <w:color w:val="231F20"/>
          <w:spacing w:val="-24"/>
          <w:w w:val="105"/>
        </w:rPr>
        <w:t> </w:t>
      </w:r>
      <w:r>
        <w:rPr>
          <w:color w:val="231F20"/>
          <w:spacing w:val="-3"/>
          <w:w w:val="105"/>
        </w:rPr>
        <w:t>normativas </w:t>
      </w:r>
      <w:r>
        <w:rPr>
          <w:color w:val="231F20"/>
          <w:w w:val="105"/>
        </w:rPr>
        <w:t>no</w:t>
      </w:r>
      <w:r>
        <w:rPr>
          <w:color w:val="231F20"/>
          <w:spacing w:val="-23"/>
          <w:w w:val="105"/>
        </w:rPr>
        <w:t> </w:t>
      </w:r>
      <w:r>
        <w:rPr>
          <w:color w:val="231F20"/>
          <w:spacing w:val="-3"/>
          <w:w w:val="105"/>
        </w:rPr>
        <w:t>correspondientes</w:t>
      </w:r>
      <w:r>
        <w:rPr>
          <w:color w:val="231F20"/>
          <w:spacing w:val="-23"/>
          <w:w w:val="105"/>
        </w:rPr>
        <w:t> </w:t>
      </w:r>
      <w:r>
        <w:rPr>
          <w:color w:val="231F20"/>
          <w:w w:val="105"/>
        </w:rPr>
        <w:t>con</w:t>
      </w:r>
      <w:r>
        <w:rPr>
          <w:color w:val="231F20"/>
          <w:spacing w:val="-23"/>
          <w:w w:val="105"/>
        </w:rPr>
        <w:t> </w:t>
      </w:r>
      <w:r>
        <w:rPr>
          <w:color w:val="231F20"/>
          <w:w w:val="105"/>
        </w:rPr>
        <w:t>los</w:t>
      </w:r>
      <w:r>
        <w:rPr>
          <w:color w:val="231F20"/>
          <w:spacing w:val="-23"/>
          <w:w w:val="105"/>
        </w:rPr>
        <w:t> </w:t>
      </w:r>
      <w:r>
        <w:rPr>
          <w:color w:val="231F20"/>
          <w:spacing w:val="-3"/>
          <w:w w:val="105"/>
        </w:rPr>
        <w:t>derechos</w:t>
      </w:r>
      <w:r>
        <w:rPr>
          <w:color w:val="231F20"/>
          <w:spacing w:val="-23"/>
          <w:w w:val="105"/>
        </w:rPr>
        <w:t> </w:t>
      </w:r>
      <w:r>
        <w:rPr>
          <w:color w:val="231F20"/>
          <w:w w:val="105"/>
        </w:rPr>
        <w:t>humanos</w:t>
      </w:r>
      <w:r>
        <w:rPr>
          <w:color w:val="231F20"/>
          <w:spacing w:val="-23"/>
          <w:w w:val="105"/>
        </w:rPr>
        <w:t> </w:t>
      </w:r>
      <w:r>
        <w:rPr>
          <w:color w:val="231F20"/>
          <w:w w:val="105"/>
        </w:rPr>
        <w:t>universales,</w:t>
      </w:r>
      <w:r>
        <w:rPr>
          <w:color w:val="231F20"/>
          <w:spacing w:val="-28"/>
          <w:w w:val="105"/>
        </w:rPr>
        <w:t> </w:t>
      </w:r>
      <w:r>
        <w:rPr>
          <w:color w:val="231F20"/>
          <w:w w:val="105"/>
        </w:rPr>
        <w:t>así</w:t>
      </w:r>
      <w:r>
        <w:rPr>
          <w:color w:val="231F20"/>
          <w:spacing w:val="-23"/>
          <w:w w:val="105"/>
        </w:rPr>
        <w:t> </w:t>
      </w:r>
      <w:r>
        <w:rPr>
          <w:color w:val="231F20"/>
          <w:w w:val="105"/>
        </w:rPr>
        <w:t>como</w:t>
      </w:r>
      <w:r>
        <w:rPr>
          <w:color w:val="231F20"/>
          <w:spacing w:val="-23"/>
          <w:w w:val="105"/>
        </w:rPr>
        <w:t> </w:t>
      </w:r>
      <w:r>
        <w:rPr>
          <w:color w:val="231F20"/>
          <w:w w:val="105"/>
        </w:rPr>
        <w:t>en la</w:t>
      </w:r>
      <w:r>
        <w:rPr>
          <w:color w:val="231F20"/>
          <w:spacing w:val="-14"/>
          <w:w w:val="105"/>
        </w:rPr>
        <w:t> </w:t>
      </w:r>
      <w:r>
        <w:rPr>
          <w:color w:val="231F20"/>
          <w:spacing w:val="-3"/>
          <w:w w:val="105"/>
        </w:rPr>
        <w:t>presencia</w:t>
      </w:r>
      <w:r>
        <w:rPr>
          <w:color w:val="231F20"/>
          <w:spacing w:val="-14"/>
          <w:w w:val="105"/>
        </w:rPr>
        <w:t> </w:t>
      </w:r>
      <w:r>
        <w:rPr>
          <w:color w:val="231F20"/>
          <w:w w:val="105"/>
        </w:rPr>
        <w:t>de</w:t>
      </w:r>
      <w:r>
        <w:rPr>
          <w:color w:val="231F20"/>
          <w:spacing w:val="-14"/>
          <w:w w:val="105"/>
        </w:rPr>
        <w:t> </w:t>
      </w:r>
      <w:r>
        <w:rPr>
          <w:color w:val="231F20"/>
          <w:spacing w:val="-2"/>
          <w:w w:val="105"/>
        </w:rPr>
        <w:t>prácticas</w:t>
      </w:r>
      <w:r>
        <w:rPr>
          <w:color w:val="231F20"/>
          <w:spacing w:val="-14"/>
          <w:w w:val="105"/>
        </w:rPr>
        <w:t> </w:t>
      </w:r>
      <w:r>
        <w:rPr>
          <w:color w:val="231F20"/>
          <w:w w:val="105"/>
        </w:rPr>
        <w:t>de</w:t>
      </w:r>
      <w:r>
        <w:rPr>
          <w:color w:val="231F20"/>
          <w:spacing w:val="-14"/>
          <w:w w:val="105"/>
        </w:rPr>
        <w:t> </w:t>
      </w:r>
      <w:r>
        <w:rPr>
          <w:color w:val="231F20"/>
          <w:w w:val="105"/>
        </w:rPr>
        <w:t>abuso</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spacing w:val="-3"/>
          <w:w w:val="105"/>
        </w:rPr>
        <w:t>propios</w:t>
      </w:r>
      <w:r>
        <w:rPr>
          <w:color w:val="231F20"/>
          <w:spacing w:val="-14"/>
          <w:w w:val="105"/>
        </w:rPr>
        <w:t> </w:t>
      </w:r>
      <w:r>
        <w:rPr>
          <w:color w:val="231F20"/>
          <w:w w:val="105"/>
        </w:rPr>
        <w:t>funcionarios</w:t>
      </w:r>
      <w:r>
        <w:rPr>
          <w:color w:val="231F20"/>
          <w:spacing w:val="-14"/>
          <w:w w:val="105"/>
        </w:rPr>
        <w:t> </w:t>
      </w:r>
      <w:r>
        <w:rPr>
          <w:color w:val="231F20"/>
          <w:w w:val="105"/>
        </w:rPr>
        <w:t>públicos </w:t>
      </w:r>
      <w:r>
        <w:rPr>
          <w:color w:val="231F20"/>
          <w:spacing w:val="-3"/>
          <w:w w:val="105"/>
        </w:rPr>
        <w:t>ejercen,</w:t>
      </w:r>
      <w:r>
        <w:rPr>
          <w:color w:val="231F20"/>
          <w:spacing w:val="-26"/>
          <w:w w:val="105"/>
        </w:rPr>
        <w:t> </w:t>
      </w:r>
      <w:r>
        <w:rPr>
          <w:color w:val="231F20"/>
          <w:w w:val="105"/>
        </w:rPr>
        <w:t>dado</w:t>
      </w:r>
      <w:r>
        <w:rPr>
          <w:color w:val="231F20"/>
          <w:spacing w:val="-21"/>
          <w:w w:val="105"/>
        </w:rPr>
        <w:t> </w:t>
      </w:r>
      <w:r>
        <w:rPr>
          <w:color w:val="231F20"/>
          <w:w w:val="105"/>
        </w:rPr>
        <w:t>el</w:t>
      </w:r>
      <w:r>
        <w:rPr>
          <w:color w:val="231F20"/>
          <w:spacing w:val="-21"/>
          <w:w w:val="105"/>
        </w:rPr>
        <w:t> </w:t>
      </w:r>
      <w:r>
        <w:rPr>
          <w:color w:val="231F20"/>
          <w:w w:val="105"/>
        </w:rPr>
        <w:t>desconocimiento,</w:t>
      </w:r>
      <w:r>
        <w:rPr>
          <w:color w:val="231F20"/>
          <w:spacing w:val="-26"/>
          <w:w w:val="105"/>
        </w:rPr>
        <w:t> </w:t>
      </w:r>
      <w:r>
        <w:rPr>
          <w:color w:val="231F20"/>
          <w:spacing w:val="-3"/>
          <w:w w:val="105"/>
        </w:rPr>
        <w:t>sobre</w:t>
      </w:r>
      <w:r>
        <w:rPr>
          <w:color w:val="231F20"/>
          <w:spacing w:val="-21"/>
          <w:w w:val="105"/>
        </w:rPr>
        <w:t> </w:t>
      </w:r>
      <w:r>
        <w:rPr>
          <w:color w:val="231F20"/>
          <w:w w:val="105"/>
        </w:rPr>
        <w:t>las</w:t>
      </w:r>
      <w:r>
        <w:rPr>
          <w:color w:val="231F20"/>
          <w:spacing w:val="-21"/>
          <w:w w:val="105"/>
        </w:rPr>
        <w:t> </w:t>
      </w:r>
      <w:r>
        <w:rPr>
          <w:color w:val="231F20"/>
          <w:w w:val="105"/>
        </w:rPr>
        <w:t>garantías</w:t>
      </w:r>
      <w:r>
        <w:rPr>
          <w:color w:val="231F20"/>
          <w:spacing w:val="-21"/>
          <w:w w:val="105"/>
        </w:rPr>
        <w:t> </w:t>
      </w:r>
      <w:r>
        <w:rPr>
          <w:color w:val="231F20"/>
          <w:w w:val="105"/>
        </w:rPr>
        <w:t>y</w:t>
      </w:r>
      <w:r>
        <w:rPr>
          <w:color w:val="231F20"/>
          <w:spacing w:val="-21"/>
          <w:w w:val="105"/>
        </w:rPr>
        <w:t> </w:t>
      </w:r>
      <w:r>
        <w:rPr>
          <w:color w:val="231F20"/>
          <w:w w:val="105"/>
        </w:rPr>
        <w:t>los</w:t>
      </w:r>
      <w:r>
        <w:rPr>
          <w:color w:val="231F20"/>
          <w:spacing w:val="-21"/>
          <w:w w:val="105"/>
        </w:rPr>
        <w:t> </w:t>
      </w:r>
      <w:r>
        <w:rPr>
          <w:color w:val="231F20"/>
          <w:spacing w:val="-3"/>
          <w:w w:val="105"/>
        </w:rPr>
        <w:t>derechos</w:t>
      </w:r>
      <w:r>
        <w:rPr>
          <w:color w:val="231F20"/>
          <w:spacing w:val="-21"/>
          <w:w w:val="105"/>
        </w:rPr>
        <w:t> </w:t>
      </w:r>
      <w:r>
        <w:rPr>
          <w:color w:val="231F20"/>
          <w:spacing w:val="-2"/>
          <w:w w:val="105"/>
        </w:rPr>
        <w:t>que </w:t>
      </w:r>
      <w:r>
        <w:rPr>
          <w:color w:val="231F20"/>
          <w:w w:val="105"/>
        </w:rPr>
        <w:t>la</w:t>
      </w:r>
      <w:r>
        <w:rPr>
          <w:color w:val="231F20"/>
          <w:spacing w:val="-11"/>
          <w:w w:val="105"/>
        </w:rPr>
        <w:t> </w:t>
      </w:r>
      <w:r>
        <w:rPr>
          <w:color w:val="231F20"/>
          <w:w w:val="105"/>
        </w:rPr>
        <w:t>ley</w:t>
      </w:r>
      <w:r>
        <w:rPr>
          <w:color w:val="231F20"/>
          <w:spacing w:val="-11"/>
          <w:w w:val="105"/>
        </w:rPr>
        <w:t> </w:t>
      </w:r>
      <w:r>
        <w:rPr>
          <w:color w:val="231F20"/>
          <w:spacing w:val="-3"/>
          <w:w w:val="105"/>
        </w:rPr>
        <w:t>otorga</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migrante,</w:t>
      </w:r>
      <w:r>
        <w:rPr>
          <w:color w:val="231F20"/>
          <w:spacing w:val="-16"/>
          <w:w w:val="105"/>
        </w:rPr>
        <w:t> </w:t>
      </w:r>
      <w:r>
        <w:rPr>
          <w:color w:val="231F20"/>
          <w:w w:val="105"/>
        </w:rPr>
        <w:t>independientemente</w:t>
      </w:r>
      <w:r>
        <w:rPr>
          <w:color w:val="231F20"/>
          <w:spacing w:val="-11"/>
          <w:w w:val="105"/>
        </w:rPr>
        <w:t> </w:t>
      </w:r>
      <w:r>
        <w:rPr>
          <w:color w:val="231F20"/>
          <w:w w:val="105"/>
        </w:rPr>
        <w:t>de</w:t>
      </w:r>
      <w:r>
        <w:rPr>
          <w:color w:val="231F20"/>
          <w:spacing w:val="-11"/>
          <w:w w:val="105"/>
        </w:rPr>
        <w:t> </w:t>
      </w:r>
      <w:r>
        <w:rPr>
          <w:color w:val="231F20"/>
          <w:w w:val="105"/>
        </w:rPr>
        <w:t>su</w:t>
      </w:r>
      <w:r>
        <w:rPr>
          <w:color w:val="231F20"/>
          <w:spacing w:val="-11"/>
          <w:w w:val="105"/>
        </w:rPr>
        <w:t> </w:t>
      </w:r>
      <w:r>
        <w:rPr>
          <w:color w:val="231F20"/>
          <w:spacing w:val="-3"/>
          <w:w w:val="105"/>
        </w:rPr>
        <w:t>estatus </w:t>
      </w:r>
      <w:r>
        <w:rPr>
          <w:color w:val="231F20"/>
          <w:w w:val="105"/>
        </w:rPr>
        <w:t>legal.</w:t>
      </w:r>
      <w:r>
        <w:rPr>
          <w:color w:val="231F20"/>
          <w:spacing w:val="-18"/>
          <w:w w:val="105"/>
        </w:rPr>
        <w:t> </w:t>
      </w:r>
      <w:r>
        <w:rPr>
          <w:color w:val="231F20"/>
          <w:w w:val="105"/>
        </w:rPr>
        <w:t>Mientras</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violencia</w:t>
      </w:r>
      <w:r>
        <w:rPr>
          <w:color w:val="231F20"/>
          <w:spacing w:val="-13"/>
          <w:w w:val="105"/>
        </w:rPr>
        <w:t> </w:t>
      </w:r>
      <w:r>
        <w:rPr>
          <w:color w:val="231F20"/>
          <w:w w:val="105"/>
        </w:rPr>
        <w:t>no</w:t>
      </w:r>
      <w:r>
        <w:rPr>
          <w:color w:val="231F20"/>
          <w:spacing w:val="-13"/>
          <w:w w:val="105"/>
        </w:rPr>
        <w:t> </w:t>
      </w:r>
      <w:r>
        <w:rPr>
          <w:color w:val="231F20"/>
          <w:w w:val="105"/>
        </w:rPr>
        <w:t>institucional</w:t>
      </w:r>
      <w:r>
        <w:rPr>
          <w:color w:val="231F20"/>
          <w:spacing w:val="-13"/>
          <w:w w:val="105"/>
        </w:rPr>
        <w:t> </w:t>
      </w:r>
      <w:r>
        <w:rPr>
          <w:color w:val="231F20"/>
          <w:w w:val="105"/>
        </w:rPr>
        <w:t>es</w:t>
      </w:r>
      <w:r>
        <w:rPr>
          <w:color w:val="231F20"/>
          <w:spacing w:val="-13"/>
          <w:w w:val="105"/>
        </w:rPr>
        <w:t> </w:t>
      </w:r>
      <w:r>
        <w:rPr>
          <w:color w:val="231F20"/>
          <w:w w:val="105"/>
        </w:rPr>
        <w:t>la</w:t>
      </w:r>
      <w:r>
        <w:rPr>
          <w:color w:val="231F20"/>
          <w:spacing w:val="-13"/>
          <w:w w:val="105"/>
        </w:rPr>
        <w:t> </w:t>
      </w:r>
      <w:r>
        <w:rPr>
          <w:color w:val="231F20"/>
          <w:w w:val="105"/>
        </w:rPr>
        <w:t>que</w:t>
      </w:r>
      <w:r>
        <w:rPr>
          <w:color w:val="231F20"/>
          <w:spacing w:val="-13"/>
          <w:w w:val="105"/>
        </w:rPr>
        <w:t> </w:t>
      </w:r>
      <w:r>
        <w:rPr>
          <w:color w:val="231F20"/>
          <w:spacing w:val="-3"/>
          <w:w w:val="105"/>
        </w:rPr>
        <w:t>ejerce</w:t>
      </w:r>
      <w:r>
        <w:rPr>
          <w:color w:val="231F20"/>
          <w:spacing w:val="-13"/>
          <w:w w:val="105"/>
        </w:rPr>
        <w:t> </w:t>
      </w:r>
      <w:r>
        <w:rPr>
          <w:color w:val="231F20"/>
          <w:w w:val="105"/>
        </w:rPr>
        <w:t>la</w:t>
      </w:r>
      <w:r>
        <w:rPr>
          <w:color w:val="231F20"/>
          <w:spacing w:val="-13"/>
          <w:w w:val="105"/>
        </w:rPr>
        <w:t> </w:t>
      </w:r>
      <w:r>
        <w:rPr>
          <w:color w:val="231F20"/>
          <w:w w:val="105"/>
        </w:rPr>
        <w:t>pobla- ción</w:t>
      </w:r>
      <w:r>
        <w:rPr>
          <w:color w:val="231F20"/>
          <w:spacing w:val="-29"/>
          <w:w w:val="105"/>
        </w:rPr>
        <w:t> </w:t>
      </w:r>
      <w:r>
        <w:rPr>
          <w:color w:val="231F20"/>
          <w:w w:val="105"/>
        </w:rPr>
        <w:t>en</w:t>
      </w:r>
      <w:r>
        <w:rPr>
          <w:color w:val="231F20"/>
          <w:spacing w:val="-29"/>
          <w:w w:val="105"/>
        </w:rPr>
        <w:t> </w:t>
      </w:r>
      <w:r>
        <w:rPr>
          <w:color w:val="231F20"/>
          <w:w w:val="105"/>
        </w:rPr>
        <w:t>las</w:t>
      </w:r>
      <w:r>
        <w:rPr>
          <w:color w:val="231F20"/>
          <w:spacing w:val="-29"/>
          <w:w w:val="105"/>
        </w:rPr>
        <w:t> </w:t>
      </w:r>
      <w:r>
        <w:rPr>
          <w:color w:val="231F20"/>
          <w:w w:val="105"/>
        </w:rPr>
        <w:t>sociedades</w:t>
      </w:r>
      <w:r>
        <w:rPr>
          <w:color w:val="231F20"/>
          <w:spacing w:val="-29"/>
          <w:w w:val="105"/>
        </w:rPr>
        <w:t> </w:t>
      </w:r>
      <w:r>
        <w:rPr>
          <w:color w:val="231F20"/>
          <w:w w:val="105"/>
        </w:rPr>
        <w:t>de</w:t>
      </w:r>
      <w:r>
        <w:rPr>
          <w:color w:val="231F20"/>
          <w:spacing w:val="-29"/>
          <w:w w:val="105"/>
        </w:rPr>
        <w:t> </w:t>
      </w:r>
      <w:r>
        <w:rPr>
          <w:color w:val="231F20"/>
          <w:w w:val="105"/>
        </w:rPr>
        <w:t>de</w:t>
      </w:r>
      <w:r>
        <w:rPr>
          <w:color w:val="231F20"/>
          <w:spacing w:val="-29"/>
          <w:w w:val="105"/>
        </w:rPr>
        <w:t> </w:t>
      </w:r>
      <w:r>
        <w:rPr>
          <w:color w:val="231F20"/>
          <w:w w:val="105"/>
        </w:rPr>
        <w:t>destino</w:t>
      </w:r>
      <w:r>
        <w:rPr>
          <w:color w:val="231F20"/>
          <w:spacing w:val="-29"/>
          <w:w w:val="105"/>
        </w:rPr>
        <w:t> </w:t>
      </w:r>
      <w:r>
        <w:rPr>
          <w:color w:val="231F20"/>
          <w:w w:val="105"/>
        </w:rPr>
        <w:t>y</w:t>
      </w:r>
      <w:r>
        <w:rPr>
          <w:color w:val="231F20"/>
          <w:spacing w:val="-29"/>
          <w:w w:val="105"/>
        </w:rPr>
        <w:t> </w:t>
      </w:r>
      <w:r>
        <w:rPr>
          <w:color w:val="231F20"/>
          <w:w w:val="105"/>
        </w:rPr>
        <w:t>suele</w:t>
      </w:r>
      <w:r>
        <w:rPr>
          <w:color w:val="231F20"/>
          <w:spacing w:val="-29"/>
          <w:w w:val="105"/>
        </w:rPr>
        <w:t> </w:t>
      </w:r>
      <w:r>
        <w:rPr>
          <w:color w:val="231F20"/>
          <w:w w:val="105"/>
        </w:rPr>
        <w:t>ser</w:t>
      </w:r>
      <w:r>
        <w:rPr>
          <w:color w:val="231F20"/>
          <w:spacing w:val="-29"/>
          <w:w w:val="105"/>
        </w:rPr>
        <w:t> </w:t>
      </w:r>
      <w:r>
        <w:rPr>
          <w:color w:val="231F20"/>
          <w:w w:val="105"/>
        </w:rPr>
        <w:t>de</w:t>
      </w:r>
      <w:r>
        <w:rPr>
          <w:color w:val="231F20"/>
          <w:spacing w:val="-29"/>
          <w:w w:val="105"/>
        </w:rPr>
        <w:t> </w:t>
      </w:r>
      <w:r>
        <w:rPr>
          <w:color w:val="231F20"/>
          <w:w w:val="105"/>
        </w:rPr>
        <w:t>tipo</w:t>
      </w:r>
      <w:r>
        <w:rPr>
          <w:color w:val="231F20"/>
          <w:spacing w:val="-29"/>
          <w:w w:val="105"/>
        </w:rPr>
        <w:t> </w:t>
      </w:r>
      <w:r>
        <w:rPr>
          <w:color w:val="231F20"/>
          <w:w w:val="105"/>
        </w:rPr>
        <w:t>cultural,</w:t>
      </w:r>
      <w:r>
        <w:rPr>
          <w:color w:val="231F20"/>
          <w:spacing w:val="-34"/>
          <w:w w:val="105"/>
        </w:rPr>
        <w:t> </w:t>
      </w:r>
      <w:r>
        <w:rPr>
          <w:color w:val="231F20"/>
          <w:w w:val="105"/>
        </w:rPr>
        <w:t>simbólica y</w:t>
      </w:r>
      <w:r>
        <w:rPr>
          <w:color w:val="231F20"/>
          <w:spacing w:val="-15"/>
          <w:w w:val="105"/>
        </w:rPr>
        <w:t> </w:t>
      </w:r>
      <w:r>
        <w:rPr>
          <w:color w:val="231F20"/>
          <w:w w:val="105"/>
        </w:rPr>
        <w:t>física,</w:t>
      </w:r>
      <w:r>
        <w:rPr>
          <w:color w:val="231F20"/>
          <w:spacing w:val="-20"/>
          <w:w w:val="105"/>
        </w:rPr>
        <w:t> </w:t>
      </w:r>
      <w:r>
        <w:rPr>
          <w:color w:val="231F20"/>
          <w:w w:val="105"/>
        </w:rPr>
        <w:t>por</w:t>
      </w:r>
      <w:r>
        <w:rPr>
          <w:color w:val="231F20"/>
          <w:spacing w:val="-15"/>
          <w:w w:val="105"/>
        </w:rPr>
        <w:t> </w:t>
      </w:r>
      <w:r>
        <w:rPr>
          <w:color w:val="231F20"/>
          <w:w w:val="105"/>
        </w:rPr>
        <w:t>lo</w:t>
      </w:r>
      <w:r>
        <w:rPr>
          <w:color w:val="231F20"/>
          <w:spacing w:val="-15"/>
          <w:w w:val="105"/>
        </w:rPr>
        <w:t> </w:t>
      </w:r>
      <w:r>
        <w:rPr>
          <w:color w:val="231F20"/>
          <w:w w:val="105"/>
        </w:rPr>
        <w:t>cual</w:t>
      </w:r>
      <w:r>
        <w:rPr>
          <w:color w:val="231F20"/>
          <w:spacing w:val="-15"/>
          <w:w w:val="105"/>
        </w:rPr>
        <w:t> </w:t>
      </w:r>
      <w:r>
        <w:rPr>
          <w:color w:val="231F20"/>
          <w:w w:val="105"/>
        </w:rPr>
        <w:t>implica</w:t>
      </w:r>
      <w:r>
        <w:rPr>
          <w:color w:val="231F20"/>
          <w:spacing w:val="-15"/>
          <w:w w:val="105"/>
        </w:rPr>
        <w:t> </w:t>
      </w:r>
      <w:r>
        <w:rPr>
          <w:color w:val="231F20"/>
          <w:w w:val="105"/>
        </w:rPr>
        <w:t>actos</w:t>
      </w:r>
      <w:r>
        <w:rPr>
          <w:color w:val="231F20"/>
          <w:spacing w:val="-15"/>
          <w:w w:val="105"/>
        </w:rPr>
        <w:t> </w:t>
      </w:r>
      <w:r>
        <w:rPr>
          <w:color w:val="231F20"/>
          <w:w w:val="105"/>
        </w:rPr>
        <w:t>de</w:t>
      </w:r>
      <w:r>
        <w:rPr>
          <w:color w:val="231F20"/>
          <w:spacing w:val="-15"/>
          <w:w w:val="105"/>
        </w:rPr>
        <w:t> </w:t>
      </w:r>
      <w:r>
        <w:rPr>
          <w:color w:val="231F20"/>
          <w:w w:val="105"/>
        </w:rPr>
        <w:t>discriminación</w:t>
      </w:r>
      <w:r>
        <w:rPr>
          <w:color w:val="231F20"/>
          <w:spacing w:val="-15"/>
          <w:w w:val="105"/>
        </w:rPr>
        <w:t> </w:t>
      </w:r>
      <w:r>
        <w:rPr>
          <w:color w:val="231F20"/>
          <w:w w:val="105"/>
        </w:rPr>
        <w:t>racial,</w:t>
      </w:r>
      <w:r>
        <w:rPr>
          <w:color w:val="231F20"/>
          <w:spacing w:val="-20"/>
          <w:w w:val="105"/>
        </w:rPr>
        <w:t> </w:t>
      </w:r>
      <w:r>
        <w:rPr>
          <w:color w:val="231F20"/>
          <w:w w:val="105"/>
        </w:rPr>
        <w:t>de</w:t>
      </w:r>
      <w:r>
        <w:rPr>
          <w:color w:val="231F20"/>
          <w:spacing w:val="-15"/>
          <w:w w:val="105"/>
        </w:rPr>
        <w:t> </w:t>
      </w:r>
      <w:r>
        <w:rPr>
          <w:color w:val="231F20"/>
          <w:spacing w:val="-3"/>
          <w:w w:val="105"/>
        </w:rPr>
        <w:t>género</w:t>
      </w:r>
      <w:r>
        <w:rPr>
          <w:color w:val="231F20"/>
          <w:spacing w:val="-15"/>
          <w:w w:val="105"/>
        </w:rPr>
        <w:t> </w:t>
      </w:r>
      <w:r>
        <w:rPr>
          <w:color w:val="231F20"/>
          <w:w w:val="105"/>
        </w:rPr>
        <w:t>o</w:t>
      </w:r>
      <w:r>
        <w:rPr>
          <w:color w:val="231F20"/>
          <w:spacing w:val="-15"/>
          <w:w w:val="105"/>
        </w:rPr>
        <w:t> </w:t>
      </w:r>
      <w:r>
        <w:rPr>
          <w:color w:val="231F20"/>
          <w:w w:val="105"/>
        </w:rPr>
        <w:t>de origen</w:t>
      </w:r>
      <w:r>
        <w:rPr>
          <w:color w:val="231F20"/>
          <w:spacing w:val="-16"/>
          <w:w w:val="105"/>
        </w:rPr>
        <w:t> </w:t>
      </w:r>
      <w:r>
        <w:rPr>
          <w:color w:val="231F20"/>
          <w:spacing w:val="-3"/>
          <w:w w:val="105"/>
        </w:rPr>
        <w:t>regional</w:t>
      </w:r>
      <w:r>
        <w:rPr>
          <w:color w:val="231F20"/>
          <w:spacing w:val="-16"/>
          <w:w w:val="105"/>
        </w:rPr>
        <w:t> </w:t>
      </w:r>
      <w:r>
        <w:rPr>
          <w:color w:val="231F20"/>
          <w:w w:val="105"/>
        </w:rPr>
        <w:t>que</w:t>
      </w:r>
      <w:r>
        <w:rPr>
          <w:color w:val="231F20"/>
          <w:spacing w:val="-16"/>
          <w:w w:val="105"/>
        </w:rPr>
        <w:t> </w:t>
      </w:r>
      <w:r>
        <w:rPr>
          <w:color w:val="231F20"/>
          <w:w w:val="105"/>
        </w:rPr>
        <w:t>denigran</w:t>
      </w:r>
      <w:r>
        <w:rPr>
          <w:color w:val="231F20"/>
          <w:spacing w:val="-16"/>
          <w:w w:val="105"/>
        </w:rPr>
        <w:t> </w:t>
      </w:r>
      <w:r>
        <w:rPr>
          <w:color w:val="231F20"/>
          <w:w w:val="105"/>
        </w:rPr>
        <w:t>la</w:t>
      </w:r>
      <w:r>
        <w:rPr>
          <w:color w:val="231F20"/>
          <w:spacing w:val="-16"/>
          <w:w w:val="105"/>
        </w:rPr>
        <w:t> </w:t>
      </w:r>
      <w:r>
        <w:rPr>
          <w:color w:val="231F20"/>
          <w:w w:val="105"/>
        </w:rPr>
        <w:t>dignidad</w:t>
      </w:r>
      <w:r>
        <w:rPr>
          <w:color w:val="231F20"/>
          <w:spacing w:val="-16"/>
          <w:w w:val="105"/>
        </w:rPr>
        <w:t> </w:t>
      </w:r>
      <w:r>
        <w:rPr>
          <w:color w:val="231F20"/>
          <w:w w:val="105"/>
        </w:rPr>
        <w:t>humana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migrantes.</w:t>
      </w:r>
      <w:r>
        <w:rPr>
          <w:color w:val="231F20"/>
          <w:spacing w:val="-23"/>
          <w:w w:val="105"/>
        </w:rPr>
        <w:t> </w:t>
      </w:r>
      <w:r>
        <w:rPr>
          <w:color w:val="231F20"/>
          <w:w w:val="105"/>
        </w:rPr>
        <w:t>En</w:t>
      </w:r>
      <w:r>
        <w:rPr>
          <w:color w:val="231F20"/>
          <w:spacing w:val="-16"/>
          <w:w w:val="105"/>
        </w:rPr>
        <w:t> </w:t>
      </w:r>
      <w:r>
        <w:rPr>
          <w:color w:val="231F20"/>
          <w:w w:val="105"/>
        </w:rPr>
        <w:t>la </w:t>
      </w:r>
      <w:r>
        <w:rPr>
          <w:color w:val="231F20"/>
          <w:spacing w:val="-2"/>
          <w:w w:val="105"/>
        </w:rPr>
        <w:t>articulación</w:t>
      </w:r>
      <w:r>
        <w:rPr>
          <w:color w:val="231F20"/>
          <w:spacing w:val="-24"/>
          <w:w w:val="105"/>
        </w:rPr>
        <w:t> </w:t>
      </w:r>
      <w:r>
        <w:rPr>
          <w:color w:val="231F20"/>
          <w:w w:val="105"/>
        </w:rPr>
        <w:t>de</w:t>
      </w:r>
      <w:r>
        <w:rPr>
          <w:color w:val="231F20"/>
          <w:spacing w:val="-24"/>
          <w:w w:val="105"/>
        </w:rPr>
        <w:t> </w:t>
      </w:r>
      <w:r>
        <w:rPr>
          <w:color w:val="231F20"/>
          <w:w w:val="105"/>
        </w:rPr>
        <w:t>ambos</w:t>
      </w:r>
      <w:r>
        <w:rPr>
          <w:color w:val="231F20"/>
          <w:spacing w:val="-24"/>
          <w:w w:val="105"/>
        </w:rPr>
        <w:t> </w:t>
      </w:r>
      <w:r>
        <w:rPr>
          <w:color w:val="231F20"/>
          <w:w w:val="105"/>
        </w:rPr>
        <w:t>tipos</w:t>
      </w:r>
      <w:r>
        <w:rPr>
          <w:color w:val="231F20"/>
          <w:spacing w:val="-24"/>
          <w:w w:val="105"/>
        </w:rPr>
        <w:t> </w:t>
      </w:r>
      <w:r>
        <w:rPr>
          <w:color w:val="231F20"/>
          <w:w w:val="105"/>
        </w:rPr>
        <w:t>de</w:t>
      </w:r>
      <w:r>
        <w:rPr>
          <w:color w:val="231F20"/>
          <w:spacing w:val="-24"/>
          <w:w w:val="105"/>
        </w:rPr>
        <w:t> </w:t>
      </w:r>
      <w:r>
        <w:rPr>
          <w:color w:val="231F20"/>
          <w:w w:val="105"/>
        </w:rPr>
        <w:t>violencia</w:t>
      </w:r>
      <w:r>
        <w:rPr>
          <w:color w:val="231F20"/>
          <w:spacing w:val="-24"/>
          <w:w w:val="105"/>
        </w:rPr>
        <w:t> </w:t>
      </w:r>
      <w:r>
        <w:rPr>
          <w:color w:val="231F20"/>
          <w:w w:val="105"/>
        </w:rPr>
        <w:t>debe</w:t>
      </w:r>
      <w:r>
        <w:rPr>
          <w:color w:val="231F20"/>
          <w:spacing w:val="-24"/>
          <w:w w:val="105"/>
        </w:rPr>
        <w:t> </w:t>
      </w:r>
      <w:r>
        <w:rPr>
          <w:color w:val="231F20"/>
          <w:w w:val="105"/>
        </w:rPr>
        <w:t>entonces</w:t>
      </w:r>
      <w:r>
        <w:rPr>
          <w:color w:val="231F20"/>
          <w:spacing w:val="-24"/>
          <w:w w:val="105"/>
        </w:rPr>
        <w:t> </w:t>
      </w:r>
      <w:r>
        <w:rPr>
          <w:color w:val="231F20"/>
          <w:spacing w:val="-2"/>
          <w:w w:val="105"/>
        </w:rPr>
        <w:t>considerarse</w:t>
      </w:r>
      <w:r>
        <w:rPr>
          <w:color w:val="231F20"/>
          <w:spacing w:val="-24"/>
          <w:w w:val="105"/>
        </w:rPr>
        <w:t> </w:t>
      </w:r>
      <w:r>
        <w:rPr>
          <w:color w:val="231F20"/>
          <w:spacing w:val="-2"/>
          <w:w w:val="105"/>
        </w:rPr>
        <w:t>que </w:t>
      </w:r>
      <w:r>
        <w:rPr>
          <w:color w:val="231F20"/>
          <w:w w:val="105"/>
        </w:rPr>
        <w:t>la</w:t>
      </w:r>
      <w:r>
        <w:rPr>
          <w:color w:val="231F20"/>
          <w:spacing w:val="-11"/>
          <w:w w:val="105"/>
        </w:rPr>
        <w:t> </w:t>
      </w:r>
      <w:r>
        <w:rPr>
          <w:color w:val="231F20"/>
          <w:spacing w:val="-3"/>
          <w:w w:val="105"/>
        </w:rPr>
        <w:t>“obligación</w:t>
      </w:r>
      <w:r>
        <w:rPr>
          <w:color w:val="231F20"/>
          <w:spacing w:val="-11"/>
          <w:w w:val="105"/>
        </w:rPr>
        <w:t> </w:t>
      </w:r>
      <w:r>
        <w:rPr>
          <w:color w:val="231F20"/>
          <w:w w:val="105"/>
        </w:rPr>
        <w:t>del</w:t>
      </w:r>
      <w:r>
        <w:rPr>
          <w:color w:val="231F20"/>
          <w:spacing w:val="-11"/>
          <w:w w:val="105"/>
        </w:rPr>
        <w:t> </w:t>
      </w:r>
      <w:r>
        <w:rPr>
          <w:color w:val="231F20"/>
          <w:w w:val="105"/>
        </w:rPr>
        <w:t>Estado</w:t>
      </w:r>
      <w:r>
        <w:rPr>
          <w:color w:val="231F20"/>
          <w:spacing w:val="-11"/>
          <w:w w:val="105"/>
        </w:rPr>
        <w:t> </w:t>
      </w:r>
      <w:r>
        <w:rPr>
          <w:color w:val="231F20"/>
          <w:w w:val="105"/>
        </w:rPr>
        <w:t>en</w:t>
      </w:r>
      <w:r>
        <w:rPr>
          <w:color w:val="231F20"/>
          <w:spacing w:val="-11"/>
          <w:w w:val="105"/>
        </w:rPr>
        <w:t> </w:t>
      </w:r>
      <w:r>
        <w:rPr>
          <w:color w:val="231F20"/>
          <w:w w:val="105"/>
        </w:rPr>
        <w:t>materia</w:t>
      </w:r>
      <w:r>
        <w:rPr>
          <w:color w:val="231F20"/>
          <w:spacing w:val="-11"/>
          <w:w w:val="105"/>
        </w:rPr>
        <w:t> </w:t>
      </w:r>
      <w:r>
        <w:rPr>
          <w:color w:val="231F20"/>
          <w:w w:val="105"/>
        </w:rPr>
        <w:t>de</w:t>
      </w:r>
      <w:r>
        <w:rPr>
          <w:color w:val="231F20"/>
          <w:spacing w:val="-11"/>
          <w:w w:val="105"/>
        </w:rPr>
        <w:t> </w:t>
      </w:r>
      <w:r>
        <w:rPr>
          <w:color w:val="231F20"/>
          <w:spacing w:val="-3"/>
          <w:w w:val="105"/>
        </w:rPr>
        <w:t>derechos</w:t>
      </w:r>
      <w:r>
        <w:rPr>
          <w:color w:val="231F20"/>
          <w:spacing w:val="-11"/>
          <w:w w:val="105"/>
        </w:rPr>
        <w:t> </w:t>
      </w:r>
      <w:r>
        <w:rPr>
          <w:color w:val="231F20"/>
          <w:w w:val="105"/>
        </w:rPr>
        <w:t>humanos</w:t>
      </w:r>
      <w:r>
        <w:rPr>
          <w:color w:val="231F20"/>
          <w:spacing w:val="-11"/>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spacing w:val="-3"/>
          <w:w w:val="105"/>
        </w:rPr>
        <w:t>reduce </w:t>
      </w:r>
      <w:r>
        <w:rPr>
          <w:color w:val="231F20"/>
          <w:w w:val="105"/>
        </w:rPr>
        <w:t>a</w:t>
      </w:r>
      <w:r>
        <w:rPr>
          <w:color w:val="231F20"/>
          <w:spacing w:val="-8"/>
          <w:w w:val="105"/>
        </w:rPr>
        <w:t> </w:t>
      </w:r>
      <w:r>
        <w:rPr>
          <w:color w:val="231F20"/>
          <w:w w:val="105"/>
        </w:rPr>
        <w:t>la</w:t>
      </w:r>
      <w:r>
        <w:rPr>
          <w:color w:val="231F20"/>
          <w:spacing w:val="-8"/>
          <w:w w:val="105"/>
        </w:rPr>
        <w:t> </w:t>
      </w:r>
      <w:r>
        <w:rPr>
          <w:color w:val="231F20"/>
          <w:spacing w:val="-3"/>
          <w:w w:val="105"/>
        </w:rPr>
        <w:t>responsabilidad</w:t>
      </w:r>
      <w:r>
        <w:rPr>
          <w:color w:val="231F20"/>
          <w:spacing w:val="-8"/>
          <w:w w:val="105"/>
        </w:rPr>
        <w:t> </w:t>
      </w:r>
      <w:r>
        <w:rPr>
          <w:color w:val="231F20"/>
          <w:w w:val="105"/>
        </w:rPr>
        <w:t>de</w:t>
      </w:r>
      <w:r>
        <w:rPr>
          <w:color w:val="231F20"/>
          <w:spacing w:val="-8"/>
          <w:w w:val="105"/>
        </w:rPr>
        <w:t> </w:t>
      </w:r>
      <w:r>
        <w:rPr>
          <w:color w:val="231F20"/>
          <w:spacing w:val="-3"/>
          <w:w w:val="105"/>
        </w:rPr>
        <w:t>respetarlos,</w:t>
      </w:r>
      <w:r>
        <w:rPr>
          <w:color w:val="231F20"/>
          <w:spacing w:val="-14"/>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sentido</w:t>
      </w:r>
      <w:r>
        <w:rPr>
          <w:color w:val="231F20"/>
          <w:spacing w:val="-8"/>
          <w:w w:val="105"/>
        </w:rPr>
        <w:t> </w:t>
      </w:r>
      <w:r>
        <w:rPr>
          <w:color w:val="231F20"/>
          <w:w w:val="105"/>
        </w:rPr>
        <w:t>de</w:t>
      </w:r>
      <w:r>
        <w:rPr>
          <w:color w:val="231F20"/>
          <w:spacing w:val="-8"/>
          <w:w w:val="105"/>
        </w:rPr>
        <w:t> </w:t>
      </w:r>
      <w:r>
        <w:rPr>
          <w:color w:val="231F20"/>
          <w:w w:val="105"/>
        </w:rPr>
        <w:t>conformar</w:t>
      </w:r>
      <w:r>
        <w:rPr>
          <w:color w:val="231F20"/>
          <w:spacing w:val="-8"/>
          <w:w w:val="105"/>
        </w:rPr>
        <w:t> </w:t>
      </w:r>
      <w:r>
        <w:rPr>
          <w:color w:val="231F20"/>
          <w:w w:val="105"/>
        </w:rPr>
        <w:t>los</w:t>
      </w:r>
      <w:r>
        <w:rPr>
          <w:color w:val="231F20"/>
          <w:spacing w:val="-8"/>
          <w:w w:val="105"/>
        </w:rPr>
        <w:t> </w:t>
      </w:r>
      <w:r>
        <w:rPr>
          <w:color w:val="231F20"/>
          <w:spacing w:val="-3"/>
          <w:w w:val="105"/>
        </w:rPr>
        <w:t>orde- </w:t>
      </w:r>
      <w:r>
        <w:rPr>
          <w:color w:val="231F20"/>
          <w:w w:val="105"/>
        </w:rPr>
        <w:t>namientos</w:t>
      </w:r>
      <w:r>
        <w:rPr>
          <w:color w:val="231F20"/>
          <w:spacing w:val="-21"/>
          <w:w w:val="105"/>
        </w:rPr>
        <w:t> </w:t>
      </w:r>
      <w:r>
        <w:rPr>
          <w:color w:val="231F20"/>
          <w:w w:val="105"/>
        </w:rPr>
        <w:t>necesarios</w:t>
      </w:r>
      <w:r>
        <w:rPr>
          <w:color w:val="231F20"/>
          <w:spacing w:val="-21"/>
          <w:w w:val="105"/>
        </w:rPr>
        <w:t> </w:t>
      </w:r>
      <w:r>
        <w:rPr>
          <w:color w:val="231F20"/>
          <w:w w:val="105"/>
        </w:rPr>
        <w:t>y</w:t>
      </w:r>
      <w:r>
        <w:rPr>
          <w:color w:val="231F20"/>
          <w:spacing w:val="-21"/>
          <w:w w:val="105"/>
        </w:rPr>
        <w:t> </w:t>
      </w:r>
      <w:r>
        <w:rPr>
          <w:color w:val="231F20"/>
          <w:w w:val="105"/>
        </w:rPr>
        <w:t>verificar</w:t>
      </w:r>
      <w:r>
        <w:rPr>
          <w:color w:val="231F20"/>
          <w:spacing w:val="-21"/>
          <w:w w:val="105"/>
        </w:rPr>
        <w:t> </w:t>
      </w:r>
      <w:r>
        <w:rPr>
          <w:color w:val="231F20"/>
          <w:w w:val="105"/>
        </w:rPr>
        <w:t>que</w:t>
      </w:r>
      <w:r>
        <w:rPr>
          <w:color w:val="231F20"/>
          <w:spacing w:val="-21"/>
          <w:w w:val="105"/>
        </w:rPr>
        <w:t> </w:t>
      </w:r>
      <w:r>
        <w:rPr>
          <w:color w:val="231F20"/>
          <w:w w:val="105"/>
        </w:rPr>
        <w:t>sus</w:t>
      </w:r>
      <w:r>
        <w:rPr>
          <w:color w:val="231F20"/>
          <w:spacing w:val="-21"/>
          <w:w w:val="105"/>
        </w:rPr>
        <w:t> </w:t>
      </w:r>
      <w:r>
        <w:rPr>
          <w:color w:val="231F20"/>
          <w:w w:val="105"/>
        </w:rPr>
        <w:t>agentes</w:t>
      </w:r>
      <w:r>
        <w:rPr>
          <w:color w:val="231F20"/>
          <w:spacing w:val="-21"/>
          <w:w w:val="105"/>
        </w:rPr>
        <w:t> </w:t>
      </w:r>
      <w:r>
        <w:rPr>
          <w:color w:val="231F20"/>
          <w:w w:val="105"/>
        </w:rPr>
        <w:t>actúen</w:t>
      </w:r>
      <w:r>
        <w:rPr>
          <w:color w:val="231F20"/>
          <w:spacing w:val="-21"/>
          <w:w w:val="105"/>
        </w:rPr>
        <w:t> </w:t>
      </w:r>
      <w:r>
        <w:rPr>
          <w:color w:val="231F20"/>
          <w:w w:val="105"/>
        </w:rPr>
        <w:t>de</w:t>
      </w:r>
      <w:r>
        <w:rPr>
          <w:color w:val="231F20"/>
          <w:spacing w:val="-21"/>
          <w:w w:val="105"/>
        </w:rPr>
        <w:t> </w:t>
      </w:r>
      <w:r>
        <w:rPr>
          <w:color w:val="231F20"/>
          <w:spacing w:val="-3"/>
          <w:w w:val="105"/>
        </w:rPr>
        <w:t>acuerdo</w:t>
      </w:r>
      <w:r>
        <w:rPr>
          <w:color w:val="231F20"/>
          <w:spacing w:val="-21"/>
          <w:w w:val="105"/>
        </w:rPr>
        <w:t> </w:t>
      </w:r>
      <w:r>
        <w:rPr>
          <w:color w:val="231F20"/>
          <w:spacing w:val="-2"/>
          <w:w w:val="105"/>
        </w:rPr>
        <w:t>con </w:t>
      </w:r>
      <w:r>
        <w:rPr>
          <w:color w:val="231F20"/>
          <w:w w:val="105"/>
        </w:rPr>
        <w:t>los</w:t>
      </w:r>
      <w:r>
        <w:rPr>
          <w:color w:val="231F20"/>
          <w:spacing w:val="-25"/>
          <w:w w:val="105"/>
        </w:rPr>
        <w:t> </w:t>
      </w:r>
      <w:r>
        <w:rPr>
          <w:color w:val="231F20"/>
          <w:spacing w:val="-3"/>
          <w:w w:val="105"/>
        </w:rPr>
        <w:t>parámetros</w:t>
      </w:r>
      <w:r>
        <w:rPr>
          <w:color w:val="231F20"/>
          <w:spacing w:val="-25"/>
          <w:w w:val="105"/>
        </w:rPr>
        <w:t> </w:t>
      </w:r>
      <w:r>
        <w:rPr>
          <w:color w:val="231F20"/>
          <w:w w:val="105"/>
        </w:rPr>
        <w:t>de</w:t>
      </w:r>
      <w:r>
        <w:rPr>
          <w:color w:val="231F20"/>
          <w:spacing w:val="-25"/>
          <w:w w:val="105"/>
        </w:rPr>
        <w:t> </w:t>
      </w:r>
      <w:r>
        <w:rPr>
          <w:color w:val="231F20"/>
          <w:w w:val="105"/>
        </w:rPr>
        <w:t>legalidad,</w:t>
      </w:r>
      <w:r>
        <w:rPr>
          <w:color w:val="231F20"/>
          <w:spacing w:val="-29"/>
          <w:w w:val="105"/>
        </w:rPr>
        <w:t> </w:t>
      </w:r>
      <w:r>
        <w:rPr>
          <w:color w:val="231F20"/>
          <w:w w:val="105"/>
        </w:rPr>
        <w:t>sino</w:t>
      </w:r>
      <w:r>
        <w:rPr>
          <w:color w:val="231F20"/>
          <w:spacing w:val="-25"/>
          <w:w w:val="105"/>
        </w:rPr>
        <w:t> </w:t>
      </w:r>
      <w:r>
        <w:rPr>
          <w:color w:val="231F20"/>
          <w:w w:val="105"/>
        </w:rPr>
        <w:t>también</w:t>
      </w:r>
      <w:r>
        <w:rPr>
          <w:color w:val="231F20"/>
          <w:spacing w:val="-25"/>
          <w:w w:val="105"/>
        </w:rPr>
        <w:t> </w:t>
      </w:r>
      <w:r>
        <w:rPr>
          <w:color w:val="231F20"/>
          <w:w w:val="105"/>
        </w:rPr>
        <w:t>debe</w:t>
      </w:r>
      <w:r>
        <w:rPr>
          <w:color w:val="231F20"/>
          <w:spacing w:val="-25"/>
          <w:w w:val="105"/>
        </w:rPr>
        <w:t> </w:t>
      </w:r>
      <w:r>
        <w:rPr>
          <w:color w:val="231F20"/>
          <w:w w:val="105"/>
        </w:rPr>
        <w:t>tutelar</w:t>
      </w:r>
      <w:r>
        <w:rPr>
          <w:color w:val="231F20"/>
          <w:spacing w:val="-25"/>
          <w:w w:val="105"/>
        </w:rPr>
        <w:t> </w:t>
      </w:r>
      <w:r>
        <w:rPr>
          <w:color w:val="231F20"/>
          <w:w w:val="105"/>
        </w:rPr>
        <w:t>que</w:t>
      </w:r>
      <w:r>
        <w:rPr>
          <w:color w:val="231F20"/>
          <w:spacing w:val="-25"/>
          <w:w w:val="105"/>
        </w:rPr>
        <w:t> </w:t>
      </w:r>
      <w:r>
        <w:rPr>
          <w:color w:val="231F20"/>
          <w:w w:val="105"/>
        </w:rPr>
        <w:t>sean</w:t>
      </w:r>
      <w:r>
        <w:rPr>
          <w:color w:val="231F20"/>
          <w:spacing w:val="-25"/>
          <w:w w:val="105"/>
        </w:rPr>
        <w:t> </w:t>
      </w:r>
      <w:r>
        <w:rPr>
          <w:color w:val="231F20"/>
          <w:w w:val="105"/>
        </w:rPr>
        <w:t>efectiva- mente</w:t>
      </w:r>
      <w:r>
        <w:rPr>
          <w:color w:val="231F20"/>
          <w:spacing w:val="-29"/>
          <w:w w:val="105"/>
        </w:rPr>
        <w:t> </w:t>
      </w:r>
      <w:r>
        <w:rPr>
          <w:color w:val="231F20"/>
          <w:spacing w:val="-3"/>
          <w:w w:val="105"/>
        </w:rPr>
        <w:t>respetados</w:t>
      </w:r>
      <w:r>
        <w:rPr>
          <w:color w:val="231F20"/>
          <w:spacing w:val="-29"/>
          <w:w w:val="105"/>
        </w:rPr>
        <w:t> </w:t>
      </w:r>
      <w:r>
        <w:rPr>
          <w:color w:val="231F20"/>
          <w:w w:val="105"/>
        </w:rPr>
        <w:t>por</w:t>
      </w:r>
      <w:r>
        <w:rPr>
          <w:color w:val="231F20"/>
          <w:spacing w:val="-29"/>
          <w:w w:val="105"/>
        </w:rPr>
        <w:t> </w:t>
      </w:r>
      <w:r>
        <w:rPr>
          <w:color w:val="231F20"/>
          <w:w w:val="105"/>
        </w:rPr>
        <w:t>la</w:t>
      </w:r>
      <w:r>
        <w:rPr>
          <w:color w:val="231F20"/>
          <w:spacing w:val="-29"/>
          <w:w w:val="105"/>
        </w:rPr>
        <w:t> </w:t>
      </w:r>
      <w:r>
        <w:rPr>
          <w:color w:val="231F20"/>
          <w:w w:val="105"/>
        </w:rPr>
        <w:t>sociedad”</w:t>
      </w:r>
      <w:r>
        <w:rPr>
          <w:color w:val="231F20"/>
          <w:spacing w:val="-29"/>
          <w:w w:val="105"/>
        </w:rPr>
        <w:t> </w:t>
      </w:r>
      <w:r>
        <w:rPr>
          <w:color w:val="231F20"/>
          <w:w w:val="105"/>
        </w:rPr>
        <w:t>(Garza,</w:t>
      </w:r>
      <w:r>
        <w:rPr>
          <w:color w:val="231F20"/>
          <w:spacing w:val="-32"/>
          <w:w w:val="105"/>
        </w:rPr>
        <w:t> </w:t>
      </w:r>
      <w:r>
        <w:rPr>
          <w:color w:val="231F20"/>
          <w:w w:val="105"/>
        </w:rPr>
        <w:t>2015:</w:t>
      </w:r>
      <w:r>
        <w:rPr>
          <w:color w:val="231F20"/>
          <w:spacing w:val="-29"/>
          <w:w w:val="105"/>
        </w:rPr>
        <w:t> </w:t>
      </w:r>
      <w:r>
        <w:rPr>
          <w:color w:val="231F20"/>
          <w:w w:val="105"/>
        </w:rPr>
        <w:t>233).</w:t>
      </w:r>
    </w:p>
    <w:p>
      <w:pPr>
        <w:pStyle w:val="BodyText"/>
        <w:rPr>
          <w:sz w:val="20"/>
        </w:rPr>
      </w:pPr>
    </w:p>
    <w:p>
      <w:pPr>
        <w:pStyle w:val="BodyText"/>
        <w:rPr>
          <w:sz w:val="20"/>
        </w:rPr>
      </w:pPr>
    </w:p>
    <w:p>
      <w:pPr>
        <w:pStyle w:val="BodyText"/>
        <w:spacing w:before="7"/>
        <w:rPr>
          <w:sz w:val="28"/>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7432" from="131.551193pt,3.753715pt" to="131.551193pt,39.556114pt" stroked="true" strokeweight=".35pt" strokecolor="#231f20">
            <w10:wrap type="none"/>
          </v:line>
        </w:pict>
      </w:r>
      <w:r>
        <w:rPr/>
        <w:pict>
          <v:line style="position:absolute;mso-position-horizontal-relative:page;mso-position-vertical-relative:paragraph;z-index:-487360" from="15pt,39.555916pt" to="0pt,39.555916pt" stroked="true" strokeweight=".25pt" strokecolor="#000000">
            <w10:wrap type="none"/>
          </v:line>
        </w:pict>
      </w:r>
      <w:r>
        <w:rPr/>
        <w:pict>
          <v:line style="position:absolute;mso-position-horizontal-relative:page;mso-position-vertical-relative:paragraph;z-index:2848" from="508.890015pt,39.555916pt" to="523.890015pt,39.555916pt" stroked="true" strokeweight=".25pt" strokecolor="#000000">
            <w10:wrap type="none"/>
          </v:line>
        </w:pict>
      </w:r>
      <w:r>
        <w:rPr>
          <w:rFonts w:ascii="Arial" w:hAnsi="Arial"/>
          <w:color w:val="414042"/>
          <w:position w:val="-5"/>
          <w:sz w:val="20"/>
        </w:rPr>
        <w:t>30</w:t>
        <w:tab/>
      </w:r>
      <w:r>
        <w:rPr>
          <w:rFonts w:ascii="Calibri" w:hAnsi="Calibri"/>
          <w:color w:val="6D6E71"/>
          <w:sz w:val="15"/>
        </w:rPr>
        <w:t>Jorge Olvera</w:t>
      </w:r>
      <w:r>
        <w:rPr>
          <w:rFonts w:ascii="Calibri" w:hAnsi="Calibri"/>
          <w:color w:val="6D6E71"/>
          <w:spacing w:val="12"/>
          <w:sz w:val="15"/>
        </w:rPr>
        <w:t> </w:t>
      </w:r>
      <w:r>
        <w:rPr>
          <w:rFonts w:ascii="Calibri" w:hAnsi="Calibri"/>
          <w:color w:val="6D6E71"/>
          <w:sz w:val="15"/>
        </w:rPr>
        <w:t>García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001" w:right="0" w:firstLine="0"/>
        <w:jc w:val="left"/>
        <w:rPr>
          <w:rFonts w:ascii="Arial" w:hAnsi="Arial"/>
          <w:sz w:val="20"/>
        </w:rPr>
      </w:pPr>
      <w:r>
        <w:rPr/>
        <w:pict>
          <v:line style="position:absolute;mso-position-horizontal-relative:page;mso-position-vertical-relative:paragraph;z-index:-487312" from="405.061005pt,-18.554295pt" to="405.061005pt,16.311579pt" stroked="true" strokeweight=".35pt" strokecolor="#231f20">
            <w10:wrap type="none"/>
          </v:line>
        </w:pict>
      </w:r>
      <w:r>
        <w:rPr/>
        <w:pict>
          <v:line style="position:absolute;mso-position-horizontal-relative:page;mso-position-vertical-relative:paragraph;z-index:2896" from="15pt,-18.554522pt" to="0pt,-18.554522pt" stroked="true" strokeweight=".25pt" strokecolor="#000000">
            <w10:wrap type="none"/>
          </v:line>
        </w:pict>
      </w:r>
      <w:r>
        <w:rPr/>
        <w:pict>
          <v:line style="position:absolute;mso-position-horizontal-relative:page;mso-position-vertical-relative:paragraph;z-index:2920" from="508.890015pt,-18.554522pt" to="523.890015pt,-18.554522pt" stroked="true" strokeweight=".25pt" strokecolor="#000000">
            <w10:wrap type="none"/>
          </v:line>
        </w:pict>
      </w:r>
      <w:r>
        <w:rPr>
          <w:rFonts w:ascii="Lucida Sans Unicode" w:hAnsi="Lucida Sans Unicode"/>
          <w:color w:val="6D6E71"/>
          <w:w w:val="105"/>
          <w:sz w:val="14"/>
        </w:rPr>
        <w:t>Derechos</w:t>
      </w:r>
      <w:r>
        <w:rPr>
          <w:rFonts w:ascii="Lucida Sans Unicode" w:hAnsi="Lucida Sans Unicode"/>
          <w:color w:val="6D6E71"/>
          <w:spacing w:val="-15"/>
          <w:w w:val="105"/>
          <w:sz w:val="14"/>
        </w:rPr>
        <w:t> </w:t>
      </w:r>
      <w:r>
        <w:rPr>
          <w:rFonts w:ascii="Lucida Sans Unicode" w:hAnsi="Lucida Sans Unicode"/>
          <w:color w:val="6D6E71"/>
          <w:w w:val="105"/>
          <w:sz w:val="14"/>
        </w:rPr>
        <w:t>humanos,</w:t>
      </w:r>
      <w:r>
        <w:rPr>
          <w:rFonts w:ascii="Lucida Sans Unicode" w:hAnsi="Lucida Sans Unicode"/>
          <w:color w:val="6D6E71"/>
          <w:spacing w:val="-15"/>
          <w:w w:val="105"/>
          <w:sz w:val="14"/>
        </w:rPr>
        <w:t> </w:t>
      </w:r>
      <w:r>
        <w:rPr>
          <w:rFonts w:ascii="Lucida Sans Unicode" w:hAnsi="Lucida Sans Unicode"/>
          <w:color w:val="6D6E71"/>
          <w:w w:val="105"/>
          <w:sz w:val="14"/>
        </w:rPr>
        <w:t>eDucación</w:t>
      </w:r>
      <w:r>
        <w:rPr>
          <w:rFonts w:ascii="Lucida Sans Unicode" w:hAnsi="Lucida Sans Unicode"/>
          <w:color w:val="6D6E71"/>
          <w:spacing w:val="-15"/>
          <w:w w:val="105"/>
          <w:sz w:val="14"/>
        </w:rPr>
        <w:t> </w:t>
      </w:r>
      <w:r>
        <w:rPr>
          <w:rFonts w:ascii="Lucida Sans Unicode" w:hAnsi="Lucida Sans Unicode"/>
          <w:color w:val="6D6E71"/>
          <w:w w:val="105"/>
          <w:sz w:val="14"/>
        </w:rPr>
        <w:t>y</w:t>
      </w:r>
      <w:r>
        <w:rPr>
          <w:rFonts w:ascii="Lucida Sans Unicode" w:hAnsi="Lucida Sans Unicode"/>
          <w:color w:val="6D6E71"/>
          <w:spacing w:val="-15"/>
          <w:w w:val="105"/>
          <w:sz w:val="14"/>
        </w:rPr>
        <w:t> </w:t>
      </w:r>
      <w:r>
        <w:rPr>
          <w:rFonts w:ascii="Lucida Sans Unicode" w:hAnsi="Lucida Sans Unicode"/>
          <w:color w:val="6D6E71"/>
          <w:w w:val="105"/>
          <w:sz w:val="14"/>
        </w:rPr>
        <w:t>participación</w:t>
      </w:r>
      <w:r>
        <w:rPr>
          <w:rFonts w:ascii="Lucida Sans Unicode" w:hAnsi="Lucida Sans Unicode"/>
          <w:color w:val="6D6E71"/>
          <w:spacing w:val="-15"/>
          <w:w w:val="105"/>
          <w:sz w:val="14"/>
        </w:rPr>
        <w:t> </w:t>
      </w:r>
      <w:r>
        <w:rPr>
          <w:rFonts w:ascii="Lucida Sans Unicode" w:hAnsi="Lucida Sans Unicode"/>
          <w:color w:val="6D6E71"/>
          <w:w w:val="105"/>
          <w:sz w:val="14"/>
        </w:rPr>
        <w:t>De</w:t>
      </w:r>
      <w:r>
        <w:rPr>
          <w:rFonts w:ascii="Lucida Sans Unicode" w:hAnsi="Lucida Sans Unicode"/>
          <w:color w:val="6D6E71"/>
          <w:spacing w:val="-15"/>
          <w:w w:val="105"/>
          <w:sz w:val="14"/>
        </w:rPr>
        <w:t> </w:t>
      </w:r>
      <w:r>
        <w:rPr>
          <w:rFonts w:ascii="Lucida Sans Unicode" w:hAnsi="Lucida Sans Unicode"/>
          <w:color w:val="6D6E71"/>
          <w:w w:val="115"/>
          <w:sz w:val="14"/>
        </w:rPr>
        <w:t>la</w:t>
      </w:r>
      <w:r>
        <w:rPr>
          <w:rFonts w:ascii="Lucida Sans Unicode" w:hAnsi="Lucida Sans Unicode"/>
          <w:color w:val="6D6E71"/>
          <w:spacing w:val="-19"/>
          <w:w w:val="115"/>
          <w:sz w:val="14"/>
        </w:rPr>
        <w:t> </w:t>
      </w:r>
      <w:r>
        <w:rPr>
          <w:rFonts w:ascii="Lucida Sans Unicode" w:hAnsi="Lucida Sans Unicode"/>
          <w:color w:val="6D6E71"/>
          <w:w w:val="105"/>
          <w:sz w:val="14"/>
        </w:rPr>
        <w:t>población</w:t>
      </w:r>
      <w:r>
        <w:rPr>
          <w:rFonts w:ascii="Lucida Sans Unicode" w:hAnsi="Lucida Sans Unicode"/>
          <w:color w:val="6D6E71"/>
          <w:spacing w:val="-15"/>
          <w:w w:val="105"/>
          <w:sz w:val="14"/>
        </w:rPr>
        <w:t> </w:t>
      </w:r>
      <w:r>
        <w:rPr>
          <w:rFonts w:ascii="Lucida Sans Unicode" w:hAnsi="Lucida Sans Unicode"/>
          <w:color w:val="6D6E71"/>
          <w:w w:val="105"/>
          <w:sz w:val="14"/>
        </w:rPr>
        <w:t>migrante</w:t>
      </w:r>
      <w:r>
        <w:rPr>
          <w:rFonts w:ascii="Arial" w:hAnsi="Arial"/>
          <w:color w:val="414042"/>
          <w:w w:val="105"/>
          <w:position w:val="-3"/>
          <w:sz w:val="20"/>
        </w:rPr>
        <w:tab/>
        <w:t>31</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Ahora bien, en lo que respecta a los derechos a la educación y la par- ticipación, las situaciones de violencia institucional y no institucional se expresan también en estructuras rígidas que limitan la posibilidad de garantizarlos,</w:t>
      </w:r>
      <w:r>
        <w:rPr>
          <w:color w:val="231F20"/>
          <w:spacing w:val="-23"/>
          <w:w w:val="105"/>
        </w:rPr>
        <w:t> </w:t>
      </w:r>
      <w:r>
        <w:rPr>
          <w:color w:val="231F20"/>
          <w:w w:val="105"/>
        </w:rPr>
        <w:t>así</w:t>
      </w:r>
      <w:r>
        <w:rPr>
          <w:color w:val="231F20"/>
          <w:spacing w:val="-18"/>
          <w:w w:val="105"/>
        </w:rPr>
        <w:t> </w:t>
      </w:r>
      <w:r>
        <w:rPr>
          <w:color w:val="231F20"/>
          <w:w w:val="105"/>
        </w:rPr>
        <w:t>como</w:t>
      </w:r>
      <w:r>
        <w:rPr>
          <w:color w:val="231F20"/>
          <w:spacing w:val="-18"/>
          <w:w w:val="105"/>
        </w:rPr>
        <w:t> </w:t>
      </w:r>
      <w:r>
        <w:rPr>
          <w:color w:val="231F20"/>
          <w:w w:val="105"/>
        </w:rPr>
        <w:t>en</w:t>
      </w:r>
      <w:r>
        <w:rPr>
          <w:color w:val="231F20"/>
          <w:spacing w:val="-18"/>
          <w:w w:val="105"/>
        </w:rPr>
        <w:t> </w:t>
      </w:r>
      <w:r>
        <w:rPr>
          <w:color w:val="231F20"/>
          <w:w w:val="105"/>
        </w:rPr>
        <w:t>sociedades</w:t>
      </w:r>
      <w:r>
        <w:rPr>
          <w:color w:val="231F20"/>
          <w:spacing w:val="-18"/>
          <w:w w:val="105"/>
        </w:rPr>
        <w:t> </w:t>
      </w:r>
      <w:r>
        <w:rPr>
          <w:color w:val="231F20"/>
          <w:w w:val="105"/>
        </w:rPr>
        <w:t>que</w:t>
      </w:r>
      <w:r>
        <w:rPr>
          <w:color w:val="231F20"/>
          <w:spacing w:val="-18"/>
          <w:w w:val="105"/>
        </w:rPr>
        <w:t> </w:t>
      </w:r>
      <w:r>
        <w:rPr>
          <w:color w:val="231F20"/>
          <w:w w:val="105"/>
        </w:rPr>
        <w:t>no</w:t>
      </w:r>
      <w:r>
        <w:rPr>
          <w:color w:val="231F20"/>
          <w:spacing w:val="-18"/>
          <w:w w:val="105"/>
        </w:rPr>
        <w:t> </w:t>
      </w:r>
      <w:r>
        <w:rPr>
          <w:color w:val="231F20"/>
          <w:w w:val="105"/>
        </w:rPr>
        <w:t>aceptan</w:t>
      </w:r>
      <w:r>
        <w:rPr>
          <w:color w:val="231F20"/>
          <w:spacing w:val="-18"/>
          <w:w w:val="105"/>
        </w:rPr>
        <w:t> </w:t>
      </w:r>
      <w:r>
        <w:rPr>
          <w:color w:val="231F20"/>
          <w:w w:val="105"/>
        </w:rPr>
        <w:t>la</w:t>
      </w:r>
      <w:r>
        <w:rPr>
          <w:color w:val="231F20"/>
          <w:spacing w:val="-18"/>
          <w:w w:val="105"/>
        </w:rPr>
        <w:t> </w:t>
      </w:r>
      <w:r>
        <w:rPr>
          <w:color w:val="231F20"/>
          <w:w w:val="105"/>
        </w:rPr>
        <w:t>diversidad</w:t>
      </w:r>
      <w:r>
        <w:rPr>
          <w:color w:val="231F20"/>
          <w:spacing w:val="-18"/>
          <w:w w:val="105"/>
        </w:rPr>
        <w:t> </w:t>
      </w:r>
      <w:r>
        <w:rPr>
          <w:color w:val="231F20"/>
          <w:w w:val="105"/>
        </w:rPr>
        <w:t>e</w:t>
      </w:r>
      <w:r>
        <w:rPr>
          <w:color w:val="231F20"/>
          <w:spacing w:val="-18"/>
          <w:w w:val="105"/>
        </w:rPr>
        <w:t> </w:t>
      </w:r>
      <w:r>
        <w:rPr>
          <w:color w:val="231F20"/>
          <w:w w:val="105"/>
        </w:rPr>
        <w:t>in- terculturalidad.</w:t>
      </w:r>
      <w:r>
        <w:rPr>
          <w:color w:val="231F20"/>
          <w:spacing w:val="-29"/>
          <w:w w:val="105"/>
        </w:rPr>
        <w:t> </w:t>
      </w:r>
      <w:r>
        <w:rPr>
          <w:color w:val="231F20"/>
          <w:w w:val="105"/>
        </w:rPr>
        <w:t>El</w:t>
      </w:r>
      <w:r>
        <w:rPr>
          <w:color w:val="231F20"/>
          <w:spacing w:val="-25"/>
          <w:w w:val="105"/>
        </w:rPr>
        <w:t> </w:t>
      </w:r>
      <w:r>
        <w:rPr>
          <w:color w:val="231F20"/>
          <w:w w:val="105"/>
        </w:rPr>
        <w:t>informe</w:t>
      </w:r>
      <w:r>
        <w:rPr>
          <w:color w:val="231F20"/>
          <w:spacing w:val="-25"/>
          <w:w w:val="105"/>
        </w:rPr>
        <w:t> </w:t>
      </w:r>
      <w:r>
        <w:rPr>
          <w:color w:val="231F20"/>
          <w:w w:val="105"/>
        </w:rPr>
        <w:t>mundial</w:t>
      </w:r>
      <w:r>
        <w:rPr>
          <w:color w:val="231F20"/>
          <w:spacing w:val="-25"/>
          <w:w w:val="105"/>
        </w:rPr>
        <w:t> </w:t>
      </w:r>
      <w:r>
        <w:rPr>
          <w:color w:val="231F20"/>
          <w:w w:val="105"/>
        </w:rPr>
        <w:t>sobre</w:t>
      </w:r>
      <w:r>
        <w:rPr>
          <w:color w:val="231F20"/>
          <w:spacing w:val="-25"/>
          <w:w w:val="105"/>
        </w:rPr>
        <w:t> </w:t>
      </w:r>
      <w:r>
        <w:rPr>
          <w:color w:val="231F20"/>
          <w:w w:val="105"/>
        </w:rPr>
        <w:t>derechos</w:t>
      </w:r>
      <w:r>
        <w:rPr>
          <w:color w:val="231F20"/>
          <w:spacing w:val="-25"/>
          <w:w w:val="105"/>
        </w:rPr>
        <w:t> </w:t>
      </w:r>
      <w:r>
        <w:rPr>
          <w:color w:val="231F20"/>
          <w:w w:val="105"/>
        </w:rPr>
        <w:t>humanos</w:t>
      </w:r>
      <w:r>
        <w:rPr>
          <w:color w:val="231F20"/>
          <w:spacing w:val="-25"/>
          <w:w w:val="105"/>
        </w:rPr>
        <w:t> </w:t>
      </w:r>
      <w:r>
        <w:rPr>
          <w:color w:val="231F20"/>
          <w:w w:val="105"/>
        </w:rPr>
        <w:t>(</w:t>
      </w:r>
      <w:r>
        <w:rPr>
          <w:color w:val="231F20"/>
          <w:w w:val="105"/>
          <w:sz w:val="17"/>
        </w:rPr>
        <w:t>HRW</w:t>
      </w:r>
      <w:r>
        <w:rPr>
          <w:color w:val="231F20"/>
          <w:w w:val="105"/>
        </w:rPr>
        <w:t>,</w:t>
      </w:r>
      <w:r>
        <w:rPr>
          <w:color w:val="231F20"/>
          <w:spacing w:val="-29"/>
          <w:w w:val="105"/>
        </w:rPr>
        <w:t> </w:t>
      </w:r>
      <w:r>
        <w:rPr>
          <w:color w:val="231F20"/>
          <w:w w:val="105"/>
        </w:rPr>
        <w:t>2015) documenta</w:t>
      </w:r>
      <w:r>
        <w:rPr>
          <w:color w:val="231F20"/>
          <w:spacing w:val="-12"/>
          <w:w w:val="105"/>
        </w:rPr>
        <w:t> </w:t>
      </w:r>
      <w:r>
        <w:rPr>
          <w:color w:val="231F20"/>
          <w:w w:val="105"/>
        </w:rPr>
        <w:t>algunos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vacíos</w:t>
      </w:r>
      <w:r>
        <w:rPr>
          <w:color w:val="231F20"/>
          <w:spacing w:val="-12"/>
          <w:w w:val="105"/>
        </w:rPr>
        <w:t> </w:t>
      </w:r>
      <w:r>
        <w:rPr>
          <w:color w:val="231F20"/>
          <w:w w:val="105"/>
        </w:rPr>
        <w:t>que</w:t>
      </w:r>
      <w:r>
        <w:rPr>
          <w:color w:val="231F20"/>
          <w:spacing w:val="-12"/>
          <w:w w:val="105"/>
        </w:rPr>
        <w:t> </w:t>
      </w:r>
      <w:r>
        <w:rPr>
          <w:color w:val="231F20"/>
          <w:w w:val="105"/>
        </w:rPr>
        <w:t>truncan</w:t>
      </w:r>
      <w:r>
        <w:rPr>
          <w:color w:val="231F20"/>
          <w:spacing w:val="-12"/>
          <w:w w:val="105"/>
        </w:rPr>
        <w:t> </w:t>
      </w:r>
      <w:r>
        <w:rPr>
          <w:color w:val="231F20"/>
          <w:w w:val="105"/>
        </w:rPr>
        <w:t>el</w:t>
      </w:r>
      <w:r>
        <w:rPr>
          <w:color w:val="231F20"/>
          <w:spacing w:val="-12"/>
          <w:w w:val="105"/>
        </w:rPr>
        <w:t> </w:t>
      </w:r>
      <w:r>
        <w:rPr>
          <w:color w:val="231F20"/>
          <w:w w:val="105"/>
        </w:rPr>
        <w:t>derecho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educación entre</w:t>
      </w:r>
      <w:r>
        <w:rPr>
          <w:color w:val="231F20"/>
          <w:spacing w:val="-7"/>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migrante,</w:t>
      </w:r>
      <w:r>
        <w:rPr>
          <w:color w:val="231F20"/>
          <w:spacing w:val="-13"/>
          <w:w w:val="105"/>
        </w:rPr>
        <w:t> </w:t>
      </w:r>
      <w:r>
        <w:rPr>
          <w:color w:val="231F20"/>
          <w:w w:val="105"/>
        </w:rPr>
        <w:t>con</w:t>
      </w:r>
      <w:r>
        <w:rPr>
          <w:color w:val="231F20"/>
          <w:spacing w:val="-7"/>
          <w:w w:val="105"/>
        </w:rPr>
        <w:t> </w:t>
      </w:r>
      <w:r>
        <w:rPr>
          <w:color w:val="231F20"/>
          <w:w w:val="105"/>
        </w:rPr>
        <w:t>situaciones</w:t>
      </w:r>
      <w:r>
        <w:rPr>
          <w:color w:val="231F20"/>
          <w:spacing w:val="-7"/>
          <w:w w:val="105"/>
        </w:rPr>
        <w:t> </w:t>
      </w:r>
      <w:r>
        <w:rPr>
          <w:color w:val="231F20"/>
          <w:w w:val="105"/>
        </w:rPr>
        <w:t>que</w:t>
      </w:r>
      <w:r>
        <w:rPr>
          <w:color w:val="231F20"/>
          <w:spacing w:val="-7"/>
          <w:w w:val="105"/>
        </w:rPr>
        <w:t> </w:t>
      </w:r>
      <w:r>
        <w:rPr>
          <w:color w:val="231F20"/>
          <w:w w:val="105"/>
        </w:rPr>
        <w:t>van</w:t>
      </w:r>
      <w:r>
        <w:rPr>
          <w:color w:val="231F20"/>
          <w:spacing w:val="-7"/>
          <w:w w:val="105"/>
        </w:rPr>
        <w:t> </w:t>
      </w:r>
      <w:r>
        <w:rPr>
          <w:color w:val="231F20"/>
          <w:w w:val="105"/>
        </w:rPr>
        <w:t>desde</w:t>
      </w:r>
      <w:r>
        <w:rPr>
          <w:color w:val="231F20"/>
          <w:spacing w:val="-7"/>
          <w:w w:val="105"/>
        </w:rPr>
        <w:t> </w:t>
      </w:r>
      <w:r>
        <w:rPr>
          <w:color w:val="231F20"/>
          <w:w w:val="105"/>
        </w:rPr>
        <w:t>la</w:t>
      </w:r>
      <w:r>
        <w:rPr>
          <w:color w:val="231F20"/>
          <w:spacing w:val="-7"/>
          <w:w w:val="105"/>
        </w:rPr>
        <w:t> </w:t>
      </w:r>
      <w:r>
        <w:rPr>
          <w:color w:val="231F20"/>
          <w:w w:val="105"/>
        </w:rPr>
        <w:t>negación a su acceso, hasta la no impartición y ausencia de materiales en la</w:t>
      </w:r>
      <w:r>
        <w:rPr>
          <w:color w:val="231F20"/>
          <w:spacing w:val="-36"/>
          <w:w w:val="105"/>
        </w:rPr>
        <w:t> </w:t>
      </w:r>
      <w:r>
        <w:rPr>
          <w:color w:val="231F20"/>
          <w:w w:val="105"/>
        </w:rPr>
        <w:t>len- gua</w:t>
      </w:r>
      <w:r>
        <w:rPr>
          <w:color w:val="231F20"/>
          <w:spacing w:val="-12"/>
          <w:w w:val="105"/>
        </w:rPr>
        <w:t> </w:t>
      </w:r>
      <w:r>
        <w:rPr>
          <w:color w:val="231F20"/>
          <w:w w:val="105"/>
        </w:rPr>
        <w:t>materna</w:t>
      </w:r>
      <w:r>
        <w:rPr>
          <w:color w:val="231F20"/>
          <w:spacing w:val="-12"/>
          <w:w w:val="105"/>
        </w:rPr>
        <w:t> </w:t>
      </w:r>
      <w:r>
        <w:rPr>
          <w:color w:val="231F20"/>
          <w:w w:val="105"/>
        </w:rPr>
        <w:t>o</w:t>
      </w:r>
      <w:r>
        <w:rPr>
          <w:color w:val="231F20"/>
          <w:spacing w:val="-12"/>
          <w:w w:val="105"/>
        </w:rPr>
        <w:t> </w:t>
      </w:r>
      <w:r>
        <w:rPr>
          <w:color w:val="231F20"/>
          <w:w w:val="105"/>
        </w:rPr>
        <w:t>idiomas</w:t>
      </w:r>
      <w:r>
        <w:rPr>
          <w:color w:val="231F20"/>
          <w:spacing w:val="-12"/>
          <w:w w:val="105"/>
        </w:rPr>
        <w:t> </w:t>
      </w:r>
      <w:r>
        <w:rPr>
          <w:color w:val="231F20"/>
          <w:w w:val="105"/>
        </w:rPr>
        <w:t>comprendidos</w:t>
      </w:r>
      <w:r>
        <w:rPr>
          <w:color w:val="231F20"/>
          <w:spacing w:val="-12"/>
          <w:w w:val="105"/>
        </w:rPr>
        <w:t> </w:t>
      </w:r>
      <w:r>
        <w:rPr>
          <w:color w:val="231F20"/>
          <w:w w:val="105"/>
        </w:rPr>
        <w:t>por</w:t>
      </w:r>
      <w:r>
        <w:rPr>
          <w:color w:val="231F20"/>
          <w:spacing w:val="-12"/>
          <w:w w:val="105"/>
        </w:rPr>
        <w:t> </w:t>
      </w:r>
      <w:r>
        <w:rPr>
          <w:color w:val="231F20"/>
          <w:w w:val="105"/>
        </w:rPr>
        <w:t>estas</w:t>
      </w:r>
      <w:r>
        <w:rPr>
          <w:color w:val="231F20"/>
          <w:spacing w:val="-12"/>
          <w:w w:val="105"/>
        </w:rPr>
        <w:t> </w:t>
      </w:r>
      <w:r>
        <w:rPr>
          <w:color w:val="231F20"/>
          <w:w w:val="105"/>
        </w:rPr>
        <w:t>personas.</w:t>
      </w:r>
      <w:r>
        <w:rPr>
          <w:color w:val="231F20"/>
          <w:spacing w:val="-17"/>
          <w:w w:val="105"/>
        </w:rPr>
        <w:t> </w:t>
      </w:r>
      <w:r>
        <w:rPr>
          <w:color w:val="231F20"/>
          <w:w w:val="105"/>
        </w:rPr>
        <w:t>Respecto</w:t>
      </w:r>
      <w:r>
        <w:rPr>
          <w:color w:val="231F20"/>
          <w:spacing w:val="-12"/>
          <w:w w:val="105"/>
        </w:rPr>
        <w:t> </w:t>
      </w:r>
      <w:r>
        <w:rPr>
          <w:color w:val="231F20"/>
          <w:w w:val="105"/>
        </w:rPr>
        <w:t>del derecho a la participación se advierte la escasa intervención política e involucramiento</w:t>
      </w:r>
      <w:r>
        <w:rPr>
          <w:color w:val="231F20"/>
          <w:spacing w:val="-6"/>
          <w:w w:val="105"/>
        </w:rPr>
        <w:t> </w:t>
      </w:r>
      <w:r>
        <w:rPr>
          <w:color w:val="231F20"/>
          <w:w w:val="105"/>
        </w:rPr>
        <w:t>en</w:t>
      </w:r>
      <w:r>
        <w:rPr>
          <w:color w:val="231F20"/>
          <w:spacing w:val="-6"/>
          <w:w w:val="105"/>
        </w:rPr>
        <w:t> </w:t>
      </w:r>
      <w:r>
        <w:rPr>
          <w:color w:val="231F20"/>
          <w:w w:val="105"/>
        </w:rPr>
        <w:t>otros</w:t>
      </w:r>
      <w:r>
        <w:rPr>
          <w:color w:val="231F20"/>
          <w:spacing w:val="-6"/>
          <w:w w:val="105"/>
        </w:rPr>
        <w:t> </w:t>
      </w:r>
      <w:r>
        <w:rPr>
          <w:color w:val="231F20"/>
          <w:w w:val="105"/>
        </w:rPr>
        <w:t>aspectos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vida</w:t>
      </w:r>
      <w:r>
        <w:rPr>
          <w:color w:val="231F20"/>
          <w:spacing w:val="-6"/>
          <w:w w:val="105"/>
        </w:rPr>
        <w:t> </w:t>
      </w:r>
      <w:r>
        <w:rPr>
          <w:color w:val="231F20"/>
          <w:w w:val="105"/>
        </w:rPr>
        <w:t>pública,</w:t>
      </w:r>
      <w:r>
        <w:rPr>
          <w:color w:val="231F20"/>
          <w:spacing w:val="-13"/>
          <w:w w:val="105"/>
        </w:rPr>
        <w:t> </w:t>
      </w:r>
      <w:r>
        <w:rPr>
          <w:color w:val="231F20"/>
          <w:w w:val="105"/>
        </w:rPr>
        <w:t>pronunciándose</w:t>
      </w:r>
      <w:r>
        <w:rPr>
          <w:color w:val="231F20"/>
          <w:spacing w:val="-6"/>
          <w:w w:val="105"/>
        </w:rPr>
        <w:t> </w:t>
      </w:r>
      <w:r>
        <w:rPr>
          <w:color w:val="231F20"/>
          <w:w w:val="105"/>
        </w:rPr>
        <w:t>a favor</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libertad</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participación</w:t>
      </w:r>
      <w:r>
        <w:rPr>
          <w:color w:val="231F20"/>
          <w:spacing w:val="-10"/>
          <w:w w:val="105"/>
        </w:rPr>
        <w:t> </w:t>
      </w:r>
      <w:r>
        <w:rPr>
          <w:color w:val="231F20"/>
          <w:w w:val="105"/>
        </w:rPr>
        <w:t>democrática.</w:t>
      </w:r>
    </w:p>
    <w:p>
      <w:pPr>
        <w:pStyle w:val="BodyText"/>
        <w:spacing w:line="261" w:lineRule="auto" w:before="1"/>
        <w:ind w:left="1837" w:right="1715" w:firstLine="567"/>
        <w:jc w:val="both"/>
      </w:pP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caso</w:t>
      </w:r>
      <w:r>
        <w:rPr>
          <w:color w:val="231F20"/>
          <w:spacing w:val="-5"/>
          <w:w w:val="105"/>
        </w:rPr>
        <w:t> </w:t>
      </w:r>
      <w:r>
        <w:rPr>
          <w:color w:val="231F20"/>
          <w:w w:val="105"/>
        </w:rPr>
        <w:t>de</w:t>
      </w:r>
      <w:r>
        <w:rPr>
          <w:color w:val="231F20"/>
          <w:spacing w:val="-5"/>
          <w:w w:val="105"/>
        </w:rPr>
        <w:t> </w:t>
      </w:r>
      <w:r>
        <w:rPr>
          <w:color w:val="231F20"/>
          <w:spacing w:val="-3"/>
          <w:w w:val="105"/>
        </w:rPr>
        <w:t>México,</w:t>
      </w:r>
      <w:r>
        <w:rPr>
          <w:color w:val="231F20"/>
          <w:spacing w:val="-11"/>
          <w:w w:val="105"/>
        </w:rPr>
        <w:t> </w:t>
      </w:r>
      <w:r>
        <w:rPr>
          <w:color w:val="231F20"/>
          <w:w w:val="105"/>
        </w:rPr>
        <w:t>el</w:t>
      </w:r>
      <w:r>
        <w:rPr>
          <w:color w:val="231F20"/>
          <w:spacing w:val="-5"/>
          <w:w w:val="105"/>
        </w:rPr>
        <w:t> </w:t>
      </w:r>
      <w:r>
        <w:rPr>
          <w:color w:val="231F20"/>
          <w:w w:val="105"/>
        </w:rPr>
        <w:t>informe</w:t>
      </w:r>
      <w:r>
        <w:rPr>
          <w:color w:val="231F20"/>
          <w:spacing w:val="-5"/>
          <w:w w:val="105"/>
        </w:rPr>
        <w:t> </w:t>
      </w:r>
      <w:r>
        <w:rPr>
          <w:color w:val="231F20"/>
          <w:w w:val="105"/>
        </w:rPr>
        <w:t>de</w:t>
      </w:r>
      <w:r>
        <w:rPr>
          <w:color w:val="231F20"/>
          <w:spacing w:val="-5"/>
          <w:w w:val="105"/>
        </w:rPr>
        <w:t> </w:t>
      </w:r>
      <w:r>
        <w:rPr>
          <w:color w:val="231F20"/>
          <w:spacing w:val="-3"/>
          <w:w w:val="105"/>
        </w:rPr>
        <w:t>derechos</w:t>
      </w:r>
      <w:r>
        <w:rPr>
          <w:color w:val="231F20"/>
          <w:spacing w:val="-5"/>
          <w:w w:val="105"/>
        </w:rPr>
        <w:t> </w:t>
      </w:r>
      <w:r>
        <w:rPr>
          <w:color w:val="231F20"/>
          <w:w w:val="105"/>
        </w:rPr>
        <w:t>humanos</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mi- grantes y otras personas en el contexto de la movilidad humana (</w:t>
      </w:r>
      <w:r>
        <w:rPr>
          <w:color w:val="231F20"/>
          <w:w w:val="105"/>
          <w:sz w:val="17"/>
        </w:rPr>
        <w:t>CIDH</w:t>
      </w:r>
      <w:r>
        <w:rPr>
          <w:color w:val="231F20"/>
          <w:w w:val="105"/>
        </w:rPr>
        <w:t>, 2013)</w:t>
      </w:r>
      <w:r>
        <w:rPr>
          <w:color w:val="231F20"/>
          <w:spacing w:val="-31"/>
          <w:w w:val="105"/>
        </w:rPr>
        <w:t> </w:t>
      </w:r>
      <w:r>
        <w:rPr>
          <w:color w:val="231F20"/>
          <w:w w:val="105"/>
        </w:rPr>
        <w:t>señala</w:t>
      </w:r>
      <w:r>
        <w:rPr>
          <w:color w:val="231F20"/>
          <w:spacing w:val="-31"/>
          <w:w w:val="105"/>
        </w:rPr>
        <w:t> </w:t>
      </w:r>
      <w:r>
        <w:rPr>
          <w:color w:val="231F20"/>
          <w:w w:val="105"/>
        </w:rPr>
        <w:t>que</w:t>
      </w:r>
      <w:r>
        <w:rPr>
          <w:color w:val="231F20"/>
          <w:spacing w:val="-31"/>
          <w:w w:val="105"/>
        </w:rPr>
        <w:t> </w:t>
      </w:r>
      <w:r>
        <w:rPr>
          <w:color w:val="231F20"/>
          <w:w w:val="105"/>
        </w:rPr>
        <w:t>los</w:t>
      </w:r>
      <w:r>
        <w:rPr>
          <w:color w:val="231F20"/>
          <w:spacing w:val="-31"/>
          <w:w w:val="105"/>
        </w:rPr>
        <w:t> </w:t>
      </w:r>
      <w:r>
        <w:rPr>
          <w:color w:val="231F20"/>
          <w:w w:val="105"/>
        </w:rPr>
        <w:t>niños</w:t>
      </w:r>
      <w:r>
        <w:rPr>
          <w:color w:val="231F20"/>
          <w:spacing w:val="-31"/>
          <w:w w:val="105"/>
        </w:rPr>
        <w:t> </w:t>
      </w:r>
      <w:r>
        <w:rPr>
          <w:color w:val="231F20"/>
          <w:w w:val="105"/>
        </w:rPr>
        <w:t>migrantes</w:t>
      </w:r>
      <w:r>
        <w:rPr>
          <w:color w:val="231F20"/>
          <w:spacing w:val="-31"/>
          <w:w w:val="105"/>
        </w:rPr>
        <w:t> </w:t>
      </w:r>
      <w:r>
        <w:rPr>
          <w:color w:val="231F20"/>
          <w:spacing w:val="-3"/>
          <w:w w:val="105"/>
        </w:rPr>
        <w:t>enfrentan</w:t>
      </w:r>
      <w:r>
        <w:rPr>
          <w:color w:val="231F20"/>
          <w:spacing w:val="-31"/>
          <w:w w:val="105"/>
        </w:rPr>
        <w:t> </w:t>
      </w:r>
      <w:r>
        <w:rPr>
          <w:color w:val="231F20"/>
          <w:w w:val="105"/>
        </w:rPr>
        <w:t>diversas</w:t>
      </w:r>
      <w:r>
        <w:rPr>
          <w:color w:val="231F20"/>
          <w:spacing w:val="-31"/>
          <w:w w:val="105"/>
        </w:rPr>
        <w:t> </w:t>
      </w:r>
      <w:r>
        <w:rPr>
          <w:color w:val="231F20"/>
          <w:w w:val="105"/>
        </w:rPr>
        <w:t>dificultades</w:t>
      </w:r>
      <w:r>
        <w:rPr>
          <w:color w:val="231F20"/>
          <w:spacing w:val="-31"/>
          <w:w w:val="105"/>
        </w:rPr>
        <w:t> </w:t>
      </w:r>
      <w:r>
        <w:rPr>
          <w:color w:val="231F20"/>
          <w:w w:val="105"/>
        </w:rPr>
        <w:t>para acceder</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educación,</w:t>
      </w:r>
      <w:r>
        <w:rPr>
          <w:color w:val="231F20"/>
          <w:spacing w:val="-23"/>
          <w:w w:val="105"/>
        </w:rPr>
        <w:t> </w:t>
      </w:r>
      <w:r>
        <w:rPr>
          <w:color w:val="231F20"/>
          <w:w w:val="105"/>
        </w:rPr>
        <w:t>pues</w:t>
      </w:r>
      <w:r>
        <w:rPr>
          <w:color w:val="231F20"/>
          <w:spacing w:val="-19"/>
          <w:w w:val="105"/>
        </w:rPr>
        <w:t> </w:t>
      </w:r>
      <w:r>
        <w:rPr>
          <w:color w:val="231F20"/>
          <w:w w:val="105"/>
        </w:rPr>
        <w:t>se</w:t>
      </w:r>
      <w:r>
        <w:rPr>
          <w:color w:val="231F20"/>
          <w:spacing w:val="-19"/>
          <w:w w:val="105"/>
        </w:rPr>
        <w:t> </w:t>
      </w:r>
      <w:r>
        <w:rPr>
          <w:color w:val="231F20"/>
          <w:w w:val="105"/>
        </w:rPr>
        <w:t>les</w:t>
      </w:r>
      <w:r>
        <w:rPr>
          <w:color w:val="231F20"/>
          <w:spacing w:val="-19"/>
          <w:w w:val="105"/>
        </w:rPr>
        <w:t> </w:t>
      </w:r>
      <w:r>
        <w:rPr>
          <w:color w:val="231F20"/>
          <w:w w:val="105"/>
        </w:rPr>
        <w:t>exige</w:t>
      </w:r>
      <w:r>
        <w:rPr>
          <w:color w:val="231F20"/>
          <w:spacing w:val="-19"/>
          <w:w w:val="105"/>
        </w:rPr>
        <w:t> </w:t>
      </w:r>
      <w:r>
        <w:rPr>
          <w:color w:val="231F20"/>
          <w:w w:val="105"/>
        </w:rPr>
        <w:t>contar</w:t>
      </w:r>
      <w:r>
        <w:rPr>
          <w:color w:val="231F20"/>
          <w:spacing w:val="-19"/>
          <w:w w:val="105"/>
        </w:rPr>
        <w:t> </w:t>
      </w:r>
      <w:r>
        <w:rPr>
          <w:color w:val="231F20"/>
          <w:w w:val="105"/>
        </w:rPr>
        <w:t>con</w:t>
      </w:r>
      <w:r>
        <w:rPr>
          <w:color w:val="231F20"/>
          <w:spacing w:val="-19"/>
          <w:w w:val="105"/>
        </w:rPr>
        <w:t> </w:t>
      </w:r>
      <w:r>
        <w:rPr>
          <w:color w:val="231F20"/>
          <w:w w:val="105"/>
        </w:rPr>
        <w:t>documentación</w:t>
      </w:r>
      <w:r>
        <w:rPr>
          <w:color w:val="231F20"/>
          <w:spacing w:val="-19"/>
          <w:w w:val="105"/>
        </w:rPr>
        <w:t> </w:t>
      </w:r>
      <w:r>
        <w:rPr>
          <w:color w:val="231F20"/>
          <w:w w:val="105"/>
        </w:rPr>
        <w:t>mi- </w:t>
      </w:r>
      <w:r>
        <w:rPr>
          <w:color w:val="231F20"/>
          <w:spacing w:val="-3"/>
          <w:w w:val="105"/>
        </w:rPr>
        <w:t>gratoria</w:t>
      </w:r>
      <w:r>
        <w:rPr>
          <w:color w:val="231F20"/>
          <w:spacing w:val="-28"/>
          <w:w w:val="105"/>
        </w:rPr>
        <w:t> </w:t>
      </w:r>
      <w:r>
        <w:rPr>
          <w:color w:val="231F20"/>
          <w:w w:val="105"/>
        </w:rPr>
        <w:t>vigente,</w:t>
      </w:r>
      <w:r>
        <w:rPr>
          <w:color w:val="231F20"/>
          <w:spacing w:val="-33"/>
          <w:w w:val="105"/>
        </w:rPr>
        <w:t> </w:t>
      </w:r>
      <w:r>
        <w:rPr>
          <w:color w:val="231F20"/>
          <w:w w:val="105"/>
        </w:rPr>
        <w:t>además</w:t>
      </w:r>
      <w:r>
        <w:rPr>
          <w:color w:val="231F20"/>
          <w:spacing w:val="-28"/>
          <w:w w:val="105"/>
        </w:rPr>
        <w:t> </w:t>
      </w:r>
      <w:r>
        <w:rPr>
          <w:color w:val="231F20"/>
          <w:w w:val="105"/>
        </w:rPr>
        <w:t>del</w:t>
      </w:r>
      <w:r>
        <w:rPr>
          <w:color w:val="231F20"/>
          <w:spacing w:val="-28"/>
          <w:w w:val="105"/>
        </w:rPr>
        <w:t> </w:t>
      </w:r>
      <w:r>
        <w:rPr>
          <w:color w:val="231F20"/>
          <w:spacing w:val="-3"/>
          <w:w w:val="105"/>
        </w:rPr>
        <w:t>cobro</w:t>
      </w:r>
      <w:r>
        <w:rPr>
          <w:color w:val="231F20"/>
          <w:spacing w:val="-28"/>
          <w:w w:val="105"/>
        </w:rPr>
        <w:t> </w:t>
      </w:r>
      <w:r>
        <w:rPr>
          <w:color w:val="231F20"/>
          <w:w w:val="105"/>
        </w:rPr>
        <w:t>por</w:t>
      </w:r>
      <w:r>
        <w:rPr>
          <w:color w:val="231F20"/>
          <w:spacing w:val="-28"/>
          <w:w w:val="105"/>
        </w:rPr>
        <w:t> </w:t>
      </w:r>
      <w:r>
        <w:rPr>
          <w:color w:val="231F20"/>
          <w:spacing w:val="-3"/>
          <w:w w:val="105"/>
        </w:rPr>
        <w:t>derechos</w:t>
      </w:r>
      <w:r>
        <w:rPr>
          <w:color w:val="231F20"/>
          <w:spacing w:val="-28"/>
          <w:w w:val="105"/>
        </w:rPr>
        <w:t> </w:t>
      </w:r>
      <w:r>
        <w:rPr>
          <w:color w:val="231F20"/>
          <w:w w:val="105"/>
        </w:rPr>
        <w:t>para</w:t>
      </w:r>
      <w:r>
        <w:rPr>
          <w:color w:val="231F20"/>
          <w:spacing w:val="-28"/>
          <w:w w:val="105"/>
        </w:rPr>
        <w:t> </w:t>
      </w:r>
      <w:r>
        <w:rPr>
          <w:color w:val="231F20"/>
          <w:w w:val="105"/>
        </w:rPr>
        <w:t>validar</w:t>
      </w:r>
      <w:r>
        <w:rPr>
          <w:color w:val="231F20"/>
          <w:spacing w:val="-28"/>
          <w:w w:val="105"/>
        </w:rPr>
        <w:t> </w:t>
      </w:r>
      <w:r>
        <w:rPr>
          <w:color w:val="231F20"/>
          <w:w w:val="105"/>
        </w:rPr>
        <w:t>sus</w:t>
      </w:r>
      <w:r>
        <w:rPr>
          <w:color w:val="231F20"/>
          <w:spacing w:val="-28"/>
          <w:w w:val="105"/>
        </w:rPr>
        <w:t> </w:t>
      </w:r>
      <w:r>
        <w:rPr>
          <w:color w:val="231F20"/>
          <w:w w:val="105"/>
        </w:rPr>
        <w:t>estudios </w:t>
      </w:r>
      <w:r>
        <w:rPr>
          <w:color w:val="231F20"/>
          <w:spacing w:val="-3"/>
          <w:w w:val="105"/>
        </w:rPr>
        <w:t>anteriores,</w:t>
      </w:r>
      <w:r>
        <w:rPr>
          <w:color w:val="231F20"/>
          <w:spacing w:val="-16"/>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el</w:t>
      </w:r>
      <w:r>
        <w:rPr>
          <w:color w:val="231F20"/>
          <w:spacing w:val="-10"/>
          <w:w w:val="105"/>
        </w:rPr>
        <w:t> </w:t>
      </w:r>
      <w:r>
        <w:rPr>
          <w:color w:val="231F20"/>
          <w:w w:val="105"/>
        </w:rPr>
        <w:t>pago</w:t>
      </w:r>
      <w:r>
        <w:rPr>
          <w:color w:val="231F20"/>
          <w:spacing w:val="-10"/>
          <w:w w:val="105"/>
        </w:rPr>
        <w:t> </w:t>
      </w:r>
      <w:r>
        <w:rPr>
          <w:color w:val="231F20"/>
          <w:w w:val="105"/>
        </w:rPr>
        <w:t>de</w:t>
      </w:r>
      <w:r>
        <w:rPr>
          <w:color w:val="231F20"/>
          <w:spacing w:val="-10"/>
          <w:w w:val="105"/>
        </w:rPr>
        <w:t> </w:t>
      </w:r>
      <w:r>
        <w:rPr>
          <w:color w:val="231F20"/>
          <w:w w:val="105"/>
        </w:rPr>
        <w:t>multas</w:t>
      </w:r>
      <w:r>
        <w:rPr>
          <w:color w:val="231F20"/>
          <w:spacing w:val="-10"/>
          <w:w w:val="105"/>
        </w:rPr>
        <w:t> </w:t>
      </w:r>
      <w:r>
        <w:rPr>
          <w:color w:val="231F20"/>
          <w:w w:val="105"/>
        </w:rPr>
        <w:t>al</w:t>
      </w:r>
      <w:r>
        <w:rPr>
          <w:color w:val="231F20"/>
          <w:spacing w:val="-10"/>
          <w:w w:val="105"/>
        </w:rPr>
        <w:t> </w:t>
      </w:r>
      <w:r>
        <w:rPr>
          <w:color w:val="231F20"/>
          <w:spacing w:val="-3"/>
          <w:w w:val="105"/>
        </w:rPr>
        <w:t>regular</w:t>
      </w:r>
      <w:r>
        <w:rPr>
          <w:color w:val="231F20"/>
          <w:spacing w:val="-10"/>
          <w:w w:val="105"/>
        </w:rPr>
        <w:t> </w:t>
      </w:r>
      <w:r>
        <w:rPr>
          <w:color w:val="231F20"/>
          <w:w w:val="105"/>
        </w:rPr>
        <w:t>su</w:t>
      </w:r>
      <w:r>
        <w:rPr>
          <w:color w:val="231F20"/>
          <w:spacing w:val="-10"/>
          <w:w w:val="105"/>
        </w:rPr>
        <w:t> </w:t>
      </w:r>
      <w:r>
        <w:rPr>
          <w:color w:val="231F20"/>
          <w:w w:val="105"/>
        </w:rPr>
        <w:t>situación</w:t>
      </w:r>
      <w:r>
        <w:rPr>
          <w:color w:val="231F20"/>
          <w:spacing w:val="-10"/>
          <w:w w:val="105"/>
        </w:rPr>
        <w:t> </w:t>
      </w:r>
      <w:r>
        <w:rPr>
          <w:color w:val="231F20"/>
          <w:spacing w:val="-3"/>
          <w:w w:val="105"/>
        </w:rPr>
        <w:t>migratoria, </w:t>
      </w:r>
      <w:r>
        <w:rPr>
          <w:color w:val="231F20"/>
          <w:w w:val="105"/>
        </w:rPr>
        <w:t>lo</w:t>
      </w:r>
      <w:r>
        <w:rPr>
          <w:color w:val="231F20"/>
          <w:spacing w:val="-20"/>
          <w:w w:val="105"/>
        </w:rPr>
        <w:t> </w:t>
      </w:r>
      <w:r>
        <w:rPr>
          <w:color w:val="231F20"/>
          <w:w w:val="105"/>
        </w:rPr>
        <w:t>cual</w:t>
      </w:r>
      <w:r>
        <w:rPr>
          <w:color w:val="231F20"/>
          <w:spacing w:val="-20"/>
          <w:w w:val="105"/>
        </w:rPr>
        <w:t> </w:t>
      </w:r>
      <w:r>
        <w:rPr>
          <w:color w:val="231F20"/>
          <w:w w:val="105"/>
        </w:rPr>
        <w:t>para</w:t>
      </w:r>
      <w:r>
        <w:rPr>
          <w:color w:val="231F20"/>
          <w:spacing w:val="-20"/>
          <w:w w:val="105"/>
        </w:rPr>
        <w:t> </w:t>
      </w:r>
      <w:r>
        <w:rPr>
          <w:color w:val="231F20"/>
          <w:w w:val="105"/>
        </w:rPr>
        <w:t>muchas</w:t>
      </w:r>
      <w:r>
        <w:rPr>
          <w:color w:val="231F20"/>
          <w:spacing w:val="-20"/>
          <w:w w:val="105"/>
        </w:rPr>
        <w:t> </w:t>
      </w:r>
      <w:r>
        <w:rPr>
          <w:color w:val="231F20"/>
          <w:w w:val="105"/>
        </w:rPr>
        <w:t>familias</w:t>
      </w:r>
      <w:r>
        <w:rPr>
          <w:color w:val="231F20"/>
          <w:spacing w:val="-20"/>
          <w:w w:val="105"/>
        </w:rPr>
        <w:t> </w:t>
      </w:r>
      <w:r>
        <w:rPr>
          <w:color w:val="231F20"/>
          <w:w w:val="105"/>
        </w:rPr>
        <w:t>migrantes</w:t>
      </w:r>
      <w:r>
        <w:rPr>
          <w:color w:val="231F20"/>
          <w:spacing w:val="-20"/>
          <w:w w:val="105"/>
        </w:rPr>
        <w:t> </w:t>
      </w:r>
      <w:r>
        <w:rPr>
          <w:color w:val="231F20"/>
          <w:spacing w:val="-3"/>
          <w:w w:val="105"/>
        </w:rPr>
        <w:t>representa</w:t>
      </w:r>
      <w:r>
        <w:rPr>
          <w:color w:val="231F20"/>
          <w:spacing w:val="-20"/>
          <w:w w:val="105"/>
        </w:rPr>
        <w:t> </w:t>
      </w:r>
      <w:r>
        <w:rPr>
          <w:color w:val="231F20"/>
          <w:w w:val="105"/>
        </w:rPr>
        <w:t>un</w:t>
      </w:r>
      <w:r>
        <w:rPr>
          <w:color w:val="231F20"/>
          <w:spacing w:val="-20"/>
          <w:w w:val="105"/>
        </w:rPr>
        <w:t> </w:t>
      </w:r>
      <w:r>
        <w:rPr>
          <w:color w:val="231F20"/>
          <w:w w:val="105"/>
        </w:rPr>
        <w:t>obstáculo,</w:t>
      </w:r>
      <w:r>
        <w:rPr>
          <w:color w:val="231F20"/>
          <w:spacing w:val="-24"/>
          <w:w w:val="105"/>
        </w:rPr>
        <w:t> </w:t>
      </w:r>
      <w:r>
        <w:rPr>
          <w:color w:val="231F20"/>
          <w:w w:val="105"/>
        </w:rPr>
        <w:t>pues</w:t>
      </w:r>
      <w:r>
        <w:rPr>
          <w:color w:val="231F20"/>
          <w:spacing w:val="-20"/>
          <w:w w:val="105"/>
        </w:rPr>
        <w:t> </w:t>
      </w:r>
      <w:r>
        <w:rPr>
          <w:color w:val="231F20"/>
          <w:w w:val="105"/>
        </w:rPr>
        <w:t>su situación</w:t>
      </w:r>
      <w:r>
        <w:rPr>
          <w:color w:val="231F20"/>
          <w:spacing w:val="-23"/>
          <w:w w:val="105"/>
        </w:rPr>
        <w:t> </w:t>
      </w:r>
      <w:r>
        <w:rPr>
          <w:color w:val="231F20"/>
          <w:w w:val="105"/>
        </w:rPr>
        <w:t>de</w:t>
      </w:r>
      <w:r>
        <w:rPr>
          <w:color w:val="231F20"/>
          <w:spacing w:val="-23"/>
          <w:w w:val="105"/>
        </w:rPr>
        <w:t> </w:t>
      </w:r>
      <w:r>
        <w:rPr>
          <w:color w:val="231F20"/>
          <w:spacing w:val="-3"/>
          <w:w w:val="105"/>
        </w:rPr>
        <w:t>pobreza</w:t>
      </w:r>
      <w:r>
        <w:rPr>
          <w:color w:val="231F20"/>
          <w:spacing w:val="-23"/>
          <w:w w:val="105"/>
        </w:rPr>
        <w:t> </w:t>
      </w:r>
      <w:r>
        <w:rPr>
          <w:color w:val="231F20"/>
          <w:w w:val="105"/>
        </w:rPr>
        <w:t>merma</w:t>
      </w:r>
      <w:r>
        <w:rPr>
          <w:color w:val="231F20"/>
          <w:spacing w:val="-23"/>
          <w:w w:val="105"/>
        </w:rPr>
        <w:t> </w:t>
      </w:r>
      <w:r>
        <w:rPr>
          <w:color w:val="231F20"/>
          <w:w w:val="105"/>
        </w:rPr>
        <w:t>la</w:t>
      </w:r>
      <w:r>
        <w:rPr>
          <w:color w:val="231F20"/>
          <w:spacing w:val="-23"/>
          <w:w w:val="105"/>
        </w:rPr>
        <w:t> </w:t>
      </w:r>
      <w:r>
        <w:rPr>
          <w:color w:val="231F20"/>
          <w:w w:val="105"/>
        </w:rPr>
        <w:t>posibilidad</w:t>
      </w:r>
      <w:r>
        <w:rPr>
          <w:color w:val="231F20"/>
          <w:spacing w:val="-23"/>
          <w:w w:val="105"/>
        </w:rPr>
        <w:t> </w:t>
      </w:r>
      <w:r>
        <w:rPr>
          <w:color w:val="231F20"/>
          <w:w w:val="105"/>
        </w:rPr>
        <w:t>de</w:t>
      </w:r>
      <w:r>
        <w:rPr>
          <w:color w:val="231F20"/>
          <w:spacing w:val="-23"/>
          <w:w w:val="105"/>
        </w:rPr>
        <w:t> </w:t>
      </w:r>
      <w:r>
        <w:rPr>
          <w:color w:val="231F20"/>
          <w:w w:val="105"/>
        </w:rPr>
        <w:t>solventar</w:t>
      </w:r>
      <w:r>
        <w:rPr>
          <w:color w:val="231F20"/>
          <w:spacing w:val="-23"/>
          <w:w w:val="105"/>
        </w:rPr>
        <w:t> </w:t>
      </w:r>
      <w:r>
        <w:rPr>
          <w:color w:val="231F20"/>
          <w:w w:val="105"/>
        </w:rPr>
        <w:t>dichos</w:t>
      </w:r>
      <w:r>
        <w:rPr>
          <w:color w:val="231F20"/>
          <w:spacing w:val="-23"/>
          <w:w w:val="105"/>
        </w:rPr>
        <w:t> </w:t>
      </w:r>
      <w:r>
        <w:rPr>
          <w:color w:val="231F20"/>
          <w:w w:val="105"/>
        </w:rPr>
        <w:t>gastos.</w:t>
      </w:r>
    </w:p>
    <w:p>
      <w:pPr>
        <w:pStyle w:val="BodyText"/>
        <w:spacing w:line="261" w:lineRule="auto" w:before="1"/>
        <w:ind w:left="1837" w:right="1721" w:firstLine="567"/>
        <w:jc w:val="both"/>
      </w:pPr>
      <w:r>
        <w:rPr>
          <w:color w:val="231F20"/>
          <w:spacing w:val="-6"/>
          <w:w w:val="105"/>
        </w:rPr>
        <w:t>Por </w:t>
      </w:r>
      <w:r>
        <w:rPr>
          <w:color w:val="231F20"/>
          <w:w w:val="105"/>
        </w:rPr>
        <w:t>lo anterior, garantizar los derechos humanos de las personas migrantes</w:t>
      </w:r>
      <w:r>
        <w:rPr>
          <w:color w:val="231F20"/>
          <w:spacing w:val="-17"/>
          <w:w w:val="105"/>
        </w:rPr>
        <w:t> </w:t>
      </w:r>
      <w:r>
        <w:rPr>
          <w:color w:val="231F20"/>
          <w:w w:val="105"/>
        </w:rPr>
        <w:t>continúa</w:t>
      </w:r>
      <w:r>
        <w:rPr>
          <w:color w:val="231F20"/>
          <w:spacing w:val="-17"/>
          <w:w w:val="105"/>
        </w:rPr>
        <w:t> </w:t>
      </w:r>
      <w:r>
        <w:rPr>
          <w:color w:val="231F20"/>
          <w:w w:val="105"/>
        </w:rPr>
        <w:t>siendo</w:t>
      </w:r>
      <w:r>
        <w:rPr>
          <w:color w:val="231F20"/>
          <w:spacing w:val="-17"/>
          <w:w w:val="105"/>
        </w:rPr>
        <w:t> </w:t>
      </w:r>
      <w:r>
        <w:rPr>
          <w:color w:val="231F20"/>
          <w:w w:val="105"/>
        </w:rPr>
        <w:t>uno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grandes</w:t>
      </w:r>
      <w:r>
        <w:rPr>
          <w:color w:val="231F20"/>
          <w:spacing w:val="-17"/>
          <w:w w:val="105"/>
        </w:rPr>
        <w:t> </w:t>
      </w:r>
      <w:r>
        <w:rPr>
          <w:color w:val="231F20"/>
          <w:w w:val="105"/>
        </w:rPr>
        <w:t>retos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gobiernos</w:t>
      </w:r>
      <w:r>
        <w:rPr>
          <w:color w:val="231F20"/>
          <w:spacing w:val="-17"/>
          <w:w w:val="105"/>
        </w:rPr>
        <w:t> </w:t>
      </w:r>
      <w:r>
        <w:rPr>
          <w:color w:val="231F20"/>
          <w:w w:val="105"/>
        </w:rPr>
        <w:t>na- cionales,</w:t>
      </w:r>
      <w:r>
        <w:rPr>
          <w:color w:val="231F20"/>
          <w:spacing w:val="-33"/>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medida</w:t>
      </w:r>
      <w:r>
        <w:rPr>
          <w:color w:val="231F20"/>
          <w:spacing w:val="-29"/>
          <w:w w:val="105"/>
        </w:rPr>
        <w:t> </w:t>
      </w:r>
      <w:r>
        <w:rPr>
          <w:color w:val="231F20"/>
          <w:w w:val="105"/>
        </w:rPr>
        <w:t>en</w:t>
      </w:r>
      <w:r>
        <w:rPr>
          <w:color w:val="231F20"/>
          <w:spacing w:val="-29"/>
          <w:w w:val="105"/>
        </w:rPr>
        <w:t> </w:t>
      </w:r>
      <w:r>
        <w:rPr>
          <w:color w:val="231F20"/>
          <w:w w:val="105"/>
        </w:rPr>
        <w:t>que</w:t>
      </w:r>
      <w:r>
        <w:rPr>
          <w:color w:val="231F20"/>
          <w:spacing w:val="-29"/>
          <w:w w:val="105"/>
        </w:rPr>
        <w:t> </w:t>
      </w:r>
      <w:r>
        <w:rPr>
          <w:color w:val="231F20"/>
          <w:w w:val="105"/>
        </w:rPr>
        <w:t>las</w:t>
      </w:r>
      <w:r>
        <w:rPr>
          <w:color w:val="231F20"/>
          <w:spacing w:val="-29"/>
          <w:w w:val="105"/>
        </w:rPr>
        <w:t> </w:t>
      </w:r>
      <w:r>
        <w:rPr>
          <w:color w:val="231F20"/>
          <w:w w:val="105"/>
        </w:rPr>
        <w:t>leyes</w:t>
      </w:r>
      <w:r>
        <w:rPr>
          <w:color w:val="231F20"/>
          <w:spacing w:val="-29"/>
          <w:w w:val="105"/>
        </w:rPr>
        <w:t> </w:t>
      </w:r>
      <w:r>
        <w:rPr>
          <w:color w:val="231F20"/>
          <w:w w:val="105"/>
        </w:rPr>
        <w:t>internacionales,</w:t>
      </w:r>
      <w:r>
        <w:rPr>
          <w:color w:val="231F20"/>
          <w:spacing w:val="-33"/>
          <w:w w:val="105"/>
        </w:rPr>
        <w:t> </w:t>
      </w:r>
      <w:r>
        <w:rPr>
          <w:color w:val="231F20"/>
          <w:w w:val="105"/>
        </w:rPr>
        <w:t>si</w:t>
      </w:r>
      <w:r>
        <w:rPr>
          <w:color w:val="231F20"/>
          <w:spacing w:val="-29"/>
          <w:w w:val="105"/>
        </w:rPr>
        <w:t> </w:t>
      </w:r>
      <w:r>
        <w:rPr>
          <w:color w:val="231F20"/>
          <w:w w:val="105"/>
        </w:rPr>
        <w:t>bien</w:t>
      </w:r>
      <w:r>
        <w:rPr>
          <w:color w:val="231F20"/>
          <w:spacing w:val="-29"/>
          <w:w w:val="105"/>
        </w:rPr>
        <w:t> </w:t>
      </w:r>
      <w:r>
        <w:rPr>
          <w:color w:val="231F20"/>
          <w:w w:val="105"/>
        </w:rPr>
        <w:t>consagran el</w:t>
      </w:r>
      <w:r>
        <w:rPr>
          <w:color w:val="231F20"/>
          <w:spacing w:val="-11"/>
          <w:w w:val="105"/>
        </w:rPr>
        <w:t> </w:t>
      </w:r>
      <w:r>
        <w:rPr>
          <w:color w:val="231F20"/>
          <w:w w:val="105"/>
        </w:rPr>
        <w:t>derecho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movilidad,</w:t>
      </w:r>
      <w:r>
        <w:rPr>
          <w:color w:val="231F20"/>
          <w:spacing w:val="-17"/>
          <w:w w:val="105"/>
        </w:rPr>
        <w:t> </w:t>
      </w:r>
      <w:r>
        <w:rPr>
          <w:color w:val="231F20"/>
          <w:w w:val="105"/>
        </w:rPr>
        <w:t>no</w:t>
      </w:r>
      <w:r>
        <w:rPr>
          <w:color w:val="231F20"/>
          <w:spacing w:val="-11"/>
          <w:w w:val="105"/>
        </w:rPr>
        <w:t> </w:t>
      </w:r>
      <w:r>
        <w:rPr>
          <w:color w:val="231F20"/>
          <w:w w:val="105"/>
        </w:rPr>
        <w:t>reconocen</w:t>
      </w:r>
      <w:r>
        <w:rPr>
          <w:color w:val="231F20"/>
          <w:spacing w:val="-11"/>
          <w:w w:val="105"/>
        </w:rPr>
        <w:t> </w:t>
      </w:r>
      <w:r>
        <w:rPr>
          <w:color w:val="231F20"/>
          <w:w w:val="105"/>
        </w:rPr>
        <w:t>de</w:t>
      </w:r>
      <w:r>
        <w:rPr>
          <w:color w:val="231F20"/>
          <w:spacing w:val="-11"/>
          <w:w w:val="105"/>
        </w:rPr>
        <w:t> </w:t>
      </w:r>
      <w:r>
        <w:rPr>
          <w:color w:val="231F20"/>
          <w:w w:val="105"/>
        </w:rPr>
        <w:t>manera</w:t>
      </w:r>
      <w:r>
        <w:rPr>
          <w:color w:val="231F20"/>
          <w:spacing w:val="-11"/>
          <w:w w:val="105"/>
        </w:rPr>
        <w:t> </w:t>
      </w:r>
      <w:r>
        <w:rPr>
          <w:color w:val="231F20"/>
          <w:w w:val="105"/>
        </w:rPr>
        <w:t>explícita</w:t>
      </w:r>
      <w:r>
        <w:rPr>
          <w:color w:val="231F20"/>
          <w:spacing w:val="-11"/>
          <w:w w:val="105"/>
        </w:rPr>
        <w:t> </w:t>
      </w:r>
      <w:r>
        <w:rPr>
          <w:color w:val="231F20"/>
          <w:w w:val="105"/>
        </w:rPr>
        <w:t>la</w:t>
      </w:r>
      <w:r>
        <w:rPr>
          <w:color w:val="231F20"/>
          <w:spacing w:val="-11"/>
          <w:w w:val="105"/>
        </w:rPr>
        <w:t> </w:t>
      </w:r>
      <w:r>
        <w:rPr>
          <w:color w:val="231F20"/>
          <w:w w:val="105"/>
        </w:rPr>
        <w:t>legalidad de</w:t>
      </w:r>
      <w:r>
        <w:rPr>
          <w:color w:val="231F20"/>
          <w:spacing w:val="-5"/>
          <w:w w:val="105"/>
        </w:rPr>
        <w:t> </w:t>
      </w:r>
      <w:r>
        <w:rPr>
          <w:color w:val="231F20"/>
          <w:w w:val="105"/>
        </w:rPr>
        <w:t>entrar</w:t>
      </w:r>
      <w:r>
        <w:rPr>
          <w:color w:val="231F20"/>
          <w:spacing w:val="-5"/>
          <w:w w:val="105"/>
        </w:rPr>
        <w:t> </w:t>
      </w:r>
      <w:r>
        <w:rPr>
          <w:color w:val="231F20"/>
          <w:w w:val="105"/>
        </w:rPr>
        <w:t>a</w:t>
      </w:r>
      <w:r>
        <w:rPr>
          <w:color w:val="231F20"/>
          <w:spacing w:val="-5"/>
          <w:w w:val="105"/>
        </w:rPr>
        <w:t> </w:t>
      </w:r>
      <w:r>
        <w:rPr>
          <w:color w:val="231F20"/>
          <w:w w:val="105"/>
        </w:rPr>
        <w:t>un</w:t>
      </w:r>
      <w:r>
        <w:rPr>
          <w:color w:val="231F20"/>
          <w:spacing w:val="-5"/>
          <w:w w:val="105"/>
        </w:rPr>
        <w:t> </w:t>
      </w:r>
      <w:r>
        <w:rPr>
          <w:color w:val="231F20"/>
          <w:w w:val="105"/>
        </w:rPr>
        <w:t>país</w:t>
      </w:r>
      <w:r>
        <w:rPr>
          <w:color w:val="231F20"/>
          <w:spacing w:val="-5"/>
          <w:w w:val="105"/>
        </w:rPr>
        <w:t> </w:t>
      </w:r>
      <w:r>
        <w:rPr>
          <w:color w:val="231F20"/>
          <w:w w:val="105"/>
        </w:rPr>
        <w:t>distinto</w:t>
      </w:r>
      <w:r>
        <w:rPr>
          <w:color w:val="231F20"/>
          <w:spacing w:val="-5"/>
          <w:w w:val="105"/>
        </w:rPr>
        <w:t> </w:t>
      </w:r>
      <w:r>
        <w:rPr>
          <w:color w:val="231F20"/>
          <w:w w:val="105"/>
        </w:rPr>
        <w:t>al</w:t>
      </w:r>
      <w:r>
        <w:rPr>
          <w:color w:val="231F20"/>
          <w:spacing w:val="-5"/>
          <w:w w:val="105"/>
        </w:rPr>
        <w:t> </w:t>
      </w:r>
      <w:r>
        <w:rPr>
          <w:color w:val="231F20"/>
          <w:w w:val="105"/>
        </w:rPr>
        <w:t>de</w:t>
      </w:r>
      <w:r>
        <w:rPr>
          <w:color w:val="231F20"/>
          <w:spacing w:val="-5"/>
          <w:w w:val="105"/>
        </w:rPr>
        <w:t> </w:t>
      </w:r>
      <w:r>
        <w:rPr>
          <w:color w:val="231F20"/>
          <w:w w:val="105"/>
        </w:rPr>
        <w:t>origen,</w:t>
      </w:r>
      <w:r>
        <w:rPr>
          <w:color w:val="231F20"/>
          <w:spacing w:val="-11"/>
          <w:w w:val="105"/>
        </w:rPr>
        <w:t> </w:t>
      </w:r>
      <w:r>
        <w:rPr>
          <w:color w:val="231F20"/>
          <w:w w:val="105"/>
        </w:rPr>
        <w:t>dejando</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Estados</w:t>
      </w:r>
      <w:r>
        <w:rPr>
          <w:color w:val="231F20"/>
          <w:spacing w:val="-5"/>
          <w:w w:val="105"/>
        </w:rPr>
        <w:t> </w:t>
      </w:r>
      <w:r>
        <w:rPr>
          <w:color w:val="231F20"/>
          <w:w w:val="105"/>
        </w:rPr>
        <w:t>la</w:t>
      </w:r>
      <w:r>
        <w:rPr>
          <w:color w:val="231F20"/>
          <w:spacing w:val="-5"/>
          <w:w w:val="105"/>
        </w:rPr>
        <w:t> </w:t>
      </w:r>
      <w:r>
        <w:rPr>
          <w:color w:val="231F20"/>
          <w:w w:val="105"/>
        </w:rPr>
        <w:t>potes- tad</w:t>
      </w:r>
      <w:r>
        <w:rPr>
          <w:color w:val="231F20"/>
          <w:spacing w:val="-12"/>
          <w:w w:val="105"/>
        </w:rPr>
        <w:t> </w:t>
      </w:r>
      <w:r>
        <w:rPr>
          <w:color w:val="231F20"/>
          <w:w w:val="105"/>
        </w:rPr>
        <w:t>de</w:t>
      </w:r>
      <w:r>
        <w:rPr>
          <w:color w:val="231F20"/>
          <w:spacing w:val="-12"/>
          <w:w w:val="105"/>
        </w:rPr>
        <w:t> </w:t>
      </w:r>
      <w:r>
        <w:rPr>
          <w:color w:val="231F20"/>
          <w:w w:val="105"/>
        </w:rPr>
        <w:t>regular</w:t>
      </w:r>
      <w:r>
        <w:rPr>
          <w:color w:val="231F20"/>
          <w:spacing w:val="-12"/>
          <w:w w:val="105"/>
        </w:rPr>
        <w:t> </w:t>
      </w:r>
      <w:r>
        <w:rPr>
          <w:color w:val="231F20"/>
          <w:w w:val="105"/>
        </w:rPr>
        <w:t>la</w:t>
      </w:r>
      <w:r>
        <w:rPr>
          <w:color w:val="231F20"/>
          <w:spacing w:val="-12"/>
          <w:w w:val="105"/>
        </w:rPr>
        <w:t> </w:t>
      </w:r>
      <w:r>
        <w:rPr>
          <w:color w:val="231F20"/>
          <w:w w:val="105"/>
        </w:rPr>
        <w:t>entrada,</w:t>
      </w:r>
      <w:r>
        <w:rPr>
          <w:color w:val="231F20"/>
          <w:spacing w:val="-17"/>
          <w:w w:val="105"/>
        </w:rPr>
        <w:t> </w:t>
      </w:r>
      <w:r>
        <w:rPr>
          <w:color w:val="231F20"/>
          <w:w w:val="105"/>
        </w:rPr>
        <w:t>estancia</w:t>
      </w:r>
      <w:r>
        <w:rPr>
          <w:color w:val="231F20"/>
          <w:spacing w:val="-12"/>
          <w:w w:val="105"/>
        </w:rPr>
        <w:t> </w:t>
      </w:r>
      <w:r>
        <w:rPr>
          <w:color w:val="231F20"/>
          <w:w w:val="105"/>
        </w:rPr>
        <w:t>y</w:t>
      </w:r>
      <w:r>
        <w:rPr>
          <w:color w:val="231F20"/>
          <w:spacing w:val="-12"/>
          <w:w w:val="105"/>
        </w:rPr>
        <w:t> </w:t>
      </w:r>
      <w:r>
        <w:rPr>
          <w:color w:val="231F20"/>
          <w:w w:val="105"/>
        </w:rPr>
        <w:t>expulsión</w:t>
      </w:r>
      <w:r>
        <w:rPr>
          <w:color w:val="231F20"/>
          <w:spacing w:val="-12"/>
          <w:w w:val="105"/>
        </w:rPr>
        <w:t> </w:t>
      </w:r>
      <w:r>
        <w:rPr>
          <w:color w:val="231F20"/>
          <w:w w:val="105"/>
        </w:rPr>
        <w:t>de</w:t>
      </w:r>
      <w:r>
        <w:rPr>
          <w:color w:val="231F20"/>
          <w:spacing w:val="-12"/>
          <w:w w:val="105"/>
        </w:rPr>
        <w:t> </w:t>
      </w:r>
      <w:r>
        <w:rPr>
          <w:color w:val="231F20"/>
          <w:w w:val="105"/>
        </w:rPr>
        <w:t>personas</w:t>
      </w:r>
      <w:r>
        <w:rPr>
          <w:color w:val="231F20"/>
          <w:spacing w:val="-12"/>
          <w:w w:val="105"/>
        </w:rPr>
        <w:t> </w:t>
      </w:r>
      <w:r>
        <w:rPr>
          <w:color w:val="231F20"/>
          <w:w w:val="105"/>
        </w:rPr>
        <w:t>dentro</w:t>
      </w:r>
      <w:r>
        <w:rPr>
          <w:color w:val="231F20"/>
          <w:spacing w:val="-12"/>
          <w:w w:val="105"/>
        </w:rPr>
        <w:t> </w:t>
      </w:r>
      <w:r>
        <w:rPr>
          <w:color w:val="231F20"/>
          <w:w w:val="105"/>
        </w:rPr>
        <w:t>de</w:t>
      </w:r>
      <w:r>
        <w:rPr>
          <w:color w:val="231F20"/>
          <w:spacing w:val="-12"/>
          <w:w w:val="105"/>
        </w:rPr>
        <w:t> </w:t>
      </w:r>
      <w:r>
        <w:rPr>
          <w:color w:val="231F20"/>
          <w:w w:val="105"/>
        </w:rPr>
        <w:t>su territorio. Sin embargo, es claro también que esta facultad no se puede ejercer de manera arbitraria, discriminatoria o vulnerando los derechos de</w:t>
      </w:r>
      <w:r>
        <w:rPr>
          <w:color w:val="231F20"/>
          <w:spacing w:val="-32"/>
          <w:w w:val="105"/>
        </w:rPr>
        <w:t> </w:t>
      </w:r>
      <w:r>
        <w:rPr>
          <w:color w:val="231F20"/>
          <w:w w:val="105"/>
        </w:rPr>
        <w:t>las</w:t>
      </w:r>
      <w:r>
        <w:rPr>
          <w:color w:val="231F20"/>
          <w:spacing w:val="-32"/>
          <w:w w:val="105"/>
        </w:rPr>
        <w:t> </w:t>
      </w:r>
      <w:r>
        <w:rPr>
          <w:color w:val="231F20"/>
          <w:w w:val="105"/>
        </w:rPr>
        <w:t>personas</w:t>
      </w:r>
      <w:r>
        <w:rPr>
          <w:color w:val="231F20"/>
          <w:spacing w:val="-32"/>
          <w:w w:val="105"/>
        </w:rPr>
        <w:t> </w:t>
      </w:r>
      <w:r>
        <w:rPr>
          <w:color w:val="231F20"/>
          <w:w w:val="105"/>
        </w:rPr>
        <w:t>migrantes</w:t>
      </w:r>
      <w:r>
        <w:rPr>
          <w:color w:val="231F20"/>
          <w:spacing w:val="-32"/>
          <w:w w:val="105"/>
        </w:rPr>
        <w:t> </w:t>
      </w:r>
      <w:r>
        <w:rPr>
          <w:color w:val="231F20"/>
          <w:w w:val="105"/>
        </w:rPr>
        <w:t>(</w:t>
      </w:r>
      <w:r>
        <w:rPr>
          <w:color w:val="231F20"/>
          <w:w w:val="105"/>
          <w:sz w:val="17"/>
        </w:rPr>
        <w:t>INEDIM</w:t>
      </w:r>
      <w:r>
        <w:rPr>
          <w:color w:val="231F20"/>
          <w:w w:val="105"/>
        </w:rPr>
        <w:t>,</w:t>
      </w:r>
      <w:r>
        <w:rPr>
          <w:color w:val="231F20"/>
          <w:spacing w:val="-35"/>
          <w:w w:val="105"/>
        </w:rPr>
        <w:t> </w:t>
      </w:r>
      <w:r>
        <w:rPr>
          <w:color w:val="231F20"/>
          <w:w w:val="105"/>
        </w:rPr>
        <w:t>2015).</w:t>
      </w:r>
    </w:p>
    <w:p>
      <w:pPr>
        <w:pStyle w:val="BodyText"/>
        <w:spacing w:line="261" w:lineRule="auto" w:before="1"/>
        <w:ind w:left="1837" w:right="1721" w:firstLine="567"/>
        <w:jc w:val="both"/>
      </w:pPr>
      <w:r>
        <w:rPr>
          <w:color w:val="231F20"/>
          <w:spacing w:val="-6"/>
          <w:w w:val="105"/>
        </w:rPr>
        <w:t>Por </w:t>
      </w:r>
      <w:r>
        <w:rPr>
          <w:color w:val="231F20"/>
          <w:w w:val="105"/>
        </w:rPr>
        <w:t>ello, la interculturalidad e inclusión social de los migrantes es parte</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labores</w:t>
      </w:r>
      <w:r>
        <w:rPr>
          <w:color w:val="231F20"/>
          <w:spacing w:val="-13"/>
          <w:w w:val="105"/>
        </w:rPr>
        <w:t> </w:t>
      </w:r>
      <w:r>
        <w:rPr>
          <w:color w:val="231F20"/>
          <w:w w:val="105"/>
        </w:rPr>
        <w:t>pendientes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gobiernos,</w:t>
      </w:r>
      <w:r>
        <w:rPr>
          <w:color w:val="231F20"/>
          <w:spacing w:val="-18"/>
          <w:w w:val="105"/>
        </w:rPr>
        <w:t> </w:t>
      </w:r>
      <w:r>
        <w:rPr>
          <w:color w:val="231F20"/>
          <w:w w:val="105"/>
        </w:rPr>
        <w:t>pues</w:t>
      </w:r>
      <w:r>
        <w:rPr>
          <w:color w:val="231F20"/>
          <w:spacing w:val="-13"/>
          <w:w w:val="105"/>
        </w:rPr>
        <w:t> </w:t>
      </w:r>
      <w:r>
        <w:rPr>
          <w:color w:val="231F20"/>
          <w:w w:val="105"/>
        </w:rPr>
        <w:t>esto</w:t>
      </w:r>
      <w:r>
        <w:rPr>
          <w:color w:val="231F20"/>
          <w:spacing w:val="-13"/>
          <w:w w:val="105"/>
        </w:rPr>
        <w:t> </w:t>
      </w:r>
      <w:r>
        <w:rPr>
          <w:color w:val="231F20"/>
          <w:w w:val="105"/>
        </w:rPr>
        <w:t>implica</w:t>
      </w:r>
      <w:r>
        <w:rPr>
          <w:color w:val="231F20"/>
          <w:spacing w:val="-13"/>
          <w:w w:val="105"/>
        </w:rPr>
        <w:t> </w:t>
      </w:r>
      <w:r>
        <w:rPr>
          <w:color w:val="231F20"/>
          <w:w w:val="105"/>
        </w:rPr>
        <w:t>sen- sibilizar a los ciudadanos, independientemente de su origen regional o étnico, sobre la importancia de las movilidades de la humanidad entre los</w:t>
      </w:r>
      <w:r>
        <w:rPr>
          <w:color w:val="231F20"/>
          <w:spacing w:val="-4"/>
          <w:w w:val="105"/>
        </w:rPr>
        <w:t> </w:t>
      </w:r>
      <w:r>
        <w:rPr>
          <w:color w:val="231F20"/>
          <w:w w:val="105"/>
        </w:rPr>
        <w:t>diferentes</w:t>
      </w:r>
      <w:r>
        <w:rPr>
          <w:color w:val="231F20"/>
          <w:spacing w:val="-4"/>
          <w:w w:val="105"/>
        </w:rPr>
        <w:t> </w:t>
      </w:r>
      <w:r>
        <w:rPr>
          <w:color w:val="231F20"/>
          <w:w w:val="105"/>
        </w:rPr>
        <w:t>territorios</w:t>
      </w:r>
      <w:r>
        <w:rPr>
          <w:color w:val="231F20"/>
          <w:spacing w:val="-4"/>
          <w:w w:val="105"/>
        </w:rPr>
        <w:t> </w:t>
      </w:r>
      <w:r>
        <w:rPr>
          <w:color w:val="231F20"/>
          <w:w w:val="105"/>
        </w:rPr>
        <w:t>del</w:t>
      </w:r>
      <w:r>
        <w:rPr>
          <w:color w:val="231F20"/>
          <w:spacing w:val="-4"/>
          <w:w w:val="105"/>
        </w:rPr>
        <w:t> </w:t>
      </w:r>
      <w:r>
        <w:rPr>
          <w:color w:val="231F20"/>
          <w:w w:val="105"/>
        </w:rPr>
        <w:t>mundo,</w:t>
      </w:r>
      <w:r>
        <w:rPr>
          <w:color w:val="231F20"/>
          <w:spacing w:val="-10"/>
          <w:w w:val="105"/>
        </w:rPr>
        <w:t> </w:t>
      </w:r>
      <w:r>
        <w:rPr>
          <w:color w:val="231F20"/>
          <w:w w:val="105"/>
        </w:rPr>
        <w:t>así</w:t>
      </w:r>
      <w:r>
        <w:rPr>
          <w:color w:val="231F20"/>
          <w:spacing w:val="-4"/>
          <w:w w:val="105"/>
        </w:rPr>
        <w:t> </w:t>
      </w:r>
      <w:r>
        <w:rPr>
          <w:color w:val="231F20"/>
          <w:w w:val="105"/>
        </w:rPr>
        <w:t>como</w:t>
      </w:r>
      <w:r>
        <w:rPr>
          <w:color w:val="231F20"/>
          <w:spacing w:val="-4"/>
          <w:w w:val="105"/>
        </w:rPr>
        <w:t> </w:t>
      </w:r>
      <w:r>
        <w:rPr>
          <w:color w:val="231F20"/>
          <w:w w:val="105"/>
        </w:rPr>
        <w:t>de</w:t>
      </w:r>
      <w:r>
        <w:rPr>
          <w:color w:val="231F20"/>
          <w:spacing w:val="-4"/>
          <w:w w:val="105"/>
        </w:rPr>
        <w:t> </w:t>
      </w:r>
      <w:r>
        <w:rPr>
          <w:color w:val="231F20"/>
          <w:w w:val="105"/>
        </w:rPr>
        <w:t>su</w:t>
      </w:r>
      <w:r>
        <w:rPr>
          <w:color w:val="231F20"/>
          <w:spacing w:val="-4"/>
          <w:w w:val="105"/>
        </w:rPr>
        <w:t> </w:t>
      </w:r>
      <w:r>
        <w:rPr>
          <w:color w:val="231F20"/>
          <w:w w:val="105"/>
        </w:rPr>
        <w:t>contribución</w:t>
      </w:r>
      <w:r>
        <w:rPr>
          <w:color w:val="231F20"/>
          <w:spacing w:val="-4"/>
          <w:w w:val="105"/>
        </w:rPr>
        <w:t> </w:t>
      </w:r>
      <w:r>
        <w:rPr>
          <w:color w:val="231F20"/>
          <w:w w:val="105"/>
        </w:rPr>
        <w:t>al</w:t>
      </w:r>
      <w:r>
        <w:rPr>
          <w:color w:val="231F20"/>
          <w:spacing w:val="-4"/>
          <w:w w:val="105"/>
        </w:rPr>
        <w:t> </w:t>
      </w:r>
      <w:r>
        <w:rPr>
          <w:color w:val="231F20"/>
          <w:w w:val="105"/>
        </w:rPr>
        <w:t>enri- quecimiento</w:t>
      </w:r>
      <w:r>
        <w:rPr>
          <w:color w:val="231F20"/>
          <w:spacing w:val="-15"/>
          <w:w w:val="105"/>
        </w:rPr>
        <w:t> </w:t>
      </w:r>
      <w:r>
        <w:rPr>
          <w:color w:val="231F20"/>
          <w:w w:val="105"/>
        </w:rPr>
        <w:t>cultural,</w:t>
      </w:r>
      <w:r>
        <w:rPr>
          <w:color w:val="231F20"/>
          <w:spacing w:val="-20"/>
          <w:w w:val="105"/>
        </w:rPr>
        <w:t> </w:t>
      </w:r>
      <w:r>
        <w:rPr>
          <w:color w:val="231F20"/>
          <w:w w:val="105"/>
        </w:rPr>
        <w:t>social</w:t>
      </w:r>
      <w:r>
        <w:rPr>
          <w:color w:val="231F20"/>
          <w:spacing w:val="-15"/>
          <w:w w:val="105"/>
        </w:rPr>
        <w:t> </w:t>
      </w:r>
      <w:r>
        <w:rPr>
          <w:color w:val="231F20"/>
          <w:w w:val="105"/>
        </w:rPr>
        <w:t>y</w:t>
      </w:r>
      <w:r>
        <w:rPr>
          <w:color w:val="231F20"/>
          <w:spacing w:val="-15"/>
          <w:w w:val="105"/>
        </w:rPr>
        <w:t> </w:t>
      </w:r>
      <w:r>
        <w:rPr>
          <w:color w:val="231F20"/>
          <w:w w:val="105"/>
        </w:rPr>
        <w:t>económico.</w:t>
      </w:r>
    </w:p>
    <w:p>
      <w:pPr>
        <w:pStyle w:val="BodyText"/>
        <w:rPr>
          <w:sz w:val="20"/>
        </w:rPr>
      </w:pPr>
    </w:p>
    <w:p>
      <w:pPr>
        <w:pStyle w:val="BodyText"/>
        <w:spacing w:before="9"/>
        <w:rPr>
          <w:sz w:val="20"/>
        </w:rPr>
      </w:pPr>
    </w:p>
    <w:p>
      <w:pPr>
        <w:pStyle w:val="Heading3"/>
      </w:pPr>
      <w:r>
        <w:rPr>
          <w:color w:val="231F20"/>
          <w:w w:val="95"/>
        </w:rPr>
        <w:t>Estado, migrantes y comunidad</w:t>
      </w:r>
      <w:r>
        <w:rPr>
          <w:color w:val="231F20"/>
          <w:spacing w:val="58"/>
          <w:w w:val="95"/>
        </w:rPr>
        <w:t> </w:t>
      </w:r>
      <w:r>
        <w:rPr>
          <w:color w:val="231F20"/>
          <w:w w:val="95"/>
        </w:rPr>
        <w:t>internacional</w:t>
      </w:r>
    </w:p>
    <w:p>
      <w:pPr>
        <w:pStyle w:val="BodyText"/>
        <w:rPr>
          <w:rFonts w:ascii="Arial"/>
          <w:b/>
          <w:sz w:val="22"/>
        </w:rPr>
      </w:pPr>
    </w:p>
    <w:p>
      <w:pPr>
        <w:pStyle w:val="BodyText"/>
        <w:spacing w:line="261" w:lineRule="auto" w:before="163"/>
        <w:ind w:left="1837" w:right="1721"/>
        <w:jc w:val="both"/>
      </w:pPr>
      <w:r>
        <w:rPr/>
        <w:pict>
          <v:line style="position:absolute;mso-position-horizontal-relative:page;mso-position-vertical-relative:paragraph;z-index:-487240" from="15pt,119.431892pt" to="0pt,119.431892pt" stroked="true" strokeweight=".25pt" strokecolor="#000000">
            <w10:wrap type="none"/>
          </v:line>
        </w:pict>
      </w:r>
      <w:r>
        <w:rPr/>
        <w:pict>
          <v:line style="position:absolute;mso-position-horizontal-relative:page;mso-position-vertical-relative:paragraph;z-index:2968" from="508.890015pt,119.431892pt" to="523.890015pt,119.431892pt" stroked="true" strokeweight=".25pt" strokecolor="#000000">
            <w10:wrap type="none"/>
          </v:line>
        </w:pict>
      </w:r>
      <w:r>
        <w:rPr>
          <w:color w:val="231F20"/>
          <w:w w:val="105"/>
        </w:rPr>
        <w:t>De</w:t>
      </w:r>
      <w:r>
        <w:rPr>
          <w:color w:val="231F20"/>
          <w:spacing w:val="-15"/>
          <w:w w:val="105"/>
        </w:rPr>
        <w:t> </w:t>
      </w:r>
      <w:r>
        <w:rPr>
          <w:color w:val="231F20"/>
          <w:w w:val="105"/>
        </w:rPr>
        <w:t>acuerdo</w:t>
      </w:r>
      <w:r>
        <w:rPr>
          <w:color w:val="231F20"/>
          <w:spacing w:val="-15"/>
          <w:w w:val="105"/>
        </w:rPr>
        <w:t> </w:t>
      </w:r>
      <w:r>
        <w:rPr>
          <w:color w:val="231F20"/>
          <w:w w:val="105"/>
        </w:rPr>
        <w:t>con</w:t>
      </w:r>
      <w:r>
        <w:rPr>
          <w:color w:val="231F20"/>
          <w:spacing w:val="-15"/>
          <w:w w:val="105"/>
        </w:rPr>
        <w:t> </w:t>
      </w:r>
      <w:r>
        <w:rPr>
          <w:color w:val="231F20"/>
          <w:w w:val="105"/>
        </w:rPr>
        <w:t>Mármora,</w:t>
      </w:r>
      <w:r>
        <w:rPr>
          <w:color w:val="231F20"/>
          <w:spacing w:val="-21"/>
          <w:w w:val="105"/>
        </w:rPr>
        <w:t> </w:t>
      </w:r>
      <w:r>
        <w:rPr>
          <w:color w:val="231F20"/>
          <w:w w:val="105"/>
        </w:rPr>
        <w:t>citado</w:t>
      </w:r>
      <w:r>
        <w:rPr>
          <w:color w:val="231F20"/>
          <w:spacing w:val="-15"/>
          <w:w w:val="105"/>
        </w:rPr>
        <w:t> </w:t>
      </w:r>
      <w:r>
        <w:rPr>
          <w:color w:val="231F20"/>
          <w:w w:val="105"/>
        </w:rPr>
        <w:t>por</w:t>
      </w:r>
      <w:r>
        <w:rPr>
          <w:color w:val="231F20"/>
          <w:spacing w:val="-15"/>
          <w:w w:val="105"/>
        </w:rPr>
        <w:t> </w:t>
      </w:r>
      <w:r>
        <w:rPr>
          <w:color w:val="231F20"/>
          <w:w w:val="105"/>
        </w:rPr>
        <w:t>García</w:t>
      </w:r>
      <w:r>
        <w:rPr>
          <w:color w:val="231F20"/>
          <w:spacing w:val="-15"/>
          <w:w w:val="105"/>
        </w:rPr>
        <w:t> </w:t>
      </w:r>
      <w:r>
        <w:rPr>
          <w:color w:val="231F20"/>
          <w:w w:val="105"/>
        </w:rPr>
        <w:t>y</w:t>
      </w:r>
      <w:r>
        <w:rPr>
          <w:color w:val="231F20"/>
          <w:spacing w:val="-19"/>
          <w:w w:val="105"/>
        </w:rPr>
        <w:t> </w:t>
      </w:r>
      <w:r>
        <w:rPr>
          <w:color w:val="231F20"/>
          <w:spacing w:val="-3"/>
          <w:w w:val="105"/>
        </w:rPr>
        <w:t>Tarrios</w:t>
      </w:r>
      <w:r>
        <w:rPr>
          <w:color w:val="231F20"/>
          <w:spacing w:val="-15"/>
          <w:w w:val="105"/>
        </w:rPr>
        <w:t> </w:t>
      </w:r>
      <w:r>
        <w:rPr>
          <w:color w:val="231F20"/>
          <w:w w:val="105"/>
        </w:rPr>
        <w:t>(2008),</w:t>
      </w:r>
      <w:r>
        <w:rPr>
          <w:color w:val="231F20"/>
          <w:spacing w:val="-21"/>
          <w:w w:val="105"/>
        </w:rPr>
        <w:t> </w:t>
      </w:r>
      <w:r>
        <w:rPr>
          <w:color w:val="231F20"/>
          <w:w w:val="105"/>
        </w:rPr>
        <w:t>el</w:t>
      </w:r>
      <w:r>
        <w:rPr>
          <w:color w:val="231F20"/>
          <w:spacing w:val="-15"/>
          <w:w w:val="105"/>
        </w:rPr>
        <w:t> </w:t>
      </w:r>
      <w:r>
        <w:rPr>
          <w:color w:val="231F20"/>
          <w:w w:val="105"/>
        </w:rPr>
        <w:t>migrante irregular</w:t>
      </w:r>
      <w:r>
        <w:rPr>
          <w:color w:val="231F20"/>
          <w:spacing w:val="-11"/>
          <w:w w:val="105"/>
        </w:rPr>
        <w:t> </w:t>
      </w:r>
      <w:r>
        <w:rPr>
          <w:color w:val="231F20"/>
          <w:w w:val="105"/>
        </w:rPr>
        <w:t>es</w:t>
      </w:r>
      <w:r>
        <w:rPr>
          <w:color w:val="231F20"/>
          <w:spacing w:val="-11"/>
          <w:w w:val="105"/>
        </w:rPr>
        <w:t> </w:t>
      </w:r>
      <w:r>
        <w:rPr>
          <w:color w:val="231F20"/>
          <w:w w:val="105"/>
        </w:rPr>
        <w:t>producto</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políticas</w:t>
      </w:r>
      <w:r>
        <w:rPr>
          <w:color w:val="231F20"/>
          <w:spacing w:val="-11"/>
          <w:w w:val="105"/>
        </w:rPr>
        <w:t> </w:t>
      </w:r>
      <w:r>
        <w:rPr>
          <w:color w:val="231F20"/>
          <w:w w:val="105"/>
        </w:rPr>
        <w:t>de</w:t>
      </w:r>
      <w:r>
        <w:rPr>
          <w:color w:val="231F20"/>
          <w:spacing w:val="-11"/>
          <w:w w:val="105"/>
        </w:rPr>
        <w:t> </w:t>
      </w:r>
      <w:r>
        <w:rPr>
          <w:color w:val="231F20"/>
          <w:w w:val="105"/>
        </w:rPr>
        <w:t>regulación</w:t>
      </w:r>
      <w:r>
        <w:rPr>
          <w:color w:val="231F20"/>
          <w:spacing w:val="-11"/>
          <w:w w:val="105"/>
        </w:rPr>
        <w:t> </w:t>
      </w:r>
      <w:r>
        <w:rPr>
          <w:color w:val="231F20"/>
          <w:w w:val="105"/>
        </w:rPr>
        <w:t>migratoria,</w:t>
      </w:r>
      <w:r>
        <w:rPr>
          <w:color w:val="231F20"/>
          <w:spacing w:val="-17"/>
          <w:w w:val="105"/>
        </w:rPr>
        <w:t> </w:t>
      </w:r>
      <w:r>
        <w:rPr>
          <w:color w:val="231F20"/>
          <w:w w:val="105"/>
        </w:rPr>
        <w:t>cuya</w:t>
      </w:r>
      <w:r>
        <w:rPr>
          <w:color w:val="231F20"/>
          <w:spacing w:val="-11"/>
          <w:w w:val="105"/>
        </w:rPr>
        <w:t> </w:t>
      </w:r>
      <w:r>
        <w:rPr>
          <w:color w:val="231F20"/>
          <w:w w:val="105"/>
        </w:rPr>
        <w:t>defi- nición</w:t>
      </w:r>
      <w:r>
        <w:rPr>
          <w:color w:val="231F20"/>
          <w:spacing w:val="-17"/>
          <w:w w:val="105"/>
        </w:rPr>
        <w:t> </w:t>
      </w:r>
      <w:r>
        <w:rPr>
          <w:color w:val="231F20"/>
          <w:w w:val="105"/>
        </w:rPr>
        <w:t>gira</w:t>
      </w:r>
      <w:r>
        <w:rPr>
          <w:color w:val="231F20"/>
          <w:spacing w:val="-17"/>
          <w:w w:val="105"/>
        </w:rPr>
        <w:t> </w:t>
      </w:r>
      <w:r>
        <w:rPr>
          <w:color w:val="231F20"/>
          <w:w w:val="105"/>
        </w:rPr>
        <w:t>en</w:t>
      </w:r>
      <w:r>
        <w:rPr>
          <w:color w:val="231F20"/>
          <w:spacing w:val="-17"/>
          <w:w w:val="105"/>
        </w:rPr>
        <w:t> </w:t>
      </w:r>
      <w:r>
        <w:rPr>
          <w:color w:val="231F20"/>
          <w:w w:val="105"/>
        </w:rPr>
        <w:t>permanente</w:t>
      </w:r>
      <w:r>
        <w:rPr>
          <w:color w:val="231F20"/>
          <w:spacing w:val="-17"/>
          <w:w w:val="105"/>
        </w:rPr>
        <w:t> </w:t>
      </w:r>
      <w:r>
        <w:rPr>
          <w:color w:val="231F20"/>
          <w:w w:val="105"/>
        </w:rPr>
        <w:t>juego</w:t>
      </w:r>
      <w:r>
        <w:rPr>
          <w:color w:val="231F20"/>
          <w:spacing w:val="-17"/>
          <w:w w:val="105"/>
        </w:rPr>
        <w:t> </w:t>
      </w:r>
      <w:r>
        <w:rPr>
          <w:color w:val="231F20"/>
          <w:w w:val="105"/>
        </w:rPr>
        <w:t>entre</w:t>
      </w:r>
      <w:r>
        <w:rPr>
          <w:color w:val="231F20"/>
          <w:spacing w:val="-17"/>
          <w:w w:val="105"/>
        </w:rPr>
        <w:t> </w:t>
      </w:r>
      <w:r>
        <w:rPr>
          <w:color w:val="231F20"/>
          <w:w w:val="105"/>
        </w:rPr>
        <w:t>dos</w:t>
      </w:r>
      <w:r>
        <w:rPr>
          <w:color w:val="231F20"/>
          <w:spacing w:val="-17"/>
          <w:w w:val="105"/>
        </w:rPr>
        <w:t> </w:t>
      </w:r>
      <w:r>
        <w:rPr>
          <w:color w:val="231F20"/>
          <w:w w:val="105"/>
        </w:rPr>
        <w:t>tipos</w:t>
      </w:r>
      <w:r>
        <w:rPr>
          <w:color w:val="231F20"/>
          <w:spacing w:val="-17"/>
          <w:w w:val="105"/>
        </w:rPr>
        <w:t> </w:t>
      </w:r>
      <w:r>
        <w:rPr>
          <w:color w:val="231F20"/>
          <w:w w:val="105"/>
        </w:rPr>
        <w:t>de</w:t>
      </w:r>
      <w:r>
        <w:rPr>
          <w:color w:val="231F20"/>
          <w:spacing w:val="-17"/>
          <w:w w:val="105"/>
        </w:rPr>
        <w:t> </w:t>
      </w:r>
      <w:r>
        <w:rPr>
          <w:color w:val="231F20"/>
          <w:w w:val="105"/>
        </w:rPr>
        <w:t>intereses</w:t>
      </w:r>
      <w:r>
        <w:rPr>
          <w:color w:val="231F20"/>
          <w:spacing w:val="-17"/>
          <w:w w:val="105"/>
        </w:rPr>
        <w:t> </w:t>
      </w:r>
      <w:r>
        <w:rPr>
          <w:color w:val="231F20"/>
          <w:w w:val="105"/>
        </w:rPr>
        <w:t>y</w:t>
      </w:r>
      <w:r>
        <w:rPr>
          <w:color w:val="231F20"/>
          <w:spacing w:val="-17"/>
          <w:w w:val="105"/>
        </w:rPr>
        <w:t> </w:t>
      </w:r>
      <w:r>
        <w:rPr>
          <w:color w:val="231F20"/>
          <w:w w:val="105"/>
        </w:rPr>
        <w:t>derechos:</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3016" from="15pt,-71.68644pt" to="0pt,-71.68644pt" stroked="true" strokeweight=".25pt" strokecolor="#000000">
            <w10:wrap type="none"/>
          </v:line>
        </w:pict>
      </w:r>
      <w:r>
        <w:rPr/>
        <w:pict>
          <v:line style="position:absolute;mso-position-horizontal-relative:page;mso-position-vertical-relative:paragraph;z-index:3040" from="508.890015pt,-71.68644pt" to="523.890015pt,-71.68644pt" stroked="true" strokeweight=".25pt" strokecolor="#000000">
            <w10:wrap type="none"/>
          </v:line>
        </w:pict>
      </w:r>
      <w:r>
        <w:rPr>
          <w:color w:val="231F20"/>
          <w:w w:val="105"/>
        </w:rPr>
        <w:t>los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estados</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migrantes,</w:t>
      </w:r>
      <w:r>
        <w:rPr>
          <w:color w:val="231F20"/>
          <w:spacing w:val="-23"/>
          <w:w w:val="105"/>
        </w:rPr>
        <w:t> </w:t>
      </w:r>
      <w:r>
        <w:rPr>
          <w:color w:val="231F20"/>
          <w:w w:val="105"/>
        </w:rPr>
        <w:t>este</w:t>
      </w:r>
      <w:r>
        <w:rPr>
          <w:color w:val="231F20"/>
          <w:spacing w:val="-18"/>
          <w:w w:val="105"/>
        </w:rPr>
        <w:t> </w:t>
      </w:r>
      <w:r>
        <w:rPr>
          <w:color w:val="231F20"/>
          <w:w w:val="105"/>
        </w:rPr>
        <w:t>mismo</w:t>
      </w:r>
      <w:r>
        <w:rPr>
          <w:color w:val="231F20"/>
          <w:spacing w:val="-18"/>
          <w:w w:val="105"/>
        </w:rPr>
        <w:t> </w:t>
      </w:r>
      <w:r>
        <w:rPr>
          <w:color w:val="231F20"/>
          <w:w w:val="105"/>
        </w:rPr>
        <w:t>autor</w:t>
      </w:r>
      <w:r>
        <w:rPr>
          <w:color w:val="231F20"/>
          <w:spacing w:val="-18"/>
          <w:w w:val="105"/>
        </w:rPr>
        <w:t> </w:t>
      </w:r>
      <w:r>
        <w:rPr>
          <w:color w:val="231F20"/>
          <w:w w:val="105"/>
        </w:rPr>
        <w:t>reconoce</w:t>
      </w:r>
      <w:r>
        <w:rPr>
          <w:color w:val="231F20"/>
          <w:spacing w:val="-18"/>
          <w:w w:val="105"/>
        </w:rPr>
        <w:t> </w:t>
      </w:r>
      <w:r>
        <w:rPr>
          <w:color w:val="231F20"/>
          <w:w w:val="105"/>
        </w:rPr>
        <w:t>que se</w:t>
      </w:r>
      <w:r>
        <w:rPr>
          <w:color w:val="231F20"/>
          <w:spacing w:val="-11"/>
          <w:w w:val="105"/>
        </w:rPr>
        <w:t> </w:t>
      </w:r>
      <w:r>
        <w:rPr>
          <w:color w:val="231F20"/>
          <w:w w:val="105"/>
        </w:rPr>
        <w:t>trata</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juego</w:t>
      </w:r>
      <w:r>
        <w:rPr>
          <w:color w:val="231F20"/>
          <w:spacing w:val="-11"/>
          <w:w w:val="105"/>
        </w:rPr>
        <w:t> </w:t>
      </w:r>
      <w:r>
        <w:rPr>
          <w:color w:val="231F20"/>
          <w:w w:val="105"/>
        </w:rPr>
        <w:t>asimétrico</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relación</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migrantes</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es- tado</w:t>
      </w:r>
      <w:r>
        <w:rPr>
          <w:color w:val="231F20"/>
          <w:spacing w:val="-13"/>
          <w:w w:val="105"/>
        </w:rPr>
        <w:t> </w:t>
      </w:r>
      <w:r>
        <w:rPr>
          <w:color w:val="231F20"/>
          <w:w w:val="105"/>
        </w:rPr>
        <w:t>e</w:t>
      </w:r>
      <w:r>
        <w:rPr>
          <w:color w:val="231F20"/>
          <w:spacing w:val="-13"/>
          <w:w w:val="105"/>
        </w:rPr>
        <w:t> </w:t>
      </w:r>
      <w:r>
        <w:rPr>
          <w:color w:val="231F20"/>
          <w:w w:val="105"/>
        </w:rPr>
        <w:t>incluso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relación</w:t>
      </w:r>
      <w:r>
        <w:rPr>
          <w:color w:val="231F20"/>
          <w:spacing w:val="-13"/>
          <w:w w:val="105"/>
        </w:rPr>
        <w:t> </w:t>
      </w:r>
      <w:r>
        <w:rPr>
          <w:color w:val="231F20"/>
          <w:w w:val="105"/>
        </w:rPr>
        <w:t>entre</w:t>
      </w:r>
      <w:r>
        <w:rPr>
          <w:color w:val="231F20"/>
          <w:spacing w:val="-13"/>
          <w:w w:val="105"/>
        </w:rPr>
        <w:t> </w:t>
      </w:r>
      <w:r>
        <w:rPr>
          <w:color w:val="231F20"/>
          <w:w w:val="105"/>
        </w:rPr>
        <w:t>estados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países</w:t>
      </w:r>
      <w:r>
        <w:rPr>
          <w:color w:val="231F20"/>
          <w:spacing w:val="-13"/>
          <w:w w:val="105"/>
        </w:rPr>
        <w:t> </w:t>
      </w:r>
      <w:r>
        <w:rPr>
          <w:color w:val="231F20"/>
          <w:w w:val="105"/>
        </w:rPr>
        <w:t>de</w:t>
      </w:r>
      <w:r>
        <w:rPr>
          <w:color w:val="231F20"/>
          <w:spacing w:val="-13"/>
          <w:w w:val="105"/>
        </w:rPr>
        <w:t> </w:t>
      </w:r>
      <w:r>
        <w:rPr>
          <w:color w:val="231F20"/>
          <w:w w:val="105"/>
        </w:rPr>
        <w:t>origen</w:t>
      </w:r>
      <w:r>
        <w:rPr>
          <w:color w:val="231F20"/>
          <w:spacing w:val="-13"/>
          <w:w w:val="105"/>
        </w:rPr>
        <w:t> </w:t>
      </w:r>
      <w:r>
        <w:rPr>
          <w:color w:val="231F20"/>
          <w:w w:val="105"/>
        </w:rPr>
        <w:t>de</w:t>
      </w:r>
      <w:r>
        <w:rPr>
          <w:color w:val="231F20"/>
          <w:spacing w:val="-13"/>
          <w:w w:val="105"/>
        </w:rPr>
        <w:t> </w:t>
      </w:r>
      <w:r>
        <w:rPr>
          <w:color w:val="231F20"/>
          <w:w w:val="105"/>
        </w:rPr>
        <w:t>los migrantes,</w:t>
      </w:r>
      <w:r>
        <w:rPr>
          <w:color w:val="231F20"/>
          <w:spacing w:val="-24"/>
          <w:w w:val="105"/>
        </w:rPr>
        <w:t> </w:t>
      </w:r>
      <w:r>
        <w:rPr>
          <w:color w:val="231F20"/>
          <w:w w:val="105"/>
        </w:rPr>
        <w:t>y</w:t>
      </w:r>
      <w:r>
        <w:rPr>
          <w:color w:val="231F20"/>
          <w:spacing w:val="-19"/>
          <w:w w:val="105"/>
        </w:rPr>
        <w:t> </w:t>
      </w:r>
      <w:r>
        <w:rPr>
          <w:color w:val="231F20"/>
          <w:w w:val="105"/>
        </w:rPr>
        <w:t>los</w:t>
      </w:r>
      <w:r>
        <w:rPr>
          <w:color w:val="231F20"/>
          <w:spacing w:val="-19"/>
          <w:w w:val="105"/>
        </w:rPr>
        <w:t> </w:t>
      </w:r>
      <w:r>
        <w:rPr>
          <w:color w:val="231F20"/>
          <w:w w:val="105"/>
        </w:rPr>
        <w:t>estados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países</w:t>
      </w:r>
      <w:r>
        <w:rPr>
          <w:color w:val="231F20"/>
          <w:spacing w:val="-19"/>
          <w:w w:val="105"/>
        </w:rPr>
        <w:t> </w:t>
      </w:r>
      <w:r>
        <w:rPr>
          <w:color w:val="231F20"/>
          <w:w w:val="105"/>
        </w:rPr>
        <w:t>de</w:t>
      </w:r>
      <w:r>
        <w:rPr>
          <w:color w:val="231F20"/>
          <w:spacing w:val="-19"/>
          <w:w w:val="105"/>
        </w:rPr>
        <w:t> </w:t>
      </w:r>
      <w:r>
        <w:rPr>
          <w:color w:val="231F20"/>
          <w:w w:val="105"/>
        </w:rPr>
        <w:t>recepción.</w:t>
      </w:r>
    </w:p>
    <w:p>
      <w:pPr>
        <w:pStyle w:val="BodyText"/>
        <w:spacing w:line="261" w:lineRule="auto" w:before="1"/>
        <w:ind w:left="1723" w:right="1834" w:firstLine="567"/>
        <w:jc w:val="both"/>
      </w:pPr>
      <w:r>
        <w:rPr>
          <w:color w:val="231F20"/>
          <w:w w:val="105"/>
        </w:rPr>
        <w:t>García y </w:t>
      </w:r>
      <w:r>
        <w:rPr>
          <w:color w:val="231F20"/>
          <w:spacing w:val="-3"/>
          <w:w w:val="105"/>
        </w:rPr>
        <w:t>Tarrios </w:t>
      </w:r>
      <w:r>
        <w:rPr>
          <w:color w:val="231F20"/>
          <w:w w:val="105"/>
        </w:rPr>
        <w:t>(2008) identifican un tercer actor involucrado en este</w:t>
      </w:r>
      <w:r>
        <w:rPr>
          <w:color w:val="231F20"/>
          <w:spacing w:val="-8"/>
          <w:w w:val="105"/>
        </w:rPr>
        <w:t> </w:t>
      </w:r>
      <w:r>
        <w:rPr>
          <w:color w:val="231F20"/>
          <w:w w:val="105"/>
        </w:rPr>
        <w:t>juego</w:t>
      </w:r>
      <w:r>
        <w:rPr>
          <w:color w:val="231F20"/>
          <w:spacing w:val="-8"/>
          <w:w w:val="105"/>
        </w:rPr>
        <w:t> </w:t>
      </w:r>
      <w:r>
        <w:rPr>
          <w:color w:val="231F20"/>
          <w:w w:val="105"/>
        </w:rPr>
        <w:t>de</w:t>
      </w:r>
      <w:r>
        <w:rPr>
          <w:color w:val="231F20"/>
          <w:spacing w:val="-8"/>
          <w:w w:val="105"/>
        </w:rPr>
        <w:t> </w:t>
      </w:r>
      <w:r>
        <w:rPr>
          <w:color w:val="231F20"/>
          <w:w w:val="105"/>
        </w:rPr>
        <w:t>intereses</w:t>
      </w:r>
      <w:r>
        <w:rPr>
          <w:color w:val="231F20"/>
          <w:spacing w:val="-8"/>
          <w:w w:val="105"/>
        </w:rPr>
        <w:t> </w:t>
      </w:r>
      <w:r>
        <w:rPr>
          <w:color w:val="231F20"/>
          <w:w w:val="105"/>
        </w:rPr>
        <w:t>y</w:t>
      </w:r>
      <w:r>
        <w:rPr>
          <w:color w:val="231F20"/>
          <w:spacing w:val="-8"/>
          <w:w w:val="105"/>
        </w:rPr>
        <w:t> </w:t>
      </w:r>
      <w:r>
        <w:rPr>
          <w:color w:val="231F20"/>
          <w:w w:val="105"/>
        </w:rPr>
        <w:t>derechos:</w:t>
      </w:r>
      <w:r>
        <w:rPr>
          <w:color w:val="231F20"/>
          <w:spacing w:val="-8"/>
          <w:w w:val="105"/>
        </w:rPr>
        <w:t> </w:t>
      </w:r>
      <w:r>
        <w:rPr>
          <w:color w:val="231F20"/>
          <w:w w:val="105"/>
        </w:rPr>
        <w:t>la</w:t>
      </w:r>
      <w:r>
        <w:rPr>
          <w:color w:val="231F20"/>
          <w:spacing w:val="-8"/>
          <w:w w:val="105"/>
        </w:rPr>
        <w:t> </w:t>
      </w:r>
      <w:r>
        <w:rPr>
          <w:color w:val="231F20"/>
          <w:w w:val="105"/>
        </w:rPr>
        <w:t>globalización,</w:t>
      </w:r>
      <w:r>
        <w:rPr>
          <w:color w:val="231F20"/>
          <w:spacing w:val="-13"/>
          <w:w w:val="105"/>
        </w:rPr>
        <w:t> </w:t>
      </w:r>
      <w:r>
        <w:rPr>
          <w:color w:val="231F20"/>
          <w:w w:val="105"/>
        </w:rPr>
        <w:t>cuyo</w:t>
      </w:r>
      <w:r>
        <w:rPr>
          <w:color w:val="231F20"/>
          <w:spacing w:val="-8"/>
          <w:w w:val="105"/>
        </w:rPr>
        <w:t> </w:t>
      </w:r>
      <w:r>
        <w:rPr>
          <w:color w:val="231F20"/>
          <w:w w:val="105"/>
        </w:rPr>
        <w:t>rasgo</w:t>
      </w:r>
      <w:r>
        <w:rPr>
          <w:color w:val="231F20"/>
          <w:spacing w:val="-8"/>
          <w:w w:val="105"/>
        </w:rPr>
        <w:t> </w:t>
      </w:r>
      <w:r>
        <w:rPr>
          <w:color w:val="231F20"/>
          <w:w w:val="105"/>
        </w:rPr>
        <w:t>distinti- vo</w:t>
      </w:r>
      <w:r>
        <w:rPr>
          <w:color w:val="231F20"/>
          <w:spacing w:val="-15"/>
          <w:w w:val="105"/>
        </w:rPr>
        <w:t> </w:t>
      </w:r>
      <w:r>
        <w:rPr>
          <w:color w:val="231F20"/>
          <w:w w:val="105"/>
        </w:rPr>
        <w:t>es</w:t>
      </w:r>
      <w:r>
        <w:rPr>
          <w:color w:val="231F20"/>
          <w:spacing w:val="-15"/>
          <w:w w:val="105"/>
        </w:rPr>
        <w:t> </w:t>
      </w:r>
      <w:r>
        <w:rPr>
          <w:color w:val="231F20"/>
          <w:w w:val="105"/>
        </w:rPr>
        <w:t>una</w:t>
      </w:r>
      <w:r>
        <w:rPr>
          <w:color w:val="231F20"/>
          <w:spacing w:val="-15"/>
          <w:w w:val="105"/>
        </w:rPr>
        <w:t> </w:t>
      </w:r>
      <w:r>
        <w:rPr>
          <w:color w:val="231F20"/>
          <w:w w:val="105"/>
        </w:rPr>
        <w:t>infranqueable</w:t>
      </w:r>
      <w:r>
        <w:rPr>
          <w:color w:val="231F20"/>
          <w:spacing w:val="-15"/>
          <w:w w:val="105"/>
        </w:rPr>
        <w:t> </w:t>
      </w:r>
      <w:r>
        <w:rPr>
          <w:color w:val="231F20"/>
          <w:w w:val="105"/>
        </w:rPr>
        <w:t>línea</w:t>
      </w:r>
      <w:r>
        <w:rPr>
          <w:color w:val="231F20"/>
          <w:spacing w:val="-15"/>
          <w:w w:val="105"/>
        </w:rPr>
        <w:t> </w:t>
      </w:r>
      <w:r>
        <w:rPr>
          <w:color w:val="231F20"/>
          <w:w w:val="105"/>
        </w:rPr>
        <w:t>divisoria,</w:t>
      </w:r>
      <w:r>
        <w:rPr>
          <w:color w:val="231F20"/>
          <w:spacing w:val="-21"/>
          <w:w w:val="105"/>
        </w:rPr>
        <w:t> </w:t>
      </w:r>
      <w:r>
        <w:rPr>
          <w:color w:val="231F20"/>
          <w:w w:val="105"/>
        </w:rPr>
        <w:t>una</w:t>
      </w:r>
      <w:r>
        <w:rPr>
          <w:color w:val="231F20"/>
          <w:spacing w:val="-15"/>
          <w:w w:val="105"/>
        </w:rPr>
        <w:t> </w:t>
      </w:r>
      <w:r>
        <w:rPr>
          <w:color w:val="231F20"/>
          <w:w w:val="105"/>
        </w:rPr>
        <w:t>frontera</w:t>
      </w:r>
      <w:r>
        <w:rPr>
          <w:color w:val="231F20"/>
          <w:spacing w:val="-15"/>
          <w:w w:val="105"/>
        </w:rPr>
        <w:t> </w:t>
      </w:r>
      <w:r>
        <w:rPr>
          <w:color w:val="231F20"/>
          <w:w w:val="105"/>
        </w:rPr>
        <w:t>entre</w:t>
      </w:r>
      <w:r>
        <w:rPr>
          <w:color w:val="231F20"/>
          <w:spacing w:val="-15"/>
          <w:w w:val="105"/>
        </w:rPr>
        <w:t> </w:t>
      </w:r>
      <w:r>
        <w:rPr>
          <w:color w:val="231F20"/>
          <w:w w:val="105"/>
        </w:rPr>
        <w:t>los</w:t>
      </w:r>
      <w:r>
        <w:rPr>
          <w:color w:val="231F20"/>
          <w:spacing w:val="-15"/>
          <w:w w:val="105"/>
        </w:rPr>
        <w:t> </w:t>
      </w:r>
      <w:r>
        <w:rPr>
          <w:color w:val="231F20"/>
          <w:w w:val="105"/>
        </w:rPr>
        <w:t>países</w:t>
      </w:r>
      <w:r>
        <w:rPr>
          <w:color w:val="231F20"/>
          <w:spacing w:val="-15"/>
          <w:w w:val="105"/>
        </w:rPr>
        <w:t> </w:t>
      </w:r>
      <w:r>
        <w:rPr>
          <w:color w:val="231F20"/>
          <w:w w:val="105"/>
        </w:rPr>
        <w:t>que ejercen el poder real de conducción, control y regulación de los pro- cesos de globalización (entre ellos el tránsito de personas), los países articulados</w:t>
      </w:r>
      <w:r>
        <w:rPr>
          <w:color w:val="231F20"/>
          <w:spacing w:val="-6"/>
          <w:w w:val="105"/>
        </w:rPr>
        <w:t> </w:t>
      </w:r>
      <w:r>
        <w:rPr>
          <w:color w:val="231F20"/>
          <w:w w:val="105"/>
        </w:rPr>
        <w:t>a</w:t>
      </w:r>
      <w:r>
        <w:rPr>
          <w:color w:val="231F20"/>
          <w:spacing w:val="-6"/>
          <w:w w:val="105"/>
        </w:rPr>
        <w:t> </w:t>
      </w:r>
      <w:r>
        <w:rPr>
          <w:color w:val="231F20"/>
          <w:w w:val="105"/>
        </w:rPr>
        <w:t>estos</w:t>
      </w:r>
      <w:r>
        <w:rPr>
          <w:color w:val="231F20"/>
          <w:spacing w:val="-6"/>
          <w:w w:val="105"/>
        </w:rPr>
        <w:t> </w:t>
      </w:r>
      <w:r>
        <w:rPr>
          <w:color w:val="231F20"/>
          <w:w w:val="105"/>
        </w:rPr>
        <w:t>procesos</w:t>
      </w:r>
      <w:r>
        <w:rPr>
          <w:color w:val="231F20"/>
          <w:spacing w:val="-6"/>
          <w:w w:val="105"/>
        </w:rPr>
        <w:t> </w:t>
      </w:r>
      <w:r>
        <w:rPr>
          <w:color w:val="231F20"/>
          <w:w w:val="105"/>
        </w:rPr>
        <w:t>y</w:t>
      </w:r>
      <w:r>
        <w:rPr>
          <w:color w:val="231F20"/>
          <w:spacing w:val="-6"/>
          <w:w w:val="105"/>
        </w:rPr>
        <w:t> </w:t>
      </w:r>
      <w:r>
        <w:rPr>
          <w:color w:val="231F20"/>
          <w:w w:val="105"/>
        </w:rPr>
        <w:t>una</w:t>
      </w:r>
      <w:r>
        <w:rPr>
          <w:color w:val="231F20"/>
          <w:spacing w:val="-6"/>
          <w:w w:val="105"/>
        </w:rPr>
        <w:t> </w:t>
      </w:r>
      <w:r>
        <w:rPr>
          <w:color w:val="231F20"/>
          <w:w w:val="105"/>
        </w:rPr>
        <w:t>comunidad</w:t>
      </w:r>
      <w:r>
        <w:rPr>
          <w:color w:val="231F20"/>
          <w:spacing w:val="-6"/>
          <w:w w:val="105"/>
        </w:rPr>
        <w:t> </w:t>
      </w:r>
      <w:r>
        <w:rPr>
          <w:color w:val="231F20"/>
          <w:w w:val="105"/>
        </w:rPr>
        <w:t>internacional</w:t>
      </w:r>
      <w:r>
        <w:rPr>
          <w:color w:val="231F20"/>
          <w:spacing w:val="-6"/>
          <w:w w:val="105"/>
        </w:rPr>
        <w:t> </w:t>
      </w:r>
      <w:r>
        <w:rPr>
          <w:color w:val="231F20"/>
          <w:w w:val="105"/>
        </w:rPr>
        <w:t>incapaz</w:t>
      </w:r>
      <w:r>
        <w:rPr>
          <w:color w:val="231F20"/>
          <w:spacing w:val="-6"/>
          <w:w w:val="105"/>
        </w:rPr>
        <w:t> </w:t>
      </w:r>
      <w:r>
        <w:rPr>
          <w:color w:val="231F20"/>
          <w:w w:val="105"/>
        </w:rPr>
        <w:t>de garantizar</w:t>
      </w:r>
      <w:r>
        <w:rPr>
          <w:color w:val="231F20"/>
          <w:spacing w:val="-30"/>
          <w:w w:val="105"/>
        </w:rPr>
        <w:t> </w:t>
      </w:r>
      <w:r>
        <w:rPr>
          <w:color w:val="231F20"/>
          <w:w w:val="105"/>
        </w:rPr>
        <w:t>los</w:t>
      </w:r>
      <w:r>
        <w:rPr>
          <w:color w:val="231F20"/>
          <w:spacing w:val="-30"/>
          <w:w w:val="105"/>
        </w:rPr>
        <w:t> </w:t>
      </w:r>
      <w:r>
        <w:rPr>
          <w:color w:val="231F20"/>
          <w:w w:val="105"/>
        </w:rPr>
        <w:t>mínimos</w:t>
      </w:r>
      <w:r>
        <w:rPr>
          <w:color w:val="231F20"/>
          <w:spacing w:val="-30"/>
          <w:w w:val="105"/>
        </w:rPr>
        <w:t> </w:t>
      </w:r>
      <w:r>
        <w:rPr>
          <w:color w:val="231F20"/>
          <w:w w:val="105"/>
        </w:rPr>
        <w:t>derechos</w:t>
      </w:r>
      <w:r>
        <w:rPr>
          <w:color w:val="231F20"/>
          <w:spacing w:val="-30"/>
          <w:w w:val="105"/>
        </w:rPr>
        <w:t> </w:t>
      </w:r>
      <w:r>
        <w:rPr>
          <w:color w:val="231F20"/>
          <w:w w:val="105"/>
        </w:rPr>
        <w:t>constitucionales.</w:t>
      </w:r>
    </w:p>
    <w:p>
      <w:pPr>
        <w:pStyle w:val="BodyText"/>
        <w:spacing w:line="261" w:lineRule="auto" w:before="1"/>
        <w:ind w:left="1723" w:right="1834" w:firstLine="567"/>
        <w:jc w:val="both"/>
      </w:pPr>
      <w:r>
        <w:rPr>
          <w:color w:val="231F20"/>
        </w:rPr>
        <w:t>En los procesos de interrelación de estos tres actores, en primer lugar se toman en cuenta los intereses y derechos de los estados recep- tores, que basados en sus ordenamientos legales definen los términos    de la pertenencia e inclusión de la población no nativa. Aquí, los extra-  ños pueden tener derecho a la hospitalidad, aunque la hospitalidad no necesariamente define la admisión, en la medida en que los países son también estados territoriales y poseen una jurisdicción propia que esta- blece los derechos de sus habitantes, así como el derecho colectivo a la admisión y a la</w:t>
      </w:r>
      <w:r>
        <w:rPr>
          <w:color w:val="231F20"/>
          <w:spacing w:val="51"/>
        </w:rPr>
        <w:t> </w:t>
      </w:r>
      <w:r>
        <w:rPr>
          <w:color w:val="231F20"/>
        </w:rPr>
        <w:t>negación.</w:t>
      </w:r>
    </w:p>
    <w:p>
      <w:pPr>
        <w:pStyle w:val="BodyText"/>
        <w:spacing w:line="261" w:lineRule="auto" w:before="1"/>
        <w:ind w:left="1723" w:right="1834" w:firstLine="567"/>
        <w:jc w:val="both"/>
      </w:pPr>
      <w:r>
        <w:rPr>
          <w:color w:val="231F20"/>
          <w:w w:val="105"/>
        </w:rPr>
        <w:t>Bajo</w:t>
      </w:r>
      <w:r>
        <w:rPr>
          <w:color w:val="231F20"/>
          <w:spacing w:val="-6"/>
          <w:w w:val="105"/>
        </w:rPr>
        <w:t> </w:t>
      </w:r>
      <w:r>
        <w:rPr>
          <w:color w:val="231F20"/>
          <w:w w:val="105"/>
        </w:rPr>
        <w:t>este</w:t>
      </w:r>
      <w:r>
        <w:rPr>
          <w:color w:val="231F20"/>
          <w:spacing w:val="-6"/>
          <w:w w:val="105"/>
        </w:rPr>
        <w:t> </w:t>
      </w:r>
      <w:r>
        <w:rPr>
          <w:color w:val="231F20"/>
          <w:w w:val="105"/>
        </w:rPr>
        <w:t>sustento</w:t>
      </w:r>
      <w:r>
        <w:rPr>
          <w:color w:val="231F20"/>
          <w:spacing w:val="-6"/>
          <w:w w:val="105"/>
        </w:rPr>
        <w:t> </w:t>
      </w:r>
      <w:r>
        <w:rPr>
          <w:color w:val="231F20"/>
          <w:w w:val="105"/>
        </w:rPr>
        <w:t>teórico,</w:t>
      </w:r>
      <w:r>
        <w:rPr>
          <w:color w:val="231F20"/>
          <w:spacing w:val="-11"/>
          <w:w w:val="105"/>
        </w:rPr>
        <w:t> </w:t>
      </w:r>
      <w:r>
        <w:rPr>
          <w:color w:val="231F20"/>
          <w:w w:val="105"/>
        </w:rPr>
        <w:t>el</w:t>
      </w:r>
      <w:r>
        <w:rPr>
          <w:color w:val="231F20"/>
          <w:spacing w:val="-6"/>
          <w:w w:val="105"/>
        </w:rPr>
        <w:t> </w:t>
      </w:r>
      <w:r>
        <w:rPr>
          <w:color w:val="231F20"/>
          <w:w w:val="105"/>
        </w:rPr>
        <w:t>despliegue</w:t>
      </w:r>
      <w:r>
        <w:rPr>
          <w:color w:val="231F20"/>
          <w:spacing w:val="-6"/>
          <w:w w:val="105"/>
        </w:rPr>
        <w:t> </w:t>
      </w:r>
      <w:r>
        <w:rPr>
          <w:color w:val="231F20"/>
          <w:w w:val="105"/>
        </w:rPr>
        <w:t>práctico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derechos de los estados nacionales, receptores de migrantes irregulares, se tra- duce</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intensificación</w:t>
      </w:r>
      <w:r>
        <w:rPr>
          <w:color w:val="231F20"/>
          <w:spacing w:val="-9"/>
          <w:w w:val="105"/>
        </w:rPr>
        <w:t> </w:t>
      </w:r>
      <w:r>
        <w:rPr>
          <w:color w:val="231F20"/>
          <w:w w:val="105"/>
        </w:rPr>
        <w:t>de</w:t>
      </w:r>
      <w:r>
        <w:rPr>
          <w:color w:val="231F20"/>
          <w:spacing w:val="-9"/>
          <w:w w:val="105"/>
        </w:rPr>
        <w:t> </w:t>
      </w:r>
      <w:r>
        <w:rPr>
          <w:color w:val="231F20"/>
          <w:w w:val="105"/>
        </w:rPr>
        <w:t>esfuerzos</w:t>
      </w:r>
      <w:r>
        <w:rPr>
          <w:color w:val="231F20"/>
          <w:spacing w:val="-9"/>
          <w:w w:val="105"/>
        </w:rPr>
        <w:t> </w:t>
      </w:r>
      <w:r>
        <w:rPr>
          <w:color w:val="231F20"/>
          <w:w w:val="105"/>
        </w:rPr>
        <w:t>con</w:t>
      </w:r>
      <w:r>
        <w:rPr>
          <w:color w:val="231F20"/>
          <w:spacing w:val="-9"/>
          <w:w w:val="105"/>
        </w:rPr>
        <w:t> </w:t>
      </w:r>
      <w:r>
        <w:rPr>
          <w:color w:val="231F20"/>
          <w:w w:val="105"/>
        </w:rPr>
        <w:t>miras</w:t>
      </w:r>
      <w:r>
        <w:rPr>
          <w:color w:val="231F20"/>
          <w:spacing w:val="-9"/>
          <w:w w:val="105"/>
        </w:rPr>
        <w:t> </w:t>
      </w:r>
      <w:r>
        <w:rPr>
          <w:color w:val="231F20"/>
          <w:w w:val="105"/>
        </w:rPr>
        <w:t>a</w:t>
      </w:r>
      <w:r>
        <w:rPr>
          <w:color w:val="231F20"/>
          <w:spacing w:val="-9"/>
          <w:w w:val="105"/>
        </w:rPr>
        <w:t> </w:t>
      </w:r>
      <w:r>
        <w:rPr>
          <w:color w:val="231F20"/>
          <w:w w:val="105"/>
        </w:rPr>
        <w:t>impedir</w:t>
      </w:r>
      <w:r>
        <w:rPr>
          <w:color w:val="231F20"/>
          <w:spacing w:val="-9"/>
          <w:w w:val="105"/>
        </w:rPr>
        <w:t> </w:t>
      </w:r>
      <w:r>
        <w:rPr>
          <w:color w:val="231F20"/>
          <w:w w:val="105"/>
        </w:rPr>
        <w:t>la</w:t>
      </w:r>
      <w:r>
        <w:rPr>
          <w:color w:val="231F20"/>
          <w:spacing w:val="-9"/>
          <w:w w:val="105"/>
        </w:rPr>
        <w:t> </w:t>
      </w:r>
      <w:r>
        <w:rPr>
          <w:color w:val="231F20"/>
          <w:w w:val="105"/>
        </w:rPr>
        <w:t>migración irregular mediante el reforzamiento de la seguridad fronteriza, la repa- triación</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migrantes</w:t>
      </w:r>
      <w:r>
        <w:rPr>
          <w:color w:val="231F20"/>
          <w:spacing w:val="-24"/>
          <w:w w:val="105"/>
        </w:rPr>
        <w:t> </w:t>
      </w:r>
      <w:r>
        <w:rPr>
          <w:color w:val="231F20"/>
          <w:w w:val="105"/>
        </w:rPr>
        <w:t>en</w:t>
      </w:r>
      <w:r>
        <w:rPr>
          <w:color w:val="231F20"/>
          <w:spacing w:val="-24"/>
          <w:w w:val="105"/>
        </w:rPr>
        <w:t> </w:t>
      </w:r>
      <w:r>
        <w:rPr>
          <w:color w:val="231F20"/>
          <w:w w:val="105"/>
        </w:rPr>
        <w:t>situación</w:t>
      </w:r>
      <w:r>
        <w:rPr>
          <w:color w:val="231F20"/>
          <w:spacing w:val="-24"/>
          <w:w w:val="105"/>
        </w:rPr>
        <w:t> </w:t>
      </w:r>
      <w:r>
        <w:rPr>
          <w:color w:val="231F20"/>
          <w:w w:val="105"/>
        </w:rPr>
        <w:t>irregular</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restricción</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servi- cios</w:t>
      </w:r>
      <w:r>
        <w:rPr>
          <w:color w:val="231F20"/>
          <w:spacing w:val="-32"/>
          <w:w w:val="105"/>
        </w:rPr>
        <w:t> </w:t>
      </w:r>
      <w:r>
        <w:rPr>
          <w:color w:val="231F20"/>
          <w:w w:val="105"/>
        </w:rPr>
        <w:t>sociales</w:t>
      </w:r>
      <w:r>
        <w:rPr>
          <w:color w:val="231F20"/>
          <w:spacing w:val="-32"/>
          <w:w w:val="105"/>
        </w:rPr>
        <w:t> </w:t>
      </w:r>
      <w:r>
        <w:rPr>
          <w:color w:val="231F20"/>
          <w:w w:val="105"/>
        </w:rPr>
        <w:t>de</w:t>
      </w:r>
      <w:r>
        <w:rPr>
          <w:color w:val="231F20"/>
          <w:spacing w:val="-32"/>
          <w:w w:val="105"/>
        </w:rPr>
        <w:t> </w:t>
      </w:r>
      <w:r>
        <w:rPr>
          <w:color w:val="231F20"/>
          <w:w w:val="105"/>
        </w:rPr>
        <w:t>que</w:t>
      </w:r>
      <w:r>
        <w:rPr>
          <w:color w:val="231F20"/>
          <w:spacing w:val="-32"/>
          <w:w w:val="105"/>
        </w:rPr>
        <w:t> </w:t>
      </w:r>
      <w:r>
        <w:rPr>
          <w:color w:val="231F20"/>
          <w:w w:val="105"/>
        </w:rPr>
        <w:t>se</w:t>
      </w:r>
      <w:r>
        <w:rPr>
          <w:color w:val="231F20"/>
          <w:spacing w:val="-32"/>
          <w:w w:val="105"/>
        </w:rPr>
        <w:t> </w:t>
      </w:r>
      <w:r>
        <w:rPr>
          <w:color w:val="231F20"/>
          <w:w w:val="105"/>
        </w:rPr>
        <w:t>disponen</w:t>
      </w:r>
      <w:r>
        <w:rPr>
          <w:color w:val="231F20"/>
          <w:spacing w:val="-32"/>
          <w:w w:val="105"/>
        </w:rPr>
        <w:t> </w:t>
      </w:r>
      <w:r>
        <w:rPr>
          <w:color w:val="231F20"/>
          <w:w w:val="105"/>
        </w:rPr>
        <w:t>(García</w:t>
      </w:r>
      <w:r>
        <w:rPr>
          <w:color w:val="231F20"/>
          <w:spacing w:val="-32"/>
          <w:w w:val="105"/>
        </w:rPr>
        <w:t> </w:t>
      </w:r>
      <w:r>
        <w:rPr>
          <w:color w:val="231F20"/>
          <w:w w:val="105"/>
        </w:rPr>
        <w:t>y</w:t>
      </w:r>
      <w:r>
        <w:rPr>
          <w:color w:val="231F20"/>
          <w:spacing w:val="-35"/>
          <w:w w:val="105"/>
        </w:rPr>
        <w:t> </w:t>
      </w:r>
      <w:r>
        <w:rPr>
          <w:color w:val="231F20"/>
          <w:spacing w:val="-3"/>
          <w:w w:val="105"/>
        </w:rPr>
        <w:t>Tarrios,</w:t>
      </w:r>
      <w:r>
        <w:rPr>
          <w:color w:val="231F20"/>
          <w:spacing w:val="-36"/>
          <w:w w:val="105"/>
        </w:rPr>
        <w:t> </w:t>
      </w:r>
      <w:r>
        <w:rPr>
          <w:color w:val="231F20"/>
          <w:w w:val="105"/>
        </w:rPr>
        <w:t>2008).</w:t>
      </w:r>
      <w:r>
        <w:rPr>
          <w:color w:val="231F20"/>
          <w:spacing w:val="-36"/>
          <w:w w:val="105"/>
        </w:rPr>
        <w:t> </w:t>
      </w:r>
      <w:r>
        <w:rPr>
          <w:color w:val="231F20"/>
          <w:w w:val="105"/>
        </w:rPr>
        <w:t>Es</w:t>
      </w:r>
      <w:r>
        <w:rPr>
          <w:color w:val="231F20"/>
          <w:spacing w:val="-32"/>
          <w:w w:val="105"/>
        </w:rPr>
        <w:t> </w:t>
      </w:r>
      <w:r>
        <w:rPr>
          <w:color w:val="231F20"/>
          <w:w w:val="105"/>
        </w:rPr>
        <w:t>decir,</w:t>
      </w:r>
      <w:r>
        <w:rPr>
          <w:color w:val="231F20"/>
          <w:spacing w:val="-36"/>
          <w:w w:val="105"/>
        </w:rPr>
        <w:t> </w:t>
      </w:r>
      <w:r>
        <w:rPr>
          <w:color w:val="231F20"/>
          <w:w w:val="105"/>
        </w:rPr>
        <w:t>se</w:t>
      </w:r>
      <w:r>
        <w:rPr>
          <w:color w:val="231F20"/>
          <w:spacing w:val="-32"/>
          <w:w w:val="105"/>
        </w:rPr>
        <w:t> </w:t>
      </w:r>
      <w:r>
        <w:rPr>
          <w:color w:val="231F20"/>
          <w:w w:val="105"/>
        </w:rPr>
        <w:t>opta por</w:t>
      </w:r>
      <w:r>
        <w:rPr>
          <w:color w:val="231F20"/>
          <w:spacing w:val="-8"/>
          <w:w w:val="105"/>
        </w:rPr>
        <w:t> </w:t>
      </w:r>
      <w:r>
        <w:rPr>
          <w:color w:val="231F20"/>
          <w:w w:val="105"/>
        </w:rPr>
        <w:t>un</w:t>
      </w:r>
      <w:r>
        <w:rPr>
          <w:color w:val="231F20"/>
          <w:spacing w:val="-8"/>
          <w:w w:val="105"/>
        </w:rPr>
        <w:t> </w:t>
      </w:r>
      <w:r>
        <w:rPr>
          <w:color w:val="231F20"/>
          <w:w w:val="105"/>
        </w:rPr>
        <w:t>esquema</w:t>
      </w:r>
      <w:r>
        <w:rPr>
          <w:color w:val="231F20"/>
          <w:spacing w:val="-8"/>
          <w:w w:val="105"/>
        </w:rPr>
        <w:t> </w:t>
      </w:r>
      <w:r>
        <w:rPr>
          <w:color w:val="231F20"/>
          <w:w w:val="105"/>
        </w:rPr>
        <w:t>de</w:t>
      </w:r>
      <w:r>
        <w:rPr>
          <w:color w:val="231F20"/>
          <w:spacing w:val="-8"/>
          <w:w w:val="105"/>
        </w:rPr>
        <w:t> </w:t>
      </w:r>
      <w:r>
        <w:rPr>
          <w:color w:val="231F20"/>
          <w:w w:val="105"/>
        </w:rPr>
        <w:t>seguridad</w:t>
      </w:r>
      <w:r>
        <w:rPr>
          <w:color w:val="231F20"/>
          <w:spacing w:val="-8"/>
          <w:w w:val="105"/>
        </w:rPr>
        <w:t> </w:t>
      </w:r>
      <w:r>
        <w:rPr>
          <w:color w:val="231F20"/>
          <w:w w:val="105"/>
        </w:rPr>
        <w:t>nacional</w:t>
      </w:r>
      <w:r>
        <w:rPr>
          <w:color w:val="231F20"/>
          <w:spacing w:val="-8"/>
          <w:w w:val="105"/>
        </w:rPr>
        <w:t> </w:t>
      </w:r>
      <w:r>
        <w:rPr>
          <w:color w:val="231F20"/>
          <w:w w:val="105"/>
        </w:rPr>
        <w:t>que</w:t>
      </w:r>
      <w:r>
        <w:rPr>
          <w:color w:val="231F20"/>
          <w:spacing w:val="-8"/>
          <w:w w:val="105"/>
        </w:rPr>
        <w:t> </w:t>
      </w:r>
      <w:r>
        <w:rPr>
          <w:color w:val="231F20"/>
          <w:w w:val="105"/>
        </w:rPr>
        <w:t>dista</w:t>
      </w:r>
      <w:r>
        <w:rPr>
          <w:color w:val="231F20"/>
          <w:spacing w:val="-8"/>
          <w:w w:val="105"/>
        </w:rPr>
        <w:t> </w:t>
      </w:r>
      <w:r>
        <w:rPr>
          <w:color w:val="231F20"/>
          <w:w w:val="105"/>
        </w:rPr>
        <w:t>mucho</w:t>
      </w:r>
    </w:p>
    <w:p>
      <w:pPr>
        <w:pStyle w:val="BodyText"/>
        <w:spacing w:line="261" w:lineRule="auto" w:before="1"/>
        <w:ind w:left="1723" w:right="1829" w:firstLine="567"/>
        <w:jc w:val="right"/>
      </w:pPr>
      <w:r>
        <w:rPr>
          <w:color w:val="231F20"/>
          <w:w w:val="105"/>
        </w:rPr>
        <w:t>del</w:t>
      </w:r>
      <w:r>
        <w:rPr>
          <w:color w:val="231F20"/>
          <w:spacing w:val="-13"/>
          <w:w w:val="105"/>
        </w:rPr>
        <w:t> </w:t>
      </w:r>
      <w:r>
        <w:rPr>
          <w:color w:val="231F20"/>
          <w:w w:val="105"/>
        </w:rPr>
        <w:t>respeto</w:t>
      </w:r>
      <w:r>
        <w:rPr>
          <w:color w:val="231F20"/>
          <w:spacing w:val="-13"/>
          <w:w w:val="105"/>
        </w:rPr>
        <w:t> </w:t>
      </w:r>
      <w:r>
        <w:rPr>
          <w:color w:val="231F20"/>
          <w:w w:val="105"/>
        </w:rPr>
        <w:t>hacia</w:t>
      </w:r>
      <w:r>
        <w:rPr>
          <w:color w:val="231F20"/>
          <w:spacing w:val="-13"/>
          <w:w w:val="105"/>
        </w:rPr>
        <w:t> </w:t>
      </w:r>
      <w:r>
        <w:rPr>
          <w:color w:val="231F20"/>
          <w:w w:val="105"/>
        </w:rPr>
        <w:t>los</w:t>
      </w:r>
      <w:r>
        <w:rPr>
          <w:color w:val="231F20"/>
          <w:spacing w:val="-13"/>
          <w:w w:val="105"/>
        </w:rPr>
        <w:t> </w:t>
      </w:r>
      <w:r>
        <w:rPr>
          <w:color w:val="231F20"/>
          <w:w w:val="105"/>
        </w:rPr>
        <w:t>derechos</w:t>
      </w:r>
      <w:r>
        <w:rPr>
          <w:color w:val="231F20"/>
          <w:spacing w:val="-13"/>
          <w:w w:val="105"/>
        </w:rPr>
        <w:t> </w:t>
      </w:r>
      <w:r>
        <w:rPr>
          <w:color w:val="231F20"/>
          <w:w w:val="105"/>
        </w:rPr>
        <w:t>humanos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población</w:t>
      </w:r>
      <w:r>
        <w:rPr>
          <w:color w:val="231F20"/>
          <w:spacing w:val="-13"/>
          <w:w w:val="105"/>
        </w:rPr>
        <w:t> </w:t>
      </w:r>
      <w:r>
        <w:rPr>
          <w:color w:val="231F20"/>
          <w:w w:val="105"/>
        </w:rPr>
        <w:t>migrante.</w:t>
      </w:r>
      <w:r>
        <w:rPr>
          <w:color w:val="231F20"/>
          <w:w w:val="101"/>
        </w:rPr>
        <w:t> </w:t>
      </w:r>
      <w:r>
        <w:rPr>
          <w:color w:val="231F20"/>
          <w:w w:val="105"/>
        </w:rPr>
        <w:t>En</w:t>
      </w:r>
      <w:r>
        <w:rPr>
          <w:color w:val="231F20"/>
          <w:spacing w:val="-9"/>
          <w:w w:val="105"/>
        </w:rPr>
        <w:t> </w:t>
      </w:r>
      <w:r>
        <w:rPr>
          <w:color w:val="231F20"/>
          <w:spacing w:val="-3"/>
          <w:w w:val="105"/>
        </w:rPr>
        <w:t>segundo</w:t>
      </w:r>
      <w:r>
        <w:rPr>
          <w:color w:val="231F20"/>
          <w:spacing w:val="-9"/>
          <w:w w:val="105"/>
        </w:rPr>
        <w:t> </w:t>
      </w:r>
      <w:r>
        <w:rPr>
          <w:color w:val="231F20"/>
          <w:spacing w:val="-5"/>
          <w:w w:val="105"/>
        </w:rPr>
        <w:t>lugar,</w:t>
      </w:r>
      <w:r>
        <w:rPr>
          <w:color w:val="231F20"/>
          <w:spacing w:val="-14"/>
          <w:w w:val="105"/>
        </w:rPr>
        <w:t> </w:t>
      </w:r>
      <w:r>
        <w:rPr>
          <w:color w:val="231F20"/>
          <w:spacing w:val="-3"/>
          <w:w w:val="105"/>
        </w:rPr>
        <w:t>desde</w:t>
      </w:r>
      <w:r>
        <w:rPr>
          <w:color w:val="231F20"/>
          <w:spacing w:val="-9"/>
          <w:w w:val="105"/>
        </w:rPr>
        <w:t> </w:t>
      </w:r>
      <w:r>
        <w:rPr>
          <w:color w:val="231F20"/>
          <w:w w:val="105"/>
        </w:rPr>
        <w:t>los</w:t>
      </w:r>
      <w:r>
        <w:rPr>
          <w:color w:val="231F20"/>
          <w:spacing w:val="-9"/>
          <w:w w:val="105"/>
        </w:rPr>
        <w:t> </w:t>
      </w:r>
      <w:r>
        <w:rPr>
          <w:color w:val="231F20"/>
          <w:spacing w:val="-3"/>
          <w:w w:val="105"/>
        </w:rPr>
        <w:t>intereses</w:t>
      </w:r>
      <w:r>
        <w:rPr>
          <w:color w:val="231F20"/>
          <w:spacing w:val="-9"/>
          <w:w w:val="105"/>
        </w:rPr>
        <w:t> </w:t>
      </w:r>
      <w:r>
        <w:rPr>
          <w:color w:val="231F20"/>
          <w:w w:val="105"/>
        </w:rPr>
        <w:t>y</w:t>
      </w:r>
      <w:r>
        <w:rPr>
          <w:color w:val="231F20"/>
          <w:spacing w:val="-9"/>
          <w:w w:val="105"/>
        </w:rPr>
        <w:t> </w:t>
      </w:r>
      <w:r>
        <w:rPr>
          <w:color w:val="231F20"/>
          <w:spacing w:val="-3"/>
          <w:w w:val="105"/>
        </w:rPr>
        <w:t>derechos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spacing w:val="-4"/>
          <w:w w:val="105"/>
        </w:rPr>
        <w:t>migrantes</w:t>
      </w:r>
      <w:r>
        <w:rPr>
          <w:color w:val="231F20"/>
          <w:spacing w:val="-3"/>
          <w:w w:val="100"/>
        </w:rPr>
        <w:t> </w:t>
      </w:r>
      <w:r>
        <w:rPr>
          <w:color w:val="231F20"/>
          <w:spacing w:val="-4"/>
          <w:w w:val="105"/>
        </w:rPr>
        <w:t>irregulares,</w:t>
      </w:r>
      <w:r>
        <w:rPr>
          <w:color w:val="231F20"/>
          <w:spacing w:val="-25"/>
          <w:w w:val="105"/>
        </w:rPr>
        <w:t> </w:t>
      </w:r>
      <w:r>
        <w:rPr>
          <w:color w:val="231F20"/>
          <w:spacing w:val="-3"/>
          <w:w w:val="105"/>
        </w:rPr>
        <w:t>puede</w:t>
      </w:r>
      <w:r>
        <w:rPr>
          <w:color w:val="231F20"/>
          <w:spacing w:val="-19"/>
          <w:w w:val="105"/>
        </w:rPr>
        <w:t> </w:t>
      </w:r>
      <w:r>
        <w:rPr>
          <w:color w:val="231F20"/>
          <w:spacing w:val="-3"/>
          <w:w w:val="105"/>
        </w:rPr>
        <w:t>visualizarse</w:t>
      </w:r>
      <w:r>
        <w:rPr>
          <w:color w:val="231F20"/>
          <w:spacing w:val="-19"/>
          <w:w w:val="105"/>
        </w:rPr>
        <w:t> </w:t>
      </w:r>
      <w:r>
        <w:rPr>
          <w:color w:val="231F20"/>
          <w:spacing w:val="-3"/>
          <w:w w:val="105"/>
        </w:rPr>
        <w:t>primero</w:t>
      </w:r>
      <w:r>
        <w:rPr>
          <w:color w:val="231F20"/>
          <w:spacing w:val="-19"/>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spacing w:val="-3"/>
          <w:w w:val="105"/>
        </w:rPr>
        <w:t>migrantes</w:t>
      </w:r>
      <w:r>
        <w:rPr>
          <w:color w:val="231F20"/>
          <w:spacing w:val="-19"/>
          <w:w w:val="105"/>
        </w:rPr>
        <w:t> </w:t>
      </w:r>
      <w:r>
        <w:rPr>
          <w:color w:val="231F20"/>
          <w:spacing w:val="-3"/>
          <w:w w:val="105"/>
        </w:rPr>
        <w:t>mismos</w:t>
      </w:r>
      <w:r>
        <w:rPr>
          <w:color w:val="231F20"/>
          <w:spacing w:val="-19"/>
          <w:w w:val="105"/>
        </w:rPr>
        <w:t> </w:t>
      </w:r>
      <w:r>
        <w:rPr>
          <w:color w:val="231F20"/>
          <w:w w:val="105"/>
        </w:rPr>
        <w:t>y</w:t>
      </w:r>
      <w:r>
        <w:rPr>
          <w:color w:val="231F20"/>
          <w:spacing w:val="-19"/>
          <w:w w:val="105"/>
        </w:rPr>
        <w:t> </w:t>
      </w:r>
      <w:r>
        <w:rPr>
          <w:color w:val="231F20"/>
          <w:spacing w:val="-3"/>
          <w:w w:val="105"/>
        </w:rPr>
        <w:t>después</w:t>
      </w:r>
      <w:r>
        <w:rPr>
          <w:color w:val="231F20"/>
          <w:spacing w:val="-3"/>
          <w:w w:val="102"/>
        </w:rPr>
        <w:t> </w:t>
      </w:r>
      <w:r>
        <w:rPr>
          <w:color w:val="231F20"/>
          <w:w w:val="105"/>
        </w:rPr>
        <w:t>a</w:t>
      </w:r>
      <w:r>
        <w:rPr>
          <w:color w:val="231F20"/>
          <w:spacing w:val="-15"/>
          <w:w w:val="105"/>
        </w:rPr>
        <w:t> </w:t>
      </w:r>
      <w:r>
        <w:rPr>
          <w:color w:val="231F20"/>
          <w:w w:val="105"/>
        </w:rPr>
        <w:t>sus</w:t>
      </w:r>
      <w:r>
        <w:rPr>
          <w:color w:val="231F20"/>
          <w:spacing w:val="-15"/>
          <w:w w:val="105"/>
        </w:rPr>
        <w:t> </w:t>
      </w:r>
      <w:r>
        <w:rPr>
          <w:color w:val="231F20"/>
          <w:spacing w:val="-3"/>
          <w:w w:val="105"/>
        </w:rPr>
        <w:t>respectivos</w:t>
      </w:r>
      <w:r>
        <w:rPr>
          <w:color w:val="231F20"/>
          <w:spacing w:val="-15"/>
          <w:w w:val="105"/>
        </w:rPr>
        <w:t> </w:t>
      </w:r>
      <w:r>
        <w:rPr>
          <w:color w:val="231F20"/>
          <w:spacing w:val="-3"/>
          <w:w w:val="105"/>
        </w:rPr>
        <w:t>gobiernos,</w:t>
      </w:r>
      <w:r>
        <w:rPr>
          <w:color w:val="231F20"/>
          <w:spacing w:val="-20"/>
          <w:w w:val="105"/>
        </w:rPr>
        <w:t> </w:t>
      </w:r>
      <w:r>
        <w:rPr>
          <w:color w:val="231F20"/>
          <w:spacing w:val="-3"/>
          <w:w w:val="105"/>
        </w:rPr>
        <w:t>quienes</w:t>
      </w:r>
      <w:r>
        <w:rPr>
          <w:color w:val="231F20"/>
          <w:spacing w:val="-15"/>
          <w:w w:val="105"/>
        </w:rPr>
        <w:t> </w:t>
      </w:r>
      <w:r>
        <w:rPr>
          <w:color w:val="231F20"/>
          <w:spacing w:val="-3"/>
          <w:w w:val="105"/>
        </w:rPr>
        <w:t>están</w:t>
      </w:r>
      <w:r>
        <w:rPr>
          <w:color w:val="231F20"/>
          <w:spacing w:val="-15"/>
          <w:w w:val="105"/>
        </w:rPr>
        <w:t> </w:t>
      </w:r>
      <w:r>
        <w:rPr>
          <w:color w:val="231F20"/>
          <w:spacing w:val="-3"/>
          <w:w w:val="105"/>
        </w:rPr>
        <w:t>obligados</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spacing w:val="-3"/>
          <w:w w:val="105"/>
        </w:rPr>
        <w:t>defensa</w:t>
      </w:r>
      <w:r>
        <w:rPr>
          <w:color w:val="231F20"/>
          <w:spacing w:val="-15"/>
          <w:w w:val="105"/>
        </w:rPr>
        <w:t> </w:t>
      </w:r>
      <w:r>
        <w:rPr>
          <w:color w:val="231F20"/>
          <w:w w:val="105"/>
        </w:rPr>
        <w:t>de</w:t>
      </w:r>
      <w:r>
        <w:rPr>
          <w:color w:val="231F20"/>
          <w:spacing w:val="-15"/>
          <w:w w:val="105"/>
        </w:rPr>
        <w:t> </w:t>
      </w:r>
      <w:r>
        <w:rPr>
          <w:color w:val="231F20"/>
          <w:spacing w:val="-3"/>
          <w:w w:val="105"/>
        </w:rPr>
        <w:t>sus</w:t>
      </w:r>
      <w:r>
        <w:rPr>
          <w:color w:val="231F20"/>
          <w:spacing w:val="-3"/>
          <w:w w:val="94"/>
        </w:rPr>
        <w:t> </w:t>
      </w:r>
      <w:r>
        <w:rPr>
          <w:color w:val="231F20"/>
          <w:spacing w:val="-3"/>
          <w:w w:val="105"/>
        </w:rPr>
        <w:t>ciudadanos</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spacing w:val="-4"/>
          <w:w w:val="105"/>
        </w:rPr>
        <w:t>extranjero.</w:t>
      </w:r>
      <w:r>
        <w:rPr>
          <w:color w:val="231F20"/>
          <w:spacing w:val="-32"/>
          <w:w w:val="105"/>
        </w:rPr>
        <w:t> </w:t>
      </w:r>
      <w:r>
        <w:rPr>
          <w:color w:val="231F20"/>
          <w:w w:val="105"/>
        </w:rPr>
        <w:t>En</w:t>
      </w:r>
      <w:r>
        <w:rPr>
          <w:color w:val="231F20"/>
          <w:spacing w:val="-26"/>
          <w:w w:val="105"/>
        </w:rPr>
        <w:t> </w:t>
      </w:r>
      <w:r>
        <w:rPr>
          <w:color w:val="231F20"/>
          <w:w w:val="105"/>
        </w:rPr>
        <w:t>lo</w:t>
      </w:r>
      <w:r>
        <w:rPr>
          <w:color w:val="231F20"/>
          <w:spacing w:val="-26"/>
          <w:w w:val="105"/>
        </w:rPr>
        <w:t> </w:t>
      </w:r>
      <w:r>
        <w:rPr>
          <w:color w:val="231F20"/>
          <w:w w:val="105"/>
        </w:rPr>
        <w:t>que</w:t>
      </w:r>
      <w:r>
        <w:rPr>
          <w:color w:val="231F20"/>
          <w:spacing w:val="-26"/>
          <w:w w:val="105"/>
        </w:rPr>
        <w:t> </w:t>
      </w:r>
      <w:r>
        <w:rPr>
          <w:color w:val="231F20"/>
          <w:spacing w:val="-3"/>
          <w:w w:val="105"/>
        </w:rPr>
        <w:t>respecta</w:t>
      </w:r>
      <w:r>
        <w:rPr>
          <w:color w:val="231F20"/>
          <w:spacing w:val="-26"/>
          <w:w w:val="105"/>
        </w:rPr>
        <w:t> </w:t>
      </w:r>
      <w:r>
        <w:rPr>
          <w:color w:val="231F20"/>
          <w:w w:val="105"/>
        </w:rPr>
        <w:t>a</w:t>
      </w:r>
      <w:r>
        <w:rPr>
          <w:color w:val="231F20"/>
          <w:spacing w:val="-26"/>
          <w:w w:val="105"/>
        </w:rPr>
        <w:t> </w:t>
      </w:r>
      <w:r>
        <w:rPr>
          <w:color w:val="231F20"/>
          <w:w w:val="105"/>
        </w:rPr>
        <w:t>los</w:t>
      </w:r>
      <w:r>
        <w:rPr>
          <w:color w:val="231F20"/>
          <w:spacing w:val="-26"/>
          <w:w w:val="105"/>
        </w:rPr>
        <w:t> </w:t>
      </w:r>
      <w:r>
        <w:rPr>
          <w:color w:val="231F20"/>
          <w:spacing w:val="-3"/>
          <w:w w:val="105"/>
        </w:rPr>
        <w:t>primeros,</w:t>
      </w:r>
      <w:r>
        <w:rPr>
          <w:color w:val="231F20"/>
          <w:spacing w:val="-32"/>
          <w:w w:val="105"/>
        </w:rPr>
        <w:t> </w:t>
      </w:r>
      <w:r>
        <w:rPr>
          <w:color w:val="231F20"/>
          <w:w w:val="105"/>
        </w:rPr>
        <w:t>la</w:t>
      </w:r>
      <w:r>
        <w:rPr>
          <w:color w:val="231F20"/>
          <w:spacing w:val="-26"/>
          <w:w w:val="105"/>
        </w:rPr>
        <w:t> </w:t>
      </w:r>
      <w:r>
        <w:rPr>
          <w:color w:val="231F20"/>
          <w:spacing w:val="-3"/>
          <w:w w:val="105"/>
        </w:rPr>
        <w:t>debilidad</w:t>
      </w:r>
      <w:r>
        <w:rPr>
          <w:color w:val="231F20"/>
          <w:spacing w:val="-3"/>
          <w:w w:val="109"/>
        </w:rPr>
        <w:t> </w:t>
      </w:r>
      <w:r>
        <w:rPr>
          <w:color w:val="231F20"/>
          <w:w w:val="105"/>
        </w:rPr>
        <w:t>e</w:t>
      </w:r>
      <w:r>
        <w:rPr>
          <w:color w:val="231F20"/>
          <w:spacing w:val="-24"/>
          <w:w w:val="105"/>
        </w:rPr>
        <w:t> </w:t>
      </w:r>
      <w:r>
        <w:rPr>
          <w:color w:val="231F20"/>
          <w:spacing w:val="-3"/>
          <w:w w:val="105"/>
        </w:rPr>
        <w:t>incapacidad</w:t>
      </w:r>
      <w:r>
        <w:rPr>
          <w:color w:val="231F20"/>
          <w:spacing w:val="-24"/>
          <w:w w:val="105"/>
        </w:rPr>
        <w:t> </w:t>
      </w:r>
      <w:r>
        <w:rPr>
          <w:color w:val="231F20"/>
          <w:w w:val="105"/>
        </w:rPr>
        <w:t>de</w:t>
      </w:r>
      <w:r>
        <w:rPr>
          <w:color w:val="231F20"/>
          <w:spacing w:val="-24"/>
          <w:w w:val="105"/>
        </w:rPr>
        <w:t> </w:t>
      </w:r>
      <w:r>
        <w:rPr>
          <w:color w:val="231F20"/>
          <w:spacing w:val="-3"/>
          <w:w w:val="105"/>
        </w:rPr>
        <w:t>autodefensa</w:t>
      </w:r>
      <w:r>
        <w:rPr>
          <w:color w:val="231F20"/>
          <w:spacing w:val="-24"/>
          <w:w w:val="105"/>
        </w:rPr>
        <w:t> </w:t>
      </w:r>
      <w:r>
        <w:rPr>
          <w:color w:val="231F20"/>
          <w:w w:val="105"/>
        </w:rPr>
        <w:t>es</w:t>
      </w:r>
      <w:r>
        <w:rPr>
          <w:color w:val="231F20"/>
          <w:spacing w:val="-24"/>
          <w:w w:val="105"/>
        </w:rPr>
        <w:t> </w:t>
      </w:r>
      <w:r>
        <w:rPr>
          <w:color w:val="231F20"/>
          <w:spacing w:val="-3"/>
          <w:w w:val="105"/>
        </w:rPr>
        <w:t>evidente,</w:t>
      </w:r>
      <w:r>
        <w:rPr>
          <w:color w:val="231F20"/>
          <w:spacing w:val="-29"/>
          <w:w w:val="105"/>
        </w:rPr>
        <w:t> </w:t>
      </w:r>
      <w:r>
        <w:rPr>
          <w:color w:val="231F20"/>
          <w:spacing w:val="-3"/>
          <w:w w:val="105"/>
        </w:rPr>
        <w:t>pues</w:t>
      </w:r>
      <w:r>
        <w:rPr>
          <w:color w:val="231F20"/>
          <w:spacing w:val="-24"/>
          <w:w w:val="105"/>
        </w:rPr>
        <w:t> </w:t>
      </w:r>
      <w:r>
        <w:rPr>
          <w:color w:val="231F20"/>
          <w:spacing w:val="-3"/>
          <w:w w:val="105"/>
        </w:rPr>
        <w:t>perderse</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spacing w:val="-4"/>
          <w:w w:val="105"/>
        </w:rPr>
        <w:t>anonimato</w:t>
      </w:r>
      <w:r>
        <w:rPr>
          <w:color w:val="231F20"/>
          <w:spacing w:val="-3"/>
          <w:w w:val="111"/>
        </w:rPr>
        <w:t> </w:t>
      </w:r>
      <w:r>
        <w:rPr>
          <w:color w:val="231F20"/>
          <w:spacing w:val="-3"/>
          <w:w w:val="105"/>
        </w:rPr>
        <w:t>implica</w:t>
      </w:r>
      <w:r>
        <w:rPr>
          <w:color w:val="231F20"/>
          <w:spacing w:val="-25"/>
          <w:w w:val="105"/>
        </w:rPr>
        <w:t> </w:t>
      </w:r>
      <w:r>
        <w:rPr>
          <w:color w:val="231F20"/>
          <w:w w:val="105"/>
        </w:rPr>
        <w:t>la</w:t>
      </w:r>
      <w:r>
        <w:rPr>
          <w:color w:val="231F20"/>
          <w:spacing w:val="-25"/>
          <w:w w:val="105"/>
        </w:rPr>
        <w:t> </w:t>
      </w:r>
      <w:r>
        <w:rPr>
          <w:color w:val="231F20"/>
          <w:spacing w:val="-3"/>
          <w:w w:val="105"/>
        </w:rPr>
        <w:t>negación</w:t>
      </w:r>
      <w:r>
        <w:rPr>
          <w:color w:val="231F20"/>
          <w:spacing w:val="-26"/>
          <w:w w:val="105"/>
        </w:rPr>
        <w:t> </w:t>
      </w:r>
      <w:r>
        <w:rPr>
          <w:color w:val="231F20"/>
          <w:w w:val="105"/>
        </w:rPr>
        <w:t>de</w:t>
      </w:r>
      <w:r>
        <w:rPr>
          <w:color w:val="231F20"/>
          <w:spacing w:val="-25"/>
          <w:w w:val="105"/>
        </w:rPr>
        <w:t> </w:t>
      </w:r>
      <w:r>
        <w:rPr>
          <w:color w:val="231F20"/>
          <w:w w:val="105"/>
        </w:rPr>
        <w:t>sí</w:t>
      </w:r>
      <w:r>
        <w:rPr>
          <w:color w:val="231F20"/>
          <w:spacing w:val="-26"/>
          <w:w w:val="105"/>
        </w:rPr>
        <w:t> </w:t>
      </w:r>
      <w:r>
        <w:rPr>
          <w:color w:val="231F20"/>
          <w:spacing w:val="-3"/>
          <w:w w:val="105"/>
        </w:rPr>
        <w:t>mismo</w:t>
      </w:r>
      <w:r>
        <w:rPr>
          <w:color w:val="231F20"/>
          <w:spacing w:val="-26"/>
          <w:w w:val="105"/>
        </w:rPr>
        <w:t> </w:t>
      </w:r>
      <w:r>
        <w:rPr>
          <w:color w:val="231F20"/>
          <w:w w:val="105"/>
        </w:rPr>
        <w:t>y</w:t>
      </w:r>
      <w:r>
        <w:rPr>
          <w:color w:val="231F20"/>
          <w:spacing w:val="-26"/>
          <w:w w:val="105"/>
        </w:rPr>
        <w:t> </w:t>
      </w:r>
      <w:r>
        <w:rPr>
          <w:color w:val="231F20"/>
          <w:w w:val="105"/>
        </w:rPr>
        <w:t>la</w:t>
      </w:r>
      <w:r>
        <w:rPr>
          <w:color w:val="231F20"/>
          <w:spacing w:val="-26"/>
          <w:w w:val="105"/>
        </w:rPr>
        <w:t> </w:t>
      </w:r>
      <w:r>
        <w:rPr>
          <w:color w:val="231F20"/>
          <w:w w:val="105"/>
        </w:rPr>
        <w:t>de</w:t>
      </w:r>
      <w:r>
        <w:rPr>
          <w:color w:val="231F20"/>
          <w:spacing w:val="-25"/>
          <w:w w:val="105"/>
        </w:rPr>
        <w:t> </w:t>
      </w:r>
      <w:r>
        <w:rPr>
          <w:color w:val="231F20"/>
          <w:w w:val="105"/>
        </w:rPr>
        <w:t>su</w:t>
      </w:r>
      <w:r>
        <w:rPr>
          <w:color w:val="231F20"/>
          <w:spacing w:val="-26"/>
          <w:w w:val="105"/>
        </w:rPr>
        <w:t> </w:t>
      </w:r>
      <w:r>
        <w:rPr>
          <w:color w:val="231F20"/>
          <w:spacing w:val="-3"/>
          <w:w w:val="105"/>
        </w:rPr>
        <w:t>lugar</w:t>
      </w:r>
      <w:r>
        <w:rPr>
          <w:color w:val="231F20"/>
          <w:spacing w:val="-26"/>
          <w:w w:val="105"/>
        </w:rPr>
        <w:t> </w:t>
      </w:r>
      <w:r>
        <w:rPr>
          <w:color w:val="231F20"/>
          <w:w w:val="105"/>
        </w:rPr>
        <w:t>de</w:t>
      </w:r>
      <w:r>
        <w:rPr>
          <w:color w:val="231F20"/>
          <w:spacing w:val="-26"/>
          <w:w w:val="105"/>
        </w:rPr>
        <w:t> </w:t>
      </w:r>
      <w:r>
        <w:rPr>
          <w:color w:val="231F20"/>
          <w:spacing w:val="-3"/>
          <w:w w:val="105"/>
        </w:rPr>
        <w:t>origen,</w:t>
      </w:r>
      <w:r>
        <w:rPr>
          <w:color w:val="231F20"/>
          <w:spacing w:val="-31"/>
          <w:w w:val="105"/>
        </w:rPr>
        <w:t> </w:t>
      </w:r>
      <w:r>
        <w:rPr>
          <w:color w:val="231F20"/>
          <w:w w:val="105"/>
        </w:rPr>
        <w:t>es</w:t>
      </w:r>
      <w:r>
        <w:rPr>
          <w:color w:val="231F20"/>
          <w:spacing w:val="-26"/>
          <w:w w:val="105"/>
        </w:rPr>
        <w:t> </w:t>
      </w:r>
      <w:r>
        <w:rPr>
          <w:color w:val="231F20"/>
          <w:spacing w:val="-5"/>
          <w:w w:val="105"/>
        </w:rPr>
        <w:t>decir,</w:t>
      </w:r>
      <w:r>
        <w:rPr>
          <w:color w:val="231F20"/>
          <w:spacing w:val="-31"/>
          <w:w w:val="105"/>
        </w:rPr>
        <w:t> </w:t>
      </w:r>
      <w:r>
        <w:rPr>
          <w:color w:val="231F20"/>
          <w:w w:val="105"/>
        </w:rPr>
        <w:t>los</w:t>
      </w:r>
      <w:r>
        <w:rPr>
          <w:color w:val="231F20"/>
          <w:spacing w:val="-26"/>
          <w:w w:val="105"/>
        </w:rPr>
        <w:t> </w:t>
      </w:r>
      <w:r>
        <w:rPr>
          <w:color w:val="231F20"/>
          <w:spacing w:val="-3"/>
          <w:w w:val="105"/>
        </w:rPr>
        <w:t>des-</w:t>
      </w:r>
      <w:r>
        <w:rPr>
          <w:color w:val="231F20"/>
          <w:w w:val="96"/>
        </w:rPr>
        <w:t> </w:t>
      </w:r>
      <w:r>
        <w:rPr>
          <w:color w:val="231F20"/>
          <w:spacing w:val="-3"/>
          <w:w w:val="105"/>
        </w:rPr>
        <w:t>poja</w:t>
      </w:r>
      <w:r>
        <w:rPr>
          <w:color w:val="231F20"/>
          <w:spacing w:val="-17"/>
          <w:w w:val="105"/>
        </w:rPr>
        <w:t> </w:t>
      </w:r>
      <w:r>
        <w:rPr>
          <w:color w:val="231F20"/>
          <w:w w:val="105"/>
        </w:rPr>
        <w:t>de</w:t>
      </w:r>
      <w:r>
        <w:rPr>
          <w:color w:val="231F20"/>
          <w:spacing w:val="-17"/>
          <w:w w:val="105"/>
        </w:rPr>
        <w:t> </w:t>
      </w:r>
      <w:r>
        <w:rPr>
          <w:color w:val="231F20"/>
          <w:spacing w:val="-3"/>
          <w:w w:val="105"/>
        </w:rPr>
        <w:t>toda</w:t>
      </w:r>
      <w:r>
        <w:rPr>
          <w:color w:val="231F20"/>
          <w:spacing w:val="-17"/>
          <w:w w:val="105"/>
        </w:rPr>
        <w:t> </w:t>
      </w:r>
      <w:r>
        <w:rPr>
          <w:color w:val="231F20"/>
          <w:spacing w:val="-3"/>
          <w:w w:val="105"/>
        </w:rPr>
        <w:t>posibilidad</w:t>
      </w:r>
      <w:r>
        <w:rPr>
          <w:color w:val="231F20"/>
          <w:spacing w:val="-17"/>
          <w:w w:val="105"/>
        </w:rPr>
        <w:t> </w:t>
      </w:r>
      <w:r>
        <w:rPr>
          <w:color w:val="231F20"/>
          <w:w w:val="105"/>
        </w:rPr>
        <w:t>de</w:t>
      </w:r>
      <w:r>
        <w:rPr>
          <w:color w:val="231F20"/>
          <w:spacing w:val="-17"/>
          <w:w w:val="105"/>
        </w:rPr>
        <w:t> </w:t>
      </w:r>
      <w:r>
        <w:rPr>
          <w:color w:val="231F20"/>
          <w:spacing w:val="-3"/>
          <w:w w:val="105"/>
        </w:rPr>
        <w:t>apelar</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spacing w:val="-4"/>
          <w:w w:val="105"/>
        </w:rPr>
        <w:t>ley,</w:t>
      </w:r>
      <w:r>
        <w:rPr>
          <w:color w:val="231F20"/>
          <w:spacing w:val="-24"/>
          <w:w w:val="105"/>
        </w:rPr>
        <w:t> </w:t>
      </w:r>
      <w:r>
        <w:rPr>
          <w:color w:val="231F20"/>
          <w:w w:val="105"/>
        </w:rPr>
        <w:t>que</w:t>
      </w:r>
      <w:r>
        <w:rPr>
          <w:color w:val="231F20"/>
          <w:spacing w:val="-17"/>
          <w:w w:val="105"/>
        </w:rPr>
        <w:t> </w:t>
      </w:r>
      <w:r>
        <w:rPr>
          <w:color w:val="231F20"/>
          <w:w w:val="105"/>
        </w:rPr>
        <w:t>de</w:t>
      </w:r>
      <w:r>
        <w:rPr>
          <w:color w:val="231F20"/>
          <w:spacing w:val="-17"/>
          <w:w w:val="105"/>
        </w:rPr>
        <w:t> </w:t>
      </w:r>
      <w:r>
        <w:rPr>
          <w:color w:val="231F20"/>
          <w:spacing w:val="-3"/>
          <w:w w:val="105"/>
        </w:rPr>
        <w:t>hecho</w:t>
      </w:r>
      <w:r>
        <w:rPr>
          <w:color w:val="231F20"/>
          <w:spacing w:val="-17"/>
          <w:w w:val="105"/>
        </w:rPr>
        <w:t> </w:t>
      </w:r>
      <w:r>
        <w:rPr>
          <w:color w:val="231F20"/>
          <w:w w:val="105"/>
        </w:rPr>
        <w:t>han</w:t>
      </w:r>
      <w:r>
        <w:rPr>
          <w:color w:val="231F20"/>
          <w:spacing w:val="-17"/>
          <w:w w:val="105"/>
        </w:rPr>
        <w:t> </w:t>
      </w:r>
      <w:r>
        <w:rPr>
          <w:color w:val="231F20"/>
          <w:spacing w:val="-3"/>
          <w:w w:val="105"/>
        </w:rPr>
        <w:t>violado</w:t>
      </w:r>
      <w:r>
        <w:rPr>
          <w:color w:val="231F20"/>
          <w:spacing w:val="-17"/>
          <w:w w:val="105"/>
        </w:rPr>
        <w:t> </w:t>
      </w:r>
      <w:r>
        <w:rPr>
          <w:color w:val="231F20"/>
          <w:spacing w:val="-4"/>
          <w:w w:val="105"/>
        </w:rPr>
        <w:t>(Gar-</w:t>
      </w:r>
      <w:r>
        <w:rPr>
          <w:color w:val="231F20"/>
          <w:w w:val="96"/>
        </w:rPr>
        <w:t> </w:t>
      </w:r>
      <w:r>
        <w:rPr>
          <w:color w:val="231F20"/>
          <w:w w:val="105"/>
        </w:rPr>
        <w:t>cía</w:t>
      </w:r>
      <w:r>
        <w:rPr>
          <w:color w:val="231F20"/>
          <w:spacing w:val="-15"/>
          <w:w w:val="105"/>
        </w:rPr>
        <w:t> </w:t>
      </w:r>
      <w:r>
        <w:rPr>
          <w:color w:val="231F20"/>
          <w:w w:val="105"/>
        </w:rPr>
        <w:t>y</w:t>
      </w:r>
      <w:r>
        <w:rPr>
          <w:color w:val="231F20"/>
          <w:spacing w:val="-19"/>
          <w:w w:val="105"/>
        </w:rPr>
        <w:t> </w:t>
      </w:r>
      <w:r>
        <w:rPr>
          <w:color w:val="231F20"/>
          <w:spacing w:val="-6"/>
          <w:w w:val="105"/>
        </w:rPr>
        <w:t>Tarrios,</w:t>
      </w:r>
      <w:r>
        <w:rPr>
          <w:color w:val="231F20"/>
          <w:spacing w:val="-20"/>
          <w:w w:val="105"/>
        </w:rPr>
        <w:t> </w:t>
      </w:r>
      <w:r>
        <w:rPr>
          <w:color w:val="231F20"/>
          <w:spacing w:val="-3"/>
          <w:w w:val="105"/>
        </w:rPr>
        <w:t>2008).</w:t>
      </w:r>
      <w:r>
        <w:rPr>
          <w:color w:val="231F20"/>
          <w:spacing w:val="-20"/>
          <w:w w:val="105"/>
        </w:rPr>
        <w:t> </w:t>
      </w:r>
      <w:r>
        <w:rPr>
          <w:color w:val="231F20"/>
          <w:spacing w:val="-3"/>
          <w:w w:val="105"/>
        </w:rPr>
        <w:t>Esto</w:t>
      </w:r>
      <w:r>
        <w:rPr>
          <w:color w:val="231F20"/>
          <w:spacing w:val="-15"/>
          <w:w w:val="105"/>
        </w:rPr>
        <w:t> </w:t>
      </w:r>
      <w:r>
        <w:rPr>
          <w:color w:val="231F20"/>
          <w:w w:val="105"/>
        </w:rPr>
        <w:t>es</w:t>
      </w:r>
      <w:r>
        <w:rPr>
          <w:color w:val="231F20"/>
          <w:spacing w:val="-15"/>
          <w:w w:val="105"/>
        </w:rPr>
        <w:t> </w:t>
      </w:r>
      <w:r>
        <w:rPr>
          <w:color w:val="231F20"/>
          <w:w w:val="105"/>
        </w:rPr>
        <w:t>aún</w:t>
      </w:r>
      <w:r>
        <w:rPr>
          <w:color w:val="231F20"/>
          <w:spacing w:val="-15"/>
          <w:w w:val="105"/>
        </w:rPr>
        <w:t> </w:t>
      </w:r>
      <w:r>
        <w:rPr>
          <w:color w:val="231F20"/>
          <w:w w:val="105"/>
        </w:rPr>
        <w:t>más</w:t>
      </w:r>
      <w:r>
        <w:rPr>
          <w:color w:val="231F20"/>
          <w:spacing w:val="-15"/>
          <w:w w:val="105"/>
        </w:rPr>
        <w:t> </w:t>
      </w:r>
      <w:r>
        <w:rPr>
          <w:color w:val="231F20"/>
          <w:spacing w:val="-3"/>
          <w:w w:val="105"/>
        </w:rPr>
        <w:t>complejo</w:t>
      </w:r>
      <w:r>
        <w:rPr>
          <w:color w:val="231F20"/>
          <w:spacing w:val="-15"/>
          <w:w w:val="105"/>
        </w:rPr>
        <w:t> </w:t>
      </w:r>
      <w:r>
        <w:rPr>
          <w:color w:val="231F20"/>
          <w:w w:val="105"/>
        </w:rPr>
        <w:t>al</w:t>
      </w:r>
      <w:r>
        <w:rPr>
          <w:color w:val="231F20"/>
          <w:spacing w:val="-15"/>
          <w:w w:val="105"/>
        </w:rPr>
        <w:t> </w:t>
      </w:r>
      <w:r>
        <w:rPr>
          <w:color w:val="231F20"/>
          <w:spacing w:val="-3"/>
          <w:w w:val="105"/>
        </w:rPr>
        <w:t>considerar</w:t>
      </w:r>
      <w:r>
        <w:rPr>
          <w:color w:val="231F20"/>
          <w:spacing w:val="-15"/>
          <w:w w:val="105"/>
        </w:rPr>
        <w:t> </w:t>
      </w:r>
      <w:r>
        <w:rPr>
          <w:color w:val="231F20"/>
          <w:w w:val="105"/>
        </w:rPr>
        <w:t>que</w:t>
      </w:r>
      <w:r>
        <w:rPr>
          <w:color w:val="231F20"/>
          <w:spacing w:val="-15"/>
          <w:w w:val="105"/>
        </w:rPr>
        <w:t> </w:t>
      </w:r>
      <w:r>
        <w:rPr>
          <w:color w:val="231F20"/>
          <w:spacing w:val="-3"/>
          <w:w w:val="105"/>
        </w:rPr>
        <w:t>entre</w:t>
      </w:r>
      <w:r>
        <w:rPr>
          <w:color w:val="231F20"/>
          <w:spacing w:val="-15"/>
          <w:w w:val="105"/>
        </w:rPr>
        <w:t> </w:t>
      </w:r>
      <w:r>
        <w:rPr>
          <w:color w:val="231F20"/>
          <w:spacing w:val="-3"/>
          <w:w w:val="105"/>
        </w:rPr>
        <w:t>las</w:t>
      </w:r>
      <w:r>
        <w:rPr>
          <w:color w:val="231F20"/>
          <w:spacing w:val="-3"/>
          <w:w w:val="95"/>
        </w:rPr>
        <w:t> </w:t>
      </w:r>
      <w:r>
        <w:rPr>
          <w:color w:val="231F20"/>
          <w:spacing w:val="-3"/>
          <w:w w:val="105"/>
        </w:rPr>
        <w:t>obligaciones </w:t>
      </w:r>
      <w:r>
        <w:rPr>
          <w:color w:val="231F20"/>
          <w:w w:val="105"/>
        </w:rPr>
        <w:t>de los </w:t>
      </w:r>
      <w:r>
        <w:rPr>
          <w:color w:val="231F20"/>
          <w:spacing w:val="-3"/>
          <w:w w:val="105"/>
        </w:rPr>
        <w:t>países </w:t>
      </w:r>
      <w:r>
        <w:rPr>
          <w:color w:val="231F20"/>
          <w:w w:val="105"/>
        </w:rPr>
        <w:t>de </w:t>
      </w:r>
      <w:r>
        <w:rPr>
          <w:color w:val="231F20"/>
          <w:spacing w:val="-3"/>
          <w:w w:val="105"/>
        </w:rPr>
        <w:t>origen está </w:t>
      </w:r>
      <w:r>
        <w:rPr>
          <w:color w:val="231F20"/>
          <w:w w:val="105"/>
        </w:rPr>
        <w:t>la </w:t>
      </w:r>
      <w:r>
        <w:rPr>
          <w:color w:val="231F20"/>
          <w:spacing w:val="-3"/>
          <w:w w:val="105"/>
        </w:rPr>
        <w:t>defensa </w:t>
      </w:r>
      <w:r>
        <w:rPr>
          <w:color w:val="231F20"/>
          <w:w w:val="105"/>
        </w:rPr>
        <w:t>de</w:t>
      </w:r>
      <w:r>
        <w:rPr>
          <w:color w:val="231F20"/>
          <w:spacing w:val="-30"/>
          <w:w w:val="105"/>
        </w:rPr>
        <w:t> </w:t>
      </w:r>
      <w:r>
        <w:rPr>
          <w:color w:val="231F20"/>
          <w:w w:val="105"/>
        </w:rPr>
        <w:t>sus</w:t>
      </w:r>
      <w:r>
        <w:rPr>
          <w:color w:val="231F20"/>
          <w:spacing w:val="-5"/>
          <w:w w:val="105"/>
        </w:rPr>
        <w:t> </w:t>
      </w:r>
      <w:r>
        <w:rPr>
          <w:color w:val="231F20"/>
          <w:spacing w:val="-3"/>
          <w:w w:val="105"/>
        </w:rPr>
        <w:t>ciudadanos;</w:t>
      </w:r>
      <w:r>
        <w:rPr>
          <w:color w:val="231F20"/>
          <w:spacing w:val="-3"/>
          <w:w w:val="103"/>
        </w:rPr>
        <w:t> </w:t>
      </w:r>
      <w:r>
        <w:rPr>
          <w:color w:val="231F20"/>
          <w:w w:val="105"/>
        </w:rPr>
        <w:t>sin</w:t>
      </w:r>
      <w:r>
        <w:rPr>
          <w:color w:val="231F20"/>
          <w:spacing w:val="-27"/>
          <w:w w:val="105"/>
        </w:rPr>
        <w:t> </w:t>
      </w:r>
      <w:r>
        <w:rPr>
          <w:color w:val="231F20"/>
          <w:spacing w:val="-4"/>
          <w:w w:val="105"/>
        </w:rPr>
        <w:t>embargo,</w:t>
      </w:r>
      <w:r>
        <w:rPr>
          <w:color w:val="231F20"/>
          <w:spacing w:val="3"/>
          <w:w w:val="105"/>
        </w:rPr>
        <w:t> </w:t>
      </w:r>
      <w:r>
        <w:rPr>
          <w:color w:val="231F20"/>
          <w:w w:val="105"/>
        </w:rPr>
        <w:t>lo</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spacing w:val="-3"/>
          <w:w w:val="105"/>
        </w:rPr>
        <w:t>observa</w:t>
      </w:r>
      <w:r>
        <w:rPr>
          <w:color w:val="231F20"/>
          <w:spacing w:val="-27"/>
          <w:w w:val="105"/>
        </w:rPr>
        <w:t> </w:t>
      </w:r>
      <w:r>
        <w:rPr>
          <w:color w:val="231F20"/>
          <w:w w:val="105"/>
        </w:rPr>
        <w:t>en</w:t>
      </w:r>
      <w:r>
        <w:rPr>
          <w:color w:val="231F20"/>
          <w:spacing w:val="-27"/>
          <w:w w:val="105"/>
        </w:rPr>
        <w:t> </w:t>
      </w:r>
      <w:r>
        <w:rPr>
          <w:color w:val="231F20"/>
          <w:spacing w:val="-3"/>
          <w:w w:val="105"/>
        </w:rPr>
        <w:t>estos</w:t>
      </w:r>
      <w:r>
        <w:rPr>
          <w:color w:val="231F20"/>
          <w:spacing w:val="-27"/>
          <w:w w:val="105"/>
        </w:rPr>
        <w:t> </w:t>
      </w:r>
      <w:r>
        <w:rPr>
          <w:color w:val="231F20"/>
          <w:spacing w:val="-3"/>
          <w:w w:val="105"/>
        </w:rPr>
        <w:t>países</w:t>
      </w:r>
      <w:r>
        <w:rPr>
          <w:color w:val="231F20"/>
          <w:spacing w:val="-27"/>
          <w:w w:val="105"/>
        </w:rPr>
        <w:t> </w:t>
      </w:r>
      <w:r>
        <w:rPr>
          <w:color w:val="231F20"/>
          <w:w w:val="105"/>
        </w:rPr>
        <w:t>es</w:t>
      </w:r>
      <w:r>
        <w:rPr>
          <w:color w:val="231F20"/>
          <w:spacing w:val="-27"/>
          <w:w w:val="105"/>
        </w:rPr>
        <w:t> </w:t>
      </w:r>
      <w:r>
        <w:rPr>
          <w:color w:val="231F20"/>
          <w:w w:val="105"/>
        </w:rPr>
        <w:t>la</w:t>
      </w:r>
      <w:r>
        <w:rPr>
          <w:color w:val="231F20"/>
          <w:spacing w:val="-27"/>
          <w:w w:val="105"/>
        </w:rPr>
        <w:t> </w:t>
      </w:r>
      <w:r>
        <w:rPr>
          <w:color w:val="231F20"/>
          <w:spacing w:val="-3"/>
          <w:w w:val="105"/>
        </w:rPr>
        <w:t>falta</w:t>
      </w:r>
      <w:r>
        <w:rPr>
          <w:color w:val="231F20"/>
          <w:spacing w:val="-27"/>
          <w:w w:val="105"/>
        </w:rPr>
        <w:t> </w:t>
      </w:r>
      <w:r>
        <w:rPr>
          <w:color w:val="231F20"/>
          <w:w w:val="105"/>
        </w:rPr>
        <w:t>de</w:t>
      </w:r>
      <w:r>
        <w:rPr>
          <w:color w:val="231F20"/>
          <w:spacing w:val="-27"/>
          <w:w w:val="105"/>
        </w:rPr>
        <w:t> </w:t>
      </w:r>
      <w:r>
        <w:rPr>
          <w:color w:val="231F20"/>
          <w:spacing w:val="-3"/>
          <w:w w:val="105"/>
        </w:rPr>
        <w:t>sensibilidad</w:t>
      </w:r>
      <w:r>
        <w:rPr>
          <w:color w:val="231F20"/>
          <w:spacing w:val="-27"/>
          <w:w w:val="105"/>
        </w:rPr>
        <w:t> </w:t>
      </w:r>
      <w:r>
        <w:rPr>
          <w:color w:val="231F20"/>
          <w:w w:val="105"/>
        </w:rPr>
        <w:t>y</w:t>
      </w:r>
      <w:r>
        <w:rPr>
          <w:color w:val="231F20"/>
          <w:w w:val="97"/>
        </w:rPr>
        <w:t> </w:t>
      </w:r>
      <w:r>
        <w:rPr>
          <w:color w:val="231F20"/>
          <w:spacing w:val="-3"/>
          <w:w w:val="105"/>
        </w:rPr>
        <w:t>sentido</w:t>
      </w:r>
      <w:r>
        <w:rPr>
          <w:color w:val="231F20"/>
          <w:spacing w:val="-30"/>
          <w:w w:val="105"/>
        </w:rPr>
        <w:t> </w:t>
      </w:r>
      <w:r>
        <w:rPr>
          <w:color w:val="231F20"/>
          <w:w w:val="105"/>
        </w:rPr>
        <w:t>de</w:t>
      </w:r>
      <w:r>
        <w:rPr>
          <w:color w:val="231F20"/>
          <w:spacing w:val="-30"/>
          <w:w w:val="105"/>
        </w:rPr>
        <w:t> </w:t>
      </w:r>
      <w:r>
        <w:rPr>
          <w:color w:val="231F20"/>
          <w:spacing w:val="-3"/>
          <w:w w:val="105"/>
        </w:rPr>
        <w:t>responsabilidad</w:t>
      </w:r>
      <w:r>
        <w:rPr>
          <w:color w:val="231F20"/>
          <w:spacing w:val="-30"/>
          <w:w w:val="105"/>
        </w:rPr>
        <w:t> </w:t>
      </w:r>
      <w:r>
        <w:rPr>
          <w:color w:val="231F20"/>
          <w:spacing w:val="-3"/>
          <w:w w:val="105"/>
        </w:rPr>
        <w:t>ante</w:t>
      </w:r>
      <w:r>
        <w:rPr>
          <w:color w:val="231F20"/>
          <w:spacing w:val="-30"/>
          <w:w w:val="105"/>
        </w:rPr>
        <w:t> </w:t>
      </w:r>
      <w:r>
        <w:rPr>
          <w:color w:val="231F20"/>
          <w:w w:val="105"/>
        </w:rPr>
        <w:t>la</w:t>
      </w:r>
      <w:r>
        <w:rPr>
          <w:color w:val="231F20"/>
          <w:spacing w:val="-30"/>
          <w:w w:val="105"/>
        </w:rPr>
        <w:t> </w:t>
      </w:r>
      <w:r>
        <w:rPr>
          <w:color w:val="231F20"/>
          <w:spacing w:val="-3"/>
          <w:w w:val="105"/>
        </w:rPr>
        <w:t>violencia</w:t>
      </w:r>
      <w:r>
        <w:rPr>
          <w:color w:val="231F20"/>
          <w:spacing w:val="-30"/>
          <w:w w:val="105"/>
        </w:rPr>
        <w:t> </w:t>
      </w:r>
      <w:r>
        <w:rPr>
          <w:color w:val="231F20"/>
          <w:spacing w:val="-3"/>
          <w:w w:val="105"/>
        </w:rPr>
        <w:t>sufrida</w:t>
      </w:r>
      <w:r>
        <w:rPr>
          <w:color w:val="231F20"/>
          <w:spacing w:val="-30"/>
          <w:w w:val="105"/>
        </w:rPr>
        <w:t> </w:t>
      </w:r>
      <w:r>
        <w:rPr>
          <w:color w:val="231F20"/>
          <w:w w:val="105"/>
        </w:rPr>
        <w:t>por</w:t>
      </w:r>
      <w:r>
        <w:rPr>
          <w:color w:val="231F20"/>
          <w:spacing w:val="-30"/>
          <w:w w:val="105"/>
        </w:rPr>
        <w:t> </w:t>
      </w:r>
      <w:r>
        <w:rPr>
          <w:color w:val="231F20"/>
          <w:w w:val="105"/>
        </w:rPr>
        <w:t>sus</w:t>
      </w:r>
      <w:r>
        <w:rPr>
          <w:color w:val="231F20"/>
          <w:spacing w:val="-30"/>
          <w:w w:val="105"/>
        </w:rPr>
        <w:t> </w:t>
      </w:r>
      <w:r>
        <w:rPr>
          <w:color w:val="231F20"/>
          <w:spacing w:val="-3"/>
          <w:w w:val="105"/>
        </w:rPr>
        <w:t>connacionales,</w:t>
      </w:r>
      <w:r>
        <w:rPr>
          <w:color w:val="231F20"/>
          <w:spacing w:val="-3"/>
          <w:w w:val="101"/>
        </w:rPr>
        <w:t> </w:t>
      </w:r>
      <w:r>
        <w:rPr>
          <w:color w:val="231F20"/>
          <w:spacing w:val="-3"/>
          <w:w w:val="105"/>
        </w:rPr>
        <w:t>además </w:t>
      </w:r>
      <w:r>
        <w:rPr>
          <w:color w:val="231F20"/>
          <w:w w:val="105"/>
        </w:rPr>
        <w:t>de una </w:t>
      </w:r>
      <w:r>
        <w:rPr>
          <w:color w:val="231F20"/>
          <w:spacing w:val="-3"/>
          <w:w w:val="105"/>
        </w:rPr>
        <w:t>enorme debilidad para enfrentar </w:t>
      </w:r>
      <w:r>
        <w:rPr>
          <w:color w:val="231F20"/>
          <w:w w:val="105"/>
        </w:rPr>
        <w:t>el</w:t>
      </w:r>
      <w:r>
        <w:rPr>
          <w:color w:val="231F20"/>
          <w:spacing w:val="26"/>
          <w:w w:val="105"/>
        </w:rPr>
        <w:t> </w:t>
      </w:r>
      <w:r>
        <w:rPr>
          <w:color w:val="231F20"/>
          <w:spacing w:val="-3"/>
          <w:w w:val="105"/>
        </w:rPr>
        <w:t>problema</w:t>
      </w:r>
      <w:r>
        <w:rPr>
          <w:color w:val="231F20"/>
          <w:spacing w:val="8"/>
          <w:w w:val="105"/>
        </w:rPr>
        <w:t> </w:t>
      </w:r>
      <w:r>
        <w:rPr>
          <w:color w:val="231F20"/>
          <w:spacing w:val="-4"/>
          <w:w w:val="105"/>
        </w:rPr>
        <w:t>migratorio</w:t>
      </w:r>
      <w:r>
        <w:rPr>
          <w:color w:val="231F20"/>
          <w:spacing w:val="-3"/>
          <w:w w:val="110"/>
        </w:rPr>
        <w:t> </w:t>
      </w:r>
      <w:r>
        <w:rPr>
          <w:color w:val="231F20"/>
          <w:spacing w:val="-3"/>
          <w:w w:val="105"/>
        </w:rPr>
        <w:t>que,</w:t>
      </w:r>
      <w:r>
        <w:rPr>
          <w:color w:val="231F20"/>
          <w:spacing w:val="-26"/>
          <w:w w:val="105"/>
        </w:rPr>
        <w:t> </w:t>
      </w:r>
      <w:r>
        <w:rPr>
          <w:color w:val="231F20"/>
          <w:spacing w:val="-3"/>
          <w:w w:val="105"/>
        </w:rPr>
        <w:t>unido</w:t>
      </w:r>
      <w:r>
        <w:rPr>
          <w:color w:val="231F20"/>
          <w:spacing w:val="-18"/>
          <w:w w:val="105"/>
        </w:rPr>
        <w:t> </w:t>
      </w:r>
      <w:r>
        <w:rPr>
          <w:color w:val="231F20"/>
          <w:w w:val="105"/>
        </w:rPr>
        <w:t>al</w:t>
      </w:r>
      <w:r>
        <w:rPr>
          <w:color w:val="231F20"/>
          <w:spacing w:val="24"/>
          <w:w w:val="105"/>
        </w:rPr>
        <w:t> </w:t>
      </w:r>
      <w:r>
        <w:rPr>
          <w:color w:val="231F20"/>
          <w:spacing w:val="-3"/>
          <w:w w:val="105"/>
        </w:rPr>
        <w:t>problema</w:t>
      </w:r>
      <w:r>
        <w:rPr>
          <w:color w:val="231F20"/>
          <w:spacing w:val="-18"/>
          <w:w w:val="105"/>
        </w:rPr>
        <w:t> </w:t>
      </w:r>
      <w:r>
        <w:rPr>
          <w:color w:val="231F20"/>
          <w:w w:val="105"/>
        </w:rPr>
        <w:t>del</w:t>
      </w:r>
      <w:r>
        <w:rPr>
          <w:color w:val="231F20"/>
          <w:spacing w:val="-18"/>
          <w:w w:val="105"/>
        </w:rPr>
        <w:t> </w:t>
      </w:r>
      <w:r>
        <w:rPr>
          <w:color w:val="231F20"/>
          <w:spacing w:val="-4"/>
          <w:w w:val="105"/>
        </w:rPr>
        <w:t>desarrollo,</w:t>
      </w:r>
      <w:r>
        <w:rPr>
          <w:color w:val="231F20"/>
          <w:spacing w:val="-26"/>
          <w:w w:val="105"/>
        </w:rPr>
        <w:t> </w:t>
      </w:r>
      <w:r>
        <w:rPr>
          <w:color w:val="231F20"/>
          <w:spacing w:val="-3"/>
          <w:w w:val="105"/>
        </w:rPr>
        <w:t>subordina</w:t>
      </w:r>
      <w:r>
        <w:rPr>
          <w:color w:val="231F20"/>
          <w:spacing w:val="-18"/>
          <w:w w:val="105"/>
        </w:rPr>
        <w:t> </w:t>
      </w:r>
      <w:r>
        <w:rPr>
          <w:color w:val="231F20"/>
          <w:w w:val="105"/>
        </w:rPr>
        <w:t>a</w:t>
      </w:r>
      <w:r>
        <w:rPr>
          <w:color w:val="231F20"/>
          <w:spacing w:val="-18"/>
          <w:w w:val="105"/>
        </w:rPr>
        <w:t> </w:t>
      </w:r>
      <w:r>
        <w:rPr>
          <w:color w:val="231F20"/>
          <w:w w:val="105"/>
        </w:rPr>
        <w:t>su</w:t>
      </w:r>
      <w:r>
        <w:rPr>
          <w:color w:val="231F20"/>
          <w:spacing w:val="-18"/>
          <w:w w:val="105"/>
        </w:rPr>
        <w:t> </w:t>
      </w:r>
      <w:r>
        <w:rPr>
          <w:color w:val="231F20"/>
          <w:spacing w:val="-3"/>
          <w:w w:val="105"/>
        </w:rPr>
        <w:t>población</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spacing w:val="-3"/>
          <w:w w:val="105"/>
        </w:rPr>
        <w:t>hege-</w:t>
      </w:r>
    </w:p>
    <w:p>
      <w:pPr>
        <w:pStyle w:val="BodyText"/>
        <w:spacing w:before="1"/>
        <w:ind w:left="1723"/>
        <w:jc w:val="both"/>
      </w:pPr>
      <w:r>
        <w:rPr>
          <w:color w:val="231F20"/>
          <w:w w:val="105"/>
        </w:rPr>
        <w:t>monía de una agenda externa que prioriza su seguridad nacional.</w:t>
      </w:r>
    </w:p>
    <w:p>
      <w:pPr>
        <w:pStyle w:val="BodyText"/>
        <w:rPr>
          <w:sz w:val="20"/>
        </w:rPr>
      </w:pPr>
    </w:p>
    <w:p>
      <w:pPr>
        <w:pStyle w:val="BodyText"/>
        <w:rPr>
          <w:sz w:val="20"/>
        </w:rPr>
      </w:pPr>
    </w:p>
    <w:p>
      <w:pPr>
        <w:pStyle w:val="BodyText"/>
        <w:spacing w:before="10"/>
        <w:rPr>
          <w:sz w:val="27"/>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7192" from="131.551193pt,3.703715pt" to="131.551193pt,39.506114pt" stroked="true" strokeweight=".35pt" strokecolor="#231f20">
            <w10:wrap type="none"/>
          </v:line>
        </w:pict>
      </w:r>
      <w:r>
        <w:rPr/>
        <w:pict>
          <v:line style="position:absolute;mso-position-horizontal-relative:page;mso-position-vertical-relative:paragraph;z-index:-487120" from="15pt,39.505917pt" to="0pt,39.505917pt" stroked="true" strokeweight=".25pt" strokecolor="#000000">
            <w10:wrap type="none"/>
          </v:line>
        </w:pict>
      </w:r>
      <w:r>
        <w:rPr/>
        <w:pict>
          <v:line style="position:absolute;mso-position-horizontal-relative:page;mso-position-vertical-relative:paragraph;z-index:3088" from="508.890015pt,39.505917pt" to="523.890015pt,39.505917pt" stroked="true" strokeweight=".25pt" strokecolor="#000000">
            <w10:wrap type="none"/>
          </v:line>
        </w:pict>
      </w:r>
      <w:r>
        <w:rPr>
          <w:rFonts w:ascii="Arial" w:hAnsi="Arial"/>
          <w:color w:val="414042"/>
          <w:position w:val="-5"/>
          <w:sz w:val="20"/>
        </w:rPr>
        <w:t>32</w:t>
        <w:tab/>
      </w:r>
      <w:r>
        <w:rPr>
          <w:rFonts w:ascii="Calibri" w:hAnsi="Calibri"/>
          <w:color w:val="6D6E71"/>
          <w:sz w:val="15"/>
        </w:rPr>
        <w:t>Jorge Olvera</w:t>
      </w:r>
      <w:r>
        <w:rPr>
          <w:rFonts w:ascii="Calibri" w:hAnsi="Calibri"/>
          <w:color w:val="6D6E71"/>
          <w:spacing w:val="12"/>
          <w:sz w:val="15"/>
        </w:rPr>
        <w:t> </w:t>
      </w:r>
      <w:r>
        <w:rPr>
          <w:rFonts w:ascii="Calibri" w:hAnsi="Calibri"/>
          <w:color w:val="6D6E71"/>
          <w:sz w:val="15"/>
        </w:rPr>
        <w:t>García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001" w:right="0" w:firstLine="0"/>
        <w:jc w:val="left"/>
        <w:rPr>
          <w:rFonts w:ascii="Arial" w:hAnsi="Arial"/>
          <w:sz w:val="20"/>
        </w:rPr>
      </w:pPr>
      <w:r>
        <w:rPr/>
        <w:pict>
          <v:line style="position:absolute;mso-position-horizontal-relative:page;mso-position-vertical-relative:paragraph;z-index:-487072" from="405.061005pt,-18.554295pt" to="405.061005pt,16.311579pt" stroked="true" strokeweight=".35pt" strokecolor="#231f20">
            <w10:wrap type="none"/>
          </v:line>
        </w:pict>
      </w:r>
      <w:r>
        <w:rPr/>
        <w:pict>
          <v:line style="position:absolute;mso-position-horizontal-relative:page;mso-position-vertical-relative:paragraph;z-index:3136" from="15pt,-18.554522pt" to="0pt,-18.554522pt" stroked="true" strokeweight=".25pt" strokecolor="#000000">
            <w10:wrap type="none"/>
          </v:line>
        </w:pict>
      </w:r>
      <w:r>
        <w:rPr/>
        <w:pict>
          <v:line style="position:absolute;mso-position-horizontal-relative:page;mso-position-vertical-relative:paragraph;z-index:3160" from="508.890015pt,-18.554522pt" to="523.890015pt,-18.554522pt" stroked="true" strokeweight=".25pt" strokecolor="#000000">
            <w10:wrap type="none"/>
          </v:line>
        </w:pict>
      </w:r>
      <w:r>
        <w:rPr>
          <w:rFonts w:ascii="Lucida Sans Unicode" w:hAnsi="Lucida Sans Unicode"/>
          <w:color w:val="6D6E71"/>
          <w:w w:val="105"/>
          <w:sz w:val="14"/>
        </w:rPr>
        <w:t>Derechos</w:t>
      </w:r>
      <w:r>
        <w:rPr>
          <w:rFonts w:ascii="Lucida Sans Unicode" w:hAnsi="Lucida Sans Unicode"/>
          <w:color w:val="6D6E71"/>
          <w:spacing w:val="-15"/>
          <w:w w:val="105"/>
          <w:sz w:val="14"/>
        </w:rPr>
        <w:t> </w:t>
      </w:r>
      <w:r>
        <w:rPr>
          <w:rFonts w:ascii="Lucida Sans Unicode" w:hAnsi="Lucida Sans Unicode"/>
          <w:color w:val="6D6E71"/>
          <w:w w:val="105"/>
          <w:sz w:val="14"/>
        </w:rPr>
        <w:t>humanos,</w:t>
      </w:r>
      <w:r>
        <w:rPr>
          <w:rFonts w:ascii="Lucida Sans Unicode" w:hAnsi="Lucida Sans Unicode"/>
          <w:color w:val="6D6E71"/>
          <w:spacing w:val="-15"/>
          <w:w w:val="105"/>
          <w:sz w:val="14"/>
        </w:rPr>
        <w:t> </w:t>
      </w:r>
      <w:r>
        <w:rPr>
          <w:rFonts w:ascii="Lucida Sans Unicode" w:hAnsi="Lucida Sans Unicode"/>
          <w:color w:val="6D6E71"/>
          <w:w w:val="105"/>
          <w:sz w:val="14"/>
        </w:rPr>
        <w:t>eDucación</w:t>
      </w:r>
      <w:r>
        <w:rPr>
          <w:rFonts w:ascii="Lucida Sans Unicode" w:hAnsi="Lucida Sans Unicode"/>
          <w:color w:val="6D6E71"/>
          <w:spacing w:val="-15"/>
          <w:w w:val="105"/>
          <w:sz w:val="14"/>
        </w:rPr>
        <w:t> </w:t>
      </w:r>
      <w:r>
        <w:rPr>
          <w:rFonts w:ascii="Lucida Sans Unicode" w:hAnsi="Lucida Sans Unicode"/>
          <w:color w:val="6D6E71"/>
          <w:w w:val="105"/>
          <w:sz w:val="14"/>
        </w:rPr>
        <w:t>y</w:t>
      </w:r>
      <w:r>
        <w:rPr>
          <w:rFonts w:ascii="Lucida Sans Unicode" w:hAnsi="Lucida Sans Unicode"/>
          <w:color w:val="6D6E71"/>
          <w:spacing w:val="-15"/>
          <w:w w:val="105"/>
          <w:sz w:val="14"/>
        </w:rPr>
        <w:t> </w:t>
      </w:r>
      <w:r>
        <w:rPr>
          <w:rFonts w:ascii="Lucida Sans Unicode" w:hAnsi="Lucida Sans Unicode"/>
          <w:color w:val="6D6E71"/>
          <w:w w:val="105"/>
          <w:sz w:val="14"/>
        </w:rPr>
        <w:t>participación</w:t>
      </w:r>
      <w:r>
        <w:rPr>
          <w:rFonts w:ascii="Lucida Sans Unicode" w:hAnsi="Lucida Sans Unicode"/>
          <w:color w:val="6D6E71"/>
          <w:spacing w:val="-15"/>
          <w:w w:val="105"/>
          <w:sz w:val="14"/>
        </w:rPr>
        <w:t> </w:t>
      </w:r>
      <w:r>
        <w:rPr>
          <w:rFonts w:ascii="Lucida Sans Unicode" w:hAnsi="Lucida Sans Unicode"/>
          <w:color w:val="6D6E71"/>
          <w:w w:val="105"/>
          <w:sz w:val="14"/>
        </w:rPr>
        <w:t>De</w:t>
      </w:r>
      <w:r>
        <w:rPr>
          <w:rFonts w:ascii="Lucida Sans Unicode" w:hAnsi="Lucida Sans Unicode"/>
          <w:color w:val="6D6E71"/>
          <w:spacing w:val="-15"/>
          <w:w w:val="105"/>
          <w:sz w:val="14"/>
        </w:rPr>
        <w:t> </w:t>
      </w:r>
      <w:r>
        <w:rPr>
          <w:rFonts w:ascii="Lucida Sans Unicode" w:hAnsi="Lucida Sans Unicode"/>
          <w:color w:val="6D6E71"/>
          <w:w w:val="115"/>
          <w:sz w:val="14"/>
        </w:rPr>
        <w:t>la</w:t>
      </w:r>
      <w:r>
        <w:rPr>
          <w:rFonts w:ascii="Lucida Sans Unicode" w:hAnsi="Lucida Sans Unicode"/>
          <w:color w:val="6D6E71"/>
          <w:spacing w:val="-19"/>
          <w:w w:val="115"/>
          <w:sz w:val="14"/>
        </w:rPr>
        <w:t> </w:t>
      </w:r>
      <w:r>
        <w:rPr>
          <w:rFonts w:ascii="Lucida Sans Unicode" w:hAnsi="Lucida Sans Unicode"/>
          <w:color w:val="6D6E71"/>
          <w:w w:val="105"/>
          <w:sz w:val="14"/>
        </w:rPr>
        <w:t>población</w:t>
      </w:r>
      <w:r>
        <w:rPr>
          <w:rFonts w:ascii="Lucida Sans Unicode" w:hAnsi="Lucida Sans Unicode"/>
          <w:color w:val="6D6E71"/>
          <w:spacing w:val="-15"/>
          <w:w w:val="105"/>
          <w:sz w:val="14"/>
        </w:rPr>
        <w:t> </w:t>
      </w:r>
      <w:r>
        <w:rPr>
          <w:rFonts w:ascii="Lucida Sans Unicode" w:hAnsi="Lucida Sans Unicode"/>
          <w:color w:val="6D6E71"/>
          <w:w w:val="105"/>
          <w:sz w:val="14"/>
        </w:rPr>
        <w:t>migrante</w:t>
      </w:r>
      <w:r>
        <w:rPr>
          <w:rFonts w:ascii="Arial" w:hAnsi="Arial"/>
          <w:color w:val="414042"/>
          <w:w w:val="105"/>
          <w:position w:val="-3"/>
          <w:sz w:val="20"/>
        </w:rPr>
        <w:tab/>
        <w:t>33</w:t>
      </w:r>
    </w:p>
    <w:p>
      <w:pPr>
        <w:pStyle w:val="BodyText"/>
        <w:rPr>
          <w:rFonts w:ascii="Arial"/>
          <w:sz w:val="20"/>
        </w:rPr>
      </w:pPr>
    </w:p>
    <w:p>
      <w:pPr>
        <w:pStyle w:val="BodyText"/>
        <w:rPr>
          <w:rFonts w:ascii="Arial"/>
          <w:sz w:val="20"/>
        </w:rPr>
      </w:pPr>
    </w:p>
    <w:p>
      <w:pPr>
        <w:pStyle w:val="BodyText"/>
        <w:spacing w:line="261" w:lineRule="auto" w:before="179"/>
        <w:ind w:left="1837" w:right="1716"/>
        <w:jc w:val="both"/>
      </w:pPr>
      <w:r>
        <w:rPr>
          <w:color w:val="231F20"/>
          <w:w w:val="105"/>
        </w:rPr>
        <w:t>En</w:t>
      </w:r>
      <w:r>
        <w:rPr>
          <w:color w:val="231F20"/>
          <w:spacing w:val="-10"/>
          <w:w w:val="105"/>
        </w:rPr>
        <w:t> </w:t>
      </w:r>
      <w:r>
        <w:rPr>
          <w:color w:val="231F20"/>
          <w:w w:val="105"/>
        </w:rPr>
        <w:t>tercer</w:t>
      </w:r>
      <w:r>
        <w:rPr>
          <w:color w:val="231F20"/>
          <w:spacing w:val="-10"/>
          <w:w w:val="105"/>
        </w:rPr>
        <w:t> </w:t>
      </w:r>
      <w:r>
        <w:rPr>
          <w:color w:val="231F20"/>
          <w:w w:val="105"/>
        </w:rPr>
        <w:t>lugar</w:t>
      </w:r>
      <w:r>
        <w:rPr>
          <w:color w:val="231F20"/>
          <w:spacing w:val="-10"/>
          <w:w w:val="105"/>
        </w:rPr>
        <w:t> </w:t>
      </w:r>
      <w:r>
        <w:rPr>
          <w:color w:val="231F20"/>
          <w:w w:val="105"/>
        </w:rPr>
        <w:t>se</w:t>
      </w:r>
      <w:r>
        <w:rPr>
          <w:color w:val="231F20"/>
          <w:spacing w:val="-10"/>
          <w:w w:val="105"/>
        </w:rPr>
        <w:t> </w:t>
      </w:r>
      <w:r>
        <w:rPr>
          <w:color w:val="231F20"/>
          <w:w w:val="105"/>
        </w:rPr>
        <w:t>encuentra</w:t>
      </w:r>
      <w:r>
        <w:rPr>
          <w:color w:val="231F20"/>
          <w:spacing w:val="-10"/>
          <w:w w:val="105"/>
        </w:rPr>
        <w:t> </w:t>
      </w:r>
      <w:r>
        <w:rPr>
          <w:color w:val="231F20"/>
          <w:w w:val="105"/>
        </w:rPr>
        <w:t>la</w:t>
      </w:r>
      <w:r>
        <w:rPr>
          <w:color w:val="231F20"/>
          <w:spacing w:val="-10"/>
          <w:w w:val="105"/>
        </w:rPr>
        <w:t> </w:t>
      </w:r>
      <w:r>
        <w:rPr>
          <w:color w:val="231F20"/>
          <w:w w:val="105"/>
        </w:rPr>
        <w:t>presencia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comunidad</w:t>
      </w:r>
      <w:r>
        <w:rPr>
          <w:color w:val="231F20"/>
          <w:spacing w:val="-10"/>
          <w:w w:val="105"/>
        </w:rPr>
        <w:t> </w:t>
      </w:r>
      <w:r>
        <w:rPr>
          <w:color w:val="231F20"/>
          <w:w w:val="105"/>
        </w:rPr>
        <w:t>internacional que</w:t>
      </w:r>
      <w:r>
        <w:rPr>
          <w:color w:val="231F20"/>
          <w:spacing w:val="-10"/>
          <w:w w:val="105"/>
        </w:rPr>
        <w:t> </w:t>
      </w:r>
      <w:r>
        <w:rPr>
          <w:color w:val="231F20"/>
          <w:w w:val="105"/>
        </w:rPr>
        <w:t>generalmente</w:t>
      </w:r>
      <w:r>
        <w:rPr>
          <w:color w:val="231F20"/>
          <w:spacing w:val="-10"/>
          <w:w w:val="105"/>
        </w:rPr>
        <w:t> </w:t>
      </w:r>
      <w:r>
        <w:rPr>
          <w:color w:val="231F20"/>
          <w:w w:val="105"/>
        </w:rPr>
        <w:t>tiende</w:t>
      </w:r>
      <w:r>
        <w:rPr>
          <w:color w:val="231F20"/>
          <w:spacing w:val="-10"/>
          <w:w w:val="105"/>
        </w:rPr>
        <w:t> </w:t>
      </w:r>
      <w:r>
        <w:rPr>
          <w:color w:val="231F20"/>
          <w:w w:val="105"/>
        </w:rPr>
        <w:t>a</w:t>
      </w:r>
      <w:r>
        <w:rPr>
          <w:color w:val="231F20"/>
          <w:spacing w:val="-10"/>
          <w:w w:val="105"/>
        </w:rPr>
        <w:t> </w:t>
      </w:r>
      <w:r>
        <w:rPr>
          <w:color w:val="231F20"/>
          <w:w w:val="105"/>
        </w:rPr>
        <w:t>colocarse</w:t>
      </w:r>
      <w:r>
        <w:rPr>
          <w:color w:val="231F20"/>
          <w:spacing w:val="-10"/>
          <w:w w:val="105"/>
        </w:rPr>
        <w:t> </w:t>
      </w:r>
      <w:r>
        <w:rPr>
          <w:color w:val="231F20"/>
          <w:w w:val="105"/>
        </w:rPr>
        <w:t>del</w:t>
      </w:r>
      <w:r>
        <w:rPr>
          <w:color w:val="231F20"/>
          <w:spacing w:val="-10"/>
          <w:w w:val="105"/>
        </w:rPr>
        <w:t> </w:t>
      </w:r>
      <w:r>
        <w:rPr>
          <w:color w:val="231F20"/>
          <w:w w:val="105"/>
        </w:rPr>
        <w:t>lado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migrantes.</w:t>
      </w:r>
      <w:r>
        <w:rPr>
          <w:color w:val="231F20"/>
          <w:spacing w:val="-15"/>
          <w:w w:val="105"/>
        </w:rPr>
        <w:t> </w:t>
      </w:r>
      <w:r>
        <w:rPr>
          <w:color w:val="231F20"/>
          <w:w w:val="105"/>
        </w:rPr>
        <w:t>No</w:t>
      </w:r>
      <w:r>
        <w:rPr>
          <w:color w:val="231F20"/>
          <w:spacing w:val="-10"/>
          <w:w w:val="105"/>
        </w:rPr>
        <w:t> </w:t>
      </w:r>
      <w:r>
        <w:rPr>
          <w:color w:val="231F20"/>
          <w:w w:val="105"/>
        </w:rPr>
        <w:t>obs- tante,</w:t>
      </w:r>
      <w:r>
        <w:rPr>
          <w:color w:val="231F20"/>
          <w:spacing w:val="-26"/>
          <w:w w:val="105"/>
        </w:rPr>
        <w:t> </w:t>
      </w:r>
      <w:r>
        <w:rPr>
          <w:color w:val="231F20"/>
          <w:w w:val="105"/>
        </w:rPr>
        <w:t>la</w:t>
      </w:r>
      <w:r>
        <w:rPr>
          <w:color w:val="231F20"/>
          <w:spacing w:val="-21"/>
          <w:w w:val="105"/>
        </w:rPr>
        <w:t> </w:t>
      </w:r>
      <w:r>
        <w:rPr>
          <w:color w:val="231F20"/>
          <w:w w:val="105"/>
        </w:rPr>
        <w:t>legislación</w:t>
      </w:r>
      <w:r>
        <w:rPr>
          <w:color w:val="231F20"/>
          <w:spacing w:val="-21"/>
          <w:w w:val="105"/>
        </w:rPr>
        <w:t> </w:t>
      </w:r>
      <w:r>
        <w:rPr>
          <w:color w:val="231F20"/>
          <w:w w:val="105"/>
        </w:rPr>
        <w:t>internacional</w:t>
      </w:r>
      <w:r>
        <w:rPr>
          <w:color w:val="231F20"/>
          <w:spacing w:val="-21"/>
          <w:w w:val="105"/>
        </w:rPr>
        <w:t> </w:t>
      </w:r>
      <w:r>
        <w:rPr>
          <w:color w:val="231F20"/>
          <w:w w:val="105"/>
        </w:rPr>
        <w:t>sobre</w:t>
      </w:r>
      <w:r>
        <w:rPr>
          <w:color w:val="231F20"/>
          <w:spacing w:val="-21"/>
          <w:w w:val="105"/>
        </w:rPr>
        <w:t> </w:t>
      </w:r>
      <w:r>
        <w:rPr>
          <w:color w:val="231F20"/>
          <w:w w:val="105"/>
        </w:rPr>
        <w:t>la</w:t>
      </w:r>
      <w:r>
        <w:rPr>
          <w:color w:val="231F20"/>
          <w:spacing w:val="-21"/>
          <w:w w:val="105"/>
        </w:rPr>
        <w:t> </w:t>
      </w:r>
      <w:r>
        <w:rPr>
          <w:color w:val="231F20"/>
          <w:w w:val="105"/>
        </w:rPr>
        <w:t>protección</w:t>
      </w:r>
      <w:r>
        <w:rPr>
          <w:color w:val="231F20"/>
          <w:spacing w:val="-21"/>
          <w:w w:val="105"/>
        </w:rPr>
        <w:t> </w:t>
      </w:r>
      <w:r>
        <w:rPr>
          <w:color w:val="231F20"/>
          <w:w w:val="105"/>
        </w:rPr>
        <w:t>y</w:t>
      </w:r>
      <w:r>
        <w:rPr>
          <w:color w:val="231F20"/>
          <w:spacing w:val="-21"/>
          <w:w w:val="105"/>
        </w:rPr>
        <w:t> </w:t>
      </w:r>
      <w:r>
        <w:rPr>
          <w:color w:val="231F20"/>
          <w:w w:val="105"/>
        </w:rPr>
        <w:t>defensa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de- rechos</w:t>
      </w:r>
      <w:r>
        <w:rPr>
          <w:color w:val="231F20"/>
          <w:spacing w:val="-34"/>
          <w:w w:val="105"/>
        </w:rPr>
        <w:t> </w:t>
      </w:r>
      <w:r>
        <w:rPr>
          <w:color w:val="231F20"/>
          <w:w w:val="105"/>
        </w:rPr>
        <w:t>humanos</w:t>
      </w:r>
      <w:r>
        <w:rPr>
          <w:color w:val="231F20"/>
          <w:spacing w:val="-9"/>
          <w:w w:val="105"/>
        </w:rPr>
        <w:t> </w:t>
      </w:r>
      <w:r>
        <w:rPr>
          <w:color w:val="231F20"/>
          <w:w w:val="105"/>
        </w:rPr>
        <w:t>muchas</w:t>
      </w:r>
      <w:r>
        <w:rPr>
          <w:color w:val="231F20"/>
          <w:spacing w:val="-34"/>
          <w:w w:val="105"/>
        </w:rPr>
        <w:t> </w:t>
      </w:r>
      <w:r>
        <w:rPr>
          <w:color w:val="231F20"/>
          <w:w w:val="105"/>
        </w:rPr>
        <w:t>veces</w:t>
      </w:r>
      <w:r>
        <w:rPr>
          <w:color w:val="231F20"/>
          <w:spacing w:val="-34"/>
          <w:w w:val="105"/>
        </w:rPr>
        <w:t> </w:t>
      </w:r>
      <w:r>
        <w:rPr>
          <w:color w:val="231F20"/>
          <w:w w:val="105"/>
        </w:rPr>
        <w:t>se</w:t>
      </w:r>
      <w:r>
        <w:rPr>
          <w:color w:val="231F20"/>
          <w:spacing w:val="-34"/>
          <w:w w:val="105"/>
        </w:rPr>
        <w:t> </w:t>
      </w:r>
      <w:r>
        <w:rPr>
          <w:color w:val="231F20"/>
          <w:w w:val="105"/>
        </w:rPr>
        <w:t>subordina</w:t>
      </w:r>
      <w:r>
        <w:rPr>
          <w:color w:val="231F20"/>
          <w:spacing w:val="-34"/>
          <w:w w:val="105"/>
        </w:rPr>
        <w:t> </w:t>
      </w:r>
      <w:r>
        <w:rPr>
          <w:color w:val="231F20"/>
          <w:w w:val="105"/>
        </w:rPr>
        <w:t>a</w:t>
      </w:r>
      <w:r>
        <w:rPr>
          <w:color w:val="231F20"/>
          <w:spacing w:val="-34"/>
          <w:w w:val="105"/>
        </w:rPr>
        <w:t> </w:t>
      </w:r>
      <w:r>
        <w:rPr>
          <w:color w:val="231F20"/>
          <w:w w:val="105"/>
        </w:rPr>
        <w:t>los</w:t>
      </w:r>
      <w:r>
        <w:rPr>
          <w:color w:val="231F20"/>
          <w:spacing w:val="-34"/>
          <w:w w:val="105"/>
        </w:rPr>
        <w:t> </w:t>
      </w:r>
      <w:r>
        <w:rPr>
          <w:color w:val="231F20"/>
          <w:w w:val="105"/>
        </w:rPr>
        <w:t>estados</w:t>
      </w:r>
      <w:r>
        <w:rPr>
          <w:color w:val="231F20"/>
          <w:spacing w:val="-34"/>
          <w:w w:val="105"/>
        </w:rPr>
        <w:t> </w:t>
      </w:r>
      <w:r>
        <w:rPr>
          <w:color w:val="231F20"/>
          <w:w w:val="105"/>
        </w:rPr>
        <w:t>hegemónicos, destino</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migrantes</w:t>
      </w:r>
      <w:r>
        <w:rPr>
          <w:color w:val="231F20"/>
          <w:spacing w:val="-24"/>
          <w:w w:val="105"/>
        </w:rPr>
        <w:t> </w:t>
      </w:r>
      <w:r>
        <w:rPr>
          <w:color w:val="231F20"/>
          <w:w w:val="105"/>
        </w:rPr>
        <w:t>irregulares</w:t>
      </w:r>
      <w:r>
        <w:rPr>
          <w:color w:val="231F20"/>
          <w:spacing w:val="-24"/>
          <w:w w:val="105"/>
        </w:rPr>
        <w:t> </w:t>
      </w:r>
      <w:r>
        <w:rPr>
          <w:color w:val="231F20"/>
          <w:w w:val="105"/>
        </w:rPr>
        <w:t>(García</w:t>
      </w:r>
      <w:r>
        <w:rPr>
          <w:color w:val="231F20"/>
          <w:spacing w:val="-24"/>
          <w:w w:val="105"/>
        </w:rPr>
        <w:t> </w:t>
      </w:r>
      <w:r>
        <w:rPr>
          <w:color w:val="231F20"/>
          <w:w w:val="105"/>
        </w:rPr>
        <w:t>y</w:t>
      </w:r>
      <w:r>
        <w:rPr>
          <w:color w:val="231F20"/>
          <w:spacing w:val="-28"/>
          <w:w w:val="105"/>
        </w:rPr>
        <w:t> </w:t>
      </w:r>
      <w:r>
        <w:rPr>
          <w:color w:val="231F20"/>
          <w:spacing w:val="-3"/>
          <w:w w:val="105"/>
        </w:rPr>
        <w:t>Tarrios,</w:t>
      </w:r>
      <w:r>
        <w:rPr>
          <w:color w:val="231F20"/>
          <w:spacing w:val="-28"/>
          <w:w w:val="105"/>
        </w:rPr>
        <w:t> </w:t>
      </w:r>
      <w:r>
        <w:rPr>
          <w:color w:val="231F20"/>
          <w:w w:val="105"/>
        </w:rPr>
        <w:t>2008).</w:t>
      </w:r>
    </w:p>
    <w:p>
      <w:pPr>
        <w:pStyle w:val="BodyText"/>
        <w:rPr>
          <w:sz w:val="20"/>
        </w:rPr>
      </w:pPr>
    </w:p>
    <w:p>
      <w:pPr>
        <w:pStyle w:val="BodyText"/>
        <w:spacing w:before="9"/>
        <w:rPr>
          <w:sz w:val="20"/>
        </w:rPr>
      </w:pPr>
    </w:p>
    <w:p>
      <w:pPr>
        <w:pStyle w:val="Heading3"/>
      </w:pPr>
      <w:r>
        <w:rPr>
          <w:color w:val="231F20"/>
        </w:rPr>
        <w:t>Marco legal e institucional de apoyo a migrantes en México</w:t>
      </w:r>
    </w:p>
    <w:p>
      <w:pPr>
        <w:pStyle w:val="BodyText"/>
        <w:rPr>
          <w:rFonts w:ascii="Arial"/>
          <w:b/>
          <w:sz w:val="22"/>
        </w:rPr>
      </w:pPr>
    </w:p>
    <w:p>
      <w:pPr>
        <w:pStyle w:val="BodyText"/>
        <w:spacing w:line="261" w:lineRule="auto" w:before="163"/>
        <w:ind w:left="1837" w:right="1721"/>
        <w:jc w:val="both"/>
      </w:pPr>
      <w:r>
        <w:rPr>
          <w:color w:val="231F20"/>
          <w:w w:val="105"/>
        </w:rPr>
        <w:t>En</w:t>
      </w:r>
      <w:r>
        <w:rPr>
          <w:color w:val="231F20"/>
          <w:spacing w:val="-22"/>
          <w:w w:val="105"/>
        </w:rPr>
        <w:t> </w:t>
      </w:r>
      <w:r>
        <w:rPr>
          <w:color w:val="231F20"/>
          <w:w w:val="105"/>
        </w:rPr>
        <w:t>esta</w:t>
      </w:r>
      <w:r>
        <w:rPr>
          <w:color w:val="231F20"/>
          <w:spacing w:val="-22"/>
          <w:w w:val="105"/>
        </w:rPr>
        <w:t> </w:t>
      </w:r>
      <w:r>
        <w:rPr>
          <w:color w:val="231F20"/>
          <w:w w:val="105"/>
        </w:rPr>
        <w:t>lógica</w:t>
      </w:r>
      <w:r>
        <w:rPr>
          <w:color w:val="231F20"/>
          <w:spacing w:val="-22"/>
          <w:w w:val="105"/>
        </w:rPr>
        <w:t> </w:t>
      </w:r>
      <w:r>
        <w:rPr>
          <w:color w:val="231F20"/>
          <w:w w:val="105"/>
        </w:rPr>
        <w:t>de</w:t>
      </w:r>
      <w:r>
        <w:rPr>
          <w:color w:val="231F20"/>
          <w:spacing w:val="-22"/>
          <w:w w:val="105"/>
        </w:rPr>
        <w:t> </w:t>
      </w:r>
      <w:r>
        <w:rPr>
          <w:color w:val="231F20"/>
          <w:w w:val="105"/>
        </w:rPr>
        <w:t>argumentación</w:t>
      </w:r>
      <w:r>
        <w:rPr>
          <w:color w:val="231F20"/>
          <w:spacing w:val="-22"/>
          <w:w w:val="105"/>
        </w:rPr>
        <w:t> </w:t>
      </w:r>
      <w:r>
        <w:rPr>
          <w:color w:val="231F20"/>
          <w:w w:val="105"/>
        </w:rPr>
        <w:t>es</w:t>
      </w:r>
      <w:r>
        <w:rPr>
          <w:color w:val="231F20"/>
          <w:spacing w:val="-22"/>
          <w:w w:val="105"/>
        </w:rPr>
        <w:t> </w:t>
      </w:r>
      <w:r>
        <w:rPr>
          <w:color w:val="231F20"/>
          <w:w w:val="105"/>
        </w:rPr>
        <w:t>claro</w:t>
      </w:r>
      <w:r>
        <w:rPr>
          <w:color w:val="231F20"/>
          <w:spacing w:val="-22"/>
          <w:w w:val="105"/>
        </w:rPr>
        <w:t> </w:t>
      </w:r>
      <w:r>
        <w:rPr>
          <w:color w:val="231F20"/>
          <w:w w:val="105"/>
        </w:rPr>
        <w:t>que</w:t>
      </w:r>
      <w:r>
        <w:rPr>
          <w:color w:val="231F20"/>
          <w:spacing w:val="-22"/>
          <w:w w:val="105"/>
        </w:rPr>
        <w:t> </w:t>
      </w:r>
      <w:r>
        <w:rPr>
          <w:color w:val="231F20"/>
          <w:w w:val="105"/>
        </w:rPr>
        <w:t>los</w:t>
      </w:r>
      <w:r>
        <w:rPr>
          <w:color w:val="231F20"/>
          <w:spacing w:val="-22"/>
          <w:w w:val="105"/>
        </w:rPr>
        <w:t> </w:t>
      </w:r>
      <w:r>
        <w:rPr>
          <w:color w:val="231F20"/>
          <w:w w:val="105"/>
        </w:rPr>
        <w:t>derechos</w:t>
      </w:r>
      <w:r>
        <w:rPr>
          <w:color w:val="231F20"/>
          <w:spacing w:val="-22"/>
          <w:w w:val="105"/>
        </w:rPr>
        <w:t> </w:t>
      </w:r>
      <w:r>
        <w:rPr>
          <w:color w:val="231F20"/>
          <w:w w:val="105"/>
        </w:rPr>
        <w:t>humanos</w:t>
      </w:r>
      <w:r>
        <w:rPr>
          <w:color w:val="231F20"/>
          <w:spacing w:val="-22"/>
          <w:w w:val="105"/>
        </w:rPr>
        <w:t> </w:t>
      </w:r>
      <w:r>
        <w:rPr>
          <w:color w:val="231F20"/>
          <w:w w:val="105"/>
        </w:rPr>
        <w:t>son universales adquieren e imperan más allá de las fronteras político-ad- ministrativas. Como apunta Valdez y Rodríguez (2015), sin importar su origen, el cuerpo jurídico que regula los derechos humanos de los mi- grantes ya no posee frontera de origen o aplicación por competencia territorial;</w:t>
      </w:r>
      <w:r>
        <w:rPr>
          <w:color w:val="231F20"/>
          <w:spacing w:val="-9"/>
          <w:w w:val="105"/>
        </w:rPr>
        <w:t> </w:t>
      </w:r>
      <w:r>
        <w:rPr>
          <w:color w:val="231F20"/>
          <w:w w:val="105"/>
        </w:rPr>
        <w:t>es</w:t>
      </w:r>
      <w:r>
        <w:rPr>
          <w:color w:val="231F20"/>
          <w:spacing w:val="-9"/>
          <w:w w:val="105"/>
        </w:rPr>
        <w:t> </w:t>
      </w:r>
      <w:r>
        <w:rPr>
          <w:color w:val="231F20"/>
          <w:w w:val="105"/>
        </w:rPr>
        <w:t>decir,</w:t>
      </w:r>
      <w:r>
        <w:rPr>
          <w:color w:val="231F20"/>
          <w:spacing w:val="-15"/>
          <w:w w:val="105"/>
        </w:rPr>
        <w:t> </w:t>
      </w:r>
      <w:r>
        <w:rPr>
          <w:color w:val="231F20"/>
          <w:w w:val="105"/>
        </w:rPr>
        <w:t>simple</w:t>
      </w:r>
      <w:r>
        <w:rPr>
          <w:color w:val="231F20"/>
          <w:spacing w:val="-9"/>
          <w:w w:val="105"/>
        </w:rPr>
        <w:t> </w:t>
      </w:r>
      <w:r>
        <w:rPr>
          <w:color w:val="231F20"/>
          <w:w w:val="105"/>
        </w:rPr>
        <w:t>y</w:t>
      </w:r>
      <w:r>
        <w:rPr>
          <w:color w:val="231F20"/>
          <w:spacing w:val="-9"/>
          <w:w w:val="105"/>
        </w:rPr>
        <w:t> </w:t>
      </w:r>
      <w:r>
        <w:rPr>
          <w:color w:val="231F20"/>
          <w:w w:val="105"/>
        </w:rPr>
        <w:t>sencillamente</w:t>
      </w:r>
      <w:r>
        <w:rPr>
          <w:color w:val="231F20"/>
          <w:spacing w:val="-9"/>
          <w:w w:val="105"/>
        </w:rPr>
        <w:t> </w:t>
      </w:r>
      <w:r>
        <w:rPr>
          <w:color w:val="231F20"/>
          <w:w w:val="105"/>
        </w:rPr>
        <w:t>los</w:t>
      </w:r>
      <w:r>
        <w:rPr>
          <w:color w:val="231F20"/>
          <w:spacing w:val="-9"/>
          <w:w w:val="105"/>
        </w:rPr>
        <w:t> </w:t>
      </w:r>
      <w:r>
        <w:rPr>
          <w:color w:val="231F20"/>
          <w:w w:val="105"/>
        </w:rPr>
        <w:t>derechos</w:t>
      </w:r>
      <w:r>
        <w:rPr>
          <w:color w:val="231F20"/>
          <w:spacing w:val="-9"/>
          <w:w w:val="105"/>
        </w:rPr>
        <w:t> </w:t>
      </w:r>
      <w:r>
        <w:rPr>
          <w:color w:val="231F20"/>
          <w:w w:val="105"/>
        </w:rPr>
        <w:t>humanos</w:t>
      </w:r>
      <w:r>
        <w:rPr>
          <w:color w:val="231F20"/>
          <w:spacing w:val="-9"/>
          <w:w w:val="105"/>
        </w:rPr>
        <w:t> </w:t>
      </w:r>
      <w:r>
        <w:rPr>
          <w:color w:val="231F20"/>
          <w:w w:val="105"/>
        </w:rPr>
        <w:t>de</w:t>
      </w:r>
      <w:r>
        <w:rPr>
          <w:color w:val="231F20"/>
          <w:spacing w:val="-9"/>
          <w:w w:val="105"/>
        </w:rPr>
        <w:t> </w:t>
      </w:r>
      <w:r>
        <w:rPr>
          <w:color w:val="231F20"/>
          <w:w w:val="105"/>
        </w:rPr>
        <w:t>los migrantes</w:t>
      </w:r>
      <w:r>
        <w:rPr>
          <w:color w:val="231F20"/>
          <w:spacing w:val="-7"/>
          <w:w w:val="105"/>
        </w:rPr>
        <w:t> </w:t>
      </w:r>
      <w:r>
        <w:rPr>
          <w:color w:val="231F20"/>
          <w:w w:val="105"/>
        </w:rPr>
        <w:t>son</w:t>
      </w:r>
      <w:r>
        <w:rPr>
          <w:color w:val="231F20"/>
          <w:spacing w:val="-7"/>
          <w:w w:val="105"/>
        </w:rPr>
        <w:t> </w:t>
      </w:r>
      <w:r>
        <w:rPr>
          <w:color w:val="231F20"/>
          <w:w w:val="105"/>
        </w:rPr>
        <w:t>válidos</w:t>
      </w:r>
      <w:r>
        <w:rPr>
          <w:color w:val="231F20"/>
          <w:spacing w:val="-7"/>
          <w:w w:val="105"/>
        </w:rPr>
        <w:t> </w:t>
      </w:r>
      <w:r>
        <w:rPr>
          <w:color w:val="231F20"/>
          <w:w w:val="105"/>
        </w:rPr>
        <w:t>durante</w:t>
      </w:r>
      <w:r>
        <w:rPr>
          <w:color w:val="231F20"/>
          <w:spacing w:val="-7"/>
          <w:w w:val="105"/>
        </w:rPr>
        <w:t> </w:t>
      </w:r>
      <w:r>
        <w:rPr>
          <w:color w:val="231F20"/>
          <w:w w:val="105"/>
        </w:rPr>
        <w:t>su</w:t>
      </w:r>
      <w:r>
        <w:rPr>
          <w:color w:val="231F20"/>
          <w:spacing w:val="-7"/>
          <w:w w:val="105"/>
        </w:rPr>
        <w:t> </w:t>
      </w:r>
      <w:r>
        <w:rPr>
          <w:color w:val="231F20"/>
          <w:w w:val="105"/>
        </w:rPr>
        <w:t>movilidad:</w:t>
      </w:r>
      <w:r>
        <w:rPr>
          <w:color w:val="231F20"/>
          <w:spacing w:val="-7"/>
          <w:w w:val="105"/>
        </w:rPr>
        <w:t> </w:t>
      </w:r>
      <w:r>
        <w:rPr>
          <w:color w:val="231F20"/>
          <w:w w:val="105"/>
        </w:rPr>
        <w:t>en</w:t>
      </w:r>
      <w:r>
        <w:rPr>
          <w:color w:val="231F20"/>
          <w:spacing w:val="-7"/>
          <w:w w:val="105"/>
        </w:rPr>
        <w:t> </w:t>
      </w:r>
      <w:r>
        <w:rPr>
          <w:color w:val="231F20"/>
          <w:w w:val="105"/>
        </w:rPr>
        <w:t>un</w:t>
      </w:r>
      <w:r>
        <w:rPr>
          <w:color w:val="231F20"/>
          <w:spacing w:val="-7"/>
          <w:w w:val="105"/>
        </w:rPr>
        <w:t> </w:t>
      </w:r>
      <w:r>
        <w:rPr>
          <w:color w:val="231F20"/>
          <w:w w:val="105"/>
        </w:rPr>
        <w:t>recorrido</w:t>
      </w:r>
      <w:r>
        <w:rPr>
          <w:color w:val="231F20"/>
          <w:spacing w:val="-7"/>
          <w:w w:val="105"/>
        </w:rPr>
        <w:t> </w:t>
      </w:r>
      <w:r>
        <w:rPr>
          <w:color w:val="231F20"/>
          <w:w w:val="105"/>
        </w:rPr>
        <w:t>el</w:t>
      </w:r>
      <w:r>
        <w:rPr>
          <w:color w:val="231F20"/>
          <w:spacing w:val="-7"/>
          <w:w w:val="105"/>
        </w:rPr>
        <w:t> </w:t>
      </w:r>
      <w:r>
        <w:rPr>
          <w:color w:val="231F20"/>
          <w:w w:val="105"/>
        </w:rPr>
        <w:t>migrante debe</w:t>
      </w:r>
      <w:r>
        <w:rPr>
          <w:color w:val="231F20"/>
          <w:spacing w:val="-7"/>
          <w:w w:val="105"/>
        </w:rPr>
        <w:t> </w:t>
      </w:r>
      <w:r>
        <w:rPr>
          <w:color w:val="231F20"/>
          <w:w w:val="105"/>
        </w:rPr>
        <w:t>y</w:t>
      </w:r>
      <w:r>
        <w:rPr>
          <w:color w:val="231F20"/>
          <w:spacing w:val="-7"/>
          <w:w w:val="105"/>
        </w:rPr>
        <w:t> </w:t>
      </w:r>
      <w:r>
        <w:rPr>
          <w:color w:val="231F20"/>
          <w:w w:val="105"/>
        </w:rPr>
        <w:t>tiene</w:t>
      </w:r>
      <w:r>
        <w:rPr>
          <w:color w:val="231F20"/>
          <w:spacing w:val="-7"/>
          <w:w w:val="105"/>
        </w:rPr>
        <w:t> </w:t>
      </w:r>
      <w:r>
        <w:rPr>
          <w:color w:val="231F20"/>
          <w:w w:val="105"/>
        </w:rPr>
        <w:t>aparejado</w:t>
      </w:r>
      <w:r>
        <w:rPr>
          <w:color w:val="231F20"/>
          <w:spacing w:val="-7"/>
          <w:w w:val="105"/>
        </w:rPr>
        <w:t> </w:t>
      </w:r>
      <w:r>
        <w:rPr>
          <w:color w:val="231F20"/>
          <w:w w:val="105"/>
        </w:rPr>
        <w:t>el</w:t>
      </w:r>
      <w:r>
        <w:rPr>
          <w:color w:val="231F20"/>
          <w:spacing w:val="-7"/>
          <w:w w:val="105"/>
        </w:rPr>
        <w:t> </w:t>
      </w:r>
      <w:r>
        <w:rPr>
          <w:color w:val="231F20"/>
          <w:w w:val="105"/>
        </w:rPr>
        <w:t>irrestricto</w:t>
      </w:r>
      <w:r>
        <w:rPr>
          <w:color w:val="231F20"/>
          <w:spacing w:val="-7"/>
          <w:w w:val="105"/>
        </w:rPr>
        <w:t> </w:t>
      </w:r>
      <w:r>
        <w:rPr>
          <w:color w:val="231F20"/>
          <w:w w:val="105"/>
        </w:rPr>
        <w:t>respeto</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dignidad</w:t>
      </w:r>
      <w:r>
        <w:rPr>
          <w:color w:val="231F20"/>
          <w:spacing w:val="-7"/>
          <w:w w:val="105"/>
        </w:rPr>
        <w:t> </w:t>
      </w:r>
      <w:r>
        <w:rPr>
          <w:color w:val="231F20"/>
          <w:w w:val="105"/>
        </w:rPr>
        <w:t>humana.</w:t>
      </w:r>
    </w:p>
    <w:p>
      <w:pPr>
        <w:pStyle w:val="BodyText"/>
        <w:spacing w:line="261" w:lineRule="auto" w:before="1"/>
        <w:ind w:left="1837" w:right="1721" w:firstLine="567"/>
        <w:jc w:val="both"/>
      </w:pPr>
      <w:r>
        <w:rPr>
          <w:color w:val="231F20"/>
          <w:w w:val="105"/>
        </w:rPr>
        <w:t>En este sentido, México forma parte de la Convención</w:t>
      </w:r>
      <w:r>
        <w:rPr>
          <w:color w:val="231F20"/>
          <w:spacing w:val="-33"/>
          <w:w w:val="105"/>
        </w:rPr>
        <w:t> </w:t>
      </w:r>
      <w:r>
        <w:rPr>
          <w:color w:val="231F20"/>
          <w:w w:val="105"/>
        </w:rPr>
        <w:t>Internacio- nal</w:t>
      </w:r>
      <w:r>
        <w:rPr>
          <w:color w:val="231F20"/>
          <w:spacing w:val="-25"/>
          <w:w w:val="105"/>
        </w:rPr>
        <w:t> </w:t>
      </w:r>
      <w:r>
        <w:rPr>
          <w:color w:val="231F20"/>
          <w:w w:val="105"/>
        </w:rPr>
        <w:t>sobre</w:t>
      </w:r>
      <w:r>
        <w:rPr>
          <w:color w:val="231F20"/>
          <w:spacing w:val="-25"/>
          <w:w w:val="105"/>
        </w:rPr>
        <w:t> </w:t>
      </w:r>
      <w:r>
        <w:rPr>
          <w:color w:val="231F20"/>
          <w:w w:val="105"/>
        </w:rPr>
        <w:t>la</w:t>
      </w:r>
      <w:r>
        <w:rPr>
          <w:color w:val="231F20"/>
          <w:spacing w:val="-25"/>
          <w:w w:val="105"/>
        </w:rPr>
        <w:t> </w:t>
      </w:r>
      <w:r>
        <w:rPr>
          <w:color w:val="231F20"/>
          <w:w w:val="105"/>
        </w:rPr>
        <w:t>Protección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Derechos</w:t>
      </w:r>
      <w:r>
        <w:rPr>
          <w:color w:val="231F20"/>
          <w:spacing w:val="-25"/>
          <w:w w:val="105"/>
        </w:rPr>
        <w:t> </w:t>
      </w:r>
      <w:r>
        <w:rPr>
          <w:color w:val="231F20"/>
          <w:w w:val="105"/>
        </w:rPr>
        <w:t>de</w:t>
      </w:r>
      <w:r>
        <w:rPr>
          <w:color w:val="231F20"/>
          <w:spacing w:val="-29"/>
          <w:w w:val="105"/>
        </w:rPr>
        <w:t> </w:t>
      </w:r>
      <w:r>
        <w:rPr>
          <w:color w:val="231F20"/>
          <w:spacing w:val="-5"/>
          <w:w w:val="105"/>
        </w:rPr>
        <w:t>Todos</w:t>
      </w:r>
      <w:r>
        <w:rPr>
          <w:color w:val="231F20"/>
          <w:spacing w:val="-25"/>
          <w:w w:val="105"/>
        </w:rPr>
        <w:t> </w:t>
      </w:r>
      <w:r>
        <w:rPr>
          <w:color w:val="231F20"/>
          <w:w w:val="105"/>
        </w:rPr>
        <w:t>los</w:t>
      </w:r>
      <w:r>
        <w:rPr>
          <w:color w:val="231F20"/>
          <w:spacing w:val="-29"/>
          <w:w w:val="105"/>
        </w:rPr>
        <w:t> </w:t>
      </w:r>
      <w:r>
        <w:rPr>
          <w:color w:val="231F20"/>
          <w:spacing w:val="-3"/>
          <w:w w:val="105"/>
        </w:rPr>
        <w:t>Trabajadores</w:t>
      </w:r>
      <w:r>
        <w:rPr>
          <w:color w:val="231F20"/>
          <w:spacing w:val="-25"/>
          <w:w w:val="105"/>
        </w:rPr>
        <w:t> </w:t>
      </w:r>
      <w:r>
        <w:rPr>
          <w:color w:val="231F20"/>
          <w:w w:val="105"/>
        </w:rPr>
        <w:t>Migra- torios</w:t>
      </w:r>
      <w:r>
        <w:rPr>
          <w:color w:val="231F20"/>
          <w:spacing w:val="-6"/>
          <w:w w:val="105"/>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sus</w:t>
      </w:r>
      <w:r>
        <w:rPr>
          <w:color w:val="231F20"/>
          <w:spacing w:val="-6"/>
          <w:w w:val="105"/>
        </w:rPr>
        <w:t> </w:t>
      </w:r>
      <w:r>
        <w:rPr>
          <w:color w:val="231F20"/>
          <w:w w:val="105"/>
        </w:rPr>
        <w:t>Familiares,</w:t>
      </w:r>
      <w:r>
        <w:rPr>
          <w:color w:val="231F20"/>
          <w:spacing w:val="-11"/>
          <w:w w:val="105"/>
        </w:rPr>
        <w:t> </w:t>
      </w:r>
      <w:r>
        <w:rPr>
          <w:color w:val="231F20"/>
          <w:w w:val="105"/>
        </w:rPr>
        <w:t>por</w:t>
      </w:r>
      <w:r>
        <w:rPr>
          <w:color w:val="231F20"/>
          <w:spacing w:val="-6"/>
          <w:w w:val="105"/>
        </w:rPr>
        <w:t> </w:t>
      </w:r>
      <w:r>
        <w:rPr>
          <w:color w:val="231F20"/>
          <w:w w:val="105"/>
        </w:rPr>
        <w:t>lo</w:t>
      </w:r>
      <w:r>
        <w:rPr>
          <w:color w:val="231F20"/>
          <w:spacing w:val="-6"/>
          <w:w w:val="105"/>
        </w:rPr>
        <w:t> </w:t>
      </w:r>
      <w:r>
        <w:rPr>
          <w:color w:val="231F20"/>
          <w:w w:val="105"/>
        </w:rPr>
        <w:t>cual,</w:t>
      </w:r>
      <w:r>
        <w:rPr>
          <w:color w:val="231F20"/>
          <w:spacing w:val="-11"/>
          <w:w w:val="105"/>
        </w:rPr>
        <w:t> </w:t>
      </w:r>
      <w:r>
        <w:rPr>
          <w:color w:val="231F20"/>
          <w:w w:val="105"/>
        </w:rPr>
        <w:t>como</w:t>
      </w:r>
      <w:r>
        <w:rPr>
          <w:color w:val="231F20"/>
          <w:spacing w:val="-6"/>
          <w:w w:val="105"/>
        </w:rPr>
        <w:t> </w:t>
      </w:r>
      <w:r>
        <w:rPr>
          <w:color w:val="231F20"/>
          <w:w w:val="105"/>
        </w:rPr>
        <w:t>país</w:t>
      </w:r>
      <w:r>
        <w:rPr>
          <w:color w:val="231F20"/>
          <w:spacing w:val="-6"/>
          <w:w w:val="105"/>
        </w:rPr>
        <w:t> </w:t>
      </w:r>
      <w:r>
        <w:rPr>
          <w:color w:val="231F20"/>
          <w:w w:val="105"/>
        </w:rPr>
        <w:t>firmante</w:t>
      </w:r>
      <w:r>
        <w:rPr>
          <w:color w:val="231F20"/>
          <w:spacing w:val="-6"/>
          <w:w w:val="105"/>
        </w:rPr>
        <w:t> </w:t>
      </w:r>
      <w:r>
        <w:rPr>
          <w:color w:val="231F20"/>
          <w:w w:val="105"/>
        </w:rPr>
        <w:t>de</w:t>
      </w:r>
      <w:r>
        <w:rPr>
          <w:color w:val="231F20"/>
          <w:spacing w:val="-6"/>
          <w:w w:val="105"/>
        </w:rPr>
        <w:t> </w:t>
      </w:r>
      <w:r>
        <w:rPr>
          <w:color w:val="231F20"/>
          <w:w w:val="105"/>
        </w:rPr>
        <w:t>dicho</w:t>
      </w:r>
      <w:r>
        <w:rPr>
          <w:color w:val="231F20"/>
          <w:spacing w:val="-6"/>
          <w:w w:val="105"/>
        </w:rPr>
        <w:t> </w:t>
      </w:r>
      <w:r>
        <w:rPr>
          <w:color w:val="231F20"/>
          <w:w w:val="105"/>
        </w:rPr>
        <w:t>con- venio,</w:t>
      </w:r>
      <w:r>
        <w:rPr>
          <w:color w:val="231F20"/>
          <w:spacing w:val="-28"/>
          <w:w w:val="105"/>
        </w:rPr>
        <w:t> </w:t>
      </w:r>
      <w:r>
        <w:rPr>
          <w:color w:val="231F20"/>
          <w:w w:val="105"/>
        </w:rPr>
        <w:t>está</w:t>
      </w:r>
      <w:r>
        <w:rPr>
          <w:color w:val="231F20"/>
          <w:spacing w:val="-22"/>
          <w:w w:val="105"/>
        </w:rPr>
        <w:t> </w:t>
      </w:r>
      <w:r>
        <w:rPr>
          <w:color w:val="231F20"/>
          <w:w w:val="105"/>
        </w:rPr>
        <w:t>comprometido</w:t>
      </w:r>
      <w:r>
        <w:rPr>
          <w:color w:val="231F20"/>
          <w:spacing w:val="-22"/>
          <w:w w:val="105"/>
        </w:rPr>
        <w:t> </w:t>
      </w:r>
      <w:r>
        <w:rPr>
          <w:color w:val="231F20"/>
          <w:w w:val="105"/>
        </w:rPr>
        <w:t>a</w:t>
      </w:r>
      <w:r>
        <w:rPr>
          <w:color w:val="231F20"/>
          <w:spacing w:val="-22"/>
          <w:w w:val="105"/>
        </w:rPr>
        <w:t> </w:t>
      </w:r>
      <w:r>
        <w:rPr>
          <w:color w:val="231F20"/>
          <w:w w:val="105"/>
        </w:rPr>
        <w:t>reconocer</w:t>
      </w:r>
      <w:r>
        <w:rPr>
          <w:color w:val="231F20"/>
          <w:spacing w:val="-22"/>
          <w:w w:val="105"/>
        </w:rPr>
        <w:t> </w:t>
      </w:r>
      <w:r>
        <w:rPr>
          <w:color w:val="231F20"/>
          <w:w w:val="105"/>
        </w:rPr>
        <w:t>y</w:t>
      </w:r>
      <w:r>
        <w:rPr>
          <w:color w:val="231F20"/>
          <w:spacing w:val="-22"/>
          <w:w w:val="105"/>
        </w:rPr>
        <w:t> </w:t>
      </w:r>
      <w:r>
        <w:rPr>
          <w:color w:val="231F20"/>
          <w:w w:val="105"/>
        </w:rPr>
        <w:t>defender</w:t>
      </w:r>
      <w:r>
        <w:rPr>
          <w:color w:val="231F20"/>
          <w:spacing w:val="-22"/>
          <w:w w:val="105"/>
        </w:rPr>
        <w:t> </w:t>
      </w:r>
      <w:r>
        <w:rPr>
          <w:color w:val="231F20"/>
          <w:w w:val="105"/>
        </w:rPr>
        <w:t>los</w:t>
      </w:r>
      <w:r>
        <w:rPr>
          <w:color w:val="231F20"/>
          <w:spacing w:val="-22"/>
          <w:w w:val="105"/>
        </w:rPr>
        <w:t> </w:t>
      </w:r>
      <w:r>
        <w:rPr>
          <w:color w:val="231F20"/>
          <w:w w:val="105"/>
        </w:rPr>
        <w:t>derechos</w:t>
      </w:r>
      <w:r>
        <w:rPr>
          <w:color w:val="231F20"/>
          <w:spacing w:val="-22"/>
          <w:w w:val="105"/>
        </w:rPr>
        <w:t> </w:t>
      </w:r>
      <w:r>
        <w:rPr>
          <w:color w:val="231F20"/>
          <w:w w:val="105"/>
        </w:rPr>
        <w:t>humanos de este grupo vulnerable en todo el mundo, así como a establecer los mecanismos</w:t>
      </w:r>
      <w:r>
        <w:rPr>
          <w:color w:val="231F20"/>
          <w:spacing w:val="-9"/>
          <w:w w:val="105"/>
        </w:rPr>
        <w:t> </w:t>
      </w:r>
      <w:r>
        <w:rPr>
          <w:color w:val="231F20"/>
          <w:w w:val="105"/>
        </w:rPr>
        <w:t>jurídicos</w:t>
      </w:r>
      <w:r>
        <w:rPr>
          <w:color w:val="231F20"/>
          <w:spacing w:val="-9"/>
          <w:w w:val="105"/>
        </w:rPr>
        <w:t> </w:t>
      </w:r>
      <w:r>
        <w:rPr>
          <w:color w:val="231F20"/>
          <w:w w:val="105"/>
        </w:rPr>
        <w:t>y</w:t>
      </w:r>
      <w:r>
        <w:rPr>
          <w:color w:val="231F20"/>
          <w:spacing w:val="-9"/>
          <w:w w:val="105"/>
        </w:rPr>
        <w:t> </w:t>
      </w:r>
      <w:r>
        <w:rPr>
          <w:color w:val="231F20"/>
          <w:w w:val="105"/>
        </w:rPr>
        <w:t>legales</w:t>
      </w:r>
      <w:r>
        <w:rPr>
          <w:color w:val="231F20"/>
          <w:spacing w:val="-9"/>
          <w:w w:val="105"/>
        </w:rPr>
        <w:t> </w:t>
      </w:r>
      <w:r>
        <w:rPr>
          <w:color w:val="231F20"/>
          <w:w w:val="105"/>
        </w:rPr>
        <w:t>apropiados</w:t>
      </w:r>
      <w:r>
        <w:rPr>
          <w:color w:val="231F20"/>
          <w:spacing w:val="-9"/>
          <w:w w:val="105"/>
        </w:rPr>
        <w:t> </w:t>
      </w:r>
      <w:r>
        <w:rPr>
          <w:color w:val="231F20"/>
          <w:w w:val="105"/>
        </w:rPr>
        <w:t>para</w:t>
      </w:r>
      <w:r>
        <w:rPr>
          <w:color w:val="231F20"/>
          <w:spacing w:val="-9"/>
          <w:w w:val="105"/>
        </w:rPr>
        <w:t> </w:t>
      </w:r>
      <w:r>
        <w:rPr>
          <w:color w:val="231F20"/>
          <w:w w:val="105"/>
        </w:rPr>
        <w:t>su</w:t>
      </w:r>
      <w:r>
        <w:rPr>
          <w:color w:val="231F20"/>
          <w:spacing w:val="-9"/>
          <w:w w:val="105"/>
        </w:rPr>
        <w:t> </w:t>
      </w:r>
      <w:r>
        <w:rPr>
          <w:color w:val="231F20"/>
          <w:w w:val="105"/>
        </w:rPr>
        <w:t>cumplimiento</w:t>
      </w:r>
      <w:r>
        <w:rPr>
          <w:color w:val="231F20"/>
          <w:spacing w:val="-9"/>
          <w:w w:val="105"/>
        </w:rPr>
        <w:t> </w:t>
      </w:r>
      <w:r>
        <w:rPr>
          <w:color w:val="231F20"/>
          <w:w w:val="105"/>
        </w:rPr>
        <w:t>en</w:t>
      </w:r>
      <w:r>
        <w:rPr>
          <w:color w:val="231F20"/>
          <w:spacing w:val="-9"/>
          <w:w w:val="105"/>
        </w:rPr>
        <w:t> </w:t>
      </w:r>
      <w:r>
        <w:rPr>
          <w:color w:val="231F20"/>
          <w:w w:val="105"/>
        </w:rPr>
        <w:t>las esferas nacional e internacional. Derivado de este acuerdo, y muchos otros establecidos en el contexto internacional, la mayoría de ellos</w:t>
      </w:r>
      <w:r>
        <w:rPr>
          <w:color w:val="231F20"/>
          <w:spacing w:val="-9"/>
          <w:w w:val="105"/>
        </w:rPr>
        <w:t> </w:t>
      </w:r>
      <w:r>
        <w:rPr>
          <w:color w:val="231F20"/>
          <w:w w:val="105"/>
        </w:rPr>
        <w:t>pro- movidos</w:t>
      </w:r>
      <w:r>
        <w:rPr>
          <w:color w:val="231F20"/>
          <w:spacing w:val="-21"/>
          <w:w w:val="105"/>
        </w:rPr>
        <w:t> </w:t>
      </w:r>
      <w:r>
        <w:rPr>
          <w:color w:val="231F20"/>
          <w:w w:val="105"/>
        </w:rPr>
        <w:t>por</w:t>
      </w:r>
      <w:r>
        <w:rPr>
          <w:color w:val="231F20"/>
          <w:spacing w:val="-21"/>
          <w:w w:val="105"/>
        </w:rPr>
        <w:t> </w:t>
      </w:r>
      <w:r>
        <w:rPr>
          <w:color w:val="231F20"/>
          <w:w w:val="105"/>
        </w:rPr>
        <w:t>la</w:t>
      </w:r>
      <w:r>
        <w:rPr>
          <w:color w:val="231F20"/>
          <w:spacing w:val="-21"/>
          <w:w w:val="105"/>
        </w:rPr>
        <w:t> </w:t>
      </w:r>
      <w:r>
        <w:rPr>
          <w:color w:val="231F20"/>
          <w:w w:val="105"/>
        </w:rPr>
        <w:t>Organización</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Naciones</w:t>
      </w:r>
      <w:r>
        <w:rPr>
          <w:color w:val="231F20"/>
          <w:spacing w:val="-21"/>
          <w:w w:val="105"/>
        </w:rPr>
        <w:t> </w:t>
      </w:r>
      <w:r>
        <w:rPr>
          <w:color w:val="231F20"/>
          <w:w w:val="105"/>
        </w:rPr>
        <w:t>Unidas</w:t>
      </w:r>
      <w:r>
        <w:rPr>
          <w:color w:val="231F20"/>
          <w:spacing w:val="-21"/>
          <w:w w:val="105"/>
        </w:rPr>
        <w:t> </w:t>
      </w:r>
      <w:r>
        <w:rPr>
          <w:color w:val="231F20"/>
          <w:w w:val="105"/>
        </w:rPr>
        <w:t>(</w:t>
      </w:r>
      <w:r>
        <w:rPr>
          <w:color w:val="231F20"/>
          <w:w w:val="105"/>
          <w:sz w:val="17"/>
        </w:rPr>
        <w:t>ONU</w:t>
      </w:r>
      <w:r>
        <w:rPr>
          <w:color w:val="231F20"/>
          <w:w w:val="105"/>
        </w:rPr>
        <w:t>),</w:t>
      </w:r>
      <w:r>
        <w:rPr>
          <w:color w:val="231F20"/>
          <w:spacing w:val="-25"/>
          <w:w w:val="105"/>
        </w:rPr>
        <w:t> </w:t>
      </w:r>
      <w:r>
        <w:rPr>
          <w:color w:val="231F20"/>
          <w:w w:val="105"/>
        </w:rPr>
        <w:t>se</w:t>
      </w:r>
      <w:r>
        <w:rPr>
          <w:color w:val="231F20"/>
          <w:spacing w:val="-21"/>
          <w:w w:val="105"/>
        </w:rPr>
        <w:t> </w:t>
      </w:r>
      <w:r>
        <w:rPr>
          <w:color w:val="231F20"/>
          <w:w w:val="105"/>
        </w:rPr>
        <w:t>establece un</w:t>
      </w:r>
      <w:r>
        <w:rPr>
          <w:color w:val="231F20"/>
          <w:spacing w:val="-18"/>
          <w:w w:val="105"/>
        </w:rPr>
        <w:t> </w:t>
      </w:r>
      <w:r>
        <w:rPr>
          <w:color w:val="231F20"/>
          <w:w w:val="105"/>
        </w:rPr>
        <w:t>sistema</w:t>
      </w:r>
      <w:r>
        <w:rPr>
          <w:color w:val="231F20"/>
          <w:spacing w:val="-18"/>
          <w:w w:val="105"/>
        </w:rPr>
        <w:t> </w:t>
      </w:r>
      <w:r>
        <w:rPr>
          <w:color w:val="231F20"/>
          <w:w w:val="105"/>
        </w:rPr>
        <w:t>universal</w:t>
      </w:r>
      <w:r>
        <w:rPr>
          <w:color w:val="231F20"/>
          <w:spacing w:val="-18"/>
          <w:w w:val="105"/>
        </w:rPr>
        <w:t> </w:t>
      </w:r>
      <w:r>
        <w:rPr>
          <w:color w:val="231F20"/>
          <w:w w:val="105"/>
        </w:rPr>
        <w:t>de</w:t>
      </w:r>
      <w:r>
        <w:rPr>
          <w:color w:val="231F20"/>
          <w:spacing w:val="-18"/>
          <w:w w:val="105"/>
        </w:rPr>
        <w:t> </w:t>
      </w:r>
      <w:r>
        <w:rPr>
          <w:color w:val="231F20"/>
          <w:w w:val="105"/>
        </w:rPr>
        <w:t>protección</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derechos</w:t>
      </w:r>
      <w:r>
        <w:rPr>
          <w:color w:val="231F20"/>
          <w:spacing w:val="-18"/>
          <w:w w:val="105"/>
        </w:rPr>
        <w:t> </w:t>
      </w:r>
      <w:r>
        <w:rPr>
          <w:color w:val="231F20"/>
          <w:w w:val="105"/>
        </w:rPr>
        <w:t>humanos.</w:t>
      </w:r>
    </w:p>
    <w:p>
      <w:pPr>
        <w:pStyle w:val="BodyText"/>
        <w:spacing w:line="261" w:lineRule="auto" w:before="1"/>
        <w:ind w:left="1837" w:right="1721" w:firstLine="567"/>
        <w:jc w:val="both"/>
      </w:pPr>
      <w:r>
        <w:rPr>
          <w:color w:val="231F20"/>
        </w:rPr>
        <w:t>A nivel internacional, el Estado mexicano cuenta con una robusta legislación y marco de políticas públicas de atención a migrantes. </w:t>
      </w:r>
      <w:r>
        <w:rPr>
          <w:color w:val="231F20"/>
          <w:spacing w:val="-6"/>
        </w:rPr>
        <w:t>Todo </w:t>
      </w:r>
      <w:r>
        <w:rPr>
          <w:color w:val="231F20"/>
        </w:rPr>
        <w:t>parte de la Constitución Política de los Estados Unidos Mexicanos, las leyes de migración, población y demás reglamentaciones específicas sobre la condición de la nacionalidad. El plano jurídico es amplio, pero adicional a ello, México se ha caracterizado por contar con una política migratoria que ha permitido a muchos extranjeros encontrar una vida en este país, lo cual se remonta a la época de las dictaduras y exilios, tanto en Latinoamérica como en Europa, aunado a las corrientes migratorias centroamericanas, que hoy en día le imponen nuevos retos a la sociedad  e  institucionalidad</w:t>
      </w:r>
      <w:r>
        <w:rPr>
          <w:color w:val="231F20"/>
          <w:spacing w:val="24"/>
        </w:rPr>
        <w:t> </w:t>
      </w:r>
      <w:r>
        <w:rPr>
          <w:color w:val="231F20"/>
        </w:rPr>
        <w:t>mexicana.</w:t>
      </w:r>
    </w:p>
    <w:p>
      <w:pPr>
        <w:pStyle w:val="BodyText"/>
        <w:spacing w:line="261" w:lineRule="auto" w:before="1"/>
        <w:ind w:left="1837" w:right="1721" w:firstLine="567"/>
        <w:jc w:val="both"/>
      </w:pPr>
      <w:r>
        <w:rPr/>
        <w:pict>
          <v:line style="position:absolute;mso-position-horizontal-relative:page;mso-position-vertical-relative:paragraph;z-index:-487000" from="15pt,124.344887pt" to="0pt,124.344887pt" stroked="true" strokeweight=".25pt" strokecolor="#000000">
            <w10:wrap type="none"/>
          </v:line>
        </w:pict>
      </w:r>
      <w:r>
        <w:rPr/>
        <w:pict>
          <v:line style="position:absolute;mso-position-horizontal-relative:page;mso-position-vertical-relative:paragraph;z-index:3208" from="508.890015pt,124.344887pt" to="523.890015pt,124.344887pt" stroked="true" strokeweight=".25pt" strokecolor="#000000">
            <w10:wrap type="none"/>
          </v:line>
        </w:pict>
      </w:r>
      <w:r>
        <w:rPr>
          <w:color w:val="231F20"/>
          <w:w w:val="105"/>
        </w:rPr>
        <w:t>La</w:t>
      </w:r>
      <w:r>
        <w:rPr>
          <w:color w:val="231F20"/>
          <w:spacing w:val="-7"/>
          <w:w w:val="105"/>
        </w:rPr>
        <w:t> </w:t>
      </w:r>
      <w:r>
        <w:rPr>
          <w:color w:val="231F20"/>
          <w:w w:val="105"/>
        </w:rPr>
        <w:t>actual</w:t>
      </w:r>
      <w:r>
        <w:rPr>
          <w:color w:val="231F20"/>
          <w:spacing w:val="-7"/>
          <w:w w:val="105"/>
        </w:rPr>
        <w:t> </w:t>
      </w:r>
      <w:r>
        <w:rPr>
          <w:color w:val="231F20"/>
          <w:w w:val="105"/>
        </w:rPr>
        <w:t>Ley</w:t>
      </w:r>
      <w:r>
        <w:rPr>
          <w:color w:val="231F20"/>
          <w:spacing w:val="-7"/>
          <w:w w:val="105"/>
        </w:rPr>
        <w:t> </w:t>
      </w:r>
      <w:r>
        <w:rPr>
          <w:color w:val="231F20"/>
          <w:w w:val="105"/>
        </w:rPr>
        <w:t>de</w:t>
      </w:r>
      <w:r>
        <w:rPr>
          <w:color w:val="231F20"/>
          <w:spacing w:val="-7"/>
          <w:w w:val="105"/>
        </w:rPr>
        <w:t> </w:t>
      </w:r>
      <w:r>
        <w:rPr>
          <w:color w:val="231F20"/>
          <w:w w:val="105"/>
        </w:rPr>
        <w:t>Migración</w:t>
      </w:r>
      <w:r>
        <w:rPr>
          <w:color w:val="231F20"/>
          <w:spacing w:val="-7"/>
          <w:w w:val="105"/>
        </w:rPr>
        <w:t> </w:t>
      </w:r>
      <w:r>
        <w:rPr>
          <w:color w:val="231F20"/>
          <w:w w:val="105"/>
        </w:rPr>
        <w:t>en</w:t>
      </w:r>
      <w:r>
        <w:rPr>
          <w:color w:val="231F20"/>
          <w:spacing w:val="-7"/>
          <w:w w:val="105"/>
        </w:rPr>
        <w:t> </w:t>
      </w:r>
      <w:r>
        <w:rPr>
          <w:color w:val="231F20"/>
          <w:w w:val="105"/>
        </w:rPr>
        <w:t>México</w:t>
      </w:r>
      <w:r>
        <w:rPr>
          <w:color w:val="231F20"/>
          <w:spacing w:val="-7"/>
          <w:w w:val="105"/>
        </w:rPr>
        <w:t> </w:t>
      </w:r>
      <w:r>
        <w:rPr>
          <w:color w:val="231F20"/>
          <w:w w:val="105"/>
        </w:rPr>
        <w:t>ordena</w:t>
      </w:r>
      <w:r>
        <w:rPr>
          <w:color w:val="231F20"/>
          <w:spacing w:val="-7"/>
          <w:w w:val="105"/>
        </w:rPr>
        <w:t> </w:t>
      </w:r>
      <w:r>
        <w:rPr>
          <w:color w:val="231F20"/>
          <w:w w:val="105"/>
        </w:rPr>
        <w:t>un</w:t>
      </w:r>
      <w:r>
        <w:rPr>
          <w:color w:val="231F20"/>
          <w:spacing w:val="-7"/>
          <w:w w:val="105"/>
        </w:rPr>
        <w:t> </w:t>
      </w:r>
      <w:r>
        <w:rPr>
          <w:color w:val="231F20"/>
          <w:w w:val="105"/>
        </w:rPr>
        <w:t>marco</w:t>
      </w:r>
      <w:r>
        <w:rPr>
          <w:color w:val="231F20"/>
          <w:spacing w:val="-7"/>
          <w:w w:val="105"/>
        </w:rPr>
        <w:t> </w:t>
      </w:r>
      <w:r>
        <w:rPr>
          <w:color w:val="231F20"/>
          <w:w w:val="105"/>
        </w:rPr>
        <w:t>institucio- nal</w:t>
      </w:r>
      <w:r>
        <w:rPr>
          <w:color w:val="231F20"/>
          <w:spacing w:val="-15"/>
          <w:w w:val="105"/>
        </w:rPr>
        <w:t> </w:t>
      </w:r>
      <w:r>
        <w:rPr>
          <w:color w:val="231F20"/>
          <w:w w:val="105"/>
        </w:rPr>
        <w:t>que</w:t>
      </w:r>
      <w:r>
        <w:rPr>
          <w:color w:val="231F20"/>
          <w:spacing w:val="-15"/>
          <w:w w:val="105"/>
        </w:rPr>
        <w:t> </w:t>
      </w:r>
      <w:r>
        <w:rPr>
          <w:color w:val="231F20"/>
          <w:w w:val="105"/>
        </w:rPr>
        <w:t>favorece</w:t>
      </w:r>
      <w:r>
        <w:rPr>
          <w:color w:val="231F20"/>
          <w:spacing w:val="-15"/>
          <w:w w:val="105"/>
        </w:rPr>
        <w:t> </w:t>
      </w:r>
      <w:r>
        <w:rPr>
          <w:color w:val="231F20"/>
          <w:w w:val="105"/>
        </w:rPr>
        <w:t>la</w:t>
      </w:r>
      <w:r>
        <w:rPr>
          <w:color w:val="231F20"/>
          <w:spacing w:val="-15"/>
          <w:w w:val="105"/>
        </w:rPr>
        <w:t> </w:t>
      </w:r>
      <w:r>
        <w:rPr>
          <w:color w:val="231F20"/>
          <w:w w:val="105"/>
        </w:rPr>
        <w:t>atención</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migrantes</w:t>
      </w:r>
      <w:r>
        <w:rPr>
          <w:color w:val="231F20"/>
          <w:spacing w:val="-15"/>
          <w:w w:val="105"/>
        </w:rPr>
        <w:t> </w:t>
      </w:r>
      <w:r>
        <w:rPr>
          <w:color w:val="231F20"/>
          <w:w w:val="105"/>
        </w:rPr>
        <w:t>y</w:t>
      </w:r>
      <w:r>
        <w:rPr>
          <w:color w:val="231F20"/>
          <w:spacing w:val="-15"/>
          <w:w w:val="105"/>
        </w:rPr>
        <w:t> </w:t>
      </w:r>
      <w:r>
        <w:rPr>
          <w:color w:val="231F20"/>
          <w:w w:val="105"/>
        </w:rPr>
        <w:t>obliga</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instituciones</w:t>
      </w:r>
      <w:r>
        <w:rPr>
          <w:color w:val="231F20"/>
          <w:spacing w:val="-15"/>
          <w:w w:val="105"/>
        </w:rPr>
        <w:t> </w:t>
      </w:r>
      <w:r>
        <w:rPr>
          <w:color w:val="231F20"/>
          <w:w w:val="105"/>
        </w:rPr>
        <w:t>a actuar</w:t>
      </w:r>
      <w:r>
        <w:rPr>
          <w:color w:val="231F20"/>
          <w:spacing w:val="-6"/>
          <w:w w:val="105"/>
        </w:rPr>
        <w:t> </w:t>
      </w:r>
      <w:r>
        <w:rPr>
          <w:color w:val="231F20"/>
          <w:w w:val="105"/>
        </w:rPr>
        <w:t>con</w:t>
      </w:r>
      <w:r>
        <w:rPr>
          <w:color w:val="231F20"/>
          <w:spacing w:val="-6"/>
          <w:w w:val="105"/>
        </w:rPr>
        <w:t> </w:t>
      </w:r>
      <w:r>
        <w:rPr>
          <w:color w:val="231F20"/>
          <w:w w:val="105"/>
        </w:rPr>
        <w:t>honradez</w:t>
      </w:r>
      <w:r>
        <w:rPr>
          <w:color w:val="231F20"/>
          <w:spacing w:val="-6"/>
          <w:w w:val="105"/>
        </w:rPr>
        <w:t> </w:t>
      </w:r>
      <w:r>
        <w:rPr>
          <w:color w:val="231F20"/>
          <w:w w:val="105"/>
        </w:rPr>
        <w:t>y</w:t>
      </w:r>
      <w:r>
        <w:rPr>
          <w:color w:val="231F20"/>
          <w:spacing w:val="-6"/>
          <w:w w:val="105"/>
        </w:rPr>
        <w:t> </w:t>
      </w:r>
      <w:r>
        <w:rPr>
          <w:color w:val="231F20"/>
          <w:w w:val="105"/>
        </w:rPr>
        <w:t>profesionalismo,</w:t>
      </w:r>
      <w:r>
        <w:rPr>
          <w:color w:val="231F20"/>
          <w:spacing w:val="-11"/>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vez</w:t>
      </w:r>
      <w:r>
        <w:rPr>
          <w:color w:val="231F20"/>
          <w:spacing w:val="-6"/>
          <w:w w:val="105"/>
        </w:rPr>
        <w:t> </w:t>
      </w:r>
      <w:r>
        <w:rPr>
          <w:color w:val="231F20"/>
          <w:w w:val="105"/>
        </w:rPr>
        <w:t>que</w:t>
      </w:r>
      <w:r>
        <w:rPr>
          <w:color w:val="231F20"/>
          <w:spacing w:val="-6"/>
          <w:w w:val="105"/>
        </w:rPr>
        <w:t> </w:t>
      </w:r>
      <w:r>
        <w:rPr>
          <w:color w:val="231F20"/>
          <w:w w:val="105"/>
        </w:rPr>
        <w:t>orienta</w:t>
      </w:r>
      <w:r>
        <w:rPr>
          <w:color w:val="231F20"/>
          <w:spacing w:val="-6"/>
          <w:w w:val="105"/>
        </w:rPr>
        <w:t> </w:t>
      </w:r>
      <w:r>
        <w:rPr>
          <w:color w:val="231F20"/>
          <w:w w:val="105"/>
        </w:rPr>
        <w:t>la</w:t>
      </w:r>
      <w:r>
        <w:rPr>
          <w:color w:val="231F20"/>
          <w:spacing w:val="-6"/>
          <w:w w:val="105"/>
        </w:rPr>
        <w:t> </w:t>
      </w:r>
      <w:r>
        <w:rPr>
          <w:color w:val="231F20"/>
          <w:w w:val="105"/>
        </w:rPr>
        <w:t>moderni- zación</w:t>
      </w:r>
      <w:r>
        <w:rPr>
          <w:color w:val="231F20"/>
          <w:spacing w:val="-19"/>
          <w:w w:val="105"/>
        </w:rPr>
        <w:t> </w:t>
      </w:r>
      <w:r>
        <w:rPr>
          <w:color w:val="231F20"/>
          <w:w w:val="105"/>
        </w:rPr>
        <w:t>de</w:t>
      </w:r>
      <w:r>
        <w:rPr>
          <w:color w:val="231F20"/>
          <w:spacing w:val="-19"/>
          <w:w w:val="105"/>
        </w:rPr>
        <w:t> </w:t>
      </w:r>
      <w:r>
        <w:rPr>
          <w:color w:val="231F20"/>
          <w:w w:val="105"/>
        </w:rPr>
        <w:t>competencias</w:t>
      </w:r>
      <w:r>
        <w:rPr>
          <w:color w:val="231F20"/>
          <w:spacing w:val="-19"/>
          <w:w w:val="105"/>
        </w:rPr>
        <w:t> </w:t>
      </w:r>
      <w:r>
        <w:rPr>
          <w:color w:val="231F20"/>
          <w:w w:val="105"/>
        </w:rPr>
        <w:t>para</w:t>
      </w:r>
      <w:r>
        <w:rPr>
          <w:color w:val="231F20"/>
          <w:spacing w:val="-19"/>
          <w:w w:val="105"/>
        </w:rPr>
        <w:t> </w:t>
      </w:r>
      <w:r>
        <w:rPr>
          <w:color w:val="231F20"/>
          <w:w w:val="105"/>
        </w:rPr>
        <w:t>una</w:t>
      </w:r>
      <w:r>
        <w:rPr>
          <w:color w:val="231F20"/>
          <w:spacing w:val="-19"/>
          <w:w w:val="105"/>
        </w:rPr>
        <w:t> </w:t>
      </w:r>
      <w:r>
        <w:rPr>
          <w:color w:val="231F20"/>
          <w:w w:val="105"/>
        </w:rPr>
        <w:t>atención</w:t>
      </w:r>
      <w:r>
        <w:rPr>
          <w:color w:val="231F20"/>
          <w:spacing w:val="-19"/>
          <w:w w:val="105"/>
        </w:rPr>
        <w:t> </w:t>
      </w:r>
      <w:r>
        <w:rPr>
          <w:color w:val="231F20"/>
          <w:w w:val="105"/>
        </w:rPr>
        <w:t>eficaz</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migraciones.</w:t>
      </w:r>
      <w:r>
        <w:rPr>
          <w:color w:val="231F20"/>
          <w:spacing w:val="-24"/>
          <w:w w:val="105"/>
        </w:rPr>
        <w:t> </w:t>
      </w:r>
      <w:r>
        <w:rPr>
          <w:color w:val="231F20"/>
          <w:w w:val="105"/>
        </w:rPr>
        <w:t>Se</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681" w:right="1820"/>
        <w:jc w:val="both"/>
      </w:pPr>
      <w:r>
        <w:rPr/>
        <w:pict>
          <v:line style="position:absolute;mso-position-horizontal-relative:page;mso-position-vertical-relative:paragraph;z-index:3256" from="15pt,-71.68644pt" to="0pt,-71.68644pt" stroked="true" strokeweight=".25pt" strokecolor="#000000">
            <w10:wrap type="none"/>
          </v:line>
        </w:pict>
      </w:r>
      <w:r>
        <w:rPr/>
        <w:pict>
          <v:line style="position:absolute;mso-position-horizontal-relative:page;mso-position-vertical-relative:paragraph;z-index:3280" from="508.890015pt,-71.68644pt" to="523.890015pt,-71.68644pt" stroked="true" strokeweight=".25pt" strokecolor="#000000">
            <w10:wrap type="none"/>
          </v:line>
        </w:pict>
      </w:r>
      <w:r>
        <w:rPr>
          <w:color w:val="231F20"/>
          <w:w w:val="105"/>
        </w:rPr>
        <w:t>trata de una ley de nueva generación que pone a México a la vanguar- dia</w:t>
      </w:r>
      <w:r>
        <w:rPr>
          <w:color w:val="231F20"/>
          <w:spacing w:val="-19"/>
          <w:w w:val="105"/>
        </w:rPr>
        <w:t> </w:t>
      </w:r>
      <w:r>
        <w:rPr>
          <w:color w:val="231F20"/>
          <w:w w:val="105"/>
        </w:rPr>
        <w:t>con</w:t>
      </w:r>
      <w:r>
        <w:rPr>
          <w:color w:val="231F20"/>
          <w:spacing w:val="-19"/>
          <w:w w:val="105"/>
        </w:rPr>
        <w:t> </w:t>
      </w:r>
      <w:r>
        <w:rPr>
          <w:color w:val="231F20"/>
          <w:w w:val="105"/>
        </w:rPr>
        <w:t>una</w:t>
      </w:r>
      <w:r>
        <w:rPr>
          <w:color w:val="231F20"/>
          <w:spacing w:val="-19"/>
          <w:w w:val="105"/>
        </w:rPr>
        <w:t> </w:t>
      </w:r>
      <w:r>
        <w:rPr>
          <w:color w:val="231F20"/>
          <w:w w:val="105"/>
        </w:rPr>
        <w:t>legislación</w:t>
      </w:r>
      <w:r>
        <w:rPr>
          <w:color w:val="231F20"/>
          <w:spacing w:val="-19"/>
          <w:w w:val="105"/>
        </w:rPr>
        <w:t> </w:t>
      </w:r>
      <w:r>
        <w:rPr>
          <w:color w:val="231F20"/>
          <w:w w:val="105"/>
        </w:rPr>
        <w:t>especialmente</w:t>
      </w:r>
      <w:r>
        <w:rPr>
          <w:color w:val="231F20"/>
          <w:spacing w:val="-19"/>
          <w:w w:val="105"/>
        </w:rPr>
        <w:t> </w:t>
      </w:r>
      <w:r>
        <w:rPr>
          <w:color w:val="231F20"/>
          <w:w w:val="105"/>
        </w:rPr>
        <w:t>relevante</w:t>
      </w:r>
      <w:r>
        <w:rPr>
          <w:color w:val="231F20"/>
          <w:spacing w:val="-19"/>
          <w:w w:val="105"/>
        </w:rPr>
        <w:t> </w:t>
      </w:r>
      <w:r>
        <w:rPr>
          <w:color w:val="231F20"/>
          <w:w w:val="105"/>
        </w:rPr>
        <w:t>para</w:t>
      </w:r>
      <w:r>
        <w:rPr>
          <w:color w:val="231F20"/>
          <w:spacing w:val="-19"/>
          <w:w w:val="105"/>
        </w:rPr>
        <w:t> </w:t>
      </w:r>
      <w:r>
        <w:rPr>
          <w:color w:val="231F20"/>
          <w:w w:val="105"/>
        </w:rPr>
        <w:t>los</w:t>
      </w:r>
      <w:r>
        <w:rPr>
          <w:color w:val="231F20"/>
          <w:spacing w:val="-19"/>
          <w:w w:val="105"/>
        </w:rPr>
        <w:t> </w:t>
      </w:r>
      <w:r>
        <w:rPr>
          <w:color w:val="231F20"/>
          <w:w w:val="105"/>
        </w:rPr>
        <w:t>migrantes,</w:t>
      </w:r>
      <w:r>
        <w:rPr>
          <w:color w:val="231F20"/>
          <w:spacing w:val="-25"/>
          <w:w w:val="105"/>
        </w:rPr>
        <w:t> </w:t>
      </w:r>
      <w:r>
        <w:rPr>
          <w:color w:val="231F20"/>
          <w:w w:val="105"/>
        </w:rPr>
        <w:t>pues muestra</w:t>
      </w:r>
      <w:r>
        <w:rPr>
          <w:color w:val="231F20"/>
          <w:spacing w:val="-16"/>
          <w:w w:val="105"/>
        </w:rPr>
        <w:t> </w:t>
      </w:r>
      <w:r>
        <w:rPr>
          <w:color w:val="231F20"/>
          <w:w w:val="105"/>
        </w:rPr>
        <w:t>avances</w:t>
      </w:r>
      <w:r>
        <w:rPr>
          <w:color w:val="231F20"/>
          <w:spacing w:val="-16"/>
          <w:w w:val="105"/>
        </w:rPr>
        <w:t> </w:t>
      </w:r>
      <w:r>
        <w:rPr>
          <w:color w:val="231F20"/>
          <w:w w:val="105"/>
        </w:rPr>
        <w:t>loables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reconocimiento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derechos</w:t>
      </w:r>
      <w:r>
        <w:rPr>
          <w:color w:val="231F20"/>
          <w:spacing w:val="-16"/>
          <w:w w:val="105"/>
        </w:rPr>
        <w:t> </w:t>
      </w:r>
      <w:r>
        <w:rPr>
          <w:color w:val="231F20"/>
          <w:w w:val="105"/>
        </w:rPr>
        <w:t>humanos de esta</w:t>
      </w:r>
      <w:r>
        <w:rPr>
          <w:color w:val="231F20"/>
          <w:spacing w:val="-15"/>
          <w:w w:val="105"/>
        </w:rPr>
        <w:t> </w:t>
      </w:r>
      <w:r>
        <w:rPr>
          <w:color w:val="231F20"/>
          <w:w w:val="105"/>
        </w:rPr>
        <w:t>población.</w:t>
      </w:r>
    </w:p>
    <w:p>
      <w:pPr>
        <w:pStyle w:val="BodyText"/>
        <w:spacing w:line="261" w:lineRule="auto" w:before="1"/>
        <w:ind w:left="1681" w:right="1820" w:firstLine="567"/>
        <w:jc w:val="both"/>
      </w:pPr>
      <w:r>
        <w:rPr>
          <w:color w:val="231F20"/>
          <w:w w:val="105"/>
        </w:rPr>
        <w:t>De acuerdo con el Artículo 2 de la Ley de Migración (H. Congreso de</w:t>
      </w:r>
      <w:r>
        <w:rPr>
          <w:color w:val="231F20"/>
          <w:spacing w:val="-18"/>
          <w:w w:val="105"/>
        </w:rPr>
        <w:t> </w:t>
      </w:r>
      <w:r>
        <w:rPr>
          <w:color w:val="231F20"/>
          <w:w w:val="105"/>
        </w:rPr>
        <w:t>la</w:t>
      </w:r>
      <w:r>
        <w:rPr>
          <w:color w:val="231F20"/>
          <w:spacing w:val="-18"/>
          <w:w w:val="105"/>
        </w:rPr>
        <w:t> </w:t>
      </w:r>
      <w:r>
        <w:rPr>
          <w:color w:val="231F20"/>
          <w:w w:val="105"/>
        </w:rPr>
        <w:t>Unión,</w:t>
      </w:r>
      <w:r>
        <w:rPr>
          <w:color w:val="231F20"/>
          <w:spacing w:val="-23"/>
          <w:w w:val="105"/>
        </w:rPr>
        <w:t> </w:t>
      </w:r>
      <w:r>
        <w:rPr>
          <w:color w:val="231F20"/>
          <w:w w:val="105"/>
        </w:rPr>
        <w:t>2014),</w:t>
      </w:r>
      <w:r>
        <w:rPr>
          <w:color w:val="231F20"/>
          <w:spacing w:val="-23"/>
          <w:w w:val="105"/>
        </w:rPr>
        <w:t> </w:t>
      </w:r>
      <w:r>
        <w:rPr>
          <w:color w:val="231F20"/>
          <w:w w:val="105"/>
        </w:rPr>
        <w:t>la</w:t>
      </w:r>
      <w:r>
        <w:rPr>
          <w:color w:val="231F20"/>
          <w:spacing w:val="-18"/>
          <w:w w:val="105"/>
        </w:rPr>
        <w:t> </w:t>
      </w:r>
      <w:r>
        <w:rPr>
          <w:color w:val="231F20"/>
          <w:w w:val="105"/>
        </w:rPr>
        <w:t>política</w:t>
      </w:r>
      <w:r>
        <w:rPr>
          <w:color w:val="231F20"/>
          <w:spacing w:val="-18"/>
          <w:w w:val="105"/>
        </w:rPr>
        <w:t> </w:t>
      </w:r>
      <w:r>
        <w:rPr>
          <w:color w:val="231F20"/>
          <w:w w:val="105"/>
        </w:rPr>
        <w:t>migratoria</w:t>
      </w:r>
      <w:r>
        <w:rPr>
          <w:color w:val="231F20"/>
          <w:spacing w:val="-18"/>
          <w:w w:val="105"/>
        </w:rPr>
        <w:t> </w:t>
      </w:r>
      <w:r>
        <w:rPr>
          <w:color w:val="231F20"/>
          <w:w w:val="105"/>
        </w:rPr>
        <w:t>deberá</w:t>
      </w:r>
      <w:r>
        <w:rPr>
          <w:color w:val="231F20"/>
          <w:spacing w:val="-18"/>
          <w:w w:val="105"/>
        </w:rPr>
        <w:t> </w:t>
      </w:r>
      <w:r>
        <w:rPr>
          <w:color w:val="231F20"/>
          <w:w w:val="105"/>
        </w:rPr>
        <w:t>basarse</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siguientes principios:</w:t>
      </w:r>
    </w:p>
    <w:p>
      <w:pPr>
        <w:pStyle w:val="BodyText"/>
        <w:rPr>
          <w:sz w:val="23"/>
        </w:rPr>
      </w:pPr>
    </w:p>
    <w:p>
      <w:pPr>
        <w:pStyle w:val="ListParagraph"/>
        <w:numPr>
          <w:ilvl w:val="0"/>
          <w:numId w:val="2"/>
        </w:numPr>
        <w:tabs>
          <w:tab w:pos="2892" w:val="left" w:leader="none"/>
        </w:tabs>
        <w:spacing w:line="261" w:lineRule="auto" w:before="0" w:after="0"/>
        <w:ind w:left="2891" w:right="1815" w:hanging="360"/>
        <w:jc w:val="both"/>
        <w:rPr>
          <w:sz w:val="21"/>
        </w:rPr>
      </w:pPr>
      <w:r>
        <w:rPr>
          <w:color w:val="231F20"/>
          <w:w w:val="105"/>
          <w:sz w:val="21"/>
        </w:rPr>
        <w:t>Respeto</w:t>
      </w:r>
      <w:r>
        <w:rPr>
          <w:color w:val="231F20"/>
          <w:spacing w:val="-8"/>
          <w:w w:val="105"/>
          <w:sz w:val="21"/>
        </w:rPr>
        <w:t> </w:t>
      </w:r>
      <w:r>
        <w:rPr>
          <w:color w:val="231F20"/>
          <w:w w:val="105"/>
          <w:sz w:val="21"/>
        </w:rPr>
        <w:t>irrestricto</w:t>
      </w:r>
      <w:r>
        <w:rPr>
          <w:color w:val="231F20"/>
          <w:spacing w:val="-8"/>
          <w:w w:val="105"/>
          <w:sz w:val="21"/>
        </w:rPr>
        <w:t> </w:t>
      </w:r>
      <w:r>
        <w:rPr>
          <w:color w:val="231F20"/>
          <w:w w:val="105"/>
          <w:sz w:val="21"/>
        </w:rPr>
        <w:t>de</w:t>
      </w:r>
      <w:r>
        <w:rPr>
          <w:color w:val="231F20"/>
          <w:spacing w:val="-8"/>
          <w:w w:val="105"/>
          <w:sz w:val="21"/>
        </w:rPr>
        <w:t> </w:t>
      </w:r>
      <w:r>
        <w:rPr>
          <w:color w:val="231F20"/>
          <w:w w:val="105"/>
          <w:sz w:val="21"/>
        </w:rPr>
        <w:t>los</w:t>
      </w:r>
      <w:r>
        <w:rPr>
          <w:color w:val="231F20"/>
          <w:spacing w:val="-8"/>
          <w:w w:val="105"/>
          <w:sz w:val="21"/>
        </w:rPr>
        <w:t> </w:t>
      </w:r>
      <w:r>
        <w:rPr>
          <w:color w:val="231F20"/>
          <w:w w:val="105"/>
          <w:sz w:val="21"/>
        </w:rPr>
        <w:t>derechos</w:t>
      </w:r>
      <w:r>
        <w:rPr>
          <w:color w:val="231F20"/>
          <w:spacing w:val="-8"/>
          <w:w w:val="105"/>
          <w:sz w:val="21"/>
        </w:rPr>
        <w:t> </w:t>
      </w:r>
      <w:r>
        <w:rPr>
          <w:color w:val="231F20"/>
          <w:w w:val="105"/>
          <w:sz w:val="21"/>
        </w:rPr>
        <w:t>humanos</w:t>
      </w:r>
      <w:r>
        <w:rPr>
          <w:color w:val="231F20"/>
          <w:spacing w:val="-8"/>
          <w:w w:val="105"/>
          <w:sz w:val="21"/>
        </w:rPr>
        <w:t> </w:t>
      </w:r>
      <w:r>
        <w:rPr>
          <w:color w:val="231F20"/>
          <w:w w:val="105"/>
          <w:sz w:val="21"/>
        </w:rPr>
        <w:t>de</w:t>
      </w:r>
      <w:r>
        <w:rPr>
          <w:color w:val="231F20"/>
          <w:spacing w:val="-8"/>
          <w:w w:val="105"/>
          <w:sz w:val="21"/>
        </w:rPr>
        <w:t> </w:t>
      </w:r>
      <w:r>
        <w:rPr>
          <w:color w:val="231F20"/>
          <w:w w:val="105"/>
          <w:sz w:val="21"/>
        </w:rPr>
        <w:t>los</w:t>
      </w:r>
      <w:r>
        <w:rPr>
          <w:color w:val="231F20"/>
          <w:spacing w:val="-8"/>
          <w:w w:val="105"/>
          <w:sz w:val="21"/>
        </w:rPr>
        <w:t> </w:t>
      </w:r>
      <w:r>
        <w:rPr>
          <w:color w:val="231F20"/>
          <w:w w:val="105"/>
          <w:sz w:val="21"/>
        </w:rPr>
        <w:t>migran- tes,</w:t>
      </w:r>
      <w:r>
        <w:rPr>
          <w:color w:val="231F20"/>
          <w:spacing w:val="-27"/>
          <w:w w:val="105"/>
          <w:sz w:val="21"/>
        </w:rPr>
        <w:t> </w:t>
      </w:r>
      <w:r>
        <w:rPr>
          <w:color w:val="231F20"/>
          <w:w w:val="105"/>
          <w:sz w:val="21"/>
        </w:rPr>
        <w:t>nacionales</w:t>
      </w:r>
      <w:r>
        <w:rPr>
          <w:color w:val="231F20"/>
          <w:spacing w:val="-23"/>
          <w:w w:val="105"/>
          <w:sz w:val="21"/>
        </w:rPr>
        <w:t> </w:t>
      </w:r>
      <w:r>
        <w:rPr>
          <w:color w:val="231F20"/>
          <w:w w:val="105"/>
          <w:sz w:val="21"/>
        </w:rPr>
        <w:t>y</w:t>
      </w:r>
      <w:r>
        <w:rPr>
          <w:color w:val="231F20"/>
          <w:spacing w:val="-23"/>
          <w:w w:val="105"/>
          <w:sz w:val="21"/>
        </w:rPr>
        <w:t> </w:t>
      </w:r>
      <w:r>
        <w:rPr>
          <w:color w:val="231F20"/>
          <w:w w:val="105"/>
          <w:sz w:val="21"/>
        </w:rPr>
        <w:t>extranjeros,</w:t>
      </w:r>
      <w:r>
        <w:rPr>
          <w:color w:val="231F20"/>
          <w:spacing w:val="-27"/>
          <w:w w:val="105"/>
          <w:sz w:val="21"/>
        </w:rPr>
        <w:t> </w:t>
      </w:r>
      <w:r>
        <w:rPr>
          <w:color w:val="231F20"/>
          <w:w w:val="105"/>
          <w:sz w:val="21"/>
        </w:rPr>
        <w:t>sea</w:t>
      </w:r>
      <w:r>
        <w:rPr>
          <w:color w:val="231F20"/>
          <w:spacing w:val="-23"/>
          <w:w w:val="105"/>
          <w:sz w:val="21"/>
        </w:rPr>
        <w:t> </w:t>
      </w:r>
      <w:r>
        <w:rPr>
          <w:color w:val="231F20"/>
          <w:w w:val="105"/>
          <w:sz w:val="21"/>
        </w:rPr>
        <w:t>cual</w:t>
      </w:r>
      <w:r>
        <w:rPr>
          <w:color w:val="231F20"/>
          <w:spacing w:val="-23"/>
          <w:w w:val="105"/>
          <w:sz w:val="21"/>
        </w:rPr>
        <w:t> </w:t>
      </w:r>
      <w:r>
        <w:rPr>
          <w:color w:val="231F20"/>
          <w:w w:val="105"/>
          <w:sz w:val="21"/>
        </w:rPr>
        <w:t>fuere</w:t>
      </w:r>
      <w:r>
        <w:rPr>
          <w:color w:val="231F20"/>
          <w:spacing w:val="-23"/>
          <w:w w:val="105"/>
          <w:sz w:val="21"/>
        </w:rPr>
        <w:t> </w:t>
      </w:r>
      <w:r>
        <w:rPr>
          <w:color w:val="231F20"/>
          <w:w w:val="105"/>
          <w:sz w:val="21"/>
        </w:rPr>
        <w:t>su</w:t>
      </w:r>
      <w:r>
        <w:rPr>
          <w:color w:val="231F20"/>
          <w:spacing w:val="-23"/>
          <w:w w:val="105"/>
          <w:sz w:val="21"/>
        </w:rPr>
        <w:t> </w:t>
      </w:r>
      <w:r>
        <w:rPr>
          <w:color w:val="231F20"/>
          <w:w w:val="105"/>
          <w:sz w:val="21"/>
        </w:rPr>
        <w:t>origen,</w:t>
      </w:r>
      <w:r>
        <w:rPr>
          <w:color w:val="231F20"/>
          <w:spacing w:val="-27"/>
          <w:w w:val="105"/>
          <w:sz w:val="21"/>
        </w:rPr>
        <w:t> </w:t>
      </w:r>
      <w:r>
        <w:rPr>
          <w:color w:val="231F20"/>
          <w:w w:val="105"/>
          <w:sz w:val="21"/>
        </w:rPr>
        <w:t>nacio- nalidad,</w:t>
      </w:r>
      <w:r>
        <w:rPr>
          <w:color w:val="231F20"/>
          <w:spacing w:val="-28"/>
          <w:w w:val="105"/>
          <w:sz w:val="21"/>
        </w:rPr>
        <w:t> </w:t>
      </w:r>
      <w:r>
        <w:rPr>
          <w:color w:val="231F20"/>
          <w:w w:val="105"/>
          <w:sz w:val="21"/>
        </w:rPr>
        <w:t>género,</w:t>
      </w:r>
      <w:r>
        <w:rPr>
          <w:color w:val="231F20"/>
          <w:spacing w:val="-28"/>
          <w:w w:val="105"/>
          <w:sz w:val="21"/>
        </w:rPr>
        <w:t> </w:t>
      </w:r>
      <w:r>
        <w:rPr>
          <w:color w:val="231F20"/>
          <w:w w:val="105"/>
          <w:sz w:val="21"/>
        </w:rPr>
        <w:t>etnia,</w:t>
      </w:r>
      <w:r>
        <w:rPr>
          <w:color w:val="231F20"/>
          <w:spacing w:val="-28"/>
          <w:w w:val="105"/>
          <w:sz w:val="21"/>
        </w:rPr>
        <w:t> </w:t>
      </w:r>
      <w:r>
        <w:rPr>
          <w:color w:val="231F20"/>
          <w:w w:val="105"/>
          <w:sz w:val="21"/>
        </w:rPr>
        <w:t>edad</w:t>
      </w:r>
      <w:r>
        <w:rPr>
          <w:color w:val="231F20"/>
          <w:spacing w:val="-23"/>
          <w:w w:val="105"/>
          <w:sz w:val="21"/>
        </w:rPr>
        <w:t> </w:t>
      </w:r>
      <w:r>
        <w:rPr>
          <w:color w:val="231F20"/>
          <w:w w:val="105"/>
          <w:sz w:val="21"/>
        </w:rPr>
        <w:t>y</w:t>
      </w:r>
      <w:r>
        <w:rPr>
          <w:color w:val="231F20"/>
          <w:spacing w:val="-23"/>
          <w:w w:val="105"/>
          <w:sz w:val="21"/>
        </w:rPr>
        <w:t> </w:t>
      </w:r>
      <w:r>
        <w:rPr>
          <w:color w:val="231F20"/>
          <w:w w:val="105"/>
          <w:sz w:val="21"/>
        </w:rPr>
        <w:t>situación</w:t>
      </w:r>
      <w:r>
        <w:rPr>
          <w:color w:val="231F20"/>
          <w:spacing w:val="-23"/>
          <w:w w:val="105"/>
          <w:sz w:val="21"/>
        </w:rPr>
        <w:t> </w:t>
      </w:r>
      <w:r>
        <w:rPr>
          <w:color w:val="231F20"/>
          <w:w w:val="105"/>
          <w:sz w:val="21"/>
        </w:rPr>
        <w:t>migratoria,</w:t>
      </w:r>
      <w:r>
        <w:rPr>
          <w:color w:val="231F20"/>
          <w:spacing w:val="-28"/>
          <w:w w:val="105"/>
          <w:sz w:val="21"/>
        </w:rPr>
        <w:t> </w:t>
      </w:r>
      <w:r>
        <w:rPr>
          <w:color w:val="231F20"/>
          <w:w w:val="105"/>
          <w:sz w:val="21"/>
        </w:rPr>
        <w:t>con</w:t>
      </w:r>
      <w:r>
        <w:rPr>
          <w:color w:val="231F20"/>
          <w:spacing w:val="-23"/>
          <w:w w:val="105"/>
          <w:sz w:val="21"/>
        </w:rPr>
        <w:t> </w:t>
      </w:r>
      <w:r>
        <w:rPr>
          <w:color w:val="231F20"/>
          <w:w w:val="105"/>
          <w:sz w:val="21"/>
        </w:rPr>
        <w:t>espe- cial atención a grupos vulnerables como menores de edad, mujeres, indígenas, adolescentes y personas de la tercera edad,</w:t>
      </w:r>
      <w:r>
        <w:rPr>
          <w:color w:val="231F20"/>
          <w:spacing w:val="-11"/>
          <w:w w:val="105"/>
          <w:sz w:val="21"/>
        </w:rPr>
        <w:t> </w:t>
      </w:r>
      <w:r>
        <w:rPr>
          <w:color w:val="231F20"/>
          <w:w w:val="105"/>
          <w:sz w:val="21"/>
        </w:rPr>
        <w:t>así</w:t>
      </w:r>
      <w:r>
        <w:rPr>
          <w:color w:val="231F20"/>
          <w:spacing w:val="-5"/>
          <w:w w:val="105"/>
          <w:sz w:val="21"/>
        </w:rPr>
        <w:t> </w:t>
      </w:r>
      <w:r>
        <w:rPr>
          <w:color w:val="231F20"/>
          <w:w w:val="105"/>
          <w:sz w:val="21"/>
        </w:rPr>
        <w:t>como</w:t>
      </w:r>
      <w:r>
        <w:rPr>
          <w:color w:val="231F20"/>
          <w:spacing w:val="-5"/>
          <w:w w:val="105"/>
          <w:sz w:val="21"/>
        </w:rPr>
        <w:t> </w:t>
      </w:r>
      <w:r>
        <w:rPr>
          <w:color w:val="231F20"/>
          <w:w w:val="105"/>
          <w:sz w:val="21"/>
        </w:rPr>
        <w:t>a</w:t>
      </w:r>
      <w:r>
        <w:rPr>
          <w:color w:val="231F20"/>
          <w:spacing w:val="-5"/>
          <w:w w:val="105"/>
          <w:sz w:val="21"/>
        </w:rPr>
        <w:t> </w:t>
      </w:r>
      <w:r>
        <w:rPr>
          <w:color w:val="231F20"/>
          <w:w w:val="105"/>
          <w:sz w:val="21"/>
        </w:rPr>
        <w:t>víctimas</w:t>
      </w:r>
      <w:r>
        <w:rPr>
          <w:color w:val="231F20"/>
          <w:spacing w:val="-5"/>
          <w:w w:val="105"/>
          <w:sz w:val="21"/>
        </w:rPr>
        <w:t> </w:t>
      </w:r>
      <w:r>
        <w:rPr>
          <w:color w:val="231F20"/>
          <w:w w:val="105"/>
          <w:sz w:val="21"/>
        </w:rPr>
        <w:t>del</w:t>
      </w:r>
      <w:r>
        <w:rPr>
          <w:color w:val="231F20"/>
          <w:spacing w:val="-5"/>
          <w:w w:val="105"/>
          <w:sz w:val="21"/>
        </w:rPr>
        <w:t> </w:t>
      </w:r>
      <w:r>
        <w:rPr>
          <w:color w:val="231F20"/>
          <w:w w:val="105"/>
          <w:sz w:val="21"/>
        </w:rPr>
        <w:t>delito.</w:t>
      </w:r>
      <w:r>
        <w:rPr>
          <w:color w:val="231F20"/>
          <w:spacing w:val="-11"/>
          <w:w w:val="105"/>
          <w:sz w:val="21"/>
        </w:rPr>
        <w:t> </w:t>
      </w:r>
      <w:r>
        <w:rPr>
          <w:color w:val="231F20"/>
          <w:w w:val="105"/>
          <w:sz w:val="21"/>
        </w:rPr>
        <w:t>En</w:t>
      </w:r>
      <w:r>
        <w:rPr>
          <w:color w:val="231F20"/>
          <w:spacing w:val="-5"/>
          <w:w w:val="105"/>
          <w:sz w:val="21"/>
        </w:rPr>
        <w:t> </w:t>
      </w:r>
      <w:r>
        <w:rPr>
          <w:color w:val="231F20"/>
          <w:w w:val="105"/>
          <w:sz w:val="21"/>
        </w:rPr>
        <w:t>ningún</w:t>
      </w:r>
      <w:r>
        <w:rPr>
          <w:color w:val="231F20"/>
          <w:spacing w:val="-5"/>
          <w:w w:val="105"/>
          <w:sz w:val="21"/>
        </w:rPr>
        <w:t> </w:t>
      </w:r>
      <w:r>
        <w:rPr>
          <w:color w:val="231F20"/>
          <w:w w:val="105"/>
          <w:sz w:val="21"/>
        </w:rPr>
        <w:t>caso</w:t>
      </w:r>
      <w:r>
        <w:rPr>
          <w:color w:val="231F20"/>
          <w:spacing w:val="-5"/>
          <w:w w:val="105"/>
          <w:sz w:val="21"/>
        </w:rPr>
        <w:t> </w:t>
      </w:r>
      <w:r>
        <w:rPr>
          <w:color w:val="231F20"/>
          <w:w w:val="105"/>
          <w:sz w:val="21"/>
        </w:rPr>
        <w:t>una</w:t>
      </w:r>
      <w:r>
        <w:rPr>
          <w:color w:val="231F20"/>
          <w:spacing w:val="-5"/>
          <w:w w:val="105"/>
          <w:sz w:val="21"/>
        </w:rPr>
        <w:t> </w:t>
      </w:r>
      <w:r>
        <w:rPr>
          <w:color w:val="231F20"/>
          <w:w w:val="105"/>
          <w:sz w:val="21"/>
        </w:rPr>
        <w:t>si- tuación migratoria irregular preconfigurará por sí misma la comisión</w:t>
      </w:r>
      <w:r>
        <w:rPr>
          <w:color w:val="231F20"/>
          <w:spacing w:val="-7"/>
          <w:w w:val="105"/>
          <w:sz w:val="21"/>
        </w:rPr>
        <w:t> </w:t>
      </w:r>
      <w:r>
        <w:rPr>
          <w:color w:val="231F20"/>
          <w:w w:val="105"/>
          <w:sz w:val="21"/>
        </w:rPr>
        <w:t>de</w:t>
      </w:r>
      <w:r>
        <w:rPr>
          <w:color w:val="231F20"/>
          <w:spacing w:val="-7"/>
          <w:w w:val="105"/>
          <w:sz w:val="21"/>
        </w:rPr>
        <w:t> </w:t>
      </w:r>
      <w:r>
        <w:rPr>
          <w:color w:val="231F20"/>
          <w:w w:val="105"/>
          <w:sz w:val="21"/>
        </w:rPr>
        <w:t>un</w:t>
      </w:r>
      <w:r>
        <w:rPr>
          <w:color w:val="231F20"/>
          <w:spacing w:val="-7"/>
          <w:w w:val="105"/>
          <w:sz w:val="21"/>
        </w:rPr>
        <w:t> </w:t>
      </w:r>
      <w:r>
        <w:rPr>
          <w:color w:val="231F20"/>
          <w:w w:val="105"/>
          <w:sz w:val="21"/>
        </w:rPr>
        <w:t>delito</w:t>
      </w:r>
      <w:r>
        <w:rPr>
          <w:color w:val="231F20"/>
          <w:spacing w:val="-7"/>
          <w:w w:val="105"/>
          <w:sz w:val="21"/>
        </w:rPr>
        <w:t> </w:t>
      </w:r>
      <w:r>
        <w:rPr>
          <w:color w:val="231F20"/>
          <w:w w:val="105"/>
          <w:sz w:val="21"/>
        </w:rPr>
        <w:t>ni</w:t>
      </w:r>
      <w:r>
        <w:rPr>
          <w:color w:val="231F20"/>
          <w:spacing w:val="-7"/>
          <w:w w:val="105"/>
          <w:sz w:val="21"/>
        </w:rPr>
        <w:t> </w:t>
      </w:r>
      <w:r>
        <w:rPr>
          <w:color w:val="231F20"/>
          <w:w w:val="105"/>
          <w:sz w:val="21"/>
        </w:rPr>
        <w:t>se</w:t>
      </w:r>
      <w:r>
        <w:rPr>
          <w:color w:val="231F20"/>
          <w:spacing w:val="-7"/>
          <w:w w:val="105"/>
          <w:sz w:val="21"/>
        </w:rPr>
        <w:t> </w:t>
      </w:r>
      <w:r>
        <w:rPr>
          <w:color w:val="231F20"/>
          <w:w w:val="105"/>
          <w:sz w:val="21"/>
        </w:rPr>
        <w:t>prejuzgará</w:t>
      </w:r>
      <w:r>
        <w:rPr>
          <w:color w:val="231F20"/>
          <w:spacing w:val="-7"/>
          <w:w w:val="105"/>
          <w:sz w:val="21"/>
        </w:rPr>
        <w:t> </w:t>
      </w:r>
      <w:r>
        <w:rPr>
          <w:color w:val="231F20"/>
          <w:w w:val="105"/>
          <w:sz w:val="21"/>
        </w:rPr>
        <w:t>la</w:t>
      </w:r>
      <w:r>
        <w:rPr>
          <w:color w:val="231F20"/>
          <w:spacing w:val="-7"/>
          <w:w w:val="105"/>
          <w:sz w:val="21"/>
        </w:rPr>
        <w:t> </w:t>
      </w:r>
      <w:r>
        <w:rPr>
          <w:color w:val="231F20"/>
          <w:w w:val="105"/>
          <w:sz w:val="21"/>
        </w:rPr>
        <w:t>comisión</w:t>
      </w:r>
      <w:r>
        <w:rPr>
          <w:color w:val="231F20"/>
          <w:spacing w:val="-7"/>
          <w:w w:val="105"/>
          <w:sz w:val="21"/>
        </w:rPr>
        <w:t> </w:t>
      </w:r>
      <w:r>
        <w:rPr>
          <w:color w:val="231F20"/>
          <w:w w:val="105"/>
          <w:sz w:val="21"/>
        </w:rPr>
        <w:t>de</w:t>
      </w:r>
      <w:r>
        <w:rPr>
          <w:color w:val="231F20"/>
          <w:spacing w:val="-7"/>
          <w:w w:val="105"/>
          <w:sz w:val="21"/>
        </w:rPr>
        <w:t> </w:t>
      </w:r>
      <w:r>
        <w:rPr>
          <w:color w:val="231F20"/>
          <w:w w:val="105"/>
          <w:sz w:val="21"/>
        </w:rPr>
        <w:t>ilícitos por parte de un migrante por el hecho de encontrarse en condición no</w:t>
      </w:r>
      <w:r>
        <w:rPr>
          <w:color w:val="231F20"/>
          <w:spacing w:val="5"/>
          <w:w w:val="105"/>
          <w:sz w:val="21"/>
        </w:rPr>
        <w:t> </w:t>
      </w:r>
      <w:r>
        <w:rPr>
          <w:color w:val="231F20"/>
          <w:w w:val="105"/>
          <w:sz w:val="21"/>
        </w:rPr>
        <w:t>documentada.</w:t>
      </w:r>
    </w:p>
    <w:p>
      <w:pPr>
        <w:pStyle w:val="ListParagraph"/>
        <w:numPr>
          <w:ilvl w:val="0"/>
          <w:numId w:val="2"/>
        </w:numPr>
        <w:tabs>
          <w:tab w:pos="2892" w:val="left" w:leader="none"/>
        </w:tabs>
        <w:spacing w:line="261" w:lineRule="auto" w:before="171" w:after="0"/>
        <w:ind w:left="2891" w:right="1814" w:hanging="360"/>
        <w:jc w:val="both"/>
        <w:rPr>
          <w:sz w:val="21"/>
        </w:rPr>
      </w:pPr>
      <w:r>
        <w:rPr>
          <w:color w:val="231F20"/>
          <w:w w:val="105"/>
          <w:sz w:val="21"/>
        </w:rPr>
        <w:t>Congruencia</w:t>
      </w:r>
      <w:r>
        <w:rPr>
          <w:color w:val="231F20"/>
          <w:spacing w:val="-27"/>
          <w:w w:val="105"/>
          <w:sz w:val="21"/>
        </w:rPr>
        <w:t> </w:t>
      </w:r>
      <w:r>
        <w:rPr>
          <w:color w:val="231F20"/>
          <w:w w:val="105"/>
          <w:sz w:val="21"/>
        </w:rPr>
        <w:t>de</w:t>
      </w:r>
      <w:r>
        <w:rPr>
          <w:color w:val="231F20"/>
          <w:spacing w:val="-27"/>
          <w:w w:val="105"/>
          <w:sz w:val="21"/>
        </w:rPr>
        <w:t> </w:t>
      </w:r>
      <w:r>
        <w:rPr>
          <w:color w:val="231F20"/>
          <w:spacing w:val="-2"/>
          <w:w w:val="105"/>
          <w:sz w:val="21"/>
        </w:rPr>
        <w:t>manera</w:t>
      </w:r>
      <w:r>
        <w:rPr>
          <w:color w:val="231F20"/>
          <w:spacing w:val="-27"/>
          <w:w w:val="105"/>
          <w:sz w:val="21"/>
        </w:rPr>
        <w:t> </w:t>
      </w:r>
      <w:r>
        <w:rPr>
          <w:color w:val="231F20"/>
          <w:w w:val="105"/>
          <w:sz w:val="21"/>
        </w:rPr>
        <w:t>que</w:t>
      </w:r>
      <w:r>
        <w:rPr>
          <w:color w:val="231F20"/>
          <w:spacing w:val="-27"/>
          <w:w w:val="105"/>
          <w:sz w:val="21"/>
        </w:rPr>
        <w:t> </w:t>
      </w:r>
      <w:r>
        <w:rPr>
          <w:color w:val="231F20"/>
          <w:w w:val="105"/>
          <w:sz w:val="21"/>
        </w:rPr>
        <w:t>el</w:t>
      </w:r>
      <w:r>
        <w:rPr>
          <w:color w:val="231F20"/>
          <w:spacing w:val="-27"/>
          <w:w w:val="105"/>
          <w:sz w:val="21"/>
        </w:rPr>
        <w:t> </w:t>
      </w:r>
      <w:r>
        <w:rPr>
          <w:color w:val="231F20"/>
          <w:w w:val="105"/>
          <w:sz w:val="21"/>
        </w:rPr>
        <w:t>Estado</w:t>
      </w:r>
      <w:r>
        <w:rPr>
          <w:color w:val="231F20"/>
          <w:spacing w:val="-27"/>
          <w:w w:val="105"/>
          <w:sz w:val="21"/>
        </w:rPr>
        <w:t> </w:t>
      </w:r>
      <w:r>
        <w:rPr>
          <w:color w:val="231F20"/>
          <w:w w:val="105"/>
          <w:sz w:val="21"/>
        </w:rPr>
        <w:t>mexicano</w:t>
      </w:r>
      <w:r>
        <w:rPr>
          <w:color w:val="231F20"/>
          <w:spacing w:val="-27"/>
          <w:w w:val="105"/>
          <w:sz w:val="21"/>
        </w:rPr>
        <w:t> </w:t>
      </w:r>
      <w:r>
        <w:rPr>
          <w:color w:val="231F20"/>
          <w:w w:val="105"/>
          <w:sz w:val="21"/>
        </w:rPr>
        <w:t>garantice</w:t>
      </w:r>
      <w:r>
        <w:rPr>
          <w:color w:val="231F20"/>
          <w:spacing w:val="-27"/>
          <w:w w:val="105"/>
          <w:sz w:val="21"/>
        </w:rPr>
        <w:t> </w:t>
      </w:r>
      <w:r>
        <w:rPr>
          <w:color w:val="231F20"/>
          <w:w w:val="105"/>
          <w:sz w:val="21"/>
        </w:rPr>
        <w:t>la vigencia</w:t>
      </w:r>
      <w:r>
        <w:rPr>
          <w:color w:val="231F20"/>
          <w:spacing w:val="-35"/>
          <w:w w:val="105"/>
          <w:sz w:val="21"/>
        </w:rPr>
        <w:t> </w:t>
      </w:r>
      <w:r>
        <w:rPr>
          <w:color w:val="231F20"/>
          <w:w w:val="105"/>
          <w:sz w:val="21"/>
        </w:rPr>
        <w:t>de</w:t>
      </w:r>
      <w:r>
        <w:rPr>
          <w:color w:val="231F20"/>
          <w:spacing w:val="-35"/>
          <w:w w:val="105"/>
          <w:sz w:val="21"/>
        </w:rPr>
        <w:t> </w:t>
      </w:r>
      <w:r>
        <w:rPr>
          <w:color w:val="231F20"/>
          <w:w w:val="105"/>
          <w:sz w:val="21"/>
        </w:rPr>
        <w:t>los</w:t>
      </w:r>
      <w:r>
        <w:rPr>
          <w:color w:val="231F20"/>
          <w:spacing w:val="-35"/>
          <w:w w:val="105"/>
          <w:sz w:val="21"/>
        </w:rPr>
        <w:t> </w:t>
      </w:r>
      <w:r>
        <w:rPr>
          <w:color w:val="231F20"/>
          <w:spacing w:val="-3"/>
          <w:w w:val="105"/>
          <w:sz w:val="21"/>
        </w:rPr>
        <w:t>derechos</w:t>
      </w:r>
      <w:r>
        <w:rPr>
          <w:color w:val="231F20"/>
          <w:spacing w:val="-35"/>
          <w:w w:val="105"/>
          <w:sz w:val="21"/>
        </w:rPr>
        <w:t> </w:t>
      </w:r>
      <w:r>
        <w:rPr>
          <w:color w:val="231F20"/>
          <w:w w:val="105"/>
          <w:sz w:val="21"/>
        </w:rPr>
        <w:t>que</w:t>
      </w:r>
      <w:r>
        <w:rPr>
          <w:color w:val="231F20"/>
          <w:spacing w:val="-35"/>
          <w:w w:val="105"/>
          <w:sz w:val="21"/>
        </w:rPr>
        <w:t> </w:t>
      </w:r>
      <w:r>
        <w:rPr>
          <w:color w:val="231F20"/>
          <w:spacing w:val="-3"/>
          <w:w w:val="105"/>
          <w:sz w:val="21"/>
        </w:rPr>
        <w:t>reclama</w:t>
      </w:r>
      <w:r>
        <w:rPr>
          <w:color w:val="231F20"/>
          <w:spacing w:val="-35"/>
          <w:w w:val="105"/>
          <w:sz w:val="21"/>
        </w:rPr>
        <w:t> </w:t>
      </w:r>
      <w:r>
        <w:rPr>
          <w:color w:val="231F20"/>
          <w:w w:val="105"/>
          <w:sz w:val="21"/>
        </w:rPr>
        <w:t>para</w:t>
      </w:r>
      <w:r>
        <w:rPr>
          <w:color w:val="231F20"/>
          <w:spacing w:val="-35"/>
          <w:w w:val="105"/>
          <w:sz w:val="21"/>
        </w:rPr>
        <w:t> </w:t>
      </w:r>
      <w:r>
        <w:rPr>
          <w:color w:val="231F20"/>
          <w:w w:val="105"/>
          <w:sz w:val="21"/>
        </w:rPr>
        <w:t>sus</w:t>
      </w:r>
      <w:r>
        <w:rPr>
          <w:color w:val="231F20"/>
          <w:spacing w:val="-35"/>
          <w:w w:val="105"/>
          <w:sz w:val="21"/>
        </w:rPr>
        <w:t> </w:t>
      </w:r>
      <w:r>
        <w:rPr>
          <w:color w:val="231F20"/>
          <w:w w:val="105"/>
          <w:sz w:val="21"/>
        </w:rPr>
        <w:t>connacionales en</w:t>
      </w:r>
      <w:r>
        <w:rPr>
          <w:color w:val="231F20"/>
          <w:spacing w:val="-16"/>
          <w:w w:val="105"/>
          <w:sz w:val="21"/>
        </w:rPr>
        <w:t> </w:t>
      </w:r>
      <w:r>
        <w:rPr>
          <w:color w:val="231F20"/>
          <w:w w:val="105"/>
          <w:sz w:val="21"/>
        </w:rPr>
        <w:t>el</w:t>
      </w:r>
      <w:r>
        <w:rPr>
          <w:color w:val="231F20"/>
          <w:spacing w:val="-16"/>
          <w:w w:val="105"/>
          <w:sz w:val="21"/>
        </w:rPr>
        <w:t> </w:t>
      </w:r>
      <w:r>
        <w:rPr>
          <w:color w:val="231F20"/>
          <w:spacing w:val="-3"/>
          <w:w w:val="105"/>
          <w:sz w:val="21"/>
        </w:rPr>
        <w:t>exterior,</w:t>
      </w:r>
      <w:r>
        <w:rPr>
          <w:color w:val="231F20"/>
          <w:spacing w:val="-20"/>
          <w:w w:val="105"/>
          <w:sz w:val="21"/>
        </w:rPr>
        <w:t> </w:t>
      </w:r>
      <w:r>
        <w:rPr>
          <w:color w:val="231F20"/>
          <w:w w:val="105"/>
          <w:sz w:val="21"/>
        </w:rPr>
        <w:t>en</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admisión,</w:t>
      </w:r>
      <w:r>
        <w:rPr>
          <w:color w:val="231F20"/>
          <w:spacing w:val="-20"/>
          <w:w w:val="105"/>
          <w:sz w:val="21"/>
        </w:rPr>
        <w:t> </w:t>
      </w:r>
      <w:r>
        <w:rPr>
          <w:color w:val="231F20"/>
          <w:spacing w:val="-3"/>
          <w:w w:val="105"/>
          <w:sz w:val="21"/>
        </w:rPr>
        <w:t>ingreso,</w:t>
      </w:r>
      <w:r>
        <w:rPr>
          <w:color w:val="231F20"/>
          <w:spacing w:val="-20"/>
          <w:w w:val="105"/>
          <w:sz w:val="21"/>
        </w:rPr>
        <w:t> </w:t>
      </w:r>
      <w:r>
        <w:rPr>
          <w:color w:val="231F20"/>
          <w:w w:val="105"/>
          <w:sz w:val="21"/>
        </w:rPr>
        <w:t>permanencia,</w:t>
      </w:r>
      <w:r>
        <w:rPr>
          <w:color w:val="231F20"/>
          <w:spacing w:val="-20"/>
          <w:w w:val="105"/>
          <w:sz w:val="21"/>
        </w:rPr>
        <w:t> </w:t>
      </w:r>
      <w:r>
        <w:rPr>
          <w:color w:val="231F20"/>
          <w:spacing w:val="-3"/>
          <w:w w:val="105"/>
          <w:sz w:val="21"/>
        </w:rPr>
        <w:t>tránsito, </w:t>
      </w:r>
      <w:r>
        <w:rPr>
          <w:color w:val="231F20"/>
          <w:w w:val="105"/>
          <w:sz w:val="21"/>
        </w:rPr>
        <w:t>deportación</w:t>
      </w:r>
      <w:r>
        <w:rPr>
          <w:color w:val="231F20"/>
          <w:spacing w:val="-15"/>
          <w:w w:val="105"/>
          <w:sz w:val="21"/>
        </w:rPr>
        <w:t> </w:t>
      </w:r>
      <w:r>
        <w:rPr>
          <w:color w:val="231F20"/>
          <w:w w:val="105"/>
          <w:sz w:val="21"/>
        </w:rPr>
        <w:t>y</w:t>
      </w:r>
      <w:r>
        <w:rPr>
          <w:color w:val="231F20"/>
          <w:spacing w:val="-15"/>
          <w:w w:val="105"/>
          <w:sz w:val="21"/>
        </w:rPr>
        <w:t> </w:t>
      </w:r>
      <w:r>
        <w:rPr>
          <w:color w:val="231F20"/>
          <w:spacing w:val="-3"/>
          <w:w w:val="105"/>
          <w:sz w:val="21"/>
        </w:rPr>
        <w:t>retorno</w:t>
      </w:r>
      <w:r>
        <w:rPr>
          <w:color w:val="231F20"/>
          <w:spacing w:val="-15"/>
          <w:w w:val="105"/>
          <w:sz w:val="21"/>
        </w:rPr>
        <w:t> </w:t>
      </w:r>
      <w:r>
        <w:rPr>
          <w:color w:val="231F20"/>
          <w:w w:val="105"/>
          <w:sz w:val="21"/>
        </w:rPr>
        <w:t>asistido</w:t>
      </w:r>
      <w:r>
        <w:rPr>
          <w:color w:val="231F20"/>
          <w:spacing w:val="-15"/>
          <w:w w:val="105"/>
          <w:sz w:val="21"/>
        </w:rPr>
        <w:t> </w:t>
      </w:r>
      <w:r>
        <w:rPr>
          <w:color w:val="231F20"/>
          <w:w w:val="105"/>
          <w:sz w:val="21"/>
        </w:rPr>
        <w:t>de</w:t>
      </w:r>
      <w:r>
        <w:rPr>
          <w:color w:val="231F20"/>
          <w:spacing w:val="-15"/>
          <w:w w:val="105"/>
          <w:sz w:val="21"/>
        </w:rPr>
        <w:t> </w:t>
      </w:r>
      <w:r>
        <w:rPr>
          <w:color w:val="231F20"/>
          <w:spacing w:val="-3"/>
          <w:w w:val="105"/>
          <w:sz w:val="21"/>
        </w:rPr>
        <w:t>extranjeros</w:t>
      </w:r>
      <w:r>
        <w:rPr>
          <w:color w:val="231F20"/>
          <w:spacing w:val="-15"/>
          <w:w w:val="105"/>
          <w:sz w:val="21"/>
        </w:rPr>
        <w:t> </w:t>
      </w:r>
      <w:r>
        <w:rPr>
          <w:color w:val="231F20"/>
          <w:w w:val="105"/>
          <w:sz w:val="21"/>
        </w:rPr>
        <w:t>en</w:t>
      </w:r>
      <w:r>
        <w:rPr>
          <w:color w:val="231F20"/>
          <w:spacing w:val="-15"/>
          <w:w w:val="105"/>
          <w:sz w:val="21"/>
        </w:rPr>
        <w:t> </w:t>
      </w:r>
      <w:r>
        <w:rPr>
          <w:color w:val="231F20"/>
          <w:w w:val="105"/>
          <w:sz w:val="21"/>
        </w:rPr>
        <w:t>su</w:t>
      </w:r>
      <w:r>
        <w:rPr>
          <w:color w:val="231F20"/>
          <w:spacing w:val="-15"/>
          <w:w w:val="105"/>
          <w:sz w:val="21"/>
        </w:rPr>
        <w:t> </w:t>
      </w:r>
      <w:r>
        <w:rPr>
          <w:color w:val="231F20"/>
          <w:w w:val="105"/>
          <w:sz w:val="21"/>
        </w:rPr>
        <w:t>territorio.</w:t>
      </w:r>
    </w:p>
    <w:p>
      <w:pPr>
        <w:pStyle w:val="ListParagraph"/>
        <w:numPr>
          <w:ilvl w:val="0"/>
          <w:numId w:val="2"/>
        </w:numPr>
        <w:tabs>
          <w:tab w:pos="2892" w:val="left" w:leader="none"/>
        </w:tabs>
        <w:spacing w:line="261" w:lineRule="auto" w:before="171" w:after="0"/>
        <w:ind w:left="2891" w:right="1820" w:hanging="360"/>
        <w:jc w:val="both"/>
        <w:rPr>
          <w:sz w:val="21"/>
        </w:rPr>
      </w:pPr>
      <w:r>
        <w:rPr>
          <w:color w:val="231F20"/>
          <w:sz w:val="21"/>
        </w:rPr>
        <w:t>Enfoque integral acorde con la complejidad de la movilidad internacional de personas, que atienda las diversas manifes- taciones de migración en México como país de origen, trán- sito, destino y retorno de migrantes, considerando sus cau- sas estructurales y sus consecuencias inmediatas y</w:t>
      </w:r>
      <w:r>
        <w:rPr>
          <w:color w:val="231F20"/>
          <w:spacing w:val="-17"/>
          <w:sz w:val="21"/>
        </w:rPr>
        <w:t> </w:t>
      </w:r>
      <w:r>
        <w:rPr>
          <w:color w:val="231F20"/>
          <w:sz w:val="21"/>
        </w:rPr>
        <w:t>futuras.</w:t>
      </w:r>
    </w:p>
    <w:p>
      <w:pPr>
        <w:pStyle w:val="ListParagraph"/>
        <w:numPr>
          <w:ilvl w:val="0"/>
          <w:numId w:val="2"/>
        </w:numPr>
        <w:tabs>
          <w:tab w:pos="2892" w:val="left" w:leader="none"/>
        </w:tabs>
        <w:spacing w:line="261" w:lineRule="auto" w:before="171" w:after="0"/>
        <w:ind w:left="2891" w:right="1821" w:hanging="360"/>
        <w:jc w:val="both"/>
        <w:rPr>
          <w:sz w:val="21"/>
        </w:rPr>
      </w:pPr>
      <w:r>
        <w:rPr>
          <w:color w:val="231F20"/>
          <w:w w:val="105"/>
          <w:sz w:val="21"/>
        </w:rPr>
        <w:t>Responsabilidad</w:t>
      </w:r>
      <w:r>
        <w:rPr>
          <w:color w:val="231F20"/>
          <w:spacing w:val="-10"/>
          <w:w w:val="105"/>
          <w:sz w:val="21"/>
        </w:rPr>
        <w:t> </w:t>
      </w:r>
      <w:r>
        <w:rPr>
          <w:color w:val="231F20"/>
          <w:w w:val="105"/>
          <w:sz w:val="21"/>
        </w:rPr>
        <w:t>compartida</w:t>
      </w:r>
      <w:r>
        <w:rPr>
          <w:color w:val="231F20"/>
          <w:spacing w:val="-10"/>
          <w:w w:val="105"/>
          <w:sz w:val="21"/>
        </w:rPr>
        <w:t> </w:t>
      </w:r>
      <w:r>
        <w:rPr>
          <w:color w:val="231F20"/>
          <w:w w:val="105"/>
          <w:sz w:val="21"/>
        </w:rPr>
        <w:t>con</w:t>
      </w:r>
      <w:r>
        <w:rPr>
          <w:color w:val="231F20"/>
          <w:spacing w:val="-10"/>
          <w:w w:val="105"/>
          <w:sz w:val="21"/>
        </w:rPr>
        <w:t> </w:t>
      </w:r>
      <w:r>
        <w:rPr>
          <w:color w:val="231F20"/>
          <w:w w:val="105"/>
          <w:sz w:val="21"/>
        </w:rPr>
        <w:t>los</w:t>
      </w:r>
      <w:r>
        <w:rPr>
          <w:color w:val="231F20"/>
          <w:spacing w:val="-10"/>
          <w:w w:val="105"/>
          <w:sz w:val="21"/>
        </w:rPr>
        <w:t> </w:t>
      </w:r>
      <w:r>
        <w:rPr>
          <w:color w:val="231F20"/>
          <w:w w:val="105"/>
          <w:sz w:val="21"/>
        </w:rPr>
        <w:t>gobiernos</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los</w:t>
      </w:r>
      <w:r>
        <w:rPr>
          <w:color w:val="231F20"/>
          <w:spacing w:val="-10"/>
          <w:w w:val="105"/>
          <w:sz w:val="21"/>
        </w:rPr>
        <w:t> </w:t>
      </w:r>
      <w:r>
        <w:rPr>
          <w:color w:val="231F20"/>
          <w:w w:val="105"/>
          <w:sz w:val="21"/>
        </w:rPr>
        <w:t>diver- sos</w:t>
      </w:r>
      <w:r>
        <w:rPr>
          <w:color w:val="231F20"/>
          <w:spacing w:val="-8"/>
          <w:w w:val="105"/>
          <w:sz w:val="21"/>
        </w:rPr>
        <w:t> </w:t>
      </w:r>
      <w:r>
        <w:rPr>
          <w:color w:val="231F20"/>
          <w:w w:val="105"/>
          <w:sz w:val="21"/>
        </w:rPr>
        <w:t>países</w:t>
      </w:r>
      <w:r>
        <w:rPr>
          <w:color w:val="231F20"/>
          <w:spacing w:val="-8"/>
          <w:w w:val="105"/>
          <w:sz w:val="21"/>
        </w:rPr>
        <w:t> </w:t>
      </w:r>
      <w:r>
        <w:rPr>
          <w:color w:val="231F20"/>
          <w:w w:val="105"/>
          <w:sz w:val="21"/>
        </w:rPr>
        <w:t>y</w:t>
      </w:r>
      <w:r>
        <w:rPr>
          <w:color w:val="231F20"/>
          <w:spacing w:val="-8"/>
          <w:w w:val="105"/>
          <w:sz w:val="21"/>
        </w:rPr>
        <w:t> </w:t>
      </w:r>
      <w:r>
        <w:rPr>
          <w:color w:val="231F20"/>
          <w:w w:val="105"/>
          <w:sz w:val="21"/>
        </w:rPr>
        <w:t>entre</w:t>
      </w:r>
      <w:r>
        <w:rPr>
          <w:color w:val="231F20"/>
          <w:spacing w:val="-8"/>
          <w:w w:val="105"/>
          <w:sz w:val="21"/>
        </w:rPr>
        <w:t> </w:t>
      </w:r>
      <w:r>
        <w:rPr>
          <w:color w:val="231F20"/>
          <w:w w:val="105"/>
          <w:sz w:val="21"/>
        </w:rPr>
        <w:t>las</w:t>
      </w:r>
      <w:r>
        <w:rPr>
          <w:color w:val="231F20"/>
          <w:spacing w:val="-8"/>
          <w:w w:val="105"/>
          <w:sz w:val="21"/>
        </w:rPr>
        <w:t> </w:t>
      </w:r>
      <w:r>
        <w:rPr>
          <w:color w:val="231F20"/>
          <w:w w:val="105"/>
          <w:sz w:val="21"/>
        </w:rPr>
        <w:t>instituciones</w:t>
      </w:r>
      <w:r>
        <w:rPr>
          <w:color w:val="231F20"/>
          <w:spacing w:val="-8"/>
          <w:w w:val="105"/>
          <w:sz w:val="21"/>
        </w:rPr>
        <w:t> </w:t>
      </w:r>
      <w:r>
        <w:rPr>
          <w:color w:val="231F20"/>
          <w:w w:val="105"/>
          <w:sz w:val="21"/>
        </w:rPr>
        <w:t>nacionales</w:t>
      </w:r>
      <w:r>
        <w:rPr>
          <w:color w:val="231F20"/>
          <w:spacing w:val="-8"/>
          <w:w w:val="105"/>
          <w:sz w:val="21"/>
        </w:rPr>
        <w:t> </w:t>
      </w:r>
      <w:r>
        <w:rPr>
          <w:color w:val="231F20"/>
          <w:w w:val="105"/>
          <w:sz w:val="21"/>
        </w:rPr>
        <w:t>y</w:t>
      </w:r>
      <w:r>
        <w:rPr>
          <w:color w:val="231F20"/>
          <w:spacing w:val="-8"/>
          <w:w w:val="105"/>
          <w:sz w:val="21"/>
        </w:rPr>
        <w:t> </w:t>
      </w:r>
      <w:r>
        <w:rPr>
          <w:color w:val="231F20"/>
          <w:w w:val="105"/>
          <w:sz w:val="21"/>
        </w:rPr>
        <w:t>extranjeras involucradas</w:t>
      </w:r>
      <w:r>
        <w:rPr>
          <w:color w:val="231F20"/>
          <w:spacing w:val="-15"/>
          <w:w w:val="105"/>
          <w:sz w:val="21"/>
        </w:rPr>
        <w:t> </w:t>
      </w:r>
      <w:r>
        <w:rPr>
          <w:color w:val="231F20"/>
          <w:w w:val="105"/>
          <w:sz w:val="21"/>
        </w:rPr>
        <w:t>en</w:t>
      </w:r>
      <w:r>
        <w:rPr>
          <w:color w:val="231F20"/>
          <w:spacing w:val="-15"/>
          <w:w w:val="105"/>
          <w:sz w:val="21"/>
        </w:rPr>
        <w:t> </w:t>
      </w:r>
      <w:r>
        <w:rPr>
          <w:color w:val="231F20"/>
          <w:w w:val="105"/>
          <w:sz w:val="21"/>
        </w:rPr>
        <w:t>el</w:t>
      </w:r>
      <w:r>
        <w:rPr>
          <w:color w:val="231F20"/>
          <w:spacing w:val="-15"/>
          <w:w w:val="105"/>
          <w:sz w:val="21"/>
        </w:rPr>
        <w:t> </w:t>
      </w:r>
      <w:r>
        <w:rPr>
          <w:color w:val="231F20"/>
          <w:w w:val="105"/>
          <w:sz w:val="21"/>
        </w:rPr>
        <w:t>tema</w:t>
      </w:r>
      <w:r>
        <w:rPr>
          <w:color w:val="231F20"/>
          <w:spacing w:val="-15"/>
          <w:w w:val="105"/>
          <w:sz w:val="21"/>
        </w:rPr>
        <w:t> </w:t>
      </w:r>
      <w:r>
        <w:rPr>
          <w:color w:val="231F20"/>
          <w:w w:val="105"/>
          <w:sz w:val="21"/>
        </w:rPr>
        <w:t>migratorio.</w:t>
      </w:r>
    </w:p>
    <w:p>
      <w:pPr>
        <w:pStyle w:val="ListParagraph"/>
        <w:numPr>
          <w:ilvl w:val="0"/>
          <w:numId w:val="2"/>
        </w:numPr>
        <w:tabs>
          <w:tab w:pos="2892" w:val="left" w:leader="none"/>
        </w:tabs>
        <w:spacing w:line="261" w:lineRule="auto" w:before="171" w:after="0"/>
        <w:ind w:left="2891" w:right="1820" w:hanging="360"/>
        <w:jc w:val="both"/>
        <w:rPr>
          <w:sz w:val="21"/>
        </w:rPr>
      </w:pPr>
      <w:r>
        <w:rPr>
          <w:color w:val="231F20"/>
          <w:w w:val="105"/>
          <w:sz w:val="21"/>
        </w:rPr>
        <w:t>Hospitalidad y solidaridad internacional con las personas que</w:t>
      </w:r>
      <w:r>
        <w:rPr>
          <w:color w:val="231F20"/>
          <w:spacing w:val="-6"/>
          <w:w w:val="105"/>
          <w:sz w:val="21"/>
        </w:rPr>
        <w:t> </w:t>
      </w:r>
      <w:r>
        <w:rPr>
          <w:color w:val="231F20"/>
          <w:w w:val="105"/>
          <w:sz w:val="21"/>
        </w:rPr>
        <w:t>necesitan</w:t>
      </w:r>
      <w:r>
        <w:rPr>
          <w:color w:val="231F20"/>
          <w:spacing w:val="-6"/>
          <w:w w:val="105"/>
          <w:sz w:val="21"/>
        </w:rPr>
        <w:t> </w:t>
      </w:r>
      <w:r>
        <w:rPr>
          <w:color w:val="231F20"/>
          <w:w w:val="105"/>
          <w:sz w:val="21"/>
        </w:rPr>
        <w:t>un</w:t>
      </w:r>
      <w:r>
        <w:rPr>
          <w:color w:val="231F20"/>
          <w:spacing w:val="-6"/>
          <w:w w:val="105"/>
          <w:sz w:val="21"/>
        </w:rPr>
        <w:t> </w:t>
      </w:r>
      <w:r>
        <w:rPr>
          <w:color w:val="231F20"/>
          <w:w w:val="105"/>
          <w:sz w:val="21"/>
        </w:rPr>
        <w:t>nuevo</w:t>
      </w:r>
      <w:r>
        <w:rPr>
          <w:color w:val="231F20"/>
          <w:spacing w:val="-6"/>
          <w:w w:val="105"/>
          <w:sz w:val="21"/>
        </w:rPr>
        <w:t> </w:t>
      </w:r>
      <w:r>
        <w:rPr>
          <w:color w:val="231F20"/>
          <w:w w:val="105"/>
          <w:sz w:val="21"/>
        </w:rPr>
        <w:t>lugar</w:t>
      </w:r>
      <w:r>
        <w:rPr>
          <w:color w:val="231F20"/>
          <w:spacing w:val="-6"/>
          <w:w w:val="105"/>
          <w:sz w:val="21"/>
        </w:rPr>
        <w:t> </w:t>
      </w:r>
      <w:r>
        <w:rPr>
          <w:color w:val="231F20"/>
          <w:w w:val="105"/>
          <w:sz w:val="21"/>
        </w:rPr>
        <w:t>de</w:t>
      </w:r>
      <w:r>
        <w:rPr>
          <w:color w:val="231F20"/>
          <w:spacing w:val="-6"/>
          <w:w w:val="105"/>
          <w:sz w:val="21"/>
        </w:rPr>
        <w:t> </w:t>
      </w:r>
      <w:r>
        <w:rPr>
          <w:color w:val="231F20"/>
          <w:w w:val="105"/>
          <w:sz w:val="21"/>
        </w:rPr>
        <w:t>residencia</w:t>
      </w:r>
      <w:r>
        <w:rPr>
          <w:color w:val="231F20"/>
          <w:spacing w:val="-6"/>
          <w:w w:val="105"/>
          <w:sz w:val="21"/>
        </w:rPr>
        <w:t> </w:t>
      </w:r>
      <w:r>
        <w:rPr>
          <w:color w:val="231F20"/>
          <w:w w:val="105"/>
          <w:sz w:val="21"/>
        </w:rPr>
        <w:t>temporal</w:t>
      </w:r>
      <w:r>
        <w:rPr>
          <w:color w:val="231F20"/>
          <w:spacing w:val="-6"/>
          <w:w w:val="105"/>
          <w:sz w:val="21"/>
        </w:rPr>
        <w:t> </w:t>
      </w:r>
      <w:r>
        <w:rPr>
          <w:color w:val="231F20"/>
          <w:w w:val="105"/>
          <w:sz w:val="21"/>
        </w:rPr>
        <w:t>o</w:t>
      </w:r>
      <w:r>
        <w:rPr>
          <w:color w:val="231F20"/>
          <w:spacing w:val="-6"/>
          <w:w w:val="105"/>
          <w:sz w:val="21"/>
        </w:rPr>
        <w:t> </w:t>
      </w:r>
      <w:r>
        <w:rPr>
          <w:color w:val="231F20"/>
          <w:w w:val="105"/>
          <w:sz w:val="21"/>
        </w:rPr>
        <w:t>per- manente debido a condiciones extremas en su país de ori- gen</w:t>
      </w:r>
      <w:r>
        <w:rPr>
          <w:color w:val="231F20"/>
          <w:spacing w:val="-14"/>
          <w:w w:val="105"/>
          <w:sz w:val="21"/>
        </w:rPr>
        <w:t> </w:t>
      </w:r>
      <w:r>
        <w:rPr>
          <w:color w:val="231F20"/>
          <w:w w:val="105"/>
          <w:sz w:val="21"/>
        </w:rPr>
        <w:t>que</w:t>
      </w:r>
      <w:r>
        <w:rPr>
          <w:color w:val="231F20"/>
          <w:spacing w:val="-14"/>
          <w:w w:val="105"/>
          <w:sz w:val="21"/>
        </w:rPr>
        <w:t> </w:t>
      </w:r>
      <w:r>
        <w:rPr>
          <w:color w:val="231F20"/>
          <w:w w:val="105"/>
          <w:sz w:val="21"/>
        </w:rPr>
        <w:t>ponen</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riesgo</w:t>
      </w:r>
      <w:r>
        <w:rPr>
          <w:color w:val="231F20"/>
          <w:spacing w:val="-14"/>
          <w:w w:val="105"/>
          <w:sz w:val="21"/>
        </w:rPr>
        <w:t> </w:t>
      </w:r>
      <w:r>
        <w:rPr>
          <w:color w:val="231F20"/>
          <w:w w:val="105"/>
          <w:sz w:val="21"/>
        </w:rPr>
        <w:t>su</w:t>
      </w:r>
      <w:r>
        <w:rPr>
          <w:color w:val="231F20"/>
          <w:spacing w:val="-14"/>
          <w:w w:val="105"/>
          <w:sz w:val="21"/>
        </w:rPr>
        <w:t> </w:t>
      </w:r>
      <w:r>
        <w:rPr>
          <w:color w:val="231F20"/>
          <w:w w:val="105"/>
          <w:sz w:val="21"/>
        </w:rPr>
        <w:t>vida</w:t>
      </w:r>
      <w:r>
        <w:rPr>
          <w:color w:val="231F20"/>
          <w:spacing w:val="-14"/>
          <w:w w:val="105"/>
          <w:sz w:val="21"/>
        </w:rPr>
        <w:t> </w:t>
      </w:r>
      <w:r>
        <w:rPr>
          <w:color w:val="231F20"/>
          <w:w w:val="105"/>
          <w:sz w:val="21"/>
        </w:rPr>
        <w:t>o</w:t>
      </w:r>
      <w:r>
        <w:rPr>
          <w:color w:val="231F20"/>
          <w:spacing w:val="-14"/>
          <w:w w:val="105"/>
          <w:sz w:val="21"/>
        </w:rPr>
        <w:t> </w:t>
      </w:r>
      <w:r>
        <w:rPr>
          <w:color w:val="231F20"/>
          <w:w w:val="105"/>
          <w:sz w:val="21"/>
        </w:rPr>
        <w:t>su</w:t>
      </w:r>
      <w:r>
        <w:rPr>
          <w:color w:val="231F20"/>
          <w:spacing w:val="-14"/>
          <w:w w:val="105"/>
          <w:sz w:val="21"/>
        </w:rPr>
        <w:t> </w:t>
      </w:r>
      <w:r>
        <w:rPr>
          <w:color w:val="231F20"/>
          <w:w w:val="105"/>
          <w:sz w:val="21"/>
        </w:rPr>
        <w:t>convivencia,</w:t>
      </w:r>
      <w:r>
        <w:rPr>
          <w:color w:val="231F20"/>
          <w:spacing w:val="-21"/>
          <w:w w:val="105"/>
          <w:sz w:val="21"/>
        </w:rPr>
        <w:t> </w:t>
      </w:r>
      <w:r>
        <w:rPr>
          <w:color w:val="231F20"/>
          <w:w w:val="105"/>
          <w:sz w:val="21"/>
        </w:rPr>
        <w:t>de</w:t>
      </w:r>
      <w:r>
        <w:rPr>
          <w:color w:val="231F20"/>
          <w:spacing w:val="-14"/>
          <w:w w:val="105"/>
          <w:sz w:val="21"/>
        </w:rPr>
        <w:t> </w:t>
      </w:r>
      <w:r>
        <w:rPr>
          <w:color w:val="231F20"/>
          <w:w w:val="105"/>
          <w:sz w:val="21"/>
        </w:rPr>
        <w:t>acuer- do</w:t>
      </w:r>
      <w:r>
        <w:rPr>
          <w:color w:val="231F20"/>
          <w:spacing w:val="-22"/>
          <w:w w:val="105"/>
          <w:sz w:val="21"/>
        </w:rPr>
        <w:t> </w:t>
      </w:r>
      <w:r>
        <w:rPr>
          <w:color w:val="231F20"/>
          <w:w w:val="105"/>
          <w:sz w:val="21"/>
        </w:rPr>
        <w:t>con</w:t>
      </w:r>
      <w:r>
        <w:rPr>
          <w:color w:val="231F20"/>
          <w:spacing w:val="-22"/>
          <w:w w:val="105"/>
          <w:sz w:val="21"/>
        </w:rPr>
        <w:t> </w:t>
      </w:r>
      <w:r>
        <w:rPr>
          <w:color w:val="231F20"/>
          <w:w w:val="105"/>
          <w:sz w:val="21"/>
        </w:rPr>
        <w:t>la</w:t>
      </w:r>
      <w:r>
        <w:rPr>
          <w:color w:val="231F20"/>
          <w:spacing w:val="-22"/>
          <w:w w:val="105"/>
          <w:sz w:val="21"/>
        </w:rPr>
        <w:t> </w:t>
      </w:r>
      <w:r>
        <w:rPr>
          <w:color w:val="231F20"/>
          <w:w w:val="105"/>
          <w:sz w:val="21"/>
        </w:rPr>
        <w:t>tradición</w:t>
      </w:r>
      <w:r>
        <w:rPr>
          <w:color w:val="231F20"/>
          <w:spacing w:val="-22"/>
          <w:w w:val="105"/>
          <w:sz w:val="21"/>
        </w:rPr>
        <w:t> </w:t>
      </w:r>
      <w:r>
        <w:rPr>
          <w:color w:val="231F20"/>
          <w:w w:val="105"/>
          <w:sz w:val="21"/>
        </w:rPr>
        <w:t>mexicana</w:t>
      </w:r>
      <w:r>
        <w:rPr>
          <w:color w:val="231F20"/>
          <w:spacing w:val="-22"/>
          <w:w w:val="105"/>
          <w:sz w:val="21"/>
        </w:rPr>
        <w:t> </w:t>
      </w:r>
      <w:r>
        <w:rPr>
          <w:color w:val="231F20"/>
          <w:w w:val="105"/>
          <w:sz w:val="21"/>
        </w:rPr>
        <w:t>en</w:t>
      </w:r>
      <w:r>
        <w:rPr>
          <w:color w:val="231F20"/>
          <w:spacing w:val="-22"/>
          <w:w w:val="105"/>
          <w:sz w:val="21"/>
        </w:rPr>
        <w:t> </w:t>
      </w:r>
      <w:r>
        <w:rPr>
          <w:color w:val="231F20"/>
          <w:w w:val="105"/>
          <w:sz w:val="21"/>
        </w:rPr>
        <w:t>este</w:t>
      </w:r>
      <w:r>
        <w:rPr>
          <w:color w:val="231F20"/>
          <w:spacing w:val="-22"/>
          <w:w w:val="105"/>
          <w:sz w:val="21"/>
        </w:rPr>
        <w:t> </w:t>
      </w:r>
      <w:r>
        <w:rPr>
          <w:color w:val="231F20"/>
          <w:w w:val="105"/>
          <w:sz w:val="21"/>
        </w:rPr>
        <w:t>sentido,</w:t>
      </w:r>
      <w:r>
        <w:rPr>
          <w:color w:val="231F20"/>
          <w:spacing w:val="-27"/>
          <w:w w:val="105"/>
          <w:sz w:val="21"/>
        </w:rPr>
        <w:t> </w:t>
      </w:r>
      <w:r>
        <w:rPr>
          <w:color w:val="231F20"/>
          <w:w w:val="105"/>
          <w:sz w:val="21"/>
        </w:rPr>
        <w:t>los</w:t>
      </w:r>
      <w:r>
        <w:rPr>
          <w:color w:val="231F20"/>
          <w:spacing w:val="-22"/>
          <w:w w:val="105"/>
          <w:sz w:val="21"/>
        </w:rPr>
        <w:t> </w:t>
      </w:r>
      <w:r>
        <w:rPr>
          <w:color w:val="231F20"/>
          <w:w w:val="105"/>
          <w:sz w:val="21"/>
        </w:rPr>
        <w:t>tratados</w:t>
      </w:r>
      <w:r>
        <w:rPr>
          <w:color w:val="231F20"/>
          <w:spacing w:val="-22"/>
          <w:w w:val="105"/>
          <w:sz w:val="21"/>
        </w:rPr>
        <w:t> </w:t>
      </w:r>
      <w:r>
        <w:rPr>
          <w:color w:val="231F20"/>
          <w:w w:val="105"/>
          <w:sz w:val="21"/>
        </w:rPr>
        <w:t>y</w:t>
      </w:r>
      <w:r>
        <w:rPr>
          <w:color w:val="231F20"/>
          <w:spacing w:val="-22"/>
          <w:w w:val="105"/>
          <w:sz w:val="21"/>
        </w:rPr>
        <w:t> </w:t>
      </w:r>
      <w:r>
        <w:rPr>
          <w:color w:val="231F20"/>
          <w:w w:val="105"/>
          <w:sz w:val="21"/>
        </w:rPr>
        <w:t>el derecho</w:t>
      </w:r>
      <w:r>
        <w:rPr>
          <w:color w:val="231F20"/>
          <w:spacing w:val="-20"/>
          <w:w w:val="105"/>
          <w:sz w:val="21"/>
        </w:rPr>
        <w:t> </w:t>
      </w:r>
      <w:r>
        <w:rPr>
          <w:color w:val="231F20"/>
          <w:w w:val="105"/>
          <w:sz w:val="21"/>
        </w:rPr>
        <w:t>internacional.</w:t>
      </w:r>
    </w:p>
    <w:p>
      <w:pPr>
        <w:pStyle w:val="ListParagraph"/>
        <w:numPr>
          <w:ilvl w:val="0"/>
          <w:numId w:val="2"/>
        </w:numPr>
        <w:tabs>
          <w:tab w:pos="2892" w:val="left" w:leader="none"/>
        </w:tabs>
        <w:spacing w:line="261" w:lineRule="auto" w:before="171" w:after="0"/>
        <w:ind w:left="2891" w:right="1814" w:hanging="360"/>
        <w:jc w:val="both"/>
        <w:rPr>
          <w:sz w:val="21"/>
        </w:rPr>
      </w:pPr>
      <w:r>
        <w:rPr>
          <w:color w:val="231F20"/>
          <w:spacing w:val="-3"/>
          <w:w w:val="105"/>
          <w:sz w:val="21"/>
        </w:rPr>
        <w:t>Facilitación</w:t>
      </w:r>
      <w:r>
        <w:rPr>
          <w:color w:val="231F20"/>
          <w:spacing w:val="-22"/>
          <w:w w:val="105"/>
          <w:sz w:val="21"/>
        </w:rPr>
        <w:t> </w:t>
      </w:r>
      <w:r>
        <w:rPr>
          <w:color w:val="231F20"/>
          <w:w w:val="105"/>
          <w:sz w:val="21"/>
        </w:rPr>
        <w:t>de</w:t>
      </w:r>
      <w:r>
        <w:rPr>
          <w:color w:val="231F20"/>
          <w:spacing w:val="-22"/>
          <w:w w:val="105"/>
          <w:sz w:val="21"/>
        </w:rPr>
        <w:t> </w:t>
      </w:r>
      <w:r>
        <w:rPr>
          <w:color w:val="231F20"/>
          <w:w w:val="105"/>
          <w:sz w:val="21"/>
        </w:rPr>
        <w:t>la</w:t>
      </w:r>
      <w:r>
        <w:rPr>
          <w:color w:val="231F20"/>
          <w:spacing w:val="-22"/>
          <w:w w:val="105"/>
          <w:sz w:val="21"/>
        </w:rPr>
        <w:t> </w:t>
      </w:r>
      <w:r>
        <w:rPr>
          <w:color w:val="231F20"/>
          <w:w w:val="105"/>
          <w:sz w:val="21"/>
        </w:rPr>
        <w:t>movilidad</w:t>
      </w:r>
      <w:r>
        <w:rPr>
          <w:color w:val="231F20"/>
          <w:spacing w:val="-22"/>
          <w:w w:val="105"/>
          <w:sz w:val="21"/>
        </w:rPr>
        <w:t> </w:t>
      </w:r>
      <w:r>
        <w:rPr>
          <w:color w:val="231F20"/>
          <w:w w:val="105"/>
          <w:sz w:val="21"/>
        </w:rPr>
        <w:t>internacional</w:t>
      </w:r>
      <w:r>
        <w:rPr>
          <w:color w:val="231F20"/>
          <w:spacing w:val="-22"/>
          <w:w w:val="105"/>
          <w:sz w:val="21"/>
        </w:rPr>
        <w:t> </w:t>
      </w:r>
      <w:r>
        <w:rPr>
          <w:color w:val="231F20"/>
          <w:w w:val="105"/>
          <w:sz w:val="21"/>
        </w:rPr>
        <w:t>de</w:t>
      </w:r>
      <w:r>
        <w:rPr>
          <w:color w:val="231F20"/>
          <w:spacing w:val="-22"/>
          <w:w w:val="105"/>
          <w:sz w:val="21"/>
        </w:rPr>
        <w:t> </w:t>
      </w:r>
      <w:r>
        <w:rPr>
          <w:color w:val="231F20"/>
          <w:w w:val="105"/>
          <w:sz w:val="21"/>
        </w:rPr>
        <w:t>personas,</w:t>
      </w:r>
      <w:r>
        <w:rPr>
          <w:color w:val="231F20"/>
          <w:spacing w:val="-27"/>
          <w:w w:val="105"/>
          <w:sz w:val="21"/>
        </w:rPr>
        <w:t> </w:t>
      </w:r>
      <w:r>
        <w:rPr>
          <w:color w:val="231F20"/>
          <w:w w:val="105"/>
          <w:sz w:val="21"/>
        </w:rPr>
        <w:t>salva- </w:t>
      </w:r>
      <w:r>
        <w:rPr>
          <w:color w:val="231F20"/>
          <w:spacing w:val="-3"/>
          <w:w w:val="105"/>
          <w:sz w:val="21"/>
        </w:rPr>
        <w:t>guardando</w:t>
      </w:r>
      <w:r>
        <w:rPr>
          <w:color w:val="231F20"/>
          <w:spacing w:val="-21"/>
          <w:w w:val="105"/>
          <w:sz w:val="21"/>
        </w:rPr>
        <w:t> </w:t>
      </w:r>
      <w:r>
        <w:rPr>
          <w:color w:val="231F20"/>
          <w:w w:val="105"/>
          <w:sz w:val="21"/>
        </w:rPr>
        <w:t>el</w:t>
      </w:r>
      <w:r>
        <w:rPr>
          <w:color w:val="231F20"/>
          <w:spacing w:val="-21"/>
          <w:w w:val="105"/>
          <w:sz w:val="21"/>
        </w:rPr>
        <w:t> </w:t>
      </w:r>
      <w:r>
        <w:rPr>
          <w:color w:val="231F20"/>
          <w:spacing w:val="-3"/>
          <w:w w:val="105"/>
          <w:sz w:val="21"/>
        </w:rPr>
        <w:t>orden</w:t>
      </w:r>
      <w:r>
        <w:rPr>
          <w:color w:val="231F20"/>
          <w:spacing w:val="-21"/>
          <w:w w:val="105"/>
          <w:sz w:val="21"/>
        </w:rPr>
        <w:t> </w:t>
      </w:r>
      <w:r>
        <w:rPr>
          <w:color w:val="231F20"/>
          <w:w w:val="105"/>
          <w:sz w:val="21"/>
        </w:rPr>
        <w:t>y</w:t>
      </w:r>
      <w:r>
        <w:rPr>
          <w:color w:val="231F20"/>
          <w:spacing w:val="-21"/>
          <w:w w:val="105"/>
          <w:sz w:val="21"/>
        </w:rPr>
        <w:t> </w:t>
      </w:r>
      <w:r>
        <w:rPr>
          <w:color w:val="231F20"/>
          <w:w w:val="105"/>
          <w:sz w:val="21"/>
        </w:rPr>
        <w:t>la</w:t>
      </w:r>
      <w:r>
        <w:rPr>
          <w:color w:val="231F20"/>
          <w:spacing w:val="-21"/>
          <w:w w:val="105"/>
          <w:sz w:val="21"/>
        </w:rPr>
        <w:t> </w:t>
      </w:r>
      <w:r>
        <w:rPr>
          <w:color w:val="231F20"/>
          <w:w w:val="105"/>
          <w:sz w:val="21"/>
        </w:rPr>
        <w:t>seguridad.</w:t>
      </w:r>
      <w:r>
        <w:rPr>
          <w:color w:val="231F20"/>
          <w:spacing w:val="-27"/>
          <w:w w:val="105"/>
          <w:sz w:val="21"/>
        </w:rPr>
        <w:t> </w:t>
      </w:r>
      <w:r>
        <w:rPr>
          <w:color w:val="231F20"/>
          <w:w w:val="105"/>
          <w:sz w:val="21"/>
        </w:rPr>
        <w:t>Este</w:t>
      </w:r>
      <w:r>
        <w:rPr>
          <w:color w:val="231F20"/>
          <w:spacing w:val="-21"/>
          <w:w w:val="105"/>
          <w:sz w:val="21"/>
        </w:rPr>
        <w:t> </w:t>
      </w:r>
      <w:r>
        <w:rPr>
          <w:color w:val="231F20"/>
          <w:w w:val="105"/>
          <w:sz w:val="21"/>
        </w:rPr>
        <w:t>principio</w:t>
      </w:r>
      <w:r>
        <w:rPr>
          <w:color w:val="231F20"/>
          <w:spacing w:val="-21"/>
          <w:w w:val="105"/>
          <w:sz w:val="21"/>
        </w:rPr>
        <w:t> </w:t>
      </w:r>
      <w:r>
        <w:rPr>
          <w:color w:val="231F20"/>
          <w:spacing w:val="-3"/>
          <w:w w:val="105"/>
          <w:sz w:val="21"/>
        </w:rPr>
        <w:t>reconoce</w:t>
      </w:r>
      <w:r>
        <w:rPr>
          <w:color w:val="231F20"/>
          <w:spacing w:val="-21"/>
          <w:w w:val="105"/>
          <w:sz w:val="21"/>
        </w:rPr>
        <w:t> </w:t>
      </w:r>
      <w:r>
        <w:rPr>
          <w:color w:val="231F20"/>
          <w:w w:val="105"/>
          <w:sz w:val="21"/>
        </w:rPr>
        <w:t>el aporte</w:t>
      </w:r>
      <w:r>
        <w:rPr>
          <w:color w:val="231F20"/>
          <w:spacing w:val="-25"/>
          <w:w w:val="105"/>
          <w:sz w:val="21"/>
        </w:rPr>
        <w:t> </w:t>
      </w:r>
      <w:r>
        <w:rPr>
          <w:color w:val="231F20"/>
          <w:w w:val="105"/>
          <w:sz w:val="21"/>
        </w:rPr>
        <w:t>de</w:t>
      </w:r>
      <w:r>
        <w:rPr>
          <w:color w:val="231F20"/>
          <w:spacing w:val="-25"/>
          <w:w w:val="105"/>
          <w:sz w:val="21"/>
        </w:rPr>
        <w:t> </w:t>
      </w:r>
      <w:r>
        <w:rPr>
          <w:color w:val="231F20"/>
          <w:w w:val="105"/>
          <w:sz w:val="21"/>
        </w:rPr>
        <w:t>los</w:t>
      </w:r>
      <w:r>
        <w:rPr>
          <w:color w:val="231F20"/>
          <w:spacing w:val="-25"/>
          <w:w w:val="105"/>
          <w:sz w:val="21"/>
        </w:rPr>
        <w:t> </w:t>
      </w:r>
      <w:r>
        <w:rPr>
          <w:color w:val="231F20"/>
          <w:w w:val="105"/>
          <w:sz w:val="21"/>
        </w:rPr>
        <w:t>migrantes</w:t>
      </w:r>
      <w:r>
        <w:rPr>
          <w:color w:val="231F20"/>
          <w:spacing w:val="-25"/>
          <w:w w:val="105"/>
          <w:sz w:val="21"/>
        </w:rPr>
        <w:t> </w:t>
      </w:r>
      <w:r>
        <w:rPr>
          <w:color w:val="231F20"/>
          <w:w w:val="105"/>
          <w:sz w:val="21"/>
        </w:rPr>
        <w:t>a</w:t>
      </w:r>
      <w:r>
        <w:rPr>
          <w:color w:val="231F20"/>
          <w:spacing w:val="-25"/>
          <w:w w:val="105"/>
          <w:sz w:val="21"/>
        </w:rPr>
        <w:t> </w:t>
      </w:r>
      <w:r>
        <w:rPr>
          <w:color w:val="231F20"/>
          <w:w w:val="105"/>
          <w:sz w:val="21"/>
        </w:rPr>
        <w:t>las</w:t>
      </w:r>
      <w:r>
        <w:rPr>
          <w:color w:val="231F20"/>
          <w:spacing w:val="-25"/>
          <w:w w:val="105"/>
          <w:sz w:val="21"/>
        </w:rPr>
        <w:t> </w:t>
      </w:r>
      <w:r>
        <w:rPr>
          <w:color w:val="231F20"/>
          <w:w w:val="105"/>
          <w:sz w:val="21"/>
        </w:rPr>
        <w:t>sociedades</w:t>
      </w:r>
      <w:r>
        <w:rPr>
          <w:color w:val="231F20"/>
          <w:spacing w:val="-25"/>
          <w:w w:val="105"/>
          <w:sz w:val="21"/>
        </w:rPr>
        <w:t> </w:t>
      </w:r>
      <w:r>
        <w:rPr>
          <w:color w:val="231F20"/>
          <w:w w:val="105"/>
          <w:sz w:val="21"/>
        </w:rPr>
        <w:t>de</w:t>
      </w:r>
      <w:r>
        <w:rPr>
          <w:color w:val="231F20"/>
          <w:spacing w:val="-25"/>
          <w:w w:val="105"/>
          <w:sz w:val="21"/>
        </w:rPr>
        <w:t> </w:t>
      </w:r>
      <w:r>
        <w:rPr>
          <w:color w:val="231F20"/>
          <w:w w:val="105"/>
          <w:sz w:val="21"/>
        </w:rPr>
        <w:t>origen</w:t>
      </w:r>
      <w:r>
        <w:rPr>
          <w:color w:val="231F20"/>
          <w:spacing w:val="-25"/>
          <w:w w:val="105"/>
          <w:sz w:val="21"/>
        </w:rPr>
        <w:t> </w:t>
      </w:r>
      <w:r>
        <w:rPr>
          <w:color w:val="231F20"/>
          <w:w w:val="105"/>
          <w:sz w:val="21"/>
        </w:rPr>
        <w:t>y</w:t>
      </w:r>
      <w:r>
        <w:rPr>
          <w:color w:val="231F20"/>
          <w:spacing w:val="-25"/>
          <w:w w:val="105"/>
          <w:sz w:val="21"/>
        </w:rPr>
        <w:t> </w:t>
      </w:r>
      <w:r>
        <w:rPr>
          <w:color w:val="231F20"/>
          <w:w w:val="105"/>
          <w:sz w:val="21"/>
        </w:rPr>
        <w:t>destino.</w:t>
      </w:r>
    </w:p>
    <w:p>
      <w:pPr>
        <w:pStyle w:val="BodyText"/>
        <w:rPr>
          <w:sz w:val="20"/>
        </w:rPr>
      </w:pPr>
    </w:p>
    <w:p>
      <w:pPr>
        <w:pStyle w:val="BodyText"/>
        <w:rPr>
          <w:sz w:val="20"/>
        </w:rPr>
      </w:pPr>
    </w:p>
    <w:p>
      <w:pPr>
        <w:pStyle w:val="BodyText"/>
        <w:spacing w:before="8"/>
        <w:rPr>
          <w:sz w:val="19"/>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6952" from="131.551193pt,3.703715pt" to="131.551193pt,39.506114pt" stroked="true" strokeweight=".35pt" strokecolor="#231f20">
            <w10:wrap type="none"/>
          </v:line>
        </w:pict>
      </w:r>
      <w:r>
        <w:rPr/>
        <w:pict>
          <v:line style="position:absolute;mso-position-horizontal-relative:page;mso-position-vertical-relative:paragraph;z-index:-486880" from="15pt,39.505917pt" to="0pt,39.505917pt" stroked="true" strokeweight=".25pt" strokecolor="#000000">
            <w10:wrap type="none"/>
          </v:line>
        </w:pict>
      </w:r>
      <w:r>
        <w:rPr/>
        <w:pict>
          <v:line style="position:absolute;mso-position-horizontal-relative:page;mso-position-vertical-relative:paragraph;z-index:3328" from="508.890015pt,39.505917pt" to="523.890015pt,39.505917pt" stroked="true" strokeweight=".25pt" strokecolor="#000000">
            <w10:wrap type="none"/>
          </v:line>
        </w:pict>
      </w:r>
      <w:r>
        <w:rPr>
          <w:rFonts w:ascii="Arial" w:hAnsi="Arial"/>
          <w:color w:val="414042"/>
          <w:position w:val="-5"/>
          <w:sz w:val="20"/>
        </w:rPr>
        <w:t>34</w:t>
        <w:tab/>
      </w:r>
      <w:r>
        <w:rPr>
          <w:rFonts w:ascii="Calibri" w:hAnsi="Calibri"/>
          <w:color w:val="6D6E71"/>
          <w:sz w:val="15"/>
        </w:rPr>
        <w:t>Jorge Olvera</w:t>
      </w:r>
      <w:r>
        <w:rPr>
          <w:rFonts w:ascii="Calibri" w:hAnsi="Calibri"/>
          <w:color w:val="6D6E71"/>
          <w:spacing w:val="12"/>
          <w:sz w:val="15"/>
        </w:rPr>
        <w:t> </w:t>
      </w:r>
      <w:r>
        <w:rPr>
          <w:rFonts w:ascii="Calibri" w:hAnsi="Calibri"/>
          <w:color w:val="6D6E71"/>
          <w:sz w:val="15"/>
        </w:rPr>
        <w:t>García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001" w:right="0" w:firstLine="0"/>
        <w:jc w:val="left"/>
        <w:rPr>
          <w:rFonts w:ascii="Arial" w:hAnsi="Arial"/>
          <w:sz w:val="20"/>
        </w:rPr>
      </w:pPr>
      <w:r>
        <w:rPr/>
        <w:pict>
          <v:line style="position:absolute;mso-position-horizontal-relative:page;mso-position-vertical-relative:paragraph;z-index:-486832" from="405.061005pt,-18.554295pt" to="405.061005pt,16.311579pt" stroked="true" strokeweight=".35pt" strokecolor="#231f20">
            <w10:wrap type="none"/>
          </v:line>
        </w:pict>
      </w:r>
      <w:r>
        <w:rPr/>
        <w:pict>
          <v:line style="position:absolute;mso-position-horizontal-relative:page;mso-position-vertical-relative:paragraph;z-index:3376" from="15pt,-18.554522pt" to="0pt,-18.554522pt" stroked="true" strokeweight=".25pt" strokecolor="#000000">
            <w10:wrap type="none"/>
          </v:line>
        </w:pict>
      </w:r>
      <w:r>
        <w:rPr/>
        <w:pict>
          <v:line style="position:absolute;mso-position-horizontal-relative:page;mso-position-vertical-relative:paragraph;z-index:3400" from="508.890015pt,-18.554522pt" to="523.890015pt,-18.554522pt" stroked="true" strokeweight=".25pt" strokecolor="#000000">
            <w10:wrap type="none"/>
          </v:line>
        </w:pict>
      </w:r>
      <w:r>
        <w:rPr>
          <w:rFonts w:ascii="Lucida Sans Unicode" w:hAnsi="Lucida Sans Unicode"/>
          <w:color w:val="6D6E71"/>
          <w:w w:val="105"/>
          <w:sz w:val="14"/>
        </w:rPr>
        <w:t>Derechos</w:t>
      </w:r>
      <w:r>
        <w:rPr>
          <w:rFonts w:ascii="Lucida Sans Unicode" w:hAnsi="Lucida Sans Unicode"/>
          <w:color w:val="6D6E71"/>
          <w:spacing w:val="-15"/>
          <w:w w:val="105"/>
          <w:sz w:val="14"/>
        </w:rPr>
        <w:t> </w:t>
      </w:r>
      <w:r>
        <w:rPr>
          <w:rFonts w:ascii="Lucida Sans Unicode" w:hAnsi="Lucida Sans Unicode"/>
          <w:color w:val="6D6E71"/>
          <w:w w:val="105"/>
          <w:sz w:val="14"/>
        </w:rPr>
        <w:t>humanos,</w:t>
      </w:r>
      <w:r>
        <w:rPr>
          <w:rFonts w:ascii="Lucida Sans Unicode" w:hAnsi="Lucida Sans Unicode"/>
          <w:color w:val="6D6E71"/>
          <w:spacing w:val="-15"/>
          <w:w w:val="105"/>
          <w:sz w:val="14"/>
        </w:rPr>
        <w:t> </w:t>
      </w:r>
      <w:r>
        <w:rPr>
          <w:rFonts w:ascii="Lucida Sans Unicode" w:hAnsi="Lucida Sans Unicode"/>
          <w:color w:val="6D6E71"/>
          <w:w w:val="105"/>
          <w:sz w:val="14"/>
        </w:rPr>
        <w:t>eDucación</w:t>
      </w:r>
      <w:r>
        <w:rPr>
          <w:rFonts w:ascii="Lucida Sans Unicode" w:hAnsi="Lucida Sans Unicode"/>
          <w:color w:val="6D6E71"/>
          <w:spacing w:val="-15"/>
          <w:w w:val="105"/>
          <w:sz w:val="14"/>
        </w:rPr>
        <w:t> </w:t>
      </w:r>
      <w:r>
        <w:rPr>
          <w:rFonts w:ascii="Lucida Sans Unicode" w:hAnsi="Lucida Sans Unicode"/>
          <w:color w:val="6D6E71"/>
          <w:w w:val="105"/>
          <w:sz w:val="14"/>
        </w:rPr>
        <w:t>y</w:t>
      </w:r>
      <w:r>
        <w:rPr>
          <w:rFonts w:ascii="Lucida Sans Unicode" w:hAnsi="Lucida Sans Unicode"/>
          <w:color w:val="6D6E71"/>
          <w:spacing w:val="-15"/>
          <w:w w:val="105"/>
          <w:sz w:val="14"/>
        </w:rPr>
        <w:t> </w:t>
      </w:r>
      <w:r>
        <w:rPr>
          <w:rFonts w:ascii="Lucida Sans Unicode" w:hAnsi="Lucida Sans Unicode"/>
          <w:color w:val="6D6E71"/>
          <w:w w:val="105"/>
          <w:sz w:val="14"/>
        </w:rPr>
        <w:t>participación</w:t>
      </w:r>
      <w:r>
        <w:rPr>
          <w:rFonts w:ascii="Lucida Sans Unicode" w:hAnsi="Lucida Sans Unicode"/>
          <w:color w:val="6D6E71"/>
          <w:spacing w:val="-15"/>
          <w:w w:val="105"/>
          <w:sz w:val="14"/>
        </w:rPr>
        <w:t> </w:t>
      </w:r>
      <w:r>
        <w:rPr>
          <w:rFonts w:ascii="Lucida Sans Unicode" w:hAnsi="Lucida Sans Unicode"/>
          <w:color w:val="6D6E71"/>
          <w:w w:val="105"/>
          <w:sz w:val="14"/>
        </w:rPr>
        <w:t>De</w:t>
      </w:r>
      <w:r>
        <w:rPr>
          <w:rFonts w:ascii="Lucida Sans Unicode" w:hAnsi="Lucida Sans Unicode"/>
          <w:color w:val="6D6E71"/>
          <w:spacing w:val="-15"/>
          <w:w w:val="105"/>
          <w:sz w:val="14"/>
        </w:rPr>
        <w:t> </w:t>
      </w:r>
      <w:r>
        <w:rPr>
          <w:rFonts w:ascii="Lucida Sans Unicode" w:hAnsi="Lucida Sans Unicode"/>
          <w:color w:val="6D6E71"/>
          <w:w w:val="115"/>
          <w:sz w:val="14"/>
        </w:rPr>
        <w:t>la</w:t>
      </w:r>
      <w:r>
        <w:rPr>
          <w:rFonts w:ascii="Lucida Sans Unicode" w:hAnsi="Lucida Sans Unicode"/>
          <w:color w:val="6D6E71"/>
          <w:spacing w:val="-19"/>
          <w:w w:val="115"/>
          <w:sz w:val="14"/>
        </w:rPr>
        <w:t> </w:t>
      </w:r>
      <w:r>
        <w:rPr>
          <w:rFonts w:ascii="Lucida Sans Unicode" w:hAnsi="Lucida Sans Unicode"/>
          <w:color w:val="6D6E71"/>
          <w:w w:val="105"/>
          <w:sz w:val="14"/>
        </w:rPr>
        <w:t>población</w:t>
      </w:r>
      <w:r>
        <w:rPr>
          <w:rFonts w:ascii="Lucida Sans Unicode" w:hAnsi="Lucida Sans Unicode"/>
          <w:color w:val="6D6E71"/>
          <w:spacing w:val="-15"/>
          <w:w w:val="105"/>
          <w:sz w:val="14"/>
        </w:rPr>
        <w:t> </w:t>
      </w:r>
      <w:r>
        <w:rPr>
          <w:rFonts w:ascii="Lucida Sans Unicode" w:hAnsi="Lucida Sans Unicode"/>
          <w:color w:val="6D6E71"/>
          <w:w w:val="105"/>
          <w:sz w:val="14"/>
        </w:rPr>
        <w:t>migrante</w:t>
      </w:r>
      <w:r>
        <w:rPr>
          <w:rFonts w:ascii="Arial" w:hAnsi="Arial"/>
          <w:color w:val="414042"/>
          <w:w w:val="105"/>
          <w:position w:val="-3"/>
          <w:sz w:val="20"/>
        </w:rPr>
        <w:tab/>
        <w:t>35</w:t>
      </w:r>
    </w:p>
    <w:p>
      <w:pPr>
        <w:pStyle w:val="BodyText"/>
        <w:rPr>
          <w:rFonts w:ascii="Arial"/>
          <w:sz w:val="20"/>
        </w:rPr>
      </w:pPr>
    </w:p>
    <w:p>
      <w:pPr>
        <w:pStyle w:val="BodyText"/>
        <w:rPr>
          <w:rFonts w:ascii="Arial"/>
          <w:sz w:val="20"/>
        </w:rPr>
      </w:pPr>
    </w:p>
    <w:p>
      <w:pPr>
        <w:pStyle w:val="BodyText"/>
        <w:spacing w:line="261" w:lineRule="auto" w:before="179"/>
        <w:ind w:left="3047" w:right="1716"/>
        <w:jc w:val="both"/>
      </w:pPr>
      <w:r>
        <w:rPr>
          <w:color w:val="231F20"/>
          <w:w w:val="105"/>
        </w:rPr>
        <w:t>Al</w:t>
      </w:r>
      <w:r>
        <w:rPr>
          <w:color w:val="231F20"/>
          <w:spacing w:val="-7"/>
          <w:w w:val="105"/>
        </w:rPr>
        <w:t> </w:t>
      </w:r>
      <w:r>
        <w:rPr>
          <w:color w:val="231F20"/>
          <w:w w:val="105"/>
        </w:rPr>
        <w:t>mismo</w:t>
      </w:r>
      <w:r>
        <w:rPr>
          <w:color w:val="231F20"/>
          <w:spacing w:val="-7"/>
          <w:w w:val="105"/>
        </w:rPr>
        <w:t> </w:t>
      </w:r>
      <w:r>
        <w:rPr>
          <w:color w:val="231F20"/>
          <w:w w:val="105"/>
        </w:rPr>
        <w:t>tiempo,</w:t>
      </w:r>
      <w:r>
        <w:rPr>
          <w:color w:val="231F20"/>
          <w:spacing w:val="-13"/>
          <w:w w:val="105"/>
        </w:rPr>
        <w:t> </w:t>
      </w:r>
      <w:r>
        <w:rPr>
          <w:color w:val="231F20"/>
          <w:w w:val="105"/>
        </w:rPr>
        <w:t>pugna</w:t>
      </w:r>
      <w:r>
        <w:rPr>
          <w:color w:val="231F20"/>
          <w:spacing w:val="-7"/>
          <w:w w:val="105"/>
        </w:rPr>
        <w:t> </w:t>
      </w:r>
      <w:r>
        <w:rPr>
          <w:color w:val="231F20"/>
          <w:w w:val="105"/>
        </w:rPr>
        <w:t>por</w:t>
      </w:r>
      <w:r>
        <w:rPr>
          <w:color w:val="231F20"/>
          <w:spacing w:val="-7"/>
          <w:w w:val="105"/>
        </w:rPr>
        <w:t> </w:t>
      </w:r>
      <w:r>
        <w:rPr>
          <w:color w:val="231F20"/>
          <w:w w:val="105"/>
        </w:rPr>
        <w:t>fortalecer</w:t>
      </w:r>
      <w:r>
        <w:rPr>
          <w:color w:val="231F20"/>
          <w:spacing w:val="-7"/>
          <w:w w:val="105"/>
        </w:rPr>
        <w:t> </w:t>
      </w:r>
      <w:r>
        <w:rPr>
          <w:color w:val="231F20"/>
          <w:w w:val="105"/>
        </w:rPr>
        <w:t>la</w:t>
      </w:r>
      <w:r>
        <w:rPr>
          <w:color w:val="231F20"/>
          <w:spacing w:val="-7"/>
          <w:w w:val="105"/>
        </w:rPr>
        <w:t> </w:t>
      </w:r>
      <w:r>
        <w:rPr>
          <w:color w:val="231F20"/>
          <w:w w:val="105"/>
        </w:rPr>
        <w:t>contribución</w:t>
      </w:r>
      <w:r>
        <w:rPr>
          <w:color w:val="231F20"/>
          <w:spacing w:val="-7"/>
          <w:w w:val="105"/>
        </w:rPr>
        <w:t> </w:t>
      </w:r>
      <w:r>
        <w:rPr>
          <w:color w:val="231F20"/>
          <w:w w:val="105"/>
        </w:rPr>
        <w:t>de</w:t>
      </w:r>
      <w:r>
        <w:rPr>
          <w:color w:val="231F20"/>
          <w:spacing w:val="-7"/>
          <w:w w:val="105"/>
        </w:rPr>
        <w:t> </w:t>
      </w:r>
      <w:r>
        <w:rPr>
          <w:color w:val="231F20"/>
          <w:w w:val="105"/>
        </w:rPr>
        <w:t>la autoridad</w:t>
      </w:r>
      <w:r>
        <w:rPr>
          <w:color w:val="231F20"/>
          <w:spacing w:val="-6"/>
          <w:w w:val="105"/>
        </w:rPr>
        <w:t> </w:t>
      </w:r>
      <w:r>
        <w:rPr>
          <w:color w:val="231F20"/>
          <w:spacing w:val="-3"/>
          <w:w w:val="105"/>
        </w:rPr>
        <w:t>migratoria</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seguridad</w:t>
      </w:r>
      <w:r>
        <w:rPr>
          <w:color w:val="231F20"/>
          <w:spacing w:val="-6"/>
          <w:w w:val="105"/>
        </w:rPr>
        <w:t> </w:t>
      </w:r>
      <w:r>
        <w:rPr>
          <w:color w:val="231F20"/>
          <w:w w:val="105"/>
        </w:rPr>
        <w:t>pública</w:t>
      </w:r>
      <w:r>
        <w:rPr>
          <w:color w:val="231F20"/>
          <w:spacing w:val="-6"/>
          <w:w w:val="105"/>
        </w:rPr>
        <w:t> </w:t>
      </w:r>
      <w:r>
        <w:rPr>
          <w:color w:val="231F20"/>
          <w:w w:val="105"/>
        </w:rPr>
        <w:t>y</w:t>
      </w:r>
      <w:r>
        <w:rPr>
          <w:color w:val="231F20"/>
          <w:spacing w:val="-6"/>
          <w:w w:val="105"/>
        </w:rPr>
        <w:t> </w:t>
      </w:r>
      <w:r>
        <w:rPr>
          <w:color w:val="231F20"/>
          <w:spacing w:val="-3"/>
          <w:w w:val="105"/>
        </w:rPr>
        <w:t>fronteriza,</w:t>
      </w:r>
      <w:r>
        <w:rPr>
          <w:color w:val="231F20"/>
          <w:spacing w:val="-12"/>
          <w:w w:val="105"/>
        </w:rPr>
        <w:t> </w:t>
      </w:r>
      <w:r>
        <w:rPr>
          <w:color w:val="231F20"/>
          <w:w w:val="105"/>
        </w:rPr>
        <w:t>a</w:t>
      </w:r>
      <w:r>
        <w:rPr>
          <w:color w:val="231F20"/>
          <w:spacing w:val="-6"/>
          <w:w w:val="105"/>
        </w:rPr>
        <w:t> </w:t>
      </w:r>
      <w:r>
        <w:rPr>
          <w:color w:val="231F20"/>
          <w:w w:val="105"/>
        </w:rPr>
        <w:t>la seguridad </w:t>
      </w:r>
      <w:r>
        <w:rPr>
          <w:color w:val="231F20"/>
          <w:spacing w:val="-3"/>
          <w:w w:val="105"/>
        </w:rPr>
        <w:t>regional </w:t>
      </w:r>
      <w:r>
        <w:rPr>
          <w:color w:val="231F20"/>
          <w:w w:val="105"/>
        </w:rPr>
        <w:t>y al combate </w:t>
      </w:r>
      <w:r>
        <w:rPr>
          <w:color w:val="231F20"/>
          <w:spacing w:val="-2"/>
          <w:w w:val="105"/>
        </w:rPr>
        <w:t>contra </w:t>
      </w:r>
      <w:r>
        <w:rPr>
          <w:color w:val="231F20"/>
          <w:w w:val="105"/>
        </w:rPr>
        <w:t>el crimen </w:t>
      </w:r>
      <w:r>
        <w:rPr>
          <w:color w:val="231F20"/>
          <w:spacing w:val="-3"/>
          <w:w w:val="105"/>
        </w:rPr>
        <w:t>organiza- </w:t>
      </w:r>
      <w:r>
        <w:rPr>
          <w:color w:val="231F20"/>
          <w:spacing w:val="-2"/>
          <w:w w:val="105"/>
        </w:rPr>
        <w:t>do, </w:t>
      </w:r>
      <w:r>
        <w:rPr>
          <w:color w:val="231F20"/>
          <w:w w:val="105"/>
        </w:rPr>
        <w:t>especialmente en el combate al tráfico o </w:t>
      </w:r>
      <w:r>
        <w:rPr>
          <w:color w:val="231F20"/>
          <w:spacing w:val="-3"/>
          <w:w w:val="105"/>
        </w:rPr>
        <w:t>secuestro </w:t>
      </w:r>
      <w:r>
        <w:rPr>
          <w:color w:val="231F20"/>
          <w:w w:val="105"/>
        </w:rPr>
        <w:t>de migrantes,</w:t>
      </w:r>
      <w:r>
        <w:rPr>
          <w:color w:val="231F20"/>
          <w:spacing w:val="-38"/>
          <w:w w:val="105"/>
        </w:rPr>
        <w:t> </w:t>
      </w:r>
      <w:r>
        <w:rPr>
          <w:color w:val="231F20"/>
          <w:w w:val="105"/>
        </w:rPr>
        <w:t>y</w:t>
      </w:r>
      <w:r>
        <w:rPr>
          <w:color w:val="231F20"/>
          <w:spacing w:val="-35"/>
          <w:w w:val="105"/>
        </w:rPr>
        <w:t> </w:t>
      </w:r>
      <w:r>
        <w:rPr>
          <w:color w:val="231F20"/>
          <w:w w:val="105"/>
        </w:rPr>
        <w:t>a</w:t>
      </w:r>
      <w:r>
        <w:rPr>
          <w:color w:val="231F20"/>
          <w:spacing w:val="-35"/>
          <w:w w:val="105"/>
        </w:rPr>
        <w:t> </w:t>
      </w:r>
      <w:r>
        <w:rPr>
          <w:color w:val="231F20"/>
          <w:w w:val="105"/>
        </w:rPr>
        <w:t>la</w:t>
      </w:r>
      <w:r>
        <w:rPr>
          <w:color w:val="231F20"/>
          <w:spacing w:val="-35"/>
          <w:w w:val="105"/>
        </w:rPr>
        <w:t> </w:t>
      </w:r>
      <w:r>
        <w:rPr>
          <w:color w:val="231F20"/>
          <w:spacing w:val="-3"/>
          <w:w w:val="105"/>
        </w:rPr>
        <w:t>trata</w:t>
      </w:r>
      <w:r>
        <w:rPr>
          <w:color w:val="231F20"/>
          <w:spacing w:val="-35"/>
          <w:w w:val="105"/>
        </w:rPr>
        <w:t> </w:t>
      </w:r>
      <w:r>
        <w:rPr>
          <w:color w:val="231F20"/>
          <w:w w:val="105"/>
        </w:rPr>
        <w:t>de</w:t>
      </w:r>
      <w:r>
        <w:rPr>
          <w:color w:val="231F20"/>
          <w:spacing w:val="-35"/>
          <w:w w:val="105"/>
        </w:rPr>
        <w:t> </w:t>
      </w:r>
      <w:r>
        <w:rPr>
          <w:color w:val="231F20"/>
          <w:w w:val="105"/>
        </w:rPr>
        <w:t>personas</w:t>
      </w:r>
      <w:r>
        <w:rPr>
          <w:color w:val="231F20"/>
          <w:spacing w:val="-35"/>
          <w:w w:val="105"/>
        </w:rPr>
        <w:t> </w:t>
      </w:r>
      <w:r>
        <w:rPr>
          <w:color w:val="231F20"/>
          <w:w w:val="105"/>
        </w:rPr>
        <w:t>en</w:t>
      </w:r>
      <w:r>
        <w:rPr>
          <w:color w:val="231F20"/>
          <w:spacing w:val="-35"/>
          <w:w w:val="105"/>
        </w:rPr>
        <w:t> </w:t>
      </w:r>
      <w:r>
        <w:rPr>
          <w:color w:val="231F20"/>
          <w:w w:val="105"/>
        </w:rPr>
        <w:t>todas</w:t>
      </w:r>
      <w:r>
        <w:rPr>
          <w:color w:val="231F20"/>
          <w:spacing w:val="-35"/>
          <w:w w:val="105"/>
        </w:rPr>
        <w:t> </w:t>
      </w:r>
      <w:r>
        <w:rPr>
          <w:color w:val="231F20"/>
          <w:w w:val="105"/>
        </w:rPr>
        <w:t>sus</w:t>
      </w:r>
      <w:r>
        <w:rPr>
          <w:color w:val="231F20"/>
          <w:spacing w:val="-35"/>
          <w:w w:val="105"/>
        </w:rPr>
        <w:t> </w:t>
      </w:r>
      <w:r>
        <w:rPr>
          <w:color w:val="231F20"/>
          <w:spacing w:val="-2"/>
          <w:w w:val="105"/>
        </w:rPr>
        <w:t>modalidades.</w:t>
      </w:r>
    </w:p>
    <w:p>
      <w:pPr>
        <w:pStyle w:val="ListParagraph"/>
        <w:numPr>
          <w:ilvl w:val="0"/>
          <w:numId w:val="3"/>
        </w:numPr>
        <w:tabs>
          <w:tab w:pos="3048" w:val="left" w:leader="none"/>
        </w:tabs>
        <w:spacing w:line="261" w:lineRule="auto" w:before="171" w:after="0"/>
        <w:ind w:left="3047" w:right="1725" w:hanging="360"/>
        <w:jc w:val="both"/>
        <w:rPr>
          <w:sz w:val="21"/>
        </w:rPr>
      </w:pPr>
      <w:r>
        <w:rPr>
          <w:color w:val="231F20"/>
          <w:spacing w:val="-4"/>
          <w:w w:val="105"/>
          <w:sz w:val="21"/>
        </w:rPr>
        <w:t>Complementariedad</w:t>
      </w:r>
      <w:r>
        <w:rPr>
          <w:color w:val="231F20"/>
          <w:spacing w:val="-31"/>
          <w:w w:val="105"/>
          <w:sz w:val="21"/>
        </w:rPr>
        <w:t> </w:t>
      </w:r>
      <w:r>
        <w:rPr>
          <w:color w:val="231F20"/>
          <w:w w:val="105"/>
          <w:sz w:val="21"/>
        </w:rPr>
        <w:t>de</w:t>
      </w:r>
      <w:r>
        <w:rPr>
          <w:color w:val="231F20"/>
          <w:spacing w:val="-31"/>
          <w:w w:val="105"/>
          <w:sz w:val="21"/>
        </w:rPr>
        <w:t> </w:t>
      </w:r>
      <w:r>
        <w:rPr>
          <w:color w:val="231F20"/>
          <w:spacing w:val="-3"/>
          <w:w w:val="105"/>
          <w:sz w:val="21"/>
        </w:rPr>
        <w:t>los</w:t>
      </w:r>
      <w:r>
        <w:rPr>
          <w:color w:val="231F20"/>
          <w:spacing w:val="-31"/>
          <w:w w:val="105"/>
          <w:sz w:val="21"/>
        </w:rPr>
        <w:t> </w:t>
      </w:r>
      <w:r>
        <w:rPr>
          <w:color w:val="231F20"/>
          <w:spacing w:val="-4"/>
          <w:w w:val="105"/>
          <w:sz w:val="21"/>
        </w:rPr>
        <w:t>mercados</w:t>
      </w:r>
      <w:r>
        <w:rPr>
          <w:color w:val="231F20"/>
          <w:spacing w:val="-31"/>
          <w:w w:val="105"/>
          <w:sz w:val="21"/>
        </w:rPr>
        <w:t> </w:t>
      </w:r>
      <w:r>
        <w:rPr>
          <w:color w:val="231F20"/>
          <w:spacing w:val="-4"/>
          <w:w w:val="105"/>
          <w:sz w:val="21"/>
        </w:rPr>
        <w:t>laborales</w:t>
      </w:r>
      <w:r>
        <w:rPr>
          <w:color w:val="231F20"/>
          <w:spacing w:val="-31"/>
          <w:w w:val="105"/>
          <w:sz w:val="21"/>
        </w:rPr>
        <w:t> </w:t>
      </w:r>
      <w:r>
        <w:rPr>
          <w:color w:val="231F20"/>
          <w:spacing w:val="-3"/>
          <w:w w:val="105"/>
          <w:sz w:val="21"/>
        </w:rPr>
        <w:t>con</w:t>
      </w:r>
      <w:r>
        <w:rPr>
          <w:color w:val="231F20"/>
          <w:spacing w:val="-31"/>
          <w:w w:val="105"/>
          <w:sz w:val="21"/>
        </w:rPr>
        <w:t> </w:t>
      </w:r>
      <w:r>
        <w:rPr>
          <w:color w:val="231F20"/>
          <w:spacing w:val="-3"/>
          <w:w w:val="105"/>
          <w:sz w:val="21"/>
        </w:rPr>
        <w:t>los</w:t>
      </w:r>
      <w:r>
        <w:rPr>
          <w:color w:val="231F20"/>
          <w:spacing w:val="-31"/>
          <w:w w:val="105"/>
          <w:sz w:val="21"/>
        </w:rPr>
        <w:t> </w:t>
      </w:r>
      <w:r>
        <w:rPr>
          <w:color w:val="231F20"/>
          <w:spacing w:val="-4"/>
          <w:w w:val="105"/>
          <w:sz w:val="21"/>
        </w:rPr>
        <w:t>países </w:t>
      </w:r>
      <w:r>
        <w:rPr>
          <w:color w:val="231F20"/>
          <w:w w:val="105"/>
          <w:sz w:val="21"/>
        </w:rPr>
        <w:t>de la </w:t>
      </w:r>
      <w:r>
        <w:rPr>
          <w:color w:val="231F20"/>
          <w:spacing w:val="-4"/>
          <w:w w:val="105"/>
          <w:sz w:val="21"/>
        </w:rPr>
        <w:t>región, </w:t>
      </w:r>
      <w:r>
        <w:rPr>
          <w:color w:val="231F20"/>
          <w:spacing w:val="-3"/>
          <w:w w:val="105"/>
          <w:sz w:val="21"/>
        </w:rPr>
        <w:t>como </w:t>
      </w:r>
      <w:r>
        <w:rPr>
          <w:color w:val="231F20"/>
          <w:spacing w:val="-4"/>
          <w:w w:val="105"/>
          <w:sz w:val="21"/>
        </w:rPr>
        <w:t>fundamento para </w:t>
      </w:r>
      <w:r>
        <w:rPr>
          <w:color w:val="231F20"/>
          <w:spacing w:val="-3"/>
          <w:w w:val="105"/>
          <w:sz w:val="21"/>
        </w:rPr>
        <w:t>una </w:t>
      </w:r>
      <w:r>
        <w:rPr>
          <w:color w:val="231F20"/>
          <w:spacing w:val="-4"/>
          <w:w w:val="105"/>
          <w:sz w:val="21"/>
        </w:rPr>
        <w:t>gestión adecuada </w:t>
      </w:r>
      <w:r>
        <w:rPr>
          <w:color w:val="231F20"/>
          <w:w w:val="105"/>
          <w:sz w:val="21"/>
        </w:rPr>
        <w:t>de</w:t>
      </w:r>
      <w:r>
        <w:rPr>
          <w:color w:val="231F20"/>
          <w:spacing w:val="-25"/>
          <w:w w:val="105"/>
          <w:sz w:val="21"/>
        </w:rPr>
        <w:t> </w:t>
      </w:r>
      <w:r>
        <w:rPr>
          <w:color w:val="231F20"/>
          <w:w w:val="105"/>
          <w:sz w:val="21"/>
        </w:rPr>
        <w:t>la</w:t>
      </w:r>
      <w:r>
        <w:rPr>
          <w:color w:val="231F20"/>
          <w:spacing w:val="-25"/>
          <w:w w:val="105"/>
          <w:sz w:val="21"/>
        </w:rPr>
        <w:t> </w:t>
      </w:r>
      <w:r>
        <w:rPr>
          <w:color w:val="231F20"/>
          <w:spacing w:val="-4"/>
          <w:w w:val="105"/>
          <w:sz w:val="21"/>
        </w:rPr>
        <w:t>migración</w:t>
      </w:r>
      <w:r>
        <w:rPr>
          <w:color w:val="231F20"/>
          <w:spacing w:val="-25"/>
          <w:w w:val="105"/>
          <w:sz w:val="21"/>
        </w:rPr>
        <w:t> </w:t>
      </w:r>
      <w:r>
        <w:rPr>
          <w:color w:val="231F20"/>
          <w:spacing w:val="-4"/>
          <w:w w:val="105"/>
          <w:sz w:val="21"/>
        </w:rPr>
        <w:t>laboral</w:t>
      </w:r>
      <w:r>
        <w:rPr>
          <w:color w:val="231F20"/>
          <w:spacing w:val="-25"/>
          <w:w w:val="105"/>
          <w:sz w:val="21"/>
        </w:rPr>
        <w:t> </w:t>
      </w:r>
      <w:r>
        <w:rPr>
          <w:color w:val="231F20"/>
          <w:spacing w:val="-4"/>
          <w:w w:val="105"/>
          <w:sz w:val="21"/>
        </w:rPr>
        <w:t>acorde</w:t>
      </w:r>
      <w:r>
        <w:rPr>
          <w:color w:val="231F20"/>
          <w:spacing w:val="-25"/>
          <w:w w:val="105"/>
          <w:sz w:val="21"/>
        </w:rPr>
        <w:t> </w:t>
      </w:r>
      <w:r>
        <w:rPr>
          <w:color w:val="231F20"/>
          <w:w w:val="105"/>
          <w:sz w:val="21"/>
        </w:rPr>
        <w:t>a</w:t>
      </w:r>
      <w:r>
        <w:rPr>
          <w:color w:val="231F20"/>
          <w:spacing w:val="-25"/>
          <w:w w:val="105"/>
          <w:sz w:val="21"/>
        </w:rPr>
        <w:t> </w:t>
      </w:r>
      <w:r>
        <w:rPr>
          <w:color w:val="231F20"/>
          <w:spacing w:val="-3"/>
          <w:w w:val="105"/>
          <w:sz w:val="21"/>
        </w:rPr>
        <w:t>las</w:t>
      </w:r>
      <w:r>
        <w:rPr>
          <w:color w:val="231F20"/>
          <w:spacing w:val="-25"/>
          <w:w w:val="105"/>
          <w:sz w:val="21"/>
        </w:rPr>
        <w:t> </w:t>
      </w:r>
      <w:r>
        <w:rPr>
          <w:color w:val="231F20"/>
          <w:spacing w:val="-4"/>
          <w:w w:val="105"/>
          <w:sz w:val="21"/>
        </w:rPr>
        <w:t>necesidades</w:t>
      </w:r>
      <w:r>
        <w:rPr>
          <w:color w:val="231F20"/>
          <w:spacing w:val="-25"/>
          <w:w w:val="105"/>
          <w:sz w:val="21"/>
        </w:rPr>
        <w:t> </w:t>
      </w:r>
      <w:r>
        <w:rPr>
          <w:color w:val="231F20"/>
          <w:spacing w:val="-4"/>
          <w:w w:val="105"/>
          <w:sz w:val="21"/>
        </w:rPr>
        <w:t>nacionales.</w:t>
      </w:r>
    </w:p>
    <w:p>
      <w:pPr>
        <w:pStyle w:val="ListParagraph"/>
        <w:numPr>
          <w:ilvl w:val="0"/>
          <w:numId w:val="3"/>
        </w:numPr>
        <w:tabs>
          <w:tab w:pos="3048" w:val="left" w:leader="none"/>
        </w:tabs>
        <w:spacing w:line="261" w:lineRule="auto" w:before="171" w:after="0"/>
        <w:ind w:left="3047" w:right="1717" w:hanging="360"/>
        <w:jc w:val="both"/>
        <w:rPr>
          <w:sz w:val="21"/>
        </w:rPr>
      </w:pPr>
      <w:r>
        <w:rPr>
          <w:color w:val="231F20"/>
          <w:spacing w:val="-3"/>
          <w:w w:val="105"/>
          <w:sz w:val="21"/>
        </w:rPr>
        <w:t>Equidad</w:t>
      </w:r>
      <w:r>
        <w:rPr>
          <w:color w:val="231F20"/>
          <w:spacing w:val="-18"/>
          <w:w w:val="105"/>
          <w:sz w:val="21"/>
        </w:rPr>
        <w:t> </w:t>
      </w:r>
      <w:r>
        <w:rPr>
          <w:color w:val="231F20"/>
          <w:spacing w:val="-3"/>
          <w:w w:val="105"/>
          <w:sz w:val="21"/>
        </w:rPr>
        <w:t>entre</w:t>
      </w:r>
      <w:r>
        <w:rPr>
          <w:color w:val="231F20"/>
          <w:spacing w:val="-18"/>
          <w:w w:val="105"/>
          <w:sz w:val="21"/>
        </w:rPr>
        <w:t> </w:t>
      </w:r>
      <w:r>
        <w:rPr>
          <w:color w:val="231F20"/>
          <w:spacing w:val="-3"/>
          <w:w w:val="105"/>
          <w:sz w:val="21"/>
        </w:rPr>
        <w:t>nacionales</w:t>
      </w:r>
      <w:r>
        <w:rPr>
          <w:color w:val="231F20"/>
          <w:spacing w:val="-18"/>
          <w:w w:val="105"/>
          <w:sz w:val="21"/>
        </w:rPr>
        <w:t> </w:t>
      </w:r>
      <w:r>
        <w:rPr>
          <w:color w:val="231F20"/>
          <w:w w:val="105"/>
          <w:sz w:val="21"/>
        </w:rPr>
        <w:t>y</w:t>
      </w:r>
      <w:r>
        <w:rPr>
          <w:color w:val="231F20"/>
          <w:spacing w:val="-18"/>
          <w:w w:val="105"/>
          <w:sz w:val="21"/>
        </w:rPr>
        <w:t> </w:t>
      </w:r>
      <w:r>
        <w:rPr>
          <w:color w:val="231F20"/>
          <w:spacing w:val="-4"/>
          <w:w w:val="105"/>
          <w:sz w:val="21"/>
        </w:rPr>
        <w:t>extranjeros,</w:t>
      </w:r>
      <w:r>
        <w:rPr>
          <w:color w:val="231F20"/>
          <w:spacing w:val="-23"/>
          <w:w w:val="105"/>
          <w:sz w:val="21"/>
        </w:rPr>
        <w:t> </w:t>
      </w:r>
      <w:r>
        <w:rPr>
          <w:color w:val="231F20"/>
          <w:spacing w:val="-3"/>
          <w:w w:val="105"/>
          <w:sz w:val="21"/>
        </w:rPr>
        <w:t>como</w:t>
      </w:r>
      <w:r>
        <w:rPr>
          <w:color w:val="231F20"/>
          <w:spacing w:val="-18"/>
          <w:w w:val="105"/>
          <w:sz w:val="21"/>
        </w:rPr>
        <w:t> </w:t>
      </w:r>
      <w:r>
        <w:rPr>
          <w:color w:val="231F20"/>
          <w:spacing w:val="-3"/>
          <w:w w:val="105"/>
          <w:sz w:val="21"/>
        </w:rPr>
        <w:t>indica</w:t>
      </w:r>
      <w:r>
        <w:rPr>
          <w:color w:val="231F20"/>
          <w:spacing w:val="-18"/>
          <w:w w:val="105"/>
          <w:sz w:val="21"/>
        </w:rPr>
        <w:t> </w:t>
      </w:r>
      <w:r>
        <w:rPr>
          <w:color w:val="231F20"/>
          <w:w w:val="105"/>
          <w:sz w:val="21"/>
        </w:rPr>
        <w:t>la</w:t>
      </w:r>
      <w:r>
        <w:rPr>
          <w:color w:val="231F20"/>
          <w:spacing w:val="-18"/>
          <w:w w:val="105"/>
          <w:sz w:val="21"/>
        </w:rPr>
        <w:t> </w:t>
      </w:r>
      <w:r>
        <w:rPr>
          <w:color w:val="231F20"/>
          <w:spacing w:val="-3"/>
          <w:w w:val="105"/>
          <w:sz w:val="21"/>
        </w:rPr>
        <w:t>Cons- titución </w:t>
      </w:r>
      <w:r>
        <w:rPr>
          <w:color w:val="231F20"/>
          <w:spacing w:val="-5"/>
          <w:w w:val="105"/>
          <w:sz w:val="21"/>
        </w:rPr>
        <w:t>Política </w:t>
      </w:r>
      <w:r>
        <w:rPr>
          <w:color w:val="231F20"/>
          <w:w w:val="105"/>
          <w:sz w:val="21"/>
        </w:rPr>
        <w:t>de los </w:t>
      </w:r>
      <w:r>
        <w:rPr>
          <w:color w:val="231F20"/>
          <w:spacing w:val="-3"/>
          <w:w w:val="105"/>
          <w:sz w:val="21"/>
        </w:rPr>
        <w:t>Estados Unidos Mexicanos, especial- mente</w:t>
      </w:r>
      <w:r>
        <w:rPr>
          <w:color w:val="231F20"/>
          <w:spacing w:val="-28"/>
          <w:w w:val="105"/>
          <w:sz w:val="21"/>
        </w:rPr>
        <w:t> </w:t>
      </w:r>
      <w:r>
        <w:rPr>
          <w:color w:val="231F20"/>
          <w:w w:val="105"/>
          <w:sz w:val="21"/>
        </w:rPr>
        <w:t>en</w:t>
      </w:r>
      <w:r>
        <w:rPr>
          <w:color w:val="231F20"/>
          <w:spacing w:val="-28"/>
          <w:w w:val="105"/>
          <w:sz w:val="21"/>
        </w:rPr>
        <w:t> </w:t>
      </w:r>
      <w:r>
        <w:rPr>
          <w:color w:val="231F20"/>
          <w:w w:val="105"/>
          <w:sz w:val="21"/>
        </w:rPr>
        <w:t>lo</w:t>
      </w:r>
      <w:r>
        <w:rPr>
          <w:color w:val="231F20"/>
          <w:spacing w:val="-28"/>
          <w:w w:val="105"/>
          <w:sz w:val="21"/>
        </w:rPr>
        <w:t> </w:t>
      </w:r>
      <w:r>
        <w:rPr>
          <w:color w:val="231F20"/>
          <w:w w:val="105"/>
          <w:sz w:val="21"/>
        </w:rPr>
        <w:t>que</w:t>
      </w:r>
      <w:r>
        <w:rPr>
          <w:color w:val="231F20"/>
          <w:spacing w:val="-28"/>
          <w:w w:val="105"/>
          <w:sz w:val="21"/>
        </w:rPr>
        <w:t> </w:t>
      </w:r>
      <w:r>
        <w:rPr>
          <w:color w:val="231F20"/>
          <w:spacing w:val="-3"/>
          <w:w w:val="105"/>
          <w:sz w:val="21"/>
        </w:rPr>
        <w:t>respecta</w:t>
      </w:r>
      <w:r>
        <w:rPr>
          <w:color w:val="231F20"/>
          <w:spacing w:val="-28"/>
          <w:w w:val="105"/>
          <w:sz w:val="21"/>
        </w:rPr>
        <w:t> </w:t>
      </w:r>
      <w:r>
        <w:rPr>
          <w:color w:val="231F20"/>
          <w:w w:val="105"/>
          <w:sz w:val="21"/>
        </w:rPr>
        <w:t>a</w:t>
      </w:r>
      <w:r>
        <w:rPr>
          <w:color w:val="231F20"/>
          <w:spacing w:val="-28"/>
          <w:w w:val="105"/>
          <w:sz w:val="21"/>
        </w:rPr>
        <w:t> </w:t>
      </w:r>
      <w:r>
        <w:rPr>
          <w:color w:val="231F20"/>
          <w:w w:val="105"/>
          <w:sz w:val="21"/>
        </w:rPr>
        <w:t>la</w:t>
      </w:r>
      <w:r>
        <w:rPr>
          <w:color w:val="231F20"/>
          <w:spacing w:val="-28"/>
          <w:w w:val="105"/>
          <w:sz w:val="21"/>
        </w:rPr>
        <w:t> </w:t>
      </w:r>
      <w:r>
        <w:rPr>
          <w:color w:val="231F20"/>
          <w:spacing w:val="-3"/>
          <w:w w:val="105"/>
          <w:sz w:val="21"/>
        </w:rPr>
        <w:t>plena</w:t>
      </w:r>
      <w:r>
        <w:rPr>
          <w:color w:val="231F20"/>
          <w:spacing w:val="-28"/>
          <w:w w:val="105"/>
          <w:sz w:val="21"/>
        </w:rPr>
        <w:t> </w:t>
      </w:r>
      <w:r>
        <w:rPr>
          <w:color w:val="231F20"/>
          <w:spacing w:val="-3"/>
          <w:w w:val="105"/>
          <w:sz w:val="21"/>
        </w:rPr>
        <w:t>observancia</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las</w:t>
      </w:r>
      <w:r>
        <w:rPr>
          <w:color w:val="231F20"/>
          <w:spacing w:val="-28"/>
          <w:w w:val="105"/>
          <w:sz w:val="21"/>
        </w:rPr>
        <w:t> </w:t>
      </w:r>
      <w:r>
        <w:rPr>
          <w:color w:val="231F20"/>
          <w:spacing w:val="-3"/>
          <w:w w:val="105"/>
          <w:sz w:val="21"/>
        </w:rPr>
        <w:t>garan- tías</w:t>
      </w:r>
      <w:r>
        <w:rPr>
          <w:color w:val="231F20"/>
          <w:spacing w:val="-35"/>
          <w:w w:val="105"/>
          <w:sz w:val="21"/>
        </w:rPr>
        <w:t> </w:t>
      </w:r>
      <w:r>
        <w:rPr>
          <w:color w:val="231F20"/>
          <w:spacing w:val="-3"/>
          <w:w w:val="105"/>
          <w:sz w:val="21"/>
        </w:rPr>
        <w:t>individuales,</w:t>
      </w:r>
      <w:r>
        <w:rPr>
          <w:color w:val="231F20"/>
          <w:spacing w:val="-40"/>
          <w:w w:val="105"/>
          <w:sz w:val="21"/>
        </w:rPr>
        <w:t> </w:t>
      </w:r>
      <w:r>
        <w:rPr>
          <w:color w:val="231F20"/>
          <w:spacing w:val="-3"/>
          <w:w w:val="105"/>
          <w:sz w:val="21"/>
        </w:rPr>
        <w:t>tanto</w:t>
      </w:r>
      <w:r>
        <w:rPr>
          <w:color w:val="231F20"/>
          <w:spacing w:val="-35"/>
          <w:w w:val="105"/>
          <w:sz w:val="21"/>
        </w:rPr>
        <w:t> </w:t>
      </w:r>
      <w:r>
        <w:rPr>
          <w:color w:val="231F20"/>
          <w:spacing w:val="-3"/>
          <w:w w:val="105"/>
          <w:sz w:val="21"/>
        </w:rPr>
        <w:t>para</w:t>
      </w:r>
      <w:r>
        <w:rPr>
          <w:color w:val="231F20"/>
          <w:spacing w:val="-35"/>
          <w:w w:val="105"/>
          <w:sz w:val="21"/>
        </w:rPr>
        <w:t> </w:t>
      </w:r>
      <w:r>
        <w:rPr>
          <w:color w:val="231F20"/>
          <w:spacing w:val="-3"/>
          <w:w w:val="105"/>
          <w:sz w:val="21"/>
        </w:rPr>
        <w:t>nacionales</w:t>
      </w:r>
      <w:r>
        <w:rPr>
          <w:color w:val="231F20"/>
          <w:spacing w:val="-35"/>
          <w:w w:val="105"/>
          <w:sz w:val="21"/>
        </w:rPr>
        <w:t> </w:t>
      </w:r>
      <w:r>
        <w:rPr>
          <w:color w:val="231F20"/>
          <w:spacing w:val="-3"/>
          <w:w w:val="105"/>
          <w:sz w:val="21"/>
        </w:rPr>
        <w:t>como</w:t>
      </w:r>
      <w:r>
        <w:rPr>
          <w:color w:val="231F20"/>
          <w:spacing w:val="-35"/>
          <w:w w:val="105"/>
          <w:sz w:val="21"/>
        </w:rPr>
        <w:t> </w:t>
      </w:r>
      <w:r>
        <w:rPr>
          <w:color w:val="231F20"/>
          <w:spacing w:val="-3"/>
          <w:w w:val="105"/>
          <w:sz w:val="21"/>
        </w:rPr>
        <w:t>para</w:t>
      </w:r>
      <w:r>
        <w:rPr>
          <w:color w:val="231F20"/>
          <w:spacing w:val="-35"/>
          <w:w w:val="105"/>
          <w:sz w:val="21"/>
        </w:rPr>
        <w:t> </w:t>
      </w:r>
      <w:r>
        <w:rPr>
          <w:color w:val="231F20"/>
          <w:spacing w:val="-4"/>
          <w:w w:val="105"/>
          <w:sz w:val="21"/>
        </w:rPr>
        <w:t>extranjeros.</w:t>
      </w:r>
    </w:p>
    <w:p>
      <w:pPr>
        <w:pStyle w:val="ListParagraph"/>
        <w:numPr>
          <w:ilvl w:val="0"/>
          <w:numId w:val="3"/>
        </w:numPr>
        <w:tabs>
          <w:tab w:pos="3048" w:val="left" w:leader="none"/>
        </w:tabs>
        <w:spacing w:line="261" w:lineRule="auto" w:before="171" w:after="0"/>
        <w:ind w:left="3047" w:right="1717" w:hanging="360"/>
        <w:jc w:val="both"/>
        <w:rPr>
          <w:sz w:val="21"/>
        </w:rPr>
      </w:pPr>
      <w:r>
        <w:rPr>
          <w:color w:val="231F20"/>
          <w:spacing w:val="-4"/>
          <w:w w:val="105"/>
          <w:sz w:val="21"/>
        </w:rPr>
        <w:t>Reconocimiento</w:t>
      </w:r>
      <w:r>
        <w:rPr>
          <w:color w:val="231F20"/>
          <w:spacing w:val="-26"/>
          <w:w w:val="105"/>
          <w:sz w:val="21"/>
        </w:rPr>
        <w:t> </w:t>
      </w:r>
      <w:r>
        <w:rPr>
          <w:color w:val="231F20"/>
          <w:w w:val="105"/>
          <w:sz w:val="21"/>
        </w:rPr>
        <w:t>a</w:t>
      </w:r>
      <w:r>
        <w:rPr>
          <w:color w:val="231F20"/>
          <w:spacing w:val="-26"/>
          <w:w w:val="105"/>
          <w:sz w:val="21"/>
        </w:rPr>
        <w:t> </w:t>
      </w:r>
      <w:r>
        <w:rPr>
          <w:color w:val="231F20"/>
          <w:spacing w:val="-3"/>
          <w:w w:val="105"/>
          <w:sz w:val="21"/>
        </w:rPr>
        <w:t>los</w:t>
      </w:r>
      <w:r>
        <w:rPr>
          <w:color w:val="231F20"/>
          <w:spacing w:val="-26"/>
          <w:w w:val="105"/>
          <w:sz w:val="21"/>
        </w:rPr>
        <w:t> </w:t>
      </w:r>
      <w:r>
        <w:rPr>
          <w:color w:val="231F20"/>
          <w:spacing w:val="-4"/>
          <w:w w:val="105"/>
          <w:sz w:val="21"/>
        </w:rPr>
        <w:t>derechos</w:t>
      </w:r>
      <w:r>
        <w:rPr>
          <w:color w:val="231F20"/>
          <w:spacing w:val="-26"/>
          <w:w w:val="105"/>
          <w:sz w:val="21"/>
        </w:rPr>
        <w:t> </w:t>
      </w:r>
      <w:r>
        <w:rPr>
          <w:color w:val="231F20"/>
          <w:spacing w:val="-4"/>
          <w:w w:val="105"/>
          <w:sz w:val="21"/>
        </w:rPr>
        <w:t>adquiridos</w:t>
      </w:r>
      <w:r>
        <w:rPr>
          <w:color w:val="231F20"/>
          <w:spacing w:val="-26"/>
          <w:w w:val="105"/>
          <w:sz w:val="21"/>
        </w:rPr>
        <w:t> </w:t>
      </w:r>
      <w:r>
        <w:rPr>
          <w:color w:val="231F20"/>
          <w:w w:val="105"/>
          <w:sz w:val="21"/>
        </w:rPr>
        <w:t>de</w:t>
      </w:r>
      <w:r>
        <w:rPr>
          <w:color w:val="231F20"/>
          <w:spacing w:val="-26"/>
          <w:w w:val="105"/>
          <w:sz w:val="21"/>
        </w:rPr>
        <w:t> </w:t>
      </w:r>
      <w:r>
        <w:rPr>
          <w:color w:val="231F20"/>
          <w:spacing w:val="-3"/>
          <w:w w:val="105"/>
          <w:sz w:val="21"/>
        </w:rPr>
        <w:t>los</w:t>
      </w:r>
      <w:r>
        <w:rPr>
          <w:color w:val="231F20"/>
          <w:spacing w:val="-26"/>
          <w:w w:val="105"/>
          <w:sz w:val="21"/>
        </w:rPr>
        <w:t> </w:t>
      </w:r>
      <w:r>
        <w:rPr>
          <w:color w:val="231F20"/>
          <w:spacing w:val="-5"/>
          <w:w w:val="105"/>
          <w:sz w:val="21"/>
        </w:rPr>
        <w:t>inmigrantes, </w:t>
      </w:r>
      <w:r>
        <w:rPr>
          <w:color w:val="231F20"/>
          <w:w w:val="105"/>
          <w:sz w:val="21"/>
        </w:rPr>
        <w:t>en</w:t>
      </w:r>
      <w:r>
        <w:rPr>
          <w:color w:val="231F20"/>
          <w:spacing w:val="-10"/>
          <w:w w:val="105"/>
          <w:sz w:val="21"/>
        </w:rPr>
        <w:t> </w:t>
      </w:r>
      <w:r>
        <w:rPr>
          <w:color w:val="231F20"/>
          <w:spacing w:val="-4"/>
          <w:w w:val="105"/>
          <w:sz w:val="21"/>
        </w:rPr>
        <w:t>tanto</w:t>
      </w:r>
      <w:r>
        <w:rPr>
          <w:color w:val="231F20"/>
          <w:spacing w:val="-10"/>
          <w:w w:val="105"/>
          <w:sz w:val="21"/>
        </w:rPr>
        <w:t> </w:t>
      </w:r>
      <w:r>
        <w:rPr>
          <w:color w:val="231F20"/>
          <w:spacing w:val="-3"/>
          <w:w w:val="105"/>
          <w:sz w:val="21"/>
        </w:rPr>
        <w:t>que</w:t>
      </w:r>
      <w:r>
        <w:rPr>
          <w:color w:val="231F20"/>
          <w:spacing w:val="-10"/>
          <w:w w:val="105"/>
          <w:sz w:val="21"/>
        </w:rPr>
        <w:t> </w:t>
      </w:r>
      <w:r>
        <w:rPr>
          <w:color w:val="231F20"/>
          <w:spacing w:val="-3"/>
          <w:w w:val="105"/>
          <w:sz w:val="21"/>
        </w:rPr>
        <w:t>los</w:t>
      </w:r>
      <w:r>
        <w:rPr>
          <w:color w:val="231F20"/>
          <w:spacing w:val="-10"/>
          <w:w w:val="105"/>
          <w:sz w:val="21"/>
        </w:rPr>
        <w:t> </w:t>
      </w:r>
      <w:r>
        <w:rPr>
          <w:color w:val="231F20"/>
          <w:spacing w:val="-5"/>
          <w:w w:val="105"/>
          <w:sz w:val="21"/>
        </w:rPr>
        <w:t>extranjeros</w:t>
      </w:r>
      <w:r>
        <w:rPr>
          <w:color w:val="231F20"/>
          <w:spacing w:val="-10"/>
          <w:w w:val="105"/>
          <w:sz w:val="21"/>
        </w:rPr>
        <w:t> </w:t>
      </w:r>
      <w:r>
        <w:rPr>
          <w:color w:val="231F20"/>
          <w:spacing w:val="-3"/>
          <w:w w:val="105"/>
          <w:sz w:val="21"/>
        </w:rPr>
        <w:t>con</w:t>
      </w:r>
      <w:r>
        <w:rPr>
          <w:color w:val="231F20"/>
          <w:spacing w:val="-10"/>
          <w:w w:val="105"/>
          <w:sz w:val="21"/>
        </w:rPr>
        <w:t> </w:t>
      </w:r>
      <w:r>
        <w:rPr>
          <w:color w:val="231F20"/>
          <w:spacing w:val="-4"/>
          <w:w w:val="105"/>
          <w:sz w:val="21"/>
        </w:rPr>
        <w:t>arraigo</w:t>
      </w:r>
      <w:r>
        <w:rPr>
          <w:color w:val="231F20"/>
          <w:spacing w:val="-10"/>
          <w:w w:val="105"/>
          <w:sz w:val="21"/>
        </w:rPr>
        <w:t> </w:t>
      </w:r>
      <w:r>
        <w:rPr>
          <w:color w:val="231F20"/>
          <w:w w:val="105"/>
          <w:sz w:val="21"/>
        </w:rPr>
        <w:t>o</w:t>
      </w:r>
      <w:r>
        <w:rPr>
          <w:color w:val="231F20"/>
          <w:spacing w:val="-10"/>
          <w:w w:val="105"/>
          <w:sz w:val="21"/>
        </w:rPr>
        <w:t> </w:t>
      </w:r>
      <w:r>
        <w:rPr>
          <w:color w:val="231F20"/>
          <w:spacing w:val="-4"/>
          <w:w w:val="105"/>
          <w:sz w:val="21"/>
        </w:rPr>
        <w:t>vínculos</w:t>
      </w:r>
      <w:r>
        <w:rPr>
          <w:color w:val="231F20"/>
          <w:spacing w:val="-10"/>
          <w:w w:val="105"/>
          <w:sz w:val="21"/>
        </w:rPr>
        <w:t> </w:t>
      </w:r>
      <w:r>
        <w:rPr>
          <w:color w:val="231F20"/>
          <w:spacing w:val="-5"/>
          <w:w w:val="105"/>
          <w:sz w:val="21"/>
        </w:rPr>
        <w:t>familiares, </w:t>
      </w:r>
      <w:r>
        <w:rPr>
          <w:color w:val="231F20"/>
          <w:spacing w:val="-4"/>
          <w:w w:val="105"/>
          <w:sz w:val="21"/>
        </w:rPr>
        <w:t>laborales</w:t>
      </w:r>
      <w:r>
        <w:rPr>
          <w:color w:val="231F20"/>
          <w:spacing w:val="-23"/>
          <w:w w:val="105"/>
          <w:sz w:val="21"/>
        </w:rPr>
        <w:t> </w:t>
      </w:r>
      <w:r>
        <w:rPr>
          <w:color w:val="231F20"/>
          <w:w w:val="105"/>
          <w:sz w:val="21"/>
        </w:rPr>
        <w:t>o</w:t>
      </w:r>
      <w:r>
        <w:rPr>
          <w:color w:val="231F20"/>
          <w:spacing w:val="-23"/>
          <w:w w:val="105"/>
          <w:sz w:val="21"/>
        </w:rPr>
        <w:t> </w:t>
      </w:r>
      <w:r>
        <w:rPr>
          <w:color w:val="231F20"/>
          <w:w w:val="105"/>
          <w:sz w:val="21"/>
        </w:rPr>
        <w:t>de</w:t>
      </w:r>
      <w:r>
        <w:rPr>
          <w:color w:val="231F20"/>
          <w:spacing w:val="-23"/>
          <w:w w:val="105"/>
          <w:sz w:val="21"/>
        </w:rPr>
        <w:t> </w:t>
      </w:r>
      <w:r>
        <w:rPr>
          <w:color w:val="231F20"/>
          <w:spacing w:val="-4"/>
          <w:w w:val="105"/>
          <w:sz w:val="21"/>
        </w:rPr>
        <w:t>negocios</w:t>
      </w:r>
      <w:r>
        <w:rPr>
          <w:color w:val="231F20"/>
          <w:spacing w:val="-23"/>
          <w:w w:val="105"/>
          <w:sz w:val="21"/>
        </w:rPr>
        <w:t> </w:t>
      </w:r>
      <w:r>
        <w:rPr>
          <w:color w:val="231F20"/>
          <w:w w:val="105"/>
          <w:sz w:val="21"/>
        </w:rPr>
        <w:t>en</w:t>
      </w:r>
      <w:r>
        <w:rPr>
          <w:color w:val="231F20"/>
          <w:spacing w:val="-23"/>
          <w:w w:val="105"/>
          <w:sz w:val="21"/>
        </w:rPr>
        <w:t> </w:t>
      </w:r>
      <w:r>
        <w:rPr>
          <w:color w:val="231F20"/>
          <w:spacing w:val="-4"/>
          <w:w w:val="105"/>
          <w:sz w:val="21"/>
        </w:rPr>
        <w:t>México</w:t>
      </w:r>
      <w:r>
        <w:rPr>
          <w:color w:val="231F20"/>
          <w:spacing w:val="-23"/>
          <w:w w:val="105"/>
          <w:sz w:val="21"/>
        </w:rPr>
        <w:t> </w:t>
      </w:r>
      <w:r>
        <w:rPr>
          <w:color w:val="231F20"/>
          <w:spacing w:val="-3"/>
          <w:w w:val="105"/>
          <w:sz w:val="21"/>
        </w:rPr>
        <w:t>han</w:t>
      </w:r>
      <w:r>
        <w:rPr>
          <w:color w:val="231F20"/>
          <w:spacing w:val="-23"/>
          <w:w w:val="105"/>
          <w:sz w:val="21"/>
        </w:rPr>
        <w:t> </w:t>
      </w:r>
      <w:r>
        <w:rPr>
          <w:color w:val="231F20"/>
          <w:spacing w:val="-4"/>
          <w:w w:val="105"/>
          <w:sz w:val="21"/>
        </w:rPr>
        <w:t>generado</w:t>
      </w:r>
      <w:r>
        <w:rPr>
          <w:color w:val="231F20"/>
          <w:spacing w:val="-23"/>
          <w:w w:val="105"/>
          <w:sz w:val="21"/>
        </w:rPr>
        <w:t> </w:t>
      </w:r>
      <w:r>
        <w:rPr>
          <w:color w:val="231F20"/>
          <w:spacing w:val="-3"/>
          <w:w w:val="105"/>
          <w:sz w:val="21"/>
        </w:rPr>
        <w:t>una</w:t>
      </w:r>
      <w:r>
        <w:rPr>
          <w:color w:val="231F20"/>
          <w:spacing w:val="-23"/>
          <w:w w:val="105"/>
          <w:sz w:val="21"/>
        </w:rPr>
        <w:t> </w:t>
      </w:r>
      <w:r>
        <w:rPr>
          <w:color w:val="231F20"/>
          <w:spacing w:val="-4"/>
          <w:w w:val="105"/>
          <w:sz w:val="21"/>
        </w:rPr>
        <w:t>serie</w:t>
      </w:r>
      <w:r>
        <w:rPr>
          <w:color w:val="231F20"/>
          <w:spacing w:val="-23"/>
          <w:w w:val="105"/>
          <w:sz w:val="21"/>
        </w:rPr>
        <w:t> </w:t>
      </w:r>
      <w:r>
        <w:rPr>
          <w:color w:val="231F20"/>
          <w:spacing w:val="-4"/>
          <w:w w:val="105"/>
          <w:sz w:val="21"/>
        </w:rPr>
        <w:t>de derechos</w:t>
      </w:r>
      <w:r>
        <w:rPr>
          <w:color w:val="231F20"/>
          <w:spacing w:val="-12"/>
          <w:w w:val="105"/>
          <w:sz w:val="21"/>
        </w:rPr>
        <w:t> </w:t>
      </w:r>
      <w:r>
        <w:rPr>
          <w:color w:val="231F20"/>
          <w:w w:val="105"/>
          <w:sz w:val="21"/>
        </w:rPr>
        <w:t>y</w:t>
      </w:r>
      <w:r>
        <w:rPr>
          <w:color w:val="231F20"/>
          <w:spacing w:val="-12"/>
          <w:w w:val="105"/>
          <w:sz w:val="21"/>
        </w:rPr>
        <w:t> </w:t>
      </w:r>
      <w:r>
        <w:rPr>
          <w:color w:val="231F20"/>
          <w:spacing w:val="-4"/>
          <w:w w:val="105"/>
          <w:sz w:val="21"/>
        </w:rPr>
        <w:t>compromisos</w:t>
      </w:r>
      <w:r>
        <w:rPr>
          <w:color w:val="231F20"/>
          <w:spacing w:val="-12"/>
          <w:w w:val="105"/>
          <w:sz w:val="21"/>
        </w:rPr>
        <w:t> </w:t>
      </w:r>
      <w:r>
        <w:rPr>
          <w:color w:val="231F20"/>
          <w:w w:val="105"/>
          <w:sz w:val="21"/>
        </w:rPr>
        <w:t>a</w:t>
      </w:r>
      <w:r>
        <w:rPr>
          <w:color w:val="231F20"/>
          <w:spacing w:val="-12"/>
          <w:w w:val="105"/>
          <w:sz w:val="21"/>
        </w:rPr>
        <w:t> </w:t>
      </w:r>
      <w:r>
        <w:rPr>
          <w:color w:val="231F20"/>
          <w:spacing w:val="-4"/>
          <w:w w:val="105"/>
          <w:sz w:val="21"/>
        </w:rPr>
        <w:t>partir</w:t>
      </w:r>
      <w:r>
        <w:rPr>
          <w:color w:val="231F20"/>
          <w:spacing w:val="-12"/>
          <w:w w:val="105"/>
          <w:sz w:val="21"/>
        </w:rPr>
        <w:t> </w:t>
      </w:r>
      <w:r>
        <w:rPr>
          <w:color w:val="231F20"/>
          <w:w w:val="105"/>
          <w:sz w:val="21"/>
        </w:rPr>
        <w:t>de</w:t>
      </w:r>
      <w:r>
        <w:rPr>
          <w:color w:val="231F20"/>
          <w:spacing w:val="-12"/>
          <w:w w:val="105"/>
          <w:sz w:val="21"/>
        </w:rPr>
        <w:t> </w:t>
      </w:r>
      <w:r>
        <w:rPr>
          <w:color w:val="231F20"/>
          <w:w w:val="105"/>
          <w:sz w:val="21"/>
        </w:rPr>
        <w:t>su</w:t>
      </w:r>
      <w:r>
        <w:rPr>
          <w:color w:val="231F20"/>
          <w:spacing w:val="-12"/>
          <w:w w:val="105"/>
          <w:sz w:val="21"/>
        </w:rPr>
        <w:t> </w:t>
      </w:r>
      <w:r>
        <w:rPr>
          <w:color w:val="231F20"/>
          <w:spacing w:val="-4"/>
          <w:w w:val="105"/>
          <w:sz w:val="21"/>
        </w:rPr>
        <w:t>convivencia</w:t>
      </w:r>
      <w:r>
        <w:rPr>
          <w:color w:val="231F20"/>
          <w:spacing w:val="-12"/>
          <w:w w:val="105"/>
          <w:sz w:val="21"/>
        </w:rPr>
        <w:t> </w:t>
      </w:r>
      <w:r>
        <w:rPr>
          <w:color w:val="231F20"/>
          <w:spacing w:val="-4"/>
          <w:w w:val="105"/>
          <w:sz w:val="21"/>
        </w:rPr>
        <w:t>cotidiana </w:t>
      </w:r>
      <w:r>
        <w:rPr>
          <w:color w:val="231F20"/>
          <w:w w:val="105"/>
          <w:sz w:val="21"/>
        </w:rPr>
        <w:t>en el </w:t>
      </w:r>
      <w:r>
        <w:rPr>
          <w:color w:val="231F20"/>
          <w:spacing w:val="-4"/>
          <w:w w:val="105"/>
          <w:sz w:val="21"/>
        </w:rPr>
        <w:t>país, </w:t>
      </w:r>
      <w:r>
        <w:rPr>
          <w:color w:val="231F20"/>
          <w:spacing w:val="-3"/>
          <w:w w:val="105"/>
          <w:sz w:val="21"/>
        </w:rPr>
        <w:t>aun </w:t>
      </w:r>
      <w:r>
        <w:rPr>
          <w:color w:val="231F20"/>
          <w:spacing w:val="-4"/>
          <w:w w:val="105"/>
          <w:sz w:val="21"/>
        </w:rPr>
        <w:t>cuando puedan haber incurrido </w:t>
      </w:r>
      <w:r>
        <w:rPr>
          <w:color w:val="231F20"/>
          <w:w w:val="105"/>
          <w:sz w:val="21"/>
        </w:rPr>
        <w:t>en </w:t>
      </w:r>
      <w:r>
        <w:rPr>
          <w:color w:val="231F20"/>
          <w:spacing w:val="-3"/>
          <w:w w:val="105"/>
          <w:sz w:val="21"/>
        </w:rPr>
        <w:t>una </w:t>
      </w:r>
      <w:r>
        <w:rPr>
          <w:color w:val="231F20"/>
          <w:spacing w:val="-4"/>
          <w:w w:val="105"/>
          <w:sz w:val="21"/>
        </w:rPr>
        <w:t>situa- </w:t>
      </w:r>
      <w:r>
        <w:rPr>
          <w:color w:val="231F20"/>
          <w:spacing w:val="-3"/>
          <w:w w:val="105"/>
          <w:sz w:val="21"/>
        </w:rPr>
        <w:t>ción </w:t>
      </w:r>
      <w:r>
        <w:rPr>
          <w:color w:val="231F20"/>
          <w:spacing w:val="-4"/>
          <w:w w:val="105"/>
          <w:sz w:val="21"/>
        </w:rPr>
        <w:t>migratoria irregular </w:t>
      </w:r>
      <w:r>
        <w:rPr>
          <w:color w:val="231F20"/>
          <w:spacing w:val="-3"/>
          <w:w w:val="105"/>
          <w:sz w:val="21"/>
        </w:rPr>
        <w:t>por </w:t>
      </w:r>
      <w:r>
        <w:rPr>
          <w:color w:val="231F20"/>
          <w:spacing w:val="-4"/>
          <w:w w:val="105"/>
          <w:sz w:val="21"/>
        </w:rPr>
        <w:t>aspectos administrativos </w:t>
      </w:r>
      <w:r>
        <w:rPr>
          <w:color w:val="231F20"/>
          <w:w w:val="105"/>
          <w:sz w:val="21"/>
        </w:rPr>
        <w:t>y </w:t>
      </w:r>
      <w:r>
        <w:rPr>
          <w:color w:val="231F20"/>
          <w:spacing w:val="-4"/>
          <w:w w:val="105"/>
          <w:sz w:val="21"/>
        </w:rPr>
        <w:t>siem- pre</w:t>
      </w:r>
      <w:r>
        <w:rPr>
          <w:color w:val="231F20"/>
          <w:spacing w:val="-19"/>
          <w:w w:val="105"/>
          <w:sz w:val="21"/>
        </w:rPr>
        <w:t> </w:t>
      </w:r>
      <w:r>
        <w:rPr>
          <w:color w:val="231F20"/>
          <w:spacing w:val="-3"/>
          <w:w w:val="105"/>
          <w:sz w:val="21"/>
        </w:rPr>
        <w:t>que</w:t>
      </w:r>
      <w:r>
        <w:rPr>
          <w:color w:val="231F20"/>
          <w:spacing w:val="-19"/>
          <w:w w:val="105"/>
          <w:sz w:val="21"/>
        </w:rPr>
        <w:t> </w:t>
      </w:r>
      <w:r>
        <w:rPr>
          <w:color w:val="231F20"/>
          <w:w w:val="105"/>
          <w:sz w:val="21"/>
        </w:rPr>
        <w:t>el</w:t>
      </w:r>
      <w:r>
        <w:rPr>
          <w:color w:val="231F20"/>
          <w:spacing w:val="-19"/>
          <w:w w:val="105"/>
          <w:sz w:val="21"/>
        </w:rPr>
        <w:t> </w:t>
      </w:r>
      <w:r>
        <w:rPr>
          <w:color w:val="231F20"/>
          <w:spacing w:val="-5"/>
          <w:w w:val="105"/>
          <w:sz w:val="21"/>
        </w:rPr>
        <w:t>extranjero</w:t>
      </w:r>
      <w:r>
        <w:rPr>
          <w:color w:val="231F20"/>
          <w:spacing w:val="-19"/>
          <w:w w:val="105"/>
          <w:sz w:val="21"/>
        </w:rPr>
        <w:t> </w:t>
      </w:r>
      <w:r>
        <w:rPr>
          <w:color w:val="231F20"/>
          <w:spacing w:val="-3"/>
          <w:w w:val="105"/>
          <w:sz w:val="21"/>
        </w:rPr>
        <w:t>haya</w:t>
      </w:r>
      <w:r>
        <w:rPr>
          <w:color w:val="231F20"/>
          <w:spacing w:val="-19"/>
          <w:w w:val="105"/>
          <w:sz w:val="21"/>
        </w:rPr>
        <w:t> </w:t>
      </w:r>
      <w:r>
        <w:rPr>
          <w:color w:val="231F20"/>
          <w:spacing w:val="-4"/>
          <w:w w:val="105"/>
          <w:sz w:val="21"/>
        </w:rPr>
        <w:t>cumplido</w:t>
      </w:r>
      <w:r>
        <w:rPr>
          <w:color w:val="231F20"/>
          <w:spacing w:val="-19"/>
          <w:w w:val="105"/>
          <w:sz w:val="21"/>
        </w:rPr>
        <w:t> </w:t>
      </w:r>
      <w:r>
        <w:rPr>
          <w:color w:val="231F20"/>
          <w:spacing w:val="-3"/>
          <w:w w:val="105"/>
          <w:sz w:val="21"/>
        </w:rPr>
        <w:t>con</w:t>
      </w:r>
      <w:r>
        <w:rPr>
          <w:color w:val="231F20"/>
          <w:spacing w:val="-19"/>
          <w:w w:val="105"/>
          <w:sz w:val="21"/>
        </w:rPr>
        <w:t> </w:t>
      </w:r>
      <w:r>
        <w:rPr>
          <w:color w:val="231F20"/>
          <w:spacing w:val="-3"/>
          <w:w w:val="105"/>
          <w:sz w:val="21"/>
        </w:rPr>
        <w:t>las</w:t>
      </w:r>
      <w:r>
        <w:rPr>
          <w:color w:val="231F20"/>
          <w:spacing w:val="-19"/>
          <w:w w:val="105"/>
          <w:sz w:val="21"/>
        </w:rPr>
        <w:t> </w:t>
      </w:r>
      <w:r>
        <w:rPr>
          <w:color w:val="231F20"/>
          <w:spacing w:val="-4"/>
          <w:w w:val="105"/>
          <w:sz w:val="21"/>
        </w:rPr>
        <w:t>leyes</w:t>
      </w:r>
      <w:r>
        <w:rPr>
          <w:color w:val="231F20"/>
          <w:spacing w:val="-19"/>
          <w:w w:val="105"/>
          <w:sz w:val="21"/>
        </w:rPr>
        <w:t> </w:t>
      </w:r>
      <w:r>
        <w:rPr>
          <w:color w:val="231F20"/>
          <w:spacing w:val="-4"/>
          <w:w w:val="105"/>
          <w:sz w:val="21"/>
        </w:rPr>
        <w:t>aplicables.</w:t>
      </w:r>
    </w:p>
    <w:p>
      <w:pPr>
        <w:pStyle w:val="ListParagraph"/>
        <w:numPr>
          <w:ilvl w:val="0"/>
          <w:numId w:val="3"/>
        </w:numPr>
        <w:tabs>
          <w:tab w:pos="3048" w:val="left" w:leader="none"/>
        </w:tabs>
        <w:spacing w:line="261" w:lineRule="auto" w:before="171" w:after="0"/>
        <w:ind w:left="3047" w:right="1721" w:hanging="360"/>
        <w:jc w:val="both"/>
        <w:rPr>
          <w:sz w:val="21"/>
        </w:rPr>
      </w:pPr>
      <w:r>
        <w:rPr>
          <w:color w:val="231F20"/>
          <w:w w:val="105"/>
          <w:sz w:val="21"/>
        </w:rPr>
        <w:t>Unidad familiar e interés superior de la niña, niño y</w:t>
      </w:r>
      <w:r>
        <w:rPr>
          <w:color w:val="231F20"/>
          <w:spacing w:val="-31"/>
          <w:w w:val="105"/>
          <w:sz w:val="21"/>
        </w:rPr>
        <w:t> </w:t>
      </w:r>
      <w:r>
        <w:rPr>
          <w:color w:val="231F20"/>
          <w:w w:val="105"/>
          <w:sz w:val="21"/>
        </w:rPr>
        <w:t>adoles- cente, como criterio prioritario de internación y estancia de extranjeros para la residencia temporal o permanente en México,</w:t>
      </w:r>
      <w:r>
        <w:rPr>
          <w:color w:val="231F20"/>
          <w:spacing w:val="-31"/>
          <w:w w:val="105"/>
          <w:sz w:val="21"/>
        </w:rPr>
        <w:t> </w:t>
      </w:r>
      <w:r>
        <w:rPr>
          <w:color w:val="231F20"/>
          <w:w w:val="105"/>
          <w:sz w:val="21"/>
        </w:rPr>
        <w:t>junto</w:t>
      </w:r>
      <w:r>
        <w:rPr>
          <w:color w:val="231F20"/>
          <w:spacing w:val="-28"/>
          <w:w w:val="105"/>
          <w:sz w:val="21"/>
        </w:rPr>
        <w:t> </w:t>
      </w:r>
      <w:r>
        <w:rPr>
          <w:color w:val="231F20"/>
          <w:w w:val="105"/>
          <w:sz w:val="21"/>
        </w:rPr>
        <w:t>con</w:t>
      </w:r>
      <w:r>
        <w:rPr>
          <w:color w:val="231F20"/>
          <w:spacing w:val="-28"/>
          <w:w w:val="105"/>
          <w:sz w:val="21"/>
        </w:rPr>
        <w:t> </w:t>
      </w:r>
      <w:r>
        <w:rPr>
          <w:color w:val="231F20"/>
          <w:w w:val="105"/>
          <w:sz w:val="21"/>
        </w:rPr>
        <w:t>las</w:t>
      </w:r>
      <w:r>
        <w:rPr>
          <w:color w:val="231F20"/>
          <w:spacing w:val="-28"/>
          <w:w w:val="105"/>
          <w:sz w:val="21"/>
        </w:rPr>
        <w:t> </w:t>
      </w:r>
      <w:r>
        <w:rPr>
          <w:color w:val="231F20"/>
          <w:w w:val="105"/>
          <w:sz w:val="21"/>
        </w:rPr>
        <w:t>necesidades</w:t>
      </w:r>
      <w:r>
        <w:rPr>
          <w:color w:val="231F20"/>
          <w:spacing w:val="-28"/>
          <w:w w:val="105"/>
          <w:sz w:val="21"/>
        </w:rPr>
        <w:t> </w:t>
      </w:r>
      <w:r>
        <w:rPr>
          <w:color w:val="231F20"/>
          <w:w w:val="105"/>
          <w:sz w:val="21"/>
        </w:rPr>
        <w:t>laborales</w:t>
      </w:r>
      <w:r>
        <w:rPr>
          <w:color w:val="231F20"/>
          <w:spacing w:val="-28"/>
          <w:w w:val="105"/>
          <w:sz w:val="21"/>
        </w:rPr>
        <w:t> </w:t>
      </w:r>
      <w:r>
        <w:rPr>
          <w:color w:val="231F20"/>
          <w:w w:val="105"/>
          <w:sz w:val="21"/>
        </w:rPr>
        <w:t>y</w:t>
      </w:r>
      <w:r>
        <w:rPr>
          <w:color w:val="231F20"/>
          <w:spacing w:val="-28"/>
          <w:w w:val="105"/>
          <w:sz w:val="21"/>
        </w:rPr>
        <w:t> </w:t>
      </w:r>
      <w:r>
        <w:rPr>
          <w:color w:val="231F20"/>
          <w:w w:val="105"/>
          <w:sz w:val="21"/>
        </w:rPr>
        <w:t>las</w:t>
      </w:r>
      <w:r>
        <w:rPr>
          <w:color w:val="231F20"/>
          <w:spacing w:val="-28"/>
          <w:w w:val="105"/>
          <w:sz w:val="21"/>
        </w:rPr>
        <w:t> </w:t>
      </w:r>
      <w:r>
        <w:rPr>
          <w:color w:val="231F20"/>
          <w:w w:val="105"/>
          <w:sz w:val="21"/>
        </w:rPr>
        <w:t>causas</w:t>
      </w:r>
      <w:r>
        <w:rPr>
          <w:color w:val="231F20"/>
          <w:spacing w:val="-28"/>
          <w:w w:val="105"/>
          <w:sz w:val="21"/>
        </w:rPr>
        <w:t> </w:t>
      </w:r>
      <w:r>
        <w:rPr>
          <w:color w:val="231F20"/>
          <w:w w:val="105"/>
          <w:sz w:val="21"/>
        </w:rPr>
        <w:t>hu- manitarias, en tanto que la unidad familiar es un elemento sustantivo</w:t>
      </w:r>
      <w:r>
        <w:rPr>
          <w:color w:val="231F20"/>
          <w:spacing w:val="-13"/>
          <w:w w:val="105"/>
          <w:sz w:val="21"/>
        </w:rPr>
        <w:t> </w:t>
      </w:r>
      <w:r>
        <w:rPr>
          <w:color w:val="231F20"/>
          <w:w w:val="105"/>
          <w:sz w:val="21"/>
        </w:rPr>
        <w:t>para</w:t>
      </w:r>
      <w:r>
        <w:rPr>
          <w:color w:val="231F20"/>
          <w:spacing w:val="-13"/>
          <w:w w:val="105"/>
          <w:sz w:val="21"/>
        </w:rPr>
        <w:t> </w:t>
      </w:r>
      <w:r>
        <w:rPr>
          <w:color w:val="231F20"/>
          <w:w w:val="105"/>
          <w:sz w:val="21"/>
        </w:rPr>
        <w:t>la</w:t>
      </w:r>
      <w:r>
        <w:rPr>
          <w:color w:val="231F20"/>
          <w:spacing w:val="-13"/>
          <w:w w:val="105"/>
          <w:sz w:val="21"/>
        </w:rPr>
        <w:t> </w:t>
      </w:r>
      <w:r>
        <w:rPr>
          <w:color w:val="231F20"/>
          <w:w w:val="105"/>
          <w:sz w:val="21"/>
        </w:rPr>
        <w:t>conformación</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un</w:t>
      </w:r>
      <w:r>
        <w:rPr>
          <w:color w:val="231F20"/>
          <w:spacing w:val="-13"/>
          <w:w w:val="105"/>
          <w:sz w:val="21"/>
        </w:rPr>
        <w:t> </w:t>
      </w:r>
      <w:r>
        <w:rPr>
          <w:color w:val="231F20"/>
          <w:w w:val="105"/>
          <w:sz w:val="21"/>
        </w:rPr>
        <w:t>sano</w:t>
      </w:r>
      <w:r>
        <w:rPr>
          <w:color w:val="231F20"/>
          <w:spacing w:val="-13"/>
          <w:w w:val="105"/>
          <w:sz w:val="21"/>
        </w:rPr>
        <w:t> </w:t>
      </w:r>
      <w:r>
        <w:rPr>
          <w:color w:val="231F20"/>
          <w:w w:val="105"/>
          <w:sz w:val="21"/>
        </w:rPr>
        <w:t>y</w:t>
      </w:r>
      <w:r>
        <w:rPr>
          <w:color w:val="231F20"/>
          <w:spacing w:val="-13"/>
          <w:w w:val="105"/>
          <w:sz w:val="21"/>
        </w:rPr>
        <w:t> </w:t>
      </w:r>
      <w:r>
        <w:rPr>
          <w:color w:val="231F20"/>
          <w:w w:val="105"/>
          <w:sz w:val="21"/>
        </w:rPr>
        <w:t>productivo</w:t>
      </w:r>
      <w:r>
        <w:rPr>
          <w:color w:val="231F20"/>
          <w:spacing w:val="-13"/>
          <w:w w:val="105"/>
          <w:sz w:val="21"/>
        </w:rPr>
        <w:t> </w:t>
      </w:r>
      <w:r>
        <w:rPr>
          <w:color w:val="231F20"/>
          <w:w w:val="105"/>
          <w:sz w:val="21"/>
        </w:rPr>
        <w:t>te- jido</w:t>
      </w:r>
      <w:r>
        <w:rPr>
          <w:color w:val="231F20"/>
          <w:spacing w:val="-15"/>
          <w:w w:val="105"/>
          <w:sz w:val="21"/>
        </w:rPr>
        <w:t> </w:t>
      </w:r>
      <w:r>
        <w:rPr>
          <w:color w:val="231F20"/>
          <w:w w:val="105"/>
          <w:sz w:val="21"/>
        </w:rPr>
        <w:t>social</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las</w:t>
      </w:r>
      <w:r>
        <w:rPr>
          <w:color w:val="231F20"/>
          <w:spacing w:val="-15"/>
          <w:w w:val="105"/>
          <w:sz w:val="21"/>
        </w:rPr>
        <w:t> </w:t>
      </w:r>
      <w:r>
        <w:rPr>
          <w:color w:val="231F20"/>
          <w:w w:val="105"/>
          <w:sz w:val="21"/>
        </w:rPr>
        <w:t>comunidades</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extranjeros</w:t>
      </w:r>
      <w:r>
        <w:rPr>
          <w:color w:val="231F20"/>
          <w:spacing w:val="-15"/>
          <w:w w:val="105"/>
          <w:sz w:val="21"/>
        </w:rPr>
        <w:t> </w:t>
      </w:r>
      <w:r>
        <w:rPr>
          <w:color w:val="231F20"/>
          <w:w w:val="105"/>
          <w:sz w:val="21"/>
        </w:rPr>
        <w:t>en</w:t>
      </w:r>
      <w:r>
        <w:rPr>
          <w:color w:val="231F20"/>
          <w:spacing w:val="-15"/>
          <w:w w:val="105"/>
          <w:sz w:val="21"/>
        </w:rPr>
        <w:t> </w:t>
      </w:r>
      <w:r>
        <w:rPr>
          <w:color w:val="231F20"/>
          <w:w w:val="105"/>
          <w:sz w:val="21"/>
        </w:rPr>
        <w:t>el</w:t>
      </w:r>
      <w:r>
        <w:rPr>
          <w:color w:val="231F20"/>
          <w:spacing w:val="-15"/>
          <w:w w:val="105"/>
          <w:sz w:val="21"/>
        </w:rPr>
        <w:t> </w:t>
      </w:r>
      <w:r>
        <w:rPr>
          <w:color w:val="231F20"/>
          <w:w w:val="105"/>
          <w:sz w:val="21"/>
        </w:rPr>
        <w:t>país.</w:t>
      </w:r>
    </w:p>
    <w:p>
      <w:pPr>
        <w:pStyle w:val="ListParagraph"/>
        <w:numPr>
          <w:ilvl w:val="0"/>
          <w:numId w:val="3"/>
        </w:numPr>
        <w:tabs>
          <w:tab w:pos="3048" w:val="left" w:leader="none"/>
        </w:tabs>
        <w:spacing w:line="261" w:lineRule="auto" w:before="171" w:after="0"/>
        <w:ind w:left="3047" w:right="1721" w:hanging="360"/>
        <w:jc w:val="both"/>
        <w:rPr>
          <w:sz w:val="21"/>
        </w:rPr>
      </w:pPr>
      <w:r>
        <w:rPr>
          <w:color w:val="231F20"/>
          <w:w w:val="105"/>
          <w:sz w:val="21"/>
        </w:rPr>
        <w:t>Integración social y cultural entre nacionales y extranjeros residentes en el país con base en el multiculturalismo y la libertad</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elección</w:t>
      </w:r>
      <w:r>
        <w:rPr>
          <w:color w:val="231F20"/>
          <w:spacing w:val="-11"/>
          <w:w w:val="105"/>
          <w:sz w:val="21"/>
        </w:rPr>
        <w:t> </w:t>
      </w:r>
      <w:r>
        <w:rPr>
          <w:color w:val="231F20"/>
          <w:w w:val="105"/>
          <w:sz w:val="21"/>
        </w:rPr>
        <w:t>y</w:t>
      </w:r>
      <w:r>
        <w:rPr>
          <w:color w:val="231F20"/>
          <w:spacing w:val="-11"/>
          <w:w w:val="105"/>
          <w:sz w:val="21"/>
        </w:rPr>
        <w:t> </w:t>
      </w:r>
      <w:r>
        <w:rPr>
          <w:color w:val="231F20"/>
          <w:w w:val="105"/>
          <w:sz w:val="21"/>
        </w:rPr>
        <w:t>el</w:t>
      </w:r>
      <w:r>
        <w:rPr>
          <w:color w:val="231F20"/>
          <w:spacing w:val="-11"/>
          <w:w w:val="105"/>
          <w:sz w:val="21"/>
        </w:rPr>
        <w:t> </w:t>
      </w:r>
      <w:r>
        <w:rPr>
          <w:color w:val="231F20"/>
          <w:w w:val="105"/>
          <w:sz w:val="21"/>
        </w:rPr>
        <w:t>pleno</w:t>
      </w:r>
      <w:r>
        <w:rPr>
          <w:color w:val="231F20"/>
          <w:spacing w:val="-11"/>
          <w:w w:val="105"/>
          <w:sz w:val="21"/>
        </w:rPr>
        <w:t> </w:t>
      </w:r>
      <w:r>
        <w:rPr>
          <w:color w:val="231F20"/>
          <w:w w:val="105"/>
          <w:sz w:val="21"/>
        </w:rPr>
        <w:t>respeto</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las</w:t>
      </w:r>
      <w:r>
        <w:rPr>
          <w:color w:val="231F20"/>
          <w:spacing w:val="-11"/>
          <w:w w:val="105"/>
          <w:sz w:val="21"/>
        </w:rPr>
        <w:t> </w:t>
      </w:r>
      <w:r>
        <w:rPr>
          <w:color w:val="231F20"/>
          <w:w w:val="105"/>
          <w:sz w:val="21"/>
        </w:rPr>
        <w:t>culturas</w:t>
      </w:r>
      <w:r>
        <w:rPr>
          <w:color w:val="231F20"/>
          <w:spacing w:val="-11"/>
          <w:w w:val="105"/>
          <w:sz w:val="21"/>
        </w:rPr>
        <w:t> </w:t>
      </w:r>
      <w:r>
        <w:rPr>
          <w:color w:val="231F20"/>
          <w:w w:val="105"/>
          <w:sz w:val="21"/>
        </w:rPr>
        <w:t>y</w:t>
      </w:r>
      <w:r>
        <w:rPr>
          <w:color w:val="231F20"/>
          <w:spacing w:val="-11"/>
          <w:w w:val="105"/>
          <w:sz w:val="21"/>
        </w:rPr>
        <w:t> </w:t>
      </w:r>
      <w:r>
        <w:rPr>
          <w:color w:val="231F20"/>
          <w:w w:val="105"/>
          <w:sz w:val="21"/>
        </w:rPr>
        <w:t>cos- tumbres de sus comunidades de origen, siempre que no contravengan</w:t>
      </w:r>
      <w:r>
        <w:rPr>
          <w:color w:val="231F20"/>
          <w:spacing w:val="-27"/>
          <w:w w:val="105"/>
          <w:sz w:val="21"/>
        </w:rPr>
        <w:t> </w:t>
      </w:r>
      <w:r>
        <w:rPr>
          <w:color w:val="231F20"/>
          <w:w w:val="105"/>
          <w:sz w:val="21"/>
        </w:rPr>
        <w:t>las</w:t>
      </w:r>
      <w:r>
        <w:rPr>
          <w:color w:val="231F20"/>
          <w:spacing w:val="-27"/>
          <w:w w:val="105"/>
          <w:sz w:val="21"/>
        </w:rPr>
        <w:t> </w:t>
      </w:r>
      <w:r>
        <w:rPr>
          <w:color w:val="231F20"/>
          <w:w w:val="105"/>
          <w:sz w:val="21"/>
        </w:rPr>
        <w:t>leyes</w:t>
      </w:r>
      <w:r>
        <w:rPr>
          <w:color w:val="231F20"/>
          <w:spacing w:val="-27"/>
          <w:w w:val="105"/>
          <w:sz w:val="21"/>
        </w:rPr>
        <w:t> </w:t>
      </w:r>
      <w:r>
        <w:rPr>
          <w:color w:val="231F20"/>
          <w:w w:val="105"/>
          <w:sz w:val="21"/>
        </w:rPr>
        <w:t>del</w:t>
      </w:r>
      <w:r>
        <w:rPr>
          <w:color w:val="231F20"/>
          <w:spacing w:val="-27"/>
          <w:w w:val="105"/>
          <w:sz w:val="21"/>
        </w:rPr>
        <w:t> </w:t>
      </w:r>
      <w:r>
        <w:rPr>
          <w:color w:val="231F20"/>
          <w:w w:val="105"/>
          <w:sz w:val="21"/>
        </w:rPr>
        <w:t>país.</w:t>
      </w:r>
    </w:p>
    <w:p>
      <w:pPr>
        <w:pStyle w:val="ListParagraph"/>
        <w:numPr>
          <w:ilvl w:val="0"/>
          <w:numId w:val="3"/>
        </w:numPr>
        <w:tabs>
          <w:tab w:pos="3048" w:val="left" w:leader="none"/>
        </w:tabs>
        <w:spacing w:line="261" w:lineRule="auto" w:before="171" w:after="0"/>
        <w:ind w:left="3047" w:right="1721" w:hanging="360"/>
        <w:jc w:val="both"/>
        <w:rPr>
          <w:sz w:val="21"/>
        </w:rPr>
      </w:pPr>
      <w:r>
        <w:rPr/>
        <w:pict>
          <v:line style="position:absolute;mso-position-horizontal-relative:page;mso-position-vertical-relative:paragraph;z-index:-486760" from="15pt,177.327896pt" to="0pt,177.327896pt" stroked="true" strokeweight=".25pt" strokecolor="#000000">
            <w10:wrap type="none"/>
          </v:line>
        </w:pict>
      </w:r>
      <w:r>
        <w:rPr/>
        <w:pict>
          <v:line style="position:absolute;mso-position-horizontal-relative:page;mso-position-vertical-relative:paragraph;z-index:3448" from="508.890015pt,177.327896pt" to="523.890015pt,177.327896pt" stroked="true" strokeweight=".25pt" strokecolor="#000000">
            <w10:wrap type="none"/>
          </v:line>
        </w:pict>
      </w:r>
      <w:r>
        <w:rPr>
          <w:color w:val="231F20"/>
          <w:w w:val="105"/>
          <w:sz w:val="21"/>
        </w:rPr>
        <w:t>Facilitar</w:t>
      </w:r>
      <w:r>
        <w:rPr>
          <w:color w:val="231F20"/>
          <w:spacing w:val="-24"/>
          <w:w w:val="105"/>
          <w:sz w:val="21"/>
        </w:rPr>
        <w:t> </w:t>
      </w:r>
      <w:r>
        <w:rPr>
          <w:color w:val="231F20"/>
          <w:w w:val="105"/>
          <w:sz w:val="21"/>
        </w:rPr>
        <w:t>el</w:t>
      </w:r>
      <w:r>
        <w:rPr>
          <w:color w:val="231F20"/>
          <w:spacing w:val="-24"/>
          <w:w w:val="105"/>
          <w:sz w:val="21"/>
        </w:rPr>
        <w:t> </w:t>
      </w:r>
      <w:r>
        <w:rPr>
          <w:color w:val="231F20"/>
          <w:w w:val="105"/>
          <w:sz w:val="21"/>
        </w:rPr>
        <w:t>retorno</w:t>
      </w:r>
      <w:r>
        <w:rPr>
          <w:color w:val="231F20"/>
          <w:spacing w:val="-24"/>
          <w:w w:val="105"/>
          <w:sz w:val="21"/>
        </w:rPr>
        <w:t> </w:t>
      </w:r>
      <w:r>
        <w:rPr>
          <w:color w:val="231F20"/>
          <w:w w:val="105"/>
          <w:sz w:val="21"/>
        </w:rPr>
        <w:t>al</w:t>
      </w:r>
      <w:r>
        <w:rPr>
          <w:color w:val="231F20"/>
          <w:spacing w:val="-24"/>
          <w:w w:val="105"/>
          <w:sz w:val="21"/>
        </w:rPr>
        <w:t> </w:t>
      </w:r>
      <w:r>
        <w:rPr>
          <w:color w:val="231F20"/>
          <w:w w:val="105"/>
          <w:sz w:val="21"/>
        </w:rPr>
        <w:t>territorio</w:t>
      </w:r>
      <w:r>
        <w:rPr>
          <w:color w:val="231F20"/>
          <w:spacing w:val="-24"/>
          <w:w w:val="105"/>
          <w:sz w:val="21"/>
        </w:rPr>
        <w:t> </w:t>
      </w:r>
      <w:r>
        <w:rPr>
          <w:color w:val="231F20"/>
          <w:w w:val="105"/>
          <w:sz w:val="21"/>
        </w:rPr>
        <w:t>nacional</w:t>
      </w:r>
      <w:r>
        <w:rPr>
          <w:color w:val="231F20"/>
          <w:spacing w:val="-24"/>
          <w:w w:val="105"/>
          <w:sz w:val="21"/>
        </w:rPr>
        <w:t> </w:t>
      </w:r>
      <w:r>
        <w:rPr>
          <w:color w:val="231F20"/>
          <w:w w:val="105"/>
          <w:sz w:val="21"/>
        </w:rPr>
        <w:t>y</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reinserción</w:t>
      </w:r>
      <w:r>
        <w:rPr>
          <w:color w:val="231F20"/>
          <w:spacing w:val="-24"/>
          <w:w w:val="105"/>
          <w:sz w:val="21"/>
        </w:rPr>
        <w:t> </w:t>
      </w:r>
      <w:r>
        <w:rPr>
          <w:color w:val="231F20"/>
          <w:w w:val="105"/>
          <w:sz w:val="21"/>
        </w:rPr>
        <w:t>social de</w:t>
      </w:r>
      <w:r>
        <w:rPr>
          <w:color w:val="231F20"/>
          <w:spacing w:val="-19"/>
          <w:w w:val="105"/>
          <w:sz w:val="21"/>
        </w:rPr>
        <w:t> </w:t>
      </w:r>
      <w:r>
        <w:rPr>
          <w:color w:val="231F20"/>
          <w:w w:val="105"/>
          <w:sz w:val="21"/>
        </w:rPr>
        <w:t>los</w:t>
      </w:r>
      <w:r>
        <w:rPr>
          <w:color w:val="231F20"/>
          <w:spacing w:val="-19"/>
          <w:w w:val="105"/>
          <w:sz w:val="21"/>
        </w:rPr>
        <w:t> </w:t>
      </w:r>
      <w:r>
        <w:rPr>
          <w:color w:val="231F20"/>
          <w:w w:val="105"/>
          <w:sz w:val="21"/>
        </w:rPr>
        <w:t>emigrantes</w:t>
      </w:r>
      <w:r>
        <w:rPr>
          <w:color w:val="231F20"/>
          <w:spacing w:val="-19"/>
          <w:w w:val="105"/>
          <w:sz w:val="21"/>
        </w:rPr>
        <w:t> </w:t>
      </w:r>
      <w:r>
        <w:rPr>
          <w:color w:val="231F20"/>
          <w:w w:val="105"/>
          <w:sz w:val="21"/>
        </w:rPr>
        <w:t>mexicanos</w:t>
      </w:r>
      <w:r>
        <w:rPr>
          <w:color w:val="231F20"/>
          <w:spacing w:val="-19"/>
          <w:w w:val="105"/>
          <w:sz w:val="21"/>
        </w:rPr>
        <w:t> </w:t>
      </w:r>
      <w:r>
        <w:rPr>
          <w:color w:val="231F20"/>
          <w:w w:val="105"/>
          <w:sz w:val="21"/>
        </w:rPr>
        <w:t>y</w:t>
      </w:r>
      <w:r>
        <w:rPr>
          <w:color w:val="231F20"/>
          <w:spacing w:val="-19"/>
          <w:w w:val="105"/>
          <w:sz w:val="21"/>
        </w:rPr>
        <w:t> </w:t>
      </w:r>
      <w:r>
        <w:rPr>
          <w:color w:val="231F20"/>
          <w:w w:val="105"/>
          <w:sz w:val="21"/>
        </w:rPr>
        <w:t>sus</w:t>
      </w:r>
      <w:r>
        <w:rPr>
          <w:color w:val="231F20"/>
          <w:spacing w:val="-19"/>
          <w:w w:val="105"/>
          <w:sz w:val="21"/>
        </w:rPr>
        <w:t> </w:t>
      </w:r>
      <w:r>
        <w:rPr>
          <w:color w:val="231F20"/>
          <w:w w:val="105"/>
          <w:sz w:val="21"/>
        </w:rPr>
        <w:t>familias,</w:t>
      </w:r>
      <w:r>
        <w:rPr>
          <w:color w:val="231F20"/>
          <w:spacing w:val="-23"/>
          <w:w w:val="105"/>
          <w:sz w:val="21"/>
        </w:rPr>
        <w:t> </w:t>
      </w:r>
      <w:r>
        <w:rPr>
          <w:color w:val="231F20"/>
          <w:w w:val="105"/>
          <w:sz w:val="21"/>
        </w:rPr>
        <w:t>a</w:t>
      </w:r>
      <w:r>
        <w:rPr>
          <w:color w:val="231F20"/>
          <w:spacing w:val="-19"/>
          <w:w w:val="105"/>
          <w:sz w:val="21"/>
        </w:rPr>
        <w:t> </w:t>
      </w:r>
      <w:r>
        <w:rPr>
          <w:color w:val="231F20"/>
          <w:w w:val="105"/>
          <w:sz w:val="21"/>
        </w:rPr>
        <w:t>través</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pro- gramas interinstitucionales y de reforzar los vínculos entre las</w:t>
      </w:r>
      <w:r>
        <w:rPr>
          <w:color w:val="231F20"/>
          <w:spacing w:val="-16"/>
          <w:w w:val="105"/>
          <w:sz w:val="21"/>
        </w:rPr>
        <w:t> </w:t>
      </w:r>
      <w:r>
        <w:rPr>
          <w:color w:val="231F20"/>
          <w:w w:val="105"/>
          <w:sz w:val="21"/>
        </w:rPr>
        <w:t>comunidades</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origen</w:t>
      </w:r>
      <w:r>
        <w:rPr>
          <w:color w:val="231F20"/>
          <w:spacing w:val="-16"/>
          <w:w w:val="105"/>
          <w:sz w:val="21"/>
        </w:rPr>
        <w:t> </w:t>
      </w:r>
      <w:r>
        <w:rPr>
          <w:color w:val="231F20"/>
          <w:w w:val="105"/>
          <w:sz w:val="21"/>
        </w:rPr>
        <w:t>y</w:t>
      </w:r>
      <w:r>
        <w:rPr>
          <w:color w:val="231F20"/>
          <w:spacing w:val="-16"/>
          <w:w w:val="105"/>
          <w:sz w:val="21"/>
        </w:rPr>
        <w:t> </w:t>
      </w:r>
      <w:r>
        <w:rPr>
          <w:color w:val="231F20"/>
          <w:w w:val="105"/>
          <w:sz w:val="21"/>
        </w:rPr>
        <w:t>destino</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emigración</w:t>
      </w:r>
      <w:r>
        <w:rPr>
          <w:color w:val="231F20"/>
          <w:spacing w:val="-16"/>
          <w:w w:val="105"/>
          <w:sz w:val="21"/>
        </w:rPr>
        <w:t> </w:t>
      </w:r>
      <w:r>
        <w:rPr>
          <w:color w:val="231F20"/>
          <w:w w:val="105"/>
          <w:sz w:val="21"/>
        </w:rPr>
        <w:t>mexi- cana,</w:t>
      </w:r>
      <w:r>
        <w:rPr>
          <w:color w:val="231F20"/>
          <w:spacing w:val="-14"/>
          <w:w w:val="105"/>
          <w:sz w:val="21"/>
        </w:rPr>
        <w:t> </w:t>
      </w:r>
      <w:r>
        <w:rPr>
          <w:color w:val="231F20"/>
          <w:w w:val="105"/>
          <w:sz w:val="21"/>
        </w:rPr>
        <w:t>en</w:t>
      </w:r>
      <w:r>
        <w:rPr>
          <w:color w:val="231F20"/>
          <w:spacing w:val="-9"/>
          <w:w w:val="105"/>
          <w:sz w:val="21"/>
        </w:rPr>
        <w:t> </w:t>
      </w:r>
      <w:r>
        <w:rPr>
          <w:color w:val="231F20"/>
          <w:w w:val="105"/>
          <w:sz w:val="21"/>
        </w:rPr>
        <w:t>provecho</w:t>
      </w:r>
      <w:r>
        <w:rPr>
          <w:color w:val="231F20"/>
          <w:spacing w:val="-9"/>
          <w:w w:val="105"/>
          <w:sz w:val="21"/>
        </w:rPr>
        <w:t> </w:t>
      </w:r>
      <w:r>
        <w:rPr>
          <w:color w:val="231F20"/>
          <w:w w:val="105"/>
          <w:sz w:val="21"/>
        </w:rPr>
        <w:t>del</w:t>
      </w:r>
      <w:r>
        <w:rPr>
          <w:color w:val="231F20"/>
          <w:spacing w:val="-9"/>
          <w:w w:val="105"/>
          <w:sz w:val="21"/>
        </w:rPr>
        <w:t> </w:t>
      </w:r>
      <w:r>
        <w:rPr>
          <w:color w:val="231F20"/>
          <w:w w:val="105"/>
          <w:sz w:val="21"/>
        </w:rPr>
        <w:t>bienestar</w:t>
      </w:r>
      <w:r>
        <w:rPr>
          <w:color w:val="231F20"/>
          <w:spacing w:val="-9"/>
          <w:w w:val="105"/>
          <w:sz w:val="21"/>
        </w:rPr>
        <w:t> </w:t>
      </w:r>
      <w:r>
        <w:rPr>
          <w:color w:val="231F20"/>
          <w:w w:val="105"/>
          <w:sz w:val="21"/>
        </w:rPr>
        <w:t>familiar</w:t>
      </w:r>
      <w:r>
        <w:rPr>
          <w:color w:val="231F20"/>
          <w:spacing w:val="-9"/>
          <w:w w:val="105"/>
          <w:sz w:val="21"/>
        </w:rPr>
        <w:t> </w:t>
      </w:r>
      <w:r>
        <w:rPr>
          <w:color w:val="231F20"/>
          <w:w w:val="105"/>
          <w:sz w:val="21"/>
        </w:rPr>
        <w:t>y</w:t>
      </w:r>
      <w:r>
        <w:rPr>
          <w:color w:val="231F20"/>
          <w:spacing w:val="-9"/>
          <w:w w:val="105"/>
          <w:sz w:val="21"/>
        </w:rPr>
        <w:t> </w:t>
      </w:r>
      <w:r>
        <w:rPr>
          <w:color w:val="231F20"/>
          <w:w w:val="105"/>
          <w:sz w:val="21"/>
        </w:rPr>
        <w:t>del</w:t>
      </w:r>
      <w:r>
        <w:rPr>
          <w:color w:val="231F20"/>
          <w:spacing w:val="-9"/>
          <w:w w:val="105"/>
          <w:sz w:val="21"/>
        </w:rPr>
        <w:t> </w:t>
      </w:r>
      <w:r>
        <w:rPr>
          <w:color w:val="231F20"/>
          <w:w w:val="105"/>
          <w:sz w:val="21"/>
        </w:rPr>
        <w:t>desarrollo</w:t>
      </w:r>
      <w:r>
        <w:rPr>
          <w:color w:val="231F20"/>
          <w:spacing w:val="-9"/>
          <w:w w:val="105"/>
          <w:sz w:val="21"/>
        </w:rPr>
        <w:t> </w:t>
      </w:r>
      <w:r>
        <w:rPr>
          <w:color w:val="231F20"/>
          <w:w w:val="105"/>
          <w:sz w:val="21"/>
        </w:rPr>
        <w:t>re- gional y</w:t>
      </w:r>
      <w:r>
        <w:rPr>
          <w:color w:val="231F20"/>
          <w:spacing w:val="-36"/>
          <w:w w:val="105"/>
          <w:sz w:val="21"/>
        </w:rPr>
        <w:t> </w:t>
      </w:r>
      <w:r>
        <w:rPr>
          <w:color w:val="231F20"/>
          <w:w w:val="105"/>
          <w:sz w:val="21"/>
        </w:rPr>
        <w:t>nacional.</w:t>
      </w:r>
    </w:p>
    <w:p>
      <w:pPr>
        <w:spacing w:after="0" w:line="261" w:lineRule="auto"/>
        <w:jc w:val="both"/>
        <w:rPr>
          <w:sz w:val="21"/>
        </w:rPr>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0"/>
        <w:jc w:val="both"/>
      </w:pPr>
      <w:r>
        <w:rPr/>
        <w:pict>
          <v:line style="position:absolute;mso-position-horizontal-relative:page;mso-position-vertical-relative:paragraph;z-index:3496" from="15pt,-71.68644pt" to="0pt,-71.68644pt" stroked="true" strokeweight=".25pt" strokecolor="#000000">
            <w10:wrap type="none"/>
          </v:line>
        </w:pict>
      </w:r>
      <w:r>
        <w:rPr/>
        <w:pict>
          <v:line style="position:absolute;mso-position-horizontal-relative:page;mso-position-vertical-relative:paragraph;z-index:3520" from="508.890015pt,-71.68644pt" to="523.890015pt,-71.68644pt" stroked="true" strokeweight=".25pt" strokecolor="#000000">
            <w10:wrap type="none"/>
          </v:line>
        </w:pict>
      </w:r>
      <w:r>
        <w:rPr>
          <w:color w:val="231F20"/>
          <w:spacing w:val="-7"/>
          <w:w w:val="105"/>
        </w:rPr>
        <w:t>Por </w:t>
      </w:r>
      <w:r>
        <w:rPr>
          <w:color w:val="231F20"/>
          <w:w w:val="105"/>
        </w:rPr>
        <w:t>lo </w:t>
      </w:r>
      <w:r>
        <w:rPr>
          <w:color w:val="231F20"/>
          <w:spacing w:val="-3"/>
          <w:w w:val="105"/>
        </w:rPr>
        <w:t>anterior, </w:t>
      </w:r>
      <w:r>
        <w:rPr>
          <w:color w:val="231F20"/>
          <w:w w:val="105"/>
        </w:rPr>
        <w:t>conviene </w:t>
      </w:r>
      <w:r>
        <w:rPr>
          <w:color w:val="231F20"/>
          <w:spacing w:val="-3"/>
          <w:w w:val="105"/>
        </w:rPr>
        <w:t>resaltar </w:t>
      </w:r>
      <w:r>
        <w:rPr>
          <w:color w:val="231F20"/>
          <w:w w:val="105"/>
        </w:rPr>
        <w:t>que </w:t>
      </w:r>
      <w:r>
        <w:rPr>
          <w:color w:val="231F20"/>
          <w:spacing w:val="-3"/>
          <w:w w:val="105"/>
        </w:rPr>
        <w:t>recientemente </w:t>
      </w:r>
      <w:r>
        <w:rPr>
          <w:color w:val="231F20"/>
          <w:w w:val="105"/>
        </w:rPr>
        <w:t>en materia jurídica, </w:t>
      </w:r>
      <w:r>
        <w:rPr>
          <w:color w:val="231F20"/>
          <w:spacing w:val="-3"/>
          <w:w w:val="105"/>
        </w:rPr>
        <w:t>administrativa</w:t>
      </w:r>
      <w:r>
        <w:rPr>
          <w:color w:val="231F20"/>
          <w:spacing w:val="-21"/>
          <w:w w:val="105"/>
        </w:rPr>
        <w:t> </w:t>
      </w:r>
      <w:r>
        <w:rPr>
          <w:color w:val="231F20"/>
          <w:w w:val="105"/>
        </w:rPr>
        <w:t>y</w:t>
      </w:r>
      <w:r>
        <w:rPr>
          <w:color w:val="231F20"/>
          <w:spacing w:val="-21"/>
          <w:w w:val="105"/>
        </w:rPr>
        <w:t> </w:t>
      </w:r>
      <w:r>
        <w:rPr>
          <w:color w:val="231F20"/>
          <w:w w:val="105"/>
        </w:rPr>
        <w:t>jurisdiccional</w:t>
      </w:r>
      <w:r>
        <w:rPr>
          <w:color w:val="231F20"/>
          <w:spacing w:val="-21"/>
          <w:w w:val="105"/>
        </w:rPr>
        <w:t> </w:t>
      </w:r>
      <w:r>
        <w:rPr>
          <w:color w:val="231F20"/>
          <w:w w:val="105"/>
        </w:rPr>
        <w:t>se</w:t>
      </w:r>
      <w:r>
        <w:rPr>
          <w:color w:val="231F20"/>
          <w:spacing w:val="-21"/>
          <w:w w:val="105"/>
        </w:rPr>
        <w:t> </w:t>
      </w:r>
      <w:r>
        <w:rPr>
          <w:color w:val="231F20"/>
          <w:w w:val="105"/>
        </w:rPr>
        <w:t>han</w:t>
      </w:r>
      <w:r>
        <w:rPr>
          <w:color w:val="231F20"/>
          <w:spacing w:val="-21"/>
          <w:w w:val="105"/>
        </w:rPr>
        <w:t> </w:t>
      </w:r>
      <w:r>
        <w:rPr>
          <w:color w:val="231F20"/>
          <w:spacing w:val="-3"/>
          <w:w w:val="105"/>
        </w:rPr>
        <w:t>registrado</w:t>
      </w:r>
      <w:r>
        <w:rPr>
          <w:color w:val="231F20"/>
          <w:spacing w:val="-21"/>
          <w:w w:val="105"/>
        </w:rPr>
        <w:t> </w:t>
      </w:r>
      <w:r>
        <w:rPr>
          <w:color w:val="231F20"/>
          <w:w w:val="105"/>
        </w:rPr>
        <w:t>avances</w:t>
      </w:r>
      <w:r>
        <w:rPr>
          <w:color w:val="231F20"/>
          <w:spacing w:val="-21"/>
          <w:w w:val="105"/>
        </w:rPr>
        <w:t> </w:t>
      </w:r>
      <w:r>
        <w:rPr>
          <w:color w:val="231F20"/>
          <w:w w:val="105"/>
        </w:rPr>
        <w:t>que</w:t>
      </w:r>
      <w:r>
        <w:rPr>
          <w:color w:val="231F20"/>
          <w:spacing w:val="-21"/>
          <w:w w:val="105"/>
        </w:rPr>
        <w:t> </w:t>
      </w:r>
      <w:r>
        <w:rPr>
          <w:color w:val="231F20"/>
          <w:spacing w:val="-3"/>
          <w:w w:val="105"/>
        </w:rPr>
        <w:t>demuestran </w:t>
      </w:r>
      <w:r>
        <w:rPr>
          <w:color w:val="231F20"/>
          <w:w w:val="105"/>
        </w:rPr>
        <w:t>como</w:t>
      </w:r>
      <w:r>
        <w:rPr>
          <w:color w:val="231F20"/>
          <w:spacing w:val="-28"/>
          <w:w w:val="105"/>
        </w:rPr>
        <w:t> </w:t>
      </w:r>
      <w:r>
        <w:rPr>
          <w:color w:val="231F20"/>
          <w:w w:val="105"/>
        </w:rPr>
        <w:t>la</w:t>
      </w:r>
      <w:r>
        <w:rPr>
          <w:color w:val="231F20"/>
          <w:spacing w:val="-28"/>
          <w:w w:val="105"/>
        </w:rPr>
        <w:t> </w:t>
      </w:r>
      <w:r>
        <w:rPr>
          <w:color w:val="231F20"/>
          <w:w w:val="105"/>
        </w:rPr>
        <w:t>institucionalidad</w:t>
      </w:r>
      <w:r>
        <w:rPr>
          <w:color w:val="231F20"/>
          <w:spacing w:val="-28"/>
          <w:w w:val="105"/>
        </w:rPr>
        <w:t> </w:t>
      </w:r>
      <w:r>
        <w:rPr>
          <w:color w:val="231F20"/>
          <w:w w:val="105"/>
        </w:rPr>
        <w:t>del</w:t>
      </w:r>
      <w:r>
        <w:rPr>
          <w:color w:val="231F20"/>
          <w:spacing w:val="-28"/>
          <w:w w:val="105"/>
        </w:rPr>
        <w:t> </w:t>
      </w:r>
      <w:r>
        <w:rPr>
          <w:color w:val="231F20"/>
          <w:w w:val="105"/>
        </w:rPr>
        <w:t>Estado</w:t>
      </w:r>
      <w:r>
        <w:rPr>
          <w:color w:val="231F20"/>
          <w:spacing w:val="-28"/>
          <w:w w:val="105"/>
        </w:rPr>
        <w:t> </w:t>
      </w:r>
      <w:r>
        <w:rPr>
          <w:color w:val="231F20"/>
          <w:w w:val="105"/>
        </w:rPr>
        <w:t>mexicano</w:t>
      </w:r>
      <w:r>
        <w:rPr>
          <w:color w:val="231F20"/>
          <w:spacing w:val="-28"/>
          <w:w w:val="105"/>
        </w:rPr>
        <w:t> </w:t>
      </w:r>
      <w:r>
        <w:rPr>
          <w:color w:val="231F20"/>
          <w:spacing w:val="-3"/>
          <w:w w:val="105"/>
        </w:rPr>
        <w:t>guarda</w:t>
      </w:r>
      <w:r>
        <w:rPr>
          <w:color w:val="231F20"/>
          <w:spacing w:val="-28"/>
          <w:w w:val="105"/>
        </w:rPr>
        <w:t> </w:t>
      </w:r>
      <w:r>
        <w:rPr>
          <w:color w:val="231F20"/>
          <w:w w:val="105"/>
        </w:rPr>
        <w:t>una</w:t>
      </w:r>
      <w:r>
        <w:rPr>
          <w:color w:val="231F20"/>
          <w:spacing w:val="-28"/>
          <w:w w:val="105"/>
        </w:rPr>
        <w:t> </w:t>
      </w:r>
      <w:r>
        <w:rPr>
          <w:color w:val="231F20"/>
          <w:spacing w:val="-3"/>
          <w:w w:val="105"/>
        </w:rPr>
        <w:t>corresponden- </w:t>
      </w:r>
      <w:r>
        <w:rPr>
          <w:color w:val="231F20"/>
          <w:w w:val="105"/>
        </w:rPr>
        <w:t>cia</w:t>
      </w:r>
      <w:r>
        <w:rPr>
          <w:color w:val="231F20"/>
          <w:spacing w:val="-14"/>
          <w:w w:val="105"/>
        </w:rPr>
        <w:t> </w:t>
      </w:r>
      <w:r>
        <w:rPr>
          <w:color w:val="231F20"/>
          <w:w w:val="105"/>
        </w:rPr>
        <w:t>cada</w:t>
      </w:r>
      <w:r>
        <w:rPr>
          <w:color w:val="231F20"/>
          <w:spacing w:val="-14"/>
          <w:w w:val="105"/>
        </w:rPr>
        <w:t> </w:t>
      </w:r>
      <w:r>
        <w:rPr>
          <w:color w:val="231F20"/>
          <w:w w:val="105"/>
        </w:rPr>
        <w:t>vez</w:t>
      </w:r>
      <w:r>
        <w:rPr>
          <w:color w:val="231F20"/>
          <w:spacing w:val="-14"/>
          <w:w w:val="105"/>
        </w:rPr>
        <w:t> </w:t>
      </w:r>
      <w:r>
        <w:rPr>
          <w:color w:val="231F20"/>
          <w:w w:val="105"/>
        </w:rPr>
        <w:t>mayor</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dinámica</w:t>
      </w:r>
      <w:r>
        <w:rPr>
          <w:color w:val="231F20"/>
          <w:spacing w:val="-14"/>
          <w:w w:val="105"/>
        </w:rPr>
        <w:t> </w:t>
      </w:r>
      <w:r>
        <w:rPr>
          <w:color w:val="231F20"/>
          <w:w w:val="105"/>
        </w:rPr>
        <w:t>y</w:t>
      </w:r>
      <w:r>
        <w:rPr>
          <w:color w:val="231F20"/>
          <w:spacing w:val="-14"/>
          <w:w w:val="105"/>
        </w:rPr>
        <w:t> </w:t>
      </w:r>
      <w:r>
        <w:rPr>
          <w:color w:val="231F20"/>
          <w:w w:val="105"/>
        </w:rPr>
        <w:t>magnitud</w:t>
      </w:r>
      <w:r>
        <w:rPr>
          <w:color w:val="231F20"/>
          <w:spacing w:val="-14"/>
          <w:w w:val="105"/>
        </w:rPr>
        <w:t> </w:t>
      </w:r>
      <w:r>
        <w:rPr>
          <w:color w:val="231F20"/>
          <w:w w:val="105"/>
        </w:rPr>
        <w:t>del</w:t>
      </w:r>
      <w:r>
        <w:rPr>
          <w:color w:val="231F20"/>
          <w:spacing w:val="-14"/>
          <w:w w:val="105"/>
        </w:rPr>
        <w:t> </w:t>
      </w:r>
      <w:r>
        <w:rPr>
          <w:color w:val="231F20"/>
          <w:w w:val="105"/>
        </w:rPr>
        <w:t>fenómeno</w:t>
      </w:r>
      <w:r>
        <w:rPr>
          <w:color w:val="231F20"/>
          <w:spacing w:val="-14"/>
          <w:w w:val="105"/>
        </w:rPr>
        <w:t> </w:t>
      </w:r>
      <w:r>
        <w:rPr>
          <w:color w:val="231F20"/>
          <w:spacing w:val="-3"/>
          <w:w w:val="105"/>
        </w:rPr>
        <w:t>migratorio </w:t>
      </w:r>
      <w:r>
        <w:rPr>
          <w:color w:val="231F20"/>
          <w:spacing w:val="-3"/>
        </w:rPr>
        <w:t>(Valdez</w:t>
      </w:r>
      <w:r>
        <w:rPr>
          <w:color w:val="231F20"/>
          <w:spacing w:val="-13"/>
        </w:rPr>
        <w:t> </w:t>
      </w:r>
      <w:r>
        <w:rPr>
          <w:color w:val="231F20"/>
        </w:rPr>
        <w:t>y</w:t>
      </w:r>
      <w:r>
        <w:rPr>
          <w:color w:val="231F20"/>
          <w:spacing w:val="-13"/>
        </w:rPr>
        <w:t> </w:t>
      </w:r>
      <w:r>
        <w:rPr>
          <w:color w:val="231F20"/>
        </w:rPr>
        <w:t>Rodríguez,</w:t>
      </w:r>
      <w:r>
        <w:rPr>
          <w:color w:val="231F20"/>
          <w:spacing w:val="-20"/>
        </w:rPr>
        <w:t> </w:t>
      </w:r>
      <w:r>
        <w:rPr>
          <w:color w:val="231F20"/>
        </w:rPr>
        <w:t>2015),</w:t>
      </w:r>
      <w:r>
        <w:rPr>
          <w:color w:val="231F20"/>
          <w:spacing w:val="-20"/>
        </w:rPr>
        <w:t> </w:t>
      </w:r>
      <w:r>
        <w:rPr>
          <w:color w:val="231F20"/>
          <w:spacing w:val="-3"/>
        </w:rPr>
        <w:t>entre</w:t>
      </w:r>
      <w:r>
        <w:rPr>
          <w:color w:val="231F20"/>
          <w:spacing w:val="-13"/>
        </w:rPr>
        <w:t> </w:t>
      </w:r>
      <w:r>
        <w:rPr>
          <w:color w:val="231F20"/>
        </w:rPr>
        <w:t>estos</w:t>
      </w:r>
      <w:r>
        <w:rPr>
          <w:color w:val="231F20"/>
          <w:spacing w:val="-13"/>
        </w:rPr>
        <w:t> </w:t>
      </w:r>
      <w:r>
        <w:rPr>
          <w:color w:val="231F20"/>
        </w:rPr>
        <w:t>instrumentos</w:t>
      </w:r>
      <w:r>
        <w:rPr>
          <w:color w:val="231F20"/>
          <w:spacing w:val="-13"/>
        </w:rPr>
        <w:t> </w:t>
      </w:r>
      <w:r>
        <w:rPr>
          <w:color w:val="231F20"/>
        </w:rPr>
        <w:t>específicos</w:t>
      </w:r>
      <w:r>
        <w:rPr>
          <w:color w:val="231F20"/>
          <w:spacing w:val="-13"/>
        </w:rPr>
        <w:t> </w:t>
      </w:r>
      <w:r>
        <w:rPr>
          <w:color w:val="231F20"/>
        </w:rPr>
        <w:t>destacan:</w:t>
      </w:r>
    </w:p>
    <w:p>
      <w:pPr>
        <w:pStyle w:val="BodyText"/>
        <w:rPr>
          <w:sz w:val="23"/>
        </w:rPr>
      </w:pPr>
    </w:p>
    <w:p>
      <w:pPr>
        <w:pStyle w:val="ListParagraph"/>
        <w:numPr>
          <w:ilvl w:val="0"/>
          <w:numId w:val="4"/>
        </w:numPr>
        <w:tabs>
          <w:tab w:pos="2934" w:val="left" w:leader="none"/>
          <w:tab w:pos="2935" w:val="left" w:leader="none"/>
        </w:tabs>
        <w:spacing w:line="240" w:lineRule="auto" w:before="0" w:after="0"/>
        <w:ind w:left="2934" w:right="0" w:hanging="360"/>
        <w:jc w:val="left"/>
        <w:rPr>
          <w:sz w:val="21"/>
        </w:rPr>
      </w:pPr>
      <w:r>
        <w:rPr>
          <w:color w:val="231F20"/>
          <w:w w:val="105"/>
          <w:sz w:val="21"/>
        </w:rPr>
        <w:t>Ley</w:t>
      </w:r>
      <w:r>
        <w:rPr>
          <w:color w:val="231F20"/>
          <w:spacing w:val="-32"/>
          <w:w w:val="105"/>
          <w:sz w:val="21"/>
        </w:rPr>
        <w:t> </w:t>
      </w:r>
      <w:r>
        <w:rPr>
          <w:color w:val="231F20"/>
          <w:w w:val="105"/>
          <w:sz w:val="21"/>
        </w:rPr>
        <w:t>sobre</w:t>
      </w:r>
      <w:r>
        <w:rPr>
          <w:color w:val="231F20"/>
          <w:spacing w:val="-32"/>
          <w:w w:val="105"/>
          <w:sz w:val="21"/>
        </w:rPr>
        <w:t> </w:t>
      </w:r>
      <w:r>
        <w:rPr>
          <w:color w:val="231F20"/>
          <w:w w:val="105"/>
          <w:sz w:val="21"/>
        </w:rPr>
        <w:t>Refugiados</w:t>
      </w:r>
      <w:r>
        <w:rPr>
          <w:color w:val="231F20"/>
          <w:spacing w:val="-32"/>
          <w:w w:val="105"/>
          <w:sz w:val="21"/>
        </w:rPr>
        <w:t> </w:t>
      </w:r>
      <w:r>
        <w:rPr>
          <w:color w:val="231F20"/>
          <w:w w:val="105"/>
          <w:sz w:val="21"/>
        </w:rPr>
        <w:t>y</w:t>
      </w:r>
      <w:r>
        <w:rPr>
          <w:color w:val="231F20"/>
          <w:spacing w:val="-32"/>
          <w:w w:val="105"/>
          <w:sz w:val="21"/>
        </w:rPr>
        <w:t> </w:t>
      </w:r>
      <w:r>
        <w:rPr>
          <w:color w:val="231F20"/>
          <w:w w:val="105"/>
          <w:sz w:val="21"/>
        </w:rPr>
        <w:t>Protección</w:t>
      </w:r>
      <w:r>
        <w:rPr>
          <w:color w:val="231F20"/>
          <w:spacing w:val="-32"/>
          <w:w w:val="105"/>
          <w:sz w:val="21"/>
        </w:rPr>
        <w:t> </w:t>
      </w:r>
      <w:r>
        <w:rPr>
          <w:color w:val="231F20"/>
          <w:w w:val="105"/>
          <w:sz w:val="21"/>
        </w:rPr>
        <w:t>Complementaria.</w:t>
      </w:r>
    </w:p>
    <w:p>
      <w:pPr>
        <w:pStyle w:val="BodyText"/>
        <w:spacing w:before="11"/>
        <w:rPr>
          <w:sz w:val="16"/>
        </w:rPr>
      </w:pPr>
    </w:p>
    <w:p>
      <w:pPr>
        <w:pStyle w:val="ListParagraph"/>
        <w:numPr>
          <w:ilvl w:val="0"/>
          <w:numId w:val="4"/>
        </w:numPr>
        <w:tabs>
          <w:tab w:pos="2935" w:val="left" w:leader="none"/>
        </w:tabs>
        <w:spacing w:line="261" w:lineRule="auto" w:before="0" w:after="0"/>
        <w:ind w:left="2934" w:right="1835" w:hanging="360"/>
        <w:jc w:val="both"/>
        <w:rPr>
          <w:sz w:val="21"/>
        </w:rPr>
      </w:pPr>
      <w:r>
        <w:rPr>
          <w:color w:val="231F20"/>
          <w:w w:val="105"/>
          <w:sz w:val="21"/>
        </w:rPr>
        <w:t>Lineamientos</w:t>
      </w:r>
      <w:r>
        <w:rPr>
          <w:color w:val="231F20"/>
          <w:spacing w:val="-28"/>
          <w:w w:val="105"/>
          <w:sz w:val="21"/>
        </w:rPr>
        <w:t> </w:t>
      </w:r>
      <w:r>
        <w:rPr>
          <w:color w:val="231F20"/>
          <w:w w:val="105"/>
          <w:sz w:val="21"/>
        </w:rPr>
        <w:t>en</w:t>
      </w:r>
      <w:r>
        <w:rPr>
          <w:color w:val="231F20"/>
          <w:spacing w:val="-28"/>
          <w:w w:val="105"/>
          <w:sz w:val="21"/>
        </w:rPr>
        <w:t> </w:t>
      </w:r>
      <w:r>
        <w:rPr>
          <w:color w:val="231F20"/>
          <w:w w:val="105"/>
          <w:sz w:val="21"/>
        </w:rPr>
        <w:t>materia</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Protección</w:t>
      </w:r>
      <w:r>
        <w:rPr>
          <w:color w:val="231F20"/>
          <w:spacing w:val="-28"/>
          <w:w w:val="105"/>
          <w:sz w:val="21"/>
        </w:rPr>
        <w:t> </w:t>
      </w:r>
      <w:r>
        <w:rPr>
          <w:color w:val="231F20"/>
          <w:w w:val="105"/>
          <w:sz w:val="21"/>
        </w:rPr>
        <w:t>a</w:t>
      </w:r>
      <w:r>
        <w:rPr>
          <w:color w:val="231F20"/>
          <w:spacing w:val="-28"/>
          <w:w w:val="105"/>
          <w:sz w:val="21"/>
        </w:rPr>
        <w:t> </w:t>
      </w:r>
      <w:r>
        <w:rPr>
          <w:color w:val="231F20"/>
          <w:w w:val="105"/>
          <w:sz w:val="21"/>
        </w:rPr>
        <w:t>Migrantes</w:t>
      </w:r>
      <w:r>
        <w:rPr>
          <w:color w:val="231F20"/>
          <w:spacing w:val="-28"/>
          <w:w w:val="105"/>
          <w:sz w:val="21"/>
        </w:rPr>
        <w:t> </w:t>
      </w:r>
      <w:r>
        <w:rPr>
          <w:color w:val="231F20"/>
          <w:w w:val="105"/>
          <w:sz w:val="21"/>
        </w:rPr>
        <w:t>del</w:t>
      </w:r>
      <w:r>
        <w:rPr>
          <w:color w:val="231F20"/>
          <w:spacing w:val="-28"/>
          <w:w w:val="105"/>
          <w:sz w:val="21"/>
        </w:rPr>
        <w:t> </w:t>
      </w:r>
      <w:r>
        <w:rPr>
          <w:color w:val="231F20"/>
          <w:w w:val="105"/>
          <w:sz w:val="21"/>
        </w:rPr>
        <w:t>Insti- tuto Nacional de Migración</w:t>
      </w:r>
      <w:r>
        <w:rPr>
          <w:color w:val="231F20"/>
          <w:spacing w:val="-37"/>
          <w:w w:val="105"/>
          <w:sz w:val="21"/>
        </w:rPr>
        <w:t> </w:t>
      </w:r>
      <w:r>
        <w:rPr>
          <w:color w:val="231F20"/>
          <w:w w:val="105"/>
          <w:sz w:val="21"/>
        </w:rPr>
        <w:t>(</w:t>
      </w:r>
      <w:r>
        <w:rPr>
          <w:color w:val="231F20"/>
          <w:w w:val="105"/>
          <w:sz w:val="17"/>
        </w:rPr>
        <w:t>INM</w:t>
      </w:r>
      <w:r>
        <w:rPr>
          <w:color w:val="231F20"/>
          <w:w w:val="105"/>
          <w:sz w:val="21"/>
        </w:rPr>
        <w:t>)</w:t>
      </w:r>
    </w:p>
    <w:p>
      <w:pPr>
        <w:pStyle w:val="ListParagraph"/>
        <w:numPr>
          <w:ilvl w:val="0"/>
          <w:numId w:val="4"/>
        </w:numPr>
        <w:tabs>
          <w:tab w:pos="2934" w:val="left" w:leader="none"/>
          <w:tab w:pos="2935" w:val="left" w:leader="none"/>
        </w:tabs>
        <w:spacing w:line="240" w:lineRule="auto" w:before="171" w:after="0"/>
        <w:ind w:left="2934" w:right="0" w:hanging="360"/>
        <w:jc w:val="left"/>
        <w:rPr>
          <w:sz w:val="21"/>
        </w:rPr>
      </w:pPr>
      <w:r>
        <w:rPr>
          <w:color w:val="231F20"/>
          <w:sz w:val="21"/>
        </w:rPr>
        <w:t>Lineamientos para </w:t>
      </w:r>
      <w:r>
        <w:rPr>
          <w:color w:val="231F20"/>
          <w:spacing w:val="-3"/>
          <w:sz w:val="21"/>
        </w:rPr>
        <w:t>Trámites </w:t>
      </w:r>
      <w:r>
        <w:rPr>
          <w:color w:val="231F20"/>
          <w:sz w:val="21"/>
        </w:rPr>
        <w:t>y Procesamientos </w:t>
      </w:r>
      <w:r>
        <w:rPr>
          <w:color w:val="231F20"/>
          <w:spacing w:val="26"/>
          <w:sz w:val="21"/>
        </w:rPr>
        <w:t> </w:t>
      </w:r>
      <w:r>
        <w:rPr>
          <w:color w:val="231F20"/>
          <w:sz w:val="21"/>
        </w:rPr>
        <w:t>Migratorios</w:t>
      </w:r>
    </w:p>
    <w:p>
      <w:pPr>
        <w:pStyle w:val="BodyText"/>
        <w:spacing w:before="11"/>
        <w:rPr>
          <w:sz w:val="16"/>
        </w:rPr>
      </w:pPr>
    </w:p>
    <w:p>
      <w:pPr>
        <w:pStyle w:val="ListParagraph"/>
        <w:numPr>
          <w:ilvl w:val="0"/>
          <w:numId w:val="4"/>
        </w:numPr>
        <w:tabs>
          <w:tab w:pos="2935" w:val="left" w:leader="none"/>
        </w:tabs>
        <w:spacing w:line="261" w:lineRule="auto" w:before="0" w:after="0"/>
        <w:ind w:left="2934" w:right="1835" w:hanging="360"/>
        <w:jc w:val="both"/>
        <w:rPr>
          <w:sz w:val="17"/>
        </w:rPr>
      </w:pPr>
      <w:r>
        <w:rPr>
          <w:color w:val="231F20"/>
          <w:w w:val="105"/>
          <w:sz w:val="21"/>
        </w:rPr>
        <w:t>Normas</w:t>
      </w:r>
      <w:r>
        <w:rPr>
          <w:color w:val="231F20"/>
          <w:spacing w:val="-13"/>
          <w:w w:val="105"/>
          <w:sz w:val="21"/>
        </w:rPr>
        <w:t> </w:t>
      </w:r>
      <w:r>
        <w:rPr>
          <w:color w:val="231F20"/>
          <w:w w:val="105"/>
          <w:sz w:val="21"/>
        </w:rPr>
        <w:t>para</w:t>
      </w:r>
      <w:r>
        <w:rPr>
          <w:color w:val="231F20"/>
          <w:spacing w:val="-13"/>
          <w:w w:val="105"/>
          <w:sz w:val="21"/>
        </w:rPr>
        <w:t> </w:t>
      </w:r>
      <w:r>
        <w:rPr>
          <w:color w:val="231F20"/>
          <w:w w:val="105"/>
          <w:sz w:val="21"/>
        </w:rPr>
        <w:t>el</w:t>
      </w:r>
      <w:r>
        <w:rPr>
          <w:color w:val="231F20"/>
          <w:spacing w:val="-13"/>
          <w:w w:val="105"/>
          <w:sz w:val="21"/>
        </w:rPr>
        <w:t> </w:t>
      </w:r>
      <w:r>
        <w:rPr>
          <w:color w:val="231F20"/>
          <w:w w:val="105"/>
          <w:sz w:val="21"/>
        </w:rPr>
        <w:t>Funcionamiento</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las</w:t>
      </w:r>
      <w:r>
        <w:rPr>
          <w:color w:val="231F20"/>
          <w:spacing w:val="-13"/>
          <w:w w:val="105"/>
          <w:sz w:val="21"/>
        </w:rPr>
        <w:t> </w:t>
      </w:r>
      <w:r>
        <w:rPr>
          <w:color w:val="231F20"/>
          <w:w w:val="105"/>
          <w:sz w:val="21"/>
        </w:rPr>
        <w:t>Estaciones</w:t>
      </w:r>
      <w:r>
        <w:rPr>
          <w:color w:val="231F20"/>
          <w:spacing w:val="-13"/>
          <w:w w:val="105"/>
          <w:sz w:val="21"/>
        </w:rPr>
        <w:t> </w:t>
      </w:r>
      <w:r>
        <w:rPr>
          <w:color w:val="231F20"/>
          <w:w w:val="105"/>
          <w:sz w:val="21"/>
        </w:rPr>
        <w:t>Migrato- </w:t>
      </w:r>
      <w:r>
        <w:rPr>
          <w:color w:val="231F20"/>
          <w:sz w:val="21"/>
        </w:rPr>
        <w:t>rias y Estancias Provisionales del</w:t>
      </w:r>
      <w:r>
        <w:rPr>
          <w:color w:val="231F20"/>
          <w:spacing w:val="-34"/>
          <w:sz w:val="21"/>
        </w:rPr>
        <w:t> </w:t>
      </w:r>
      <w:r>
        <w:rPr>
          <w:color w:val="231F20"/>
          <w:sz w:val="17"/>
        </w:rPr>
        <w:t>INM</w:t>
      </w:r>
    </w:p>
    <w:p>
      <w:pPr>
        <w:pStyle w:val="ListParagraph"/>
        <w:numPr>
          <w:ilvl w:val="0"/>
          <w:numId w:val="4"/>
        </w:numPr>
        <w:tabs>
          <w:tab w:pos="2935" w:val="left" w:leader="none"/>
        </w:tabs>
        <w:spacing w:line="261" w:lineRule="auto" w:before="171" w:after="0"/>
        <w:ind w:left="2934" w:right="1835" w:hanging="360"/>
        <w:jc w:val="both"/>
        <w:rPr>
          <w:sz w:val="21"/>
        </w:rPr>
      </w:pPr>
      <w:r>
        <w:rPr>
          <w:color w:val="231F20"/>
          <w:w w:val="105"/>
          <w:sz w:val="21"/>
        </w:rPr>
        <w:t>Protocolo de Actuación para quienes imparten Justicia en casos</w:t>
      </w:r>
      <w:r>
        <w:rPr>
          <w:color w:val="231F20"/>
          <w:spacing w:val="-36"/>
          <w:w w:val="105"/>
          <w:sz w:val="21"/>
        </w:rPr>
        <w:t> </w:t>
      </w:r>
      <w:r>
        <w:rPr>
          <w:color w:val="231F20"/>
          <w:w w:val="105"/>
          <w:sz w:val="21"/>
        </w:rPr>
        <w:t>que</w:t>
      </w:r>
      <w:r>
        <w:rPr>
          <w:color w:val="231F20"/>
          <w:spacing w:val="-38"/>
          <w:w w:val="105"/>
          <w:sz w:val="21"/>
        </w:rPr>
        <w:t> </w:t>
      </w:r>
      <w:r>
        <w:rPr>
          <w:color w:val="231F20"/>
          <w:w w:val="105"/>
          <w:sz w:val="21"/>
        </w:rPr>
        <w:t>Afectan</w:t>
      </w:r>
      <w:r>
        <w:rPr>
          <w:color w:val="231F20"/>
          <w:spacing w:val="-36"/>
          <w:w w:val="105"/>
          <w:sz w:val="21"/>
        </w:rPr>
        <w:t> </w:t>
      </w:r>
      <w:r>
        <w:rPr>
          <w:color w:val="231F20"/>
          <w:w w:val="105"/>
          <w:sz w:val="21"/>
        </w:rPr>
        <w:t>a</w:t>
      </w:r>
      <w:r>
        <w:rPr>
          <w:color w:val="231F20"/>
          <w:spacing w:val="-36"/>
          <w:w w:val="105"/>
          <w:sz w:val="21"/>
        </w:rPr>
        <w:t> </w:t>
      </w:r>
      <w:r>
        <w:rPr>
          <w:color w:val="231F20"/>
          <w:w w:val="105"/>
          <w:sz w:val="21"/>
        </w:rPr>
        <w:t>Personas</w:t>
      </w:r>
      <w:r>
        <w:rPr>
          <w:color w:val="231F20"/>
          <w:spacing w:val="-36"/>
          <w:w w:val="105"/>
          <w:sz w:val="21"/>
        </w:rPr>
        <w:t> </w:t>
      </w:r>
      <w:r>
        <w:rPr>
          <w:color w:val="231F20"/>
          <w:w w:val="105"/>
          <w:sz w:val="21"/>
        </w:rPr>
        <w:t>Migrantes</w:t>
      </w:r>
      <w:r>
        <w:rPr>
          <w:color w:val="231F20"/>
          <w:spacing w:val="-36"/>
          <w:w w:val="105"/>
          <w:sz w:val="21"/>
        </w:rPr>
        <w:t> </w:t>
      </w:r>
      <w:r>
        <w:rPr>
          <w:color w:val="231F20"/>
          <w:w w:val="105"/>
          <w:sz w:val="21"/>
        </w:rPr>
        <w:t>y</w:t>
      </w:r>
      <w:r>
        <w:rPr>
          <w:color w:val="231F20"/>
          <w:spacing w:val="-36"/>
          <w:w w:val="105"/>
          <w:sz w:val="21"/>
        </w:rPr>
        <w:t> </w:t>
      </w:r>
      <w:r>
        <w:rPr>
          <w:color w:val="231F20"/>
          <w:w w:val="105"/>
          <w:sz w:val="21"/>
        </w:rPr>
        <w:t>Sujetas</w:t>
      </w:r>
      <w:r>
        <w:rPr>
          <w:color w:val="231F20"/>
          <w:spacing w:val="-36"/>
          <w:w w:val="105"/>
          <w:sz w:val="21"/>
        </w:rPr>
        <w:t> </w:t>
      </w:r>
      <w:r>
        <w:rPr>
          <w:color w:val="231F20"/>
          <w:w w:val="105"/>
          <w:sz w:val="21"/>
        </w:rPr>
        <w:t>de</w:t>
      </w:r>
      <w:r>
        <w:rPr>
          <w:color w:val="231F20"/>
          <w:spacing w:val="-36"/>
          <w:w w:val="105"/>
          <w:sz w:val="21"/>
        </w:rPr>
        <w:t> </w:t>
      </w:r>
      <w:r>
        <w:rPr>
          <w:color w:val="231F20"/>
          <w:spacing w:val="-3"/>
          <w:w w:val="105"/>
          <w:sz w:val="21"/>
        </w:rPr>
        <w:t>Protec- </w:t>
      </w:r>
      <w:r>
        <w:rPr>
          <w:color w:val="231F20"/>
          <w:w w:val="105"/>
          <w:sz w:val="21"/>
        </w:rPr>
        <w:t>ción</w:t>
      </w:r>
      <w:r>
        <w:rPr>
          <w:color w:val="231F20"/>
          <w:spacing w:val="-24"/>
          <w:w w:val="105"/>
          <w:sz w:val="21"/>
        </w:rPr>
        <w:t> </w:t>
      </w:r>
      <w:r>
        <w:rPr>
          <w:color w:val="231F20"/>
          <w:w w:val="105"/>
          <w:sz w:val="21"/>
        </w:rPr>
        <w:t>Internacional</w:t>
      </w:r>
    </w:p>
    <w:p>
      <w:pPr>
        <w:pStyle w:val="BodyText"/>
        <w:spacing w:line="261" w:lineRule="auto" w:before="171"/>
        <w:ind w:left="1723" w:right="1834"/>
        <w:jc w:val="both"/>
      </w:pPr>
      <w:r>
        <w:rPr>
          <w:color w:val="231F20"/>
          <w:spacing w:val="-6"/>
          <w:w w:val="105"/>
        </w:rPr>
        <w:t>Por </w:t>
      </w:r>
      <w:r>
        <w:rPr>
          <w:color w:val="231F20"/>
          <w:w w:val="105"/>
        </w:rPr>
        <w:t>su parte, en el Plan Nacional de Desarrollo (</w:t>
      </w:r>
      <w:r>
        <w:rPr>
          <w:color w:val="231F20"/>
          <w:w w:val="105"/>
          <w:sz w:val="17"/>
        </w:rPr>
        <w:t>PND</w:t>
      </w:r>
      <w:r>
        <w:rPr>
          <w:color w:val="231F20"/>
          <w:w w:val="105"/>
        </w:rPr>
        <w:t>) 2012-2018 ha</w:t>
      </w:r>
      <w:r>
        <w:rPr>
          <w:color w:val="231F20"/>
          <w:spacing w:val="-35"/>
          <w:w w:val="105"/>
        </w:rPr>
        <w:t> </w:t>
      </w:r>
      <w:r>
        <w:rPr>
          <w:color w:val="231F20"/>
          <w:w w:val="105"/>
        </w:rPr>
        <w:t>tra- zado entre sus objetivos velar por los intereses de los mexicanos en el extranjero y proteger los derechos de los extranjeros en el territorio nacional.</w:t>
      </w:r>
      <w:r>
        <w:rPr>
          <w:color w:val="231F20"/>
          <w:spacing w:val="-12"/>
          <w:w w:val="105"/>
        </w:rPr>
        <w:t> </w:t>
      </w:r>
      <w:r>
        <w:rPr>
          <w:color w:val="231F20"/>
          <w:w w:val="105"/>
        </w:rPr>
        <w:t>Las</w:t>
      </w:r>
      <w:r>
        <w:rPr>
          <w:color w:val="231F20"/>
          <w:spacing w:val="-7"/>
          <w:w w:val="105"/>
        </w:rPr>
        <w:t> </w:t>
      </w:r>
      <w:r>
        <w:rPr>
          <w:color w:val="231F20"/>
          <w:w w:val="105"/>
        </w:rPr>
        <w:t>estrategias</w:t>
      </w:r>
      <w:r>
        <w:rPr>
          <w:color w:val="231F20"/>
          <w:spacing w:val="-7"/>
          <w:w w:val="105"/>
        </w:rPr>
        <w:t> </w:t>
      </w:r>
      <w:r>
        <w:rPr>
          <w:color w:val="231F20"/>
          <w:w w:val="105"/>
        </w:rPr>
        <w:t>para</w:t>
      </w:r>
      <w:r>
        <w:rPr>
          <w:color w:val="231F20"/>
          <w:spacing w:val="-7"/>
          <w:w w:val="105"/>
        </w:rPr>
        <w:t> </w:t>
      </w:r>
      <w:r>
        <w:rPr>
          <w:color w:val="231F20"/>
          <w:w w:val="105"/>
        </w:rPr>
        <w:t>lograrlo</w:t>
      </w:r>
      <w:r>
        <w:rPr>
          <w:color w:val="231F20"/>
          <w:spacing w:val="-7"/>
          <w:w w:val="105"/>
        </w:rPr>
        <w:t> </w:t>
      </w:r>
      <w:r>
        <w:rPr>
          <w:color w:val="231F20"/>
          <w:w w:val="105"/>
        </w:rPr>
        <w:t>consideran:</w:t>
      </w:r>
      <w:r>
        <w:rPr>
          <w:color w:val="231F20"/>
          <w:spacing w:val="-7"/>
          <w:w w:val="105"/>
        </w:rPr>
        <w:t> </w:t>
      </w:r>
      <w:r>
        <w:rPr>
          <w:color w:val="231F20"/>
          <w:w w:val="105"/>
        </w:rPr>
        <w:t>1)</w:t>
      </w:r>
      <w:r>
        <w:rPr>
          <w:color w:val="231F20"/>
          <w:spacing w:val="-7"/>
          <w:w w:val="105"/>
        </w:rPr>
        <w:t> </w:t>
      </w:r>
      <w:r>
        <w:rPr>
          <w:color w:val="231F20"/>
          <w:w w:val="105"/>
        </w:rPr>
        <w:t>ofrecer</w:t>
      </w:r>
      <w:r>
        <w:rPr>
          <w:color w:val="231F20"/>
          <w:spacing w:val="-7"/>
          <w:w w:val="105"/>
        </w:rPr>
        <w:t> </w:t>
      </w:r>
      <w:r>
        <w:rPr>
          <w:color w:val="231F20"/>
          <w:w w:val="105"/>
        </w:rPr>
        <w:t>asistencia y protección consular a todos aquellos mexicanos que lo requieran, 2) crear</w:t>
      </w:r>
      <w:r>
        <w:rPr>
          <w:color w:val="231F20"/>
          <w:spacing w:val="-29"/>
          <w:w w:val="105"/>
        </w:rPr>
        <w:t> </w:t>
      </w:r>
      <w:r>
        <w:rPr>
          <w:color w:val="231F20"/>
          <w:w w:val="105"/>
        </w:rPr>
        <w:t>mecanismos</w:t>
      </w:r>
      <w:r>
        <w:rPr>
          <w:color w:val="231F20"/>
          <w:spacing w:val="-29"/>
          <w:w w:val="105"/>
        </w:rPr>
        <w:t> </w:t>
      </w:r>
      <w:r>
        <w:rPr>
          <w:color w:val="231F20"/>
          <w:w w:val="105"/>
        </w:rPr>
        <w:t>para</w:t>
      </w:r>
      <w:r>
        <w:rPr>
          <w:color w:val="231F20"/>
          <w:spacing w:val="-29"/>
          <w:w w:val="105"/>
        </w:rPr>
        <w:t> </w:t>
      </w:r>
      <w:r>
        <w:rPr>
          <w:color w:val="231F20"/>
          <w:w w:val="105"/>
        </w:rPr>
        <w:t>la</w:t>
      </w:r>
      <w:r>
        <w:rPr>
          <w:color w:val="231F20"/>
          <w:spacing w:val="-29"/>
          <w:w w:val="105"/>
        </w:rPr>
        <w:t> </w:t>
      </w:r>
      <w:r>
        <w:rPr>
          <w:color w:val="231F20"/>
          <w:w w:val="105"/>
        </w:rPr>
        <w:t>reinserción</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personas</w:t>
      </w:r>
      <w:r>
        <w:rPr>
          <w:color w:val="231F20"/>
          <w:spacing w:val="-29"/>
          <w:w w:val="105"/>
        </w:rPr>
        <w:t> </w:t>
      </w:r>
      <w:r>
        <w:rPr>
          <w:color w:val="231F20"/>
          <w:w w:val="105"/>
        </w:rPr>
        <w:t>migrantes</w:t>
      </w:r>
      <w:r>
        <w:rPr>
          <w:color w:val="231F20"/>
          <w:spacing w:val="-29"/>
          <w:w w:val="105"/>
        </w:rPr>
        <w:t> </w:t>
      </w:r>
      <w:r>
        <w:rPr>
          <w:color w:val="231F20"/>
          <w:w w:val="105"/>
        </w:rPr>
        <w:t>de</w:t>
      </w:r>
      <w:r>
        <w:rPr>
          <w:color w:val="231F20"/>
          <w:spacing w:val="-29"/>
          <w:w w:val="105"/>
        </w:rPr>
        <w:t> </w:t>
      </w:r>
      <w:r>
        <w:rPr>
          <w:color w:val="231F20"/>
          <w:w w:val="105"/>
        </w:rPr>
        <w:t>retor- no</w:t>
      </w:r>
      <w:r>
        <w:rPr>
          <w:color w:val="231F20"/>
          <w:spacing w:val="-6"/>
          <w:w w:val="105"/>
        </w:rPr>
        <w:t> </w:t>
      </w:r>
      <w:r>
        <w:rPr>
          <w:color w:val="231F20"/>
          <w:w w:val="105"/>
        </w:rPr>
        <w:t>y</w:t>
      </w:r>
      <w:r>
        <w:rPr>
          <w:color w:val="231F20"/>
          <w:spacing w:val="-6"/>
          <w:w w:val="105"/>
        </w:rPr>
        <w:t> </w:t>
      </w:r>
      <w:r>
        <w:rPr>
          <w:color w:val="231F20"/>
          <w:w w:val="105"/>
        </w:rPr>
        <w:t>fortalecer</w:t>
      </w:r>
      <w:r>
        <w:rPr>
          <w:color w:val="231F20"/>
          <w:spacing w:val="-6"/>
          <w:w w:val="105"/>
        </w:rPr>
        <w:t> </w:t>
      </w:r>
      <w:r>
        <w:rPr>
          <w:color w:val="231F20"/>
          <w:w w:val="105"/>
        </w:rPr>
        <w:t>los</w:t>
      </w:r>
      <w:r>
        <w:rPr>
          <w:color w:val="231F20"/>
          <w:spacing w:val="-6"/>
          <w:w w:val="105"/>
        </w:rPr>
        <w:t> </w:t>
      </w:r>
      <w:r>
        <w:rPr>
          <w:color w:val="231F20"/>
          <w:w w:val="105"/>
        </w:rPr>
        <w:t>programas</w:t>
      </w:r>
      <w:r>
        <w:rPr>
          <w:color w:val="231F20"/>
          <w:spacing w:val="-6"/>
          <w:w w:val="105"/>
        </w:rPr>
        <w:t> </w:t>
      </w:r>
      <w:r>
        <w:rPr>
          <w:color w:val="231F20"/>
          <w:w w:val="105"/>
        </w:rPr>
        <w:t>de</w:t>
      </w:r>
      <w:r>
        <w:rPr>
          <w:color w:val="231F20"/>
          <w:spacing w:val="-6"/>
          <w:w w:val="105"/>
        </w:rPr>
        <w:t> </w:t>
      </w:r>
      <w:r>
        <w:rPr>
          <w:color w:val="231F20"/>
          <w:w w:val="105"/>
        </w:rPr>
        <w:t>repatriación,</w:t>
      </w:r>
      <w:r>
        <w:rPr>
          <w:color w:val="231F20"/>
          <w:spacing w:val="-11"/>
          <w:w w:val="105"/>
        </w:rPr>
        <w:t> </w:t>
      </w:r>
      <w:r>
        <w:rPr>
          <w:color w:val="231F20"/>
          <w:w w:val="105"/>
        </w:rPr>
        <w:t>3)</w:t>
      </w:r>
      <w:r>
        <w:rPr>
          <w:color w:val="231F20"/>
          <w:spacing w:val="-6"/>
          <w:w w:val="105"/>
        </w:rPr>
        <w:t> </w:t>
      </w:r>
      <w:r>
        <w:rPr>
          <w:color w:val="231F20"/>
          <w:w w:val="105"/>
        </w:rPr>
        <w:t>facilitar</w:t>
      </w:r>
      <w:r>
        <w:rPr>
          <w:color w:val="231F20"/>
          <w:spacing w:val="-6"/>
          <w:w w:val="105"/>
        </w:rPr>
        <w:t> </w:t>
      </w:r>
      <w:r>
        <w:rPr>
          <w:color w:val="231F20"/>
          <w:w w:val="105"/>
        </w:rPr>
        <w:t>la</w:t>
      </w:r>
      <w:r>
        <w:rPr>
          <w:color w:val="231F20"/>
          <w:spacing w:val="-6"/>
          <w:w w:val="105"/>
        </w:rPr>
        <w:t> </w:t>
      </w:r>
      <w:r>
        <w:rPr>
          <w:color w:val="231F20"/>
          <w:w w:val="105"/>
        </w:rPr>
        <w:t>movilidad</w:t>
      </w:r>
      <w:r>
        <w:rPr>
          <w:color w:val="231F20"/>
          <w:spacing w:val="-6"/>
          <w:w w:val="105"/>
        </w:rPr>
        <w:t> </w:t>
      </w:r>
      <w:r>
        <w:rPr>
          <w:color w:val="231F20"/>
          <w:w w:val="105"/>
        </w:rPr>
        <w:t>in- ternacional</w:t>
      </w:r>
      <w:r>
        <w:rPr>
          <w:color w:val="231F20"/>
          <w:spacing w:val="-5"/>
          <w:w w:val="105"/>
        </w:rPr>
        <w:t> </w:t>
      </w:r>
      <w:r>
        <w:rPr>
          <w:color w:val="231F20"/>
          <w:w w:val="105"/>
        </w:rPr>
        <w:t>de</w:t>
      </w:r>
      <w:r>
        <w:rPr>
          <w:color w:val="231F20"/>
          <w:spacing w:val="-5"/>
          <w:w w:val="105"/>
        </w:rPr>
        <w:t> </w:t>
      </w:r>
      <w:r>
        <w:rPr>
          <w:color w:val="231F20"/>
          <w:w w:val="105"/>
        </w:rPr>
        <w:t>personas</w:t>
      </w:r>
      <w:r>
        <w:rPr>
          <w:color w:val="231F20"/>
          <w:spacing w:val="-5"/>
          <w:w w:val="105"/>
        </w:rPr>
        <w:t> </w:t>
      </w:r>
      <w:r>
        <w:rPr>
          <w:color w:val="231F20"/>
          <w:w w:val="105"/>
        </w:rPr>
        <w:t>en</w:t>
      </w:r>
      <w:r>
        <w:rPr>
          <w:color w:val="231F20"/>
          <w:spacing w:val="-5"/>
          <w:w w:val="105"/>
        </w:rPr>
        <w:t> </w:t>
      </w:r>
      <w:r>
        <w:rPr>
          <w:color w:val="231F20"/>
          <w:w w:val="105"/>
        </w:rPr>
        <w:t>beneficio</w:t>
      </w:r>
      <w:r>
        <w:rPr>
          <w:color w:val="231F20"/>
          <w:spacing w:val="-5"/>
          <w:w w:val="105"/>
        </w:rPr>
        <w:t> </w:t>
      </w:r>
      <w:r>
        <w:rPr>
          <w:color w:val="231F20"/>
          <w:w w:val="105"/>
        </w:rPr>
        <w:t>del</w:t>
      </w:r>
      <w:r>
        <w:rPr>
          <w:color w:val="231F20"/>
          <w:spacing w:val="-5"/>
          <w:w w:val="105"/>
        </w:rPr>
        <w:t> </w:t>
      </w:r>
      <w:r>
        <w:rPr>
          <w:color w:val="231F20"/>
          <w:w w:val="105"/>
        </w:rPr>
        <w:t>desarrollo</w:t>
      </w:r>
      <w:r>
        <w:rPr>
          <w:color w:val="231F20"/>
          <w:spacing w:val="-5"/>
          <w:w w:val="105"/>
        </w:rPr>
        <w:t> </w:t>
      </w:r>
      <w:r>
        <w:rPr>
          <w:color w:val="231F20"/>
          <w:w w:val="105"/>
        </w:rPr>
        <w:t>nacional,</w:t>
      </w:r>
      <w:r>
        <w:rPr>
          <w:color w:val="231F20"/>
          <w:spacing w:val="-11"/>
          <w:w w:val="105"/>
        </w:rPr>
        <w:t> </w:t>
      </w:r>
      <w:r>
        <w:rPr>
          <w:color w:val="231F20"/>
          <w:w w:val="105"/>
        </w:rPr>
        <w:t>4)</w:t>
      </w:r>
      <w:r>
        <w:rPr>
          <w:color w:val="231F20"/>
          <w:spacing w:val="-5"/>
          <w:w w:val="105"/>
        </w:rPr>
        <w:t> </w:t>
      </w:r>
      <w:r>
        <w:rPr>
          <w:color w:val="231F20"/>
          <w:w w:val="105"/>
        </w:rPr>
        <w:t>diseñar mecanismos de coordinación interinstitucional y multisectorial, para el diseño,</w:t>
      </w:r>
      <w:r>
        <w:rPr>
          <w:color w:val="231F20"/>
          <w:spacing w:val="-11"/>
          <w:w w:val="105"/>
        </w:rPr>
        <w:t> </w:t>
      </w:r>
      <w:r>
        <w:rPr>
          <w:color w:val="231F20"/>
          <w:w w:val="105"/>
        </w:rPr>
        <w:t>implementación,</w:t>
      </w:r>
      <w:r>
        <w:rPr>
          <w:color w:val="231F20"/>
          <w:spacing w:val="-11"/>
          <w:w w:val="105"/>
        </w:rPr>
        <w:t> </w:t>
      </w:r>
      <w:r>
        <w:rPr>
          <w:color w:val="231F20"/>
          <w:w w:val="105"/>
        </w:rPr>
        <w:t>seguimiento</w:t>
      </w:r>
      <w:r>
        <w:rPr>
          <w:color w:val="231F20"/>
          <w:spacing w:val="-5"/>
          <w:w w:val="105"/>
        </w:rPr>
        <w:t> </w:t>
      </w:r>
      <w:r>
        <w:rPr>
          <w:color w:val="231F20"/>
          <w:w w:val="105"/>
        </w:rPr>
        <w:t>y</w:t>
      </w:r>
      <w:r>
        <w:rPr>
          <w:color w:val="231F20"/>
          <w:spacing w:val="-5"/>
          <w:w w:val="105"/>
        </w:rPr>
        <w:t> </w:t>
      </w:r>
      <w:r>
        <w:rPr>
          <w:color w:val="231F20"/>
          <w:w w:val="105"/>
        </w:rPr>
        <w:t>evaluación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política</w:t>
      </w:r>
      <w:r>
        <w:rPr>
          <w:color w:val="231F20"/>
          <w:spacing w:val="-5"/>
          <w:w w:val="105"/>
        </w:rPr>
        <w:t> </w:t>
      </w:r>
      <w:r>
        <w:rPr>
          <w:color w:val="231F20"/>
          <w:w w:val="105"/>
        </w:rPr>
        <w:t>pública en materia migratoria, y 5) garantizar los derechos de las personas mi- grantes,</w:t>
      </w:r>
      <w:r>
        <w:rPr>
          <w:color w:val="231F20"/>
          <w:spacing w:val="-14"/>
          <w:w w:val="105"/>
        </w:rPr>
        <w:t> </w:t>
      </w:r>
      <w:r>
        <w:rPr>
          <w:color w:val="231F20"/>
          <w:w w:val="105"/>
        </w:rPr>
        <w:t>solicitantes</w:t>
      </w:r>
      <w:r>
        <w:rPr>
          <w:color w:val="231F20"/>
          <w:spacing w:val="-8"/>
          <w:w w:val="105"/>
        </w:rPr>
        <w:t> </w:t>
      </w:r>
      <w:r>
        <w:rPr>
          <w:color w:val="231F20"/>
          <w:w w:val="105"/>
        </w:rPr>
        <w:t>de</w:t>
      </w:r>
      <w:r>
        <w:rPr>
          <w:color w:val="231F20"/>
          <w:spacing w:val="-8"/>
          <w:w w:val="105"/>
        </w:rPr>
        <w:t> </w:t>
      </w:r>
      <w:r>
        <w:rPr>
          <w:color w:val="231F20"/>
          <w:w w:val="105"/>
        </w:rPr>
        <w:t>refugio,</w:t>
      </w:r>
      <w:r>
        <w:rPr>
          <w:color w:val="231F20"/>
          <w:spacing w:val="-14"/>
          <w:w w:val="105"/>
        </w:rPr>
        <w:t> </w:t>
      </w:r>
      <w:r>
        <w:rPr>
          <w:color w:val="231F20"/>
          <w:w w:val="105"/>
        </w:rPr>
        <w:t>refugiadas</w:t>
      </w:r>
      <w:r>
        <w:rPr>
          <w:color w:val="231F20"/>
          <w:spacing w:val="-8"/>
          <w:w w:val="105"/>
        </w:rPr>
        <w:t> </w:t>
      </w:r>
      <w:r>
        <w:rPr>
          <w:color w:val="231F20"/>
          <w:w w:val="105"/>
        </w:rPr>
        <w:t>y</w:t>
      </w:r>
      <w:r>
        <w:rPr>
          <w:color w:val="231F20"/>
          <w:spacing w:val="-8"/>
          <w:w w:val="105"/>
        </w:rPr>
        <w:t> </w:t>
      </w:r>
      <w:r>
        <w:rPr>
          <w:color w:val="231F20"/>
          <w:w w:val="105"/>
        </w:rPr>
        <w:t>beneficiarias</w:t>
      </w:r>
      <w:r>
        <w:rPr>
          <w:color w:val="231F20"/>
          <w:spacing w:val="-8"/>
          <w:w w:val="105"/>
        </w:rPr>
        <w:t> </w:t>
      </w:r>
      <w:r>
        <w:rPr>
          <w:color w:val="231F20"/>
          <w:w w:val="105"/>
        </w:rPr>
        <w:t>de</w:t>
      </w:r>
      <w:r>
        <w:rPr>
          <w:color w:val="231F20"/>
          <w:spacing w:val="-8"/>
          <w:w w:val="105"/>
        </w:rPr>
        <w:t> </w:t>
      </w:r>
      <w:r>
        <w:rPr>
          <w:color w:val="231F20"/>
          <w:w w:val="105"/>
        </w:rPr>
        <w:t>protección complementaria</w:t>
      </w:r>
      <w:r>
        <w:rPr>
          <w:color w:val="231F20"/>
          <w:spacing w:val="-17"/>
          <w:w w:val="105"/>
        </w:rPr>
        <w:t> </w:t>
      </w:r>
      <w:r>
        <w:rPr>
          <w:color w:val="231F20"/>
          <w:w w:val="105"/>
        </w:rPr>
        <w:t>(Gobierno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República,</w:t>
      </w:r>
      <w:r>
        <w:rPr>
          <w:color w:val="231F20"/>
          <w:spacing w:val="-22"/>
          <w:w w:val="105"/>
        </w:rPr>
        <w:t> </w:t>
      </w:r>
      <w:r>
        <w:rPr>
          <w:color w:val="231F20"/>
          <w:w w:val="105"/>
        </w:rPr>
        <w:t>2013).</w:t>
      </w:r>
    </w:p>
    <w:p>
      <w:pPr>
        <w:pStyle w:val="BodyText"/>
        <w:spacing w:line="261" w:lineRule="auto" w:before="1"/>
        <w:ind w:left="1723" w:right="1829" w:firstLine="566"/>
        <w:jc w:val="both"/>
      </w:pPr>
      <w:r>
        <w:rPr>
          <w:color w:val="231F20"/>
          <w:spacing w:val="-4"/>
          <w:w w:val="105"/>
        </w:rPr>
        <w:t>Para</w:t>
      </w:r>
      <w:r>
        <w:rPr>
          <w:color w:val="231F20"/>
          <w:spacing w:val="-18"/>
          <w:w w:val="105"/>
        </w:rPr>
        <w:t> </w:t>
      </w:r>
      <w:r>
        <w:rPr>
          <w:color w:val="231F20"/>
          <w:w w:val="105"/>
        </w:rPr>
        <w:t>lograr</w:t>
      </w:r>
      <w:r>
        <w:rPr>
          <w:color w:val="231F20"/>
          <w:spacing w:val="-18"/>
          <w:w w:val="105"/>
        </w:rPr>
        <w:t> </w:t>
      </w:r>
      <w:r>
        <w:rPr>
          <w:color w:val="231F20"/>
          <w:w w:val="105"/>
        </w:rPr>
        <w:t>los</w:t>
      </w:r>
      <w:r>
        <w:rPr>
          <w:color w:val="231F20"/>
          <w:spacing w:val="-18"/>
          <w:w w:val="105"/>
        </w:rPr>
        <w:t> </w:t>
      </w:r>
      <w:r>
        <w:rPr>
          <w:color w:val="231F20"/>
          <w:w w:val="105"/>
        </w:rPr>
        <w:t>objetivos</w:t>
      </w:r>
      <w:r>
        <w:rPr>
          <w:color w:val="231F20"/>
          <w:spacing w:val="-18"/>
          <w:w w:val="105"/>
        </w:rPr>
        <w:t> </w:t>
      </w:r>
      <w:r>
        <w:rPr>
          <w:color w:val="231F20"/>
          <w:w w:val="105"/>
        </w:rPr>
        <w:t>plasmados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sz w:val="17"/>
        </w:rPr>
        <w:t>PND</w:t>
      </w:r>
      <w:r>
        <w:rPr>
          <w:color w:val="231F20"/>
          <w:spacing w:val="-6"/>
          <w:w w:val="105"/>
          <w:sz w:val="17"/>
        </w:rPr>
        <w:t> </w:t>
      </w:r>
      <w:r>
        <w:rPr>
          <w:color w:val="231F20"/>
          <w:w w:val="105"/>
        </w:rPr>
        <w:t>2013-2018</w:t>
      </w:r>
      <w:r>
        <w:rPr>
          <w:color w:val="231F20"/>
          <w:spacing w:val="-18"/>
          <w:w w:val="105"/>
        </w:rPr>
        <w:t> </w:t>
      </w:r>
      <w:r>
        <w:rPr>
          <w:color w:val="231F20"/>
          <w:w w:val="105"/>
        </w:rPr>
        <w:t>se</w:t>
      </w:r>
      <w:r>
        <w:rPr>
          <w:color w:val="231F20"/>
          <w:spacing w:val="-18"/>
          <w:w w:val="105"/>
        </w:rPr>
        <w:t> </w:t>
      </w:r>
      <w:r>
        <w:rPr>
          <w:color w:val="231F20"/>
          <w:w w:val="105"/>
        </w:rPr>
        <w:t>adqui- rió</w:t>
      </w:r>
      <w:r>
        <w:rPr>
          <w:color w:val="231F20"/>
          <w:spacing w:val="-10"/>
          <w:w w:val="105"/>
        </w:rPr>
        <w:t> </w:t>
      </w:r>
      <w:r>
        <w:rPr>
          <w:color w:val="231F20"/>
          <w:w w:val="105"/>
        </w:rPr>
        <w:t>el</w:t>
      </w:r>
      <w:r>
        <w:rPr>
          <w:color w:val="231F20"/>
          <w:spacing w:val="-10"/>
          <w:w w:val="105"/>
        </w:rPr>
        <w:t> </w:t>
      </w:r>
      <w:r>
        <w:rPr>
          <w:color w:val="231F20"/>
          <w:w w:val="105"/>
        </w:rPr>
        <w:t>compromiso</w:t>
      </w:r>
      <w:r>
        <w:rPr>
          <w:color w:val="231F20"/>
          <w:spacing w:val="-10"/>
          <w:w w:val="105"/>
        </w:rPr>
        <w:t> </w:t>
      </w:r>
      <w:r>
        <w:rPr>
          <w:color w:val="231F20"/>
          <w:w w:val="105"/>
        </w:rPr>
        <w:t>de</w:t>
      </w:r>
      <w:r>
        <w:rPr>
          <w:color w:val="231F20"/>
          <w:spacing w:val="-10"/>
          <w:w w:val="105"/>
        </w:rPr>
        <w:t> </w:t>
      </w:r>
      <w:r>
        <w:rPr>
          <w:color w:val="231F20"/>
          <w:w w:val="105"/>
        </w:rPr>
        <w:t>formular</w:t>
      </w:r>
      <w:r>
        <w:rPr>
          <w:color w:val="231F20"/>
          <w:spacing w:val="-10"/>
          <w:w w:val="105"/>
        </w:rPr>
        <w:t> </w:t>
      </w:r>
      <w:r>
        <w:rPr>
          <w:color w:val="231F20"/>
          <w:w w:val="105"/>
        </w:rPr>
        <w:t>el</w:t>
      </w:r>
      <w:r>
        <w:rPr>
          <w:color w:val="231F20"/>
          <w:spacing w:val="-10"/>
          <w:w w:val="105"/>
        </w:rPr>
        <w:t> </w:t>
      </w:r>
      <w:r>
        <w:rPr>
          <w:color w:val="231F20"/>
          <w:spacing w:val="-3"/>
          <w:w w:val="105"/>
        </w:rPr>
        <w:t>Programa</w:t>
      </w:r>
      <w:r>
        <w:rPr>
          <w:color w:val="231F20"/>
          <w:spacing w:val="-10"/>
          <w:w w:val="105"/>
        </w:rPr>
        <w:t> </w:t>
      </w:r>
      <w:r>
        <w:rPr>
          <w:color w:val="231F20"/>
          <w:w w:val="105"/>
        </w:rPr>
        <w:t>Especial</w:t>
      </w:r>
      <w:r>
        <w:rPr>
          <w:color w:val="231F20"/>
          <w:spacing w:val="-10"/>
          <w:w w:val="105"/>
        </w:rPr>
        <w:t> </w:t>
      </w:r>
      <w:r>
        <w:rPr>
          <w:color w:val="231F20"/>
          <w:w w:val="105"/>
        </w:rPr>
        <w:t>de</w:t>
      </w:r>
      <w:r>
        <w:rPr>
          <w:color w:val="231F20"/>
          <w:spacing w:val="-10"/>
          <w:w w:val="105"/>
        </w:rPr>
        <w:t> </w:t>
      </w:r>
      <w:r>
        <w:rPr>
          <w:color w:val="231F20"/>
          <w:w w:val="105"/>
        </w:rPr>
        <w:t>Migración</w:t>
      </w:r>
      <w:r>
        <w:rPr>
          <w:color w:val="231F20"/>
          <w:spacing w:val="-10"/>
          <w:w w:val="105"/>
        </w:rPr>
        <w:t> </w:t>
      </w:r>
      <w:r>
        <w:rPr>
          <w:color w:val="231F20"/>
          <w:w w:val="105"/>
        </w:rPr>
        <w:t>(</w:t>
      </w:r>
      <w:r>
        <w:rPr>
          <w:color w:val="231F20"/>
          <w:w w:val="105"/>
          <w:sz w:val="17"/>
        </w:rPr>
        <w:t>PEM</w:t>
      </w:r>
      <w:r>
        <w:rPr>
          <w:color w:val="231F20"/>
          <w:w w:val="105"/>
        </w:rPr>
        <w:t>), avance loable en la definición </w:t>
      </w:r>
      <w:r>
        <w:rPr>
          <w:color w:val="2C2F31"/>
          <w:w w:val="105"/>
        </w:rPr>
        <w:t>de una política migratoria acorde con la complejidad</w:t>
      </w:r>
      <w:r>
        <w:rPr>
          <w:color w:val="2C2F31"/>
          <w:spacing w:val="-14"/>
          <w:w w:val="105"/>
        </w:rPr>
        <w:t> </w:t>
      </w:r>
      <w:r>
        <w:rPr>
          <w:color w:val="2C2F31"/>
          <w:w w:val="105"/>
        </w:rPr>
        <w:t>que</w:t>
      </w:r>
      <w:r>
        <w:rPr>
          <w:color w:val="2C2F31"/>
          <w:spacing w:val="-14"/>
          <w:w w:val="105"/>
        </w:rPr>
        <w:t> </w:t>
      </w:r>
      <w:r>
        <w:rPr>
          <w:color w:val="2C2F31"/>
          <w:w w:val="105"/>
        </w:rPr>
        <w:t>este</w:t>
      </w:r>
      <w:r>
        <w:rPr>
          <w:color w:val="2C2F31"/>
          <w:spacing w:val="-14"/>
          <w:w w:val="105"/>
        </w:rPr>
        <w:t> </w:t>
      </w:r>
      <w:r>
        <w:rPr>
          <w:color w:val="2C2F31"/>
          <w:w w:val="105"/>
        </w:rPr>
        <w:t>fenómeno</w:t>
      </w:r>
      <w:r>
        <w:rPr>
          <w:color w:val="2C2F31"/>
          <w:spacing w:val="-14"/>
          <w:w w:val="105"/>
        </w:rPr>
        <w:t> </w:t>
      </w:r>
      <w:r>
        <w:rPr>
          <w:color w:val="2C2F31"/>
          <w:w w:val="105"/>
        </w:rPr>
        <w:t>social</w:t>
      </w:r>
      <w:r>
        <w:rPr>
          <w:color w:val="2C2F31"/>
          <w:spacing w:val="-14"/>
          <w:w w:val="105"/>
        </w:rPr>
        <w:t> </w:t>
      </w:r>
      <w:r>
        <w:rPr>
          <w:color w:val="2C2F31"/>
          <w:w w:val="105"/>
        </w:rPr>
        <w:t>ha</w:t>
      </w:r>
      <w:r>
        <w:rPr>
          <w:color w:val="2C2F31"/>
          <w:spacing w:val="-14"/>
          <w:w w:val="105"/>
        </w:rPr>
        <w:t> </w:t>
      </w:r>
      <w:r>
        <w:rPr>
          <w:color w:val="2C2F31"/>
          <w:w w:val="105"/>
        </w:rPr>
        <w:t>adquirido</w:t>
      </w:r>
      <w:r>
        <w:rPr>
          <w:color w:val="2C2F31"/>
          <w:spacing w:val="-14"/>
          <w:w w:val="105"/>
        </w:rPr>
        <w:t> </w:t>
      </w:r>
      <w:r>
        <w:rPr>
          <w:color w:val="2C2F31"/>
          <w:w w:val="105"/>
        </w:rPr>
        <w:t>en</w:t>
      </w:r>
      <w:r>
        <w:rPr>
          <w:color w:val="2C2F31"/>
          <w:spacing w:val="-14"/>
          <w:w w:val="105"/>
        </w:rPr>
        <w:t> </w:t>
      </w:r>
      <w:r>
        <w:rPr>
          <w:color w:val="2C2F31"/>
          <w:w w:val="105"/>
        </w:rPr>
        <w:t>México,</w:t>
      </w:r>
      <w:r>
        <w:rPr>
          <w:color w:val="2C2F31"/>
          <w:spacing w:val="-20"/>
          <w:w w:val="105"/>
        </w:rPr>
        <w:t> </w:t>
      </w:r>
      <w:r>
        <w:rPr>
          <w:color w:val="2C2F31"/>
          <w:w w:val="105"/>
        </w:rPr>
        <w:t>pues</w:t>
      </w:r>
      <w:r>
        <w:rPr>
          <w:color w:val="2C2F31"/>
          <w:spacing w:val="-14"/>
          <w:w w:val="105"/>
        </w:rPr>
        <w:t> </w:t>
      </w:r>
      <w:r>
        <w:rPr>
          <w:color w:val="2C2F31"/>
          <w:w w:val="105"/>
        </w:rPr>
        <w:t>en- tre</w:t>
      </w:r>
      <w:r>
        <w:rPr>
          <w:color w:val="2C2F31"/>
          <w:spacing w:val="-17"/>
          <w:w w:val="105"/>
        </w:rPr>
        <w:t> </w:t>
      </w:r>
      <w:r>
        <w:rPr>
          <w:color w:val="2C2F31"/>
          <w:w w:val="105"/>
        </w:rPr>
        <w:t>sus</w:t>
      </w:r>
      <w:r>
        <w:rPr>
          <w:color w:val="2C2F31"/>
          <w:spacing w:val="-17"/>
          <w:w w:val="105"/>
        </w:rPr>
        <w:t> </w:t>
      </w:r>
      <w:r>
        <w:rPr>
          <w:color w:val="2C2F31"/>
          <w:w w:val="105"/>
        </w:rPr>
        <w:t>objetivos</w:t>
      </w:r>
      <w:r>
        <w:rPr>
          <w:color w:val="2C2F31"/>
          <w:spacing w:val="-17"/>
          <w:w w:val="105"/>
        </w:rPr>
        <w:t> </w:t>
      </w:r>
      <w:r>
        <w:rPr>
          <w:color w:val="2C2F31"/>
          <w:w w:val="105"/>
        </w:rPr>
        <w:t>sobresale</w:t>
      </w:r>
      <w:r>
        <w:rPr>
          <w:color w:val="2C2F31"/>
          <w:spacing w:val="-17"/>
          <w:w w:val="105"/>
        </w:rPr>
        <w:t> </w:t>
      </w:r>
      <w:r>
        <w:rPr>
          <w:color w:val="020B1C"/>
          <w:w w:val="105"/>
        </w:rPr>
        <w:t>el</w:t>
      </w:r>
      <w:r>
        <w:rPr>
          <w:color w:val="020B1C"/>
          <w:spacing w:val="-17"/>
          <w:w w:val="105"/>
        </w:rPr>
        <w:t> </w:t>
      </w:r>
      <w:r>
        <w:rPr>
          <w:color w:val="020B1C"/>
          <w:w w:val="105"/>
        </w:rPr>
        <w:t>fomento</w:t>
      </w:r>
      <w:r>
        <w:rPr>
          <w:color w:val="020B1C"/>
          <w:spacing w:val="-17"/>
          <w:w w:val="105"/>
        </w:rPr>
        <w:t> </w:t>
      </w:r>
      <w:r>
        <w:rPr>
          <w:color w:val="020B1C"/>
          <w:w w:val="105"/>
        </w:rPr>
        <w:t>de</w:t>
      </w:r>
      <w:r>
        <w:rPr>
          <w:color w:val="020B1C"/>
          <w:spacing w:val="-17"/>
          <w:w w:val="105"/>
        </w:rPr>
        <w:t> </w:t>
      </w:r>
      <w:r>
        <w:rPr>
          <w:color w:val="020B1C"/>
          <w:w w:val="105"/>
        </w:rPr>
        <w:t>una</w:t>
      </w:r>
      <w:r>
        <w:rPr>
          <w:color w:val="020B1C"/>
          <w:spacing w:val="-17"/>
          <w:w w:val="105"/>
        </w:rPr>
        <w:t> </w:t>
      </w:r>
      <w:r>
        <w:rPr>
          <w:color w:val="020B1C"/>
          <w:w w:val="105"/>
        </w:rPr>
        <w:t>cultura</w:t>
      </w:r>
      <w:r>
        <w:rPr>
          <w:color w:val="020B1C"/>
          <w:spacing w:val="-17"/>
          <w:w w:val="105"/>
        </w:rPr>
        <w:t> </w:t>
      </w:r>
      <w:r>
        <w:rPr>
          <w:color w:val="020B1C"/>
          <w:w w:val="105"/>
        </w:rPr>
        <w:t>de</w:t>
      </w:r>
      <w:r>
        <w:rPr>
          <w:color w:val="020B1C"/>
          <w:spacing w:val="-17"/>
          <w:w w:val="105"/>
        </w:rPr>
        <w:t> </w:t>
      </w:r>
      <w:r>
        <w:rPr>
          <w:color w:val="020B1C"/>
          <w:w w:val="105"/>
        </w:rPr>
        <w:t>derechos</w:t>
      </w:r>
      <w:r>
        <w:rPr>
          <w:color w:val="020B1C"/>
          <w:spacing w:val="-17"/>
          <w:w w:val="105"/>
        </w:rPr>
        <w:t> </w:t>
      </w:r>
      <w:r>
        <w:rPr>
          <w:color w:val="020B1C"/>
          <w:w w:val="105"/>
        </w:rPr>
        <w:t>huma- nos,</w:t>
      </w:r>
      <w:r>
        <w:rPr>
          <w:color w:val="020B1C"/>
          <w:spacing w:val="-25"/>
          <w:w w:val="105"/>
        </w:rPr>
        <w:t> </w:t>
      </w:r>
      <w:r>
        <w:rPr>
          <w:color w:val="020B1C"/>
          <w:w w:val="105"/>
        </w:rPr>
        <w:t>el</w:t>
      </w:r>
      <w:r>
        <w:rPr>
          <w:color w:val="020B1C"/>
          <w:spacing w:val="-19"/>
          <w:w w:val="105"/>
        </w:rPr>
        <w:t> </w:t>
      </w:r>
      <w:r>
        <w:rPr>
          <w:color w:val="020B1C"/>
          <w:w w:val="105"/>
        </w:rPr>
        <w:t>impulso</w:t>
      </w:r>
      <w:r>
        <w:rPr>
          <w:color w:val="020B1C"/>
          <w:spacing w:val="-19"/>
          <w:w w:val="105"/>
        </w:rPr>
        <w:t> </w:t>
      </w:r>
      <w:r>
        <w:rPr>
          <w:color w:val="020B1C"/>
          <w:w w:val="105"/>
        </w:rPr>
        <w:t>al</w:t>
      </w:r>
      <w:r>
        <w:rPr>
          <w:color w:val="020B1C"/>
          <w:spacing w:val="-19"/>
          <w:w w:val="105"/>
        </w:rPr>
        <w:t> </w:t>
      </w:r>
      <w:r>
        <w:rPr>
          <w:color w:val="020B1C"/>
          <w:w w:val="105"/>
        </w:rPr>
        <w:t>desarrollo</w:t>
      </w:r>
      <w:r>
        <w:rPr>
          <w:color w:val="020B1C"/>
          <w:spacing w:val="-19"/>
          <w:w w:val="105"/>
        </w:rPr>
        <w:t> </w:t>
      </w:r>
      <w:r>
        <w:rPr>
          <w:color w:val="020B1C"/>
          <w:w w:val="105"/>
        </w:rPr>
        <w:t>regional</w:t>
      </w:r>
      <w:r>
        <w:rPr>
          <w:color w:val="020B1C"/>
          <w:spacing w:val="-19"/>
          <w:w w:val="105"/>
        </w:rPr>
        <w:t> </w:t>
      </w:r>
      <w:r>
        <w:rPr>
          <w:color w:val="020B1C"/>
          <w:w w:val="105"/>
        </w:rPr>
        <w:t>y</w:t>
      </w:r>
      <w:r>
        <w:rPr>
          <w:color w:val="020B1C"/>
          <w:spacing w:val="-19"/>
          <w:w w:val="105"/>
        </w:rPr>
        <w:t> </w:t>
      </w:r>
      <w:r>
        <w:rPr>
          <w:color w:val="020B1C"/>
          <w:w w:val="105"/>
        </w:rPr>
        <w:t>local,</w:t>
      </w:r>
      <w:r>
        <w:rPr>
          <w:color w:val="020B1C"/>
          <w:spacing w:val="-25"/>
          <w:w w:val="105"/>
        </w:rPr>
        <w:t> </w:t>
      </w:r>
      <w:r>
        <w:rPr>
          <w:color w:val="020B1C"/>
          <w:w w:val="105"/>
        </w:rPr>
        <w:t>la</w:t>
      </w:r>
      <w:r>
        <w:rPr>
          <w:color w:val="020B1C"/>
          <w:spacing w:val="-19"/>
          <w:w w:val="105"/>
        </w:rPr>
        <w:t> </w:t>
      </w:r>
      <w:r>
        <w:rPr>
          <w:color w:val="020B1C"/>
          <w:w w:val="105"/>
        </w:rPr>
        <w:t>promoción</w:t>
      </w:r>
      <w:r>
        <w:rPr>
          <w:color w:val="020B1C"/>
          <w:spacing w:val="-19"/>
          <w:w w:val="105"/>
        </w:rPr>
        <w:t> </w:t>
      </w:r>
      <w:r>
        <w:rPr>
          <w:color w:val="020B1C"/>
          <w:w w:val="105"/>
        </w:rPr>
        <w:t>de</w:t>
      </w:r>
      <w:r>
        <w:rPr>
          <w:color w:val="020B1C"/>
          <w:spacing w:val="-19"/>
          <w:w w:val="105"/>
        </w:rPr>
        <w:t> </w:t>
      </w:r>
      <w:r>
        <w:rPr>
          <w:color w:val="020B1C"/>
          <w:w w:val="105"/>
        </w:rPr>
        <w:t>una</w:t>
      </w:r>
      <w:r>
        <w:rPr>
          <w:color w:val="020B1C"/>
          <w:spacing w:val="-19"/>
          <w:w w:val="105"/>
        </w:rPr>
        <w:t> </w:t>
      </w:r>
      <w:r>
        <w:rPr>
          <w:color w:val="020B1C"/>
          <w:w w:val="105"/>
        </w:rPr>
        <w:t>gestión migratoria con corresponsabilidad, la integración laboral, cultural y</w:t>
      </w:r>
      <w:r>
        <w:rPr>
          <w:color w:val="020B1C"/>
          <w:spacing w:val="-38"/>
          <w:w w:val="105"/>
        </w:rPr>
        <w:t> </w:t>
      </w:r>
      <w:r>
        <w:rPr>
          <w:color w:val="020B1C"/>
          <w:w w:val="105"/>
        </w:rPr>
        <w:t>polí- tica</w:t>
      </w:r>
      <w:r>
        <w:rPr>
          <w:color w:val="020B1C"/>
          <w:spacing w:val="-17"/>
          <w:w w:val="105"/>
        </w:rPr>
        <w:t> </w:t>
      </w:r>
      <w:r>
        <w:rPr>
          <w:color w:val="020B1C"/>
          <w:w w:val="105"/>
        </w:rPr>
        <w:t>de</w:t>
      </w:r>
      <w:r>
        <w:rPr>
          <w:color w:val="020B1C"/>
          <w:spacing w:val="-17"/>
          <w:w w:val="105"/>
        </w:rPr>
        <w:t> </w:t>
      </w:r>
      <w:r>
        <w:rPr>
          <w:color w:val="020B1C"/>
          <w:w w:val="105"/>
        </w:rPr>
        <w:t>la</w:t>
      </w:r>
      <w:r>
        <w:rPr>
          <w:color w:val="020B1C"/>
          <w:spacing w:val="-17"/>
          <w:w w:val="105"/>
        </w:rPr>
        <w:t> </w:t>
      </w:r>
      <w:r>
        <w:rPr>
          <w:color w:val="020B1C"/>
          <w:w w:val="105"/>
        </w:rPr>
        <w:t>población</w:t>
      </w:r>
      <w:r>
        <w:rPr>
          <w:color w:val="020B1C"/>
          <w:spacing w:val="-17"/>
          <w:w w:val="105"/>
        </w:rPr>
        <w:t> </w:t>
      </w:r>
      <w:r>
        <w:rPr>
          <w:color w:val="020B1C"/>
          <w:w w:val="105"/>
        </w:rPr>
        <w:t>migrante</w:t>
      </w:r>
      <w:r>
        <w:rPr>
          <w:color w:val="020B1C"/>
          <w:spacing w:val="-17"/>
          <w:w w:val="105"/>
        </w:rPr>
        <w:t> </w:t>
      </w:r>
      <w:r>
        <w:rPr>
          <w:color w:val="020B1C"/>
          <w:w w:val="105"/>
        </w:rPr>
        <w:t>y</w:t>
      </w:r>
      <w:r>
        <w:rPr>
          <w:color w:val="020B1C"/>
          <w:spacing w:val="-17"/>
          <w:w w:val="105"/>
        </w:rPr>
        <w:t> </w:t>
      </w:r>
      <w:r>
        <w:rPr>
          <w:color w:val="020B1C"/>
          <w:w w:val="105"/>
        </w:rPr>
        <w:t>el</w:t>
      </w:r>
      <w:r>
        <w:rPr>
          <w:color w:val="020B1C"/>
          <w:spacing w:val="-17"/>
          <w:w w:val="105"/>
        </w:rPr>
        <w:t> </w:t>
      </w:r>
      <w:r>
        <w:rPr>
          <w:color w:val="020B1C"/>
          <w:w w:val="105"/>
        </w:rPr>
        <w:t>fortalecimiento</w:t>
      </w:r>
      <w:r>
        <w:rPr>
          <w:color w:val="020B1C"/>
          <w:spacing w:val="-17"/>
          <w:w w:val="105"/>
        </w:rPr>
        <w:t> </w:t>
      </w:r>
      <w:r>
        <w:rPr>
          <w:color w:val="020B1C"/>
          <w:w w:val="105"/>
        </w:rPr>
        <w:t>de</w:t>
      </w:r>
      <w:r>
        <w:rPr>
          <w:color w:val="020B1C"/>
          <w:spacing w:val="-17"/>
          <w:w w:val="105"/>
        </w:rPr>
        <w:t> </w:t>
      </w:r>
      <w:r>
        <w:rPr>
          <w:color w:val="020B1C"/>
          <w:w w:val="105"/>
        </w:rPr>
        <w:t>su</w:t>
      </w:r>
      <w:r>
        <w:rPr>
          <w:color w:val="020B1C"/>
          <w:spacing w:val="-17"/>
          <w:w w:val="105"/>
        </w:rPr>
        <w:t> </w:t>
      </w:r>
      <w:r>
        <w:rPr>
          <w:color w:val="020B1C"/>
          <w:w w:val="105"/>
        </w:rPr>
        <w:t>acceso</w:t>
      </w:r>
      <w:r>
        <w:rPr>
          <w:color w:val="020B1C"/>
          <w:spacing w:val="-17"/>
          <w:w w:val="105"/>
        </w:rPr>
        <w:t> </w:t>
      </w:r>
      <w:r>
        <w:rPr>
          <w:color w:val="020B1C"/>
          <w:w w:val="105"/>
        </w:rPr>
        <w:t>al</w:t>
      </w:r>
      <w:r>
        <w:rPr>
          <w:color w:val="020B1C"/>
          <w:spacing w:val="-17"/>
          <w:w w:val="105"/>
        </w:rPr>
        <w:t> </w:t>
      </w:r>
      <w:r>
        <w:rPr>
          <w:color w:val="020B1C"/>
          <w:w w:val="105"/>
        </w:rPr>
        <w:t>sistema de</w:t>
      </w:r>
      <w:r>
        <w:rPr>
          <w:color w:val="020B1C"/>
          <w:spacing w:val="-31"/>
          <w:w w:val="105"/>
        </w:rPr>
        <w:t> </w:t>
      </w:r>
      <w:r>
        <w:rPr>
          <w:color w:val="020B1C"/>
          <w:w w:val="105"/>
        </w:rPr>
        <w:t>justicia</w:t>
      </w:r>
      <w:r>
        <w:rPr>
          <w:color w:val="020B1C"/>
          <w:spacing w:val="-31"/>
          <w:w w:val="105"/>
        </w:rPr>
        <w:t> </w:t>
      </w:r>
      <w:r>
        <w:rPr>
          <w:color w:val="020B1C"/>
          <w:w w:val="105"/>
        </w:rPr>
        <w:t>(Presidencia</w:t>
      </w:r>
      <w:r>
        <w:rPr>
          <w:color w:val="020B1C"/>
          <w:spacing w:val="-31"/>
          <w:w w:val="105"/>
        </w:rPr>
        <w:t> </w:t>
      </w:r>
      <w:r>
        <w:rPr>
          <w:color w:val="020B1C"/>
          <w:w w:val="105"/>
        </w:rPr>
        <w:t>de</w:t>
      </w:r>
      <w:r>
        <w:rPr>
          <w:color w:val="020B1C"/>
          <w:spacing w:val="-31"/>
          <w:w w:val="105"/>
        </w:rPr>
        <w:t> </w:t>
      </w:r>
      <w:r>
        <w:rPr>
          <w:color w:val="020B1C"/>
          <w:w w:val="105"/>
        </w:rPr>
        <w:t>la</w:t>
      </w:r>
      <w:r>
        <w:rPr>
          <w:color w:val="020B1C"/>
          <w:spacing w:val="-31"/>
          <w:w w:val="105"/>
        </w:rPr>
        <w:t> </w:t>
      </w:r>
      <w:r>
        <w:rPr>
          <w:color w:val="020B1C"/>
          <w:w w:val="105"/>
        </w:rPr>
        <w:t>República,</w:t>
      </w:r>
      <w:r>
        <w:rPr>
          <w:color w:val="020B1C"/>
          <w:spacing w:val="-34"/>
          <w:w w:val="105"/>
        </w:rPr>
        <w:t> </w:t>
      </w:r>
      <w:r>
        <w:rPr>
          <w:color w:val="020B1C"/>
          <w:w w:val="105"/>
        </w:rPr>
        <w:t>2014).</w:t>
      </w:r>
    </w:p>
    <w:p>
      <w:pPr>
        <w:pStyle w:val="BodyText"/>
        <w:spacing w:line="261" w:lineRule="auto" w:before="1"/>
        <w:ind w:left="1723" w:right="1835" w:firstLine="567"/>
        <w:jc w:val="both"/>
      </w:pPr>
      <w:r>
        <w:rPr>
          <w:color w:val="231F20"/>
          <w:w w:val="105"/>
        </w:rPr>
        <w:t>En materia de política pública migratoria destacan el </w:t>
      </w:r>
      <w:r>
        <w:rPr>
          <w:color w:val="231F20"/>
          <w:spacing w:val="-3"/>
          <w:w w:val="105"/>
        </w:rPr>
        <w:t>Programa </w:t>
      </w:r>
      <w:r>
        <w:rPr>
          <w:color w:val="231F20"/>
          <w:w w:val="105"/>
        </w:rPr>
        <w:t>Paisano</w:t>
      </w:r>
      <w:r>
        <w:rPr>
          <w:color w:val="231F20"/>
          <w:spacing w:val="-5"/>
          <w:w w:val="105"/>
        </w:rPr>
        <w:t> </w:t>
      </w:r>
      <w:r>
        <w:rPr>
          <w:color w:val="231F20"/>
          <w:w w:val="105"/>
        </w:rPr>
        <w:t>y</w:t>
      </w:r>
      <w:r>
        <w:rPr>
          <w:color w:val="231F20"/>
          <w:spacing w:val="-5"/>
          <w:w w:val="105"/>
        </w:rPr>
        <w:t> </w:t>
      </w:r>
      <w:r>
        <w:rPr>
          <w:color w:val="231F20"/>
          <w:w w:val="105"/>
        </w:rPr>
        <w:t>los</w:t>
      </w:r>
      <w:r>
        <w:rPr>
          <w:color w:val="231F20"/>
          <w:spacing w:val="-5"/>
          <w:w w:val="105"/>
        </w:rPr>
        <w:t> </w:t>
      </w:r>
      <w:r>
        <w:rPr>
          <w:color w:val="231F20"/>
          <w:w w:val="105"/>
        </w:rPr>
        <w:t>Grupos</w:t>
      </w:r>
      <w:r>
        <w:rPr>
          <w:color w:val="231F20"/>
          <w:spacing w:val="-5"/>
          <w:w w:val="105"/>
        </w:rPr>
        <w:t> </w:t>
      </w:r>
      <w:r>
        <w:rPr>
          <w:color w:val="231F20"/>
          <w:w w:val="105"/>
        </w:rPr>
        <w:t>Beta</w:t>
      </w:r>
      <w:r>
        <w:rPr>
          <w:color w:val="231F20"/>
          <w:spacing w:val="-5"/>
          <w:w w:val="105"/>
        </w:rPr>
        <w:t> </w:t>
      </w:r>
      <w:r>
        <w:rPr>
          <w:color w:val="231F20"/>
          <w:w w:val="105"/>
        </w:rPr>
        <w:t>de</w:t>
      </w:r>
      <w:r>
        <w:rPr>
          <w:color w:val="231F20"/>
          <w:spacing w:val="-5"/>
          <w:w w:val="105"/>
        </w:rPr>
        <w:t> </w:t>
      </w:r>
      <w:r>
        <w:rPr>
          <w:color w:val="231F20"/>
          <w:w w:val="105"/>
        </w:rPr>
        <w:t>protección</w:t>
      </w:r>
      <w:r>
        <w:rPr>
          <w:color w:val="231F20"/>
          <w:spacing w:val="-5"/>
          <w:w w:val="105"/>
        </w:rPr>
        <w:t> </w:t>
      </w:r>
      <w:r>
        <w:rPr>
          <w:color w:val="231F20"/>
          <w:w w:val="105"/>
        </w:rPr>
        <w:t>a</w:t>
      </w:r>
      <w:r>
        <w:rPr>
          <w:color w:val="231F20"/>
          <w:spacing w:val="-5"/>
          <w:w w:val="105"/>
        </w:rPr>
        <w:t> </w:t>
      </w:r>
      <w:r>
        <w:rPr>
          <w:color w:val="231F20"/>
          <w:w w:val="105"/>
        </w:rPr>
        <w:t>migrantes.</w:t>
      </w:r>
      <w:r>
        <w:rPr>
          <w:color w:val="231F20"/>
          <w:spacing w:val="-10"/>
          <w:w w:val="105"/>
        </w:rPr>
        <w:t> </w:t>
      </w:r>
      <w:r>
        <w:rPr>
          <w:color w:val="231F20"/>
          <w:w w:val="105"/>
        </w:rPr>
        <w:t>El</w:t>
      </w:r>
      <w:r>
        <w:rPr>
          <w:color w:val="231F20"/>
          <w:spacing w:val="-5"/>
          <w:w w:val="105"/>
        </w:rPr>
        <w:t> </w:t>
      </w:r>
      <w:r>
        <w:rPr>
          <w:color w:val="231F20"/>
          <w:w w:val="105"/>
        </w:rPr>
        <w:t>primero</w:t>
      </w:r>
      <w:r>
        <w:rPr>
          <w:color w:val="231F20"/>
          <w:spacing w:val="-5"/>
          <w:w w:val="105"/>
        </w:rPr>
        <w:t> </w:t>
      </w:r>
      <w:r>
        <w:rPr>
          <w:color w:val="231F20"/>
          <w:w w:val="105"/>
        </w:rPr>
        <w:t>busca</w:t>
      </w:r>
    </w:p>
    <w:p>
      <w:pPr>
        <w:pStyle w:val="BodyText"/>
        <w:rPr>
          <w:sz w:val="20"/>
        </w:rPr>
      </w:pPr>
    </w:p>
    <w:p>
      <w:pPr>
        <w:pStyle w:val="BodyText"/>
        <w:rPr>
          <w:sz w:val="20"/>
        </w:rPr>
      </w:pPr>
    </w:p>
    <w:p>
      <w:pPr>
        <w:pStyle w:val="BodyText"/>
        <w:spacing w:before="8"/>
        <w:rPr>
          <w:sz w:val="19"/>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6712" from="131.551193pt,3.753715pt" to="131.551193pt,39.556114pt" stroked="true" strokeweight=".35pt" strokecolor="#231f20">
            <w10:wrap type="none"/>
          </v:line>
        </w:pict>
      </w:r>
      <w:r>
        <w:rPr/>
        <w:pict>
          <v:line style="position:absolute;mso-position-horizontal-relative:page;mso-position-vertical-relative:paragraph;z-index:-486640" from="15pt,39.555916pt" to="0pt,39.555916pt" stroked="true" strokeweight=".25pt" strokecolor="#000000">
            <w10:wrap type="none"/>
          </v:line>
        </w:pict>
      </w:r>
      <w:r>
        <w:rPr/>
        <w:pict>
          <v:line style="position:absolute;mso-position-horizontal-relative:page;mso-position-vertical-relative:paragraph;z-index:3568" from="508.890015pt,39.555916pt" to="523.890015pt,39.555916pt" stroked="true" strokeweight=".25pt" strokecolor="#000000">
            <w10:wrap type="none"/>
          </v:line>
        </w:pict>
      </w:r>
      <w:r>
        <w:rPr>
          <w:rFonts w:ascii="Arial" w:hAnsi="Arial"/>
          <w:color w:val="414042"/>
          <w:position w:val="-5"/>
          <w:sz w:val="20"/>
        </w:rPr>
        <w:t>36</w:t>
        <w:tab/>
      </w:r>
      <w:r>
        <w:rPr>
          <w:rFonts w:ascii="Calibri" w:hAnsi="Calibri"/>
          <w:color w:val="6D6E71"/>
          <w:sz w:val="15"/>
        </w:rPr>
        <w:t>Jorge Olvera</w:t>
      </w:r>
      <w:r>
        <w:rPr>
          <w:rFonts w:ascii="Calibri" w:hAnsi="Calibri"/>
          <w:color w:val="6D6E71"/>
          <w:spacing w:val="12"/>
          <w:sz w:val="15"/>
        </w:rPr>
        <w:t> </w:t>
      </w:r>
      <w:r>
        <w:rPr>
          <w:rFonts w:ascii="Calibri" w:hAnsi="Calibri"/>
          <w:color w:val="6D6E71"/>
          <w:sz w:val="15"/>
        </w:rPr>
        <w:t>García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001" w:right="0" w:firstLine="0"/>
        <w:jc w:val="left"/>
        <w:rPr>
          <w:rFonts w:ascii="Arial" w:hAnsi="Arial"/>
          <w:sz w:val="20"/>
        </w:rPr>
      </w:pPr>
      <w:r>
        <w:rPr/>
        <w:pict>
          <v:line style="position:absolute;mso-position-horizontal-relative:page;mso-position-vertical-relative:paragraph;z-index:-486592" from="405.061005pt,-18.554295pt" to="405.061005pt,16.311579pt" stroked="true" strokeweight=".35pt" strokecolor="#231f20">
            <w10:wrap type="none"/>
          </v:line>
        </w:pict>
      </w:r>
      <w:r>
        <w:rPr/>
        <w:pict>
          <v:line style="position:absolute;mso-position-horizontal-relative:page;mso-position-vertical-relative:paragraph;z-index:3616" from="15pt,-18.554522pt" to="0pt,-18.554522pt" stroked="true" strokeweight=".25pt" strokecolor="#000000">
            <w10:wrap type="none"/>
          </v:line>
        </w:pict>
      </w:r>
      <w:r>
        <w:rPr/>
        <w:pict>
          <v:line style="position:absolute;mso-position-horizontal-relative:page;mso-position-vertical-relative:paragraph;z-index:3640" from="508.890015pt,-18.554522pt" to="523.890015pt,-18.554522pt" stroked="true" strokeweight=".25pt" strokecolor="#000000">
            <w10:wrap type="none"/>
          </v:line>
        </w:pict>
      </w:r>
      <w:r>
        <w:rPr>
          <w:rFonts w:ascii="Lucida Sans Unicode" w:hAnsi="Lucida Sans Unicode"/>
          <w:color w:val="6D6E71"/>
          <w:w w:val="105"/>
          <w:sz w:val="14"/>
        </w:rPr>
        <w:t>Derechos</w:t>
      </w:r>
      <w:r>
        <w:rPr>
          <w:rFonts w:ascii="Lucida Sans Unicode" w:hAnsi="Lucida Sans Unicode"/>
          <w:color w:val="6D6E71"/>
          <w:spacing w:val="-15"/>
          <w:w w:val="105"/>
          <w:sz w:val="14"/>
        </w:rPr>
        <w:t> </w:t>
      </w:r>
      <w:r>
        <w:rPr>
          <w:rFonts w:ascii="Lucida Sans Unicode" w:hAnsi="Lucida Sans Unicode"/>
          <w:color w:val="6D6E71"/>
          <w:w w:val="105"/>
          <w:sz w:val="14"/>
        </w:rPr>
        <w:t>humanos,</w:t>
      </w:r>
      <w:r>
        <w:rPr>
          <w:rFonts w:ascii="Lucida Sans Unicode" w:hAnsi="Lucida Sans Unicode"/>
          <w:color w:val="6D6E71"/>
          <w:spacing w:val="-15"/>
          <w:w w:val="105"/>
          <w:sz w:val="14"/>
        </w:rPr>
        <w:t> </w:t>
      </w:r>
      <w:r>
        <w:rPr>
          <w:rFonts w:ascii="Lucida Sans Unicode" w:hAnsi="Lucida Sans Unicode"/>
          <w:color w:val="6D6E71"/>
          <w:w w:val="105"/>
          <w:sz w:val="14"/>
        </w:rPr>
        <w:t>eDucación</w:t>
      </w:r>
      <w:r>
        <w:rPr>
          <w:rFonts w:ascii="Lucida Sans Unicode" w:hAnsi="Lucida Sans Unicode"/>
          <w:color w:val="6D6E71"/>
          <w:spacing w:val="-15"/>
          <w:w w:val="105"/>
          <w:sz w:val="14"/>
        </w:rPr>
        <w:t> </w:t>
      </w:r>
      <w:r>
        <w:rPr>
          <w:rFonts w:ascii="Lucida Sans Unicode" w:hAnsi="Lucida Sans Unicode"/>
          <w:color w:val="6D6E71"/>
          <w:w w:val="105"/>
          <w:sz w:val="14"/>
        </w:rPr>
        <w:t>y</w:t>
      </w:r>
      <w:r>
        <w:rPr>
          <w:rFonts w:ascii="Lucida Sans Unicode" w:hAnsi="Lucida Sans Unicode"/>
          <w:color w:val="6D6E71"/>
          <w:spacing w:val="-15"/>
          <w:w w:val="105"/>
          <w:sz w:val="14"/>
        </w:rPr>
        <w:t> </w:t>
      </w:r>
      <w:r>
        <w:rPr>
          <w:rFonts w:ascii="Lucida Sans Unicode" w:hAnsi="Lucida Sans Unicode"/>
          <w:color w:val="6D6E71"/>
          <w:w w:val="105"/>
          <w:sz w:val="14"/>
        </w:rPr>
        <w:t>participación</w:t>
      </w:r>
      <w:r>
        <w:rPr>
          <w:rFonts w:ascii="Lucida Sans Unicode" w:hAnsi="Lucida Sans Unicode"/>
          <w:color w:val="6D6E71"/>
          <w:spacing w:val="-15"/>
          <w:w w:val="105"/>
          <w:sz w:val="14"/>
        </w:rPr>
        <w:t> </w:t>
      </w:r>
      <w:r>
        <w:rPr>
          <w:rFonts w:ascii="Lucida Sans Unicode" w:hAnsi="Lucida Sans Unicode"/>
          <w:color w:val="6D6E71"/>
          <w:w w:val="105"/>
          <w:sz w:val="14"/>
        </w:rPr>
        <w:t>De</w:t>
      </w:r>
      <w:r>
        <w:rPr>
          <w:rFonts w:ascii="Lucida Sans Unicode" w:hAnsi="Lucida Sans Unicode"/>
          <w:color w:val="6D6E71"/>
          <w:spacing w:val="-15"/>
          <w:w w:val="105"/>
          <w:sz w:val="14"/>
        </w:rPr>
        <w:t> </w:t>
      </w:r>
      <w:r>
        <w:rPr>
          <w:rFonts w:ascii="Lucida Sans Unicode" w:hAnsi="Lucida Sans Unicode"/>
          <w:color w:val="6D6E71"/>
          <w:w w:val="115"/>
          <w:sz w:val="14"/>
        </w:rPr>
        <w:t>la</w:t>
      </w:r>
      <w:r>
        <w:rPr>
          <w:rFonts w:ascii="Lucida Sans Unicode" w:hAnsi="Lucida Sans Unicode"/>
          <w:color w:val="6D6E71"/>
          <w:spacing w:val="-19"/>
          <w:w w:val="115"/>
          <w:sz w:val="14"/>
        </w:rPr>
        <w:t> </w:t>
      </w:r>
      <w:r>
        <w:rPr>
          <w:rFonts w:ascii="Lucida Sans Unicode" w:hAnsi="Lucida Sans Unicode"/>
          <w:color w:val="6D6E71"/>
          <w:w w:val="105"/>
          <w:sz w:val="14"/>
        </w:rPr>
        <w:t>población</w:t>
      </w:r>
      <w:r>
        <w:rPr>
          <w:rFonts w:ascii="Lucida Sans Unicode" w:hAnsi="Lucida Sans Unicode"/>
          <w:color w:val="6D6E71"/>
          <w:spacing w:val="-15"/>
          <w:w w:val="105"/>
          <w:sz w:val="14"/>
        </w:rPr>
        <w:t> </w:t>
      </w:r>
      <w:r>
        <w:rPr>
          <w:rFonts w:ascii="Lucida Sans Unicode" w:hAnsi="Lucida Sans Unicode"/>
          <w:color w:val="6D6E71"/>
          <w:w w:val="105"/>
          <w:sz w:val="14"/>
        </w:rPr>
        <w:t>migrante</w:t>
      </w:r>
      <w:r>
        <w:rPr>
          <w:rFonts w:ascii="Arial" w:hAnsi="Arial"/>
          <w:color w:val="414042"/>
          <w:w w:val="105"/>
          <w:position w:val="-3"/>
          <w:sz w:val="20"/>
        </w:rPr>
        <w:tab/>
        <w:t>37</w:t>
      </w:r>
    </w:p>
    <w:p>
      <w:pPr>
        <w:pStyle w:val="BodyText"/>
        <w:rPr>
          <w:rFonts w:ascii="Arial"/>
          <w:sz w:val="20"/>
        </w:rPr>
      </w:pPr>
    </w:p>
    <w:p>
      <w:pPr>
        <w:pStyle w:val="BodyText"/>
        <w:rPr>
          <w:rFonts w:ascii="Arial"/>
          <w:sz w:val="20"/>
        </w:rPr>
      </w:pPr>
    </w:p>
    <w:p>
      <w:pPr>
        <w:pStyle w:val="BodyText"/>
        <w:spacing w:line="261" w:lineRule="auto" w:before="179"/>
        <w:ind w:left="1837" w:right="1716"/>
        <w:jc w:val="both"/>
      </w:pPr>
      <w:r>
        <w:rPr>
          <w:color w:val="231F20"/>
          <w:w w:val="105"/>
        </w:rPr>
        <w:t>orientar</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nacionales</w:t>
      </w:r>
      <w:r>
        <w:rPr>
          <w:color w:val="231F20"/>
          <w:spacing w:val="-14"/>
          <w:w w:val="105"/>
        </w:rPr>
        <w:t> </w:t>
      </w:r>
      <w:r>
        <w:rPr>
          <w:color w:val="231F20"/>
          <w:w w:val="105"/>
        </w:rPr>
        <w:t>y</w:t>
      </w:r>
      <w:r>
        <w:rPr>
          <w:color w:val="231F20"/>
          <w:spacing w:val="-14"/>
          <w:w w:val="105"/>
        </w:rPr>
        <w:t> </w:t>
      </w:r>
      <w:r>
        <w:rPr>
          <w:color w:val="231F20"/>
          <w:w w:val="105"/>
        </w:rPr>
        <w:t>extranjeros</w:t>
      </w:r>
      <w:r>
        <w:rPr>
          <w:color w:val="231F20"/>
          <w:spacing w:val="-14"/>
          <w:w w:val="105"/>
        </w:rPr>
        <w:t> </w:t>
      </w:r>
      <w:r>
        <w:rPr>
          <w:color w:val="231F20"/>
          <w:w w:val="105"/>
        </w:rPr>
        <w:t>sobre</w:t>
      </w:r>
      <w:r>
        <w:rPr>
          <w:color w:val="231F20"/>
          <w:spacing w:val="-14"/>
          <w:w w:val="105"/>
        </w:rPr>
        <w:t> </w:t>
      </w:r>
      <w:r>
        <w:rPr>
          <w:color w:val="231F20"/>
          <w:w w:val="105"/>
        </w:rPr>
        <w:t>sus</w:t>
      </w:r>
      <w:r>
        <w:rPr>
          <w:color w:val="231F20"/>
          <w:spacing w:val="-14"/>
          <w:w w:val="105"/>
        </w:rPr>
        <w:t> </w:t>
      </w:r>
      <w:r>
        <w:rPr>
          <w:color w:val="231F20"/>
          <w:w w:val="105"/>
        </w:rPr>
        <w:t>obligaciones y</w:t>
      </w:r>
      <w:r>
        <w:rPr>
          <w:color w:val="231F20"/>
          <w:spacing w:val="-9"/>
          <w:w w:val="105"/>
        </w:rPr>
        <w:t> </w:t>
      </w:r>
      <w:r>
        <w:rPr>
          <w:color w:val="231F20"/>
          <w:w w:val="105"/>
        </w:rPr>
        <w:t>derechos</w:t>
      </w:r>
      <w:r>
        <w:rPr>
          <w:color w:val="231F20"/>
          <w:spacing w:val="-9"/>
          <w:w w:val="105"/>
        </w:rPr>
        <w:t> </w:t>
      </w:r>
      <w:r>
        <w:rPr>
          <w:color w:val="231F20"/>
          <w:w w:val="105"/>
        </w:rPr>
        <w:t>durante</w:t>
      </w:r>
      <w:r>
        <w:rPr>
          <w:color w:val="231F20"/>
          <w:spacing w:val="-9"/>
          <w:w w:val="105"/>
        </w:rPr>
        <w:t> </w:t>
      </w:r>
      <w:r>
        <w:rPr>
          <w:color w:val="231F20"/>
          <w:w w:val="105"/>
        </w:rPr>
        <w:t>su</w:t>
      </w:r>
      <w:r>
        <w:rPr>
          <w:color w:val="231F20"/>
          <w:spacing w:val="-9"/>
          <w:w w:val="105"/>
        </w:rPr>
        <w:t> </w:t>
      </w:r>
      <w:r>
        <w:rPr>
          <w:color w:val="231F20"/>
          <w:w w:val="105"/>
        </w:rPr>
        <w:t>permanencia</w:t>
      </w:r>
      <w:r>
        <w:rPr>
          <w:color w:val="231F20"/>
          <w:spacing w:val="-9"/>
          <w:w w:val="105"/>
        </w:rPr>
        <w:t> </w:t>
      </w:r>
      <w:r>
        <w:rPr>
          <w:color w:val="231F20"/>
          <w:w w:val="105"/>
        </w:rPr>
        <w:t>en</w:t>
      </w:r>
      <w:r>
        <w:rPr>
          <w:color w:val="231F20"/>
          <w:spacing w:val="-9"/>
          <w:w w:val="105"/>
        </w:rPr>
        <w:t> </w:t>
      </w:r>
      <w:r>
        <w:rPr>
          <w:color w:val="231F20"/>
          <w:w w:val="105"/>
        </w:rPr>
        <w:t>México,</w:t>
      </w:r>
      <w:r>
        <w:rPr>
          <w:color w:val="231F20"/>
          <w:spacing w:val="-14"/>
          <w:w w:val="105"/>
        </w:rPr>
        <w:t> </w:t>
      </w:r>
      <w:r>
        <w:rPr>
          <w:color w:val="231F20"/>
          <w:w w:val="105"/>
        </w:rPr>
        <w:t>así</w:t>
      </w:r>
      <w:r>
        <w:rPr>
          <w:color w:val="231F20"/>
          <w:spacing w:val="-9"/>
          <w:w w:val="105"/>
        </w:rPr>
        <w:t> </w:t>
      </w:r>
      <w:r>
        <w:rPr>
          <w:color w:val="231F20"/>
          <w:w w:val="105"/>
        </w:rPr>
        <w:t>como</w:t>
      </w:r>
      <w:r>
        <w:rPr>
          <w:color w:val="231F20"/>
          <w:spacing w:val="-9"/>
          <w:w w:val="105"/>
        </w:rPr>
        <w:t> </w:t>
      </w:r>
      <w:r>
        <w:rPr>
          <w:color w:val="231F20"/>
          <w:w w:val="105"/>
        </w:rPr>
        <w:t>informar</w:t>
      </w:r>
      <w:r>
        <w:rPr>
          <w:color w:val="231F20"/>
          <w:spacing w:val="-9"/>
          <w:w w:val="105"/>
        </w:rPr>
        <w:t> </w:t>
      </w:r>
      <w:r>
        <w:rPr>
          <w:color w:val="231F20"/>
          <w:w w:val="105"/>
        </w:rPr>
        <w:t>acer- ca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instituciones</w:t>
      </w:r>
      <w:r>
        <w:rPr>
          <w:color w:val="231F20"/>
          <w:spacing w:val="-8"/>
          <w:w w:val="105"/>
        </w:rPr>
        <w:t> </w:t>
      </w:r>
      <w:r>
        <w:rPr>
          <w:color w:val="231F20"/>
          <w:w w:val="105"/>
        </w:rPr>
        <w:t>donde</w:t>
      </w:r>
      <w:r>
        <w:rPr>
          <w:color w:val="231F20"/>
          <w:spacing w:val="-8"/>
          <w:w w:val="105"/>
        </w:rPr>
        <w:t> </w:t>
      </w:r>
      <w:r>
        <w:rPr>
          <w:color w:val="231F20"/>
          <w:w w:val="105"/>
        </w:rPr>
        <w:t>pueden</w:t>
      </w:r>
      <w:r>
        <w:rPr>
          <w:color w:val="231F20"/>
          <w:spacing w:val="-8"/>
          <w:w w:val="105"/>
        </w:rPr>
        <w:t> </w:t>
      </w:r>
      <w:r>
        <w:rPr>
          <w:color w:val="231F20"/>
          <w:w w:val="105"/>
        </w:rPr>
        <w:t>solicitar</w:t>
      </w:r>
      <w:r>
        <w:rPr>
          <w:color w:val="231F20"/>
          <w:spacing w:val="-8"/>
          <w:w w:val="105"/>
        </w:rPr>
        <w:t> </w:t>
      </w:r>
      <w:r>
        <w:rPr>
          <w:color w:val="231F20"/>
          <w:w w:val="105"/>
        </w:rPr>
        <w:t>auxilio</w:t>
      </w:r>
      <w:r>
        <w:rPr>
          <w:color w:val="231F20"/>
          <w:spacing w:val="-8"/>
          <w:w w:val="105"/>
        </w:rPr>
        <w:t> </w:t>
      </w:r>
      <w:r>
        <w:rPr>
          <w:color w:val="231F20"/>
          <w:w w:val="105"/>
        </w:rPr>
        <w:t>y</w:t>
      </w:r>
      <w:r>
        <w:rPr>
          <w:color w:val="231F20"/>
          <w:spacing w:val="-8"/>
          <w:w w:val="105"/>
        </w:rPr>
        <w:t> </w:t>
      </w:r>
      <w:r>
        <w:rPr>
          <w:color w:val="231F20"/>
          <w:w w:val="105"/>
        </w:rPr>
        <w:t>presentar</w:t>
      </w:r>
      <w:r>
        <w:rPr>
          <w:color w:val="231F20"/>
          <w:spacing w:val="-8"/>
          <w:w w:val="105"/>
        </w:rPr>
        <w:t> </w:t>
      </w:r>
      <w:r>
        <w:rPr>
          <w:color w:val="231F20"/>
          <w:w w:val="105"/>
        </w:rPr>
        <w:t>quejas y denuncias, sin importar su situación legal en el país (Escobar, 2007). </w:t>
      </w:r>
      <w:r>
        <w:rPr>
          <w:color w:val="231F20"/>
          <w:spacing w:val="-4"/>
          <w:w w:val="105"/>
        </w:rPr>
        <w:t>Para</w:t>
      </w:r>
      <w:r>
        <w:rPr>
          <w:color w:val="231F20"/>
          <w:spacing w:val="-7"/>
          <w:w w:val="105"/>
        </w:rPr>
        <w:t> </w:t>
      </w:r>
      <w:r>
        <w:rPr>
          <w:color w:val="231F20"/>
          <w:w w:val="105"/>
        </w:rPr>
        <w:t>ello,</w:t>
      </w:r>
      <w:r>
        <w:rPr>
          <w:color w:val="231F20"/>
          <w:spacing w:val="-13"/>
          <w:w w:val="105"/>
        </w:rPr>
        <w:t> </w:t>
      </w:r>
      <w:r>
        <w:rPr>
          <w:color w:val="231F20"/>
          <w:w w:val="105"/>
        </w:rPr>
        <w:t>se</w:t>
      </w:r>
      <w:r>
        <w:rPr>
          <w:color w:val="231F20"/>
          <w:spacing w:val="-7"/>
          <w:w w:val="105"/>
        </w:rPr>
        <w:t> </w:t>
      </w:r>
      <w:r>
        <w:rPr>
          <w:color w:val="231F20"/>
          <w:w w:val="105"/>
        </w:rPr>
        <w:t>emite</w:t>
      </w:r>
      <w:r>
        <w:rPr>
          <w:color w:val="231F20"/>
          <w:spacing w:val="-7"/>
          <w:w w:val="105"/>
        </w:rPr>
        <w:t> </w:t>
      </w:r>
      <w:r>
        <w:rPr>
          <w:color w:val="231F20"/>
          <w:w w:val="105"/>
        </w:rPr>
        <w:t>un</w:t>
      </w:r>
      <w:r>
        <w:rPr>
          <w:color w:val="231F20"/>
          <w:spacing w:val="-7"/>
          <w:w w:val="105"/>
        </w:rPr>
        <w:t> </w:t>
      </w:r>
      <w:r>
        <w:rPr>
          <w:color w:val="231F20"/>
          <w:w w:val="105"/>
        </w:rPr>
        <w:t>documento</w:t>
      </w:r>
      <w:r>
        <w:rPr>
          <w:color w:val="231F20"/>
          <w:spacing w:val="-7"/>
          <w:w w:val="105"/>
        </w:rPr>
        <w:t> </w:t>
      </w:r>
      <w:r>
        <w:rPr>
          <w:color w:val="231F20"/>
          <w:w w:val="105"/>
        </w:rPr>
        <w:t>(guía</w:t>
      </w:r>
      <w:r>
        <w:rPr>
          <w:color w:val="231F20"/>
          <w:spacing w:val="-7"/>
          <w:w w:val="105"/>
        </w:rPr>
        <w:t> </w:t>
      </w:r>
      <w:r>
        <w:rPr>
          <w:color w:val="231F20"/>
          <w:w w:val="105"/>
        </w:rPr>
        <w:t>del</w:t>
      </w:r>
      <w:r>
        <w:rPr>
          <w:color w:val="231F20"/>
          <w:spacing w:val="-7"/>
          <w:w w:val="105"/>
        </w:rPr>
        <w:t> </w:t>
      </w:r>
      <w:r>
        <w:rPr>
          <w:color w:val="231F20"/>
          <w:w w:val="105"/>
        </w:rPr>
        <w:t>migrante)</w:t>
      </w:r>
      <w:r>
        <w:rPr>
          <w:color w:val="231F20"/>
          <w:spacing w:val="-7"/>
          <w:w w:val="105"/>
        </w:rPr>
        <w:t> </w:t>
      </w:r>
      <w:r>
        <w:rPr>
          <w:color w:val="231F20"/>
          <w:w w:val="105"/>
        </w:rPr>
        <w:t>elaborado</w:t>
      </w:r>
      <w:r>
        <w:rPr>
          <w:color w:val="231F20"/>
          <w:spacing w:val="-7"/>
          <w:w w:val="105"/>
        </w:rPr>
        <w:t> </w:t>
      </w:r>
      <w:r>
        <w:rPr>
          <w:color w:val="231F20"/>
          <w:w w:val="105"/>
        </w:rPr>
        <w:t>conjun- tamente</w:t>
      </w:r>
      <w:r>
        <w:rPr>
          <w:color w:val="231F20"/>
          <w:spacing w:val="-18"/>
          <w:w w:val="105"/>
        </w:rPr>
        <w:t> </w:t>
      </w:r>
      <w:r>
        <w:rPr>
          <w:color w:val="231F20"/>
          <w:w w:val="105"/>
        </w:rPr>
        <w:t>por</w:t>
      </w:r>
      <w:r>
        <w:rPr>
          <w:color w:val="231F20"/>
          <w:spacing w:val="-18"/>
          <w:w w:val="105"/>
        </w:rPr>
        <w:t> </w:t>
      </w:r>
      <w:r>
        <w:rPr>
          <w:color w:val="231F20"/>
          <w:w w:val="105"/>
        </w:rPr>
        <w:t>la</w:t>
      </w:r>
      <w:r>
        <w:rPr>
          <w:color w:val="231F20"/>
          <w:spacing w:val="-18"/>
          <w:w w:val="105"/>
        </w:rPr>
        <w:t> </w:t>
      </w:r>
      <w:r>
        <w:rPr>
          <w:color w:val="231F20"/>
          <w:w w:val="105"/>
        </w:rPr>
        <w:t>Secretaría</w:t>
      </w:r>
      <w:r>
        <w:rPr>
          <w:color w:val="231F20"/>
          <w:spacing w:val="-18"/>
          <w:w w:val="105"/>
        </w:rPr>
        <w:t> </w:t>
      </w:r>
      <w:r>
        <w:rPr>
          <w:color w:val="231F20"/>
          <w:w w:val="105"/>
        </w:rPr>
        <w:t>de</w:t>
      </w:r>
      <w:r>
        <w:rPr>
          <w:color w:val="231F20"/>
          <w:spacing w:val="-18"/>
          <w:w w:val="105"/>
        </w:rPr>
        <w:t> </w:t>
      </w:r>
      <w:r>
        <w:rPr>
          <w:color w:val="231F20"/>
          <w:w w:val="105"/>
        </w:rPr>
        <w:t>Gobernación,</w:t>
      </w:r>
      <w:r>
        <w:rPr>
          <w:color w:val="231F20"/>
          <w:spacing w:val="-24"/>
          <w:w w:val="105"/>
        </w:rPr>
        <w:t> </w:t>
      </w:r>
      <w:r>
        <w:rPr>
          <w:color w:val="231F20"/>
          <w:w w:val="105"/>
        </w:rPr>
        <w:t>a</w:t>
      </w:r>
      <w:r>
        <w:rPr>
          <w:color w:val="231F20"/>
          <w:spacing w:val="-18"/>
          <w:w w:val="105"/>
        </w:rPr>
        <w:t> </w:t>
      </w:r>
      <w:r>
        <w:rPr>
          <w:color w:val="231F20"/>
          <w:w w:val="105"/>
        </w:rPr>
        <w:t>través</w:t>
      </w:r>
      <w:r>
        <w:rPr>
          <w:color w:val="231F20"/>
          <w:spacing w:val="-18"/>
          <w:w w:val="105"/>
        </w:rPr>
        <w:t> </w:t>
      </w:r>
      <w:r>
        <w:rPr>
          <w:color w:val="231F20"/>
          <w:w w:val="105"/>
        </w:rPr>
        <w:t>del</w:t>
      </w:r>
      <w:r>
        <w:rPr>
          <w:color w:val="231F20"/>
          <w:spacing w:val="-18"/>
          <w:w w:val="105"/>
        </w:rPr>
        <w:t> </w:t>
      </w:r>
      <w:r>
        <w:rPr>
          <w:color w:val="231F20"/>
          <w:w w:val="105"/>
        </w:rPr>
        <w:t>Instituto</w:t>
      </w:r>
      <w:r>
        <w:rPr>
          <w:color w:val="231F20"/>
          <w:spacing w:val="-18"/>
          <w:w w:val="105"/>
        </w:rPr>
        <w:t> </w:t>
      </w:r>
      <w:r>
        <w:rPr>
          <w:color w:val="231F20"/>
          <w:w w:val="105"/>
        </w:rPr>
        <w:t>Nacional de</w:t>
      </w:r>
      <w:r>
        <w:rPr>
          <w:color w:val="231F20"/>
          <w:spacing w:val="-18"/>
          <w:w w:val="105"/>
        </w:rPr>
        <w:t> </w:t>
      </w:r>
      <w:r>
        <w:rPr>
          <w:color w:val="231F20"/>
          <w:w w:val="105"/>
        </w:rPr>
        <w:t>Migración,</w:t>
      </w:r>
      <w:r>
        <w:rPr>
          <w:color w:val="231F20"/>
          <w:spacing w:val="-23"/>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Comisión</w:t>
      </w:r>
      <w:r>
        <w:rPr>
          <w:color w:val="231F20"/>
          <w:spacing w:val="-18"/>
          <w:w w:val="105"/>
        </w:rPr>
        <w:t> </w:t>
      </w:r>
      <w:r>
        <w:rPr>
          <w:color w:val="231F20"/>
          <w:w w:val="105"/>
        </w:rPr>
        <w:t>Nacional</w:t>
      </w:r>
      <w:r>
        <w:rPr>
          <w:color w:val="231F20"/>
          <w:spacing w:val="-18"/>
          <w:w w:val="105"/>
        </w:rPr>
        <w:t> </w:t>
      </w:r>
      <w:r>
        <w:rPr>
          <w:color w:val="231F20"/>
          <w:w w:val="105"/>
        </w:rPr>
        <w:t>de</w:t>
      </w:r>
      <w:r>
        <w:rPr>
          <w:color w:val="231F20"/>
          <w:spacing w:val="-18"/>
          <w:w w:val="105"/>
        </w:rPr>
        <w:t> </w:t>
      </w:r>
      <w:r>
        <w:rPr>
          <w:color w:val="231F20"/>
          <w:w w:val="105"/>
        </w:rPr>
        <w:t>Derechos</w:t>
      </w:r>
      <w:r>
        <w:rPr>
          <w:color w:val="231F20"/>
          <w:spacing w:val="-18"/>
          <w:w w:val="105"/>
        </w:rPr>
        <w:t> </w:t>
      </w:r>
      <w:r>
        <w:rPr>
          <w:color w:val="231F20"/>
          <w:w w:val="105"/>
        </w:rPr>
        <w:t>Humanos.</w:t>
      </w:r>
    </w:p>
    <w:p>
      <w:pPr>
        <w:pStyle w:val="BodyText"/>
        <w:spacing w:line="261" w:lineRule="auto" w:before="1"/>
        <w:ind w:left="1837" w:right="1721" w:firstLine="567"/>
        <w:jc w:val="both"/>
      </w:pPr>
      <w:r>
        <w:rPr>
          <w:color w:val="231F20"/>
          <w:spacing w:val="-3"/>
          <w:w w:val="105"/>
        </w:rPr>
        <w:t>Este </w:t>
      </w:r>
      <w:r>
        <w:rPr>
          <w:color w:val="231F20"/>
          <w:spacing w:val="-4"/>
          <w:w w:val="105"/>
        </w:rPr>
        <w:t>programa </w:t>
      </w:r>
      <w:r>
        <w:rPr>
          <w:color w:val="231F20"/>
          <w:spacing w:val="-3"/>
          <w:w w:val="105"/>
        </w:rPr>
        <w:t>también </w:t>
      </w:r>
      <w:r>
        <w:rPr>
          <w:color w:val="231F20"/>
          <w:w w:val="105"/>
        </w:rPr>
        <w:t>es </w:t>
      </w:r>
      <w:r>
        <w:rPr>
          <w:color w:val="231F20"/>
          <w:spacing w:val="-3"/>
          <w:w w:val="105"/>
        </w:rPr>
        <w:t>visto como </w:t>
      </w:r>
      <w:r>
        <w:rPr>
          <w:color w:val="231F20"/>
          <w:w w:val="105"/>
        </w:rPr>
        <w:t>un </w:t>
      </w:r>
      <w:r>
        <w:rPr>
          <w:color w:val="231F20"/>
          <w:spacing w:val="-3"/>
          <w:w w:val="105"/>
        </w:rPr>
        <w:t>instrumento permanente </w:t>
      </w:r>
      <w:r>
        <w:rPr>
          <w:color w:val="231F20"/>
          <w:w w:val="105"/>
        </w:rPr>
        <w:t>del</w:t>
      </w:r>
      <w:r>
        <w:rPr>
          <w:color w:val="231F20"/>
          <w:spacing w:val="-23"/>
          <w:w w:val="105"/>
        </w:rPr>
        <w:t> </w:t>
      </w:r>
      <w:r>
        <w:rPr>
          <w:color w:val="231F20"/>
          <w:spacing w:val="-3"/>
          <w:w w:val="105"/>
        </w:rPr>
        <w:t>Gobierno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República</w:t>
      </w:r>
      <w:r>
        <w:rPr>
          <w:color w:val="231F20"/>
          <w:spacing w:val="-23"/>
          <w:w w:val="105"/>
        </w:rPr>
        <w:t> </w:t>
      </w:r>
      <w:r>
        <w:rPr>
          <w:color w:val="231F20"/>
          <w:spacing w:val="-3"/>
          <w:w w:val="105"/>
        </w:rPr>
        <w:t>para</w:t>
      </w:r>
      <w:r>
        <w:rPr>
          <w:color w:val="231F20"/>
          <w:spacing w:val="-23"/>
          <w:w w:val="105"/>
        </w:rPr>
        <w:t> </w:t>
      </w:r>
      <w:r>
        <w:rPr>
          <w:color w:val="231F20"/>
          <w:spacing w:val="-3"/>
          <w:w w:val="105"/>
        </w:rPr>
        <w:t>establecer</w:t>
      </w:r>
      <w:r>
        <w:rPr>
          <w:color w:val="231F20"/>
          <w:spacing w:val="-23"/>
          <w:w w:val="105"/>
        </w:rPr>
        <w:t> </w:t>
      </w:r>
      <w:r>
        <w:rPr>
          <w:color w:val="231F20"/>
          <w:spacing w:val="-3"/>
          <w:w w:val="105"/>
        </w:rPr>
        <w:t>políticas,</w:t>
      </w:r>
      <w:r>
        <w:rPr>
          <w:color w:val="231F20"/>
          <w:spacing w:val="-29"/>
          <w:w w:val="105"/>
        </w:rPr>
        <w:t> </w:t>
      </w:r>
      <w:r>
        <w:rPr>
          <w:color w:val="231F20"/>
          <w:spacing w:val="-4"/>
          <w:w w:val="105"/>
        </w:rPr>
        <w:t>estrategias</w:t>
      </w:r>
      <w:r>
        <w:rPr>
          <w:color w:val="231F20"/>
          <w:spacing w:val="-23"/>
          <w:w w:val="105"/>
        </w:rPr>
        <w:t> </w:t>
      </w:r>
      <w:r>
        <w:rPr>
          <w:color w:val="231F20"/>
          <w:w w:val="105"/>
        </w:rPr>
        <w:t>y</w:t>
      </w:r>
      <w:r>
        <w:rPr>
          <w:color w:val="231F20"/>
          <w:spacing w:val="-23"/>
          <w:w w:val="105"/>
        </w:rPr>
        <w:t> </w:t>
      </w:r>
      <w:r>
        <w:rPr>
          <w:color w:val="231F20"/>
          <w:spacing w:val="-3"/>
          <w:w w:val="105"/>
        </w:rPr>
        <w:t>accio- </w:t>
      </w:r>
      <w:r>
        <w:rPr>
          <w:color w:val="231F20"/>
          <w:w w:val="105"/>
        </w:rPr>
        <w:t>nes </w:t>
      </w:r>
      <w:r>
        <w:rPr>
          <w:color w:val="231F20"/>
          <w:spacing w:val="-3"/>
          <w:w w:val="105"/>
        </w:rPr>
        <w:t>preventivas </w:t>
      </w:r>
      <w:r>
        <w:rPr>
          <w:color w:val="231F20"/>
          <w:w w:val="105"/>
        </w:rPr>
        <w:t>y de </w:t>
      </w:r>
      <w:r>
        <w:rPr>
          <w:color w:val="231F20"/>
          <w:spacing w:val="-3"/>
          <w:w w:val="105"/>
        </w:rPr>
        <w:t>orientación </w:t>
      </w:r>
      <w:r>
        <w:rPr>
          <w:color w:val="231F20"/>
          <w:w w:val="105"/>
        </w:rPr>
        <w:t>que </w:t>
      </w:r>
      <w:r>
        <w:rPr>
          <w:color w:val="231F20"/>
          <w:spacing w:val="-3"/>
          <w:w w:val="105"/>
        </w:rPr>
        <w:t>permitan </w:t>
      </w:r>
      <w:r>
        <w:rPr>
          <w:color w:val="231F20"/>
          <w:w w:val="105"/>
        </w:rPr>
        <w:t>que </w:t>
      </w:r>
      <w:r>
        <w:rPr>
          <w:color w:val="231F20"/>
          <w:spacing w:val="-3"/>
          <w:w w:val="105"/>
        </w:rPr>
        <w:t>todos </w:t>
      </w:r>
      <w:r>
        <w:rPr>
          <w:color w:val="231F20"/>
          <w:w w:val="105"/>
        </w:rPr>
        <w:t>los </w:t>
      </w:r>
      <w:r>
        <w:rPr>
          <w:color w:val="231F20"/>
          <w:spacing w:val="-3"/>
          <w:w w:val="105"/>
        </w:rPr>
        <w:t>trabajos de </w:t>
      </w:r>
      <w:r>
        <w:rPr>
          <w:color w:val="231F20"/>
          <w:w w:val="105"/>
        </w:rPr>
        <w:t>las </w:t>
      </w:r>
      <w:r>
        <w:rPr>
          <w:color w:val="231F20"/>
          <w:spacing w:val="-3"/>
          <w:w w:val="105"/>
        </w:rPr>
        <w:t>dependencias, entidades </w:t>
      </w:r>
      <w:r>
        <w:rPr>
          <w:color w:val="231F20"/>
          <w:w w:val="105"/>
        </w:rPr>
        <w:t>e </w:t>
      </w:r>
      <w:r>
        <w:rPr>
          <w:color w:val="231F20"/>
          <w:spacing w:val="-3"/>
          <w:w w:val="105"/>
        </w:rPr>
        <w:t>instituciones </w:t>
      </w:r>
      <w:r>
        <w:rPr>
          <w:color w:val="231F20"/>
          <w:w w:val="105"/>
        </w:rPr>
        <w:t>que </w:t>
      </w:r>
      <w:r>
        <w:rPr>
          <w:color w:val="231F20"/>
          <w:spacing w:val="-3"/>
          <w:w w:val="105"/>
        </w:rPr>
        <w:t>integran </w:t>
      </w:r>
      <w:r>
        <w:rPr>
          <w:color w:val="231F20"/>
          <w:w w:val="105"/>
        </w:rPr>
        <w:t>el </w:t>
      </w:r>
      <w:r>
        <w:rPr>
          <w:color w:val="231F20"/>
          <w:spacing w:val="-4"/>
          <w:w w:val="105"/>
        </w:rPr>
        <w:t>programa </w:t>
      </w:r>
      <w:r>
        <w:rPr>
          <w:color w:val="231F20"/>
          <w:spacing w:val="-3"/>
          <w:w w:val="105"/>
        </w:rPr>
        <w:t>se concreten</w:t>
      </w:r>
      <w:r>
        <w:rPr>
          <w:color w:val="231F20"/>
          <w:spacing w:val="-15"/>
          <w:w w:val="105"/>
        </w:rPr>
        <w:t> </w:t>
      </w:r>
      <w:r>
        <w:rPr>
          <w:color w:val="231F20"/>
          <w:w w:val="105"/>
        </w:rPr>
        <w:t>en</w:t>
      </w:r>
      <w:r>
        <w:rPr>
          <w:color w:val="231F20"/>
          <w:spacing w:val="-15"/>
          <w:w w:val="105"/>
        </w:rPr>
        <w:t> </w:t>
      </w:r>
      <w:r>
        <w:rPr>
          <w:color w:val="231F20"/>
          <w:spacing w:val="-3"/>
          <w:w w:val="105"/>
        </w:rPr>
        <w:t>instrumentos</w:t>
      </w:r>
      <w:r>
        <w:rPr>
          <w:color w:val="231F20"/>
          <w:spacing w:val="-15"/>
          <w:w w:val="105"/>
        </w:rPr>
        <w:t> </w:t>
      </w:r>
      <w:r>
        <w:rPr>
          <w:color w:val="231F20"/>
          <w:spacing w:val="-3"/>
          <w:w w:val="105"/>
        </w:rPr>
        <w:t>orientados</w:t>
      </w:r>
      <w:r>
        <w:rPr>
          <w:color w:val="231F20"/>
          <w:spacing w:val="-15"/>
          <w:w w:val="105"/>
        </w:rPr>
        <w:t> </w:t>
      </w:r>
      <w:r>
        <w:rPr>
          <w:color w:val="231F20"/>
          <w:w w:val="105"/>
        </w:rPr>
        <w:t>a</w:t>
      </w:r>
      <w:r>
        <w:rPr>
          <w:color w:val="231F20"/>
          <w:spacing w:val="-15"/>
          <w:w w:val="105"/>
        </w:rPr>
        <w:t> </w:t>
      </w:r>
      <w:r>
        <w:rPr>
          <w:color w:val="231F20"/>
          <w:spacing w:val="-3"/>
          <w:w w:val="105"/>
        </w:rPr>
        <w:t>garantizar</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spacing w:val="-4"/>
          <w:w w:val="105"/>
        </w:rPr>
        <w:t>ingreso,</w:t>
      </w:r>
      <w:r>
        <w:rPr>
          <w:color w:val="231F20"/>
          <w:spacing w:val="-20"/>
          <w:w w:val="105"/>
        </w:rPr>
        <w:t> </w:t>
      </w:r>
      <w:r>
        <w:rPr>
          <w:color w:val="231F20"/>
          <w:spacing w:val="-4"/>
          <w:w w:val="105"/>
        </w:rPr>
        <w:t>tránsito </w:t>
      </w:r>
      <w:r>
        <w:rPr>
          <w:color w:val="231F20"/>
          <w:w w:val="105"/>
        </w:rPr>
        <w:t>y</w:t>
      </w:r>
      <w:r>
        <w:rPr>
          <w:color w:val="231F20"/>
          <w:spacing w:val="-15"/>
          <w:w w:val="105"/>
        </w:rPr>
        <w:t> </w:t>
      </w:r>
      <w:r>
        <w:rPr>
          <w:color w:val="231F20"/>
          <w:spacing w:val="-3"/>
          <w:w w:val="105"/>
        </w:rPr>
        <w:t>salida</w:t>
      </w:r>
      <w:r>
        <w:rPr>
          <w:color w:val="231F20"/>
          <w:spacing w:val="-15"/>
          <w:w w:val="105"/>
        </w:rPr>
        <w:t> </w:t>
      </w:r>
      <w:r>
        <w:rPr>
          <w:color w:val="231F20"/>
          <w:w w:val="105"/>
        </w:rPr>
        <w:t>del</w:t>
      </w:r>
      <w:r>
        <w:rPr>
          <w:color w:val="231F20"/>
          <w:spacing w:val="-15"/>
          <w:w w:val="105"/>
        </w:rPr>
        <w:t> </w:t>
      </w:r>
      <w:r>
        <w:rPr>
          <w:color w:val="231F20"/>
          <w:spacing w:val="-3"/>
          <w:w w:val="105"/>
        </w:rPr>
        <w:t>país</w:t>
      </w:r>
      <w:r>
        <w:rPr>
          <w:color w:val="231F20"/>
          <w:spacing w:val="-15"/>
          <w:w w:val="105"/>
        </w:rPr>
        <w:t> </w:t>
      </w:r>
      <w:r>
        <w:rPr>
          <w:color w:val="231F20"/>
          <w:spacing w:val="-3"/>
          <w:w w:val="105"/>
        </w:rPr>
        <w:t>sea</w:t>
      </w:r>
      <w:r>
        <w:rPr>
          <w:color w:val="231F20"/>
          <w:spacing w:val="-15"/>
          <w:w w:val="105"/>
        </w:rPr>
        <w:t> </w:t>
      </w:r>
      <w:r>
        <w:rPr>
          <w:color w:val="231F20"/>
          <w:w w:val="105"/>
        </w:rPr>
        <w:t>con</w:t>
      </w:r>
      <w:r>
        <w:rPr>
          <w:color w:val="231F20"/>
          <w:spacing w:val="-15"/>
          <w:w w:val="105"/>
        </w:rPr>
        <w:t> </w:t>
      </w:r>
      <w:r>
        <w:rPr>
          <w:color w:val="231F20"/>
          <w:spacing w:val="-3"/>
          <w:w w:val="105"/>
        </w:rPr>
        <w:t>absoluta</w:t>
      </w:r>
      <w:r>
        <w:rPr>
          <w:color w:val="231F20"/>
          <w:spacing w:val="-15"/>
          <w:w w:val="105"/>
        </w:rPr>
        <w:t> </w:t>
      </w:r>
      <w:r>
        <w:rPr>
          <w:color w:val="231F20"/>
          <w:spacing w:val="-3"/>
          <w:w w:val="105"/>
        </w:rPr>
        <w:t>garantía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spacing w:val="-3"/>
          <w:w w:val="105"/>
        </w:rPr>
        <w:t>derechos</w:t>
      </w:r>
      <w:r>
        <w:rPr>
          <w:color w:val="231F20"/>
          <w:spacing w:val="-15"/>
          <w:w w:val="105"/>
        </w:rPr>
        <w:t> </w:t>
      </w:r>
      <w:r>
        <w:rPr>
          <w:color w:val="231F20"/>
          <w:w w:val="105"/>
        </w:rPr>
        <w:t>de</w:t>
      </w:r>
      <w:r>
        <w:rPr>
          <w:color w:val="231F20"/>
          <w:spacing w:val="-15"/>
          <w:w w:val="105"/>
        </w:rPr>
        <w:t> </w:t>
      </w:r>
      <w:r>
        <w:rPr>
          <w:color w:val="231F20"/>
          <w:spacing w:val="-3"/>
          <w:w w:val="105"/>
        </w:rPr>
        <w:t>esta</w:t>
      </w:r>
      <w:r>
        <w:rPr>
          <w:color w:val="231F20"/>
          <w:spacing w:val="-15"/>
          <w:w w:val="105"/>
        </w:rPr>
        <w:t> </w:t>
      </w:r>
      <w:r>
        <w:rPr>
          <w:color w:val="231F20"/>
          <w:spacing w:val="-3"/>
          <w:w w:val="105"/>
        </w:rPr>
        <w:t>pobla- ción,</w:t>
      </w:r>
      <w:r>
        <w:rPr>
          <w:color w:val="231F20"/>
          <w:spacing w:val="-26"/>
          <w:w w:val="105"/>
        </w:rPr>
        <w:t> </w:t>
      </w:r>
      <w:r>
        <w:rPr>
          <w:color w:val="231F20"/>
          <w:w w:val="105"/>
        </w:rPr>
        <w:t>la</w:t>
      </w:r>
      <w:r>
        <w:rPr>
          <w:color w:val="231F20"/>
          <w:spacing w:val="-21"/>
          <w:w w:val="105"/>
        </w:rPr>
        <w:t> </w:t>
      </w:r>
      <w:r>
        <w:rPr>
          <w:color w:val="231F20"/>
          <w:spacing w:val="-3"/>
          <w:w w:val="105"/>
        </w:rPr>
        <w:t>seguridad</w:t>
      </w:r>
      <w:r>
        <w:rPr>
          <w:color w:val="231F20"/>
          <w:spacing w:val="-21"/>
          <w:w w:val="105"/>
        </w:rPr>
        <w:t> </w:t>
      </w:r>
      <w:r>
        <w:rPr>
          <w:color w:val="231F20"/>
          <w:w w:val="105"/>
        </w:rPr>
        <w:t>en</w:t>
      </w:r>
      <w:r>
        <w:rPr>
          <w:color w:val="231F20"/>
          <w:spacing w:val="-21"/>
          <w:w w:val="105"/>
        </w:rPr>
        <w:t> </w:t>
      </w:r>
      <w:r>
        <w:rPr>
          <w:color w:val="231F20"/>
          <w:w w:val="105"/>
        </w:rPr>
        <w:t>sus</w:t>
      </w:r>
      <w:r>
        <w:rPr>
          <w:color w:val="231F20"/>
          <w:spacing w:val="-21"/>
          <w:w w:val="105"/>
        </w:rPr>
        <w:t> </w:t>
      </w:r>
      <w:r>
        <w:rPr>
          <w:color w:val="231F20"/>
          <w:spacing w:val="-3"/>
          <w:w w:val="105"/>
        </w:rPr>
        <w:t>bienes</w:t>
      </w:r>
      <w:r>
        <w:rPr>
          <w:color w:val="231F20"/>
          <w:spacing w:val="-21"/>
          <w:w w:val="105"/>
        </w:rPr>
        <w:t> </w:t>
      </w:r>
      <w:r>
        <w:rPr>
          <w:color w:val="231F20"/>
          <w:w w:val="105"/>
        </w:rPr>
        <w:t>y</w:t>
      </w:r>
      <w:r>
        <w:rPr>
          <w:color w:val="231F20"/>
          <w:spacing w:val="-21"/>
          <w:w w:val="105"/>
        </w:rPr>
        <w:t> </w:t>
      </w:r>
      <w:r>
        <w:rPr>
          <w:color w:val="231F20"/>
          <w:spacing w:val="-3"/>
          <w:w w:val="105"/>
        </w:rPr>
        <w:t>persona,</w:t>
      </w:r>
      <w:r>
        <w:rPr>
          <w:color w:val="231F20"/>
          <w:spacing w:val="-26"/>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spacing w:val="-3"/>
          <w:w w:val="105"/>
        </w:rPr>
        <w:t>pleno</w:t>
      </w:r>
      <w:r>
        <w:rPr>
          <w:color w:val="231F20"/>
          <w:spacing w:val="-21"/>
          <w:w w:val="105"/>
        </w:rPr>
        <w:t> </w:t>
      </w:r>
      <w:r>
        <w:rPr>
          <w:color w:val="231F20"/>
          <w:spacing w:val="-3"/>
          <w:w w:val="105"/>
        </w:rPr>
        <w:t>conocimiento</w:t>
      </w:r>
      <w:r>
        <w:rPr>
          <w:color w:val="231F20"/>
          <w:spacing w:val="-21"/>
          <w:w w:val="105"/>
        </w:rPr>
        <w:t> </w:t>
      </w:r>
      <w:r>
        <w:rPr>
          <w:color w:val="231F20"/>
          <w:w w:val="105"/>
        </w:rPr>
        <w:t>de</w:t>
      </w:r>
      <w:r>
        <w:rPr>
          <w:color w:val="231F20"/>
          <w:spacing w:val="-21"/>
          <w:w w:val="105"/>
        </w:rPr>
        <w:t> </w:t>
      </w:r>
      <w:r>
        <w:rPr>
          <w:color w:val="231F20"/>
          <w:spacing w:val="-3"/>
          <w:w w:val="105"/>
        </w:rPr>
        <w:t>sus obligaciones.</w:t>
      </w:r>
      <w:r>
        <w:rPr>
          <w:color w:val="231F20"/>
          <w:spacing w:val="-20"/>
          <w:w w:val="105"/>
        </w:rPr>
        <w:t> </w:t>
      </w:r>
      <w:r>
        <w:rPr>
          <w:color w:val="231F20"/>
          <w:w w:val="105"/>
        </w:rPr>
        <w:t>En</w:t>
      </w:r>
      <w:r>
        <w:rPr>
          <w:color w:val="231F20"/>
          <w:spacing w:val="-16"/>
          <w:w w:val="105"/>
        </w:rPr>
        <w:t> </w:t>
      </w:r>
      <w:r>
        <w:rPr>
          <w:color w:val="231F20"/>
          <w:spacing w:val="-3"/>
          <w:w w:val="105"/>
        </w:rPr>
        <w:t>suma,</w:t>
      </w:r>
      <w:r>
        <w:rPr>
          <w:color w:val="231F20"/>
          <w:spacing w:val="-20"/>
          <w:w w:val="105"/>
        </w:rPr>
        <w:t> </w:t>
      </w:r>
      <w:r>
        <w:rPr>
          <w:color w:val="231F20"/>
          <w:w w:val="105"/>
        </w:rPr>
        <w:t>se</w:t>
      </w:r>
      <w:r>
        <w:rPr>
          <w:color w:val="231F20"/>
          <w:spacing w:val="-16"/>
          <w:w w:val="105"/>
        </w:rPr>
        <w:t> </w:t>
      </w:r>
      <w:r>
        <w:rPr>
          <w:color w:val="231F20"/>
          <w:spacing w:val="-3"/>
          <w:w w:val="105"/>
        </w:rPr>
        <w:t>propone</w:t>
      </w:r>
      <w:r>
        <w:rPr>
          <w:color w:val="231F20"/>
          <w:spacing w:val="-16"/>
          <w:w w:val="105"/>
        </w:rPr>
        <w:t> </w:t>
      </w:r>
      <w:r>
        <w:rPr>
          <w:color w:val="231F20"/>
          <w:spacing w:val="-3"/>
          <w:w w:val="105"/>
        </w:rPr>
        <w:t>consolidar</w:t>
      </w:r>
      <w:r>
        <w:rPr>
          <w:color w:val="231F20"/>
          <w:spacing w:val="-16"/>
          <w:w w:val="105"/>
        </w:rPr>
        <w:t> </w:t>
      </w:r>
      <w:r>
        <w:rPr>
          <w:color w:val="231F20"/>
          <w:w w:val="105"/>
        </w:rPr>
        <w:t>al</w:t>
      </w:r>
      <w:r>
        <w:rPr>
          <w:color w:val="231F20"/>
          <w:spacing w:val="-16"/>
          <w:w w:val="105"/>
        </w:rPr>
        <w:t> </w:t>
      </w:r>
      <w:r>
        <w:rPr>
          <w:color w:val="231F20"/>
          <w:spacing w:val="-5"/>
          <w:w w:val="105"/>
        </w:rPr>
        <w:t>Programa</w:t>
      </w:r>
      <w:r>
        <w:rPr>
          <w:color w:val="231F20"/>
          <w:spacing w:val="-16"/>
          <w:w w:val="105"/>
        </w:rPr>
        <w:t> </w:t>
      </w:r>
      <w:r>
        <w:rPr>
          <w:color w:val="231F20"/>
          <w:spacing w:val="-5"/>
          <w:w w:val="105"/>
        </w:rPr>
        <w:t>Paisano</w:t>
      </w:r>
      <w:r>
        <w:rPr>
          <w:color w:val="231F20"/>
          <w:spacing w:val="-16"/>
          <w:w w:val="105"/>
        </w:rPr>
        <w:t> </w:t>
      </w:r>
      <w:r>
        <w:rPr>
          <w:color w:val="231F20"/>
          <w:spacing w:val="-3"/>
          <w:w w:val="105"/>
        </w:rPr>
        <w:t>como </w:t>
      </w:r>
      <w:r>
        <w:rPr>
          <w:color w:val="231F20"/>
          <w:w w:val="105"/>
        </w:rPr>
        <w:t>un</w:t>
      </w:r>
      <w:r>
        <w:rPr>
          <w:color w:val="231F20"/>
          <w:spacing w:val="-12"/>
          <w:w w:val="105"/>
        </w:rPr>
        <w:t> </w:t>
      </w:r>
      <w:r>
        <w:rPr>
          <w:color w:val="231F20"/>
          <w:spacing w:val="-3"/>
          <w:w w:val="105"/>
        </w:rPr>
        <w:t>sistema</w:t>
      </w:r>
      <w:r>
        <w:rPr>
          <w:color w:val="231F20"/>
          <w:spacing w:val="-12"/>
          <w:w w:val="105"/>
        </w:rPr>
        <w:t> </w:t>
      </w:r>
      <w:r>
        <w:rPr>
          <w:color w:val="231F20"/>
          <w:spacing w:val="-3"/>
          <w:w w:val="105"/>
        </w:rPr>
        <w:t>integral</w:t>
      </w:r>
      <w:r>
        <w:rPr>
          <w:color w:val="231F20"/>
          <w:spacing w:val="-12"/>
          <w:w w:val="105"/>
        </w:rPr>
        <w:t> </w:t>
      </w:r>
      <w:r>
        <w:rPr>
          <w:color w:val="231F20"/>
          <w:w w:val="105"/>
        </w:rPr>
        <w:t>de</w:t>
      </w:r>
      <w:r>
        <w:rPr>
          <w:color w:val="231F20"/>
          <w:spacing w:val="-12"/>
          <w:w w:val="105"/>
        </w:rPr>
        <w:t> </w:t>
      </w:r>
      <w:r>
        <w:rPr>
          <w:color w:val="231F20"/>
          <w:spacing w:val="-3"/>
          <w:w w:val="105"/>
        </w:rPr>
        <w:t>información</w:t>
      </w:r>
      <w:r>
        <w:rPr>
          <w:color w:val="231F20"/>
          <w:spacing w:val="-12"/>
          <w:w w:val="105"/>
        </w:rPr>
        <w:t> </w:t>
      </w:r>
      <w:r>
        <w:rPr>
          <w:color w:val="231F20"/>
          <w:spacing w:val="-3"/>
          <w:w w:val="105"/>
        </w:rPr>
        <w:t>actualizado,</w:t>
      </w:r>
      <w:r>
        <w:rPr>
          <w:color w:val="231F20"/>
          <w:spacing w:val="-18"/>
          <w:w w:val="105"/>
        </w:rPr>
        <w:t> </w:t>
      </w:r>
      <w:r>
        <w:rPr>
          <w:color w:val="231F20"/>
          <w:spacing w:val="-3"/>
          <w:w w:val="105"/>
        </w:rPr>
        <w:t>eficiente</w:t>
      </w:r>
      <w:r>
        <w:rPr>
          <w:color w:val="231F20"/>
          <w:spacing w:val="-12"/>
          <w:w w:val="105"/>
        </w:rPr>
        <w:t> </w:t>
      </w:r>
      <w:r>
        <w:rPr>
          <w:color w:val="231F20"/>
          <w:w w:val="105"/>
        </w:rPr>
        <w:t>y</w:t>
      </w:r>
      <w:r>
        <w:rPr>
          <w:color w:val="231F20"/>
          <w:spacing w:val="-12"/>
          <w:w w:val="105"/>
        </w:rPr>
        <w:t> </w:t>
      </w:r>
      <w:r>
        <w:rPr>
          <w:color w:val="231F20"/>
          <w:spacing w:val="-4"/>
          <w:w w:val="105"/>
        </w:rPr>
        <w:t>oportuno,</w:t>
      </w:r>
      <w:r>
        <w:rPr>
          <w:color w:val="231F20"/>
          <w:spacing w:val="-18"/>
          <w:w w:val="105"/>
        </w:rPr>
        <w:t> </w:t>
      </w:r>
      <w:r>
        <w:rPr>
          <w:color w:val="231F20"/>
          <w:w w:val="105"/>
        </w:rPr>
        <w:t>y</w:t>
      </w:r>
      <w:r>
        <w:rPr>
          <w:color w:val="231F20"/>
          <w:spacing w:val="-12"/>
          <w:w w:val="105"/>
        </w:rPr>
        <w:t> </w:t>
      </w:r>
      <w:r>
        <w:rPr>
          <w:color w:val="231F20"/>
          <w:spacing w:val="-4"/>
          <w:w w:val="105"/>
        </w:rPr>
        <w:t>for- </w:t>
      </w:r>
      <w:r>
        <w:rPr>
          <w:color w:val="231F20"/>
          <w:spacing w:val="-3"/>
          <w:w w:val="105"/>
        </w:rPr>
        <w:t>talecer</w:t>
      </w:r>
      <w:r>
        <w:rPr>
          <w:color w:val="231F20"/>
          <w:spacing w:val="-10"/>
          <w:w w:val="105"/>
        </w:rPr>
        <w:t> </w:t>
      </w:r>
      <w:r>
        <w:rPr>
          <w:color w:val="231F20"/>
          <w:w w:val="105"/>
        </w:rPr>
        <w:t>la</w:t>
      </w:r>
      <w:r>
        <w:rPr>
          <w:color w:val="231F20"/>
          <w:spacing w:val="-10"/>
          <w:w w:val="105"/>
        </w:rPr>
        <w:t> </w:t>
      </w:r>
      <w:r>
        <w:rPr>
          <w:color w:val="231F20"/>
          <w:spacing w:val="-3"/>
          <w:w w:val="105"/>
        </w:rPr>
        <w:t>cultura</w:t>
      </w:r>
      <w:r>
        <w:rPr>
          <w:color w:val="231F20"/>
          <w:spacing w:val="-10"/>
          <w:w w:val="105"/>
        </w:rPr>
        <w:t> </w:t>
      </w:r>
      <w:r>
        <w:rPr>
          <w:color w:val="231F20"/>
          <w:w w:val="105"/>
        </w:rPr>
        <w:t>de</w:t>
      </w:r>
      <w:r>
        <w:rPr>
          <w:color w:val="231F20"/>
          <w:spacing w:val="-10"/>
          <w:w w:val="105"/>
        </w:rPr>
        <w:t> </w:t>
      </w:r>
      <w:r>
        <w:rPr>
          <w:color w:val="231F20"/>
          <w:spacing w:val="-3"/>
          <w:w w:val="105"/>
        </w:rPr>
        <w:t>servicio</w:t>
      </w:r>
      <w:r>
        <w:rPr>
          <w:color w:val="231F20"/>
          <w:spacing w:val="-10"/>
          <w:w w:val="105"/>
        </w:rPr>
        <w:t> </w:t>
      </w:r>
      <w:r>
        <w:rPr>
          <w:color w:val="231F20"/>
          <w:spacing w:val="-3"/>
          <w:w w:val="105"/>
        </w:rPr>
        <w:t>para</w:t>
      </w:r>
      <w:r>
        <w:rPr>
          <w:color w:val="231F20"/>
          <w:spacing w:val="-10"/>
          <w:w w:val="105"/>
        </w:rPr>
        <w:t> </w:t>
      </w:r>
      <w:r>
        <w:rPr>
          <w:color w:val="231F20"/>
          <w:spacing w:val="-3"/>
          <w:w w:val="105"/>
        </w:rPr>
        <w:t>erradicar</w:t>
      </w:r>
      <w:r>
        <w:rPr>
          <w:color w:val="231F20"/>
          <w:spacing w:val="-10"/>
          <w:w w:val="105"/>
        </w:rPr>
        <w:t> </w:t>
      </w:r>
      <w:r>
        <w:rPr>
          <w:color w:val="231F20"/>
          <w:spacing w:val="-3"/>
          <w:w w:val="105"/>
        </w:rPr>
        <w:t>prácticas</w:t>
      </w:r>
      <w:r>
        <w:rPr>
          <w:color w:val="231F20"/>
          <w:spacing w:val="-10"/>
          <w:w w:val="105"/>
        </w:rPr>
        <w:t> </w:t>
      </w:r>
      <w:r>
        <w:rPr>
          <w:color w:val="231F20"/>
          <w:w w:val="105"/>
        </w:rPr>
        <w:t>de</w:t>
      </w:r>
      <w:r>
        <w:rPr>
          <w:color w:val="231F20"/>
          <w:spacing w:val="-10"/>
          <w:w w:val="105"/>
        </w:rPr>
        <w:t> </w:t>
      </w:r>
      <w:r>
        <w:rPr>
          <w:color w:val="231F20"/>
          <w:spacing w:val="-3"/>
          <w:w w:val="105"/>
        </w:rPr>
        <w:t>corrupción</w:t>
      </w:r>
      <w:r>
        <w:rPr>
          <w:color w:val="231F20"/>
          <w:spacing w:val="-10"/>
          <w:w w:val="105"/>
        </w:rPr>
        <w:t> </w:t>
      </w:r>
      <w:r>
        <w:rPr>
          <w:color w:val="231F20"/>
          <w:w w:val="105"/>
        </w:rPr>
        <w:t>y</w:t>
      </w:r>
      <w:r>
        <w:rPr>
          <w:color w:val="231F20"/>
          <w:spacing w:val="-10"/>
          <w:w w:val="105"/>
        </w:rPr>
        <w:t> </w:t>
      </w:r>
      <w:r>
        <w:rPr>
          <w:color w:val="231F20"/>
          <w:spacing w:val="-3"/>
          <w:w w:val="105"/>
        </w:rPr>
        <w:t>mal- </w:t>
      </w:r>
      <w:r>
        <w:rPr>
          <w:color w:val="231F20"/>
          <w:spacing w:val="-4"/>
          <w:w w:val="105"/>
        </w:rPr>
        <w:t>trato,</w:t>
      </w:r>
      <w:r>
        <w:rPr>
          <w:color w:val="231F20"/>
          <w:spacing w:val="-28"/>
          <w:w w:val="105"/>
        </w:rPr>
        <w:t> </w:t>
      </w:r>
      <w:r>
        <w:rPr>
          <w:color w:val="231F20"/>
          <w:spacing w:val="-3"/>
          <w:w w:val="105"/>
        </w:rPr>
        <w:t>esto</w:t>
      </w:r>
      <w:r>
        <w:rPr>
          <w:color w:val="231F20"/>
          <w:spacing w:val="-23"/>
          <w:w w:val="105"/>
        </w:rPr>
        <w:t> </w:t>
      </w:r>
      <w:r>
        <w:rPr>
          <w:color w:val="231F20"/>
          <w:spacing w:val="-3"/>
          <w:w w:val="105"/>
        </w:rPr>
        <w:t>mediante</w:t>
      </w:r>
      <w:r>
        <w:rPr>
          <w:color w:val="231F20"/>
          <w:spacing w:val="-23"/>
          <w:w w:val="105"/>
        </w:rPr>
        <w:t> </w:t>
      </w:r>
      <w:r>
        <w:rPr>
          <w:color w:val="231F20"/>
          <w:spacing w:val="-3"/>
          <w:w w:val="105"/>
        </w:rPr>
        <w:t>acciones</w:t>
      </w:r>
      <w:r>
        <w:rPr>
          <w:color w:val="231F20"/>
          <w:spacing w:val="-23"/>
          <w:w w:val="105"/>
        </w:rPr>
        <w:t> </w:t>
      </w:r>
      <w:r>
        <w:rPr>
          <w:color w:val="231F20"/>
          <w:w w:val="105"/>
        </w:rPr>
        <w:t>que</w:t>
      </w:r>
      <w:r>
        <w:rPr>
          <w:color w:val="231F20"/>
          <w:spacing w:val="-23"/>
          <w:w w:val="105"/>
        </w:rPr>
        <w:t> </w:t>
      </w:r>
      <w:r>
        <w:rPr>
          <w:color w:val="231F20"/>
          <w:spacing w:val="-3"/>
          <w:w w:val="105"/>
        </w:rPr>
        <w:t>codayuven</w:t>
      </w:r>
      <w:r>
        <w:rPr>
          <w:color w:val="231F20"/>
          <w:spacing w:val="-23"/>
          <w:w w:val="105"/>
        </w:rPr>
        <w:t> </w:t>
      </w:r>
      <w:r>
        <w:rPr>
          <w:color w:val="231F20"/>
          <w:w w:val="105"/>
        </w:rPr>
        <w:t>a</w:t>
      </w:r>
      <w:r>
        <w:rPr>
          <w:color w:val="231F20"/>
          <w:spacing w:val="-23"/>
          <w:w w:val="105"/>
        </w:rPr>
        <w:t> </w:t>
      </w:r>
      <w:r>
        <w:rPr>
          <w:color w:val="231F20"/>
          <w:spacing w:val="-3"/>
          <w:w w:val="105"/>
        </w:rPr>
        <w:t>estimular</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spacing w:val="-4"/>
          <w:w w:val="105"/>
        </w:rPr>
        <w:t>servidores </w:t>
      </w:r>
      <w:r>
        <w:rPr>
          <w:color w:val="231F20"/>
          <w:spacing w:val="-3"/>
          <w:w w:val="105"/>
        </w:rPr>
        <w:t>públicos</w:t>
      </w:r>
      <w:r>
        <w:rPr>
          <w:color w:val="231F20"/>
          <w:spacing w:val="-7"/>
          <w:w w:val="105"/>
        </w:rPr>
        <w:t> </w:t>
      </w:r>
      <w:r>
        <w:rPr>
          <w:color w:val="231F20"/>
          <w:w w:val="105"/>
        </w:rPr>
        <w:t>el</w:t>
      </w:r>
      <w:r>
        <w:rPr>
          <w:color w:val="231F20"/>
          <w:spacing w:val="-7"/>
          <w:w w:val="105"/>
        </w:rPr>
        <w:t> </w:t>
      </w:r>
      <w:r>
        <w:rPr>
          <w:color w:val="231F20"/>
          <w:spacing w:val="-4"/>
          <w:w w:val="105"/>
        </w:rPr>
        <w:t>respeto,</w:t>
      </w:r>
      <w:r>
        <w:rPr>
          <w:color w:val="231F20"/>
          <w:spacing w:val="-13"/>
          <w:w w:val="105"/>
        </w:rPr>
        <w:t> </w:t>
      </w:r>
      <w:r>
        <w:rPr>
          <w:color w:val="231F20"/>
          <w:spacing w:val="-3"/>
          <w:w w:val="105"/>
        </w:rPr>
        <w:t>atención</w:t>
      </w:r>
      <w:r>
        <w:rPr>
          <w:color w:val="231F20"/>
          <w:spacing w:val="-7"/>
          <w:w w:val="105"/>
        </w:rPr>
        <w:t> </w:t>
      </w:r>
      <w:r>
        <w:rPr>
          <w:color w:val="231F20"/>
          <w:w w:val="105"/>
        </w:rPr>
        <w:t>y</w:t>
      </w:r>
      <w:r>
        <w:rPr>
          <w:color w:val="231F20"/>
          <w:spacing w:val="-7"/>
          <w:w w:val="105"/>
        </w:rPr>
        <w:t> </w:t>
      </w:r>
      <w:r>
        <w:rPr>
          <w:color w:val="231F20"/>
          <w:spacing w:val="-4"/>
          <w:w w:val="105"/>
        </w:rPr>
        <w:t>trato</w:t>
      </w:r>
      <w:r>
        <w:rPr>
          <w:color w:val="231F20"/>
          <w:spacing w:val="-7"/>
          <w:w w:val="105"/>
        </w:rPr>
        <w:t> </w:t>
      </w:r>
      <w:r>
        <w:rPr>
          <w:color w:val="231F20"/>
          <w:spacing w:val="-3"/>
          <w:w w:val="105"/>
        </w:rPr>
        <w:t>digno</w:t>
      </w:r>
      <w:r>
        <w:rPr>
          <w:color w:val="231F20"/>
          <w:spacing w:val="-7"/>
          <w:w w:val="105"/>
        </w:rPr>
        <w:t> </w:t>
      </w:r>
      <w:r>
        <w:rPr>
          <w:color w:val="231F20"/>
          <w:spacing w:val="-3"/>
          <w:w w:val="105"/>
        </w:rPr>
        <w:t>hacia</w:t>
      </w:r>
      <w:r>
        <w:rPr>
          <w:color w:val="231F20"/>
          <w:spacing w:val="-7"/>
          <w:w w:val="105"/>
        </w:rPr>
        <w:t> </w:t>
      </w:r>
      <w:r>
        <w:rPr>
          <w:color w:val="231F20"/>
          <w:w w:val="105"/>
        </w:rPr>
        <w:t>los</w:t>
      </w:r>
      <w:r>
        <w:rPr>
          <w:color w:val="231F20"/>
          <w:spacing w:val="-7"/>
          <w:w w:val="105"/>
        </w:rPr>
        <w:t> </w:t>
      </w:r>
      <w:r>
        <w:rPr>
          <w:color w:val="231F20"/>
          <w:spacing w:val="-3"/>
          <w:w w:val="105"/>
        </w:rPr>
        <w:t>paisanos,</w:t>
      </w:r>
      <w:r>
        <w:rPr>
          <w:color w:val="231F20"/>
          <w:spacing w:val="-13"/>
          <w:w w:val="105"/>
        </w:rPr>
        <w:t> </w:t>
      </w:r>
      <w:r>
        <w:rPr>
          <w:color w:val="231F20"/>
          <w:spacing w:val="-3"/>
          <w:w w:val="105"/>
        </w:rPr>
        <w:t>fortalecien- </w:t>
      </w:r>
      <w:r>
        <w:rPr>
          <w:color w:val="231F20"/>
          <w:w w:val="105"/>
        </w:rPr>
        <w:t>do</w:t>
      </w:r>
      <w:r>
        <w:rPr>
          <w:color w:val="231F20"/>
          <w:spacing w:val="-26"/>
          <w:w w:val="105"/>
        </w:rPr>
        <w:t> </w:t>
      </w:r>
      <w:r>
        <w:rPr>
          <w:color w:val="231F20"/>
          <w:w w:val="105"/>
        </w:rPr>
        <w:t>así</w:t>
      </w:r>
      <w:r>
        <w:rPr>
          <w:color w:val="231F20"/>
          <w:spacing w:val="-26"/>
          <w:w w:val="105"/>
        </w:rPr>
        <w:t> </w:t>
      </w:r>
      <w:r>
        <w:rPr>
          <w:color w:val="231F20"/>
          <w:w w:val="105"/>
        </w:rPr>
        <w:t>su</w:t>
      </w:r>
      <w:r>
        <w:rPr>
          <w:color w:val="231F20"/>
          <w:spacing w:val="-26"/>
          <w:w w:val="105"/>
        </w:rPr>
        <w:t> </w:t>
      </w:r>
      <w:r>
        <w:rPr>
          <w:color w:val="231F20"/>
          <w:spacing w:val="-3"/>
          <w:w w:val="105"/>
        </w:rPr>
        <w:t>confianza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spacing w:val="-3"/>
          <w:w w:val="105"/>
        </w:rPr>
        <w:t>gobierno</w:t>
      </w:r>
      <w:r>
        <w:rPr>
          <w:color w:val="231F20"/>
          <w:spacing w:val="-26"/>
          <w:w w:val="105"/>
        </w:rPr>
        <w:t> </w:t>
      </w:r>
      <w:r>
        <w:rPr>
          <w:color w:val="231F20"/>
          <w:w w:val="105"/>
        </w:rPr>
        <w:t>de</w:t>
      </w:r>
      <w:r>
        <w:rPr>
          <w:color w:val="231F20"/>
          <w:spacing w:val="-26"/>
          <w:w w:val="105"/>
        </w:rPr>
        <w:t> </w:t>
      </w:r>
      <w:r>
        <w:rPr>
          <w:color w:val="231F20"/>
          <w:spacing w:val="-3"/>
          <w:w w:val="105"/>
        </w:rPr>
        <w:t>México</w:t>
      </w:r>
      <w:r>
        <w:rPr>
          <w:color w:val="231F20"/>
          <w:spacing w:val="-26"/>
          <w:w w:val="105"/>
        </w:rPr>
        <w:t> </w:t>
      </w:r>
      <w:r>
        <w:rPr>
          <w:color w:val="231F20"/>
          <w:w w:val="105"/>
        </w:rPr>
        <w:t>(</w:t>
      </w:r>
      <w:r>
        <w:rPr>
          <w:color w:val="231F20"/>
          <w:w w:val="105"/>
          <w:sz w:val="17"/>
        </w:rPr>
        <w:t>SEGOB</w:t>
      </w:r>
      <w:r>
        <w:rPr>
          <w:color w:val="231F20"/>
          <w:w w:val="105"/>
        </w:rPr>
        <w:t>,</w:t>
      </w:r>
      <w:r>
        <w:rPr>
          <w:color w:val="231F20"/>
          <w:spacing w:val="-30"/>
          <w:w w:val="105"/>
        </w:rPr>
        <w:t> </w:t>
      </w:r>
      <w:r>
        <w:rPr>
          <w:color w:val="231F20"/>
          <w:spacing w:val="-3"/>
          <w:w w:val="105"/>
        </w:rPr>
        <w:t>2015).</w:t>
      </w:r>
    </w:p>
    <w:p>
      <w:pPr>
        <w:pStyle w:val="BodyText"/>
        <w:spacing w:line="261" w:lineRule="auto" w:before="1"/>
        <w:ind w:left="1837" w:right="1722" w:firstLine="567"/>
        <w:jc w:val="both"/>
      </w:pPr>
      <w:r>
        <w:rPr>
          <w:color w:val="231F20"/>
          <w:w w:val="105"/>
        </w:rPr>
        <w:t>Los</w:t>
      </w:r>
      <w:r>
        <w:rPr>
          <w:color w:val="231F20"/>
          <w:spacing w:val="-18"/>
          <w:w w:val="105"/>
        </w:rPr>
        <w:t> </w:t>
      </w:r>
      <w:r>
        <w:rPr>
          <w:color w:val="231F20"/>
          <w:w w:val="105"/>
        </w:rPr>
        <w:t>Grupos</w:t>
      </w:r>
      <w:r>
        <w:rPr>
          <w:color w:val="231F20"/>
          <w:spacing w:val="-18"/>
          <w:w w:val="105"/>
        </w:rPr>
        <w:t> </w:t>
      </w:r>
      <w:r>
        <w:rPr>
          <w:color w:val="231F20"/>
          <w:w w:val="105"/>
        </w:rPr>
        <w:t>Beta,</w:t>
      </w:r>
      <w:r>
        <w:rPr>
          <w:color w:val="231F20"/>
          <w:spacing w:val="-24"/>
          <w:w w:val="105"/>
        </w:rPr>
        <w:t> </w:t>
      </w:r>
      <w:r>
        <w:rPr>
          <w:color w:val="231F20"/>
          <w:w w:val="105"/>
        </w:rPr>
        <w:t>considerados</w:t>
      </w:r>
      <w:r>
        <w:rPr>
          <w:color w:val="231F20"/>
          <w:spacing w:val="-18"/>
          <w:w w:val="105"/>
        </w:rPr>
        <w:t> </w:t>
      </w:r>
      <w:r>
        <w:rPr>
          <w:color w:val="231F20"/>
          <w:w w:val="105"/>
        </w:rPr>
        <w:t>como</w:t>
      </w:r>
      <w:r>
        <w:rPr>
          <w:color w:val="231F20"/>
          <w:spacing w:val="-18"/>
          <w:w w:val="105"/>
        </w:rPr>
        <w:t> </w:t>
      </w:r>
      <w:r>
        <w:rPr>
          <w:color w:val="231F20"/>
          <w:w w:val="105"/>
        </w:rPr>
        <w:t>el</w:t>
      </w:r>
      <w:r>
        <w:rPr>
          <w:color w:val="231F20"/>
          <w:spacing w:val="-18"/>
          <w:w w:val="105"/>
        </w:rPr>
        <w:t> </w:t>
      </w:r>
      <w:r>
        <w:rPr>
          <w:color w:val="231F20"/>
          <w:w w:val="105"/>
        </w:rPr>
        <w:t>brazo</w:t>
      </w:r>
      <w:r>
        <w:rPr>
          <w:color w:val="231F20"/>
          <w:spacing w:val="-18"/>
          <w:w w:val="105"/>
        </w:rPr>
        <w:t> </w:t>
      </w:r>
      <w:r>
        <w:rPr>
          <w:color w:val="231F20"/>
          <w:w w:val="105"/>
        </w:rPr>
        <w:t>humanitario</w:t>
      </w:r>
      <w:r>
        <w:rPr>
          <w:color w:val="231F20"/>
          <w:spacing w:val="-18"/>
          <w:w w:val="105"/>
        </w:rPr>
        <w:t> </w:t>
      </w:r>
      <w:r>
        <w:rPr>
          <w:color w:val="231F20"/>
          <w:w w:val="105"/>
        </w:rPr>
        <w:t>del</w:t>
      </w:r>
      <w:r>
        <w:rPr>
          <w:color w:val="231F20"/>
          <w:spacing w:val="-18"/>
          <w:w w:val="105"/>
        </w:rPr>
        <w:t> </w:t>
      </w:r>
      <w:r>
        <w:rPr>
          <w:color w:val="231F20"/>
          <w:w w:val="105"/>
        </w:rPr>
        <w:t>Ins- tituto Nacional de Migración, tienen por</w:t>
      </w:r>
      <w:r>
        <w:rPr>
          <w:color w:val="231F20"/>
          <w:spacing w:val="12"/>
          <w:w w:val="105"/>
        </w:rPr>
        <w:t> </w:t>
      </w:r>
      <w:r>
        <w:rPr>
          <w:color w:val="231F20"/>
          <w:w w:val="105"/>
        </w:rPr>
        <w:t>objetivo:</w:t>
      </w:r>
    </w:p>
    <w:p>
      <w:pPr>
        <w:pStyle w:val="BodyText"/>
        <w:spacing w:before="7"/>
        <w:rPr>
          <w:sz w:val="18"/>
        </w:rPr>
      </w:pPr>
    </w:p>
    <w:p>
      <w:pPr>
        <w:spacing w:line="254" w:lineRule="auto" w:before="0"/>
        <w:ind w:left="2971" w:right="1716" w:firstLine="0"/>
        <w:jc w:val="both"/>
        <w:rPr>
          <w:sz w:val="18"/>
        </w:rPr>
      </w:pPr>
      <w:r>
        <w:rPr>
          <w:color w:val="231F20"/>
          <w:w w:val="105"/>
          <w:sz w:val="18"/>
        </w:rPr>
        <w:t>proteger y defender los Derechos Humanos de los migrantes, sin  distinción de su nacionalidad o situación migratoria. Sus objetivos se aplican en el auxilio y salvaguarda de los migrantes ante situaciones de riesgo o intentos de abuso por parte del crimen organizado, de las autoridades</w:t>
      </w:r>
      <w:r>
        <w:rPr>
          <w:color w:val="231F20"/>
          <w:spacing w:val="-6"/>
          <w:w w:val="105"/>
          <w:sz w:val="18"/>
        </w:rPr>
        <w:t> </w:t>
      </w:r>
      <w:r>
        <w:rPr>
          <w:color w:val="231F20"/>
          <w:w w:val="105"/>
          <w:sz w:val="18"/>
        </w:rPr>
        <w:t>y</w:t>
      </w:r>
      <w:r>
        <w:rPr>
          <w:color w:val="231F20"/>
          <w:spacing w:val="-6"/>
          <w:w w:val="105"/>
          <w:sz w:val="18"/>
        </w:rPr>
        <w:t> </w:t>
      </w:r>
      <w:r>
        <w:rPr>
          <w:color w:val="231F20"/>
          <w:w w:val="105"/>
          <w:sz w:val="18"/>
        </w:rPr>
        <w:t>particulares;</w:t>
      </w:r>
      <w:r>
        <w:rPr>
          <w:color w:val="231F20"/>
          <w:spacing w:val="-6"/>
          <w:w w:val="105"/>
          <w:sz w:val="18"/>
        </w:rPr>
        <w:t> </w:t>
      </w:r>
      <w:r>
        <w:rPr>
          <w:color w:val="231F20"/>
          <w:w w:val="105"/>
          <w:sz w:val="18"/>
        </w:rPr>
        <w:t>brindar</w:t>
      </w:r>
      <w:r>
        <w:rPr>
          <w:color w:val="231F20"/>
          <w:spacing w:val="-6"/>
          <w:w w:val="105"/>
          <w:sz w:val="18"/>
        </w:rPr>
        <w:t> </w:t>
      </w:r>
      <w:r>
        <w:rPr>
          <w:color w:val="231F20"/>
          <w:w w:val="105"/>
          <w:sz w:val="18"/>
        </w:rPr>
        <w:t>información</w:t>
      </w:r>
      <w:r>
        <w:rPr>
          <w:color w:val="231F20"/>
          <w:spacing w:val="-6"/>
          <w:w w:val="105"/>
          <w:sz w:val="18"/>
        </w:rPr>
        <w:t> </w:t>
      </w:r>
      <w:r>
        <w:rPr>
          <w:color w:val="231F20"/>
          <w:w w:val="105"/>
          <w:sz w:val="18"/>
        </w:rPr>
        <w:t>y</w:t>
      </w:r>
      <w:r>
        <w:rPr>
          <w:color w:val="231F20"/>
          <w:spacing w:val="-6"/>
          <w:w w:val="105"/>
          <w:sz w:val="18"/>
        </w:rPr>
        <w:t> </w:t>
      </w:r>
      <w:r>
        <w:rPr>
          <w:color w:val="231F20"/>
          <w:w w:val="105"/>
          <w:sz w:val="18"/>
        </w:rPr>
        <w:t>orientación</w:t>
      </w:r>
      <w:r>
        <w:rPr>
          <w:color w:val="231F20"/>
          <w:spacing w:val="-6"/>
          <w:w w:val="105"/>
          <w:sz w:val="18"/>
        </w:rPr>
        <w:t> </w:t>
      </w:r>
      <w:r>
        <w:rPr>
          <w:color w:val="231F20"/>
          <w:w w:val="105"/>
          <w:sz w:val="18"/>
        </w:rPr>
        <w:t>sobre</w:t>
      </w:r>
      <w:r>
        <w:rPr>
          <w:color w:val="231F20"/>
          <w:spacing w:val="-6"/>
          <w:w w:val="105"/>
          <w:sz w:val="18"/>
        </w:rPr>
        <w:t> </w:t>
      </w:r>
      <w:r>
        <w:rPr>
          <w:color w:val="231F20"/>
          <w:w w:val="105"/>
          <w:sz w:val="18"/>
        </w:rPr>
        <w:t>los riesgos del camino, con la finalidad de persuadir a los migrantes</w:t>
      </w:r>
      <w:r>
        <w:rPr>
          <w:color w:val="231F20"/>
          <w:spacing w:val="-16"/>
          <w:w w:val="105"/>
          <w:sz w:val="18"/>
        </w:rPr>
        <w:t> </w:t>
      </w:r>
      <w:r>
        <w:rPr>
          <w:color w:val="231F20"/>
          <w:w w:val="105"/>
          <w:sz w:val="18"/>
        </w:rPr>
        <w:t>para regresar</w:t>
      </w:r>
      <w:r>
        <w:rPr>
          <w:color w:val="231F20"/>
          <w:spacing w:val="-29"/>
          <w:w w:val="105"/>
          <w:sz w:val="18"/>
        </w:rPr>
        <w:t> </w:t>
      </w:r>
      <w:r>
        <w:rPr>
          <w:color w:val="231F20"/>
          <w:w w:val="105"/>
          <w:sz w:val="18"/>
        </w:rPr>
        <w:t>a</w:t>
      </w:r>
      <w:r>
        <w:rPr>
          <w:color w:val="231F20"/>
          <w:spacing w:val="-29"/>
          <w:w w:val="105"/>
          <w:sz w:val="18"/>
        </w:rPr>
        <w:t> </w:t>
      </w:r>
      <w:r>
        <w:rPr>
          <w:color w:val="231F20"/>
          <w:w w:val="105"/>
          <w:sz w:val="18"/>
        </w:rPr>
        <w:t>sus</w:t>
      </w:r>
      <w:r>
        <w:rPr>
          <w:color w:val="231F20"/>
          <w:spacing w:val="-29"/>
          <w:w w:val="105"/>
          <w:sz w:val="18"/>
        </w:rPr>
        <w:t> </w:t>
      </w:r>
      <w:r>
        <w:rPr>
          <w:color w:val="231F20"/>
          <w:w w:val="105"/>
          <w:sz w:val="18"/>
        </w:rPr>
        <w:t>lugares</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origen;</w:t>
      </w:r>
      <w:r>
        <w:rPr>
          <w:color w:val="231F20"/>
          <w:spacing w:val="-29"/>
          <w:w w:val="105"/>
          <w:sz w:val="18"/>
        </w:rPr>
        <w:t> </w:t>
      </w:r>
      <w:r>
        <w:rPr>
          <w:color w:val="231F20"/>
          <w:w w:val="105"/>
          <w:sz w:val="18"/>
        </w:rPr>
        <w:t>ofrecer</w:t>
      </w:r>
      <w:r>
        <w:rPr>
          <w:color w:val="231F20"/>
          <w:spacing w:val="-29"/>
          <w:w w:val="105"/>
          <w:sz w:val="18"/>
        </w:rPr>
        <w:t> </w:t>
      </w:r>
      <w:r>
        <w:rPr>
          <w:color w:val="231F20"/>
          <w:w w:val="105"/>
          <w:sz w:val="18"/>
        </w:rPr>
        <w:t>asistencia</w:t>
      </w:r>
      <w:r>
        <w:rPr>
          <w:color w:val="231F20"/>
          <w:spacing w:val="-29"/>
          <w:w w:val="105"/>
          <w:sz w:val="18"/>
        </w:rPr>
        <w:t> </w:t>
      </w:r>
      <w:r>
        <w:rPr>
          <w:color w:val="231F20"/>
          <w:w w:val="105"/>
          <w:sz w:val="18"/>
        </w:rPr>
        <w:t>social</w:t>
      </w:r>
      <w:r>
        <w:rPr>
          <w:color w:val="231F20"/>
          <w:spacing w:val="-29"/>
          <w:w w:val="105"/>
          <w:sz w:val="18"/>
        </w:rPr>
        <w:t> </w:t>
      </w:r>
      <w:r>
        <w:rPr>
          <w:color w:val="231F20"/>
          <w:w w:val="105"/>
          <w:sz w:val="18"/>
        </w:rPr>
        <w:t>y</w:t>
      </w:r>
      <w:r>
        <w:rPr>
          <w:color w:val="231F20"/>
          <w:spacing w:val="-29"/>
          <w:w w:val="105"/>
          <w:sz w:val="18"/>
        </w:rPr>
        <w:t> </w:t>
      </w:r>
      <w:r>
        <w:rPr>
          <w:color w:val="231F20"/>
          <w:w w:val="105"/>
          <w:sz w:val="18"/>
        </w:rPr>
        <w:t>humanitaria, y</w:t>
      </w:r>
      <w:r>
        <w:rPr>
          <w:color w:val="231F20"/>
          <w:spacing w:val="-6"/>
          <w:w w:val="105"/>
          <w:sz w:val="18"/>
        </w:rPr>
        <w:t> </w:t>
      </w:r>
      <w:r>
        <w:rPr>
          <w:color w:val="231F20"/>
          <w:w w:val="105"/>
          <w:sz w:val="18"/>
        </w:rPr>
        <w:t>canalizar</w:t>
      </w:r>
      <w:r>
        <w:rPr>
          <w:color w:val="231F20"/>
          <w:spacing w:val="-6"/>
          <w:w w:val="105"/>
          <w:sz w:val="18"/>
        </w:rPr>
        <w:t> </w:t>
      </w:r>
      <w:r>
        <w:rPr>
          <w:color w:val="231F20"/>
          <w:w w:val="105"/>
          <w:sz w:val="18"/>
        </w:rPr>
        <w:t>los</w:t>
      </w:r>
      <w:r>
        <w:rPr>
          <w:color w:val="231F20"/>
          <w:spacing w:val="-6"/>
          <w:w w:val="105"/>
          <w:sz w:val="18"/>
        </w:rPr>
        <w:t> </w:t>
      </w:r>
      <w:r>
        <w:rPr>
          <w:color w:val="231F20"/>
          <w:w w:val="105"/>
          <w:sz w:val="18"/>
        </w:rPr>
        <w:t>casos</w:t>
      </w:r>
      <w:r>
        <w:rPr>
          <w:color w:val="231F20"/>
          <w:spacing w:val="-6"/>
          <w:w w:val="105"/>
          <w:sz w:val="18"/>
        </w:rPr>
        <w:t> </w:t>
      </w:r>
      <w:r>
        <w:rPr>
          <w:color w:val="231F20"/>
          <w:w w:val="105"/>
          <w:sz w:val="18"/>
        </w:rPr>
        <w:t>que</w:t>
      </w:r>
      <w:r>
        <w:rPr>
          <w:color w:val="231F20"/>
          <w:spacing w:val="-6"/>
          <w:w w:val="105"/>
          <w:sz w:val="18"/>
        </w:rPr>
        <w:t> </w:t>
      </w:r>
      <w:r>
        <w:rPr>
          <w:color w:val="231F20"/>
          <w:w w:val="105"/>
          <w:sz w:val="18"/>
        </w:rPr>
        <w:t>requieren</w:t>
      </w:r>
      <w:r>
        <w:rPr>
          <w:color w:val="231F20"/>
          <w:spacing w:val="-6"/>
          <w:w w:val="105"/>
          <w:sz w:val="18"/>
        </w:rPr>
        <w:t> </w:t>
      </w:r>
      <w:r>
        <w:rPr>
          <w:color w:val="231F20"/>
          <w:w w:val="105"/>
          <w:sz w:val="18"/>
        </w:rPr>
        <w:t>atención</w:t>
      </w:r>
      <w:r>
        <w:rPr>
          <w:color w:val="231F20"/>
          <w:spacing w:val="-6"/>
          <w:w w:val="105"/>
          <w:sz w:val="18"/>
        </w:rPr>
        <w:t> </w:t>
      </w:r>
      <w:r>
        <w:rPr>
          <w:color w:val="231F20"/>
          <w:w w:val="105"/>
          <w:sz w:val="18"/>
        </w:rPr>
        <w:t>de</w:t>
      </w:r>
      <w:r>
        <w:rPr>
          <w:color w:val="231F20"/>
          <w:spacing w:val="-6"/>
          <w:w w:val="105"/>
          <w:sz w:val="18"/>
        </w:rPr>
        <w:t> </w:t>
      </w:r>
      <w:r>
        <w:rPr>
          <w:color w:val="231F20"/>
          <w:w w:val="105"/>
          <w:sz w:val="18"/>
        </w:rPr>
        <w:t>otras</w:t>
      </w:r>
      <w:r>
        <w:rPr>
          <w:color w:val="231F20"/>
          <w:spacing w:val="-6"/>
          <w:w w:val="105"/>
          <w:sz w:val="18"/>
        </w:rPr>
        <w:t> </w:t>
      </w:r>
      <w:r>
        <w:rPr>
          <w:color w:val="231F20"/>
          <w:w w:val="105"/>
          <w:sz w:val="18"/>
        </w:rPr>
        <w:t>dependencias</w:t>
      </w:r>
      <w:r>
        <w:rPr>
          <w:color w:val="231F20"/>
          <w:spacing w:val="-6"/>
          <w:w w:val="105"/>
          <w:sz w:val="18"/>
        </w:rPr>
        <w:t> </w:t>
      </w:r>
      <w:r>
        <w:rPr>
          <w:color w:val="231F20"/>
          <w:w w:val="105"/>
          <w:sz w:val="18"/>
        </w:rPr>
        <w:t>o autoridades.</w:t>
      </w:r>
      <w:r>
        <w:rPr>
          <w:color w:val="231F20"/>
          <w:spacing w:val="-19"/>
          <w:w w:val="105"/>
          <w:sz w:val="18"/>
        </w:rPr>
        <w:t> </w:t>
      </w:r>
      <w:r>
        <w:rPr>
          <w:color w:val="231F20"/>
          <w:w w:val="105"/>
          <w:sz w:val="18"/>
        </w:rPr>
        <w:t>Sus</w:t>
      </w:r>
      <w:r>
        <w:rPr>
          <w:color w:val="231F20"/>
          <w:spacing w:val="-15"/>
          <w:w w:val="105"/>
          <w:sz w:val="18"/>
        </w:rPr>
        <w:t> </w:t>
      </w:r>
      <w:r>
        <w:rPr>
          <w:color w:val="231F20"/>
          <w:w w:val="105"/>
          <w:sz w:val="18"/>
        </w:rPr>
        <w:t>labores</w:t>
      </w:r>
      <w:r>
        <w:rPr>
          <w:color w:val="231F20"/>
          <w:spacing w:val="-15"/>
          <w:w w:val="105"/>
          <w:sz w:val="18"/>
        </w:rPr>
        <w:t> </w:t>
      </w:r>
      <w:r>
        <w:rPr>
          <w:color w:val="231F20"/>
          <w:w w:val="105"/>
          <w:sz w:val="18"/>
        </w:rPr>
        <w:t>se</w:t>
      </w:r>
      <w:r>
        <w:rPr>
          <w:color w:val="231F20"/>
          <w:spacing w:val="-15"/>
          <w:w w:val="105"/>
          <w:sz w:val="18"/>
        </w:rPr>
        <w:t> </w:t>
      </w:r>
      <w:r>
        <w:rPr>
          <w:color w:val="231F20"/>
          <w:w w:val="105"/>
          <w:sz w:val="18"/>
        </w:rPr>
        <w:t>realizan</w:t>
      </w:r>
      <w:r>
        <w:rPr>
          <w:color w:val="231F20"/>
          <w:spacing w:val="-15"/>
          <w:w w:val="105"/>
          <w:sz w:val="18"/>
        </w:rPr>
        <w:t> </w:t>
      </w:r>
      <w:r>
        <w:rPr>
          <w:color w:val="231F20"/>
          <w:w w:val="105"/>
          <w:sz w:val="18"/>
        </w:rPr>
        <w:t>a</w:t>
      </w:r>
      <w:r>
        <w:rPr>
          <w:color w:val="231F20"/>
          <w:spacing w:val="-15"/>
          <w:w w:val="105"/>
          <w:sz w:val="18"/>
        </w:rPr>
        <w:t> </w:t>
      </w:r>
      <w:r>
        <w:rPr>
          <w:color w:val="231F20"/>
          <w:w w:val="105"/>
          <w:sz w:val="18"/>
        </w:rPr>
        <w:t>lo</w:t>
      </w:r>
      <w:r>
        <w:rPr>
          <w:color w:val="231F20"/>
          <w:spacing w:val="-15"/>
          <w:w w:val="105"/>
          <w:sz w:val="18"/>
        </w:rPr>
        <w:t> </w:t>
      </w:r>
      <w:r>
        <w:rPr>
          <w:color w:val="231F20"/>
          <w:w w:val="105"/>
          <w:sz w:val="18"/>
        </w:rPr>
        <w:t>largo</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República</w:t>
      </w:r>
      <w:r>
        <w:rPr>
          <w:color w:val="231F20"/>
          <w:spacing w:val="-15"/>
          <w:w w:val="105"/>
          <w:sz w:val="18"/>
        </w:rPr>
        <w:t> </w:t>
      </w:r>
      <w:r>
        <w:rPr>
          <w:color w:val="231F20"/>
          <w:w w:val="105"/>
          <w:sz w:val="18"/>
        </w:rPr>
        <w:t>Mexica- na,</w:t>
      </w:r>
      <w:r>
        <w:rPr>
          <w:color w:val="231F20"/>
          <w:spacing w:val="-24"/>
          <w:w w:val="105"/>
          <w:sz w:val="18"/>
        </w:rPr>
        <w:t> </w:t>
      </w:r>
      <w:r>
        <w:rPr>
          <w:color w:val="231F20"/>
          <w:w w:val="105"/>
          <w:sz w:val="18"/>
        </w:rPr>
        <w:t>de</w:t>
      </w:r>
      <w:r>
        <w:rPr>
          <w:color w:val="231F20"/>
          <w:spacing w:val="-19"/>
          <w:w w:val="105"/>
          <w:sz w:val="18"/>
        </w:rPr>
        <w:t> </w:t>
      </w:r>
      <w:r>
        <w:rPr>
          <w:color w:val="231F20"/>
          <w:w w:val="105"/>
          <w:sz w:val="18"/>
        </w:rPr>
        <w:t>sur</w:t>
      </w:r>
      <w:r>
        <w:rPr>
          <w:color w:val="231F20"/>
          <w:spacing w:val="-19"/>
          <w:w w:val="105"/>
          <w:sz w:val="18"/>
        </w:rPr>
        <w:t> </w:t>
      </w:r>
      <w:r>
        <w:rPr>
          <w:color w:val="231F20"/>
          <w:w w:val="105"/>
          <w:sz w:val="18"/>
        </w:rPr>
        <w:t>a</w:t>
      </w:r>
      <w:r>
        <w:rPr>
          <w:color w:val="231F20"/>
          <w:spacing w:val="-19"/>
          <w:w w:val="105"/>
          <w:sz w:val="18"/>
        </w:rPr>
        <w:t> </w:t>
      </w:r>
      <w:r>
        <w:rPr>
          <w:color w:val="231F20"/>
          <w:w w:val="105"/>
          <w:sz w:val="18"/>
        </w:rPr>
        <w:t>norte,</w:t>
      </w:r>
      <w:r>
        <w:rPr>
          <w:color w:val="231F20"/>
          <w:spacing w:val="-24"/>
          <w:w w:val="105"/>
          <w:sz w:val="18"/>
        </w:rPr>
        <w:t> </w:t>
      </w:r>
      <w:r>
        <w:rPr>
          <w:color w:val="231F20"/>
          <w:w w:val="105"/>
          <w:sz w:val="18"/>
        </w:rPr>
        <w:t>atendiendo</w:t>
      </w:r>
      <w:r>
        <w:rPr>
          <w:color w:val="231F20"/>
          <w:spacing w:val="-19"/>
          <w:w w:val="105"/>
          <w:sz w:val="18"/>
        </w:rPr>
        <w:t> </w:t>
      </w:r>
      <w:r>
        <w:rPr>
          <w:color w:val="231F20"/>
          <w:w w:val="105"/>
          <w:sz w:val="18"/>
        </w:rPr>
        <w:t>migrantes</w:t>
      </w:r>
      <w:r>
        <w:rPr>
          <w:color w:val="231F20"/>
          <w:spacing w:val="-19"/>
          <w:w w:val="105"/>
          <w:sz w:val="18"/>
        </w:rPr>
        <w:t> </w:t>
      </w:r>
      <w:r>
        <w:rPr>
          <w:color w:val="231F20"/>
          <w:w w:val="105"/>
          <w:sz w:val="18"/>
        </w:rPr>
        <w:t>mexicanos</w:t>
      </w:r>
      <w:r>
        <w:rPr>
          <w:color w:val="231F20"/>
          <w:spacing w:val="-19"/>
          <w:w w:val="105"/>
          <w:sz w:val="18"/>
        </w:rPr>
        <w:t> </w:t>
      </w:r>
      <w:r>
        <w:rPr>
          <w:color w:val="231F20"/>
          <w:w w:val="105"/>
          <w:sz w:val="18"/>
        </w:rPr>
        <w:t>y</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otras</w:t>
      </w:r>
      <w:r>
        <w:rPr>
          <w:color w:val="231F20"/>
          <w:spacing w:val="-19"/>
          <w:w w:val="105"/>
          <w:sz w:val="18"/>
        </w:rPr>
        <w:t> </w:t>
      </w:r>
      <w:r>
        <w:rPr>
          <w:color w:val="231F20"/>
          <w:w w:val="105"/>
          <w:sz w:val="18"/>
        </w:rPr>
        <w:t>naciona- lidades</w:t>
      </w:r>
      <w:r>
        <w:rPr>
          <w:color w:val="231F20"/>
          <w:spacing w:val="-15"/>
          <w:w w:val="105"/>
          <w:sz w:val="18"/>
        </w:rPr>
        <w:t> </w:t>
      </w:r>
      <w:r>
        <w:rPr>
          <w:color w:val="231F20"/>
          <w:w w:val="105"/>
          <w:sz w:val="18"/>
        </w:rPr>
        <w:t>en</w:t>
      </w:r>
      <w:r>
        <w:rPr>
          <w:color w:val="231F20"/>
          <w:spacing w:val="-15"/>
          <w:w w:val="105"/>
          <w:sz w:val="18"/>
        </w:rPr>
        <w:t> </w:t>
      </w:r>
      <w:r>
        <w:rPr>
          <w:color w:val="231F20"/>
          <w:w w:val="105"/>
          <w:sz w:val="18"/>
        </w:rPr>
        <w:t>tránsito</w:t>
      </w:r>
      <w:r>
        <w:rPr>
          <w:color w:val="231F20"/>
          <w:spacing w:val="-15"/>
          <w:w w:val="105"/>
          <w:sz w:val="18"/>
        </w:rPr>
        <w:t> </w:t>
      </w:r>
      <w:r>
        <w:rPr>
          <w:color w:val="231F20"/>
          <w:w w:val="105"/>
          <w:sz w:val="18"/>
        </w:rPr>
        <w:t>por</w:t>
      </w:r>
      <w:r>
        <w:rPr>
          <w:color w:val="231F20"/>
          <w:spacing w:val="-15"/>
          <w:w w:val="105"/>
          <w:sz w:val="18"/>
        </w:rPr>
        <w:t> </w:t>
      </w:r>
      <w:r>
        <w:rPr>
          <w:color w:val="231F20"/>
          <w:w w:val="105"/>
          <w:sz w:val="18"/>
        </w:rPr>
        <w:t>México</w:t>
      </w:r>
      <w:r>
        <w:rPr>
          <w:color w:val="231F20"/>
          <w:spacing w:val="-15"/>
          <w:w w:val="105"/>
          <w:sz w:val="18"/>
        </w:rPr>
        <w:t> </w:t>
      </w:r>
      <w:r>
        <w:rPr>
          <w:color w:val="231F20"/>
          <w:w w:val="105"/>
          <w:sz w:val="18"/>
        </w:rPr>
        <w:t>(Lothar</w:t>
      </w:r>
      <w:r>
        <w:rPr>
          <w:color w:val="231F20"/>
          <w:spacing w:val="-15"/>
          <w:w w:val="105"/>
          <w:sz w:val="18"/>
        </w:rPr>
        <w:t> </w:t>
      </w:r>
      <w:r>
        <w:rPr>
          <w:color w:val="231F20"/>
          <w:w w:val="105"/>
          <w:sz w:val="18"/>
        </w:rPr>
        <w:t>y</w:t>
      </w:r>
      <w:r>
        <w:rPr>
          <w:color w:val="231F20"/>
          <w:spacing w:val="-15"/>
          <w:w w:val="105"/>
          <w:sz w:val="18"/>
        </w:rPr>
        <w:t> </w:t>
      </w:r>
      <w:r>
        <w:rPr>
          <w:color w:val="231F20"/>
          <w:w w:val="105"/>
          <w:sz w:val="18"/>
        </w:rPr>
        <w:t>López,</w:t>
      </w:r>
      <w:r>
        <w:rPr>
          <w:color w:val="231F20"/>
          <w:spacing w:val="-20"/>
          <w:w w:val="105"/>
          <w:sz w:val="18"/>
        </w:rPr>
        <w:t> </w:t>
      </w:r>
      <w:r>
        <w:rPr>
          <w:color w:val="231F20"/>
          <w:w w:val="105"/>
          <w:sz w:val="18"/>
        </w:rPr>
        <w:t>2011:</w:t>
      </w:r>
      <w:r>
        <w:rPr>
          <w:color w:val="231F20"/>
          <w:spacing w:val="-15"/>
          <w:w w:val="105"/>
          <w:sz w:val="18"/>
        </w:rPr>
        <w:t> </w:t>
      </w:r>
      <w:r>
        <w:rPr>
          <w:color w:val="231F20"/>
          <w:w w:val="105"/>
          <w:sz w:val="18"/>
        </w:rPr>
        <w:t>19).</w:t>
      </w:r>
    </w:p>
    <w:p>
      <w:pPr>
        <w:pStyle w:val="BodyText"/>
        <w:spacing w:before="5"/>
      </w:pPr>
    </w:p>
    <w:p>
      <w:pPr>
        <w:pStyle w:val="BodyText"/>
        <w:spacing w:line="261" w:lineRule="auto"/>
        <w:ind w:left="1837" w:right="1721"/>
        <w:jc w:val="both"/>
      </w:pPr>
      <w:r>
        <w:rPr/>
        <w:pict>
          <v:line style="position:absolute;mso-position-horizontal-relative:page;mso-position-vertical-relative:paragraph;z-index:-486520" from="15pt,195.324387pt" to="0pt,195.324387pt" stroked="true" strokeweight=".25pt" strokecolor="#000000">
            <w10:wrap type="none"/>
          </v:line>
        </w:pict>
      </w:r>
      <w:r>
        <w:rPr/>
        <w:pict>
          <v:line style="position:absolute;mso-position-horizontal-relative:page;mso-position-vertical-relative:paragraph;z-index:3688" from="508.890015pt,195.324387pt" to="523.890015pt,195.324387pt" stroked="true" strokeweight=".25pt" strokecolor="#000000">
            <w10:wrap type="none"/>
          </v:line>
        </w:pict>
      </w:r>
      <w:r>
        <w:rPr>
          <w:color w:val="231F20"/>
          <w:w w:val="105"/>
        </w:rPr>
        <w:t>Sin </w:t>
      </w:r>
      <w:r>
        <w:rPr>
          <w:color w:val="231F20"/>
          <w:spacing w:val="-3"/>
          <w:w w:val="105"/>
        </w:rPr>
        <w:t>embargo, </w:t>
      </w:r>
      <w:r>
        <w:rPr>
          <w:color w:val="231F20"/>
          <w:spacing w:val="-4"/>
          <w:w w:val="105"/>
        </w:rPr>
        <w:t>“el </w:t>
      </w:r>
      <w:r>
        <w:rPr>
          <w:color w:val="231F20"/>
          <w:w w:val="105"/>
        </w:rPr>
        <w:t>éxito de estos </w:t>
      </w:r>
      <w:r>
        <w:rPr>
          <w:color w:val="231F20"/>
          <w:spacing w:val="-3"/>
          <w:w w:val="105"/>
        </w:rPr>
        <w:t>programas </w:t>
      </w:r>
      <w:r>
        <w:rPr>
          <w:color w:val="231F20"/>
          <w:w w:val="105"/>
        </w:rPr>
        <w:t>continuará dependiendo, en gran</w:t>
      </w:r>
      <w:r>
        <w:rPr>
          <w:color w:val="231F20"/>
          <w:spacing w:val="-14"/>
          <w:w w:val="105"/>
        </w:rPr>
        <w:t> </w:t>
      </w:r>
      <w:r>
        <w:rPr>
          <w:color w:val="231F20"/>
          <w:w w:val="105"/>
        </w:rPr>
        <w:t>medida,</w:t>
      </w:r>
      <w:r>
        <w:rPr>
          <w:color w:val="231F20"/>
          <w:spacing w:val="-19"/>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formación</w:t>
      </w:r>
      <w:r>
        <w:rPr>
          <w:color w:val="231F20"/>
          <w:spacing w:val="-14"/>
          <w:w w:val="105"/>
        </w:rPr>
        <w:t> </w:t>
      </w:r>
      <w:r>
        <w:rPr>
          <w:color w:val="231F20"/>
          <w:w w:val="105"/>
        </w:rPr>
        <w:t>y</w:t>
      </w:r>
      <w:r>
        <w:rPr>
          <w:color w:val="231F20"/>
          <w:spacing w:val="-14"/>
          <w:w w:val="105"/>
        </w:rPr>
        <w:t> </w:t>
      </w:r>
      <w:r>
        <w:rPr>
          <w:color w:val="231F20"/>
          <w:w w:val="105"/>
        </w:rPr>
        <w:t>mantenimiento</w:t>
      </w:r>
      <w:r>
        <w:rPr>
          <w:color w:val="231F20"/>
          <w:spacing w:val="-14"/>
          <w:w w:val="105"/>
        </w:rPr>
        <w:t> </w:t>
      </w:r>
      <w:r>
        <w:rPr>
          <w:color w:val="231F20"/>
          <w:w w:val="105"/>
        </w:rPr>
        <w:t>de</w:t>
      </w:r>
      <w:r>
        <w:rPr>
          <w:color w:val="231F20"/>
          <w:spacing w:val="-14"/>
          <w:w w:val="105"/>
        </w:rPr>
        <w:t> </w:t>
      </w:r>
      <w:r>
        <w:rPr>
          <w:color w:val="231F20"/>
          <w:spacing w:val="-3"/>
          <w:w w:val="105"/>
        </w:rPr>
        <w:t>procesos</w:t>
      </w:r>
      <w:r>
        <w:rPr>
          <w:color w:val="231F20"/>
          <w:spacing w:val="-14"/>
          <w:w w:val="105"/>
        </w:rPr>
        <w:t> </w:t>
      </w:r>
      <w:r>
        <w:rPr>
          <w:color w:val="231F20"/>
          <w:w w:val="105"/>
        </w:rPr>
        <w:t>de</w:t>
      </w:r>
      <w:r>
        <w:rPr>
          <w:color w:val="231F20"/>
          <w:spacing w:val="-14"/>
          <w:w w:val="105"/>
        </w:rPr>
        <w:t> </w:t>
      </w:r>
      <w:r>
        <w:rPr>
          <w:color w:val="231F20"/>
          <w:spacing w:val="-3"/>
          <w:w w:val="105"/>
        </w:rPr>
        <w:t>coordina- </w:t>
      </w:r>
      <w:r>
        <w:rPr>
          <w:color w:val="231F20"/>
          <w:w w:val="105"/>
        </w:rPr>
        <w:t>ción</w:t>
      </w:r>
      <w:r>
        <w:rPr>
          <w:color w:val="231F20"/>
          <w:spacing w:val="-10"/>
          <w:w w:val="105"/>
        </w:rPr>
        <w:t> </w:t>
      </w:r>
      <w:r>
        <w:rPr>
          <w:color w:val="231F20"/>
          <w:w w:val="105"/>
        </w:rPr>
        <w:t>y</w:t>
      </w:r>
      <w:r>
        <w:rPr>
          <w:color w:val="231F20"/>
          <w:spacing w:val="-10"/>
          <w:w w:val="105"/>
        </w:rPr>
        <w:t> </w:t>
      </w:r>
      <w:r>
        <w:rPr>
          <w:color w:val="231F20"/>
          <w:spacing w:val="-2"/>
          <w:w w:val="105"/>
        </w:rPr>
        <w:t>colaboración</w:t>
      </w:r>
      <w:r>
        <w:rPr>
          <w:color w:val="231F20"/>
          <w:spacing w:val="-10"/>
          <w:w w:val="105"/>
        </w:rPr>
        <w:t> </w:t>
      </w:r>
      <w:r>
        <w:rPr>
          <w:color w:val="231F20"/>
          <w:w w:val="105"/>
        </w:rPr>
        <w:t>intersectorial</w:t>
      </w:r>
      <w:r>
        <w:rPr>
          <w:color w:val="231F20"/>
          <w:spacing w:val="-10"/>
          <w:w w:val="105"/>
        </w:rPr>
        <w:t> </w:t>
      </w:r>
      <w:r>
        <w:rPr>
          <w:color w:val="231F20"/>
          <w:w w:val="105"/>
        </w:rPr>
        <w:t>e</w:t>
      </w:r>
      <w:r>
        <w:rPr>
          <w:color w:val="231F20"/>
          <w:spacing w:val="-10"/>
          <w:w w:val="105"/>
        </w:rPr>
        <w:t> </w:t>
      </w:r>
      <w:r>
        <w:rPr>
          <w:color w:val="231F20"/>
          <w:w w:val="105"/>
        </w:rPr>
        <w:t>interagencial”</w:t>
      </w:r>
      <w:r>
        <w:rPr>
          <w:color w:val="231F20"/>
          <w:spacing w:val="-10"/>
          <w:w w:val="105"/>
        </w:rPr>
        <w:t> </w:t>
      </w:r>
      <w:r>
        <w:rPr>
          <w:color w:val="231F20"/>
          <w:spacing w:val="-3"/>
          <w:w w:val="105"/>
        </w:rPr>
        <w:t>(Lothar</w:t>
      </w:r>
      <w:r>
        <w:rPr>
          <w:color w:val="231F20"/>
          <w:spacing w:val="-10"/>
          <w:w w:val="105"/>
        </w:rPr>
        <w:t> </w:t>
      </w:r>
      <w:r>
        <w:rPr>
          <w:color w:val="231F20"/>
          <w:w w:val="105"/>
        </w:rPr>
        <w:t>y</w:t>
      </w:r>
      <w:r>
        <w:rPr>
          <w:color w:val="231F20"/>
          <w:spacing w:val="-10"/>
          <w:w w:val="105"/>
        </w:rPr>
        <w:t> </w:t>
      </w:r>
      <w:r>
        <w:rPr>
          <w:color w:val="231F20"/>
          <w:spacing w:val="-3"/>
          <w:w w:val="105"/>
        </w:rPr>
        <w:t>López,</w:t>
      </w:r>
      <w:r>
        <w:rPr>
          <w:color w:val="231F20"/>
          <w:spacing w:val="-14"/>
          <w:w w:val="105"/>
        </w:rPr>
        <w:t> </w:t>
      </w:r>
      <w:r>
        <w:rPr>
          <w:color w:val="231F20"/>
          <w:w w:val="105"/>
        </w:rPr>
        <w:t>2011: 20),</w:t>
      </w:r>
      <w:r>
        <w:rPr>
          <w:color w:val="231F20"/>
          <w:spacing w:val="-32"/>
          <w:w w:val="105"/>
        </w:rPr>
        <w:t> </w:t>
      </w:r>
      <w:r>
        <w:rPr>
          <w:color w:val="231F20"/>
          <w:w w:val="105"/>
        </w:rPr>
        <w:t>pues</w:t>
      </w:r>
      <w:r>
        <w:rPr>
          <w:color w:val="231F20"/>
          <w:spacing w:val="-27"/>
          <w:w w:val="105"/>
        </w:rPr>
        <w:t> </w:t>
      </w:r>
      <w:r>
        <w:rPr>
          <w:color w:val="231F20"/>
          <w:w w:val="105"/>
        </w:rPr>
        <w:t>de</w:t>
      </w:r>
      <w:r>
        <w:rPr>
          <w:color w:val="231F20"/>
          <w:spacing w:val="-27"/>
          <w:w w:val="105"/>
        </w:rPr>
        <w:t> </w:t>
      </w:r>
      <w:r>
        <w:rPr>
          <w:color w:val="231F20"/>
          <w:w w:val="105"/>
        </w:rPr>
        <w:t>ellos</w:t>
      </w:r>
      <w:r>
        <w:rPr>
          <w:color w:val="231F20"/>
          <w:spacing w:val="-27"/>
          <w:w w:val="105"/>
        </w:rPr>
        <w:t> </w:t>
      </w:r>
      <w:r>
        <w:rPr>
          <w:color w:val="231F20"/>
          <w:w w:val="105"/>
        </w:rPr>
        <w:t>deriva</w:t>
      </w:r>
      <w:r>
        <w:rPr>
          <w:color w:val="231F20"/>
          <w:spacing w:val="-27"/>
          <w:w w:val="105"/>
        </w:rPr>
        <w:t> </w:t>
      </w:r>
      <w:r>
        <w:rPr>
          <w:color w:val="231F20"/>
          <w:w w:val="105"/>
        </w:rPr>
        <w:t>la</w:t>
      </w:r>
      <w:r>
        <w:rPr>
          <w:color w:val="231F20"/>
          <w:spacing w:val="-27"/>
          <w:w w:val="105"/>
        </w:rPr>
        <w:t> </w:t>
      </w:r>
      <w:r>
        <w:rPr>
          <w:color w:val="231F20"/>
          <w:w w:val="105"/>
        </w:rPr>
        <w:t>posibilidad</w:t>
      </w:r>
      <w:r>
        <w:rPr>
          <w:color w:val="231F20"/>
          <w:spacing w:val="-27"/>
          <w:w w:val="105"/>
        </w:rPr>
        <w:t> </w:t>
      </w:r>
      <w:r>
        <w:rPr>
          <w:color w:val="231F20"/>
          <w:w w:val="105"/>
        </w:rPr>
        <w:t>de</w:t>
      </w:r>
      <w:r>
        <w:rPr>
          <w:color w:val="231F20"/>
          <w:spacing w:val="-27"/>
          <w:w w:val="105"/>
        </w:rPr>
        <w:t> </w:t>
      </w:r>
      <w:r>
        <w:rPr>
          <w:color w:val="231F20"/>
          <w:w w:val="105"/>
        </w:rPr>
        <w:t>intervenir</w:t>
      </w:r>
      <w:r>
        <w:rPr>
          <w:color w:val="231F20"/>
          <w:spacing w:val="-27"/>
          <w:w w:val="105"/>
        </w:rPr>
        <w:t> </w:t>
      </w:r>
      <w:r>
        <w:rPr>
          <w:color w:val="231F20"/>
          <w:w w:val="105"/>
        </w:rPr>
        <w:t>de</w:t>
      </w:r>
      <w:r>
        <w:rPr>
          <w:color w:val="231F20"/>
          <w:spacing w:val="-27"/>
          <w:w w:val="105"/>
        </w:rPr>
        <w:t> </w:t>
      </w:r>
      <w:r>
        <w:rPr>
          <w:color w:val="231F20"/>
          <w:spacing w:val="-2"/>
          <w:w w:val="105"/>
        </w:rPr>
        <w:t>manera</w:t>
      </w:r>
      <w:r>
        <w:rPr>
          <w:color w:val="231F20"/>
          <w:spacing w:val="-27"/>
          <w:w w:val="105"/>
        </w:rPr>
        <w:t> </w:t>
      </w:r>
      <w:r>
        <w:rPr>
          <w:color w:val="231F20"/>
          <w:w w:val="105"/>
        </w:rPr>
        <w:t>integral</w:t>
      </w:r>
      <w:r>
        <w:rPr>
          <w:color w:val="231F20"/>
          <w:spacing w:val="-27"/>
          <w:w w:val="105"/>
        </w:rPr>
        <w:t> </w:t>
      </w:r>
      <w:r>
        <w:rPr>
          <w:color w:val="231F20"/>
          <w:w w:val="105"/>
        </w:rPr>
        <w:t>en el fenómeno </w:t>
      </w:r>
      <w:r>
        <w:rPr>
          <w:color w:val="231F20"/>
          <w:spacing w:val="-3"/>
          <w:w w:val="105"/>
        </w:rPr>
        <w:t>migratorio, </w:t>
      </w:r>
      <w:r>
        <w:rPr>
          <w:color w:val="231F20"/>
          <w:w w:val="105"/>
        </w:rPr>
        <w:t>así como </w:t>
      </w:r>
      <w:r>
        <w:rPr>
          <w:color w:val="231F20"/>
          <w:spacing w:val="-3"/>
          <w:w w:val="105"/>
        </w:rPr>
        <w:t>recuperar </w:t>
      </w:r>
      <w:r>
        <w:rPr>
          <w:color w:val="231F20"/>
          <w:w w:val="105"/>
        </w:rPr>
        <w:t>el sentido de la política pú- blica,</w:t>
      </w:r>
      <w:r>
        <w:rPr>
          <w:color w:val="231F20"/>
          <w:spacing w:val="-22"/>
          <w:w w:val="105"/>
        </w:rPr>
        <w:t> </w:t>
      </w:r>
      <w:r>
        <w:rPr>
          <w:color w:val="231F20"/>
          <w:w w:val="105"/>
        </w:rPr>
        <w:t>con</w:t>
      </w:r>
      <w:r>
        <w:rPr>
          <w:color w:val="231F20"/>
          <w:spacing w:val="-17"/>
          <w:w w:val="105"/>
        </w:rPr>
        <w:t> </w:t>
      </w:r>
      <w:r>
        <w:rPr>
          <w:color w:val="231F20"/>
          <w:w w:val="105"/>
        </w:rPr>
        <w:t>medidas</w:t>
      </w:r>
      <w:r>
        <w:rPr>
          <w:color w:val="231F20"/>
          <w:spacing w:val="-17"/>
          <w:w w:val="105"/>
        </w:rPr>
        <w:t> </w:t>
      </w:r>
      <w:r>
        <w:rPr>
          <w:color w:val="231F20"/>
          <w:w w:val="105"/>
        </w:rPr>
        <w:t>de</w:t>
      </w:r>
      <w:r>
        <w:rPr>
          <w:color w:val="231F20"/>
          <w:spacing w:val="-17"/>
          <w:w w:val="105"/>
        </w:rPr>
        <w:t> </w:t>
      </w:r>
      <w:r>
        <w:rPr>
          <w:color w:val="231F20"/>
          <w:spacing w:val="-2"/>
          <w:w w:val="105"/>
        </w:rPr>
        <w:t>articulación</w:t>
      </w:r>
      <w:r>
        <w:rPr>
          <w:color w:val="231F20"/>
          <w:spacing w:val="-17"/>
          <w:w w:val="105"/>
        </w:rPr>
        <w:t> </w:t>
      </w:r>
      <w:r>
        <w:rPr>
          <w:color w:val="231F20"/>
          <w:w w:val="105"/>
        </w:rPr>
        <w:t>y</w:t>
      </w:r>
      <w:r>
        <w:rPr>
          <w:color w:val="231F20"/>
          <w:spacing w:val="-17"/>
          <w:w w:val="105"/>
        </w:rPr>
        <w:t> </w:t>
      </w:r>
      <w:r>
        <w:rPr>
          <w:color w:val="231F20"/>
          <w:spacing w:val="-3"/>
          <w:w w:val="105"/>
        </w:rPr>
        <w:t>concurrencia,</w:t>
      </w:r>
      <w:r>
        <w:rPr>
          <w:color w:val="231F20"/>
          <w:spacing w:val="-22"/>
          <w:w w:val="105"/>
        </w:rPr>
        <w:t> </w:t>
      </w:r>
      <w:r>
        <w:rPr>
          <w:color w:val="231F20"/>
          <w:w w:val="105"/>
        </w:rPr>
        <w:t>para</w:t>
      </w:r>
      <w:r>
        <w:rPr>
          <w:color w:val="231F20"/>
          <w:spacing w:val="-17"/>
          <w:w w:val="105"/>
        </w:rPr>
        <w:t> </w:t>
      </w:r>
      <w:r>
        <w:rPr>
          <w:color w:val="231F20"/>
          <w:w w:val="105"/>
        </w:rPr>
        <w:t>una</w:t>
      </w:r>
      <w:r>
        <w:rPr>
          <w:color w:val="231F20"/>
          <w:spacing w:val="-17"/>
          <w:w w:val="105"/>
        </w:rPr>
        <w:t> </w:t>
      </w:r>
      <w:r>
        <w:rPr>
          <w:color w:val="231F20"/>
          <w:w w:val="105"/>
        </w:rPr>
        <w:t>mejor</w:t>
      </w:r>
      <w:r>
        <w:rPr>
          <w:color w:val="231F20"/>
          <w:spacing w:val="-17"/>
          <w:w w:val="105"/>
        </w:rPr>
        <w:t> </w:t>
      </w:r>
      <w:r>
        <w:rPr>
          <w:color w:val="231F20"/>
          <w:spacing w:val="-3"/>
          <w:w w:val="105"/>
        </w:rPr>
        <w:t>coordi- </w:t>
      </w:r>
      <w:r>
        <w:rPr>
          <w:color w:val="231F20"/>
          <w:w w:val="105"/>
        </w:rPr>
        <w:t>nación</w:t>
      </w:r>
      <w:r>
        <w:rPr>
          <w:color w:val="231F20"/>
          <w:spacing w:val="-18"/>
          <w:w w:val="105"/>
        </w:rPr>
        <w:t> </w:t>
      </w:r>
      <w:r>
        <w:rPr>
          <w:color w:val="231F20"/>
          <w:spacing w:val="-3"/>
          <w:w w:val="105"/>
        </w:rPr>
        <w:t>intergubernamental</w:t>
      </w:r>
      <w:r>
        <w:rPr>
          <w:color w:val="231F20"/>
          <w:spacing w:val="-18"/>
          <w:w w:val="105"/>
        </w:rPr>
        <w:t> </w:t>
      </w:r>
      <w:r>
        <w:rPr>
          <w:color w:val="231F20"/>
          <w:w w:val="105"/>
        </w:rPr>
        <w:t>y</w:t>
      </w:r>
      <w:r>
        <w:rPr>
          <w:color w:val="231F20"/>
          <w:spacing w:val="-18"/>
          <w:w w:val="105"/>
        </w:rPr>
        <w:t> </w:t>
      </w:r>
      <w:r>
        <w:rPr>
          <w:color w:val="231F20"/>
          <w:w w:val="105"/>
        </w:rPr>
        <w:t>social</w:t>
      </w:r>
      <w:r>
        <w:rPr>
          <w:color w:val="231F20"/>
          <w:spacing w:val="-18"/>
          <w:w w:val="105"/>
        </w:rPr>
        <w:t> </w:t>
      </w:r>
      <w:r>
        <w:rPr>
          <w:color w:val="231F20"/>
          <w:w w:val="105"/>
        </w:rPr>
        <w:t>con</w:t>
      </w:r>
      <w:r>
        <w:rPr>
          <w:color w:val="231F20"/>
          <w:spacing w:val="-18"/>
          <w:w w:val="105"/>
        </w:rPr>
        <w:t> </w:t>
      </w:r>
      <w:r>
        <w:rPr>
          <w:color w:val="231F20"/>
          <w:w w:val="105"/>
        </w:rPr>
        <w:t>los</w:t>
      </w:r>
      <w:r>
        <w:rPr>
          <w:color w:val="231F20"/>
          <w:spacing w:val="-18"/>
          <w:w w:val="105"/>
        </w:rPr>
        <w:t> </w:t>
      </w:r>
      <w:r>
        <w:rPr>
          <w:color w:val="231F20"/>
          <w:w w:val="105"/>
        </w:rPr>
        <w:t>migrantes,</w:t>
      </w:r>
      <w:r>
        <w:rPr>
          <w:color w:val="231F20"/>
          <w:spacing w:val="-22"/>
          <w:w w:val="105"/>
        </w:rPr>
        <w:t> </w:t>
      </w:r>
      <w:r>
        <w:rPr>
          <w:color w:val="231F20"/>
          <w:w w:val="105"/>
        </w:rPr>
        <w:t>quienes</w:t>
      </w:r>
      <w:r>
        <w:rPr>
          <w:color w:val="231F20"/>
          <w:spacing w:val="-18"/>
          <w:w w:val="105"/>
        </w:rPr>
        <w:t> </w:t>
      </w:r>
      <w:r>
        <w:rPr>
          <w:color w:val="231F20"/>
          <w:w w:val="105"/>
        </w:rPr>
        <w:t>canalizan sus</w:t>
      </w:r>
      <w:r>
        <w:rPr>
          <w:color w:val="231F20"/>
          <w:spacing w:val="-25"/>
          <w:w w:val="105"/>
        </w:rPr>
        <w:t> </w:t>
      </w:r>
      <w:r>
        <w:rPr>
          <w:color w:val="231F20"/>
          <w:w w:val="105"/>
        </w:rPr>
        <w:t>demandas</w:t>
      </w:r>
      <w:r>
        <w:rPr>
          <w:color w:val="231F20"/>
          <w:spacing w:val="-25"/>
          <w:w w:val="105"/>
        </w:rPr>
        <w:t> </w:t>
      </w:r>
      <w:r>
        <w:rPr>
          <w:color w:val="231F20"/>
          <w:w w:val="105"/>
        </w:rPr>
        <w:t>por</w:t>
      </w:r>
      <w:r>
        <w:rPr>
          <w:color w:val="231F20"/>
          <w:spacing w:val="-25"/>
          <w:w w:val="105"/>
        </w:rPr>
        <w:t> </w:t>
      </w:r>
      <w:r>
        <w:rPr>
          <w:color w:val="231F20"/>
          <w:w w:val="105"/>
        </w:rPr>
        <w:t>las</w:t>
      </w:r>
      <w:r>
        <w:rPr>
          <w:color w:val="231F20"/>
          <w:spacing w:val="-25"/>
          <w:w w:val="105"/>
        </w:rPr>
        <w:t> </w:t>
      </w:r>
      <w:r>
        <w:rPr>
          <w:color w:val="231F20"/>
          <w:spacing w:val="-3"/>
          <w:w w:val="105"/>
        </w:rPr>
        <w:t>diferentes</w:t>
      </w:r>
      <w:r>
        <w:rPr>
          <w:color w:val="231F20"/>
          <w:spacing w:val="-25"/>
          <w:w w:val="105"/>
        </w:rPr>
        <w:t> </w:t>
      </w:r>
      <w:r>
        <w:rPr>
          <w:color w:val="231F20"/>
          <w:w w:val="105"/>
        </w:rPr>
        <w:t>vías</w:t>
      </w:r>
      <w:r>
        <w:rPr>
          <w:color w:val="231F20"/>
          <w:spacing w:val="-25"/>
          <w:w w:val="105"/>
        </w:rPr>
        <w:t> </w:t>
      </w:r>
      <w:r>
        <w:rPr>
          <w:color w:val="231F20"/>
          <w:w w:val="105"/>
        </w:rPr>
        <w:t>de</w:t>
      </w:r>
      <w:r>
        <w:rPr>
          <w:color w:val="231F20"/>
          <w:spacing w:val="-25"/>
          <w:w w:val="105"/>
        </w:rPr>
        <w:t> </w:t>
      </w:r>
      <w:r>
        <w:rPr>
          <w:color w:val="231F20"/>
          <w:w w:val="105"/>
        </w:rPr>
        <w:t>gestión</w:t>
      </w:r>
      <w:r>
        <w:rPr>
          <w:color w:val="231F20"/>
          <w:spacing w:val="-25"/>
          <w:w w:val="105"/>
        </w:rPr>
        <w:t> </w:t>
      </w:r>
      <w:r>
        <w:rPr>
          <w:color w:val="231F20"/>
          <w:spacing w:val="-3"/>
          <w:w w:val="105"/>
        </w:rPr>
        <w:t>provistas</w:t>
      </w:r>
      <w:r>
        <w:rPr>
          <w:color w:val="231F20"/>
          <w:spacing w:val="-25"/>
          <w:w w:val="105"/>
        </w:rPr>
        <w:t> </w:t>
      </w:r>
      <w:r>
        <w:rPr>
          <w:color w:val="231F20"/>
          <w:w w:val="105"/>
        </w:rPr>
        <w:t>por</w:t>
      </w:r>
      <w:r>
        <w:rPr>
          <w:color w:val="231F20"/>
          <w:spacing w:val="-25"/>
          <w:w w:val="105"/>
        </w:rPr>
        <w:t> </w:t>
      </w:r>
      <w:r>
        <w:rPr>
          <w:color w:val="231F20"/>
          <w:w w:val="105"/>
        </w:rPr>
        <w:t>el</w:t>
      </w:r>
      <w:r>
        <w:rPr>
          <w:color w:val="231F20"/>
          <w:spacing w:val="-25"/>
          <w:w w:val="105"/>
        </w:rPr>
        <w:t> </w:t>
      </w:r>
      <w:r>
        <w:rPr>
          <w:color w:val="231F20"/>
          <w:w w:val="105"/>
        </w:rPr>
        <w:t>Estado.</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line="266" w:lineRule="auto" w:before="176"/>
        <w:ind w:left="1723" w:right="3117"/>
        <w:jc w:val="left"/>
      </w:pPr>
      <w:r>
        <w:rPr/>
        <w:pict>
          <v:line style="position:absolute;mso-position-horizontal-relative:page;mso-position-vertical-relative:paragraph;z-index:3736" from="15pt,-62.06076pt" to="0pt,-62.06076pt" stroked="true" strokeweight=".25pt" strokecolor="#000000">
            <w10:wrap type="none"/>
          </v:line>
        </w:pict>
      </w:r>
      <w:r>
        <w:rPr/>
        <w:pict>
          <v:line style="position:absolute;mso-position-horizontal-relative:page;mso-position-vertical-relative:paragraph;z-index:3760" from="508.890015pt,-62.06076pt" to="523.890015pt,-62.06076pt" stroked="true" strokeweight=".25pt" strokecolor="#000000">
            <w10:wrap type="none"/>
          </v:line>
        </w:pict>
      </w:r>
      <w:r>
        <w:rPr>
          <w:rFonts w:ascii="Tahoma" w:hAnsi="Tahoma"/>
          <w:color w:val="231F20"/>
          <w:w w:val="95"/>
        </w:rPr>
        <w:t>Educación</w:t>
      </w:r>
      <w:r>
        <w:rPr>
          <w:rFonts w:ascii="Tahoma" w:hAnsi="Tahoma"/>
          <w:color w:val="231F20"/>
          <w:spacing w:val="-30"/>
          <w:w w:val="95"/>
        </w:rPr>
        <w:t> </w:t>
      </w:r>
      <w:r>
        <w:rPr>
          <w:rFonts w:ascii="Tahoma" w:hAnsi="Tahoma"/>
          <w:color w:val="231F20"/>
          <w:w w:val="95"/>
        </w:rPr>
        <w:t>y</w:t>
      </w:r>
      <w:r>
        <w:rPr>
          <w:rFonts w:ascii="Tahoma" w:hAnsi="Tahoma"/>
          <w:color w:val="231F20"/>
          <w:spacing w:val="-30"/>
          <w:w w:val="95"/>
        </w:rPr>
        <w:t> </w:t>
      </w:r>
      <w:r>
        <w:rPr>
          <w:rFonts w:ascii="Tahoma" w:hAnsi="Tahoma"/>
          <w:color w:val="231F20"/>
          <w:w w:val="95"/>
        </w:rPr>
        <w:t>participación:</w:t>
      </w:r>
      <w:r>
        <w:rPr>
          <w:rFonts w:ascii="Tahoma" w:hAnsi="Tahoma"/>
          <w:color w:val="231F20"/>
          <w:spacing w:val="-30"/>
          <w:w w:val="95"/>
        </w:rPr>
        <w:t> </w:t>
      </w:r>
      <w:r>
        <w:rPr>
          <w:rFonts w:ascii="Tahoma" w:hAnsi="Tahoma"/>
          <w:color w:val="231F20"/>
          <w:w w:val="95"/>
        </w:rPr>
        <w:t>Piezas</w:t>
      </w:r>
      <w:r>
        <w:rPr>
          <w:rFonts w:ascii="Tahoma" w:hAnsi="Tahoma"/>
          <w:color w:val="231F20"/>
          <w:spacing w:val="-30"/>
          <w:w w:val="95"/>
        </w:rPr>
        <w:t> </w:t>
      </w:r>
      <w:r>
        <w:rPr>
          <w:rFonts w:ascii="Tahoma" w:hAnsi="Tahoma"/>
          <w:color w:val="231F20"/>
          <w:w w:val="95"/>
        </w:rPr>
        <w:t>clave</w:t>
      </w:r>
      <w:r>
        <w:rPr>
          <w:rFonts w:ascii="Tahoma" w:hAnsi="Tahoma"/>
          <w:color w:val="231F20"/>
          <w:spacing w:val="-30"/>
          <w:w w:val="95"/>
        </w:rPr>
        <w:t> </w:t>
      </w:r>
      <w:r>
        <w:rPr>
          <w:rFonts w:ascii="Tahoma" w:hAnsi="Tahoma"/>
          <w:color w:val="231F20"/>
          <w:w w:val="95"/>
        </w:rPr>
        <w:t>en</w:t>
      </w:r>
      <w:r>
        <w:rPr>
          <w:rFonts w:ascii="Tahoma" w:hAnsi="Tahoma"/>
          <w:color w:val="231F20"/>
          <w:spacing w:val="-30"/>
          <w:w w:val="95"/>
        </w:rPr>
        <w:t> </w:t>
      </w:r>
      <w:r>
        <w:rPr>
          <w:rFonts w:ascii="Tahoma" w:hAnsi="Tahoma"/>
          <w:color w:val="231F20"/>
          <w:w w:val="95"/>
        </w:rPr>
        <w:t>la</w:t>
      </w:r>
      <w:r>
        <w:rPr>
          <w:rFonts w:ascii="Tahoma" w:hAnsi="Tahoma"/>
          <w:color w:val="231F20"/>
          <w:spacing w:val="-30"/>
          <w:w w:val="95"/>
        </w:rPr>
        <w:t> </w:t>
      </w:r>
      <w:r>
        <w:rPr>
          <w:rFonts w:ascii="Tahoma" w:hAnsi="Tahoma"/>
          <w:color w:val="231F20"/>
          <w:w w:val="95"/>
        </w:rPr>
        <w:t>afirmación </w:t>
      </w:r>
      <w:r>
        <w:rPr>
          <w:color w:val="231F20"/>
        </w:rPr>
        <w:t>de</w:t>
      </w:r>
      <w:r>
        <w:rPr>
          <w:color w:val="231F20"/>
          <w:spacing w:val="-42"/>
        </w:rPr>
        <w:t> </w:t>
      </w:r>
      <w:r>
        <w:rPr>
          <w:color w:val="231F20"/>
        </w:rPr>
        <w:t>los</w:t>
      </w:r>
      <w:r>
        <w:rPr>
          <w:color w:val="231F20"/>
          <w:spacing w:val="-42"/>
        </w:rPr>
        <w:t> </w:t>
      </w:r>
      <w:r>
        <w:rPr>
          <w:color w:val="231F20"/>
        </w:rPr>
        <w:t>derechos</w:t>
      </w:r>
      <w:r>
        <w:rPr>
          <w:color w:val="231F20"/>
          <w:spacing w:val="-42"/>
        </w:rPr>
        <w:t> </w:t>
      </w:r>
      <w:r>
        <w:rPr>
          <w:color w:val="231F20"/>
        </w:rPr>
        <w:t>humanos</w:t>
      </w:r>
    </w:p>
    <w:p>
      <w:pPr>
        <w:pStyle w:val="BodyText"/>
        <w:rPr>
          <w:rFonts w:ascii="Arial"/>
          <w:b/>
          <w:sz w:val="22"/>
        </w:rPr>
      </w:pPr>
    </w:p>
    <w:p>
      <w:pPr>
        <w:spacing w:before="133"/>
        <w:ind w:left="1723" w:right="0" w:firstLine="0"/>
        <w:jc w:val="both"/>
        <w:rPr>
          <w:rFonts w:ascii="Arial" w:hAnsi="Arial"/>
          <w:i/>
          <w:sz w:val="21"/>
        </w:rPr>
      </w:pPr>
      <w:r>
        <w:rPr>
          <w:rFonts w:ascii="Arial" w:hAnsi="Arial"/>
          <w:i/>
          <w:color w:val="231F20"/>
          <w:w w:val="105"/>
          <w:sz w:val="21"/>
        </w:rPr>
        <w:t>Educación en la migración</w:t>
      </w:r>
    </w:p>
    <w:p>
      <w:pPr>
        <w:pStyle w:val="BodyText"/>
        <w:spacing w:before="5"/>
        <w:rPr>
          <w:rFonts w:ascii="Arial"/>
          <w:i/>
          <w:sz w:val="24"/>
        </w:rPr>
      </w:pPr>
    </w:p>
    <w:p>
      <w:pPr>
        <w:pStyle w:val="BodyText"/>
        <w:spacing w:line="261" w:lineRule="auto" w:before="1"/>
        <w:ind w:left="1723" w:right="1834"/>
        <w:jc w:val="both"/>
      </w:pPr>
      <w:r>
        <w:rPr>
          <w:color w:val="231F20"/>
          <w:w w:val="105"/>
        </w:rPr>
        <w:t>El</w:t>
      </w:r>
      <w:r>
        <w:rPr>
          <w:color w:val="231F20"/>
          <w:spacing w:val="-12"/>
          <w:w w:val="105"/>
        </w:rPr>
        <w:t> </w:t>
      </w:r>
      <w:r>
        <w:rPr>
          <w:color w:val="231F20"/>
          <w:w w:val="105"/>
        </w:rPr>
        <w:t>derecho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educación</w:t>
      </w:r>
      <w:r>
        <w:rPr>
          <w:color w:val="231F20"/>
          <w:spacing w:val="-12"/>
          <w:w w:val="105"/>
        </w:rPr>
        <w:t> </w:t>
      </w:r>
      <w:r>
        <w:rPr>
          <w:color w:val="231F20"/>
          <w:w w:val="105"/>
        </w:rPr>
        <w:t>esta</w:t>
      </w:r>
      <w:r>
        <w:rPr>
          <w:color w:val="231F20"/>
          <w:spacing w:val="-12"/>
          <w:w w:val="105"/>
        </w:rPr>
        <w:t> </w:t>
      </w:r>
      <w:r>
        <w:rPr>
          <w:color w:val="231F20"/>
          <w:w w:val="105"/>
        </w:rPr>
        <w:t>consagrado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artículo</w:t>
      </w:r>
      <w:r>
        <w:rPr>
          <w:color w:val="231F20"/>
          <w:spacing w:val="-12"/>
          <w:w w:val="105"/>
        </w:rPr>
        <w:t> </w:t>
      </w:r>
      <w:r>
        <w:rPr>
          <w:color w:val="231F20"/>
          <w:w w:val="105"/>
        </w:rPr>
        <w:t>26</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Decla- ración</w:t>
      </w:r>
      <w:r>
        <w:rPr>
          <w:color w:val="231F20"/>
          <w:spacing w:val="-15"/>
          <w:w w:val="105"/>
        </w:rPr>
        <w:t> </w:t>
      </w:r>
      <w:r>
        <w:rPr>
          <w:color w:val="231F20"/>
          <w:w w:val="105"/>
        </w:rPr>
        <w:t>Universal</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Derechos</w:t>
      </w:r>
      <w:r>
        <w:rPr>
          <w:color w:val="231F20"/>
          <w:spacing w:val="-15"/>
          <w:w w:val="105"/>
        </w:rPr>
        <w:t> </w:t>
      </w:r>
      <w:r>
        <w:rPr>
          <w:color w:val="231F20"/>
          <w:w w:val="105"/>
        </w:rPr>
        <w:t>Humanos</w:t>
      </w:r>
      <w:r>
        <w:rPr>
          <w:color w:val="231F20"/>
          <w:spacing w:val="-15"/>
          <w:w w:val="105"/>
        </w:rPr>
        <w:t> </w:t>
      </w:r>
      <w:r>
        <w:rPr>
          <w:color w:val="231F20"/>
          <w:w w:val="105"/>
        </w:rPr>
        <w:t>(</w:t>
      </w:r>
      <w:r>
        <w:rPr>
          <w:color w:val="231F20"/>
          <w:w w:val="105"/>
          <w:sz w:val="17"/>
        </w:rPr>
        <w:t>DUDH</w:t>
      </w:r>
      <w:r>
        <w:rPr>
          <w:color w:val="231F20"/>
          <w:w w:val="105"/>
        </w:rPr>
        <w:t>),</w:t>
      </w:r>
      <w:r>
        <w:rPr>
          <w:color w:val="231F20"/>
          <w:spacing w:val="-19"/>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en</w:t>
      </w:r>
      <w:r>
        <w:rPr>
          <w:color w:val="231F20"/>
          <w:spacing w:val="-15"/>
          <w:w w:val="105"/>
        </w:rPr>
        <w:t> </w:t>
      </w:r>
      <w:r>
        <w:rPr>
          <w:color w:val="231F20"/>
          <w:w w:val="105"/>
        </w:rPr>
        <w:t>diferen- tes convenios internacionales como el </w:t>
      </w:r>
      <w:r>
        <w:rPr>
          <w:color w:val="231F20"/>
          <w:spacing w:val="-3"/>
          <w:w w:val="105"/>
        </w:rPr>
        <w:t>Pacto </w:t>
      </w:r>
      <w:r>
        <w:rPr>
          <w:color w:val="231F20"/>
          <w:w w:val="105"/>
        </w:rPr>
        <w:t>Internacional de</w:t>
      </w:r>
      <w:r>
        <w:rPr>
          <w:color w:val="231F20"/>
          <w:spacing w:val="-41"/>
          <w:w w:val="105"/>
        </w:rPr>
        <w:t> </w:t>
      </w:r>
      <w:r>
        <w:rPr>
          <w:color w:val="231F20"/>
          <w:w w:val="105"/>
        </w:rPr>
        <w:t>Derechos Económicos,</w:t>
      </w:r>
      <w:r>
        <w:rPr>
          <w:color w:val="231F20"/>
          <w:spacing w:val="-36"/>
          <w:w w:val="105"/>
        </w:rPr>
        <w:t> </w:t>
      </w:r>
      <w:r>
        <w:rPr>
          <w:color w:val="231F20"/>
          <w:w w:val="105"/>
        </w:rPr>
        <w:t>Sociales</w:t>
      </w:r>
      <w:r>
        <w:rPr>
          <w:color w:val="231F20"/>
          <w:spacing w:val="-33"/>
          <w:w w:val="105"/>
        </w:rPr>
        <w:t> </w:t>
      </w:r>
      <w:r>
        <w:rPr>
          <w:color w:val="231F20"/>
          <w:w w:val="105"/>
        </w:rPr>
        <w:t>y</w:t>
      </w:r>
      <w:r>
        <w:rPr>
          <w:color w:val="231F20"/>
          <w:spacing w:val="-33"/>
          <w:w w:val="105"/>
        </w:rPr>
        <w:t> </w:t>
      </w:r>
      <w:r>
        <w:rPr>
          <w:color w:val="231F20"/>
          <w:w w:val="105"/>
        </w:rPr>
        <w:t>Culturales</w:t>
      </w:r>
      <w:r>
        <w:rPr>
          <w:color w:val="231F20"/>
          <w:spacing w:val="-33"/>
          <w:w w:val="105"/>
        </w:rPr>
        <w:t> </w:t>
      </w:r>
      <w:r>
        <w:rPr>
          <w:color w:val="231F20"/>
          <w:w w:val="105"/>
        </w:rPr>
        <w:t>(Presidencia</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República,</w:t>
      </w:r>
      <w:r>
        <w:rPr>
          <w:color w:val="231F20"/>
          <w:spacing w:val="-36"/>
          <w:w w:val="105"/>
        </w:rPr>
        <w:t> </w:t>
      </w:r>
      <w:r>
        <w:rPr>
          <w:color w:val="231F20"/>
          <w:w w:val="105"/>
        </w:rPr>
        <w:t>1966),</w:t>
      </w:r>
      <w:r>
        <w:rPr>
          <w:color w:val="231F20"/>
          <w:spacing w:val="-36"/>
          <w:w w:val="105"/>
        </w:rPr>
        <w:t> </w:t>
      </w:r>
      <w:r>
        <w:rPr>
          <w:color w:val="231F20"/>
          <w:w w:val="105"/>
        </w:rPr>
        <w:t>la Convención</w:t>
      </w:r>
      <w:r>
        <w:rPr>
          <w:color w:val="231F20"/>
          <w:spacing w:val="-18"/>
          <w:w w:val="105"/>
        </w:rPr>
        <w:t> </w:t>
      </w:r>
      <w:r>
        <w:rPr>
          <w:color w:val="231F20"/>
          <w:w w:val="105"/>
        </w:rPr>
        <w:t>sobre</w:t>
      </w:r>
      <w:r>
        <w:rPr>
          <w:color w:val="231F20"/>
          <w:spacing w:val="-18"/>
          <w:w w:val="105"/>
        </w:rPr>
        <w:t> </w:t>
      </w:r>
      <w:r>
        <w:rPr>
          <w:color w:val="231F20"/>
          <w:w w:val="105"/>
        </w:rPr>
        <w:t>los</w:t>
      </w:r>
      <w:r>
        <w:rPr>
          <w:color w:val="231F20"/>
          <w:spacing w:val="-18"/>
          <w:w w:val="105"/>
        </w:rPr>
        <w:t> </w:t>
      </w:r>
      <w:r>
        <w:rPr>
          <w:color w:val="231F20"/>
          <w:w w:val="105"/>
        </w:rPr>
        <w:t>Derechos</w:t>
      </w:r>
      <w:r>
        <w:rPr>
          <w:color w:val="231F20"/>
          <w:spacing w:val="-18"/>
          <w:w w:val="105"/>
        </w:rPr>
        <w:t> </w:t>
      </w:r>
      <w:r>
        <w:rPr>
          <w:color w:val="231F20"/>
          <w:w w:val="105"/>
        </w:rPr>
        <w:t>del</w:t>
      </w:r>
      <w:r>
        <w:rPr>
          <w:color w:val="231F20"/>
          <w:spacing w:val="-18"/>
          <w:w w:val="105"/>
        </w:rPr>
        <w:t> </w:t>
      </w:r>
      <w:r>
        <w:rPr>
          <w:color w:val="231F20"/>
          <w:w w:val="105"/>
        </w:rPr>
        <w:t>Niño</w:t>
      </w:r>
      <w:r>
        <w:rPr>
          <w:color w:val="231F20"/>
          <w:spacing w:val="-18"/>
          <w:w w:val="105"/>
        </w:rPr>
        <w:t> </w:t>
      </w:r>
      <w:r>
        <w:rPr>
          <w:color w:val="231F20"/>
          <w:w w:val="105"/>
        </w:rPr>
        <w:t>(</w:t>
      </w:r>
      <w:r>
        <w:rPr>
          <w:color w:val="231F20"/>
          <w:w w:val="105"/>
          <w:sz w:val="17"/>
        </w:rPr>
        <w:t>UNICEF</w:t>
      </w:r>
      <w:r>
        <w:rPr>
          <w:color w:val="231F20"/>
          <w:w w:val="105"/>
        </w:rPr>
        <w:t>,</w:t>
      </w:r>
      <w:r>
        <w:rPr>
          <w:color w:val="231F20"/>
          <w:spacing w:val="-23"/>
          <w:w w:val="105"/>
        </w:rPr>
        <w:t> </w:t>
      </w:r>
      <w:r>
        <w:rPr>
          <w:color w:val="231F20"/>
          <w:w w:val="105"/>
        </w:rPr>
        <w:t>2006)</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Convención Internacional</w:t>
      </w:r>
      <w:r>
        <w:rPr>
          <w:color w:val="231F20"/>
          <w:spacing w:val="-9"/>
          <w:w w:val="105"/>
        </w:rPr>
        <w:t> </w:t>
      </w:r>
      <w:r>
        <w:rPr>
          <w:color w:val="231F20"/>
          <w:w w:val="105"/>
        </w:rPr>
        <w:t>sobre</w:t>
      </w:r>
      <w:r>
        <w:rPr>
          <w:color w:val="231F20"/>
          <w:spacing w:val="-9"/>
          <w:w w:val="105"/>
        </w:rPr>
        <w:t> </w:t>
      </w:r>
      <w:r>
        <w:rPr>
          <w:color w:val="231F20"/>
          <w:w w:val="105"/>
        </w:rPr>
        <w:t>la</w:t>
      </w:r>
      <w:r>
        <w:rPr>
          <w:color w:val="231F20"/>
          <w:spacing w:val="-9"/>
          <w:w w:val="105"/>
        </w:rPr>
        <w:t> </w:t>
      </w:r>
      <w:r>
        <w:rPr>
          <w:color w:val="231F20"/>
          <w:w w:val="105"/>
        </w:rPr>
        <w:t>Protección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Derechos</w:t>
      </w:r>
      <w:r>
        <w:rPr>
          <w:color w:val="231F20"/>
          <w:spacing w:val="-9"/>
          <w:w w:val="105"/>
        </w:rPr>
        <w:t> </w:t>
      </w:r>
      <w:r>
        <w:rPr>
          <w:color w:val="231F20"/>
          <w:w w:val="105"/>
        </w:rPr>
        <w:t>de</w:t>
      </w:r>
      <w:r>
        <w:rPr>
          <w:color w:val="231F20"/>
          <w:spacing w:val="-13"/>
          <w:w w:val="105"/>
        </w:rPr>
        <w:t> </w:t>
      </w:r>
      <w:r>
        <w:rPr>
          <w:color w:val="231F20"/>
          <w:spacing w:val="-5"/>
          <w:w w:val="105"/>
        </w:rPr>
        <w:t>Todos</w:t>
      </w:r>
      <w:r>
        <w:rPr>
          <w:color w:val="231F20"/>
          <w:spacing w:val="-9"/>
          <w:w w:val="105"/>
        </w:rPr>
        <w:t> </w:t>
      </w:r>
      <w:r>
        <w:rPr>
          <w:color w:val="231F20"/>
          <w:w w:val="105"/>
        </w:rPr>
        <w:t>los</w:t>
      </w:r>
      <w:r>
        <w:rPr>
          <w:color w:val="231F20"/>
          <w:spacing w:val="-13"/>
          <w:w w:val="105"/>
        </w:rPr>
        <w:t> </w:t>
      </w:r>
      <w:r>
        <w:rPr>
          <w:color w:val="231F20"/>
          <w:spacing w:val="-3"/>
          <w:w w:val="105"/>
        </w:rPr>
        <w:t>Trabaja- </w:t>
      </w:r>
      <w:r>
        <w:rPr>
          <w:color w:val="231F20"/>
          <w:w w:val="105"/>
        </w:rPr>
        <w:t>dores</w:t>
      </w:r>
      <w:r>
        <w:rPr>
          <w:color w:val="231F20"/>
          <w:spacing w:val="-27"/>
          <w:w w:val="105"/>
        </w:rPr>
        <w:t> </w:t>
      </w:r>
      <w:r>
        <w:rPr>
          <w:color w:val="231F20"/>
          <w:w w:val="105"/>
        </w:rPr>
        <w:t>Migratorios</w:t>
      </w:r>
      <w:r>
        <w:rPr>
          <w:color w:val="231F20"/>
          <w:spacing w:val="-27"/>
          <w:w w:val="105"/>
        </w:rPr>
        <w:t> </w:t>
      </w:r>
      <w:r>
        <w:rPr>
          <w:color w:val="231F20"/>
          <w:w w:val="105"/>
        </w:rPr>
        <w:t>y</w:t>
      </w:r>
      <w:r>
        <w:rPr>
          <w:color w:val="231F20"/>
          <w:spacing w:val="-27"/>
          <w:w w:val="105"/>
        </w:rPr>
        <w:t> </w:t>
      </w:r>
      <w:r>
        <w:rPr>
          <w:color w:val="231F20"/>
          <w:w w:val="105"/>
        </w:rPr>
        <w:t>de</w:t>
      </w:r>
      <w:r>
        <w:rPr>
          <w:color w:val="231F20"/>
          <w:spacing w:val="-27"/>
          <w:w w:val="105"/>
        </w:rPr>
        <w:t> </w:t>
      </w:r>
      <w:r>
        <w:rPr>
          <w:color w:val="231F20"/>
          <w:w w:val="105"/>
        </w:rPr>
        <w:t>sus</w:t>
      </w:r>
      <w:r>
        <w:rPr>
          <w:color w:val="231F20"/>
          <w:spacing w:val="-27"/>
          <w:w w:val="105"/>
        </w:rPr>
        <w:t> </w:t>
      </w:r>
      <w:r>
        <w:rPr>
          <w:color w:val="231F20"/>
          <w:w w:val="105"/>
        </w:rPr>
        <w:t>Familiares</w:t>
      </w:r>
      <w:r>
        <w:rPr>
          <w:color w:val="231F20"/>
          <w:spacing w:val="-27"/>
          <w:w w:val="105"/>
        </w:rPr>
        <w:t> </w:t>
      </w:r>
      <w:r>
        <w:rPr>
          <w:color w:val="231F20"/>
          <w:w w:val="105"/>
        </w:rPr>
        <w:t>(</w:t>
      </w:r>
      <w:r>
        <w:rPr>
          <w:color w:val="231F20"/>
          <w:w w:val="105"/>
          <w:sz w:val="17"/>
        </w:rPr>
        <w:t>ONU</w:t>
      </w:r>
      <w:r>
        <w:rPr>
          <w:color w:val="231F20"/>
          <w:w w:val="105"/>
        </w:rPr>
        <w:t>,</w:t>
      </w:r>
      <w:r>
        <w:rPr>
          <w:color w:val="231F20"/>
          <w:spacing w:val="-31"/>
          <w:w w:val="105"/>
        </w:rPr>
        <w:t> </w:t>
      </w:r>
      <w:r>
        <w:rPr>
          <w:color w:val="231F20"/>
          <w:w w:val="105"/>
        </w:rPr>
        <w:t>1990).</w:t>
      </w:r>
    </w:p>
    <w:p>
      <w:pPr>
        <w:pStyle w:val="BodyText"/>
        <w:spacing w:line="261" w:lineRule="auto" w:before="1"/>
        <w:ind w:left="1723" w:right="1835" w:firstLine="567"/>
        <w:jc w:val="both"/>
      </w:pPr>
      <w:r>
        <w:rPr>
          <w:color w:val="231F20"/>
          <w:spacing w:val="-6"/>
          <w:w w:val="105"/>
        </w:rPr>
        <w:t>Pese</w:t>
      </w:r>
      <w:r>
        <w:rPr>
          <w:color w:val="231F20"/>
          <w:spacing w:val="-8"/>
          <w:w w:val="105"/>
        </w:rPr>
        <w:t> </w:t>
      </w:r>
      <w:r>
        <w:rPr>
          <w:color w:val="231F20"/>
          <w:w w:val="105"/>
        </w:rPr>
        <w:t>al</w:t>
      </w:r>
      <w:r>
        <w:rPr>
          <w:color w:val="231F20"/>
          <w:spacing w:val="-8"/>
          <w:w w:val="105"/>
        </w:rPr>
        <w:t> </w:t>
      </w:r>
      <w:r>
        <w:rPr>
          <w:color w:val="231F20"/>
          <w:spacing w:val="-3"/>
          <w:w w:val="105"/>
        </w:rPr>
        <w:t>reconocimiento</w:t>
      </w:r>
      <w:r>
        <w:rPr>
          <w:color w:val="231F20"/>
          <w:spacing w:val="-8"/>
          <w:w w:val="105"/>
        </w:rPr>
        <w:t> </w:t>
      </w:r>
      <w:r>
        <w:rPr>
          <w:color w:val="231F20"/>
          <w:w w:val="105"/>
        </w:rPr>
        <w:t>de</w:t>
      </w:r>
      <w:r>
        <w:rPr>
          <w:color w:val="231F20"/>
          <w:spacing w:val="-8"/>
          <w:w w:val="105"/>
        </w:rPr>
        <w:t> </w:t>
      </w:r>
      <w:r>
        <w:rPr>
          <w:color w:val="231F20"/>
          <w:spacing w:val="-3"/>
          <w:w w:val="105"/>
        </w:rPr>
        <w:t>este</w:t>
      </w:r>
      <w:r>
        <w:rPr>
          <w:color w:val="231F20"/>
          <w:spacing w:val="-8"/>
          <w:w w:val="105"/>
        </w:rPr>
        <w:t> </w:t>
      </w:r>
      <w:r>
        <w:rPr>
          <w:color w:val="231F20"/>
          <w:spacing w:val="-4"/>
          <w:w w:val="105"/>
        </w:rPr>
        <w:t>derecho,</w:t>
      </w:r>
      <w:r>
        <w:rPr>
          <w:color w:val="231F20"/>
          <w:spacing w:val="-13"/>
          <w:w w:val="105"/>
        </w:rPr>
        <w:t> </w:t>
      </w:r>
      <w:r>
        <w:rPr>
          <w:color w:val="231F20"/>
          <w:w w:val="105"/>
        </w:rPr>
        <w:t>el</w:t>
      </w:r>
      <w:r>
        <w:rPr>
          <w:color w:val="231F20"/>
          <w:spacing w:val="-8"/>
          <w:w w:val="105"/>
        </w:rPr>
        <w:t> </w:t>
      </w:r>
      <w:r>
        <w:rPr>
          <w:color w:val="231F20"/>
          <w:spacing w:val="-3"/>
          <w:w w:val="105"/>
        </w:rPr>
        <w:t>movimiento</w:t>
      </w:r>
      <w:r>
        <w:rPr>
          <w:color w:val="231F20"/>
          <w:spacing w:val="-8"/>
          <w:w w:val="105"/>
        </w:rPr>
        <w:t> </w:t>
      </w:r>
      <w:r>
        <w:rPr>
          <w:color w:val="231F20"/>
          <w:w w:val="105"/>
        </w:rPr>
        <w:t>a</w:t>
      </w:r>
      <w:r>
        <w:rPr>
          <w:color w:val="231F20"/>
          <w:spacing w:val="-8"/>
          <w:w w:val="105"/>
        </w:rPr>
        <w:t> </w:t>
      </w:r>
      <w:r>
        <w:rPr>
          <w:color w:val="231F20"/>
          <w:spacing w:val="-3"/>
          <w:w w:val="105"/>
        </w:rPr>
        <w:t>través</w:t>
      </w:r>
      <w:r>
        <w:rPr>
          <w:color w:val="231F20"/>
          <w:spacing w:val="-8"/>
          <w:w w:val="105"/>
        </w:rPr>
        <w:t> </w:t>
      </w:r>
      <w:r>
        <w:rPr>
          <w:color w:val="231F20"/>
          <w:spacing w:val="-3"/>
          <w:w w:val="105"/>
        </w:rPr>
        <w:t>de </w:t>
      </w:r>
      <w:r>
        <w:rPr>
          <w:color w:val="231F20"/>
          <w:w w:val="105"/>
        </w:rPr>
        <w:t>las</w:t>
      </w:r>
      <w:r>
        <w:rPr>
          <w:color w:val="231F20"/>
          <w:spacing w:val="-17"/>
          <w:w w:val="105"/>
        </w:rPr>
        <w:t> </w:t>
      </w:r>
      <w:r>
        <w:rPr>
          <w:color w:val="231F20"/>
          <w:spacing w:val="-4"/>
          <w:w w:val="105"/>
        </w:rPr>
        <w:t>fronteras</w:t>
      </w:r>
      <w:r>
        <w:rPr>
          <w:color w:val="231F20"/>
          <w:spacing w:val="-17"/>
          <w:w w:val="105"/>
        </w:rPr>
        <w:t> </w:t>
      </w:r>
      <w:r>
        <w:rPr>
          <w:color w:val="231F20"/>
          <w:spacing w:val="-3"/>
          <w:w w:val="105"/>
        </w:rPr>
        <w:t>nacionales</w:t>
      </w:r>
      <w:r>
        <w:rPr>
          <w:color w:val="231F20"/>
          <w:spacing w:val="-17"/>
          <w:w w:val="105"/>
        </w:rPr>
        <w:t> </w:t>
      </w:r>
      <w:r>
        <w:rPr>
          <w:color w:val="231F20"/>
          <w:w w:val="105"/>
        </w:rPr>
        <w:t>es</w:t>
      </w:r>
      <w:r>
        <w:rPr>
          <w:color w:val="231F20"/>
          <w:spacing w:val="-17"/>
          <w:w w:val="105"/>
        </w:rPr>
        <w:t> </w:t>
      </w:r>
      <w:r>
        <w:rPr>
          <w:color w:val="231F20"/>
          <w:w w:val="105"/>
        </w:rPr>
        <w:t>uno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spacing w:val="-3"/>
          <w:w w:val="105"/>
        </w:rPr>
        <w:t>muchos</w:t>
      </w:r>
      <w:r>
        <w:rPr>
          <w:color w:val="231F20"/>
          <w:spacing w:val="-17"/>
          <w:w w:val="105"/>
        </w:rPr>
        <w:t> </w:t>
      </w:r>
      <w:r>
        <w:rPr>
          <w:color w:val="231F20"/>
          <w:spacing w:val="-3"/>
          <w:w w:val="105"/>
        </w:rPr>
        <w:t>factores</w:t>
      </w:r>
      <w:r>
        <w:rPr>
          <w:color w:val="231F20"/>
          <w:spacing w:val="-17"/>
          <w:w w:val="105"/>
        </w:rPr>
        <w:t> </w:t>
      </w:r>
      <w:r>
        <w:rPr>
          <w:color w:val="231F20"/>
          <w:w w:val="105"/>
        </w:rPr>
        <w:t>que</w:t>
      </w:r>
      <w:r>
        <w:rPr>
          <w:color w:val="231F20"/>
          <w:spacing w:val="-17"/>
          <w:w w:val="105"/>
        </w:rPr>
        <w:t> </w:t>
      </w:r>
      <w:r>
        <w:rPr>
          <w:color w:val="231F20"/>
          <w:spacing w:val="-3"/>
          <w:w w:val="105"/>
        </w:rPr>
        <w:t>limitan</w:t>
      </w:r>
      <w:r>
        <w:rPr>
          <w:color w:val="231F20"/>
          <w:spacing w:val="-17"/>
          <w:w w:val="105"/>
        </w:rPr>
        <w:t> </w:t>
      </w:r>
      <w:r>
        <w:rPr>
          <w:color w:val="231F20"/>
          <w:w w:val="105"/>
        </w:rPr>
        <w:t>el</w:t>
      </w:r>
      <w:r>
        <w:rPr>
          <w:color w:val="231F20"/>
          <w:spacing w:val="-17"/>
          <w:w w:val="105"/>
        </w:rPr>
        <w:t> </w:t>
      </w:r>
      <w:r>
        <w:rPr>
          <w:color w:val="231F20"/>
          <w:spacing w:val="-4"/>
          <w:w w:val="105"/>
        </w:rPr>
        <w:t>ejer- </w:t>
      </w:r>
      <w:r>
        <w:rPr>
          <w:color w:val="231F20"/>
          <w:spacing w:val="-3"/>
          <w:w w:val="105"/>
        </w:rPr>
        <w:t>cicio</w:t>
      </w:r>
      <w:r>
        <w:rPr>
          <w:color w:val="231F20"/>
          <w:spacing w:val="-10"/>
          <w:w w:val="105"/>
        </w:rPr>
        <w:t> </w:t>
      </w:r>
      <w:r>
        <w:rPr>
          <w:color w:val="231F20"/>
          <w:w w:val="105"/>
        </w:rPr>
        <w:t>de</w:t>
      </w:r>
      <w:r>
        <w:rPr>
          <w:color w:val="231F20"/>
          <w:spacing w:val="-10"/>
          <w:w w:val="105"/>
        </w:rPr>
        <w:t> </w:t>
      </w:r>
      <w:r>
        <w:rPr>
          <w:color w:val="231F20"/>
          <w:spacing w:val="-3"/>
          <w:w w:val="105"/>
        </w:rPr>
        <w:t>este</w:t>
      </w:r>
      <w:r>
        <w:rPr>
          <w:color w:val="231F20"/>
          <w:spacing w:val="-10"/>
          <w:w w:val="105"/>
        </w:rPr>
        <w:t> </w:t>
      </w:r>
      <w:r>
        <w:rPr>
          <w:color w:val="231F20"/>
          <w:spacing w:val="-3"/>
          <w:w w:val="105"/>
        </w:rPr>
        <w:t>derecho</w:t>
      </w:r>
      <w:r>
        <w:rPr>
          <w:color w:val="231F20"/>
          <w:spacing w:val="-10"/>
          <w:w w:val="105"/>
        </w:rPr>
        <w:t> </w:t>
      </w:r>
      <w:r>
        <w:rPr>
          <w:color w:val="231F20"/>
          <w:spacing w:val="-3"/>
          <w:w w:val="105"/>
        </w:rPr>
        <w:t>humano</w:t>
      </w:r>
      <w:r>
        <w:rPr>
          <w:color w:val="231F20"/>
          <w:spacing w:val="-10"/>
          <w:w w:val="105"/>
        </w:rPr>
        <w:t> </w:t>
      </w:r>
      <w:r>
        <w:rPr>
          <w:color w:val="231F20"/>
          <w:spacing w:val="-3"/>
          <w:w w:val="105"/>
        </w:rPr>
        <w:t>entre</w:t>
      </w:r>
      <w:r>
        <w:rPr>
          <w:color w:val="231F20"/>
          <w:spacing w:val="-10"/>
          <w:w w:val="105"/>
        </w:rPr>
        <w:t> </w:t>
      </w:r>
      <w:r>
        <w:rPr>
          <w:color w:val="231F20"/>
          <w:w w:val="105"/>
        </w:rPr>
        <w:t>la</w:t>
      </w:r>
      <w:r>
        <w:rPr>
          <w:color w:val="231F20"/>
          <w:spacing w:val="-10"/>
          <w:w w:val="105"/>
        </w:rPr>
        <w:t> </w:t>
      </w:r>
      <w:r>
        <w:rPr>
          <w:color w:val="231F20"/>
          <w:spacing w:val="-3"/>
          <w:w w:val="105"/>
        </w:rPr>
        <w:t>población</w:t>
      </w:r>
      <w:r>
        <w:rPr>
          <w:color w:val="231F20"/>
          <w:spacing w:val="-10"/>
          <w:w w:val="105"/>
        </w:rPr>
        <w:t> </w:t>
      </w:r>
      <w:r>
        <w:rPr>
          <w:color w:val="231F20"/>
          <w:spacing w:val="-3"/>
          <w:w w:val="105"/>
        </w:rPr>
        <w:t>migrante.</w:t>
      </w:r>
      <w:r>
        <w:rPr>
          <w:color w:val="231F20"/>
          <w:spacing w:val="-16"/>
          <w:w w:val="105"/>
        </w:rPr>
        <w:t> </w:t>
      </w:r>
      <w:r>
        <w:rPr>
          <w:color w:val="231F20"/>
          <w:spacing w:val="-7"/>
          <w:w w:val="105"/>
        </w:rPr>
        <w:t>Por</w:t>
      </w:r>
      <w:r>
        <w:rPr>
          <w:color w:val="231F20"/>
          <w:spacing w:val="-10"/>
          <w:w w:val="105"/>
        </w:rPr>
        <w:t> </w:t>
      </w:r>
      <w:r>
        <w:rPr>
          <w:color w:val="231F20"/>
          <w:w w:val="105"/>
        </w:rPr>
        <w:t>lo</w:t>
      </w:r>
      <w:r>
        <w:rPr>
          <w:color w:val="231F20"/>
          <w:spacing w:val="-10"/>
          <w:w w:val="105"/>
        </w:rPr>
        <w:t> </w:t>
      </w:r>
      <w:r>
        <w:rPr>
          <w:color w:val="231F20"/>
          <w:spacing w:val="-3"/>
          <w:w w:val="105"/>
        </w:rPr>
        <w:t>cual,</w:t>
      </w:r>
      <w:r>
        <w:rPr>
          <w:color w:val="231F20"/>
          <w:spacing w:val="-16"/>
          <w:w w:val="105"/>
        </w:rPr>
        <w:t> </w:t>
      </w:r>
      <w:r>
        <w:rPr>
          <w:color w:val="231F20"/>
          <w:spacing w:val="-3"/>
          <w:w w:val="105"/>
        </w:rPr>
        <w:t>en </w:t>
      </w:r>
      <w:r>
        <w:rPr>
          <w:color w:val="231F20"/>
          <w:w w:val="105"/>
        </w:rPr>
        <w:t>la </w:t>
      </w:r>
      <w:r>
        <w:rPr>
          <w:color w:val="231F20"/>
          <w:spacing w:val="-3"/>
          <w:w w:val="105"/>
        </w:rPr>
        <w:t>búsqueda </w:t>
      </w:r>
      <w:r>
        <w:rPr>
          <w:color w:val="231F20"/>
          <w:w w:val="105"/>
        </w:rPr>
        <w:t>de los </w:t>
      </w:r>
      <w:r>
        <w:rPr>
          <w:color w:val="231F20"/>
          <w:spacing w:val="-3"/>
          <w:w w:val="105"/>
        </w:rPr>
        <w:t>Estados </w:t>
      </w:r>
      <w:r>
        <w:rPr>
          <w:color w:val="231F20"/>
          <w:w w:val="105"/>
        </w:rPr>
        <w:t>por </w:t>
      </w:r>
      <w:r>
        <w:rPr>
          <w:color w:val="231F20"/>
          <w:spacing w:val="-3"/>
          <w:w w:val="105"/>
        </w:rPr>
        <w:t>garantizarlo debe considerarse </w:t>
      </w:r>
      <w:r>
        <w:rPr>
          <w:color w:val="231F20"/>
          <w:w w:val="105"/>
        </w:rPr>
        <w:t>que </w:t>
      </w:r>
      <w:r>
        <w:rPr>
          <w:color w:val="231F20"/>
          <w:spacing w:val="-3"/>
          <w:w w:val="105"/>
        </w:rPr>
        <w:t>las poblaciones migrantes tienen derecho </w:t>
      </w:r>
      <w:r>
        <w:rPr>
          <w:color w:val="231F20"/>
          <w:w w:val="105"/>
        </w:rPr>
        <w:t>a </w:t>
      </w:r>
      <w:r>
        <w:rPr>
          <w:color w:val="231F20"/>
          <w:spacing w:val="-3"/>
          <w:w w:val="105"/>
        </w:rPr>
        <w:t>recibir </w:t>
      </w:r>
      <w:r>
        <w:rPr>
          <w:color w:val="231F20"/>
          <w:w w:val="105"/>
        </w:rPr>
        <w:t>un </w:t>
      </w:r>
      <w:r>
        <w:rPr>
          <w:color w:val="231F20"/>
          <w:spacing w:val="-3"/>
          <w:w w:val="105"/>
        </w:rPr>
        <w:t>tipo </w:t>
      </w:r>
      <w:r>
        <w:rPr>
          <w:color w:val="231F20"/>
          <w:w w:val="105"/>
        </w:rPr>
        <w:t>de </w:t>
      </w:r>
      <w:r>
        <w:rPr>
          <w:color w:val="231F20"/>
          <w:spacing w:val="-3"/>
          <w:w w:val="105"/>
        </w:rPr>
        <w:t>educación que </w:t>
      </w:r>
      <w:r>
        <w:rPr>
          <w:color w:val="231F20"/>
          <w:w w:val="105"/>
        </w:rPr>
        <w:t>les</w:t>
      </w:r>
      <w:r>
        <w:rPr>
          <w:color w:val="231F20"/>
          <w:spacing w:val="-9"/>
          <w:w w:val="105"/>
        </w:rPr>
        <w:t> </w:t>
      </w:r>
      <w:r>
        <w:rPr>
          <w:color w:val="231F20"/>
          <w:spacing w:val="-3"/>
          <w:w w:val="105"/>
        </w:rPr>
        <w:t>permita</w:t>
      </w:r>
      <w:r>
        <w:rPr>
          <w:color w:val="231F20"/>
          <w:spacing w:val="-9"/>
          <w:w w:val="105"/>
        </w:rPr>
        <w:t> </w:t>
      </w:r>
      <w:r>
        <w:rPr>
          <w:color w:val="231F20"/>
          <w:spacing w:val="-3"/>
          <w:w w:val="105"/>
        </w:rPr>
        <w:t>desarrollar</w:t>
      </w:r>
      <w:r>
        <w:rPr>
          <w:color w:val="231F20"/>
          <w:spacing w:val="-9"/>
          <w:w w:val="105"/>
        </w:rPr>
        <w:t> </w:t>
      </w:r>
      <w:r>
        <w:rPr>
          <w:color w:val="231F20"/>
          <w:w w:val="105"/>
        </w:rPr>
        <w:t>sus</w:t>
      </w:r>
      <w:r>
        <w:rPr>
          <w:color w:val="231F20"/>
          <w:spacing w:val="-9"/>
          <w:w w:val="105"/>
        </w:rPr>
        <w:t> </w:t>
      </w:r>
      <w:r>
        <w:rPr>
          <w:color w:val="231F20"/>
          <w:spacing w:val="-3"/>
          <w:w w:val="105"/>
        </w:rPr>
        <w:t>capacidades</w:t>
      </w:r>
      <w:r>
        <w:rPr>
          <w:color w:val="231F20"/>
          <w:spacing w:val="-9"/>
          <w:w w:val="105"/>
        </w:rPr>
        <w:t> </w:t>
      </w:r>
      <w:r>
        <w:rPr>
          <w:color w:val="231F20"/>
          <w:spacing w:val="-3"/>
          <w:w w:val="105"/>
        </w:rPr>
        <w:t>individuales,</w:t>
      </w:r>
      <w:r>
        <w:rPr>
          <w:color w:val="231F20"/>
          <w:spacing w:val="-14"/>
          <w:w w:val="105"/>
        </w:rPr>
        <w:t> </w:t>
      </w:r>
      <w:r>
        <w:rPr>
          <w:color w:val="231F20"/>
          <w:w w:val="105"/>
        </w:rPr>
        <w:t>así</w:t>
      </w:r>
      <w:r>
        <w:rPr>
          <w:color w:val="231F20"/>
          <w:spacing w:val="-9"/>
          <w:w w:val="105"/>
        </w:rPr>
        <w:t> </w:t>
      </w:r>
      <w:r>
        <w:rPr>
          <w:color w:val="231F20"/>
          <w:spacing w:val="-3"/>
          <w:w w:val="105"/>
        </w:rPr>
        <w:t>como</w:t>
      </w:r>
      <w:r>
        <w:rPr>
          <w:color w:val="231F20"/>
          <w:spacing w:val="-9"/>
          <w:w w:val="105"/>
        </w:rPr>
        <w:t> </w:t>
      </w:r>
      <w:r>
        <w:rPr>
          <w:color w:val="231F20"/>
          <w:spacing w:val="-3"/>
          <w:w w:val="105"/>
        </w:rPr>
        <w:t>disfrutar</w:t>
      </w:r>
      <w:r>
        <w:rPr>
          <w:color w:val="231F20"/>
          <w:spacing w:val="-9"/>
          <w:w w:val="105"/>
        </w:rPr>
        <w:t> </w:t>
      </w:r>
      <w:r>
        <w:rPr>
          <w:color w:val="231F20"/>
          <w:w w:val="105"/>
        </w:rPr>
        <w:t>y </w:t>
      </w:r>
      <w:r>
        <w:rPr>
          <w:color w:val="231F20"/>
          <w:spacing w:val="-3"/>
          <w:w w:val="105"/>
        </w:rPr>
        <w:t>compartir</w:t>
      </w:r>
      <w:r>
        <w:rPr>
          <w:color w:val="231F20"/>
          <w:spacing w:val="-24"/>
          <w:w w:val="105"/>
        </w:rPr>
        <w:t> </w:t>
      </w:r>
      <w:r>
        <w:rPr>
          <w:color w:val="231F20"/>
          <w:w w:val="105"/>
        </w:rPr>
        <w:t>las</w:t>
      </w:r>
      <w:r>
        <w:rPr>
          <w:color w:val="231F20"/>
          <w:spacing w:val="-24"/>
          <w:w w:val="105"/>
        </w:rPr>
        <w:t> </w:t>
      </w:r>
      <w:r>
        <w:rPr>
          <w:color w:val="231F20"/>
          <w:spacing w:val="-3"/>
          <w:w w:val="105"/>
        </w:rPr>
        <w:t>normas</w:t>
      </w:r>
      <w:r>
        <w:rPr>
          <w:color w:val="231F20"/>
          <w:spacing w:val="-24"/>
          <w:w w:val="105"/>
        </w:rPr>
        <w:t> </w:t>
      </w:r>
      <w:r>
        <w:rPr>
          <w:color w:val="231F20"/>
          <w:spacing w:val="-3"/>
          <w:w w:val="105"/>
        </w:rPr>
        <w:t>comunes</w:t>
      </w:r>
      <w:r>
        <w:rPr>
          <w:color w:val="231F20"/>
          <w:spacing w:val="-24"/>
          <w:w w:val="105"/>
        </w:rPr>
        <w:t> </w:t>
      </w:r>
      <w:r>
        <w:rPr>
          <w:color w:val="231F20"/>
          <w:w w:val="105"/>
        </w:rPr>
        <w:t>de</w:t>
      </w:r>
      <w:r>
        <w:rPr>
          <w:color w:val="231F20"/>
          <w:spacing w:val="-24"/>
          <w:w w:val="105"/>
        </w:rPr>
        <w:t> </w:t>
      </w:r>
      <w:r>
        <w:rPr>
          <w:color w:val="231F20"/>
          <w:spacing w:val="-3"/>
          <w:w w:val="105"/>
        </w:rPr>
        <w:t>respeto</w:t>
      </w:r>
      <w:r>
        <w:rPr>
          <w:color w:val="231F20"/>
          <w:spacing w:val="-24"/>
          <w:w w:val="105"/>
        </w:rPr>
        <w:t> </w:t>
      </w:r>
      <w:r>
        <w:rPr>
          <w:color w:val="231F20"/>
          <w:w w:val="105"/>
        </w:rPr>
        <w:t>y</w:t>
      </w:r>
      <w:r>
        <w:rPr>
          <w:color w:val="231F20"/>
          <w:spacing w:val="-24"/>
          <w:w w:val="105"/>
        </w:rPr>
        <w:t> </w:t>
      </w:r>
      <w:r>
        <w:rPr>
          <w:color w:val="231F20"/>
          <w:spacing w:val="-3"/>
          <w:w w:val="105"/>
        </w:rPr>
        <w:t>justicia</w:t>
      </w:r>
      <w:r>
        <w:rPr>
          <w:color w:val="231F20"/>
          <w:spacing w:val="-24"/>
          <w:w w:val="105"/>
        </w:rPr>
        <w:t> </w:t>
      </w:r>
      <w:r>
        <w:rPr>
          <w:color w:val="231F20"/>
          <w:spacing w:val="-3"/>
          <w:w w:val="105"/>
        </w:rPr>
        <w:t>social</w:t>
      </w:r>
      <w:r>
        <w:rPr>
          <w:color w:val="231F20"/>
          <w:spacing w:val="-24"/>
          <w:w w:val="105"/>
        </w:rPr>
        <w:t> </w:t>
      </w:r>
      <w:r>
        <w:rPr>
          <w:color w:val="231F20"/>
          <w:spacing w:val="-3"/>
          <w:w w:val="105"/>
        </w:rPr>
        <w:t>(Muñoz,</w:t>
      </w:r>
      <w:r>
        <w:rPr>
          <w:color w:val="231F20"/>
          <w:spacing w:val="-29"/>
          <w:w w:val="105"/>
        </w:rPr>
        <w:t> </w:t>
      </w:r>
      <w:r>
        <w:rPr>
          <w:color w:val="231F20"/>
          <w:spacing w:val="-3"/>
          <w:w w:val="105"/>
        </w:rPr>
        <w:t>2014).</w:t>
      </w:r>
    </w:p>
    <w:p>
      <w:pPr>
        <w:pStyle w:val="BodyText"/>
        <w:spacing w:line="261" w:lineRule="auto" w:before="1"/>
        <w:ind w:left="1723" w:right="1834" w:firstLine="567"/>
        <w:jc w:val="both"/>
      </w:pPr>
      <w:r>
        <w:rPr>
          <w:color w:val="231F20"/>
          <w:w w:val="105"/>
        </w:rPr>
        <w:t>En contextos de migración, la adaptabilidad y aceptabilidad son componentes fundamentales del derecho humano a la educación, por ello, es primordial que los Estados avancen en la implementación de modelos de educación intercultural e inclusiva que hagan posible el</w:t>
      </w:r>
      <w:r>
        <w:rPr>
          <w:color w:val="231F20"/>
          <w:spacing w:val="-36"/>
          <w:w w:val="105"/>
        </w:rPr>
        <w:t> </w:t>
      </w:r>
      <w:r>
        <w:rPr>
          <w:color w:val="231F20"/>
          <w:w w:val="105"/>
        </w:rPr>
        <w:t>es- tablecimiento de prácticas pedagógicas que promuevan el respeto a la diversidad</w:t>
      </w:r>
      <w:r>
        <w:rPr>
          <w:color w:val="231F20"/>
          <w:spacing w:val="-32"/>
          <w:w w:val="105"/>
        </w:rPr>
        <w:t> </w:t>
      </w:r>
      <w:r>
        <w:rPr>
          <w:color w:val="231F20"/>
          <w:w w:val="105"/>
        </w:rPr>
        <w:t>(Muñoz,</w:t>
      </w:r>
      <w:r>
        <w:rPr>
          <w:color w:val="231F20"/>
          <w:spacing w:val="-35"/>
          <w:w w:val="105"/>
        </w:rPr>
        <w:t> </w:t>
      </w:r>
      <w:r>
        <w:rPr>
          <w:color w:val="231F20"/>
          <w:w w:val="105"/>
        </w:rPr>
        <w:t>2014).</w:t>
      </w:r>
    </w:p>
    <w:p>
      <w:pPr>
        <w:pStyle w:val="BodyText"/>
        <w:spacing w:line="261" w:lineRule="auto" w:before="1"/>
        <w:ind w:left="1723" w:right="1828" w:firstLine="567"/>
        <w:jc w:val="both"/>
      </w:pPr>
      <w:r>
        <w:rPr>
          <w:color w:val="231F20"/>
          <w:w w:val="105"/>
        </w:rPr>
        <w:t>México es un país diverso en todos los sentidos y el plano de la educación</w:t>
      </w:r>
      <w:r>
        <w:rPr>
          <w:color w:val="231F20"/>
          <w:spacing w:val="-18"/>
          <w:w w:val="105"/>
        </w:rPr>
        <w:t> </w:t>
      </w:r>
      <w:r>
        <w:rPr>
          <w:color w:val="231F20"/>
          <w:w w:val="105"/>
        </w:rPr>
        <w:t>no</w:t>
      </w:r>
      <w:r>
        <w:rPr>
          <w:color w:val="231F20"/>
          <w:spacing w:val="-18"/>
          <w:w w:val="105"/>
        </w:rPr>
        <w:t> </w:t>
      </w:r>
      <w:r>
        <w:rPr>
          <w:color w:val="231F20"/>
          <w:w w:val="105"/>
        </w:rPr>
        <w:t>es</w:t>
      </w:r>
      <w:r>
        <w:rPr>
          <w:color w:val="231F20"/>
          <w:spacing w:val="-18"/>
          <w:w w:val="105"/>
        </w:rPr>
        <w:t> </w:t>
      </w:r>
      <w:r>
        <w:rPr>
          <w:color w:val="231F20"/>
          <w:w w:val="105"/>
        </w:rPr>
        <w:t>la</w:t>
      </w:r>
      <w:r>
        <w:rPr>
          <w:color w:val="231F20"/>
          <w:spacing w:val="-18"/>
          <w:w w:val="105"/>
        </w:rPr>
        <w:t> </w:t>
      </w:r>
      <w:r>
        <w:rPr>
          <w:color w:val="231F20"/>
          <w:w w:val="105"/>
        </w:rPr>
        <w:t>excepción,</w:t>
      </w:r>
      <w:r>
        <w:rPr>
          <w:color w:val="231F20"/>
          <w:spacing w:val="-23"/>
          <w:w w:val="105"/>
        </w:rPr>
        <w:t> </w:t>
      </w:r>
      <w:r>
        <w:rPr>
          <w:color w:val="231F20"/>
          <w:w w:val="105"/>
        </w:rPr>
        <w:t>pues</w:t>
      </w:r>
      <w:r>
        <w:rPr>
          <w:color w:val="231F20"/>
          <w:spacing w:val="-18"/>
          <w:w w:val="105"/>
        </w:rPr>
        <w:t> </w:t>
      </w:r>
      <w:r>
        <w:rPr>
          <w:color w:val="231F20"/>
          <w:w w:val="105"/>
        </w:rPr>
        <w:t>el</w:t>
      </w:r>
      <w:r>
        <w:rPr>
          <w:color w:val="231F20"/>
          <w:spacing w:val="-18"/>
          <w:w w:val="105"/>
        </w:rPr>
        <w:t> </w:t>
      </w:r>
      <w:r>
        <w:rPr>
          <w:color w:val="231F20"/>
          <w:w w:val="105"/>
        </w:rPr>
        <w:t>sistema</w:t>
      </w:r>
      <w:r>
        <w:rPr>
          <w:color w:val="231F20"/>
          <w:spacing w:val="-18"/>
          <w:w w:val="105"/>
        </w:rPr>
        <w:t> </w:t>
      </w:r>
      <w:r>
        <w:rPr>
          <w:color w:val="231F20"/>
          <w:w w:val="105"/>
        </w:rPr>
        <w:t>educativo</w:t>
      </w:r>
      <w:r>
        <w:rPr>
          <w:color w:val="231F20"/>
          <w:spacing w:val="-18"/>
          <w:w w:val="105"/>
        </w:rPr>
        <w:t> </w:t>
      </w:r>
      <w:r>
        <w:rPr>
          <w:color w:val="231F20"/>
          <w:w w:val="105"/>
        </w:rPr>
        <w:t>se</w:t>
      </w:r>
      <w:r>
        <w:rPr>
          <w:color w:val="231F20"/>
          <w:spacing w:val="-18"/>
          <w:w w:val="105"/>
        </w:rPr>
        <w:t> </w:t>
      </w:r>
      <w:r>
        <w:rPr>
          <w:color w:val="231F20"/>
          <w:w w:val="105"/>
        </w:rPr>
        <w:t>ha</w:t>
      </w:r>
      <w:r>
        <w:rPr>
          <w:color w:val="231F20"/>
          <w:spacing w:val="-18"/>
          <w:w w:val="105"/>
        </w:rPr>
        <w:t> </w:t>
      </w:r>
      <w:r>
        <w:rPr>
          <w:color w:val="231F20"/>
          <w:w w:val="105"/>
        </w:rPr>
        <w:t>adaptado para</w:t>
      </w:r>
      <w:r>
        <w:rPr>
          <w:color w:val="231F20"/>
          <w:spacing w:val="-10"/>
          <w:w w:val="105"/>
        </w:rPr>
        <w:t> </w:t>
      </w:r>
      <w:r>
        <w:rPr>
          <w:color w:val="231F20"/>
          <w:w w:val="105"/>
        </w:rPr>
        <w:t>atender</w:t>
      </w:r>
      <w:r>
        <w:rPr>
          <w:color w:val="231F20"/>
          <w:spacing w:val="-10"/>
          <w:w w:val="105"/>
        </w:rPr>
        <w:t> </w:t>
      </w:r>
      <w:r>
        <w:rPr>
          <w:color w:val="231F20"/>
          <w:w w:val="105"/>
        </w:rPr>
        <w:t>las</w:t>
      </w:r>
      <w:r>
        <w:rPr>
          <w:color w:val="231F20"/>
          <w:spacing w:val="-10"/>
          <w:w w:val="105"/>
        </w:rPr>
        <w:t> </w:t>
      </w:r>
      <w:r>
        <w:rPr>
          <w:color w:val="231F20"/>
          <w:w w:val="105"/>
        </w:rPr>
        <w:t>necesidades</w:t>
      </w:r>
      <w:r>
        <w:rPr>
          <w:color w:val="231F20"/>
          <w:spacing w:val="-10"/>
          <w:w w:val="105"/>
        </w:rPr>
        <w:t> </w:t>
      </w:r>
      <w:r>
        <w:rPr>
          <w:color w:val="231F20"/>
          <w:w w:val="105"/>
        </w:rPr>
        <w:t>de</w:t>
      </w:r>
      <w:r>
        <w:rPr>
          <w:color w:val="231F20"/>
          <w:spacing w:val="-10"/>
          <w:w w:val="105"/>
        </w:rPr>
        <w:t> </w:t>
      </w:r>
      <w:r>
        <w:rPr>
          <w:color w:val="231F20"/>
          <w:w w:val="105"/>
        </w:rPr>
        <w:t>grupos</w:t>
      </w:r>
      <w:r>
        <w:rPr>
          <w:color w:val="231F20"/>
          <w:spacing w:val="-10"/>
          <w:w w:val="105"/>
        </w:rPr>
        <w:t> </w:t>
      </w:r>
      <w:r>
        <w:rPr>
          <w:color w:val="231F20"/>
          <w:w w:val="105"/>
        </w:rPr>
        <w:t>específicos,</w:t>
      </w:r>
      <w:r>
        <w:rPr>
          <w:color w:val="231F20"/>
          <w:spacing w:val="-15"/>
          <w:w w:val="105"/>
        </w:rPr>
        <w:t> </w:t>
      </w:r>
      <w:r>
        <w:rPr>
          <w:color w:val="231F20"/>
          <w:w w:val="105"/>
        </w:rPr>
        <w:t>como</w:t>
      </w:r>
      <w:r>
        <w:rPr>
          <w:color w:val="231F20"/>
          <w:spacing w:val="-10"/>
          <w:w w:val="105"/>
        </w:rPr>
        <w:t> </w:t>
      </w:r>
      <w:r>
        <w:rPr>
          <w:color w:val="231F20"/>
          <w:w w:val="105"/>
        </w:rPr>
        <w:t>por</w:t>
      </w:r>
      <w:r>
        <w:rPr>
          <w:color w:val="231F20"/>
          <w:spacing w:val="-10"/>
          <w:w w:val="105"/>
        </w:rPr>
        <w:t> </w:t>
      </w:r>
      <w:r>
        <w:rPr>
          <w:color w:val="231F20"/>
          <w:w w:val="105"/>
        </w:rPr>
        <w:t>ejemplo, niños de familias de jornaleros agrícolas migrantes, quienes hoy en día están</w:t>
      </w:r>
      <w:r>
        <w:rPr>
          <w:color w:val="231F20"/>
          <w:spacing w:val="-7"/>
          <w:w w:val="105"/>
        </w:rPr>
        <w:t> </w:t>
      </w:r>
      <w:r>
        <w:rPr>
          <w:color w:val="231F20"/>
          <w:w w:val="105"/>
        </w:rPr>
        <w:t>involucrados</w:t>
      </w:r>
      <w:r>
        <w:rPr>
          <w:color w:val="231F20"/>
          <w:spacing w:val="-7"/>
          <w:w w:val="105"/>
        </w:rPr>
        <w:t> </w:t>
      </w:r>
      <w:r>
        <w:rPr>
          <w:color w:val="231F20"/>
          <w:w w:val="105"/>
        </w:rPr>
        <w:t>en</w:t>
      </w:r>
      <w:r>
        <w:rPr>
          <w:color w:val="231F20"/>
          <w:spacing w:val="-7"/>
          <w:w w:val="105"/>
        </w:rPr>
        <w:t> </w:t>
      </w:r>
      <w:r>
        <w:rPr>
          <w:color w:val="231F20"/>
          <w:w w:val="105"/>
        </w:rPr>
        <w:t>un</w:t>
      </w:r>
      <w:r>
        <w:rPr>
          <w:color w:val="231F20"/>
          <w:spacing w:val="-7"/>
          <w:w w:val="105"/>
        </w:rPr>
        <w:t> </w:t>
      </w:r>
      <w:r>
        <w:rPr>
          <w:color w:val="231F20"/>
          <w:w w:val="105"/>
        </w:rPr>
        <w:t>esquema</w:t>
      </w:r>
      <w:r>
        <w:rPr>
          <w:color w:val="231F20"/>
          <w:spacing w:val="-7"/>
          <w:w w:val="105"/>
        </w:rPr>
        <w:t> </w:t>
      </w:r>
      <w:r>
        <w:rPr>
          <w:color w:val="231F20"/>
          <w:w w:val="105"/>
        </w:rPr>
        <w:t>integral</w:t>
      </w:r>
      <w:r>
        <w:rPr>
          <w:color w:val="231F20"/>
          <w:spacing w:val="-7"/>
          <w:w w:val="105"/>
        </w:rPr>
        <w:t> </w:t>
      </w:r>
      <w:r>
        <w:rPr>
          <w:color w:val="231F20"/>
          <w:w w:val="105"/>
        </w:rPr>
        <w:t>y</w:t>
      </w:r>
      <w:r>
        <w:rPr>
          <w:color w:val="231F20"/>
          <w:spacing w:val="-7"/>
          <w:w w:val="105"/>
        </w:rPr>
        <w:t> </w:t>
      </w:r>
      <w:r>
        <w:rPr>
          <w:color w:val="231F20"/>
          <w:w w:val="105"/>
        </w:rPr>
        <w:t>multicultural</w:t>
      </w:r>
      <w:r>
        <w:rPr>
          <w:color w:val="231F20"/>
          <w:spacing w:val="-7"/>
          <w:w w:val="105"/>
        </w:rPr>
        <w:t> </w:t>
      </w:r>
      <w:r>
        <w:rPr>
          <w:color w:val="231F20"/>
          <w:w w:val="105"/>
        </w:rPr>
        <w:t>de</w:t>
      </w:r>
      <w:r>
        <w:rPr>
          <w:color w:val="231F20"/>
          <w:spacing w:val="-7"/>
          <w:w w:val="105"/>
        </w:rPr>
        <w:t> </w:t>
      </w:r>
      <w:r>
        <w:rPr>
          <w:color w:val="231F20"/>
          <w:w w:val="105"/>
        </w:rPr>
        <w:t>educación básica. A pesar de ello, sigue siendo necesario considerar otros tantos elementos</w:t>
      </w:r>
      <w:r>
        <w:rPr>
          <w:color w:val="231F20"/>
          <w:spacing w:val="-14"/>
          <w:w w:val="105"/>
        </w:rPr>
        <w:t> </w:t>
      </w:r>
      <w:r>
        <w:rPr>
          <w:color w:val="231F20"/>
          <w:w w:val="105"/>
        </w:rPr>
        <w:t>como</w:t>
      </w:r>
      <w:r>
        <w:rPr>
          <w:color w:val="231F20"/>
          <w:spacing w:val="-14"/>
          <w:w w:val="105"/>
        </w:rPr>
        <w:t> </w:t>
      </w:r>
      <w:r>
        <w:rPr>
          <w:color w:val="231F20"/>
          <w:w w:val="105"/>
        </w:rPr>
        <w:t>los</w:t>
      </w:r>
      <w:r>
        <w:rPr>
          <w:color w:val="231F20"/>
          <w:spacing w:val="-14"/>
          <w:w w:val="105"/>
        </w:rPr>
        <w:t> </w:t>
      </w:r>
      <w:r>
        <w:rPr>
          <w:color w:val="231F20"/>
          <w:w w:val="105"/>
        </w:rPr>
        <w:t>procesos</w:t>
      </w:r>
      <w:r>
        <w:rPr>
          <w:color w:val="231F20"/>
          <w:spacing w:val="-14"/>
          <w:w w:val="105"/>
        </w:rPr>
        <w:t> </w:t>
      </w:r>
      <w:r>
        <w:rPr>
          <w:color w:val="231F20"/>
          <w:w w:val="105"/>
        </w:rPr>
        <w:t>de</w:t>
      </w:r>
      <w:r>
        <w:rPr>
          <w:color w:val="231F20"/>
          <w:spacing w:val="-14"/>
          <w:w w:val="105"/>
        </w:rPr>
        <w:t> </w:t>
      </w:r>
      <w:r>
        <w:rPr>
          <w:color w:val="231F20"/>
          <w:w w:val="105"/>
        </w:rPr>
        <w:t>movilidad</w:t>
      </w:r>
      <w:r>
        <w:rPr>
          <w:color w:val="231F20"/>
          <w:spacing w:val="-14"/>
          <w:w w:val="105"/>
        </w:rPr>
        <w:t> </w:t>
      </w:r>
      <w:r>
        <w:rPr>
          <w:color w:val="231F20"/>
          <w:w w:val="105"/>
        </w:rPr>
        <w:t>internacional,</w:t>
      </w:r>
      <w:r>
        <w:rPr>
          <w:color w:val="231F20"/>
          <w:spacing w:val="-20"/>
          <w:w w:val="105"/>
        </w:rPr>
        <w:t> </w:t>
      </w:r>
      <w:r>
        <w:rPr>
          <w:color w:val="231F20"/>
          <w:w w:val="105"/>
        </w:rPr>
        <w:t>a</w:t>
      </w:r>
      <w:r>
        <w:rPr>
          <w:color w:val="231F20"/>
          <w:spacing w:val="-14"/>
          <w:w w:val="105"/>
        </w:rPr>
        <w:t> </w:t>
      </w:r>
      <w:r>
        <w:rPr>
          <w:color w:val="231F20"/>
          <w:w w:val="105"/>
        </w:rPr>
        <w:t>fin</w:t>
      </w:r>
      <w:r>
        <w:rPr>
          <w:color w:val="231F20"/>
          <w:spacing w:val="-14"/>
          <w:w w:val="105"/>
        </w:rPr>
        <w:t> </w:t>
      </w:r>
      <w:r>
        <w:rPr>
          <w:color w:val="231F20"/>
          <w:w w:val="105"/>
        </w:rPr>
        <w:t>de</w:t>
      </w:r>
      <w:r>
        <w:rPr>
          <w:color w:val="231F20"/>
          <w:spacing w:val="-14"/>
          <w:w w:val="105"/>
        </w:rPr>
        <w:t> </w:t>
      </w:r>
      <w:r>
        <w:rPr>
          <w:color w:val="231F20"/>
          <w:w w:val="105"/>
        </w:rPr>
        <w:t>garan- tizar</w:t>
      </w:r>
      <w:r>
        <w:rPr>
          <w:color w:val="231F20"/>
          <w:spacing w:val="-14"/>
          <w:w w:val="105"/>
        </w:rPr>
        <w:t> </w:t>
      </w:r>
      <w:r>
        <w:rPr>
          <w:color w:val="231F20"/>
          <w:w w:val="105"/>
        </w:rPr>
        <w:t>que</w:t>
      </w:r>
      <w:r>
        <w:rPr>
          <w:color w:val="231F20"/>
          <w:spacing w:val="-14"/>
          <w:w w:val="105"/>
        </w:rPr>
        <w:t> </w:t>
      </w:r>
      <w:r>
        <w:rPr>
          <w:color w:val="231F20"/>
          <w:w w:val="105"/>
        </w:rPr>
        <w:t>toda</w:t>
      </w:r>
      <w:r>
        <w:rPr>
          <w:color w:val="231F20"/>
          <w:spacing w:val="-14"/>
          <w:w w:val="105"/>
        </w:rPr>
        <w:t> </w:t>
      </w:r>
      <w:r>
        <w:rPr>
          <w:color w:val="231F20"/>
          <w:w w:val="105"/>
        </w:rPr>
        <w:t>persona</w:t>
      </w:r>
      <w:r>
        <w:rPr>
          <w:color w:val="231F20"/>
          <w:spacing w:val="-14"/>
          <w:w w:val="105"/>
        </w:rPr>
        <w:t> </w:t>
      </w:r>
      <w:r>
        <w:rPr>
          <w:color w:val="231F20"/>
          <w:w w:val="105"/>
        </w:rPr>
        <w:t>tenga</w:t>
      </w:r>
      <w:r>
        <w:rPr>
          <w:color w:val="231F20"/>
          <w:spacing w:val="-14"/>
          <w:w w:val="105"/>
        </w:rPr>
        <w:t> </w:t>
      </w:r>
      <w:r>
        <w:rPr>
          <w:color w:val="231F20"/>
          <w:w w:val="105"/>
        </w:rPr>
        <w:t>acceso</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educación,</w:t>
      </w:r>
      <w:r>
        <w:rPr>
          <w:color w:val="231F20"/>
          <w:spacing w:val="-20"/>
          <w:w w:val="105"/>
        </w:rPr>
        <w:t> </w:t>
      </w:r>
      <w:r>
        <w:rPr>
          <w:color w:val="231F20"/>
          <w:w w:val="105"/>
        </w:rPr>
        <w:t>independientemen- te de su condición</w:t>
      </w:r>
      <w:r>
        <w:rPr>
          <w:color w:val="231F20"/>
          <w:spacing w:val="-21"/>
          <w:w w:val="105"/>
        </w:rPr>
        <w:t> </w:t>
      </w:r>
      <w:r>
        <w:rPr>
          <w:color w:val="231F20"/>
          <w:w w:val="105"/>
        </w:rPr>
        <w:t>migratoria.</w:t>
      </w:r>
    </w:p>
    <w:p>
      <w:pPr>
        <w:pStyle w:val="BodyText"/>
        <w:spacing w:line="261" w:lineRule="auto" w:before="1"/>
        <w:ind w:left="1723" w:right="1835" w:firstLine="567"/>
        <w:jc w:val="both"/>
      </w:pPr>
      <w:r>
        <w:rPr>
          <w:color w:val="231F20"/>
          <w:w w:val="105"/>
        </w:rPr>
        <w:t>Así por ejemplo, en lo que respecta a las migraciones</w:t>
      </w:r>
      <w:r>
        <w:rPr>
          <w:color w:val="231F20"/>
          <w:spacing w:val="-33"/>
          <w:w w:val="105"/>
        </w:rPr>
        <w:t> </w:t>
      </w:r>
      <w:r>
        <w:rPr>
          <w:color w:val="231F20"/>
          <w:w w:val="105"/>
        </w:rPr>
        <w:t>México-Es- tados</w:t>
      </w:r>
      <w:r>
        <w:rPr>
          <w:color w:val="231F20"/>
          <w:spacing w:val="-13"/>
          <w:w w:val="105"/>
        </w:rPr>
        <w:t> </w:t>
      </w:r>
      <w:r>
        <w:rPr>
          <w:color w:val="231F20"/>
          <w:w w:val="105"/>
        </w:rPr>
        <w:t>Unidos,</w:t>
      </w:r>
      <w:r>
        <w:rPr>
          <w:color w:val="231F20"/>
          <w:spacing w:val="-18"/>
          <w:w w:val="105"/>
        </w:rPr>
        <w:t> </w:t>
      </w:r>
      <w:r>
        <w:rPr>
          <w:color w:val="231F20"/>
          <w:w w:val="105"/>
        </w:rPr>
        <w:t>los</w:t>
      </w:r>
      <w:r>
        <w:rPr>
          <w:color w:val="231F20"/>
          <w:spacing w:val="-13"/>
          <w:w w:val="105"/>
        </w:rPr>
        <w:t> </w:t>
      </w:r>
      <w:r>
        <w:rPr>
          <w:color w:val="231F20"/>
          <w:w w:val="105"/>
        </w:rPr>
        <w:t>cambios</w:t>
      </w:r>
      <w:r>
        <w:rPr>
          <w:color w:val="231F20"/>
          <w:spacing w:val="-13"/>
          <w:w w:val="105"/>
        </w:rPr>
        <w:t> </w:t>
      </w:r>
      <w:r>
        <w:rPr>
          <w:color w:val="231F20"/>
          <w:w w:val="105"/>
        </w:rPr>
        <w:t>advertidos</w:t>
      </w:r>
      <w:r>
        <w:rPr>
          <w:color w:val="231F20"/>
          <w:spacing w:val="-13"/>
          <w:w w:val="105"/>
        </w:rPr>
        <w:t> </w:t>
      </w:r>
      <w:r>
        <w:rPr>
          <w:color w:val="231F20"/>
          <w:w w:val="105"/>
        </w:rPr>
        <w:t>en</w:t>
      </w:r>
      <w:r>
        <w:rPr>
          <w:color w:val="231F20"/>
          <w:spacing w:val="-13"/>
          <w:w w:val="105"/>
        </w:rPr>
        <w:t> </w:t>
      </w:r>
      <w:r>
        <w:rPr>
          <w:color w:val="231F20"/>
          <w:w w:val="105"/>
        </w:rPr>
        <w:t>sus</w:t>
      </w:r>
      <w:r>
        <w:rPr>
          <w:color w:val="231F20"/>
          <w:spacing w:val="-13"/>
          <w:w w:val="105"/>
        </w:rPr>
        <w:t> </w:t>
      </w:r>
      <w:r>
        <w:rPr>
          <w:color w:val="231F20"/>
          <w:w w:val="105"/>
        </w:rPr>
        <w:t>modalidades,</w:t>
      </w:r>
      <w:r>
        <w:rPr>
          <w:color w:val="231F20"/>
          <w:spacing w:val="-18"/>
          <w:w w:val="105"/>
        </w:rPr>
        <w:t> </w:t>
      </w:r>
      <w:r>
        <w:rPr>
          <w:color w:val="231F20"/>
          <w:w w:val="105"/>
        </w:rPr>
        <w:t>intensidades y</w:t>
      </w:r>
      <w:r>
        <w:rPr>
          <w:color w:val="231F20"/>
          <w:spacing w:val="-19"/>
          <w:w w:val="105"/>
        </w:rPr>
        <w:t> </w:t>
      </w:r>
      <w:r>
        <w:rPr>
          <w:color w:val="231F20"/>
          <w:w w:val="105"/>
        </w:rPr>
        <w:t>características</w:t>
      </w:r>
      <w:r>
        <w:rPr>
          <w:color w:val="231F20"/>
          <w:spacing w:val="-19"/>
          <w:w w:val="105"/>
        </w:rPr>
        <w:t> </w:t>
      </w:r>
      <w:r>
        <w:rPr>
          <w:color w:val="231F20"/>
          <w:w w:val="105"/>
        </w:rPr>
        <w:t>hicieron</w:t>
      </w:r>
      <w:r>
        <w:rPr>
          <w:color w:val="231F20"/>
          <w:spacing w:val="-19"/>
          <w:w w:val="105"/>
        </w:rPr>
        <w:t> </w:t>
      </w:r>
      <w:r>
        <w:rPr>
          <w:color w:val="231F20"/>
          <w:w w:val="105"/>
        </w:rPr>
        <w:t>que</w:t>
      </w:r>
      <w:r>
        <w:rPr>
          <w:color w:val="231F20"/>
          <w:spacing w:val="-19"/>
          <w:w w:val="105"/>
        </w:rPr>
        <w:t> </w:t>
      </w:r>
      <w:r>
        <w:rPr>
          <w:color w:val="231F20"/>
          <w:w w:val="105"/>
        </w:rPr>
        <w:t>este</w:t>
      </w:r>
      <w:r>
        <w:rPr>
          <w:color w:val="231F20"/>
          <w:spacing w:val="-19"/>
          <w:w w:val="105"/>
        </w:rPr>
        <w:t> </w:t>
      </w:r>
      <w:r>
        <w:rPr>
          <w:color w:val="231F20"/>
          <w:w w:val="105"/>
        </w:rPr>
        <w:t>fenómeno</w:t>
      </w:r>
      <w:r>
        <w:rPr>
          <w:color w:val="231F20"/>
          <w:spacing w:val="-19"/>
          <w:w w:val="105"/>
        </w:rPr>
        <w:t> </w:t>
      </w:r>
      <w:r>
        <w:rPr>
          <w:color w:val="231F20"/>
          <w:w w:val="105"/>
        </w:rPr>
        <w:t>transitara</w:t>
      </w:r>
      <w:r>
        <w:rPr>
          <w:color w:val="231F20"/>
          <w:spacing w:val="-19"/>
          <w:w w:val="105"/>
        </w:rPr>
        <w:t> </w:t>
      </w:r>
      <w:r>
        <w:rPr>
          <w:color w:val="231F20"/>
          <w:w w:val="105"/>
        </w:rPr>
        <w:t>de</w:t>
      </w:r>
      <w:r>
        <w:rPr>
          <w:color w:val="231F20"/>
          <w:spacing w:val="-19"/>
          <w:w w:val="105"/>
        </w:rPr>
        <w:t> </w:t>
      </w:r>
      <w:r>
        <w:rPr>
          <w:color w:val="231F20"/>
          <w:w w:val="105"/>
        </w:rPr>
        <w:t>un</w:t>
      </w:r>
      <w:r>
        <w:rPr>
          <w:color w:val="231F20"/>
          <w:spacing w:val="-19"/>
          <w:w w:val="105"/>
        </w:rPr>
        <w:t> </w:t>
      </w:r>
      <w:r>
        <w:rPr>
          <w:color w:val="231F20"/>
          <w:w w:val="105"/>
        </w:rPr>
        <w:t>proceso</w:t>
      </w:r>
      <w:r>
        <w:rPr>
          <w:color w:val="231F20"/>
          <w:spacing w:val="-19"/>
          <w:w w:val="105"/>
        </w:rPr>
        <w:t> </w:t>
      </w:r>
      <w:r>
        <w:rPr>
          <w:color w:val="231F20"/>
          <w:w w:val="105"/>
        </w:rPr>
        <w:t>in- dividual a uno familiar, que incluye una alta presencia de menores en edad escolar que encuentran dificultades para incorporarse al sistema educativo</w:t>
      </w:r>
      <w:r>
        <w:rPr>
          <w:color w:val="231F20"/>
          <w:spacing w:val="-21"/>
          <w:w w:val="105"/>
        </w:rPr>
        <w:t> </w:t>
      </w:r>
      <w:r>
        <w:rPr>
          <w:color w:val="231F20"/>
          <w:w w:val="105"/>
        </w:rPr>
        <w:t>de</w:t>
      </w:r>
      <w:r>
        <w:rPr>
          <w:color w:val="231F20"/>
          <w:spacing w:val="-21"/>
          <w:w w:val="105"/>
        </w:rPr>
        <w:t> </w:t>
      </w:r>
      <w:r>
        <w:rPr>
          <w:color w:val="231F20"/>
          <w:w w:val="105"/>
        </w:rPr>
        <w:t>ese</w:t>
      </w:r>
      <w:r>
        <w:rPr>
          <w:color w:val="231F20"/>
          <w:spacing w:val="-21"/>
          <w:w w:val="105"/>
        </w:rPr>
        <w:t> </w:t>
      </w:r>
      <w:r>
        <w:rPr>
          <w:color w:val="231F20"/>
          <w:w w:val="105"/>
        </w:rPr>
        <w:t>país.</w:t>
      </w:r>
    </w:p>
    <w:p>
      <w:pPr>
        <w:pStyle w:val="BodyText"/>
        <w:spacing w:line="261" w:lineRule="auto" w:before="1"/>
        <w:ind w:left="1723" w:right="1835" w:firstLine="567"/>
        <w:jc w:val="both"/>
      </w:pPr>
      <w:r>
        <w:rPr>
          <w:color w:val="231F20"/>
          <w:w w:val="105"/>
        </w:rPr>
        <w:t>Lo</w:t>
      </w:r>
      <w:r>
        <w:rPr>
          <w:color w:val="231F20"/>
          <w:spacing w:val="-14"/>
          <w:w w:val="105"/>
        </w:rPr>
        <w:t> </w:t>
      </w:r>
      <w:r>
        <w:rPr>
          <w:color w:val="231F20"/>
          <w:w w:val="105"/>
        </w:rPr>
        <w:t>mismo</w:t>
      </w:r>
      <w:r>
        <w:rPr>
          <w:color w:val="231F20"/>
          <w:spacing w:val="-14"/>
          <w:w w:val="105"/>
        </w:rPr>
        <w:t> </w:t>
      </w:r>
      <w:r>
        <w:rPr>
          <w:color w:val="231F20"/>
          <w:w w:val="105"/>
        </w:rPr>
        <w:t>ocurre</w:t>
      </w:r>
      <w:r>
        <w:rPr>
          <w:color w:val="231F20"/>
          <w:spacing w:val="-14"/>
          <w:w w:val="105"/>
        </w:rPr>
        <w:t> </w:t>
      </w:r>
      <w:r>
        <w:rPr>
          <w:color w:val="231F20"/>
          <w:w w:val="105"/>
        </w:rPr>
        <w:t>entre</w:t>
      </w:r>
      <w:r>
        <w:rPr>
          <w:color w:val="231F20"/>
          <w:spacing w:val="-14"/>
          <w:w w:val="105"/>
        </w:rPr>
        <w:t> </w:t>
      </w:r>
      <w:r>
        <w:rPr>
          <w:color w:val="231F20"/>
          <w:w w:val="105"/>
        </w:rPr>
        <w:t>la</w:t>
      </w:r>
      <w:r>
        <w:rPr>
          <w:color w:val="231F20"/>
          <w:spacing w:val="-14"/>
          <w:w w:val="105"/>
        </w:rPr>
        <w:t> </w:t>
      </w:r>
      <w:r>
        <w:rPr>
          <w:color w:val="231F20"/>
          <w:w w:val="105"/>
        </w:rPr>
        <w:t>población</w:t>
      </w:r>
      <w:r>
        <w:rPr>
          <w:color w:val="231F20"/>
          <w:spacing w:val="-14"/>
          <w:w w:val="105"/>
        </w:rPr>
        <w:t> </w:t>
      </w:r>
      <w:r>
        <w:rPr>
          <w:color w:val="231F20"/>
          <w:w w:val="105"/>
        </w:rPr>
        <w:t>extranjera</w:t>
      </w:r>
      <w:r>
        <w:rPr>
          <w:color w:val="231F20"/>
          <w:spacing w:val="-14"/>
          <w:w w:val="105"/>
        </w:rPr>
        <w:t> </w:t>
      </w:r>
      <w:r>
        <w:rPr>
          <w:color w:val="231F20"/>
          <w:w w:val="105"/>
        </w:rPr>
        <w:t>en</w:t>
      </w:r>
      <w:r>
        <w:rPr>
          <w:color w:val="231F20"/>
          <w:spacing w:val="-14"/>
          <w:w w:val="105"/>
        </w:rPr>
        <w:t> </w:t>
      </w:r>
      <w:r>
        <w:rPr>
          <w:color w:val="231F20"/>
          <w:w w:val="105"/>
        </w:rPr>
        <w:t>México</w:t>
      </w:r>
      <w:r>
        <w:rPr>
          <w:color w:val="231F20"/>
          <w:spacing w:val="-14"/>
          <w:w w:val="105"/>
        </w:rPr>
        <w:t> </w:t>
      </w:r>
      <w:r>
        <w:rPr>
          <w:color w:val="231F20"/>
          <w:w w:val="105"/>
        </w:rPr>
        <w:t>y/o</w:t>
      </w:r>
      <w:r>
        <w:rPr>
          <w:color w:val="231F20"/>
          <w:spacing w:val="-14"/>
          <w:w w:val="105"/>
        </w:rPr>
        <w:t> </w:t>
      </w:r>
      <w:r>
        <w:rPr>
          <w:color w:val="231F20"/>
          <w:w w:val="105"/>
        </w:rPr>
        <w:t>la</w:t>
      </w:r>
      <w:r>
        <w:rPr>
          <w:color w:val="231F20"/>
          <w:spacing w:val="-14"/>
          <w:w w:val="105"/>
        </w:rPr>
        <w:t> </w:t>
      </w:r>
      <w:r>
        <w:rPr>
          <w:color w:val="231F20"/>
          <w:w w:val="105"/>
        </w:rPr>
        <w:t>po- blación</w:t>
      </w:r>
      <w:r>
        <w:rPr>
          <w:color w:val="231F20"/>
          <w:spacing w:val="-18"/>
          <w:w w:val="105"/>
        </w:rPr>
        <w:t> </w:t>
      </w:r>
      <w:r>
        <w:rPr>
          <w:color w:val="231F20"/>
          <w:w w:val="105"/>
        </w:rPr>
        <w:t>mexicana</w:t>
      </w:r>
      <w:r>
        <w:rPr>
          <w:color w:val="231F20"/>
          <w:spacing w:val="-18"/>
          <w:w w:val="105"/>
        </w:rPr>
        <w:t> </w:t>
      </w:r>
      <w:r>
        <w:rPr>
          <w:color w:val="231F20"/>
          <w:w w:val="105"/>
        </w:rPr>
        <w:t>retornada</w:t>
      </w:r>
      <w:r>
        <w:rPr>
          <w:color w:val="231F20"/>
          <w:spacing w:val="-18"/>
          <w:w w:val="105"/>
        </w:rPr>
        <w:t> </w:t>
      </w:r>
      <w:r>
        <w:rPr>
          <w:color w:val="231F20"/>
          <w:w w:val="105"/>
        </w:rPr>
        <w:t>de</w:t>
      </w:r>
      <w:r>
        <w:rPr>
          <w:color w:val="231F20"/>
          <w:spacing w:val="-18"/>
          <w:w w:val="105"/>
        </w:rPr>
        <w:t> </w:t>
      </w:r>
      <w:r>
        <w:rPr>
          <w:color w:val="231F20"/>
          <w:w w:val="105"/>
        </w:rPr>
        <w:t>Estados</w:t>
      </w:r>
      <w:r>
        <w:rPr>
          <w:color w:val="231F20"/>
          <w:spacing w:val="-18"/>
          <w:w w:val="105"/>
        </w:rPr>
        <w:t> </w:t>
      </w:r>
      <w:r>
        <w:rPr>
          <w:color w:val="231F20"/>
          <w:w w:val="105"/>
        </w:rPr>
        <w:t>Unidos,</w:t>
      </w:r>
      <w:r>
        <w:rPr>
          <w:color w:val="231F20"/>
          <w:spacing w:val="-23"/>
          <w:w w:val="105"/>
        </w:rPr>
        <w:t> </w:t>
      </w:r>
      <w:r>
        <w:rPr>
          <w:color w:val="231F20"/>
          <w:w w:val="105"/>
        </w:rPr>
        <w:t>particularmente</w:t>
      </w:r>
      <w:r>
        <w:rPr>
          <w:color w:val="231F20"/>
          <w:spacing w:val="-18"/>
          <w:w w:val="105"/>
        </w:rPr>
        <w:t> </w:t>
      </w:r>
      <w:r>
        <w:rPr>
          <w:color w:val="231F20"/>
          <w:w w:val="105"/>
        </w:rPr>
        <w:t>cuando</w:t>
      </w:r>
    </w:p>
    <w:p>
      <w:pPr>
        <w:pStyle w:val="BodyText"/>
        <w:rPr>
          <w:sz w:val="20"/>
        </w:rPr>
      </w:pPr>
    </w:p>
    <w:p>
      <w:pPr>
        <w:pStyle w:val="BodyText"/>
        <w:rPr>
          <w:sz w:val="20"/>
        </w:rPr>
      </w:pPr>
    </w:p>
    <w:p>
      <w:pPr>
        <w:tabs>
          <w:tab w:pos="2937" w:val="left" w:leader="none"/>
        </w:tabs>
        <w:spacing w:before="198"/>
        <w:ind w:left="1887" w:right="0" w:firstLine="0"/>
        <w:jc w:val="left"/>
        <w:rPr>
          <w:rFonts w:ascii="Calibri" w:hAnsi="Calibri"/>
          <w:sz w:val="15"/>
        </w:rPr>
      </w:pPr>
      <w:r>
        <w:rPr/>
        <w:pict>
          <v:line style="position:absolute;mso-position-horizontal-relative:page;mso-position-vertical-relative:paragraph;z-index:-486472" from="131.551193pt,10.103715pt" to="131.551193pt,45.906114pt" stroked="true" strokeweight=".35pt" strokecolor="#231f20">
            <w10:wrap type="none"/>
          </v:line>
        </w:pict>
      </w:r>
      <w:r>
        <w:rPr/>
        <w:pict>
          <v:line style="position:absolute;mso-position-horizontal-relative:page;mso-position-vertical-relative:paragraph;z-index:-486400" from="15pt,45.905914pt" to="0pt,45.905914pt" stroked="true" strokeweight=".25pt" strokecolor="#000000">
            <w10:wrap type="none"/>
          </v:line>
        </w:pict>
      </w:r>
      <w:r>
        <w:rPr/>
        <w:pict>
          <v:line style="position:absolute;mso-position-horizontal-relative:page;mso-position-vertical-relative:paragraph;z-index:3808" from="508.890015pt,45.905914pt" to="523.890015pt,45.905914pt" stroked="true" strokeweight=".25pt" strokecolor="#000000">
            <w10:wrap type="none"/>
          </v:line>
        </w:pict>
      </w:r>
      <w:r>
        <w:rPr>
          <w:rFonts w:ascii="Arial" w:hAnsi="Arial"/>
          <w:color w:val="414042"/>
          <w:position w:val="-5"/>
          <w:sz w:val="20"/>
        </w:rPr>
        <w:t>38</w:t>
        <w:tab/>
      </w:r>
      <w:r>
        <w:rPr>
          <w:rFonts w:ascii="Calibri" w:hAnsi="Calibri"/>
          <w:color w:val="6D6E71"/>
          <w:sz w:val="15"/>
        </w:rPr>
        <w:t>Jorge Olvera</w:t>
      </w:r>
      <w:r>
        <w:rPr>
          <w:rFonts w:ascii="Calibri" w:hAnsi="Calibri"/>
          <w:color w:val="6D6E71"/>
          <w:spacing w:val="12"/>
          <w:sz w:val="15"/>
        </w:rPr>
        <w:t> </w:t>
      </w:r>
      <w:r>
        <w:rPr>
          <w:rFonts w:ascii="Calibri" w:hAnsi="Calibri"/>
          <w:color w:val="6D6E71"/>
          <w:sz w:val="15"/>
        </w:rPr>
        <w:t>García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001" w:right="0" w:firstLine="0"/>
        <w:jc w:val="left"/>
        <w:rPr>
          <w:rFonts w:ascii="Arial" w:hAnsi="Arial"/>
          <w:sz w:val="20"/>
        </w:rPr>
      </w:pPr>
      <w:r>
        <w:rPr/>
        <w:pict>
          <v:line style="position:absolute;mso-position-horizontal-relative:page;mso-position-vertical-relative:paragraph;z-index:-486352" from="405.061005pt,-18.554295pt" to="405.061005pt,16.311579pt" stroked="true" strokeweight=".35pt" strokecolor="#231f20">
            <w10:wrap type="none"/>
          </v:line>
        </w:pict>
      </w:r>
      <w:r>
        <w:rPr/>
        <w:pict>
          <v:line style="position:absolute;mso-position-horizontal-relative:page;mso-position-vertical-relative:paragraph;z-index:3856" from="15pt,-18.554522pt" to="0pt,-18.554522pt" stroked="true" strokeweight=".25pt" strokecolor="#000000">
            <w10:wrap type="none"/>
          </v:line>
        </w:pict>
      </w:r>
      <w:r>
        <w:rPr/>
        <w:pict>
          <v:line style="position:absolute;mso-position-horizontal-relative:page;mso-position-vertical-relative:paragraph;z-index:3880" from="508.890015pt,-18.554522pt" to="523.890015pt,-18.554522pt" stroked="true" strokeweight=".25pt" strokecolor="#000000">
            <w10:wrap type="none"/>
          </v:line>
        </w:pict>
      </w:r>
      <w:r>
        <w:rPr>
          <w:rFonts w:ascii="Lucida Sans Unicode" w:hAnsi="Lucida Sans Unicode"/>
          <w:color w:val="6D6E71"/>
          <w:w w:val="105"/>
          <w:sz w:val="14"/>
        </w:rPr>
        <w:t>Derechos</w:t>
      </w:r>
      <w:r>
        <w:rPr>
          <w:rFonts w:ascii="Lucida Sans Unicode" w:hAnsi="Lucida Sans Unicode"/>
          <w:color w:val="6D6E71"/>
          <w:spacing w:val="-15"/>
          <w:w w:val="105"/>
          <w:sz w:val="14"/>
        </w:rPr>
        <w:t> </w:t>
      </w:r>
      <w:r>
        <w:rPr>
          <w:rFonts w:ascii="Lucida Sans Unicode" w:hAnsi="Lucida Sans Unicode"/>
          <w:color w:val="6D6E71"/>
          <w:w w:val="105"/>
          <w:sz w:val="14"/>
        </w:rPr>
        <w:t>humanos,</w:t>
      </w:r>
      <w:r>
        <w:rPr>
          <w:rFonts w:ascii="Lucida Sans Unicode" w:hAnsi="Lucida Sans Unicode"/>
          <w:color w:val="6D6E71"/>
          <w:spacing w:val="-15"/>
          <w:w w:val="105"/>
          <w:sz w:val="14"/>
        </w:rPr>
        <w:t> </w:t>
      </w:r>
      <w:r>
        <w:rPr>
          <w:rFonts w:ascii="Lucida Sans Unicode" w:hAnsi="Lucida Sans Unicode"/>
          <w:color w:val="6D6E71"/>
          <w:w w:val="105"/>
          <w:sz w:val="14"/>
        </w:rPr>
        <w:t>eDucación</w:t>
      </w:r>
      <w:r>
        <w:rPr>
          <w:rFonts w:ascii="Lucida Sans Unicode" w:hAnsi="Lucida Sans Unicode"/>
          <w:color w:val="6D6E71"/>
          <w:spacing w:val="-15"/>
          <w:w w:val="105"/>
          <w:sz w:val="14"/>
        </w:rPr>
        <w:t> </w:t>
      </w:r>
      <w:r>
        <w:rPr>
          <w:rFonts w:ascii="Lucida Sans Unicode" w:hAnsi="Lucida Sans Unicode"/>
          <w:color w:val="6D6E71"/>
          <w:w w:val="105"/>
          <w:sz w:val="14"/>
        </w:rPr>
        <w:t>y</w:t>
      </w:r>
      <w:r>
        <w:rPr>
          <w:rFonts w:ascii="Lucida Sans Unicode" w:hAnsi="Lucida Sans Unicode"/>
          <w:color w:val="6D6E71"/>
          <w:spacing w:val="-15"/>
          <w:w w:val="105"/>
          <w:sz w:val="14"/>
        </w:rPr>
        <w:t> </w:t>
      </w:r>
      <w:r>
        <w:rPr>
          <w:rFonts w:ascii="Lucida Sans Unicode" w:hAnsi="Lucida Sans Unicode"/>
          <w:color w:val="6D6E71"/>
          <w:w w:val="105"/>
          <w:sz w:val="14"/>
        </w:rPr>
        <w:t>participación</w:t>
      </w:r>
      <w:r>
        <w:rPr>
          <w:rFonts w:ascii="Lucida Sans Unicode" w:hAnsi="Lucida Sans Unicode"/>
          <w:color w:val="6D6E71"/>
          <w:spacing w:val="-15"/>
          <w:w w:val="105"/>
          <w:sz w:val="14"/>
        </w:rPr>
        <w:t> </w:t>
      </w:r>
      <w:r>
        <w:rPr>
          <w:rFonts w:ascii="Lucida Sans Unicode" w:hAnsi="Lucida Sans Unicode"/>
          <w:color w:val="6D6E71"/>
          <w:w w:val="105"/>
          <w:sz w:val="14"/>
        </w:rPr>
        <w:t>De</w:t>
      </w:r>
      <w:r>
        <w:rPr>
          <w:rFonts w:ascii="Lucida Sans Unicode" w:hAnsi="Lucida Sans Unicode"/>
          <w:color w:val="6D6E71"/>
          <w:spacing w:val="-15"/>
          <w:w w:val="105"/>
          <w:sz w:val="14"/>
        </w:rPr>
        <w:t> </w:t>
      </w:r>
      <w:r>
        <w:rPr>
          <w:rFonts w:ascii="Lucida Sans Unicode" w:hAnsi="Lucida Sans Unicode"/>
          <w:color w:val="6D6E71"/>
          <w:w w:val="115"/>
          <w:sz w:val="14"/>
        </w:rPr>
        <w:t>la</w:t>
      </w:r>
      <w:r>
        <w:rPr>
          <w:rFonts w:ascii="Lucida Sans Unicode" w:hAnsi="Lucida Sans Unicode"/>
          <w:color w:val="6D6E71"/>
          <w:spacing w:val="-19"/>
          <w:w w:val="115"/>
          <w:sz w:val="14"/>
        </w:rPr>
        <w:t> </w:t>
      </w:r>
      <w:r>
        <w:rPr>
          <w:rFonts w:ascii="Lucida Sans Unicode" w:hAnsi="Lucida Sans Unicode"/>
          <w:color w:val="6D6E71"/>
          <w:w w:val="105"/>
          <w:sz w:val="14"/>
        </w:rPr>
        <w:t>población</w:t>
      </w:r>
      <w:r>
        <w:rPr>
          <w:rFonts w:ascii="Lucida Sans Unicode" w:hAnsi="Lucida Sans Unicode"/>
          <w:color w:val="6D6E71"/>
          <w:spacing w:val="-15"/>
          <w:w w:val="105"/>
          <w:sz w:val="14"/>
        </w:rPr>
        <w:t> </w:t>
      </w:r>
      <w:r>
        <w:rPr>
          <w:rFonts w:ascii="Lucida Sans Unicode" w:hAnsi="Lucida Sans Unicode"/>
          <w:color w:val="6D6E71"/>
          <w:w w:val="105"/>
          <w:sz w:val="14"/>
        </w:rPr>
        <w:t>migrante</w:t>
      </w:r>
      <w:r>
        <w:rPr>
          <w:rFonts w:ascii="Arial" w:hAnsi="Arial"/>
          <w:color w:val="414042"/>
          <w:w w:val="105"/>
          <w:position w:val="-3"/>
          <w:sz w:val="20"/>
        </w:rPr>
        <w:tab/>
        <w:t>39</w:t>
      </w:r>
    </w:p>
    <w:p>
      <w:pPr>
        <w:pStyle w:val="BodyText"/>
        <w:rPr>
          <w:rFonts w:ascii="Arial"/>
          <w:sz w:val="20"/>
        </w:rPr>
      </w:pPr>
    </w:p>
    <w:p>
      <w:pPr>
        <w:pStyle w:val="BodyText"/>
        <w:rPr>
          <w:rFonts w:ascii="Arial"/>
          <w:sz w:val="20"/>
        </w:rPr>
      </w:pPr>
    </w:p>
    <w:p>
      <w:pPr>
        <w:pStyle w:val="BodyText"/>
        <w:spacing w:line="261" w:lineRule="auto" w:before="137"/>
        <w:ind w:left="1837" w:right="1714"/>
        <w:jc w:val="both"/>
      </w:pPr>
      <w:r>
        <w:rPr>
          <w:color w:val="231F20"/>
          <w:w w:val="105"/>
        </w:rPr>
        <w:t>carecen de documentos que avalen su identidad y acrediten su nacio- nalidad. Otro problema tiene que ver con los procesos de inscripción, validación de documentos oficiales y dictámenes de equivalencia,</w:t>
      </w:r>
      <w:r>
        <w:rPr>
          <w:color w:val="231F20"/>
          <w:spacing w:val="-39"/>
          <w:w w:val="105"/>
        </w:rPr>
        <w:t> </w:t>
      </w:r>
      <w:r>
        <w:rPr>
          <w:color w:val="231F20"/>
          <w:w w:val="105"/>
        </w:rPr>
        <w:t>pues muchas</w:t>
      </w:r>
      <w:r>
        <w:rPr>
          <w:color w:val="231F20"/>
          <w:spacing w:val="-10"/>
          <w:w w:val="105"/>
        </w:rPr>
        <w:t> </w:t>
      </w:r>
      <w:r>
        <w:rPr>
          <w:color w:val="231F20"/>
          <w:w w:val="105"/>
        </w:rPr>
        <w:t>veces,</w:t>
      </w:r>
      <w:r>
        <w:rPr>
          <w:color w:val="231F20"/>
          <w:spacing w:val="-15"/>
          <w:w w:val="105"/>
        </w:rPr>
        <w:t> </w:t>
      </w:r>
      <w:r>
        <w:rPr>
          <w:color w:val="231F20"/>
          <w:w w:val="105"/>
        </w:rPr>
        <w:t>de</w:t>
      </w:r>
      <w:r>
        <w:rPr>
          <w:color w:val="231F20"/>
          <w:spacing w:val="-10"/>
          <w:w w:val="105"/>
        </w:rPr>
        <w:t> </w:t>
      </w:r>
      <w:r>
        <w:rPr>
          <w:color w:val="231F20"/>
          <w:w w:val="105"/>
        </w:rPr>
        <w:t>frente</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requerimientos</w:t>
      </w:r>
      <w:r>
        <w:rPr>
          <w:color w:val="231F20"/>
          <w:spacing w:val="-10"/>
          <w:w w:val="105"/>
        </w:rPr>
        <w:t> </w:t>
      </w:r>
      <w:r>
        <w:rPr>
          <w:color w:val="231F20"/>
          <w:w w:val="105"/>
        </w:rPr>
        <w:t>que</w:t>
      </w:r>
      <w:r>
        <w:rPr>
          <w:color w:val="231F20"/>
          <w:spacing w:val="-10"/>
          <w:w w:val="105"/>
        </w:rPr>
        <w:t> </w:t>
      </w:r>
      <w:r>
        <w:rPr>
          <w:color w:val="231F20"/>
          <w:w w:val="105"/>
        </w:rPr>
        <w:t>demandan</w:t>
      </w:r>
      <w:r>
        <w:rPr>
          <w:color w:val="231F20"/>
          <w:spacing w:val="-10"/>
          <w:w w:val="105"/>
        </w:rPr>
        <w:t> </w:t>
      </w:r>
      <w:r>
        <w:rPr>
          <w:color w:val="231F20"/>
          <w:w w:val="105"/>
        </w:rPr>
        <w:t>las</w:t>
      </w:r>
      <w:r>
        <w:rPr>
          <w:color w:val="231F20"/>
          <w:spacing w:val="-10"/>
          <w:w w:val="105"/>
        </w:rPr>
        <w:t> </w:t>
      </w:r>
      <w:r>
        <w:rPr>
          <w:color w:val="231F20"/>
          <w:w w:val="105"/>
        </w:rPr>
        <w:t>institu- ciones</w:t>
      </w:r>
      <w:r>
        <w:rPr>
          <w:color w:val="231F20"/>
          <w:spacing w:val="-9"/>
          <w:w w:val="105"/>
        </w:rPr>
        <w:t> </w:t>
      </w:r>
      <w:r>
        <w:rPr>
          <w:color w:val="231F20"/>
          <w:w w:val="105"/>
        </w:rPr>
        <w:t>educativas,</w:t>
      </w:r>
      <w:r>
        <w:rPr>
          <w:color w:val="231F20"/>
          <w:spacing w:val="-15"/>
          <w:w w:val="105"/>
        </w:rPr>
        <w:t> </w:t>
      </w:r>
      <w:r>
        <w:rPr>
          <w:color w:val="231F20"/>
          <w:w w:val="105"/>
        </w:rPr>
        <w:t>se</w:t>
      </w:r>
      <w:r>
        <w:rPr>
          <w:color w:val="231F20"/>
          <w:spacing w:val="-9"/>
          <w:w w:val="105"/>
        </w:rPr>
        <w:t> </w:t>
      </w:r>
      <w:r>
        <w:rPr>
          <w:color w:val="231F20"/>
          <w:w w:val="105"/>
        </w:rPr>
        <w:t>trata</w:t>
      </w:r>
      <w:r>
        <w:rPr>
          <w:color w:val="231F20"/>
          <w:spacing w:val="-9"/>
          <w:w w:val="105"/>
        </w:rPr>
        <w:t> </w:t>
      </w:r>
      <w:r>
        <w:rPr>
          <w:color w:val="231F20"/>
          <w:w w:val="105"/>
        </w:rPr>
        <w:t>de</w:t>
      </w:r>
      <w:r>
        <w:rPr>
          <w:color w:val="231F20"/>
          <w:spacing w:val="-9"/>
          <w:w w:val="105"/>
        </w:rPr>
        <w:t> </w:t>
      </w:r>
      <w:r>
        <w:rPr>
          <w:color w:val="231F20"/>
          <w:w w:val="105"/>
        </w:rPr>
        <w:t>procesos</w:t>
      </w:r>
      <w:r>
        <w:rPr>
          <w:color w:val="231F20"/>
          <w:spacing w:val="-9"/>
          <w:w w:val="105"/>
        </w:rPr>
        <w:t> </w:t>
      </w:r>
      <w:r>
        <w:rPr>
          <w:color w:val="231F20"/>
          <w:w w:val="105"/>
        </w:rPr>
        <w:t>que</w:t>
      </w:r>
      <w:r>
        <w:rPr>
          <w:color w:val="231F20"/>
          <w:spacing w:val="-9"/>
          <w:w w:val="105"/>
        </w:rPr>
        <w:t> </w:t>
      </w:r>
      <w:r>
        <w:rPr>
          <w:color w:val="231F20"/>
          <w:w w:val="105"/>
        </w:rPr>
        <w:t>dificultan</w:t>
      </w:r>
      <w:r>
        <w:rPr>
          <w:color w:val="231F20"/>
          <w:spacing w:val="-9"/>
          <w:w w:val="105"/>
        </w:rPr>
        <w:t> </w:t>
      </w:r>
      <w:r>
        <w:rPr>
          <w:color w:val="231F20"/>
          <w:w w:val="105"/>
        </w:rPr>
        <w:t>la</w:t>
      </w:r>
      <w:r>
        <w:rPr>
          <w:color w:val="231F20"/>
          <w:spacing w:val="-9"/>
          <w:w w:val="105"/>
        </w:rPr>
        <w:t> </w:t>
      </w:r>
      <w:r>
        <w:rPr>
          <w:color w:val="231F20"/>
          <w:w w:val="105"/>
        </w:rPr>
        <w:t>incorporación</w:t>
      </w:r>
      <w:r>
        <w:rPr>
          <w:color w:val="231F20"/>
          <w:spacing w:val="-9"/>
          <w:w w:val="105"/>
        </w:rPr>
        <w:t> </w:t>
      </w:r>
      <w:r>
        <w:rPr>
          <w:color w:val="231F20"/>
          <w:w w:val="105"/>
        </w:rPr>
        <w:t>y continuidad en los estudios de la población</w:t>
      </w:r>
      <w:r>
        <w:rPr>
          <w:color w:val="231F20"/>
          <w:spacing w:val="-32"/>
          <w:w w:val="105"/>
        </w:rPr>
        <w:t> </w:t>
      </w:r>
      <w:r>
        <w:rPr>
          <w:color w:val="231F20"/>
          <w:w w:val="105"/>
        </w:rPr>
        <w:t>migrante.</w:t>
      </w:r>
    </w:p>
    <w:p>
      <w:pPr>
        <w:pStyle w:val="BodyText"/>
        <w:spacing w:line="261" w:lineRule="auto" w:before="1"/>
        <w:ind w:left="1837" w:right="1721" w:firstLine="567"/>
        <w:jc w:val="both"/>
      </w:pPr>
      <w:r>
        <w:rPr>
          <w:color w:val="231F20"/>
          <w:spacing w:val="-6"/>
          <w:w w:val="105"/>
        </w:rPr>
        <w:t>Por </w:t>
      </w:r>
      <w:r>
        <w:rPr>
          <w:color w:val="231F20"/>
          <w:w w:val="105"/>
        </w:rPr>
        <w:t>lo anterior, la movilidad de los migrantes implica una re-fun- cionalidad de los modelos educativos en los lugares de origen, destino y</w:t>
      </w:r>
      <w:r>
        <w:rPr>
          <w:color w:val="231F20"/>
          <w:spacing w:val="-19"/>
          <w:w w:val="105"/>
        </w:rPr>
        <w:t> </w:t>
      </w:r>
      <w:r>
        <w:rPr>
          <w:color w:val="231F20"/>
          <w:w w:val="105"/>
        </w:rPr>
        <w:t>retorno,</w:t>
      </w:r>
      <w:r>
        <w:rPr>
          <w:color w:val="231F20"/>
          <w:spacing w:val="-23"/>
          <w:w w:val="105"/>
        </w:rPr>
        <w:t> </w:t>
      </w:r>
      <w:r>
        <w:rPr>
          <w:color w:val="231F20"/>
          <w:w w:val="105"/>
        </w:rPr>
        <w:t>esto</w:t>
      </w:r>
      <w:r>
        <w:rPr>
          <w:color w:val="231F20"/>
          <w:spacing w:val="-19"/>
          <w:w w:val="105"/>
        </w:rPr>
        <w:t> </w:t>
      </w:r>
      <w:r>
        <w:rPr>
          <w:color w:val="231F20"/>
          <w:w w:val="105"/>
        </w:rPr>
        <w:t>es,</w:t>
      </w:r>
      <w:r>
        <w:rPr>
          <w:color w:val="231F20"/>
          <w:spacing w:val="-23"/>
          <w:w w:val="105"/>
        </w:rPr>
        <w:t> </w:t>
      </w:r>
      <w:r>
        <w:rPr>
          <w:color w:val="231F20"/>
          <w:w w:val="105"/>
        </w:rPr>
        <w:t>instaurar</w:t>
      </w:r>
      <w:r>
        <w:rPr>
          <w:color w:val="231F20"/>
          <w:spacing w:val="-19"/>
          <w:w w:val="105"/>
        </w:rPr>
        <w:t> </w:t>
      </w:r>
      <w:r>
        <w:rPr>
          <w:color w:val="231F20"/>
          <w:w w:val="105"/>
        </w:rPr>
        <w:t>un</w:t>
      </w:r>
      <w:r>
        <w:rPr>
          <w:color w:val="231F20"/>
          <w:spacing w:val="-19"/>
          <w:w w:val="105"/>
        </w:rPr>
        <w:t> </w:t>
      </w:r>
      <w:r>
        <w:rPr>
          <w:color w:val="231F20"/>
          <w:w w:val="105"/>
        </w:rPr>
        <w:t>sistema</w:t>
      </w:r>
      <w:r>
        <w:rPr>
          <w:color w:val="231F20"/>
          <w:spacing w:val="-19"/>
          <w:w w:val="105"/>
        </w:rPr>
        <w:t> </w:t>
      </w:r>
      <w:r>
        <w:rPr>
          <w:color w:val="231F20"/>
          <w:w w:val="105"/>
        </w:rPr>
        <w:t>educativo</w:t>
      </w:r>
      <w:r>
        <w:rPr>
          <w:color w:val="231F20"/>
          <w:spacing w:val="-19"/>
          <w:w w:val="105"/>
        </w:rPr>
        <w:t> </w:t>
      </w:r>
      <w:r>
        <w:rPr>
          <w:color w:val="231F20"/>
          <w:w w:val="105"/>
        </w:rPr>
        <w:t>que</w:t>
      </w:r>
      <w:r>
        <w:rPr>
          <w:color w:val="231F20"/>
          <w:spacing w:val="-19"/>
          <w:w w:val="105"/>
        </w:rPr>
        <w:t> </w:t>
      </w:r>
      <w:r>
        <w:rPr>
          <w:color w:val="231F20"/>
          <w:w w:val="105"/>
        </w:rPr>
        <w:t>no</w:t>
      </w:r>
      <w:r>
        <w:rPr>
          <w:color w:val="231F20"/>
          <w:spacing w:val="-19"/>
          <w:w w:val="105"/>
        </w:rPr>
        <w:t> </w:t>
      </w:r>
      <w:r>
        <w:rPr>
          <w:color w:val="231F20"/>
          <w:w w:val="105"/>
        </w:rPr>
        <w:t>sólo</w:t>
      </w:r>
      <w:r>
        <w:rPr>
          <w:color w:val="231F20"/>
          <w:spacing w:val="-19"/>
          <w:w w:val="105"/>
        </w:rPr>
        <w:t> </w:t>
      </w:r>
      <w:r>
        <w:rPr>
          <w:color w:val="231F20"/>
          <w:w w:val="105"/>
        </w:rPr>
        <w:t>sea</w:t>
      </w:r>
      <w:r>
        <w:rPr>
          <w:color w:val="231F20"/>
          <w:spacing w:val="-19"/>
          <w:w w:val="105"/>
        </w:rPr>
        <w:t> </w:t>
      </w:r>
      <w:r>
        <w:rPr>
          <w:color w:val="231F20"/>
          <w:w w:val="105"/>
        </w:rPr>
        <w:t>acorde con</w:t>
      </w:r>
      <w:r>
        <w:rPr>
          <w:color w:val="231F20"/>
          <w:spacing w:val="-4"/>
          <w:w w:val="105"/>
        </w:rPr>
        <w:t> </w:t>
      </w:r>
      <w:r>
        <w:rPr>
          <w:color w:val="231F20"/>
          <w:w w:val="105"/>
        </w:rPr>
        <w:t>los</w:t>
      </w:r>
      <w:r>
        <w:rPr>
          <w:color w:val="231F20"/>
          <w:spacing w:val="-4"/>
          <w:w w:val="105"/>
        </w:rPr>
        <w:t> </w:t>
      </w:r>
      <w:r>
        <w:rPr>
          <w:color w:val="231F20"/>
          <w:w w:val="105"/>
        </w:rPr>
        <w:t>procesos</w:t>
      </w:r>
      <w:r>
        <w:rPr>
          <w:color w:val="231F20"/>
          <w:spacing w:val="-4"/>
          <w:w w:val="105"/>
        </w:rPr>
        <w:t> </w:t>
      </w:r>
      <w:r>
        <w:rPr>
          <w:color w:val="231F20"/>
          <w:w w:val="105"/>
        </w:rPr>
        <w:t>de</w:t>
      </w:r>
      <w:r>
        <w:rPr>
          <w:color w:val="231F20"/>
          <w:spacing w:val="-4"/>
          <w:w w:val="105"/>
        </w:rPr>
        <w:t> </w:t>
      </w:r>
      <w:r>
        <w:rPr>
          <w:color w:val="231F20"/>
          <w:w w:val="105"/>
        </w:rPr>
        <w:t>movilidad</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familias,</w:t>
      </w:r>
      <w:r>
        <w:rPr>
          <w:color w:val="231F20"/>
          <w:spacing w:val="-9"/>
          <w:w w:val="105"/>
        </w:rPr>
        <w:t> </w:t>
      </w:r>
      <w:r>
        <w:rPr>
          <w:color w:val="231F20"/>
          <w:w w:val="105"/>
        </w:rPr>
        <w:t>en</w:t>
      </w:r>
      <w:r>
        <w:rPr>
          <w:color w:val="231F20"/>
          <w:spacing w:val="-4"/>
          <w:w w:val="105"/>
        </w:rPr>
        <w:t> </w:t>
      </w:r>
      <w:r>
        <w:rPr>
          <w:color w:val="231F20"/>
          <w:w w:val="105"/>
        </w:rPr>
        <w:t>particular</w:t>
      </w:r>
      <w:r>
        <w:rPr>
          <w:color w:val="231F20"/>
          <w:spacing w:val="-4"/>
          <w:w w:val="105"/>
        </w:rPr>
        <w:t> </w:t>
      </w:r>
      <w:r>
        <w:rPr>
          <w:color w:val="231F20"/>
          <w:w w:val="105"/>
        </w:rPr>
        <w:t>de</w:t>
      </w:r>
      <w:r>
        <w:rPr>
          <w:color w:val="231F20"/>
          <w:spacing w:val="-4"/>
          <w:w w:val="105"/>
        </w:rPr>
        <w:t> </w:t>
      </w:r>
      <w:r>
        <w:rPr>
          <w:color w:val="231F20"/>
          <w:w w:val="105"/>
        </w:rPr>
        <w:t>sus</w:t>
      </w:r>
      <w:r>
        <w:rPr>
          <w:color w:val="231F20"/>
          <w:spacing w:val="-4"/>
          <w:w w:val="105"/>
        </w:rPr>
        <w:t> </w:t>
      </w:r>
      <w:r>
        <w:rPr>
          <w:color w:val="231F20"/>
          <w:w w:val="105"/>
        </w:rPr>
        <w:t>hijos en</w:t>
      </w:r>
      <w:r>
        <w:rPr>
          <w:color w:val="231F20"/>
          <w:spacing w:val="-19"/>
          <w:w w:val="105"/>
        </w:rPr>
        <w:t> </w:t>
      </w:r>
      <w:r>
        <w:rPr>
          <w:color w:val="231F20"/>
          <w:w w:val="105"/>
        </w:rPr>
        <w:t>edades</w:t>
      </w:r>
      <w:r>
        <w:rPr>
          <w:color w:val="231F20"/>
          <w:spacing w:val="-19"/>
          <w:w w:val="105"/>
        </w:rPr>
        <w:t> </w:t>
      </w:r>
      <w:r>
        <w:rPr>
          <w:color w:val="231F20"/>
          <w:w w:val="105"/>
        </w:rPr>
        <w:t>escolares,</w:t>
      </w:r>
      <w:r>
        <w:rPr>
          <w:color w:val="231F20"/>
          <w:spacing w:val="-23"/>
          <w:w w:val="105"/>
        </w:rPr>
        <w:t> </w:t>
      </w:r>
      <w:r>
        <w:rPr>
          <w:color w:val="231F20"/>
          <w:w w:val="105"/>
        </w:rPr>
        <w:t>sino</w:t>
      </w:r>
      <w:r>
        <w:rPr>
          <w:color w:val="231F20"/>
          <w:spacing w:val="-19"/>
          <w:w w:val="105"/>
        </w:rPr>
        <w:t> </w:t>
      </w:r>
      <w:r>
        <w:rPr>
          <w:color w:val="231F20"/>
          <w:w w:val="105"/>
        </w:rPr>
        <w:t>que</w:t>
      </w:r>
      <w:r>
        <w:rPr>
          <w:color w:val="231F20"/>
          <w:spacing w:val="-19"/>
          <w:w w:val="105"/>
        </w:rPr>
        <w:t> </w:t>
      </w:r>
      <w:r>
        <w:rPr>
          <w:color w:val="231F20"/>
          <w:w w:val="105"/>
        </w:rPr>
        <w:t>a</w:t>
      </w:r>
      <w:r>
        <w:rPr>
          <w:color w:val="231F20"/>
          <w:spacing w:val="-19"/>
          <w:w w:val="105"/>
        </w:rPr>
        <w:t> </w:t>
      </w:r>
      <w:r>
        <w:rPr>
          <w:color w:val="231F20"/>
          <w:w w:val="105"/>
        </w:rPr>
        <w:t>su</w:t>
      </w:r>
      <w:r>
        <w:rPr>
          <w:color w:val="231F20"/>
          <w:spacing w:val="-19"/>
          <w:w w:val="105"/>
        </w:rPr>
        <w:t> </w:t>
      </w:r>
      <w:r>
        <w:rPr>
          <w:color w:val="231F20"/>
          <w:w w:val="105"/>
        </w:rPr>
        <w:t>vez</w:t>
      </w:r>
      <w:r>
        <w:rPr>
          <w:color w:val="231F20"/>
          <w:spacing w:val="-19"/>
          <w:w w:val="105"/>
        </w:rPr>
        <w:t> </w:t>
      </w:r>
      <w:r>
        <w:rPr>
          <w:color w:val="231F20"/>
          <w:w w:val="105"/>
        </w:rPr>
        <w:t>se</w:t>
      </w:r>
      <w:r>
        <w:rPr>
          <w:color w:val="231F20"/>
          <w:spacing w:val="-19"/>
          <w:w w:val="105"/>
        </w:rPr>
        <w:t> </w:t>
      </w:r>
      <w:r>
        <w:rPr>
          <w:color w:val="231F20"/>
          <w:w w:val="105"/>
        </w:rPr>
        <w:t>flexibilice</w:t>
      </w:r>
      <w:r>
        <w:rPr>
          <w:color w:val="231F20"/>
          <w:spacing w:val="-19"/>
          <w:w w:val="105"/>
        </w:rPr>
        <w:t> </w:t>
      </w:r>
      <w:r>
        <w:rPr>
          <w:color w:val="231F20"/>
          <w:w w:val="105"/>
        </w:rPr>
        <w:t>y</w:t>
      </w:r>
      <w:r>
        <w:rPr>
          <w:color w:val="231F20"/>
          <w:spacing w:val="-19"/>
          <w:w w:val="105"/>
        </w:rPr>
        <w:t> </w:t>
      </w:r>
      <w:r>
        <w:rPr>
          <w:color w:val="231F20"/>
          <w:w w:val="105"/>
        </w:rPr>
        <w:t>adapte</w:t>
      </w:r>
      <w:r>
        <w:rPr>
          <w:color w:val="231F20"/>
          <w:spacing w:val="-19"/>
          <w:w w:val="105"/>
        </w:rPr>
        <w:t> </w:t>
      </w:r>
      <w:r>
        <w:rPr>
          <w:color w:val="231F20"/>
          <w:w w:val="105"/>
        </w:rPr>
        <w:t>en</w:t>
      </w:r>
      <w:r>
        <w:rPr>
          <w:color w:val="231F20"/>
          <w:spacing w:val="-19"/>
          <w:w w:val="105"/>
        </w:rPr>
        <w:t> </w:t>
      </w:r>
      <w:r>
        <w:rPr>
          <w:color w:val="231F20"/>
          <w:w w:val="105"/>
        </w:rPr>
        <w:t>sus</w:t>
      </w:r>
      <w:r>
        <w:rPr>
          <w:color w:val="231F20"/>
          <w:spacing w:val="-19"/>
          <w:w w:val="105"/>
        </w:rPr>
        <w:t> </w:t>
      </w:r>
      <w:r>
        <w:rPr>
          <w:color w:val="231F20"/>
          <w:w w:val="105"/>
        </w:rPr>
        <w:t>pro- cesos</w:t>
      </w:r>
      <w:r>
        <w:rPr>
          <w:color w:val="231F20"/>
          <w:spacing w:val="-18"/>
          <w:w w:val="105"/>
        </w:rPr>
        <w:t> </w:t>
      </w:r>
      <w:r>
        <w:rPr>
          <w:color w:val="231F20"/>
          <w:w w:val="105"/>
        </w:rPr>
        <w:t>administrativos</w:t>
      </w:r>
      <w:r>
        <w:rPr>
          <w:color w:val="231F20"/>
          <w:spacing w:val="-18"/>
          <w:w w:val="105"/>
        </w:rPr>
        <w:t> </w:t>
      </w:r>
      <w:r>
        <w:rPr>
          <w:color w:val="231F20"/>
          <w:w w:val="105"/>
        </w:rPr>
        <w:t>y</w:t>
      </w:r>
      <w:r>
        <w:rPr>
          <w:color w:val="231F20"/>
          <w:spacing w:val="-18"/>
          <w:w w:val="105"/>
        </w:rPr>
        <w:t> </w:t>
      </w:r>
      <w:r>
        <w:rPr>
          <w:color w:val="231F20"/>
          <w:w w:val="105"/>
        </w:rPr>
        <w:t>estructuras</w:t>
      </w:r>
      <w:r>
        <w:rPr>
          <w:color w:val="231F20"/>
          <w:spacing w:val="-18"/>
          <w:w w:val="105"/>
        </w:rPr>
        <w:t> </w:t>
      </w:r>
      <w:r>
        <w:rPr>
          <w:color w:val="231F20"/>
          <w:w w:val="105"/>
        </w:rPr>
        <w:t>curriculares,</w:t>
      </w:r>
      <w:r>
        <w:rPr>
          <w:color w:val="231F20"/>
          <w:spacing w:val="-22"/>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finalidad</w:t>
      </w:r>
      <w:r>
        <w:rPr>
          <w:color w:val="231F20"/>
          <w:spacing w:val="-18"/>
          <w:w w:val="105"/>
        </w:rPr>
        <w:t> </w:t>
      </w:r>
      <w:r>
        <w:rPr>
          <w:color w:val="231F20"/>
          <w:w w:val="105"/>
        </w:rPr>
        <w:t>de</w:t>
      </w:r>
      <w:r>
        <w:rPr>
          <w:color w:val="231F20"/>
          <w:spacing w:val="-18"/>
          <w:w w:val="105"/>
        </w:rPr>
        <w:t> </w:t>
      </w:r>
      <w:r>
        <w:rPr>
          <w:color w:val="231F20"/>
          <w:w w:val="105"/>
        </w:rPr>
        <w:t>favo- recer la interculturalidad, lograr una mejor intermediación del idioma y la inclusión e integración de la población migrante. Esto se traduce en un</w:t>
      </w:r>
      <w:r>
        <w:rPr>
          <w:color w:val="231F20"/>
          <w:spacing w:val="-10"/>
          <w:w w:val="105"/>
        </w:rPr>
        <w:t> </w:t>
      </w:r>
      <w:r>
        <w:rPr>
          <w:color w:val="231F20"/>
          <w:w w:val="105"/>
        </w:rPr>
        <w:t>reto</w:t>
      </w:r>
      <w:r>
        <w:rPr>
          <w:color w:val="231F20"/>
          <w:spacing w:val="-10"/>
          <w:w w:val="105"/>
        </w:rPr>
        <w:t> </w:t>
      </w:r>
      <w:r>
        <w:rPr>
          <w:color w:val="231F20"/>
          <w:w w:val="105"/>
        </w:rPr>
        <w:t>toda</w:t>
      </w:r>
      <w:r>
        <w:rPr>
          <w:color w:val="231F20"/>
          <w:spacing w:val="-10"/>
          <w:w w:val="105"/>
        </w:rPr>
        <w:t> </w:t>
      </w:r>
      <w:r>
        <w:rPr>
          <w:color w:val="231F20"/>
          <w:w w:val="105"/>
        </w:rPr>
        <w:t>vez</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registra</w:t>
      </w:r>
      <w:r>
        <w:rPr>
          <w:color w:val="231F20"/>
          <w:spacing w:val="-10"/>
          <w:w w:val="105"/>
        </w:rPr>
        <w:t> </w:t>
      </w:r>
      <w:r>
        <w:rPr>
          <w:color w:val="231F20"/>
          <w:w w:val="105"/>
        </w:rPr>
        <w:t>la</w:t>
      </w:r>
      <w:r>
        <w:rPr>
          <w:color w:val="231F20"/>
          <w:spacing w:val="-10"/>
          <w:w w:val="105"/>
        </w:rPr>
        <w:t> </w:t>
      </w:r>
      <w:r>
        <w:rPr>
          <w:color w:val="231F20"/>
          <w:w w:val="105"/>
        </w:rPr>
        <w:t>presencia</w:t>
      </w:r>
      <w:r>
        <w:rPr>
          <w:color w:val="231F20"/>
          <w:spacing w:val="-10"/>
          <w:w w:val="105"/>
        </w:rPr>
        <w:t> </w:t>
      </w:r>
      <w:r>
        <w:rPr>
          <w:color w:val="231F20"/>
          <w:w w:val="105"/>
        </w:rPr>
        <w:t>de</w:t>
      </w:r>
      <w:r>
        <w:rPr>
          <w:color w:val="231F20"/>
          <w:spacing w:val="-10"/>
          <w:w w:val="105"/>
        </w:rPr>
        <w:t> </w:t>
      </w:r>
      <w:r>
        <w:rPr>
          <w:color w:val="231F20"/>
          <w:w w:val="105"/>
        </w:rPr>
        <w:t>niños</w:t>
      </w:r>
      <w:r>
        <w:rPr>
          <w:color w:val="231F20"/>
          <w:spacing w:val="-10"/>
          <w:w w:val="105"/>
        </w:rPr>
        <w:t> </w:t>
      </w:r>
      <w:r>
        <w:rPr>
          <w:color w:val="231F20"/>
          <w:w w:val="105"/>
        </w:rPr>
        <w:t>que</w:t>
      </w:r>
      <w:r>
        <w:rPr>
          <w:color w:val="231F20"/>
          <w:spacing w:val="-10"/>
          <w:w w:val="105"/>
        </w:rPr>
        <w:t> </w:t>
      </w:r>
      <w:r>
        <w:rPr>
          <w:color w:val="231F20"/>
          <w:w w:val="105"/>
        </w:rPr>
        <w:t>han</w:t>
      </w:r>
      <w:r>
        <w:rPr>
          <w:color w:val="231F20"/>
          <w:spacing w:val="-10"/>
          <w:w w:val="105"/>
        </w:rPr>
        <w:t> </w:t>
      </w:r>
      <w:r>
        <w:rPr>
          <w:color w:val="231F20"/>
          <w:w w:val="105"/>
        </w:rPr>
        <w:t>sido</w:t>
      </w:r>
      <w:r>
        <w:rPr>
          <w:color w:val="231F20"/>
          <w:spacing w:val="-10"/>
          <w:w w:val="105"/>
        </w:rPr>
        <w:t> </w:t>
      </w:r>
      <w:r>
        <w:rPr>
          <w:color w:val="231F20"/>
          <w:w w:val="105"/>
        </w:rPr>
        <w:t>edu- cados</w:t>
      </w:r>
      <w:r>
        <w:rPr>
          <w:color w:val="231F20"/>
          <w:spacing w:val="-5"/>
          <w:w w:val="105"/>
        </w:rPr>
        <w:t> </w:t>
      </w:r>
      <w:r>
        <w:rPr>
          <w:color w:val="231F20"/>
          <w:w w:val="105"/>
        </w:rPr>
        <w:t>en</w:t>
      </w:r>
      <w:r>
        <w:rPr>
          <w:color w:val="231F20"/>
          <w:spacing w:val="-5"/>
          <w:w w:val="105"/>
        </w:rPr>
        <w:t> </w:t>
      </w:r>
      <w:r>
        <w:rPr>
          <w:color w:val="231F20"/>
          <w:w w:val="105"/>
        </w:rPr>
        <w:t>lengua</w:t>
      </w:r>
      <w:r>
        <w:rPr>
          <w:color w:val="231F20"/>
          <w:spacing w:val="-5"/>
          <w:w w:val="105"/>
        </w:rPr>
        <w:t> </w:t>
      </w:r>
      <w:r>
        <w:rPr>
          <w:color w:val="231F20"/>
          <w:w w:val="105"/>
        </w:rPr>
        <w:t>inglesa</w:t>
      </w:r>
      <w:r>
        <w:rPr>
          <w:color w:val="231F20"/>
          <w:spacing w:val="-5"/>
          <w:w w:val="105"/>
        </w:rPr>
        <w:t> </w:t>
      </w:r>
      <w:r>
        <w:rPr>
          <w:color w:val="231F20"/>
          <w:w w:val="105"/>
        </w:rPr>
        <w:t>y</w:t>
      </w:r>
      <w:r>
        <w:rPr>
          <w:color w:val="231F20"/>
          <w:spacing w:val="-5"/>
          <w:w w:val="105"/>
        </w:rPr>
        <w:t> </w:t>
      </w:r>
      <w:r>
        <w:rPr>
          <w:color w:val="231F20"/>
          <w:w w:val="105"/>
        </w:rPr>
        <w:t>una</w:t>
      </w:r>
      <w:r>
        <w:rPr>
          <w:color w:val="231F20"/>
          <w:spacing w:val="-5"/>
          <w:w w:val="105"/>
        </w:rPr>
        <w:t> </w:t>
      </w:r>
      <w:r>
        <w:rPr>
          <w:color w:val="231F20"/>
          <w:w w:val="105"/>
        </w:rPr>
        <w:t>cultura</w:t>
      </w:r>
      <w:r>
        <w:rPr>
          <w:color w:val="231F20"/>
          <w:spacing w:val="-5"/>
          <w:w w:val="105"/>
        </w:rPr>
        <w:t> </w:t>
      </w:r>
      <w:r>
        <w:rPr>
          <w:color w:val="231F20"/>
          <w:w w:val="105"/>
        </w:rPr>
        <w:t>diferente</w:t>
      </w:r>
      <w:r>
        <w:rPr>
          <w:color w:val="231F20"/>
          <w:spacing w:val="-5"/>
          <w:w w:val="105"/>
        </w:rPr>
        <w:t> </w:t>
      </w:r>
      <w:r>
        <w:rPr>
          <w:color w:val="231F20"/>
          <w:w w:val="105"/>
        </w:rPr>
        <w:t>en</w:t>
      </w:r>
      <w:r>
        <w:rPr>
          <w:color w:val="231F20"/>
          <w:spacing w:val="-5"/>
          <w:w w:val="105"/>
        </w:rPr>
        <w:t> </w:t>
      </w:r>
      <w:r>
        <w:rPr>
          <w:color w:val="231F20"/>
          <w:w w:val="105"/>
        </w:rPr>
        <w:t>Estados</w:t>
      </w:r>
      <w:r>
        <w:rPr>
          <w:color w:val="231F20"/>
          <w:spacing w:val="-5"/>
          <w:w w:val="105"/>
        </w:rPr>
        <w:t> </w:t>
      </w:r>
      <w:r>
        <w:rPr>
          <w:color w:val="231F20"/>
          <w:w w:val="105"/>
        </w:rPr>
        <w:t>Unidos,</w:t>
      </w:r>
      <w:r>
        <w:rPr>
          <w:color w:val="231F20"/>
          <w:spacing w:val="-10"/>
          <w:w w:val="105"/>
        </w:rPr>
        <w:t> </w:t>
      </w:r>
      <w:r>
        <w:rPr>
          <w:color w:val="231F20"/>
          <w:w w:val="105"/>
        </w:rPr>
        <w:t>y</w:t>
      </w:r>
      <w:r>
        <w:rPr>
          <w:color w:val="231F20"/>
          <w:spacing w:val="-5"/>
          <w:w w:val="105"/>
        </w:rPr>
        <w:t> </w:t>
      </w:r>
      <w:r>
        <w:rPr>
          <w:color w:val="231F20"/>
          <w:w w:val="105"/>
        </w:rPr>
        <w:t>al momento de retornar a México su desconocimiento del idioma español y la cultura local se configuran en obstáculos que limitan sus procesos de</w:t>
      </w:r>
      <w:r>
        <w:rPr>
          <w:color w:val="231F20"/>
          <w:spacing w:val="-7"/>
          <w:w w:val="105"/>
        </w:rPr>
        <w:t> </w:t>
      </w:r>
      <w:r>
        <w:rPr>
          <w:color w:val="231F20"/>
          <w:w w:val="105"/>
        </w:rPr>
        <w:t>aprendizaje</w:t>
      </w:r>
      <w:r>
        <w:rPr>
          <w:color w:val="231F20"/>
          <w:spacing w:val="-7"/>
          <w:w w:val="105"/>
        </w:rPr>
        <w:t> </w:t>
      </w:r>
      <w:r>
        <w:rPr>
          <w:color w:val="231F20"/>
          <w:w w:val="105"/>
        </w:rPr>
        <w:t>y</w:t>
      </w:r>
      <w:r>
        <w:rPr>
          <w:color w:val="231F20"/>
          <w:spacing w:val="-7"/>
          <w:w w:val="105"/>
        </w:rPr>
        <w:t> </w:t>
      </w:r>
      <w:r>
        <w:rPr>
          <w:color w:val="231F20"/>
          <w:w w:val="105"/>
        </w:rPr>
        <w:t>adaptación</w:t>
      </w:r>
      <w:r>
        <w:rPr>
          <w:color w:val="231F20"/>
          <w:spacing w:val="-7"/>
          <w:w w:val="105"/>
        </w:rPr>
        <w:t> </w:t>
      </w:r>
      <w:r>
        <w:rPr>
          <w:color w:val="231F20"/>
          <w:w w:val="105"/>
        </w:rPr>
        <w:t>sociocultural.</w:t>
      </w:r>
      <w:r>
        <w:rPr>
          <w:color w:val="231F20"/>
          <w:spacing w:val="-13"/>
          <w:w w:val="105"/>
        </w:rPr>
        <w:t> </w:t>
      </w:r>
      <w:r>
        <w:rPr>
          <w:color w:val="231F20"/>
          <w:w w:val="105"/>
        </w:rPr>
        <w:t>Ocurre</w:t>
      </w:r>
      <w:r>
        <w:rPr>
          <w:color w:val="231F20"/>
          <w:spacing w:val="-7"/>
          <w:w w:val="105"/>
        </w:rPr>
        <w:t> </w:t>
      </w:r>
      <w:r>
        <w:rPr>
          <w:color w:val="231F20"/>
          <w:w w:val="105"/>
        </w:rPr>
        <w:t>lo</w:t>
      </w:r>
      <w:r>
        <w:rPr>
          <w:color w:val="231F20"/>
          <w:spacing w:val="-7"/>
          <w:w w:val="105"/>
        </w:rPr>
        <w:t> </w:t>
      </w:r>
      <w:r>
        <w:rPr>
          <w:color w:val="231F20"/>
          <w:w w:val="105"/>
        </w:rPr>
        <w:t>mismo</w:t>
      </w:r>
      <w:r>
        <w:rPr>
          <w:color w:val="231F20"/>
          <w:spacing w:val="-7"/>
          <w:w w:val="105"/>
        </w:rPr>
        <w:t> </w:t>
      </w:r>
      <w:r>
        <w:rPr>
          <w:color w:val="231F20"/>
          <w:w w:val="105"/>
        </w:rPr>
        <w:t>entre</w:t>
      </w:r>
      <w:r>
        <w:rPr>
          <w:color w:val="231F20"/>
          <w:spacing w:val="-7"/>
          <w:w w:val="105"/>
        </w:rPr>
        <w:t> </w:t>
      </w:r>
      <w:r>
        <w:rPr>
          <w:color w:val="231F20"/>
          <w:w w:val="105"/>
        </w:rPr>
        <w:t>los</w:t>
      </w:r>
      <w:r>
        <w:rPr>
          <w:color w:val="231F20"/>
          <w:spacing w:val="-7"/>
          <w:w w:val="105"/>
        </w:rPr>
        <w:t> </w:t>
      </w:r>
      <w:r>
        <w:rPr>
          <w:color w:val="231F20"/>
          <w:w w:val="105"/>
        </w:rPr>
        <w:t>ni- ños educados en lengua española, quienes al llegar a Estados Unidos encuentran serias dificultades para integrarse al sistema educativo es- tadounidense, particularmente cuando no se cuenta con mecanismos pedagógicos</w:t>
      </w:r>
      <w:r>
        <w:rPr>
          <w:color w:val="231F20"/>
          <w:spacing w:val="-11"/>
          <w:w w:val="105"/>
        </w:rPr>
        <w:t> </w:t>
      </w:r>
      <w:r>
        <w:rPr>
          <w:color w:val="231F20"/>
          <w:w w:val="105"/>
        </w:rPr>
        <w:t>de</w:t>
      </w:r>
      <w:r>
        <w:rPr>
          <w:color w:val="231F20"/>
          <w:spacing w:val="-11"/>
          <w:w w:val="105"/>
        </w:rPr>
        <w:t> </w:t>
      </w:r>
      <w:r>
        <w:rPr>
          <w:color w:val="231F20"/>
          <w:w w:val="105"/>
        </w:rPr>
        <w:t>asimilación</w:t>
      </w:r>
      <w:r>
        <w:rPr>
          <w:color w:val="231F20"/>
          <w:spacing w:val="-11"/>
          <w:w w:val="105"/>
        </w:rPr>
        <w:t> </w:t>
      </w:r>
      <w:r>
        <w:rPr>
          <w:color w:val="231F20"/>
          <w:w w:val="105"/>
        </w:rPr>
        <w:t>y</w:t>
      </w:r>
      <w:r>
        <w:rPr>
          <w:color w:val="231F20"/>
          <w:spacing w:val="-11"/>
          <w:w w:val="105"/>
        </w:rPr>
        <w:t> </w:t>
      </w:r>
      <w:r>
        <w:rPr>
          <w:color w:val="231F20"/>
          <w:w w:val="105"/>
        </w:rPr>
        <w:t>adaptación</w:t>
      </w:r>
      <w:r>
        <w:rPr>
          <w:color w:val="231F20"/>
          <w:spacing w:val="-11"/>
          <w:w w:val="105"/>
        </w:rPr>
        <w:t> </w:t>
      </w:r>
      <w:r>
        <w:rPr>
          <w:color w:val="231F20"/>
          <w:w w:val="105"/>
        </w:rPr>
        <w:t>al</w:t>
      </w:r>
      <w:r>
        <w:rPr>
          <w:color w:val="231F20"/>
          <w:spacing w:val="-11"/>
          <w:w w:val="105"/>
        </w:rPr>
        <w:t> </w:t>
      </w:r>
      <w:r>
        <w:rPr>
          <w:color w:val="231F20"/>
          <w:w w:val="105"/>
        </w:rPr>
        <w:t>nuevo</w:t>
      </w:r>
      <w:r>
        <w:rPr>
          <w:color w:val="231F20"/>
          <w:spacing w:val="-11"/>
          <w:w w:val="105"/>
        </w:rPr>
        <w:t> </w:t>
      </w:r>
      <w:r>
        <w:rPr>
          <w:color w:val="231F20"/>
          <w:w w:val="105"/>
        </w:rPr>
        <w:t>contexto</w:t>
      </w:r>
      <w:r>
        <w:rPr>
          <w:color w:val="231F20"/>
          <w:spacing w:val="-11"/>
          <w:w w:val="105"/>
        </w:rPr>
        <w:t> </w:t>
      </w:r>
      <w:r>
        <w:rPr>
          <w:color w:val="231F20"/>
          <w:w w:val="105"/>
        </w:rPr>
        <w:t>educativo.</w:t>
      </w:r>
    </w:p>
    <w:p>
      <w:pPr>
        <w:pStyle w:val="BodyText"/>
        <w:spacing w:line="261" w:lineRule="auto" w:before="1"/>
        <w:ind w:left="1837" w:right="1721" w:firstLine="567"/>
        <w:jc w:val="both"/>
      </w:pPr>
      <w:r>
        <w:rPr>
          <w:color w:val="231F20"/>
          <w:w w:val="105"/>
        </w:rPr>
        <w:t>En</w:t>
      </w:r>
      <w:r>
        <w:rPr>
          <w:color w:val="231F20"/>
          <w:spacing w:val="-20"/>
          <w:w w:val="105"/>
        </w:rPr>
        <w:t> </w:t>
      </w:r>
      <w:r>
        <w:rPr>
          <w:color w:val="231F20"/>
          <w:w w:val="105"/>
        </w:rPr>
        <w:t>tal</w:t>
      </w:r>
      <w:r>
        <w:rPr>
          <w:color w:val="231F20"/>
          <w:spacing w:val="-20"/>
          <w:w w:val="105"/>
        </w:rPr>
        <w:t> </w:t>
      </w:r>
      <w:r>
        <w:rPr>
          <w:color w:val="231F20"/>
          <w:w w:val="105"/>
        </w:rPr>
        <w:t>sentido,</w:t>
      </w:r>
      <w:r>
        <w:rPr>
          <w:color w:val="231F20"/>
          <w:spacing w:val="-26"/>
          <w:w w:val="105"/>
        </w:rPr>
        <w:t> </w:t>
      </w:r>
      <w:r>
        <w:rPr>
          <w:color w:val="231F20"/>
          <w:w w:val="105"/>
        </w:rPr>
        <w:t>emerge</w:t>
      </w:r>
      <w:r>
        <w:rPr>
          <w:color w:val="231F20"/>
          <w:spacing w:val="-20"/>
          <w:w w:val="105"/>
        </w:rPr>
        <w:t> </w:t>
      </w:r>
      <w:r>
        <w:rPr>
          <w:color w:val="231F20"/>
          <w:w w:val="105"/>
        </w:rPr>
        <w:t>la</w:t>
      </w:r>
      <w:r>
        <w:rPr>
          <w:color w:val="231F20"/>
          <w:spacing w:val="-20"/>
          <w:w w:val="105"/>
        </w:rPr>
        <w:t> </w:t>
      </w:r>
      <w:r>
        <w:rPr>
          <w:color w:val="231F20"/>
          <w:w w:val="105"/>
        </w:rPr>
        <w:t>necesidad</w:t>
      </w:r>
      <w:r>
        <w:rPr>
          <w:color w:val="231F20"/>
          <w:spacing w:val="-20"/>
          <w:w w:val="105"/>
        </w:rPr>
        <w:t> </w:t>
      </w:r>
      <w:r>
        <w:rPr>
          <w:color w:val="231F20"/>
          <w:w w:val="105"/>
        </w:rPr>
        <w:t>de</w:t>
      </w:r>
      <w:r>
        <w:rPr>
          <w:color w:val="231F20"/>
          <w:spacing w:val="-20"/>
          <w:w w:val="105"/>
        </w:rPr>
        <w:t> </w:t>
      </w:r>
      <w:r>
        <w:rPr>
          <w:color w:val="231F20"/>
          <w:w w:val="105"/>
        </w:rPr>
        <w:t>implementar</w:t>
      </w:r>
      <w:r>
        <w:rPr>
          <w:color w:val="231F20"/>
          <w:spacing w:val="-20"/>
          <w:w w:val="105"/>
        </w:rPr>
        <w:t> </w:t>
      </w:r>
      <w:r>
        <w:rPr>
          <w:color w:val="231F20"/>
          <w:w w:val="105"/>
        </w:rPr>
        <w:t>estrategias</w:t>
      </w:r>
      <w:r>
        <w:rPr>
          <w:color w:val="231F20"/>
          <w:spacing w:val="-20"/>
          <w:w w:val="105"/>
        </w:rPr>
        <w:t> </w:t>
      </w:r>
      <w:r>
        <w:rPr>
          <w:color w:val="231F20"/>
          <w:w w:val="105"/>
        </w:rPr>
        <w:t>fo- calizadas en los menores en edad escolar que viven en un contexto de migración,</w:t>
      </w:r>
      <w:r>
        <w:rPr>
          <w:color w:val="231F20"/>
          <w:spacing w:val="-22"/>
          <w:w w:val="105"/>
        </w:rPr>
        <w:t> </w:t>
      </w:r>
      <w:r>
        <w:rPr>
          <w:color w:val="231F20"/>
          <w:w w:val="105"/>
        </w:rPr>
        <w:t>pues</w:t>
      </w:r>
      <w:r>
        <w:rPr>
          <w:color w:val="231F20"/>
          <w:spacing w:val="-18"/>
          <w:w w:val="105"/>
        </w:rPr>
        <w:t> </w:t>
      </w:r>
      <w:r>
        <w:rPr>
          <w:color w:val="231F20"/>
          <w:w w:val="105"/>
        </w:rPr>
        <w:t>sus</w:t>
      </w:r>
      <w:r>
        <w:rPr>
          <w:color w:val="231F20"/>
          <w:spacing w:val="-18"/>
          <w:w w:val="105"/>
        </w:rPr>
        <w:t> </w:t>
      </w:r>
      <w:r>
        <w:rPr>
          <w:color w:val="231F20"/>
          <w:w w:val="105"/>
        </w:rPr>
        <w:t>trayectorias</w:t>
      </w:r>
      <w:r>
        <w:rPr>
          <w:color w:val="231F20"/>
          <w:spacing w:val="-18"/>
          <w:w w:val="105"/>
        </w:rPr>
        <w:t> </w:t>
      </w:r>
      <w:r>
        <w:rPr>
          <w:color w:val="231F20"/>
          <w:w w:val="105"/>
        </w:rPr>
        <w:t>educativas</w:t>
      </w:r>
      <w:r>
        <w:rPr>
          <w:color w:val="231F20"/>
          <w:spacing w:val="-18"/>
          <w:w w:val="105"/>
        </w:rPr>
        <w:t> </w:t>
      </w:r>
      <w:r>
        <w:rPr>
          <w:color w:val="231F20"/>
          <w:w w:val="105"/>
        </w:rPr>
        <w:t>varían;</w:t>
      </w:r>
      <w:r>
        <w:rPr>
          <w:color w:val="231F20"/>
          <w:spacing w:val="-18"/>
          <w:w w:val="105"/>
        </w:rPr>
        <w:t> </w:t>
      </w:r>
      <w:r>
        <w:rPr>
          <w:color w:val="231F20"/>
          <w:w w:val="105"/>
        </w:rPr>
        <w:t>por</w:t>
      </w:r>
      <w:r>
        <w:rPr>
          <w:color w:val="231F20"/>
          <w:spacing w:val="-18"/>
          <w:w w:val="105"/>
        </w:rPr>
        <w:t> </w:t>
      </w:r>
      <w:r>
        <w:rPr>
          <w:color w:val="231F20"/>
          <w:w w:val="105"/>
        </w:rPr>
        <w:t>un</w:t>
      </w:r>
      <w:r>
        <w:rPr>
          <w:color w:val="231F20"/>
          <w:spacing w:val="-18"/>
          <w:w w:val="105"/>
        </w:rPr>
        <w:t> </w:t>
      </w:r>
      <w:r>
        <w:rPr>
          <w:color w:val="231F20"/>
          <w:w w:val="105"/>
        </w:rPr>
        <w:t>lado</w:t>
      </w:r>
      <w:r>
        <w:rPr>
          <w:color w:val="231F20"/>
          <w:spacing w:val="-18"/>
          <w:w w:val="105"/>
        </w:rPr>
        <w:t> </w:t>
      </w:r>
      <w:r>
        <w:rPr>
          <w:color w:val="231F20"/>
          <w:w w:val="105"/>
        </w:rPr>
        <w:t>están</w:t>
      </w:r>
      <w:r>
        <w:rPr>
          <w:color w:val="231F20"/>
          <w:spacing w:val="-18"/>
          <w:w w:val="105"/>
        </w:rPr>
        <w:t> </w:t>
      </w:r>
      <w:r>
        <w:rPr>
          <w:color w:val="231F20"/>
          <w:w w:val="105"/>
        </w:rPr>
        <w:t>los que nacieron en México e inician su escolaridad en la comunidad, emi- gran</w:t>
      </w:r>
      <w:r>
        <w:rPr>
          <w:color w:val="231F20"/>
          <w:spacing w:val="-9"/>
          <w:w w:val="105"/>
        </w:rPr>
        <w:t> </w:t>
      </w:r>
      <w:r>
        <w:rPr>
          <w:color w:val="231F20"/>
          <w:w w:val="105"/>
        </w:rPr>
        <w:t>a</w:t>
      </w:r>
      <w:r>
        <w:rPr>
          <w:color w:val="231F20"/>
          <w:spacing w:val="-9"/>
          <w:w w:val="105"/>
        </w:rPr>
        <w:t> </w:t>
      </w:r>
      <w:r>
        <w:rPr>
          <w:color w:val="231F20"/>
          <w:w w:val="105"/>
        </w:rPr>
        <w:t>Estados</w:t>
      </w:r>
      <w:r>
        <w:rPr>
          <w:color w:val="231F20"/>
          <w:spacing w:val="-9"/>
          <w:w w:val="105"/>
        </w:rPr>
        <w:t> </w:t>
      </w:r>
      <w:r>
        <w:rPr>
          <w:color w:val="231F20"/>
          <w:w w:val="105"/>
        </w:rPr>
        <w:t>Unidos</w:t>
      </w:r>
      <w:r>
        <w:rPr>
          <w:color w:val="231F20"/>
          <w:spacing w:val="-9"/>
          <w:w w:val="105"/>
        </w:rPr>
        <w:t> </w:t>
      </w:r>
      <w:r>
        <w:rPr>
          <w:color w:val="231F20"/>
          <w:w w:val="105"/>
        </w:rPr>
        <w:t>y</w:t>
      </w:r>
      <w:r>
        <w:rPr>
          <w:color w:val="231F20"/>
          <w:spacing w:val="-9"/>
          <w:w w:val="105"/>
        </w:rPr>
        <w:t> </w:t>
      </w:r>
      <w:r>
        <w:rPr>
          <w:color w:val="231F20"/>
          <w:w w:val="105"/>
        </w:rPr>
        <w:t>posteriormente,</w:t>
      </w:r>
      <w:r>
        <w:rPr>
          <w:color w:val="231F20"/>
          <w:spacing w:val="-14"/>
          <w:w w:val="105"/>
        </w:rPr>
        <w:t> </w:t>
      </w:r>
      <w:r>
        <w:rPr>
          <w:color w:val="231F20"/>
          <w:w w:val="105"/>
        </w:rPr>
        <w:t>por</w:t>
      </w:r>
      <w:r>
        <w:rPr>
          <w:color w:val="231F20"/>
          <w:spacing w:val="-9"/>
          <w:w w:val="105"/>
        </w:rPr>
        <w:t> </w:t>
      </w:r>
      <w:r>
        <w:rPr>
          <w:color w:val="231F20"/>
          <w:w w:val="105"/>
        </w:rPr>
        <w:t>diversas</w:t>
      </w:r>
      <w:r>
        <w:rPr>
          <w:color w:val="231F20"/>
          <w:spacing w:val="-9"/>
          <w:w w:val="105"/>
        </w:rPr>
        <w:t> </w:t>
      </w:r>
      <w:r>
        <w:rPr>
          <w:color w:val="231F20"/>
          <w:w w:val="105"/>
        </w:rPr>
        <w:t>cuestiones,</w:t>
      </w:r>
      <w:r>
        <w:rPr>
          <w:color w:val="231F20"/>
          <w:spacing w:val="-14"/>
          <w:w w:val="105"/>
        </w:rPr>
        <w:t> </w:t>
      </w:r>
      <w:r>
        <w:rPr>
          <w:color w:val="231F20"/>
          <w:w w:val="105"/>
        </w:rPr>
        <w:t>retor- nan</w:t>
      </w:r>
      <w:r>
        <w:rPr>
          <w:color w:val="231F20"/>
          <w:spacing w:val="-7"/>
          <w:w w:val="105"/>
        </w:rPr>
        <w:t> </w:t>
      </w:r>
      <w:r>
        <w:rPr>
          <w:color w:val="231F20"/>
          <w:w w:val="105"/>
        </w:rPr>
        <w:t>a</w:t>
      </w:r>
      <w:r>
        <w:rPr>
          <w:color w:val="231F20"/>
          <w:spacing w:val="-7"/>
          <w:w w:val="105"/>
        </w:rPr>
        <w:t> </w:t>
      </w:r>
      <w:r>
        <w:rPr>
          <w:color w:val="231F20"/>
          <w:w w:val="105"/>
        </w:rPr>
        <w:t>México.</w:t>
      </w:r>
      <w:r>
        <w:rPr>
          <w:color w:val="231F20"/>
          <w:spacing w:val="-12"/>
          <w:w w:val="105"/>
        </w:rPr>
        <w:t> </w:t>
      </w:r>
      <w:r>
        <w:rPr>
          <w:color w:val="231F20"/>
          <w:spacing w:val="-6"/>
          <w:w w:val="105"/>
        </w:rPr>
        <w:t>Por</w:t>
      </w:r>
      <w:r>
        <w:rPr>
          <w:color w:val="231F20"/>
          <w:spacing w:val="-7"/>
          <w:w w:val="105"/>
        </w:rPr>
        <w:t> </w:t>
      </w:r>
      <w:r>
        <w:rPr>
          <w:color w:val="231F20"/>
          <w:w w:val="105"/>
        </w:rPr>
        <w:t>otro</w:t>
      </w:r>
      <w:r>
        <w:rPr>
          <w:color w:val="231F20"/>
          <w:spacing w:val="-7"/>
          <w:w w:val="105"/>
        </w:rPr>
        <w:t> </w:t>
      </w:r>
      <w:r>
        <w:rPr>
          <w:color w:val="231F20"/>
          <w:w w:val="105"/>
        </w:rPr>
        <w:t>lado</w:t>
      </w:r>
      <w:r>
        <w:rPr>
          <w:color w:val="231F20"/>
          <w:spacing w:val="-7"/>
          <w:w w:val="105"/>
        </w:rPr>
        <w:t> </w:t>
      </w:r>
      <w:r>
        <w:rPr>
          <w:color w:val="231F20"/>
          <w:w w:val="105"/>
        </w:rPr>
        <w:t>están</w:t>
      </w:r>
      <w:r>
        <w:rPr>
          <w:color w:val="231F20"/>
          <w:spacing w:val="-7"/>
          <w:w w:val="105"/>
        </w:rPr>
        <w:t> </w:t>
      </w:r>
      <w:r>
        <w:rPr>
          <w:color w:val="231F20"/>
          <w:w w:val="105"/>
        </w:rPr>
        <w:t>los</w:t>
      </w:r>
      <w:r>
        <w:rPr>
          <w:color w:val="231F20"/>
          <w:spacing w:val="-7"/>
          <w:w w:val="105"/>
        </w:rPr>
        <w:t> </w:t>
      </w:r>
      <w:r>
        <w:rPr>
          <w:color w:val="231F20"/>
          <w:w w:val="105"/>
        </w:rPr>
        <w:t>que</w:t>
      </w:r>
      <w:r>
        <w:rPr>
          <w:color w:val="231F20"/>
          <w:spacing w:val="-7"/>
          <w:w w:val="105"/>
        </w:rPr>
        <w:t> </w:t>
      </w:r>
      <w:r>
        <w:rPr>
          <w:color w:val="231F20"/>
          <w:w w:val="105"/>
        </w:rPr>
        <w:t>nacen</w:t>
      </w:r>
      <w:r>
        <w:rPr>
          <w:color w:val="231F20"/>
          <w:spacing w:val="-7"/>
          <w:w w:val="105"/>
        </w:rPr>
        <w:t> </w:t>
      </w:r>
      <w:r>
        <w:rPr>
          <w:color w:val="231F20"/>
          <w:w w:val="105"/>
        </w:rPr>
        <w:t>en</w:t>
      </w:r>
      <w:r>
        <w:rPr>
          <w:color w:val="231F20"/>
          <w:spacing w:val="-7"/>
          <w:w w:val="105"/>
        </w:rPr>
        <w:t> </w:t>
      </w:r>
      <w:r>
        <w:rPr>
          <w:color w:val="231F20"/>
          <w:w w:val="105"/>
        </w:rPr>
        <w:t>México,</w:t>
      </w:r>
      <w:r>
        <w:rPr>
          <w:color w:val="231F20"/>
          <w:spacing w:val="-12"/>
          <w:w w:val="105"/>
        </w:rPr>
        <w:t> </w:t>
      </w:r>
      <w:r>
        <w:rPr>
          <w:color w:val="231F20"/>
          <w:w w:val="105"/>
        </w:rPr>
        <w:t>pero</w:t>
      </w:r>
      <w:r>
        <w:rPr>
          <w:color w:val="231F20"/>
          <w:spacing w:val="-7"/>
          <w:w w:val="105"/>
        </w:rPr>
        <w:t> </w:t>
      </w:r>
      <w:r>
        <w:rPr>
          <w:color w:val="231F20"/>
          <w:w w:val="105"/>
        </w:rPr>
        <w:t>entran por</w:t>
      </w:r>
      <w:r>
        <w:rPr>
          <w:color w:val="231F20"/>
          <w:spacing w:val="-15"/>
          <w:w w:val="105"/>
        </w:rPr>
        <w:t> </w:t>
      </w:r>
      <w:r>
        <w:rPr>
          <w:color w:val="231F20"/>
          <w:w w:val="105"/>
        </w:rPr>
        <w:t>primera</w:t>
      </w:r>
      <w:r>
        <w:rPr>
          <w:color w:val="231F20"/>
          <w:spacing w:val="-15"/>
          <w:w w:val="105"/>
        </w:rPr>
        <w:t> </w:t>
      </w:r>
      <w:r>
        <w:rPr>
          <w:color w:val="231F20"/>
          <w:w w:val="105"/>
        </w:rPr>
        <w:t>vez</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escuela</w:t>
      </w:r>
      <w:r>
        <w:rPr>
          <w:color w:val="231F20"/>
          <w:spacing w:val="-15"/>
          <w:w w:val="105"/>
        </w:rPr>
        <w:t> </w:t>
      </w:r>
      <w:r>
        <w:rPr>
          <w:color w:val="231F20"/>
          <w:w w:val="105"/>
        </w:rPr>
        <w:t>en</w:t>
      </w:r>
      <w:r>
        <w:rPr>
          <w:color w:val="231F20"/>
          <w:spacing w:val="-15"/>
          <w:w w:val="105"/>
        </w:rPr>
        <w:t> </w:t>
      </w:r>
      <w:r>
        <w:rPr>
          <w:color w:val="231F20"/>
          <w:w w:val="105"/>
        </w:rPr>
        <w:t>Estados</w:t>
      </w:r>
      <w:r>
        <w:rPr>
          <w:color w:val="231F20"/>
          <w:spacing w:val="-15"/>
          <w:w w:val="105"/>
        </w:rPr>
        <w:t> </w:t>
      </w:r>
      <w:r>
        <w:rPr>
          <w:color w:val="231F20"/>
          <w:w w:val="105"/>
        </w:rPr>
        <w:t>Unidos</w:t>
      </w:r>
      <w:r>
        <w:rPr>
          <w:color w:val="231F20"/>
          <w:spacing w:val="-15"/>
          <w:w w:val="105"/>
        </w:rPr>
        <w:t> </w:t>
      </w:r>
      <w:r>
        <w:rPr>
          <w:color w:val="231F20"/>
          <w:w w:val="105"/>
        </w:rPr>
        <w:t>y</w:t>
      </w:r>
      <w:r>
        <w:rPr>
          <w:color w:val="231F20"/>
          <w:spacing w:val="-15"/>
          <w:w w:val="105"/>
        </w:rPr>
        <w:t> </w:t>
      </w:r>
      <w:r>
        <w:rPr>
          <w:color w:val="231F20"/>
          <w:w w:val="105"/>
        </w:rPr>
        <w:t>regresan</w:t>
      </w:r>
      <w:r>
        <w:rPr>
          <w:color w:val="231F20"/>
          <w:spacing w:val="-15"/>
          <w:w w:val="105"/>
        </w:rPr>
        <w:t> </w:t>
      </w:r>
      <w:r>
        <w:rPr>
          <w:color w:val="231F20"/>
          <w:w w:val="105"/>
        </w:rPr>
        <w:t>a</w:t>
      </w:r>
      <w:r>
        <w:rPr>
          <w:color w:val="231F20"/>
          <w:spacing w:val="-15"/>
          <w:w w:val="105"/>
        </w:rPr>
        <w:t> </w:t>
      </w:r>
      <w:r>
        <w:rPr>
          <w:color w:val="231F20"/>
          <w:w w:val="105"/>
        </w:rPr>
        <w:t>México,</w:t>
      </w:r>
      <w:r>
        <w:rPr>
          <w:color w:val="231F20"/>
          <w:spacing w:val="-20"/>
          <w:w w:val="105"/>
        </w:rPr>
        <w:t> </w:t>
      </w:r>
      <w:r>
        <w:rPr>
          <w:color w:val="231F20"/>
          <w:w w:val="105"/>
        </w:rPr>
        <w:t>así como</w:t>
      </w:r>
      <w:r>
        <w:rPr>
          <w:color w:val="231F20"/>
          <w:spacing w:val="-4"/>
          <w:w w:val="105"/>
        </w:rPr>
        <w:t> </w:t>
      </w:r>
      <w:r>
        <w:rPr>
          <w:color w:val="231F20"/>
          <w:w w:val="105"/>
        </w:rPr>
        <w:t>los</w:t>
      </w:r>
      <w:r>
        <w:rPr>
          <w:color w:val="231F20"/>
          <w:spacing w:val="-4"/>
          <w:w w:val="105"/>
        </w:rPr>
        <w:t> </w:t>
      </w:r>
      <w:r>
        <w:rPr>
          <w:color w:val="231F20"/>
          <w:w w:val="105"/>
        </w:rPr>
        <w:t>que</w:t>
      </w:r>
      <w:r>
        <w:rPr>
          <w:color w:val="231F20"/>
          <w:spacing w:val="-4"/>
          <w:w w:val="105"/>
        </w:rPr>
        <w:t> </w:t>
      </w:r>
      <w:r>
        <w:rPr>
          <w:color w:val="231F20"/>
          <w:w w:val="105"/>
        </w:rPr>
        <w:t>nacen</w:t>
      </w:r>
      <w:r>
        <w:rPr>
          <w:color w:val="231F20"/>
          <w:spacing w:val="-4"/>
          <w:w w:val="105"/>
        </w:rPr>
        <w:t> </w:t>
      </w:r>
      <w:r>
        <w:rPr>
          <w:color w:val="231F20"/>
          <w:w w:val="105"/>
        </w:rPr>
        <w:t>en</w:t>
      </w:r>
      <w:r>
        <w:rPr>
          <w:color w:val="231F20"/>
          <w:spacing w:val="-4"/>
          <w:w w:val="105"/>
        </w:rPr>
        <w:t> </w:t>
      </w:r>
      <w:r>
        <w:rPr>
          <w:color w:val="231F20"/>
          <w:w w:val="105"/>
        </w:rPr>
        <w:t>Estados</w:t>
      </w:r>
      <w:r>
        <w:rPr>
          <w:color w:val="231F20"/>
          <w:spacing w:val="-4"/>
          <w:w w:val="105"/>
        </w:rPr>
        <w:t> </w:t>
      </w:r>
      <w:r>
        <w:rPr>
          <w:color w:val="231F20"/>
          <w:w w:val="105"/>
        </w:rPr>
        <w:t>Unidos</w:t>
      </w:r>
      <w:r>
        <w:rPr>
          <w:color w:val="231F20"/>
          <w:spacing w:val="-4"/>
          <w:w w:val="105"/>
        </w:rPr>
        <w:t> </w:t>
      </w:r>
      <w:r>
        <w:rPr>
          <w:color w:val="231F20"/>
          <w:w w:val="105"/>
        </w:rPr>
        <w:t>y</w:t>
      </w:r>
      <w:r>
        <w:rPr>
          <w:color w:val="231F20"/>
          <w:spacing w:val="-4"/>
          <w:w w:val="105"/>
        </w:rPr>
        <w:t> </w:t>
      </w:r>
      <w:r>
        <w:rPr>
          <w:color w:val="231F20"/>
          <w:w w:val="105"/>
        </w:rPr>
        <w:t>vienen</w:t>
      </w:r>
      <w:r>
        <w:rPr>
          <w:color w:val="231F20"/>
          <w:spacing w:val="-4"/>
          <w:w w:val="105"/>
        </w:rPr>
        <w:t> </w:t>
      </w:r>
      <w:r>
        <w:rPr>
          <w:color w:val="231F20"/>
          <w:w w:val="105"/>
        </w:rPr>
        <w:t>por</w:t>
      </w:r>
      <w:r>
        <w:rPr>
          <w:color w:val="231F20"/>
          <w:spacing w:val="-4"/>
          <w:w w:val="105"/>
        </w:rPr>
        <w:t> </w:t>
      </w:r>
      <w:r>
        <w:rPr>
          <w:color w:val="231F20"/>
          <w:w w:val="105"/>
        </w:rPr>
        <w:t>primera</w:t>
      </w:r>
      <w:r>
        <w:rPr>
          <w:color w:val="231F20"/>
          <w:spacing w:val="-4"/>
          <w:w w:val="105"/>
        </w:rPr>
        <w:t> </w:t>
      </w:r>
      <w:r>
        <w:rPr>
          <w:color w:val="231F20"/>
          <w:w w:val="105"/>
        </w:rPr>
        <w:t>vez</w:t>
      </w:r>
      <w:r>
        <w:rPr>
          <w:color w:val="231F20"/>
          <w:spacing w:val="-4"/>
          <w:w w:val="105"/>
        </w:rPr>
        <w:t> </w:t>
      </w:r>
      <w:r>
        <w:rPr>
          <w:color w:val="231F20"/>
          <w:w w:val="105"/>
        </w:rPr>
        <w:t>a</w:t>
      </w:r>
      <w:r>
        <w:rPr>
          <w:color w:val="231F20"/>
          <w:spacing w:val="-4"/>
          <w:w w:val="105"/>
        </w:rPr>
        <w:t> </w:t>
      </w:r>
      <w:r>
        <w:rPr>
          <w:color w:val="231F20"/>
          <w:w w:val="105"/>
        </w:rPr>
        <w:t>Mé- xico,</w:t>
      </w:r>
      <w:r>
        <w:rPr>
          <w:color w:val="231F20"/>
          <w:spacing w:val="-16"/>
          <w:w w:val="105"/>
        </w:rPr>
        <w:t> </w:t>
      </w:r>
      <w:r>
        <w:rPr>
          <w:color w:val="231F20"/>
          <w:w w:val="105"/>
        </w:rPr>
        <w:t>y/o</w:t>
      </w:r>
      <w:r>
        <w:rPr>
          <w:color w:val="231F20"/>
          <w:spacing w:val="-11"/>
          <w:w w:val="105"/>
        </w:rPr>
        <w:t> </w:t>
      </w:r>
      <w:r>
        <w:rPr>
          <w:color w:val="231F20"/>
          <w:w w:val="105"/>
        </w:rPr>
        <w:t>los</w:t>
      </w:r>
      <w:r>
        <w:rPr>
          <w:color w:val="231F20"/>
          <w:spacing w:val="-11"/>
          <w:w w:val="105"/>
        </w:rPr>
        <w:t> </w:t>
      </w:r>
      <w:r>
        <w:rPr>
          <w:color w:val="231F20"/>
          <w:w w:val="105"/>
        </w:rPr>
        <w:t>que</w:t>
      </w:r>
      <w:r>
        <w:rPr>
          <w:color w:val="231F20"/>
          <w:spacing w:val="-11"/>
          <w:w w:val="105"/>
        </w:rPr>
        <w:t> </w:t>
      </w:r>
      <w:r>
        <w:rPr>
          <w:color w:val="231F20"/>
          <w:w w:val="105"/>
        </w:rPr>
        <w:t>cada</w:t>
      </w:r>
      <w:r>
        <w:rPr>
          <w:color w:val="231F20"/>
          <w:spacing w:val="-11"/>
          <w:w w:val="105"/>
        </w:rPr>
        <w:t> </w:t>
      </w:r>
      <w:r>
        <w:rPr>
          <w:color w:val="231F20"/>
          <w:w w:val="105"/>
        </w:rPr>
        <w:t>año</w:t>
      </w:r>
      <w:r>
        <w:rPr>
          <w:color w:val="231F20"/>
          <w:spacing w:val="-11"/>
          <w:w w:val="105"/>
        </w:rPr>
        <w:t> </w:t>
      </w:r>
      <w:r>
        <w:rPr>
          <w:color w:val="231F20"/>
          <w:w w:val="105"/>
        </w:rPr>
        <w:t>viven</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dos</w:t>
      </w:r>
      <w:r>
        <w:rPr>
          <w:color w:val="231F20"/>
          <w:spacing w:val="-11"/>
          <w:w w:val="105"/>
        </w:rPr>
        <w:t> </w:t>
      </w:r>
      <w:r>
        <w:rPr>
          <w:color w:val="231F20"/>
          <w:w w:val="105"/>
        </w:rPr>
        <w:t>sistemas</w:t>
      </w:r>
      <w:r>
        <w:rPr>
          <w:color w:val="231F20"/>
          <w:spacing w:val="-11"/>
          <w:w w:val="105"/>
        </w:rPr>
        <w:t> </w:t>
      </w:r>
      <w:r>
        <w:rPr>
          <w:color w:val="231F20"/>
          <w:w w:val="105"/>
        </w:rPr>
        <w:t>educativos.</w:t>
      </w:r>
      <w:r>
        <w:rPr>
          <w:color w:val="231F20"/>
          <w:spacing w:val="-16"/>
          <w:w w:val="105"/>
        </w:rPr>
        <w:t> </w:t>
      </w:r>
      <w:r>
        <w:rPr>
          <w:color w:val="231F20"/>
          <w:w w:val="105"/>
        </w:rPr>
        <w:t>Lo</w:t>
      </w:r>
      <w:r>
        <w:rPr>
          <w:color w:val="231F20"/>
          <w:spacing w:val="-11"/>
          <w:w w:val="105"/>
        </w:rPr>
        <w:t> </w:t>
      </w:r>
      <w:r>
        <w:rPr>
          <w:color w:val="231F20"/>
          <w:w w:val="105"/>
        </w:rPr>
        <w:t>mis- mo</w:t>
      </w:r>
      <w:r>
        <w:rPr>
          <w:color w:val="231F20"/>
          <w:spacing w:val="-18"/>
          <w:w w:val="105"/>
        </w:rPr>
        <w:t> </w:t>
      </w:r>
      <w:r>
        <w:rPr>
          <w:color w:val="231F20"/>
          <w:w w:val="105"/>
        </w:rPr>
        <w:t>ocurre</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población</w:t>
      </w:r>
      <w:r>
        <w:rPr>
          <w:color w:val="231F20"/>
          <w:spacing w:val="-18"/>
          <w:w w:val="105"/>
        </w:rPr>
        <w:t> </w:t>
      </w:r>
      <w:r>
        <w:rPr>
          <w:color w:val="231F20"/>
          <w:w w:val="105"/>
        </w:rPr>
        <w:t>extranjera</w:t>
      </w:r>
      <w:r>
        <w:rPr>
          <w:color w:val="231F20"/>
          <w:spacing w:val="-18"/>
          <w:w w:val="105"/>
        </w:rPr>
        <w:t> </w:t>
      </w:r>
      <w:r>
        <w:rPr>
          <w:color w:val="231F20"/>
          <w:w w:val="105"/>
        </w:rPr>
        <w:t>que</w:t>
      </w:r>
      <w:r>
        <w:rPr>
          <w:color w:val="231F20"/>
          <w:spacing w:val="-18"/>
          <w:w w:val="105"/>
        </w:rPr>
        <w:t> </w:t>
      </w:r>
      <w:r>
        <w:rPr>
          <w:color w:val="231F20"/>
          <w:w w:val="105"/>
        </w:rPr>
        <w:t>busca</w:t>
      </w:r>
      <w:r>
        <w:rPr>
          <w:color w:val="231F20"/>
          <w:spacing w:val="-18"/>
          <w:w w:val="105"/>
        </w:rPr>
        <w:t> </w:t>
      </w:r>
      <w:r>
        <w:rPr>
          <w:color w:val="231F20"/>
          <w:w w:val="105"/>
        </w:rPr>
        <w:t>incorporarse</w:t>
      </w:r>
      <w:r>
        <w:rPr>
          <w:color w:val="231F20"/>
          <w:spacing w:val="-18"/>
          <w:w w:val="105"/>
        </w:rPr>
        <w:t> </w:t>
      </w:r>
      <w:r>
        <w:rPr>
          <w:color w:val="231F20"/>
          <w:w w:val="105"/>
        </w:rPr>
        <w:t>al</w:t>
      </w:r>
      <w:r>
        <w:rPr>
          <w:color w:val="231F20"/>
          <w:spacing w:val="-18"/>
          <w:w w:val="105"/>
        </w:rPr>
        <w:t> </w:t>
      </w:r>
      <w:r>
        <w:rPr>
          <w:color w:val="231F20"/>
          <w:w w:val="105"/>
        </w:rPr>
        <w:t>sistema educativo</w:t>
      </w:r>
      <w:r>
        <w:rPr>
          <w:color w:val="231F20"/>
          <w:spacing w:val="-9"/>
          <w:w w:val="105"/>
        </w:rPr>
        <w:t> </w:t>
      </w:r>
      <w:r>
        <w:rPr>
          <w:color w:val="231F20"/>
          <w:w w:val="105"/>
        </w:rPr>
        <w:t>nacional,</w:t>
      </w:r>
      <w:r>
        <w:rPr>
          <w:color w:val="231F20"/>
          <w:spacing w:val="-14"/>
          <w:w w:val="105"/>
        </w:rPr>
        <w:t> </w:t>
      </w:r>
      <w:r>
        <w:rPr>
          <w:color w:val="231F20"/>
          <w:w w:val="105"/>
        </w:rPr>
        <w:t>después</w:t>
      </w:r>
      <w:r>
        <w:rPr>
          <w:color w:val="231F20"/>
          <w:spacing w:val="-9"/>
          <w:w w:val="105"/>
        </w:rPr>
        <w:t> </w:t>
      </w:r>
      <w:r>
        <w:rPr>
          <w:color w:val="231F20"/>
          <w:w w:val="105"/>
        </w:rPr>
        <w:t>de</w:t>
      </w:r>
      <w:r>
        <w:rPr>
          <w:color w:val="231F20"/>
          <w:spacing w:val="-9"/>
          <w:w w:val="105"/>
        </w:rPr>
        <w:t> </w:t>
      </w:r>
      <w:r>
        <w:rPr>
          <w:color w:val="231F20"/>
          <w:w w:val="105"/>
        </w:rPr>
        <w:t>haber</w:t>
      </w:r>
      <w:r>
        <w:rPr>
          <w:color w:val="231F20"/>
          <w:spacing w:val="-9"/>
          <w:w w:val="105"/>
        </w:rPr>
        <w:t> </w:t>
      </w:r>
      <w:r>
        <w:rPr>
          <w:color w:val="231F20"/>
          <w:w w:val="105"/>
        </w:rPr>
        <w:t>iniciado</w:t>
      </w:r>
      <w:r>
        <w:rPr>
          <w:color w:val="231F20"/>
          <w:spacing w:val="-9"/>
          <w:w w:val="105"/>
        </w:rPr>
        <w:t> </w:t>
      </w:r>
      <w:r>
        <w:rPr>
          <w:color w:val="231F20"/>
          <w:w w:val="105"/>
        </w:rPr>
        <w:t>sus</w:t>
      </w:r>
      <w:r>
        <w:rPr>
          <w:color w:val="231F20"/>
          <w:spacing w:val="-9"/>
          <w:w w:val="105"/>
        </w:rPr>
        <w:t> </w:t>
      </w:r>
      <w:r>
        <w:rPr>
          <w:color w:val="231F20"/>
          <w:w w:val="105"/>
        </w:rPr>
        <w:t>procesos</w:t>
      </w:r>
      <w:r>
        <w:rPr>
          <w:color w:val="231F20"/>
          <w:spacing w:val="-9"/>
          <w:w w:val="105"/>
        </w:rPr>
        <w:t> </w:t>
      </w:r>
      <w:r>
        <w:rPr>
          <w:color w:val="231F20"/>
          <w:w w:val="105"/>
        </w:rPr>
        <w:t>educativos en</w:t>
      </w:r>
      <w:r>
        <w:rPr>
          <w:color w:val="231F20"/>
          <w:spacing w:val="-11"/>
          <w:w w:val="105"/>
        </w:rPr>
        <w:t> </w:t>
      </w:r>
      <w:r>
        <w:rPr>
          <w:color w:val="231F20"/>
          <w:w w:val="105"/>
        </w:rPr>
        <w:t>su</w:t>
      </w:r>
      <w:r>
        <w:rPr>
          <w:color w:val="231F20"/>
          <w:spacing w:val="-11"/>
          <w:w w:val="105"/>
        </w:rPr>
        <w:t> </w:t>
      </w:r>
      <w:r>
        <w:rPr>
          <w:color w:val="231F20"/>
          <w:w w:val="105"/>
        </w:rPr>
        <w:t>país</w:t>
      </w:r>
      <w:r>
        <w:rPr>
          <w:color w:val="231F20"/>
          <w:spacing w:val="-11"/>
          <w:w w:val="105"/>
        </w:rPr>
        <w:t> </w:t>
      </w:r>
      <w:r>
        <w:rPr>
          <w:color w:val="231F20"/>
          <w:w w:val="105"/>
        </w:rPr>
        <w:t>de</w:t>
      </w:r>
      <w:r>
        <w:rPr>
          <w:color w:val="231F20"/>
          <w:spacing w:val="-11"/>
          <w:w w:val="105"/>
        </w:rPr>
        <w:t> </w:t>
      </w:r>
      <w:r>
        <w:rPr>
          <w:color w:val="231F20"/>
          <w:w w:val="105"/>
        </w:rPr>
        <w:t>origen.</w:t>
      </w:r>
    </w:p>
    <w:p>
      <w:pPr>
        <w:pStyle w:val="BodyText"/>
        <w:spacing w:line="261" w:lineRule="auto"/>
        <w:ind w:left="1837" w:right="1721" w:firstLine="567"/>
        <w:jc w:val="both"/>
      </w:pPr>
      <w:r>
        <w:rPr/>
        <w:pict>
          <v:line style="position:absolute;mso-position-horizontal-relative:page;mso-position-vertical-relative:paragraph;z-index:-486280" from="15pt,170.131683pt" to="0pt,170.131683pt" stroked="true" strokeweight=".25pt" strokecolor="#000000">
            <w10:wrap type="none"/>
          </v:line>
        </w:pict>
      </w:r>
      <w:r>
        <w:rPr/>
        <w:pict>
          <v:line style="position:absolute;mso-position-horizontal-relative:page;mso-position-vertical-relative:paragraph;z-index:3928" from="508.890015pt,170.131683pt" to="523.890015pt,170.131683pt" stroked="true" strokeweight=".25pt" strokecolor="#000000">
            <w10:wrap type="none"/>
          </v:line>
        </w:pict>
      </w:r>
      <w:r>
        <w:rPr>
          <w:color w:val="231F20"/>
          <w:w w:val="105"/>
        </w:rPr>
        <w:t>A</w:t>
      </w:r>
      <w:r>
        <w:rPr>
          <w:color w:val="231F20"/>
          <w:spacing w:val="-26"/>
          <w:w w:val="105"/>
        </w:rPr>
        <w:t> </w:t>
      </w:r>
      <w:r>
        <w:rPr>
          <w:color w:val="231F20"/>
          <w:w w:val="105"/>
        </w:rPr>
        <w:t>estas</w:t>
      </w:r>
      <w:r>
        <w:rPr>
          <w:color w:val="231F20"/>
          <w:spacing w:val="-23"/>
          <w:w w:val="105"/>
        </w:rPr>
        <w:t> </w:t>
      </w:r>
      <w:r>
        <w:rPr>
          <w:color w:val="231F20"/>
          <w:w w:val="105"/>
        </w:rPr>
        <w:t>personas</w:t>
      </w:r>
      <w:r>
        <w:rPr>
          <w:color w:val="231F20"/>
          <w:spacing w:val="-23"/>
          <w:w w:val="105"/>
        </w:rPr>
        <w:t> </w:t>
      </w:r>
      <w:r>
        <w:rPr>
          <w:color w:val="231F20"/>
          <w:w w:val="105"/>
        </w:rPr>
        <w:t>Zúñiga</w:t>
      </w:r>
      <w:r>
        <w:rPr>
          <w:color w:val="231F20"/>
          <w:spacing w:val="-23"/>
          <w:w w:val="105"/>
        </w:rPr>
        <w:t> </w:t>
      </w:r>
      <w:r>
        <w:rPr>
          <w:rFonts w:ascii="Arial" w:hAnsi="Arial"/>
          <w:i/>
          <w:color w:val="231F20"/>
          <w:w w:val="105"/>
        </w:rPr>
        <w:t>et</w:t>
      </w:r>
      <w:r>
        <w:rPr>
          <w:rFonts w:ascii="Arial" w:hAnsi="Arial"/>
          <w:i/>
          <w:color w:val="231F20"/>
          <w:spacing w:val="-26"/>
          <w:w w:val="105"/>
        </w:rPr>
        <w:t> </w:t>
      </w:r>
      <w:r>
        <w:rPr>
          <w:rFonts w:ascii="Arial" w:hAnsi="Arial"/>
          <w:i/>
          <w:color w:val="231F20"/>
          <w:w w:val="105"/>
        </w:rPr>
        <w:t>al.,</w:t>
      </w:r>
      <w:r>
        <w:rPr>
          <w:rFonts w:ascii="Arial" w:hAnsi="Arial"/>
          <w:i/>
          <w:color w:val="231F20"/>
          <w:spacing w:val="-26"/>
          <w:w w:val="105"/>
        </w:rPr>
        <w:t> </w:t>
      </w:r>
      <w:r>
        <w:rPr>
          <w:color w:val="231F20"/>
          <w:w w:val="105"/>
        </w:rPr>
        <w:t>(2008)</w:t>
      </w:r>
      <w:r>
        <w:rPr>
          <w:color w:val="231F20"/>
          <w:spacing w:val="-23"/>
          <w:w w:val="105"/>
        </w:rPr>
        <w:t> </w:t>
      </w:r>
      <w:r>
        <w:rPr>
          <w:color w:val="231F20"/>
          <w:w w:val="105"/>
        </w:rPr>
        <w:t>los</w:t>
      </w:r>
      <w:r>
        <w:rPr>
          <w:color w:val="231F20"/>
          <w:spacing w:val="-23"/>
          <w:w w:val="105"/>
        </w:rPr>
        <w:t> </w:t>
      </w:r>
      <w:r>
        <w:rPr>
          <w:color w:val="231F20"/>
          <w:w w:val="105"/>
        </w:rPr>
        <w:t>denomina</w:t>
      </w:r>
      <w:r>
        <w:rPr>
          <w:color w:val="231F20"/>
          <w:spacing w:val="-23"/>
          <w:w w:val="105"/>
        </w:rPr>
        <w:t> </w:t>
      </w:r>
      <w:r>
        <w:rPr>
          <w:color w:val="231F20"/>
          <w:w w:val="105"/>
        </w:rPr>
        <w:t>alumnos</w:t>
      </w:r>
      <w:r>
        <w:rPr>
          <w:color w:val="231F20"/>
          <w:spacing w:val="-23"/>
          <w:w w:val="105"/>
        </w:rPr>
        <w:t> </w:t>
      </w:r>
      <w:r>
        <w:rPr>
          <w:color w:val="231F20"/>
          <w:w w:val="105"/>
        </w:rPr>
        <w:t>“tran- </w:t>
      </w:r>
      <w:r>
        <w:rPr>
          <w:color w:val="231F20"/>
          <w:spacing w:val="-3"/>
          <w:w w:val="105"/>
        </w:rPr>
        <w:t>seúntes”,</w:t>
      </w:r>
      <w:r>
        <w:rPr>
          <w:color w:val="231F20"/>
          <w:spacing w:val="-24"/>
          <w:w w:val="105"/>
        </w:rPr>
        <w:t> </w:t>
      </w:r>
      <w:r>
        <w:rPr>
          <w:color w:val="231F20"/>
          <w:w w:val="105"/>
        </w:rPr>
        <w:t>es</w:t>
      </w:r>
      <w:r>
        <w:rPr>
          <w:color w:val="231F20"/>
          <w:spacing w:val="-18"/>
          <w:w w:val="105"/>
        </w:rPr>
        <w:t> </w:t>
      </w:r>
      <w:r>
        <w:rPr>
          <w:color w:val="231F20"/>
          <w:w w:val="105"/>
        </w:rPr>
        <w:t>decir,</w:t>
      </w:r>
      <w:r>
        <w:rPr>
          <w:color w:val="231F20"/>
          <w:spacing w:val="-24"/>
          <w:w w:val="105"/>
        </w:rPr>
        <w:t> </w:t>
      </w:r>
      <w:r>
        <w:rPr>
          <w:color w:val="231F20"/>
          <w:w w:val="105"/>
        </w:rPr>
        <w:t>alumnos</w:t>
      </w:r>
      <w:r>
        <w:rPr>
          <w:color w:val="231F20"/>
          <w:spacing w:val="-18"/>
          <w:w w:val="105"/>
        </w:rPr>
        <w:t> </w:t>
      </w:r>
      <w:r>
        <w:rPr>
          <w:color w:val="231F20"/>
          <w:w w:val="105"/>
        </w:rPr>
        <w:t>que</w:t>
      </w:r>
      <w:r>
        <w:rPr>
          <w:color w:val="231F20"/>
          <w:spacing w:val="-18"/>
          <w:w w:val="105"/>
        </w:rPr>
        <w:t> </w:t>
      </w:r>
      <w:r>
        <w:rPr>
          <w:color w:val="231F20"/>
          <w:w w:val="105"/>
        </w:rPr>
        <w:t>durante</w:t>
      </w:r>
      <w:r>
        <w:rPr>
          <w:color w:val="231F20"/>
          <w:spacing w:val="-18"/>
          <w:w w:val="105"/>
        </w:rPr>
        <w:t> </w:t>
      </w:r>
      <w:r>
        <w:rPr>
          <w:color w:val="231F20"/>
          <w:w w:val="105"/>
        </w:rPr>
        <w:t>un</w:t>
      </w:r>
      <w:r>
        <w:rPr>
          <w:color w:val="231F20"/>
          <w:spacing w:val="-18"/>
          <w:w w:val="105"/>
        </w:rPr>
        <w:t> </w:t>
      </w:r>
      <w:r>
        <w:rPr>
          <w:color w:val="231F20"/>
          <w:w w:val="105"/>
        </w:rPr>
        <w:t>periodo</w:t>
      </w:r>
      <w:r>
        <w:rPr>
          <w:color w:val="231F20"/>
          <w:spacing w:val="-18"/>
          <w:w w:val="105"/>
        </w:rPr>
        <w:t> </w:t>
      </w:r>
      <w:r>
        <w:rPr>
          <w:color w:val="231F20"/>
          <w:w w:val="105"/>
        </w:rPr>
        <w:t>de</w:t>
      </w:r>
      <w:r>
        <w:rPr>
          <w:color w:val="231F20"/>
          <w:spacing w:val="-18"/>
          <w:w w:val="105"/>
        </w:rPr>
        <w:t> </w:t>
      </w:r>
      <w:r>
        <w:rPr>
          <w:color w:val="231F20"/>
          <w:w w:val="105"/>
        </w:rPr>
        <w:t>formación</w:t>
      </w:r>
      <w:r>
        <w:rPr>
          <w:color w:val="231F20"/>
          <w:spacing w:val="-18"/>
          <w:w w:val="105"/>
        </w:rPr>
        <w:t> </w:t>
      </w:r>
      <w:r>
        <w:rPr>
          <w:color w:val="231F20"/>
          <w:w w:val="105"/>
        </w:rPr>
        <w:t>escolar están en un país y posteriormente están en otro, por lo que demandan una</w:t>
      </w:r>
      <w:r>
        <w:rPr>
          <w:color w:val="231F20"/>
          <w:spacing w:val="-10"/>
          <w:w w:val="105"/>
        </w:rPr>
        <w:t> </w:t>
      </w:r>
      <w:r>
        <w:rPr>
          <w:color w:val="231F20"/>
          <w:w w:val="105"/>
        </w:rPr>
        <w:t>estructura</w:t>
      </w:r>
      <w:r>
        <w:rPr>
          <w:color w:val="231F20"/>
          <w:spacing w:val="-10"/>
          <w:w w:val="105"/>
        </w:rPr>
        <w:t> </w:t>
      </w:r>
      <w:r>
        <w:rPr>
          <w:color w:val="231F20"/>
          <w:w w:val="105"/>
        </w:rPr>
        <w:t>curricular</w:t>
      </w:r>
      <w:r>
        <w:rPr>
          <w:color w:val="231F20"/>
          <w:spacing w:val="-10"/>
          <w:w w:val="105"/>
        </w:rPr>
        <w:t> </w:t>
      </w:r>
      <w:r>
        <w:rPr>
          <w:color w:val="231F20"/>
          <w:w w:val="105"/>
        </w:rPr>
        <w:t>y</w:t>
      </w:r>
      <w:r>
        <w:rPr>
          <w:color w:val="231F20"/>
          <w:spacing w:val="-10"/>
          <w:w w:val="105"/>
        </w:rPr>
        <w:t> </w:t>
      </w:r>
      <w:r>
        <w:rPr>
          <w:color w:val="231F20"/>
          <w:w w:val="105"/>
        </w:rPr>
        <w:t>preparación</w:t>
      </w:r>
      <w:r>
        <w:rPr>
          <w:color w:val="231F20"/>
          <w:spacing w:val="-10"/>
          <w:w w:val="105"/>
        </w:rPr>
        <w:t> </w:t>
      </w:r>
      <w:r>
        <w:rPr>
          <w:color w:val="231F20"/>
          <w:w w:val="105"/>
        </w:rPr>
        <w:t>docente</w:t>
      </w:r>
      <w:r>
        <w:rPr>
          <w:color w:val="231F20"/>
          <w:spacing w:val="-10"/>
          <w:w w:val="105"/>
        </w:rPr>
        <w:t> </w:t>
      </w:r>
      <w:r>
        <w:rPr>
          <w:color w:val="231F20"/>
          <w:w w:val="105"/>
        </w:rPr>
        <w:t>adecuada</w:t>
      </w:r>
      <w:r>
        <w:rPr>
          <w:color w:val="231F20"/>
          <w:spacing w:val="-10"/>
          <w:w w:val="105"/>
        </w:rPr>
        <w:t> </w:t>
      </w:r>
      <w:r>
        <w:rPr>
          <w:color w:val="231F20"/>
          <w:w w:val="105"/>
        </w:rPr>
        <w:t>a</w:t>
      </w:r>
      <w:r>
        <w:rPr>
          <w:color w:val="231F20"/>
          <w:spacing w:val="-10"/>
          <w:w w:val="105"/>
        </w:rPr>
        <w:t> </w:t>
      </w:r>
      <w:r>
        <w:rPr>
          <w:color w:val="231F20"/>
          <w:w w:val="105"/>
        </w:rPr>
        <w:t>sus</w:t>
      </w:r>
      <w:r>
        <w:rPr>
          <w:color w:val="231F20"/>
          <w:spacing w:val="-10"/>
          <w:w w:val="105"/>
        </w:rPr>
        <w:t> </w:t>
      </w:r>
      <w:r>
        <w:rPr>
          <w:color w:val="231F20"/>
          <w:w w:val="105"/>
        </w:rPr>
        <w:t>necesi- dades</w:t>
      </w:r>
      <w:r>
        <w:rPr>
          <w:color w:val="231F20"/>
          <w:spacing w:val="-24"/>
          <w:w w:val="105"/>
        </w:rPr>
        <w:t> </w:t>
      </w:r>
      <w:r>
        <w:rPr>
          <w:color w:val="231F20"/>
          <w:w w:val="105"/>
        </w:rPr>
        <w:t>educativas.</w:t>
      </w:r>
      <w:r>
        <w:rPr>
          <w:color w:val="231F20"/>
          <w:spacing w:val="-27"/>
          <w:w w:val="105"/>
        </w:rPr>
        <w:t> </w:t>
      </w:r>
      <w:r>
        <w:rPr>
          <w:color w:val="231F20"/>
          <w:w w:val="105"/>
        </w:rPr>
        <w:t>Esto</w:t>
      </w:r>
      <w:r>
        <w:rPr>
          <w:color w:val="231F20"/>
          <w:spacing w:val="-24"/>
          <w:w w:val="105"/>
        </w:rPr>
        <w:t> </w:t>
      </w:r>
      <w:r>
        <w:rPr>
          <w:color w:val="231F20"/>
          <w:w w:val="105"/>
        </w:rPr>
        <w:t>es</w:t>
      </w:r>
      <w:r>
        <w:rPr>
          <w:color w:val="231F20"/>
          <w:spacing w:val="-24"/>
          <w:w w:val="105"/>
        </w:rPr>
        <w:t> </w:t>
      </w:r>
      <w:r>
        <w:rPr>
          <w:color w:val="231F20"/>
          <w:w w:val="105"/>
        </w:rPr>
        <w:t>complejo</w:t>
      </w:r>
      <w:r>
        <w:rPr>
          <w:color w:val="231F20"/>
          <w:spacing w:val="-24"/>
          <w:w w:val="105"/>
        </w:rPr>
        <w:t> </w:t>
      </w:r>
      <w:r>
        <w:rPr>
          <w:color w:val="231F20"/>
          <w:w w:val="105"/>
        </w:rPr>
        <w:t>porque</w:t>
      </w:r>
      <w:r>
        <w:rPr>
          <w:color w:val="231F20"/>
          <w:spacing w:val="-24"/>
          <w:w w:val="105"/>
        </w:rPr>
        <w:t> </w:t>
      </w:r>
      <w:r>
        <w:rPr>
          <w:color w:val="231F20"/>
          <w:w w:val="105"/>
        </w:rPr>
        <w:t>los</w:t>
      </w:r>
      <w:r>
        <w:rPr>
          <w:color w:val="231F20"/>
          <w:spacing w:val="-24"/>
          <w:w w:val="105"/>
        </w:rPr>
        <w:t> </w:t>
      </w:r>
      <w:r>
        <w:rPr>
          <w:color w:val="231F20"/>
          <w:w w:val="105"/>
        </w:rPr>
        <w:t>sistemas</w:t>
      </w:r>
      <w:r>
        <w:rPr>
          <w:color w:val="231F20"/>
          <w:spacing w:val="-24"/>
          <w:w w:val="105"/>
        </w:rPr>
        <w:t> </w:t>
      </w:r>
      <w:r>
        <w:rPr>
          <w:color w:val="231F20"/>
          <w:w w:val="105"/>
        </w:rPr>
        <w:t>escolares</w:t>
      </w:r>
      <w:r>
        <w:rPr>
          <w:color w:val="231F20"/>
          <w:spacing w:val="-24"/>
          <w:w w:val="105"/>
        </w:rPr>
        <w:t> </w:t>
      </w:r>
      <w:r>
        <w:rPr>
          <w:color w:val="231F20"/>
          <w:w w:val="105"/>
        </w:rPr>
        <w:t>están diseñados</w:t>
      </w:r>
      <w:r>
        <w:rPr>
          <w:color w:val="231F20"/>
          <w:spacing w:val="-9"/>
          <w:w w:val="105"/>
        </w:rPr>
        <w:t> </w:t>
      </w:r>
      <w:r>
        <w:rPr>
          <w:color w:val="231F20"/>
          <w:w w:val="105"/>
        </w:rPr>
        <w:t>para</w:t>
      </w:r>
      <w:r>
        <w:rPr>
          <w:color w:val="231F20"/>
          <w:spacing w:val="-9"/>
          <w:w w:val="105"/>
        </w:rPr>
        <w:t> </w:t>
      </w:r>
      <w:r>
        <w:rPr>
          <w:color w:val="231F20"/>
          <w:w w:val="105"/>
        </w:rPr>
        <w:t>preparar</w:t>
      </w:r>
      <w:r>
        <w:rPr>
          <w:color w:val="231F20"/>
          <w:spacing w:val="-9"/>
          <w:w w:val="105"/>
        </w:rPr>
        <w:t> </w:t>
      </w:r>
      <w:r>
        <w:rPr>
          <w:color w:val="231F20"/>
          <w:w w:val="105"/>
        </w:rPr>
        <w:t>a</w:t>
      </w:r>
      <w:r>
        <w:rPr>
          <w:color w:val="231F20"/>
          <w:spacing w:val="-9"/>
          <w:w w:val="105"/>
        </w:rPr>
        <w:t> </w:t>
      </w:r>
      <w:r>
        <w:rPr>
          <w:color w:val="231F20"/>
          <w:w w:val="105"/>
        </w:rPr>
        <w:t>un</w:t>
      </w:r>
      <w:r>
        <w:rPr>
          <w:color w:val="231F20"/>
          <w:spacing w:val="-9"/>
          <w:w w:val="105"/>
        </w:rPr>
        <w:t> </w:t>
      </w:r>
      <w:r>
        <w:rPr>
          <w:color w:val="231F20"/>
          <w:w w:val="105"/>
        </w:rPr>
        <w:t>niño</w:t>
      </w:r>
      <w:r>
        <w:rPr>
          <w:color w:val="231F20"/>
          <w:spacing w:val="-9"/>
          <w:w w:val="105"/>
        </w:rPr>
        <w:t> </w:t>
      </w:r>
      <w:r>
        <w:rPr>
          <w:color w:val="231F20"/>
          <w:w w:val="105"/>
        </w:rPr>
        <w:t>o</w:t>
      </w:r>
      <w:r>
        <w:rPr>
          <w:color w:val="231F20"/>
          <w:spacing w:val="-9"/>
          <w:w w:val="105"/>
        </w:rPr>
        <w:t> </w:t>
      </w:r>
      <w:r>
        <w:rPr>
          <w:color w:val="231F20"/>
          <w:w w:val="105"/>
        </w:rPr>
        <w:t>adolecente</w:t>
      </w:r>
      <w:r>
        <w:rPr>
          <w:color w:val="231F20"/>
          <w:spacing w:val="-9"/>
          <w:w w:val="105"/>
        </w:rPr>
        <w:t> </w:t>
      </w:r>
      <w:r>
        <w:rPr>
          <w:color w:val="231F20"/>
          <w:w w:val="105"/>
        </w:rPr>
        <w:t>a</w:t>
      </w:r>
      <w:r>
        <w:rPr>
          <w:color w:val="231F20"/>
          <w:spacing w:val="-9"/>
          <w:w w:val="105"/>
        </w:rPr>
        <w:t> </w:t>
      </w:r>
      <w:r>
        <w:rPr>
          <w:color w:val="231F20"/>
          <w:w w:val="105"/>
        </w:rPr>
        <w:t>una</w:t>
      </w:r>
      <w:r>
        <w:rPr>
          <w:color w:val="231F20"/>
          <w:spacing w:val="-9"/>
          <w:w w:val="105"/>
        </w:rPr>
        <w:t> </w:t>
      </w:r>
      <w:r>
        <w:rPr>
          <w:color w:val="231F20"/>
          <w:w w:val="105"/>
        </w:rPr>
        <w:t>vida</w:t>
      </w:r>
      <w:r>
        <w:rPr>
          <w:color w:val="231F20"/>
          <w:spacing w:val="-9"/>
          <w:w w:val="105"/>
        </w:rPr>
        <w:t> </w:t>
      </w:r>
      <w:r>
        <w:rPr>
          <w:color w:val="231F20"/>
          <w:w w:val="105"/>
        </w:rPr>
        <w:t>adulta</w:t>
      </w:r>
      <w:r>
        <w:rPr>
          <w:color w:val="231F20"/>
          <w:spacing w:val="-9"/>
          <w:w w:val="105"/>
        </w:rPr>
        <w:t> </w:t>
      </w:r>
      <w:r>
        <w:rPr>
          <w:color w:val="231F20"/>
          <w:w w:val="105"/>
        </w:rPr>
        <w:t>en</w:t>
      </w:r>
      <w:r>
        <w:rPr>
          <w:color w:val="231F20"/>
          <w:spacing w:val="-9"/>
          <w:w w:val="105"/>
        </w:rPr>
        <w:t> </w:t>
      </w:r>
      <w:r>
        <w:rPr>
          <w:color w:val="231F20"/>
          <w:w w:val="105"/>
        </w:rPr>
        <w:t>un determinado</w:t>
      </w:r>
      <w:r>
        <w:rPr>
          <w:color w:val="231F20"/>
          <w:spacing w:val="-14"/>
          <w:w w:val="105"/>
        </w:rPr>
        <w:t> </w:t>
      </w:r>
      <w:r>
        <w:rPr>
          <w:color w:val="231F20"/>
          <w:w w:val="105"/>
        </w:rPr>
        <w:t>contexto</w:t>
      </w:r>
      <w:r>
        <w:rPr>
          <w:color w:val="231F20"/>
          <w:spacing w:val="-14"/>
          <w:w w:val="105"/>
        </w:rPr>
        <w:t> </w:t>
      </w:r>
      <w:r>
        <w:rPr>
          <w:color w:val="231F20"/>
          <w:w w:val="105"/>
        </w:rPr>
        <w:t>local,</w:t>
      </w:r>
      <w:r>
        <w:rPr>
          <w:color w:val="231F20"/>
          <w:spacing w:val="-19"/>
          <w:w w:val="105"/>
        </w:rPr>
        <w:t> </w:t>
      </w:r>
      <w:r>
        <w:rPr>
          <w:color w:val="231F20"/>
          <w:w w:val="105"/>
        </w:rPr>
        <w:t>regional</w:t>
      </w:r>
      <w:r>
        <w:rPr>
          <w:color w:val="231F20"/>
          <w:spacing w:val="-14"/>
          <w:w w:val="105"/>
        </w:rPr>
        <w:t> </w:t>
      </w:r>
      <w:r>
        <w:rPr>
          <w:color w:val="231F20"/>
          <w:w w:val="105"/>
        </w:rPr>
        <w:t>y</w:t>
      </w:r>
      <w:r>
        <w:rPr>
          <w:color w:val="231F20"/>
          <w:spacing w:val="-14"/>
          <w:w w:val="105"/>
        </w:rPr>
        <w:t> </w:t>
      </w:r>
      <w:r>
        <w:rPr>
          <w:color w:val="231F20"/>
          <w:w w:val="105"/>
        </w:rPr>
        <w:t>nacional,</w:t>
      </w:r>
      <w:r>
        <w:rPr>
          <w:color w:val="231F20"/>
          <w:spacing w:val="-19"/>
          <w:w w:val="105"/>
        </w:rPr>
        <w:t> </w:t>
      </w:r>
      <w:r>
        <w:rPr>
          <w:color w:val="231F20"/>
          <w:w w:val="105"/>
        </w:rPr>
        <w:t>es</w:t>
      </w:r>
      <w:r>
        <w:rPr>
          <w:color w:val="231F20"/>
          <w:spacing w:val="-14"/>
          <w:w w:val="105"/>
        </w:rPr>
        <w:t> </w:t>
      </w:r>
      <w:r>
        <w:rPr>
          <w:color w:val="231F20"/>
          <w:w w:val="105"/>
        </w:rPr>
        <w:t>decir,</w:t>
      </w:r>
      <w:r>
        <w:rPr>
          <w:color w:val="231F20"/>
          <w:spacing w:val="-19"/>
          <w:w w:val="105"/>
        </w:rPr>
        <w:t> </w:t>
      </w:r>
      <w:r>
        <w:rPr>
          <w:color w:val="231F20"/>
          <w:w w:val="105"/>
        </w:rPr>
        <w:t>a</w:t>
      </w:r>
      <w:r>
        <w:rPr>
          <w:color w:val="231F20"/>
          <w:spacing w:val="-14"/>
          <w:w w:val="105"/>
        </w:rPr>
        <w:t> </w:t>
      </w:r>
      <w:r>
        <w:rPr>
          <w:color w:val="231F20"/>
          <w:w w:val="105"/>
        </w:rPr>
        <w:t>un</w:t>
      </w:r>
      <w:r>
        <w:rPr>
          <w:color w:val="231F20"/>
          <w:spacing w:val="-14"/>
          <w:w w:val="105"/>
        </w:rPr>
        <w:t> </w:t>
      </w:r>
      <w:r>
        <w:rPr>
          <w:color w:val="231F20"/>
          <w:w w:val="105"/>
        </w:rPr>
        <w:t>sistema</w:t>
      </w:r>
      <w:r>
        <w:rPr>
          <w:color w:val="231F20"/>
          <w:spacing w:val="-14"/>
          <w:w w:val="105"/>
        </w:rPr>
        <w:t> </w:t>
      </w:r>
      <w:r>
        <w:rPr>
          <w:color w:val="231F20"/>
          <w:w w:val="105"/>
        </w:rPr>
        <w:t>al que los alumnos transeúntes no pueden adaptarse para ser </w:t>
      </w:r>
      <w:r>
        <w:rPr>
          <w:color w:val="231F20"/>
          <w:spacing w:val="24"/>
          <w:w w:val="105"/>
        </w:rPr>
        <w:t> </w:t>
      </w:r>
      <w:r>
        <w:rPr>
          <w:color w:val="231F20"/>
          <w:w w:val="105"/>
        </w:rPr>
        <w:t>educados</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3976" from="15pt,-71.68644pt" to="0pt,-71.68644pt" stroked="true" strokeweight=".25pt" strokecolor="#000000">
            <w10:wrap type="none"/>
          </v:line>
        </w:pict>
      </w:r>
      <w:r>
        <w:rPr/>
        <w:pict>
          <v:line style="position:absolute;mso-position-horizontal-relative:page;mso-position-vertical-relative:paragraph;z-index:4000" from="508.890015pt,-71.68644pt" to="523.890015pt,-71.68644pt" stroked="true" strokeweight=".25pt" strokecolor="#000000">
            <w10:wrap type="none"/>
          </v:line>
        </w:pict>
      </w:r>
      <w:r>
        <w:rPr>
          <w:color w:val="231F20"/>
          <w:w w:val="105"/>
        </w:rPr>
        <w:t>bajo esos supuestos, en tanto se trata de niños y adolescentes que re- quieren de una multialfabetización, integración al contexto en el que</w:t>
      </w:r>
      <w:r>
        <w:rPr>
          <w:color w:val="231F20"/>
          <w:spacing w:val="-13"/>
          <w:w w:val="105"/>
        </w:rPr>
        <w:t> </w:t>
      </w:r>
      <w:r>
        <w:rPr>
          <w:color w:val="231F20"/>
          <w:w w:val="105"/>
        </w:rPr>
        <w:t>se encuentren,</w:t>
      </w:r>
      <w:r>
        <w:rPr>
          <w:color w:val="231F20"/>
          <w:spacing w:val="-24"/>
          <w:w w:val="105"/>
        </w:rPr>
        <w:t> </w:t>
      </w:r>
      <w:r>
        <w:rPr>
          <w:color w:val="231F20"/>
          <w:w w:val="105"/>
        </w:rPr>
        <w:t>y</w:t>
      </w:r>
      <w:r>
        <w:rPr>
          <w:color w:val="231F20"/>
          <w:spacing w:val="-19"/>
          <w:w w:val="105"/>
        </w:rPr>
        <w:t> </w:t>
      </w:r>
      <w:r>
        <w:rPr>
          <w:color w:val="231F20"/>
          <w:w w:val="105"/>
        </w:rPr>
        <w:t>respeto</w:t>
      </w:r>
      <w:r>
        <w:rPr>
          <w:color w:val="231F20"/>
          <w:spacing w:val="-19"/>
          <w:w w:val="105"/>
        </w:rPr>
        <w:t> </w:t>
      </w:r>
      <w:r>
        <w:rPr>
          <w:color w:val="231F20"/>
          <w:w w:val="105"/>
        </w:rPr>
        <w:t>a</w:t>
      </w:r>
      <w:r>
        <w:rPr>
          <w:color w:val="231F20"/>
          <w:spacing w:val="-19"/>
          <w:w w:val="105"/>
        </w:rPr>
        <w:t> </w:t>
      </w:r>
      <w:r>
        <w:rPr>
          <w:color w:val="231F20"/>
          <w:w w:val="105"/>
        </w:rPr>
        <w:t>su</w:t>
      </w:r>
      <w:r>
        <w:rPr>
          <w:color w:val="231F20"/>
          <w:spacing w:val="-19"/>
          <w:w w:val="105"/>
        </w:rPr>
        <w:t> </w:t>
      </w:r>
      <w:r>
        <w:rPr>
          <w:color w:val="231F20"/>
          <w:w w:val="105"/>
        </w:rPr>
        <w:t>cultura</w:t>
      </w:r>
      <w:r>
        <w:rPr>
          <w:color w:val="231F20"/>
          <w:spacing w:val="-19"/>
          <w:w w:val="105"/>
        </w:rPr>
        <w:t> </w:t>
      </w:r>
      <w:r>
        <w:rPr>
          <w:color w:val="231F20"/>
          <w:w w:val="105"/>
        </w:rPr>
        <w:t>y</w:t>
      </w:r>
      <w:r>
        <w:rPr>
          <w:color w:val="231F20"/>
          <w:spacing w:val="-19"/>
          <w:w w:val="105"/>
        </w:rPr>
        <w:t> </w:t>
      </w:r>
      <w:r>
        <w:rPr>
          <w:color w:val="231F20"/>
          <w:w w:val="105"/>
        </w:rPr>
        <w:t>los</w:t>
      </w:r>
      <w:r>
        <w:rPr>
          <w:color w:val="231F20"/>
          <w:spacing w:val="-19"/>
          <w:w w:val="105"/>
        </w:rPr>
        <w:t> </w:t>
      </w:r>
      <w:r>
        <w:rPr>
          <w:color w:val="231F20"/>
          <w:w w:val="105"/>
        </w:rPr>
        <w:t>aprendizajes</w:t>
      </w:r>
      <w:r>
        <w:rPr>
          <w:color w:val="231F20"/>
          <w:spacing w:val="-19"/>
          <w:w w:val="105"/>
        </w:rPr>
        <w:t> </w:t>
      </w:r>
      <w:r>
        <w:rPr>
          <w:color w:val="231F20"/>
          <w:w w:val="105"/>
        </w:rPr>
        <w:t>que</w:t>
      </w:r>
      <w:r>
        <w:rPr>
          <w:color w:val="231F20"/>
          <w:spacing w:val="-19"/>
          <w:w w:val="105"/>
        </w:rPr>
        <w:t> </w:t>
      </w:r>
      <w:r>
        <w:rPr>
          <w:color w:val="231F20"/>
          <w:w w:val="105"/>
        </w:rPr>
        <w:t>traen</w:t>
      </w:r>
      <w:r>
        <w:rPr>
          <w:color w:val="231F20"/>
          <w:spacing w:val="-19"/>
          <w:w w:val="105"/>
        </w:rPr>
        <w:t> </w:t>
      </w:r>
      <w:r>
        <w:rPr>
          <w:color w:val="231F20"/>
          <w:w w:val="105"/>
        </w:rPr>
        <w:t>consigo.</w:t>
      </w:r>
    </w:p>
    <w:p>
      <w:pPr>
        <w:pStyle w:val="BodyText"/>
        <w:spacing w:line="261" w:lineRule="auto" w:before="1"/>
        <w:ind w:left="1723" w:right="1834" w:firstLine="567"/>
        <w:jc w:val="both"/>
      </w:pPr>
      <w:r>
        <w:rPr>
          <w:color w:val="231F20"/>
          <w:w w:val="105"/>
        </w:rPr>
        <w:t>Otro</w:t>
      </w:r>
      <w:r>
        <w:rPr>
          <w:color w:val="231F20"/>
          <w:spacing w:val="-9"/>
          <w:w w:val="105"/>
        </w:rPr>
        <w:t> </w:t>
      </w:r>
      <w:r>
        <w:rPr>
          <w:color w:val="231F20"/>
          <w:w w:val="105"/>
        </w:rPr>
        <w:t>ámbito</w:t>
      </w:r>
      <w:r>
        <w:rPr>
          <w:color w:val="231F20"/>
          <w:spacing w:val="-9"/>
          <w:w w:val="105"/>
        </w:rPr>
        <w:t> </w:t>
      </w:r>
      <w:r>
        <w:rPr>
          <w:color w:val="231F20"/>
          <w:w w:val="105"/>
        </w:rPr>
        <w:t>no</w:t>
      </w:r>
      <w:r>
        <w:rPr>
          <w:color w:val="231F20"/>
          <w:spacing w:val="-9"/>
          <w:w w:val="105"/>
        </w:rPr>
        <w:t> </w:t>
      </w:r>
      <w:r>
        <w:rPr>
          <w:color w:val="231F20"/>
          <w:w w:val="105"/>
        </w:rPr>
        <w:t>menos</w:t>
      </w:r>
      <w:r>
        <w:rPr>
          <w:color w:val="231F20"/>
          <w:spacing w:val="-9"/>
          <w:w w:val="105"/>
        </w:rPr>
        <w:t> </w:t>
      </w:r>
      <w:r>
        <w:rPr>
          <w:color w:val="231F20"/>
          <w:w w:val="105"/>
        </w:rPr>
        <w:t>importante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educación</w:t>
      </w:r>
      <w:r>
        <w:rPr>
          <w:color w:val="231F20"/>
          <w:spacing w:val="-9"/>
          <w:w w:val="105"/>
        </w:rPr>
        <w:t> </w:t>
      </w:r>
      <w:r>
        <w:rPr>
          <w:color w:val="231F20"/>
          <w:w w:val="105"/>
        </w:rPr>
        <w:t>es</w:t>
      </w:r>
      <w:r>
        <w:rPr>
          <w:color w:val="231F20"/>
          <w:spacing w:val="-9"/>
          <w:w w:val="105"/>
        </w:rPr>
        <w:t> </w:t>
      </w:r>
      <w:r>
        <w:rPr>
          <w:color w:val="231F20"/>
          <w:w w:val="105"/>
        </w:rPr>
        <w:t>el</w:t>
      </w:r>
      <w:r>
        <w:rPr>
          <w:color w:val="231F20"/>
          <w:spacing w:val="-9"/>
          <w:w w:val="105"/>
        </w:rPr>
        <w:t> </w:t>
      </w:r>
      <w:r>
        <w:rPr>
          <w:color w:val="231F20"/>
          <w:w w:val="105"/>
        </w:rPr>
        <w:t>desarrollo de habilidades, es decir, actividades pedagógicas que se realizan para facultar</w:t>
      </w:r>
      <w:r>
        <w:rPr>
          <w:color w:val="231F20"/>
          <w:spacing w:val="-21"/>
          <w:w w:val="105"/>
        </w:rPr>
        <w:t> </w:t>
      </w:r>
      <w:r>
        <w:rPr>
          <w:color w:val="231F20"/>
          <w:w w:val="105"/>
        </w:rPr>
        <w:t>y</w:t>
      </w:r>
      <w:r>
        <w:rPr>
          <w:color w:val="231F20"/>
          <w:spacing w:val="-21"/>
          <w:w w:val="105"/>
        </w:rPr>
        <w:t> </w:t>
      </w:r>
      <w:r>
        <w:rPr>
          <w:color w:val="231F20"/>
          <w:w w:val="105"/>
        </w:rPr>
        <w:t>desarrollar</w:t>
      </w:r>
      <w:r>
        <w:rPr>
          <w:color w:val="231F20"/>
          <w:spacing w:val="-21"/>
          <w:w w:val="105"/>
        </w:rPr>
        <w:t> </w:t>
      </w:r>
      <w:r>
        <w:rPr>
          <w:color w:val="231F20"/>
          <w:w w:val="105"/>
        </w:rPr>
        <w:t>capacidades</w:t>
      </w:r>
      <w:r>
        <w:rPr>
          <w:color w:val="231F20"/>
          <w:spacing w:val="-21"/>
          <w:w w:val="105"/>
        </w:rPr>
        <w:t> </w:t>
      </w:r>
      <w:r>
        <w:rPr>
          <w:color w:val="231F20"/>
          <w:w w:val="105"/>
        </w:rPr>
        <w:t>como</w:t>
      </w:r>
      <w:r>
        <w:rPr>
          <w:color w:val="231F20"/>
          <w:spacing w:val="-21"/>
          <w:w w:val="105"/>
        </w:rPr>
        <w:t> </w:t>
      </w:r>
      <w:r>
        <w:rPr>
          <w:color w:val="231F20"/>
          <w:w w:val="105"/>
        </w:rPr>
        <w:t>las</w:t>
      </w:r>
      <w:r>
        <w:rPr>
          <w:color w:val="231F20"/>
          <w:spacing w:val="-21"/>
          <w:w w:val="105"/>
        </w:rPr>
        <w:t> </w:t>
      </w:r>
      <w:r>
        <w:rPr>
          <w:color w:val="231F20"/>
          <w:w w:val="105"/>
        </w:rPr>
        <w:t>competencias</w:t>
      </w:r>
      <w:r>
        <w:rPr>
          <w:color w:val="231F20"/>
          <w:spacing w:val="-21"/>
          <w:w w:val="105"/>
        </w:rPr>
        <w:t> </w:t>
      </w:r>
      <w:r>
        <w:rPr>
          <w:color w:val="231F20"/>
          <w:w w:val="105"/>
        </w:rPr>
        <w:t>laborales</w:t>
      </w:r>
      <w:r>
        <w:rPr>
          <w:color w:val="231F20"/>
          <w:spacing w:val="-21"/>
          <w:w w:val="105"/>
        </w:rPr>
        <w:t> </w:t>
      </w:r>
      <w:r>
        <w:rPr>
          <w:color w:val="231F20"/>
          <w:w w:val="105"/>
        </w:rPr>
        <w:t>o</w:t>
      </w:r>
      <w:r>
        <w:rPr>
          <w:color w:val="231F20"/>
          <w:spacing w:val="-21"/>
          <w:w w:val="105"/>
        </w:rPr>
        <w:t> </w:t>
      </w:r>
      <w:r>
        <w:rPr>
          <w:color w:val="231F20"/>
          <w:w w:val="105"/>
        </w:rPr>
        <w:t>de ampliación del capital humano al emprender. A pesar de ello, </w:t>
      </w:r>
      <w:r>
        <w:rPr>
          <w:color w:val="020B1C"/>
          <w:w w:val="105"/>
        </w:rPr>
        <w:t>estudios recientes</w:t>
      </w:r>
      <w:r>
        <w:rPr>
          <w:color w:val="020B1C"/>
          <w:spacing w:val="-20"/>
          <w:w w:val="105"/>
        </w:rPr>
        <w:t> </w:t>
      </w:r>
      <w:r>
        <w:rPr>
          <w:color w:val="020B1C"/>
          <w:w w:val="105"/>
        </w:rPr>
        <w:t>muestran</w:t>
      </w:r>
      <w:r>
        <w:rPr>
          <w:color w:val="020B1C"/>
          <w:spacing w:val="-20"/>
          <w:w w:val="105"/>
        </w:rPr>
        <w:t> </w:t>
      </w:r>
      <w:r>
        <w:rPr>
          <w:color w:val="020B1C"/>
          <w:w w:val="105"/>
        </w:rPr>
        <w:t>que</w:t>
      </w:r>
      <w:r>
        <w:rPr>
          <w:color w:val="020B1C"/>
          <w:spacing w:val="-20"/>
          <w:w w:val="105"/>
        </w:rPr>
        <w:t> </w:t>
      </w:r>
      <w:r>
        <w:rPr>
          <w:color w:val="020B1C"/>
          <w:w w:val="105"/>
        </w:rPr>
        <w:t>los</w:t>
      </w:r>
      <w:r>
        <w:rPr>
          <w:color w:val="020B1C"/>
          <w:spacing w:val="-20"/>
          <w:w w:val="105"/>
        </w:rPr>
        <w:t> </w:t>
      </w:r>
      <w:r>
        <w:rPr>
          <w:color w:val="020B1C"/>
          <w:w w:val="105"/>
        </w:rPr>
        <w:t>procesos</w:t>
      </w:r>
      <w:r>
        <w:rPr>
          <w:color w:val="020B1C"/>
          <w:spacing w:val="-20"/>
          <w:w w:val="105"/>
        </w:rPr>
        <w:t> </w:t>
      </w:r>
      <w:r>
        <w:rPr>
          <w:color w:val="020B1C"/>
          <w:w w:val="105"/>
        </w:rPr>
        <w:t>de</w:t>
      </w:r>
      <w:r>
        <w:rPr>
          <w:color w:val="020B1C"/>
          <w:spacing w:val="-20"/>
          <w:w w:val="105"/>
        </w:rPr>
        <w:t> </w:t>
      </w:r>
      <w:r>
        <w:rPr>
          <w:color w:val="020B1C"/>
          <w:w w:val="105"/>
        </w:rPr>
        <w:t>inserción</w:t>
      </w:r>
      <w:r>
        <w:rPr>
          <w:color w:val="020B1C"/>
          <w:spacing w:val="-20"/>
          <w:w w:val="105"/>
        </w:rPr>
        <w:t> </w:t>
      </w:r>
      <w:r>
        <w:rPr>
          <w:color w:val="020B1C"/>
          <w:w w:val="105"/>
        </w:rPr>
        <w:t>laboral</w:t>
      </w:r>
      <w:r>
        <w:rPr>
          <w:color w:val="020B1C"/>
          <w:spacing w:val="-20"/>
          <w:w w:val="105"/>
        </w:rPr>
        <w:t> </w:t>
      </w:r>
      <w:r>
        <w:rPr>
          <w:color w:val="020B1C"/>
          <w:w w:val="105"/>
        </w:rPr>
        <w:t>de</w:t>
      </w:r>
      <w:r>
        <w:rPr>
          <w:color w:val="020B1C"/>
          <w:spacing w:val="-20"/>
          <w:w w:val="105"/>
        </w:rPr>
        <w:t> </w:t>
      </w:r>
      <w:r>
        <w:rPr>
          <w:color w:val="020B1C"/>
          <w:w w:val="105"/>
        </w:rPr>
        <w:t>la</w:t>
      </w:r>
      <w:r>
        <w:rPr>
          <w:color w:val="020B1C"/>
          <w:spacing w:val="-20"/>
          <w:w w:val="105"/>
        </w:rPr>
        <w:t> </w:t>
      </w:r>
      <w:r>
        <w:rPr>
          <w:color w:val="020B1C"/>
          <w:w w:val="105"/>
        </w:rPr>
        <w:t>población migrante en México se dificultan tanto por “</w:t>
      </w:r>
      <w:r>
        <w:rPr>
          <w:color w:val="231F20"/>
          <w:w w:val="105"/>
        </w:rPr>
        <w:t>la falta de documentos que amparen su experiencia, la falta de certificación de las habilidades que aprendieron</w:t>
      </w:r>
      <w:r>
        <w:rPr>
          <w:color w:val="231F20"/>
          <w:spacing w:val="-11"/>
          <w:w w:val="105"/>
        </w:rPr>
        <w:t> </w:t>
      </w:r>
      <w:r>
        <w:rPr>
          <w:color w:val="231F20"/>
          <w:w w:val="105"/>
        </w:rPr>
        <w:t>en</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falta</w:t>
      </w:r>
      <w:r>
        <w:rPr>
          <w:color w:val="231F20"/>
          <w:spacing w:val="-11"/>
          <w:w w:val="105"/>
        </w:rPr>
        <w:t> </w:t>
      </w:r>
      <w:r>
        <w:rPr>
          <w:color w:val="231F20"/>
          <w:w w:val="105"/>
        </w:rPr>
        <w:t>de</w:t>
      </w:r>
      <w:r>
        <w:rPr>
          <w:color w:val="231F20"/>
          <w:spacing w:val="-11"/>
          <w:w w:val="105"/>
        </w:rPr>
        <w:t> </w:t>
      </w:r>
      <w:r>
        <w:rPr>
          <w:color w:val="231F20"/>
          <w:w w:val="105"/>
        </w:rPr>
        <w:t>recursos</w:t>
      </w:r>
      <w:r>
        <w:rPr>
          <w:color w:val="231F20"/>
          <w:spacing w:val="-11"/>
          <w:w w:val="105"/>
        </w:rPr>
        <w:t> </w:t>
      </w:r>
      <w:r>
        <w:rPr>
          <w:color w:val="231F20"/>
          <w:w w:val="105"/>
        </w:rPr>
        <w:t>materiales</w:t>
      </w:r>
      <w:r>
        <w:rPr>
          <w:color w:val="231F20"/>
          <w:spacing w:val="-11"/>
          <w:w w:val="105"/>
        </w:rPr>
        <w:t> </w:t>
      </w:r>
      <w:r>
        <w:rPr>
          <w:color w:val="231F20"/>
          <w:w w:val="105"/>
        </w:rPr>
        <w:t>y</w:t>
      </w:r>
      <w:r>
        <w:rPr>
          <w:color w:val="231F20"/>
          <w:spacing w:val="-11"/>
          <w:w w:val="105"/>
        </w:rPr>
        <w:t> </w:t>
      </w:r>
      <w:r>
        <w:rPr>
          <w:color w:val="231F20"/>
          <w:w w:val="105"/>
        </w:rPr>
        <w:t>finan- cieros</w:t>
      </w:r>
      <w:r>
        <w:rPr>
          <w:color w:val="231F20"/>
          <w:spacing w:val="-15"/>
          <w:w w:val="105"/>
        </w:rPr>
        <w:t> </w:t>
      </w:r>
      <w:r>
        <w:rPr>
          <w:color w:val="231F20"/>
          <w:w w:val="105"/>
        </w:rPr>
        <w:t>para</w:t>
      </w:r>
      <w:r>
        <w:rPr>
          <w:color w:val="231F20"/>
          <w:spacing w:val="-15"/>
          <w:w w:val="105"/>
        </w:rPr>
        <w:t> </w:t>
      </w:r>
      <w:r>
        <w:rPr>
          <w:color w:val="231F20"/>
          <w:w w:val="105"/>
        </w:rPr>
        <w:t>emprender</w:t>
      </w:r>
      <w:r>
        <w:rPr>
          <w:color w:val="231F20"/>
          <w:spacing w:val="-15"/>
          <w:w w:val="105"/>
        </w:rPr>
        <w:t> </w:t>
      </w:r>
      <w:r>
        <w:rPr>
          <w:color w:val="231F20"/>
          <w:w w:val="105"/>
        </w:rPr>
        <w:t>su</w:t>
      </w:r>
      <w:r>
        <w:rPr>
          <w:color w:val="231F20"/>
          <w:spacing w:val="-15"/>
          <w:w w:val="105"/>
        </w:rPr>
        <w:t> </w:t>
      </w:r>
      <w:r>
        <w:rPr>
          <w:color w:val="231F20"/>
          <w:w w:val="105"/>
        </w:rPr>
        <w:t>propio</w:t>
      </w:r>
      <w:r>
        <w:rPr>
          <w:color w:val="231F20"/>
          <w:spacing w:val="-15"/>
          <w:w w:val="105"/>
        </w:rPr>
        <w:t> </w:t>
      </w:r>
      <w:r>
        <w:rPr>
          <w:color w:val="231F20"/>
          <w:w w:val="105"/>
        </w:rPr>
        <w:t>negocio”</w:t>
      </w:r>
      <w:r>
        <w:rPr>
          <w:color w:val="231F20"/>
          <w:spacing w:val="-15"/>
          <w:w w:val="105"/>
        </w:rPr>
        <w:t> </w:t>
      </w:r>
      <w:r>
        <w:rPr>
          <w:color w:val="231F20"/>
          <w:w w:val="105"/>
        </w:rPr>
        <w:t>(Padilla</w:t>
      </w:r>
      <w:r>
        <w:rPr>
          <w:color w:val="231F20"/>
          <w:spacing w:val="-15"/>
          <w:w w:val="105"/>
        </w:rPr>
        <w:t> </w:t>
      </w:r>
      <w:r>
        <w:rPr>
          <w:color w:val="231F20"/>
          <w:w w:val="105"/>
        </w:rPr>
        <w:t>y</w:t>
      </w:r>
      <w:r>
        <w:rPr>
          <w:color w:val="231F20"/>
          <w:spacing w:val="-16"/>
          <w:w w:val="105"/>
        </w:rPr>
        <w:t> </w:t>
      </w:r>
      <w:r>
        <w:rPr>
          <w:color w:val="231F20"/>
          <w:w w:val="105"/>
        </w:rPr>
        <w:t>Jardón,</w:t>
      </w:r>
      <w:r>
        <w:rPr>
          <w:color w:val="231F20"/>
          <w:spacing w:val="-20"/>
          <w:w w:val="105"/>
        </w:rPr>
        <w:t> </w:t>
      </w:r>
      <w:r>
        <w:rPr>
          <w:color w:val="231F20"/>
          <w:w w:val="105"/>
        </w:rPr>
        <w:t>2015).</w:t>
      </w:r>
    </w:p>
    <w:p>
      <w:pPr>
        <w:pStyle w:val="BodyText"/>
        <w:spacing w:line="261" w:lineRule="auto" w:before="1"/>
        <w:ind w:left="1723" w:right="1835" w:firstLine="567"/>
        <w:jc w:val="both"/>
      </w:pPr>
      <w:r>
        <w:rPr>
          <w:color w:val="231F20"/>
          <w:w w:val="105"/>
        </w:rPr>
        <w:t>Así</w:t>
      </w:r>
      <w:r>
        <w:rPr>
          <w:color w:val="231F20"/>
          <w:spacing w:val="-21"/>
          <w:w w:val="105"/>
        </w:rPr>
        <w:t> </w:t>
      </w:r>
      <w:r>
        <w:rPr>
          <w:color w:val="231F20"/>
          <w:w w:val="105"/>
        </w:rPr>
        <w:t>entonces,</w:t>
      </w:r>
      <w:r>
        <w:rPr>
          <w:color w:val="231F20"/>
          <w:spacing w:val="-26"/>
          <w:w w:val="105"/>
        </w:rPr>
        <w:t> </w:t>
      </w:r>
      <w:r>
        <w:rPr>
          <w:color w:val="231F20"/>
          <w:w w:val="105"/>
        </w:rPr>
        <w:t>la</w:t>
      </w:r>
      <w:r>
        <w:rPr>
          <w:color w:val="231F20"/>
          <w:spacing w:val="-21"/>
          <w:w w:val="105"/>
        </w:rPr>
        <w:t> </w:t>
      </w:r>
      <w:r>
        <w:rPr>
          <w:color w:val="231F20"/>
          <w:w w:val="105"/>
        </w:rPr>
        <w:t>educación</w:t>
      </w:r>
      <w:r>
        <w:rPr>
          <w:color w:val="231F20"/>
          <w:spacing w:val="-21"/>
          <w:w w:val="105"/>
        </w:rPr>
        <w:t> </w:t>
      </w:r>
      <w:r>
        <w:rPr>
          <w:color w:val="231F20"/>
          <w:w w:val="105"/>
        </w:rPr>
        <w:t>vista</w:t>
      </w:r>
      <w:r>
        <w:rPr>
          <w:color w:val="231F20"/>
          <w:spacing w:val="-21"/>
          <w:w w:val="105"/>
        </w:rPr>
        <w:t> </w:t>
      </w:r>
      <w:r>
        <w:rPr>
          <w:color w:val="231F20"/>
          <w:w w:val="105"/>
        </w:rPr>
        <w:t>como</w:t>
      </w:r>
      <w:r>
        <w:rPr>
          <w:color w:val="231F20"/>
          <w:spacing w:val="-21"/>
          <w:w w:val="105"/>
        </w:rPr>
        <w:t> </w:t>
      </w:r>
      <w:r>
        <w:rPr>
          <w:color w:val="231F20"/>
          <w:w w:val="105"/>
        </w:rPr>
        <w:t>un</w:t>
      </w:r>
      <w:r>
        <w:rPr>
          <w:color w:val="231F20"/>
          <w:spacing w:val="-21"/>
          <w:w w:val="105"/>
        </w:rPr>
        <w:t> </w:t>
      </w:r>
      <w:r>
        <w:rPr>
          <w:color w:val="231F20"/>
          <w:w w:val="105"/>
        </w:rPr>
        <w:t>proceso</w:t>
      </w:r>
      <w:r>
        <w:rPr>
          <w:color w:val="231F20"/>
          <w:spacing w:val="-21"/>
          <w:w w:val="105"/>
        </w:rPr>
        <w:t> </w:t>
      </w:r>
      <w:r>
        <w:rPr>
          <w:color w:val="231F20"/>
          <w:w w:val="105"/>
        </w:rPr>
        <w:t>de</w:t>
      </w:r>
      <w:r>
        <w:rPr>
          <w:color w:val="231F20"/>
          <w:spacing w:val="-21"/>
          <w:w w:val="105"/>
        </w:rPr>
        <w:t> </w:t>
      </w:r>
      <w:r>
        <w:rPr>
          <w:color w:val="231F20"/>
          <w:w w:val="105"/>
        </w:rPr>
        <w:t>aprendizaje</w:t>
      </w:r>
      <w:r>
        <w:rPr>
          <w:color w:val="231F20"/>
          <w:spacing w:val="-21"/>
          <w:w w:val="105"/>
        </w:rPr>
        <w:t> </w:t>
      </w:r>
      <w:r>
        <w:rPr>
          <w:color w:val="231F20"/>
          <w:w w:val="105"/>
        </w:rPr>
        <w:t>y de</w:t>
      </w:r>
      <w:r>
        <w:rPr>
          <w:color w:val="231F20"/>
          <w:spacing w:val="-21"/>
          <w:w w:val="105"/>
        </w:rPr>
        <w:t> </w:t>
      </w:r>
      <w:r>
        <w:rPr>
          <w:color w:val="231F20"/>
          <w:w w:val="105"/>
        </w:rPr>
        <w:t>empoderamiento</w:t>
      </w:r>
      <w:r>
        <w:rPr>
          <w:color w:val="231F20"/>
          <w:spacing w:val="-21"/>
          <w:w w:val="105"/>
        </w:rPr>
        <w:t> </w:t>
      </w:r>
      <w:r>
        <w:rPr>
          <w:color w:val="231F20"/>
          <w:w w:val="105"/>
        </w:rPr>
        <w:t>de</w:t>
      </w:r>
      <w:r>
        <w:rPr>
          <w:color w:val="231F20"/>
          <w:spacing w:val="-21"/>
          <w:w w:val="105"/>
        </w:rPr>
        <w:t> </w:t>
      </w:r>
      <w:r>
        <w:rPr>
          <w:color w:val="231F20"/>
          <w:w w:val="105"/>
        </w:rPr>
        <w:t>estos</w:t>
      </w:r>
      <w:r>
        <w:rPr>
          <w:color w:val="231F20"/>
          <w:spacing w:val="-21"/>
          <w:w w:val="105"/>
        </w:rPr>
        <w:t> </w:t>
      </w:r>
      <w:r>
        <w:rPr>
          <w:color w:val="231F20"/>
          <w:w w:val="105"/>
        </w:rPr>
        <w:t>grupos</w:t>
      </w:r>
      <w:r>
        <w:rPr>
          <w:color w:val="231F20"/>
          <w:spacing w:val="-21"/>
          <w:w w:val="105"/>
        </w:rPr>
        <w:t> </w:t>
      </w:r>
      <w:r>
        <w:rPr>
          <w:color w:val="231F20"/>
          <w:w w:val="105"/>
        </w:rPr>
        <w:t>vulnerables</w:t>
      </w:r>
      <w:r>
        <w:rPr>
          <w:color w:val="231F20"/>
          <w:spacing w:val="-21"/>
          <w:w w:val="105"/>
        </w:rPr>
        <w:t> </w:t>
      </w:r>
      <w:r>
        <w:rPr>
          <w:color w:val="231F20"/>
          <w:w w:val="105"/>
        </w:rPr>
        <w:t>es</w:t>
      </w:r>
      <w:r>
        <w:rPr>
          <w:color w:val="231F20"/>
          <w:spacing w:val="-21"/>
          <w:w w:val="105"/>
        </w:rPr>
        <w:t> </w:t>
      </w:r>
      <w:r>
        <w:rPr>
          <w:color w:val="231F20"/>
          <w:w w:val="105"/>
        </w:rPr>
        <w:t>una</w:t>
      </w:r>
      <w:r>
        <w:rPr>
          <w:color w:val="231F20"/>
          <w:spacing w:val="-21"/>
          <w:w w:val="105"/>
        </w:rPr>
        <w:t> </w:t>
      </w:r>
      <w:r>
        <w:rPr>
          <w:color w:val="231F20"/>
          <w:w w:val="105"/>
        </w:rPr>
        <w:t>condición</w:t>
      </w:r>
      <w:r>
        <w:rPr>
          <w:color w:val="231F20"/>
          <w:spacing w:val="-21"/>
          <w:w w:val="105"/>
        </w:rPr>
        <w:t> </w:t>
      </w:r>
      <w:r>
        <w:rPr>
          <w:color w:val="231F20"/>
          <w:w w:val="105"/>
        </w:rPr>
        <w:t>nece- saria</w:t>
      </w:r>
      <w:r>
        <w:rPr>
          <w:color w:val="231F20"/>
          <w:spacing w:val="-26"/>
          <w:w w:val="105"/>
        </w:rPr>
        <w:t> </w:t>
      </w:r>
      <w:r>
        <w:rPr>
          <w:color w:val="231F20"/>
          <w:w w:val="105"/>
        </w:rPr>
        <w:t>para</w:t>
      </w:r>
      <w:r>
        <w:rPr>
          <w:color w:val="231F20"/>
          <w:spacing w:val="-26"/>
          <w:w w:val="105"/>
        </w:rPr>
        <w:t> </w:t>
      </w:r>
      <w:r>
        <w:rPr>
          <w:color w:val="231F20"/>
          <w:w w:val="105"/>
        </w:rPr>
        <w:t>fortalecer</w:t>
      </w:r>
      <w:r>
        <w:rPr>
          <w:color w:val="231F20"/>
          <w:spacing w:val="-26"/>
          <w:w w:val="105"/>
        </w:rPr>
        <w:t> </w:t>
      </w:r>
      <w:r>
        <w:rPr>
          <w:color w:val="231F20"/>
          <w:w w:val="105"/>
        </w:rPr>
        <w:t>los</w:t>
      </w:r>
      <w:r>
        <w:rPr>
          <w:color w:val="231F20"/>
          <w:spacing w:val="-26"/>
          <w:w w:val="105"/>
        </w:rPr>
        <w:t> </w:t>
      </w:r>
      <w:r>
        <w:rPr>
          <w:color w:val="231F20"/>
          <w:w w:val="105"/>
        </w:rPr>
        <w:t>derechos</w:t>
      </w:r>
      <w:r>
        <w:rPr>
          <w:color w:val="231F20"/>
          <w:spacing w:val="-26"/>
          <w:w w:val="105"/>
        </w:rPr>
        <w:t> </w:t>
      </w:r>
      <w:r>
        <w:rPr>
          <w:color w:val="231F20"/>
          <w:w w:val="105"/>
        </w:rPr>
        <w:t>humanos</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migrantes,</w:t>
      </w:r>
      <w:r>
        <w:rPr>
          <w:color w:val="231F20"/>
          <w:spacing w:val="-30"/>
          <w:w w:val="105"/>
        </w:rPr>
        <w:t> </w:t>
      </w:r>
      <w:r>
        <w:rPr>
          <w:color w:val="231F20"/>
          <w:w w:val="105"/>
        </w:rPr>
        <w:t>sus</w:t>
      </w:r>
      <w:r>
        <w:rPr>
          <w:color w:val="231F20"/>
          <w:spacing w:val="-26"/>
          <w:w w:val="105"/>
        </w:rPr>
        <w:t> </w:t>
      </w:r>
      <w:r>
        <w:rPr>
          <w:color w:val="231F20"/>
          <w:w w:val="105"/>
        </w:rPr>
        <w:t>familias y la ciudadanía en general, en la medida en que una sociedad</w:t>
      </w:r>
      <w:r>
        <w:rPr>
          <w:color w:val="231F20"/>
          <w:spacing w:val="-38"/>
          <w:w w:val="105"/>
        </w:rPr>
        <w:t> </w:t>
      </w:r>
      <w:r>
        <w:rPr>
          <w:color w:val="231F20"/>
          <w:w w:val="105"/>
        </w:rPr>
        <w:t>educada e informada sobre sus derechos favorece la integración, al tiempo que promueve la sensibilización y concientización sobre la importancia de procurar</w:t>
      </w:r>
      <w:r>
        <w:rPr>
          <w:color w:val="231F20"/>
          <w:spacing w:val="-18"/>
          <w:w w:val="105"/>
        </w:rPr>
        <w:t> </w:t>
      </w:r>
      <w:r>
        <w:rPr>
          <w:color w:val="231F20"/>
          <w:w w:val="105"/>
        </w:rPr>
        <w:t>y</w:t>
      </w:r>
      <w:r>
        <w:rPr>
          <w:color w:val="231F20"/>
          <w:spacing w:val="-18"/>
          <w:w w:val="105"/>
        </w:rPr>
        <w:t> </w:t>
      </w:r>
      <w:r>
        <w:rPr>
          <w:color w:val="231F20"/>
          <w:w w:val="105"/>
        </w:rPr>
        <w:t>exigir</w:t>
      </w:r>
      <w:r>
        <w:rPr>
          <w:color w:val="231F20"/>
          <w:spacing w:val="-18"/>
          <w:w w:val="105"/>
        </w:rPr>
        <w:t> </w:t>
      </w:r>
      <w:r>
        <w:rPr>
          <w:color w:val="231F20"/>
          <w:w w:val="105"/>
        </w:rPr>
        <w:t>sus</w:t>
      </w:r>
      <w:r>
        <w:rPr>
          <w:color w:val="231F20"/>
          <w:spacing w:val="-18"/>
          <w:w w:val="105"/>
        </w:rPr>
        <w:t> </w:t>
      </w:r>
      <w:r>
        <w:rPr>
          <w:color w:val="231F20"/>
          <w:w w:val="105"/>
        </w:rPr>
        <w:t>derechos</w:t>
      </w:r>
      <w:r>
        <w:rPr>
          <w:color w:val="231F20"/>
          <w:spacing w:val="-18"/>
          <w:w w:val="105"/>
        </w:rPr>
        <w:t> </w:t>
      </w:r>
      <w:r>
        <w:rPr>
          <w:color w:val="231F20"/>
          <w:w w:val="105"/>
        </w:rPr>
        <w:t>en</w:t>
      </w:r>
      <w:r>
        <w:rPr>
          <w:color w:val="231F20"/>
          <w:spacing w:val="-18"/>
          <w:w w:val="105"/>
        </w:rPr>
        <w:t> </w:t>
      </w:r>
      <w:r>
        <w:rPr>
          <w:color w:val="231F20"/>
          <w:w w:val="105"/>
        </w:rPr>
        <w:t>cualquier</w:t>
      </w:r>
      <w:r>
        <w:rPr>
          <w:color w:val="231F20"/>
          <w:spacing w:val="-18"/>
          <w:w w:val="105"/>
        </w:rPr>
        <w:t> </w:t>
      </w:r>
      <w:r>
        <w:rPr>
          <w:color w:val="231F20"/>
          <w:w w:val="105"/>
        </w:rPr>
        <w:t>escala</w:t>
      </w:r>
      <w:r>
        <w:rPr>
          <w:color w:val="231F20"/>
          <w:spacing w:val="-18"/>
          <w:w w:val="105"/>
        </w:rPr>
        <w:t> </w:t>
      </w:r>
      <w:r>
        <w:rPr>
          <w:color w:val="231F20"/>
          <w:w w:val="105"/>
        </w:rPr>
        <w:t>territorial.</w:t>
      </w:r>
    </w:p>
    <w:p>
      <w:pPr>
        <w:pStyle w:val="BodyText"/>
        <w:rPr>
          <w:sz w:val="20"/>
        </w:rPr>
      </w:pPr>
    </w:p>
    <w:p>
      <w:pPr>
        <w:pStyle w:val="BodyText"/>
        <w:spacing w:before="9"/>
        <w:rPr>
          <w:sz w:val="20"/>
        </w:rPr>
      </w:pPr>
    </w:p>
    <w:p>
      <w:pPr>
        <w:pStyle w:val="Heading3"/>
        <w:ind w:left="1723"/>
      </w:pPr>
      <w:r>
        <w:rPr>
          <w:color w:val="231F20"/>
          <w:w w:val="95"/>
        </w:rPr>
        <w:t>Participación de los migrantes</w:t>
      </w:r>
    </w:p>
    <w:p>
      <w:pPr>
        <w:pStyle w:val="BodyText"/>
        <w:rPr>
          <w:rFonts w:ascii="Arial"/>
          <w:b/>
          <w:sz w:val="22"/>
        </w:rPr>
      </w:pPr>
    </w:p>
    <w:p>
      <w:pPr>
        <w:pStyle w:val="BodyText"/>
        <w:spacing w:line="261" w:lineRule="auto" w:before="163"/>
        <w:ind w:left="1723" w:right="1835"/>
        <w:jc w:val="both"/>
      </w:pPr>
      <w:r>
        <w:rPr>
          <w:color w:val="231F20"/>
          <w:w w:val="105"/>
        </w:rPr>
        <w:t>Otro derecho fundamental que tienen los migrantes es la libre partici- pación y asociación. De acuerdo con Ordoñez (2010), el derecho a la participación es la facultad de todos los ciudadanos para elegir a sus representantes, y en general, de intervenir en los procesos de toma de </w:t>
      </w:r>
      <w:r>
        <w:rPr>
          <w:color w:val="231F20"/>
        </w:rPr>
        <w:t>decisiones</w:t>
      </w:r>
      <w:r>
        <w:rPr>
          <w:color w:val="231F20"/>
          <w:spacing w:val="50"/>
        </w:rPr>
        <w:t> </w:t>
      </w:r>
      <w:r>
        <w:rPr>
          <w:color w:val="231F20"/>
        </w:rPr>
        <w:t>públicas.</w:t>
      </w:r>
    </w:p>
    <w:p>
      <w:pPr>
        <w:pStyle w:val="BodyText"/>
        <w:spacing w:line="261" w:lineRule="auto" w:before="1"/>
        <w:ind w:left="1723" w:right="1835" w:firstLine="567"/>
        <w:jc w:val="both"/>
      </w:pPr>
      <w:r>
        <w:rPr>
          <w:color w:val="231F20"/>
          <w:w w:val="105"/>
        </w:rPr>
        <w:t>Sin</w:t>
      </w:r>
      <w:r>
        <w:rPr>
          <w:color w:val="231F20"/>
          <w:spacing w:val="-13"/>
          <w:w w:val="105"/>
        </w:rPr>
        <w:t> </w:t>
      </w:r>
      <w:r>
        <w:rPr>
          <w:color w:val="231F20"/>
          <w:spacing w:val="-4"/>
          <w:w w:val="105"/>
        </w:rPr>
        <w:t>embargo,</w:t>
      </w:r>
      <w:r>
        <w:rPr>
          <w:color w:val="231F20"/>
          <w:spacing w:val="-19"/>
          <w:w w:val="105"/>
        </w:rPr>
        <w:t> </w:t>
      </w:r>
      <w:r>
        <w:rPr>
          <w:color w:val="231F20"/>
          <w:w w:val="105"/>
        </w:rPr>
        <w:t>en</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spacing w:val="-3"/>
          <w:w w:val="105"/>
        </w:rPr>
        <w:t>respecta</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spacing w:val="-3"/>
          <w:w w:val="105"/>
        </w:rPr>
        <w:t>población</w:t>
      </w:r>
      <w:r>
        <w:rPr>
          <w:color w:val="231F20"/>
          <w:spacing w:val="-13"/>
          <w:w w:val="105"/>
        </w:rPr>
        <w:t> </w:t>
      </w:r>
      <w:r>
        <w:rPr>
          <w:color w:val="231F20"/>
          <w:spacing w:val="-3"/>
          <w:w w:val="105"/>
        </w:rPr>
        <w:t>inmigrante</w:t>
      </w:r>
      <w:r>
        <w:rPr>
          <w:color w:val="231F20"/>
          <w:spacing w:val="-13"/>
          <w:w w:val="105"/>
        </w:rPr>
        <w:t> </w:t>
      </w:r>
      <w:r>
        <w:rPr>
          <w:color w:val="231F20"/>
          <w:w w:val="105"/>
        </w:rPr>
        <w:t>en</w:t>
      </w:r>
      <w:r>
        <w:rPr>
          <w:color w:val="231F20"/>
          <w:spacing w:val="-13"/>
          <w:w w:val="105"/>
        </w:rPr>
        <w:t> </w:t>
      </w:r>
      <w:r>
        <w:rPr>
          <w:color w:val="231F20"/>
          <w:spacing w:val="-3"/>
          <w:w w:val="105"/>
        </w:rPr>
        <w:t>Méxi- co,</w:t>
      </w:r>
      <w:r>
        <w:rPr>
          <w:color w:val="231F20"/>
          <w:spacing w:val="-25"/>
          <w:w w:val="105"/>
        </w:rPr>
        <w:t> </w:t>
      </w:r>
      <w:r>
        <w:rPr>
          <w:color w:val="231F20"/>
          <w:w w:val="105"/>
        </w:rPr>
        <w:t>la</w:t>
      </w:r>
      <w:r>
        <w:rPr>
          <w:color w:val="231F20"/>
          <w:spacing w:val="-20"/>
          <w:w w:val="105"/>
        </w:rPr>
        <w:t> </w:t>
      </w:r>
      <w:r>
        <w:rPr>
          <w:color w:val="231F20"/>
          <w:spacing w:val="-3"/>
          <w:w w:val="105"/>
        </w:rPr>
        <w:t>Constitución</w:t>
      </w:r>
      <w:r>
        <w:rPr>
          <w:color w:val="231F20"/>
          <w:spacing w:val="-20"/>
          <w:w w:val="105"/>
        </w:rPr>
        <w:t> </w:t>
      </w:r>
      <w:r>
        <w:rPr>
          <w:color w:val="231F20"/>
          <w:spacing w:val="-3"/>
          <w:w w:val="105"/>
        </w:rPr>
        <w:t>Mexicana</w:t>
      </w:r>
      <w:r>
        <w:rPr>
          <w:color w:val="231F20"/>
          <w:spacing w:val="-20"/>
          <w:w w:val="105"/>
        </w:rPr>
        <w:t> </w:t>
      </w:r>
      <w:r>
        <w:rPr>
          <w:color w:val="231F20"/>
          <w:spacing w:val="-3"/>
          <w:w w:val="105"/>
        </w:rPr>
        <w:t>(artículo</w:t>
      </w:r>
      <w:r>
        <w:rPr>
          <w:color w:val="231F20"/>
          <w:spacing w:val="-20"/>
          <w:w w:val="105"/>
        </w:rPr>
        <w:t> </w:t>
      </w:r>
      <w:r>
        <w:rPr>
          <w:color w:val="231F20"/>
          <w:w w:val="105"/>
        </w:rPr>
        <w:t>33)</w:t>
      </w:r>
      <w:r>
        <w:rPr>
          <w:color w:val="231F20"/>
          <w:spacing w:val="-20"/>
          <w:w w:val="105"/>
        </w:rPr>
        <w:t> </w:t>
      </w:r>
      <w:r>
        <w:rPr>
          <w:color w:val="231F20"/>
          <w:spacing w:val="-3"/>
          <w:w w:val="105"/>
        </w:rPr>
        <w:t>establece</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spacing w:val="-4"/>
          <w:w w:val="105"/>
        </w:rPr>
        <w:t>extranjeros</w:t>
      </w:r>
      <w:r>
        <w:rPr>
          <w:color w:val="231F20"/>
          <w:spacing w:val="-20"/>
          <w:w w:val="105"/>
        </w:rPr>
        <w:t> </w:t>
      </w:r>
      <w:r>
        <w:rPr>
          <w:color w:val="231F20"/>
          <w:spacing w:val="-3"/>
          <w:w w:val="105"/>
        </w:rPr>
        <w:t>no podrán</w:t>
      </w:r>
      <w:r>
        <w:rPr>
          <w:color w:val="231F20"/>
          <w:spacing w:val="-29"/>
          <w:w w:val="105"/>
        </w:rPr>
        <w:t> </w:t>
      </w:r>
      <w:r>
        <w:rPr>
          <w:color w:val="231F20"/>
          <w:w w:val="105"/>
        </w:rPr>
        <w:t>de</w:t>
      </w:r>
      <w:r>
        <w:rPr>
          <w:color w:val="231F20"/>
          <w:spacing w:val="-29"/>
          <w:w w:val="105"/>
        </w:rPr>
        <w:t> </w:t>
      </w:r>
      <w:r>
        <w:rPr>
          <w:color w:val="231F20"/>
          <w:spacing w:val="-3"/>
          <w:w w:val="105"/>
        </w:rPr>
        <w:t>ninguna</w:t>
      </w:r>
      <w:r>
        <w:rPr>
          <w:color w:val="231F20"/>
          <w:spacing w:val="-29"/>
          <w:w w:val="105"/>
        </w:rPr>
        <w:t> </w:t>
      </w:r>
      <w:r>
        <w:rPr>
          <w:color w:val="231F20"/>
          <w:spacing w:val="-3"/>
          <w:w w:val="105"/>
        </w:rPr>
        <w:t>manera</w:t>
      </w:r>
      <w:r>
        <w:rPr>
          <w:color w:val="231F20"/>
          <w:spacing w:val="-29"/>
          <w:w w:val="105"/>
        </w:rPr>
        <w:t> </w:t>
      </w:r>
      <w:r>
        <w:rPr>
          <w:color w:val="231F20"/>
          <w:spacing w:val="-3"/>
          <w:w w:val="105"/>
        </w:rPr>
        <w:t>inmiscuirse</w:t>
      </w:r>
      <w:r>
        <w:rPr>
          <w:color w:val="231F20"/>
          <w:spacing w:val="-29"/>
          <w:w w:val="105"/>
        </w:rPr>
        <w:t> </w:t>
      </w:r>
      <w:r>
        <w:rPr>
          <w:color w:val="231F20"/>
          <w:w w:val="105"/>
        </w:rPr>
        <w:t>en</w:t>
      </w:r>
      <w:r>
        <w:rPr>
          <w:color w:val="231F20"/>
          <w:spacing w:val="-29"/>
          <w:w w:val="105"/>
        </w:rPr>
        <w:t> </w:t>
      </w:r>
      <w:r>
        <w:rPr>
          <w:color w:val="231F20"/>
          <w:w w:val="105"/>
        </w:rPr>
        <w:t>los</w:t>
      </w:r>
      <w:r>
        <w:rPr>
          <w:color w:val="231F20"/>
          <w:spacing w:val="-29"/>
          <w:w w:val="105"/>
        </w:rPr>
        <w:t> </w:t>
      </w:r>
      <w:r>
        <w:rPr>
          <w:color w:val="231F20"/>
          <w:spacing w:val="-3"/>
          <w:w w:val="105"/>
        </w:rPr>
        <w:t>asuntos</w:t>
      </w:r>
      <w:r>
        <w:rPr>
          <w:color w:val="231F20"/>
          <w:spacing w:val="-29"/>
          <w:w w:val="105"/>
        </w:rPr>
        <w:t> </w:t>
      </w:r>
      <w:r>
        <w:rPr>
          <w:color w:val="231F20"/>
          <w:spacing w:val="-3"/>
          <w:w w:val="105"/>
        </w:rPr>
        <w:t>políticos</w:t>
      </w:r>
      <w:r>
        <w:rPr>
          <w:color w:val="231F20"/>
          <w:spacing w:val="-29"/>
          <w:w w:val="105"/>
        </w:rPr>
        <w:t> </w:t>
      </w:r>
      <w:r>
        <w:rPr>
          <w:color w:val="231F20"/>
          <w:w w:val="105"/>
        </w:rPr>
        <w:t>del</w:t>
      </w:r>
      <w:r>
        <w:rPr>
          <w:color w:val="231F20"/>
          <w:spacing w:val="-29"/>
          <w:w w:val="105"/>
        </w:rPr>
        <w:t> </w:t>
      </w:r>
      <w:r>
        <w:rPr>
          <w:color w:val="231F20"/>
          <w:spacing w:val="-3"/>
          <w:w w:val="105"/>
        </w:rPr>
        <w:t>país.</w:t>
      </w:r>
      <w:r>
        <w:rPr>
          <w:color w:val="231F20"/>
          <w:spacing w:val="-34"/>
          <w:w w:val="105"/>
        </w:rPr>
        <w:t> </w:t>
      </w:r>
      <w:r>
        <w:rPr>
          <w:color w:val="231F20"/>
          <w:spacing w:val="-3"/>
          <w:w w:val="105"/>
        </w:rPr>
        <w:t>En otros</w:t>
      </w:r>
      <w:r>
        <w:rPr>
          <w:color w:val="231F20"/>
          <w:spacing w:val="-12"/>
          <w:w w:val="105"/>
        </w:rPr>
        <w:t> </w:t>
      </w:r>
      <w:r>
        <w:rPr>
          <w:color w:val="231F20"/>
          <w:spacing w:val="-3"/>
          <w:w w:val="105"/>
        </w:rPr>
        <w:t>términos,</w:t>
      </w:r>
      <w:r>
        <w:rPr>
          <w:color w:val="231F20"/>
          <w:spacing w:val="-17"/>
          <w:w w:val="105"/>
        </w:rPr>
        <w:t> </w:t>
      </w:r>
      <w:r>
        <w:rPr>
          <w:color w:val="231F20"/>
          <w:w w:val="105"/>
        </w:rPr>
        <w:t>el</w:t>
      </w:r>
      <w:r>
        <w:rPr>
          <w:color w:val="231F20"/>
          <w:spacing w:val="-12"/>
          <w:w w:val="105"/>
        </w:rPr>
        <w:t> </w:t>
      </w:r>
      <w:r>
        <w:rPr>
          <w:color w:val="231F20"/>
          <w:spacing w:val="-3"/>
          <w:w w:val="105"/>
        </w:rPr>
        <w:t>acceso</w:t>
      </w:r>
      <w:r>
        <w:rPr>
          <w:color w:val="231F20"/>
          <w:spacing w:val="-12"/>
          <w:w w:val="105"/>
        </w:rPr>
        <w:t> </w:t>
      </w:r>
      <w:r>
        <w:rPr>
          <w:color w:val="231F20"/>
          <w:w w:val="105"/>
        </w:rPr>
        <w:t>al</w:t>
      </w:r>
      <w:r>
        <w:rPr>
          <w:color w:val="231F20"/>
          <w:spacing w:val="-12"/>
          <w:w w:val="105"/>
        </w:rPr>
        <w:t> </w:t>
      </w:r>
      <w:r>
        <w:rPr>
          <w:color w:val="231F20"/>
          <w:spacing w:val="-3"/>
          <w:w w:val="105"/>
        </w:rPr>
        <w:t>voto</w:t>
      </w:r>
      <w:r>
        <w:rPr>
          <w:color w:val="231F20"/>
          <w:spacing w:val="-12"/>
          <w:w w:val="105"/>
        </w:rPr>
        <w:t> </w:t>
      </w:r>
      <w:r>
        <w:rPr>
          <w:color w:val="231F20"/>
          <w:w w:val="105"/>
        </w:rPr>
        <w:t>es</w:t>
      </w:r>
      <w:r>
        <w:rPr>
          <w:color w:val="231F20"/>
          <w:spacing w:val="-12"/>
          <w:w w:val="105"/>
        </w:rPr>
        <w:t> </w:t>
      </w:r>
      <w:r>
        <w:rPr>
          <w:color w:val="231F20"/>
          <w:spacing w:val="-3"/>
          <w:w w:val="105"/>
        </w:rPr>
        <w:t>nulo,</w:t>
      </w:r>
      <w:r>
        <w:rPr>
          <w:color w:val="231F20"/>
          <w:spacing w:val="-17"/>
          <w:w w:val="105"/>
        </w:rPr>
        <w:t> </w:t>
      </w:r>
      <w:r>
        <w:rPr>
          <w:color w:val="231F20"/>
          <w:spacing w:val="-3"/>
          <w:w w:val="105"/>
        </w:rPr>
        <w:t>además</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son</w:t>
      </w:r>
      <w:r>
        <w:rPr>
          <w:color w:val="231F20"/>
          <w:spacing w:val="-12"/>
          <w:w w:val="105"/>
        </w:rPr>
        <w:t> </w:t>
      </w:r>
      <w:r>
        <w:rPr>
          <w:color w:val="231F20"/>
          <w:spacing w:val="-3"/>
          <w:w w:val="105"/>
        </w:rPr>
        <w:t>escasos</w:t>
      </w:r>
      <w:r>
        <w:rPr>
          <w:color w:val="231F20"/>
          <w:spacing w:val="-12"/>
          <w:w w:val="105"/>
        </w:rPr>
        <w:t> </w:t>
      </w:r>
      <w:r>
        <w:rPr>
          <w:color w:val="231F20"/>
          <w:spacing w:val="-3"/>
          <w:w w:val="105"/>
        </w:rPr>
        <w:t>los esfuerzos </w:t>
      </w:r>
      <w:r>
        <w:rPr>
          <w:color w:val="231F20"/>
          <w:w w:val="105"/>
        </w:rPr>
        <w:t>del </w:t>
      </w:r>
      <w:r>
        <w:rPr>
          <w:color w:val="231F20"/>
          <w:spacing w:val="-3"/>
          <w:w w:val="105"/>
        </w:rPr>
        <w:t>Estado para desarrollar órganos consultivos </w:t>
      </w:r>
      <w:r>
        <w:rPr>
          <w:color w:val="231F20"/>
          <w:w w:val="105"/>
        </w:rPr>
        <w:t>que </w:t>
      </w:r>
      <w:r>
        <w:rPr>
          <w:color w:val="231F20"/>
          <w:spacing w:val="-3"/>
          <w:w w:val="105"/>
        </w:rPr>
        <w:t>permitan detectar</w:t>
      </w:r>
      <w:r>
        <w:rPr>
          <w:color w:val="231F20"/>
          <w:spacing w:val="-26"/>
          <w:w w:val="105"/>
        </w:rPr>
        <w:t> </w:t>
      </w:r>
      <w:r>
        <w:rPr>
          <w:color w:val="231F20"/>
          <w:w w:val="105"/>
        </w:rPr>
        <w:t>las</w:t>
      </w:r>
      <w:r>
        <w:rPr>
          <w:color w:val="231F20"/>
          <w:spacing w:val="-26"/>
          <w:w w:val="105"/>
        </w:rPr>
        <w:t> </w:t>
      </w:r>
      <w:r>
        <w:rPr>
          <w:color w:val="231F20"/>
          <w:spacing w:val="-3"/>
          <w:w w:val="105"/>
        </w:rPr>
        <w:t>necesidades</w:t>
      </w:r>
      <w:r>
        <w:rPr>
          <w:color w:val="231F20"/>
          <w:spacing w:val="-26"/>
          <w:w w:val="105"/>
        </w:rPr>
        <w:t> </w:t>
      </w:r>
      <w:r>
        <w:rPr>
          <w:color w:val="231F20"/>
          <w:w w:val="105"/>
        </w:rPr>
        <w:t>y</w:t>
      </w:r>
      <w:r>
        <w:rPr>
          <w:color w:val="231F20"/>
          <w:spacing w:val="-26"/>
          <w:w w:val="105"/>
        </w:rPr>
        <w:t> </w:t>
      </w:r>
      <w:r>
        <w:rPr>
          <w:color w:val="231F20"/>
          <w:spacing w:val="-4"/>
          <w:w w:val="105"/>
        </w:rPr>
        <w:t>realidades</w:t>
      </w:r>
      <w:r>
        <w:rPr>
          <w:color w:val="231F20"/>
          <w:spacing w:val="-26"/>
          <w:w w:val="105"/>
        </w:rPr>
        <w:t> </w:t>
      </w:r>
      <w:r>
        <w:rPr>
          <w:color w:val="231F20"/>
          <w:w w:val="105"/>
        </w:rPr>
        <w:t>de</w:t>
      </w:r>
      <w:r>
        <w:rPr>
          <w:color w:val="231F20"/>
          <w:spacing w:val="-26"/>
          <w:w w:val="105"/>
        </w:rPr>
        <w:t> </w:t>
      </w:r>
      <w:r>
        <w:rPr>
          <w:color w:val="231F20"/>
          <w:spacing w:val="-3"/>
          <w:w w:val="105"/>
        </w:rPr>
        <w:t>esta</w:t>
      </w:r>
      <w:r>
        <w:rPr>
          <w:color w:val="231F20"/>
          <w:spacing w:val="-26"/>
          <w:w w:val="105"/>
        </w:rPr>
        <w:t> </w:t>
      </w:r>
      <w:r>
        <w:rPr>
          <w:color w:val="231F20"/>
          <w:spacing w:val="-3"/>
          <w:w w:val="105"/>
        </w:rPr>
        <w:t>población</w:t>
      </w:r>
      <w:r>
        <w:rPr>
          <w:color w:val="231F20"/>
          <w:spacing w:val="-26"/>
          <w:w w:val="105"/>
        </w:rPr>
        <w:t> </w:t>
      </w:r>
      <w:r>
        <w:rPr>
          <w:color w:val="231F20"/>
          <w:spacing w:val="-3"/>
          <w:w w:val="105"/>
        </w:rPr>
        <w:t>(Guzmán,</w:t>
      </w:r>
      <w:r>
        <w:rPr>
          <w:color w:val="231F20"/>
          <w:spacing w:val="-30"/>
          <w:w w:val="105"/>
        </w:rPr>
        <w:t> </w:t>
      </w:r>
      <w:r>
        <w:rPr>
          <w:color w:val="231F20"/>
          <w:spacing w:val="-3"/>
          <w:w w:val="105"/>
        </w:rPr>
        <w:t>2014).</w:t>
      </w:r>
    </w:p>
    <w:p>
      <w:pPr>
        <w:pStyle w:val="BodyText"/>
        <w:spacing w:line="261" w:lineRule="auto" w:before="1"/>
        <w:ind w:left="1723" w:right="1834" w:firstLine="567"/>
        <w:jc w:val="both"/>
      </w:pPr>
      <w:r>
        <w:rPr>
          <w:color w:val="231F20"/>
          <w:spacing w:val="-6"/>
          <w:w w:val="105"/>
        </w:rPr>
        <w:t>Por </w:t>
      </w:r>
      <w:r>
        <w:rPr>
          <w:color w:val="231F20"/>
          <w:w w:val="105"/>
        </w:rPr>
        <w:t>otra parte, a pesar de los avances logrados para promover el voto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migrantes</w:t>
      </w:r>
      <w:r>
        <w:rPr>
          <w:color w:val="231F20"/>
          <w:spacing w:val="-15"/>
          <w:w w:val="105"/>
        </w:rPr>
        <w:t> </w:t>
      </w:r>
      <w:r>
        <w:rPr>
          <w:color w:val="231F20"/>
          <w:w w:val="105"/>
        </w:rPr>
        <w:t>mexicanos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exterior,</w:t>
      </w:r>
      <w:r>
        <w:rPr>
          <w:color w:val="231F20"/>
          <w:spacing w:val="-23"/>
          <w:w w:val="105"/>
        </w:rPr>
        <w:t> </w:t>
      </w:r>
      <w:r>
        <w:rPr>
          <w:color w:val="231F20"/>
          <w:w w:val="105"/>
        </w:rPr>
        <w:t>Aguirre</w:t>
      </w:r>
      <w:r>
        <w:rPr>
          <w:color w:val="231F20"/>
          <w:spacing w:val="-15"/>
          <w:w w:val="105"/>
        </w:rPr>
        <w:t> </w:t>
      </w:r>
      <w:r>
        <w:rPr>
          <w:color w:val="231F20"/>
          <w:w w:val="105"/>
        </w:rPr>
        <w:t>y</w:t>
      </w:r>
      <w:r>
        <w:rPr>
          <w:color w:val="231F20"/>
          <w:spacing w:val="-15"/>
          <w:w w:val="105"/>
        </w:rPr>
        <w:t> </w:t>
      </w:r>
      <w:r>
        <w:rPr>
          <w:color w:val="231F20"/>
          <w:w w:val="105"/>
        </w:rPr>
        <w:t>Navarro</w:t>
      </w:r>
      <w:r>
        <w:rPr>
          <w:color w:val="231F20"/>
          <w:spacing w:val="-15"/>
          <w:w w:val="105"/>
        </w:rPr>
        <w:t> </w:t>
      </w:r>
      <w:r>
        <w:rPr>
          <w:color w:val="231F20"/>
          <w:w w:val="105"/>
        </w:rPr>
        <w:t>(2011) advierten</w:t>
      </w:r>
      <w:r>
        <w:rPr>
          <w:color w:val="231F20"/>
          <w:spacing w:val="-5"/>
          <w:w w:val="105"/>
        </w:rPr>
        <w:t> </w:t>
      </w:r>
      <w:r>
        <w:rPr>
          <w:color w:val="231F20"/>
          <w:w w:val="105"/>
        </w:rPr>
        <w:t>que</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participación</w:t>
      </w:r>
      <w:r>
        <w:rPr>
          <w:color w:val="231F20"/>
          <w:spacing w:val="-5"/>
          <w:w w:val="105"/>
        </w:rPr>
        <w:t> </w:t>
      </w:r>
      <w:r>
        <w:rPr>
          <w:color w:val="231F20"/>
          <w:w w:val="105"/>
        </w:rPr>
        <w:t>política</w:t>
      </w:r>
      <w:r>
        <w:rPr>
          <w:color w:val="231F20"/>
          <w:spacing w:val="-5"/>
          <w:w w:val="105"/>
        </w:rPr>
        <w:t> </w:t>
      </w:r>
      <w:r>
        <w:rPr>
          <w:color w:val="231F20"/>
          <w:w w:val="105"/>
        </w:rPr>
        <w:t>electoral</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migrantes,</w:t>
      </w:r>
      <w:r>
        <w:rPr>
          <w:color w:val="231F20"/>
          <w:spacing w:val="-12"/>
          <w:w w:val="105"/>
        </w:rPr>
        <w:t> </w:t>
      </w:r>
      <w:r>
        <w:rPr>
          <w:color w:val="231F20"/>
          <w:w w:val="105"/>
        </w:rPr>
        <w:t>con excepción del interés mostrado por los clubes de oriundos, los mexica- nos radicados en Estados Unidos no muestran expresiones de</w:t>
      </w:r>
      <w:r>
        <w:rPr>
          <w:color w:val="231F20"/>
          <w:spacing w:val="-34"/>
          <w:w w:val="105"/>
        </w:rPr>
        <w:t> </w:t>
      </w:r>
      <w:r>
        <w:rPr>
          <w:color w:val="231F20"/>
          <w:w w:val="105"/>
        </w:rPr>
        <w:t>solidari- dad, empatía o interés con los procesos políticos de México, ejemplo de</w:t>
      </w:r>
      <w:r>
        <w:rPr>
          <w:color w:val="231F20"/>
          <w:spacing w:val="-4"/>
          <w:w w:val="105"/>
        </w:rPr>
        <w:t> </w:t>
      </w:r>
      <w:r>
        <w:rPr>
          <w:color w:val="231F20"/>
          <w:w w:val="105"/>
        </w:rPr>
        <w:t>ello</w:t>
      </w:r>
      <w:r>
        <w:rPr>
          <w:color w:val="231F20"/>
          <w:spacing w:val="-4"/>
          <w:w w:val="105"/>
        </w:rPr>
        <w:t> </w:t>
      </w:r>
      <w:r>
        <w:rPr>
          <w:color w:val="231F20"/>
          <w:w w:val="105"/>
        </w:rPr>
        <w:t>ha</w:t>
      </w:r>
      <w:r>
        <w:rPr>
          <w:color w:val="231F20"/>
          <w:spacing w:val="-4"/>
          <w:w w:val="105"/>
        </w:rPr>
        <w:t> </w:t>
      </w:r>
      <w:r>
        <w:rPr>
          <w:color w:val="231F20"/>
          <w:w w:val="105"/>
        </w:rPr>
        <w:t>sido</w:t>
      </w:r>
      <w:r>
        <w:rPr>
          <w:color w:val="231F20"/>
          <w:spacing w:val="-4"/>
          <w:w w:val="105"/>
        </w:rPr>
        <w:t> </w:t>
      </w:r>
      <w:r>
        <w:rPr>
          <w:color w:val="231F20"/>
          <w:w w:val="105"/>
        </w:rPr>
        <w:t>la</w:t>
      </w:r>
      <w:r>
        <w:rPr>
          <w:color w:val="231F20"/>
          <w:spacing w:val="-4"/>
          <w:w w:val="105"/>
        </w:rPr>
        <w:t> </w:t>
      </w:r>
      <w:r>
        <w:rPr>
          <w:color w:val="231F20"/>
          <w:w w:val="105"/>
        </w:rPr>
        <w:t>baja</w:t>
      </w:r>
      <w:r>
        <w:rPr>
          <w:color w:val="231F20"/>
          <w:spacing w:val="-4"/>
          <w:w w:val="105"/>
        </w:rPr>
        <w:t> </w:t>
      </w:r>
      <w:r>
        <w:rPr>
          <w:color w:val="231F20"/>
          <w:w w:val="105"/>
        </w:rPr>
        <w:t>participación</w:t>
      </w:r>
      <w:r>
        <w:rPr>
          <w:color w:val="231F20"/>
          <w:spacing w:val="-4"/>
          <w:w w:val="105"/>
        </w:rPr>
        <w:t> </w:t>
      </w:r>
      <w:r>
        <w:rPr>
          <w:color w:val="231F20"/>
          <w:w w:val="105"/>
        </w:rPr>
        <w:t>de</w:t>
      </w:r>
      <w:r>
        <w:rPr>
          <w:color w:val="231F20"/>
          <w:spacing w:val="-4"/>
          <w:w w:val="105"/>
        </w:rPr>
        <w:t> </w:t>
      </w:r>
      <w:r>
        <w:rPr>
          <w:color w:val="231F20"/>
          <w:w w:val="105"/>
        </w:rPr>
        <w:t>esta</w:t>
      </w:r>
      <w:r>
        <w:rPr>
          <w:color w:val="231F20"/>
          <w:spacing w:val="-4"/>
          <w:w w:val="105"/>
        </w:rPr>
        <w:t> </w:t>
      </w:r>
      <w:r>
        <w:rPr>
          <w:color w:val="231F20"/>
          <w:w w:val="105"/>
        </w:rPr>
        <w:t>población</w:t>
      </w:r>
      <w:r>
        <w:rPr>
          <w:color w:val="231F20"/>
          <w:spacing w:val="-4"/>
          <w:w w:val="105"/>
        </w:rPr>
        <w:t> </w:t>
      </w:r>
      <w:r>
        <w:rPr>
          <w:color w:val="231F20"/>
          <w:w w:val="105"/>
        </w:rPr>
        <w:t>en</w:t>
      </w:r>
      <w:r>
        <w:rPr>
          <w:color w:val="231F20"/>
          <w:spacing w:val="-4"/>
          <w:w w:val="105"/>
        </w:rPr>
        <w:t> </w:t>
      </w:r>
      <w:r>
        <w:rPr>
          <w:color w:val="231F20"/>
          <w:w w:val="105"/>
        </w:rPr>
        <w:t>las</w:t>
      </w:r>
      <w:r>
        <w:rPr>
          <w:color w:val="231F20"/>
          <w:spacing w:val="-4"/>
          <w:w w:val="105"/>
        </w:rPr>
        <w:t> </w:t>
      </w:r>
      <w:r>
        <w:rPr>
          <w:color w:val="231F20"/>
          <w:w w:val="105"/>
        </w:rPr>
        <w:t>elecciones nacionales</w:t>
      </w:r>
      <w:r>
        <w:rPr>
          <w:color w:val="231F20"/>
          <w:spacing w:val="-16"/>
          <w:w w:val="105"/>
        </w:rPr>
        <w:t> </w:t>
      </w:r>
      <w:r>
        <w:rPr>
          <w:color w:val="231F20"/>
          <w:w w:val="105"/>
        </w:rPr>
        <w:t>y</w:t>
      </w:r>
      <w:r>
        <w:rPr>
          <w:color w:val="231F20"/>
          <w:spacing w:val="-16"/>
          <w:w w:val="105"/>
        </w:rPr>
        <w:t> </w:t>
      </w:r>
      <w:r>
        <w:rPr>
          <w:color w:val="231F20"/>
          <w:w w:val="105"/>
        </w:rPr>
        <w:t>su</w:t>
      </w:r>
      <w:r>
        <w:rPr>
          <w:color w:val="231F20"/>
          <w:spacing w:val="-16"/>
          <w:w w:val="105"/>
        </w:rPr>
        <w:t> </w:t>
      </w:r>
      <w:r>
        <w:rPr>
          <w:color w:val="231F20"/>
          <w:w w:val="105"/>
        </w:rPr>
        <w:t>bajo</w:t>
      </w:r>
      <w:r>
        <w:rPr>
          <w:color w:val="231F20"/>
          <w:spacing w:val="-16"/>
          <w:w w:val="105"/>
        </w:rPr>
        <w:t> </w:t>
      </w:r>
      <w:r>
        <w:rPr>
          <w:color w:val="231F20"/>
          <w:w w:val="105"/>
        </w:rPr>
        <w:t>impacto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participación</w:t>
      </w:r>
      <w:r>
        <w:rPr>
          <w:color w:val="231F20"/>
          <w:spacing w:val="-16"/>
          <w:w w:val="105"/>
        </w:rPr>
        <w:t> </w:t>
      </w:r>
      <w:r>
        <w:rPr>
          <w:color w:val="231F20"/>
          <w:w w:val="105"/>
        </w:rPr>
        <w:t>ciudadana.</w:t>
      </w:r>
    </w:p>
    <w:p>
      <w:pPr>
        <w:pStyle w:val="BodyText"/>
        <w:rPr>
          <w:sz w:val="20"/>
        </w:rPr>
      </w:pPr>
    </w:p>
    <w:p>
      <w:pPr>
        <w:pStyle w:val="BodyText"/>
        <w:rPr>
          <w:sz w:val="20"/>
        </w:rPr>
      </w:pPr>
    </w:p>
    <w:p>
      <w:pPr>
        <w:pStyle w:val="BodyText"/>
        <w:rPr>
          <w:sz w:val="18"/>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6232" from="131.551193pt,3.703715pt" to="131.551193pt,39.506114pt" stroked="true" strokeweight=".35pt" strokecolor="#231f20">
            <w10:wrap type="none"/>
          </v:line>
        </w:pict>
      </w:r>
      <w:r>
        <w:rPr/>
        <w:pict>
          <v:line style="position:absolute;mso-position-horizontal-relative:page;mso-position-vertical-relative:paragraph;z-index:-486160" from="15pt,39.505917pt" to="0pt,39.505917pt" stroked="true" strokeweight=".25pt" strokecolor="#000000">
            <w10:wrap type="none"/>
          </v:line>
        </w:pict>
      </w:r>
      <w:r>
        <w:rPr/>
        <w:pict>
          <v:line style="position:absolute;mso-position-horizontal-relative:page;mso-position-vertical-relative:paragraph;z-index:4048" from="508.890015pt,39.505917pt" to="523.890015pt,39.505917pt" stroked="true" strokeweight=".25pt" strokecolor="#000000">
            <w10:wrap type="none"/>
          </v:line>
        </w:pict>
      </w:r>
      <w:r>
        <w:rPr>
          <w:rFonts w:ascii="Arial" w:hAnsi="Arial"/>
          <w:color w:val="414042"/>
          <w:position w:val="-5"/>
          <w:sz w:val="20"/>
        </w:rPr>
        <w:t>40</w:t>
        <w:tab/>
      </w:r>
      <w:r>
        <w:rPr>
          <w:rFonts w:ascii="Calibri" w:hAnsi="Calibri"/>
          <w:color w:val="6D6E71"/>
          <w:sz w:val="15"/>
        </w:rPr>
        <w:t>Jorge Olvera</w:t>
      </w:r>
      <w:r>
        <w:rPr>
          <w:rFonts w:ascii="Calibri" w:hAnsi="Calibri"/>
          <w:color w:val="6D6E71"/>
          <w:spacing w:val="12"/>
          <w:sz w:val="15"/>
        </w:rPr>
        <w:t> </w:t>
      </w:r>
      <w:r>
        <w:rPr>
          <w:rFonts w:ascii="Calibri" w:hAnsi="Calibri"/>
          <w:color w:val="6D6E71"/>
          <w:sz w:val="15"/>
        </w:rPr>
        <w:t>García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001" w:right="0" w:firstLine="0"/>
        <w:jc w:val="left"/>
        <w:rPr>
          <w:rFonts w:ascii="Arial" w:hAnsi="Arial"/>
          <w:sz w:val="20"/>
        </w:rPr>
      </w:pPr>
      <w:r>
        <w:rPr/>
        <w:pict>
          <v:line style="position:absolute;mso-position-horizontal-relative:page;mso-position-vertical-relative:paragraph;z-index:-486112" from="405.061005pt,-18.554295pt" to="405.061005pt,16.311579pt" stroked="true" strokeweight=".35pt" strokecolor="#231f20">
            <w10:wrap type="none"/>
          </v:line>
        </w:pict>
      </w:r>
      <w:r>
        <w:rPr/>
        <w:pict>
          <v:line style="position:absolute;mso-position-horizontal-relative:page;mso-position-vertical-relative:paragraph;z-index:4096" from="15pt,-18.554522pt" to="0pt,-18.554522pt" stroked="true" strokeweight=".25pt" strokecolor="#000000">
            <w10:wrap type="none"/>
          </v:line>
        </w:pict>
      </w:r>
      <w:r>
        <w:rPr/>
        <w:pict>
          <v:line style="position:absolute;mso-position-horizontal-relative:page;mso-position-vertical-relative:paragraph;z-index:4120" from="508.890015pt,-18.554522pt" to="523.890015pt,-18.554522pt" stroked="true" strokeweight=".25pt" strokecolor="#000000">
            <w10:wrap type="none"/>
          </v:line>
        </w:pict>
      </w:r>
      <w:r>
        <w:rPr>
          <w:rFonts w:ascii="Lucida Sans Unicode" w:hAnsi="Lucida Sans Unicode"/>
          <w:color w:val="6D6E71"/>
          <w:w w:val="105"/>
          <w:sz w:val="14"/>
        </w:rPr>
        <w:t>Derechos</w:t>
      </w:r>
      <w:r>
        <w:rPr>
          <w:rFonts w:ascii="Lucida Sans Unicode" w:hAnsi="Lucida Sans Unicode"/>
          <w:color w:val="6D6E71"/>
          <w:spacing w:val="-15"/>
          <w:w w:val="105"/>
          <w:sz w:val="14"/>
        </w:rPr>
        <w:t> </w:t>
      </w:r>
      <w:r>
        <w:rPr>
          <w:rFonts w:ascii="Lucida Sans Unicode" w:hAnsi="Lucida Sans Unicode"/>
          <w:color w:val="6D6E71"/>
          <w:w w:val="105"/>
          <w:sz w:val="14"/>
        </w:rPr>
        <w:t>humanos,</w:t>
      </w:r>
      <w:r>
        <w:rPr>
          <w:rFonts w:ascii="Lucida Sans Unicode" w:hAnsi="Lucida Sans Unicode"/>
          <w:color w:val="6D6E71"/>
          <w:spacing w:val="-15"/>
          <w:w w:val="105"/>
          <w:sz w:val="14"/>
        </w:rPr>
        <w:t> </w:t>
      </w:r>
      <w:r>
        <w:rPr>
          <w:rFonts w:ascii="Lucida Sans Unicode" w:hAnsi="Lucida Sans Unicode"/>
          <w:color w:val="6D6E71"/>
          <w:w w:val="105"/>
          <w:sz w:val="14"/>
        </w:rPr>
        <w:t>eDucación</w:t>
      </w:r>
      <w:r>
        <w:rPr>
          <w:rFonts w:ascii="Lucida Sans Unicode" w:hAnsi="Lucida Sans Unicode"/>
          <w:color w:val="6D6E71"/>
          <w:spacing w:val="-15"/>
          <w:w w:val="105"/>
          <w:sz w:val="14"/>
        </w:rPr>
        <w:t> </w:t>
      </w:r>
      <w:r>
        <w:rPr>
          <w:rFonts w:ascii="Lucida Sans Unicode" w:hAnsi="Lucida Sans Unicode"/>
          <w:color w:val="6D6E71"/>
          <w:w w:val="105"/>
          <w:sz w:val="14"/>
        </w:rPr>
        <w:t>y</w:t>
      </w:r>
      <w:r>
        <w:rPr>
          <w:rFonts w:ascii="Lucida Sans Unicode" w:hAnsi="Lucida Sans Unicode"/>
          <w:color w:val="6D6E71"/>
          <w:spacing w:val="-15"/>
          <w:w w:val="105"/>
          <w:sz w:val="14"/>
        </w:rPr>
        <w:t> </w:t>
      </w:r>
      <w:r>
        <w:rPr>
          <w:rFonts w:ascii="Lucida Sans Unicode" w:hAnsi="Lucida Sans Unicode"/>
          <w:color w:val="6D6E71"/>
          <w:w w:val="105"/>
          <w:sz w:val="14"/>
        </w:rPr>
        <w:t>participación</w:t>
      </w:r>
      <w:r>
        <w:rPr>
          <w:rFonts w:ascii="Lucida Sans Unicode" w:hAnsi="Lucida Sans Unicode"/>
          <w:color w:val="6D6E71"/>
          <w:spacing w:val="-15"/>
          <w:w w:val="105"/>
          <w:sz w:val="14"/>
        </w:rPr>
        <w:t> </w:t>
      </w:r>
      <w:r>
        <w:rPr>
          <w:rFonts w:ascii="Lucida Sans Unicode" w:hAnsi="Lucida Sans Unicode"/>
          <w:color w:val="6D6E71"/>
          <w:w w:val="105"/>
          <w:sz w:val="14"/>
        </w:rPr>
        <w:t>De</w:t>
      </w:r>
      <w:r>
        <w:rPr>
          <w:rFonts w:ascii="Lucida Sans Unicode" w:hAnsi="Lucida Sans Unicode"/>
          <w:color w:val="6D6E71"/>
          <w:spacing w:val="-15"/>
          <w:w w:val="105"/>
          <w:sz w:val="14"/>
        </w:rPr>
        <w:t> </w:t>
      </w:r>
      <w:r>
        <w:rPr>
          <w:rFonts w:ascii="Lucida Sans Unicode" w:hAnsi="Lucida Sans Unicode"/>
          <w:color w:val="6D6E71"/>
          <w:w w:val="115"/>
          <w:sz w:val="14"/>
        </w:rPr>
        <w:t>la</w:t>
      </w:r>
      <w:r>
        <w:rPr>
          <w:rFonts w:ascii="Lucida Sans Unicode" w:hAnsi="Lucida Sans Unicode"/>
          <w:color w:val="6D6E71"/>
          <w:spacing w:val="-19"/>
          <w:w w:val="115"/>
          <w:sz w:val="14"/>
        </w:rPr>
        <w:t> </w:t>
      </w:r>
      <w:r>
        <w:rPr>
          <w:rFonts w:ascii="Lucida Sans Unicode" w:hAnsi="Lucida Sans Unicode"/>
          <w:color w:val="6D6E71"/>
          <w:w w:val="105"/>
          <w:sz w:val="14"/>
        </w:rPr>
        <w:t>población</w:t>
      </w:r>
      <w:r>
        <w:rPr>
          <w:rFonts w:ascii="Lucida Sans Unicode" w:hAnsi="Lucida Sans Unicode"/>
          <w:color w:val="6D6E71"/>
          <w:spacing w:val="-15"/>
          <w:w w:val="105"/>
          <w:sz w:val="14"/>
        </w:rPr>
        <w:t> </w:t>
      </w:r>
      <w:r>
        <w:rPr>
          <w:rFonts w:ascii="Lucida Sans Unicode" w:hAnsi="Lucida Sans Unicode"/>
          <w:color w:val="6D6E71"/>
          <w:w w:val="105"/>
          <w:sz w:val="14"/>
        </w:rPr>
        <w:t>migrante</w:t>
      </w:r>
      <w:r>
        <w:rPr>
          <w:rFonts w:ascii="Arial" w:hAnsi="Arial"/>
          <w:color w:val="414042"/>
          <w:w w:val="105"/>
          <w:position w:val="-3"/>
          <w:sz w:val="20"/>
        </w:rPr>
        <w:tab/>
        <w:t>41</w:t>
      </w:r>
    </w:p>
    <w:p>
      <w:pPr>
        <w:pStyle w:val="BodyText"/>
        <w:rPr>
          <w:rFonts w:ascii="Arial"/>
          <w:sz w:val="20"/>
        </w:rPr>
      </w:pPr>
    </w:p>
    <w:p>
      <w:pPr>
        <w:pStyle w:val="BodyText"/>
        <w:rPr>
          <w:rFonts w:ascii="Arial"/>
          <w:sz w:val="20"/>
        </w:rPr>
      </w:pPr>
    </w:p>
    <w:p>
      <w:pPr>
        <w:pStyle w:val="BodyText"/>
        <w:spacing w:line="261" w:lineRule="auto" w:before="179"/>
        <w:ind w:left="1837" w:right="1715"/>
        <w:jc w:val="both"/>
      </w:pPr>
      <w:r>
        <w:rPr>
          <w:color w:val="231F20"/>
          <w:w w:val="105"/>
        </w:rPr>
        <w:t>En este escenario, el Instituto Nacional Electoral (</w:t>
      </w:r>
      <w:r>
        <w:rPr>
          <w:color w:val="231F20"/>
          <w:w w:val="105"/>
          <w:sz w:val="17"/>
        </w:rPr>
        <w:t>INE</w:t>
      </w:r>
      <w:r>
        <w:rPr>
          <w:color w:val="231F20"/>
          <w:w w:val="105"/>
        </w:rPr>
        <w:t>) ha identificado  la necesidad de modificar el Código Federal de Instituciones y </w:t>
      </w:r>
      <w:r>
        <w:rPr>
          <w:color w:val="231F20"/>
          <w:spacing w:val="-3"/>
          <w:w w:val="105"/>
        </w:rPr>
        <w:t>Proce- </w:t>
      </w:r>
      <w:r>
        <w:rPr>
          <w:color w:val="231F20"/>
          <w:w w:val="105"/>
        </w:rPr>
        <w:t>dimientos Electorales (</w:t>
      </w:r>
      <w:r>
        <w:rPr>
          <w:color w:val="231F20"/>
          <w:w w:val="105"/>
          <w:sz w:val="17"/>
        </w:rPr>
        <w:t>COFIPE</w:t>
      </w:r>
      <w:r>
        <w:rPr>
          <w:color w:val="231F20"/>
          <w:w w:val="105"/>
        </w:rPr>
        <w:t>) para lograr tres principales objetivos: 1) buscar</w:t>
      </w:r>
      <w:r>
        <w:rPr>
          <w:color w:val="231F20"/>
          <w:spacing w:val="-33"/>
          <w:w w:val="105"/>
        </w:rPr>
        <w:t> </w:t>
      </w:r>
      <w:r>
        <w:rPr>
          <w:color w:val="231F20"/>
          <w:w w:val="105"/>
        </w:rPr>
        <w:t>alternativas</w:t>
      </w:r>
      <w:r>
        <w:rPr>
          <w:color w:val="231F20"/>
          <w:spacing w:val="-33"/>
          <w:w w:val="105"/>
        </w:rPr>
        <w:t> </w:t>
      </w:r>
      <w:r>
        <w:rPr>
          <w:color w:val="231F20"/>
          <w:w w:val="105"/>
        </w:rPr>
        <w:t>de</w:t>
      </w:r>
      <w:r>
        <w:rPr>
          <w:color w:val="231F20"/>
          <w:spacing w:val="-33"/>
          <w:w w:val="105"/>
        </w:rPr>
        <w:t> </w:t>
      </w:r>
      <w:r>
        <w:rPr>
          <w:color w:val="231F20"/>
          <w:w w:val="105"/>
        </w:rPr>
        <w:t>mecanismos</w:t>
      </w:r>
      <w:r>
        <w:rPr>
          <w:color w:val="231F20"/>
          <w:spacing w:val="-33"/>
          <w:w w:val="105"/>
        </w:rPr>
        <w:t> </w:t>
      </w:r>
      <w:r>
        <w:rPr>
          <w:color w:val="231F20"/>
          <w:w w:val="105"/>
        </w:rPr>
        <w:t>de</w:t>
      </w:r>
      <w:r>
        <w:rPr>
          <w:color w:val="231F20"/>
          <w:spacing w:val="-33"/>
          <w:w w:val="105"/>
        </w:rPr>
        <w:t> </w:t>
      </w:r>
      <w:r>
        <w:rPr>
          <w:color w:val="231F20"/>
          <w:w w:val="105"/>
        </w:rPr>
        <w:t>identificación</w:t>
      </w:r>
      <w:r>
        <w:rPr>
          <w:color w:val="231F20"/>
          <w:spacing w:val="-33"/>
          <w:w w:val="105"/>
        </w:rPr>
        <w:t> </w:t>
      </w:r>
      <w:r>
        <w:rPr>
          <w:color w:val="231F20"/>
          <w:w w:val="105"/>
        </w:rPr>
        <w:t>(matrícula</w:t>
      </w:r>
      <w:r>
        <w:rPr>
          <w:color w:val="231F20"/>
          <w:spacing w:val="-33"/>
          <w:w w:val="105"/>
        </w:rPr>
        <w:t> </w:t>
      </w:r>
      <w:r>
        <w:rPr>
          <w:color w:val="231F20"/>
          <w:w w:val="105"/>
        </w:rPr>
        <w:t>consular), omitir el requisito o crear nuevos métodos para obtener una credencial de</w:t>
      </w:r>
      <w:r>
        <w:rPr>
          <w:color w:val="231F20"/>
          <w:spacing w:val="-10"/>
          <w:w w:val="105"/>
        </w:rPr>
        <w:t> </w:t>
      </w:r>
      <w:r>
        <w:rPr>
          <w:color w:val="231F20"/>
          <w:w w:val="105"/>
        </w:rPr>
        <w:t>elector</w:t>
      </w:r>
      <w:r>
        <w:rPr>
          <w:color w:val="231F20"/>
          <w:spacing w:val="-10"/>
          <w:w w:val="105"/>
        </w:rPr>
        <w:t> </w:t>
      </w:r>
      <w:r>
        <w:rPr>
          <w:color w:val="231F20"/>
          <w:w w:val="105"/>
        </w:rPr>
        <w:t>estando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exterior,</w:t>
      </w:r>
      <w:r>
        <w:rPr>
          <w:color w:val="231F20"/>
          <w:spacing w:val="-15"/>
          <w:w w:val="105"/>
        </w:rPr>
        <w:t> </w:t>
      </w:r>
      <w:r>
        <w:rPr>
          <w:color w:val="231F20"/>
          <w:w w:val="105"/>
        </w:rPr>
        <w:t>2)</w:t>
      </w:r>
      <w:r>
        <w:rPr>
          <w:color w:val="231F20"/>
          <w:spacing w:val="-10"/>
          <w:w w:val="105"/>
        </w:rPr>
        <w:t> </w:t>
      </w:r>
      <w:r>
        <w:rPr>
          <w:color w:val="231F20"/>
          <w:w w:val="105"/>
        </w:rPr>
        <w:t>diversificar</w:t>
      </w:r>
      <w:r>
        <w:rPr>
          <w:color w:val="231F20"/>
          <w:spacing w:val="-10"/>
          <w:w w:val="105"/>
        </w:rPr>
        <w:t> </w:t>
      </w:r>
      <w:r>
        <w:rPr>
          <w:color w:val="231F20"/>
          <w:w w:val="105"/>
        </w:rPr>
        <w:t>las</w:t>
      </w:r>
      <w:r>
        <w:rPr>
          <w:color w:val="231F20"/>
          <w:spacing w:val="-10"/>
          <w:w w:val="105"/>
        </w:rPr>
        <w:t> </w:t>
      </w:r>
      <w:r>
        <w:rPr>
          <w:color w:val="231F20"/>
          <w:w w:val="105"/>
        </w:rPr>
        <w:t>formas</w:t>
      </w:r>
      <w:r>
        <w:rPr>
          <w:color w:val="231F20"/>
          <w:spacing w:val="-10"/>
          <w:w w:val="105"/>
        </w:rPr>
        <w:t> </w:t>
      </w:r>
      <w:r>
        <w:rPr>
          <w:color w:val="231F20"/>
          <w:w w:val="105"/>
        </w:rPr>
        <w:t>como</w:t>
      </w:r>
      <w:r>
        <w:rPr>
          <w:color w:val="231F20"/>
          <w:spacing w:val="-10"/>
          <w:w w:val="105"/>
        </w:rPr>
        <w:t> </w:t>
      </w:r>
      <w:r>
        <w:rPr>
          <w:color w:val="231F20"/>
          <w:w w:val="105"/>
        </w:rPr>
        <w:t>se</w:t>
      </w:r>
      <w:r>
        <w:rPr>
          <w:color w:val="231F20"/>
          <w:spacing w:val="-10"/>
          <w:w w:val="105"/>
        </w:rPr>
        <w:t> </w:t>
      </w:r>
      <w:r>
        <w:rPr>
          <w:color w:val="231F20"/>
          <w:w w:val="105"/>
        </w:rPr>
        <w:t>pue- de emitir el voto de forma más ágil y menos costosa (voto por internet), y</w:t>
      </w:r>
      <w:r>
        <w:rPr>
          <w:color w:val="231F20"/>
          <w:spacing w:val="-16"/>
          <w:w w:val="105"/>
        </w:rPr>
        <w:t> </w:t>
      </w:r>
      <w:r>
        <w:rPr>
          <w:color w:val="231F20"/>
          <w:w w:val="105"/>
        </w:rPr>
        <w:t>3)</w:t>
      </w:r>
      <w:r>
        <w:rPr>
          <w:color w:val="231F20"/>
          <w:spacing w:val="-16"/>
          <w:w w:val="105"/>
        </w:rPr>
        <w:t> </w:t>
      </w:r>
      <w:r>
        <w:rPr>
          <w:color w:val="231F20"/>
          <w:w w:val="105"/>
        </w:rPr>
        <w:t>mejorar</w:t>
      </w:r>
      <w:r>
        <w:rPr>
          <w:color w:val="231F20"/>
          <w:spacing w:val="-16"/>
          <w:w w:val="105"/>
        </w:rPr>
        <w:t> </w:t>
      </w:r>
      <w:r>
        <w:rPr>
          <w:color w:val="231F20"/>
          <w:w w:val="105"/>
        </w:rPr>
        <w:t>la</w:t>
      </w:r>
      <w:r>
        <w:rPr>
          <w:color w:val="231F20"/>
          <w:spacing w:val="-16"/>
          <w:w w:val="105"/>
        </w:rPr>
        <w:t> </w:t>
      </w:r>
      <w:r>
        <w:rPr>
          <w:color w:val="231F20"/>
          <w:w w:val="105"/>
        </w:rPr>
        <w:t>participación</w:t>
      </w:r>
      <w:r>
        <w:rPr>
          <w:color w:val="231F20"/>
          <w:spacing w:val="-16"/>
          <w:w w:val="105"/>
        </w:rPr>
        <w:t> </w:t>
      </w:r>
      <w:r>
        <w:rPr>
          <w:color w:val="231F20"/>
          <w:w w:val="105"/>
        </w:rPr>
        <w:t>y</w:t>
      </w:r>
      <w:r>
        <w:rPr>
          <w:color w:val="231F20"/>
          <w:spacing w:val="-16"/>
          <w:w w:val="105"/>
        </w:rPr>
        <w:t> </w:t>
      </w:r>
      <w:r>
        <w:rPr>
          <w:color w:val="231F20"/>
          <w:w w:val="105"/>
        </w:rPr>
        <w:t>representación</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mexicanos</w:t>
      </w:r>
      <w:r>
        <w:rPr>
          <w:color w:val="231F20"/>
          <w:spacing w:val="-16"/>
          <w:w w:val="105"/>
        </w:rPr>
        <w:t> </w:t>
      </w:r>
      <w:r>
        <w:rPr>
          <w:color w:val="231F20"/>
          <w:w w:val="105"/>
        </w:rPr>
        <w:t>que</w:t>
      </w:r>
      <w:r>
        <w:rPr>
          <w:color w:val="231F20"/>
          <w:spacing w:val="-16"/>
          <w:w w:val="105"/>
        </w:rPr>
        <w:t> </w:t>
      </w:r>
      <w:r>
        <w:rPr>
          <w:color w:val="231F20"/>
          <w:w w:val="105"/>
        </w:rPr>
        <w:t>radi- can</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exterior</w:t>
      </w:r>
      <w:r>
        <w:rPr>
          <w:color w:val="231F20"/>
          <w:spacing w:val="-26"/>
          <w:w w:val="105"/>
        </w:rPr>
        <w:t> </w:t>
      </w:r>
      <w:r>
        <w:rPr>
          <w:color w:val="231F20"/>
          <w:w w:val="105"/>
        </w:rPr>
        <w:t>(Guzmán,</w:t>
      </w:r>
      <w:r>
        <w:rPr>
          <w:color w:val="231F20"/>
          <w:spacing w:val="-30"/>
          <w:w w:val="105"/>
        </w:rPr>
        <w:t> </w:t>
      </w:r>
      <w:r>
        <w:rPr>
          <w:color w:val="231F20"/>
          <w:w w:val="105"/>
        </w:rPr>
        <w:t>2014).</w:t>
      </w:r>
    </w:p>
    <w:p>
      <w:pPr>
        <w:pStyle w:val="BodyText"/>
        <w:spacing w:line="261" w:lineRule="auto" w:before="1"/>
        <w:ind w:left="1837" w:right="1722" w:firstLine="567"/>
        <w:jc w:val="both"/>
      </w:pPr>
      <w:r>
        <w:rPr>
          <w:color w:val="231F20"/>
          <w:w w:val="105"/>
        </w:rPr>
        <w:t>De</w:t>
      </w:r>
      <w:r>
        <w:rPr>
          <w:color w:val="231F20"/>
          <w:spacing w:val="-7"/>
          <w:w w:val="105"/>
        </w:rPr>
        <w:t> </w:t>
      </w:r>
      <w:r>
        <w:rPr>
          <w:color w:val="231F20"/>
          <w:w w:val="105"/>
        </w:rPr>
        <w:t>acuerdo</w:t>
      </w:r>
      <w:r>
        <w:rPr>
          <w:color w:val="231F20"/>
          <w:spacing w:val="-7"/>
          <w:w w:val="105"/>
        </w:rPr>
        <w:t> </w:t>
      </w:r>
      <w:r>
        <w:rPr>
          <w:color w:val="231F20"/>
          <w:w w:val="105"/>
        </w:rPr>
        <w:t>con</w:t>
      </w:r>
      <w:r>
        <w:rPr>
          <w:color w:val="231F20"/>
          <w:spacing w:val="-7"/>
          <w:w w:val="105"/>
        </w:rPr>
        <w:t> </w:t>
      </w:r>
      <w:r>
        <w:rPr>
          <w:color w:val="231F20"/>
          <w:w w:val="105"/>
        </w:rPr>
        <w:t>Ímaz</w:t>
      </w:r>
      <w:r>
        <w:rPr>
          <w:color w:val="231F20"/>
          <w:spacing w:val="-7"/>
          <w:w w:val="105"/>
        </w:rPr>
        <w:t> </w:t>
      </w:r>
      <w:r>
        <w:rPr>
          <w:color w:val="231F20"/>
          <w:w w:val="105"/>
        </w:rPr>
        <w:t>(2014),</w:t>
      </w:r>
      <w:r>
        <w:rPr>
          <w:color w:val="231F20"/>
          <w:spacing w:val="-13"/>
          <w:w w:val="105"/>
        </w:rPr>
        <w:t> </w:t>
      </w:r>
      <w:r>
        <w:rPr>
          <w:color w:val="231F20"/>
          <w:w w:val="105"/>
        </w:rPr>
        <w:t>esto</w:t>
      </w:r>
      <w:r>
        <w:rPr>
          <w:color w:val="231F20"/>
          <w:spacing w:val="-7"/>
          <w:w w:val="105"/>
        </w:rPr>
        <w:t> </w:t>
      </w:r>
      <w:r>
        <w:rPr>
          <w:color w:val="231F20"/>
          <w:w w:val="105"/>
        </w:rPr>
        <w:t>último</w:t>
      </w:r>
      <w:r>
        <w:rPr>
          <w:color w:val="231F20"/>
          <w:spacing w:val="-7"/>
          <w:w w:val="105"/>
        </w:rPr>
        <w:t> </w:t>
      </w:r>
      <w:r>
        <w:rPr>
          <w:color w:val="231F20"/>
          <w:w w:val="105"/>
        </w:rPr>
        <w:t>es</w:t>
      </w:r>
      <w:r>
        <w:rPr>
          <w:color w:val="231F20"/>
          <w:spacing w:val="-7"/>
          <w:w w:val="105"/>
        </w:rPr>
        <w:t> </w:t>
      </w:r>
      <w:r>
        <w:rPr>
          <w:color w:val="231F20"/>
          <w:w w:val="105"/>
        </w:rPr>
        <w:t>parte</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necesidad de</w:t>
      </w:r>
      <w:r>
        <w:rPr>
          <w:color w:val="231F20"/>
          <w:spacing w:val="-27"/>
          <w:w w:val="105"/>
        </w:rPr>
        <w:t> </w:t>
      </w:r>
      <w:r>
        <w:rPr>
          <w:color w:val="231F20"/>
          <w:w w:val="105"/>
        </w:rPr>
        <w:t>crear</w:t>
      </w:r>
      <w:r>
        <w:rPr>
          <w:color w:val="231F20"/>
          <w:spacing w:val="-27"/>
          <w:w w:val="105"/>
        </w:rPr>
        <w:t> </w:t>
      </w:r>
      <w:r>
        <w:rPr>
          <w:color w:val="231F20"/>
          <w:w w:val="105"/>
        </w:rPr>
        <w:t>nuevas</w:t>
      </w:r>
      <w:r>
        <w:rPr>
          <w:color w:val="231F20"/>
          <w:spacing w:val="-27"/>
          <w:w w:val="105"/>
        </w:rPr>
        <w:t> </w:t>
      </w:r>
      <w:r>
        <w:rPr>
          <w:color w:val="231F20"/>
          <w:w w:val="105"/>
        </w:rPr>
        <w:t>estrategias</w:t>
      </w:r>
      <w:r>
        <w:rPr>
          <w:color w:val="231F20"/>
          <w:spacing w:val="-27"/>
          <w:w w:val="105"/>
        </w:rPr>
        <w:t> </w:t>
      </w:r>
      <w:r>
        <w:rPr>
          <w:color w:val="231F20"/>
          <w:w w:val="105"/>
        </w:rPr>
        <w:t>para</w:t>
      </w:r>
      <w:r>
        <w:rPr>
          <w:color w:val="231F20"/>
          <w:spacing w:val="-27"/>
          <w:w w:val="105"/>
        </w:rPr>
        <w:t> </w:t>
      </w:r>
      <w:r>
        <w:rPr>
          <w:color w:val="231F20"/>
          <w:w w:val="105"/>
        </w:rPr>
        <w:t>permitir</w:t>
      </w:r>
      <w:r>
        <w:rPr>
          <w:color w:val="231F20"/>
          <w:spacing w:val="-27"/>
          <w:w w:val="105"/>
        </w:rPr>
        <w:t> </w:t>
      </w:r>
      <w:r>
        <w:rPr>
          <w:color w:val="231F20"/>
          <w:w w:val="105"/>
        </w:rPr>
        <w:t>que</w:t>
      </w:r>
      <w:r>
        <w:rPr>
          <w:color w:val="231F20"/>
          <w:spacing w:val="-27"/>
          <w:w w:val="105"/>
        </w:rPr>
        <w:t> </w:t>
      </w:r>
      <w:r>
        <w:rPr>
          <w:color w:val="231F20"/>
          <w:w w:val="105"/>
        </w:rPr>
        <w:t>los</w:t>
      </w:r>
      <w:r>
        <w:rPr>
          <w:color w:val="231F20"/>
          <w:spacing w:val="-27"/>
          <w:w w:val="105"/>
        </w:rPr>
        <w:t> </w:t>
      </w:r>
      <w:r>
        <w:rPr>
          <w:color w:val="231F20"/>
          <w:w w:val="105"/>
        </w:rPr>
        <w:t>migrantes</w:t>
      </w:r>
      <w:r>
        <w:rPr>
          <w:color w:val="231F20"/>
          <w:spacing w:val="-27"/>
          <w:w w:val="105"/>
        </w:rPr>
        <w:t> </w:t>
      </w:r>
      <w:r>
        <w:rPr>
          <w:color w:val="231F20"/>
          <w:w w:val="105"/>
        </w:rPr>
        <w:t>se</w:t>
      </w:r>
      <w:r>
        <w:rPr>
          <w:color w:val="231F20"/>
          <w:spacing w:val="-27"/>
          <w:w w:val="105"/>
        </w:rPr>
        <w:t> </w:t>
      </w:r>
      <w:r>
        <w:rPr>
          <w:color w:val="231F20"/>
          <w:w w:val="105"/>
        </w:rPr>
        <w:t>conviertan en colaboradores al momento de definir e implementar políticas inclu- sivas,</w:t>
      </w:r>
      <w:r>
        <w:rPr>
          <w:color w:val="231F20"/>
          <w:spacing w:val="-18"/>
          <w:w w:val="105"/>
        </w:rPr>
        <w:t> </w:t>
      </w:r>
      <w:r>
        <w:rPr>
          <w:color w:val="231F20"/>
          <w:w w:val="105"/>
        </w:rPr>
        <w:t>equitativas</w:t>
      </w:r>
      <w:r>
        <w:rPr>
          <w:color w:val="231F20"/>
          <w:spacing w:val="-13"/>
          <w:w w:val="105"/>
        </w:rPr>
        <w:t> </w:t>
      </w:r>
      <w:r>
        <w:rPr>
          <w:color w:val="231F20"/>
          <w:w w:val="105"/>
        </w:rPr>
        <w:t>y</w:t>
      </w:r>
      <w:r>
        <w:rPr>
          <w:color w:val="231F20"/>
          <w:spacing w:val="-13"/>
          <w:w w:val="105"/>
        </w:rPr>
        <w:t> </w:t>
      </w:r>
      <w:r>
        <w:rPr>
          <w:color w:val="231F20"/>
          <w:w w:val="105"/>
        </w:rPr>
        <w:t>sostenibles.</w:t>
      </w:r>
      <w:r>
        <w:rPr>
          <w:color w:val="231F20"/>
          <w:spacing w:val="-18"/>
          <w:w w:val="105"/>
        </w:rPr>
        <w:t> </w:t>
      </w:r>
      <w:r>
        <w:rPr>
          <w:color w:val="231F20"/>
          <w:w w:val="105"/>
        </w:rPr>
        <w:t>Como</w:t>
      </w:r>
      <w:r>
        <w:rPr>
          <w:color w:val="231F20"/>
          <w:spacing w:val="-13"/>
          <w:w w:val="105"/>
        </w:rPr>
        <w:t> </w:t>
      </w:r>
      <w:r>
        <w:rPr>
          <w:color w:val="231F20"/>
          <w:w w:val="105"/>
        </w:rPr>
        <w:t>parte</w:t>
      </w:r>
      <w:r>
        <w:rPr>
          <w:color w:val="231F20"/>
          <w:spacing w:val="-13"/>
          <w:w w:val="105"/>
        </w:rPr>
        <w:t> </w:t>
      </w:r>
      <w:r>
        <w:rPr>
          <w:color w:val="231F20"/>
          <w:w w:val="105"/>
        </w:rPr>
        <w:t>de</w:t>
      </w:r>
      <w:r>
        <w:rPr>
          <w:color w:val="231F20"/>
          <w:spacing w:val="-13"/>
          <w:w w:val="105"/>
        </w:rPr>
        <w:t> </w:t>
      </w:r>
      <w:r>
        <w:rPr>
          <w:color w:val="231F20"/>
          <w:w w:val="105"/>
        </w:rPr>
        <w:t>estas</w:t>
      </w:r>
      <w:r>
        <w:rPr>
          <w:color w:val="231F20"/>
          <w:spacing w:val="-13"/>
          <w:w w:val="105"/>
        </w:rPr>
        <w:t> </w:t>
      </w:r>
      <w:r>
        <w:rPr>
          <w:color w:val="231F20"/>
          <w:w w:val="105"/>
        </w:rPr>
        <w:t>estrategias,</w:t>
      </w:r>
      <w:r>
        <w:rPr>
          <w:color w:val="231F20"/>
          <w:spacing w:val="-18"/>
          <w:w w:val="105"/>
        </w:rPr>
        <w:t> </w:t>
      </w:r>
      <w:r>
        <w:rPr>
          <w:color w:val="231F20"/>
          <w:w w:val="105"/>
        </w:rPr>
        <w:t>desta- ca</w:t>
      </w:r>
      <w:r>
        <w:rPr>
          <w:color w:val="231F20"/>
          <w:spacing w:val="-7"/>
          <w:w w:val="105"/>
        </w:rPr>
        <w:t> </w:t>
      </w:r>
      <w:r>
        <w:rPr>
          <w:color w:val="231F20"/>
          <w:w w:val="105"/>
        </w:rPr>
        <w:t>su</w:t>
      </w:r>
      <w:r>
        <w:rPr>
          <w:color w:val="231F20"/>
          <w:spacing w:val="-7"/>
          <w:w w:val="105"/>
        </w:rPr>
        <w:t> </w:t>
      </w:r>
      <w:r>
        <w:rPr>
          <w:color w:val="231F20"/>
          <w:w w:val="105"/>
        </w:rPr>
        <w:t>participación</w:t>
      </w:r>
      <w:r>
        <w:rPr>
          <w:color w:val="231F20"/>
          <w:spacing w:val="-7"/>
          <w:w w:val="105"/>
        </w:rPr>
        <w:t> </w:t>
      </w:r>
      <w:r>
        <w:rPr>
          <w:color w:val="231F20"/>
          <w:w w:val="105"/>
        </w:rPr>
        <w:t>en</w:t>
      </w:r>
      <w:r>
        <w:rPr>
          <w:color w:val="231F20"/>
          <w:spacing w:val="-7"/>
          <w:w w:val="105"/>
        </w:rPr>
        <w:t> </w:t>
      </w:r>
      <w:r>
        <w:rPr>
          <w:color w:val="231F20"/>
          <w:w w:val="105"/>
        </w:rPr>
        <w:t>organizaciones</w:t>
      </w:r>
      <w:r>
        <w:rPr>
          <w:color w:val="231F20"/>
          <w:spacing w:val="-7"/>
          <w:w w:val="105"/>
        </w:rPr>
        <w:t> </w:t>
      </w:r>
      <w:r>
        <w:rPr>
          <w:color w:val="231F20"/>
          <w:w w:val="105"/>
        </w:rPr>
        <w:t>no</w:t>
      </w:r>
      <w:r>
        <w:rPr>
          <w:color w:val="231F20"/>
          <w:spacing w:val="-7"/>
          <w:w w:val="105"/>
        </w:rPr>
        <w:t> </w:t>
      </w:r>
      <w:r>
        <w:rPr>
          <w:color w:val="231F20"/>
          <w:w w:val="105"/>
        </w:rPr>
        <w:t>gubernamentales</w:t>
      </w:r>
      <w:r>
        <w:rPr>
          <w:color w:val="231F20"/>
          <w:spacing w:val="-7"/>
          <w:w w:val="105"/>
        </w:rPr>
        <w:t> </w:t>
      </w:r>
      <w:r>
        <w:rPr>
          <w:color w:val="231F20"/>
          <w:w w:val="105"/>
        </w:rPr>
        <w:t>de</w:t>
      </w:r>
      <w:r>
        <w:rPr>
          <w:color w:val="231F20"/>
          <w:spacing w:val="-7"/>
          <w:w w:val="105"/>
        </w:rPr>
        <w:t> </w:t>
      </w:r>
      <w:r>
        <w:rPr>
          <w:color w:val="231F20"/>
          <w:w w:val="105"/>
        </w:rPr>
        <w:t>México</w:t>
      </w:r>
      <w:r>
        <w:rPr>
          <w:color w:val="231F20"/>
          <w:spacing w:val="-7"/>
          <w:w w:val="105"/>
        </w:rPr>
        <w:t> </w:t>
      </w:r>
      <w:r>
        <w:rPr>
          <w:color w:val="231F20"/>
          <w:w w:val="105"/>
        </w:rPr>
        <w:t>y Estados</w:t>
      </w:r>
      <w:r>
        <w:rPr>
          <w:color w:val="231F20"/>
          <w:spacing w:val="-5"/>
          <w:w w:val="105"/>
        </w:rPr>
        <w:t> </w:t>
      </w:r>
      <w:r>
        <w:rPr>
          <w:color w:val="231F20"/>
          <w:w w:val="105"/>
        </w:rPr>
        <w:t>Unidos,</w:t>
      </w:r>
      <w:r>
        <w:rPr>
          <w:color w:val="231F20"/>
          <w:spacing w:val="-10"/>
          <w:w w:val="105"/>
        </w:rPr>
        <w:t> </w:t>
      </w:r>
      <w:r>
        <w:rPr>
          <w:color w:val="231F20"/>
          <w:w w:val="105"/>
        </w:rPr>
        <w:t>al</w:t>
      </w:r>
      <w:r>
        <w:rPr>
          <w:color w:val="231F20"/>
          <w:spacing w:val="-5"/>
          <w:w w:val="105"/>
        </w:rPr>
        <w:t> </w:t>
      </w:r>
      <w:r>
        <w:rPr>
          <w:color w:val="231F20"/>
          <w:w w:val="105"/>
        </w:rPr>
        <w:t>punto</w:t>
      </w:r>
      <w:r>
        <w:rPr>
          <w:color w:val="231F20"/>
          <w:spacing w:val="-5"/>
          <w:w w:val="105"/>
        </w:rPr>
        <w:t> </w:t>
      </w:r>
      <w:r>
        <w:rPr>
          <w:color w:val="231F20"/>
          <w:w w:val="105"/>
        </w:rPr>
        <w:t>de</w:t>
      </w:r>
      <w:r>
        <w:rPr>
          <w:color w:val="231F20"/>
          <w:spacing w:val="-5"/>
          <w:w w:val="105"/>
        </w:rPr>
        <w:t> </w:t>
      </w:r>
      <w:r>
        <w:rPr>
          <w:color w:val="231F20"/>
          <w:w w:val="105"/>
        </w:rPr>
        <w:t>convertirse</w:t>
      </w:r>
      <w:r>
        <w:rPr>
          <w:color w:val="231F20"/>
          <w:spacing w:val="-5"/>
          <w:w w:val="105"/>
        </w:rPr>
        <w:t> </w:t>
      </w:r>
      <w:r>
        <w:rPr>
          <w:color w:val="231F20"/>
          <w:w w:val="105"/>
        </w:rPr>
        <w:t>en</w:t>
      </w:r>
      <w:r>
        <w:rPr>
          <w:color w:val="231F20"/>
          <w:spacing w:val="-5"/>
          <w:w w:val="105"/>
        </w:rPr>
        <w:t> </w:t>
      </w:r>
      <w:r>
        <w:rPr>
          <w:color w:val="231F20"/>
          <w:w w:val="105"/>
        </w:rPr>
        <w:t>actores</w:t>
      </w:r>
      <w:r>
        <w:rPr>
          <w:color w:val="231F20"/>
          <w:spacing w:val="-5"/>
          <w:w w:val="105"/>
        </w:rPr>
        <w:t> </w:t>
      </w:r>
      <w:r>
        <w:rPr>
          <w:color w:val="231F20"/>
          <w:w w:val="105"/>
        </w:rPr>
        <w:t>protagónicos</w:t>
      </w:r>
      <w:r>
        <w:rPr>
          <w:color w:val="231F20"/>
          <w:spacing w:val="-5"/>
          <w:w w:val="105"/>
        </w:rPr>
        <w:t> </w:t>
      </w:r>
      <w:r>
        <w:rPr>
          <w:color w:val="231F20"/>
          <w:w w:val="105"/>
        </w:rPr>
        <w:t>por</w:t>
      </w:r>
      <w:r>
        <w:rPr>
          <w:color w:val="231F20"/>
          <w:spacing w:val="-5"/>
          <w:w w:val="105"/>
        </w:rPr>
        <w:t> </w:t>
      </w:r>
      <w:r>
        <w:rPr>
          <w:color w:val="231F20"/>
          <w:w w:val="105"/>
        </w:rPr>
        <w:t>su participación</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procesos</w:t>
      </w:r>
      <w:r>
        <w:rPr>
          <w:color w:val="231F20"/>
          <w:spacing w:val="-5"/>
          <w:w w:val="105"/>
        </w:rPr>
        <w:t> </w:t>
      </w:r>
      <w:r>
        <w:rPr>
          <w:color w:val="231F20"/>
          <w:w w:val="105"/>
        </w:rPr>
        <w:t>de</w:t>
      </w:r>
      <w:r>
        <w:rPr>
          <w:color w:val="231F20"/>
          <w:spacing w:val="-5"/>
          <w:w w:val="105"/>
        </w:rPr>
        <w:t> </w:t>
      </w:r>
      <w:r>
        <w:rPr>
          <w:color w:val="231F20"/>
          <w:w w:val="105"/>
        </w:rPr>
        <w:t>negociación,</w:t>
      </w:r>
      <w:r>
        <w:rPr>
          <w:color w:val="231F20"/>
          <w:spacing w:val="-10"/>
          <w:w w:val="105"/>
        </w:rPr>
        <w:t> </w:t>
      </w:r>
      <w:r>
        <w:rPr>
          <w:color w:val="231F20"/>
          <w:w w:val="105"/>
        </w:rPr>
        <w:t>preparación,</w:t>
      </w:r>
      <w:r>
        <w:rPr>
          <w:color w:val="231F20"/>
          <w:spacing w:val="-10"/>
          <w:w w:val="105"/>
        </w:rPr>
        <w:t> </w:t>
      </w:r>
      <w:r>
        <w:rPr>
          <w:color w:val="231F20"/>
          <w:w w:val="105"/>
        </w:rPr>
        <w:t>toma</w:t>
      </w:r>
      <w:r>
        <w:rPr>
          <w:color w:val="231F20"/>
          <w:spacing w:val="-5"/>
          <w:w w:val="105"/>
        </w:rPr>
        <w:t> </w:t>
      </w:r>
      <w:r>
        <w:rPr>
          <w:color w:val="231F20"/>
          <w:w w:val="105"/>
        </w:rPr>
        <w:t>de</w:t>
      </w:r>
      <w:r>
        <w:rPr>
          <w:color w:val="231F20"/>
          <w:spacing w:val="-5"/>
          <w:w w:val="105"/>
        </w:rPr>
        <w:t> </w:t>
      </w:r>
      <w:r>
        <w:rPr>
          <w:color w:val="231F20"/>
          <w:w w:val="105"/>
        </w:rPr>
        <w:t>de- cisiones</w:t>
      </w:r>
      <w:r>
        <w:rPr>
          <w:color w:val="231F20"/>
          <w:spacing w:val="-15"/>
          <w:w w:val="105"/>
        </w:rPr>
        <w:t> </w:t>
      </w:r>
      <w:r>
        <w:rPr>
          <w:color w:val="231F20"/>
          <w:w w:val="105"/>
        </w:rPr>
        <w:t>e</w:t>
      </w:r>
      <w:r>
        <w:rPr>
          <w:color w:val="231F20"/>
          <w:spacing w:val="-15"/>
          <w:w w:val="105"/>
        </w:rPr>
        <w:t> </w:t>
      </w:r>
      <w:r>
        <w:rPr>
          <w:color w:val="231F20"/>
          <w:w w:val="105"/>
        </w:rPr>
        <w:t>implementación</w:t>
      </w:r>
      <w:r>
        <w:rPr>
          <w:color w:val="231F20"/>
          <w:spacing w:val="-15"/>
          <w:w w:val="105"/>
        </w:rPr>
        <w:t> </w:t>
      </w:r>
      <w:r>
        <w:rPr>
          <w:color w:val="231F20"/>
          <w:w w:val="105"/>
        </w:rPr>
        <w:t>de</w:t>
      </w:r>
      <w:r>
        <w:rPr>
          <w:color w:val="231F20"/>
          <w:spacing w:val="-15"/>
          <w:w w:val="105"/>
        </w:rPr>
        <w:t> </w:t>
      </w:r>
      <w:r>
        <w:rPr>
          <w:color w:val="231F20"/>
          <w:w w:val="105"/>
        </w:rPr>
        <w:t>políticas</w:t>
      </w:r>
      <w:r>
        <w:rPr>
          <w:color w:val="231F20"/>
          <w:spacing w:val="-15"/>
          <w:w w:val="105"/>
        </w:rPr>
        <w:t> </w:t>
      </w:r>
      <w:r>
        <w:rPr>
          <w:color w:val="231F20"/>
          <w:w w:val="105"/>
        </w:rPr>
        <w:t>públicas</w:t>
      </w:r>
      <w:r>
        <w:rPr>
          <w:color w:val="231F20"/>
          <w:spacing w:val="-15"/>
          <w:w w:val="105"/>
        </w:rPr>
        <w:t> </w:t>
      </w:r>
      <w:r>
        <w:rPr>
          <w:color w:val="231F20"/>
          <w:w w:val="105"/>
        </w:rPr>
        <w:t>en</w:t>
      </w:r>
      <w:r>
        <w:rPr>
          <w:color w:val="231F20"/>
          <w:spacing w:val="-15"/>
          <w:w w:val="105"/>
        </w:rPr>
        <w:t> </w:t>
      </w:r>
      <w:r>
        <w:rPr>
          <w:color w:val="231F20"/>
          <w:w w:val="105"/>
        </w:rPr>
        <w:t>materia</w:t>
      </w:r>
      <w:r>
        <w:rPr>
          <w:color w:val="231F20"/>
          <w:spacing w:val="-15"/>
          <w:w w:val="105"/>
        </w:rPr>
        <w:t> </w:t>
      </w:r>
      <w:r>
        <w:rPr>
          <w:color w:val="231F20"/>
          <w:w w:val="105"/>
        </w:rPr>
        <w:t>de</w:t>
      </w:r>
      <w:r>
        <w:rPr>
          <w:color w:val="231F20"/>
          <w:spacing w:val="-15"/>
          <w:w w:val="105"/>
        </w:rPr>
        <w:t> </w:t>
      </w:r>
      <w:r>
        <w:rPr>
          <w:color w:val="231F20"/>
          <w:w w:val="105"/>
        </w:rPr>
        <w:t>migración y</w:t>
      </w:r>
      <w:r>
        <w:rPr>
          <w:color w:val="231F20"/>
          <w:spacing w:val="-17"/>
          <w:w w:val="105"/>
        </w:rPr>
        <w:t> </w:t>
      </w:r>
      <w:r>
        <w:rPr>
          <w:color w:val="231F20"/>
          <w:w w:val="105"/>
        </w:rPr>
        <w:t>derechos</w:t>
      </w:r>
      <w:r>
        <w:rPr>
          <w:color w:val="231F20"/>
          <w:spacing w:val="-17"/>
          <w:w w:val="105"/>
        </w:rPr>
        <w:t> </w:t>
      </w:r>
      <w:r>
        <w:rPr>
          <w:color w:val="231F20"/>
          <w:w w:val="105"/>
        </w:rPr>
        <w:t>humanos</w:t>
      </w:r>
      <w:r>
        <w:rPr>
          <w:color w:val="231F20"/>
          <w:spacing w:val="-17"/>
          <w:w w:val="105"/>
        </w:rPr>
        <w:t> </w:t>
      </w:r>
      <w:r>
        <w:rPr>
          <w:color w:val="231F20"/>
          <w:w w:val="105"/>
        </w:rPr>
        <w:t>(Aguirre</w:t>
      </w:r>
      <w:r>
        <w:rPr>
          <w:color w:val="231F20"/>
          <w:spacing w:val="-17"/>
          <w:w w:val="105"/>
        </w:rPr>
        <w:t> </w:t>
      </w:r>
      <w:r>
        <w:rPr>
          <w:color w:val="231F20"/>
          <w:w w:val="105"/>
        </w:rPr>
        <w:t>y</w:t>
      </w:r>
      <w:r>
        <w:rPr>
          <w:color w:val="231F20"/>
          <w:spacing w:val="-20"/>
          <w:w w:val="105"/>
        </w:rPr>
        <w:t> </w:t>
      </w:r>
      <w:r>
        <w:rPr>
          <w:color w:val="231F20"/>
          <w:w w:val="105"/>
        </w:rPr>
        <w:t>Valdés,</w:t>
      </w:r>
      <w:r>
        <w:rPr>
          <w:color w:val="231F20"/>
          <w:spacing w:val="-21"/>
          <w:w w:val="105"/>
        </w:rPr>
        <w:t> </w:t>
      </w:r>
      <w:r>
        <w:rPr>
          <w:color w:val="231F20"/>
          <w:w w:val="105"/>
        </w:rPr>
        <w:t>2014).</w:t>
      </w:r>
      <w:r>
        <w:rPr>
          <w:color w:val="231F20"/>
          <w:spacing w:val="-21"/>
          <w:w w:val="105"/>
        </w:rPr>
        <w:t> </w:t>
      </w:r>
      <w:r>
        <w:rPr>
          <w:color w:val="231F20"/>
          <w:w w:val="105"/>
        </w:rPr>
        <w:t>En</w:t>
      </w:r>
      <w:r>
        <w:rPr>
          <w:color w:val="231F20"/>
          <w:spacing w:val="-17"/>
          <w:w w:val="105"/>
        </w:rPr>
        <w:t> </w:t>
      </w:r>
      <w:r>
        <w:rPr>
          <w:color w:val="231F20"/>
          <w:w w:val="105"/>
        </w:rPr>
        <w:t>otros</w:t>
      </w:r>
      <w:r>
        <w:rPr>
          <w:color w:val="231F20"/>
          <w:spacing w:val="-17"/>
          <w:w w:val="105"/>
        </w:rPr>
        <w:t> </w:t>
      </w:r>
      <w:r>
        <w:rPr>
          <w:color w:val="231F20"/>
          <w:w w:val="105"/>
        </w:rPr>
        <w:t>términos,</w:t>
      </w:r>
      <w:r>
        <w:rPr>
          <w:color w:val="231F20"/>
          <w:spacing w:val="-21"/>
          <w:w w:val="105"/>
        </w:rPr>
        <w:t> </w:t>
      </w:r>
      <w:r>
        <w:rPr>
          <w:color w:val="231F20"/>
          <w:w w:val="105"/>
        </w:rPr>
        <w:t>para</w:t>
      </w:r>
      <w:r>
        <w:rPr>
          <w:color w:val="231F20"/>
          <w:spacing w:val="-17"/>
          <w:w w:val="105"/>
        </w:rPr>
        <w:t> </w:t>
      </w:r>
      <w:r>
        <w:rPr>
          <w:color w:val="231F20"/>
          <w:w w:val="105"/>
        </w:rPr>
        <w:t>el respeto</w:t>
      </w:r>
      <w:r>
        <w:rPr>
          <w:color w:val="231F20"/>
          <w:spacing w:val="-6"/>
          <w:w w:val="105"/>
        </w:rPr>
        <w:t> </w:t>
      </w:r>
      <w:r>
        <w:rPr>
          <w:color w:val="231F20"/>
          <w:w w:val="105"/>
        </w:rPr>
        <w:t>y</w:t>
      </w:r>
      <w:r>
        <w:rPr>
          <w:color w:val="231F20"/>
          <w:spacing w:val="-6"/>
          <w:w w:val="105"/>
        </w:rPr>
        <w:t> </w:t>
      </w:r>
      <w:r>
        <w:rPr>
          <w:color w:val="231F20"/>
          <w:w w:val="105"/>
        </w:rPr>
        <w:t>defensoria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derechos</w:t>
      </w:r>
      <w:r>
        <w:rPr>
          <w:color w:val="231F20"/>
          <w:spacing w:val="-6"/>
          <w:w w:val="105"/>
        </w:rPr>
        <w:t> </w:t>
      </w:r>
      <w:r>
        <w:rPr>
          <w:color w:val="231F20"/>
          <w:w w:val="105"/>
        </w:rPr>
        <w:t>humanos</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migrantes</w:t>
      </w:r>
      <w:r>
        <w:rPr>
          <w:color w:val="231F20"/>
          <w:spacing w:val="-6"/>
          <w:w w:val="105"/>
        </w:rPr>
        <w:t> </w:t>
      </w:r>
      <w:r>
        <w:rPr>
          <w:color w:val="231F20"/>
          <w:w w:val="105"/>
        </w:rPr>
        <w:t>son</w:t>
      </w:r>
      <w:r>
        <w:rPr>
          <w:color w:val="231F20"/>
          <w:spacing w:val="-6"/>
          <w:w w:val="105"/>
        </w:rPr>
        <w:t> </w:t>
      </w:r>
      <w:r>
        <w:rPr>
          <w:color w:val="231F20"/>
          <w:w w:val="105"/>
        </w:rPr>
        <w:t>de particular</w:t>
      </w:r>
      <w:r>
        <w:rPr>
          <w:color w:val="231F20"/>
          <w:spacing w:val="-37"/>
          <w:w w:val="105"/>
        </w:rPr>
        <w:t> </w:t>
      </w:r>
      <w:r>
        <w:rPr>
          <w:color w:val="231F20"/>
          <w:w w:val="105"/>
        </w:rPr>
        <w:t>interés</w:t>
      </w:r>
      <w:r>
        <w:rPr>
          <w:color w:val="231F20"/>
          <w:spacing w:val="-37"/>
          <w:w w:val="105"/>
        </w:rPr>
        <w:t> </w:t>
      </w:r>
      <w:r>
        <w:rPr>
          <w:color w:val="231F20"/>
          <w:w w:val="105"/>
        </w:rPr>
        <w:t>las</w:t>
      </w:r>
      <w:r>
        <w:rPr>
          <w:color w:val="231F20"/>
          <w:spacing w:val="-37"/>
          <w:w w:val="105"/>
        </w:rPr>
        <w:t> </w:t>
      </w:r>
      <w:r>
        <w:rPr>
          <w:color w:val="231F20"/>
          <w:w w:val="105"/>
        </w:rPr>
        <w:t>alianzas</w:t>
      </w:r>
      <w:r>
        <w:rPr>
          <w:color w:val="231F20"/>
          <w:spacing w:val="-37"/>
          <w:w w:val="105"/>
        </w:rPr>
        <w:t> </w:t>
      </w:r>
      <w:r>
        <w:rPr>
          <w:color w:val="231F20"/>
          <w:w w:val="105"/>
        </w:rPr>
        <w:t>con</w:t>
      </w:r>
      <w:r>
        <w:rPr>
          <w:color w:val="231F20"/>
          <w:spacing w:val="-37"/>
          <w:w w:val="105"/>
        </w:rPr>
        <w:t> </w:t>
      </w:r>
      <w:r>
        <w:rPr>
          <w:color w:val="231F20"/>
          <w:w w:val="105"/>
        </w:rPr>
        <w:t>organizaciones</w:t>
      </w:r>
      <w:r>
        <w:rPr>
          <w:color w:val="231F20"/>
          <w:spacing w:val="-37"/>
          <w:w w:val="105"/>
        </w:rPr>
        <w:t> </w:t>
      </w:r>
      <w:r>
        <w:rPr>
          <w:color w:val="231F20"/>
          <w:w w:val="105"/>
        </w:rPr>
        <w:t>civiles.</w:t>
      </w:r>
    </w:p>
    <w:p>
      <w:pPr>
        <w:pStyle w:val="BodyText"/>
        <w:spacing w:line="261" w:lineRule="auto" w:before="1"/>
        <w:ind w:left="1837" w:right="1721" w:firstLine="567"/>
        <w:jc w:val="both"/>
      </w:pPr>
      <w:r>
        <w:rPr>
          <w:color w:val="231F20"/>
          <w:spacing w:val="-3"/>
          <w:w w:val="105"/>
        </w:rPr>
        <w:t>Otro esquema </w:t>
      </w:r>
      <w:r>
        <w:rPr>
          <w:color w:val="231F20"/>
          <w:w w:val="105"/>
        </w:rPr>
        <w:t>de </w:t>
      </w:r>
      <w:r>
        <w:rPr>
          <w:color w:val="231F20"/>
          <w:spacing w:val="-3"/>
          <w:w w:val="105"/>
        </w:rPr>
        <w:t>participación </w:t>
      </w:r>
      <w:r>
        <w:rPr>
          <w:color w:val="231F20"/>
          <w:w w:val="105"/>
        </w:rPr>
        <w:t>es la </w:t>
      </w:r>
      <w:r>
        <w:rPr>
          <w:color w:val="231F20"/>
          <w:spacing w:val="-3"/>
          <w:w w:val="105"/>
        </w:rPr>
        <w:t>organización </w:t>
      </w:r>
      <w:r>
        <w:rPr>
          <w:color w:val="231F20"/>
          <w:w w:val="105"/>
        </w:rPr>
        <w:t>y </w:t>
      </w:r>
      <w:r>
        <w:rPr>
          <w:color w:val="231F20"/>
          <w:spacing w:val="-3"/>
          <w:w w:val="105"/>
        </w:rPr>
        <w:t>consolidación </w:t>
      </w:r>
      <w:r>
        <w:rPr>
          <w:color w:val="231F20"/>
          <w:w w:val="105"/>
        </w:rPr>
        <w:t>de los </w:t>
      </w:r>
      <w:r>
        <w:rPr>
          <w:color w:val="231F20"/>
          <w:spacing w:val="-3"/>
          <w:w w:val="105"/>
        </w:rPr>
        <w:t>clubes </w:t>
      </w:r>
      <w:r>
        <w:rPr>
          <w:color w:val="231F20"/>
          <w:w w:val="105"/>
        </w:rPr>
        <w:t>de </w:t>
      </w:r>
      <w:r>
        <w:rPr>
          <w:color w:val="231F20"/>
          <w:spacing w:val="-3"/>
          <w:w w:val="105"/>
        </w:rPr>
        <w:t>migrantes, particularmente porque existen ejemplos de </w:t>
      </w:r>
      <w:r>
        <w:rPr>
          <w:color w:val="231F20"/>
          <w:w w:val="105"/>
        </w:rPr>
        <w:t>su </w:t>
      </w:r>
      <w:r>
        <w:rPr>
          <w:color w:val="231F20"/>
          <w:spacing w:val="-3"/>
          <w:w w:val="105"/>
        </w:rPr>
        <w:t>potencial para convertirse </w:t>
      </w:r>
      <w:r>
        <w:rPr>
          <w:color w:val="231F20"/>
          <w:w w:val="105"/>
        </w:rPr>
        <w:t>en </w:t>
      </w:r>
      <w:r>
        <w:rPr>
          <w:color w:val="231F20"/>
          <w:spacing w:val="-3"/>
          <w:w w:val="105"/>
        </w:rPr>
        <w:t>fuentes </w:t>
      </w:r>
      <w:r>
        <w:rPr>
          <w:color w:val="231F20"/>
          <w:w w:val="105"/>
        </w:rPr>
        <w:t>de </w:t>
      </w:r>
      <w:r>
        <w:rPr>
          <w:color w:val="231F20"/>
          <w:spacing w:val="-3"/>
          <w:w w:val="105"/>
        </w:rPr>
        <w:t>capital social </w:t>
      </w:r>
      <w:r>
        <w:rPr>
          <w:color w:val="231F20"/>
          <w:w w:val="105"/>
        </w:rPr>
        <w:t>al </w:t>
      </w:r>
      <w:r>
        <w:rPr>
          <w:color w:val="231F20"/>
          <w:spacing w:val="-3"/>
          <w:w w:val="105"/>
        </w:rPr>
        <w:t>integrar pro- yectos</w:t>
      </w:r>
      <w:r>
        <w:rPr>
          <w:color w:val="231F20"/>
          <w:spacing w:val="-25"/>
          <w:w w:val="105"/>
        </w:rPr>
        <w:t> </w:t>
      </w:r>
      <w:r>
        <w:rPr>
          <w:color w:val="231F20"/>
          <w:w w:val="105"/>
        </w:rPr>
        <w:t>y</w:t>
      </w:r>
      <w:r>
        <w:rPr>
          <w:color w:val="231F20"/>
          <w:spacing w:val="-25"/>
          <w:w w:val="105"/>
        </w:rPr>
        <w:t> </w:t>
      </w:r>
      <w:r>
        <w:rPr>
          <w:color w:val="231F20"/>
          <w:spacing w:val="-4"/>
          <w:w w:val="105"/>
        </w:rPr>
        <w:t>estrategias</w:t>
      </w:r>
      <w:r>
        <w:rPr>
          <w:color w:val="231F20"/>
          <w:spacing w:val="-25"/>
          <w:w w:val="105"/>
        </w:rPr>
        <w:t> </w:t>
      </w:r>
      <w:r>
        <w:rPr>
          <w:color w:val="231F20"/>
          <w:spacing w:val="-4"/>
          <w:w w:val="105"/>
        </w:rPr>
        <w:t>participativas</w:t>
      </w:r>
      <w:r>
        <w:rPr>
          <w:color w:val="231F20"/>
          <w:spacing w:val="-25"/>
          <w:w w:val="105"/>
        </w:rPr>
        <w:t> </w:t>
      </w:r>
      <w:r>
        <w:rPr>
          <w:color w:val="231F20"/>
          <w:spacing w:val="-3"/>
          <w:w w:val="105"/>
        </w:rPr>
        <w:t>para</w:t>
      </w:r>
      <w:r>
        <w:rPr>
          <w:color w:val="231F20"/>
          <w:spacing w:val="-25"/>
          <w:w w:val="105"/>
        </w:rPr>
        <w:t> </w:t>
      </w:r>
      <w:r>
        <w:rPr>
          <w:color w:val="231F20"/>
          <w:w w:val="105"/>
        </w:rPr>
        <w:t>el</w:t>
      </w:r>
      <w:r>
        <w:rPr>
          <w:color w:val="231F20"/>
          <w:spacing w:val="-25"/>
          <w:w w:val="105"/>
        </w:rPr>
        <w:t> </w:t>
      </w:r>
      <w:r>
        <w:rPr>
          <w:color w:val="231F20"/>
          <w:spacing w:val="-3"/>
          <w:w w:val="105"/>
        </w:rPr>
        <w:t>desarrollo</w:t>
      </w:r>
      <w:r>
        <w:rPr>
          <w:color w:val="231F20"/>
          <w:spacing w:val="-25"/>
          <w:w w:val="105"/>
        </w:rPr>
        <w:t> </w:t>
      </w:r>
      <w:r>
        <w:rPr>
          <w:color w:val="231F20"/>
          <w:spacing w:val="-3"/>
          <w:w w:val="105"/>
        </w:rPr>
        <w:t>local.</w:t>
      </w:r>
      <w:r>
        <w:rPr>
          <w:color w:val="231F20"/>
          <w:spacing w:val="-30"/>
          <w:w w:val="105"/>
        </w:rPr>
        <w:t> </w:t>
      </w:r>
      <w:r>
        <w:rPr>
          <w:color w:val="231F20"/>
          <w:w w:val="105"/>
        </w:rPr>
        <w:t>El</w:t>
      </w:r>
      <w:r>
        <w:rPr>
          <w:color w:val="231F20"/>
          <w:spacing w:val="-25"/>
          <w:w w:val="105"/>
        </w:rPr>
        <w:t> </w:t>
      </w:r>
      <w:r>
        <w:rPr>
          <w:color w:val="231F20"/>
          <w:spacing w:val="-4"/>
          <w:w w:val="105"/>
        </w:rPr>
        <w:t>reto,</w:t>
      </w:r>
      <w:r>
        <w:rPr>
          <w:color w:val="231F20"/>
          <w:spacing w:val="-30"/>
          <w:w w:val="105"/>
        </w:rPr>
        <w:t> </w:t>
      </w:r>
      <w:r>
        <w:rPr>
          <w:color w:val="231F20"/>
          <w:w w:val="105"/>
        </w:rPr>
        <w:t>de</w:t>
      </w:r>
      <w:r>
        <w:rPr>
          <w:color w:val="231F20"/>
          <w:spacing w:val="-25"/>
          <w:w w:val="105"/>
        </w:rPr>
        <w:t> </w:t>
      </w:r>
      <w:r>
        <w:rPr>
          <w:color w:val="231F20"/>
          <w:spacing w:val="-4"/>
          <w:w w:val="105"/>
        </w:rPr>
        <w:t>acuer- </w:t>
      </w:r>
      <w:r>
        <w:rPr>
          <w:color w:val="231F20"/>
          <w:w w:val="105"/>
        </w:rPr>
        <w:t>do con de </w:t>
      </w:r>
      <w:r>
        <w:rPr>
          <w:color w:val="231F20"/>
          <w:spacing w:val="-4"/>
          <w:w w:val="105"/>
        </w:rPr>
        <w:t>Leal </w:t>
      </w:r>
      <w:r>
        <w:rPr>
          <w:color w:val="231F20"/>
          <w:w w:val="105"/>
        </w:rPr>
        <w:t>y </w:t>
      </w:r>
      <w:r>
        <w:rPr>
          <w:color w:val="231F20"/>
          <w:spacing w:val="-3"/>
          <w:w w:val="105"/>
        </w:rPr>
        <w:t>Escala (2011), está </w:t>
      </w:r>
      <w:r>
        <w:rPr>
          <w:color w:val="231F20"/>
          <w:w w:val="105"/>
        </w:rPr>
        <w:t>en la </w:t>
      </w:r>
      <w:r>
        <w:rPr>
          <w:color w:val="231F20"/>
          <w:spacing w:val="-4"/>
          <w:w w:val="105"/>
        </w:rPr>
        <w:t>transparencia, </w:t>
      </w:r>
      <w:r>
        <w:rPr>
          <w:color w:val="231F20"/>
          <w:w w:val="105"/>
        </w:rPr>
        <w:t>la </w:t>
      </w:r>
      <w:r>
        <w:rPr>
          <w:color w:val="231F20"/>
          <w:spacing w:val="-3"/>
          <w:w w:val="105"/>
        </w:rPr>
        <w:t>rendición de cuentas</w:t>
      </w:r>
      <w:r>
        <w:rPr>
          <w:color w:val="231F20"/>
          <w:spacing w:val="-8"/>
          <w:w w:val="105"/>
        </w:rPr>
        <w:t> </w:t>
      </w:r>
      <w:r>
        <w:rPr>
          <w:color w:val="231F20"/>
          <w:w w:val="105"/>
        </w:rPr>
        <w:t>y</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spacing w:val="-3"/>
          <w:w w:val="105"/>
        </w:rPr>
        <w:t>funcionamiento</w:t>
      </w:r>
      <w:r>
        <w:rPr>
          <w:color w:val="231F20"/>
          <w:spacing w:val="-8"/>
          <w:w w:val="105"/>
        </w:rPr>
        <w:t> </w:t>
      </w:r>
      <w:r>
        <w:rPr>
          <w:color w:val="231F20"/>
          <w:w w:val="105"/>
        </w:rPr>
        <w:t>y</w:t>
      </w:r>
      <w:r>
        <w:rPr>
          <w:color w:val="231F20"/>
          <w:spacing w:val="-8"/>
          <w:w w:val="105"/>
        </w:rPr>
        <w:t> </w:t>
      </w:r>
      <w:r>
        <w:rPr>
          <w:color w:val="231F20"/>
          <w:spacing w:val="-3"/>
          <w:w w:val="105"/>
        </w:rPr>
        <w:t>operación</w:t>
      </w:r>
      <w:r>
        <w:rPr>
          <w:color w:val="231F20"/>
          <w:spacing w:val="-8"/>
          <w:w w:val="105"/>
        </w:rPr>
        <w:t> </w:t>
      </w:r>
      <w:r>
        <w:rPr>
          <w:color w:val="231F20"/>
          <w:w w:val="105"/>
        </w:rPr>
        <w:t>de</w:t>
      </w:r>
      <w:r>
        <w:rPr>
          <w:color w:val="231F20"/>
          <w:spacing w:val="-8"/>
          <w:w w:val="105"/>
        </w:rPr>
        <w:t> </w:t>
      </w:r>
      <w:r>
        <w:rPr>
          <w:color w:val="231F20"/>
          <w:spacing w:val="-3"/>
          <w:w w:val="105"/>
        </w:rPr>
        <w:t>estos</w:t>
      </w:r>
      <w:r>
        <w:rPr>
          <w:color w:val="231F20"/>
          <w:spacing w:val="-8"/>
          <w:w w:val="105"/>
        </w:rPr>
        <w:t> </w:t>
      </w:r>
      <w:r>
        <w:rPr>
          <w:color w:val="231F20"/>
          <w:spacing w:val="-3"/>
          <w:w w:val="105"/>
        </w:rPr>
        <w:t>clubes,</w:t>
      </w:r>
      <w:r>
        <w:rPr>
          <w:color w:val="231F20"/>
          <w:spacing w:val="-15"/>
          <w:w w:val="105"/>
        </w:rPr>
        <w:t> </w:t>
      </w:r>
      <w:r>
        <w:rPr>
          <w:color w:val="231F20"/>
          <w:spacing w:val="-3"/>
          <w:w w:val="105"/>
        </w:rPr>
        <w:t>pues</w:t>
      </w:r>
      <w:r>
        <w:rPr>
          <w:color w:val="231F20"/>
          <w:spacing w:val="-8"/>
          <w:w w:val="105"/>
        </w:rPr>
        <w:t> </w:t>
      </w:r>
      <w:r>
        <w:rPr>
          <w:color w:val="231F20"/>
          <w:w w:val="105"/>
        </w:rPr>
        <w:t>de</w:t>
      </w:r>
      <w:r>
        <w:rPr>
          <w:color w:val="231F20"/>
          <w:spacing w:val="-8"/>
          <w:w w:val="105"/>
        </w:rPr>
        <w:t> </w:t>
      </w:r>
      <w:r>
        <w:rPr>
          <w:color w:val="231F20"/>
          <w:spacing w:val="-3"/>
          <w:w w:val="105"/>
        </w:rPr>
        <w:t>ello depende </w:t>
      </w:r>
      <w:r>
        <w:rPr>
          <w:color w:val="231F20"/>
          <w:w w:val="105"/>
        </w:rPr>
        <w:t>la </w:t>
      </w:r>
      <w:r>
        <w:rPr>
          <w:color w:val="231F20"/>
          <w:spacing w:val="-3"/>
          <w:w w:val="105"/>
        </w:rPr>
        <w:t>posibilidad </w:t>
      </w:r>
      <w:r>
        <w:rPr>
          <w:color w:val="231F20"/>
          <w:w w:val="105"/>
        </w:rPr>
        <w:t>de </w:t>
      </w:r>
      <w:r>
        <w:rPr>
          <w:color w:val="231F20"/>
          <w:spacing w:val="-3"/>
          <w:w w:val="105"/>
        </w:rPr>
        <w:t>promover </w:t>
      </w:r>
      <w:r>
        <w:rPr>
          <w:color w:val="231F20"/>
          <w:w w:val="105"/>
        </w:rPr>
        <w:t>una </w:t>
      </w:r>
      <w:r>
        <w:rPr>
          <w:color w:val="231F20"/>
          <w:spacing w:val="-3"/>
          <w:w w:val="105"/>
        </w:rPr>
        <w:t>mayor gobernanza local, </w:t>
      </w:r>
      <w:r>
        <w:rPr>
          <w:color w:val="231F20"/>
          <w:w w:val="105"/>
        </w:rPr>
        <w:t>con </w:t>
      </w:r>
      <w:r>
        <w:rPr>
          <w:color w:val="231F20"/>
          <w:spacing w:val="-3"/>
          <w:w w:val="105"/>
        </w:rPr>
        <w:t>la participación</w:t>
      </w:r>
      <w:r>
        <w:rPr>
          <w:color w:val="231F20"/>
          <w:spacing w:val="-11"/>
          <w:w w:val="105"/>
        </w:rPr>
        <w:t> </w:t>
      </w:r>
      <w:r>
        <w:rPr>
          <w:color w:val="231F20"/>
          <w:w w:val="105"/>
        </w:rPr>
        <w:t>de</w:t>
      </w:r>
      <w:r>
        <w:rPr>
          <w:color w:val="231F20"/>
          <w:spacing w:val="-11"/>
          <w:w w:val="105"/>
        </w:rPr>
        <w:t> </w:t>
      </w:r>
      <w:r>
        <w:rPr>
          <w:color w:val="231F20"/>
          <w:spacing w:val="-3"/>
          <w:w w:val="105"/>
        </w:rPr>
        <w:t>autoridades</w:t>
      </w:r>
      <w:r>
        <w:rPr>
          <w:color w:val="231F20"/>
          <w:spacing w:val="-11"/>
          <w:w w:val="105"/>
        </w:rPr>
        <w:t> </w:t>
      </w:r>
      <w:r>
        <w:rPr>
          <w:color w:val="231F20"/>
          <w:w w:val="105"/>
        </w:rPr>
        <w:t>y</w:t>
      </w:r>
      <w:r>
        <w:rPr>
          <w:color w:val="231F20"/>
          <w:spacing w:val="-11"/>
          <w:w w:val="105"/>
        </w:rPr>
        <w:t> </w:t>
      </w:r>
      <w:r>
        <w:rPr>
          <w:color w:val="231F20"/>
          <w:spacing w:val="-3"/>
          <w:w w:val="105"/>
        </w:rPr>
        <w:t>miembros</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spacing w:val="-3"/>
          <w:w w:val="105"/>
        </w:rPr>
        <w:t>comunidades</w:t>
      </w:r>
      <w:r>
        <w:rPr>
          <w:color w:val="231F20"/>
          <w:spacing w:val="-11"/>
          <w:w w:val="105"/>
        </w:rPr>
        <w:t> </w:t>
      </w:r>
      <w:r>
        <w:rPr>
          <w:color w:val="231F20"/>
          <w:w w:val="105"/>
        </w:rPr>
        <w:t>de</w:t>
      </w:r>
      <w:r>
        <w:rPr>
          <w:color w:val="231F20"/>
          <w:spacing w:val="-11"/>
          <w:w w:val="105"/>
        </w:rPr>
        <w:t> </w:t>
      </w:r>
      <w:r>
        <w:rPr>
          <w:color w:val="231F20"/>
          <w:spacing w:val="-3"/>
          <w:w w:val="105"/>
        </w:rPr>
        <w:t>origen.</w:t>
      </w:r>
    </w:p>
    <w:p>
      <w:pPr>
        <w:pStyle w:val="BodyText"/>
        <w:spacing w:line="261" w:lineRule="auto" w:before="1"/>
        <w:ind w:left="1837" w:right="1721" w:firstLine="567"/>
        <w:jc w:val="both"/>
      </w:pPr>
      <w:r>
        <w:rPr>
          <w:color w:val="231F20"/>
          <w:w w:val="105"/>
        </w:rPr>
        <w:t>Así</w:t>
      </w:r>
      <w:r>
        <w:rPr>
          <w:color w:val="231F20"/>
          <w:spacing w:val="-14"/>
          <w:w w:val="105"/>
        </w:rPr>
        <w:t> </w:t>
      </w:r>
      <w:r>
        <w:rPr>
          <w:color w:val="231F20"/>
          <w:spacing w:val="-3"/>
          <w:w w:val="105"/>
        </w:rPr>
        <w:t>entonces,</w:t>
      </w:r>
      <w:r>
        <w:rPr>
          <w:color w:val="231F20"/>
          <w:spacing w:val="-18"/>
          <w:w w:val="105"/>
        </w:rPr>
        <w:t> </w:t>
      </w:r>
      <w:r>
        <w:rPr>
          <w:color w:val="231F20"/>
          <w:spacing w:val="-4"/>
          <w:w w:val="105"/>
        </w:rPr>
        <w:t>procurar</w:t>
      </w:r>
      <w:r>
        <w:rPr>
          <w:color w:val="231F20"/>
          <w:spacing w:val="-14"/>
          <w:w w:val="105"/>
        </w:rPr>
        <w:t> </w:t>
      </w:r>
      <w:r>
        <w:rPr>
          <w:color w:val="231F20"/>
          <w:w w:val="105"/>
        </w:rPr>
        <w:t>el</w:t>
      </w:r>
      <w:r>
        <w:rPr>
          <w:color w:val="231F20"/>
          <w:spacing w:val="-14"/>
          <w:w w:val="105"/>
        </w:rPr>
        <w:t> </w:t>
      </w:r>
      <w:r>
        <w:rPr>
          <w:color w:val="231F20"/>
          <w:spacing w:val="-3"/>
          <w:w w:val="105"/>
        </w:rPr>
        <w:t>desarrollo</w:t>
      </w:r>
      <w:r>
        <w:rPr>
          <w:color w:val="231F20"/>
          <w:spacing w:val="-14"/>
          <w:w w:val="105"/>
        </w:rPr>
        <w:t> </w:t>
      </w:r>
      <w:r>
        <w:rPr>
          <w:color w:val="231F20"/>
          <w:w w:val="105"/>
        </w:rPr>
        <w:t>de</w:t>
      </w:r>
      <w:r>
        <w:rPr>
          <w:color w:val="231F20"/>
          <w:spacing w:val="-14"/>
          <w:w w:val="105"/>
        </w:rPr>
        <w:t> </w:t>
      </w:r>
      <w:r>
        <w:rPr>
          <w:color w:val="231F20"/>
          <w:spacing w:val="-3"/>
          <w:w w:val="105"/>
        </w:rPr>
        <w:t>capacidades</w:t>
      </w:r>
      <w:r>
        <w:rPr>
          <w:color w:val="231F20"/>
          <w:spacing w:val="-14"/>
          <w:w w:val="105"/>
        </w:rPr>
        <w:t> </w:t>
      </w:r>
      <w:r>
        <w:rPr>
          <w:color w:val="231F20"/>
          <w:spacing w:val="-3"/>
          <w:w w:val="105"/>
        </w:rPr>
        <w:t>organizaciona- </w:t>
      </w:r>
      <w:r>
        <w:rPr>
          <w:color w:val="231F20"/>
          <w:w w:val="105"/>
        </w:rPr>
        <w:t>les</w:t>
      </w:r>
      <w:r>
        <w:rPr>
          <w:color w:val="231F20"/>
          <w:spacing w:val="-31"/>
          <w:w w:val="105"/>
        </w:rPr>
        <w:t> </w:t>
      </w:r>
      <w:r>
        <w:rPr>
          <w:color w:val="231F20"/>
          <w:spacing w:val="-3"/>
          <w:w w:val="105"/>
        </w:rPr>
        <w:t>para</w:t>
      </w:r>
      <w:r>
        <w:rPr>
          <w:color w:val="231F20"/>
          <w:spacing w:val="-31"/>
          <w:w w:val="105"/>
        </w:rPr>
        <w:t> </w:t>
      </w:r>
      <w:r>
        <w:rPr>
          <w:color w:val="231F20"/>
          <w:w w:val="105"/>
        </w:rPr>
        <w:t>la</w:t>
      </w:r>
      <w:r>
        <w:rPr>
          <w:color w:val="231F20"/>
          <w:spacing w:val="-31"/>
          <w:w w:val="105"/>
        </w:rPr>
        <w:t> </w:t>
      </w:r>
      <w:r>
        <w:rPr>
          <w:color w:val="231F20"/>
          <w:spacing w:val="-3"/>
          <w:w w:val="105"/>
        </w:rPr>
        <w:t>acción</w:t>
      </w:r>
      <w:r>
        <w:rPr>
          <w:color w:val="231F20"/>
          <w:spacing w:val="-31"/>
          <w:w w:val="105"/>
        </w:rPr>
        <w:t> </w:t>
      </w:r>
      <w:r>
        <w:rPr>
          <w:color w:val="231F20"/>
          <w:spacing w:val="-3"/>
          <w:w w:val="105"/>
        </w:rPr>
        <w:t>colectiva</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spacing w:val="-3"/>
          <w:w w:val="105"/>
        </w:rPr>
        <w:t>migrantes</w:t>
      </w:r>
      <w:r>
        <w:rPr>
          <w:color w:val="231F20"/>
          <w:spacing w:val="-31"/>
          <w:w w:val="105"/>
        </w:rPr>
        <w:t> </w:t>
      </w:r>
      <w:r>
        <w:rPr>
          <w:color w:val="231F20"/>
          <w:spacing w:val="-3"/>
          <w:w w:val="105"/>
        </w:rPr>
        <w:t>puede</w:t>
      </w:r>
      <w:r>
        <w:rPr>
          <w:color w:val="231F20"/>
          <w:spacing w:val="-31"/>
          <w:w w:val="105"/>
        </w:rPr>
        <w:t> </w:t>
      </w:r>
      <w:r>
        <w:rPr>
          <w:color w:val="231F20"/>
          <w:spacing w:val="-3"/>
          <w:w w:val="105"/>
        </w:rPr>
        <w:t>hacer</w:t>
      </w:r>
      <w:r>
        <w:rPr>
          <w:color w:val="231F20"/>
          <w:spacing w:val="-31"/>
          <w:w w:val="105"/>
        </w:rPr>
        <w:t> </w:t>
      </w:r>
      <w:r>
        <w:rPr>
          <w:color w:val="231F20"/>
          <w:w w:val="105"/>
        </w:rPr>
        <w:t>más</w:t>
      </w:r>
      <w:r>
        <w:rPr>
          <w:color w:val="231F20"/>
          <w:spacing w:val="-31"/>
          <w:w w:val="105"/>
        </w:rPr>
        <w:t> </w:t>
      </w:r>
      <w:r>
        <w:rPr>
          <w:color w:val="231F20"/>
          <w:spacing w:val="-3"/>
          <w:w w:val="105"/>
        </w:rPr>
        <w:t>eficientes</w:t>
      </w:r>
      <w:r>
        <w:rPr>
          <w:color w:val="231F20"/>
          <w:spacing w:val="-31"/>
          <w:w w:val="105"/>
        </w:rPr>
        <w:t> </w:t>
      </w:r>
      <w:r>
        <w:rPr>
          <w:color w:val="231F20"/>
          <w:spacing w:val="-3"/>
          <w:w w:val="105"/>
        </w:rPr>
        <w:t>las políticas</w:t>
      </w:r>
      <w:r>
        <w:rPr>
          <w:color w:val="231F20"/>
          <w:spacing w:val="-29"/>
          <w:w w:val="105"/>
        </w:rPr>
        <w:t> </w:t>
      </w:r>
      <w:r>
        <w:rPr>
          <w:color w:val="231F20"/>
          <w:spacing w:val="-3"/>
          <w:w w:val="105"/>
        </w:rPr>
        <w:t>públicas,</w:t>
      </w:r>
      <w:r>
        <w:rPr>
          <w:color w:val="231F20"/>
          <w:spacing w:val="-35"/>
          <w:w w:val="105"/>
        </w:rPr>
        <w:t> </w:t>
      </w:r>
      <w:r>
        <w:rPr>
          <w:color w:val="231F20"/>
          <w:spacing w:val="-3"/>
          <w:w w:val="105"/>
        </w:rPr>
        <w:t>favorecer</w:t>
      </w:r>
      <w:r>
        <w:rPr>
          <w:color w:val="231F20"/>
          <w:spacing w:val="-29"/>
          <w:w w:val="105"/>
        </w:rPr>
        <w:t> </w:t>
      </w:r>
      <w:r>
        <w:rPr>
          <w:color w:val="231F20"/>
          <w:w w:val="105"/>
        </w:rPr>
        <w:t>el</w:t>
      </w:r>
      <w:r>
        <w:rPr>
          <w:color w:val="231F20"/>
          <w:spacing w:val="-29"/>
          <w:w w:val="105"/>
        </w:rPr>
        <w:t> </w:t>
      </w:r>
      <w:r>
        <w:rPr>
          <w:color w:val="231F20"/>
          <w:spacing w:val="-3"/>
          <w:w w:val="105"/>
        </w:rPr>
        <w:t>desarrollo</w:t>
      </w:r>
      <w:r>
        <w:rPr>
          <w:color w:val="231F20"/>
          <w:spacing w:val="-29"/>
          <w:w w:val="105"/>
        </w:rPr>
        <w:t> </w:t>
      </w:r>
      <w:r>
        <w:rPr>
          <w:color w:val="231F20"/>
          <w:w w:val="105"/>
        </w:rPr>
        <w:t>de</w:t>
      </w:r>
      <w:r>
        <w:rPr>
          <w:color w:val="231F20"/>
          <w:spacing w:val="-29"/>
          <w:w w:val="105"/>
        </w:rPr>
        <w:t> </w:t>
      </w:r>
      <w:r>
        <w:rPr>
          <w:color w:val="231F20"/>
          <w:spacing w:val="-3"/>
          <w:w w:val="105"/>
        </w:rPr>
        <w:t>nuevos</w:t>
      </w:r>
      <w:r>
        <w:rPr>
          <w:color w:val="231F20"/>
          <w:spacing w:val="-29"/>
          <w:w w:val="105"/>
        </w:rPr>
        <w:t> </w:t>
      </w:r>
      <w:r>
        <w:rPr>
          <w:color w:val="231F20"/>
          <w:spacing w:val="-3"/>
          <w:w w:val="105"/>
        </w:rPr>
        <w:t>esquemas</w:t>
      </w:r>
      <w:r>
        <w:rPr>
          <w:color w:val="231F20"/>
          <w:spacing w:val="-29"/>
          <w:w w:val="105"/>
        </w:rPr>
        <w:t> </w:t>
      </w:r>
      <w:r>
        <w:rPr>
          <w:color w:val="231F20"/>
          <w:spacing w:val="-4"/>
          <w:w w:val="105"/>
        </w:rPr>
        <w:t>productivos </w:t>
      </w:r>
      <w:r>
        <w:rPr>
          <w:color w:val="231F20"/>
          <w:w w:val="105"/>
        </w:rPr>
        <w:t>y</w:t>
      </w:r>
      <w:r>
        <w:rPr>
          <w:color w:val="231F20"/>
          <w:spacing w:val="-15"/>
          <w:w w:val="105"/>
        </w:rPr>
        <w:t> </w:t>
      </w:r>
      <w:r>
        <w:rPr>
          <w:color w:val="231F20"/>
          <w:spacing w:val="-3"/>
          <w:w w:val="105"/>
        </w:rPr>
        <w:t>promover</w:t>
      </w:r>
      <w:r>
        <w:rPr>
          <w:color w:val="231F20"/>
          <w:spacing w:val="-15"/>
          <w:w w:val="105"/>
        </w:rPr>
        <w:t> </w:t>
      </w:r>
      <w:r>
        <w:rPr>
          <w:color w:val="231F20"/>
          <w:w w:val="105"/>
        </w:rPr>
        <w:t>el</w:t>
      </w:r>
      <w:r>
        <w:rPr>
          <w:color w:val="231F20"/>
          <w:spacing w:val="-15"/>
          <w:w w:val="105"/>
        </w:rPr>
        <w:t> </w:t>
      </w:r>
      <w:r>
        <w:rPr>
          <w:color w:val="231F20"/>
          <w:spacing w:val="-3"/>
          <w:w w:val="105"/>
        </w:rPr>
        <w:t>ejercicio</w:t>
      </w:r>
      <w:r>
        <w:rPr>
          <w:color w:val="231F20"/>
          <w:spacing w:val="-15"/>
          <w:w w:val="105"/>
        </w:rPr>
        <w:t> </w:t>
      </w:r>
      <w:r>
        <w:rPr>
          <w:color w:val="231F20"/>
          <w:spacing w:val="-3"/>
          <w:w w:val="105"/>
        </w:rPr>
        <w:t>pleno</w:t>
      </w:r>
      <w:r>
        <w:rPr>
          <w:color w:val="231F20"/>
          <w:spacing w:val="-15"/>
          <w:w w:val="105"/>
        </w:rPr>
        <w:t> </w:t>
      </w:r>
      <w:r>
        <w:rPr>
          <w:color w:val="231F20"/>
          <w:w w:val="105"/>
        </w:rPr>
        <w:t>de</w:t>
      </w:r>
      <w:r>
        <w:rPr>
          <w:color w:val="231F20"/>
          <w:spacing w:val="-15"/>
          <w:w w:val="105"/>
        </w:rPr>
        <w:t> </w:t>
      </w:r>
      <w:r>
        <w:rPr>
          <w:color w:val="231F20"/>
          <w:w w:val="105"/>
        </w:rPr>
        <w:t>sus</w:t>
      </w:r>
      <w:r>
        <w:rPr>
          <w:color w:val="231F20"/>
          <w:spacing w:val="-15"/>
          <w:w w:val="105"/>
        </w:rPr>
        <w:t> </w:t>
      </w:r>
      <w:r>
        <w:rPr>
          <w:color w:val="231F20"/>
          <w:spacing w:val="-3"/>
          <w:w w:val="105"/>
        </w:rPr>
        <w:t>derechos</w:t>
      </w:r>
      <w:r>
        <w:rPr>
          <w:color w:val="231F20"/>
          <w:spacing w:val="-15"/>
          <w:w w:val="105"/>
        </w:rPr>
        <w:t> </w:t>
      </w:r>
      <w:r>
        <w:rPr>
          <w:color w:val="231F20"/>
          <w:spacing w:val="-3"/>
          <w:w w:val="105"/>
        </w:rPr>
        <w:t>humanos.</w:t>
      </w:r>
      <w:r>
        <w:rPr>
          <w:color w:val="231F20"/>
          <w:spacing w:val="-20"/>
          <w:w w:val="105"/>
        </w:rPr>
        <w:t> </w:t>
      </w:r>
      <w:r>
        <w:rPr>
          <w:color w:val="231F20"/>
          <w:spacing w:val="-3"/>
          <w:w w:val="105"/>
        </w:rPr>
        <w:t>Desde</w:t>
      </w:r>
      <w:r>
        <w:rPr>
          <w:color w:val="231F20"/>
          <w:spacing w:val="-15"/>
          <w:w w:val="105"/>
        </w:rPr>
        <w:t> </w:t>
      </w:r>
      <w:r>
        <w:rPr>
          <w:color w:val="231F20"/>
          <w:w w:val="105"/>
        </w:rPr>
        <w:t>una</w:t>
      </w:r>
      <w:r>
        <w:rPr>
          <w:color w:val="231F20"/>
          <w:spacing w:val="-15"/>
          <w:w w:val="105"/>
        </w:rPr>
        <w:t> </w:t>
      </w:r>
      <w:r>
        <w:rPr>
          <w:color w:val="231F20"/>
          <w:spacing w:val="-3"/>
          <w:w w:val="105"/>
        </w:rPr>
        <w:t>pers- pectiva inclusiva </w:t>
      </w:r>
      <w:r>
        <w:rPr>
          <w:color w:val="231F20"/>
          <w:w w:val="105"/>
        </w:rPr>
        <w:t>e </w:t>
      </w:r>
      <w:r>
        <w:rPr>
          <w:color w:val="231F20"/>
          <w:spacing w:val="-4"/>
          <w:w w:val="105"/>
        </w:rPr>
        <w:t>intercultural, </w:t>
      </w:r>
      <w:r>
        <w:rPr>
          <w:color w:val="231F20"/>
          <w:spacing w:val="-3"/>
          <w:w w:val="105"/>
        </w:rPr>
        <w:t>esta combinación </w:t>
      </w:r>
      <w:r>
        <w:rPr>
          <w:color w:val="231F20"/>
          <w:w w:val="105"/>
        </w:rPr>
        <w:t>de </w:t>
      </w:r>
      <w:r>
        <w:rPr>
          <w:color w:val="231F20"/>
          <w:spacing w:val="-3"/>
          <w:w w:val="105"/>
        </w:rPr>
        <w:t>educación </w:t>
      </w:r>
      <w:r>
        <w:rPr>
          <w:color w:val="231F20"/>
          <w:w w:val="105"/>
        </w:rPr>
        <w:t>y </w:t>
      </w:r>
      <w:r>
        <w:rPr>
          <w:color w:val="231F20"/>
          <w:spacing w:val="-3"/>
          <w:w w:val="105"/>
        </w:rPr>
        <w:t>partici- pación como pilares </w:t>
      </w:r>
      <w:r>
        <w:rPr>
          <w:color w:val="231F20"/>
          <w:w w:val="105"/>
        </w:rPr>
        <w:t>de los </w:t>
      </w:r>
      <w:r>
        <w:rPr>
          <w:color w:val="231F20"/>
          <w:spacing w:val="-3"/>
          <w:w w:val="105"/>
        </w:rPr>
        <w:t>derechos </w:t>
      </w:r>
      <w:r>
        <w:rPr>
          <w:color w:val="231F20"/>
          <w:w w:val="105"/>
        </w:rPr>
        <w:t>de los </w:t>
      </w:r>
      <w:r>
        <w:rPr>
          <w:color w:val="231F20"/>
          <w:spacing w:val="-3"/>
          <w:w w:val="105"/>
        </w:rPr>
        <w:t>migrantes abre posibilidades hacia</w:t>
      </w:r>
      <w:r>
        <w:rPr>
          <w:color w:val="231F20"/>
          <w:spacing w:val="-19"/>
          <w:w w:val="105"/>
        </w:rPr>
        <w:t> </w:t>
      </w:r>
      <w:r>
        <w:rPr>
          <w:color w:val="231F20"/>
          <w:w w:val="105"/>
        </w:rPr>
        <w:t>un</w:t>
      </w:r>
      <w:r>
        <w:rPr>
          <w:color w:val="231F20"/>
          <w:spacing w:val="-19"/>
          <w:w w:val="105"/>
        </w:rPr>
        <w:t> </w:t>
      </w:r>
      <w:r>
        <w:rPr>
          <w:color w:val="231F20"/>
          <w:spacing w:val="-3"/>
          <w:w w:val="105"/>
        </w:rPr>
        <w:t>horizonte</w:t>
      </w:r>
      <w:r>
        <w:rPr>
          <w:color w:val="231F20"/>
          <w:spacing w:val="-19"/>
          <w:w w:val="105"/>
        </w:rPr>
        <w:t> </w:t>
      </w:r>
      <w:r>
        <w:rPr>
          <w:color w:val="231F20"/>
          <w:w w:val="105"/>
        </w:rPr>
        <w:t>más</w:t>
      </w:r>
      <w:r>
        <w:rPr>
          <w:color w:val="231F20"/>
          <w:spacing w:val="-19"/>
          <w:w w:val="105"/>
        </w:rPr>
        <w:t> </w:t>
      </w:r>
      <w:r>
        <w:rPr>
          <w:color w:val="231F20"/>
          <w:spacing w:val="-3"/>
          <w:w w:val="105"/>
        </w:rPr>
        <w:t>humano</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spacing w:val="-3"/>
          <w:w w:val="105"/>
        </w:rPr>
        <w:t>gestión</w:t>
      </w:r>
      <w:r>
        <w:rPr>
          <w:color w:val="231F20"/>
          <w:spacing w:val="-19"/>
          <w:w w:val="105"/>
        </w:rPr>
        <w:t> </w:t>
      </w:r>
      <w:r>
        <w:rPr>
          <w:color w:val="231F20"/>
          <w:spacing w:val="-3"/>
          <w:w w:val="105"/>
        </w:rPr>
        <w:t>integral</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spacing w:val="-4"/>
          <w:w w:val="105"/>
        </w:rPr>
        <w:t>migraciones.</w:t>
      </w:r>
    </w:p>
    <w:p>
      <w:pPr>
        <w:pStyle w:val="BodyText"/>
        <w:rPr>
          <w:sz w:val="20"/>
        </w:rPr>
      </w:pPr>
    </w:p>
    <w:p>
      <w:pPr>
        <w:pStyle w:val="BodyText"/>
        <w:spacing w:before="9"/>
        <w:rPr>
          <w:sz w:val="20"/>
        </w:rPr>
      </w:pPr>
    </w:p>
    <w:p>
      <w:pPr>
        <w:pStyle w:val="Heading3"/>
      </w:pPr>
      <w:r>
        <w:rPr>
          <w:color w:val="231F20"/>
        </w:rPr>
        <w:t>Conclusiones</w:t>
      </w:r>
    </w:p>
    <w:p>
      <w:pPr>
        <w:pStyle w:val="BodyText"/>
        <w:rPr>
          <w:rFonts w:ascii="Arial"/>
          <w:b/>
          <w:sz w:val="22"/>
        </w:rPr>
      </w:pPr>
    </w:p>
    <w:p>
      <w:pPr>
        <w:pStyle w:val="BodyText"/>
        <w:spacing w:line="261" w:lineRule="auto" w:before="163"/>
        <w:ind w:left="1837" w:right="1721"/>
        <w:jc w:val="both"/>
      </w:pPr>
      <w:r>
        <w:rPr/>
        <w:pict>
          <v:line style="position:absolute;mso-position-horizontal-relative:page;mso-position-vertical-relative:paragraph;z-index:-486040" from="15pt,119.431892pt" to="0pt,119.431892pt" stroked="true" strokeweight=".25pt" strokecolor="#000000">
            <w10:wrap type="none"/>
          </v:line>
        </w:pict>
      </w:r>
      <w:r>
        <w:rPr/>
        <w:pict>
          <v:line style="position:absolute;mso-position-horizontal-relative:page;mso-position-vertical-relative:paragraph;z-index:4168" from="508.890015pt,119.431892pt" to="523.890015pt,119.431892pt" stroked="true" strokeweight=".25pt" strokecolor="#000000">
            <w10:wrap type="none"/>
          </v:line>
        </w:pict>
      </w:r>
      <w:r>
        <w:rPr>
          <w:color w:val="231F20"/>
          <w:w w:val="105"/>
        </w:rPr>
        <w:t>Los</w:t>
      </w:r>
      <w:r>
        <w:rPr>
          <w:color w:val="231F20"/>
          <w:spacing w:val="-20"/>
          <w:w w:val="105"/>
        </w:rPr>
        <w:t> </w:t>
      </w:r>
      <w:r>
        <w:rPr>
          <w:color w:val="231F20"/>
          <w:w w:val="105"/>
        </w:rPr>
        <w:t>derechos</w:t>
      </w:r>
      <w:r>
        <w:rPr>
          <w:color w:val="231F20"/>
          <w:spacing w:val="-20"/>
          <w:w w:val="105"/>
        </w:rPr>
        <w:t> </w:t>
      </w:r>
      <w:r>
        <w:rPr>
          <w:color w:val="231F20"/>
          <w:w w:val="105"/>
        </w:rPr>
        <w:t>humanos</w:t>
      </w:r>
      <w:r>
        <w:rPr>
          <w:color w:val="231F20"/>
          <w:spacing w:val="-20"/>
          <w:w w:val="105"/>
        </w:rPr>
        <w:t> </w:t>
      </w:r>
      <w:r>
        <w:rPr>
          <w:color w:val="231F20"/>
          <w:w w:val="105"/>
        </w:rPr>
        <w:t>se</w:t>
      </w:r>
      <w:r>
        <w:rPr>
          <w:color w:val="231F20"/>
          <w:spacing w:val="-20"/>
          <w:w w:val="105"/>
        </w:rPr>
        <w:t> </w:t>
      </w:r>
      <w:r>
        <w:rPr>
          <w:color w:val="231F20"/>
          <w:w w:val="105"/>
        </w:rPr>
        <w:t>encuentran</w:t>
      </w:r>
      <w:r>
        <w:rPr>
          <w:color w:val="231F20"/>
          <w:spacing w:val="-20"/>
          <w:w w:val="105"/>
        </w:rPr>
        <w:t> </w:t>
      </w:r>
      <w:r>
        <w:rPr>
          <w:color w:val="231F20"/>
          <w:w w:val="105"/>
        </w:rPr>
        <w:t>consagrados</w:t>
      </w:r>
      <w:r>
        <w:rPr>
          <w:color w:val="231F20"/>
          <w:spacing w:val="-20"/>
          <w:w w:val="105"/>
        </w:rPr>
        <w:t> </w:t>
      </w:r>
      <w:r>
        <w:rPr>
          <w:color w:val="231F20"/>
          <w:w w:val="105"/>
        </w:rPr>
        <w:t>en</w:t>
      </w:r>
      <w:r>
        <w:rPr>
          <w:color w:val="231F20"/>
          <w:spacing w:val="-20"/>
          <w:w w:val="105"/>
        </w:rPr>
        <w:t> </w:t>
      </w:r>
      <w:r>
        <w:rPr>
          <w:color w:val="231F20"/>
          <w:w w:val="105"/>
        </w:rPr>
        <w:t>marcos</w:t>
      </w:r>
      <w:r>
        <w:rPr>
          <w:color w:val="231F20"/>
          <w:spacing w:val="-20"/>
          <w:w w:val="105"/>
        </w:rPr>
        <w:t> </w:t>
      </w:r>
      <w:r>
        <w:rPr>
          <w:color w:val="231F20"/>
          <w:w w:val="105"/>
        </w:rPr>
        <w:t>legales</w:t>
      </w:r>
      <w:r>
        <w:rPr>
          <w:color w:val="231F20"/>
          <w:spacing w:val="-20"/>
          <w:w w:val="105"/>
        </w:rPr>
        <w:t> </w:t>
      </w:r>
      <w:r>
        <w:rPr>
          <w:color w:val="231F20"/>
          <w:w w:val="105"/>
        </w:rPr>
        <w:t>a nivel</w:t>
      </w:r>
      <w:r>
        <w:rPr>
          <w:color w:val="231F20"/>
          <w:spacing w:val="-10"/>
          <w:w w:val="105"/>
        </w:rPr>
        <w:t> </w:t>
      </w:r>
      <w:r>
        <w:rPr>
          <w:color w:val="231F20"/>
          <w:w w:val="105"/>
        </w:rPr>
        <w:t>internacional</w:t>
      </w:r>
      <w:r>
        <w:rPr>
          <w:color w:val="231F20"/>
          <w:spacing w:val="-10"/>
          <w:w w:val="105"/>
        </w:rPr>
        <w:t> </w:t>
      </w:r>
      <w:r>
        <w:rPr>
          <w:color w:val="231F20"/>
          <w:w w:val="105"/>
        </w:rPr>
        <w:t>y</w:t>
      </w:r>
      <w:r>
        <w:rPr>
          <w:color w:val="231F20"/>
          <w:spacing w:val="-10"/>
          <w:w w:val="105"/>
        </w:rPr>
        <w:t> </w:t>
      </w:r>
      <w:r>
        <w:rPr>
          <w:color w:val="231F20"/>
          <w:w w:val="105"/>
        </w:rPr>
        <w:t>nacional,</w:t>
      </w:r>
      <w:r>
        <w:rPr>
          <w:color w:val="231F20"/>
          <w:spacing w:val="-16"/>
          <w:w w:val="105"/>
        </w:rPr>
        <w:t> </w:t>
      </w:r>
      <w:r>
        <w:rPr>
          <w:color w:val="231F20"/>
          <w:w w:val="105"/>
        </w:rPr>
        <w:t>sin</w:t>
      </w:r>
      <w:r>
        <w:rPr>
          <w:color w:val="231F20"/>
          <w:spacing w:val="-10"/>
          <w:w w:val="105"/>
        </w:rPr>
        <w:t> </w:t>
      </w:r>
      <w:r>
        <w:rPr>
          <w:color w:val="231F20"/>
          <w:w w:val="105"/>
        </w:rPr>
        <w:t>embargo,</w:t>
      </w:r>
      <w:r>
        <w:rPr>
          <w:color w:val="231F20"/>
          <w:spacing w:val="-16"/>
          <w:w w:val="105"/>
        </w:rPr>
        <w:t> </w:t>
      </w:r>
      <w:r>
        <w:rPr>
          <w:color w:val="231F20"/>
          <w:w w:val="105"/>
        </w:rPr>
        <w:t>traducirlos</w:t>
      </w:r>
      <w:r>
        <w:rPr>
          <w:color w:val="231F20"/>
          <w:spacing w:val="-10"/>
          <w:w w:val="105"/>
        </w:rPr>
        <w:t> </w:t>
      </w:r>
      <w:r>
        <w:rPr>
          <w:color w:val="231F20"/>
          <w:w w:val="105"/>
        </w:rPr>
        <w:t>en</w:t>
      </w:r>
      <w:r>
        <w:rPr>
          <w:color w:val="231F20"/>
          <w:spacing w:val="-10"/>
          <w:w w:val="105"/>
        </w:rPr>
        <w:t> </w:t>
      </w:r>
      <w:r>
        <w:rPr>
          <w:color w:val="231F20"/>
          <w:w w:val="105"/>
        </w:rPr>
        <w:t>acciones</w:t>
      </w:r>
      <w:r>
        <w:rPr>
          <w:color w:val="231F20"/>
          <w:spacing w:val="-10"/>
          <w:w w:val="105"/>
        </w:rPr>
        <w:t> </w:t>
      </w:r>
      <w:r>
        <w:rPr>
          <w:color w:val="231F20"/>
          <w:w w:val="105"/>
        </w:rPr>
        <w:t>con- cretas,</w:t>
      </w:r>
      <w:r>
        <w:rPr>
          <w:color w:val="231F20"/>
          <w:spacing w:val="-12"/>
          <w:w w:val="105"/>
        </w:rPr>
        <w:t> </w:t>
      </w:r>
      <w:r>
        <w:rPr>
          <w:color w:val="231F20"/>
          <w:w w:val="105"/>
        </w:rPr>
        <w:t>por</w:t>
      </w:r>
      <w:r>
        <w:rPr>
          <w:color w:val="231F20"/>
          <w:spacing w:val="-6"/>
          <w:w w:val="105"/>
        </w:rPr>
        <w:t> </w:t>
      </w:r>
      <w:r>
        <w:rPr>
          <w:color w:val="231F20"/>
          <w:w w:val="105"/>
        </w:rPr>
        <w:t>parte</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actores</w:t>
      </w:r>
      <w:r>
        <w:rPr>
          <w:color w:val="231F20"/>
          <w:spacing w:val="-6"/>
          <w:w w:val="105"/>
        </w:rPr>
        <w:t> </w:t>
      </w:r>
      <w:r>
        <w:rPr>
          <w:color w:val="231F20"/>
          <w:w w:val="105"/>
        </w:rPr>
        <w:t>relacionados</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migración,</w:t>
      </w:r>
      <w:r>
        <w:rPr>
          <w:color w:val="231F20"/>
          <w:spacing w:val="-12"/>
          <w:w w:val="105"/>
        </w:rPr>
        <w:t> </w:t>
      </w:r>
      <w:r>
        <w:rPr>
          <w:color w:val="231F20"/>
          <w:w w:val="105"/>
        </w:rPr>
        <w:t>depende</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4216" from="15pt,-71.68644pt" to="0pt,-71.68644pt" stroked="true" strokeweight=".25pt" strokecolor="#000000">
            <w10:wrap type="none"/>
          </v:line>
        </w:pict>
      </w:r>
      <w:r>
        <w:rPr/>
        <w:pict>
          <v:line style="position:absolute;mso-position-horizontal-relative:page;mso-position-vertical-relative:paragraph;z-index:4240" from="508.890015pt,-71.68644pt" to="523.890015pt,-71.68644pt" stroked="true" strokeweight=".25pt" strokecolor="#000000">
            <w10:wrap type="none"/>
          </v:line>
        </w:pict>
      </w:r>
      <w:r>
        <w:rPr>
          <w:color w:val="231F20"/>
          <w:w w:val="105"/>
        </w:rPr>
        <w:t>en buena medida de que las articulaciones se lleven a cabo con apego a</w:t>
      </w:r>
      <w:r>
        <w:rPr>
          <w:color w:val="231F20"/>
          <w:spacing w:val="-12"/>
          <w:w w:val="105"/>
        </w:rPr>
        <w:t> </w:t>
      </w:r>
      <w:r>
        <w:rPr>
          <w:color w:val="231F20"/>
          <w:w w:val="105"/>
        </w:rPr>
        <w:t>la</w:t>
      </w:r>
      <w:r>
        <w:rPr>
          <w:color w:val="231F20"/>
          <w:spacing w:val="-12"/>
          <w:w w:val="105"/>
        </w:rPr>
        <w:t> </w:t>
      </w:r>
      <w:r>
        <w:rPr>
          <w:color w:val="231F20"/>
          <w:w w:val="105"/>
        </w:rPr>
        <w:t>normatividad</w:t>
      </w:r>
      <w:r>
        <w:rPr>
          <w:color w:val="231F20"/>
          <w:spacing w:val="-12"/>
          <w:w w:val="105"/>
        </w:rPr>
        <w:t> </w:t>
      </w:r>
      <w:r>
        <w:rPr>
          <w:color w:val="231F20"/>
          <w:w w:val="105"/>
        </w:rPr>
        <w:t>vigente,</w:t>
      </w:r>
      <w:r>
        <w:rPr>
          <w:color w:val="231F20"/>
          <w:spacing w:val="-17"/>
          <w:w w:val="105"/>
        </w:rPr>
        <w:t> </w:t>
      </w:r>
      <w:r>
        <w:rPr>
          <w:color w:val="231F20"/>
          <w:w w:val="105"/>
        </w:rPr>
        <w:t>por</w:t>
      </w:r>
      <w:r>
        <w:rPr>
          <w:color w:val="231F20"/>
          <w:spacing w:val="-12"/>
          <w:w w:val="105"/>
        </w:rPr>
        <w:t> </w:t>
      </w:r>
      <w:r>
        <w:rPr>
          <w:color w:val="231F20"/>
          <w:w w:val="105"/>
        </w:rPr>
        <w:t>ejemplo,</w:t>
      </w:r>
      <w:r>
        <w:rPr>
          <w:color w:val="231F20"/>
          <w:spacing w:val="-17"/>
          <w:w w:val="105"/>
        </w:rPr>
        <w:t> </w:t>
      </w:r>
      <w:r>
        <w:rPr>
          <w:color w:val="231F20"/>
          <w:w w:val="105"/>
        </w:rPr>
        <w:t>la</w:t>
      </w:r>
      <w:r>
        <w:rPr>
          <w:color w:val="231F20"/>
          <w:spacing w:val="-12"/>
          <w:w w:val="105"/>
        </w:rPr>
        <w:t> </w:t>
      </w:r>
      <w:r>
        <w:rPr>
          <w:color w:val="231F20"/>
          <w:w w:val="105"/>
        </w:rPr>
        <w:t>Ley</w:t>
      </w:r>
      <w:r>
        <w:rPr>
          <w:color w:val="231F20"/>
          <w:spacing w:val="-12"/>
          <w:w w:val="105"/>
        </w:rPr>
        <w:t> </w:t>
      </w:r>
      <w:r>
        <w:rPr>
          <w:color w:val="231F20"/>
          <w:w w:val="105"/>
        </w:rPr>
        <w:t>de</w:t>
      </w:r>
      <w:r>
        <w:rPr>
          <w:color w:val="231F20"/>
          <w:spacing w:val="-12"/>
          <w:w w:val="105"/>
        </w:rPr>
        <w:t> </w:t>
      </w:r>
      <w:r>
        <w:rPr>
          <w:color w:val="231F20"/>
          <w:w w:val="105"/>
        </w:rPr>
        <w:t>Migración</w:t>
      </w:r>
      <w:r>
        <w:rPr>
          <w:color w:val="231F20"/>
          <w:spacing w:val="-12"/>
          <w:w w:val="105"/>
        </w:rPr>
        <w:t> </w:t>
      </w:r>
      <w:r>
        <w:rPr>
          <w:color w:val="231F20"/>
          <w:w w:val="105"/>
        </w:rPr>
        <w:t>y</w:t>
      </w:r>
      <w:r>
        <w:rPr>
          <w:color w:val="231F20"/>
          <w:spacing w:val="-12"/>
          <w:w w:val="105"/>
        </w:rPr>
        <w:t> </w:t>
      </w:r>
      <w:r>
        <w:rPr>
          <w:color w:val="231F20"/>
          <w:w w:val="105"/>
        </w:rPr>
        <w:t>demás</w:t>
      </w:r>
      <w:r>
        <w:rPr>
          <w:color w:val="231F20"/>
          <w:spacing w:val="-12"/>
          <w:w w:val="105"/>
        </w:rPr>
        <w:t> </w:t>
      </w:r>
      <w:r>
        <w:rPr>
          <w:color w:val="231F20"/>
          <w:w w:val="105"/>
        </w:rPr>
        <w:t>ins- trumentos</w:t>
      </w:r>
      <w:r>
        <w:rPr>
          <w:color w:val="231F20"/>
          <w:spacing w:val="-14"/>
          <w:w w:val="105"/>
        </w:rPr>
        <w:t> </w:t>
      </w:r>
      <w:r>
        <w:rPr>
          <w:color w:val="231F20"/>
          <w:w w:val="105"/>
        </w:rPr>
        <w:t>normativos</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política</w:t>
      </w:r>
      <w:r>
        <w:rPr>
          <w:color w:val="231F20"/>
          <w:spacing w:val="-14"/>
          <w:w w:val="105"/>
        </w:rPr>
        <w:t> </w:t>
      </w:r>
      <w:r>
        <w:rPr>
          <w:color w:val="231F20"/>
          <w:w w:val="105"/>
        </w:rPr>
        <w:t>pública</w:t>
      </w:r>
      <w:r>
        <w:rPr>
          <w:color w:val="231F20"/>
          <w:spacing w:val="-14"/>
          <w:w w:val="105"/>
        </w:rPr>
        <w:t> </w:t>
      </w:r>
      <w:r>
        <w:rPr>
          <w:color w:val="231F20"/>
          <w:w w:val="105"/>
        </w:rPr>
        <w:t>existentes.</w:t>
      </w:r>
    </w:p>
    <w:p>
      <w:pPr>
        <w:pStyle w:val="BodyText"/>
        <w:spacing w:line="261" w:lineRule="auto" w:before="1"/>
        <w:ind w:left="1723" w:right="1834" w:firstLine="567"/>
        <w:jc w:val="both"/>
      </w:pPr>
      <w:r>
        <w:rPr>
          <w:color w:val="231F20"/>
          <w:w w:val="105"/>
        </w:rPr>
        <w:t>Las políticas públicas como marco decisorio de la acción del go- bierno y sus respectivos instrumentos programáticos son claves para crear</w:t>
      </w:r>
      <w:r>
        <w:rPr>
          <w:color w:val="231F20"/>
          <w:spacing w:val="-32"/>
          <w:w w:val="105"/>
        </w:rPr>
        <w:t> </w:t>
      </w:r>
      <w:r>
        <w:rPr>
          <w:color w:val="231F20"/>
          <w:w w:val="105"/>
        </w:rPr>
        <w:t>mejores</w:t>
      </w:r>
      <w:r>
        <w:rPr>
          <w:color w:val="231F20"/>
          <w:spacing w:val="-32"/>
          <w:w w:val="105"/>
        </w:rPr>
        <w:t> </w:t>
      </w:r>
      <w:r>
        <w:rPr>
          <w:color w:val="231F20"/>
          <w:w w:val="105"/>
        </w:rPr>
        <w:t>condiciones</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w w:val="105"/>
        </w:rPr>
        <w:t>salvaguarda</w:t>
      </w:r>
      <w:r>
        <w:rPr>
          <w:color w:val="231F20"/>
          <w:spacing w:val="-32"/>
          <w:w w:val="105"/>
        </w:rPr>
        <w:t> </w:t>
      </w:r>
      <w:r>
        <w:rPr>
          <w:color w:val="231F20"/>
          <w:w w:val="105"/>
        </w:rPr>
        <w:t>y</w:t>
      </w:r>
      <w:r>
        <w:rPr>
          <w:color w:val="231F20"/>
          <w:spacing w:val="-32"/>
          <w:w w:val="105"/>
        </w:rPr>
        <w:t> </w:t>
      </w:r>
      <w:r>
        <w:rPr>
          <w:color w:val="231F20"/>
          <w:w w:val="105"/>
        </w:rPr>
        <w:t>protección</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derechos humanos,</w:t>
      </w:r>
      <w:r>
        <w:rPr>
          <w:color w:val="231F20"/>
          <w:spacing w:val="-18"/>
          <w:w w:val="105"/>
        </w:rPr>
        <w:t> </w:t>
      </w:r>
      <w:r>
        <w:rPr>
          <w:color w:val="231F20"/>
          <w:w w:val="105"/>
        </w:rPr>
        <w:t>no</w:t>
      </w:r>
      <w:r>
        <w:rPr>
          <w:color w:val="231F20"/>
          <w:spacing w:val="-14"/>
          <w:w w:val="105"/>
        </w:rPr>
        <w:t> </w:t>
      </w:r>
      <w:r>
        <w:rPr>
          <w:color w:val="231F20"/>
          <w:w w:val="105"/>
        </w:rPr>
        <w:t>sólo</w:t>
      </w:r>
      <w:r>
        <w:rPr>
          <w:color w:val="231F20"/>
          <w:spacing w:val="-14"/>
          <w:w w:val="105"/>
        </w:rPr>
        <w:t> </w:t>
      </w:r>
      <w:r>
        <w:rPr>
          <w:color w:val="231F20"/>
          <w:w w:val="105"/>
        </w:rPr>
        <w:t>para</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mexicanos,</w:t>
      </w:r>
      <w:r>
        <w:rPr>
          <w:color w:val="231F20"/>
          <w:spacing w:val="-18"/>
          <w:w w:val="105"/>
        </w:rPr>
        <w:t> </w:t>
      </w:r>
      <w:r>
        <w:rPr>
          <w:color w:val="231F20"/>
          <w:w w:val="105"/>
        </w:rPr>
        <w:t>sino</w:t>
      </w:r>
      <w:r>
        <w:rPr>
          <w:color w:val="231F20"/>
          <w:spacing w:val="-14"/>
          <w:w w:val="105"/>
        </w:rPr>
        <w:t> </w:t>
      </w:r>
      <w:r>
        <w:rPr>
          <w:color w:val="231F20"/>
          <w:w w:val="105"/>
        </w:rPr>
        <w:t>para</w:t>
      </w:r>
      <w:r>
        <w:rPr>
          <w:color w:val="231F20"/>
          <w:spacing w:val="-14"/>
          <w:w w:val="105"/>
        </w:rPr>
        <w:t> </w:t>
      </w:r>
      <w:r>
        <w:rPr>
          <w:color w:val="231F20"/>
          <w:w w:val="105"/>
        </w:rPr>
        <w:t>las</w:t>
      </w:r>
      <w:r>
        <w:rPr>
          <w:color w:val="231F20"/>
          <w:spacing w:val="-14"/>
          <w:w w:val="105"/>
        </w:rPr>
        <w:t> </w:t>
      </w:r>
      <w:r>
        <w:rPr>
          <w:color w:val="231F20"/>
          <w:w w:val="105"/>
        </w:rPr>
        <w:t>personas que</w:t>
      </w:r>
      <w:r>
        <w:rPr>
          <w:color w:val="231F20"/>
          <w:spacing w:val="-12"/>
          <w:w w:val="105"/>
        </w:rPr>
        <w:t> </w:t>
      </w:r>
      <w:r>
        <w:rPr>
          <w:color w:val="231F20"/>
          <w:w w:val="105"/>
        </w:rPr>
        <w:t>provienen</w:t>
      </w:r>
      <w:r>
        <w:rPr>
          <w:color w:val="231F20"/>
          <w:spacing w:val="-12"/>
          <w:w w:val="105"/>
        </w:rPr>
        <w:t> </w:t>
      </w:r>
      <w:r>
        <w:rPr>
          <w:color w:val="231F20"/>
          <w:w w:val="105"/>
        </w:rPr>
        <w:t>de</w:t>
      </w:r>
      <w:r>
        <w:rPr>
          <w:color w:val="231F20"/>
          <w:spacing w:val="-12"/>
          <w:w w:val="105"/>
        </w:rPr>
        <w:t> </w:t>
      </w:r>
      <w:r>
        <w:rPr>
          <w:color w:val="231F20"/>
          <w:w w:val="105"/>
        </w:rPr>
        <w:t>muchos</w:t>
      </w:r>
      <w:r>
        <w:rPr>
          <w:color w:val="231F20"/>
          <w:spacing w:val="-12"/>
          <w:w w:val="105"/>
        </w:rPr>
        <w:t> </w:t>
      </w:r>
      <w:r>
        <w:rPr>
          <w:color w:val="231F20"/>
          <w:w w:val="105"/>
        </w:rPr>
        <w:t>otros</w:t>
      </w:r>
      <w:r>
        <w:rPr>
          <w:color w:val="231F20"/>
          <w:spacing w:val="-12"/>
          <w:w w:val="105"/>
        </w:rPr>
        <w:t> </w:t>
      </w:r>
      <w:r>
        <w:rPr>
          <w:color w:val="231F20"/>
          <w:w w:val="105"/>
        </w:rPr>
        <w:t>países</w:t>
      </w:r>
      <w:r>
        <w:rPr>
          <w:color w:val="231F20"/>
          <w:spacing w:val="-12"/>
          <w:w w:val="105"/>
        </w:rPr>
        <w:t> </w:t>
      </w:r>
      <w:r>
        <w:rPr>
          <w:color w:val="231F20"/>
          <w:w w:val="105"/>
        </w:rPr>
        <w:t>ya</w:t>
      </w:r>
      <w:r>
        <w:rPr>
          <w:color w:val="231F20"/>
          <w:spacing w:val="-12"/>
          <w:w w:val="105"/>
        </w:rPr>
        <w:t> </w:t>
      </w:r>
      <w:r>
        <w:rPr>
          <w:color w:val="231F20"/>
          <w:w w:val="105"/>
        </w:rPr>
        <w:t>sea</w:t>
      </w:r>
      <w:r>
        <w:rPr>
          <w:color w:val="231F20"/>
          <w:spacing w:val="-12"/>
          <w:w w:val="105"/>
        </w:rPr>
        <w:t> </w:t>
      </w:r>
      <w:r>
        <w:rPr>
          <w:color w:val="231F20"/>
          <w:w w:val="105"/>
        </w:rPr>
        <w:t>en</w:t>
      </w:r>
      <w:r>
        <w:rPr>
          <w:color w:val="231F20"/>
          <w:spacing w:val="-12"/>
          <w:w w:val="105"/>
        </w:rPr>
        <w:t> </w:t>
      </w:r>
      <w:r>
        <w:rPr>
          <w:color w:val="231F20"/>
          <w:w w:val="105"/>
        </w:rPr>
        <w:t>calidad</w:t>
      </w:r>
      <w:r>
        <w:rPr>
          <w:color w:val="231F20"/>
          <w:spacing w:val="-12"/>
          <w:w w:val="105"/>
        </w:rPr>
        <w:t> </w:t>
      </w:r>
      <w:r>
        <w:rPr>
          <w:color w:val="231F20"/>
          <w:w w:val="105"/>
        </w:rPr>
        <w:t>de</w:t>
      </w:r>
      <w:r>
        <w:rPr>
          <w:color w:val="231F20"/>
          <w:spacing w:val="-12"/>
          <w:w w:val="105"/>
        </w:rPr>
        <w:t> </w:t>
      </w:r>
      <w:r>
        <w:rPr>
          <w:color w:val="231F20"/>
          <w:w w:val="105"/>
        </w:rPr>
        <w:t>migrantes</w:t>
      </w:r>
      <w:r>
        <w:rPr>
          <w:color w:val="231F20"/>
          <w:spacing w:val="-12"/>
          <w:w w:val="105"/>
        </w:rPr>
        <w:t> </w:t>
      </w:r>
      <w:r>
        <w:rPr>
          <w:color w:val="231F20"/>
          <w:w w:val="105"/>
        </w:rPr>
        <w:t>y transmigrantes.</w:t>
      </w:r>
      <w:r>
        <w:rPr>
          <w:color w:val="231F20"/>
          <w:spacing w:val="-16"/>
          <w:w w:val="105"/>
        </w:rPr>
        <w:t> </w:t>
      </w:r>
      <w:r>
        <w:rPr>
          <w:color w:val="231F20"/>
          <w:w w:val="105"/>
        </w:rPr>
        <w:t>La</w:t>
      </w:r>
      <w:r>
        <w:rPr>
          <w:color w:val="231F20"/>
          <w:spacing w:val="-11"/>
          <w:w w:val="105"/>
        </w:rPr>
        <w:t> </w:t>
      </w:r>
      <w:r>
        <w:rPr>
          <w:color w:val="231F20"/>
          <w:w w:val="105"/>
        </w:rPr>
        <w:t>gama</w:t>
      </w:r>
      <w:r>
        <w:rPr>
          <w:color w:val="231F20"/>
          <w:spacing w:val="-11"/>
          <w:w w:val="105"/>
        </w:rPr>
        <w:t> </w:t>
      </w:r>
      <w:r>
        <w:rPr>
          <w:color w:val="231F20"/>
          <w:w w:val="105"/>
        </w:rPr>
        <w:t>de</w:t>
      </w:r>
      <w:r>
        <w:rPr>
          <w:color w:val="231F20"/>
          <w:spacing w:val="-11"/>
          <w:w w:val="105"/>
        </w:rPr>
        <w:t> </w:t>
      </w:r>
      <w:r>
        <w:rPr>
          <w:color w:val="231F20"/>
          <w:w w:val="105"/>
        </w:rPr>
        <w:t>programas</w:t>
      </w:r>
      <w:r>
        <w:rPr>
          <w:color w:val="231F20"/>
          <w:spacing w:val="-11"/>
          <w:w w:val="105"/>
        </w:rPr>
        <w:t> </w:t>
      </w:r>
      <w:r>
        <w:rPr>
          <w:color w:val="231F20"/>
          <w:w w:val="105"/>
        </w:rPr>
        <w:t>federales</w:t>
      </w:r>
      <w:r>
        <w:rPr>
          <w:color w:val="231F20"/>
          <w:spacing w:val="-11"/>
          <w:w w:val="105"/>
        </w:rPr>
        <w:t> </w:t>
      </w:r>
      <w:r>
        <w:rPr>
          <w:color w:val="231F20"/>
          <w:w w:val="105"/>
        </w:rPr>
        <w:t>son</w:t>
      </w:r>
      <w:r>
        <w:rPr>
          <w:color w:val="231F20"/>
          <w:spacing w:val="-11"/>
          <w:w w:val="105"/>
        </w:rPr>
        <w:t> </w:t>
      </w:r>
      <w:r>
        <w:rPr>
          <w:color w:val="231F20"/>
          <w:w w:val="105"/>
        </w:rPr>
        <w:t>amplios</w:t>
      </w:r>
      <w:r>
        <w:rPr>
          <w:color w:val="231F20"/>
          <w:spacing w:val="-11"/>
          <w:w w:val="105"/>
        </w:rPr>
        <w:t> </w:t>
      </w:r>
      <w:r>
        <w:rPr>
          <w:color w:val="231F20"/>
          <w:w w:val="105"/>
        </w:rPr>
        <w:t>y</w:t>
      </w:r>
      <w:r>
        <w:rPr>
          <w:color w:val="231F20"/>
          <w:spacing w:val="-11"/>
          <w:w w:val="105"/>
        </w:rPr>
        <w:t> </w:t>
      </w:r>
      <w:r>
        <w:rPr>
          <w:color w:val="231F20"/>
          <w:w w:val="105"/>
        </w:rPr>
        <w:t>pueden tener</w:t>
      </w:r>
      <w:r>
        <w:rPr>
          <w:color w:val="231F20"/>
          <w:spacing w:val="-7"/>
          <w:w w:val="105"/>
        </w:rPr>
        <w:t> </w:t>
      </w:r>
      <w:r>
        <w:rPr>
          <w:color w:val="231F20"/>
          <w:w w:val="105"/>
        </w:rPr>
        <w:t>mayor</w:t>
      </w:r>
      <w:r>
        <w:rPr>
          <w:color w:val="231F20"/>
          <w:spacing w:val="-7"/>
          <w:w w:val="105"/>
        </w:rPr>
        <w:t> </w:t>
      </w:r>
      <w:r>
        <w:rPr>
          <w:color w:val="231F20"/>
          <w:w w:val="105"/>
        </w:rPr>
        <w:t>efectividad</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medida</w:t>
      </w:r>
      <w:r>
        <w:rPr>
          <w:color w:val="231F20"/>
          <w:spacing w:val="-7"/>
          <w:w w:val="105"/>
        </w:rPr>
        <w:t> </w:t>
      </w:r>
      <w:r>
        <w:rPr>
          <w:color w:val="231F20"/>
          <w:w w:val="105"/>
        </w:rPr>
        <w:t>que</w:t>
      </w:r>
      <w:r>
        <w:rPr>
          <w:color w:val="231F20"/>
          <w:spacing w:val="-7"/>
          <w:w w:val="105"/>
        </w:rPr>
        <w:t> </w:t>
      </w:r>
      <w:r>
        <w:rPr>
          <w:color w:val="231F20"/>
          <w:w w:val="105"/>
        </w:rPr>
        <w:t>su</w:t>
      </w:r>
      <w:r>
        <w:rPr>
          <w:color w:val="231F20"/>
          <w:spacing w:val="-7"/>
          <w:w w:val="105"/>
        </w:rPr>
        <w:t> </w:t>
      </w:r>
      <w:r>
        <w:rPr>
          <w:color w:val="231F20"/>
          <w:w w:val="105"/>
        </w:rPr>
        <w:t>contraparte</w:t>
      </w:r>
      <w:r>
        <w:rPr>
          <w:color w:val="231F20"/>
          <w:spacing w:val="-7"/>
          <w:w w:val="105"/>
        </w:rPr>
        <w:t> </w:t>
      </w:r>
      <w:r>
        <w:rPr>
          <w:color w:val="231F20"/>
          <w:w w:val="105"/>
        </w:rPr>
        <w:t>ciudadana,</w:t>
      </w:r>
      <w:r>
        <w:rPr>
          <w:color w:val="231F20"/>
          <w:spacing w:val="-12"/>
          <w:w w:val="105"/>
        </w:rPr>
        <w:t> </w:t>
      </w:r>
      <w:r>
        <w:rPr>
          <w:color w:val="231F20"/>
          <w:w w:val="105"/>
        </w:rPr>
        <w:t>los migrantes,</w:t>
      </w:r>
      <w:r>
        <w:rPr>
          <w:color w:val="231F20"/>
          <w:spacing w:val="-24"/>
          <w:w w:val="105"/>
        </w:rPr>
        <w:t> </w:t>
      </w:r>
      <w:r>
        <w:rPr>
          <w:color w:val="231F20"/>
          <w:w w:val="105"/>
        </w:rPr>
        <w:t>cuente</w:t>
      </w:r>
      <w:r>
        <w:rPr>
          <w:color w:val="231F20"/>
          <w:spacing w:val="-18"/>
          <w:w w:val="105"/>
        </w:rPr>
        <w:t> </w:t>
      </w:r>
      <w:r>
        <w:rPr>
          <w:color w:val="231F20"/>
          <w:w w:val="105"/>
        </w:rPr>
        <w:t>con</w:t>
      </w:r>
      <w:r>
        <w:rPr>
          <w:color w:val="231F20"/>
          <w:spacing w:val="-18"/>
          <w:w w:val="105"/>
        </w:rPr>
        <w:t> </w:t>
      </w:r>
      <w:r>
        <w:rPr>
          <w:color w:val="231F20"/>
          <w:w w:val="105"/>
        </w:rPr>
        <w:t>mayores</w:t>
      </w:r>
      <w:r>
        <w:rPr>
          <w:color w:val="231F20"/>
          <w:spacing w:val="-18"/>
          <w:w w:val="105"/>
        </w:rPr>
        <w:t> </w:t>
      </w:r>
      <w:r>
        <w:rPr>
          <w:color w:val="231F20"/>
          <w:w w:val="105"/>
        </w:rPr>
        <w:t>niveles</w:t>
      </w:r>
      <w:r>
        <w:rPr>
          <w:color w:val="231F20"/>
          <w:spacing w:val="-18"/>
          <w:w w:val="105"/>
        </w:rPr>
        <w:t> </w:t>
      </w:r>
      <w:r>
        <w:rPr>
          <w:color w:val="231F20"/>
          <w:w w:val="105"/>
        </w:rPr>
        <w:t>de</w:t>
      </w:r>
      <w:r>
        <w:rPr>
          <w:color w:val="231F20"/>
          <w:spacing w:val="-18"/>
          <w:w w:val="105"/>
        </w:rPr>
        <w:t> </w:t>
      </w:r>
      <w:r>
        <w:rPr>
          <w:color w:val="231F20"/>
          <w:w w:val="105"/>
        </w:rPr>
        <w:t>educación</w:t>
      </w:r>
      <w:r>
        <w:rPr>
          <w:color w:val="231F20"/>
          <w:spacing w:val="-18"/>
          <w:w w:val="105"/>
        </w:rPr>
        <w:t> </w:t>
      </w:r>
      <w:r>
        <w:rPr>
          <w:color w:val="231F20"/>
          <w:w w:val="105"/>
        </w:rPr>
        <w:t>y</w:t>
      </w:r>
      <w:r>
        <w:rPr>
          <w:color w:val="231F20"/>
          <w:spacing w:val="-18"/>
          <w:w w:val="105"/>
        </w:rPr>
        <w:t> </w:t>
      </w:r>
      <w:r>
        <w:rPr>
          <w:color w:val="231F20"/>
          <w:w w:val="105"/>
        </w:rPr>
        <w:t>participen</w:t>
      </w:r>
      <w:r>
        <w:rPr>
          <w:color w:val="231F20"/>
          <w:spacing w:val="-18"/>
          <w:w w:val="105"/>
        </w:rPr>
        <w:t> </w:t>
      </w:r>
      <w:r>
        <w:rPr>
          <w:color w:val="231F20"/>
          <w:w w:val="105"/>
        </w:rPr>
        <w:t>activa- mente</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acción</w:t>
      </w:r>
      <w:r>
        <w:rPr>
          <w:color w:val="231F20"/>
          <w:spacing w:val="-19"/>
          <w:w w:val="105"/>
        </w:rPr>
        <w:t> </w:t>
      </w:r>
      <w:r>
        <w:rPr>
          <w:color w:val="231F20"/>
          <w:w w:val="105"/>
        </w:rPr>
        <w:t>colectiva.</w:t>
      </w:r>
    </w:p>
    <w:p>
      <w:pPr>
        <w:pStyle w:val="BodyText"/>
        <w:spacing w:line="261" w:lineRule="auto" w:before="1"/>
        <w:ind w:left="1723" w:right="1834" w:firstLine="567"/>
        <w:jc w:val="both"/>
      </w:pPr>
      <w:r>
        <w:rPr>
          <w:color w:val="231F20"/>
          <w:w w:val="105"/>
        </w:rPr>
        <w:t>Si bien el enfoque de atención integral de las migraciones es ne- cesario para la aplicación de investigaciones e intervenciones sobre el fenómeno migratorio, ello también demanda amplios esfuerzos en ma- teria</w:t>
      </w:r>
      <w:r>
        <w:rPr>
          <w:color w:val="231F20"/>
          <w:spacing w:val="-8"/>
          <w:w w:val="105"/>
        </w:rPr>
        <w:t> </w:t>
      </w:r>
      <w:r>
        <w:rPr>
          <w:color w:val="231F20"/>
          <w:w w:val="105"/>
        </w:rPr>
        <w:t>de</w:t>
      </w:r>
      <w:r>
        <w:rPr>
          <w:color w:val="231F20"/>
          <w:spacing w:val="-8"/>
          <w:w w:val="105"/>
        </w:rPr>
        <w:t> </w:t>
      </w:r>
      <w:r>
        <w:rPr>
          <w:color w:val="231F20"/>
          <w:w w:val="105"/>
        </w:rPr>
        <w:t>coordinación</w:t>
      </w:r>
      <w:r>
        <w:rPr>
          <w:color w:val="231F20"/>
          <w:spacing w:val="-8"/>
          <w:w w:val="105"/>
        </w:rPr>
        <w:t> </w:t>
      </w:r>
      <w:r>
        <w:rPr>
          <w:color w:val="231F20"/>
          <w:w w:val="105"/>
        </w:rPr>
        <w:t>entre</w:t>
      </w:r>
      <w:r>
        <w:rPr>
          <w:color w:val="231F20"/>
          <w:spacing w:val="-8"/>
          <w:w w:val="105"/>
        </w:rPr>
        <w:t> </w:t>
      </w:r>
      <w:r>
        <w:rPr>
          <w:color w:val="231F20"/>
          <w:w w:val="105"/>
        </w:rPr>
        <w:t>los</w:t>
      </w:r>
      <w:r>
        <w:rPr>
          <w:color w:val="231F20"/>
          <w:spacing w:val="-8"/>
          <w:w w:val="105"/>
        </w:rPr>
        <w:t> </w:t>
      </w:r>
      <w:r>
        <w:rPr>
          <w:color w:val="231F20"/>
          <w:w w:val="105"/>
        </w:rPr>
        <w:t>sectores</w:t>
      </w:r>
      <w:r>
        <w:rPr>
          <w:color w:val="231F20"/>
          <w:spacing w:val="-8"/>
          <w:w w:val="105"/>
        </w:rPr>
        <w:t> </w:t>
      </w:r>
      <w:r>
        <w:rPr>
          <w:color w:val="231F20"/>
          <w:w w:val="105"/>
        </w:rPr>
        <w:t>de</w:t>
      </w:r>
      <w:r>
        <w:rPr>
          <w:color w:val="231F20"/>
          <w:spacing w:val="-8"/>
          <w:w w:val="105"/>
        </w:rPr>
        <w:t> </w:t>
      </w:r>
      <w:r>
        <w:rPr>
          <w:color w:val="231F20"/>
          <w:w w:val="105"/>
        </w:rPr>
        <w:t>atención</w:t>
      </w:r>
      <w:r>
        <w:rPr>
          <w:color w:val="231F20"/>
          <w:spacing w:val="-8"/>
          <w:w w:val="105"/>
        </w:rPr>
        <w:t> </w:t>
      </w:r>
      <w:r>
        <w:rPr>
          <w:color w:val="231F20"/>
          <w:w w:val="105"/>
        </w:rPr>
        <w:t>a</w:t>
      </w:r>
      <w:r>
        <w:rPr>
          <w:color w:val="231F20"/>
          <w:spacing w:val="-8"/>
          <w:w w:val="105"/>
        </w:rPr>
        <w:t> </w:t>
      </w:r>
      <w:r>
        <w:rPr>
          <w:color w:val="231F20"/>
          <w:w w:val="105"/>
        </w:rPr>
        <w:t>migrantes,</w:t>
      </w:r>
      <w:r>
        <w:rPr>
          <w:color w:val="231F20"/>
          <w:spacing w:val="-14"/>
          <w:w w:val="105"/>
        </w:rPr>
        <w:t> </w:t>
      </w:r>
      <w:r>
        <w:rPr>
          <w:color w:val="231F20"/>
          <w:w w:val="105"/>
        </w:rPr>
        <w:t>lo</w:t>
      </w:r>
      <w:r>
        <w:rPr>
          <w:color w:val="231F20"/>
          <w:spacing w:val="-8"/>
          <w:w w:val="105"/>
        </w:rPr>
        <w:t> </w:t>
      </w:r>
      <w:r>
        <w:rPr>
          <w:color w:val="231F20"/>
          <w:w w:val="105"/>
        </w:rPr>
        <w:t>cual favorecerá</w:t>
      </w:r>
      <w:r>
        <w:rPr>
          <w:color w:val="231F20"/>
          <w:spacing w:val="-12"/>
          <w:w w:val="105"/>
        </w:rPr>
        <w:t> </w:t>
      </w:r>
      <w:r>
        <w:rPr>
          <w:color w:val="231F20"/>
          <w:w w:val="105"/>
        </w:rPr>
        <w:t>la</w:t>
      </w:r>
      <w:r>
        <w:rPr>
          <w:color w:val="231F20"/>
          <w:spacing w:val="-12"/>
          <w:w w:val="105"/>
        </w:rPr>
        <w:t> </w:t>
      </w:r>
      <w:r>
        <w:rPr>
          <w:color w:val="231F20"/>
          <w:w w:val="105"/>
        </w:rPr>
        <w:t>protección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derechos</w:t>
      </w:r>
      <w:r>
        <w:rPr>
          <w:color w:val="231F20"/>
          <w:spacing w:val="-12"/>
          <w:w w:val="105"/>
        </w:rPr>
        <w:t> </w:t>
      </w:r>
      <w:r>
        <w:rPr>
          <w:color w:val="231F20"/>
          <w:w w:val="105"/>
        </w:rPr>
        <w:t>humanos</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acrecentamiento de</w:t>
      </w:r>
      <w:r>
        <w:rPr>
          <w:color w:val="231F20"/>
          <w:spacing w:val="-15"/>
          <w:w w:val="105"/>
        </w:rPr>
        <w:t> </w:t>
      </w:r>
      <w:r>
        <w:rPr>
          <w:color w:val="231F20"/>
          <w:w w:val="105"/>
        </w:rPr>
        <w:t>las</w:t>
      </w:r>
      <w:r>
        <w:rPr>
          <w:color w:val="231F20"/>
          <w:spacing w:val="-15"/>
          <w:w w:val="105"/>
        </w:rPr>
        <w:t> </w:t>
      </w:r>
      <w:r>
        <w:rPr>
          <w:color w:val="231F20"/>
          <w:w w:val="105"/>
        </w:rPr>
        <w:t>posibilidades</w:t>
      </w:r>
      <w:r>
        <w:rPr>
          <w:color w:val="231F20"/>
          <w:spacing w:val="-15"/>
          <w:w w:val="105"/>
        </w:rPr>
        <w:t> </w:t>
      </w:r>
      <w:r>
        <w:rPr>
          <w:color w:val="231F20"/>
          <w:w w:val="105"/>
        </w:rPr>
        <w:t>de</w:t>
      </w:r>
      <w:r>
        <w:rPr>
          <w:color w:val="231F20"/>
          <w:spacing w:val="-15"/>
          <w:w w:val="105"/>
        </w:rPr>
        <w:t> </w:t>
      </w:r>
      <w:r>
        <w:rPr>
          <w:color w:val="231F20"/>
          <w:w w:val="105"/>
        </w:rPr>
        <w:t>progreso</w:t>
      </w:r>
      <w:r>
        <w:rPr>
          <w:color w:val="231F20"/>
          <w:spacing w:val="-15"/>
          <w:w w:val="105"/>
        </w:rPr>
        <w:t> </w:t>
      </w:r>
      <w:r>
        <w:rPr>
          <w:color w:val="231F20"/>
          <w:w w:val="105"/>
        </w:rPr>
        <w:t>para</w:t>
      </w:r>
      <w:r>
        <w:rPr>
          <w:color w:val="231F20"/>
          <w:spacing w:val="-15"/>
          <w:w w:val="105"/>
        </w:rPr>
        <w:t> </w:t>
      </w:r>
      <w:r>
        <w:rPr>
          <w:color w:val="231F20"/>
          <w:w w:val="105"/>
        </w:rPr>
        <w:t>los</w:t>
      </w:r>
      <w:r>
        <w:rPr>
          <w:color w:val="231F20"/>
          <w:spacing w:val="-15"/>
          <w:w w:val="105"/>
        </w:rPr>
        <w:t> </w:t>
      </w:r>
      <w:r>
        <w:rPr>
          <w:color w:val="231F20"/>
          <w:w w:val="105"/>
        </w:rPr>
        <w:t>migrantes,</w:t>
      </w:r>
      <w:r>
        <w:rPr>
          <w:color w:val="231F20"/>
          <w:spacing w:val="-21"/>
          <w:w w:val="105"/>
        </w:rPr>
        <w:t> </w:t>
      </w:r>
      <w:r>
        <w:rPr>
          <w:color w:val="231F20"/>
          <w:w w:val="105"/>
        </w:rPr>
        <w:t>independientemen- te del lugar donde se encuentren, ya que sus capacidades podrán ser aprovechadas</w:t>
      </w:r>
      <w:r>
        <w:rPr>
          <w:color w:val="231F20"/>
          <w:spacing w:val="-16"/>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sociedades</w:t>
      </w:r>
      <w:r>
        <w:rPr>
          <w:color w:val="231F20"/>
          <w:spacing w:val="-16"/>
          <w:w w:val="105"/>
        </w:rPr>
        <w:t> </w:t>
      </w:r>
      <w:r>
        <w:rPr>
          <w:color w:val="231F20"/>
          <w:w w:val="105"/>
        </w:rPr>
        <w:t>de</w:t>
      </w:r>
      <w:r>
        <w:rPr>
          <w:color w:val="231F20"/>
          <w:spacing w:val="-16"/>
          <w:w w:val="105"/>
        </w:rPr>
        <w:t> </w:t>
      </w:r>
      <w:r>
        <w:rPr>
          <w:color w:val="231F20"/>
          <w:w w:val="105"/>
        </w:rPr>
        <w:t>origen</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destino.</w:t>
      </w:r>
    </w:p>
    <w:p>
      <w:pPr>
        <w:pStyle w:val="BodyText"/>
        <w:spacing w:line="261" w:lineRule="auto" w:before="1"/>
        <w:ind w:left="1723" w:right="1834" w:firstLine="567"/>
        <w:jc w:val="both"/>
      </w:pPr>
      <w:r>
        <w:rPr>
          <w:color w:val="231F20"/>
          <w:w w:val="105"/>
        </w:rPr>
        <w:t>La educación y la participación social es un binomio que fortale- ce la ciudadanía, promueve el ejercicio de derechos y brinda mejores oportunidades</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para</w:t>
      </w:r>
      <w:r>
        <w:rPr>
          <w:color w:val="231F20"/>
          <w:spacing w:val="-5"/>
          <w:w w:val="105"/>
        </w:rPr>
        <w:t> </w:t>
      </w:r>
      <w:r>
        <w:rPr>
          <w:color w:val="231F20"/>
          <w:w w:val="105"/>
        </w:rPr>
        <w:t>los</w:t>
      </w:r>
      <w:r>
        <w:rPr>
          <w:color w:val="231F20"/>
          <w:spacing w:val="-5"/>
          <w:w w:val="105"/>
        </w:rPr>
        <w:t> </w:t>
      </w:r>
      <w:r>
        <w:rPr>
          <w:color w:val="231F20"/>
          <w:w w:val="105"/>
        </w:rPr>
        <w:t>migrantes</w:t>
      </w:r>
      <w:r>
        <w:rPr>
          <w:color w:val="231F20"/>
          <w:spacing w:val="-5"/>
          <w:w w:val="105"/>
        </w:rPr>
        <w:t> </w:t>
      </w:r>
      <w:r>
        <w:rPr>
          <w:color w:val="231F20"/>
          <w:w w:val="105"/>
        </w:rPr>
        <w:t>en</w:t>
      </w:r>
      <w:r>
        <w:rPr>
          <w:color w:val="231F20"/>
          <w:spacing w:val="-5"/>
          <w:w w:val="105"/>
        </w:rPr>
        <w:t> </w:t>
      </w:r>
      <w:r>
        <w:rPr>
          <w:color w:val="231F20"/>
          <w:w w:val="105"/>
        </w:rPr>
        <w:t>lo</w:t>
      </w:r>
      <w:r>
        <w:rPr>
          <w:color w:val="231F20"/>
          <w:spacing w:val="-5"/>
          <w:w w:val="105"/>
        </w:rPr>
        <w:t> </w:t>
      </w:r>
      <w:r>
        <w:rPr>
          <w:color w:val="231F20"/>
          <w:w w:val="105"/>
        </w:rPr>
        <w:t>individual,</w:t>
      </w:r>
      <w:r>
        <w:rPr>
          <w:color w:val="231F20"/>
          <w:spacing w:val="-11"/>
          <w:w w:val="105"/>
        </w:rPr>
        <w:t> </w:t>
      </w:r>
      <w:r>
        <w:rPr>
          <w:color w:val="231F20"/>
          <w:w w:val="105"/>
        </w:rPr>
        <w:t>familiar y</w:t>
      </w:r>
      <w:r>
        <w:rPr>
          <w:color w:val="231F20"/>
          <w:spacing w:val="-17"/>
          <w:w w:val="105"/>
        </w:rPr>
        <w:t> </w:t>
      </w:r>
      <w:r>
        <w:rPr>
          <w:color w:val="231F20"/>
          <w:w w:val="105"/>
        </w:rPr>
        <w:t>comunitario,</w:t>
      </w:r>
      <w:r>
        <w:rPr>
          <w:color w:val="231F20"/>
          <w:spacing w:val="-23"/>
          <w:w w:val="105"/>
        </w:rPr>
        <w:t> </w:t>
      </w:r>
      <w:r>
        <w:rPr>
          <w:color w:val="231F20"/>
          <w:w w:val="105"/>
        </w:rPr>
        <w:t>de</w:t>
      </w:r>
      <w:r>
        <w:rPr>
          <w:color w:val="231F20"/>
          <w:spacing w:val="-17"/>
          <w:w w:val="105"/>
        </w:rPr>
        <w:t> </w:t>
      </w:r>
      <w:r>
        <w:rPr>
          <w:color w:val="231F20"/>
          <w:w w:val="105"/>
        </w:rPr>
        <w:t>ahí</w:t>
      </w:r>
      <w:r>
        <w:rPr>
          <w:color w:val="231F20"/>
          <w:spacing w:val="-17"/>
          <w:w w:val="105"/>
        </w:rPr>
        <w:t> </w:t>
      </w:r>
      <w:r>
        <w:rPr>
          <w:color w:val="231F20"/>
          <w:w w:val="105"/>
        </w:rPr>
        <w:t>la</w:t>
      </w:r>
      <w:r>
        <w:rPr>
          <w:color w:val="231F20"/>
          <w:spacing w:val="-17"/>
          <w:w w:val="105"/>
        </w:rPr>
        <w:t> </w:t>
      </w:r>
      <w:r>
        <w:rPr>
          <w:color w:val="231F20"/>
          <w:w w:val="105"/>
        </w:rPr>
        <w:t>necesidad</w:t>
      </w:r>
      <w:r>
        <w:rPr>
          <w:color w:val="231F20"/>
          <w:spacing w:val="-17"/>
          <w:w w:val="105"/>
        </w:rPr>
        <w:t> </w:t>
      </w:r>
      <w:r>
        <w:rPr>
          <w:color w:val="231F20"/>
          <w:w w:val="105"/>
        </w:rPr>
        <w:t>de</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implementación</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leyes se</w:t>
      </w:r>
      <w:r>
        <w:rPr>
          <w:color w:val="231F20"/>
          <w:spacing w:val="-21"/>
          <w:w w:val="105"/>
        </w:rPr>
        <w:t> </w:t>
      </w:r>
      <w:r>
        <w:rPr>
          <w:color w:val="231F20"/>
          <w:w w:val="105"/>
        </w:rPr>
        <w:t>acompañe</w:t>
      </w:r>
      <w:r>
        <w:rPr>
          <w:color w:val="231F20"/>
          <w:spacing w:val="-21"/>
          <w:w w:val="105"/>
        </w:rPr>
        <w:t> </w:t>
      </w:r>
      <w:r>
        <w:rPr>
          <w:color w:val="231F20"/>
          <w:w w:val="105"/>
        </w:rPr>
        <w:t>de</w:t>
      </w:r>
      <w:r>
        <w:rPr>
          <w:color w:val="231F20"/>
          <w:spacing w:val="-21"/>
          <w:w w:val="105"/>
        </w:rPr>
        <w:t> </w:t>
      </w:r>
      <w:r>
        <w:rPr>
          <w:color w:val="231F20"/>
          <w:w w:val="105"/>
        </w:rPr>
        <w:t>una</w:t>
      </w:r>
      <w:r>
        <w:rPr>
          <w:color w:val="231F20"/>
          <w:spacing w:val="-21"/>
          <w:w w:val="105"/>
        </w:rPr>
        <w:t> </w:t>
      </w:r>
      <w:r>
        <w:rPr>
          <w:color w:val="231F20"/>
          <w:w w:val="105"/>
        </w:rPr>
        <w:t>sociedad</w:t>
      </w:r>
      <w:r>
        <w:rPr>
          <w:color w:val="231F20"/>
          <w:spacing w:val="-21"/>
          <w:w w:val="105"/>
        </w:rPr>
        <w:t> </w:t>
      </w:r>
      <w:r>
        <w:rPr>
          <w:color w:val="231F20"/>
          <w:w w:val="105"/>
        </w:rPr>
        <w:t>educada</w:t>
      </w:r>
      <w:r>
        <w:rPr>
          <w:color w:val="231F20"/>
          <w:spacing w:val="-21"/>
          <w:w w:val="105"/>
        </w:rPr>
        <w:t> </w:t>
      </w:r>
      <w:r>
        <w:rPr>
          <w:color w:val="231F20"/>
          <w:w w:val="105"/>
        </w:rPr>
        <w:t>y</w:t>
      </w:r>
      <w:r>
        <w:rPr>
          <w:color w:val="231F20"/>
          <w:spacing w:val="-21"/>
          <w:w w:val="105"/>
        </w:rPr>
        <w:t> </w:t>
      </w:r>
      <w:r>
        <w:rPr>
          <w:color w:val="231F20"/>
          <w:w w:val="105"/>
        </w:rPr>
        <w:t>participativa,</w:t>
      </w:r>
      <w:r>
        <w:rPr>
          <w:color w:val="231F20"/>
          <w:spacing w:val="-26"/>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de</w:t>
      </w:r>
      <w:r>
        <w:rPr>
          <w:color w:val="231F20"/>
          <w:spacing w:val="-21"/>
          <w:w w:val="105"/>
        </w:rPr>
        <w:t> </w:t>
      </w:r>
      <w:r>
        <w:rPr>
          <w:color w:val="231F20"/>
          <w:w w:val="105"/>
        </w:rPr>
        <w:t>insti- tuciones</w:t>
      </w:r>
      <w:r>
        <w:rPr>
          <w:color w:val="231F20"/>
          <w:spacing w:val="-12"/>
          <w:w w:val="105"/>
        </w:rPr>
        <w:t> </w:t>
      </w:r>
      <w:r>
        <w:rPr>
          <w:color w:val="231F20"/>
          <w:w w:val="105"/>
        </w:rPr>
        <w:t>que</w:t>
      </w:r>
      <w:r>
        <w:rPr>
          <w:color w:val="231F20"/>
          <w:spacing w:val="-12"/>
          <w:w w:val="105"/>
        </w:rPr>
        <w:t> </w:t>
      </w:r>
      <w:r>
        <w:rPr>
          <w:color w:val="231F20"/>
          <w:w w:val="105"/>
        </w:rPr>
        <w:t>favorezcan</w:t>
      </w:r>
      <w:r>
        <w:rPr>
          <w:color w:val="231F20"/>
          <w:spacing w:val="-12"/>
          <w:w w:val="105"/>
        </w:rPr>
        <w:t> </w:t>
      </w:r>
      <w:r>
        <w:rPr>
          <w:color w:val="231F20"/>
          <w:w w:val="105"/>
        </w:rPr>
        <w:t>la</w:t>
      </w:r>
      <w:r>
        <w:rPr>
          <w:color w:val="231F20"/>
          <w:spacing w:val="-12"/>
          <w:w w:val="105"/>
        </w:rPr>
        <w:t> </w:t>
      </w:r>
      <w:r>
        <w:rPr>
          <w:color w:val="231F20"/>
          <w:w w:val="105"/>
        </w:rPr>
        <w:t>integración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población</w:t>
      </w:r>
      <w:r>
        <w:rPr>
          <w:color w:val="231F20"/>
          <w:spacing w:val="-12"/>
          <w:w w:val="105"/>
        </w:rPr>
        <w:t> </w:t>
      </w:r>
      <w:r>
        <w:rPr>
          <w:color w:val="231F20"/>
          <w:w w:val="105"/>
        </w:rPr>
        <w:t>migrante.</w:t>
      </w:r>
    </w:p>
    <w:p>
      <w:pPr>
        <w:pStyle w:val="BodyText"/>
        <w:rPr>
          <w:sz w:val="20"/>
        </w:rPr>
      </w:pPr>
    </w:p>
    <w:p>
      <w:pPr>
        <w:pStyle w:val="BodyText"/>
        <w:spacing w:before="9"/>
        <w:rPr>
          <w:sz w:val="20"/>
        </w:rPr>
      </w:pPr>
    </w:p>
    <w:p>
      <w:pPr>
        <w:pStyle w:val="Heading3"/>
        <w:ind w:left="1723"/>
      </w:pPr>
      <w:r>
        <w:rPr>
          <w:color w:val="231F20"/>
        </w:rPr>
        <w:t>Bibliografía</w:t>
      </w:r>
    </w:p>
    <w:p>
      <w:pPr>
        <w:pStyle w:val="BodyText"/>
        <w:rPr>
          <w:rFonts w:ascii="Arial"/>
          <w:b/>
          <w:sz w:val="22"/>
        </w:rPr>
      </w:pPr>
    </w:p>
    <w:p>
      <w:pPr>
        <w:spacing w:line="261" w:lineRule="auto" w:before="163"/>
        <w:ind w:left="2460" w:right="1834" w:hanging="737"/>
        <w:jc w:val="both"/>
        <w:rPr>
          <w:sz w:val="21"/>
        </w:rPr>
      </w:pPr>
      <w:r>
        <w:rPr>
          <w:color w:val="231F20"/>
          <w:w w:val="105"/>
          <w:sz w:val="21"/>
        </w:rPr>
        <w:t>Aguirre,</w:t>
      </w:r>
      <w:r>
        <w:rPr>
          <w:color w:val="231F20"/>
          <w:spacing w:val="-36"/>
          <w:w w:val="105"/>
          <w:sz w:val="21"/>
        </w:rPr>
        <w:t> </w:t>
      </w:r>
      <w:r>
        <w:rPr>
          <w:color w:val="231F20"/>
          <w:w w:val="105"/>
          <w:sz w:val="21"/>
        </w:rPr>
        <w:t>Azucena</w:t>
      </w:r>
      <w:r>
        <w:rPr>
          <w:color w:val="231F20"/>
          <w:spacing w:val="-30"/>
          <w:w w:val="105"/>
          <w:sz w:val="21"/>
        </w:rPr>
        <w:t> </w:t>
      </w:r>
      <w:r>
        <w:rPr>
          <w:color w:val="231F20"/>
          <w:w w:val="105"/>
          <w:sz w:val="21"/>
        </w:rPr>
        <w:t>y</w:t>
      </w:r>
      <w:r>
        <w:rPr>
          <w:color w:val="231F20"/>
          <w:spacing w:val="-32"/>
          <w:w w:val="105"/>
          <w:sz w:val="21"/>
        </w:rPr>
        <w:t> </w:t>
      </w:r>
      <w:r>
        <w:rPr>
          <w:color w:val="231F20"/>
          <w:w w:val="105"/>
          <w:sz w:val="21"/>
        </w:rPr>
        <w:t>Valdés,</w:t>
      </w:r>
      <w:r>
        <w:rPr>
          <w:color w:val="231F20"/>
          <w:spacing w:val="-33"/>
          <w:w w:val="105"/>
          <w:sz w:val="21"/>
        </w:rPr>
        <w:t> </w:t>
      </w:r>
      <w:r>
        <w:rPr>
          <w:color w:val="231F20"/>
          <w:w w:val="105"/>
          <w:sz w:val="21"/>
        </w:rPr>
        <w:t>Brenda,</w:t>
      </w:r>
      <w:r>
        <w:rPr>
          <w:color w:val="231F20"/>
          <w:spacing w:val="-33"/>
          <w:w w:val="105"/>
          <w:sz w:val="21"/>
        </w:rPr>
        <w:t> </w:t>
      </w:r>
      <w:r>
        <w:rPr>
          <w:color w:val="231F20"/>
          <w:w w:val="105"/>
          <w:sz w:val="21"/>
        </w:rPr>
        <w:t>(2014),</w:t>
      </w:r>
      <w:r>
        <w:rPr>
          <w:color w:val="231F20"/>
          <w:spacing w:val="-33"/>
          <w:w w:val="105"/>
          <w:sz w:val="21"/>
        </w:rPr>
        <w:t> </w:t>
      </w:r>
      <w:r>
        <w:rPr>
          <w:color w:val="231F20"/>
          <w:w w:val="105"/>
          <w:sz w:val="21"/>
        </w:rPr>
        <w:t>“Migración</w:t>
      </w:r>
      <w:r>
        <w:rPr>
          <w:color w:val="231F20"/>
          <w:spacing w:val="-30"/>
          <w:w w:val="105"/>
          <w:sz w:val="21"/>
        </w:rPr>
        <w:t> </w:t>
      </w:r>
      <w:r>
        <w:rPr>
          <w:color w:val="231F20"/>
          <w:w w:val="105"/>
          <w:sz w:val="21"/>
        </w:rPr>
        <w:t>y</w:t>
      </w:r>
      <w:r>
        <w:rPr>
          <w:color w:val="231F20"/>
          <w:spacing w:val="-30"/>
          <w:w w:val="105"/>
          <w:sz w:val="21"/>
        </w:rPr>
        <w:t> </w:t>
      </w:r>
      <w:r>
        <w:rPr>
          <w:color w:val="231F20"/>
          <w:w w:val="105"/>
          <w:sz w:val="21"/>
        </w:rPr>
        <w:t>gobernanza:</w:t>
      </w:r>
      <w:r>
        <w:rPr>
          <w:color w:val="231F20"/>
          <w:spacing w:val="-30"/>
          <w:w w:val="105"/>
          <w:sz w:val="21"/>
        </w:rPr>
        <w:t> </w:t>
      </w:r>
      <w:r>
        <w:rPr>
          <w:color w:val="231F20"/>
          <w:w w:val="105"/>
          <w:sz w:val="21"/>
        </w:rPr>
        <w:t>Re- flexiones sobre los procesos de gobernanza en la relación de</w:t>
      </w:r>
      <w:r>
        <w:rPr>
          <w:color w:val="231F20"/>
          <w:spacing w:val="-39"/>
          <w:w w:val="105"/>
          <w:sz w:val="21"/>
        </w:rPr>
        <w:t> </w:t>
      </w:r>
      <w:r>
        <w:rPr>
          <w:color w:val="231F20"/>
          <w:w w:val="105"/>
          <w:sz w:val="21"/>
        </w:rPr>
        <w:t>la diáspora</w:t>
      </w:r>
      <w:r>
        <w:rPr>
          <w:color w:val="231F20"/>
          <w:spacing w:val="-5"/>
          <w:w w:val="105"/>
          <w:sz w:val="21"/>
        </w:rPr>
        <w:t> </w:t>
      </w:r>
      <w:r>
        <w:rPr>
          <w:color w:val="231F20"/>
          <w:w w:val="105"/>
          <w:sz w:val="21"/>
        </w:rPr>
        <w:t>con</w:t>
      </w:r>
      <w:r>
        <w:rPr>
          <w:color w:val="231F20"/>
          <w:spacing w:val="-5"/>
          <w:w w:val="105"/>
          <w:sz w:val="21"/>
        </w:rPr>
        <w:t> </w:t>
      </w:r>
      <w:r>
        <w:rPr>
          <w:color w:val="231F20"/>
          <w:w w:val="105"/>
          <w:sz w:val="21"/>
        </w:rPr>
        <w:t>el</w:t>
      </w:r>
      <w:r>
        <w:rPr>
          <w:color w:val="231F20"/>
          <w:spacing w:val="-5"/>
          <w:w w:val="105"/>
          <w:sz w:val="21"/>
        </w:rPr>
        <w:t> </w:t>
      </w:r>
      <w:r>
        <w:rPr>
          <w:color w:val="231F20"/>
          <w:w w:val="105"/>
          <w:sz w:val="21"/>
        </w:rPr>
        <w:t>gobierno</w:t>
      </w:r>
      <w:r>
        <w:rPr>
          <w:color w:val="231F20"/>
          <w:spacing w:val="-5"/>
          <w:w w:val="105"/>
          <w:sz w:val="21"/>
        </w:rPr>
        <w:t> </w:t>
      </w:r>
      <w:r>
        <w:rPr>
          <w:color w:val="231F20"/>
          <w:spacing w:val="-3"/>
          <w:w w:val="105"/>
          <w:sz w:val="21"/>
        </w:rPr>
        <w:t>mexicano”,</w:t>
      </w:r>
      <w:r>
        <w:rPr>
          <w:color w:val="231F20"/>
          <w:spacing w:val="-10"/>
          <w:w w:val="105"/>
          <w:sz w:val="21"/>
        </w:rPr>
        <w:t> </w:t>
      </w:r>
      <w:r>
        <w:rPr>
          <w:color w:val="231F20"/>
          <w:w w:val="105"/>
          <w:sz w:val="21"/>
        </w:rPr>
        <w:t>en</w:t>
      </w:r>
      <w:r>
        <w:rPr>
          <w:color w:val="231F20"/>
          <w:spacing w:val="-5"/>
          <w:w w:val="105"/>
          <w:sz w:val="21"/>
        </w:rPr>
        <w:t> </w:t>
      </w:r>
      <w:r>
        <w:rPr>
          <w:color w:val="231F20"/>
          <w:w w:val="105"/>
          <w:sz w:val="21"/>
        </w:rPr>
        <w:t>Carlos</w:t>
      </w:r>
      <w:r>
        <w:rPr>
          <w:color w:val="231F20"/>
          <w:spacing w:val="-5"/>
          <w:w w:val="105"/>
          <w:sz w:val="21"/>
        </w:rPr>
        <w:t> </w:t>
      </w:r>
      <w:r>
        <w:rPr>
          <w:color w:val="231F20"/>
          <w:w w:val="105"/>
          <w:sz w:val="21"/>
        </w:rPr>
        <w:t>Heredia</w:t>
      </w:r>
      <w:r>
        <w:rPr>
          <w:color w:val="231F20"/>
          <w:spacing w:val="-5"/>
          <w:w w:val="105"/>
          <w:sz w:val="21"/>
        </w:rPr>
        <w:t> </w:t>
      </w:r>
      <w:r>
        <w:rPr>
          <w:color w:val="231F20"/>
          <w:w w:val="105"/>
          <w:sz w:val="21"/>
        </w:rPr>
        <w:t>y</w:t>
      </w:r>
      <w:r>
        <w:rPr>
          <w:color w:val="231F20"/>
          <w:spacing w:val="-5"/>
          <w:w w:val="105"/>
          <w:sz w:val="21"/>
        </w:rPr>
        <w:t> </w:t>
      </w:r>
      <w:r>
        <w:rPr>
          <w:color w:val="231F20"/>
          <w:w w:val="105"/>
          <w:sz w:val="21"/>
        </w:rPr>
        <w:t>Rafael </w:t>
      </w:r>
      <w:r>
        <w:rPr>
          <w:color w:val="231F20"/>
          <w:sz w:val="21"/>
        </w:rPr>
        <w:t>Velázquez</w:t>
      </w:r>
      <w:r>
        <w:rPr>
          <w:color w:val="231F20"/>
          <w:spacing w:val="-11"/>
          <w:sz w:val="21"/>
        </w:rPr>
        <w:t> </w:t>
      </w:r>
      <w:r>
        <w:rPr>
          <w:color w:val="231F20"/>
          <w:sz w:val="21"/>
        </w:rPr>
        <w:t>(eds.),</w:t>
      </w:r>
      <w:r>
        <w:rPr>
          <w:color w:val="231F20"/>
          <w:spacing w:val="-18"/>
          <w:sz w:val="21"/>
        </w:rPr>
        <w:t> </w:t>
      </w:r>
      <w:r>
        <w:rPr>
          <w:rFonts w:ascii="Arial" w:hAnsi="Arial"/>
          <w:i/>
          <w:color w:val="231F20"/>
          <w:sz w:val="21"/>
        </w:rPr>
        <w:t>Perspectivas</w:t>
      </w:r>
      <w:r>
        <w:rPr>
          <w:rFonts w:ascii="Arial" w:hAnsi="Arial"/>
          <w:i/>
          <w:color w:val="231F20"/>
          <w:spacing w:val="-14"/>
          <w:sz w:val="21"/>
        </w:rPr>
        <w:t> </w:t>
      </w:r>
      <w:r>
        <w:rPr>
          <w:rFonts w:ascii="Arial" w:hAnsi="Arial"/>
          <w:i/>
          <w:color w:val="231F20"/>
          <w:sz w:val="21"/>
        </w:rPr>
        <w:t>Migratorias</w:t>
      </w:r>
      <w:r>
        <w:rPr>
          <w:rFonts w:ascii="Arial" w:hAnsi="Arial"/>
          <w:i/>
          <w:color w:val="231F20"/>
          <w:spacing w:val="-14"/>
          <w:sz w:val="21"/>
        </w:rPr>
        <w:t> </w:t>
      </w:r>
      <w:r>
        <w:rPr>
          <w:rFonts w:ascii="Arial" w:hAnsi="Arial"/>
          <w:i/>
          <w:color w:val="231F20"/>
          <w:sz w:val="17"/>
        </w:rPr>
        <w:t>II</w:t>
      </w:r>
      <w:r>
        <w:rPr>
          <w:rFonts w:ascii="Arial" w:hAnsi="Arial"/>
          <w:i/>
          <w:color w:val="231F20"/>
          <w:sz w:val="21"/>
        </w:rPr>
        <w:t>.</w:t>
      </w:r>
      <w:r>
        <w:rPr>
          <w:rFonts w:ascii="Arial" w:hAnsi="Arial"/>
          <w:i/>
          <w:color w:val="231F20"/>
          <w:spacing w:val="-20"/>
          <w:sz w:val="21"/>
        </w:rPr>
        <w:t> </w:t>
      </w:r>
      <w:r>
        <w:rPr>
          <w:rFonts w:ascii="Arial" w:hAnsi="Arial"/>
          <w:i/>
          <w:color w:val="231F20"/>
          <w:sz w:val="21"/>
        </w:rPr>
        <w:t>La</w:t>
      </w:r>
      <w:r>
        <w:rPr>
          <w:rFonts w:ascii="Arial" w:hAnsi="Arial"/>
          <w:i/>
          <w:color w:val="231F20"/>
          <w:spacing w:val="-18"/>
          <w:sz w:val="21"/>
        </w:rPr>
        <w:t> </w:t>
      </w:r>
      <w:r>
        <w:rPr>
          <w:rFonts w:ascii="Arial" w:hAnsi="Arial"/>
          <w:i/>
          <w:color w:val="231F20"/>
          <w:sz w:val="21"/>
        </w:rPr>
        <w:t>Agenda</w:t>
      </w:r>
      <w:r>
        <w:rPr>
          <w:rFonts w:ascii="Arial" w:hAnsi="Arial"/>
          <w:i/>
          <w:color w:val="231F20"/>
          <w:spacing w:val="-14"/>
          <w:sz w:val="21"/>
        </w:rPr>
        <w:t> </w:t>
      </w:r>
      <w:r>
        <w:rPr>
          <w:rFonts w:ascii="Arial" w:hAnsi="Arial"/>
          <w:i/>
          <w:color w:val="231F20"/>
          <w:sz w:val="21"/>
        </w:rPr>
        <w:t>Pendiente </w:t>
      </w:r>
      <w:r>
        <w:rPr>
          <w:rFonts w:ascii="Arial" w:hAnsi="Arial"/>
          <w:i/>
          <w:color w:val="231F20"/>
          <w:w w:val="105"/>
          <w:sz w:val="21"/>
        </w:rPr>
        <w:t>de</w:t>
      </w:r>
      <w:r>
        <w:rPr>
          <w:rFonts w:ascii="Arial" w:hAnsi="Arial"/>
          <w:i/>
          <w:color w:val="231F20"/>
          <w:spacing w:val="-24"/>
          <w:w w:val="105"/>
          <w:sz w:val="21"/>
        </w:rPr>
        <w:t> </w:t>
      </w:r>
      <w:r>
        <w:rPr>
          <w:rFonts w:ascii="Arial" w:hAnsi="Arial"/>
          <w:i/>
          <w:color w:val="231F20"/>
          <w:w w:val="105"/>
          <w:sz w:val="21"/>
        </w:rPr>
        <w:t>la</w:t>
      </w:r>
      <w:r>
        <w:rPr>
          <w:rFonts w:ascii="Arial" w:hAnsi="Arial"/>
          <w:i/>
          <w:color w:val="231F20"/>
          <w:spacing w:val="-24"/>
          <w:w w:val="105"/>
          <w:sz w:val="21"/>
        </w:rPr>
        <w:t> </w:t>
      </w:r>
      <w:r>
        <w:rPr>
          <w:rFonts w:ascii="Arial" w:hAnsi="Arial"/>
          <w:i/>
          <w:color w:val="231F20"/>
          <w:w w:val="105"/>
          <w:sz w:val="21"/>
        </w:rPr>
        <w:t>migración</w:t>
      </w:r>
      <w:r>
        <w:rPr>
          <w:color w:val="231F20"/>
          <w:w w:val="105"/>
          <w:sz w:val="21"/>
        </w:rPr>
        <w:t>,</w:t>
      </w:r>
      <w:r>
        <w:rPr>
          <w:color w:val="231F20"/>
          <w:spacing w:val="-26"/>
          <w:w w:val="105"/>
          <w:sz w:val="21"/>
        </w:rPr>
        <w:t> </w:t>
      </w:r>
      <w:r>
        <w:rPr>
          <w:color w:val="231F20"/>
          <w:w w:val="105"/>
          <w:sz w:val="21"/>
        </w:rPr>
        <w:t>México:</w:t>
      </w:r>
      <w:r>
        <w:rPr>
          <w:color w:val="231F20"/>
          <w:spacing w:val="-21"/>
          <w:w w:val="105"/>
          <w:sz w:val="21"/>
        </w:rPr>
        <w:t> </w:t>
      </w:r>
      <w:r>
        <w:rPr>
          <w:color w:val="231F20"/>
          <w:w w:val="105"/>
          <w:sz w:val="17"/>
        </w:rPr>
        <w:t>CIDE</w:t>
      </w:r>
      <w:r>
        <w:rPr>
          <w:color w:val="231F20"/>
          <w:w w:val="105"/>
          <w:sz w:val="21"/>
        </w:rPr>
        <w:t>.</w:t>
      </w:r>
    </w:p>
    <w:p>
      <w:pPr>
        <w:pStyle w:val="BodyText"/>
        <w:spacing w:line="261" w:lineRule="auto"/>
        <w:ind w:left="2460" w:right="1828" w:hanging="738"/>
        <w:jc w:val="both"/>
      </w:pPr>
      <w:r>
        <w:rPr>
          <w:color w:val="231F20"/>
        </w:rPr>
        <w:t>Aguirre, Jerjes y Lenin Navarro, José </w:t>
      </w:r>
      <w:r>
        <w:rPr>
          <w:color w:val="231F20"/>
          <w:spacing w:val="-3"/>
        </w:rPr>
        <w:t>César, </w:t>
      </w:r>
      <w:r>
        <w:rPr>
          <w:color w:val="231F20"/>
        </w:rPr>
        <w:t>(2011), “México-americanos  y México. Reflexiones sobre una relación </w:t>
      </w:r>
      <w:r>
        <w:rPr>
          <w:color w:val="231F20"/>
          <w:spacing w:val="-4"/>
        </w:rPr>
        <w:t>compleja”, </w:t>
      </w:r>
      <w:r>
        <w:rPr>
          <w:rFonts w:ascii="Arial" w:hAnsi="Arial"/>
          <w:i/>
          <w:color w:val="231F20"/>
        </w:rPr>
        <w:t>Cofactor</w:t>
      </w:r>
      <w:r>
        <w:rPr>
          <w:color w:val="231F20"/>
        </w:rPr>
        <w:t>, vol. II, núm.</w:t>
      </w:r>
      <w:r>
        <w:rPr>
          <w:color w:val="231F20"/>
          <w:spacing w:val="-13"/>
        </w:rPr>
        <w:t> </w:t>
      </w:r>
      <w:r>
        <w:rPr>
          <w:color w:val="231F20"/>
        </w:rPr>
        <w:t>3.</w:t>
      </w:r>
    </w:p>
    <w:p>
      <w:pPr>
        <w:pStyle w:val="BodyText"/>
        <w:spacing w:line="261" w:lineRule="auto" w:before="1"/>
        <w:ind w:left="2460" w:right="1828" w:hanging="738"/>
        <w:jc w:val="both"/>
      </w:pPr>
      <w:r>
        <w:rPr>
          <w:color w:val="231F20"/>
        </w:rPr>
        <w:t>Aranda</w:t>
      </w:r>
      <w:r>
        <w:rPr>
          <w:color w:val="231F20"/>
          <w:spacing w:val="-16"/>
        </w:rPr>
        <w:t> </w:t>
      </w:r>
      <w:r>
        <w:rPr>
          <w:color w:val="231F20"/>
        </w:rPr>
        <w:t>Sánchez,</w:t>
      </w:r>
      <w:r>
        <w:rPr>
          <w:color w:val="231F20"/>
          <w:spacing w:val="-27"/>
        </w:rPr>
        <w:t> </w:t>
      </w:r>
      <w:r>
        <w:rPr>
          <w:color w:val="231F20"/>
        </w:rPr>
        <w:t>José</w:t>
      </w:r>
      <w:r>
        <w:rPr>
          <w:color w:val="231F20"/>
          <w:spacing w:val="-16"/>
        </w:rPr>
        <w:t> </w:t>
      </w:r>
      <w:r>
        <w:rPr>
          <w:color w:val="231F20"/>
        </w:rPr>
        <w:t>María,</w:t>
      </w:r>
      <w:r>
        <w:rPr>
          <w:color w:val="231F20"/>
          <w:spacing w:val="-23"/>
        </w:rPr>
        <w:t> </w:t>
      </w:r>
      <w:r>
        <w:rPr>
          <w:color w:val="231F20"/>
        </w:rPr>
        <w:t>(2006),</w:t>
      </w:r>
      <w:r>
        <w:rPr>
          <w:color w:val="231F20"/>
          <w:spacing w:val="-23"/>
        </w:rPr>
        <w:t> </w:t>
      </w:r>
      <w:r>
        <w:rPr>
          <w:color w:val="231F20"/>
        </w:rPr>
        <w:t>“Espacios</w:t>
      </w:r>
      <w:r>
        <w:rPr>
          <w:color w:val="231F20"/>
          <w:spacing w:val="-16"/>
        </w:rPr>
        <w:t> </w:t>
      </w:r>
      <w:r>
        <w:rPr>
          <w:color w:val="231F20"/>
        </w:rPr>
        <w:t>transnacionales</w:t>
      </w:r>
      <w:r>
        <w:rPr>
          <w:color w:val="231F20"/>
          <w:spacing w:val="-16"/>
        </w:rPr>
        <w:t> </w:t>
      </w:r>
      <w:r>
        <w:rPr>
          <w:color w:val="231F20"/>
        </w:rPr>
        <w:t>y</w:t>
      </w:r>
      <w:r>
        <w:rPr>
          <w:color w:val="231F20"/>
          <w:spacing w:val="-16"/>
        </w:rPr>
        <w:t> </w:t>
      </w:r>
      <w:r>
        <w:rPr>
          <w:color w:val="231F20"/>
        </w:rPr>
        <w:t>derechos humanos de las migrantes y los migrantes“, en Norma Baca </w:t>
      </w:r>
      <w:r>
        <w:rPr>
          <w:color w:val="231F20"/>
          <w:spacing w:val="-5"/>
        </w:rPr>
        <w:t>Tavi- </w:t>
      </w:r>
      <w:r>
        <w:rPr>
          <w:color w:val="231F20"/>
        </w:rPr>
        <w:t>ra, Francisco Herrera </w:t>
      </w:r>
      <w:r>
        <w:rPr>
          <w:color w:val="231F20"/>
          <w:spacing w:val="-5"/>
        </w:rPr>
        <w:t>Tapia  </w:t>
      </w:r>
      <w:r>
        <w:rPr>
          <w:color w:val="231F20"/>
        </w:rPr>
        <w:t>y Rocío González Orihuela </w:t>
      </w:r>
      <w:r>
        <w:rPr>
          <w:color w:val="231F20"/>
          <w:spacing w:val="48"/>
        </w:rPr>
        <w:t> </w:t>
      </w:r>
      <w:r>
        <w:rPr>
          <w:color w:val="231F20"/>
        </w:rPr>
        <w:t>(coords.),</w:t>
      </w:r>
    </w:p>
    <w:p>
      <w:pPr>
        <w:pStyle w:val="BodyText"/>
        <w:rPr>
          <w:sz w:val="20"/>
        </w:rPr>
      </w:pPr>
    </w:p>
    <w:p>
      <w:pPr>
        <w:pStyle w:val="BodyText"/>
        <w:rPr>
          <w:sz w:val="20"/>
        </w:rPr>
      </w:pPr>
    </w:p>
    <w:p>
      <w:pPr>
        <w:pStyle w:val="BodyText"/>
        <w:rPr>
          <w:sz w:val="20"/>
        </w:rPr>
      </w:pPr>
    </w:p>
    <w:p>
      <w:pPr>
        <w:pStyle w:val="BodyText"/>
        <w:spacing w:before="10"/>
        <w:rPr>
          <w:sz w:val="20"/>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5992" from="131.551193pt,3.753715pt" to="131.551193pt,39.556114pt" stroked="true" strokeweight=".35pt" strokecolor="#231f20">
            <w10:wrap type="none"/>
          </v:line>
        </w:pict>
      </w:r>
      <w:r>
        <w:rPr/>
        <w:pict>
          <v:line style="position:absolute;mso-position-horizontal-relative:page;mso-position-vertical-relative:paragraph;z-index:-485920" from="15pt,39.555916pt" to="0pt,39.555916pt" stroked="true" strokeweight=".25pt" strokecolor="#000000">
            <w10:wrap type="none"/>
          </v:line>
        </w:pict>
      </w:r>
      <w:r>
        <w:rPr/>
        <w:pict>
          <v:line style="position:absolute;mso-position-horizontal-relative:page;mso-position-vertical-relative:paragraph;z-index:4288" from="508.890015pt,39.555916pt" to="523.890015pt,39.555916pt" stroked="true" strokeweight=".25pt" strokecolor="#000000">
            <w10:wrap type="none"/>
          </v:line>
        </w:pict>
      </w:r>
      <w:r>
        <w:rPr>
          <w:rFonts w:ascii="Arial" w:hAnsi="Arial"/>
          <w:color w:val="414042"/>
          <w:position w:val="-5"/>
          <w:sz w:val="20"/>
        </w:rPr>
        <w:t>42</w:t>
        <w:tab/>
      </w:r>
      <w:r>
        <w:rPr>
          <w:rFonts w:ascii="Calibri" w:hAnsi="Calibri"/>
          <w:color w:val="6D6E71"/>
          <w:sz w:val="15"/>
        </w:rPr>
        <w:t>Jorge Olvera</w:t>
      </w:r>
      <w:r>
        <w:rPr>
          <w:rFonts w:ascii="Calibri" w:hAnsi="Calibri"/>
          <w:color w:val="6D6E71"/>
          <w:spacing w:val="12"/>
          <w:sz w:val="15"/>
        </w:rPr>
        <w:t> </w:t>
      </w:r>
      <w:r>
        <w:rPr>
          <w:rFonts w:ascii="Calibri" w:hAnsi="Calibri"/>
          <w:color w:val="6D6E71"/>
          <w:sz w:val="15"/>
        </w:rPr>
        <w:t>García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001" w:right="0" w:firstLine="0"/>
        <w:jc w:val="left"/>
        <w:rPr>
          <w:rFonts w:ascii="Arial" w:hAnsi="Arial"/>
          <w:sz w:val="20"/>
        </w:rPr>
      </w:pPr>
      <w:r>
        <w:rPr/>
        <w:pict>
          <v:line style="position:absolute;mso-position-horizontal-relative:page;mso-position-vertical-relative:paragraph;z-index:-485872" from="405.061005pt,-18.554295pt" to="405.061005pt,16.311579pt" stroked="true" strokeweight=".35pt" strokecolor="#231f20">
            <w10:wrap type="none"/>
          </v:line>
        </w:pict>
      </w:r>
      <w:r>
        <w:rPr/>
        <w:pict>
          <v:line style="position:absolute;mso-position-horizontal-relative:page;mso-position-vertical-relative:paragraph;z-index:4336" from="15pt,-18.554522pt" to="0pt,-18.554522pt" stroked="true" strokeweight=".25pt" strokecolor="#000000">
            <w10:wrap type="none"/>
          </v:line>
        </w:pict>
      </w:r>
      <w:r>
        <w:rPr/>
        <w:pict>
          <v:line style="position:absolute;mso-position-horizontal-relative:page;mso-position-vertical-relative:paragraph;z-index:4360" from="508.890015pt,-18.554522pt" to="523.890015pt,-18.554522pt" stroked="true" strokeweight=".25pt" strokecolor="#000000">
            <w10:wrap type="none"/>
          </v:line>
        </w:pict>
      </w:r>
      <w:r>
        <w:rPr>
          <w:rFonts w:ascii="Lucida Sans Unicode" w:hAnsi="Lucida Sans Unicode"/>
          <w:color w:val="6D6E71"/>
          <w:w w:val="105"/>
          <w:sz w:val="14"/>
        </w:rPr>
        <w:t>Derechos</w:t>
      </w:r>
      <w:r>
        <w:rPr>
          <w:rFonts w:ascii="Lucida Sans Unicode" w:hAnsi="Lucida Sans Unicode"/>
          <w:color w:val="6D6E71"/>
          <w:spacing w:val="-15"/>
          <w:w w:val="105"/>
          <w:sz w:val="14"/>
        </w:rPr>
        <w:t> </w:t>
      </w:r>
      <w:r>
        <w:rPr>
          <w:rFonts w:ascii="Lucida Sans Unicode" w:hAnsi="Lucida Sans Unicode"/>
          <w:color w:val="6D6E71"/>
          <w:w w:val="105"/>
          <w:sz w:val="14"/>
        </w:rPr>
        <w:t>humanos,</w:t>
      </w:r>
      <w:r>
        <w:rPr>
          <w:rFonts w:ascii="Lucida Sans Unicode" w:hAnsi="Lucida Sans Unicode"/>
          <w:color w:val="6D6E71"/>
          <w:spacing w:val="-15"/>
          <w:w w:val="105"/>
          <w:sz w:val="14"/>
        </w:rPr>
        <w:t> </w:t>
      </w:r>
      <w:r>
        <w:rPr>
          <w:rFonts w:ascii="Lucida Sans Unicode" w:hAnsi="Lucida Sans Unicode"/>
          <w:color w:val="6D6E71"/>
          <w:w w:val="105"/>
          <w:sz w:val="14"/>
        </w:rPr>
        <w:t>eDucación</w:t>
      </w:r>
      <w:r>
        <w:rPr>
          <w:rFonts w:ascii="Lucida Sans Unicode" w:hAnsi="Lucida Sans Unicode"/>
          <w:color w:val="6D6E71"/>
          <w:spacing w:val="-15"/>
          <w:w w:val="105"/>
          <w:sz w:val="14"/>
        </w:rPr>
        <w:t> </w:t>
      </w:r>
      <w:r>
        <w:rPr>
          <w:rFonts w:ascii="Lucida Sans Unicode" w:hAnsi="Lucida Sans Unicode"/>
          <w:color w:val="6D6E71"/>
          <w:w w:val="105"/>
          <w:sz w:val="14"/>
        </w:rPr>
        <w:t>y</w:t>
      </w:r>
      <w:r>
        <w:rPr>
          <w:rFonts w:ascii="Lucida Sans Unicode" w:hAnsi="Lucida Sans Unicode"/>
          <w:color w:val="6D6E71"/>
          <w:spacing w:val="-15"/>
          <w:w w:val="105"/>
          <w:sz w:val="14"/>
        </w:rPr>
        <w:t> </w:t>
      </w:r>
      <w:r>
        <w:rPr>
          <w:rFonts w:ascii="Lucida Sans Unicode" w:hAnsi="Lucida Sans Unicode"/>
          <w:color w:val="6D6E71"/>
          <w:w w:val="105"/>
          <w:sz w:val="14"/>
        </w:rPr>
        <w:t>participación</w:t>
      </w:r>
      <w:r>
        <w:rPr>
          <w:rFonts w:ascii="Lucida Sans Unicode" w:hAnsi="Lucida Sans Unicode"/>
          <w:color w:val="6D6E71"/>
          <w:spacing w:val="-15"/>
          <w:w w:val="105"/>
          <w:sz w:val="14"/>
        </w:rPr>
        <w:t> </w:t>
      </w:r>
      <w:r>
        <w:rPr>
          <w:rFonts w:ascii="Lucida Sans Unicode" w:hAnsi="Lucida Sans Unicode"/>
          <w:color w:val="6D6E71"/>
          <w:w w:val="105"/>
          <w:sz w:val="14"/>
        </w:rPr>
        <w:t>De</w:t>
      </w:r>
      <w:r>
        <w:rPr>
          <w:rFonts w:ascii="Lucida Sans Unicode" w:hAnsi="Lucida Sans Unicode"/>
          <w:color w:val="6D6E71"/>
          <w:spacing w:val="-15"/>
          <w:w w:val="105"/>
          <w:sz w:val="14"/>
        </w:rPr>
        <w:t> </w:t>
      </w:r>
      <w:r>
        <w:rPr>
          <w:rFonts w:ascii="Lucida Sans Unicode" w:hAnsi="Lucida Sans Unicode"/>
          <w:color w:val="6D6E71"/>
          <w:w w:val="115"/>
          <w:sz w:val="14"/>
        </w:rPr>
        <w:t>la</w:t>
      </w:r>
      <w:r>
        <w:rPr>
          <w:rFonts w:ascii="Lucida Sans Unicode" w:hAnsi="Lucida Sans Unicode"/>
          <w:color w:val="6D6E71"/>
          <w:spacing w:val="-19"/>
          <w:w w:val="115"/>
          <w:sz w:val="14"/>
        </w:rPr>
        <w:t> </w:t>
      </w:r>
      <w:r>
        <w:rPr>
          <w:rFonts w:ascii="Lucida Sans Unicode" w:hAnsi="Lucida Sans Unicode"/>
          <w:color w:val="6D6E71"/>
          <w:w w:val="105"/>
          <w:sz w:val="14"/>
        </w:rPr>
        <w:t>población</w:t>
      </w:r>
      <w:r>
        <w:rPr>
          <w:rFonts w:ascii="Lucida Sans Unicode" w:hAnsi="Lucida Sans Unicode"/>
          <w:color w:val="6D6E71"/>
          <w:spacing w:val="-15"/>
          <w:w w:val="105"/>
          <w:sz w:val="14"/>
        </w:rPr>
        <w:t> </w:t>
      </w:r>
      <w:r>
        <w:rPr>
          <w:rFonts w:ascii="Lucida Sans Unicode" w:hAnsi="Lucida Sans Unicode"/>
          <w:color w:val="6D6E71"/>
          <w:w w:val="105"/>
          <w:sz w:val="14"/>
        </w:rPr>
        <w:t>migrante</w:t>
      </w:r>
      <w:r>
        <w:rPr>
          <w:rFonts w:ascii="Arial" w:hAnsi="Arial"/>
          <w:color w:val="414042"/>
          <w:w w:val="105"/>
          <w:position w:val="-3"/>
          <w:sz w:val="20"/>
        </w:rPr>
        <w:tab/>
        <w:t>43</w:t>
      </w:r>
    </w:p>
    <w:p>
      <w:pPr>
        <w:pStyle w:val="BodyText"/>
        <w:rPr>
          <w:rFonts w:ascii="Arial"/>
          <w:sz w:val="20"/>
        </w:rPr>
      </w:pPr>
    </w:p>
    <w:p>
      <w:pPr>
        <w:pStyle w:val="BodyText"/>
        <w:rPr>
          <w:rFonts w:ascii="Arial"/>
          <w:sz w:val="20"/>
        </w:rPr>
      </w:pPr>
    </w:p>
    <w:p>
      <w:pPr>
        <w:spacing w:before="176"/>
        <w:ind w:left="2574" w:right="0" w:firstLine="0"/>
        <w:jc w:val="left"/>
        <w:rPr>
          <w:rFonts w:ascii="Arial" w:hAnsi="Arial"/>
          <w:i/>
          <w:sz w:val="21"/>
        </w:rPr>
      </w:pPr>
      <w:r>
        <w:rPr>
          <w:rFonts w:ascii="Arial" w:hAnsi="Arial"/>
          <w:i/>
          <w:color w:val="231F20"/>
          <w:sz w:val="21"/>
        </w:rPr>
        <w:t>Migración, Democracia  y  Desarrollo, la  experiencia mexiquense,</w:t>
      </w:r>
    </w:p>
    <w:p>
      <w:pPr>
        <w:pStyle w:val="BodyText"/>
        <w:spacing w:before="22"/>
        <w:ind w:left="2574"/>
      </w:pPr>
      <w:r>
        <w:rPr>
          <w:color w:val="231F20"/>
        </w:rPr>
        <w:t>Toluca, México: </w:t>
      </w:r>
      <w:r>
        <w:rPr>
          <w:color w:val="231F20"/>
          <w:sz w:val="17"/>
        </w:rPr>
        <w:t>IEEM</w:t>
      </w:r>
      <w:r>
        <w:rPr>
          <w:color w:val="231F20"/>
        </w:rPr>
        <w:t>.</w:t>
      </w:r>
    </w:p>
    <w:p>
      <w:pPr>
        <w:spacing w:line="259" w:lineRule="auto" w:before="19"/>
        <w:ind w:left="2574" w:right="1716" w:hanging="737"/>
        <w:jc w:val="both"/>
        <w:rPr>
          <w:sz w:val="21"/>
        </w:rPr>
      </w:pPr>
      <w:r>
        <w:rPr>
          <w:color w:val="231F20"/>
          <w:w w:val="105"/>
          <w:sz w:val="21"/>
        </w:rPr>
        <w:t>Chávez,</w:t>
      </w:r>
      <w:r>
        <w:rPr>
          <w:color w:val="231F20"/>
          <w:spacing w:val="-28"/>
          <w:w w:val="105"/>
          <w:sz w:val="21"/>
        </w:rPr>
        <w:t> </w:t>
      </w:r>
      <w:r>
        <w:rPr>
          <w:color w:val="231F20"/>
          <w:w w:val="105"/>
          <w:sz w:val="21"/>
        </w:rPr>
        <w:t>Alfonso,</w:t>
      </w:r>
      <w:r>
        <w:rPr>
          <w:color w:val="231F20"/>
          <w:spacing w:val="-25"/>
          <w:w w:val="105"/>
          <w:sz w:val="21"/>
        </w:rPr>
        <w:t> </w:t>
      </w:r>
      <w:r>
        <w:rPr>
          <w:color w:val="231F20"/>
          <w:w w:val="105"/>
          <w:sz w:val="21"/>
        </w:rPr>
        <w:t>(2005),</w:t>
      </w:r>
      <w:r>
        <w:rPr>
          <w:color w:val="231F20"/>
          <w:spacing w:val="-25"/>
          <w:w w:val="105"/>
          <w:sz w:val="21"/>
        </w:rPr>
        <w:t> </w:t>
      </w:r>
      <w:r>
        <w:rPr>
          <w:rFonts w:ascii="Arial" w:hAnsi="Arial"/>
          <w:i/>
          <w:color w:val="231F20"/>
          <w:w w:val="105"/>
          <w:sz w:val="21"/>
        </w:rPr>
        <w:t>Los</w:t>
      </w:r>
      <w:r>
        <w:rPr>
          <w:rFonts w:ascii="Arial" w:hAnsi="Arial"/>
          <w:i/>
          <w:color w:val="231F20"/>
          <w:spacing w:val="-24"/>
          <w:w w:val="105"/>
          <w:sz w:val="21"/>
        </w:rPr>
        <w:t> </w:t>
      </w:r>
      <w:r>
        <w:rPr>
          <w:rFonts w:ascii="Arial" w:hAnsi="Arial"/>
          <w:i/>
          <w:color w:val="231F20"/>
          <w:w w:val="105"/>
          <w:sz w:val="21"/>
        </w:rPr>
        <w:t>derechos</w:t>
      </w:r>
      <w:r>
        <w:rPr>
          <w:rFonts w:ascii="Arial" w:hAnsi="Arial"/>
          <w:i/>
          <w:color w:val="231F20"/>
          <w:spacing w:val="-24"/>
          <w:w w:val="105"/>
          <w:sz w:val="21"/>
        </w:rPr>
        <w:t> </w:t>
      </w:r>
      <w:r>
        <w:rPr>
          <w:rFonts w:ascii="Arial" w:hAnsi="Arial"/>
          <w:i/>
          <w:color w:val="231F20"/>
          <w:w w:val="105"/>
          <w:sz w:val="21"/>
        </w:rPr>
        <w:t>humanos,</w:t>
      </w:r>
      <w:r>
        <w:rPr>
          <w:rFonts w:ascii="Arial" w:hAnsi="Arial"/>
          <w:i/>
          <w:color w:val="231F20"/>
          <w:spacing w:val="-28"/>
          <w:w w:val="105"/>
          <w:sz w:val="21"/>
        </w:rPr>
        <w:t> </w:t>
      </w:r>
      <w:r>
        <w:rPr>
          <w:rFonts w:ascii="Arial" w:hAnsi="Arial"/>
          <w:i/>
          <w:color w:val="231F20"/>
          <w:w w:val="105"/>
          <w:sz w:val="21"/>
        </w:rPr>
        <w:t>el</w:t>
      </w:r>
      <w:r>
        <w:rPr>
          <w:rFonts w:ascii="Arial" w:hAnsi="Arial"/>
          <w:i/>
          <w:color w:val="231F20"/>
          <w:spacing w:val="-24"/>
          <w:w w:val="105"/>
          <w:sz w:val="21"/>
        </w:rPr>
        <w:t> </w:t>
      </w:r>
      <w:r>
        <w:rPr>
          <w:rFonts w:ascii="Arial" w:hAnsi="Arial"/>
          <w:i/>
          <w:color w:val="231F20"/>
          <w:w w:val="105"/>
          <w:sz w:val="21"/>
        </w:rPr>
        <w:t>ombudsman</w:t>
      </w:r>
      <w:r>
        <w:rPr>
          <w:rFonts w:ascii="Arial" w:hAnsi="Arial"/>
          <w:i/>
          <w:color w:val="231F20"/>
          <w:spacing w:val="-24"/>
          <w:w w:val="105"/>
          <w:sz w:val="21"/>
        </w:rPr>
        <w:t> </w:t>
      </w:r>
      <w:r>
        <w:rPr>
          <w:rFonts w:ascii="Arial" w:hAnsi="Arial"/>
          <w:i/>
          <w:color w:val="231F20"/>
          <w:w w:val="105"/>
          <w:sz w:val="21"/>
        </w:rPr>
        <w:t>y</w:t>
      </w:r>
      <w:r>
        <w:rPr>
          <w:rFonts w:ascii="Arial" w:hAnsi="Arial"/>
          <w:i/>
          <w:color w:val="231F20"/>
          <w:spacing w:val="-24"/>
          <w:w w:val="105"/>
          <w:sz w:val="21"/>
        </w:rPr>
        <w:t> </w:t>
      </w:r>
      <w:r>
        <w:rPr>
          <w:rFonts w:ascii="Arial" w:hAnsi="Arial"/>
          <w:i/>
          <w:color w:val="231F20"/>
          <w:w w:val="105"/>
          <w:sz w:val="21"/>
        </w:rPr>
        <w:t>la</w:t>
      </w:r>
      <w:r>
        <w:rPr>
          <w:rFonts w:ascii="Arial" w:hAnsi="Arial"/>
          <w:i/>
          <w:color w:val="231F20"/>
          <w:spacing w:val="-24"/>
          <w:w w:val="105"/>
          <w:sz w:val="21"/>
        </w:rPr>
        <w:t> </w:t>
      </w:r>
      <w:r>
        <w:rPr>
          <w:rFonts w:ascii="Arial" w:hAnsi="Arial"/>
          <w:i/>
          <w:color w:val="231F20"/>
          <w:w w:val="105"/>
          <w:sz w:val="21"/>
        </w:rPr>
        <w:t>Co- </w:t>
      </w:r>
      <w:r>
        <w:rPr>
          <w:rFonts w:ascii="Arial" w:hAnsi="Arial"/>
          <w:i/>
          <w:color w:val="231F20"/>
          <w:w w:val="105"/>
          <w:sz w:val="21"/>
        </w:rPr>
        <w:t>misión</w:t>
      </w:r>
      <w:r>
        <w:rPr>
          <w:rFonts w:ascii="Arial" w:hAnsi="Arial"/>
          <w:i/>
          <w:color w:val="231F20"/>
          <w:spacing w:val="-20"/>
          <w:w w:val="105"/>
          <w:sz w:val="21"/>
        </w:rPr>
        <w:t> </w:t>
      </w:r>
      <w:r>
        <w:rPr>
          <w:rFonts w:ascii="Arial" w:hAnsi="Arial"/>
          <w:i/>
          <w:color w:val="231F20"/>
          <w:w w:val="105"/>
          <w:sz w:val="21"/>
        </w:rPr>
        <w:t>Nacional</w:t>
      </w:r>
      <w:r>
        <w:rPr>
          <w:rFonts w:ascii="Arial" w:hAnsi="Arial"/>
          <w:i/>
          <w:color w:val="231F20"/>
          <w:spacing w:val="-20"/>
          <w:w w:val="105"/>
          <w:sz w:val="21"/>
        </w:rPr>
        <w:t> </w:t>
      </w:r>
      <w:r>
        <w:rPr>
          <w:rFonts w:ascii="Arial" w:hAnsi="Arial"/>
          <w:i/>
          <w:color w:val="231F20"/>
          <w:w w:val="105"/>
          <w:sz w:val="21"/>
        </w:rPr>
        <w:t>de</w:t>
      </w:r>
      <w:r>
        <w:rPr>
          <w:rFonts w:ascii="Arial" w:hAnsi="Arial"/>
          <w:i/>
          <w:color w:val="231F20"/>
          <w:spacing w:val="-20"/>
          <w:w w:val="105"/>
          <w:sz w:val="21"/>
        </w:rPr>
        <w:t> </w:t>
      </w:r>
      <w:r>
        <w:rPr>
          <w:rFonts w:ascii="Arial" w:hAnsi="Arial"/>
          <w:i/>
          <w:color w:val="231F20"/>
          <w:w w:val="105"/>
          <w:sz w:val="21"/>
        </w:rPr>
        <w:t>Derechos</w:t>
      </w:r>
      <w:r>
        <w:rPr>
          <w:rFonts w:ascii="Arial" w:hAnsi="Arial"/>
          <w:i/>
          <w:color w:val="231F20"/>
          <w:spacing w:val="-20"/>
          <w:w w:val="105"/>
          <w:sz w:val="21"/>
        </w:rPr>
        <w:t> </w:t>
      </w:r>
      <w:r>
        <w:rPr>
          <w:rFonts w:ascii="Arial" w:hAnsi="Arial"/>
          <w:i/>
          <w:color w:val="231F20"/>
          <w:w w:val="105"/>
          <w:sz w:val="21"/>
        </w:rPr>
        <w:t>Humano:</w:t>
      </w:r>
      <w:r>
        <w:rPr>
          <w:rFonts w:ascii="Arial" w:hAnsi="Arial"/>
          <w:i/>
          <w:color w:val="231F20"/>
          <w:spacing w:val="-20"/>
          <w:w w:val="105"/>
          <w:sz w:val="21"/>
        </w:rPr>
        <w:t> </w:t>
      </w:r>
      <w:r>
        <w:rPr>
          <w:rFonts w:ascii="Arial" w:hAnsi="Arial"/>
          <w:i/>
          <w:color w:val="231F20"/>
          <w:w w:val="105"/>
          <w:sz w:val="21"/>
        </w:rPr>
        <w:t>una</w:t>
      </w:r>
      <w:r>
        <w:rPr>
          <w:rFonts w:ascii="Arial" w:hAnsi="Arial"/>
          <w:i/>
          <w:color w:val="231F20"/>
          <w:spacing w:val="-20"/>
          <w:w w:val="105"/>
          <w:sz w:val="21"/>
        </w:rPr>
        <w:t> </w:t>
      </w:r>
      <w:r>
        <w:rPr>
          <w:rFonts w:ascii="Arial" w:hAnsi="Arial"/>
          <w:i/>
          <w:color w:val="231F20"/>
          <w:w w:val="105"/>
          <w:sz w:val="21"/>
        </w:rPr>
        <w:t>visión</w:t>
      </w:r>
      <w:r>
        <w:rPr>
          <w:rFonts w:ascii="Arial" w:hAnsi="Arial"/>
          <w:i/>
          <w:color w:val="231F20"/>
          <w:spacing w:val="-20"/>
          <w:w w:val="105"/>
          <w:sz w:val="21"/>
        </w:rPr>
        <w:t> </w:t>
      </w:r>
      <w:r>
        <w:rPr>
          <w:rFonts w:ascii="Arial" w:hAnsi="Arial"/>
          <w:i/>
          <w:color w:val="231F20"/>
          <w:w w:val="105"/>
          <w:sz w:val="21"/>
        </w:rPr>
        <w:t>global</w:t>
      </w:r>
      <w:r>
        <w:rPr>
          <w:color w:val="231F20"/>
          <w:w w:val="105"/>
          <w:sz w:val="21"/>
        </w:rPr>
        <w:t>,</w:t>
      </w:r>
      <w:r>
        <w:rPr>
          <w:color w:val="231F20"/>
          <w:spacing w:val="-26"/>
          <w:w w:val="105"/>
          <w:sz w:val="21"/>
        </w:rPr>
        <w:t> </w:t>
      </w:r>
      <w:r>
        <w:rPr>
          <w:color w:val="231F20"/>
          <w:spacing w:val="-3"/>
          <w:w w:val="105"/>
          <w:sz w:val="21"/>
        </w:rPr>
        <w:t>Toluca, </w:t>
      </w:r>
      <w:r>
        <w:rPr>
          <w:color w:val="231F20"/>
          <w:w w:val="105"/>
          <w:sz w:val="21"/>
        </w:rPr>
        <w:t>México:</w:t>
      </w:r>
      <w:r>
        <w:rPr>
          <w:color w:val="231F20"/>
          <w:spacing w:val="-40"/>
          <w:w w:val="105"/>
          <w:sz w:val="21"/>
        </w:rPr>
        <w:t> </w:t>
      </w:r>
      <w:r>
        <w:rPr>
          <w:color w:val="231F20"/>
          <w:w w:val="105"/>
          <w:sz w:val="17"/>
        </w:rPr>
        <w:t>UAEM</w:t>
      </w:r>
      <w:r>
        <w:rPr>
          <w:color w:val="231F20"/>
          <w:w w:val="105"/>
          <w:sz w:val="21"/>
        </w:rPr>
        <w:t>:</w:t>
      </w:r>
    </w:p>
    <w:p>
      <w:pPr>
        <w:spacing w:line="259" w:lineRule="auto" w:before="0"/>
        <w:ind w:left="2574" w:right="1721" w:hanging="738"/>
        <w:jc w:val="both"/>
        <w:rPr>
          <w:sz w:val="21"/>
        </w:rPr>
      </w:pPr>
      <w:r>
        <w:rPr>
          <w:color w:val="231F20"/>
          <w:w w:val="105"/>
          <w:sz w:val="21"/>
        </w:rPr>
        <w:t>Comisión</w:t>
      </w:r>
      <w:r>
        <w:rPr>
          <w:color w:val="231F20"/>
          <w:spacing w:val="-5"/>
          <w:w w:val="105"/>
          <w:sz w:val="21"/>
        </w:rPr>
        <w:t> </w:t>
      </w:r>
      <w:r>
        <w:rPr>
          <w:color w:val="231F20"/>
          <w:w w:val="105"/>
          <w:sz w:val="21"/>
        </w:rPr>
        <w:t>Interamericana</w:t>
      </w:r>
      <w:r>
        <w:rPr>
          <w:color w:val="231F20"/>
          <w:spacing w:val="-5"/>
          <w:w w:val="105"/>
          <w:sz w:val="21"/>
        </w:rPr>
        <w:t> </w:t>
      </w:r>
      <w:r>
        <w:rPr>
          <w:color w:val="231F20"/>
          <w:w w:val="105"/>
          <w:sz w:val="21"/>
        </w:rPr>
        <w:t>de</w:t>
      </w:r>
      <w:r>
        <w:rPr>
          <w:color w:val="231F20"/>
          <w:spacing w:val="-5"/>
          <w:w w:val="105"/>
          <w:sz w:val="21"/>
        </w:rPr>
        <w:t> </w:t>
      </w:r>
      <w:r>
        <w:rPr>
          <w:color w:val="231F20"/>
          <w:w w:val="105"/>
          <w:sz w:val="21"/>
        </w:rPr>
        <w:t>Derechos</w:t>
      </w:r>
      <w:r>
        <w:rPr>
          <w:color w:val="231F20"/>
          <w:spacing w:val="-5"/>
          <w:w w:val="105"/>
          <w:sz w:val="21"/>
        </w:rPr>
        <w:t> </w:t>
      </w:r>
      <w:r>
        <w:rPr>
          <w:color w:val="231F20"/>
          <w:w w:val="105"/>
          <w:sz w:val="21"/>
        </w:rPr>
        <w:t>Humanos,</w:t>
      </w:r>
      <w:r>
        <w:rPr>
          <w:color w:val="231F20"/>
          <w:spacing w:val="-10"/>
          <w:w w:val="105"/>
          <w:sz w:val="21"/>
        </w:rPr>
        <w:t> </w:t>
      </w:r>
      <w:r>
        <w:rPr>
          <w:color w:val="231F20"/>
          <w:w w:val="105"/>
          <w:sz w:val="21"/>
        </w:rPr>
        <w:t>(2013),</w:t>
      </w:r>
      <w:r>
        <w:rPr>
          <w:color w:val="231F20"/>
          <w:spacing w:val="-10"/>
          <w:w w:val="105"/>
          <w:sz w:val="21"/>
        </w:rPr>
        <w:t> </w:t>
      </w:r>
      <w:r>
        <w:rPr>
          <w:rFonts w:ascii="Arial" w:hAnsi="Arial"/>
          <w:i/>
          <w:color w:val="231F20"/>
          <w:w w:val="105"/>
          <w:sz w:val="21"/>
        </w:rPr>
        <w:t>Derechos</w:t>
      </w:r>
      <w:r>
        <w:rPr>
          <w:rFonts w:ascii="Arial" w:hAnsi="Arial"/>
          <w:i/>
          <w:color w:val="231F20"/>
          <w:spacing w:val="-8"/>
          <w:w w:val="105"/>
          <w:sz w:val="21"/>
        </w:rPr>
        <w:t> </w:t>
      </w:r>
      <w:r>
        <w:rPr>
          <w:rFonts w:ascii="Arial" w:hAnsi="Arial"/>
          <w:i/>
          <w:color w:val="231F20"/>
          <w:w w:val="105"/>
          <w:sz w:val="21"/>
        </w:rPr>
        <w:t>hu- </w:t>
      </w:r>
      <w:r>
        <w:rPr>
          <w:rFonts w:ascii="Arial" w:hAnsi="Arial"/>
          <w:i/>
          <w:color w:val="231F20"/>
          <w:w w:val="105"/>
          <w:sz w:val="21"/>
        </w:rPr>
        <w:t>manos</w:t>
      </w:r>
      <w:r>
        <w:rPr>
          <w:rFonts w:ascii="Arial" w:hAnsi="Arial"/>
          <w:i/>
          <w:color w:val="231F20"/>
          <w:spacing w:val="-23"/>
          <w:w w:val="105"/>
          <w:sz w:val="21"/>
        </w:rPr>
        <w:t> </w:t>
      </w:r>
      <w:r>
        <w:rPr>
          <w:rFonts w:ascii="Arial" w:hAnsi="Arial"/>
          <w:i/>
          <w:color w:val="231F20"/>
          <w:w w:val="105"/>
          <w:sz w:val="21"/>
        </w:rPr>
        <w:t>de</w:t>
      </w:r>
      <w:r>
        <w:rPr>
          <w:rFonts w:ascii="Arial" w:hAnsi="Arial"/>
          <w:i/>
          <w:color w:val="231F20"/>
          <w:spacing w:val="-23"/>
          <w:w w:val="105"/>
          <w:sz w:val="21"/>
        </w:rPr>
        <w:t> </w:t>
      </w:r>
      <w:r>
        <w:rPr>
          <w:rFonts w:ascii="Arial" w:hAnsi="Arial"/>
          <w:i/>
          <w:color w:val="231F20"/>
          <w:w w:val="105"/>
          <w:sz w:val="21"/>
        </w:rPr>
        <w:t>los</w:t>
      </w:r>
      <w:r>
        <w:rPr>
          <w:rFonts w:ascii="Arial" w:hAnsi="Arial"/>
          <w:i/>
          <w:color w:val="231F20"/>
          <w:spacing w:val="-23"/>
          <w:w w:val="105"/>
          <w:sz w:val="21"/>
        </w:rPr>
        <w:t> </w:t>
      </w:r>
      <w:r>
        <w:rPr>
          <w:rFonts w:ascii="Arial" w:hAnsi="Arial"/>
          <w:i/>
          <w:color w:val="231F20"/>
          <w:w w:val="105"/>
          <w:sz w:val="21"/>
        </w:rPr>
        <w:t>migrantes</w:t>
      </w:r>
      <w:r>
        <w:rPr>
          <w:rFonts w:ascii="Arial" w:hAnsi="Arial"/>
          <w:i/>
          <w:color w:val="231F20"/>
          <w:spacing w:val="-23"/>
          <w:w w:val="105"/>
          <w:sz w:val="21"/>
        </w:rPr>
        <w:t> </w:t>
      </w:r>
      <w:r>
        <w:rPr>
          <w:rFonts w:ascii="Arial" w:hAnsi="Arial"/>
          <w:i/>
          <w:color w:val="231F20"/>
          <w:w w:val="105"/>
          <w:sz w:val="21"/>
        </w:rPr>
        <w:t>y</w:t>
      </w:r>
      <w:r>
        <w:rPr>
          <w:rFonts w:ascii="Arial" w:hAnsi="Arial"/>
          <w:i/>
          <w:color w:val="231F20"/>
          <w:spacing w:val="-23"/>
          <w:w w:val="105"/>
          <w:sz w:val="21"/>
        </w:rPr>
        <w:t> </w:t>
      </w:r>
      <w:r>
        <w:rPr>
          <w:rFonts w:ascii="Arial" w:hAnsi="Arial"/>
          <w:i/>
          <w:color w:val="231F20"/>
          <w:w w:val="105"/>
          <w:sz w:val="21"/>
        </w:rPr>
        <w:t>otras</w:t>
      </w:r>
      <w:r>
        <w:rPr>
          <w:rFonts w:ascii="Arial" w:hAnsi="Arial"/>
          <w:i/>
          <w:color w:val="231F20"/>
          <w:spacing w:val="-23"/>
          <w:w w:val="105"/>
          <w:sz w:val="21"/>
        </w:rPr>
        <w:t> </w:t>
      </w:r>
      <w:r>
        <w:rPr>
          <w:rFonts w:ascii="Arial" w:hAnsi="Arial"/>
          <w:i/>
          <w:color w:val="231F20"/>
          <w:w w:val="105"/>
          <w:sz w:val="21"/>
        </w:rPr>
        <w:t>personas</w:t>
      </w:r>
      <w:r>
        <w:rPr>
          <w:rFonts w:ascii="Arial" w:hAnsi="Arial"/>
          <w:i/>
          <w:color w:val="231F20"/>
          <w:spacing w:val="-23"/>
          <w:w w:val="105"/>
          <w:sz w:val="21"/>
        </w:rPr>
        <w:t> </w:t>
      </w:r>
      <w:r>
        <w:rPr>
          <w:rFonts w:ascii="Arial" w:hAnsi="Arial"/>
          <w:i/>
          <w:color w:val="231F20"/>
          <w:w w:val="105"/>
          <w:sz w:val="21"/>
        </w:rPr>
        <w:t>en</w:t>
      </w:r>
      <w:r>
        <w:rPr>
          <w:rFonts w:ascii="Arial" w:hAnsi="Arial"/>
          <w:i/>
          <w:color w:val="231F20"/>
          <w:spacing w:val="-23"/>
          <w:w w:val="105"/>
          <w:sz w:val="21"/>
        </w:rPr>
        <w:t> </w:t>
      </w:r>
      <w:r>
        <w:rPr>
          <w:rFonts w:ascii="Arial" w:hAnsi="Arial"/>
          <w:i/>
          <w:color w:val="231F20"/>
          <w:w w:val="105"/>
          <w:sz w:val="21"/>
        </w:rPr>
        <w:t>el</w:t>
      </w:r>
      <w:r>
        <w:rPr>
          <w:rFonts w:ascii="Arial" w:hAnsi="Arial"/>
          <w:i/>
          <w:color w:val="231F20"/>
          <w:spacing w:val="-23"/>
          <w:w w:val="105"/>
          <w:sz w:val="21"/>
        </w:rPr>
        <w:t> </w:t>
      </w:r>
      <w:r>
        <w:rPr>
          <w:rFonts w:ascii="Arial" w:hAnsi="Arial"/>
          <w:i/>
          <w:color w:val="231F20"/>
          <w:w w:val="105"/>
          <w:sz w:val="21"/>
        </w:rPr>
        <w:t>contexto</w:t>
      </w:r>
      <w:r>
        <w:rPr>
          <w:rFonts w:ascii="Arial" w:hAnsi="Arial"/>
          <w:i/>
          <w:color w:val="231F20"/>
          <w:spacing w:val="-23"/>
          <w:w w:val="105"/>
          <w:sz w:val="21"/>
        </w:rPr>
        <w:t> </w:t>
      </w:r>
      <w:r>
        <w:rPr>
          <w:rFonts w:ascii="Arial" w:hAnsi="Arial"/>
          <w:i/>
          <w:color w:val="231F20"/>
          <w:w w:val="105"/>
          <w:sz w:val="21"/>
        </w:rPr>
        <w:t>de</w:t>
      </w:r>
      <w:r>
        <w:rPr>
          <w:rFonts w:ascii="Arial" w:hAnsi="Arial"/>
          <w:i/>
          <w:color w:val="231F20"/>
          <w:spacing w:val="-23"/>
          <w:w w:val="105"/>
          <w:sz w:val="21"/>
        </w:rPr>
        <w:t> </w:t>
      </w:r>
      <w:r>
        <w:rPr>
          <w:rFonts w:ascii="Arial" w:hAnsi="Arial"/>
          <w:i/>
          <w:color w:val="231F20"/>
          <w:w w:val="105"/>
          <w:sz w:val="21"/>
        </w:rPr>
        <w:t>la</w:t>
      </w:r>
      <w:r>
        <w:rPr>
          <w:rFonts w:ascii="Arial" w:hAnsi="Arial"/>
          <w:i/>
          <w:color w:val="231F20"/>
          <w:spacing w:val="-23"/>
          <w:w w:val="105"/>
          <w:sz w:val="21"/>
        </w:rPr>
        <w:t> </w:t>
      </w:r>
      <w:r>
        <w:rPr>
          <w:rFonts w:ascii="Arial" w:hAnsi="Arial"/>
          <w:i/>
          <w:color w:val="231F20"/>
          <w:w w:val="105"/>
          <w:sz w:val="21"/>
        </w:rPr>
        <w:t>mo- vilidad</w:t>
      </w:r>
      <w:r>
        <w:rPr>
          <w:rFonts w:ascii="Arial" w:hAnsi="Arial"/>
          <w:i/>
          <w:color w:val="231F20"/>
          <w:spacing w:val="-24"/>
          <w:w w:val="105"/>
          <w:sz w:val="21"/>
        </w:rPr>
        <w:t> </w:t>
      </w:r>
      <w:r>
        <w:rPr>
          <w:rFonts w:ascii="Arial" w:hAnsi="Arial"/>
          <w:i/>
          <w:color w:val="231F20"/>
          <w:w w:val="105"/>
          <w:sz w:val="21"/>
        </w:rPr>
        <w:t>humana</w:t>
      </w:r>
      <w:r>
        <w:rPr>
          <w:rFonts w:ascii="Arial" w:hAnsi="Arial"/>
          <w:i/>
          <w:color w:val="231F20"/>
          <w:spacing w:val="-24"/>
          <w:w w:val="105"/>
          <w:sz w:val="21"/>
        </w:rPr>
        <w:t> </w:t>
      </w:r>
      <w:r>
        <w:rPr>
          <w:rFonts w:ascii="Arial" w:hAnsi="Arial"/>
          <w:i/>
          <w:color w:val="231F20"/>
          <w:w w:val="105"/>
          <w:sz w:val="21"/>
        </w:rPr>
        <w:t>en</w:t>
      </w:r>
      <w:r>
        <w:rPr>
          <w:rFonts w:ascii="Arial" w:hAnsi="Arial"/>
          <w:i/>
          <w:color w:val="231F20"/>
          <w:spacing w:val="-24"/>
          <w:w w:val="105"/>
          <w:sz w:val="21"/>
        </w:rPr>
        <w:t> </w:t>
      </w:r>
      <w:r>
        <w:rPr>
          <w:rFonts w:ascii="Arial" w:hAnsi="Arial"/>
          <w:i/>
          <w:color w:val="231F20"/>
          <w:w w:val="105"/>
          <w:sz w:val="21"/>
        </w:rPr>
        <w:t>México,</w:t>
      </w:r>
      <w:r>
        <w:rPr>
          <w:rFonts w:ascii="Arial" w:hAnsi="Arial"/>
          <w:i/>
          <w:color w:val="231F20"/>
          <w:spacing w:val="-24"/>
          <w:w w:val="105"/>
          <w:sz w:val="21"/>
        </w:rPr>
        <w:t> </w:t>
      </w:r>
      <w:r>
        <w:rPr>
          <w:color w:val="231F20"/>
          <w:w w:val="105"/>
          <w:sz w:val="21"/>
        </w:rPr>
        <w:t>México:</w:t>
      </w:r>
      <w:r>
        <w:rPr>
          <w:color w:val="231F20"/>
          <w:spacing w:val="-22"/>
          <w:w w:val="105"/>
          <w:sz w:val="21"/>
        </w:rPr>
        <w:t> </w:t>
      </w:r>
      <w:r>
        <w:rPr>
          <w:color w:val="231F20"/>
          <w:w w:val="105"/>
          <w:sz w:val="17"/>
        </w:rPr>
        <w:t>OEA</w:t>
      </w:r>
      <w:r>
        <w:rPr>
          <w:color w:val="231F20"/>
          <w:w w:val="105"/>
          <w:sz w:val="21"/>
        </w:rPr>
        <w:t>.</w:t>
      </w:r>
    </w:p>
    <w:p>
      <w:pPr>
        <w:pStyle w:val="BodyText"/>
        <w:spacing w:line="261" w:lineRule="auto" w:before="3"/>
        <w:ind w:left="2574" w:right="1721" w:hanging="738"/>
        <w:jc w:val="both"/>
      </w:pPr>
      <w:r>
        <w:rPr>
          <w:color w:val="231F20"/>
          <w:w w:val="105"/>
        </w:rPr>
        <w:t>Constitución</w:t>
      </w:r>
      <w:r>
        <w:rPr>
          <w:color w:val="231F20"/>
          <w:spacing w:val="-7"/>
          <w:w w:val="105"/>
        </w:rPr>
        <w:t> </w:t>
      </w:r>
      <w:r>
        <w:rPr>
          <w:color w:val="231F20"/>
          <w:w w:val="105"/>
        </w:rPr>
        <w:t>Política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Estados</w:t>
      </w:r>
      <w:r>
        <w:rPr>
          <w:color w:val="231F20"/>
          <w:spacing w:val="-7"/>
          <w:w w:val="105"/>
        </w:rPr>
        <w:t> </w:t>
      </w:r>
      <w:r>
        <w:rPr>
          <w:color w:val="231F20"/>
          <w:w w:val="105"/>
        </w:rPr>
        <w:t>Unidos</w:t>
      </w:r>
      <w:r>
        <w:rPr>
          <w:color w:val="231F20"/>
          <w:spacing w:val="-7"/>
          <w:w w:val="105"/>
        </w:rPr>
        <w:t> </w:t>
      </w:r>
      <w:r>
        <w:rPr>
          <w:color w:val="231F20"/>
          <w:w w:val="105"/>
        </w:rPr>
        <w:t>Mexicanos,</w:t>
      </w:r>
      <w:r>
        <w:rPr>
          <w:color w:val="231F20"/>
          <w:spacing w:val="-11"/>
          <w:w w:val="105"/>
        </w:rPr>
        <w:t> </w:t>
      </w:r>
      <w:r>
        <w:rPr>
          <w:color w:val="231F20"/>
          <w:w w:val="105"/>
        </w:rPr>
        <w:t>(1917),</w:t>
      </w:r>
      <w:r>
        <w:rPr>
          <w:color w:val="231F20"/>
          <w:spacing w:val="-11"/>
          <w:w w:val="105"/>
        </w:rPr>
        <w:t> </w:t>
      </w:r>
      <w:r>
        <w:rPr>
          <w:color w:val="231F20"/>
          <w:w w:val="105"/>
        </w:rPr>
        <w:t>H.</w:t>
      </w:r>
      <w:r>
        <w:rPr>
          <w:color w:val="231F20"/>
          <w:spacing w:val="-11"/>
          <w:w w:val="105"/>
        </w:rPr>
        <w:t> </w:t>
      </w:r>
      <w:r>
        <w:rPr>
          <w:color w:val="231F20"/>
          <w:w w:val="105"/>
        </w:rPr>
        <w:t>Con- greso de la Unión, recuperado de </w:t>
      </w:r>
      <w:hyperlink r:id="rId35">
        <w:r>
          <w:rPr>
            <w:color w:val="231F20"/>
            <w:w w:val="105"/>
          </w:rPr>
          <w:t>http://www.diputados.gob.</w:t>
        </w:r>
      </w:hyperlink>
      <w:r>
        <w:rPr>
          <w:color w:val="231F20"/>
          <w:w w:val="105"/>
        </w:rPr>
        <w:t> mx/LeyesBiblio/pdf/29ene16.pdf</w:t>
      </w:r>
    </w:p>
    <w:p>
      <w:pPr>
        <w:spacing w:line="259" w:lineRule="auto" w:before="0"/>
        <w:ind w:left="2574" w:right="1722" w:hanging="737"/>
        <w:jc w:val="both"/>
        <w:rPr>
          <w:sz w:val="21"/>
        </w:rPr>
      </w:pPr>
      <w:r>
        <w:rPr>
          <w:color w:val="231F20"/>
          <w:w w:val="105"/>
          <w:sz w:val="21"/>
        </w:rPr>
        <w:t>Del</w:t>
      </w:r>
      <w:r>
        <w:rPr>
          <w:color w:val="231F20"/>
          <w:spacing w:val="-32"/>
          <w:w w:val="105"/>
          <w:sz w:val="21"/>
        </w:rPr>
        <w:t> </w:t>
      </w:r>
      <w:r>
        <w:rPr>
          <w:color w:val="231F20"/>
          <w:spacing w:val="-6"/>
          <w:w w:val="105"/>
          <w:sz w:val="21"/>
        </w:rPr>
        <w:t>Toro</w:t>
      </w:r>
      <w:r>
        <w:rPr>
          <w:color w:val="231F20"/>
          <w:spacing w:val="-28"/>
          <w:w w:val="105"/>
          <w:sz w:val="21"/>
        </w:rPr>
        <w:t> </w:t>
      </w:r>
      <w:r>
        <w:rPr>
          <w:color w:val="231F20"/>
          <w:w w:val="105"/>
          <w:sz w:val="21"/>
        </w:rPr>
        <w:t>Huerta,</w:t>
      </w:r>
      <w:r>
        <w:rPr>
          <w:color w:val="231F20"/>
          <w:spacing w:val="-33"/>
          <w:w w:val="105"/>
          <w:sz w:val="21"/>
        </w:rPr>
        <w:t> </w:t>
      </w:r>
      <w:r>
        <w:rPr>
          <w:color w:val="231F20"/>
          <w:w w:val="105"/>
          <w:sz w:val="21"/>
        </w:rPr>
        <w:t>Mauricio</w:t>
      </w:r>
      <w:r>
        <w:rPr>
          <w:color w:val="231F20"/>
          <w:spacing w:val="-28"/>
          <w:w w:val="105"/>
          <w:sz w:val="21"/>
        </w:rPr>
        <w:t> </w:t>
      </w:r>
      <w:r>
        <w:rPr>
          <w:color w:val="231F20"/>
          <w:w w:val="105"/>
          <w:sz w:val="21"/>
        </w:rPr>
        <w:t>Iván,</w:t>
      </w:r>
      <w:r>
        <w:rPr>
          <w:color w:val="231F20"/>
          <w:spacing w:val="-33"/>
          <w:w w:val="105"/>
          <w:sz w:val="21"/>
        </w:rPr>
        <w:t> </w:t>
      </w:r>
      <w:r>
        <w:rPr>
          <w:color w:val="231F20"/>
          <w:w w:val="105"/>
          <w:sz w:val="21"/>
        </w:rPr>
        <w:t>(2012),</w:t>
      </w:r>
      <w:r>
        <w:rPr>
          <w:color w:val="231F20"/>
          <w:spacing w:val="-33"/>
          <w:w w:val="105"/>
          <w:sz w:val="21"/>
        </w:rPr>
        <w:t> </w:t>
      </w:r>
      <w:r>
        <w:rPr>
          <w:rFonts w:ascii="Arial" w:hAnsi="Arial"/>
          <w:i/>
          <w:color w:val="231F20"/>
          <w:w w:val="105"/>
          <w:sz w:val="21"/>
        </w:rPr>
        <w:t>La</w:t>
      </w:r>
      <w:r>
        <w:rPr>
          <w:rFonts w:ascii="Arial" w:hAnsi="Arial"/>
          <w:i/>
          <w:color w:val="231F20"/>
          <w:spacing w:val="-31"/>
          <w:w w:val="105"/>
          <w:sz w:val="21"/>
        </w:rPr>
        <w:t> </w:t>
      </w:r>
      <w:r>
        <w:rPr>
          <w:rFonts w:ascii="Arial" w:hAnsi="Arial"/>
          <w:i/>
          <w:color w:val="231F20"/>
          <w:w w:val="105"/>
          <w:sz w:val="21"/>
        </w:rPr>
        <w:t>Declaración</w:t>
      </w:r>
      <w:r>
        <w:rPr>
          <w:rFonts w:ascii="Arial" w:hAnsi="Arial"/>
          <w:i/>
          <w:color w:val="231F20"/>
          <w:spacing w:val="-31"/>
          <w:w w:val="105"/>
          <w:sz w:val="21"/>
        </w:rPr>
        <w:t> </w:t>
      </w:r>
      <w:r>
        <w:rPr>
          <w:rFonts w:ascii="Arial" w:hAnsi="Arial"/>
          <w:i/>
          <w:color w:val="231F20"/>
          <w:w w:val="105"/>
          <w:sz w:val="21"/>
        </w:rPr>
        <w:t>Universal</w:t>
      </w:r>
      <w:r>
        <w:rPr>
          <w:rFonts w:ascii="Arial" w:hAnsi="Arial"/>
          <w:i/>
          <w:color w:val="231F20"/>
          <w:spacing w:val="-31"/>
          <w:w w:val="105"/>
          <w:sz w:val="21"/>
        </w:rPr>
        <w:t> </w:t>
      </w:r>
      <w:r>
        <w:rPr>
          <w:rFonts w:ascii="Arial" w:hAnsi="Arial"/>
          <w:i/>
          <w:color w:val="231F20"/>
          <w:w w:val="105"/>
          <w:sz w:val="21"/>
        </w:rPr>
        <w:t>de</w:t>
      </w:r>
      <w:r>
        <w:rPr>
          <w:rFonts w:ascii="Arial" w:hAnsi="Arial"/>
          <w:i/>
          <w:color w:val="231F20"/>
          <w:spacing w:val="-31"/>
          <w:w w:val="105"/>
          <w:sz w:val="21"/>
        </w:rPr>
        <w:t> </w:t>
      </w:r>
      <w:r>
        <w:rPr>
          <w:rFonts w:ascii="Arial" w:hAnsi="Arial"/>
          <w:i/>
          <w:color w:val="231F20"/>
          <w:w w:val="105"/>
          <w:sz w:val="21"/>
        </w:rPr>
        <w:t>Dere- </w:t>
      </w:r>
      <w:r>
        <w:rPr>
          <w:rFonts w:ascii="Arial" w:hAnsi="Arial"/>
          <w:i/>
          <w:color w:val="231F20"/>
          <w:w w:val="105"/>
          <w:sz w:val="21"/>
        </w:rPr>
        <w:t>chos</w:t>
      </w:r>
      <w:r>
        <w:rPr>
          <w:rFonts w:ascii="Arial" w:hAnsi="Arial"/>
          <w:i/>
          <w:color w:val="231F20"/>
          <w:spacing w:val="-18"/>
          <w:w w:val="105"/>
          <w:sz w:val="21"/>
        </w:rPr>
        <w:t> </w:t>
      </w:r>
      <w:r>
        <w:rPr>
          <w:rFonts w:ascii="Arial" w:hAnsi="Arial"/>
          <w:i/>
          <w:color w:val="231F20"/>
          <w:w w:val="105"/>
          <w:sz w:val="21"/>
        </w:rPr>
        <w:t>Humanos:</w:t>
      </w:r>
      <w:r>
        <w:rPr>
          <w:rFonts w:ascii="Arial" w:hAnsi="Arial"/>
          <w:i/>
          <w:color w:val="231F20"/>
          <w:spacing w:val="-18"/>
          <w:w w:val="105"/>
          <w:sz w:val="21"/>
        </w:rPr>
        <w:t> </w:t>
      </w:r>
      <w:r>
        <w:rPr>
          <w:rFonts w:ascii="Arial" w:hAnsi="Arial"/>
          <w:i/>
          <w:color w:val="231F20"/>
          <w:w w:val="105"/>
          <w:sz w:val="21"/>
        </w:rPr>
        <w:t>un</w:t>
      </w:r>
      <w:r>
        <w:rPr>
          <w:rFonts w:ascii="Arial" w:hAnsi="Arial"/>
          <w:i/>
          <w:color w:val="231F20"/>
          <w:spacing w:val="-18"/>
          <w:w w:val="105"/>
          <w:sz w:val="21"/>
        </w:rPr>
        <w:t> </w:t>
      </w:r>
      <w:r>
        <w:rPr>
          <w:rFonts w:ascii="Arial" w:hAnsi="Arial"/>
          <w:i/>
          <w:color w:val="231F20"/>
          <w:w w:val="105"/>
          <w:sz w:val="21"/>
        </w:rPr>
        <w:t>texto</w:t>
      </w:r>
      <w:r>
        <w:rPr>
          <w:rFonts w:ascii="Arial" w:hAnsi="Arial"/>
          <w:i/>
          <w:color w:val="231F20"/>
          <w:spacing w:val="-18"/>
          <w:w w:val="105"/>
          <w:sz w:val="21"/>
        </w:rPr>
        <w:t> </w:t>
      </w:r>
      <w:r>
        <w:rPr>
          <w:rFonts w:ascii="Arial" w:hAnsi="Arial"/>
          <w:i/>
          <w:color w:val="231F20"/>
          <w:w w:val="105"/>
          <w:sz w:val="21"/>
        </w:rPr>
        <w:t>multidimensional</w:t>
      </w:r>
      <w:r>
        <w:rPr>
          <w:rFonts w:ascii="Arial" w:hAnsi="Arial"/>
          <w:i/>
          <w:color w:val="231F20"/>
          <w:spacing w:val="-18"/>
          <w:w w:val="105"/>
          <w:sz w:val="21"/>
        </w:rPr>
        <w:t> </w:t>
      </w:r>
      <w:r>
        <w:rPr>
          <w:rFonts w:ascii="Arial" w:hAnsi="Arial"/>
          <w:i/>
          <w:color w:val="231F20"/>
          <w:w w:val="105"/>
          <w:sz w:val="21"/>
        </w:rPr>
        <w:t>(Fascículo</w:t>
      </w:r>
      <w:r>
        <w:rPr>
          <w:rFonts w:ascii="Arial" w:hAnsi="Arial"/>
          <w:i/>
          <w:color w:val="231F20"/>
          <w:spacing w:val="-18"/>
          <w:w w:val="105"/>
          <w:sz w:val="21"/>
        </w:rPr>
        <w:t> </w:t>
      </w:r>
      <w:r>
        <w:rPr>
          <w:rFonts w:ascii="Arial" w:hAnsi="Arial"/>
          <w:i/>
          <w:color w:val="231F20"/>
          <w:w w:val="105"/>
          <w:sz w:val="21"/>
        </w:rPr>
        <w:t>2)</w:t>
      </w:r>
      <w:r>
        <w:rPr>
          <w:color w:val="231F20"/>
          <w:w w:val="105"/>
          <w:sz w:val="21"/>
        </w:rPr>
        <w:t>,</w:t>
      </w:r>
      <w:r>
        <w:rPr>
          <w:color w:val="231F20"/>
          <w:spacing w:val="-20"/>
          <w:w w:val="105"/>
          <w:sz w:val="21"/>
        </w:rPr>
        <w:t> </w:t>
      </w:r>
      <w:r>
        <w:rPr>
          <w:color w:val="231F20"/>
          <w:w w:val="105"/>
          <w:sz w:val="21"/>
        </w:rPr>
        <w:t>México: </w:t>
      </w:r>
      <w:r>
        <w:rPr>
          <w:color w:val="231F20"/>
          <w:w w:val="105"/>
          <w:sz w:val="17"/>
        </w:rPr>
        <w:t>CNDH</w:t>
      </w:r>
      <w:r>
        <w:rPr>
          <w:color w:val="231F20"/>
          <w:w w:val="105"/>
          <w:sz w:val="21"/>
        </w:rPr>
        <w:t>.</w:t>
      </w:r>
    </w:p>
    <w:p>
      <w:pPr>
        <w:spacing w:line="259" w:lineRule="auto" w:before="0"/>
        <w:ind w:left="2574" w:right="1721" w:hanging="738"/>
        <w:jc w:val="both"/>
        <w:rPr>
          <w:rFonts w:ascii="Arial" w:hAnsi="Arial"/>
          <w:i/>
          <w:sz w:val="21"/>
        </w:rPr>
      </w:pPr>
      <w:r>
        <w:rPr>
          <w:color w:val="231F20"/>
          <w:sz w:val="21"/>
        </w:rPr>
        <w:t>Escobar</w:t>
      </w:r>
      <w:r>
        <w:rPr>
          <w:color w:val="231F20"/>
          <w:spacing w:val="-9"/>
          <w:sz w:val="21"/>
        </w:rPr>
        <w:t> </w:t>
      </w:r>
      <w:r>
        <w:rPr>
          <w:color w:val="231F20"/>
          <w:sz w:val="21"/>
        </w:rPr>
        <w:t>Villanueva,</w:t>
      </w:r>
      <w:r>
        <w:rPr>
          <w:color w:val="231F20"/>
          <w:spacing w:val="-11"/>
          <w:sz w:val="21"/>
        </w:rPr>
        <w:t> </w:t>
      </w:r>
      <w:r>
        <w:rPr>
          <w:color w:val="231F20"/>
          <w:sz w:val="21"/>
        </w:rPr>
        <w:t>Salvador,</w:t>
      </w:r>
      <w:r>
        <w:rPr>
          <w:color w:val="231F20"/>
          <w:spacing w:val="-11"/>
          <w:sz w:val="21"/>
        </w:rPr>
        <w:t> </w:t>
      </w:r>
      <w:r>
        <w:rPr>
          <w:color w:val="231F20"/>
          <w:sz w:val="21"/>
        </w:rPr>
        <w:t>(2007),</w:t>
      </w:r>
      <w:r>
        <w:rPr>
          <w:color w:val="231F20"/>
          <w:spacing w:val="-11"/>
          <w:sz w:val="21"/>
        </w:rPr>
        <w:t> </w:t>
      </w:r>
      <w:r>
        <w:rPr>
          <w:rFonts w:ascii="Arial" w:hAnsi="Arial"/>
          <w:i/>
          <w:color w:val="231F20"/>
          <w:sz w:val="21"/>
        </w:rPr>
        <w:t>Globalización</w:t>
      </w:r>
      <w:r>
        <w:rPr>
          <w:rFonts w:ascii="Arial" w:hAnsi="Arial"/>
          <w:i/>
          <w:color w:val="231F20"/>
          <w:spacing w:val="-6"/>
          <w:sz w:val="21"/>
        </w:rPr>
        <w:t> </w:t>
      </w:r>
      <w:r>
        <w:rPr>
          <w:rFonts w:ascii="Arial" w:hAnsi="Arial"/>
          <w:i/>
          <w:color w:val="231F20"/>
          <w:sz w:val="21"/>
        </w:rPr>
        <w:t>y</w:t>
      </w:r>
      <w:r>
        <w:rPr>
          <w:rFonts w:ascii="Arial" w:hAnsi="Arial"/>
          <w:i/>
          <w:color w:val="231F20"/>
          <w:spacing w:val="-6"/>
          <w:sz w:val="21"/>
        </w:rPr>
        <w:t> </w:t>
      </w:r>
      <w:r>
        <w:rPr>
          <w:rFonts w:ascii="Arial" w:hAnsi="Arial"/>
          <w:i/>
          <w:color w:val="231F20"/>
          <w:sz w:val="21"/>
        </w:rPr>
        <w:t>sus</w:t>
      </w:r>
      <w:r>
        <w:rPr>
          <w:rFonts w:ascii="Arial" w:hAnsi="Arial"/>
          <w:i/>
          <w:color w:val="231F20"/>
          <w:spacing w:val="-6"/>
          <w:sz w:val="21"/>
        </w:rPr>
        <w:t> </w:t>
      </w:r>
      <w:r>
        <w:rPr>
          <w:rFonts w:ascii="Arial" w:hAnsi="Arial"/>
          <w:i/>
          <w:color w:val="231F20"/>
          <w:sz w:val="21"/>
        </w:rPr>
        <w:t>efectos</w:t>
      </w:r>
      <w:r>
        <w:rPr>
          <w:rFonts w:ascii="Arial" w:hAnsi="Arial"/>
          <w:i/>
          <w:color w:val="231F20"/>
          <w:spacing w:val="-6"/>
          <w:sz w:val="21"/>
        </w:rPr>
        <w:t> </w:t>
      </w:r>
      <w:r>
        <w:rPr>
          <w:rFonts w:ascii="Arial" w:hAnsi="Arial"/>
          <w:i/>
          <w:color w:val="231F20"/>
          <w:sz w:val="21"/>
        </w:rPr>
        <w:t>en</w:t>
      </w:r>
      <w:r>
        <w:rPr>
          <w:rFonts w:ascii="Arial" w:hAnsi="Arial"/>
          <w:i/>
          <w:color w:val="231F20"/>
          <w:spacing w:val="-6"/>
          <w:sz w:val="21"/>
        </w:rPr>
        <w:t> </w:t>
      </w:r>
      <w:r>
        <w:rPr>
          <w:rFonts w:ascii="Arial" w:hAnsi="Arial"/>
          <w:i/>
          <w:color w:val="231F20"/>
          <w:sz w:val="21"/>
        </w:rPr>
        <w:t>la</w:t>
      </w:r>
      <w:r>
        <w:rPr>
          <w:rFonts w:ascii="Arial" w:hAnsi="Arial"/>
          <w:i/>
          <w:color w:val="231F20"/>
          <w:spacing w:val="-6"/>
          <w:sz w:val="21"/>
        </w:rPr>
        <w:t> </w:t>
      </w:r>
      <w:r>
        <w:rPr>
          <w:rFonts w:ascii="Arial" w:hAnsi="Arial"/>
          <w:i/>
          <w:color w:val="231F20"/>
          <w:sz w:val="21"/>
        </w:rPr>
        <w:t>mi- </w:t>
      </w:r>
      <w:r>
        <w:rPr>
          <w:rFonts w:ascii="Arial" w:hAnsi="Arial"/>
          <w:i/>
          <w:color w:val="231F20"/>
          <w:sz w:val="21"/>
        </w:rPr>
        <w:t>gración México-Estados Unido, </w:t>
      </w:r>
      <w:r>
        <w:rPr>
          <w:color w:val="231F20"/>
          <w:sz w:val="21"/>
        </w:rPr>
        <w:t>México: Miguel Ángel  </w:t>
      </w:r>
      <w:r>
        <w:rPr>
          <w:color w:val="231F20"/>
          <w:spacing w:val="16"/>
          <w:sz w:val="21"/>
        </w:rPr>
        <w:t> </w:t>
      </w:r>
      <w:r>
        <w:rPr>
          <w:color w:val="231F20"/>
          <w:spacing w:val="-3"/>
          <w:sz w:val="21"/>
        </w:rPr>
        <w:t>Porrúa</w:t>
      </w:r>
      <w:r>
        <w:rPr>
          <w:rFonts w:ascii="Arial" w:hAnsi="Arial"/>
          <w:i/>
          <w:color w:val="231F20"/>
          <w:spacing w:val="-3"/>
          <w:sz w:val="21"/>
        </w:rPr>
        <w:t>.</w:t>
      </w:r>
    </w:p>
    <w:p>
      <w:pPr>
        <w:spacing w:line="259" w:lineRule="auto" w:before="0"/>
        <w:ind w:left="2574" w:right="1721" w:hanging="738"/>
        <w:jc w:val="both"/>
        <w:rPr>
          <w:sz w:val="21"/>
        </w:rPr>
      </w:pPr>
      <w:r>
        <w:rPr>
          <w:color w:val="231F20"/>
          <w:sz w:val="21"/>
        </w:rPr>
        <w:t>Fondo de las Naciones Unidas para la Infancia (</w:t>
      </w:r>
      <w:r>
        <w:rPr>
          <w:color w:val="231F20"/>
          <w:sz w:val="17"/>
        </w:rPr>
        <w:t>UNICEF</w:t>
      </w:r>
      <w:r>
        <w:rPr>
          <w:color w:val="231F20"/>
          <w:sz w:val="21"/>
        </w:rPr>
        <w:t>), (2006), </w:t>
      </w:r>
      <w:r>
        <w:rPr>
          <w:rFonts w:ascii="Arial" w:hAnsi="Arial"/>
          <w:i/>
          <w:color w:val="231F20"/>
          <w:sz w:val="21"/>
        </w:rPr>
        <w:t>Conven- </w:t>
      </w:r>
      <w:r>
        <w:rPr>
          <w:rFonts w:ascii="Arial" w:hAnsi="Arial"/>
          <w:i/>
          <w:color w:val="231F20"/>
          <w:sz w:val="21"/>
        </w:rPr>
        <w:t>ción sobre los Derechos del Niño, 20 de noviembre de 1989</w:t>
      </w:r>
      <w:r>
        <w:rPr>
          <w:color w:val="231F20"/>
          <w:sz w:val="21"/>
        </w:rPr>
        <w:t>, Ma- drid:  </w:t>
      </w:r>
      <w:r>
        <w:rPr>
          <w:color w:val="231F20"/>
          <w:sz w:val="17"/>
        </w:rPr>
        <w:t>UNICEF</w:t>
      </w:r>
      <w:r>
        <w:rPr>
          <w:color w:val="231F20"/>
          <w:sz w:val="21"/>
        </w:rPr>
        <w:t>-Comité Español.</w:t>
      </w:r>
    </w:p>
    <w:p>
      <w:pPr>
        <w:pStyle w:val="BodyText"/>
        <w:spacing w:line="259" w:lineRule="auto" w:before="3"/>
        <w:ind w:left="2574" w:right="1721" w:hanging="738"/>
        <w:jc w:val="both"/>
      </w:pPr>
      <w:r>
        <w:rPr>
          <w:color w:val="231F20"/>
          <w:w w:val="105"/>
        </w:rPr>
        <w:t>García</w:t>
      </w:r>
      <w:r>
        <w:rPr>
          <w:color w:val="231F20"/>
          <w:spacing w:val="-21"/>
          <w:w w:val="105"/>
        </w:rPr>
        <w:t> </w:t>
      </w:r>
      <w:r>
        <w:rPr>
          <w:color w:val="231F20"/>
          <w:w w:val="105"/>
        </w:rPr>
        <w:t>Aguilar,</w:t>
      </w:r>
      <w:r>
        <w:rPr>
          <w:color w:val="231F20"/>
          <w:spacing w:val="-23"/>
          <w:w w:val="105"/>
        </w:rPr>
        <w:t> </w:t>
      </w:r>
      <w:r>
        <w:rPr>
          <w:color w:val="231F20"/>
          <w:w w:val="105"/>
        </w:rPr>
        <w:t>María</w:t>
      </w:r>
      <w:r>
        <w:rPr>
          <w:color w:val="231F20"/>
          <w:spacing w:val="-19"/>
          <w:w w:val="105"/>
        </w:rPr>
        <w:t> </w:t>
      </w:r>
      <w:r>
        <w:rPr>
          <w:color w:val="231F20"/>
          <w:w w:val="105"/>
        </w:rPr>
        <w:t>del</w:t>
      </w:r>
      <w:r>
        <w:rPr>
          <w:color w:val="231F20"/>
          <w:spacing w:val="-19"/>
          <w:w w:val="105"/>
        </w:rPr>
        <w:t> </w:t>
      </w:r>
      <w:r>
        <w:rPr>
          <w:color w:val="231F20"/>
          <w:w w:val="105"/>
        </w:rPr>
        <w:t>Carmen</w:t>
      </w:r>
      <w:r>
        <w:rPr>
          <w:color w:val="231F20"/>
          <w:spacing w:val="-19"/>
          <w:w w:val="105"/>
        </w:rPr>
        <w:t> </w:t>
      </w:r>
      <w:r>
        <w:rPr>
          <w:color w:val="231F20"/>
          <w:w w:val="105"/>
        </w:rPr>
        <w:t>y</w:t>
      </w:r>
      <w:r>
        <w:rPr>
          <w:color w:val="231F20"/>
          <w:spacing w:val="-22"/>
          <w:w w:val="105"/>
        </w:rPr>
        <w:t> </w:t>
      </w:r>
      <w:r>
        <w:rPr>
          <w:color w:val="231F20"/>
          <w:spacing w:val="-3"/>
          <w:w w:val="105"/>
        </w:rPr>
        <w:t>Tarríos</w:t>
      </w:r>
      <w:r>
        <w:rPr>
          <w:color w:val="231F20"/>
          <w:spacing w:val="-19"/>
          <w:w w:val="105"/>
        </w:rPr>
        <w:t> </w:t>
      </w:r>
      <w:r>
        <w:rPr>
          <w:color w:val="231F20"/>
          <w:w w:val="105"/>
        </w:rPr>
        <w:t>García,</w:t>
      </w:r>
      <w:r>
        <w:rPr>
          <w:color w:val="231F20"/>
          <w:spacing w:val="-23"/>
          <w:w w:val="105"/>
        </w:rPr>
        <w:t> </w:t>
      </w:r>
      <w:r>
        <w:rPr>
          <w:color w:val="231F20"/>
          <w:w w:val="105"/>
        </w:rPr>
        <w:t>María,</w:t>
      </w:r>
      <w:r>
        <w:rPr>
          <w:color w:val="231F20"/>
          <w:spacing w:val="-23"/>
          <w:w w:val="105"/>
        </w:rPr>
        <w:t> </w:t>
      </w:r>
      <w:r>
        <w:rPr>
          <w:color w:val="231F20"/>
          <w:w w:val="105"/>
        </w:rPr>
        <w:t>(2008),</w:t>
      </w:r>
      <w:r>
        <w:rPr>
          <w:color w:val="231F20"/>
          <w:spacing w:val="-23"/>
          <w:w w:val="105"/>
        </w:rPr>
        <w:t> </w:t>
      </w:r>
      <w:r>
        <w:rPr>
          <w:color w:val="231F20"/>
          <w:w w:val="105"/>
        </w:rPr>
        <w:t>“Migra- ción</w:t>
      </w:r>
      <w:r>
        <w:rPr>
          <w:color w:val="231F20"/>
          <w:spacing w:val="-16"/>
          <w:w w:val="105"/>
        </w:rPr>
        <w:t> </w:t>
      </w:r>
      <w:r>
        <w:rPr>
          <w:color w:val="231F20"/>
          <w:w w:val="105"/>
        </w:rPr>
        <w:t>irregular</w:t>
      </w:r>
      <w:r>
        <w:rPr>
          <w:color w:val="231F20"/>
          <w:spacing w:val="-16"/>
          <w:w w:val="105"/>
        </w:rPr>
        <w:t> </w:t>
      </w:r>
      <w:r>
        <w:rPr>
          <w:color w:val="231F20"/>
          <w:w w:val="105"/>
        </w:rPr>
        <w:t>centroamericana,</w:t>
      </w:r>
      <w:r>
        <w:rPr>
          <w:color w:val="231F20"/>
          <w:spacing w:val="-21"/>
          <w:w w:val="105"/>
        </w:rPr>
        <w:t> </w:t>
      </w:r>
      <w:r>
        <w:rPr>
          <w:color w:val="231F20"/>
          <w:w w:val="105"/>
        </w:rPr>
        <w:t>las</w:t>
      </w:r>
      <w:r>
        <w:rPr>
          <w:color w:val="231F20"/>
          <w:spacing w:val="-16"/>
          <w:w w:val="105"/>
        </w:rPr>
        <w:t> </w:t>
      </w:r>
      <w:r>
        <w:rPr>
          <w:color w:val="231F20"/>
          <w:w w:val="105"/>
        </w:rPr>
        <w:t>tensiones</w:t>
      </w:r>
      <w:r>
        <w:rPr>
          <w:color w:val="231F20"/>
          <w:spacing w:val="-16"/>
          <w:w w:val="105"/>
        </w:rPr>
        <w:t> </w:t>
      </w:r>
      <w:r>
        <w:rPr>
          <w:color w:val="231F20"/>
          <w:w w:val="105"/>
        </w:rPr>
        <w:t>entre</w:t>
      </w:r>
      <w:r>
        <w:rPr>
          <w:color w:val="231F20"/>
          <w:spacing w:val="-16"/>
          <w:w w:val="105"/>
        </w:rPr>
        <w:t> </w:t>
      </w:r>
      <w:r>
        <w:rPr>
          <w:color w:val="231F20"/>
          <w:w w:val="105"/>
        </w:rPr>
        <w:t>derechos</w:t>
      </w:r>
      <w:r>
        <w:rPr>
          <w:color w:val="231F20"/>
          <w:spacing w:val="-16"/>
          <w:w w:val="105"/>
        </w:rPr>
        <w:t> </w:t>
      </w:r>
      <w:r>
        <w:rPr>
          <w:color w:val="231F20"/>
          <w:w w:val="105"/>
        </w:rPr>
        <w:t>hu- manos, ley y justicia”</w:t>
      </w:r>
      <w:r>
        <w:rPr>
          <w:rFonts w:ascii="Arial" w:hAnsi="Arial"/>
          <w:i/>
          <w:color w:val="231F20"/>
          <w:w w:val="105"/>
        </w:rPr>
        <w:t>, </w:t>
      </w:r>
      <w:r>
        <w:rPr>
          <w:color w:val="231F20"/>
          <w:w w:val="105"/>
        </w:rPr>
        <w:t>en Daniel Villafuerte y María del Carmen García</w:t>
      </w:r>
      <w:r>
        <w:rPr>
          <w:color w:val="231F20"/>
          <w:spacing w:val="-20"/>
          <w:w w:val="105"/>
        </w:rPr>
        <w:t> </w:t>
      </w:r>
      <w:r>
        <w:rPr>
          <w:color w:val="231F20"/>
          <w:w w:val="105"/>
        </w:rPr>
        <w:t>(coords.),</w:t>
      </w:r>
      <w:r>
        <w:rPr>
          <w:color w:val="231F20"/>
          <w:spacing w:val="-25"/>
          <w:w w:val="105"/>
        </w:rPr>
        <w:t> </w:t>
      </w:r>
      <w:r>
        <w:rPr>
          <w:rFonts w:ascii="Arial" w:hAnsi="Arial"/>
          <w:i/>
          <w:color w:val="231F20"/>
          <w:w w:val="105"/>
        </w:rPr>
        <w:t>Migraciones</w:t>
      </w:r>
      <w:r>
        <w:rPr>
          <w:rFonts w:ascii="Arial" w:hAnsi="Arial"/>
          <w:i/>
          <w:color w:val="231F20"/>
          <w:spacing w:val="-23"/>
          <w:w w:val="105"/>
        </w:rPr>
        <w:t> </w:t>
      </w:r>
      <w:r>
        <w:rPr>
          <w:rFonts w:ascii="Arial" w:hAnsi="Arial"/>
          <w:i/>
          <w:color w:val="231F20"/>
          <w:w w:val="105"/>
        </w:rPr>
        <w:t>en</w:t>
      </w:r>
      <w:r>
        <w:rPr>
          <w:rFonts w:ascii="Arial" w:hAnsi="Arial"/>
          <w:i/>
          <w:color w:val="231F20"/>
          <w:spacing w:val="-23"/>
          <w:w w:val="105"/>
        </w:rPr>
        <w:t> </w:t>
      </w:r>
      <w:r>
        <w:rPr>
          <w:rFonts w:ascii="Arial" w:hAnsi="Arial"/>
          <w:i/>
          <w:color w:val="231F20"/>
          <w:w w:val="105"/>
        </w:rPr>
        <w:t>el</w:t>
      </w:r>
      <w:r>
        <w:rPr>
          <w:rFonts w:ascii="Arial" w:hAnsi="Arial"/>
          <w:i/>
          <w:color w:val="231F20"/>
          <w:spacing w:val="-23"/>
          <w:w w:val="105"/>
        </w:rPr>
        <w:t> </w:t>
      </w:r>
      <w:r>
        <w:rPr>
          <w:rFonts w:ascii="Arial" w:hAnsi="Arial"/>
          <w:i/>
          <w:color w:val="231F20"/>
          <w:w w:val="105"/>
        </w:rPr>
        <w:t>sur</w:t>
      </w:r>
      <w:r>
        <w:rPr>
          <w:rFonts w:ascii="Arial" w:hAnsi="Arial"/>
          <w:i/>
          <w:color w:val="231F20"/>
          <w:spacing w:val="-23"/>
          <w:w w:val="105"/>
        </w:rPr>
        <w:t> </w:t>
      </w:r>
      <w:r>
        <w:rPr>
          <w:rFonts w:ascii="Arial" w:hAnsi="Arial"/>
          <w:i/>
          <w:color w:val="231F20"/>
          <w:w w:val="105"/>
        </w:rPr>
        <w:t>de</w:t>
      </w:r>
      <w:r>
        <w:rPr>
          <w:rFonts w:ascii="Arial" w:hAnsi="Arial"/>
          <w:i/>
          <w:color w:val="231F20"/>
          <w:spacing w:val="-23"/>
          <w:w w:val="105"/>
        </w:rPr>
        <w:t> </w:t>
      </w:r>
      <w:r>
        <w:rPr>
          <w:rFonts w:ascii="Arial" w:hAnsi="Arial"/>
          <w:i/>
          <w:color w:val="231F20"/>
          <w:w w:val="105"/>
        </w:rPr>
        <w:t>México</w:t>
      </w:r>
      <w:r>
        <w:rPr>
          <w:rFonts w:ascii="Arial" w:hAnsi="Arial"/>
          <w:i/>
          <w:color w:val="231F20"/>
          <w:spacing w:val="-23"/>
          <w:w w:val="105"/>
        </w:rPr>
        <w:t> </w:t>
      </w:r>
      <w:r>
        <w:rPr>
          <w:rFonts w:ascii="Arial" w:hAnsi="Arial"/>
          <w:i/>
          <w:color w:val="231F20"/>
          <w:w w:val="105"/>
        </w:rPr>
        <w:t>y</w:t>
      </w:r>
      <w:r>
        <w:rPr>
          <w:rFonts w:ascii="Arial" w:hAnsi="Arial"/>
          <w:i/>
          <w:color w:val="231F20"/>
          <w:spacing w:val="-23"/>
          <w:w w:val="105"/>
        </w:rPr>
        <w:t> </w:t>
      </w:r>
      <w:r>
        <w:rPr>
          <w:rFonts w:ascii="Arial" w:hAnsi="Arial"/>
          <w:i/>
          <w:color w:val="231F20"/>
          <w:w w:val="105"/>
        </w:rPr>
        <w:t>Centroaméri- </w:t>
      </w:r>
      <w:r>
        <w:rPr>
          <w:rFonts w:ascii="Arial" w:hAnsi="Arial"/>
          <w:i/>
          <w:color w:val="231F20"/>
          <w:w w:val="105"/>
        </w:rPr>
        <w:t>ca</w:t>
      </w:r>
      <w:r>
        <w:rPr>
          <w:color w:val="231F20"/>
          <w:w w:val="105"/>
        </w:rPr>
        <w:t>,</w:t>
      </w:r>
      <w:r>
        <w:rPr>
          <w:color w:val="231F20"/>
          <w:spacing w:val="-37"/>
          <w:w w:val="105"/>
        </w:rPr>
        <w:t> </w:t>
      </w:r>
      <w:r>
        <w:rPr>
          <w:color w:val="231F20"/>
          <w:spacing w:val="-4"/>
          <w:w w:val="105"/>
        </w:rPr>
        <w:t>Tuxtla</w:t>
      </w:r>
      <w:r>
        <w:rPr>
          <w:color w:val="231F20"/>
          <w:spacing w:val="-30"/>
          <w:w w:val="105"/>
        </w:rPr>
        <w:t> </w:t>
      </w:r>
      <w:r>
        <w:rPr>
          <w:color w:val="231F20"/>
          <w:w w:val="105"/>
        </w:rPr>
        <w:t>Gutiérrez,</w:t>
      </w:r>
      <w:r>
        <w:rPr>
          <w:color w:val="231F20"/>
          <w:spacing w:val="-34"/>
          <w:w w:val="105"/>
        </w:rPr>
        <w:t> </w:t>
      </w:r>
      <w:r>
        <w:rPr>
          <w:color w:val="231F20"/>
          <w:w w:val="105"/>
        </w:rPr>
        <w:t>México:</w:t>
      </w:r>
      <w:r>
        <w:rPr>
          <w:color w:val="231F20"/>
          <w:spacing w:val="-30"/>
          <w:w w:val="105"/>
        </w:rPr>
        <w:t> </w:t>
      </w:r>
      <w:r>
        <w:rPr>
          <w:color w:val="231F20"/>
          <w:w w:val="105"/>
        </w:rPr>
        <w:t>Miguel</w:t>
      </w:r>
      <w:r>
        <w:rPr>
          <w:color w:val="231F20"/>
          <w:spacing w:val="-33"/>
          <w:w w:val="105"/>
        </w:rPr>
        <w:t> </w:t>
      </w:r>
      <w:r>
        <w:rPr>
          <w:color w:val="231F20"/>
          <w:w w:val="105"/>
        </w:rPr>
        <w:t>Ángel</w:t>
      </w:r>
      <w:r>
        <w:rPr>
          <w:color w:val="231F20"/>
          <w:spacing w:val="-30"/>
          <w:w w:val="105"/>
        </w:rPr>
        <w:t> </w:t>
      </w:r>
      <w:r>
        <w:rPr>
          <w:color w:val="231F20"/>
          <w:w w:val="105"/>
        </w:rPr>
        <w:t>Porrúa/</w:t>
      </w:r>
      <w:r>
        <w:rPr>
          <w:color w:val="231F20"/>
          <w:w w:val="105"/>
          <w:sz w:val="17"/>
        </w:rPr>
        <w:t>UNICACH</w:t>
      </w:r>
      <w:r>
        <w:rPr>
          <w:color w:val="231F20"/>
          <w:w w:val="105"/>
        </w:rPr>
        <w:t>.</w:t>
      </w:r>
    </w:p>
    <w:p>
      <w:pPr>
        <w:spacing w:line="259" w:lineRule="auto" w:before="3"/>
        <w:ind w:left="2574" w:right="1721" w:hanging="738"/>
        <w:jc w:val="both"/>
        <w:rPr>
          <w:sz w:val="21"/>
        </w:rPr>
      </w:pPr>
      <w:r>
        <w:rPr>
          <w:color w:val="231F20"/>
          <w:sz w:val="21"/>
        </w:rPr>
        <w:t>Garza,</w:t>
      </w:r>
      <w:r>
        <w:rPr>
          <w:color w:val="231F20"/>
          <w:spacing w:val="-13"/>
          <w:sz w:val="21"/>
        </w:rPr>
        <w:t> </w:t>
      </w:r>
      <w:r>
        <w:rPr>
          <w:color w:val="231F20"/>
          <w:sz w:val="21"/>
        </w:rPr>
        <w:t>María</w:t>
      </w:r>
      <w:r>
        <w:rPr>
          <w:color w:val="231F20"/>
          <w:spacing w:val="-11"/>
          <w:sz w:val="21"/>
        </w:rPr>
        <w:t> </w:t>
      </w:r>
      <w:r>
        <w:rPr>
          <w:color w:val="231F20"/>
          <w:spacing w:val="-5"/>
          <w:sz w:val="21"/>
        </w:rPr>
        <w:t>Teresa,</w:t>
      </w:r>
      <w:r>
        <w:rPr>
          <w:color w:val="231F20"/>
          <w:spacing w:val="-13"/>
          <w:sz w:val="21"/>
        </w:rPr>
        <w:t> </w:t>
      </w:r>
      <w:r>
        <w:rPr>
          <w:color w:val="231F20"/>
          <w:sz w:val="21"/>
        </w:rPr>
        <w:t>(2015),</w:t>
      </w:r>
      <w:r>
        <w:rPr>
          <w:color w:val="231F20"/>
          <w:spacing w:val="-13"/>
          <w:sz w:val="21"/>
        </w:rPr>
        <w:t> </w:t>
      </w:r>
      <w:r>
        <w:rPr>
          <w:color w:val="231F20"/>
          <w:sz w:val="21"/>
        </w:rPr>
        <w:t>“El</w:t>
      </w:r>
      <w:r>
        <w:rPr>
          <w:color w:val="231F20"/>
          <w:spacing w:val="-5"/>
          <w:sz w:val="21"/>
        </w:rPr>
        <w:t> </w:t>
      </w:r>
      <w:r>
        <w:rPr>
          <w:color w:val="231F20"/>
          <w:spacing w:val="-3"/>
          <w:sz w:val="21"/>
        </w:rPr>
        <w:t>marco</w:t>
      </w:r>
      <w:r>
        <w:rPr>
          <w:color w:val="231F20"/>
          <w:spacing w:val="-5"/>
          <w:sz w:val="21"/>
        </w:rPr>
        <w:t> </w:t>
      </w:r>
      <w:r>
        <w:rPr>
          <w:color w:val="231F20"/>
          <w:sz w:val="21"/>
        </w:rPr>
        <w:t>legal</w:t>
      </w:r>
      <w:r>
        <w:rPr>
          <w:color w:val="231F20"/>
          <w:spacing w:val="-5"/>
          <w:sz w:val="21"/>
        </w:rPr>
        <w:t> </w:t>
      </w:r>
      <w:r>
        <w:rPr>
          <w:color w:val="231F20"/>
          <w:sz w:val="21"/>
        </w:rPr>
        <w:t>nacional</w:t>
      </w:r>
      <w:r>
        <w:rPr>
          <w:color w:val="231F20"/>
          <w:spacing w:val="-5"/>
          <w:sz w:val="21"/>
        </w:rPr>
        <w:t> </w:t>
      </w:r>
      <w:r>
        <w:rPr>
          <w:color w:val="231F20"/>
          <w:sz w:val="21"/>
        </w:rPr>
        <w:t>e</w:t>
      </w:r>
      <w:r>
        <w:rPr>
          <w:color w:val="231F20"/>
          <w:spacing w:val="-5"/>
          <w:sz w:val="21"/>
        </w:rPr>
        <w:t> </w:t>
      </w:r>
      <w:r>
        <w:rPr>
          <w:color w:val="231F20"/>
          <w:sz w:val="21"/>
        </w:rPr>
        <w:t>internacional</w:t>
      </w:r>
      <w:r>
        <w:rPr>
          <w:color w:val="231F20"/>
          <w:spacing w:val="-5"/>
          <w:sz w:val="21"/>
        </w:rPr>
        <w:t> </w:t>
      </w:r>
      <w:r>
        <w:rPr>
          <w:color w:val="231F20"/>
          <w:spacing w:val="-3"/>
          <w:sz w:val="21"/>
        </w:rPr>
        <w:t>sobre </w:t>
      </w:r>
      <w:r>
        <w:rPr>
          <w:color w:val="231F20"/>
          <w:sz w:val="21"/>
        </w:rPr>
        <w:t>migración y los </w:t>
      </w:r>
      <w:r>
        <w:rPr>
          <w:color w:val="231F20"/>
          <w:spacing w:val="-3"/>
          <w:sz w:val="21"/>
        </w:rPr>
        <w:t>derechos </w:t>
      </w:r>
      <w:r>
        <w:rPr>
          <w:color w:val="231F20"/>
          <w:spacing w:val="-5"/>
          <w:sz w:val="21"/>
        </w:rPr>
        <w:t>humanos”, </w:t>
      </w:r>
      <w:r>
        <w:rPr>
          <w:color w:val="231F20"/>
          <w:sz w:val="21"/>
        </w:rPr>
        <w:t>en Karla </w:t>
      </w:r>
      <w:r>
        <w:rPr>
          <w:color w:val="231F20"/>
          <w:spacing w:val="-3"/>
          <w:sz w:val="21"/>
        </w:rPr>
        <w:t>Lorena </w:t>
      </w:r>
      <w:r>
        <w:rPr>
          <w:color w:val="231F20"/>
          <w:sz w:val="21"/>
        </w:rPr>
        <w:t>Andrade y Si- món </w:t>
      </w:r>
      <w:r>
        <w:rPr>
          <w:color w:val="231F20"/>
          <w:spacing w:val="-6"/>
          <w:sz w:val="21"/>
        </w:rPr>
        <w:t>Pedro </w:t>
      </w:r>
      <w:r>
        <w:rPr>
          <w:color w:val="231F20"/>
          <w:spacing w:val="-2"/>
          <w:sz w:val="21"/>
        </w:rPr>
        <w:t>Izcara </w:t>
      </w:r>
      <w:r>
        <w:rPr>
          <w:color w:val="231F20"/>
          <w:spacing w:val="-3"/>
          <w:sz w:val="21"/>
        </w:rPr>
        <w:t>(coords.), </w:t>
      </w:r>
      <w:r>
        <w:rPr>
          <w:rFonts w:ascii="Arial" w:hAnsi="Arial"/>
          <w:i/>
          <w:color w:val="231F20"/>
          <w:sz w:val="21"/>
        </w:rPr>
        <w:t>Migrantes, </w:t>
      </w:r>
      <w:r>
        <w:rPr>
          <w:rFonts w:ascii="Arial" w:hAnsi="Arial"/>
          <w:i/>
          <w:color w:val="231F20"/>
          <w:spacing w:val="-3"/>
          <w:sz w:val="21"/>
        </w:rPr>
        <w:t>transmigrantes, deportados </w:t>
      </w:r>
      <w:r>
        <w:rPr>
          <w:rFonts w:ascii="Arial" w:hAnsi="Arial"/>
          <w:i/>
          <w:color w:val="231F20"/>
          <w:sz w:val="21"/>
        </w:rPr>
        <w:t>y derechos humanos. Un enfoque binacional</w:t>
      </w:r>
      <w:r>
        <w:rPr>
          <w:color w:val="231F20"/>
          <w:sz w:val="21"/>
        </w:rPr>
        <w:t>, México:</w:t>
      </w:r>
      <w:r>
        <w:rPr>
          <w:color w:val="231F20"/>
          <w:spacing w:val="17"/>
          <w:sz w:val="21"/>
        </w:rPr>
        <w:t> </w:t>
      </w:r>
      <w:r>
        <w:rPr>
          <w:color w:val="231F20"/>
          <w:spacing w:val="-4"/>
          <w:sz w:val="21"/>
        </w:rPr>
        <w:t>Fontamara.</w:t>
      </w:r>
    </w:p>
    <w:p>
      <w:pPr>
        <w:spacing w:line="261" w:lineRule="auto" w:before="0"/>
        <w:ind w:left="2574" w:right="1715" w:hanging="738"/>
        <w:jc w:val="both"/>
        <w:rPr>
          <w:sz w:val="21"/>
        </w:rPr>
      </w:pPr>
      <w:r>
        <w:rPr>
          <w:color w:val="231F20"/>
          <w:w w:val="105"/>
          <w:sz w:val="21"/>
        </w:rPr>
        <w:t>Gobierno</w:t>
      </w:r>
      <w:r>
        <w:rPr>
          <w:color w:val="231F20"/>
          <w:spacing w:val="-40"/>
          <w:w w:val="105"/>
          <w:sz w:val="21"/>
        </w:rPr>
        <w:t> </w:t>
      </w:r>
      <w:r>
        <w:rPr>
          <w:color w:val="231F20"/>
          <w:w w:val="105"/>
          <w:sz w:val="21"/>
        </w:rPr>
        <w:t>de</w:t>
      </w:r>
      <w:r>
        <w:rPr>
          <w:color w:val="231F20"/>
          <w:spacing w:val="-40"/>
          <w:w w:val="105"/>
          <w:sz w:val="21"/>
        </w:rPr>
        <w:t> </w:t>
      </w:r>
      <w:r>
        <w:rPr>
          <w:color w:val="231F20"/>
          <w:w w:val="105"/>
          <w:sz w:val="21"/>
        </w:rPr>
        <w:t>la</w:t>
      </w:r>
      <w:r>
        <w:rPr>
          <w:color w:val="231F20"/>
          <w:spacing w:val="-40"/>
          <w:w w:val="105"/>
          <w:sz w:val="21"/>
        </w:rPr>
        <w:t> </w:t>
      </w:r>
      <w:r>
        <w:rPr>
          <w:color w:val="231F20"/>
          <w:w w:val="105"/>
          <w:sz w:val="21"/>
        </w:rPr>
        <w:t>República,</w:t>
      </w:r>
      <w:r>
        <w:rPr>
          <w:color w:val="231F20"/>
          <w:spacing w:val="-43"/>
          <w:w w:val="105"/>
          <w:sz w:val="21"/>
        </w:rPr>
        <w:t> </w:t>
      </w:r>
      <w:r>
        <w:rPr>
          <w:color w:val="231F20"/>
          <w:w w:val="105"/>
          <w:sz w:val="21"/>
        </w:rPr>
        <w:t>(2014),</w:t>
      </w:r>
      <w:r>
        <w:rPr>
          <w:color w:val="231F20"/>
          <w:spacing w:val="-43"/>
          <w:w w:val="105"/>
          <w:sz w:val="21"/>
        </w:rPr>
        <w:t> </w:t>
      </w:r>
      <w:r>
        <w:rPr>
          <w:rFonts w:ascii="Arial" w:hAnsi="Arial"/>
          <w:i/>
          <w:color w:val="231F20"/>
          <w:w w:val="105"/>
          <w:sz w:val="21"/>
        </w:rPr>
        <w:t>Plan</w:t>
      </w:r>
      <w:r>
        <w:rPr>
          <w:rFonts w:ascii="Arial" w:hAnsi="Arial"/>
          <w:i/>
          <w:color w:val="231F20"/>
          <w:spacing w:val="-43"/>
          <w:w w:val="105"/>
          <w:sz w:val="21"/>
        </w:rPr>
        <w:t> </w:t>
      </w:r>
      <w:r>
        <w:rPr>
          <w:rFonts w:ascii="Arial" w:hAnsi="Arial"/>
          <w:i/>
          <w:color w:val="231F20"/>
          <w:w w:val="105"/>
          <w:sz w:val="21"/>
        </w:rPr>
        <w:t>Nacional</w:t>
      </w:r>
      <w:r>
        <w:rPr>
          <w:rFonts w:ascii="Arial" w:hAnsi="Arial"/>
          <w:i/>
          <w:color w:val="231F20"/>
          <w:spacing w:val="-43"/>
          <w:w w:val="105"/>
          <w:sz w:val="21"/>
        </w:rPr>
        <w:t> </w:t>
      </w:r>
      <w:r>
        <w:rPr>
          <w:rFonts w:ascii="Arial" w:hAnsi="Arial"/>
          <w:i/>
          <w:color w:val="231F20"/>
          <w:w w:val="105"/>
          <w:sz w:val="21"/>
        </w:rPr>
        <w:t>de</w:t>
      </w:r>
      <w:r>
        <w:rPr>
          <w:rFonts w:ascii="Arial" w:hAnsi="Arial"/>
          <w:i/>
          <w:color w:val="231F20"/>
          <w:spacing w:val="-43"/>
          <w:w w:val="105"/>
          <w:sz w:val="21"/>
        </w:rPr>
        <w:t> </w:t>
      </w:r>
      <w:r>
        <w:rPr>
          <w:rFonts w:ascii="Arial" w:hAnsi="Arial"/>
          <w:i/>
          <w:color w:val="231F20"/>
          <w:w w:val="105"/>
          <w:sz w:val="21"/>
        </w:rPr>
        <w:t>Desarrollo</w:t>
      </w:r>
      <w:r>
        <w:rPr>
          <w:rFonts w:ascii="Arial" w:hAnsi="Arial"/>
          <w:i/>
          <w:color w:val="231F20"/>
          <w:spacing w:val="-43"/>
          <w:w w:val="105"/>
          <w:sz w:val="21"/>
        </w:rPr>
        <w:t> </w:t>
      </w:r>
      <w:r>
        <w:rPr>
          <w:rFonts w:ascii="Arial" w:hAnsi="Arial"/>
          <w:i/>
          <w:color w:val="231F20"/>
          <w:w w:val="105"/>
          <w:sz w:val="21"/>
        </w:rPr>
        <w:t>2013-2018</w:t>
      </w:r>
      <w:r>
        <w:rPr>
          <w:color w:val="231F20"/>
          <w:w w:val="105"/>
          <w:sz w:val="21"/>
        </w:rPr>
        <w:t>, </w:t>
      </w:r>
      <w:r>
        <w:rPr>
          <w:color w:val="231F20"/>
          <w:w w:val="110"/>
          <w:sz w:val="21"/>
        </w:rPr>
        <w:t>Gobierno</w:t>
      </w:r>
      <w:r>
        <w:rPr>
          <w:color w:val="231F20"/>
          <w:spacing w:val="-45"/>
          <w:w w:val="110"/>
          <w:sz w:val="21"/>
        </w:rPr>
        <w:t> </w:t>
      </w:r>
      <w:r>
        <w:rPr>
          <w:color w:val="231F20"/>
          <w:w w:val="110"/>
          <w:sz w:val="21"/>
        </w:rPr>
        <w:t>de</w:t>
      </w:r>
      <w:r>
        <w:rPr>
          <w:color w:val="231F20"/>
          <w:spacing w:val="-45"/>
          <w:w w:val="110"/>
          <w:sz w:val="21"/>
        </w:rPr>
        <w:t> </w:t>
      </w:r>
      <w:r>
        <w:rPr>
          <w:color w:val="231F20"/>
          <w:w w:val="110"/>
          <w:sz w:val="21"/>
        </w:rPr>
        <w:t>la</w:t>
      </w:r>
      <w:r>
        <w:rPr>
          <w:color w:val="231F20"/>
          <w:spacing w:val="-45"/>
          <w:w w:val="110"/>
          <w:sz w:val="21"/>
        </w:rPr>
        <w:t> </w:t>
      </w:r>
      <w:r>
        <w:rPr>
          <w:color w:val="231F20"/>
          <w:w w:val="110"/>
          <w:sz w:val="21"/>
        </w:rPr>
        <w:t>República,</w:t>
      </w:r>
      <w:r>
        <w:rPr>
          <w:color w:val="231F20"/>
          <w:spacing w:val="-47"/>
          <w:w w:val="110"/>
          <w:sz w:val="21"/>
        </w:rPr>
        <w:t> </w:t>
      </w:r>
      <w:r>
        <w:rPr>
          <w:color w:val="231F20"/>
          <w:spacing w:val="-3"/>
          <w:w w:val="110"/>
          <w:sz w:val="21"/>
        </w:rPr>
        <w:t>recuperado</w:t>
      </w:r>
      <w:r>
        <w:rPr>
          <w:color w:val="231F20"/>
          <w:spacing w:val="-45"/>
          <w:w w:val="110"/>
          <w:sz w:val="21"/>
        </w:rPr>
        <w:t> </w:t>
      </w:r>
      <w:r>
        <w:rPr>
          <w:color w:val="231F20"/>
          <w:w w:val="110"/>
          <w:sz w:val="21"/>
        </w:rPr>
        <w:t>de</w:t>
      </w:r>
      <w:r>
        <w:rPr>
          <w:color w:val="231F20"/>
          <w:spacing w:val="-45"/>
          <w:w w:val="110"/>
          <w:sz w:val="21"/>
        </w:rPr>
        <w:t> </w:t>
      </w:r>
      <w:hyperlink r:id="rId36">
        <w:r>
          <w:rPr>
            <w:color w:val="231F20"/>
            <w:spacing w:val="-3"/>
            <w:w w:val="110"/>
            <w:sz w:val="21"/>
          </w:rPr>
          <w:t>http://pnd.gob.mx</w:t>
        </w:r>
      </w:hyperlink>
    </w:p>
    <w:p>
      <w:pPr>
        <w:pStyle w:val="BodyText"/>
        <w:spacing w:line="261" w:lineRule="auto" w:before="1"/>
        <w:ind w:left="2574" w:right="1721" w:hanging="738"/>
        <w:jc w:val="both"/>
      </w:pPr>
      <w:r>
        <w:rPr>
          <w:color w:val="231F20"/>
          <w:w w:val="105"/>
        </w:rPr>
        <w:t>Guzmán,</w:t>
      </w:r>
      <w:r>
        <w:rPr>
          <w:color w:val="231F20"/>
          <w:spacing w:val="-41"/>
          <w:w w:val="105"/>
        </w:rPr>
        <w:t> </w:t>
      </w:r>
      <w:r>
        <w:rPr>
          <w:color w:val="231F20"/>
          <w:w w:val="105"/>
        </w:rPr>
        <w:t>Lorena,</w:t>
      </w:r>
      <w:r>
        <w:rPr>
          <w:color w:val="231F20"/>
          <w:spacing w:val="-41"/>
          <w:w w:val="105"/>
        </w:rPr>
        <w:t> </w:t>
      </w:r>
      <w:r>
        <w:rPr>
          <w:color w:val="231F20"/>
          <w:w w:val="105"/>
        </w:rPr>
        <w:t>(2014),</w:t>
      </w:r>
      <w:r>
        <w:rPr>
          <w:color w:val="231F20"/>
          <w:spacing w:val="-41"/>
          <w:w w:val="105"/>
        </w:rPr>
        <w:t> </w:t>
      </w:r>
      <w:r>
        <w:rPr>
          <w:color w:val="231F20"/>
          <w:w w:val="105"/>
        </w:rPr>
        <w:t>“Estudio</w:t>
      </w:r>
      <w:r>
        <w:rPr>
          <w:color w:val="231F20"/>
          <w:spacing w:val="-38"/>
          <w:w w:val="105"/>
        </w:rPr>
        <w:t> </w:t>
      </w:r>
      <w:r>
        <w:rPr>
          <w:color w:val="231F20"/>
          <w:w w:val="105"/>
        </w:rPr>
        <w:t>Regional</w:t>
      </w:r>
      <w:r>
        <w:rPr>
          <w:color w:val="231F20"/>
          <w:spacing w:val="-38"/>
          <w:w w:val="105"/>
        </w:rPr>
        <w:t> </w:t>
      </w:r>
      <w:r>
        <w:rPr>
          <w:color w:val="231F20"/>
          <w:w w:val="105"/>
        </w:rPr>
        <w:t>sobre</w:t>
      </w:r>
      <w:r>
        <w:rPr>
          <w:color w:val="231F20"/>
          <w:spacing w:val="-38"/>
          <w:w w:val="105"/>
        </w:rPr>
        <w:t> </w:t>
      </w:r>
      <w:r>
        <w:rPr>
          <w:color w:val="231F20"/>
          <w:w w:val="105"/>
        </w:rPr>
        <w:t>Políticas</w:t>
      </w:r>
      <w:r>
        <w:rPr>
          <w:color w:val="231F20"/>
          <w:spacing w:val="-38"/>
          <w:w w:val="105"/>
        </w:rPr>
        <w:t> </w:t>
      </w:r>
      <w:r>
        <w:rPr>
          <w:color w:val="231F20"/>
          <w:w w:val="105"/>
        </w:rPr>
        <w:t>Públicas</w:t>
      </w:r>
      <w:r>
        <w:rPr>
          <w:color w:val="231F20"/>
          <w:spacing w:val="-38"/>
          <w:w w:val="105"/>
        </w:rPr>
        <w:t> </w:t>
      </w:r>
      <w:r>
        <w:rPr>
          <w:color w:val="231F20"/>
          <w:w w:val="105"/>
        </w:rPr>
        <w:t>de</w:t>
      </w:r>
      <w:r>
        <w:rPr>
          <w:color w:val="231F20"/>
          <w:spacing w:val="-38"/>
          <w:w w:val="105"/>
        </w:rPr>
        <w:t> </w:t>
      </w:r>
      <w:r>
        <w:rPr>
          <w:color w:val="231F20"/>
          <w:w w:val="105"/>
        </w:rPr>
        <w:t>In- tegración</w:t>
      </w:r>
      <w:r>
        <w:rPr>
          <w:color w:val="231F20"/>
          <w:spacing w:val="-13"/>
          <w:w w:val="105"/>
        </w:rPr>
        <w:t> </w:t>
      </w:r>
      <w:r>
        <w:rPr>
          <w:color w:val="231F20"/>
          <w:w w:val="105"/>
        </w:rPr>
        <w:t>de</w:t>
      </w:r>
      <w:r>
        <w:rPr>
          <w:color w:val="231F20"/>
          <w:spacing w:val="-13"/>
          <w:w w:val="105"/>
        </w:rPr>
        <w:t> </w:t>
      </w:r>
      <w:r>
        <w:rPr>
          <w:color w:val="231F20"/>
          <w:w w:val="105"/>
        </w:rPr>
        <w:t>Migrantes</w:t>
      </w:r>
      <w:r>
        <w:rPr>
          <w:color w:val="231F20"/>
          <w:spacing w:val="-13"/>
          <w:w w:val="105"/>
        </w:rPr>
        <w:t> </w:t>
      </w:r>
      <w:r>
        <w:rPr>
          <w:color w:val="231F20"/>
          <w:w w:val="105"/>
        </w:rPr>
        <w:t>en</w:t>
      </w:r>
      <w:r>
        <w:rPr>
          <w:color w:val="231F20"/>
          <w:spacing w:val="-13"/>
          <w:w w:val="105"/>
        </w:rPr>
        <w:t> </w:t>
      </w:r>
      <w:r>
        <w:rPr>
          <w:color w:val="231F20"/>
          <w:w w:val="105"/>
        </w:rPr>
        <w:t>Centroamérica</w:t>
      </w:r>
      <w:r>
        <w:rPr>
          <w:color w:val="231F20"/>
          <w:spacing w:val="-13"/>
          <w:w w:val="105"/>
        </w:rPr>
        <w:t> </w:t>
      </w:r>
      <w:r>
        <w:rPr>
          <w:color w:val="231F20"/>
          <w:w w:val="105"/>
        </w:rPr>
        <w:t>y</w:t>
      </w:r>
      <w:r>
        <w:rPr>
          <w:color w:val="231F20"/>
          <w:spacing w:val="-13"/>
          <w:w w:val="105"/>
        </w:rPr>
        <w:t> </w:t>
      </w:r>
      <w:r>
        <w:rPr>
          <w:color w:val="231F20"/>
          <w:spacing w:val="-4"/>
          <w:w w:val="105"/>
        </w:rPr>
        <w:t>México”,</w:t>
      </w:r>
      <w:r>
        <w:rPr>
          <w:color w:val="231F20"/>
          <w:spacing w:val="-18"/>
          <w:w w:val="105"/>
        </w:rPr>
        <w:t> </w:t>
      </w:r>
      <w:r>
        <w:rPr>
          <w:color w:val="231F20"/>
          <w:w w:val="105"/>
        </w:rPr>
        <w:t>México:</w:t>
      </w:r>
      <w:r>
        <w:rPr>
          <w:color w:val="231F20"/>
          <w:spacing w:val="-13"/>
          <w:w w:val="105"/>
        </w:rPr>
        <w:t> </w:t>
      </w:r>
      <w:r>
        <w:rPr>
          <w:color w:val="231F20"/>
          <w:w w:val="105"/>
        </w:rPr>
        <w:t>Sin Fronteras.</w:t>
      </w:r>
    </w:p>
    <w:p>
      <w:pPr>
        <w:pStyle w:val="BodyText"/>
        <w:spacing w:line="261" w:lineRule="auto"/>
        <w:ind w:left="2574" w:right="1721" w:hanging="738"/>
        <w:jc w:val="both"/>
      </w:pPr>
      <w:r>
        <w:rPr>
          <w:color w:val="231F20"/>
          <w:w w:val="105"/>
        </w:rPr>
        <w:t>H. Congreso de la Unión, (26/05/2011), </w:t>
      </w:r>
      <w:r>
        <w:rPr>
          <w:rFonts w:ascii="Arial" w:hAnsi="Arial"/>
          <w:i/>
          <w:color w:val="231F20"/>
          <w:w w:val="105"/>
        </w:rPr>
        <w:t>Ley de Migración</w:t>
      </w:r>
      <w:r>
        <w:rPr>
          <w:color w:val="231F20"/>
          <w:w w:val="105"/>
        </w:rPr>
        <w:t>, Diario</w:t>
      </w:r>
      <w:r>
        <w:rPr>
          <w:color w:val="231F20"/>
          <w:spacing w:val="-38"/>
          <w:w w:val="105"/>
        </w:rPr>
        <w:t> </w:t>
      </w:r>
      <w:r>
        <w:rPr>
          <w:color w:val="231F20"/>
          <w:w w:val="105"/>
        </w:rPr>
        <w:t>Oficial de</w:t>
      </w:r>
      <w:r>
        <w:rPr>
          <w:color w:val="231F20"/>
          <w:spacing w:val="-15"/>
          <w:w w:val="105"/>
        </w:rPr>
        <w:t> </w:t>
      </w:r>
      <w:r>
        <w:rPr>
          <w:color w:val="231F20"/>
          <w:w w:val="105"/>
        </w:rPr>
        <w:t>la</w:t>
      </w:r>
      <w:r>
        <w:rPr>
          <w:color w:val="231F20"/>
          <w:spacing w:val="-15"/>
          <w:w w:val="105"/>
        </w:rPr>
        <w:t> </w:t>
      </w:r>
      <w:r>
        <w:rPr>
          <w:color w:val="231F20"/>
          <w:w w:val="105"/>
        </w:rPr>
        <w:t>Federación,</w:t>
      </w:r>
      <w:r>
        <w:rPr>
          <w:color w:val="231F20"/>
          <w:spacing w:val="-21"/>
          <w:w w:val="105"/>
        </w:rPr>
        <w:t> </w:t>
      </w:r>
      <w:r>
        <w:rPr>
          <w:color w:val="231F20"/>
          <w:w w:val="105"/>
        </w:rPr>
        <w:t>recuperado</w:t>
      </w:r>
      <w:r>
        <w:rPr>
          <w:color w:val="231F20"/>
          <w:spacing w:val="-15"/>
          <w:w w:val="105"/>
        </w:rPr>
        <w:t> </w:t>
      </w:r>
      <w:r>
        <w:rPr>
          <w:color w:val="231F20"/>
          <w:w w:val="105"/>
        </w:rPr>
        <w:t>de</w:t>
      </w:r>
      <w:r>
        <w:rPr>
          <w:color w:val="231F20"/>
          <w:spacing w:val="-15"/>
          <w:w w:val="105"/>
        </w:rPr>
        <w:t> </w:t>
      </w:r>
      <w:hyperlink r:id="rId37">
        <w:r>
          <w:rPr>
            <w:color w:val="231F20"/>
            <w:w w:val="105"/>
          </w:rPr>
          <w:t>http://diputados.gob.mx/Leyes-</w:t>
        </w:r>
      </w:hyperlink>
      <w:r>
        <w:rPr>
          <w:color w:val="231F20"/>
          <w:w w:val="105"/>
        </w:rPr>
        <w:t> biblio/pdf/LMigra_210416.pdf</w:t>
      </w:r>
    </w:p>
    <w:p>
      <w:pPr>
        <w:spacing w:line="259" w:lineRule="auto" w:before="0"/>
        <w:ind w:left="2574" w:right="1721" w:hanging="737"/>
        <w:jc w:val="both"/>
        <w:rPr>
          <w:sz w:val="21"/>
        </w:rPr>
      </w:pPr>
      <w:r>
        <w:rPr>
          <w:color w:val="231F20"/>
          <w:w w:val="105"/>
          <w:sz w:val="21"/>
        </w:rPr>
        <w:t>Human Rights Watch (</w:t>
      </w:r>
      <w:r>
        <w:rPr>
          <w:color w:val="231F20"/>
          <w:w w:val="105"/>
          <w:sz w:val="17"/>
        </w:rPr>
        <w:t>HRW</w:t>
      </w:r>
      <w:r>
        <w:rPr>
          <w:color w:val="231F20"/>
          <w:w w:val="105"/>
          <w:sz w:val="21"/>
        </w:rPr>
        <w:t>), (2015), </w:t>
      </w:r>
      <w:r>
        <w:rPr>
          <w:rFonts w:ascii="Arial"/>
          <w:i/>
          <w:color w:val="231F20"/>
          <w:w w:val="105"/>
          <w:sz w:val="21"/>
        </w:rPr>
        <w:t>World Report 2015-Human Rights </w:t>
      </w:r>
      <w:r>
        <w:rPr>
          <w:rFonts w:ascii="Arial"/>
          <w:i/>
          <w:color w:val="231F20"/>
          <w:w w:val="105"/>
          <w:sz w:val="21"/>
        </w:rPr>
        <w:t>Watch</w:t>
      </w:r>
      <w:r>
        <w:rPr>
          <w:color w:val="231F20"/>
          <w:w w:val="105"/>
          <w:sz w:val="21"/>
        </w:rPr>
        <w:t>, recuperado de </w:t>
      </w:r>
      <w:hyperlink r:id="rId38">
        <w:r>
          <w:rPr>
            <w:color w:val="231F20"/>
            <w:w w:val="105"/>
            <w:sz w:val="21"/>
          </w:rPr>
          <w:t>http://www.hrw.org/sites/default/files/</w:t>
        </w:r>
      </w:hyperlink>
      <w:r>
        <w:rPr>
          <w:color w:val="231F20"/>
          <w:w w:val="105"/>
          <w:sz w:val="21"/>
        </w:rPr>
        <w:t> wr2015_web.pdf</w:t>
      </w:r>
    </w:p>
    <w:p>
      <w:pPr>
        <w:pStyle w:val="BodyText"/>
        <w:spacing w:line="261" w:lineRule="auto" w:before="3"/>
        <w:ind w:left="2574" w:right="1721" w:hanging="738"/>
        <w:jc w:val="both"/>
      </w:pPr>
      <w:r>
        <w:rPr/>
        <w:pict>
          <v:line style="position:absolute;mso-position-horizontal-relative:page;mso-position-vertical-relative:paragraph;z-index:-485800" from="15pt,115.95459pt" to="0pt,115.95459pt" stroked="true" strokeweight=".25pt" strokecolor="#000000">
            <w10:wrap type="none"/>
          </v:line>
        </w:pict>
      </w:r>
      <w:r>
        <w:rPr/>
        <w:pict>
          <v:line style="position:absolute;mso-position-horizontal-relative:page;mso-position-vertical-relative:paragraph;z-index:4408" from="508.890015pt,115.95459pt" to="523.890015pt,115.95459pt" stroked="true" strokeweight=".25pt" strokecolor="#000000">
            <w10:wrap type="none"/>
          </v:line>
        </w:pict>
      </w:r>
      <w:r>
        <w:rPr>
          <w:color w:val="231F20"/>
          <w:w w:val="105"/>
        </w:rPr>
        <w:t>Imaz,</w:t>
      </w:r>
      <w:r>
        <w:rPr>
          <w:color w:val="231F20"/>
          <w:spacing w:val="-24"/>
          <w:w w:val="105"/>
        </w:rPr>
        <w:t> </w:t>
      </w:r>
      <w:r>
        <w:rPr>
          <w:color w:val="231F20"/>
          <w:w w:val="105"/>
        </w:rPr>
        <w:t>Cecilia,</w:t>
      </w:r>
      <w:r>
        <w:rPr>
          <w:color w:val="231F20"/>
          <w:spacing w:val="-24"/>
          <w:w w:val="105"/>
        </w:rPr>
        <w:t> </w:t>
      </w:r>
      <w:r>
        <w:rPr>
          <w:color w:val="231F20"/>
          <w:w w:val="105"/>
        </w:rPr>
        <w:t>(2012),</w:t>
      </w:r>
      <w:r>
        <w:rPr>
          <w:color w:val="231F20"/>
          <w:spacing w:val="-24"/>
          <w:w w:val="105"/>
        </w:rPr>
        <w:t> </w:t>
      </w:r>
      <w:r>
        <w:rPr>
          <w:color w:val="231F20"/>
          <w:w w:val="105"/>
        </w:rPr>
        <w:t>“La</w:t>
      </w:r>
      <w:r>
        <w:rPr>
          <w:color w:val="231F20"/>
          <w:spacing w:val="-20"/>
          <w:w w:val="105"/>
        </w:rPr>
        <w:t> </w:t>
      </w:r>
      <w:r>
        <w:rPr>
          <w:color w:val="231F20"/>
          <w:w w:val="105"/>
        </w:rPr>
        <w:t>sociedad</w:t>
      </w:r>
      <w:r>
        <w:rPr>
          <w:color w:val="231F20"/>
          <w:spacing w:val="-20"/>
          <w:w w:val="105"/>
        </w:rPr>
        <w:t> </w:t>
      </w:r>
      <w:r>
        <w:rPr>
          <w:color w:val="231F20"/>
          <w:w w:val="105"/>
        </w:rPr>
        <w:t>civil</w:t>
      </w:r>
      <w:r>
        <w:rPr>
          <w:color w:val="231F20"/>
          <w:spacing w:val="-20"/>
          <w:w w:val="105"/>
        </w:rPr>
        <w:t> </w:t>
      </w:r>
      <w:r>
        <w:rPr>
          <w:color w:val="231F20"/>
          <w:w w:val="105"/>
        </w:rPr>
        <w:t>organizada</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construcción</w:t>
      </w:r>
      <w:r>
        <w:rPr>
          <w:color w:val="231F20"/>
          <w:spacing w:val="-20"/>
          <w:w w:val="105"/>
        </w:rPr>
        <w:t> </w:t>
      </w:r>
      <w:r>
        <w:rPr>
          <w:color w:val="231F20"/>
          <w:w w:val="105"/>
        </w:rPr>
        <w:t>de un marco internacional sobre migración y </w:t>
      </w:r>
      <w:r>
        <w:rPr>
          <w:color w:val="231F20"/>
          <w:spacing w:val="-3"/>
          <w:w w:val="105"/>
        </w:rPr>
        <w:t>desarrollo”, </w:t>
      </w:r>
      <w:r>
        <w:rPr>
          <w:color w:val="231F20"/>
          <w:w w:val="105"/>
        </w:rPr>
        <w:t>en</w:t>
      </w:r>
      <w:r>
        <w:rPr>
          <w:color w:val="231F20"/>
          <w:spacing w:val="25"/>
          <w:w w:val="105"/>
        </w:rPr>
        <w:t> </w:t>
      </w:r>
      <w:r>
        <w:rPr>
          <w:color w:val="231F20"/>
          <w:w w:val="105"/>
        </w:rPr>
        <w:t>Carlos</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line="259" w:lineRule="auto" w:before="57"/>
        <w:ind w:left="2460" w:right="1835" w:hanging="1"/>
        <w:jc w:val="both"/>
        <w:rPr>
          <w:sz w:val="21"/>
        </w:rPr>
      </w:pPr>
      <w:r>
        <w:rPr>
          <w:color w:val="231F20"/>
          <w:sz w:val="21"/>
        </w:rPr>
        <w:t>Heredia y Rafael Velázquez (eds.), </w:t>
      </w:r>
      <w:r>
        <w:rPr>
          <w:rFonts w:ascii="Arial" w:hAnsi="Arial"/>
          <w:i/>
          <w:color w:val="231F20"/>
          <w:sz w:val="21"/>
        </w:rPr>
        <w:t>Perspectivas Migratorias </w:t>
      </w:r>
      <w:r>
        <w:rPr>
          <w:rFonts w:ascii="Arial" w:hAnsi="Arial"/>
          <w:i/>
          <w:color w:val="231F20"/>
          <w:sz w:val="17"/>
        </w:rPr>
        <w:t>II</w:t>
      </w:r>
      <w:r>
        <w:rPr>
          <w:rFonts w:ascii="Arial" w:hAnsi="Arial"/>
          <w:i/>
          <w:color w:val="231F20"/>
          <w:sz w:val="21"/>
        </w:rPr>
        <w:t>. La </w:t>
      </w:r>
      <w:r>
        <w:rPr>
          <w:rFonts w:ascii="Arial" w:hAnsi="Arial"/>
          <w:i/>
          <w:color w:val="231F20"/>
          <w:sz w:val="21"/>
        </w:rPr>
        <w:t>Agenda Pendiente de la migración</w:t>
      </w:r>
      <w:r>
        <w:rPr>
          <w:color w:val="231F20"/>
          <w:sz w:val="21"/>
        </w:rPr>
        <w:t>, México:  </w:t>
      </w:r>
      <w:r>
        <w:rPr>
          <w:color w:val="231F20"/>
          <w:sz w:val="17"/>
        </w:rPr>
        <w:t>CIDE</w:t>
      </w:r>
      <w:r>
        <w:rPr>
          <w:color w:val="231F20"/>
          <w:sz w:val="21"/>
        </w:rPr>
        <w:t>.</w:t>
      </w:r>
    </w:p>
    <w:p>
      <w:pPr>
        <w:spacing w:line="259" w:lineRule="auto" w:before="0"/>
        <w:ind w:left="2460" w:right="1835" w:hanging="737"/>
        <w:jc w:val="both"/>
        <w:rPr>
          <w:sz w:val="21"/>
        </w:rPr>
      </w:pPr>
      <w:r>
        <w:rPr>
          <w:color w:val="231F20"/>
          <w:w w:val="105"/>
          <w:sz w:val="21"/>
        </w:rPr>
        <w:t>Instituto</w:t>
      </w:r>
      <w:r>
        <w:rPr>
          <w:color w:val="231F20"/>
          <w:spacing w:val="-9"/>
          <w:w w:val="105"/>
          <w:sz w:val="21"/>
        </w:rPr>
        <w:t> </w:t>
      </w:r>
      <w:r>
        <w:rPr>
          <w:color w:val="231F20"/>
          <w:w w:val="105"/>
          <w:sz w:val="21"/>
        </w:rPr>
        <w:t>de</w:t>
      </w:r>
      <w:r>
        <w:rPr>
          <w:color w:val="231F20"/>
          <w:spacing w:val="-9"/>
          <w:w w:val="105"/>
          <w:sz w:val="21"/>
        </w:rPr>
        <w:t> </w:t>
      </w:r>
      <w:r>
        <w:rPr>
          <w:color w:val="231F20"/>
          <w:w w:val="105"/>
          <w:sz w:val="21"/>
        </w:rPr>
        <w:t>Estudios</w:t>
      </w:r>
      <w:r>
        <w:rPr>
          <w:color w:val="231F20"/>
          <w:spacing w:val="-9"/>
          <w:w w:val="105"/>
          <w:sz w:val="21"/>
        </w:rPr>
        <w:t> </w:t>
      </w:r>
      <w:r>
        <w:rPr>
          <w:color w:val="231F20"/>
          <w:w w:val="105"/>
          <w:sz w:val="21"/>
        </w:rPr>
        <w:t>y</w:t>
      </w:r>
      <w:r>
        <w:rPr>
          <w:color w:val="231F20"/>
          <w:spacing w:val="-9"/>
          <w:w w:val="105"/>
          <w:sz w:val="21"/>
        </w:rPr>
        <w:t> </w:t>
      </w:r>
      <w:r>
        <w:rPr>
          <w:color w:val="231F20"/>
          <w:w w:val="105"/>
          <w:sz w:val="21"/>
        </w:rPr>
        <w:t>Divulgación</w:t>
      </w:r>
      <w:r>
        <w:rPr>
          <w:color w:val="231F20"/>
          <w:spacing w:val="-9"/>
          <w:w w:val="105"/>
          <w:sz w:val="21"/>
        </w:rPr>
        <w:t> </w:t>
      </w:r>
      <w:r>
        <w:rPr>
          <w:color w:val="231F20"/>
          <w:w w:val="105"/>
          <w:sz w:val="21"/>
        </w:rPr>
        <w:t>sobre</w:t>
      </w:r>
      <w:r>
        <w:rPr>
          <w:color w:val="231F20"/>
          <w:spacing w:val="-9"/>
          <w:w w:val="105"/>
          <w:sz w:val="21"/>
        </w:rPr>
        <w:t> </w:t>
      </w:r>
      <w:r>
        <w:rPr>
          <w:color w:val="231F20"/>
          <w:w w:val="105"/>
          <w:sz w:val="21"/>
        </w:rPr>
        <w:t>Migración</w:t>
      </w:r>
      <w:r>
        <w:rPr>
          <w:color w:val="231F20"/>
          <w:spacing w:val="-9"/>
          <w:w w:val="105"/>
          <w:sz w:val="21"/>
        </w:rPr>
        <w:t> </w:t>
      </w:r>
      <w:r>
        <w:rPr>
          <w:color w:val="231F20"/>
          <w:w w:val="105"/>
          <w:sz w:val="21"/>
        </w:rPr>
        <w:t>(</w:t>
      </w:r>
      <w:r>
        <w:rPr>
          <w:color w:val="231F20"/>
          <w:w w:val="105"/>
          <w:sz w:val="17"/>
        </w:rPr>
        <w:t>INEDIM</w:t>
      </w:r>
      <w:r>
        <w:rPr>
          <w:color w:val="231F20"/>
          <w:w w:val="105"/>
          <w:sz w:val="21"/>
        </w:rPr>
        <w:t>),</w:t>
      </w:r>
      <w:r>
        <w:rPr>
          <w:color w:val="231F20"/>
          <w:spacing w:val="-13"/>
          <w:w w:val="105"/>
          <w:sz w:val="21"/>
        </w:rPr>
        <w:t> </w:t>
      </w:r>
      <w:r>
        <w:rPr>
          <w:color w:val="231F20"/>
          <w:w w:val="105"/>
          <w:sz w:val="21"/>
        </w:rPr>
        <w:t>(2015),</w:t>
      </w:r>
      <w:r>
        <w:rPr>
          <w:color w:val="231F20"/>
          <w:spacing w:val="-13"/>
          <w:w w:val="105"/>
          <w:sz w:val="21"/>
        </w:rPr>
        <w:t> </w:t>
      </w:r>
      <w:r>
        <w:rPr>
          <w:rFonts w:ascii="Arial" w:hAnsi="Arial"/>
          <w:i/>
          <w:color w:val="231F20"/>
          <w:w w:val="105"/>
          <w:sz w:val="21"/>
        </w:rPr>
        <w:t>Mi- </w:t>
      </w:r>
      <w:r>
        <w:rPr>
          <w:rFonts w:ascii="Arial" w:hAnsi="Arial"/>
          <w:i/>
          <w:color w:val="231F20"/>
          <w:w w:val="105"/>
          <w:sz w:val="21"/>
        </w:rPr>
        <w:t>grante Cero. Derechos humanos y seguridad para el migrante: una</w:t>
      </w:r>
      <w:r>
        <w:rPr>
          <w:rFonts w:ascii="Arial" w:hAnsi="Arial"/>
          <w:i/>
          <w:color w:val="231F20"/>
          <w:spacing w:val="-29"/>
          <w:w w:val="105"/>
          <w:sz w:val="21"/>
        </w:rPr>
        <w:t> </w:t>
      </w:r>
      <w:r>
        <w:rPr>
          <w:rFonts w:ascii="Arial" w:hAnsi="Arial"/>
          <w:i/>
          <w:color w:val="231F20"/>
          <w:w w:val="105"/>
          <w:sz w:val="21"/>
        </w:rPr>
        <w:t>propuesta</w:t>
      </w:r>
      <w:r>
        <w:rPr>
          <w:rFonts w:ascii="Arial" w:hAnsi="Arial"/>
          <w:i/>
          <w:color w:val="231F20"/>
          <w:spacing w:val="-29"/>
          <w:w w:val="105"/>
          <w:sz w:val="21"/>
        </w:rPr>
        <w:t> </w:t>
      </w:r>
      <w:r>
        <w:rPr>
          <w:rFonts w:ascii="Arial" w:hAnsi="Arial"/>
          <w:i/>
          <w:color w:val="231F20"/>
          <w:w w:val="105"/>
          <w:sz w:val="21"/>
        </w:rPr>
        <w:t>de</w:t>
      </w:r>
      <w:r>
        <w:rPr>
          <w:rFonts w:ascii="Arial" w:hAnsi="Arial"/>
          <w:i/>
          <w:color w:val="231F20"/>
          <w:spacing w:val="-29"/>
          <w:w w:val="105"/>
          <w:sz w:val="21"/>
        </w:rPr>
        <w:t> </w:t>
      </w:r>
      <w:r>
        <w:rPr>
          <w:rFonts w:ascii="Arial" w:hAnsi="Arial"/>
          <w:i/>
          <w:color w:val="231F20"/>
          <w:w w:val="105"/>
          <w:sz w:val="21"/>
        </w:rPr>
        <w:t>Indicadores</w:t>
      </w:r>
      <w:r>
        <w:rPr>
          <w:color w:val="231F20"/>
          <w:w w:val="105"/>
          <w:sz w:val="21"/>
        </w:rPr>
        <w:t>,</w:t>
      </w:r>
      <w:r>
        <w:rPr>
          <w:color w:val="231F20"/>
          <w:spacing w:val="-30"/>
          <w:w w:val="105"/>
          <w:sz w:val="21"/>
        </w:rPr>
        <w:t> </w:t>
      </w:r>
      <w:r>
        <w:rPr>
          <w:color w:val="231F20"/>
          <w:w w:val="105"/>
          <w:sz w:val="21"/>
        </w:rPr>
        <w:t>México:</w:t>
      </w:r>
      <w:r>
        <w:rPr>
          <w:color w:val="231F20"/>
          <w:spacing w:val="-26"/>
          <w:w w:val="105"/>
          <w:sz w:val="21"/>
        </w:rPr>
        <w:t> </w:t>
      </w:r>
      <w:r>
        <w:rPr>
          <w:color w:val="231F20"/>
          <w:w w:val="105"/>
          <w:sz w:val="17"/>
        </w:rPr>
        <w:t>INEDIM</w:t>
      </w:r>
      <w:r>
        <w:rPr>
          <w:color w:val="231F20"/>
          <w:w w:val="105"/>
          <w:sz w:val="21"/>
        </w:rPr>
        <w:t>.</w:t>
      </w:r>
    </w:p>
    <w:p>
      <w:pPr>
        <w:pStyle w:val="BodyText"/>
        <w:spacing w:line="259" w:lineRule="auto" w:before="3"/>
        <w:ind w:left="2461" w:right="1835" w:hanging="738"/>
        <w:jc w:val="both"/>
      </w:pPr>
      <w:r>
        <w:rPr>
          <w:color w:val="231F20"/>
        </w:rPr>
        <w:t>Leal,</w:t>
      </w:r>
      <w:r>
        <w:rPr>
          <w:color w:val="231F20"/>
          <w:spacing w:val="-13"/>
        </w:rPr>
        <w:t> </w:t>
      </w:r>
      <w:r>
        <w:rPr>
          <w:color w:val="231F20"/>
        </w:rPr>
        <w:t>Claudia</w:t>
      </w:r>
      <w:r>
        <w:rPr>
          <w:color w:val="231F20"/>
          <w:spacing w:val="-6"/>
        </w:rPr>
        <w:t> </w:t>
      </w:r>
      <w:r>
        <w:rPr>
          <w:color w:val="231F20"/>
        </w:rPr>
        <w:t>y</w:t>
      </w:r>
      <w:r>
        <w:rPr>
          <w:color w:val="231F20"/>
          <w:spacing w:val="-6"/>
        </w:rPr>
        <w:t> </w:t>
      </w:r>
      <w:r>
        <w:rPr>
          <w:color w:val="231F20"/>
        </w:rPr>
        <w:t>Escala,</w:t>
      </w:r>
      <w:r>
        <w:rPr>
          <w:color w:val="231F20"/>
          <w:spacing w:val="-13"/>
        </w:rPr>
        <w:t> </w:t>
      </w:r>
      <w:r>
        <w:rPr>
          <w:color w:val="231F20"/>
        </w:rPr>
        <w:t>Luis,</w:t>
      </w:r>
      <w:r>
        <w:rPr>
          <w:color w:val="231F20"/>
          <w:spacing w:val="-13"/>
        </w:rPr>
        <w:t> </w:t>
      </w:r>
      <w:r>
        <w:rPr>
          <w:color w:val="231F20"/>
        </w:rPr>
        <w:t>(2011),</w:t>
      </w:r>
      <w:r>
        <w:rPr>
          <w:color w:val="231F20"/>
          <w:spacing w:val="-13"/>
        </w:rPr>
        <w:t> </w:t>
      </w:r>
      <w:r>
        <w:rPr>
          <w:color w:val="231F20"/>
        </w:rPr>
        <w:t>“Formas</w:t>
      </w:r>
      <w:r>
        <w:rPr>
          <w:color w:val="231F20"/>
          <w:spacing w:val="-6"/>
        </w:rPr>
        <w:t> </w:t>
      </w:r>
      <w:r>
        <w:rPr>
          <w:color w:val="231F20"/>
        </w:rPr>
        <w:t>organizativas</w:t>
      </w:r>
      <w:r>
        <w:rPr>
          <w:color w:val="231F20"/>
          <w:spacing w:val="-6"/>
        </w:rPr>
        <w:t> </w:t>
      </w:r>
      <w:r>
        <w:rPr>
          <w:color w:val="231F20"/>
        </w:rPr>
        <w:t>migrantes</w:t>
      </w:r>
      <w:r>
        <w:rPr>
          <w:color w:val="231F20"/>
          <w:spacing w:val="-6"/>
        </w:rPr>
        <w:t> </w:t>
      </w:r>
      <w:r>
        <w:rPr>
          <w:color w:val="231F20"/>
        </w:rPr>
        <w:t>y</w:t>
      </w:r>
      <w:r>
        <w:rPr>
          <w:color w:val="231F20"/>
          <w:spacing w:val="-6"/>
        </w:rPr>
        <w:t> </w:t>
      </w:r>
      <w:r>
        <w:rPr>
          <w:color w:val="231F20"/>
        </w:rPr>
        <w:t>go- bernanza local en </w:t>
      </w:r>
      <w:r>
        <w:rPr>
          <w:color w:val="231F20"/>
          <w:spacing w:val="-4"/>
        </w:rPr>
        <w:t>México”, </w:t>
      </w:r>
      <w:r>
        <w:rPr>
          <w:rFonts w:ascii="Arial" w:hAnsi="Arial"/>
          <w:i/>
          <w:color w:val="231F20"/>
        </w:rPr>
        <w:t>Cofactor, </w:t>
      </w:r>
      <w:r>
        <w:rPr>
          <w:color w:val="231F20"/>
        </w:rPr>
        <w:t>vol. </w:t>
      </w:r>
      <w:r>
        <w:rPr>
          <w:color w:val="231F20"/>
          <w:sz w:val="17"/>
        </w:rPr>
        <w:t>II</w:t>
      </w:r>
      <w:r>
        <w:rPr>
          <w:color w:val="231F20"/>
        </w:rPr>
        <w:t>, no.</w:t>
      </w:r>
      <w:r>
        <w:rPr>
          <w:color w:val="231F20"/>
          <w:spacing w:val="46"/>
        </w:rPr>
        <w:t> </w:t>
      </w:r>
      <w:r>
        <w:rPr>
          <w:color w:val="231F20"/>
        </w:rPr>
        <w:t>3.</w:t>
      </w:r>
    </w:p>
    <w:p>
      <w:pPr>
        <w:spacing w:line="259" w:lineRule="auto" w:before="0"/>
        <w:ind w:left="2461" w:right="1835" w:hanging="738"/>
        <w:jc w:val="both"/>
        <w:rPr>
          <w:sz w:val="21"/>
        </w:rPr>
      </w:pPr>
      <w:r>
        <w:rPr>
          <w:color w:val="231F20"/>
          <w:spacing w:val="-3"/>
          <w:w w:val="105"/>
          <w:sz w:val="21"/>
        </w:rPr>
        <w:t>Lothar,</w:t>
      </w:r>
      <w:r>
        <w:rPr>
          <w:color w:val="231F20"/>
          <w:spacing w:val="-25"/>
          <w:w w:val="105"/>
          <w:sz w:val="21"/>
        </w:rPr>
        <w:t> </w:t>
      </w:r>
      <w:r>
        <w:rPr>
          <w:color w:val="231F20"/>
          <w:w w:val="105"/>
          <w:sz w:val="21"/>
        </w:rPr>
        <w:t>Thomas</w:t>
      </w:r>
      <w:r>
        <w:rPr>
          <w:color w:val="231F20"/>
          <w:spacing w:val="-18"/>
          <w:w w:val="105"/>
          <w:sz w:val="21"/>
        </w:rPr>
        <w:t> </w:t>
      </w:r>
      <w:r>
        <w:rPr>
          <w:color w:val="231F20"/>
          <w:w w:val="105"/>
          <w:sz w:val="21"/>
        </w:rPr>
        <w:t>y</w:t>
      </w:r>
      <w:r>
        <w:rPr>
          <w:color w:val="231F20"/>
          <w:spacing w:val="-18"/>
          <w:w w:val="105"/>
          <w:sz w:val="21"/>
        </w:rPr>
        <w:t> </w:t>
      </w:r>
      <w:r>
        <w:rPr>
          <w:color w:val="231F20"/>
          <w:w w:val="105"/>
          <w:sz w:val="21"/>
        </w:rPr>
        <w:t>López,</w:t>
      </w:r>
      <w:r>
        <w:rPr>
          <w:color w:val="231F20"/>
          <w:spacing w:val="-21"/>
          <w:w w:val="105"/>
          <w:sz w:val="21"/>
        </w:rPr>
        <w:t> </w:t>
      </w:r>
      <w:r>
        <w:rPr>
          <w:color w:val="231F20"/>
          <w:spacing w:val="-4"/>
          <w:w w:val="105"/>
          <w:sz w:val="21"/>
        </w:rPr>
        <w:t>Pedro</w:t>
      </w:r>
      <w:r>
        <w:rPr>
          <w:color w:val="231F20"/>
          <w:spacing w:val="-20"/>
          <w:w w:val="105"/>
          <w:sz w:val="21"/>
        </w:rPr>
        <w:t> </w:t>
      </w:r>
      <w:r>
        <w:rPr>
          <w:color w:val="231F20"/>
          <w:w w:val="105"/>
          <w:sz w:val="21"/>
        </w:rPr>
        <w:t>Arturo,</w:t>
      </w:r>
      <w:r>
        <w:rPr>
          <w:color w:val="231F20"/>
          <w:spacing w:val="-21"/>
          <w:w w:val="105"/>
          <w:sz w:val="21"/>
        </w:rPr>
        <w:t> </w:t>
      </w:r>
      <w:r>
        <w:rPr>
          <w:color w:val="231F20"/>
          <w:w w:val="105"/>
          <w:sz w:val="21"/>
        </w:rPr>
        <w:t>(2011),</w:t>
      </w:r>
      <w:r>
        <w:rPr>
          <w:color w:val="231F20"/>
          <w:spacing w:val="-21"/>
          <w:w w:val="105"/>
          <w:sz w:val="21"/>
        </w:rPr>
        <w:t> </w:t>
      </w:r>
      <w:r>
        <w:rPr>
          <w:rFonts w:ascii="Arial" w:hAnsi="Arial"/>
          <w:i/>
          <w:color w:val="231F20"/>
          <w:w w:val="105"/>
          <w:sz w:val="21"/>
        </w:rPr>
        <w:t>México</w:t>
      </w:r>
      <w:r>
        <w:rPr>
          <w:color w:val="231F20"/>
          <w:w w:val="105"/>
          <w:sz w:val="21"/>
        </w:rPr>
        <w:t>.</w:t>
      </w:r>
      <w:r>
        <w:rPr>
          <w:color w:val="231F20"/>
          <w:spacing w:val="-21"/>
          <w:w w:val="105"/>
          <w:sz w:val="21"/>
        </w:rPr>
        <w:t> </w:t>
      </w:r>
      <w:r>
        <w:rPr>
          <w:rFonts w:ascii="Arial" w:hAnsi="Arial"/>
          <w:i/>
          <w:color w:val="231F20"/>
          <w:w w:val="105"/>
          <w:sz w:val="21"/>
        </w:rPr>
        <w:t>Políticas</w:t>
      </w:r>
      <w:r>
        <w:rPr>
          <w:rFonts w:ascii="Arial" w:hAnsi="Arial"/>
          <w:i/>
          <w:color w:val="231F20"/>
          <w:spacing w:val="-20"/>
          <w:w w:val="105"/>
          <w:sz w:val="21"/>
        </w:rPr>
        <w:t> </w:t>
      </w:r>
      <w:r>
        <w:rPr>
          <w:rFonts w:ascii="Arial" w:hAnsi="Arial"/>
          <w:i/>
          <w:color w:val="231F20"/>
          <w:w w:val="105"/>
          <w:sz w:val="21"/>
        </w:rPr>
        <w:t>públicas </w:t>
      </w:r>
      <w:r>
        <w:rPr>
          <w:rFonts w:ascii="Arial" w:hAnsi="Arial"/>
          <w:i/>
          <w:color w:val="231F20"/>
          <w:w w:val="105"/>
          <w:sz w:val="21"/>
        </w:rPr>
        <w:t>beneficiando</w:t>
      </w:r>
      <w:r>
        <w:rPr>
          <w:rFonts w:ascii="Arial" w:hAnsi="Arial"/>
          <w:i/>
          <w:color w:val="231F20"/>
          <w:spacing w:val="-23"/>
          <w:w w:val="105"/>
          <w:sz w:val="21"/>
        </w:rPr>
        <w:t> </w:t>
      </w:r>
      <w:r>
        <w:rPr>
          <w:rFonts w:ascii="Arial" w:hAnsi="Arial"/>
          <w:i/>
          <w:color w:val="231F20"/>
          <w:w w:val="105"/>
          <w:sz w:val="21"/>
        </w:rPr>
        <w:t>a</w:t>
      </w:r>
      <w:r>
        <w:rPr>
          <w:rFonts w:ascii="Arial" w:hAnsi="Arial"/>
          <w:i/>
          <w:color w:val="231F20"/>
          <w:spacing w:val="-23"/>
          <w:w w:val="105"/>
          <w:sz w:val="21"/>
        </w:rPr>
        <w:t> </w:t>
      </w:r>
      <w:r>
        <w:rPr>
          <w:rFonts w:ascii="Arial" w:hAnsi="Arial"/>
          <w:i/>
          <w:color w:val="231F20"/>
          <w:w w:val="105"/>
          <w:sz w:val="21"/>
        </w:rPr>
        <w:t>los</w:t>
      </w:r>
      <w:r>
        <w:rPr>
          <w:rFonts w:ascii="Arial" w:hAnsi="Arial"/>
          <w:i/>
          <w:color w:val="231F20"/>
          <w:spacing w:val="-23"/>
          <w:w w:val="105"/>
          <w:sz w:val="21"/>
        </w:rPr>
        <w:t> </w:t>
      </w:r>
      <w:r>
        <w:rPr>
          <w:rFonts w:ascii="Arial" w:hAnsi="Arial"/>
          <w:i/>
          <w:color w:val="231F20"/>
          <w:w w:val="105"/>
          <w:sz w:val="21"/>
        </w:rPr>
        <w:t>migrantes</w:t>
      </w:r>
      <w:r>
        <w:rPr>
          <w:color w:val="231F20"/>
          <w:w w:val="105"/>
          <w:sz w:val="21"/>
        </w:rPr>
        <w:t>,</w:t>
      </w:r>
      <w:r>
        <w:rPr>
          <w:color w:val="231F20"/>
          <w:spacing w:val="-25"/>
          <w:w w:val="105"/>
          <w:sz w:val="21"/>
        </w:rPr>
        <w:t> </w:t>
      </w:r>
      <w:r>
        <w:rPr>
          <w:color w:val="231F20"/>
          <w:w w:val="105"/>
          <w:sz w:val="21"/>
        </w:rPr>
        <w:t>México:</w:t>
      </w:r>
      <w:r>
        <w:rPr>
          <w:color w:val="231F20"/>
          <w:spacing w:val="-21"/>
          <w:w w:val="105"/>
          <w:sz w:val="21"/>
        </w:rPr>
        <w:t> </w:t>
      </w:r>
      <w:r>
        <w:rPr>
          <w:color w:val="231F20"/>
          <w:w w:val="105"/>
          <w:sz w:val="17"/>
        </w:rPr>
        <w:t>OIM</w:t>
      </w:r>
      <w:r>
        <w:rPr>
          <w:color w:val="231F20"/>
          <w:w w:val="105"/>
          <w:sz w:val="21"/>
        </w:rPr>
        <w:t>-Misión</w:t>
      </w:r>
      <w:r>
        <w:rPr>
          <w:color w:val="231F20"/>
          <w:spacing w:val="-21"/>
          <w:w w:val="105"/>
          <w:sz w:val="21"/>
        </w:rPr>
        <w:t> </w:t>
      </w:r>
      <w:r>
        <w:rPr>
          <w:color w:val="231F20"/>
          <w:w w:val="105"/>
          <w:sz w:val="21"/>
        </w:rPr>
        <w:t>México.</w:t>
      </w:r>
    </w:p>
    <w:p>
      <w:pPr>
        <w:spacing w:line="259" w:lineRule="auto" w:before="3"/>
        <w:ind w:left="2461" w:right="1835" w:hanging="738"/>
        <w:jc w:val="both"/>
        <w:rPr>
          <w:sz w:val="21"/>
        </w:rPr>
      </w:pPr>
      <w:r>
        <w:rPr>
          <w:color w:val="231F20"/>
          <w:sz w:val="21"/>
        </w:rPr>
        <w:t>Muñoz, Vernor, (2014), “El derecho a la educación de las personas mi- grantes y refugiadas”, </w:t>
      </w:r>
      <w:r>
        <w:rPr>
          <w:rFonts w:ascii="Arial" w:hAnsi="Arial"/>
          <w:i/>
          <w:color w:val="231F20"/>
          <w:sz w:val="21"/>
        </w:rPr>
        <w:t>Journal of Supranational Policies of Educa- </w:t>
      </w:r>
      <w:r>
        <w:rPr>
          <w:rFonts w:ascii="Arial" w:hAnsi="Arial"/>
          <w:i/>
          <w:color w:val="231F20"/>
          <w:sz w:val="21"/>
        </w:rPr>
        <w:t>tion</w:t>
      </w:r>
      <w:r>
        <w:rPr>
          <w:color w:val="231F20"/>
          <w:sz w:val="21"/>
        </w:rPr>
        <w:t>, núm. 2.</w:t>
      </w:r>
    </w:p>
    <w:p>
      <w:pPr>
        <w:spacing w:line="261" w:lineRule="auto" w:before="3"/>
        <w:ind w:left="2460" w:right="1834" w:hanging="737"/>
        <w:jc w:val="both"/>
        <w:rPr>
          <w:sz w:val="21"/>
        </w:rPr>
      </w:pPr>
      <w:r>
        <w:rPr>
          <w:color w:val="231F20"/>
          <w:w w:val="105"/>
          <w:sz w:val="21"/>
        </w:rPr>
        <w:t>Alto Comisionado de las Naciones Unidas para los Derechos</w:t>
      </w:r>
      <w:r>
        <w:rPr>
          <w:color w:val="231F20"/>
          <w:spacing w:val="-31"/>
          <w:w w:val="105"/>
          <w:sz w:val="21"/>
        </w:rPr>
        <w:t> </w:t>
      </w:r>
      <w:r>
        <w:rPr>
          <w:color w:val="231F20"/>
          <w:w w:val="105"/>
          <w:sz w:val="21"/>
        </w:rPr>
        <w:t>Humanos (</w:t>
      </w:r>
      <w:r>
        <w:rPr>
          <w:color w:val="231F20"/>
          <w:w w:val="105"/>
          <w:sz w:val="17"/>
        </w:rPr>
        <w:t>ACNUDH</w:t>
      </w:r>
      <w:r>
        <w:rPr>
          <w:color w:val="231F20"/>
          <w:w w:val="105"/>
          <w:sz w:val="21"/>
        </w:rPr>
        <w:t>),</w:t>
      </w:r>
      <w:r>
        <w:rPr>
          <w:color w:val="231F20"/>
          <w:spacing w:val="-27"/>
          <w:w w:val="105"/>
          <w:sz w:val="21"/>
        </w:rPr>
        <w:t> </w:t>
      </w:r>
      <w:r>
        <w:rPr>
          <w:color w:val="231F20"/>
          <w:w w:val="105"/>
          <w:sz w:val="21"/>
        </w:rPr>
        <w:t>(2008),</w:t>
      </w:r>
      <w:r>
        <w:rPr>
          <w:color w:val="231F20"/>
          <w:spacing w:val="-27"/>
          <w:w w:val="105"/>
          <w:sz w:val="21"/>
        </w:rPr>
        <w:t> </w:t>
      </w:r>
      <w:r>
        <w:rPr>
          <w:rFonts w:ascii="Arial"/>
          <w:i/>
          <w:color w:val="231F20"/>
          <w:w w:val="105"/>
          <w:sz w:val="21"/>
        </w:rPr>
        <w:t>Informe</w:t>
      </w:r>
      <w:r>
        <w:rPr>
          <w:rFonts w:ascii="Arial"/>
          <w:i/>
          <w:color w:val="231F20"/>
          <w:spacing w:val="-26"/>
          <w:w w:val="105"/>
          <w:sz w:val="21"/>
        </w:rPr>
        <w:t> </w:t>
      </w:r>
      <w:r>
        <w:rPr>
          <w:rFonts w:ascii="Arial"/>
          <w:i/>
          <w:color w:val="231F20"/>
          <w:w w:val="105"/>
          <w:sz w:val="21"/>
        </w:rPr>
        <w:t>sobre</w:t>
      </w:r>
      <w:r>
        <w:rPr>
          <w:rFonts w:ascii="Arial"/>
          <w:i/>
          <w:color w:val="231F20"/>
          <w:spacing w:val="-26"/>
          <w:w w:val="105"/>
          <w:sz w:val="21"/>
        </w:rPr>
        <w:t> </w:t>
      </w:r>
      <w:r>
        <w:rPr>
          <w:rFonts w:ascii="Arial"/>
          <w:i/>
          <w:color w:val="231F20"/>
          <w:w w:val="105"/>
          <w:sz w:val="21"/>
        </w:rPr>
        <w:t>los</w:t>
      </w:r>
      <w:r>
        <w:rPr>
          <w:rFonts w:ascii="Arial"/>
          <w:i/>
          <w:color w:val="231F20"/>
          <w:spacing w:val="-26"/>
          <w:w w:val="105"/>
          <w:sz w:val="21"/>
        </w:rPr>
        <w:t> </w:t>
      </w:r>
      <w:r>
        <w:rPr>
          <w:rFonts w:ascii="Arial"/>
          <w:i/>
          <w:color w:val="231F20"/>
          <w:w w:val="105"/>
          <w:sz w:val="21"/>
        </w:rPr>
        <w:t>Indicadores</w:t>
      </w:r>
      <w:r>
        <w:rPr>
          <w:rFonts w:ascii="Arial"/>
          <w:i/>
          <w:color w:val="231F20"/>
          <w:spacing w:val="-26"/>
          <w:w w:val="105"/>
          <w:sz w:val="21"/>
        </w:rPr>
        <w:t> </w:t>
      </w:r>
      <w:r>
        <w:rPr>
          <w:rFonts w:ascii="Arial"/>
          <w:i/>
          <w:color w:val="231F20"/>
          <w:w w:val="105"/>
          <w:sz w:val="21"/>
        </w:rPr>
        <w:t>para</w:t>
      </w:r>
      <w:r>
        <w:rPr>
          <w:rFonts w:ascii="Arial"/>
          <w:i/>
          <w:color w:val="231F20"/>
          <w:spacing w:val="-26"/>
          <w:w w:val="105"/>
          <w:sz w:val="21"/>
        </w:rPr>
        <w:t> </w:t>
      </w:r>
      <w:r>
        <w:rPr>
          <w:rFonts w:ascii="Arial"/>
          <w:i/>
          <w:color w:val="231F20"/>
          <w:w w:val="105"/>
          <w:sz w:val="21"/>
        </w:rPr>
        <w:t>Promover</w:t>
      </w:r>
      <w:r>
        <w:rPr>
          <w:rFonts w:ascii="Arial"/>
          <w:i/>
          <w:color w:val="231F20"/>
          <w:spacing w:val="-26"/>
          <w:w w:val="105"/>
          <w:sz w:val="21"/>
        </w:rPr>
        <w:t> </w:t>
      </w:r>
      <w:r>
        <w:rPr>
          <w:rFonts w:ascii="Arial"/>
          <w:i/>
          <w:color w:val="231F20"/>
          <w:w w:val="105"/>
          <w:sz w:val="21"/>
        </w:rPr>
        <w:t>y </w:t>
      </w:r>
      <w:r>
        <w:rPr>
          <w:rFonts w:ascii="Arial"/>
          <w:i/>
          <w:color w:val="231F20"/>
          <w:w w:val="105"/>
          <w:sz w:val="21"/>
        </w:rPr>
        <w:t>Vigilar</w:t>
      </w:r>
      <w:r>
        <w:rPr>
          <w:rFonts w:ascii="Arial"/>
          <w:i/>
          <w:color w:val="231F20"/>
          <w:spacing w:val="-31"/>
          <w:w w:val="105"/>
          <w:sz w:val="21"/>
        </w:rPr>
        <w:t> </w:t>
      </w:r>
      <w:r>
        <w:rPr>
          <w:rFonts w:ascii="Arial"/>
          <w:i/>
          <w:color w:val="231F20"/>
          <w:w w:val="105"/>
          <w:sz w:val="21"/>
        </w:rPr>
        <w:t>el</w:t>
      </w:r>
      <w:r>
        <w:rPr>
          <w:rFonts w:ascii="Arial"/>
          <w:i/>
          <w:color w:val="231F20"/>
          <w:spacing w:val="-31"/>
          <w:w w:val="105"/>
          <w:sz w:val="21"/>
        </w:rPr>
        <w:t> </w:t>
      </w:r>
      <w:r>
        <w:rPr>
          <w:rFonts w:ascii="Arial"/>
          <w:i/>
          <w:color w:val="231F20"/>
          <w:w w:val="105"/>
          <w:sz w:val="21"/>
        </w:rPr>
        <w:t>Ejercicio</w:t>
      </w:r>
      <w:r>
        <w:rPr>
          <w:rFonts w:ascii="Arial"/>
          <w:i/>
          <w:color w:val="231F20"/>
          <w:spacing w:val="-31"/>
          <w:w w:val="105"/>
          <w:sz w:val="21"/>
        </w:rPr>
        <w:t> </w:t>
      </w:r>
      <w:r>
        <w:rPr>
          <w:rFonts w:ascii="Arial"/>
          <w:i/>
          <w:color w:val="231F20"/>
          <w:w w:val="105"/>
          <w:sz w:val="21"/>
        </w:rPr>
        <w:t>de</w:t>
      </w:r>
      <w:r>
        <w:rPr>
          <w:rFonts w:ascii="Arial"/>
          <w:i/>
          <w:color w:val="231F20"/>
          <w:spacing w:val="-31"/>
          <w:w w:val="105"/>
          <w:sz w:val="21"/>
        </w:rPr>
        <w:t> </w:t>
      </w:r>
      <w:r>
        <w:rPr>
          <w:rFonts w:ascii="Arial"/>
          <w:i/>
          <w:color w:val="231F20"/>
          <w:w w:val="105"/>
          <w:sz w:val="21"/>
        </w:rPr>
        <w:t>los</w:t>
      </w:r>
      <w:r>
        <w:rPr>
          <w:rFonts w:ascii="Arial"/>
          <w:i/>
          <w:color w:val="231F20"/>
          <w:spacing w:val="-31"/>
          <w:w w:val="105"/>
          <w:sz w:val="21"/>
        </w:rPr>
        <w:t> </w:t>
      </w:r>
      <w:r>
        <w:rPr>
          <w:rFonts w:ascii="Arial"/>
          <w:i/>
          <w:color w:val="231F20"/>
          <w:w w:val="105"/>
          <w:sz w:val="21"/>
        </w:rPr>
        <w:t>Derechos</w:t>
      </w:r>
      <w:r>
        <w:rPr>
          <w:rFonts w:ascii="Arial"/>
          <w:i/>
          <w:color w:val="231F20"/>
          <w:spacing w:val="-31"/>
          <w:w w:val="105"/>
          <w:sz w:val="21"/>
        </w:rPr>
        <w:t> </w:t>
      </w:r>
      <w:r>
        <w:rPr>
          <w:rFonts w:ascii="Arial"/>
          <w:i/>
          <w:color w:val="231F20"/>
          <w:w w:val="105"/>
          <w:sz w:val="21"/>
        </w:rPr>
        <w:t>Humanos</w:t>
      </w:r>
      <w:r>
        <w:rPr>
          <w:color w:val="231F20"/>
          <w:w w:val="105"/>
          <w:sz w:val="21"/>
        </w:rPr>
        <w:t>,</w:t>
      </w:r>
      <w:r>
        <w:rPr>
          <w:color w:val="231F20"/>
          <w:spacing w:val="-33"/>
          <w:w w:val="105"/>
          <w:sz w:val="21"/>
        </w:rPr>
        <w:t> </w:t>
      </w:r>
      <w:r>
        <w:rPr>
          <w:color w:val="231F20"/>
          <w:w w:val="105"/>
          <w:sz w:val="21"/>
        </w:rPr>
        <w:t>HRI/MC/2008/3,</w:t>
      </w:r>
      <w:r>
        <w:rPr>
          <w:color w:val="231F20"/>
          <w:spacing w:val="-33"/>
          <w:w w:val="105"/>
          <w:sz w:val="21"/>
        </w:rPr>
        <w:t> </w:t>
      </w:r>
      <w:r>
        <w:rPr>
          <w:color w:val="231F20"/>
          <w:w w:val="105"/>
          <w:sz w:val="21"/>
        </w:rPr>
        <w:t>re- cuperado de </w:t>
      </w:r>
      <w:hyperlink r:id="rId40">
        <w:r>
          <w:rPr>
            <w:color w:val="231F20"/>
            <w:w w:val="105"/>
            <w:sz w:val="21"/>
          </w:rPr>
          <w:t>http://www.pudh.unam.mx/repositorio/Report_on_</w:t>
        </w:r>
      </w:hyperlink>
      <w:r>
        <w:rPr>
          <w:color w:val="231F20"/>
          <w:w w:val="105"/>
          <w:sz w:val="21"/>
        </w:rPr>
        <w:t> Indicators_HRI_MC_2008-3-spa.pdf</w:t>
      </w:r>
    </w:p>
    <w:p>
      <w:pPr>
        <w:pStyle w:val="BodyText"/>
        <w:spacing w:line="261" w:lineRule="auto" w:before="1"/>
        <w:ind w:left="2460" w:right="1835" w:hanging="738"/>
        <w:jc w:val="both"/>
      </w:pPr>
      <w:r>
        <w:rPr>
          <w:color w:val="231F20"/>
          <w:w w:val="105"/>
        </w:rPr>
        <w:t>Organización</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Naciones</w:t>
      </w:r>
      <w:r>
        <w:rPr>
          <w:color w:val="231F20"/>
          <w:spacing w:val="-26"/>
          <w:w w:val="105"/>
        </w:rPr>
        <w:t> </w:t>
      </w:r>
      <w:r>
        <w:rPr>
          <w:color w:val="231F20"/>
          <w:w w:val="105"/>
        </w:rPr>
        <w:t>Unidas</w:t>
      </w:r>
      <w:r>
        <w:rPr>
          <w:color w:val="231F20"/>
          <w:spacing w:val="-26"/>
          <w:w w:val="105"/>
        </w:rPr>
        <w:t> </w:t>
      </w:r>
      <w:r>
        <w:rPr>
          <w:color w:val="231F20"/>
          <w:w w:val="105"/>
        </w:rPr>
        <w:t>(</w:t>
      </w:r>
      <w:r>
        <w:rPr>
          <w:color w:val="231F20"/>
          <w:w w:val="105"/>
          <w:sz w:val="17"/>
        </w:rPr>
        <w:t>ONU</w:t>
      </w:r>
      <w:r>
        <w:rPr>
          <w:color w:val="231F20"/>
          <w:w w:val="105"/>
        </w:rPr>
        <w:t>),</w:t>
      </w:r>
      <w:r>
        <w:rPr>
          <w:color w:val="231F20"/>
          <w:spacing w:val="-30"/>
          <w:w w:val="105"/>
        </w:rPr>
        <w:t> </w:t>
      </w:r>
      <w:r>
        <w:rPr>
          <w:color w:val="231F20"/>
          <w:w w:val="105"/>
        </w:rPr>
        <w:t>(1990),</w:t>
      </w:r>
      <w:r>
        <w:rPr>
          <w:color w:val="231F20"/>
          <w:spacing w:val="-30"/>
          <w:w w:val="105"/>
        </w:rPr>
        <w:t> </w:t>
      </w:r>
      <w:r>
        <w:rPr>
          <w:color w:val="231F20"/>
          <w:w w:val="105"/>
        </w:rPr>
        <w:t>Convención</w:t>
      </w:r>
      <w:r>
        <w:rPr>
          <w:color w:val="231F20"/>
          <w:spacing w:val="-26"/>
          <w:w w:val="105"/>
        </w:rPr>
        <w:t> </w:t>
      </w:r>
      <w:r>
        <w:rPr>
          <w:color w:val="231F20"/>
          <w:w w:val="105"/>
        </w:rPr>
        <w:t>interna- cional sobre la protección de los derechos de todos los trabaja- dores</w:t>
      </w:r>
      <w:r>
        <w:rPr>
          <w:color w:val="231F20"/>
          <w:spacing w:val="-12"/>
          <w:w w:val="105"/>
        </w:rPr>
        <w:t> </w:t>
      </w:r>
      <w:r>
        <w:rPr>
          <w:color w:val="231F20"/>
          <w:w w:val="105"/>
        </w:rPr>
        <w:t>migratorios</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sus</w:t>
      </w:r>
      <w:r>
        <w:rPr>
          <w:color w:val="231F20"/>
          <w:spacing w:val="-12"/>
          <w:w w:val="105"/>
        </w:rPr>
        <w:t> </w:t>
      </w:r>
      <w:r>
        <w:rPr>
          <w:color w:val="231F20"/>
          <w:w w:val="105"/>
        </w:rPr>
        <w:t>familiares,</w:t>
      </w:r>
      <w:r>
        <w:rPr>
          <w:color w:val="231F20"/>
          <w:spacing w:val="-18"/>
          <w:w w:val="105"/>
        </w:rPr>
        <w:t> </w:t>
      </w:r>
      <w:r>
        <w:rPr>
          <w:color w:val="231F20"/>
          <w:w w:val="105"/>
        </w:rPr>
        <w:t>recuperado</w:t>
      </w:r>
      <w:r>
        <w:rPr>
          <w:color w:val="231F20"/>
          <w:spacing w:val="-12"/>
          <w:w w:val="105"/>
        </w:rPr>
        <w:t> </w:t>
      </w:r>
      <w:r>
        <w:rPr>
          <w:color w:val="231F20"/>
          <w:w w:val="105"/>
        </w:rPr>
        <w:t>de</w:t>
      </w:r>
      <w:r>
        <w:rPr>
          <w:color w:val="231F20"/>
          <w:spacing w:val="-12"/>
          <w:w w:val="105"/>
        </w:rPr>
        <w:t> </w:t>
      </w:r>
      <w:hyperlink r:id="rId41">
        <w:r>
          <w:rPr>
            <w:color w:val="231F20"/>
            <w:w w:val="105"/>
          </w:rPr>
          <w:t>http://www.</w:t>
        </w:r>
      </w:hyperlink>
      <w:r>
        <w:rPr>
          <w:color w:val="231F20"/>
          <w:w w:val="105"/>
        </w:rPr>
        <w:t> ohchr.org/SP/ProfessionalInterest/Pages/CMW.aspx</w:t>
      </w:r>
    </w:p>
    <w:p>
      <w:pPr>
        <w:spacing w:line="259" w:lineRule="auto" w:before="1"/>
        <w:ind w:left="2460" w:right="1835" w:hanging="738"/>
        <w:jc w:val="both"/>
        <w:rPr>
          <w:sz w:val="21"/>
        </w:rPr>
      </w:pPr>
      <w:r>
        <w:rPr>
          <w:color w:val="231F20"/>
          <w:w w:val="105"/>
          <w:sz w:val="21"/>
        </w:rPr>
        <w:t>Ordoñez,</w:t>
      </w:r>
      <w:r>
        <w:rPr>
          <w:color w:val="231F20"/>
          <w:spacing w:val="-18"/>
          <w:w w:val="105"/>
          <w:sz w:val="21"/>
        </w:rPr>
        <w:t> </w:t>
      </w:r>
      <w:r>
        <w:rPr>
          <w:color w:val="231F20"/>
          <w:w w:val="105"/>
          <w:sz w:val="21"/>
        </w:rPr>
        <w:t>Silvia,</w:t>
      </w:r>
      <w:r>
        <w:rPr>
          <w:color w:val="231F20"/>
          <w:spacing w:val="-18"/>
          <w:w w:val="105"/>
          <w:sz w:val="21"/>
        </w:rPr>
        <w:t> </w:t>
      </w:r>
      <w:r>
        <w:rPr>
          <w:color w:val="231F20"/>
          <w:w w:val="105"/>
          <w:sz w:val="21"/>
        </w:rPr>
        <w:t>(2010),</w:t>
      </w:r>
      <w:r>
        <w:rPr>
          <w:color w:val="231F20"/>
          <w:spacing w:val="-18"/>
          <w:w w:val="105"/>
          <w:sz w:val="21"/>
        </w:rPr>
        <w:t> </w:t>
      </w:r>
      <w:r>
        <w:rPr>
          <w:color w:val="231F20"/>
          <w:w w:val="105"/>
          <w:sz w:val="21"/>
        </w:rPr>
        <w:t>“El</w:t>
      </w:r>
      <w:r>
        <w:rPr>
          <w:color w:val="231F20"/>
          <w:spacing w:val="-12"/>
          <w:w w:val="105"/>
          <w:sz w:val="21"/>
        </w:rPr>
        <w:t> </w:t>
      </w:r>
      <w:r>
        <w:rPr>
          <w:color w:val="231F20"/>
          <w:w w:val="105"/>
          <w:sz w:val="21"/>
        </w:rPr>
        <w:t>derecho</w:t>
      </w:r>
      <w:r>
        <w:rPr>
          <w:color w:val="231F20"/>
          <w:spacing w:val="-12"/>
          <w:w w:val="105"/>
          <w:sz w:val="21"/>
        </w:rPr>
        <w:t> </w:t>
      </w:r>
      <w:r>
        <w:rPr>
          <w:color w:val="231F20"/>
          <w:w w:val="105"/>
          <w:sz w:val="21"/>
        </w:rPr>
        <w:t>a</w:t>
      </w:r>
      <w:r>
        <w:rPr>
          <w:color w:val="231F20"/>
          <w:spacing w:val="-12"/>
          <w:w w:val="105"/>
          <w:sz w:val="21"/>
        </w:rPr>
        <w:t> </w:t>
      </w:r>
      <w:r>
        <w:rPr>
          <w:color w:val="231F20"/>
          <w:w w:val="105"/>
          <w:sz w:val="21"/>
        </w:rPr>
        <w:t>la</w:t>
      </w:r>
      <w:r>
        <w:rPr>
          <w:color w:val="231F20"/>
          <w:spacing w:val="-12"/>
          <w:w w:val="105"/>
          <w:sz w:val="21"/>
        </w:rPr>
        <w:t> </w:t>
      </w:r>
      <w:r>
        <w:rPr>
          <w:color w:val="231F20"/>
          <w:w w:val="105"/>
          <w:sz w:val="21"/>
        </w:rPr>
        <w:t>participación</w:t>
      </w:r>
      <w:r>
        <w:rPr>
          <w:color w:val="231F20"/>
          <w:spacing w:val="-12"/>
          <w:w w:val="105"/>
          <w:sz w:val="21"/>
        </w:rPr>
        <w:t> </w:t>
      </w:r>
      <w:r>
        <w:rPr>
          <w:color w:val="231F20"/>
          <w:w w:val="105"/>
          <w:sz w:val="21"/>
        </w:rPr>
        <w:t>de</w:t>
      </w:r>
      <w:r>
        <w:rPr>
          <w:color w:val="231F20"/>
          <w:spacing w:val="-12"/>
          <w:w w:val="105"/>
          <w:sz w:val="21"/>
        </w:rPr>
        <w:t> </w:t>
      </w:r>
      <w:r>
        <w:rPr>
          <w:color w:val="231F20"/>
          <w:w w:val="105"/>
          <w:sz w:val="21"/>
        </w:rPr>
        <w:t>la</w:t>
      </w:r>
      <w:r>
        <w:rPr>
          <w:color w:val="231F20"/>
          <w:spacing w:val="-12"/>
          <w:w w:val="105"/>
          <w:sz w:val="21"/>
        </w:rPr>
        <w:t> </w:t>
      </w:r>
      <w:r>
        <w:rPr>
          <w:color w:val="231F20"/>
          <w:w w:val="105"/>
          <w:sz w:val="21"/>
        </w:rPr>
        <w:t>población</w:t>
      </w:r>
      <w:r>
        <w:rPr>
          <w:color w:val="231F20"/>
          <w:spacing w:val="-12"/>
          <w:w w:val="105"/>
          <w:sz w:val="21"/>
        </w:rPr>
        <w:t> </w:t>
      </w:r>
      <w:r>
        <w:rPr>
          <w:color w:val="231F20"/>
          <w:w w:val="105"/>
          <w:sz w:val="21"/>
        </w:rPr>
        <w:t>in- </w:t>
      </w:r>
      <w:r>
        <w:rPr>
          <w:color w:val="231F20"/>
          <w:spacing w:val="-3"/>
          <w:w w:val="105"/>
          <w:sz w:val="21"/>
        </w:rPr>
        <w:t>migrante”, </w:t>
      </w:r>
      <w:r>
        <w:rPr>
          <w:color w:val="231F20"/>
          <w:w w:val="105"/>
          <w:sz w:val="21"/>
        </w:rPr>
        <w:t>ponencia presentada en </w:t>
      </w:r>
      <w:r>
        <w:rPr>
          <w:rFonts w:ascii="Arial" w:hAnsi="Arial"/>
          <w:i/>
          <w:color w:val="231F20"/>
          <w:w w:val="105"/>
          <w:sz w:val="21"/>
        </w:rPr>
        <w:t>Encuentro de Migraciones y </w:t>
      </w:r>
      <w:r>
        <w:rPr>
          <w:rFonts w:ascii="Arial" w:hAnsi="Arial"/>
          <w:i/>
          <w:color w:val="231F20"/>
          <w:w w:val="105"/>
          <w:sz w:val="21"/>
        </w:rPr>
        <w:t>Derechos</w:t>
      </w:r>
      <w:r>
        <w:rPr>
          <w:rFonts w:ascii="Arial" w:hAnsi="Arial"/>
          <w:i/>
          <w:color w:val="231F20"/>
          <w:spacing w:val="-36"/>
          <w:w w:val="105"/>
          <w:sz w:val="21"/>
        </w:rPr>
        <w:t> </w:t>
      </w:r>
      <w:r>
        <w:rPr>
          <w:rFonts w:ascii="Arial" w:hAnsi="Arial"/>
          <w:i/>
          <w:color w:val="231F20"/>
          <w:w w:val="105"/>
          <w:sz w:val="21"/>
        </w:rPr>
        <w:t>Humanos</w:t>
      </w:r>
      <w:r>
        <w:rPr>
          <w:color w:val="231F20"/>
          <w:w w:val="105"/>
          <w:sz w:val="21"/>
        </w:rPr>
        <w:t>,</w:t>
      </w:r>
      <w:r>
        <w:rPr>
          <w:color w:val="231F20"/>
          <w:spacing w:val="-37"/>
          <w:w w:val="105"/>
          <w:sz w:val="21"/>
        </w:rPr>
        <w:t> </w:t>
      </w:r>
      <w:r>
        <w:rPr>
          <w:color w:val="231F20"/>
          <w:w w:val="105"/>
          <w:sz w:val="21"/>
        </w:rPr>
        <w:t>15-17</w:t>
      </w:r>
      <w:r>
        <w:rPr>
          <w:color w:val="231F20"/>
          <w:spacing w:val="-34"/>
          <w:w w:val="105"/>
          <w:sz w:val="21"/>
        </w:rPr>
        <w:t> </w:t>
      </w:r>
      <w:r>
        <w:rPr>
          <w:color w:val="231F20"/>
          <w:w w:val="105"/>
          <w:sz w:val="21"/>
        </w:rPr>
        <w:t>de</w:t>
      </w:r>
      <w:r>
        <w:rPr>
          <w:color w:val="231F20"/>
          <w:spacing w:val="-34"/>
          <w:w w:val="105"/>
          <w:sz w:val="21"/>
        </w:rPr>
        <w:t> </w:t>
      </w:r>
      <w:r>
        <w:rPr>
          <w:color w:val="231F20"/>
          <w:w w:val="105"/>
          <w:sz w:val="21"/>
        </w:rPr>
        <w:t>octubre,</w:t>
      </w:r>
      <w:r>
        <w:rPr>
          <w:color w:val="231F20"/>
          <w:spacing w:val="-37"/>
          <w:w w:val="105"/>
          <w:sz w:val="21"/>
        </w:rPr>
        <w:t> </w:t>
      </w:r>
      <w:r>
        <w:rPr>
          <w:color w:val="231F20"/>
          <w:w w:val="105"/>
          <w:sz w:val="21"/>
        </w:rPr>
        <w:t>Gexto,</w:t>
      </w:r>
      <w:r>
        <w:rPr>
          <w:color w:val="231F20"/>
          <w:spacing w:val="-37"/>
          <w:w w:val="105"/>
          <w:sz w:val="21"/>
        </w:rPr>
        <w:t> </w:t>
      </w:r>
      <w:r>
        <w:rPr>
          <w:color w:val="231F20"/>
          <w:w w:val="105"/>
          <w:sz w:val="21"/>
        </w:rPr>
        <w:t>España.</w:t>
      </w:r>
    </w:p>
    <w:p>
      <w:pPr>
        <w:pStyle w:val="BodyText"/>
        <w:spacing w:line="261" w:lineRule="auto" w:before="3"/>
        <w:ind w:left="2460" w:right="1829" w:hanging="738"/>
        <w:jc w:val="both"/>
      </w:pPr>
      <w:r>
        <w:rPr>
          <w:color w:val="231F20"/>
          <w:w w:val="105"/>
        </w:rPr>
        <w:t>Padilla,</w:t>
      </w:r>
      <w:r>
        <w:rPr>
          <w:color w:val="231F20"/>
          <w:spacing w:val="-31"/>
          <w:w w:val="105"/>
        </w:rPr>
        <w:t> </w:t>
      </w:r>
      <w:r>
        <w:rPr>
          <w:color w:val="231F20"/>
          <w:w w:val="105"/>
        </w:rPr>
        <w:t>Juan</w:t>
      </w:r>
      <w:r>
        <w:rPr>
          <w:color w:val="231F20"/>
          <w:spacing w:val="-26"/>
          <w:w w:val="105"/>
        </w:rPr>
        <w:t> </w:t>
      </w:r>
      <w:r>
        <w:rPr>
          <w:color w:val="231F20"/>
          <w:w w:val="105"/>
        </w:rPr>
        <w:t>Manuel</w:t>
      </w:r>
      <w:r>
        <w:rPr>
          <w:color w:val="231F20"/>
          <w:spacing w:val="-26"/>
          <w:w w:val="105"/>
        </w:rPr>
        <w:t> </w:t>
      </w:r>
      <w:r>
        <w:rPr>
          <w:color w:val="231F20"/>
          <w:w w:val="105"/>
        </w:rPr>
        <w:t>y</w:t>
      </w:r>
      <w:r>
        <w:rPr>
          <w:color w:val="231F20"/>
          <w:spacing w:val="-27"/>
          <w:w w:val="105"/>
        </w:rPr>
        <w:t> </w:t>
      </w:r>
      <w:r>
        <w:rPr>
          <w:color w:val="231F20"/>
          <w:w w:val="105"/>
        </w:rPr>
        <w:t>Jardón,</w:t>
      </w:r>
      <w:r>
        <w:rPr>
          <w:color w:val="231F20"/>
          <w:spacing w:val="-33"/>
          <w:w w:val="105"/>
        </w:rPr>
        <w:t> </w:t>
      </w:r>
      <w:r>
        <w:rPr>
          <w:color w:val="231F20"/>
          <w:w w:val="105"/>
        </w:rPr>
        <w:t>Ana,</w:t>
      </w:r>
      <w:r>
        <w:rPr>
          <w:color w:val="231F20"/>
          <w:spacing w:val="-30"/>
          <w:w w:val="105"/>
        </w:rPr>
        <w:t> </w:t>
      </w:r>
      <w:r>
        <w:rPr>
          <w:color w:val="231F20"/>
          <w:w w:val="105"/>
        </w:rPr>
        <w:t>(2015),</w:t>
      </w:r>
      <w:r>
        <w:rPr>
          <w:color w:val="231F20"/>
          <w:spacing w:val="-30"/>
          <w:w w:val="105"/>
        </w:rPr>
        <w:t> </w:t>
      </w:r>
      <w:r>
        <w:rPr>
          <w:color w:val="231F20"/>
          <w:w w:val="105"/>
        </w:rPr>
        <w:t>“Migración</w:t>
      </w:r>
      <w:r>
        <w:rPr>
          <w:color w:val="231F20"/>
          <w:spacing w:val="-26"/>
          <w:w w:val="105"/>
        </w:rPr>
        <w:t> </w:t>
      </w:r>
      <w:r>
        <w:rPr>
          <w:color w:val="231F20"/>
          <w:w w:val="105"/>
        </w:rPr>
        <w:t>y</w:t>
      </w:r>
      <w:r>
        <w:rPr>
          <w:color w:val="231F20"/>
          <w:spacing w:val="-26"/>
          <w:w w:val="105"/>
        </w:rPr>
        <w:t> </w:t>
      </w:r>
      <w:r>
        <w:rPr>
          <w:color w:val="231F20"/>
          <w:w w:val="105"/>
        </w:rPr>
        <w:t>empleo:</w:t>
      </w:r>
      <w:r>
        <w:rPr>
          <w:color w:val="231F20"/>
          <w:spacing w:val="-26"/>
          <w:w w:val="105"/>
        </w:rPr>
        <w:t> </w:t>
      </w:r>
      <w:r>
        <w:rPr>
          <w:color w:val="231F20"/>
          <w:w w:val="105"/>
        </w:rPr>
        <w:t>reinser- ción de los migrantes de retorno al mercado laboral </w:t>
      </w:r>
      <w:r>
        <w:rPr>
          <w:color w:val="231F20"/>
          <w:spacing w:val="-3"/>
          <w:w w:val="105"/>
        </w:rPr>
        <w:t>nacional”, </w:t>
      </w:r>
      <w:r>
        <w:rPr>
          <w:color w:val="231F20"/>
        </w:rPr>
        <w:t>México:</w:t>
      </w:r>
      <w:r>
        <w:rPr>
          <w:color w:val="231F20"/>
          <w:spacing w:val="25"/>
        </w:rPr>
        <w:t> </w:t>
      </w:r>
      <w:r>
        <w:rPr>
          <w:color w:val="231F20"/>
          <w:sz w:val="17"/>
        </w:rPr>
        <w:t>INEDIM</w:t>
      </w:r>
      <w:r>
        <w:rPr>
          <w:color w:val="231F20"/>
        </w:rPr>
        <w:t>.</w:t>
      </w:r>
    </w:p>
    <w:p>
      <w:pPr>
        <w:pStyle w:val="BodyText"/>
        <w:spacing w:line="259" w:lineRule="auto" w:before="1"/>
        <w:ind w:left="2460" w:right="1835" w:hanging="737"/>
        <w:jc w:val="both"/>
      </w:pPr>
      <w:r>
        <w:rPr>
          <w:color w:val="231F20"/>
          <w:w w:val="105"/>
        </w:rPr>
        <w:t>Presidencia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República</w:t>
      </w:r>
      <w:r>
        <w:rPr>
          <w:color w:val="231F20"/>
          <w:spacing w:val="-17"/>
          <w:w w:val="105"/>
        </w:rPr>
        <w:t> </w:t>
      </w:r>
      <w:r>
        <w:rPr>
          <w:color w:val="231F20"/>
          <w:w w:val="105"/>
        </w:rPr>
        <w:t>(</w:t>
      </w:r>
      <w:r>
        <w:rPr>
          <w:color w:val="231F20"/>
          <w:w w:val="105"/>
          <w:sz w:val="17"/>
        </w:rPr>
        <w:t>PR</w:t>
      </w:r>
      <w:r>
        <w:rPr>
          <w:color w:val="231F20"/>
          <w:w w:val="105"/>
        </w:rPr>
        <w:t>),</w:t>
      </w:r>
      <w:r>
        <w:rPr>
          <w:color w:val="231F20"/>
          <w:spacing w:val="-21"/>
          <w:w w:val="105"/>
        </w:rPr>
        <w:t> </w:t>
      </w:r>
      <w:r>
        <w:rPr>
          <w:color w:val="231F20"/>
          <w:w w:val="105"/>
        </w:rPr>
        <w:t>(2014),</w:t>
      </w:r>
      <w:r>
        <w:rPr>
          <w:color w:val="231F20"/>
          <w:spacing w:val="-21"/>
          <w:w w:val="105"/>
        </w:rPr>
        <w:t> </w:t>
      </w:r>
      <w:r>
        <w:rPr>
          <w:color w:val="231F20"/>
          <w:w w:val="105"/>
        </w:rPr>
        <w:t>“Decreto</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aprueba el </w:t>
      </w:r>
      <w:r>
        <w:rPr>
          <w:color w:val="231F20"/>
          <w:spacing w:val="-3"/>
          <w:w w:val="105"/>
        </w:rPr>
        <w:t>Programa </w:t>
      </w:r>
      <w:r>
        <w:rPr>
          <w:color w:val="231F20"/>
          <w:w w:val="105"/>
        </w:rPr>
        <w:t>Especial de Migración </w:t>
      </w:r>
      <w:r>
        <w:rPr>
          <w:color w:val="231F20"/>
          <w:spacing w:val="-3"/>
          <w:w w:val="105"/>
        </w:rPr>
        <w:t>2014-2018”, </w:t>
      </w:r>
      <w:r>
        <w:rPr>
          <w:rFonts w:ascii="Arial" w:hAnsi="Arial"/>
          <w:i/>
          <w:color w:val="231F20"/>
          <w:w w:val="105"/>
        </w:rPr>
        <w:t>Diario Oficial</w:t>
      </w:r>
      <w:r>
        <w:rPr>
          <w:rFonts w:ascii="Arial" w:hAnsi="Arial"/>
          <w:i/>
          <w:color w:val="231F20"/>
          <w:spacing w:val="-43"/>
          <w:w w:val="105"/>
        </w:rPr>
        <w:t> </w:t>
      </w:r>
      <w:r>
        <w:rPr>
          <w:rFonts w:ascii="Arial" w:hAnsi="Arial"/>
          <w:i/>
          <w:color w:val="231F20"/>
          <w:w w:val="105"/>
        </w:rPr>
        <w:t>de </w:t>
      </w:r>
      <w:r>
        <w:rPr>
          <w:rFonts w:ascii="Arial" w:hAnsi="Arial"/>
          <w:i/>
          <w:color w:val="231F20"/>
          <w:w w:val="105"/>
        </w:rPr>
        <w:t>la Federación</w:t>
      </w:r>
      <w:r>
        <w:rPr>
          <w:color w:val="231F20"/>
          <w:w w:val="105"/>
        </w:rPr>
        <w:t>, México, recuperado de </w:t>
      </w:r>
      <w:hyperlink r:id="rId25">
        <w:r>
          <w:rPr>
            <w:color w:val="231F20"/>
            <w:w w:val="105"/>
          </w:rPr>
          <w:t>http://www.dof.gob.mx/</w:t>
        </w:r>
      </w:hyperlink>
      <w:r>
        <w:rPr>
          <w:color w:val="231F20"/>
          <w:w w:val="105"/>
        </w:rPr>
        <w:t> nota_detalle.php?codigo=534307&amp;fecha=30/04/2014</w:t>
      </w:r>
    </w:p>
    <w:p>
      <w:pPr>
        <w:pStyle w:val="BodyText"/>
        <w:spacing w:line="261" w:lineRule="auto"/>
        <w:ind w:left="1724" w:right="1683" w:hanging="1"/>
      </w:pPr>
      <w:r>
        <w:rPr>
          <w:color w:val="231F20"/>
        </w:rPr>
        <w:t>Secretaría de Gobernación (</w:t>
      </w:r>
      <w:r>
        <w:rPr>
          <w:color w:val="231F20"/>
          <w:sz w:val="17"/>
        </w:rPr>
        <w:t>SEGOB</w:t>
      </w:r>
      <w:r>
        <w:rPr>
          <w:color w:val="231F20"/>
        </w:rPr>
        <w:t>), (2015), </w:t>
      </w:r>
      <w:r>
        <w:rPr>
          <w:rFonts w:ascii="Arial" w:hAnsi="Arial"/>
          <w:i/>
          <w:color w:val="231F20"/>
        </w:rPr>
        <w:t>Guía Paisano</w:t>
      </w:r>
      <w:r>
        <w:rPr>
          <w:color w:val="231F20"/>
        </w:rPr>
        <w:t>, México: </w:t>
      </w:r>
      <w:r>
        <w:rPr>
          <w:color w:val="231F20"/>
          <w:sz w:val="17"/>
        </w:rPr>
        <w:t>INM</w:t>
      </w:r>
      <w:r>
        <w:rPr>
          <w:color w:val="231F20"/>
        </w:rPr>
        <w:t>. Valdez, Everardo y Rodríguez, Mariano, (2015), “Derechos humanos y mi-</w:t>
      </w:r>
    </w:p>
    <w:p>
      <w:pPr>
        <w:spacing w:line="259" w:lineRule="auto" w:before="0"/>
        <w:ind w:left="2461" w:right="1834" w:firstLine="0"/>
        <w:jc w:val="both"/>
        <w:rPr>
          <w:sz w:val="21"/>
        </w:rPr>
      </w:pPr>
      <w:r>
        <w:rPr>
          <w:color w:val="231F20"/>
          <w:sz w:val="21"/>
        </w:rPr>
        <w:t>gración”, en Karla L. Andrade y Simón P. Izcara (coords.), </w:t>
      </w:r>
      <w:r>
        <w:rPr>
          <w:rFonts w:ascii="Arial" w:hAnsi="Arial"/>
          <w:i/>
          <w:color w:val="231F20"/>
          <w:sz w:val="21"/>
        </w:rPr>
        <w:t>Migran- </w:t>
      </w:r>
      <w:r>
        <w:rPr>
          <w:rFonts w:ascii="Arial" w:hAnsi="Arial"/>
          <w:i/>
          <w:color w:val="231F20"/>
          <w:sz w:val="21"/>
        </w:rPr>
        <w:t>tes, transmigrantes, deportados y derechos humanos</w:t>
      </w:r>
      <w:r>
        <w:rPr>
          <w:color w:val="231F20"/>
          <w:sz w:val="21"/>
        </w:rPr>
        <w:t>, México: Fontamara.</w:t>
      </w:r>
    </w:p>
    <w:p>
      <w:pPr>
        <w:pStyle w:val="BodyText"/>
        <w:spacing w:line="261" w:lineRule="auto" w:before="3"/>
        <w:ind w:left="2461" w:right="1834" w:hanging="738"/>
        <w:jc w:val="both"/>
      </w:pPr>
      <w:r>
        <w:rPr>
          <w:color w:val="231F20"/>
        </w:rPr>
        <w:t>Zúñiga,</w:t>
      </w:r>
      <w:r>
        <w:rPr>
          <w:color w:val="231F20"/>
          <w:spacing w:val="-17"/>
        </w:rPr>
        <w:t> </w:t>
      </w:r>
      <w:r>
        <w:rPr>
          <w:color w:val="231F20"/>
          <w:spacing w:val="-3"/>
        </w:rPr>
        <w:t>Victor,</w:t>
      </w:r>
      <w:r>
        <w:rPr>
          <w:color w:val="231F20"/>
          <w:spacing w:val="-12"/>
        </w:rPr>
        <w:t> </w:t>
      </w:r>
      <w:r>
        <w:rPr>
          <w:color w:val="231F20"/>
        </w:rPr>
        <w:t>Hamann,</w:t>
      </w:r>
      <w:r>
        <w:rPr>
          <w:color w:val="231F20"/>
          <w:spacing w:val="-12"/>
        </w:rPr>
        <w:t> </w:t>
      </w:r>
      <w:r>
        <w:rPr>
          <w:color w:val="231F20"/>
        </w:rPr>
        <w:t>Edmund</w:t>
      </w:r>
      <w:r>
        <w:rPr>
          <w:color w:val="231F20"/>
          <w:spacing w:val="-5"/>
        </w:rPr>
        <w:t> </w:t>
      </w:r>
      <w:r>
        <w:rPr>
          <w:color w:val="231F20"/>
        </w:rPr>
        <w:t>y</w:t>
      </w:r>
      <w:r>
        <w:rPr>
          <w:color w:val="231F20"/>
          <w:spacing w:val="-5"/>
        </w:rPr>
        <w:t> </w:t>
      </w:r>
      <w:r>
        <w:rPr>
          <w:color w:val="231F20"/>
        </w:rPr>
        <w:t>Sánchez,</w:t>
      </w:r>
      <w:r>
        <w:rPr>
          <w:color w:val="231F20"/>
          <w:spacing w:val="-16"/>
        </w:rPr>
        <w:t> </w:t>
      </w:r>
      <w:r>
        <w:rPr>
          <w:color w:val="231F20"/>
        </w:rPr>
        <w:t>Juan,</w:t>
      </w:r>
      <w:r>
        <w:rPr>
          <w:color w:val="231F20"/>
          <w:spacing w:val="-12"/>
        </w:rPr>
        <w:t> </w:t>
      </w:r>
      <w:r>
        <w:rPr>
          <w:color w:val="231F20"/>
        </w:rPr>
        <w:t>(2008),</w:t>
      </w:r>
      <w:r>
        <w:rPr>
          <w:color w:val="231F20"/>
          <w:spacing w:val="-12"/>
        </w:rPr>
        <w:t> </w:t>
      </w:r>
      <w:r>
        <w:rPr>
          <w:color w:val="231F20"/>
        </w:rPr>
        <w:t>“Alumnos</w:t>
      </w:r>
      <w:r>
        <w:rPr>
          <w:color w:val="231F20"/>
          <w:spacing w:val="-5"/>
        </w:rPr>
        <w:t> </w:t>
      </w:r>
      <w:r>
        <w:rPr>
          <w:color w:val="231F20"/>
        </w:rPr>
        <w:t>trans- nacionales. Escuelas mexicanas frente a la globalización”, Faculty </w:t>
      </w:r>
      <w:r>
        <w:rPr>
          <w:color w:val="231F20"/>
          <w:w w:val="105"/>
        </w:rPr>
        <w:t>Publications:</w:t>
      </w:r>
      <w:r>
        <w:rPr>
          <w:color w:val="231F20"/>
          <w:spacing w:val="-34"/>
          <w:w w:val="105"/>
        </w:rPr>
        <w:t> </w:t>
      </w:r>
      <w:r>
        <w:rPr>
          <w:color w:val="231F20"/>
          <w:w w:val="105"/>
        </w:rPr>
        <w:t>Department</w:t>
      </w:r>
      <w:r>
        <w:rPr>
          <w:color w:val="231F20"/>
          <w:spacing w:val="-34"/>
          <w:w w:val="105"/>
        </w:rPr>
        <w:t> </w:t>
      </w:r>
      <w:r>
        <w:rPr>
          <w:color w:val="231F20"/>
          <w:w w:val="105"/>
        </w:rPr>
        <w:t>of</w:t>
      </w:r>
      <w:r>
        <w:rPr>
          <w:color w:val="231F20"/>
          <w:spacing w:val="-34"/>
          <w:w w:val="105"/>
        </w:rPr>
        <w:t> </w:t>
      </w:r>
      <w:r>
        <w:rPr>
          <w:color w:val="231F20"/>
          <w:spacing w:val="-3"/>
          <w:w w:val="105"/>
        </w:rPr>
        <w:t>Teaching,</w:t>
      </w:r>
      <w:r>
        <w:rPr>
          <w:color w:val="231F20"/>
          <w:spacing w:val="-38"/>
          <w:w w:val="105"/>
        </w:rPr>
        <w:t> </w:t>
      </w:r>
      <w:r>
        <w:rPr>
          <w:color w:val="231F20"/>
          <w:w w:val="105"/>
        </w:rPr>
        <w:t>Learning</w:t>
      </w:r>
      <w:r>
        <w:rPr>
          <w:color w:val="231F20"/>
          <w:spacing w:val="-34"/>
          <w:w w:val="105"/>
        </w:rPr>
        <w:t> </w:t>
      </w:r>
      <w:r>
        <w:rPr>
          <w:color w:val="231F20"/>
          <w:w w:val="105"/>
        </w:rPr>
        <w:t>and</w:t>
      </w:r>
      <w:r>
        <w:rPr>
          <w:color w:val="231F20"/>
          <w:spacing w:val="-37"/>
          <w:w w:val="105"/>
        </w:rPr>
        <w:t> </w:t>
      </w:r>
      <w:r>
        <w:rPr>
          <w:color w:val="231F20"/>
          <w:spacing w:val="-4"/>
          <w:w w:val="105"/>
        </w:rPr>
        <w:t>Teacher</w:t>
      </w:r>
      <w:r>
        <w:rPr>
          <w:color w:val="231F20"/>
          <w:spacing w:val="-34"/>
          <w:w w:val="105"/>
        </w:rPr>
        <w:t> </w:t>
      </w:r>
      <w:r>
        <w:rPr>
          <w:color w:val="231F20"/>
          <w:w w:val="105"/>
        </w:rPr>
        <w:t>Edu- cation, </w:t>
      </w:r>
      <w:r>
        <w:rPr>
          <w:color w:val="231F20"/>
          <w:spacing w:val="-3"/>
          <w:w w:val="105"/>
        </w:rPr>
        <w:t>Paper </w:t>
      </w:r>
      <w:r>
        <w:rPr>
          <w:color w:val="231F20"/>
          <w:w w:val="105"/>
        </w:rPr>
        <w:t>97, recuperado de </w:t>
      </w:r>
      <w:hyperlink r:id="rId42">
        <w:r>
          <w:rPr>
            <w:color w:val="231F20"/>
            <w:w w:val="105"/>
          </w:rPr>
          <w:t>http://digitalcommons.unl.edu/</w:t>
        </w:r>
      </w:hyperlink>
      <w:r>
        <w:rPr>
          <w:color w:val="231F20"/>
          <w:w w:val="105"/>
        </w:rPr>
        <w:t> teachlearnfacpub/97</w:t>
      </w:r>
    </w:p>
    <w:p>
      <w:pPr>
        <w:pStyle w:val="BodyText"/>
        <w:rPr>
          <w:sz w:val="20"/>
        </w:rPr>
      </w:pPr>
    </w:p>
    <w:p>
      <w:pPr>
        <w:pStyle w:val="BodyText"/>
        <w:rPr>
          <w:sz w:val="20"/>
        </w:rPr>
      </w:pPr>
    </w:p>
    <w:p>
      <w:pPr>
        <w:pStyle w:val="BodyText"/>
        <w:rPr>
          <w:sz w:val="20"/>
        </w:rPr>
      </w:pPr>
    </w:p>
    <w:p>
      <w:pPr>
        <w:pStyle w:val="BodyText"/>
        <w:spacing w:before="10"/>
        <w:rPr>
          <w:sz w:val="28"/>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5752" from="131.551193pt,3.753715pt" to="131.551193pt,39.556114pt" stroked="true" strokeweight=".35pt" strokecolor="#231f20">
            <w10:wrap type="none"/>
          </v:line>
        </w:pict>
      </w:r>
      <w:r>
        <w:rPr/>
        <w:pict>
          <v:line style="position:absolute;mso-position-horizontal-relative:page;mso-position-vertical-relative:paragraph;z-index:-485728" from="15pt,39.555916pt" to="0pt,39.555916pt" stroked="true" strokeweight=".25pt" strokecolor="#000000">
            <w10:wrap type="none"/>
          </v:line>
        </w:pict>
      </w:r>
      <w:r>
        <w:rPr/>
        <w:pict>
          <v:line style="position:absolute;mso-position-horizontal-relative:page;mso-position-vertical-relative:paragraph;z-index:4480" from="508.890015pt,39.555916pt" to="523.890015pt,39.555916pt" stroked="true" strokeweight=".25pt" strokecolor="#000000">
            <w10:wrap type="none"/>
          </v:line>
        </w:pict>
      </w:r>
      <w:r>
        <w:rPr>
          <w:rFonts w:ascii="Arial" w:hAnsi="Arial"/>
          <w:color w:val="414042"/>
          <w:position w:val="-5"/>
          <w:sz w:val="20"/>
        </w:rPr>
        <w:t>44</w:t>
        <w:tab/>
      </w:r>
      <w:r>
        <w:rPr>
          <w:rFonts w:ascii="Calibri" w:hAnsi="Calibri"/>
          <w:color w:val="6D6E71"/>
          <w:sz w:val="15"/>
        </w:rPr>
        <w:t>Jorge Olvera</w:t>
      </w:r>
      <w:r>
        <w:rPr>
          <w:rFonts w:ascii="Calibri" w:hAnsi="Calibri"/>
          <w:color w:val="6D6E71"/>
          <w:spacing w:val="12"/>
          <w:sz w:val="15"/>
        </w:rPr>
        <w:t> </w:t>
      </w:r>
      <w:r>
        <w:rPr>
          <w:rFonts w:ascii="Calibri" w:hAnsi="Calibri"/>
          <w:color w:val="6D6E71"/>
          <w:sz w:val="15"/>
        </w:rPr>
        <w:t>García</w:t>
      </w:r>
    </w:p>
    <w:p>
      <w:pPr>
        <w:spacing w:after="0"/>
        <w:jc w:val="left"/>
        <w:rPr>
          <w:rFonts w:ascii="Calibri" w:hAnsi="Calibri"/>
          <w:sz w:val="15"/>
        </w:rPr>
        <w:sectPr>
          <w:headerReference w:type="default" r:id="rId39"/>
          <w:pgSz w:w="10480" w:h="14730"/>
          <w:pgMar w:header="0" w:footer="103" w:top="420" w:bottom="300" w:left="0" w:right="0"/>
        </w:sectPr>
      </w:pPr>
    </w:p>
    <w:p>
      <w:pPr>
        <w:pStyle w:val="BodyText"/>
        <w:rPr>
          <w:rFonts w:ascii="Calibri"/>
          <w:sz w:val="20"/>
        </w:rPr>
      </w:pPr>
      <w:r>
        <w:rPr/>
        <w:pict>
          <v:group style="position:absolute;margin-left:21pt;margin-top:20.999975pt;width:481.9pt;height:694.5pt;mso-position-horizontal-relative:page;mso-position-vertical-relative:page;z-index:-485680" coordorigin="420,420" coordsize="9638,13890">
            <v:rect style="position:absolute;left:420;top:420;width:9638;height:13890" filled="true" fillcolor="#77787b" stroked="false">
              <v:fill type="solid"/>
            </v:rect>
            <v:shape style="position:absolute;left:420;top:6577;width:9638;height:7733" type="#_x0000_t75" stroked="false">
              <v:imagedata r:id="rId29" o:title=""/>
            </v:shape>
            <w10:wrap type="none"/>
          </v:group>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5"/>
        </w:rPr>
      </w:pPr>
    </w:p>
    <w:p>
      <w:pPr>
        <w:pStyle w:val="Heading2"/>
        <w:spacing w:line="328" w:lineRule="exact" w:before="5"/>
        <w:ind w:left="316" w:right="2804"/>
        <w:jc w:val="center"/>
      </w:pPr>
      <w:r>
        <w:rPr>
          <w:color w:val="FFFFFF"/>
          <w:w w:val="90"/>
        </w:rPr>
        <w:t>CHILDREN OF IMMIftRANTS</w:t>
      </w:r>
    </w:p>
    <w:p>
      <w:pPr>
        <w:tabs>
          <w:tab w:pos="1561" w:val="left" w:leader="none"/>
        </w:tabs>
        <w:spacing w:line="328" w:lineRule="exact" w:before="0"/>
        <w:ind w:left="0" w:right="1170" w:firstLine="0"/>
        <w:jc w:val="center"/>
        <w:rPr>
          <w:rFonts w:ascii="Lucida Sans Unicode"/>
          <w:sz w:val="24"/>
        </w:rPr>
      </w:pPr>
      <w:r>
        <w:rPr>
          <w:rFonts w:ascii="Lucida Sans Unicode"/>
          <w:color w:val="FFFFFF"/>
          <w:sz w:val="24"/>
        </w:rPr>
        <w:t>THE</w:t>
      </w:r>
      <w:r>
        <w:rPr>
          <w:rFonts w:ascii="Lucida Sans Unicode"/>
          <w:color w:val="FFFFFF"/>
          <w:spacing w:val="-48"/>
          <w:sz w:val="24"/>
        </w:rPr>
        <w:t> </w:t>
      </w:r>
      <w:r>
        <w:rPr>
          <w:rFonts w:ascii="Lucida Sans Unicode"/>
          <w:color w:val="FFFFFF"/>
          <w:sz w:val="24"/>
        </w:rPr>
        <w:t>UNITED</w:t>
        <w:tab/>
      </w:r>
      <w:r>
        <w:rPr>
          <w:rFonts w:ascii="Lucida Sans Unicode"/>
          <w:color w:val="FFFFFF"/>
          <w:spacing w:val="-4"/>
          <w:sz w:val="24"/>
        </w:rPr>
        <w:t>ATES</w:t>
      </w:r>
    </w:p>
    <w:p>
      <w:pPr>
        <w:pStyle w:val="Heading4"/>
        <w:spacing w:line="264" w:lineRule="exact" w:before="79"/>
        <w:ind w:left="5692" w:right="3117"/>
        <w:rPr>
          <w:sz w:val="18"/>
        </w:rPr>
      </w:pPr>
      <w:r>
        <w:rPr>
          <w:color w:val="FFFFFF"/>
        </w:rPr>
        <w:t>Harriett Romo</w:t>
      </w:r>
      <w:r>
        <w:rPr>
          <w:color w:val="FFFFFF"/>
          <w:sz w:val="18"/>
        </w:rPr>
        <w:t>* </w:t>
      </w:r>
      <w:r>
        <w:rPr>
          <w:color w:val="FFFFFF"/>
        </w:rPr>
        <w:t>Janeth Martínez</w:t>
      </w:r>
      <w:r>
        <w:rPr>
          <w:color w:val="FFFFFF"/>
          <w:sz w:val="18"/>
        </w:rPr>
        <w:t>**</w:t>
      </w:r>
    </w:p>
    <w:p>
      <w:pPr>
        <w:spacing w:before="1"/>
        <w:ind w:left="6163" w:right="0" w:firstLine="0"/>
        <w:jc w:val="left"/>
        <w:rPr>
          <w:rFonts w:ascii="Calibri" w:hAnsi="Calibri"/>
          <w:sz w:val="18"/>
        </w:rPr>
      </w:pPr>
      <w:r>
        <w:rPr>
          <w:rFonts w:ascii="Calibri" w:hAnsi="Calibri"/>
          <w:color w:val="FFFFFF"/>
          <w:sz w:val="22"/>
        </w:rPr>
        <w:t>tina López-Mobilia</w:t>
      </w:r>
      <w:r>
        <w:rPr>
          <w:rFonts w:ascii="Calibri" w:hAnsi="Calibri"/>
          <w:color w:val="FFFFFF"/>
          <w:sz w:val="18"/>
        </w:rPr>
        <w:t>***</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line="182" w:lineRule="exact" w:before="197"/>
        <w:ind w:left="2143" w:right="0" w:firstLine="0"/>
        <w:jc w:val="left"/>
        <w:rPr>
          <w:rFonts w:ascii="Calibri"/>
          <w:sz w:val="15"/>
        </w:rPr>
      </w:pPr>
      <w:r>
        <w:rPr>
          <w:rFonts w:ascii="Calibri"/>
          <w:color w:val="FFFFFF"/>
          <w:w w:val="105"/>
          <w:sz w:val="15"/>
        </w:rPr>
        <w:t>* Ph.D. in Sociology. Director of the UTSA Mexico Center.</w:t>
      </w:r>
    </w:p>
    <w:p>
      <w:pPr>
        <w:spacing w:line="180" w:lineRule="exact" w:before="0"/>
        <w:ind w:left="2143" w:right="6753" w:firstLine="0"/>
        <w:jc w:val="left"/>
        <w:rPr>
          <w:rFonts w:ascii="Calibri"/>
          <w:i/>
          <w:sz w:val="15"/>
        </w:rPr>
      </w:pPr>
      <w:hyperlink r:id="rId44">
        <w:r>
          <w:rPr>
            <w:rFonts w:ascii="Calibri"/>
            <w:i/>
            <w:color w:val="FFFFFF"/>
            <w:sz w:val="15"/>
          </w:rPr>
          <w:t>harriett.romo@utsa.edu</w:t>
        </w:r>
      </w:hyperlink>
    </w:p>
    <w:p>
      <w:pPr>
        <w:spacing w:line="180" w:lineRule="exact" w:before="0"/>
        <w:ind w:left="2143" w:right="0" w:firstLine="0"/>
        <w:jc w:val="left"/>
        <w:rPr>
          <w:rFonts w:ascii="Calibri"/>
          <w:sz w:val="15"/>
        </w:rPr>
      </w:pPr>
      <w:r>
        <w:rPr>
          <w:rFonts w:ascii="Calibri"/>
          <w:color w:val="FFFFFF"/>
          <w:sz w:val="15"/>
        </w:rPr>
        <w:t>** University of Texas at San Antonio, Mexico Center, Graduate Student in   Sociology.</w:t>
      </w:r>
    </w:p>
    <w:p>
      <w:pPr>
        <w:spacing w:line="180" w:lineRule="exact" w:before="0"/>
        <w:ind w:left="2143" w:right="0" w:firstLine="0"/>
        <w:jc w:val="left"/>
        <w:rPr>
          <w:rFonts w:ascii="Calibri"/>
          <w:i/>
          <w:sz w:val="15"/>
        </w:rPr>
      </w:pPr>
      <w:hyperlink r:id="rId45">
        <w:r>
          <w:rPr>
            <w:rFonts w:ascii="Calibri"/>
            <w:i/>
            <w:color w:val="FFFFFF"/>
            <w:sz w:val="15"/>
          </w:rPr>
          <w:t>janeth.martinez@utsa.edu</w:t>
        </w:r>
      </w:hyperlink>
    </w:p>
    <w:p>
      <w:pPr>
        <w:spacing w:line="180" w:lineRule="exact" w:before="0"/>
        <w:ind w:left="2143" w:right="0" w:firstLine="0"/>
        <w:jc w:val="left"/>
        <w:rPr>
          <w:rFonts w:ascii="Calibri"/>
          <w:sz w:val="15"/>
        </w:rPr>
      </w:pPr>
      <w:r>
        <w:rPr>
          <w:rFonts w:ascii="Calibri"/>
          <w:color w:val="FFFFFF"/>
          <w:sz w:val="15"/>
        </w:rPr>
        <w:t>*** University of Texas at San Antonio, Mexico Center, Graduate Student in Studies Social   Policy.</w:t>
      </w:r>
    </w:p>
    <w:p>
      <w:pPr>
        <w:spacing w:line="182" w:lineRule="exact" w:before="0"/>
        <w:ind w:left="2143" w:right="6753" w:firstLine="0"/>
        <w:jc w:val="left"/>
        <w:rPr>
          <w:rFonts w:ascii="Calibri"/>
          <w:i/>
          <w:sz w:val="15"/>
        </w:rPr>
      </w:pPr>
      <w:hyperlink r:id="rId46">
        <w:r>
          <w:rPr>
            <w:rFonts w:ascii="Calibri"/>
            <w:i/>
            <w:color w:val="FFFFFF"/>
            <w:sz w:val="15"/>
          </w:rPr>
          <w:t>chistina.lopez@utsa.edu</w:t>
        </w:r>
      </w:hyperlink>
    </w:p>
    <w:p>
      <w:pPr>
        <w:spacing w:after="0" w:line="182" w:lineRule="exact"/>
        <w:jc w:val="left"/>
        <w:rPr>
          <w:rFonts w:ascii="Calibri"/>
          <w:sz w:val="15"/>
        </w:rPr>
        <w:sectPr>
          <w:footerReference w:type="default" r:id="rId43"/>
          <w:pgSz w:w="10480" w:h="14730"/>
          <w:pgMar w:footer="223" w:header="0" w:top="420" w:bottom="420" w:left="0" w:right="0"/>
        </w:sectPr>
      </w:pPr>
    </w:p>
    <w:p>
      <w:pPr>
        <w:pStyle w:val="BodyText"/>
        <w:spacing w:before="4"/>
        <w:rPr>
          <w:rFonts w:ascii="Times New Roman"/>
          <w:sz w:val="17"/>
        </w:rPr>
      </w:pPr>
    </w:p>
    <w:p>
      <w:pPr>
        <w:spacing w:after="0"/>
        <w:rPr>
          <w:rFonts w:ascii="Times New Roman"/>
          <w:sz w:val="17"/>
        </w:rPr>
        <w:sectPr>
          <w:footerReference w:type="default" r:id="rId47"/>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7"/>
        </w:rPr>
      </w:pPr>
    </w:p>
    <w:p>
      <w:pPr>
        <w:pStyle w:val="BodyText"/>
        <w:spacing w:line="261" w:lineRule="auto" w:before="60"/>
        <w:ind w:left="2900" w:right="1721"/>
        <w:jc w:val="both"/>
      </w:pPr>
      <w:r>
        <w:rPr/>
        <w:pict>
          <v:shape style="position:absolute;margin-left:103.218903pt;margin-top:16.113415pt;width:31.2pt;height:51pt;mso-position-horizontal-relative:page;mso-position-vertical-relative:paragraph;z-index:4528"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ducators are recognizing the increasing numbers of school age children who may be learning English in United States classrooms</w:t>
      </w:r>
      <w:r>
        <w:rPr>
          <w:color w:val="231F20"/>
          <w:spacing w:val="-25"/>
          <w:w w:val="105"/>
        </w:rPr>
        <w:t> </w:t>
      </w:r>
      <w:r>
        <w:rPr>
          <w:color w:val="231F20"/>
          <w:w w:val="105"/>
        </w:rPr>
        <w:t>and</w:t>
      </w:r>
      <w:r>
        <w:rPr>
          <w:color w:val="231F20"/>
          <w:spacing w:val="-25"/>
          <w:w w:val="105"/>
        </w:rPr>
        <w:t> </w:t>
      </w:r>
      <w:r>
        <w:rPr>
          <w:color w:val="231F20"/>
          <w:w w:val="105"/>
        </w:rPr>
        <w:t>speaking</w:t>
      </w:r>
      <w:r>
        <w:rPr>
          <w:color w:val="231F20"/>
          <w:spacing w:val="-25"/>
          <w:w w:val="105"/>
        </w:rPr>
        <w:t> </w:t>
      </w:r>
      <w:r>
        <w:rPr>
          <w:color w:val="231F20"/>
          <w:w w:val="105"/>
        </w:rPr>
        <w:t>other</w:t>
      </w:r>
      <w:r>
        <w:rPr>
          <w:color w:val="231F20"/>
          <w:spacing w:val="-25"/>
          <w:w w:val="105"/>
        </w:rPr>
        <w:t> </w:t>
      </w:r>
      <w:r>
        <w:rPr>
          <w:color w:val="231F20"/>
          <w:w w:val="105"/>
        </w:rPr>
        <w:t>languages</w:t>
      </w:r>
      <w:r>
        <w:rPr>
          <w:color w:val="231F20"/>
          <w:spacing w:val="-25"/>
          <w:w w:val="105"/>
        </w:rPr>
        <w:t> </w:t>
      </w:r>
      <w:r>
        <w:rPr>
          <w:color w:val="231F20"/>
          <w:w w:val="105"/>
        </w:rPr>
        <w:t>at</w:t>
      </w:r>
      <w:r>
        <w:rPr>
          <w:color w:val="231F20"/>
          <w:spacing w:val="-25"/>
          <w:w w:val="105"/>
        </w:rPr>
        <w:t> </w:t>
      </w:r>
      <w:r>
        <w:rPr>
          <w:color w:val="231F20"/>
          <w:w w:val="105"/>
        </w:rPr>
        <w:t>home.</w:t>
      </w:r>
      <w:r>
        <w:rPr>
          <w:color w:val="231F20"/>
          <w:spacing w:val="-29"/>
          <w:w w:val="105"/>
        </w:rPr>
        <w:t> </w:t>
      </w:r>
      <w:r>
        <w:rPr>
          <w:color w:val="231F20"/>
          <w:w w:val="105"/>
        </w:rPr>
        <w:t>Both</w:t>
      </w:r>
      <w:r>
        <w:rPr>
          <w:color w:val="231F20"/>
          <w:spacing w:val="-25"/>
          <w:w w:val="105"/>
        </w:rPr>
        <w:t> </w:t>
      </w:r>
      <w:r>
        <w:rPr>
          <w:color w:val="231F20"/>
          <w:w w:val="105"/>
        </w:rPr>
        <w:t>edu- cators</w:t>
      </w:r>
      <w:r>
        <w:rPr>
          <w:color w:val="231F20"/>
          <w:spacing w:val="-19"/>
          <w:w w:val="105"/>
        </w:rPr>
        <w:t> </w:t>
      </w:r>
      <w:r>
        <w:rPr>
          <w:color w:val="231F20"/>
          <w:w w:val="105"/>
        </w:rPr>
        <w:t>and</w:t>
      </w:r>
      <w:r>
        <w:rPr>
          <w:color w:val="231F20"/>
          <w:spacing w:val="-19"/>
          <w:w w:val="105"/>
        </w:rPr>
        <w:t> </w:t>
      </w:r>
      <w:r>
        <w:rPr>
          <w:color w:val="231F20"/>
          <w:w w:val="105"/>
        </w:rPr>
        <w:t>parents</w:t>
      </w:r>
      <w:r>
        <w:rPr>
          <w:color w:val="231F20"/>
          <w:spacing w:val="-19"/>
          <w:w w:val="105"/>
        </w:rPr>
        <w:t> </w:t>
      </w:r>
      <w:r>
        <w:rPr>
          <w:color w:val="231F20"/>
          <w:w w:val="105"/>
        </w:rPr>
        <w:t>are</w:t>
      </w:r>
      <w:r>
        <w:rPr>
          <w:color w:val="231F20"/>
          <w:spacing w:val="-19"/>
          <w:w w:val="105"/>
        </w:rPr>
        <w:t> </w:t>
      </w:r>
      <w:r>
        <w:rPr>
          <w:color w:val="231F20"/>
          <w:w w:val="105"/>
        </w:rPr>
        <w:t>struggling</w:t>
      </w:r>
      <w:r>
        <w:rPr>
          <w:color w:val="231F20"/>
          <w:spacing w:val="-19"/>
          <w:w w:val="105"/>
        </w:rPr>
        <w:t> </w:t>
      </w:r>
      <w:r>
        <w:rPr>
          <w:color w:val="231F20"/>
          <w:w w:val="105"/>
        </w:rPr>
        <w:t>to</w:t>
      </w:r>
      <w:r>
        <w:rPr>
          <w:color w:val="231F20"/>
          <w:spacing w:val="-19"/>
          <w:w w:val="105"/>
        </w:rPr>
        <w:t> </w:t>
      </w:r>
      <w:r>
        <w:rPr>
          <w:color w:val="231F20"/>
          <w:w w:val="105"/>
        </w:rPr>
        <w:t>determine</w:t>
      </w:r>
      <w:r>
        <w:rPr>
          <w:color w:val="231F20"/>
          <w:spacing w:val="-19"/>
          <w:w w:val="105"/>
        </w:rPr>
        <w:t> </w:t>
      </w:r>
      <w:r>
        <w:rPr>
          <w:color w:val="231F20"/>
          <w:w w:val="105"/>
        </w:rPr>
        <w:t>the</w:t>
      </w:r>
      <w:r>
        <w:rPr>
          <w:color w:val="231F20"/>
          <w:spacing w:val="-19"/>
          <w:w w:val="105"/>
        </w:rPr>
        <w:t> </w:t>
      </w:r>
      <w:r>
        <w:rPr>
          <w:color w:val="231F20"/>
          <w:w w:val="105"/>
        </w:rPr>
        <w:t>factors</w:t>
      </w:r>
      <w:r>
        <w:rPr>
          <w:color w:val="231F20"/>
          <w:spacing w:val="-19"/>
          <w:w w:val="105"/>
        </w:rPr>
        <w:t> </w:t>
      </w:r>
      <w:r>
        <w:rPr>
          <w:color w:val="231F20"/>
          <w:w w:val="105"/>
        </w:rPr>
        <w:t>that promote school success for these children. Some   </w:t>
      </w:r>
      <w:r>
        <w:rPr>
          <w:color w:val="231F20"/>
          <w:spacing w:val="36"/>
          <w:w w:val="105"/>
        </w:rPr>
        <w:t> </w:t>
      </w:r>
      <w:r>
        <w:rPr>
          <w:color w:val="231F20"/>
          <w:w w:val="105"/>
        </w:rPr>
        <w:t>children</w:t>
      </w:r>
    </w:p>
    <w:p>
      <w:pPr>
        <w:pStyle w:val="BodyText"/>
        <w:spacing w:line="261" w:lineRule="auto" w:before="1"/>
        <w:ind w:left="1837" w:right="1715"/>
        <w:jc w:val="both"/>
      </w:pPr>
      <w:r>
        <w:rPr>
          <w:color w:val="231F20"/>
          <w:w w:val="105"/>
        </w:rPr>
        <w:t>learning</w:t>
      </w:r>
      <w:r>
        <w:rPr>
          <w:color w:val="231F20"/>
          <w:spacing w:val="-18"/>
          <w:w w:val="105"/>
        </w:rPr>
        <w:t> </w:t>
      </w:r>
      <w:r>
        <w:rPr>
          <w:color w:val="231F20"/>
          <w:w w:val="105"/>
        </w:rPr>
        <w:t>English</w:t>
      </w:r>
      <w:r>
        <w:rPr>
          <w:color w:val="231F20"/>
          <w:spacing w:val="-18"/>
          <w:w w:val="105"/>
        </w:rPr>
        <w:t> </w:t>
      </w:r>
      <w:r>
        <w:rPr>
          <w:color w:val="231F20"/>
          <w:w w:val="105"/>
        </w:rPr>
        <w:t>as</w:t>
      </w:r>
      <w:r>
        <w:rPr>
          <w:color w:val="231F20"/>
          <w:spacing w:val="-18"/>
          <w:w w:val="105"/>
        </w:rPr>
        <w:t> </w:t>
      </w:r>
      <w:r>
        <w:rPr>
          <w:color w:val="231F20"/>
          <w:w w:val="105"/>
        </w:rPr>
        <w:t>a</w:t>
      </w:r>
      <w:r>
        <w:rPr>
          <w:color w:val="231F20"/>
          <w:spacing w:val="-18"/>
          <w:w w:val="105"/>
        </w:rPr>
        <w:t> </w:t>
      </w:r>
      <w:r>
        <w:rPr>
          <w:color w:val="231F20"/>
          <w:w w:val="105"/>
        </w:rPr>
        <w:t>second</w:t>
      </w:r>
      <w:r>
        <w:rPr>
          <w:color w:val="231F20"/>
          <w:spacing w:val="-18"/>
          <w:w w:val="105"/>
        </w:rPr>
        <w:t> </w:t>
      </w:r>
      <w:r>
        <w:rPr>
          <w:color w:val="231F20"/>
          <w:w w:val="105"/>
        </w:rPr>
        <w:t>language</w:t>
      </w:r>
      <w:r>
        <w:rPr>
          <w:color w:val="231F20"/>
          <w:spacing w:val="-18"/>
          <w:w w:val="105"/>
        </w:rPr>
        <w:t> </w:t>
      </w:r>
      <w:r>
        <w:rPr>
          <w:color w:val="231F20"/>
          <w:w w:val="105"/>
        </w:rPr>
        <w:t>have</w:t>
      </w:r>
      <w:r>
        <w:rPr>
          <w:color w:val="231F20"/>
          <w:spacing w:val="-18"/>
          <w:w w:val="105"/>
        </w:rPr>
        <w:t> </w:t>
      </w:r>
      <w:r>
        <w:rPr>
          <w:color w:val="231F20"/>
          <w:w w:val="105"/>
        </w:rPr>
        <w:t>been</w:t>
      </w:r>
      <w:r>
        <w:rPr>
          <w:color w:val="231F20"/>
          <w:spacing w:val="-18"/>
          <w:w w:val="105"/>
        </w:rPr>
        <w:t> </w:t>
      </w:r>
      <w:r>
        <w:rPr>
          <w:color w:val="231F20"/>
          <w:w w:val="105"/>
        </w:rPr>
        <w:t>born</w:t>
      </w:r>
      <w:r>
        <w:rPr>
          <w:color w:val="231F20"/>
          <w:spacing w:val="-18"/>
          <w:w w:val="105"/>
        </w:rPr>
        <w:t> </w:t>
      </w:r>
      <w:r>
        <w:rPr>
          <w:color w:val="231F20"/>
          <w:w w:val="105"/>
        </w:rPr>
        <w:t>in</w:t>
      </w:r>
      <w:r>
        <w:rPr>
          <w:color w:val="231F20"/>
          <w:spacing w:val="-18"/>
          <w:w w:val="105"/>
        </w:rPr>
        <w:t> </w:t>
      </w:r>
      <w:r>
        <w:rPr>
          <w:color w:val="231F20"/>
          <w:w w:val="105"/>
        </w:rPr>
        <w:t>the</w:t>
      </w:r>
      <w:r>
        <w:rPr>
          <w:color w:val="231F20"/>
          <w:spacing w:val="-18"/>
          <w:w w:val="105"/>
        </w:rPr>
        <w:t> </w:t>
      </w:r>
      <w:r>
        <w:rPr>
          <w:color w:val="231F20"/>
          <w:w w:val="105"/>
        </w:rPr>
        <w:t>United</w:t>
      </w:r>
      <w:r>
        <w:rPr>
          <w:color w:val="231F20"/>
          <w:spacing w:val="-18"/>
          <w:w w:val="105"/>
        </w:rPr>
        <w:t> </w:t>
      </w:r>
      <w:r>
        <w:rPr>
          <w:color w:val="231F20"/>
          <w:w w:val="105"/>
        </w:rPr>
        <w:t>Sta- tes</w:t>
      </w:r>
      <w:r>
        <w:rPr>
          <w:color w:val="231F20"/>
          <w:spacing w:val="-18"/>
          <w:w w:val="105"/>
        </w:rPr>
        <w:t> </w:t>
      </w:r>
      <w:r>
        <w:rPr>
          <w:color w:val="231F20"/>
          <w:w w:val="105"/>
        </w:rPr>
        <w:t>and</w:t>
      </w:r>
      <w:r>
        <w:rPr>
          <w:color w:val="231F20"/>
          <w:spacing w:val="-18"/>
          <w:w w:val="105"/>
        </w:rPr>
        <w:t> </w:t>
      </w:r>
      <w:r>
        <w:rPr>
          <w:color w:val="231F20"/>
          <w:w w:val="105"/>
        </w:rPr>
        <w:t>are</w:t>
      </w:r>
      <w:r>
        <w:rPr>
          <w:color w:val="231F20"/>
          <w:spacing w:val="-20"/>
          <w:w w:val="105"/>
        </w:rPr>
        <w:t> </w:t>
      </w:r>
      <w:r>
        <w:rPr>
          <w:color w:val="231F20"/>
          <w:w w:val="105"/>
        </w:rPr>
        <w:t>American</w:t>
      </w:r>
      <w:r>
        <w:rPr>
          <w:color w:val="231F20"/>
          <w:spacing w:val="-18"/>
          <w:w w:val="105"/>
        </w:rPr>
        <w:t> </w:t>
      </w:r>
      <w:r>
        <w:rPr>
          <w:color w:val="231F20"/>
          <w:w w:val="105"/>
        </w:rPr>
        <w:t>citizens.</w:t>
      </w:r>
      <w:r>
        <w:rPr>
          <w:color w:val="231F20"/>
          <w:spacing w:val="-22"/>
          <w:w w:val="105"/>
        </w:rPr>
        <w:t> </w:t>
      </w:r>
      <w:r>
        <w:rPr>
          <w:color w:val="231F20"/>
          <w:w w:val="105"/>
        </w:rPr>
        <w:t>Some</w:t>
      </w:r>
      <w:r>
        <w:rPr>
          <w:color w:val="231F20"/>
          <w:spacing w:val="-18"/>
          <w:w w:val="105"/>
        </w:rPr>
        <w:t> </w:t>
      </w:r>
      <w:r>
        <w:rPr>
          <w:color w:val="231F20"/>
          <w:w w:val="105"/>
        </w:rPr>
        <w:t>may</w:t>
      </w:r>
      <w:r>
        <w:rPr>
          <w:color w:val="231F20"/>
          <w:spacing w:val="-18"/>
          <w:w w:val="105"/>
        </w:rPr>
        <w:t> </w:t>
      </w:r>
      <w:r>
        <w:rPr>
          <w:color w:val="231F20"/>
          <w:w w:val="105"/>
        </w:rPr>
        <w:t>be</w:t>
      </w:r>
      <w:r>
        <w:rPr>
          <w:color w:val="231F20"/>
          <w:spacing w:val="-18"/>
          <w:w w:val="105"/>
        </w:rPr>
        <w:t> </w:t>
      </w:r>
      <w:r>
        <w:rPr>
          <w:color w:val="231F20"/>
          <w:w w:val="105"/>
        </w:rPr>
        <w:t>unauthorized</w:t>
      </w:r>
      <w:r>
        <w:rPr>
          <w:color w:val="231F20"/>
          <w:spacing w:val="-18"/>
          <w:w w:val="105"/>
        </w:rPr>
        <w:t> </w:t>
      </w:r>
      <w:r>
        <w:rPr>
          <w:color w:val="231F20"/>
          <w:w w:val="105"/>
        </w:rPr>
        <w:t>or</w:t>
      </w:r>
      <w:r>
        <w:rPr>
          <w:color w:val="231F20"/>
          <w:spacing w:val="-18"/>
          <w:w w:val="105"/>
        </w:rPr>
        <w:t> </w:t>
      </w:r>
      <w:r>
        <w:rPr>
          <w:color w:val="231F20"/>
          <w:w w:val="105"/>
        </w:rPr>
        <w:t>have</w:t>
      </w:r>
      <w:r>
        <w:rPr>
          <w:color w:val="231F20"/>
          <w:spacing w:val="-18"/>
          <w:w w:val="105"/>
        </w:rPr>
        <w:t> </w:t>
      </w:r>
      <w:r>
        <w:rPr>
          <w:color w:val="231F20"/>
          <w:w w:val="105"/>
        </w:rPr>
        <w:t>unau- thorized</w:t>
      </w:r>
      <w:r>
        <w:rPr>
          <w:color w:val="231F20"/>
          <w:spacing w:val="-15"/>
          <w:w w:val="105"/>
        </w:rPr>
        <w:t> </w:t>
      </w:r>
      <w:r>
        <w:rPr>
          <w:color w:val="231F20"/>
          <w:w w:val="105"/>
        </w:rPr>
        <w:t>immigrant</w:t>
      </w:r>
      <w:r>
        <w:rPr>
          <w:color w:val="231F20"/>
          <w:spacing w:val="-15"/>
          <w:w w:val="105"/>
        </w:rPr>
        <w:t> </w:t>
      </w:r>
      <w:r>
        <w:rPr>
          <w:color w:val="231F20"/>
          <w:w w:val="105"/>
        </w:rPr>
        <w:t>parents</w:t>
      </w:r>
      <w:r>
        <w:rPr>
          <w:color w:val="231F20"/>
          <w:spacing w:val="-15"/>
          <w:w w:val="105"/>
        </w:rPr>
        <w:t> </w:t>
      </w:r>
      <w:r>
        <w:rPr>
          <w:color w:val="231F20"/>
          <w:w w:val="105"/>
        </w:rPr>
        <w:t>who</w:t>
      </w:r>
      <w:r>
        <w:rPr>
          <w:color w:val="231F20"/>
          <w:spacing w:val="-15"/>
          <w:w w:val="105"/>
        </w:rPr>
        <w:t> </w:t>
      </w:r>
      <w:r>
        <w:rPr>
          <w:color w:val="231F20"/>
          <w:w w:val="105"/>
        </w:rPr>
        <w:t>have</w:t>
      </w:r>
      <w:r>
        <w:rPr>
          <w:color w:val="231F20"/>
          <w:spacing w:val="-15"/>
          <w:w w:val="105"/>
        </w:rPr>
        <w:t> </w:t>
      </w:r>
      <w:r>
        <w:rPr>
          <w:color w:val="231F20"/>
          <w:w w:val="105"/>
        </w:rPr>
        <w:t>lived</w:t>
      </w:r>
      <w:r>
        <w:rPr>
          <w:color w:val="231F20"/>
          <w:spacing w:val="-15"/>
          <w:w w:val="105"/>
        </w:rPr>
        <w:t> </w:t>
      </w:r>
      <w:r>
        <w:rPr>
          <w:color w:val="231F20"/>
          <w:w w:val="105"/>
        </w:rPr>
        <w:t>and</w:t>
      </w:r>
      <w:r>
        <w:rPr>
          <w:color w:val="231F20"/>
          <w:spacing w:val="-15"/>
          <w:w w:val="105"/>
        </w:rPr>
        <w:t> </w:t>
      </w:r>
      <w:r>
        <w:rPr>
          <w:color w:val="231F20"/>
          <w:w w:val="105"/>
        </w:rPr>
        <w:t>worked</w:t>
      </w:r>
      <w:r>
        <w:rPr>
          <w:color w:val="231F20"/>
          <w:spacing w:val="-15"/>
          <w:w w:val="105"/>
        </w:rPr>
        <w:t> </w:t>
      </w:r>
      <w:r>
        <w:rPr>
          <w:color w:val="231F20"/>
          <w:w w:val="105"/>
        </w:rPr>
        <w:t>in</w:t>
      </w:r>
      <w:r>
        <w:rPr>
          <w:color w:val="231F20"/>
          <w:spacing w:val="-15"/>
          <w:w w:val="105"/>
        </w:rPr>
        <w:t> </w:t>
      </w:r>
      <w:r>
        <w:rPr>
          <w:color w:val="231F20"/>
          <w:w w:val="105"/>
        </w:rPr>
        <w:t>the</w:t>
      </w:r>
      <w:r>
        <w:rPr>
          <w:color w:val="231F20"/>
          <w:spacing w:val="-15"/>
          <w:w w:val="105"/>
        </w:rPr>
        <w:t> </w:t>
      </w:r>
      <w:r>
        <w:rPr>
          <w:color w:val="231F20"/>
          <w:w w:val="105"/>
        </w:rPr>
        <w:t>United</w:t>
      </w:r>
      <w:r>
        <w:rPr>
          <w:color w:val="231F20"/>
          <w:spacing w:val="-15"/>
          <w:w w:val="105"/>
        </w:rPr>
        <w:t> </w:t>
      </w:r>
      <w:r>
        <w:rPr>
          <w:color w:val="231F20"/>
          <w:w w:val="105"/>
        </w:rPr>
        <w:t>Sta- tes for many years. In 2012, 6.9 percent of students enrolled in K-12 classrooms</w:t>
      </w:r>
      <w:r>
        <w:rPr>
          <w:color w:val="231F20"/>
          <w:spacing w:val="-18"/>
          <w:w w:val="105"/>
        </w:rPr>
        <w:t> </w:t>
      </w:r>
      <w:r>
        <w:rPr>
          <w:color w:val="231F20"/>
          <w:w w:val="105"/>
        </w:rPr>
        <w:t>in</w:t>
      </w:r>
      <w:r>
        <w:rPr>
          <w:color w:val="231F20"/>
          <w:spacing w:val="-18"/>
          <w:w w:val="105"/>
        </w:rPr>
        <w:t> </w:t>
      </w:r>
      <w:r>
        <w:rPr>
          <w:color w:val="231F20"/>
          <w:w w:val="105"/>
        </w:rPr>
        <w:t>United</w:t>
      </w:r>
      <w:r>
        <w:rPr>
          <w:color w:val="231F20"/>
          <w:spacing w:val="-18"/>
          <w:w w:val="105"/>
        </w:rPr>
        <w:t> </w:t>
      </w:r>
      <w:r>
        <w:rPr>
          <w:color w:val="231F20"/>
          <w:w w:val="105"/>
        </w:rPr>
        <w:t>States</w:t>
      </w:r>
      <w:r>
        <w:rPr>
          <w:color w:val="231F20"/>
          <w:spacing w:val="-18"/>
          <w:w w:val="105"/>
        </w:rPr>
        <w:t> </w:t>
      </w:r>
      <w:r>
        <w:rPr>
          <w:color w:val="231F20"/>
          <w:w w:val="105"/>
        </w:rPr>
        <w:t>schools</w:t>
      </w:r>
      <w:r>
        <w:rPr>
          <w:color w:val="231F20"/>
          <w:spacing w:val="-18"/>
          <w:w w:val="105"/>
        </w:rPr>
        <w:t> </w:t>
      </w:r>
      <w:r>
        <w:rPr>
          <w:color w:val="231F20"/>
          <w:w w:val="105"/>
        </w:rPr>
        <w:t>had</w:t>
      </w:r>
      <w:r>
        <w:rPr>
          <w:color w:val="231F20"/>
          <w:spacing w:val="-18"/>
          <w:w w:val="105"/>
        </w:rPr>
        <w:t> </w:t>
      </w:r>
      <w:r>
        <w:rPr>
          <w:color w:val="231F20"/>
          <w:w w:val="105"/>
        </w:rPr>
        <w:t>at</w:t>
      </w:r>
      <w:r>
        <w:rPr>
          <w:color w:val="231F20"/>
          <w:spacing w:val="-18"/>
          <w:w w:val="105"/>
        </w:rPr>
        <w:t> </w:t>
      </w:r>
      <w:r>
        <w:rPr>
          <w:color w:val="231F20"/>
          <w:w w:val="105"/>
        </w:rPr>
        <w:t>least</w:t>
      </w:r>
      <w:r>
        <w:rPr>
          <w:color w:val="231F20"/>
          <w:spacing w:val="-18"/>
          <w:w w:val="105"/>
        </w:rPr>
        <w:t> </w:t>
      </w:r>
      <w:r>
        <w:rPr>
          <w:color w:val="231F20"/>
          <w:w w:val="105"/>
        </w:rPr>
        <w:t>one</w:t>
      </w:r>
      <w:r>
        <w:rPr>
          <w:color w:val="231F20"/>
          <w:spacing w:val="-18"/>
          <w:w w:val="105"/>
        </w:rPr>
        <w:t> </w:t>
      </w:r>
      <w:r>
        <w:rPr>
          <w:color w:val="231F20"/>
          <w:w w:val="105"/>
        </w:rPr>
        <w:t>unauthorized</w:t>
      </w:r>
      <w:r>
        <w:rPr>
          <w:color w:val="231F20"/>
          <w:spacing w:val="-18"/>
          <w:w w:val="105"/>
        </w:rPr>
        <w:t> </w:t>
      </w:r>
      <w:r>
        <w:rPr>
          <w:color w:val="231F20"/>
          <w:w w:val="105"/>
        </w:rPr>
        <w:t>immi- grant parent (Passel and Cohn, 2014). Of the unauthorized population, Mexican nationals and their children make up a significant portion. In 2013,</w:t>
      </w:r>
      <w:r>
        <w:rPr>
          <w:color w:val="231F20"/>
          <w:spacing w:val="-22"/>
          <w:w w:val="105"/>
        </w:rPr>
        <w:t> </w:t>
      </w:r>
      <w:r>
        <w:rPr>
          <w:color w:val="231F20"/>
          <w:w w:val="105"/>
        </w:rPr>
        <w:t>Mexican-born</w:t>
      </w:r>
      <w:r>
        <w:rPr>
          <w:color w:val="231F20"/>
          <w:spacing w:val="-15"/>
          <w:w w:val="105"/>
        </w:rPr>
        <w:t> </w:t>
      </w:r>
      <w:r>
        <w:rPr>
          <w:color w:val="231F20"/>
          <w:w w:val="105"/>
        </w:rPr>
        <w:t>immigrant</w:t>
      </w:r>
      <w:r>
        <w:rPr>
          <w:color w:val="231F20"/>
          <w:spacing w:val="-15"/>
          <w:w w:val="105"/>
        </w:rPr>
        <w:t> </w:t>
      </w:r>
      <w:r>
        <w:rPr>
          <w:color w:val="231F20"/>
          <w:w w:val="105"/>
        </w:rPr>
        <w:t>children</w:t>
      </w:r>
      <w:r>
        <w:rPr>
          <w:color w:val="231F20"/>
          <w:spacing w:val="-15"/>
          <w:w w:val="105"/>
        </w:rPr>
        <w:t> </w:t>
      </w:r>
      <w:r>
        <w:rPr>
          <w:color w:val="231F20"/>
          <w:w w:val="105"/>
        </w:rPr>
        <w:t>and</w:t>
      </w:r>
      <w:r>
        <w:rPr>
          <w:color w:val="231F20"/>
          <w:spacing w:val="-15"/>
          <w:w w:val="105"/>
        </w:rPr>
        <w:t> </w:t>
      </w:r>
      <w:r>
        <w:rPr>
          <w:color w:val="231F20"/>
          <w:w w:val="105"/>
        </w:rPr>
        <w:t>youth</w:t>
      </w:r>
      <w:r>
        <w:rPr>
          <w:color w:val="231F20"/>
          <w:spacing w:val="-15"/>
          <w:w w:val="105"/>
        </w:rPr>
        <w:t> </w:t>
      </w:r>
      <w:r>
        <w:rPr>
          <w:color w:val="231F20"/>
          <w:w w:val="105"/>
        </w:rPr>
        <w:t>were</w:t>
      </w:r>
      <w:r>
        <w:rPr>
          <w:color w:val="231F20"/>
          <w:spacing w:val="-15"/>
          <w:w w:val="105"/>
        </w:rPr>
        <w:t> </w:t>
      </w:r>
      <w:r>
        <w:rPr>
          <w:color w:val="231F20"/>
          <w:w w:val="105"/>
        </w:rPr>
        <w:t>by</w:t>
      </w:r>
      <w:r>
        <w:rPr>
          <w:color w:val="231F20"/>
          <w:spacing w:val="-15"/>
          <w:w w:val="105"/>
        </w:rPr>
        <w:t> </w:t>
      </w:r>
      <w:r>
        <w:rPr>
          <w:color w:val="231F20"/>
          <w:w w:val="105"/>
        </w:rPr>
        <w:t>far</w:t>
      </w:r>
      <w:r>
        <w:rPr>
          <w:color w:val="231F20"/>
          <w:spacing w:val="-15"/>
          <w:w w:val="105"/>
        </w:rPr>
        <w:t> </w:t>
      </w:r>
      <w:r>
        <w:rPr>
          <w:color w:val="231F20"/>
          <w:w w:val="105"/>
        </w:rPr>
        <w:t>the</w:t>
      </w:r>
      <w:r>
        <w:rPr>
          <w:color w:val="231F20"/>
          <w:spacing w:val="-15"/>
          <w:w w:val="105"/>
        </w:rPr>
        <w:t> </w:t>
      </w:r>
      <w:r>
        <w:rPr>
          <w:color w:val="231F20"/>
          <w:w w:val="105"/>
        </w:rPr>
        <w:t>largest group</w:t>
      </w:r>
      <w:r>
        <w:rPr>
          <w:color w:val="231F20"/>
          <w:spacing w:val="-4"/>
          <w:w w:val="105"/>
        </w:rPr>
        <w:t> </w:t>
      </w:r>
      <w:r>
        <w:rPr>
          <w:color w:val="231F20"/>
          <w:w w:val="105"/>
        </w:rPr>
        <w:t>in</w:t>
      </w:r>
      <w:r>
        <w:rPr>
          <w:color w:val="231F20"/>
          <w:spacing w:val="-4"/>
          <w:w w:val="105"/>
        </w:rPr>
        <w:t> </w:t>
      </w:r>
      <w:r>
        <w:rPr>
          <w:color w:val="231F20"/>
          <w:w w:val="105"/>
        </w:rPr>
        <w:t>the</w:t>
      </w:r>
      <w:r>
        <w:rPr>
          <w:color w:val="231F20"/>
          <w:spacing w:val="-4"/>
          <w:w w:val="105"/>
        </w:rPr>
        <w:t> </w:t>
      </w:r>
      <w:r>
        <w:rPr>
          <w:color w:val="231F20"/>
          <w:w w:val="105"/>
        </w:rPr>
        <w:t>United</w:t>
      </w:r>
      <w:r>
        <w:rPr>
          <w:color w:val="231F20"/>
          <w:spacing w:val="-4"/>
          <w:w w:val="105"/>
        </w:rPr>
        <w:t> </w:t>
      </w:r>
      <w:r>
        <w:rPr>
          <w:color w:val="231F20"/>
          <w:w w:val="105"/>
        </w:rPr>
        <w:t>States</w:t>
      </w:r>
      <w:r>
        <w:rPr>
          <w:color w:val="231F20"/>
          <w:spacing w:val="-4"/>
          <w:w w:val="105"/>
        </w:rPr>
        <w:t> </w:t>
      </w:r>
      <w:r>
        <w:rPr>
          <w:color w:val="231F20"/>
          <w:w w:val="105"/>
        </w:rPr>
        <w:t>(Zong</w:t>
      </w:r>
      <w:r>
        <w:rPr>
          <w:color w:val="231F20"/>
          <w:spacing w:val="-4"/>
          <w:w w:val="105"/>
        </w:rPr>
        <w:t> </w:t>
      </w:r>
      <w:r>
        <w:rPr>
          <w:color w:val="231F20"/>
          <w:w w:val="105"/>
        </w:rPr>
        <w:t>and</w:t>
      </w:r>
      <w:r>
        <w:rPr>
          <w:color w:val="231F20"/>
          <w:spacing w:val="-4"/>
          <w:w w:val="105"/>
        </w:rPr>
        <w:t> </w:t>
      </w:r>
      <w:r>
        <w:rPr>
          <w:color w:val="231F20"/>
          <w:w w:val="105"/>
        </w:rPr>
        <w:t>Batalova,</w:t>
      </w:r>
      <w:r>
        <w:rPr>
          <w:color w:val="231F20"/>
          <w:spacing w:val="-9"/>
          <w:w w:val="105"/>
        </w:rPr>
        <w:t> </w:t>
      </w:r>
      <w:r>
        <w:rPr>
          <w:color w:val="231F20"/>
          <w:w w:val="105"/>
        </w:rPr>
        <w:t>2015).</w:t>
      </w:r>
      <w:r>
        <w:rPr>
          <w:color w:val="231F20"/>
          <w:spacing w:val="-13"/>
          <w:w w:val="105"/>
        </w:rPr>
        <w:t> </w:t>
      </w:r>
      <w:r>
        <w:rPr>
          <w:color w:val="231F20"/>
          <w:w w:val="105"/>
        </w:rPr>
        <w:t>Therefore,</w:t>
      </w:r>
      <w:r>
        <w:rPr>
          <w:color w:val="231F20"/>
          <w:spacing w:val="-9"/>
          <w:w w:val="105"/>
        </w:rPr>
        <w:t> </w:t>
      </w:r>
      <w:r>
        <w:rPr>
          <w:color w:val="231F20"/>
          <w:w w:val="105"/>
        </w:rPr>
        <w:t>atten- tion focused on Mexican immigrant children is highly important given their</w:t>
      </w:r>
      <w:r>
        <w:rPr>
          <w:color w:val="231F20"/>
          <w:spacing w:val="-26"/>
          <w:w w:val="105"/>
        </w:rPr>
        <w:t> </w:t>
      </w:r>
      <w:r>
        <w:rPr>
          <w:color w:val="231F20"/>
          <w:w w:val="105"/>
        </w:rPr>
        <w:t>overwhelming</w:t>
      </w:r>
      <w:r>
        <w:rPr>
          <w:color w:val="231F20"/>
          <w:spacing w:val="-26"/>
          <w:w w:val="105"/>
        </w:rPr>
        <w:t> </w:t>
      </w:r>
      <w:r>
        <w:rPr>
          <w:color w:val="231F20"/>
          <w:w w:val="105"/>
        </w:rPr>
        <w:t>numbers</w:t>
      </w:r>
      <w:r>
        <w:rPr>
          <w:color w:val="231F20"/>
          <w:spacing w:val="-26"/>
          <w:w w:val="105"/>
        </w:rPr>
        <w:t> </w:t>
      </w:r>
      <w:r>
        <w:rPr>
          <w:color w:val="231F20"/>
          <w:w w:val="105"/>
        </w:rPr>
        <w:t>in</w:t>
      </w:r>
      <w:r>
        <w:rPr>
          <w:color w:val="231F20"/>
          <w:spacing w:val="-26"/>
          <w:w w:val="105"/>
        </w:rPr>
        <w:t> </w:t>
      </w:r>
      <w:r>
        <w:rPr>
          <w:color w:val="231F20"/>
          <w:w w:val="105"/>
        </w:rPr>
        <w:t>the</w:t>
      </w:r>
      <w:r>
        <w:rPr>
          <w:color w:val="231F20"/>
          <w:spacing w:val="-26"/>
          <w:w w:val="105"/>
        </w:rPr>
        <w:t> </w:t>
      </w:r>
      <w:r>
        <w:rPr>
          <w:color w:val="231F20"/>
          <w:w w:val="105"/>
        </w:rPr>
        <w:t>U.S.</w:t>
      </w:r>
      <w:r>
        <w:rPr>
          <w:color w:val="231F20"/>
          <w:spacing w:val="-30"/>
          <w:w w:val="105"/>
        </w:rPr>
        <w:t> </w:t>
      </w:r>
      <w:r>
        <w:rPr>
          <w:color w:val="231F20"/>
          <w:w w:val="105"/>
        </w:rPr>
        <w:t>public</w:t>
      </w:r>
      <w:r>
        <w:rPr>
          <w:color w:val="231F20"/>
          <w:spacing w:val="-26"/>
          <w:w w:val="105"/>
        </w:rPr>
        <w:t> </w:t>
      </w:r>
      <w:r>
        <w:rPr>
          <w:color w:val="231F20"/>
          <w:w w:val="105"/>
        </w:rPr>
        <w:t>education</w:t>
      </w:r>
      <w:r>
        <w:rPr>
          <w:color w:val="231F20"/>
          <w:spacing w:val="-26"/>
          <w:w w:val="105"/>
        </w:rPr>
        <w:t> </w:t>
      </w:r>
      <w:r>
        <w:rPr>
          <w:color w:val="231F20"/>
          <w:w w:val="105"/>
        </w:rPr>
        <w:t>system.</w:t>
      </w:r>
      <w:r>
        <w:rPr>
          <w:color w:val="231F20"/>
          <w:spacing w:val="-34"/>
          <w:w w:val="105"/>
        </w:rPr>
        <w:t> </w:t>
      </w:r>
      <w:r>
        <w:rPr>
          <w:color w:val="231F20"/>
          <w:w w:val="105"/>
        </w:rPr>
        <w:t>This</w:t>
      </w:r>
      <w:r>
        <w:rPr>
          <w:color w:val="231F20"/>
          <w:spacing w:val="-26"/>
          <w:w w:val="105"/>
        </w:rPr>
        <w:t> </w:t>
      </w:r>
      <w:r>
        <w:rPr>
          <w:color w:val="231F20"/>
          <w:w w:val="105"/>
        </w:rPr>
        <w:t>pa- per</w:t>
      </w:r>
      <w:r>
        <w:rPr>
          <w:color w:val="231F20"/>
          <w:spacing w:val="-15"/>
          <w:w w:val="105"/>
        </w:rPr>
        <w:t> </w:t>
      </w:r>
      <w:r>
        <w:rPr>
          <w:color w:val="231F20"/>
          <w:w w:val="105"/>
        </w:rPr>
        <w:t>reviews</w:t>
      </w:r>
      <w:r>
        <w:rPr>
          <w:color w:val="231F20"/>
          <w:spacing w:val="-15"/>
          <w:w w:val="105"/>
        </w:rPr>
        <w:t> </w:t>
      </w:r>
      <w:r>
        <w:rPr>
          <w:color w:val="231F20"/>
          <w:w w:val="105"/>
        </w:rPr>
        <w:t>some</w:t>
      </w:r>
      <w:r>
        <w:rPr>
          <w:color w:val="231F20"/>
          <w:spacing w:val="-15"/>
          <w:w w:val="105"/>
        </w:rPr>
        <w:t> </w:t>
      </w:r>
      <w:r>
        <w:rPr>
          <w:color w:val="231F20"/>
          <w:w w:val="105"/>
        </w:rPr>
        <w:t>of</w:t>
      </w:r>
      <w:r>
        <w:rPr>
          <w:color w:val="231F20"/>
          <w:spacing w:val="-10"/>
          <w:w w:val="105"/>
        </w:rPr>
        <w:t> </w:t>
      </w:r>
      <w:r>
        <w:rPr>
          <w:color w:val="231F20"/>
          <w:w w:val="105"/>
        </w:rPr>
        <w:t>the</w:t>
      </w:r>
      <w:r>
        <w:rPr>
          <w:color w:val="231F20"/>
          <w:spacing w:val="-15"/>
          <w:w w:val="105"/>
        </w:rPr>
        <w:t> </w:t>
      </w:r>
      <w:r>
        <w:rPr>
          <w:color w:val="231F20"/>
          <w:w w:val="105"/>
        </w:rPr>
        <w:t>key</w:t>
      </w:r>
      <w:r>
        <w:rPr>
          <w:color w:val="231F20"/>
          <w:spacing w:val="-15"/>
          <w:w w:val="105"/>
        </w:rPr>
        <w:t> </w:t>
      </w:r>
      <w:r>
        <w:rPr>
          <w:color w:val="231F20"/>
          <w:w w:val="105"/>
        </w:rPr>
        <w:t>issues</w:t>
      </w:r>
      <w:r>
        <w:rPr>
          <w:color w:val="231F20"/>
          <w:spacing w:val="-15"/>
          <w:w w:val="105"/>
        </w:rPr>
        <w:t> </w:t>
      </w:r>
      <w:r>
        <w:rPr>
          <w:color w:val="231F20"/>
          <w:w w:val="105"/>
        </w:rPr>
        <w:t>affecting</w:t>
      </w:r>
      <w:r>
        <w:rPr>
          <w:color w:val="231F20"/>
          <w:spacing w:val="-15"/>
          <w:w w:val="105"/>
        </w:rPr>
        <w:t> </w:t>
      </w:r>
      <w:r>
        <w:rPr>
          <w:color w:val="231F20"/>
          <w:w w:val="105"/>
        </w:rPr>
        <w:t>dual</w:t>
      </w:r>
      <w:r>
        <w:rPr>
          <w:color w:val="231F20"/>
          <w:spacing w:val="-15"/>
          <w:w w:val="105"/>
        </w:rPr>
        <w:t> </w:t>
      </w:r>
      <w:r>
        <w:rPr>
          <w:color w:val="231F20"/>
          <w:w w:val="105"/>
        </w:rPr>
        <w:t>language</w:t>
      </w:r>
      <w:r>
        <w:rPr>
          <w:color w:val="231F20"/>
          <w:spacing w:val="-15"/>
          <w:w w:val="105"/>
        </w:rPr>
        <w:t> </w:t>
      </w:r>
      <w:r>
        <w:rPr>
          <w:color w:val="231F20"/>
          <w:w w:val="105"/>
        </w:rPr>
        <w:t>learning</w:t>
      </w:r>
      <w:r>
        <w:rPr>
          <w:color w:val="231F20"/>
          <w:spacing w:val="-15"/>
          <w:w w:val="105"/>
        </w:rPr>
        <w:t> </w:t>
      </w:r>
      <w:r>
        <w:rPr>
          <w:color w:val="231F20"/>
          <w:w w:val="105"/>
        </w:rPr>
        <w:t>chil- </w:t>
      </w:r>
      <w:r>
        <w:rPr>
          <w:color w:val="231F20"/>
          <w:spacing w:val="-3"/>
          <w:w w:val="105"/>
        </w:rPr>
        <w:t>dren’s</w:t>
      </w:r>
      <w:r>
        <w:rPr>
          <w:color w:val="231F20"/>
          <w:spacing w:val="-26"/>
          <w:w w:val="105"/>
        </w:rPr>
        <w:t> </w:t>
      </w:r>
      <w:r>
        <w:rPr>
          <w:color w:val="231F20"/>
          <w:w w:val="105"/>
        </w:rPr>
        <w:t>educational</w:t>
      </w:r>
      <w:r>
        <w:rPr>
          <w:color w:val="231F20"/>
          <w:spacing w:val="-26"/>
          <w:w w:val="105"/>
        </w:rPr>
        <w:t> </w:t>
      </w:r>
      <w:r>
        <w:rPr>
          <w:color w:val="231F20"/>
          <w:w w:val="105"/>
        </w:rPr>
        <w:t>outcomes</w:t>
      </w:r>
      <w:r>
        <w:rPr>
          <w:color w:val="231F20"/>
          <w:spacing w:val="-26"/>
          <w:w w:val="105"/>
        </w:rPr>
        <w:t> </w:t>
      </w:r>
      <w:r>
        <w:rPr>
          <w:color w:val="231F20"/>
          <w:w w:val="105"/>
        </w:rPr>
        <w:t>and</w:t>
      </w:r>
      <w:r>
        <w:rPr>
          <w:color w:val="231F20"/>
          <w:spacing w:val="-26"/>
          <w:w w:val="105"/>
        </w:rPr>
        <w:t> </w:t>
      </w:r>
      <w:r>
        <w:rPr>
          <w:color w:val="231F20"/>
          <w:w w:val="105"/>
        </w:rPr>
        <w:t>discusses</w:t>
      </w:r>
      <w:r>
        <w:rPr>
          <w:color w:val="231F20"/>
          <w:spacing w:val="-26"/>
          <w:w w:val="105"/>
        </w:rPr>
        <w:t> </w:t>
      </w:r>
      <w:r>
        <w:rPr>
          <w:color w:val="231F20"/>
          <w:w w:val="105"/>
        </w:rPr>
        <w:t>their</w:t>
      </w:r>
      <w:r>
        <w:rPr>
          <w:color w:val="231F20"/>
          <w:spacing w:val="-26"/>
          <w:w w:val="105"/>
        </w:rPr>
        <w:t> </w:t>
      </w:r>
      <w:r>
        <w:rPr>
          <w:color w:val="231F20"/>
          <w:w w:val="105"/>
        </w:rPr>
        <w:t>ability</w:t>
      </w:r>
      <w:r>
        <w:rPr>
          <w:color w:val="231F20"/>
          <w:spacing w:val="-26"/>
          <w:w w:val="105"/>
        </w:rPr>
        <w:t> </w:t>
      </w:r>
      <w:r>
        <w:rPr>
          <w:color w:val="231F20"/>
          <w:w w:val="105"/>
        </w:rPr>
        <w:t>to</w:t>
      </w:r>
      <w:r>
        <w:rPr>
          <w:color w:val="231F20"/>
          <w:spacing w:val="-26"/>
          <w:w w:val="105"/>
        </w:rPr>
        <w:t> </w:t>
      </w:r>
      <w:r>
        <w:rPr>
          <w:color w:val="231F20"/>
          <w:w w:val="105"/>
        </w:rPr>
        <w:t>excel</w:t>
      </w:r>
      <w:r>
        <w:rPr>
          <w:color w:val="231F20"/>
          <w:spacing w:val="-26"/>
          <w:w w:val="105"/>
        </w:rPr>
        <w:t> </w:t>
      </w:r>
      <w:r>
        <w:rPr>
          <w:color w:val="231F20"/>
          <w:w w:val="105"/>
        </w:rPr>
        <w:t>academi- cally</w:t>
      </w:r>
      <w:r>
        <w:rPr>
          <w:color w:val="231F20"/>
          <w:spacing w:val="-20"/>
          <w:w w:val="105"/>
        </w:rPr>
        <w:t> </w:t>
      </w:r>
      <w:r>
        <w:rPr>
          <w:color w:val="231F20"/>
          <w:w w:val="105"/>
        </w:rPr>
        <w:t>and</w:t>
      </w:r>
      <w:r>
        <w:rPr>
          <w:color w:val="231F20"/>
          <w:spacing w:val="-20"/>
          <w:w w:val="105"/>
        </w:rPr>
        <w:t> </w:t>
      </w:r>
      <w:r>
        <w:rPr>
          <w:color w:val="231F20"/>
          <w:w w:val="105"/>
        </w:rPr>
        <w:t>overcome</w:t>
      </w:r>
      <w:r>
        <w:rPr>
          <w:color w:val="231F20"/>
          <w:spacing w:val="-20"/>
          <w:w w:val="105"/>
        </w:rPr>
        <w:t> </w:t>
      </w:r>
      <w:r>
        <w:rPr>
          <w:color w:val="231F20"/>
          <w:w w:val="105"/>
        </w:rPr>
        <w:t>linguistic,</w:t>
      </w:r>
      <w:r>
        <w:rPr>
          <w:color w:val="231F20"/>
          <w:spacing w:val="-24"/>
          <w:w w:val="105"/>
        </w:rPr>
        <w:t> </w:t>
      </w:r>
      <w:r>
        <w:rPr>
          <w:color w:val="231F20"/>
          <w:w w:val="105"/>
        </w:rPr>
        <w:t>cultural,</w:t>
      </w:r>
      <w:r>
        <w:rPr>
          <w:color w:val="231F20"/>
          <w:spacing w:val="-24"/>
          <w:w w:val="105"/>
        </w:rPr>
        <w:t> </w:t>
      </w:r>
      <w:r>
        <w:rPr>
          <w:color w:val="231F20"/>
          <w:w w:val="105"/>
        </w:rPr>
        <w:t>and</w:t>
      </w:r>
      <w:r>
        <w:rPr>
          <w:color w:val="231F20"/>
          <w:spacing w:val="-20"/>
          <w:w w:val="105"/>
        </w:rPr>
        <w:t> </w:t>
      </w:r>
      <w:r>
        <w:rPr>
          <w:color w:val="231F20"/>
          <w:w w:val="105"/>
        </w:rPr>
        <w:t>social</w:t>
      </w:r>
      <w:r>
        <w:rPr>
          <w:color w:val="231F20"/>
          <w:spacing w:val="-20"/>
          <w:w w:val="105"/>
        </w:rPr>
        <w:t> </w:t>
      </w:r>
      <w:r>
        <w:rPr>
          <w:color w:val="231F20"/>
          <w:w w:val="105"/>
        </w:rPr>
        <w:t>barriers.</w:t>
      </w:r>
    </w:p>
    <w:p>
      <w:pPr>
        <w:pStyle w:val="BodyText"/>
        <w:rPr>
          <w:sz w:val="20"/>
        </w:rPr>
      </w:pPr>
    </w:p>
    <w:p>
      <w:pPr>
        <w:pStyle w:val="BodyText"/>
        <w:spacing w:before="9"/>
        <w:rPr>
          <w:sz w:val="20"/>
        </w:rPr>
      </w:pPr>
    </w:p>
    <w:p>
      <w:pPr>
        <w:spacing w:before="0"/>
        <w:ind w:left="1837" w:right="0" w:firstLine="0"/>
        <w:jc w:val="both"/>
        <w:rPr>
          <w:rFonts w:ascii="Arial"/>
          <w:b/>
          <w:sz w:val="22"/>
        </w:rPr>
      </w:pPr>
      <w:r>
        <w:rPr>
          <w:rFonts w:ascii="Arial"/>
          <w:b/>
          <w:color w:val="231F20"/>
          <w:sz w:val="22"/>
        </w:rPr>
        <w:t>Who are these children?</w:t>
      </w:r>
    </w:p>
    <w:p>
      <w:pPr>
        <w:pStyle w:val="BodyText"/>
        <w:rPr>
          <w:rFonts w:ascii="Arial"/>
          <w:b/>
          <w:sz w:val="22"/>
        </w:rPr>
      </w:pPr>
    </w:p>
    <w:p>
      <w:pPr>
        <w:pStyle w:val="BodyText"/>
        <w:spacing w:line="261" w:lineRule="auto" w:before="163"/>
        <w:ind w:left="1837" w:right="1721"/>
        <w:jc w:val="both"/>
      </w:pPr>
      <w:r>
        <w:rPr>
          <w:color w:val="231F20"/>
          <w:w w:val="105"/>
        </w:rPr>
        <w:t>In 2013, approximately 11.6 million immigrants from Mexico resided in the United States accounting for about 28 percent of all United States immigrants</w:t>
      </w:r>
      <w:r>
        <w:rPr>
          <w:color w:val="231F20"/>
          <w:spacing w:val="-15"/>
          <w:w w:val="105"/>
        </w:rPr>
        <w:t> </w:t>
      </w:r>
      <w:r>
        <w:rPr>
          <w:color w:val="231F20"/>
          <w:w w:val="105"/>
        </w:rPr>
        <w:t>(Zong</w:t>
      </w:r>
      <w:r>
        <w:rPr>
          <w:color w:val="231F20"/>
          <w:spacing w:val="-15"/>
          <w:w w:val="105"/>
        </w:rPr>
        <w:t> </w:t>
      </w:r>
      <w:r>
        <w:rPr>
          <w:color w:val="231F20"/>
          <w:w w:val="105"/>
        </w:rPr>
        <w:t>and</w:t>
      </w:r>
      <w:r>
        <w:rPr>
          <w:color w:val="231F20"/>
          <w:spacing w:val="-15"/>
          <w:w w:val="105"/>
        </w:rPr>
        <w:t> </w:t>
      </w:r>
      <w:r>
        <w:rPr>
          <w:color w:val="231F20"/>
          <w:w w:val="105"/>
        </w:rPr>
        <w:t>Batalova,</w:t>
      </w:r>
      <w:r>
        <w:rPr>
          <w:color w:val="231F20"/>
          <w:spacing w:val="-20"/>
          <w:w w:val="105"/>
        </w:rPr>
        <w:t> </w:t>
      </w:r>
      <w:r>
        <w:rPr>
          <w:color w:val="231F20"/>
          <w:w w:val="105"/>
        </w:rPr>
        <w:t>2015).</w:t>
      </w:r>
      <w:r>
        <w:rPr>
          <w:color w:val="231F20"/>
          <w:spacing w:val="-24"/>
          <w:w w:val="105"/>
        </w:rPr>
        <w:t> </w:t>
      </w:r>
      <w:r>
        <w:rPr>
          <w:color w:val="231F20"/>
          <w:w w:val="105"/>
        </w:rPr>
        <w:t>According</w:t>
      </w:r>
      <w:r>
        <w:rPr>
          <w:color w:val="231F20"/>
          <w:spacing w:val="-15"/>
          <w:w w:val="105"/>
        </w:rPr>
        <w:t> </w:t>
      </w:r>
      <w:r>
        <w:rPr>
          <w:color w:val="231F20"/>
          <w:w w:val="105"/>
        </w:rPr>
        <w:t>to</w:t>
      </w:r>
      <w:r>
        <w:rPr>
          <w:color w:val="231F20"/>
          <w:spacing w:val="-15"/>
          <w:w w:val="105"/>
        </w:rPr>
        <w:t> </w:t>
      </w:r>
      <w:r>
        <w:rPr>
          <w:color w:val="231F20"/>
          <w:w w:val="105"/>
        </w:rPr>
        <w:t>the</w:t>
      </w:r>
      <w:r>
        <w:rPr>
          <w:color w:val="231F20"/>
          <w:spacing w:val="-15"/>
          <w:w w:val="105"/>
        </w:rPr>
        <w:t> </w:t>
      </w:r>
      <w:r>
        <w:rPr>
          <w:color w:val="231F20"/>
          <w:w w:val="105"/>
        </w:rPr>
        <w:t>Migration</w:t>
      </w:r>
      <w:r>
        <w:rPr>
          <w:color w:val="231F20"/>
          <w:spacing w:val="-15"/>
          <w:w w:val="105"/>
        </w:rPr>
        <w:t> </w:t>
      </w:r>
      <w:r>
        <w:rPr>
          <w:color w:val="231F20"/>
          <w:spacing w:val="-3"/>
          <w:w w:val="105"/>
        </w:rPr>
        <w:t>Policy </w:t>
      </w:r>
      <w:r>
        <w:rPr>
          <w:color w:val="231F20"/>
          <w:w w:val="105"/>
        </w:rPr>
        <w:t>Institute,</w:t>
      </w:r>
      <w:r>
        <w:rPr>
          <w:color w:val="231F20"/>
          <w:spacing w:val="-23"/>
          <w:w w:val="105"/>
        </w:rPr>
        <w:t> </w:t>
      </w:r>
      <w:r>
        <w:rPr>
          <w:color w:val="231F20"/>
          <w:w w:val="105"/>
        </w:rPr>
        <w:t>about</w:t>
      </w:r>
      <w:r>
        <w:rPr>
          <w:color w:val="231F20"/>
          <w:spacing w:val="-16"/>
          <w:w w:val="105"/>
        </w:rPr>
        <w:t> </w:t>
      </w:r>
      <w:r>
        <w:rPr>
          <w:color w:val="231F20"/>
          <w:w w:val="105"/>
        </w:rPr>
        <w:t>8.1</w:t>
      </w:r>
      <w:r>
        <w:rPr>
          <w:color w:val="231F20"/>
          <w:spacing w:val="-16"/>
          <w:w w:val="105"/>
        </w:rPr>
        <w:t> </w:t>
      </w:r>
      <w:r>
        <w:rPr>
          <w:color w:val="231F20"/>
          <w:w w:val="105"/>
        </w:rPr>
        <w:t>million</w:t>
      </w:r>
      <w:r>
        <w:rPr>
          <w:color w:val="231F20"/>
          <w:spacing w:val="-16"/>
          <w:w w:val="105"/>
        </w:rPr>
        <w:t> </w:t>
      </w:r>
      <w:r>
        <w:rPr>
          <w:color w:val="231F20"/>
          <w:w w:val="105"/>
        </w:rPr>
        <w:t>unauthorized</w:t>
      </w:r>
      <w:r>
        <w:rPr>
          <w:color w:val="231F20"/>
          <w:spacing w:val="-16"/>
          <w:w w:val="105"/>
        </w:rPr>
        <w:t> </w:t>
      </w:r>
      <w:r>
        <w:rPr>
          <w:color w:val="231F20"/>
          <w:w w:val="105"/>
        </w:rPr>
        <w:t>immigrants</w:t>
      </w:r>
      <w:r>
        <w:rPr>
          <w:color w:val="231F20"/>
          <w:spacing w:val="-16"/>
          <w:w w:val="105"/>
        </w:rPr>
        <w:t> </w:t>
      </w:r>
      <w:r>
        <w:rPr>
          <w:color w:val="231F20"/>
          <w:w w:val="105"/>
        </w:rPr>
        <w:t>(71</w:t>
      </w:r>
      <w:r>
        <w:rPr>
          <w:color w:val="231F20"/>
          <w:spacing w:val="-16"/>
          <w:w w:val="105"/>
        </w:rPr>
        <w:t> </w:t>
      </w:r>
      <w:r>
        <w:rPr>
          <w:color w:val="231F20"/>
          <w:w w:val="105"/>
        </w:rPr>
        <w:t>percent</w:t>
      </w:r>
      <w:r>
        <w:rPr>
          <w:color w:val="231F20"/>
          <w:spacing w:val="-16"/>
          <w:w w:val="105"/>
        </w:rPr>
        <w:t> </w:t>
      </w:r>
      <w:r>
        <w:rPr>
          <w:color w:val="231F20"/>
          <w:w w:val="105"/>
        </w:rPr>
        <w:t>of</w:t>
      </w:r>
      <w:r>
        <w:rPr>
          <w:color w:val="231F20"/>
          <w:spacing w:val="-11"/>
          <w:w w:val="105"/>
        </w:rPr>
        <w:t> </w:t>
      </w:r>
      <w:r>
        <w:rPr>
          <w:color w:val="231F20"/>
          <w:w w:val="105"/>
        </w:rPr>
        <w:t>the</w:t>
      </w:r>
      <w:r>
        <w:rPr>
          <w:color w:val="231F20"/>
          <w:spacing w:val="-16"/>
          <w:w w:val="105"/>
        </w:rPr>
        <w:t> </w:t>
      </w:r>
      <w:r>
        <w:rPr>
          <w:color w:val="231F20"/>
          <w:w w:val="105"/>
        </w:rPr>
        <w:t>to- tal</w:t>
      </w:r>
      <w:r>
        <w:rPr>
          <w:color w:val="231F20"/>
          <w:spacing w:val="-10"/>
          <w:w w:val="105"/>
        </w:rPr>
        <w:t> </w:t>
      </w:r>
      <w:r>
        <w:rPr>
          <w:color w:val="231F20"/>
          <w:w w:val="105"/>
        </w:rPr>
        <w:t>unauthorized</w:t>
      </w:r>
      <w:r>
        <w:rPr>
          <w:color w:val="231F20"/>
          <w:spacing w:val="-10"/>
          <w:w w:val="105"/>
        </w:rPr>
        <w:t> </w:t>
      </w:r>
      <w:r>
        <w:rPr>
          <w:color w:val="231F20"/>
          <w:w w:val="105"/>
        </w:rPr>
        <w:t>population)</w:t>
      </w:r>
      <w:r>
        <w:rPr>
          <w:color w:val="231F20"/>
          <w:spacing w:val="-10"/>
          <w:w w:val="105"/>
        </w:rPr>
        <w:t> </w:t>
      </w:r>
      <w:r>
        <w:rPr>
          <w:color w:val="231F20"/>
          <w:w w:val="105"/>
        </w:rPr>
        <w:t>from</w:t>
      </w:r>
      <w:r>
        <w:rPr>
          <w:color w:val="231F20"/>
          <w:spacing w:val="-10"/>
          <w:w w:val="105"/>
        </w:rPr>
        <w:t> </w:t>
      </w:r>
      <w:r>
        <w:rPr>
          <w:color w:val="231F20"/>
          <w:w w:val="105"/>
        </w:rPr>
        <w:t>2008</w:t>
      </w:r>
      <w:r>
        <w:rPr>
          <w:color w:val="231F20"/>
          <w:spacing w:val="-10"/>
          <w:w w:val="105"/>
        </w:rPr>
        <w:t> </w:t>
      </w:r>
      <w:r>
        <w:rPr>
          <w:color w:val="231F20"/>
          <w:w w:val="105"/>
        </w:rPr>
        <w:t>to</w:t>
      </w:r>
      <w:r>
        <w:rPr>
          <w:color w:val="231F20"/>
          <w:spacing w:val="-10"/>
          <w:w w:val="105"/>
        </w:rPr>
        <w:t> </w:t>
      </w:r>
      <w:r>
        <w:rPr>
          <w:color w:val="231F20"/>
          <w:w w:val="105"/>
        </w:rPr>
        <w:t>2012</w:t>
      </w:r>
      <w:r>
        <w:rPr>
          <w:color w:val="231F20"/>
          <w:spacing w:val="-10"/>
          <w:w w:val="105"/>
        </w:rPr>
        <w:t> </w:t>
      </w:r>
      <w:r>
        <w:rPr>
          <w:color w:val="231F20"/>
          <w:w w:val="105"/>
        </w:rPr>
        <w:t>were</w:t>
      </w:r>
      <w:r>
        <w:rPr>
          <w:color w:val="231F20"/>
          <w:spacing w:val="-10"/>
          <w:w w:val="105"/>
        </w:rPr>
        <w:t> </w:t>
      </w:r>
      <w:r>
        <w:rPr>
          <w:color w:val="231F20"/>
          <w:w w:val="105"/>
        </w:rPr>
        <w:t>born</w:t>
      </w:r>
      <w:r>
        <w:rPr>
          <w:color w:val="231F20"/>
          <w:spacing w:val="-10"/>
          <w:w w:val="105"/>
        </w:rPr>
        <w:t> </w:t>
      </w:r>
      <w:r>
        <w:rPr>
          <w:color w:val="231F20"/>
          <w:w w:val="105"/>
        </w:rPr>
        <w:t>in</w:t>
      </w:r>
      <w:r>
        <w:rPr>
          <w:color w:val="231F20"/>
          <w:spacing w:val="-10"/>
          <w:w w:val="105"/>
        </w:rPr>
        <w:t> </w:t>
      </w:r>
      <w:r>
        <w:rPr>
          <w:color w:val="231F20"/>
          <w:w w:val="105"/>
        </w:rPr>
        <w:t>Mexico</w:t>
      </w:r>
      <w:r>
        <w:rPr>
          <w:color w:val="231F20"/>
          <w:spacing w:val="-10"/>
          <w:w w:val="105"/>
        </w:rPr>
        <w:t> </w:t>
      </w:r>
      <w:r>
        <w:rPr>
          <w:color w:val="231F20"/>
          <w:w w:val="105"/>
        </w:rPr>
        <w:t>and</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28"/>
        <w:jc w:val="both"/>
      </w:pPr>
      <w:r>
        <w:rPr>
          <w:color w:val="231F20"/>
        </w:rPr>
        <w:t>Central American countries (Zong and Batalova, 2015). More specifically, 58 percent were from Mexico, six percent from Guatemala, three percent from El Salvador, and two percent from Honduras (Zong and Batalova, 2015). Immigrants from Mexico and Central America represent a large number of families who speak Spanish in their homes. In 2013, there were</w:t>
      </w:r>
    </w:p>
    <w:p>
      <w:pPr>
        <w:pStyle w:val="BodyText"/>
        <w:spacing w:line="261" w:lineRule="auto" w:before="1"/>
        <w:ind w:left="1723" w:right="1828" w:hanging="1"/>
        <w:jc w:val="both"/>
      </w:pPr>
      <w:r>
        <w:rPr>
          <w:color w:val="231F20"/>
          <w:w w:val="105"/>
        </w:rPr>
        <w:t>25.1</w:t>
      </w:r>
      <w:r>
        <w:rPr>
          <w:color w:val="231F20"/>
          <w:spacing w:val="-7"/>
          <w:w w:val="105"/>
        </w:rPr>
        <w:t> </w:t>
      </w:r>
      <w:r>
        <w:rPr>
          <w:color w:val="231F20"/>
          <w:w w:val="105"/>
        </w:rPr>
        <w:t>million</w:t>
      </w:r>
      <w:r>
        <w:rPr>
          <w:color w:val="231F20"/>
          <w:spacing w:val="-7"/>
          <w:w w:val="105"/>
        </w:rPr>
        <w:t> </w:t>
      </w:r>
      <w:r>
        <w:rPr>
          <w:color w:val="231F20"/>
          <w:w w:val="105"/>
        </w:rPr>
        <w:t>Limited</w:t>
      </w:r>
      <w:r>
        <w:rPr>
          <w:color w:val="231F20"/>
          <w:spacing w:val="-7"/>
          <w:w w:val="105"/>
        </w:rPr>
        <w:t> </w:t>
      </w:r>
      <w:r>
        <w:rPr>
          <w:color w:val="231F20"/>
          <w:w w:val="105"/>
        </w:rPr>
        <w:t>English</w:t>
      </w:r>
      <w:r>
        <w:rPr>
          <w:color w:val="231F20"/>
          <w:spacing w:val="-7"/>
          <w:w w:val="105"/>
        </w:rPr>
        <w:t> </w:t>
      </w:r>
      <w:r>
        <w:rPr>
          <w:color w:val="231F20"/>
          <w:w w:val="105"/>
        </w:rPr>
        <w:t>Proficient</w:t>
      </w:r>
      <w:r>
        <w:rPr>
          <w:color w:val="231F20"/>
          <w:spacing w:val="-7"/>
          <w:w w:val="105"/>
        </w:rPr>
        <w:t> </w:t>
      </w:r>
      <w:r>
        <w:rPr>
          <w:color w:val="231F20"/>
          <w:w w:val="105"/>
        </w:rPr>
        <w:t>(</w:t>
      </w:r>
      <w:r>
        <w:rPr>
          <w:color w:val="231F20"/>
          <w:w w:val="105"/>
          <w:sz w:val="17"/>
        </w:rPr>
        <w:t>LEP</w:t>
      </w:r>
      <w:r>
        <w:rPr>
          <w:color w:val="231F20"/>
          <w:w w:val="105"/>
        </w:rPr>
        <w:t>)</w:t>
      </w:r>
      <w:r>
        <w:rPr>
          <w:color w:val="231F20"/>
          <w:spacing w:val="-7"/>
          <w:w w:val="105"/>
        </w:rPr>
        <w:t> </w:t>
      </w:r>
      <w:r>
        <w:rPr>
          <w:color w:val="231F20"/>
          <w:w w:val="105"/>
        </w:rPr>
        <w:t>individuals</w:t>
      </w:r>
      <w:r>
        <w:rPr>
          <w:color w:val="231F20"/>
          <w:spacing w:val="-7"/>
          <w:w w:val="105"/>
        </w:rPr>
        <w:t> </w:t>
      </w:r>
      <w:r>
        <w:rPr>
          <w:color w:val="231F20"/>
          <w:w w:val="105"/>
        </w:rPr>
        <w:t>aged</w:t>
      </w:r>
      <w:r>
        <w:rPr>
          <w:color w:val="231F20"/>
          <w:spacing w:val="-7"/>
          <w:w w:val="105"/>
        </w:rPr>
        <w:t> </w:t>
      </w:r>
      <w:r>
        <w:rPr>
          <w:color w:val="231F20"/>
          <w:w w:val="105"/>
        </w:rPr>
        <w:t>five</w:t>
      </w:r>
      <w:r>
        <w:rPr>
          <w:color w:val="231F20"/>
          <w:spacing w:val="-7"/>
          <w:w w:val="105"/>
        </w:rPr>
        <w:t> </w:t>
      </w:r>
      <w:r>
        <w:rPr>
          <w:color w:val="231F20"/>
          <w:w w:val="105"/>
        </w:rPr>
        <w:t>and</w:t>
      </w:r>
      <w:r>
        <w:rPr>
          <w:color w:val="231F20"/>
          <w:spacing w:val="-7"/>
          <w:w w:val="105"/>
        </w:rPr>
        <w:t> </w:t>
      </w:r>
      <w:r>
        <w:rPr>
          <w:color w:val="231F20"/>
          <w:w w:val="105"/>
        </w:rPr>
        <w:t>ol- der</w:t>
      </w:r>
      <w:r>
        <w:rPr>
          <w:color w:val="231F20"/>
          <w:spacing w:val="-25"/>
          <w:w w:val="105"/>
        </w:rPr>
        <w:t> </w:t>
      </w:r>
      <w:r>
        <w:rPr>
          <w:color w:val="231F20"/>
          <w:w w:val="105"/>
        </w:rPr>
        <w:t>in</w:t>
      </w:r>
      <w:r>
        <w:rPr>
          <w:color w:val="231F20"/>
          <w:spacing w:val="-25"/>
          <w:w w:val="105"/>
        </w:rPr>
        <w:t> </w:t>
      </w:r>
      <w:r>
        <w:rPr>
          <w:color w:val="231F20"/>
          <w:w w:val="105"/>
        </w:rPr>
        <w:t>the</w:t>
      </w:r>
      <w:r>
        <w:rPr>
          <w:color w:val="231F20"/>
          <w:spacing w:val="-25"/>
          <w:w w:val="105"/>
        </w:rPr>
        <w:t> </w:t>
      </w:r>
      <w:r>
        <w:rPr>
          <w:color w:val="231F20"/>
          <w:w w:val="105"/>
        </w:rPr>
        <w:t>United</w:t>
      </w:r>
      <w:r>
        <w:rPr>
          <w:color w:val="231F20"/>
          <w:spacing w:val="-25"/>
          <w:w w:val="105"/>
        </w:rPr>
        <w:t> </w:t>
      </w:r>
      <w:r>
        <w:rPr>
          <w:color w:val="231F20"/>
          <w:w w:val="105"/>
        </w:rPr>
        <w:t>States</w:t>
      </w:r>
      <w:r>
        <w:rPr>
          <w:color w:val="231F20"/>
          <w:spacing w:val="-25"/>
          <w:w w:val="105"/>
        </w:rPr>
        <w:t> </w:t>
      </w:r>
      <w:r>
        <w:rPr>
          <w:color w:val="231F20"/>
          <w:w w:val="105"/>
        </w:rPr>
        <w:t>(Zong</w:t>
      </w:r>
      <w:r>
        <w:rPr>
          <w:color w:val="231F20"/>
          <w:spacing w:val="-25"/>
          <w:w w:val="105"/>
        </w:rPr>
        <w:t> </w:t>
      </w:r>
      <w:r>
        <w:rPr>
          <w:color w:val="231F20"/>
          <w:w w:val="105"/>
        </w:rPr>
        <w:t>and</w:t>
      </w:r>
      <w:r>
        <w:rPr>
          <w:color w:val="231F20"/>
          <w:spacing w:val="-25"/>
          <w:w w:val="105"/>
        </w:rPr>
        <w:t> </w:t>
      </w:r>
      <w:r>
        <w:rPr>
          <w:color w:val="231F20"/>
          <w:w w:val="105"/>
        </w:rPr>
        <w:t>Batalova,</w:t>
      </w:r>
      <w:r>
        <w:rPr>
          <w:color w:val="231F20"/>
          <w:spacing w:val="-29"/>
          <w:w w:val="105"/>
        </w:rPr>
        <w:t> </w:t>
      </w:r>
      <w:r>
        <w:rPr>
          <w:color w:val="231F20"/>
          <w:w w:val="105"/>
        </w:rPr>
        <w:t>2015).</w:t>
      </w:r>
      <w:r>
        <w:rPr>
          <w:color w:val="231F20"/>
          <w:spacing w:val="-29"/>
          <w:w w:val="105"/>
        </w:rPr>
        <w:t> </w:t>
      </w:r>
      <w:r>
        <w:rPr>
          <w:color w:val="231F20"/>
          <w:w w:val="105"/>
        </w:rPr>
        <w:t>Spanish</w:t>
      </w:r>
      <w:r>
        <w:rPr>
          <w:color w:val="231F20"/>
          <w:spacing w:val="-25"/>
          <w:w w:val="105"/>
        </w:rPr>
        <w:t> </w:t>
      </w:r>
      <w:r>
        <w:rPr>
          <w:color w:val="231F20"/>
          <w:w w:val="105"/>
        </w:rPr>
        <w:t>speakers</w:t>
      </w:r>
      <w:r>
        <w:rPr>
          <w:color w:val="231F20"/>
          <w:spacing w:val="-25"/>
          <w:w w:val="105"/>
        </w:rPr>
        <w:t> </w:t>
      </w:r>
      <w:r>
        <w:rPr>
          <w:color w:val="231F20"/>
          <w:w w:val="105"/>
        </w:rPr>
        <w:t>ac- counted for 64 percent of the total </w:t>
      </w:r>
      <w:r>
        <w:rPr>
          <w:color w:val="231F20"/>
          <w:w w:val="105"/>
          <w:sz w:val="17"/>
        </w:rPr>
        <w:t>LEP </w:t>
      </w:r>
      <w:r>
        <w:rPr>
          <w:color w:val="231F20"/>
          <w:w w:val="105"/>
        </w:rPr>
        <w:t>population (Zong and Batalova, 2015). Addressing the needs of the </w:t>
      </w:r>
      <w:r>
        <w:rPr>
          <w:color w:val="231F20"/>
          <w:w w:val="105"/>
          <w:sz w:val="17"/>
        </w:rPr>
        <w:t>LEP </w:t>
      </w:r>
      <w:r>
        <w:rPr>
          <w:color w:val="231F20"/>
          <w:w w:val="105"/>
        </w:rPr>
        <w:t>population and the successful English language acquisition of the children of immigrants requires ca- reful attention to the development and implementation of educational policies</w:t>
      </w:r>
      <w:r>
        <w:rPr>
          <w:color w:val="231F20"/>
          <w:spacing w:val="-21"/>
          <w:w w:val="105"/>
        </w:rPr>
        <w:t> </w:t>
      </w:r>
      <w:r>
        <w:rPr>
          <w:color w:val="231F20"/>
          <w:w w:val="105"/>
        </w:rPr>
        <w:t>in</w:t>
      </w:r>
      <w:r>
        <w:rPr>
          <w:color w:val="231F20"/>
          <w:spacing w:val="-21"/>
          <w:w w:val="105"/>
        </w:rPr>
        <w:t> </w:t>
      </w:r>
      <w:r>
        <w:rPr>
          <w:color w:val="231F20"/>
          <w:w w:val="105"/>
        </w:rPr>
        <w:t>states</w:t>
      </w:r>
      <w:r>
        <w:rPr>
          <w:color w:val="231F20"/>
          <w:spacing w:val="-21"/>
          <w:w w:val="105"/>
        </w:rPr>
        <w:t> </w:t>
      </w:r>
      <w:r>
        <w:rPr>
          <w:color w:val="231F20"/>
          <w:w w:val="105"/>
        </w:rPr>
        <w:t>where</w:t>
      </w:r>
      <w:r>
        <w:rPr>
          <w:color w:val="231F20"/>
          <w:spacing w:val="-21"/>
          <w:w w:val="105"/>
        </w:rPr>
        <w:t> </w:t>
      </w:r>
      <w:r>
        <w:rPr>
          <w:color w:val="231F20"/>
          <w:w w:val="105"/>
        </w:rPr>
        <w:t>the</w:t>
      </w:r>
      <w:r>
        <w:rPr>
          <w:color w:val="231F20"/>
          <w:spacing w:val="-21"/>
          <w:w w:val="105"/>
        </w:rPr>
        <w:t> </w:t>
      </w:r>
      <w:r>
        <w:rPr>
          <w:color w:val="231F20"/>
          <w:w w:val="105"/>
        </w:rPr>
        <w:t>majority</w:t>
      </w:r>
      <w:r>
        <w:rPr>
          <w:color w:val="231F20"/>
          <w:spacing w:val="-21"/>
          <w:w w:val="105"/>
        </w:rPr>
        <w:t> </w:t>
      </w:r>
      <w:r>
        <w:rPr>
          <w:color w:val="231F20"/>
          <w:w w:val="105"/>
        </w:rPr>
        <w:t>of</w:t>
      </w:r>
      <w:r>
        <w:rPr>
          <w:color w:val="231F20"/>
          <w:spacing w:val="-17"/>
          <w:w w:val="105"/>
        </w:rPr>
        <w:t> </w:t>
      </w:r>
      <w:r>
        <w:rPr>
          <w:color w:val="231F20"/>
          <w:w w:val="105"/>
        </w:rPr>
        <w:t>these</w:t>
      </w:r>
      <w:r>
        <w:rPr>
          <w:color w:val="231F20"/>
          <w:spacing w:val="-21"/>
          <w:w w:val="105"/>
        </w:rPr>
        <w:t> </w:t>
      </w:r>
      <w:r>
        <w:rPr>
          <w:color w:val="231F20"/>
          <w:w w:val="105"/>
        </w:rPr>
        <w:t>children</w:t>
      </w:r>
      <w:r>
        <w:rPr>
          <w:color w:val="231F20"/>
          <w:spacing w:val="-21"/>
          <w:w w:val="105"/>
        </w:rPr>
        <w:t> </w:t>
      </w:r>
      <w:r>
        <w:rPr>
          <w:color w:val="231F20"/>
          <w:w w:val="105"/>
        </w:rPr>
        <w:t>reside.</w:t>
      </w:r>
      <w:r>
        <w:rPr>
          <w:color w:val="231F20"/>
          <w:spacing w:val="-26"/>
          <w:w w:val="105"/>
        </w:rPr>
        <w:t> </w:t>
      </w:r>
      <w:r>
        <w:rPr>
          <w:color w:val="231F20"/>
          <w:w w:val="105"/>
        </w:rPr>
        <w:t>In</w:t>
      </w:r>
      <w:r>
        <w:rPr>
          <w:color w:val="231F20"/>
          <w:spacing w:val="-21"/>
          <w:w w:val="105"/>
        </w:rPr>
        <w:t> </w:t>
      </w:r>
      <w:r>
        <w:rPr>
          <w:color w:val="231F20"/>
          <w:w w:val="105"/>
        </w:rPr>
        <w:t>particular, states</w:t>
      </w:r>
      <w:r>
        <w:rPr>
          <w:color w:val="231F20"/>
          <w:spacing w:val="-27"/>
          <w:w w:val="105"/>
        </w:rPr>
        <w:t> </w:t>
      </w:r>
      <w:r>
        <w:rPr>
          <w:color w:val="231F20"/>
          <w:w w:val="105"/>
        </w:rPr>
        <w:t>like</w:t>
      </w:r>
      <w:r>
        <w:rPr>
          <w:color w:val="231F20"/>
          <w:spacing w:val="-27"/>
          <w:w w:val="105"/>
        </w:rPr>
        <w:t> </w:t>
      </w:r>
      <w:r>
        <w:rPr>
          <w:color w:val="231F20"/>
          <w:w w:val="105"/>
        </w:rPr>
        <w:t>California</w:t>
      </w:r>
      <w:r>
        <w:rPr>
          <w:color w:val="231F20"/>
          <w:spacing w:val="-27"/>
          <w:w w:val="105"/>
        </w:rPr>
        <w:t> </w:t>
      </w:r>
      <w:r>
        <w:rPr>
          <w:color w:val="231F20"/>
          <w:w w:val="105"/>
        </w:rPr>
        <w:t>and</w:t>
      </w:r>
      <w:r>
        <w:rPr>
          <w:color w:val="231F20"/>
          <w:spacing w:val="-30"/>
          <w:w w:val="105"/>
        </w:rPr>
        <w:t> </w:t>
      </w:r>
      <w:r>
        <w:rPr>
          <w:color w:val="231F20"/>
          <w:spacing w:val="-4"/>
          <w:w w:val="105"/>
        </w:rPr>
        <w:t>Texas,</w:t>
      </w:r>
      <w:r>
        <w:rPr>
          <w:color w:val="231F20"/>
          <w:spacing w:val="-31"/>
          <w:w w:val="105"/>
        </w:rPr>
        <w:t> </w:t>
      </w:r>
      <w:r>
        <w:rPr>
          <w:color w:val="231F20"/>
          <w:w w:val="105"/>
        </w:rPr>
        <w:t>where</w:t>
      </w:r>
      <w:r>
        <w:rPr>
          <w:color w:val="231F20"/>
          <w:spacing w:val="-27"/>
          <w:w w:val="105"/>
        </w:rPr>
        <w:t> </w:t>
      </w:r>
      <w:r>
        <w:rPr>
          <w:color w:val="231F20"/>
          <w:w w:val="105"/>
        </w:rPr>
        <w:t>more</w:t>
      </w:r>
      <w:r>
        <w:rPr>
          <w:color w:val="231F20"/>
          <w:spacing w:val="-27"/>
          <w:w w:val="105"/>
        </w:rPr>
        <w:t> </w:t>
      </w:r>
      <w:r>
        <w:rPr>
          <w:color w:val="231F20"/>
          <w:w w:val="105"/>
        </w:rPr>
        <w:t>than</w:t>
      </w:r>
      <w:r>
        <w:rPr>
          <w:color w:val="231F20"/>
          <w:spacing w:val="-27"/>
          <w:w w:val="105"/>
        </w:rPr>
        <w:t> </w:t>
      </w:r>
      <w:r>
        <w:rPr>
          <w:color w:val="231F20"/>
          <w:w w:val="105"/>
        </w:rPr>
        <w:t>a</w:t>
      </w:r>
      <w:r>
        <w:rPr>
          <w:color w:val="231F20"/>
          <w:spacing w:val="-27"/>
          <w:w w:val="105"/>
        </w:rPr>
        <w:t> </w:t>
      </w:r>
      <w:r>
        <w:rPr>
          <w:color w:val="231F20"/>
          <w:w w:val="105"/>
        </w:rPr>
        <w:t>half</w:t>
      </w:r>
      <w:r>
        <w:rPr>
          <w:color w:val="231F20"/>
          <w:spacing w:val="-23"/>
          <w:w w:val="105"/>
        </w:rPr>
        <w:t> </w:t>
      </w:r>
      <w:r>
        <w:rPr>
          <w:color w:val="231F20"/>
          <w:w w:val="105"/>
        </w:rPr>
        <w:t>of</w:t>
      </w:r>
      <w:r>
        <w:rPr>
          <w:color w:val="231F20"/>
          <w:spacing w:val="-23"/>
          <w:w w:val="105"/>
        </w:rPr>
        <w:t> </w:t>
      </w:r>
      <w:r>
        <w:rPr>
          <w:color w:val="231F20"/>
          <w:w w:val="105"/>
        </w:rPr>
        <w:t>the</w:t>
      </w:r>
      <w:r>
        <w:rPr>
          <w:color w:val="231F20"/>
          <w:spacing w:val="-27"/>
          <w:w w:val="105"/>
        </w:rPr>
        <w:t> </w:t>
      </w:r>
      <w:r>
        <w:rPr>
          <w:color w:val="231F20"/>
          <w:w w:val="105"/>
        </w:rPr>
        <w:t>Mexican</w:t>
      </w:r>
      <w:r>
        <w:rPr>
          <w:color w:val="231F20"/>
          <w:spacing w:val="-27"/>
          <w:w w:val="105"/>
        </w:rPr>
        <w:t> </w:t>
      </w:r>
      <w:r>
        <w:rPr>
          <w:color w:val="231F20"/>
          <w:w w:val="105"/>
        </w:rPr>
        <w:t>im- migrants</w:t>
      </w:r>
      <w:r>
        <w:rPr>
          <w:color w:val="231F20"/>
          <w:spacing w:val="-8"/>
          <w:w w:val="105"/>
        </w:rPr>
        <w:t> </w:t>
      </w:r>
      <w:r>
        <w:rPr>
          <w:color w:val="231F20"/>
          <w:w w:val="105"/>
        </w:rPr>
        <w:t>have</w:t>
      </w:r>
      <w:r>
        <w:rPr>
          <w:color w:val="231F20"/>
          <w:spacing w:val="-8"/>
          <w:w w:val="105"/>
        </w:rPr>
        <w:t> </w:t>
      </w:r>
      <w:r>
        <w:rPr>
          <w:color w:val="231F20"/>
          <w:w w:val="105"/>
        </w:rPr>
        <w:t>settled,</w:t>
      </w:r>
      <w:r>
        <w:rPr>
          <w:color w:val="231F20"/>
          <w:spacing w:val="-14"/>
          <w:w w:val="105"/>
        </w:rPr>
        <w:t> </w:t>
      </w:r>
      <w:r>
        <w:rPr>
          <w:color w:val="231F20"/>
          <w:w w:val="105"/>
        </w:rPr>
        <w:t>have</w:t>
      </w:r>
      <w:r>
        <w:rPr>
          <w:color w:val="231F20"/>
          <w:spacing w:val="-8"/>
          <w:w w:val="105"/>
        </w:rPr>
        <w:t> </w:t>
      </w:r>
      <w:r>
        <w:rPr>
          <w:color w:val="231F20"/>
          <w:w w:val="105"/>
        </w:rPr>
        <w:t>found</w:t>
      </w:r>
      <w:r>
        <w:rPr>
          <w:color w:val="231F20"/>
          <w:spacing w:val="-8"/>
          <w:w w:val="105"/>
        </w:rPr>
        <w:t> </w:t>
      </w:r>
      <w:r>
        <w:rPr>
          <w:color w:val="231F20"/>
          <w:w w:val="105"/>
        </w:rPr>
        <w:t>programs</w:t>
      </w:r>
      <w:r>
        <w:rPr>
          <w:color w:val="231F20"/>
          <w:spacing w:val="-8"/>
          <w:w w:val="105"/>
        </w:rPr>
        <w:t> </w:t>
      </w:r>
      <w:r>
        <w:rPr>
          <w:color w:val="231F20"/>
          <w:w w:val="105"/>
        </w:rPr>
        <w:t>to</w:t>
      </w:r>
      <w:r>
        <w:rPr>
          <w:color w:val="231F20"/>
          <w:spacing w:val="-8"/>
          <w:w w:val="105"/>
        </w:rPr>
        <w:t> </w:t>
      </w:r>
      <w:r>
        <w:rPr>
          <w:color w:val="231F20"/>
          <w:w w:val="105"/>
        </w:rPr>
        <w:t>help</w:t>
      </w:r>
      <w:r>
        <w:rPr>
          <w:color w:val="231F20"/>
          <w:spacing w:val="-8"/>
          <w:w w:val="105"/>
        </w:rPr>
        <w:t> </w:t>
      </w:r>
      <w:r>
        <w:rPr>
          <w:color w:val="231F20"/>
          <w:w w:val="105"/>
        </w:rPr>
        <w:t>these</w:t>
      </w:r>
      <w:r>
        <w:rPr>
          <w:color w:val="231F20"/>
          <w:spacing w:val="-8"/>
          <w:w w:val="105"/>
        </w:rPr>
        <w:t> </w:t>
      </w:r>
      <w:r>
        <w:rPr>
          <w:color w:val="231F20"/>
          <w:w w:val="105"/>
        </w:rPr>
        <w:t>children</w:t>
      </w:r>
      <w:r>
        <w:rPr>
          <w:color w:val="231F20"/>
          <w:spacing w:val="-8"/>
          <w:w w:val="105"/>
        </w:rPr>
        <w:t> </w:t>
      </w:r>
      <w:r>
        <w:rPr>
          <w:color w:val="231F20"/>
          <w:w w:val="105"/>
        </w:rPr>
        <w:t>learn English</w:t>
      </w:r>
      <w:r>
        <w:rPr>
          <w:color w:val="231F20"/>
          <w:spacing w:val="-31"/>
          <w:w w:val="105"/>
        </w:rPr>
        <w:t> </w:t>
      </w:r>
      <w:r>
        <w:rPr>
          <w:color w:val="231F20"/>
          <w:w w:val="105"/>
        </w:rPr>
        <w:t>imperatively</w:t>
      </w:r>
      <w:r>
        <w:rPr>
          <w:color w:val="231F20"/>
          <w:spacing w:val="-31"/>
          <w:w w:val="105"/>
        </w:rPr>
        <w:t> </w:t>
      </w:r>
      <w:r>
        <w:rPr>
          <w:color w:val="231F20"/>
          <w:w w:val="105"/>
        </w:rPr>
        <w:t>(Zong</w:t>
      </w:r>
      <w:r>
        <w:rPr>
          <w:color w:val="231F20"/>
          <w:spacing w:val="-31"/>
          <w:w w:val="105"/>
        </w:rPr>
        <w:t> </w:t>
      </w:r>
      <w:r>
        <w:rPr>
          <w:color w:val="231F20"/>
          <w:w w:val="105"/>
        </w:rPr>
        <w:t>and</w:t>
      </w:r>
      <w:r>
        <w:rPr>
          <w:color w:val="231F20"/>
          <w:spacing w:val="-31"/>
          <w:w w:val="105"/>
        </w:rPr>
        <w:t> </w:t>
      </w:r>
      <w:r>
        <w:rPr>
          <w:color w:val="231F20"/>
          <w:w w:val="105"/>
        </w:rPr>
        <w:t>Batalova,</w:t>
      </w:r>
      <w:r>
        <w:rPr>
          <w:color w:val="231F20"/>
          <w:spacing w:val="-35"/>
          <w:w w:val="105"/>
        </w:rPr>
        <w:t> </w:t>
      </w:r>
      <w:r>
        <w:rPr>
          <w:color w:val="231F20"/>
          <w:w w:val="105"/>
        </w:rPr>
        <w:t>2015).</w:t>
      </w:r>
    </w:p>
    <w:p>
      <w:pPr>
        <w:pStyle w:val="BodyText"/>
        <w:rPr>
          <w:sz w:val="20"/>
        </w:rPr>
      </w:pPr>
    </w:p>
    <w:p>
      <w:pPr>
        <w:pStyle w:val="BodyText"/>
        <w:spacing w:before="9"/>
        <w:rPr>
          <w:sz w:val="20"/>
        </w:rPr>
      </w:pPr>
    </w:p>
    <w:p>
      <w:pPr>
        <w:pStyle w:val="Heading3"/>
        <w:ind w:left="1723"/>
      </w:pPr>
      <w:r>
        <w:rPr>
          <w:color w:val="231F20"/>
        </w:rPr>
        <w:t>Deportations and Effects on Children</w:t>
      </w:r>
    </w:p>
    <w:p>
      <w:pPr>
        <w:pStyle w:val="BodyText"/>
        <w:rPr>
          <w:rFonts w:ascii="Arial"/>
          <w:b/>
          <w:sz w:val="22"/>
        </w:rPr>
      </w:pPr>
    </w:p>
    <w:p>
      <w:pPr>
        <w:pStyle w:val="BodyText"/>
        <w:spacing w:line="261" w:lineRule="auto" w:before="163"/>
        <w:ind w:left="1723" w:right="1828" w:hanging="1"/>
        <w:jc w:val="both"/>
      </w:pPr>
      <w:r>
        <w:rPr>
          <w:color w:val="231F20"/>
          <w:w w:val="105"/>
        </w:rPr>
        <w:t>In</w:t>
      </w:r>
      <w:r>
        <w:rPr>
          <w:color w:val="231F20"/>
          <w:spacing w:val="-14"/>
          <w:w w:val="105"/>
        </w:rPr>
        <w:t> </w:t>
      </w:r>
      <w:r>
        <w:rPr>
          <w:color w:val="231F20"/>
          <w:w w:val="105"/>
        </w:rPr>
        <w:t>2014,</w:t>
      </w:r>
      <w:r>
        <w:rPr>
          <w:color w:val="231F20"/>
          <w:spacing w:val="-19"/>
          <w:w w:val="105"/>
        </w:rPr>
        <w:t> </w:t>
      </w:r>
      <w:r>
        <w:rPr>
          <w:color w:val="231F20"/>
          <w:w w:val="105"/>
        </w:rPr>
        <w:t>United</w:t>
      </w:r>
      <w:r>
        <w:rPr>
          <w:color w:val="231F20"/>
          <w:spacing w:val="-14"/>
          <w:w w:val="105"/>
        </w:rPr>
        <w:t> </w:t>
      </w:r>
      <w:r>
        <w:rPr>
          <w:color w:val="231F20"/>
          <w:w w:val="105"/>
        </w:rPr>
        <w:t>States</w:t>
      </w:r>
      <w:r>
        <w:rPr>
          <w:color w:val="231F20"/>
          <w:spacing w:val="-14"/>
          <w:w w:val="105"/>
        </w:rPr>
        <w:t> </w:t>
      </w:r>
      <w:r>
        <w:rPr>
          <w:color w:val="231F20"/>
          <w:w w:val="105"/>
        </w:rPr>
        <w:t>Immigration</w:t>
      </w:r>
      <w:r>
        <w:rPr>
          <w:color w:val="231F20"/>
          <w:spacing w:val="-14"/>
          <w:w w:val="105"/>
        </w:rPr>
        <w:t> </w:t>
      </w:r>
      <w:r>
        <w:rPr>
          <w:color w:val="231F20"/>
          <w:w w:val="105"/>
        </w:rPr>
        <w:t>and</w:t>
      </w:r>
      <w:r>
        <w:rPr>
          <w:color w:val="231F20"/>
          <w:spacing w:val="-14"/>
          <w:w w:val="105"/>
        </w:rPr>
        <w:t> </w:t>
      </w:r>
      <w:r>
        <w:rPr>
          <w:color w:val="231F20"/>
          <w:w w:val="105"/>
        </w:rPr>
        <w:t>Customs</w:t>
      </w:r>
      <w:r>
        <w:rPr>
          <w:color w:val="231F20"/>
          <w:spacing w:val="-14"/>
          <w:w w:val="105"/>
        </w:rPr>
        <w:t> </w:t>
      </w:r>
      <w:r>
        <w:rPr>
          <w:color w:val="231F20"/>
          <w:w w:val="105"/>
        </w:rPr>
        <w:t>Enforcement</w:t>
      </w:r>
      <w:r>
        <w:rPr>
          <w:color w:val="231F20"/>
          <w:spacing w:val="-14"/>
          <w:w w:val="105"/>
        </w:rPr>
        <w:t> </w:t>
      </w:r>
      <w:r>
        <w:rPr>
          <w:color w:val="231F20"/>
          <w:w w:val="105"/>
        </w:rPr>
        <w:t>(</w:t>
      </w:r>
      <w:r>
        <w:rPr>
          <w:color w:val="231F20"/>
          <w:w w:val="105"/>
          <w:sz w:val="17"/>
        </w:rPr>
        <w:t>ICE</w:t>
      </w:r>
      <w:r>
        <w:rPr>
          <w:color w:val="231F20"/>
          <w:w w:val="105"/>
        </w:rPr>
        <w:t>)</w:t>
      </w:r>
      <w:r>
        <w:rPr>
          <w:color w:val="231F20"/>
          <w:spacing w:val="-14"/>
          <w:w w:val="105"/>
        </w:rPr>
        <w:t> </w:t>
      </w:r>
      <w:r>
        <w:rPr>
          <w:color w:val="231F20"/>
          <w:w w:val="105"/>
        </w:rPr>
        <w:t>con- ducted 315,943 removals as a result of the unprecedented surge of</w:t>
      </w:r>
      <w:r>
        <w:rPr>
          <w:color w:val="231F20"/>
          <w:spacing w:val="-28"/>
          <w:w w:val="105"/>
        </w:rPr>
        <w:t> </w:t>
      </w:r>
      <w:r>
        <w:rPr>
          <w:color w:val="231F20"/>
          <w:w w:val="105"/>
        </w:rPr>
        <w:t>ille- gal</w:t>
      </w:r>
      <w:r>
        <w:rPr>
          <w:color w:val="231F20"/>
          <w:spacing w:val="-25"/>
          <w:w w:val="105"/>
        </w:rPr>
        <w:t> </w:t>
      </w:r>
      <w:r>
        <w:rPr>
          <w:color w:val="231F20"/>
          <w:w w:val="105"/>
        </w:rPr>
        <w:t>border</w:t>
      </w:r>
      <w:r>
        <w:rPr>
          <w:color w:val="231F20"/>
          <w:spacing w:val="-25"/>
          <w:w w:val="105"/>
        </w:rPr>
        <w:t> </w:t>
      </w:r>
      <w:r>
        <w:rPr>
          <w:color w:val="231F20"/>
          <w:w w:val="105"/>
        </w:rPr>
        <w:t>crossings</w:t>
      </w:r>
      <w:r>
        <w:rPr>
          <w:color w:val="231F20"/>
          <w:spacing w:val="-25"/>
          <w:w w:val="105"/>
        </w:rPr>
        <w:t> </w:t>
      </w:r>
      <w:r>
        <w:rPr>
          <w:color w:val="231F20"/>
          <w:w w:val="105"/>
        </w:rPr>
        <w:t>in</w:t>
      </w:r>
      <w:r>
        <w:rPr>
          <w:color w:val="231F20"/>
          <w:spacing w:val="-25"/>
          <w:w w:val="105"/>
        </w:rPr>
        <w:t> </w:t>
      </w:r>
      <w:r>
        <w:rPr>
          <w:color w:val="231F20"/>
          <w:w w:val="105"/>
        </w:rPr>
        <w:t>the</w:t>
      </w:r>
      <w:r>
        <w:rPr>
          <w:color w:val="231F20"/>
          <w:spacing w:val="-25"/>
          <w:w w:val="105"/>
        </w:rPr>
        <w:t> </w:t>
      </w:r>
      <w:r>
        <w:rPr>
          <w:color w:val="231F20"/>
          <w:w w:val="105"/>
        </w:rPr>
        <w:t>Rio</w:t>
      </w:r>
      <w:r>
        <w:rPr>
          <w:color w:val="231F20"/>
          <w:spacing w:val="-25"/>
          <w:w w:val="105"/>
        </w:rPr>
        <w:t> </w:t>
      </w:r>
      <w:r>
        <w:rPr>
          <w:color w:val="231F20"/>
          <w:w w:val="105"/>
        </w:rPr>
        <w:t>Grande</w:t>
      </w:r>
      <w:r>
        <w:rPr>
          <w:color w:val="231F20"/>
          <w:spacing w:val="-29"/>
          <w:w w:val="105"/>
        </w:rPr>
        <w:t> </w:t>
      </w:r>
      <w:r>
        <w:rPr>
          <w:color w:val="231F20"/>
          <w:w w:val="105"/>
        </w:rPr>
        <w:t>Valley</w:t>
      </w:r>
      <w:r>
        <w:rPr>
          <w:color w:val="231F20"/>
          <w:spacing w:val="-25"/>
          <w:w w:val="105"/>
        </w:rPr>
        <w:t> </w:t>
      </w:r>
      <w:r>
        <w:rPr>
          <w:color w:val="231F20"/>
          <w:w w:val="105"/>
        </w:rPr>
        <w:t>area</w:t>
      </w:r>
      <w:r>
        <w:rPr>
          <w:color w:val="231F20"/>
          <w:spacing w:val="-25"/>
          <w:w w:val="105"/>
        </w:rPr>
        <w:t> </w:t>
      </w:r>
      <w:r>
        <w:rPr>
          <w:color w:val="231F20"/>
          <w:w w:val="105"/>
        </w:rPr>
        <w:t>and</w:t>
      </w:r>
      <w:r>
        <w:rPr>
          <w:color w:val="231F20"/>
          <w:spacing w:val="-25"/>
          <w:w w:val="105"/>
        </w:rPr>
        <w:t> </w:t>
      </w:r>
      <w:r>
        <w:rPr>
          <w:color w:val="231F20"/>
          <w:w w:val="105"/>
        </w:rPr>
        <w:t>immigration</w:t>
      </w:r>
      <w:r>
        <w:rPr>
          <w:color w:val="231F20"/>
          <w:spacing w:val="-25"/>
          <w:w w:val="105"/>
        </w:rPr>
        <w:t> </w:t>
      </w:r>
      <w:r>
        <w:rPr>
          <w:color w:val="231F20"/>
          <w:w w:val="105"/>
        </w:rPr>
        <w:t>enfor- cement</w:t>
      </w:r>
      <w:r>
        <w:rPr>
          <w:color w:val="231F20"/>
          <w:spacing w:val="-12"/>
          <w:w w:val="105"/>
        </w:rPr>
        <w:t> </w:t>
      </w:r>
      <w:r>
        <w:rPr>
          <w:color w:val="231F20"/>
          <w:w w:val="105"/>
        </w:rPr>
        <w:t>throughout</w:t>
      </w:r>
      <w:r>
        <w:rPr>
          <w:color w:val="231F20"/>
          <w:spacing w:val="-12"/>
          <w:w w:val="105"/>
        </w:rPr>
        <w:t> </w:t>
      </w:r>
      <w:r>
        <w:rPr>
          <w:color w:val="231F20"/>
          <w:w w:val="105"/>
        </w:rPr>
        <w:t>the</w:t>
      </w:r>
      <w:r>
        <w:rPr>
          <w:color w:val="231F20"/>
          <w:spacing w:val="-12"/>
          <w:w w:val="105"/>
        </w:rPr>
        <w:t> </w:t>
      </w:r>
      <w:r>
        <w:rPr>
          <w:color w:val="231F20"/>
          <w:w w:val="105"/>
        </w:rPr>
        <w:t>United</w:t>
      </w:r>
      <w:r>
        <w:rPr>
          <w:color w:val="231F20"/>
          <w:spacing w:val="-12"/>
          <w:w w:val="105"/>
        </w:rPr>
        <w:t> </w:t>
      </w:r>
      <w:r>
        <w:rPr>
          <w:color w:val="231F20"/>
          <w:w w:val="105"/>
        </w:rPr>
        <w:t>States.</w:t>
      </w:r>
      <w:r>
        <w:rPr>
          <w:color w:val="231F20"/>
          <w:spacing w:val="-17"/>
          <w:w w:val="105"/>
        </w:rPr>
        <w:t> </w:t>
      </w:r>
      <w:r>
        <w:rPr>
          <w:color w:val="231F20"/>
          <w:w w:val="105"/>
        </w:rPr>
        <w:t>Data</w:t>
      </w:r>
      <w:r>
        <w:rPr>
          <w:color w:val="231F20"/>
          <w:spacing w:val="-12"/>
          <w:w w:val="105"/>
        </w:rPr>
        <w:t> </w:t>
      </w:r>
      <w:r>
        <w:rPr>
          <w:color w:val="231F20"/>
          <w:w w:val="105"/>
        </w:rPr>
        <w:t>indicate</w:t>
      </w:r>
      <w:r>
        <w:rPr>
          <w:color w:val="231F20"/>
          <w:spacing w:val="-12"/>
          <w:w w:val="105"/>
        </w:rPr>
        <w:t> </w:t>
      </w:r>
      <w:r>
        <w:rPr>
          <w:color w:val="231F20"/>
          <w:w w:val="105"/>
        </w:rPr>
        <w:t>that</w:t>
      </w:r>
      <w:r>
        <w:rPr>
          <w:color w:val="231F20"/>
          <w:spacing w:val="-12"/>
          <w:w w:val="105"/>
        </w:rPr>
        <w:t> </w:t>
      </w:r>
      <w:r>
        <w:rPr>
          <w:color w:val="231F20"/>
          <w:w w:val="105"/>
        </w:rPr>
        <w:t>Mexico</w:t>
      </w:r>
      <w:r>
        <w:rPr>
          <w:color w:val="231F20"/>
          <w:spacing w:val="-12"/>
          <w:w w:val="105"/>
        </w:rPr>
        <w:t> </w:t>
      </w:r>
      <w:r>
        <w:rPr>
          <w:color w:val="231F20"/>
          <w:w w:val="105"/>
        </w:rPr>
        <w:t>remains the country of origin with the highest number of removals with a total of 176,968</w:t>
      </w:r>
      <w:r>
        <w:rPr>
          <w:color w:val="231F20"/>
          <w:spacing w:val="-24"/>
          <w:w w:val="105"/>
        </w:rPr>
        <w:t> </w:t>
      </w:r>
      <w:r>
        <w:rPr>
          <w:color w:val="231F20"/>
          <w:w w:val="105"/>
        </w:rPr>
        <w:t>(56</w:t>
      </w:r>
      <w:r>
        <w:rPr>
          <w:color w:val="231F20"/>
          <w:spacing w:val="-24"/>
          <w:w w:val="105"/>
        </w:rPr>
        <w:t> </w:t>
      </w:r>
      <w:r>
        <w:rPr>
          <w:color w:val="231F20"/>
          <w:w w:val="105"/>
        </w:rPr>
        <w:t>percent</w:t>
      </w:r>
      <w:r>
        <w:rPr>
          <w:color w:val="231F20"/>
          <w:spacing w:val="-24"/>
          <w:w w:val="105"/>
        </w:rPr>
        <w:t> </w:t>
      </w:r>
      <w:r>
        <w:rPr>
          <w:color w:val="231F20"/>
          <w:w w:val="105"/>
        </w:rPr>
        <w:t>of</w:t>
      </w:r>
      <w:r>
        <w:rPr>
          <w:color w:val="231F20"/>
          <w:spacing w:val="-20"/>
          <w:w w:val="105"/>
        </w:rPr>
        <w:t> </w:t>
      </w:r>
      <w:r>
        <w:rPr>
          <w:color w:val="231F20"/>
          <w:w w:val="105"/>
        </w:rPr>
        <w:t>deportations).</w:t>
      </w:r>
      <w:r>
        <w:rPr>
          <w:color w:val="231F20"/>
          <w:spacing w:val="-33"/>
          <w:w w:val="105"/>
        </w:rPr>
        <w:t> </w:t>
      </w:r>
      <w:r>
        <w:rPr>
          <w:color w:val="231F20"/>
          <w:w w:val="105"/>
        </w:rPr>
        <w:t>The</w:t>
      </w:r>
      <w:r>
        <w:rPr>
          <w:color w:val="231F20"/>
          <w:spacing w:val="-24"/>
          <w:w w:val="105"/>
        </w:rPr>
        <w:t> </w:t>
      </w:r>
      <w:r>
        <w:rPr>
          <w:color w:val="231F20"/>
          <w:w w:val="105"/>
        </w:rPr>
        <w:t>increasing</w:t>
      </w:r>
      <w:r>
        <w:rPr>
          <w:color w:val="231F20"/>
          <w:spacing w:val="-24"/>
          <w:w w:val="105"/>
        </w:rPr>
        <w:t> </w:t>
      </w:r>
      <w:r>
        <w:rPr>
          <w:color w:val="231F20"/>
          <w:w w:val="105"/>
        </w:rPr>
        <w:t>number</w:t>
      </w:r>
      <w:r>
        <w:rPr>
          <w:color w:val="231F20"/>
          <w:spacing w:val="-24"/>
          <w:w w:val="105"/>
        </w:rPr>
        <w:t> </w:t>
      </w:r>
      <w:r>
        <w:rPr>
          <w:color w:val="231F20"/>
          <w:w w:val="105"/>
        </w:rPr>
        <w:t>of</w:t>
      </w:r>
      <w:r>
        <w:rPr>
          <w:color w:val="231F20"/>
          <w:spacing w:val="-20"/>
          <w:w w:val="105"/>
        </w:rPr>
        <w:t> </w:t>
      </w:r>
      <w:r>
        <w:rPr>
          <w:color w:val="231F20"/>
          <w:w w:val="105"/>
        </w:rPr>
        <w:t>removals in</w:t>
      </w:r>
      <w:r>
        <w:rPr>
          <w:color w:val="231F20"/>
          <w:spacing w:val="-18"/>
          <w:w w:val="105"/>
        </w:rPr>
        <w:t> </w:t>
      </w:r>
      <w:r>
        <w:rPr>
          <w:color w:val="231F20"/>
          <w:w w:val="105"/>
        </w:rPr>
        <w:t>the</w:t>
      </w:r>
      <w:r>
        <w:rPr>
          <w:color w:val="231F20"/>
          <w:spacing w:val="-18"/>
          <w:w w:val="105"/>
        </w:rPr>
        <w:t> </w:t>
      </w:r>
      <w:r>
        <w:rPr>
          <w:color w:val="231F20"/>
          <w:w w:val="105"/>
        </w:rPr>
        <w:t>United</w:t>
      </w:r>
      <w:r>
        <w:rPr>
          <w:color w:val="231F20"/>
          <w:spacing w:val="-18"/>
          <w:w w:val="105"/>
        </w:rPr>
        <w:t> </w:t>
      </w:r>
      <w:r>
        <w:rPr>
          <w:color w:val="231F20"/>
          <w:w w:val="105"/>
        </w:rPr>
        <w:t>States</w:t>
      </w:r>
      <w:r>
        <w:rPr>
          <w:color w:val="231F20"/>
          <w:spacing w:val="-18"/>
          <w:w w:val="105"/>
        </w:rPr>
        <w:t> </w:t>
      </w:r>
      <w:r>
        <w:rPr>
          <w:color w:val="231F20"/>
          <w:w w:val="105"/>
        </w:rPr>
        <w:t>has</w:t>
      </w:r>
      <w:r>
        <w:rPr>
          <w:color w:val="231F20"/>
          <w:spacing w:val="-18"/>
          <w:w w:val="105"/>
        </w:rPr>
        <w:t> </w:t>
      </w:r>
      <w:r>
        <w:rPr>
          <w:color w:val="231F20"/>
          <w:w w:val="105"/>
        </w:rPr>
        <w:t>had</w:t>
      </w:r>
      <w:r>
        <w:rPr>
          <w:color w:val="231F20"/>
          <w:spacing w:val="-18"/>
          <w:w w:val="105"/>
        </w:rPr>
        <w:t> </w:t>
      </w:r>
      <w:r>
        <w:rPr>
          <w:color w:val="231F20"/>
          <w:w w:val="105"/>
        </w:rPr>
        <w:t>a</w:t>
      </w:r>
      <w:r>
        <w:rPr>
          <w:color w:val="231F20"/>
          <w:spacing w:val="-18"/>
          <w:w w:val="105"/>
        </w:rPr>
        <w:t> </w:t>
      </w:r>
      <w:r>
        <w:rPr>
          <w:color w:val="231F20"/>
          <w:w w:val="105"/>
        </w:rPr>
        <w:t>disproportionate</w:t>
      </w:r>
      <w:r>
        <w:rPr>
          <w:color w:val="231F20"/>
          <w:spacing w:val="-18"/>
          <w:w w:val="105"/>
        </w:rPr>
        <w:t> </w:t>
      </w:r>
      <w:r>
        <w:rPr>
          <w:color w:val="231F20"/>
          <w:w w:val="105"/>
        </w:rPr>
        <w:t>impact</w:t>
      </w:r>
      <w:r>
        <w:rPr>
          <w:color w:val="231F20"/>
          <w:spacing w:val="-18"/>
          <w:w w:val="105"/>
        </w:rPr>
        <w:t> </w:t>
      </w:r>
      <w:r>
        <w:rPr>
          <w:color w:val="231F20"/>
          <w:w w:val="105"/>
        </w:rPr>
        <w:t>on</w:t>
      </w:r>
      <w:r>
        <w:rPr>
          <w:color w:val="231F20"/>
          <w:spacing w:val="-18"/>
          <w:w w:val="105"/>
        </w:rPr>
        <w:t> </w:t>
      </w:r>
      <w:r>
        <w:rPr>
          <w:color w:val="231F20"/>
          <w:w w:val="105"/>
        </w:rPr>
        <w:t>Mexican-origin immigrants and their children. Although there has been attention aimed at unauthorized immigrants and deportation of parents, it is also crucial to consider the fate of children in families when parents are deported, particularly</w:t>
      </w:r>
      <w:r>
        <w:rPr>
          <w:color w:val="231F20"/>
          <w:spacing w:val="-26"/>
          <w:w w:val="105"/>
        </w:rPr>
        <w:t> </w:t>
      </w:r>
      <w:r>
        <w:rPr>
          <w:color w:val="231F20"/>
          <w:w w:val="105"/>
        </w:rPr>
        <w:t>in</w:t>
      </w:r>
      <w:r>
        <w:rPr>
          <w:color w:val="231F20"/>
          <w:spacing w:val="-26"/>
          <w:w w:val="105"/>
        </w:rPr>
        <w:t> </w:t>
      </w:r>
      <w:r>
        <w:rPr>
          <w:color w:val="231F20"/>
          <w:w w:val="105"/>
        </w:rPr>
        <w:t>mixed-status</w:t>
      </w:r>
      <w:r>
        <w:rPr>
          <w:color w:val="231F20"/>
          <w:spacing w:val="-26"/>
          <w:w w:val="105"/>
        </w:rPr>
        <w:t> </w:t>
      </w:r>
      <w:r>
        <w:rPr>
          <w:color w:val="231F20"/>
          <w:w w:val="105"/>
        </w:rPr>
        <w:t>families</w:t>
      </w:r>
      <w:r>
        <w:rPr>
          <w:color w:val="231F20"/>
          <w:spacing w:val="-26"/>
          <w:w w:val="105"/>
        </w:rPr>
        <w:t> </w:t>
      </w:r>
      <w:r>
        <w:rPr>
          <w:color w:val="231F20"/>
          <w:w w:val="105"/>
        </w:rPr>
        <w:t>when</w:t>
      </w:r>
      <w:r>
        <w:rPr>
          <w:color w:val="231F20"/>
          <w:spacing w:val="-26"/>
          <w:w w:val="105"/>
        </w:rPr>
        <w:t> </w:t>
      </w:r>
      <w:r>
        <w:rPr>
          <w:color w:val="231F20"/>
          <w:w w:val="105"/>
        </w:rPr>
        <w:t>parents</w:t>
      </w:r>
      <w:r>
        <w:rPr>
          <w:color w:val="231F20"/>
          <w:spacing w:val="-26"/>
          <w:w w:val="105"/>
        </w:rPr>
        <w:t> </w:t>
      </w:r>
      <w:r>
        <w:rPr>
          <w:color w:val="231F20"/>
          <w:w w:val="105"/>
        </w:rPr>
        <w:t>are</w:t>
      </w:r>
      <w:r>
        <w:rPr>
          <w:color w:val="231F20"/>
          <w:spacing w:val="-26"/>
          <w:w w:val="105"/>
        </w:rPr>
        <w:t> </w:t>
      </w:r>
      <w:r>
        <w:rPr>
          <w:color w:val="231F20"/>
          <w:w w:val="105"/>
        </w:rPr>
        <w:t>undocumented</w:t>
      </w:r>
      <w:r>
        <w:rPr>
          <w:color w:val="231F20"/>
          <w:spacing w:val="-26"/>
          <w:w w:val="105"/>
        </w:rPr>
        <w:t> </w:t>
      </w:r>
      <w:r>
        <w:rPr>
          <w:color w:val="231F20"/>
          <w:w w:val="105"/>
        </w:rPr>
        <w:t>and children</w:t>
      </w:r>
      <w:r>
        <w:rPr>
          <w:color w:val="231F20"/>
          <w:spacing w:val="-31"/>
          <w:w w:val="105"/>
        </w:rPr>
        <w:t> </w:t>
      </w:r>
      <w:r>
        <w:rPr>
          <w:color w:val="231F20"/>
          <w:w w:val="105"/>
        </w:rPr>
        <w:t>are</w:t>
      </w:r>
      <w:r>
        <w:rPr>
          <w:color w:val="231F20"/>
          <w:spacing w:val="-31"/>
          <w:w w:val="105"/>
        </w:rPr>
        <w:t> </w:t>
      </w:r>
      <w:r>
        <w:rPr>
          <w:color w:val="231F20"/>
          <w:w w:val="105"/>
        </w:rPr>
        <w:t>United</w:t>
      </w:r>
      <w:r>
        <w:rPr>
          <w:color w:val="231F20"/>
          <w:spacing w:val="-31"/>
          <w:w w:val="105"/>
        </w:rPr>
        <w:t> </w:t>
      </w:r>
      <w:r>
        <w:rPr>
          <w:color w:val="231F20"/>
          <w:w w:val="105"/>
        </w:rPr>
        <w:t>States</w:t>
      </w:r>
      <w:r>
        <w:rPr>
          <w:color w:val="231F20"/>
          <w:spacing w:val="-31"/>
          <w:w w:val="105"/>
        </w:rPr>
        <w:t> </w:t>
      </w:r>
      <w:r>
        <w:rPr>
          <w:color w:val="231F20"/>
          <w:w w:val="105"/>
        </w:rPr>
        <w:t>citizens.</w:t>
      </w:r>
    </w:p>
    <w:p>
      <w:pPr>
        <w:pStyle w:val="BodyText"/>
        <w:spacing w:line="261" w:lineRule="auto" w:before="1"/>
        <w:ind w:left="1723" w:right="1834" w:firstLine="567"/>
        <w:jc w:val="both"/>
      </w:pPr>
      <w:r>
        <w:rPr>
          <w:color w:val="231F20"/>
          <w:w w:val="105"/>
        </w:rPr>
        <w:t>This</w:t>
      </w:r>
      <w:r>
        <w:rPr>
          <w:color w:val="231F20"/>
          <w:spacing w:val="-12"/>
          <w:w w:val="105"/>
        </w:rPr>
        <w:t> </w:t>
      </w:r>
      <w:r>
        <w:rPr>
          <w:color w:val="231F20"/>
          <w:w w:val="105"/>
        </w:rPr>
        <w:t>phenomenon</w:t>
      </w:r>
      <w:r>
        <w:rPr>
          <w:color w:val="231F20"/>
          <w:spacing w:val="-12"/>
          <w:w w:val="105"/>
        </w:rPr>
        <w:t> </w:t>
      </w:r>
      <w:r>
        <w:rPr>
          <w:color w:val="231F20"/>
          <w:w w:val="105"/>
        </w:rPr>
        <w:t>has</w:t>
      </w:r>
      <w:r>
        <w:rPr>
          <w:color w:val="231F20"/>
          <w:spacing w:val="-12"/>
          <w:w w:val="105"/>
        </w:rPr>
        <w:t> </w:t>
      </w:r>
      <w:r>
        <w:rPr>
          <w:color w:val="231F20"/>
          <w:w w:val="105"/>
        </w:rPr>
        <w:t>grown</w:t>
      </w:r>
      <w:r>
        <w:rPr>
          <w:color w:val="231F20"/>
          <w:spacing w:val="-12"/>
          <w:w w:val="105"/>
        </w:rPr>
        <w:t> </w:t>
      </w:r>
      <w:r>
        <w:rPr>
          <w:color w:val="231F20"/>
          <w:w w:val="105"/>
        </w:rPr>
        <w:t>as</w:t>
      </w:r>
      <w:r>
        <w:rPr>
          <w:color w:val="231F20"/>
          <w:spacing w:val="-12"/>
          <w:w w:val="105"/>
        </w:rPr>
        <w:t> </w:t>
      </w:r>
      <w:r>
        <w:rPr>
          <w:color w:val="231F20"/>
          <w:w w:val="105"/>
        </w:rPr>
        <w:t>a</w:t>
      </w:r>
      <w:r>
        <w:rPr>
          <w:color w:val="231F20"/>
          <w:spacing w:val="-12"/>
          <w:w w:val="105"/>
        </w:rPr>
        <w:t> </w:t>
      </w:r>
      <w:r>
        <w:rPr>
          <w:color w:val="231F20"/>
          <w:w w:val="105"/>
        </w:rPr>
        <w:t>result</w:t>
      </w:r>
      <w:r>
        <w:rPr>
          <w:color w:val="231F20"/>
          <w:spacing w:val="-12"/>
          <w:w w:val="105"/>
        </w:rPr>
        <w:t> </w:t>
      </w:r>
      <w:r>
        <w:rPr>
          <w:color w:val="231F20"/>
          <w:w w:val="105"/>
        </w:rPr>
        <w:t>of</w:t>
      </w:r>
      <w:r>
        <w:rPr>
          <w:color w:val="231F20"/>
          <w:spacing w:val="-8"/>
          <w:w w:val="105"/>
        </w:rPr>
        <w:t> </w:t>
      </w:r>
      <w:r>
        <w:rPr>
          <w:color w:val="231F20"/>
          <w:w w:val="105"/>
        </w:rPr>
        <w:t>United</w:t>
      </w:r>
      <w:r>
        <w:rPr>
          <w:color w:val="231F20"/>
          <w:spacing w:val="-12"/>
          <w:w w:val="105"/>
        </w:rPr>
        <w:t> </w:t>
      </w:r>
      <w:r>
        <w:rPr>
          <w:color w:val="231F20"/>
          <w:w w:val="105"/>
        </w:rPr>
        <w:t>States</w:t>
      </w:r>
      <w:r>
        <w:rPr>
          <w:color w:val="231F20"/>
          <w:spacing w:val="-12"/>
          <w:w w:val="105"/>
        </w:rPr>
        <w:t> </w:t>
      </w:r>
      <w:r>
        <w:rPr>
          <w:color w:val="231F20"/>
          <w:w w:val="105"/>
        </w:rPr>
        <w:t>immigra- tion policies, for example the Illegal Immigration Reform and Immigrant Responsibility</w:t>
      </w:r>
      <w:r>
        <w:rPr>
          <w:color w:val="231F20"/>
          <w:spacing w:val="-23"/>
          <w:w w:val="105"/>
        </w:rPr>
        <w:t> </w:t>
      </w:r>
      <w:r>
        <w:rPr>
          <w:color w:val="231F20"/>
          <w:w w:val="105"/>
        </w:rPr>
        <w:t>Act</w:t>
      </w:r>
      <w:r>
        <w:rPr>
          <w:color w:val="231F20"/>
          <w:spacing w:val="-20"/>
          <w:w w:val="105"/>
        </w:rPr>
        <w:t> </w:t>
      </w:r>
      <w:r>
        <w:rPr>
          <w:color w:val="231F20"/>
          <w:w w:val="105"/>
        </w:rPr>
        <w:t>(</w:t>
      </w:r>
      <w:r>
        <w:rPr>
          <w:color w:val="231F20"/>
          <w:w w:val="105"/>
          <w:sz w:val="17"/>
        </w:rPr>
        <w:t>IIRIRA</w:t>
      </w:r>
      <w:r>
        <w:rPr>
          <w:color w:val="231F20"/>
          <w:w w:val="105"/>
        </w:rPr>
        <w:t>)</w:t>
      </w:r>
      <w:r>
        <w:rPr>
          <w:color w:val="231F20"/>
          <w:spacing w:val="-20"/>
          <w:w w:val="105"/>
        </w:rPr>
        <w:t> </w:t>
      </w:r>
      <w:r>
        <w:rPr>
          <w:color w:val="231F20"/>
          <w:w w:val="105"/>
        </w:rPr>
        <w:t>which</w:t>
      </w:r>
      <w:r>
        <w:rPr>
          <w:color w:val="231F20"/>
          <w:spacing w:val="-20"/>
          <w:w w:val="105"/>
        </w:rPr>
        <w:t> </w:t>
      </w:r>
      <w:r>
        <w:rPr>
          <w:color w:val="231F20"/>
          <w:w w:val="105"/>
        </w:rPr>
        <w:t>significantly</w:t>
      </w:r>
      <w:r>
        <w:rPr>
          <w:color w:val="231F20"/>
          <w:spacing w:val="-20"/>
          <w:w w:val="105"/>
        </w:rPr>
        <w:t> </w:t>
      </w:r>
      <w:r>
        <w:rPr>
          <w:color w:val="231F20"/>
          <w:w w:val="105"/>
        </w:rPr>
        <w:t>increased</w:t>
      </w:r>
      <w:r>
        <w:rPr>
          <w:color w:val="231F20"/>
          <w:spacing w:val="-20"/>
          <w:w w:val="105"/>
        </w:rPr>
        <w:t> </w:t>
      </w:r>
      <w:r>
        <w:rPr>
          <w:color w:val="231F20"/>
          <w:w w:val="105"/>
        </w:rPr>
        <w:t>the</w:t>
      </w:r>
      <w:r>
        <w:rPr>
          <w:color w:val="231F20"/>
          <w:spacing w:val="-20"/>
          <w:w w:val="105"/>
        </w:rPr>
        <w:t> </w:t>
      </w:r>
      <w:r>
        <w:rPr>
          <w:color w:val="231F20"/>
          <w:w w:val="105"/>
        </w:rPr>
        <w:t>income</w:t>
      </w:r>
      <w:r>
        <w:rPr>
          <w:color w:val="231F20"/>
          <w:spacing w:val="-20"/>
          <w:w w:val="105"/>
        </w:rPr>
        <w:t> </w:t>
      </w:r>
      <w:r>
        <w:rPr>
          <w:color w:val="231F20"/>
          <w:w w:val="105"/>
        </w:rPr>
        <w:t>requi- rement</w:t>
      </w:r>
      <w:r>
        <w:rPr>
          <w:color w:val="231F20"/>
          <w:spacing w:val="-15"/>
          <w:w w:val="105"/>
        </w:rPr>
        <w:t> </w:t>
      </w:r>
      <w:r>
        <w:rPr>
          <w:color w:val="231F20"/>
          <w:w w:val="105"/>
        </w:rPr>
        <w:t>to</w:t>
      </w:r>
      <w:r>
        <w:rPr>
          <w:color w:val="231F20"/>
          <w:spacing w:val="-15"/>
          <w:w w:val="105"/>
        </w:rPr>
        <w:t> </w:t>
      </w:r>
      <w:r>
        <w:rPr>
          <w:color w:val="231F20"/>
          <w:w w:val="105"/>
        </w:rPr>
        <w:t>sponsor</w:t>
      </w:r>
      <w:r>
        <w:rPr>
          <w:color w:val="231F20"/>
          <w:spacing w:val="-15"/>
          <w:w w:val="105"/>
        </w:rPr>
        <w:t> </w:t>
      </w:r>
      <w:r>
        <w:rPr>
          <w:color w:val="231F20"/>
          <w:w w:val="105"/>
        </w:rPr>
        <w:t>family-based</w:t>
      </w:r>
      <w:r>
        <w:rPr>
          <w:color w:val="231F20"/>
          <w:spacing w:val="-15"/>
          <w:w w:val="105"/>
        </w:rPr>
        <w:t> </w:t>
      </w:r>
      <w:r>
        <w:rPr>
          <w:color w:val="231F20"/>
          <w:w w:val="105"/>
        </w:rPr>
        <w:t>immigration.</w:t>
      </w:r>
      <w:r>
        <w:rPr>
          <w:color w:val="231F20"/>
          <w:spacing w:val="-21"/>
          <w:w w:val="105"/>
        </w:rPr>
        <w:t> </w:t>
      </w:r>
      <w:r>
        <w:rPr>
          <w:color w:val="231F20"/>
          <w:w w:val="105"/>
          <w:sz w:val="17"/>
        </w:rPr>
        <w:t>IIRIRA</w:t>
      </w:r>
      <w:r>
        <w:rPr>
          <w:color w:val="231F20"/>
          <w:spacing w:val="-5"/>
          <w:w w:val="105"/>
          <w:sz w:val="17"/>
        </w:rPr>
        <w:t> </w:t>
      </w:r>
      <w:r>
        <w:rPr>
          <w:color w:val="231F20"/>
          <w:w w:val="105"/>
        </w:rPr>
        <w:t>raised</w:t>
      </w:r>
      <w:r>
        <w:rPr>
          <w:color w:val="231F20"/>
          <w:spacing w:val="-15"/>
          <w:w w:val="105"/>
        </w:rPr>
        <w:t> </w:t>
      </w:r>
      <w:r>
        <w:rPr>
          <w:color w:val="231F20"/>
          <w:w w:val="105"/>
        </w:rPr>
        <w:t>the</w:t>
      </w:r>
      <w:r>
        <w:rPr>
          <w:color w:val="231F20"/>
          <w:spacing w:val="-15"/>
          <w:w w:val="105"/>
        </w:rPr>
        <w:t> </w:t>
      </w:r>
      <w:r>
        <w:rPr>
          <w:color w:val="231F20"/>
          <w:w w:val="105"/>
        </w:rPr>
        <w:t>income</w:t>
      </w:r>
      <w:r>
        <w:rPr>
          <w:color w:val="231F20"/>
          <w:spacing w:val="-15"/>
          <w:w w:val="105"/>
        </w:rPr>
        <w:t> </w:t>
      </w:r>
      <w:r>
        <w:rPr>
          <w:color w:val="231F20"/>
          <w:w w:val="105"/>
        </w:rPr>
        <w:t>re- quirement to at least 125 percent of the federal poverty line closing the door</w:t>
      </w:r>
      <w:r>
        <w:rPr>
          <w:color w:val="231F20"/>
          <w:spacing w:val="-7"/>
          <w:w w:val="105"/>
        </w:rPr>
        <w:t> </w:t>
      </w:r>
      <w:r>
        <w:rPr>
          <w:color w:val="231F20"/>
          <w:w w:val="105"/>
        </w:rPr>
        <w:t>to</w:t>
      </w:r>
      <w:r>
        <w:rPr>
          <w:color w:val="231F20"/>
          <w:spacing w:val="-7"/>
          <w:w w:val="105"/>
        </w:rPr>
        <w:t> </w:t>
      </w:r>
      <w:r>
        <w:rPr>
          <w:color w:val="231F20"/>
          <w:w w:val="105"/>
        </w:rPr>
        <w:t>legal</w:t>
      </w:r>
      <w:r>
        <w:rPr>
          <w:color w:val="231F20"/>
          <w:spacing w:val="-7"/>
          <w:w w:val="105"/>
        </w:rPr>
        <w:t> </w:t>
      </w:r>
      <w:r>
        <w:rPr>
          <w:color w:val="231F20"/>
          <w:w w:val="105"/>
        </w:rPr>
        <w:t>immigration</w:t>
      </w:r>
      <w:r>
        <w:rPr>
          <w:color w:val="231F20"/>
          <w:spacing w:val="-7"/>
          <w:w w:val="105"/>
        </w:rPr>
        <w:t> </w:t>
      </w:r>
      <w:r>
        <w:rPr>
          <w:color w:val="231F20"/>
          <w:w w:val="105"/>
        </w:rPr>
        <w:t>for</w:t>
      </w:r>
      <w:r>
        <w:rPr>
          <w:color w:val="231F20"/>
          <w:spacing w:val="-7"/>
          <w:w w:val="105"/>
        </w:rPr>
        <w:t> </w:t>
      </w:r>
      <w:r>
        <w:rPr>
          <w:color w:val="231F20"/>
          <w:w w:val="105"/>
        </w:rPr>
        <w:t>many</w:t>
      </w:r>
      <w:r>
        <w:rPr>
          <w:color w:val="231F20"/>
          <w:spacing w:val="-7"/>
          <w:w w:val="105"/>
        </w:rPr>
        <w:t> </w:t>
      </w:r>
      <w:r>
        <w:rPr>
          <w:color w:val="231F20"/>
          <w:w w:val="105"/>
        </w:rPr>
        <w:t>Mexican</w:t>
      </w:r>
      <w:r>
        <w:rPr>
          <w:color w:val="231F20"/>
          <w:spacing w:val="-7"/>
          <w:w w:val="105"/>
        </w:rPr>
        <w:t> </w:t>
      </w:r>
      <w:r>
        <w:rPr>
          <w:color w:val="231F20"/>
          <w:w w:val="105"/>
        </w:rPr>
        <w:t>applicants.</w:t>
      </w:r>
      <w:r>
        <w:rPr>
          <w:color w:val="231F20"/>
          <w:spacing w:val="-13"/>
          <w:w w:val="105"/>
        </w:rPr>
        <w:t> </w:t>
      </w:r>
      <w:r>
        <w:rPr>
          <w:color w:val="231F20"/>
          <w:w w:val="105"/>
        </w:rPr>
        <w:t>Immigration</w:t>
      </w:r>
      <w:r>
        <w:rPr>
          <w:color w:val="231F20"/>
          <w:spacing w:val="-7"/>
          <w:w w:val="105"/>
        </w:rPr>
        <w:t> </w:t>
      </w:r>
      <w:r>
        <w:rPr>
          <w:color w:val="231F20"/>
          <w:w w:val="105"/>
        </w:rPr>
        <w:t>res- trictions and tighter border security ultimately prevents the reunification of</w:t>
      </w:r>
      <w:r>
        <w:rPr>
          <w:color w:val="231F20"/>
          <w:spacing w:val="-13"/>
          <w:w w:val="105"/>
        </w:rPr>
        <w:t> </w:t>
      </w:r>
      <w:r>
        <w:rPr>
          <w:color w:val="231F20"/>
          <w:w w:val="105"/>
        </w:rPr>
        <w:t>families</w:t>
      </w:r>
      <w:r>
        <w:rPr>
          <w:color w:val="231F20"/>
          <w:spacing w:val="-17"/>
          <w:w w:val="105"/>
        </w:rPr>
        <w:t> </w:t>
      </w:r>
      <w:r>
        <w:rPr>
          <w:color w:val="231F20"/>
          <w:w w:val="105"/>
        </w:rPr>
        <w:t>along</w:t>
      </w:r>
      <w:r>
        <w:rPr>
          <w:color w:val="231F20"/>
          <w:spacing w:val="-17"/>
          <w:w w:val="105"/>
        </w:rPr>
        <w:t> </w:t>
      </w:r>
      <w:r>
        <w:rPr>
          <w:color w:val="231F20"/>
          <w:w w:val="105"/>
        </w:rPr>
        <w:t>the</w:t>
      </w:r>
      <w:r>
        <w:rPr>
          <w:color w:val="231F20"/>
          <w:spacing w:val="-17"/>
          <w:w w:val="105"/>
        </w:rPr>
        <w:t> </w:t>
      </w:r>
      <w:r>
        <w:rPr>
          <w:color w:val="231F20"/>
          <w:w w:val="105"/>
        </w:rPr>
        <w:t>United</w:t>
      </w:r>
      <w:r>
        <w:rPr>
          <w:color w:val="231F20"/>
          <w:spacing w:val="-17"/>
          <w:w w:val="105"/>
        </w:rPr>
        <w:t> </w:t>
      </w:r>
      <w:r>
        <w:rPr>
          <w:color w:val="231F20"/>
          <w:w w:val="105"/>
        </w:rPr>
        <w:t>States-Mexico</w:t>
      </w:r>
      <w:r>
        <w:rPr>
          <w:color w:val="231F20"/>
          <w:spacing w:val="-17"/>
          <w:w w:val="105"/>
        </w:rPr>
        <w:t> </w:t>
      </w:r>
      <w:r>
        <w:rPr>
          <w:color w:val="231F20"/>
          <w:w w:val="105"/>
        </w:rPr>
        <w:t>border</w:t>
      </w:r>
      <w:r>
        <w:rPr>
          <w:color w:val="231F20"/>
          <w:spacing w:val="-17"/>
          <w:w w:val="105"/>
        </w:rPr>
        <w:t> </w:t>
      </w:r>
      <w:r>
        <w:rPr>
          <w:color w:val="231F20"/>
          <w:w w:val="105"/>
        </w:rPr>
        <w:t>separated</w:t>
      </w:r>
      <w:r>
        <w:rPr>
          <w:color w:val="231F20"/>
          <w:spacing w:val="-17"/>
          <w:w w:val="105"/>
        </w:rPr>
        <w:t> </w:t>
      </w:r>
      <w:r>
        <w:rPr>
          <w:color w:val="231F20"/>
          <w:w w:val="105"/>
        </w:rPr>
        <w:t>by</w:t>
      </w:r>
      <w:r>
        <w:rPr>
          <w:color w:val="231F20"/>
          <w:spacing w:val="-17"/>
          <w:w w:val="105"/>
        </w:rPr>
        <w:t> </w:t>
      </w:r>
      <w:r>
        <w:rPr>
          <w:color w:val="231F20"/>
          <w:w w:val="105"/>
        </w:rPr>
        <w:t>immigra- tion</w:t>
      </w:r>
      <w:r>
        <w:rPr>
          <w:color w:val="231F20"/>
          <w:spacing w:val="-29"/>
          <w:w w:val="105"/>
        </w:rPr>
        <w:t> </w:t>
      </w:r>
      <w:r>
        <w:rPr>
          <w:color w:val="231F20"/>
          <w:w w:val="105"/>
        </w:rPr>
        <w:t>status</w:t>
      </w:r>
      <w:r>
        <w:rPr>
          <w:color w:val="231F20"/>
          <w:spacing w:val="-29"/>
          <w:w w:val="105"/>
        </w:rPr>
        <w:t> </w:t>
      </w:r>
      <w:r>
        <w:rPr>
          <w:color w:val="231F20"/>
          <w:w w:val="105"/>
        </w:rPr>
        <w:t>(Rodriguez</w:t>
      </w:r>
      <w:r>
        <w:rPr>
          <w:color w:val="231F20"/>
          <w:spacing w:val="-29"/>
          <w:w w:val="105"/>
        </w:rPr>
        <w:t> </w:t>
      </w:r>
      <w:r>
        <w:rPr>
          <w:color w:val="231F20"/>
          <w:w w:val="105"/>
        </w:rPr>
        <w:t>and</w:t>
      </w:r>
      <w:r>
        <w:rPr>
          <w:color w:val="231F20"/>
          <w:spacing w:val="-29"/>
          <w:w w:val="105"/>
        </w:rPr>
        <w:t> </w:t>
      </w:r>
      <w:r>
        <w:rPr>
          <w:color w:val="231F20"/>
          <w:w w:val="105"/>
        </w:rPr>
        <w:t>Hagan,</w:t>
      </w:r>
      <w:r>
        <w:rPr>
          <w:color w:val="231F20"/>
          <w:spacing w:val="-33"/>
          <w:w w:val="105"/>
        </w:rPr>
        <w:t> </w:t>
      </w:r>
      <w:r>
        <w:rPr>
          <w:color w:val="231F20"/>
          <w:w w:val="105"/>
        </w:rPr>
        <w:t>2004).</w:t>
      </w:r>
    </w:p>
    <w:p>
      <w:pPr>
        <w:pStyle w:val="BodyText"/>
        <w:spacing w:line="261" w:lineRule="auto" w:before="1"/>
        <w:ind w:left="1723" w:right="1835" w:firstLine="567"/>
        <w:jc w:val="both"/>
      </w:pPr>
      <w:r>
        <w:rPr>
          <w:color w:val="231F20"/>
          <w:w w:val="105"/>
        </w:rPr>
        <w:t>Many</w:t>
      </w:r>
      <w:r>
        <w:rPr>
          <w:color w:val="231F20"/>
          <w:spacing w:val="-21"/>
          <w:w w:val="105"/>
        </w:rPr>
        <w:t> </w:t>
      </w:r>
      <w:r>
        <w:rPr>
          <w:color w:val="231F20"/>
          <w:w w:val="105"/>
        </w:rPr>
        <w:t>transnational</w:t>
      </w:r>
      <w:r>
        <w:rPr>
          <w:color w:val="231F20"/>
          <w:spacing w:val="-21"/>
          <w:w w:val="105"/>
        </w:rPr>
        <w:t> </w:t>
      </w:r>
      <w:r>
        <w:rPr>
          <w:color w:val="231F20"/>
          <w:w w:val="105"/>
        </w:rPr>
        <w:t>communities</w:t>
      </w:r>
      <w:r>
        <w:rPr>
          <w:color w:val="231F20"/>
          <w:spacing w:val="-21"/>
          <w:w w:val="105"/>
        </w:rPr>
        <w:t> </w:t>
      </w:r>
      <w:r>
        <w:rPr>
          <w:color w:val="231F20"/>
          <w:w w:val="105"/>
        </w:rPr>
        <w:t>are</w:t>
      </w:r>
      <w:r>
        <w:rPr>
          <w:color w:val="231F20"/>
          <w:spacing w:val="-21"/>
          <w:w w:val="105"/>
        </w:rPr>
        <w:t> </w:t>
      </w:r>
      <w:r>
        <w:rPr>
          <w:color w:val="231F20"/>
          <w:w w:val="105"/>
        </w:rPr>
        <w:t>comprised</w:t>
      </w:r>
      <w:r>
        <w:rPr>
          <w:color w:val="231F20"/>
          <w:spacing w:val="-21"/>
          <w:w w:val="105"/>
        </w:rPr>
        <w:t> </w:t>
      </w:r>
      <w:r>
        <w:rPr>
          <w:color w:val="231F20"/>
          <w:w w:val="105"/>
        </w:rPr>
        <w:t>of</w:t>
      </w:r>
      <w:r>
        <w:rPr>
          <w:color w:val="231F20"/>
          <w:spacing w:val="-17"/>
          <w:w w:val="105"/>
        </w:rPr>
        <w:t> </w:t>
      </w:r>
      <w:r>
        <w:rPr>
          <w:color w:val="231F20"/>
          <w:w w:val="105"/>
        </w:rPr>
        <w:t>mixed-status</w:t>
      </w:r>
      <w:r>
        <w:rPr>
          <w:color w:val="231F20"/>
          <w:spacing w:val="-21"/>
          <w:w w:val="105"/>
        </w:rPr>
        <w:t> </w:t>
      </w:r>
      <w:r>
        <w:rPr>
          <w:color w:val="231F20"/>
          <w:w w:val="105"/>
        </w:rPr>
        <w:t>fa- milies</w:t>
      </w:r>
      <w:r>
        <w:rPr>
          <w:color w:val="231F20"/>
          <w:spacing w:val="-26"/>
          <w:w w:val="105"/>
        </w:rPr>
        <w:t> </w:t>
      </w:r>
      <w:r>
        <w:rPr>
          <w:color w:val="231F20"/>
          <w:w w:val="105"/>
        </w:rPr>
        <w:t>in</w:t>
      </w:r>
      <w:r>
        <w:rPr>
          <w:color w:val="231F20"/>
          <w:spacing w:val="-26"/>
          <w:w w:val="105"/>
        </w:rPr>
        <w:t> </w:t>
      </w:r>
      <w:r>
        <w:rPr>
          <w:color w:val="231F20"/>
          <w:w w:val="105"/>
        </w:rPr>
        <w:t>which</w:t>
      </w:r>
      <w:r>
        <w:rPr>
          <w:color w:val="231F20"/>
          <w:spacing w:val="-26"/>
          <w:w w:val="105"/>
        </w:rPr>
        <w:t> </w:t>
      </w:r>
      <w:r>
        <w:rPr>
          <w:color w:val="231F20"/>
          <w:w w:val="105"/>
        </w:rPr>
        <w:t>family</w:t>
      </w:r>
      <w:r>
        <w:rPr>
          <w:color w:val="231F20"/>
          <w:spacing w:val="-26"/>
          <w:w w:val="105"/>
        </w:rPr>
        <w:t> </w:t>
      </w:r>
      <w:r>
        <w:rPr>
          <w:color w:val="231F20"/>
          <w:w w:val="105"/>
        </w:rPr>
        <w:t>members</w:t>
      </w:r>
      <w:r>
        <w:rPr>
          <w:color w:val="231F20"/>
          <w:spacing w:val="-26"/>
          <w:w w:val="105"/>
        </w:rPr>
        <w:t> </w:t>
      </w:r>
      <w:r>
        <w:rPr>
          <w:color w:val="231F20"/>
          <w:w w:val="105"/>
        </w:rPr>
        <w:t>have</w:t>
      </w:r>
      <w:r>
        <w:rPr>
          <w:color w:val="231F20"/>
          <w:spacing w:val="-26"/>
          <w:w w:val="105"/>
        </w:rPr>
        <w:t> </w:t>
      </w:r>
      <w:r>
        <w:rPr>
          <w:color w:val="231F20"/>
          <w:w w:val="105"/>
        </w:rPr>
        <w:t>different</w:t>
      </w:r>
      <w:r>
        <w:rPr>
          <w:color w:val="231F20"/>
          <w:spacing w:val="-26"/>
          <w:w w:val="105"/>
        </w:rPr>
        <w:t> </w:t>
      </w:r>
      <w:r>
        <w:rPr>
          <w:color w:val="231F20"/>
          <w:w w:val="105"/>
        </w:rPr>
        <w:t>legal</w:t>
      </w:r>
      <w:r>
        <w:rPr>
          <w:color w:val="231F20"/>
          <w:spacing w:val="-26"/>
          <w:w w:val="105"/>
        </w:rPr>
        <w:t> </w:t>
      </w:r>
      <w:r>
        <w:rPr>
          <w:color w:val="231F20"/>
          <w:w w:val="105"/>
        </w:rPr>
        <w:t>statuses.</w:t>
      </w:r>
      <w:r>
        <w:rPr>
          <w:color w:val="231F20"/>
          <w:spacing w:val="-34"/>
          <w:w w:val="105"/>
        </w:rPr>
        <w:t> </w:t>
      </w:r>
      <w:r>
        <w:rPr>
          <w:color w:val="231F20"/>
          <w:w w:val="105"/>
        </w:rPr>
        <w:t>The</w:t>
      </w:r>
      <w:r>
        <w:rPr>
          <w:color w:val="231F20"/>
          <w:spacing w:val="-26"/>
          <w:w w:val="105"/>
        </w:rPr>
        <w:t> </w:t>
      </w:r>
      <w:r>
        <w:rPr>
          <w:color w:val="231F20"/>
          <w:w w:val="105"/>
        </w:rPr>
        <w:t>children</w:t>
      </w:r>
    </w:p>
    <w:p>
      <w:pPr>
        <w:pStyle w:val="BodyText"/>
        <w:rPr>
          <w:sz w:val="20"/>
        </w:rPr>
      </w:pPr>
    </w:p>
    <w:p>
      <w:pPr>
        <w:pStyle w:val="BodyText"/>
        <w:rPr>
          <w:sz w:val="20"/>
        </w:rPr>
      </w:pPr>
    </w:p>
    <w:p>
      <w:pPr>
        <w:pStyle w:val="BodyText"/>
        <w:spacing w:before="11"/>
        <w:rPr>
          <w:sz w:val="17"/>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5632" from="131.551193pt,3.703715pt" to="131.551193pt,39.506114pt" stroked="true" strokeweight=".35pt" strokecolor="#231f20">
            <w10:wrap type="none"/>
          </v:line>
        </w:pict>
      </w:r>
      <w:r>
        <w:rPr/>
        <w:pict>
          <v:line style="position:absolute;mso-position-horizontal-relative:page;mso-position-vertical-relative:paragraph;z-index:-485608" from="15pt,39.505917pt" to="0pt,39.505917pt" stroked="true" strokeweight=".25pt" strokecolor="#000000">
            <w10:wrap type="none"/>
          </v:line>
        </w:pict>
      </w:r>
      <w:r>
        <w:rPr/>
        <w:pict>
          <v:line style="position:absolute;mso-position-horizontal-relative:page;mso-position-vertical-relative:paragraph;z-index:4600" from="508.890015pt,39.505917pt" to="523.890015pt,39.505917pt" stroked="true" strokeweight=".25pt" strokecolor="#000000">
            <w10:wrap type="none"/>
          </v:line>
        </w:pict>
      </w:r>
      <w:r>
        <w:rPr>
          <w:rFonts w:ascii="Arial" w:hAnsi="Arial"/>
          <w:color w:val="414042"/>
          <w:position w:val="-5"/>
          <w:sz w:val="20"/>
        </w:rPr>
        <w:t>48</w:t>
        <w:tab/>
      </w:r>
      <w:r>
        <w:rPr>
          <w:rFonts w:ascii="Calibri" w:hAnsi="Calibri"/>
          <w:color w:val="6D6E71"/>
          <w:sz w:val="15"/>
        </w:rPr>
        <w:t>Harriett Romo, Janeth Martínez y Christina  </w:t>
      </w:r>
      <w:r>
        <w:rPr>
          <w:rFonts w:ascii="Calibri" w:hAnsi="Calibri"/>
          <w:color w:val="6D6E71"/>
          <w:spacing w:val="15"/>
          <w:sz w:val="15"/>
        </w:rPr>
        <w:t> </w:t>
      </w:r>
      <w:r>
        <w:rPr>
          <w:rFonts w:ascii="Calibri" w:hAnsi="Calibri"/>
          <w:color w:val="6D6E71"/>
          <w:sz w:val="15"/>
        </w:rPr>
        <w:t>López-Mobilia</w:t>
      </w:r>
    </w:p>
    <w:p>
      <w:pPr>
        <w:spacing w:after="0"/>
        <w:jc w:val="left"/>
        <w:rPr>
          <w:rFonts w:ascii="Calibri" w:hAnsi="Calibri"/>
          <w:sz w:val="15"/>
        </w:rPr>
        <w:sectPr>
          <w:footerReference w:type="default" r:id="rId48"/>
          <w:pgSz w:w="10480" w:h="14730"/>
          <w:pgMar w:footer="103" w:header="0" w:top="42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4958" w:right="0" w:firstLine="0"/>
        <w:jc w:val="left"/>
        <w:rPr>
          <w:rFonts w:ascii="Arial"/>
          <w:sz w:val="20"/>
        </w:rPr>
      </w:pPr>
      <w:r>
        <w:rPr/>
        <w:pict>
          <v:line style="position:absolute;mso-position-horizontal-relative:page;mso-position-vertical-relative:paragraph;z-index:-485560" from="405.061005pt,-18.554295pt" to="405.061005pt,16.311579pt" stroked="true" strokeweight=".35pt" strokecolor="#231f20">
            <w10:wrap type="none"/>
          </v:line>
        </w:pict>
      </w:r>
      <w:r>
        <w:rPr/>
        <w:pict>
          <v:line style="position:absolute;mso-position-horizontal-relative:page;mso-position-vertical-relative:paragraph;z-index:4648" from="15pt,-18.554522pt" to="0pt,-18.554522pt" stroked="true" strokeweight=".25pt" strokecolor="#000000">
            <w10:wrap type="none"/>
          </v:line>
        </w:pict>
      </w:r>
      <w:r>
        <w:rPr/>
        <w:pict>
          <v:line style="position:absolute;mso-position-horizontal-relative:page;mso-position-vertical-relative:paragraph;z-index:4672" from="508.890015pt,-18.554522pt" to="523.890015pt,-18.554522pt" stroked="true" strokeweight=".25pt" strokecolor="#000000">
            <w10:wrap type="none"/>
          </v:line>
        </w:pict>
      </w:r>
      <w:r>
        <w:rPr>
          <w:rFonts w:ascii="Lucida Sans Unicode"/>
          <w:color w:val="6D6E71"/>
          <w:w w:val="105"/>
          <w:sz w:val="14"/>
        </w:rPr>
        <w:t>Children</w:t>
      </w:r>
      <w:r>
        <w:rPr>
          <w:rFonts w:ascii="Lucida Sans Unicode"/>
          <w:color w:val="6D6E71"/>
          <w:spacing w:val="-10"/>
          <w:w w:val="105"/>
          <w:sz w:val="14"/>
        </w:rPr>
        <w:t> </w:t>
      </w:r>
      <w:r>
        <w:rPr>
          <w:rFonts w:ascii="Lucida Sans Unicode"/>
          <w:color w:val="6D6E71"/>
          <w:w w:val="105"/>
          <w:sz w:val="14"/>
        </w:rPr>
        <w:t>of</w:t>
      </w:r>
      <w:r>
        <w:rPr>
          <w:rFonts w:ascii="Lucida Sans Unicode"/>
          <w:color w:val="6D6E71"/>
          <w:spacing w:val="-10"/>
          <w:w w:val="105"/>
          <w:sz w:val="14"/>
        </w:rPr>
        <w:t> </w:t>
      </w:r>
      <w:r>
        <w:rPr>
          <w:rFonts w:ascii="Lucida Sans Unicode"/>
          <w:color w:val="6D6E71"/>
          <w:w w:val="105"/>
          <w:sz w:val="14"/>
        </w:rPr>
        <w:t>immigrants</w:t>
      </w:r>
      <w:r>
        <w:rPr>
          <w:rFonts w:ascii="Lucida Sans Unicode"/>
          <w:color w:val="6D6E71"/>
          <w:spacing w:val="-10"/>
          <w:w w:val="105"/>
          <w:sz w:val="14"/>
        </w:rPr>
        <w:t> </w:t>
      </w:r>
      <w:r>
        <w:rPr>
          <w:rFonts w:ascii="Lucida Sans Unicode"/>
          <w:color w:val="6D6E71"/>
          <w:w w:val="105"/>
          <w:sz w:val="14"/>
        </w:rPr>
        <w:t>in</w:t>
      </w:r>
      <w:r>
        <w:rPr>
          <w:rFonts w:ascii="Lucida Sans Unicode"/>
          <w:color w:val="6D6E71"/>
          <w:spacing w:val="-10"/>
          <w:w w:val="105"/>
          <w:sz w:val="14"/>
        </w:rPr>
        <w:t> </w:t>
      </w:r>
      <w:r>
        <w:rPr>
          <w:rFonts w:ascii="Lucida Sans Unicode"/>
          <w:color w:val="6D6E71"/>
          <w:w w:val="105"/>
          <w:sz w:val="14"/>
        </w:rPr>
        <w:t>the</w:t>
      </w:r>
      <w:r>
        <w:rPr>
          <w:rFonts w:ascii="Lucida Sans Unicode"/>
          <w:color w:val="6D6E71"/>
          <w:spacing w:val="-10"/>
          <w:w w:val="105"/>
          <w:sz w:val="14"/>
        </w:rPr>
        <w:t> </w:t>
      </w:r>
      <w:r>
        <w:rPr>
          <w:rFonts w:ascii="Lucida Sans Unicode"/>
          <w:color w:val="6D6E71"/>
          <w:w w:val="105"/>
          <w:sz w:val="14"/>
        </w:rPr>
        <w:t>United</w:t>
      </w:r>
      <w:r>
        <w:rPr>
          <w:rFonts w:ascii="Lucida Sans Unicode"/>
          <w:color w:val="6D6E71"/>
          <w:spacing w:val="-10"/>
          <w:w w:val="105"/>
          <w:sz w:val="14"/>
        </w:rPr>
        <w:t> </w:t>
      </w:r>
      <w:r>
        <w:rPr>
          <w:rFonts w:ascii="Lucida Sans Unicode"/>
          <w:color w:val="6D6E71"/>
          <w:spacing w:val="-3"/>
          <w:w w:val="105"/>
          <w:sz w:val="14"/>
        </w:rPr>
        <w:t>states</w:t>
      </w:r>
      <w:r>
        <w:rPr>
          <w:rFonts w:ascii="Arial"/>
          <w:color w:val="414042"/>
          <w:spacing w:val="-3"/>
          <w:w w:val="105"/>
          <w:position w:val="-3"/>
          <w:sz w:val="20"/>
        </w:rPr>
        <w:tab/>
      </w:r>
      <w:r>
        <w:rPr>
          <w:rFonts w:ascii="Arial"/>
          <w:color w:val="414042"/>
          <w:w w:val="105"/>
          <w:position w:val="-3"/>
          <w:sz w:val="20"/>
        </w:rPr>
        <w:t>49</w:t>
      </w:r>
    </w:p>
    <w:p>
      <w:pPr>
        <w:pStyle w:val="BodyText"/>
        <w:rPr>
          <w:rFonts w:ascii="Arial"/>
          <w:sz w:val="20"/>
        </w:rPr>
      </w:pPr>
    </w:p>
    <w:p>
      <w:pPr>
        <w:pStyle w:val="BodyText"/>
        <w:rPr>
          <w:rFonts w:ascii="Arial"/>
          <w:sz w:val="20"/>
        </w:rPr>
      </w:pPr>
    </w:p>
    <w:p>
      <w:pPr>
        <w:pStyle w:val="BodyText"/>
        <w:spacing w:line="261" w:lineRule="auto" w:before="179"/>
        <w:ind w:left="1837" w:right="1715"/>
        <w:jc w:val="both"/>
      </w:pPr>
      <w:r>
        <w:rPr>
          <w:color w:val="231F20"/>
          <w:w w:val="105"/>
        </w:rPr>
        <w:t>of</w:t>
      </w:r>
      <w:r>
        <w:rPr>
          <w:color w:val="231F20"/>
          <w:spacing w:val="-21"/>
          <w:w w:val="105"/>
        </w:rPr>
        <w:t> </w:t>
      </w:r>
      <w:r>
        <w:rPr>
          <w:color w:val="231F20"/>
          <w:w w:val="105"/>
        </w:rPr>
        <w:t>undocumented</w:t>
      </w:r>
      <w:r>
        <w:rPr>
          <w:color w:val="231F20"/>
          <w:spacing w:val="-25"/>
          <w:w w:val="105"/>
        </w:rPr>
        <w:t> </w:t>
      </w:r>
      <w:r>
        <w:rPr>
          <w:color w:val="231F20"/>
          <w:w w:val="105"/>
        </w:rPr>
        <w:t>migrants</w:t>
      </w:r>
      <w:r>
        <w:rPr>
          <w:color w:val="231F20"/>
          <w:spacing w:val="-25"/>
          <w:w w:val="105"/>
        </w:rPr>
        <w:t> </w:t>
      </w:r>
      <w:r>
        <w:rPr>
          <w:color w:val="231F20"/>
          <w:w w:val="105"/>
        </w:rPr>
        <w:t>who</w:t>
      </w:r>
      <w:r>
        <w:rPr>
          <w:color w:val="231F20"/>
          <w:spacing w:val="-25"/>
          <w:w w:val="105"/>
        </w:rPr>
        <w:t> </w:t>
      </w:r>
      <w:r>
        <w:rPr>
          <w:color w:val="231F20"/>
          <w:w w:val="105"/>
        </w:rPr>
        <w:t>are</w:t>
      </w:r>
      <w:r>
        <w:rPr>
          <w:color w:val="231F20"/>
          <w:spacing w:val="-25"/>
          <w:w w:val="105"/>
        </w:rPr>
        <w:t> </w:t>
      </w:r>
      <w:r>
        <w:rPr>
          <w:color w:val="231F20"/>
          <w:w w:val="105"/>
        </w:rPr>
        <w:t>United</w:t>
      </w:r>
      <w:r>
        <w:rPr>
          <w:color w:val="231F20"/>
          <w:spacing w:val="-25"/>
          <w:w w:val="105"/>
        </w:rPr>
        <w:t> </w:t>
      </w:r>
      <w:r>
        <w:rPr>
          <w:color w:val="231F20"/>
          <w:w w:val="105"/>
        </w:rPr>
        <w:t>States</w:t>
      </w:r>
      <w:r>
        <w:rPr>
          <w:color w:val="231F20"/>
          <w:spacing w:val="-25"/>
          <w:w w:val="105"/>
        </w:rPr>
        <w:t> </w:t>
      </w:r>
      <w:r>
        <w:rPr>
          <w:color w:val="231F20"/>
          <w:w w:val="105"/>
        </w:rPr>
        <w:t>citizens</w:t>
      </w:r>
      <w:r>
        <w:rPr>
          <w:color w:val="231F20"/>
          <w:spacing w:val="-25"/>
          <w:w w:val="105"/>
        </w:rPr>
        <w:t> </w:t>
      </w:r>
      <w:r>
        <w:rPr>
          <w:color w:val="231F20"/>
          <w:w w:val="105"/>
        </w:rPr>
        <w:t>are</w:t>
      </w:r>
      <w:r>
        <w:rPr>
          <w:color w:val="231F20"/>
          <w:spacing w:val="-25"/>
          <w:w w:val="105"/>
        </w:rPr>
        <w:t> </w:t>
      </w:r>
      <w:r>
        <w:rPr>
          <w:color w:val="231F20"/>
          <w:w w:val="105"/>
        </w:rPr>
        <w:t>sometimes incorrectly viewed as “illegal” due to their parents’ unauthorized status (Boehm, 2009). Even if the children are recognized as citizens, the fate they</w:t>
      </w:r>
      <w:r>
        <w:rPr>
          <w:color w:val="231F20"/>
          <w:spacing w:val="-16"/>
          <w:w w:val="105"/>
        </w:rPr>
        <w:t> </w:t>
      </w:r>
      <w:r>
        <w:rPr>
          <w:color w:val="231F20"/>
          <w:w w:val="105"/>
        </w:rPr>
        <w:t>face</w:t>
      </w:r>
      <w:r>
        <w:rPr>
          <w:color w:val="231F20"/>
          <w:spacing w:val="-16"/>
          <w:w w:val="105"/>
        </w:rPr>
        <w:t> </w:t>
      </w:r>
      <w:r>
        <w:rPr>
          <w:color w:val="231F20"/>
          <w:w w:val="105"/>
        </w:rPr>
        <w:t>if</w:t>
      </w:r>
      <w:r>
        <w:rPr>
          <w:color w:val="231F20"/>
          <w:spacing w:val="-11"/>
          <w:w w:val="105"/>
        </w:rPr>
        <w:t> </w:t>
      </w:r>
      <w:r>
        <w:rPr>
          <w:color w:val="231F20"/>
          <w:w w:val="105"/>
        </w:rPr>
        <w:t>one</w:t>
      </w:r>
      <w:r>
        <w:rPr>
          <w:color w:val="231F20"/>
          <w:spacing w:val="-16"/>
          <w:w w:val="105"/>
        </w:rPr>
        <w:t> </w:t>
      </w:r>
      <w:r>
        <w:rPr>
          <w:color w:val="231F20"/>
          <w:w w:val="105"/>
        </w:rPr>
        <w:t>or</w:t>
      </w:r>
      <w:r>
        <w:rPr>
          <w:color w:val="231F20"/>
          <w:spacing w:val="-16"/>
          <w:w w:val="105"/>
        </w:rPr>
        <w:t> </w:t>
      </w:r>
      <w:r>
        <w:rPr>
          <w:color w:val="231F20"/>
          <w:w w:val="105"/>
        </w:rPr>
        <w:t>both</w:t>
      </w:r>
      <w:r>
        <w:rPr>
          <w:color w:val="231F20"/>
          <w:spacing w:val="-16"/>
          <w:w w:val="105"/>
        </w:rPr>
        <w:t> </w:t>
      </w:r>
      <w:r>
        <w:rPr>
          <w:color w:val="231F20"/>
          <w:w w:val="105"/>
        </w:rPr>
        <w:t>undocumented</w:t>
      </w:r>
      <w:r>
        <w:rPr>
          <w:color w:val="231F20"/>
          <w:spacing w:val="-16"/>
          <w:w w:val="105"/>
        </w:rPr>
        <w:t> </w:t>
      </w:r>
      <w:r>
        <w:rPr>
          <w:color w:val="231F20"/>
          <w:w w:val="105"/>
        </w:rPr>
        <w:t>parents</w:t>
      </w:r>
      <w:r>
        <w:rPr>
          <w:color w:val="231F20"/>
          <w:spacing w:val="-16"/>
          <w:w w:val="105"/>
        </w:rPr>
        <w:t> </w:t>
      </w:r>
      <w:r>
        <w:rPr>
          <w:color w:val="231F20"/>
          <w:w w:val="105"/>
        </w:rPr>
        <w:t>are</w:t>
      </w:r>
      <w:r>
        <w:rPr>
          <w:color w:val="231F20"/>
          <w:spacing w:val="-16"/>
          <w:w w:val="105"/>
        </w:rPr>
        <w:t> </w:t>
      </w:r>
      <w:r>
        <w:rPr>
          <w:color w:val="231F20"/>
          <w:w w:val="105"/>
        </w:rPr>
        <w:t>deported</w:t>
      </w:r>
      <w:r>
        <w:rPr>
          <w:color w:val="231F20"/>
          <w:spacing w:val="-16"/>
          <w:w w:val="105"/>
        </w:rPr>
        <w:t> </w:t>
      </w:r>
      <w:r>
        <w:rPr>
          <w:color w:val="231F20"/>
          <w:w w:val="105"/>
        </w:rPr>
        <w:t>can</w:t>
      </w:r>
      <w:r>
        <w:rPr>
          <w:color w:val="231F20"/>
          <w:spacing w:val="-16"/>
          <w:w w:val="105"/>
        </w:rPr>
        <w:t> </w:t>
      </w:r>
      <w:r>
        <w:rPr>
          <w:color w:val="231F20"/>
          <w:w w:val="105"/>
        </w:rPr>
        <w:t>result</w:t>
      </w:r>
      <w:r>
        <w:rPr>
          <w:color w:val="231F20"/>
          <w:spacing w:val="-16"/>
          <w:w w:val="105"/>
        </w:rPr>
        <w:t> </w:t>
      </w:r>
      <w:r>
        <w:rPr>
          <w:color w:val="231F20"/>
          <w:w w:val="105"/>
        </w:rPr>
        <w:t>in negative schooling outcomes. The children of undocumented migrants are often forced to grow up without their parents involved in their lives which</w:t>
      </w:r>
      <w:r>
        <w:rPr>
          <w:color w:val="231F20"/>
          <w:spacing w:val="-11"/>
          <w:w w:val="105"/>
        </w:rPr>
        <w:t> </w:t>
      </w:r>
      <w:r>
        <w:rPr>
          <w:color w:val="231F20"/>
          <w:w w:val="105"/>
        </w:rPr>
        <w:t>has</w:t>
      </w:r>
      <w:r>
        <w:rPr>
          <w:color w:val="231F20"/>
          <w:spacing w:val="-11"/>
          <w:w w:val="105"/>
        </w:rPr>
        <w:t> </w:t>
      </w:r>
      <w:r>
        <w:rPr>
          <w:color w:val="231F20"/>
          <w:w w:val="105"/>
        </w:rPr>
        <w:t>been</w:t>
      </w:r>
      <w:r>
        <w:rPr>
          <w:color w:val="231F20"/>
          <w:spacing w:val="-11"/>
          <w:w w:val="105"/>
        </w:rPr>
        <w:t> </w:t>
      </w:r>
      <w:r>
        <w:rPr>
          <w:color w:val="231F20"/>
          <w:w w:val="105"/>
        </w:rPr>
        <w:t>tied</w:t>
      </w:r>
      <w:r>
        <w:rPr>
          <w:color w:val="231F20"/>
          <w:spacing w:val="-11"/>
          <w:w w:val="105"/>
        </w:rPr>
        <w:t> </w:t>
      </w:r>
      <w:r>
        <w:rPr>
          <w:color w:val="231F20"/>
          <w:w w:val="105"/>
        </w:rPr>
        <w:t>to</w:t>
      </w:r>
      <w:r>
        <w:rPr>
          <w:color w:val="231F20"/>
          <w:spacing w:val="-11"/>
          <w:w w:val="105"/>
        </w:rPr>
        <w:t> </w:t>
      </w:r>
      <w:r>
        <w:rPr>
          <w:color w:val="231F20"/>
          <w:w w:val="105"/>
        </w:rPr>
        <w:t>poor</w:t>
      </w:r>
      <w:r>
        <w:rPr>
          <w:color w:val="231F20"/>
          <w:spacing w:val="-11"/>
          <w:w w:val="105"/>
        </w:rPr>
        <w:t> </w:t>
      </w:r>
      <w:r>
        <w:rPr>
          <w:color w:val="231F20"/>
          <w:w w:val="105"/>
        </w:rPr>
        <w:t>academic</w:t>
      </w:r>
      <w:r>
        <w:rPr>
          <w:color w:val="231F20"/>
          <w:spacing w:val="-11"/>
          <w:w w:val="105"/>
        </w:rPr>
        <w:t> </w:t>
      </w:r>
      <w:r>
        <w:rPr>
          <w:color w:val="231F20"/>
          <w:w w:val="105"/>
        </w:rPr>
        <w:t>achievement.</w:t>
      </w:r>
      <w:r>
        <w:rPr>
          <w:color w:val="231F20"/>
          <w:spacing w:val="-20"/>
          <w:w w:val="105"/>
        </w:rPr>
        <w:t> </w:t>
      </w:r>
      <w:r>
        <w:rPr>
          <w:color w:val="231F20"/>
          <w:w w:val="105"/>
        </w:rPr>
        <w:t>A</w:t>
      </w:r>
      <w:r>
        <w:rPr>
          <w:color w:val="231F20"/>
          <w:spacing w:val="-15"/>
          <w:w w:val="105"/>
        </w:rPr>
        <w:t> </w:t>
      </w:r>
      <w:r>
        <w:rPr>
          <w:color w:val="231F20"/>
          <w:w w:val="105"/>
        </w:rPr>
        <w:t>similar</w:t>
      </w:r>
      <w:r>
        <w:rPr>
          <w:color w:val="231F20"/>
          <w:spacing w:val="-11"/>
          <w:w w:val="105"/>
        </w:rPr>
        <w:t> </w:t>
      </w:r>
      <w:r>
        <w:rPr>
          <w:color w:val="231F20"/>
          <w:w w:val="105"/>
        </w:rPr>
        <w:t>impact</w:t>
      </w:r>
      <w:r>
        <w:rPr>
          <w:color w:val="231F20"/>
          <w:spacing w:val="-11"/>
          <w:w w:val="105"/>
        </w:rPr>
        <w:t> </w:t>
      </w:r>
      <w:r>
        <w:rPr>
          <w:color w:val="231F20"/>
          <w:w w:val="105"/>
        </w:rPr>
        <w:t>oc- curs when one or more siblings are United States citizens, while other siblings</w:t>
      </w:r>
      <w:r>
        <w:rPr>
          <w:color w:val="231F20"/>
          <w:spacing w:val="-5"/>
          <w:w w:val="105"/>
        </w:rPr>
        <w:t> </w:t>
      </w:r>
      <w:r>
        <w:rPr>
          <w:color w:val="231F20"/>
          <w:w w:val="105"/>
        </w:rPr>
        <w:t>are</w:t>
      </w:r>
      <w:r>
        <w:rPr>
          <w:color w:val="231F20"/>
          <w:spacing w:val="-5"/>
          <w:w w:val="105"/>
        </w:rPr>
        <w:t> </w:t>
      </w:r>
      <w:r>
        <w:rPr>
          <w:color w:val="231F20"/>
          <w:w w:val="105"/>
        </w:rPr>
        <w:t>not.</w:t>
      </w:r>
      <w:r>
        <w:rPr>
          <w:color w:val="231F20"/>
          <w:spacing w:val="-16"/>
          <w:w w:val="105"/>
        </w:rPr>
        <w:t> </w:t>
      </w:r>
      <w:r>
        <w:rPr>
          <w:color w:val="231F20"/>
          <w:spacing w:val="-11"/>
          <w:w w:val="105"/>
        </w:rPr>
        <w:t>To</w:t>
      </w:r>
      <w:r>
        <w:rPr>
          <w:color w:val="231F20"/>
          <w:spacing w:val="-5"/>
          <w:w w:val="105"/>
        </w:rPr>
        <w:t> </w:t>
      </w:r>
      <w:r>
        <w:rPr>
          <w:color w:val="231F20"/>
          <w:w w:val="105"/>
        </w:rPr>
        <w:t>illustrate</w:t>
      </w:r>
      <w:r>
        <w:rPr>
          <w:color w:val="231F20"/>
          <w:spacing w:val="-5"/>
          <w:w w:val="105"/>
        </w:rPr>
        <w:t> </w:t>
      </w:r>
      <w:r>
        <w:rPr>
          <w:color w:val="231F20"/>
          <w:w w:val="105"/>
        </w:rPr>
        <w:t>this</w:t>
      </w:r>
      <w:r>
        <w:rPr>
          <w:color w:val="231F20"/>
          <w:spacing w:val="-5"/>
          <w:w w:val="105"/>
        </w:rPr>
        <w:t> </w:t>
      </w:r>
      <w:r>
        <w:rPr>
          <w:color w:val="231F20"/>
          <w:w w:val="105"/>
        </w:rPr>
        <w:t>point</w:t>
      </w:r>
      <w:r>
        <w:rPr>
          <w:color w:val="231F20"/>
          <w:spacing w:val="-5"/>
          <w:w w:val="105"/>
        </w:rPr>
        <w:t> </w:t>
      </w:r>
      <w:r>
        <w:rPr>
          <w:color w:val="231F20"/>
          <w:w w:val="105"/>
        </w:rPr>
        <w:t>more</w:t>
      </w:r>
      <w:r>
        <w:rPr>
          <w:color w:val="231F20"/>
          <w:spacing w:val="-5"/>
          <w:w w:val="105"/>
        </w:rPr>
        <w:t> </w:t>
      </w:r>
      <w:r>
        <w:rPr>
          <w:color w:val="231F20"/>
          <w:w w:val="105"/>
        </w:rPr>
        <w:t>concretely,</w:t>
      </w:r>
      <w:r>
        <w:rPr>
          <w:color w:val="231F20"/>
          <w:spacing w:val="-11"/>
          <w:w w:val="105"/>
        </w:rPr>
        <w:t> </w:t>
      </w:r>
      <w:r>
        <w:rPr>
          <w:color w:val="231F20"/>
          <w:w w:val="105"/>
        </w:rPr>
        <w:t>a</w:t>
      </w:r>
      <w:r>
        <w:rPr>
          <w:color w:val="231F20"/>
          <w:spacing w:val="-5"/>
          <w:w w:val="105"/>
        </w:rPr>
        <w:t> </w:t>
      </w:r>
      <w:r>
        <w:rPr>
          <w:color w:val="231F20"/>
          <w:w w:val="105"/>
        </w:rPr>
        <w:t>sibling</w:t>
      </w:r>
      <w:r>
        <w:rPr>
          <w:color w:val="231F20"/>
          <w:spacing w:val="-5"/>
          <w:w w:val="105"/>
        </w:rPr>
        <w:t> </w:t>
      </w:r>
      <w:r>
        <w:rPr>
          <w:color w:val="231F20"/>
          <w:w w:val="105"/>
        </w:rPr>
        <w:t>without “papers” cannot visit family in Mexico for fear of discovery and eventual deportation,</w:t>
      </w:r>
      <w:r>
        <w:rPr>
          <w:color w:val="231F20"/>
          <w:spacing w:val="-19"/>
          <w:w w:val="105"/>
        </w:rPr>
        <w:t> </w:t>
      </w:r>
      <w:r>
        <w:rPr>
          <w:color w:val="231F20"/>
          <w:w w:val="105"/>
        </w:rPr>
        <w:t>even</w:t>
      </w:r>
      <w:r>
        <w:rPr>
          <w:color w:val="231F20"/>
          <w:spacing w:val="-12"/>
          <w:w w:val="105"/>
        </w:rPr>
        <w:t> </w:t>
      </w:r>
      <w:r>
        <w:rPr>
          <w:color w:val="231F20"/>
          <w:w w:val="105"/>
        </w:rPr>
        <w:t>in</w:t>
      </w:r>
      <w:r>
        <w:rPr>
          <w:color w:val="231F20"/>
          <w:spacing w:val="-12"/>
          <w:w w:val="105"/>
        </w:rPr>
        <w:t> </w:t>
      </w:r>
      <w:r>
        <w:rPr>
          <w:color w:val="231F20"/>
          <w:w w:val="105"/>
        </w:rPr>
        <w:t>the</w:t>
      </w:r>
      <w:r>
        <w:rPr>
          <w:color w:val="231F20"/>
          <w:spacing w:val="-12"/>
          <w:w w:val="105"/>
        </w:rPr>
        <w:t> </w:t>
      </w:r>
      <w:r>
        <w:rPr>
          <w:color w:val="231F20"/>
          <w:w w:val="105"/>
        </w:rPr>
        <w:t>case</w:t>
      </w:r>
      <w:r>
        <w:rPr>
          <w:color w:val="231F20"/>
          <w:spacing w:val="-12"/>
          <w:w w:val="105"/>
        </w:rPr>
        <w:t> </w:t>
      </w:r>
      <w:r>
        <w:rPr>
          <w:color w:val="231F20"/>
          <w:w w:val="105"/>
        </w:rPr>
        <w:t>of</w:t>
      </w:r>
      <w:r>
        <w:rPr>
          <w:color w:val="231F20"/>
          <w:spacing w:val="-7"/>
          <w:w w:val="105"/>
        </w:rPr>
        <w:t> </w:t>
      </w:r>
      <w:r>
        <w:rPr>
          <w:color w:val="231F20"/>
          <w:w w:val="105"/>
        </w:rPr>
        <w:t>a</w:t>
      </w:r>
      <w:r>
        <w:rPr>
          <w:color w:val="231F20"/>
          <w:spacing w:val="-12"/>
          <w:w w:val="105"/>
        </w:rPr>
        <w:t> </w:t>
      </w:r>
      <w:r>
        <w:rPr>
          <w:color w:val="231F20"/>
          <w:w w:val="105"/>
        </w:rPr>
        <w:t>death</w:t>
      </w:r>
      <w:r>
        <w:rPr>
          <w:color w:val="231F20"/>
          <w:spacing w:val="-12"/>
          <w:w w:val="105"/>
        </w:rPr>
        <w:t> </w:t>
      </w:r>
      <w:r>
        <w:rPr>
          <w:color w:val="231F20"/>
          <w:w w:val="105"/>
        </w:rPr>
        <w:t>in</w:t>
      </w:r>
      <w:r>
        <w:rPr>
          <w:color w:val="231F20"/>
          <w:spacing w:val="-12"/>
          <w:w w:val="105"/>
        </w:rPr>
        <w:t> </w:t>
      </w:r>
      <w:r>
        <w:rPr>
          <w:color w:val="231F20"/>
          <w:w w:val="105"/>
        </w:rPr>
        <w:t>the</w:t>
      </w:r>
      <w:r>
        <w:rPr>
          <w:color w:val="231F20"/>
          <w:spacing w:val="-12"/>
          <w:w w:val="105"/>
        </w:rPr>
        <w:t> </w:t>
      </w:r>
      <w:r>
        <w:rPr>
          <w:color w:val="231F20"/>
          <w:w w:val="105"/>
        </w:rPr>
        <w:t>family,</w:t>
      </w:r>
      <w:r>
        <w:rPr>
          <w:color w:val="231F20"/>
          <w:spacing w:val="-19"/>
          <w:w w:val="105"/>
        </w:rPr>
        <w:t> </w:t>
      </w:r>
      <w:r>
        <w:rPr>
          <w:color w:val="231F20"/>
          <w:w w:val="105"/>
        </w:rPr>
        <w:t>and</w:t>
      </w:r>
      <w:r>
        <w:rPr>
          <w:color w:val="231F20"/>
          <w:spacing w:val="-12"/>
          <w:w w:val="105"/>
        </w:rPr>
        <w:t> </w:t>
      </w:r>
      <w:r>
        <w:rPr>
          <w:color w:val="231F20"/>
          <w:w w:val="105"/>
        </w:rPr>
        <w:t>may</w:t>
      </w:r>
      <w:r>
        <w:rPr>
          <w:color w:val="231F20"/>
          <w:spacing w:val="-12"/>
          <w:w w:val="105"/>
        </w:rPr>
        <w:t> </w:t>
      </w:r>
      <w:r>
        <w:rPr>
          <w:color w:val="231F20"/>
          <w:w w:val="105"/>
        </w:rPr>
        <w:t>be</w:t>
      </w:r>
      <w:r>
        <w:rPr>
          <w:color w:val="231F20"/>
          <w:spacing w:val="-12"/>
          <w:w w:val="105"/>
        </w:rPr>
        <w:t> </w:t>
      </w:r>
      <w:r>
        <w:rPr>
          <w:color w:val="231F20"/>
          <w:w w:val="105"/>
        </w:rPr>
        <w:t>denied access</w:t>
      </w:r>
      <w:r>
        <w:rPr>
          <w:color w:val="231F20"/>
          <w:spacing w:val="-33"/>
          <w:w w:val="105"/>
        </w:rPr>
        <w:t> </w:t>
      </w:r>
      <w:r>
        <w:rPr>
          <w:color w:val="231F20"/>
          <w:w w:val="105"/>
        </w:rPr>
        <w:t>to</w:t>
      </w:r>
      <w:r>
        <w:rPr>
          <w:color w:val="231F20"/>
          <w:spacing w:val="-33"/>
          <w:w w:val="105"/>
        </w:rPr>
        <w:t> </w:t>
      </w:r>
      <w:r>
        <w:rPr>
          <w:color w:val="231F20"/>
          <w:w w:val="105"/>
        </w:rPr>
        <w:t>resources</w:t>
      </w:r>
      <w:r>
        <w:rPr>
          <w:color w:val="231F20"/>
          <w:spacing w:val="-33"/>
          <w:w w:val="105"/>
        </w:rPr>
        <w:t> </w:t>
      </w:r>
      <w:r>
        <w:rPr>
          <w:color w:val="231F20"/>
          <w:w w:val="105"/>
        </w:rPr>
        <w:t>available</w:t>
      </w:r>
      <w:r>
        <w:rPr>
          <w:color w:val="231F20"/>
          <w:spacing w:val="-33"/>
          <w:w w:val="105"/>
        </w:rPr>
        <w:t> </w:t>
      </w:r>
      <w:r>
        <w:rPr>
          <w:color w:val="231F20"/>
          <w:w w:val="105"/>
        </w:rPr>
        <w:t>to</w:t>
      </w:r>
      <w:r>
        <w:rPr>
          <w:color w:val="231F20"/>
          <w:spacing w:val="-33"/>
          <w:w w:val="105"/>
        </w:rPr>
        <w:t> </w:t>
      </w:r>
      <w:r>
        <w:rPr>
          <w:color w:val="231F20"/>
          <w:w w:val="105"/>
        </w:rPr>
        <w:t>United</w:t>
      </w:r>
      <w:r>
        <w:rPr>
          <w:color w:val="231F20"/>
          <w:spacing w:val="-33"/>
          <w:w w:val="105"/>
        </w:rPr>
        <w:t> </w:t>
      </w:r>
      <w:r>
        <w:rPr>
          <w:color w:val="231F20"/>
          <w:w w:val="105"/>
        </w:rPr>
        <w:t>States</w:t>
      </w:r>
      <w:r>
        <w:rPr>
          <w:color w:val="231F20"/>
          <w:spacing w:val="-33"/>
          <w:w w:val="105"/>
        </w:rPr>
        <w:t> </w:t>
      </w:r>
      <w:r>
        <w:rPr>
          <w:color w:val="231F20"/>
          <w:w w:val="105"/>
        </w:rPr>
        <w:t>citizen</w:t>
      </w:r>
      <w:r>
        <w:rPr>
          <w:color w:val="231F20"/>
          <w:spacing w:val="-33"/>
          <w:w w:val="105"/>
        </w:rPr>
        <w:t> </w:t>
      </w:r>
      <w:r>
        <w:rPr>
          <w:color w:val="231F20"/>
          <w:w w:val="105"/>
        </w:rPr>
        <w:t>brothers</w:t>
      </w:r>
      <w:r>
        <w:rPr>
          <w:color w:val="231F20"/>
          <w:spacing w:val="-33"/>
          <w:w w:val="105"/>
        </w:rPr>
        <w:t> </w:t>
      </w:r>
      <w:r>
        <w:rPr>
          <w:color w:val="231F20"/>
          <w:w w:val="105"/>
        </w:rPr>
        <w:t>and</w:t>
      </w:r>
      <w:r>
        <w:rPr>
          <w:color w:val="231F20"/>
          <w:spacing w:val="-33"/>
          <w:w w:val="105"/>
        </w:rPr>
        <w:t> </w:t>
      </w:r>
      <w:r>
        <w:rPr>
          <w:color w:val="231F20"/>
          <w:w w:val="105"/>
        </w:rPr>
        <w:t>sisters. Undocumented</w:t>
      </w:r>
      <w:r>
        <w:rPr>
          <w:color w:val="231F20"/>
          <w:spacing w:val="-5"/>
          <w:w w:val="105"/>
        </w:rPr>
        <w:t> </w:t>
      </w:r>
      <w:r>
        <w:rPr>
          <w:color w:val="231F20"/>
          <w:w w:val="105"/>
        </w:rPr>
        <w:t>children</w:t>
      </w:r>
      <w:r>
        <w:rPr>
          <w:color w:val="231F20"/>
          <w:spacing w:val="-5"/>
          <w:w w:val="105"/>
        </w:rPr>
        <w:t> </w:t>
      </w:r>
      <w:r>
        <w:rPr>
          <w:color w:val="231F20"/>
          <w:w w:val="105"/>
        </w:rPr>
        <w:t>may</w:t>
      </w:r>
      <w:r>
        <w:rPr>
          <w:color w:val="231F20"/>
          <w:spacing w:val="-5"/>
          <w:w w:val="105"/>
        </w:rPr>
        <w:t> </w:t>
      </w:r>
      <w:r>
        <w:rPr>
          <w:color w:val="231F20"/>
          <w:w w:val="105"/>
        </w:rPr>
        <w:t>live</w:t>
      </w:r>
      <w:r>
        <w:rPr>
          <w:color w:val="231F20"/>
          <w:spacing w:val="-5"/>
          <w:w w:val="105"/>
        </w:rPr>
        <w:t> </w:t>
      </w:r>
      <w:r>
        <w:rPr>
          <w:color w:val="231F20"/>
          <w:w w:val="105"/>
        </w:rPr>
        <w:t>in</w:t>
      </w:r>
      <w:r>
        <w:rPr>
          <w:color w:val="231F20"/>
          <w:spacing w:val="-5"/>
          <w:w w:val="105"/>
        </w:rPr>
        <w:t> </w:t>
      </w:r>
      <w:r>
        <w:rPr>
          <w:color w:val="231F20"/>
          <w:w w:val="105"/>
        </w:rPr>
        <w:t>constant</w:t>
      </w:r>
      <w:r>
        <w:rPr>
          <w:color w:val="231F20"/>
          <w:spacing w:val="-5"/>
          <w:w w:val="105"/>
        </w:rPr>
        <w:t> </w:t>
      </w:r>
      <w:r>
        <w:rPr>
          <w:color w:val="231F20"/>
          <w:w w:val="105"/>
        </w:rPr>
        <w:t>stress</w:t>
      </w:r>
      <w:r>
        <w:rPr>
          <w:color w:val="231F20"/>
          <w:spacing w:val="-5"/>
          <w:w w:val="105"/>
        </w:rPr>
        <w:t> </w:t>
      </w:r>
      <w:r>
        <w:rPr>
          <w:color w:val="231F20"/>
          <w:w w:val="105"/>
        </w:rPr>
        <w:t>and</w:t>
      </w:r>
      <w:r>
        <w:rPr>
          <w:color w:val="231F20"/>
          <w:spacing w:val="-5"/>
          <w:w w:val="105"/>
        </w:rPr>
        <w:t> </w:t>
      </w:r>
      <w:r>
        <w:rPr>
          <w:color w:val="231F20"/>
          <w:w w:val="105"/>
        </w:rPr>
        <w:t>fear</w:t>
      </w:r>
      <w:r>
        <w:rPr>
          <w:color w:val="231F20"/>
          <w:spacing w:val="-5"/>
          <w:w w:val="105"/>
        </w:rPr>
        <w:t> </w:t>
      </w:r>
      <w:r>
        <w:rPr>
          <w:color w:val="231F20"/>
          <w:w w:val="105"/>
        </w:rPr>
        <w:t>of</w:t>
      </w:r>
      <w:r>
        <w:rPr>
          <w:color w:val="231F20"/>
          <w:spacing w:val="-1"/>
          <w:w w:val="105"/>
        </w:rPr>
        <w:t> </w:t>
      </w:r>
      <w:r>
        <w:rPr>
          <w:color w:val="231F20"/>
          <w:w w:val="105"/>
        </w:rPr>
        <w:t>deporta- tion</w:t>
      </w:r>
      <w:r>
        <w:rPr>
          <w:color w:val="231F20"/>
          <w:spacing w:val="-13"/>
          <w:w w:val="105"/>
        </w:rPr>
        <w:t> </w:t>
      </w:r>
      <w:r>
        <w:rPr>
          <w:color w:val="231F20"/>
          <w:w w:val="105"/>
        </w:rPr>
        <w:t>which</w:t>
      </w:r>
      <w:r>
        <w:rPr>
          <w:color w:val="231F20"/>
          <w:spacing w:val="-13"/>
          <w:w w:val="105"/>
        </w:rPr>
        <w:t> </w:t>
      </w:r>
      <w:r>
        <w:rPr>
          <w:color w:val="231F20"/>
          <w:w w:val="105"/>
        </w:rPr>
        <w:t>can</w:t>
      </w:r>
      <w:r>
        <w:rPr>
          <w:color w:val="231F20"/>
          <w:spacing w:val="-13"/>
          <w:w w:val="105"/>
        </w:rPr>
        <w:t> </w:t>
      </w:r>
      <w:r>
        <w:rPr>
          <w:color w:val="231F20"/>
          <w:w w:val="105"/>
        </w:rPr>
        <w:t>also</w:t>
      </w:r>
      <w:r>
        <w:rPr>
          <w:color w:val="231F20"/>
          <w:spacing w:val="-13"/>
          <w:w w:val="105"/>
        </w:rPr>
        <w:t> </w:t>
      </w:r>
      <w:r>
        <w:rPr>
          <w:color w:val="231F20"/>
          <w:w w:val="105"/>
        </w:rPr>
        <w:t>produce</w:t>
      </w:r>
      <w:r>
        <w:rPr>
          <w:color w:val="231F20"/>
          <w:spacing w:val="-13"/>
          <w:w w:val="105"/>
        </w:rPr>
        <w:t> </w:t>
      </w:r>
      <w:r>
        <w:rPr>
          <w:color w:val="231F20"/>
          <w:w w:val="105"/>
        </w:rPr>
        <w:t>negative</w:t>
      </w:r>
      <w:r>
        <w:rPr>
          <w:color w:val="231F20"/>
          <w:spacing w:val="-13"/>
          <w:w w:val="105"/>
        </w:rPr>
        <w:t> </w:t>
      </w:r>
      <w:r>
        <w:rPr>
          <w:color w:val="231F20"/>
          <w:w w:val="105"/>
        </w:rPr>
        <w:t>educational</w:t>
      </w:r>
      <w:r>
        <w:rPr>
          <w:color w:val="231F20"/>
          <w:spacing w:val="-13"/>
          <w:w w:val="105"/>
        </w:rPr>
        <w:t> </w:t>
      </w:r>
      <w:r>
        <w:rPr>
          <w:color w:val="231F20"/>
          <w:w w:val="105"/>
        </w:rPr>
        <w:t>outcomes.</w:t>
      </w:r>
    </w:p>
    <w:p>
      <w:pPr>
        <w:pStyle w:val="BodyText"/>
        <w:spacing w:line="261" w:lineRule="auto" w:before="1"/>
        <w:ind w:left="1837" w:right="1715" w:firstLine="567"/>
        <w:jc w:val="both"/>
      </w:pPr>
      <w:r>
        <w:rPr>
          <w:color w:val="231F20"/>
          <w:spacing w:val="-3"/>
          <w:w w:val="105"/>
        </w:rPr>
        <w:t>Capps</w:t>
      </w:r>
      <w:r>
        <w:rPr>
          <w:color w:val="231F20"/>
          <w:spacing w:val="-12"/>
          <w:w w:val="105"/>
        </w:rPr>
        <w:t> </w:t>
      </w:r>
      <w:r>
        <w:rPr>
          <w:color w:val="231F20"/>
          <w:w w:val="105"/>
        </w:rPr>
        <w:t>and</w:t>
      </w:r>
      <w:r>
        <w:rPr>
          <w:color w:val="231F20"/>
          <w:spacing w:val="-12"/>
          <w:w w:val="105"/>
        </w:rPr>
        <w:t> </w:t>
      </w:r>
      <w:r>
        <w:rPr>
          <w:color w:val="231F20"/>
          <w:spacing w:val="-4"/>
          <w:w w:val="105"/>
        </w:rPr>
        <w:t>Fortuny</w:t>
      </w:r>
      <w:r>
        <w:rPr>
          <w:color w:val="231F20"/>
          <w:spacing w:val="-12"/>
          <w:w w:val="105"/>
        </w:rPr>
        <w:t> </w:t>
      </w:r>
      <w:r>
        <w:rPr>
          <w:color w:val="231F20"/>
          <w:w w:val="105"/>
        </w:rPr>
        <w:t>(2006)</w:t>
      </w:r>
      <w:r>
        <w:rPr>
          <w:color w:val="231F20"/>
          <w:spacing w:val="-12"/>
          <w:w w:val="105"/>
        </w:rPr>
        <w:t> </w:t>
      </w:r>
      <w:r>
        <w:rPr>
          <w:color w:val="231F20"/>
          <w:w w:val="105"/>
        </w:rPr>
        <w:t>estimated</w:t>
      </w:r>
      <w:r>
        <w:rPr>
          <w:color w:val="231F20"/>
          <w:spacing w:val="-12"/>
          <w:w w:val="105"/>
        </w:rPr>
        <w:t> </w:t>
      </w:r>
      <w:r>
        <w:rPr>
          <w:color w:val="231F20"/>
          <w:w w:val="105"/>
        </w:rPr>
        <w:t>that</w:t>
      </w:r>
      <w:r>
        <w:rPr>
          <w:color w:val="231F20"/>
          <w:spacing w:val="-12"/>
          <w:w w:val="105"/>
        </w:rPr>
        <w:t> </w:t>
      </w:r>
      <w:r>
        <w:rPr>
          <w:color w:val="231F20"/>
          <w:spacing w:val="-3"/>
          <w:w w:val="105"/>
        </w:rPr>
        <w:t>more</w:t>
      </w:r>
      <w:r>
        <w:rPr>
          <w:color w:val="231F20"/>
          <w:spacing w:val="-12"/>
          <w:w w:val="105"/>
        </w:rPr>
        <w:t> </w:t>
      </w:r>
      <w:r>
        <w:rPr>
          <w:color w:val="231F20"/>
          <w:w w:val="105"/>
        </w:rPr>
        <w:t>than</w:t>
      </w:r>
      <w:r>
        <w:rPr>
          <w:color w:val="231F20"/>
          <w:spacing w:val="-12"/>
          <w:w w:val="105"/>
        </w:rPr>
        <w:t> </w:t>
      </w:r>
      <w:r>
        <w:rPr>
          <w:color w:val="231F20"/>
          <w:spacing w:val="-3"/>
          <w:w w:val="105"/>
        </w:rPr>
        <w:t>three-quarters </w:t>
      </w:r>
      <w:r>
        <w:rPr>
          <w:color w:val="231F20"/>
          <w:w w:val="105"/>
        </w:rPr>
        <w:t>of </w:t>
      </w:r>
      <w:r>
        <w:rPr>
          <w:color w:val="231F20"/>
          <w:spacing w:val="-3"/>
          <w:w w:val="105"/>
        </w:rPr>
        <w:t>children </w:t>
      </w:r>
      <w:r>
        <w:rPr>
          <w:color w:val="231F20"/>
          <w:w w:val="105"/>
        </w:rPr>
        <w:t>of immigrants living in the United </w:t>
      </w:r>
      <w:r>
        <w:rPr>
          <w:color w:val="231F20"/>
          <w:spacing w:val="-3"/>
          <w:w w:val="105"/>
        </w:rPr>
        <w:t>States are </w:t>
      </w:r>
      <w:r>
        <w:rPr>
          <w:color w:val="231F20"/>
          <w:w w:val="105"/>
        </w:rPr>
        <w:t>United </w:t>
      </w:r>
      <w:r>
        <w:rPr>
          <w:color w:val="231F20"/>
          <w:spacing w:val="-3"/>
          <w:w w:val="105"/>
        </w:rPr>
        <w:t>States </w:t>
      </w:r>
      <w:r>
        <w:rPr>
          <w:color w:val="231F20"/>
          <w:w w:val="105"/>
        </w:rPr>
        <w:t>ci- tizens and </w:t>
      </w:r>
      <w:r>
        <w:rPr>
          <w:color w:val="231F20"/>
          <w:spacing w:val="-3"/>
          <w:w w:val="105"/>
        </w:rPr>
        <w:t>one-third </w:t>
      </w:r>
      <w:r>
        <w:rPr>
          <w:color w:val="231F20"/>
          <w:w w:val="105"/>
        </w:rPr>
        <w:t>live in </w:t>
      </w:r>
      <w:r>
        <w:rPr>
          <w:color w:val="231F20"/>
          <w:spacing w:val="-3"/>
          <w:w w:val="105"/>
        </w:rPr>
        <w:t>mixed-status </w:t>
      </w:r>
      <w:r>
        <w:rPr>
          <w:color w:val="231F20"/>
          <w:w w:val="105"/>
        </w:rPr>
        <w:t>families. Many </w:t>
      </w:r>
      <w:r>
        <w:rPr>
          <w:color w:val="231F20"/>
          <w:spacing w:val="-3"/>
          <w:w w:val="105"/>
        </w:rPr>
        <w:t>children </w:t>
      </w:r>
      <w:r>
        <w:rPr>
          <w:color w:val="231F20"/>
          <w:w w:val="105"/>
        </w:rPr>
        <w:t>living in </w:t>
      </w:r>
      <w:r>
        <w:rPr>
          <w:color w:val="231F20"/>
          <w:spacing w:val="-3"/>
          <w:w w:val="105"/>
        </w:rPr>
        <w:t>mixed-status</w:t>
      </w:r>
      <w:r>
        <w:rPr>
          <w:color w:val="231F20"/>
          <w:spacing w:val="-27"/>
          <w:w w:val="105"/>
        </w:rPr>
        <w:t> </w:t>
      </w:r>
      <w:r>
        <w:rPr>
          <w:color w:val="231F20"/>
          <w:w w:val="105"/>
        </w:rPr>
        <w:t>families</w:t>
      </w:r>
      <w:r>
        <w:rPr>
          <w:color w:val="231F20"/>
          <w:spacing w:val="-27"/>
          <w:w w:val="105"/>
        </w:rPr>
        <w:t> </w:t>
      </w:r>
      <w:r>
        <w:rPr>
          <w:color w:val="231F20"/>
          <w:w w:val="105"/>
        </w:rPr>
        <w:t>may</w:t>
      </w:r>
      <w:r>
        <w:rPr>
          <w:color w:val="231F20"/>
          <w:spacing w:val="-27"/>
          <w:w w:val="105"/>
        </w:rPr>
        <w:t> </w:t>
      </w:r>
      <w:r>
        <w:rPr>
          <w:color w:val="231F20"/>
          <w:w w:val="105"/>
        </w:rPr>
        <w:t>be</w:t>
      </w:r>
      <w:r>
        <w:rPr>
          <w:color w:val="231F20"/>
          <w:spacing w:val="-27"/>
          <w:w w:val="105"/>
        </w:rPr>
        <w:t> </w:t>
      </w:r>
      <w:r>
        <w:rPr>
          <w:color w:val="231F20"/>
          <w:w w:val="105"/>
        </w:rPr>
        <w:t>eligible</w:t>
      </w:r>
      <w:r>
        <w:rPr>
          <w:color w:val="231F20"/>
          <w:spacing w:val="-27"/>
          <w:w w:val="105"/>
        </w:rPr>
        <w:t> </w:t>
      </w:r>
      <w:r>
        <w:rPr>
          <w:color w:val="231F20"/>
          <w:w w:val="105"/>
        </w:rPr>
        <w:t>for</w:t>
      </w:r>
      <w:r>
        <w:rPr>
          <w:color w:val="231F20"/>
          <w:spacing w:val="-27"/>
          <w:w w:val="105"/>
        </w:rPr>
        <w:t> </w:t>
      </w:r>
      <w:r>
        <w:rPr>
          <w:color w:val="231F20"/>
          <w:spacing w:val="-4"/>
          <w:w w:val="105"/>
        </w:rPr>
        <w:t>President</w:t>
      </w:r>
      <w:r>
        <w:rPr>
          <w:color w:val="231F20"/>
          <w:spacing w:val="-27"/>
          <w:w w:val="105"/>
        </w:rPr>
        <w:t> </w:t>
      </w:r>
      <w:r>
        <w:rPr>
          <w:color w:val="231F20"/>
          <w:spacing w:val="-4"/>
          <w:w w:val="105"/>
        </w:rPr>
        <w:t>Obama’s</w:t>
      </w:r>
      <w:r>
        <w:rPr>
          <w:color w:val="231F20"/>
          <w:spacing w:val="-27"/>
          <w:w w:val="105"/>
        </w:rPr>
        <w:t> </w:t>
      </w:r>
      <w:r>
        <w:rPr>
          <w:color w:val="231F20"/>
          <w:w w:val="105"/>
        </w:rPr>
        <w:t>Executive</w:t>
      </w:r>
      <w:r>
        <w:rPr>
          <w:color w:val="231F20"/>
          <w:spacing w:val="-27"/>
          <w:w w:val="105"/>
        </w:rPr>
        <w:t> </w:t>
      </w:r>
      <w:r>
        <w:rPr>
          <w:color w:val="231F20"/>
          <w:spacing w:val="-3"/>
          <w:w w:val="105"/>
        </w:rPr>
        <w:t>Or- </w:t>
      </w:r>
      <w:r>
        <w:rPr>
          <w:color w:val="231F20"/>
          <w:w w:val="105"/>
        </w:rPr>
        <w:t>der</w:t>
      </w:r>
      <w:r>
        <w:rPr>
          <w:color w:val="231F20"/>
          <w:spacing w:val="-15"/>
          <w:w w:val="105"/>
        </w:rPr>
        <w:t> </w:t>
      </w:r>
      <w:r>
        <w:rPr>
          <w:color w:val="231F20"/>
          <w:w w:val="105"/>
        </w:rPr>
        <w:t>of</w:t>
      </w:r>
      <w:r>
        <w:rPr>
          <w:color w:val="231F20"/>
          <w:spacing w:val="-10"/>
          <w:w w:val="105"/>
        </w:rPr>
        <w:t> </w:t>
      </w:r>
      <w:r>
        <w:rPr>
          <w:color w:val="231F20"/>
          <w:spacing w:val="-3"/>
          <w:w w:val="105"/>
        </w:rPr>
        <w:t>Deferred</w:t>
      </w:r>
      <w:r>
        <w:rPr>
          <w:color w:val="231F20"/>
          <w:spacing w:val="-18"/>
          <w:w w:val="105"/>
        </w:rPr>
        <w:t> </w:t>
      </w:r>
      <w:r>
        <w:rPr>
          <w:color w:val="231F20"/>
          <w:w w:val="105"/>
        </w:rPr>
        <w:t>Action</w:t>
      </w:r>
      <w:r>
        <w:rPr>
          <w:color w:val="231F20"/>
          <w:spacing w:val="-15"/>
          <w:w w:val="105"/>
        </w:rPr>
        <w:t> </w:t>
      </w:r>
      <w:r>
        <w:rPr>
          <w:color w:val="231F20"/>
          <w:w w:val="105"/>
        </w:rPr>
        <w:t>for</w:t>
      </w:r>
      <w:r>
        <w:rPr>
          <w:color w:val="231F20"/>
          <w:spacing w:val="-15"/>
          <w:w w:val="105"/>
        </w:rPr>
        <w:t> </w:t>
      </w:r>
      <w:r>
        <w:rPr>
          <w:color w:val="231F20"/>
          <w:w w:val="105"/>
        </w:rPr>
        <w:t>Childhood</w:t>
      </w:r>
      <w:r>
        <w:rPr>
          <w:color w:val="231F20"/>
          <w:spacing w:val="-18"/>
          <w:w w:val="105"/>
        </w:rPr>
        <w:t> </w:t>
      </w:r>
      <w:r>
        <w:rPr>
          <w:color w:val="231F20"/>
          <w:w w:val="105"/>
        </w:rPr>
        <w:t>Arrivals</w:t>
      </w:r>
      <w:r>
        <w:rPr>
          <w:color w:val="231F20"/>
          <w:spacing w:val="-15"/>
          <w:w w:val="105"/>
        </w:rPr>
        <w:t> </w:t>
      </w:r>
      <w:r>
        <w:rPr>
          <w:color w:val="231F20"/>
          <w:spacing w:val="-3"/>
          <w:w w:val="105"/>
        </w:rPr>
        <w:t>(</w:t>
      </w:r>
      <w:r>
        <w:rPr>
          <w:color w:val="231F20"/>
          <w:spacing w:val="-3"/>
          <w:w w:val="105"/>
          <w:sz w:val="17"/>
        </w:rPr>
        <w:t>DACA</w:t>
      </w:r>
      <w:r>
        <w:rPr>
          <w:color w:val="231F20"/>
          <w:spacing w:val="-3"/>
          <w:w w:val="105"/>
        </w:rPr>
        <w:t>),</w:t>
      </w:r>
      <w:r>
        <w:rPr>
          <w:color w:val="231F20"/>
          <w:spacing w:val="-21"/>
          <w:w w:val="105"/>
        </w:rPr>
        <w:t> </w:t>
      </w:r>
      <w:r>
        <w:rPr>
          <w:color w:val="231F20"/>
          <w:w w:val="105"/>
        </w:rPr>
        <w:t>which</w:t>
      </w:r>
      <w:r>
        <w:rPr>
          <w:color w:val="231F20"/>
          <w:spacing w:val="-15"/>
          <w:w w:val="105"/>
        </w:rPr>
        <w:t> </w:t>
      </w:r>
      <w:r>
        <w:rPr>
          <w:color w:val="231F20"/>
          <w:spacing w:val="-3"/>
          <w:w w:val="105"/>
        </w:rPr>
        <w:t>provides</w:t>
      </w:r>
      <w:r>
        <w:rPr>
          <w:color w:val="231F20"/>
          <w:spacing w:val="-15"/>
          <w:w w:val="105"/>
        </w:rPr>
        <w:t> </w:t>
      </w:r>
      <w:r>
        <w:rPr>
          <w:color w:val="231F20"/>
          <w:w w:val="105"/>
        </w:rPr>
        <w:t>tem- </w:t>
      </w:r>
      <w:r>
        <w:rPr>
          <w:color w:val="231F20"/>
          <w:spacing w:val="-2"/>
          <w:w w:val="105"/>
        </w:rPr>
        <w:t>porary </w:t>
      </w:r>
      <w:r>
        <w:rPr>
          <w:color w:val="231F20"/>
          <w:spacing w:val="-3"/>
          <w:w w:val="105"/>
        </w:rPr>
        <w:t>relief from deportation </w:t>
      </w:r>
      <w:r>
        <w:rPr>
          <w:color w:val="231F20"/>
          <w:w w:val="105"/>
        </w:rPr>
        <w:t>for youth who meet specific criteria. </w:t>
      </w:r>
      <w:r>
        <w:rPr>
          <w:color w:val="231F20"/>
          <w:spacing w:val="-3"/>
          <w:w w:val="105"/>
          <w:sz w:val="17"/>
        </w:rPr>
        <w:t>DACA </w:t>
      </w:r>
      <w:r>
        <w:rPr>
          <w:color w:val="231F20"/>
          <w:w w:val="105"/>
        </w:rPr>
        <w:t>eligible</w:t>
      </w:r>
      <w:r>
        <w:rPr>
          <w:color w:val="231F20"/>
          <w:spacing w:val="-8"/>
          <w:w w:val="105"/>
        </w:rPr>
        <w:t> </w:t>
      </w:r>
      <w:r>
        <w:rPr>
          <w:color w:val="231F20"/>
          <w:spacing w:val="-3"/>
          <w:w w:val="105"/>
        </w:rPr>
        <w:t>children</w:t>
      </w:r>
      <w:r>
        <w:rPr>
          <w:color w:val="231F20"/>
          <w:spacing w:val="-8"/>
          <w:w w:val="105"/>
        </w:rPr>
        <w:t> </w:t>
      </w:r>
      <w:r>
        <w:rPr>
          <w:color w:val="231F20"/>
          <w:w w:val="105"/>
        </w:rPr>
        <w:t>will</w:t>
      </w:r>
      <w:r>
        <w:rPr>
          <w:color w:val="231F20"/>
          <w:spacing w:val="-8"/>
          <w:w w:val="105"/>
        </w:rPr>
        <w:t> </w:t>
      </w:r>
      <w:r>
        <w:rPr>
          <w:color w:val="231F20"/>
          <w:spacing w:val="-3"/>
          <w:w w:val="105"/>
        </w:rPr>
        <w:t>likely</w:t>
      </w:r>
      <w:r>
        <w:rPr>
          <w:color w:val="231F20"/>
          <w:spacing w:val="-8"/>
          <w:w w:val="105"/>
        </w:rPr>
        <w:t> </w:t>
      </w:r>
      <w:r>
        <w:rPr>
          <w:color w:val="231F20"/>
          <w:w w:val="105"/>
        </w:rPr>
        <w:t>be</w:t>
      </w:r>
      <w:r>
        <w:rPr>
          <w:color w:val="231F20"/>
          <w:spacing w:val="-8"/>
          <w:w w:val="105"/>
        </w:rPr>
        <w:t> </w:t>
      </w:r>
      <w:r>
        <w:rPr>
          <w:color w:val="231F20"/>
          <w:spacing w:val="-3"/>
          <w:w w:val="105"/>
        </w:rPr>
        <w:t>enrolled</w:t>
      </w:r>
      <w:r>
        <w:rPr>
          <w:color w:val="231F20"/>
          <w:spacing w:val="-8"/>
          <w:w w:val="105"/>
        </w:rPr>
        <w:t> </w:t>
      </w:r>
      <w:r>
        <w:rPr>
          <w:color w:val="231F20"/>
          <w:w w:val="105"/>
        </w:rPr>
        <w:t>in</w:t>
      </w:r>
      <w:r>
        <w:rPr>
          <w:color w:val="231F20"/>
          <w:spacing w:val="-8"/>
          <w:w w:val="105"/>
        </w:rPr>
        <w:t> </w:t>
      </w:r>
      <w:r>
        <w:rPr>
          <w:color w:val="231F20"/>
          <w:w w:val="105"/>
        </w:rPr>
        <w:t>United</w:t>
      </w:r>
      <w:r>
        <w:rPr>
          <w:color w:val="231F20"/>
          <w:spacing w:val="-8"/>
          <w:w w:val="105"/>
        </w:rPr>
        <w:t> </w:t>
      </w:r>
      <w:r>
        <w:rPr>
          <w:color w:val="231F20"/>
          <w:spacing w:val="-3"/>
          <w:w w:val="105"/>
        </w:rPr>
        <w:t>States</w:t>
      </w:r>
      <w:r>
        <w:rPr>
          <w:color w:val="231F20"/>
          <w:spacing w:val="-8"/>
          <w:w w:val="105"/>
        </w:rPr>
        <w:t> </w:t>
      </w:r>
      <w:r>
        <w:rPr>
          <w:color w:val="231F20"/>
          <w:w w:val="105"/>
        </w:rPr>
        <w:t>schools</w:t>
      </w:r>
      <w:r>
        <w:rPr>
          <w:color w:val="231F20"/>
          <w:spacing w:val="-8"/>
          <w:w w:val="105"/>
        </w:rPr>
        <w:t> </w:t>
      </w:r>
      <w:r>
        <w:rPr>
          <w:color w:val="231F20"/>
          <w:w w:val="105"/>
        </w:rPr>
        <w:t>and</w:t>
      </w:r>
      <w:r>
        <w:rPr>
          <w:color w:val="231F20"/>
          <w:spacing w:val="-8"/>
          <w:w w:val="105"/>
        </w:rPr>
        <w:t> </w:t>
      </w:r>
      <w:r>
        <w:rPr>
          <w:color w:val="231F20"/>
          <w:w w:val="105"/>
        </w:rPr>
        <w:t>some will</w:t>
      </w:r>
      <w:r>
        <w:rPr>
          <w:color w:val="231F20"/>
          <w:spacing w:val="-38"/>
          <w:w w:val="105"/>
        </w:rPr>
        <w:t> </w:t>
      </w:r>
      <w:r>
        <w:rPr>
          <w:color w:val="231F20"/>
          <w:w w:val="105"/>
        </w:rPr>
        <w:t>have</w:t>
      </w:r>
      <w:r>
        <w:rPr>
          <w:color w:val="231F20"/>
          <w:spacing w:val="-38"/>
          <w:w w:val="105"/>
        </w:rPr>
        <w:t> </w:t>
      </w:r>
      <w:r>
        <w:rPr>
          <w:color w:val="231F20"/>
          <w:w w:val="105"/>
        </w:rPr>
        <w:t>access</w:t>
      </w:r>
      <w:r>
        <w:rPr>
          <w:color w:val="231F20"/>
          <w:spacing w:val="-38"/>
          <w:w w:val="105"/>
        </w:rPr>
        <w:t> </w:t>
      </w:r>
      <w:r>
        <w:rPr>
          <w:color w:val="231F20"/>
          <w:w w:val="105"/>
        </w:rPr>
        <w:t>to</w:t>
      </w:r>
      <w:r>
        <w:rPr>
          <w:color w:val="231F20"/>
          <w:spacing w:val="-38"/>
          <w:w w:val="105"/>
        </w:rPr>
        <w:t> </w:t>
      </w:r>
      <w:r>
        <w:rPr>
          <w:color w:val="231F20"/>
          <w:w w:val="105"/>
        </w:rPr>
        <w:t>higher</w:t>
      </w:r>
      <w:r>
        <w:rPr>
          <w:color w:val="231F20"/>
          <w:spacing w:val="-38"/>
          <w:w w:val="105"/>
        </w:rPr>
        <w:t> </w:t>
      </w:r>
      <w:r>
        <w:rPr>
          <w:color w:val="231F20"/>
          <w:w w:val="105"/>
        </w:rPr>
        <w:t>education.</w:t>
      </w:r>
      <w:r>
        <w:rPr>
          <w:color w:val="231F20"/>
          <w:spacing w:val="-44"/>
          <w:w w:val="105"/>
        </w:rPr>
        <w:t> </w:t>
      </w:r>
      <w:r>
        <w:rPr>
          <w:color w:val="231F20"/>
          <w:spacing w:val="-3"/>
          <w:w w:val="105"/>
        </w:rPr>
        <w:t>These</w:t>
      </w:r>
      <w:r>
        <w:rPr>
          <w:color w:val="231F20"/>
          <w:spacing w:val="-38"/>
          <w:w w:val="105"/>
        </w:rPr>
        <w:t> </w:t>
      </w:r>
      <w:r>
        <w:rPr>
          <w:color w:val="231F20"/>
          <w:w w:val="105"/>
        </w:rPr>
        <w:t>youth</w:t>
      </w:r>
      <w:r>
        <w:rPr>
          <w:color w:val="231F20"/>
          <w:spacing w:val="-38"/>
          <w:w w:val="105"/>
        </w:rPr>
        <w:t> </w:t>
      </w:r>
      <w:r>
        <w:rPr>
          <w:color w:val="231F20"/>
          <w:spacing w:val="-3"/>
          <w:w w:val="105"/>
        </w:rPr>
        <w:t>are</w:t>
      </w:r>
      <w:r>
        <w:rPr>
          <w:color w:val="231F20"/>
          <w:spacing w:val="-38"/>
          <w:w w:val="105"/>
        </w:rPr>
        <w:t> </w:t>
      </w:r>
      <w:r>
        <w:rPr>
          <w:color w:val="231F20"/>
          <w:spacing w:val="-3"/>
          <w:w w:val="105"/>
        </w:rPr>
        <w:t>from</w:t>
      </w:r>
      <w:r>
        <w:rPr>
          <w:color w:val="231F20"/>
          <w:spacing w:val="-38"/>
          <w:w w:val="105"/>
        </w:rPr>
        <w:t> </w:t>
      </w:r>
      <w:r>
        <w:rPr>
          <w:color w:val="231F20"/>
          <w:w w:val="105"/>
        </w:rPr>
        <w:t>many</w:t>
      </w:r>
      <w:r>
        <w:rPr>
          <w:color w:val="231F20"/>
          <w:spacing w:val="-38"/>
          <w:w w:val="105"/>
        </w:rPr>
        <w:t> </w:t>
      </w:r>
      <w:r>
        <w:rPr>
          <w:color w:val="231F20"/>
          <w:w w:val="105"/>
        </w:rPr>
        <w:t>countries, with</w:t>
      </w:r>
      <w:r>
        <w:rPr>
          <w:color w:val="231F20"/>
          <w:spacing w:val="-23"/>
          <w:w w:val="105"/>
        </w:rPr>
        <w:t> </w:t>
      </w:r>
      <w:r>
        <w:rPr>
          <w:color w:val="231F20"/>
          <w:w w:val="105"/>
        </w:rPr>
        <w:t>Mexico</w:t>
      </w:r>
      <w:r>
        <w:rPr>
          <w:color w:val="231F20"/>
          <w:spacing w:val="-23"/>
          <w:w w:val="105"/>
        </w:rPr>
        <w:t> </w:t>
      </w:r>
      <w:r>
        <w:rPr>
          <w:color w:val="231F20"/>
          <w:w w:val="105"/>
        </w:rPr>
        <w:t>and</w:t>
      </w:r>
      <w:r>
        <w:rPr>
          <w:color w:val="231F20"/>
          <w:spacing w:val="-23"/>
          <w:w w:val="105"/>
        </w:rPr>
        <w:t> </w:t>
      </w:r>
      <w:r>
        <w:rPr>
          <w:color w:val="231F20"/>
          <w:spacing w:val="-3"/>
          <w:w w:val="105"/>
        </w:rPr>
        <w:t>Central</w:t>
      </w:r>
      <w:r>
        <w:rPr>
          <w:color w:val="231F20"/>
          <w:spacing w:val="-26"/>
          <w:w w:val="105"/>
        </w:rPr>
        <w:t> </w:t>
      </w:r>
      <w:r>
        <w:rPr>
          <w:color w:val="231F20"/>
          <w:w w:val="105"/>
        </w:rPr>
        <w:t>America</w:t>
      </w:r>
      <w:r>
        <w:rPr>
          <w:color w:val="231F20"/>
          <w:spacing w:val="-23"/>
          <w:w w:val="105"/>
        </w:rPr>
        <w:t> </w:t>
      </w:r>
      <w:r>
        <w:rPr>
          <w:color w:val="231F20"/>
          <w:w w:val="105"/>
        </w:rPr>
        <w:t>having</w:t>
      </w:r>
      <w:r>
        <w:rPr>
          <w:color w:val="231F20"/>
          <w:spacing w:val="-23"/>
          <w:w w:val="105"/>
        </w:rPr>
        <w:t> </w:t>
      </w:r>
      <w:r>
        <w:rPr>
          <w:color w:val="231F20"/>
          <w:w w:val="105"/>
        </w:rPr>
        <w:t>the</w:t>
      </w:r>
      <w:r>
        <w:rPr>
          <w:color w:val="231F20"/>
          <w:spacing w:val="-23"/>
          <w:w w:val="105"/>
        </w:rPr>
        <w:t> </w:t>
      </w:r>
      <w:r>
        <w:rPr>
          <w:color w:val="231F20"/>
          <w:w w:val="105"/>
        </w:rPr>
        <w:t>most</w:t>
      </w:r>
      <w:r>
        <w:rPr>
          <w:color w:val="231F20"/>
          <w:spacing w:val="-23"/>
          <w:w w:val="105"/>
        </w:rPr>
        <w:t> </w:t>
      </w:r>
      <w:r>
        <w:rPr>
          <w:color w:val="231F20"/>
          <w:spacing w:val="-3"/>
          <w:w w:val="105"/>
        </w:rPr>
        <w:t>requests</w:t>
      </w:r>
      <w:r>
        <w:rPr>
          <w:color w:val="231F20"/>
          <w:spacing w:val="-23"/>
          <w:w w:val="105"/>
        </w:rPr>
        <w:t> </w:t>
      </w:r>
      <w:r>
        <w:rPr>
          <w:color w:val="231F20"/>
          <w:w w:val="105"/>
        </w:rPr>
        <w:t>and</w:t>
      </w:r>
      <w:r>
        <w:rPr>
          <w:color w:val="231F20"/>
          <w:spacing w:val="-23"/>
          <w:w w:val="105"/>
        </w:rPr>
        <w:t> </w:t>
      </w:r>
      <w:r>
        <w:rPr>
          <w:color w:val="231F20"/>
          <w:spacing w:val="-3"/>
          <w:w w:val="105"/>
        </w:rPr>
        <w:t>approvals </w:t>
      </w:r>
      <w:r>
        <w:rPr>
          <w:color w:val="231F20"/>
          <w:w w:val="105"/>
        </w:rPr>
        <w:t>of</w:t>
      </w:r>
      <w:r>
        <w:rPr>
          <w:color w:val="231F20"/>
          <w:spacing w:val="-12"/>
          <w:w w:val="105"/>
        </w:rPr>
        <w:t> </w:t>
      </w:r>
      <w:r>
        <w:rPr>
          <w:color w:val="231F20"/>
          <w:spacing w:val="-3"/>
          <w:w w:val="105"/>
          <w:sz w:val="17"/>
        </w:rPr>
        <w:t>DACA</w:t>
      </w:r>
      <w:r>
        <w:rPr>
          <w:color w:val="231F20"/>
          <w:spacing w:val="-3"/>
          <w:w w:val="105"/>
        </w:rPr>
        <w:t>.</w:t>
      </w:r>
      <w:r>
        <w:rPr>
          <w:color w:val="231F20"/>
          <w:spacing w:val="-24"/>
          <w:w w:val="105"/>
        </w:rPr>
        <w:t> </w:t>
      </w:r>
      <w:r>
        <w:rPr>
          <w:color w:val="231F20"/>
          <w:w w:val="105"/>
        </w:rPr>
        <w:t>As</w:t>
      </w:r>
      <w:r>
        <w:rPr>
          <w:color w:val="231F20"/>
          <w:spacing w:val="-17"/>
          <w:w w:val="105"/>
        </w:rPr>
        <w:t> </w:t>
      </w:r>
      <w:r>
        <w:rPr>
          <w:color w:val="231F20"/>
          <w:w w:val="105"/>
        </w:rPr>
        <w:t>of</w:t>
      </w:r>
      <w:r>
        <w:rPr>
          <w:color w:val="231F20"/>
          <w:spacing w:val="-13"/>
          <w:w w:val="105"/>
        </w:rPr>
        <w:t> </w:t>
      </w:r>
      <w:r>
        <w:rPr>
          <w:color w:val="231F20"/>
          <w:w w:val="105"/>
        </w:rPr>
        <w:t>2015,</w:t>
      </w:r>
      <w:r>
        <w:rPr>
          <w:color w:val="231F20"/>
          <w:spacing w:val="-21"/>
          <w:w w:val="105"/>
        </w:rPr>
        <w:t> </w:t>
      </w:r>
      <w:r>
        <w:rPr>
          <w:color w:val="231F20"/>
          <w:w w:val="105"/>
        </w:rPr>
        <w:t>the</w:t>
      </w:r>
      <w:r>
        <w:rPr>
          <w:color w:val="231F20"/>
          <w:spacing w:val="-17"/>
          <w:w w:val="105"/>
        </w:rPr>
        <w:t> </w:t>
      </w:r>
      <w:r>
        <w:rPr>
          <w:color w:val="231F20"/>
          <w:w w:val="105"/>
        </w:rPr>
        <w:t>United</w:t>
      </w:r>
      <w:r>
        <w:rPr>
          <w:color w:val="231F20"/>
          <w:spacing w:val="-17"/>
          <w:w w:val="105"/>
        </w:rPr>
        <w:t> </w:t>
      </w:r>
      <w:r>
        <w:rPr>
          <w:color w:val="231F20"/>
          <w:spacing w:val="-3"/>
          <w:w w:val="105"/>
        </w:rPr>
        <w:t>States</w:t>
      </w:r>
      <w:r>
        <w:rPr>
          <w:color w:val="231F20"/>
          <w:spacing w:val="-17"/>
          <w:w w:val="105"/>
        </w:rPr>
        <w:t> </w:t>
      </w:r>
      <w:r>
        <w:rPr>
          <w:color w:val="231F20"/>
          <w:w w:val="105"/>
        </w:rPr>
        <w:t>Citizenship</w:t>
      </w:r>
      <w:r>
        <w:rPr>
          <w:color w:val="231F20"/>
          <w:spacing w:val="-17"/>
          <w:w w:val="105"/>
        </w:rPr>
        <w:t> </w:t>
      </w:r>
      <w:r>
        <w:rPr>
          <w:color w:val="231F20"/>
          <w:w w:val="105"/>
        </w:rPr>
        <w:t>and</w:t>
      </w:r>
      <w:r>
        <w:rPr>
          <w:color w:val="231F20"/>
          <w:spacing w:val="-17"/>
          <w:w w:val="105"/>
        </w:rPr>
        <w:t> </w:t>
      </w:r>
      <w:r>
        <w:rPr>
          <w:color w:val="231F20"/>
          <w:spacing w:val="-3"/>
          <w:w w:val="105"/>
        </w:rPr>
        <w:t>Immigration</w:t>
      </w:r>
      <w:r>
        <w:rPr>
          <w:color w:val="231F20"/>
          <w:spacing w:val="-17"/>
          <w:w w:val="105"/>
        </w:rPr>
        <w:t> </w:t>
      </w:r>
      <w:r>
        <w:rPr>
          <w:color w:val="231F20"/>
          <w:w w:val="105"/>
        </w:rPr>
        <w:t>Servi- ces </w:t>
      </w:r>
      <w:r>
        <w:rPr>
          <w:color w:val="231F20"/>
          <w:spacing w:val="-3"/>
          <w:w w:val="105"/>
        </w:rPr>
        <w:t>reported </w:t>
      </w:r>
      <w:r>
        <w:rPr>
          <w:color w:val="231F20"/>
          <w:w w:val="105"/>
        </w:rPr>
        <w:t>a cumulative total of 908,479 </w:t>
      </w:r>
      <w:r>
        <w:rPr>
          <w:color w:val="231F20"/>
          <w:spacing w:val="-3"/>
          <w:w w:val="105"/>
          <w:sz w:val="17"/>
        </w:rPr>
        <w:t>DACA </w:t>
      </w:r>
      <w:r>
        <w:rPr>
          <w:color w:val="231F20"/>
          <w:spacing w:val="-3"/>
          <w:w w:val="105"/>
        </w:rPr>
        <w:t>approved requests from </w:t>
      </w:r>
      <w:r>
        <w:rPr>
          <w:color w:val="231F20"/>
          <w:w w:val="105"/>
        </w:rPr>
        <w:t>2012-2015</w:t>
      </w:r>
      <w:r>
        <w:rPr>
          <w:color w:val="231F20"/>
          <w:spacing w:val="-24"/>
          <w:w w:val="105"/>
        </w:rPr>
        <w:t> </w:t>
      </w:r>
      <w:r>
        <w:rPr>
          <w:color w:val="231F20"/>
          <w:w w:val="105"/>
        </w:rPr>
        <w:t>and</w:t>
      </w:r>
      <w:r>
        <w:rPr>
          <w:color w:val="231F20"/>
          <w:spacing w:val="-24"/>
          <w:w w:val="105"/>
        </w:rPr>
        <w:t> </w:t>
      </w:r>
      <w:r>
        <w:rPr>
          <w:color w:val="231F20"/>
          <w:w w:val="105"/>
        </w:rPr>
        <w:t>had</w:t>
      </w:r>
      <w:r>
        <w:rPr>
          <w:color w:val="231F20"/>
          <w:spacing w:val="-24"/>
          <w:w w:val="105"/>
        </w:rPr>
        <w:t> </w:t>
      </w:r>
      <w:r>
        <w:rPr>
          <w:color w:val="231F20"/>
          <w:spacing w:val="-3"/>
          <w:w w:val="105"/>
        </w:rPr>
        <w:t>renewed</w:t>
      </w:r>
      <w:r>
        <w:rPr>
          <w:color w:val="231F20"/>
          <w:spacing w:val="-24"/>
          <w:w w:val="105"/>
        </w:rPr>
        <w:t> </w:t>
      </w:r>
      <w:r>
        <w:rPr>
          <w:color w:val="231F20"/>
          <w:w w:val="105"/>
        </w:rPr>
        <w:t>221,398</w:t>
      </w:r>
      <w:r>
        <w:rPr>
          <w:color w:val="231F20"/>
          <w:spacing w:val="-24"/>
          <w:w w:val="105"/>
        </w:rPr>
        <w:t> </w:t>
      </w:r>
      <w:r>
        <w:rPr>
          <w:color w:val="231F20"/>
          <w:spacing w:val="-3"/>
          <w:w w:val="105"/>
          <w:sz w:val="17"/>
        </w:rPr>
        <w:t>DACA</w:t>
      </w:r>
      <w:r>
        <w:rPr>
          <w:color w:val="231F20"/>
          <w:spacing w:val="-12"/>
          <w:w w:val="105"/>
          <w:sz w:val="17"/>
        </w:rPr>
        <w:t> </w:t>
      </w:r>
      <w:r>
        <w:rPr>
          <w:color w:val="231F20"/>
          <w:spacing w:val="-3"/>
          <w:w w:val="105"/>
        </w:rPr>
        <w:t>requests.</w:t>
      </w:r>
      <w:r>
        <w:rPr>
          <w:color w:val="231F20"/>
          <w:spacing w:val="-28"/>
          <w:w w:val="105"/>
        </w:rPr>
        <w:t> </w:t>
      </w:r>
      <w:r>
        <w:rPr>
          <w:color w:val="231F20"/>
          <w:spacing w:val="-3"/>
          <w:w w:val="105"/>
          <w:sz w:val="17"/>
        </w:rPr>
        <w:t>DACA</w:t>
      </w:r>
      <w:r>
        <w:rPr>
          <w:color w:val="231F20"/>
          <w:spacing w:val="-12"/>
          <w:w w:val="105"/>
          <w:sz w:val="17"/>
        </w:rPr>
        <w:t> </w:t>
      </w:r>
      <w:r>
        <w:rPr>
          <w:color w:val="231F20"/>
          <w:w w:val="105"/>
        </w:rPr>
        <w:t>allows</w:t>
      </w:r>
      <w:r>
        <w:rPr>
          <w:color w:val="231F20"/>
          <w:spacing w:val="-24"/>
          <w:w w:val="105"/>
        </w:rPr>
        <w:t> </w:t>
      </w:r>
      <w:r>
        <w:rPr>
          <w:color w:val="231F20"/>
          <w:w w:val="105"/>
        </w:rPr>
        <w:t>eligible young</w:t>
      </w:r>
      <w:r>
        <w:rPr>
          <w:color w:val="231F20"/>
          <w:spacing w:val="-29"/>
          <w:w w:val="105"/>
        </w:rPr>
        <w:t> </w:t>
      </w:r>
      <w:r>
        <w:rPr>
          <w:color w:val="231F20"/>
          <w:w w:val="105"/>
        </w:rPr>
        <w:t>immigrants</w:t>
      </w:r>
      <w:r>
        <w:rPr>
          <w:color w:val="231F20"/>
          <w:spacing w:val="-29"/>
          <w:w w:val="105"/>
        </w:rPr>
        <w:t> </w:t>
      </w:r>
      <w:r>
        <w:rPr>
          <w:color w:val="231F20"/>
          <w:w w:val="105"/>
        </w:rPr>
        <w:t>to</w:t>
      </w:r>
      <w:r>
        <w:rPr>
          <w:color w:val="231F20"/>
          <w:spacing w:val="-29"/>
          <w:w w:val="105"/>
        </w:rPr>
        <w:t> </w:t>
      </w:r>
      <w:r>
        <w:rPr>
          <w:color w:val="231F20"/>
          <w:w w:val="105"/>
        </w:rPr>
        <w:t>have</w:t>
      </w:r>
      <w:r>
        <w:rPr>
          <w:color w:val="231F20"/>
          <w:spacing w:val="-29"/>
          <w:w w:val="105"/>
        </w:rPr>
        <w:t> </w:t>
      </w:r>
      <w:r>
        <w:rPr>
          <w:color w:val="231F20"/>
          <w:w w:val="105"/>
        </w:rPr>
        <w:t>a</w:t>
      </w:r>
      <w:r>
        <w:rPr>
          <w:color w:val="231F20"/>
          <w:spacing w:val="-29"/>
          <w:w w:val="105"/>
        </w:rPr>
        <w:t> </w:t>
      </w:r>
      <w:r>
        <w:rPr>
          <w:color w:val="231F20"/>
          <w:w w:val="105"/>
        </w:rPr>
        <w:t>social</w:t>
      </w:r>
      <w:r>
        <w:rPr>
          <w:color w:val="231F20"/>
          <w:spacing w:val="-29"/>
          <w:w w:val="105"/>
        </w:rPr>
        <w:t> </w:t>
      </w:r>
      <w:r>
        <w:rPr>
          <w:color w:val="231F20"/>
          <w:w w:val="105"/>
        </w:rPr>
        <w:t>security</w:t>
      </w:r>
      <w:r>
        <w:rPr>
          <w:color w:val="231F20"/>
          <w:spacing w:val="-29"/>
          <w:w w:val="105"/>
        </w:rPr>
        <w:t> </w:t>
      </w:r>
      <w:r>
        <w:rPr>
          <w:color w:val="231F20"/>
          <w:w w:val="105"/>
        </w:rPr>
        <w:t>number</w:t>
      </w:r>
      <w:r>
        <w:rPr>
          <w:color w:val="231F20"/>
          <w:spacing w:val="-29"/>
          <w:w w:val="105"/>
        </w:rPr>
        <w:t> </w:t>
      </w:r>
      <w:r>
        <w:rPr>
          <w:color w:val="231F20"/>
          <w:w w:val="105"/>
        </w:rPr>
        <w:t>and</w:t>
      </w:r>
      <w:r>
        <w:rPr>
          <w:color w:val="231F20"/>
          <w:spacing w:val="-29"/>
          <w:w w:val="105"/>
        </w:rPr>
        <w:t> </w:t>
      </w:r>
      <w:r>
        <w:rPr>
          <w:color w:val="231F20"/>
          <w:w w:val="105"/>
        </w:rPr>
        <w:t>a</w:t>
      </w:r>
      <w:r>
        <w:rPr>
          <w:color w:val="231F20"/>
          <w:spacing w:val="-29"/>
          <w:w w:val="105"/>
        </w:rPr>
        <w:t> </w:t>
      </w:r>
      <w:r>
        <w:rPr>
          <w:color w:val="231F20"/>
          <w:w w:val="105"/>
        </w:rPr>
        <w:t>work</w:t>
      </w:r>
      <w:r>
        <w:rPr>
          <w:color w:val="231F20"/>
          <w:spacing w:val="-29"/>
          <w:w w:val="105"/>
        </w:rPr>
        <w:t> </w:t>
      </w:r>
      <w:r>
        <w:rPr>
          <w:color w:val="231F20"/>
          <w:w w:val="105"/>
        </w:rPr>
        <w:t>permit.</w:t>
      </w:r>
      <w:r>
        <w:rPr>
          <w:color w:val="231F20"/>
          <w:spacing w:val="-33"/>
          <w:w w:val="105"/>
        </w:rPr>
        <w:t> </w:t>
      </w:r>
      <w:r>
        <w:rPr>
          <w:color w:val="231F20"/>
          <w:w w:val="105"/>
        </w:rPr>
        <w:t>Cu- </w:t>
      </w:r>
      <w:r>
        <w:rPr>
          <w:color w:val="231F20"/>
          <w:spacing w:val="-3"/>
          <w:w w:val="105"/>
        </w:rPr>
        <w:t>rrently</w:t>
      </w:r>
      <w:r>
        <w:rPr>
          <w:color w:val="231F20"/>
          <w:spacing w:val="-24"/>
          <w:w w:val="105"/>
        </w:rPr>
        <w:t> </w:t>
      </w:r>
      <w:r>
        <w:rPr>
          <w:color w:val="231F20"/>
          <w:w w:val="105"/>
        </w:rPr>
        <w:t>the</w:t>
      </w:r>
      <w:r>
        <w:rPr>
          <w:color w:val="231F20"/>
          <w:spacing w:val="-24"/>
          <w:w w:val="105"/>
        </w:rPr>
        <w:t> </w:t>
      </w:r>
      <w:r>
        <w:rPr>
          <w:color w:val="231F20"/>
          <w:spacing w:val="-3"/>
          <w:w w:val="105"/>
        </w:rPr>
        <w:t>renewals</w:t>
      </w:r>
      <w:r>
        <w:rPr>
          <w:color w:val="231F20"/>
          <w:spacing w:val="-24"/>
          <w:w w:val="105"/>
        </w:rPr>
        <w:t> </w:t>
      </w:r>
      <w:r>
        <w:rPr>
          <w:color w:val="231F20"/>
          <w:spacing w:val="-3"/>
          <w:w w:val="105"/>
        </w:rPr>
        <w:t>are</w:t>
      </w:r>
      <w:r>
        <w:rPr>
          <w:color w:val="231F20"/>
          <w:spacing w:val="-24"/>
          <w:w w:val="105"/>
        </w:rPr>
        <w:t> </w:t>
      </w:r>
      <w:r>
        <w:rPr>
          <w:color w:val="231F20"/>
          <w:w w:val="105"/>
        </w:rPr>
        <w:t>for</w:t>
      </w:r>
      <w:r>
        <w:rPr>
          <w:color w:val="231F20"/>
          <w:spacing w:val="-24"/>
          <w:w w:val="105"/>
        </w:rPr>
        <w:t> </w:t>
      </w:r>
      <w:r>
        <w:rPr>
          <w:color w:val="231F20"/>
          <w:w w:val="105"/>
        </w:rPr>
        <w:t>two</w:t>
      </w:r>
      <w:r>
        <w:rPr>
          <w:color w:val="231F20"/>
          <w:spacing w:val="-24"/>
          <w:w w:val="105"/>
        </w:rPr>
        <w:t> </w:t>
      </w:r>
      <w:r>
        <w:rPr>
          <w:color w:val="231F20"/>
          <w:w w:val="105"/>
        </w:rPr>
        <w:t>years.</w:t>
      </w:r>
      <w:r>
        <w:rPr>
          <w:color w:val="231F20"/>
          <w:spacing w:val="-34"/>
          <w:w w:val="105"/>
        </w:rPr>
        <w:t> </w:t>
      </w:r>
      <w:r>
        <w:rPr>
          <w:color w:val="231F20"/>
          <w:spacing w:val="-3"/>
          <w:w w:val="105"/>
        </w:rPr>
        <w:t>The</w:t>
      </w:r>
      <w:r>
        <w:rPr>
          <w:color w:val="231F20"/>
          <w:spacing w:val="-24"/>
          <w:w w:val="105"/>
        </w:rPr>
        <w:t> </w:t>
      </w:r>
      <w:r>
        <w:rPr>
          <w:color w:val="231F20"/>
          <w:w w:val="105"/>
        </w:rPr>
        <w:t>majority</w:t>
      </w:r>
      <w:r>
        <w:rPr>
          <w:color w:val="231F20"/>
          <w:spacing w:val="-24"/>
          <w:w w:val="105"/>
        </w:rPr>
        <w:t> </w:t>
      </w:r>
      <w:r>
        <w:rPr>
          <w:color w:val="231F20"/>
          <w:w w:val="105"/>
        </w:rPr>
        <w:t>of</w:t>
      </w:r>
      <w:r>
        <w:rPr>
          <w:color w:val="231F20"/>
          <w:spacing w:val="-20"/>
          <w:w w:val="105"/>
        </w:rPr>
        <w:t> </w:t>
      </w:r>
      <w:r>
        <w:rPr>
          <w:color w:val="231F20"/>
          <w:w w:val="105"/>
        </w:rPr>
        <w:t>these</w:t>
      </w:r>
      <w:r>
        <w:rPr>
          <w:color w:val="231F20"/>
          <w:spacing w:val="-24"/>
          <w:w w:val="105"/>
        </w:rPr>
        <w:t> </w:t>
      </w:r>
      <w:r>
        <w:rPr>
          <w:color w:val="231F20"/>
          <w:w w:val="105"/>
        </w:rPr>
        <w:t>youth</w:t>
      </w:r>
      <w:r>
        <w:rPr>
          <w:color w:val="231F20"/>
          <w:spacing w:val="-24"/>
          <w:w w:val="105"/>
        </w:rPr>
        <w:t> </w:t>
      </w:r>
      <w:r>
        <w:rPr>
          <w:color w:val="231F20"/>
          <w:spacing w:val="-3"/>
          <w:w w:val="105"/>
        </w:rPr>
        <w:t>reside</w:t>
      </w:r>
      <w:r>
        <w:rPr>
          <w:color w:val="231F20"/>
          <w:spacing w:val="-24"/>
          <w:w w:val="105"/>
        </w:rPr>
        <w:t> </w:t>
      </w:r>
      <w:r>
        <w:rPr>
          <w:color w:val="231F20"/>
          <w:w w:val="105"/>
        </w:rPr>
        <w:t>in </w:t>
      </w:r>
      <w:r>
        <w:rPr>
          <w:color w:val="231F20"/>
          <w:spacing w:val="-3"/>
          <w:w w:val="105"/>
        </w:rPr>
        <w:t>California</w:t>
      </w:r>
      <w:r>
        <w:rPr>
          <w:color w:val="231F20"/>
          <w:spacing w:val="-22"/>
          <w:w w:val="105"/>
        </w:rPr>
        <w:t> </w:t>
      </w:r>
      <w:r>
        <w:rPr>
          <w:color w:val="231F20"/>
          <w:w w:val="105"/>
        </w:rPr>
        <w:t>and</w:t>
      </w:r>
      <w:r>
        <w:rPr>
          <w:color w:val="231F20"/>
          <w:spacing w:val="-26"/>
          <w:w w:val="105"/>
        </w:rPr>
        <w:t> </w:t>
      </w:r>
      <w:r>
        <w:rPr>
          <w:color w:val="231F20"/>
          <w:spacing w:val="-6"/>
          <w:w w:val="105"/>
        </w:rPr>
        <w:t>Texas,</w:t>
      </w:r>
      <w:r>
        <w:rPr>
          <w:color w:val="231F20"/>
          <w:spacing w:val="-27"/>
          <w:w w:val="105"/>
        </w:rPr>
        <w:t> </w:t>
      </w:r>
      <w:r>
        <w:rPr>
          <w:color w:val="231F20"/>
          <w:w w:val="105"/>
        </w:rPr>
        <w:t>but</w:t>
      </w:r>
      <w:r>
        <w:rPr>
          <w:color w:val="231F20"/>
          <w:spacing w:val="-22"/>
          <w:w w:val="105"/>
        </w:rPr>
        <w:t> </w:t>
      </w:r>
      <w:r>
        <w:rPr>
          <w:color w:val="231F20"/>
          <w:w w:val="105"/>
        </w:rPr>
        <w:t>they</w:t>
      </w:r>
      <w:r>
        <w:rPr>
          <w:color w:val="231F20"/>
          <w:spacing w:val="-22"/>
          <w:w w:val="105"/>
        </w:rPr>
        <w:t> </w:t>
      </w:r>
      <w:r>
        <w:rPr>
          <w:color w:val="231F20"/>
          <w:spacing w:val="-3"/>
          <w:w w:val="105"/>
        </w:rPr>
        <w:t>are</w:t>
      </w:r>
      <w:r>
        <w:rPr>
          <w:color w:val="231F20"/>
          <w:spacing w:val="-22"/>
          <w:w w:val="105"/>
        </w:rPr>
        <w:t> </w:t>
      </w:r>
      <w:r>
        <w:rPr>
          <w:color w:val="231F20"/>
          <w:spacing w:val="-3"/>
          <w:w w:val="105"/>
        </w:rPr>
        <w:t>present</w:t>
      </w:r>
      <w:r>
        <w:rPr>
          <w:color w:val="231F20"/>
          <w:spacing w:val="-22"/>
          <w:w w:val="105"/>
        </w:rPr>
        <w:t> </w:t>
      </w:r>
      <w:r>
        <w:rPr>
          <w:color w:val="231F20"/>
          <w:w w:val="105"/>
        </w:rPr>
        <w:t>in</w:t>
      </w:r>
      <w:r>
        <w:rPr>
          <w:color w:val="231F20"/>
          <w:spacing w:val="-22"/>
          <w:w w:val="105"/>
        </w:rPr>
        <w:t> </w:t>
      </w:r>
      <w:r>
        <w:rPr>
          <w:color w:val="231F20"/>
          <w:w w:val="105"/>
        </w:rPr>
        <w:t>all</w:t>
      </w:r>
      <w:r>
        <w:rPr>
          <w:color w:val="231F20"/>
          <w:spacing w:val="-22"/>
          <w:w w:val="105"/>
        </w:rPr>
        <w:t> </w:t>
      </w:r>
      <w:r>
        <w:rPr>
          <w:color w:val="231F20"/>
          <w:spacing w:val="-2"/>
          <w:w w:val="105"/>
        </w:rPr>
        <w:t>states</w:t>
      </w:r>
      <w:r>
        <w:rPr>
          <w:color w:val="231F20"/>
          <w:spacing w:val="-22"/>
          <w:w w:val="105"/>
        </w:rPr>
        <w:t> </w:t>
      </w:r>
      <w:r>
        <w:rPr>
          <w:color w:val="231F20"/>
          <w:w w:val="105"/>
        </w:rPr>
        <w:t>as</w:t>
      </w:r>
      <w:r>
        <w:rPr>
          <w:color w:val="231F20"/>
          <w:spacing w:val="-22"/>
          <w:w w:val="105"/>
        </w:rPr>
        <w:t> </w:t>
      </w:r>
      <w:r>
        <w:rPr>
          <w:color w:val="231F20"/>
          <w:w w:val="105"/>
        </w:rPr>
        <w:t>well</w:t>
      </w:r>
      <w:r>
        <w:rPr>
          <w:color w:val="231F20"/>
          <w:spacing w:val="-22"/>
          <w:w w:val="105"/>
        </w:rPr>
        <w:t> </w:t>
      </w:r>
      <w:r>
        <w:rPr>
          <w:color w:val="231F20"/>
          <w:w w:val="105"/>
        </w:rPr>
        <w:t>as</w:t>
      </w:r>
      <w:r>
        <w:rPr>
          <w:color w:val="231F20"/>
          <w:spacing w:val="-22"/>
          <w:w w:val="105"/>
        </w:rPr>
        <w:t> </w:t>
      </w:r>
      <w:r>
        <w:rPr>
          <w:color w:val="231F20"/>
          <w:w w:val="105"/>
        </w:rPr>
        <w:t>in</w:t>
      </w:r>
      <w:r>
        <w:rPr>
          <w:color w:val="231F20"/>
          <w:spacing w:val="-22"/>
          <w:w w:val="105"/>
        </w:rPr>
        <w:t> </w:t>
      </w:r>
      <w:r>
        <w:rPr>
          <w:color w:val="231F20"/>
          <w:w w:val="105"/>
        </w:rPr>
        <w:t>the</w:t>
      </w:r>
      <w:r>
        <w:rPr>
          <w:color w:val="231F20"/>
          <w:spacing w:val="-22"/>
          <w:w w:val="105"/>
        </w:rPr>
        <w:t> </w:t>
      </w:r>
      <w:r>
        <w:rPr>
          <w:color w:val="231F20"/>
          <w:w w:val="105"/>
        </w:rPr>
        <w:t>Dis- trict</w:t>
      </w:r>
      <w:r>
        <w:rPr>
          <w:color w:val="231F20"/>
          <w:spacing w:val="-27"/>
          <w:w w:val="105"/>
        </w:rPr>
        <w:t> </w:t>
      </w:r>
      <w:r>
        <w:rPr>
          <w:color w:val="231F20"/>
          <w:w w:val="105"/>
        </w:rPr>
        <w:t>of</w:t>
      </w:r>
      <w:r>
        <w:rPr>
          <w:color w:val="231F20"/>
          <w:spacing w:val="-24"/>
          <w:w w:val="105"/>
        </w:rPr>
        <w:t> </w:t>
      </w:r>
      <w:r>
        <w:rPr>
          <w:color w:val="231F20"/>
          <w:spacing w:val="-2"/>
          <w:w w:val="105"/>
        </w:rPr>
        <w:t>Columbia,</w:t>
      </w:r>
      <w:r>
        <w:rPr>
          <w:color w:val="231F20"/>
          <w:spacing w:val="-31"/>
          <w:w w:val="105"/>
        </w:rPr>
        <w:t> </w:t>
      </w:r>
      <w:r>
        <w:rPr>
          <w:color w:val="231F20"/>
          <w:spacing w:val="-4"/>
          <w:w w:val="105"/>
        </w:rPr>
        <w:t>Puerto</w:t>
      </w:r>
      <w:r>
        <w:rPr>
          <w:color w:val="231F20"/>
          <w:spacing w:val="-27"/>
          <w:w w:val="105"/>
        </w:rPr>
        <w:t> </w:t>
      </w:r>
      <w:r>
        <w:rPr>
          <w:color w:val="231F20"/>
          <w:w w:val="105"/>
        </w:rPr>
        <w:t>Rico,</w:t>
      </w:r>
      <w:r>
        <w:rPr>
          <w:color w:val="231F20"/>
          <w:spacing w:val="-31"/>
          <w:w w:val="105"/>
        </w:rPr>
        <w:t> </w:t>
      </w:r>
      <w:r>
        <w:rPr>
          <w:color w:val="231F20"/>
          <w:w w:val="105"/>
        </w:rPr>
        <w:t>the</w:t>
      </w:r>
      <w:r>
        <w:rPr>
          <w:color w:val="231F20"/>
          <w:spacing w:val="-30"/>
          <w:w w:val="105"/>
        </w:rPr>
        <w:t> </w:t>
      </w:r>
      <w:r>
        <w:rPr>
          <w:color w:val="231F20"/>
          <w:spacing w:val="-3"/>
          <w:w w:val="105"/>
        </w:rPr>
        <w:t>Virgin</w:t>
      </w:r>
      <w:r>
        <w:rPr>
          <w:color w:val="231F20"/>
          <w:spacing w:val="-27"/>
          <w:w w:val="105"/>
        </w:rPr>
        <w:t> </w:t>
      </w:r>
      <w:r>
        <w:rPr>
          <w:color w:val="231F20"/>
          <w:w w:val="105"/>
        </w:rPr>
        <w:t>Islands,</w:t>
      </w:r>
      <w:r>
        <w:rPr>
          <w:color w:val="231F20"/>
          <w:spacing w:val="-31"/>
          <w:w w:val="105"/>
        </w:rPr>
        <w:t> </w:t>
      </w:r>
      <w:r>
        <w:rPr>
          <w:color w:val="231F20"/>
          <w:w w:val="105"/>
        </w:rPr>
        <w:t>and</w:t>
      </w:r>
      <w:r>
        <w:rPr>
          <w:color w:val="231F20"/>
          <w:spacing w:val="-27"/>
          <w:w w:val="105"/>
        </w:rPr>
        <w:t> </w:t>
      </w:r>
      <w:r>
        <w:rPr>
          <w:color w:val="231F20"/>
          <w:w w:val="105"/>
        </w:rPr>
        <w:t>Guam</w:t>
      </w:r>
      <w:r>
        <w:rPr>
          <w:color w:val="231F20"/>
          <w:spacing w:val="-27"/>
          <w:w w:val="105"/>
        </w:rPr>
        <w:t> </w:t>
      </w:r>
      <w:r>
        <w:rPr>
          <w:color w:val="231F20"/>
          <w:w w:val="105"/>
        </w:rPr>
        <w:t>(United</w:t>
      </w:r>
      <w:r>
        <w:rPr>
          <w:color w:val="231F20"/>
          <w:spacing w:val="-27"/>
          <w:w w:val="105"/>
        </w:rPr>
        <w:t> </w:t>
      </w:r>
      <w:r>
        <w:rPr>
          <w:color w:val="231F20"/>
          <w:spacing w:val="-3"/>
          <w:w w:val="105"/>
        </w:rPr>
        <w:t>States </w:t>
      </w:r>
      <w:r>
        <w:rPr>
          <w:color w:val="231F20"/>
          <w:w w:val="105"/>
        </w:rPr>
        <w:t>Citizenship</w:t>
      </w:r>
      <w:r>
        <w:rPr>
          <w:color w:val="231F20"/>
          <w:spacing w:val="-36"/>
          <w:w w:val="105"/>
        </w:rPr>
        <w:t> </w:t>
      </w:r>
      <w:r>
        <w:rPr>
          <w:color w:val="231F20"/>
          <w:w w:val="105"/>
        </w:rPr>
        <w:t>and</w:t>
      </w:r>
      <w:r>
        <w:rPr>
          <w:color w:val="231F20"/>
          <w:spacing w:val="-36"/>
          <w:w w:val="105"/>
        </w:rPr>
        <w:t> </w:t>
      </w:r>
      <w:r>
        <w:rPr>
          <w:color w:val="231F20"/>
          <w:spacing w:val="-3"/>
          <w:w w:val="105"/>
        </w:rPr>
        <w:t>Immigration</w:t>
      </w:r>
      <w:r>
        <w:rPr>
          <w:color w:val="231F20"/>
          <w:spacing w:val="-36"/>
          <w:w w:val="105"/>
        </w:rPr>
        <w:t> </w:t>
      </w:r>
      <w:r>
        <w:rPr>
          <w:color w:val="231F20"/>
          <w:w w:val="105"/>
        </w:rPr>
        <w:t>Services,</w:t>
      </w:r>
      <w:r>
        <w:rPr>
          <w:color w:val="231F20"/>
          <w:spacing w:val="-40"/>
          <w:w w:val="105"/>
        </w:rPr>
        <w:t> </w:t>
      </w:r>
      <w:r>
        <w:rPr>
          <w:color w:val="231F20"/>
          <w:w w:val="105"/>
        </w:rPr>
        <w:t>2015).</w:t>
      </w:r>
      <w:r>
        <w:rPr>
          <w:color w:val="231F20"/>
          <w:spacing w:val="-40"/>
          <w:w w:val="105"/>
        </w:rPr>
        <w:t> </w:t>
      </w:r>
      <w:r>
        <w:rPr>
          <w:color w:val="231F20"/>
          <w:w w:val="105"/>
        </w:rPr>
        <w:t>In</w:t>
      </w:r>
      <w:r>
        <w:rPr>
          <w:color w:val="231F20"/>
          <w:spacing w:val="-36"/>
          <w:w w:val="105"/>
        </w:rPr>
        <w:t> </w:t>
      </w:r>
      <w:r>
        <w:rPr>
          <w:color w:val="231F20"/>
          <w:w w:val="105"/>
        </w:rPr>
        <w:t>2014</w:t>
      </w:r>
      <w:r>
        <w:rPr>
          <w:color w:val="231F20"/>
          <w:spacing w:val="-36"/>
          <w:w w:val="105"/>
        </w:rPr>
        <w:t> </w:t>
      </w:r>
      <w:r>
        <w:rPr>
          <w:color w:val="231F20"/>
          <w:spacing w:val="-4"/>
          <w:w w:val="105"/>
        </w:rPr>
        <w:t>President</w:t>
      </w:r>
      <w:r>
        <w:rPr>
          <w:color w:val="231F20"/>
          <w:spacing w:val="-36"/>
          <w:w w:val="105"/>
        </w:rPr>
        <w:t> </w:t>
      </w:r>
      <w:r>
        <w:rPr>
          <w:color w:val="231F20"/>
          <w:w w:val="105"/>
        </w:rPr>
        <w:t>Obama</w:t>
      </w:r>
      <w:r>
        <w:rPr>
          <w:color w:val="231F20"/>
          <w:spacing w:val="-36"/>
          <w:w w:val="105"/>
        </w:rPr>
        <w:t> </w:t>
      </w:r>
      <w:r>
        <w:rPr>
          <w:color w:val="231F20"/>
          <w:spacing w:val="-3"/>
          <w:w w:val="105"/>
        </w:rPr>
        <w:t>ex- </w:t>
      </w:r>
      <w:r>
        <w:rPr>
          <w:color w:val="231F20"/>
          <w:w w:val="105"/>
        </w:rPr>
        <w:t>tended the eligibility criteria for </w:t>
      </w:r>
      <w:r>
        <w:rPr>
          <w:color w:val="231F20"/>
          <w:spacing w:val="-3"/>
          <w:w w:val="105"/>
          <w:sz w:val="17"/>
        </w:rPr>
        <w:t>DACA </w:t>
      </w:r>
      <w:r>
        <w:rPr>
          <w:color w:val="231F20"/>
          <w:w w:val="105"/>
        </w:rPr>
        <w:t>and also </w:t>
      </w:r>
      <w:r>
        <w:rPr>
          <w:color w:val="231F20"/>
          <w:spacing w:val="-3"/>
          <w:w w:val="105"/>
        </w:rPr>
        <w:t>proposed deferred </w:t>
      </w:r>
      <w:r>
        <w:rPr>
          <w:color w:val="231F20"/>
          <w:spacing w:val="-2"/>
          <w:w w:val="105"/>
        </w:rPr>
        <w:t>action </w:t>
      </w:r>
      <w:r>
        <w:rPr>
          <w:color w:val="231F20"/>
          <w:w w:val="105"/>
        </w:rPr>
        <w:t>for unauthorized </w:t>
      </w:r>
      <w:r>
        <w:rPr>
          <w:color w:val="231F20"/>
          <w:spacing w:val="-3"/>
          <w:w w:val="105"/>
        </w:rPr>
        <w:t>parents </w:t>
      </w:r>
      <w:r>
        <w:rPr>
          <w:color w:val="231F20"/>
          <w:w w:val="105"/>
        </w:rPr>
        <w:t>of United </w:t>
      </w:r>
      <w:r>
        <w:rPr>
          <w:color w:val="231F20"/>
          <w:spacing w:val="-3"/>
          <w:w w:val="105"/>
        </w:rPr>
        <w:t>States </w:t>
      </w:r>
      <w:r>
        <w:rPr>
          <w:color w:val="231F20"/>
          <w:w w:val="105"/>
        </w:rPr>
        <w:t>citizen </w:t>
      </w:r>
      <w:r>
        <w:rPr>
          <w:color w:val="231F20"/>
          <w:spacing w:val="-3"/>
          <w:w w:val="105"/>
        </w:rPr>
        <w:t>children, </w:t>
      </w:r>
      <w:r>
        <w:rPr>
          <w:color w:val="231F20"/>
          <w:w w:val="105"/>
        </w:rPr>
        <w:t>but this </w:t>
      </w:r>
      <w:r>
        <w:rPr>
          <w:color w:val="231F20"/>
          <w:spacing w:val="-2"/>
          <w:w w:val="105"/>
        </w:rPr>
        <w:t>action </w:t>
      </w:r>
      <w:r>
        <w:rPr>
          <w:color w:val="231F20"/>
          <w:w w:val="105"/>
        </w:rPr>
        <w:t>has</w:t>
      </w:r>
      <w:r>
        <w:rPr>
          <w:color w:val="231F20"/>
          <w:spacing w:val="-13"/>
          <w:w w:val="105"/>
        </w:rPr>
        <w:t> </w:t>
      </w:r>
      <w:r>
        <w:rPr>
          <w:color w:val="231F20"/>
          <w:w w:val="105"/>
        </w:rPr>
        <w:t>been</w:t>
      </w:r>
      <w:r>
        <w:rPr>
          <w:color w:val="231F20"/>
          <w:spacing w:val="-13"/>
          <w:w w:val="105"/>
        </w:rPr>
        <w:t> </w:t>
      </w:r>
      <w:r>
        <w:rPr>
          <w:color w:val="231F20"/>
          <w:w w:val="105"/>
        </w:rPr>
        <w:t>held</w:t>
      </w:r>
      <w:r>
        <w:rPr>
          <w:color w:val="231F20"/>
          <w:spacing w:val="-13"/>
          <w:w w:val="105"/>
        </w:rPr>
        <w:t> </w:t>
      </w:r>
      <w:r>
        <w:rPr>
          <w:color w:val="231F20"/>
          <w:w w:val="105"/>
        </w:rPr>
        <w:t>up</w:t>
      </w:r>
      <w:r>
        <w:rPr>
          <w:color w:val="231F20"/>
          <w:spacing w:val="-13"/>
          <w:w w:val="105"/>
        </w:rPr>
        <w:t> </w:t>
      </w:r>
      <w:r>
        <w:rPr>
          <w:color w:val="231F20"/>
          <w:w w:val="105"/>
        </w:rPr>
        <w:t>in</w:t>
      </w:r>
      <w:r>
        <w:rPr>
          <w:color w:val="231F20"/>
          <w:spacing w:val="-13"/>
          <w:w w:val="105"/>
        </w:rPr>
        <w:t> </w:t>
      </w:r>
      <w:r>
        <w:rPr>
          <w:color w:val="231F20"/>
          <w:w w:val="105"/>
        </w:rPr>
        <w:t>the</w:t>
      </w:r>
      <w:r>
        <w:rPr>
          <w:color w:val="231F20"/>
          <w:spacing w:val="-13"/>
          <w:w w:val="105"/>
        </w:rPr>
        <w:t> </w:t>
      </w:r>
      <w:r>
        <w:rPr>
          <w:color w:val="231F20"/>
          <w:w w:val="105"/>
        </w:rPr>
        <w:t>United</w:t>
      </w:r>
      <w:r>
        <w:rPr>
          <w:color w:val="231F20"/>
          <w:spacing w:val="-13"/>
          <w:w w:val="105"/>
        </w:rPr>
        <w:t> </w:t>
      </w:r>
      <w:r>
        <w:rPr>
          <w:color w:val="231F20"/>
          <w:spacing w:val="-3"/>
          <w:w w:val="105"/>
        </w:rPr>
        <w:t>States</w:t>
      </w:r>
      <w:r>
        <w:rPr>
          <w:color w:val="231F20"/>
          <w:spacing w:val="-13"/>
          <w:w w:val="105"/>
        </w:rPr>
        <w:t> </w:t>
      </w:r>
      <w:r>
        <w:rPr>
          <w:color w:val="231F20"/>
          <w:w w:val="105"/>
        </w:rPr>
        <w:t>courts.</w:t>
      </w:r>
      <w:r>
        <w:rPr>
          <w:color w:val="231F20"/>
          <w:spacing w:val="-18"/>
          <w:w w:val="105"/>
        </w:rPr>
        <w:t> </w:t>
      </w:r>
      <w:r>
        <w:rPr>
          <w:color w:val="231F20"/>
          <w:w w:val="105"/>
        </w:rPr>
        <w:t>Uncertainty</w:t>
      </w:r>
      <w:r>
        <w:rPr>
          <w:color w:val="231F20"/>
          <w:spacing w:val="-13"/>
          <w:w w:val="105"/>
        </w:rPr>
        <w:t> </w:t>
      </w:r>
      <w:r>
        <w:rPr>
          <w:color w:val="231F20"/>
          <w:spacing w:val="-3"/>
          <w:w w:val="105"/>
        </w:rPr>
        <w:t>remains</w:t>
      </w:r>
      <w:r>
        <w:rPr>
          <w:color w:val="231F20"/>
          <w:spacing w:val="-13"/>
          <w:w w:val="105"/>
        </w:rPr>
        <w:t> </w:t>
      </w:r>
      <w:r>
        <w:rPr>
          <w:color w:val="231F20"/>
          <w:w w:val="105"/>
        </w:rPr>
        <w:t>for</w:t>
      </w:r>
      <w:r>
        <w:rPr>
          <w:color w:val="231F20"/>
          <w:spacing w:val="-13"/>
          <w:w w:val="105"/>
        </w:rPr>
        <w:t> </w:t>
      </w:r>
      <w:r>
        <w:rPr>
          <w:color w:val="231F20"/>
          <w:spacing w:val="-2"/>
          <w:w w:val="105"/>
        </w:rPr>
        <w:t>the </w:t>
      </w:r>
      <w:r>
        <w:rPr>
          <w:color w:val="231F20"/>
          <w:w w:val="105"/>
        </w:rPr>
        <w:t>millions of unauthorized families and unauthorized youth whose </w:t>
      </w:r>
      <w:r>
        <w:rPr>
          <w:color w:val="231F20"/>
          <w:spacing w:val="-3"/>
          <w:w w:val="105"/>
        </w:rPr>
        <w:t>futures </w:t>
      </w:r>
      <w:r>
        <w:rPr>
          <w:color w:val="231F20"/>
          <w:w w:val="105"/>
        </w:rPr>
        <w:t>depend on </w:t>
      </w:r>
      <w:r>
        <w:rPr>
          <w:color w:val="231F20"/>
          <w:spacing w:val="-3"/>
          <w:w w:val="105"/>
        </w:rPr>
        <w:t>comprehensive immigration</w:t>
      </w:r>
      <w:r>
        <w:rPr>
          <w:color w:val="231F20"/>
          <w:spacing w:val="23"/>
          <w:w w:val="105"/>
        </w:rPr>
        <w:t> </w:t>
      </w:r>
      <w:r>
        <w:rPr>
          <w:color w:val="231F20"/>
          <w:spacing w:val="-3"/>
          <w:w w:val="105"/>
        </w:rPr>
        <w:t>reform.</w:t>
      </w:r>
    </w:p>
    <w:p>
      <w:pPr>
        <w:pStyle w:val="BodyText"/>
        <w:rPr>
          <w:sz w:val="20"/>
        </w:rPr>
      </w:pPr>
    </w:p>
    <w:p>
      <w:pPr>
        <w:pStyle w:val="BodyText"/>
        <w:spacing w:before="9"/>
        <w:rPr>
          <w:sz w:val="20"/>
        </w:rPr>
      </w:pPr>
    </w:p>
    <w:p>
      <w:pPr>
        <w:pStyle w:val="Heading3"/>
      </w:pPr>
      <w:r>
        <w:rPr>
          <w:color w:val="231F20"/>
        </w:rPr>
        <w:t>The Impact of Undocumented Status on Schooling</w:t>
      </w:r>
    </w:p>
    <w:p>
      <w:pPr>
        <w:pStyle w:val="BodyText"/>
        <w:rPr>
          <w:rFonts w:ascii="Arial"/>
          <w:b/>
          <w:sz w:val="22"/>
        </w:rPr>
      </w:pPr>
    </w:p>
    <w:p>
      <w:pPr>
        <w:pStyle w:val="BodyText"/>
        <w:spacing w:line="261" w:lineRule="auto" w:before="163"/>
        <w:ind w:left="1837" w:right="1721"/>
        <w:jc w:val="both"/>
      </w:pPr>
      <w:r>
        <w:rPr/>
        <w:pict>
          <v:line style="position:absolute;mso-position-horizontal-relative:page;mso-position-vertical-relative:paragraph;z-index:-485488" from="15pt,106.431793pt" to="0pt,106.431793pt" stroked="true" strokeweight=".25pt" strokecolor="#000000">
            <w10:wrap type="none"/>
          </v:line>
        </w:pict>
      </w:r>
      <w:r>
        <w:rPr/>
        <w:pict>
          <v:line style="position:absolute;mso-position-horizontal-relative:page;mso-position-vertical-relative:paragraph;z-index:4720" from="508.890015pt,106.431793pt" to="523.890015pt,106.431793pt" stroked="true" strokeweight=".25pt" strokecolor="#000000">
            <w10:wrap type="none"/>
          </v:line>
        </w:pict>
      </w:r>
      <w:r>
        <w:rPr>
          <w:color w:val="231F20"/>
          <w:w w:val="105"/>
        </w:rPr>
        <w:t>Growing up in the United States without authorized immigration status or with parents who are unauthorized immigrants can be very  stressful</w:t>
      </w:r>
    </w:p>
    <w:p>
      <w:pPr>
        <w:spacing w:after="0" w:line="261" w:lineRule="auto"/>
        <w:jc w:val="both"/>
        <w:sectPr>
          <w:headerReference w:type="default" r:id="rId49"/>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4768" from="15pt,-71.68644pt" to="0pt,-71.68644pt" stroked="true" strokeweight=".25pt" strokecolor="#000000">
            <w10:wrap type="none"/>
          </v:line>
        </w:pict>
      </w:r>
      <w:r>
        <w:rPr/>
        <w:pict>
          <v:line style="position:absolute;mso-position-horizontal-relative:page;mso-position-vertical-relative:paragraph;z-index:4792" from="508.890015pt,-71.68644pt" to="523.890015pt,-71.68644pt" stroked="true" strokeweight=".25pt" strokecolor="#000000">
            <w10:wrap type="none"/>
          </v:line>
        </w:pict>
      </w:r>
      <w:r>
        <w:rPr>
          <w:color w:val="231F20"/>
          <w:w w:val="105"/>
        </w:rPr>
        <w:t>for</w:t>
      </w:r>
      <w:r>
        <w:rPr>
          <w:color w:val="231F20"/>
          <w:spacing w:val="-8"/>
          <w:w w:val="105"/>
        </w:rPr>
        <w:t> </w:t>
      </w:r>
      <w:r>
        <w:rPr>
          <w:color w:val="231F20"/>
          <w:w w:val="105"/>
        </w:rPr>
        <w:t>children</w:t>
      </w:r>
      <w:r>
        <w:rPr>
          <w:color w:val="231F20"/>
          <w:spacing w:val="-8"/>
          <w:w w:val="105"/>
        </w:rPr>
        <w:t> </w:t>
      </w:r>
      <w:r>
        <w:rPr>
          <w:color w:val="231F20"/>
          <w:w w:val="105"/>
        </w:rPr>
        <w:t>and</w:t>
      </w:r>
      <w:r>
        <w:rPr>
          <w:color w:val="231F20"/>
          <w:spacing w:val="-8"/>
          <w:w w:val="105"/>
        </w:rPr>
        <w:t> </w:t>
      </w:r>
      <w:r>
        <w:rPr>
          <w:color w:val="231F20"/>
          <w:w w:val="105"/>
        </w:rPr>
        <w:t>adolescents.</w:t>
      </w:r>
      <w:r>
        <w:rPr>
          <w:color w:val="231F20"/>
          <w:spacing w:val="-18"/>
          <w:w w:val="105"/>
        </w:rPr>
        <w:t> </w:t>
      </w:r>
      <w:r>
        <w:rPr>
          <w:color w:val="231F20"/>
          <w:w w:val="105"/>
        </w:rPr>
        <w:t>According</w:t>
      </w:r>
      <w:r>
        <w:rPr>
          <w:color w:val="231F20"/>
          <w:spacing w:val="-8"/>
          <w:w w:val="105"/>
        </w:rPr>
        <w:t> </w:t>
      </w:r>
      <w:r>
        <w:rPr>
          <w:color w:val="231F20"/>
          <w:w w:val="105"/>
        </w:rPr>
        <w:t>to</w:t>
      </w:r>
      <w:r>
        <w:rPr>
          <w:color w:val="231F20"/>
          <w:spacing w:val="-8"/>
          <w:w w:val="105"/>
        </w:rPr>
        <w:t> </w:t>
      </w:r>
      <w:r>
        <w:rPr>
          <w:color w:val="231F20"/>
          <w:w w:val="105"/>
        </w:rPr>
        <w:t>a</w:t>
      </w:r>
      <w:r>
        <w:rPr>
          <w:color w:val="231F20"/>
          <w:spacing w:val="-8"/>
          <w:w w:val="105"/>
        </w:rPr>
        <w:t> </w:t>
      </w:r>
      <w:r>
        <w:rPr>
          <w:color w:val="231F20"/>
          <w:w w:val="105"/>
        </w:rPr>
        <w:t>report</w:t>
      </w:r>
      <w:r>
        <w:rPr>
          <w:color w:val="231F20"/>
          <w:spacing w:val="-8"/>
          <w:w w:val="105"/>
        </w:rPr>
        <w:t> </w:t>
      </w:r>
      <w:r>
        <w:rPr>
          <w:color w:val="231F20"/>
          <w:w w:val="105"/>
        </w:rPr>
        <w:t>from</w:t>
      </w:r>
      <w:r>
        <w:rPr>
          <w:color w:val="231F20"/>
          <w:spacing w:val="-8"/>
          <w:w w:val="105"/>
        </w:rPr>
        <w:t> </w:t>
      </w:r>
      <w:r>
        <w:rPr>
          <w:color w:val="231F20"/>
          <w:w w:val="105"/>
        </w:rPr>
        <w:t>the</w:t>
      </w:r>
      <w:r>
        <w:rPr>
          <w:color w:val="231F20"/>
          <w:spacing w:val="-8"/>
          <w:w w:val="105"/>
        </w:rPr>
        <w:t> </w:t>
      </w:r>
      <w:r>
        <w:rPr>
          <w:color w:val="231F20"/>
          <w:w w:val="105"/>
        </w:rPr>
        <w:t>Immigration </w:t>
      </w:r>
      <w:r>
        <w:rPr>
          <w:color w:val="231F20"/>
          <w:spacing w:val="-3"/>
          <w:w w:val="105"/>
        </w:rPr>
        <w:t>Policy </w:t>
      </w:r>
      <w:r>
        <w:rPr>
          <w:color w:val="231F20"/>
          <w:w w:val="105"/>
        </w:rPr>
        <w:t>Center (</w:t>
      </w:r>
      <w:r>
        <w:rPr>
          <w:color w:val="231F20"/>
          <w:w w:val="105"/>
          <w:sz w:val="17"/>
        </w:rPr>
        <w:t>IPC</w:t>
      </w:r>
      <w:r>
        <w:rPr>
          <w:color w:val="231F20"/>
          <w:w w:val="105"/>
        </w:rPr>
        <w:t>, 2007), roughly 65,000 undocumented children who have</w:t>
      </w:r>
      <w:r>
        <w:rPr>
          <w:color w:val="231F20"/>
          <w:spacing w:val="-17"/>
          <w:w w:val="105"/>
        </w:rPr>
        <w:t> </w:t>
      </w:r>
      <w:r>
        <w:rPr>
          <w:color w:val="231F20"/>
          <w:w w:val="105"/>
        </w:rPr>
        <w:t>lived</w:t>
      </w:r>
      <w:r>
        <w:rPr>
          <w:color w:val="231F20"/>
          <w:spacing w:val="-17"/>
          <w:w w:val="105"/>
        </w:rPr>
        <w:t> </w:t>
      </w:r>
      <w:r>
        <w:rPr>
          <w:color w:val="231F20"/>
          <w:w w:val="105"/>
        </w:rPr>
        <w:t>in</w:t>
      </w:r>
      <w:r>
        <w:rPr>
          <w:color w:val="231F20"/>
          <w:spacing w:val="-17"/>
          <w:w w:val="105"/>
        </w:rPr>
        <w:t> </w:t>
      </w:r>
      <w:r>
        <w:rPr>
          <w:color w:val="231F20"/>
          <w:w w:val="105"/>
        </w:rPr>
        <w:t>the</w:t>
      </w:r>
      <w:r>
        <w:rPr>
          <w:color w:val="231F20"/>
          <w:spacing w:val="-17"/>
          <w:w w:val="105"/>
        </w:rPr>
        <w:t> </w:t>
      </w:r>
      <w:r>
        <w:rPr>
          <w:color w:val="231F20"/>
          <w:w w:val="105"/>
        </w:rPr>
        <w:t>United</w:t>
      </w:r>
      <w:r>
        <w:rPr>
          <w:color w:val="231F20"/>
          <w:spacing w:val="-17"/>
          <w:w w:val="105"/>
        </w:rPr>
        <w:t> </w:t>
      </w:r>
      <w:r>
        <w:rPr>
          <w:color w:val="231F20"/>
          <w:w w:val="105"/>
        </w:rPr>
        <w:t>States</w:t>
      </w:r>
      <w:r>
        <w:rPr>
          <w:color w:val="231F20"/>
          <w:spacing w:val="-17"/>
          <w:w w:val="105"/>
        </w:rPr>
        <w:t> </w:t>
      </w:r>
      <w:r>
        <w:rPr>
          <w:color w:val="231F20"/>
          <w:w w:val="105"/>
        </w:rPr>
        <w:t>for</w:t>
      </w:r>
      <w:r>
        <w:rPr>
          <w:color w:val="231F20"/>
          <w:spacing w:val="-17"/>
          <w:w w:val="105"/>
        </w:rPr>
        <w:t> </w:t>
      </w:r>
      <w:r>
        <w:rPr>
          <w:color w:val="231F20"/>
          <w:w w:val="105"/>
        </w:rPr>
        <w:t>five</w:t>
      </w:r>
      <w:r>
        <w:rPr>
          <w:color w:val="231F20"/>
          <w:spacing w:val="-17"/>
          <w:w w:val="105"/>
        </w:rPr>
        <w:t> </w:t>
      </w:r>
      <w:r>
        <w:rPr>
          <w:color w:val="231F20"/>
          <w:w w:val="105"/>
        </w:rPr>
        <w:t>years</w:t>
      </w:r>
      <w:r>
        <w:rPr>
          <w:color w:val="231F20"/>
          <w:spacing w:val="-17"/>
          <w:w w:val="105"/>
        </w:rPr>
        <w:t> </w:t>
      </w:r>
      <w:r>
        <w:rPr>
          <w:color w:val="231F20"/>
          <w:w w:val="105"/>
        </w:rPr>
        <w:t>or</w:t>
      </w:r>
      <w:r>
        <w:rPr>
          <w:color w:val="231F20"/>
          <w:spacing w:val="-17"/>
          <w:w w:val="105"/>
        </w:rPr>
        <w:t> </w:t>
      </w:r>
      <w:r>
        <w:rPr>
          <w:color w:val="231F20"/>
          <w:w w:val="105"/>
        </w:rPr>
        <w:t>longer</w:t>
      </w:r>
      <w:r>
        <w:rPr>
          <w:color w:val="231F20"/>
          <w:spacing w:val="-17"/>
          <w:w w:val="105"/>
        </w:rPr>
        <w:t> </w:t>
      </w:r>
      <w:r>
        <w:rPr>
          <w:color w:val="231F20"/>
          <w:w w:val="105"/>
        </w:rPr>
        <w:t>graduate</w:t>
      </w:r>
      <w:r>
        <w:rPr>
          <w:color w:val="231F20"/>
          <w:spacing w:val="-17"/>
          <w:w w:val="105"/>
        </w:rPr>
        <w:t> </w:t>
      </w:r>
      <w:r>
        <w:rPr>
          <w:color w:val="231F20"/>
          <w:w w:val="105"/>
        </w:rPr>
        <w:t>from</w:t>
      </w:r>
      <w:r>
        <w:rPr>
          <w:color w:val="231F20"/>
          <w:spacing w:val="-17"/>
          <w:w w:val="105"/>
        </w:rPr>
        <w:t> </w:t>
      </w:r>
      <w:r>
        <w:rPr>
          <w:color w:val="231F20"/>
          <w:w w:val="105"/>
        </w:rPr>
        <w:t>high schools in the United States each year (</w:t>
      </w:r>
      <w:r>
        <w:rPr>
          <w:color w:val="231F20"/>
          <w:w w:val="105"/>
          <w:sz w:val="17"/>
        </w:rPr>
        <w:t>IPC</w:t>
      </w:r>
      <w:r>
        <w:rPr>
          <w:color w:val="231F20"/>
          <w:w w:val="105"/>
        </w:rPr>
        <w:t>, 2007). Many of those chil- dren were born in their country of origin but came to the United States at very young ages, have attended most of their school years in United States schools, and are likely to identify primarily with the United</w:t>
      </w:r>
      <w:r>
        <w:rPr>
          <w:color w:val="231F20"/>
          <w:spacing w:val="-36"/>
          <w:w w:val="105"/>
        </w:rPr>
        <w:t> </w:t>
      </w:r>
      <w:r>
        <w:rPr>
          <w:color w:val="231F20"/>
          <w:w w:val="105"/>
        </w:rPr>
        <w:t>States and</w:t>
      </w:r>
      <w:r>
        <w:rPr>
          <w:color w:val="231F20"/>
          <w:spacing w:val="-15"/>
          <w:w w:val="105"/>
        </w:rPr>
        <w:t> </w:t>
      </w:r>
      <w:r>
        <w:rPr>
          <w:color w:val="231F20"/>
          <w:w w:val="105"/>
        </w:rPr>
        <w:t>speak</w:t>
      </w:r>
      <w:r>
        <w:rPr>
          <w:color w:val="231F20"/>
          <w:spacing w:val="-15"/>
          <w:w w:val="105"/>
        </w:rPr>
        <w:t> </w:t>
      </w:r>
      <w:r>
        <w:rPr>
          <w:color w:val="231F20"/>
          <w:w w:val="105"/>
        </w:rPr>
        <w:t>English.</w:t>
      </w:r>
      <w:r>
        <w:rPr>
          <w:color w:val="231F20"/>
          <w:spacing w:val="-24"/>
          <w:w w:val="105"/>
        </w:rPr>
        <w:t> </w:t>
      </w:r>
      <w:r>
        <w:rPr>
          <w:color w:val="231F20"/>
          <w:w w:val="105"/>
        </w:rPr>
        <w:t>They</w:t>
      </w:r>
      <w:r>
        <w:rPr>
          <w:color w:val="231F20"/>
          <w:spacing w:val="-15"/>
          <w:w w:val="105"/>
        </w:rPr>
        <w:t> </w:t>
      </w:r>
      <w:r>
        <w:rPr>
          <w:color w:val="231F20"/>
          <w:w w:val="105"/>
        </w:rPr>
        <w:t>may</w:t>
      </w:r>
      <w:r>
        <w:rPr>
          <w:color w:val="231F20"/>
          <w:spacing w:val="-15"/>
          <w:w w:val="105"/>
        </w:rPr>
        <w:t> </w:t>
      </w:r>
      <w:r>
        <w:rPr>
          <w:color w:val="231F20"/>
          <w:w w:val="105"/>
        </w:rPr>
        <w:t>also</w:t>
      </w:r>
      <w:r>
        <w:rPr>
          <w:color w:val="231F20"/>
          <w:spacing w:val="-15"/>
          <w:w w:val="105"/>
        </w:rPr>
        <w:t> </w:t>
      </w:r>
      <w:r>
        <w:rPr>
          <w:color w:val="231F20"/>
          <w:w w:val="105"/>
        </w:rPr>
        <w:t>speak</w:t>
      </w:r>
      <w:r>
        <w:rPr>
          <w:color w:val="231F20"/>
          <w:spacing w:val="-15"/>
          <w:w w:val="105"/>
        </w:rPr>
        <w:t> </w:t>
      </w:r>
      <w:r>
        <w:rPr>
          <w:color w:val="231F20"/>
          <w:w w:val="105"/>
        </w:rPr>
        <w:t>the</w:t>
      </w:r>
      <w:r>
        <w:rPr>
          <w:color w:val="231F20"/>
          <w:spacing w:val="-15"/>
          <w:w w:val="105"/>
        </w:rPr>
        <w:t> </w:t>
      </w:r>
      <w:r>
        <w:rPr>
          <w:color w:val="231F20"/>
          <w:w w:val="105"/>
        </w:rPr>
        <w:t>language</w:t>
      </w:r>
      <w:r>
        <w:rPr>
          <w:color w:val="231F20"/>
          <w:spacing w:val="-15"/>
          <w:w w:val="105"/>
        </w:rPr>
        <w:t> </w:t>
      </w:r>
      <w:r>
        <w:rPr>
          <w:color w:val="231F20"/>
          <w:w w:val="105"/>
        </w:rPr>
        <w:t>of</w:t>
      </w:r>
      <w:r>
        <w:rPr>
          <w:color w:val="231F20"/>
          <w:spacing w:val="-11"/>
          <w:w w:val="105"/>
        </w:rPr>
        <w:t> </w:t>
      </w:r>
      <w:r>
        <w:rPr>
          <w:color w:val="231F20"/>
          <w:w w:val="105"/>
        </w:rPr>
        <w:t>their</w:t>
      </w:r>
      <w:r>
        <w:rPr>
          <w:color w:val="231F20"/>
          <w:spacing w:val="-15"/>
          <w:w w:val="105"/>
        </w:rPr>
        <w:t> </w:t>
      </w:r>
      <w:r>
        <w:rPr>
          <w:color w:val="231F20"/>
          <w:w w:val="105"/>
        </w:rPr>
        <w:t>country</w:t>
      </w:r>
      <w:r>
        <w:rPr>
          <w:color w:val="231F20"/>
          <w:spacing w:val="-15"/>
          <w:w w:val="105"/>
        </w:rPr>
        <w:t> </w:t>
      </w:r>
      <w:r>
        <w:rPr>
          <w:color w:val="231F20"/>
          <w:w w:val="105"/>
        </w:rPr>
        <w:t>of origin</w:t>
      </w:r>
      <w:r>
        <w:rPr>
          <w:color w:val="231F20"/>
          <w:spacing w:val="-9"/>
          <w:w w:val="105"/>
        </w:rPr>
        <w:t> </w:t>
      </w:r>
      <w:r>
        <w:rPr>
          <w:color w:val="231F20"/>
          <w:w w:val="105"/>
        </w:rPr>
        <w:t>in</w:t>
      </w:r>
      <w:r>
        <w:rPr>
          <w:color w:val="231F20"/>
          <w:spacing w:val="-9"/>
          <w:w w:val="105"/>
        </w:rPr>
        <w:t> </w:t>
      </w:r>
      <w:r>
        <w:rPr>
          <w:color w:val="231F20"/>
          <w:w w:val="105"/>
        </w:rPr>
        <w:t>their</w:t>
      </w:r>
      <w:r>
        <w:rPr>
          <w:color w:val="231F20"/>
          <w:spacing w:val="-9"/>
          <w:w w:val="105"/>
        </w:rPr>
        <w:t> </w:t>
      </w:r>
      <w:r>
        <w:rPr>
          <w:color w:val="231F20"/>
          <w:w w:val="105"/>
        </w:rPr>
        <w:t>homes</w:t>
      </w:r>
      <w:r>
        <w:rPr>
          <w:color w:val="231F20"/>
          <w:spacing w:val="-9"/>
          <w:w w:val="105"/>
        </w:rPr>
        <w:t> </w:t>
      </w:r>
      <w:r>
        <w:rPr>
          <w:color w:val="231F20"/>
          <w:w w:val="105"/>
        </w:rPr>
        <w:t>and</w:t>
      </w:r>
      <w:r>
        <w:rPr>
          <w:color w:val="231F20"/>
          <w:spacing w:val="-9"/>
          <w:w w:val="105"/>
        </w:rPr>
        <w:t> </w:t>
      </w:r>
      <w:r>
        <w:rPr>
          <w:color w:val="231F20"/>
          <w:w w:val="105"/>
        </w:rPr>
        <w:t>with</w:t>
      </w:r>
      <w:r>
        <w:rPr>
          <w:color w:val="231F20"/>
          <w:spacing w:val="-9"/>
          <w:w w:val="105"/>
        </w:rPr>
        <w:t> </w:t>
      </w:r>
      <w:r>
        <w:rPr>
          <w:color w:val="231F20"/>
          <w:w w:val="105"/>
        </w:rPr>
        <w:t>their</w:t>
      </w:r>
      <w:r>
        <w:rPr>
          <w:color w:val="231F20"/>
          <w:spacing w:val="-9"/>
          <w:w w:val="105"/>
        </w:rPr>
        <w:t> </w:t>
      </w:r>
      <w:r>
        <w:rPr>
          <w:color w:val="231F20"/>
          <w:w w:val="105"/>
        </w:rPr>
        <w:t>relatives.</w:t>
      </w:r>
    </w:p>
    <w:p>
      <w:pPr>
        <w:pStyle w:val="BodyText"/>
        <w:spacing w:line="261" w:lineRule="auto" w:before="1"/>
        <w:ind w:left="1723" w:right="1829" w:firstLine="567"/>
        <w:jc w:val="both"/>
      </w:pPr>
      <w:r>
        <w:rPr>
          <w:color w:val="231F20"/>
          <w:w w:val="105"/>
        </w:rPr>
        <w:t>One of the major issues for United States schools is determining the strengths of these youth in their native languages and English, be- cause</w:t>
      </w:r>
      <w:r>
        <w:rPr>
          <w:color w:val="231F20"/>
          <w:spacing w:val="-12"/>
          <w:w w:val="105"/>
        </w:rPr>
        <w:t> </w:t>
      </w:r>
      <w:r>
        <w:rPr>
          <w:color w:val="231F20"/>
          <w:w w:val="105"/>
        </w:rPr>
        <w:t>youth</w:t>
      </w:r>
      <w:r>
        <w:rPr>
          <w:color w:val="231F20"/>
          <w:spacing w:val="-12"/>
          <w:w w:val="105"/>
        </w:rPr>
        <w:t> </w:t>
      </w:r>
      <w:r>
        <w:rPr>
          <w:color w:val="231F20"/>
          <w:w w:val="105"/>
        </w:rPr>
        <w:t>may</w:t>
      </w:r>
      <w:r>
        <w:rPr>
          <w:color w:val="231F20"/>
          <w:spacing w:val="-12"/>
          <w:w w:val="105"/>
        </w:rPr>
        <w:t> </w:t>
      </w:r>
      <w:r>
        <w:rPr>
          <w:color w:val="231F20"/>
          <w:w w:val="105"/>
        </w:rPr>
        <w:t>be</w:t>
      </w:r>
      <w:r>
        <w:rPr>
          <w:color w:val="231F20"/>
          <w:spacing w:val="-12"/>
          <w:w w:val="105"/>
        </w:rPr>
        <w:t> </w:t>
      </w:r>
      <w:r>
        <w:rPr>
          <w:color w:val="231F20"/>
          <w:w w:val="105"/>
        </w:rPr>
        <w:t>reluctant</w:t>
      </w:r>
      <w:r>
        <w:rPr>
          <w:color w:val="231F20"/>
          <w:spacing w:val="-12"/>
          <w:w w:val="105"/>
        </w:rPr>
        <w:t> </w:t>
      </w:r>
      <w:r>
        <w:rPr>
          <w:color w:val="231F20"/>
          <w:w w:val="105"/>
        </w:rPr>
        <w:t>to</w:t>
      </w:r>
      <w:r>
        <w:rPr>
          <w:color w:val="231F20"/>
          <w:spacing w:val="-12"/>
          <w:w w:val="105"/>
        </w:rPr>
        <w:t> </w:t>
      </w:r>
      <w:r>
        <w:rPr>
          <w:color w:val="231F20"/>
          <w:w w:val="105"/>
        </w:rPr>
        <w:t>identify</w:t>
      </w:r>
      <w:r>
        <w:rPr>
          <w:color w:val="231F20"/>
          <w:spacing w:val="-12"/>
          <w:w w:val="105"/>
        </w:rPr>
        <w:t> </w:t>
      </w:r>
      <w:r>
        <w:rPr>
          <w:color w:val="231F20"/>
          <w:w w:val="105"/>
        </w:rPr>
        <w:t>as</w:t>
      </w:r>
      <w:r>
        <w:rPr>
          <w:color w:val="231F20"/>
          <w:spacing w:val="-12"/>
          <w:w w:val="105"/>
        </w:rPr>
        <w:t> </w:t>
      </w:r>
      <w:r>
        <w:rPr>
          <w:color w:val="231F20"/>
          <w:w w:val="105"/>
        </w:rPr>
        <w:t>immigrants</w:t>
      </w:r>
      <w:r>
        <w:rPr>
          <w:color w:val="231F20"/>
          <w:spacing w:val="-12"/>
          <w:w w:val="105"/>
        </w:rPr>
        <w:t> </w:t>
      </w:r>
      <w:r>
        <w:rPr>
          <w:color w:val="231F20"/>
          <w:w w:val="105"/>
        </w:rPr>
        <w:t>due</w:t>
      </w:r>
      <w:r>
        <w:rPr>
          <w:color w:val="231F20"/>
          <w:spacing w:val="-12"/>
          <w:w w:val="105"/>
        </w:rPr>
        <w:t> </w:t>
      </w:r>
      <w:r>
        <w:rPr>
          <w:color w:val="231F20"/>
          <w:w w:val="105"/>
        </w:rPr>
        <w:t>to</w:t>
      </w:r>
      <w:r>
        <w:rPr>
          <w:color w:val="231F20"/>
          <w:spacing w:val="-12"/>
          <w:w w:val="105"/>
        </w:rPr>
        <w:t> </w:t>
      </w:r>
      <w:r>
        <w:rPr>
          <w:color w:val="231F20"/>
          <w:w w:val="105"/>
        </w:rPr>
        <w:t>the</w:t>
      </w:r>
      <w:r>
        <w:rPr>
          <w:color w:val="231F20"/>
          <w:spacing w:val="-12"/>
          <w:w w:val="105"/>
        </w:rPr>
        <w:t> </w:t>
      </w:r>
      <w:r>
        <w:rPr>
          <w:color w:val="231F20"/>
          <w:w w:val="105"/>
        </w:rPr>
        <w:t>stigma of undocumented status or the status of their family members. Roberto Gonzales (2007), in a report for the Immigration </w:t>
      </w:r>
      <w:r>
        <w:rPr>
          <w:color w:val="231F20"/>
          <w:spacing w:val="-3"/>
          <w:w w:val="105"/>
        </w:rPr>
        <w:t>Policy </w:t>
      </w:r>
      <w:r>
        <w:rPr>
          <w:color w:val="231F20"/>
          <w:w w:val="105"/>
        </w:rPr>
        <w:t>Center, </w:t>
      </w:r>
      <w:r>
        <w:rPr>
          <w:rFonts w:ascii="Arial" w:hAnsi="Arial"/>
          <w:i/>
          <w:color w:val="231F20"/>
          <w:w w:val="105"/>
        </w:rPr>
        <w:t>Wasted </w:t>
      </w:r>
      <w:r>
        <w:rPr>
          <w:rFonts w:ascii="Arial" w:hAnsi="Arial"/>
          <w:i/>
          <w:color w:val="231F20"/>
          <w:spacing w:val="-4"/>
          <w:w w:val="105"/>
        </w:rPr>
        <w:t>Talent</w:t>
      </w:r>
      <w:r>
        <w:rPr>
          <w:rFonts w:ascii="Arial" w:hAnsi="Arial"/>
          <w:i/>
          <w:color w:val="231F20"/>
          <w:spacing w:val="-44"/>
          <w:w w:val="105"/>
        </w:rPr>
        <w:t> </w:t>
      </w:r>
      <w:r>
        <w:rPr>
          <w:rFonts w:ascii="Arial" w:hAnsi="Arial"/>
          <w:i/>
          <w:color w:val="231F20"/>
          <w:w w:val="105"/>
        </w:rPr>
        <w:t>and</w:t>
      </w:r>
      <w:r>
        <w:rPr>
          <w:rFonts w:ascii="Arial" w:hAnsi="Arial"/>
          <w:i/>
          <w:color w:val="231F20"/>
          <w:spacing w:val="-44"/>
          <w:w w:val="105"/>
        </w:rPr>
        <w:t> </w:t>
      </w:r>
      <w:r>
        <w:rPr>
          <w:rFonts w:ascii="Arial" w:hAnsi="Arial"/>
          <w:i/>
          <w:color w:val="231F20"/>
          <w:w w:val="105"/>
        </w:rPr>
        <w:t>Broken</w:t>
      </w:r>
      <w:r>
        <w:rPr>
          <w:rFonts w:ascii="Arial" w:hAnsi="Arial"/>
          <w:i/>
          <w:color w:val="231F20"/>
          <w:spacing w:val="-44"/>
          <w:w w:val="105"/>
        </w:rPr>
        <w:t> </w:t>
      </w:r>
      <w:r>
        <w:rPr>
          <w:rFonts w:ascii="Arial" w:hAnsi="Arial"/>
          <w:i/>
          <w:color w:val="231F20"/>
          <w:w w:val="105"/>
        </w:rPr>
        <w:t>Dreams:</w:t>
      </w:r>
      <w:r>
        <w:rPr>
          <w:rFonts w:ascii="Arial" w:hAnsi="Arial"/>
          <w:i/>
          <w:color w:val="231F20"/>
          <w:spacing w:val="-46"/>
          <w:w w:val="105"/>
        </w:rPr>
        <w:t> </w:t>
      </w:r>
      <w:r>
        <w:rPr>
          <w:rFonts w:ascii="Arial" w:hAnsi="Arial"/>
          <w:i/>
          <w:color w:val="231F20"/>
          <w:w w:val="105"/>
        </w:rPr>
        <w:t>The</w:t>
      </w:r>
      <w:r>
        <w:rPr>
          <w:rFonts w:ascii="Arial" w:hAnsi="Arial"/>
          <w:i/>
          <w:color w:val="231F20"/>
          <w:spacing w:val="-44"/>
          <w:w w:val="105"/>
        </w:rPr>
        <w:t> </w:t>
      </w:r>
      <w:r>
        <w:rPr>
          <w:rFonts w:ascii="Arial" w:hAnsi="Arial"/>
          <w:i/>
          <w:color w:val="231F20"/>
          <w:w w:val="105"/>
        </w:rPr>
        <w:t>Lost</w:t>
      </w:r>
      <w:r>
        <w:rPr>
          <w:rFonts w:ascii="Arial" w:hAnsi="Arial"/>
          <w:i/>
          <w:color w:val="231F20"/>
          <w:spacing w:val="-44"/>
          <w:w w:val="105"/>
        </w:rPr>
        <w:t> </w:t>
      </w:r>
      <w:r>
        <w:rPr>
          <w:rFonts w:ascii="Arial" w:hAnsi="Arial"/>
          <w:i/>
          <w:color w:val="231F20"/>
          <w:w w:val="105"/>
        </w:rPr>
        <w:t>Potential</w:t>
      </w:r>
      <w:r>
        <w:rPr>
          <w:rFonts w:ascii="Arial" w:hAnsi="Arial"/>
          <w:i/>
          <w:color w:val="231F20"/>
          <w:spacing w:val="-44"/>
          <w:w w:val="105"/>
        </w:rPr>
        <w:t> </w:t>
      </w:r>
      <w:r>
        <w:rPr>
          <w:rFonts w:ascii="Arial" w:hAnsi="Arial"/>
          <w:i/>
          <w:color w:val="231F20"/>
          <w:w w:val="105"/>
        </w:rPr>
        <w:t>of</w:t>
      </w:r>
      <w:r>
        <w:rPr>
          <w:rFonts w:ascii="Arial" w:hAnsi="Arial"/>
          <w:i/>
          <w:color w:val="231F20"/>
          <w:spacing w:val="-41"/>
          <w:w w:val="105"/>
        </w:rPr>
        <w:t> </w:t>
      </w:r>
      <w:r>
        <w:rPr>
          <w:rFonts w:ascii="Arial" w:hAnsi="Arial"/>
          <w:i/>
          <w:color w:val="231F20"/>
          <w:w w:val="105"/>
        </w:rPr>
        <w:t>Undocumented</w:t>
      </w:r>
      <w:r>
        <w:rPr>
          <w:rFonts w:ascii="Arial" w:hAnsi="Arial"/>
          <w:i/>
          <w:color w:val="231F20"/>
          <w:spacing w:val="-44"/>
          <w:w w:val="105"/>
        </w:rPr>
        <w:t> </w:t>
      </w:r>
      <w:r>
        <w:rPr>
          <w:rFonts w:ascii="Arial" w:hAnsi="Arial"/>
          <w:i/>
          <w:color w:val="231F20"/>
          <w:w w:val="105"/>
        </w:rPr>
        <w:t>Students</w:t>
      </w:r>
      <w:r>
        <w:rPr>
          <w:color w:val="231F20"/>
          <w:w w:val="105"/>
        </w:rPr>
        <w:t>, documented the plight of these students who cannot work legally in the United</w:t>
      </w:r>
      <w:r>
        <w:rPr>
          <w:color w:val="231F20"/>
          <w:spacing w:val="-28"/>
          <w:w w:val="105"/>
        </w:rPr>
        <w:t> </w:t>
      </w:r>
      <w:r>
        <w:rPr>
          <w:color w:val="231F20"/>
          <w:w w:val="105"/>
        </w:rPr>
        <w:t>States,</w:t>
      </w:r>
      <w:r>
        <w:rPr>
          <w:color w:val="231F20"/>
          <w:spacing w:val="-33"/>
          <w:w w:val="105"/>
        </w:rPr>
        <w:t> </w:t>
      </w:r>
      <w:r>
        <w:rPr>
          <w:color w:val="231F20"/>
          <w:w w:val="105"/>
        </w:rPr>
        <w:t>cannot</w:t>
      </w:r>
      <w:r>
        <w:rPr>
          <w:color w:val="231F20"/>
          <w:spacing w:val="-28"/>
          <w:w w:val="105"/>
        </w:rPr>
        <w:t> </w:t>
      </w:r>
      <w:r>
        <w:rPr>
          <w:color w:val="231F20"/>
          <w:w w:val="105"/>
        </w:rPr>
        <w:t>obtain</w:t>
      </w:r>
      <w:r>
        <w:rPr>
          <w:color w:val="231F20"/>
          <w:spacing w:val="-28"/>
          <w:w w:val="105"/>
        </w:rPr>
        <w:t> </w:t>
      </w:r>
      <w:r>
        <w:rPr>
          <w:color w:val="231F20"/>
          <w:w w:val="105"/>
        </w:rPr>
        <w:t>a</w:t>
      </w:r>
      <w:r>
        <w:rPr>
          <w:color w:val="231F20"/>
          <w:spacing w:val="-28"/>
          <w:w w:val="105"/>
        </w:rPr>
        <w:t> </w:t>
      </w:r>
      <w:r>
        <w:rPr>
          <w:color w:val="231F20"/>
          <w:w w:val="105"/>
        </w:rPr>
        <w:t>driver’s</w:t>
      </w:r>
      <w:r>
        <w:rPr>
          <w:color w:val="231F20"/>
          <w:spacing w:val="-28"/>
          <w:w w:val="105"/>
        </w:rPr>
        <w:t> </w:t>
      </w:r>
      <w:r>
        <w:rPr>
          <w:color w:val="231F20"/>
          <w:w w:val="105"/>
        </w:rPr>
        <w:t>license</w:t>
      </w:r>
      <w:r>
        <w:rPr>
          <w:color w:val="231F20"/>
          <w:spacing w:val="-28"/>
          <w:w w:val="105"/>
        </w:rPr>
        <w:t> </w:t>
      </w:r>
      <w:r>
        <w:rPr>
          <w:color w:val="231F20"/>
          <w:w w:val="105"/>
        </w:rPr>
        <w:t>or</w:t>
      </w:r>
      <w:r>
        <w:rPr>
          <w:color w:val="231F20"/>
          <w:spacing w:val="-28"/>
          <w:w w:val="105"/>
        </w:rPr>
        <w:t> </w:t>
      </w:r>
      <w:r>
        <w:rPr>
          <w:color w:val="231F20"/>
          <w:w w:val="105"/>
        </w:rPr>
        <w:t>attend</w:t>
      </w:r>
      <w:r>
        <w:rPr>
          <w:color w:val="231F20"/>
          <w:spacing w:val="-28"/>
          <w:w w:val="105"/>
        </w:rPr>
        <w:t> </w:t>
      </w:r>
      <w:r>
        <w:rPr>
          <w:color w:val="231F20"/>
          <w:w w:val="105"/>
        </w:rPr>
        <w:t>public</w:t>
      </w:r>
      <w:r>
        <w:rPr>
          <w:color w:val="231F20"/>
          <w:spacing w:val="-28"/>
          <w:w w:val="105"/>
        </w:rPr>
        <w:t> </w:t>
      </w:r>
      <w:r>
        <w:rPr>
          <w:color w:val="231F20"/>
          <w:w w:val="105"/>
        </w:rPr>
        <w:t>universities in</w:t>
      </w:r>
      <w:r>
        <w:rPr>
          <w:color w:val="231F20"/>
          <w:spacing w:val="-17"/>
          <w:w w:val="105"/>
        </w:rPr>
        <w:t> </w:t>
      </w:r>
      <w:r>
        <w:rPr>
          <w:color w:val="231F20"/>
          <w:w w:val="105"/>
        </w:rPr>
        <w:t>some</w:t>
      </w:r>
      <w:r>
        <w:rPr>
          <w:color w:val="231F20"/>
          <w:spacing w:val="-17"/>
          <w:w w:val="105"/>
        </w:rPr>
        <w:t> </w:t>
      </w:r>
      <w:r>
        <w:rPr>
          <w:color w:val="231F20"/>
          <w:w w:val="105"/>
        </w:rPr>
        <w:t>states,</w:t>
      </w:r>
      <w:r>
        <w:rPr>
          <w:color w:val="231F20"/>
          <w:spacing w:val="-24"/>
          <w:w w:val="105"/>
        </w:rPr>
        <w:t> </w:t>
      </w:r>
      <w:r>
        <w:rPr>
          <w:color w:val="231F20"/>
          <w:w w:val="105"/>
        </w:rPr>
        <w:t>and</w:t>
      </w:r>
      <w:r>
        <w:rPr>
          <w:color w:val="231F20"/>
          <w:spacing w:val="-17"/>
          <w:w w:val="105"/>
        </w:rPr>
        <w:t> </w:t>
      </w:r>
      <w:r>
        <w:rPr>
          <w:color w:val="231F20"/>
          <w:w w:val="105"/>
        </w:rPr>
        <w:t>cannot</w:t>
      </w:r>
      <w:r>
        <w:rPr>
          <w:color w:val="231F20"/>
          <w:spacing w:val="-17"/>
          <w:w w:val="105"/>
        </w:rPr>
        <w:t> </w:t>
      </w:r>
      <w:r>
        <w:rPr>
          <w:color w:val="231F20"/>
          <w:w w:val="105"/>
        </w:rPr>
        <w:t>put</w:t>
      </w:r>
      <w:r>
        <w:rPr>
          <w:color w:val="231F20"/>
          <w:spacing w:val="-17"/>
          <w:w w:val="105"/>
        </w:rPr>
        <w:t> </w:t>
      </w:r>
      <w:r>
        <w:rPr>
          <w:color w:val="231F20"/>
          <w:w w:val="105"/>
        </w:rPr>
        <w:t>their</w:t>
      </w:r>
      <w:r>
        <w:rPr>
          <w:color w:val="231F20"/>
          <w:spacing w:val="-17"/>
          <w:w w:val="105"/>
        </w:rPr>
        <w:t> </w:t>
      </w:r>
      <w:r>
        <w:rPr>
          <w:color w:val="231F20"/>
          <w:w w:val="105"/>
        </w:rPr>
        <w:t>education</w:t>
      </w:r>
      <w:r>
        <w:rPr>
          <w:color w:val="231F20"/>
          <w:spacing w:val="-17"/>
          <w:w w:val="105"/>
        </w:rPr>
        <w:t> </w:t>
      </w:r>
      <w:r>
        <w:rPr>
          <w:color w:val="231F20"/>
          <w:w w:val="105"/>
        </w:rPr>
        <w:t>to</w:t>
      </w:r>
      <w:r>
        <w:rPr>
          <w:color w:val="231F20"/>
          <w:spacing w:val="-17"/>
          <w:w w:val="105"/>
        </w:rPr>
        <w:t> </w:t>
      </w:r>
      <w:r>
        <w:rPr>
          <w:color w:val="231F20"/>
          <w:w w:val="105"/>
        </w:rPr>
        <w:t>good</w:t>
      </w:r>
      <w:r>
        <w:rPr>
          <w:color w:val="231F20"/>
          <w:spacing w:val="-17"/>
          <w:w w:val="105"/>
        </w:rPr>
        <w:t> </w:t>
      </w:r>
      <w:r>
        <w:rPr>
          <w:color w:val="231F20"/>
          <w:w w:val="105"/>
        </w:rPr>
        <w:t>use.</w:t>
      </w:r>
      <w:r>
        <w:rPr>
          <w:color w:val="231F20"/>
          <w:spacing w:val="-24"/>
          <w:w w:val="105"/>
        </w:rPr>
        <w:t> </w:t>
      </w:r>
      <w:r>
        <w:rPr>
          <w:color w:val="231F20"/>
          <w:w w:val="105"/>
        </w:rPr>
        <w:t>Many</w:t>
      </w:r>
      <w:r>
        <w:rPr>
          <w:color w:val="231F20"/>
          <w:spacing w:val="-17"/>
          <w:w w:val="105"/>
        </w:rPr>
        <w:t> </w:t>
      </w:r>
      <w:r>
        <w:rPr>
          <w:color w:val="231F20"/>
          <w:w w:val="105"/>
        </w:rPr>
        <w:t>get</w:t>
      </w:r>
      <w:r>
        <w:rPr>
          <w:color w:val="231F20"/>
          <w:spacing w:val="-17"/>
          <w:w w:val="105"/>
        </w:rPr>
        <w:t> </w:t>
      </w:r>
      <w:r>
        <w:rPr>
          <w:color w:val="231F20"/>
          <w:w w:val="105"/>
        </w:rPr>
        <w:t>dis- couraged</w:t>
      </w:r>
      <w:r>
        <w:rPr>
          <w:color w:val="231F20"/>
          <w:spacing w:val="-7"/>
          <w:w w:val="105"/>
        </w:rPr>
        <w:t> </w:t>
      </w:r>
      <w:r>
        <w:rPr>
          <w:color w:val="231F20"/>
          <w:w w:val="105"/>
        </w:rPr>
        <w:t>and</w:t>
      </w:r>
      <w:r>
        <w:rPr>
          <w:color w:val="231F20"/>
          <w:spacing w:val="-7"/>
          <w:w w:val="105"/>
        </w:rPr>
        <w:t> </w:t>
      </w:r>
      <w:r>
        <w:rPr>
          <w:color w:val="231F20"/>
          <w:w w:val="105"/>
        </w:rPr>
        <w:t>drop</w:t>
      </w:r>
      <w:r>
        <w:rPr>
          <w:color w:val="231F20"/>
          <w:spacing w:val="-7"/>
          <w:w w:val="105"/>
        </w:rPr>
        <w:t> </w:t>
      </w:r>
      <w:r>
        <w:rPr>
          <w:color w:val="231F20"/>
          <w:w w:val="105"/>
        </w:rPr>
        <w:t>out</w:t>
      </w:r>
      <w:r>
        <w:rPr>
          <w:color w:val="231F20"/>
          <w:spacing w:val="-7"/>
          <w:w w:val="105"/>
        </w:rPr>
        <w:t> </w:t>
      </w:r>
      <w:r>
        <w:rPr>
          <w:color w:val="231F20"/>
          <w:w w:val="105"/>
        </w:rPr>
        <w:t>before</w:t>
      </w:r>
      <w:r>
        <w:rPr>
          <w:color w:val="231F20"/>
          <w:spacing w:val="-7"/>
          <w:w w:val="105"/>
        </w:rPr>
        <w:t> </w:t>
      </w:r>
      <w:r>
        <w:rPr>
          <w:color w:val="231F20"/>
          <w:w w:val="105"/>
        </w:rPr>
        <w:t>completing</w:t>
      </w:r>
      <w:r>
        <w:rPr>
          <w:color w:val="231F20"/>
          <w:spacing w:val="-7"/>
          <w:w w:val="105"/>
        </w:rPr>
        <w:t> </w:t>
      </w:r>
      <w:r>
        <w:rPr>
          <w:color w:val="231F20"/>
          <w:w w:val="105"/>
        </w:rPr>
        <w:t>high</w:t>
      </w:r>
      <w:r>
        <w:rPr>
          <w:color w:val="231F20"/>
          <w:spacing w:val="-7"/>
          <w:w w:val="105"/>
        </w:rPr>
        <w:t> </w:t>
      </w:r>
      <w:r>
        <w:rPr>
          <w:color w:val="231F20"/>
          <w:w w:val="105"/>
        </w:rPr>
        <w:t>school.</w:t>
      </w:r>
      <w:r>
        <w:rPr>
          <w:color w:val="231F20"/>
          <w:spacing w:val="-14"/>
          <w:w w:val="105"/>
        </w:rPr>
        <w:t> </w:t>
      </w:r>
      <w:r>
        <w:rPr>
          <w:color w:val="231F20"/>
          <w:w w:val="105"/>
        </w:rPr>
        <w:t>Others</w:t>
      </w:r>
      <w:r>
        <w:rPr>
          <w:color w:val="231F20"/>
          <w:spacing w:val="-7"/>
          <w:w w:val="105"/>
        </w:rPr>
        <w:t> </w:t>
      </w:r>
      <w:r>
        <w:rPr>
          <w:color w:val="231F20"/>
          <w:w w:val="105"/>
        </w:rPr>
        <w:t>are</w:t>
      </w:r>
      <w:r>
        <w:rPr>
          <w:color w:val="231F20"/>
          <w:spacing w:val="-7"/>
          <w:w w:val="105"/>
        </w:rPr>
        <w:t> </w:t>
      </w:r>
      <w:r>
        <w:rPr>
          <w:color w:val="231F20"/>
          <w:w w:val="105"/>
        </w:rPr>
        <w:t>honor roll</w:t>
      </w:r>
      <w:r>
        <w:rPr>
          <w:color w:val="231F20"/>
          <w:spacing w:val="-22"/>
          <w:w w:val="105"/>
        </w:rPr>
        <w:t> </w:t>
      </w:r>
      <w:r>
        <w:rPr>
          <w:color w:val="231F20"/>
          <w:w w:val="105"/>
        </w:rPr>
        <w:t>students,</w:t>
      </w:r>
      <w:r>
        <w:rPr>
          <w:color w:val="231F20"/>
          <w:spacing w:val="-27"/>
          <w:w w:val="105"/>
        </w:rPr>
        <w:t> </w:t>
      </w:r>
      <w:r>
        <w:rPr>
          <w:color w:val="231F20"/>
          <w:w w:val="105"/>
        </w:rPr>
        <w:t>class</w:t>
      </w:r>
      <w:r>
        <w:rPr>
          <w:color w:val="231F20"/>
          <w:spacing w:val="-22"/>
          <w:w w:val="105"/>
        </w:rPr>
        <w:t> </w:t>
      </w:r>
      <w:r>
        <w:rPr>
          <w:color w:val="231F20"/>
          <w:w w:val="105"/>
        </w:rPr>
        <w:t>officers,</w:t>
      </w:r>
      <w:r>
        <w:rPr>
          <w:color w:val="231F20"/>
          <w:spacing w:val="-27"/>
          <w:w w:val="105"/>
        </w:rPr>
        <w:t> </w:t>
      </w:r>
      <w:r>
        <w:rPr>
          <w:color w:val="231F20"/>
          <w:w w:val="105"/>
        </w:rPr>
        <w:t>valedictorians,</w:t>
      </w:r>
      <w:r>
        <w:rPr>
          <w:color w:val="231F20"/>
          <w:spacing w:val="-27"/>
          <w:w w:val="105"/>
        </w:rPr>
        <w:t> </w:t>
      </w:r>
      <w:r>
        <w:rPr>
          <w:color w:val="231F20"/>
          <w:w w:val="105"/>
        </w:rPr>
        <w:t>and</w:t>
      </w:r>
      <w:r>
        <w:rPr>
          <w:color w:val="231F20"/>
          <w:spacing w:val="-22"/>
          <w:w w:val="105"/>
        </w:rPr>
        <w:t> </w:t>
      </w:r>
      <w:r>
        <w:rPr>
          <w:color w:val="231F20"/>
          <w:w w:val="105"/>
        </w:rPr>
        <w:t>aspire</w:t>
      </w:r>
      <w:r>
        <w:rPr>
          <w:color w:val="231F20"/>
          <w:spacing w:val="-22"/>
          <w:w w:val="105"/>
        </w:rPr>
        <w:t> </w:t>
      </w:r>
      <w:r>
        <w:rPr>
          <w:color w:val="231F20"/>
          <w:w w:val="105"/>
        </w:rPr>
        <w:t>to</w:t>
      </w:r>
      <w:r>
        <w:rPr>
          <w:color w:val="231F20"/>
          <w:spacing w:val="-22"/>
          <w:w w:val="105"/>
        </w:rPr>
        <w:t> </w:t>
      </w:r>
      <w:r>
        <w:rPr>
          <w:color w:val="231F20"/>
          <w:w w:val="105"/>
        </w:rPr>
        <w:t>give</w:t>
      </w:r>
      <w:r>
        <w:rPr>
          <w:color w:val="231F20"/>
          <w:spacing w:val="-22"/>
          <w:w w:val="105"/>
        </w:rPr>
        <w:t> </w:t>
      </w:r>
      <w:r>
        <w:rPr>
          <w:color w:val="231F20"/>
          <w:w w:val="105"/>
        </w:rPr>
        <w:t>back</w:t>
      </w:r>
      <w:r>
        <w:rPr>
          <w:color w:val="231F20"/>
          <w:spacing w:val="-22"/>
          <w:w w:val="105"/>
        </w:rPr>
        <w:t> </w:t>
      </w:r>
      <w:r>
        <w:rPr>
          <w:color w:val="231F20"/>
          <w:w w:val="105"/>
        </w:rPr>
        <w:t>to</w:t>
      </w:r>
      <w:r>
        <w:rPr>
          <w:color w:val="231F20"/>
          <w:spacing w:val="-22"/>
          <w:w w:val="105"/>
        </w:rPr>
        <w:t> </w:t>
      </w:r>
      <w:r>
        <w:rPr>
          <w:color w:val="231F20"/>
          <w:w w:val="105"/>
        </w:rPr>
        <w:t>their communities</w:t>
      </w:r>
      <w:r>
        <w:rPr>
          <w:color w:val="231F20"/>
          <w:spacing w:val="-31"/>
          <w:w w:val="105"/>
        </w:rPr>
        <w:t> </w:t>
      </w:r>
      <w:r>
        <w:rPr>
          <w:color w:val="231F20"/>
          <w:w w:val="105"/>
        </w:rPr>
        <w:t>by</w:t>
      </w:r>
      <w:r>
        <w:rPr>
          <w:color w:val="231F20"/>
          <w:spacing w:val="-31"/>
          <w:w w:val="105"/>
        </w:rPr>
        <w:t> </w:t>
      </w:r>
      <w:r>
        <w:rPr>
          <w:color w:val="231F20"/>
          <w:w w:val="105"/>
        </w:rPr>
        <w:t>becoming</w:t>
      </w:r>
      <w:r>
        <w:rPr>
          <w:color w:val="231F20"/>
          <w:spacing w:val="-31"/>
          <w:w w:val="105"/>
        </w:rPr>
        <w:t> </w:t>
      </w:r>
      <w:r>
        <w:rPr>
          <w:color w:val="231F20"/>
          <w:w w:val="105"/>
        </w:rPr>
        <w:t>teachers,</w:t>
      </w:r>
      <w:r>
        <w:rPr>
          <w:color w:val="231F20"/>
          <w:spacing w:val="-36"/>
          <w:w w:val="105"/>
        </w:rPr>
        <w:t> </w:t>
      </w:r>
      <w:r>
        <w:rPr>
          <w:color w:val="231F20"/>
          <w:w w:val="105"/>
        </w:rPr>
        <w:t>doctors,</w:t>
      </w:r>
      <w:r>
        <w:rPr>
          <w:color w:val="231F20"/>
          <w:spacing w:val="-36"/>
          <w:w w:val="105"/>
        </w:rPr>
        <w:t> </w:t>
      </w:r>
      <w:r>
        <w:rPr>
          <w:color w:val="231F20"/>
          <w:w w:val="105"/>
        </w:rPr>
        <w:t>lawyers,</w:t>
      </w:r>
      <w:r>
        <w:rPr>
          <w:color w:val="231F20"/>
          <w:spacing w:val="-36"/>
          <w:w w:val="105"/>
        </w:rPr>
        <w:t> </w:t>
      </w:r>
      <w:r>
        <w:rPr>
          <w:color w:val="231F20"/>
          <w:w w:val="105"/>
        </w:rPr>
        <w:t>and</w:t>
      </w:r>
      <w:r>
        <w:rPr>
          <w:color w:val="231F20"/>
          <w:spacing w:val="-31"/>
          <w:w w:val="105"/>
        </w:rPr>
        <w:t> </w:t>
      </w:r>
      <w:r>
        <w:rPr>
          <w:color w:val="231F20"/>
          <w:w w:val="105"/>
        </w:rPr>
        <w:t>social</w:t>
      </w:r>
      <w:r>
        <w:rPr>
          <w:color w:val="231F20"/>
          <w:spacing w:val="-31"/>
          <w:w w:val="105"/>
        </w:rPr>
        <w:t> </w:t>
      </w:r>
      <w:r>
        <w:rPr>
          <w:color w:val="231F20"/>
          <w:w w:val="105"/>
        </w:rPr>
        <w:t>activists, but</w:t>
      </w:r>
      <w:r>
        <w:rPr>
          <w:color w:val="231F20"/>
          <w:spacing w:val="-8"/>
          <w:w w:val="105"/>
        </w:rPr>
        <w:t> </w:t>
      </w:r>
      <w:r>
        <w:rPr>
          <w:color w:val="231F20"/>
          <w:w w:val="105"/>
        </w:rPr>
        <w:t>may</w:t>
      </w:r>
      <w:r>
        <w:rPr>
          <w:color w:val="231F20"/>
          <w:spacing w:val="-8"/>
          <w:w w:val="105"/>
        </w:rPr>
        <w:t> </w:t>
      </w:r>
      <w:r>
        <w:rPr>
          <w:color w:val="231F20"/>
          <w:w w:val="105"/>
        </w:rPr>
        <w:t>be</w:t>
      </w:r>
      <w:r>
        <w:rPr>
          <w:color w:val="231F20"/>
          <w:spacing w:val="-8"/>
          <w:w w:val="105"/>
        </w:rPr>
        <w:t> </w:t>
      </w:r>
      <w:r>
        <w:rPr>
          <w:color w:val="231F20"/>
          <w:w w:val="105"/>
        </w:rPr>
        <w:t>discouraged</w:t>
      </w:r>
      <w:r>
        <w:rPr>
          <w:color w:val="231F20"/>
          <w:spacing w:val="-8"/>
          <w:w w:val="105"/>
        </w:rPr>
        <w:t> </w:t>
      </w:r>
      <w:r>
        <w:rPr>
          <w:color w:val="231F20"/>
          <w:w w:val="105"/>
        </w:rPr>
        <w:t>from</w:t>
      </w:r>
      <w:r>
        <w:rPr>
          <w:color w:val="231F20"/>
          <w:spacing w:val="-8"/>
          <w:w w:val="105"/>
        </w:rPr>
        <w:t> </w:t>
      </w:r>
      <w:r>
        <w:rPr>
          <w:color w:val="231F20"/>
          <w:w w:val="105"/>
        </w:rPr>
        <w:t>doing</w:t>
      </w:r>
      <w:r>
        <w:rPr>
          <w:color w:val="231F20"/>
          <w:spacing w:val="-8"/>
          <w:w w:val="105"/>
        </w:rPr>
        <w:t> </w:t>
      </w:r>
      <w:r>
        <w:rPr>
          <w:color w:val="231F20"/>
          <w:w w:val="105"/>
        </w:rPr>
        <w:t>so</w:t>
      </w:r>
      <w:r>
        <w:rPr>
          <w:color w:val="231F20"/>
          <w:spacing w:val="-8"/>
          <w:w w:val="105"/>
        </w:rPr>
        <w:t> </w:t>
      </w:r>
      <w:r>
        <w:rPr>
          <w:color w:val="231F20"/>
          <w:w w:val="105"/>
        </w:rPr>
        <w:t>because</w:t>
      </w:r>
      <w:r>
        <w:rPr>
          <w:color w:val="231F20"/>
          <w:spacing w:val="-8"/>
          <w:w w:val="105"/>
        </w:rPr>
        <w:t> </w:t>
      </w:r>
      <w:r>
        <w:rPr>
          <w:color w:val="231F20"/>
          <w:w w:val="105"/>
        </w:rPr>
        <w:t>of</w:t>
      </w:r>
      <w:r>
        <w:rPr>
          <w:color w:val="231F20"/>
          <w:spacing w:val="-3"/>
          <w:w w:val="105"/>
        </w:rPr>
        <w:t> </w:t>
      </w:r>
      <w:r>
        <w:rPr>
          <w:color w:val="231F20"/>
          <w:w w:val="105"/>
        </w:rPr>
        <w:t>their</w:t>
      </w:r>
      <w:r>
        <w:rPr>
          <w:color w:val="231F20"/>
          <w:spacing w:val="-8"/>
          <w:w w:val="105"/>
        </w:rPr>
        <w:t> </w:t>
      </w:r>
      <w:r>
        <w:rPr>
          <w:color w:val="231F20"/>
          <w:w w:val="105"/>
        </w:rPr>
        <w:t>immigration</w:t>
      </w:r>
      <w:r>
        <w:rPr>
          <w:color w:val="231F20"/>
          <w:spacing w:val="-8"/>
          <w:w w:val="105"/>
        </w:rPr>
        <w:t> </w:t>
      </w:r>
      <w:r>
        <w:rPr>
          <w:color w:val="231F20"/>
          <w:w w:val="105"/>
        </w:rPr>
        <w:t>sta- tus.</w:t>
      </w:r>
      <w:r>
        <w:rPr>
          <w:color w:val="231F20"/>
          <w:spacing w:val="-30"/>
          <w:w w:val="105"/>
        </w:rPr>
        <w:t> </w:t>
      </w:r>
      <w:r>
        <w:rPr>
          <w:color w:val="231F20"/>
          <w:w w:val="105"/>
        </w:rPr>
        <w:t>As</w:t>
      </w:r>
      <w:r>
        <w:rPr>
          <w:color w:val="231F20"/>
          <w:spacing w:val="-22"/>
          <w:w w:val="105"/>
        </w:rPr>
        <w:t> </w:t>
      </w:r>
      <w:r>
        <w:rPr>
          <w:color w:val="231F20"/>
          <w:w w:val="105"/>
        </w:rPr>
        <w:t>mentioned</w:t>
      </w:r>
      <w:r>
        <w:rPr>
          <w:color w:val="231F20"/>
          <w:spacing w:val="-22"/>
          <w:w w:val="105"/>
        </w:rPr>
        <w:t> </w:t>
      </w:r>
      <w:r>
        <w:rPr>
          <w:color w:val="231F20"/>
          <w:w w:val="105"/>
        </w:rPr>
        <w:t>above,</w:t>
      </w:r>
      <w:r>
        <w:rPr>
          <w:color w:val="231F20"/>
          <w:spacing w:val="-26"/>
          <w:w w:val="105"/>
        </w:rPr>
        <w:t> </w:t>
      </w:r>
      <w:r>
        <w:rPr>
          <w:color w:val="231F20"/>
          <w:w w:val="105"/>
        </w:rPr>
        <w:t>many</w:t>
      </w:r>
      <w:r>
        <w:rPr>
          <w:color w:val="231F20"/>
          <w:spacing w:val="-22"/>
          <w:w w:val="105"/>
        </w:rPr>
        <w:t> </w:t>
      </w:r>
      <w:r>
        <w:rPr>
          <w:color w:val="231F20"/>
          <w:w w:val="105"/>
        </w:rPr>
        <w:t>of</w:t>
      </w:r>
      <w:r>
        <w:rPr>
          <w:color w:val="231F20"/>
          <w:spacing w:val="-18"/>
          <w:w w:val="105"/>
        </w:rPr>
        <w:t> </w:t>
      </w:r>
      <w:r>
        <w:rPr>
          <w:color w:val="231F20"/>
          <w:w w:val="105"/>
        </w:rPr>
        <w:t>these</w:t>
      </w:r>
      <w:r>
        <w:rPr>
          <w:color w:val="231F20"/>
          <w:spacing w:val="-22"/>
          <w:w w:val="105"/>
        </w:rPr>
        <w:t> </w:t>
      </w:r>
      <w:r>
        <w:rPr>
          <w:color w:val="231F20"/>
          <w:w w:val="105"/>
        </w:rPr>
        <w:t>children</w:t>
      </w:r>
      <w:r>
        <w:rPr>
          <w:color w:val="231F20"/>
          <w:spacing w:val="-22"/>
          <w:w w:val="105"/>
        </w:rPr>
        <w:t> </w:t>
      </w:r>
      <w:r>
        <w:rPr>
          <w:color w:val="231F20"/>
          <w:w w:val="105"/>
        </w:rPr>
        <w:t>and</w:t>
      </w:r>
      <w:r>
        <w:rPr>
          <w:color w:val="231F20"/>
          <w:spacing w:val="-22"/>
          <w:w w:val="105"/>
        </w:rPr>
        <w:t> </w:t>
      </w:r>
      <w:r>
        <w:rPr>
          <w:color w:val="231F20"/>
          <w:w w:val="105"/>
        </w:rPr>
        <w:t>youth</w:t>
      </w:r>
      <w:r>
        <w:rPr>
          <w:color w:val="231F20"/>
          <w:spacing w:val="-22"/>
          <w:w w:val="105"/>
        </w:rPr>
        <w:t> </w:t>
      </w:r>
      <w:r>
        <w:rPr>
          <w:color w:val="231F20"/>
          <w:w w:val="105"/>
        </w:rPr>
        <w:t>express</w:t>
      </w:r>
      <w:r>
        <w:rPr>
          <w:color w:val="231F20"/>
          <w:spacing w:val="-22"/>
          <w:w w:val="105"/>
        </w:rPr>
        <w:t> </w:t>
      </w:r>
      <w:r>
        <w:rPr>
          <w:color w:val="231F20"/>
          <w:w w:val="105"/>
        </w:rPr>
        <w:t>fears of family separation and have various misunderstandings about legali- ty (Dreby, 2014). Many have felt significant tensions at the local level in communities</w:t>
      </w:r>
      <w:r>
        <w:rPr>
          <w:color w:val="231F20"/>
          <w:spacing w:val="-22"/>
          <w:w w:val="105"/>
        </w:rPr>
        <w:t> </w:t>
      </w:r>
      <w:r>
        <w:rPr>
          <w:color w:val="231F20"/>
          <w:w w:val="105"/>
        </w:rPr>
        <w:t>which</w:t>
      </w:r>
      <w:r>
        <w:rPr>
          <w:color w:val="231F20"/>
          <w:spacing w:val="-22"/>
          <w:w w:val="105"/>
        </w:rPr>
        <w:t> </w:t>
      </w:r>
      <w:r>
        <w:rPr>
          <w:color w:val="231F20"/>
          <w:w w:val="105"/>
        </w:rPr>
        <w:t>have</w:t>
      </w:r>
      <w:r>
        <w:rPr>
          <w:color w:val="231F20"/>
          <w:spacing w:val="-22"/>
          <w:w w:val="105"/>
        </w:rPr>
        <w:t> </w:t>
      </w:r>
      <w:r>
        <w:rPr>
          <w:color w:val="231F20"/>
          <w:w w:val="105"/>
        </w:rPr>
        <w:t>experienced</w:t>
      </w:r>
      <w:r>
        <w:rPr>
          <w:color w:val="231F20"/>
          <w:spacing w:val="-22"/>
          <w:w w:val="105"/>
        </w:rPr>
        <w:t> </w:t>
      </w:r>
      <w:r>
        <w:rPr>
          <w:color w:val="231F20"/>
          <w:w w:val="105"/>
        </w:rPr>
        <w:t>an</w:t>
      </w:r>
      <w:r>
        <w:rPr>
          <w:color w:val="231F20"/>
          <w:spacing w:val="-22"/>
          <w:w w:val="105"/>
        </w:rPr>
        <w:t> </w:t>
      </w:r>
      <w:r>
        <w:rPr>
          <w:color w:val="231F20"/>
          <w:w w:val="105"/>
        </w:rPr>
        <w:t>increase</w:t>
      </w:r>
      <w:r>
        <w:rPr>
          <w:color w:val="231F20"/>
          <w:spacing w:val="-22"/>
          <w:w w:val="105"/>
        </w:rPr>
        <w:t> </w:t>
      </w:r>
      <w:r>
        <w:rPr>
          <w:color w:val="231F20"/>
          <w:w w:val="105"/>
        </w:rPr>
        <w:t>in</w:t>
      </w:r>
      <w:r>
        <w:rPr>
          <w:color w:val="231F20"/>
          <w:spacing w:val="-22"/>
          <w:w w:val="105"/>
        </w:rPr>
        <w:t> </w:t>
      </w:r>
      <w:r>
        <w:rPr>
          <w:color w:val="231F20"/>
          <w:w w:val="105"/>
        </w:rPr>
        <w:t>the</w:t>
      </w:r>
      <w:r>
        <w:rPr>
          <w:color w:val="231F20"/>
          <w:spacing w:val="-22"/>
          <w:w w:val="105"/>
        </w:rPr>
        <w:t> </w:t>
      </w:r>
      <w:r>
        <w:rPr>
          <w:color w:val="231F20"/>
          <w:w w:val="105"/>
        </w:rPr>
        <w:t>number</w:t>
      </w:r>
      <w:r>
        <w:rPr>
          <w:color w:val="231F20"/>
          <w:spacing w:val="-22"/>
          <w:w w:val="105"/>
        </w:rPr>
        <w:t> </w:t>
      </w:r>
      <w:r>
        <w:rPr>
          <w:color w:val="231F20"/>
          <w:w w:val="105"/>
        </w:rPr>
        <w:t>of</w:t>
      </w:r>
      <w:r>
        <w:rPr>
          <w:color w:val="231F20"/>
          <w:spacing w:val="-18"/>
          <w:w w:val="105"/>
        </w:rPr>
        <w:t> </w:t>
      </w:r>
      <w:r>
        <w:rPr>
          <w:color w:val="231F20"/>
          <w:w w:val="105"/>
        </w:rPr>
        <w:t>unau- thorized</w:t>
      </w:r>
      <w:r>
        <w:rPr>
          <w:color w:val="231F20"/>
          <w:spacing w:val="-22"/>
          <w:w w:val="105"/>
        </w:rPr>
        <w:t> </w:t>
      </w:r>
      <w:r>
        <w:rPr>
          <w:color w:val="231F20"/>
          <w:w w:val="105"/>
        </w:rPr>
        <w:t>students</w:t>
      </w:r>
      <w:r>
        <w:rPr>
          <w:color w:val="231F20"/>
          <w:spacing w:val="-22"/>
          <w:w w:val="105"/>
        </w:rPr>
        <w:t> </w:t>
      </w:r>
      <w:r>
        <w:rPr>
          <w:color w:val="231F20"/>
          <w:w w:val="105"/>
        </w:rPr>
        <w:t>in</w:t>
      </w:r>
      <w:r>
        <w:rPr>
          <w:color w:val="231F20"/>
          <w:spacing w:val="-22"/>
          <w:w w:val="105"/>
        </w:rPr>
        <w:t> </w:t>
      </w:r>
      <w:r>
        <w:rPr>
          <w:color w:val="231F20"/>
          <w:w w:val="105"/>
        </w:rPr>
        <w:t>their</w:t>
      </w:r>
      <w:r>
        <w:rPr>
          <w:color w:val="231F20"/>
          <w:spacing w:val="-22"/>
          <w:w w:val="105"/>
        </w:rPr>
        <w:t> </w:t>
      </w:r>
      <w:r>
        <w:rPr>
          <w:color w:val="231F20"/>
          <w:w w:val="105"/>
        </w:rPr>
        <w:t>schools</w:t>
      </w:r>
      <w:r>
        <w:rPr>
          <w:color w:val="231F20"/>
          <w:spacing w:val="-22"/>
          <w:w w:val="105"/>
        </w:rPr>
        <w:t> </w:t>
      </w:r>
      <w:r>
        <w:rPr>
          <w:color w:val="231F20"/>
          <w:w w:val="105"/>
        </w:rPr>
        <w:t>and</w:t>
      </w:r>
      <w:r>
        <w:rPr>
          <w:color w:val="231F20"/>
          <w:spacing w:val="-22"/>
          <w:w w:val="105"/>
        </w:rPr>
        <w:t> </w:t>
      </w:r>
      <w:r>
        <w:rPr>
          <w:color w:val="231F20"/>
          <w:w w:val="105"/>
        </w:rPr>
        <w:t>non-English</w:t>
      </w:r>
      <w:r>
        <w:rPr>
          <w:color w:val="231F20"/>
          <w:spacing w:val="-22"/>
          <w:w w:val="105"/>
        </w:rPr>
        <w:t> </w:t>
      </w:r>
      <w:r>
        <w:rPr>
          <w:color w:val="231F20"/>
          <w:w w:val="105"/>
        </w:rPr>
        <w:t>speaking</w:t>
      </w:r>
      <w:r>
        <w:rPr>
          <w:color w:val="231F20"/>
          <w:spacing w:val="-22"/>
          <w:w w:val="105"/>
        </w:rPr>
        <w:t> </w:t>
      </w:r>
      <w:r>
        <w:rPr>
          <w:color w:val="231F20"/>
          <w:w w:val="105"/>
        </w:rPr>
        <w:t>undocumen- ted</w:t>
      </w:r>
      <w:r>
        <w:rPr>
          <w:color w:val="231F20"/>
          <w:spacing w:val="-10"/>
          <w:w w:val="105"/>
        </w:rPr>
        <w:t> </w:t>
      </w:r>
      <w:r>
        <w:rPr>
          <w:color w:val="231F20"/>
          <w:w w:val="105"/>
        </w:rPr>
        <w:t>residents</w:t>
      </w:r>
      <w:r>
        <w:rPr>
          <w:color w:val="231F20"/>
          <w:spacing w:val="-10"/>
          <w:w w:val="105"/>
        </w:rPr>
        <w:t> </w:t>
      </w:r>
      <w:r>
        <w:rPr>
          <w:color w:val="231F20"/>
          <w:w w:val="105"/>
        </w:rPr>
        <w:t>in</w:t>
      </w:r>
      <w:r>
        <w:rPr>
          <w:color w:val="231F20"/>
          <w:spacing w:val="-10"/>
          <w:w w:val="105"/>
        </w:rPr>
        <w:t> </w:t>
      </w:r>
      <w:r>
        <w:rPr>
          <w:color w:val="231F20"/>
          <w:w w:val="105"/>
        </w:rPr>
        <w:t>their</w:t>
      </w:r>
      <w:r>
        <w:rPr>
          <w:color w:val="231F20"/>
          <w:spacing w:val="-10"/>
          <w:w w:val="105"/>
        </w:rPr>
        <w:t> </w:t>
      </w:r>
      <w:r>
        <w:rPr>
          <w:color w:val="231F20"/>
          <w:w w:val="105"/>
        </w:rPr>
        <w:t>midst</w:t>
      </w:r>
      <w:r>
        <w:rPr>
          <w:color w:val="231F20"/>
          <w:spacing w:val="-10"/>
          <w:w w:val="105"/>
        </w:rPr>
        <w:t> </w:t>
      </w:r>
      <w:r>
        <w:rPr>
          <w:color w:val="231F20"/>
          <w:w w:val="105"/>
        </w:rPr>
        <w:t>(Zuñiga</w:t>
      </w:r>
      <w:r>
        <w:rPr>
          <w:color w:val="231F20"/>
          <w:spacing w:val="-10"/>
          <w:w w:val="105"/>
        </w:rPr>
        <w:t> </w:t>
      </w:r>
      <w:r>
        <w:rPr>
          <w:color w:val="231F20"/>
          <w:w w:val="105"/>
        </w:rPr>
        <w:t>and</w:t>
      </w:r>
      <w:r>
        <w:rPr>
          <w:color w:val="231F20"/>
          <w:spacing w:val="-10"/>
          <w:w w:val="105"/>
        </w:rPr>
        <w:t> </w:t>
      </w:r>
      <w:r>
        <w:rPr>
          <w:color w:val="231F20"/>
          <w:w w:val="105"/>
        </w:rPr>
        <w:t>Hernández-Leon,</w:t>
      </w:r>
      <w:r>
        <w:rPr>
          <w:color w:val="231F20"/>
          <w:spacing w:val="-16"/>
          <w:w w:val="105"/>
        </w:rPr>
        <w:t> </w:t>
      </w:r>
      <w:r>
        <w:rPr>
          <w:color w:val="231F20"/>
          <w:w w:val="105"/>
        </w:rPr>
        <w:t>2005).</w:t>
      </w:r>
      <w:r>
        <w:rPr>
          <w:color w:val="231F20"/>
          <w:spacing w:val="-19"/>
          <w:w w:val="105"/>
        </w:rPr>
        <w:t> </w:t>
      </w:r>
      <w:r>
        <w:rPr>
          <w:color w:val="231F20"/>
          <w:w w:val="105"/>
        </w:rPr>
        <w:t>Abrego (2014) reported that the persistently negative representations of undo- cumented immigrants in the media as “criminals” affect how immigrant children understand and experience “illegality” in their day-to-day lives. Abrego found that the undocumented immigrants she interviewed fea- red</w:t>
      </w:r>
      <w:r>
        <w:rPr>
          <w:color w:val="231F20"/>
          <w:spacing w:val="-17"/>
          <w:w w:val="105"/>
        </w:rPr>
        <w:t> </w:t>
      </w:r>
      <w:r>
        <w:rPr>
          <w:color w:val="231F20"/>
          <w:w w:val="105"/>
        </w:rPr>
        <w:t>deportation,</w:t>
      </w:r>
      <w:r>
        <w:rPr>
          <w:color w:val="231F20"/>
          <w:spacing w:val="-23"/>
          <w:w w:val="105"/>
        </w:rPr>
        <w:t> </w:t>
      </w:r>
      <w:r>
        <w:rPr>
          <w:color w:val="231F20"/>
          <w:w w:val="105"/>
        </w:rPr>
        <w:t>had</w:t>
      </w:r>
      <w:r>
        <w:rPr>
          <w:color w:val="231F20"/>
          <w:spacing w:val="-17"/>
          <w:w w:val="105"/>
        </w:rPr>
        <w:t> </w:t>
      </w:r>
      <w:r>
        <w:rPr>
          <w:color w:val="231F20"/>
          <w:w w:val="105"/>
        </w:rPr>
        <w:t>a</w:t>
      </w:r>
      <w:r>
        <w:rPr>
          <w:color w:val="231F20"/>
          <w:spacing w:val="-17"/>
          <w:w w:val="105"/>
        </w:rPr>
        <w:t> </w:t>
      </w:r>
      <w:r>
        <w:rPr>
          <w:color w:val="231F20"/>
          <w:w w:val="105"/>
        </w:rPr>
        <w:t>general</w:t>
      </w:r>
      <w:r>
        <w:rPr>
          <w:color w:val="231F20"/>
          <w:spacing w:val="-17"/>
          <w:w w:val="105"/>
        </w:rPr>
        <w:t> </w:t>
      </w:r>
      <w:r>
        <w:rPr>
          <w:color w:val="231F20"/>
          <w:w w:val="105"/>
        </w:rPr>
        <w:t>sense</w:t>
      </w:r>
      <w:r>
        <w:rPr>
          <w:color w:val="231F20"/>
          <w:spacing w:val="-17"/>
          <w:w w:val="105"/>
        </w:rPr>
        <w:t> </w:t>
      </w:r>
      <w:r>
        <w:rPr>
          <w:color w:val="231F20"/>
          <w:w w:val="105"/>
        </w:rPr>
        <w:t>of</w:t>
      </w:r>
      <w:r>
        <w:rPr>
          <w:color w:val="231F20"/>
          <w:spacing w:val="-13"/>
          <w:w w:val="105"/>
        </w:rPr>
        <w:t> </w:t>
      </w:r>
      <w:r>
        <w:rPr>
          <w:color w:val="231F20"/>
          <w:w w:val="105"/>
        </w:rPr>
        <w:t>insecurity,</w:t>
      </w:r>
      <w:r>
        <w:rPr>
          <w:color w:val="231F20"/>
          <w:spacing w:val="-23"/>
          <w:w w:val="105"/>
        </w:rPr>
        <w:t> </w:t>
      </w:r>
      <w:r>
        <w:rPr>
          <w:color w:val="231F20"/>
          <w:w w:val="105"/>
        </w:rPr>
        <w:t>and</w:t>
      </w:r>
      <w:r>
        <w:rPr>
          <w:color w:val="231F20"/>
          <w:spacing w:val="-17"/>
          <w:w w:val="105"/>
        </w:rPr>
        <w:t> </w:t>
      </w:r>
      <w:r>
        <w:rPr>
          <w:color w:val="231F20"/>
          <w:w w:val="105"/>
        </w:rPr>
        <w:t>often</w:t>
      </w:r>
      <w:r>
        <w:rPr>
          <w:color w:val="231F20"/>
          <w:spacing w:val="-17"/>
          <w:w w:val="105"/>
        </w:rPr>
        <w:t> </w:t>
      </w:r>
      <w:r>
        <w:rPr>
          <w:color w:val="231F20"/>
          <w:w w:val="105"/>
        </w:rPr>
        <w:t>felt</w:t>
      </w:r>
      <w:r>
        <w:rPr>
          <w:color w:val="231F20"/>
          <w:spacing w:val="-17"/>
          <w:w w:val="105"/>
        </w:rPr>
        <w:t> </w:t>
      </w:r>
      <w:r>
        <w:rPr>
          <w:color w:val="231F20"/>
          <w:w w:val="105"/>
        </w:rPr>
        <w:t>that</w:t>
      </w:r>
      <w:r>
        <w:rPr>
          <w:color w:val="231F20"/>
          <w:spacing w:val="-17"/>
          <w:w w:val="105"/>
        </w:rPr>
        <w:t> </w:t>
      </w:r>
      <w:r>
        <w:rPr>
          <w:color w:val="231F20"/>
          <w:w w:val="105"/>
        </w:rPr>
        <w:t>they could not depend on police, emergency services, or authority figures to protect</w:t>
      </w:r>
      <w:r>
        <w:rPr>
          <w:color w:val="231F20"/>
          <w:spacing w:val="-10"/>
          <w:w w:val="105"/>
        </w:rPr>
        <w:t> </w:t>
      </w:r>
      <w:r>
        <w:rPr>
          <w:color w:val="231F20"/>
          <w:w w:val="105"/>
        </w:rPr>
        <w:t>them.</w:t>
      </w:r>
      <w:r>
        <w:rPr>
          <w:color w:val="231F20"/>
          <w:spacing w:val="-22"/>
          <w:w w:val="105"/>
        </w:rPr>
        <w:t> </w:t>
      </w:r>
      <w:r>
        <w:rPr>
          <w:color w:val="231F20"/>
          <w:spacing w:val="-4"/>
          <w:w w:val="105"/>
        </w:rPr>
        <w:t>Youth</w:t>
      </w:r>
      <w:r>
        <w:rPr>
          <w:color w:val="231F20"/>
          <w:spacing w:val="-10"/>
          <w:w w:val="105"/>
        </w:rPr>
        <w:t> </w:t>
      </w:r>
      <w:r>
        <w:rPr>
          <w:color w:val="231F20"/>
          <w:w w:val="105"/>
        </w:rPr>
        <w:t>brought</w:t>
      </w:r>
      <w:r>
        <w:rPr>
          <w:color w:val="231F20"/>
          <w:spacing w:val="-10"/>
          <w:w w:val="105"/>
        </w:rPr>
        <w:t> </w:t>
      </w:r>
      <w:r>
        <w:rPr>
          <w:color w:val="231F20"/>
          <w:w w:val="105"/>
        </w:rPr>
        <w:t>to</w:t>
      </w:r>
      <w:r>
        <w:rPr>
          <w:color w:val="231F20"/>
          <w:spacing w:val="-10"/>
          <w:w w:val="105"/>
        </w:rPr>
        <w:t> </w:t>
      </w:r>
      <w:r>
        <w:rPr>
          <w:color w:val="231F20"/>
          <w:w w:val="105"/>
        </w:rPr>
        <w:t>the</w:t>
      </w:r>
      <w:r>
        <w:rPr>
          <w:color w:val="231F20"/>
          <w:spacing w:val="-10"/>
          <w:w w:val="105"/>
        </w:rPr>
        <w:t> </w:t>
      </w:r>
      <w:r>
        <w:rPr>
          <w:color w:val="231F20"/>
          <w:w w:val="105"/>
        </w:rPr>
        <w:t>United</w:t>
      </w:r>
      <w:r>
        <w:rPr>
          <w:color w:val="231F20"/>
          <w:spacing w:val="-10"/>
          <w:w w:val="105"/>
        </w:rPr>
        <w:t> </w:t>
      </w:r>
      <w:r>
        <w:rPr>
          <w:color w:val="231F20"/>
          <w:w w:val="105"/>
        </w:rPr>
        <w:t>States</w:t>
      </w:r>
      <w:r>
        <w:rPr>
          <w:color w:val="231F20"/>
          <w:spacing w:val="-10"/>
          <w:w w:val="105"/>
        </w:rPr>
        <w:t> </w:t>
      </w:r>
      <w:r>
        <w:rPr>
          <w:color w:val="231F20"/>
          <w:w w:val="105"/>
        </w:rPr>
        <w:t>as</w:t>
      </w:r>
      <w:r>
        <w:rPr>
          <w:color w:val="231F20"/>
          <w:spacing w:val="-10"/>
          <w:w w:val="105"/>
        </w:rPr>
        <w:t> </w:t>
      </w:r>
      <w:r>
        <w:rPr>
          <w:color w:val="231F20"/>
          <w:w w:val="105"/>
        </w:rPr>
        <w:t>young</w:t>
      </w:r>
      <w:r>
        <w:rPr>
          <w:color w:val="231F20"/>
          <w:spacing w:val="-10"/>
          <w:w w:val="105"/>
        </w:rPr>
        <w:t> </w:t>
      </w:r>
      <w:r>
        <w:rPr>
          <w:color w:val="231F20"/>
          <w:w w:val="105"/>
        </w:rPr>
        <w:t>children</w:t>
      </w:r>
      <w:r>
        <w:rPr>
          <w:color w:val="231F20"/>
          <w:spacing w:val="-10"/>
          <w:w w:val="105"/>
        </w:rPr>
        <w:t> </w:t>
      </w:r>
      <w:r>
        <w:rPr>
          <w:color w:val="231F20"/>
          <w:w w:val="105"/>
        </w:rPr>
        <w:t>often experienced</w:t>
      </w:r>
      <w:r>
        <w:rPr>
          <w:color w:val="231F20"/>
          <w:spacing w:val="-4"/>
          <w:w w:val="105"/>
        </w:rPr>
        <w:t> </w:t>
      </w:r>
      <w:r>
        <w:rPr>
          <w:color w:val="231F20"/>
          <w:w w:val="105"/>
        </w:rPr>
        <w:t>their</w:t>
      </w:r>
      <w:r>
        <w:rPr>
          <w:color w:val="231F20"/>
          <w:spacing w:val="-4"/>
          <w:w w:val="105"/>
        </w:rPr>
        <w:t> </w:t>
      </w:r>
      <w:r>
        <w:rPr>
          <w:color w:val="231F20"/>
          <w:w w:val="105"/>
        </w:rPr>
        <w:t>immigration</w:t>
      </w:r>
      <w:r>
        <w:rPr>
          <w:color w:val="231F20"/>
          <w:spacing w:val="-4"/>
          <w:w w:val="105"/>
        </w:rPr>
        <w:t> </w:t>
      </w:r>
      <w:r>
        <w:rPr>
          <w:color w:val="231F20"/>
          <w:w w:val="105"/>
        </w:rPr>
        <w:t>status</w:t>
      </w:r>
      <w:r>
        <w:rPr>
          <w:color w:val="231F20"/>
          <w:spacing w:val="-4"/>
          <w:w w:val="105"/>
        </w:rPr>
        <w:t> </w:t>
      </w:r>
      <w:r>
        <w:rPr>
          <w:color w:val="231F20"/>
          <w:w w:val="105"/>
        </w:rPr>
        <w:t>as</w:t>
      </w:r>
      <w:r>
        <w:rPr>
          <w:color w:val="231F20"/>
          <w:spacing w:val="-4"/>
          <w:w w:val="105"/>
        </w:rPr>
        <w:t> </w:t>
      </w:r>
      <w:r>
        <w:rPr>
          <w:color w:val="231F20"/>
          <w:w w:val="105"/>
        </w:rPr>
        <w:t>a</w:t>
      </w:r>
      <w:r>
        <w:rPr>
          <w:color w:val="231F20"/>
          <w:spacing w:val="-4"/>
          <w:w w:val="105"/>
        </w:rPr>
        <w:t> </w:t>
      </w:r>
      <w:r>
        <w:rPr>
          <w:color w:val="231F20"/>
          <w:w w:val="105"/>
        </w:rPr>
        <w:t>stigma,</w:t>
      </w:r>
      <w:r>
        <w:rPr>
          <w:color w:val="231F20"/>
          <w:spacing w:val="-10"/>
          <w:w w:val="105"/>
        </w:rPr>
        <w:t> </w:t>
      </w:r>
      <w:r>
        <w:rPr>
          <w:color w:val="231F20"/>
          <w:w w:val="105"/>
        </w:rPr>
        <w:t>with</w:t>
      </w:r>
      <w:r>
        <w:rPr>
          <w:color w:val="231F20"/>
          <w:spacing w:val="-4"/>
          <w:w w:val="105"/>
        </w:rPr>
        <w:t> </w:t>
      </w:r>
      <w:r>
        <w:rPr>
          <w:color w:val="231F20"/>
          <w:w w:val="105"/>
        </w:rPr>
        <w:t>many</w:t>
      </w:r>
      <w:r>
        <w:rPr>
          <w:color w:val="231F20"/>
          <w:spacing w:val="-4"/>
          <w:w w:val="105"/>
        </w:rPr>
        <w:t> </w:t>
      </w:r>
      <w:r>
        <w:rPr>
          <w:color w:val="231F20"/>
          <w:w w:val="105"/>
        </w:rPr>
        <w:t>students</w:t>
      </w:r>
      <w:r>
        <w:rPr>
          <w:color w:val="231F20"/>
          <w:spacing w:val="-4"/>
          <w:w w:val="105"/>
        </w:rPr>
        <w:t> </w:t>
      </w:r>
      <w:r>
        <w:rPr>
          <w:color w:val="231F20"/>
          <w:w w:val="105"/>
        </w:rPr>
        <w:t>in high school feeling embarrassment that they cannot meet social</w:t>
      </w:r>
      <w:r>
        <w:rPr>
          <w:color w:val="231F20"/>
          <w:spacing w:val="-19"/>
          <w:w w:val="105"/>
        </w:rPr>
        <w:t> </w:t>
      </w:r>
      <w:r>
        <w:rPr>
          <w:color w:val="231F20"/>
          <w:w w:val="105"/>
        </w:rPr>
        <w:t>expec- tations</w:t>
      </w:r>
      <w:r>
        <w:rPr>
          <w:color w:val="231F20"/>
          <w:spacing w:val="-11"/>
          <w:w w:val="105"/>
        </w:rPr>
        <w:t> </w:t>
      </w:r>
      <w:r>
        <w:rPr>
          <w:color w:val="231F20"/>
          <w:w w:val="105"/>
        </w:rPr>
        <w:t>commensurate</w:t>
      </w:r>
      <w:r>
        <w:rPr>
          <w:color w:val="231F20"/>
          <w:spacing w:val="-11"/>
          <w:w w:val="105"/>
        </w:rPr>
        <w:t> </w:t>
      </w:r>
      <w:r>
        <w:rPr>
          <w:color w:val="231F20"/>
          <w:w w:val="105"/>
        </w:rPr>
        <w:t>with</w:t>
      </w:r>
      <w:r>
        <w:rPr>
          <w:color w:val="231F20"/>
          <w:spacing w:val="-11"/>
          <w:w w:val="105"/>
        </w:rPr>
        <w:t> </w:t>
      </w:r>
      <w:r>
        <w:rPr>
          <w:color w:val="231F20"/>
          <w:w w:val="105"/>
        </w:rPr>
        <w:t>their</w:t>
      </w:r>
      <w:r>
        <w:rPr>
          <w:color w:val="231F20"/>
          <w:spacing w:val="-11"/>
          <w:w w:val="105"/>
        </w:rPr>
        <w:t> </w:t>
      </w:r>
      <w:r>
        <w:rPr>
          <w:color w:val="231F20"/>
          <w:w w:val="105"/>
        </w:rPr>
        <w:t>age,</w:t>
      </w:r>
      <w:r>
        <w:rPr>
          <w:color w:val="231F20"/>
          <w:spacing w:val="-16"/>
          <w:w w:val="105"/>
        </w:rPr>
        <w:t> </w:t>
      </w:r>
      <w:r>
        <w:rPr>
          <w:color w:val="231F20"/>
          <w:w w:val="105"/>
        </w:rPr>
        <w:t>such</w:t>
      </w:r>
      <w:r>
        <w:rPr>
          <w:color w:val="231F20"/>
          <w:spacing w:val="-11"/>
          <w:w w:val="105"/>
        </w:rPr>
        <w:t> </w:t>
      </w:r>
      <w:r>
        <w:rPr>
          <w:color w:val="231F20"/>
          <w:w w:val="105"/>
        </w:rPr>
        <w:t>as</w:t>
      </w:r>
      <w:r>
        <w:rPr>
          <w:color w:val="231F20"/>
          <w:spacing w:val="-11"/>
          <w:w w:val="105"/>
        </w:rPr>
        <w:t> </w:t>
      </w:r>
      <w:r>
        <w:rPr>
          <w:color w:val="231F20"/>
          <w:w w:val="105"/>
        </w:rPr>
        <w:t>driving</w:t>
      </w:r>
      <w:r>
        <w:rPr>
          <w:color w:val="231F20"/>
          <w:spacing w:val="-11"/>
          <w:w w:val="105"/>
        </w:rPr>
        <w:t> </w:t>
      </w:r>
      <w:r>
        <w:rPr>
          <w:color w:val="231F20"/>
          <w:w w:val="105"/>
        </w:rPr>
        <w:t>a</w:t>
      </w:r>
      <w:r>
        <w:rPr>
          <w:color w:val="231F20"/>
          <w:spacing w:val="-11"/>
          <w:w w:val="105"/>
        </w:rPr>
        <w:t> </w:t>
      </w:r>
      <w:r>
        <w:rPr>
          <w:color w:val="231F20"/>
          <w:spacing w:val="-3"/>
          <w:w w:val="105"/>
        </w:rPr>
        <w:t>car,</w:t>
      </w:r>
      <w:r>
        <w:rPr>
          <w:color w:val="231F20"/>
          <w:spacing w:val="-16"/>
          <w:w w:val="105"/>
        </w:rPr>
        <w:t> </w:t>
      </w:r>
      <w:r>
        <w:rPr>
          <w:color w:val="231F20"/>
          <w:w w:val="105"/>
        </w:rPr>
        <w:t>dating,</w:t>
      </w:r>
      <w:r>
        <w:rPr>
          <w:color w:val="231F20"/>
          <w:spacing w:val="-16"/>
          <w:w w:val="105"/>
        </w:rPr>
        <w:t> </w:t>
      </w:r>
      <w:r>
        <w:rPr>
          <w:color w:val="231F20"/>
          <w:w w:val="105"/>
        </w:rPr>
        <w:t>going out</w:t>
      </w:r>
      <w:r>
        <w:rPr>
          <w:color w:val="231F20"/>
          <w:spacing w:val="-10"/>
          <w:w w:val="105"/>
        </w:rPr>
        <w:t> </w:t>
      </w:r>
      <w:r>
        <w:rPr>
          <w:color w:val="231F20"/>
          <w:w w:val="105"/>
        </w:rPr>
        <w:t>with</w:t>
      </w:r>
      <w:r>
        <w:rPr>
          <w:color w:val="231F20"/>
          <w:spacing w:val="-10"/>
          <w:w w:val="105"/>
        </w:rPr>
        <w:t> </w:t>
      </w:r>
      <w:r>
        <w:rPr>
          <w:color w:val="231F20"/>
          <w:w w:val="105"/>
        </w:rPr>
        <w:t>friends,</w:t>
      </w:r>
      <w:r>
        <w:rPr>
          <w:color w:val="231F20"/>
          <w:spacing w:val="-16"/>
          <w:w w:val="105"/>
        </w:rPr>
        <w:t> </w:t>
      </w:r>
      <w:r>
        <w:rPr>
          <w:color w:val="231F20"/>
          <w:w w:val="105"/>
        </w:rPr>
        <w:t>traveling</w:t>
      </w:r>
      <w:r>
        <w:rPr>
          <w:color w:val="231F20"/>
          <w:spacing w:val="-10"/>
          <w:w w:val="105"/>
        </w:rPr>
        <w:t> </w:t>
      </w:r>
      <w:r>
        <w:rPr>
          <w:color w:val="231F20"/>
          <w:w w:val="105"/>
        </w:rPr>
        <w:t>abroad</w:t>
      </w:r>
      <w:r>
        <w:rPr>
          <w:color w:val="231F20"/>
          <w:spacing w:val="-10"/>
          <w:w w:val="105"/>
        </w:rPr>
        <w:t> </w:t>
      </w:r>
      <w:r>
        <w:rPr>
          <w:color w:val="231F20"/>
          <w:w w:val="105"/>
        </w:rPr>
        <w:t>with</w:t>
      </w:r>
      <w:r>
        <w:rPr>
          <w:color w:val="231F20"/>
          <w:spacing w:val="-10"/>
          <w:w w:val="105"/>
        </w:rPr>
        <w:t> </w:t>
      </w:r>
      <w:r>
        <w:rPr>
          <w:color w:val="231F20"/>
          <w:w w:val="105"/>
        </w:rPr>
        <w:t>classmates,</w:t>
      </w:r>
      <w:r>
        <w:rPr>
          <w:color w:val="231F20"/>
          <w:spacing w:val="-16"/>
          <w:w w:val="105"/>
        </w:rPr>
        <w:t> </w:t>
      </w:r>
      <w:r>
        <w:rPr>
          <w:color w:val="231F20"/>
          <w:w w:val="105"/>
        </w:rPr>
        <w:t>or</w:t>
      </w:r>
      <w:r>
        <w:rPr>
          <w:color w:val="231F20"/>
          <w:spacing w:val="-10"/>
          <w:w w:val="105"/>
        </w:rPr>
        <w:t> </w:t>
      </w:r>
      <w:r>
        <w:rPr>
          <w:color w:val="231F20"/>
          <w:w w:val="105"/>
        </w:rPr>
        <w:t>explaining</w:t>
      </w:r>
      <w:r>
        <w:rPr>
          <w:color w:val="231F20"/>
          <w:spacing w:val="-10"/>
          <w:w w:val="105"/>
        </w:rPr>
        <w:t> </w:t>
      </w:r>
      <w:r>
        <w:rPr>
          <w:color w:val="231F20"/>
          <w:w w:val="105"/>
        </w:rPr>
        <w:t>their</w:t>
      </w:r>
      <w:r>
        <w:rPr>
          <w:color w:val="231F20"/>
          <w:spacing w:val="-10"/>
          <w:w w:val="105"/>
        </w:rPr>
        <w:t> </w:t>
      </w:r>
      <w:r>
        <w:rPr>
          <w:color w:val="231F20"/>
          <w:w w:val="105"/>
        </w:rPr>
        <w:t>cir- cumstances</w:t>
      </w:r>
      <w:r>
        <w:rPr>
          <w:color w:val="231F20"/>
          <w:spacing w:val="-6"/>
          <w:w w:val="105"/>
        </w:rPr>
        <w:t> </w:t>
      </w:r>
      <w:r>
        <w:rPr>
          <w:color w:val="231F20"/>
          <w:w w:val="105"/>
        </w:rPr>
        <w:t>to</w:t>
      </w:r>
      <w:r>
        <w:rPr>
          <w:color w:val="231F20"/>
          <w:spacing w:val="-6"/>
          <w:w w:val="105"/>
        </w:rPr>
        <w:t> </w:t>
      </w:r>
      <w:r>
        <w:rPr>
          <w:color w:val="231F20"/>
          <w:w w:val="105"/>
        </w:rPr>
        <w:t>others.</w:t>
      </w:r>
      <w:r>
        <w:rPr>
          <w:color w:val="231F20"/>
          <w:spacing w:val="-12"/>
          <w:w w:val="105"/>
        </w:rPr>
        <w:t> </w:t>
      </w:r>
      <w:r>
        <w:rPr>
          <w:color w:val="231F20"/>
          <w:w w:val="105"/>
        </w:rPr>
        <w:t>Students</w:t>
      </w:r>
      <w:r>
        <w:rPr>
          <w:color w:val="231F20"/>
          <w:spacing w:val="-6"/>
          <w:w w:val="105"/>
        </w:rPr>
        <w:t> </w:t>
      </w:r>
      <w:r>
        <w:rPr>
          <w:color w:val="231F20"/>
          <w:w w:val="105"/>
        </w:rPr>
        <w:t>who</w:t>
      </w:r>
      <w:r>
        <w:rPr>
          <w:color w:val="231F20"/>
          <w:spacing w:val="-6"/>
          <w:w w:val="105"/>
        </w:rPr>
        <w:t> </w:t>
      </w:r>
      <w:r>
        <w:rPr>
          <w:color w:val="231F20"/>
          <w:w w:val="105"/>
        </w:rPr>
        <w:t>have</w:t>
      </w:r>
      <w:r>
        <w:rPr>
          <w:color w:val="231F20"/>
          <w:spacing w:val="-6"/>
          <w:w w:val="105"/>
        </w:rPr>
        <w:t> </w:t>
      </w:r>
      <w:r>
        <w:rPr>
          <w:color w:val="231F20"/>
          <w:w w:val="105"/>
        </w:rPr>
        <w:t>been</w:t>
      </w:r>
      <w:r>
        <w:rPr>
          <w:color w:val="231F20"/>
          <w:spacing w:val="-6"/>
          <w:w w:val="105"/>
        </w:rPr>
        <w:t> </w:t>
      </w:r>
      <w:r>
        <w:rPr>
          <w:color w:val="231F20"/>
          <w:w w:val="105"/>
        </w:rPr>
        <w:t>raised</w:t>
      </w:r>
      <w:r>
        <w:rPr>
          <w:color w:val="231F20"/>
          <w:spacing w:val="-6"/>
          <w:w w:val="105"/>
        </w:rPr>
        <w:t> </w:t>
      </w:r>
      <w:r>
        <w:rPr>
          <w:color w:val="231F20"/>
          <w:w w:val="105"/>
        </w:rPr>
        <w:t>and</w:t>
      </w:r>
      <w:r>
        <w:rPr>
          <w:color w:val="231F20"/>
          <w:spacing w:val="-6"/>
          <w:w w:val="105"/>
        </w:rPr>
        <w:t> </w:t>
      </w:r>
      <w:r>
        <w:rPr>
          <w:color w:val="231F20"/>
          <w:w w:val="105"/>
        </w:rPr>
        <w:t>socialized</w:t>
      </w:r>
      <w:r>
        <w:rPr>
          <w:color w:val="231F20"/>
          <w:spacing w:val="-6"/>
          <w:w w:val="105"/>
        </w:rPr>
        <w:t> </w:t>
      </w:r>
      <w:r>
        <w:rPr>
          <w:color w:val="231F20"/>
          <w:w w:val="105"/>
        </w:rPr>
        <w:t>in the</w:t>
      </w:r>
      <w:r>
        <w:rPr>
          <w:color w:val="231F20"/>
          <w:spacing w:val="-21"/>
          <w:w w:val="105"/>
        </w:rPr>
        <w:t> </w:t>
      </w:r>
      <w:r>
        <w:rPr>
          <w:color w:val="231F20"/>
          <w:w w:val="105"/>
        </w:rPr>
        <w:t>United</w:t>
      </w:r>
      <w:r>
        <w:rPr>
          <w:color w:val="231F20"/>
          <w:spacing w:val="-21"/>
          <w:w w:val="105"/>
        </w:rPr>
        <w:t> </w:t>
      </w:r>
      <w:r>
        <w:rPr>
          <w:color w:val="231F20"/>
          <w:w w:val="105"/>
        </w:rPr>
        <w:t>States</w:t>
      </w:r>
      <w:r>
        <w:rPr>
          <w:color w:val="231F20"/>
          <w:spacing w:val="-21"/>
          <w:w w:val="105"/>
        </w:rPr>
        <w:t> </w:t>
      </w:r>
      <w:r>
        <w:rPr>
          <w:color w:val="231F20"/>
          <w:w w:val="105"/>
        </w:rPr>
        <w:t>have</w:t>
      </w:r>
      <w:r>
        <w:rPr>
          <w:color w:val="231F20"/>
          <w:spacing w:val="-21"/>
          <w:w w:val="105"/>
        </w:rPr>
        <w:t> </w:t>
      </w:r>
      <w:r>
        <w:rPr>
          <w:color w:val="231F20"/>
          <w:w w:val="105"/>
        </w:rPr>
        <w:t>internalized</w:t>
      </w:r>
      <w:r>
        <w:rPr>
          <w:color w:val="231F20"/>
          <w:spacing w:val="-21"/>
          <w:w w:val="105"/>
        </w:rPr>
        <w:t> </w:t>
      </w:r>
      <w:r>
        <w:rPr>
          <w:color w:val="231F20"/>
          <w:w w:val="105"/>
        </w:rPr>
        <w:t>many</w:t>
      </w:r>
      <w:r>
        <w:rPr>
          <w:color w:val="231F20"/>
          <w:spacing w:val="-21"/>
          <w:w w:val="105"/>
        </w:rPr>
        <w:t> </w:t>
      </w:r>
      <w:r>
        <w:rPr>
          <w:color w:val="231F20"/>
          <w:w w:val="105"/>
        </w:rPr>
        <w:t>United</w:t>
      </w:r>
      <w:r>
        <w:rPr>
          <w:color w:val="231F20"/>
          <w:spacing w:val="-21"/>
          <w:w w:val="105"/>
        </w:rPr>
        <w:t> </w:t>
      </w:r>
      <w:r>
        <w:rPr>
          <w:color w:val="231F20"/>
          <w:w w:val="105"/>
        </w:rPr>
        <w:t>States</w:t>
      </w:r>
      <w:r>
        <w:rPr>
          <w:color w:val="231F20"/>
          <w:spacing w:val="-21"/>
          <w:w w:val="105"/>
        </w:rPr>
        <w:t> </w:t>
      </w:r>
      <w:r>
        <w:rPr>
          <w:color w:val="231F20"/>
          <w:w w:val="105"/>
        </w:rPr>
        <w:t>social</w:t>
      </w:r>
      <w:r>
        <w:rPr>
          <w:color w:val="231F20"/>
          <w:spacing w:val="-21"/>
          <w:w w:val="105"/>
        </w:rPr>
        <w:t> </w:t>
      </w:r>
      <w:r>
        <w:rPr>
          <w:color w:val="231F20"/>
          <w:w w:val="105"/>
        </w:rPr>
        <w:t>norms</w:t>
      </w:r>
      <w:r>
        <w:rPr>
          <w:color w:val="231F20"/>
          <w:spacing w:val="-21"/>
          <w:w w:val="105"/>
        </w:rPr>
        <w:t> </w:t>
      </w:r>
      <w:r>
        <w:rPr>
          <w:color w:val="231F20"/>
          <w:w w:val="105"/>
        </w:rPr>
        <w:t>and want</w:t>
      </w:r>
      <w:r>
        <w:rPr>
          <w:color w:val="231F20"/>
          <w:spacing w:val="-16"/>
          <w:w w:val="105"/>
        </w:rPr>
        <w:t> </w:t>
      </w:r>
      <w:r>
        <w:rPr>
          <w:color w:val="231F20"/>
          <w:w w:val="105"/>
        </w:rPr>
        <w:t>to</w:t>
      </w:r>
      <w:r>
        <w:rPr>
          <w:color w:val="231F20"/>
          <w:spacing w:val="-16"/>
          <w:w w:val="105"/>
        </w:rPr>
        <w:t> </w:t>
      </w:r>
      <w:r>
        <w:rPr>
          <w:color w:val="231F20"/>
          <w:w w:val="105"/>
        </w:rPr>
        <w:t>participate</w:t>
      </w:r>
      <w:r>
        <w:rPr>
          <w:color w:val="231F20"/>
          <w:spacing w:val="-16"/>
          <w:w w:val="105"/>
        </w:rPr>
        <w:t> </w:t>
      </w:r>
      <w:r>
        <w:rPr>
          <w:color w:val="231F20"/>
          <w:w w:val="105"/>
        </w:rPr>
        <w:t>in</w:t>
      </w:r>
      <w:r>
        <w:rPr>
          <w:color w:val="231F20"/>
          <w:spacing w:val="-16"/>
          <w:w w:val="105"/>
        </w:rPr>
        <w:t> </w:t>
      </w:r>
      <w:r>
        <w:rPr>
          <w:color w:val="231F20"/>
          <w:w w:val="105"/>
        </w:rPr>
        <w:t>activities</w:t>
      </w:r>
      <w:r>
        <w:rPr>
          <w:color w:val="231F20"/>
          <w:spacing w:val="-16"/>
          <w:w w:val="105"/>
        </w:rPr>
        <w:t> </w:t>
      </w:r>
      <w:r>
        <w:rPr>
          <w:color w:val="231F20"/>
          <w:w w:val="105"/>
        </w:rPr>
        <w:t>that</w:t>
      </w:r>
      <w:r>
        <w:rPr>
          <w:color w:val="231F20"/>
          <w:spacing w:val="-16"/>
          <w:w w:val="105"/>
        </w:rPr>
        <w:t> </w:t>
      </w:r>
      <w:r>
        <w:rPr>
          <w:color w:val="231F20"/>
          <w:w w:val="105"/>
        </w:rPr>
        <w:t>other</w:t>
      </w:r>
      <w:r>
        <w:rPr>
          <w:color w:val="231F20"/>
          <w:spacing w:val="-16"/>
          <w:w w:val="105"/>
        </w:rPr>
        <w:t> </w:t>
      </w:r>
      <w:r>
        <w:rPr>
          <w:color w:val="231F20"/>
          <w:w w:val="105"/>
        </w:rPr>
        <w:t>United</w:t>
      </w:r>
      <w:r>
        <w:rPr>
          <w:color w:val="231F20"/>
          <w:spacing w:val="-16"/>
          <w:w w:val="105"/>
        </w:rPr>
        <w:t> </w:t>
      </w:r>
      <w:r>
        <w:rPr>
          <w:color w:val="231F20"/>
          <w:w w:val="105"/>
        </w:rPr>
        <w:t>States-born</w:t>
      </w:r>
      <w:r>
        <w:rPr>
          <w:color w:val="231F20"/>
          <w:spacing w:val="-16"/>
          <w:w w:val="105"/>
        </w:rPr>
        <w:t> </w:t>
      </w:r>
      <w:r>
        <w:rPr>
          <w:color w:val="231F20"/>
          <w:w w:val="105"/>
        </w:rPr>
        <w:t>peers</w:t>
      </w:r>
      <w:r>
        <w:rPr>
          <w:color w:val="231F20"/>
          <w:spacing w:val="-16"/>
          <w:w w:val="105"/>
        </w:rPr>
        <w:t> </w:t>
      </w:r>
      <w:r>
        <w:rPr>
          <w:color w:val="231F20"/>
          <w:w w:val="105"/>
        </w:rPr>
        <w:t>enjoy.</w:t>
      </w:r>
    </w:p>
    <w:p>
      <w:pPr>
        <w:pStyle w:val="BodyText"/>
        <w:rPr>
          <w:sz w:val="20"/>
        </w:rPr>
      </w:pPr>
    </w:p>
    <w:p>
      <w:pPr>
        <w:pStyle w:val="BodyText"/>
        <w:rPr>
          <w:sz w:val="20"/>
        </w:rPr>
      </w:pPr>
    </w:p>
    <w:p>
      <w:pPr>
        <w:pStyle w:val="BodyText"/>
        <w:rPr>
          <w:sz w:val="26"/>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5440" from="131.551193pt,3.703715pt" to="131.551193pt,39.506114pt" stroked="true" strokeweight=".35pt" strokecolor="#231f20">
            <w10:wrap type="none"/>
          </v:line>
        </w:pict>
      </w:r>
      <w:r>
        <w:rPr/>
        <w:pict>
          <v:line style="position:absolute;mso-position-horizontal-relative:page;mso-position-vertical-relative:paragraph;z-index:-485368" from="15pt,39.505917pt" to="0pt,39.505917pt" stroked="true" strokeweight=".25pt" strokecolor="#000000">
            <w10:wrap type="none"/>
          </v:line>
        </w:pict>
      </w:r>
      <w:r>
        <w:rPr/>
        <w:pict>
          <v:line style="position:absolute;mso-position-horizontal-relative:page;mso-position-vertical-relative:paragraph;z-index:4840" from="508.890015pt,39.505917pt" to="523.890015pt,39.505917pt" stroked="true" strokeweight=".25pt" strokecolor="#000000">
            <w10:wrap type="none"/>
          </v:line>
        </w:pict>
      </w:r>
      <w:r>
        <w:rPr>
          <w:rFonts w:ascii="Arial" w:hAnsi="Arial"/>
          <w:color w:val="414042"/>
          <w:position w:val="-5"/>
          <w:sz w:val="20"/>
        </w:rPr>
        <w:t>50</w:t>
        <w:tab/>
      </w:r>
      <w:r>
        <w:rPr>
          <w:rFonts w:ascii="Calibri" w:hAnsi="Calibri"/>
          <w:color w:val="6D6E71"/>
          <w:sz w:val="15"/>
        </w:rPr>
        <w:t>Harriett Romo, Janeth Martínez y Christina  </w:t>
      </w:r>
      <w:r>
        <w:rPr>
          <w:rFonts w:ascii="Calibri" w:hAnsi="Calibri"/>
          <w:color w:val="6D6E71"/>
          <w:spacing w:val="15"/>
          <w:sz w:val="15"/>
        </w:rPr>
        <w:t> </w:t>
      </w:r>
      <w:r>
        <w:rPr>
          <w:rFonts w:ascii="Calibri" w:hAnsi="Calibri"/>
          <w:color w:val="6D6E71"/>
          <w:sz w:val="15"/>
        </w:rPr>
        <w:t>López-Mobilia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4958" w:right="0" w:firstLine="0"/>
        <w:jc w:val="left"/>
        <w:rPr>
          <w:rFonts w:ascii="Arial"/>
          <w:sz w:val="20"/>
        </w:rPr>
      </w:pPr>
      <w:r>
        <w:rPr/>
        <w:pict>
          <v:line style="position:absolute;mso-position-horizontal-relative:page;mso-position-vertical-relative:paragraph;z-index:-485320" from="405.061005pt,-18.554295pt" to="405.061005pt,16.311579pt" stroked="true" strokeweight=".35pt" strokecolor="#231f20">
            <w10:wrap type="none"/>
          </v:line>
        </w:pict>
      </w:r>
      <w:r>
        <w:rPr/>
        <w:pict>
          <v:line style="position:absolute;mso-position-horizontal-relative:page;mso-position-vertical-relative:paragraph;z-index:4888" from="15pt,-18.554522pt" to="0pt,-18.554522pt" stroked="true" strokeweight=".25pt" strokecolor="#000000">
            <w10:wrap type="none"/>
          </v:line>
        </w:pict>
      </w:r>
      <w:r>
        <w:rPr/>
        <w:pict>
          <v:line style="position:absolute;mso-position-horizontal-relative:page;mso-position-vertical-relative:paragraph;z-index:4912" from="508.890015pt,-18.554522pt" to="523.890015pt,-18.554522pt" stroked="true" strokeweight=".25pt" strokecolor="#000000">
            <w10:wrap type="none"/>
          </v:line>
        </w:pict>
      </w:r>
      <w:r>
        <w:rPr>
          <w:rFonts w:ascii="Lucida Sans Unicode"/>
          <w:color w:val="6D6E71"/>
          <w:w w:val="105"/>
          <w:sz w:val="14"/>
        </w:rPr>
        <w:t>Children</w:t>
      </w:r>
      <w:r>
        <w:rPr>
          <w:rFonts w:ascii="Lucida Sans Unicode"/>
          <w:color w:val="6D6E71"/>
          <w:spacing w:val="-10"/>
          <w:w w:val="105"/>
          <w:sz w:val="14"/>
        </w:rPr>
        <w:t> </w:t>
      </w:r>
      <w:r>
        <w:rPr>
          <w:rFonts w:ascii="Lucida Sans Unicode"/>
          <w:color w:val="6D6E71"/>
          <w:w w:val="105"/>
          <w:sz w:val="14"/>
        </w:rPr>
        <w:t>of</w:t>
      </w:r>
      <w:r>
        <w:rPr>
          <w:rFonts w:ascii="Lucida Sans Unicode"/>
          <w:color w:val="6D6E71"/>
          <w:spacing w:val="-10"/>
          <w:w w:val="105"/>
          <w:sz w:val="14"/>
        </w:rPr>
        <w:t> </w:t>
      </w:r>
      <w:r>
        <w:rPr>
          <w:rFonts w:ascii="Lucida Sans Unicode"/>
          <w:color w:val="6D6E71"/>
          <w:w w:val="105"/>
          <w:sz w:val="14"/>
        </w:rPr>
        <w:t>immigrants</w:t>
      </w:r>
      <w:r>
        <w:rPr>
          <w:rFonts w:ascii="Lucida Sans Unicode"/>
          <w:color w:val="6D6E71"/>
          <w:spacing w:val="-10"/>
          <w:w w:val="105"/>
          <w:sz w:val="14"/>
        </w:rPr>
        <w:t> </w:t>
      </w:r>
      <w:r>
        <w:rPr>
          <w:rFonts w:ascii="Lucida Sans Unicode"/>
          <w:color w:val="6D6E71"/>
          <w:w w:val="105"/>
          <w:sz w:val="14"/>
        </w:rPr>
        <w:t>in</w:t>
      </w:r>
      <w:r>
        <w:rPr>
          <w:rFonts w:ascii="Lucida Sans Unicode"/>
          <w:color w:val="6D6E71"/>
          <w:spacing w:val="-10"/>
          <w:w w:val="105"/>
          <w:sz w:val="14"/>
        </w:rPr>
        <w:t> </w:t>
      </w:r>
      <w:r>
        <w:rPr>
          <w:rFonts w:ascii="Lucida Sans Unicode"/>
          <w:color w:val="6D6E71"/>
          <w:w w:val="105"/>
          <w:sz w:val="14"/>
        </w:rPr>
        <w:t>the</w:t>
      </w:r>
      <w:r>
        <w:rPr>
          <w:rFonts w:ascii="Lucida Sans Unicode"/>
          <w:color w:val="6D6E71"/>
          <w:spacing w:val="-10"/>
          <w:w w:val="105"/>
          <w:sz w:val="14"/>
        </w:rPr>
        <w:t> </w:t>
      </w:r>
      <w:r>
        <w:rPr>
          <w:rFonts w:ascii="Lucida Sans Unicode"/>
          <w:color w:val="6D6E71"/>
          <w:w w:val="105"/>
          <w:sz w:val="14"/>
        </w:rPr>
        <w:t>United</w:t>
      </w:r>
      <w:r>
        <w:rPr>
          <w:rFonts w:ascii="Lucida Sans Unicode"/>
          <w:color w:val="6D6E71"/>
          <w:spacing w:val="-10"/>
          <w:w w:val="105"/>
          <w:sz w:val="14"/>
        </w:rPr>
        <w:t> </w:t>
      </w:r>
      <w:r>
        <w:rPr>
          <w:rFonts w:ascii="Lucida Sans Unicode"/>
          <w:color w:val="6D6E71"/>
          <w:spacing w:val="-3"/>
          <w:w w:val="105"/>
          <w:sz w:val="14"/>
        </w:rPr>
        <w:t>states</w:t>
      </w:r>
      <w:r>
        <w:rPr>
          <w:rFonts w:ascii="Arial"/>
          <w:color w:val="414042"/>
          <w:spacing w:val="-3"/>
          <w:w w:val="105"/>
          <w:position w:val="-3"/>
          <w:sz w:val="20"/>
        </w:rPr>
        <w:tab/>
      </w:r>
      <w:r>
        <w:rPr>
          <w:rFonts w:ascii="Arial"/>
          <w:color w:val="414042"/>
          <w:w w:val="105"/>
          <w:position w:val="-3"/>
          <w:sz w:val="20"/>
        </w:rPr>
        <w:t>51</w:t>
      </w:r>
    </w:p>
    <w:p>
      <w:pPr>
        <w:pStyle w:val="BodyText"/>
        <w:rPr>
          <w:rFonts w:ascii="Arial"/>
          <w:sz w:val="20"/>
        </w:rPr>
      </w:pPr>
    </w:p>
    <w:p>
      <w:pPr>
        <w:pStyle w:val="BodyText"/>
        <w:rPr>
          <w:rFonts w:ascii="Arial"/>
          <w:sz w:val="20"/>
        </w:rPr>
      </w:pPr>
    </w:p>
    <w:p>
      <w:pPr>
        <w:pStyle w:val="BodyText"/>
        <w:spacing w:line="261" w:lineRule="auto" w:before="179"/>
        <w:ind w:left="1516" w:right="1716"/>
        <w:jc w:val="right"/>
      </w:pPr>
      <w:r>
        <w:rPr>
          <w:color w:val="231F20"/>
          <w:w w:val="105"/>
        </w:rPr>
        <w:t>They</w:t>
      </w:r>
      <w:r>
        <w:rPr>
          <w:color w:val="231F20"/>
          <w:spacing w:val="-20"/>
          <w:w w:val="105"/>
        </w:rPr>
        <w:t> </w:t>
      </w:r>
      <w:r>
        <w:rPr>
          <w:color w:val="231F20"/>
          <w:w w:val="105"/>
        </w:rPr>
        <w:t>may</w:t>
      </w:r>
      <w:r>
        <w:rPr>
          <w:color w:val="231F20"/>
          <w:spacing w:val="-20"/>
          <w:w w:val="105"/>
        </w:rPr>
        <w:t> </w:t>
      </w:r>
      <w:r>
        <w:rPr>
          <w:color w:val="231F20"/>
          <w:w w:val="105"/>
        </w:rPr>
        <w:t>try</w:t>
      </w:r>
      <w:r>
        <w:rPr>
          <w:color w:val="231F20"/>
          <w:spacing w:val="-20"/>
          <w:w w:val="105"/>
        </w:rPr>
        <w:t> </w:t>
      </w:r>
      <w:r>
        <w:rPr>
          <w:color w:val="231F20"/>
          <w:w w:val="105"/>
        </w:rPr>
        <w:t>to</w:t>
      </w:r>
      <w:r>
        <w:rPr>
          <w:color w:val="231F20"/>
          <w:spacing w:val="-20"/>
          <w:w w:val="105"/>
        </w:rPr>
        <w:t> </w:t>
      </w:r>
      <w:r>
        <w:rPr>
          <w:color w:val="231F20"/>
          <w:w w:val="105"/>
        </w:rPr>
        <w:t>achieve</w:t>
      </w:r>
      <w:r>
        <w:rPr>
          <w:color w:val="231F20"/>
          <w:spacing w:val="-20"/>
          <w:w w:val="105"/>
        </w:rPr>
        <w:t> </w:t>
      </w:r>
      <w:r>
        <w:rPr>
          <w:color w:val="231F20"/>
          <w:w w:val="105"/>
        </w:rPr>
        <w:t>a</w:t>
      </w:r>
      <w:r>
        <w:rPr>
          <w:color w:val="231F20"/>
          <w:spacing w:val="-20"/>
          <w:w w:val="105"/>
        </w:rPr>
        <w:t> </w:t>
      </w:r>
      <w:r>
        <w:rPr>
          <w:color w:val="231F20"/>
          <w:w w:val="105"/>
        </w:rPr>
        <w:t>greater</w:t>
      </w:r>
      <w:r>
        <w:rPr>
          <w:color w:val="231F20"/>
          <w:spacing w:val="-20"/>
          <w:w w:val="105"/>
        </w:rPr>
        <w:t> </w:t>
      </w:r>
      <w:r>
        <w:rPr>
          <w:color w:val="231F20"/>
          <w:w w:val="105"/>
        </w:rPr>
        <w:t>sense</w:t>
      </w:r>
      <w:r>
        <w:rPr>
          <w:color w:val="231F20"/>
          <w:spacing w:val="-20"/>
          <w:w w:val="105"/>
        </w:rPr>
        <w:t> </w:t>
      </w:r>
      <w:r>
        <w:rPr>
          <w:color w:val="231F20"/>
          <w:w w:val="105"/>
        </w:rPr>
        <w:t>of</w:t>
      </w:r>
      <w:r>
        <w:rPr>
          <w:color w:val="231F20"/>
          <w:spacing w:val="-16"/>
          <w:w w:val="105"/>
        </w:rPr>
        <w:t> </w:t>
      </w:r>
      <w:r>
        <w:rPr>
          <w:color w:val="231F20"/>
          <w:w w:val="105"/>
        </w:rPr>
        <w:t>belonging</w:t>
      </w:r>
      <w:r>
        <w:rPr>
          <w:color w:val="231F20"/>
          <w:spacing w:val="-20"/>
          <w:w w:val="105"/>
        </w:rPr>
        <w:t> </w:t>
      </w:r>
      <w:r>
        <w:rPr>
          <w:color w:val="231F20"/>
          <w:w w:val="105"/>
        </w:rPr>
        <w:t>by</w:t>
      </w:r>
      <w:r>
        <w:rPr>
          <w:color w:val="231F20"/>
          <w:spacing w:val="-20"/>
          <w:w w:val="105"/>
        </w:rPr>
        <w:t> </w:t>
      </w:r>
      <w:r>
        <w:rPr>
          <w:color w:val="231F20"/>
          <w:w w:val="105"/>
        </w:rPr>
        <w:t>distancing</w:t>
      </w:r>
      <w:r>
        <w:rPr>
          <w:color w:val="231F20"/>
          <w:spacing w:val="-20"/>
          <w:w w:val="105"/>
        </w:rPr>
        <w:t> </w:t>
      </w:r>
      <w:r>
        <w:rPr>
          <w:color w:val="231F20"/>
          <w:w w:val="105"/>
        </w:rPr>
        <w:t>them-</w:t>
      </w:r>
      <w:r>
        <w:rPr>
          <w:color w:val="231F20"/>
          <w:w w:val="96"/>
        </w:rPr>
        <w:t> </w:t>
      </w:r>
      <w:r>
        <w:rPr>
          <w:color w:val="231F20"/>
          <w:w w:val="105"/>
        </w:rPr>
        <w:t>selves</w:t>
      </w:r>
      <w:r>
        <w:rPr>
          <w:color w:val="231F20"/>
          <w:spacing w:val="-12"/>
          <w:w w:val="105"/>
        </w:rPr>
        <w:t> </w:t>
      </w:r>
      <w:r>
        <w:rPr>
          <w:color w:val="231F20"/>
          <w:w w:val="105"/>
        </w:rPr>
        <w:t>from</w:t>
      </w:r>
      <w:r>
        <w:rPr>
          <w:color w:val="231F20"/>
          <w:spacing w:val="-12"/>
          <w:w w:val="105"/>
        </w:rPr>
        <w:t> </w:t>
      </w:r>
      <w:r>
        <w:rPr>
          <w:color w:val="231F20"/>
          <w:w w:val="105"/>
        </w:rPr>
        <w:t>other</w:t>
      </w:r>
      <w:r>
        <w:rPr>
          <w:color w:val="231F20"/>
          <w:spacing w:val="-12"/>
          <w:w w:val="105"/>
        </w:rPr>
        <w:t> </w:t>
      </w:r>
      <w:r>
        <w:rPr>
          <w:color w:val="231F20"/>
          <w:w w:val="105"/>
        </w:rPr>
        <w:t>immigrants,</w:t>
      </w:r>
      <w:r>
        <w:rPr>
          <w:color w:val="231F20"/>
          <w:spacing w:val="-17"/>
          <w:w w:val="105"/>
        </w:rPr>
        <w:t> </w:t>
      </w:r>
      <w:r>
        <w:rPr>
          <w:color w:val="231F20"/>
          <w:w w:val="105"/>
        </w:rPr>
        <w:t>including</w:t>
      </w:r>
      <w:r>
        <w:rPr>
          <w:color w:val="231F20"/>
          <w:spacing w:val="-12"/>
          <w:w w:val="105"/>
        </w:rPr>
        <w:t> </w:t>
      </w:r>
      <w:r>
        <w:rPr>
          <w:color w:val="231F20"/>
          <w:w w:val="105"/>
        </w:rPr>
        <w:t>their</w:t>
      </w:r>
      <w:r>
        <w:rPr>
          <w:color w:val="231F20"/>
          <w:spacing w:val="-12"/>
          <w:w w:val="105"/>
        </w:rPr>
        <w:t> </w:t>
      </w:r>
      <w:r>
        <w:rPr>
          <w:color w:val="231F20"/>
          <w:w w:val="105"/>
        </w:rPr>
        <w:t>parents,</w:t>
      </w:r>
      <w:r>
        <w:rPr>
          <w:color w:val="231F20"/>
          <w:spacing w:val="-17"/>
          <w:w w:val="105"/>
        </w:rPr>
        <w:t> </w:t>
      </w:r>
      <w:r>
        <w:rPr>
          <w:color w:val="231F20"/>
          <w:w w:val="105"/>
        </w:rPr>
        <w:t>or</w:t>
      </w:r>
      <w:r>
        <w:rPr>
          <w:color w:val="231F20"/>
          <w:spacing w:val="-12"/>
          <w:w w:val="105"/>
        </w:rPr>
        <w:t> </w:t>
      </w:r>
      <w:r>
        <w:rPr>
          <w:color w:val="231F20"/>
          <w:w w:val="105"/>
        </w:rPr>
        <w:t>by</w:t>
      </w:r>
      <w:r>
        <w:rPr>
          <w:color w:val="231F20"/>
          <w:spacing w:val="-12"/>
          <w:w w:val="105"/>
        </w:rPr>
        <w:t> </w:t>
      </w:r>
      <w:r>
        <w:rPr>
          <w:color w:val="231F20"/>
          <w:w w:val="105"/>
        </w:rPr>
        <w:t>excelling</w:t>
      </w:r>
      <w:r>
        <w:rPr>
          <w:color w:val="231F20"/>
          <w:spacing w:val="-12"/>
          <w:w w:val="105"/>
        </w:rPr>
        <w:t> </w:t>
      </w:r>
      <w:r>
        <w:rPr>
          <w:color w:val="231F20"/>
          <w:w w:val="105"/>
        </w:rPr>
        <w:t>in</w:t>
      </w:r>
      <w:r>
        <w:rPr>
          <w:color w:val="231F20"/>
          <w:spacing w:val="-12"/>
          <w:w w:val="105"/>
        </w:rPr>
        <w:t> </w:t>
      </w:r>
      <w:r>
        <w:rPr>
          <w:color w:val="231F20"/>
          <w:w w:val="105"/>
        </w:rPr>
        <w:t>a</w:t>
      </w:r>
      <w:r>
        <w:rPr>
          <w:color w:val="231F20"/>
          <w:w w:val="96"/>
        </w:rPr>
        <w:t> </w:t>
      </w:r>
      <w:r>
        <w:rPr>
          <w:color w:val="231F20"/>
          <w:w w:val="105"/>
        </w:rPr>
        <w:t>society</w:t>
      </w:r>
      <w:r>
        <w:rPr>
          <w:color w:val="231F20"/>
          <w:spacing w:val="-27"/>
          <w:w w:val="105"/>
        </w:rPr>
        <w:t> </w:t>
      </w:r>
      <w:r>
        <w:rPr>
          <w:color w:val="231F20"/>
          <w:w w:val="105"/>
        </w:rPr>
        <w:t>that</w:t>
      </w:r>
      <w:r>
        <w:rPr>
          <w:color w:val="231F20"/>
          <w:spacing w:val="-27"/>
          <w:w w:val="105"/>
        </w:rPr>
        <w:t> </w:t>
      </w:r>
      <w:r>
        <w:rPr>
          <w:color w:val="231F20"/>
          <w:w w:val="105"/>
        </w:rPr>
        <w:t>values</w:t>
      </w:r>
      <w:r>
        <w:rPr>
          <w:color w:val="231F20"/>
          <w:spacing w:val="-27"/>
          <w:w w:val="105"/>
        </w:rPr>
        <w:t> </w:t>
      </w:r>
      <w:r>
        <w:rPr>
          <w:color w:val="231F20"/>
          <w:w w:val="105"/>
        </w:rPr>
        <w:t>education</w:t>
      </w:r>
      <w:r>
        <w:rPr>
          <w:color w:val="231F20"/>
          <w:spacing w:val="-27"/>
          <w:w w:val="105"/>
        </w:rPr>
        <w:t> </w:t>
      </w:r>
      <w:r>
        <w:rPr>
          <w:color w:val="231F20"/>
          <w:w w:val="105"/>
        </w:rPr>
        <w:t>and</w:t>
      </w:r>
      <w:r>
        <w:rPr>
          <w:color w:val="231F20"/>
          <w:spacing w:val="-27"/>
          <w:w w:val="105"/>
        </w:rPr>
        <w:t> </w:t>
      </w:r>
      <w:r>
        <w:rPr>
          <w:color w:val="231F20"/>
          <w:w w:val="105"/>
        </w:rPr>
        <w:t>individual</w:t>
      </w:r>
      <w:r>
        <w:rPr>
          <w:color w:val="231F20"/>
          <w:spacing w:val="-27"/>
          <w:w w:val="105"/>
        </w:rPr>
        <w:t> </w:t>
      </w:r>
      <w:r>
        <w:rPr>
          <w:color w:val="231F20"/>
          <w:w w:val="105"/>
        </w:rPr>
        <w:t>achievement</w:t>
      </w:r>
      <w:r>
        <w:rPr>
          <w:color w:val="231F20"/>
          <w:spacing w:val="-27"/>
          <w:w w:val="105"/>
        </w:rPr>
        <w:t> </w:t>
      </w:r>
      <w:r>
        <w:rPr>
          <w:color w:val="231F20"/>
          <w:w w:val="105"/>
        </w:rPr>
        <w:t>(Abrego,</w:t>
      </w:r>
      <w:r>
        <w:rPr>
          <w:color w:val="231F20"/>
          <w:spacing w:val="-32"/>
          <w:w w:val="105"/>
        </w:rPr>
        <w:t> </w:t>
      </w:r>
      <w:r>
        <w:rPr>
          <w:color w:val="231F20"/>
          <w:w w:val="105"/>
        </w:rPr>
        <w:t>2014).</w:t>
      </w:r>
    </w:p>
    <w:p>
      <w:pPr>
        <w:pStyle w:val="BodyText"/>
        <w:spacing w:line="261" w:lineRule="auto" w:before="1"/>
        <w:ind w:left="1837" w:right="1715" w:firstLine="567"/>
        <w:jc w:val="both"/>
      </w:pPr>
      <w:r>
        <w:rPr>
          <w:color w:val="231F20"/>
          <w:w w:val="105"/>
        </w:rPr>
        <w:t>On a collective level, many undocumented students have joined other youth who are also undocumented and have started movements as</w:t>
      </w:r>
      <w:r>
        <w:rPr>
          <w:color w:val="231F20"/>
          <w:spacing w:val="-17"/>
          <w:w w:val="105"/>
        </w:rPr>
        <w:t> </w:t>
      </w:r>
      <w:r>
        <w:rPr>
          <w:color w:val="231F20"/>
          <w:w w:val="105"/>
        </w:rPr>
        <w:t>students</w:t>
      </w:r>
      <w:r>
        <w:rPr>
          <w:color w:val="231F20"/>
          <w:spacing w:val="-17"/>
          <w:w w:val="105"/>
        </w:rPr>
        <w:t> </w:t>
      </w:r>
      <w:r>
        <w:rPr>
          <w:color w:val="231F20"/>
          <w:w w:val="105"/>
        </w:rPr>
        <w:t>in</w:t>
      </w:r>
      <w:r>
        <w:rPr>
          <w:color w:val="231F20"/>
          <w:spacing w:val="-17"/>
          <w:w w:val="105"/>
        </w:rPr>
        <w:t> </w:t>
      </w:r>
      <w:r>
        <w:rPr>
          <w:color w:val="231F20"/>
          <w:w w:val="105"/>
        </w:rPr>
        <w:t>school</w:t>
      </w:r>
      <w:r>
        <w:rPr>
          <w:color w:val="231F20"/>
          <w:spacing w:val="-17"/>
          <w:w w:val="105"/>
        </w:rPr>
        <w:t> </w:t>
      </w:r>
      <w:r>
        <w:rPr>
          <w:color w:val="231F20"/>
          <w:w w:val="105"/>
        </w:rPr>
        <w:t>settings</w:t>
      </w:r>
      <w:r>
        <w:rPr>
          <w:color w:val="231F20"/>
          <w:spacing w:val="-17"/>
          <w:w w:val="105"/>
        </w:rPr>
        <w:t> </w:t>
      </w:r>
      <w:r>
        <w:rPr>
          <w:color w:val="231F20"/>
          <w:w w:val="105"/>
        </w:rPr>
        <w:t>and</w:t>
      </w:r>
      <w:r>
        <w:rPr>
          <w:color w:val="231F20"/>
          <w:spacing w:val="-17"/>
          <w:w w:val="105"/>
        </w:rPr>
        <w:t> </w:t>
      </w:r>
      <w:r>
        <w:rPr>
          <w:color w:val="231F20"/>
          <w:w w:val="105"/>
        </w:rPr>
        <w:t>beyond</w:t>
      </w:r>
      <w:r>
        <w:rPr>
          <w:color w:val="231F20"/>
          <w:spacing w:val="-17"/>
          <w:w w:val="105"/>
        </w:rPr>
        <w:t> </w:t>
      </w:r>
      <w:r>
        <w:rPr>
          <w:color w:val="231F20"/>
          <w:w w:val="105"/>
        </w:rPr>
        <w:t>through</w:t>
      </w:r>
      <w:r>
        <w:rPr>
          <w:color w:val="231F20"/>
          <w:spacing w:val="-17"/>
          <w:w w:val="105"/>
        </w:rPr>
        <w:t> </w:t>
      </w:r>
      <w:r>
        <w:rPr>
          <w:color w:val="231F20"/>
          <w:w w:val="105"/>
        </w:rPr>
        <w:t>organizations</w:t>
      </w:r>
      <w:r>
        <w:rPr>
          <w:color w:val="231F20"/>
          <w:spacing w:val="-17"/>
          <w:w w:val="105"/>
        </w:rPr>
        <w:t> </w:t>
      </w:r>
      <w:r>
        <w:rPr>
          <w:color w:val="231F20"/>
          <w:w w:val="105"/>
        </w:rPr>
        <w:t>such</w:t>
      </w:r>
      <w:r>
        <w:rPr>
          <w:color w:val="231F20"/>
          <w:spacing w:val="-17"/>
          <w:w w:val="105"/>
        </w:rPr>
        <w:t> </w:t>
      </w:r>
      <w:r>
        <w:rPr>
          <w:color w:val="231F20"/>
          <w:w w:val="105"/>
        </w:rPr>
        <w:t>as the</w:t>
      </w:r>
      <w:r>
        <w:rPr>
          <w:color w:val="231F20"/>
          <w:spacing w:val="-8"/>
          <w:w w:val="105"/>
        </w:rPr>
        <w:t> </w:t>
      </w:r>
      <w:r>
        <w:rPr>
          <w:color w:val="231F20"/>
          <w:w w:val="105"/>
        </w:rPr>
        <w:t>DREAM</w:t>
      </w:r>
      <w:r>
        <w:rPr>
          <w:color w:val="231F20"/>
          <w:spacing w:val="-11"/>
          <w:w w:val="105"/>
        </w:rPr>
        <w:t> </w:t>
      </w:r>
      <w:r>
        <w:rPr>
          <w:color w:val="231F20"/>
          <w:spacing w:val="-2"/>
          <w:w w:val="105"/>
        </w:rPr>
        <w:t>ACT</w:t>
      </w:r>
      <w:r>
        <w:rPr>
          <w:color w:val="231F20"/>
          <w:spacing w:val="-12"/>
          <w:w w:val="105"/>
        </w:rPr>
        <w:t> </w:t>
      </w:r>
      <w:r>
        <w:rPr>
          <w:color w:val="231F20"/>
          <w:w w:val="105"/>
        </w:rPr>
        <w:t>Movement</w:t>
      </w:r>
      <w:r>
        <w:rPr>
          <w:color w:val="231F20"/>
          <w:spacing w:val="-8"/>
          <w:w w:val="105"/>
        </w:rPr>
        <w:t> </w:t>
      </w:r>
      <w:r>
        <w:rPr>
          <w:color w:val="231F20"/>
          <w:w w:val="105"/>
        </w:rPr>
        <w:t>(Nicholls,</w:t>
      </w:r>
      <w:r>
        <w:rPr>
          <w:color w:val="231F20"/>
          <w:spacing w:val="-14"/>
          <w:w w:val="105"/>
        </w:rPr>
        <w:t> </w:t>
      </w:r>
      <w:r>
        <w:rPr>
          <w:color w:val="231F20"/>
          <w:w w:val="105"/>
        </w:rPr>
        <w:t>2013).</w:t>
      </w:r>
      <w:r>
        <w:rPr>
          <w:color w:val="231F20"/>
          <w:spacing w:val="-14"/>
          <w:w w:val="105"/>
        </w:rPr>
        <w:t> </w:t>
      </w:r>
      <w:r>
        <w:rPr>
          <w:color w:val="231F20"/>
          <w:w w:val="105"/>
        </w:rPr>
        <w:t>By</w:t>
      </w:r>
      <w:r>
        <w:rPr>
          <w:color w:val="231F20"/>
          <w:spacing w:val="-8"/>
          <w:w w:val="105"/>
        </w:rPr>
        <w:t> </w:t>
      </w:r>
      <w:r>
        <w:rPr>
          <w:color w:val="231F20"/>
          <w:w w:val="105"/>
        </w:rPr>
        <w:t>“coming</w:t>
      </w:r>
      <w:r>
        <w:rPr>
          <w:color w:val="231F20"/>
          <w:spacing w:val="-8"/>
          <w:w w:val="105"/>
        </w:rPr>
        <w:t> </w:t>
      </w:r>
      <w:r>
        <w:rPr>
          <w:color w:val="231F20"/>
          <w:w w:val="105"/>
        </w:rPr>
        <w:t>out</w:t>
      </w:r>
      <w:r>
        <w:rPr>
          <w:color w:val="231F20"/>
          <w:spacing w:val="-8"/>
          <w:w w:val="105"/>
        </w:rPr>
        <w:t> </w:t>
      </w:r>
      <w:r>
        <w:rPr>
          <w:color w:val="231F20"/>
          <w:w w:val="105"/>
        </w:rPr>
        <w:t>of</w:t>
      </w:r>
      <w:r>
        <w:rPr>
          <w:color w:val="231F20"/>
          <w:spacing w:val="-4"/>
          <w:w w:val="105"/>
        </w:rPr>
        <w:t> </w:t>
      </w:r>
      <w:r>
        <w:rPr>
          <w:color w:val="231F20"/>
          <w:w w:val="105"/>
        </w:rPr>
        <w:t>the</w:t>
      </w:r>
      <w:r>
        <w:rPr>
          <w:color w:val="231F20"/>
          <w:spacing w:val="-8"/>
          <w:w w:val="105"/>
        </w:rPr>
        <w:t> </w:t>
      </w:r>
      <w:r>
        <w:rPr>
          <w:color w:val="231F20"/>
          <w:w w:val="105"/>
        </w:rPr>
        <w:t>sha- dows”</w:t>
      </w:r>
      <w:r>
        <w:rPr>
          <w:color w:val="231F20"/>
          <w:spacing w:val="-6"/>
          <w:w w:val="105"/>
        </w:rPr>
        <w:t> </w:t>
      </w:r>
      <w:r>
        <w:rPr>
          <w:color w:val="231F20"/>
          <w:w w:val="105"/>
        </w:rPr>
        <w:t>to</w:t>
      </w:r>
      <w:r>
        <w:rPr>
          <w:color w:val="231F20"/>
          <w:spacing w:val="-6"/>
          <w:w w:val="105"/>
        </w:rPr>
        <w:t> </w:t>
      </w:r>
      <w:r>
        <w:rPr>
          <w:color w:val="231F20"/>
          <w:w w:val="105"/>
        </w:rPr>
        <w:t>share</w:t>
      </w:r>
      <w:r>
        <w:rPr>
          <w:color w:val="231F20"/>
          <w:spacing w:val="-6"/>
          <w:w w:val="105"/>
        </w:rPr>
        <w:t> </w:t>
      </w:r>
      <w:r>
        <w:rPr>
          <w:color w:val="231F20"/>
          <w:w w:val="105"/>
        </w:rPr>
        <w:t>their</w:t>
      </w:r>
      <w:r>
        <w:rPr>
          <w:color w:val="231F20"/>
          <w:spacing w:val="-6"/>
          <w:w w:val="105"/>
        </w:rPr>
        <w:t> </w:t>
      </w:r>
      <w:r>
        <w:rPr>
          <w:color w:val="231F20"/>
          <w:w w:val="105"/>
        </w:rPr>
        <w:t>stories</w:t>
      </w:r>
      <w:r>
        <w:rPr>
          <w:color w:val="231F20"/>
          <w:spacing w:val="-6"/>
          <w:w w:val="105"/>
        </w:rPr>
        <w:t> </w:t>
      </w:r>
      <w:r>
        <w:rPr>
          <w:color w:val="231F20"/>
          <w:w w:val="105"/>
        </w:rPr>
        <w:t>and</w:t>
      </w:r>
      <w:r>
        <w:rPr>
          <w:color w:val="231F20"/>
          <w:spacing w:val="-6"/>
          <w:w w:val="105"/>
        </w:rPr>
        <w:t> </w:t>
      </w:r>
      <w:r>
        <w:rPr>
          <w:color w:val="231F20"/>
          <w:w w:val="105"/>
        </w:rPr>
        <w:t>their</w:t>
      </w:r>
      <w:r>
        <w:rPr>
          <w:color w:val="231F20"/>
          <w:spacing w:val="-6"/>
          <w:w w:val="105"/>
        </w:rPr>
        <w:t> </w:t>
      </w:r>
      <w:r>
        <w:rPr>
          <w:color w:val="231F20"/>
          <w:w w:val="105"/>
        </w:rPr>
        <w:t>undocumented</w:t>
      </w:r>
      <w:r>
        <w:rPr>
          <w:color w:val="231F20"/>
          <w:spacing w:val="-6"/>
          <w:w w:val="105"/>
        </w:rPr>
        <w:t> </w:t>
      </w:r>
      <w:r>
        <w:rPr>
          <w:color w:val="231F20"/>
          <w:w w:val="105"/>
        </w:rPr>
        <w:t>status,</w:t>
      </w:r>
      <w:r>
        <w:rPr>
          <w:color w:val="231F20"/>
          <w:spacing w:val="-12"/>
          <w:w w:val="105"/>
        </w:rPr>
        <w:t> </w:t>
      </w:r>
      <w:r>
        <w:rPr>
          <w:color w:val="231F20"/>
          <w:w w:val="105"/>
        </w:rPr>
        <w:t>these</w:t>
      </w:r>
      <w:r>
        <w:rPr>
          <w:color w:val="231F20"/>
          <w:spacing w:val="-6"/>
          <w:w w:val="105"/>
        </w:rPr>
        <w:t> </w:t>
      </w:r>
      <w:r>
        <w:rPr>
          <w:color w:val="231F20"/>
          <w:w w:val="105"/>
        </w:rPr>
        <w:t>youth have</w:t>
      </w:r>
      <w:r>
        <w:rPr>
          <w:color w:val="231F20"/>
          <w:spacing w:val="-12"/>
          <w:w w:val="105"/>
        </w:rPr>
        <w:t> </w:t>
      </w:r>
      <w:r>
        <w:rPr>
          <w:color w:val="231F20"/>
          <w:w w:val="105"/>
        </w:rPr>
        <w:t>called</w:t>
      </w:r>
      <w:r>
        <w:rPr>
          <w:color w:val="231F20"/>
          <w:spacing w:val="-12"/>
          <w:w w:val="105"/>
        </w:rPr>
        <w:t> </w:t>
      </w:r>
      <w:r>
        <w:rPr>
          <w:color w:val="231F20"/>
          <w:w w:val="105"/>
        </w:rPr>
        <w:t>attention</w:t>
      </w:r>
      <w:r>
        <w:rPr>
          <w:color w:val="231F20"/>
          <w:spacing w:val="-12"/>
          <w:w w:val="105"/>
        </w:rPr>
        <w:t> </w:t>
      </w:r>
      <w:r>
        <w:rPr>
          <w:color w:val="231F20"/>
          <w:w w:val="105"/>
        </w:rPr>
        <w:t>to</w:t>
      </w:r>
      <w:r>
        <w:rPr>
          <w:color w:val="231F20"/>
          <w:spacing w:val="-12"/>
          <w:w w:val="105"/>
        </w:rPr>
        <w:t> </w:t>
      </w:r>
      <w:r>
        <w:rPr>
          <w:color w:val="231F20"/>
          <w:w w:val="105"/>
        </w:rPr>
        <w:t>their</w:t>
      </w:r>
      <w:r>
        <w:rPr>
          <w:color w:val="231F20"/>
          <w:spacing w:val="-12"/>
          <w:w w:val="105"/>
        </w:rPr>
        <w:t> </w:t>
      </w:r>
      <w:r>
        <w:rPr>
          <w:color w:val="231F20"/>
          <w:w w:val="105"/>
        </w:rPr>
        <w:t>struggles.</w:t>
      </w:r>
      <w:r>
        <w:rPr>
          <w:color w:val="231F20"/>
          <w:spacing w:val="-18"/>
          <w:w w:val="105"/>
        </w:rPr>
        <w:t> </w:t>
      </w:r>
      <w:r>
        <w:rPr>
          <w:color w:val="231F20"/>
          <w:w w:val="105"/>
        </w:rPr>
        <w:t>Dreamers,</w:t>
      </w:r>
      <w:r>
        <w:rPr>
          <w:color w:val="231F20"/>
          <w:spacing w:val="-18"/>
          <w:w w:val="105"/>
        </w:rPr>
        <w:t> </w:t>
      </w:r>
      <w:r>
        <w:rPr>
          <w:color w:val="231F20"/>
          <w:w w:val="105"/>
        </w:rPr>
        <w:t>as</w:t>
      </w:r>
      <w:r>
        <w:rPr>
          <w:color w:val="231F20"/>
          <w:spacing w:val="-12"/>
          <w:w w:val="105"/>
        </w:rPr>
        <w:t> </w:t>
      </w:r>
      <w:r>
        <w:rPr>
          <w:color w:val="231F20"/>
          <w:w w:val="105"/>
        </w:rPr>
        <w:t>these</w:t>
      </w:r>
      <w:r>
        <w:rPr>
          <w:color w:val="231F20"/>
          <w:spacing w:val="-12"/>
          <w:w w:val="105"/>
        </w:rPr>
        <w:t> </w:t>
      </w:r>
      <w:r>
        <w:rPr>
          <w:color w:val="231F20"/>
          <w:w w:val="105"/>
        </w:rPr>
        <w:t>undocumen- ted youth call themselves, have formed a national organization, United </w:t>
      </w:r>
      <w:r>
        <w:rPr>
          <w:color w:val="231F20"/>
          <w:spacing w:val="-4"/>
          <w:w w:val="105"/>
        </w:rPr>
        <w:t>We</w:t>
      </w:r>
      <w:r>
        <w:rPr>
          <w:color w:val="231F20"/>
          <w:spacing w:val="-19"/>
          <w:w w:val="105"/>
        </w:rPr>
        <w:t> </w:t>
      </w:r>
      <w:r>
        <w:rPr>
          <w:color w:val="231F20"/>
          <w:w w:val="105"/>
        </w:rPr>
        <w:t>Dream,</w:t>
      </w:r>
      <w:r>
        <w:rPr>
          <w:color w:val="231F20"/>
          <w:spacing w:val="-24"/>
          <w:w w:val="105"/>
        </w:rPr>
        <w:t> </w:t>
      </w:r>
      <w:r>
        <w:rPr>
          <w:color w:val="231F20"/>
          <w:w w:val="105"/>
        </w:rPr>
        <w:t>that</w:t>
      </w:r>
      <w:r>
        <w:rPr>
          <w:color w:val="231F20"/>
          <w:spacing w:val="-19"/>
          <w:w w:val="105"/>
        </w:rPr>
        <w:t> </w:t>
      </w:r>
      <w:r>
        <w:rPr>
          <w:color w:val="231F20"/>
          <w:w w:val="105"/>
        </w:rPr>
        <w:t>has</w:t>
      </w:r>
      <w:r>
        <w:rPr>
          <w:color w:val="231F20"/>
          <w:spacing w:val="-19"/>
          <w:w w:val="105"/>
        </w:rPr>
        <w:t> </w:t>
      </w:r>
      <w:r>
        <w:rPr>
          <w:color w:val="231F20"/>
          <w:w w:val="105"/>
        </w:rPr>
        <w:t>developed</w:t>
      </w:r>
      <w:r>
        <w:rPr>
          <w:color w:val="231F20"/>
          <w:spacing w:val="-19"/>
          <w:w w:val="105"/>
        </w:rPr>
        <w:t> </w:t>
      </w:r>
      <w:r>
        <w:rPr>
          <w:color w:val="231F20"/>
          <w:w w:val="105"/>
        </w:rPr>
        <w:t>a</w:t>
      </w:r>
      <w:r>
        <w:rPr>
          <w:color w:val="231F20"/>
          <w:spacing w:val="-19"/>
          <w:w w:val="105"/>
        </w:rPr>
        <w:t> </w:t>
      </w:r>
      <w:r>
        <w:rPr>
          <w:color w:val="231F20"/>
          <w:w w:val="105"/>
        </w:rPr>
        <w:t>“tool</w:t>
      </w:r>
      <w:r>
        <w:rPr>
          <w:color w:val="231F20"/>
          <w:spacing w:val="-19"/>
          <w:w w:val="105"/>
        </w:rPr>
        <w:t> </w:t>
      </w:r>
      <w:r>
        <w:rPr>
          <w:color w:val="231F20"/>
          <w:w w:val="105"/>
        </w:rPr>
        <w:t>kit”</w:t>
      </w:r>
      <w:r>
        <w:rPr>
          <w:color w:val="231F20"/>
          <w:spacing w:val="-19"/>
          <w:w w:val="105"/>
        </w:rPr>
        <w:t> </w:t>
      </w:r>
      <w:r>
        <w:rPr>
          <w:color w:val="231F20"/>
          <w:w w:val="105"/>
        </w:rPr>
        <w:t>for</w:t>
      </w:r>
      <w:r>
        <w:rPr>
          <w:color w:val="231F20"/>
          <w:spacing w:val="-19"/>
          <w:w w:val="105"/>
        </w:rPr>
        <w:t> </w:t>
      </w:r>
      <w:r>
        <w:rPr>
          <w:color w:val="231F20"/>
          <w:w w:val="105"/>
        </w:rPr>
        <w:t>students,</w:t>
      </w:r>
      <w:r>
        <w:rPr>
          <w:color w:val="231F20"/>
          <w:spacing w:val="-24"/>
          <w:w w:val="105"/>
        </w:rPr>
        <w:t> </w:t>
      </w:r>
      <w:r>
        <w:rPr>
          <w:color w:val="231F20"/>
          <w:w w:val="105"/>
        </w:rPr>
        <w:t>parents,</w:t>
      </w:r>
      <w:r>
        <w:rPr>
          <w:color w:val="231F20"/>
          <w:spacing w:val="-24"/>
          <w:w w:val="105"/>
        </w:rPr>
        <w:t> </w:t>
      </w:r>
      <w:r>
        <w:rPr>
          <w:color w:val="231F20"/>
          <w:w w:val="105"/>
        </w:rPr>
        <w:t>teachers, and other school personnel to help them enable undocumented youth to be successful in their educational pursuits (United </w:t>
      </w:r>
      <w:r>
        <w:rPr>
          <w:color w:val="231F20"/>
          <w:spacing w:val="-4"/>
          <w:w w:val="105"/>
        </w:rPr>
        <w:t>We </w:t>
      </w:r>
      <w:r>
        <w:rPr>
          <w:color w:val="231F20"/>
          <w:w w:val="105"/>
        </w:rPr>
        <w:t>Dream 2015). Gonzales (2011) wrote about the 1.5 generation undocumented Latino young</w:t>
      </w:r>
      <w:r>
        <w:rPr>
          <w:color w:val="231F20"/>
          <w:spacing w:val="-9"/>
          <w:w w:val="105"/>
        </w:rPr>
        <w:t> </w:t>
      </w:r>
      <w:r>
        <w:rPr>
          <w:color w:val="231F20"/>
          <w:w w:val="105"/>
        </w:rPr>
        <w:t>adults</w:t>
      </w:r>
      <w:r>
        <w:rPr>
          <w:color w:val="231F20"/>
          <w:spacing w:val="-9"/>
          <w:w w:val="105"/>
        </w:rPr>
        <w:t> </w:t>
      </w:r>
      <w:r>
        <w:rPr>
          <w:color w:val="231F20"/>
          <w:w w:val="105"/>
        </w:rPr>
        <w:t>who</w:t>
      </w:r>
      <w:r>
        <w:rPr>
          <w:color w:val="231F20"/>
          <w:spacing w:val="-9"/>
          <w:w w:val="105"/>
        </w:rPr>
        <w:t> </w:t>
      </w:r>
      <w:r>
        <w:rPr>
          <w:color w:val="231F20"/>
          <w:w w:val="105"/>
        </w:rPr>
        <w:t>“learn</w:t>
      </w:r>
      <w:r>
        <w:rPr>
          <w:color w:val="231F20"/>
          <w:spacing w:val="-9"/>
          <w:w w:val="105"/>
        </w:rPr>
        <w:t> </w:t>
      </w:r>
      <w:r>
        <w:rPr>
          <w:color w:val="231F20"/>
          <w:w w:val="105"/>
        </w:rPr>
        <w:t>to</w:t>
      </w:r>
      <w:r>
        <w:rPr>
          <w:color w:val="231F20"/>
          <w:spacing w:val="-9"/>
          <w:w w:val="105"/>
        </w:rPr>
        <w:t> </w:t>
      </w:r>
      <w:r>
        <w:rPr>
          <w:color w:val="231F20"/>
          <w:w w:val="105"/>
        </w:rPr>
        <w:t>be</w:t>
      </w:r>
      <w:r>
        <w:rPr>
          <w:color w:val="231F20"/>
          <w:spacing w:val="-9"/>
          <w:w w:val="105"/>
        </w:rPr>
        <w:t> </w:t>
      </w:r>
      <w:r>
        <w:rPr>
          <w:color w:val="231F20"/>
          <w:w w:val="105"/>
        </w:rPr>
        <w:t>illegal”</w:t>
      </w:r>
      <w:r>
        <w:rPr>
          <w:color w:val="231F20"/>
          <w:spacing w:val="-9"/>
          <w:w w:val="105"/>
        </w:rPr>
        <w:t> </w:t>
      </w:r>
      <w:r>
        <w:rPr>
          <w:color w:val="231F20"/>
          <w:w w:val="105"/>
        </w:rPr>
        <w:t>as</w:t>
      </w:r>
      <w:r>
        <w:rPr>
          <w:color w:val="231F20"/>
          <w:spacing w:val="-9"/>
          <w:w w:val="105"/>
        </w:rPr>
        <w:t> </w:t>
      </w:r>
      <w:r>
        <w:rPr>
          <w:color w:val="231F20"/>
          <w:w w:val="105"/>
        </w:rPr>
        <w:t>they</w:t>
      </w:r>
      <w:r>
        <w:rPr>
          <w:color w:val="231F20"/>
          <w:spacing w:val="-9"/>
          <w:w w:val="105"/>
        </w:rPr>
        <w:t> </w:t>
      </w:r>
      <w:r>
        <w:rPr>
          <w:color w:val="231F20"/>
          <w:w w:val="105"/>
        </w:rPr>
        <w:t>transition</w:t>
      </w:r>
      <w:r>
        <w:rPr>
          <w:color w:val="231F20"/>
          <w:spacing w:val="-9"/>
          <w:w w:val="105"/>
        </w:rPr>
        <w:t> </w:t>
      </w:r>
      <w:r>
        <w:rPr>
          <w:color w:val="231F20"/>
          <w:w w:val="105"/>
        </w:rPr>
        <w:t>to</w:t>
      </w:r>
      <w:r>
        <w:rPr>
          <w:color w:val="231F20"/>
          <w:spacing w:val="-9"/>
          <w:w w:val="105"/>
        </w:rPr>
        <w:t> </w:t>
      </w:r>
      <w:r>
        <w:rPr>
          <w:color w:val="231F20"/>
          <w:w w:val="105"/>
        </w:rPr>
        <w:t>adulthood</w:t>
      </w:r>
      <w:r>
        <w:rPr>
          <w:color w:val="231F20"/>
          <w:spacing w:val="-9"/>
          <w:w w:val="105"/>
        </w:rPr>
        <w:t> </w:t>
      </w:r>
      <w:r>
        <w:rPr>
          <w:color w:val="231F20"/>
          <w:w w:val="105"/>
        </w:rPr>
        <w:t>and realize</w:t>
      </w:r>
      <w:r>
        <w:rPr>
          <w:color w:val="231F20"/>
          <w:spacing w:val="-22"/>
          <w:w w:val="105"/>
        </w:rPr>
        <w:t> </w:t>
      </w:r>
      <w:r>
        <w:rPr>
          <w:color w:val="231F20"/>
          <w:w w:val="105"/>
        </w:rPr>
        <w:t>that</w:t>
      </w:r>
      <w:r>
        <w:rPr>
          <w:color w:val="231F20"/>
          <w:spacing w:val="-22"/>
          <w:w w:val="105"/>
        </w:rPr>
        <w:t> </w:t>
      </w:r>
      <w:r>
        <w:rPr>
          <w:color w:val="231F20"/>
          <w:w w:val="105"/>
        </w:rPr>
        <w:t>they</w:t>
      </w:r>
      <w:r>
        <w:rPr>
          <w:color w:val="231F20"/>
          <w:spacing w:val="-22"/>
          <w:w w:val="105"/>
        </w:rPr>
        <w:t> </w:t>
      </w:r>
      <w:r>
        <w:rPr>
          <w:color w:val="231F20"/>
          <w:w w:val="105"/>
        </w:rPr>
        <w:t>do</w:t>
      </w:r>
      <w:r>
        <w:rPr>
          <w:color w:val="231F20"/>
          <w:spacing w:val="-22"/>
          <w:w w:val="105"/>
        </w:rPr>
        <w:t> </w:t>
      </w:r>
      <w:r>
        <w:rPr>
          <w:color w:val="231F20"/>
          <w:w w:val="105"/>
        </w:rPr>
        <w:t>not</w:t>
      </w:r>
      <w:r>
        <w:rPr>
          <w:color w:val="231F20"/>
          <w:spacing w:val="-22"/>
          <w:w w:val="105"/>
        </w:rPr>
        <w:t> </w:t>
      </w:r>
      <w:r>
        <w:rPr>
          <w:color w:val="231F20"/>
          <w:w w:val="105"/>
        </w:rPr>
        <w:t>have</w:t>
      </w:r>
      <w:r>
        <w:rPr>
          <w:color w:val="231F20"/>
          <w:spacing w:val="-22"/>
          <w:w w:val="105"/>
        </w:rPr>
        <w:t> </w:t>
      </w:r>
      <w:r>
        <w:rPr>
          <w:color w:val="231F20"/>
          <w:w w:val="105"/>
        </w:rPr>
        <w:t>legal</w:t>
      </w:r>
      <w:r>
        <w:rPr>
          <w:color w:val="231F20"/>
          <w:spacing w:val="-22"/>
          <w:w w:val="105"/>
        </w:rPr>
        <w:t> </w:t>
      </w:r>
      <w:r>
        <w:rPr>
          <w:color w:val="231F20"/>
          <w:w w:val="105"/>
        </w:rPr>
        <w:t>authorization</w:t>
      </w:r>
      <w:r>
        <w:rPr>
          <w:color w:val="231F20"/>
          <w:spacing w:val="-22"/>
          <w:w w:val="105"/>
        </w:rPr>
        <w:t> </w:t>
      </w:r>
      <w:r>
        <w:rPr>
          <w:color w:val="231F20"/>
          <w:w w:val="105"/>
        </w:rPr>
        <w:t>to</w:t>
      </w:r>
      <w:r>
        <w:rPr>
          <w:color w:val="231F20"/>
          <w:spacing w:val="-22"/>
          <w:w w:val="105"/>
        </w:rPr>
        <w:t> </w:t>
      </w:r>
      <w:r>
        <w:rPr>
          <w:color w:val="231F20"/>
          <w:w w:val="105"/>
        </w:rPr>
        <w:t>be</w:t>
      </w:r>
      <w:r>
        <w:rPr>
          <w:color w:val="231F20"/>
          <w:spacing w:val="-22"/>
          <w:w w:val="105"/>
        </w:rPr>
        <w:t> </w:t>
      </w:r>
      <w:r>
        <w:rPr>
          <w:color w:val="231F20"/>
          <w:w w:val="105"/>
        </w:rPr>
        <w:t>in</w:t>
      </w:r>
      <w:r>
        <w:rPr>
          <w:color w:val="231F20"/>
          <w:spacing w:val="-22"/>
          <w:w w:val="105"/>
        </w:rPr>
        <w:t> </w:t>
      </w:r>
      <w:r>
        <w:rPr>
          <w:color w:val="231F20"/>
          <w:w w:val="105"/>
        </w:rPr>
        <w:t>the</w:t>
      </w:r>
      <w:r>
        <w:rPr>
          <w:color w:val="231F20"/>
          <w:spacing w:val="-22"/>
          <w:w w:val="105"/>
        </w:rPr>
        <w:t> </w:t>
      </w:r>
      <w:r>
        <w:rPr>
          <w:color w:val="231F20"/>
          <w:w w:val="105"/>
        </w:rPr>
        <w:t>United</w:t>
      </w:r>
      <w:r>
        <w:rPr>
          <w:color w:val="231F20"/>
          <w:spacing w:val="-22"/>
          <w:w w:val="105"/>
        </w:rPr>
        <w:t> </w:t>
      </w:r>
      <w:r>
        <w:rPr>
          <w:color w:val="231F20"/>
          <w:w w:val="105"/>
        </w:rPr>
        <w:t>States. Immigration policy plays an important role in shaping the incorporation patterns and trajectories into adulthood for these youth.</w:t>
      </w:r>
      <w:r>
        <w:rPr>
          <w:color w:val="231F20"/>
          <w:spacing w:val="-23"/>
          <w:w w:val="105"/>
        </w:rPr>
        <w:t> </w:t>
      </w:r>
      <w:r>
        <w:rPr>
          <w:color w:val="231F20"/>
          <w:w w:val="105"/>
        </w:rPr>
        <w:t>Undocumented youth share a confusing and contradictory status in terms of their legal rights</w:t>
      </w:r>
      <w:r>
        <w:rPr>
          <w:color w:val="231F20"/>
          <w:spacing w:val="-14"/>
          <w:w w:val="105"/>
        </w:rPr>
        <w:t> </w:t>
      </w:r>
      <w:r>
        <w:rPr>
          <w:color w:val="231F20"/>
          <w:w w:val="105"/>
        </w:rPr>
        <w:t>and</w:t>
      </w:r>
      <w:r>
        <w:rPr>
          <w:color w:val="231F20"/>
          <w:spacing w:val="-14"/>
          <w:w w:val="105"/>
        </w:rPr>
        <w:t> </w:t>
      </w:r>
      <w:r>
        <w:rPr>
          <w:color w:val="231F20"/>
          <w:w w:val="105"/>
        </w:rPr>
        <w:t>the</w:t>
      </w:r>
      <w:r>
        <w:rPr>
          <w:color w:val="231F20"/>
          <w:spacing w:val="-14"/>
          <w:w w:val="105"/>
        </w:rPr>
        <w:t> </w:t>
      </w:r>
      <w:r>
        <w:rPr>
          <w:color w:val="231F20"/>
          <w:w w:val="105"/>
        </w:rPr>
        <w:t>opportunities</w:t>
      </w:r>
      <w:r>
        <w:rPr>
          <w:color w:val="231F20"/>
          <w:spacing w:val="-14"/>
          <w:w w:val="105"/>
        </w:rPr>
        <w:t> </w:t>
      </w:r>
      <w:r>
        <w:rPr>
          <w:color w:val="231F20"/>
          <w:w w:val="105"/>
        </w:rPr>
        <w:t>available</w:t>
      </w:r>
      <w:r>
        <w:rPr>
          <w:color w:val="231F20"/>
          <w:spacing w:val="-14"/>
          <w:w w:val="105"/>
        </w:rPr>
        <w:t> </w:t>
      </w:r>
      <w:r>
        <w:rPr>
          <w:color w:val="231F20"/>
          <w:w w:val="105"/>
        </w:rPr>
        <w:t>to</w:t>
      </w:r>
      <w:r>
        <w:rPr>
          <w:color w:val="231F20"/>
          <w:spacing w:val="-14"/>
          <w:w w:val="105"/>
        </w:rPr>
        <w:t> </w:t>
      </w:r>
      <w:r>
        <w:rPr>
          <w:color w:val="231F20"/>
          <w:w w:val="105"/>
        </w:rPr>
        <w:t>them.</w:t>
      </w:r>
      <w:r>
        <w:rPr>
          <w:color w:val="231F20"/>
          <w:spacing w:val="-21"/>
          <w:w w:val="105"/>
        </w:rPr>
        <w:t> </w:t>
      </w:r>
      <w:r>
        <w:rPr>
          <w:color w:val="231F20"/>
          <w:w w:val="105"/>
        </w:rPr>
        <w:t>Families</w:t>
      </w:r>
      <w:r>
        <w:rPr>
          <w:color w:val="231F20"/>
          <w:spacing w:val="-14"/>
          <w:w w:val="105"/>
        </w:rPr>
        <w:t> </w:t>
      </w:r>
      <w:r>
        <w:rPr>
          <w:color w:val="231F20"/>
          <w:w w:val="105"/>
        </w:rPr>
        <w:t>and</w:t>
      </w:r>
      <w:r>
        <w:rPr>
          <w:color w:val="231F20"/>
          <w:spacing w:val="-14"/>
          <w:w w:val="105"/>
        </w:rPr>
        <w:t> </w:t>
      </w:r>
      <w:r>
        <w:rPr>
          <w:color w:val="231F20"/>
          <w:w w:val="105"/>
        </w:rPr>
        <w:t>children</w:t>
      </w:r>
      <w:r>
        <w:rPr>
          <w:color w:val="231F20"/>
          <w:spacing w:val="-14"/>
          <w:w w:val="105"/>
        </w:rPr>
        <w:t> </w:t>
      </w:r>
      <w:r>
        <w:rPr>
          <w:color w:val="231F20"/>
          <w:w w:val="105"/>
        </w:rPr>
        <w:t>may be</w:t>
      </w:r>
      <w:r>
        <w:rPr>
          <w:color w:val="231F20"/>
          <w:spacing w:val="-8"/>
          <w:w w:val="105"/>
        </w:rPr>
        <w:t> </w:t>
      </w:r>
      <w:r>
        <w:rPr>
          <w:color w:val="231F20"/>
          <w:w w:val="105"/>
        </w:rPr>
        <w:t>cast</w:t>
      </w:r>
      <w:r>
        <w:rPr>
          <w:color w:val="231F20"/>
          <w:spacing w:val="-8"/>
          <w:w w:val="105"/>
        </w:rPr>
        <w:t> </w:t>
      </w:r>
      <w:r>
        <w:rPr>
          <w:color w:val="231F20"/>
          <w:w w:val="105"/>
        </w:rPr>
        <w:t>into</w:t>
      </w:r>
      <w:r>
        <w:rPr>
          <w:color w:val="231F20"/>
          <w:spacing w:val="-8"/>
          <w:w w:val="105"/>
        </w:rPr>
        <w:t> </w:t>
      </w:r>
      <w:r>
        <w:rPr>
          <w:color w:val="231F20"/>
          <w:w w:val="105"/>
        </w:rPr>
        <w:t>subordinate</w:t>
      </w:r>
      <w:r>
        <w:rPr>
          <w:color w:val="231F20"/>
          <w:spacing w:val="-8"/>
          <w:w w:val="105"/>
        </w:rPr>
        <w:t> </w:t>
      </w:r>
      <w:r>
        <w:rPr>
          <w:color w:val="231F20"/>
          <w:w w:val="105"/>
        </w:rPr>
        <w:t>statuses</w:t>
      </w:r>
      <w:r>
        <w:rPr>
          <w:color w:val="231F20"/>
          <w:spacing w:val="-8"/>
          <w:w w:val="105"/>
        </w:rPr>
        <w:t> </w:t>
      </w:r>
      <w:r>
        <w:rPr>
          <w:color w:val="231F20"/>
          <w:w w:val="105"/>
        </w:rPr>
        <w:t>and</w:t>
      </w:r>
      <w:r>
        <w:rPr>
          <w:color w:val="231F20"/>
          <w:spacing w:val="-8"/>
          <w:w w:val="105"/>
        </w:rPr>
        <w:t> </w:t>
      </w:r>
      <w:r>
        <w:rPr>
          <w:color w:val="231F20"/>
          <w:w w:val="105"/>
        </w:rPr>
        <w:t>deferential</w:t>
      </w:r>
      <w:r>
        <w:rPr>
          <w:color w:val="231F20"/>
          <w:spacing w:val="-8"/>
          <w:w w:val="105"/>
        </w:rPr>
        <w:t> </w:t>
      </w:r>
      <w:r>
        <w:rPr>
          <w:color w:val="231F20"/>
          <w:w w:val="105"/>
        </w:rPr>
        <w:t>behaviors,</w:t>
      </w:r>
      <w:r>
        <w:rPr>
          <w:color w:val="231F20"/>
          <w:spacing w:val="-12"/>
          <w:w w:val="105"/>
        </w:rPr>
        <w:t> </w:t>
      </w:r>
      <w:r>
        <w:rPr>
          <w:color w:val="231F20"/>
          <w:w w:val="105"/>
        </w:rPr>
        <w:t>such</w:t>
      </w:r>
      <w:r>
        <w:rPr>
          <w:color w:val="231F20"/>
          <w:spacing w:val="-8"/>
          <w:w w:val="105"/>
        </w:rPr>
        <w:t> </w:t>
      </w:r>
      <w:r>
        <w:rPr>
          <w:color w:val="231F20"/>
          <w:w w:val="105"/>
        </w:rPr>
        <w:t>as</w:t>
      </w:r>
      <w:r>
        <w:rPr>
          <w:color w:val="231F20"/>
          <w:spacing w:val="-8"/>
          <w:w w:val="105"/>
        </w:rPr>
        <w:t> </w:t>
      </w:r>
      <w:r>
        <w:rPr>
          <w:color w:val="231F20"/>
          <w:w w:val="105"/>
        </w:rPr>
        <w:t>ac- ting</w:t>
      </w:r>
      <w:r>
        <w:rPr>
          <w:color w:val="231F20"/>
          <w:spacing w:val="-15"/>
          <w:w w:val="105"/>
        </w:rPr>
        <w:t> </w:t>
      </w:r>
      <w:r>
        <w:rPr>
          <w:color w:val="231F20"/>
          <w:w w:val="105"/>
        </w:rPr>
        <w:t>quietly,</w:t>
      </w:r>
      <w:r>
        <w:rPr>
          <w:color w:val="231F20"/>
          <w:spacing w:val="-21"/>
          <w:w w:val="105"/>
        </w:rPr>
        <w:t> </w:t>
      </w:r>
      <w:r>
        <w:rPr>
          <w:color w:val="231F20"/>
          <w:w w:val="105"/>
        </w:rPr>
        <w:t>drawing</w:t>
      </w:r>
      <w:r>
        <w:rPr>
          <w:color w:val="231F20"/>
          <w:spacing w:val="-15"/>
          <w:w w:val="105"/>
        </w:rPr>
        <w:t> </w:t>
      </w:r>
      <w:r>
        <w:rPr>
          <w:color w:val="231F20"/>
          <w:w w:val="105"/>
        </w:rPr>
        <w:t>little</w:t>
      </w:r>
      <w:r>
        <w:rPr>
          <w:color w:val="231F20"/>
          <w:spacing w:val="-15"/>
          <w:w w:val="105"/>
        </w:rPr>
        <w:t> </w:t>
      </w:r>
      <w:r>
        <w:rPr>
          <w:color w:val="231F20"/>
          <w:w w:val="105"/>
        </w:rPr>
        <w:t>attention</w:t>
      </w:r>
      <w:r>
        <w:rPr>
          <w:color w:val="231F20"/>
          <w:spacing w:val="-15"/>
          <w:w w:val="105"/>
        </w:rPr>
        <w:t> </w:t>
      </w:r>
      <w:r>
        <w:rPr>
          <w:color w:val="231F20"/>
          <w:w w:val="105"/>
        </w:rPr>
        <w:t>to</w:t>
      </w:r>
      <w:r>
        <w:rPr>
          <w:color w:val="231F20"/>
          <w:spacing w:val="-15"/>
          <w:w w:val="105"/>
        </w:rPr>
        <w:t> </w:t>
      </w:r>
      <w:r>
        <w:rPr>
          <w:color w:val="231F20"/>
          <w:w w:val="105"/>
        </w:rPr>
        <w:t>themselves,</w:t>
      </w:r>
      <w:r>
        <w:rPr>
          <w:color w:val="231F20"/>
          <w:spacing w:val="-21"/>
          <w:w w:val="105"/>
        </w:rPr>
        <w:t> </w:t>
      </w:r>
      <w:r>
        <w:rPr>
          <w:color w:val="231F20"/>
          <w:w w:val="105"/>
        </w:rPr>
        <w:t>or</w:t>
      </w:r>
      <w:r>
        <w:rPr>
          <w:color w:val="231F20"/>
          <w:spacing w:val="-15"/>
          <w:w w:val="105"/>
        </w:rPr>
        <w:t> </w:t>
      </w:r>
      <w:r>
        <w:rPr>
          <w:color w:val="231F20"/>
          <w:w w:val="105"/>
        </w:rPr>
        <w:t>feeling</w:t>
      </w:r>
      <w:r>
        <w:rPr>
          <w:color w:val="231F20"/>
          <w:spacing w:val="-15"/>
          <w:w w:val="105"/>
        </w:rPr>
        <w:t> </w:t>
      </w:r>
      <w:r>
        <w:rPr>
          <w:color w:val="231F20"/>
          <w:w w:val="105"/>
        </w:rPr>
        <w:t>isolated,</w:t>
      </w:r>
      <w:r>
        <w:rPr>
          <w:color w:val="231F20"/>
          <w:spacing w:val="-21"/>
          <w:w w:val="105"/>
        </w:rPr>
        <w:t> </w:t>
      </w:r>
      <w:r>
        <w:rPr>
          <w:color w:val="231F20"/>
          <w:w w:val="105"/>
        </w:rPr>
        <w:t>and they</w:t>
      </w:r>
      <w:r>
        <w:rPr>
          <w:color w:val="231F20"/>
          <w:spacing w:val="-11"/>
          <w:w w:val="105"/>
        </w:rPr>
        <w:t> </w:t>
      </w:r>
      <w:r>
        <w:rPr>
          <w:color w:val="231F20"/>
          <w:w w:val="105"/>
        </w:rPr>
        <w:t>are</w:t>
      </w:r>
      <w:r>
        <w:rPr>
          <w:color w:val="231F20"/>
          <w:spacing w:val="-11"/>
          <w:w w:val="105"/>
        </w:rPr>
        <w:t> </w:t>
      </w:r>
      <w:r>
        <w:rPr>
          <w:color w:val="231F20"/>
          <w:w w:val="105"/>
        </w:rPr>
        <w:t>often</w:t>
      </w:r>
      <w:r>
        <w:rPr>
          <w:color w:val="231F20"/>
          <w:spacing w:val="-11"/>
          <w:w w:val="105"/>
        </w:rPr>
        <w:t> </w:t>
      </w:r>
      <w:r>
        <w:rPr>
          <w:color w:val="231F20"/>
          <w:w w:val="105"/>
        </w:rPr>
        <w:t>fearful</w:t>
      </w:r>
      <w:r>
        <w:rPr>
          <w:color w:val="231F20"/>
          <w:spacing w:val="-11"/>
          <w:w w:val="105"/>
        </w:rPr>
        <w:t> </w:t>
      </w:r>
      <w:r>
        <w:rPr>
          <w:color w:val="231F20"/>
          <w:w w:val="105"/>
        </w:rPr>
        <w:t>of</w:t>
      </w:r>
      <w:r>
        <w:rPr>
          <w:color w:val="231F20"/>
          <w:spacing w:val="-6"/>
          <w:w w:val="105"/>
        </w:rPr>
        <w:t> </w:t>
      </w:r>
      <w:r>
        <w:rPr>
          <w:color w:val="231F20"/>
          <w:w w:val="105"/>
        </w:rPr>
        <w:t>seeking</w:t>
      </w:r>
      <w:r>
        <w:rPr>
          <w:color w:val="231F20"/>
          <w:spacing w:val="-11"/>
          <w:w w:val="105"/>
        </w:rPr>
        <w:t> </w:t>
      </w:r>
      <w:r>
        <w:rPr>
          <w:color w:val="231F20"/>
          <w:w w:val="105"/>
        </w:rPr>
        <w:t>help</w:t>
      </w:r>
      <w:r>
        <w:rPr>
          <w:color w:val="231F20"/>
          <w:spacing w:val="-11"/>
          <w:w w:val="105"/>
        </w:rPr>
        <w:t> </w:t>
      </w:r>
      <w:r>
        <w:rPr>
          <w:color w:val="231F20"/>
          <w:w w:val="105"/>
        </w:rPr>
        <w:t>from</w:t>
      </w:r>
      <w:r>
        <w:rPr>
          <w:color w:val="231F20"/>
          <w:spacing w:val="-11"/>
          <w:w w:val="105"/>
        </w:rPr>
        <w:t> </w:t>
      </w:r>
      <w:r>
        <w:rPr>
          <w:color w:val="231F20"/>
          <w:w w:val="105"/>
        </w:rPr>
        <w:t>teachers</w:t>
      </w:r>
      <w:r>
        <w:rPr>
          <w:color w:val="231F20"/>
          <w:spacing w:val="-11"/>
          <w:w w:val="105"/>
        </w:rPr>
        <w:t> </w:t>
      </w:r>
      <w:r>
        <w:rPr>
          <w:color w:val="231F20"/>
          <w:w w:val="105"/>
        </w:rPr>
        <w:t>or</w:t>
      </w:r>
      <w:r>
        <w:rPr>
          <w:color w:val="231F20"/>
          <w:spacing w:val="-11"/>
          <w:w w:val="105"/>
        </w:rPr>
        <w:t> </w:t>
      </w:r>
      <w:r>
        <w:rPr>
          <w:color w:val="231F20"/>
          <w:w w:val="105"/>
        </w:rPr>
        <w:t>others</w:t>
      </w:r>
      <w:r>
        <w:rPr>
          <w:color w:val="231F20"/>
          <w:spacing w:val="-11"/>
          <w:w w:val="105"/>
        </w:rPr>
        <w:t> </w:t>
      </w:r>
      <w:r>
        <w:rPr>
          <w:color w:val="231F20"/>
          <w:w w:val="105"/>
        </w:rPr>
        <w:t>because</w:t>
      </w:r>
      <w:r>
        <w:rPr>
          <w:color w:val="231F20"/>
          <w:spacing w:val="-11"/>
          <w:w w:val="105"/>
        </w:rPr>
        <w:t> </w:t>
      </w:r>
      <w:r>
        <w:rPr>
          <w:color w:val="231F20"/>
          <w:w w:val="105"/>
        </w:rPr>
        <w:t>of their</w:t>
      </w:r>
      <w:r>
        <w:rPr>
          <w:color w:val="231F20"/>
          <w:spacing w:val="-18"/>
          <w:w w:val="105"/>
        </w:rPr>
        <w:t> </w:t>
      </w:r>
      <w:r>
        <w:rPr>
          <w:color w:val="231F20"/>
          <w:w w:val="105"/>
        </w:rPr>
        <w:t>undocumented</w:t>
      </w:r>
      <w:r>
        <w:rPr>
          <w:color w:val="231F20"/>
          <w:spacing w:val="-18"/>
          <w:w w:val="105"/>
        </w:rPr>
        <w:t> </w:t>
      </w:r>
      <w:r>
        <w:rPr>
          <w:color w:val="231F20"/>
          <w:w w:val="105"/>
        </w:rPr>
        <w:t>status</w:t>
      </w:r>
      <w:r>
        <w:rPr>
          <w:color w:val="231F20"/>
          <w:spacing w:val="-18"/>
          <w:w w:val="105"/>
        </w:rPr>
        <w:t> </w:t>
      </w:r>
      <w:r>
        <w:rPr>
          <w:color w:val="231F20"/>
          <w:w w:val="105"/>
        </w:rPr>
        <w:t>(Abrego</w:t>
      </w:r>
      <w:r>
        <w:rPr>
          <w:color w:val="231F20"/>
          <w:spacing w:val="-18"/>
          <w:w w:val="105"/>
        </w:rPr>
        <w:t> </w:t>
      </w:r>
      <w:r>
        <w:rPr>
          <w:color w:val="231F20"/>
          <w:w w:val="105"/>
        </w:rPr>
        <w:t>2006,</w:t>
      </w:r>
      <w:r>
        <w:rPr>
          <w:color w:val="231F20"/>
          <w:spacing w:val="-23"/>
          <w:w w:val="105"/>
        </w:rPr>
        <w:t> </w:t>
      </w:r>
      <w:r>
        <w:rPr>
          <w:color w:val="231F20"/>
          <w:w w:val="105"/>
        </w:rPr>
        <w:t>2008,</w:t>
      </w:r>
      <w:r>
        <w:rPr>
          <w:color w:val="231F20"/>
          <w:spacing w:val="-23"/>
          <w:w w:val="105"/>
        </w:rPr>
        <w:t> </w:t>
      </w:r>
      <w:r>
        <w:rPr>
          <w:color w:val="231F20"/>
          <w:w w:val="105"/>
        </w:rPr>
        <w:t>2014;</w:t>
      </w:r>
      <w:r>
        <w:rPr>
          <w:color w:val="231F20"/>
          <w:spacing w:val="-18"/>
          <w:w w:val="105"/>
        </w:rPr>
        <w:t> </w:t>
      </w:r>
      <w:r>
        <w:rPr>
          <w:color w:val="231F20"/>
          <w:w w:val="105"/>
        </w:rPr>
        <w:t>Gonzales</w:t>
      </w:r>
      <w:r>
        <w:rPr>
          <w:color w:val="231F20"/>
          <w:spacing w:val="-18"/>
          <w:w w:val="105"/>
        </w:rPr>
        <w:t> </w:t>
      </w:r>
      <w:r>
        <w:rPr>
          <w:color w:val="231F20"/>
          <w:w w:val="105"/>
        </w:rPr>
        <w:t>2007).</w:t>
      </w:r>
    </w:p>
    <w:p>
      <w:pPr>
        <w:pStyle w:val="BodyText"/>
        <w:rPr>
          <w:sz w:val="20"/>
        </w:rPr>
      </w:pPr>
    </w:p>
    <w:p>
      <w:pPr>
        <w:pStyle w:val="BodyText"/>
        <w:spacing w:before="9"/>
        <w:rPr>
          <w:sz w:val="20"/>
        </w:rPr>
      </w:pPr>
    </w:p>
    <w:p>
      <w:pPr>
        <w:pStyle w:val="Heading3"/>
        <w:spacing w:line="266" w:lineRule="auto"/>
        <w:ind w:right="1721"/>
      </w:pPr>
      <w:r>
        <w:rPr>
          <w:color w:val="231F20"/>
        </w:rPr>
        <w:t>Importance</w:t>
      </w:r>
      <w:r>
        <w:rPr>
          <w:color w:val="231F20"/>
          <w:spacing w:val="-28"/>
        </w:rPr>
        <w:t> </w:t>
      </w:r>
      <w:r>
        <w:rPr>
          <w:color w:val="231F20"/>
        </w:rPr>
        <w:t>of</w:t>
      </w:r>
      <w:r>
        <w:rPr>
          <w:color w:val="231F20"/>
          <w:spacing w:val="-23"/>
        </w:rPr>
        <w:t> </w:t>
      </w:r>
      <w:r>
        <w:rPr>
          <w:color w:val="231F20"/>
        </w:rPr>
        <w:t>bilingualism</w:t>
      </w:r>
      <w:r>
        <w:rPr>
          <w:color w:val="231F20"/>
          <w:spacing w:val="-28"/>
        </w:rPr>
        <w:t> </w:t>
      </w:r>
      <w:r>
        <w:rPr>
          <w:color w:val="231F20"/>
        </w:rPr>
        <w:t>for</w:t>
      </w:r>
      <w:r>
        <w:rPr>
          <w:color w:val="231F20"/>
          <w:spacing w:val="-28"/>
        </w:rPr>
        <w:t> </w:t>
      </w:r>
      <w:r>
        <w:rPr>
          <w:color w:val="231F20"/>
        </w:rPr>
        <w:t>identity</w:t>
      </w:r>
      <w:r>
        <w:rPr>
          <w:color w:val="231F20"/>
          <w:spacing w:val="-28"/>
        </w:rPr>
        <w:t> </w:t>
      </w:r>
      <w:r>
        <w:rPr>
          <w:color w:val="231F20"/>
        </w:rPr>
        <w:t>and</w:t>
      </w:r>
      <w:r>
        <w:rPr>
          <w:color w:val="231F20"/>
          <w:spacing w:val="-28"/>
        </w:rPr>
        <w:t> </w:t>
      </w:r>
      <w:r>
        <w:rPr>
          <w:color w:val="231F20"/>
        </w:rPr>
        <w:t>language</w:t>
      </w:r>
      <w:r>
        <w:rPr>
          <w:color w:val="231F20"/>
          <w:spacing w:val="-28"/>
        </w:rPr>
        <w:t> </w:t>
      </w:r>
      <w:r>
        <w:rPr>
          <w:color w:val="231F20"/>
        </w:rPr>
        <w:t>and</w:t>
      </w:r>
      <w:r>
        <w:rPr>
          <w:color w:val="231F20"/>
          <w:spacing w:val="-28"/>
        </w:rPr>
        <w:t> </w:t>
      </w:r>
      <w:r>
        <w:rPr>
          <w:color w:val="231F20"/>
        </w:rPr>
        <w:t>literacy</w:t>
      </w:r>
      <w:r>
        <w:rPr>
          <w:color w:val="231F20"/>
          <w:spacing w:val="-28"/>
        </w:rPr>
        <w:t> </w:t>
      </w:r>
      <w:r>
        <w:rPr>
          <w:color w:val="231F20"/>
        </w:rPr>
        <w:t>de- velopment</w:t>
      </w:r>
    </w:p>
    <w:p>
      <w:pPr>
        <w:pStyle w:val="BodyText"/>
        <w:rPr>
          <w:rFonts w:ascii="Arial"/>
          <w:b/>
          <w:sz w:val="22"/>
        </w:rPr>
      </w:pPr>
    </w:p>
    <w:p>
      <w:pPr>
        <w:pStyle w:val="BodyText"/>
        <w:spacing w:line="261" w:lineRule="auto" w:before="136"/>
        <w:ind w:left="1837" w:right="1721"/>
        <w:jc w:val="both"/>
      </w:pPr>
      <w:r>
        <w:rPr/>
        <w:pict>
          <v:line style="position:absolute;mso-position-horizontal-relative:page;mso-position-vertical-relative:paragraph;z-index:-485248" from="15pt,247.081894pt" to="0pt,247.081894pt" stroked="true" strokeweight=".25pt" strokecolor="#000000">
            <w10:wrap type="none"/>
          </v:line>
        </w:pict>
      </w:r>
      <w:r>
        <w:rPr/>
        <w:pict>
          <v:line style="position:absolute;mso-position-horizontal-relative:page;mso-position-vertical-relative:paragraph;z-index:4960" from="508.890015pt,247.081894pt" to="523.890015pt,247.081894pt" stroked="true" strokeweight=".25pt" strokecolor="#000000">
            <w10:wrap type="none"/>
          </v:line>
        </w:pict>
      </w:r>
      <w:r>
        <w:rPr>
          <w:color w:val="231F20"/>
        </w:rPr>
        <w:t>Enrolling children of immigrants in United States public schools with little  to no English language skills can present itself as a barrier and a con- tributing factor to the existing education  gap  between  Latino  students and other students. Studies indicate that Latino groups are more likely to retain their native language and transfer bilingualism across generations compared to other ethnic groups (Alba, 2006; Jiménez, 2010). Scholars attribute the high rates of Spanish use among these groups to the arrival  of new immigrants replenishing their ethnic identity and language reten- tion (Alba, 2006). Continuing to have a strong identity with family origins   is important for immigrant youth. Studies have concluded that maintai-  ning a native language and culture is crucial in the development of a po- sitive identity, higher self-esteem, and the academic success of minority youth (Suárez-Orozco and Suárez-Orozco, 2001; Gaytán,</w:t>
      </w:r>
      <w:r>
        <w:rPr>
          <w:color w:val="231F20"/>
          <w:spacing w:val="21"/>
        </w:rPr>
        <w:t> </w:t>
      </w:r>
      <w:r>
        <w:rPr>
          <w:color w:val="231F20"/>
        </w:rPr>
        <w:t>2010).</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5008" from="15pt,-71.68644pt" to="0pt,-71.68644pt" stroked="true" strokeweight=".25pt" strokecolor="#000000">
            <w10:wrap type="none"/>
          </v:line>
        </w:pict>
      </w:r>
      <w:r>
        <w:rPr/>
        <w:pict>
          <v:line style="position:absolute;mso-position-horizontal-relative:page;mso-position-vertical-relative:paragraph;z-index:5032" from="508.890015pt,-71.68644pt" to="523.890015pt,-71.68644pt" stroked="true" strokeweight=".25pt" strokecolor="#000000">
            <w10:wrap type="none"/>
          </v:line>
        </w:pict>
      </w:r>
      <w:r>
        <w:rPr>
          <w:color w:val="231F20"/>
          <w:w w:val="105"/>
        </w:rPr>
        <w:t>Scholars have also documented the barriers preventing the promotion of</w:t>
      </w:r>
      <w:r>
        <w:rPr>
          <w:color w:val="231F20"/>
          <w:spacing w:val="-6"/>
          <w:w w:val="105"/>
        </w:rPr>
        <w:t> </w:t>
      </w:r>
      <w:r>
        <w:rPr>
          <w:color w:val="231F20"/>
          <w:w w:val="105"/>
        </w:rPr>
        <w:t>bicultural</w:t>
      </w:r>
      <w:r>
        <w:rPr>
          <w:color w:val="231F20"/>
          <w:spacing w:val="-10"/>
          <w:w w:val="105"/>
        </w:rPr>
        <w:t> </w:t>
      </w:r>
      <w:r>
        <w:rPr>
          <w:color w:val="231F20"/>
          <w:w w:val="105"/>
        </w:rPr>
        <w:t>competency,</w:t>
      </w:r>
      <w:r>
        <w:rPr>
          <w:color w:val="231F20"/>
          <w:spacing w:val="-16"/>
          <w:w w:val="105"/>
        </w:rPr>
        <w:t> </w:t>
      </w:r>
      <w:r>
        <w:rPr>
          <w:color w:val="231F20"/>
          <w:w w:val="105"/>
        </w:rPr>
        <w:t>such</w:t>
      </w:r>
      <w:r>
        <w:rPr>
          <w:color w:val="231F20"/>
          <w:spacing w:val="-10"/>
          <w:w w:val="105"/>
        </w:rPr>
        <w:t> </w:t>
      </w:r>
      <w:r>
        <w:rPr>
          <w:color w:val="231F20"/>
          <w:w w:val="105"/>
        </w:rPr>
        <w:t>as</w:t>
      </w:r>
      <w:r>
        <w:rPr>
          <w:color w:val="231F20"/>
          <w:spacing w:val="-10"/>
          <w:w w:val="105"/>
        </w:rPr>
        <w:t> </w:t>
      </w:r>
      <w:r>
        <w:rPr>
          <w:color w:val="231F20"/>
          <w:w w:val="105"/>
        </w:rPr>
        <w:t>the</w:t>
      </w:r>
      <w:r>
        <w:rPr>
          <w:color w:val="231F20"/>
          <w:spacing w:val="-10"/>
          <w:w w:val="105"/>
        </w:rPr>
        <w:t> </w:t>
      </w:r>
      <w:r>
        <w:rPr>
          <w:color w:val="231F20"/>
          <w:w w:val="105"/>
        </w:rPr>
        <w:t>lack</w:t>
      </w:r>
      <w:r>
        <w:rPr>
          <w:color w:val="231F20"/>
          <w:spacing w:val="-10"/>
          <w:w w:val="105"/>
        </w:rPr>
        <w:t> </w:t>
      </w:r>
      <w:r>
        <w:rPr>
          <w:color w:val="231F20"/>
          <w:w w:val="105"/>
        </w:rPr>
        <w:t>of</w:t>
      </w:r>
      <w:r>
        <w:rPr>
          <w:color w:val="231F20"/>
          <w:spacing w:val="-6"/>
          <w:w w:val="105"/>
        </w:rPr>
        <w:t> </w:t>
      </w:r>
      <w:r>
        <w:rPr>
          <w:color w:val="231F20"/>
          <w:w w:val="105"/>
        </w:rPr>
        <w:t>bilingual</w:t>
      </w:r>
      <w:r>
        <w:rPr>
          <w:color w:val="231F20"/>
          <w:spacing w:val="-10"/>
          <w:w w:val="105"/>
        </w:rPr>
        <w:t> </w:t>
      </w:r>
      <w:r>
        <w:rPr>
          <w:color w:val="231F20"/>
          <w:w w:val="105"/>
        </w:rPr>
        <w:t>teachers</w:t>
      </w:r>
      <w:r>
        <w:rPr>
          <w:color w:val="231F20"/>
          <w:spacing w:val="-10"/>
          <w:w w:val="105"/>
        </w:rPr>
        <w:t> </w:t>
      </w:r>
      <w:r>
        <w:rPr>
          <w:color w:val="231F20"/>
          <w:w w:val="105"/>
        </w:rPr>
        <w:t>in</w:t>
      </w:r>
      <w:r>
        <w:rPr>
          <w:color w:val="231F20"/>
          <w:spacing w:val="-10"/>
          <w:w w:val="105"/>
        </w:rPr>
        <w:t> </w:t>
      </w:r>
      <w:r>
        <w:rPr>
          <w:color w:val="231F20"/>
          <w:w w:val="105"/>
        </w:rPr>
        <w:t>United States schools and the implementation of English-only policies in some states</w:t>
      </w:r>
      <w:r>
        <w:rPr>
          <w:color w:val="231F20"/>
          <w:spacing w:val="-9"/>
          <w:w w:val="105"/>
        </w:rPr>
        <w:t> </w:t>
      </w:r>
      <w:r>
        <w:rPr>
          <w:color w:val="231F20"/>
          <w:w w:val="105"/>
        </w:rPr>
        <w:t>(Gaytán,</w:t>
      </w:r>
      <w:r>
        <w:rPr>
          <w:color w:val="231F20"/>
          <w:spacing w:val="-14"/>
          <w:w w:val="105"/>
        </w:rPr>
        <w:t> </w:t>
      </w:r>
      <w:r>
        <w:rPr>
          <w:color w:val="231F20"/>
          <w:w w:val="105"/>
        </w:rPr>
        <w:t>2010).</w:t>
      </w:r>
      <w:r>
        <w:rPr>
          <w:color w:val="231F20"/>
          <w:spacing w:val="-17"/>
          <w:w w:val="105"/>
        </w:rPr>
        <w:t> </w:t>
      </w:r>
      <w:r>
        <w:rPr>
          <w:color w:val="231F20"/>
          <w:w w:val="105"/>
        </w:rPr>
        <w:t>The</w:t>
      </w:r>
      <w:r>
        <w:rPr>
          <w:color w:val="231F20"/>
          <w:spacing w:val="-9"/>
          <w:w w:val="105"/>
        </w:rPr>
        <w:t> </w:t>
      </w:r>
      <w:r>
        <w:rPr>
          <w:color w:val="231F20"/>
          <w:w w:val="105"/>
        </w:rPr>
        <w:t>application</w:t>
      </w:r>
      <w:r>
        <w:rPr>
          <w:color w:val="231F20"/>
          <w:spacing w:val="-9"/>
          <w:w w:val="105"/>
        </w:rPr>
        <w:t> </w:t>
      </w:r>
      <w:r>
        <w:rPr>
          <w:color w:val="231F20"/>
          <w:w w:val="105"/>
        </w:rPr>
        <w:t>of</w:t>
      </w:r>
      <w:r>
        <w:rPr>
          <w:color w:val="231F20"/>
          <w:spacing w:val="-5"/>
          <w:w w:val="105"/>
        </w:rPr>
        <w:t> </w:t>
      </w:r>
      <w:r>
        <w:rPr>
          <w:color w:val="231F20"/>
          <w:w w:val="105"/>
        </w:rPr>
        <w:t>subtractive</w:t>
      </w:r>
      <w:r>
        <w:rPr>
          <w:color w:val="231F20"/>
          <w:spacing w:val="-9"/>
          <w:w w:val="105"/>
        </w:rPr>
        <w:t> </w:t>
      </w:r>
      <w:r>
        <w:rPr>
          <w:color w:val="231F20"/>
          <w:w w:val="105"/>
        </w:rPr>
        <w:t>schooling</w:t>
      </w:r>
      <w:r>
        <w:rPr>
          <w:color w:val="231F20"/>
          <w:spacing w:val="-9"/>
          <w:w w:val="105"/>
        </w:rPr>
        <w:t> </w:t>
      </w:r>
      <w:r>
        <w:rPr>
          <w:color w:val="231F20"/>
          <w:w w:val="105"/>
        </w:rPr>
        <w:t>—discou- raging the use of the heritage language— produces negative outcomes, especially</w:t>
      </w:r>
      <w:r>
        <w:rPr>
          <w:color w:val="231F20"/>
          <w:spacing w:val="-17"/>
          <w:w w:val="105"/>
        </w:rPr>
        <w:t> </w:t>
      </w:r>
      <w:r>
        <w:rPr>
          <w:color w:val="231F20"/>
          <w:w w:val="105"/>
        </w:rPr>
        <w:t>for</w:t>
      </w:r>
      <w:r>
        <w:rPr>
          <w:color w:val="231F20"/>
          <w:spacing w:val="-17"/>
          <w:w w:val="105"/>
        </w:rPr>
        <w:t> </w:t>
      </w:r>
      <w:r>
        <w:rPr>
          <w:color w:val="231F20"/>
          <w:w w:val="105"/>
        </w:rPr>
        <w:t>immigrant</w:t>
      </w:r>
      <w:r>
        <w:rPr>
          <w:color w:val="231F20"/>
          <w:spacing w:val="-17"/>
          <w:w w:val="105"/>
        </w:rPr>
        <w:t> </w:t>
      </w:r>
      <w:r>
        <w:rPr>
          <w:color w:val="231F20"/>
          <w:w w:val="105"/>
        </w:rPr>
        <w:t>children</w:t>
      </w:r>
      <w:r>
        <w:rPr>
          <w:color w:val="231F20"/>
          <w:spacing w:val="-17"/>
          <w:w w:val="105"/>
        </w:rPr>
        <w:t> </w:t>
      </w:r>
      <w:r>
        <w:rPr>
          <w:color w:val="231F20"/>
          <w:w w:val="105"/>
        </w:rPr>
        <w:t>who</w:t>
      </w:r>
      <w:r>
        <w:rPr>
          <w:color w:val="231F20"/>
          <w:spacing w:val="-17"/>
          <w:w w:val="105"/>
        </w:rPr>
        <w:t> </w:t>
      </w:r>
      <w:r>
        <w:rPr>
          <w:color w:val="231F20"/>
          <w:w w:val="105"/>
        </w:rPr>
        <w:t>are</w:t>
      </w:r>
      <w:r>
        <w:rPr>
          <w:color w:val="231F20"/>
          <w:spacing w:val="-17"/>
          <w:w w:val="105"/>
        </w:rPr>
        <w:t> </w:t>
      </w:r>
      <w:r>
        <w:rPr>
          <w:color w:val="231F20"/>
          <w:w w:val="105"/>
        </w:rPr>
        <w:t>expected</w:t>
      </w:r>
      <w:r>
        <w:rPr>
          <w:color w:val="231F20"/>
          <w:spacing w:val="-17"/>
          <w:w w:val="105"/>
        </w:rPr>
        <w:t> </w:t>
      </w:r>
      <w:r>
        <w:rPr>
          <w:color w:val="231F20"/>
          <w:w w:val="105"/>
        </w:rPr>
        <w:t>to</w:t>
      </w:r>
      <w:r>
        <w:rPr>
          <w:color w:val="231F20"/>
          <w:spacing w:val="-17"/>
          <w:w w:val="105"/>
        </w:rPr>
        <w:t> </w:t>
      </w:r>
      <w:r>
        <w:rPr>
          <w:color w:val="231F20"/>
          <w:w w:val="105"/>
        </w:rPr>
        <w:t>give</w:t>
      </w:r>
      <w:r>
        <w:rPr>
          <w:color w:val="231F20"/>
          <w:spacing w:val="-17"/>
          <w:w w:val="105"/>
        </w:rPr>
        <w:t> </w:t>
      </w:r>
      <w:r>
        <w:rPr>
          <w:color w:val="231F20"/>
          <w:w w:val="105"/>
        </w:rPr>
        <w:t>up</w:t>
      </w:r>
      <w:r>
        <w:rPr>
          <w:color w:val="231F20"/>
          <w:spacing w:val="-17"/>
          <w:w w:val="105"/>
        </w:rPr>
        <w:t> </w:t>
      </w:r>
      <w:r>
        <w:rPr>
          <w:color w:val="231F20"/>
          <w:w w:val="105"/>
        </w:rPr>
        <w:t>their</w:t>
      </w:r>
      <w:r>
        <w:rPr>
          <w:color w:val="231F20"/>
          <w:spacing w:val="-17"/>
          <w:w w:val="105"/>
        </w:rPr>
        <w:t> </w:t>
      </w:r>
      <w:r>
        <w:rPr>
          <w:color w:val="231F20"/>
          <w:w w:val="105"/>
        </w:rPr>
        <w:t>native culture and identity to assimilate to the mainstream culture. This forces them</w:t>
      </w:r>
      <w:r>
        <w:rPr>
          <w:color w:val="231F20"/>
          <w:spacing w:val="-9"/>
          <w:w w:val="105"/>
        </w:rPr>
        <w:t> </w:t>
      </w:r>
      <w:r>
        <w:rPr>
          <w:color w:val="231F20"/>
          <w:w w:val="105"/>
        </w:rPr>
        <w:t>to</w:t>
      </w:r>
      <w:r>
        <w:rPr>
          <w:color w:val="231F20"/>
          <w:spacing w:val="-9"/>
          <w:w w:val="105"/>
        </w:rPr>
        <w:t> </w:t>
      </w:r>
      <w:r>
        <w:rPr>
          <w:color w:val="231F20"/>
          <w:w w:val="105"/>
        </w:rPr>
        <w:t>lose</w:t>
      </w:r>
      <w:r>
        <w:rPr>
          <w:color w:val="231F20"/>
          <w:spacing w:val="-9"/>
          <w:w w:val="105"/>
        </w:rPr>
        <w:t> </w:t>
      </w:r>
      <w:r>
        <w:rPr>
          <w:color w:val="231F20"/>
          <w:w w:val="105"/>
        </w:rPr>
        <w:t>valuable</w:t>
      </w:r>
      <w:r>
        <w:rPr>
          <w:color w:val="231F20"/>
          <w:spacing w:val="-9"/>
          <w:w w:val="105"/>
        </w:rPr>
        <w:t> </w:t>
      </w:r>
      <w:r>
        <w:rPr>
          <w:color w:val="231F20"/>
          <w:w w:val="105"/>
        </w:rPr>
        <w:t>support</w:t>
      </w:r>
      <w:r>
        <w:rPr>
          <w:color w:val="231F20"/>
          <w:spacing w:val="-9"/>
          <w:w w:val="105"/>
        </w:rPr>
        <w:t> </w:t>
      </w:r>
      <w:r>
        <w:rPr>
          <w:color w:val="231F20"/>
          <w:w w:val="105"/>
        </w:rPr>
        <w:t>that</w:t>
      </w:r>
      <w:r>
        <w:rPr>
          <w:color w:val="231F20"/>
          <w:spacing w:val="-9"/>
          <w:w w:val="105"/>
        </w:rPr>
        <w:t> </w:t>
      </w:r>
      <w:r>
        <w:rPr>
          <w:color w:val="231F20"/>
          <w:w w:val="105"/>
        </w:rPr>
        <w:t>their</w:t>
      </w:r>
      <w:r>
        <w:rPr>
          <w:color w:val="231F20"/>
          <w:spacing w:val="-9"/>
          <w:w w:val="105"/>
        </w:rPr>
        <w:t> </w:t>
      </w:r>
      <w:r>
        <w:rPr>
          <w:color w:val="231F20"/>
          <w:w w:val="105"/>
        </w:rPr>
        <w:t>own</w:t>
      </w:r>
      <w:r>
        <w:rPr>
          <w:color w:val="231F20"/>
          <w:spacing w:val="-9"/>
          <w:w w:val="105"/>
        </w:rPr>
        <w:t> </w:t>
      </w:r>
      <w:r>
        <w:rPr>
          <w:color w:val="231F20"/>
          <w:w w:val="105"/>
        </w:rPr>
        <w:t>culture</w:t>
      </w:r>
      <w:r>
        <w:rPr>
          <w:color w:val="231F20"/>
          <w:spacing w:val="-9"/>
          <w:w w:val="105"/>
        </w:rPr>
        <w:t> </w:t>
      </w:r>
      <w:r>
        <w:rPr>
          <w:color w:val="231F20"/>
          <w:w w:val="105"/>
        </w:rPr>
        <w:t>provides</w:t>
      </w:r>
      <w:r>
        <w:rPr>
          <w:color w:val="231F20"/>
          <w:spacing w:val="-9"/>
          <w:w w:val="105"/>
        </w:rPr>
        <w:t> </w:t>
      </w:r>
      <w:r>
        <w:rPr>
          <w:color w:val="231F20"/>
          <w:w w:val="105"/>
        </w:rPr>
        <w:t>(Valenzue- la,</w:t>
      </w:r>
      <w:r>
        <w:rPr>
          <w:color w:val="231F20"/>
          <w:spacing w:val="-13"/>
          <w:w w:val="105"/>
        </w:rPr>
        <w:t> </w:t>
      </w:r>
      <w:r>
        <w:rPr>
          <w:color w:val="231F20"/>
          <w:w w:val="105"/>
        </w:rPr>
        <w:t>1999).</w:t>
      </w:r>
      <w:r>
        <w:rPr>
          <w:color w:val="231F20"/>
          <w:spacing w:val="-13"/>
          <w:w w:val="105"/>
        </w:rPr>
        <w:t> </w:t>
      </w:r>
      <w:r>
        <w:rPr>
          <w:color w:val="231F20"/>
          <w:w w:val="105"/>
        </w:rPr>
        <w:t>Recognizing</w:t>
      </w:r>
      <w:r>
        <w:rPr>
          <w:color w:val="231F20"/>
          <w:spacing w:val="-8"/>
          <w:w w:val="105"/>
        </w:rPr>
        <w:t> </w:t>
      </w:r>
      <w:r>
        <w:rPr>
          <w:color w:val="231F20"/>
          <w:w w:val="105"/>
        </w:rPr>
        <w:t>the</w:t>
      </w:r>
      <w:r>
        <w:rPr>
          <w:color w:val="231F20"/>
          <w:spacing w:val="-8"/>
          <w:w w:val="105"/>
        </w:rPr>
        <w:t> </w:t>
      </w:r>
      <w:r>
        <w:rPr>
          <w:color w:val="231F20"/>
          <w:w w:val="105"/>
        </w:rPr>
        <w:t>valuable</w:t>
      </w:r>
      <w:r>
        <w:rPr>
          <w:color w:val="231F20"/>
          <w:spacing w:val="-8"/>
          <w:w w:val="105"/>
        </w:rPr>
        <w:t> </w:t>
      </w:r>
      <w:r>
        <w:rPr>
          <w:color w:val="231F20"/>
          <w:w w:val="105"/>
        </w:rPr>
        <w:t>resource</w:t>
      </w:r>
      <w:r>
        <w:rPr>
          <w:color w:val="231F20"/>
          <w:spacing w:val="-8"/>
          <w:w w:val="105"/>
        </w:rPr>
        <w:t> </w:t>
      </w:r>
      <w:r>
        <w:rPr>
          <w:color w:val="231F20"/>
          <w:w w:val="105"/>
        </w:rPr>
        <w:t>that</w:t>
      </w:r>
      <w:r>
        <w:rPr>
          <w:color w:val="231F20"/>
          <w:spacing w:val="-8"/>
          <w:w w:val="105"/>
        </w:rPr>
        <w:t> </w:t>
      </w:r>
      <w:r>
        <w:rPr>
          <w:color w:val="231F20"/>
          <w:w w:val="105"/>
        </w:rPr>
        <w:t>being</w:t>
      </w:r>
      <w:r>
        <w:rPr>
          <w:color w:val="231F20"/>
          <w:spacing w:val="-8"/>
          <w:w w:val="105"/>
        </w:rPr>
        <w:t> </w:t>
      </w:r>
      <w:r>
        <w:rPr>
          <w:color w:val="231F20"/>
          <w:w w:val="105"/>
        </w:rPr>
        <w:t>bilingual</w:t>
      </w:r>
      <w:r>
        <w:rPr>
          <w:color w:val="231F20"/>
          <w:spacing w:val="-8"/>
          <w:w w:val="105"/>
        </w:rPr>
        <w:t> </w:t>
      </w:r>
      <w:r>
        <w:rPr>
          <w:color w:val="231F20"/>
          <w:w w:val="105"/>
        </w:rPr>
        <w:t>affords students</w:t>
      </w:r>
      <w:r>
        <w:rPr>
          <w:color w:val="231F20"/>
          <w:spacing w:val="-15"/>
          <w:w w:val="105"/>
        </w:rPr>
        <w:t> </w:t>
      </w:r>
      <w:r>
        <w:rPr>
          <w:color w:val="231F20"/>
          <w:w w:val="105"/>
        </w:rPr>
        <w:t>should</w:t>
      </w:r>
      <w:r>
        <w:rPr>
          <w:color w:val="231F20"/>
          <w:spacing w:val="-15"/>
          <w:w w:val="105"/>
        </w:rPr>
        <w:t> </w:t>
      </w:r>
      <w:r>
        <w:rPr>
          <w:color w:val="231F20"/>
          <w:w w:val="105"/>
        </w:rPr>
        <w:t>be</w:t>
      </w:r>
      <w:r>
        <w:rPr>
          <w:color w:val="231F20"/>
          <w:spacing w:val="-15"/>
          <w:w w:val="105"/>
        </w:rPr>
        <w:t> </w:t>
      </w:r>
      <w:r>
        <w:rPr>
          <w:color w:val="231F20"/>
          <w:w w:val="105"/>
        </w:rPr>
        <w:t>a</w:t>
      </w:r>
      <w:r>
        <w:rPr>
          <w:color w:val="231F20"/>
          <w:spacing w:val="-15"/>
          <w:w w:val="105"/>
        </w:rPr>
        <w:t> </w:t>
      </w:r>
      <w:r>
        <w:rPr>
          <w:color w:val="231F20"/>
          <w:w w:val="105"/>
        </w:rPr>
        <w:t>motivating</w:t>
      </w:r>
      <w:r>
        <w:rPr>
          <w:color w:val="231F20"/>
          <w:spacing w:val="-15"/>
          <w:w w:val="105"/>
        </w:rPr>
        <w:t> </w:t>
      </w:r>
      <w:r>
        <w:rPr>
          <w:color w:val="231F20"/>
          <w:w w:val="105"/>
        </w:rPr>
        <w:t>factor</w:t>
      </w:r>
      <w:r>
        <w:rPr>
          <w:color w:val="231F20"/>
          <w:spacing w:val="-15"/>
          <w:w w:val="105"/>
        </w:rPr>
        <w:t> </w:t>
      </w:r>
      <w:r>
        <w:rPr>
          <w:color w:val="231F20"/>
          <w:w w:val="105"/>
        </w:rPr>
        <w:t>for</w:t>
      </w:r>
      <w:r>
        <w:rPr>
          <w:color w:val="231F20"/>
          <w:spacing w:val="-15"/>
          <w:w w:val="105"/>
        </w:rPr>
        <w:t> </w:t>
      </w:r>
      <w:r>
        <w:rPr>
          <w:color w:val="231F20"/>
          <w:w w:val="105"/>
        </w:rPr>
        <w:t>implementation</w:t>
      </w:r>
      <w:r>
        <w:rPr>
          <w:color w:val="231F20"/>
          <w:spacing w:val="-15"/>
          <w:w w:val="105"/>
        </w:rPr>
        <w:t> </w:t>
      </w:r>
      <w:r>
        <w:rPr>
          <w:color w:val="231F20"/>
          <w:w w:val="105"/>
        </w:rPr>
        <w:t>of</w:t>
      </w:r>
      <w:r>
        <w:rPr>
          <w:color w:val="231F20"/>
          <w:spacing w:val="-10"/>
          <w:w w:val="105"/>
        </w:rPr>
        <w:t> </w:t>
      </w:r>
      <w:r>
        <w:rPr>
          <w:color w:val="231F20"/>
          <w:w w:val="105"/>
        </w:rPr>
        <w:t>pathways</w:t>
      </w:r>
      <w:r>
        <w:rPr>
          <w:color w:val="231F20"/>
          <w:spacing w:val="-15"/>
          <w:w w:val="105"/>
        </w:rPr>
        <w:t> </w:t>
      </w:r>
      <w:r>
        <w:rPr>
          <w:color w:val="231F20"/>
          <w:w w:val="105"/>
        </w:rPr>
        <w:t>to </w:t>
      </w:r>
      <w:r>
        <w:rPr>
          <w:color w:val="231F20"/>
        </w:rPr>
        <w:t>success in United States</w:t>
      </w:r>
      <w:r>
        <w:rPr>
          <w:color w:val="231F20"/>
          <w:spacing w:val="-14"/>
        </w:rPr>
        <w:t> </w:t>
      </w:r>
      <w:r>
        <w:rPr>
          <w:color w:val="231F20"/>
        </w:rPr>
        <w:t>schools.</w:t>
      </w:r>
    </w:p>
    <w:p>
      <w:pPr>
        <w:pStyle w:val="BodyText"/>
        <w:rPr>
          <w:sz w:val="20"/>
        </w:rPr>
      </w:pPr>
    </w:p>
    <w:p>
      <w:pPr>
        <w:pStyle w:val="BodyText"/>
        <w:spacing w:before="9"/>
        <w:rPr>
          <w:sz w:val="20"/>
        </w:rPr>
      </w:pPr>
    </w:p>
    <w:p>
      <w:pPr>
        <w:pStyle w:val="Heading3"/>
        <w:ind w:left="1723"/>
      </w:pPr>
      <w:r>
        <w:rPr>
          <w:color w:val="231F20"/>
        </w:rPr>
        <w:t>Disparities in Achievement in English</w:t>
      </w:r>
    </w:p>
    <w:p>
      <w:pPr>
        <w:pStyle w:val="BodyText"/>
        <w:rPr>
          <w:rFonts w:ascii="Arial"/>
          <w:b/>
          <w:sz w:val="22"/>
        </w:rPr>
      </w:pPr>
    </w:p>
    <w:p>
      <w:pPr>
        <w:pStyle w:val="BodyText"/>
        <w:spacing w:line="261" w:lineRule="auto" w:before="163"/>
        <w:ind w:left="1723" w:right="1828"/>
        <w:jc w:val="both"/>
      </w:pPr>
      <w:r>
        <w:rPr>
          <w:color w:val="231F20"/>
          <w:w w:val="105"/>
        </w:rPr>
        <w:t>Although</w:t>
      </w:r>
      <w:r>
        <w:rPr>
          <w:color w:val="231F20"/>
          <w:spacing w:val="-6"/>
          <w:w w:val="105"/>
        </w:rPr>
        <w:t> </w:t>
      </w:r>
      <w:r>
        <w:rPr>
          <w:color w:val="231F20"/>
          <w:w w:val="105"/>
        </w:rPr>
        <w:t>maintenance</w:t>
      </w:r>
      <w:r>
        <w:rPr>
          <w:color w:val="231F20"/>
          <w:spacing w:val="-6"/>
          <w:w w:val="105"/>
        </w:rPr>
        <w:t> </w:t>
      </w:r>
      <w:r>
        <w:rPr>
          <w:color w:val="231F20"/>
          <w:w w:val="105"/>
        </w:rPr>
        <w:t>of</w:t>
      </w:r>
      <w:r>
        <w:rPr>
          <w:color w:val="231F20"/>
          <w:spacing w:val="-1"/>
          <w:w w:val="105"/>
        </w:rPr>
        <w:t> </w:t>
      </w:r>
      <w:r>
        <w:rPr>
          <w:color w:val="231F20"/>
          <w:w w:val="105"/>
        </w:rPr>
        <w:t>native</w:t>
      </w:r>
      <w:r>
        <w:rPr>
          <w:color w:val="231F20"/>
          <w:spacing w:val="-6"/>
          <w:w w:val="105"/>
        </w:rPr>
        <w:t> </w:t>
      </w:r>
      <w:r>
        <w:rPr>
          <w:color w:val="231F20"/>
          <w:w w:val="105"/>
        </w:rPr>
        <w:t>culture</w:t>
      </w:r>
      <w:r>
        <w:rPr>
          <w:color w:val="231F20"/>
          <w:spacing w:val="-6"/>
          <w:w w:val="105"/>
        </w:rPr>
        <w:t> </w:t>
      </w:r>
      <w:r>
        <w:rPr>
          <w:color w:val="231F20"/>
          <w:w w:val="105"/>
        </w:rPr>
        <w:t>and</w:t>
      </w:r>
      <w:r>
        <w:rPr>
          <w:color w:val="231F20"/>
          <w:spacing w:val="-6"/>
          <w:w w:val="105"/>
        </w:rPr>
        <w:t> </w:t>
      </w:r>
      <w:r>
        <w:rPr>
          <w:color w:val="231F20"/>
          <w:w w:val="105"/>
        </w:rPr>
        <w:t>heritage</w:t>
      </w:r>
      <w:r>
        <w:rPr>
          <w:color w:val="231F20"/>
          <w:spacing w:val="-6"/>
          <w:w w:val="105"/>
        </w:rPr>
        <w:t> </w:t>
      </w:r>
      <w:r>
        <w:rPr>
          <w:color w:val="231F20"/>
          <w:w w:val="105"/>
        </w:rPr>
        <w:t>language</w:t>
      </w:r>
      <w:r>
        <w:rPr>
          <w:color w:val="231F20"/>
          <w:spacing w:val="-6"/>
          <w:w w:val="105"/>
        </w:rPr>
        <w:t> </w:t>
      </w:r>
      <w:r>
        <w:rPr>
          <w:color w:val="231F20"/>
          <w:w w:val="105"/>
        </w:rPr>
        <w:t>is</w:t>
      </w:r>
      <w:r>
        <w:rPr>
          <w:color w:val="231F20"/>
          <w:spacing w:val="-6"/>
          <w:w w:val="105"/>
        </w:rPr>
        <w:t> </w:t>
      </w:r>
      <w:r>
        <w:rPr>
          <w:color w:val="231F20"/>
          <w:w w:val="105"/>
        </w:rPr>
        <w:t>impor- tant for the school success of immigrant children, research shows that proficiency</w:t>
      </w:r>
      <w:r>
        <w:rPr>
          <w:color w:val="231F20"/>
          <w:spacing w:val="-8"/>
          <w:w w:val="105"/>
        </w:rPr>
        <w:t> </w:t>
      </w:r>
      <w:r>
        <w:rPr>
          <w:color w:val="231F20"/>
          <w:w w:val="105"/>
        </w:rPr>
        <w:t>in</w:t>
      </w:r>
      <w:r>
        <w:rPr>
          <w:color w:val="231F20"/>
          <w:spacing w:val="-8"/>
          <w:w w:val="105"/>
        </w:rPr>
        <w:t> </w:t>
      </w:r>
      <w:r>
        <w:rPr>
          <w:color w:val="231F20"/>
          <w:w w:val="105"/>
        </w:rPr>
        <w:t>the</w:t>
      </w:r>
      <w:r>
        <w:rPr>
          <w:color w:val="231F20"/>
          <w:spacing w:val="-8"/>
          <w:w w:val="105"/>
        </w:rPr>
        <w:t> </w:t>
      </w:r>
      <w:r>
        <w:rPr>
          <w:color w:val="231F20"/>
          <w:w w:val="105"/>
        </w:rPr>
        <w:t>English</w:t>
      </w:r>
      <w:r>
        <w:rPr>
          <w:color w:val="231F20"/>
          <w:spacing w:val="-8"/>
          <w:w w:val="105"/>
        </w:rPr>
        <w:t> </w:t>
      </w:r>
      <w:r>
        <w:rPr>
          <w:color w:val="231F20"/>
          <w:w w:val="105"/>
        </w:rPr>
        <w:t>language</w:t>
      </w:r>
      <w:r>
        <w:rPr>
          <w:color w:val="231F20"/>
          <w:spacing w:val="-8"/>
          <w:w w:val="105"/>
        </w:rPr>
        <w:t> </w:t>
      </w:r>
      <w:r>
        <w:rPr>
          <w:color w:val="231F20"/>
          <w:w w:val="105"/>
        </w:rPr>
        <w:t>is</w:t>
      </w:r>
      <w:r>
        <w:rPr>
          <w:color w:val="231F20"/>
          <w:spacing w:val="-8"/>
          <w:w w:val="105"/>
        </w:rPr>
        <w:t> </w:t>
      </w:r>
      <w:r>
        <w:rPr>
          <w:color w:val="231F20"/>
          <w:w w:val="105"/>
        </w:rPr>
        <w:t>vital</w:t>
      </w:r>
      <w:r>
        <w:rPr>
          <w:color w:val="231F20"/>
          <w:spacing w:val="-8"/>
          <w:w w:val="105"/>
        </w:rPr>
        <w:t> </w:t>
      </w:r>
      <w:r>
        <w:rPr>
          <w:color w:val="231F20"/>
          <w:w w:val="105"/>
        </w:rPr>
        <w:t>to</w:t>
      </w:r>
      <w:r>
        <w:rPr>
          <w:color w:val="231F20"/>
          <w:spacing w:val="-8"/>
          <w:w w:val="105"/>
        </w:rPr>
        <w:t> </w:t>
      </w:r>
      <w:r>
        <w:rPr>
          <w:color w:val="231F20"/>
          <w:w w:val="105"/>
        </w:rPr>
        <w:t>positive</w:t>
      </w:r>
      <w:r>
        <w:rPr>
          <w:color w:val="231F20"/>
          <w:spacing w:val="-8"/>
          <w:w w:val="105"/>
        </w:rPr>
        <w:t> </w:t>
      </w:r>
      <w:r>
        <w:rPr>
          <w:color w:val="231F20"/>
          <w:w w:val="105"/>
        </w:rPr>
        <w:t>educational</w:t>
      </w:r>
      <w:r>
        <w:rPr>
          <w:color w:val="231F20"/>
          <w:spacing w:val="-8"/>
          <w:w w:val="105"/>
        </w:rPr>
        <w:t> </w:t>
      </w:r>
      <w:r>
        <w:rPr>
          <w:color w:val="231F20"/>
          <w:w w:val="105"/>
        </w:rPr>
        <w:t>outco- mes</w:t>
      </w:r>
      <w:r>
        <w:rPr>
          <w:color w:val="231F20"/>
          <w:spacing w:val="-13"/>
          <w:w w:val="105"/>
        </w:rPr>
        <w:t> </w:t>
      </w:r>
      <w:r>
        <w:rPr>
          <w:color w:val="231F20"/>
          <w:w w:val="105"/>
        </w:rPr>
        <w:t>in</w:t>
      </w:r>
      <w:r>
        <w:rPr>
          <w:color w:val="231F20"/>
          <w:spacing w:val="-13"/>
          <w:w w:val="105"/>
        </w:rPr>
        <w:t> </w:t>
      </w:r>
      <w:r>
        <w:rPr>
          <w:color w:val="231F20"/>
          <w:w w:val="105"/>
        </w:rPr>
        <w:t>the</w:t>
      </w:r>
      <w:r>
        <w:rPr>
          <w:color w:val="231F20"/>
          <w:spacing w:val="-13"/>
          <w:w w:val="105"/>
        </w:rPr>
        <w:t> </w:t>
      </w:r>
      <w:r>
        <w:rPr>
          <w:color w:val="231F20"/>
          <w:w w:val="105"/>
        </w:rPr>
        <w:t>United</w:t>
      </w:r>
      <w:r>
        <w:rPr>
          <w:color w:val="231F20"/>
          <w:spacing w:val="-13"/>
          <w:w w:val="105"/>
        </w:rPr>
        <w:t> </w:t>
      </w:r>
      <w:r>
        <w:rPr>
          <w:color w:val="231F20"/>
          <w:w w:val="105"/>
        </w:rPr>
        <w:t>States</w:t>
      </w:r>
      <w:r>
        <w:rPr>
          <w:color w:val="231F20"/>
          <w:spacing w:val="-13"/>
          <w:w w:val="105"/>
        </w:rPr>
        <w:t> </w:t>
      </w:r>
      <w:r>
        <w:rPr>
          <w:color w:val="231F20"/>
          <w:w w:val="105"/>
        </w:rPr>
        <w:t>educational</w:t>
      </w:r>
      <w:r>
        <w:rPr>
          <w:color w:val="231F20"/>
          <w:spacing w:val="-13"/>
          <w:w w:val="105"/>
        </w:rPr>
        <w:t> </w:t>
      </w:r>
      <w:r>
        <w:rPr>
          <w:color w:val="231F20"/>
          <w:w w:val="105"/>
        </w:rPr>
        <w:t>system.</w:t>
      </w:r>
      <w:r>
        <w:rPr>
          <w:color w:val="231F20"/>
          <w:spacing w:val="-18"/>
          <w:w w:val="105"/>
        </w:rPr>
        <w:t> </w:t>
      </w:r>
      <w:r>
        <w:rPr>
          <w:color w:val="231F20"/>
          <w:w w:val="105"/>
        </w:rPr>
        <w:t>Scholars</w:t>
      </w:r>
      <w:r>
        <w:rPr>
          <w:color w:val="231F20"/>
          <w:spacing w:val="-13"/>
          <w:w w:val="105"/>
        </w:rPr>
        <w:t> </w:t>
      </w:r>
      <w:r>
        <w:rPr>
          <w:color w:val="231F20"/>
          <w:w w:val="105"/>
        </w:rPr>
        <w:t>suggest</w:t>
      </w:r>
      <w:r>
        <w:rPr>
          <w:color w:val="231F20"/>
          <w:spacing w:val="-13"/>
          <w:w w:val="105"/>
        </w:rPr>
        <w:t> </w:t>
      </w:r>
      <w:r>
        <w:rPr>
          <w:color w:val="231F20"/>
          <w:w w:val="105"/>
        </w:rPr>
        <w:t>that</w:t>
      </w:r>
      <w:r>
        <w:rPr>
          <w:color w:val="231F20"/>
          <w:spacing w:val="-13"/>
          <w:w w:val="105"/>
        </w:rPr>
        <w:t> </w:t>
      </w:r>
      <w:r>
        <w:rPr>
          <w:color w:val="231F20"/>
          <w:w w:val="105"/>
        </w:rPr>
        <w:t>limi- ted</w:t>
      </w:r>
      <w:r>
        <w:rPr>
          <w:color w:val="231F20"/>
          <w:spacing w:val="-27"/>
          <w:w w:val="105"/>
        </w:rPr>
        <w:t> </w:t>
      </w:r>
      <w:r>
        <w:rPr>
          <w:color w:val="231F20"/>
          <w:w w:val="105"/>
        </w:rPr>
        <w:t>English</w:t>
      </w:r>
      <w:r>
        <w:rPr>
          <w:color w:val="231F20"/>
          <w:spacing w:val="-27"/>
          <w:w w:val="105"/>
        </w:rPr>
        <w:t> </w:t>
      </w:r>
      <w:r>
        <w:rPr>
          <w:color w:val="231F20"/>
          <w:w w:val="105"/>
        </w:rPr>
        <w:t>language</w:t>
      </w:r>
      <w:r>
        <w:rPr>
          <w:color w:val="231F20"/>
          <w:spacing w:val="-27"/>
          <w:w w:val="105"/>
        </w:rPr>
        <w:t> </w:t>
      </w:r>
      <w:r>
        <w:rPr>
          <w:color w:val="231F20"/>
          <w:w w:val="105"/>
        </w:rPr>
        <w:t>proficiency</w:t>
      </w:r>
      <w:r>
        <w:rPr>
          <w:color w:val="231F20"/>
          <w:spacing w:val="-27"/>
          <w:w w:val="105"/>
        </w:rPr>
        <w:t> </w:t>
      </w:r>
      <w:r>
        <w:rPr>
          <w:color w:val="231F20"/>
          <w:w w:val="105"/>
        </w:rPr>
        <w:t>can</w:t>
      </w:r>
      <w:r>
        <w:rPr>
          <w:color w:val="231F20"/>
          <w:spacing w:val="-27"/>
          <w:w w:val="105"/>
        </w:rPr>
        <w:t> </w:t>
      </w:r>
      <w:r>
        <w:rPr>
          <w:color w:val="231F20"/>
          <w:w w:val="105"/>
        </w:rPr>
        <w:t>be</w:t>
      </w:r>
      <w:r>
        <w:rPr>
          <w:color w:val="231F20"/>
          <w:spacing w:val="-27"/>
          <w:w w:val="105"/>
        </w:rPr>
        <w:t> </w:t>
      </w:r>
      <w:r>
        <w:rPr>
          <w:color w:val="231F20"/>
          <w:w w:val="105"/>
        </w:rPr>
        <w:t>an</w:t>
      </w:r>
      <w:r>
        <w:rPr>
          <w:color w:val="231F20"/>
          <w:spacing w:val="-27"/>
          <w:w w:val="105"/>
        </w:rPr>
        <w:t> </w:t>
      </w:r>
      <w:r>
        <w:rPr>
          <w:color w:val="231F20"/>
          <w:w w:val="105"/>
        </w:rPr>
        <w:t>obstacle</w:t>
      </w:r>
      <w:r>
        <w:rPr>
          <w:color w:val="231F20"/>
          <w:spacing w:val="-27"/>
          <w:w w:val="105"/>
        </w:rPr>
        <w:t> </w:t>
      </w:r>
      <w:r>
        <w:rPr>
          <w:color w:val="231F20"/>
          <w:w w:val="105"/>
        </w:rPr>
        <w:t>to</w:t>
      </w:r>
      <w:r>
        <w:rPr>
          <w:color w:val="231F20"/>
          <w:spacing w:val="-27"/>
          <w:w w:val="105"/>
        </w:rPr>
        <w:t> </w:t>
      </w:r>
      <w:r>
        <w:rPr>
          <w:color w:val="231F20"/>
          <w:w w:val="105"/>
        </w:rPr>
        <w:t>academic</w:t>
      </w:r>
      <w:r>
        <w:rPr>
          <w:color w:val="231F20"/>
          <w:spacing w:val="-27"/>
          <w:w w:val="105"/>
        </w:rPr>
        <w:t> </w:t>
      </w:r>
      <w:r>
        <w:rPr>
          <w:color w:val="231F20"/>
          <w:w w:val="105"/>
        </w:rPr>
        <w:t>success for Mexican-decent children, especially immigrant students who attend United</w:t>
      </w:r>
      <w:r>
        <w:rPr>
          <w:color w:val="231F20"/>
          <w:spacing w:val="-28"/>
          <w:w w:val="105"/>
        </w:rPr>
        <w:t> </w:t>
      </w:r>
      <w:r>
        <w:rPr>
          <w:color w:val="231F20"/>
          <w:w w:val="105"/>
        </w:rPr>
        <w:t>States</w:t>
      </w:r>
      <w:r>
        <w:rPr>
          <w:color w:val="231F20"/>
          <w:spacing w:val="-28"/>
          <w:w w:val="105"/>
        </w:rPr>
        <w:t> </w:t>
      </w:r>
      <w:r>
        <w:rPr>
          <w:color w:val="231F20"/>
          <w:w w:val="105"/>
        </w:rPr>
        <w:t>schools</w:t>
      </w:r>
      <w:r>
        <w:rPr>
          <w:color w:val="231F20"/>
          <w:spacing w:val="-28"/>
          <w:w w:val="105"/>
        </w:rPr>
        <w:t> </w:t>
      </w:r>
      <w:r>
        <w:rPr>
          <w:color w:val="231F20"/>
          <w:w w:val="105"/>
        </w:rPr>
        <w:t>(Gaytán,</w:t>
      </w:r>
      <w:r>
        <w:rPr>
          <w:color w:val="231F20"/>
          <w:spacing w:val="-32"/>
          <w:w w:val="105"/>
        </w:rPr>
        <w:t> </w:t>
      </w:r>
      <w:r>
        <w:rPr>
          <w:color w:val="231F20"/>
          <w:w w:val="105"/>
        </w:rPr>
        <w:t>2010;</w:t>
      </w:r>
      <w:r>
        <w:rPr>
          <w:color w:val="231F20"/>
          <w:spacing w:val="-28"/>
          <w:w w:val="105"/>
        </w:rPr>
        <w:t> </w:t>
      </w:r>
      <w:r>
        <w:rPr>
          <w:color w:val="231F20"/>
          <w:w w:val="105"/>
        </w:rPr>
        <w:t>Suarez-Orozco</w:t>
      </w:r>
      <w:r>
        <w:rPr>
          <w:color w:val="231F20"/>
          <w:spacing w:val="-28"/>
          <w:w w:val="105"/>
        </w:rPr>
        <w:t> </w:t>
      </w:r>
      <w:r>
        <w:rPr>
          <w:rFonts w:ascii="Arial" w:hAnsi="Arial"/>
          <w:i/>
          <w:color w:val="231F20"/>
          <w:w w:val="105"/>
        </w:rPr>
        <w:t>et</w:t>
      </w:r>
      <w:r>
        <w:rPr>
          <w:rFonts w:ascii="Arial" w:hAnsi="Arial"/>
          <w:i/>
          <w:color w:val="231F20"/>
          <w:spacing w:val="-31"/>
          <w:w w:val="105"/>
        </w:rPr>
        <w:t> </w:t>
      </w:r>
      <w:r>
        <w:rPr>
          <w:rFonts w:ascii="Arial" w:hAnsi="Arial"/>
          <w:i/>
          <w:color w:val="231F20"/>
          <w:w w:val="105"/>
        </w:rPr>
        <w:t>al</w:t>
      </w:r>
      <w:r>
        <w:rPr>
          <w:color w:val="231F20"/>
          <w:w w:val="105"/>
        </w:rPr>
        <w:t>.,</w:t>
      </w:r>
      <w:r>
        <w:rPr>
          <w:color w:val="231F20"/>
          <w:spacing w:val="-32"/>
          <w:w w:val="105"/>
        </w:rPr>
        <w:t> </w:t>
      </w:r>
      <w:r>
        <w:rPr>
          <w:color w:val="231F20"/>
          <w:w w:val="105"/>
        </w:rPr>
        <w:t>2010;</w:t>
      </w:r>
      <w:r>
        <w:rPr>
          <w:color w:val="231F20"/>
          <w:spacing w:val="-28"/>
          <w:w w:val="105"/>
        </w:rPr>
        <w:t> </w:t>
      </w:r>
      <w:r>
        <w:rPr>
          <w:color w:val="231F20"/>
          <w:w w:val="105"/>
        </w:rPr>
        <w:t>De</w:t>
      </w:r>
      <w:r>
        <w:rPr>
          <w:color w:val="231F20"/>
          <w:spacing w:val="-28"/>
          <w:w w:val="105"/>
        </w:rPr>
        <w:t> </w:t>
      </w:r>
      <w:r>
        <w:rPr>
          <w:color w:val="231F20"/>
          <w:spacing w:val="-3"/>
          <w:w w:val="105"/>
        </w:rPr>
        <w:t>Car- </w:t>
      </w:r>
      <w:r>
        <w:rPr>
          <w:color w:val="231F20"/>
          <w:w w:val="105"/>
        </w:rPr>
        <w:t>lo </w:t>
      </w:r>
      <w:r>
        <w:rPr>
          <w:rFonts w:ascii="Arial" w:hAnsi="Arial"/>
          <w:i/>
          <w:color w:val="231F20"/>
          <w:w w:val="105"/>
        </w:rPr>
        <w:t>et. al.</w:t>
      </w:r>
      <w:r>
        <w:rPr>
          <w:color w:val="231F20"/>
          <w:w w:val="105"/>
        </w:rPr>
        <w:t>, 2014). A study conducted by De Carlo and colleagues (2014) showed that English language proficiency was associated with higher grades. In the same study, immigrant students reported lower levels of English</w:t>
      </w:r>
      <w:r>
        <w:rPr>
          <w:color w:val="231F20"/>
          <w:spacing w:val="-10"/>
          <w:w w:val="105"/>
        </w:rPr>
        <w:t> </w:t>
      </w:r>
      <w:r>
        <w:rPr>
          <w:color w:val="231F20"/>
          <w:w w:val="105"/>
        </w:rPr>
        <w:t>proficiency</w:t>
      </w:r>
      <w:r>
        <w:rPr>
          <w:color w:val="231F20"/>
          <w:spacing w:val="-10"/>
          <w:w w:val="105"/>
        </w:rPr>
        <w:t> </w:t>
      </w:r>
      <w:r>
        <w:rPr>
          <w:color w:val="231F20"/>
          <w:w w:val="105"/>
        </w:rPr>
        <w:t>overall</w:t>
      </w:r>
      <w:r>
        <w:rPr>
          <w:color w:val="231F20"/>
          <w:spacing w:val="-10"/>
          <w:w w:val="105"/>
        </w:rPr>
        <w:t> </w:t>
      </w:r>
      <w:r>
        <w:rPr>
          <w:color w:val="231F20"/>
          <w:w w:val="105"/>
        </w:rPr>
        <w:t>compared</w:t>
      </w:r>
      <w:r>
        <w:rPr>
          <w:color w:val="231F20"/>
          <w:spacing w:val="-10"/>
          <w:w w:val="105"/>
        </w:rPr>
        <w:t> </w:t>
      </w:r>
      <w:r>
        <w:rPr>
          <w:color w:val="231F20"/>
          <w:w w:val="105"/>
        </w:rPr>
        <w:t>to</w:t>
      </w:r>
      <w:r>
        <w:rPr>
          <w:color w:val="231F20"/>
          <w:spacing w:val="-10"/>
          <w:w w:val="105"/>
        </w:rPr>
        <w:t> </w:t>
      </w:r>
      <w:r>
        <w:rPr>
          <w:color w:val="231F20"/>
          <w:w w:val="105"/>
        </w:rPr>
        <w:t>their</w:t>
      </w:r>
      <w:r>
        <w:rPr>
          <w:color w:val="231F20"/>
          <w:spacing w:val="-10"/>
          <w:w w:val="105"/>
        </w:rPr>
        <w:t> </w:t>
      </w:r>
      <w:r>
        <w:rPr>
          <w:color w:val="231F20"/>
          <w:w w:val="105"/>
        </w:rPr>
        <w:t>United</w:t>
      </w:r>
      <w:r>
        <w:rPr>
          <w:color w:val="231F20"/>
          <w:spacing w:val="-10"/>
          <w:w w:val="105"/>
        </w:rPr>
        <w:t> </w:t>
      </w:r>
      <w:r>
        <w:rPr>
          <w:color w:val="231F20"/>
          <w:w w:val="105"/>
        </w:rPr>
        <w:t>States</w:t>
      </w:r>
      <w:r>
        <w:rPr>
          <w:color w:val="231F20"/>
          <w:spacing w:val="-10"/>
          <w:w w:val="105"/>
        </w:rPr>
        <w:t> </w:t>
      </w:r>
      <w:r>
        <w:rPr>
          <w:color w:val="231F20"/>
          <w:w w:val="105"/>
        </w:rPr>
        <w:t>counterparts which increased their risk for academic failure. In addition, limited profi- ciency of English has been associated with lower reading and math le- vels</w:t>
      </w:r>
      <w:r>
        <w:rPr>
          <w:color w:val="231F20"/>
          <w:spacing w:val="-16"/>
          <w:w w:val="105"/>
        </w:rPr>
        <w:t> </w:t>
      </w:r>
      <w:r>
        <w:rPr>
          <w:color w:val="231F20"/>
          <w:w w:val="105"/>
        </w:rPr>
        <w:t>(Halle</w:t>
      </w:r>
      <w:r>
        <w:rPr>
          <w:color w:val="231F20"/>
          <w:spacing w:val="-16"/>
          <w:w w:val="105"/>
        </w:rPr>
        <w:t> </w:t>
      </w:r>
      <w:r>
        <w:rPr>
          <w:rFonts w:ascii="Arial" w:hAnsi="Arial"/>
          <w:i/>
          <w:color w:val="231F20"/>
          <w:w w:val="105"/>
        </w:rPr>
        <w:t>et</w:t>
      </w:r>
      <w:r>
        <w:rPr>
          <w:rFonts w:ascii="Arial" w:hAnsi="Arial"/>
          <w:i/>
          <w:color w:val="231F20"/>
          <w:spacing w:val="-18"/>
          <w:w w:val="105"/>
        </w:rPr>
        <w:t> </w:t>
      </w:r>
      <w:r>
        <w:rPr>
          <w:rFonts w:ascii="Arial" w:hAnsi="Arial"/>
          <w:i/>
          <w:color w:val="231F20"/>
          <w:w w:val="105"/>
        </w:rPr>
        <w:t>al.</w:t>
      </w:r>
      <w:r>
        <w:rPr>
          <w:color w:val="231F20"/>
          <w:w w:val="105"/>
        </w:rPr>
        <w:t>,</w:t>
      </w:r>
      <w:r>
        <w:rPr>
          <w:color w:val="231F20"/>
          <w:spacing w:val="-20"/>
          <w:w w:val="105"/>
        </w:rPr>
        <w:t> </w:t>
      </w:r>
      <w:r>
        <w:rPr>
          <w:color w:val="231F20"/>
          <w:w w:val="105"/>
        </w:rPr>
        <w:t>2012).</w:t>
      </w:r>
      <w:r>
        <w:rPr>
          <w:color w:val="231F20"/>
          <w:spacing w:val="-20"/>
          <w:w w:val="105"/>
        </w:rPr>
        <w:t> </w:t>
      </w:r>
      <w:r>
        <w:rPr>
          <w:color w:val="231F20"/>
          <w:w w:val="105"/>
        </w:rPr>
        <w:t>Often</w:t>
      </w:r>
      <w:r>
        <w:rPr>
          <w:color w:val="231F20"/>
          <w:spacing w:val="-16"/>
          <w:w w:val="105"/>
        </w:rPr>
        <w:t> </w:t>
      </w:r>
      <w:r>
        <w:rPr>
          <w:color w:val="231F20"/>
          <w:w w:val="105"/>
        </w:rPr>
        <w:t>this</w:t>
      </w:r>
      <w:r>
        <w:rPr>
          <w:color w:val="231F20"/>
          <w:spacing w:val="-16"/>
          <w:w w:val="105"/>
        </w:rPr>
        <w:t> </w:t>
      </w:r>
      <w:r>
        <w:rPr>
          <w:color w:val="231F20"/>
          <w:w w:val="105"/>
        </w:rPr>
        <w:t>is</w:t>
      </w:r>
      <w:r>
        <w:rPr>
          <w:color w:val="231F20"/>
          <w:spacing w:val="-16"/>
          <w:w w:val="105"/>
        </w:rPr>
        <w:t> </w:t>
      </w:r>
      <w:r>
        <w:rPr>
          <w:color w:val="231F20"/>
          <w:w w:val="105"/>
        </w:rPr>
        <w:t>because</w:t>
      </w:r>
      <w:r>
        <w:rPr>
          <w:color w:val="231F20"/>
          <w:spacing w:val="-16"/>
          <w:w w:val="105"/>
        </w:rPr>
        <w:t> </w:t>
      </w:r>
      <w:r>
        <w:rPr>
          <w:color w:val="231F20"/>
          <w:w w:val="105"/>
        </w:rPr>
        <w:t>these</w:t>
      </w:r>
      <w:r>
        <w:rPr>
          <w:color w:val="231F20"/>
          <w:spacing w:val="-16"/>
          <w:w w:val="105"/>
        </w:rPr>
        <w:t> </w:t>
      </w:r>
      <w:r>
        <w:rPr>
          <w:color w:val="231F20"/>
          <w:w w:val="105"/>
        </w:rPr>
        <w:t>students</w:t>
      </w:r>
      <w:r>
        <w:rPr>
          <w:color w:val="231F20"/>
          <w:spacing w:val="-16"/>
          <w:w w:val="105"/>
        </w:rPr>
        <w:t> </w:t>
      </w:r>
      <w:r>
        <w:rPr>
          <w:color w:val="231F20"/>
          <w:w w:val="105"/>
        </w:rPr>
        <w:t>do</w:t>
      </w:r>
      <w:r>
        <w:rPr>
          <w:color w:val="231F20"/>
          <w:spacing w:val="-16"/>
          <w:w w:val="105"/>
        </w:rPr>
        <w:t> </w:t>
      </w:r>
      <w:r>
        <w:rPr>
          <w:color w:val="231F20"/>
          <w:w w:val="105"/>
        </w:rPr>
        <w:t>not</w:t>
      </w:r>
      <w:r>
        <w:rPr>
          <w:color w:val="231F20"/>
          <w:spacing w:val="-16"/>
          <w:w w:val="105"/>
        </w:rPr>
        <w:t> </w:t>
      </w:r>
      <w:r>
        <w:rPr>
          <w:color w:val="231F20"/>
          <w:w w:val="105"/>
        </w:rPr>
        <w:t>have access to English-speaking adults who can help them with school</w:t>
      </w:r>
      <w:r>
        <w:rPr>
          <w:color w:val="231F20"/>
          <w:spacing w:val="-34"/>
          <w:w w:val="105"/>
        </w:rPr>
        <w:t> </w:t>
      </w:r>
      <w:r>
        <w:rPr>
          <w:color w:val="231F20"/>
          <w:w w:val="105"/>
        </w:rPr>
        <w:t>work. According</w:t>
      </w:r>
      <w:r>
        <w:rPr>
          <w:color w:val="231F20"/>
          <w:spacing w:val="-29"/>
          <w:w w:val="105"/>
        </w:rPr>
        <w:t> </w:t>
      </w:r>
      <w:r>
        <w:rPr>
          <w:color w:val="231F20"/>
          <w:w w:val="105"/>
        </w:rPr>
        <w:t>to</w:t>
      </w:r>
      <w:r>
        <w:rPr>
          <w:color w:val="231F20"/>
          <w:spacing w:val="-29"/>
          <w:w w:val="105"/>
        </w:rPr>
        <w:t> </w:t>
      </w:r>
      <w:r>
        <w:rPr>
          <w:color w:val="231F20"/>
          <w:w w:val="105"/>
        </w:rPr>
        <w:t>Gaytán,</w:t>
      </w:r>
      <w:r>
        <w:rPr>
          <w:color w:val="231F20"/>
          <w:spacing w:val="-33"/>
          <w:w w:val="105"/>
        </w:rPr>
        <w:t> </w:t>
      </w:r>
      <w:r>
        <w:rPr>
          <w:color w:val="231F20"/>
          <w:w w:val="105"/>
        </w:rPr>
        <w:t>Carhill,</w:t>
      </w:r>
      <w:r>
        <w:rPr>
          <w:color w:val="231F20"/>
          <w:spacing w:val="-33"/>
          <w:w w:val="105"/>
        </w:rPr>
        <w:t> </w:t>
      </w:r>
      <w:r>
        <w:rPr>
          <w:color w:val="231F20"/>
          <w:w w:val="105"/>
        </w:rPr>
        <w:t>and</w:t>
      </w:r>
      <w:r>
        <w:rPr>
          <w:color w:val="231F20"/>
          <w:spacing w:val="-29"/>
          <w:w w:val="105"/>
        </w:rPr>
        <w:t> </w:t>
      </w:r>
      <w:r>
        <w:rPr>
          <w:color w:val="231F20"/>
          <w:w w:val="105"/>
        </w:rPr>
        <w:t>Suarez-Orozco</w:t>
      </w:r>
      <w:r>
        <w:rPr>
          <w:color w:val="231F20"/>
          <w:spacing w:val="-29"/>
          <w:w w:val="105"/>
        </w:rPr>
        <w:t> </w:t>
      </w:r>
      <w:r>
        <w:rPr>
          <w:color w:val="231F20"/>
          <w:w w:val="105"/>
        </w:rPr>
        <w:t>(2007),</w:t>
      </w:r>
      <w:r>
        <w:rPr>
          <w:color w:val="231F20"/>
          <w:spacing w:val="-33"/>
          <w:w w:val="105"/>
        </w:rPr>
        <w:t> </w:t>
      </w:r>
      <w:r>
        <w:rPr>
          <w:color w:val="231F20"/>
          <w:w w:val="105"/>
        </w:rPr>
        <w:t>immigrant</w:t>
      </w:r>
      <w:r>
        <w:rPr>
          <w:color w:val="231F20"/>
          <w:spacing w:val="-29"/>
          <w:w w:val="105"/>
        </w:rPr>
        <w:t> </w:t>
      </w:r>
      <w:r>
        <w:rPr>
          <w:color w:val="231F20"/>
          <w:w w:val="105"/>
        </w:rPr>
        <w:t>youth have</w:t>
      </w:r>
      <w:r>
        <w:rPr>
          <w:color w:val="231F20"/>
          <w:spacing w:val="-11"/>
          <w:w w:val="105"/>
        </w:rPr>
        <w:t> </w:t>
      </w:r>
      <w:r>
        <w:rPr>
          <w:color w:val="231F20"/>
          <w:w w:val="105"/>
        </w:rPr>
        <w:t>fewer</w:t>
      </w:r>
      <w:r>
        <w:rPr>
          <w:color w:val="231F20"/>
          <w:spacing w:val="-11"/>
          <w:w w:val="105"/>
        </w:rPr>
        <w:t> </w:t>
      </w:r>
      <w:r>
        <w:rPr>
          <w:color w:val="231F20"/>
          <w:w w:val="105"/>
        </w:rPr>
        <w:t>non-relative</w:t>
      </w:r>
      <w:r>
        <w:rPr>
          <w:color w:val="231F20"/>
          <w:spacing w:val="-11"/>
          <w:w w:val="105"/>
        </w:rPr>
        <w:t> </w:t>
      </w:r>
      <w:r>
        <w:rPr>
          <w:color w:val="231F20"/>
          <w:w w:val="105"/>
        </w:rPr>
        <w:t>adults</w:t>
      </w:r>
      <w:r>
        <w:rPr>
          <w:color w:val="231F20"/>
          <w:spacing w:val="-11"/>
          <w:w w:val="105"/>
        </w:rPr>
        <w:t> </w:t>
      </w:r>
      <w:r>
        <w:rPr>
          <w:color w:val="231F20"/>
          <w:w w:val="105"/>
        </w:rPr>
        <w:t>involved</w:t>
      </w:r>
      <w:r>
        <w:rPr>
          <w:color w:val="231F20"/>
          <w:spacing w:val="-11"/>
          <w:w w:val="105"/>
        </w:rPr>
        <w:t> </w:t>
      </w:r>
      <w:r>
        <w:rPr>
          <w:color w:val="231F20"/>
          <w:w w:val="105"/>
        </w:rPr>
        <w:t>in</w:t>
      </w:r>
      <w:r>
        <w:rPr>
          <w:color w:val="231F20"/>
          <w:spacing w:val="-11"/>
          <w:w w:val="105"/>
        </w:rPr>
        <w:t> </w:t>
      </w:r>
      <w:r>
        <w:rPr>
          <w:color w:val="231F20"/>
          <w:w w:val="105"/>
        </w:rPr>
        <w:t>their</w:t>
      </w:r>
      <w:r>
        <w:rPr>
          <w:color w:val="231F20"/>
          <w:spacing w:val="-11"/>
          <w:w w:val="105"/>
        </w:rPr>
        <w:t> </w:t>
      </w:r>
      <w:r>
        <w:rPr>
          <w:color w:val="231F20"/>
          <w:w w:val="105"/>
        </w:rPr>
        <w:t>lives</w:t>
      </w:r>
      <w:r>
        <w:rPr>
          <w:color w:val="231F20"/>
          <w:spacing w:val="-11"/>
          <w:w w:val="105"/>
        </w:rPr>
        <w:t> </w:t>
      </w:r>
      <w:r>
        <w:rPr>
          <w:color w:val="231F20"/>
          <w:w w:val="105"/>
        </w:rPr>
        <w:t>who</w:t>
      </w:r>
      <w:r>
        <w:rPr>
          <w:color w:val="231F20"/>
          <w:spacing w:val="-11"/>
          <w:w w:val="105"/>
        </w:rPr>
        <w:t> </w:t>
      </w:r>
      <w:r>
        <w:rPr>
          <w:color w:val="231F20"/>
          <w:w w:val="105"/>
        </w:rPr>
        <w:t>are</w:t>
      </w:r>
      <w:r>
        <w:rPr>
          <w:color w:val="231F20"/>
          <w:spacing w:val="-11"/>
          <w:w w:val="105"/>
        </w:rPr>
        <w:t> </w:t>
      </w:r>
      <w:r>
        <w:rPr>
          <w:color w:val="231F20"/>
          <w:w w:val="105"/>
        </w:rPr>
        <w:t>United</w:t>
      </w:r>
      <w:r>
        <w:rPr>
          <w:color w:val="231F20"/>
          <w:spacing w:val="-11"/>
          <w:w w:val="105"/>
        </w:rPr>
        <w:t> </w:t>
      </w:r>
      <w:r>
        <w:rPr>
          <w:color w:val="231F20"/>
          <w:w w:val="105"/>
        </w:rPr>
        <w:t>Sta- tes</w:t>
      </w:r>
      <w:r>
        <w:rPr>
          <w:color w:val="231F20"/>
          <w:spacing w:val="-30"/>
          <w:w w:val="105"/>
        </w:rPr>
        <w:t> </w:t>
      </w:r>
      <w:r>
        <w:rPr>
          <w:color w:val="231F20"/>
          <w:w w:val="105"/>
        </w:rPr>
        <w:t>born</w:t>
      </w:r>
      <w:r>
        <w:rPr>
          <w:color w:val="231F20"/>
          <w:spacing w:val="-30"/>
          <w:w w:val="105"/>
        </w:rPr>
        <w:t> </w:t>
      </w:r>
      <w:r>
        <w:rPr>
          <w:color w:val="231F20"/>
          <w:w w:val="105"/>
        </w:rPr>
        <w:t>or</w:t>
      </w:r>
      <w:r>
        <w:rPr>
          <w:color w:val="231F20"/>
          <w:spacing w:val="-30"/>
          <w:w w:val="105"/>
        </w:rPr>
        <w:t> </w:t>
      </w:r>
      <w:r>
        <w:rPr>
          <w:color w:val="231F20"/>
          <w:w w:val="105"/>
        </w:rPr>
        <w:t>English</w:t>
      </w:r>
      <w:r>
        <w:rPr>
          <w:color w:val="231F20"/>
          <w:spacing w:val="-30"/>
          <w:w w:val="105"/>
        </w:rPr>
        <w:t> </w:t>
      </w:r>
      <w:r>
        <w:rPr>
          <w:color w:val="231F20"/>
          <w:w w:val="105"/>
        </w:rPr>
        <w:t>speakers.</w:t>
      </w:r>
      <w:r>
        <w:rPr>
          <w:color w:val="231F20"/>
          <w:spacing w:val="-33"/>
          <w:w w:val="105"/>
        </w:rPr>
        <w:t> </w:t>
      </w:r>
      <w:r>
        <w:rPr>
          <w:color w:val="231F20"/>
          <w:w w:val="105"/>
        </w:rPr>
        <w:t>Being</w:t>
      </w:r>
      <w:r>
        <w:rPr>
          <w:color w:val="231F20"/>
          <w:spacing w:val="-30"/>
          <w:w w:val="105"/>
        </w:rPr>
        <w:t> </w:t>
      </w:r>
      <w:r>
        <w:rPr>
          <w:color w:val="231F20"/>
          <w:w w:val="105"/>
        </w:rPr>
        <w:t>successful</w:t>
      </w:r>
      <w:r>
        <w:rPr>
          <w:color w:val="231F20"/>
          <w:spacing w:val="-30"/>
          <w:w w:val="105"/>
        </w:rPr>
        <w:t> </w:t>
      </w:r>
      <w:r>
        <w:rPr>
          <w:color w:val="231F20"/>
          <w:w w:val="105"/>
        </w:rPr>
        <w:t>in</w:t>
      </w:r>
      <w:r>
        <w:rPr>
          <w:color w:val="231F20"/>
          <w:spacing w:val="-32"/>
          <w:w w:val="105"/>
        </w:rPr>
        <w:t> </w:t>
      </w:r>
      <w:r>
        <w:rPr>
          <w:color w:val="231F20"/>
          <w:w w:val="105"/>
        </w:rPr>
        <w:t>American</w:t>
      </w:r>
      <w:r>
        <w:rPr>
          <w:color w:val="231F20"/>
          <w:spacing w:val="-30"/>
          <w:w w:val="105"/>
        </w:rPr>
        <w:t> </w:t>
      </w:r>
      <w:r>
        <w:rPr>
          <w:color w:val="231F20"/>
          <w:w w:val="105"/>
        </w:rPr>
        <w:t>schools</w:t>
      </w:r>
      <w:r>
        <w:rPr>
          <w:color w:val="231F20"/>
          <w:spacing w:val="-30"/>
          <w:w w:val="105"/>
        </w:rPr>
        <w:t> </w:t>
      </w:r>
      <w:r>
        <w:rPr>
          <w:color w:val="231F20"/>
          <w:w w:val="105"/>
        </w:rPr>
        <w:t>requi- res immigrant youth to adapt to the mainstream culture by learning the English</w:t>
      </w:r>
      <w:r>
        <w:rPr>
          <w:color w:val="231F20"/>
          <w:spacing w:val="-18"/>
          <w:w w:val="105"/>
        </w:rPr>
        <w:t> </w:t>
      </w:r>
      <w:r>
        <w:rPr>
          <w:color w:val="231F20"/>
          <w:w w:val="105"/>
        </w:rPr>
        <w:t>language</w:t>
      </w:r>
      <w:r>
        <w:rPr>
          <w:color w:val="231F20"/>
          <w:spacing w:val="-18"/>
          <w:w w:val="105"/>
        </w:rPr>
        <w:t> </w:t>
      </w:r>
      <w:r>
        <w:rPr>
          <w:color w:val="231F20"/>
          <w:w w:val="105"/>
        </w:rPr>
        <w:t>and</w:t>
      </w:r>
      <w:r>
        <w:rPr>
          <w:color w:val="231F20"/>
          <w:spacing w:val="-18"/>
          <w:w w:val="105"/>
        </w:rPr>
        <w:t> </w:t>
      </w:r>
      <w:r>
        <w:rPr>
          <w:color w:val="231F20"/>
          <w:w w:val="105"/>
        </w:rPr>
        <w:t>United</w:t>
      </w:r>
      <w:r>
        <w:rPr>
          <w:color w:val="231F20"/>
          <w:spacing w:val="-18"/>
          <w:w w:val="105"/>
        </w:rPr>
        <w:t> </w:t>
      </w:r>
      <w:r>
        <w:rPr>
          <w:color w:val="231F20"/>
          <w:w w:val="105"/>
        </w:rPr>
        <w:t>States</w:t>
      </w:r>
      <w:r>
        <w:rPr>
          <w:color w:val="231F20"/>
          <w:spacing w:val="-18"/>
          <w:w w:val="105"/>
        </w:rPr>
        <w:t> </w:t>
      </w:r>
      <w:r>
        <w:rPr>
          <w:color w:val="231F20"/>
          <w:w w:val="105"/>
        </w:rPr>
        <w:t>customs</w:t>
      </w:r>
      <w:r>
        <w:rPr>
          <w:color w:val="231F20"/>
          <w:spacing w:val="-18"/>
          <w:w w:val="105"/>
        </w:rPr>
        <w:t> </w:t>
      </w:r>
      <w:r>
        <w:rPr>
          <w:color w:val="231F20"/>
          <w:w w:val="105"/>
        </w:rPr>
        <w:t>while</w:t>
      </w:r>
      <w:r>
        <w:rPr>
          <w:color w:val="231F20"/>
          <w:spacing w:val="-18"/>
          <w:w w:val="105"/>
        </w:rPr>
        <w:t> </w:t>
      </w:r>
      <w:r>
        <w:rPr>
          <w:color w:val="231F20"/>
          <w:w w:val="105"/>
        </w:rPr>
        <w:t>navigating</w:t>
      </w:r>
      <w:r>
        <w:rPr>
          <w:color w:val="231F20"/>
          <w:spacing w:val="-18"/>
          <w:w w:val="105"/>
        </w:rPr>
        <w:t> </w:t>
      </w:r>
      <w:r>
        <w:rPr>
          <w:color w:val="231F20"/>
          <w:w w:val="105"/>
        </w:rPr>
        <w:t>a</w:t>
      </w:r>
      <w:r>
        <w:rPr>
          <w:color w:val="231F20"/>
          <w:spacing w:val="-18"/>
          <w:w w:val="105"/>
        </w:rPr>
        <w:t> </w:t>
      </w:r>
      <w:r>
        <w:rPr>
          <w:color w:val="231F20"/>
          <w:w w:val="105"/>
        </w:rPr>
        <w:t>complex educational</w:t>
      </w:r>
      <w:r>
        <w:rPr>
          <w:color w:val="231F20"/>
          <w:spacing w:val="-32"/>
          <w:w w:val="105"/>
        </w:rPr>
        <w:t> </w:t>
      </w:r>
      <w:r>
        <w:rPr>
          <w:color w:val="231F20"/>
          <w:w w:val="105"/>
        </w:rPr>
        <w:t>system</w:t>
      </w:r>
      <w:r>
        <w:rPr>
          <w:color w:val="231F20"/>
          <w:spacing w:val="-32"/>
          <w:w w:val="105"/>
        </w:rPr>
        <w:t> </w:t>
      </w:r>
      <w:r>
        <w:rPr>
          <w:color w:val="231F20"/>
          <w:w w:val="105"/>
        </w:rPr>
        <w:t>(Delpit,</w:t>
      </w:r>
      <w:r>
        <w:rPr>
          <w:color w:val="231F20"/>
          <w:spacing w:val="-36"/>
          <w:w w:val="105"/>
        </w:rPr>
        <w:t> </w:t>
      </w:r>
      <w:r>
        <w:rPr>
          <w:color w:val="231F20"/>
          <w:w w:val="105"/>
        </w:rPr>
        <w:t>1988;</w:t>
      </w:r>
      <w:r>
        <w:rPr>
          <w:color w:val="231F20"/>
          <w:spacing w:val="-32"/>
          <w:w w:val="105"/>
        </w:rPr>
        <w:t> </w:t>
      </w:r>
      <w:r>
        <w:rPr>
          <w:color w:val="231F20"/>
          <w:w w:val="105"/>
        </w:rPr>
        <w:t>Gaytán,</w:t>
      </w:r>
      <w:r>
        <w:rPr>
          <w:color w:val="231F20"/>
          <w:spacing w:val="-36"/>
          <w:w w:val="105"/>
        </w:rPr>
        <w:t> </w:t>
      </w:r>
      <w:r>
        <w:rPr>
          <w:color w:val="231F20"/>
          <w:w w:val="105"/>
        </w:rPr>
        <w:t>2010).</w:t>
      </w:r>
      <w:r>
        <w:rPr>
          <w:color w:val="231F20"/>
          <w:spacing w:val="-36"/>
          <w:w w:val="105"/>
        </w:rPr>
        <w:t> </w:t>
      </w:r>
      <w:r>
        <w:rPr>
          <w:color w:val="231F20"/>
          <w:w w:val="105"/>
        </w:rPr>
        <w:t>Crucial</w:t>
      </w:r>
      <w:r>
        <w:rPr>
          <w:color w:val="231F20"/>
          <w:spacing w:val="-32"/>
          <w:w w:val="105"/>
        </w:rPr>
        <w:t> </w:t>
      </w:r>
      <w:r>
        <w:rPr>
          <w:color w:val="231F20"/>
          <w:w w:val="105"/>
        </w:rPr>
        <w:t>support</w:t>
      </w:r>
      <w:r>
        <w:rPr>
          <w:color w:val="231F20"/>
          <w:spacing w:val="-32"/>
          <w:w w:val="105"/>
        </w:rPr>
        <w:t> </w:t>
      </w:r>
      <w:r>
        <w:rPr>
          <w:color w:val="231F20"/>
          <w:w w:val="105"/>
        </w:rPr>
        <w:t>systems in immigrant youths’ lives may promote resiliency and help counteract the</w:t>
      </w:r>
      <w:r>
        <w:rPr>
          <w:color w:val="231F20"/>
          <w:spacing w:val="-24"/>
          <w:w w:val="105"/>
        </w:rPr>
        <w:t> </w:t>
      </w:r>
      <w:r>
        <w:rPr>
          <w:color w:val="231F20"/>
          <w:w w:val="105"/>
        </w:rPr>
        <w:t>disadvantages</w:t>
      </w:r>
      <w:r>
        <w:rPr>
          <w:color w:val="231F20"/>
          <w:spacing w:val="-24"/>
          <w:w w:val="105"/>
        </w:rPr>
        <w:t> </w:t>
      </w:r>
      <w:r>
        <w:rPr>
          <w:color w:val="231F20"/>
          <w:w w:val="105"/>
        </w:rPr>
        <w:t>they</w:t>
      </w:r>
      <w:r>
        <w:rPr>
          <w:color w:val="231F20"/>
          <w:spacing w:val="-24"/>
          <w:w w:val="105"/>
        </w:rPr>
        <w:t> </w:t>
      </w:r>
      <w:r>
        <w:rPr>
          <w:color w:val="231F20"/>
          <w:w w:val="105"/>
        </w:rPr>
        <w:t>face</w:t>
      </w:r>
      <w:r>
        <w:rPr>
          <w:color w:val="231F20"/>
          <w:spacing w:val="-24"/>
          <w:w w:val="105"/>
        </w:rPr>
        <w:t> </w:t>
      </w:r>
      <w:r>
        <w:rPr>
          <w:color w:val="231F20"/>
          <w:w w:val="105"/>
        </w:rPr>
        <w:t>in</w:t>
      </w:r>
      <w:r>
        <w:rPr>
          <w:color w:val="231F20"/>
          <w:spacing w:val="-27"/>
          <w:w w:val="105"/>
        </w:rPr>
        <w:t> </w:t>
      </w:r>
      <w:r>
        <w:rPr>
          <w:color w:val="231F20"/>
          <w:w w:val="105"/>
        </w:rPr>
        <w:t>American</w:t>
      </w:r>
      <w:r>
        <w:rPr>
          <w:color w:val="231F20"/>
          <w:spacing w:val="-24"/>
          <w:w w:val="105"/>
        </w:rPr>
        <w:t> </w:t>
      </w:r>
      <w:r>
        <w:rPr>
          <w:color w:val="231F20"/>
          <w:w w:val="105"/>
        </w:rPr>
        <w:t>schools.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5200" from="131.551193pt,3.703715pt" to="131.551193pt,39.506114pt" stroked="true" strokeweight=".35pt" strokecolor="#231f20">
            <w10:wrap type="none"/>
          </v:line>
        </w:pict>
      </w:r>
      <w:r>
        <w:rPr/>
        <w:pict>
          <v:line style="position:absolute;mso-position-horizontal-relative:page;mso-position-vertical-relative:paragraph;z-index:-485128" from="15pt,39.505917pt" to="0pt,39.505917pt" stroked="true" strokeweight=".25pt" strokecolor="#000000">
            <w10:wrap type="none"/>
          </v:line>
        </w:pict>
      </w:r>
      <w:r>
        <w:rPr/>
        <w:pict>
          <v:line style="position:absolute;mso-position-horizontal-relative:page;mso-position-vertical-relative:paragraph;z-index:5080" from="508.890015pt,39.505917pt" to="523.890015pt,39.505917pt" stroked="true" strokeweight=".25pt" strokecolor="#000000">
            <w10:wrap type="none"/>
          </v:line>
        </w:pict>
      </w:r>
      <w:r>
        <w:rPr>
          <w:rFonts w:ascii="Arial" w:hAnsi="Arial"/>
          <w:color w:val="414042"/>
          <w:position w:val="-5"/>
          <w:sz w:val="20"/>
        </w:rPr>
        <w:t>52</w:t>
        <w:tab/>
      </w:r>
      <w:r>
        <w:rPr>
          <w:rFonts w:ascii="Calibri" w:hAnsi="Calibri"/>
          <w:color w:val="6D6E71"/>
          <w:sz w:val="15"/>
        </w:rPr>
        <w:t>Harriett Romo, Janeth Martínez y Christina  </w:t>
      </w:r>
      <w:r>
        <w:rPr>
          <w:rFonts w:ascii="Calibri" w:hAnsi="Calibri"/>
          <w:color w:val="6D6E71"/>
          <w:spacing w:val="15"/>
          <w:sz w:val="15"/>
        </w:rPr>
        <w:t> </w:t>
      </w:r>
      <w:r>
        <w:rPr>
          <w:rFonts w:ascii="Calibri" w:hAnsi="Calibri"/>
          <w:color w:val="6D6E71"/>
          <w:sz w:val="15"/>
        </w:rPr>
        <w:t>López-Mobilia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4958" w:right="0" w:firstLine="0"/>
        <w:jc w:val="left"/>
        <w:rPr>
          <w:rFonts w:ascii="Arial"/>
          <w:sz w:val="20"/>
        </w:rPr>
      </w:pPr>
      <w:r>
        <w:rPr/>
        <w:pict>
          <v:line style="position:absolute;mso-position-horizontal-relative:page;mso-position-vertical-relative:paragraph;z-index:-485080" from="405.061005pt,-18.554295pt" to="405.061005pt,16.311579pt" stroked="true" strokeweight=".35pt" strokecolor="#231f20">
            <w10:wrap type="none"/>
          </v:line>
        </w:pict>
      </w:r>
      <w:r>
        <w:rPr/>
        <w:pict>
          <v:line style="position:absolute;mso-position-horizontal-relative:page;mso-position-vertical-relative:paragraph;z-index:5128" from="15pt,-18.554522pt" to="0pt,-18.554522pt" stroked="true" strokeweight=".25pt" strokecolor="#000000">
            <w10:wrap type="none"/>
          </v:line>
        </w:pict>
      </w:r>
      <w:r>
        <w:rPr/>
        <w:pict>
          <v:line style="position:absolute;mso-position-horizontal-relative:page;mso-position-vertical-relative:paragraph;z-index:5152" from="508.890015pt,-18.554522pt" to="523.890015pt,-18.554522pt" stroked="true" strokeweight=".25pt" strokecolor="#000000">
            <w10:wrap type="none"/>
          </v:line>
        </w:pict>
      </w:r>
      <w:r>
        <w:rPr>
          <w:rFonts w:ascii="Lucida Sans Unicode"/>
          <w:color w:val="6D6E71"/>
          <w:w w:val="105"/>
          <w:sz w:val="14"/>
        </w:rPr>
        <w:t>Children</w:t>
      </w:r>
      <w:r>
        <w:rPr>
          <w:rFonts w:ascii="Lucida Sans Unicode"/>
          <w:color w:val="6D6E71"/>
          <w:spacing w:val="-10"/>
          <w:w w:val="105"/>
          <w:sz w:val="14"/>
        </w:rPr>
        <w:t> </w:t>
      </w:r>
      <w:r>
        <w:rPr>
          <w:rFonts w:ascii="Lucida Sans Unicode"/>
          <w:color w:val="6D6E71"/>
          <w:w w:val="105"/>
          <w:sz w:val="14"/>
        </w:rPr>
        <w:t>of</w:t>
      </w:r>
      <w:r>
        <w:rPr>
          <w:rFonts w:ascii="Lucida Sans Unicode"/>
          <w:color w:val="6D6E71"/>
          <w:spacing w:val="-10"/>
          <w:w w:val="105"/>
          <w:sz w:val="14"/>
        </w:rPr>
        <w:t> </w:t>
      </w:r>
      <w:r>
        <w:rPr>
          <w:rFonts w:ascii="Lucida Sans Unicode"/>
          <w:color w:val="6D6E71"/>
          <w:w w:val="105"/>
          <w:sz w:val="14"/>
        </w:rPr>
        <w:t>immigrants</w:t>
      </w:r>
      <w:r>
        <w:rPr>
          <w:rFonts w:ascii="Lucida Sans Unicode"/>
          <w:color w:val="6D6E71"/>
          <w:spacing w:val="-10"/>
          <w:w w:val="105"/>
          <w:sz w:val="14"/>
        </w:rPr>
        <w:t> </w:t>
      </w:r>
      <w:r>
        <w:rPr>
          <w:rFonts w:ascii="Lucida Sans Unicode"/>
          <w:color w:val="6D6E71"/>
          <w:w w:val="105"/>
          <w:sz w:val="14"/>
        </w:rPr>
        <w:t>in</w:t>
      </w:r>
      <w:r>
        <w:rPr>
          <w:rFonts w:ascii="Lucida Sans Unicode"/>
          <w:color w:val="6D6E71"/>
          <w:spacing w:val="-10"/>
          <w:w w:val="105"/>
          <w:sz w:val="14"/>
        </w:rPr>
        <w:t> </w:t>
      </w:r>
      <w:r>
        <w:rPr>
          <w:rFonts w:ascii="Lucida Sans Unicode"/>
          <w:color w:val="6D6E71"/>
          <w:w w:val="105"/>
          <w:sz w:val="14"/>
        </w:rPr>
        <w:t>the</w:t>
      </w:r>
      <w:r>
        <w:rPr>
          <w:rFonts w:ascii="Lucida Sans Unicode"/>
          <w:color w:val="6D6E71"/>
          <w:spacing w:val="-10"/>
          <w:w w:val="105"/>
          <w:sz w:val="14"/>
        </w:rPr>
        <w:t> </w:t>
      </w:r>
      <w:r>
        <w:rPr>
          <w:rFonts w:ascii="Lucida Sans Unicode"/>
          <w:color w:val="6D6E71"/>
          <w:w w:val="105"/>
          <w:sz w:val="14"/>
        </w:rPr>
        <w:t>United</w:t>
      </w:r>
      <w:r>
        <w:rPr>
          <w:rFonts w:ascii="Lucida Sans Unicode"/>
          <w:color w:val="6D6E71"/>
          <w:spacing w:val="-10"/>
          <w:w w:val="105"/>
          <w:sz w:val="14"/>
        </w:rPr>
        <w:t> </w:t>
      </w:r>
      <w:r>
        <w:rPr>
          <w:rFonts w:ascii="Lucida Sans Unicode"/>
          <w:color w:val="6D6E71"/>
          <w:spacing w:val="-3"/>
          <w:w w:val="105"/>
          <w:sz w:val="14"/>
        </w:rPr>
        <w:t>states</w:t>
      </w:r>
      <w:r>
        <w:rPr>
          <w:rFonts w:ascii="Arial"/>
          <w:color w:val="414042"/>
          <w:spacing w:val="-3"/>
          <w:w w:val="105"/>
          <w:position w:val="-3"/>
          <w:sz w:val="20"/>
        </w:rPr>
        <w:tab/>
      </w:r>
      <w:r>
        <w:rPr>
          <w:rFonts w:ascii="Arial"/>
          <w:color w:val="414042"/>
          <w:w w:val="105"/>
          <w:position w:val="-3"/>
          <w:sz w:val="20"/>
        </w:rPr>
        <w:t>53</w:t>
      </w:r>
    </w:p>
    <w:p>
      <w:pPr>
        <w:pStyle w:val="BodyText"/>
        <w:rPr>
          <w:rFonts w:ascii="Arial"/>
          <w:sz w:val="22"/>
        </w:rPr>
      </w:pPr>
    </w:p>
    <w:p>
      <w:pPr>
        <w:pStyle w:val="BodyText"/>
        <w:rPr>
          <w:rFonts w:ascii="Arial"/>
          <w:sz w:val="22"/>
        </w:rPr>
      </w:pPr>
    </w:p>
    <w:p>
      <w:pPr>
        <w:pStyle w:val="Heading3"/>
        <w:spacing w:before="131"/>
      </w:pPr>
      <w:r>
        <w:rPr>
          <w:color w:val="231F20"/>
          <w:w w:val="95"/>
        </w:rPr>
        <w:t>Cultural Strengths and Supports</w:t>
      </w:r>
    </w:p>
    <w:p>
      <w:pPr>
        <w:pStyle w:val="BodyText"/>
        <w:rPr>
          <w:rFonts w:ascii="Arial"/>
          <w:b/>
          <w:sz w:val="22"/>
        </w:rPr>
      </w:pPr>
    </w:p>
    <w:p>
      <w:pPr>
        <w:pStyle w:val="BodyText"/>
        <w:spacing w:line="261" w:lineRule="auto" w:before="163"/>
        <w:ind w:left="1837" w:right="1721"/>
        <w:jc w:val="both"/>
      </w:pPr>
      <w:r>
        <w:rPr>
          <w:color w:val="231F20"/>
          <w:w w:val="105"/>
        </w:rPr>
        <w:t>There is a significant amount of research on the positive aspects of bi- lingualism and the maintenance of cultural identity. These studies em- phasize</w:t>
      </w:r>
      <w:r>
        <w:rPr>
          <w:color w:val="231F20"/>
          <w:spacing w:val="-12"/>
          <w:w w:val="105"/>
        </w:rPr>
        <w:t> </w:t>
      </w:r>
      <w:r>
        <w:rPr>
          <w:color w:val="231F20"/>
          <w:w w:val="105"/>
        </w:rPr>
        <w:t>the</w:t>
      </w:r>
      <w:r>
        <w:rPr>
          <w:color w:val="231F20"/>
          <w:spacing w:val="-12"/>
          <w:w w:val="105"/>
        </w:rPr>
        <w:t> </w:t>
      </w:r>
      <w:r>
        <w:rPr>
          <w:color w:val="231F20"/>
          <w:w w:val="105"/>
        </w:rPr>
        <w:t>cultural</w:t>
      </w:r>
      <w:r>
        <w:rPr>
          <w:color w:val="231F20"/>
          <w:spacing w:val="-12"/>
          <w:w w:val="105"/>
        </w:rPr>
        <w:t> </w:t>
      </w:r>
      <w:r>
        <w:rPr>
          <w:color w:val="231F20"/>
          <w:w w:val="105"/>
        </w:rPr>
        <w:t>strengths</w:t>
      </w:r>
      <w:r>
        <w:rPr>
          <w:color w:val="231F20"/>
          <w:spacing w:val="-12"/>
          <w:w w:val="105"/>
        </w:rPr>
        <w:t> </w:t>
      </w:r>
      <w:r>
        <w:rPr>
          <w:color w:val="231F20"/>
          <w:w w:val="105"/>
        </w:rPr>
        <w:t>of</w:t>
      </w:r>
      <w:r>
        <w:rPr>
          <w:color w:val="231F20"/>
          <w:spacing w:val="-7"/>
          <w:w w:val="105"/>
        </w:rPr>
        <w:t> </w:t>
      </w:r>
      <w:r>
        <w:rPr>
          <w:color w:val="231F20"/>
          <w:w w:val="105"/>
        </w:rPr>
        <w:t>Hispanic</w:t>
      </w:r>
      <w:r>
        <w:rPr>
          <w:color w:val="231F20"/>
          <w:spacing w:val="-12"/>
          <w:w w:val="105"/>
        </w:rPr>
        <w:t> </w:t>
      </w:r>
      <w:r>
        <w:rPr>
          <w:color w:val="231F20"/>
          <w:w w:val="105"/>
        </w:rPr>
        <w:t>origin</w:t>
      </w:r>
      <w:r>
        <w:rPr>
          <w:color w:val="231F20"/>
          <w:spacing w:val="-12"/>
          <w:w w:val="105"/>
        </w:rPr>
        <w:t> </w:t>
      </w:r>
      <w:r>
        <w:rPr>
          <w:color w:val="231F20"/>
          <w:w w:val="105"/>
        </w:rPr>
        <w:t>families</w:t>
      </w:r>
      <w:r>
        <w:rPr>
          <w:color w:val="231F20"/>
          <w:spacing w:val="-12"/>
          <w:w w:val="105"/>
        </w:rPr>
        <w:t> </w:t>
      </w:r>
      <w:r>
        <w:rPr>
          <w:color w:val="231F20"/>
          <w:w w:val="105"/>
        </w:rPr>
        <w:t>and</w:t>
      </w:r>
      <w:r>
        <w:rPr>
          <w:color w:val="231F20"/>
          <w:spacing w:val="-12"/>
          <w:w w:val="105"/>
        </w:rPr>
        <w:t> </w:t>
      </w:r>
      <w:r>
        <w:rPr>
          <w:color w:val="231F20"/>
          <w:w w:val="105"/>
        </w:rPr>
        <w:t>the</w:t>
      </w:r>
      <w:r>
        <w:rPr>
          <w:color w:val="231F20"/>
          <w:spacing w:val="-12"/>
          <w:w w:val="105"/>
        </w:rPr>
        <w:t> </w:t>
      </w:r>
      <w:r>
        <w:rPr>
          <w:color w:val="231F20"/>
          <w:w w:val="105"/>
        </w:rPr>
        <w:t>positive effects strong cultural ties can have on the children of immigrants. Cu- rrent</w:t>
      </w:r>
      <w:r>
        <w:rPr>
          <w:color w:val="231F20"/>
          <w:spacing w:val="-6"/>
          <w:w w:val="105"/>
        </w:rPr>
        <w:t> </w:t>
      </w:r>
      <w:r>
        <w:rPr>
          <w:color w:val="231F20"/>
          <w:w w:val="105"/>
        </w:rPr>
        <w:t>research</w:t>
      </w:r>
      <w:r>
        <w:rPr>
          <w:color w:val="231F20"/>
          <w:spacing w:val="-6"/>
          <w:w w:val="105"/>
        </w:rPr>
        <w:t> </w:t>
      </w:r>
      <w:r>
        <w:rPr>
          <w:color w:val="231F20"/>
          <w:w w:val="105"/>
        </w:rPr>
        <w:t>shows</w:t>
      </w:r>
      <w:r>
        <w:rPr>
          <w:color w:val="231F20"/>
          <w:spacing w:val="-6"/>
          <w:w w:val="105"/>
        </w:rPr>
        <w:t> </w:t>
      </w:r>
      <w:r>
        <w:rPr>
          <w:color w:val="231F20"/>
          <w:w w:val="105"/>
        </w:rPr>
        <w:t>that</w:t>
      </w:r>
      <w:r>
        <w:rPr>
          <w:color w:val="231F20"/>
          <w:spacing w:val="-6"/>
          <w:w w:val="105"/>
        </w:rPr>
        <w:t> </w:t>
      </w:r>
      <w:r>
        <w:rPr>
          <w:color w:val="231F20"/>
          <w:w w:val="105"/>
        </w:rPr>
        <w:t>school-age</w:t>
      </w:r>
      <w:r>
        <w:rPr>
          <w:color w:val="231F20"/>
          <w:spacing w:val="-6"/>
          <w:w w:val="105"/>
        </w:rPr>
        <w:t> </w:t>
      </w:r>
      <w:r>
        <w:rPr>
          <w:color w:val="231F20"/>
          <w:w w:val="105"/>
        </w:rPr>
        <w:t>Latino</w:t>
      </w:r>
      <w:r>
        <w:rPr>
          <w:color w:val="231F20"/>
          <w:spacing w:val="-6"/>
          <w:w w:val="105"/>
        </w:rPr>
        <w:t> </w:t>
      </w:r>
      <w:r>
        <w:rPr>
          <w:color w:val="231F20"/>
          <w:w w:val="105"/>
        </w:rPr>
        <w:t>immigrants</w:t>
      </w:r>
      <w:r>
        <w:rPr>
          <w:color w:val="231F20"/>
          <w:spacing w:val="-6"/>
          <w:w w:val="105"/>
        </w:rPr>
        <w:t> </w:t>
      </w:r>
      <w:r>
        <w:rPr>
          <w:color w:val="231F20"/>
          <w:w w:val="105"/>
        </w:rPr>
        <w:t>tend</w:t>
      </w:r>
      <w:r>
        <w:rPr>
          <w:color w:val="231F20"/>
          <w:spacing w:val="-6"/>
          <w:w w:val="105"/>
        </w:rPr>
        <w:t> </w:t>
      </w:r>
      <w:r>
        <w:rPr>
          <w:color w:val="231F20"/>
          <w:w w:val="105"/>
        </w:rPr>
        <w:t>to</w:t>
      </w:r>
      <w:r>
        <w:rPr>
          <w:color w:val="231F20"/>
          <w:spacing w:val="-6"/>
          <w:w w:val="105"/>
        </w:rPr>
        <w:t> </w:t>
      </w:r>
      <w:r>
        <w:rPr>
          <w:color w:val="231F20"/>
          <w:w w:val="105"/>
        </w:rPr>
        <w:t>fare</w:t>
      </w:r>
      <w:r>
        <w:rPr>
          <w:color w:val="231F20"/>
          <w:spacing w:val="-6"/>
          <w:w w:val="105"/>
        </w:rPr>
        <w:t> </w:t>
      </w:r>
      <w:r>
        <w:rPr>
          <w:color w:val="231F20"/>
          <w:w w:val="105"/>
        </w:rPr>
        <w:t>be- tter than their second and third generation counterparts possibly due to the</w:t>
      </w:r>
      <w:r>
        <w:rPr>
          <w:color w:val="231F20"/>
          <w:spacing w:val="-5"/>
          <w:w w:val="105"/>
        </w:rPr>
        <w:t> </w:t>
      </w:r>
      <w:r>
        <w:rPr>
          <w:color w:val="231F20"/>
          <w:w w:val="105"/>
        </w:rPr>
        <w:t>protective</w:t>
      </w:r>
      <w:r>
        <w:rPr>
          <w:color w:val="231F20"/>
          <w:spacing w:val="-5"/>
          <w:w w:val="105"/>
        </w:rPr>
        <w:t> </w:t>
      </w:r>
      <w:r>
        <w:rPr>
          <w:color w:val="231F20"/>
          <w:w w:val="105"/>
        </w:rPr>
        <w:t>benefits</w:t>
      </w:r>
      <w:r>
        <w:rPr>
          <w:color w:val="231F20"/>
          <w:spacing w:val="-5"/>
          <w:w w:val="105"/>
        </w:rPr>
        <w:t> </w:t>
      </w:r>
      <w:r>
        <w:rPr>
          <w:color w:val="231F20"/>
          <w:w w:val="105"/>
        </w:rPr>
        <w:t>of</w:t>
      </w:r>
      <w:r>
        <w:rPr>
          <w:color w:val="231F20"/>
          <w:spacing w:val="-1"/>
          <w:w w:val="105"/>
        </w:rPr>
        <w:t> </w:t>
      </w:r>
      <w:r>
        <w:rPr>
          <w:color w:val="231F20"/>
          <w:w w:val="105"/>
        </w:rPr>
        <w:t>Hispanic</w:t>
      </w:r>
      <w:r>
        <w:rPr>
          <w:color w:val="231F20"/>
          <w:spacing w:val="-5"/>
          <w:w w:val="105"/>
        </w:rPr>
        <w:t> </w:t>
      </w:r>
      <w:r>
        <w:rPr>
          <w:color w:val="231F20"/>
          <w:w w:val="105"/>
        </w:rPr>
        <w:t>cultural</w:t>
      </w:r>
      <w:r>
        <w:rPr>
          <w:color w:val="231F20"/>
          <w:spacing w:val="-5"/>
          <w:w w:val="105"/>
        </w:rPr>
        <w:t> </w:t>
      </w:r>
      <w:r>
        <w:rPr>
          <w:color w:val="231F20"/>
          <w:w w:val="105"/>
        </w:rPr>
        <w:t>values</w:t>
      </w:r>
      <w:r>
        <w:rPr>
          <w:color w:val="231F20"/>
          <w:spacing w:val="-5"/>
          <w:w w:val="105"/>
        </w:rPr>
        <w:t> </w:t>
      </w:r>
      <w:r>
        <w:rPr>
          <w:color w:val="231F20"/>
          <w:w w:val="105"/>
        </w:rPr>
        <w:t>and</w:t>
      </w:r>
      <w:r>
        <w:rPr>
          <w:color w:val="231F20"/>
          <w:spacing w:val="-5"/>
          <w:w w:val="105"/>
        </w:rPr>
        <w:t> </w:t>
      </w:r>
      <w:r>
        <w:rPr>
          <w:color w:val="231F20"/>
          <w:w w:val="105"/>
        </w:rPr>
        <w:t>norms</w:t>
      </w:r>
      <w:r>
        <w:rPr>
          <w:color w:val="231F20"/>
          <w:spacing w:val="-5"/>
          <w:w w:val="105"/>
        </w:rPr>
        <w:t> </w:t>
      </w:r>
      <w:r>
        <w:rPr>
          <w:color w:val="231F20"/>
          <w:w w:val="105"/>
        </w:rPr>
        <w:t>in</w:t>
      </w:r>
      <w:r>
        <w:rPr>
          <w:color w:val="231F20"/>
          <w:spacing w:val="-5"/>
          <w:w w:val="105"/>
        </w:rPr>
        <w:t> </w:t>
      </w:r>
      <w:r>
        <w:rPr>
          <w:color w:val="231F20"/>
          <w:w w:val="105"/>
        </w:rPr>
        <w:t>their</w:t>
      </w:r>
      <w:r>
        <w:rPr>
          <w:color w:val="231F20"/>
          <w:spacing w:val="-5"/>
          <w:w w:val="105"/>
        </w:rPr>
        <w:t> </w:t>
      </w:r>
      <w:r>
        <w:rPr>
          <w:color w:val="231F20"/>
          <w:w w:val="105"/>
        </w:rPr>
        <w:t>im- migrant</w:t>
      </w:r>
      <w:r>
        <w:rPr>
          <w:color w:val="231F20"/>
          <w:spacing w:val="-37"/>
          <w:w w:val="105"/>
        </w:rPr>
        <w:t> </w:t>
      </w:r>
      <w:r>
        <w:rPr>
          <w:color w:val="231F20"/>
          <w:w w:val="105"/>
        </w:rPr>
        <w:t>families</w:t>
      </w:r>
      <w:r>
        <w:rPr>
          <w:color w:val="231F20"/>
          <w:spacing w:val="-37"/>
          <w:w w:val="105"/>
        </w:rPr>
        <w:t> </w:t>
      </w:r>
      <w:r>
        <w:rPr>
          <w:color w:val="231F20"/>
          <w:w w:val="105"/>
        </w:rPr>
        <w:t>(Harker,</w:t>
      </w:r>
      <w:r>
        <w:rPr>
          <w:color w:val="231F20"/>
          <w:spacing w:val="-40"/>
          <w:w w:val="105"/>
        </w:rPr>
        <w:t> </w:t>
      </w:r>
      <w:r>
        <w:rPr>
          <w:color w:val="231F20"/>
          <w:w w:val="105"/>
        </w:rPr>
        <w:t>2001;</w:t>
      </w:r>
      <w:r>
        <w:rPr>
          <w:color w:val="231F20"/>
          <w:spacing w:val="-37"/>
          <w:w w:val="105"/>
        </w:rPr>
        <w:t> </w:t>
      </w:r>
      <w:r>
        <w:rPr>
          <w:color w:val="231F20"/>
          <w:w w:val="105"/>
        </w:rPr>
        <w:t>De</w:t>
      </w:r>
      <w:r>
        <w:rPr>
          <w:color w:val="231F20"/>
          <w:spacing w:val="-37"/>
          <w:w w:val="105"/>
        </w:rPr>
        <w:t> </w:t>
      </w:r>
      <w:r>
        <w:rPr>
          <w:color w:val="231F20"/>
          <w:w w:val="105"/>
        </w:rPr>
        <w:t>Carlo</w:t>
      </w:r>
      <w:r>
        <w:rPr>
          <w:color w:val="231F20"/>
          <w:spacing w:val="-37"/>
          <w:w w:val="105"/>
        </w:rPr>
        <w:t> </w:t>
      </w:r>
      <w:r>
        <w:rPr>
          <w:rFonts w:ascii="Arial"/>
          <w:i/>
          <w:color w:val="231F20"/>
          <w:w w:val="105"/>
        </w:rPr>
        <w:t>et</w:t>
      </w:r>
      <w:r>
        <w:rPr>
          <w:rFonts w:ascii="Arial"/>
          <w:i/>
          <w:color w:val="231F20"/>
          <w:spacing w:val="-39"/>
          <w:w w:val="105"/>
        </w:rPr>
        <w:t> </w:t>
      </w:r>
      <w:r>
        <w:rPr>
          <w:rFonts w:ascii="Arial"/>
          <w:i/>
          <w:color w:val="231F20"/>
          <w:w w:val="105"/>
        </w:rPr>
        <w:t>al.</w:t>
      </w:r>
      <w:r>
        <w:rPr>
          <w:color w:val="231F20"/>
          <w:w w:val="105"/>
        </w:rPr>
        <w:t>,</w:t>
      </w:r>
      <w:r>
        <w:rPr>
          <w:color w:val="231F20"/>
          <w:spacing w:val="-40"/>
          <w:w w:val="105"/>
        </w:rPr>
        <w:t> </w:t>
      </w:r>
      <w:r>
        <w:rPr>
          <w:color w:val="231F20"/>
          <w:w w:val="105"/>
        </w:rPr>
        <w:t>2014).</w:t>
      </w:r>
      <w:r>
        <w:rPr>
          <w:color w:val="231F20"/>
          <w:spacing w:val="-40"/>
          <w:w w:val="105"/>
        </w:rPr>
        <w:t> </w:t>
      </w:r>
      <w:r>
        <w:rPr>
          <w:color w:val="231F20"/>
          <w:w w:val="105"/>
        </w:rPr>
        <w:t>Research</w:t>
      </w:r>
      <w:r>
        <w:rPr>
          <w:color w:val="231F20"/>
          <w:spacing w:val="-37"/>
          <w:w w:val="105"/>
        </w:rPr>
        <w:t> </w:t>
      </w:r>
      <w:r>
        <w:rPr>
          <w:color w:val="231F20"/>
          <w:w w:val="105"/>
        </w:rPr>
        <w:t>evaluating the potential risks and protective influences on academic achievement among Latino immigrants and United States-born Latino middle school students</w:t>
      </w:r>
      <w:r>
        <w:rPr>
          <w:color w:val="231F20"/>
          <w:spacing w:val="-6"/>
          <w:w w:val="105"/>
        </w:rPr>
        <w:t> </w:t>
      </w:r>
      <w:r>
        <w:rPr>
          <w:color w:val="231F20"/>
          <w:w w:val="105"/>
        </w:rPr>
        <w:t>has</w:t>
      </w:r>
      <w:r>
        <w:rPr>
          <w:color w:val="231F20"/>
          <w:spacing w:val="-6"/>
          <w:w w:val="105"/>
        </w:rPr>
        <w:t> </w:t>
      </w:r>
      <w:r>
        <w:rPr>
          <w:color w:val="231F20"/>
          <w:w w:val="105"/>
        </w:rPr>
        <w:t>provided</w:t>
      </w:r>
      <w:r>
        <w:rPr>
          <w:color w:val="231F20"/>
          <w:spacing w:val="-6"/>
          <w:w w:val="105"/>
        </w:rPr>
        <w:t> </w:t>
      </w:r>
      <w:r>
        <w:rPr>
          <w:color w:val="231F20"/>
          <w:w w:val="105"/>
        </w:rPr>
        <w:t>significant</w:t>
      </w:r>
      <w:r>
        <w:rPr>
          <w:color w:val="231F20"/>
          <w:spacing w:val="-6"/>
          <w:w w:val="105"/>
        </w:rPr>
        <w:t> </w:t>
      </w:r>
      <w:r>
        <w:rPr>
          <w:color w:val="231F20"/>
          <w:w w:val="105"/>
        </w:rPr>
        <w:t>insight</w:t>
      </w:r>
      <w:r>
        <w:rPr>
          <w:color w:val="231F20"/>
          <w:spacing w:val="-6"/>
          <w:w w:val="105"/>
        </w:rPr>
        <w:t> </w:t>
      </w:r>
      <w:r>
        <w:rPr>
          <w:color w:val="231F20"/>
          <w:w w:val="105"/>
        </w:rPr>
        <w:t>into</w:t>
      </w:r>
      <w:r>
        <w:rPr>
          <w:color w:val="231F20"/>
          <w:spacing w:val="-6"/>
          <w:w w:val="105"/>
        </w:rPr>
        <w:t> </w:t>
      </w:r>
      <w:r>
        <w:rPr>
          <w:color w:val="231F20"/>
          <w:w w:val="105"/>
        </w:rPr>
        <w:t>the</w:t>
      </w:r>
      <w:r>
        <w:rPr>
          <w:color w:val="231F20"/>
          <w:spacing w:val="-6"/>
          <w:w w:val="105"/>
        </w:rPr>
        <w:t> </w:t>
      </w:r>
      <w:r>
        <w:rPr>
          <w:color w:val="231F20"/>
          <w:w w:val="105"/>
        </w:rPr>
        <w:t>sociological</w:t>
      </w:r>
      <w:r>
        <w:rPr>
          <w:color w:val="231F20"/>
          <w:spacing w:val="-6"/>
          <w:w w:val="105"/>
        </w:rPr>
        <w:t> </w:t>
      </w:r>
      <w:r>
        <w:rPr>
          <w:color w:val="231F20"/>
          <w:w w:val="105"/>
        </w:rPr>
        <w:t>process</w:t>
      </w:r>
      <w:r>
        <w:rPr>
          <w:color w:val="231F20"/>
          <w:spacing w:val="-6"/>
          <w:w w:val="105"/>
        </w:rPr>
        <w:t> </w:t>
      </w:r>
      <w:r>
        <w:rPr>
          <w:color w:val="231F20"/>
          <w:w w:val="105"/>
        </w:rPr>
        <w:t>of educational</w:t>
      </w:r>
      <w:r>
        <w:rPr>
          <w:color w:val="231F20"/>
          <w:spacing w:val="-25"/>
          <w:w w:val="105"/>
        </w:rPr>
        <w:t> </w:t>
      </w:r>
      <w:r>
        <w:rPr>
          <w:color w:val="231F20"/>
          <w:w w:val="105"/>
        </w:rPr>
        <w:t>success</w:t>
      </w:r>
      <w:r>
        <w:rPr>
          <w:color w:val="231F20"/>
          <w:spacing w:val="-25"/>
          <w:w w:val="105"/>
        </w:rPr>
        <w:t> </w:t>
      </w:r>
      <w:r>
        <w:rPr>
          <w:color w:val="231F20"/>
          <w:w w:val="105"/>
        </w:rPr>
        <w:t>of</w:t>
      </w:r>
      <w:r>
        <w:rPr>
          <w:color w:val="231F20"/>
          <w:spacing w:val="-22"/>
          <w:w w:val="105"/>
        </w:rPr>
        <w:t> </w:t>
      </w:r>
      <w:r>
        <w:rPr>
          <w:color w:val="231F20"/>
          <w:w w:val="105"/>
        </w:rPr>
        <w:t>these</w:t>
      </w:r>
      <w:r>
        <w:rPr>
          <w:color w:val="231F20"/>
          <w:spacing w:val="-25"/>
          <w:w w:val="105"/>
        </w:rPr>
        <w:t> </w:t>
      </w:r>
      <w:r>
        <w:rPr>
          <w:color w:val="231F20"/>
          <w:w w:val="105"/>
        </w:rPr>
        <w:t>students</w:t>
      </w:r>
      <w:r>
        <w:rPr>
          <w:color w:val="231F20"/>
          <w:spacing w:val="-25"/>
          <w:w w:val="105"/>
        </w:rPr>
        <w:t> </w:t>
      </w:r>
      <w:r>
        <w:rPr>
          <w:color w:val="231F20"/>
          <w:w w:val="105"/>
        </w:rPr>
        <w:t>(De</w:t>
      </w:r>
      <w:r>
        <w:rPr>
          <w:color w:val="231F20"/>
          <w:spacing w:val="-25"/>
          <w:w w:val="105"/>
        </w:rPr>
        <w:t> </w:t>
      </w:r>
      <w:r>
        <w:rPr>
          <w:color w:val="231F20"/>
          <w:w w:val="105"/>
        </w:rPr>
        <w:t>Carlo</w:t>
      </w:r>
      <w:r>
        <w:rPr>
          <w:color w:val="231F20"/>
          <w:spacing w:val="-25"/>
          <w:w w:val="105"/>
        </w:rPr>
        <w:t> </w:t>
      </w:r>
      <w:r>
        <w:rPr>
          <w:rFonts w:ascii="Arial"/>
          <w:i/>
          <w:color w:val="231F20"/>
          <w:w w:val="105"/>
        </w:rPr>
        <w:t>et</w:t>
      </w:r>
      <w:r>
        <w:rPr>
          <w:rFonts w:ascii="Arial"/>
          <w:i/>
          <w:color w:val="231F20"/>
          <w:spacing w:val="-28"/>
          <w:w w:val="105"/>
        </w:rPr>
        <w:t> </w:t>
      </w:r>
      <w:r>
        <w:rPr>
          <w:rFonts w:ascii="Arial"/>
          <w:i/>
          <w:color w:val="231F20"/>
          <w:w w:val="105"/>
        </w:rPr>
        <w:t>al</w:t>
      </w:r>
      <w:r>
        <w:rPr>
          <w:color w:val="231F20"/>
          <w:w w:val="105"/>
        </w:rPr>
        <w:t>.,</w:t>
      </w:r>
      <w:r>
        <w:rPr>
          <w:color w:val="231F20"/>
          <w:spacing w:val="-29"/>
          <w:w w:val="105"/>
        </w:rPr>
        <w:t> </w:t>
      </w:r>
      <w:r>
        <w:rPr>
          <w:color w:val="231F20"/>
          <w:w w:val="105"/>
        </w:rPr>
        <w:t>2014).</w:t>
      </w:r>
    </w:p>
    <w:p>
      <w:pPr>
        <w:pStyle w:val="BodyText"/>
        <w:spacing w:line="261" w:lineRule="auto"/>
        <w:ind w:left="1837" w:right="1714" w:firstLine="567"/>
        <w:jc w:val="both"/>
      </w:pPr>
      <w:r>
        <w:rPr>
          <w:color w:val="231F20"/>
          <w:w w:val="105"/>
        </w:rPr>
        <w:t>An identified barrier to academic success for Latino youth may</w:t>
      </w:r>
      <w:r>
        <w:rPr>
          <w:color w:val="231F20"/>
          <w:spacing w:val="-18"/>
          <w:w w:val="105"/>
        </w:rPr>
        <w:t> </w:t>
      </w:r>
      <w:r>
        <w:rPr>
          <w:color w:val="231F20"/>
          <w:w w:val="105"/>
        </w:rPr>
        <w:t>be acculturation</w:t>
      </w:r>
      <w:r>
        <w:rPr>
          <w:color w:val="231F20"/>
          <w:spacing w:val="-14"/>
          <w:w w:val="105"/>
        </w:rPr>
        <w:t> </w:t>
      </w:r>
      <w:r>
        <w:rPr>
          <w:color w:val="231F20"/>
          <w:w w:val="105"/>
        </w:rPr>
        <w:t>stress.</w:t>
      </w:r>
      <w:r>
        <w:rPr>
          <w:color w:val="231F20"/>
          <w:spacing w:val="-21"/>
          <w:w w:val="105"/>
        </w:rPr>
        <w:t> </w:t>
      </w:r>
      <w:r>
        <w:rPr>
          <w:color w:val="231F20"/>
          <w:w w:val="105"/>
        </w:rPr>
        <w:t>Acculturation</w:t>
      </w:r>
      <w:r>
        <w:rPr>
          <w:color w:val="231F20"/>
          <w:spacing w:val="-14"/>
          <w:w w:val="105"/>
        </w:rPr>
        <w:t> </w:t>
      </w:r>
      <w:r>
        <w:rPr>
          <w:color w:val="231F20"/>
          <w:w w:val="105"/>
        </w:rPr>
        <w:t>stress</w:t>
      </w:r>
      <w:r>
        <w:rPr>
          <w:color w:val="231F20"/>
          <w:spacing w:val="-14"/>
          <w:w w:val="105"/>
        </w:rPr>
        <w:t> </w:t>
      </w:r>
      <w:r>
        <w:rPr>
          <w:color w:val="231F20"/>
          <w:w w:val="105"/>
        </w:rPr>
        <w:t>is</w:t>
      </w:r>
      <w:r>
        <w:rPr>
          <w:color w:val="231F20"/>
          <w:spacing w:val="-14"/>
          <w:w w:val="105"/>
        </w:rPr>
        <w:t> </w:t>
      </w:r>
      <w:r>
        <w:rPr>
          <w:color w:val="231F20"/>
          <w:w w:val="105"/>
        </w:rPr>
        <w:t>related</w:t>
      </w:r>
      <w:r>
        <w:rPr>
          <w:color w:val="231F20"/>
          <w:spacing w:val="-14"/>
          <w:w w:val="105"/>
        </w:rPr>
        <w:t> </w:t>
      </w:r>
      <w:r>
        <w:rPr>
          <w:color w:val="231F20"/>
          <w:w w:val="105"/>
        </w:rPr>
        <w:t>to</w:t>
      </w:r>
      <w:r>
        <w:rPr>
          <w:color w:val="231F20"/>
          <w:spacing w:val="-14"/>
          <w:w w:val="105"/>
        </w:rPr>
        <w:t> </w:t>
      </w:r>
      <w:r>
        <w:rPr>
          <w:color w:val="231F20"/>
          <w:w w:val="105"/>
        </w:rPr>
        <w:t>misaligned</w:t>
      </w:r>
      <w:r>
        <w:rPr>
          <w:color w:val="231F20"/>
          <w:spacing w:val="-14"/>
          <w:w w:val="105"/>
        </w:rPr>
        <w:t> </w:t>
      </w:r>
      <w:r>
        <w:rPr>
          <w:color w:val="231F20"/>
          <w:w w:val="105"/>
        </w:rPr>
        <w:t>cultural values and practices that contradict family traditions and promote lan- guage difficulties and discrimination which can interfere with academic success (Masten and Curtis, 2000; Crockett </w:t>
      </w:r>
      <w:r>
        <w:rPr>
          <w:rFonts w:ascii="Arial" w:hAnsi="Arial"/>
          <w:i/>
          <w:color w:val="231F20"/>
          <w:w w:val="105"/>
        </w:rPr>
        <w:t>et al</w:t>
      </w:r>
      <w:r>
        <w:rPr>
          <w:color w:val="231F20"/>
          <w:w w:val="105"/>
        </w:rPr>
        <w:t>., 2007; Zychinski and </w:t>
      </w:r>
      <w:r>
        <w:rPr>
          <w:color w:val="231F20"/>
          <w:spacing w:val="-4"/>
          <w:w w:val="105"/>
        </w:rPr>
        <w:t>Polo,</w:t>
      </w:r>
      <w:r>
        <w:rPr>
          <w:color w:val="231F20"/>
          <w:spacing w:val="-32"/>
          <w:w w:val="105"/>
        </w:rPr>
        <w:t> </w:t>
      </w:r>
      <w:r>
        <w:rPr>
          <w:color w:val="231F20"/>
          <w:w w:val="105"/>
        </w:rPr>
        <w:t>2012,</w:t>
      </w:r>
      <w:r>
        <w:rPr>
          <w:color w:val="231F20"/>
          <w:spacing w:val="-32"/>
          <w:w w:val="105"/>
        </w:rPr>
        <w:t> </w:t>
      </w:r>
      <w:r>
        <w:rPr>
          <w:color w:val="231F20"/>
          <w:w w:val="105"/>
        </w:rPr>
        <w:t>De</w:t>
      </w:r>
      <w:r>
        <w:rPr>
          <w:color w:val="231F20"/>
          <w:spacing w:val="-27"/>
          <w:w w:val="105"/>
        </w:rPr>
        <w:t> </w:t>
      </w:r>
      <w:r>
        <w:rPr>
          <w:color w:val="231F20"/>
          <w:w w:val="105"/>
        </w:rPr>
        <w:t>Carlo</w:t>
      </w:r>
      <w:r>
        <w:rPr>
          <w:color w:val="231F20"/>
          <w:spacing w:val="-27"/>
          <w:w w:val="105"/>
        </w:rPr>
        <w:t> </w:t>
      </w:r>
      <w:r>
        <w:rPr>
          <w:rFonts w:ascii="Arial" w:hAnsi="Arial"/>
          <w:i/>
          <w:color w:val="231F20"/>
          <w:w w:val="105"/>
        </w:rPr>
        <w:t>et</w:t>
      </w:r>
      <w:r>
        <w:rPr>
          <w:rFonts w:ascii="Arial" w:hAnsi="Arial"/>
          <w:i/>
          <w:color w:val="231F20"/>
          <w:spacing w:val="-30"/>
          <w:w w:val="105"/>
        </w:rPr>
        <w:t> </w:t>
      </w:r>
      <w:r>
        <w:rPr>
          <w:rFonts w:ascii="Arial" w:hAnsi="Arial"/>
          <w:i/>
          <w:color w:val="231F20"/>
          <w:w w:val="105"/>
        </w:rPr>
        <w:t>al</w:t>
      </w:r>
      <w:r>
        <w:rPr>
          <w:color w:val="231F20"/>
          <w:w w:val="105"/>
        </w:rPr>
        <w:t>.,</w:t>
      </w:r>
      <w:r>
        <w:rPr>
          <w:color w:val="231F20"/>
          <w:spacing w:val="-32"/>
          <w:w w:val="105"/>
        </w:rPr>
        <w:t> </w:t>
      </w:r>
      <w:r>
        <w:rPr>
          <w:color w:val="231F20"/>
          <w:w w:val="105"/>
        </w:rPr>
        <w:t>2014).</w:t>
      </w:r>
      <w:r>
        <w:rPr>
          <w:color w:val="231F20"/>
          <w:spacing w:val="-32"/>
          <w:w w:val="105"/>
        </w:rPr>
        <w:t> </w:t>
      </w:r>
      <w:r>
        <w:rPr>
          <w:color w:val="231F20"/>
          <w:w w:val="105"/>
        </w:rPr>
        <w:t>Research</w:t>
      </w:r>
      <w:r>
        <w:rPr>
          <w:color w:val="231F20"/>
          <w:spacing w:val="-27"/>
          <w:w w:val="105"/>
        </w:rPr>
        <w:t> </w:t>
      </w:r>
      <w:r>
        <w:rPr>
          <w:color w:val="231F20"/>
          <w:w w:val="105"/>
        </w:rPr>
        <w:t>suggests</w:t>
      </w:r>
      <w:r>
        <w:rPr>
          <w:color w:val="231F20"/>
          <w:spacing w:val="-27"/>
          <w:w w:val="105"/>
        </w:rPr>
        <w:t> </w:t>
      </w:r>
      <w:r>
        <w:rPr>
          <w:color w:val="231F20"/>
          <w:w w:val="105"/>
        </w:rPr>
        <w:t>that</w:t>
      </w:r>
      <w:r>
        <w:rPr>
          <w:color w:val="231F20"/>
          <w:spacing w:val="-27"/>
          <w:w w:val="105"/>
        </w:rPr>
        <w:t> </w:t>
      </w:r>
      <w:r>
        <w:rPr>
          <w:color w:val="231F20"/>
          <w:w w:val="105"/>
        </w:rPr>
        <w:t>the</w:t>
      </w:r>
      <w:r>
        <w:rPr>
          <w:color w:val="231F20"/>
          <w:spacing w:val="-27"/>
          <w:w w:val="105"/>
        </w:rPr>
        <w:t> </w:t>
      </w:r>
      <w:r>
        <w:rPr>
          <w:color w:val="231F20"/>
          <w:w w:val="105"/>
        </w:rPr>
        <w:t>loss</w:t>
      </w:r>
      <w:r>
        <w:rPr>
          <w:color w:val="231F20"/>
          <w:spacing w:val="-27"/>
          <w:w w:val="105"/>
        </w:rPr>
        <w:t> </w:t>
      </w:r>
      <w:r>
        <w:rPr>
          <w:color w:val="231F20"/>
          <w:w w:val="105"/>
        </w:rPr>
        <w:t>of</w:t>
      </w:r>
      <w:r>
        <w:rPr>
          <w:color w:val="231F20"/>
          <w:spacing w:val="-24"/>
          <w:w w:val="105"/>
        </w:rPr>
        <w:t> </w:t>
      </w:r>
      <w:r>
        <w:rPr>
          <w:color w:val="231F20"/>
          <w:w w:val="105"/>
        </w:rPr>
        <w:t>fami- lial</w:t>
      </w:r>
      <w:r>
        <w:rPr>
          <w:color w:val="231F20"/>
          <w:spacing w:val="-15"/>
          <w:w w:val="105"/>
        </w:rPr>
        <w:t> </w:t>
      </w:r>
      <w:r>
        <w:rPr>
          <w:color w:val="231F20"/>
          <w:w w:val="105"/>
        </w:rPr>
        <w:t>ties</w:t>
      </w:r>
      <w:r>
        <w:rPr>
          <w:color w:val="231F20"/>
          <w:spacing w:val="-15"/>
          <w:w w:val="105"/>
        </w:rPr>
        <w:t> </w:t>
      </w:r>
      <w:r>
        <w:rPr>
          <w:color w:val="231F20"/>
          <w:w w:val="105"/>
        </w:rPr>
        <w:t>and</w:t>
      </w:r>
      <w:r>
        <w:rPr>
          <w:color w:val="231F20"/>
          <w:spacing w:val="-15"/>
          <w:w w:val="105"/>
        </w:rPr>
        <w:t> </w:t>
      </w:r>
      <w:r>
        <w:rPr>
          <w:color w:val="231F20"/>
          <w:w w:val="105"/>
        </w:rPr>
        <w:t>culture</w:t>
      </w:r>
      <w:r>
        <w:rPr>
          <w:color w:val="231F20"/>
          <w:spacing w:val="-15"/>
          <w:w w:val="105"/>
        </w:rPr>
        <w:t> </w:t>
      </w:r>
      <w:r>
        <w:rPr>
          <w:color w:val="231F20"/>
          <w:w w:val="105"/>
        </w:rPr>
        <w:t>are</w:t>
      </w:r>
      <w:r>
        <w:rPr>
          <w:color w:val="231F20"/>
          <w:spacing w:val="-15"/>
          <w:w w:val="105"/>
        </w:rPr>
        <w:t> </w:t>
      </w:r>
      <w:r>
        <w:rPr>
          <w:color w:val="231F20"/>
          <w:w w:val="105"/>
        </w:rPr>
        <w:t>predictors</w:t>
      </w:r>
      <w:r>
        <w:rPr>
          <w:color w:val="231F20"/>
          <w:spacing w:val="-15"/>
          <w:w w:val="105"/>
        </w:rPr>
        <w:t> </w:t>
      </w:r>
      <w:r>
        <w:rPr>
          <w:color w:val="231F20"/>
          <w:w w:val="105"/>
        </w:rPr>
        <w:t>of</w:t>
      </w:r>
      <w:r>
        <w:rPr>
          <w:color w:val="231F20"/>
          <w:spacing w:val="-11"/>
          <w:w w:val="105"/>
        </w:rPr>
        <w:t> </w:t>
      </w:r>
      <w:r>
        <w:rPr>
          <w:color w:val="231F20"/>
          <w:w w:val="105"/>
        </w:rPr>
        <w:t>low</w:t>
      </w:r>
      <w:r>
        <w:rPr>
          <w:color w:val="231F20"/>
          <w:spacing w:val="-15"/>
          <w:w w:val="105"/>
        </w:rPr>
        <w:t> </w:t>
      </w:r>
      <w:r>
        <w:rPr>
          <w:color w:val="231F20"/>
          <w:w w:val="105"/>
        </w:rPr>
        <w:t>academic</w:t>
      </w:r>
      <w:r>
        <w:rPr>
          <w:color w:val="231F20"/>
          <w:spacing w:val="-15"/>
          <w:w w:val="105"/>
        </w:rPr>
        <w:t> </w:t>
      </w:r>
      <w:r>
        <w:rPr>
          <w:color w:val="231F20"/>
          <w:w w:val="105"/>
        </w:rPr>
        <w:t>achievement</w:t>
      </w:r>
      <w:r>
        <w:rPr>
          <w:color w:val="231F20"/>
          <w:spacing w:val="-15"/>
          <w:w w:val="105"/>
        </w:rPr>
        <w:t> </w:t>
      </w:r>
      <w:r>
        <w:rPr>
          <w:color w:val="231F20"/>
          <w:w w:val="105"/>
        </w:rPr>
        <w:t>in</w:t>
      </w:r>
      <w:r>
        <w:rPr>
          <w:color w:val="231F20"/>
          <w:spacing w:val="-15"/>
          <w:w w:val="105"/>
        </w:rPr>
        <w:t> </w:t>
      </w:r>
      <w:r>
        <w:rPr>
          <w:color w:val="231F20"/>
          <w:w w:val="105"/>
        </w:rPr>
        <w:t>Latino families</w:t>
      </w:r>
      <w:r>
        <w:rPr>
          <w:color w:val="231F20"/>
          <w:spacing w:val="-24"/>
          <w:w w:val="105"/>
        </w:rPr>
        <w:t> </w:t>
      </w:r>
      <w:r>
        <w:rPr>
          <w:color w:val="231F20"/>
          <w:w w:val="105"/>
        </w:rPr>
        <w:t>(Gonzales</w:t>
      </w:r>
      <w:r>
        <w:rPr>
          <w:color w:val="231F20"/>
          <w:spacing w:val="-24"/>
          <w:w w:val="105"/>
        </w:rPr>
        <w:t> </w:t>
      </w:r>
      <w:r>
        <w:rPr>
          <w:rFonts w:ascii="Arial" w:hAnsi="Arial"/>
          <w:i/>
          <w:color w:val="231F20"/>
          <w:w w:val="105"/>
        </w:rPr>
        <w:t>et</w:t>
      </w:r>
      <w:r>
        <w:rPr>
          <w:rFonts w:ascii="Arial" w:hAnsi="Arial"/>
          <w:i/>
          <w:color w:val="231F20"/>
          <w:spacing w:val="-26"/>
          <w:w w:val="105"/>
        </w:rPr>
        <w:t> </w:t>
      </w:r>
      <w:r>
        <w:rPr>
          <w:rFonts w:ascii="Arial" w:hAnsi="Arial"/>
          <w:i/>
          <w:color w:val="231F20"/>
          <w:w w:val="105"/>
        </w:rPr>
        <w:t>al</w:t>
      </w:r>
      <w:r>
        <w:rPr>
          <w:color w:val="231F20"/>
          <w:w w:val="105"/>
        </w:rPr>
        <w:t>.,</w:t>
      </w:r>
      <w:r>
        <w:rPr>
          <w:color w:val="231F20"/>
          <w:spacing w:val="-28"/>
          <w:w w:val="105"/>
        </w:rPr>
        <w:t> </w:t>
      </w:r>
      <w:r>
        <w:rPr>
          <w:color w:val="231F20"/>
          <w:w w:val="105"/>
        </w:rPr>
        <w:t>2008;</w:t>
      </w:r>
      <w:r>
        <w:rPr>
          <w:color w:val="231F20"/>
          <w:spacing w:val="-24"/>
          <w:w w:val="105"/>
        </w:rPr>
        <w:t> </w:t>
      </w:r>
      <w:r>
        <w:rPr>
          <w:color w:val="231F20"/>
          <w:w w:val="105"/>
        </w:rPr>
        <w:t>De</w:t>
      </w:r>
      <w:r>
        <w:rPr>
          <w:color w:val="231F20"/>
          <w:spacing w:val="-24"/>
          <w:w w:val="105"/>
        </w:rPr>
        <w:t> </w:t>
      </w:r>
      <w:r>
        <w:rPr>
          <w:color w:val="231F20"/>
          <w:w w:val="105"/>
        </w:rPr>
        <w:t>Carlo</w:t>
      </w:r>
      <w:r>
        <w:rPr>
          <w:color w:val="231F20"/>
          <w:spacing w:val="-24"/>
          <w:w w:val="105"/>
        </w:rPr>
        <w:t> </w:t>
      </w:r>
      <w:r>
        <w:rPr>
          <w:rFonts w:ascii="Arial" w:hAnsi="Arial"/>
          <w:i/>
          <w:color w:val="231F20"/>
          <w:w w:val="105"/>
        </w:rPr>
        <w:t>et.</w:t>
      </w:r>
      <w:r>
        <w:rPr>
          <w:rFonts w:ascii="Arial" w:hAnsi="Arial"/>
          <w:i/>
          <w:color w:val="231F20"/>
          <w:spacing w:val="-30"/>
          <w:w w:val="105"/>
        </w:rPr>
        <w:t> </w:t>
      </w:r>
      <w:r>
        <w:rPr>
          <w:rFonts w:ascii="Arial" w:hAnsi="Arial"/>
          <w:i/>
          <w:color w:val="231F20"/>
          <w:w w:val="105"/>
        </w:rPr>
        <w:t>al</w:t>
      </w:r>
      <w:r>
        <w:rPr>
          <w:color w:val="231F20"/>
          <w:w w:val="105"/>
        </w:rPr>
        <w:t>,</w:t>
      </w:r>
      <w:r>
        <w:rPr>
          <w:color w:val="231F20"/>
          <w:spacing w:val="-28"/>
          <w:w w:val="105"/>
        </w:rPr>
        <w:t> </w:t>
      </w:r>
      <w:r>
        <w:rPr>
          <w:color w:val="231F20"/>
          <w:w w:val="105"/>
        </w:rPr>
        <w:t>2014).</w:t>
      </w:r>
      <w:r>
        <w:rPr>
          <w:color w:val="231F20"/>
          <w:spacing w:val="-31"/>
          <w:w w:val="105"/>
        </w:rPr>
        <w:t> </w:t>
      </w:r>
      <w:r>
        <w:rPr>
          <w:color w:val="231F20"/>
          <w:w w:val="105"/>
        </w:rPr>
        <w:t>Although</w:t>
      </w:r>
      <w:r>
        <w:rPr>
          <w:color w:val="231F20"/>
          <w:spacing w:val="-24"/>
          <w:w w:val="105"/>
        </w:rPr>
        <w:t> </w:t>
      </w:r>
      <w:r>
        <w:rPr>
          <w:color w:val="231F20"/>
          <w:w w:val="105"/>
        </w:rPr>
        <w:t>immigrant students report higher levels of stress, some studies also suggest that acculturation stress does not negatively impact youths’ academic gra- des because of the indirect influence of cultural values which can have a</w:t>
      </w:r>
      <w:r>
        <w:rPr>
          <w:color w:val="231F20"/>
          <w:spacing w:val="-16"/>
          <w:w w:val="105"/>
        </w:rPr>
        <w:t> </w:t>
      </w:r>
      <w:r>
        <w:rPr>
          <w:color w:val="231F20"/>
          <w:w w:val="105"/>
        </w:rPr>
        <w:t>positive</w:t>
      </w:r>
      <w:r>
        <w:rPr>
          <w:color w:val="231F20"/>
          <w:spacing w:val="-16"/>
          <w:w w:val="105"/>
        </w:rPr>
        <w:t> </w:t>
      </w:r>
      <w:r>
        <w:rPr>
          <w:color w:val="231F20"/>
          <w:w w:val="105"/>
        </w:rPr>
        <w:t>effect</w:t>
      </w:r>
      <w:r>
        <w:rPr>
          <w:color w:val="231F20"/>
          <w:spacing w:val="-16"/>
          <w:w w:val="105"/>
        </w:rPr>
        <w:t> </w:t>
      </w:r>
      <w:r>
        <w:rPr>
          <w:color w:val="231F20"/>
          <w:w w:val="105"/>
        </w:rPr>
        <w:t>on</w:t>
      </w:r>
      <w:r>
        <w:rPr>
          <w:color w:val="231F20"/>
          <w:spacing w:val="-16"/>
          <w:w w:val="105"/>
        </w:rPr>
        <w:t> </w:t>
      </w:r>
      <w:r>
        <w:rPr>
          <w:color w:val="231F20"/>
          <w:w w:val="105"/>
        </w:rPr>
        <w:t>the</w:t>
      </w:r>
      <w:r>
        <w:rPr>
          <w:color w:val="231F20"/>
          <w:spacing w:val="-16"/>
          <w:w w:val="105"/>
        </w:rPr>
        <w:t> </w:t>
      </w:r>
      <w:r>
        <w:rPr>
          <w:color w:val="231F20"/>
          <w:w w:val="105"/>
        </w:rPr>
        <w:t>stress</w:t>
      </w:r>
      <w:r>
        <w:rPr>
          <w:color w:val="231F20"/>
          <w:spacing w:val="-16"/>
          <w:w w:val="105"/>
        </w:rPr>
        <w:t> </w:t>
      </w:r>
      <w:r>
        <w:rPr>
          <w:color w:val="231F20"/>
          <w:w w:val="105"/>
        </w:rPr>
        <w:t>immigrant</w:t>
      </w:r>
      <w:r>
        <w:rPr>
          <w:color w:val="231F20"/>
          <w:spacing w:val="-16"/>
          <w:w w:val="105"/>
        </w:rPr>
        <w:t> </w:t>
      </w:r>
      <w:r>
        <w:rPr>
          <w:color w:val="231F20"/>
          <w:w w:val="105"/>
        </w:rPr>
        <w:t>Latino</w:t>
      </w:r>
      <w:r>
        <w:rPr>
          <w:color w:val="231F20"/>
          <w:spacing w:val="-16"/>
          <w:w w:val="105"/>
        </w:rPr>
        <w:t> </w:t>
      </w:r>
      <w:r>
        <w:rPr>
          <w:color w:val="231F20"/>
          <w:w w:val="105"/>
        </w:rPr>
        <w:t>youth</w:t>
      </w:r>
      <w:r>
        <w:rPr>
          <w:color w:val="231F20"/>
          <w:spacing w:val="-16"/>
          <w:w w:val="105"/>
        </w:rPr>
        <w:t> </w:t>
      </w:r>
      <w:r>
        <w:rPr>
          <w:color w:val="231F20"/>
          <w:w w:val="105"/>
        </w:rPr>
        <w:t>experience</w:t>
      </w:r>
      <w:r>
        <w:rPr>
          <w:color w:val="231F20"/>
          <w:spacing w:val="-16"/>
          <w:w w:val="105"/>
        </w:rPr>
        <w:t> </w:t>
      </w:r>
      <w:r>
        <w:rPr>
          <w:color w:val="231F20"/>
          <w:spacing w:val="-3"/>
          <w:w w:val="105"/>
        </w:rPr>
        <w:t>(Fergus </w:t>
      </w:r>
      <w:r>
        <w:rPr>
          <w:color w:val="231F20"/>
          <w:w w:val="105"/>
        </w:rPr>
        <w:t>and Zimmerman, 2005). </w:t>
      </w:r>
      <w:r>
        <w:rPr>
          <w:color w:val="231F20"/>
          <w:spacing w:val="-4"/>
          <w:w w:val="105"/>
        </w:rPr>
        <w:t>For </w:t>
      </w:r>
      <w:r>
        <w:rPr>
          <w:color w:val="231F20"/>
          <w:w w:val="105"/>
        </w:rPr>
        <w:t>example, one study of Mexican-origin stu- dents showed that the effect of immigrant status on academic success and other-related immigration problems was mediated by traditional cultural</w:t>
      </w:r>
      <w:r>
        <w:rPr>
          <w:color w:val="231F20"/>
          <w:spacing w:val="-8"/>
          <w:w w:val="105"/>
        </w:rPr>
        <w:t> </w:t>
      </w:r>
      <w:r>
        <w:rPr>
          <w:color w:val="231F20"/>
          <w:w w:val="105"/>
        </w:rPr>
        <w:t>values</w:t>
      </w:r>
      <w:r>
        <w:rPr>
          <w:color w:val="231F20"/>
          <w:spacing w:val="-8"/>
          <w:w w:val="105"/>
        </w:rPr>
        <w:t> </w:t>
      </w:r>
      <w:r>
        <w:rPr>
          <w:color w:val="231F20"/>
          <w:w w:val="105"/>
        </w:rPr>
        <w:t>of</w:t>
      </w:r>
      <w:r>
        <w:rPr>
          <w:color w:val="231F20"/>
          <w:spacing w:val="-4"/>
          <w:w w:val="105"/>
        </w:rPr>
        <w:t> </w:t>
      </w:r>
      <w:r>
        <w:rPr>
          <w:color w:val="231F20"/>
          <w:w w:val="105"/>
        </w:rPr>
        <w:t>family</w:t>
      </w:r>
      <w:r>
        <w:rPr>
          <w:color w:val="231F20"/>
          <w:spacing w:val="-8"/>
          <w:w w:val="105"/>
        </w:rPr>
        <w:t> </w:t>
      </w:r>
      <w:r>
        <w:rPr>
          <w:color w:val="231F20"/>
          <w:w w:val="105"/>
        </w:rPr>
        <w:t>solidarity</w:t>
      </w:r>
      <w:r>
        <w:rPr>
          <w:color w:val="231F20"/>
          <w:spacing w:val="-8"/>
          <w:w w:val="105"/>
        </w:rPr>
        <w:t> </w:t>
      </w:r>
      <w:r>
        <w:rPr>
          <w:color w:val="231F20"/>
          <w:w w:val="105"/>
        </w:rPr>
        <w:t>(Gonzales</w:t>
      </w:r>
      <w:r>
        <w:rPr>
          <w:color w:val="231F20"/>
          <w:spacing w:val="-8"/>
          <w:w w:val="105"/>
        </w:rPr>
        <w:t> </w:t>
      </w:r>
      <w:r>
        <w:rPr>
          <w:rFonts w:ascii="Arial" w:hAnsi="Arial"/>
          <w:i/>
          <w:color w:val="231F20"/>
          <w:w w:val="105"/>
        </w:rPr>
        <w:t>et</w:t>
      </w:r>
      <w:r>
        <w:rPr>
          <w:rFonts w:ascii="Arial" w:hAnsi="Arial"/>
          <w:i/>
          <w:color w:val="231F20"/>
          <w:spacing w:val="-11"/>
          <w:w w:val="105"/>
        </w:rPr>
        <w:t> </w:t>
      </w:r>
      <w:r>
        <w:rPr>
          <w:rFonts w:ascii="Arial" w:hAnsi="Arial"/>
          <w:i/>
          <w:color w:val="231F20"/>
          <w:w w:val="105"/>
        </w:rPr>
        <w:t>al</w:t>
      </w:r>
      <w:r>
        <w:rPr>
          <w:color w:val="231F20"/>
          <w:w w:val="105"/>
        </w:rPr>
        <w:t>.,</w:t>
      </w:r>
      <w:r>
        <w:rPr>
          <w:color w:val="231F20"/>
          <w:spacing w:val="-14"/>
          <w:w w:val="105"/>
        </w:rPr>
        <w:t> </w:t>
      </w:r>
      <w:r>
        <w:rPr>
          <w:color w:val="231F20"/>
          <w:w w:val="105"/>
        </w:rPr>
        <w:t>2008;</w:t>
      </w:r>
      <w:r>
        <w:rPr>
          <w:color w:val="231F20"/>
          <w:spacing w:val="-8"/>
          <w:w w:val="105"/>
        </w:rPr>
        <w:t> </w:t>
      </w:r>
      <w:r>
        <w:rPr>
          <w:color w:val="231F20"/>
          <w:w w:val="105"/>
        </w:rPr>
        <w:t>De</w:t>
      </w:r>
      <w:r>
        <w:rPr>
          <w:color w:val="231F20"/>
          <w:spacing w:val="-8"/>
          <w:w w:val="105"/>
        </w:rPr>
        <w:t> </w:t>
      </w:r>
      <w:r>
        <w:rPr>
          <w:color w:val="231F20"/>
          <w:w w:val="105"/>
        </w:rPr>
        <w:t>Carlo</w:t>
      </w:r>
      <w:r>
        <w:rPr>
          <w:color w:val="231F20"/>
          <w:spacing w:val="-8"/>
          <w:w w:val="105"/>
        </w:rPr>
        <w:t> </w:t>
      </w:r>
      <w:r>
        <w:rPr>
          <w:rFonts w:ascii="Arial" w:hAnsi="Arial"/>
          <w:i/>
          <w:color w:val="231F20"/>
          <w:w w:val="105"/>
        </w:rPr>
        <w:t>et</w:t>
      </w:r>
      <w:r>
        <w:rPr>
          <w:rFonts w:ascii="Arial" w:hAnsi="Arial"/>
          <w:i/>
          <w:color w:val="231F20"/>
          <w:spacing w:val="-11"/>
          <w:w w:val="105"/>
        </w:rPr>
        <w:t> </w:t>
      </w:r>
      <w:r>
        <w:rPr>
          <w:rFonts w:ascii="Arial" w:hAnsi="Arial"/>
          <w:i/>
          <w:color w:val="231F20"/>
          <w:w w:val="105"/>
        </w:rPr>
        <w:t>al</w:t>
      </w:r>
      <w:r>
        <w:rPr>
          <w:color w:val="231F20"/>
          <w:w w:val="105"/>
        </w:rPr>
        <w:t>., 2014).</w:t>
      </w:r>
      <w:r>
        <w:rPr>
          <w:color w:val="231F20"/>
          <w:spacing w:val="-10"/>
          <w:w w:val="105"/>
        </w:rPr>
        <w:t> </w:t>
      </w:r>
      <w:r>
        <w:rPr>
          <w:color w:val="231F20"/>
          <w:w w:val="105"/>
        </w:rPr>
        <w:t>Maintenance</w:t>
      </w:r>
      <w:r>
        <w:rPr>
          <w:color w:val="231F20"/>
          <w:spacing w:val="-5"/>
          <w:w w:val="105"/>
        </w:rPr>
        <w:t> </w:t>
      </w:r>
      <w:r>
        <w:rPr>
          <w:color w:val="231F20"/>
          <w:w w:val="105"/>
        </w:rPr>
        <w:t>of</w:t>
      </w:r>
      <w:r>
        <w:rPr>
          <w:color w:val="231F20"/>
          <w:spacing w:val="-1"/>
          <w:w w:val="105"/>
        </w:rPr>
        <w:t> </w:t>
      </w:r>
      <w:r>
        <w:rPr>
          <w:color w:val="231F20"/>
          <w:w w:val="105"/>
        </w:rPr>
        <w:t>cultural</w:t>
      </w:r>
      <w:r>
        <w:rPr>
          <w:color w:val="231F20"/>
          <w:spacing w:val="-5"/>
          <w:w w:val="105"/>
        </w:rPr>
        <w:t> </w:t>
      </w:r>
      <w:r>
        <w:rPr>
          <w:color w:val="231F20"/>
          <w:w w:val="105"/>
        </w:rPr>
        <w:t>traditions</w:t>
      </w:r>
      <w:r>
        <w:rPr>
          <w:color w:val="231F20"/>
          <w:spacing w:val="-5"/>
          <w:w w:val="105"/>
        </w:rPr>
        <w:t> </w:t>
      </w:r>
      <w:r>
        <w:rPr>
          <w:color w:val="231F20"/>
          <w:w w:val="105"/>
        </w:rPr>
        <w:t>and</w:t>
      </w:r>
      <w:r>
        <w:rPr>
          <w:color w:val="231F20"/>
          <w:spacing w:val="-5"/>
          <w:w w:val="105"/>
        </w:rPr>
        <w:t> </w:t>
      </w:r>
      <w:r>
        <w:rPr>
          <w:color w:val="231F20"/>
          <w:w w:val="105"/>
        </w:rPr>
        <w:t>values</w:t>
      </w:r>
      <w:r>
        <w:rPr>
          <w:color w:val="231F20"/>
          <w:spacing w:val="-5"/>
          <w:w w:val="105"/>
        </w:rPr>
        <w:t> </w:t>
      </w:r>
      <w:r>
        <w:rPr>
          <w:color w:val="231F20"/>
          <w:w w:val="105"/>
        </w:rPr>
        <w:t>can</w:t>
      </w:r>
      <w:r>
        <w:rPr>
          <w:color w:val="231F20"/>
          <w:spacing w:val="-5"/>
          <w:w w:val="105"/>
        </w:rPr>
        <w:t> </w:t>
      </w:r>
      <w:r>
        <w:rPr>
          <w:color w:val="231F20"/>
          <w:w w:val="105"/>
        </w:rPr>
        <w:t>reduce</w:t>
      </w:r>
      <w:r>
        <w:rPr>
          <w:color w:val="231F20"/>
          <w:spacing w:val="-5"/>
          <w:w w:val="105"/>
        </w:rPr>
        <w:t> </w:t>
      </w:r>
      <w:r>
        <w:rPr>
          <w:color w:val="231F20"/>
          <w:w w:val="105"/>
        </w:rPr>
        <w:t>the</w:t>
      </w:r>
      <w:r>
        <w:rPr>
          <w:color w:val="231F20"/>
          <w:spacing w:val="-5"/>
          <w:w w:val="105"/>
        </w:rPr>
        <w:t> </w:t>
      </w:r>
      <w:r>
        <w:rPr>
          <w:color w:val="231F20"/>
          <w:w w:val="105"/>
        </w:rPr>
        <w:t>risk associated</w:t>
      </w:r>
      <w:r>
        <w:rPr>
          <w:color w:val="231F20"/>
          <w:spacing w:val="-19"/>
          <w:w w:val="105"/>
        </w:rPr>
        <w:t> </w:t>
      </w:r>
      <w:r>
        <w:rPr>
          <w:color w:val="231F20"/>
          <w:w w:val="105"/>
        </w:rPr>
        <w:t>with</w:t>
      </w:r>
      <w:r>
        <w:rPr>
          <w:color w:val="231F20"/>
          <w:spacing w:val="-19"/>
          <w:w w:val="105"/>
        </w:rPr>
        <w:t> </w:t>
      </w:r>
      <w:r>
        <w:rPr>
          <w:color w:val="231F20"/>
          <w:w w:val="105"/>
        </w:rPr>
        <w:t>immigration</w:t>
      </w:r>
      <w:r>
        <w:rPr>
          <w:color w:val="231F20"/>
          <w:spacing w:val="-19"/>
          <w:w w:val="105"/>
        </w:rPr>
        <w:t> </w:t>
      </w:r>
      <w:r>
        <w:rPr>
          <w:color w:val="231F20"/>
          <w:w w:val="105"/>
        </w:rPr>
        <w:t>status</w:t>
      </w:r>
      <w:r>
        <w:rPr>
          <w:color w:val="231F20"/>
          <w:spacing w:val="-19"/>
          <w:w w:val="105"/>
        </w:rPr>
        <w:t> </w:t>
      </w:r>
      <w:r>
        <w:rPr>
          <w:color w:val="231F20"/>
          <w:w w:val="105"/>
        </w:rPr>
        <w:t>and</w:t>
      </w:r>
      <w:r>
        <w:rPr>
          <w:color w:val="231F20"/>
          <w:spacing w:val="-19"/>
          <w:w w:val="105"/>
        </w:rPr>
        <w:t> </w:t>
      </w:r>
      <w:r>
        <w:rPr>
          <w:color w:val="231F20"/>
          <w:w w:val="105"/>
        </w:rPr>
        <w:t>can</w:t>
      </w:r>
      <w:r>
        <w:rPr>
          <w:color w:val="231F20"/>
          <w:spacing w:val="-19"/>
          <w:w w:val="105"/>
        </w:rPr>
        <w:t> </w:t>
      </w:r>
      <w:r>
        <w:rPr>
          <w:color w:val="231F20"/>
          <w:w w:val="105"/>
        </w:rPr>
        <w:t>even</w:t>
      </w:r>
      <w:r>
        <w:rPr>
          <w:color w:val="231F20"/>
          <w:spacing w:val="-19"/>
          <w:w w:val="105"/>
        </w:rPr>
        <w:t> </w:t>
      </w:r>
      <w:r>
        <w:rPr>
          <w:color w:val="231F20"/>
          <w:w w:val="105"/>
        </w:rPr>
        <w:t>promote</w:t>
      </w:r>
      <w:r>
        <w:rPr>
          <w:color w:val="231F20"/>
          <w:spacing w:val="-19"/>
          <w:w w:val="105"/>
        </w:rPr>
        <w:t> </w:t>
      </w:r>
      <w:r>
        <w:rPr>
          <w:color w:val="231F20"/>
          <w:w w:val="105"/>
        </w:rPr>
        <w:t>academic</w:t>
      </w:r>
      <w:r>
        <w:rPr>
          <w:color w:val="231F20"/>
          <w:spacing w:val="-19"/>
          <w:w w:val="105"/>
        </w:rPr>
        <w:t> </w:t>
      </w:r>
      <w:r>
        <w:rPr>
          <w:color w:val="231F20"/>
          <w:w w:val="105"/>
        </w:rPr>
        <w:t>suc- cess</w:t>
      </w:r>
      <w:r>
        <w:rPr>
          <w:color w:val="231F20"/>
          <w:spacing w:val="-21"/>
          <w:w w:val="105"/>
        </w:rPr>
        <w:t> </w:t>
      </w:r>
      <w:r>
        <w:rPr>
          <w:color w:val="231F20"/>
          <w:w w:val="105"/>
        </w:rPr>
        <w:t>(Gonzales</w:t>
      </w:r>
      <w:r>
        <w:rPr>
          <w:color w:val="231F20"/>
          <w:spacing w:val="-21"/>
          <w:w w:val="105"/>
        </w:rPr>
        <w:t> </w:t>
      </w:r>
      <w:r>
        <w:rPr>
          <w:rFonts w:ascii="Arial" w:hAnsi="Arial"/>
          <w:i/>
          <w:color w:val="231F20"/>
          <w:w w:val="105"/>
        </w:rPr>
        <w:t>et</w:t>
      </w:r>
      <w:r>
        <w:rPr>
          <w:rFonts w:ascii="Arial" w:hAnsi="Arial"/>
          <w:i/>
          <w:color w:val="231F20"/>
          <w:spacing w:val="-24"/>
          <w:w w:val="105"/>
        </w:rPr>
        <w:t> </w:t>
      </w:r>
      <w:r>
        <w:rPr>
          <w:rFonts w:ascii="Arial" w:hAnsi="Arial"/>
          <w:i/>
          <w:color w:val="231F20"/>
          <w:w w:val="105"/>
        </w:rPr>
        <w:t>al</w:t>
      </w:r>
      <w:r>
        <w:rPr>
          <w:color w:val="231F20"/>
          <w:w w:val="105"/>
        </w:rPr>
        <w:t>.,</w:t>
      </w:r>
      <w:r>
        <w:rPr>
          <w:color w:val="231F20"/>
          <w:spacing w:val="-25"/>
          <w:w w:val="105"/>
        </w:rPr>
        <w:t> </w:t>
      </w:r>
      <w:r>
        <w:rPr>
          <w:color w:val="231F20"/>
          <w:w w:val="105"/>
        </w:rPr>
        <w:t>2008).</w:t>
      </w:r>
      <w:r>
        <w:rPr>
          <w:color w:val="231F20"/>
          <w:spacing w:val="-25"/>
          <w:w w:val="105"/>
        </w:rPr>
        <w:t> </w:t>
      </w:r>
      <w:r>
        <w:rPr>
          <w:color w:val="231F20"/>
          <w:w w:val="105"/>
        </w:rPr>
        <w:t>Studies</w:t>
      </w:r>
      <w:r>
        <w:rPr>
          <w:color w:val="231F20"/>
          <w:spacing w:val="-21"/>
          <w:w w:val="105"/>
        </w:rPr>
        <w:t> </w:t>
      </w:r>
      <w:r>
        <w:rPr>
          <w:color w:val="231F20"/>
          <w:w w:val="105"/>
        </w:rPr>
        <w:t>of</w:t>
      </w:r>
      <w:r>
        <w:rPr>
          <w:color w:val="231F20"/>
          <w:spacing w:val="-18"/>
          <w:w w:val="105"/>
        </w:rPr>
        <w:t> </w:t>
      </w:r>
      <w:r>
        <w:rPr>
          <w:color w:val="231F20"/>
          <w:w w:val="105"/>
        </w:rPr>
        <w:t>Mexican-American</w:t>
      </w:r>
      <w:r>
        <w:rPr>
          <w:color w:val="231F20"/>
          <w:spacing w:val="-21"/>
          <w:w w:val="105"/>
        </w:rPr>
        <w:t> </w:t>
      </w:r>
      <w:r>
        <w:rPr>
          <w:color w:val="231F20"/>
          <w:w w:val="105"/>
        </w:rPr>
        <w:t>families</w:t>
      </w:r>
      <w:r>
        <w:rPr>
          <w:color w:val="231F20"/>
          <w:spacing w:val="-21"/>
          <w:w w:val="105"/>
        </w:rPr>
        <w:t> </w:t>
      </w:r>
      <w:r>
        <w:rPr>
          <w:color w:val="231F20"/>
          <w:w w:val="105"/>
        </w:rPr>
        <w:t>in</w:t>
      </w:r>
      <w:r>
        <w:rPr>
          <w:color w:val="231F20"/>
          <w:spacing w:val="-21"/>
          <w:w w:val="105"/>
        </w:rPr>
        <w:t> </w:t>
      </w:r>
      <w:r>
        <w:rPr>
          <w:color w:val="231F20"/>
          <w:w w:val="105"/>
        </w:rPr>
        <w:t>the United States Southwest revealed a positive impact on student</w:t>
      </w:r>
      <w:r>
        <w:rPr>
          <w:color w:val="231F20"/>
          <w:spacing w:val="-32"/>
          <w:w w:val="105"/>
        </w:rPr>
        <w:t> </w:t>
      </w:r>
      <w:r>
        <w:rPr>
          <w:color w:val="231F20"/>
          <w:w w:val="105"/>
        </w:rPr>
        <w:t>learning when</w:t>
      </w:r>
      <w:r>
        <w:rPr>
          <w:color w:val="231F20"/>
          <w:spacing w:val="-19"/>
          <w:w w:val="105"/>
        </w:rPr>
        <w:t> </w:t>
      </w:r>
      <w:r>
        <w:rPr>
          <w:color w:val="231F20"/>
          <w:w w:val="105"/>
        </w:rPr>
        <w:t>culturally</w:t>
      </w:r>
      <w:r>
        <w:rPr>
          <w:color w:val="231F20"/>
          <w:spacing w:val="-19"/>
          <w:w w:val="105"/>
        </w:rPr>
        <w:t> </w:t>
      </w:r>
      <w:r>
        <w:rPr>
          <w:color w:val="231F20"/>
          <w:w w:val="105"/>
        </w:rPr>
        <w:t>sensitive</w:t>
      </w:r>
      <w:r>
        <w:rPr>
          <w:color w:val="231F20"/>
          <w:spacing w:val="-19"/>
          <w:w w:val="105"/>
        </w:rPr>
        <w:t> </w:t>
      </w:r>
      <w:r>
        <w:rPr>
          <w:color w:val="231F20"/>
          <w:w w:val="105"/>
        </w:rPr>
        <w:t>connections</w:t>
      </w:r>
      <w:r>
        <w:rPr>
          <w:color w:val="231F20"/>
          <w:spacing w:val="-19"/>
          <w:w w:val="105"/>
        </w:rPr>
        <w:t> </w:t>
      </w:r>
      <w:r>
        <w:rPr>
          <w:color w:val="231F20"/>
          <w:w w:val="105"/>
        </w:rPr>
        <w:t>were</w:t>
      </w:r>
      <w:r>
        <w:rPr>
          <w:color w:val="231F20"/>
          <w:spacing w:val="-19"/>
          <w:w w:val="105"/>
        </w:rPr>
        <w:t> </w:t>
      </w:r>
      <w:r>
        <w:rPr>
          <w:color w:val="231F20"/>
          <w:w w:val="105"/>
        </w:rPr>
        <w:t>made</w:t>
      </w:r>
      <w:r>
        <w:rPr>
          <w:color w:val="231F20"/>
          <w:spacing w:val="-19"/>
          <w:w w:val="105"/>
        </w:rPr>
        <w:t> </w:t>
      </w:r>
      <w:r>
        <w:rPr>
          <w:color w:val="231F20"/>
          <w:w w:val="105"/>
        </w:rPr>
        <w:t>between</w:t>
      </w:r>
      <w:r>
        <w:rPr>
          <w:color w:val="231F20"/>
          <w:spacing w:val="-19"/>
          <w:w w:val="105"/>
        </w:rPr>
        <w:t> </w:t>
      </w:r>
      <w:r>
        <w:rPr>
          <w:color w:val="231F20"/>
          <w:w w:val="105"/>
        </w:rPr>
        <w:t>the</w:t>
      </w:r>
      <w:r>
        <w:rPr>
          <w:color w:val="231F20"/>
          <w:spacing w:val="-19"/>
          <w:w w:val="105"/>
        </w:rPr>
        <w:t> </w:t>
      </w:r>
      <w:r>
        <w:rPr>
          <w:color w:val="231F20"/>
          <w:w w:val="105"/>
        </w:rPr>
        <w:t>family</w:t>
      </w:r>
      <w:r>
        <w:rPr>
          <w:color w:val="231F20"/>
          <w:spacing w:val="-19"/>
          <w:w w:val="105"/>
        </w:rPr>
        <w:t> </w:t>
      </w:r>
      <w:r>
        <w:rPr>
          <w:color w:val="231F20"/>
          <w:w w:val="105"/>
        </w:rPr>
        <w:t>and school</w:t>
      </w:r>
      <w:r>
        <w:rPr>
          <w:color w:val="231F20"/>
          <w:spacing w:val="-22"/>
          <w:w w:val="105"/>
        </w:rPr>
        <w:t> </w:t>
      </w:r>
      <w:r>
        <w:rPr>
          <w:color w:val="231F20"/>
          <w:w w:val="105"/>
        </w:rPr>
        <w:t>(Moll</w:t>
      </w:r>
      <w:r>
        <w:rPr>
          <w:color w:val="231F20"/>
          <w:spacing w:val="-22"/>
          <w:w w:val="105"/>
        </w:rPr>
        <w:t> </w:t>
      </w:r>
      <w:r>
        <w:rPr>
          <w:rFonts w:ascii="Arial" w:hAnsi="Arial"/>
          <w:i/>
          <w:color w:val="231F20"/>
          <w:w w:val="105"/>
        </w:rPr>
        <w:t>et</w:t>
      </w:r>
      <w:r>
        <w:rPr>
          <w:rFonts w:ascii="Arial" w:hAnsi="Arial"/>
          <w:i/>
          <w:color w:val="231F20"/>
          <w:spacing w:val="-25"/>
          <w:w w:val="105"/>
        </w:rPr>
        <w:t> </w:t>
      </w:r>
      <w:r>
        <w:rPr>
          <w:rFonts w:ascii="Arial" w:hAnsi="Arial"/>
          <w:i/>
          <w:color w:val="231F20"/>
          <w:w w:val="105"/>
        </w:rPr>
        <w:t>al.</w:t>
      </w:r>
      <w:r>
        <w:rPr>
          <w:color w:val="231F20"/>
          <w:w w:val="105"/>
        </w:rPr>
        <w:t>,</w:t>
      </w:r>
      <w:r>
        <w:rPr>
          <w:color w:val="231F20"/>
          <w:spacing w:val="-27"/>
          <w:w w:val="105"/>
        </w:rPr>
        <w:t> </w:t>
      </w:r>
      <w:r>
        <w:rPr>
          <w:color w:val="231F20"/>
          <w:w w:val="105"/>
        </w:rPr>
        <w:t>1992;</w:t>
      </w:r>
      <w:r>
        <w:rPr>
          <w:color w:val="231F20"/>
          <w:spacing w:val="-22"/>
          <w:w w:val="105"/>
        </w:rPr>
        <w:t> </w:t>
      </w:r>
      <w:r>
        <w:rPr>
          <w:color w:val="231F20"/>
          <w:w w:val="105"/>
        </w:rPr>
        <w:t>Gaytán,</w:t>
      </w:r>
      <w:r>
        <w:rPr>
          <w:color w:val="231F20"/>
          <w:spacing w:val="-27"/>
          <w:w w:val="105"/>
        </w:rPr>
        <w:t> </w:t>
      </w:r>
      <w:r>
        <w:rPr>
          <w:color w:val="231F20"/>
          <w:w w:val="105"/>
        </w:rPr>
        <w:t>2010).</w:t>
      </w:r>
    </w:p>
    <w:p>
      <w:pPr>
        <w:pStyle w:val="BodyText"/>
        <w:spacing w:line="261" w:lineRule="auto"/>
        <w:ind w:left="1837" w:right="1721" w:firstLine="567"/>
        <w:jc w:val="both"/>
      </w:pPr>
      <w:r>
        <w:rPr/>
        <w:pict>
          <v:line style="position:absolute;mso-position-horizontal-relative:page;mso-position-vertical-relative:paragraph;z-index:-485008" from="15pt,147.492996pt" to="0pt,147.492996pt" stroked="true" strokeweight=".25pt" strokecolor="#000000">
            <w10:wrap type="none"/>
          </v:line>
        </w:pict>
      </w:r>
      <w:r>
        <w:rPr/>
        <w:pict>
          <v:line style="position:absolute;mso-position-horizontal-relative:page;mso-position-vertical-relative:paragraph;z-index:5200" from="508.890015pt,147.492996pt" to="523.890015pt,147.492996pt" stroked="true" strokeweight=".25pt" strokecolor="#000000">
            <w10:wrap type="none"/>
          </v:line>
        </w:pict>
      </w:r>
      <w:r>
        <w:rPr>
          <w:color w:val="231F20"/>
        </w:rPr>
        <w:t>Research on academic support and cultural ties frequently focuses on familism as a key concept associated with Hispanic families (Esparza and Sanchez, 2008; De Carlo </w:t>
      </w:r>
      <w:r>
        <w:rPr>
          <w:rFonts w:ascii="Arial" w:hAnsi="Arial"/>
          <w:i/>
          <w:color w:val="231F20"/>
        </w:rPr>
        <w:t>et al</w:t>
      </w:r>
      <w:r>
        <w:rPr>
          <w:color w:val="231F20"/>
        </w:rPr>
        <w:t>., 2014). Latino families value their clo- se-knit networks that emphasize collectiveness. The ways families operate can encourage students’ academic lives when Latino immigrant youth are able to draw upon family backing to help with their academic work. Re-</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5248" from="15pt,-71.68644pt" to="0pt,-71.68644pt" stroked="true" strokeweight=".25pt" strokecolor="#000000">
            <w10:wrap type="none"/>
          </v:line>
        </w:pict>
      </w:r>
      <w:r>
        <w:rPr/>
        <w:pict>
          <v:line style="position:absolute;mso-position-horizontal-relative:page;mso-position-vertical-relative:paragraph;z-index:5272" from="508.890015pt,-71.68644pt" to="523.890015pt,-71.68644pt" stroked="true" strokeweight=".25pt" strokecolor="#000000">
            <w10:wrap type="none"/>
          </v:line>
        </w:pict>
      </w:r>
      <w:r>
        <w:rPr>
          <w:color w:val="231F20"/>
          <w:w w:val="105"/>
        </w:rPr>
        <w:t>search</w:t>
      </w:r>
      <w:r>
        <w:rPr>
          <w:color w:val="231F20"/>
          <w:spacing w:val="-17"/>
          <w:w w:val="105"/>
        </w:rPr>
        <w:t> </w:t>
      </w:r>
      <w:r>
        <w:rPr>
          <w:color w:val="231F20"/>
          <w:w w:val="105"/>
        </w:rPr>
        <w:t>on</w:t>
      </w:r>
      <w:r>
        <w:rPr>
          <w:color w:val="231F20"/>
          <w:spacing w:val="-17"/>
          <w:w w:val="105"/>
        </w:rPr>
        <w:t> </w:t>
      </w:r>
      <w:r>
        <w:rPr>
          <w:color w:val="231F20"/>
          <w:w w:val="105"/>
        </w:rPr>
        <w:t>traditional</w:t>
      </w:r>
      <w:r>
        <w:rPr>
          <w:color w:val="231F20"/>
          <w:spacing w:val="-17"/>
          <w:w w:val="105"/>
        </w:rPr>
        <w:t> </w:t>
      </w:r>
      <w:r>
        <w:rPr>
          <w:color w:val="231F20"/>
          <w:w w:val="105"/>
        </w:rPr>
        <w:t>cultural</w:t>
      </w:r>
      <w:r>
        <w:rPr>
          <w:color w:val="231F20"/>
          <w:spacing w:val="-17"/>
          <w:w w:val="105"/>
        </w:rPr>
        <w:t> </w:t>
      </w:r>
      <w:r>
        <w:rPr>
          <w:color w:val="231F20"/>
          <w:w w:val="105"/>
        </w:rPr>
        <w:t>values</w:t>
      </w:r>
      <w:r>
        <w:rPr>
          <w:color w:val="231F20"/>
          <w:spacing w:val="-17"/>
          <w:w w:val="105"/>
        </w:rPr>
        <w:t> </w:t>
      </w:r>
      <w:r>
        <w:rPr>
          <w:color w:val="231F20"/>
          <w:w w:val="105"/>
        </w:rPr>
        <w:t>predicts</w:t>
      </w:r>
      <w:r>
        <w:rPr>
          <w:color w:val="231F20"/>
          <w:spacing w:val="-17"/>
          <w:w w:val="105"/>
        </w:rPr>
        <w:t> </w:t>
      </w:r>
      <w:r>
        <w:rPr>
          <w:color w:val="231F20"/>
          <w:w w:val="105"/>
        </w:rPr>
        <w:t>that</w:t>
      </w:r>
      <w:r>
        <w:rPr>
          <w:color w:val="231F20"/>
          <w:spacing w:val="-17"/>
          <w:w w:val="105"/>
        </w:rPr>
        <w:t> </w:t>
      </w:r>
      <w:r>
        <w:rPr>
          <w:color w:val="231F20"/>
          <w:w w:val="105"/>
        </w:rPr>
        <w:t>Latino</w:t>
      </w:r>
      <w:r>
        <w:rPr>
          <w:color w:val="231F20"/>
          <w:spacing w:val="-17"/>
          <w:w w:val="105"/>
        </w:rPr>
        <w:t> </w:t>
      </w:r>
      <w:r>
        <w:rPr>
          <w:color w:val="231F20"/>
          <w:w w:val="105"/>
        </w:rPr>
        <w:t>youth</w:t>
      </w:r>
      <w:r>
        <w:rPr>
          <w:color w:val="231F20"/>
          <w:spacing w:val="-17"/>
          <w:w w:val="105"/>
        </w:rPr>
        <w:t> </w:t>
      </w:r>
      <w:r>
        <w:rPr>
          <w:color w:val="231F20"/>
          <w:w w:val="105"/>
        </w:rPr>
        <w:t>miss</w:t>
      </w:r>
      <w:r>
        <w:rPr>
          <w:color w:val="231F20"/>
          <w:spacing w:val="-17"/>
          <w:w w:val="105"/>
        </w:rPr>
        <w:t> </w:t>
      </w:r>
      <w:r>
        <w:rPr>
          <w:color w:val="231F20"/>
          <w:w w:val="105"/>
        </w:rPr>
        <w:t>fewer classes</w:t>
      </w:r>
      <w:r>
        <w:rPr>
          <w:color w:val="231F20"/>
          <w:spacing w:val="-15"/>
          <w:w w:val="105"/>
        </w:rPr>
        <w:t> </w:t>
      </w:r>
      <w:r>
        <w:rPr>
          <w:color w:val="231F20"/>
          <w:w w:val="105"/>
        </w:rPr>
        <w:t>and</w:t>
      </w:r>
      <w:r>
        <w:rPr>
          <w:color w:val="231F20"/>
          <w:spacing w:val="-15"/>
          <w:w w:val="105"/>
        </w:rPr>
        <w:t> </w:t>
      </w:r>
      <w:r>
        <w:rPr>
          <w:color w:val="231F20"/>
          <w:w w:val="105"/>
        </w:rPr>
        <w:t>exert</w:t>
      </w:r>
      <w:r>
        <w:rPr>
          <w:color w:val="231F20"/>
          <w:spacing w:val="-15"/>
          <w:w w:val="105"/>
        </w:rPr>
        <w:t> </w:t>
      </w:r>
      <w:r>
        <w:rPr>
          <w:color w:val="231F20"/>
          <w:w w:val="105"/>
        </w:rPr>
        <w:t>greater</w:t>
      </w:r>
      <w:r>
        <w:rPr>
          <w:color w:val="231F20"/>
          <w:spacing w:val="-15"/>
          <w:w w:val="105"/>
        </w:rPr>
        <w:t> </w:t>
      </w:r>
      <w:r>
        <w:rPr>
          <w:color w:val="231F20"/>
          <w:w w:val="105"/>
        </w:rPr>
        <w:t>effort</w:t>
      </w:r>
      <w:r>
        <w:rPr>
          <w:color w:val="231F20"/>
          <w:spacing w:val="-15"/>
          <w:w w:val="105"/>
        </w:rPr>
        <w:t> </w:t>
      </w:r>
      <w:r>
        <w:rPr>
          <w:color w:val="231F20"/>
          <w:w w:val="105"/>
        </w:rPr>
        <w:t>in</w:t>
      </w:r>
      <w:r>
        <w:rPr>
          <w:color w:val="231F20"/>
          <w:spacing w:val="-15"/>
          <w:w w:val="105"/>
        </w:rPr>
        <w:t> </w:t>
      </w:r>
      <w:r>
        <w:rPr>
          <w:color w:val="231F20"/>
          <w:w w:val="105"/>
        </w:rPr>
        <w:t>class</w:t>
      </w:r>
      <w:r>
        <w:rPr>
          <w:color w:val="231F20"/>
          <w:spacing w:val="-15"/>
          <w:w w:val="105"/>
        </w:rPr>
        <w:t> </w:t>
      </w:r>
      <w:r>
        <w:rPr>
          <w:color w:val="231F20"/>
          <w:w w:val="105"/>
        </w:rPr>
        <w:t>with</w:t>
      </w:r>
      <w:r>
        <w:rPr>
          <w:color w:val="231F20"/>
          <w:spacing w:val="-15"/>
          <w:w w:val="105"/>
        </w:rPr>
        <w:t> </w:t>
      </w:r>
      <w:r>
        <w:rPr>
          <w:color w:val="231F20"/>
          <w:w w:val="105"/>
        </w:rPr>
        <w:t>family</w:t>
      </w:r>
      <w:r>
        <w:rPr>
          <w:color w:val="231F20"/>
          <w:spacing w:val="-15"/>
          <w:w w:val="105"/>
        </w:rPr>
        <w:t> </w:t>
      </w:r>
      <w:r>
        <w:rPr>
          <w:color w:val="231F20"/>
          <w:w w:val="105"/>
        </w:rPr>
        <w:t>support</w:t>
      </w:r>
      <w:r>
        <w:rPr>
          <w:color w:val="231F20"/>
          <w:spacing w:val="-15"/>
          <w:w w:val="105"/>
        </w:rPr>
        <w:t> </w:t>
      </w:r>
      <w:r>
        <w:rPr>
          <w:color w:val="231F20"/>
          <w:w w:val="105"/>
        </w:rPr>
        <w:t>(Esparza</w:t>
      </w:r>
      <w:r>
        <w:rPr>
          <w:color w:val="231F20"/>
          <w:spacing w:val="-15"/>
          <w:w w:val="105"/>
        </w:rPr>
        <w:t> </w:t>
      </w:r>
      <w:r>
        <w:rPr>
          <w:color w:val="231F20"/>
          <w:w w:val="105"/>
        </w:rPr>
        <w:t>and Sanchez,</w:t>
      </w:r>
      <w:r>
        <w:rPr>
          <w:color w:val="231F20"/>
          <w:spacing w:val="-24"/>
          <w:w w:val="105"/>
        </w:rPr>
        <w:t> </w:t>
      </w:r>
      <w:r>
        <w:rPr>
          <w:color w:val="231F20"/>
          <w:w w:val="105"/>
        </w:rPr>
        <w:t>2008).</w:t>
      </w:r>
      <w:r>
        <w:rPr>
          <w:color w:val="231F20"/>
          <w:spacing w:val="-27"/>
          <w:w w:val="105"/>
        </w:rPr>
        <w:t> </w:t>
      </w:r>
      <w:r>
        <w:rPr>
          <w:color w:val="231F20"/>
          <w:w w:val="105"/>
        </w:rPr>
        <w:t>The</w:t>
      </w:r>
      <w:r>
        <w:rPr>
          <w:color w:val="231F20"/>
          <w:spacing w:val="-19"/>
          <w:w w:val="105"/>
        </w:rPr>
        <w:t> </w:t>
      </w:r>
      <w:r>
        <w:rPr>
          <w:color w:val="231F20"/>
          <w:w w:val="105"/>
        </w:rPr>
        <w:t>sustenance</w:t>
      </w:r>
      <w:r>
        <w:rPr>
          <w:color w:val="231F20"/>
          <w:spacing w:val="-19"/>
          <w:w w:val="105"/>
        </w:rPr>
        <w:t> </w:t>
      </w:r>
      <w:r>
        <w:rPr>
          <w:color w:val="231F20"/>
          <w:w w:val="105"/>
        </w:rPr>
        <w:t>that</w:t>
      </w:r>
      <w:r>
        <w:rPr>
          <w:color w:val="231F20"/>
          <w:spacing w:val="-19"/>
          <w:w w:val="105"/>
        </w:rPr>
        <w:t> </w:t>
      </w:r>
      <w:r>
        <w:rPr>
          <w:color w:val="231F20"/>
          <w:w w:val="105"/>
        </w:rPr>
        <w:t>immigrant</w:t>
      </w:r>
      <w:r>
        <w:rPr>
          <w:color w:val="231F20"/>
          <w:spacing w:val="-19"/>
          <w:w w:val="105"/>
        </w:rPr>
        <w:t> </w:t>
      </w:r>
      <w:r>
        <w:rPr>
          <w:color w:val="231F20"/>
          <w:w w:val="105"/>
        </w:rPr>
        <w:t>communities</w:t>
      </w:r>
      <w:r>
        <w:rPr>
          <w:color w:val="231F20"/>
          <w:spacing w:val="-19"/>
          <w:w w:val="105"/>
        </w:rPr>
        <w:t> </w:t>
      </w:r>
      <w:r>
        <w:rPr>
          <w:color w:val="231F20"/>
          <w:w w:val="105"/>
        </w:rPr>
        <w:t>offer</w:t>
      </w:r>
      <w:r>
        <w:rPr>
          <w:color w:val="231F20"/>
          <w:spacing w:val="-19"/>
          <w:w w:val="105"/>
        </w:rPr>
        <w:t> </w:t>
      </w:r>
      <w:r>
        <w:rPr>
          <w:color w:val="231F20"/>
          <w:w w:val="105"/>
        </w:rPr>
        <w:t>youth (Feliciano, 2001) and the traditional family system found in many immi- grant</w:t>
      </w:r>
      <w:r>
        <w:rPr>
          <w:color w:val="231F20"/>
          <w:spacing w:val="-6"/>
          <w:w w:val="105"/>
        </w:rPr>
        <w:t> </w:t>
      </w:r>
      <w:r>
        <w:rPr>
          <w:color w:val="231F20"/>
          <w:w w:val="105"/>
        </w:rPr>
        <w:t>families</w:t>
      </w:r>
      <w:r>
        <w:rPr>
          <w:color w:val="231F20"/>
          <w:spacing w:val="-6"/>
          <w:w w:val="105"/>
        </w:rPr>
        <w:t> </w:t>
      </w:r>
      <w:r>
        <w:rPr>
          <w:color w:val="231F20"/>
          <w:w w:val="105"/>
        </w:rPr>
        <w:t>may</w:t>
      </w:r>
      <w:r>
        <w:rPr>
          <w:color w:val="231F20"/>
          <w:spacing w:val="-6"/>
          <w:w w:val="105"/>
        </w:rPr>
        <w:t> </w:t>
      </w:r>
      <w:r>
        <w:rPr>
          <w:color w:val="231F20"/>
          <w:w w:val="105"/>
        </w:rPr>
        <w:t>protect</w:t>
      </w:r>
      <w:r>
        <w:rPr>
          <w:color w:val="231F20"/>
          <w:spacing w:val="-6"/>
          <w:w w:val="105"/>
        </w:rPr>
        <w:t> </w:t>
      </w:r>
      <w:r>
        <w:rPr>
          <w:color w:val="231F20"/>
          <w:w w:val="105"/>
        </w:rPr>
        <w:t>youth</w:t>
      </w:r>
      <w:r>
        <w:rPr>
          <w:color w:val="231F20"/>
          <w:spacing w:val="-6"/>
          <w:w w:val="105"/>
        </w:rPr>
        <w:t> </w:t>
      </w:r>
      <w:r>
        <w:rPr>
          <w:color w:val="231F20"/>
          <w:w w:val="105"/>
        </w:rPr>
        <w:t>from</w:t>
      </w:r>
      <w:r>
        <w:rPr>
          <w:color w:val="231F20"/>
          <w:spacing w:val="-6"/>
          <w:w w:val="105"/>
        </w:rPr>
        <w:t> </w:t>
      </w:r>
      <w:r>
        <w:rPr>
          <w:color w:val="231F20"/>
          <w:w w:val="105"/>
        </w:rPr>
        <w:t>various</w:t>
      </w:r>
      <w:r>
        <w:rPr>
          <w:color w:val="231F20"/>
          <w:spacing w:val="-6"/>
          <w:w w:val="105"/>
        </w:rPr>
        <w:t> </w:t>
      </w:r>
      <w:r>
        <w:rPr>
          <w:color w:val="231F20"/>
          <w:w w:val="105"/>
        </w:rPr>
        <w:t>negative</w:t>
      </w:r>
      <w:r>
        <w:rPr>
          <w:color w:val="231F20"/>
          <w:spacing w:val="-6"/>
          <w:w w:val="105"/>
        </w:rPr>
        <w:t> </w:t>
      </w:r>
      <w:r>
        <w:rPr>
          <w:color w:val="231F20"/>
          <w:w w:val="105"/>
        </w:rPr>
        <w:t>outcomes</w:t>
      </w:r>
      <w:r>
        <w:rPr>
          <w:color w:val="231F20"/>
          <w:spacing w:val="-6"/>
          <w:w w:val="105"/>
        </w:rPr>
        <w:t> </w:t>
      </w:r>
      <w:r>
        <w:rPr>
          <w:color w:val="231F20"/>
          <w:w w:val="105"/>
        </w:rPr>
        <w:t>due</w:t>
      </w:r>
      <w:r>
        <w:rPr>
          <w:color w:val="231F20"/>
          <w:spacing w:val="-6"/>
          <w:w w:val="105"/>
        </w:rPr>
        <w:t> </w:t>
      </w:r>
      <w:r>
        <w:rPr>
          <w:color w:val="231F20"/>
          <w:w w:val="105"/>
        </w:rPr>
        <w:t>to low</w:t>
      </w:r>
      <w:r>
        <w:rPr>
          <w:color w:val="231F20"/>
          <w:spacing w:val="-22"/>
          <w:w w:val="105"/>
        </w:rPr>
        <w:t> </w:t>
      </w:r>
      <w:r>
        <w:rPr>
          <w:color w:val="231F20"/>
          <w:w w:val="105"/>
        </w:rPr>
        <w:t>socioeconomic</w:t>
      </w:r>
      <w:r>
        <w:rPr>
          <w:color w:val="231F20"/>
          <w:spacing w:val="-22"/>
          <w:w w:val="105"/>
        </w:rPr>
        <w:t> </w:t>
      </w:r>
      <w:r>
        <w:rPr>
          <w:color w:val="231F20"/>
          <w:w w:val="105"/>
        </w:rPr>
        <w:t>status.</w:t>
      </w:r>
      <w:r>
        <w:rPr>
          <w:color w:val="231F20"/>
          <w:spacing w:val="-31"/>
          <w:w w:val="105"/>
        </w:rPr>
        <w:t> </w:t>
      </w:r>
      <w:r>
        <w:rPr>
          <w:color w:val="231F20"/>
          <w:w w:val="105"/>
        </w:rPr>
        <w:t>Thus,</w:t>
      </w:r>
      <w:r>
        <w:rPr>
          <w:color w:val="231F20"/>
          <w:spacing w:val="-27"/>
          <w:w w:val="105"/>
        </w:rPr>
        <w:t> </w:t>
      </w:r>
      <w:r>
        <w:rPr>
          <w:color w:val="231F20"/>
          <w:w w:val="105"/>
        </w:rPr>
        <w:t>the</w:t>
      </w:r>
      <w:r>
        <w:rPr>
          <w:color w:val="231F20"/>
          <w:spacing w:val="-22"/>
          <w:w w:val="105"/>
        </w:rPr>
        <w:t> </w:t>
      </w:r>
      <w:r>
        <w:rPr>
          <w:color w:val="231F20"/>
          <w:w w:val="105"/>
        </w:rPr>
        <w:t>social</w:t>
      </w:r>
      <w:r>
        <w:rPr>
          <w:color w:val="231F20"/>
          <w:spacing w:val="-22"/>
          <w:w w:val="105"/>
        </w:rPr>
        <w:t> </w:t>
      </w:r>
      <w:r>
        <w:rPr>
          <w:color w:val="231F20"/>
          <w:w w:val="105"/>
        </w:rPr>
        <w:t>capital</w:t>
      </w:r>
      <w:r>
        <w:rPr>
          <w:color w:val="231F20"/>
          <w:spacing w:val="-22"/>
          <w:w w:val="105"/>
        </w:rPr>
        <w:t> </w:t>
      </w:r>
      <w:r>
        <w:rPr>
          <w:color w:val="231F20"/>
          <w:w w:val="105"/>
        </w:rPr>
        <w:t>found</w:t>
      </w:r>
      <w:r>
        <w:rPr>
          <w:color w:val="231F20"/>
          <w:spacing w:val="-22"/>
          <w:w w:val="105"/>
        </w:rPr>
        <w:t> </w:t>
      </w:r>
      <w:r>
        <w:rPr>
          <w:color w:val="231F20"/>
          <w:w w:val="105"/>
        </w:rPr>
        <w:t>within</w:t>
      </w:r>
      <w:r>
        <w:rPr>
          <w:color w:val="231F20"/>
          <w:spacing w:val="-22"/>
          <w:w w:val="105"/>
        </w:rPr>
        <w:t> </w:t>
      </w:r>
      <w:r>
        <w:rPr>
          <w:color w:val="231F20"/>
          <w:w w:val="105"/>
        </w:rPr>
        <w:t>immigrant families, in the forms of family cohesion and community ties, can serve as</w:t>
      </w:r>
      <w:r>
        <w:rPr>
          <w:color w:val="231F20"/>
          <w:spacing w:val="-17"/>
          <w:w w:val="105"/>
        </w:rPr>
        <w:t> </w:t>
      </w:r>
      <w:r>
        <w:rPr>
          <w:color w:val="231F20"/>
          <w:w w:val="105"/>
        </w:rPr>
        <w:t>an</w:t>
      </w:r>
      <w:r>
        <w:rPr>
          <w:color w:val="231F20"/>
          <w:spacing w:val="-17"/>
          <w:w w:val="105"/>
        </w:rPr>
        <w:t> </w:t>
      </w:r>
      <w:r>
        <w:rPr>
          <w:color w:val="231F20"/>
          <w:w w:val="105"/>
        </w:rPr>
        <w:t>advantage</w:t>
      </w:r>
      <w:r>
        <w:rPr>
          <w:color w:val="231F20"/>
          <w:spacing w:val="-17"/>
          <w:w w:val="105"/>
        </w:rPr>
        <w:t> </w:t>
      </w:r>
      <w:r>
        <w:rPr>
          <w:color w:val="231F20"/>
          <w:w w:val="105"/>
        </w:rPr>
        <w:t>in</w:t>
      </w:r>
      <w:r>
        <w:rPr>
          <w:color w:val="231F20"/>
          <w:spacing w:val="-17"/>
          <w:w w:val="105"/>
        </w:rPr>
        <w:t> </w:t>
      </w:r>
      <w:r>
        <w:rPr>
          <w:color w:val="231F20"/>
          <w:w w:val="105"/>
        </w:rPr>
        <w:t>prevailing</w:t>
      </w:r>
      <w:r>
        <w:rPr>
          <w:color w:val="231F20"/>
          <w:spacing w:val="-17"/>
          <w:w w:val="105"/>
        </w:rPr>
        <w:t> </w:t>
      </w:r>
      <w:r>
        <w:rPr>
          <w:color w:val="231F20"/>
          <w:w w:val="105"/>
        </w:rPr>
        <w:t>over</w:t>
      </w:r>
      <w:r>
        <w:rPr>
          <w:color w:val="231F20"/>
          <w:spacing w:val="-17"/>
          <w:w w:val="105"/>
        </w:rPr>
        <w:t> </w:t>
      </w:r>
      <w:r>
        <w:rPr>
          <w:color w:val="231F20"/>
          <w:w w:val="105"/>
        </w:rPr>
        <w:t>educational</w:t>
      </w:r>
      <w:r>
        <w:rPr>
          <w:color w:val="231F20"/>
          <w:spacing w:val="-17"/>
          <w:w w:val="105"/>
        </w:rPr>
        <w:t> </w:t>
      </w:r>
      <w:r>
        <w:rPr>
          <w:color w:val="231F20"/>
          <w:w w:val="105"/>
        </w:rPr>
        <w:t>disadvantages</w:t>
      </w:r>
      <w:r>
        <w:rPr>
          <w:color w:val="231F20"/>
          <w:spacing w:val="-17"/>
          <w:w w:val="105"/>
        </w:rPr>
        <w:t> </w:t>
      </w:r>
      <w:r>
        <w:rPr>
          <w:color w:val="231F20"/>
          <w:w w:val="105"/>
        </w:rPr>
        <w:t>immigrant families</w:t>
      </w:r>
      <w:r>
        <w:rPr>
          <w:color w:val="231F20"/>
          <w:spacing w:val="-18"/>
          <w:w w:val="105"/>
        </w:rPr>
        <w:t> </w:t>
      </w:r>
      <w:r>
        <w:rPr>
          <w:color w:val="231F20"/>
          <w:w w:val="105"/>
        </w:rPr>
        <w:t>and</w:t>
      </w:r>
      <w:r>
        <w:rPr>
          <w:color w:val="231F20"/>
          <w:spacing w:val="-18"/>
          <w:w w:val="105"/>
        </w:rPr>
        <w:t> </w:t>
      </w:r>
      <w:r>
        <w:rPr>
          <w:color w:val="231F20"/>
          <w:w w:val="105"/>
        </w:rPr>
        <w:t>their</w:t>
      </w:r>
      <w:r>
        <w:rPr>
          <w:color w:val="231F20"/>
          <w:spacing w:val="-18"/>
          <w:w w:val="105"/>
        </w:rPr>
        <w:t> </w:t>
      </w:r>
      <w:r>
        <w:rPr>
          <w:color w:val="231F20"/>
          <w:w w:val="105"/>
        </w:rPr>
        <w:t>children</w:t>
      </w:r>
      <w:r>
        <w:rPr>
          <w:color w:val="231F20"/>
          <w:spacing w:val="-18"/>
          <w:w w:val="105"/>
        </w:rPr>
        <w:t> </w:t>
      </w:r>
      <w:r>
        <w:rPr>
          <w:color w:val="231F20"/>
          <w:w w:val="105"/>
        </w:rPr>
        <w:t>may</w:t>
      </w:r>
      <w:r>
        <w:rPr>
          <w:color w:val="231F20"/>
          <w:spacing w:val="-18"/>
          <w:w w:val="105"/>
        </w:rPr>
        <w:t> </w:t>
      </w:r>
      <w:r>
        <w:rPr>
          <w:color w:val="231F20"/>
          <w:w w:val="105"/>
        </w:rPr>
        <w:t>encounter</w:t>
      </w:r>
      <w:r>
        <w:rPr>
          <w:color w:val="231F20"/>
          <w:spacing w:val="-18"/>
          <w:w w:val="105"/>
        </w:rPr>
        <w:t> </w:t>
      </w:r>
      <w:r>
        <w:rPr>
          <w:color w:val="231F20"/>
          <w:spacing w:val="-4"/>
          <w:w w:val="105"/>
        </w:rPr>
        <w:t>(Tang,</w:t>
      </w:r>
      <w:r>
        <w:rPr>
          <w:color w:val="231F20"/>
          <w:spacing w:val="-23"/>
          <w:w w:val="105"/>
        </w:rPr>
        <w:t> </w:t>
      </w:r>
      <w:r>
        <w:rPr>
          <w:color w:val="231F20"/>
          <w:w w:val="105"/>
        </w:rPr>
        <w:t>2015).</w:t>
      </w:r>
    </w:p>
    <w:p>
      <w:pPr>
        <w:pStyle w:val="BodyText"/>
        <w:rPr>
          <w:sz w:val="20"/>
        </w:rPr>
      </w:pPr>
    </w:p>
    <w:p>
      <w:pPr>
        <w:pStyle w:val="BodyText"/>
        <w:spacing w:before="9"/>
        <w:rPr>
          <w:sz w:val="20"/>
        </w:rPr>
      </w:pPr>
    </w:p>
    <w:p>
      <w:pPr>
        <w:pStyle w:val="Heading3"/>
        <w:ind w:left="1723"/>
      </w:pPr>
      <w:r>
        <w:rPr>
          <w:color w:val="231F20"/>
        </w:rPr>
        <w:t>Social Capital and Social Support</w:t>
      </w:r>
    </w:p>
    <w:p>
      <w:pPr>
        <w:pStyle w:val="BodyText"/>
        <w:rPr>
          <w:rFonts w:ascii="Arial"/>
          <w:b/>
          <w:sz w:val="22"/>
        </w:rPr>
      </w:pPr>
    </w:p>
    <w:p>
      <w:pPr>
        <w:pStyle w:val="BodyText"/>
        <w:spacing w:line="261" w:lineRule="auto" w:before="163"/>
        <w:ind w:left="1723" w:right="1828"/>
        <w:jc w:val="both"/>
      </w:pPr>
      <w:r>
        <w:rPr>
          <w:color w:val="231F20"/>
          <w:w w:val="105"/>
        </w:rPr>
        <w:t>A</w:t>
      </w:r>
      <w:r>
        <w:rPr>
          <w:color w:val="231F20"/>
          <w:spacing w:val="-14"/>
          <w:w w:val="105"/>
        </w:rPr>
        <w:t> </w:t>
      </w:r>
      <w:r>
        <w:rPr>
          <w:color w:val="231F20"/>
          <w:w w:val="105"/>
        </w:rPr>
        <w:t>key</w:t>
      </w:r>
      <w:r>
        <w:rPr>
          <w:color w:val="231F20"/>
          <w:spacing w:val="-10"/>
          <w:w w:val="105"/>
        </w:rPr>
        <w:t> </w:t>
      </w:r>
      <w:r>
        <w:rPr>
          <w:color w:val="231F20"/>
          <w:w w:val="105"/>
        </w:rPr>
        <w:t>component</w:t>
      </w:r>
      <w:r>
        <w:rPr>
          <w:color w:val="231F20"/>
          <w:spacing w:val="-10"/>
          <w:w w:val="105"/>
        </w:rPr>
        <w:t> </w:t>
      </w:r>
      <w:r>
        <w:rPr>
          <w:color w:val="231F20"/>
          <w:w w:val="105"/>
        </w:rPr>
        <w:t>of</w:t>
      </w:r>
      <w:r>
        <w:rPr>
          <w:color w:val="231F20"/>
          <w:spacing w:val="-5"/>
          <w:w w:val="105"/>
        </w:rPr>
        <w:t> </w:t>
      </w:r>
      <w:r>
        <w:rPr>
          <w:color w:val="231F20"/>
          <w:w w:val="105"/>
        </w:rPr>
        <w:t>the</w:t>
      </w:r>
      <w:r>
        <w:rPr>
          <w:color w:val="231F20"/>
          <w:spacing w:val="-10"/>
          <w:w w:val="105"/>
        </w:rPr>
        <w:t> </w:t>
      </w:r>
      <w:r>
        <w:rPr>
          <w:color w:val="231F20"/>
          <w:w w:val="105"/>
        </w:rPr>
        <w:t>immigrant</w:t>
      </w:r>
      <w:r>
        <w:rPr>
          <w:color w:val="231F20"/>
          <w:spacing w:val="-10"/>
          <w:w w:val="105"/>
        </w:rPr>
        <w:t> </w:t>
      </w:r>
      <w:r>
        <w:rPr>
          <w:color w:val="231F20"/>
          <w:w w:val="105"/>
        </w:rPr>
        <w:t>adaptation</w:t>
      </w:r>
      <w:r>
        <w:rPr>
          <w:color w:val="231F20"/>
          <w:spacing w:val="-10"/>
          <w:w w:val="105"/>
        </w:rPr>
        <w:t> </w:t>
      </w:r>
      <w:r>
        <w:rPr>
          <w:color w:val="231F20"/>
          <w:w w:val="105"/>
        </w:rPr>
        <w:t>process</w:t>
      </w:r>
      <w:r>
        <w:rPr>
          <w:color w:val="231F20"/>
          <w:spacing w:val="-10"/>
          <w:w w:val="105"/>
        </w:rPr>
        <w:t> </w:t>
      </w:r>
      <w:r>
        <w:rPr>
          <w:color w:val="231F20"/>
          <w:w w:val="105"/>
        </w:rPr>
        <w:t>in</w:t>
      </w:r>
      <w:r>
        <w:rPr>
          <w:color w:val="231F20"/>
          <w:spacing w:val="-10"/>
          <w:w w:val="105"/>
        </w:rPr>
        <w:t> </w:t>
      </w:r>
      <w:r>
        <w:rPr>
          <w:color w:val="231F20"/>
          <w:w w:val="105"/>
        </w:rPr>
        <w:t>the</w:t>
      </w:r>
      <w:r>
        <w:rPr>
          <w:color w:val="231F20"/>
          <w:spacing w:val="-10"/>
          <w:w w:val="105"/>
        </w:rPr>
        <w:t> </w:t>
      </w:r>
      <w:r>
        <w:rPr>
          <w:color w:val="231F20"/>
          <w:w w:val="105"/>
        </w:rPr>
        <w:t>United</w:t>
      </w:r>
      <w:r>
        <w:rPr>
          <w:color w:val="231F20"/>
          <w:spacing w:val="-10"/>
          <w:w w:val="105"/>
        </w:rPr>
        <w:t> </w:t>
      </w:r>
      <w:r>
        <w:rPr>
          <w:color w:val="231F20"/>
          <w:w w:val="105"/>
        </w:rPr>
        <w:t>Sta- tes</w:t>
      </w:r>
      <w:r>
        <w:rPr>
          <w:color w:val="231F20"/>
          <w:spacing w:val="-16"/>
          <w:w w:val="105"/>
        </w:rPr>
        <w:t> </w:t>
      </w:r>
      <w:r>
        <w:rPr>
          <w:color w:val="231F20"/>
          <w:w w:val="105"/>
        </w:rPr>
        <w:t>is</w:t>
      </w:r>
      <w:r>
        <w:rPr>
          <w:color w:val="231F20"/>
          <w:spacing w:val="-16"/>
          <w:w w:val="105"/>
        </w:rPr>
        <w:t> </w:t>
      </w:r>
      <w:r>
        <w:rPr>
          <w:color w:val="231F20"/>
          <w:w w:val="105"/>
        </w:rPr>
        <w:t>for</w:t>
      </w:r>
      <w:r>
        <w:rPr>
          <w:color w:val="231F20"/>
          <w:spacing w:val="-16"/>
          <w:w w:val="105"/>
        </w:rPr>
        <w:t> </w:t>
      </w:r>
      <w:r>
        <w:rPr>
          <w:color w:val="231F20"/>
          <w:w w:val="105"/>
        </w:rPr>
        <w:t>their</w:t>
      </w:r>
      <w:r>
        <w:rPr>
          <w:color w:val="231F20"/>
          <w:spacing w:val="-16"/>
          <w:w w:val="105"/>
        </w:rPr>
        <w:t> </w:t>
      </w:r>
      <w:r>
        <w:rPr>
          <w:color w:val="231F20"/>
          <w:w w:val="105"/>
        </w:rPr>
        <w:t>children</w:t>
      </w:r>
      <w:r>
        <w:rPr>
          <w:color w:val="231F20"/>
          <w:spacing w:val="-16"/>
          <w:w w:val="105"/>
        </w:rPr>
        <w:t> </w:t>
      </w:r>
      <w:r>
        <w:rPr>
          <w:color w:val="231F20"/>
          <w:w w:val="105"/>
        </w:rPr>
        <w:t>to</w:t>
      </w:r>
      <w:r>
        <w:rPr>
          <w:color w:val="231F20"/>
          <w:spacing w:val="-16"/>
          <w:w w:val="105"/>
        </w:rPr>
        <w:t> </w:t>
      </w:r>
      <w:r>
        <w:rPr>
          <w:color w:val="231F20"/>
          <w:w w:val="105"/>
        </w:rPr>
        <w:t>succeed</w:t>
      </w:r>
      <w:r>
        <w:rPr>
          <w:color w:val="231F20"/>
          <w:spacing w:val="-16"/>
          <w:w w:val="105"/>
        </w:rPr>
        <w:t> </w:t>
      </w:r>
      <w:r>
        <w:rPr>
          <w:color w:val="231F20"/>
          <w:w w:val="105"/>
        </w:rPr>
        <w:t>academically</w:t>
      </w:r>
      <w:r>
        <w:rPr>
          <w:color w:val="231F20"/>
          <w:spacing w:val="-16"/>
          <w:w w:val="105"/>
        </w:rPr>
        <w:t> </w:t>
      </w:r>
      <w:r>
        <w:rPr>
          <w:color w:val="231F20"/>
          <w:w w:val="105"/>
        </w:rPr>
        <w:t>which</w:t>
      </w:r>
      <w:r>
        <w:rPr>
          <w:color w:val="231F20"/>
          <w:spacing w:val="-16"/>
          <w:w w:val="105"/>
        </w:rPr>
        <w:t> </w:t>
      </w:r>
      <w:r>
        <w:rPr>
          <w:color w:val="231F20"/>
          <w:w w:val="105"/>
        </w:rPr>
        <w:t>is</w:t>
      </w:r>
      <w:r>
        <w:rPr>
          <w:color w:val="231F20"/>
          <w:spacing w:val="-16"/>
          <w:w w:val="105"/>
        </w:rPr>
        <w:t> </w:t>
      </w:r>
      <w:r>
        <w:rPr>
          <w:color w:val="231F20"/>
          <w:w w:val="105"/>
        </w:rPr>
        <w:t>often</w:t>
      </w:r>
      <w:r>
        <w:rPr>
          <w:color w:val="231F20"/>
          <w:spacing w:val="-16"/>
          <w:w w:val="105"/>
        </w:rPr>
        <w:t> </w:t>
      </w:r>
      <w:r>
        <w:rPr>
          <w:color w:val="231F20"/>
          <w:w w:val="105"/>
        </w:rPr>
        <w:t>connected to</w:t>
      </w:r>
      <w:r>
        <w:rPr>
          <w:color w:val="231F20"/>
          <w:spacing w:val="-17"/>
          <w:w w:val="105"/>
        </w:rPr>
        <w:t> </w:t>
      </w:r>
      <w:r>
        <w:rPr>
          <w:color w:val="231F20"/>
          <w:w w:val="105"/>
        </w:rPr>
        <w:t>the</w:t>
      </w:r>
      <w:r>
        <w:rPr>
          <w:color w:val="231F20"/>
          <w:spacing w:val="-17"/>
          <w:w w:val="105"/>
        </w:rPr>
        <w:t> </w:t>
      </w:r>
      <w:r>
        <w:rPr>
          <w:color w:val="231F20"/>
          <w:w w:val="105"/>
        </w:rPr>
        <w:t>social</w:t>
      </w:r>
      <w:r>
        <w:rPr>
          <w:color w:val="231F20"/>
          <w:spacing w:val="-17"/>
          <w:w w:val="105"/>
        </w:rPr>
        <w:t> </w:t>
      </w:r>
      <w:r>
        <w:rPr>
          <w:color w:val="231F20"/>
          <w:w w:val="105"/>
        </w:rPr>
        <w:t>capital</w:t>
      </w:r>
      <w:r>
        <w:rPr>
          <w:color w:val="231F20"/>
          <w:spacing w:val="-17"/>
          <w:w w:val="105"/>
        </w:rPr>
        <w:t> </w:t>
      </w:r>
      <w:r>
        <w:rPr>
          <w:color w:val="231F20"/>
          <w:w w:val="105"/>
        </w:rPr>
        <w:t>immigrants</w:t>
      </w:r>
      <w:r>
        <w:rPr>
          <w:color w:val="231F20"/>
          <w:spacing w:val="-17"/>
          <w:w w:val="105"/>
        </w:rPr>
        <w:t> </w:t>
      </w:r>
      <w:r>
        <w:rPr>
          <w:color w:val="231F20"/>
          <w:w w:val="105"/>
        </w:rPr>
        <w:t>possess</w:t>
      </w:r>
      <w:r>
        <w:rPr>
          <w:color w:val="231F20"/>
          <w:spacing w:val="-17"/>
          <w:w w:val="105"/>
        </w:rPr>
        <w:t> </w:t>
      </w:r>
      <w:r>
        <w:rPr>
          <w:color w:val="231F20"/>
          <w:w w:val="105"/>
        </w:rPr>
        <w:t>(Gaytán,</w:t>
      </w:r>
      <w:r>
        <w:rPr>
          <w:color w:val="231F20"/>
          <w:spacing w:val="-22"/>
          <w:w w:val="105"/>
        </w:rPr>
        <w:t> </w:t>
      </w:r>
      <w:r>
        <w:rPr>
          <w:color w:val="231F20"/>
          <w:w w:val="105"/>
        </w:rPr>
        <w:t>2010).</w:t>
      </w:r>
      <w:r>
        <w:rPr>
          <w:color w:val="231F20"/>
          <w:spacing w:val="-23"/>
          <w:w w:val="105"/>
        </w:rPr>
        <w:t> </w:t>
      </w:r>
      <w:r>
        <w:rPr>
          <w:color w:val="231F20"/>
          <w:w w:val="105"/>
        </w:rPr>
        <w:t>When</w:t>
      </w:r>
      <w:r>
        <w:rPr>
          <w:color w:val="231F20"/>
          <w:spacing w:val="-17"/>
          <w:w w:val="105"/>
        </w:rPr>
        <w:t> </w:t>
      </w:r>
      <w:r>
        <w:rPr>
          <w:color w:val="231F20"/>
          <w:w w:val="105"/>
        </w:rPr>
        <w:t>social</w:t>
      </w:r>
      <w:r>
        <w:rPr>
          <w:color w:val="231F20"/>
          <w:spacing w:val="-17"/>
          <w:w w:val="105"/>
        </w:rPr>
        <w:t> </w:t>
      </w:r>
      <w:r>
        <w:rPr>
          <w:color w:val="231F20"/>
          <w:w w:val="105"/>
        </w:rPr>
        <w:t>ca- pital</w:t>
      </w:r>
      <w:r>
        <w:rPr>
          <w:color w:val="231F20"/>
          <w:spacing w:val="-11"/>
          <w:w w:val="105"/>
        </w:rPr>
        <w:t> </w:t>
      </w:r>
      <w:r>
        <w:rPr>
          <w:color w:val="231F20"/>
          <w:w w:val="105"/>
        </w:rPr>
        <w:t>represents</w:t>
      </w:r>
      <w:r>
        <w:rPr>
          <w:color w:val="231F20"/>
          <w:spacing w:val="-11"/>
          <w:w w:val="105"/>
        </w:rPr>
        <w:t> </w:t>
      </w:r>
      <w:r>
        <w:rPr>
          <w:color w:val="231F20"/>
          <w:w w:val="105"/>
        </w:rPr>
        <w:t>social</w:t>
      </w:r>
      <w:r>
        <w:rPr>
          <w:color w:val="231F20"/>
          <w:spacing w:val="-11"/>
          <w:w w:val="105"/>
        </w:rPr>
        <w:t> </w:t>
      </w:r>
      <w:r>
        <w:rPr>
          <w:color w:val="231F20"/>
          <w:w w:val="105"/>
        </w:rPr>
        <w:t>networks</w:t>
      </w:r>
      <w:r>
        <w:rPr>
          <w:color w:val="231F20"/>
          <w:spacing w:val="-11"/>
          <w:w w:val="105"/>
        </w:rPr>
        <w:t> </w:t>
      </w:r>
      <w:r>
        <w:rPr>
          <w:color w:val="231F20"/>
          <w:w w:val="105"/>
        </w:rPr>
        <w:t>that</w:t>
      </w:r>
      <w:r>
        <w:rPr>
          <w:color w:val="231F20"/>
          <w:spacing w:val="-11"/>
          <w:w w:val="105"/>
        </w:rPr>
        <w:t> </w:t>
      </w:r>
      <w:r>
        <w:rPr>
          <w:color w:val="231F20"/>
          <w:w w:val="105"/>
        </w:rPr>
        <w:t>facilitate</w:t>
      </w:r>
      <w:r>
        <w:rPr>
          <w:color w:val="231F20"/>
          <w:spacing w:val="-11"/>
          <w:w w:val="105"/>
        </w:rPr>
        <w:t> </w:t>
      </w:r>
      <w:r>
        <w:rPr>
          <w:color w:val="231F20"/>
          <w:w w:val="105"/>
        </w:rPr>
        <w:t>connections</w:t>
      </w:r>
      <w:r>
        <w:rPr>
          <w:color w:val="231F20"/>
          <w:spacing w:val="-11"/>
          <w:w w:val="105"/>
        </w:rPr>
        <w:t> </w:t>
      </w:r>
      <w:r>
        <w:rPr>
          <w:color w:val="231F20"/>
          <w:w w:val="105"/>
        </w:rPr>
        <w:t>to</w:t>
      </w:r>
      <w:r>
        <w:rPr>
          <w:color w:val="231F20"/>
          <w:spacing w:val="-11"/>
          <w:w w:val="105"/>
        </w:rPr>
        <w:t> </w:t>
      </w:r>
      <w:r>
        <w:rPr>
          <w:color w:val="231F20"/>
          <w:w w:val="105"/>
        </w:rPr>
        <w:t>United</w:t>
      </w:r>
      <w:r>
        <w:rPr>
          <w:color w:val="231F20"/>
          <w:spacing w:val="-11"/>
          <w:w w:val="105"/>
        </w:rPr>
        <w:t> </w:t>
      </w:r>
      <w:r>
        <w:rPr>
          <w:color w:val="231F20"/>
          <w:w w:val="105"/>
        </w:rPr>
        <w:t>Sta- tes schools, then immigrant families may be at a disadvantage</w:t>
      </w:r>
      <w:r>
        <w:rPr>
          <w:color w:val="231F20"/>
          <w:spacing w:val="-40"/>
          <w:w w:val="105"/>
        </w:rPr>
        <w:t> </w:t>
      </w:r>
      <w:r>
        <w:rPr>
          <w:color w:val="231F20"/>
          <w:w w:val="105"/>
        </w:rPr>
        <w:t>because they generally have fewer connections to schools (Kao and Rutherford, 2007). Coleman (1990) affirmed that parents’ interest in their children’s educational success could promote academic achievement even when the</w:t>
      </w:r>
      <w:r>
        <w:rPr>
          <w:color w:val="231F20"/>
          <w:spacing w:val="-21"/>
          <w:w w:val="105"/>
        </w:rPr>
        <w:t> </w:t>
      </w:r>
      <w:r>
        <w:rPr>
          <w:color w:val="231F20"/>
          <w:w w:val="105"/>
        </w:rPr>
        <w:t>parents</w:t>
      </w:r>
      <w:r>
        <w:rPr>
          <w:color w:val="231F20"/>
          <w:spacing w:val="-21"/>
          <w:w w:val="105"/>
        </w:rPr>
        <w:t> </w:t>
      </w:r>
      <w:r>
        <w:rPr>
          <w:color w:val="231F20"/>
          <w:w w:val="105"/>
        </w:rPr>
        <w:t>had</w:t>
      </w:r>
      <w:r>
        <w:rPr>
          <w:color w:val="231F20"/>
          <w:spacing w:val="-21"/>
          <w:w w:val="105"/>
        </w:rPr>
        <w:t> </w:t>
      </w:r>
      <w:r>
        <w:rPr>
          <w:color w:val="231F20"/>
          <w:w w:val="105"/>
        </w:rPr>
        <w:t>little</w:t>
      </w:r>
      <w:r>
        <w:rPr>
          <w:color w:val="231F20"/>
          <w:spacing w:val="-21"/>
          <w:w w:val="105"/>
        </w:rPr>
        <w:t> </w:t>
      </w:r>
      <w:r>
        <w:rPr>
          <w:color w:val="231F20"/>
          <w:w w:val="105"/>
        </w:rPr>
        <w:t>formal</w:t>
      </w:r>
      <w:r>
        <w:rPr>
          <w:color w:val="231F20"/>
          <w:spacing w:val="-21"/>
          <w:w w:val="105"/>
        </w:rPr>
        <w:t> </w:t>
      </w:r>
      <w:r>
        <w:rPr>
          <w:color w:val="231F20"/>
          <w:w w:val="105"/>
        </w:rPr>
        <w:t>schooling</w:t>
      </w:r>
      <w:r>
        <w:rPr>
          <w:color w:val="231F20"/>
          <w:spacing w:val="-21"/>
          <w:w w:val="105"/>
        </w:rPr>
        <w:t> </w:t>
      </w:r>
      <w:r>
        <w:rPr>
          <w:color w:val="231F20"/>
          <w:w w:val="105"/>
        </w:rPr>
        <w:t>themselves.</w:t>
      </w:r>
      <w:r>
        <w:rPr>
          <w:color w:val="231F20"/>
          <w:spacing w:val="13"/>
          <w:w w:val="105"/>
        </w:rPr>
        <w:t> </w:t>
      </w:r>
      <w:r>
        <w:rPr>
          <w:color w:val="231F20"/>
          <w:w w:val="105"/>
        </w:rPr>
        <w:t>Many</w:t>
      </w:r>
      <w:r>
        <w:rPr>
          <w:color w:val="231F20"/>
          <w:spacing w:val="-21"/>
          <w:w w:val="105"/>
        </w:rPr>
        <w:t> </w:t>
      </w:r>
      <w:r>
        <w:rPr>
          <w:color w:val="231F20"/>
          <w:w w:val="105"/>
        </w:rPr>
        <w:t>immigrant</w:t>
      </w:r>
      <w:r>
        <w:rPr>
          <w:color w:val="231F20"/>
          <w:spacing w:val="-21"/>
          <w:w w:val="105"/>
        </w:rPr>
        <w:t> </w:t>
      </w:r>
      <w:r>
        <w:rPr>
          <w:color w:val="231F20"/>
          <w:w w:val="105"/>
        </w:rPr>
        <w:t>fami- lies</w:t>
      </w:r>
      <w:r>
        <w:rPr>
          <w:color w:val="231F20"/>
          <w:spacing w:val="-7"/>
          <w:w w:val="105"/>
        </w:rPr>
        <w:t> </w:t>
      </w:r>
      <w:r>
        <w:rPr>
          <w:color w:val="231F20"/>
          <w:w w:val="105"/>
        </w:rPr>
        <w:t>place</w:t>
      </w:r>
      <w:r>
        <w:rPr>
          <w:color w:val="231F20"/>
          <w:spacing w:val="-7"/>
          <w:w w:val="105"/>
        </w:rPr>
        <w:t> </w:t>
      </w:r>
      <w:r>
        <w:rPr>
          <w:color w:val="231F20"/>
          <w:w w:val="105"/>
        </w:rPr>
        <w:t>a</w:t>
      </w:r>
      <w:r>
        <w:rPr>
          <w:color w:val="231F20"/>
          <w:spacing w:val="-7"/>
          <w:w w:val="105"/>
        </w:rPr>
        <w:t> </w:t>
      </w:r>
      <w:r>
        <w:rPr>
          <w:color w:val="231F20"/>
          <w:w w:val="105"/>
        </w:rPr>
        <w:t>high</w:t>
      </w:r>
      <w:r>
        <w:rPr>
          <w:color w:val="231F20"/>
          <w:spacing w:val="-7"/>
          <w:w w:val="105"/>
        </w:rPr>
        <w:t> </w:t>
      </w:r>
      <w:r>
        <w:rPr>
          <w:color w:val="231F20"/>
          <w:w w:val="105"/>
        </w:rPr>
        <w:t>value</w:t>
      </w:r>
      <w:r>
        <w:rPr>
          <w:color w:val="231F20"/>
          <w:spacing w:val="-7"/>
          <w:w w:val="105"/>
        </w:rPr>
        <w:t> </w:t>
      </w:r>
      <w:r>
        <w:rPr>
          <w:color w:val="231F20"/>
          <w:w w:val="105"/>
        </w:rPr>
        <w:t>on</w:t>
      </w:r>
      <w:r>
        <w:rPr>
          <w:color w:val="231F20"/>
          <w:spacing w:val="-7"/>
          <w:w w:val="105"/>
        </w:rPr>
        <w:t> </w:t>
      </w:r>
      <w:r>
        <w:rPr>
          <w:color w:val="231F20"/>
          <w:w w:val="105"/>
        </w:rPr>
        <w:t>education</w:t>
      </w:r>
      <w:r>
        <w:rPr>
          <w:color w:val="231F20"/>
          <w:spacing w:val="-7"/>
          <w:w w:val="105"/>
        </w:rPr>
        <w:t> </w:t>
      </w:r>
      <w:r>
        <w:rPr>
          <w:color w:val="231F20"/>
          <w:w w:val="105"/>
        </w:rPr>
        <w:t>as</w:t>
      </w:r>
      <w:r>
        <w:rPr>
          <w:color w:val="231F20"/>
          <w:spacing w:val="-7"/>
          <w:w w:val="105"/>
        </w:rPr>
        <w:t> </w:t>
      </w:r>
      <w:r>
        <w:rPr>
          <w:color w:val="231F20"/>
          <w:w w:val="105"/>
        </w:rPr>
        <w:t>a</w:t>
      </w:r>
      <w:r>
        <w:rPr>
          <w:color w:val="231F20"/>
          <w:spacing w:val="-7"/>
          <w:w w:val="105"/>
        </w:rPr>
        <w:t> </w:t>
      </w:r>
      <w:r>
        <w:rPr>
          <w:color w:val="231F20"/>
          <w:w w:val="105"/>
        </w:rPr>
        <w:t>route</w:t>
      </w:r>
      <w:r>
        <w:rPr>
          <w:color w:val="231F20"/>
          <w:spacing w:val="-7"/>
          <w:w w:val="105"/>
        </w:rPr>
        <w:t> </w:t>
      </w:r>
      <w:r>
        <w:rPr>
          <w:color w:val="231F20"/>
          <w:w w:val="105"/>
        </w:rPr>
        <w:t>to</w:t>
      </w:r>
      <w:r>
        <w:rPr>
          <w:color w:val="231F20"/>
          <w:spacing w:val="-7"/>
          <w:w w:val="105"/>
        </w:rPr>
        <w:t> </w:t>
      </w:r>
      <w:r>
        <w:rPr>
          <w:color w:val="231F20"/>
          <w:w w:val="105"/>
        </w:rPr>
        <w:t>social</w:t>
      </w:r>
      <w:r>
        <w:rPr>
          <w:color w:val="231F20"/>
          <w:spacing w:val="-7"/>
          <w:w w:val="105"/>
        </w:rPr>
        <w:t> </w:t>
      </w:r>
      <w:r>
        <w:rPr>
          <w:color w:val="231F20"/>
          <w:w w:val="105"/>
        </w:rPr>
        <w:t>mobility</w:t>
      </w:r>
      <w:r>
        <w:rPr>
          <w:color w:val="231F20"/>
          <w:spacing w:val="-7"/>
          <w:w w:val="105"/>
        </w:rPr>
        <w:t> </w:t>
      </w:r>
      <w:r>
        <w:rPr>
          <w:color w:val="231F20"/>
          <w:w w:val="105"/>
        </w:rPr>
        <w:t>for</w:t>
      </w:r>
      <w:r>
        <w:rPr>
          <w:color w:val="231F20"/>
          <w:spacing w:val="-7"/>
          <w:w w:val="105"/>
        </w:rPr>
        <w:t> </w:t>
      </w:r>
      <w:r>
        <w:rPr>
          <w:color w:val="231F20"/>
          <w:w w:val="105"/>
        </w:rPr>
        <w:t>their children.</w:t>
      </w:r>
      <w:r>
        <w:rPr>
          <w:color w:val="231F20"/>
          <w:spacing w:val="-31"/>
          <w:w w:val="105"/>
        </w:rPr>
        <w:t> </w:t>
      </w:r>
      <w:r>
        <w:rPr>
          <w:color w:val="231F20"/>
          <w:w w:val="105"/>
        </w:rPr>
        <w:t>Additionally,</w:t>
      </w:r>
      <w:r>
        <w:rPr>
          <w:color w:val="231F20"/>
          <w:spacing w:val="-28"/>
          <w:w w:val="105"/>
        </w:rPr>
        <w:t> </w:t>
      </w:r>
      <w:r>
        <w:rPr>
          <w:color w:val="231F20"/>
          <w:w w:val="105"/>
        </w:rPr>
        <w:t>social</w:t>
      </w:r>
      <w:r>
        <w:rPr>
          <w:color w:val="231F20"/>
          <w:spacing w:val="-23"/>
          <w:w w:val="105"/>
        </w:rPr>
        <w:t> </w:t>
      </w:r>
      <w:r>
        <w:rPr>
          <w:color w:val="231F20"/>
          <w:w w:val="105"/>
        </w:rPr>
        <w:t>networks</w:t>
      </w:r>
      <w:r>
        <w:rPr>
          <w:color w:val="231F20"/>
          <w:spacing w:val="-23"/>
          <w:w w:val="105"/>
        </w:rPr>
        <w:t> </w:t>
      </w:r>
      <w:r>
        <w:rPr>
          <w:color w:val="231F20"/>
          <w:w w:val="105"/>
        </w:rPr>
        <w:t>of</w:t>
      </w:r>
      <w:r>
        <w:rPr>
          <w:color w:val="231F20"/>
          <w:spacing w:val="-19"/>
          <w:w w:val="105"/>
        </w:rPr>
        <w:t> </w:t>
      </w:r>
      <w:r>
        <w:rPr>
          <w:color w:val="231F20"/>
          <w:w w:val="105"/>
        </w:rPr>
        <w:t>school</w:t>
      </w:r>
      <w:r>
        <w:rPr>
          <w:color w:val="231F20"/>
          <w:spacing w:val="-23"/>
          <w:w w:val="105"/>
        </w:rPr>
        <w:t> </w:t>
      </w:r>
      <w:r>
        <w:rPr>
          <w:color w:val="231F20"/>
          <w:w w:val="105"/>
        </w:rPr>
        <w:t>personnel</w:t>
      </w:r>
      <w:r>
        <w:rPr>
          <w:color w:val="231F20"/>
          <w:spacing w:val="-23"/>
          <w:w w:val="105"/>
        </w:rPr>
        <w:t> </w:t>
      </w:r>
      <w:r>
        <w:rPr>
          <w:color w:val="231F20"/>
          <w:w w:val="105"/>
        </w:rPr>
        <w:t>and</w:t>
      </w:r>
      <w:r>
        <w:rPr>
          <w:color w:val="231F20"/>
          <w:spacing w:val="-23"/>
          <w:w w:val="105"/>
        </w:rPr>
        <w:t> </w:t>
      </w:r>
      <w:r>
        <w:rPr>
          <w:color w:val="231F20"/>
          <w:w w:val="105"/>
        </w:rPr>
        <w:t>peers</w:t>
      </w:r>
      <w:r>
        <w:rPr>
          <w:color w:val="231F20"/>
          <w:spacing w:val="-23"/>
          <w:w w:val="105"/>
        </w:rPr>
        <w:t> </w:t>
      </w:r>
      <w:r>
        <w:rPr>
          <w:color w:val="231F20"/>
          <w:w w:val="105"/>
        </w:rPr>
        <w:t>also exist within schools that sometimes have greater influence on</w:t>
      </w:r>
      <w:r>
        <w:rPr>
          <w:color w:val="231F20"/>
          <w:spacing w:val="-40"/>
          <w:w w:val="105"/>
        </w:rPr>
        <w:t> </w:t>
      </w:r>
      <w:r>
        <w:rPr>
          <w:color w:val="231F20"/>
          <w:w w:val="105"/>
        </w:rPr>
        <w:t>educatio- nal achievements than family or community networks outside of school (Goyette</w:t>
      </w:r>
      <w:r>
        <w:rPr>
          <w:color w:val="231F20"/>
          <w:spacing w:val="-9"/>
          <w:w w:val="105"/>
        </w:rPr>
        <w:t> </w:t>
      </w:r>
      <w:r>
        <w:rPr>
          <w:color w:val="231F20"/>
          <w:w w:val="105"/>
        </w:rPr>
        <w:t>and</w:t>
      </w:r>
      <w:r>
        <w:rPr>
          <w:color w:val="231F20"/>
          <w:spacing w:val="-9"/>
          <w:w w:val="105"/>
        </w:rPr>
        <w:t> </w:t>
      </w:r>
      <w:r>
        <w:rPr>
          <w:color w:val="231F20"/>
          <w:w w:val="105"/>
        </w:rPr>
        <w:t>Conchas,</w:t>
      </w:r>
      <w:r>
        <w:rPr>
          <w:color w:val="231F20"/>
          <w:spacing w:val="-13"/>
          <w:w w:val="105"/>
        </w:rPr>
        <w:t> </w:t>
      </w:r>
      <w:r>
        <w:rPr>
          <w:color w:val="231F20"/>
          <w:w w:val="105"/>
        </w:rPr>
        <w:t>2002).</w:t>
      </w:r>
      <w:r>
        <w:rPr>
          <w:color w:val="231F20"/>
          <w:spacing w:val="-13"/>
          <w:w w:val="105"/>
        </w:rPr>
        <w:t> </w:t>
      </w:r>
      <w:r>
        <w:rPr>
          <w:color w:val="231F20"/>
          <w:spacing w:val="-4"/>
          <w:w w:val="105"/>
        </w:rPr>
        <w:t>For</w:t>
      </w:r>
      <w:r>
        <w:rPr>
          <w:color w:val="231F20"/>
          <w:spacing w:val="-9"/>
          <w:w w:val="105"/>
        </w:rPr>
        <w:t> </w:t>
      </w:r>
      <w:r>
        <w:rPr>
          <w:color w:val="231F20"/>
          <w:w w:val="105"/>
        </w:rPr>
        <w:t>example,</w:t>
      </w:r>
      <w:r>
        <w:rPr>
          <w:color w:val="231F20"/>
          <w:spacing w:val="-13"/>
          <w:w w:val="105"/>
        </w:rPr>
        <w:t> </w:t>
      </w:r>
      <w:r>
        <w:rPr>
          <w:color w:val="231F20"/>
          <w:w w:val="105"/>
        </w:rPr>
        <w:t>Katz</w:t>
      </w:r>
      <w:r>
        <w:rPr>
          <w:color w:val="231F20"/>
          <w:spacing w:val="-9"/>
          <w:w w:val="105"/>
        </w:rPr>
        <w:t> </w:t>
      </w:r>
      <w:r>
        <w:rPr>
          <w:color w:val="231F20"/>
          <w:w w:val="105"/>
        </w:rPr>
        <w:t>(2014)</w:t>
      </w:r>
      <w:r>
        <w:rPr>
          <w:color w:val="231F20"/>
          <w:spacing w:val="-9"/>
          <w:w w:val="105"/>
        </w:rPr>
        <w:t> </w:t>
      </w:r>
      <w:r>
        <w:rPr>
          <w:color w:val="231F20"/>
          <w:w w:val="105"/>
        </w:rPr>
        <w:t>has</w:t>
      </w:r>
      <w:r>
        <w:rPr>
          <w:color w:val="231F20"/>
          <w:spacing w:val="-9"/>
          <w:w w:val="105"/>
        </w:rPr>
        <w:t> </w:t>
      </w:r>
      <w:r>
        <w:rPr>
          <w:color w:val="231F20"/>
          <w:w w:val="105"/>
        </w:rPr>
        <w:t>shown</w:t>
      </w:r>
      <w:r>
        <w:rPr>
          <w:color w:val="231F20"/>
          <w:spacing w:val="-9"/>
          <w:w w:val="105"/>
        </w:rPr>
        <w:t> </w:t>
      </w:r>
      <w:r>
        <w:rPr>
          <w:color w:val="231F20"/>
          <w:w w:val="105"/>
        </w:rPr>
        <w:t>that children</w:t>
      </w:r>
      <w:r>
        <w:rPr>
          <w:color w:val="231F20"/>
          <w:spacing w:val="-13"/>
          <w:w w:val="105"/>
        </w:rPr>
        <w:t> </w:t>
      </w:r>
      <w:r>
        <w:rPr>
          <w:color w:val="231F20"/>
          <w:w w:val="105"/>
        </w:rPr>
        <w:t>of</w:t>
      </w:r>
      <w:r>
        <w:rPr>
          <w:color w:val="231F20"/>
          <w:spacing w:val="-8"/>
          <w:w w:val="105"/>
        </w:rPr>
        <w:t> </w:t>
      </w:r>
      <w:r>
        <w:rPr>
          <w:color w:val="231F20"/>
          <w:w w:val="105"/>
        </w:rPr>
        <w:t>immigrants</w:t>
      </w:r>
      <w:r>
        <w:rPr>
          <w:color w:val="231F20"/>
          <w:spacing w:val="-13"/>
          <w:w w:val="105"/>
        </w:rPr>
        <w:t> </w:t>
      </w:r>
      <w:r>
        <w:rPr>
          <w:color w:val="231F20"/>
          <w:w w:val="105"/>
        </w:rPr>
        <w:t>in</w:t>
      </w:r>
      <w:r>
        <w:rPr>
          <w:color w:val="231F20"/>
          <w:spacing w:val="-13"/>
          <w:w w:val="105"/>
        </w:rPr>
        <w:t> </w:t>
      </w:r>
      <w:r>
        <w:rPr>
          <w:color w:val="231F20"/>
          <w:w w:val="105"/>
        </w:rPr>
        <w:t>charge</w:t>
      </w:r>
      <w:r>
        <w:rPr>
          <w:color w:val="231F20"/>
          <w:spacing w:val="-13"/>
          <w:w w:val="105"/>
        </w:rPr>
        <w:t> </w:t>
      </w:r>
      <w:r>
        <w:rPr>
          <w:color w:val="231F20"/>
          <w:w w:val="105"/>
        </w:rPr>
        <w:t>of</w:t>
      </w:r>
      <w:r>
        <w:rPr>
          <w:color w:val="231F20"/>
          <w:spacing w:val="-8"/>
          <w:w w:val="105"/>
        </w:rPr>
        <w:t> </w:t>
      </w:r>
      <w:r>
        <w:rPr>
          <w:color w:val="231F20"/>
          <w:w w:val="105"/>
        </w:rPr>
        <w:t>family</w:t>
      </w:r>
      <w:r>
        <w:rPr>
          <w:color w:val="231F20"/>
          <w:spacing w:val="-13"/>
          <w:w w:val="105"/>
        </w:rPr>
        <w:t> </w:t>
      </w:r>
      <w:r>
        <w:rPr>
          <w:color w:val="231F20"/>
          <w:w w:val="105"/>
        </w:rPr>
        <w:t>responsibilities</w:t>
      </w:r>
      <w:r>
        <w:rPr>
          <w:color w:val="231F20"/>
          <w:spacing w:val="-13"/>
          <w:w w:val="105"/>
        </w:rPr>
        <w:t> </w:t>
      </w:r>
      <w:r>
        <w:rPr>
          <w:color w:val="231F20"/>
          <w:w w:val="105"/>
        </w:rPr>
        <w:t>that</w:t>
      </w:r>
      <w:r>
        <w:rPr>
          <w:color w:val="231F20"/>
          <w:spacing w:val="-13"/>
          <w:w w:val="105"/>
        </w:rPr>
        <w:t> </w:t>
      </w:r>
      <w:r>
        <w:rPr>
          <w:color w:val="231F20"/>
          <w:w w:val="105"/>
        </w:rPr>
        <w:t>keep</w:t>
      </w:r>
      <w:r>
        <w:rPr>
          <w:color w:val="231F20"/>
          <w:spacing w:val="-13"/>
          <w:w w:val="105"/>
        </w:rPr>
        <w:t> </w:t>
      </w:r>
      <w:r>
        <w:rPr>
          <w:color w:val="231F20"/>
          <w:w w:val="105"/>
        </w:rPr>
        <w:t>them from participating in afterschool programs miss out on developing posi- tive</w:t>
      </w:r>
      <w:r>
        <w:rPr>
          <w:color w:val="231F20"/>
          <w:spacing w:val="-16"/>
          <w:w w:val="105"/>
        </w:rPr>
        <w:t> </w:t>
      </w:r>
      <w:r>
        <w:rPr>
          <w:color w:val="231F20"/>
          <w:w w:val="105"/>
        </w:rPr>
        <w:t>relationships</w:t>
      </w:r>
      <w:r>
        <w:rPr>
          <w:color w:val="231F20"/>
          <w:spacing w:val="-16"/>
          <w:w w:val="105"/>
        </w:rPr>
        <w:t> </w:t>
      </w:r>
      <w:r>
        <w:rPr>
          <w:color w:val="231F20"/>
          <w:w w:val="105"/>
        </w:rPr>
        <w:t>with</w:t>
      </w:r>
      <w:r>
        <w:rPr>
          <w:color w:val="231F20"/>
          <w:spacing w:val="-16"/>
          <w:w w:val="105"/>
        </w:rPr>
        <w:t> </w:t>
      </w:r>
      <w:r>
        <w:rPr>
          <w:color w:val="231F20"/>
          <w:w w:val="105"/>
        </w:rPr>
        <w:t>teachers,</w:t>
      </w:r>
      <w:r>
        <w:rPr>
          <w:color w:val="231F20"/>
          <w:spacing w:val="-21"/>
          <w:w w:val="105"/>
        </w:rPr>
        <w:t> </w:t>
      </w:r>
      <w:r>
        <w:rPr>
          <w:color w:val="231F20"/>
          <w:w w:val="105"/>
        </w:rPr>
        <w:t>school-oriented</w:t>
      </w:r>
      <w:r>
        <w:rPr>
          <w:color w:val="231F20"/>
          <w:spacing w:val="-16"/>
          <w:w w:val="105"/>
        </w:rPr>
        <w:t> </w:t>
      </w:r>
      <w:r>
        <w:rPr>
          <w:color w:val="231F20"/>
          <w:w w:val="105"/>
        </w:rPr>
        <w:t>peers,</w:t>
      </w:r>
      <w:r>
        <w:rPr>
          <w:color w:val="231F20"/>
          <w:spacing w:val="-21"/>
          <w:w w:val="105"/>
        </w:rPr>
        <w:t> </w:t>
      </w:r>
      <w:r>
        <w:rPr>
          <w:color w:val="231F20"/>
          <w:w w:val="105"/>
        </w:rPr>
        <w:t>and</w:t>
      </w:r>
      <w:r>
        <w:rPr>
          <w:color w:val="231F20"/>
          <w:spacing w:val="-16"/>
          <w:w w:val="105"/>
        </w:rPr>
        <w:t> </w:t>
      </w:r>
      <w:r>
        <w:rPr>
          <w:color w:val="231F20"/>
          <w:w w:val="105"/>
        </w:rPr>
        <w:t>mentors</w:t>
      </w:r>
      <w:r>
        <w:rPr>
          <w:color w:val="231F20"/>
          <w:spacing w:val="-16"/>
          <w:w w:val="105"/>
        </w:rPr>
        <w:t> </w:t>
      </w:r>
      <w:r>
        <w:rPr>
          <w:color w:val="231F20"/>
          <w:w w:val="105"/>
        </w:rPr>
        <w:t>who could help them advance in the educational system. Schools also have an important role to play in providing a safe environment for children’s differences</w:t>
      </w:r>
      <w:r>
        <w:rPr>
          <w:color w:val="231F20"/>
          <w:spacing w:val="-22"/>
          <w:w w:val="105"/>
        </w:rPr>
        <w:t> </w:t>
      </w:r>
      <w:r>
        <w:rPr>
          <w:color w:val="231F20"/>
          <w:w w:val="105"/>
        </w:rPr>
        <w:t>and</w:t>
      </w:r>
      <w:r>
        <w:rPr>
          <w:color w:val="231F20"/>
          <w:spacing w:val="-22"/>
          <w:w w:val="105"/>
        </w:rPr>
        <w:t> </w:t>
      </w:r>
      <w:r>
        <w:rPr>
          <w:color w:val="231F20"/>
          <w:w w:val="105"/>
        </w:rPr>
        <w:t>a</w:t>
      </w:r>
      <w:r>
        <w:rPr>
          <w:color w:val="231F20"/>
          <w:spacing w:val="-22"/>
          <w:w w:val="105"/>
        </w:rPr>
        <w:t> </w:t>
      </w:r>
      <w:r>
        <w:rPr>
          <w:color w:val="231F20"/>
          <w:w w:val="105"/>
        </w:rPr>
        <w:t>culture</w:t>
      </w:r>
      <w:r>
        <w:rPr>
          <w:color w:val="231F20"/>
          <w:spacing w:val="-22"/>
          <w:w w:val="105"/>
        </w:rPr>
        <w:t> </w:t>
      </w:r>
      <w:r>
        <w:rPr>
          <w:color w:val="231F20"/>
          <w:w w:val="105"/>
        </w:rPr>
        <w:t>of</w:t>
      </w:r>
      <w:r>
        <w:rPr>
          <w:color w:val="231F20"/>
          <w:spacing w:val="-19"/>
          <w:w w:val="105"/>
        </w:rPr>
        <w:t> </w:t>
      </w:r>
      <w:r>
        <w:rPr>
          <w:color w:val="231F20"/>
          <w:w w:val="105"/>
        </w:rPr>
        <w:t>inclusion</w:t>
      </w:r>
      <w:r>
        <w:rPr>
          <w:color w:val="231F20"/>
          <w:spacing w:val="-22"/>
          <w:w w:val="105"/>
        </w:rPr>
        <w:t> </w:t>
      </w:r>
      <w:r>
        <w:rPr>
          <w:color w:val="231F20"/>
          <w:w w:val="105"/>
        </w:rPr>
        <w:t>(Pugh,</w:t>
      </w:r>
      <w:r>
        <w:rPr>
          <w:color w:val="231F20"/>
          <w:spacing w:val="-26"/>
          <w:w w:val="105"/>
        </w:rPr>
        <w:t> </w:t>
      </w:r>
      <w:r>
        <w:rPr>
          <w:color w:val="231F20"/>
          <w:w w:val="105"/>
        </w:rPr>
        <w:t>2009).</w:t>
      </w:r>
    </w:p>
    <w:p>
      <w:pPr>
        <w:pStyle w:val="BodyText"/>
        <w:spacing w:line="261" w:lineRule="auto" w:before="1"/>
        <w:ind w:left="1723" w:right="1834" w:firstLine="567"/>
        <w:jc w:val="both"/>
      </w:pPr>
      <w:r>
        <w:rPr>
          <w:color w:val="231F20"/>
          <w:w w:val="105"/>
        </w:rPr>
        <w:t>Variations in socioeconomic resources and distinct perceptions</w:t>
      </w:r>
      <w:r>
        <w:rPr>
          <w:color w:val="231F20"/>
          <w:spacing w:val="-37"/>
          <w:w w:val="105"/>
        </w:rPr>
        <w:t> </w:t>
      </w:r>
      <w:r>
        <w:rPr>
          <w:color w:val="231F20"/>
          <w:w w:val="105"/>
        </w:rPr>
        <w:t>of the</w:t>
      </w:r>
      <w:r>
        <w:rPr>
          <w:color w:val="231F20"/>
          <w:spacing w:val="-11"/>
          <w:w w:val="105"/>
        </w:rPr>
        <w:t> </w:t>
      </w:r>
      <w:r>
        <w:rPr>
          <w:color w:val="231F20"/>
          <w:w w:val="105"/>
        </w:rPr>
        <w:t>role</w:t>
      </w:r>
      <w:r>
        <w:rPr>
          <w:color w:val="231F20"/>
          <w:spacing w:val="-11"/>
          <w:w w:val="105"/>
        </w:rPr>
        <w:t> </w:t>
      </w:r>
      <w:r>
        <w:rPr>
          <w:color w:val="231F20"/>
          <w:w w:val="105"/>
        </w:rPr>
        <w:t>parents</w:t>
      </w:r>
      <w:r>
        <w:rPr>
          <w:color w:val="231F20"/>
          <w:spacing w:val="-11"/>
          <w:w w:val="105"/>
        </w:rPr>
        <w:t> </w:t>
      </w:r>
      <w:r>
        <w:rPr>
          <w:color w:val="231F20"/>
          <w:w w:val="105"/>
        </w:rPr>
        <w:t>are</w:t>
      </w:r>
      <w:r>
        <w:rPr>
          <w:color w:val="231F20"/>
          <w:spacing w:val="-11"/>
          <w:w w:val="105"/>
        </w:rPr>
        <w:t> </w:t>
      </w:r>
      <w:r>
        <w:rPr>
          <w:color w:val="231F20"/>
          <w:w w:val="105"/>
        </w:rPr>
        <w:t>expected</w:t>
      </w:r>
      <w:r>
        <w:rPr>
          <w:color w:val="231F20"/>
          <w:spacing w:val="-11"/>
          <w:w w:val="105"/>
        </w:rPr>
        <w:t> </w:t>
      </w:r>
      <w:r>
        <w:rPr>
          <w:color w:val="231F20"/>
          <w:w w:val="105"/>
        </w:rPr>
        <w:t>to</w:t>
      </w:r>
      <w:r>
        <w:rPr>
          <w:color w:val="231F20"/>
          <w:spacing w:val="-11"/>
          <w:w w:val="105"/>
        </w:rPr>
        <w:t> </w:t>
      </w:r>
      <w:r>
        <w:rPr>
          <w:color w:val="231F20"/>
          <w:w w:val="105"/>
        </w:rPr>
        <w:t>play</w:t>
      </w:r>
      <w:r>
        <w:rPr>
          <w:color w:val="231F20"/>
          <w:spacing w:val="-11"/>
          <w:w w:val="105"/>
        </w:rPr>
        <w:t> </w:t>
      </w:r>
      <w:r>
        <w:rPr>
          <w:color w:val="231F20"/>
          <w:w w:val="105"/>
        </w:rPr>
        <w:t>in</w:t>
      </w:r>
      <w:r>
        <w:rPr>
          <w:color w:val="231F20"/>
          <w:spacing w:val="-11"/>
          <w:w w:val="105"/>
        </w:rPr>
        <w:t> </w:t>
      </w:r>
      <w:r>
        <w:rPr>
          <w:color w:val="231F20"/>
          <w:w w:val="105"/>
        </w:rPr>
        <w:t>the</w:t>
      </w:r>
      <w:r>
        <w:rPr>
          <w:color w:val="231F20"/>
          <w:spacing w:val="-11"/>
          <w:w w:val="105"/>
        </w:rPr>
        <w:t> </w:t>
      </w:r>
      <w:r>
        <w:rPr>
          <w:color w:val="231F20"/>
          <w:w w:val="105"/>
        </w:rPr>
        <w:t>formal</w:t>
      </w:r>
      <w:r>
        <w:rPr>
          <w:color w:val="231F20"/>
          <w:spacing w:val="-11"/>
          <w:w w:val="105"/>
        </w:rPr>
        <w:t> </w:t>
      </w:r>
      <w:r>
        <w:rPr>
          <w:color w:val="231F20"/>
          <w:w w:val="105"/>
        </w:rPr>
        <w:t>education</w:t>
      </w:r>
      <w:r>
        <w:rPr>
          <w:color w:val="231F20"/>
          <w:spacing w:val="-11"/>
          <w:w w:val="105"/>
        </w:rPr>
        <w:t> </w:t>
      </w:r>
      <w:r>
        <w:rPr>
          <w:color w:val="231F20"/>
          <w:w w:val="105"/>
        </w:rPr>
        <w:t>of</w:t>
      </w:r>
      <w:r>
        <w:rPr>
          <w:color w:val="231F20"/>
          <w:spacing w:val="-6"/>
          <w:w w:val="105"/>
        </w:rPr>
        <w:t> </w:t>
      </w:r>
      <w:r>
        <w:rPr>
          <w:color w:val="231F20"/>
          <w:w w:val="105"/>
        </w:rPr>
        <w:t>their</w:t>
      </w:r>
      <w:r>
        <w:rPr>
          <w:color w:val="231F20"/>
          <w:spacing w:val="-11"/>
          <w:w w:val="105"/>
        </w:rPr>
        <w:t> </w:t>
      </w:r>
      <w:r>
        <w:rPr>
          <w:color w:val="231F20"/>
          <w:w w:val="105"/>
        </w:rPr>
        <w:t>chil- dren</w:t>
      </w:r>
      <w:r>
        <w:rPr>
          <w:color w:val="231F20"/>
          <w:spacing w:val="-40"/>
          <w:w w:val="105"/>
        </w:rPr>
        <w:t> </w:t>
      </w:r>
      <w:r>
        <w:rPr>
          <w:color w:val="231F20"/>
          <w:w w:val="105"/>
        </w:rPr>
        <w:t>also</w:t>
      </w:r>
      <w:r>
        <w:rPr>
          <w:color w:val="231F20"/>
          <w:spacing w:val="-40"/>
          <w:w w:val="105"/>
        </w:rPr>
        <w:t> </w:t>
      </w:r>
      <w:r>
        <w:rPr>
          <w:color w:val="231F20"/>
          <w:w w:val="105"/>
        </w:rPr>
        <w:t>influence</w:t>
      </w:r>
      <w:r>
        <w:rPr>
          <w:color w:val="231F20"/>
          <w:spacing w:val="-40"/>
          <w:w w:val="105"/>
        </w:rPr>
        <w:t> </w:t>
      </w:r>
      <w:r>
        <w:rPr>
          <w:color w:val="231F20"/>
          <w:w w:val="105"/>
        </w:rPr>
        <w:t>children’s</w:t>
      </w:r>
      <w:r>
        <w:rPr>
          <w:color w:val="231F20"/>
          <w:spacing w:val="-40"/>
          <w:w w:val="105"/>
        </w:rPr>
        <w:t> </w:t>
      </w:r>
      <w:r>
        <w:rPr>
          <w:color w:val="231F20"/>
          <w:w w:val="105"/>
        </w:rPr>
        <w:t>school</w:t>
      </w:r>
      <w:r>
        <w:rPr>
          <w:color w:val="231F20"/>
          <w:spacing w:val="-40"/>
          <w:w w:val="105"/>
        </w:rPr>
        <w:t> </w:t>
      </w:r>
      <w:r>
        <w:rPr>
          <w:color w:val="231F20"/>
          <w:w w:val="105"/>
        </w:rPr>
        <w:t>success</w:t>
      </w:r>
      <w:r>
        <w:rPr>
          <w:color w:val="231F20"/>
          <w:spacing w:val="-40"/>
          <w:w w:val="105"/>
        </w:rPr>
        <w:t> </w:t>
      </w:r>
      <w:r>
        <w:rPr>
          <w:color w:val="231F20"/>
          <w:w w:val="105"/>
        </w:rPr>
        <w:t>(Lareau,</w:t>
      </w:r>
      <w:r>
        <w:rPr>
          <w:color w:val="231F20"/>
          <w:spacing w:val="-43"/>
          <w:w w:val="105"/>
        </w:rPr>
        <w:t> </w:t>
      </w:r>
      <w:r>
        <w:rPr>
          <w:color w:val="231F20"/>
          <w:w w:val="105"/>
        </w:rPr>
        <w:t>2011).</w:t>
      </w:r>
      <w:r>
        <w:rPr>
          <w:color w:val="231F20"/>
          <w:spacing w:val="-43"/>
          <w:w w:val="105"/>
        </w:rPr>
        <w:t> </w:t>
      </w:r>
      <w:r>
        <w:rPr>
          <w:color w:val="231F20"/>
          <w:w w:val="105"/>
        </w:rPr>
        <w:t>Enchautegui (2014) reported that 51 percent of first generation Latino youth lived in households with income at or below $40,000. </w:t>
      </w:r>
      <w:r>
        <w:rPr>
          <w:color w:val="231F20"/>
          <w:spacing w:val="-7"/>
          <w:w w:val="105"/>
        </w:rPr>
        <w:t>Yet </w:t>
      </w:r>
      <w:r>
        <w:rPr>
          <w:color w:val="231F20"/>
          <w:w w:val="105"/>
        </w:rPr>
        <w:t>despite high rates of poverty, the social support provided by the immigrant family and com- munity plays an important role in the transition from one society to ano- ther</w:t>
      </w:r>
      <w:r>
        <w:rPr>
          <w:color w:val="231F20"/>
          <w:spacing w:val="-23"/>
          <w:w w:val="105"/>
        </w:rPr>
        <w:t> </w:t>
      </w:r>
      <w:r>
        <w:rPr>
          <w:color w:val="231F20"/>
          <w:w w:val="105"/>
        </w:rPr>
        <w:t>(Gaytán,</w:t>
      </w:r>
      <w:r>
        <w:rPr>
          <w:color w:val="231F20"/>
          <w:spacing w:val="-28"/>
          <w:w w:val="105"/>
        </w:rPr>
        <w:t> </w:t>
      </w:r>
      <w:r>
        <w:rPr>
          <w:color w:val="231F20"/>
          <w:w w:val="105"/>
        </w:rPr>
        <w:t>2010).</w:t>
      </w:r>
      <w:r>
        <w:rPr>
          <w:color w:val="231F20"/>
          <w:spacing w:val="-28"/>
          <w:w w:val="105"/>
        </w:rPr>
        <w:t> </w:t>
      </w:r>
      <w:r>
        <w:rPr>
          <w:color w:val="231F20"/>
          <w:w w:val="105"/>
        </w:rPr>
        <w:t>Often</w:t>
      </w:r>
      <w:r>
        <w:rPr>
          <w:color w:val="231F20"/>
          <w:spacing w:val="-23"/>
          <w:w w:val="105"/>
        </w:rPr>
        <w:t> </w:t>
      </w:r>
      <w:r>
        <w:rPr>
          <w:color w:val="231F20"/>
          <w:w w:val="105"/>
        </w:rPr>
        <w:t>the</w:t>
      </w:r>
      <w:r>
        <w:rPr>
          <w:color w:val="231F20"/>
          <w:spacing w:val="-23"/>
          <w:w w:val="105"/>
        </w:rPr>
        <w:t> </w:t>
      </w:r>
      <w:r>
        <w:rPr>
          <w:color w:val="231F20"/>
          <w:w w:val="105"/>
        </w:rPr>
        <w:t>negative</w:t>
      </w:r>
      <w:r>
        <w:rPr>
          <w:color w:val="231F20"/>
          <w:spacing w:val="-23"/>
          <w:w w:val="105"/>
        </w:rPr>
        <w:t> </w:t>
      </w:r>
      <w:r>
        <w:rPr>
          <w:color w:val="231F20"/>
          <w:w w:val="105"/>
        </w:rPr>
        <w:t>effects</w:t>
      </w:r>
      <w:r>
        <w:rPr>
          <w:color w:val="231F20"/>
          <w:spacing w:val="-23"/>
          <w:w w:val="105"/>
        </w:rPr>
        <w:t> </w:t>
      </w:r>
      <w:r>
        <w:rPr>
          <w:color w:val="231F20"/>
          <w:w w:val="105"/>
        </w:rPr>
        <w:t>caused</w:t>
      </w:r>
      <w:r>
        <w:rPr>
          <w:color w:val="231F20"/>
          <w:spacing w:val="-23"/>
          <w:w w:val="105"/>
        </w:rPr>
        <w:t> </w:t>
      </w:r>
      <w:r>
        <w:rPr>
          <w:color w:val="231F20"/>
          <w:w w:val="105"/>
        </w:rPr>
        <w:t>by</w:t>
      </w:r>
      <w:r>
        <w:rPr>
          <w:color w:val="231F20"/>
          <w:spacing w:val="-23"/>
          <w:w w:val="105"/>
        </w:rPr>
        <w:t> </w:t>
      </w:r>
      <w:r>
        <w:rPr>
          <w:color w:val="231F20"/>
          <w:w w:val="105"/>
        </w:rPr>
        <w:t>poverty</w:t>
      </w:r>
      <w:r>
        <w:rPr>
          <w:color w:val="231F20"/>
          <w:spacing w:val="-23"/>
          <w:w w:val="105"/>
        </w:rPr>
        <w:t> </w:t>
      </w:r>
      <w:r>
        <w:rPr>
          <w:color w:val="231F20"/>
          <w:w w:val="105"/>
        </w:rPr>
        <w:t>and</w:t>
      </w:r>
      <w:r>
        <w:rPr>
          <w:color w:val="231F20"/>
          <w:spacing w:val="-23"/>
          <w:w w:val="105"/>
        </w:rPr>
        <w:t> </w:t>
      </w:r>
      <w:r>
        <w:rPr>
          <w:color w:val="231F20"/>
          <w:w w:val="105"/>
        </w:rPr>
        <w:t>the immigration</w:t>
      </w:r>
      <w:r>
        <w:rPr>
          <w:color w:val="231F20"/>
          <w:spacing w:val="-8"/>
          <w:w w:val="105"/>
        </w:rPr>
        <w:t> </w:t>
      </w:r>
      <w:r>
        <w:rPr>
          <w:color w:val="231F20"/>
          <w:w w:val="105"/>
        </w:rPr>
        <w:t>process</w:t>
      </w:r>
      <w:r>
        <w:rPr>
          <w:color w:val="231F20"/>
          <w:spacing w:val="-8"/>
          <w:w w:val="105"/>
        </w:rPr>
        <w:t> </w:t>
      </w:r>
      <w:r>
        <w:rPr>
          <w:color w:val="231F20"/>
          <w:w w:val="105"/>
        </w:rPr>
        <w:t>can</w:t>
      </w:r>
      <w:r>
        <w:rPr>
          <w:color w:val="231F20"/>
          <w:spacing w:val="-8"/>
          <w:w w:val="105"/>
        </w:rPr>
        <w:t> </w:t>
      </w:r>
      <w:r>
        <w:rPr>
          <w:color w:val="231F20"/>
          <w:w w:val="105"/>
        </w:rPr>
        <w:t>be</w:t>
      </w:r>
      <w:r>
        <w:rPr>
          <w:color w:val="231F20"/>
          <w:spacing w:val="-8"/>
          <w:w w:val="105"/>
        </w:rPr>
        <w:t> </w:t>
      </w:r>
      <w:r>
        <w:rPr>
          <w:color w:val="231F20"/>
          <w:w w:val="105"/>
        </w:rPr>
        <w:t>offset</w:t>
      </w:r>
      <w:r>
        <w:rPr>
          <w:color w:val="231F20"/>
          <w:spacing w:val="-8"/>
          <w:w w:val="105"/>
        </w:rPr>
        <w:t> </w:t>
      </w:r>
      <w:r>
        <w:rPr>
          <w:color w:val="231F20"/>
          <w:w w:val="105"/>
        </w:rPr>
        <w:t>with</w:t>
      </w:r>
      <w:r>
        <w:rPr>
          <w:color w:val="231F20"/>
          <w:spacing w:val="-8"/>
          <w:w w:val="105"/>
        </w:rPr>
        <w:t> </w:t>
      </w:r>
      <w:r>
        <w:rPr>
          <w:color w:val="231F20"/>
          <w:w w:val="105"/>
        </w:rPr>
        <w:t>support</w:t>
      </w:r>
      <w:r>
        <w:rPr>
          <w:color w:val="231F20"/>
          <w:spacing w:val="-8"/>
          <w:w w:val="105"/>
        </w:rPr>
        <w:t> </w:t>
      </w:r>
      <w:r>
        <w:rPr>
          <w:color w:val="231F20"/>
          <w:w w:val="105"/>
        </w:rPr>
        <w:t>from</w:t>
      </w:r>
      <w:r>
        <w:rPr>
          <w:color w:val="231F20"/>
          <w:spacing w:val="-8"/>
          <w:w w:val="105"/>
        </w:rPr>
        <w:t> </w:t>
      </w:r>
      <w:r>
        <w:rPr>
          <w:color w:val="231F20"/>
          <w:w w:val="105"/>
        </w:rPr>
        <w:t>the</w:t>
      </w:r>
      <w:r>
        <w:rPr>
          <w:color w:val="231F20"/>
          <w:spacing w:val="-8"/>
          <w:w w:val="105"/>
        </w:rPr>
        <w:t> </w:t>
      </w:r>
      <w:r>
        <w:rPr>
          <w:color w:val="231F20"/>
          <w:w w:val="105"/>
        </w:rPr>
        <w:t>immigrant</w:t>
      </w:r>
      <w:r>
        <w:rPr>
          <w:color w:val="231F20"/>
          <w:spacing w:val="-8"/>
          <w:w w:val="105"/>
        </w:rPr>
        <w:t> </w:t>
      </w:r>
      <w:r>
        <w:rPr>
          <w:color w:val="231F20"/>
          <w:w w:val="105"/>
        </w:rPr>
        <w:t>com-</w:t>
      </w:r>
    </w:p>
    <w:p>
      <w:pPr>
        <w:pStyle w:val="BodyText"/>
        <w:rPr>
          <w:sz w:val="20"/>
        </w:rPr>
      </w:pPr>
    </w:p>
    <w:p>
      <w:pPr>
        <w:pStyle w:val="BodyText"/>
        <w:rPr>
          <w:sz w:val="20"/>
        </w:rPr>
      </w:pPr>
    </w:p>
    <w:p>
      <w:pPr>
        <w:pStyle w:val="BodyText"/>
        <w:rPr>
          <w:sz w:val="18"/>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4960" from="131.551193pt,3.703715pt" to="131.551193pt,39.506114pt" stroked="true" strokeweight=".35pt" strokecolor="#231f20">
            <w10:wrap type="none"/>
          </v:line>
        </w:pict>
      </w:r>
      <w:r>
        <w:rPr/>
        <w:pict>
          <v:line style="position:absolute;mso-position-horizontal-relative:page;mso-position-vertical-relative:paragraph;z-index:-484888" from="15pt,39.505917pt" to="0pt,39.505917pt" stroked="true" strokeweight=".25pt" strokecolor="#000000">
            <w10:wrap type="none"/>
          </v:line>
        </w:pict>
      </w:r>
      <w:r>
        <w:rPr/>
        <w:pict>
          <v:line style="position:absolute;mso-position-horizontal-relative:page;mso-position-vertical-relative:paragraph;z-index:5320" from="508.890015pt,39.505917pt" to="523.890015pt,39.505917pt" stroked="true" strokeweight=".25pt" strokecolor="#000000">
            <w10:wrap type="none"/>
          </v:line>
        </w:pict>
      </w:r>
      <w:r>
        <w:rPr>
          <w:rFonts w:ascii="Arial" w:hAnsi="Arial"/>
          <w:color w:val="414042"/>
          <w:position w:val="-5"/>
          <w:sz w:val="20"/>
        </w:rPr>
        <w:t>54</w:t>
        <w:tab/>
      </w:r>
      <w:r>
        <w:rPr>
          <w:rFonts w:ascii="Calibri" w:hAnsi="Calibri"/>
          <w:color w:val="6D6E71"/>
          <w:sz w:val="15"/>
        </w:rPr>
        <w:t>Harriett Romo, Janeth Martínez y Christina  </w:t>
      </w:r>
      <w:r>
        <w:rPr>
          <w:rFonts w:ascii="Calibri" w:hAnsi="Calibri"/>
          <w:color w:val="6D6E71"/>
          <w:spacing w:val="15"/>
          <w:sz w:val="15"/>
        </w:rPr>
        <w:t> </w:t>
      </w:r>
      <w:r>
        <w:rPr>
          <w:rFonts w:ascii="Calibri" w:hAnsi="Calibri"/>
          <w:color w:val="6D6E71"/>
          <w:sz w:val="15"/>
        </w:rPr>
        <w:t>López-Mobilia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4958" w:right="0" w:firstLine="0"/>
        <w:jc w:val="left"/>
        <w:rPr>
          <w:rFonts w:ascii="Arial"/>
          <w:sz w:val="20"/>
        </w:rPr>
      </w:pPr>
      <w:r>
        <w:rPr/>
        <w:pict>
          <v:line style="position:absolute;mso-position-horizontal-relative:page;mso-position-vertical-relative:paragraph;z-index:-484840" from="405.061005pt,-18.554295pt" to="405.061005pt,16.311579pt" stroked="true" strokeweight=".35pt" strokecolor="#231f20">
            <w10:wrap type="none"/>
          </v:line>
        </w:pict>
      </w:r>
      <w:r>
        <w:rPr/>
        <w:pict>
          <v:line style="position:absolute;mso-position-horizontal-relative:page;mso-position-vertical-relative:paragraph;z-index:5368" from="15pt,-18.554522pt" to="0pt,-18.554522pt" stroked="true" strokeweight=".25pt" strokecolor="#000000">
            <w10:wrap type="none"/>
          </v:line>
        </w:pict>
      </w:r>
      <w:r>
        <w:rPr/>
        <w:pict>
          <v:line style="position:absolute;mso-position-horizontal-relative:page;mso-position-vertical-relative:paragraph;z-index:5392" from="508.890015pt,-18.554522pt" to="523.890015pt,-18.554522pt" stroked="true" strokeweight=".25pt" strokecolor="#000000">
            <w10:wrap type="none"/>
          </v:line>
        </w:pict>
      </w:r>
      <w:r>
        <w:rPr>
          <w:rFonts w:ascii="Lucida Sans Unicode"/>
          <w:color w:val="6D6E71"/>
          <w:w w:val="105"/>
          <w:sz w:val="14"/>
        </w:rPr>
        <w:t>Children</w:t>
      </w:r>
      <w:r>
        <w:rPr>
          <w:rFonts w:ascii="Lucida Sans Unicode"/>
          <w:color w:val="6D6E71"/>
          <w:spacing w:val="-10"/>
          <w:w w:val="105"/>
          <w:sz w:val="14"/>
        </w:rPr>
        <w:t> </w:t>
      </w:r>
      <w:r>
        <w:rPr>
          <w:rFonts w:ascii="Lucida Sans Unicode"/>
          <w:color w:val="6D6E71"/>
          <w:w w:val="105"/>
          <w:sz w:val="14"/>
        </w:rPr>
        <w:t>of</w:t>
      </w:r>
      <w:r>
        <w:rPr>
          <w:rFonts w:ascii="Lucida Sans Unicode"/>
          <w:color w:val="6D6E71"/>
          <w:spacing w:val="-10"/>
          <w:w w:val="105"/>
          <w:sz w:val="14"/>
        </w:rPr>
        <w:t> </w:t>
      </w:r>
      <w:r>
        <w:rPr>
          <w:rFonts w:ascii="Lucida Sans Unicode"/>
          <w:color w:val="6D6E71"/>
          <w:w w:val="105"/>
          <w:sz w:val="14"/>
        </w:rPr>
        <w:t>immigrants</w:t>
      </w:r>
      <w:r>
        <w:rPr>
          <w:rFonts w:ascii="Lucida Sans Unicode"/>
          <w:color w:val="6D6E71"/>
          <w:spacing w:val="-10"/>
          <w:w w:val="105"/>
          <w:sz w:val="14"/>
        </w:rPr>
        <w:t> </w:t>
      </w:r>
      <w:r>
        <w:rPr>
          <w:rFonts w:ascii="Lucida Sans Unicode"/>
          <w:color w:val="6D6E71"/>
          <w:w w:val="105"/>
          <w:sz w:val="14"/>
        </w:rPr>
        <w:t>in</w:t>
      </w:r>
      <w:r>
        <w:rPr>
          <w:rFonts w:ascii="Lucida Sans Unicode"/>
          <w:color w:val="6D6E71"/>
          <w:spacing w:val="-10"/>
          <w:w w:val="105"/>
          <w:sz w:val="14"/>
        </w:rPr>
        <w:t> </w:t>
      </w:r>
      <w:r>
        <w:rPr>
          <w:rFonts w:ascii="Lucida Sans Unicode"/>
          <w:color w:val="6D6E71"/>
          <w:w w:val="105"/>
          <w:sz w:val="14"/>
        </w:rPr>
        <w:t>the</w:t>
      </w:r>
      <w:r>
        <w:rPr>
          <w:rFonts w:ascii="Lucida Sans Unicode"/>
          <w:color w:val="6D6E71"/>
          <w:spacing w:val="-10"/>
          <w:w w:val="105"/>
          <w:sz w:val="14"/>
        </w:rPr>
        <w:t> </w:t>
      </w:r>
      <w:r>
        <w:rPr>
          <w:rFonts w:ascii="Lucida Sans Unicode"/>
          <w:color w:val="6D6E71"/>
          <w:w w:val="105"/>
          <w:sz w:val="14"/>
        </w:rPr>
        <w:t>United</w:t>
      </w:r>
      <w:r>
        <w:rPr>
          <w:rFonts w:ascii="Lucida Sans Unicode"/>
          <w:color w:val="6D6E71"/>
          <w:spacing w:val="-10"/>
          <w:w w:val="105"/>
          <w:sz w:val="14"/>
        </w:rPr>
        <w:t> </w:t>
      </w:r>
      <w:r>
        <w:rPr>
          <w:rFonts w:ascii="Lucida Sans Unicode"/>
          <w:color w:val="6D6E71"/>
          <w:spacing w:val="-3"/>
          <w:w w:val="105"/>
          <w:sz w:val="14"/>
        </w:rPr>
        <w:t>states</w:t>
      </w:r>
      <w:r>
        <w:rPr>
          <w:rFonts w:ascii="Arial"/>
          <w:color w:val="414042"/>
          <w:spacing w:val="-3"/>
          <w:w w:val="105"/>
          <w:position w:val="-3"/>
          <w:sz w:val="20"/>
        </w:rPr>
        <w:tab/>
      </w:r>
      <w:r>
        <w:rPr>
          <w:rFonts w:ascii="Arial"/>
          <w:color w:val="414042"/>
          <w:w w:val="105"/>
          <w:position w:val="-3"/>
          <w:sz w:val="20"/>
        </w:rPr>
        <w:t>55</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munity.</w:t>
      </w:r>
      <w:r>
        <w:rPr>
          <w:color w:val="231F20"/>
          <w:spacing w:val="-21"/>
          <w:w w:val="105"/>
        </w:rPr>
        <w:t> </w:t>
      </w:r>
      <w:r>
        <w:rPr>
          <w:color w:val="231F20"/>
          <w:w w:val="105"/>
        </w:rPr>
        <w:t>Social</w:t>
      </w:r>
      <w:r>
        <w:rPr>
          <w:color w:val="231F20"/>
          <w:spacing w:val="-15"/>
          <w:w w:val="105"/>
        </w:rPr>
        <w:t> </w:t>
      </w:r>
      <w:r>
        <w:rPr>
          <w:color w:val="231F20"/>
          <w:w w:val="105"/>
        </w:rPr>
        <w:t>capital</w:t>
      </w:r>
      <w:r>
        <w:rPr>
          <w:color w:val="231F20"/>
          <w:spacing w:val="-15"/>
          <w:w w:val="105"/>
        </w:rPr>
        <w:t> </w:t>
      </w:r>
      <w:r>
        <w:rPr>
          <w:color w:val="231F20"/>
          <w:w w:val="105"/>
        </w:rPr>
        <w:t>can</w:t>
      </w:r>
      <w:r>
        <w:rPr>
          <w:color w:val="231F20"/>
          <w:spacing w:val="-15"/>
          <w:w w:val="105"/>
        </w:rPr>
        <w:t> </w:t>
      </w:r>
      <w:r>
        <w:rPr>
          <w:color w:val="231F20"/>
          <w:w w:val="105"/>
        </w:rPr>
        <w:t>be</w:t>
      </w:r>
      <w:r>
        <w:rPr>
          <w:color w:val="231F20"/>
          <w:spacing w:val="-15"/>
          <w:w w:val="105"/>
        </w:rPr>
        <w:t> </w:t>
      </w:r>
      <w:r>
        <w:rPr>
          <w:color w:val="231F20"/>
          <w:w w:val="105"/>
        </w:rPr>
        <w:t>in</w:t>
      </w:r>
      <w:r>
        <w:rPr>
          <w:color w:val="231F20"/>
          <w:spacing w:val="-15"/>
          <w:w w:val="105"/>
        </w:rPr>
        <w:t> </w:t>
      </w:r>
      <w:r>
        <w:rPr>
          <w:color w:val="231F20"/>
          <w:w w:val="105"/>
        </w:rPr>
        <w:t>the</w:t>
      </w:r>
      <w:r>
        <w:rPr>
          <w:color w:val="231F20"/>
          <w:spacing w:val="-15"/>
          <w:w w:val="105"/>
        </w:rPr>
        <w:t> </w:t>
      </w:r>
      <w:r>
        <w:rPr>
          <w:color w:val="231F20"/>
          <w:w w:val="105"/>
        </w:rPr>
        <w:t>form</w:t>
      </w:r>
      <w:r>
        <w:rPr>
          <w:color w:val="231F20"/>
          <w:spacing w:val="-15"/>
          <w:w w:val="105"/>
        </w:rPr>
        <w:t> </w:t>
      </w:r>
      <w:r>
        <w:rPr>
          <w:color w:val="231F20"/>
          <w:w w:val="105"/>
        </w:rPr>
        <w:t>of</w:t>
      </w:r>
      <w:r>
        <w:rPr>
          <w:color w:val="231F20"/>
          <w:spacing w:val="-11"/>
          <w:w w:val="105"/>
        </w:rPr>
        <w:t> </w:t>
      </w:r>
      <w:r>
        <w:rPr>
          <w:color w:val="231F20"/>
          <w:w w:val="105"/>
        </w:rPr>
        <w:t>references</w:t>
      </w:r>
      <w:r>
        <w:rPr>
          <w:color w:val="231F20"/>
          <w:spacing w:val="-15"/>
          <w:w w:val="105"/>
        </w:rPr>
        <w:t> </w:t>
      </w:r>
      <w:r>
        <w:rPr>
          <w:color w:val="231F20"/>
          <w:w w:val="105"/>
        </w:rPr>
        <w:t>to</w:t>
      </w:r>
      <w:r>
        <w:rPr>
          <w:color w:val="231F20"/>
          <w:spacing w:val="-15"/>
          <w:w w:val="105"/>
        </w:rPr>
        <w:t> </w:t>
      </w:r>
      <w:r>
        <w:rPr>
          <w:color w:val="231F20"/>
          <w:w w:val="105"/>
        </w:rPr>
        <w:t>an</w:t>
      </w:r>
      <w:r>
        <w:rPr>
          <w:color w:val="231F20"/>
          <w:spacing w:val="-15"/>
          <w:w w:val="105"/>
        </w:rPr>
        <w:t> </w:t>
      </w:r>
      <w:r>
        <w:rPr>
          <w:color w:val="231F20"/>
          <w:w w:val="105"/>
        </w:rPr>
        <w:t>employer,</w:t>
      </w:r>
      <w:r>
        <w:rPr>
          <w:color w:val="231F20"/>
          <w:spacing w:val="-21"/>
          <w:w w:val="105"/>
        </w:rPr>
        <w:t> </w:t>
      </w:r>
      <w:r>
        <w:rPr>
          <w:color w:val="231F20"/>
          <w:w w:val="105"/>
        </w:rPr>
        <w:t>in- formation</w:t>
      </w:r>
      <w:r>
        <w:rPr>
          <w:color w:val="231F20"/>
          <w:spacing w:val="-12"/>
          <w:w w:val="105"/>
        </w:rPr>
        <w:t> </w:t>
      </w:r>
      <w:r>
        <w:rPr>
          <w:color w:val="231F20"/>
          <w:w w:val="105"/>
        </w:rPr>
        <w:t>on</w:t>
      </w:r>
      <w:r>
        <w:rPr>
          <w:color w:val="231F20"/>
          <w:spacing w:val="-12"/>
          <w:w w:val="105"/>
        </w:rPr>
        <w:t> </w:t>
      </w:r>
      <w:r>
        <w:rPr>
          <w:color w:val="231F20"/>
          <w:w w:val="105"/>
        </w:rPr>
        <w:t>living</w:t>
      </w:r>
      <w:r>
        <w:rPr>
          <w:color w:val="231F20"/>
          <w:spacing w:val="-12"/>
          <w:w w:val="105"/>
        </w:rPr>
        <w:t> </w:t>
      </w:r>
      <w:r>
        <w:rPr>
          <w:color w:val="231F20"/>
          <w:w w:val="105"/>
        </w:rPr>
        <w:t>arrangements,</w:t>
      </w:r>
      <w:r>
        <w:rPr>
          <w:color w:val="231F20"/>
          <w:spacing w:val="-18"/>
          <w:w w:val="105"/>
        </w:rPr>
        <w:t> </w:t>
      </w:r>
      <w:r>
        <w:rPr>
          <w:color w:val="231F20"/>
          <w:w w:val="105"/>
        </w:rPr>
        <w:t>mentoring</w:t>
      </w:r>
      <w:r>
        <w:rPr>
          <w:color w:val="231F20"/>
          <w:spacing w:val="-12"/>
          <w:w w:val="105"/>
        </w:rPr>
        <w:t> </w:t>
      </w:r>
      <w:r>
        <w:rPr>
          <w:color w:val="231F20"/>
          <w:w w:val="105"/>
        </w:rPr>
        <w:t>of</w:t>
      </w:r>
      <w:r>
        <w:rPr>
          <w:color w:val="231F20"/>
          <w:spacing w:val="-7"/>
          <w:w w:val="105"/>
        </w:rPr>
        <w:t> </w:t>
      </w:r>
      <w:r>
        <w:rPr>
          <w:color w:val="231F20"/>
          <w:w w:val="105"/>
        </w:rPr>
        <w:t>school-age</w:t>
      </w:r>
      <w:r>
        <w:rPr>
          <w:color w:val="231F20"/>
          <w:spacing w:val="-12"/>
          <w:w w:val="105"/>
        </w:rPr>
        <w:t> </w:t>
      </w:r>
      <w:r>
        <w:rPr>
          <w:color w:val="231F20"/>
          <w:w w:val="105"/>
        </w:rPr>
        <w:t>children,</w:t>
      </w:r>
      <w:r>
        <w:rPr>
          <w:color w:val="231F20"/>
          <w:spacing w:val="-18"/>
          <w:w w:val="105"/>
        </w:rPr>
        <w:t> </w:t>
      </w:r>
      <w:r>
        <w:rPr>
          <w:color w:val="231F20"/>
          <w:w w:val="105"/>
        </w:rPr>
        <w:t>and access</w:t>
      </w:r>
      <w:r>
        <w:rPr>
          <w:color w:val="231F20"/>
          <w:spacing w:val="-30"/>
          <w:w w:val="105"/>
        </w:rPr>
        <w:t> </w:t>
      </w:r>
      <w:r>
        <w:rPr>
          <w:color w:val="231F20"/>
          <w:w w:val="105"/>
        </w:rPr>
        <w:t>to</w:t>
      </w:r>
      <w:r>
        <w:rPr>
          <w:color w:val="231F20"/>
          <w:spacing w:val="-30"/>
          <w:w w:val="105"/>
        </w:rPr>
        <w:t> </w:t>
      </w:r>
      <w:r>
        <w:rPr>
          <w:color w:val="231F20"/>
          <w:w w:val="105"/>
        </w:rPr>
        <w:t>social</w:t>
      </w:r>
      <w:r>
        <w:rPr>
          <w:color w:val="231F20"/>
          <w:spacing w:val="-30"/>
          <w:w w:val="105"/>
        </w:rPr>
        <w:t> </w:t>
      </w:r>
      <w:r>
        <w:rPr>
          <w:color w:val="231F20"/>
          <w:w w:val="105"/>
        </w:rPr>
        <w:t>services.</w:t>
      </w:r>
      <w:r>
        <w:rPr>
          <w:color w:val="231F20"/>
          <w:spacing w:val="-33"/>
          <w:w w:val="105"/>
        </w:rPr>
        <w:t> </w:t>
      </w:r>
      <w:r>
        <w:rPr>
          <w:color w:val="231F20"/>
          <w:w w:val="105"/>
        </w:rPr>
        <w:t>Equally</w:t>
      </w:r>
      <w:r>
        <w:rPr>
          <w:color w:val="231F20"/>
          <w:spacing w:val="-30"/>
          <w:w w:val="105"/>
        </w:rPr>
        <w:t> </w:t>
      </w:r>
      <w:r>
        <w:rPr>
          <w:color w:val="231F20"/>
          <w:w w:val="105"/>
        </w:rPr>
        <w:t>pertinent,</w:t>
      </w:r>
      <w:r>
        <w:rPr>
          <w:color w:val="231F20"/>
          <w:spacing w:val="-33"/>
          <w:w w:val="105"/>
        </w:rPr>
        <w:t> </w:t>
      </w:r>
      <w:r>
        <w:rPr>
          <w:color w:val="231F20"/>
          <w:w w:val="105"/>
        </w:rPr>
        <w:t>research</w:t>
      </w:r>
      <w:r>
        <w:rPr>
          <w:color w:val="231F20"/>
          <w:spacing w:val="-30"/>
          <w:w w:val="105"/>
        </w:rPr>
        <w:t> </w:t>
      </w:r>
      <w:r>
        <w:rPr>
          <w:color w:val="231F20"/>
          <w:w w:val="105"/>
        </w:rPr>
        <w:t>has</w:t>
      </w:r>
      <w:r>
        <w:rPr>
          <w:color w:val="231F20"/>
          <w:spacing w:val="-30"/>
          <w:w w:val="105"/>
        </w:rPr>
        <w:t> </w:t>
      </w:r>
      <w:r>
        <w:rPr>
          <w:color w:val="231F20"/>
          <w:w w:val="105"/>
        </w:rPr>
        <w:t>found</w:t>
      </w:r>
      <w:r>
        <w:rPr>
          <w:color w:val="231F20"/>
          <w:spacing w:val="-30"/>
          <w:w w:val="105"/>
        </w:rPr>
        <w:t> </w:t>
      </w:r>
      <w:r>
        <w:rPr>
          <w:color w:val="231F20"/>
          <w:w w:val="105"/>
        </w:rPr>
        <w:t>that</w:t>
      </w:r>
      <w:r>
        <w:rPr>
          <w:color w:val="231F20"/>
          <w:spacing w:val="-30"/>
          <w:w w:val="105"/>
        </w:rPr>
        <w:t> </w:t>
      </w:r>
      <w:r>
        <w:rPr>
          <w:color w:val="231F20"/>
          <w:w w:val="105"/>
        </w:rPr>
        <w:t>immi- grant students who have highly educated parents who can navigate</w:t>
      </w:r>
      <w:r>
        <w:rPr>
          <w:color w:val="231F20"/>
          <w:spacing w:val="-13"/>
          <w:w w:val="105"/>
        </w:rPr>
        <w:t> </w:t>
      </w:r>
      <w:r>
        <w:rPr>
          <w:color w:val="231F20"/>
          <w:w w:val="105"/>
        </w:rPr>
        <w:t>the United</w:t>
      </w:r>
      <w:r>
        <w:rPr>
          <w:color w:val="231F20"/>
          <w:spacing w:val="-27"/>
          <w:w w:val="105"/>
        </w:rPr>
        <w:t> </w:t>
      </w:r>
      <w:r>
        <w:rPr>
          <w:color w:val="231F20"/>
          <w:w w:val="105"/>
        </w:rPr>
        <w:t>States</w:t>
      </w:r>
      <w:r>
        <w:rPr>
          <w:color w:val="231F20"/>
          <w:spacing w:val="-27"/>
          <w:w w:val="105"/>
        </w:rPr>
        <w:t> </w:t>
      </w:r>
      <w:r>
        <w:rPr>
          <w:color w:val="231F20"/>
          <w:w w:val="105"/>
        </w:rPr>
        <w:t>educational</w:t>
      </w:r>
      <w:r>
        <w:rPr>
          <w:color w:val="231F20"/>
          <w:spacing w:val="-27"/>
          <w:w w:val="105"/>
        </w:rPr>
        <w:t> </w:t>
      </w:r>
      <w:r>
        <w:rPr>
          <w:color w:val="231F20"/>
          <w:w w:val="105"/>
        </w:rPr>
        <w:t>system,</w:t>
      </w:r>
      <w:r>
        <w:rPr>
          <w:color w:val="231F20"/>
          <w:spacing w:val="-31"/>
          <w:w w:val="105"/>
        </w:rPr>
        <w:t> </w:t>
      </w:r>
      <w:r>
        <w:rPr>
          <w:color w:val="231F20"/>
          <w:w w:val="105"/>
        </w:rPr>
        <w:t>who</w:t>
      </w:r>
      <w:r>
        <w:rPr>
          <w:color w:val="231F20"/>
          <w:spacing w:val="-27"/>
          <w:w w:val="105"/>
        </w:rPr>
        <w:t> </w:t>
      </w:r>
      <w:r>
        <w:rPr>
          <w:color w:val="231F20"/>
          <w:w w:val="105"/>
        </w:rPr>
        <w:t>possess</w:t>
      </w:r>
      <w:r>
        <w:rPr>
          <w:color w:val="231F20"/>
          <w:spacing w:val="-27"/>
          <w:w w:val="105"/>
        </w:rPr>
        <w:t> </w:t>
      </w:r>
      <w:r>
        <w:rPr>
          <w:color w:val="231F20"/>
          <w:w w:val="105"/>
        </w:rPr>
        <w:t>proficiency</w:t>
      </w:r>
      <w:r>
        <w:rPr>
          <w:color w:val="231F20"/>
          <w:spacing w:val="-27"/>
          <w:w w:val="105"/>
        </w:rPr>
        <w:t> </w:t>
      </w:r>
      <w:r>
        <w:rPr>
          <w:color w:val="231F20"/>
          <w:w w:val="105"/>
        </w:rPr>
        <w:t>in</w:t>
      </w:r>
      <w:r>
        <w:rPr>
          <w:color w:val="231F20"/>
          <w:spacing w:val="-27"/>
          <w:w w:val="105"/>
        </w:rPr>
        <w:t> </w:t>
      </w:r>
      <w:r>
        <w:rPr>
          <w:color w:val="231F20"/>
          <w:w w:val="105"/>
        </w:rPr>
        <w:t>the</w:t>
      </w:r>
      <w:r>
        <w:rPr>
          <w:color w:val="231F20"/>
          <w:spacing w:val="-27"/>
          <w:w w:val="105"/>
        </w:rPr>
        <w:t> </w:t>
      </w:r>
      <w:r>
        <w:rPr>
          <w:color w:val="231F20"/>
          <w:w w:val="105"/>
        </w:rPr>
        <w:t>English language,</w:t>
      </w:r>
      <w:r>
        <w:rPr>
          <w:color w:val="231F20"/>
          <w:spacing w:val="-20"/>
          <w:w w:val="105"/>
        </w:rPr>
        <w:t> </w:t>
      </w:r>
      <w:r>
        <w:rPr>
          <w:color w:val="231F20"/>
          <w:w w:val="105"/>
        </w:rPr>
        <w:t>and</w:t>
      </w:r>
      <w:r>
        <w:rPr>
          <w:color w:val="231F20"/>
          <w:spacing w:val="-14"/>
          <w:w w:val="105"/>
        </w:rPr>
        <w:t> </w:t>
      </w:r>
      <w:r>
        <w:rPr>
          <w:color w:val="231F20"/>
          <w:w w:val="105"/>
        </w:rPr>
        <w:t>who</w:t>
      </w:r>
      <w:r>
        <w:rPr>
          <w:color w:val="231F20"/>
          <w:spacing w:val="-14"/>
          <w:w w:val="105"/>
        </w:rPr>
        <w:t> </w:t>
      </w:r>
      <w:r>
        <w:rPr>
          <w:color w:val="231F20"/>
          <w:w w:val="105"/>
        </w:rPr>
        <w:t>have</w:t>
      </w:r>
      <w:r>
        <w:rPr>
          <w:color w:val="231F20"/>
          <w:spacing w:val="-14"/>
          <w:w w:val="105"/>
        </w:rPr>
        <w:t> </w:t>
      </w:r>
      <w:r>
        <w:rPr>
          <w:color w:val="231F20"/>
          <w:w w:val="105"/>
        </w:rPr>
        <w:t>access</w:t>
      </w:r>
      <w:r>
        <w:rPr>
          <w:color w:val="231F20"/>
          <w:spacing w:val="-14"/>
          <w:w w:val="105"/>
        </w:rPr>
        <w:t> </w:t>
      </w:r>
      <w:r>
        <w:rPr>
          <w:color w:val="231F20"/>
          <w:w w:val="105"/>
        </w:rPr>
        <w:t>to</w:t>
      </w:r>
      <w:r>
        <w:rPr>
          <w:color w:val="231F20"/>
          <w:spacing w:val="-14"/>
          <w:w w:val="105"/>
        </w:rPr>
        <w:t> </w:t>
      </w:r>
      <w:r>
        <w:rPr>
          <w:color w:val="231F20"/>
          <w:w w:val="105"/>
        </w:rPr>
        <w:t>social</w:t>
      </w:r>
      <w:r>
        <w:rPr>
          <w:color w:val="231F20"/>
          <w:spacing w:val="-14"/>
          <w:w w:val="105"/>
        </w:rPr>
        <w:t> </w:t>
      </w:r>
      <w:r>
        <w:rPr>
          <w:color w:val="231F20"/>
          <w:w w:val="105"/>
        </w:rPr>
        <w:t>support</w:t>
      </w:r>
      <w:r>
        <w:rPr>
          <w:color w:val="231F20"/>
          <w:spacing w:val="-14"/>
          <w:w w:val="105"/>
        </w:rPr>
        <w:t> </w:t>
      </w:r>
      <w:r>
        <w:rPr>
          <w:color w:val="231F20"/>
          <w:w w:val="105"/>
        </w:rPr>
        <w:t>will</w:t>
      </w:r>
      <w:r>
        <w:rPr>
          <w:color w:val="231F20"/>
          <w:spacing w:val="-14"/>
          <w:w w:val="105"/>
        </w:rPr>
        <w:t> </w:t>
      </w:r>
      <w:r>
        <w:rPr>
          <w:color w:val="231F20"/>
          <w:w w:val="105"/>
        </w:rPr>
        <w:t>fare</w:t>
      </w:r>
      <w:r>
        <w:rPr>
          <w:color w:val="231F20"/>
          <w:spacing w:val="-14"/>
          <w:w w:val="105"/>
        </w:rPr>
        <w:t> </w:t>
      </w:r>
      <w:r>
        <w:rPr>
          <w:color w:val="231F20"/>
          <w:w w:val="105"/>
        </w:rPr>
        <w:t>better</w:t>
      </w:r>
      <w:r>
        <w:rPr>
          <w:color w:val="231F20"/>
          <w:spacing w:val="-14"/>
          <w:w w:val="105"/>
        </w:rPr>
        <w:t> </w:t>
      </w:r>
      <w:r>
        <w:rPr>
          <w:color w:val="231F20"/>
          <w:w w:val="105"/>
        </w:rPr>
        <w:t>than</w:t>
      </w:r>
      <w:r>
        <w:rPr>
          <w:color w:val="231F20"/>
          <w:spacing w:val="-14"/>
          <w:w w:val="105"/>
        </w:rPr>
        <w:t> </w:t>
      </w:r>
      <w:r>
        <w:rPr>
          <w:color w:val="231F20"/>
          <w:w w:val="105"/>
        </w:rPr>
        <w:t>im- migrant</w:t>
      </w:r>
      <w:r>
        <w:rPr>
          <w:color w:val="231F20"/>
          <w:spacing w:val="-21"/>
          <w:w w:val="105"/>
        </w:rPr>
        <w:t> </w:t>
      </w:r>
      <w:r>
        <w:rPr>
          <w:color w:val="231F20"/>
          <w:w w:val="105"/>
        </w:rPr>
        <w:t>students</w:t>
      </w:r>
      <w:r>
        <w:rPr>
          <w:color w:val="231F20"/>
          <w:spacing w:val="-21"/>
          <w:w w:val="105"/>
        </w:rPr>
        <w:t> </w:t>
      </w:r>
      <w:r>
        <w:rPr>
          <w:color w:val="231F20"/>
          <w:w w:val="105"/>
        </w:rPr>
        <w:t>who</w:t>
      </w:r>
      <w:r>
        <w:rPr>
          <w:color w:val="231F20"/>
          <w:spacing w:val="-21"/>
          <w:w w:val="105"/>
        </w:rPr>
        <w:t> </w:t>
      </w:r>
      <w:r>
        <w:rPr>
          <w:color w:val="231F20"/>
          <w:w w:val="105"/>
        </w:rPr>
        <w:t>do</w:t>
      </w:r>
      <w:r>
        <w:rPr>
          <w:color w:val="231F20"/>
          <w:spacing w:val="-21"/>
          <w:w w:val="105"/>
        </w:rPr>
        <w:t> </w:t>
      </w:r>
      <w:r>
        <w:rPr>
          <w:color w:val="231F20"/>
          <w:w w:val="105"/>
        </w:rPr>
        <w:t>not</w:t>
      </w:r>
      <w:r>
        <w:rPr>
          <w:color w:val="231F20"/>
          <w:spacing w:val="-21"/>
          <w:w w:val="105"/>
        </w:rPr>
        <w:t> </w:t>
      </w:r>
      <w:r>
        <w:rPr>
          <w:color w:val="231F20"/>
          <w:w w:val="105"/>
        </w:rPr>
        <w:t>have</w:t>
      </w:r>
      <w:r>
        <w:rPr>
          <w:color w:val="231F20"/>
          <w:spacing w:val="-21"/>
          <w:w w:val="105"/>
        </w:rPr>
        <w:t> </w:t>
      </w:r>
      <w:r>
        <w:rPr>
          <w:color w:val="231F20"/>
          <w:w w:val="105"/>
        </w:rPr>
        <w:t>these</w:t>
      </w:r>
      <w:r>
        <w:rPr>
          <w:color w:val="231F20"/>
          <w:spacing w:val="-21"/>
          <w:w w:val="105"/>
        </w:rPr>
        <w:t> </w:t>
      </w:r>
      <w:r>
        <w:rPr>
          <w:color w:val="231F20"/>
          <w:w w:val="105"/>
        </w:rPr>
        <w:t>advantages</w:t>
      </w:r>
      <w:r>
        <w:rPr>
          <w:color w:val="231F20"/>
          <w:spacing w:val="-21"/>
          <w:w w:val="105"/>
        </w:rPr>
        <w:t> </w:t>
      </w:r>
      <w:r>
        <w:rPr>
          <w:color w:val="231F20"/>
          <w:w w:val="105"/>
        </w:rPr>
        <w:t>(Gaytán,</w:t>
      </w:r>
      <w:r>
        <w:rPr>
          <w:color w:val="231F20"/>
          <w:spacing w:val="-25"/>
          <w:w w:val="105"/>
        </w:rPr>
        <w:t> </w:t>
      </w:r>
      <w:r>
        <w:rPr>
          <w:color w:val="231F20"/>
          <w:w w:val="105"/>
        </w:rPr>
        <w:t>2010).</w:t>
      </w:r>
    </w:p>
    <w:p>
      <w:pPr>
        <w:pStyle w:val="BodyText"/>
        <w:rPr>
          <w:sz w:val="20"/>
        </w:rPr>
      </w:pPr>
    </w:p>
    <w:p>
      <w:pPr>
        <w:pStyle w:val="BodyText"/>
        <w:spacing w:before="9"/>
        <w:rPr>
          <w:sz w:val="20"/>
        </w:rPr>
      </w:pPr>
    </w:p>
    <w:p>
      <w:pPr>
        <w:pStyle w:val="Heading3"/>
      </w:pPr>
      <w:r>
        <w:rPr>
          <w:color w:val="231F20"/>
        </w:rPr>
        <w:t>Latinos in Higher Education</w:t>
      </w:r>
    </w:p>
    <w:p>
      <w:pPr>
        <w:pStyle w:val="BodyText"/>
        <w:rPr>
          <w:rFonts w:ascii="Arial"/>
          <w:b/>
          <w:sz w:val="22"/>
        </w:rPr>
      </w:pPr>
    </w:p>
    <w:p>
      <w:pPr>
        <w:pStyle w:val="BodyText"/>
        <w:spacing w:line="261" w:lineRule="auto" w:before="163"/>
        <w:ind w:left="1837" w:right="1716"/>
        <w:jc w:val="both"/>
      </w:pPr>
      <w:r>
        <w:rPr>
          <w:color w:val="231F20"/>
          <w:w w:val="105"/>
        </w:rPr>
        <w:t>Even</w:t>
      </w:r>
      <w:r>
        <w:rPr>
          <w:color w:val="231F20"/>
          <w:spacing w:val="-7"/>
          <w:w w:val="105"/>
        </w:rPr>
        <w:t> </w:t>
      </w:r>
      <w:r>
        <w:rPr>
          <w:color w:val="231F20"/>
          <w:w w:val="105"/>
        </w:rPr>
        <w:t>when</w:t>
      </w:r>
      <w:r>
        <w:rPr>
          <w:color w:val="231F20"/>
          <w:spacing w:val="-7"/>
          <w:w w:val="105"/>
        </w:rPr>
        <w:t> </w:t>
      </w:r>
      <w:r>
        <w:rPr>
          <w:color w:val="231F20"/>
          <w:w w:val="105"/>
        </w:rPr>
        <w:t>social</w:t>
      </w:r>
      <w:r>
        <w:rPr>
          <w:color w:val="231F20"/>
          <w:spacing w:val="-7"/>
          <w:w w:val="105"/>
        </w:rPr>
        <w:t> </w:t>
      </w:r>
      <w:r>
        <w:rPr>
          <w:color w:val="231F20"/>
          <w:w w:val="105"/>
        </w:rPr>
        <w:t>capital</w:t>
      </w:r>
      <w:r>
        <w:rPr>
          <w:color w:val="231F20"/>
          <w:spacing w:val="-7"/>
          <w:w w:val="105"/>
        </w:rPr>
        <w:t> </w:t>
      </w:r>
      <w:r>
        <w:rPr>
          <w:color w:val="231F20"/>
          <w:w w:val="105"/>
        </w:rPr>
        <w:t>and</w:t>
      </w:r>
      <w:r>
        <w:rPr>
          <w:color w:val="231F20"/>
          <w:spacing w:val="-7"/>
          <w:w w:val="105"/>
        </w:rPr>
        <w:t> </w:t>
      </w:r>
      <w:r>
        <w:rPr>
          <w:color w:val="231F20"/>
          <w:w w:val="105"/>
        </w:rPr>
        <w:t>family</w:t>
      </w:r>
      <w:r>
        <w:rPr>
          <w:color w:val="231F20"/>
          <w:spacing w:val="-7"/>
          <w:w w:val="105"/>
        </w:rPr>
        <w:t> </w:t>
      </w:r>
      <w:r>
        <w:rPr>
          <w:color w:val="231F20"/>
          <w:w w:val="105"/>
        </w:rPr>
        <w:t>support</w:t>
      </w:r>
      <w:r>
        <w:rPr>
          <w:color w:val="231F20"/>
          <w:spacing w:val="-7"/>
          <w:w w:val="105"/>
        </w:rPr>
        <w:t> </w:t>
      </w:r>
      <w:r>
        <w:rPr>
          <w:color w:val="231F20"/>
          <w:spacing w:val="-3"/>
          <w:w w:val="105"/>
        </w:rPr>
        <w:t>are</w:t>
      </w:r>
      <w:r>
        <w:rPr>
          <w:color w:val="231F20"/>
          <w:spacing w:val="-7"/>
          <w:w w:val="105"/>
        </w:rPr>
        <w:t> </w:t>
      </w:r>
      <w:r>
        <w:rPr>
          <w:color w:val="231F20"/>
          <w:w w:val="105"/>
        </w:rPr>
        <w:t>available</w:t>
      </w:r>
      <w:r>
        <w:rPr>
          <w:color w:val="231F20"/>
          <w:spacing w:val="-7"/>
          <w:w w:val="105"/>
        </w:rPr>
        <w:t> </w:t>
      </w:r>
      <w:r>
        <w:rPr>
          <w:color w:val="231F20"/>
          <w:w w:val="105"/>
        </w:rPr>
        <w:t>to</w:t>
      </w:r>
      <w:r>
        <w:rPr>
          <w:color w:val="231F20"/>
          <w:spacing w:val="-7"/>
          <w:w w:val="105"/>
        </w:rPr>
        <w:t> </w:t>
      </w:r>
      <w:r>
        <w:rPr>
          <w:color w:val="231F20"/>
          <w:w w:val="105"/>
        </w:rPr>
        <w:t>students</w:t>
      </w:r>
      <w:r>
        <w:rPr>
          <w:color w:val="231F20"/>
          <w:spacing w:val="-7"/>
          <w:w w:val="105"/>
        </w:rPr>
        <w:t> </w:t>
      </w:r>
      <w:r>
        <w:rPr>
          <w:color w:val="231F20"/>
          <w:w w:val="105"/>
        </w:rPr>
        <w:t>of Hispanic descent, the </w:t>
      </w:r>
      <w:r>
        <w:rPr>
          <w:color w:val="231F20"/>
          <w:spacing w:val="-3"/>
          <w:w w:val="105"/>
        </w:rPr>
        <w:t>research </w:t>
      </w:r>
      <w:r>
        <w:rPr>
          <w:color w:val="231F20"/>
          <w:w w:val="105"/>
        </w:rPr>
        <w:t>on college </w:t>
      </w:r>
      <w:r>
        <w:rPr>
          <w:color w:val="231F20"/>
          <w:spacing w:val="-3"/>
          <w:w w:val="105"/>
        </w:rPr>
        <w:t>enrollment </w:t>
      </w:r>
      <w:r>
        <w:rPr>
          <w:color w:val="231F20"/>
          <w:w w:val="105"/>
        </w:rPr>
        <w:t>and completion shows</w:t>
      </w:r>
      <w:r>
        <w:rPr>
          <w:color w:val="231F20"/>
          <w:spacing w:val="-17"/>
          <w:w w:val="105"/>
        </w:rPr>
        <w:t> </w:t>
      </w:r>
      <w:r>
        <w:rPr>
          <w:color w:val="231F20"/>
          <w:w w:val="105"/>
        </w:rPr>
        <w:t>Hispanics</w:t>
      </w:r>
      <w:r>
        <w:rPr>
          <w:color w:val="231F20"/>
          <w:spacing w:val="-17"/>
          <w:w w:val="105"/>
        </w:rPr>
        <w:t> </w:t>
      </w:r>
      <w:r>
        <w:rPr>
          <w:color w:val="231F20"/>
          <w:w w:val="105"/>
        </w:rPr>
        <w:t>experience</w:t>
      </w:r>
      <w:r>
        <w:rPr>
          <w:color w:val="231F20"/>
          <w:spacing w:val="-17"/>
          <w:w w:val="105"/>
        </w:rPr>
        <w:t> </w:t>
      </w:r>
      <w:r>
        <w:rPr>
          <w:color w:val="231F20"/>
          <w:w w:val="105"/>
        </w:rPr>
        <w:t>obstacles</w:t>
      </w:r>
      <w:r>
        <w:rPr>
          <w:color w:val="231F20"/>
          <w:spacing w:val="-17"/>
          <w:w w:val="105"/>
        </w:rPr>
        <w:t> </w:t>
      </w:r>
      <w:r>
        <w:rPr>
          <w:color w:val="231F20"/>
          <w:w w:val="105"/>
        </w:rPr>
        <w:t>in</w:t>
      </w:r>
      <w:r>
        <w:rPr>
          <w:color w:val="231F20"/>
          <w:spacing w:val="-17"/>
          <w:w w:val="105"/>
        </w:rPr>
        <w:t> </w:t>
      </w:r>
      <w:r>
        <w:rPr>
          <w:color w:val="231F20"/>
          <w:w w:val="105"/>
        </w:rPr>
        <w:t>higher</w:t>
      </w:r>
      <w:r>
        <w:rPr>
          <w:color w:val="231F20"/>
          <w:spacing w:val="-17"/>
          <w:w w:val="105"/>
        </w:rPr>
        <w:t> </w:t>
      </w:r>
      <w:r>
        <w:rPr>
          <w:color w:val="231F20"/>
          <w:w w:val="105"/>
        </w:rPr>
        <w:t>education.</w:t>
      </w:r>
      <w:r>
        <w:rPr>
          <w:color w:val="231F20"/>
          <w:spacing w:val="-21"/>
          <w:w w:val="105"/>
        </w:rPr>
        <w:t> </w:t>
      </w:r>
      <w:r>
        <w:rPr>
          <w:color w:val="231F20"/>
          <w:spacing w:val="-3"/>
          <w:w w:val="105"/>
        </w:rPr>
        <w:t>Low</w:t>
      </w:r>
      <w:r>
        <w:rPr>
          <w:color w:val="231F20"/>
          <w:spacing w:val="-17"/>
          <w:w w:val="105"/>
        </w:rPr>
        <w:t> </w:t>
      </w:r>
      <w:r>
        <w:rPr>
          <w:color w:val="231F20"/>
          <w:w w:val="105"/>
        </w:rPr>
        <w:t>gradua- tion </w:t>
      </w:r>
      <w:r>
        <w:rPr>
          <w:color w:val="231F20"/>
          <w:spacing w:val="-3"/>
          <w:w w:val="105"/>
        </w:rPr>
        <w:t>rates from </w:t>
      </w:r>
      <w:r>
        <w:rPr>
          <w:color w:val="231F20"/>
          <w:w w:val="105"/>
        </w:rPr>
        <w:t>high school and low </w:t>
      </w:r>
      <w:r>
        <w:rPr>
          <w:color w:val="231F20"/>
          <w:spacing w:val="-3"/>
          <w:w w:val="105"/>
        </w:rPr>
        <w:t>graduation rates from </w:t>
      </w:r>
      <w:r>
        <w:rPr>
          <w:color w:val="231F20"/>
          <w:w w:val="105"/>
        </w:rPr>
        <w:t>college conti- nue,</w:t>
      </w:r>
      <w:r>
        <w:rPr>
          <w:color w:val="231F20"/>
          <w:spacing w:val="-32"/>
          <w:w w:val="105"/>
        </w:rPr>
        <w:t> </w:t>
      </w:r>
      <w:r>
        <w:rPr>
          <w:color w:val="231F20"/>
          <w:w w:val="105"/>
        </w:rPr>
        <w:t>however</w:t>
      </w:r>
      <w:r>
        <w:rPr>
          <w:color w:val="231F20"/>
          <w:spacing w:val="-28"/>
          <w:w w:val="105"/>
        </w:rPr>
        <w:t> </w:t>
      </w:r>
      <w:r>
        <w:rPr>
          <w:color w:val="231F20"/>
          <w:w w:val="105"/>
        </w:rPr>
        <w:t>in</w:t>
      </w:r>
      <w:r>
        <w:rPr>
          <w:color w:val="231F20"/>
          <w:spacing w:val="-28"/>
          <w:w w:val="105"/>
        </w:rPr>
        <w:t> </w:t>
      </w:r>
      <w:r>
        <w:rPr>
          <w:color w:val="231F20"/>
          <w:spacing w:val="-3"/>
          <w:w w:val="105"/>
        </w:rPr>
        <w:t>recent</w:t>
      </w:r>
      <w:r>
        <w:rPr>
          <w:color w:val="231F20"/>
          <w:spacing w:val="-28"/>
          <w:w w:val="105"/>
        </w:rPr>
        <w:t> </w:t>
      </w:r>
      <w:r>
        <w:rPr>
          <w:color w:val="231F20"/>
          <w:w w:val="105"/>
        </w:rPr>
        <w:t>decades</w:t>
      </w:r>
      <w:r>
        <w:rPr>
          <w:color w:val="231F20"/>
          <w:spacing w:val="-28"/>
          <w:w w:val="105"/>
        </w:rPr>
        <w:t> </w:t>
      </w:r>
      <w:r>
        <w:rPr>
          <w:color w:val="231F20"/>
          <w:w w:val="105"/>
        </w:rPr>
        <w:t>the</w:t>
      </w:r>
      <w:r>
        <w:rPr>
          <w:color w:val="231F20"/>
          <w:spacing w:val="-28"/>
          <w:w w:val="105"/>
        </w:rPr>
        <w:t> </w:t>
      </w:r>
      <w:r>
        <w:rPr>
          <w:color w:val="231F20"/>
          <w:w w:val="105"/>
        </w:rPr>
        <w:t>number</w:t>
      </w:r>
      <w:r>
        <w:rPr>
          <w:color w:val="231F20"/>
          <w:spacing w:val="-28"/>
          <w:w w:val="105"/>
        </w:rPr>
        <w:t> </w:t>
      </w:r>
      <w:r>
        <w:rPr>
          <w:color w:val="231F20"/>
          <w:w w:val="105"/>
        </w:rPr>
        <w:t>of</w:t>
      </w:r>
      <w:r>
        <w:rPr>
          <w:color w:val="231F20"/>
          <w:spacing w:val="-24"/>
          <w:w w:val="105"/>
        </w:rPr>
        <w:t> </w:t>
      </w:r>
      <w:r>
        <w:rPr>
          <w:color w:val="231F20"/>
          <w:w w:val="105"/>
        </w:rPr>
        <w:t>Hispanic</w:t>
      </w:r>
      <w:r>
        <w:rPr>
          <w:color w:val="231F20"/>
          <w:spacing w:val="-28"/>
          <w:w w:val="105"/>
        </w:rPr>
        <w:t> </w:t>
      </w:r>
      <w:r>
        <w:rPr>
          <w:color w:val="231F20"/>
          <w:w w:val="105"/>
        </w:rPr>
        <w:t>students</w:t>
      </w:r>
      <w:r>
        <w:rPr>
          <w:color w:val="231F20"/>
          <w:spacing w:val="-28"/>
          <w:w w:val="105"/>
        </w:rPr>
        <w:t> </w:t>
      </w:r>
      <w:r>
        <w:rPr>
          <w:color w:val="231F20"/>
          <w:w w:val="105"/>
        </w:rPr>
        <w:t>comple- ting two-year and </w:t>
      </w:r>
      <w:r>
        <w:rPr>
          <w:color w:val="231F20"/>
          <w:spacing w:val="-3"/>
          <w:w w:val="105"/>
        </w:rPr>
        <w:t>four-year </w:t>
      </w:r>
      <w:r>
        <w:rPr>
          <w:color w:val="231F20"/>
          <w:w w:val="105"/>
        </w:rPr>
        <w:t>college </w:t>
      </w:r>
      <w:r>
        <w:rPr>
          <w:color w:val="231F20"/>
          <w:spacing w:val="-3"/>
          <w:w w:val="105"/>
        </w:rPr>
        <w:t>degrees </w:t>
      </w:r>
      <w:r>
        <w:rPr>
          <w:color w:val="231F20"/>
          <w:w w:val="105"/>
        </w:rPr>
        <w:t>has substantially </w:t>
      </w:r>
      <w:r>
        <w:rPr>
          <w:color w:val="231F20"/>
          <w:spacing w:val="-3"/>
          <w:w w:val="105"/>
        </w:rPr>
        <w:t>increased (Krogstad </w:t>
      </w:r>
      <w:r>
        <w:rPr>
          <w:color w:val="231F20"/>
          <w:w w:val="105"/>
        </w:rPr>
        <w:t>and </w:t>
      </w:r>
      <w:r>
        <w:rPr>
          <w:color w:val="231F20"/>
          <w:spacing w:val="-6"/>
          <w:w w:val="105"/>
        </w:rPr>
        <w:t>Fry, </w:t>
      </w:r>
      <w:r>
        <w:rPr>
          <w:color w:val="231F20"/>
          <w:w w:val="105"/>
        </w:rPr>
        <w:t>2014). Despite the noted academic advancements, Hispanic students’ </w:t>
      </w:r>
      <w:r>
        <w:rPr>
          <w:color w:val="231F20"/>
          <w:spacing w:val="-3"/>
          <w:w w:val="105"/>
        </w:rPr>
        <w:t>enrollment </w:t>
      </w:r>
      <w:r>
        <w:rPr>
          <w:color w:val="231F20"/>
          <w:w w:val="105"/>
        </w:rPr>
        <w:t>and </w:t>
      </w:r>
      <w:r>
        <w:rPr>
          <w:color w:val="231F20"/>
          <w:spacing w:val="-3"/>
          <w:w w:val="105"/>
        </w:rPr>
        <w:t>degree </w:t>
      </w:r>
      <w:r>
        <w:rPr>
          <w:color w:val="231F20"/>
          <w:w w:val="105"/>
        </w:rPr>
        <w:t>completion lag behind that of other ethnic </w:t>
      </w:r>
      <w:r>
        <w:rPr>
          <w:color w:val="231F20"/>
          <w:spacing w:val="-3"/>
          <w:w w:val="105"/>
        </w:rPr>
        <w:t>groups. </w:t>
      </w:r>
      <w:r>
        <w:rPr>
          <w:color w:val="231F20"/>
          <w:w w:val="105"/>
        </w:rPr>
        <w:t>Overall, Hispanics </w:t>
      </w:r>
      <w:r>
        <w:rPr>
          <w:color w:val="231F20"/>
          <w:spacing w:val="-3"/>
          <w:w w:val="105"/>
        </w:rPr>
        <w:t>are more likely </w:t>
      </w:r>
      <w:r>
        <w:rPr>
          <w:color w:val="231F20"/>
          <w:w w:val="105"/>
        </w:rPr>
        <w:t>to </w:t>
      </w:r>
      <w:r>
        <w:rPr>
          <w:color w:val="231F20"/>
          <w:spacing w:val="-3"/>
          <w:w w:val="105"/>
        </w:rPr>
        <w:t>enroll </w:t>
      </w:r>
      <w:r>
        <w:rPr>
          <w:color w:val="231F20"/>
          <w:w w:val="105"/>
        </w:rPr>
        <w:t>in </w:t>
      </w:r>
      <w:r>
        <w:rPr>
          <w:color w:val="231F20"/>
          <w:spacing w:val="-2"/>
          <w:w w:val="105"/>
        </w:rPr>
        <w:t>public </w:t>
      </w:r>
      <w:r>
        <w:rPr>
          <w:color w:val="231F20"/>
          <w:w w:val="105"/>
        </w:rPr>
        <w:t>two-year</w:t>
      </w:r>
      <w:r>
        <w:rPr>
          <w:color w:val="231F20"/>
          <w:spacing w:val="-15"/>
          <w:w w:val="105"/>
        </w:rPr>
        <w:t> </w:t>
      </w:r>
      <w:r>
        <w:rPr>
          <w:color w:val="231F20"/>
          <w:w w:val="105"/>
        </w:rPr>
        <w:t>colleges</w:t>
      </w:r>
      <w:r>
        <w:rPr>
          <w:color w:val="231F20"/>
          <w:spacing w:val="-15"/>
          <w:w w:val="105"/>
        </w:rPr>
        <w:t> </w:t>
      </w:r>
      <w:r>
        <w:rPr>
          <w:color w:val="231F20"/>
          <w:w w:val="105"/>
        </w:rPr>
        <w:t>due</w:t>
      </w:r>
      <w:r>
        <w:rPr>
          <w:color w:val="231F20"/>
          <w:spacing w:val="-15"/>
          <w:w w:val="105"/>
        </w:rPr>
        <w:t> </w:t>
      </w:r>
      <w:r>
        <w:rPr>
          <w:color w:val="231F20"/>
          <w:w w:val="105"/>
        </w:rPr>
        <w:t>to</w:t>
      </w:r>
      <w:r>
        <w:rPr>
          <w:color w:val="231F20"/>
          <w:spacing w:val="-15"/>
          <w:w w:val="105"/>
        </w:rPr>
        <w:t> </w:t>
      </w:r>
      <w:r>
        <w:rPr>
          <w:color w:val="231F20"/>
          <w:w w:val="105"/>
        </w:rPr>
        <w:t>community</w:t>
      </w:r>
      <w:r>
        <w:rPr>
          <w:color w:val="231F20"/>
          <w:spacing w:val="-15"/>
          <w:w w:val="105"/>
        </w:rPr>
        <w:t> </w:t>
      </w:r>
      <w:r>
        <w:rPr>
          <w:color w:val="231F20"/>
          <w:w w:val="105"/>
        </w:rPr>
        <w:t>colleges’</w:t>
      </w:r>
      <w:r>
        <w:rPr>
          <w:color w:val="231F20"/>
          <w:spacing w:val="-15"/>
          <w:w w:val="105"/>
        </w:rPr>
        <w:t> </w:t>
      </w:r>
      <w:r>
        <w:rPr>
          <w:color w:val="231F20"/>
          <w:w w:val="105"/>
        </w:rPr>
        <w:t>low</w:t>
      </w:r>
      <w:r>
        <w:rPr>
          <w:color w:val="231F20"/>
          <w:spacing w:val="-15"/>
          <w:w w:val="105"/>
        </w:rPr>
        <w:t> </w:t>
      </w:r>
      <w:r>
        <w:rPr>
          <w:color w:val="231F20"/>
          <w:w w:val="105"/>
        </w:rPr>
        <w:t>cost,</w:t>
      </w:r>
      <w:r>
        <w:rPr>
          <w:color w:val="231F20"/>
          <w:spacing w:val="-20"/>
          <w:w w:val="105"/>
        </w:rPr>
        <w:t> </w:t>
      </w:r>
      <w:r>
        <w:rPr>
          <w:color w:val="231F20"/>
          <w:w w:val="105"/>
        </w:rPr>
        <w:t>open</w:t>
      </w:r>
      <w:r>
        <w:rPr>
          <w:color w:val="231F20"/>
          <w:spacing w:val="-15"/>
          <w:w w:val="105"/>
        </w:rPr>
        <w:t> </w:t>
      </w:r>
      <w:r>
        <w:rPr>
          <w:color w:val="231F20"/>
          <w:spacing w:val="-3"/>
          <w:w w:val="105"/>
        </w:rPr>
        <w:t>enrollment, </w:t>
      </w:r>
      <w:r>
        <w:rPr>
          <w:color w:val="231F20"/>
          <w:w w:val="105"/>
        </w:rPr>
        <w:t>and the students’ </w:t>
      </w:r>
      <w:r>
        <w:rPr>
          <w:color w:val="231F20"/>
          <w:spacing w:val="-3"/>
          <w:w w:val="105"/>
        </w:rPr>
        <w:t>likelihood </w:t>
      </w:r>
      <w:r>
        <w:rPr>
          <w:color w:val="231F20"/>
          <w:w w:val="105"/>
        </w:rPr>
        <w:t>of coming </w:t>
      </w:r>
      <w:r>
        <w:rPr>
          <w:color w:val="231F20"/>
          <w:spacing w:val="-3"/>
          <w:w w:val="105"/>
        </w:rPr>
        <w:t>from </w:t>
      </w:r>
      <w:r>
        <w:rPr>
          <w:color w:val="231F20"/>
          <w:w w:val="105"/>
        </w:rPr>
        <w:t>a low-income family </w:t>
      </w:r>
      <w:r>
        <w:rPr>
          <w:color w:val="231F20"/>
          <w:spacing w:val="-3"/>
          <w:w w:val="105"/>
        </w:rPr>
        <w:t>(Krogs- </w:t>
      </w:r>
      <w:r>
        <w:rPr>
          <w:color w:val="231F20"/>
          <w:w w:val="105"/>
        </w:rPr>
        <w:t>tad,</w:t>
      </w:r>
      <w:r>
        <w:rPr>
          <w:color w:val="231F20"/>
          <w:spacing w:val="-19"/>
          <w:w w:val="105"/>
        </w:rPr>
        <w:t> </w:t>
      </w:r>
      <w:r>
        <w:rPr>
          <w:color w:val="231F20"/>
          <w:w w:val="105"/>
        </w:rPr>
        <w:t>2015).</w:t>
      </w:r>
      <w:r>
        <w:rPr>
          <w:color w:val="231F20"/>
          <w:spacing w:val="-22"/>
          <w:w w:val="105"/>
        </w:rPr>
        <w:t> </w:t>
      </w:r>
      <w:r>
        <w:rPr>
          <w:color w:val="231F20"/>
          <w:spacing w:val="-3"/>
          <w:w w:val="105"/>
        </w:rPr>
        <w:t>According</w:t>
      </w:r>
      <w:r>
        <w:rPr>
          <w:color w:val="231F20"/>
          <w:spacing w:val="-15"/>
          <w:w w:val="105"/>
        </w:rPr>
        <w:t> </w:t>
      </w:r>
      <w:r>
        <w:rPr>
          <w:color w:val="231F20"/>
          <w:w w:val="105"/>
        </w:rPr>
        <w:t>to</w:t>
      </w:r>
      <w:r>
        <w:rPr>
          <w:color w:val="231F20"/>
          <w:spacing w:val="-15"/>
          <w:w w:val="105"/>
        </w:rPr>
        <w:t> </w:t>
      </w:r>
      <w:r>
        <w:rPr>
          <w:color w:val="231F20"/>
          <w:w w:val="105"/>
        </w:rPr>
        <w:t>the</w:t>
      </w:r>
      <w:r>
        <w:rPr>
          <w:color w:val="231F20"/>
          <w:spacing w:val="-15"/>
          <w:w w:val="105"/>
        </w:rPr>
        <w:t> </w:t>
      </w:r>
      <w:r>
        <w:rPr>
          <w:color w:val="231F20"/>
          <w:spacing w:val="-7"/>
          <w:w w:val="105"/>
        </w:rPr>
        <w:t>Pew</w:t>
      </w:r>
      <w:r>
        <w:rPr>
          <w:color w:val="231F20"/>
          <w:spacing w:val="-15"/>
          <w:w w:val="105"/>
        </w:rPr>
        <w:t> </w:t>
      </w:r>
      <w:r>
        <w:rPr>
          <w:color w:val="231F20"/>
          <w:spacing w:val="-3"/>
          <w:w w:val="105"/>
        </w:rPr>
        <w:t>Research</w:t>
      </w:r>
      <w:r>
        <w:rPr>
          <w:color w:val="231F20"/>
          <w:spacing w:val="-15"/>
          <w:w w:val="105"/>
        </w:rPr>
        <w:t> </w:t>
      </w:r>
      <w:r>
        <w:rPr>
          <w:color w:val="231F20"/>
          <w:spacing w:val="-2"/>
          <w:w w:val="105"/>
        </w:rPr>
        <w:t>Center</w:t>
      </w:r>
      <w:r>
        <w:rPr>
          <w:color w:val="231F20"/>
          <w:spacing w:val="-15"/>
          <w:w w:val="105"/>
        </w:rPr>
        <w:t> </w:t>
      </w:r>
      <w:r>
        <w:rPr>
          <w:color w:val="231F20"/>
          <w:spacing w:val="-4"/>
          <w:w w:val="105"/>
        </w:rPr>
        <w:t>(Fry</w:t>
      </w:r>
      <w:r>
        <w:rPr>
          <w:color w:val="231F20"/>
          <w:spacing w:val="-15"/>
          <w:w w:val="105"/>
        </w:rPr>
        <w:t> </w:t>
      </w:r>
      <w:r>
        <w:rPr>
          <w:color w:val="231F20"/>
          <w:w w:val="105"/>
        </w:rPr>
        <w:t>and</w:t>
      </w:r>
      <w:r>
        <w:rPr>
          <w:color w:val="231F20"/>
          <w:spacing w:val="-15"/>
          <w:w w:val="105"/>
        </w:rPr>
        <w:t> </w:t>
      </w:r>
      <w:r>
        <w:rPr>
          <w:color w:val="231F20"/>
          <w:spacing w:val="-3"/>
          <w:w w:val="105"/>
        </w:rPr>
        <w:t>Lopez,</w:t>
      </w:r>
      <w:r>
        <w:rPr>
          <w:color w:val="231F20"/>
          <w:spacing w:val="-19"/>
          <w:w w:val="105"/>
        </w:rPr>
        <w:t> </w:t>
      </w:r>
      <w:r>
        <w:rPr>
          <w:color w:val="231F20"/>
          <w:spacing w:val="-2"/>
          <w:w w:val="105"/>
        </w:rPr>
        <w:t>2012), </w:t>
      </w:r>
      <w:r>
        <w:rPr>
          <w:color w:val="231F20"/>
          <w:w w:val="105"/>
        </w:rPr>
        <w:t>the</w:t>
      </w:r>
      <w:r>
        <w:rPr>
          <w:color w:val="231F20"/>
          <w:spacing w:val="-20"/>
          <w:w w:val="105"/>
        </w:rPr>
        <w:t> </w:t>
      </w:r>
      <w:r>
        <w:rPr>
          <w:color w:val="231F20"/>
          <w:spacing w:val="-3"/>
          <w:w w:val="105"/>
        </w:rPr>
        <w:t>percentage</w:t>
      </w:r>
      <w:r>
        <w:rPr>
          <w:color w:val="231F20"/>
          <w:spacing w:val="-20"/>
          <w:w w:val="105"/>
        </w:rPr>
        <w:t> </w:t>
      </w:r>
      <w:r>
        <w:rPr>
          <w:color w:val="231F20"/>
          <w:w w:val="105"/>
        </w:rPr>
        <w:t>of</w:t>
      </w:r>
      <w:r>
        <w:rPr>
          <w:color w:val="231F20"/>
          <w:spacing w:val="-15"/>
          <w:w w:val="105"/>
        </w:rPr>
        <w:t> </w:t>
      </w:r>
      <w:r>
        <w:rPr>
          <w:color w:val="231F20"/>
          <w:w w:val="105"/>
        </w:rPr>
        <w:t>bachelor</w:t>
      </w:r>
      <w:r>
        <w:rPr>
          <w:color w:val="231F20"/>
          <w:spacing w:val="-20"/>
          <w:w w:val="105"/>
        </w:rPr>
        <w:t> </w:t>
      </w:r>
      <w:r>
        <w:rPr>
          <w:color w:val="231F20"/>
          <w:spacing w:val="-3"/>
          <w:w w:val="105"/>
        </w:rPr>
        <w:t>degree</w:t>
      </w:r>
      <w:r>
        <w:rPr>
          <w:color w:val="231F20"/>
          <w:spacing w:val="-20"/>
          <w:w w:val="105"/>
        </w:rPr>
        <w:t> </w:t>
      </w:r>
      <w:r>
        <w:rPr>
          <w:color w:val="231F20"/>
          <w:spacing w:val="-3"/>
          <w:w w:val="105"/>
        </w:rPr>
        <w:t>recipients</w:t>
      </w:r>
      <w:r>
        <w:rPr>
          <w:color w:val="231F20"/>
          <w:spacing w:val="-20"/>
          <w:w w:val="105"/>
        </w:rPr>
        <w:t> </w:t>
      </w:r>
      <w:r>
        <w:rPr>
          <w:color w:val="231F20"/>
          <w:w w:val="105"/>
        </w:rPr>
        <w:t>of</w:t>
      </w:r>
      <w:r>
        <w:rPr>
          <w:color w:val="231F20"/>
          <w:spacing w:val="-15"/>
          <w:w w:val="105"/>
        </w:rPr>
        <w:t> </w:t>
      </w:r>
      <w:r>
        <w:rPr>
          <w:color w:val="231F20"/>
          <w:w w:val="105"/>
        </w:rPr>
        <w:t>Hispanic</w:t>
      </w:r>
      <w:r>
        <w:rPr>
          <w:color w:val="231F20"/>
          <w:spacing w:val="-20"/>
          <w:w w:val="105"/>
        </w:rPr>
        <w:t> </w:t>
      </w:r>
      <w:r>
        <w:rPr>
          <w:color w:val="231F20"/>
          <w:w w:val="105"/>
        </w:rPr>
        <w:t>descent</w:t>
      </w:r>
      <w:r>
        <w:rPr>
          <w:color w:val="231F20"/>
          <w:spacing w:val="-20"/>
          <w:w w:val="105"/>
        </w:rPr>
        <w:t> </w:t>
      </w:r>
      <w:r>
        <w:rPr>
          <w:color w:val="231F20"/>
          <w:w w:val="105"/>
        </w:rPr>
        <w:t>in</w:t>
      </w:r>
      <w:r>
        <w:rPr>
          <w:color w:val="231F20"/>
          <w:spacing w:val="-20"/>
          <w:w w:val="105"/>
        </w:rPr>
        <w:t> </w:t>
      </w:r>
      <w:r>
        <w:rPr>
          <w:color w:val="231F20"/>
          <w:w w:val="105"/>
        </w:rPr>
        <w:t>2010 </w:t>
      </w:r>
      <w:r>
        <w:rPr>
          <w:color w:val="231F20"/>
          <w:spacing w:val="-3"/>
          <w:w w:val="105"/>
        </w:rPr>
        <w:t>reached</w:t>
      </w:r>
      <w:r>
        <w:rPr>
          <w:color w:val="231F20"/>
          <w:spacing w:val="-16"/>
          <w:w w:val="105"/>
        </w:rPr>
        <w:t> </w:t>
      </w:r>
      <w:r>
        <w:rPr>
          <w:color w:val="231F20"/>
          <w:w w:val="105"/>
        </w:rPr>
        <w:t>8.5</w:t>
      </w:r>
      <w:r>
        <w:rPr>
          <w:color w:val="231F20"/>
          <w:spacing w:val="-16"/>
          <w:w w:val="105"/>
        </w:rPr>
        <w:t> </w:t>
      </w:r>
      <w:r>
        <w:rPr>
          <w:color w:val="231F20"/>
          <w:spacing w:val="-3"/>
          <w:w w:val="105"/>
        </w:rPr>
        <w:t>percent,</w:t>
      </w:r>
      <w:r>
        <w:rPr>
          <w:color w:val="231F20"/>
          <w:spacing w:val="-21"/>
          <w:w w:val="105"/>
        </w:rPr>
        <w:t> </w:t>
      </w:r>
      <w:r>
        <w:rPr>
          <w:color w:val="231F20"/>
          <w:w w:val="105"/>
        </w:rPr>
        <w:t>a</w:t>
      </w:r>
      <w:r>
        <w:rPr>
          <w:color w:val="231F20"/>
          <w:spacing w:val="-16"/>
          <w:w w:val="105"/>
        </w:rPr>
        <w:t> </w:t>
      </w:r>
      <w:r>
        <w:rPr>
          <w:color w:val="231F20"/>
          <w:spacing w:val="-3"/>
          <w:w w:val="105"/>
        </w:rPr>
        <w:t>record</w:t>
      </w:r>
      <w:r>
        <w:rPr>
          <w:color w:val="231F20"/>
          <w:spacing w:val="-16"/>
          <w:w w:val="105"/>
        </w:rPr>
        <w:t> </w:t>
      </w:r>
      <w:r>
        <w:rPr>
          <w:color w:val="231F20"/>
          <w:w w:val="105"/>
        </w:rPr>
        <w:t>high,</w:t>
      </w:r>
      <w:r>
        <w:rPr>
          <w:color w:val="231F20"/>
          <w:spacing w:val="-21"/>
          <w:w w:val="105"/>
        </w:rPr>
        <w:t> </w:t>
      </w:r>
      <w:r>
        <w:rPr>
          <w:color w:val="231F20"/>
          <w:w w:val="105"/>
        </w:rPr>
        <w:t>and</w:t>
      </w:r>
      <w:r>
        <w:rPr>
          <w:color w:val="231F20"/>
          <w:spacing w:val="-16"/>
          <w:w w:val="105"/>
        </w:rPr>
        <w:t> </w:t>
      </w:r>
      <w:r>
        <w:rPr>
          <w:color w:val="231F20"/>
          <w:w w:val="105"/>
        </w:rPr>
        <w:t>Hispanics</w:t>
      </w:r>
      <w:r>
        <w:rPr>
          <w:color w:val="231F20"/>
          <w:spacing w:val="-16"/>
          <w:w w:val="105"/>
        </w:rPr>
        <w:t> </w:t>
      </w:r>
      <w:r>
        <w:rPr>
          <w:color w:val="231F20"/>
          <w:w w:val="105"/>
        </w:rPr>
        <w:t>earned</w:t>
      </w:r>
      <w:r>
        <w:rPr>
          <w:color w:val="231F20"/>
          <w:spacing w:val="-16"/>
          <w:w w:val="105"/>
        </w:rPr>
        <w:t> </w:t>
      </w:r>
      <w:r>
        <w:rPr>
          <w:color w:val="231F20"/>
          <w:w w:val="105"/>
        </w:rPr>
        <w:t>13.5</w:t>
      </w:r>
      <w:r>
        <w:rPr>
          <w:color w:val="231F20"/>
          <w:spacing w:val="-16"/>
          <w:w w:val="105"/>
        </w:rPr>
        <w:t> </w:t>
      </w:r>
      <w:r>
        <w:rPr>
          <w:color w:val="231F20"/>
          <w:spacing w:val="-3"/>
          <w:w w:val="105"/>
        </w:rPr>
        <w:t>percent</w:t>
      </w:r>
      <w:r>
        <w:rPr>
          <w:color w:val="231F20"/>
          <w:spacing w:val="-16"/>
          <w:w w:val="105"/>
        </w:rPr>
        <w:t> </w:t>
      </w:r>
      <w:r>
        <w:rPr>
          <w:color w:val="231F20"/>
          <w:w w:val="105"/>
        </w:rPr>
        <w:t>of </w:t>
      </w:r>
      <w:r>
        <w:rPr>
          <w:color w:val="231F20"/>
          <w:spacing w:val="-3"/>
          <w:w w:val="105"/>
        </w:rPr>
        <w:t>associate’s</w:t>
      </w:r>
      <w:r>
        <w:rPr>
          <w:color w:val="231F20"/>
          <w:spacing w:val="-14"/>
          <w:w w:val="105"/>
        </w:rPr>
        <w:t> </w:t>
      </w:r>
      <w:r>
        <w:rPr>
          <w:color w:val="231F20"/>
          <w:spacing w:val="-3"/>
          <w:w w:val="105"/>
        </w:rPr>
        <w:t>degrees</w:t>
      </w:r>
      <w:r>
        <w:rPr>
          <w:color w:val="231F20"/>
          <w:spacing w:val="-14"/>
          <w:w w:val="105"/>
        </w:rPr>
        <w:t> </w:t>
      </w:r>
      <w:r>
        <w:rPr>
          <w:color w:val="231F20"/>
          <w:w w:val="105"/>
        </w:rPr>
        <w:t>that</w:t>
      </w:r>
      <w:r>
        <w:rPr>
          <w:color w:val="231F20"/>
          <w:spacing w:val="-14"/>
          <w:w w:val="105"/>
        </w:rPr>
        <w:t> </w:t>
      </w:r>
      <w:r>
        <w:rPr>
          <w:color w:val="231F20"/>
          <w:w w:val="105"/>
        </w:rPr>
        <w:t>same</w:t>
      </w:r>
      <w:r>
        <w:rPr>
          <w:color w:val="231F20"/>
          <w:spacing w:val="-14"/>
          <w:w w:val="105"/>
        </w:rPr>
        <w:t> </w:t>
      </w:r>
      <w:r>
        <w:rPr>
          <w:color w:val="231F20"/>
          <w:spacing w:val="-4"/>
          <w:w w:val="105"/>
        </w:rPr>
        <w:t>year.</w:t>
      </w:r>
      <w:r>
        <w:rPr>
          <w:color w:val="231F20"/>
          <w:spacing w:val="-18"/>
          <w:w w:val="105"/>
        </w:rPr>
        <w:t> </w:t>
      </w:r>
      <w:r>
        <w:rPr>
          <w:color w:val="231F20"/>
          <w:w w:val="105"/>
        </w:rPr>
        <w:t>Most</w:t>
      </w:r>
      <w:r>
        <w:rPr>
          <w:color w:val="231F20"/>
          <w:spacing w:val="-14"/>
          <w:w w:val="105"/>
        </w:rPr>
        <w:t> </w:t>
      </w:r>
      <w:r>
        <w:rPr>
          <w:color w:val="231F20"/>
          <w:spacing w:val="-3"/>
          <w:w w:val="105"/>
        </w:rPr>
        <w:t>recently,</w:t>
      </w:r>
      <w:r>
        <w:rPr>
          <w:color w:val="231F20"/>
          <w:spacing w:val="-18"/>
          <w:w w:val="105"/>
        </w:rPr>
        <w:t> </w:t>
      </w:r>
      <w:r>
        <w:rPr>
          <w:color w:val="231F20"/>
          <w:w w:val="105"/>
        </w:rPr>
        <w:t>Hispanics</w:t>
      </w:r>
      <w:r>
        <w:rPr>
          <w:color w:val="231F20"/>
          <w:spacing w:val="-14"/>
          <w:w w:val="105"/>
        </w:rPr>
        <w:t> </w:t>
      </w:r>
      <w:r>
        <w:rPr>
          <w:color w:val="231F20"/>
          <w:w w:val="105"/>
        </w:rPr>
        <w:t>have</w:t>
      </w:r>
      <w:r>
        <w:rPr>
          <w:color w:val="231F20"/>
          <w:spacing w:val="-14"/>
          <w:w w:val="105"/>
        </w:rPr>
        <w:t> </w:t>
      </w:r>
      <w:r>
        <w:rPr>
          <w:color w:val="231F20"/>
          <w:w w:val="105"/>
        </w:rPr>
        <w:t>made </w:t>
      </w:r>
      <w:r>
        <w:rPr>
          <w:color w:val="231F20"/>
          <w:spacing w:val="-3"/>
          <w:w w:val="105"/>
        </w:rPr>
        <w:t>impressive</w:t>
      </w:r>
      <w:r>
        <w:rPr>
          <w:color w:val="231F20"/>
          <w:spacing w:val="-10"/>
          <w:w w:val="105"/>
        </w:rPr>
        <w:t> </w:t>
      </w:r>
      <w:r>
        <w:rPr>
          <w:color w:val="231F20"/>
          <w:w w:val="105"/>
        </w:rPr>
        <w:t>educational</w:t>
      </w:r>
      <w:r>
        <w:rPr>
          <w:color w:val="231F20"/>
          <w:spacing w:val="-10"/>
          <w:w w:val="105"/>
        </w:rPr>
        <w:t> </w:t>
      </w:r>
      <w:r>
        <w:rPr>
          <w:color w:val="231F20"/>
          <w:w w:val="105"/>
        </w:rPr>
        <w:t>advancements.</w:t>
      </w:r>
      <w:r>
        <w:rPr>
          <w:color w:val="231F20"/>
          <w:spacing w:val="-14"/>
          <w:w w:val="105"/>
        </w:rPr>
        <w:t> </w:t>
      </w:r>
      <w:r>
        <w:rPr>
          <w:color w:val="231F20"/>
          <w:w w:val="105"/>
        </w:rPr>
        <w:t>In</w:t>
      </w:r>
      <w:r>
        <w:rPr>
          <w:color w:val="231F20"/>
          <w:spacing w:val="-10"/>
          <w:w w:val="105"/>
        </w:rPr>
        <w:t> </w:t>
      </w:r>
      <w:r>
        <w:rPr>
          <w:color w:val="231F20"/>
          <w:w w:val="105"/>
        </w:rPr>
        <w:t>2014,</w:t>
      </w:r>
      <w:r>
        <w:rPr>
          <w:color w:val="231F20"/>
          <w:spacing w:val="-14"/>
          <w:w w:val="105"/>
        </w:rPr>
        <w:t> </w:t>
      </w:r>
      <w:r>
        <w:rPr>
          <w:color w:val="231F20"/>
          <w:w w:val="105"/>
        </w:rPr>
        <w:t>15</w:t>
      </w:r>
      <w:r>
        <w:rPr>
          <w:color w:val="231F20"/>
          <w:spacing w:val="-10"/>
          <w:w w:val="105"/>
        </w:rPr>
        <w:t> </w:t>
      </w:r>
      <w:r>
        <w:rPr>
          <w:color w:val="231F20"/>
          <w:spacing w:val="-3"/>
          <w:w w:val="105"/>
        </w:rPr>
        <w:t>percent</w:t>
      </w:r>
      <w:r>
        <w:rPr>
          <w:color w:val="231F20"/>
          <w:spacing w:val="-10"/>
          <w:w w:val="105"/>
        </w:rPr>
        <w:t> </w:t>
      </w:r>
      <w:r>
        <w:rPr>
          <w:color w:val="231F20"/>
          <w:w w:val="105"/>
        </w:rPr>
        <w:t>of</w:t>
      </w:r>
      <w:r>
        <w:rPr>
          <w:color w:val="231F20"/>
          <w:spacing w:val="-6"/>
          <w:w w:val="105"/>
        </w:rPr>
        <w:t> </w:t>
      </w:r>
      <w:r>
        <w:rPr>
          <w:color w:val="231F20"/>
          <w:w w:val="105"/>
        </w:rPr>
        <w:t>Hispanics between</w:t>
      </w:r>
      <w:r>
        <w:rPr>
          <w:color w:val="231F20"/>
          <w:spacing w:val="-24"/>
          <w:w w:val="105"/>
        </w:rPr>
        <w:t> </w:t>
      </w:r>
      <w:r>
        <w:rPr>
          <w:color w:val="231F20"/>
          <w:w w:val="105"/>
        </w:rPr>
        <w:t>the</w:t>
      </w:r>
      <w:r>
        <w:rPr>
          <w:color w:val="231F20"/>
          <w:spacing w:val="-24"/>
          <w:w w:val="105"/>
        </w:rPr>
        <w:t> </w:t>
      </w:r>
      <w:r>
        <w:rPr>
          <w:color w:val="231F20"/>
          <w:w w:val="105"/>
        </w:rPr>
        <w:t>ages</w:t>
      </w:r>
      <w:r>
        <w:rPr>
          <w:color w:val="231F20"/>
          <w:spacing w:val="-24"/>
          <w:w w:val="105"/>
        </w:rPr>
        <w:t> </w:t>
      </w:r>
      <w:r>
        <w:rPr>
          <w:color w:val="231F20"/>
          <w:w w:val="105"/>
        </w:rPr>
        <w:t>of</w:t>
      </w:r>
      <w:r>
        <w:rPr>
          <w:color w:val="231F20"/>
          <w:spacing w:val="-19"/>
          <w:w w:val="105"/>
        </w:rPr>
        <w:t> </w:t>
      </w:r>
      <w:r>
        <w:rPr>
          <w:color w:val="231F20"/>
          <w:w w:val="105"/>
        </w:rPr>
        <w:t>25</w:t>
      </w:r>
      <w:r>
        <w:rPr>
          <w:color w:val="231F20"/>
          <w:spacing w:val="-24"/>
          <w:w w:val="105"/>
        </w:rPr>
        <w:t> </w:t>
      </w:r>
      <w:r>
        <w:rPr>
          <w:color w:val="231F20"/>
          <w:w w:val="105"/>
        </w:rPr>
        <w:t>and</w:t>
      </w:r>
      <w:r>
        <w:rPr>
          <w:color w:val="231F20"/>
          <w:spacing w:val="-24"/>
          <w:w w:val="105"/>
        </w:rPr>
        <w:t> </w:t>
      </w:r>
      <w:r>
        <w:rPr>
          <w:color w:val="231F20"/>
          <w:w w:val="105"/>
        </w:rPr>
        <w:t>29</w:t>
      </w:r>
      <w:r>
        <w:rPr>
          <w:color w:val="231F20"/>
          <w:spacing w:val="-24"/>
          <w:w w:val="105"/>
        </w:rPr>
        <w:t> </w:t>
      </w:r>
      <w:r>
        <w:rPr>
          <w:color w:val="231F20"/>
          <w:w w:val="105"/>
        </w:rPr>
        <w:t>had</w:t>
      </w:r>
      <w:r>
        <w:rPr>
          <w:color w:val="231F20"/>
          <w:spacing w:val="-24"/>
          <w:w w:val="105"/>
        </w:rPr>
        <w:t> </w:t>
      </w:r>
      <w:r>
        <w:rPr>
          <w:color w:val="231F20"/>
          <w:spacing w:val="-3"/>
          <w:w w:val="105"/>
        </w:rPr>
        <w:t>received</w:t>
      </w:r>
      <w:r>
        <w:rPr>
          <w:color w:val="231F20"/>
          <w:spacing w:val="-24"/>
          <w:w w:val="105"/>
        </w:rPr>
        <w:t> </w:t>
      </w:r>
      <w:r>
        <w:rPr>
          <w:color w:val="231F20"/>
          <w:w w:val="105"/>
        </w:rPr>
        <w:t>a</w:t>
      </w:r>
      <w:r>
        <w:rPr>
          <w:color w:val="231F20"/>
          <w:spacing w:val="-24"/>
          <w:w w:val="105"/>
        </w:rPr>
        <w:t> </w:t>
      </w:r>
      <w:r>
        <w:rPr>
          <w:color w:val="231F20"/>
          <w:spacing w:val="-3"/>
          <w:w w:val="105"/>
        </w:rPr>
        <w:t>bachelor’s</w:t>
      </w:r>
      <w:r>
        <w:rPr>
          <w:color w:val="231F20"/>
          <w:spacing w:val="-24"/>
          <w:w w:val="105"/>
        </w:rPr>
        <w:t> </w:t>
      </w:r>
      <w:r>
        <w:rPr>
          <w:color w:val="231F20"/>
          <w:spacing w:val="-3"/>
          <w:w w:val="105"/>
        </w:rPr>
        <w:t>degree</w:t>
      </w:r>
      <w:r>
        <w:rPr>
          <w:color w:val="231F20"/>
          <w:spacing w:val="-24"/>
          <w:w w:val="105"/>
        </w:rPr>
        <w:t> </w:t>
      </w:r>
      <w:r>
        <w:rPr>
          <w:color w:val="231F20"/>
          <w:w w:val="105"/>
        </w:rPr>
        <w:t>or</w:t>
      </w:r>
      <w:r>
        <w:rPr>
          <w:color w:val="231F20"/>
          <w:spacing w:val="-24"/>
          <w:w w:val="105"/>
        </w:rPr>
        <w:t> </w:t>
      </w:r>
      <w:r>
        <w:rPr>
          <w:color w:val="231F20"/>
          <w:spacing w:val="-2"/>
          <w:w w:val="105"/>
        </w:rPr>
        <w:t>higher </w:t>
      </w:r>
      <w:r>
        <w:rPr>
          <w:color w:val="231F20"/>
          <w:w w:val="105"/>
        </w:rPr>
        <w:t>(National</w:t>
      </w:r>
      <w:r>
        <w:rPr>
          <w:color w:val="231F20"/>
          <w:spacing w:val="-14"/>
          <w:w w:val="105"/>
        </w:rPr>
        <w:t> </w:t>
      </w:r>
      <w:r>
        <w:rPr>
          <w:color w:val="231F20"/>
          <w:spacing w:val="-2"/>
          <w:w w:val="105"/>
        </w:rPr>
        <w:t>Center</w:t>
      </w:r>
      <w:r>
        <w:rPr>
          <w:color w:val="231F20"/>
          <w:spacing w:val="-14"/>
          <w:w w:val="105"/>
        </w:rPr>
        <w:t> </w:t>
      </w:r>
      <w:r>
        <w:rPr>
          <w:color w:val="231F20"/>
          <w:w w:val="105"/>
        </w:rPr>
        <w:t>for</w:t>
      </w:r>
      <w:r>
        <w:rPr>
          <w:color w:val="231F20"/>
          <w:spacing w:val="-14"/>
          <w:w w:val="105"/>
        </w:rPr>
        <w:t> </w:t>
      </w:r>
      <w:r>
        <w:rPr>
          <w:color w:val="231F20"/>
          <w:w w:val="105"/>
        </w:rPr>
        <w:t>Educational</w:t>
      </w:r>
      <w:r>
        <w:rPr>
          <w:color w:val="231F20"/>
          <w:spacing w:val="-14"/>
          <w:w w:val="105"/>
        </w:rPr>
        <w:t> </w:t>
      </w:r>
      <w:r>
        <w:rPr>
          <w:color w:val="231F20"/>
          <w:spacing w:val="-3"/>
          <w:w w:val="105"/>
        </w:rPr>
        <w:t>Statistics,</w:t>
      </w:r>
      <w:r>
        <w:rPr>
          <w:color w:val="231F20"/>
          <w:spacing w:val="-19"/>
          <w:w w:val="105"/>
        </w:rPr>
        <w:t> </w:t>
      </w:r>
      <w:r>
        <w:rPr>
          <w:color w:val="231F20"/>
          <w:w w:val="105"/>
        </w:rPr>
        <w:t>2015).</w:t>
      </w:r>
      <w:r>
        <w:rPr>
          <w:color w:val="231F20"/>
          <w:spacing w:val="-19"/>
          <w:w w:val="105"/>
        </w:rPr>
        <w:t> </w:t>
      </w:r>
      <w:r>
        <w:rPr>
          <w:color w:val="231F20"/>
          <w:spacing w:val="-3"/>
          <w:w w:val="105"/>
        </w:rPr>
        <w:t>However,</w:t>
      </w:r>
      <w:r>
        <w:rPr>
          <w:color w:val="231F20"/>
          <w:spacing w:val="-19"/>
          <w:w w:val="105"/>
        </w:rPr>
        <w:t> </w:t>
      </w:r>
      <w:r>
        <w:rPr>
          <w:color w:val="231F20"/>
          <w:spacing w:val="-3"/>
          <w:w w:val="105"/>
        </w:rPr>
        <w:t>compared</w:t>
      </w:r>
      <w:r>
        <w:rPr>
          <w:color w:val="231F20"/>
          <w:spacing w:val="-14"/>
          <w:w w:val="105"/>
        </w:rPr>
        <w:t> </w:t>
      </w:r>
      <w:r>
        <w:rPr>
          <w:color w:val="231F20"/>
          <w:w w:val="105"/>
        </w:rPr>
        <w:t>to White,</w:t>
      </w:r>
      <w:r>
        <w:rPr>
          <w:color w:val="231F20"/>
          <w:spacing w:val="-18"/>
          <w:w w:val="105"/>
        </w:rPr>
        <w:t> </w:t>
      </w:r>
      <w:r>
        <w:rPr>
          <w:color w:val="231F20"/>
          <w:w w:val="105"/>
        </w:rPr>
        <w:t>Asian,</w:t>
      </w:r>
      <w:r>
        <w:rPr>
          <w:color w:val="231F20"/>
          <w:spacing w:val="-15"/>
          <w:w w:val="105"/>
        </w:rPr>
        <w:t> </w:t>
      </w:r>
      <w:r>
        <w:rPr>
          <w:color w:val="231F20"/>
          <w:w w:val="105"/>
        </w:rPr>
        <w:t>and</w:t>
      </w:r>
      <w:r>
        <w:rPr>
          <w:color w:val="231F20"/>
          <w:spacing w:val="-13"/>
          <w:w w:val="105"/>
        </w:rPr>
        <w:t> </w:t>
      </w:r>
      <w:r>
        <w:rPr>
          <w:color w:val="231F20"/>
          <w:w w:val="105"/>
        </w:rPr>
        <w:t>African</w:t>
      </w:r>
      <w:r>
        <w:rPr>
          <w:color w:val="231F20"/>
          <w:spacing w:val="-13"/>
          <w:w w:val="105"/>
        </w:rPr>
        <w:t> </w:t>
      </w:r>
      <w:r>
        <w:rPr>
          <w:color w:val="231F20"/>
          <w:w w:val="105"/>
        </w:rPr>
        <w:t>Americans</w:t>
      </w:r>
      <w:r>
        <w:rPr>
          <w:color w:val="231F20"/>
          <w:spacing w:val="-10"/>
          <w:w w:val="105"/>
        </w:rPr>
        <w:t> </w:t>
      </w:r>
      <w:r>
        <w:rPr>
          <w:color w:val="231F20"/>
          <w:spacing w:val="-3"/>
          <w:w w:val="105"/>
        </w:rPr>
        <w:t>receiving</w:t>
      </w:r>
      <w:r>
        <w:rPr>
          <w:color w:val="231F20"/>
          <w:spacing w:val="-10"/>
          <w:w w:val="105"/>
        </w:rPr>
        <w:t> </w:t>
      </w:r>
      <w:r>
        <w:rPr>
          <w:color w:val="231F20"/>
          <w:w w:val="105"/>
        </w:rPr>
        <w:t>a</w:t>
      </w:r>
      <w:r>
        <w:rPr>
          <w:color w:val="231F20"/>
          <w:spacing w:val="-10"/>
          <w:w w:val="105"/>
        </w:rPr>
        <w:t> </w:t>
      </w:r>
      <w:r>
        <w:rPr>
          <w:color w:val="231F20"/>
          <w:spacing w:val="-3"/>
          <w:w w:val="105"/>
        </w:rPr>
        <w:t>bachelor’s</w:t>
      </w:r>
      <w:r>
        <w:rPr>
          <w:color w:val="231F20"/>
          <w:spacing w:val="-10"/>
          <w:w w:val="105"/>
        </w:rPr>
        <w:t> </w:t>
      </w:r>
      <w:r>
        <w:rPr>
          <w:color w:val="231F20"/>
          <w:spacing w:val="-3"/>
          <w:w w:val="105"/>
        </w:rPr>
        <w:t>degree</w:t>
      </w:r>
      <w:r>
        <w:rPr>
          <w:color w:val="231F20"/>
          <w:spacing w:val="-10"/>
          <w:w w:val="105"/>
        </w:rPr>
        <w:t> </w:t>
      </w:r>
      <w:r>
        <w:rPr>
          <w:color w:val="231F20"/>
          <w:w w:val="105"/>
        </w:rPr>
        <w:t>or</w:t>
      </w:r>
      <w:r>
        <w:rPr>
          <w:color w:val="231F20"/>
          <w:spacing w:val="-10"/>
          <w:w w:val="105"/>
        </w:rPr>
        <w:t> </w:t>
      </w:r>
      <w:r>
        <w:rPr>
          <w:color w:val="231F20"/>
          <w:w w:val="105"/>
        </w:rPr>
        <w:t>hi- gher the </w:t>
      </w:r>
      <w:r>
        <w:rPr>
          <w:color w:val="231F20"/>
          <w:spacing w:val="-3"/>
          <w:w w:val="105"/>
        </w:rPr>
        <w:t>percentage </w:t>
      </w:r>
      <w:r>
        <w:rPr>
          <w:color w:val="231F20"/>
          <w:w w:val="105"/>
        </w:rPr>
        <w:t>of Hispanics completing higher </w:t>
      </w:r>
      <w:r>
        <w:rPr>
          <w:color w:val="231F20"/>
          <w:spacing w:val="-2"/>
          <w:w w:val="105"/>
        </w:rPr>
        <w:t>education </w:t>
      </w:r>
      <w:r>
        <w:rPr>
          <w:color w:val="231F20"/>
          <w:spacing w:val="-3"/>
          <w:w w:val="105"/>
        </w:rPr>
        <w:t>degrees remained </w:t>
      </w:r>
      <w:r>
        <w:rPr>
          <w:color w:val="231F20"/>
          <w:spacing w:val="-4"/>
          <w:w w:val="105"/>
        </w:rPr>
        <w:t>low, </w:t>
      </w:r>
      <w:r>
        <w:rPr>
          <w:color w:val="231F20"/>
          <w:w w:val="105"/>
        </w:rPr>
        <w:t>consequently </w:t>
      </w:r>
      <w:r>
        <w:rPr>
          <w:color w:val="231F20"/>
          <w:spacing w:val="-3"/>
          <w:w w:val="105"/>
        </w:rPr>
        <w:t>increasing </w:t>
      </w:r>
      <w:r>
        <w:rPr>
          <w:color w:val="231F20"/>
          <w:w w:val="105"/>
        </w:rPr>
        <w:t>the </w:t>
      </w:r>
      <w:r>
        <w:rPr>
          <w:color w:val="231F20"/>
          <w:spacing w:val="-3"/>
          <w:w w:val="105"/>
        </w:rPr>
        <w:t>already </w:t>
      </w:r>
      <w:r>
        <w:rPr>
          <w:color w:val="231F20"/>
          <w:w w:val="105"/>
        </w:rPr>
        <w:t>existing </w:t>
      </w:r>
      <w:r>
        <w:rPr>
          <w:color w:val="231F20"/>
          <w:spacing w:val="-3"/>
          <w:w w:val="105"/>
        </w:rPr>
        <w:t>educational </w:t>
      </w:r>
      <w:r>
        <w:rPr>
          <w:color w:val="231F20"/>
          <w:w w:val="105"/>
        </w:rPr>
        <w:t>gap between Hispanics and other </w:t>
      </w:r>
      <w:r>
        <w:rPr>
          <w:color w:val="231F20"/>
          <w:spacing w:val="-3"/>
          <w:w w:val="105"/>
        </w:rPr>
        <w:t>groups </w:t>
      </w:r>
      <w:r>
        <w:rPr>
          <w:color w:val="231F20"/>
          <w:w w:val="105"/>
        </w:rPr>
        <w:t>(National </w:t>
      </w:r>
      <w:r>
        <w:rPr>
          <w:color w:val="231F20"/>
          <w:spacing w:val="-2"/>
          <w:w w:val="105"/>
        </w:rPr>
        <w:t>Center </w:t>
      </w:r>
      <w:r>
        <w:rPr>
          <w:color w:val="231F20"/>
          <w:w w:val="105"/>
        </w:rPr>
        <w:t>for </w:t>
      </w:r>
      <w:r>
        <w:rPr>
          <w:color w:val="231F20"/>
          <w:spacing w:val="-2"/>
          <w:w w:val="105"/>
        </w:rPr>
        <w:t>Educatio- </w:t>
      </w:r>
      <w:r>
        <w:rPr>
          <w:color w:val="231F20"/>
          <w:w w:val="105"/>
        </w:rPr>
        <w:t>nal</w:t>
      </w:r>
      <w:r>
        <w:rPr>
          <w:color w:val="231F20"/>
          <w:spacing w:val="-32"/>
          <w:w w:val="105"/>
        </w:rPr>
        <w:t> </w:t>
      </w:r>
      <w:r>
        <w:rPr>
          <w:color w:val="231F20"/>
          <w:spacing w:val="-3"/>
          <w:w w:val="105"/>
        </w:rPr>
        <w:t>Statistics,</w:t>
      </w:r>
      <w:r>
        <w:rPr>
          <w:color w:val="231F20"/>
          <w:spacing w:val="-37"/>
          <w:w w:val="105"/>
        </w:rPr>
        <w:t> </w:t>
      </w:r>
      <w:r>
        <w:rPr>
          <w:color w:val="231F20"/>
          <w:w w:val="105"/>
        </w:rPr>
        <w:t>2015).</w:t>
      </w:r>
      <w:r>
        <w:rPr>
          <w:color w:val="231F20"/>
          <w:spacing w:val="-37"/>
          <w:w w:val="105"/>
        </w:rPr>
        <w:t> </w:t>
      </w:r>
      <w:r>
        <w:rPr>
          <w:color w:val="231F20"/>
          <w:w w:val="105"/>
        </w:rPr>
        <w:t>Data</w:t>
      </w:r>
      <w:r>
        <w:rPr>
          <w:color w:val="231F20"/>
          <w:spacing w:val="-32"/>
          <w:w w:val="105"/>
        </w:rPr>
        <w:t> </w:t>
      </w:r>
      <w:r>
        <w:rPr>
          <w:color w:val="231F20"/>
          <w:w w:val="105"/>
        </w:rPr>
        <w:t>indicate</w:t>
      </w:r>
      <w:r>
        <w:rPr>
          <w:color w:val="231F20"/>
          <w:spacing w:val="-32"/>
          <w:w w:val="105"/>
        </w:rPr>
        <w:t> </w:t>
      </w:r>
      <w:r>
        <w:rPr>
          <w:color w:val="231F20"/>
          <w:w w:val="105"/>
        </w:rPr>
        <w:t>that</w:t>
      </w:r>
      <w:r>
        <w:rPr>
          <w:color w:val="231F20"/>
          <w:spacing w:val="-32"/>
          <w:w w:val="105"/>
        </w:rPr>
        <w:t> </w:t>
      </w:r>
      <w:r>
        <w:rPr>
          <w:color w:val="231F20"/>
          <w:w w:val="105"/>
        </w:rPr>
        <w:t>individuals</w:t>
      </w:r>
      <w:r>
        <w:rPr>
          <w:color w:val="231F20"/>
          <w:spacing w:val="-32"/>
          <w:w w:val="105"/>
        </w:rPr>
        <w:t> </w:t>
      </w:r>
      <w:r>
        <w:rPr>
          <w:color w:val="231F20"/>
          <w:w w:val="105"/>
        </w:rPr>
        <w:t>with</w:t>
      </w:r>
      <w:r>
        <w:rPr>
          <w:color w:val="231F20"/>
          <w:spacing w:val="-32"/>
          <w:w w:val="105"/>
        </w:rPr>
        <w:t> </w:t>
      </w:r>
      <w:r>
        <w:rPr>
          <w:color w:val="231F20"/>
          <w:w w:val="105"/>
        </w:rPr>
        <w:t>a</w:t>
      </w:r>
      <w:r>
        <w:rPr>
          <w:color w:val="231F20"/>
          <w:spacing w:val="-32"/>
          <w:w w:val="105"/>
        </w:rPr>
        <w:t> </w:t>
      </w:r>
      <w:r>
        <w:rPr>
          <w:color w:val="231F20"/>
          <w:spacing w:val="-3"/>
          <w:w w:val="105"/>
        </w:rPr>
        <w:t>bachelor’s</w:t>
      </w:r>
      <w:r>
        <w:rPr>
          <w:color w:val="231F20"/>
          <w:spacing w:val="-32"/>
          <w:w w:val="105"/>
        </w:rPr>
        <w:t> </w:t>
      </w:r>
      <w:r>
        <w:rPr>
          <w:color w:val="231F20"/>
          <w:spacing w:val="-3"/>
          <w:w w:val="105"/>
        </w:rPr>
        <w:t>degree </w:t>
      </w:r>
      <w:r>
        <w:rPr>
          <w:color w:val="231F20"/>
          <w:w w:val="105"/>
        </w:rPr>
        <w:t>earn 50 </w:t>
      </w:r>
      <w:r>
        <w:rPr>
          <w:color w:val="231F20"/>
          <w:spacing w:val="-3"/>
          <w:w w:val="105"/>
        </w:rPr>
        <w:t>percent more </w:t>
      </w:r>
      <w:r>
        <w:rPr>
          <w:color w:val="231F20"/>
          <w:w w:val="105"/>
        </w:rPr>
        <w:t>than those without a college </w:t>
      </w:r>
      <w:r>
        <w:rPr>
          <w:color w:val="231F20"/>
          <w:spacing w:val="-3"/>
          <w:w w:val="105"/>
        </w:rPr>
        <w:t>degree </w:t>
      </w:r>
      <w:r>
        <w:rPr>
          <w:color w:val="231F20"/>
          <w:w w:val="105"/>
        </w:rPr>
        <w:t>or those with less</w:t>
      </w:r>
      <w:r>
        <w:rPr>
          <w:color w:val="231F20"/>
          <w:spacing w:val="-30"/>
          <w:w w:val="105"/>
        </w:rPr>
        <w:t> </w:t>
      </w:r>
      <w:r>
        <w:rPr>
          <w:color w:val="231F20"/>
          <w:w w:val="105"/>
        </w:rPr>
        <w:t>than</w:t>
      </w:r>
      <w:r>
        <w:rPr>
          <w:color w:val="231F20"/>
          <w:spacing w:val="-30"/>
          <w:w w:val="105"/>
        </w:rPr>
        <w:t> </w:t>
      </w:r>
      <w:r>
        <w:rPr>
          <w:color w:val="231F20"/>
          <w:w w:val="105"/>
        </w:rPr>
        <w:t>a</w:t>
      </w:r>
      <w:r>
        <w:rPr>
          <w:color w:val="231F20"/>
          <w:spacing w:val="-30"/>
          <w:w w:val="105"/>
        </w:rPr>
        <w:t> </w:t>
      </w:r>
      <w:r>
        <w:rPr>
          <w:color w:val="231F20"/>
          <w:w w:val="105"/>
        </w:rPr>
        <w:t>high</w:t>
      </w:r>
      <w:r>
        <w:rPr>
          <w:color w:val="231F20"/>
          <w:spacing w:val="-30"/>
          <w:w w:val="105"/>
        </w:rPr>
        <w:t> </w:t>
      </w:r>
      <w:r>
        <w:rPr>
          <w:color w:val="231F20"/>
          <w:w w:val="105"/>
        </w:rPr>
        <w:t>school</w:t>
      </w:r>
      <w:r>
        <w:rPr>
          <w:color w:val="231F20"/>
          <w:spacing w:val="-30"/>
          <w:w w:val="105"/>
        </w:rPr>
        <w:t> </w:t>
      </w:r>
      <w:r>
        <w:rPr>
          <w:color w:val="231F20"/>
          <w:spacing w:val="-2"/>
          <w:w w:val="105"/>
        </w:rPr>
        <w:t>education</w:t>
      </w:r>
      <w:r>
        <w:rPr>
          <w:color w:val="231F20"/>
          <w:spacing w:val="-30"/>
          <w:w w:val="105"/>
        </w:rPr>
        <w:t> </w:t>
      </w:r>
      <w:r>
        <w:rPr>
          <w:color w:val="231F20"/>
          <w:spacing w:val="-3"/>
          <w:w w:val="105"/>
        </w:rPr>
        <w:t>(Barrow,</w:t>
      </w:r>
      <w:r>
        <w:rPr>
          <w:color w:val="231F20"/>
          <w:spacing w:val="-33"/>
          <w:w w:val="105"/>
        </w:rPr>
        <w:t> </w:t>
      </w:r>
      <w:r>
        <w:rPr>
          <w:color w:val="231F20"/>
          <w:spacing w:val="-3"/>
          <w:w w:val="105"/>
        </w:rPr>
        <w:t>Brock,</w:t>
      </w:r>
      <w:r>
        <w:rPr>
          <w:color w:val="231F20"/>
          <w:spacing w:val="-33"/>
          <w:w w:val="105"/>
        </w:rPr>
        <w:t> </w:t>
      </w:r>
      <w:r>
        <w:rPr>
          <w:color w:val="231F20"/>
          <w:w w:val="105"/>
        </w:rPr>
        <w:t>and</w:t>
      </w:r>
      <w:r>
        <w:rPr>
          <w:color w:val="231F20"/>
          <w:spacing w:val="-30"/>
          <w:w w:val="105"/>
        </w:rPr>
        <w:t> </w:t>
      </w:r>
      <w:r>
        <w:rPr>
          <w:color w:val="231F20"/>
          <w:spacing w:val="-2"/>
          <w:w w:val="105"/>
        </w:rPr>
        <w:t>Rouse,</w:t>
      </w:r>
      <w:r>
        <w:rPr>
          <w:color w:val="231F20"/>
          <w:spacing w:val="-33"/>
          <w:w w:val="105"/>
        </w:rPr>
        <w:t> </w:t>
      </w:r>
      <w:r>
        <w:rPr>
          <w:color w:val="231F20"/>
          <w:spacing w:val="-2"/>
          <w:w w:val="105"/>
        </w:rPr>
        <w:t>2013).</w:t>
      </w:r>
    </w:p>
    <w:p>
      <w:pPr>
        <w:pStyle w:val="BodyText"/>
        <w:rPr>
          <w:sz w:val="20"/>
        </w:rPr>
      </w:pPr>
    </w:p>
    <w:p>
      <w:pPr>
        <w:pStyle w:val="BodyText"/>
        <w:spacing w:before="9"/>
        <w:rPr>
          <w:sz w:val="20"/>
        </w:rPr>
      </w:pPr>
    </w:p>
    <w:p>
      <w:pPr>
        <w:pStyle w:val="Heading3"/>
      </w:pPr>
      <w:r>
        <w:rPr>
          <w:color w:val="231F20"/>
        </w:rPr>
        <w:t>How Do Immigrant Children Succeed?</w:t>
      </w:r>
    </w:p>
    <w:p>
      <w:pPr>
        <w:pStyle w:val="BodyText"/>
        <w:rPr>
          <w:rFonts w:ascii="Arial"/>
          <w:b/>
          <w:sz w:val="22"/>
        </w:rPr>
      </w:pPr>
    </w:p>
    <w:p>
      <w:pPr>
        <w:pStyle w:val="BodyText"/>
        <w:spacing w:line="261" w:lineRule="auto" w:before="163"/>
        <w:ind w:left="1837" w:right="1721"/>
        <w:jc w:val="both"/>
      </w:pPr>
      <w:r>
        <w:rPr/>
        <w:pict>
          <v:line style="position:absolute;mso-position-horizontal-relative:page;mso-position-vertical-relative:paragraph;z-index:-484768" from="15pt,101.912193pt" to="0pt,101.912193pt" stroked="true" strokeweight=".25pt" strokecolor="#000000">
            <w10:wrap type="none"/>
          </v:line>
        </w:pict>
      </w:r>
      <w:r>
        <w:rPr/>
        <w:pict>
          <v:line style="position:absolute;mso-position-horizontal-relative:page;mso-position-vertical-relative:paragraph;z-index:5440" from="508.890015pt,101.912193pt" to="523.890015pt,101.912193pt" stroked="true" strokeweight=".25pt" strokecolor="#000000">
            <w10:wrap type="none"/>
          </v:line>
        </w:pict>
      </w:r>
      <w:r>
        <w:rPr>
          <w:color w:val="231F20"/>
          <w:w w:val="105"/>
        </w:rPr>
        <w:t>Immigrant</w:t>
      </w:r>
      <w:r>
        <w:rPr>
          <w:color w:val="231F20"/>
          <w:spacing w:val="-26"/>
          <w:w w:val="105"/>
        </w:rPr>
        <w:t> </w:t>
      </w:r>
      <w:r>
        <w:rPr>
          <w:color w:val="231F20"/>
          <w:w w:val="105"/>
        </w:rPr>
        <w:t>children’s</w:t>
      </w:r>
      <w:r>
        <w:rPr>
          <w:color w:val="231F20"/>
          <w:spacing w:val="-26"/>
          <w:w w:val="105"/>
        </w:rPr>
        <w:t> </w:t>
      </w:r>
      <w:r>
        <w:rPr>
          <w:color w:val="231F20"/>
          <w:w w:val="105"/>
        </w:rPr>
        <w:t>overall</w:t>
      </w:r>
      <w:r>
        <w:rPr>
          <w:color w:val="231F20"/>
          <w:spacing w:val="-26"/>
          <w:w w:val="105"/>
        </w:rPr>
        <w:t> </w:t>
      </w:r>
      <w:r>
        <w:rPr>
          <w:color w:val="231F20"/>
          <w:w w:val="105"/>
        </w:rPr>
        <w:t>educational</w:t>
      </w:r>
      <w:r>
        <w:rPr>
          <w:color w:val="231F20"/>
          <w:spacing w:val="-26"/>
          <w:w w:val="105"/>
        </w:rPr>
        <w:t> </w:t>
      </w:r>
      <w:r>
        <w:rPr>
          <w:color w:val="231F20"/>
          <w:w w:val="105"/>
        </w:rPr>
        <w:t>attainment</w:t>
      </w:r>
      <w:r>
        <w:rPr>
          <w:color w:val="231F20"/>
          <w:spacing w:val="-26"/>
          <w:w w:val="105"/>
        </w:rPr>
        <w:t> </w:t>
      </w:r>
      <w:r>
        <w:rPr>
          <w:color w:val="231F20"/>
          <w:w w:val="105"/>
        </w:rPr>
        <w:t>and</w:t>
      </w:r>
      <w:r>
        <w:rPr>
          <w:color w:val="231F20"/>
          <w:spacing w:val="-26"/>
          <w:w w:val="105"/>
        </w:rPr>
        <w:t> </w:t>
      </w:r>
      <w:r>
        <w:rPr>
          <w:color w:val="231F20"/>
          <w:w w:val="105"/>
        </w:rPr>
        <w:t>future</w:t>
      </w:r>
      <w:r>
        <w:rPr>
          <w:color w:val="231F20"/>
          <w:spacing w:val="-26"/>
          <w:w w:val="105"/>
        </w:rPr>
        <w:t> </w:t>
      </w:r>
      <w:r>
        <w:rPr>
          <w:color w:val="231F20"/>
          <w:w w:val="105"/>
        </w:rPr>
        <w:t>occupatio- nal</w:t>
      </w:r>
      <w:r>
        <w:rPr>
          <w:color w:val="231F20"/>
          <w:spacing w:val="-10"/>
          <w:w w:val="105"/>
        </w:rPr>
        <w:t> </w:t>
      </w:r>
      <w:r>
        <w:rPr>
          <w:color w:val="231F20"/>
          <w:w w:val="105"/>
        </w:rPr>
        <w:t>position</w:t>
      </w:r>
      <w:r>
        <w:rPr>
          <w:color w:val="231F20"/>
          <w:spacing w:val="-10"/>
          <w:w w:val="105"/>
        </w:rPr>
        <w:t> </w:t>
      </w:r>
      <w:r>
        <w:rPr>
          <w:color w:val="231F20"/>
          <w:w w:val="105"/>
        </w:rPr>
        <w:t>may</w:t>
      </w:r>
      <w:r>
        <w:rPr>
          <w:color w:val="231F20"/>
          <w:spacing w:val="-10"/>
          <w:w w:val="105"/>
        </w:rPr>
        <w:t> </w:t>
      </w:r>
      <w:r>
        <w:rPr>
          <w:color w:val="231F20"/>
          <w:w w:val="105"/>
        </w:rPr>
        <w:t>depend</w:t>
      </w:r>
      <w:r>
        <w:rPr>
          <w:color w:val="231F20"/>
          <w:spacing w:val="-10"/>
          <w:w w:val="105"/>
        </w:rPr>
        <w:t> </w:t>
      </w:r>
      <w:r>
        <w:rPr>
          <w:color w:val="231F20"/>
          <w:w w:val="105"/>
        </w:rPr>
        <w:t>on</w:t>
      </w:r>
      <w:r>
        <w:rPr>
          <w:color w:val="231F20"/>
          <w:spacing w:val="-10"/>
          <w:w w:val="105"/>
        </w:rPr>
        <w:t> </w:t>
      </w:r>
      <w:r>
        <w:rPr>
          <w:color w:val="231F20"/>
          <w:w w:val="105"/>
        </w:rPr>
        <w:t>their</w:t>
      </w:r>
      <w:r>
        <w:rPr>
          <w:color w:val="231F20"/>
          <w:spacing w:val="-10"/>
          <w:w w:val="105"/>
        </w:rPr>
        <w:t> </w:t>
      </w:r>
      <w:r>
        <w:rPr>
          <w:color w:val="231F20"/>
          <w:w w:val="105"/>
        </w:rPr>
        <w:t>parents’</w:t>
      </w:r>
      <w:r>
        <w:rPr>
          <w:color w:val="231F20"/>
          <w:spacing w:val="-10"/>
          <w:w w:val="105"/>
        </w:rPr>
        <w:t> </w:t>
      </w:r>
      <w:r>
        <w:rPr>
          <w:color w:val="231F20"/>
          <w:w w:val="105"/>
        </w:rPr>
        <w:t>level</w:t>
      </w:r>
      <w:r>
        <w:rPr>
          <w:color w:val="231F20"/>
          <w:spacing w:val="-10"/>
          <w:w w:val="105"/>
        </w:rPr>
        <w:t> </w:t>
      </w:r>
      <w:r>
        <w:rPr>
          <w:color w:val="231F20"/>
          <w:w w:val="105"/>
        </w:rPr>
        <w:t>of</w:t>
      </w:r>
      <w:r>
        <w:rPr>
          <w:color w:val="231F20"/>
          <w:spacing w:val="-5"/>
          <w:w w:val="105"/>
        </w:rPr>
        <w:t> </w:t>
      </w:r>
      <w:r>
        <w:rPr>
          <w:color w:val="231F20"/>
          <w:w w:val="105"/>
        </w:rPr>
        <w:t>education,</w:t>
      </w:r>
      <w:r>
        <w:rPr>
          <w:color w:val="231F20"/>
          <w:spacing w:val="-16"/>
          <w:w w:val="105"/>
        </w:rPr>
        <w:t> </w:t>
      </w:r>
      <w:r>
        <w:rPr>
          <w:color w:val="231F20"/>
          <w:w w:val="105"/>
        </w:rPr>
        <w:t>position</w:t>
      </w:r>
      <w:r>
        <w:rPr>
          <w:color w:val="231F20"/>
          <w:spacing w:val="-10"/>
          <w:w w:val="105"/>
        </w:rPr>
        <w:t> </w:t>
      </w:r>
      <w:r>
        <w:rPr>
          <w:color w:val="231F20"/>
          <w:w w:val="105"/>
        </w:rPr>
        <w:t>wi-</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5488" from="15pt,-71.68644pt" to="0pt,-71.68644pt" stroked="true" strokeweight=".25pt" strokecolor="#000000">
            <w10:wrap type="none"/>
          </v:line>
        </w:pict>
      </w:r>
      <w:r>
        <w:rPr/>
        <w:pict>
          <v:line style="position:absolute;mso-position-horizontal-relative:page;mso-position-vertical-relative:paragraph;z-index:5512" from="508.890015pt,-71.68644pt" to="523.890015pt,-71.68644pt" stroked="true" strokeweight=".25pt" strokecolor="#000000">
            <w10:wrap type="none"/>
          </v:line>
        </w:pict>
      </w:r>
      <w:r>
        <w:rPr>
          <w:color w:val="231F20"/>
        </w:rPr>
        <w:t>thin</w:t>
      </w:r>
      <w:r>
        <w:rPr>
          <w:color w:val="231F20"/>
          <w:spacing w:val="-6"/>
        </w:rPr>
        <w:t> </w:t>
      </w:r>
      <w:r>
        <w:rPr>
          <w:color w:val="231F20"/>
        </w:rPr>
        <w:t>society,</w:t>
      </w:r>
      <w:r>
        <w:rPr>
          <w:color w:val="231F20"/>
          <w:spacing w:val="-13"/>
        </w:rPr>
        <w:t> </w:t>
      </w:r>
      <w:r>
        <w:rPr>
          <w:color w:val="231F20"/>
        </w:rPr>
        <w:t>and</w:t>
      </w:r>
      <w:r>
        <w:rPr>
          <w:color w:val="231F20"/>
          <w:spacing w:val="-6"/>
        </w:rPr>
        <w:t> </w:t>
      </w:r>
      <w:r>
        <w:rPr>
          <w:color w:val="231F20"/>
        </w:rPr>
        <w:t>human</w:t>
      </w:r>
      <w:r>
        <w:rPr>
          <w:color w:val="231F20"/>
          <w:spacing w:val="-6"/>
        </w:rPr>
        <w:t> </w:t>
      </w:r>
      <w:r>
        <w:rPr>
          <w:color w:val="231F20"/>
        </w:rPr>
        <w:t>capital</w:t>
      </w:r>
      <w:r>
        <w:rPr>
          <w:color w:val="231F20"/>
          <w:spacing w:val="-6"/>
        </w:rPr>
        <w:t> </w:t>
      </w:r>
      <w:r>
        <w:rPr>
          <w:color w:val="231F20"/>
        </w:rPr>
        <w:t>(Stanton-Salazar,</w:t>
      </w:r>
      <w:r>
        <w:rPr>
          <w:color w:val="231F20"/>
          <w:spacing w:val="-13"/>
        </w:rPr>
        <w:t> </w:t>
      </w:r>
      <w:r>
        <w:rPr>
          <w:color w:val="231F20"/>
        </w:rPr>
        <w:t>2002;</w:t>
      </w:r>
      <w:r>
        <w:rPr>
          <w:color w:val="231F20"/>
          <w:spacing w:val="-6"/>
        </w:rPr>
        <w:t> </w:t>
      </w:r>
      <w:r>
        <w:rPr>
          <w:color w:val="231F20"/>
        </w:rPr>
        <w:t>Lutz,</w:t>
      </w:r>
      <w:r>
        <w:rPr>
          <w:color w:val="231F20"/>
          <w:spacing w:val="-13"/>
        </w:rPr>
        <w:t> </w:t>
      </w:r>
      <w:r>
        <w:rPr>
          <w:color w:val="231F20"/>
        </w:rPr>
        <w:t>2007).</w:t>
      </w:r>
      <w:r>
        <w:rPr>
          <w:color w:val="231F20"/>
          <w:spacing w:val="-13"/>
        </w:rPr>
        <w:t> </w:t>
      </w:r>
      <w:r>
        <w:rPr>
          <w:color w:val="231F20"/>
        </w:rPr>
        <w:t>Strong </w:t>
      </w:r>
      <w:r>
        <w:rPr>
          <w:color w:val="231F20"/>
          <w:w w:val="105"/>
        </w:rPr>
        <w:t>family</w:t>
      </w:r>
      <w:r>
        <w:rPr>
          <w:color w:val="231F20"/>
          <w:spacing w:val="-4"/>
          <w:w w:val="105"/>
        </w:rPr>
        <w:t> </w:t>
      </w:r>
      <w:r>
        <w:rPr>
          <w:color w:val="231F20"/>
          <w:w w:val="105"/>
        </w:rPr>
        <w:t>orientations,</w:t>
      </w:r>
      <w:r>
        <w:rPr>
          <w:color w:val="231F20"/>
          <w:spacing w:val="-10"/>
          <w:w w:val="105"/>
        </w:rPr>
        <w:t> </w:t>
      </w:r>
      <w:r>
        <w:rPr>
          <w:color w:val="231F20"/>
          <w:w w:val="105"/>
        </w:rPr>
        <w:t>two</w:t>
      </w:r>
      <w:r>
        <w:rPr>
          <w:color w:val="231F20"/>
          <w:spacing w:val="-4"/>
          <w:w w:val="105"/>
        </w:rPr>
        <w:t> </w:t>
      </w:r>
      <w:r>
        <w:rPr>
          <w:color w:val="231F20"/>
          <w:w w:val="105"/>
        </w:rPr>
        <w:t>parent</w:t>
      </w:r>
      <w:r>
        <w:rPr>
          <w:color w:val="231F20"/>
          <w:spacing w:val="-4"/>
          <w:w w:val="105"/>
        </w:rPr>
        <w:t> </w:t>
      </w:r>
      <w:r>
        <w:rPr>
          <w:color w:val="231F20"/>
          <w:w w:val="105"/>
        </w:rPr>
        <w:t>families,</w:t>
      </w:r>
      <w:r>
        <w:rPr>
          <w:color w:val="231F20"/>
          <w:spacing w:val="-10"/>
          <w:w w:val="105"/>
        </w:rPr>
        <w:t> </w:t>
      </w:r>
      <w:r>
        <w:rPr>
          <w:color w:val="231F20"/>
          <w:w w:val="105"/>
        </w:rPr>
        <w:t>and</w:t>
      </w:r>
      <w:r>
        <w:rPr>
          <w:color w:val="231F20"/>
          <w:spacing w:val="-4"/>
          <w:w w:val="105"/>
        </w:rPr>
        <w:t> </w:t>
      </w:r>
      <w:r>
        <w:rPr>
          <w:color w:val="231F20"/>
          <w:w w:val="105"/>
        </w:rPr>
        <w:t>children’s</w:t>
      </w:r>
      <w:r>
        <w:rPr>
          <w:color w:val="231F20"/>
          <w:spacing w:val="-4"/>
          <w:w w:val="105"/>
        </w:rPr>
        <w:t> </w:t>
      </w:r>
      <w:r>
        <w:rPr>
          <w:color w:val="231F20"/>
          <w:w w:val="105"/>
        </w:rPr>
        <w:t>role</w:t>
      </w:r>
      <w:r>
        <w:rPr>
          <w:color w:val="231F20"/>
          <w:spacing w:val="-4"/>
          <w:w w:val="105"/>
        </w:rPr>
        <w:t> </w:t>
      </w:r>
      <w:r>
        <w:rPr>
          <w:color w:val="231F20"/>
          <w:w w:val="105"/>
        </w:rPr>
        <w:t>as</w:t>
      </w:r>
      <w:r>
        <w:rPr>
          <w:color w:val="231F20"/>
          <w:spacing w:val="-4"/>
          <w:w w:val="105"/>
        </w:rPr>
        <w:t> </w:t>
      </w:r>
      <w:r>
        <w:rPr>
          <w:color w:val="231F20"/>
          <w:w w:val="105"/>
        </w:rPr>
        <w:t>brokers</w:t>
      </w:r>
      <w:r>
        <w:rPr>
          <w:color w:val="231F20"/>
          <w:spacing w:val="-4"/>
          <w:w w:val="105"/>
        </w:rPr>
        <w:t> </w:t>
      </w:r>
      <w:r>
        <w:rPr>
          <w:color w:val="231F20"/>
          <w:w w:val="105"/>
        </w:rPr>
        <w:t>in United</w:t>
      </w:r>
      <w:r>
        <w:rPr>
          <w:color w:val="231F20"/>
          <w:spacing w:val="-25"/>
          <w:w w:val="105"/>
        </w:rPr>
        <w:t> </w:t>
      </w:r>
      <w:r>
        <w:rPr>
          <w:color w:val="231F20"/>
          <w:w w:val="105"/>
        </w:rPr>
        <w:t>States</w:t>
      </w:r>
      <w:r>
        <w:rPr>
          <w:color w:val="231F20"/>
          <w:spacing w:val="-25"/>
          <w:w w:val="105"/>
        </w:rPr>
        <w:t> </w:t>
      </w:r>
      <w:r>
        <w:rPr>
          <w:color w:val="231F20"/>
          <w:w w:val="105"/>
        </w:rPr>
        <w:t>society</w:t>
      </w:r>
      <w:r>
        <w:rPr>
          <w:color w:val="231F20"/>
          <w:spacing w:val="-25"/>
          <w:w w:val="105"/>
        </w:rPr>
        <w:t> </w:t>
      </w:r>
      <w:r>
        <w:rPr>
          <w:color w:val="231F20"/>
          <w:w w:val="105"/>
        </w:rPr>
        <w:t>are</w:t>
      </w:r>
      <w:r>
        <w:rPr>
          <w:color w:val="231F20"/>
          <w:spacing w:val="-25"/>
          <w:w w:val="105"/>
        </w:rPr>
        <w:t> </w:t>
      </w:r>
      <w:r>
        <w:rPr>
          <w:color w:val="231F20"/>
          <w:w w:val="105"/>
        </w:rPr>
        <w:t>characteristic</w:t>
      </w:r>
      <w:r>
        <w:rPr>
          <w:color w:val="231F20"/>
          <w:spacing w:val="-25"/>
          <w:w w:val="105"/>
        </w:rPr>
        <w:t> </w:t>
      </w:r>
      <w:r>
        <w:rPr>
          <w:color w:val="231F20"/>
          <w:w w:val="105"/>
        </w:rPr>
        <w:t>of</w:t>
      </w:r>
      <w:r>
        <w:rPr>
          <w:color w:val="231F20"/>
          <w:spacing w:val="-22"/>
          <w:w w:val="105"/>
        </w:rPr>
        <w:t> </w:t>
      </w:r>
      <w:r>
        <w:rPr>
          <w:color w:val="231F20"/>
          <w:w w:val="105"/>
        </w:rPr>
        <w:t>many</w:t>
      </w:r>
      <w:r>
        <w:rPr>
          <w:color w:val="231F20"/>
          <w:spacing w:val="-25"/>
          <w:w w:val="105"/>
        </w:rPr>
        <w:t> </w:t>
      </w:r>
      <w:r>
        <w:rPr>
          <w:color w:val="231F20"/>
          <w:w w:val="105"/>
        </w:rPr>
        <w:t>Hispanic</w:t>
      </w:r>
      <w:r>
        <w:rPr>
          <w:color w:val="231F20"/>
          <w:spacing w:val="-25"/>
          <w:w w:val="105"/>
        </w:rPr>
        <w:t> </w:t>
      </w:r>
      <w:r>
        <w:rPr>
          <w:color w:val="231F20"/>
          <w:w w:val="105"/>
        </w:rPr>
        <w:t>immigrant</w:t>
      </w:r>
      <w:r>
        <w:rPr>
          <w:color w:val="231F20"/>
          <w:spacing w:val="-25"/>
          <w:w w:val="105"/>
        </w:rPr>
        <w:t> </w:t>
      </w:r>
      <w:r>
        <w:rPr>
          <w:color w:val="231F20"/>
          <w:w w:val="105"/>
        </w:rPr>
        <w:t>fami- lies.</w:t>
      </w:r>
      <w:r>
        <w:rPr>
          <w:color w:val="231F20"/>
          <w:spacing w:val="-20"/>
          <w:w w:val="105"/>
        </w:rPr>
        <w:t> </w:t>
      </w:r>
      <w:r>
        <w:rPr>
          <w:color w:val="231F20"/>
          <w:w w:val="105"/>
        </w:rPr>
        <w:t>According</w:t>
      </w:r>
      <w:r>
        <w:rPr>
          <w:color w:val="231F20"/>
          <w:spacing w:val="-12"/>
          <w:w w:val="105"/>
        </w:rPr>
        <w:t> </w:t>
      </w:r>
      <w:r>
        <w:rPr>
          <w:color w:val="231F20"/>
          <w:w w:val="105"/>
        </w:rPr>
        <w:t>to</w:t>
      </w:r>
      <w:r>
        <w:rPr>
          <w:color w:val="231F20"/>
          <w:spacing w:val="-12"/>
          <w:w w:val="105"/>
        </w:rPr>
        <w:t> </w:t>
      </w:r>
      <w:r>
        <w:rPr>
          <w:color w:val="231F20"/>
          <w:w w:val="105"/>
        </w:rPr>
        <w:t>the</w:t>
      </w:r>
      <w:r>
        <w:rPr>
          <w:color w:val="231F20"/>
          <w:spacing w:val="-12"/>
          <w:w w:val="105"/>
        </w:rPr>
        <w:t> </w:t>
      </w:r>
      <w:r>
        <w:rPr>
          <w:color w:val="231F20"/>
          <w:w w:val="105"/>
        </w:rPr>
        <w:t>research</w:t>
      </w:r>
      <w:r>
        <w:rPr>
          <w:color w:val="231F20"/>
          <w:spacing w:val="-12"/>
          <w:w w:val="105"/>
        </w:rPr>
        <w:t> </w:t>
      </w:r>
      <w:r>
        <w:rPr>
          <w:color w:val="231F20"/>
          <w:w w:val="105"/>
        </w:rPr>
        <w:t>literature,</w:t>
      </w:r>
      <w:r>
        <w:rPr>
          <w:color w:val="231F20"/>
          <w:spacing w:val="-16"/>
          <w:w w:val="105"/>
        </w:rPr>
        <w:t> </w:t>
      </w:r>
      <w:r>
        <w:rPr>
          <w:color w:val="231F20"/>
          <w:w w:val="105"/>
        </w:rPr>
        <w:t>Mexican</w:t>
      </w:r>
      <w:r>
        <w:rPr>
          <w:color w:val="231F20"/>
          <w:spacing w:val="-12"/>
          <w:w w:val="105"/>
        </w:rPr>
        <w:t> </w:t>
      </w:r>
      <w:r>
        <w:rPr>
          <w:color w:val="231F20"/>
          <w:w w:val="105"/>
        </w:rPr>
        <w:t>immigrant</w:t>
      </w:r>
      <w:r>
        <w:rPr>
          <w:color w:val="231F20"/>
          <w:spacing w:val="-12"/>
          <w:w w:val="105"/>
        </w:rPr>
        <w:t> </w:t>
      </w:r>
      <w:r>
        <w:rPr>
          <w:color w:val="231F20"/>
          <w:w w:val="105"/>
        </w:rPr>
        <w:t>parents</w:t>
      </w:r>
      <w:r>
        <w:rPr>
          <w:color w:val="231F20"/>
          <w:spacing w:val="-12"/>
          <w:w w:val="105"/>
        </w:rPr>
        <w:t> </w:t>
      </w:r>
      <w:r>
        <w:rPr>
          <w:color w:val="231F20"/>
          <w:w w:val="105"/>
        </w:rPr>
        <w:t>are mostly</w:t>
      </w:r>
      <w:r>
        <w:rPr>
          <w:color w:val="231F20"/>
          <w:spacing w:val="-32"/>
          <w:w w:val="105"/>
        </w:rPr>
        <w:t> </w:t>
      </w:r>
      <w:r>
        <w:rPr>
          <w:color w:val="231F20"/>
          <w:w w:val="105"/>
        </w:rPr>
        <w:t>characterized</w:t>
      </w:r>
      <w:r>
        <w:rPr>
          <w:color w:val="231F20"/>
          <w:spacing w:val="-32"/>
          <w:w w:val="105"/>
        </w:rPr>
        <w:t> </w:t>
      </w:r>
      <w:r>
        <w:rPr>
          <w:color w:val="231F20"/>
          <w:w w:val="105"/>
        </w:rPr>
        <w:t>by</w:t>
      </w:r>
      <w:r>
        <w:rPr>
          <w:color w:val="231F20"/>
          <w:spacing w:val="-32"/>
          <w:w w:val="105"/>
        </w:rPr>
        <w:t> </w:t>
      </w:r>
      <w:r>
        <w:rPr>
          <w:color w:val="231F20"/>
          <w:w w:val="105"/>
        </w:rPr>
        <w:t>low</w:t>
      </w:r>
      <w:r>
        <w:rPr>
          <w:color w:val="231F20"/>
          <w:spacing w:val="-32"/>
          <w:w w:val="105"/>
        </w:rPr>
        <w:t> </w:t>
      </w:r>
      <w:r>
        <w:rPr>
          <w:color w:val="231F20"/>
          <w:w w:val="105"/>
        </w:rPr>
        <w:t>educational</w:t>
      </w:r>
      <w:r>
        <w:rPr>
          <w:color w:val="231F20"/>
          <w:spacing w:val="-32"/>
          <w:w w:val="105"/>
        </w:rPr>
        <w:t> </w:t>
      </w:r>
      <w:r>
        <w:rPr>
          <w:color w:val="231F20"/>
          <w:w w:val="105"/>
        </w:rPr>
        <w:t>attainment,</w:t>
      </w:r>
      <w:r>
        <w:rPr>
          <w:color w:val="231F20"/>
          <w:spacing w:val="-36"/>
          <w:w w:val="105"/>
        </w:rPr>
        <w:t> </w:t>
      </w:r>
      <w:r>
        <w:rPr>
          <w:color w:val="231F20"/>
          <w:w w:val="105"/>
        </w:rPr>
        <w:t>lack</w:t>
      </w:r>
      <w:r>
        <w:rPr>
          <w:color w:val="231F20"/>
          <w:spacing w:val="-32"/>
          <w:w w:val="105"/>
        </w:rPr>
        <w:t> </w:t>
      </w:r>
      <w:r>
        <w:rPr>
          <w:color w:val="231F20"/>
          <w:w w:val="105"/>
        </w:rPr>
        <w:t>of</w:t>
      </w:r>
      <w:r>
        <w:rPr>
          <w:color w:val="231F20"/>
          <w:spacing w:val="-29"/>
          <w:w w:val="105"/>
        </w:rPr>
        <w:t> </w:t>
      </w:r>
      <w:r>
        <w:rPr>
          <w:color w:val="231F20"/>
          <w:w w:val="105"/>
        </w:rPr>
        <w:t>English,</w:t>
      </w:r>
      <w:r>
        <w:rPr>
          <w:color w:val="231F20"/>
          <w:spacing w:val="-36"/>
          <w:w w:val="105"/>
        </w:rPr>
        <w:t> </w:t>
      </w:r>
      <w:r>
        <w:rPr>
          <w:color w:val="231F20"/>
          <w:w w:val="105"/>
        </w:rPr>
        <w:t>unau- thorized status, and lack of knowledge of the United States educational </w:t>
      </w:r>
      <w:r>
        <w:rPr>
          <w:color w:val="231F20"/>
        </w:rPr>
        <w:t>system</w:t>
      </w:r>
      <w:r>
        <w:rPr>
          <w:color w:val="231F20"/>
          <w:spacing w:val="-11"/>
        </w:rPr>
        <w:t> </w:t>
      </w:r>
      <w:r>
        <w:rPr>
          <w:color w:val="231F20"/>
          <w:spacing w:val="-3"/>
        </w:rPr>
        <w:t>(Portes</w:t>
      </w:r>
      <w:r>
        <w:rPr>
          <w:color w:val="231F20"/>
          <w:spacing w:val="-11"/>
        </w:rPr>
        <w:t> </w:t>
      </w:r>
      <w:r>
        <w:rPr>
          <w:color w:val="231F20"/>
        </w:rPr>
        <w:t>and</w:t>
      </w:r>
      <w:r>
        <w:rPr>
          <w:color w:val="231F20"/>
          <w:spacing w:val="-11"/>
        </w:rPr>
        <w:t> </w:t>
      </w:r>
      <w:r>
        <w:rPr>
          <w:color w:val="231F20"/>
        </w:rPr>
        <w:t>Rumbaut,</w:t>
      </w:r>
      <w:r>
        <w:rPr>
          <w:color w:val="231F20"/>
          <w:spacing w:val="-19"/>
        </w:rPr>
        <w:t> </w:t>
      </w:r>
      <w:r>
        <w:rPr>
          <w:color w:val="231F20"/>
        </w:rPr>
        <w:t>2001;</w:t>
      </w:r>
      <w:r>
        <w:rPr>
          <w:color w:val="231F20"/>
          <w:spacing w:val="-11"/>
        </w:rPr>
        <w:t> </w:t>
      </w:r>
      <w:r>
        <w:rPr>
          <w:color w:val="231F20"/>
        </w:rPr>
        <w:t>Stanton-Salazar,</w:t>
      </w:r>
      <w:r>
        <w:rPr>
          <w:color w:val="231F20"/>
          <w:spacing w:val="-19"/>
        </w:rPr>
        <w:t> </w:t>
      </w:r>
      <w:r>
        <w:rPr>
          <w:color w:val="231F20"/>
        </w:rPr>
        <w:t>2001;</w:t>
      </w:r>
      <w:r>
        <w:rPr>
          <w:color w:val="231F20"/>
          <w:spacing w:val="-11"/>
        </w:rPr>
        <w:t> </w:t>
      </w:r>
      <w:r>
        <w:rPr>
          <w:color w:val="231F20"/>
        </w:rPr>
        <w:t>Suarez-Orozco </w:t>
      </w:r>
      <w:r>
        <w:rPr>
          <w:color w:val="231F20"/>
          <w:w w:val="105"/>
        </w:rPr>
        <w:t>and</w:t>
      </w:r>
      <w:r>
        <w:rPr>
          <w:color w:val="231F20"/>
          <w:spacing w:val="-38"/>
          <w:w w:val="105"/>
        </w:rPr>
        <w:t> </w:t>
      </w:r>
      <w:r>
        <w:rPr>
          <w:color w:val="231F20"/>
          <w:w w:val="105"/>
        </w:rPr>
        <w:t>Suarez-Orozco,</w:t>
      </w:r>
      <w:r>
        <w:rPr>
          <w:color w:val="231F20"/>
          <w:spacing w:val="-41"/>
          <w:w w:val="105"/>
        </w:rPr>
        <w:t> </w:t>
      </w:r>
      <w:r>
        <w:rPr>
          <w:color w:val="231F20"/>
          <w:w w:val="105"/>
        </w:rPr>
        <w:t>2001).</w:t>
      </w:r>
      <w:r>
        <w:rPr>
          <w:color w:val="231F20"/>
          <w:spacing w:val="-41"/>
          <w:w w:val="105"/>
        </w:rPr>
        <w:t> </w:t>
      </w:r>
      <w:r>
        <w:rPr>
          <w:color w:val="231F20"/>
          <w:w w:val="105"/>
        </w:rPr>
        <w:t>Even</w:t>
      </w:r>
      <w:r>
        <w:rPr>
          <w:color w:val="231F20"/>
          <w:spacing w:val="-38"/>
          <w:w w:val="105"/>
        </w:rPr>
        <w:t> </w:t>
      </w:r>
      <w:r>
        <w:rPr>
          <w:color w:val="231F20"/>
          <w:w w:val="105"/>
        </w:rPr>
        <w:t>with</w:t>
      </w:r>
      <w:r>
        <w:rPr>
          <w:color w:val="231F20"/>
          <w:spacing w:val="-38"/>
          <w:w w:val="105"/>
        </w:rPr>
        <w:t> </w:t>
      </w:r>
      <w:r>
        <w:rPr>
          <w:color w:val="231F20"/>
          <w:w w:val="105"/>
        </w:rPr>
        <w:t>these</w:t>
      </w:r>
      <w:r>
        <w:rPr>
          <w:color w:val="231F20"/>
          <w:spacing w:val="-38"/>
          <w:w w:val="105"/>
        </w:rPr>
        <w:t> </w:t>
      </w:r>
      <w:r>
        <w:rPr>
          <w:color w:val="231F20"/>
          <w:w w:val="105"/>
        </w:rPr>
        <w:t>limitations</w:t>
      </w:r>
      <w:r>
        <w:rPr>
          <w:color w:val="231F20"/>
          <w:spacing w:val="-38"/>
          <w:w w:val="105"/>
        </w:rPr>
        <w:t> </w:t>
      </w:r>
      <w:r>
        <w:rPr>
          <w:color w:val="231F20"/>
          <w:w w:val="105"/>
        </w:rPr>
        <w:t>Mexican</w:t>
      </w:r>
      <w:r>
        <w:rPr>
          <w:color w:val="231F20"/>
          <w:spacing w:val="-38"/>
          <w:w w:val="105"/>
        </w:rPr>
        <w:t> </w:t>
      </w:r>
      <w:r>
        <w:rPr>
          <w:color w:val="231F20"/>
          <w:w w:val="105"/>
        </w:rPr>
        <w:t>immigrant parents</w:t>
      </w:r>
      <w:r>
        <w:rPr>
          <w:color w:val="231F20"/>
          <w:spacing w:val="-25"/>
          <w:w w:val="105"/>
        </w:rPr>
        <w:t> </w:t>
      </w:r>
      <w:r>
        <w:rPr>
          <w:color w:val="231F20"/>
          <w:w w:val="105"/>
        </w:rPr>
        <w:t>often</w:t>
      </w:r>
      <w:r>
        <w:rPr>
          <w:color w:val="231F20"/>
          <w:spacing w:val="-25"/>
          <w:w w:val="105"/>
        </w:rPr>
        <w:t> </w:t>
      </w:r>
      <w:r>
        <w:rPr>
          <w:color w:val="231F20"/>
          <w:w w:val="105"/>
        </w:rPr>
        <w:t>voice</w:t>
      </w:r>
      <w:r>
        <w:rPr>
          <w:color w:val="231F20"/>
          <w:spacing w:val="-25"/>
          <w:w w:val="105"/>
        </w:rPr>
        <w:t> </w:t>
      </w:r>
      <w:r>
        <w:rPr>
          <w:color w:val="231F20"/>
          <w:w w:val="105"/>
        </w:rPr>
        <w:t>high</w:t>
      </w:r>
      <w:r>
        <w:rPr>
          <w:color w:val="231F20"/>
          <w:spacing w:val="-25"/>
          <w:w w:val="105"/>
        </w:rPr>
        <w:t> </w:t>
      </w:r>
      <w:r>
        <w:rPr>
          <w:color w:val="231F20"/>
          <w:w w:val="105"/>
        </w:rPr>
        <w:t>aspirations</w:t>
      </w:r>
      <w:r>
        <w:rPr>
          <w:color w:val="231F20"/>
          <w:spacing w:val="-25"/>
          <w:w w:val="105"/>
        </w:rPr>
        <w:t> </w:t>
      </w:r>
      <w:r>
        <w:rPr>
          <w:color w:val="231F20"/>
          <w:w w:val="105"/>
        </w:rPr>
        <w:t>for</w:t>
      </w:r>
      <w:r>
        <w:rPr>
          <w:color w:val="231F20"/>
          <w:spacing w:val="-25"/>
          <w:w w:val="105"/>
        </w:rPr>
        <w:t> </w:t>
      </w:r>
      <w:r>
        <w:rPr>
          <w:color w:val="231F20"/>
          <w:w w:val="105"/>
        </w:rPr>
        <w:t>their</w:t>
      </w:r>
      <w:r>
        <w:rPr>
          <w:color w:val="231F20"/>
          <w:spacing w:val="-25"/>
          <w:w w:val="105"/>
        </w:rPr>
        <w:t> </w:t>
      </w:r>
      <w:r>
        <w:rPr>
          <w:color w:val="231F20"/>
          <w:w w:val="105"/>
        </w:rPr>
        <w:t>children’s</w:t>
      </w:r>
      <w:r>
        <w:rPr>
          <w:color w:val="231F20"/>
          <w:spacing w:val="-25"/>
          <w:w w:val="105"/>
        </w:rPr>
        <w:t> </w:t>
      </w:r>
      <w:r>
        <w:rPr>
          <w:color w:val="231F20"/>
          <w:w w:val="105"/>
        </w:rPr>
        <w:t>education,</w:t>
      </w:r>
      <w:r>
        <w:rPr>
          <w:color w:val="231F20"/>
          <w:spacing w:val="-30"/>
          <w:w w:val="105"/>
        </w:rPr>
        <w:t> </w:t>
      </w:r>
      <w:r>
        <w:rPr>
          <w:color w:val="231F20"/>
          <w:w w:val="105"/>
        </w:rPr>
        <w:t>actively participate in their children’s schooling, provide moral and educational advice, and offer support for higher education (Reyes-Cruz, 2008; Gol- denberg</w:t>
      </w:r>
      <w:r>
        <w:rPr>
          <w:color w:val="231F20"/>
          <w:spacing w:val="-14"/>
          <w:w w:val="105"/>
        </w:rPr>
        <w:t> </w:t>
      </w:r>
      <w:r>
        <w:rPr>
          <w:rFonts w:ascii="Arial" w:hAnsi="Arial"/>
          <w:i/>
          <w:color w:val="231F20"/>
          <w:w w:val="105"/>
        </w:rPr>
        <w:t>et</w:t>
      </w:r>
      <w:r>
        <w:rPr>
          <w:rFonts w:ascii="Arial" w:hAnsi="Arial"/>
          <w:i/>
          <w:color w:val="231F20"/>
          <w:spacing w:val="-16"/>
          <w:w w:val="105"/>
        </w:rPr>
        <w:t> </w:t>
      </w:r>
      <w:r>
        <w:rPr>
          <w:rFonts w:ascii="Arial" w:hAnsi="Arial"/>
          <w:i/>
          <w:color w:val="231F20"/>
          <w:w w:val="105"/>
        </w:rPr>
        <w:t>al</w:t>
      </w:r>
      <w:r>
        <w:rPr>
          <w:color w:val="231F20"/>
          <w:w w:val="105"/>
        </w:rPr>
        <w:t>.,</w:t>
      </w:r>
      <w:r>
        <w:rPr>
          <w:color w:val="231F20"/>
          <w:spacing w:val="-19"/>
          <w:w w:val="105"/>
        </w:rPr>
        <w:t> </w:t>
      </w:r>
      <w:r>
        <w:rPr>
          <w:color w:val="231F20"/>
          <w:w w:val="105"/>
        </w:rPr>
        <w:t>2001;</w:t>
      </w:r>
      <w:r>
        <w:rPr>
          <w:color w:val="231F20"/>
          <w:spacing w:val="-14"/>
          <w:w w:val="105"/>
        </w:rPr>
        <w:t> </w:t>
      </w:r>
      <w:r>
        <w:rPr>
          <w:color w:val="231F20"/>
          <w:w w:val="105"/>
        </w:rPr>
        <w:t>Morando,</w:t>
      </w:r>
      <w:r>
        <w:rPr>
          <w:color w:val="231F20"/>
          <w:spacing w:val="-19"/>
          <w:w w:val="105"/>
        </w:rPr>
        <w:t> </w:t>
      </w:r>
      <w:r>
        <w:rPr>
          <w:color w:val="231F20"/>
          <w:w w:val="105"/>
        </w:rPr>
        <w:t>2013).</w:t>
      </w:r>
      <w:r>
        <w:rPr>
          <w:color w:val="231F20"/>
          <w:spacing w:val="-19"/>
          <w:w w:val="105"/>
        </w:rPr>
        <w:t> </w:t>
      </w:r>
      <w:r>
        <w:rPr>
          <w:color w:val="231F20"/>
          <w:spacing w:val="-4"/>
          <w:w w:val="105"/>
        </w:rPr>
        <w:t>For</w:t>
      </w:r>
      <w:r>
        <w:rPr>
          <w:color w:val="231F20"/>
          <w:spacing w:val="-14"/>
          <w:w w:val="105"/>
        </w:rPr>
        <w:t> </w:t>
      </w:r>
      <w:r>
        <w:rPr>
          <w:color w:val="231F20"/>
          <w:w w:val="105"/>
        </w:rPr>
        <w:t>many</w:t>
      </w:r>
      <w:r>
        <w:rPr>
          <w:color w:val="231F20"/>
          <w:spacing w:val="-14"/>
          <w:w w:val="105"/>
        </w:rPr>
        <w:t> </w:t>
      </w:r>
      <w:r>
        <w:rPr>
          <w:color w:val="231F20"/>
          <w:w w:val="105"/>
        </w:rPr>
        <w:t>immigrant</w:t>
      </w:r>
      <w:r>
        <w:rPr>
          <w:color w:val="231F20"/>
          <w:spacing w:val="-14"/>
          <w:w w:val="105"/>
        </w:rPr>
        <w:t> </w:t>
      </w:r>
      <w:r>
        <w:rPr>
          <w:color w:val="231F20"/>
          <w:w w:val="105"/>
        </w:rPr>
        <w:t>families,</w:t>
      </w:r>
      <w:r>
        <w:rPr>
          <w:color w:val="231F20"/>
          <w:spacing w:val="-19"/>
          <w:w w:val="105"/>
        </w:rPr>
        <w:t> </w:t>
      </w:r>
      <w:r>
        <w:rPr>
          <w:color w:val="231F20"/>
          <w:w w:val="105"/>
        </w:rPr>
        <w:t>edu- cation</w:t>
      </w:r>
      <w:r>
        <w:rPr>
          <w:color w:val="231F20"/>
          <w:spacing w:val="-19"/>
          <w:w w:val="105"/>
        </w:rPr>
        <w:t> </w:t>
      </w:r>
      <w:r>
        <w:rPr>
          <w:color w:val="231F20"/>
          <w:w w:val="105"/>
        </w:rPr>
        <w:t>represents</w:t>
      </w:r>
      <w:r>
        <w:rPr>
          <w:color w:val="231F20"/>
          <w:spacing w:val="-19"/>
          <w:w w:val="105"/>
        </w:rPr>
        <w:t> </w:t>
      </w:r>
      <w:r>
        <w:rPr>
          <w:color w:val="231F20"/>
          <w:w w:val="105"/>
        </w:rPr>
        <w:t>a</w:t>
      </w:r>
      <w:r>
        <w:rPr>
          <w:color w:val="231F20"/>
          <w:spacing w:val="-19"/>
          <w:w w:val="105"/>
        </w:rPr>
        <w:t> </w:t>
      </w:r>
      <w:r>
        <w:rPr>
          <w:color w:val="231F20"/>
          <w:w w:val="105"/>
        </w:rPr>
        <w:t>form</w:t>
      </w:r>
      <w:r>
        <w:rPr>
          <w:color w:val="231F20"/>
          <w:spacing w:val="-19"/>
          <w:w w:val="105"/>
        </w:rPr>
        <w:t> </w:t>
      </w:r>
      <w:r>
        <w:rPr>
          <w:color w:val="231F20"/>
          <w:w w:val="105"/>
        </w:rPr>
        <w:t>of</w:t>
      </w:r>
      <w:r>
        <w:rPr>
          <w:color w:val="231F20"/>
          <w:spacing w:val="-15"/>
          <w:w w:val="105"/>
        </w:rPr>
        <w:t> </w:t>
      </w:r>
      <w:r>
        <w:rPr>
          <w:color w:val="231F20"/>
          <w:w w:val="105"/>
        </w:rPr>
        <w:t>success</w:t>
      </w:r>
      <w:r>
        <w:rPr>
          <w:color w:val="231F20"/>
          <w:spacing w:val="-19"/>
          <w:w w:val="105"/>
        </w:rPr>
        <w:t> </w:t>
      </w:r>
      <w:r>
        <w:rPr>
          <w:color w:val="231F20"/>
          <w:w w:val="105"/>
        </w:rPr>
        <w:t>in</w:t>
      </w:r>
      <w:r>
        <w:rPr>
          <w:color w:val="231F20"/>
          <w:spacing w:val="-19"/>
          <w:w w:val="105"/>
        </w:rPr>
        <w:t> </w:t>
      </w:r>
      <w:r>
        <w:rPr>
          <w:color w:val="231F20"/>
          <w:w w:val="105"/>
        </w:rPr>
        <w:t>the</w:t>
      </w:r>
      <w:r>
        <w:rPr>
          <w:color w:val="231F20"/>
          <w:spacing w:val="-19"/>
          <w:w w:val="105"/>
        </w:rPr>
        <w:t> </w:t>
      </w:r>
      <w:r>
        <w:rPr>
          <w:color w:val="231F20"/>
          <w:w w:val="105"/>
        </w:rPr>
        <w:t>United</w:t>
      </w:r>
      <w:r>
        <w:rPr>
          <w:color w:val="231F20"/>
          <w:spacing w:val="-19"/>
          <w:w w:val="105"/>
        </w:rPr>
        <w:t> </w:t>
      </w:r>
      <w:r>
        <w:rPr>
          <w:color w:val="231F20"/>
          <w:w w:val="105"/>
        </w:rPr>
        <w:t>States</w:t>
      </w:r>
      <w:r>
        <w:rPr>
          <w:color w:val="231F20"/>
          <w:spacing w:val="-19"/>
          <w:w w:val="105"/>
        </w:rPr>
        <w:t> </w:t>
      </w:r>
      <w:r>
        <w:rPr>
          <w:color w:val="231F20"/>
          <w:w w:val="105"/>
        </w:rPr>
        <w:t>and</w:t>
      </w:r>
      <w:r>
        <w:rPr>
          <w:color w:val="231F20"/>
          <w:spacing w:val="-19"/>
          <w:w w:val="105"/>
        </w:rPr>
        <w:t> </w:t>
      </w:r>
      <w:r>
        <w:rPr>
          <w:color w:val="231F20"/>
          <w:w w:val="105"/>
        </w:rPr>
        <w:t>often</w:t>
      </w:r>
      <w:r>
        <w:rPr>
          <w:color w:val="231F20"/>
          <w:spacing w:val="-19"/>
          <w:w w:val="105"/>
        </w:rPr>
        <w:t> </w:t>
      </w:r>
      <w:r>
        <w:rPr>
          <w:color w:val="231F20"/>
          <w:w w:val="105"/>
        </w:rPr>
        <w:t>serves as</w:t>
      </w:r>
      <w:r>
        <w:rPr>
          <w:color w:val="231F20"/>
          <w:spacing w:val="-18"/>
          <w:w w:val="105"/>
        </w:rPr>
        <w:t> </w:t>
      </w:r>
      <w:r>
        <w:rPr>
          <w:color w:val="231F20"/>
          <w:w w:val="105"/>
        </w:rPr>
        <w:t>a</w:t>
      </w:r>
      <w:r>
        <w:rPr>
          <w:color w:val="231F20"/>
          <w:spacing w:val="-18"/>
          <w:w w:val="105"/>
        </w:rPr>
        <w:t> </w:t>
      </w:r>
      <w:r>
        <w:rPr>
          <w:color w:val="231F20"/>
          <w:w w:val="105"/>
        </w:rPr>
        <w:t>mode</w:t>
      </w:r>
      <w:r>
        <w:rPr>
          <w:color w:val="231F20"/>
          <w:spacing w:val="-18"/>
          <w:w w:val="105"/>
        </w:rPr>
        <w:t> </w:t>
      </w:r>
      <w:r>
        <w:rPr>
          <w:color w:val="231F20"/>
          <w:w w:val="105"/>
        </w:rPr>
        <w:t>of</w:t>
      </w:r>
      <w:r>
        <w:rPr>
          <w:color w:val="231F20"/>
          <w:spacing w:val="-15"/>
          <w:w w:val="105"/>
        </w:rPr>
        <w:t> </w:t>
      </w:r>
      <w:r>
        <w:rPr>
          <w:color w:val="231F20"/>
          <w:w w:val="105"/>
        </w:rPr>
        <w:t>social</w:t>
      </w:r>
      <w:r>
        <w:rPr>
          <w:color w:val="231F20"/>
          <w:spacing w:val="-18"/>
          <w:w w:val="105"/>
        </w:rPr>
        <w:t> </w:t>
      </w:r>
      <w:r>
        <w:rPr>
          <w:color w:val="231F20"/>
          <w:w w:val="105"/>
        </w:rPr>
        <w:t>mobility</w:t>
      </w:r>
      <w:r>
        <w:rPr>
          <w:color w:val="231F20"/>
          <w:spacing w:val="-18"/>
          <w:w w:val="105"/>
        </w:rPr>
        <w:t> </w:t>
      </w:r>
      <w:r>
        <w:rPr>
          <w:color w:val="231F20"/>
          <w:w w:val="105"/>
        </w:rPr>
        <w:t>(Romo,</w:t>
      </w:r>
      <w:r>
        <w:rPr>
          <w:color w:val="231F20"/>
          <w:spacing w:val="-23"/>
          <w:w w:val="105"/>
        </w:rPr>
        <w:t> </w:t>
      </w:r>
      <w:r>
        <w:rPr>
          <w:color w:val="231F20"/>
          <w:w w:val="105"/>
        </w:rPr>
        <w:t>1999).</w:t>
      </w:r>
    </w:p>
    <w:p>
      <w:pPr>
        <w:pStyle w:val="BodyText"/>
        <w:spacing w:line="261" w:lineRule="auto" w:before="1"/>
        <w:ind w:left="1723" w:right="1828" w:firstLine="567"/>
        <w:jc w:val="both"/>
      </w:pPr>
      <w:r>
        <w:rPr>
          <w:color w:val="231F20"/>
          <w:w w:val="105"/>
        </w:rPr>
        <w:t>Scholars</w:t>
      </w:r>
      <w:r>
        <w:rPr>
          <w:color w:val="231F20"/>
          <w:spacing w:val="-12"/>
          <w:w w:val="105"/>
        </w:rPr>
        <w:t> </w:t>
      </w:r>
      <w:r>
        <w:rPr>
          <w:color w:val="231F20"/>
          <w:w w:val="105"/>
        </w:rPr>
        <w:t>suggest</w:t>
      </w:r>
      <w:r>
        <w:rPr>
          <w:color w:val="231F20"/>
          <w:spacing w:val="-12"/>
          <w:w w:val="105"/>
        </w:rPr>
        <w:t> </w:t>
      </w:r>
      <w:r>
        <w:rPr>
          <w:color w:val="231F20"/>
          <w:w w:val="105"/>
        </w:rPr>
        <w:t>that</w:t>
      </w:r>
      <w:r>
        <w:rPr>
          <w:color w:val="231F20"/>
          <w:spacing w:val="-12"/>
          <w:w w:val="105"/>
        </w:rPr>
        <w:t> </w:t>
      </w:r>
      <w:r>
        <w:rPr>
          <w:color w:val="231F20"/>
          <w:w w:val="105"/>
        </w:rPr>
        <w:t>the</w:t>
      </w:r>
      <w:r>
        <w:rPr>
          <w:color w:val="231F20"/>
          <w:spacing w:val="-12"/>
          <w:w w:val="105"/>
        </w:rPr>
        <w:t> </w:t>
      </w:r>
      <w:r>
        <w:rPr>
          <w:color w:val="231F20"/>
          <w:w w:val="105"/>
        </w:rPr>
        <w:t>children</w:t>
      </w:r>
      <w:r>
        <w:rPr>
          <w:color w:val="231F20"/>
          <w:spacing w:val="-12"/>
          <w:w w:val="105"/>
        </w:rPr>
        <w:t> </w:t>
      </w:r>
      <w:r>
        <w:rPr>
          <w:color w:val="231F20"/>
          <w:w w:val="105"/>
        </w:rPr>
        <w:t>of</w:t>
      </w:r>
      <w:r>
        <w:rPr>
          <w:color w:val="231F20"/>
          <w:spacing w:val="-8"/>
          <w:w w:val="105"/>
        </w:rPr>
        <w:t> </w:t>
      </w:r>
      <w:r>
        <w:rPr>
          <w:color w:val="231F20"/>
          <w:w w:val="105"/>
        </w:rPr>
        <w:t>immigrants</w:t>
      </w:r>
      <w:r>
        <w:rPr>
          <w:color w:val="231F20"/>
          <w:spacing w:val="-12"/>
          <w:w w:val="105"/>
        </w:rPr>
        <w:t> </w:t>
      </w:r>
      <w:r>
        <w:rPr>
          <w:color w:val="231F20"/>
          <w:w w:val="105"/>
        </w:rPr>
        <w:t>play</w:t>
      </w:r>
      <w:r>
        <w:rPr>
          <w:color w:val="231F20"/>
          <w:spacing w:val="-12"/>
          <w:w w:val="105"/>
        </w:rPr>
        <w:t> </w:t>
      </w:r>
      <w:r>
        <w:rPr>
          <w:color w:val="231F20"/>
          <w:w w:val="105"/>
        </w:rPr>
        <w:t>an</w:t>
      </w:r>
      <w:r>
        <w:rPr>
          <w:color w:val="231F20"/>
          <w:spacing w:val="-12"/>
          <w:w w:val="105"/>
        </w:rPr>
        <w:t> </w:t>
      </w:r>
      <w:r>
        <w:rPr>
          <w:color w:val="231F20"/>
          <w:w w:val="105"/>
        </w:rPr>
        <w:t>important role</w:t>
      </w:r>
      <w:r>
        <w:rPr>
          <w:color w:val="231F20"/>
          <w:spacing w:val="-11"/>
          <w:w w:val="105"/>
        </w:rPr>
        <w:t> </w:t>
      </w:r>
      <w:r>
        <w:rPr>
          <w:color w:val="231F20"/>
          <w:w w:val="105"/>
        </w:rPr>
        <w:t>in</w:t>
      </w:r>
      <w:r>
        <w:rPr>
          <w:color w:val="231F20"/>
          <w:spacing w:val="-11"/>
          <w:w w:val="105"/>
        </w:rPr>
        <w:t> </w:t>
      </w:r>
      <w:r>
        <w:rPr>
          <w:color w:val="231F20"/>
          <w:w w:val="105"/>
        </w:rPr>
        <w:t>the</w:t>
      </w:r>
      <w:r>
        <w:rPr>
          <w:color w:val="231F20"/>
          <w:spacing w:val="-11"/>
          <w:w w:val="105"/>
        </w:rPr>
        <w:t> </w:t>
      </w:r>
      <w:r>
        <w:rPr>
          <w:color w:val="231F20"/>
          <w:w w:val="105"/>
        </w:rPr>
        <w:t>settlement</w:t>
      </w:r>
      <w:r>
        <w:rPr>
          <w:color w:val="231F20"/>
          <w:spacing w:val="-11"/>
          <w:w w:val="105"/>
        </w:rPr>
        <w:t> </w:t>
      </w:r>
      <w:r>
        <w:rPr>
          <w:color w:val="231F20"/>
          <w:w w:val="105"/>
        </w:rPr>
        <w:t>of</w:t>
      </w:r>
      <w:r>
        <w:rPr>
          <w:color w:val="231F20"/>
          <w:spacing w:val="-7"/>
          <w:w w:val="105"/>
        </w:rPr>
        <w:t> </w:t>
      </w:r>
      <w:r>
        <w:rPr>
          <w:color w:val="231F20"/>
          <w:w w:val="105"/>
        </w:rPr>
        <w:t>immigrant</w:t>
      </w:r>
      <w:r>
        <w:rPr>
          <w:color w:val="231F20"/>
          <w:spacing w:val="-11"/>
          <w:w w:val="105"/>
        </w:rPr>
        <w:t> </w:t>
      </w:r>
      <w:r>
        <w:rPr>
          <w:color w:val="231F20"/>
          <w:w w:val="105"/>
        </w:rPr>
        <w:t>families</w:t>
      </w:r>
      <w:r>
        <w:rPr>
          <w:color w:val="231F20"/>
          <w:spacing w:val="-11"/>
          <w:w w:val="105"/>
        </w:rPr>
        <w:t> </w:t>
      </w:r>
      <w:r>
        <w:rPr>
          <w:color w:val="231F20"/>
          <w:w w:val="105"/>
        </w:rPr>
        <w:t>in</w:t>
      </w:r>
      <w:r>
        <w:rPr>
          <w:color w:val="231F20"/>
          <w:spacing w:val="-11"/>
          <w:w w:val="105"/>
        </w:rPr>
        <w:t> </w:t>
      </w:r>
      <w:r>
        <w:rPr>
          <w:color w:val="231F20"/>
          <w:w w:val="105"/>
        </w:rPr>
        <w:t>the</w:t>
      </w:r>
      <w:r>
        <w:rPr>
          <w:color w:val="231F20"/>
          <w:spacing w:val="-11"/>
          <w:w w:val="105"/>
        </w:rPr>
        <w:t> </w:t>
      </w:r>
      <w:r>
        <w:rPr>
          <w:color w:val="231F20"/>
          <w:w w:val="105"/>
        </w:rPr>
        <w:t>United</w:t>
      </w:r>
      <w:r>
        <w:rPr>
          <w:color w:val="231F20"/>
          <w:spacing w:val="-11"/>
          <w:w w:val="105"/>
        </w:rPr>
        <w:t> </w:t>
      </w:r>
      <w:r>
        <w:rPr>
          <w:color w:val="231F20"/>
          <w:w w:val="105"/>
        </w:rPr>
        <w:t>States</w:t>
      </w:r>
      <w:r>
        <w:rPr>
          <w:color w:val="231F20"/>
          <w:spacing w:val="-11"/>
          <w:w w:val="105"/>
        </w:rPr>
        <w:t> </w:t>
      </w:r>
      <w:r>
        <w:rPr>
          <w:color w:val="231F20"/>
          <w:w w:val="105"/>
        </w:rPr>
        <w:t>by</w:t>
      </w:r>
      <w:r>
        <w:rPr>
          <w:color w:val="231F20"/>
          <w:spacing w:val="-11"/>
          <w:w w:val="105"/>
        </w:rPr>
        <w:t> </w:t>
      </w:r>
      <w:r>
        <w:rPr>
          <w:color w:val="231F20"/>
          <w:w w:val="105"/>
        </w:rPr>
        <w:t>taking on</w:t>
      </w:r>
      <w:r>
        <w:rPr>
          <w:color w:val="231F20"/>
          <w:spacing w:val="-9"/>
          <w:w w:val="105"/>
        </w:rPr>
        <w:t> </w:t>
      </w:r>
      <w:r>
        <w:rPr>
          <w:color w:val="231F20"/>
          <w:w w:val="105"/>
        </w:rPr>
        <w:t>active</w:t>
      </w:r>
      <w:r>
        <w:rPr>
          <w:color w:val="231F20"/>
          <w:spacing w:val="-9"/>
          <w:w w:val="105"/>
        </w:rPr>
        <w:t> </w:t>
      </w:r>
      <w:r>
        <w:rPr>
          <w:color w:val="231F20"/>
          <w:w w:val="105"/>
        </w:rPr>
        <w:t>roles</w:t>
      </w:r>
      <w:r>
        <w:rPr>
          <w:color w:val="231F20"/>
          <w:spacing w:val="-9"/>
          <w:w w:val="105"/>
        </w:rPr>
        <w:t> </w:t>
      </w:r>
      <w:r>
        <w:rPr>
          <w:color w:val="231F20"/>
          <w:w w:val="105"/>
        </w:rPr>
        <w:t>as</w:t>
      </w:r>
      <w:r>
        <w:rPr>
          <w:color w:val="231F20"/>
          <w:spacing w:val="-9"/>
          <w:w w:val="105"/>
        </w:rPr>
        <w:t> </w:t>
      </w:r>
      <w:r>
        <w:rPr>
          <w:color w:val="231F20"/>
          <w:w w:val="105"/>
        </w:rPr>
        <w:t>tutors,</w:t>
      </w:r>
      <w:r>
        <w:rPr>
          <w:color w:val="231F20"/>
          <w:spacing w:val="-13"/>
          <w:w w:val="105"/>
        </w:rPr>
        <w:t> </w:t>
      </w:r>
      <w:r>
        <w:rPr>
          <w:color w:val="231F20"/>
          <w:w w:val="105"/>
        </w:rPr>
        <w:t>advocates,</w:t>
      </w:r>
      <w:r>
        <w:rPr>
          <w:color w:val="231F20"/>
          <w:spacing w:val="-13"/>
          <w:w w:val="105"/>
        </w:rPr>
        <w:t> </w:t>
      </w:r>
      <w:r>
        <w:rPr>
          <w:color w:val="231F20"/>
          <w:w w:val="105"/>
        </w:rPr>
        <w:t>and</w:t>
      </w:r>
      <w:r>
        <w:rPr>
          <w:color w:val="231F20"/>
          <w:spacing w:val="-9"/>
          <w:w w:val="105"/>
        </w:rPr>
        <w:t> </w:t>
      </w:r>
      <w:r>
        <w:rPr>
          <w:color w:val="231F20"/>
          <w:w w:val="105"/>
        </w:rPr>
        <w:t>surrogate</w:t>
      </w:r>
      <w:r>
        <w:rPr>
          <w:color w:val="231F20"/>
          <w:spacing w:val="-9"/>
          <w:w w:val="105"/>
        </w:rPr>
        <w:t> </w:t>
      </w:r>
      <w:r>
        <w:rPr>
          <w:color w:val="231F20"/>
          <w:w w:val="105"/>
        </w:rPr>
        <w:t>parents</w:t>
      </w:r>
      <w:r>
        <w:rPr>
          <w:color w:val="231F20"/>
          <w:spacing w:val="-9"/>
          <w:w w:val="105"/>
        </w:rPr>
        <w:t> </w:t>
      </w:r>
      <w:r>
        <w:rPr>
          <w:color w:val="231F20"/>
          <w:w w:val="105"/>
        </w:rPr>
        <w:t>(Valenzuela, 2010; Katz, 2014). The children of immigrants may engage in negotia- tions</w:t>
      </w:r>
      <w:r>
        <w:rPr>
          <w:color w:val="231F20"/>
          <w:spacing w:val="-12"/>
          <w:w w:val="105"/>
        </w:rPr>
        <w:t> </w:t>
      </w:r>
      <w:r>
        <w:rPr>
          <w:color w:val="231F20"/>
          <w:w w:val="105"/>
        </w:rPr>
        <w:t>acting</w:t>
      </w:r>
      <w:r>
        <w:rPr>
          <w:color w:val="231F20"/>
          <w:spacing w:val="-12"/>
          <w:w w:val="105"/>
        </w:rPr>
        <w:t> </w:t>
      </w:r>
      <w:r>
        <w:rPr>
          <w:color w:val="231F20"/>
          <w:w w:val="105"/>
        </w:rPr>
        <w:t>as</w:t>
      </w:r>
      <w:r>
        <w:rPr>
          <w:color w:val="231F20"/>
          <w:spacing w:val="-12"/>
          <w:w w:val="105"/>
        </w:rPr>
        <w:t> </w:t>
      </w:r>
      <w:r>
        <w:rPr>
          <w:color w:val="231F20"/>
          <w:w w:val="105"/>
        </w:rPr>
        <w:t>brokers</w:t>
      </w:r>
      <w:r>
        <w:rPr>
          <w:color w:val="231F20"/>
          <w:spacing w:val="-12"/>
          <w:w w:val="105"/>
        </w:rPr>
        <w:t> </w:t>
      </w:r>
      <w:r>
        <w:rPr>
          <w:color w:val="231F20"/>
          <w:w w:val="105"/>
        </w:rPr>
        <w:t>for</w:t>
      </w:r>
      <w:r>
        <w:rPr>
          <w:color w:val="231F20"/>
          <w:spacing w:val="-12"/>
          <w:w w:val="105"/>
        </w:rPr>
        <w:t> </w:t>
      </w:r>
      <w:r>
        <w:rPr>
          <w:color w:val="231F20"/>
          <w:w w:val="105"/>
        </w:rPr>
        <w:t>their</w:t>
      </w:r>
      <w:r>
        <w:rPr>
          <w:color w:val="231F20"/>
          <w:spacing w:val="-12"/>
          <w:w w:val="105"/>
        </w:rPr>
        <w:t> </w:t>
      </w:r>
      <w:r>
        <w:rPr>
          <w:color w:val="231F20"/>
          <w:w w:val="105"/>
        </w:rPr>
        <w:t>immigrant</w:t>
      </w:r>
      <w:r>
        <w:rPr>
          <w:color w:val="231F20"/>
          <w:spacing w:val="-12"/>
          <w:w w:val="105"/>
        </w:rPr>
        <w:t> </w:t>
      </w:r>
      <w:r>
        <w:rPr>
          <w:color w:val="231F20"/>
          <w:w w:val="105"/>
        </w:rPr>
        <w:t>parents</w:t>
      </w:r>
      <w:r>
        <w:rPr>
          <w:color w:val="231F20"/>
          <w:spacing w:val="-12"/>
          <w:w w:val="105"/>
        </w:rPr>
        <w:t> </w:t>
      </w:r>
      <w:r>
        <w:rPr>
          <w:color w:val="231F20"/>
          <w:w w:val="105"/>
        </w:rPr>
        <w:t>and</w:t>
      </w:r>
      <w:r>
        <w:rPr>
          <w:color w:val="231F20"/>
          <w:spacing w:val="-12"/>
          <w:w w:val="105"/>
        </w:rPr>
        <w:t> </w:t>
      </w:r>
      <w:r>
        <w:rPr>
          <w:color w:val="231F20"/>
          <w:w w:val="105"/>
        </w:rPr>
        <w:t>helping</w:t>
      </w:r>
      <w:r>
        <w:rPr>
          <w:color w:val="231F20"/>
          <w:spacing w:val="-12"/>
          <w:w w:val="105"/>
        </w:rPr>
        <w:t> </w:t>
      </w:r>
      <w:r>
        <w:rPr>
          <w:color w:val="231F20"/>
          <w:w w:val="105"/>
        </w:rPr>
        <w:t>the</w:t>
      </w:r>
      <w:r>
        <w:rPr>
          <w:color w:val="231F20"/>
          <w:spacing w:val="-12"/>
          <w:w w:val="105"/>
        </w:rPr>
        <w:t> </w:t>
      </w:r>
      <w:r>
        <w:rPr>
          <w:color w:val="231F20"/>
          <w:w w:val="105"/>
        </w:rPr>
        <w:t>family adapt</w:t>
      </w:r>
      <w:r>
        <w:rPr>
          <w:color w:val="231F20"/>
          <w:spacing w:val="-19"/>
          <w:w w:val="105"/>
        </w:rPr>
        <w:t> </w:t>
      </w:r>
      <w:r>
        <w:rPr>
          <w:color w:val="231F20"/>
          <w:w w:val="105"/>
        </w:rPr>
        <w:t>to</w:t>
      </w:r>
      <w:r>
        <w:rPr>
          <w:color w:val="231F20"/>
          <w:spacing w:val="-19"/>
          <w:w w:val="105"/>
        </w:rPr>
        <w:t> </w:t>
      </w:r>
      <w:r>
        <w:rPr>
          <w:color w:val="231F20"/>
          <w:w w:val="105"/>
        </w:rPr>
        <w:t>their</w:t>
      </w:r>
      <w:r>
        <w:rPr>
          <w:color w:val="231F20"/>
          <w:spacing w:val="-19"/>
          <w:w w:val="105"/>
        </w:rPr>
        <w:t> </w:t>
      </w:r>
      <w:r>
        <w:rPr>
          <w:color w:val="231F20"/>
          <w:w w:val="105"/>
        </w:rPr>
        <w:t>new</w:t>
      </w:r>
      <w:r>
        <w:rPr>
          <w:color w:val="231F20"/>
          <w:spacing w:val="-19"/>
          <w:w w:val="105"/>
        </w:rPr>
        <w:t> </w:t>
      </w:r>
      <w:r>
        <w:rPr>
          <w:color w:val="231F20"/>
          <w:w w:val="105"/>
        </w:rPr>
        <w:t>community</w:t>
      </w:r>
      <w:r>
        <w:rPr>
          <w:color w:val="231F20"/>
          <w:spacing w:val="-19"/>
          <w:w w:val="105"/>
        </w:rPr>
        <w:t> </w:t>
      </w:r>
      <w:r>
        <w:rPr>
          <w:color w:val="231F20"/>
          <w:w w:val="105"/>
        </w:rPr>
        <w:t>(Katz,</w:t>
      </w:r>
      <w:r>
        <w:rPr>
          <w:color w:val="231F20"/>
          <w:spacing w:val="-24"/>
          <w:w w:val="105"/>
        </w:rPr>
        <w:t> </w:t>
      </w:r>
      <w:r>
        <w:rPr>
          <w:color w:val="231F20"/>
          <w:w w:val="105"/>
        </w:rPr>
        <w:t>2014).</w:t>
      </w:r>
      <w:r>
        <w:rPr>
          <w:color w:val="231F20"/>
          <w:spacing w:val="-24"/>
          <w:w w:val="105"/>
        </w:rPr>
        <w:t> </w:t>
      </w:r>
      <w:r>
        <w:rPr>
          <w:color w:val="231F20"/>
          <w:w w:val="105"/>
        </w:rPr>
        <w:t>Children’s</w:t>
      </w:r>
      <w:r>
        <w:rPr>
          <w:color w:val="231F20"/>
          <w:spacing w:val="-19"/>
          <w:w w:val="105"/>
        </w:rPr>
        <w:t> </w:t>
      </w:r>
      <w:r>
        <w:rPr>
          <w:color w:val="231F20"/>
          <w:w w:val="105"/>
        </w:rPr>
        <w:t>brokering</w:t>
      </w:r>
      <w:r>
        <w:rPr>
          <w:color w:val="231F20"/>
          <w:spacing w:val="-19"/>
          <w:w w:val="105"/>
        </w:rPr>
        <w:t> </w:t>
      </w:r>
      <w:r>
        <w:rPr>
          <w:color w:val="231F20"/>
          <w:w w:val="105"/>
        </w:rPr>
        <w:t>can</w:t>
      </w:r>
      <w:r>
        <w:rPr>
          <w:color w:val="231F20"/>
          <w:spacing w:val="-19"/>
          <w:w w:val="105"/>
        </w:rPr>
        <w:t> </w:t>
      </w:r>
      <w:r>
        <w:rPr>
          <w:color w:val="231F20"/>
          <w:w w:val="105"/>
        </w:rPr>
        <w:t>help obtain</w:t>
      </w:r>
      <w:r>
        <w:rPr>
          <w:color w:val="231F20"/>
          <w:spacing w:val="-10"/>
          <w:w w:val="105"/>
        </w:rPr>
        <w:t> </w:t>
      </w:r>
      <w:r>
        <w:rPr>
          <w:color w:val="231F20"/>
          <w:w w:val="105"/>
        </w:rPr>
        <w:t>resources</w:t>
      </w:r>
      <w:r>
        <w:rPr>
          <w:color w:val="231F20"/>
          <w:spacing w:val="-10"/>
          <w:w w:val="105"/>
        </w:rPr>
        <w:t> </w:t>
      </w:r>
      <w:r>
        <w:rPr>
          <w:color w:val="231F20"/>
          <w:w w:val="105"/>
        </w:rPr>
        <w:t>and</w:t>
      </w:r>
      <w:r>
        <w:rPr>
          <w:color w:val="231F20"/>
          <w:spacing w:val="-10"/>
          <w:w w:val="105"/>
        </w:rPr>
        <w:t> </w:t>
      </w:r>
      <w:r>
        <w:rPr>
          <w:color w:val="231F20"/>
          <w:w w:val="105"/>
        </w:rPr>
        <w:t>establish</w:t>
      </w:r>
      <w:r>
        <w:rPr>
          <w:color w:val="231F20"/>
          <w:spacing w:val="-10"/>
          <w:w w:val="105"/>
        </w:rPr>
        <w:t> </w:t>
      </w:r>
      <w:r>
        <w:rPr>
          <w:color w:val="231F20"/>
          <w:w w:val="105"/>
        </w:rPr>
        <w:t>relationships</w:t>
      </w:r>
      <w:r>
        <w:rPr>
          <w:color w:val="231F20"/>
          <w:spacing w:val="-10"/>
          <w:w w:val="105"/>
        </w:rPr>
        <w:t> </w:t>
      </w:r>
      <w:r>
        <w:rPr>
          <w:color w:val="231F20"/>
          <w:w w:val="105"/>
        </w:rPr>
        <w:t>with</w:t>
      </w:r>
      <w:r>
        <w:rPr>
          <w:color w:val="231F20"/>
          <w:spacing w:val="-10"/>
          <w:w w:val="105"/>
        </w:rPr>
        <w:t> </w:t>
      </w:r>
      <w:r>
        <w:rPr>
          <w:color w:val="231F20"/>
          <w:w w:val="105"/>
        </w:rPr>
        <w:t>their</w:t>
      </w:r>
      <w:r>
        <w:rPr>
          <w:color w:val="231F20"/>
          <w:spacing w:val="-10"/>
          <w:w w:val="105"/>
        </w:rPr>
        <w:t> </w:t>
      </w:r>
      <w:r>
        <w:rPr>
          <w:color w:val="231F20"/>
          <w:w w:val="105"/>
        </w:rPr>
        <w:t>community</w:t>
      </w:r>
      <w:r>
        <w:rPr>
          <w:color w:val="231F20"/>
          <w:spacing w:val="-10"/>
          <w:w w:val="105"/>
        </w:rPr>
        <w:t> </w:t>
      </w:r>
      <w:r>
        <w:rPr>
          <w:color w:val="231F20"/>
          <w:w w:val="105"/>
        </w:rPr>
        <w:t>assis- ting</w:t>
      </w:r>
      <w:r>
        <w:rPr>
          <w:color w:val="231F20"/>
          <w:spacing w:val="-4"/>
          <w:w w:val="105"/>
        </w:rPr>
        <w:t> </w:t>
      </w:r>
      <w:r>
        <w:rPr>
          <w:color w:val="231F20"/>
          <w:w w:val="105"/>
        </w:rPr>
        <w:t>in</w:t>
      </w:r>
      <w:r>
        <w:rPr>
          <w:color w:val="231F20"/>
          <w:spacing w:val="-4"/>
          <w:w w:val="105"/>
        </w:rPr>
        <w:t> </w:t>
      </w:r>
      <w:r>
        <w:rPr>
          <w:color w:val="231F20"/>
          <w:w w:val="105"/>
        </w:rPr>
        <w:t>the</w:t>
      </w:r>
      <w:r>
        <w:rPr>
          <w:color w:val="231F20"/>
          <w:spacing w:val="-4"/>
          <w:w w:val="105"/>
        </w:rPr>
        <w:t> </w:t>
      </w:r>
      <w:r>
        <w:rPr>
          <w:color w:val="231F20"/>
          <w:w w:val="105"/>
        </w:rPr>
        <w:t>overall</w:t>
      </w:r>
      <w:r>
        <w:rPr>
          <w:color w:val="231F20"/>
          <w:spacing w:val="-4"/>
          <w:w w:val="105"/>
        </w:rPr>
        <w:t> </w:t>
      </w:r>
      <w:r>
        <w:rPr>
          <w:color w:val="231F20"/>
          <w:w w:val="105"/>
        </w:rPr>
        <w:t>integration</w:t>
      </w:r>
      <w:r>
        <w:rPr>
          <w:color w:val="231F20"/>
          <w:spacing w:val="-4"/>
          <w:w w:val="105"/>
        </w:rPr>
        <w:t> </w:t>
      </w:r>
      <w:r>
        <w:rPr>
          <w:color w:val="231F20"/>
          <w:w w:val="105"/>
        </w:rPr>
        <w:t>of the</w:t>
      </w:r>
      <w:r>
        <w:rPr>
          <w:color w:val="231F20"/>
          <w:spacing w:val="-4"/>
          <w:w w:val="105"/>
        </w:rPr>
        <w:t> </w:t>
      </w:r>
      <w:r>
        <w:rPr>
          <w:color w:val="231F20"/>
          <w:w w:val="105"/>
        </w:rPr>
        <w:t>family</w:t>
      </w:r>
      <w:r>
        <w:rPr>
          <w:color w:val="231F20"/>
          <w:spacing w:val="-4"/>
          <w:w w:val="105"/>
        </w:rPr>
        <w:t> </w:t>
      </w:r>
      <w:r>
        <w:rPr>
          <w:color w:val="231F20"/>
          <w:w w:val="105"/>
        </w:rPr>
        <w:t>(Katz,</w:t>
      </w:r>
      <w:r>
        <w:rPr>
          <w:color w:val="231F20"/>
          <w:spacing w:val="-10"/>
          <w:w w:val="105"/>
        </w:rPr>
        <w:t> </w:t>
      </w:r>
      <w:r>
        <w:rPr>
          <w:color w:val="231F20"/>
          <w:w w:val="105"/>
        </w:rPr>
        <w:t>2014).</w:t>
      </w:r>
      <w:r>
        <w:rPr>
          <w:color w:val="231F20"/>
          <w:spacing w:val="-10"/>
          <w:w w:val="105"/>
        </w:rPr>
        <w:t> </w:t>
      </w:r>
      <w:r>
        <w:rPr>
          <w:color w:val="231F20"/>
          <w:w w:val="105"/>
        </w:rPr>
        <w:t>Brokering</w:t>
      </w:r>
      <w:r>
        <w:rPr>
          <w:color w:val="231F20"/>
          <w:spacing w:val="-4"/>
          <w:w w:val="105"/>
        </w:rPr>
        <w:t> </w:t>
      </w:r>
      <w:r>
        <w:rPr>
          <w:color w:val="231F20"/>
          <w:w w:val="105"/>
        </w:rPr>
        <w:t>activi- ties</w:t>
      </w:r>
      <w:r>
        <w:rPr>
          <w:color w:val="231F20"/>
          <w:spacing w:val="-11"/>
          <w:w w:val="105"/>
        </w:rPr>
        <w:t> </w:t>
      </w:r>
      <w:r>
        <w:rPr>
          <w:color w:val="231F20"/>
          <w:w w:val="105"/>
        </w:rPr>
        <w:t>include</w:t>
      </w:r>
      <w:r>
        <w:rPr>
          <w:color w:val="231F20"/>
          <w:spacing w:val="-11"/>
          <w:w w:val="105"/>
        </w:rPr>
        <w:t> </w:t>
      </w:r>
      <w:r>
        <w:rPr>
          <w:color w:val="231F20"/>
          <w:w w:val="105"/>
        </w:rPr>
        <w:t>filling</w:t>
      </w:r>
      <w:r>
        <w:rPr>
          <w:color w:val="231F20"/>
          <w:spacing w:val="-11"/>
          <w:w w:val="105"/>
        </w:rPr>
        <w:t> </w:t>
      </w:r>
      <w:r>
        <w:rPr>
          <w:color w:val="231F20"/>
          <w:w w:val="105"/>
        </w:rPr>
        <w:t>out</w:t>
      </w:r>
      <w:r>
        <w:rPr>
          <w:color w:val="231F20"/>
          <w:spacing w:val="-11"/>
          <w:w w:val="105"/>
        </w:rPr>
        <w:t> </w:t>
      </w:r>
      <w:r>
        <w:rPr>
          <w:color w:val="231F20"/>
          <w:w w:val="105"/>
        </w:rPr>
        <w:t>paperwork,</w:t>
      </w:r>
      <w:r>
        <w:rPr>
          <w:color w:val="231F20"/>
          <w:spacing w:val="-16"/>
          <w:w w:val="105"/>
        </w:rPr>
        <w:t> </w:t>
      </w:r>
      <w:r>
        <w:rPr>
          <w:color w:val="231F20"/>
          <w:w w:val="105"/>
        </w:rPr>
        <w:t>translating</w:t>
      </w:r>
      <w:r>
        <w:rPr>
          <w:color w:val="231F20"/>
          <w:spacing w:val="-11"/>
          <w:w w:val="105"/>
        </w:rPr>
        <w:t> </w:t>
      </w:r>
      <w:r>
        <w:rPr>
          <w:color w:val="231F20"/>
          <w:w w:val="105"/>
        </w:rPr>
        <w:t>at</w:t>
      </w:r>
      <w:r>
        <w:rPr>
          <w:color w:val="231F20"/>
          <w:spacing w:val="-11"/>
          <w:w w:val="105"/>
        </w:rPr>
        <w:t> </w:t>
      </w:r>
      <w:r>
        <w:rPr>
          <w:color w:val="231F20"/>
          <w:w w:val="105"/>
        </w:rPr>
        <w:t>hospital</w:t>
      </w:r>
      <w:r>
        <w:rPr>
          <w:color w:val="231F20"/>
          <w:spacing w:val="-11"/>
          <w:w w:val="105"/>
        </w:rPr>
        <w:t> </w:t>
      </w:r>
      <w:r>
        <w:rPr>
          <w:color w:val="231F20"/>
          <w:w w:val="105"/>
        </w:rPr>
        <w:t>visits,</w:t>
      </w:r>
      <w:r>
        <w:rPr>
          <w:color w:val="231F20"/>
          <w:spacing w:val="-16"/>
          <w:w w:val="105"/>
        </w:rPr>
        <w:t> </w:t>
      </w:r>
      <w:r>
        <w:rPr>
          <w:color w:val="231F20"/>
          <w:w w:val="105"/>
        </w:rPr>
        <w:t>translating legal documents, and engaging with the community and institutions to secure</w:t>
      </w:r>
      <w:r>
        <w:rPr>
          <w:color w:val="231F20"/>
          <w:spacing w:val="-30"/>
          <w:w w:val="105"/>
        </w:rPr>
        <w:t> </w:t>
      </w:r>
      <w:r>
        <w:rPr>
          <w:color w:val="231F20"/>
          <w:w w:val="105"/>
        </w:rPr>
        <w:t>services</w:t>
      </w:r>
      <w:r>
        <w:rPr>
          <w:color w:val="231F20"/>
          <w:spacing w:val="-30"/>
          <w:w w:val="105"/>
        </w:rPr>
        <w:t> </w:t>
      </w:r>
      <w:r>
        <w:rPr>
          <w:color w:val="231F20"/>
          <w:w w:val="105"/>
        </w:rPr>
        <w:t>for</w:t>
      </w:r>
      <w:r>
        <w:rPr>
          <w:color w:val="231F20"/>
          <w:spacing w:val="-30"/>
          <w:w w:val="105"/>
        </w:rPr>
        <w:t> </w:t>
      </w:r>
      <w:r>
        <w:rPr>
          <w:color w:val="231F20"/>
          <w:w w:val="105"/>
        </w:rPr>
        <w:t>their</w:t>
      </w:r>
      <w:r>
        <w:rPr>
          <w:color w:val="231F20"/>
          <w:spacing w:val="-30"/>
          <w:w w:val="105"/>
        </w:rPr>
        <w:t> </w:t>
      </w:r>
      <w:r>
        <w:rPr>
          <w:color w:val="231F20"/>
          <w:w w:val="105"/>
        </w:rPr>
        <w:t>families.</w:t>
      </w:r>
    </w:p>
    <w:p>
      <w:pPr>
        <w:pStyle w:val="BodyText"/>
        <w:spacing w:line="261" w:lineRule="auto" w:before="1"/>
        <w:ind w:left="1723" w:right="1834" w:firstLine="567"/>
        <w:jc w:val="both"/>
      </w:pPr>
      <w:r>
        <w:rPr>
          <w:color w:val="231F20"/>
          <w:w w:val="105"/>
        </w:rPr>
        <w:t>While families take pride in their children’s educational achieve- ments, at times obligations and responsibilities toward the family and prioritizing the family’s interests over the student’s interests serves as</w:t>
      </w:r>
      <w:r>
        <w:rPr>
          <w:color w:val="231F20"/>
          <w:spacing w:val="-21"/>
          <w:w w:val="105"/>
        </w:rPr>
        <w:t> </w:t>
      </w:r>
      <w:r>
        <w:rPr>
          <w:color w:val="231F20"/>
          <w:w w:val="105"/>
        </w:rPr>
        <w:t>a hindrance</w:t>
      </w:r>
      <w:r>
        <w:rPr>
          <w:color w:val="231F20"/>
          <w:spacing w:val="-8"/>
          <w:w w:val="105"/>
        </w:rPr>
        <w:t> </w:t>
      </w:r>
      <w:r>
        <w:rPr>
          <w:color w:val="231F20"/>
          <w:w w:val="105"/>
        </w:rPr>
        <w:t>to</w:t>
      </w:r>
      <w:r>
        <w:rPr>
          <w:color w:val="231F20"/>
          <w:spacing w:val="-8"/>
          <w:w w:val="105"/>
        </w:rPr>
        <w:t> </w:t>
      </w:r>
      <w:r>
        <w:rPr>
          <w:color w:val="231F20"/>
          <w:w w:val="105"/>
        </w:rPr>
        <w:t>educational</w:t>
      </w:r>
      <w:r>
        <w:rPr>
          <w:color w:val="231F20"/>
          <w:spacing w:val="-8"/>
          <w:w w:val="105"/>
        </w:rPr>
        <w:t> </w:t>
      </w:r>
      <w:r>
        <w:rPr>
          <w:color w:val="231F20"/>
          <w:w w:val="105"/>
        </w:rPr>
        <w:t>attainment.</w:t>
      </w:r>
      <w:r>
        <w:rPr>
          <w:color w:val="231F20"/>
          <w:spacing w:val="-14"/>
          <w:w w:val="105"/>
        </w:rPr>
        <w:t> </w:t>
      </w:r>
      <w:r>
        <w:rPr>
          <w:color w:val="231F20"/>
          <w:w w:val="105"/>
        </w:rPr>
        <w:t>Katz</w:t>
      </w:r>
      <w:r>
        <w:rPr>
          <w:color w:val="231F20"/>
          <w:spacing w:val="-8"/>
          <w:w w:val="105"/>
        </w:rPr>
        <w:t> </w:t>
      </w:r>
      <w:r>
        <w:rPr>
          <w:color w:val="231F20"/>
          <w:w w:val="105"/>
        </w:rPr>
        <w:t>(2014)</w:t>
      </w:r>
      <w:r>
        <w:rPr>
          <w:color w:val="231F20"/>
          <w:spacing w:val="-8"/>
          <w:w w:val="105"/>
        </w:rPr>
        <w:t> </w:t>
      </w:r>
      <w:r>
        <w:rPr>
          <w:color w:val="231F20"/>
          <w:w w:val="105"/>
        </w:rPr>
        <w:t>found</w:t>
      </w:r>
      <w:r>
        <w:rPr>
          <w:color w:val="231F20"/>
          <w:spacing w:val="-8"/>
          <w:w w:val="105"/>
        </w:rPr>
        <w:t> </w:t>
      </w:r>
      <w:r>
        <w:rPr>
          <w:color w:val="231F20"/>
          <w:w w:val="105"/>
        </w:rPr>
        <w:t>that</w:t>
      </w:r>
      <w:r>
        <w:rPr>
          <w:color w:val="231F20"/>
          <w:spacing w:val="-8"/>
          <w:w w:val="105"/>
        </w:rPr>
        <w:t> </w:t>
      </w:r>
      <w:r>
        <w:rPr>
          <w:color w:val="231F20"/>
          <w:w w:val="105"/>
        </w:rPr>
        <w:t>the</w:t>
      </w:r>
      <w:r>
        <w:rPr>
          <w:color w:val="231F20"/>
          <w:spacing w:val="-8"/>
          <w:w w:val="105"/>
        </w:rPr>
        <w:t> </w:t>
      </w:r>
      <w:r>
        <w:rPr>
          <w:color w:val="231F20"/>
          <w:w w:val="105"/>
        </w:rPr>
        <w:t>time</w:t>
      </w:r>
      <w:r>
        <w:rPr>
          <w:color w:val="231F20"/>
          <w:spacing w:val="-8"/>
          <w:w w:val="105"/>
        </w:rPr>
        <w:t> </w:t>
      </w:r>
      <w:r>
        <w:rPr>
          <w:color w:val="231F20"/>
          <w:w w:val="105"/>
        </w:rPr>
        <w:t>im- migrant children spent helping family and extended family in brokering activities also detracted from the time children had to spend on school work. School personnel often failed to recognize the skills demanded</w:t>
      </w:r>
      <w:r>
        <w:rPr>
          <w:color w:val="231F20"/>
          <w:spacing w:val="-9"/>
          <w:w w:val="105"/>
        </w:rPr>
        <w:t> </w:t>
      </w:r>
      <w:r>
        <w:rPr>
          <w:color w:val="231F20"/>
          <w:w w:val="105"/>
        </w:rPr>
        <w:t>in family brokering and regarded missed school days or incomplete ho- mework as lack of interest in education. In another example, Desmond and</w:t>
      </w:r>
      <w:r>
        <w:rPr>
          <w:color w:val="231F20"/>
          <w:spacing w:val="-24"/>
          <w:w w:val="105"/>
        </w:rPr>
        <w:t> </w:t>
      </w:r>
      <w:r>
        <w:rPr>
          <w:color w:val="231F20"/>
          <w:w w:val="105"/>
        </w:rPr>
        <w:t>Lopez</w:t>
      </w:r>
      <w:r>
        <w:rPr>
          <w:color w:val="231F20"/>
          <w:spacing w:val="-28"/>
          <w:w w:val="105"/>
        </w:rPr>
        <w:t> </w:t>
      </w:r>
      <w:r>
        <w:rPr>
          <w:color w:val="231F20"/>
          <w:spacing w:val="-4"/>
          <w:w w:val="105"/>
        </w:rPr>
        <w:t>Turley</w:t>
      </w:r>
      <w:r>
        <w:rPr>
          <w:color w:val="231F20"/>
          <w:spacing w:val="-24"/>
          <w:w w:val="105"/>
        </w:rPr>
        <w:t> </w:t>
      </w:r>
      <w:r>
        <w:rPr>
          <w:color w:val="231F20"/>
          <w:w w:val="105"/>
        </w:rPr>
        <w:t>(2009)</w:t>
      </w:r>
      <w:r>
        <w:rPr>
          <w:color w:val="231F20"/>
          <w:spacing w:val="-24"/>
          <w:w w:val="105"/>
        </w:rPr>
        <w:t> </w:t>
      </w:r>
      <w:r>
        <w:rPr>
          <w:color w:val="231F20"/>
          <w:w w:val="105"/>
        </w:rPr>
        <w:t>found</w:t>
      </w:r>
      <w:r>
        <w:rPr>
          <w:color w:val="231F20"/>
          <w:spacing w:val="-24"/>
          <w:w w:val="105"/>
        </w:rPr>
        <w:t> </w:t>
      </w:r>
      <w:r>
        <w:rPr>
          <w:color w:val="231F20"/>
          <w:w w:val="105"/>
        </w:rPr>
        <w:t>that</w:t>
      </w:r>
      <w:r>
        <w:rPr>
          <w:color w:val="231F20"/>
          <w:spacing w:val="-24"/>
          <w:w w:val="105"/>
        </w:rPr>
        <w:t> </w:t>
      </w:r>
      <w:r>
        <w:rPr>
          <w:color w:val="231F20"/>
          <w:w w:val="105"/>
        </w:rPr>
        <w:t>Hispanic</w:t>
      </w:r>
      <w:r>
        <w:rPr>
          <w:color w:val="231F20"/>
          <w:spacing w:val="-24"/>
          <w:w w:val="105"/>
        </w:rPr>
        <w:t> </w:t>
      </w:r>
      <w:r>
        <w:rPr>
          <w:color w:val="231F20"/>
          <w:w w:val="105"/>
        </w:rPr>
        <w:t>students</w:t>
      </w:r>
      <w:r>
        <w:rPr>
          <w:color w:val="231F20"/>
          <w:spacing w:val="-24"/>
          <w:w w:val="105"/>
        </w:rPr>
        <w:t> </w:t>
      </w:r>
      <w:r>
        <w:rPr>
          <w:color w:val="231F20"/>
          <w:w w:val="105"/>
        </w:rPr>
        <w:t>were</w:t>
      </w:r>
      <w:r>
        <w:rPr>
          <w:color w:val="231F20"/>
          <w:spacing w:val="-24"/>
          <w:w w:val="105"/>
        </w:rPr>
        <w:t> </w:t>
      </w:r>
      <w:r>
        <w:rPr>
          <w:color w:val="231F20"/>
          <w:w w:val="105"/>
        </w:rPr>
        <w:t>likely</w:t>
      </w:r>
      <w:r>
        <w:rPr>
          <w:color w:val="231F20"/>
          <w:spacing w:val="-24"/>
          <w:w w:val="105"/>
        </w:rPr>
        <w:t> </w:t>
      </w:r>
      <w:r>
        <w:rPr>
          <w:color w:val="231F20"/>
          <w:w w:val="105"/>
        </w:rPr>
        <w:t>to</w:t>
      </w:r>
      <w:r>
        <w:rPr>
          <w:color w:val="231F20"/>
          <w:spacing w:val="-24"/>
          <w:w w:val="105"/>
        </w:rPr>
        <w:t> </w:t>
      </w:r>
      <w:r>
        <w:rPr>
          <w:color w:val="231F20"/>
          <w:w w:val="105"/>
        </w:rPr>
        <w:t>report that it was important to live at home during college, a factor found to impact Hispanic students’ college enrollment negatively. </w:t>
      </w:r>
      <w:r>
        <w:rPr>
          <w:color w:val="231F20"/>
          <w:spacing w:val="-3"/>
          <w:w w:val="105"/>
        </w:rPr>
        <w:t>Youths’ </w:t>
      </w:r>
      <w:r>
        <w:rPr>
          <w:color w:val="231F20"/>
          <w:w w:val="105"/>
        </w:rPr>
        <w:t>sense of family obligation prompted them to stay at home deferring Hispanic students’ decision to enroll in college, even among students with highly educated parents (Desmond and Lopez, 2009). Similarly, Ovink (2013) found</w:t>
      </w:r>
      <w:r>
        <w:rPr>
          <w:color w:val="231F20"/>
          <w:spacing w:val="23"/>
          <w:w w:val="105"/>
        </w:rPr>
        <w:t> </w:t>
      </w:r>
      <w:r>
        <w:rPr>
          <w:color w:val="231F20"/>
          <w:w w:val="105"/>
        </w:rPr>
        <w:t>that</w:t>
      </w:r>
      <w:r>
        <w:rPr>
          <w:color w:val="231F20"/>
          <w:spacing w:val="23"/>
          <w:w w:val="105"/>
        </w:rPr>
        <w:t> </w:t>
      </w:r>
      <w:r>
        <w:rPr>
          <w:color w:val="231F20"/>
          <w:w w:val="105"/>
        </w:rPr>
        <w:t>both</w:t>
      </w:r>
      <w:r>
        <w:rPr>
          <w:color w:val="231F20"/>
          <w:spacing w:val="23"/>
          <w:w w:val="105"/>
        </w:rPr>
        <w:t> </w:t>
      </w:r>
      <w:r>
        <w:rPr>
          <w:color w:val="231F20"/>
          <w:w w:val="105"/>
        </w:rPr>
        <w:t>man</w:t>
      </w:r>
      <w:r>
        <w:rPr>
          <w:color w:val="231F20"/>
          <w:spacing w:val="23"/>
          <w:w w:val="105"/>
        </w:rPr>
        <w:t> </w:t>
      </w:r>
      <w:r>
        <w:rPr>
          <w:color w:val="231F20"/>
          <w:w w:val="105"/>
        </w:rPr>
        <w:t>and</w:t>
      </w:r>
      <w:r>
        <w:rPr>
          <w:color w:val="231F20"/>
          <w:spacing w:val="23"/>
          <w:w w:val="105"/>
        </w:rPr>
        <w:t> </w:t>
      </w:r>
      <w:r>
        <w:rPr>
          <w:color w:val="231F20"/>
          <w:w w:val="105"/>
        </w:rPr>
        <w:t>women</w:t>
      </w:r>
      <w:r>
        <w:rPr>
          <w:color w:val="231F20"/>
          <w:spacing w:val="23"/>
          <w:w w:val="105"/>
        </w:rPr>
        <w:t> </w:t>
      </w:r>
      <w:r>
        <w:rPr>
          <w:color w:val="231F20"/>
          <w:w w:val="105"/>
        </w:rPr>
        <w:t>believed</w:t>
      </w:r>
      <w:r>
        <w:rPr>
          <w:color w:val="231F20"/>
          <w:spacing w:val="23"/>
          <w:w w:val="105"/>
        </w:rPr>
        <w:t> </w:t>
      </w:r>
      <w:r>
        <w:rPr>
          <w:color w:val="231F20"/>
          <w:w w:val="105"/>
        </w:rPr>
        <w:t>it</w:t>
      </w:r>
      <w:r>
        <w:rPr>
          <w:color w:val="231F20"/>
          <w:spacing w:val="23"/>
          <w:w w:val="105"/>
        </w:rPr>
        <w:t> </w:t>
      </w:r>
      <w:r>
        <w:rPr>
          <w:color w:val="231F20"/>
          <w:w w:val="105"/>
        </w:rPr>
        <w:t>was</w:t>
      </w:r>
      <w:r>
        <w:rPr>
          <w:color w:val="231F20"/>
          <w:spacing w:val="23"/>
          <w:w w:val="105"/>
        </w:rPr>
        <w:t> </w:t>
      </w:r>
      <w:r>
        <w:rPr>
          <w:color w:val="231F20"/>
          <w:w w:val="105"/>
        </w:rPr>
        <w:t>important</w:t>
      </w:r>
      <w:r>
        <w:rPr>
          <w:color w:val="231F20"/>
          <w:spacing w:val="23"/>
          <w:w w:val="105"/>
        </w:rPr>
        <w:t> </w:t>
      </w:r>
      <w:r>
        <w:rPr>
          <w:color w:val="231F20"/>
          <w:w w:val="105"/>
        </w:rPr>
        <w:t>to</w:t>
      </w:r>
      <w:r>
        <w:rPr>
          <w:color w:val="231F20"/>
          <w:spacing w:val="23"/>
          <w:w w:val="105"/>
        </w:rPr>
        <w:t> </w:t>
      </w:r>
      <w:r>
        <w:rPr>
          <w:color w:val="231F20"/>
          <w:w w:val="105"/>
        </w:rPr>
        <w:t>provide</w:t>
      </w:r>
    </w:p>
    <w:p>
      <w:pPr>
        <w:pStyle w:val="BodyText"/>
        <w:rPr>
          <w:sz w:val="20"/>
        </w:rPr>
      </w:pPr>
    </w:p>
    <w:p>
      <w:pPr>
        <w:pStyle w:val="BodyText"/>
        <w:rPr>
          <w:sz w:val="20"/>
        </w:rPr>
      </w:pPr>
    </w:p>
    <w:p>
      <w:pPr>
        <w:pStyle w:val="BodyText"/>
        <w:rPr>
          <w:sz w:val="20"/>
        </w:rPr>
      </w:pPr>
    </w:p>
    <w:p>
      <w:pPr>
        <w:pStyle w:val="BodyText"/>
        <w:rPr>
          <w:sz w:val="29"/>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4720" from="131.551193pt,3.703715pt" to="131.551193pt,39.506114pt" stroked="true" strokeweight=".35pt" strokecolor="#231f20">
            <w10:wrap type="none"/>
          </v:line>
        </w:pict>
      </w:r>
      <w:r>
        <w:rPr/>
        <w:pict>
          <v:line style="position:absolute;mso-position-horizontal-relative:page;mso-position-vertical-relative:paragraph;z-index:-484648" from="15pt,39.505917pt" to="0pt,39.505917pt" stroked="true" strokeweight=".25pt" strokecolor="#000000">
            <w10:wrap type="none"/>
          </v:line>
        </w:pict>
      </w:r>
      <w:r>
        <w:rPr/>
        <w:pict>
          <v:line style="position:absolute;mso-position-horizontal-relative:page;mso-position-vertical-relative:paragraph;z-index:5560" from="508.890015pt,39.505917pt" to="523.890015pt,39.505917pt" stroked="true" strokeweight=".25pt" strokecolor="#000000">
            <w10:wrap type="none"/>
          </v:line>
        </w:pict>
      </w:r>
      <w:r>
        <w:rPr>
          <w:rFonts w:ascii="Arial" w:hAnsi="Arial"/>
          <w:color w:val="414042"/>
          <w:position w:val="-5"/>
          <w:sz w:val="20"/>
        </w:rPr>
        <w:t>56</w:t>
        <w:tab/>
      </w:r>
      <w:r>
        <w:rPr>
          <w:rFonts w:ascii="Calibri" w:hAnsi="Calibri"/>
          <w:color w:val="6D6E71"/>
          <w:sz w:val="15"/>
        </w:rPr>
        <w:t>Harriett Romo, Janeth Martínez y Christina  </w:t>
      </w:r>
      <w:r>
        <w:rPr>
          <w:rFonts w:ascii="Calibri" w:hAnsi="Calibri"/>
          <w:color w:val="6D6E71"/>
          <w:spacing w:val="15"/>
          <w:sz w:val="15"/>
        </w:rPr>
        <w:t> </w:t>
      </w:r>
      <w:r>
        <w:rPr>
          <w:rFonts w:ascii="Calibri" w:hAnsi="Calibri"/>
          <w:color w:val="6D6E71"/>
          <w:sz w:val="15"/>
        </w:rPr>
        <w:t>López-Mobilia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4958" w:right="0" w:firstLine="0"/>
        <w:jc w:val="left"/>
        <w:rPr>
          <w:rFonts w:ascii="Arial"/>
          <w:sz w:val="20"/>
        </w:rPr>
      </w:pPr>
      <w:r>
        <w:rPr/>
        <w:pict>
          <v:line style="position:absolute;mso-position-horizontal-relative:page;mso-position-vertical-relative:paragraph;z-index:-484600" from="405.061005pt,-18.554295pt" to="405.061005pt,16.311579pt" stroked="true" strokeweight=".35pt" strokecolor="#231f20">
            <w10:wrap type="none"/>
          </v:line>
        </w:pict>
      </w:r>
      <w:r>
        <w:rPr/>
        <w:pict>
          <v:line style="position:absolute;mso-position-horizontal-relative:page;mso-position-vertical-relative:paragraph;z-index:5608" from="15pt,-18.554522pt" to="0pt,-18.554522pt" stroked="true" strokeweight=".25pt" strokecolor="#000000">
            <w10:wrap type="none"/>
          </v:line>
        </w:pict>
      </w:r>
      <w:r>
        <w:rPr/>
        <w:pict>
          <v:line style="position:absolute;mso-position-horizontal-relative:page;mso-position-vertical-relative:paragraph;z-index:5632" from="508.890015pt,-18.554522pt" to="523.890015pt,-18.554522pt" stroked="true" strokeweight=".25pt" strokecolor="#000000">
            <w10:wrap type="none"/>
          </v:line>
        </w:pict>
      </w:r>
      <w:r>
        <w:rPr>
          <w:rFonts w:ascii="Lucida Sans Unicode"/>
          <w:color w:val="6D6E71"/>
          <w:w w:val="105"/>
          <w:sz w:val="14"/>
        </w:rPr>
        <w:t>Children</w:t>
      </w:r>
      <w:r>
        <w:rPr>
          <w:rFonts w:ascii="Lucida Sans Unicode"/>
          <w:color w:val="6D6E71"/>
          <w:spacing w:val="-10"/>
          <w:w w:val="105"/>
          <w:sz w:val="14"/>
        </w:rPr>
        <w:t> </w:t>
      </w:r>
      <w:r>
        <w:rPr>
          <w:rFonts w:ascii="Lucida Sans Unicode"/>
          <w:color w:val="6D6E71"/>
          <w:w w:val="105"/>
          <w:sz w:val="14"/>
        </w:rPr>
        <w:t>of</w:t>
      </w:r>
      <w:r>
        <w:rPr>
          <w:rFonts w:ascii="Lucida Sans Unicode"/>
          <w:color w:val="6D6E71"/>
          <w:spacing w:val="-10"/>
          <w:w w:val="105"/>
          <w:sz w:val="14"/>
        </w:rPr>
        <w:t> </w:t>
      </w:r>
      <w:r>
        <w:rPr>
          <w:rFonts w:ascii="Lucida Sans Unicode"/>
          <w:color w:val="6D6E71"/>
          <w:w w:val="105"/>
          <w:sz w:val="14"/>
        </w:rPr>
        <w:t>immigrants</w:t>
      </w:r>
      <w:r>
        <w:rPr>
          <w:rFonts w:ascii="Lucida Sans Unicode"/>
          <w:color w:val="6D6E71"/>
          <w:spacing w:val="-10"/>
          <w:w w:val="105"/>
          <w:sz w:val="14"/>
        </w:rPr>
        <w:t> </w:t>
      </w:r>
      <w:r>
        <w:rPr>
          <w:rFonts w:ascii="Lucida Sans Unicode"/>
          <w:color w:val="6D6E71"/>
          <w:w w:val="105"/>
          <w:sz w:val="14"/>
        </w:rPr>
        <w:t>in</w:t>
      </w:r>
      <w:r>
        <w:rPr>
          <w:rFonts w:ascii="Lucida Sans Unicode"/>
          <w:color w:val="6D6E71"/>
          <w:spacing w:val="-10"/>
          <w:w w:val="105"/>
          <w:sz w:val="14"/>
        </w:rPr>
        <w:t> </w:t>
      </w:r>
      <w:r>
        <w:rPr>
          <w:rFonts w:ascii="Lucida Sans Unicode"/>
          <w:color w:val="6D6E71"/>
          <w:w w:val="105"/>
          <w:sz w:val="14"/>
        </w:rPr>
        <w:t>the</w:t>
      </w:r>
      <w:r>
        <w:rPr>
          <w:rFonts w:ascii="Lucida Sans Unicode"/>
          <w:color w:val="6D6E71"/>
          <w:spacing w:val="-10"/>
          <w:w w:val="105"/>
          <w:sz w:val="14"/>
        </w:rPr>
        <w:t> </w:t>
      </w:r>
      <w:r>
        <w:rPr>
          <w:rFonts w:ascii="Lucida Sans Unicode"/>
          <w:color w:val="6D6E71"/>
          <w:w w:val="105"/>
          <w:sz w:val="14"/>
        </w:rPr>
        <w:t>United</w:t>
      </w:r>
      <w:r>
        <w:rPr>
          <w:rFonts w:ascii="Lucida Sans Unicode"/>
          <w:color w:val="6D6E71"/>
          <w:spacing w:val="-10"/>
          <w:w w:val="105"/>
          <w:sz w:val="14"/>
        </w:rPr>
        <w:t> </w:t>
      </w:r>
      <w:r>
        <w:rPr>
          <w:rFonts w:ascii="Lucida Sans Unicode"/>
          <w:color w:val="6D6E71"/>
          <w:spacing w:val="-3"/>
          <w:w w:val="105"/>
          <w:sz w:val="14"/>
        </w:rPr>
        <w:t>states</w:t>
      </w:r>
      <w:r>
        <w:rPr>
          <w:rFonts w:ascii="Arial"/>
          <w:color w:val="414042"/>
          <w:spacing w:val="-3"/>
          <w:w w:val="105"/>
          <w:position w:val="-3"/>
          <w:sz w:val="20"/>
        </w:rPr>
        <w:tab/>
      </w:r>
      <w:r>
        <w:rPr>
          <w:rFonts w:ascii="Arial"/>
          <w:color w:val="414042"/>
          <w:w w:val="105"/>
          <w:position w:val="-3"/>
          <w:sz w:val="20"/>
        </w:rPr>
        <w:t>57</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financial support to their families and that obtaining a college degree could help them do so successfully.</w:t>
      </w:r>
    </w:p>
    <w:p>
      <w:pPr>
        <w:pStyle w:val="BodyText"/>
        <w:spacing w:line="261" w:lineRule="auto" w:before="1"/>
        <w:ind w:left="1837" w:right="1716" w:firstLine="567"/>
        <w:jc w:val="both"/>
      </w:pPr>
      <w:r>
        <w:rPr>
          <w:color w:val="231F20"/>
          <w:w w:val="105"/>
        </w:rPr>
        <w:t>Hispanic</w:t>
      </w:r>
      <w:r>
        <w:rPr>
          <w:color w:val="231F20"/>
          <w:spacing w:val="-9"/>
          <w:w w:val="105"/>
        </w:rPr>
        <w:t> </w:t>
      </w:r>
      <w:r>
        <w:rPr>
          <w:color w:val="231F20"/>
          <w:w w:val="105"/>
        </w:rPr>
        <w:t>families</w:t>
      </w:r>
      <w:r>
        <w:rPr>
          <w:color w:val="231F20"/>
          <w:spacing w:val="-9"/>
          <w:w w:val="105"/>
        </w:rPr>
        <w:t> </w:t>
      </w:r>
      <w:r>
        <w:rPr>
          <w:color w:val="231F20"/>
          <w:w w:val="105"/>
        </w:rPr>
        <w:t>are</w:t>
      </w:r>
      <w:r>
        <w:rPr>
          <w:color w:val="231F20"/>
          <w:spacing w:val="-9"/>
          <w:w w:val="105"/>
        </w:rPr>
        <w:t> </w:t>
      </w:r>
      <w:r>
        <w:rPr>
          <w:color w:val="231F20"/>
          <w:w w:val="105"/>
        </w:rPr>
        <w:t>predominantly</w:t>
      </w:r>
      <w:r>
        <w:rPr>
          <w:color w:val="231F20"/>
          <w:spacing w:val="-9"/>
          <w:w w:val="105"/>
        </w:rPr>
        <w:t> </w:t>
      </w:r>
      <w:r>
        <w:rPr>
          <w:color w:val="231F20"/>
          <w:w w:val="105"/>
        </w:rPr>
        <w:t>composed</w:t>
      </w:r>
      <w:r>
        <w:rPr>
          <w:color w:val="231F20"/>
          <w:spacing w:val="-9"/>
          <w:w w:val="105"/>
        </w:rPr>
        <w:t> </w:t>
      </w:r>
      <w:r>
        <w:rPr>
          <w:color w:val="231F20"/>
          <w:w w:val="105"/>
        </w:rPr>
        <w:t>of</w:t>
      </w:r>
      <w:r>
        <w:rPr>
          <w:color w:val="231F20"/>
          <w:spacing w:val="-4"/>
          <w:w w:val="105"/>
        </w:rPr>
        <w:t> </w:t>
      </w:r>
      <w:r>
        <w:rPr>
          <w:color w:val="231F20"/>
          <w:w w:val="105"/>
        </w:rPr>
        <w:t>two-parent</w:t>
      </w:r>
      <w:r>
        <w:rPr>
          <w:color w:val="231F20"/>
          <w:spacing w:val="-9"/>
          <w:w w:val="105"/>
        </w:rPr>
        <w:t> </w:t>
      </w:r>
      <w:r>
        <w:rPr>
          <w:color w:val="231F20"/>
          <w:w w:val="105"/>
        </w:rPr>
        <w:t>hou- seholds which is an attribute for school success. </w:t>
      </w:r>
      <w:r>
        <w:rPr>
          <w:color w:val="231F20"/>
          <w:spacing w:val="-3"/>
          <w:w w:val="105"/>
        </w:rPr>
        <w:t>Parental </w:t>
      </w:r>
      <w:r>
        <w:rPr>
          <w:color w:val="231F20"/>
          <w:w w:val="105"/>
        </w:rPr>
        <w:t>involvement in their children’s schooling and children’s educational outcomes may be affected by family structure and family dynamics. Coltrane, </w:t>
      </w:r>
      <w:r>
        <w:rPr>
          <w:color w:val="231F20"/>
          <w:spacing w:val="-3"/>
          <w:w w:val="105"/>
        </w:rPr>
        <w:t>Parke, </w:t>
      </w:r>
      <w:r>
        <w:rPr>
          <w:color w:val="231F20"/>
          <w:w w:val="105"/>
        </w:rPr>
        <w:t>and Adams (2004) found that low income Mexican American fathers in two-parent households were more involved in monitoring and interac- ting with their children if there was a stronger sense of familism and co- hesion within the family which led to more frequent father-child interac- tions.</w:t>
      </w:r>
      <w:r>
        <w:rPr>
          <w:color w:val="231F20"/>
          <w:spacing w:val="-18"/>
          <w:w w:val="105"/>
        </w:rPr>
        <w:t> </w:t>
      </w:r>
      <w:r>
        <w:rPr>
          <w:color w:val="231F20"/>
          <w:w w:val="105"/>
        </w:rPr>
        <w:t>Researchers</w:t>
      </w:r>
      <w:r>
        <w:rPr>
          <w:color w:val="231F20"/>
          <w:spacing w:val="-13"/>
          <w:w w:val="105"/>
        </w:rPr>
        <w:t> </w:t>
      </w:r>
      <w:r>
        <w:rPr>
          <w:color w:val="231F20"/>
          <w:w w:val="105"/>
        </w:rPr>
        <w:t>also</w:t>
      </w:r>
      <w:r>
        <w:rPr>
          <w:color w:val="231F20"/>
          <w:spacing w:val="-13"/>
          <w:w w:val="105"/>
        </w:rPr>
        <w:t> </w:t>
      </w:r>
      <w:r>
        <w:rPr>
          <w:color w:val="231F20"/>
          <w:w w:val="105"/>
        </w:rPr>
        <w:t>found</w:t>
      </w:r>
      <w:r>
        <w:rPr>
          <w:color w:val="231F20"/>
          <w:spacing w:val="-13"/>
          <w:w w:val="105"/>
        </w:rPr>
        <w:t> </w:t>
      </w:r>
      <w:r>
        <w:rPr>
          <w:color w:val="231F20"/>
          <w:w w:val="105"/>
        </w:rPr>
        <w:t>that</w:t>
      </w:r>
      <w:r>
        <w:rPr>
          <w:color w:val="231F20"/>
          <w:spacing w:val="-13"/>
          <w:w w:val="105"/>
        </w:rPr>
        <w:t> </w:t>
      </w:r>
      <w:r>
        <w:rPr>
          <w:color w:val="231F20"/>
          <w:w w:val="105"/>
        </w:rPr>
        <w:t>apart</w:t>
      </w:r>
      <w:r>
        <w:rPr>
          <w:color w:val="231F20"/>
          <w:spacing w:val="-13"/>
          <w:w w:val="105"/>
        </w:rPr>
        <w:t> </w:t>
      </w:r>
      <w:r>
        <w:rPr>
          <w:color w:val="231F20"/>
          <w:w w:val="105"/>
        </w:rPr>
        <w:t>from</w:t>
      </w:r>
      <w:r>
        <w:rPr>
          <w:color w:val="231F20"/>
          <w:spacing w:val="-13"/>
          <w:w w:val="105"/>
        </w:rPr>
        <w:t> </w:t>
      </w:r>
      <w:r>
        <w:rPr>
          <w:color w:val="231F20"/>
          <w:w w:val="105"/>
        </w:rPr>
        <w:t>spending</w:t>
      </w:r>
      <w:r>
        <w:rPr>
          <w:color w:val="231F20"/>
          <w:spacing w:val="-13"/>
          <w:w w:val="105"/>
        </w:rPr>
        <w:t> </w:t>
      </w:r>
      <w:r>
        <w:rPr>
          <w:color w:val="231F20"/>
          <w:w w:val="105"/>
        </w:rPr>
        <w:t>more</w:t>
      </w:r>
      <w:r>
        <w:rPr>
          <w:color w:val="231F20"/>
          <w:spacing w:val="-13"/>
          <w:w w:val="105"/>
        </w:rPr>
        <w:t> </w:t>
      </w:r>
      <w:r>
        <w:rPr>
          <w:color w:val="231F20"/>
          <w:w w:val="105"/>
        </w:rPr>
        <w:t>time</w:t>
      </w:r>
      <w:r>
        <w:rPr>
          <w:color w:val="231F20"/>
          <w:spacing w:val="-13"/>
          <w:w w:val="105"/>
        </w:rPr>
        <w:t> </w:t>
      </w:r>
      <w:r>
        <w:rPr>
          <w:color w:val="231F20"/>
          <w:w w:val="105"/>
        </w:rPr>
        <w:t>taking care of children’s basic care needs and demands, mothers significantly spent more time with their children engaging in academics at home</w:t>
      </w:r>
      <w:r>
        <w:rPr>
          <w:color w:val="231F20"/>
          <w:spacing w:val="-35"/>
          <w:w w:val="105"/>
        </w:rPr>
        <w:t> </w:t>
      </w:r>
      <w:r>
        <w:rPr>
          <w:color w:val="231F20"/>
          <w:w w:val="105"/>
        </w:rPr>
        <w:t>and at</w:t>
      </w:r>
      <w:r>
        <w:rPr>
          <w:color w:val="231F20"/>
          <w:spacing w:val="-18"/>
          <w:w w:val="105"/>
        </w:rPr>
        <w:t> </w:t>
      </w:r>
      <w:r>
        <w:rPr>
          <w:color w:val="231F20"/>
          <w:w w:val="105"/>
        </w:rPr>
        <w:t>school</w:t>
      </w:r>
      <w:r>
        <w:rPr>
          <w:color w:val="231F20"/>
          <w:spacing w:val="-18"/>
          <w:w w:val="105"/>
        </w:rPr>
        <w:t> </w:t>
      </w:r>
      <w:r>
        <w:rPr>
          <w:color w:val="231F20"/>
          <w:w w:val="105"/>
        </w:rPr>
        <w:t>than</w:t>
      </w:r>
      <w:r>
        <w:rPr>
          <w:color w:val="231F20"/>
          <w:spacing w:val="-18"/>
          <w:w w:val="105"/>
        </w:rPr>
        <w:t> </w:t>
      </w:r>
      <w:r>
        <w:rPr>
          <w:color w:val="231F20"/>
          <w:w w:val="105"/>
        </w:rPr>
        <w:t>fathers</w:t>
      </w:r>
      <w:r>
        <w:rPr>
          <w:color w:val="231F20"/>
          <w:spacing w:val="-18"/>
          <w:w w:val="105"/>
        </w:rPr>
        <w:t> </w:t>
      </w:r>
      <w:r>
        <w:rPr>
          <w:color w:val="231F20"/>
          <w:w w:val="105"/>
        </w:rPr>
        <w:t>(Hossain</w:t>
      </w:r>
      <w:r>
        <w:rPr>
          <w:color w:val="231F20"/>
          <w:spacing w:val="-18"/>
          <w:w w:val="105"/>
        </w:rPr>
        <w:t> </w:t>
      </w:r>
      <w:r>
        <w:rPr>
          <w:color w:val="231F20"/>
          <w:w w:val="105"/>
        </w:rPr>
        <w:t>and</w:t>
      </w:r>
      <w:r>
        <w:rPr>
          <w:color w:val="231F20"/>
          <w:spacing w:val="-18"/>
          <w:w w:val="105"/>
        </w:rPr>
        <w:t> </w:t>
      </w:r>
      <w:r>
        <w:rPr>
          <w:color w:val="231F20"/>
          <w:w w:val="105"/>
        </w:rPr>
        <w:t>Shipman,</w:t>
      </w:r>
      <w:r>
        <w:rPr>
          <w:color w:val="231F20"/>
          <w:spacing w:val="-22"/>
          <w:w w:val="105"/>
        </w:rPr>
        <w:t> </w:t>
      </w:r>
      <w:r>
        <w:rPr>
          <w:color w:val="231F20"/>
          <w:w w:val="105"/>
        </w:rPr>
        <w:t>2009).</w:t>
      </w:r>
      <w:r>
        <w:rPr>
          <w:color w:val="231F20"/>
          <w:spacing w:val="-22"/>
          <w:w w:val="105"/>
        </w:rPr>
        <w:t> </w:t>
      </w:r>
      <w:r>
        <w:rPr>
          <w:color w:val="231F20"/>
          <w:w w:val="105"/>
        </w:rPr>
        <w:t>Scholars</w:t>
      </w:r>
      <w:r>
        <w:rPr>
          <w:color w:val="231F20"/>
          <w:spacing w:val="-18"/>
          <w:w w:val="105"/>
        </w:rPr>
        <w:t> </w:t>
      </w:r>
      <w:r>
        <w:rPr>
          <w:color w:val="231F20"/>
          <w:w w:val="105"/>
        </w:rPr>
        <w:t>argue</w:t>
      </w:r>
      <w:r>
        <w:rPr>
          <w:color w:val="231F20"/>
          <w:spacing w:val="-18"/>
          <w:w w:val="105"/>
        </w:rPr>
        <w:t> </w:t>
      </w:r>
      <w:r>
        <w:rPr>
          <w:color w:val="231F20"/>
          <w:w w:val="105"/>
        </w:rPr>
        <w:t>that parent</w:t>
      </w:r>
      <w:r>
        <w:rPr>
          <w:color w:val="231F20"/>
          <w:spacing w:val="-17"/>
          <w:w w:val="105"/>
        </w:rPr>
        <w:t> </w:t>
      </w:r>
      <w:r>
        <w:rPr>
          <w:color w:val="231F20"/>
          <w:w w:val="105"/>
        </w:rPr>
        <w:t>interaction</w:t>
      </w:r>
      <w:r>
        <w:rPr>
          <w:color w:val="231F20"/>
          <w:spacing w:val="-17"/>
          <w:w w:val="105"/>
        </w:rPr>
        <w:t> </w:t>
      </w:r>
      <w:r>
        <w:rPr>
          <w:color w:val="231F20"/>
          <w:w w:val="105"/>
        </w:rPr>
        <w:t>and</w:t>
      </w:r>
      <w:r>
        <w:rPr>
          <w:color w:val="231F20"/>
          <w:spacing w:val="-17"/>
          <w:w w:val="105"/>
        </w:rPr>
        <w:t> </w:t>
      </w:r>
      <w:r>
        <w:rPr>
          <w:color w:val="231F20"/>
          <w:w w:val="105"/>
        </w:rPr>
        <w:t>involvement</w:t>
      </w:r>
      <w:r>
        <w:rPr>
          <w:color w:val="231F20"/>
          <w:spacing w:val="-17"/>
          <w:w w:val="105"/>
        </w:rPr>
        <w:t> </w:t>
      </w:r>
      <w:r>
        <w:rPr>
          <w:color w:val="231F20"/>
          <w:w w:val="105"/>
        </w:rPr>
        <w:t>in</w:t>
      </w:r>
      <w:r>
        <w:rPr>
          <w:color w:val="231F20"/>
          <w:spacing w:val="-17"/>
          <w:w w:val="105"/>
        </w:rPr>
        <w:t> </w:t>
      </w:r>
      <w:r>
        <w:rPr>
          <w:color w:val="231F20"/>
          <w:w w:val="105"/>
        </w:rPr>
        <w:t>children’s</w:t>
      </w:r>
      <w:r>
        <w:rPr>
          <w:color w:val="231F20"/>
          <w:spacing w:val="-17"/>
          <w:w w:val="105"/>
        </w:rPr>
        <w:t> </w:t>
      </w:r>
      <w:r>
        <w:rPr>
          <w:color w:val="231F20"/>
          <w:w w:val="105"/>
        </w:rPr>
        <w:t>learning</w:t>
      </w:r>
      <w:r>
        <w:rPr>
          <w:color w:val="231F20"/>
          <w:spacing w:val="-17"/>
          <w:w w:val="105"/>
        </w:rPr>
        <w:t> </w:t>
      </w:r>
      <w:r>
        <w:rPr>
          <w:color w:val="231F20"/>
          <w:w w:val="105"/>
        </w:rPr>
        <w:t>activities</w:t>
      </w:r>
      <w:r>
        <w:rPr>
          <w:color w:val="231F20"/>
          <w:spacing w:val="-17"/>
          <w:w w:val="105"/>
        </w:rPr>
        <w:t> </w:t>
      </w:r>
      <w:r>
        <w:rPr>
          <w:color w:val="231F20"/>
          <w:w w:val="105"/>
        </w:rPr>
        <w:t>can</w:t>
      </w:r>
      <w:r>
        <w:rPr>
          <w:color w:val="231F20"/>
          <w:spacing w:val="-17"/>
          <w:w w:val="105"/>
        </w:rPr>
        <w:t> </w:t>
      </w:r>
      <w:r>
        <w:rPr>
          <w:color w:val="231F20"/>
          <w:w w:val="105"/>
        </w:rPr>
        <w:t>in- directly</w:t>
      </w:r>
      <w:r>
        <w:rPr>
          <w:color w:val="231F20"/>
          <w:spacing w:val="-15"/>
          <w:w w:val="105"/>
        </w:rPr>
        <w:t> </w:t>
      </w:r>
      <w:r>
        <w:rPr>
          <w:color w:val="231F20"/>
          <w:w w:val="105"/>
        </w:rPr>
        <w:t>improve</w:t>
      </w:r>
      <w:r>
        <w:rPr>
          <w:color w:val="231F20"/>
          <w:spacing w:val="-15"/>
          <w:w w:val="105"/>
        </w:rPr>
        <w:t> </w:t>
      </w:r>
      <w:r>
        <w:rPr>
          <w:color w:val="231F20"/>
          <w:w w:val="105"/>
        </w:rPr>
        <w:t>children’s</w:t>
      </w:r>
      <w:r>
        <w:rPr>
          <w:color w:val="231F20"/>
          <w:spacing w:val="-15"/>
          <w:w w:val="105"/>
        </w:rPr>
        <w:t> </w:t>
      </w:r>
      <w:r>
        <w:rPr>
          <w:color w:val="231F20"/>
          <w:w w:val="105"/>
        </w:rPr>
        <w:t>academic</w:t>
      </w:r>
      <w:r>
        <w:rPr>
          <w:color w:val="231F20"/>
          <w:spacing w:val="-15"/>
          <w:w w:val="105"/>
        </w:rPr>
        <w:t> </w:t>
      </w:r>
      <w:r>
        <w:rPr>
          <w:color w:val="231F20"/>
          <w:w w:val="105"/>
        </w:rPr>
        <w:t>performance</w:t>
      </w:r>
      <w:r>
        <w:rPr>
          <w:color w:val="231F20"/>
          <w:spacing w:val="-15"/>
          <w:w w:val="105"/>
        </w:rPr>
        <w:t> </w:t>
      </w:r>
      <w:r>
        <w:rPr>
          <w:color w:val="231F20"/>
          <w:w w:val="105"/>
        </w:rPr>
        <w:t>and</w:t>
      </w:r>
      <w:r>
        <w:rPr>
          <w:color w:val="231F20"/>
          <w:spacing w:val="-15"/>
          <w:w w:val="105"/>
        </w:rPr>
        <w:t> </w:t>
      </w:r>
      <w:r>
        <w:rPr>
          <w:color w:val="231F20"/>
          <w:w w:val="105"/>
        </w:rPr>
        <w:t>increase</w:t>
      </w:r>
      <w:r>
        <w:rPr>
          <w:color w:val="231F20"/>
          <w:spacing w:val="-15"/>
          <w:w w:val="105"/>
        </w:rPr>
        <w:t> </w:t>
      </w:r>
      <w:r>
        <w:rPr>
          <w:color w:val="231F20"/>
          <w:w w:val="105"/>
        </w:rPr>
        <w:t>parental and</w:t>
      </w:r>
      <w:r>
        <w:rPr>
          <w:color w:val="231F20"/>
          <w:spacing w:val="-39"/>
          <w:w w:val="105"/>
        </w:rPr>
        <w:t> </w:t>
      </w:r>
      <w:r>
        <w:rPr>
          <w:color w:val="231F20"/>
          <w:w w:val="105"/>
        </w:rPr>
        <w:t>children’s</w:t>
      </w:r>
      <w:r>
        <w:rPr>
          <w:color w:val="231F20"/>
          <w:spacing w:val="-39"/>
          <w:w w:val="105"/>
        </w:rPr>
        <w:t> </w:t>
      </w:r>
      <w:r>
        <w:rPr>
          <w:color w:val="231F20"/>
          <w:w w:val="105"/>
        </w:rPr>
        <w:t>educational</w:t>
      </w:r>
      <w:r>
        <w:rPr>
          <w:color w:val="231F20"/>
          <w:spacing w:val="-39"/>
          <w:w w:val="105"/>
        </w:rPr>
        <w:t> </w:t>
      </w:r>
      <w:r>
        <w:rPr>
          <w:color w:val="231F20"/>
          <w:w w:val="105"/>
        </w:rPr>
        <w:t>expectations</w:t>
      </w:r>
      <w:r>
        <w:rPr>
          <w:color w:val="231F20"/>
          <w:spacing w:val="-39"/>
          <w:w w:val="105"/>
        </w:rPr>
        <w:t> </w:t>
      </w:r>
      <w:r>
        <w:rPr>
          <w:color w:val="231F20"/>
          <w:w w:val="105"/>
        </w:rPr>
        <w:t>(Hao</w:t>
      </w:r>
      <w:r>
        <w:rPr>
          <w:color w:val="231F20"/>
          <w:spacing w:val="-39"/>
          <w:w w:val="105"/>
        </w:rPr>
        <w:t> </w:t>
      </w:r>
      <w:r>
        <w:rPr>
          <w:color w:val="231F20"/>
          <w:w w:val="105"/>
        </w:rPr>
        <w:t>and</w:t>
      </w:r>
      <w:r>
        <w:rPr>
          <w:color w:val="231F20"/>
          <w:spacing w:val="-39"/>
          <w:w w:val="105"/>
        </w:rPr>
        <w:t> </w:t>
      </w:r>
      <w:r>
        <w:rPr>
          <w:color w:val="231F20"/>
          <w:w w:val="105"/>
        </w:rPr>
        <w:t>Bonstead-Bruns,</w:t>
      </w:r>
      <w:r>
        <w:rPr>
          <w:color w:val="231F20"/>
          <w:spacing w:val="-42"/>
          <w:w w:val="105"/>
        </w:rPr>
        <w:t> </w:t>
      </w:r>
      <w:r>
        <w:rPr>
          <w:color w:val="231F20"/>
          <w:w w:val="105"/>
        </w:rPr>
        <w:t>1998). Hispanic</w:t>
      </w:r>
      <w:r>
        <w:rPr>
          <w:color w:val="231F20"/>
          <w:spacing w:val="-17"/>
          <w:w w:val="105"/>
        </w:rPr>
        <w:t> </w:t>
      </w:r>
      <w:r>
        <w:rPr>
          <w:color w:val="231F20"/>
          <w:w w:val="105"/>
        </w:rPr>
        <w:t>students’</w:t>
      </w:r>
      <w:r>
        <w:rPr>
          <w:color w:val="231F20"/>
          <w:spacing w:val="-17"/>
          <w:w w:val="105"/>
        </w:rPr>
        <w:t> </w:t>
      </w:r>
      <w:r>
        <w:rPr>
          <w:color w:val="231F20"/>
          <w:w w:val="105"/>
        </w:rPr>
        <w:t>educational</w:t>
      </w:r>
      <w:r>
        <w:rPr>
          <w:color w:val="231F20"/>
          <w:spacing w:val="-17"/>
          <w:w w:val="105"/>
        </w:rPr>
        <w:t> </w:t>
      </w:r>
      <w:r>
        <w:rPr>
          <w:color w:val="231F20"/>
          <w:w w:val="105"/>
        </w:rPr>
        <w:t>aspirations</w:t>
      </w:r>
      <w:r>
        <w:rPr>
          <w:color w:val="231F20"/>
          <w:spacing w:val="-17"/>
          <w:w w:val="105"/>
        </w:rPr>
        <w:t> </w:t>
      </w:r>
      <w:r>
        <w:rPr>
          <w:color w:val="231F20"/>
          <w:w w:val="105"/>
        </w:rPr>
        <w:t>and</w:t>
      </w:r>
      <w:r>
        <w:rPr>
          <w:color w:val="231F20"/>
          <w:spacing w:val="-17"/>
          <w:w w:val="105"/>
        </w:rPr>
        <w:t> </w:t>
      </w:r>
      <w:r>
        <w:rPr>
          <w:color w:val="231F20"/>
          <w:w w:val="105"/>
        </w:rPr>
        <w:t>expectations</w:t>
      </w:r>
      <w:r>
        <w:rPr>
          <w:color w:val="231F20"/>
          <w:spacing w:val="-17"/>
          <w:w w:val="105"/>
        </w:rPr>
        <w:t> </w:t>
      </w:r>
      <w:r>
        <w:rPr>
          <w:color w:val="231F20"/>
          <w:w w:val="105"/>
        </w:rPr>
        <w:t>may</w:t>
      </w:r>
      <w:r>
        <w:rPr>
          <w:color w:val="231F20"/>
          <w:spacing w:val="-17"/>
          <w:w w:val="105"/>
        </w:rPr>
        <w:t> </w:t>
      </w:r>
      <w:r>
        <w:rPr>
          <w:color w:val="231F20"/>
          <w:w w:val="105"/>
        </w:rPr>
        <w:t>be</w:t>
      </w:r>
      <w:r>
        <w:rPr>
          <w:color w:val="231F20"/>
          <w:spacing w:val="-17"/>
          <w:w w:val="105"/>
        </w:rPr>
        <w:t> </w:t>
      </w:r>
      <w:r>
        <w:rPr>
          <w:color w:val="231F20"/>
          <w:w w:val="105"/>
        </w:rPr>
        <w:t>me- diated through family dynamics and communication which can impact educational</w:t>
      </w:r>
      <w:r>
        <w:rPr>
          <w:color w:val="231F20"/>
          <w:spacing w:val="-24"/>
          <w:w w:val="105"/>
        </w:rPr>
        <w:t> </w:t>
      </w:r>
      <w:r>
        <w:rPr>
          <w:color w:val="231F20"/>
          <w:w w:val="105"/>
        </w:rPr>
        <w:t>outcomes.</w:t>
      </w:r>
      <w:r>
        <w:rPr>
          <w:color w:val="231F20"/>
          <w:spacing w:val="-28"/>
          <w:w w:val="105"/>
        </w:rPr>
        <w:t> </w:t>
      </w:r>
      <w:r>
        <w:rPr>
          <w:color w:val="231F20"/>
          <w:w w:val="105"/>
        </w:rPr>
        <w:t>Immigrant</w:t>
      </w:r>
      <w:r>
        <w:rPr>
          <w:color w:val="231F20"/>
          <w:spacing w:val="-24"/>
          <w:w w:val="105"/>
        </w:rPr>
        <w:t> </w:t>
      </w:r>
      <w:r>
        <w:rPr>
          <w:color w:val="231F20"/>
          <w:w w:val="105"/>
        </w:rPr>
        <w:t>parents</w:t>
      </w:r>
      <w:r>
        <w:rPr>
          <w:color w:val="231F20"/>
          <w:spacing w:val="-24"/>
          <w:w w:val="105"/>
        </w:rPr>
        <w:t> </w:t>
      </w:r>
      <w:r>
        <w:rPr>
          <w:color w:val="231F20"/>
          <w:w w:val="105"/>
        </w:rPr>
        <w:t>often</w:t>
      </w:r>
      <w:r>
        <w:rPr>
          <w:color w:val="231F20"/>
          <w:spacing w:val="-24"/>
          <w:w w:val="105"/>
        </w:rPr>
        <w:t> </w:t>
      </w:r>
      <w:r>
        <w:rPr>
          <w:color w:val="231F20"/>
          <w:w w:val="105"/>
        </w:rPr>
        <w:t>send</w:t>
      </w:r>
      <w:r>
        <w:rPr>
          <w:color w:val="231F20"/>
          <w:spacing w:val="-24"/>
          <w:w w:val="105"/>
        </w:rPr>
        <w:t> </w:t>
      </w:r>
      <w:r>
        <w:rPr>
          <w:color w:val="231F20"/>
          <w:w w:val="105"/>
        </w:rPr>
        <w:t>messages</w:t>
      </w:r>
      <w:r>
        <w:rPr>
          <w:color w:val="231F20"/>
          <w:spacing w:val="-24"/>
          <w:w w:val="105"/>
        </w:rPr>
        <w:t> </w:t>
      </w:r>
      <w:r>
        <w:rPr>
          <w:color w:val="231F20"/>
          <w:w w:val="105"/>
        </w:rPr>
        <w:t>about</w:t>
      </w:r>
      <w:r>
        <w:rPr>
          <w:color w:val="231F20"/>
          <w:spacing w:val="-24"/>
          <w:w w:val="105"/>
        </w:rPr>
        <w:t> </w:t>
      </w:r>
      <w:r>
        <w:rPr>
          <w:color w:val="231F20"/>
          <w:w w:val="105"/>
        </w:rPr>
        <w:t>hi- gher education positively reinforcing their children’s educational aspira- tions</w:t>
      </w:r>
      <w:r>
        <w:rPr>
          <w:color w:val="231F20"/>
          <w:spacing w:val="-23"/>
          <w:w w:val="105"/>
        </w:rPr>
        <w:t> </w:t>
      </w:r>
      <w:r>
        <w:rPr>
          <w:color w:val="231F20"/>
          <w:w w:val="105"/>
        </w:rPr>
        <w:t>and</w:t>
      </w:r>
      <w:r>
        <w:rPr>
          <w:color w:val="231F20"/>
          <w:spacing w:val="-23"/>
          <w:w w:val="105"/>
        </w:rPr>
        <w:t> </w:t>
      </w:r>
      <w:r>
        <w:rPr>
          <w:color w:val="231F20"/>
          <w:w w:val="105"/>
        </w:rPr>
        <w:t>expectations.</w:t>
      </w:r>
      <w:r>
        <w:rPr>
          <w:color w:val="231F20"/>
          <w:spacing w:val="-28"/>
          <w:w w:val="105"/>
        </w:rPr>
        <w:t> </w:t>
      </w:r>
      <w:r>
        <w:rPr>
          <w:color w:val="231F20"/>
          <w:spacing w:val="-4"/>
          <w:w w:val="105"/>
        </w:rPr>
        <w:t>For</w:t>
      </w:r>
      <w:r>
        <w:rPr>
          <w:color w:val="231F20"/>
          <w:spacing w:val="-23"/>
          <w:w w:val="105"/>
        </w:rPr>
        <w:t> </w:t>
      </w:r>
      <w:r>
        <w:rPr>
          <w:color w:val="231F20"/>
          <w:w w:val="105"/>
        </w:rPr>
        <w:t>example,</w:t>
      </w:r>
      <w:r>
        <w:rPr>
          <w:color w:val="231F20"/>
          <w:spacing w:val="-28"/>
          <w:w w:val="105"/>
        </w:rPr>
        <w:t> </w:t>
      </w:r>
      <w:r>
        <w:rPr>
          <w:color w:val="231F20"/>
          <w:w w:val="105"/>
        </w:rPr>
        <w:t>Morando</w:t>
      </w:r>
      <w:r>
        <w:rPr>
          <w:color w:val="231F20"/>
          <w:spacing w:val="-23"/>
          <w:w w:val="105"/>
        </w:rPr>
        <w:t> </w:t>
      </w:r>
      <w:r>
        <w:rPr>
          <w:color w:val="231F20"/>
          <w:w w:val="105"/>
        </w:rPr>
        <w:t>(2013)</w:t>
      </w:r>
      <w:r>
        <w:rPr>
          <w:color w:val="231F20"/>
          <w:spacing w:val="-23"/>
          <w:w w:val="105"/>
        </w:rPr>
        <w:t> </w:t>
      </w:r>
      <w:r>
        <w:rPr>
          <w:color w:val="231F20"/>
          <w:w w:val="105"/>
        </w:rPr>
        <w:t>found</w:t>
      </w:r>
      <w:r>
        <w:rPr>
          <w:color w:val="231F20"/>
          <w:spacing w:val="-23"/>
          <w:w w:val="105"/>
        </w:rPr>
        <w:t> </w:t>
      </w:r>
      <w:r>
        <w:rPr>
          <w:color w:val="231F20"/>
          <w:w w:val="105"/>
        </w:rPr>
        <w:t>that</w:t>
      </w:r>
      <w:r>
        <w:rPr>
          <w:color w:val="231F20"/>
          <w:spacing w:val="-23"/>
          <w:w w:val="105"/>
        </w:rPr>
        <w:t> </w:t>
      </w:r>
      <w:r>
        <w:rPr>
          <w:color w:val="231F20"/>
          <w:w w:val="105"/>
        </w:rPr>
        <w:t>Mexican immigrant parents encouraged their youth to work harder spurring the development of strong work ethics and commitment. </w:t>
      </w:r>
      <w:r>
        <w:rPr>
          <w:color w:val="231F20"/>
          <w:spacing w:val="-3"/>
          <w:w w:val="105"/>
        </w:rPr>
        <w:t>Parents’</w:t>
      </w:r>
      <w:r>
        <w:rPr>
          <w:color w:val="231F20"/>
          <w:spacing w:val="-35"/>
          <w:w w:val="105"/>
        </w:rPr>
        <w:t> </w:t>
      </w:r>
      <w:r>
        <w:rPr>
          <w:color w:val="231F20"/>
          <w:w w:val="105"/>
        </w:rPr>
        <w:t>emotional and</w:t>
      </w:r>
      <w:r>
        <w:rPr>
          <w:color w:val="231F20"/>
          <w:spacing w:val="-8"/>
          <w:w w:val="105"/>
        </w:rPr>
        <w:t> </w:t>
      </w:r>
      <w:r>
        <w:rPr>
          <w:color w:val="231F20"/>
          <w:w w:val="105"/>
        </w:rPr>
        <w:t>behavioral</w:t>
      </w:r>
      <w:r>
        <w:rPr>
          <w:color w:val="231F20"/>
          <w:spacing w:val="-8"/>
          <w:w w:val="105"/>
        </w:rPr>
        <w:t> </w:t>
      </w:r>
      <w:r>
        <w:rPr>
          <w:color w:val="231F20"/>
          <w:w w:val="105"/>
        </w:rPr>
        <w:t>support</w:t>
      </w:r>
      <w:r>
        <w:rPr>
          <w:color w:val="231F20"/>
          <w:spacing w:val="-8"/>
          <w:w w:val="105"/>
        </w:rPr>
        <w:t> </w:t>
      </w:r>
      <w:r>
        <w:rPr>
          <w:color w:val="231F20"/>
          <w:w w:val="105"/>
        </w:rPr>
        <w:t>can</w:t>
      </w:r>
      <w:r>
        <w:rPr>
          <w:color w:val="231F20"/>
          <w:spacing w:val="-8"/>
          <w:w w:val="105"/>
        </w:rPr>
        <w:t> </w:t>
      </w:r>
      <w:r>
        <w:rPr>
          <w:color w:val="231F20"/>
          <w:w w:val="105"/>
        </w:rPr>
        <w:t>serve</w:t>
      </w:r>
      <w:r>
        <w:rPr>
          <w:color w:val="231F20"/>
          <w:spacing w:val="-8"/>
          <w:w w:val="105"/>
        </w:rPr>
        <w:t> </w:t>
      </w:r>
      <w:r>
        <w:rPr>
          <w:color w:val="231F20"/>
          <w:w w:val="105"/>
        </w:rPr>
        <w:t>as</w:t>
      </w:r>
      <w:r>
        <w:rPr>
          <w:color w:val="231F20"/>
          <w:spacing w:val="-8"/>
          <w:w w:val="105"/>
        </w:rPr>
        <w:t> </w:t>
      </w:r>
      <w:r>
        <w:rPr>
          <w:color w:val="231F20"/>
          <w:w w:val="105"/>
        </w:rPr>
        <w:t>sources</w:t>
      </w:r>
      <w:r>
        <w:rPr>
          <w:color w:val="231F20"/>
          <w:spacing w:val="-8"/>
          <w:w w:val="105"/>
        </w:rPr>
        <w:t> </w:t>
      </w:r>
      <w:r>
        <w:rPr>
          <w:color w:val="231F20"/>
          <w:w w:val="105"/>
        </w:rPr>
        <w:t>of</w:t>
      </w:r>
      <w:r>
        <w:rPr>
          <w:color w:val="231F20"/>
          <w:spacing w:val="-4"/>
          <w:w w:val="105"/>
        </w:rPr>
        <w:t> </w:t>
      </w:r>
      <w:r>
        <w:rPr>
          <w:color w:val="231F20"/>
          <w:w w:val="105"/>
        </w:rPr>
        <w:t>encouragement</w:t>
      </w:r>
      <w:r>
        <w:rPr>
          <w:color w:val="231F20"/>
          <w:spacing w:val="-8"/>
          <w:w w:val="105"/>
        </w:rPr>
        <w:t> </w:t>
      </w:r>
      <w:r>
        <w:rPr>
          <w:color w:val="231F20"/>
          <w:w w:val="105"/>
        </w:rPr>
        <w:t>for</w:t>
      </w:r>
      <w:r>
        <w:rPr>
          <w:color w:val="231F20"/>
          <w:spacing w:val="-8"/>
          <w:w w:val="105"/>
        </w:rPr>
        <w:t> </w:t>
      </w:r>
      <w:r>
        <w:rPr>
          <w:color w:val="231F20"/>
          <w:w w:val="105"/>
        </w:rPr>
        <w:t>chil- dren,</w:t>
      </w:r>
      <w:r>
        <w:rPr>
          <w:color w:val="231F20"/>
          <w:spacing w:val="-34"/>
          <w:w w:val="105"/>
        </w:rPr>
        <w:t> </w:t>
      </w:r>
      <w:r>
        <w:rPr>
          <w:color w:val="231F20"/>
          <w:w w:val="105"/>
        </w:rPr>
        <w:t>driving</w:t>
      </w:r>
      <w:r>
        <w:rPr>
          <w:color w:val="231F20"/>
          <w:spacing w:val="-30"/>
          <w:w w:val="105"/>
        </w:rPr>
        <w:t> </w:t>
      </w:r>
      <w:r>
        <w:rPr>
          <w:color w:val="231F20"/>
          <w:w w:val="105"/>
        </w:rPr>
        <w:t>youths’</w:t>
      </w:r>
      <w:r>
        <w:rPr>
          <w:color w:val="231F20"/>
          <w:spacing w:val="-30"/>
          <w:w w:val="105"/>
        </w:rPr>
        <w:t> </w:t>
      </w:r>
      <w:r>
        <w:rPr>
          <w:color w:val="231F20"/>
          <w:w w:val="105"/>
        </w:rPr>
        <w:t>academic</w:t>
      </w:r>
      <w:r>
        <w:rPr>
          <w:color w:val="231F20"/>
          <w:spacing w:val="-30"/>
          <w:w w:val="105"/>
        </w:rPr>
        <w:t> </w:t>
      </w:r>
      <w:r>
        <w:rPr>
          <w:color w:val="231F20"/>
          <w:w w:val="105"/>
        </w:rPr>
        <w:t>success</w:t>
      </w:r>
      <w:r>
        <w:rPr>
          <w:color w:val="231F20"/>
          <w:spacing w:val="-30"/>
          <w:w w:val="105"/>
        </w:rPr>
        <w:t> </w:t>
      </w:r>
      <w:r>
        <w:rPr>
          <w:color w:val="231F20"/>
          <w:w w:val="105"/>
        </w:rPr>
        <w:t>forward</w:t>
      </w:r>
      <w:r>
        <w:rPr>
          <w:color w:val="231F20"/>
          <w:spacing w:val="-30"/>
          <w:w w:val="105"/>
        </w:rPr>
        <w:t> </w:t>
      </w:r>
      <w:r>
        <w:rPr>
          <w:color w:val="231F20"/>
          <w:w w:val="105"/>
        </w:rPr>
        <w:t>(Castellanos</w:t>
      </w:r>
      <w:r>
        <w:rPr>
          <w:color w:val="231F20"/>
          <w:spacing w:val="-30"/>
          <w:w w:val="105"/>
        </w:rPr>
        <w:t> </w:t>
      </w:r>
      <w:r>
        <w:rPr>
          <w:rFonts w:ascii="Arial" w:hAnsi="Arial"/>
          <w:i/>
          <w:color w:val="231F20"/>
          <w:w w:val="105"/>
        </w:rPr>
        <w:t>et</w:t>
      </w:r>
      <w:r>
        <w:rPr>
          <w:rFonts w:ascii="Arial" w:hAnsi="Arial"/>
          <w:i/>
          <w:color w:val="231F20"/>
          <w:spacing w:val="-32"/>
          <w:w w:val="105"/>
        </w:rPr>
        <w:t> </w:t>
      </w:r>
      <w:r>
        <w:rPr>
          <w:rFonts w:ascii="Arial" w:hAnsi="Arial"/>
          <w:i/>
          <w:color w:val="231F20"/>
          <w:w w:val="105"/>
        </w:rPr>
        <w:t>al</w:t>
      </w:r>
      <w:r>
        <w:rPr>
          <w:color w:val="231F20"/>
          <w:w w:val="105"/>
        </w:rPr>
        <w:t>.,</w:t>
      </w:r>
      <w:r>
        <w:rPr>
          <w:color w:val="231F20"/>
          <w:spacing w:val="-34"/>
          <w:w w:val="105"/>
        </w:rPr>
        <w:t> </w:t>
      </w:r>
      <w:r>
        <w:rPr>
          <w:color w:val="231F20"/>
          <w:w w:val="105"/>
        </w:rPr>
        <w:t>2013).</w:t>
      </w:r>
    </w:p>
    <w:p>
      <w:pPr>
        <w:pStyle w:val="BodyText"/>
        <w:rPr>
          <w:sz w:val="20"/>
        </w:rPr>
      </w:pPr>
    </w:p>
    <w:p>
      <w:pPr>
        <w:pStyle w:val="BodyText"/>
        <w:spacing w:before="9"/>
        <w:rPr>
          <w:sz w:val="20"/>
        </w:rPr>
      </w:pPr>
    </w:p>
    <w:p>
      <w:pPr>
        <w:pStyle w:val="Heading3"/>
      </w:pPr>
      <w:r>
        <w:rPr>
          <w:color w:val="231F20"/>
        </w:rPr>
        <w:t>The Immigrant Bargain</w:t>
      </w:r>
    </w:p>
    <w:p>
      <w:pPr>
        <w:pStyle w:val="BodyText"/>
        <w:rPr>
          <w:rFonts w:ascii="Arial"/>
          <w:b/>
          <w:sz w:val="22"/>
        </w:rPr>
      </w:pPr>
    </w:p>
    <w:p>
      <w:pPr>
        <w:pStyle w:val="BodyText"/>
        <w:spacing w:line="261" w:lineRule="auto" w:before="163"/>
        <w:ind w:left="1837" w:right="1715"/>
        <w:jc w:val="both"/>
      </w:pPr>
      <w:r>
        <w:rPr/>
        <w:pict>
          <v:line style="position:absolute;mso-position-horizontal-relative:page;mso-position-vertical-relative:paragraph;z-index:-484528" from="15pt,236.431885pt" to="0pt,236.431885pt" stroked="true" strokeweight=".25pt" strokecolor="#000000">
            <w10:wrap type="none"/>
          </v:line>
        </w:pict>
      </w:r>
      <w:r>
        <w:rPr/>
        <w:pict>
          <v:line style="position:absolute;mso-position-horizontal-relative:page;mso-position-vertical-relative:paragraph;z-index:5680" from="508.890015pt,236.431885pt" to="523.890015pt,236.431885pt" stroked="true" strokeweight=".25pt" strokecolor="#000000">
            <w10:wrap type="none"/>
          </v:line>
        </w:pict>
      </w:r>
      <w:r>
        <w:rPr>
          <w:color w:val="231F20"/>
          <w:w w:val="105"/>
        </w:rPr>
        <w:t>Although migration is influenced by many factors, the parents’ decision to migrate to the United States may be motivated by social and econo- mic</w:t>
      </w:r>
      <w:r>
        <w:rPr>
          <w:color w:val="231F20"/>
          <w:spacing w:val="-15"/>
          <w:w w:val="105"/>
        </w:rPr>
        <w:t> </w:t>
      </w:r>
      <w:r>
        <w:rPr>
          <w:color w:val="231F20"/>
          <w:w w:val="105"/>
        </w:rPr>
        <w:t>unrest</w:t>
      </w:r>
      <w:r>
        <w:rPr>
          <w:color w:val="231F20"/>
          <w:spacing w:val="-15"/>
          <w:w w:val="105"/>
        </w:rPr>
        <w:t> </w:t>
      </w:r>
      <w:r>
        <w:rPr>
          <w:color w:val="231F20"/>
          <w:w w:val="105"/>
        </w:rPr>
        <w:t>in</w:t>
      </w:r>
      <w:r>
        <w:rPr>
          <w:color w:val="231F20"/>
          <w:spacing w:val="-15"/>
          <w:w w:val="105"/>
        </w:rPr>
        <w:t> </w:t>
      </w:r>
      <w:r>
        <w:rPr>
          <w:color w:val="231F20"/>
          <w:w w:val="105"/>
        </w:rPr>
        <w:t>their</w:t>
      </w:r>
      <w:r>
        <w:rPr>
          <w:color w:val="231F20"/>
          <w:spacing w:val="-15"/>
          <w:w w:val="105"/>
        </w:rPr>
        <w:t> </w:t>
      </w:r>
      <w:r>
        <w:rPr>
          <w:color w:val="231F20"/>
          <w:w w:val="105"/>
        </w:rPr>
        <w:t>country</w:t>
      </w:r>
      <w:r>
        <w:rPr>
          <w:color w:val="231F20"/>
          <w:spacing w:val="-15"/>
          <w:w w:val="105"/>
        </w:rPr>
        <w:t> </w:t>
      </w:r>
      <w:r>
        <w:rPr>
          <w:color w:val="231F20"/>
          <w:w w:val="105"/>
        </w:rPr>
        <w:t>and</w:t>
      </w:r>
      <w:r>
        <w:rPr>
          <w:color w:val="231F20"/>
          <w:spacing w:val="-15"/>
          <w:w w:val="105"/>
        </w:rPr>
        <w:t> </w:t>
      </w:r>
      <w:r>
        <w:rPr>
          <w:color w:val="231F20"/>
          <w:w w:val="105"/>
        </w:rPr>
        <w:t>aspirations</w:t>
      </w:r>
      <w:r>
        <w:rPr>
          <w:color w:val="231F20"/>
          <w:spacing w:val="-15"/>
          <w:w w:val="105"/>
        </w:rPr>
        <w:t> </w:t>
      </w:r>
      <w:r>
        <w:rPr>
          <w:color w:val="231F20"/>
          <w:w w:val="105"/>
        </w:rPr>
        <w:t>for</w:t>
      </w:r>
      <w:r>
        <w:rPr>
          <w:color w:val="231F20"/>
          <w:spacing w:val="-15"/>
          <w:w w:val="105"/>
        </w:rPr>
        <w:t> </w:t>
      </w:r>
      <w:r>
        <w:rPr>
          <w:color w:val="231F20"/>
          <w:w w:val="105"/>
        </w:rPr>
        <w:t>their</w:t>
      </w:r>
      <w:r>
        <w:rPr>
          <w:color w:val="231F20"/>
          <w:spacing w:val="-15"/>
          <w:w w:val="105"/>
        </w:rPr>
        <w:t> </w:t>
      </w:r>
      <w:r>
        <w:rPr>
          <w:color w:val="231F20"/>
          <w:w w:val="105"/>
        </w:rPr>
        <w:t>children</w:t>
      </w:r>
      <w:r>
        <w:rPr>
          <w:color w:val="231F20"/>
          <w:spacing w:val="-15"/>
          <w:w w:val="105"/>
        </w:rPr>
        <w:t> </w:t>
      </w:r>
      <w:r>
        <w:rPr>
          <w:color w:val="231F20"/>
          <w:w w:val="105"/>
        </w:rPr>
        <w:t>(Massey,</w:t>
      </w:r>
      <w:r>
        <w:rPr>
          <w:color w:val="231F20"/>
          <w:spacing w:val="-20"/>
          <w:w w:val="105"/>
        </w:rPr>
        <w:t> </w:t>
      </w:r>
      <w:r>
        <w:rPr>
          <w:color w:val="231F20"/>
          <w:w w:val="105"/>
        </w:rPr>
        <w:t>Du- rand,</w:t>
      </w:r>
      <w:r>
        <w:rPr>
          <w:color w:val="231F20"/>
          <w:spacing w:val="-21"/>
          <w:w w:val="105"/>
        </w:rPr>
        <w:t> </w:t>
      </w:r>
      <w:r>
        <w:rPr>
          <w:color w:val="231F20"/>
          <w:w w:val="105"/>
        </w:rPr>
        <w:t>and</w:t>
      </w:r>
      <w:r>
        <w:rPr>
          <w:color w:val="231F20"/>
          <w:spacing w:val="-15"/>
          <w:w w:val="105"/>
        </w:rPr>
        <w:t> </w:t>
      </w:r>
      <w:r>
        <w:rPr>
          <w:color w:val="231F20"/>
          <w:w w:val="105"/>
        </w:rPr>
        <w:t>Malone,</w:t>
      </w:r>
      <w:r>
        <w:rPr>
          <w:color w:val="231F20"/>
          <w:spacing w:val="-21"/>
          <w:w w:val="105"/>
        </w:rPr>
        <w:t> </w:t>
      </w:r>
      <w:r>
        <w:rPr>
          <w:color w:val="231F20"/>
          <w:w w:val="105"/>
        </w:rPr>
        <w:t>2002;</w:t>
      </w:r>
      <w:r>
        <w:rPr>
          <w:color w:val="231F20"/>
          <w:spacing w:val="-19"/>
          <w:w w:val="105"/>
        </w:rPr>
        <w:t> </w:t>
      </w:r>
      <w:r>
        <w:rPr>
          <w:color w:val="231F20"/>
          <w:w w:val="105"/>
        </w:rPr>
        <w:t>Abrego,</w:t>
      </w:r>
      <w:r>
        <w:rPr>
          <w:color w:val="231F20"/>
          <w:spacing w:val="-21"/>
          <w:w w:val="105"/>
        </w:rPr>
        <w:t> </w:t>
      </w:r>
      <w:r>
        <w:rPr>
          <w:color w:val="231F20"/>
          <w:w w:val="105"/>
        </w:rPr>
        <w:t>2014).</w:t>
      </w:r>
      <w:r>
        <w:rPr>
          <w:color w:val="231F20"/>
          <w:spacing w:val="-21"/>
          <w:w w:val="105"/>
        </w:rPr>
        <w:t> </w:t>
      </w:r>
      <w:r>
        <w:rPr>
          <w:color w:val="231F20"/>
          <w:w w:val="105"/>
        </w:rPr>
        <w:t>Oral</w:t>
      </w:r>
      <w:r>
        <w:rPr>
          <w:color w:val="231F20"/>
          <w:spacing w:val="-15"/>
          <w:w w:val="105"/>
        </w:rPr>
        <w:t> </w:t>
      </w:r>
      <w:r>
        <w:rPr>
          <w:color w:val="231F20"/>
          <w:w w:val="105"/>
        </w:rPr>
        <w:t>histories</w:t>
      </w:r>
      <w:r>
        <w:rPr>
          <w:color w:val="231F20"/>
          <w:spacing w:val="-15"/>
          <w:w w:val="105"/>
        </w:rPr>
        <w:t> </w:t>
      </w:r>
      <w:r>
        <w:rPr>
          <w:color w:val="231F20"/>
          <w:w w:val="105"/>
        </w:rPr>
        <w:t>of</w:t>
      </w:r>
      <w:r>
        <w:rPr>
          <w:color w:val="231F20"/>
          <w:spacing w:val="-11"/>
          <w:w w:val="105"/>
        </w:rPr>
        <w:t> </w:t>
      </w:r>
      <w:r>
        <w:rPr>
          <w:color w:val="231F20"/>
          <w:w w:val="105"/>
        </w:rPr>
        <w:t>migration</w:t>
      </w:r>
      <w:r>
        <w:rPr>
          <w:color w:val="231F20"/>
          <w:spacing w:val="-15"/>
          <w:w w:val="105"/>
        </w:rPr>
        <w:t> </w:t>
      </w:r>
      <w:r>
        <w:rPr>
          <w:color w:val="231F20"/>
          <w:w w:val="105"/>
        </w:rPr>
        <w:t>expe- riences</w:t>
      </w:r>
      <w:r>
        <w:rPr>
          <w:color w:val="231F20"/>
          <w:spacing w:val="-8"/>
          <w:w w:val="105"/>
        </w:rPr>
        <w:t> </w:t>
      </w:r>
      <w:r>
        <w:rPr>
          <w:color w:val="231F20"/>
          <w:w w:val="105"/>
        </w:rPr>
        <w:t>and</w:t>
      </w:r>
      <w:r>
        <w:rPr>
          <w:color w:val="231F20"/>
          <w:spacing w:val="-8"/>
          <w:w w:val="105"/>
        </w:rPr>
        <w:t> </w:t>
      </w:r>
      <w:r>
        <w:rPr>
          <w:color w:val="231F20"/>
          <w:w w:val="105"/>
        </w:rPr>
        <w:t>decisions</w:t>
      </w:r>
      <w:r>
        <w:rPr>
          <w:color w:val="231F20"/>
          <w:spacing w:val="-8"/>
          <w:w w:val="105"/>
        </w:rPr>
        <w:t> </w:t>
      </w:r>
      <w:r>
        <w:rPr>
          <w:color w:val="231F20"/>
          <w:w w:val="105"/>
        </w:rPr>
        <w:t>are</w:t>
      </w:r>
      <w:r>
        <w:rPr>
          <w:color w:val="231F20"/>
          <w:spacing w:val="-8"/>
          <w:w w:val="105"/>
        </w:rPr>
        <w:t> </w:t>
      </w:r>
      <w:r>
        <w:rPr>
          <w:color w:val="231F20"/>
          <w:w w:val="105"/>
        </w:rPr>
        <w:t>passed</w:t>
      </w:r>
      <w:r>
        <w:rPr>
          <w:color w:val="231F20"/>
          <w:spacing w:val="-8"/>
          <w:w w:val="105"/>
        </w:rPr>
        <w:t> </w:t>
      </w:r>
      <w:r>
        <w:rPr>
          <w:color w:val="231F20"/>
          <w:w w:val="105"/>
        </w:rPr>
        <w:t>down</w:t>
      </w:r>
      <w:r>
        <w:rPr>
          <w:color w:val="231F20"/>
          <w:spacing w:val="-8"/>
          <w:w w:val="105"/>
        </w:rPr>
        <w:t> </w:t>
      </w:r>
      <w:r>
        <w:rPr>
          <w:color w:val="231F20"/>
          <w:w w:val="105"/>
        </w:rPr>
        <w:t>to</w:t>
      </w:r>
      <w:r>
        <w:rPr>
          <w:color w:val="231F20"/>
          <w:spacing w:val="-8"/>
          <w:w w:val="105"/>
        </w:rPr>
        <w:t> </w:t>
      </w:r>
      <w:r>
        <w:rPr>
          <w:color w:val="231F20"/>
          <w:w w:val="105"/>
        </w:rPr>
        <w:t>children</w:t>
      </w:r>
      <w:r>
        <w:rPr>
          <w:color w:val="231F20"/>
          <w:spacing w:val="-8"/>
          <w:w w:val="105"/>
        </w:rPr>
        <w:t> </w:t>
      </w:r>
      <w:r>
        <w:rPr>
          <w:color w:val="231F20"/>
          <w:w w:val="105"/>
        </w:rPr>
        <w:t>as</w:t>
      </w:r>
      <w:r>
        <w:rPr>
          <w:color w:val="231F20"/>
          <w:spacing w:val="-8"/>
          <w:w w:val="105"/>
        </w:rPr>
        <w:t> </w:t>
      </w:r>
      <w:r>
        <w:rPr>
          <w:color w:val="231F20"/>
          <w:w w:val="105"/>
        </w:rPr>
        <w:t>a</w:t>
      </w:r>
      <w:r>
        <w:rPr>
          <w:color w:val="231F20"/>
          <w:spacing w:val="-8"/>
          <w:w w:val="105"/>
        </w:rPr>
        <w:t> </w:t>
      </w:r>
      <w:r>
        <w:rPr>
          <w:color w:val="231F20"/>
          <w:w w:val="105"/>
        </w:rPr>
        <w:t>form</w:t>
      </w:r>
      <w:r>
        <w:rPr>
          <w:color w:val="231F20"/>
          <w:spacing w:val="-8"/>
          <w:w w:val="105"/>
        </w:rPr>
        <w:t> </w:t>
      </w:r>
      <w:r>
        <w:rPr>
          <w:color w:val="231F20"/>
          <w:w w:val="105"/>
        </w:rPr>
        <w:t>of</w:t>
      </w:r>
      <w:r>
        <w:rPr>
          <w:color w:val="231F20"/>
          <w:spacing w:val="-3"/>
          <w:w w:val="105"/>
        </w:rPr>
        <w:t> </w:t>
      </w:r>
      <w:r>
        <w:rPr>
          <w:color w:val="231F20"/>
          <w:w w:val="105"/>
        </w:rPr>
        <w:t>instilling educational</w:t>
      </w:r>
      <w:r>
        <w:rPr>
          <w:color w:val="231F20"/>
          <w:spacing w:val="-40"/>
          <w:w w:val="105"/>
        </w:rPr>
        <w:t> </w:t>
      </w:r>
      <w:r>
        <w:rPr>
          <w:color w:val="231F20"/>
          <w:w w:val="105"/>
        </w:rPr>
        <w:t>values</w:t>
      </w:r>
      <w:r>
        <w:rPr>
          <w:color w:val="231F20"/>
          <w:spacing w:val="-40"/>
          <w:w w:val="105"/>
        </w:rPr>
        <w:t> </w:t>
      </w:r>
      <w:r>
        <w:rPr>
          <w:color w:val="231F20"/>
          <w:w w:val="105"/>
        </w:rPr>
        <w:t>and</w:t>
      </w:r>
      <w:r>
        <w:rPr>
          <w:color w:val="231F20"/>
          <w:spacing w:val="-40"/>
          <w:w w:val="105"/>
        </w:rPr>
        <w:t> </w:t>
      </w:r>
      <w:r>
        <w:rPr>
          <w:color w:val="231F20"/>
          <w:w w:val="105"/>
        </w:rPr>
        <w:t>responsibility</w:t>
      </w:r>
      <w:r>
        <w:rPr>
          <w:color w:val="231F20"/>
          <w:spacing w:val="-40"/>
          <w:w w:val="105"/>
        </w:rPr>
        <w:t> </w:t>
      </w:r>
      <w:r>
        <w:rPr>
          <w:color w:val="231F20"/>
          <w:w w:val="105"/>
        </w:rPr>
        <w:t>towards</w:t>
      </w:r>
      <w:r>
        <w:rPr>
          <w:color w:val="231F20"/>
          <w:spacing w:val="-40"/>
          <w:w w:val="105"/>
        </w:rPr>
        <w:t> </w:t>
      </w:r>
      <w:r>
        <w:rPr>
          <w:color w:val="231F20"/>
          <w:w w:val="105"/>
        </w:rPr>
        <w:t>the</w:t>
      </w:r>
      <w:r>
        <w:rPr>
          <w:color w:val="231F20"/>
          <w:spacing w:val="-40"/>
          <w:w w:val="105"/>
        </w:rPr>
        <w:t> </w:t>
      </w:r>
      <w:r>
        <w:rPr>
          <w:color w:val="231F20"/>
          <w:w w:val="105"/>
        </w:rPr>
        <w:t>family</w:t>
      </w:r>
      <w:r>
        <w:rPr>
          <w:color w:val="231F20"/>
          <w:spacing w:val="-40"/>
          <w:w w:val="105"/>
        </w:rPr>
        <w:t> </w:t>
      </w:r>
      <w:r>
        <w:rPr>
          <w:color w:val="231F20"/>
          <w:w w:val="105"/>
        </w:rPr>
        <w:t>(Stanton-Salazar, 2001).</w:t>
      </w:r>
      <w:r>
        <w:rPr>
          <w:color w:val="231F20"/>
          <w:spacing w:val="-18"/>
          <w:w w:val="105"/>
        </w:rPr>
        <w:t> </w:t>
      </w:r>
      <w:r>
        <w:rPr>
          <w:color w:val="231F20"/>
          <w:w w:val="105"/>
        </w:rPr>
        <w:t>According</w:t>
      </w:r>
      <w:r>
        <w:rPr>
          <w:color w:val="231F20"/>
          <w:spacing w:val="-7"/>
          <w:w w:val="105"/>
        </w:rPr>
        <w:t> </w:t>
      </w:r>
      <w:r>
        <w:rPr>
          <w:color w:val="231F20"/>
          <w:w w:val="105"/>
        </w:rPr>
        <w:t>to</w:t>
      </w:r>
      <w:r>
        <w:rPr>
          <w:color w:val="231F20"/>
          <w:spacing w:val="-7"/>
          <w:w w:val="105"/>
        </w:rPr>
        <w:t> </w:t>
      </w:r>
      <w:r>
        <w:rPr>
          <w:color w:val="231F20"/>
          <w:w w:val="105"/>
        </w:rPr>
        <w:t>Louie</w:t>
      </w:r>
      <w:r>
        <w:rPr>
          <w:color w:val="231F20"/>
          <w:spacing w:val="-7"/>
          <w:w w:val="105"/>
        </w:rPr>
        <w:t> </w:t>
      </w:r>
      <w:r>
        <w:rPr>
          <w:color w:val="231F20"/>
          <w:w w:val="105"/>
        </w:rPr>
        <w:t>(2012)</w:t>
      </w:r>
      <w:r>
        <w:rPr>
          <w:color w:val="231F20"/>
          <w:spacing w:val="-7"/>
          <w:w w:val="105"/>
        </w:rPr>
        <w:t> </w:t>
      </w:r>
      <w:r>
        <w:rPr>
          <w:color w:val="231F20"/>
          <w:w w:val="105"/>
        </w:rPr>
        <w:t>“the</w:t>
      </w:r>
      <w:r>
        <w:rPr>
          <w:color w:val="231F20"/>
          <w:spacing w:val="-7"/>
          <w:w w:val="105"/>
        </w:rPr>
        <w:t> </w:t>
      </w:r>
      <w:r>
        <w:rPr>
          <w:color w:val="231F20"/>
          <w:w w:val="105"/>
        </w:rPr>
        <w:t>immigrant</w:t>
      </w:r>
      <w:r>
        <w:rPr>
          <w:color w:val="231F20"/>
          <w:spacing w:val="-7"/>
          <w:w w:val="105"/>
        </w:rPr>
        <w:t> </w:t>
      </w:r>
      <w:r>
        <w:rPr>
          <w:color w:val="231F20"/>
          <w:w w:val="105"/>
        </w:rPr>
        <w:t>bargain</w:t>
      </w:r>
      <w:r>
        <w:rPr>
          <w:color w:val="231F20"/>
          <w:spacing w:val="-7"/>
          <w:w w:val="105"/>
        </w:rPr>
        <w:t> </w:t>
      </w:r>
      <w:r>
        <w:rPr>
          <w:color w:val="231F20"/>
          <w:w w:val="105"/>
        </w:rPr>
        <w:t>begins</w:t>
      </w:r>
      <w:r>
        <w:rPr>
          <w:color w:val="231F20"/>
          <w:spacing w:val="-7"/>
          <w:w w:val="105"/>
        </w:rPr>
        <w:t> </w:t>
      </w:r>
      <w:r>
        <w:rPr>
          <w:color w:val="231F20"/>
          <w:w w:val="105"/>
        </w:rPr>
        <w:t>with</w:t>
      </w:r>
      <w:r>
        <w:rPr>
          <w:color w:val="231F20"/>
          <w:spacing w:val="-7"/>
          <w:w w:val="105"/>
        </w:rPr>
        <w:t> </w:t>
      </w:r>
      <w:r>
        <w:rPr>
          <w:color w:val="231F20"/>
          <w:w w:val="105"/>
        </w:rPr>
        <w:t>the parents’</w:t>
      </w:r>
      <w:r>
        <w:rPr>
          <w:color w:val="231F20"/>
          <w:spacing w:val="-19"/>
          <w:w w:val="105"/>
        </w:rPr>
        <w:t> </w:t>
      </w:r>
      <w:r>
        <w:rPr>
          <w:color w:val="231F20"/>
          <w:w w:val="105"/>
        </w:rPr>
        <w:t>journey</w:t>
      </w:r>
      <w:r>
        <w:rPr>
          <w:color w:val="231F20"/>
          <w:spacing w:val="-19"/>
          <w:w w:val="105"/>
        </w:rPr>
        <w:t> </w:t>
      </w:r>
      <w:r>
        <w:rPr>
          <w:color w:val="231F20"/>
          <w:w w:val="105"/>
        </w:rPr>
        <w:t>and</w:t>
      </w:r>
      <w:r>
        <w:rPr>
          <w:color w:val="231F20"/>
          <w:spacing w:val="-19"/>
          <w:w w:val="105"/>
        </w:rPr>
        <w:t> </w:t>
      </w:r>
      <w:r>
        <w:rPr>
          <w:color w:val="231F20"/>
          <w:w w:val="105"/>
        </w:rPr>
        <w:t>the</w:t>
      </w:r>
      <w:r>
        <w:rPr>
          <w:color w:val="231F20"/>
          <w:spacing w:val="-19"/>
          <w:w w:val="105"/>
        </w:rPr>
        <w:t> </w:t>
      </w:r>
      <w:r>
        <w:rPr>
          <w:color w:val="231F20"/>
          <w:w w:val="105"/>
        </w:rPr>
        <w:t>degree</w:t>
      </w:r>
      <w:r>
        <w:rPr>
          <w:color w:val="231F20"/>
          <w:spacing w:val="-19"/>
          <w:w w:val="105"/>
        </w:rPr>
        <w:t> </w:t>
      </w:r>
      <w:r>
        <w:rPr>
          <w:color w:val="231F20"/>
          <w:w w:val="105"/>
        </w:rPr>
        <w:t>to</w:t>
      </w:r>
      <w:r>
        <w:rPr>
          <w:color w:val="231F20"/>
          <w:spacing w:val="-19"/>
          <w:w w:val="105"/>
        </w:rPr>
        <w:t> </w:t>
      </w:r>
      <w:r>
        <w:rPr>
          <w:color w:val="231F20"/>
          <w:w w:val="105"/>
        </w:rPr>
        <w:t>which</w:t>
      </w:r>
      <w:r>
        <w:rPr>
          <w:color w:val="231F20"/>
          <w:spacing w:val="-19"/>
          <w:w w:val="105"/>
        </w:rPr>
        <w:t> </w:t>
      </w:r>
      <w:r>
        <w:rPr>
          <w:color w:val="231F20"/>
          <w:w w:val="105"/>
        </w:rPr>
        <w:t>they</w:t>
      </w:r>
      <w:r>
        <w:rPr>
          <w:color w:val="231F20"/>
          <w:spacing w:val="-19"/>
          <w:w w:val="105"/>
        </w:rPr>
        <w:t> </w:t>
      </w:r>
      <w:r>
        <w:rPr>
          <w:color w:val="231F20"/>
          <w:w w:val="105"/>
        </w:rPr>
        <w:t>succeed</w:t>
      </w:r>
      <w:r>
        <w:rPr>
          <w:color w:val="231F20"/>
          <w:spacing w:val="-19"/>
          <w:w w:val="105"/>
        </w:rPr>
        <w:t> </w:t>
      </w:r>
      <w:r>
        <w:rPr>
          <w:color w:val="231F20"/>
          <w:w w:val="105"/>
        </w:rPr>
        <w:t>(or</w:t>
      </w:r>
      <w:r>
        <w:rPr>
          <w:color w:val="231F20"/>
          <w:spacing w:val="-19"/>
          <w:w w:val="105"/>
        </w:rPr>
        <w:t> </w:t>
      </w:r>
      <w:r>
        <w:rPr>
          <w:color w:val="231F20"/>
          <w:w w:val="105"/>
        </w:rPr>
        <w:t>not)</w:t>
      </w:r>
      <w:r>
        <w:rPr>
          <w:color w:val="231F20"/>
          <w:spacing w:val="-19"/>
          <w:w w:val="105"/>
        </w:rPr>
        <w:t> </w:t>
      </w:r>
      <w:r>
        <w:rPr>
          <w:color w:val="231F20"/>
          <w:w w:val="105"/>
        </w:rPr>
        <w:t>in</w:t>
      </w:r>
      <w:r>
        <w:rPr>
          <w:color w:val="231F20"/>
          <w:spacing w:val="-19"/>
          <w:w w:val="105"/>
        </w:rPr>
        <w:t> </w:t>
      </w:r>
      <w:r>
        <w:rPr>
          <w:color w:val="231F20"/>
          <w:w w:val="105"/>
        </w:rPr>
        <w:t>the</w:t>
      </w:r>
      <w:r>
        <w:rPr>
          <w:color w:val="231F20"/>
          <w:spacing w:val="-19"/>
          <w:w w:val="105"/>
        </w:rPr>
        <w:t> </w:t>
      </w:r>
      <w:r>
        <w:rPr>
          <w:color w:val="231F20"/>
          <w:w w:val="105"/>
        </w:rPr>
        <w:t>Uni- ted States” (p. 23). The term “immigrant bargain” (Smith 2006) refers to immigrant</w:t>
      </w:r>
      <w:r>
        <w:rPr>
          <w:color w:val="231F20"/>
          <w:spacing w:val="-20"/>
          <w:w w:val="105"/>
        </w:rPr>
        <w:t> </w:t>
      </w:r>
      <w:r>
        <w:rPr>
          <w:color w:val="231F20"/>
          <w:w w:val="105"/>
        </w:rPr>
        <w:t>families’</w:t>
      </w:r>
      <w:r>
        <w:rPr>
          <w:color w:val="231F20"/>
          <w:spacing w:val="-20"/>
          <w:w w:val="105"/>
        </w:rPr>
        <w:t> </w:t>
      </w:r>
      <w:r>
        <w:rPr>
          <w:color w:val="231F20"/>
          <w:w w:val="105"/>
        </w:rPr>
        <w:t>hopes</w:t>
      </w:r>
      <w:r>
        <w:rPr>
          <w:color w:val="231F20"/>
          <w:spacing w:val="-20"/>
          <w:w w:val="105"/>
        </w:rPr>
        <w:t> </w:t>
      </w:r>
      <w:r>
        <w:rPr>
          <w:color w:val="231F20"/>
          <w:w w:val="105"/>
        </w:rPr>
        <w:t>that</w:t>
      </w:r>
      <w:r>
        <w:rPr>
          <w:color w:val="231F20"/>
          <w:spacing w:val="-20"/>
          <w:w w:val="105"/>
        </w:rPr>
        <w:t> </w:t>
      </w:r>
      <w:r>
        <w:rPr>
          <w:color w:val="231F20"/>
          <w:w w:val="105"/>
        </w:rPr>
        <w:t>their</w:t>
      </w:r>
      <w:r>
        <w:rPr>
          <w:color w:val="231F20"/>
          <w:spacing w:val="-20"/>
          <w:w w:val="105"/>
        </w:rPr>
        <w:t> </w:t>
      </w:r>
      <w:r>
        <w:rPr>
          <w:color w:val="231F20"/>
          <w:w w:val="105"/>
        </w:rPr>
        <w:t>children’s</w:t>
      </w:r>
      <w:r>
        <w:rPr>
          <w:color w:val="231F20"/>
          <w:spacing w:val="-20"/>
          <w:w w:val="105"/>
        </w:rPr>
        <w:t> </w:t>
      </w:r>
      <w:r>
        <w:rPr>
          <w:color w:val="231F20"/>
          <w:w w:val="105"/>
        </w:rPr>
        <w:t>academic</w:t>
      </w:r>
      <w:r>
        <w:rPr>
          <w:color w:val="231F20"/>
          <w:spacing w:val="-20"/>
          <w:w w:val="105"/>
        </w:rPr>
        <w:t> </w:t>
      </w:r>
      <w:r>
        <w:rPr>
          <w:color w:val="231F20"/>
          <w:w w:val="105"/>
        </w:rPr>
        <w:t>success</w:t>
      </w:r>
      <w:r>
        <w:rPr>
          <w:color w:val="231F20"/>
          <w:spacing w:val="-20"/>
          <w:w w:val="105"/>
        </w:rPr>
        <w:t> </w:t>
      </w:r>
      <w:r>
        <w:rPr>
          <w:color w:val="231F20"/>
          <w:w w:val="105"/>
        </w:rPr>
        <w:t>will</w:t>
      </w:r>
      <w:r>
        <w:rPr>
          <w:color w:val="231F20"/>
          <w:spacing w:val="-20"/>
          <w:w w:val="105"/>
        </w:rPr>
        <w:t> </w:t>
      </w:r>
      <w:r>
        <w:rPr>
          <w:color w:val="231F20"/>
          <w:w w:val="105"/>
        </w:rPr>
        <w:t>be</w:t>
      </w:r>
      <w:r>
        <w:rPr>
          <w:color w:val="231F20"/>
          <w:spacing w:val="-20"/>
          <w:w w:val="105"/>
        </w:rPr>
        <w:t> </w:t>
      </w:r>
      <w:r>
        <w:rPr>
          <w:color w:val="231F20"/>
          <w:w w:val="105"/>
        </w:rPr>
        <w:t>a form</w:t>
      </w:r>
      <w:r>
        <w:rPr>
          <w:color w:val="231F20"/>
          <w:spacing w:val="-31"/>
          <w:w w:val="105"/>
        </w:rPr>
        <w:t> </w:t>
      </w:r>
      <w:r>
        <w:rPr>
          <w:color w:val="231F20"/>
          <w:w w:val="105"/>
        </w:rPr>
        <w:t>of</w:t>
      </w:r>
      <w:r>
        <w:rPr>
          <w:color w:val="231F20"/>
          <w:spacing w:val="-27"/>
          <w:w w:val="105"/>
        </w:rPr>
        <w:t> </w:t>
      </w:r>
      <w:r>
        <w:rPr>
          <w:color w:val="231F20"/>
          <w:w w:val="105"/>
        </w:rPr>
        <w:t>repayment</w:t>
      </w:r>
      <w:r>
        <w:rPr>
          <w:color w:val="231F20"/>
          <w:spacing w:val="-31"/>
          <w:w w:val="105"/>
        </w:rPr>
        <w:t> </w:t>
      </w:r>
      <w:r>
        <w:rPr>
          <w:color w:val="231F20"/>
          <w:w w:val="105"/>
        </w:rPr>
        <w:t>for</w:t>
      </w:r>
      <w:r>
        <w:rPr>
          <w:color w:val="231F20"/>
          <w:spacing w:val="-31"/>
          <w:w w:val="105"/>
        </w:rPr>
        <w:t> </w:t>
      </w:r>
      <w:r>
        <w:rPr>
          <w:color w:val="231F20"/>
          <w:w w:val="105"/>
        </w:rPr>
        <w:t>parental</w:t>
      </w:r>
      <w:r>
        <w:rPr>
          <w:color w:val="231F20"/>
          <w:spacing w:val="-31"/>
          <w:w w:val="105"/>
        </w:rPr>
        <w:t> </w:t>
      </w:r>
      <w:r>
        <w:rPr>
          <w:color w:val="231F20"/>
          <w:w w:val="105"/>
        </w:rPr>
        <w:t>sacrifice.</w:t>
      </w:r>
      <w:r>
        <w:rPr>
          <w:color w:val="231F20"/>
          <w:spacing w:val="-39"/>
          <w:w w:val="105"/>
        </w:rPr>
        <w:t> </w:t>
      </w:r>
      <w:r>
        <w:rPr>
          <w:color w:val="231F20"/>
          <w:w w:val="105"/>
        </w:rPr>
        <w:t>This</w:t>
      </w:r>
      <w:r>
        <w:rPr>
          <w:color w:val="231F20"/>
          <w:spacing w:val="-31"/>
          <w:w w:val="105"/>
        </w:rPr>
        <w:t> </w:t>
      </w:r>
      <w:r>
        <w:rPr>
          <w:color w:val="231F20"/>
          <w:w w:val="105"/>
        </w:rPr>
        <w:t>sacrifice</w:t>
      </w:r>
      <w:r>
        <w:rPr>
          <w:color w:val="231F20"/>
          <w:spacing w:val="-31"/>
          <w:w w:val="105"/>
        </w:rPr>
        <w:t> </w:t>
      </w:r>
      <w:r>
        <w:rPr>
          <w:color w:val="231F20"/>
          <w:w w:val="105"/>
        </w:rPr>
        <w:t>is</w:t>
      </w:r>
      <w:r>
        <w:rPr>
          <w:color w:val="231F20"/>
          <w:spacing w:val="-31"/>
          <w:w w:val="105"/>
        </w:rPr>
        <w:t> </w:t>
      </w:r>
      <w:r>
        <w:rPr>
          <w:color w:val="231F20"/>
          <w:w w:val="105"/>
        </w:rPr>
        <w:t>at</w:t>
      </w:r>
      <w:r>
        <w:rPr>
          <w:color w:val="231F20"/>
          <w:spacing w:val="-31"/>
          <w:w w:val="105"/>
        </w:rPr>
        <w:t> </w:t>
      </w:r>
      <w:r>
        <w:rPr>
          <w:color w:val="231F20"/>
          <w:w w:val="105"/>
        </w:rPr>
        <w:t>times</w:t>
      </w:r>
      <w:r>
        <w:rPr>
          <w:color w:val="231F20"/>
          <w:spacing w:val="-31"/>
          <w:w w:val="105"/>
        </w:rPr>
        <w:t> </w:t>
      </w:r>
      <w:r>
        <w:rPr>
          <w:color w:val="231F20"/>
          <w:w w:val="105"/>
        </w:rPr>
        <w:t>paid</w:t>
      </w:r>
      <w:r>
        <w:rPr>
          <w:color w:val="231F20"/>
          <w:spacing w:val="-31"/>
          <w:w w:val="105"/>
        </w:rPr>
        <w:t> </w:t>
      </w:r>
      <w:r>
        <w:rPr>
          <w:color w:val="231F20"/>
          <w:w w:val="105"/>
        </w:rPr>
        <w:t>back in</w:t>
      </w:r>
      <w:r>
        <w:rPr>
          <w:color w:val="231F20"/>
          <w:spacing w:val="-6"/>
          <w:w w:val="105"/>
        </w:rPr>
        <w:t> </w:t>
      </w:r>
      <w:r>
        <w:rPr>
          <w:color w:val="231F20"/>
          <w:w w:val="105"/>
        </w:rPr>
        <w:t>the</w:t>
      </w:r>
      <w:r>
        <w:rPr>
          <w:color w:val="231F20"/>
          <w:spacing w:val="-6"/>
          <w:w w:val="105"/>
        </w:rPr>
        <w:t> </w:t>
      </w:r>
      <w:r>
        <w:rPr>
          <w:color w:val="231F20"/>
          <w:w w:val="105"/>
        </w:rPr>
        <w:t>form</w:t>
      </w:r>
      <w:r>
        <w:rPr>
          <w:color w:val="231F20"/>
          <w:spacing w:val="-6"/>
          <w:w w:val="105"/>
        </w:rPr>
        <w:t> </w:t>
      </w:r>
      <w:r>
        <w:rPr>
          <w:color w:val="231F20"/>
          <w:w w:val="105"/>
        </w:rPr>
        <w:t>of succeeding</w:t>
      </w:r>
      <w:r>
        <w:rPr>
          <w:color w:val="231F20"/>
          <w:spacing w:val="-6"/>
          <w:w w:val="105"/>
        </w:rPr>
        <w:t> </w:t>
      </w:r>
      <w:r>
        <w:rPr>
          <w:color w:val="231F20"/>
          <w:w w:val="105"/>
        </w:rPr>
        <w:t>educationally</w:t>
      </w:r>
      <w:r>
        <w:rPr>
          <w:color w:val="231F20"/>
          <w:spacing w:val="-6"/>
          <w:w w:val="105"/>
        </w:rPr>
        <w:t> </w:t>
      </w:r>
      <w:r>
        <w:rPr>
          <w:color w:val="231F20"/>
          <w:w w:val="105"/>
        </w:rPr>
        <w:t>and</w:t>
      </w:r>
      <w:r>
        <w:rPr>
          <w:color w:val="231F20"/>
          <w:spacing w:val="-6"/>
          <w:w w:val="105"/>
        </w:rPr>
        <w:t> </w:t>
      </w:r>
      <w:r>
        <w:rPr>
          <w:color w:val="231F20"/>
          <w:w w:val="105"/>
        </w:rPr>
        <w:t>making</w:t>
      </w:r>
      <w:r>
        <w:rPr>
          <w:color w:val="231F20"/>
          <w:spacing w:val="-6"/>
          <w:w w:val="105"/>
        </w:rPr>
        <w:t> </w:t>
      </w:r>
      <w:r>
        <w:rPr>
          <w:color w:val="231F20"/>
          <w:w w:val="105"/>
        </w:rPr>
        <w:t>parents</w:t>
      </w:r>
      <w:r>
        <w:rPr>
          <w:color w:val="231F20"/>
          <w:spacing w:val="-6"/>
          <w:w w:val="105"/>
        </w:rPr>
        <w:t> </w:t>
      </w:r>
      <w:r>
        <w:rPr>
          <w:color w:val="231F20"/>
          <w:w w:val="105"/>
        </w:rPr>
        <w:t>proud</w:t>
      </w:r>
      <w:r>
        <w:rPr>
          <w:color w:val="231F20"/>
          <w:spacing w:val="-6"/>
          <w:w w:val="105"/>
        </w:rPr>
        <w:t> </w:t>
      </w:r>
      <w:r>
        <w:rPr>
          <w:color w:val="231F20"/>
          <w:w w:val="105"/>
        </w:rPr>
        <w:t>or</w:t>
      </w:r>
      <w:r>
        <w:rPr>
          <w:color w:val="231F20"/>
          <w:spacing w:val="-6"/>
          <w:w w:val="105"/>
        </w:rPr>
        <w:t> </w:t>
      </w:r>
      <w:r>
        <w:rPr>
          <w:color w:val="231F20"/>
          <w:w w:val="105"/>
        </w:rPr>
        <w:t>by</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5728" from="15pt,-71.68644pt" to="0pt,-71.68644pt" stroked="true" strokeweight=".25pt" strokecolor="#000000">
            <w10:wrap type="none"/>
          </v:line>
        </w:pict>
      </w:r>
      <w:r>
        <w:rPr/>
        <w:pict>
          <v:line style="position:absolute;mso-position-horizontal-relative:page;mso-position-vertical-relative:paragraph;z-index:5752" from="508.890015pt,-71.68644pt" to="523.890015pt,-71.68644pt" stroked="true" strokeweight=".25pt" strokecolor="#000000">
            <w10:wrap type="none"/>
          </v:line>
        </w:pict>
      </w:r>
      <w:r>
        <w:rPr>
          <w:color w:val="231F20"/>
          <w:w w:val="105"/>
        </w:rPr>
        <w:t>contributing to the household financially by seeking employment (Katz, 2014).</w:t>
      </w:r>
      <w:r>
        <w:rPr>
          <w:color w:val="231F20"/>
          <w:spacing w:val="-11"/>
          <w:w w:val="105"/>
        </w:rPr>
        <w:t> </w:t>
      </w:r>
      <w:r>
        <w:rPr>
          <w:color w:val="231F20"/>
          <w:w w:val="105"/>
        </w:rPr>
        <w:t>Stanton-Salazar</w:t>
      </w:r>
      <w:r>
        <w:rPr>
          <w:color w:val="231F20"/>
          <w:spacing w:val="-7"/>
          <w:w w:val="105"/>
        </w:rPr>
        <w:t> </w:t>
      </w:r>
      <w:r>
        <w:rPr>
          <w:color w:val="231F20"/>
          <w:w w:val="105"/>
        </w:rPr>
        <w:t>(2001)</w:t>
      </w:r>
      <w:r>
        <w:rPr>
          <w:color w:val="231F20"/>
          <w:spacing w:val="-7"/>
          <w:w w:val="105"/>
        </w:rPr>
        <w:t> </w:t>
      </w:r>
      <w:r>
        <w:rPr>
          <w:color w:val="231F20"/>
          <w:w w:val="105"/>
        </w:rPr>
        <w:t>found</w:t>
      </w:r>
      <w:r>
        <w:rPr>
          <w:color w:val="231F20"/>
          <w:spacing w:val="-7"/>
          <w:w w:val="105"/>
        </w:rPr>
        <w:t> </w:t>
      </w:r>
      <w:r>
        <w:rPr>
          <w:color w:val="231F20"/>
          <w:w w:val="105"/>
        </w:rPr>
        <w:t>that</w:t>
      </w:r>
      <w:r>
        <w:rPr>
          <w:color w:val="231F20"/>
          <w:spacing w:val="-7"/>
          <w:w w:val="105"/>
        </w:rPr>
        <w:t> </w:t>
      </w:r>
      <w:r>
        <w:rPr>
          <w:color w:val="231F20"/>
          <w:w w:val="105"/>
        </w:rPr>
        <w:t>for</w:t>
      </w:r>
      <w:r>
        <w:rPr>
          <w:color w:val="231F20"/>
          <w:spacing w:val="-7"/>
          <w:w w:val="105"/>
        </w:rPr>
        <w:t> </w:t>
      </w:r>
      <w:r>
        <w:rPr>
          <w:color w:val="231F20"/>
          <w:w w:val="105"/>
        </w:rPr>
        <w:t>many</w:t>
      </w:r>
      <w:r>
        <w:rPr>
          <w:color w:val="231F20"/>
          <w:spacing w:val="-7"/>
          <w:w w:val="105"/>
        </w:rPr>
        <w:t> </w:t>
      </w:r>
      <w:r>
        <w:rPr>
          <w:color w:val="231F20"/>
          <w:w w:val="105"/>
        </w:rPr>
        <w:t>Latino/a</w:t>
      </w:r>
      <w:r>
        <w:rPr>
          <w:color w:val="231F20"/>
          <w:spacing w:val="-7"/>
          <w:w w:val="105"/>
        </w:rPr>
        <w:t> </w:t>
      </w:r>
      <w:r>
        <w:rPr>
          <w:color w:val="231F20"/>
          <w:w w:val="105"/>
        </w:rPr>
        <w:t>youth</w:t>
      </w:r>
      <w:r>
        <w:rPr>
          <w:color w:val="231F20"/>
          <w:spacing w:val="-7"/>
          <w:w w:val="105"/>
        </w:rPr>
        <w:t> </w:t>
      </w:r>
      <w:r>
        <w:rPr>
          <w:color w:val="231F20"/>
          <w:w w:val="105"/>
        </w:rPr>
        <w:t>hono- ring</w:t>
      </w:r>
      <w:r>
        <w:rPr>
          <w:color w:val="231F20"/>
          <w:spacing w:val="-29"/>
          <w:w w:val="105"/>
        </w:rPr>
        <w:t> </w:t>
      </w:r>
      <w:r>
        <w:rPr>
          <w:color w:val="231F20"/>
          <w:w w:val="105"/>
        </w:rPr>
        <w:t>their</w:t>
      </w:r>
      <w:r>
        <w:rPr>
          <w:color w:val="231F20"/>
          <w:spacing w:val="-29"/>
          <w:w w:val="105"/>
        </w:rPr>
        <w:t> </w:t>
      </w:r>
      <w:r>
        <w:rPr>
          <w:color w:val="231F20"/>
          <w:w w:val="105"/>
        </w:rPr>
        <w:t>parents’</w:t>
      </w:r>
      <w:r>
        <w:rPr>
          <w:color w:val="231F20"/>
          <w:spacing w:val="-29"/>
          <w:w w:val="105"/>
        </w:rPr>
        <w:t> </w:t>
      </w:r>
      <w:r>
        <w:rPr>
          <w:color w:val="231F20"/>
          <w:w w:val="105"/>
        </w:rPr>
        <w:t>sacrifice</w:t>
      </w:r>
      <w:r>
        <w:rPr>
          <w:color w:val="231F20"/>
          <w:spacing w:val="-29"/>
          <w:w w:val="105"/>
        </w:rPr>
        <w:t> </w:t>
      </w:r>
      <w:r>
        <w:rPr>
          <w:color w:val="231F20"/>
          <w:w w:val="105"/>
        </w:rPr>
        <w:t>was</w:t>
      </w:r>
      <w:r>
        <w:rPr>
          <w:color w:val="231F20"/>
          <w:spacing w:val="-29"/>
          <w:w w:val="105"/>
        </w:rPr>
        <w:t> </w:t>
      </w:r>
      <w:r>
        <w:rPr>
          <w:color w:val="231F20"/>
          <w:w w:val="105"/>
        </w:rPr>
        <w:t>achieved</w:t>
      </w:r>
      <w:r>
        <w:rPr>
          <w:color w:val="231F20"/>
          <w:spacing w:val="-29"/>
          <w:w w:val="105"/>
        </w:rPr>
        <w:t> </w:t>
      </w:r>
      <w:r>
        <w:rPr>
          <w:color w:val="231F20"/>
          <w:w w:val="105"/>
        </w:rPr>
        <w:t>through</w:t>
      </w:r>
      <w:r>
        <w:rPr>
          <w:color w:val="231F20"/>
          <w:spacing w:val="-29"/>
          <w:w w:val="105"/>
        </w:rPr>
        <w:t> </w:t>
      </w:r>
      <w:r>
        <w:rPr>
          <w:color w:val="231F20"/>
          <w:w w:val="105"/>
        </w:rPr>
        <w:t>their</w:t>
      </w:r>
      <w:r>
        <w:rPr>
          <w:color w:val="231F20"/>
          <w:spacing w:val="-29"/>
          <w:w w:val="105"/>
        </w:rPr>
        <w:t> </w:t>
      </w:r>
      <w:r>
        <w:rPr>
          <w:color w:val="231F20"/>
          <w:w w:val="105"/>
        </w:rPr>
        <w:t>academic</w:t>
      </w:r>
      <w:r>
        <w:rPr>
          <w:color w:val="231F20"/>
          <w:spacing w:val="-29"/>
          <w:w w:val="105"/>
        </w:rPr>
        <w:t> </w:t>
      </w:r>
      <w:r>
        <w:rPr>
          <w:color w:val="231F20"/>
          <w:w w:val="105"/>
        </w:rPr>
        <w:t>success. However,</w:t>
      </w:r>
      <w:r>
        <w:rPr>
          <w:color w:val="231F20"/>
          <w:spacing w:val="-17"/>
          <w:w w:val="105"/>
        </w:rPr>
        <w:t> </w:t>
      </w:r>
      <w:r>
        <w:rPr>
          <w:color w:val="231F20"/>
          <w:w w:val="105"/>
        </w:rPr>
        <w:t>some</w:t>
      </w:r>
      <w:r>
        <w:rPr>
          <w:color w:val="231F20"/>
          <w:spacing w:val="-12"/>
          <w:w w:val="105"/>
        </w:rPr>
        <w:t> </w:t>
      </w:r>
      <w:r>
        <w:rPr>
          <w:color w:val="231F20"/>
          <w:w w:val="105"/>
        </w:rPr>
        <w:t>youth</w:t>
      </w:r>
      <w:r>
        <w:rPr>
          <w:color w:val="231F20"/>
          <w:spacing w:val="-12"/>
          <w:w w:val="105"/>
        </w:rPr>
        <w:t> </w:t>
      </w:r>
      <w:r>
        <w:rPr>
          <w:color w:val="231F20"/>
          <w:w w:val="105"/>
        </w:rPr>
        <w:t>found</w:t>
      </w:r>
      <w:r>
        <w:rPr>
          <w:color w:val="231F20"/>
          <w:spacing w:val="-12"/>
          <w:w w:val="105"/>
        </w:rPr>
        <w:t> </w:t>
      </w:r>
      <w:r>
        <w:rPr>
          <w:color w:val="231F20"/>
          <w:w w:val="105"/>
        </w:rPr>
        <w:t>the</w:t>
      </w:r>
      <w:r>
        <w:rPr>
          <w:color w:val="231F20"/>
          <w:spacing w:val="-12"/>
          <w:w w:val="105"/>
        </w:rPr>
        <w:t> </w:t>
      </w:r>
      <w:r>
        <w:rPr>
          <w:color w:val="231F20"/>
          <w:w w:val="105"/>
        </w:rPr>
        <w:t>path</w:t>
      </w:r>
      <w:r>
        <w:rPr>
          <w:color w:val="231F20"/>
          <w:spacing w:val="-12"/>
          <w:w w:val="105"/>
        </w:rPr>
        <w:t> </w:t>
      </w:r>
      <w:r>
        <w:rPr>
          <w:color w:val="231F20"/>
          <w:w w:val="105"/>
        </w:rPr>
        <w:t>to</w:t>
      </w:r>
      <w:r>
        <w:rPr>
          <w:color w:val="231F20"/>
          <w:spacing w:val="-12"/>
          <w:w w:val="105"/>
        </w:rPr>
        <w:t> </w:t>
      </w:r>
      <w:r>
        <w:rPr>
          <w:color w:val="231F20"/>
          <w:w w:val="105"/>
        </w:rPr>
        <w:t>academic</w:t>
      </w:r>
      <w:r>
        <w:rPr>
          <w:color w:val="231F20"/>
          <w:spacing w:val="-12"/>
          <w:w w:val="105"/>
        </w:rPr>
        <w:t> </w:t>
      </w:r>
      <w:r>
        <w:rPr>
          <w:color w:val="231F20"/>
          <w:w w:val="105"/>
        </w:rPr>
        <w:t>success</w:t>
      </w:r>
      <w:r>
        <w:rPr>
          <w:color w:val="231F20"/>
          <w:spacing w:val="-12"/>
          <w:w w:val="105"/>
        </w:rPr>
        <w:t> </w:t>
      </w:r>
      <w:r>
        <w:rPr>
          <w:color w:val="231F20"/>
          <w:w w:val="105"/>
        </w:rPr>
        <w:t>cumbersome and</w:t>
      </w:r>
      <w:r>
        <w:rPr>
          <w:color w:val="231F20"/>
          <w:spacing w:val="-9"/>
          <w:w w:val="105"/>
        </w:rPr>
        <w:t> </w:t>
      </w:r>
      <w:r>
        <w:rPr>
          <w:color w:val="231F20"/>
          <w:w w:val="105"/>
        </w:rPr>
        <w:t>difficult</w:t>
      </w:r>
      <w:r>
        <w:rPr>
          <w:color w:val="231F20"/>
          <w:spacing w:val="-9"/>
          <w:w w:val="105"/>
        </w:rPr>
        <w:t> </w:t>
      </w:r>
      <w:r>
        <w:rPr>
          <w:color w:val="231F20"/>
          <w:w w:val="105"/>
        </w:rPr>
        <w:t>to</w:t>
      </w:r>
      <w:r>
        <w:rPr>
          <w:color w:val="231F20"/>
          <w:spacing w:val="-9"/>
          <w:w w:val="105"/>
        </w:rPr>
        <w:t> </w:t>
      </w:r>
      <w:r>
        <w:rPr>
          <w:color w:val="231F20"/>
          <w:w w:val="105"/>
        </w:rPr>
        <w:t>achieve</w:t>
      </w:r>
      <w:r>
        <w:rPr>
          <w:color w:val="231F20"/>
          <w:spacing w:val="-9"/>
          <w:w w:val="105"/>
        </w:rPr>
        <w:t> </w:t>
      </w:r>
      <w:r>
        <w:rPr>
          <w:color w:val="231F20"/>
          <w:w w:val="105"/>
        </w:rPr>
        <w:t>making</w:t>
      </w:r>
      <w:r>
        <w:rPr>
          <w:color w:val="231F20"/>
          <w:spacing w:val="-9"/>
          <w:w w:val="105"/>
        </w:rPr>
        <w:t> </w:t>
      </w:r>
      <w:r>
        <w:rPr>
          <w:color w:val="231F20"/>
          <w:w w:val="105"/>
        </w:rPr>
        <w:t>the</w:t>
      </w:r>
      <w:r>
        <w:rPr>
          <w:color w:val="231F20"/>
          <w:spacing w:val="-9"/>
          <w:w w:val="105"/>
        </w:rPr>
        <w:t> </w:t>
      </w:r>
      <w:r>
        <w:rPr>
          <w:color w:val="231F20"/>
          <w:w w:val="105"/>
        </w:rPr>
        <w:t>immigrant</w:t>
      </w:r>
      <w:r>
        <w:rPr>
          <w:color w:val="231F20"/>
          <w:spacing w:val="-9"/>
          <w:w w:val="105"/>
        </w:rPr>
        <w:t> </w:t>
      </w:r>
      <w:r>
        <w:rPr>
          <w:color w:val="231F20"/>
          <w:w w:val="105"/>
        </w:rPr>
        <w:t>bargain</w:t>
      </w:r>
      <w:r>
        <w:rPr>
          <w:color w:val="231F20"/>
          <w:spacing w:val="-9"/>
          <w:w w:val="105"/>
        </w:rPr>
        <w:t> </w:t>
      </w:r>
      <w:r>
        <w:rPr>
          <w:color w:val="231F20"/>
          <w:w w:val="105"/>
        </w:rPr>
        <w:t>a</w:t>
      </w:r>
      <w:r>
        <w:rPr>
          <w:color w:val="231F20"/>
          <w:spacing w:val="-9"/>
          <w:w w:val="105"/>
        </w:rPr>
        <w:t> </w:t>
      </w:r>
      <w:r>
        <w:rPr>
          <w:color w:val="231F20"/>
          <w:w w:val="105"/>
        </w:rPr>
        <w:t>daunting</w:t>
      </w:r>
      <w:r>
        <w:rPr>
          <w:color w:val="231F20"/>
          <w:spacing w:val="-9"/>
          <w:w w:val="105"/>
        </w:rPr>
        <w:t> </w:t>
      </w:r>
      <w:r>
        <w:rPr>
          <w:color w:val="231F20"/>
          <w:w w:val="105"/>
        </w:rPr>
        <w:t>task</w:t>
      </w:r>
      <w:r>
        <w:rPr>
          <w:color w:val="231F20"/>
          <w:spacing w:val="-9"/>
          <w:w w:val="105"/>
        </w:rPr>
        <w:t> </w:t>
      </w:r>
      <w:r>
        <w:rPr>
          <w:color w:val="231F20"/>
          <w:w w:val="105"/>
        </w:rPr>
        <w:t>for those</w:t>
      </w:r>
      <w:r>
        <w:rPr>
          <w:color w:val="231F20"/>
          <w:spacing w:val="-10"/>
          <w:w w:val="105"/>
        </w:rPr>
        <w:t> </w:t>
      </w:r>
      <w:r>
        <w:rPr>
          <w:color w:val="231F20"/>
          <w:w w:val="105"/>
        </w:rPr>
        <w:t>who</w:t>
      </w:r>
      <w:r>
        <w:rPr>
          <w:color w:val="231F20"/>
          <w:spacing w:val="-10"/>
          <w:w w:val="105"/>
        </w:rPr>
        <w:t> </w:t>
      </w:r>
      <w:r>
        <w:rPr>
          <w:color w:val="231F20"/>
          <w:w w:val="105"/>
        </w:rPr>
        <w:t>face</w:t>
      </w:r>
      <w:r>
        <w:rPr>
          <w:color w:val="231F20"/>
          <w:spacing w:val="-10"/>
          <w:w w:val="105"/>
        </w:rPr>
        <w:t> </w:t>
      </w:r>
      <w:r>
        <w:rPr>
          <w:color w:val="231F20"/>
          <w:w w:val="105"/>
        </w:rPr>
        <w:t>social</w:t>
      </w:r>
      <w:r>
        <w:rPr>
          <w:color w:val="231F20"/>
          <w:spacing w:val="-10"/>
          <w:w w:val="105"/>
        </w:rPr>
        <w:t> </w:t>
      </w:r>
      <w:r>
        <w:rPr>
          <w:color w:val="231F20"/>
          <w:w w:val="105"/>
        </w:rPr>
        <w:t>and</w:t>
      </w:r>
      <w:r>
        <w:rPr>
          <w:color w:val="231F20"/>
          <w:spacing w:val="-10"/>
          <w:w w:val="105"/>
        </w:rPr>
        <w:t> </w:t>
      </w:r>
      <w:r>
        <w:rPr>
          <w:color w:val="231F20"/>
          <w:w w:val="105"/>
        </w:rPr>
        <w:t>institutional</w:t>
      </w:r>
      <w:r>
        <w:rPr>
          <w:color w:val="231F20"/>
          <w:spacing w:val="-10"/>
          <w:w w:val="105"/>
        </w:rPr>
        <w:t> </w:t>
      </w:r>
      <w:r>
        <w:rPr>
          <w:color w:val="231F20"/>
          <w:w w:val="105"/>
        </w:rPr>
        <w:t>obstacles</w:t>
      </w:r>
      <w:r>
        <w:rPr>
          <w:color w:val="231F20"/>
          <w:spacing w:val="-10"/>
          <w:w w:val="105"/>
        </w:rPr>
        <w:t> </w:t>
      </w:r>
      <w:r>
        <w:rPr>
          <w:color w:val="231F20"/>
          <w:w w:val="105"/>
        </w:rPr>
        <w:t>as</w:t>
      </w:r>
      <w:r>
        <w:rPr>
          <w:color w:val="231F20"/>
          <w:spacing w:val="-10"/>
          <w:w w:val="105"/>
        </w:rPr>
        <w:t> </w:t>
      </w:r>
      <w:r>
        <w:rPr>
          <w:color w:val="231F20"/>
          <w:w w:val="105"/>
        </w:rPr>
        <w:t>they</w:t>
      </w:r>
      <w:r>
        <w:rPr>
          <w:color w:val="231F20"/>
          <w:spacing w:val="-10"/>
          <w:w w:val="105"/>
        </w:rPr>
        <w:t> </w:t>
      </w:r>
      <w:r>
        <w:rPr>
          <w:color w:val="231F20"/>
          <w:w w:val="105"/>
        </w:rPr>
        <w:t>progress</w:t>
      </w:r>
      <w:r>
        <w:rPr>
          <w:color w:val="231F20"/>
          <w:spacing w:val="-10"/>
          <w:w w:val="105"/>
        </w:rPr>
        <w:t> </w:t>
      </w:r>
      <w:r>
        <w:rPr>
          <w:color w:val="231F20"/>
          <w:w w:val="105"/>
        </w:rPr>
        <w:t>throu- gh the education system. Louie (2012) found the children of</w:t>
      </w:r>
      <w:r>
        <w:rPr>
          <w:color w:val="231F20"/>
          <w:spacing w:val="-21"/>
          <w:w w:val="105"/>
        </w:rPr>
        <w:t> </w:t>
      </w:r>
      <w:r>
        <w:rPr>
          <w:color w:val="231F20"/>
          <w:w w:val="105"/>
        </w:rPr>
        <w:t>immigrants were</w:t>
      </w:r>
      <w:r>
        <w:rPr>
          <w:color w:val="231F20"/>
          <w:spacing w:val="-11"/>
          <w:w w:val="105"/>
        </w:rPr>
        <w:t> </w:t>
      </w:r>
      <w:r>
        <w:rPr>
          <w:color w:val="231F20"/>
          <w:w w:val="105"/>
        </w:rPr>
        <w:t>able</w:t>
      </w:r>
      <w:r>
        <w:rPr>
          <w:color w:val="231F20"/>
          <w:spacing w:val="-11"/>
          <w:w w:val="105"/>
        </w:rPr>
        <w:t> </w:t>
      </w:r>
      <w:r>
        <w:rPr>
          <w:color w:val="231F20"/>
          <w:w w:val="105"/>
        </w:rPr>
        <w:t>to</w:t>
      </w:r>
      <w:r>
        <w:rPr>
          <w:color w:val="231F20"/>
          <w:spacing w:val="-11"/>
          <w:w w:val="105"/>
        </w:rPr>
        <w:t> </w:t>
      </w:r>
      <w:r>
        <w:rPr>
          <w:color w:val="231F20"/>
          <w:w w:val="105"/>
        </w:rPr>
        <w:t>win</w:t>
      </w:r>
      <w:r>
        <w:rPr>
          <w:color w:val="231F20"/>
          <w:spacing w:val="-11"/>
          <w:w w:val="105"/>
        </w:rPr>
        <w:t> </w:t>
      </w:r>
      <w:r>
        <w:rPr>
          <w:color w:val="231F20"/>
          <w:w w:val="105"/>
        </w:rPr>
        <w:t>the</w:t>
      </w:r>
      <w:r>
        <w:rPr>
          <w:color w:val="231F20"/>
          <w:spacing w:val="-11"/>
          <w:w w:val="105"/>
        </w:rPr>
        <w:t> </w:t>
      </w:r>
      <w:r>
        <w:rPr>
          <w:color w:val="231F20"/>
          <w:w w:val="105"/>
        </w:rPr>
        <w:t>immigrant</w:t>
      </w:r>
      <w:r>
        <w:rPr>
          <w:color w:val="231F20"/>
          <w:spacing w:val="-11"/>
          <w:w w:val="105"/>
        </w:rPr>
        <w:t> </w:t>
      </w:r>
      <w:r>
        <w:rPr>
          <w:color w:val="231F20"/>
          <w:w w:val="105"/>
        </w:rPr>
        <w:t>bargain</w:t>
      </w:r>
      <w:r>
        <w:rPr>
          <w:color w:val="231F20"/>
          <w:spacing w:val="-11"/>
          <w:w w:val="105"/>
        </w:rPr>
        <w:t> </w:t>
      </w:r>
      <w:r>
        <w:rPr>
          <w:color w:val="231F20"/>
          <w:w w:val="105"/>
        </w:rPr>
        <w:t>by</w:t>
      </w:r>
      <w:r>
        <w:rPr>
          <w:color w:val="231F20"/>
          <w:spacing w:val="-11"/>
          <w:w w:val="105"/>
        </w:rPr>
        <w:t> </w:t>
      </w:r>
      <w:r>
        <w:rPr>
          <w:color w:val="231F20"/>
          <w:w w:val="105"/>
        </w:rPr>
        <w:t>succeeding</w:t>
      </w:r>
      <w:r>
        <w:rPr>
          <w:color w:val="231F20"/>
          <w:spacing w:val="-11"/>
          <w:w w:val="105"/>
        </w:rPr>
        <w:t> </w:t>
      </w:r>
      <w:r>
        <w:rPr>
          <w:color w:val="231F20"/>
          <w:w w:val="105"/>
        </w:rPr>
        <w:t>academically</w:t>
      </w:r>
      <w:r>
        <w:rPr>
          <w:color w:val="231F20"/>
          <w:spacing w:val="-11"/>
          <w:w w:val="105"/>
        </w:rPr>
        <w:t> </w:t>
      </w:r>
      <w:r>
        <w:rPr>
          <w:color w:val="231F20"/>
          <w:w w:val="105"/>
        </w:rPr>
        <w:t>and attending</w:t>
      </w:r>
      <w:r>
        <w:rPr>
          <w:color w:val="231F20"/>
          <w:spacing w:val="-12"/>
          <w:w w:val="105"/>
        </w:rPr>
        <w:t> </w:t>
      </w:r>
      <w:r>
        <w:rPr>
          <w:color w:val="231F20"/>
          <w:w w:val="105"/>
        </w:rPr>
        <w:t>college,</w:t>
      </w:r>
      <w:r>
        <w:rPr>
          <w:color w:val="231F20"/>
          <w:spacing w:val="-18"/>
          <w:w w:val="105"/>
        </w:rPr>
        <w:t> </w:t>
      </w:r>
      <w:r>
        <w:rPr>
          <w:color w:val="231F20"/>
          <w:w w:val="105"/>
        </w:rPr>
        <w:t>but</w:t>
      </w:r>
      <w:r>
        <w:rPr>
          <w:color w:val="231F20"/>
          <w:spacing w:val="-12"/>
          <w:w w:val="105"/>
        </w:rPr>
        <w:t> </w:t>
      </w:r>
      <w:r>
        <w:rPr>
          <w:color w:val="231F20"/>
          <w:w w:val="105"/>
        </w:rPr>
        <w:t>not</w:t>
      </w:r>
      <w:r>
        <w:rPr>
          <w:color w:val="231F20"/>
          <w:spacing w:val="-12"/>
          <w:w w:val="105"/>
        </w:rPr>
        <w:t> </w:t>
      </w:r>
      <w:r>
        <w:rPr>
          <w:color w:val="231F20"/>
          <w:w w:val="105"/>
        </w:rPr>
        <w:t>without</w:t>
      </w:r>
      <w:r>
        <w:rPr>
          <w:color w:val="231F20"/>
          <w:spacing w:val="-12"/>
          <w:w w:val="105"/>
        </w:rPr>
        <w:t> </w:t>
      </w:r>
      <w:r>
        <w:rPr>
          <w:color w:val="231F20"/>
          <w:w w:val="105"/>
        </w:rPr>
        <w:t>the</w:t>
      </w:r>
      <w:r>
        <w:rPr>
          <w:color w:val="231F20"/>
          <w:spacing w:val="-12"/>
          <w:w w:val="105"/>
        </w:rPr>
        <w:t> </w:t>
      </w:r>
      <w:r>
        <w:rPr>
          <w:color w:val="231F20"/>
          <w:w w:val="105"/>
        </w:rPr>
        <w:t>support</w:t>
      </w:r>
      <w:r>
        <w:rPr>
          <w:color w:val="231F20"/>
          <w:spacing w:val="-12"/>
          <w:w w:val="105"/>
        </w:rPr>
        <w:t> </w:t>
      </w:r>
      <w:r>
        <w:rPr>
          <w:color w:val="231F20"/>
          <w:w w:val="105"/>
        </w:rPr>
        <w:t>of</w:t>
      </w:r>
      <w:r>
        <w:rPr>
          <w:color w:val="231F20"/>
          <w:spacing w:val="-7"/>
          <w:w w:val="105"/>
        </w:rPr>
        <w:t> </w:t>
      </w:r>
      <w:r>
        <w:rPr>
          <w:color w:val="231F20"/>
          <w:w w:val="105"/>
        </w:rPr>
        <w:t>outside</w:t>
      </w:r>
      <w:r>
        <w:rPr>
          <w:color w:val="231F20"/>
          <w:spacing w:val="-12"/>
          <w:w w:val="105"/>
        </w:rPr>
        <w:t> </w:t>
      </w:r>
      <w:r>
        <w:rPr>
          <w:color w:val="231F20"/>
          <w:w w:val="105"/>
        </w:rPr>
        <w:t>sources</w:t>
      </w:r>
      <w:r>
        <w:rPr>
          <w:color w:val="231F20"/>
          <w:spacing w:val="-12"/>
          <w:w w:val="105"/>
        </w:rPr>
        <w:t> </w:t>
      </w:r>
      <w:r>
        <w:rPr>
          <w:color w:val="231F20"/>
          <w:w w:val="105"/>
        </w:rPr>
        <w:t>such</w:t>
      </w:r>
      <w:r>
        <w:rPr>
          <w:color w:val="231F20"/>
          <w:spacing w:val="-12"/>
          <w:w w:val="105"/>
        </w:rPr>
        <w:t> </w:t>
      </w:r>
      <w:r>
        <w:rPr>
          <w:color w:val="231F20"/>
          <w:w w:val="105"/>
        </w:rPr>
        <w:t>as institutional</w:t>
      </w:r>
      <w:r>
        <w:rPr>
          <w:color w:val="231F20"/>
          <w:spacing w:val="-20"/>
          <w:w w:val="105"/>
        </w:rPr>
        <w:t> </w:t>
      </w:r>
      <w:r>
        <w:rPr>
          <w:color w:val="231F20"/>
          <w:w w:val="105"/>
        </w:rPr>
        <w:t>support.</w:t>
      </w:r>
      <w:r>
        <w:rPr>
          <w:color w:val="231F20"/>
          <w:spacing w:val="-26"/>
          <w:w w:val="105"/>
        </w:rPr>
        <w:t> </w:t>
      </w:r>
      <w:r>
        <w:rPr>
          <w:color w:val="231F20"/>
          <w:w w:val="105"/>
        </w:rPr>
        <w:t>Individual</w:t>
      </w:r>
      <w:r>
        <w:rPr>
          <w:color w:val="231F20"/>
          <w:spacing w:val="-20"/>
          <w:w w:val="105"/>
        </w:rPr>
        <w:t> </w:t>
      </w:r>
      <w:r>
        <w:rPr>
          <w:color w:val="231F20"/>
          <w:w w:val="105"/>
        </w:rPr>
        <w:t>agency</w:t>
      </w:r>
      <w:r>
        <w:rPr>
          <w:color w:val="231F20"/>
          <w:spacing w:val="-20"/>
          <w:w w:val="105"/>
        </w:rPr>
        <w:t> </w:t>
      </w:r>
      <w:r>
        <w:rPr>
          <w:color w:val="231F20"/>
          <w:w w:val="105"/>
        </w:rPr>
        <w:t>or</w:t>
      </w:r>
      <w:r>
        <w:rPr>
          <w:color w:val="231F20"/>
          <w:spacing w:val="-20"/>
          <w:w w:val="105"/>
        </w:rPr>
        <w:t> </w:t>
      </w:r>
      <w:r>
        <w:rPr>
          <w:color w:val="231F20"/>
          <w:w w:val="105"/>
        </w:rPr>
        <w:t>youths’</w:t>
      </w:r>
      <w:r>
        <w:rPr>
          <w:color w:val="231F20"/>
          <w:spacing w:val="-20"/>
          <w:w w:val="105"/>
        </w:rPr>
        <w:t> </w:t>
      </w:r>
      <w:r>
        <w:rPr>
          <w:color w:val="231F20"/>
          <w:w w:val="105"/>
        </w:rPr>
        <w:t>own</w:t>
      </w:r>
      <w:r>
        <w:rPr>
          <w:color w:val="231F20"/>
          <w:spacing w:val="-20"/>
          <w:w w:val="105"/>
        </w:rPr>
        <w:t> </w:t>
      </w:r>
      <w:r>
        <w:rPr>
          <w:color w:val="231F20"/>
          <w:w w:val="105"/>
        </w:rPr>
        <w:t>desires</w:t>
      </w:r>
      <w:r>
        <w:rPr>
          <w:color w:val="231F20"/>
          <w:spacing w:val="-20"/>
          <w:w w:val="105"/>
        </w:rPr>
        <w:t> </w:t>
      </w:r>
      <w:r>
        <w:rPr>
          <w:color w:val="231F20"/>
          <w:w w:val="105"/>
        </w:rPr>
        <w:t>to</w:t>
      </w:r>
      <w:r>
        <w:rPr>
          <w:color w:val="231F20"/>
          <w:spacing w:val="-20"/>
          <w:w w:val="105"/>
        </w:rPr>
        <w:t> </w:t>
      </w:r>
      <w:r>
        <w:rPr>
          <w:color w:val="231F20"/>
          <w:w w:val="105"/>
        </w:rPr>
        <w:t>succeed also</w:t>
      </w:r>
      <w:r>
        <w:rPr>
          <w:color w:val="231F20"/>
          <w:spacing w:val="-21"/>
          <w:w w:val="105"/>
        </w:rPr>
        <w:t> </w:t>
      </w:r>
      <w:r>
        <w:rPr>
          <w:color w:val="231F20"/>
          <w:w w:val="105"/>
        </w:rPr>
        <w:t>made</w:t>
      </w:r>
      <w:r>
        <w:rPr>
          <w:color w:val="231F20"/>
          <w:spacing w:val="-21"/>
          <w:w w:val="105"/>
        </w:rPr>
        <w:t> </w:t>
      </w:r>
      <w:r>
        <w:rPr>
          <w:color w:val="231F20"/>
          <w:w w:val="105"/>
        </w:rPr>
        <w:t>a</w:t>
      </w:r>
      <w:r>
        <w:rPr>
          <w:color w:val="231F20"/>
          <w:spacing w:val="-21"/>
          <w:w w:val="105"/>
        </w:rPr>
        <w:t> </w:t>
      </w:r>
      <w:r>
        <w:rPr>
          <w:color w:val="231F20"/>
          <w:w w:val="105"/>
        </w:rPr>
        <w:t>difference.</w:t>
      </w:r>
    </w:p>
    <w:p>
      <w:pPr>
        <w:pStyle w:val="BodyText"/>
        <w:rPr>
          <w:sz w:val="20"/>
        </w:rPr>
      </w:pPr>
    </w:p>
    <w:p>
      <w:pPr>
        <w:pStyle w:val="BodyText"/>
        <w:spacing w:before="9"/>
        <w:rPr>
          <w:sz w:val="20"/>
        </w:rPr>
      </w:pPr>
    </w:p>
    <w:p>
      <w:pPr>
        <w:pStyle w:val="Heading3"/>
        <w:ind w:left="1723"/>
      </w:pPr>
      <w:r>
        <w:rPr>
          <w:color w:val="231F20"/>
        </w:rPr>
        <w:t>The Need to Address These Issues in Immigration Reform</w:t>
      </w:r>
    </w:p>
    <w:p>
      <w:pPr>
        <w:pStyle w:val="BodyText"/>
        <w:rPr>
          <w:rFonts w:ascii="Arial"/>
          <w:b/>
          <w:sz w:val="22"/>
        </w:rPr>
      </w:pPr>
    </w:p>
    <w:p>
      <w:pPr>
        <w:pStyle w:val="BodyText"/>
        <w:spacing w:line="261" w:lineRule="auto" w:before="163"/>
        <w:ind w:left="1723" w:right="1828"/>
        <w:jc w:val="both"/>
      </w:pPr>
      <w:r>
        <w:rPr>
          <w:color w:val="231F20"/>
          <w:spacing w:val="-4"/>
          <w:w w:val="105"/>
        </w:rPr>
        <w:t>For </w:t>
      </w:r>
      <w:r>
        <w:rPr>
          <w:color w:val="231F20"/>
          <w:w w:val="105"/>
        </w:rPr>
        <w:t>schools, finding ways to incorporate the continued large population of undocumented immigrant children and children of undocumented parents</w:t>
      </w:r>
      <w:r>
        <w:rPr>
          <w:color w:val="231F20"/>
          <w:spacing w:val="-8"/>
          <w:w w:val="105"/>
        </w:rPr>
        <w:t> </w:t>
      </w:r>
      <w:r>
        <w:rPr>
          <w:color w:val="231F20"/>
          <w:w w:val="105"/>
        </w:rPr>
        <w:t>remains</w:t>
      </w:r>
      <w:r>
        <w:rPr>
          <w:color w:val="231F20"/>
          <w:spacing w:val="-8"/>
          <w:w w:val="105"/>
        </w:rPr>
        <w:t> </w:t>
      </w:r>
      <w:r>
        <w:rPr>
          <w:color w:val="231F20"/>
          <w:w w:val="105"/>
        </w:rPr>
        <w:t>a</w:t>
      </w:r>
      <w:r>
        <w:rPr>
          <w:color w:val="231F20"/>
          <w:spacing w:val="-8"/>
          <w:w w:val="105"/>
        </w:rPr>
        <w:t> </w:t>
      </w:r>
      <w:r>
        <w:rPr>
          <w:color w:val="231F20"/>
          <w:w w:val="105"/>
        </w:rPr>
        <w:t>public</w:t>
      </w:r>
      <w:r>
        <w:rPr>
          <w:color w:val="231F20"/>
          <w:spacing w:val="-8"/>
          <w:w w:val="105"/>
        </w:rPr>
        <w:t> </w:t>
      </w:r>
      <w:r>
        <w:rPr>
          <w:color w:val="231F20"/>
          <w:w w:val="105"/>
        </w:rPr>
        <w:t>policy</w:t>
      </w:r>
      <w:r>
        <w:rPr>
          <w:color w:val="231F20"/>
          <w:spacing w:val="-8"/>
          <w:w w:val="105"/>
        </w:rPr>
        <w:t> </w:t>
      </w:r>
      <w:r>
        <w:rPr>
          <w:color w:val="231F20"/>
          <w:w w:val="105"/>
        </w:rPr>
        <w:t>imperative.</w:t>
      </w:r>
      <w:r>
        <w:rPr>
          <w:color w:val="231F20"/>
          <w:spacing w:val="-17"/>
          <w:w w:val="105"/>
        </w:rPr>
        <w:t> </w:t>
      </w:r>
      <w:r>
        <w:rPr>
          <w:color w:val="231F20"/>
          <w:w w:val="105"/>
        </w:rPr>
        <w:t>A</w:t>
      </w:r>
      <w:r>
        <w:rPr>
          <w:color w:val="231F20"/>
          <w:spacing w:val="-12"/>
          <w:w w:val="105"/>
        </w:rPr>
        <w:t> </w:t>
      </w:r>
      <w:r>
        <w:rPr>
          <w:color w:val="231F20"/>
          <w:w w:val="105"/>
        </w:rPr>
        <w:t>report</w:t>
      </w:r>
      <w:r>
        <w:rPr>
          <w:color w:val="231F20"/>
          <w:spacing w:val="-8"/>
          <w:w w:val="105"/>
        </w:rPr>
        <w:t> </w:t>
      </w:r>
      <w:r>
        <w:rPr>
          <w:color w:val="231F20"/>
          <w:w w:val="105"/>
        </w:rPr>
        <w:t>by</w:t>
      </w:r>
      <w:r>
        <w:rPr>
          <w:color w:val="231F20"/>
          <w:spacing w:val="-8"/>
          <w:w w:val="105"/>
        </w:rPr>
        <w:t> </w:t>
      </w:r>
      <w:r>
        <w:rPr>
          <w:color w:val="231F20"/>
          <w:spacing w:val="-3"/>
          <w:w w:val="105"/>
        </w:rPr>
        <w:t>Passel</w:t>
      </w:r>
      <w:r>
        <w:rPr>
          <w:color w:val="231F20"/>
          <w:spacing w:val="-8"/>
          <w:w w:val="105"/>
        </w:rPr>
        <w:t> </w:t>
      </w:r>
      <w:r>
        <w:rPr>
          <w:color w:val="231F20"/>
          <w:w w:val="105"/>
        </w:rPr>
        <w:t>and</w:t>
      </w:r>
      <w:r>
        <w:rPr>
          <w:color w:val="231F20"/>
          <w:spacing w:val="-8"/>
          <w:w w:val="105"/>
        </w:rPr>
        <w:t> </w:t>
      </w:r>
      <w:r>
        <w:rPr>
          <w:color w:val="231F20"/>
          <w:w w:val="105"/>
        </w:rPr>
        <w:t>Cohn (2014) at the </w:t>
      </w:r>
      <w:r>
        <w:rPr>
          <w:color w:val="231F20"/>
          <w:spacing w:val="-6"/>
          <w:w w:val="105"/>
        </w:rPr>
        <w:t>Pew </w:t>
      </w:r>
      <w:r>
        <w:rPr>
          <w:color w:val="231F20"/>
          <w:w w:val="105"/>
        </w:rPr>
        <w:t>Research Center found as the number of unauthori- zed Mexicans has dropped, unauthorized immigrants from South Ame- rica,</w:t>
      </w:r>
      <w:r>
        <w:rPr>
          <w:color w:val="231F20"/>
          <w:spacing w:val="-21"/>
          <w:w w:val="105"/>
        </w:rPr>
        <w:t> </w:t>
      </w:r>
      <w:r>
        <w:rPr>
          <w:color w:val="231F20"/>
          <w:w w:val="105"/>
        </w:rPr>
        <w:t>European</w:t>
      </w:r>
      <w:r>
        <w:rPr>
          <w:color w:val="231F20"/>
          <w:spacing w:val="-15"/>
          <w:w w:val="105"/>
        </w:rPr>
        <w:t> </w:t>
      </w:r>
      <w:r>
        <w:rPr>
          <w:color w:val="231F20"/>
          <w:w w:val="105"/>
        </w:rPr>
        <w:t>countries,</w:t>
      </w:r>
      <w:r>
        <w:rPr>
          <w:color w:val="231F20"/>
          <w:spacing w:val="-21"/>
          <w:w w:val="105"/>
        </w:rPr>
        <w:t> </w:t>
      </w:r>
      <w:r>
        <w:rPr>
          <w:color w:val="231F20"/>
          <w:w w:val="105"/>
        </w:rPr>
        <w:t>and</w:t>
      </w:r>
      <w:r>
        <w:rPr>
          <w:color w:val="231F20"/>
          <w:spacing w:val="-15"/>
          <w:w w:val="105"/>
        </w:rPr>
        <w:t> </w:t>
      </w:r>
      <w:r>
        <w:rPr>
          <w:color w:val="231F20"/>
          <w:w w:val="105"/>
        </w:rPr>
        <w:t>Canada</w:t>
      </w:r>
      <w:r>
        <w:rPr>
          <w:color w:val="231F20"/>
          <w:spacing w:val="-15"/>
          <w:w w:val="105"/>
        </w:rPr>
        <w:t> </w:t>
      </w:r>
      <w:r>
        <w:rPr>
          <w:color w:val="231F20"/>
          <w:w w:val="105"/>
        </w:rPr>
        <w:t>have</w:t>
      </w:r>
      <w:r>
        <w:rPr>
          <w:color w:val="231F20"/>
          <w:spacing w:val="-15"/>
          <w:w w:val="105"/>
        </w:rPr>
        <w:t> </w:t>
      </w:r>
      <w:r>
        <w:rPr>
          <w:color w:val="231F20"/>
          <w:w w:val="105"/>
        </w:rPr>
        <w:t>held</w:t>
      </w:r>
      <w:r>
        <w:rPr>
          <w:color w:val="231F20"/>
          <w:spacing w:val="-15"/>
          <w:w w:val="105"/>
        </w:rPr>
        <w:t> </w:t>
      </w:r>
      <w:r>
        <w:rPr>
          <w:color w:val="231F20"/>
          <w:w w:val="105"/>
        </w:rPr>
        <w:t>steady,</w:t>
      </w:r>
      <w:r>
        <w:rPr>
          <w:color w:val="231F20"/>
          <w:spacing w:val="-21"/>
          <w:w w:val="105"/>
        </w:rPr>
        <w:t> </w:t>
      </w:r>
      <w:r>
        <w:rPr>
          <w:color w:val="231F20"/>
          <w:w w:val="105"/>
        </w:rPr>
        <w:t>and</w:t>
      </w:r>
      <w:r>
        <w:rPr>
          <w:color w:val="231F20"/>
          <w:spacing w:val="-15"/>
          <w:w w:val="105"/>
        </w:rPr>
        <w:t> </w:t>
      </w:r>
      <w:r>
        <w:rPr>
          <w:color w:val="231F20"/>
          <w:w w:val="105"/>
        </w:rPr>
        <w:t>numbers</w:t>
      </w:r>
      <w:r>
        <w:rPr>
          <w:color w:val="231F20"/>
          <w:spacing w:val="-15"/>
          <w:w w:val="105"/>
        </w:rPr>
        <w:t> </w:t>
      </w:r>
      <w:r>
        <w:rPr>
          <w:color w:val="231F20"/>
          <w:w w:val="105"/>
        </w:rPr>
        <w:t>of unauthorized</w:t>
      </w:r>
      <w:r>
        <w:rPr>
          <w:color w:val="231F20"/>
          <w:spacing w:val="-21"/>
          <w:w w:val="105"/>
        </w:rPr>
        <w:t> </w:t>
      </w:r>
      <w:r>
        <w:rPr>
          <w:color w:val="231F20"/>
          <w:w w:val="105"/>
        </w:rPr>
        <w:t>immigrants</w:t>
      </w:r>
      <w:r>
        <w:rPr>
          <w:color w:val="231F20"/>
          <w:spacing w:val="-21"/>
          <w:w w:val="105"/>
        </w:rPr>
        <w:t> </w:t>
      </w:r>
      <w:r>
        <w:rPr>
          <w:color w:val="231F20"/>
          <w:w w:val="105"/>
        </w:rPr>
        <w:t>from</w:t>
      </w:r>
      <w:r>
        <w:rPr>
          <w:color w:val="231F20"/>
          <w:spacing w:val="-24"/>
          <w:w w:val="105"/>
        </w:rPr>
        <w:t> </w:t>
      </w:r>
      <w:r>
        <w:rPr>
          <w:color w:val="231F20"/>
          <w:w w:val="105"/>
        </w:rPr>
        <w:t>Asia,</w:t>
      </w:r>
      <w:r>
        <w:rPr>
          <w:color w:val="231F20"/>
          <w:spacing w:val="-25"/>
          <w:w w:val="105"/>
        </w:rPr>
        <w:t> </w:t>
      </w:r>
      <w:r>
        <w:rPr>
          <w:color w:val="231F20"/>
          <w:w w:val="105"/>
        </w:rPr>
        <w:t>the</w:t>
      </w:r>
      <w:r>
        <w:rPr>
          <w:color w:val="231F20"/>
          <w:spacing w:val="-21"/>
          <w:w w:val="105"/>
        </w:rPr>
        <w:t> </w:t>
      </w:r>
      <w:r>
        <w:rPr>
          <w:color w:val="231F20"/>
          <w:w w:val="105"/>
        </w:rPr>
        <w:t>Caribbean,</w:t>
      </w:r>
      <w:r>
        <w:rPr>
          <w:color w:val="231F20"/>
          <w:spacing w:val="-25"/>
          <w:w w:val="105"/>
        </w:rPr>
        <w:t> </w:t>
      </w:r>
      <w:r>
        <w:rPr>
          <w:color w:val="231F20"/>
          <w:w w:val="105"/>
        </w:rPr>
        <w:t>Central</w:t>
      </w:r>
      <w:r>
        <w:rPr>
          <w:color w:val="231F20"/>
          <w:spacing w:val="-24"/>
          <w:w w:val="105"/>
        </w:rPr>
        <w:t> </w:t>
      </w:r>
      <w:r>
        <w:rPr>
          <w:color w:val="231F20"/>
          <w:w w:val="105"/>
        </w:rPr>
        <w:t>America,</w:t>
      </w:r>
      <w:r>
        <w:rPr>
          <w:color w:val="231F20"/>
          <w:spacing w:val="-25"/>
          <w:w w:val="105"/>
        </w:rPr>
        <w:t> </w:t>
      </w:r>
      <w:r>
        <w:rPr>
          <w:color w:val="231F20"/>
          <w:w w:val="105"/>
        </w:rPr>
        <w:t>and other</w:t>
      </w:r>
      <w:r>
        <w:rPr>
          <w:color w:val="231F20"/>
          <w:spacing w:val="-15"/>
          <w:w w:val="105"/>
        </w:rPr>
        <w:t> </w:t>
      </w:r>
      <w:r>
        <w:rPr>
          <w:color w:val="231F20"/>
          <w:w w:val="105"/>
        </w:rPr>
        <w:t>countries</w:t>
      </w:r>
      <w:r>
        <w:rPr>
          <w:color w:val="231F20"/>
          <w:spacing w:val="-15"/>
          <w:w w:val="105"/>
        </w:rPr>
        <w:t> </w:t>
      </w:r>
      <w:r>
        <w:rPr>
          <w:color w:val="231F20"/>
          <w:w w:val="105"/>
        </w:rPr>
        <w:t>have</w:t>
      </w:r>
      <w:r>
        <w:rPr>
          <w:color w:val="231F20"/>
          <w:spacing w:val="-15"/>
          <w:w w:val="105"/>
        </w:rPr>
        <w:t> </w:t>
      </w:r>
      <w:r>
        <w:rPr>
          <w:color w:val="231F20"/>
          <w:w w:val="105"/>
        </w:rPr>
        <w:t>grown</w:t>
      </w:r>
      <w:r>
        <w:rPr>
          <w:color w:val="231F20"/>
          <w:spacing w:val="-15"/>
          <w:w w:val="105"/>
        </w:rPr>
        <w:t> </w:t>
      </w:r>
      <w:r>
        <w:rPr>
          <w:color w:val="231F20"/>
          <w:w w:val="105"/>
        </w:rPr>
        <w:t>slightly</w:t>
      </w:r>
      <w:r>
        <w:rPr>
          <w:color w:val="231F20"/>
          <w:spacing w:val="-15"/>
          <w:w w:val="105"/>
        </w:rPr>
        <w:t> </w:t>
      </w:r>
      <w:r>
        <w:rPr>
          <w:color w:val="231F20"/>
          <w:w w:val="105"/>
        </w:rPr>
        <w:t>(Passel</w:t>
      </w:r>
      <w:r>
        <w:rPr>
          <w:color w:val="231F20"/>
          <w:spacing w:val="-15"/>
          <w:w w:val="105"/>
        </w:rPr>
        <w:t> </w:t>
      </w:r>
      <w:r>
        <w:rPr>
          <w:color w:val="231F20"/>
          <w:w w:val="105"/>
        </w:rPr>
        <w:t>and</w:t>
      </w:r>
      <w:r>
        <w:rPr>
          <w:color w:val="231F20"/>
          <w:spacing w:val="-15"/>
          <w:w w:val="105"/>
        </w:rPr>
        <w:t> </w:t>
      </w:r>
      <w:r>
        <w:rPr>
          <w:color w:val="231F20"/>
          <w:w w:val="105"/>
        </w:rPr>
        <w:t>Cohn,</w:t>
      </w:r>
      <w:r>
        <w:rPr>
          <w:color w:val="231F20"/>
          <w:spacing w:val="-20"/>
          <w:w w:val="105"/>
        </w:rPr>
        <w:t> </w:t>
      </w:r>
      <w:r>
        <w:rPr>
          <w:color w:val="231F20"/>
          <w:w w:val="105"/>
        </w:rPr>
        <w:t>2014,</w:t>
      </w:r>
      <w:r>
        <w:rPr>
          <w:color w:val="231F20"/>
          <w:spacing w:val="-20"/>
          <w:w w:val="105"/>
        </w:rPr>
        <w:t> </w:t>
      </w:r>
      <w:r>
        <w:rPr>
          <w:color w:val="231F20"/>
          <w:w w:val="105"/>
        </w:rPr>
        <w:t>p.</w:t>
      </w:r>
      <w:r>
        <w:rPr>
          <w:color w:val="231F20"/>
          <w:spacing w:val="-20"/>
          <w:w w:val="105"/>
        </w:rPr>
        <w:t> </w:t>
      </w:r>
      <w:r>
        <w:rPr>
          <w:color w:val="231F20"/>
          <w:w w:val="105"/>
        </w:rPr>
        <w:t>9).</w:t>
      </w:r>
      <w:r>
        <w:rPr>
          <w:color w:val="231F20"/>
          <w:spacing w:val="-23"/>
          <w:w w:val="105"/>
        </w:rPr>
        <w:t> </w:t>
      </w:r>
      <w:r>
        <w:rPr>
          <w:color w:val="231F20"/>
          <w:w w:val="105"/>
        </w:rPr>
        <w:t>These numbers</w:t>
      </w:r>
      <w:r>
        <w:rPr>
          <w:color w:val="231F20"/>
          <w:spacing w:val="-13"/>
          <w:w w:val="105"/>
        </w:rPr>
        <w:t> </w:t>
      </w:r>
      <w:r>
        <w:rPr>
          <w:color w:val="231F20"/>
          <w:w w:val="105"/>
        </w:rPr>
        <w:t>are</w:t>
      </w:r>
      <w:r>
        <w:rPr>
          <w:color w:val="231F20"/>
          <w:spacing w:val="-13"/>
          <w:w w:val="105"/>
        </w:rPr>
        <w:t> </w:t>
      </w:r>
      <w:r>
        <w:rPr>
          <w:color w:val="231F20"/>
          <w:w w:val="105"/>
        </w:rPr>
        <w:t>important</w:t>
      </w:r>
      <w:r>
        <w:rPr>
          <w:color w:val="231F20"/>
          <w:spacing w:val="-13"/>
          <w:w w:val="105"/>
        </w:rPr>
        <w:t> </w:t>
      </w:r>
      <w:r>
        <w:rPr>
          <w:color w:val="231F20"/>
          <w:w w:val="105"/>
        </w:rPr>
        <w:t>for</w:t>
      </w:r>
      <w:r>
        <w:rPr>
          <w:color w:val="231F20"/>
          <w:spacing w:val="-13"/>
          <w:w w:val="105"/>
        </w:rPr>
        <w:t> </w:t>
      </w:r>
      <w:r>
        <w:rPr>
          <w:color w:val="231F20"/>
          <w:w w:val="105"/>
        </w:rPr>
        <w:t>future</w:t>
      </w:r>
      <w:r>
        <w:rPr>
          <w:color w:val="231F20"/>
          <w:spacing w:val="-13"/>
          <w:w w:val="105"/>
        </w:rPr>
        <w:t> </w:t>
      </w:r>
      <w:r>
        <w:rPr>
          <w:color w:val="231F20"/>
          <w:w w:val="105"/>
        </w:rPr>
        <w:t>immigration</w:t>
      </w:r>
      <w:r>
        <w:rPr>
          <w:color w:val="231F20"/>
          <w:spacing w:val="-13"/>
          <w:w w:val="105"/>
        </w:rPr>
        <w:t> </w:t>
      </w:r>
      <w:r>
        <w:rPr>
          <w:color w:val="231F20"/>
          <w:w w:val="105"/>
        </w:rPr>
        <w:t>policies</w:t>
      </w:r>
      <w:r>
        <w:rPr>
          <w:color w:val="231F20"/>
          <w:spacing w:val="-13"/>
          <w:w w:val="105"/>
        </w:rPr>
        <w:t> </w:t>
      </w:r>
      <w:r>
        <w:rPr>
          <w:color w:val="231F20"/>
          <w:w w:val="105"/>
        </w:rPr>
        <w:t>because</w:t>
      </w:r>
      <w:r>
        <w:rPr>
          <w:color w:val="231F20"/>
          <w:spacing w:val="-13"/>
          <w:w w:val="105"/>
        </w:rPr>
        <w:t> </w:t>
      </w:r>
      <w:r>
        <w:rPr>
          <w:color w:val="231F20"/>
          <w:w w:val="105"/>
        </w:rPr>
        <w:t>the</w:t>
      </w:r>
      <w:r>
        <w:rPr>
          <w:color w:val="231F20"/>
          <w:spacing w:val="-13"/>
          <w:w w:val="105"/>
        </w:rPr>
        <w:t> </w:t>
      </w:r>
      <w:r>
        <w:rPr>
          <w:color w:val="231F20"/>
          <w:w w:val="105"/>
        </w:rPr>
        <w:t>share of children in grades K-12 with unauthorized immigrant parents was as high</w:t>
      </w:r>
      <w:r>
        <w:rPr>
          <w:color w:val="231F20"/>
          <w:spacing w:val="-3"/>
          <w:w w:val="105"/>
        </w:rPr>
        <w:t> </w:t>
      </w:r>
      <w:r>
        <w:rPr>
          <w:color w:val="231F20"/>
          <w:w w:val="105"/>
        </w:rPr>
        <w:t>as</w:t>
      </w:r>
      <w:r>
        <w:rPr>
          <w:color w:val="231F20"/>
          <w:spacing w:val="-3"/>
          <w:w w:val="105"/>
        </w:rPr>
        <w:t> </w:t>
      </w:r>
      <w:r>
        <w:rPr>
          <w:color w:val="231F20"/>
          <w:w w:val="105"/>
        </w:rPr>
        <w:t>17.7</w:t>
      </w:r>
      <w:r>
        <w:rPr>
          <w:color w:val="231F20"/>
          <w:spacing w:val="-3"/>
          <w:w w:val="105"/>
        </w:rPr>
        <w:t> </w:t>
      </w:r>
      <w:r>
        <w:rPr>
          <w:color w:val="231F20"/>
          <w:w w:val="105"/>
        </w:rPr>
        <w:t>percent</w:t>
      </w:r>
      <w:r>
        <w:rPr>
          <w:color w:val="231F20"/>
          <w:spacing w:val="-3"/>
          <w:w w:val="105"/>
        </w:rPr>
        <w:t> </w:t>
      </w:r>
      <w:r>
        <w:rPr>
          <w:color w:val="231F20"/>
          <w:w w:val="105"/>
        </w:rPr>
        <w:t>in</w:t>
      </w:r>
      <w:r>
        <w:rPr>
          <w:color w:val="231F20"/>
          <w:spacing w:val="-3"/>
          <w:w w:val="105"/>
        </w:rPr>
        <w:t> </w:t>
      </w:r>
      <w:r>
        <w:rPr>
          <w:color w:val="231F20"/>
          <w:w w:val="105"/>
        </w:rPr>
        <w:t>Nevada,</w:t>
      </w:r>
      <w:r>
        <w:rPr>
          <w:color w:val="231F20"/>
          <w:spacing w:val="-9"/>
          <w:w w:val="105"/>
        </w:rPr>
        <w:t> </w:t>
      </w:r>
      <w:r>
        <w:rPr>
          <w:color w:val="231F20"/>
          <w:w w:val="105"/>
        </w:rPr>
        <w:t>13.1</w:t>
      </w:r>
      <w:r>
        <w:rPr>
          <w:color w:val="231F20"/>
          <w:spacing w:val="-3"/>
          <w:w w:val="105"/>
        </w:rPr>
        <w:t> </w:t>
      </w:r>
      <w:r>
        <w:rPr>
          <w:color w:val="231F20"/>
          <w:w w:val="105"/>
        </w:rPr>
        <w:t>percent</w:t>
      </w:r>
      <w:r>
        <w:rPr>
          <w:color w:val="231F20"/>
          <w:spacing w:val="-3"/>
          <w:w w:val="105"/>
        </w:rPr>
        <w:t> </w:t>
      </w:r>
      <w:r>
        <w:rPr>
          <w:color w:val="231F20"/>
          <w:w w:val="105"/>
        </w:rPr>
        <w:t>in</w:t>
      </w:r>
      <w:r>
        <w:rPr>
          <w:color w:val="231F20"/>
          <w:spacing w:val="-3"/>
          <w:w w:val="105"/>
        </w:rPr>
        <w:t> </w:t>
      </w:r>
      <w:r>
        <w:rPr>
          <w:color w:val="231F20"/>
          <w:w w:val="105"/>
        </w:rPr>
        <w:t>California,</w:t>
      </w:r>
      <w:r>
        <w:rPr>
          <w:color w:val="231F20"/>
          <w:spacing w:val="-9"/>
          <w:w w:val="105"/>
        </w:rPr>
        <w:t> </w:t>
      </w:r>
      <w:r>
        <w:rPr>
          <w:color w:val="231F20"/>
          <w:w w:val="105"/>
        </w:rPr>
        <w:t>13.1</w:t>
      </w:r>
      <w:r>
        <w:rPr>
          <w:color w:val="231F20"/>
          <w:spacing w:val="-3"/>
          <w:w w:val="105"/>
        </w:rPr>
        <w:t> </w:t>
      </w:r>
      <w:r>
        <w:rPr>
          <w:color w:val="231F20"/>
          <w:w w:val="105"/>
        </w:rPr>
        <w:t>percent in</w:t>
      </w:r>
      <w:r>
        <w:rPr>
          <w:color w:val="231F20"/>
          <w:spacing w:val="-6"/>
          <w:w w:val="105"/>
        </w:rPr>
        <w:t> </w:t>
      </w:r>
      <w:r>
        <w:rPr>
          <w:color w:val="231F20"/>
          <w:spacing w:val="-4"/>
          <w:w w:val="105"/>
        </w:rPr>
        <w:t>Texas,</w:t>
      </w:r>
      <w:r>
        <w:rPr>
          <w:color w:val="231F20"/>
          <w:spacing w:val="-7"/>
          <w:w w:val="105"/>
        </w:rPr>
        <w:t> </w:t>
      </w:r>
      <w:r>
        <w:rPr>
          <w:color w:val="231F20"/>
          <w:w w:val="105"/>
        </w:rPr>
        <w:t>and</w:t>
      </w:r>
      <w:r>
        <w:rPr>
          <w:color w:val="231F20"/>
          <w:spacing w:val="-2"/>
          <w:w w:val="105"/>
        </w:rPr>
        <w:t> </w:t>
      </w:r>
      <w:r>
        <w:rPr>
          <w:color w:val="231F20"/>
          <w:w w:val="105"/>
        </w:rPr>
        <w:t>11</w:t>
      </w:r>
      <w:r>
        <w:rPr>
          <w:color w:val="231F20"/>
          <w:spacing w:val="-2"/>
          <w:w w:val="105"/>
        </w:rPr>
        <w:t> </w:t>
      </w:r>
      <w:r>
        <w:rPr>
          <w:color w:val="231F20"/>
          <w:w w:val="105"/>
        </w:rPr>
        <w:t>percent</w:t>
      </w:r>
      <w:r>
        <w:rPr>
          <w:color w:val="231F20"/>
          <w:spacing w:val="-2"/>
          <w:w w:val="105"/>
        </w:rPr>
        <w:t> </w:t>
      </w:r>
      <w:r>
        <w:rPr>
          <w:color w:val="231F20"/>
          <w:w w:val="105"/>
        </w:rPr>
        <w:t>in</w:t>
      </w:r>
      <w:r>
        <w:rPr>
          <w:color w:val="231F20"/>
          <w:spacing w:val="-5"/>
          <w:w w:val="105"/>
        </w:rPr>
        <w:t> </w:t>
      </w:r>
      <w:r>
        <w:rPr>
          <w:color w:val="231F20"/>
          <w:w w:val="105"/>
        </w:rPr>
        <w:t>Arizona.</w:t>
      </w:r>
      <w:r>
        <w:rPr>
          <w:color w:val="231F20"/>
          <w:spacing w:val="-7"/>
          <w:w w:val="105"/>
        </w:rPr>
        <w:t> </w:t>
      </w:r>
      <w:r>
        <w:rPr>
          <w:color w:val="231F20"/>
          <w:w w:val="105"/>
        </w:rPr>
        <w:t>California,</w:t>
      </w:r>
      <w:r>
        <w:rPr>
          <w:color w:val="231F20"/>
          <w:spacing w:val="-11"/>
          <w:w w:val="105"/>
        </w:rPr>
        <w:t> </w:t>
      </w:r>
      <w:r>
        <w:rPr>
          <w:color w:val="231F20"/>
          <w:spacing w:val="-4"/>
          <w:w w:val="105"/>
        </w:rPr>
        <w:t>Texas,</w:t>
      </w:r>
      <w:r>
        <w:rPr>
          <w:color w:val="231F20"/>
          <w:spacing w:val="-7"/>
          <w:w w:val="105"/>
        </w:rPr>
        <w:t> </w:t>
      </w:r>
      <w:r>
        <w:rPr>
          <w:color w:val="231F20"/>
          <w:w w:val="105"/>
        </w:rPr>
        <w:t>Florida,</w:t>
      </w:r>
      <w:r>
        <w:rPr>
          <w:color w:val="231F20"/>
          <w:spacing w:val="-7"/>
          <w:w w:val="105"/>
        </w:rPr>
        <w:t> </w:t>
      </w:r>
      <w:r>
        <w:rPr>
          <w:color w:val="231F20"/>
          <w:w w:val="105"/>
        </w:rPr>
        <w:t>and</w:t>
      </w:r>
      <w:r>
        <w:rPr>
          <w:color w:val="231F20"/>
          <w:spacing w:val="-2"/>
          <w:w w:val="105"/>
        </w:rPr>
        <w:t> </w:t>
      </w:r>
      <w:r>
        <w:rPr>
          <w:color w:val="231F20"/>
          <w:w w:val="105"/>
        </w:rPr>
        <w:t>New </w:t>
      </w:r>
      <w:r>
        <w:rPr>
          <w:color w:val="231F20"/>
          <w:spacing w:val="-5"/>
          <w:w w:val="105"/>
        </w:rPr>
        <w:t>York</w:t>
      </w:r>
      <w:r>
        <w:rPr>
          <w:color w:val="231F20"/>
          <w:spacing w:val="-8"/>
          <w:w w:val="105"/>
        </w:rPr>
        <w:t> </w:t>
      </w:r>
      <w:r>
        <w:rPr>
          <w:color w:val="231F20"/>
          <w:w w:val="105"/>
        </w:rPr>
        <w:t>continued</w:t>
      </w:r>
      <w:r>
        <w:rPr>
          <w:color w:val="231F20"/>
          <w:spacing w:val="-8"/>
          <w:w w:val="105"/>
        </w:rPr>
        <w:t> </w:t>
      </w:r>
      <w:r>
        <w:rPr>
          <w:color w:val="231F20"/>
          <w:w w:val="105"/>
        </w:rPr>
        <w:t>to</w:t>
      </w:r>
      <w:r>
        <w:rPr>
          <w:color w:val="231F20"/>
          <w:spacing w:val="-8"/>
          <w:w w:val="105"/>
        </w:rPr>
        <w:t> </w:t>
      </w:r>
      <w:r>
        <w:rPr>
          <w:color w:val="231F20"/>
          <w:w w:val="105"/>
        </w:rPr>
        <w:t>have</w:t>
      </w:r>
      <w:r>
        <w:rPr>
          <w:color w:val="231F20"/>
          <w:spacing w:val="-8"/>
          <w:w w:val="105"/>
        </w:rPr>
        <w:t> </w:t>
      </w:r>
      <w:r>
        <w:rPr>
          <w:color w:val="231F20"/>
          <w:w w:val="105"/>
        </w:rPr>
        <w:t>the</w:t>
      </w:r>
      <w:r>
        <w:rPr>
          <w:color w:val="231F20"/>
          <w:spacing w:val="-8"/>
          <w:w w:val="105"/>
        </w:rPr>
        <w:t> </w:t>
      </w:r>
      <w:r>
        <w:rPr>
          <w:color w:val="231F20"/>
          <w:w w:val="105"/>
        </w:rPr>
        <w:t>highest</w:t>
      </w:r>
      <w:r>
        <w:rPr>
          <w:color w:val="231F20"/>
          <w:spacing w:val="-8"/>
          <w:w w:val="105"/>
        </w:rPr>
        <w:t> </w:t>
      </w:r>
      <w:r>
        <w:rPr>
          <w:color w:val="231F20"/>
          <w:w w:val="105"/>
        </w:rPr>
        <w:t>unauthorized</w:t>
      </w:r>
      <w:r>
        <w:rPr>
          <w:color w:val="231F20"/>
          <w:spacing w:val="-8"/>
          <w:w w:val="105"/>
        </w:rPr>
        <w:t> </w:t>
      </w:r>
      <w:r>
        <w:rPr>
          <w:color w:val="231F20"/>
          <w:w w:val="105"/>
        </w:rPr>
        <w:t>immigrant</w:t>
      </w:r>
      <w:r>
        <w:rPr>
          <w:color w:val="231F20"/>
          <w:spacing w:val="-8"/>
          <w:w w:val="105"/>
        </w:rPr>
        <w:t> </w:t>
      </w:r>
      <w:r>
        <w:rPr>
          <w:color w:val="231F20"/>
          <w:w w:val="105"/>
        </w:rPr>
        <w:t>populations, however unauthorized immigrants and their children are present in all states</w:t>
      </w:r>
      <w:r>
        <w:rPr>
          <w:color w:val="231F20"/>
          <w:spacing w:val="-19"/>
          <w:w w:val="105"/>
        </w:rPr>
        <w:t> </w:t>
      </w:r>
      <w:r>
        <w:rPr>
          <w:color w:val="231F20"/>
          <w:w w:val="105"/>
        </w:rPr>
        <w:t>(Passel</w:t>
      </w:r>
      <w:r>
        <w:rPr>
          <w:color w:val="231F20"/>
          <w:spacing w:val="-19"/>
          <w:w w:val="105"/>
        </w:rPr>
        <w:t> </w:t>
      </w:r>
      <w:r>
        <w:rPr>
          <w:color w:val="231F20"/>
          <w:w w:val="105"/>
        </w:rPr>
        <w:t>and</w:t>
      </w:r>
      <w:r>
        <w:rPr>
          <w:color w:val="231F20"/>
          <w:spacing w:val="-19"/>
          <w:w w:val="105"/>
        </w:rPr>
        <w:t> </w:t>
      </w:r>
      <w:r>
        <w:rPr>
          <w:color w:val="231F20"/>
          <w:w w:val="105"/>
        </w:rPr>
        <w:t>Cohn</w:t>
      </w:r>
      <w:r>
        <w:rPr>
          <w:color w:val="231F20"/>
          <w:spacing w:val="-19"/>
          <w:w w:val="105"/>
        </w:rPr>
        <w:t> </w:t>
      </w:r>
      <w:r>
        <w:rPr>
          <w:color w:val="231F20"/>
          <w:w w:val="105"/>
        </w:rPr>
        <w:t>2014,</w:t>
      </w:r>
      <w:r>
        <w:rPr>
          <w:color w:val="231F20"/>
          <w:spacing w:val="-23"/>
          <w:w w:val="105"/>
        </w:rPr>
        <w:t> </w:t>
      </w:r>
      <w:r>
        <w:rPr>
          <w:color w:val="231F20"/>
          <w:w w:val="105"/>
        </w:rPr>
        <w:t>p.</w:t>
      </w:r>
      <w:r>
        <w:rPr>
          <w:color w:val="231F20"/>
          <w:spacing w:val="-23"/>
          <w:w w:val="105"/>
        </w:rPr>
        <w:t> </w:t>
      </w:r>
      <w:r>
        <w:rPr>
          <w:color w:val="231F20"/>
          <w:w w:val="105"/>
        </w:rPr>
        <w:t>11).</w:t>
      </w:r>
      <w:r>
        <w:rPr>
          <w:color w:val="231F20"/>
          <w:spacing w:val="-26"/>
          <w:w w:val="105"/>
        </w:rPr>
        <w:t> </w:t>
      </w:r>
      <w:r>
        <w:rPr>
          <w:color w:val="231F20"/>
          <w:w w:val="105"/>
        </w:rPr>
        <w:t>The</w:t>
      </w:r>
      <w:r>
        <w:rPr>
          <w:color w:val="231F20"/>
          <w:spacing w:val="-19"/>
          <w:w w:val="105"/>
        </w:rPr>
        <w:t> </w:t>
      </w:r>
      <w:r>
        <w:rPr>
          <w:color w:val="231F20"/>
          <w:w w:val="105"/>
        </w:rPr>
        <w:t>seven</w:t>
      </w:r>
      <w:r>
        <w:rPr>
          <w:color w:val="231F20"/>
          <w:spacing w:val="-19"/>
          <w:w w:val="105"/>
        </w:rPr>
        <w:t> </w:t>
      </w:r>
      <w:r>
        <w:rPr>
          <w:color w:val="231F20"/>
          <w:w w:val="105"/>
        </w:rPr>
        <w:t>states</w:t>
      </w:r>
      <w:r>
        <w:rPr>
          <w:color w:val="231F20"/>
          <w:spacing w:val="-19"/>
          <w:w w:val="105"/>
        </w:rPr>
        <w:t> </w:t>
      </w:r>
      <w:r>
        <w:rPr>
          <w:color w:val="231F20"/>
          <w:w w:val="105"/>
        </w:rPr>
        <w:t>where</w:t>
      </w:r>
      <w:r>
        <w:rPr>
          <w:color w:val="231F20"/>
          <w:spacing w:val="-19"/>
          <w:w w:val="105"/>
        </w:rPr>
        <w:t> </w:t>
      </w:r>
      <w:r>
        <w:rPr>
          <w:color w:val="231F20"/>
          <w:w w:val="105"/>
        </w:rPr>
        <w:t>unauthori- zed immigrant populations grew from 2009 to 2012 were Florida,</w:t>
      </w:r>
      <w:r>
        <w:rPr>
          <w:color w:val="231F20"/>
          <w:spacing w:val="-37"/>
          <w:w w:val="105"/>
        </w:rPr>
        <w:t> </w:t>
      </w:r>
      <w:r>
        <w:rPr>
          <w:color w:val="231F20"/>
          <w:w w:val="105"/>
        </w:rPr>
        <w:t>Idaho, Maryland,</w:t>
      </w:r>
      <w:r>
        <w:rPr>
          <w:color w:val="231F20"/>
          <w:spacing w:val="-30"/>
          <w:w w:val="105"/>
        </w:rPr>
        <w:t> </w:t>
      </w:r>
      <w:r>
        <w:rPr>
          <w:color w:val="231F20"/>
          <w:w w:val="105"/>
        </w:rPr>
        <w:t>Nebraska,</w:t>
      </w:r>
      <w:r>
        <w:rPr>
          <w:color w:val="231F20"/>
          <w:spacing w:val="-30"/>
          <w:w w:val="105"/>
        </w:rPr>
        <w:t> </w:t>
      </w:r>
      <w:r>
        <w:rPr>
          <w:color w:val="231F20"/>
          <w:w w:val="105"/>
        </w:rPr>
        <w:t>New</w:t>
      </w:r>
      <w:r>
        <w:rPr>
          <w:color w:val="231F20"/>
          <w:spacing w:val="-29"/>
          <w:w w:val="105"/>
        </w:rPr>
        <w:t> </w:t>
      </w:r>
      <w:r>
        <w:rPr>
          <w:color w:val="231F20"/>
          <w:w w:val="105"/>
        </w:rPr>
        <w:t>Jersey,</w:t>
      </w:r>
      <w:r>
        <w:rPr>
          <w:color w:val="231F20"/>
          <w:spacing w:val="-30"/>
          <w:w w:val="105"/>
        </w:rPr>
        <w:t> </w:t>
      </w:r>
      <w:r>
        <w:rPr>
          <w:color w:val="231F20"/>
          <w:w w:val="105"/>
        </w:rPr>
        <w:t>Pennsylvania,</w:t>
      </w:r>
      <w:r>
        <w:rPr>
          <w:color w:val="231F20"/>
          <w:spacing w:val="-30"/>
          <w:w w:val="105"/>
        </w:rPr>
        <w:t> </w:t>
      </w:r>
      <w:r>
        <w:rPr>
          <w:color w:val="231F20"/>
          <w:w w:val="105"/>
        </w:rPr>
        <w:t>and</w:t>
      </w:r>
      <w:r>
        <w:rPr>
          <w:color w:val="231F20"/>
          <w:spacing w:val="-29"/>
          <w:w w:val="105"/>
        </w:rPr>
        <w:t> </w:t>
      </w:r>
      <w:r>
        <w:rPr>
          <w:color w:val="231F20"/>
          <w:w w:val="105"/>
        </w:rPr>
        <w:t>Virginia.</w:t>
      </w:r>
      <w:r>
        <w:rPr>
          <w:color w:val="231F20"/>
          <w:spacing w:val="-30"/>
          <w:w w:val="105"/>
        </w:rPr>
        <w:t> </w:t>
      </w:r>
      <w:r>
        <w:rPr>
          <w:color w:val="231F20"/>
          <w:spacing w:val="-3"/>
          <w:w w:val="105"/>
        </w:rPr>
        <w:t>Passel</w:t>
      </w:r>
      <w:r>
        <w:rPr>
          <w:color w:val="231F20"/>
          <w:spacing w:val="-27"/>
          <w:w w:val="105"/>
        </w:rPr>
        <w:t> </w:t>
      </w:r>
      <w:r>
        <w:rPr>
          <w:color w:val="231F20"/>
          <w:w w:val="105"/>
        </w:rPr>
        <w:t>and Cohn (2014) reported that children with at least one unauthorized im- migrant parent accounted for 6.9 percent of United States students in kindergarten through 12</w:t>
      </w:r>
      <w:r>
        <w:rPr>
          <w:color w:val="231F20"/>
          <w:w w:val="105"/>
          <w:position w:val="7"/>
          <w:sz w:val="12"/>
        </w:rPr>
        <w:t>th </w:t>
      </w:r>
      <w:r>
        <w:rPr>
          <w:color w:val="231F20"/>
          <w:w w:val="105"/>
        </w:rPr>
        <w:t>grade in 2012. This report did not breakdown the percentage of these children whose home language is other than English, but it is safe to say that many of these children are English</w:t>
      </w:r>
      <w:r>
        <w:rPr>
          <w:color w:val="231F20"/>
          <w:spacing w:val="-40"/>
          <w:w w:val="105"/>
        </w:rPr>
        <w:t> </w:t>
      </w:r>
      <w:r>
        <w:rPr>
          <w:color w:val="231F20"/>
          <w:w w:val="105"/>
        </w:rPr>
        <w:t>lan- guage</w:t>
      </w:r>
      <w:r>
        <w:rPr>
          <w:color w:val="231F20"/>
          <w:spacing w:val="-28"/>
          <w:w w:val="105"/>
        </w:rPr>
        <w:t> </w:t>
      </w:r>
      <w:r>
        <w:rPr>
          <w:color w:val="231F20"/>
          <w:w w:val="105"/>
        </w:rPr>
        <w:t>learners.</w:t>
      </w:r>
      <w:r>
        <w:rPr>
          <w:color w:val="231F20"/>
          <w:spacing w:val="-32"/>
          <w:w w:val="105"/>
        </w:rPr>
        <w:t> </w:t>
      </w:r>
      <w:r>
        <w:rPr>
          <w:color w:val="231F20"/>
          <w:w w:val="105"/>
        </w:rPr>
        <w:t>Spanish</w:t>
      </w:r>
      <w:r>
        <w:rPr>
          <w:color w:val="231F20"/>
          <w:spacing w:val="-28"/>
          <w:w w:val="105"/>
        </w:rPr>
        <w:t> </w:t>
      </w:r>
      <w:r>
        <w:rPr>
          <w:color w:val="231F20"/>
          <w:w w:val="105"/>
        </w:rPr>
        <w:t>speaking</w:t>
      </w:r>
      <w:r>
        <w:rPr>
          <w:color w:val="231F20"/>
          <w:spacing w:val="-28"/>
          <w:w w:val="105"/>
        </w:rPr>
        <w:t> </w:t>
      </w:r>
      <w:r>
        <w:rPr>
          <w:color w:val="231F20"/>
          <w:w w:val="105"/>
        </w:rPr>
        <w:t>countries,</w:t>
      </w:r>
      <w:r>
        <w:rPr>
          <w:color w:val="231F20"/>
          <w:spacing w:val="-32"/>
          <w:w w:val="105"/>
        </w:rPr>
        <w:t> </w:t>
      </w:r>
      <w:r>
        <w:rPr>
          <w:color w:val="231F20"/>
          <w:w w:val="105"/>
        </w:rPr>
        <w:t>such</w:t>
      </w:r>
      <w:r>
        <w:rPr>
          <w:color w:val="231F20"/>
          <w:spacing w:val="-28"/>
          <w:w w:val="105"/>
        </w:rPr>
        <w:t> </w:t>
      </w:r>
      <w:r>
        <w:rPr>
          <w:color w:val="231F20"/>
          <w:w w:val="105"/>
        </w:rPr>
        <w:t>as</w:t>
      </w:r>
      <w:r>
        <w:rPr>
          <w:color w:val="231F20"/>
          <w:spacing w:val="-28"/>
          <w:w w:val="105"/>
        </w:rPr>
        <w:t> </w:t>
      </w:r>
      <w:r>
        <w:rPr>
          <w:color w:val="231F20"/>
          <w:w w:val="105"/>
        </w:rPr>
        <w:t>Mexico,</w:t>
      </w:r>
      <w:r>
        <w:rPr>
          <w:color w:val="231F20"/>
          <w:spacing w:val="-32"/>
          <w:w w:val="105"/>
        </w:rPr>
        <w:t> </w:t>
      </w:r>
      <w:r>
        <w:rPr>
          <w:color w:val="231F20"/>
          <w:w w:val="105"/>
        </w:rPr>
        <w:t>and</w:t>
      </w:r>
      <w:r>
        <w:rPr>
          <w:color w:val="231F20"/>
          <w:spacing w:val="-28"/>
          <w:w w:val="105"/>
        </w:rPr>
        <w:t> </w:t>
      </w:r>
      <w:r>
        <w:rPr>
          <w:color w:val="231F20"/>
          <w:w w:val="105"/>
        </w:rPr>
        <w:t>Central American</w:t>
      </w:r>
      <w:r>
        <w:rPr>
          <w:color w:val="231F20"/>
          <w:spacing w:val="-5"/>
          <w:w w:val="105"/>
        </w:rPr>
        <w:t> </w:t>
      </w:r>
      <w:r>
        <w:rPr>
          <w:color w:val="231F20"/>
          <w:w w:val="105"/>
        </w:rPr>
        <w:t>countries</w:t>
      </w:r>
      <w:r>
        <w:rPr>
          <w:color w:val="231F20"/>
          <w:spacing w:val="-5"/>
          <w:w w:val="105"/>
        </w:rPr>
        <w:t> </w:t>
      </w:r>
      <w:r>
        <w:rPr>
          <w:color w:val="231F20"/>
          <w:w w:val="105"/>
        </w:rPr>
        <w:t>such</w:t>
      </w:r>
      <w:r>
        <w:rPr>
          <w:color w:val="231F20"/>
          <w:spacing w:val="-5"/>
          <w:w w:val="105"/>
        </w:rPr>
        <w:t> </w:t>
      </w:r>
      <w:r>
        <w:rPr>
          <w:color w:val="231F20"/>
          <w:w w:val="105"/>
        </w:rPr>
        <w:t>as</w:t>
      </w:r>
      <w:r>
        <w:rPr>
          <w:color w:val="231F20"/>
          <w:spacing w:val="-5"/>
          <w:w w:val="105"/>
        </w:rPr>
        <w:t> </w:t>
      </w:r>
      <w:r>
        <w:rPr>
          <w:color w:val="231F20"/>
          <w:w w:val="105"/>
        </w:rPr>
        <w:t>El</w:t>
      </w:r>
      <w:r>
        <w:rPr>
          <w:color w:val="231F20"/>
          <w:spacing w:val="-5"/>
          <w:w w:val="105"/>
        </w:rPr>
        <w:t> </w:t>
      </w:r>
      <w:r>
        <w:rPr>
          <w:color w:val="231F20"/>
          <w:w w:val="105"/>
        </w:rPr>
        <w:t>Salvador,</w:t>
      </w:r>
      <w:r>
        <w:rPr>
          <w:color w:val="231F20"/>
          <w:spacing w:val="-10"/>
          <w:w w:val="105"/>
        </w:rPr>
        <w:t> </w:t>
      </w:r>
      <w:r>
        <w:rPr>
          <w:color w:val="231F20"/>
          <w:w w:val="105"/>
        </w:rPr>
        <w:t>Guatemala,</w:t>
      </w:r>
      <w:r>
        <w:rPr>
          <w:color w:val="231F20"/>
          <w:spacing w:val="-10"/>
          <w:w w:val="105"/>
        </w:rPr>
        <w:t> </w:t>
      </w:r>
      <w:r>
        <w:rPr>
          <w:color w:val="231F20"/>
          <w:w w:val="105"/>
        </w:rPr>
        <w:t>and</w:t>
      </w:r>
      <w:r>
        <w:rPr>
          <w:color w:val="231F20"/>
          <w:spacing w:val="-5"/>
          <w:w w:val="105"/>
        </w:rPr>
        <w:t> </w:t>
      </w:r>
      <w:r>
        <w:rPr>
          <w:color w:val="231F20"/>
          <w:w w:val="105"/>
        </w:rPr>
        <w:t>Honduras</w:t>
      </w:r>
      <w:r>
        <w:rPr>
          <w:color w:val="231F20"/>
          <w:spacing w:val="-5"/>
          <w:w w:val="105"/>
        </w:rPr>
        <w:t> </w:t>
      </w:r>
      <w:r>
        <w:rPr>
          <w:color w:val="231F20"/>
          <w:w w:val="105"/>
        </w:rPr>
        <w:t>are among</w:t>
      </w:r>
      <w:r>
        <w:rPr>
          <w:color w:val="231F20"/>
          <w:spacing w:val="-12"/>
          <w:w w:val="105"/>
        </w:rPr>
        <w:t> </w:t>
      </w:r>
      <w:r>
        <w:rPr>
          <w:color w:val="231F20"/>
          <w:w w:val="105"/>
        </w:rPr>
        <w:t>the</w:t>
      </w:r>
      <w:r>
        <w:rPr>
          <w:color w:val="231F20"/>
          <w:spacing w:val="-12"/>
          <w:w w:val="105"/>
        </w:rPr>
        <w:t> </w:t>
      </w:r>
      <w:r>
        <w:rPr>
          <w:color w:val="231F20"/>
          <w:w w:val="105"/>
        </w:rPr>
        <w:t>countries</w:t>
      </w:r>
      <w:r>
        <w:rPr>
          <w:color w:val="231F20"/>
          <w:spacing w:val="-12"/>
          <w:w w:val="105"/>
        </w:rPr>
        <w:t> </w:t>
      </w:r>
      <w:r>
        <w:rPr>
          <w:color w:val="231F20"/>
          <w:w w:val="105"/>
        </w:rPr>
        <w:t>of</w:t>
      </w:r>
      <w:r>
        <w:rPr>
          <w:color w:val="231F20"/>
          <w:spacing w:val="-6"/>
          <w:w w:val="105"/>
        </w:rPr>
        <w:t> </w:t>
      </w:r>
      <w:r>
        <w:rPr>
          <w:color w:val="231F20"/>
          <w:w w:val="105"/>
        </w:rPr>
        <w:t>birth</w:t>
      </w:r>
      <w:r>
        <w:rPr>
          <w:color w:val="231F20"/>
          <w:spacing w:val="-12"/>
          <w:w w:val="105"/>
        </w:rPr>
        <w:t> </w:t>
      </w:r>
      <w:r>
        <w:rPr>
          <w:color w:val="231F20"/>
          <w:w w:val="105"/>
        </w:rPr>
        <w:t>sending</w:t>
      </w:r>
      <w:r>
        <w:rPr>
          <w:color w:val="231F20"/>
          <w:spacing w:val="-12"/>
          <w:w w:val="105"/>
        </w:rPr>
        <w:t> </w:t>
      </w:r>
      <w:r>
        <w:rPr>
          <w:color w:val="231F20"/>
          <w:w w:val="105"/>
        </w:rPr>
        <w:t>the</w:t>
      </w:r>
      <w:r>
        <w:rPr>
          <w:color w:val="231F20"/>
          <w:spacing w:val="-12"/>
          <w:w w:val="105"/>
        </w:rPr>
        <w:t> </w:t>
      </w:r>
      <w:r>
        <w:rPr>
          <w:color w:val="231F20"/>
          <w:w w:val="105"/>
        </w:rPr>
        <w:t>largest</w:t>
      </w:r>
      <w:r>
        <w:rPr>
          <w:color w:val="231F20"/>
          <w:spacing w:val="-12"/>
          <w:w w:val="105"/>
        </w:rPr>
        <w:t> </w:t>
      </w:r>
      <w:r>
        <w:rPr>
          <w:color w:val="231F20"/>
          <w:w w:val="105"/>
        </w:rPr>
        <w:t>percent</w:t>
      </w:r>
      <w:r>
        <w:rPr>
          <w:color w:val="231F20"/>
          <w:spacing w:val="-12"/>
          <w:w w:val="105"/>
        </w:rPr>
        <w:t> </w:t>
      </w:r>
      <w:r>
        <w:rPr>
          <w:color w:val="231F20"/>
          <w:w w:val="105"/>
        </w:rPr>
        <w:t>of</w:t>
      </w:r>
      <w:r>
        <w:rPr>
          <w:color w:val="231F20"/>
          <w:spacing w:val="-6"/>
          <w:w w:val="105"/>
        </w:rPr>
        <w:t> </w:t>
      </w:r>
      <w:r>
        <w:rPr>
          <w:color w:val="231F20"/>
          <w:w w:val="105"/>
        </w:rPr>
        <w:t>unauthorized immigrant</w:t>
      </w:r>
      <w:r>
        <w:rPr>
          <w:color w:val="231F20"/>
          <w:spacing w:val="-14"/>
          <w:w w:val="105"/>
        </w:rPr>
        <w:t> </w:t>
      </w:r>
      <w:r>
        <w:rPr>
          <w:color w:val="231F20"/>
          <w:w w:val="105"/>
        </w:rPr>
        <w:t>population</w:t>
      </w:r>
      <w:r>
        <w:rPr>
          <w:color w:val="231F20"/>
          <w:spacing w:val="-14"/>
          <w:w w:val="105"/>
        </w:rPr>
        <w:t> </w:t>
      </w:r>
      <w:r>
        <w:rPr>
          <w:color w:val="231F20"/>
          <w:w w:val="105"/>
        </w:rPr>
        <w:t>in</w:t>
      </w:r>
      <w:r>
        <w:rPr>
          <w:color w:val="231F20"/>
          <w:spacing w:val="-14"/>
          <w:w w:val="105"/>
        </w:rPr>
        <w:t> </w:t>
      </w:r>
      <w:r>
        <w:rPr>
          <w:color w:val="231F20"/>
          <w:w w:val="105"/>
        </w:rPr>
        <w:t>the</w:t>
      </w:r>
      <w:r>
        <w:rPr>
          <w:color w:val="231F20"/>
          <w:spacing w:val="-14"/>
          <w:w w:val="105"/>
        </w:rPr>
        <w:t> </w:t>
      </w:r>
      <w:r>
        <w:rPr>
          <w:color w:val="231F20"/>
          <w:w w:val="105"/>
        </w:rPr>
        <w:t>United</w:t>
      </w:r>
      <w:r>
        <w:rPr>
          <w:color w:val="231F20"/>
          <w:spacing w:val="-14"/>
          <w:w w:val="105"/>
        </w:rPr>
        <w:t> </w:t>
      </w:r>
      <w:r>
        <w:rPr>
          <w:color w:val="231F20"/>
          <w:w w:val="105"/>
        </w:rPr>
        <w:t>States.</w:t>
      </w:r>
      <w:r>
        <w:rPr>
          <w:color w:val="231F20"/>
          <w:spacing w:val="-19"/>
          <w:w w:val="105"/>
        </w:rPr>
        <w:t> </w:t>
      </w:r>
      <w:r>
        <w:rPr>
          <w:color w:val="231F20"/>
          <w:w w:val="105"/>
        </w:rPr>
        <w:t>It</w:t>
      </w:r>
      <w:r>
        <w:rPr>
          <w:color w:val="231F20"/>
          <w:spacing w:val="-14"/>
          <w:w w:val="105"/>
        </w:rPr>
        <w:t> </w:t>
      </w:r>
      <w:r>
        <w:rPr>
          <w:color w:val="231F20"/>
          <w:w w:val="105"/>
        </w:rPr>
        <w:t>is</w:t>
      </w:r>
      <w:r>
        <w:rPr>
          <w:color w:val="231F20"/>
          <w:spacing w:val="-14"/>
          <w:w w:val="105"/>
        </w:rPr>
        <w:t> </w:t>
      </w:r>
      <w:r>
        <w:rPr>
          <w:color w:val="231F20"/>
          <w:w w:val="105"/>
        </w:rPr>
        <w:t>imperative</w:t>
      </w:r>
      <w:r>
        <w:rPr>
          <w:color w:val="231F20"/>
          <w:spacing w:val="-14"/>
          <w:w w:val="105"/>
        </w:rPr>
        <w:t> </w:t>
      </w:r>
      <w:r>
        <w:rPr>
          <w:color w:val="231F20"/>
          <w:w w:val="105"/>
        </w:rPr>
        <w:t>that</w:t>
      </w:r>
      <w:r>
        <w:rPr>
          <w:color w:val="231F20"/>
          <w:spacing w:val="-14"/>
          <w:w w:val="105"/>
        </w:rPr>
        <w:t> </w:t>
      </w:r>
      <w:r>
        <w:rPr>
          <w:color w:val="231F20"/>
          <w:w w:val="105"/>
        </w:rPr>
        <w:t>the</w:t>
      </w:r>
      <w:r>
        <w:rPr>
          <w:color w:val="231F20"/>
          <w:spacing w:val="-14"/>
          <w:w w:val="105"/>
        </w:rPr>
        <w:t> </w:t>
      </w:r>
      <w:r>
        <w:rPr>
          <w:color w:val="231F20"/>
          <w:w w:val="105"/>
        </w:rPr>
        <w:t>United States</w:t>
      </w:r>
      <w:r>
        <w:rPr>
          <w:color w:val="231F20"/>
          <w:spacing w:val="-12"/>
          <w:w w:val="105"/>
        </w:rPr>
        <w:t> </w:t>
      </w:r>
      <w:r>
        <w:rPr>
          <w:color w:val="231F20"/>
          <w:w w:val="105"/>
        </w:rPr>
        <w:t>address</w:t>
      </w:r>
      <w:r>
        <w:rPr>
          <w:color w:val="231F20"/>
          <w:spacing w:val="-12"/>
          <w:w w:val="105"/>
        </w:rPr>
        <w:t> </w:t>
      </w:r>
      <w:r>
        <w:rPr>
          <w:color w:val="231F20"/>
          <w:w w:val="105"/>
        </w:rPr>
        <w:t>the</w:t>
      </w:r>
      <w:r>
        <w:rPr>
          <w:color w:val="231F20"/>
          <w:spacing w:val="-12"/>
          <w:w w:val="105"/>
        </w:rPr>
        <w:t> </w:t>
      </w:r>
      <w:r>
        <w:rPr>
          <w:color w:val="231F20"/>
          <w:w w:val="105"/>
        </w:rPr>
        <w:t>issue</w:t>
      </w:r>
      <w:r>
        <w:rPr>
          <w:color w:val="231F20"/>
          <w:spacing w:val="-12"/>
          <w:w w:val="105"/>
        </w:rPr>
        <w:t> </w:t>
      </w:r>
      <w:r>
        <w:rPr>
          <w:color w:val="231F20"/>
          <w:w w:val="105"/>
        </w:rPr>
        <w:t>of</w:t>
      </w:r>
      <w:r>
        <w:rPr>
          <w:color w:val="231F20"/>
          <w:spacing w:val="-8"/>
          <w:w w:val="105"/>
        </w:rPr>
        <w:t> </w:t>
      </w:r>
      <w:r>
        <w:rPr>
          <w:color w:val="231F20"/>
          <w:w w:val="105"/>
        </w:rPr>
        <w:t>immigration</w:t>
      </w:r>
      <w:r>
        <w:rPr>
          <w:color w:val="231F20"/>
          <w:spacing w:val="-12"/>
          <w:w w:val="105"/>
        </w:rPr>
        <w:t> </w:t>
      </w:r>
      <w:r>
        <w:rPr>
          <w:color w:val="231F20"/>
          <w:w w:val="105"/>
        </w:rPr>
        <w:t>reform</w:t>
      </w:r>
      <w:r>
        <w:rPr>
          <w:color w:val="231F20"/>
          <w:spacing w:val="-12"/>
          <w:w w:val="105"/>
        </w:rPr>
        <w:t> </w:t>
      </w:r>
      <w:r>
        <w:rPr>
          <w:color w:val="231F20"/>
          <w:w w:val="105"/>
        </w:rPr>
        <w:t>as</w:t>
      </w:r>
      <w:r>
        <w:rPr>
          <w:color w:val="231F20"/>
          <w:spacing w:val="-12"/>
          <w:w w:val="105"/>
        </w:rPr>
        <w:t> </w:t>
      </w:r>
      <w:r>
        <w:rPr>
          <w:color w:val="231F20"/>
          <w:w w:val="105"/>
        </w:rPr>
        <w:t>the</w:t>
      </w:r>
      <w:r>
        <w:rPr>
          <w:color w:val="231F20"/>
          <w:spacing w:val="-12"/>
          <w:w w:val="105"/>
        </w:rPr>
        <w:t> </w:t>
      </w:r>
      <w:r>
        <w:rPr>
          <w:color w:val="231F20"/>
          <w:w w:val="105"/>
        </w:rPr>
        <w:t>number</w:t>
      </w:r>
      <w:r>
        <w:rPr>
          <w:color w:val="231F20"/>
          <w:spacing w:val="-12"/>
          <w:w w:val="105"/>
        </w:rPr>
        <w:t> </w:t>
      </w:r>
      <w:r>
        <w:rPr>
          <w:color w:val="231F20"/>
          <w:w w:val="105"/>
        </w:rPr>
        <w:t>of</w:t>
      </w:r>
      <w:r>
        <w:rPr>
          <w:color w:val="231F20"/>
          <w:spacing w:val="-8"/>
          <w:w w:val="105"/>
        </w:rPr>
        <w:t> </w:t>
      </w:r>
      <w:r>
        <w:rPr>
          <w:color w:val="231F20"/>
          <w:w w:val="105"/>
        </w:rPr>
        <w:t>second</w:t>
      </w:r>
    </w:p>
    <w:p>
      <w:pPr>
        <w:pStyle w:val="BodyText"/>
        <w:rPr>
          <w:sz w:val="20"/>
        </w:rPr>
      </w:pPr>
    </w:p>
    <w:p>
      <w:pPr>
        <w:pStyle w:val="BodyText"/>
        <w:rPr>
          <w:sz w:val="20"/>
        </w:rPr>
      </w:pPr>
    </w:p>
    <w:p>
      <w:pPr>
        <w:pStyle w:val="BodyText"/>
        <w:spacing w:before="11"/>
        <w:rPr>
          <w:sz w:val="17"/>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4480" from="131.551193pt,3.703715pt" to="131.551193pt,39.506114pt" stroked="true" strokeweight=".35pt" strokecolor="#231f20">
            <w10:wrap type="none"/>
          </v:line>
        </w:pict>
      </w:r>
      <w:r>
        <w:rPr/>
        <w:pict>
          <v:line style="position:absolute;mso-position-horizontal-relative:page;mso-position-vertical-relative:paragraph;z-index:-484408" from="15pt,39.505917pt" to="0pt,39.505917pt" stroked="true" strokeweight=".25pt" strokecolor="#000000">
            <w10:wrap type="none"/>
          </v:line>
        </w:pict>
      </w:r>
      <w:r>
        <w:rPr/>
        <w:pict>
          <v:line style="position:absolute;mso-position-horizontal-relative:page;mso-position-vertical-relative:paragraph;z-index:5800" from="508.890015pt,39.505917pt" to="523.890015pt,39.505917pt" stroked="true" strokeweight=".25pt" strokecolor="#000000">
            <w10:wrap type="none"/>
          </v:line>
        </w:pict>
      </w:r>
      <w:r>
        <w:rPr>
          <w:rFonts w:ascii="Arial" w:hAnsi="Arial"/>
          <w:color w:val="414042"/>
          <w:position w:val="-5"/>
          <w:sz w:val="20"/>
        </w:rPr>
        <w:t>58</w:t>
        <w:tab/>
      </w:r>
      <w:r>
        <w:rPr>
          <w:rFonts w:ascii="Calibri" w:hAnsi="Calibri"/>
          <w:color w:val="6D6E71"/>
          <w:sz w:val="15"/>
        </w:rPr>
        <w:t>Harriett Romo, Janeth Martínez y Christina  </w:t>
      </w:r>
      <w:r>
        <w:rPr>
          <w:rFonts w:ascii="Calibri" w:hAnsi="Calibri"/>
          <w:color w:val="6D6E71"/>
          <w:spacing w:val="15"/>
          <w:sz w:val="15"/>
        </w:rPr>
        <w:t> </w:t>
      </w:r>
      <w:r>
        <w:rPr>
          <w:rFonts w:ascii="Calibri" w:hAnsi="Calibri"/>
          <w:color w:val="6D6E71"/>
          <w:sz w:val="15"/>
        </w:rPr>
        <w:t>López-Mobilia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4958" w:right="0" w:firstLine="0"/>
        <w:jc w:val="left"/>
        <w:rPr>
          <w:rFonts w:ascii="Arial"/>
          <w:sz w:val="20"/>
        </w:rPr>
      </w:pPr>
      <w:r>
        <w:rPr/>
        <w:pict>
          <v:line style="position:absolute;mso-position-horizontal-relative:page;mso-position-vertical-relative:paragraph;z-index:-484360" from="405.061005pt,-18.554295pt" to="405.061005pt,16.311579pt" stroked="true" strokeweight=".35pt" strokecolor="#231f20">
            <w10:wrap type="none"/>
          </v:line>
        </w:pict>
      </w:r>
      <w:r>
        <w:rPr/>
        <w:pict>
          <v:line style="position:absolute;mso-position-horizontal-relative:page;mso-position-vertical-relative:paragraph;z-index:5848" from="15pt,-18.554522pt" to="0pt,-18.554522pt" stroked="true" strokeweight=".25pt" strokecolor="#000000">
            <w10:wrap type="none"/>
          </v:line>
        </w:pict>
      </w:r>
      <w:r>
        <w:rPr/>
        <w:pict>
          <v:line style="position:absolute;mso-position-horizontal-relative:page;mso-position-vertical-relative:paragraph;z-index:5872" from="508.890015pt,-18.554522pt" to="523.890015pt,-18.554522pt" stroked="true" strokeweight=".25pt" strokecolor="#000000">
            <w10:wrap type="none"/>
          </v:line>
        </w:pict>
      </w:r>
      <w:r>
        <w:rPr>
          <w:rFonts w:ascii="Lucida Sans Unicode"/>
          <w:color w:val="6D6E71"/>
          <w:w w:val="105"/>
          <w:sz w:val="14"/>
        </w:rPr>
        <w:t>Children</w:t>
      </w:r>
      <w:r>
        <w:rPr>
          <w:rFonts w:ascii="Lucida Sans Unicode"/>
          <w:color w:val="6D6E71"/>
          <w:spacing w:val="-10"/>
          <w:w w:val="105"/>
          <w:sz w:val="14"/>
        </w:rPr>
        <w:t> </w:t>
      </w:r>
      <w:r>
        <w:rPr>
          <w:rFonts w:ascii="Lucida Sans Unicode"/>
          <w:color w:val="6D6E71"/>
          <w:w w:val="105"/>
          <w:sz w:val="14"/>
        </w:rPr>
        <w:t>of</w:t>
      </w:r>
      <w:r>
        <w:rPr>
          <w:rFonts w:ascii="Lucida Sans Unicode"/>
          <w:color w:val="6D6E71"/>
          <w:spacing w:val="-10"/>
          <w:w w:val="105"/>
          <w:sz w:val="14"/>
        </w:rPr>
        <w:t> </w:t>
      </w:r>
      <w:r>
        <w:rPr>
          <w:rFonts w:ascii="Lucida Sans Unicode"/>
          <w:color w:val="6D6E71"/>
          <w:w w:val="105"/>
          <w:sz w:val="14"/>
        </w:rPr>
        <w:t>immigrants</w:t>
      </w:r>
      <w:r>
        <w:rPr>
          <w:rFonts w:ascii="Lucida Sans Unicode"/>
          <w:color w:val="6D6E71"/>
          <w:spacing w:val="-10"/>
          <w:w w:val="105"/>
          <w:sz w:val="14"/>
        </w:rPr>
        <w:t> </w:t>
      </w:r>
      <w:r>
        <w:rPr>
          <w:rFonts w:ascii="Lucida Sans Unicode"/>
          <w:color w:val="6D6E71"/>
          <w:w w:val="105"/>
          <w:sz w:val="14"/>
        </w:rPr>
        <w:t>in</w:t>
      </w:r>
      <w:r>
        <w:rPr>
          <w:rFonts w:ascii="Lucida Sans Unicode"/>
          <w:color w:val="6D6E71"/>
          <w:spacing w:val="-10"/>
          <w:w w:val="105"/>
          <w:sz w:val="14"/>
        </w:rPr>
        <w:t> </w:t>
      </w:r>
      <w:r>
        <w:rPr>
          <w:rFonts w:ascii="Lucida Sans Unicode"/>
          <w:color w:val="6D6E71"/>
          <w:w w:val="105"/>
          <w:sz w:val="14"/>
        </w:rPr>
        <w:t>the</w:t>
      </w:r>
      <w:r>
        <w:rPr>
          <w:rFonts w:ascii="Lucida Sans Unicode"/>
          <w:color w:val="6D6E71"/>
          <w:spacing w:val="-10"/>
          <w:w w:val="105"/>
          <w:sz w:val="14"/>
        </w:rPr>
        <w:t> </w:t>
      </w:r>
      <w:r>
        <w:rPr>
          <w:rFonts w:ascii="Lucida Sans Unicode"/>
          <w:color w:val="6D6E71"/>
          <w:w w:val="105"/>
          <w:sz w:val="14"/>
        </w:rPr>
        <w:t>United</w:t>
      </w:r>
      <w:r>
        <w:rPr>
          <w:rFonts w:ascii="Lucida Sans Unicode"/>
          <w:color w:val="6D6E71"/>
          <w:spacing w:val="-10"/>
          <w:w w:val="105"/>
          <w:sz w:val="14"/>
        </w:rPr>
        <w:t> </w:t>
      </w:r>
      <w:r>
        <w:rPr>
          <w:rFonts w:ascii="Lucida Sans Unicode"/>
          <w:color w:val="6D6E71"/>
          <w:spacing w:val="-3"/>
          <w:w w:val="105"/>
          <w:sz w:val="14"/>
        </w:rPr>
        <w:t>states</w:t>
      </w:r>
      <w:r>
        <w:rPr>
          <w:rFonts w:ascii="Arial"/>
          <w:color w:val="414042"/>
          <w:spacing w:val="-3"/>
          <w:w w:val="105"/>
          <w:position w:val="-3"/>
          <w:sz w:val="20"/>
        </w:rPr>
        <w:tab/>
      </w:r>
      <w:r>
        <w:rPr>
          <w:rFonts w:ascii="Arial"/>
          <w:color w:val="414042"/>
          <w:w w:val="105"/>
          <w:position w:val="-3"/>
          <w:sz w:val="20"/>
        </w:rPr>
        <w:t>59</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generation</w:t>
      </w:r>
      <w:r>
        <w:rPr>
          <w:color w:val="231F20"/>
          <w:spacing w:val="-6"/>
          <w:w w:val="105"/>
        </w:rPr>
        <w:t> </w:t>
      </w:r>
      <w:r>
        <w:rPr>
          <w:color w:val="231F20"/>
          <w:w w:val="105"/>
        </w:rPr>
        <w:t>and</w:t>
      </w:r>
      <w:r>
        <w:rPr>
          <w:color w:val="231F20"/>
          <w:spacing w:val="-6"/>
          <w:w w:val="105"/>
        </w:rPr>
        <w:t> </w:t>
      </w:r>
      <w:r>
        <w:rPr>
          <w:color w:val="231F20"/>
          <w:w w:val="105"/>
        </w:rPr>
        <w:t>1.5</w:t>
      </w:r>
      <w:r>
        <w:rPr>
          <w:color w:val="231F20"/>
          <w:spacing w:val="-6"/>
          <w:w w:val="105"/>
        </w:rPr>
        <w:t> </w:t>
      </w:r>
      <w:r>
        <w:rPr>
          <w:color w:val="231F20"/>
          <w:w w:val="105"/>
        </w:rPr>
        <w:t>generation</w:t>
      </w:r>
      <w:r>
        <w:rPr>
          <w:color w:val="231F20"/>
          <w:spacing w:val="-6"/>
          <w:w w:val="105"/>
        </w:rPr>
        <w:t> </w:t>
      </w:r>
      <w:r>
        <w:rPr>
          <w:color w:val="231F20"/>
          <w:w w:val="105"/>
        </w:rPr>
        <w:t>youth</w:t>
      </w:r>
      <w:r>
        <w:rPr>
          <w:color w:val="231F20"/>
          <w:spacing w:val="-6"/>
          <w:w w:val="105"/>
        </w:rPr>
        <w:t> </w:t>
      </w:r>
      <w:r>
        <w:rPr>
          <w:color w:val="231F20"/>
          <w:w w:val="105"/>
        </w:rPr>
        <w:t>in</w:t>
      </w:r>
      <w:r>
        <w:rPr>
          <w:color w:val="231F20"/>
          <w:spacing w:val="-6"/>
          <w:w w:val="105"/>
        </w:rPr>
        <w:t> </w:t>
      </w:r>
      <w:r>
        <w:rPr>
          <w:color w:val="231F20"/>
          <w:w w:val="105"/>
        </w:rPr>
        <w:t>United</w:t>
      </w:r>
      <w:r>
        <w:rPr>
          <w:color w:val="231F20"/>
          <w:spacing w:val="-6"/>
          <w:w w:val="105"/>
        </w:rPr>
        <w:t> </w:t>
      </w:r>
      <w:r>
        <w:rPr>
          <w:color w:val="231F20"/>
          <w:w w:val="105"/>
        </w:rPr>
        <w:t>States</w:t>
      </w:r>
      <w:r>
        <w:rPr>
          <w:color w:val="231F20"/>
          <w:spacing w:val="-6"/>
          <w:w w:val="105"/>
        </w:rPr>
        <w:t> </w:t>
      </w:r>
      <w:r>
        <w:rPr>
          <w:color w:val="231F20"/>
          <w:w w:val="105"/>
        </w:rPr>
        <w:t>schools</w:t>
      </w:r>
      <w:r>
        <w:rPr>
          <w:color w:val="231F20"/>
          <w:spacing w:val="-6"/>
          <w:w w:val="105"/>
        </w:rPr>
        <w:t> </w:t>
      </w:r>
      <w:r>
        <w:rPr>
          <w:color w:val="231F20"/>
          <w:w w:val="105"/>
        </w:rPr>
        <w:t>continues to </w:t>
      </w:r>
      <w:r>
        <w:rPr>
          <w:color w:val="231F20"/>
          <w:spacing w:val="-3"/>
          <w:w w:val="105"/>
        </w:rPr>
        <w:t>grow. </w:t>
      </w:r>
      <w:r>
        <w:rPr>
          <w:color w:val="231F20"/>
          <w:w w:val="105"/>
        </w:rPr>
        <w:t>High birth rates among young immigrant families and</w:t>
      </w:r>
      <w:r>
        <w:rPr>
          <w:color w:val="231F20"/>
          <w:spacing w:val="-35"/>
          <w:w w:val="105"/>
        </w:rPr>
        <w:t> </w:t>
      </w:r>
      <w:r>
        <w:rPr>
          <w:color w:val="231F20"/>
          <w:w w:val="105"/>
        </w:rPr>
        <w:t>tightened border</w:t>
      </w:r>
      <w:r>
        <w:rPr>
          <w:color w:val="231F20"/>
          <w:spacing w:val="-6"/>
          <w:w w:val="105"/>
        </w:rPr>
        <w:t> </w:t>
      </w:r>
      <w:r>
        <w:rPr>
          <w:color w:val="231F20"/>
          <w:w w:val="105"/>
        </w:rPr>
        <w:t>security</w:t>
      </w:r>
      <w:r>
        <w:rPr>
          <w:color w:val="231F20"/>
          <w:spacing w:val="-6"/>
          <w:w w:val="105"/>
        </w:rPr>
        <w:t> </w:t>
      </w:r>
      <w:r>
        <w:rPr>
          <w:color w:val="231F20"/>
          <w:w w:val="105"/>
        </w:rPr>
        <w:t>that</w:t>
      </w:r>
      <w:r>
        <w:rPr>
          <w:color w:val="231F20"/>
          <w:spacing w:val="-6"/>
          <w:w w:val="105"/>
        </w:rPr>
        <w:t> </w:t>
      </w:r>
      <w:r>
        <w:rPr>
          <w:color w:val="231F20"/>
          <w:w w:val="105"/>
        </w:rPr>
        <w:t>prevents</w:t>
      </w:r>
      <w:r>
        <w:rPr>
          <w:color w:val="231F20"/>
          <w:spacing w:val="-6"/>
          <w:w w:val="105"/>
        </w:rPr>
        <w:t> </w:t>
      </w:r>
      <w:r>
        <w:rPr>
          <w:color w:val="231F20"/>
          <w:w w:val="105"/>
        </w:rPr>
        <w:t>circular</w:t>
      </w:r>
      <w:r>
        <w:rPr>
          <w:color w:val="231F20"/>
          <w:spacing w:val="-6"/>
          <w:w w:val="105"/>
        </w:rPr>
        <w:t> </w:t>
      </w:r>
      <w:r>
        <w:rPr>
          <w:color w:val="231F20"/>
          <w:w w:val="105"/>
        </w:rPr>
        <w:t>migration</w:t>
      </w:r>
      <w:r>
        <w:rPr>
          <w:color w:val="231F20"/>
          <w:spacing w:val="-6"/>
          <w:w w:val="105"/>
        </w:rPr>
        <w:t> </w:t>
      </w:r>
      <w:r>
        <w:rPr>
          <w:color w:val="231F20"/>
          <w:w w:val="105"/>
        </w:rPr>
        <w:t>have</w:t>
      </w:r>
      <w:r>
        <w:rPr>
          <w:color w:val="231F20"/>
          <w:spacing w:val="-6"/>
          <w:w w:val="105"/>
        </w:rPr>
        <w:t> </w:t>
      </w:r>
      <w:r>
        <w:rPr>
          <w:color w:val="231F20"/>
          <w:w w:val="105"/>
        </w:rPr>
        <w:t>forced</w:t>
      </w:r>
      <w:r>
        <w:rPr>
          <w:color w:val="231F20"/>
          <w:spacing w:val="-6"/>
          <w:w w:val="105"/>
        </w:rPr>
        <w:t> </w:t>
      </w:r>
      <w:r>
        <w:rPr>
          <w:color w:val="231F20"/>
          <w:w w:val="105"/>
        </w:rPr>
        <w:t>many</w:t>
      </w:r>
      <w:r>
        <w:rPr>
          <w:color w:val="231F20"/>
          <w:spacing w:val="-6"/>
          <w:w w:val="105"/>
        </w:rPr>
        <w:t> </w:t>
      </w:r>
      <w:r>
        <w:rPr>
          <w:color w:val="231F20"/>
          <w:w w:val="105"/>
        </w:rPr>
        <w:t>unau- thorized migrants to remain in the United States and bring their</w:t>
      </w:r>
      <w:r>
        <w:rPr>
          <w:color w:val="231F20"/>
          <w:spacing w:val="-40"/>
          <w:w w:val="105"/>
        </w:rPr>
        <w:t> </w:t>
      </w:r>
      <w:r>
        <w:rPr>
          <w:color w:val="231F20"/>
          <w:w w:val="105"/>
        </w:rPr>
        <w:t>children to</w:t>
      </w:r>
      <w:r>
        <w:rPr>
          <w:color w:val="231F20"/>
          <w:spacing w:val="-14"/>
          <w:w w:val="105"/>
        </w:rPr>
        <w:t> </w:t>
      </w:r>
      <w:r>
        <w:rPr>
          <w:color w:val="231F20"/>
          <w:w w:val="105"/>
        </w:rPr>
        <w:t>join</w:t>
      </w:r>
      <w:r>
        <w:rPr>
          <w:color w:val="231F20"/>
          <w:spacing w:val="-14"/>
          <w:w w:val="105"/>
        </w:rPr>
        <w:t> </w:t>
      </w:r>
      <w:r>
        <w:rPr>
          <w:color w:val="231F20"/>
          <w:w w:val="105"/>
        </w:rPr>
        <w:t>them.</w:t>
      </w:r>
      <w:r>
        <w:rPr>
          <w:color w:val="231F20"/>
          <w:spacing w:val="-23"/>
          <w:w w:val="105"/>
        </w:rPr>
        <w:t> </w:t>
      </w:r>
      <w:r>
        <w:rPr>
          <w:color w:val="231F20"/>
          <w:w w:val="105"/>
        </w:rPr>
        <w:t>The</w:t>
      </w:r>
      <w:r>
        <w:rPr>
          <w:color w:val="231F20"/>
          <w:spacing w:val="-14"/>
          <w:w w:val="105"/>
        </w:rPr>
        <w:t> </w:t>
      </w:r>
      <w:r>
        <w:rPr>
          <w:color w:val="231F20"/>
          <w:w w:val="105"/>
        </w:rPr>
        <w:t>school</w:t>
      </w:r>
      <w:r>
        <w:rPr>
          <w:color w:val="231F20"/>
          <w:spacing w:val="-14"/>
          <w:w w:val="105"/>
        </w:rPr>
        <w:t> </w:t>
      </w:r>
      <w:r>
        <w:rPr>
          <w:color w:val="231F20"/>
          <w:w w:val="105"/>
        </w:rPr>
        <w:t>success</w:t>
      </w:r>
      <w:r>
        <w:rPr>
          <w:color w:val="231F20"/>
          <w:spacing w:val="-14"/>
          <w:w w:val="105"/>
        </w:rPr>
        <w:t> </w:t>
      </w:r>
      <w:r>
        <w:rPr>
          <w:color w:val="231F20"/>
          <w:w w:val="105"/>
        </w:rPr>
        <w:t>of</w:t>
      </w:r>
      <w:r>
        <w:rPr>
          <w:color w:val="231F20"/>
          <w:spacing w:val="-9"/>
          <w:w w:val="105"/>
        </w:rPr>
        <w:t> </w:t>
      </w:r>
      <w:r>
        <w:rPr>
          <w:color w:val="231F20"/>
          <w:w w:val="105"/>
        </w:rPr>
        <w:t>these</w:t>
      </w:r>
      <w:r>
        <w:rPr>
          <w:color w:val="231F20"/>
          <w:spacing w:val="-14"/>
          <w:w w:val="105"/>
        </w:rPr>
        <w:t> </w:t>
      </w:r>
      <w:r>
        <w:rPr>
          <w:color w:val="231F20"/>
          <w:w w:val="105"/>
        </w:rPr>
        <w:t>children</w:t>
      </w:r>
      <w:r>
        <w:rPr>
          <w:color w:val="231F20"/>
          <w:spacing w:val="-14"/>
          <w:w w:val="105"/>
        </w:rPr>
        <w:t> </w:t>
      </w:r>
      <w:r>
        <w:rPr>
          <w:color w:val="231F20"/>
          <w:w w:val="105"/>
        </w:rPr>
        <w:t>is</w:t>
      </w:r>
      <w:r>
        <w:rPr>
          <w:color w:val="231F20"/>
          <w:spacing w:val="-14"/>
          <w:w w:val="105"/>
        </w:rPr>
        <w:t> </w:t>
      </w:r>
      <w:r>
        <w:rPr>
          <w:color w:val="231F20"/>
          <w:w w:val="105"/>
        </w:rPr>
        <w:t>crucial</w:t>
      </w:r>
      <w:r>
        <w:rPr>
          <w:color w:val="231F20"/>
          <w:spacing w:val="-14"/>
          <w:w w:val="105"/>
        </w:rPr>
        <w:t> </w:t>
      </w:r>
      <w:r>
        <w:rPr>
          <w:color w:val="231F20"/>
          <w:w w:val="105"/>
        </w:rPr>
        <w:t>for</w:t>
      </w:r>
      <w:r>
        <w:rPr>
          <w:color w:val="231F20"/>
          <w:spacing w:val="-14"/>
          <w:w w:val="105"/>
        </w:rPr>
        <w:t> </w:t>
      </w:r>
      <w:r>
        <w:rPr>
          <w:color w:val="231F20"/>
          <w:w w:val="105"/>
        </w:rPr>
        <w:t>the</w:t>
      </w:r>
      <w:r>
        <w:rPr>
          <w:color w:val="231F20"/>
          <w:spacing w:val="-14"/>
          <w:w w:val="105"/>
        </w:rPr>
        <w:t> </w:t>
      </w:r>
      <w:r>
        <w:rPr>
          <w:color w:val="231F20"/>
          <w:w w:val="105"/>
        </w:rPr>
        <w:t>future of</w:t>
      </w:r>
      <w:r>
        <w:rPr>
          <w:color w:val="231F20"/>
          <w:spacing w:val="-6"/>
          <w:w w:val="105"/>
        </w:rPr>
        <w:t> </w:t>
      </w:r>
      <w:r>
        <w:rPr>
          <w:color w:val="231F20"/>
          <w:w w:val="105"/>
        </w:rPr>
        <w:t>the</w:t>
      </w:r>
      <w:r>
        <w:rPr>
          <w:color w:val="231F20"/>
          <w:spacing w:val="-11"/>
          <w:w w:val="105"/>
        </w:rPr>
        <w:t> </w:t>
      </w:r>
      <w:r>
        <w:rPr>
          <w:color w:val="231F20"/>
          <w:w w:val="105"/>
        </w:rPr>
        <w:t>children</w:t>
      </w:r>
      <w:r>
        <w:rPr>
          <w:color w:val="231F20"/>
          <w:spacing w:val="-11"/>
          <w:w w:val="105"/>
        </w:rPr>
        <w:t> </w:t>
      </w:r>
      <w:r>
        <w:rPr>
          <w:color w:val="231F20"/>
          <w:w w:val="105"/>
        </w:rPr>
        <w:t>and</w:t>
      </w:r>
      <w:r>
        <w:rPr>
          <w:color w:val="231F20"/>
          <w:spacing w:val="-11"/>
          <w:w w:val="105"/>
        </w:rPr>
        <w:t> </w:t>
      </w:r>
      <w:r>
        <w:rPr>
          <w:color w:val="231F20"/>
          <w:w w:val="105"/>
        </w:rPr>
        <w:t>their</w:t>
      </w:r>
      <w:r>
        <w:rPr>
          <w:color w:val="231F20"/>
          <w:spacing w:val="-11"/>
          <w:w w:val="105"/>
        </w:rPr>
        <w:t> </w:t>
      </w:r>
      <w:r>
        <w:rPr>
          <w:color w:val="231F20"/>
          <w:w w:val="105"/>
        </w:rPr>
        <w:t>families</w:t>
      </w:r>
      <w:r>
        <w:rPr>
          <w:color w:val="231F20"/>
          <w:spacing w:val="-11"/>
          <w:w w:val="105"/>
        </w:rPr>
        <w:t> </w:t>
      </w:r>
      <w:r>
        <w:rPr>
          <w:color w:val="231F20"/>
          <w:w w:val="105"/>
        </w:rPr>
        <w:t>but</w:t>
      </w:r>
      <w:r>
        <w:rPr>
          <w:color w:val="231F20"/>
          <w:spacing w:val="-11"/>
          <w:w w:val="105"/>
        </w:rPr>
        <w:t> </w:t>
      </w:r>
      <w:r>
        <w:rPr>
          <w:color w:val="231F20"/>
          <w:w w:val="105"/>
        </w:rPr>
        <w:t>also</w:t>
      </w:r>
      <w:r>
        <w:rPr>
          <w:color w:val="231F20"/>
          <w:spacing w:val="-11"/>
          <w:w w:val="105"/>
        </w:rPr>
        <w:t> </w:t>
      </w:r>
      <w:r>
        <w:rPr>
          <w:color w:val="231F20"/>
          <w:w w:val="105"/>
        </w:rPr>
        <w:t>for</w:t>
      </w:r>
      <w:r>
        <w:rPr>
          <w:color w:val="231F20"/>
          <w:spacing w:val="-11"/>
          <w:w w:val="105"/>
        </w:rPr>
        <w:t> </w:t>
      </w:r>
      <w:r>
        <w:rPr>
          <w:color w:val="231F20"/>
          <w:w w:val="105"/>
        </w:rPr>
        <w:t>the</w:t>
      </w:r>
      <w:r>
        <w:rPr>
          <w:color w:val="231F20"/>
          <w:spacing w:val="-11"/>
          <w:w w:val="105"/>
        </w:rPr>
        <w:t> </w:t>
      </w:r>
      <w:r>
        <w:rPr>
          <w:color w:val="231F20"/>
          <w:w w:val="105"/>
        </w:rPr>
        <w:t>United</w:t>
      </w:r>
      <w:r>
        <w:rPr>
          <w:color w:val="231F20"/>
          <w:spacing w:val="-11"/>
          <w:w w:val="105"/>
        </w:rPr>
        <w:t> </w:t>
      </w:r>
      <w:r>
        <w:rPr>
          <w:color w:val="231F20"/>
          <w:w w:val="105"/>
        </w:rPr>
        <w:t>States</w:t>
      </w:r>
      <w:r>
        <w:rPr>
          <w:color w:val="231F20"/>
          <w:spacing w:val="-11"/>
          <w:w w:val="105"/>
        </w:rPr>
        <w:t> </w:t>
      </w:r>
      <w:r>
        <w:rPr>
          <w:color w:val="231F20"/>
          <w:w w:val="105"/>
        </w:rPr>
        <w:t>communi- ties</w:t>
      </w:r>
      <w:r>
        <w:rPr>
          <w:color w:val="231F20"/>
          <w:spacing w:val="-22"/>
          <w:w w:val="105"/>
        </w:rPr>
        <w:t> </w:t>
      </w:r>
      <w:r>
        <w:rPr>
          <w:color w:val="231F20"/>
          <w:w w:val="105"/>
        </w:rPr>
        <w:t>where</w:t>
      </w:r>
      <w:r>
        <w:rPr>
          <w:color w:val="231F20"/>
          <w:spacing w:val="-22"/>
          <w:w w:val="105"/>
        </w:rPr>
        <w:t> </w:t>
      </w:r>
      <w:r>
        <w:rPr>
          <w:color w:val="231F20"/>
          <w:w w:val="105"/>
        </w:rPr>
        <w:t>they</w:t>
      </w:r>
      <w:r>
        <w:rPr>
          <w:color w:val="231F20"/>
          <w:spacing w:val="-22"/>
          <w:w w:val="105"/>
        </w:rPr>
        <w:t> </w:t>
      </w:r>
      <w:r>
        <w:rPr>
          <w:color w:val="231F20"/>
          <w:w w:val="105"/>
        </w:rPr>
        <w:t>reside.</w:t>
      </w:r>
    </w:p>
    <w:p>
      <w:pPr>
        <w:pStyle w:val="BodyText"/>
        <w:rPr>
          <w:sz w:val="20"/>
        </w:rPr>
      </w:pPr>
    </w:p>
    <w:p>
      <w:pPr>
        <w:pStyle w:val="BodyText"/>
        <w:spacing w:before="9"/>
        <w:rPr>
          <w:sz w:val="20"/>
        </w:rPr>
      </w:pPr>
    </w:p>
    <w:p>
      <w:pPr>
        <w:pStyle w:val="Heading3"/>
        <w:ind w:right="6753"/>
        <w:jc w:val="left"/>
      </w:pPr>
      <w:r>
        <w:rPr>
          <w:color w:val="231F20"/>
        </w:rPr>
        <w:t>Bibliography</w:t>
      </w:r>
    </w:p>
    <w:p>
      <w:pPr>
        <w:pStyle w:val="BodyText"/>
        <w:rPr>
          <w:rFonts w:ascii="Arial"/>
          <w:b/>
          <w:sz w:val="22"/>
        </w:rPr>
      </w:pPr>
    </w:p>
    <w:p>
      <w:pPr>
        <w:pStyle w:val="BodyText"/>
        <w:spacing w:line="261" w:lineRule="auto" w:before="163"/>
        <w:ind w:left="2574" w:right="1715" w:hanging="738"/>
        <w:jc w:val="both"/>
      </w:pPr>
      <w:r>
        <w:rPr>
          <w:color w:val="231F20"/>
          <w:w w:val="105"/>
        </w:rPr>
        <w:t>Abrego Leisy, Janet, (2006), “I can’t go to college because I don’t have papers: Incorporation patterns of undocumented Latino youth”, </w:t>
      </w:r>
      <w:r>
        <w:rPr>
          <w:rFonts w:ascii="Arial" w:hAnsi="Arial"/>
          <w:i/>
          <w:color w:val="231F20"/>
          <w:w w:val="105"/>
        </w:rPr>
        <w:t>Latino Studies</w:t>
      </w:r>
      <w:r>
        <w:rPr>
          <w:color w:val="231F20"/>
          <w:w w:val="105"/>
        </w:rPr>
        <w:t>, num. 4.</w:t>
      </w:r>
    </w:p>
    <w:p>
      <w:pPr>
        <w:pStyle w:val="BodyText"/>
        <w:tabs>
          <w:tab w:pos="2677" w:val="left" w:leader="none"/>
        </w:tabs>
        <w:spacing w:line="261" w:lineRule="auto"/>
        <w:ind w:left="2574" w:right="1722" w:hanging="738"/>
        <w:jc w:val="both"/>
      </w:pPr>
      <w:r>
        <w:rPr>
          <w:color w:val="231F20"/>
          <w:w w:val="94"/>
          <w:u w:val="single" w:color="221E1F"/>
        </w:rPr>
        <w:t> </w:t>
      </w:r>
      <w:r>
        <w:rPr>
          <w:color w:val="231F20"/>
          <w:u w:val="single" w:color="221E1F"/>
        </w:rPr>
        <w:tab/>
        <w:tab/>
      </w:r>
      <w:r>
        <w:rPr>
          <w:color w:val="231F20"/>
          <w:spacing w:val="2"/>
        </w:rPr>
        <w:t> </w:t>
      </w:r>
      <w:r>
        <w:rPr>
          <w:color w:val="231F20"/>
          <w:w w:val="105"/>
        </w:rPr>
        <w:t>(2008),</w:t>
      </w:r>
      <w:r>
        <w:rPr>
          <w:color w:val="231F20"/>
          <w:spacing w:val="-16"/>
          <w:w w:val="105"/>
        </w:rPr>
        <w:t> </w:t>
      </w:r>
      <w:r>
        <w:rPr>
          <w:color w:val="231F20"/>
          <w:w w:val="105"/>
        </w:rPr>
        <w:t>“Legitimacy,</w:t>
      </w:r>
      <w:r>
        <w:rPr>
          <w:color w:val="231F20"/>
          <w:spacing w:val="-16"/>
          <w:w w:val="105"/>
        </w:rPr>
        <w:t> </w:t>
      </w:r>
      <w:r>
        <w:rPr>
          <w:color w:val="231F20"/>
          <w:w w:val="105"/>
        </w:rPr>
        <w:t>social</w:t>
      </w:r>
      <w:r>
        <w:rPr>
          <w:color w:val="231F20"/>
          <w:spacing w:val="-11"/>
          <w:w w:val="105"/>
        </w:rPr>
        <w:t> </w:t>
      </w:r>
      <w:r>
        <w:rPr>
          <w:color w:val="231F20"/>
          <w:w w:val="105"/>
        </w:rPr>
        <w:t>identity,</w:t>
      </w:r>
      <w:r>
        <w:rPr>
          <w:color w:val="231F20"/>
          <w:spacing w:val="-16"/>
          <w:w w:val="105"/>
        </w:rPr>
        <w:t> </w:t>
      </w:r>
      <w:r>
        <w:rPr>
          <w:color w:val="231F20"/>
          <w:w w:val="105"/>
        </w:rPr>
        <w:t>and</w:t>
      </w:r>
      <w:r>
        <w:rPr>
          <w:color w:val="231F20"/>
          <w:spacing w:val="-11"/>
          <w:w w:val="105"/>
        </w:rPr>
        <w:t> </w:t>
      </w:r>
      <w:r>
        <w:rPr>
          <w:color w:val="231F20"/>
          <w:w w:val="105"/>
        </w:rPr>
        <w:t>the</w:t>
      </w:r>
      <w:r>
        <w:rPr>
          <w:color w:val="231F20"/>
          <w:spacing w:val="-11"/>
          <w:w w:val="105"/>
        </w:rPr>
        <w:t> </w:t>
      </w:r>
      <w:r>
        <w:rPr>
          <w:color w:val="231F20"/>
          <w:w w:val="105"/>
        </w:rPr>
        <w:t>mobilization</w:t>
      </w:r>
      <w:r>
        <w:rPr>
          <w:color w:val="231F20"/>
          <w:spacing w:val="-11"/>
          <w:w w:val="105"/>
        </w:rPr>
        <w:t> </w:t>
      </w:r>
      <w:r>
        <w:rPr>
          <w:color w:val="231F20"/>
          <w:w w:val="105"/>
        </w:rPr>
        <w:t>of</w:t>
      </w:r>
      <w:r>
        <w:rPr>
          <w:color w:val="231F20"/>
          <w:spacing w:val="-7"/>
          <w:w w:val="105"/>
        </w:rPr>
        <w:t> </w:t>
      </w:r>
      <w:r>
        <w:rPr>
          <w:color w:val="231F20"/>
          <w:w w:val="105"/>
        </w:rPr>
        <w:t>law:</w:t>
      </w:r>
      <w:r>
        <w:rPr>
          <w:color w:val="231F20"/>
          <w:w w:val="102"/>
        </w:rPr>
        <w:t> </w:t>
      </w:r>
      <w:r>
        <w:rPr>
          <w:color w:val="231F20"/>
          <w:w w:val="105"/>
        </w:rPr>
        <w:t>The effects of assembly bill 540 on undocumented students in </w:t>
      </w:r>
      <w:r>
        <w:rPr>
          <w:color w:val="231F20"/>
          <w:spacing w:val="-3"/>
          <w:w w:val="105"/>
        </w:rPr>
        <w:t>California”,</w:t>
      </w:r>
      <w:r>
        <w:rPr>
          <w:color w:val="231F20"/>
          <w:spacing w:val="-31"/>
          <w:w w:val="105"/>
        </w:rPr>
        <w:t> </w:t>
      </w:r>
      <w:r>
        <w:rPr>
          <w:rFonts w:ascii="Arial" w:hAnsi="Arial"/>
          <w:i/>
          <w:color w:val="231F20"/>
          <w:w w:val="105"/>
        </w:rPr>
        <w:t>Law</w:t>
      </w:r>
      <w:r>
        <w:rPr>
          <w:rFonts w:ascii="Arial" w:hAnsi="Arial"/>
          <w:i/>
          <w:color w:val="231F20"/>
          <w:spacing w:val="-29"/>
          <w:w w:val="105"/>
        </w:rPr>
        <w:t> </w:t>
      </w:r>
      <w:r>
        <w:rPr>
          <w:rFonts w:ascii="Arial" w:hAnsi="Arial"/>
          <w:i/>
          <w:color w:val="231F20"/>
          <w:w w:val="105"/>
        </w:rPr>
        <w:t>and</w:t>
      </w:r>
      <w:r>
        <w:rPr>
          <w:rFonts w:ascii="Arial" w:hAnsi="Arial"/>
          <w:i/>
          <w:color w:val="231F20"/>
          <w:spacing w:val="-29"/>
          <w:w w:val="105"/>
        </w:rPr>
        <w:t> </w:t>
      </w:r>
      <w:r>
        <w:rPr>
          <w:rFonts w:ascii="Arial" w:hAnsi="Arial"/>
          <w:i/>
          <w:color w:val="231F20"/>
          <w:w w:val="105"/>
        </w:rPr>
        <w:t>Social</w:t>
      </w:r>
      <w:r>
        <w:rPr>
          <w:rFonts w:ascii="Arial" w:hAnsi="Arial"/>
          <w:i/>
          <w:color w:val="231F20"/>
          <w:spacing w:val="-29"/>
          <w:w w:val="105"/>
        </w:rPr>
        <w:t> </w:t>
      </w:r>
      <w:r>
        <w:rPr>
          <w:rFonts w:ascii="Arial" w:hAnsi="Arial"/>
          <w:i/>
          <w:color w:val="231F20"/>
          <w:w w:val="105"/>
        </w:rPr>
        <w:t>Inquiry</w:t>
      </w:r>
      <w:r>
        <w:rPr>
          <w:color w:val="231F20"/>
          <w:w w:val="105"/>
        </w:rPr>
        <w:t>,</w:t>
      </w:r>
      <w:r>
        <w:rPr>
          <w:color w:val="231F20"/>
          <w:spacing w:val="-31"/>
          <w:w w:val="105"/>
        </w:rPr>
        <w:t> </w:t>
      </w:r>
      <w:r>
        <w:rPr>
          <w:color w:val="231F20"/>
          <w:w w:val="105"/>
        </w:rPr>
        <w:t>num.</w:t>
      </w:r>
      <w:r>
        <w:rPr>
          <w:color w:val="231F20"/>
          <w:spacing w:val="-31"/>
          <w:w w:val="105"/>
        </w:rPr>
        <w:t> </w:t>
      </w:r>
      <w:r>
        <w:rPr>
          <w:color w:val="231F20"/>
          <w:w w:val="105"/>
        </w:rPr>
        <w:t>33.</w:t>
      </w:r>
    </w:p>
    <w:p>
      <w:pPr>
        <w:tabs>
          <w:tab w:pos="2677" w:val="left" w:leader="none"/>
        </w:tabs>
        <w:spacing w:line="259" w:lineRule="auto" w:before="0"/>
        <w:ind w:left="2574" w:right="1715" w:hanging="738"/>
        <w:jc w:val="both"/>
        <w:rPr>
          <w:sz w:val="21"/>
        </w:rPr>
      </w:pPr>
      <w:r>
        <w:rPr>
          <w:color w:val="231F20"/>
          <w:w w:val="94"/>
          <w:sz w:val="21"/>
          <w:u w:val="single" w:color="221E1F"/>
        </w:rPr>
        <w:t> </w:t>
      </w:r>
      <w:r>
        <w:rPr>
          <w:color w:val="231F20"/>
          <w:sz w:val="21"/>
          <w:u w:val="single" w:color="221E1F"/>
        </w:rPr>
        <w:tab/>
        <w:tab/>
      </w:r>
      <w:r>
        <w:rPr>
          <w:color w:val="231F20"/>
          <w:sz w:val="21"/>
        </w:rPr>
        <w:t> </w:t>
      </w:r>
      <w:r>
        <w:rPr>
          <w:color w:val="231F20"/>
          <w:spacing w:val="-28"/>
          <w:sz w:val="21"/>
        </w:rPr>
        <w:t> </w:t>
      </w:r>
      <w:r>
        <w:rPr>
          <w:color w:val="231F20"/>
          <w:w w:val="105"/>
          <w:sz w:val="21"/>
        </w:rPr>
        <w:t>(2014), “Latino immigrants’ diverse experiences</w:t>
      </w:r>
      <w:r>
        <w:rPr>
          <w:color w:val="231F20"/>
          <w:spacing w:val="41"/>
          <w:w w:val="105"/>
          <w:sz w:val="21"/>
        </w:rPr>
        <w:t> </w:t>
      </w:r>
      <w:r>
        <w:rPr>
          <w:color w:val="231F20"/>
          <w:w w:val="105"/>
          <w:sz w:val="21"/>
        </w:rPr>
        <w:t>of</w:t>
      </w:r>
      <w:r>
        <w:rPr>
          <w:color w:val="231F20"/>
          <w:spacing w:val="13"/>
          <w:w w:val="105"/>
          <w:sz w:val="21"/>
        </w:rPr>
        <w:t> </w:t>
      </w:r>
      <w:r>
        <w:rPr>
          <w:color w:val="231F20"/>
          <w:w w:val="105"/>
          <w:sz w:val="21"/>
        </w:rPr>
        <w:t>“illegality”,</w:t>
      </w:r>
      <w:r>
        <w:rPr>
          <w:color w:val="231F20"/>
          <w:w w:val="93"/>
          <w:sz w:val="21"/>
        </w:rPr>
        <w:t> </w:t>
      </w:r>
      <w:r>
        <w:rPr>
          <w:color w:val="231F20"/>
          <w:w w:val="105"/>
          <w:sz w:val="21"/>
        </w:rPr>
        <w:t>in</w:t>
      </w:r>
      <w:r>
        <w:rPr>
          <w:color w:val="231F20"/>
          <w:spacing w:val="-19"/>
          <w:w w:val="105"/>
          <w:sz w:val="21"/>
        </w:rPr>
        <w:t> </w:t>
      </w:r>
      <w:r>
        <w:rPr>
          <w:color w:val="231F20"/>
          <w:w w:val="105"/>
          <w:sz w:val="21"/>
        </w:rPr>
        <w:t>Cecilia</w:t>
      </w:r>
      <w:r>
        <w:rPr>
          <w:color w:val="231F20"/>
          <w:spacing w:val="-19"/>
          <w:w w:val="105"/>
          <w:sz w:val="21"/>
        </w:rPr>
        <w:t> </w:t>
      </w:r>
      <w:r>
        <w:rPr>
          <w:color w:val="231F20"/>
          <w:w w:val="105"/>
          <w:sz w:val="21"/>
        </w:rPr>
        <w:t>Menjívar</w:t>
      </w:r>
      <w:r>
        <w:rPr>
          <w:color w:val="231F20"/>
          <w:spacing w:val="-19"/>
          <w:w w:val="105"/>
          <w:sz w:val="21"/>
        </w:rPr>
        <w:t> </w:t>
      </w:r>
      <w:r>
        <w:rPr>
          <w:color w:val="231F20"/>
          <w:w w:val="105"/>
          <w:sz w:val="21"/>
        </w:rPr>
        <w:t>and</w:t>
      </w:r>
      <w:r>
        <w:rPr>
          <w:color w:val="231F20"/>
          <w:spacing w:val="-19"/>
          <w:w w:val="105"/>
          <w:sz w:val="21"/>
        </w:rPr>
        <w:t> </w:t>
      </w:r>
      <w:r>
        <w:rPr>
          <w:color w:val="231F20"/>
          <w:w w:val="105"/>
          <w:sz w:val="21"/>
        </w:rPr>
        <w:t>Daniel</w:t>
      </w:r>
      <w:r>
        <w:rPr>
          <w:color w:val="231F20"/>
          <w:spacing w:val="-19"/>
          <w:w w:val="105"/>
          <w:sz w:val="21"/>
        </w:rPr>
        <w:t> </w:t>
      </w:r>
      <w:r>
        <w:rPr>
          <w:color w:val="231F20"/>
          <w:w w:val="105"/>
          <w:sz w:val="21"/>
        </w:rPr>
        <w:t>Kanstroom</w:t>
      </w:r>
      <w:r>
        <w:rPr>
          <w:color w:val="231F20"/>
          <w:spacing w:val="-19"/>
          <w:w w:val="105"/>
          <w:sz w:val="21"/>
        </w:rPr>
        <w:t> </w:t>
      </w:r>
      <w:r>
        <w:rPr>
          <w:color w:val="231F20"/>
          <w:w w:val="105"/>
          <w:sz w:val="21"/>
        </w:rPr>
        <w:t>(Eds),</w:t>
      </w:r>
      <w:r>
        <w:rPr>
          <w:color w:val="231F20"/>
          <w:spacing w:val="-24"/>
          <w:w w:val="105"/>
          <w:sz w:val="21"/>
        </w:rPr>
        <w:t> </w:t>
      </w:r>
      <w:r>
        <w:rPr>
          <w:rFonts w:ascii="Arial" w:hAnsi="Arial"/>
          <w:i/>
          <w:color w:val="231F20"/>
          <w:w w:val="105"/>
          <w:sz w:val="21"/>
        </w:rPr>
        <w:t>Constructing</w:t>
      </w:r>
      <w:r>
        <w:rPr>
          <w:rFonts w:ascii="Arial" w:hAnsi="Arial"/>
          <w:i/>
          <w:color w:val="231F20"/>
          <w:spacing w:val="-22"/>
          <w:w w:val="105"/>
          <w:sz w:val="21"/>
        </w:rPr>
        <w:t> </w:t>
      </w:r>
      <w:r>
        <w:rPr>
          <w:rFonts w:ascii="Arial" w:hAnsi="Arial"/>
          <w:i/>
          <w:color w:val="231F20"/>
          <w:w w:val="105"/>
          <w:sz w:val="21"/>
        </w:rPr>
        <w:t>im- </w:t>
      </w:r>
      <w:r>
        <w:rPr>
          <w:rFonts w:ascii="Arial" w:hAnsi="Arial"/>
          <w:i/>
          <w:color w:val="231F20"/>
          <w:w w:val="105"/>
          <w:sz w:val="21"/>
        </w:rPr>
        <w:t>migrant “illegality”: Critiques, experiences, and responses</w:t>
      </w:r>
      <w:r>
        <w:rPr>
          <w:color w:val="231F20"/>
          <w:w w:val="105"/>
          <w:sz w:val="21"/>
        </w:rPr>
        <w:t>, New </w:t>
      </w:r>
      <w:r>
        <w:rPr>
          <w:color w:val="231F20"/>
          <w:spacing w:val="-4"/>
          <w:w w:val="105"/>
          <w:sz w:val="21"/>
        </w:rPr>
        <w:t>York:</w:t>
      </w:r>
      <w:r>
        <w:rPr>
          <w:color w:val="231F20"/>
          <w:spacing w:val="-40"/>
          <w:w w:val="105"/>
          <w:sz w:val="21"/>
        </w:rPr>
        <w:t> </w:t>
      </w:r>
      <w:r>
        <w:rPr>
          <w:color w:val="231F20"/>
          <w:w w:val="105"/>
          <w:sz w:val="21"/>
        </w:rPr>
        <w:t>Cambridge</w:t>
      </w:r>
      <w:r>
        <w:rPr>
          <w:color w:val="231F20"/>
          <w:spacing w:val="-40"/>
          <w:w w:val="105"/>
          <w:sz w:val="21"/>
        </w:rPr>
        <w:t> </w:t>
      </w:r>
      <w:r>
        <w:rPr>
          <w:color w:val="231F20"/>
          <w:w w:val="105"/>
          <w:sz w:val="21"/>
        </w:rPr>
        <w:t>University</w:t>
      </w:r>
      <w:r>
        <w:rPr>
          <w:color w:val="231F20"/>
          <w:spacing w:val="-40"/>
          <w:w w:val="105"/>
          <w:sz w:val="21"/>
        </w:rPr>
        <w:t> </w:t>
      </w:r>
      <w:r>
        <w:rPr>
          <w:color w:val="231F20"/>
          <w:spacing w:val="-3"/>
          <w:w w:val="105"/>
          <w:sz w:val="21"/>
        </w:rPr>
        <w:t>Press.</w:t>
      </w:r>
    </w:p>
    <w:p>
      <w:pPr>
        <w:spacing w:line="259" w:lineRule="auto" w:before="0"/>
        <w:ind w:left="2574" w:right="1721" w:hanging="738"/>
        <w:jc w:val="both"/>
        <w:rPr>
          <w:sz w:val="21"/>
        </w:rPr>
      </w:pPr>
      <w:r>
        <w:rPr>
          <w:color w:val="231F20"/>
          <w:sz w:val="21"/>
        </w:rPr>
        <w:t>Alba, Richard, (2006), “Mexican Americans and the American </w:t>
      </w:r>
      <w:r>
        <w:rPr>
          <w:color w:val="231F20"/>
          <w:spacing w:val="-5"/>
          <w:sz w:val="21"/>
        </w:rPr>
        <w:t>dream”, </w:t>
      </w:r>
      <w:r>
        <w:rPr>
          <w:rFonts w:ascii="Arial" w:hAnsi="Arial"/>
          <w:i/>
          <w:color w:val="231F20"/>
          <w:spacing w:val="-6"/>
          <w:sz w:val="21"/>
        </w:rPr>
        <w:t>Per- </w:t>
      </w:r>
      <w:r>
        <w:rPr>
          <w:rFonts w:ascii="Arial" w:hAnsi="Arial"/>
          <w:i/>
          <w:color w:val="231F20"/>
          <w:sz w:val="21"/>
        </w:rPr>
        <w:t>spectives on Politics, </w:t>
      </w:r>
      <w:r>
        <w:rPr>
          <w:color w:val="231F20"/>
          <w:sz w:val="21"/>
        </w:rPr>
        <w:t>vol. 4, num. 2.</w:t>
      </w:r>
    </w:p>
    <w:p>
      <w:pPr>
        <w:pStyle w:val="BodyText"/>
        <w:spacing w:line="259" w:lineRule="auto" w:before="3"/>
        <w:ind w:left="2574" w:right="1721" w:hanging="738"/>
        <w:jc w:val="both"/>
      </w:pPr>
      <w:r>
        <w:rPr>
          <w:color w:val="231F20"/>
          <w:w w:val="105"/>
        </w:rPr>
        <w:t>Barrow,</w:t>
      </w:r>
      <w:r>
        <w:rPr>
          <w:color w:val="231F20"/>
          <w:spacing w:val="-29"/>
          <w:w w:val="105"/>
        </w:rPr>
        <w:t> </w:t>
      </w:r>
      <w:r>
        <w:rPr>
          <w:color w:val="231F20"/>
          <w:w w:val="105"/>
        </w:rPr>
        <w:t>Lisa,</w:t>
      </w:r>
      <w:r>
        <w:rPr>
          <w:color w:val="231F20"/>
          <w:spacing w:val="-29"/>
          <w:w w:val="105"/>
        </w:rPr>
        <w:t> </w:t>
      </w:r>
      <w:r>
        <w:rPr>
          <w:color w:val="231F20"/>
          <w:w w:val="105"/>
        </w:rPr>
        <w:t>Brock,</w:t>
      </w:r>
      <w:r>
        <w:rPr>
          <w:color w:val="231F20"/>
          <w:spacing w:val="-31"/>
          <w:w w:val="105"/>
        </w:rPr>
        <w:t> </w:t>
      </w:r>
      <w:r>
        <w:rPr>
          <w:color w:val="231F20"/>
          <w:w w:val="105"/>
        </w:rPr>
        <w:t>Thomas</w:t>
      </w:r>
      <w:r>
        <w:rPr>
          <w:color w:val="231F20"/>
          <w:spacing w:val="-26"/>
          <w:w w:val="105"/>
        </w:rPr>
        <w:t> </w:t>
      </w:r>
      <w:r>
        <w:rPr>
          <w:color w:val="231F20"/>
          <w:w w:val="105"/>
        </w:rPr>
        <w:t>and</w:t>
      </w:r>
      <w:r>
        <w:rPr>
          <w:color w:val="231F20"/>
          <w:spacing w:val="-26"/>
          <w:w w:val="105"/>
        </w:rPr>
        <w:t> </w:t>
      </w:r>
      <w:r>
        <w:rPr>
          <w:color w:val="231F20"/>
          <w:w w:val="105"/>
        </w:rPr>
        <w:t>Rouse,</w:t>
      </w:r>
      <w:r>
        <w:rPr>
          <w:color w:val="231F20"/>
          <w:spacing w:val="-29"/>
          <w:w w:val="105"/>
        </w:rPr>
        <w:t> </w:t>
      </w:r>
      <w:r>
        <w:rPr>
          <w:color w:val="231F20"/>
          <w:w w:val="105"/>
        </w:rPr>
        <w:t>Cecilia</w:t>
      </w:r>
      <w:r>
        <w:rPr>
          <w:color w:val="231F20"/>
          <w:spacing w:val="-26"/>
          <w:w w:val="105"/>
        </w:rPr>
        <w:t> </w:t>
      </w:r>
      <w:r>
        <w:rPr>
          <w:color w:val="231F20"/>
          <w:w w:val="105"/>
        </w:rPr>
        <w:t>Elena,</w:t>
      </w:r>
      <w:r>
        <w:rPr>
          <w:color w:val="231F20"/>
          <w:spacing w:val="-29"/>
          <w:w w:val="105"/>
        </w:rPr>
        <w:t> </w:t>
      </w:r>
      <w:r>
        <w:rPr>
          <w:color w:val="231F20"/>
          <w:w w:val="105"/>
        </w:rPr>
        <w:t>(2013),</w:t>
      </w:r>
      <w:r>
        <w:rPr>
          <w:color w:val="231F20"/>
          <w:spacing w:val="-29"/>
          <w:w w:val="105"/>
        </w:rPr>
        <w:t> </w:t>
      </w:r>
      <w:r>
        <w:rPr>
          <w:color w:val="231F20"/>
          <w:w w:val="105"/>
        </w:rPr>
        <w:t>“Postsec- ondary</w:t>
      </w:r>
      <w:r>
        <w:rPr>
          <w:color w:val="231F20"/>
          <w:spacing w:val="-21"/>
          <w:w w:val="105"/>
        </w:rPr>
        <w:t> </w:t>
      </w:r>
      <w:r>
        <w:rPr>
          <w:color w:val="231F20"/>
          <w:w w:val="105"/>
        </w:rPr>
        <w:t>education</w:t>
      </w:r>
      <w:r>
        <w:rPr>
          <w:color w:val="231F20"/>
          <w:spacing w:val="-21"/>
          <w:w w:val="105"/>
        </w:rPr>
        <w:t> </w:t>
      </w:r>
      <w:r>
        <w:rPr>
          <w:color w:val="231F20"/>
          <w:w w:val="105"/>
        </w:rPr>
        <w:t>in</w:t>
      </w:r>
      <w:r>
        <w:rPr>
          <w:color w:val="231F20"/>
          <w:spacing w:val="-21"/>
          <w:w w:val="105"/>
        </w:rPr>
        <w:t> </w:t>
      </w:r>
      <w:r>
        <w:rPr>
          <w:color w:val="231F20"/>
          <w:w w:val="105"/>
        </w:rPr>
        <w:t>the</w:t>
      </w:r>
      <w:r>
        <w:rPr>
          <w:color w:val="231F20"/>
          <w:spacing w:val="-21"/>
          <w:w w:val="105"/>
        </w:rPr>
        <w:t> </w:t>
      </w:r>
      <w:r>
        <w:rPr>
          <w:color w:val="231F20"/>
          <w:w w:val="105"/>
        </w:rPr>
        <w:t>United</w:t>
      </w:r>
      <w:r>
        <w:rPr>
          <w:color w:val="231F20"/>
          <w:spacing w:val="-21"/>
          <w:w w:val="105"/>
        </w:rPr>
        <w:t> </w:t>
      </w:r>
      <w:r>
        <w:rPr>
          <w:color w:val="231F20"/>
          <w:w w:val="105"/>
        </w:rPr>
        <w:t>States:</w:t>
      </w:r>
      <w:r>
        <w:rPr>
          <w:color w:val="231F20"/>
          <w:spacing w:val="-21"/>
          <w:w w:val="105"/>
        </w:rPr>
        <w:t> </w:t>
      </w:r>
      <w:r>
        <w:rPr>
          <w:color w:val="231F20"/>
          <w:w w:val="105"/>
        </w:rPr>
        <w:t>Introducing</w:t>
      </w:r>
      <w:r>
        <w:rPr>
          <w:color w:val="231F20"/>
          <w:spacing w:val="-21"/>
          <w:w w:val="105"/>
        </w:rPr>
        <w:t> </w:t>
      </w:r>
      <w:r>
        <w:rPr>
          <w:color w:val="231F20"/>
          <w:w w:val="105"/>
        </w:rPr>
        <w:t>the</w:t>
      </w:r>
      <w:r>
        <w:rPr>
          <w:color w:val="231F20"/>
          <w:spacing w:val="-21"/>
          <w:w w:val="105"/>
        </w:rPr>
        <w:t> </w:t>
      </w:r>
      <w:r>
        <w:rPr>
          <w:color w:val="231F20"/>
          <w:spacing w:val="-4"/>
          <w:w w:val="105"/>
        </w:rPr>
        <w:t>issue”,</w:t>
      </w:r>
      <w:r>
        <w:rPr>
          <w:color w:val="231F20"/>
          <w:spacing w:val="-27"/>
          <w:w w:val="105"/>
        </w:rPr>
        <w:t> </w:t>
      </w:r>
      <w:r>
        <w:rPr>
          <w:rFonts w:ascii="Arial" w:hAnsi="Arial"/>
          <w:i/>
          <w:color w:val="231F20"/>
          <w:w w:val="105"/>
        </w:rPr>
        <w:t>The </w:t>
      </w:r>
      <w:r>
        <w:rPr>
          <w:rFonts w:ascii="Arial" w:hAnsi="Arial"/>
          <w:i/>
          <w:color w:val="231F20"/>
          <w:w w:val="105"/>
        </w:rPr>
        <w:t>Future</w:t>
      </w:r>
      <w:r>
        <w:rPr>
          <w:rFonts w:ascii="Arial" w:hAnsi="Arial"/>
          <w:i/>
          <w:color w:val="231F20"/>
          <w:spacing w:val="-22"/>
          <w:w w:val="105"/>
        </w:rPr>
        <w:t> </w:t>
      </w:r>
      <w:r>
        <w:rPr>
          <w:rFonts w:ascii="Arial" w:hAnsi="Arial"/>
          <w:i/>
          <w:color w:val="231F20"/>
          <w:w w:val="105"/>
        </w:rPr>
        <w:t>of</w:t>
      </w:r>
      <w:r>
        <w:rPr>
          <w:rFonts w:ascii="Arial" w:hAnsi="Arial"/>
          <w:i/>
          <w:color w:val="231F20"/>
          <w:spacing w:val="-18"/>
          <w:w w:val="105"/>
        </w:rPr>
        <w:t> </w:t>
      </w:r>
      <w:r>
        <w:rPr>
          <w:rFonts w:ascii="Arial" w:hAnsi="Arial"/>
          <w:i/>
          <w:color w:val="231F20"/>
          <w:w w:val="105"/>
        </w:rPr>
        <w:t>Children,</w:t>
      </w:r>
      <w:r>
        <w:rPr>
          <w:rFonts w:ascii="Arial" w:hAnsi="Arial"/>
          <w:i/>
          <w:color w:val="231F20"/>
          <w:spacing w:val="-27"/>
          <w:w w:val="105"/>
        </w:rPr>
        <w:t> </w:t>
      </w:r>
      <w:r>
        <w:rPr>
          <w:color w:val="231F20"/>
          <w:w w:val="105"/>
        </w:rPr>
        <w:t>vol.</w:t>
      </w:r>
      <w:r>
        <w:rPr>
          <w:color w:val="231F20"/>
          <w:spacing w:val="-24"/>
          <w:w w:val="105"/>
        </w:rPr>
        <w:t> </w:t>
      </w:r>
      <w:r>
        <w:rPr>
          <w:color w:val="231F20"/>
          <w:w w:val="105"/>
        </w:rPr>
        <w:t>23,</w:t>
      </w:r>
      <w:r>
        <w:rPr>
          <w:color w:val="231F20"/>
          <w:spacing w:val="-24"/>
          <w:w w:val="105"/>
        </w:rPr>
        <w:t> </w:t>
      </w:r>
      <w:r>
        <w:rPr>
          <w:color w:val="231F20"/>
          <w:w w:val="105"/>
        </w:rPr>
        <w:t>num.</w:t>
      </w:r>
      <w:r>
        <w:rPr>
          <w:color w:val="231F20"/>
          <w:spacing w:val="-24"/>
          <w:w w:val="105"/>
        </w:rPr>
        <w:t> </w:t>
      </w:r>
      <w:r>
        <w:rPr>
          <w:color w:val="231F20"/>
          <w:w w:val="105"/>
        </w:rPr>
        <w:t>1.</w:t>
      </w:r>
    </w:p>
    <w:p>
      <w:pPr>
        <w:spacing w:line="259" w:lineRule="auto" w:before="3"/>
        <w:ind w:left="2574" w:right="1715" w:hanging="738"/>
        <w:jc w:val="both"/>
        <w:rPr>
          <w:sz w:val="21"/>
        </w:rPr>
      </w:pPr>
      <w:r>
        <w:rPr>
          <w:color w:val="231F20"/>
          <w:w w:val="105"/>
          <w:sz w:val="21"/>
        </w:rPr>
        <w:t>Boehm, Deborah, (2009), “‘¿Quién Sabe?’: Deportation and </w:t>
      </w:r>
      <w:r>
        <w:rPr>
          <w:color w:val="231F20"/>
          <w:spacing w:val="-3"/>
          <w:w w:val="105"/>
          <w:sz w:val="21"/>
        </w:rPr>
        <w:t>Temporali- </w:t>
      </w:r>
      <w:r>
        <w:rPr>
          <w:color w:val="231F20"/>
          <w:w w:val="105"/>
          <w:sz w:val="21"/>
        </w:rPr>
        <w:t>ty Among Transnational </w:t>
      </w:r>
      <w:r>
        <w:rPr>
          <w:color w:val="231F20"/>
          <w:spacing w:val="-3"/>
          <w:w w:val="105"/>
          <w:sz w:val="21"/>
        </w:rPr>
        <w:t>Mexicans”, </w:t>
      </w:r>
      <w:r>
        <w:rPr>
          <w:color w:val="231F20"/>
          <w:w w:val="105"/>
          <w:sz w:val="21"/>
        </w:rPr>
        <w:t>in </w:t>
      </w:r>
      <w:r>
        <w:rPr>
          <w:rFonts w:ascii="Arial" w:hAnsi="Arial"/>
          <w:i/>
          <w:color w:val="231F20"/>
          <w:w w:val="105"/>
          <w:sz w:val="21"/>
        </w:rPr>
        <w:t>Urban Anthropology and </w:t>
      </w:r>
      <w:r>
        <w:rPr>
          <w:rFonts w:ascii="Arial" w:hAnsi="Arial"/>
          <w:i/>
          <w:color w:val="231F20"/>
          <w:w w:val="105"/>
          <w:sz w:val="21"/>
        </w:rPr>
        <w:t>Studies of Cultural Systems and World Economic</w:t>
      </w:r>
      <w:r>
        <w:rPr>
          <w:rFonts w:ascii="Arial" w:hAnsi="Arial"/>
          <w:i/>
          <w:color w:val="231F20"/>
          <w:spacing w:val="-41"/>
          <w:w w:val="105"/>
          <w:sz w:val="21"/>
        </w:rPr>
        <w:t> </w:t>
      </w:r>
      <w:r>
        <w:rPr>
          <w:rFonts w:ascii="Arial" w:hAnsi="Arial"/>
          <w:i/>
          <w:color w:val="231F20"/>
          <w:w w:val="105"/>
          <w:sz w:val="21"/>
        </w:rPr>
        <w:t>Development</w:t>
      </w:r>
      <w:r>
        <w:rPr>
          <w:color w:val="231F20"/>
          <w:w w:val="105"/>
          <w:sz w:val="21"/>
        </w:rPr>
        <w:t>, New</w:t>
      </w:r>
      <w:r>
        <w:rPr>
          <w:color w:val="231F20"/>
          <w:spacing w:val="-18"/>
          <w:w w:val="105"/>
          <w:sz w:val="21"/>
        </w:rPr>
        <w:t> </w:t>
      </w:r>
      <w:r>
        <w:rPr>
          <w:color w:val="231F20"/>
          <w:spacing w:val="-4"/>
          <w:w w:val="105"/>
          <w:sz w:val="21"/>
        </w:rPr>
        <w:t>York:</w:t>
      </w:r>
      <w:r>
        <w:rPr>
          <w:color w:val="231F20"/>
          <w:spacing w:val="-13"/>
          <w:w w:val="105"/>
          <w:sz w:val="21"/>
        </w:rPr>
        <w:t> </w:t>
      </w:r>
      <w:r>
        <w:rPr>
          <w:color w:val="231F20"/>
          <w:w w:val="105"/>
          <w:sz w:val="21"/>
        </w:rPr>
        <w:t>Index</w:t>
      </w:r>
      <w:r>
        <w:rPr>
          <w:color w:val="231F20"/>
          <w:spacing w:val="-13"/>
          <w:w w:val="105"/>
          <w:sz w:val="21"/>
        </w:rPr>
        <w:t> </w:t>
      </w:r>
      <w:r>
        <w:rPr>
          <w:color w:val="231F20"/>
          <w:w w:val="105"/>
          <w:sz w:val="21"/>
        </w:rPr>
        <w:t>of</w:t>
      </w:r>
      <w:r>
        <w:rPr>
          <w:color w:val="231F20"/>
          <w:spacing w:val="-9"/>
          <w:w w:val="105"/>
          <w:sz w:val="21"/>
        </w:rPr>
        <w:t> </w:t>
      </w:r>
      <w:r>
        <w:rPr>
          <w:color w:val="231F20"/>
          <w:w w:val="105"/>
          <w:sz w:val="21"/>
        </w:rPr>
        <w:t>Urban</w:t>
      </w:r>
      <w:r>
        <w:rPr>
          <w:color w:val="231F20"/>
          <w:spacing w:val="-17"/>
          <w:w w:val="105"/>
          <w:sz w:val="21"/>
        </w:rPr>
        <w:t> </w:t>
      </w:r>
      <w:r>
        <w:rPr>
          <w:color w:val="231F20"/>
          <w:w w:val="105"/>
          <w:sz w:val="21"/>
        </w:rPr>
        <w:t>Anthropology</w:t>
      </w:r>
      <w:r>
        <w:rPr>
          <w:color w:val="231F20"/>
          <w:spacing w:val="-17"/>
          <w:w w:val="105"/>
          <w:sz w:val="21"/>
        </w:rPr>
        <w:t> </w:t>
      </w:r>
      <w:r>
        <w:rPr>
          <w:color w:val="231F20"/>
          <w:w w:val="105"/>
          <w:sz w:val="21"/>
        </w:rPr>
        <w:t>Volumes.</w:t>
      </w:r>
    </w:p>
    <w:p>
      <w:pPr>
        <w:spacing w:line="259" w:lineRule="auto" w:before="0"/>
        <w:ind w:left="2574" w:right="1721" w:hanging="738"/>
        <w:jc w:val="both"/>
        <w:rPr>
          <w:sz w:val="21"/>
        </w:rPr>
      </w:pPr>
      <w:r>
        <w:rPr>
          <w:color w:val="231F20"/>
          <w:w w:val="105"/>
          <w:sz w:val="21"/>
        </w:rPr>
        <w:t>Capps,</w:t>
      </w:r>
      <w:r>
        <w:rPr>
          <w:color w:val="231F20"/>
          <w:spacing w:val="-20"/>
          <w:w w:val="105"/>
          <w:sz w:val="21"/>
        </w:rPr>
        <w:t> </w:t>
      </w:r>
      <w:r>
        <w:rPr>
          <w:color w:val="231F20"/>
          <w:w w:val="105"/>
          <w:sz w:val="21"/>
        </w:rPr>
        <w:t>Randolph</w:t>
      </w:r>
      <w:r>
        <w:rPr>
          <w:color w:val="231F20"/>
          <w:spacing w:val="-15"/>
          <w:w w:val="105"/>
          <w:sz w:val="21"/>
        </w:rPr>
        <w:t> </w:t>
      </w:r>
      <w:r>
        <w:rPr>
          <w:color w:val="231F20"/>
          <w:w w:val="105"/>
          <w:sz w:val="21"/>
        </w:rPr>
        <w:t>and</w:t>
      </w:r>
      <w:r>
        <w:rPr>
          <w:color w:val="231F20"/>
          <w:spacing w:val="-15"/>
          <w:w w:val="105"/>
          <w:sz w:val="21"/>
        </w:rPr>
        <w:t> </w:t>
      </w:r>
      <w:r>
        <w:rPr>
          <w:color w:val="231F20"/>
          <w:spacing w:val="-3"/>
          <w:w w:val="105"/>
          <w:sz w:val="21"/>
        </w:rPr>
        <w:t>Fortuny,</w:t>
      </w:r>
      <w:r>
        <w:rPr>
          <w:color w:val="231F20"/>
          <w:spacing w:val="-20"/>
          <w:w w:val="105"/>
          <w:sz w:val="21"/>
        </w:rPr>
        <w:t> </w:t>
      </w:r>
      <w:r>
        <w:rPr>
          <w:color w:val="231F20"/>
          <w:w w:val="105"/>
          <w:sz w:val="21"/>
        </w:rPr>
        <w:t>Karina,</w:t>
      </w:r>
      <w:r>
        <w:rPr>
          <w:color w:val="231F20"/>
          <w:spacing w:val="-20"/>
          <w:w w:val="105"/>
          <w:sz w:val="21"/>
        </w:rPr>
        <w:t> </w:t>
      </w:r>
      <w:r>
        <w:rPr>
          <w:color w:val="231F20"/>
          <w:w w:val="105"/>
          <w:sz w:val="21"/>
        </w:rPr>
        <w:t>(2006),</w:t>
      </w:r>
      <w:r>
        <w:rPr>
          <w:color w:val="231F20"/>
          <w:spacing w:val="-20"/>
          <w:w w:val="105"/>
          <w:sz w:val="21"/>
        </w:rPr>
        <w:t> </w:t>
      </w:r>
      <w:r>
        <w:rPr>
          <w:rFonts w:ascii="Arial"/>
          <w:i/>
          <w:color w:val="231F20"/>
          <w:w w:val="105"/>
          <w:sz w:val="21"/>
        </w:rPr>
        <w:t>Immigration</w:t>
      </w:r>
      <w:r>
        <w:rPr>
          <w:rFonts w:ascii="Arial"/>
          <w:i/>
          <w:color w:val="231F20"/>
          <w:spacing w:val="-18"/>
          <w:w w:val="105"/>
          <w:sz w:val="21"/>
        </w:rPr>
        <w:t> </w:t>
      </w:r>
      <w:r>
        <w:rPr>
          <w:rFonts w:ascii="Arial"/>
          <w:i/>
          <w:color w:val="231F20"/>
          <w:w w:val="105"/>
          <w:sz w:val="21"/>
        </w:rPr>
        <w:t>and</w:t>
      </w:r>
      <w:r>
        <w:rPr>
          <w:rFonts w:ascii="Arial"/>
          <w:i/>
          <w:color w:val="231F20"/>
          <w:spacing w:val="-18"/>
          <w:w w:val="105"/>
          <w:sz w:val="21"/>
        </w:rPr>
        <w:t> </w:t>
      </w:r>
      <w:r>
        <w:rPr>
          <w:rFonts w:ascii="Arial"/>
          <w:i/>
          <w:color w:val="231F20"/>
          <w:w w:val="105"/>
          <w:sz w:val="21"/>
        </w:rPr>
        <w:t>child</w:t>
      </w:r>
      <w:r>
        <w:rPr>
          <w:rFonts w:ascii="Arial"/>
          <w:i/>
          <w:color w:val="231F20"/>
          <w:spacing w:val="-18"/>
          <w:w w:val="105"/>
          <w:sz w:val="21"/>
        </w:rPr>
        <w:t> </w:t>
      </w:r>
      <w:r>
        <w:rPr>
          <w:rFonts w:ascii="Arial"/>
          <w:i/>
          <w:color w:val="231F20"/>
          <w:w w:val="105"/>
          <w:sz w:val="21"/>
        </w:rPr>
        <w:t>and </w:t>
      </w:r>
      <w:r>
        <w:rPr>
          <w:rFonts w:ascii="Arial"/>
          <w:i/>
          <w:color w:val="231F20"/>
          <w:w w:val="105"/>
          <w:sz w:val="21"/>
        </w:rPr>
        <w:t>family</w:t>
      </w:r>
      <w:r>
        <w:rPr>
          <w:rFonts w:ascii="Arial"/>
          <w:i/>
          <w:color w:val="231F20"/>
          <w:spacing w:val="-23"/>
          <w:w w:val="105"/>
          <w:sz w:val="21"/>
        </w:rPr>
        <w:t> </w:t>
      </w:r>
      <w:r>
        <w:rPr>
          <w:rFonts w:ascii="Arial"/>
          <w:i/>
          <w:color w:val="231F20"/>
          <w:w w:val="105"/>
          <w:sz w:val="21"/>
        </w:rPr>
        <w:t>policy</w:t>
      </w:r>
      <w:r>
        <w:rPr>
          <w:color w:val="231F20"/>
          <w:w w:val="105"/>
          <w:sz w:val="21"/>
        </w:rPr>
        <w:t>,</w:t>
      </w:r>
      <w:r>
        <w:rPr>
          <w:color w:val="231F20"/>
          <w:spacing w:val="-28"/>
          <w:w w:val="105"/>
          <w:sz w:val="21"/>
        </w:rPr>
        <w:t> </w:t>
      </w:r>
      <w:r>
        <w:rPr>
          <w:color w:val="231F20"/>
          <w:w w:val="105"/>
          <w:sz w:val="21"/>
        </w:rPr>
        <w:t>Washington:</w:t>
      </w:r>
      <w:r>
        <w:rPr>
          <w:color w:val="231F20"/>
          <w:spacing w:val="-21"/>
          <w:w w:val="105"/>
          <w:sz w:val="21"/>
        </w:rPr>
        <w:t> </w:t>
      </w:r>
      <w:r>
        <w:rPr>
          <w:color w:val="231F20"/>
          <w:w w:val="105"/>
          <w:sz w:val="21"/>
        </w:rPr>
        <w:t>Urban</w:t>
      </w:r>
      <w:r>
        <w:rPr>
          <w:color w:val="231F20"/>
          <w:spacing w:val="-21"/>
          <w:w w:val="105"/>
          <w:sz w:val="21"/>
        </w:rPr>
        <w:t> </w:t>
      </w:r>
      <w:r>
        <w:rPr>
          <w:color w:val="231F20"/>
          <w:w w:val="105"/>
          <w:sz w:val="21"/>
        </w:rPr>
        <w:t>Institute.</w:t>
      </w:r>
    </w:p>
    <w:p>
      <w:pPr>
        <w:pStyle w:val="BodyText"/>
        <w:spacing w:line="261" w:lineRule="auto" w:before="3"/>
        <w:ind w:left="2574" w:right="1715" w:hanging="738"/>
        <w:jc w:val="both"/>
      </w:pPr>
      <w:r>
        <w:rPr>
          <w:color w:val="231F20"/>
          <w:w w:val="105"/>
        </w:rPr>
        <w:t>Castellanos, Janett, Gloria, Alberta, Herrera, Nancy, Kanagui-Munoz, Marlen</w:t>
      </w:r>
      <w:r>
        <w:rPr>
          <w:color w:val="231F20"/>
          <w:spacing w:val="-12"/>
          <w:w w:val="105"/>
        </w:rPr>
        <w:t> </w:t>
      </w:r>
      <w:r>
        <w:rPr>
          <w:color w:val="231F20"/>
          <w:w w:val="105"/>
        </w:rPr>
        <w:t>and</w:t>
      </w:r>
      <w:r>
        <w:rPr>
          <w:color w:val="231F20"/>
          <w:spacing w:val="-12"/>
          <w:w w:val="105"/>
        </w:rPr>
        <w:t> </w:t>
      </w:r>
      <w:r>
        <w:rPr>
          <w:color w:val="231F20"/>
          <w:w w:val="105"/>
        </w:rPr>
        <w:t>Flores,</w:t>
      </w:r>
      <w:r>
        <w:rPr>
          <w:color w:val="231F20"/>
          <w:spacing w:val="-17"/>
          <w:w w:val="105"/>
        </w:rPr>
        <w:t> </w:t>
      </w:r>
      <w:r>
        <w:rPr>
          <w:color w:val="231F20"/>
          <w:w w:val="105"/>
        </w:rPr>
        <w:t>Cristina,</w:t>
      </w:r>
      <w:r>
        <w:rPr>
          <w:color w:val="231F20"/>
          <w:spacing w:val="-17"/>
          <w:w w:val="105"/>
        </w:rPr>
        <w:t> </w:t>
      </w:r>
      <w:r>
        <w:rPr>
          <w:color w:val="231F20"/>
          <w:w w:val="105"/>
        </w:rPr>
        <w:t>(2013),</w:t>
      </w:r>
      <w:r>
        <w:rPr>
          <w:color w:val="231F20"/>
          <w:spacing w:val="-17"/>
          <w:w w:val="105"/>
        </w:rPr>
        <w:t> </w:t>
      </w:r>
      <w:r>
        <w:rPr>
          <w:color w:val="231F20"/>
          <w:w w:val="105"/>
        </w:rPr>
        <w:t>“‘Apoyamos</w:t>
      </w:r>
      <w:r>
        <w:rPr>
          <w:color w:val="231F20"/>
          <w:spacing w:val="-12"/>
          <w:w w:val="105"/>
        </w:rPr>
        <w:t> </w:t>
      </w:r>
      <w:r>
        <w:rPr>
          <w:color w:val="231F20"/>
          <w:w w:val="105"/>
        </w:rPr>
        <w:t>la</w:t>
      </w:r>
      <w:r>
        <w:rPr>
          <w:color w:val="231F20"/>
          <w:spacing w:val="-12"/>
          <w:w w:val="105"/>
        </w:rPr>
        <w:t> </w:t>
      </w:r>
      <w:r>
        <w:rPr>
          <w:color w:val="231F20"/>
          <w:w w:val="105"/>
        </w:rPr>
        <w:t>educacion</w:t>
      </w:r>
      <w:r>
        <w:rPr>
          <w:color w:val="231F20"/>
          <w:spacing w:val="-12"/>
          <w:w w:val="105"/>
        </w:rPr>
        <w:t> </w:t>
      </w:r>
      <w:r>
        <w:rPr>
          <w:color w:val="231F20"/>
          <w:w w:val="105"/>
        </w:rPr>
        <w:t>de nuestros</w:t>
      </w:r>
      <w:r>
        <w:rPr>
          <w:color w:val="231F20"/>
          <w:spacing w:val="-20"/>
          <w:w w:val="105"/>
        </w:rPr>
        <w:t> </w:t>
      </w:r>
      <w:r>
        <w:rPr>
          <w:color w:val="231F20"/>
          <w:w w:val="105"/>
        </w:rPr>
        <w:t>hija/os!’.</w:t>
      </w:r>
      <w:r>
        <w:rPr>
          <w:color w:val="231F20"/>
          <w:spacing w:val="-25"/>
          <w:w w:val="105"/>
        </w:rPr>
        <w:t> </w:t>
      </w:r>
      <w:r>
        <w:rPr>
          <w:color w:val="231F20"/>
          <w:w w:val="105"/>
        </w:rPr>
        <w:t>How</w:t>
      </w:r>
      <w:r>
        <w:rPr>
          <w:color w:val="231F20"/>
          <w:spacing w:val="-20"/>
          <w:w w:val="105"/>
        </w:rPr>
        <w:t> </w:t>
      </w:r>
      <w:r>
        <w:rPr>
          <w:color w:val="231F20"/>
          <w:w w:val="105"/>
        </w:rPr>
        <w:t>Mexican</w:t>
      </w:r>
      <w:r>
        <w:rPr>
          <w:color w:val="231F20"/>
          <w:spacing w:val="-20"/>
          <w:w w:val="105"/>
        </w:rPr>
        <w:t> </w:t>
      </w:r>
      <w:r>
        <w:rPr>
          <w:color w:val="231F20"/>
          <w:w w:val="105"/>
        </w:rPr>
        <w:t>parents’</w:t>
      </w:r>
      <w:r>
        <w:rPr>
          <w:color w:val="231F20"/>
          <w:spacing w:val="-20"/>
          <w:w w:val="105"/>
        </w:rPr>
        <w:t> </w:t>
      </w:r>
      <w:r>
        <w:rPr>
          <w:color w:val="231F20"/>
          <w:w w:val="105"/>
        </w:rPr>
        <w:t>college</w:t>
      </w:r>
      <w:r>
        <w:rPr>
          <w:color w:val="231F20"/>
          <w:spacing w:val="-20"/>
          <w:w w:val="105"/>
        </w:rPr>
        <w:t> </w:t>
      </w:r>
      <w:r>
        <w:rPr>
          <w:color w:val="231F20"/>
          <w:w w:val="105"/>
        </w:rPr>
        <w:t>knowledge,</w:t>
      </w:r>
      <w:r>
        <w:rPr>
          <w:color w:val="231F20"/>
          <w:spacing w:val="-25"/>
          <w:w w:val="105"/>
        </w:rPr>
        <w:t> </w:t>
      </w:r>
      <w:r>
        <w:rPr>
          <w:color w:val="231F20"/>
          <w:w w:val="105"/>
        </w:rPr>
        <w:t>per- ceptions, and concerns influence the emotional and behavioral support of their children to pursue higher </w:t>
      </w:r>
      <w:r>
        <w:rPr>
          <w:color w:val="231F20"/>
          <w:spacing w:val="-3"/>
          <w:w w:val="105"/>
        </w:rPr>
        <w:t>education”, </w:t>
      </w:r>
      <w:r>
        <w:rPr>
          <w:rFonts w:ascii="Arial" w:hAnsi="Arial"/>
          <w:i/>
          <w:color w:val="231F20"/>
          <w:w w:val="105"/>
        </w:rPr>
        <w:t>Journal of </w:t>
      </w:r>
      <w:r>
        <w:rPr>
          <w:rFonts w:ascii="Arial" w:hAnsi="Arial"/>
          <w:i/>
          <w:color w:val="231F20"/>
          <w:w w:val="105"/>
        </w:rPr>
        <w:t>Latino/</w:t>
      </w:r>
      <w:r>
        <w:rPr>
          <w:rFonts w:ascii="Arial" w:hAnsi="Arial"/>
          <w:i/>
          <w:color w:val="231F20"/>
          <w:spacing w:val="-29"/>
          <w:w w:val="105"/>
        </w:rPr>
        <w:t> </w:t>
      </w:r>
      <w:r>
        <w:rPr>
          <w:rFonts w:ascii="Arial" w:hAnsi="Arial"/>
          <w:i/>
          <w:color w:val="231F20"/>
          <w:w w:val="105"/>
        </w:rPr>
        <w:t>Latina</w:t>
      </w:r>
      <w:r>
        <w:rPr>
          <w:rFonts w:ascii="Arial" w:hAnsi="Arial"/>
          <w:i/>
          <w:color w:val="231F20"/>
          <w:spacing w:val="-32"/>
          <w:w w:val="105"/>
        </w:rPr>
        <w:t> </w:t>
      </w:r>
      <w:r>
        <w:rPr>
          <w:rFonts w:ascii="Arial" w:hAnsi="Arial"/>
          <w:i/>
          <w:color w:val="231F20"/>
          <w:w w:val="105"/>
        </w:rPr>
        <w:t>American</w:t>
      </w:r>
      <w:r>
        <w:rPr>
          <w:rFonts w:ascii="Arial" w:hAnsi="Arial"/>
          <w:i/>
          <w:color w:val="231F20"/>
          <w:spacing w:val="-29"/>
          <w:w w:val="105"/>
        </w:rPr>
        <w:t> </w:t>
      </w:r>
      <w:r>
        <w:rPr>
          <w:rFonts w:ascii="Arial" w:hAnsi="Arial"/>
          <w:i/>
          <w:color w:val="231F20"/>
          <w:w w:val="105"/>
        </w:rPr>
        <w:t>Studies,</w:t>
      </w:r>
      <w:r>
        <w:rPr>
          <w:rFonts w:ascii="Arial" w:hAnsi="Arial"/>
          <w:i/>
          <w:color w:val="231F20"/>
          <w:spacing w:val="-29"/>
          <w:w w:val="105"/>
        </w:rPr>
        <w:t> </w:t>
      </w:r>
      <w:r>
        <w:rPr>
          <w:color w:val="231F20"/>
          <w:w w:val="105"/>
        </w:rPr>
        <w:t>vol.</w:t>
      </w:r>
      <w:r>
        <w:rPr>
          <w:color w:val="231F20"/>
          <w:spacing w:val="-31"/>
          <w:w w:val="105"/>
        </w:rPr>
        <w:t> </w:t>
      </w:r>
      <w:r>
        <w:rPr>
          <w:color w:val="231F20"/>
          <w:w w:val="105"/>
        </w:rPr>
        <w:t>5,</w:t>
      </w:r>
      <w:r>
        <w:rPr>
          <w:color w:val="231F20"/>
          <w:spacing w:val="-31"/>
          <w:w w:val="105"/>
        </w:rPr>
        <w:t> </w:t>
      </w:r>
      <w:r>
        <w:rPr>
          <w:color w:val="231F20"/>
          <w:w w:val="105"/>
        </w:rPr>
        <w:t>num.</w:t>
      </w:r>
      <w:r>
        <w:rPr>
          <w:color w:val="231F20"/>
          <w:spacing w:val="-31"/>
          <w:w w:val="105"/>
        </w:rPr>
        <w:t> </w:t>
      </w:r>
      <w:r>
        <w:rPr>
          <w:color w:val="231F20"/>
          <w:w w:val="105"/>
        </w:rPr>
        <w:t>2.</w:t>
      </w:r>
    </w:p>
    <w:p>
      <w:pPr>
        <w:spacing w:line="261" w:lineRule="auto" w:before="0"/>
        <w:ind w:left="2574" w:right="1721" w:hanging="738"/>
        <w:jc w:val="both"/>
        <w:rPr>
          <w:sz w:val="21"/>
        </w:rPr>
      </w:pPr>
      <w:r>
        <w:rPr/>
        <w:pict>
          <v:line style="position:absolute;mso-position-horizontal-relative:page;mso-position-vertical-relative:paragraph;z-index:-484288" from="15pt,124.478073pt" to="0pt,124.478073pt" stroked="true" strokeweight=".25pt" strokecolor="#000000">
            <w10:wrap type="none"/>
          </v:line>
        </w:pict>
      </w:r>
      <w:r>
        <w:rPr/>
        <w:pict>
          <v:line style="position:absolute;mso-position-horizontal-relative:page;mso-position-vertical-relative:paragraph;z-index:5920" from="508.890015pt,124.478073pt" to="523.890015pt,124.478073pt" stroked="true" strokeweight=".25pt" strokecolor="#000000">
            <w10:wrap type="none"/>
          </v:line>
        </w:pict>
      </w:r>
      <w:r>
        <w:rPr>
          <w:color w:val="231F20"/>
          <w:sz w:val="21"/>
        </w:rPr>
        <w:t>Coleman, James, (1990), </w:t>
      </w:r>
      <w:r>
        <w:rPr>
          <w:rFonts w:ascii="Arial"/>
          <w:i/>
          <w:color w:val="231F20"/>
          <w:sz w:val="21"/>
        </w:rPr>
        <w:t>Foundations of Social Theory</w:t>
      </w:r>
      <w:r>
        <w:rPr>
          <w:color w:val="231F20"/>
          <w:sz w:val="21"/>
        </w:rPr>
        <w:t>, Cambridge: Belk- nap Press of Harvard University Press.</w:t>
      </w:r>
    </w:p>
    <w:p>
      <w:pPr>
        <w:spacing w:after="0" w:line="261" w:lineRule="auto"/>
        <w:jc w:val="both"/>
        <w:rPr>
          <w:sz w:val="21"/>
        </w:rPr>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2461" w:right="1874" w:hanging="738"/>
        <w:jc w:val="both"/>
      </w:pPr>
      <w:r>
        <w:rPr/>
        <w:pict>
          <v:line style="position:absolute;mso-position-horizontal-relative:page;mso-position-vertical-relative:paragraph;z-index:5968" from="15pt,-71.68644pt" to="0pt,-71.68644pt" stroked="true" strokeweight=".25pt" strokecolor="#000000">
            <w10:wrap type="none"/>
          </v:line>
        </w:pict>
      </w:r>
      <w:r>
        <w:rPr/>
        <w:pict>
          <v:line style="position:absolute;mso-position-horizontal-relative:page;mso-position-vertical-relative:paragraph;z-index:5992" from="508.890015pt,-71.68644pt" to="523.890015pt,-71.68644pt" stroked="true" strokeweight=".25pt" strokecolor="#000000">
            <w10:wrap type="none"/>
          </v:line>
        </w:pict>
      </w:r>
      <w:r>
        <w:rPr>
          <w:color w:val="231F20"/>
          <w:w w:val="105"/>
        </w:rPr>
        <w:t>Coltrane,</w:t>
      </w:r>
      <w:r>
        <w:rPr>
          <w:color w:val="231F20"/>
          <w:spacing w:val="-35"/>
          <w:w w:val="105"/>
        </w:rPr>
        <w:t> </w:t>
      </w:r>
      <w:r>
        <w:rPr>
          <w:color w:val="231F20"/>
          <w:w w:val="105"/>
        </w:rPr>
        <w:t>Scott,</w:t>
      </w:r>
      <w:r>
        <w:rPr>
          <w:color w:val="231F20"/>
          <w:spacing w:val="-34"/>
          <w:w w:val="105"/>
        </w:rPr>
        <w:t> </w:t>
      </w:r>
      <w:r>
        <w:rPr>
          <w:color w:val="231F20"/>
          <w:spacing w:val="-3"/>
          <w:w w:val="105"/>
        </w:rPr>
        <w:t>Parke,</w:t>
      </w:r>
      <w:r>
        <w:rPr>
          <w:color w:val="231F20"/>
          <w:spacing w:val="-34"/>
          <w:w w:val="105"/>
        </w:rPr>
        <w:t> </w:t>
      </w:r>
      <w:r>
        <w:rPr>
          <w:color w:val="231F20"/>
          <w:w w:val="105"/>
        </w:rPr>
        <w:t>Ross</w:t>
      </w:r>
      <w:r>
        <w:rPr>
          <w:color w:val="231F20"/>
          <w:spacing w:val="-31"/>
          <w:w w:val="105"/>
        </w:rPr>
        <w:t> </w:t>
      </w:r>
      <w:r>
        <w:rPr>
          <w:color w:val="231F20"/>
          <w:spacing w:val="-6"/>
          <w:w w:val="105"/>
        </w:rPr>
        <w:t>D.</w:t>
      </w:r>
      <w:r>
        <w:rPr>
          <w:color w:val="231F20"/>
          <w:spacing w:val="-35"/>
          <w:w w:val="105"/>
        </w:rPr>
        <w:t> </w:t>
      </w:r>
      <w:r>
        <w:rPr>
          <w:color w:val="231F20"/>
          <w:w w:val="105"/>
        </w:rPr>
        <w:t>and</w:t>
      </w:r>
      <w:r>
        <w:rPr>
          <w:color w:val="231F20"/>
          <w:spacing w:val="-33"/>
          <w:w w:val="105"/>
        </w:rPr>
        <w:t> </w:t>
      </w:r>
      <w:r>
        <w:rPr>
          <w:color w:val="231F20"/>
          <w:w w:val="105"/>
        </w:rPr>
        <w:t>Adams,</w:t>
      </w:r>
      <w:r>
        <w:rPr>
          <w:color w:val="231F20"/>
          <w:spacing w:val="-34"/>
          <w:w w:val="105"/>
        </w:rPr>
        <w:t> </w:t>
      </w:r>
      <w:r>
        <w:rPr>
          <w:color w:val="231F20"/>
          <w:w w:val="105"/>
        </w:rPr>
        <w:t>Michelle,</w:t>
      </w:r>
      <w:r>
        <w:rPr>
          <w:color w:val="231F20"/>
          <w:spacing w:val="-34"/>
          <w:w w:val="105"/>
        </w:rPr>
        <w:t> </w:t>
      </w:r>
      <w:r>
        <w:rPr>
          <w:color w:val="231F20"/>
          <w:w w:val="105"/>
        </w:rPr>
        <w:t>(2004),</w:t>
      </w:r>
      <w:r>
        <w:rPr>
          <w:color w:val="231F20"/>
          <w:spacing w:val="-34"/>
          <w:w w:val="105"/>
        </w:rPr>
        <w:t> </w:t>
      </w:r>
      <w:r>
        <w:rPr>
          <w:color w:val="231F20"/>
          <w:w w:val="105"/>
        </w:rPr>
        <w:t>“Complexity of</w:t>
      </w:r>
      <w:r>
        <w:rPr>
          <w:color w:val="231F20"/>
          <w:spacing w:val="-11"/>
          <w:w w:val="105"/>
        </w:rPr>
        <w:t> </w:t>
      </w:r>
      <w:r>
        <w:rPr>
          <w:color w:val="231F20"/>
          <w:w w:val="105"/>
        </w:rPr>
        <w:t>father</w:t>
      </w:r>
      <w:r>
        <w:rPr>
          <w:color w:val="231F20"/>
          <w:spacing w:val="-15"/>
          <w:w w:val="105"/>
        </w:rPr>
        <w:t> </w:t>
      </w:r>
      <w:r>
        <w:rPr>
          <w:color w:val="231F20"/>
          <w:w w:val="105"/>
        </w:rPr>
        <w:t>involvement</w:t>
      </w:r>
      <w:r>
        <w:rPr>
          <w:color w:val="231F20"/>
          <w:spacing w:val="-15"/>
          <w:w w:val="105"/>
        </w:rPr>
        <w:t> </w:t>
      </w:r>
      <w:r>
        <w:rPr>
          <w:color w:val="231F20"/>
          <w:w w:val="105"/>
        </w:rPr>
        <w:t>in</w:t>
      </w:r>
      <w:r>
        <w:rPr>
          <w:color w:val="231F20"/>
          <w:spacing w:val="-15"/>
          <w:w w:val="105"/>
        </w:rPr>
        <w:t> </w:t>
      </w:r>
      <w:r>
        <w:rPr>
          <w:color w:val="231F20"/>
          <w:w w:val="105"/>
        </w:rPr>
        <w:t>low-income</w:t>
      </w:r>
      <w:r>
        <w:rPr>
          <w:color w:val="231F20"/>
          <w:spacing w:val="-15"/>
          <w:w w:val="105"/>
        </w:rPr>
        <w:t> </w:t>
      </w:r>
      <w:r>
        <w:rPr>
          <w:color w:val="231F20"/>
          <w:w w:val="105"/>
        </w:rPr>
        <w:t>Mexican</w:t>
      </w:r>
      <w:r>
        <w:rPr>
          <w:color w:val="231F20"/>
          <w:spacing w:val="-18"/>
          <w:w w:val="105"/>
        </w:rPr>
        <w:t> </w:t>
      </w:r>
      <w:r>
        <w:rPr>
          <w:color w:val="231F20"/>
          <w:w w:val="105"/>
        </w:rPr>
        <w:t>American</w:t>
      </w:r>
      <w:r>
        <w:rPr>
          <w:color w:val="231F20"/>
          <w:spacing w:val="-15"/>
          <w:w w:val="105"/>
        </w:rPr>
        <w:t> </w:t>
      </w:r>
      <w:r>
        <w:rPr>
          <w:color w:val="231F20"/>
          <w:spacing w:val="-3"/>
          <w:w w:val="105"/>
        </w:rPr>
        <w:t>families”, </w:t>
      </w:r>
      <w:r>
        <w:rPr>
          <w:rFonts w:ascii="Arial" w:hAnsi="Arial"/>
          <w:i/>
          <w:color w:val="231F20"/>
          <w:w w:val="105"/>
        </w:rPr>
        <w:t>Family</w:t>
      </w:r>
      <w:r>
        <w:rPr>
          <w:rFonts w:ascii="Arial" w:hAnsi="Arial"/>
          <w:i/>
          <w:color w:val="231F20"/>
          <w:spacing w:val="-40"/>
          <w:w w:val="105"/>
        </w:rPr>
        <w:t> </w:t>
      </w:r>
      <w:r>
        <w:rPr>
          <w:rFonts w:ascii="Arial" w:hAnsi="Arial"/>
          <w:i/>
          <w:color w:val="231F20"/>
          <w:w w:val="105"/>
        </w:rPr>
        <w:t>Relations,</w:t>
      </w:r>
      <w:r>
        <w:rPr>
          <w:rFonts w:ascii="Arial" w:hAnsi="Arial"/>
          <w:i/>
          <w:color w:val="231F20"/>
          <w:spacing w:val="-43"/>
          <w:w w:val="105"/>
        </w:rPr>
        <w:t> </w:t>
      </w:r>
      <w:r>
        <w:rPr>
          <w:color w:val="231F20"/>
          <w:w w:val="105"/>
        </w:rPr>
        <w:t>vol.</w:t>
      </w:r>
      <w:r>
        <w:rPr>
          <w:color w:val="231F20"/>
          <w:spacing w:val="-40"/>
          <w:w w:val="105"/>
        </w:rPr>
        <w:t> </w:t>
      </w:r>
      <w:r>
        <w:rPr>
          <w:color w:val="231F20"/>
          <w:w w:val="105"/>
        </w:rPr>
        <w:t>53,</w:t>
      </w:r>
      <w:r>
        <w:rPr>
          <w:color w:val="231F20"/>
          <w:spacing w:val="-40"/>
          <w:w w:val="105"/>
        </w:rPr>
        <w:t> </w:t>
      </w:r>
      <w:r>
        <w:rPr>
          <w:color w:val="231F20"/>
          <w:w w:val="105"/>
        </w:rPr>
        <w:t>num.</w:t>
      </w:r>
      <w:r>
        <w:rPr>
          <w:color w:val="231F20"/>
          <w:spacing w:val="-40"/>
          <w:w w:val="105"/>
        </w:rPr>
        <w:t> </w:t>
      </w:r>
      <w:r>
        <w:rPr>
          <w:color w:val="231F20"/>
          <w:w w:val="105"/>
        </w:rPr>
        <w:t>2.</w:t>
      </w:r>
    </w:p>
    <w:p>
      <w:pPr>
        <w:pStyle w:val="BodyText"/>
        <w:spacing w:line="261" w:lineRule="auto"/>
        <w:ind w:left="2461" w:right="1880" w:hanging="738"/>
        <w:jc w:val="both"/>
      </w:pPr>
      <w:r>
        <w:rPr>
          <w:color w:val="231F20"/>
          <w:w w:val="105"/>
        </w:rPr>
        <w:t>Crockett,</w:t>
      </w:r>
      <w:r>
        <w:rPr>
          <w:color w:val="231F20"/>
          <w:spacing w:val="-18"/>
          <w:w w:val="105"/>
        </w:rPr>
        <w:t> </w:t>
      </w:r>
      <w:r>
        <w:rPr>
          <w:color w:val="231F20"/>
          <w:w w:val="105"/>
        </w:rPr>
        <w:t>Lisa,</w:t>
      </w:r>
      <w:r>
        <w:rPr>
          <w:color w:val="231F20"/>
          <w:spacing w:val="-18"/>
          <w:w w:val="105"/>
        </w:rPr>
        <w:t> </w:t>
      </w:r>
      <w:r>
        <w:rPr>
          <w:color w:val="231F20"/>
          <w:w w:val="105"/>
        </w:rPr>
        <w:t>Iturbide,</w:t>
      </w:r>
      <w:r>
        <w:rPr>
          <w:color w:val="231F20"/>
          <w:spacing w:val="-18"/>
          <w:w w:val="105"/>
        </w:rPr>
        <w:t> </w:t>
      </w:r>
      <w:r>
        <w:rPr>
          <w:color w:val="231F20"/>
          <w:w w:val="105"/>
        </w:rPr>
        <w:t>Maria,</w:t>
      </w:r>
      <w:r>
        <w:rPr>
          <w:color w:val="231F20"/>
          <w:spacing w:val="-21"/>
          <w:w w:val="105"/>
        </w:rPr>
        <w:t> </w:t>
      </w:r>
      <w:r>
        <w:rPr>
          <w:color w:val="231F20"/>
          <w:spacing w:val="-5"/>
          <w:w w:val="105"/>
        </w:rPr>
        <w:t>Torres</w:t>
      </w:r>
      <w:r>
        <w:rPr>
          <w:color w:val="231F20"/>
          <w:spacing w:val="-14"/>
          <w:w w:val="105"/>
        </w:rPr>
        <w:t> </w:t>
      </w:r>
      <w:r>
        <w:rPr>
          <w:color w:val="231F20"/>
          <w:w w:val="105"/>
        </w:rPr>
        <w:t>Stone,</w:t>
      </w:r>
      <w:r>
        <w:rPr>
          <w:color w:val="231F20"/>
          <w:spacing w:val="-18"/>
          <w:w w:val="105"/>
        </w:rPr>
        <w:t> </w:t>
      </w:r>
      <w:r>
        <w:rPr>
          <w:color w:val="231F20"/>
          <w:w w:val="105"/>
        </w:rPr>
        <w:t>Rosalie,</w:t>
      </w:r>
      <w:r>
        <w:rPr>
          <w:color w:val="231F20"/>
          <w:spacing w:val="-18"/>
          <w:w w:val="105"/>
        </w:rPr>
        <w:t> </w:t>
      </w:r>
      <w:r>
        <w:rPr>
          <w:color w:val="231F20"/>
          <w:w w:val="105"/>
        </w:rPr>
        <w:t>McGinley,</w:t>
      </w:r>
      <w:r>
        <w:rPr>
          <w:color w:val="231F20"/>
          <w:spacing w:val="-18"/>
          <w:w w:val="105"/>
        </w:rPr>
        <w:t> </w:t>
      </w:r>
      <w:r>
        <w:rPr>
          <w:color w:val="231F20"/>
          <w:w w:val="105"/>
        </w:rPr>
        <w:t>Meredi- th,</w:t>
      </w:r>
      <w:r>
        <w:rPr>
          <w:color w:val="231F20"/>
          <w:spacing w:val="-8"/>
          <w:w w:val="105"/>
        </w:rPr>
        <w:t> </w:t>
      </w:r>
      <w:r>
        <w:rPr>
          <w:color w:val="231F20"/>
          <w:w w:val="105"/>
        </w:rPr>
        <w:t>Raffaelli,</w:t>
      </w:r>
      <w:r>
        <w:rPr>
          <w:color w:val="231F20"/>
          <w:spacing w:val="-8"/>
          <w:w w:val="105"/>
        </w:rPr>
        <w:t> </w:t>
      </w:r>
      <w:r>
        <w:rPr>
          <w:color w:val="231F20"/>
          <w:w w:val="105"/>
        </w:rPr>
        <w:t>Marcela</w:t>
      </w:r>
      <w:r>
        <w:rPr>
          <w:color w:val="231F20"/>
          <w:spacing w:val="-5"/>
          <w:w w:val="105"/>
        </w:rPr>
        <w:t> </w:t>
      </w:r>
      <w:r>
        <w:rPr>
          <w:color w:val="231F20"/>
          <w:w w:val="105"/>
        </w:rPr>
        <w:t>and</w:t>
      </w:r>
      <w:r>
        <w:rPr>
          <w:color w:val="231F20"/>
          <w:spacing w:val="-5"/>
          <w:w w:val="105"/>
        </w:rPr>
        <w:t> </w:t>
      </w:r>
      <w:r>
        <w:rPr>
          <w:color w:val="231F20"/>
          <w:w w:val="105"/>
        </w:rPr>
        <w:t>Carlo,</w:t>
      </w:r>
      <w:r>
        <w:rPr>
          <w:color w:val="231F20"/>
          <w:spacing w:val="-8"/>
          <w:w w:val="105"/>
        </w:rPr>
        <w:t> </w:t>
      </w:r>
      <w:r>
        <w:rPr>
          <w:color w:val="231F20"/>
          <w:w w:val="105"/>
        </w:rPr>
        <w:t>Gustavo,</w:t>
      </w:r>
      <w:r>
        <w:rPr>
          <w:color w:val="231F20"/>
          <w:spacing w:val="-8"/>
          <w:w w:val="105"/>
        </w:rPr>
        <w:t> </w:t>
      </w:r>
      <w:r>
        <w:rPr>
          <w:color w:val="231F20"/>
          <w:w w:val="105"/>
        </w:rPr>
        <w:t>(2007),</w:t>
      </w:r>
      <w:r>
        <w:rPr>
          <w:color w:val="231F20"/>
          <w:spacing w:val="-8"/>
          <w:w w:val="105"/>
        </w:rPr>
        <w:t> </w:t>
      </w:r>
      <w:r>
        <w:rPr>
          <w:color w:val="231F20"/>
          <w:w w:val="105"/>
        </w:rPr>
        <w:t>“Acculturative stress, social support, and coping: Relations to psychological adjustment</w:t>
      </w:r>
      <w:r>
        <w:rPr>
          <w:color w:val="231F20"/>
          <w:spacing w:val="-21"/>
          <w:w w:val="105"/>
        </w:rPr>
        <w:t> </w:t>
      </w:r>
      <w:r>
        <w:rPr>
          <w:color w:val="231F20"/>
          <w:w w:val="105"/>
        </w:rPr>
        <w:t>among</w:t>
      </w:r>
      <w:r>
        <w:rPr>
          <w:color w:val="231F20"/>
          <w:spacing w:val="-21"/>
          <w:w w:val="105"/>
        </w:rPr>
        <w:t> </w:t>
      </w:r>
      <w:r>
        <w:rPr>
          <w:color w:val="231F20"/>
          <w:w w:val="105"/>
        </w:rPr>
        <w:t>Mexican</w:t>
      </w:r>
      <w:r>
        <w:rPr>
          <w:color w:val="231F20"/>
          <w:spacing w:val="-24"/>
          <w:w w:val="105"/>
        </w:rPr>
        <w:t> </w:t>
      </w:r>
      <w:r>
        <w:rPr>
          <w:color w:val="231F20"/>
          <w:w w:val="105"/>
        </w:rPr>
        <w:t>American</w:t>
      </w:r>
      <w:r>
        <w:rPr>
          <w:color w:val="231F20"/>
          <w:spacing w:val="-21"/>
          <w:w w:val="105"/>
        </w:rPr>
        <w:t> </w:t>
      </w:r>
      <w:r>
        <w:rPr>
          <w:color w:val="231F20"/>
          <w:w w:val="105"/>
        </w:rPr>
        <w:t>college</w:t>
      </w:r>
      <w:r>
        <w:rPr>
          <w:color w:val="231F20"/>
          <w:spacing w:val="-21"/>
          <w:w w:val="105"/>
        </w:rPr>
        <w:t> </w:t>
      </w:r>
      <w:r>
        <w:rPr>
          <w:color w:val="231F20"/>
          <w:spacing w:val="-3"/>
          <w:w w:val="105"/>
        </w:rPr>
        <w:t>students”,</w:t>
      </w:r>
      <w:r>
        <w:rPr>
          <w:color w:val="231F20"/>
          <w:spacing w:val="-26"/>
          <w:w w:val="105"/>
        </w:rPr>
        <w:t> </w:t>
      </w:r>
      <w:r>
        <w:rPr>
          <w:color w:val="231F20"/>
          <w:w w:val="105"/>
        </w:rPr>
        <w:t>Cultural Diversity</w:t>
      </w:r>
      <w:r>
        <w:rPr>
          <w:color w:val="231F20"/>
          <w:spacing w:val="-24"/>
          <w:w w:val="105"/>
        </w:rPr>
        <w:t> </w:t>
      </w:r>
      <w:r>
        <w:rPr>
          <w:color w:val="231F20"/>
          <w:w w:val="105"/>
        </w:rPr>
        <w:t>and</w:t>
      </w:r>
      <w:r>
        <w:rPr>
          <w:color w:val="231F20"/>
          <w:spacing w:val="-24"/>
          <w:w w:val="105"/>
        </w:rPr>
        <w:t> </w:t>
      </w:r>
      <w:r>
        <w:rPr>
          <w:color w:val="231F20"/>
          <w:w w:val="105"/>
        </w:rPr>
        <w:t>Ethnic</w:t>
      </w:r>
      <w:r>
        <w:rPr>
          <w:color w:val="231F20"/>
          <w:spacing w:val="-24"/>
          <w:w w:val="105"/>
        </w:rPr>
        <w:t> </w:t>
      </w:r>
      <w:r>
        <w:rPr>
          <w:color w:val="231F20"/>
          <w:w w:val="105"/>
        </w:rPr>
        <w:t>Minority</w:t>
      </w:r>
      <w:r>
        <w:rPr>
          <w:color w:val="231F20"/>
          <w:spacing w:val="-24"/>
          <w:w w:val="105"/>
        </w:rPr>
        <w:t> </w:t>
      </w:r>
      <w:r>
        <w:rPr>
          <w:color w:val="231F20"/>
          <w:w w:val="105"/>
        </w:rPr>
        <w:t>Psychology,</w:t>
      </w:r>
      <w:r>
        <w:rPr>
          <w:color w:val="231F20"/>
          <w:spacing w:val="-28"/>
          <w:w w:val="105"/>
        </w:rPr>
        <w:t> </w:t>
      </w:r>
      <w:r>
        <w:rPr>
          <w:color w:val="231F20"/>
          <w:w w:val="105"/>
        </w:rPr>
        <w:t>vol.</w:t>
      </w:r>
      <w:r>
        <w:rPr>
          <w:color w:val="231F20"/>
          <w:spacing w:val="-28"/>
          <w:w w:val="105"/>
        </w:rPr>
        <w:t> </w:t>
      </w:r>
      <w:r>
        <w:rPr>
          <w:color w:val="231F20"/>
          <w:w w:val="105"/>
        </w:rPr>
        <w:t>13,</w:t>
      </w:r>
      <w:r>
        <w:rPr>
          <w:color w:val="231F20"/>
          <w:spacing w:val="-28"/>
          <w:w w:val="105"/>
        </w:rPr>
        <w:t> </w:t>
      </w:r>
      <w:r>
        <w:rPr>
          <w:color w:val="231F20"/>
          <w:w w:val="105"/>
        </w:rPr>
        <w:t>num.</w:t>
      </w:r>
      <w:r>
        <w:rPr>
          <w:color w:val="231F20"/>
          <w:spacing w:val="-28"/>
          <w:w w:val="105"/>
        </w:rPr>
        <w:t> </w:t>
      </w:r>
      <w:r>
        <w:rPr>
          <w:color w:val="231F20"/>
          <w:w w:val="105"/>
        </w:rPr>
        <w:t>4.</w:t>
      </w:r>
    </w:p>
    <w:p>
      <w:pPr>
        <w:pStyle w:val="BodyText"/>
        <w:spacing w:line="259" w:lineRule="auto" w:before="1"/>
        <w:ind w:left="2461" w:right="1874" w:hanging="738"/>
        <w:jc w:val="both"/>
      </w:pPr>
      <w:r>
        <w:rPr>
          <w:color w:val="231F20"/>
          <w:w w:val="105"/>
        </w:rPr>
        <w:t>De Carlo, Santiago, Catherine, Gudiño, </w:t>
      </w:r>
      <w:r>
        <w:rPr>
          <w:color w:val="231F20"/>
          <w:spacing w:val="-3"/>
          <w:w w:val="105"/>
        </w:rPr>
        <w:t>Omar, </w:t>
      </w:r>
      <w:r>
        <w:rPr>
          <w:color w:val="231F20"/>
          <w:w w:val="105"/>
        </w:rPr>
        <w:t>Baweja, Shiloa and Na- deem,</w:t>
      </w:r>
      <w:r>
        <w:rPr>
          <w:color w:val="231F20"/>
          <w:spacing w:val="-12"/>
          <w:w w:val="105"/>
        </w:rPr>
        <w:t> </w:t>
      </w:r>
      <w:r>
        <w:rPr>
          <w:color w:val="231F20"/>
          <w:w w:val="105"/>
        </w:rPr>
        <w:t>Erum,</w:t>
      </w:r>
      <w:r>
        <w:rPr>
          <w:color w:val="231F20"/>
          <w:spacing w:val="-12"/>
          <w:w w:val="105"/>
        </w:rPr>
        <w:t> </w:t>
      </w:r>
      <w:r>
        <w:rPr>
          <w:color w:val="231F20"/>
          <w:w w:val="105"/>
        </w:rPr>
        <w:t>(2014),</w:t>
      </w:r>
      <w:r>
        <w:rPr>
          <w:color w:val="231F20"/>
          <w:spacing w:val="-12"/>
          <w:w w:val="105"/>
        </w:rPr>
        <w:t> </w:t>
      </w:r>
      <w:r>
        <w:rPr>
          <w:color w:val="231F20"/>
          <w:w w:val="105"/>
        </w:rPr>
        <w:t>“Academic</w:t>
      </w:r>
      <w:r>
        <w:rPr>
          <w:color w:val="231F20"/>
          <w:spacing w:val="-7"/>
          <w:w w:val="105"/>
        </w:rPr>
        <w:t> </w:t>
      </w:r>
      <w:r>
        <w:rPr>
          <w:color w:val="231F20"/>
          <w:w w:val="105"/>
        </w:rPr>
        <w:t>achievement</w:t>
      </w:r>
      <w:r>
        <w:rPr>
          <w:color w:val="231F20"/>
          <w:spacing w:val="-7"/>
          <w:w w:val="105"/>
        </w:rPr>
        <w:t> </w:t>
      </w:r>
      <w:r>
        <w:rPr>
          <w:color w:val="231F20"/>
          <w:w w:val="105"/>
        </w:rPr>
        <w:t>among</w:t>
      </w:r>
      <w:r>
        <w:rPr>
          <w:color w:val="231F20"/>
          <w:spacing w:val="-7"/>
          <w:w w:val="105"/>
        </w:rPr>
        <w:t> </w:t>
      </w:r>
      <w:r>
        <w:rPr>
          <w:color w:val="231F20"/>
          <w:w w:val="105"/>
        </w:rPr>
        <w:t>immigrant and</w:t>
      </w:r>
      <w:r>
        <w:rPr>
          <w:color w:val="231F20"/>
          <w:spacing w:val="-22"/>
          <w:w w:val="105"/>
        </w:rPr>
        <w:t> </w:t>
      </w:r>
      <w:r>
        <w:rPr>
          <w:color w:val="231F20"/>
          <w:w w:val="105"/>
        </w:rPr>
        <w:t>US</w:t>
      </w:r>
      <w:r>
        <w:rPr>
          <w:rFonts w:ascii="Cambria Math" w:hAnsi="Cambria Math"/>
          <w:color w:val="231F20"/>
          <w:w w:val="105"/>
        </w:rPr>
        <w:t>‐</w:t>
      </w:r>
      <w:r>
        <w:rPr>
          <w:color w:val="231F20"/>
          <w:w w:val="105"/>
        </w:rPr>
        <w:t>born</w:t>
      </w:r>
      <w:r>
        <w:rPr>
          <w:color w:val="231F20"/>
          <w:spacing w:val="-22"/>
          <w:w w:val="105"/>
        </w:rPr>
        <w:t> </w:t>
      </w:r>
      <w:r>
        <w:rPr>
          <w:color w:val="231F20"/>
          <w:w w:val="105"/>
        </w:rPr>
        <w:t>Latino</w:t>
      </w:r>
      <w:r>
        <w:rPr>
          <w:color w:val="231F20"/>
          <w:spacing w:val="-22"/>
          <w:w w:val="105"/>
        </w:rPr>
        <w:t> </w:t>
      </w:r>
      <w:r>
        <w:rPr>
          <w:color w:val="231F20"/>
          <w:w w:val="105"/>
        </w:rPr>
        <w:t>adolescents:</w:t>
      </w:r>
      <w:r>
        <w:rPr>
          <w:color w:val="231F20"/>
          <w:spacing w:val="-24"/>
          <w:w w:val="105"/>
        </w:rPr>
        <w:t> </w:t>
      </w:r>
      <w:r>
        <w:rPr>
          <w:color w:val="231F20"/>
          <w:w w:val="105"/>
        </w:rPr>
        <w:t>Associations</w:t>
      </w:r>
      <w:r>
        <w:rPr>
          <w:color w:val="231F20"/>
          <w:spacing w:val="-22"/>
          <w:w w:val="105"/>
        </w:rPr>
        <w:t> </w:t>
      </w:r>
      <w:r>
        <w:rPr>
          <w:color w:val="231F20"/>
          <w:w w:val="105"/>
        </w:rPr>
        <w:t>with</w:t>
      </w:r>
      <w:r>
        <w:rPr>
          <w:color w:val="231F20"/>
          <w:spacing w:val="-22"/>
          <w:w w:val="105"/>
        </w:rPr>
        <w:t> </w:t>
      </w:r>
      <w:r>
        <w:rPr>
          <w:color w:val="231F20"/>
          <w:w w:val="105"/>
        </w:rPr>
        <w:t>cultural,</w:t>
      </w:r>
      <w:r>
        <w:rPr>
          <w:color w:val="231F20"/>
          <w:spacing w:val="-26"/>
          <w:w w:val="105"/>
        </w:rPr>
        <w:t> </w:t>
      </w:r>
      <w:r>
        <w:rPr>
          <w:color w:val="231F20"/>
          <w:w w:val="105"/>
        </w:rPr>
        <w:t>fam- ily,</w:t>
      </w:r>
      <w:r>
        <w:rPr>
          <w:color w:val="231F20"/>
          <w:spacing w:val="-24"/>
          <w:w w:val="105"/>
        </w:rPr>
        <w:t> </w:t>
      </w:r>
      <w:r>
        <w:rPr>
          <w:color w:val="231F20"/>
          <w:w w:val="105"/>
        </w:rPr>
        <w:t>and</w:t>
      </w:r>
      <w:r>
        <w:rPr>
          <w:color w:val="231F20"/>
          <w:spacing w:val="-21"/>
          <w:w w:val="105"/>
        </w:rPr>
        <w:t> </w:t>
      </w:r>
      <w:r>
        <w:rPr>
          <w:color w:val="231F20"/>
          <w:w w:val="105"/>
        </w:rPr>
        <w:t>acculturation</w:t>
      </w:r>
      <w:r>
        <w:rPr>
          <w:color w:val="231F20"/>
          <w:spacing w:val="-21"/>
          <w:w w:val="105"/>
        </w:rPr>
        <w:t> </w:t>
      </w:r>
      <w:r>
        <w:rPr>
          <w:color w:val="231F20"/>
          <w:spacing w:val="-3"/>
          <w:w w:val="105"/>
        </w:rPr>
        <w:t>factors”,</w:t>
      </w:r>
      <w:r>
        <w:rPr>
          <w:color w:val="231F20"/>
          <w:spacing w:val="-24"/>
          <w:w w:val="105"/>
        </w:rPr>
        <w:t> </w:t>
      </w:r>
      <w:r>
        <w:rPr>
          <w:rFonts w:ascii="Arial" w:hAnsi="Arial"/>
          <w:i/>
          <w:color w:val="231F20"/>
          <w:w w:val="105"/>
        </w:rPr>
        <w:t>Journal</w:t>
      </w:r>
      <w:r>
        <w:rPr>
          <w:rFonts w:ascii="Arial" w:hAnsi="Arial"/>
          <w:i/>
          <w:color w:val="231F20"/>
          <w:spacing w:val="-24"/>
          <w:w w:val="105"/>
        </w:rPr>
        <w:t> </w:t>
      </w:r>
      <w:r>
        <w:rPr>
          <w:rFonts w:ascii="Arial" w:hAnsi="Arial"/>
          <w:i/>
          <w:color w:val="231F20"/>
          <w:w w:val="105"/>
        </w:rPr>
        <w:t>of</w:t>
      </w:r>
      <w:r>
        <w:rPr>
          <w:rFonts w:ascii="Arial" w:hAnsi="Arial"/>
          <w:i/>
          <w:color w:val="231F20"/>
          <w:spacing w:val="-20"/>
          <w:w w:val="105"/>
        </w:rPr>
        <w:t> </w:t>
      </w:r>
      <w:r>
        <w:rPr>
          <w:rFonts w:ascii="Arial" w:hAnsi="Arial"/>
          <w:i/>
          <w:color w:val="231F20"/>
          <w:w w:val="105"/>
        </w:rPr>
        <w:t>Community</w:t>
      </w:r>
      <w:r>
        <w:rPr>
          <w:rFonts w:ascii="Arial" w:hAnsi="Arial"/>
          <w:i/>
          <w:color w:val="231F20"/>
          <w:spacing w:val="-24"/>
          <w:w w:val="105"/>
        </w:rPr>
        <w:t> </w:t>
      </w:r>
      <w:r>
        <w:rPr>
          <w:rFonts w:ascii="Arial" w:hAnsi="Arial"/>
          <w:i/>
          <w:color w:val="231F20"/>
          <w:w w:val="105"/>
        </w:rPr>
        <w:t>Psychology</w:t>
      </w:r>
      <w:r>
        <w:rPr>
          <w:color w:val="231F20"/>
          <w:w w:val="105"/>
        </w:rPr>
        <w:t>, vol.</w:t>
      </w:r>
      <w:r>
        <w:rPr>
          <w:color w:val="231F20"/>
          <w:spacing w:val="-23"/>
          <w:w w:val="105"/>
        </w:rPr>
        <w:t> </w:t>
      </w:r>
      <w:r>
        <w:rPr>
          <w:color w:val="231F20"/>
          <w:w w:val="105"/>
        </w:rPr>
        <w:t>42,</w:t>
      </w:r>
      <w:r>
        <w:rPr>
          <w:color w:val="231F20"/>
          <w:spacing w:val="-23"/>
          <w:w w:val="105"/>
        </w:rPr>
        <w:t> </w:t>
      </w:r>
      <w:r>
        <w:rPr>
          <w:color w:val="231F20"/>
          <w:w w:val="105"/>
        </w:rPr>
        <w:t>num.</w:t>
      </w:r>
      <w:r>
        <w:rPr>
          <w:color w:val="231F20"/>
          <w:spacing w:val="-23"/>
          <w:w w:val="105"/>
        </w:rPr>
        <w:t> </w:t>
      </w:r>
      <w:r>
        <w:rPr>
          <w:color w:val="231F20"/>
          <w:w w:val="105"/>
        </w:rPr>
        <w:t>6.</w:t>
      </w:r>
    </w:p>
    <w:p>
      <w:pPr>
        <w:pStyle w:val="BodyText"/>
        <w:spacing w:line="261" w:lineRule="auto" w:before="3"/>
        <w:ind w:left="2461" w:right="1874" w:hanging="738"/>
        <w:jc w:val="both"/>
      </w:pPr>
      <w:r>
        <w:rPr>
          <w:color w:val="231F20"/>
          <w:w w:val="105"/>
        </w:rPr>
        <w:t>Delpit,</w:t>
      </w:r>
      <w:r>
        <w:rPr>
          <w:color w:val="231F20"/>
          <w:spacing w:val="-15"/>
          <w:w w:val="105"/>
        </w:rPr>
        <w:t> </w:t>
      </w:r>
      <w:r>
        <w:rPr>
          <w:color w:val="231F20"/>
          <w:w w:val="105"/>
        </w:rPr>
        <w:t>Lisa,</w:t>
      </w:r>
      <w:r>
        <w:rPr>
          <w:color w:val="231F20"/>
          <w:spacing w:val="-15"/>
          <w:w w:val="105"/>
        </w:rPr>
        <w:t> </w:t>
      </w:r>
      <w:r>
        <w:rPr>
          <w:color w:val="231F20"/>
          <w:w w:val="105"/>
        </w:rPr>
        <w:t>(1988),</w:t>
      </w:r>
      <w:r>
        <w:rPr>
          <w:color w:val="231F20"/>
          <w:spacing w:val="-15"/>
          <w:w w:val="105"/>
        </w:rPr>
        <w:t> </w:t>
      </w:r>
      <w:r>
        <w:rPr>
          <w:color w:val="231F20"/>
          <w:w w:val="105"/>
        </w:rPr>
        <w:t>“The</w:t>
      </w:r>
      <w:r>
        <w:rPr>
          <w:color w:val="231F20"/>
          <w:spacing w:val="-10"/>
          <w:w w:val="105"/>
        </w:rPr>
        <w:t> </w:t>
      </w:r>
      <w:r>
        <w:rPr>
          <w:color w:val="231F20"/>
          <w:w w:val="105"/>
        </w:rPr>
        <w:t>silenced</w:t>
      </w:r>
      <w:r>
        <w:rPr>
          <w:color w:val="231F20"/>
          <w:spacing w:val="-10"/>
          <w:w w:val="105"/>
        </w:rPr>
        <w:t> </w:t>
      </w:r>
      <w:r>
        <w:rPr>
          <w:color w:val="231F20"/>
          <w:w w:val="105"/>
        </w:rPr>
        <w:t>dialogue:</w:t>
      </w:r>
      <w:r>
        <w:rPr>
          <w:color w:val="231F20"/>
          <w:spacing w:val="-10"/>
          <w:w w:val="105"/>
        </w:rPr>
        <w:t> </w:t>
      </w:r>
      <w:r>
        <w:rPr>
          <w:color w:val="231F20"/>
          <w:spacing w:val="-4"/>
          <w:w w:val="105"/>
        </w:rPr>
        <w:t>Power</w:t>
      </w:r>
      <w:r>
        <w:rPr>
          <w:color w:val="231F20"/>
          <w:spacing w:val="-10"/>
          <w:w w:val="105"/>
        </w:rPr>
        <w:t> </w:t>
      </w:r>
      <w:r>
        <w:rPr>
          <w:color w:val="231F20"/>
          <w:w w:val="105"/>
        </w:rPr>
        <w:t>and</w:t>
      </w:r>
      <w:r>
        <w:rPr>
          <w:color w:val="231F20"/>
          <w:spacing w:val="-10"/>
          <w:w w:val="105"/>
        </w:rPr>
        <w:t> </w:t>
      </w:r>
      <w:r>
        <w:rPr>
          <w:color w:val="231F20"/>
          <w:w w:val="105"/>
        </w:rPr>
        <w:t>pedagogy</w:t>
      </w:r>
      <w:r>
        <w:rPr>
          <w:color w:val="231F20"/>
          <w:spacing w:val="-10"/>
          <w:w w:val="105"/>
        </w:rPr>
        <w:t> </w:t>
      </w:r>
      <w:r>
        <w:rPr>
          <w:color w:val="231F20"/>
          <w:w w:val="105"/>
        </w:rPr>
        <w:t>in</w:t>
      </w:r>
      <w:r>
        <w:rPr>
          <w:color w:val="231F20"/>
          <w:spacing w:val="-10"/>
          <w:w w:val="105"/>
        </w:rPr>
        <w:t> </w:t>
      </w:r>
      <w:r>
        <w:rPr>
          <w:color w:val="231F20"/>
          <w:w w:val="105"/>
        </w:rPr>
        <w:t>ed- ucating</w:t>
      </w:r>
      <w:r>
        <w:rPr>
          <w:color w:val="231F20"/>
          <w:spacing w:val="-36"/>
          <w:w w:val="105"/>
        </w:rPr>
        <w:t> </w:t>
      </w:r>
      <w:r>
        <w:rPr>
          <w:color w:val="231F20"/>
          <w:w w:val="105"/>
        </w:rPr>
        <w:t>other</w:t>
      </w:r>
      <w:r>
        <w:rPr>
          <w:color w:val="231F20"/>
          <w:spacing w:val="-36"/>
          <w:w w:val="105"/>
        </w:rPr>
        <w:t> </w:t>
      </w:r>
      <w:r>
        <w:rPr>
          <w:color w:val="231F20"/>
          <w:w w:val="105"/>
        </w:rPr>
        <w:t>people’s</w:t>
      </w:r>
      <w:r>
        <w:rPr>
          <w:color w:val="231F20"/>
          <w:spacing w:val="-36"/>
          <w:w w:val="105"/>
        </w:rPr>
        <w:t> </w:t>
      </w:r>
      <w:r>
        <w:rPr>
          <w:color w:val="231F20"/>
          <w:spacing w:val="-3"/>
          <w:w w:val="105"/>
        </w:rPr>
        <w:t>children”,</w:t>
      </w:r>
      <w:r>
        <w:rPr>
          <w:color w:val="231F20"/>
          <w:spacing w:val="-39"/>
          <w:w w:val="105"/>
        </w:rPr>
        <w:t> </w:t>
      </w:r>
      <w:r>
        <w:rPr>
          <w:rFonts w:ascii="Arial" w:hAnsi="Arial"/>
          <w:i/>
          <w:color w:val="231F20"/>
          <w:w w:val="105"/>
        </w:rPr>
        <w:t>Harvard</w:t>
      </w:r>
      <w:r>
        <w:rPr>
          <w:rFonts w:ascii="Arial" w:hAnsi="Arial"/>
          <w:i/>
          <w:color w:val="231F20"/>
          <w:spacing w:val="-39"/>
          <w:w w:val="105"/>
        </w:rPr>
        <w:t> </w:t>
      </w:r>
      <w:r>
        <w:rPr>
          <w:rFonts w:ascii="Arial" w:hAnsi="Arial"/>
          <w:i/>
          <w:color w:val="231F20"/>
          <w:w w:val="105"/>
        </w:rPr>
        <w:t>Educational</w:t>
      </w:r>
      <w:r>
        <w:rPr>
          <w:rFonts w:ascii="Arial" w:hAnsi="Arial"/>
          <w:i/>
          <w:color w:val="231F20"/>
          <w:spacing w:val="-39"/>
          <w:w w:val="105"/>
        </w:rPr>
        <w:t> </w:t>
      </w:r>
      <w:r>
        <w:rPr>
          <w:rFonts w:ascii="Arial" w:hAnsi="Arial"/>
          <w:i/>
          <w:color w:val="231F20"/>
          <w:w w:val="105"/>
        </w:rPr>
        <w:t>Review</w:t>
      </w:r>
      <w:r>
        <w:rPr>
          <w:color w:val="231F20"/>
          <w:w w:val="105"/>
        </w:rPr>
        <w:t>,</w:t>
      </w:r>
      <w:r>
        <w:rPr>
          <w:color w:val="231F20"/>
          <w:spacing w:val="-39"/>
          <w:w w:val="105"/>
        </w:rPr>
        <w:t> </w:t>
      </w:r>
      <w:r>
        <w:rPr>
          <w:color w:val="231F20"/>
          <w:w w:val="105"/>
        </w:rPr>
        <w:t>vol. 58,</w:t>
      </w:r>
      <w:r>
        <w:rPr>
          <w:color w:val="231F20"/>
          <w:spacing w:val="-24"/>
          <w:w w:val="105"/>
        </w:rPr>
        <w:t> </w:t>
      </w:r>
      <w:r>
        <w:rPr>
          <w:color w:val="231F20"/>
          <w:w w:val="105"/>
        </w:rPr>
        <w:t>num.</w:t>
      </w:r>
      <w:r>
        <w:rPr>
          <w:color w:val="231F20"/>
          <w:spacing w:val="-24"/>
          <w:w w:val="105"/>
        </w:rPr>
        <w:t> </w:t>
      </w:r>
      <w:r>
        <w:rPr>
          <w:color w:val="231F20"/>
          <w:w w:val="105"/>
        </w:rPr>
        <w:t>3.</w:t>
      </w:r>
    </w:p>
    <w:p>
      <w:pPr>
        <w:pStyle w:val="BodyText"/>
        <w:spacing w:line="259" w:lineRule="auto" w:before="1"/>
        <w:ind w:left="2461" w:right="1880" w:hanging="738"/>
        <w:jc w:val="both"/>
      </w:pPr>
      <w:r>
        <w:rPr>
          <w:color w:val="231F20"/>
          <w:w w:val="105"/>
        </w:rPr>
        <w:t>Desmond,</w:t>
      </w:r>
      <w:r>
        <w:rPr>
          <w:color w:val="231F20"/>
          <w:spacing w:val="-25"/>
          <w:w w:val="105"/>
        </w:rPr>
        <w:t> </w:t>
      </w:r>
      <w:r>
        <w:rPr>
          <w:color w:val="231F20"/>
          <w:w w:val="105"/>
        </w:rPr>
        <w:t>Matthew</w:t>
      </w:r>
      <w:r>
        <w:rPr>
          <w:color w:val="231F20"/>
          <w:spacing w:val="-20"/>
          <w:w w:val="105"/>
        </w:rPr>
        <w:t> </w:t>
      </w:r>
      <w:r>
        <w:rPr>
          <w:color w:val="231F20"/>
          <w:w w:val="105"/>
        </w:rPr>
        <w:t>and</w:t>
      </w:r>
      <w:r>
        <w:rPr>
          <w:color w:val="231F20"/>
          <w:spacing w:val="-20"/>
          <w:w w:val="105"/>
        </w:rPr>
        <w:t> </w:t>
      </w:r>
      <w:r>
        <w:rPr>
          <w:color w:val="231F20"/>
          <w:w w:val="105"/>
        </w:rPr>
        <w:t>Lopez</w:t>
      </w:r>
      <w:r>
        <w:rPr>
          <w:color w:val="231F20"/>
          <w:spacing w:val="-24"/>
          <w:w w:val="105"/>
        </w:rPr>
        <w:t> </w:t>
      </w:r>
      <w:r>
        <w:rPr>
          <w:color w:val="231F20"/>
          <w:spacing w:val="-4"/>
          <w:w w:val="105"/>
        </w:rPr>
        <w:t>Turley,</w:t>
      </w:r>
      <w:r>
        <w:rPr>
          <w:color w:val="231F20"/>
          <w:spacing w:val="-25"/>
          <w:w w:val="105"/>
        </w:rPr>
        <w:t> </w:t>
      </w:r>
      <w:r>
        <w:rPr>
          <w:color w:val="231F20"/>
          <w:w w:val="105"/>
        </w:rPr>
        <w:t>Ruth,</w:t>
      </w:r>
      <w:r>
        <w:rPr>
          <w:color w:val="231F20"/>
          <w:spacing w:val="-25"/>
          <w:w w:val="105"/>
        </w:rPr>
        <w:t> </w:t>
      </w:r>
      <w:r>
        <w:rPr>
          <w:color w:val="231F20"/>
          <w:w w:val="105"/>
        </w:rPr>
        <w:t>(2009),</w:t>
      </w:r>
      <w:r>
        <w:rPr>
          <w:color w:val="231F20"/>
          <w:spacing w:val="-25"/>
          <w:w w:val="105"/>
        </w:rPr>
        <w:t> </w:t>
      </w:r>
      <w:r>
        <w:rPr>
          <w:color w:val="231F20"/>
          <w:w w:val="105"/>
        </w:rPr>
        <w:t>“The</w:t>
      </w:r>
      <w:r>
        <w:rPr>
          <w:color w:val="231F20"/>
          <w:spacing w:val="-20"/>
          <w:w w:val="105"/>
        </w:rPr>
        <w:t> </w:t>
      </w:r>
      <w:r>
        <w:rPr>
          <w:color w:val="231F20"/>
          <w:w w:val="105"/>
        </w:rPr>
        <w:t>role</w:t>
      </w:r>
      <w:r>
        <w:rPr>
          <w:color w:val="231F20"/>
          <w:spacing w:val="-20"/>
          <w:w w:val="105"/>
        </w:rPr>
        <w:t> </w:t>
      </w:r>
      <w:r>
        <w:rPr>
          <w:color w:val="231F20"/>
          <w:w w:val="105"/>
        </w:rPr>
        <w:t>of</w:t>
      </w:r>
      <w:r>
        <w:rPr>
          <w:color w:val="231F20"/>
          <w:spacing w:val="-17"/>
          <w:w w:val="105"/>
        </w:rPr>
        <w:t> </w:t>
      </w:r>
      <w:r>
        <w:rPr>
          <w:color w:val="231F20"/>
          <w:w w:val="105"/>
        </w:rPr>
        <w:t>familism in explaining the Hispanic-white college application </w:t>
      </w:r>
      <w:r>
        <w:rPr>
          <w:color w:val="231F20"/>
          <w:spacing w:val="-6"/>
          <w:w w:val="105"/>
        </w:rPr>
        <w:t>gap”,</w:t>
      </w:r>
      <w:r>
        <w:rPr>
          <w:color w:val="231F20"/>
          <w:spacing w:val="-27"/>
          <w:w w:val="105"/>
        </w:rPr>
        <w:t> </w:t>
      </w:r>
      <w:r>
        <w:rPr>
          <w:rFonts w:ascii="Arial" w:hAnsi="Arial"/>
          <w:i/>
          <w:color w:val="231F20"/>
          <w:w w:val="105"/>
        </w:rPr>
        <w:t>Social </w:t>
      </w:r>
      <w:r>
        <w:rPr>
          <w:rFonts w:ascii="Arial" w:hAnsi="Arial"/>
          <w:i/>
          <w:color w:val="231F20"/>
          <w:w w:val="105"/>
        </w:rPr>
        <w:t>Problems,</w:t>
      </w:r>
      <w:r>
        <w:rPr>
          <w:rFonts w:ascii="Arial" w:hAnsi="Arial"/>
          <w:i/>
          <w:color w:val="231F20"/>
          <w:spacing w:val="-31"/>
          <w:w w:val="105"/>
        </w:rPr>
        <w:t> </w:t>
      </w:r>
      <w:r>
        <w:rPr>
          <w:color w:val="231F20"/>
          <w:w w:val="105"/>
        </w:rPr>
        <w:t>vol.</w:t>
      </w:r>
      <w:r>
        <w:rPr>
          <w:color w:val="231F20"/>
          <w:spacing w:val="-32"/>
          <w:w w:val="105"/>
        </w:rPr>
        <w:t> </w:t>
      </w:r>
      <w:r>
        <w:rPr>
          <w:color w:val="231F20"/>
          <w:w w:val="105"/>
        </w:rPr>
        <w:t>56,</w:t>
      </w:r>
      <w:r>
        <w:rPr>
          <w:color w:val="231F20"/>
          <w:spacing w:val="-32"/>
          <w:w w:val="105"/>
        </w:rPr>
        <w:t> </w:t>
      </w:r>
      <w:r>
        <w:rPr>
          <w:color w:val="231F20"/>
          <w:w w:val="105"/>
        </w:rPr>
        <w:t>num.</w:t>
      </w:r>
      <w:r>
        <w:rPr>
          <w:color w:val="231F20"/>
          <w:spacing w:val="-32"/>
          <w:w w:val="105"/>
        </w:rPr>
        <w:t> </w:t>
      </w:r>
      <w:r>
        <w:rPr>
          <w:color w:val="231F20"/>
          <w:w w:val="105"/>
        </w:rPr>
        <w:t>2.</w:t>
      </w:r>
    </w:p>
    <w:p>
      <w:pPr>
        <w:spacing w:line="261" w:lineRule="auto" w:before="3"/>
        <w:ind w:left="2461" w:right="1874" w:hanging="738"/>
        <w:jc w:val="both"/>
        <w:rPr>
          <w:sz w:val="21"/>
        </w:rPr>
      </w:pPr>
      <w:r>
        <w:rPr>
          <w:color w:val="231F20"/>
          <w:spacing w:val="-2"/>
          <w:w w:val="105"/>
          <w:sz w:val="21"/>
        </w:rPr>
        <w:t>Dreby, </w:t>
      </w:r>
      <w:r>
        <w:rPr>
          <w:color w:val="231F20"/>
          <w:w w:val="105"/>
          <w:sz w:val="21"/>
        </w:rPr>
        <w:t>Johana, (2014), “The modern deportation regime and Mexican families: The indirect consequences for children in new desti- nation communities”, in Cecilia Menjívar and Daniel Kanstroom (eds.)</w:t>
      </w:r>
      <w:r>
        <w:rPr>
          <w:color w:val="231F20"/>
          <w:spacing w:val="-19"/>
          <w:w w:val="105"/>
          <w:sz w:val="21"/>
        </w:rPr>
        <w:t> </w:t>
      </w:r>
      <w:r>
        <w:rPr>
          <w:rFonts w:ascii="Arial" w:hAnsi="Arial"/>
          <w:i/>
          <w:color w:val="231F20"/>
          <w:w w:val="105"/>
          <w:sz w:val="21"/>
        </w:rPr>
        <w:t>Constructing</w:t>
      </w:r>
      <w:r>
        <w:rPr>
          <w:rFonts w:ascii="Arial" w:hAnsi="Arial"/>
          <w:i/>
          <w:color w:val="231F20"/>
          <w:spacing w:val="-22"/>
          <w:w w:val="105"/>
          <w:sz w:val="21"/>
        </w:rPr>
        <w:t> </w:t>
      </w:r>
      <w:r>
        <w:rPr>
          <w:rFonts w:ascii="Arial" w:hAnsi="Arial"/>
          <w:i/>
          <w:color w:val="231F20"/>
          <w:w w:val="105"/>
          <w:sz w:val="21"/>
        </w:rPr>
        <w:t>immigrant</w:t>
      </w:r>
      <w:r>
        <w:rPr>
          <w:rFonts w:ascii="Arial" w:hAnsi="Arial"/>
          <w:i/>
          <w:color w:val="231F20"/>
          <w:spacing w:val="-22"/>
          <w:w w:val="105"/>
          <w:sz w:val="21"/>
        </w:rPr>
        <w:t> </w:t>
      </w:r>
      <w:r>
        <w:rPr>
          <w:rFonts w:ascii="Arial" w:hAnsi="Arial"/>
          <w:i/>
          <w:color w:val="231F20"/>
          <w:w w:val="105"/>
          <w:sz w:val="21"/>
        </w:rPr>
        <w:t>“illegality”:</w:t>
      </w:r>
      <w:r>
        <w:rPr>
          <w:rFonts w:ascii="Arial" w:hAnsi="Arial"/>
          <w:i/>
          <w:color w:val="231F20"/>
          <w:spacing w:val="-22"/>
          <w:w w:val="105"/>
          <w:sz w:val="21"/>
        </w:rPr>
        <w:t> </w:t>
      </w:r>
      <w:r>
        <w:rPr>
          <w:rFonts w:ascii="Arial" w:hAnsi="Arial"/>
          <w:i/>
          <w:color w:val="231F20"/>
          <w:w w:val="105"/>
          <w:sz w:val="21"/>
        </w:rPr>
        <w:t>Critiques,</w:t>
      </w:r>
      <w:r>
        <w:rPr>
          <w:rFonts w:ascii="Arial" w:hAnsi="Arial"/>
          <w:i/>
          <w:color w:val="231F20"/>
          <w:spacing w:val="-26"/>
          <w:w w:val="105"/>
          <w:sz w:val="21"/>
        </w:rPr>
        <w:t> </w:t>
      </w:r>
      <w:r>
        <w:rPr>
          <w:rFonts w:ascii="Arial" w:hAnsi="Arial"/>
          <w:i/>
          <w:color w:val="231F20"/>
          <w:w w:val="105"/>
          <w:sz w:val="21"/>
        </w:rPr>
        <w:t>experiences, </w:t>
      </w:r>
      <w:r>
        <w:rPr>
          <w:rFonts w:ascii="Arial" w:hAnsi="Arial"/>
          <w:i/>
          <w:color w:val="231F20"/>
          <w:w w:val="105"/>
          <w:sz w:val="21"/>
        </w:rPr>
        <w:t>and</w:t>
      </w:r>
      <w:r>
        <w:rPr>
          <w:rFonts w:ascii="Arial" w:hAnsi="Arial"/>
          <w:i/>
          <w:color w:val="231F20"/>
          <w:spacing w:val="-38"/>
          <w:w w:val="105"/>
          <w:sz w:val="21"/>
        </w:rPr>
        <w:t> </w:t>
      </w:r>
      <w:r>
        <w:rPr>
          <w:rFonts w:ascii="Arial" w:hAnsi="Arial"/>
          <w:i/>
          <w:color w:val="231F20"/>
          <w:w w:val="105"/>
          <w:sz w:val="21"/>
        </w:rPr>
        <w:t>responses</w:t>
      </w:r>
      <w:r>
        <w:rPr>
          <w:color w:val="231F20"/>
          <w:w w:val="105"/>
          <w:sz w:val="21"/>
        </w:rPr>
        <w:t>,</w:t>
      </w:r>
      <w:r>
        <w:rPr>
          <w:color w:val="231F20"/>
          <w:spacing w:val="-38"/>
          <w:w w:val="105"/>
          <w:sz w:val="21"/>
        </w:rPr>
        <w:t> </w:t>
      </w:r>
      <w:r>
        <w:rPr>
          <w:color w:val="231F20"/>
          <w:w w:val="105"/>
          <w:sz w:val="21"/>
        </w:rPr>
        <w:t>New</w:t>
      </w:r>
      <w:r>
        <w:rPr>
          <w:color w:val="231F20"/>
          <w:spacing w:val="-38"/>
          <w:w w:val="105"/>
          <w:sz w:val="21"/>
        </w:rPr>
        <w:t> </w:t>
      </w:r>
      <w:r>
        <w:rPr>
          <w:color w:val="231F20"/>
          <w:spacing w:val="-4"/>
          <w:w w:val="105"/>
          <w:sz w:val="21"/>
        </w:rPr>
        <w:t>York:</w:t>
      </w:r>
      <w:r>
        <w:rPr>
          <w:color w:val="231F20"/>
          <w:spacing w:val="-35"/>
          <w:w w:val="105"/>
          <w:sz w:val="21"/>
        </w:rPr>
        <w:t> </w:t>
      </w:r>
      <w:r>
        <w:rPr>
          <w:color w:val="231F20"/>
          <w:w w:val="105"/>
          <w:sz w:val="21"/>
        </w:rPr>
        <w:t>Cambridge</w:t>
      </w:r>
      <w:r>
        <w:rPr>
          <w:color w:val="231F20"/>
          <w:spacing w:val="-35"/>
          <w:w w:val="105"/>
          <w:sz w:val="21"/>
        </w:rPr>
        <w:t> </w:t>
      </w:r>
      <w:r>
        <w:rPr>
          <w:color w:val="231F20"/>
          <w:w w:val="105"/>
          <w:sz w:val="21"/>
        </w:rPr>
        <w:t>University</w:t>
      </w:r>
      <w:r>
        <w:rPr>
          <w:color w:val="231F20"/>
          <w:spacing w:val="-35"/>
          <w:w w:val="105"/>
          <w:sz w:val="21"/>
        </w:rPr>
        <w:t> </w:t>
      </w:r>
      <w:r>
        <w:rPr>
          <w:color w:val="231F20"/>
          <w:spacing w:val="-3"/>
          <w:w w:val="105"/>
          <w:sz w:val="21"/>
        </w:rPr>
        <w:t>Press.</w:t>
      </w:r>
    </w:p>
    <w:p>
      <w:pPr>
        <w:spacing w:line="259" w:lineRule="auto" w:before="0"/>
        <w:ind w:left="2461" w:right="1880" w:hanging="738"/>
        <w:jc w:val="both"/>
        <w:rPr>
          <w:sz w:val="21"/>
        </w:rPr>
      </w:pPr>
      <w:r>
        <w:rPr>
          <w:color w:val="231F20"/>
          <w:sz w:val="21"/>
        </w:rPr>
        <w:t>Enchautegui, María, (2014), </w:t>
      </w:r>
      <w:r>
        <w:rPr>
          <w:rFonts w:ascii="Arial" w:hAnsi="Arial"/>
          <w:i/>
          <w:color w:val="231F20"/>
          <w:sz w:val="21"/>
        </w:rPr>
        <w:t>Immigrant </w:t>
      </w:r>
      <w:r>
        <w:rPr>
          <w:rFonts w:ascii="Arial" w:hAnsi="Arial"/>
          <w:i/>
          <w:color w:val="231F20"/>
          <w:spacing w:val="-4"/>
          <w:sz w:val="21"/>
        </w:rPr>
        <w:t>Youth </w:t>
      </w:r>
      <w:r>
        <w:rPr>
          <w:rFonts w:ascii="Arial" w:hAnsi="Arial"/>
          <w:i/>
          <w:color w:val="231F20"/>
          <w:sz w:val="21"/>
        </w:rPr>
        <w:t>Outcomes: </w:t>
      </w:r>
      <w:r>
        <w:rPr>
          <w:rFonts w:ascii="Arial" w:hAnsi="Arial"/>
          <w:i/>
          <w:color w:val="231F20"/>
          <w:spacing w:val="-3"/>
          <w:sz w:val="21"/>
        </w:rPr>
        <w:t>Patterns </w:t>
      </w:r>
      <w:r>
        <w:rPr>
          <w:rFonts w:ascii="Arial" w:hAnsi="Arial"/>
          <w:i/>
          <w:color w:val="231F20"/>
          <w:sz w:val="21"/>
        </w:rPr>
        <w:t>by Gen- </w:t>
      </w:r>
      <w:r>
        <w:rPr>
          <w:rFonts w:ascii="Arial" w:hAnsi="Arial"/>
          <w:i/>
          <w:color w:val="231F20"/>
          <w:sz w:val="21"/>
        </w:rPr>
        <w:t>eration and Race and Ethnicity</w:t>
      </w:r>
      <w:r>
        <w:rPr>
          <w:color w:val="231F20"/>
          <w:sz w:val="21"/>
        </w:rPr>
        <w:t>, Washington: Urban  Institute.</w:t>
      </w:r>
    </w:p>
    <w:p>
      <w:pPr>
        <w:spacing w:line="261" w:lineRule="auto" w:before="3"/>
        <w:ind w:left="2461" w:right="1874" w:hanging="738"/>
        <w:jc w:val="both"/>
        <w:rPr>
          <w:sz w:val="21"/>
        </w:rPr>
      </w:pPr>
      <w:r>
        <w:rPr>
          <w:color w:val="231F20"/>
          <w:w w:val="105"/>
          <w:sz w:val="21"/>
        </w:rPr>
        <w:t>Esparza,</w:t>
      </w:r>
      <w:r>
        <w:rPr>
          <w:color w:val="231F20"/>
          <w:spacing w:val="-40"/>
          <w:w w:val="105"/>
          <w:sz w:val="21"/>
        </w:rPr>
        <w:t> </w:t>
      </w:r>
      <w:r>
        <w:rPr>
          <w:color w:val="231F20"/>
          <w:w w:val="105"/>
          <w:sz w:val="21"/>
        </w:rPr>
        <w:t>Patricia</w:t>
      </w:r>
      <w:r>
        <w:rPr>
          <w:color w:val="231F20"/>
          <w:spacing w:val="-37"/>
          <w:w w:val="105"/>
          <w:sz w:val="21"/>
        </w:rPr>
        <w:t> </w:t>
      </w:r>
      <w:r>
        <w:rPr>
          <w:color w:val="231F20"/>
          <w:w w:val="105"/>
          <w:sz w:val="21"/>
        </w:rPr>
        <w:t>and</w:t>
      </w:r>
      <w:r>
        <w:rPr>
          <w:color w:val="231F20"/>
          <w:spacing w:val="-37"/>
          <w:w w:val="105"/>
          <w:sz w:val="21"/>
        </w:rPr>
        <w:t> </w:t>
      </w:r>
      <w:r>
        <w:rPr>
          <w:color w:val="231F20"/>
          <w:w w:val="105"/>
          <w:sz w:val="21"/>
        </w:rPr>
        <w:t>Sanchez,</w:t>
      </w:r>
      <w:r>
        <w:rPr>
          <w:color w:val="231F20"/>
          <w:spacing w:val="-40"/>
          <w:w w:val="105"/>
          <w:sz w:val="21"/>
        </w:rPr>
        <w:t> </w:t>
      </w:r>
      <w:r>
        <w:rPr>
          <w:color w:val="231F20"/>
          <w:w w:val="105"/>
          <w:sz w:val="21"/>
        </w:rPr>
        <w:t>Bernadette,</w:t>
      </w:r>
      <w:r>
        <w:rPr>
          <w:color w:val="231F20"/>
          <w:spacing w:val="-40"/>
          <w:w w:val="105"/>
          <w:sz w:val="21"/>
        </w:rPr>
        <w:t> </w:t>
      </w:r>
      <w:r>
        <w:rPr>
          <w:color w:val="231F20"/>
          <w:w w:val="105"/>
          <w:sz w:val="21"/>
        </w:rPr>
        <w:t>(2008),</w:t>
      </w:r>
      <w:r>
        <w:rPr>
          <w:color w:val="231F20"/>
          <w:spacing w:val="-40"/>
          <w:w w:val="105"/>
          <w:sz w:val="21"/>
        </w:rPr>
        <w:t> </w:t>
      </w:r>
      <w:r>
        <w:rPr>
          <w:color w:val="231F20"/>
          <w:w w:val="105"/>
          <w:sz w:val="21"/>
        </w:rPr>
        <w:t>“The</w:t>
      </w:r>
      <w:r>
        <w:rPr>
          <w:color w:val="231F20"/>
          <w:spacing w:val="-37"/>
          <w:w w:val="105"/>
          <w:sz w:val="21"/>
        </w:rPr>
        <w:t> </w:t>
      </w:r>
      <w:r>
        <w:rPr>
          <w:color w:val="231F20"/>
          <w:w w:val="105"/>
          <w:sz w:val="21"/>
        </w:rPr>
        <w:t>role</w:t>
      </w:r>
      <w:r>
        <w:rPr>
          <w:color w:val="231F20"/>
          <w:spacing w:val="-37"/>
          <w:w w:val="105"/>
          <w:sz w:val="21"/>
        </w:rPr>
        <w:t> </w:t>
      </w:r>
      <w:r>
        <w:rPr>
          <w:color w:val="231F20"/>
          <w:w w:val="105"/>
          <w:sz w:val="21"/>
        </w:rPr>
        <w:t>of</w:t>
      </w:r>
      <w:r>
        <w:rPr>
          <w:color w:val="231F20"/>
          <w:spacing w:val="-35"/>
          <w:w w:val="105"/>
          <w:sz w:val="21"/>
        </w:rPr>
        <w:t> </w:t>
      </w:r>
      <w:r>
        <w:rPr>
          <w:color w:val="231F20"/>
          <w:w w:val="105"/>
          <w:sz w:val="21"/>
        </w:rPr>
        <w:t>attitudinal familism in academic outcomes: A study of urban, Latino high school</w:t>
      </w:r>
      <w:r>
        <w:rPr>
          <w:color w:val="231F20"/>
          <w:spacing w:val="-39"/>
          <w:w w:val="105"/>
          <w:sz w:val="21"/>
        </w:rPr>
        <w:t> </w:t>
      </w:r>
      <w:r>
        <w:rPr>
          <w:color w:val="231F20"/>
          <w:spacing w:val="-3"/>
          <w:w w:val="105"/>
          <w:sz w:val="21"/>
        </w:rPr>
        <w:t>seniors”,</w:t>
      </w:r>
      <w:r>
        <w:rPr>
          <w:color w:val="231F20"/>
          <w:spacing w:val="-42"/>
          <w:w w:val="105"/>
          <w:sz w:val="21"/>
        </w:rPr>
        <w:t> </w:t>
      </w:r>
      <w:r>
        <w:rPr>
          <w:rFonts w:ascii="Arial" w:hAnsi="Arial"/>
          <w:i/>
          <w:color w:val="231F20"/>
          <w:w w:val="105"/>
          <w:sz w:val="21"/>
        </w:rPr>
        <w:t>Cultural</w:t>
      </w:r>
      <w:r>
        <w:rPr>
          <w:rFonts w:ascii="Arial" w:hAnsi="Arial"/>
          <w:i/>
          <w:color w:val="231F20"/>
          <w:spacing w:val="-42"/>
          <w:w w:val="105"/>
          <w:sz w:val="21"/>
        </w:rPr>
        <w:t> </w:t>
      </w:r>
      <w:r>
        <w:rPr>
          <w:rFonts w:ascii="Arial" w:hAnsi="Arial"/>
          <w:i/>
          <w:color w:val="231F20"/>
          <w:w w:val="105"/>
          <w:sz w:val="21"/>
        </w:rPr>
        <w:t>Diversity</w:t>
      </w:r>
      <w:r>
        <w:rPr>
          <w:rFonts w:ascii="Arial" w:hAnsi="Arial"/>
          <w:i/>
          <w:color w:val="231F20"/>
          <w:spacing w:val="-42"/>
          <w:w w:val="105"/>
          <w:sz w:val="21"/>
        </w:rPr>
        <w:t> </w:t>
      </w:r>
      <w:r>
        <w:rPr>
          <w:rFonts w:ascii="Arial" w:hAnsi="Arial"/>
          <w:i/>
          <w:color w:val="231F20"/>
          <w:w w:val="105"/>
          <w:sz w:val="21"/>
        </w:rPr>
        <w:t>and</w:t>
      </w:r>
      <w:r>
        <w:rPr>
          <w:rFonts w:ascii="Arial" w:hAnsi="Arial"/>
          <w:i/>
          <w:color w:val="231F20"/>
          <w:spacing w:val="-42"/>
          <w:w w:val="105"/>
          <w:sz w:val="21"/>
        </w:rPr>
        <w:t> </w:t>
      </w:r>
      <w:r>
        <w:rPr>
          <w:rFonts w:ascii="Arial" w:hAnsi="Arial"/>
          <w:i/>
          <w:color w:val="231F20"/>
          <w:w w:val="105"/>
          <w:sz w:val="21"/>
        </w:rPr>
        <w:t>Ethnic</w:t>
      </w:r>
      <w:r>
        <w:rPr>
          <w:rFonts w:ascii="Arial" w:hAnsi="Arial"/>
          <w:i/>
          <w:color w:val="231F20"/>
          <w:spacing w:val="-42"/>
          <w:w w:val="105"/>
          <w:sz w:val="21"/>
        </w:rPr>
        <w:t> </w:t>
      </w:r>
      <w:r>
        <w:rPr>
          <w:rFonts w:ascii="Arial" w:hAnsi="Arial"/>
          <w:i/>
          <w:color w:val="231F20"/>
          <w:w w:val="105"/>
          <w:sz w:val="21"/>
        </w:rPr>
        <w:t>Minority</w:t>
      </w:r>
      <w:r>
        <w:rPr>
          <w:rFonts w:ascii="Arial" w:hAnsi="Arial"/>
          <w:i/>
          <w:color w:val="231F20"/>
          <w:spacing w:val="-42"/>
          <w:w w:val="105"/>
          <w:sz w:val="21"/>
        </w:rPr>
        <w:t> </w:t>
      </w:r>
      <w:r>
        <w:rPr>
          <w:rFonts w:ascii="Arial" w:hAnsi="Arial"/>
          <w:i/>
          <w:color w:val="231F20"/>
          <w:w w:val="105"/>
          <w:sz w:val="21"/>
        </w:rPr>
        <w:t>Psychology</w:t>
      </w:r>
      <w:r>
        <w:rPr>
          <w:color w:val="231F20"/>
          <w:w w:val="105"/>
          <w:sz w:val="21"/>
        </w:rPr>
        <w:t>, vol.</w:t>
      </w:r>
      <w:r>
        <w:rPr>
          <w:color w:val="231F20"/>
          <w:spacing w:val="-23"/>
          <w:w w:val="105"/>
          <w:sz w:val="21"/>
        </w:rPr>
        <w:t> </w:t>
      </w:r>
      <w:r>
        <w:rPr>
          <w:color w:val="231F20"/>
          <w:w w:val="105"/>
          <w:sz w:val="21"/>
        </w:rPr>
        <w:t>14,</w:t>
      </w:r>
      <w:r>
        <w:rPr>
          <w:color w:val="231F20"/>
          <w:spacing w:val="-23"/>
          <w:w w:val="105"/>
          <w:sz w:val="21"/>
        </w:rPr>
        <w:t> </w:t>
      </w:r>
      <w:r>
        <w:rPr>
          <w:color w:val="231F20"/>
          <w:w w:val="105"/>
          <w:sz w:val="21"/>
        </w:rPr>
        <w:t>num.</w:t>
      </w:r>
      <w:r>
        <w:rPr>
          <w:color w:val="231F20"/>
          <w:spacing w:val="-23"/>
          <w:w w:val="105"/>
          <w:sz w:val="21"/>
        </w:rPr>
        <w:t> </w:t>
      </w:r>
      <w:r>
        <w:rPr>
          <w:color w:val="231F20"/>
          <w:w w:val="105"/>
          <w:sz w:val="21"/>
        </w:rPr>
        <w:t>3.</w:t>
      </w:r>
    </w:p>
    <w:p>
      <w:pPr>
        <w:pStyle w:val="BodyText"/>
        <w:spacing w:line="261" w:lineRule="auto" w:before="1"/>
        <w:ind w:left="2461" w:right="1880" w:hanging="738"/>
        <w:jc w:val="both"/>
      </w:pPr>
      <w:r>
        <w:rPr>
          <w:color w:val="231F20"/>
          <w:spacing w:val="-4"/>
          <w:w w:val="105"/>
        </w:rPr>
        <w:t>Feliciano,</w:t>
      </w:r>
      <w:r>
        <w:rPr>
          <w:color w:val="231F20"/>
          <w:spacing w:val="-15"/>
          <w:w w:val="105"/>
        </w:rPr>
        <w:t> </w:t>
      </w:r>
      <w:r>
        <w:rPr>
          <w:color w:val="231F20"/>
          <w:spacing w:val="-3"/>
          <w:w w:val="105"/>
        </w:rPr>
        <w:t>Cynthia,</w:t>
      </w:r>
      <w:r>
        <w:rPr>
          <w:color w:val="231F20"/>
          <w:spacing w:val="-15"/>
          <w:w w:val="105"/>
        </w:rPr>
        <w:t> </w:t>
      </w:r>
      <w:r>
        <w:rPr>
          <w:color w:val="231F20"/>
          <w:spacing w:val="-3"/>
          <w:w w:val="105"/>
        </w:rPr>
        <w:t>(2001),</w:t>
      </w:r>
      <w:r>
        <w:rPr>
          <w:color w:val="231F20"/>
          <w:spacing w:val="-15"/>
          <w:w w:val="105"/>
        </w:rPr>
        <w:t> </w:t>
      </w:r>
      <w:r>
        <w:rPr>
          <w:color w:val="231F20"/>
          <w:w w:val="105"/>
        </w:rPr>
        <w:t>“The</w:t>
      </w:r>
      <w:r>
        <w:rPr>
          <w:color w:val="231F20"/>
          <w:spacing w:val="-11"/>
          <w:w w:val="105"/>
        </w:rPr>
        <w:t> </w:t>
      </w:r>
      <w:r>
        <w:rPr>
          <w:color w:val="231F20"/>
          <w:spacing w:val="-3"/>
          <w:w w:val="105"/>
        </w:rPr>
        <w:t>benefits</w:t>
      </w:r>
      <w:r>
        <w:rPr>
          <w:color w:val="231F20"/>
          <w:spacing w:val="-11"/>
          <w:w w:val="105"/>
        </w:rPr>
        <w:t> </w:t>
      </w:r>
      <w:r>
        <w:rPr>
          <w:color w:val="231F20"/>
          <w:w w:val="105"/>
        </w:rPr>
        <w:t>of</w:t>
      </w:r>
      <w:r>
        <w:rPr>
          <w:color w:val="231F20"/>
          <w:spacing w:val="-7"/>
          <w:w w:val="105"/>
        </w:rPr>
        <w:t> </w:t>
      </w:r>
      <w:r>
        <w:rPr>
          <w:color w:val="231F20"/>
          <w:spacing w:val="-3"/>
          <w:w w:val="105"/>
        </w:rPr>
        <w:t>biculturalism:</w:t>
      </w:r>
      <w:r>
        <w:rPr>
          <w:color w:val="231F20"/>
          <w:spacing w:val="-11"/>
          <w:w w:val="105"/>
        </w:rPr>
        <w:t> </w:t>
      </w:r>
      <w:r>
        <w:rPr>
          <w:color w:val="231F20"/>
          <w:spacing w:val="-3"/>
          <w:w w:val="105"/>
        </w:rPr>
        <w:t>Exposure</w:t>
      </w:r>
      <w:r>
        <w:rPr>
          <w:color w:val="231F20"/>
          <w:spacing w:val="-11"/>
          <w:w w:val="105"/>
        </w:rPr>
        <w:t> </w:t>
      </w:r>
      <w:r>
        <w:rPr>
          <w:color w:val="231F20"/>
          <w:w w:val="105"/>
        </w:rPr>
        <w:t>to</w:t>
      </w:r>
      <w:r>
        <w:rPr>
          <w:color w:val="231F20"/>
          <w:spacing w:val="-11"/>
          <w:w w:val="105"/>
        </w:rPr>
        <w:t> </w:t>
      </w:r>
      <w:r>
        <w:rPr>
          <w:color w:val="231F20"/>
          <w:w w:val="105"/>
        </w:rPr>
        <w:t>im- </w:t>
      </w:r>
      <w:r>
        <w:rPr>
          <w:color w:val="231F20"/>
          <w:spacing w:val="-3"/>
          <w:w w:val="105"/>
        </w:rPr>
        <w:t>migrant</w:t>
      </w:r>
      <w:r>
        <w:rPr>
          <w:color w:val="231F20"/>
          <w:spacing w:val="-16"/>
          <w:w w:val="105"/>
        </w:rPr>
        <w:t> </w:t>
      </w:r>
      <w:r>
        <w:rPr>
          <w:color w:val="231F20"/>
          <w:spacing w:val="-3"/>
          <w:w w:val="105"/>
        </w:rPr>
        <w:t>culture</w:t>
      </w:r>
      <w:r>
        <w:rPr>
          <w:color w:val="231F20"/>
          <w:spacing w:val="-16"/>
          <w:w w:val="105"/>
        </w:rPr>
        <w:t> </w:t>
      </w:r>
      <w:r>
        <w:rPr>
          <w:color w:val="231F20"/>
          <w:w w:val="105"/>
        </w:rPr>
        <w:t>and</w:t>
      </w:r>
      <w:r>
        <w:rPr>
          <w:color w:val="231F20"/>
          <w:spacing w:val="-16"/>
          <w:w w:val="105"/>
        </w:rPr>
        <w:t> </w:t>
      </w:r>
      <w:r>
        <w:rPr>
          <w:color w:val="231F20"/>
          <w:spacing w:val="-3"/>
          <w:w w:val="105"/>
        </w:rPr>
        <w:t>dropping</w:t>
      </w:r>
      <w:r>
        <w:rPr>
          <w:color w:val="231F20"/>
          <w:spacing w:val="-16"/>
          <w:w w:val="105"/>
        </w:rPr>
        <w:t> </w:t>
      </w:r>
      <w:r>
        <w:rPr>
          <w:color w:val="231F20"/>
          <w:w w:val="105"/>
        </w:rPr>
        <w:t>out</w:t>
      </w:r>
      <w:r>
        <w:rPr>
          <w:color w:val="231F20"/>
          <w:spacing w:val="-16"/>
          <w:w w:val="105"/>
        </w:rPr>
        <w:t> </w:t>
      </w:r>
      <w:r>
        <w:rPr>
          <w:color w:val="231F20"/>
          <w:w w:val="105"/>
        </w:rPr>
        <w:t>of</w:t>
      </w:r>
      <w:r>
        <w:rPr>
          <w:color w:val="231F20"/>
          <w:spacing w:val="-10"/>
          <w:w w:val="105"/>
        </w:rPr>
        <w:t> </w:t>
      </w:r>
      <w:r>
        <w:rPr>
          <w:color w:val="231F20"/>
          <w:spacing w:val="-3"/>
          <w:w w:val="105"/>
        </w:rPr>
        <w:t>school</w:t>
      </w:r>
      <w:r>
        <w:rPr>
          <w:color w:val="231F20"/>
          <w:spacing w:val="-16"/>
          <w:w w:val="105"/>
        </w:rPr>
        <w:t> </w:t>
      </w:r>
      <w:r>
        <w:rPr>
          <w:color w:val="231F20"/>
          <w:spacing w:val="-3"/>
          <w:w w:val="105"/>
        </w:rPr>
        <w:t>among</w:t>
      </w:r>
      <w:r>
        <w:rPr>
          <w:color w:val="231F20"/>
          <w:spacing w:val="-19"/>
          <w:w w:val="105"/>
        </w:rPr>
        <w:t> </w:t>
      </w:r>
      <w:r>
        <w:rPr>
          <w:color w:val="231F20"/>
          <w:spacing w:val="-3"/>
          <w:w w:val="105"/>
        </w:rPr>
        <w:t>Asian</w:t>
      </w:r>
      <w:r>
        <w:rPr>
          <w:color w:val="231F20"/>
          <w:spacing w:val="-16"/>
          <w:w w:val="105"/>
        </w:rPr>
        <w:t> </w:t>
      </w:r>
      <w:r>
        <w:rPr>
          <w:color w:val="231F20"/>
          <w:w w:val="105"/>
        </w:rPr>
        <w:t>and</w:t>
      </w:r>
      <w:r>
        <w:rPr>
          <w:color w:val="231F20"/>
          <w:spacing w:val="-16"/>
          <w:w w:val="105"/>
        </w:rPr>
        <w:t> </w:t>
      </w:r>
      <w:r>
        <w:rPr>
          <w:color w:val="231F20"/>
          <w:spacing w:val="-3"/>
          <w:w w:val="105"/>
        </w:rPr>
        <w:t>Lati- </w:t>
      </w:r>
      <w:r>
        <w:rPr>
          <w:color w:val="231F20"/>
          <w:w w:val="105"/>
        </w:rPr>
        <w:t>no</w:t>
      </w:r>
      <w:r>
        <w:rPr>
          <w:color w:val="231F20"/>
          <w:spacing w:val="-27"/>
          <w:w w:val="105"/>
        </w:rPr>
        <w:t> </w:t>
      </w:r>
      <w:r>
        <w:rPr>
          <w:color w:val="231F20"/>
          <w:spacing w:val="-6"/>
          <w:w w:val="105"/>
        </w:rPr>
        <w:t>youths”,</w:t>
      </w:r>
      <w:r>
        <w:rPr>
          <w:color w:val="231F20"/>
          <w:spacing w:val="-31"/>
          <w:w w:val="105"/>
        </w:rPr>
        <w:t> </w:t>
      </w:r>
      <w:r>
        <w:rPr>
          <w:rFonts w:ascii="Arial" w:hAnsi="Arial"/>
          <w:i/>
          <w:color w:val="231F20"/>
          <w:spacing w:val="-3"/>
          <w:w w:val="105"/>
        </w:rPr>
        <w:t>Social</w:t>
      </w:r>
      <w:r>
        <w:rPr>
          <w:rFonts w:ascii="Arial" w:hAnsi="Arial"/>
          <w:i/>
          <w:color w:val="231F20"/>
          <w:spacing w:val="-30"/>
          <w:w w:val="105"/>
        </w:rPr>
        <w:t> </w:t>
      </w:r>
      <w:r>
        <w:rPr>
          <w:rFonts w:ascii="Arial" w:hAnsi="Arial"/>
          <w:i/>
          <w:color w:val="231F20"/>
          <w:spacing w:val="-3"/>
          <w:w w:val="105"/>
        </w:rPr>
        <w:t>Science</w:t>
      </w:r>
      <w:r>
        <w:rPr>
          <w:rFonts w:ascii="Arial" w:hAnsi="Arial"/>
          <w:i/>
          <w:color w:val="231F20"/>
          <w:spacing w:val="-30"/>
          <w:w w:val="105"/>
        </w:rPr>
        <w:t> </w:t>
      </w:r>
      <w:r>
        <w:rPr>
          <w:rFonts w:ascii="Arial" w:hAnsi="Arial"/>
          <w:i/>
          <w:color w:val="231F20"/>
          <w:spacing w:val="-3"/>
          <w:w w:val="105"/>
        </w:rPr>
        <w:t>Quarterly</w:t>
      </w:r>
      <w:r>
        <w:rPr>
          <w:color w:val="231F20"/>
          <w:spacing w:val="-3"/>
          <w:w w:val="105"/>
        </w:rPr>
        <w:t>,</w:t>
      </w:r>
      <w:r>
        <w:rPr>
          <w:color w:val="231F20"/>
          <w:spacing w:val="-31"/>
          <w:w w:val="105"/>
        </w:rPr>
        <w:t> </w:t>
      </w:r>
      <w:r>
        <w:rPr>
          <w:color w:val="231F20"/>
          <w:spacing w:val="-3"/>
          <w:w w:val="105"/>
        </w:rPr>
        <w:t>vol.</w:t>
      </w:r>
      <w:r>
        <w:rPr>
          <w:color w:val="231F20"/>
          <w:spacing w:val="-31"/>
          <w:w w:val="105"/>
        </w:rPr>
        <w:t> </w:t>
      </w:r>
      <w:r>
        <w:rPr>
          <w:color w:val="231F20"/>
          <w:w w:val="105"/>
        </w:rPr>
        <w:t>82,</w:t>
      </w:r>
      <w:r>
        <w:rPr>
          <w:color w:val="231F20"/>
          <w:spacing w:val="-28"/>
          <w:w w:val="105"/>
        </w:rPr>
        <w:t> </w:t>
      </w:r>
      <w:r>
        <w:rPr>
          <w:color w:val="231F20"/>
          <w:w w:val="105"/>
        </w:rPr>
        <w:t>num</w:t>
      </w:r>
      <w:r>
        <w:rPr>
          <w:color w:val="231F20"/>
          <w:spacing w:val="-24"/>
          <w:w w:val="105"/>
        </w:rPr>
        <w:t> </w:t>
      </w:r>
      <w:r>
        <w:rPr>
          <w:color w:val="231F20"/>
          <w:w w:val="105"/>
        </w:rPr>
        <w:t>4.</w:t>
      </w:r>
    </w:p>
    <w:p>
      <w:pPr>
        <w:pStyle w:val="BodyText"/>
        <w:spacing w:line="261" w:lineRule="auto"/>
        <w:ind w:left="2461" w:right="1880" w:hanging="738"/>
        <w:jc w:val="both"/>
      </w:pPr>
      <w:r>
        <w:rPr>
          <w:color w:val="231F20"/>
          <w:spacing w:val="-3"/>
        </w:rPr>
        <w:t>Fergus, </w:t>
      </w:r>
      <w:r>
        <w:rPr>
          <w:color w:val="231F20"/>
        </w:rPr>
        <w:t>Stevenson and Zimmerman, Marc, (2005), “Adolescent resilience: </w:t>
      </w:r>
      <w:r>
        <w:rPr>
          <w:color w:val="231F20"/>
          <w:w w:val="105"/>
        </w:rPr>
        <w:t>A</w:t>
      </w:r>
      <w:r>
        <w:rPr>
          <w:color w:val="231F20"/>
          <w:spacing w:val="-9"/>
          <w:w w:val="105"/>
        </w:rPr>
        <w:t> </w:t>
      </w:r>
      <w:r>
        <w:rPr>
          <w:color w:val="231F20"/>
          <w:w w:val="105"/>
        </w:rPr>
        <w:t>framework</w:t>
      </w:r>
      <w:r>
        <w:rPr>
          <w:color w:val="231F20"/>
          <w:spacing w:val="-6"/>
          <w:w w:val="105"/>
        </w:rPr>
        <w:t> </w:t>
      </w:r>
      <w:r>
        <w:rPr>
          <w:color w:val="231F20"/>
          <w:w w:val="105"/>
        </w:rPr>
        <w:t>for</w:t>
      </w:r>
      <w:r>
        <w:rPr>
          <w:color w:val="231F20"/>
          <w:spacing w:val="-6"/>
          <w:w w:val="105"/>
        </w:rPr>
        <w:t> </w:t>
      </w:r>
      <w:r>
        <w:rPr>
          <w:color w:val="231F20"/>
          <w:w w:val="105"/>
        </w:rPr>
        <w:t>understanding</w:t>
      </w:r>
      <w:r>
        <w:rPr>
          <w:color w:val="231F20"/>
          <w:spacing w:val="-6"/>
          <w:w w:val="105"/>
        </w:rPr>
        <w:t> </w:t>
      </w:r>
      <w:r>
        <w:rPr>
          <w:color w:val="231F20"/>
          <w:w w:val="105"/>
        </w:rPr>
        <w:t>healthy</w:t>
      </w:r>
      <w:r>
        <w:rPr>
          <w:color w:val="231F20"/>
          <w:spacing w:val="-6"/>
          <w:w w:val="105"/>
        </w:rPr>
        <w:t> </w:t>
      </w:r>
      <w:r>
        <w:rPr>
          <w:color w:val="231F20"/>
          <w:w w:val="105"/>
        </w:rPr>
        <w:t>development</w:t>
      </w:r>
      <w:r>
        <w:rPr>
          <w:color w:val="231F20"/>
          <w:spacing w:val="-6"/>
          <w:w w:val="105"/>
        </w:rPr>
        <w:t> </w:t>
      </w:r>
      <w:r>
        <w:rPr>
          <w:color w:val="231F20"/>
          <w:w w:val="105"/>
        </w:rPr>
        <w:t>in</w:t>
      </w:r>
      <w:r>
        <w:rPr>
          <w:color w:val="231F20"/>
          <w:spacing w:val="-6"/>
          <w:w w:val="105"/>
        </w:rPr>
        <w:t> </w:t>
      </w:r>
      <w:r>
        <w:rPr>
          <w:color w:val="231F20"/>
          <w:w w:val="105"/>
        </w:rPr>
        <w:t>the</w:t>
      </w:r>
      <w:r>
        <w:rPr>
          <w:color w:val="231F20"/>
          <w:spacing w:val="-6"/>
          <w:w w:val="105"/>
        </w:rPr>
        <w:t> </w:t>
      </w:r>
      <w:r>
        <w:rPr>
          <w:color w:val="231F20"/>
          <w:w w:val="105"/>
        </w:rPr>
        <w:t>face of</w:t>
      </w:r>
      <w:r>
        <w:rPr>
          <w:color w:val="231F20"/>
          <w:spacing w:val="-25"/>
          <w:w w:val="105"/>
        </w:rPr>
        <w:t> </w:t>
      </w:r>
      <w:r>
        <w:rPr>
          <w:color w:val="231F20"/>
          <w:spacing w:val="-5"/>
          <w:w w:val="105"/>
        </w:rPr>
        <w:t>risk”,</w:t>
      </w:r>
      <w:r>
        <w:rPr>
          <w:color w:val="231F20"/>
          <w:spacing w:val="-32"/>
          <w:w w:val="105"/>
        </w:rPr>
        <w:t> </w:t>
      </w:r>
      <w:r>
        <w:rPr>
          <w:rFonts w:ascii="Arial" w:hAnsi="Arial"/>
          <w:i/>
          <w:color w:val="231F20"/>
          <w:w w:val="105"/>
        </w:rPr>
        <w:t>Annu.</w:t>
      </w:r>
      <w:r>
        <w:rPr>
          <w:rFonts w:ascii="Arial" w:hAnsi="Arial"/>
          <w:i/>
          <w:color w:val="231F20"/>
          <w:spacing w:val="-35"/>
          <w:w w:val="105"/>
        </w:rPr>
        <w:t> </w:t>
      </w:r>
      <w:r>
        <w:rPr>
          <w:rFonts w:ascii="Arial" w:hAnsi="Arial"/>
          <w:i/>
          <w:color w:val="231F20"/>
          <w:spacing w:val="-4"/>
          <w:w w:val="105"/>
        </w:rPr>
        <w:t>Rev.</w:t>
      </w:r>
      <w:r>
        <w:rPr>
          <w:rFonts w:ascii="Arial" w:hAnsi="Arial"/>
          <w:i/>
          <w:color w:val="231F20"/>
          <w:spacing w:val="-35"/>
          <w:w w:val="105"/>
        </w:rPr>
        <w:t> </w:t>
      </w:r>
      <w:r>
        <w:rPr>
          <w:rFonts w:ascii="Arial" w:hAnsi="Arial"/>
          <w:i/>
          <w:color w:val="231F20"/>
          <w:w w:val="105"/>
        </w:rPr>
        <w:t>Public</w:t>
      </w:r>
      <w:r>
        <w:rPr>
          <w:rFonts w:ascii="Arial" w:hAnsi="Arial"/>
          <w:i/>
          <w:color w:val="231F20"/>
          <w:spacing w:val="-31"/>
          <w:w w:val="105"/>
        </w:rPr>
        <w:t> </w:t>
      </w:r>
      <w:r>
        <w:rPr>
          <w:rFonts w:ascii="Arial" w:hAnsi="Arial"/>
          <w:i/>
          <w:color w:val="231F20"/>
          <w:w w:val="105"/>
        </w:rPr>
        <w:t>Health</w:t>
      </w:r>
      <w:r>
        <w:rPr>
          <w:color w:val="231F20"/>
          <w:w w:val="105"/>
        </w:rPr>
        <w:t>,</w:t>
      </w:r>
      <w:r>
        <w:rPr>
          <w:color w:val="231F20"/>
          <w:spacing w:val="-32"/>
          <w:w w:val="105"/>
        </w:rPr>
        <w:t> </w:t>
      </w:r>
      <w:r>
        <w:rPr>
          <w:color w:val="231F20"/>
          <w:w w:val="105"/>
        </w:rPr>
        <w:t>num.</w:t>
      </w:r>
      <w:r>
        <w:rPr>
          <w:color w:val="231F20"/>
          <w:spacing w:val="-32"/>
          <w:w w:val="105"/>
        </w:rPr>
        <w:t> </w:t>
      </w:r>
      <w:r>
        <w:rPr>
          <w:color w:val="231F20"/>
          <w:w w:val="105"/>
        </w:rPr>
        <w:t>26.</w:t>
      </w:r>
    </w:p>
    <w:p>
      <w:pPr>
        <w:spacing w:line="259" w:lineRule="auto" w:before="0"/>
        <w:ind w:left="2461" w:right="1868" w:hanging="738"/>
        <w:jc w:val="both"/>
        <w:rPr>
          <w:sz w:val="21"/>
        </w:rPr>
      </w:pPr>
      <w:r>
        <w:rPr>
          <w:color w:val="231F20"/>
          <w:spacing w:val="-5"/>
          <w:w w:val="105"/>
          <w:sz w:val="21"/>
        </w:rPr>
        <w:t>Fry,</w:t>
      </w:r>
      <w:r>
        <w:rPr>
          <w:color w:val="231F20"/>
          <w:spacing w:val="-23"/>
          <w:w w:val="105"/>
          <w:sz w:val="21"/>
        </w:rPr>
        <w:t> </w:t>
      </w:r>
      <w:r>
        <w:rPr>
          <w:color w:val="231F20"/>
          <w:w w:val="105"/>
          <w:sz w:val="21"/>
        </w:rPr>
        <w:t>Richard</w:t>
      </w:r>
      <w:r>
        <w:rPr>
          <w:color w:val="231F20"/>
          <w:spacing w:val="-18"/>
          <w:w w:val="105"/>
          <w:sz w:val="21"/>
        </w:rPr>
        <w:t> </w:t>
      </w:r>
      <w:r>
        <w:rPr>
          <w:color w:val="231F20"/>
          <w:w w:val="105"/>
          <w:sz w:val="21"/>
        </w:rPr>
        <w:t>and</w:t>
      </w:r>
      <w:r>
        <w:rPr>
          <w:color w:val="231F20"/>
          <w:spacing w:val="-18"/>
          <w:w w:val="105"/>
          <w:sz w:val="21"/>
        </w:rPr>
        <w:t> </w:t>
      </w:r>
      <w:r>
        <w:rPr>
          <w:color w:val="231F20"/>
          <w:w w:val="105"/>
          <w:sz w:val="21"/>
        </w:rPr>
        <w:t>Hugo</w:t>
      </w:r>
      <w:r>
        <w:rPr>
          <w:color w:val="231F20"/>
          <w:spacing w:val="-18"/>
          <w:w w:val="105"/>
          <w:sz w:val="21"/>
        </w:rPr>
        <w:t> </w:t>
      </w:r>
      <w:r>
        <w:rPr>
          <w:color w:val="231F20"/>
          <w:w w:val="105"/>
          <w:sz w:val="21"/>
        </w:rPr>
        <w:t>Lopez,</w:t>
      </w:r>
      <w:r>
        <w:rPr>
          <w:color w:val="231F20"/>
          <w:spacing w:val="-23"/>
          <w:w w:val="105"/>
          <w:sz w:val="21"/>
        </w:rPr>
        <w:t> </w:t>
      </w:r>
      <w:r>
        <w:rPr>
          <w:color w:val="231F20"/>
          <w:w w:val="105"/>
          <w:sz w:val="21"/>
        </w:rPr>
        <w:t>Mark,</w:t>
      </w:r>
      <w:r>
        <w:rPr>
          <w:color w:val="231F20"/>
          <w:spacing w:val="-23"/>
          <w:w w:val="105"/>
          <w:sz w:val="21"/>
        </w:rPr>
        <w:t> </w:t>
      </w:r>
      <w:r>
        <w:rPr>
          <w:color w:val="231F20"/>
          <w:w w:val="105"/>
          <w:sz w:val="21"/>
        </w:rPr>
        <w:t>(2012),</w:t>
      </w:r>
      <w:r>
        <w:rPr>
          <w:color w:val="231F20"/>
          <w:spacing w:val="-23"/>
          <w:w w:val="105"/>
          <w:sz w:val="21"/>
        </w:rPr>
        <w:t> </w:t>
      </w:r>
      <w:r>
        <w:rPr>
          <w:rFonts w:ascii="Arial"/>
          <w:i/>
          <w:color w:val="231F20"/>
          <w:w w:val="105"/>
          <w:sz w:val="21"/>
        </w:rPr>
        <w:t>Hispanic</w:t>
      </w:r>
      <w:r>
        <w:rPr>
          <w:rFonts w:ascii="Arial"/>
          <w:i/>
          <w:color w:val="231F20"/>
          <w:spacing w:val="-21"/>
          <w:w w:val="105"/>
          <w:sz w:val="21"/>
        </w:rPr>
        <w:t> </w:t>
      </w:r>
      <w:r>
        <w:rPr>
          <w:rFonts w:ascii="Arial"/>
          <w:i/>
          <w:color w:val="231F20"/>
          <w:w w:val="105"/>
          <w:sz w:val="21"/>
        </w:rPr>
        <w:t>student</w:t>
      </w:r>
      <w:r>
        <w:rPr>
          <w:rFonts w:ascii="Arial"/>
          <w:i/>
          <w:color w:val="231F20"/>
          <w:spacing w:val="-21"/>
          <w:w w:val="105"/>
          <w:sz w:val="21"/>
        </w:rPr>
        <w:t> </w:t>
      </w:r>
      <w:r>
        <w:rPr>
          <w:rFonts w:ascii="Arial"/>
          <w:i/>
          <w:color w:val="231F20"/>
          <w:w w:val="105"/>
          <w:sz w:val="21"/>
        </w:rPr>
        <w:t>enrollment </w:t>
      </w:r>
      <w:r>
        <w:rPr>
          <w:rFonts w:ascii="Arial"/>
          <w:i/>
          <w:color w:val="231F20"/>
          <w:w w:val="105"/>
          <w:sz w:val="21"/>
        </w:rPr>
        <w:t>reach new highs in 2011: Now largest minority group on four- year college campuses</w:t>
      </w:r>
      <w:r>
        <w:rPr>
          <w:color w:val="231F20"/>
          <w:w w:val="105"/>
          <w:sz w:val="21"/>
        </w:rPr>
        <w:t>, </w:t>
      </w:r>
      <w:r>
        <w:rPr>
          <w:color w:val="231F20"/>
          <w:spacing w:val="-6"/>
          <w:w w:val="105"/>
          <w:sz w:val="21"/>
        </w:rPr>
        <w:t>Pew </w:t>
      </w:r>
      <w:r>
        <w:rPr>
          <w:color w:val="231F20"/>
          <w:w w:val="105"/>
          <w:sz w:val="21"/>
        </w:rPr>
        <w:t>Research Center, retrieved from </w:t>
      </w:r>
      <w:hyperlink r:id="rId50">
        <w:r>
          <w:rPr>
            <w:color w:val="231F20"/>
            <w:spacing w:val="8"/>
            <w:w w:val="105"/>
            <w:sz w:val="21"/>
          </w:rPr>
          <w:t>http://www.pewhispanic.org/2012/08/20/hispanic-student-</w:t>
        </w:r>
      </w:hyperlink>
      <w:r>
        <w:rPr>
          <w:color w:val="231F20"/>
          <w:spacing w:val="8"/>
          <w:w w:val="105"/>
          <w:sz w:val="21"/>
        </w:rPr>
        <w:t> </w:t>
      </w:r>
      <w:r>
        <w:rPr>
          <w:color w:val="231F20"/>
          <w:w w:val="105"/>
          <w:sz w:val="21"/>
        </w:rPr>
        <w:t>enrollments-reach-new-highs-in-2011/</w:t>
      </w:r>
    </w:p>
    <w:p>
      <w:pPr>
        <w:pStyle w:val="BodyText"/>
        <w:rPr>
          <w:sz w:val="20"/>
        </w:rPr>
      </w:pPr>
    </w:p>
    <w:p>
      <w:pPr>
        <w:pStyle w:val="BodyText"/>
        <w:rPr>
          <w:sz w:val="20"/>
        </w:rPr>
      </w:pPr>
    </w:p>
    <w:p>
      <w:pPr>
        <w:pStyle w:val="BodyText"/>
        <w:rPr>
          <w:sz w:val="20"/>
        </w:rPr>
      </w:pPr>
    </w:p>
    <w:p>
      <w:pPr>
        <w:pStyle w:val="BodyText"/>
        <w:spacing w:before="2"/>
        <w:rPr>
          <w:sz w:val="29"/>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4240" from="131.551193pt,3.703715pt" to="131.551193pt,39.506114pt" stroked="true" strokeweight=".35pt" strokecolor="#231f20">
            <w10:wrap type="none"/>
          </v:line>
        </w:pict>
      </w:r>
      <w:r>
        <w:rPr/>
        <w:pict>
          <v:line style="position:absolute;mso-position-horizontal-relative:page;mso-position-vertical-relative:paragraph;z-index:-484168" from="15pt,39.505917pt" to="0pt,39.505917pt" stroked="true" strokeweight=".25pt" strokecolor="#000000">
            <w10:wrap type="none"/>
          </v:line>
        </w:pict>
      </w:r>
      <w:r>
        <w:rPr/>
        <w:pict>
          <v:line style="position:absolute;mso-position-horizontal-relative:page;mso-position-vertical-relative:paragraph;z-index:6040" from="508.890015pt,39.505917pt" to="523.890015pt,39.505917pt" stroked="true" strokeweight=".25pt" strokecolor="#000000">
            <w10:wrap type="none"/>
          </v:line>
        </w:pict>
      </w:r>
      <w:r>
        <w:rPr>
          <w:rFonts w:ascii="Arial" w:hAnsi="Arial"/>
          <w:color w:val="414042"/>
          <w:position w:val="-5"/>
          <w:sz w:val="20"/>
        </w:rPr>
        <w:t>60</w:t>
        <w:tab/>
      </w:r>
      <w:r>
        <w:rPr>
          <w:rFonts w:ascii="Calibri" w:hAnsi="Calibri"/>
          <w:color w:val="6D6E71"/>
          <w:sz w:val="15"/>
        </w:rPr>
        <w:t>Harriett Romo, Janeth Martínez y Christina  </w:t>
      </w:r>
      <w:r>
        <w:rPr>
          <w:rFonts w:ascii="Calibri" w:hAnsi="Calibri"/>
          <w:color w:val="6D6E71"/>
          <w:spacing w:val="15"/>
          <w:sz w:val="15"/>
        </w:rPr>
        <w:t> </w:t>
      </w:r>
      <w:r>
        <w:rPr>
          <w:rFonts w:ascii="Calibri" w:hAnsi="Calibri"/>
          <w:color w:val="6D6E71"/>
          <w:sz w:val="15"/>
        </w:rPr>
        <w:t>López-Mobilia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4958" w:right="0" w:firstLine="0"/>
        <w:jc w:val="left"/>
        <w:rPr>
          <w:rFonts w:ascii="Arial"/>
          <w:sz w:val="20"/>
        </w:rPr>
      </w:pPr>
      <w:r>
        <w:rPr/>
        <w:pict>
          <v:line style="position:absolute;mso-position-horizontal-relative:page;mso-position-vertical-relative:paragraph;z-index:-484120" from="405.061005pt,-18.554295pt" to="405.061005pt,16.311579pt" stroked="true" strokeweight=".35pt" strokecolor="#231f20">
            <w10:wrap type="none"/>
          </v:line>
        </w:pict>
      </w:r>
      <w:r>
        <w:rPr/>
        <w:pict>
          <v:line style="position:absolute;mso-position-horizontal-relative:page;mso-position-vertical-relative:paragraph;z-index:6088" from="15pt,-18.554522pt" to="0pt,-18.554522pt" stroked="true" strokeweight=".25pt" strokecolor="#000000">
            <w10:wrap type="none"/>
          </v:line>
        </w:pict>
      </w:r>
      <w:r>
        <w:rPr/>
        <w:pict>
          <v:line style="position:absolute;mso-position-horizontal-relative:page;mso-position-vertical-relative:paragraph;z-index:6112" from="508.890015pt,-18.554522pt" to="523.890015pt,-18.554522pt" stroked="true" strokeweight=".25pt" strokecolor="#000000">
            <w10:wrap type="none"/>
          </v:line>
        </w:pict>
      </w:r>
      <w:r>
        <w:rPr>
          <w:rFonts w:ascii="Lucida Sans Unicode"/>
          <w:color w:val="6D6E71"/>
          <w:w w:val="105"/>
          <w:sz w:val="14"/>
        </w:rPr>
        <w:t>Children</w:t>
      </w:r>
      <w:r>
        <w:rPr>
          <w:rFonts w:ascii="Lucida Sans Unicode"/>
          <w:color w:val="6D6E71"/>
          <w:spacing w:val="-10"/>
          <w:w w:val="105"/>
          <w:sz w:val="14"/>
        </w:rPr>
        <w:t> </w:t>
      </w:r>
      <w:r>
        <w:rPr>
          <w:rFonts w:ascii="Lucida Sans Unicode"/>
          <w:color w:val="6D6E71"/>
          <w:w w:val="105"/>
          <w:sz w:val="14"/>
        </w:rPr>
        <w:t>of</w:t>
      </w:r>
      <w:r>
        <w:rPr>
          <w:rFonts w:ascii="Lucida Sans Unicode"/>
          <w:color w:val="6D6E71"/>
          <w:spacing w:val="-10"/>
          <w:w w:val="105"/>
          <w:sz w:val="14"/>
        </w:rPr>
        <w:t> </w:t>
      </w:r>
      <w:r>
        <w:rPr>
          <w:rFonts w:ascii="Lucida Sans Unicode"/>
          <w:color w:val="6D6E71"/>
          <w:w w:val="105"/>
          <w:sz w:val="14"/>
        </w:rPr>
        <w:t>immigrants</w:t>
      </w:r>
      <w:r>
        <w:rPr>
          <w:rFonts w:ascii="Lucida Sans Unicode"/>
          <w:color w:val="6D6E71"/>
          <w:spacing w:val="-10"/>
          <w:w w:val="105"/>
          <w:sz w:val="14"/>
        </w:rPr>
        <w:t> </w:t>
      </w:r>
      <w:r>
        <w:rPr>
          <w:rFonts w:ascii="Lucida Sans Unicode"/>
          <w:color w:val="6D6E71"/>
          <w:w w:val="105"/>
          <w:sz w:val="14"/>
        </w:rPr>
        <w:t>in</w:t>
      </w:r>
      <w:r>
        <w:rPr>
          <w:rFonts w:ascii="Lucida Sans Unicode"/>
          <w:color w:val="6D6E71"/>
          <w:spacing w:val="-10"/>
          <w:w w:val="105"/>
          <w:sz w:val="14"/>
        </w:rPr>
        <w:t> </w:t>
      </w:r>
      <w:r>
        <w:rPr>
          <w:rFonts w:ascii="Lucida Sans Unicode"/>
          <w:color w:val="6D6E71"/>
          <w:w w:val="105"/>
          <w:sz w:val="14"/>
        </w:rPr>
        <w:t>the</w:t>
      </w:r>
      <w:r>
        <w:rPr>
          <w:rFonts w:ascii="Lucida Sans Unicode"/>
          <w:color w:val="6D6E71"/>
          <w:spacing w:val="-10"/>
          <w:w w:val="105"/>
          <w:sz w:val="14"/>
        </w:rPr>
        <w:t> </w:t>
      </w:r>
      <w:r>
        <w:rPr>
          <w:rFonts w:ascii="Lucida Sans Unicode"/>
          <w:color w:val="6D6E71"/>
          <w:w w:val="105"/>
          <w:sz w:val="14"/>
        </w:rPr>
        <w:t>United</w:t>
      </w:r>
      <w:r>
        <w:rPr>
          <w:rFonts w:ascii="Lucida Sans Unicode"/>
          <w:color w:val="6D6E71"/>
          <w:spacing w:val="-10"/>
          <w:w w:val="105"/>
          <w:sz w:val="14"/>
        </w:rPr>
        <w:t> </w:t>
      </w:r>
      <w:r>
        <w:rPr>
          <w:rFonts w:ascii="Lucida Sans Unicode"/>
          <w:color w:val="6D6E71"/>
          <w:spacing w:val="-3"/>
          <w:w w:val="105"/>
          <w:sz w:val="14"/>
        </w:rPr>
        <w:t>states</w:t>
      </w:r>
      <w:r>
        <w:rPr>
          <w:rFonts w:ascii="Arial"/>
          <w:color w:val="414042"/>
          <w:spacing w:val="-3"/>
          <w:w w:val="105"/>
          <w:position w:val="-3"/>
          <w:sz w:val="20"/>
        </w:rPr>
        <w:tab/>
      </w:r>
      <w:r>
        <w:rPr>
          <w:rFonts w:ascii="Arial"/>
          <w:color w:val="414042"/>
          <w:w w:val="105"/>
          <w:position w:val="-3"/>
          <w:sz w:val="20"/>
        </w:rPr>
        <w:t>61</w:t>
      </w:r>
    </w:p>
    <w:p>
      <w:pPr>
        <w:pStyle w:val="BodyText"/>
        <w:rPr>
          <w:rFonts w:ascii="Arial"/>
          <w:sz w:val="20"/>
        </w:rPr>
      </w:pPr>
    </w:p>
    <w:p>
      <w:pPr>
        <w:pStyle w:val="BodyText"/>
        <w:rPr>
          <w:rFonts w:ascii="Arial"/>
          <w:sz w:val="20"/>
        </w:rPr>
      </w:pPr>
    </w:p>
    <w:p>
      <w:pPr>
        <w:pStyle w:val="BodyText"/>
        <w:spacing w:line="261" w:lineRule="auto" w:before="179"/>
        <w:ind w:left="2574" w:right="1721" w:hanging="738"/>
        <w:jc w:val="both"/>
      </w:pPr>
      <w:r>
        <w:rPr>
          <w:color w:val="231F20"/>
        </w:rPr>
        <w:t>Gaytán, Francisco, Carhill, Avary and Suárez-Orozco, Carola, (2007), “Un- derstanding and responding to the needs of newcomer immi-  grant youth and </w:t>
      </w:r>
      <w:r>
        <w:rPr>
          <w:color w:val="231F20"/>
          <w:spacing w:val="-3"/>
        </w:rPr>
        <w:t>families”, </w:t>
      </w:r>
      <w:r>
        <w:rPr>
          <w:rFonts w:ascii="Arial" w:hAnsi="Arial"/>
          <w:i/>
          <w:color w:val="231F20"/>
        </w:rPr>
        <w:t>Prevention Researcher</w:t>
      </w:r>
      <w:r>
        <w:rPr>
          <w:color w:val="231F20"/>
        </w:rPr>
        <w:t>, vol. 14, num.</w:t>
      </w:r>
      <w:r>
        <w:rPr>
          <w:color w:val="231F20"/>
          <w:spacing w:val="32"/>
        </w:rPr>
        <w:t> </w:t>
      </w:r>
      <w:r>
        <w:rPr>
          <w:color w:val="231F20"/>
        </w:rPr>
        <w:t>4.</w:t>
      </w:r>
    </w:p>
    <w:p>
      <w:pPr>
        <w:spacing w:line="259" w:lineRule="auto" w:before="0"/>
        <w:ind w:left="2574" w:right="1715" w:hanging="738"/>
        <w:jc w:val="both"/>
        <w:rPr>
          <w:sz w:val="21"/>
        </w:rPr>
      </w:pPr>
      <w:r>
        <w:rPr>
          <w:color w:val="231F20"/>
          <w:w w:val="105"/>
          <w:sz w:val="21"/>
        </w:rPr>
        <w:t>Gaytán, Francisco, (2010), </w:t>
      </w:r>
      <w:r>
        <w:rPr>
          <w:rFonts w:ascii="Arial" w:hAnsi="Arial"/>
          <w:i/>
          <w:color w:val="231F20"/>
          <w:w w:val="105"/>
          <w:sz w:val="21"/>
        </w:rPr>
        <w:t>The role of social capital and support from </w:t>
      </w:r>
      <w:r>
        <w:rPr>
          <w:rFonts w:ascii="Arial" w:hAnsi="Arial"/>
          <w:i/>
          <w:color w:val="231F20"/>
          <w:w w:val="105"/>
          <w:sz w:val="21"/>
        </w:rPr>
        <w:t>adults</w:t>
      </w:r>
      <w:r>
        <w:rPr>
          <w:rFonts w:ascii="Arial" w:hAnsi="Arial"/>
          <w:i/>
          <w:color w:val="231F20"/>
          <w:spacing w:val="-10"/>
          <w:w w:val="105"/>
          <w:sz w:val="21"/>
        </w:rPr>
        <w:t> </w:t>
      </w:r>
      <w:r>
        <w:rPr>
          <w:rFonts w:ascii="Arial" w:hAnsi="Arial"/>
          <w:i/>
          <w:color w:val="231F20"/>
          <w:w w:val="105"/>
          <w:sz w:val="21"/>
        </w:rPr>
        <w:t>in</w:t>
      </w:r>
      <w:r>
        <w:rPr>
          <w:rFonts w:ascii="Arial" w:hAnsi="Arial"/>
          <w:i/>
          <w:color w:val="231F20"/>
          <w:spacing w:val="-10"/>
          <w:w w:val="105"/>
          <w:sz w:val="21"/>
        </w:rPr>
        <w:t> </w:t>
      </w:r>
      <w:r>
        <w:rPr>
          <w:rFonts w:ascii="Arial" w:hAnsi="Arial"/>
          <w:i/>
          <w:color w:val="231F20"/>
          <w:w w:val="105"/>
          <w:sz w:val="21"/>
        </w:rPr>
        <w:t>the</w:t>
      </w:r>
      <w:r>
        <w:rPr>
          <w:rFonts w:ascii="Arial" w:hAnsi="Arial"/>
          <w:i/>
          <w:color w:val="231F20"/>
          <w:spacing w:val="-10"/>
          <w:w w:val="105"/>
          <w:sz w:val="21"/>
        </w:rPr>
        <w:t> </w:t>
      </w:r>
      <w:r>
        <w:rPr>
          <w:rFonts w:ascii="Arial" w:hAnsi="Arial"/>
          <w:i/>
          <w:color w:val="231F20"/>
          <w:w w:val="105"/>
          <w:sz w:val="21"/>
        </w:rPr>
        <w:t>academic</w:t>
      </w:r>
      <w:r>
        <w:rPr>
          <w:rFonts w:ascii="Arial" w:hAnsi="Arial"/>
          <w:i/>
          <w:color w:val="231F20"/>
          <w:spacing w:val="-10"/>
          <w:w w:val="105"/>
          <w:sz w:val="21"/>
        </w:rPr>
        <w:t> </w:t>
      </w:r>
      <w:r>
        <w:rPr>
          <w:rFonts w:ascii="Arial" w:hAnsi="Arial"/>
          <w:i/>
          <w:color w:val="231F20"/>
          <w:w w:val="105"/>
          <w:sz w:val="21"/>
        </w:rPr>
        <w:t>self-efficacy,</w:t>
      </w:r>
      <w:r>
        <w:rPr>
          <w:rFonts w:ascii="Arial" w:hAnsi="Arial"/>
          <w:i/>
          <w:color w:val="231F20"/>
          <w:spacing w:val="-16"/>
          <w:w w:val="105"/>
          <w:sz w:val="21"/>
        </w:rPr>
        <w:t> </w:t>
      </w:r>
      <w:r>
        <w:rPr>
          <w:rFonts w:ascii="Arial" w:hAnsi="Arial"/>
          <w:i/>
          <w:color w:val="231F20"/>
          <w:w w:val="105"/>
          <w:sz w:val="21"/>
        </w:rPr>
        <w:t>identity,</w:t>
      </w:r>
      <w:r>
        <w:rPr>
          <w:rFonts w:ascii="Arial" w:hAnsi="Arial"/>
          <w:i/>
          <w:color w:val="231F20"/>
          <w:spacing w:val="-16"/>
          <w:w w:val="105"/>
          <w:sz w:val="21"/>
        </w:rPr>
        <w:t> </w:t>
      </w:r>
      <w:r>
        <w:rPr>
          <w:rFonts w:ascii="Arial" w:hAnsi="Arial"/>
          <w:i/>
          <w:color w:val="231F20"/>
          <w:w w:val="105"/>
          <w:sz w:val="21"/>
        </w:rPr>
        <w:t>and</w:t>
      </w:r>
      <w:r>
        <w:rPr>
          <w:rFonts w:ascii="Arial" w:hAnsi="Arial"/>
          <w:i/>
          <w:color w:val="231F20"/>
          <w:spacing w:val="-10"/>
          <w:w w:val="105"/>
          <w:sz w:val="21"/>
        </w:rPr>
        <w:t> </w:t>
      </w:r>
      <w:r>
        <w:rPr>
          <w:rFonts w:ascii="Arial" w:hAnsi="Arial"/>
          <w:i/>
          <w:color w:val="231F20"/>
          <w:w w:val="105"/>
          <w:sz w:val="21"/>
        </w:rPr>
        <w:t>engagement</w:t>
      </w:r>
      <w:r>
        <w:rPr>
          <w:rFonts w:ascii="Arial" w:hAnsi="Arial"/>
          <w:i/>
          <w:color w:val="231F20"/>
          <w:spacing w:val="-10"/>
          <w:w w:val="105"/>
          <w:sz w:val="21"/>
        </w:rPr>
        <w:t> </w:t>
      </w:r>
      <w:r>
        <w:rPr>
          <w:rFonts w:ascii="Arial" w:hAnsi="Arial"/>
          <w:i/>
          <w:color w:val="231F20"/>
          <w:w w:val="105"/>
          <w:sz w:val="21"/>
        </w:rPr>
        <w:t>of Mexican</w:t>
      </w:r>
      <w:r>
        <w:rPr>
          <w:rFonts w:ascii="Arial" w:hAnsi="Arial"/>
          <w:i/>
          <w:color w:val="231F20"/>
          <w:spacing w:val="-22"/>
          <w:w w:val="105"/>
          <w:sz w:val="21"/>
        </w:rPr>
        <w:t> </w:t>
      </w:r>
      <w:r>
        <w:rPr>
          <w:rFonts w:ascii="Arial" w:hAnsi="Arial"/>
          <w:i/>
          <w:color w:val="231F20"/>
          <w:w w:val="105"/>
          <w:sz w:val="21"/>
        </w:rPr>
        <w:t>immigrant</w:t>
      </w:r>
      <w:r>
        <w:rPr>
          <w:rFonts w:ascii="Arial" w:hAnsi="Arial"/>
          <w:i/>
          <w:color w:val="231F20"/>
          <w:spacing w:val="-22"/>
          <w:w w:val="105"/>
          <w:sz w:val="21"/>
        </w:rPr>
        <w:t> </w:t>
      </w:r>
      <w:r>
        <w:rPr>
          <w:rFonts w:ascii="Arial" w:hAnsi="Arial"/>
          <w:i/>
          <w:color w:val="231F20"/>
          <w:w w:val="105"/>
          <w:sz w:val="21"/>
        </w:rPr>
        <w:t>youth</w:t>
      </w:r>
      <w:r>
        <w:rPr>
          <w:rFonts w:ascii="Arial" w:hAnsi="Arial"/>
          <w:i/>
          <w:color w:val="231F20"/>
          <w:spacing w:val="-22"/>
          <w:w w:val="105"/>
          <w:sz w:val="21"/>
        </w:rPr>
        <w:t> </w:t>
      </w:r>
      <w:r>
        <w:rPr>
          <w:rFonts w:ascii="Arial" w:hAnsi="Arial"/>
          <w:i/>
          <w:color w:val="231F20"/>
          <w:w w:val="105"/>
          <w:sz w:val="21"/>
        </w:rPr>
        <w:t>in</w:t>
      </w:r>
      <w:r>
        <w:rPr>
          <w:rFonts w:ascii="Arial" w:hAnsi="Arial"/>
          <w:i/>
          <w:color w:val="231F20"/>
          <w:spacing w:val="-22"/>
          <w:w w:val="105"/>
          <w:sz w:val="21"/>
        </w:rPr>
        <w:t> </w:t>
      </w:r>
      <w:r>
        <w:rPr>
          <w:rFonts w:ascii="Arial" w:hAnsi="Arial"/>
          <w:i/>
          <w:color w:val="231F20"/>
          <w:w w:val="105"/>
          <w:sz w:val="21"/>
        </w:rPr>
        <w:t>New</w:t>
      </w:r>
      <w:r>
        <w:rPr>
          <w:rFonts w:ascii="Arial" w:hAnsi="Arial"/>
          <w:i/>
          <w:color w:val="231F20"/>
          <w:spacing w:val="-26"/>
          <w:w w:val="105"/>
          <w:sz w:val="21"/>
        </w:rPr>
        <w:t> </w:t>
      </w:r>
      <w:r>
        <w:rPr>
          <w:rFonts w:ascii="Arial" w:hAnsi="Arial"/>
          <w:i/>
          <w:color w:val="231F20"/>
          <w:spacing w:val="-4"/>
          <w:w w:val="105"/>
          <w:sz w:val="21"/>
        </w:rPr>
        <w:t>York</w:t>
      </w:r>
      <w:r>
        <w:rPr>
          <w:rFonts w:ascii="Arial" w:hAnsi="Arial"/>
          <w:i/>
          <w:color w:val="231F20"/>
          <w:spacing w:val="-22"/>
          <w:w w:val="105"/>
          <w:sz w:val="21"/>
        </w:rPr>
        <w:t> </w:t>
      </w:r>
      <w:r>
        <w:rPr>
          <w:rFonts w:ascii="Arial" w:hAnsi="Arial"/>
          <w:i/>
          <w:color w:val="231F20"/>
          <w:w w:val="105"/>
          <w:sz w:val="21"/>
        </w:rPr>
        <w:t>City</w:t>
      </w:r>
      <w:r>
        <w:rPr>
          <w:color w:val="231F20"/>
          <w:w w:val="105"/>
          <w:sz w:val="21"/>
        </w:rPr>
        <w:t>,</w:t>
      </w:r>
      <w:r>
        <w:rPr>
          <w:color w:val="231F20"/>
          <w:spacing w:val="-23"/>
          <w:w w:val="105"/>
          <w:sz w:val="21"/>
        </w:rPr>
        <w:t> </w:t>
      </w:r>
      <w:r>
        <w:rPr>
          <w:color w:val="231F20"/>
          <w:w w:val="105"/>
          <w:sz w:val="21"/>
        </w:rPr>
        <w:t>Doctoral</w:t>
      </w:r>
      <w:r>
        <w:rPr>
          <w:color w:val="231F20"/>
          <w:spacing w:val="-19"/>
          <w:w w:val="105"/>
          <w:sz w:val="21"/>
        </w:rPr>
        <w:t> </w:t>
      </w:r>
      <w:r>
        <w:rPr>
          <w:color w:val="231F20"/>
          <w:w w:val="105"/>
          <w:sz w:val="21"/>
        </w:rPr>
        <w:t>Dissertation. </w:t>
      </w:r>
      <w:r>
        <w:rPr>
          <w:color w:val="231F20"/>
          <w:sz w:val="21"/>
        </w:rPr>
        <w:t>Retrieved from ProQuest.</w:t>
      </w:r>
      <w:r>
        <w:rPr>
          <w:color w:val="231F20"/>
          <w:spacing w:val="39"/>
          <w:sz w:val="21"/>
        </w:rPr>
        <w:t> </w:t>
      </w:r>
      <w:r>
        <w:rPr>
          <w:color w:val="231F20"/>
          <w:sz w:val="21"/>
        </w:rPr>
        <w:t>(3390452).</w:t>
      </w:r>
    </w:p>
    <w:p>
      <w:pPr>
        <w:pStyle w:val="BodyText"/>
        <w:spacing w:line="261" w:lineRule="auto" w:before="3"/>
        <w:ind w:left="2574" w:right="1721" w:hanging="738"/>
        <w:jc w:val="both"/>
      </w:pPr>
      <w:r>
        <w:rPr>
          <w:color w:val="231F20"/>
          <w:w w:val="105"/>
        </w:rPr>
        <w:t>Goldenberg,</w:t>
      </w:r>
      <w:r>
        <w:rPr>
          <w:color w:val="231F20"/>
          <w:spacing w:val="-20"/>
          <w:w w:val="105"/>
        </w:rPr>
        <w:t> </w:t>
      </w:r>
      <w:r>
        <w:rPr>
          <w:color w:val="231F20"/>
          <w:w w:val="105"/>
        </w:rPr>
        <w:t>Claude,</w:t>
      </w:r>
      <w:r>
        <w:rPr>
          <w:color w:val="231F20"/>
          <w:spacing w:val="-20"/>
          <w:w w:val="105"/>
        </w:rPr>
        <w:t> </w:t>
      </w:r>
      <w:r>
        <w:rPr>
          <w:color w:val="231F20"/>
          <w:w w:val="105"/>
        </w:rPr>
        <w:t>Gallimore,</w:t>
      </w:r>
      <w:r>
        <w:rPr>
          <w:color w:val="231F20"/>
          <w:spacing w:val="-20"/>
          <w:w w:val="105"/>
        </w:rPr>
        <w:t> </w:t>
      </w:r>
      <w:r>
        <w:rPr>
          <w:color w:val="231F20"/>
          <w:w w:val="105"/>
        </w:rPr>
        <w:t>Ronald,</w:t>
      </w:r>
      <w:r>
        <w:rPr>
          <w:color w:val="231F20"/>
          <w:spacing w:val="-20"/>
          <w:w w:val="105"/>
        </w:rPr>
        <w:t> </w:t>
      </w:r>
      <w:r>
        <w:rPr>
          <w:color w:val="231F20"/>
          <w:w w:val="105"/>
        </w:rPr>
        <w:t>Reese,</w:t>
      </w:r>
      <w:r>
        <w:rPr>
          <w:color w:val="231F20"/>
          <w:spacing w:val="-20"/>
          <w:w w:val="105"/>
        </w:rPr>
        <w:t> </w:t>
      </w:r>
      <w:r>
        <w:rPr>
          <w:color w:val="231F20"/>
          <w:w w:val="105"/>
        </w:rPr>
        <w:t>Leslie</w:t>
      </w:r>
      <w:r>
        <w:rPr>
          <w:color w:val="231F20"/>
          <w:spacing w:val="-16"/>
          <w:w w:val="105"/>
        </w:rPr>
        <w:t> </w:t>
      </w:r>
      <w:r>
        <w:rPr>
          <w:color w:val="231F20"/>
          <w:w w:val="105"/>
        </w:rPr>
        <w:t>and</w:t>
      </w:r>
      <w:r>
        <w:rPr>
          <w:color w:val="231F20"/>
          <w:spacing w:val="-16"/>
          <w:w w:val="105"/>
        </w:rPr>
        <w:t> </w:t>
      </w:r>
      <w:r>
        <w:rPr>
          <w:color w:val="231F20"/>
          <w:w w:val="105"/>
        </w:rPr>
        <w:t>Garnier,</w:t>
      </w:r>
      <w:r>
        <w:rPr>
          <w:color w:val="231F20"/>
          <w:spacing w:val="-20"/>
          <w:w w:val="105"/>
        </w:rPr>
        <w:t> </w:t>
      </w:r>
      <w:r>
        <w:rPr>
          <w:color w:val="231F20"/>
          <w:w w:val="105"/>
        </w:rPr>
        <w:t>Hel- en, (2001), “Cause or effect? A longitudinal study of immigrant Latino parents’ aspirations and expectations and their</w:t>
      </w:r>
      <w:r>
        <w:rPr>
          <w:color w:val="231F20"/>
          <w:spacing w:val="-34"/>
          <w:w w:val="105"/>
        </w:rPr>
        <w:t> </w:t>
      </w:r>
      <w:r>
        <w:rPr>
          <w:color w:val="231F20"/>
          <w:w w:val="105"/>
        </w:rPr>
        <w:t>children’s school performance”, American </w:t>
      </w:r>
      <w:r>
        <w:rPr>
          <w:rFonts w:ascii="Arial" w:hAnsi="Arial"/>
          <w:i/>
          <w:color w:val="231F20"/>
          <w:w w:val="105"/>
        </w:rPr>
        <w:t>Educational Research Journal, </w:t>
      </w:r>
      <w:r>
        <w:rPr>
          <w:color w:val="231F20"/>
          <w:w w:val="105"/>
        </w:rPr>
        <w:t>vol.</w:t>
      </w:r>
      <w:r>
        <w:rPr>
          <w:color w:val="231F20"/>
          <w:spacing w:val="-23"/>
          <w:w w:val="105"/>
        </w:rPr>
        <w:t> </w:t>
      </w:r>
      <w:r>
        <w:rPr>
          <w:color w:val="231F20"/>
          <w:w w:val="105"/>
        </w:rPr>
        <w:t>38,</w:t>
      </w:r>
      <w:r>
        <w:rPr>
          <w:color w:val="231F20"/>
          <w:spacing w:val="-23"/>
          <w:w w:val="105"/>
        </w:rPr>
        <w:t> </w:t>
      </w:r>
      <w:r>
        <w:rPr>
          <w:color w:val="231F20"/>
          <w:w w:val="105"/>
        </w:rPr>
        <w:t>num.</w:t>
      </w:r>
      <w:r>
        <w:rPr>
          <w:color w:val="231F20"/>
          <w:spacing w:val="-23"/>
          <w:w w:val="105"/>
        </w:rPr>
        <w:t> </w:t>
      </w:r>
      <w:r>
        <w:rPr>
          <w:color w:val="231F20"/>
          <w:w w:val="105"/>
        </w:rPr>
        <w:t>3.</w:t>
      </w:r>
    </w:p>
    <w:p>
      <w:pPr>
        <w:pStyle w:val="BodyText"/>
        <w:spacing w:line="261" w:lineRule="auto" w:before="1"/>
        <w:ind w:left="2574" w:right="1715" w:hanging="738"/>
        <w:jc w:val="both"/>
      </w:pPr>
      <w:r>
        <w:rPr>
          <w:color w:val="231F20"/>
          <w:w w:val="105"/>
        </w:rPr>
        <w:t>Gonzales,</w:t>
      </w:r>
      <w:r>
        <w:rPr>
          <w:color w:val="231F20"/>
          <w:spacing w:val="-45"/>
          <w:w w:val="105"/>
        </w:rPr>
        <w:t> </w:t>
      </w:r>
      <w:r>
        <w:rPr>
          <w:color w:val="231F20"/>
          <w:spacing w:val="-3"/>
          <w:w w:val="105"/>
        </w:rPr>
        <w:t>Nancy,</w:t>
      </w:r>
      <w:r>
        <w:rPr>
          <w:color w:val="231F20"/>
          <w:spacing w:val="-45"/>
          <w:w w:val="105"/>
        </w:rPr>
        <w:t> </w:t>
      </w:r>
      <w:r>
        <w:rPr>
          <w:color w:val="231F20"/>
          <w:w w:val="105"/>
        </w:rPr>
        <w:t>Germán,</w:t>
      </w:r>
      <w:r>
        <w:rPr>
          <w:color w:val="231F20"/>
          <w:spacing w:val="-45"/>
          <w:w w:val="105"/>
        </w:rPr>
        <w:t> </w:t>
      </w:r>
      <w:r>
        <w:rPr>
          <w:color w:val="231F20"/>
          <w:w w:val="105"/>
        </w:rPr>
        <w:t>Miguelina,</w:t>
      </w:r>
      <w:r>
        <w:rPr>
          <w:color w:val="231F20"/>
          <w:spacing w:val="-45"/>
          <w:w w:val="105"/>
        </w:rPr>
        <w:t> </w:t>
      </w:r>
      <w:r>
        <w:rPr>
          <w:color w:val="231F20"/>
          <w:w w:val="105"/>
        </w:rPr>
        <w:t>Kim,</w:t>
      </w:r>
      <w:r>
        <w:rPr>
          <w:color w:val="231F20"/>
          <w:spacing w:val="-45"/>
          <w:w w:val="105"/>
        </w:rPr>
        <w:t> </w:t>
      </w:r>
      <w:r>
        <w:rPr>
          <w:color w:val="231F20"/>
          <w:w w:val="105"/>
        </w:rPr>
        <w:t>Su</w:t>
      </w:r>
      <w:r>
        <w:rPr>
          <w:color w:val="231F20"/>
          <w:spacing w:val="-45"/>
          <w:w w:val="105"/>
        </w:rPr>
        <w:t> </w:t>
      </w:r>
      <w:r>
        <w:rPr>
          <w:color w:val="231F20"/>
          <w:spacing w:val="-6"/>
          <w:w w:val="105"/>
        </w:rPr>
        <w:t>Yeon,</w:t>
      </w:r>
      <w:r>
        <w:rPr>
          <w:color w:val="231F20"/>
          <w:spacing w:val="-45"/>
          <w:w w:val="105"/>
        </w:rPr>
        <w:t> </w:t>
      </w:r>
      <w:r>
        <w:rPr>
          <w:color w:val="231F20"/>
          <w:spacing w:val="-3"/>
          <w:w w:val="105"/>
        </w:rPr>
        <w:t>George,</w:t>
      </w:r>
      <w:r>
        <w:rPr>
          <w:color w:val="231F20"/>
          <w:spacing w:val="-45"/>
          <w:w w:val="105"/>
        </w:rPr>
        <w:t> </w:t>
      </w:r>
      <w:r>
        <w:rPr>
          <w:color w:val="231F20"/>
          <w:spacing w:val="-5"/>
          <w:w w:val="105"/>
        </w:rPr>
        <w:t>Preethy,</w:t>
      </w:r>
      <w:r>
        <w:rPr>
          <w:color w:val="231F20"/>
          <w:spacing w:val="-45"/>
          <w:w w:val="105"/>
        </w:rPr>
        <w:t> </w:t>
      </w:r>
      <w:r>
        <w:rPr>
          <w:color w:val="231F20"/>
          <w:spacing w:val="-4"/>
          <w:w w:val="105"/>
        </w:rPr>
        <w:t>Fab- </w:t>
      </w:r>
      <w:r>
        <w:rPr>
          <w:color w:val="231F20"/>
          <w:spacing w:val="-3"/>
          <w:w w:val="105"/>
        </w:rPr>
        <w:t>rett,</w:t>
      </w:r>
      <w:r>
        <w:rPr>
          <w:color w:val="231F20"/>
          <w:spacing w:val="-8"/>
          <w:w w:val="105"/>
        </w:rPr>
        <w:t> </w:t>
      </w:r>
      <w:r>
        <w:rPr>
          <w:color w:val="231F20"/>
          <w:spacing w:val="-3"/>
          <w:w w:val="105"/>
        </w:rPr>
        <w:t>Fairlee,</w:t>
      </w:r>
      <w:r>
        <w:rPr>
          <w:color w:val="231F20"/>
          <w:spacing w:val="-8"/>
          <w:w w:val="105"/>
        </w:rPr>
        <w:t> </w:t>
      </w:r>
      <w:r>
        <w:rPr>
          <w:color w:val="231F20"/>
          <w:w w:val="105"/>
        </w:rPr>
        <w:t>Millsap,</w:t>
      </w:r>
      <w:r>
        <w:rPr>
          <w:color w:val="231F20"/>
          <w:spacing w:val="-8"/>
          <w:w w:val="105"/>
        </w:rPr>
        <w:t> </w:t>
      </w:r>
      <w:r>
        <w:rPr>
          <w:color w:val="231F20"/>
          <w:w w:val="105"/>
        </w:rPr>
        <w:t>Roger</w:t>
      </w:r>
      <w:r>
        <w:rPr>
          <w:color w:val="231F20"/>
          <w:spacing w:val="-3"/>
          <w:w w:val="105"/>
        </w:rPr>
        <w:t> </w:t>
      </w:r>
      <w:r>
        <w:rPr>
          <w:color w:val="231F20"/>
          <w:w w:val="105"/>
        </w:rPr>
        <w:t>and</w:t>
      </w:r>
      <w:r>
        <w:rPr>
          <w:color w:val="231F20"/>
          <w:spacing w:val="-3"/>
          <w:w w:val="105"/>
        </w:rPr>
        <w:t> </w:t>
      </w:r>
      <w:r>
        <w:rPr>
          <w:color w:val="231F20"/>
          <w:w w:val="105"/>
        </w:rPr>
        <w:t>Dumka,</w:t>
      </w:r>
      <w:r>
        <w:rPr>
          <w:color w:val="231F20"/>
          <w:spacing w:val="-8"/>
          <w:w w:val="105"/>
        </w:rPr>
        <w:t> </w:t>
      </w:r>
      <w:r>
        <w:rPr>
          <w:color w:val="231F20"/>
          <w:spacing w:val="-3"/>
          <w:w w:val="105"/>
        </w:rPr>
        <w:t>Larry,</w:t>
      </w:r>
      <w:r>
        <w:rPr>
          <w:color w:val="231F20"/>
          <w:spacing w:val="-8"/>
          <w:w w:val="105"/>
        </w:rPr>
        <w:t> </w:t>
      </w:r>
      <w:r>
        <w:rPr>
          <w:color w:val="231F20"/>
          <w:w w:val="105"/>
        </w:rPr>
        <w:t>(2008),</w:t>
      </w:r>
      <w:r>
        <w:rPr>
          <w:color w:val="231F20"/>
          <w:spacing w:val="-8"/>
          <w:w w:val="105"/>
        </w:rPr>
        <w:t> </w:t>
      </w:r>
      <w:r>
        <w:rPr>
          <w:color w:val="231F20"/>
          <w:w w:val="105"/>
        </w:rPr>
        <w:t>“</w:t>
      </w:r>
      <w:r>
        <w:rPr>
          <w:color w:val="231F20"/>
          <w:spacing w:val="-3"/>
          <w:w w:val="105"/>
        </w:rPr>
        <w:t> Mexican </w:t>
      </w:r>
      <w:r>
        <w:rPr>
          <w:color w:val="231F20"/>
          <w:w w:val="105"/>
        </w:rPr>
        <w:t>American</w:t>
      </w:r>
      <w:r>
        <w:rPr>
          <w:color w:val="231F20"/>
          <w:spacing w:val="-33"/>
          <w:w w:val="105"/>
        </w:rPr>
        <w:t> </w:t>
      </w:r>
      <w:r>
        <w:rPr>
          <w:color w:val="231F20"/>
          <w:w w:val="105"/>
        </w:rPr>
        <w:t>adolescents’</w:t>
      </w:r>
      <w:r>
        <w:rPr>
          <w:color w:val="231F20"/>
          <w:spacing w:val="-33"/>
          <w:w w:val="105"/>
        </w:rPr>
        <w:t> </w:t>
      </w:r>
      <w:r>
        <w:rPr>
          <w:color w:val="231F20"/>
          <w:w w:val="105"/>
        </w:rPr>
        <w:t>cultural</w:t>
      </w:r>
      <w:r>
        <w:rPr>
          <w:color w:val="231F20"/>
          <w:spacing w:val="-33"/>
          <w:w w:val="105"/>
        </w:rPr>
        <w:t> </w:t>
      </w:r>
      <w:r>
        <w:rPr>
          <w:color w:val="231F20"/>
          <w:spacing w:val="-2"/>
          <w:w w:val="105"/>
        </w:rPr>
        <w:t>orientation,</w:t>
      </w:r>
      <w:r>
        <w:rPr>
          <w:color w:val="231F20"/>
          <w:spacing w:val="-37"/>
          <w:w w:val="105"/>
        </w:rPr>
        <w:t> </w:t>
      </w:r>
      <w:r>
        <w:rPr>
          <w:color w:val="231F20"/>
          <w:w w:val="105"/>
        </w:rPr>
        <w:t>externalizing</w:t>
      </w:r>
      <w:r>
        <w:rPr>
          <w:color w:val="231F20"/>
          <w:spacing w:val="-33"/>
          <w:w w:val="105"/>
        </w:rPr>
        <w:t> </w:t>
      </w:r>
      <w:r>
        <w:rPr>
          <w:color w:val="231F20"/>
          <w:w w:val="105"/>
        </w:rPr>
        <w:t>behavior and</w:t>
      </w:r>
      <w:r>
        <w:rPr>
          <w:color w:val="231F20"/>
          <w:spacing w:val="-30"/>
          <w:w w:val="105"/>
        </w:rPr>
        <w:t> </w:t>
      </w:r>
      <w:r>
        <w:rPr>
          <w:color w:val="231F20"/>
          <w:w w:val="105"/>
        </w:rPr>
        <w:t>academic</w:t>
      </w:r>
      <w:r>
        <w:rPr>
          <w:color w:val="231F20"/>
          <w:spacing w:val="-30"/>
          <w:w w:val="105"/>
        </w:rPr>
        <w:t> </w:t>
      </w:r>
      <w:r>
        <w:rPr>
          <w:color w:val="231F20"/>
          <w:w w:val="105"/>
        </w:rPr>
        <w:t>engagement:</w:t>
      </w:r>
      <w:r>
        <w:rPr>
          <w:color w:val="231F20"/>
          <w:spacing w:val="-33"/>
          <w:w w:val="105"/>
        </w:rPr>
        <w:t> </w:t>
      </w:r>
      <w:r>
        <w:rPr>
          <w:color w:val="231F20"/>
          <w:spacing w:val="-3"/>
          <w:w w:val="105"/>
        </w:rPr>
        <w:t>The</w:t>
      </w:r>
      <w:r>
        <w:rPr>
          <w:color w:val="231F20"/>
          <w:spacing w:val="-30"/>
          <w:w w:val="105"/>
        </w:rPr>
        <w:t> </w:t>
      </w:r>
      <w:r>
        <w:rPr>
          <w:color w:val="231F20"/>
          <w:spacing w:val="-3"/>
          <w:w w:val="105"/>
        </w:rPr>
        <w:t>role</w:t>
      </w:r>
      <w:r>
        <w:rPr>
          <w:color w:val="231F20"/>
          <w:spacing w:val="-30"/>
          <w:w w:val="105"/>
        </w:rPr>
        <w:t> </w:t>
      </w:r>
      <w:r>
        <w:rPr>
          <w:color w:val="231F20"/>
          <w:w w:val="105"/>
        </w:rPr>
        <w:t>of</w:t>
      </w:r>
      <w:r>
        <w:rPr>
          <w:color w:val="231F20"/>
          <w:spacing w:val="-26"/>
          <w:w w:val="105"/>
        </w:rPr>
        <w:t> </w:t>
      </w:r>
      <w:r>
        <w:rPr>
          <w:color w:val="231F20"/>
          <w:w w:val="105"/>
        </w:rPr>
        <w:t>traditional</w:t>
      </w:r>
      <w:r>
        <w:rPr>
          <w:color w:val="231F20"/>
          <w:spacing w:val="-30"/>
          <w:w w:val="105"/>
        </w:rPr>
        <w:t> </w:t>
      </w:r>
      <w:r>
        <w:rPr>
          <w:color w:val="231F20"/>
          <w:w w:val="105"/>
        </w:rPr>
        <w:t>cultural</w:t>
      </w:r>
      <w:r>
        <w:rPr>
          <w:color w:val="231F20"/>
          <w:spacing w:val="-30"/>
          <w:w w:val="105"/>
        </w:rPr>
        <w:t> </w:t>
      </w:r>
      <w:r>
        <w:rPr>
          <w:color w:val="231F20"/>
          <w:spacing w:val="-5"/>
          <w:w w:val="105"/>
        </w:rPr>
        <w:t>values”, </w:t>
      </w:r>
      <w:r>
        <w:rPr>
          <w:rFonts w:ascii="Arial" w:hAnsi="Arial"/>
          <w:i/>
          <w:color w:val="231F20"/>
          <w:w w:val="105"/>
        </w:rPr>
        <w:t>American</w:t>
      </w:r>
      <w:r>
        <w:rPr>
          <w:rFonts w:ascii="Arial" w:hAnsi="Arial"/>
          <w:i/>
          <w:color w:val="231F20"/>
          <w:spacing w:val="-37"/>
          <w:w w:val="105"/>
        </w:rPr>
        <w:t> </w:t>
      </w:r>
      <w:r>
        <w:rPr>
          <w:rFonts w:ascii="Arial" w:hAnsi="Arial"/>
          <w:i/>
          <w:color w:val="231F20"/>
          <w:w w:val="105"/>
        </w:rPr>
        <w:t>Journal</w:t>
      </w:r>
      <w:r>
        <w:rPr>
          <w:rFonts w:ascii="Arial" w:hAnsi="Arial"/>
          <w:i/>
          <w:color w:val="231F20"/>
          <w:spacing w:val="-36"/>
          <w:w w:val="105"/>
        </w:rPr>
        <w:t> </w:t>
      </w:r>
      <w:r>
        <w:rPr>
          <w:rFonts w:ascii="Arial" w:hAnsi="Arial"/>
          <w:i/>
          <w:color w:val="231F20"/>
          <w:w w:val="105"/>
        </w:rPr>
        <w:t>of</w:t>
      </w:r>
      <w:r>
        <w:rPr>
          <w:rFonts w:ascii="Arial" w:hAnsi="Arial"/>
          <w:i/>
          <w:color w:val="231F20"/>
          <w:spacing w:val="-33"/>
          <w:w w:val="105"/>
        </w:rPr>
        <w:t> </w:t>
      </w:r>
      <w:r>
        <w:rPr>
          <w:rFonts w:ascii="Arial" w:hAnsi="Arial"/>
          <w:i/>
          <w:color w:val="231F20"/>
          <w:spacing w:val="-2"/>
          <w:w w:val="105"/>
        </w:rPr>
        <w:t>Community</w:t>
      </w:r>
      <w:r>
        <w:rPr>
          <w:rFonts w:ascii="Arial" w:hAnsi="Arial"/>
          <w:i/>
          <w:color w:val="231F20"/>
          <w:spacing w:val="-36"/>
          <w:w w:val="105"/>
        </w:rPr>
        <w:t> </w:t>
      </w:r>
      <w:r>
        <w:rPr>
          <w:rFonts w:ascii="Arial" w:hAnsi="Arial"/>
          <w:i/>
          <w:color w:val="231F20"/>
          <w:spacing w:val="-3"/>
          <w:w w:val="105"/>
        </w:rPr>
        <w:t>Psychology</w:t>
      </w:r>
      <w:r>
        <w:rPr>
          <w:color w:val="231F20"/>
          <w:spacing w:val="-3"/>
          <w:w w:val="105"/>
        </w:rPr>
        <w:t>,</w:t>
      </w:r>
      <w:r>
        <w:rPr>
          <w:color w:val="231F20"/>
          <w:spacing w:val="-36"/>
          <w:w w:val="105"/>
        </w:rPr>
        <w:t> </w:t>
      </w:r>
      <w:r>
        <w:rPr>
          <w:color w:val="231F20"/>
          <w:w w:val="105"/>
        </w:rPr>
        <w:t>vol.</w:t>
      </w:r>
      <w:r>
        <w:rPr>
          <w:color w:val="231F20"/>
          <w:spacing w:val="-36"/>
          <w:w w:val="105"/>
        </w:rPr>
        <w:t> </w:t>
      </w:r>
      <w:r>
        <w:rPr>
          <w:color w:val="231F20"/>
          <w:w w:val="105"/>
        </w:rPr>
        <w:t>41,</w:t>
      </w:r>
      <w:r>
        <w:rPr>
          <w:color w:val="231F20"/>
          <w:spacing w:val="-36"/>
          <w:w w:val="105"/>
        </w:rPr>
        <w:t> </w:t>
      </w:r>
      <w:r>
        <w:rPr>
          <w:color w:val="231F20"/>
          <w:w w:val="105"/>
        </w:rPr>
        <w:t>num.</w:t>
      </w:r>
      <w:r>
        <w:rPr>
          <w:color w:val="231F20"/>
          <w:spacing w:val="-36"/>
          <w:w w:val="105"/>
        </w:rPr>
        <w:t> </w:t>
      </w:r>
      <w:r>
        <w:rPr>
          <w:color w:val="231F20"/>
          <w:w w:val="105"/>
        </w:rPr>
        <w:t>1-2.</w:t>
      </w:r>
    </w:p>
    <w:p>
      <w:pPr>
        <w:pStyle w:val="BodyText"/>
        <w:spacing w:line="261" w:lineRule="auto"/>
        <w:ind w:left="2574" w:right="1712" w:hanging="738"/>
        <w:jc w:val="both"/>
      </w:pPr>
      <w:r>
        <w:rPr>
          <w:color w:val="231F20"/>
          <w:w w:val="105"/>
        </w:rPr>
        <w:t>Gonzales,</w:t>
      </w:r>
      <w:r>
        <w:rPr>
          <w:color w:val="231F20"/>
          <w:spacing w:val="-31"/>
          <w:w w:val="105"/>
        </w:rPr>
        <w:t> </w:t>
      </w:r>
      <w:r>
        <w:rPr>
          <w:color w:val="231F20"/>
          <w:w w:val="105"/>
        </w:rPr>
        <w:t>Roberto,</w:t>
      </w:r>
      <w:r>
        <w:rPr>
          <w:color w:val="231F20"/>
          <w:spacing w:val="-31"/>
          <w:w w:val="105"/>
        </w:rPr>
        <w:t> </w:t>
      </w:r>
      <w:r>
        <w:rPr>
          <w:color w:val="231F20"/>
          <w:w w:val="105"/>
        </w:rPr>
        <w:t>(2007),</w:t>
      </w:r>
      <w:r>
        <w:rPr>
          <w:color w:val="231F20"/>
          <w:spacing w:val="-31"/>
          <w:w w:val="105"/>
        </w:rPr>
        <w:t> </w:t>
      </w:r>
      <w:r>
        <w:rPr>
          <w:color w:val="231F20"/>
          <w:w w:val="105"/>
        </w:rPr>
        <w:t>“Wasted</w:t>
      </w:r>
      <w:r>
        <w:rPr>
          <w:color w:val="231F20"/>
          <w:spacing w:val="-30"/>
          <w:w w:val="105"/>
        </w:rPr>
        <w:t> </w:t>
      </w:r>
      <w:r>
        <w:rPr>
          <w:color w:val="231F20"/>
          <w:spacing w:val="-4"/>
          <w:w w:val="105"/>
        </w:rPr>
        <w:t>Talent</w:t>
      </w:r>
      <w:r>
        <w:rPr>
          <w:color w:val="231F20"/>
          <w:spacing w:val="-27"/>
          <w:w w:val="105"/>
        </w:rPr>
        <w:t> </w:t>
      </w:r>
      <w:r>
        <w:rPr>
          <w:color w:val="231F20"/>
          <w:w w:val="105"/>
        </w:rPr>
        <w:t>and</w:t>
      </w:r>
      <w:r>
        <w:rPr>
          <w:color w:val="231F20"/>
          <w:spacing w:val="-27"/>
          <w:w w:val="105"/>
        </w:rPr>
        <w:t> </w:t>
      </w:r>
      <w:r>
        <w:rPr>
          <w:color w:val="231F20"/>
          <w:w w:val="105"/>
        </w:rPr>
        <w:t>Broken</w:t>
      </w:r>
      <w:r>
        <w:rPr>
          <w:color w:val="231F20"/>
          <w:spacing w:val="-27"/>
          <w:w w:val="105"/>
        </w:rPr>
        <w:t> </w:t>
      </w:r>
      <w:r>
        <w:rPr>
          <w:color w:val="231F20"/>
          <w:w w:val="105"/>
        </w:rPr>
        <w:t>Dreams:</w:t>
      </w:r>
      <w:r>
        <w:rPr>
          <w:color w:val="231F20"/>
          <w:spacing w:val="-30"/>
          <w:w w:val="105"/>
        </w:rPr>
        <w:t> </w:t>
      </w:r>
      <w:r>
        <w:rPr>
          <w:color w:val="231F20"/>
          <w:w w:val="105"/>
        </w:rPr>
        <w:t>The</w:t>
      </w:r>
      <w:r>
        <w:rPr>
          <w:color w:val="231F20"/>
          <w:spacing w:val="-27"/>
          <w:w w:val="105"/>
        </w:rPr>
        <w:t> </w:t>
      </w:r>
      <w:r>
        <w:rPr>
          <w:color w:val="231F20"/>
          <w:w w:val="105"/>
        </w:rPr>
        <w:t>Lost Potential</w:t>
      </w:r>
      <w:r>
        <w:rPr>
          <w:color w:val="231F20"/>
          <w:spacing w:val="-42"/>
          <w:w w:val="105"/>
        </w:rPr>
        <w:t> </w:t>
      </w:r>
      <w:r>
        <w:rPr>
          <w:color w:val="231F20"/>
          <w:w w:val="105"/>
        </w:rPr>
        <w:t>of</w:t>
      </w:r>
      <w:r>
        <w:rPr>
          <w:color w:val="231F20"/>
          <w:spacing w:val="-40"/>
          <w:w w:val="105"/>
        </w:rPr>
        <w:t> </w:t>
      </w:r>
      <w:r>
        <w:rPr>
          <w:color w:val="231F20"/>
          <w:w w:val="105"/>
        </w:rPr>
        <w:t>Undocumented</w:t>
      </w:r>
      <w:r>
        <w:rPr>
          <w:color w:val="231F20"/>
          <w:spacing w:val="-42"/>
          <w:w w:val="105"/>
        </w:rPr>
        <w:t> </w:t>
      </w:r>
      <w:r>
        <w:rPr>
          <w:color w:val="231F20"/>
          <w:spacing w:val="-3"/>
          <w:w w:val="105"/>
        </w:rPr>
        <w:t>Students”,</w:t>
      </w:r>
      <w:r>
        <w:rPr>
          <w:color w:val="231F20"/>
          <w:spacing w:val="-46"/>
          <w:w w:val="105"/>
        </w:rPr>
        <w:t> </w:t>
      </w:r>
      <w:r>
        <w:rPr>
          <w:rFonts w:ascii="Arial" w:hAnsi="Arial"/>
          <w:i/>
          <w:color w:val="231F20"/>
          <w:w w:val="105"/>
        </w:rPr>
        <w:t>Immigration</w:t>
      </w:r>
      <w:r>
        <w:rPr>
          <w:rFonts w:ascii="Arial" w:hAnsi="Arial"/>
          <w:i/>
          <w:color w:val="231F20"/>
          <w:spacing w:val="-45"/>
          <w:w w:val="105"/>
        </w:rPr>
        <w:t> </w:t>
      </w:r>
      <w:r>
        <w:rPr>
          <w:rFonts w:ascii="Arial" w:hAnsi="Arial"/>
          <w:i/>
          <w:color w:val="231F20"/>
          <w:spacing w:val="-3"/>
          <w:w w:val="105"/>
        </w:rPr>
        <w:t>Policy</w:t>
      </w:r>
      <w:r>
        <w:rPr>
          <w:rFonts w:ascii="Arial" w:hAnsi="Arial"/>
          <w:i/>
          <w:color w:val="231F20"/>
          <w:spacing w:val="-45"/>
          <w:w w:val="105"/>
        </w:rPr>
        <w:t> </w:t>
      </w:r>
      <w:r>
        <w:rPr>
          <w:rFonts w:ascii="Arial" w:hAnsi="Arial"/>
          <w:i/>
          <w:color w:val="231F20"/>
          <w:w w:val="105"/>
        </w:rPr>
        <w:t>in</w:t>
      </w:r>
      <w:r>
        <w:rPr>
          <w:rFonts w:ascii="Arial" w:hAnsi="Arial"/>
          <w:i/>
          <w:color w:val="231F20"/>
          <w:spacing w:val="-45"/>
          <w:w w:val="105"/>
        </w:rPr>
        <w:t> </w:t>
      </w:r>
      <w:r>
        <w:rPr>
          <w:rFonts w:ascii="Arial" w:hAnsi="Arial"/>
          <w:i/>
          <w:color w:val="231F20"/>
          <w:w w:val="105"/>
        </w:rPr>
        <w:t>Focus</w:t>
      </w:r>
      <w:r>
        <w:rPr>
          <w:color w:val="231F20"/>
          <w:w w:val="105"/>
        </w:rPr>
        <w:t>, vol. 5, num. 13, retrieved from http://www.immigrationpolicy. </w:t>
      </w:r>
      <w:r>
        <w:rPr>
          <w:color w:val="231F20"/>
          <w:spacing w:val="10"/>
        </w:rPr>
        <w:t>org/sites/default/files/docs/Wasted%20Talent%20and%20 </w:t>
      </w:r>
      <w:r>
        <w:rPr>
          <w:color w:val="231F20"/>
          <w:w w:val="105"/>
        </w:rPr>
        <w:t>Broken%20Dreams.pdf</w:t>
      </w:r>
    </w:p>
    <w:p>
      <w:pPr>
        <w:pStyle w:val="BodyText"/>
        <w:tabs>
          <w:tab w:pos="2677" w:val="left" w:leader="none"/>
        </w:tabs>
        <w:spacing w:line="259" w:lineRule="auto" w:before="1"/>
        <w:ind w:left="2574" w:right="1721" w:hanging="738"/>
        <w:jc w:val="both"/>
      </w:pPr>
      <w:r>
        <w:rPr>
          <w:color w:val="231F20"/>
          <w:w w:val="94"/>
          <w:u w:val="single" w:color="221E1F"/>
        </w:rPr>
        <w:t> </w:t>
      </w:r>
      <w:r>
        <w:rPr>
          <w:color w:val="231F20"/>
          <w:u w:val="single" w:color="221E1F"/>
        </w:rPr>
        <w:tab/>
        <w:tab/>
      </w:r>
      <w:r>
        <w:rPr>
          <w:color w:val="231F20"/>
          <w:spacing w:val="2"/>
        </w:rPr>
        <w:t> </w:t>
      </w:r>
      <w:r>
        <w:rPr>
          <w:color w:val="231F20"/>
          <w:w w:val="105"/>
        </w:rPr>
        <w:t>(2011), “Learning to be illegal: Undocumented youth</w:t>
      </w:r>
      <w:r>
        <w:rPr>
          <w:color w:val="231F20"/>
          <w:spacing w:val="-28"/>
          <w:w w:val="105"/>
        </w:rPr>
        <w:t> </w:t>
      </w:r>
      <w:r>
        <w:rPr>
          <w:color w:val="231F20"/>
          <w:w w:val="105"/>
        </w:rPr>
        <w:t>and</w:t>
      </w:r>
      <w:r>
        <w:rPr>
          <w:color w:val="231F20"/>
          <w:spacing w:val="-4"/>
          <w:w w:val="105"/>
        </w:rPr>
        <w:t> </w:t>
      </w:r>
      <w:r>
        <w:rPr>
          <w:color w:val="231F20"/>
          <w:w w:val="105"/>
        </w:rPr>
        <w:t>shift-</w:t>
      </w:r>
      <w:r>
        <w:rPr>
          <w:color w:val="231F20"/>
          <w:w w:val="96"/>
        </w:rPr>
        <w:t> </w:t>
      </w:r>
      <w:r>
        <w:rPr>
          <w:color w:val="231F20"/>
          <w:w w:val="105"/>
        </w:rPr>
        <w:t>ing</w:t>
      </w:r>
      <w:r>
        <w:rPr>
          <w:color w:val="231F20"/>
          <w:spacing w:val="-14"/>
          <w:w w:val="105"/>
        </w:rPr>
        <w:t> </w:t>
      </w:r>
      <w:r>
        <w:rPr>
          <w:color w:val="231F20"/>
          <w:w w:val="105"/>
        </w:rPr>
        <w:t>legal</w:t>
      </w:r>
      <w:r>
        <w:rPr>
          <w:color w:val="231F20"/>
          <w:spacing w:val="-14"/>
          <w:w w:val="105"/>
        </w:rPr>
        <w:t> </w:t>
      </w:r>
      <w:r>
        <w:rPr>
          <w:color w:val="231F20"/>
          <w:w w:val="105"/>
        </w:rPr>
        <w:t>contexts</w:t>
      </w:r>
      <w:r>
        <w:rPr>
          <w:color w:val="231F20"/>
          <w:spacing w:val="-14"/>
          <w:w w:val="105"/>
        </w:rPr>
        <w:t> </w:t>
      </w:r>
      <w:r>
        <w:rPr>
          <w:color w:val="231F20"/>
          <w:w w:val="105"/>
        </w:rPr>
        <w:t>in</w:t>
      </w:r>
      <w:r>
        <w:rPr>
          <w:color w:val="231F20"/>
          <w:spacing w:val="-14"/>
          <w:w w:val="105"/>
        </w:rPr>
        <w:t> </w:t>
      </w:r>
      <w:r>
        <w:rPr>
          <w:color w:val="231F20"/>
          <w:w w:val="105"/>
        </w:rPr>
        <w:t>the</w:t>
      </w:r>
      <w:r>
        <w:rPr>
          <w:color w:val="231F20"/>
          <w:spacing w:val="-14"/>
          <w:w w:val="105"/>
        </w:rPr>
        <w:t> </w:t>
      </w:r>
      <w:r>
        <w:rPr>
          <w:color w:val="231F20"/>
          <w:w w:val="105"/>
        </w:rPr>
        <w:t>transition</w:t>
      </w:r>
      <w:r>
        <w:rPr>
          <w:color w:val="231F20"/>
          <w:spacing w:val="-14"/>
          <w:w w:val="105"/>
        </w:rPr>
        <w:t> </w:t>
      </w:r>
      <w:r>
        <w:rPr>
          <w:color w:val="231F20"/>
          <w:w w:val="105"/>
        </w:rPr>
        <w:t>to</w:t>
      </w:r>
      <w:r>
        <w:rPr>
          <w:color w:val="231F20"/>
          <w:spacing w:val="-14"/>
          <w:w w:val="105"/>
        </w:rPr>
        <w:t> </w:t>
      </w:r>
      <w:r>
        <w:rPr>
          <w:color w:val="231F20"/>
          <w:spacing w:val="-3"/>
          <w:w w:val="105"/>
        </w:rPr>
        <w:t>adulthood”,</w:t>
      </w:r>
      <w:r>
        <w:rPr>
          <w:color w:val="231F20"/>
          <w:spacing w:val="-20"/>
          <w:w w:val="105"/>
        </w:rPr>
        <w:t> </w:t>
      </w:r>
      <w:r>
        <w:rPr>
          <w:rFonts w:ascii="Arial" w:hAnsi="Arial"/>
          <w:i/>
          <w:color w:val="231F20"/>
          <w:w w:val="105"/>
        </w:rPr>
        <w:t>American</w:t>
      </w:r>
      <w:r>
        <w:rPr>
          <w:rFonts w:ascii="Arial" w:hAnsi="Arial"/>
          <w:i/>
          <w:color w:val="231F20"/>
          <w:spacing w:val="-17"/>
          <w:w w:val="105"/>
        </w:rPr>
        <w:t> </w:t>
      </w:r>
      <w:r>
        <w:rPr>
          <w:rFonts w:ascii="Arial" w:hAnsi="Arial"/>
          <w:i/>
          <w:color w:val="231F20"/>
          <w:w w:val="105"/>
        </w:rPr>
        <w:t>Socio- </w:t>
      </w:r>
      <w:r>
        <w:rPr>
          <w:rFonts w:ascii="Arial" w:hAnsi="Arial"/>
          <w:i/>
          <w:color w:val="231F20"/>
          <w:w w:val="105"/>
        </w:rPr>
        <w:t>logical</w:t>
      </w:r>
      <w:r>
        <w:rPr>
          <w:rFonts w:ascii="Arial" w:hAnsi="Arial"/>
          <w:i/>
          <w:color w:val="231F20"/>
          <w:spacing w:val="-28"/>
          <w:w w:val="105"/>
        </w:rPr>
        <w:t> </w:t>
      </w:r>
      <w:r>
        <w:rPr>
          <w:rFonts w:ascii="Arial" w:hAnsi="Arial"/>
          <w:i/>
          <w:color w:val="231F20"/>
          <w:w w:val="105"/>
        </w:rPr>
        <w:t>Review</w:t>
      </w:r>
      <w:r>
        <w:rPr>
          <w:color w:val="231F20"/>
          <w:w w:val="105"/>
        </w:rPr>
        <w:t>,</w:t>
      </w:r>
      <w:r>
        <w:rPr>
          <w:color w:val="231F20"/>
          <w:spacing w:val="-29"/>
          <w:w w:val="105"/>
        </w:rPr>
        <w:t> </w:t>
      </w:r>
      <w:r>
        <w:rPr>
          <w:color w:val="231F20"/>
          <w:w w:val="105"/>
        </w:rPr>
        <w:t>vol.</w:t>
      </w:r>
      <w:r>
        <w:rPr>
          <w:color w:val="231F20"/>
          <w:spacing w:val="-29"/>
          <w:w w:val="105"/>
        </w:rPr>
        <w:t> </w:t>
      </w:r>
      <w:r>
        <w:rPr>
          <w:color w:val="231F20"/>
          <w:w w:val="105"/>
        </w:rPr>
        <w:t>76,</w:t>
      </w:r>
      <w:r>
        <w:rPr>
          <w:color w:val="231F20"/>
          <w:spacing w:val="-29"/>
          <w:w w:val="105"/>
        </w:rPr>
        <w:t> </w:t>
      </w:r>
      <w:r>
        <w:rPr>
          <w:color w:val="231F20"/>
          <w:w w:val="105"/>
        </w:rPr>
        <w:t>num.</w:t>
      </w:r>
      <w:r>
        <w:rPr>
          <w:color w:val="231F20"/>
          <w:spacing w:val="-29"/>
          <w:w w:val="105"/>
        </w:rPr>
        <w:t> </w:t>
      </w:r>
      <w:r>
        <w:rPr>
          <w:color w:val="231F20"/>
          <w:w w:val="105"/>
        </w:rPr>
        <w:t>4.</w:t>
      </w:r>
    </w:p>
    <w:p>
      <w:pPr>
        <w:pStyle w:val="BodyText"/>
        <w:spacing w:line="261" w:lineRule="auto" w:before="3"/>
        <w:ind w:left="2574" w:right="1721" w:hanging="738"/>
        <w:jc w:val="both"/>
      </w:pPr>
      <w:r>
        <w:rPr>
          <w:color w:val="231F20"/>
        </w:rPr>
        <w:t>Goyette, Kimberliy and Conchas, Gilberto, (2002), “Family and Non Fa- miliarly Roots of Social Capital Among Vietnamese and Mexican American Children”, </w:t>
      </w:r>
      <w:r>
        <w:rPr>
          <w:rFonts w:ascii="Arial" w:hAnsi="Arial"/>
          <w:i/>
          <w:color w:val="231F20"/>
        </w:rPr>
        <w:t>Research in Sociology of Education</w:t>
      </w:r>
      <w:r>
        <w:rPr>
          <w:color w:val="231F20"/>
        </w:rPr>
        <w:t>, vol.  13.</w:t>
      </w:r>
    </w:p>
    <w:p>
      <w:pPr>
        <w:pStyle w:val="BodyText"/>
        <w:spacing w:line="261" w:lineRule="auto"/>
        <w:ind w:left="2574" w:right="1721" w:hanging="738"/>
        <w:jc w:val="both"/>
      </w:pPr>
      <w:r>
        <w:rPr>
          <w:color w:val="231F20"/>
          <w:w w:val="105"/>
        </w:rPr>
        <w:t>Halle,</w:t>
      </w:r>
      <w:r>
        <w:rPr>
          <w:color w:val="231F20"/>
          <w:spacing w:val="-30"/>
          <w:w w:val="105"/>
        </w:rPr>
        <w:t> </w:t>
      </w:r>
      <w:r>
        <w:rPr>
          <w:color w:val="231F20"/>
          <w:spacing w:val="-4"/>
          <w:w w:val="105"/>
        </w:rPr>
        <w:t>Tamara,</w:t>
      </w:r>
      <w:r>
        <w:rPr>
          <w:color w:val="231F20"/>
          <w:spacing w:val="-27"/>
          <w:w w:val="105"/>
        </w:rPr>
        <w:t> </w:t>
      </w:r>
      <w:r>
        <w:rPr>
          <w:color w:val="231F20"/>
          <w:spacing w:val="-3"/>
          <w:w w:val="105"/>
        </w:rPr>
        <w:t>Hair,</w:t>
      </w:r>
      <w:r>
        <w:rPr>
          <w:color w:val="231F20"/>
          <w:spacing w:val="-27"/>
          <w:w w:val="105"/>
        </w:rPr>
        <w:t> </w:t>
      </w:r>
      <w:r>
        <w:rPr>
          <w:color w:val="231F20"/>
          <w:w w:val="105"/>
        </w:rPr>
        <w:t>Elizabeth,</w:t>
      </w:r>
      <w:r>
        <w:rPr>
          <w:color w:val="231F20"/>
          <w:spacing w:val="-28"/>
          <w:w w:val="105"/>
        </w:rPr>
        <w:t> </w:t>
      </w:r>
      <w:r>
        <w:rPr>
          <w:color w:val="231F20"/>
          <w:spacing w:val="-3"/>
          <w:w w:val="105"/>
        </w:rPr>
        <w:t>Wandner,</w:t>
      </w:r>
      <w:r>
        <w:rPr>
          <w:color w:val="231F20"/>
          <w:spacing w:val="-27"/>
          <w:w w:val="105"/>
        </w:rPr>
        <w:t> </w:t>
      </w:r>
      <w:r>
        <w:rPr>
          <w:color w:val="231F20"/>
          <w:w w:val="105"/>
        </w:rPr>
        <w:t>Laura,</w:t>
      </w:r>
      <w:r>
        <w:rPr>
          <w:color w:val="231F20"/>
          <w:spacing w:val="-27"/>
          <w:w w:val="105"/>
        </w:rPr>
        <w:t> </w:t>
      </w:r>
      <w:r>
        <w:rPr>
          <w:color w:val="231F20"/>
          <w:w w:val="105"/>
        </w:rPr>
        <w:t>McNamara,</w:t>
      </w:r>
      <w:r>
        <w:rPr>
          <w:color w:val="231F20"/>
          <w:spacing w:val="-27"/>
          <w:w w:val="105"/>
        </w:rPr>
        <w:t> </w:t>
      </w:r>
      <w:r>
        <w:rPr>
          <w:color w:val="231F20"/>
          <w:w w:val="105"/>
        </w:rPr>
        <w:t>Michelle</w:t>
      </w:r>
      <w:r>
        <w:rPr>
          <w:color w:val="231F20"/>
          <w:spacing w:val="-23"/>
          <w:w w:val="105"/>
        </w:rPr>
        <w:t> </w:t>
      </w:r>
      <w:r>
        <w:rPr>
          <w:color w:val="231F20"/>
          <w:w w:val="105"/>
        </w:rPr>
        <w:t>and Chien,</w:t>
      </w:r>
      <w:r>
        <w:rPr>
          <w:color w:val="231F20"/>
          <w:spacing w:val="-27"/>
          <w:w w:val="105"/>
        </w:rPr>
        <w:t> </w:t>
      </w:r>
      <w:r>
        <w:rPr>
          <w:color w:val="231F20"/>
          <w:w w:val="105"/>
        </w:rPr>
        <w:t>Nina,</w:t>
      </w:r>
      <w:r>
        <w:rPr>
          <w:color w:val="231F20"/>
          <w:spacing w:val="-27"/>
          <w:w w:val="105"/>
        </w:rPr>
        <w:t> </w:t>
      </w:r>
      <w:r>
        <w:rPr>
          <w:color w:val="231F20"/>
          <w:w w:val="105"/>
        </w:rPr>
        <w:t>(2012),</w:t>
      </w:r>
      <w:r>
        <w:rPr>
          <w:color w:val="231F20"/>
          <w:spacing w:val="-27"/>
          <w:w w:val="105"/>
        </w:rPr>
        <w:t> </w:t>
      </w:r>
      <w:r>
        <w:rPr>
          <w:color w:val="231F20"/>
          <w:w w:val="105"/>
        </w:rPr>
        <w:t>“Predictors</w:t>
      </w:r>
      <w:r>
        <w:rPr>
          <w:color w:val="231F20"/>
          <w:spacing w:val="-23"/>
          <w:w w:val="105"/>
        </w:rPr>
        <w:t> </w:t>
      </w:r>
      <w:r>
        <w:rPr>
          <w:color w:val="231F20"/>
          <w:w w:val="105"/>
        </w:rPr>
        <w:t>and</w:t>
      </w:r>
      <w:r>
        <w:rPr>
          <w:color w:val="231F20"/>
          <w:spacing w:val="-23"/>
          <w:w w:val="105"/>
        </w:rPr>
        <w:t> </w:t>
      </w:r>
      <w:r>
        <w:rPr>
          <w:color w:val="231F20"/>
          <w:w w:val="105"/>
        </w:rPr>
        <w:t>outcomes</w:t>
      </w:r>
      <w:r>
        <w:rPr>
          <w:color w:val="231F20"/>
          <w:spacing w:val="-23"/>
          <w:w w:val="105"/>
        </w:rPr>
        <w:t> </w:t>
      </w:r>
      <w:r>
        <w:rPr>
          <w:color w:val="231F20"/>
          <w:w w:val="105"/>
        </w:rPr>
        <w:t>of</w:t>
      </w:r>
      <w:r>
        <w:rPr>
          <w:color w:val="231F20"/>
          <w:spacing w:val="-20"/>
          <w:w w:val="105"/>
        </w:rPr>
        <w:t> </w:t>
      </w:r>
      <w:r>
        <w:rPr>
          <w:color w:val="231F20"/>
          <w:w w:val="105"/>
        </w:rPr>
        <w:t>early</w:t>
      </w:r>
      <w:r>
        <w:rPr>
          <w:color w:val="231F20"/>
          <w:spacing w:val="-23"/>
          <w:w w:val="105"/>
        </w:rPr>
        <w:t> </w:t>
      </w:r>
      <w:r>
        <w:rPr>
          <w:color w:val="231F20"/>
          <w:w w:val="105"/>
        </w:rPr>
        <w:t>versus</w:t>
      </w:r>
      <w:r>
        <w:rPr>
          <w:color w:val="231F20"/>
          <w:spacing w:val="-23"/>
          <w:w w:val="105"/>
        </w:rPr>
        <w:t> </w:t>
      </w:r>
      <w:r>
        <w:rPr>
          <w:color w:val="231F20"/>
          <w:w w:val="105"/>
        </w:rPr>
        <w:t>lat- er English language proficiency among English language learn- </w:t>
      </w:r>
      <w:r>
        <w:rPr>
          <w:color w:val="231F20"/>
          <w:spacing w:val="-6"/>
          <w:w w:val="105"/>
        </w:rPr>
        <w:t>ers”,</w:t>
      </w:r>
      <w:r>
        <w:rPr>
          <w:color w:val="231F20"/>
          <w:spacing w:val="-34"/>
          <w:w w:val="105"/>
        </w:rPr>
        <w:t> </w:t>
      </w:r>
      <w:r>
        <w:rPr>
          <w:rFonts w:ascii="Arial" w:hAnsi="Arial"/>
          <w:i/>
          <w:color w:val="231F20"/>
          <w:w w:val="105"/>
        </w:rPr>
        <w:t>Early</w:t>
      </w:r>
      <w:r>
        <w:rPr>
          <w:rFonts w:ascii="Arial" w:hAnsi="Arial"/>
          <w:i/>
          <w:color w:val="231F20"/>
          <w:spacing w:val="-33"/>
          <w:w w:val="105"/>
        </w:rPr>
        <w:t> </w:t>
      </w:r>
      <w:r>
        <w:rPr>
          <w:rFonts w:ascii="Arial" w:hAnsi="Arial"/>
          <w:i/>
          <w:color w:val="231F20"/>
          <w:w w:val="105"/>
        </w:rPr>
        <w:t>Childhood</w:t>
      </w:r>
      <w:r>
        <w:rPr>
          <w:rFonts w:ascii="Arial" w:hAnsi="Arial"/>
          <w:i/>
          <w:color w:val="231F20"/>
          <w:spacing w:val="-33"/>
          <w:w w:val="105"/>
        </w:rPr>
        <w:t> </w:t>
      </w:r>
      <w:r>
        <w:rPr>
          <w:rFonts w:ascii="Arial" w:hAnsi="Arial"/>
          <w:i/>
          <w:color w:val="231F20"/>
          <w:w w:val="105"/>
        </w:rPr>
        <w:t>Research</w:t>
      </w:r>
      <w:r>
        <w:rPr>
          <w:rFonts w:ascii="Arial" w:hAnsi="Arial"/>
          <w:i/>
          <w:color w:val="231F20"/>
          <w:spacing w:val="-33"/>
          <w:w w:val="105"/>
        </w:rPr>
        <w:t> </w:t>
      </w:r>
      <w:r>
        <w:rPr>
          <w:rFonts w:ascii="Arial" w:hAnsi="Arial"/>
          <w:i/>
          <w:color w:val="231F20"/>
          <w:w w:val="105"/>
        </w:rPr>
        <w:t>Quarterly</w:t>
      </w:r>
      <w:r>
        <w:rPr>
          <w:color w:val="231F20"/>
          <w:w w:val="105"/>
        </w:rPr>
        <w:t>,</w:t>
      </w:r>
      <w:r>
        <w:rPr>
          <w:color w:val="231F20"/>
          <w:spacing w:val="-34"/>
          <w:w w:val="105"/>
        </w:rPr>
        <w:t> </w:t>
      </w:r>
      <w:r>
        <w:rPr>
          <w:color w:val="231F20"/>
          <w:w w:val="105"/>
        </w:rPr>
        <w:t>vol.</w:t>
      </w:r>
      <w:r>
        <w:rPr>
          <w:color w:val="231F20"/>
          <w:spacing w:val="-34"/>
          <w:w w:val="105"/>
        </w:rPr>
        <w:t> </w:t>
      </w:r>
      <w:r>
        <w:rPr>
          <w:color w:val="231F20"/>
          <w:w w:val="105"/>
        </w:rPr>
        <w:t>27,</w:t>
      </w:r>
      <w:r>
        <w:rPr>
          <w:color w:val="231F20"/>
          <w:spacing w:val="-34"/>
          <w:w w:val="105"/>
        </w:rPr>
        <w:t> </w:t>
      </w:r>
      <w:r>
        <w:rPr>
          <w:color w:val="231F20"/>
          <w:w w:val="105"/>
        </w:rPr>
        <w:t>num.</w:t>
      </w:r>
      <w:r>
        <w:rPr>
          <w:color w:val="231F20"/>
          <w:spacing w:val="-34"/>
          <w:w w:val="105"/>
        </w:rPr>
        <w:t> </w:t>
      </w:r>
      <w:r>
        <w:rPr>
          <w:color w:val="231F20"/>
          <w:w w:val="105"/>
        </w:rPr>
        <w:t>1.</w:t>
      </w:r>
    </w:p>
    <w:p>
      <w:pPr>
        <w:pStyle w:val="BodyText"/>
        <w:spacing w:line="261" w:lineRule="auto"/>
        <w:ind w:left="2574" w:right="1715" w:hanging="738"/>
        <w:jc w:val="both"/>
      </w:pPr>
      <w:r>
        <w:rPr>
          <w:color w:val="231F20"/>
          <w:w w:val="105"/>
        </w:rPr>
        <w:t>Hao, Lingxin and Bonstead-Bruns, Melissa, (1998), “Parent-child differ- ences</w:t>
      </w:r>
      <w:r>
        <w:rPr>
          <w:color w:val="231F20"/>
          <w:spacing w:val="-17"/>
          <w:w w:val="105"/>
        </w:rPr>
        <w:t> </w:t>
      </w:r>
      <w:r>
        <w:rPr>
          <w:color w:val="231F20"/>
          <w:w w:val="105"/>
        </w:rPr>
        <w:t>in</w:t>
      </w:r>
      <w:r>
        <w:rPr>
          <w:color w:val="231F20"/>
          <w:spacing w:val="-17"/>
          <w:w w:val="105"/>
        </w:rPr>
        <w:t> </w:t>
      </w:r>
      <w:r>
        <w:rPr>
          <w:color w:val="231F20"/>
          <w:w w:val="105"/>
        </w:rPr>
        <w:t>educational</w:t>
      </w:r>
      <w:r>
        <w:rPr>
          <w:color w:val="231F20"/>
          <w:spacing w:val="-17"/>
          <w:w w:val="105"/>
        </w:rPr>
        <w:t> </w:t>
      </w:r>
      <w:r>
        <w:rPr>
          <w:color w:val="231F20"/>
          <w:w w:val="105"/>
        </w:rPr>
        <w:t>expectations</w:t>
      </w:r>
      <w:r>
        <w:rPr>
          <w:color w:val="231F20"/>
          <w:spacing w:val="-17"/>
          <w:w w:val="105"/>
        </w:rPr>
        <w:t> </w:t>
      </w:r>
      <w:r>
        <w:rPr>
          <w:color w:val="231F20"/>
          <w:w w:val="105"/>
        </w:rPr>
        <w:t>and</w:t>
      </w:r>
      <w:r>
        <w:rPr>
          <w:color w:val="231F20"/>
          <w:spacing w:val="-17"/>
          <w:w w:val="105"/>
        </w:rPr>
        <w:t> </w:t>
      </w:r>
      <w:r>
        <w:rPr>
          <w:color w:val="231F20"/>
          <w:w w:val="105"/>
        </w:rPr>
        <w:t>academic</w:t>
      </w:r>
      <w:r>
        <w:rPr>
          <w:color w:val="231F20"/>
          <w:spacing w:val="-17"/>
          <w:w w:val="105"/>
        </w:rPr>
        <w:t> </w:t>
      </w:r>
      <w:r>
        <w:rPr>
          <w:color w:val="231F20"/>
          <w:w w:val="105"/>
        </w:rPr>
        <w:t>achievement</w:t>
      </w:r>
      <w:r>
        <w:rPr>
          <w:color w:val="231F20"/>
          <w:spacing w:val="-17"/>
          <w:w w:val="105"/>
        </w:rPr>
        <w:t> </w:t>
      </w:r>
      <w:r>
        <w:rPr>
          <w:color w:val="231F20"/>
          <w:w w:val="105"/>
        </w:rPr>
        <w:t>of immigrant</w:t>
      </w:r>
      <w:r>
        <w:rPr>
          <w:color w:val="231F20"/>
          <w:spacing w:val="-23"/>
          <w:w w:val="105"/>
        </w:rPr>
        <w:t> </w:t>
      </w:r>
      <w:r>
        <w:rPr>
          <w:color w:val="231F20"/>
          <w:w w:val="105"/>
        </w:rPr>
        <w:t>and</w:t>
      </w:r>
      <w:r>
        <w:rPr>
          <w:color w:val="231F20"/>
          <w:spacing w:val="-23"/>
          <w:w w:val="105"/>
        </w:rPr>
        <w:t> </w:t>
      </w:r>
      <w:r>
        <w:rPr>
          <w:color w:val="231F20"/>
          <w:w w:val="105"/>
        </w:rPr>
        <w:t>native</w:t>
      </w:r>
      <w:r>
        <w:rPr>
          <w:color w:val="231F20"/>
          <w:spacing w:val="-23"/>
          <w:w w:val="105"/>
        </w:rPr>
        <w:t> </w:t>
      </w:r>
      <w:r>
        <w:rPr>
          <w:color w:val="231F20"/>
          <w:spacing w:val="-3"/>
          <w:w w:val="105"/>
        </w:rPr>
        <w:t>students”,</w:t>
      </w:r>
      <w:r>
        <w:rPr>
          <w:color w:val="231F20"/>
          <w:spacing w:val="-29"/>
          <w:w w:val="105"/>
        </w:rPr>
        <w:t> </w:t>
      </w:r>
      <w:r>
        <w:rPr>
          <w:color w:val="231F20"/>
          <w:w w:val="105"/>
        </w:rPr>
        <w:t>in</w:t>
      </w:r>
      <w:r>
        <w:rPr>
          <w:color w:val="231F20"/>
          <w:spacing w:val="-23"/>
          <w:w w:val="105"/>
        </w:rPr>
        <w:t> </w:t>
      </w:r>
      <w:r>
        <w:rPr>
          <w:rFonts w:ascii="Arial" w:hAnsi="Arial"/>
          <w:i/>
          <w:color w:val="231F20"/>
          <w:w w:val="105"/>
        </w:rPr>
        <w:t>Sociology</w:t>
      </w:r>
      <w:r>
        <w:rPr>
          <w:rFonts w:ascii="Arial" w:hAnsi="Arial"/>
          <w:i/>
          <w:color w:val="231F20"/>
          <w:spacing w:val="-26"/>
          <w:w w:val="105"/>
        </w:rPr>
        <w:t> </w:t>
      </w:r>
      <w:r>
        <w:rPr>
          <w:rFonts w:ascii="Arial" w:hAnsi="Arial"/>
          <w:i/>
          <w:color w:val="231F20"/>
          <w:w w:val="105"/>
        </w:rPr>
        <w:t>of</w:t>
      </w:r>
      <w:r>
        <w:rPr>
          <w:rFonts w:ascii="Arial" w:hAnsi="Arial"/>
          <w:i/>
          <w:color w:val="231F20"/>
          <w:spacing w:val="-22"/>
          <w:w w:val="105"/>
        </w:rPr>
        <w:t> </w:t>
      </w:r>
      <w:r>
        <w:rPr>
          <w:rFonts w:ascii="Arial" w:hAnsi="Arial"/>
          <w:i/>
          <w:color w:val="231F20"/>
          <w:w w:val="105"/>
        </w:rPr>
        <w:t>Education,</w:t>
      </w:r>
      <w:r>
        <w:rPr>
          <w:rFonts w:ascii="Arial" w:hAnsi="Arial"/>
          <w:i/>
          <w:color w:val="231F20"/>
          <w:spacing w:val="-31"/>
          <w:w w:val="105"/>
        </w:rPr>
        <w:t> </w:t>
      </w:r>
      <w:r>
        <w:rPr>
          <w:color w:val="231F20"/>
          <w:w w:val="105"/>
        </w:rPr>
        <w:t>vol.</w:t>
      </w:r>
      <w:r>
        <w:rPr>
          <w:color w:val="231F20"/>
          <w:spacing w:val="-28"/>
          <w:w w:val="105"/>
        </w:rPr>
        <w:t> </w:t>
      </w:r>
      <w:r>
        <w:rPr>
          <w:color w:val="231F20"/>
          <w:w w:val="105"/>
        </w:rPr>
        <w:t>71, num.</w:t>
      </w:r>
      <w:r>
        <w:rPr>
          <w:color w:val="231F20"/>
          <w:spacing w:val="-27"/>
          <w:w w:val="105"/>
        </w:rPr>
        <w:t> </w:t>
      </w:r>
      <w:r>
        <w:rPr>
          <w:color w:val="231F20"/>
          <w:w w:val="105"/>
        </w:rPr>
        <w:t>3.</w:t>
      </w:r>
    </w:p>
    <w:p>
      <w:pPr>
        <w:pStyle w:val="BodyText"/>
        <w:spacing w:line="259" w:lineRule="auto" w:before="1"/>
        <w:ind w:left="2574" w:right="1722" w:hanging="738"/>
        <w:jc w:val="both"/>
      </w:pPr>
      <w:r>
        <w:rPr>
          <w:color w:val="231F20"/>
          <w:spacing w:val="-3"/>
          <w:w w:val="105"/>
        </w:rPr>
        <w:t>Harker,</w:t>
      </w:r>
      <w:r>
        <w:rPr>
          <w:color w:val="231F20"/>
          <w:spacing w:val="-28"/>
          <w:w w:val="105"/>
        </w:rPr>
        <w:t> </w:t>
      </w:r>
      <w:r>
        <w:rPr>
          <w:color w:val="231F20"/>
          <w:w w:val="105"/>
        </w:rPr>
        <w:t>Kathryn,</w:t>
      </w:r>
      <w:r>
        <w:rPr>
          <w:color w:val="231F20"/>
          <w:spacing w:val="-28"/>
          <w:w w:val="105"/>
        </w:rPr>
        <w:t> </w:t>
      </w:r>
      <w:r>
        <w:rPr>
          <w:color w:val="231F20"/>
          <w:w w:val="105"/>
        </w:rPr>
        <w:t>(2001),</w:t>
      </w:r>
      <w:r>
        <w:rPr>
          <w:color w:val="231F20"/>
          <w:spacing w:val="-28"/>
          <w:w w:val="105"/>
        </w:rPr>
        <w:t> </w:t>
      </w:r>
      <w:r>
        <w:rPr>
          <w:color w:val="231F20"/>
          <w:w w:val="105"/>
        </w:rPr>
        <w:t>“Immigrant</w:t>
      </w:r>
      <w:r>
        <w:rPr>
          <w:color w:val="231F20"/>
          <w:spacing w:val="-25"/>
          <w:w w:val="105"/>
        </w:rPr>
        <w:t> </w:t>
      </w:r>
      <w:r>
        <w:rPr>
          <w:color w:val="231F20"/>
          <w:w w:val="105"/>
        </w:rPr>
        <w:t>generation,</w:t>
      </w:r>
      <w:r>
        <w:rPr>
          <w:color w:val="231F20"/>
          <w:spacing w:val="-28"/>
          <w:w w:val="105"/>
        </w:rPr>
        <w:t> </w:t>
      </w:r>
      <w:r>
        <w:rPr>
          <w:color w:val="231F20"/>
          <w:w w:val="105"/>
        </w:rPr>
        <w:t>assimilation,</w:t>
      </w:r>
      <w:r>
        <w:rPr>
          <w:color w:val="231F20"/>
          <w:spacing w:val="-28"/>
          <w:w w:val="105"/>
        </w:rPr>
        <w:t> </w:t>
      </w:r>
      <w:r>
        <w:rPr>
          <w:color w:val="231F20"/>
          <w:w w:val="105"/>
        </w:rPr>
        <w:t>and</w:t>
      </w:r>
      <w:r>
        <w:rPr>
          <w:color w:val="231F20"/>
          <w:spacing w:val="-25"/>
          <w:w w:val="105"/>
        </w:rPr>
        <w:t> </w:t>
      </w:r>
      <w:r>
        <w:rPr>
          <w:color w:val="231F20"/>
          <w:w w:val="105"/>
        </w:rPr>
        <w:t>adoles- cent</w:t>
      </w:r>
      <w:r>
        <w:rPr>
          <w:color w:val="231F20"/>
          <w:spacing w:val="-22"/>
          <w:w w:val="105"/>
        </w:rPr>
        <w:t> </w:t>
      </w:r>
      <w:r>
        <w:rPr>
          <w:color w:val="231F20"/>
          <w:w w:val="105"/>
        </w:rPr>
        <w:t>psychological</w:t>
      </w:r>
      <w:r>
        <w:rPr>
          <w:color w:val="231F20"/>
          <w:spacing w:val="-22"/>
          <w:w w:val="105"/>
        </w:rPr>
        <w:t> </w:t>
      </w:r>
      <w:r>
        <w:rPr>
          <w:color w:val="231F20"/>
          <w:spacing w:val="-3"/>
          <w:w w:val="105"/>
        </w:rPr>
        <w:t>well-being”,</w:t>
      </w:r>
      <w:r>
        <w:rPr>
          <w:color w:val="231F20"/>
          <w:spacing w:val="-26"/>
          <w:w w:val="105"/>
        </w:rPr>
        <w:t> </w:t>
      </w:r>
      <w:r>
        <w:rPr>
          <w:color w:val="231F20"/>
          <w:w w:val="105"/>
        </w:rPr>
        <w:t>Social</w:t>
      </w:r>
      <w:r>
        <w:rPr>
          <w:color w:val="231F20"/>
          <w:spacing w:val="-22"/>
          <w:w w:val="105"/>
        </w:rPr>
        <w:t> </w:t>
      </w:r>
      <w:r>
        <w:rPr>
          <w:rFonts w:ascii="Arial" w:hAnsi="Arial"/>
          <w:i/>
          <w:color w:val="231F20"/>
          <w:w w:val="105"/>
        </w:rPr>
        <w:t>Forces</w:t>
      </w:r>
      <w:r>
        <w:rPr>
          <w:color w:val="231F20"/>
          <w:w w:val="105"/>
        </w:rPr>
        <w:t>,</w:t>
      </w:r>
      <w:r>
        <w:rPr>
          <w:color w:val="231F20"/>
          <w:spacing w:val="-26"/>
          <w:w w:val="105"/>
        </w:rPr>
        <w:t> </w:t>
      </w:r>
      <w:r>
        <w:rPr>
          <w:color w:val="231F20"/>
          <w:w w:val="105"/>
        </w:rPr>
        <w:t>vol.</w:t>
      </w:r>
      <w:r>
        <w:rPr>
          <w:color w:val="231F20"/>
          <w:spacing w:val="-26"/>
          <w:w w:val="105"/>
        </w:rPr>
        <w:t> </w:t>
      </w:r>
      <w:r>
        <w:rPr>
          <w:color w:val="231F20"/>
          <w:w w:val="105"/>
        </w:rPr>
        <w:t>79,</w:t>
      </w:r>
      <w:r>
        <w:rPr>
          <w:color w:val="231F20"/>
          <w:spacing w:val="-26"/>
          <w:w w:val="105"/>
        </w:rPr>
        <w:t> </w:t>
      </w:r>
      <w:r>
        <w:rPr>
          <w:color w:val="231F20"/>
          <w:w w:val="105"/>
        </w:rPr>
        <w:t>num.</w:t>
      </w:r>
      <w:r>
        <w:rPr>
          <w:color w:val="231F20"/>
          <w:spacing w:val="-26"/>
          <w:w w:val="105"/>
        </w:rPr>
        <w:t> </w:t>
      </w:r>
      <w:r>
        <w:rPr>
          <w:color w:val="231F20"/>
          <w:w w:val="105"/>
        </w:rPr>
        <w:t>3.</w:t>
      </w:r>
    </w:p>
    <w:p>
      <w:pPr>
        <w:pStyle w:val="BodyText"/>
        <w:spacing w:line="261" w:lineRule="auto" w:before="3"/>
        <w:ind w:left="2574" w:right="1715" w:hanging="738"/>
        <w:jc w:val="both"/>
      </w:pPr>
      <w:r>
        <w:rPr/>
        <w:pict>
          <v:line style="position:absolute;mso-position-horizontal-relative:page;mso-position-vertical-relative:paragraph;z-index:-484048" from="15pt,128.989578pt" to="0pt,128.989578pt" stroked="true" strokeweight=".25pt" strokecolor="#000000">
            <w10:wrap type="none"/>
          </v:line>
        </w:pict>
      </w:r>
      <w:r>
        <w:rPr/>
        <w:pict>
          <v:line style="position:absolute;mso-position-horizontal-relative:page;mso-position-vertical-relative:paragraph;z-index:6160" from="508.890015pt,128.989578pt" to="523.890015pt,128.989578pt" stroked="true" strokeweight=".25pt" strokecolor="#000000">
            <w10:wrap type="none"/>
          </v:line>
        </w:pict>
      </w:r>
      <w:r>
        <w:rPr>
          <w:color w:val="231F20"/>
          <w:w w:val="105"/>
        </w:rPr>
        <w:t>Hossain, Ziarat and Shipman, Virginia, (2009), “Mexican immigrant fa- thers’ and mothers’ engagement with school-age children”, </w:t>
      </w:r>
      <w:r>
        <w:rPr>
          <w:rFonts w:ascii="Arial" w:hAnsi="Arial"/>
          <w:i/>
          <w:color w:val="231F20"/>
          <w:w w:val="105"/>
        </w:rPr>
        <w:t>Hispanic Journal of Behavioral Sciences, </w:t>
      </w:r>
      <w:r>
        <w:rPr>
          <w:color w:val="231F20"/>
          <w:w w:val="105"/>
        </w:rPr>
        <w:t>vol. 31, num. 4. DOI: 10.1177/0739986.</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line="259" w:lineRule="auto" w:before="0"/>
        <w:ind w:left="2460" w:right="1835" w:hanging="737"/>
        <w:jc w:val="both"/>
        <w:rPr>
          <w:sz w:val="21"/>
        </w:rPr>
      </w:pPr>
      <w:r>
        <w:rPr/>
        <w:pict>
          <v:line style="position:absolute;mso-position-horizontal-relative:page;mso-position-vertical-relative:paragraph;z-index:6208" from="15pt,-71.51725pt" to="0pt,-71.51725pt" stroked="true" strokeweight=".25pt" strokecolor="#000000">
            <w10:wrap type="none"/>
          </v:line>
        </w:pict>
      </w:r>
      <w:r>
        <w:rPr/>
        <w:pict>
          <v:line style="position:absolute;mso-position-horizontal-relative:page;mso-position-vertical-relative:paragraph;z-index:6232" from="508.890015pt,-71.51725pt" to="523.890015pt,-71.51725pt" stroked="true" strokeweight=".25pt" strokecolor="#000000">
            <w10:wrap type="none"/>
          </v:line>
        </w:pict>
      </w:r>
      <w:r>
        <w:rPr>
          <w:color w:val="231F20"/>
          <w:w w:val="105"/>
          <w:sz w:val="21"/>
        </w:rPr>
        <w:t>Immigration</w:t>
      </w:r>
      <w:r>
        <w:rPr>
          <w:color w:val="231F20"/>
          <w:spacing w:val="-25"/>
          <w:w w:val="105"/>
          <w:sz w:val="21"/>
        </w:rPr>
        <w:t> </w:t>
      </w:r>
      <w:r>
        <w:rPr>
          <w:color w:val="231F20"/>
          <w:spacing w:val="-3"/>
          <w:w w:val="105"/>
          <w:sz w:val="21"/>
        </w:rPr>
        <w:t>Policy</w:t>
      </w:r>
      <w:r>
        <w:rPr>
          <w:color w:val="231F20"/>
          <w:spacing w:val="-25"/>
          <w:w w:val="105"/>
          <w:sz w:val="21"/>
        </w:rPr>
        <w:t> </w:t>
      </w:r>
      <w:r>
        <w:rPr>
          <w:color w:val="231F20"/>
          <w:w w:val="105"/>
          <w:sz w:val="21"/>
        </w:rPr>
        <w:t>Center</w:t>
      </w:r>
      <w:r>
        <w:rPr>
          <w:color w:val="231F20"/>
          <w:spacing w:val="-25"/>
          <w:w w:val="105"/>
          <w:sz w:val="21"/>
        </w:rPr>
        <w:t> </w:t>
      </w:r>
      <w:r>
        <w:rPr>
          <w:color w:val="231F20"/>
          <w:w w:val="105"/>
          <w:sz w:val="21"/>
        </w:rPr>
        <w:t>(</w:t>
      </w:r>
      <w:r>
        <w:rPr>
          <w:color w:val="231F20"/>
          <w:w w:val="105"/>
          <w:sz w:val="17"/>
        </w:rPr>
        <w:t>IPC</w:t>
      </w:r>
      <w:r>
        <w:rPr>
          <w:color w:val="231F20"/>
          <w:w w:val="105"/>
          <w:sz w:val="21"/>
        </w:rPr>
        <w:t>),</w:t>
      </w:r>
      <w:r>
        <w:rPr>
          <w:color w:val="231F20"/>
          <w:spacing w:val="-28"/>
          <w:w w:val="105"/>
          <w:sz w:val="21"/>
        </w:rPr>
        <w:t> </w:t>
      </w:r>
      <w:r>
        <w:rPr>
          <w:color w:val="231F20"/>
          <w:w w:val="105"/>
          <w:sz w:val="21"/>
        </w:rPr>
        <w:t>(2007),</w:t>
      </w:r>
      <w:r>
        <w:rPr>
          <w:color w:val="231F20"/>
          <w:spacing w:val="-25"/>
          <w:w w:val="105"/>
          <w:sz w:val="21"/>
        </w:rPr>
        <w:t> </w:t>
      </w:r>
      <w:r>
        <w:rPr>
          <w:rFonts w:ascii="Arial"/>
          <w:i/>
          <w:color w:val="231F20"/>
          <w:w w:val="105"/>
          <w:sz w:val="21"/>
        </w:rPr>
        <w:t>Dreams</w:t>
      </w:r>
      <w:r>
        <w:rPr>
          <w:rFonts w:ascii="Arial"/>
          <w:i/>
          <w:color w:val="231F20"/>
          <w:spacing w:val="-27"/>
          <w:w w:val="105"/>
          <w:sz w:val="21"/>
        </w:rPr>
        <w:t> </w:t>
      </w:r>
      <w:r>
        <w:rPr>
          <w:rFonts w:ascii="Arial"/>
          <w:i/>
          <w:color w:val="231F20"/>
          <w:w w:val="105"/>
          <w:sz w:val="21"/>
        </w:rPr>
        <w:t>deferred:</w:t>
      </w:r>
      <w:r>
        <w:rPr>
          <w:rFonts w:ascii="Arial"/>
          <w:i/>
          <w:color w:val="231F20"/>
          <w:spacing w:val="-31"/>
          <w:w w:val="105"/>
          <w:sz w:val="21"/>
        </w:rPr>
        <w:t> </w:t>
      </w:r>
      <w:r>
        <w:rPr>
          <w:rFonts w:ascii="Arial"/>
          <w:i/>
          <w:color w:val="231F20"/>
          <w:w w:val="105"/>
          <w:sz w:val="21"/>
        </w:rPr>
        <w:t>The</w:t>
      </w:r>
      <w:r>
        <w:rPr>
          <w:rFonts w:ascii="Arial"/>
          <w:i/>
          <w:color w:val="231F20"/>
          <w:spacing w:val="-27"/>
          <w:w w:val="105"/>
          <w:sz w:val="21"/>
        </w:rPr>
        <w:t> </w:t>
      </w:r>
      <w:r>
        <w:rPr>
          <w:rFonts w:ascii="Arial"/>
          <w:i/>
          <w:color w:val="231F20"/>
          <w:w w:val="105"/>
          <w:sz w:val="21"/>
        </w:rPr>
        <w:t>costs</w:t>
      </w:r>
      <w:r>
        <w:rPr>
          <w:rFonts w:ascii="Arial"/>
          <w:i/>
          <w:color w:val="231F20"/>
          <w:spacing w:val="-27"/>
          <w:w w:val="105"/>
          <w:sz w:val="21"/>
        </w:rPr>
        <w:t> </w:t>
      </w:r>
      <w:r>
        <w:rPr>
          <w:rFonts w:ascii="Arial"/>
          <w:i/>
          <w:color w:val="231F20"/>
          <w:w w:val="105"/>
          <w:sz w:val="21"/>
        </w:rPr>
        <w:t>of</w:t>
      </w:r>
      <w:r>
        <w:rPr>
          <w:rFonts w:ascii="Arial"/>
          <w:i/>
          <w:color w:val="231F20"/>
          <w:spacing w:val="-24"/>
          <w:w w:val="105"/>
          <w:sz w:val="21"/>
        </w:rPr>
        <w:t> </w:t>
      </w:r>
      <w:r>
        <w:rPr>
          <w:rFonts w:ascii="Arial"/>
          <w:i/>
          <w:color w:val="231F20"/>
          <w:w w:val="105"/>
          <w:sz w:val="21"/>
        </w:rPr>
        <w:t>ig- </w:t>
      </w:r>
      <w:r>
        <w:rPr>
          <w:rFonts w:ascii="Arial"/>
          <w:i/>
          <w:color w:val="231F20"/>
          <w:w w:val="105"/>
          <w:sz w:val="21"/>
        </w:rPr>
        <w:t>noring</w:t>
      </w:r>
      <w:r>
        <w:rPr>
          <w:rFonts w:ascii="Arial"/>
          <w:i/>
          <w:color w:val="231F20"/>
          <w:spacing w:val="-24"/>
          <w:w w:val="105"/>
          <w:sz w:val="21"/>
        </w:rPr>
        <w:t> </w:t>
      </w:r>
      <w:r>
        <w:rPr>
          <w:rFonts w:ascii="Arial"/>
          <w:i/>
          <w:color w:val="231F20"/>
          <w:w w:val="105"/>
          <w:sz w:val="21"/>
        </w:rPr>
        <w:t>undocumented</w:t>
      </w:r>
      <w:r>
        <w:rPr>
          <w:rFonts w:ascii="Arial"/>
          <w:i/>
          <w:color w:val="231F20"/>
          <w:spacing w:val="-24"/>
          <w:w w:val="105"/>
          <w:sz w:val="21"/>
        </w:rPr>
        <w:t> </w:t>
      </w:r>
      <w:r>
        <w:rPr>
          <w:rFonts w:ascii="Arial"/>
          <w:i/>
          <w:color w:val="231F20"/>
          <w:w w:val="105"/>
          <w:sz w:val="21"/>
        </w:rPr>
        <w:t>students</w:t>
      </w:r>
      <w:r>
        <w:rPr>
          <w:color w:val="231F20"/>
          <w:w w:val="105"/>
          <w:sz w:val="21"/>
        </w:rPr>
        <w:t>,</w:t>
      </w:r>
      <w:r>
        <w:rPr>
          <w:color w:val="231F20"/>
          <w:spacing w:val="-28"/>
          <w:w w:val="105"/>
          <w:sz w:val="21"/>
        </w:rPr>
        <w:t> </w:t>
      </w:r>
      <w:r>
        <w:rPr>
          <w:color w:val="231F20"/>
          <w:w w:val="105"/>
          <w:sz w:val="21"/>
        </w:rPr>
        <w:t>Washington:</w:t>
      </w:r>
      <w:r>
        <w:rPr>
          <w:color w:val="231F20"/>
          <w:spacing w:val="-24"/>
          <w:w w:val="105"/>
          <w:sz w:val="21"/>
        </w:rPr>
        <w:t> </w:t>
      </w:r>
      <w:r>
        <w:rPr>
          <w:color w:val="231F20"/>
          <w:w w:val="105"/>
          <w:sz w:val="21"/>
        </w:rPr>
        <w:t>American</w:t>
      </w:r>
      <w:r>
        <w:rPr>
          <w:color w:val="231F20"/>
          <w:spacing w:val="-21"/>
          <w:w w:val="105"/>
          <w:sz w:val="21"/>
        </w:rPr>
        <w:t> </w:t>
      </w:r>
      <w:r>
        <w:rPr>
          <w:color w:val="231F20"/>
          <w:w w:val="105"/>
          <w:sz w:val="21"/>
        </w:rPr>
        <w:t>Immigra- tion</w:t>
      </w:r>
      <w:r>
        <w:rPr>
          <w:color w:val="231F20"/>
          <w:spacing w:val="-25"/>
          <w:w w:val="105"/>
          <w:sz w:val="21"/>
        </w:rPr>
        <w:t> </w:t>
      </w:r>
      <w:r>
        <w:rPr>
          <w:color w:val="231F20"/>
          <w:w w:val="105"/>
          <w:sz w:val="21"/>
        </w:rPr>
        <w:t>Law</w:t>
      </w:r>
      <w:r>
        <w:rPr>
          <w:color w:val="231F20"/>
          <w:spacing w:val="-25"/>
          <w:w w:val="105"/>
          <w:sz w:val="21"/>
        </w:rPr>
        <w:t> </w:t>
      </w:r>
      <w:r>
        <w:rPr>
          <w:color w:val="231F20"/>
          <w:w w:val="105"/>
          <w:sz w:val="21"/>
        </w:rPr>
        <w:t>Foundation.</w:t>
      </w:r>
    </w:p>
    <w:p>
      <w:pPr>
        <w:spacing w:line="259" w:lineRule="auto" w:before="0"/>
        <w:ind w:left="2460" w:right="1835" w:hanging="738"/>
        <w:jc w:val="both"/>
        <w:rPr>
          <w:sz w:val="21"/>
        </w:rPr>
      </w:pPr>
      <w:r>
        <w:rPr>
          <w:color w:val="231F20"/>
          <w:w w:val="105"/>
          <w:sz w:val="21"/>
        </w:rPr>
        <w:t>Jiménez,</w:t>
      </w:r>
      <w:r>
        <w:rPr>
          <w:color w:val="231F20"/>
          <w:spacing w:val="-25"/>
          <w:w w:val="105"/>
          <w:sz w:val="21"/>
        </w:rPr>
        <w:t> </w:t>
      </w:r>
      <w:r>
        <w:rPr>
          <w:color w:val="231F20"/>
          <w:spacing w:val="-4"/>
          <w:w w:val="105"/>
          <w:sz w:val="21"/>
        </w:rPr>
        <w:t>Tomás,</w:t>
      </w:r>
      <w:r>
        <w:rPr>
          <w:color w:val="231F20"/>
          <w:spacing w:val="-22"/>
          <w:w w:val="105"/>
          <w:sz w:val="21"/>
        </w:rPr>
        <w:t> </w:t>
      </w:r>
      <w:r>
        <w:rPr>
          <w:color w:val="231F20"/>
          <w:w w:val="105"/>
          <w:sz w:val="21"/>
        </w:rPr>
        <w:t>(2010),</w:t>
      </w:r>
      <w:r>
        <w:rPr>
          <w:color w:val="231F20"/>
          <w:spacing w:val="-22"/>
          <w:w w:val="105"/>
          <w:sz w:val="21"/>
        </w:rPr>
        <w:t> </w:t>
      </w:r>
      <w:r>
        <w:rPr>
          <w:rFonts w:ascii="Arial" w:hAnsi="Arial"/>
          <w:i/>
          <w:color w:val="231F20"/>
          <w:w w:val="105"/>
          <w:sz w:val="21"/>
        </w:rPr>
        <w:t>Replenished</w:t>
      </w:r>
      <w:r>
        <w:rPr>
          <w:rFonts w:ascii="Arial" w:hAnsi="Arial"/>
          <w:i/>
          <w:color w:val="231F20"/>
          <w:spacing w:val="-22"/>
          <w:w w:val="105"/>
          <w:sz w:val="21"/>
        </w:rPr>
        <w:t> </w:t>
      </w:r>
      <w:r>
        <w:rPr>
          <w:rFonts w:ascii="Arial" w:hAnsi="Arial"/>
          <w:i/>
          <w:color w:val="231F20"/>
          <w:w w:val="105"/>
          <w:sz w:val="21"/>
        </w:rPr>
        <w:t>Ethnicity:</w:t>
      </w:r>
      <w:r>
        <w:rPr>
          <w:rFonts w:ascii="Arial" w:hAnsi="Arial"/>
          <w:i/>
          <w:color w:val="231F20"/>
          <w:spacing w:val="-22"/>
          <w:w w:val="105"/>
          <w:sz w:val="21"/>
        </w:rPr>
        <w:t> </w:t>
      </w:r>
      <w:r>
        <w:rPr>
          <w:rFonts w:ascii="Arial" w:hAnsi="Arial"/>
          <w:i/>
          <w:color w:val="231F20"/>
          <w:w w:val="105"/>
          <w:sz w:val="21"/>
        </w:rPr>
        <w:t>Mexican</w:t>
      </w:r>
      <w:r>
        <w:rPr>
          <w:rFonts w:ascii="Arial" w:hAnsi="Arial"/>
          <w:i/>
          <w:color w:val="231F20"/>
          <w:spacing w:val="-24"/>
          <w:w w:val="105"/>
          <w:sz w:val="21"/>
        </w:rPr>
        <w:t> </w:t>
      </w:r>
      <w:r>
        <w:rPr>
          <w:rFonts w:ascii="Arial" w:hAnsi="Arial"/>
          <w:i/>
          <w:color w:val="231F20"/>
          <w:w w:val="105"/>
          <w:sz w:val="21"/>
        </w:rPr>
        <w:t>Americans,</w:t>
      </w:r>
      <w:r>
        <w:rPr>
          <w:rFonts w:ascii="Arial" w:hAnsi="Arial"/>
          <w:i/>
          <w:color w:val="231F20"/>
          <w:spacing w:val="-25"/>
          <w:w w:val="105"/>
          <w:sz w:val="21"/>
        </w:rPr>
        <w:t> </w:t>
      </w:r>
      <w:r>
        <w:rPr>
          <w:rFonts w:ascii="Arial" w:hAnsi="Arial"/>
          <w:i/>
          <w:color w:val="231F20"/>
          <w:w w:val="105"/>
          <w:sz w:val="21"/>
        </w:rPr>
        <w:t>Im- </w:t>
      </w:r>
      <w:r>
        <w:rPr>
          <w:rFonts w:ascii="Arial" w:hAnsi="Arial"/>
          <w:i/>
          <w:color w:val="231F20"/>
          <w:w w:val="105"/>
          <w:sz w:val="21"/>
        </w:rPr>
        <w:t>migration,</w:t>
      </w:r>
      <w:r>
        <w:rPr>
          <w:rFonts w:ascii="Arial" w:hAnsi="Arial"/>
          <w:i/>
          <w:color w:val="231F20"/>
          <w:spacing w:val="-34"/>
          <w:w w:val="105"/>
          <w:sz w:val="21"/>
        </w:rPr>
        <w:t> </w:t>
      </w:r>
      <w:r>
        <w:rPr>
          <w:rFonts w:ascii="Arial" w:hAnsi="Arial"/>
          <w:i/>
          <w:color w:val="231F20"/>
          <w:w w:val="105"/>
          <w:sz w:val="21"/>
        </w:rPr>
        <w:t>and</w:t>
      </w:r>
      <w:r>
        <w:rPr>
          <w:rFonts w:ascii="Arial" w:hAnsi="Arial"/>
          <w:i/>
          <w:color w:val="231F20"/>
          <w:spacing w:val="-30"/>
          <w:w w:val="105"/>
          <w:sz w:val="21"/>
        </w:rPr>
        <w:t> </w:t>
      </w:r>
      <w:r>
        <w:rPr>
          <w:rFonts w:ascii="Arial" w:hAnsi="Arial"/>
          <w:i/>
          <w:color w:val="231F20"/>
          <w:w w:val="105"/>
          <w:sz w:val="21"/>
        </w:rPr>
        <w:t>Identity</w:t>
      </w:r>
      <w:r>
        <w:rPr>
          <w:color w:val="231F20"/>
          <w:w w:val="105"/>
          <w:sz w:val="21"/>
        </w:rPr>
        <w:t>,</w:t>
      </w:r>
      <w:r>
        <w:rPr>
          <w:color w:val="231F20"/>
          <w:spacing w:val="-32"/>
          <w:w w:val="105"/>
          <w:sz w:val="21"/>
        </w:rPr>
        <w:t> </w:t>
      </w:r>
      <w:r>
        <w:rPr>
          <w:color w:val="231F20"/>
          <w:w w:val="105"/>
          <w:sz w:val="21"/>
        </w:rPr>
        <w:t>California:</w:t>
      </w:r>
      <w:r>
        <w:rPr>
          <w:color w:val="231F20"/>
          <w:spacing w:val="-28"/>
          <w:w w:val="105"/>
          <w:sz w:val="21"/>
        </w:rPr>
        <w:t> </w:t>
      </w:r>
      <w:r>
        <w:rPr>
          <w:color w:val="231F20"/>
          <w:w w:val="105"/>
          <w:sz w:val="21"/>
        </w:rPr>
        <w:t>University</w:t>
      </w:r>
      <w:r>
        <w:rPr>
          <w:color w:val="231F20"/>
          <w:spacing w:val="-28"/>
          <w:w w:val="105"/>
          <w:sz w:val="21"/>
        </w:rPr>
        <w:t> </w:t>
      </w:r>
      <w:r>
        <w:rPr>
          <w:color w:val="231F20"/>
          <w:w w:val="105"/>
          <w:sz w:val="21"/>
        </w:rPr>
        <w:t>of</w:t>
      </w:r>
      <w:r>
        <w:rPr>
          <w:color w:val="231F20"/>
          <w:spacing w:val="-25"/>
          <w:w w:val="105"/>
          <w:sz w:val="21"/>
        </w:rPr>
        <w:t> </w:t>
      </w:r>
      <w:r>
        <w:rPr>
          <w:color w:val="231F20"/>
          <w:w w:val="105"/>
          <w:sz w:val="21"/>
        </w:rPr>
        <w:t>California</w:t>
      </w:r>
      <w:r>
        <w:rPr>
          <w:color w:val="231F20"/>
          <w:spacing w:val="-28"/>
          <w:w w:val="105"/>
          <w:sz w:val="21"/>
        </w:rPr>
        <w:t> </w:t>
      </w:r>
      <w:r>
        <w:rPr>
          <w:color w:val="231F20"/>
          <w:spacing w:val="-3"/>
          <w:w w:val="105"/>
          <w:sz w:val="21"/>
        </w:rPr>
        <w:t>Press.</w:t>
      </w:r>
    </w:p>
    <w:p>
      <w:pPr>
        <w:pStyle w:val="BodyText"/>
        <w:spacing w:line="259" w:lineRule="auto" w:before="3"/>
        <w:ind w:left="2460" w:right="1835" w:hanging="738"/>
        <w:jc w:val="both"/>
      </w:pPr>
      <w:r>
        <w:rPr>
          <w:color w:val="231F20"/>
          <w:w w:val="105"/>
        </w:rPr>
        <w:t>Kao,</w:t>
      </w:r>
      <w:r>
        <w:rPr>
          <w:color w:val="231F20"/>
          <w:spacing w:val="-23"/>
          <w:w w:val="105"/>
        </w:rPr>
        <w:t> </w:t>
      </w:r>
      <w:r>
        <w:rPr>
          <w:color w:val="231F20"/>
          <w:w w:val="105"/>
        </w:rPr>
        <w:t>Grace</w:t>
      </w:r>
      <w:r>
        <w:rPr>
          <w:color w:val="231F20"/>
          <w:spacing w:val="-19"/>
          <w:w w:val="105"/>
        </w:rPr>
        <w:t> </w:t>
      </w:r>
      <w:r>
        <w:rPr>
          <w:color w:val="231F20"/>
          <w:w w:val="105"/>
        </w:rPr>
        <w:t>and</w:t>
      </w:r>
      <w:r>
        <w:rPr>
          <w:color w:val="231F20"/>
          <w:spacing w:val="-22"/>
          <w:w w:val="105"/>
        </w:rPr>
        <w:t> </w:t>
      </w:r>
      <w:r>
        <w:rPr>
          <w:color w:val="231F20"/>
          <w:spacing w:val="-4"/>
          <w:w w:val="105"/>
        </w:rPr>
        <w:t>Taggart</w:t>
      </w:r>
      <w:r>
        <w:rPr>
          <w:color w:val="231F20"/>
          <w:spacing w:val="-19"/>
          <w:w w:val="105"/>
        </w:rPr>
        <w:t> </w:t>
      </w:r>
      <w:r>
        <w:rPr>
          <w:color w:val="231F20"/>
          <w:w w:val="105"/>
        </w:rPr>
        <w:t>Rutherford,</w:t>
      </w:r>
      <w:r>
        <w:rPr>
          <w:color w:val="231F20"/>
          <w:spacing w:val="-23"/>
          <w:w w:val="105"/>
        </w:rPr>
        <w:t> </w:t>
      </w:r>
      <w:r>
        <w:rPr>
          <w:color w:val="231F20"/>
          <w:w w:val="105"/>
        </w:rPr>
        <w:t>Lindsay,</w:t>
      </w:r>
      <w:r>
        <w:rPr>
          <w:color w:val="231F20"/>
          <w:spacing w:val="-23"/>
          <w:w w:val="105"/>
        </w:rPr>
        <w:t> </w:t>
      </w:r>
      <w:r>
        <w:rPr>
          <w:color w:val="231F20"/>
          <w:w w:val="105"/>
        </w:rPr>
        <w:t>(2007),</w:t>
      </w:r>
      <w:r>
        <w:rPr>
          <w:color w:val="231F20"/>
          <w:spacing w:val="-23"/>
          <w:w w:val="105"/>
        </w:rPr>
        <w:t> </w:t>
      </w:r>
      <w:r>
        <w:rPr>
          <w:color w:val="231F20"/>
          <w:w w:val="105"/>
        </w:rPr>
        <w:t>“Does</w:t>
      </w:r>
      <w:r>
        <w:rPr>
          <w:color w:val="231F20"/>
          <w:spacing w:val="-19"/>
          <w:w w:val="105"/>
        </w:rPr>
        <w:t> </w:t>
      </w:r>
      <w:r>
        <w:rPr>
          <w:color w:val="231F20"/>
          <w:w w:val="105"/>
        </w:rPr>
        <w:t>social</w:t>
      </w:r>
      <w:r>
        <w:rPr>
          <w:color w:val="231F20"/>
          <w:spacing w:val="-19"/>
          <w:w w:val="105"/>
        </w:rPr>
        <w:t> </w:t>
      </w:r>
      <w:r>
        <w:rPr>
          <w:color w:val="231F20"/>
          <w:w w:val="105"/>
        </w:rPr>
        <w:t>capital still matter? Immigrant minority disadvantage in school-specific social</w:t>
      </w:r>
      <w:r>
        <w:rPr>
          <w:color w:val="231F20"/>
          <w:spacing w:val="-14"/>
          <w:w w:val="105"/>
        </w:rPr>
        <w:t> </w:t>
      </w:r>
      <w:r>
        <w:rPr>
          <w:color w:val="231F20"/>
          <w:w w:val="105"/>
        </w:rPr>
        <w:t>capital</w:t>
      </w:r>
      <w:r>
        <w:rPr>
          <w:color w:val="231F20"/>
          <w:spacing w:val="-14"/>
          <w:w w:val="105"/>
        </w:rPr>
        <w:t> </w:t>
      </w:r>
      <w:r>
        <w:rPr>
          <w:color w:val="231F20"/>
          <w:w w:val="105"/>
        </w:rPr>
        <w:t>and</w:t>
      </w:r>
      <w:r>
        <w:rPr>
          <w:color w:val="231F20"/>
          <w:spacing w:val="-14"/>
          <w:w w:val="105"/>
        </w:rPr>
        <w:t> </w:t>
      </w:r>
      <w:r>
        <w:rPr>
          <w:color w:val="231F20"/>
          <w:w w:val="105"/>
        </w:rPr>
        <w:t>its</w:t>
      </w:r>
      <w:r>
        <w:rPr>
          <w:color w:val="231F20"/>
          <w:spacing w:val="-14"/>
          <w:w w:val="105"/>
        </w:rPr>
        <w:t> </w:t>
      </w:r>
      <w:r>
        <w:rPr>
          <w:color w:val="231F20"/>
          <w:w w:val="105"/>
        </w:rPr>
        <w:t>effects</w:t>
      </w:r>
      <w:r>
        <w:rPr>
          <w:color w:val="231F20"/>
          <w:spacing w:val="-14"/>
          <w:w w:val="105"/>
        </w:rPr>
        <w:t> </w:t>
      </w:r>
      <w:r>
        <w:rPr>
          <w:color w:val="231F20"/>
          <w:w w:val="105"/>
        </w:rPr>
        <w:t>on</w:t>
      </w:r>
      <w:r>
        <w:rPr>
          <w:color w:val="231F20"/>
          <w:spacing w:val="-14"/>
          <w:w w:val="105"/>
        </w:rPr>
        <w:t> </w:t>
      </w:r>
      <w:r>
        <w:rPr>
          <w:color w:val="231F20"/>
          <w:w w:val="105"/>
        </w:rPr>
        <w:t>academic</w:t>
      </w:r>
      <w:r>
        <w:rPr>
          <w:color w:val="231F20"/>
          <w:spacing w:val="-14"/>
          <w:w w:val="105"/>
        </w:rPr>
        <w:t> </w:t>
      </w:r>
      <w:r>
        <w:rPr>
          <w:color w:val="231F20"/>
          <w:w w:val="105"/>
        </w:rPr>
        <w:t>achievement”,</w:t>
      </w:r>
      <w:r>
        <w:rPr>
          <w:color w:val="231F20"/>
          <w:spacing w:val="-18"/>
          <w:w w:val="105"/>
        </w:rPr>
        <w:t> </w:t>
      </w:r>
      <w:r>
        <w:rPr>
          <w:rFonts w:ascii="Arial" w:hAnsi="Arial"/>
          <w:i/>
          <w:color w:val="231F20"/>
          <w:w w:val="105"/>
        </w:rPr>
        <w:t>Sociolo- </w:t>
      </w:r>
      <w:r>
        <w:rPr>
          <w:rFonts w:ascii="Arial" w:hAnsi="Arial"/>
          <w:i/>
          <w:color w:val="231F20"/>
          <w:w w:val="105"/>
        </w:rPr>
        <w:t>gical</w:t>
      </w:r>
      <w:r>
        <w:rPr>
          <w:rFonts w:ascii="Arial" w:hAnsi="Arial"/>
          <w:i/>
          <w:color w:val="231F20"/>
          <w:spacing w:val="-36"/>
          <w:w w:val="105"/>
        </w:rPr>
        <w:t> </w:t>
      </w:r>
      <w:r>
        <w:rPr>
          <w:rFonts w:ascii="Arial" w:hAnsi="Arial"/>
          <w:i/>
          <w:color w:val="231F20"/>
          <w:w w:val="105"/>
        </w:rPr>
        <w:t>Perspectives</w:t>
      </w:r>
      <w:r>
        <w:rPr>
          <w:color w:val="231F20"/>
          <w:w w:val="105"/>
        </w:rPr>
        <w:t>,</w:t>
      </w:r>
      <w:r>
        <w:rPr>
          <w:color w:val="231F20"/>
          <w:spacing w:val="-37"/>
          <w:w w:val="105"/>
        </w:rPr>
        <w:t> </w:t>
      </w:r>
      <w:r>
        <w:rPr>
          <w:color w:val="231F20"/>
          <w:w w:val="105"/>
        </w:rPr>
        <w:t>vol.</w:t>
      </w:r>
      <w:r>
        <w:rPr>
          <w:color w:val="231F20"/>
          <w:spacing w:val="-37"/>
          <w:w w:val="105"/>
        </w:rPr>
        <w:t> </w:t>
      </w:r>
      <w:r>
        <w:rPr>
          <w:color w:val="231F20"/>
          <w:w w:val="105"/>
        </w:rPr>
        <w:t>50,</w:t>
      </w:r>
      <w:r>
        <w:rPr>
          <w:color w:val="231F20"/>
          <w:spacing w:val="-37"/>
          <w:w w:val="105"/>
        </w:rPr>
        <w:t> </w:t>
      </w:r>
      <w:r>
        <w:rPr>
          <w:color w:val="231F20"/>
          <w:w w:val="105"/>
        </w:rPr>
        <w:t>num.</w:t>
      </w:r>
      <w:r>
        <w:rPr>
          <w:color w:val="231F20"/>
          <w:spacing w:val="-37"/>
          <w:w w:val="105"/>
        </w:rPr>
        <w:t> </w:t>
      </w:r>
      <w:r>
        <w:rPr>
          <w:color w:val="231F20"/>
          <w:w w:val="105"/>
        </w:rPr>
        <w:t>1.</w:t>
      </w:r>
    </w:p>
    <w:p>
      <w:pPr>
        <w:spacing w:line="259" w:lineRule="auto" w:before="0"/>
        <w:ind w:left="2460" w:right="1834" w:hanging="737"/>
        <w:jc w:val="both"/>
        <w:rPr>
          <w:sz w:val="21"/>
        </w:rPr>
      </w:pPr>
      <w:r>
        <w:rPr>
          <w:color w:val="231F20"/>
          <w:w w:val="105"/>
          <w:sz w:val="21"/>
        </w:rPr>
        <w:t>Katz,</w:t>
      </w:r>
      <w:r>
        <w:rPr>
          <w:color w:val="231F20"/>
          <w:spacing w:val="-18"/>
          <w:w w:val="105"/>
          <w:sz w:val="21"/>
        </w:rPr>
        <w:t> </w:t>
      </w:r>
      <w:r>
        <w:rPr>
          <w:color w:val="231F20"/>
          <w:w w:val="105"/>
          <w:sz w:val="21"/>
        </w:rPr>
        <w:t>Vikki,</w:t>
      </w:r>
      <w:r>
        <w:rPr>
          <w:color w:val="231F20"/>
          <w:spacing w:val="-15"/>
          <w:w w:val="105"/>
          <w:sz w:val="21"/>
        </w:rPr>
        <w:t> </w:t>
      </w:r>
      <w:r>
        <w:rPr>
          <w:color w:val="231F20"/>
          <w:w w:val="105"/>
          <w:sz w:val="21"/>
        </w:rPr>
        <w:t>(2014),</w:t>
      </w:r>
      <w:r>
        <w:rPr>
          <w:color w:val="231F20"/>
          <w:spacing w:val="-15"/>
          <w:w w:val="105"/>
          <w:sz w:val="21"/>
        </w:rPr>
        <w:t> </w:t>
      </w:r>
      <w:r>
        <w:rPr>
          <w:rFonts w:ascii="Arial"/>
          <w:i/>
          <w:color w:val="231F20"/>
          <w:w w:val="105"/>
          <w:sz w:val="21"/>
        </w:rPr>
        <w:t>Kids</w:t>
      </w:r>
      <w:r>
        <w:rPr>
          <w:rFonts w:ascii="Arial"/>
          <w:i/>
          <w:color w:val="231F20"/>
          <w:spacing w:val="-12"/>
          <w:w w:val="105"/>
          <w:sz w:val="21"/>
        </w:rPr>
        <w:t> </w:t>
      </w:r>
      <w:r>
        <w:rPr>
          <w:rFonts w:ascii="Arial"/>
          <w:i/>
          <w:color w:val="231F20"/>
          <w:w w:val="105"/>
          <w:sz w:val="21"/>
        </w:rPr>
        <w:t>in</w:t>
      </w:r>
      <w:r>
        <w:rPr>
          <w:rFonts w:ascii="Arial"/>
          <w:i/>
          <w:color w:val="231F20"/>
          <w:spacing w:val="-12"/>
          <w:w w:val="105"/>
          <w:sz w:val="21"/>
        </w:rPr>
        <w:t> </w:t>
      </w:r>
      <w:r>
        <w:rPr>
          <w:rFonts w:ascii="Arial"/>
          <w:i/>
          <w:color w:val="231F20"/>
          <w:w w:val="105"/>
          <w:sz w:val="21"/>
        </w:rPr>
        <w:t>the</w:t>
      </w:r>
      <w:r>
        <w:rPr>
          <w:rFonts w:ascii="Arial"/>
          <w:i/>
          <w:color w:val="231F20"/>
          <w:spacing w:val="-12"/>
          <w:w w:val="105"/>
          <w:sz w:val="21"/>
        </w:rPr>
        <w:t> </w:t>
      </w:r>
      <w:r>
        <w:rPr>
          <w:rFonts w:ascii="Arial"/>
          <w:i/>
          <w:color w:val="231F20"/>
          <w:w w:val="105"/>
          <w:sz w:val="21"/>
        </w:rPr>
        <w:t>middle:</w:t>
      </w:r>
      <w:r>
        <w:rPr>
          <w:rFonts w:ascii="Arial"/>
          <w:i/>
          <w:color w:val="231F20"/>
          <w:spacing w:val="-12"/>
          <w:w w:val="105"/>
          <w:sz w:val="21"/>
        </w:rPr>
        <w:t> </w:t>
      </w:r>
      <w:r>
        <w:rPr>
          <w:rFonts w:ascii="Arial"/>
          <w:i/>
          <w:color w:val="231F20"/>
          <w:w w:val="105"/>
          <w:sz w:val="21"/>
        </w:rPr>
        <w:t>How</w:t>
      </w:r>
      <w:r>
        <w:rPr>
          <w:rFonts w:ascii="Arial"/>
          <w:i/>
          <w:color w:val="231F20"/>
          <w:spacing w:val="-12"/>
          <w:w w:val="105"/>
          <w:sz w:val="21"/>
        </w:rPr>
        <w:t> </w:t>
      </w:r>
      <w:r>
        <w:rPr>
          <w:rFonts w:ascii="Arial"/>
          <w:i/>
          <w:color w:val="231F20"/>
          <w:w w:val="105"/>
          <w:sz w:val="21"/>
        </w:rPr>
        <w:t>children</w:t>
      </w:r>
      <w:r>
        <w:rPr>
          <w:rFonts w:ascii="Arial"/>
          <w:i/>
          <w:color w:val="231F20"/>
          <w:spacing w:val="-12"/>
          <w:w w:val="105"/>
          <w:sz w:val="21"/>
        </w:rPr>
        <w:t> </w:t>
      </w:r>
      <w:r>
        <w:rPr>
          <w:rFonts w:ascii="Arial"/>
          <w:i/>
          <w:color w:val="231F20"/>
          <w:w w:val="105"/>
          <w:sz w:val="21"/>
        </w:rPr>
        <w:t>of</w:t>
      </w:r>
      <w:r>
        <w:rPr>
          <w:rFonts w:ascii="Arial"/>
          <w:i/>
          <w:color w:val="231F20"/>
          <w:spacing w:val="-9"/>
          <w:w w:val="105"/>
          <w:sz w:val="21"/>
        </w:rPr>
        <w:t> </w:t>
      </w:r>
      <w:r>
        <w:rPr>
          <w:rFonts w:ascii="Arial"/>
          <w:i/>
          <w:color w:val="231F20"/>
          <w:w w:val="105"/>
          <w:sz w:val="21"/>
        </w:rPr>
        <w:t>immigrants</w:t>
      </w:r>
      <w:r>
        <w:rPr>
          <w:rFonts w:ascii="Arial"/>
          <w:i/>
          <w:color w:val="231F20"/>
          <w:spacing w:val="-12"/>
          <w:w w:val="105"/>
          <w:sz w:val="21"/>
        </w:rPr>
        <w:t> </w:t>
      </w:r>
      <w:r>
        <w:rPr>
          <w:rFonts w:ascii="Arial"/>
          <w:i/>
          <w:color w:val="231F20"/>
          <w:w w:val="105"/>
          <w:sz w:val="21"/>
        </w:rPr>
        <w:t>nego- </w:t>
      </w:r>
      <w:r>
        <w:rPr>
          <w:rFonts w:ascii="Arial"/>
          <w:i/>
          <w:color w:val="231F20"/>
          <w:w w:val="105"/>
          <w:sz w:val="21"/>
        </w:rPr>
        <w:t>tiate</w:t>
      </w:r>
      <w:r>
        <w:rPr>
          <w:rFonts w:ascii="Arial"/>
          <w:i/>
          <w:color w:val="231F20"/>
          <w:spacing w:val="-31"/>
          <w:w w:val="105"/>
          <w:sz w:val="21"/>
        </w:rPr>
        <w:t> </w:t>
      </w:r>
      <w:r>
        <w:rPr>
          <w:rFonts w:ascii="Arial"/>
          <w:i/>
          <w:color w:val="231F20"/>
          <w:w w:val="105"/>
          <w:sz w:val="21"/>
        </w:rPr>
        <w:t>community</w:t>
      </w:r>
      <w:r>
        <w:rPr>
          <w:rFonts w:ascii="Arial"/>
          <w:i/>
          <w:color w:val="231F20"/>
          <w:spacing w:val="-31"/>
          <w:w w:val="105"/>
          <w:sz w:val="21"/>
        </w:rPr>
        <w:t> </w:t>
      </w:r>
      <w:r>
        <w:rPr>
          <w:rFonts w:ascii="Arial"/>
          <w:i/>
          <w:color w:val="231F20"/>
          <w:w w:val="105"/>
          <w:sz w:val="21"/>
        </w:rPr>
        <w:t>interactions</w:t>
      </w:r>
      <w:r>
        <w:rPr>
          <w:rFonts w:ascii="Arial"/>
          <w:i/>
          <w:color w:val="231F20"/>
          <w:spacing w:val="-31"/>
          <w:w w:val="105"/>
          <w:sz w:val="21"/>
        </w:rPr>
        <w:t> </w:t>
      </w:r>
      <w:r>
        <w:rPr>
          <w:rFonts w:ascii="Arial"/>
          <w:i/>
          <w:color w:val="231F20"/>
          <w:w w:val="105"/>
          <w:sz w:val="21"/>
        </w:rPr>
        <w:t>for</w:t>
      </w:r>
      <w:r>
        <w:rPr>
          <w:rFonts w:ascii="Arial"/>
          <w:i/>
          <w:color w:val="231F20"/>
          <w:spacing w:val="-31"/>
          <w:w w:val="105"/>
          <w:sz w:val="21"/>
        </w:rPr>
        <w:t> </w:t>
      </w:r>
      <w:r>
        <w:rPr>
          <w:rFonts w:ascii="Arial"/>
          <w:i/>
          <w:color w:val="231F20"/>
          <w:w w:val="105"/>
          <w:sz w:val="21"/>
        </w:rPr>
        <w:t>their</w:t>
      </w:r>
      <w:r>
        <w:rPr>
          <w:rFonts w:ascii="Arial"/>
          <w:i/>
          <w:color w:val="231F20"/>
          <w:spacing w:val="-31"/>
          <w:w w:val="105"/>
          <w:sz w:val="21"/>
        </w:rPr>
        <w:t> </w:t>
      </w:r>
      <w:r>
        <w:rPr>
          <w:rFonts w:ascii="Arial"/>
          <w:i/>
          <w:color w:val="231F20"/>
          <w:w w:val="105"/>
          <w:sz w:val="21"/>
        </w:rPr>
        <w:t>families</w:t>
      </w:r>
      <w:r>
        <w:rPr>
          <w:color w:val="231F20"/>
          <w:w w:val="105"/>
          <w:sz w:val="21"/>
        </w:rPr>
        <w:t>,</w:t>
      </w:r>
      <w:r>
        <w:rPr>
          <w:color w:val="231F20"/>
          <w:spacing w:val="-33"/>
          <w:w w:val="105"/>
          <w:sz w:val="21"/>
        </w:rPr>
        <w:t> </w:t>
      </w:r>
      <w:r>
        <w:rPr>
          <w:color w:val="231F20"/>
          <w:w w:val="105"/>
          <w:sz w:val="21"/>
        </w:rPr>
        <w:t>New</w:t>
      </w:r>
      <w:r>
        <w:rPr>
          <w:color w:val="231F20"/>
          <w:spacing w:val="-29"/>
          <w:w w:val="105"/>
          <w:sz w:val="21"/>
        </w:rPr>
        <w:t> </w:t>
      </w:r>
      <w:r>
        <w:rPr>
          <w:color w:val="231F20"/>
          <w:w w:val="105"/>
          <w:sz w:val="21"/>
        </w:rPr>
        <w:t>Brunswick,</w:t>
      </w:r>
      <w:r>
        <w:rPr>
          <w:color w:val="231F20"/>
          <w:spacing w:val="-33"/>
          <w:w w:val="105"/>
          <w:sz w:val="21"/>
        </w:rPr>
        <w:t> </w:t>
      </w:r>
      <w:r>
        <w:rPr>
          <w:color w:val="231F20"/>
          <w:w w:val="105"/>
          <w:sz w:val="21"/>
        </w:rPr>
        <w:t>NJ: </w:t>
      </w:r>
      <w:r>
        <w:rPr>
          <w:color w:val="231F20"/>
          <w:sz w:val="21"/>
        </w:rPr>
        <w:t>Rutgers University</w:t>
      </w:r>
      <w:r>
        <w:rPr>
          <w:color w:val="231F20"/>
          <w:spacing w:val="-32"/>
          <w:sz w:val="21"/>
        </w:rPr>
        <w:t> </w:t>
      </w:r>
      <w:r>
        <w:rPr>
          <w:color w:val="231F20"/>
          <w:spacing w:val="-3"/>
          <w:sz w:val="21"/>
        </w:rPr>
        <w:t>Press.</w:t>
      </w:r>
    </w:p>
    <w:p>
      <w:pPr>
        <w:spacing w:line="261" w:lineRule="auto" w:before="0"/>
        <w:ind w:left="2460" w:right="1834" w:hanging="738"/>
        <w:jc w:val="both"/>
        <w:rPr>
          <w:sz w:val="21"/>
        </w:rPr>
      </w:pPr>
      <w:r>
        <w:rPr>
          <w:color w:val="231F20"/>
          <w:w w:val="105"/>
          <w:sz w:val="21"/>
        </w:rPr>
        <w:t>Krogstad,</w:t>
      </w:r>
      <w:r>
        <w:rPr>
          <w:color w:val="231F20"/>
          <w:spacing w:val="-19"/>
          <w:w w:val="105"/>
          <w:sz w:val="21"/>
        </w:rPr>
        <w:t> </w:t>
      </w:r>
      <w:r>
        <w:rPr>
          <w:color w:val="231F20"/>
          <w:w w:val="105"/>
          <w:sz w:val="21"/>
        </w:rPr>
        <w:t>Jens</w:t>
      </w:r>
      <w:r>
        <w:rPr>
          <w:color w:val="231F20"/>
          <w:spacing w:val="-14"/>
          <w:w w:val="105"/>
          <w:sz w:val="21"/>
        </w:rPr>
        <w:t> </w:t>
      </w:r>
      <w:r>
        <w:rPr>
          <w:color w:val="231F20"/>
          <w:w w:val="105"/>
          <w:sz w:val="21"/>
        </w:rPr>
        <w:t>Manuel</w:t>
      </w:r>
      <w:r>
        <w:rPr>
          <w:color w:val="231F20"/>
          <w:spacing w:val="-14"/>
          <w:w w:val="105"/>
          <w:sz w:val="21"/>
        </w:rPr>
        <w:t> </w:t>
      </w:r>
      <w:r>
        <w:rPr>
          <w:color w:val="231F20"/>
          <w:w w:val="105"/>
          <w:sz w:val="21"/>
        </w:rPr>
        <w:t>and</w:t>
      </w:r>
      <w:r>
        <w:rPr>
          <w:color w:val="231F20"/>
          <w:spacing w:val="-14"/>
          <w:w w:val="105"/>
          <w:sz w:val="21"/>
        </w:rPr>
        <w:t> </w:t>
      </w:r>
      <w:r>
        <w:rPr>
          <w:color w:val="231F20"/>
          <w:spacing w:val="-5"/>
          <w:w w:val="105"/>
          <w:sz w:val="21"/>
        </w:rPr>
        <w:t>Fry,</w:t>
      </w:r>
      <w:r>
        <w:rPr>
          <w:color w:val="231F20"/>
          <w:spacing w:val="-17"/>
          <w:w w:val="105"/>
          <w:sz w:val="21"/>
        </w:rPr>
        <w:t> </w:t>
      </w:r>
      <w:r>
        <w:rPr>
          <w:color w:val="231F20"/>
          <w:w w:val="105"/>
          <w:sz w:val="21"/>
        </w:rPr>
        <w:t>Richard,</w:t>
      </w:r>
      <w:r>
        <w:rPr>
          <w:color w:val="231F20"/>
          <w:spacing w:val="-17"/>
          <w:w w:val="105"/>
          <w:sz w:val="21"/>
        </w:rPr>
        <w:t> </w:t>
      </w:r>
      <w:r>
        <w:rPr>
          <w:color w:val="231F20"/>
          <w:w w:val="105"/>
          <w:sz w:val="21"/>
        </w:rPr>
        <w:t>(2014),</w:t>
      </w:r>
      <w:r>
        <w:rPr>
          <w:color w:val="231F20"/>
          <w:spacing w:val="-17"/>
          <w:w w:val="105"/>
          <w:sz w:val="21"/>
        </w:rPr>
        <w:t> </w:t>
      </w:r>
      <w:r>
        <w:rPr>
          <w:rFonts w:ascii="Arial" w:hAnsi="Arial"/>
          <w:i/>
          <w:color w:val="231F20"/>
          <w:w w:val="105"/>
          <w:sz w:val="21"/>
        </w:rPr>
        <w:t>More</w:t>
      </w:r>
      <w:r>
        <w:rPr>
          <w:rFonts w:ascii="Arial" w:hAnsi="Arial"/>
          <w:i/>
          <w:color w:val="231F20"/>
          <w:spacing w:val="-16"/>
          <w:w w:val="105"/>
          <w:sz w:val="21"/>
        </w:rPr>
        <w:t> </w:t>
      </w:r>
      <w:r>
        <w:rPr>
          <w:rFonts w:ascii="Arial" w:hAnsi="Arial"/>
          <w:i/>
          <w:color w:val="231F20"/>
          <w:w w:val="105"/>
          <w:sz w:val="21"/>
        </w:rPr>
        <w:t>Hispanics,</w:t>
      </w:r>
      <w:r>
        <w:rPr>
          <w:rFonts w:ascii="Arial" w:hAnsi="Arial"/>
          <w:i/>
          <w:color w:val="231F20"/>
          <w:spacing w:val="-20"/>
          <w:w w:val="105"/>
          <w:sz w:val="21"/>
        </w:rPr>
        <w:t> </w:t>
      </w:r>
      <w:r>
        <w:rPr>
          <w:rFonts w:ascii="Arial" w:hAnsi="Arial"/>
          <w:i/>
          <w:color w:val="231F20"/>
          <w:w w:val="105"/>
          <w:sz w:val="21"/>
        </w:rPr>
        <w:t>blacks </w:t>
      </w:r>
      <w:r>
        <w:rPr>
          <w:rFonts w:ascii="Arial" w:hAnsi="Arial"/>
          <w:i/>
          <w:color w:val="231F20"/>
          <w:w w:val="105"/>
          <w:sz w:val="21"/>
        </w:rPr>
        <w:t>enrolling in college, but lag in bachelor’s degree</w:t>
      </w:r>
      <w:r>
        <w:rPr>
          <w:color w:val="231F20"/>
          <w:w w:val="105"/>
          <w:sz w:val="21"/>
        </w:rPr>
        <w:t>, </w:t>
      </w:r>
      <w:r>
        <w:rPr>
          <w:color w:val="231F20"/>
          <w:spacing w:val="-6"/>
          <w:w w:val="105"/>
          <w:sz w:val="21"/>
        </w:rPr>
        <w:t>Pew</w:t>
      </w:r>
      <w:r>
        <w:rPr>
          <w:color w:val="231F20"/>
          <w:spacing w:val="-18"/>
          <w:w w:val="105"/>
          <w:sz w:val="21"/>
        </w:rPr>
        <w:t> </w:t>
      </w:r>
      <w:r>
        <w:rPr>
          <w:color w:val="231F20"/>
          <w:w w:val="105"/>
          <w:sz w:val="21"/>
        </w:rPr>
        <w:t>Research Center, retrieved from </w:t>
      </w:r>
      <w:hyperlink r:id="rId51">
        <w:r>
          <w:rPr>
            <w:color w:val="231F20"/>
            <w:w w:val="105"/>
            <w:sz w:val="21"/>
          </w:rPr>
          <w:t>http://www.pewresearch.org/fact-</w:t>
        </w:r>
      </w:hyperlink>
      <w:r>
        <w:rPr>
          <w:color w:val="231F20"/>
          <w:w w:val="105"/>
          <w:sz w:val="21"/>
        </w:rPr>
        <w:t> </w:t>
      </w:r>
      <w:r>
        <w:rPr>
          <w:color w:val="231F20"/>
          <w:spacing w:val="4"/>
          <w:w w:val="105"/>
          <w:sz w:val="21"/>
        </w:rPr>
        <w:t>tank/2014/04/24/more-hispanics-blacks-enrolling-in-college- </w:t>
      </w:r>
      <w:r>
        <w:rPr>
          <w:color w:val="231F20"/>
          <w:w w:val="105"/>
          <w:sz w:val="21"/>
        </w:rPr>
        <w:t>but-lag-in-bachelors-degrees/</w:t>
      </w:r>
    </w:p>
    <w:p>
      <w:pPr>
        <w:spacing w:line="261" w:lineRule="auto" w:before="0"/>
        <w:ind w:left="2460" w:right="1830" w:hanging="738"/>
        <w:jc w:val="both"/>
        <w:rPr>
          <w:sz w:val="21"/>
        </w:rPr>
      </w:pPr>
      <w:r>
        <w:rPr>
          <w:color w:val="231F20"/>
          <w:w w:val="105"/>
          <w:sz w:val="21"/>
        </w:rPr>
        <w:t>Krogstad, Jens Manuel, (2015), </w:t>
      </w:r>
      <w:r>
        <w:rPr>
          <w:rFonts w:ascii="Arial" w:hAnsi="Arial"/>
          <w:i/>
          <w:color w:val="231F20"/>
          <w:w w:val="105"/>
          <w:sz w:val="21"/>
        </w:rPr>
        <w:t>Hispanics to benefit from Obama’s </w:t>
      </w:r>
      <w:r>
        <w:rPr>
          <w:rFonts w:ascii="Arial" w:hAnsi="Arial"/>
          <w:i/>
          <w:color w:val="231F20"/>
          <w:w w:val="105"/>
          <w:sz w:val="21"/>
        </w:rPr>
        <w:t>community college plan</w:t>
      </w:r>
      <w:r>
        <w:rPr>
          <w:color w:val="231F20"/>
          <w:w w:val="105"/>
          <w:sz w:val="21"/>
        </w:rPr>
        <w:t>, Pew Research Center, retrieved from </w:t>
      </w:r>
      <w:hyperlink r:id="rId52">
        <w:r>
          <w:rPr>
            <w:color w:val="231F20"/>
            <w:w w:val="105"/>
            <w:sz w:val="21"/>
          </w:rPr>
          <w:t>http://www.pewresearch.org/fact-tank/2015/01/20/hispanics-to-</w:t>
        </w:r>
      </w:hyperlink>
      <w:r>
        <w:rPr>
          <w:color w:val="231F20"/>
          <w:w w:val="105"/>
          <w:sz w:val="21"/>
        </w:rPr>
        <w:t> benefit-from-obamas-community-college-plan/</w:t>
      </w:r>
    </w:p>
    <w:p>
      <w:pPr>
        <w:spacing w:line="261" w:lineRule="auto" w:before="0"/>
        <w:ind w:left="2460" w:right="1828" w:hanging="738"/>
        <w:jc w:val="both"/>
        <w:rPr>
          <w:sz w:val="21"/>
        </w:rPr>
      </w:pPr>
      <w:r>
        <w:rPr>
          <w:color w:val="231F20"/>
          <w:sz w:val="21"/>
        </w:rPr>
        <w:t>Lareau, Annette, (2011), </w:t>
      </w:r>
      <w:r>
        <w:rPr>
          <w:rFonts w:ascii="Arial"/>
          <w:i/>
          <w:color w:val="231F20"/>
          <w:sz w:val="21"/>
        </w:rPr>
        <w:t>Unequal Childhoods: Class, race, and family life</w:t>
      </w:r>
      <w:r>
        <w:rPr>
          <w:color w:val="231F20"/>
          <w:sz w:val="21"/>
        </w:rPr>
        <w:t>, Berkeley, CA: University of California Press.</w:t>
      </w:r>
    </w:p>
    <w:p>
      <w:pPr>
        <w:spacing w:line="259" w:lineRule="auto" w:before="0"/>
        <w:ind w:left="2460" w:right="1837" w:hanging="738"/>
        <w:jc w:val="both"/>
        <w:rPr>
          <w:sz w:val="21"/>
        </w:rPr>
      </w:pPr>
      <w:r>
        <w:rPr>
          <w:color w:val="231F20"/>
          <w:spacing w:val="-3"/>
          <w:w w:val="105"/>
          <w:sz w:val="21"/>
        </w:rPr>
        <w:t>Louie,</w:t>
      </w:r>
      <w:r>
        <w:rPr>
          <w:color w:val="231F20"/>
          <w:spacing w:val="-52"/>
          <w:w w:val="105"/>
          <w:sz w:val="21"/>
        </w:rPr>
        <w:t> </w:t>
      </w:r>
      <w:r>
        <w:rPr>
          <w:color w:val="231F20"/>
          <w:spacing w:val="-3"/>
          <w:w w:val="105"/>
          <w:sz w:val="21"/>
        </w:rPr>
        <w:t>Vivian,</w:t>
      </w:r>
      <w:r>
        <w:rPr>
          <w:color w:val="231F20"/>
          <w:spacing w:val="-51"/>
          <w:w w:val="105"/>
          <w:sz w:val="21"/>
        </w:rPr>
        <w:t> </w:t>
      </w:r>
      <w:r>
        <w:rPr>
          <w:color w:val="231F20"/>
          <w:w w:val="105"/>
          <w:sz w:val="21"/>
        </w:rPr>
        <w:t>(2012),</w:t>
      </w:r>
      <w:r>
        <w:rPr>
          <w:color w:val="231F20"/>
          <w:spacing w:val="-50"/>
          <w:w w:val="105"/>
          <w:sz w:val="21"/>
        </w:rPr>
        <w:t> </w:t>
      </w:r>
      <w:r>
        <w:rPr>
          <w:rFonts w:ascii="Arial"/>
          <w:i/>
          <w:color w:val="231F20"/>
          <w:spacing w:val="-3"/>
          <w:w w:val="105"/>
          <w:sz w:val="21"/>
        </w:rPr>
        <w:t>Keeping</w:t>
      </w:r>
      <w:r>
        <w:rPr>
          <w:rFonts w:ascii="Arial"/>
          <w:i/>
          <w:color w:val="231F20"/>
          <w:spacing w:val="-51"/>
          <w:w w:val="105"/>
          <w:sz w:val="21"/>
        </w:rPr>
        <w:t> </w:t>
      </w:r>
      <w:r>
        <w:rPr>
          <w:rFonts w:ascii="Arial"/>
          <w:i/>
          <w:color w:val="231F20"/>
          <w:w w:val="105"/>
          <w:sz w:val="21"/>
        </w:rPr>
        <w:t>the</w:t>
      </w:r>
      <w:r>
        <w:rPr>
          <w:rFonts w:ascii="Arial"/>
          <w:i/>
          <w:color w:val="231F20"/>
          <w:spacing w:val="-51"/>
          <w:w w:val="105"/>
          <w:sz w:val="21"/>
        </w:rPr>
        <w:t> </w:t>
      </w:r>
      <w:r>
        <w:rPr>
          <w:rFonts w:ascii="Arial"/>
          <w:i/>
          <w:color w:val="231F20"/>
          <w:w w:val="105"/>
          <w:sz w:val="21"/>
        </w:rPr>
        <w:t>immigrant</w:t>
      </w:r>
      <w:r>
        <w:rPr>
          <w:rFonts w:ascii="Arial"/>
          <w:i/>
          <w:color w:val="231F20"/>
          <w:spacing w:val="-51"/>
          <w:w w:val="105"/>
          <w:sz w:val="21"/>
        </w:rPr>
        <w:t> </w:t>
      </w:r>
      <w:r>
        <w:rPr>
          <w:rFonts w:ascii="Arial"/>
          <w:i/>
          <w:color w:val="231F20"/>
          <w:w w:val="105"/>
          <w:sz w:val="21"/>
        </w:rPr>
        <w:t>bargain:</w:t>
      </w:r>
      <w:r>
        <w:rPr>
          <w:rFonts w:ascii="Arial"/>
          <w:i/>
          <w:color w:val="231F20"/>
          <w:spacing w:val="-53"/>
          <w:w w:val="105"/>
          <w:sz w:val="21"/>
        </w:rPr>
        <w:t> </w:t>
      </w:r>
      <w:r>
        <w:rPr>
          <w:rFonts w:ascii="Arial"/>
          <w:i/>
          <w:color w:val="231F20"/>
          <w:spacing w:val="-3"/>
          <w:w w:val="105"/>
          <w:sz w:val="21"/>
        </w:rPr>
        <w:t>The</w:t>
      </w:r>
      <w:r>
        <w:rPr>
          <w:rFonts w:ascii="Arial"/>
          <w:i/>
          <w:color w:val="231F20"/>
          <w:spacing w:val="-51"/>
          <w:w w:val="105"/>
          <w:sz w:val="21"/>
        </w:rPr>
        <w:t> </w:t>
      </w:r>
      <w:r>
        <w:rPr>
          <w:rFonts w:ascii="Arial"/>
          <w:i/>
          <w:color w:val="231F20"/>
          <w:w w:val="105"/>
          <w:sz w:val="21"/>
        </w:rPr>
        <w:t>costs</w:t>
      </w:r>
      <w:r>
        <w:rPr>
          <w:rFonts w:ascii="Arial"/>
          <w:i/>
          <w:color w:val="231F20"/>
          <w:spacing w:val="-51"/>
          <w:w w:val="105"/>
          <w:sz w:val="21"/>
        </w:rPr>
        <w:t> </w:t>
      </w:r>
      <w:r>
        <w:rPr>
          <w:rFonts w:ascii="Arial"/>
          <w:i/>
          <w:color w:val="231F20"/>
          <w:w w:val="105"/>
          <w:sz w:val="21"/>
        </w:rPr>
        <w:t>and</w:t>
      </w:r>
      <w:r>
        <w:rPr>
          <w:rFonts w:ascii="Arial"/>
          <w:i/>
          <w:color w:val="231F20"/>
          <w:spacing w:val="-51"/>
          <w:w w:val="105"/>
          <w:sz w:val="21"/>
        </w:rPr>
        <w:t> </w:t>
      </w:r>
      <w:r>
        <w:rPr>
          <w:rFonts w:ascii="Arial"/>
          <w:i/>
          <w:color w:val="231F20"/>
          <w:spacing w:val="-3"/>
          <w:w w:val="105"/>
          <w:sz w:val="21"/>
        </w:rPr>
        <w:t>rewards </w:t>
      </w:r>
      <w:r>
        <w:rPr>
          <w:rFonts w:ascii="Arial"/>
          <w:i/>
          <w:color w:val="231F20"/>
          <w:w w:val="105"/>
          <w:sz w:val="21"/>
        </w:rPr>
        <w:t>of</w:t>
      </w:r>
      <w:r>
        <w:rPr>
          <w:rFonts w:ascii="Arial"/>
          <w:i/>
          <w:color w:val="231F20"/>
          <w:spacing w:val="-41"/>
          <w:w w:val="105"/>
          <w:sz w:val="21"/>
        </w:rPr>
        <w:t> </w:t>
      </w:r>
      <w:r>
        <w:rPr>
          <w:rFonts w:ascii="Arial"/>
          <w:i/>
          <w:color w:val="231F20"/>
          <w:w w:val="105"/>
          <w:sz w:val="21"/>
        </w:rPr>
        <w:t>success</w:t>
      </w:r>
      <w:r>
        <w:rPr>
          <w:rFonts w:ascii="Arial"/>
          <w:i/>
          <w:color w:val="231F20"/>
          <w:spacing w:val="-43"/>
          <w:w w:val="105"/>
          <w:sz w:val="21"/>
        </w:rPr>
        <w:t> </w:t>
      </w:r>
      <w:r>
        <w:rPr>
          <w:rFonts w:ascii="Arial"/>
          <w:i/>
          <w:color w:val="231F20"/>
          <w:w w:val="105"/>
          <w:sz w:val="21"/>
        </w:rPr>
        <w:t>in</w:t>
      </w:r>
      <w:r>
        <w:rPr>
          <w:rFonts w:ascii="Arial"/>
          <w:i/>
          <w:color w:val="231F20"/>
          <w:spacing w:val="-45"/>
          <w:w w:val="105"/>
          <w:sz w:val="21"/>
        </w:rPr>
        <w:t> </w:t>
      </w:r>
      <w:r>
        <w:rPr>
          <w:rFonts w:ascii="Arial"/>
          <w:i/>
          <w:color w:val="231F20"/>
          <w:w w:val="105"/>
          <w:sz w:val="21"/>
        </w:rPr>
        <w:t>America</w:t>
      </w:r>
      <w:r>
        <w:rPr>
          <w:color w:val="231F20"/>
          <w:w w:val="105"/>
          <w:sz w:val="21"/>
        </w:rPr>
        <w:t>,</w:t>
      </w:r>
      <w:r>
        <w:rPr>
          <w:color w:val="231F20"/>
          <w:spacing w:val="-43"/>
          <w:w w:val="105"/>
          <w:sz w:val="21"/>
        </w:rPr>
        <w:t> </w:t>
      </w:r>
      <w:r>
        <w:rPr>
          <w:color w:val="231F20"/>
          <w:w w:val="105"/>
          <w:sz w:val="21"/>
        </w:rPr>
        <w:t>New</w:t>
      </w:r>
      <w:r>
        <w:rPr>
          <w:color w:val="231F20"/>
          <w:spacing w:val="-43"/>
          <w:w w:val="105"/>
          <w:sz w:val="21"/>
        </w:rPr>
        <w:t> </w:t>
      </w:r>
      <w:r>
        <w:rPr>
          <w:color w:val="231F20"/>
          <w:spacing w:val="-6"/>
          <w:w w:val="105"/>
          <w:sz w:val="21"/>
        </w:rPr>
        <w:t>York:</w:t>
      </w:r>
      <w:r>
        <w:rPr>
          <w:color w:val="231F20"/>
          <w:spacing w:val="-41"/>
          <w:w w:val="105"/>
          <w:sz w:val="21"/>
        </w:rPr>
        <w:t> </w:t>
      </w:r>
      <w:r>
        <w:rPr>
          <w:color w:val="231F20"/>
          <w:w w:val="105"/>
          <w:sz w:val="21"/>
        </w:rPr>
        <w:t>Russell</w:t>
      </w:r>
      <w:r>
        <w:rPr>
          <w:color w:val="231F20"/>
          <w:spacing w:val="-41"/>
          <w:w w:val="105"/>
          <w:sz w:val="21"/>
        </w:rPr>
        <w:t> </w:t>
      </w:r>
      <w:r>
        <w:rPr>
          <w:color w:val="231F20"/>
          <w:w w:val="105"/>
          <w:sz w:val="21"/>
        </w:rPr>
        <w:t>Sage</w:t>
      </w:r>
      <w:r>
        <w:rPr>
          <w:color w:val="231F20"/>
          <w:spacing w:val="-41"/>
          <w:w w:val="105"/>
          <w:sz w:val="21"/>
        </w:rPr>
        <w:t> </w:t>
      </w:r>
      <w:r>
        <w:rPr>
          <w:color w:val="231F20"/>
          <w:spacing w:val="-4"/>
          <w:w w:val="105"/>
          <w:sz w:val="21"/>
        </w:rPr>
        <w:t>Foundation.</w:t>
      </w:r>
    </w:p>
    <w:p>
      <w:pPr>
        <w:pStyle w:val="BodyText"/>
        <w:spacing w:line="261" w:lineRule="auto" w:before="3"/>
        <w:ind w:left="2460" w:right="1835" w:hanging="738"/>
        <w:jc w:val="both"/>
      </w:pPr>
      <w:r>
        <w:rPr>
          <w:color w:val="231F20"/>
          <w:w w:val="105"/>
        </w:rPr>
        <w:t>Lutz, Amy, (2007), “Barriers to high school completion among immi- grant and later-generation Latinos in the USA: Language,</w:t>
      </w:r>
      <w:r>
        <w:rPr>
          <w:color w:val="231F20"/>
          <w:spacing w:val="-13"/>
          <w:w w:val="105"/>
        </w:rPr>
        <w:t> </w:t>
      </w:r>
      <w:r>
        <w:rPr>
          <w:color w:val="231F20"/>
          <w:w w:val="105"/>
        </w:rPr>
        <w:t>ethni- city, and socioeconomic </w:t>
      </w:r>
      <w:r>
        <w:rPr>
          <w:color w:val="231F20"/>
          <w:spacing w:val="-4"/>
          <w:w w:val="105"/>
        </w:rPr>
        <w:t>status”, </w:t>
      </w:r>
      <w:r>
        <w:rPr>
          <w:rFonts w:ascii="Arial" w:hAnsi="Arial"/>
          <w:i/>
          <w:color w:val="231F20"/>
          <w:w w:val="105"/>
        </w:rPr>
        <w:t>Ethnicities, </w:t>
      </w:r>
      <w:r>
        <w:rPr>
          <w:color w:val="231F20"/>
          <w:w w:val="105"/>
        </w:rPr>
        <w:t>vol. 7, num. 3. DOI: 10.1177/1468796807080232.</w:t>
      </w:r>
    </w:p>
    <w:p>
      <w:pPr>
        <w:spacing w:line="259" w:lineRule="auto" w:before="0"/>
        <w:ind w:left="2460" w:right="1835" w:hanging="738"/>
        <w:jc w:val="both"/>
        <w:rPr>
          <w:sz w:val="21"/>
        </w:rPr>
      </w:pPr>
      <w:r>
        <w:rPr>
          <w:color w:val="231F20"/>
          <w:w w:val="105"/>
          <w:sz w:val="21"/>
        </w:rPr>
        <w:t>Massey, Douglas, Durand, Jorge and Malone, Nolan, (2002), </w:t>
      </w:r>
      <w:r>
        <w:rPr>
          <w:rFonts w:ascii="Arial"/>
          <w:i/>
          <w:color w:val="231F20"/>
          <w:w w:val="105"/>
          <w:sz w:val="21"/>
        </w:rPr>
        <w:t>Beyond </w:t>
      </w:r>
      <w:r>
        <w:rPr>
          <w:rFonts w:ascii="Arial"/>
          <w:i/>
          <w:color w:val="231F20"/>
          <w:w w:val="105"/>
          <w:sz w:val="21"/>
        </w:rPr>
        <w:t>smoke and mirrors: Mexican immigration in an era of economic integration</w:t>
      </w:r>
      <w:r>
        <w:rPr>
          <w:color w:val="231F20"/>
          <w:w w:val="105"/>
          <w:sz w:val="21"/>
        </w:rPr>
        <w:t>, New York: Russell Sage Foundation.</w:t>
      </w:r>
    </w:p>
    <w:p>
      <w:pPr>
        <w:pStyle w:val="BodyText"/>
        <w:spacing w:line="261" w:lineRule="auto" w:before="3"/>
        <w:ind w:left="2460" w:right="1829" w:hanging="738"/>
        <w:jc w:val="both"/>
      </w:pPr>
      <w:r>
        <w:rPr>
          <w:color w:val="231F20"/>
          <w:w w:val="105"/>
        </w:rPr>
        <w:t>Masten,</w:t>
      </w:r>
      <w:r>
        <w:rPr>
          <w:color w:val="231F20"/>
          <w:spacing w:val="-17"/>
          <w:w w:val="105"/>
        </w:rPr>
        <w:t> </w:t>
      </w:r>
      <w:r>
        <w:rPr>
          <w:color w:val="231F20"/>
          <w:w w:val="105"/>
        </w:rPr>
        <w:t>Anne</w:t>
      </w:r>
      <w:r>
        <w:rPr>
          <w:color w:val="231F20"/>
          <w:spacing w:val="-8"/>
          <w:w w:val="105"/>
        </w:rPr>
        <w:t> </w:t>
      </w:r>
      <w:r>
        <w:rPr>
          <w:color w:val="231F20"/>
          <w:w w:val="105"/>
        </w:rPr>
        <w:t>and</w:t>
      </w:r>
      <w:r>
        <w:rPr>
          <w:color w:val="231F20"/>
          <w:spacing w:val="-8"/>
          <w:w w:val="105"/>
        </w:rPr>
        <w:t> </w:t>
      </w:r>
      <w:r>
        <w:rPr>
          <w:color w:val="231F20"/>
          <w:w w:val="105"/>
        </w:rPr>
        <w:t>Curtis,</w:t>
      </w:r>
      <w:r>
        <w:rPr>
          <w:color w:val="231F20"/>
          <w:spacing w:val="-16"/>
          <w:w w:val="105"/>
        </w:rPr>
        <w:t> </w:t>
      </w:r>
      <w:r>
        <w:rPr>
          <w:color w:val="231F20"/>
          <w:w w:val="105"/>
        </w:rPr>
        <w:t>WJ,</w:t>
      </w:r>
      <w:r>
        <w:rPr>
          <w:color w:val="231F20"/>
          <w:spacing w:val="-14"/>
          <w:w w:val="105"/>
        </w:rPr>
        <w:t> </w:t>
      </w:r>
      <w:r>
        <w:rPr>
          <w:color w:val="231F20"/>
          <w:w w:val="105"/>
        </w:rPr>
        <w:t>(2000),</w:t>
      </w:r>
      <w:r>
        <w:rPr>
          <w:color w:val="231F20"/>
          <w:spacing w:val="-14"/>
          <w:w w:val="105"/>
        </w:rPr>
        <w:t> </w:t>
      </w:r>
      <w:r>
        <w:rPr>
          <w:color w:val="231F20"/>
          <w:w w:val="105"/>
        </w:rPr>
        <w:t>“Integrating</w:t>
      </w:r>
      <w:r>
        <w:rPr>
          <w:color w:val="231F20"/>
          <w:spacing w:val="-8"/>
          <w:w w:val="105"/>
        </w:rPr>
        <w:t> </w:t>
      </w:r>
      <w:r>
        <w:rPr>
          <w:color w:val="231F20"/>
          <w:w w:val="105"/>
        </w:rPr>
        <w:t>competence</w:t>
      </w:r>
      <w:r>
        <w:rPr>
          <w:color w:val="231F20"/>
          <w:spacing w:val="-8"/>
          <w:w w:val="105"/>
        </w:rPr>
        <w:t> </w:t>
      </w:r>
      <w:r>
        <w:rPr>
          <w:color w:val="231F20"/>
          <w:w w:val="105"/>
        </w:rPr>
        <w:t>and</w:t>
      </w:r>
      <w:r>
        <w:rPr>
          <w:color w:val="231F20"/>
          <w:spacing w:val="-8"/>
          <w:w w:val="105"/>
        </w:rPr>
        <w:t> </w:t>
      </w:r>
      <w:r>
        <w:rPr>
          <w:color w:val="231F20"/>
          <w:w w:val="105"/>
        </w:rPr>
        <w:t>psy- chopathy:</w:t>
      </w:r>
      <w:r>
        <w:rPr>
          <w:color w:val="231F20"/>
          <w:spacing w:val="-16"/>
          <w:w w:val="105"/>
        </w:rPr>
        <w:t> </w:t>
      </w:r>
      <w:r>
        <w:rPr>
          <w:color w:val="231F20"/>
          <w:w w:val="105"/>
        </w:rPr>
        <w:t>Pathways</w:t>
      </w:r>
      <w:r>
        <w:rPr>
          <w:color w:val="231F20"/>
          <w:spacing w:val="-16"/>
          <w:w w:val="105"/>
        </w:rPr>
        <w:t> </w:t>
      </w:r>
      <w:r>
        <w:rPr>
          <w:color w:val="231F20"/>
          <w:w w:val="105"/>
        </w:rPr>
        <w:t>toward</w:t>
      </w:r>
      <w:r>
        <w:rPr>
          <w:color w:val="231F20"/>
          <w:spacing w:val="-16"/>
          <w:w w:val="105"/>
        </w:rPr>
        <w:t> </w:t>
      </w:r>
      <w:r>
        <w:rPr>
          <w:color w:val="231F20"/>
          <w:w w:val="105"/>
        </w:rPr>
        <w:t>a</w:t>
      </w:r>
      <w:r>
        <w:rPr>
          <w:color w:val="231F20"/>
          <w:spacing w:val="-16"/>
          <w:w w:val="105"/>
        </w:rPr>
        <w:t> </w:t>
      </w:r>
      <w:r>
        <w:rPr>
          <w:color w:val="231F20"/>
          <w:w w:val="105"/>
        </w:rPr>
        <w:t>comprehensive</w:t>
      </w:r>
      <w:r>
        <w:rPr>
          <w:color w:val="231F20"/>
          <w:spacing w:val="-16"/>
          <w:w w:val="105"/>
        </w:rPr>
        <w:t> </w:t>
      </w:r>
      <w:r>
        <w:rPr>
          <w:color w:val="231F20"/>
          <w:w w:val="105"/>
        </w:rPr>
        <w:t>science</w:t>
      </w:r>
      <w:r>
        <w:rPr>
          <w:color w:val="231F20"/>
          <w:spacing w:val="-16"/>
          <w:w w:val="105"/>
        </w:rPr>
        <w:t> </w:t>
      </w:r>
      <w:r>
        <w:rPr>
          <w:color w:val="231F20"/>
          <w:w w:val="105"/>
        </w:rPr>
        <w:t>of</w:t>
      </w:r>
      <w:r>
        <w:rPr>
          <w:color w:val="231F20"/>
          <w:spacing w:val="-13"/>
          <w:w w:val="105"/>
        </w:rPr>
        <w:t> </w:t>
      </w:r>
      <w:r>
        <w:rPr>
          <w:color w:val="231F20"/>
          <w:w w:val="105"/>
        </w:rPr>
        <w:t>adapta- tion in development”, </w:t>
      </w:r>
      <w:r>
        <w:rPr>
          <w:rFonts w:ascii="Arial" w:hAnsi="Arial"/>
          <w:i/>
          <w:color w:val="231F20"/>
          <w:w w:val="105"/>
        </w:rPr>
        <w:t>Development and Psychopathology</w:t>
      </w:r>
      <w:r>
        <w:rPr>
          <w:color w:val="231F20"/>
          <w:w w:val="105"/>
        </w:rPr>
        <w:t>, vol. 12,</w:t>
      </w:r>
      <w:r>
        <w:rPr>
          <w:color w:val="231F20"/>
          <w:spacing w:val="-24"/>
          <w:w w:val="105"/>
        </w:rPr>
        <w:t> </w:t>
      </w:r>
      <w:r>
        <w:rPr>
          <w:color w:val="231F20"/>
          <w:w w:val="105"/>
        </w:rPr>
        <w:t>num.</w:t>
      </w:r>
      <w:r>
        <w:rPr>
          <w:color w:val="231F20"/>
          <w:spacing w:val="-24"/>
          <w:w w:val="105"/>
        </w:rPr>
        <w:t> </w:t>
      </w:r>
      <w:r>
        <w:rPr>
          <w:color w:val="231F20"/>
          <w:w w:val="105"/>
        </w:rPr>
        <w:t>3.</w:t>
      </w:r>
    </w:p>
    <w:p>
      <w:pPr>
        <w:pStyle w:val="BodyText"/>
        <w:spacing w:line="261" w:lineRule="auto" w:before="1"/>
        <w:ind w:left="2460" w:right="1829" w:hanging="738"/>
        <w:jc w:val="both"/>
      </w:pPr>
      <w:r>
        <w:rPr>
          <w:color w:val="231F20"/>
        </w:rPr>
        <w:t>Moll, Luis, Amanti, </w:t>
      </w:r>
      <w:r>
        <w:rPr>
          <w:color w:val="231F20"/>
          <w:spacing w:val="-3"/>
        </w:rPr>
        <w:t>Cathy, </w:t>
      </w:r>
      <w:r>
        <w:rPr>
          <w:color w:val="231F20"/>
        </w:rPr>
        <w:t>Neff, Deborah and Gonzalez, Norma, (1992), “Funds of  knowledge for teaching: Using a qualitative approach   to connect homes and </w:t>
      </w:r>
      <w:r>
        <w:rPr>
          <w:color w:val="231F20"/>
          <w:spacing w:val="-3"/>
        </w:rPr>
        <w:t>classrooms”, </w:t>
      </w:r>
      <w:r>
        <w:rPr>
          <w:rFonts w:ascii="Arial" w:hAnsi="Arial"/>
          <w:i/>
          <w:color w:val="231F20"/>
        </w:rPr>
        <w:t>Theory into Practice</w:t>
      </w:r>
      <w:r>
        <w:rPr>
          <w:color w:val="231F20"/>
        </w:rPr>
        <w:t>, vol. 31, num.</w:t>
      </w:r>
      <w:r>
        <w:rPr>
          <w:color w:val="231F20"/>
          <w:spacing w:val="8"/>
        </w:rPr>
        <w:t> </w:t>
      </w:r>
      <w:r>
        <w:rPr>
          <w:color w:val="231F20"/>
        </w:rPr>
        <w:t>2.</w:t>
      </w:r>
    </w:p>
    <w:p>
      <w:pPr>
        <w:pStyle w:val="BodyText"/>
        <w:spacing w:line="261" w:lineRule="auto" w:before="1"/>
        <w:ind w:left="2460" w:right="1835" w:hanging="738"/>
        <w:jc w:val="both"/>
      </w:pPr>
      <w:r>
        <w:rPr>
          <w:color w:val="231F20"/>
          <w:w w:val="105"/>
        </w:rPr>
        <w:t>Morando, Sara, (2013), “Paths to mobility: The Mexican second gene- ration at work in a new destination”, </w:t>
      </w:r>
      <w:r>
        <w:rPr>
          <w:rFonts w:ascii="Arial" w:hAnsi="Arial"/>
          <w:i/>
          <w:color w:val="231F20"/>
          <w:w w:val="105"/>
        </w:rPr>
        <w:t>The Sociological Quarterly, </w:t>
      </w:r>
      <w:r>
        <w:rPr>
          <w:color w:val="231F20"/>
          <w:w w:val="105"/>
        </w:rPr>
        <w:t>num. 54. DOI: 10.1111/tsq.12019.</w:t>
      </w:r>
    </w:p>
    <w:p>
      <w:pPr>
        <w:pStyle w:val="BodyText"/>
        <w:rPr>
          <w:sz w:val="20"/>
        </w:rPr>
      </w:pPr>
    </w:p>
    <w:p>
      <w:pPr>
        <w:pStyle w:val="BodyText"/>
        <w:rPr>
          <w:sz w:val="23"/>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4000" from="131.551193pt,3.753715pt" to="131.551193pt,39.556114pt" stroked="true" strokeweight=".35pt" strokecolor="#231f20">
            <w10:wrap type="none"/>
          </v:line>
        </w:pict>
      </w:r>
      <w:r>
        <w:rPr/>
        <w:pict>
          <v:line style="position:absolute;mso-position-horizontal-relative:page;mso-position-vertical-relative:paragraph;z-index:-483928" from="15pt,39.555916pt" to="0pt,39.555916pt" stroked="true" strokeweight=".25pt" strokecolor="#000000">
            <w10:wrap type="none"/>
          </v:line>
        </w:pict>
      </w:r>
      <w:r>
        <w:rPr/>
        <w:pict>
          <v:line style="position:absolute;mso-position-horizontal-relative:page;mso-position-vertical-relative:paragraph;z-index:6280" from="508.890015pt,39.555916pt" to="523.890015pt,39.555916pt" stroked="true" strokeweight=".25pt" strokecolor="#000000">
            <w10:wrap type="none"/>
          </v:line>
        </w:pict>
      </w:r>
      <w:r>
        <w:rPr>
          <w:rFonts w:ascii="Arial" w:hAnsi="Arial"/>
          <w:color w:val="414042"/>
          <w:position w:val="-5"/>
          <w:sz w:val="20"/>
        </w:rPr>
        <w:t>62</w:t>
        <w:tab/>
      </w:r>
      <w:r>
        <w:rPr>
          <w:rFonts w:ascii="Calibri" w:hAnsi="Calibri"/>
          <w:color w:val="6D6E71"/>
          <w:sz w:val="15"/>
        </w:rPr>
        <w:t>Harriett Romo, Janeth Martínez y Christina  </w:t>
      </w:r>
      <w:r>
        <w:rPr>
          <w:rFonts w:ascii="Calibri" w:hAnsi="Calibri"/>
          <w:color w:val="6D6E71"/>
          <w:spacing w:val="15"/>
          <w:sz w:val="15"/>
        </w:rPr>
        <w:t> </w:t>
      </w:r>
      <w:r>
        <w:rPr>
          <w:rFonts w:ascii="Calibri" w:hAnsi="Calibri"/>
          <w:color w:val="6D6E71"/>
          <w:sz w:val="15"/>
        </w:rPr>
        <w:t>López-Mobilia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4958" w:right="0" w:firstLine="0"/>
        <w:jc w:val="left"/>
        <w:rPr>
          <w:rFonts w:ascii="Arial"/>
          <w:sz w:val="20"/>
        </w:rPr>
      </w:pPr>
      <w:r>
        <w:rPr/>
        <w:pict>
          <v:line style="position:absolute;mso-position-horizontal-relative:page;mso-position-vertical-relative:paragraph;z-index:-483880" from="405.061005pt,-18.554295pt" to="405.061005pt,16.311579pt" stroked="true" strokeweight=".35pt" strokecolor="#231f20">
            <w10:wrap type="none"/>
          </v:line>
        </w:pict>
      </w:r>
      <w:r>
        <w:rPr/>
        <w:pict>
          <v:line style="position:absolute;mso-position-horizontal-relative:page;mso-position-vertical-relative:paragraph;z-index:6328" from="15pt,-18.554522pt" to="0pt,-18.554522pt" stroked="true" strokeweight=".25pt" strokecolor="#000000">
            <w10:wrap type="none"/>
          </v:line>
        </w:pict>
      </w:r>
      <w:r>
        <w:rPr/>
        <w:pict>
          <v:line style="position:absolute;mso-position-horizontal-relative:page;mso-position-vertical-relative:paragraph;z-index:6352" from="508.890015pt,-18.554522pt" to="523.890015pt,-18.554522pt" stroked="true" strokeweight=".25pt" strokecolor="#000000">
            <w10:wrap type="none"/>
          </v:line>
        </w:pict>
      </w:r>
      <w:r>
        <w:rPr>
          <w:rFonts w:ascii="Lucida Sans Unicode"/>
          <w:color w:val="6D6E71"/>
          <w:w w:val="105"/>
          <w:sz w:val="14"/>
        </w:rPr>
        <w:t>Children</w:t>
      </w:r>
      <w:r>
        <w:rPr>
          <w:rFonts w:ascii="Lucida Sans Unicode"/>
          <w:color w:val="6D6E71"/>
          <w:spacing w:val="-10"/>
          <w:w w:val="105"/>
          <w:sz w:val="14"/>
        </w:rPr>
        <w:t> </w:t>
      </w:r>
      <w:r>
        <w:rPr>
          <w:rFonts w:ascii="Lucida Sans Unicode"/>
          <w:color w:val="6D6E71"/>
          <w:w w:val="105"/>
          <w:sz w:val="14"/>
        </w:rPr>
        <w:t>of</w:t>
      </w:r>
      <w:r>
        <w:rPr>
          <w:rFonts w:ascii="Lucida Sans Unicode"/>
          <w:color w:val="6D6E71"/>
          <w:spacing w:val="-10"/>
          <w:w w:val="105"/>
          <w:sz w:val="14"/>
        </w:rPr>
        <w:t> </w:t>
      </w:r>
      <w:r>
        <w:rPr>
          <w:rFonts w:ascii="Lucida Sans Unicode"/>
          <w:color w:val="6D6E71"/>
          <w:w w:val="105"/>
          <w:sz w:val="14"/>
        </w:rPr>
        <w:t>immigrants</w:t>
      </w:r>
      <w:r>
        <w:rPr>
          <w:rFonts w:ascii="Lucida Sans Unicode"/>
          <w:color w:val="6D6E71"/>
          <w:spacing w:val="-10"/>
          <w:w w:val="105"/>
          <w:sz w:val="14"/>
        </w:rPr>
        <w:t> </w:t>
      </w:r>
      <w:r>
        <w:rPr>
          <w:rFonts w:ascii="Lucida Sans Unicode"/>
          <w:color w:val="6D6E71"/>
          <w:w w:val="105"/>
          <w:sz w:val="14"/>
        </w:rPr>
        <w:t>in</w:t>
      </w:r>
      <w:r>
        <w:rPr>
          <w:rFonts w:ascii="Lucida Sans Unicode"/>
          <w:color w:val="6D6E71"/>
          <w:spacing w:val="-10"/>
          <w:w w:val="105"/>
          <w:sz w:val="14"/>
        </w:rPr>
        <w:t> </w:t>
      </w:r>
      <w:r>
        <w:rPr>
          <w:rFonts w:ascii="Lucida Sans Unicode"/>
          <w:color w:val="6D6E71"/>
          <w:w w:val="105"/>
          <w:sz w:val="14"/>
        </w:rPr>
        <w:t>the</w:t>
      </w:r>
      <w:r>
        <w:rPr>
          <w:rFonts w:ascii="Lucida Sans Unicode"/>
          <w:color w:val="6D6E71"/>
          <w:spacing w:val="-10"/>
          <w:w w:val="105"/>
          <w:sz w:val="14"/>
        </w:rPr>
        <w:t> </w:t>
      </w:r>
      <w:r>
        <w:rPr>
          <w:rFonts w:ascii="Lucida Sans Unicode"/>
          <w:color w:val="6D6E71"/>
          <w:w w:val="105"/>
          <w:sz w:val="14"/>
        </w:rPr>
        <w:t>United</w:t>
      </w:r>
      <w:r>
        <w:rPr>
          <w:rFonts w:ascii="Lucida Sans Unicode"/>
          <w:color w:val="6D6E71"/>
          <w:spacing w:val="-10"/>
          <w:w w:val="105"/>
          <w:sz w:val="14"/>
        </w:rPr>
        <w:t> </w:t>
      </w:r>
      <w:r>
        <w:rPr>
          <w:rFonts w:ascii="Lucida Sans Unicode"/>
          <w:color w:val="6D6E71"/>
          <w:spacing w:val="-3"/>
          <w:w w:val="105"/>
          <w:sz w:val="14"/>
        </w:rPr>
        <w:t>states</w:t>
      </w:r>
      <w:r>
        <w:rPr>
          <w:rFonts w:ascii="Arial"/>
          <w:color w:val="414042"/>
          <w:spacing w:val="-3"/>
          <w:w w:val="105"/>
          <w:position w:val="-3"/>
          <w:sz w:val="20"/>
        </w:rPr>
        <w:tab/>
      </w:r>
      <w:r>
        <w:rPr>
          <w:rFonts w:ascii="Arial"/>
          <w:color w:val="414042"/>
          <w:w w:val="105"/>
          <w:position w:val="-3"/>
          <w:sz w:val="20"/>
        </w:rPr>
        <w:t>63</w:t>
      </w:r>
    </w:p>
    <w:p>
      <w:pPr>
        <w:pStyle w:val="BodyText"/>
        <w:rPr>
          <w:rFonts w:ascii="Arial"/>
          <w:sz w:val="20"/>
        </w:rPr>
      </w:pPr>
    </w:p>
    <w:p>
      <w:pPr>
        <w:pStyle w:val="BodyText"/>
        <w:rPr>
          <w:rFonts w:ascii="Arial"/>
          <w:sz w:val="20"/>
        </w:rPr>
      </w:pPr>
    </w:p>
    <w:p>
      <w:pPr>
        <w:pStyle w:val="BodyText"/>
        <w:spacing w:line="259" w:lineRule="auto" w:before="176"/>
        <w:ind w:left="2574" w:right="1721" w:hanging="738"/>
        <w:jc w:val="both"/>
      </w:pPr>
      <w:r>
        <w:rPr>
          <w:color w:val="231F20"/>
          <w:w w:val="105"/>
        </w:rPr>
        <w:t>National Center for Education Statistics, (2015), </w:t>
      </w:r>
      <w:r>
        <w:rPr>
          <w:rFonts w:ascii="Arial"/>
          <w:i/>
          <w:color w:val="231F20"/>
          <w:w w:val="105"/>
        </w:rPr>
        <w:t>The condition of edu- </w:t>
      </w:r>
      <w:r>
        <w:rPr>
          <w:rFonts w:ascii="Arial"/>
          <w:i/>
          <w:color w:val="231F20"/>
          <w:w w:val="105"/>
        </w:rPr>
        <w:t>cation 2015</w:t>
      </w:r>
      <w:r>
        <w:rPr>
          <w:color w:val="231F20"/>
          <w:w w:val="105"/>
        </w:rPr>
        <w:t>, United States Department of Education, retrieved from:  </w:t>
      </w:r>
      <w:hyperlink r:id="rId53">
        <w:r>
          <w:rPr>
            <w:color w:val="231F20"/>
            <w:w w:val="105"/>
          </w:rPr>
          <w:t>http://nces.ed.gov/pubs2015/2015144.pdf</w:t>
        </w:r>
      </w:hyperlink>
    </w:p>
    <w:p>
      <w:pPr>
        <w:spacing w:line="259" w:lineRule="auto" w:before="0"/>
        <w:ind w:left="2574" w:right="1715" w:hanging="737"/>
        <w:jc w:val="both"/>
        <w:rPr>
          <w:sz w:val="21"/>
        </w:rPr>
      </w:pPr>
      <w:r>
        <w:rPr>
          <w:color w:val="231F20"/>
          <w:w w:val="105"/>
          <w:sz w:val="21"/>
        </w:rPr>
        <w:t>Nicholls,</w:t>
      </w:r>
      <w:r>
        <w:rPr>
          <w:color w:val="231F20"/>
          <w:spacing w:val="-12"/>
          <w:w w:val="105"/>
          <w:sz w:val="21"/>
        </w:rPr>
        <w:t> </w:t>
      </w:r>
      <w:r>
        <w:rPr>
          <w:color w:val="231F20"/>
          <w:spacing w:val="-3"/>
          <w:w w:val="105"/>
          <w:sz w:val="21"/>
        </w:rPr>
        <w:t>Walter,</w:t>
      </w:r>
      <w:r>
        <w:rPr>
          <w:color w:val="231F20"/>
          <w:spacing w:val="-10"/>
          <w:w w:val="105"/>
          <w:sz w:val="21"/>
        </w:rPr>
        <w:t> </w:t>
      </w:r>
      <w:r>
        <w:rPr>
          <w:color w:val="231F20"/>
          <w:w w:val="105"/>
          <w:sz w:val="21"/>
        </w:rPr>
        <w:t>(2013),</w:t>
      </w:r>
      <w:r>
        <w:rPr>
          <w:color w:val="231F20"/>
          <w:spacing w:val="-10"/>
          <w:w w:val="105"/>
          <w:sz w:val="21"/>
        </w:rPr>
        <w:t> </w:t>
      </w:r>
      <w:r>
        <w:rPr>
          <w:rFonts w:ascii="Arial"/>
          <w:i/>
          <w:color w:val="231F20"/>
          <w:w w:val="105"/>
          <w:sz w:val="21"/>
        </w:rPr>
        <w:t>The</w:t>
      </w:r>
      <w:r>
        <w:rPr>
          <w:rFonts w:ascii="Arial"/>
          <w:i/>
          <w:color w:val="231F20"/>
          <w:spacing w:val="-8"/>
          <w:w w:val="105"/>
          <w:sz w:val="21"/>
        </w:rPr>
        <w:t> </w:t>
      </w:r>
      <w:r>
        <w:rPr>
          <w:rFonts w:ascii="Arial"/>
          <w:i/>
          <w:color w:val="231F20"/>
          <w:w w:val="105"/>
          <w:sz w:val="21"/>
        </w:rPr>
        <w:t>DREAMers:</w:t>
      </w:r>
      <w:r>
        <w:rPr>
          <w:rFonts w:ascii="Arial"/>
          <w:i/>
          <w:color w:val="231F20"/>
          <w:spacing w:val="-8"/>
          <w:w w:val="105"/>
          <w:sz w:val="21"/>
        </w:rPr>
        <w:t> </w:t>
      </w:r>
      <w:r>
        <w:rPr>
          <w:rFonts w:ascii="Arial"/>
          <w:i/>
          <w:color w:val="231F20"/>
          <w:w w:val="105"/>
          <w:sz w:val="21"/>
        </w:rPr>
        <w:t>How</w:t>
      </w:r>
      <w:r>
        <w:rPr>
          <w:rFonts w:ascii="Arial"/>
          <w:i/>
          <w:color w:val="231F20"/>
          <w:spacing w:val="-8"/>
          <w:w w:val="105"/>
          <w:sz w:val="21"/>
        </w:rPr>
        <w:t> </w:t>
      </w:r>
      <w:r>
        <w:rPr>
          <w:rFonts w:ascii="Arial"/>
          <w:i/>
          <w:color w:val="231F20"/>
          <w:w w:val="105"/>
          <w:sz w:val="21"/>
        </w:rPr>
        <w:t>the</w:t>
      </w:r>
      <w:r>
        <w:rPr>
          <w:rFonts w:ascii="Arial"/>
          <w:i/>
          <w:color w:val="231F20"/>
          <w:spacing w:val="-8"/>
          <w:w w:val="105"/>
          <w:sz w:val="21"/>
        </w:rPr>
        <w:t> </w:t>
      </w:r>
      <w:r>
        <w:rPr>
          <w:rFonts w:ascii="Arial"/>
          <w:i/>
          <w:color w:val="231F20"/>
          <w:w w:val="105"/>
          <w:sz w:val="21"/>
        </w:rPr>
        <w:t>undocumented</w:t>
      </w:r>
      <w:r>
        <w:rPr>
          <w:rFonts w:ascii="Arial"/>
          <w:i/>
          <w:color w:val="231F20"/>
          <w:spacing w:val="-8"/>
          <w:w w:val="105"/>
          <w:sz w:val="21"/>
        </w:rPr>
        <w:t> </w:t>
      </w:r>
      <w:r>
        <w:rPr>
          <w:rFonts w:ascii="Arial"/>
          <w:i/>
          <w:color w:val="231F20"/>
          <w:w w:val="105"/>
          <w:sz w:val="21"/>
        </w:rPr>
        <w:t>youth </w:t>
      </w:r>
      <w:r>
        <w:rPr>
          <w:rFonts w:ascii="Arial"/>
          <w:i/>
          <w:color w:val="231F20"/>
          <w:w w:val="105"/>
          <w:sz w:val="21"/>
        </w:rPr>
        <w:t>movement transformed the immigrant rights debate</w:t>
      </w:r>
      <w:r>
        <w:rPr>
          <w:color w:val="231F20"/>
          <w:w w:val="105"/>
          <w:sz w:val="21"/>
        </w:rPr>
        <w:t>, Stanford, </w:t>
      </w:r>
      <w:r>
        <w:rPr>
          <w:color w:val="231F20"/>
          <w:sz w:val="21"/>
        </w:rPr>
        <w:t>CA: Stanford University</w:t>
      </w:r>
      <w:r>
        <w:rPr>
          <w:color w:val="231F20"/>
          <w:spacing w:val="-7"/>
          <w:sz w:val="21"/>
        </w:rPr>
        <w:t> </w:t>
      </w:r>
      <w:r>
        <w:rPr>
          <w:color w:val="231F20"/>
          <w:spacing w:val="-3"/>
          <w:sz w:val="21"/>
        </w:rPr>
        <w:t>Press.</w:t>
      </w:r>
    </w:p>
    <w:p>
      <w:pPr>
        <w:pStyle w:val="BodyText"/>
        <w:spacing w:line="261" w:lineRule="auto" w:before="3"/>
        <w:ind w:left="2574" w:right="1715" w:hanging="738"/>
        <w:jc w:val="both"/>
      </w:pPr>
      <w:r>
        <w:rPr>
          <w:color w:val="231F20"/>
          <w:w w:val="105"/>
        </w:rPr>
        <w:t>Ovink,</w:t>
      </w:r>
      <w:r>
        <w:rPr>
          <w:color w:val="231F20"/>
          <w:spacing w:val="-26"/>
          <w:w w:val="105"/>
        </w:rPr>
        <w:t> </w:t>
      </w:r>
      <w:r>
        <w:rPr>
          <w:color w:val="231F20"/>
          <w:w w:val="105"/>
        </w:rPr>
        <w:t>Sarah,</w:t>
      </w:r>
      <w:r>
        <w:rPr>
          <w:color w:val="231F20"/>
          <w:spacing w:val="-26"/>
          <w:w w:val="105"/>
        </w:rPr>
        <w:t> </w:t>
      </w:r>
      <w:r>
        <w:rPr>
          <w:color w:val="231F20"/>
          <w:w w:val="105"/>
        </w:rPr>
        <w:t>(2013),</w:t>
      </w:r>
      <w:r>
        <w:rPr>
          <w:color w:val="231F20"/>
          <w:spacing w:val="-26"/>
          <w:w w:val="105"/>
        </w:rPr>
        <w:t> </w:t>
      </w:r>
      <w:r>
        <w:rPr>
          <w:color w:val="231F20"/>
          <w:w w:val="105"/>
        </w:rPr>
        <w:t>“‘They</w:t>
      </w:r>
      <w:r>
        <w:rPr>
          <w:color w:val="231F20"/>
          <w:spacing w:val="-23"/>
          <w:w w:val="105"/>
        </w:rPr>
        <w:t> </w:t>
      </w:r>
      <w:r>
        <w:rPr>
          <w:color w:val="231F20"/>
          <w:w w:val="105"/>
        </w:rPr>
        <w:t>always</w:t>
      </w:r>
      <w:r>
        <w:rPr>
          <w:color w:val="231F20"/>
          <w:spacing w:val="-23"/>
          <w:w w:val="105"/>
        </w:rPr>
        <w:t> </w:t>
      </w:r>
      <w:r>
        <w:rPr>
          <w:color w:val="231F20"/>
          <w:w w:val="105"/>
        </w:rPr>
        <w:t>call</w:t>
      </w:r>
      <w:r>
        <w:rPr>
          <w:color w:val="231F20"/>
          <w:spacing w:val="-23"/>
          <w:w w:val="105"/>
        </w:rPr>
        <w:t> </w:t>
      </w:r>
      <w:r>
        <w:rPr>
          <w:color w:val="231F20"/>
          <w:w w:val="105"/>
        </w:rPr>
        <w:t>me</w:t>
      </w:r>
      <w:r>
        <w:rPr>
          <w:color w:val="231F20"/>
          <w:spacing w:val="-23"/>
          <w:w w:val="105"/>
        </w:rPr>
        <w:t> </w:t>
      </w:r>
      <w:r>
        <w:rPr>
          <w:color w:val="231F20"/>
          <w:w w:val="105"/>
        </w:rPr>
        <w:t>an</w:t>
      </w:r>
      <w:r>
        <w:rPr>
          <w:color w:val="231F20"/>
          <w:spacing w:val="-23"/>
          <w:w w:val="105"/>
        </w:rPr>
        <w:t> </w:t>
      </w:r>
      <w:r>
        <w:rPr>
          <w:color w:val="231F20"/>
          <w:w w:val="105"/>
        </w:rPr>
        <w:t>investment:’</w:t>
      </w:r>
      <w:r>
        <w:rPr>
          <w:color w:val="231F20"/>
          <w:spacing w:val="-23"/>
          <w:w w:val="105"/>
        </w:rPr>
        <w:t> </w:t>
      </w:r>
      <w:r>
        <w:rPr>
          <w:color w:val="231F20"/>
          <w:w w:val="105"/>
        </w:rPr>
        <w:t>Gendered</w:t>
      </w:r>
      <w:r>
        <w:rPr>
          <w:color w:val="231F20"/>
          <w:spacing w:val="-23"/>
          <w:w w:val="105"/>
        </w:rPr>
        <w:t> </w:t>
      </w:r>
      <w:r>
        <w:rPr>
          <w:color w:val="231F20"/>
          <w:w w:val="105"/>
        </w:rPr>
        <w:t>fa- milism</w:t>
      </w:r>
      <w:r>
        <w:rPr>
          <w:color w:val="231F20"/>
          <w:spacing w:val="-5"/>
          <w:w w:val="105"/>
        </w:rPr>
        <w:t> </w:t>
      </w:r>
      <w:r>
        <w:rPr>
          <w:color w:val="231F20"/>
          <w:w w:val="105"/>
        </w:rPr>
        <w:t>and</w:t>
      </w:r>
      <w:r>
        <w:rPr>
          <w:color w:val="231F20"/>
          <w:spacing w:val="-5"/>
          <w:w w:val="105"/>
        </w:rPr>
        <w:t> </w:t>
      </w:r>
      <w:r>
        <w:rPr>
          <w:color w:val="231F20"/>
          <w:w w:val="105"/>
        </w:rPr>
        <w:t>Latino/a</w:t>
      </w:r>
      <w:r>
        <w:rPr>
          <w:color w:val="231F20"/>
          <w:spacing w:val="-5"/>
          <w:w w:val="105"/>
        </w:rPr>
        <w:t> </w:t>
      </w:r>
      <w:r>
        <w:rPr>
          <w:color w:val="231F20"/>
          <w:w w:val="105"/>
        </w:rPr>
        <w:t>college</w:t>
      </w:r>
      <w:r>
        <w:rPr>
          <w:color w:val="231F20"/>
          <w:spacing w:val="-5"/>
          <w:w w:val="105"/>
        </w:rPr>
        <w:t> </w:t>
      </w:r>
      <w:r>
        <w:rPr>
          <w:color w:val="231F20"/>
          <w:spacing w:val="-3"/>
          <w:w w:val="105"/>
        </w:rPr>
        <w:t>pathways”,</w:t>
      </w:r>
      <w:r>
        <w:rPr>
          <w:color w:val="231F20"/>
          <w:spacing w:val="-10"/>
          <w:w w:val="105"/>
        </w:rPr>
        <w:t> </w:t>
      </w:r>
      <w:r>
        <w:rPr>
          <w:rFonts w:ascii="Arial" w:hAnsi="Arial"/>
          <w:i/>
          <w:color w:val="231F20"/>
          <w:w w:val="105"/>
        </w:rPr>
        <w:t>Gender</w:t>
      </w:r>
      <w:r>
        <w:rPr>
          <w:rFonts w:ascii="Arial" w:hAnsi="Arial"/>
          <w:i/>
          <w:color w:val="231F20"/>
          <w:spacing w:val="-7"/>
          <w:w w:val="105"/>
        </w:rPr>
        <w:t> </w:t>
      </w:r>
      <w:r>
        <w:rPr>
          <w:rFonts w:ascii="Arial" w:hAnsi="Arial"/>
          <w:i/>
          <w:color w:val="231F20"/>
          <w:w w:val="105"/>
        </w:rPr>
        <w:t>and</w:t>
      </w:r>
      <w:r>
        <w:rPr>
          <w:rFonts w:ascii="Arial" w:hAnsi="Arial"/>
          <w:i/>
          <w:color w:val="231F20"/>
          <w:spacing w:val="-7"/>
          <w:w w:val="105"/>
        </w:rPr>
        <w:t> </w:t>
      </w:r>
      <w:r>
        <w:rPr>
          <w:rFonts w:ascii="Arial" w:hAnsi="Arial"/>
          <w:i/>
          <w:color w:val="231F20"/>
          <w:w w:val="105"/>
        </w:rPr>
        <w:t>Society,</w:t>
      </w:r>
      <w:r>
        <w:rPr>
          <w:rFonts w:ascii="Arial" w:hAnsi="Arial"/>
          <w:i/>
          <w:color w:val="231F20"/>
          <w:spacing w:val="-7"/>
          <w:w w:val="105"/>
        </w:rPr>
        <w:t> </w:t>
      </w:r>
      <w:r>
        <w:rPr>
          <w:color w:val="231F20"/>
          <w:w w:val="105"/>
        </w:rPr>
        <w:t>vol. 28,</w:t>
      </w:r>
      <w:r>
        <w:rPr>
          <w:color w:val="231F20"/>
          <w:spacing w:val="-24"/>
          <w:w w:val="105"/>
        </w:rPr>
        <w:t> </w:t>
      </w:r>
      <w:r>
        <w:rPr>
          <w:color w:val="231F20"/>
          <w:w w:val="105"/>
        </w:rPr>
        <w:t>num.</w:t>
      </w:r>
      <w:r>
        <w:rPr>
          <w:color w:val="231F20"/>
          <w:spacing w:val="-24"/>
          <w:w w:val="105"/>
        </w:rPr>
        <w:t> </w:t>
      </w:r>
      <w:r>
        <w:rPr>
          <w:color w:val="231F20"/>
          <w:w w:val="105"/>
        </w:rPr>
        <w:t>2.</w:t>
      </w:r>
    </w:p>
    <w:p>
      <w:pPr>
        <w:spacing w:line="259" w:lineRule="auto" w:before="0"/>
        <w:ind w:left="2574" w:right="1721" w:hanging="738"/>
        <w:jc w:val="both"/>
        <w:rPr>
          <w:sz w:val="21"/>
        </w:rPr>
      </w:pPr>
      <w:r>
        <w:rPr>
          <w:color w:val="231F20"/>
          <w:w w:val="105"/>
          <w:sz w:val="21"/>
        </w:rPr>
        <w:t>Passel,</w:t>
      </w:r>
      <w:r>
        <w:rPr>
          <w:color w:val="231F20"/>
          <w:spacing w:val="-35"/>
          <w:w w:val="105"/>
          <w:sz w:val="21"/>
        </w:rPr>
        <w:t> </w:t>
      </w:r>
      <w:r>
        <w:rPr>
          <w:color w:val="231F20"/>
          <w:w w:val="105"/>
          <w:sz w:val="21"/>
        </w:rPr>
        <w:t>Jeffreuy</w:t>
      </w:r>
      <w:r>
        <w:rPr>
          <w:color w:val="231F20"/>
          <w:spacing w:val="-31"/>
          <w:w w:val="105"/>
          <w:sz w:val="21"/>
        </w:rPr>
        <w:t> </w:t>
      </w:r>
      <w:r>
        <w:rPr>
          <w:color w:val="231F20"/>
          <w:w w:val="105"/>
          <w:sz w:val="21"/>
        </w:rPr>
        <w:t>and</w:t>
      </w:r>
      <w:r>
        <w:rPr>
          <w:color w:val="231F20"/>
          <w:spacing w:val="-31"/>
          <w:w w:val="105"/>
          <w:sz w:val="21"/>
        </w:rPr>
        <w:t> </w:t>
      </w:r>
      <w:r>
        <w:rPr>
          <w:color w:val="231F20"/>
          <w:w w:val="105"/>
          <w:sz w:val="21"/>
        </w:rPr>
        <w:t>Cohn,</w:t>
      </w:r>
      <w:r>
        <w:rPr>
          <w:color w:val="231F20"/>
          <w:spacing w:val="-34"/>
          <w:w w:val="105"/>
          <w:sz w:val="21"/>
        </w:rPr>
        <w:t> </w:t>
      </w:r>
      <w:r>
        <w:rPr>
          <w:color w:val="231F20"/>
          <w:w w:val="105"/>
          <w:sz w:val="21"/>
        </w:rPr>
        <w:t>D’Vera,</w:t>
      </w:r>
      <w:r>
        <w:rPr>
          <w:color w:val="231F20"/>
          <w:spacing w:val="-34"/>
          <w:w w:val="105"/>
          <w:sz w:val="21"/>
        </w:rPr>
        <w:t> </w:t>
      </w:r>
      <w:r>
        <w:rPr>
          <w:color w:val="231F20"/>
          <w:w w:val="105"/>
          <w:sz w:val="21"/>
        </w:rPr>
        <w:t>(2014),</w:t>
      </w:r>
      <w:r>
        <w:rPr>
          <w:color w:val="231F20"/>
          <w:spacing w:val="-34"/>
          <w:w w:val="105"/>
          <w:sz w:val="21"/>
        </w:rPr>
        <w:t> </w:t>
      </w:r>
      <w:r>
        <w:rPr>
          <w:rFonts w:ascii="Arial" w:hAnsi="Arial"/>
          <w:i/>
          <w:color w:val="231F20"/>
          <w:w w:val="105"/>
          <w:sz w:val="21"/>
        </w:rPr>
        <w:t>Unauthorized</w:t>
      </w:r>
      <w:r>
        <w:rPr>
          <w:rFonts w:ascii="Arial" w:hAnsi="Arial"/>
          <w:i/>
          <w:color w:val="231F20"/>
          <w:spacing w:val="-34"/>
          <w:w w:val="105"/>
          <w:sz w:val="21"/>
        </w:rPr>
        <w:t> </w:t>
      </w:r>
      <w:r>
        <w:rPr>
          <w:rFonts w:ascii="Arial" w:hAnsi="Arial"/>
          <w:i/>
          <w:color w:val="231F20"/>
          <w:w w:val="105"/>
          <w:sz w:val="21"/>
        </w:rPr>
        <w:t>immigrant</w:t>
      </w:r>
      <w:r>
        <w:rPr>
          <w:rFonts w:ascii="Arial" w:hAnsi="Arial"/>
          <w:i/>
          <w:color w:val="231F20"/>
          <w:spacing w:val="-34"/>
          <w:w w:val="105"/>
          <w:sz w:val="21"/>
        </w:rPr>
        <w:t> </w:t>
      </w:r>
      <w:r>
        <w:rPr>
          <w:rFonts w:ascii="Arial" w:hAnsi="Arial"/>
          <w:i/>
          <w:color w:val="231F20"/>
          <w:w w:val="105"/>
          <w:sz w:val="21"/>
        </w:rPr>
        <w:t>totals </w:t>
      </w:r>
      <w:r>
        <w:rPr>
          <w:rFonts w:ascii="Arial" w:hAnsi="Arial"/>
          <w:i/>
          <w:color w:val="231F20"/>
          <w:w w:val="105"/>
          <w:sz w:val="21"/>
        </w:rPr>
        <w:t>rise</w:t>
      </w:r>
      <w:r>
        <w:rPr>
          <w:rFonts w:ascii="Arial" w:hAnsi="Arial"/>
          <w:i/>
          <w:color w:val="231F20"/>
          <w:spacing w:val="-16"/>
          <w:w w:val="105"/>
          <w:sz w:val="21"/>
        </w:rPr>
        <w:t> </w:t>
      </w:r>
      <w:r>
        <w:rPr>
          <w:rFonts w:ascii="Arial" w:hAnsi="Arial"/>
          <w:i/>
          <w:color w:val="231F20"/>
          <w:w w:val="105"/>
          <w:sz w:val="21"/>
        </w:rPr>
        <w:t>in</w:t>
      </w:r>
      <w:r>
        <w:rPr>
          <w:rFonts w:ascii="Arial" w:hAnsi="Arial"/>
          <w:i/>
          <w:color w:val="231F20"/>
          <w:spacing w:val="-16"/>
          <w:w w:val="105"/>
          <w:sz w:val="21"/>
        </w:rPr>
        <w:t> </w:t>
      </w:r>
      <w:r>
        <w:rPr>
          <w:rFonts w:ascii="Arial" w:hAnsi="Arial"/>
          <w:i/>
          <w:color w:val="231F20"/>
          <w:w w:val="105"/>
          <w:sz w:val="21"/>
        </w:rPr>
        <w:t>7</w:t>
      </w:r>
      <w:r>
        <w:rPr>
          <w:rFonts w:ascii="Arial" w:hAnsi="Arial"/>
          <w:i/>
          <w:color w:val="231F20"/>
          <w:spacing w:val="-16"/>
          <w:w w:val="105"/>
          <w:sz w:val="21"/>
        </w:rPr>
        <w:t> </w:t>
      </w:r>
      <w:r>
        <w:rPr>
          <w:rFonts w:ascii="Arial" w:hAnsi="Arial"/>
          <w:i/>
          <w:color w:val="231F20"/>
          <w:w w:val="105"/>
          <w:sz w:val="21"/>
        </w:rPr>
        <w:t>states,</w:t>
      </w:r>
      <w:r>
        <w:rPr>
          <w:rFonts w:ascii="Arial" w:hAnsi="Arial"/>
          <w:i/>
          <w:color w:val="231F20"/>
          <w:spacing w:val="-21"/>
          <w:w w:val="105"/>
          <w:sz w:val="21"/>
        </w:rPr>
        <w:t> </w:t>
      </w:r>
      <w:r>
        <w:rPr>
          <w:rFonts w:ascii="Arial" w:hAnsi="Arial"/>
          <w:i/>
          <w:color w:val="231F20"/>
          <w:w w:val="105"/>
          <w:sz w:val="21"/>
        </w:rPr>
        <w:t>fall</w:t>
      </w:r>
      <w:r>
        <w:rPr>
          <w:rFonts w:ascii="Arial" w:hAnsi="Arial"/>
          <w:i/>
          <w:color w:val="231F20"/>
          <w:spacing w:val="-16"/>
          <w:w w:val="105"/>
          <w:sz w:val="21"/>
        </w:rPr>
        <w:t> </w:t>
      </w:r>
      <w:r>
        <w:rPr>
          <w:rFonts w:ascii="Arial" w:hAnsi="Arial"/>
          <w:i/>
          <w:color w:val="231F20"/>
          <w:w w:val="105"/>
          <w:sz w:val="21"/>
        </w:rPr>
        <w:t>in</w:t>
      </w:r>
      <w:r>
        <w:rPr>
          <w:rFonts w:ascii="Arial" w:hAnsi="Arial"/>
          <w:i/>
          <w:color w:val="231F20"/>
          <w:spacing w:val="-16"/>
          <w:w w:val="105"/>
          <w:sz w:val="21"/>
        </w:rPr>
        <w:t> </w:t>
      </w:r>
      <w:r>
        <w:rPr>
          <w:rFonts w:ascii="Arial" w:hAnsi="Arial"/>
          <w:i/>
          <w:color w:val="231F20"/>
          <w:w w:val="105"/>
          <w:sz w:val="21"/>
        </w:rPr>
        <w:t>14:</w:t>
      </w:r>
      <w:r>
        <w:rPr>
          <w:rFonts w:ascii="Arial" w:hAnsi="Arial"/>
          <w:i/>
          <w:color w:val="231F20"/>
          <w:spacing w:val="-16"/>
          <w:w w:val="105"/>
          <w:sz w:val="21"/>
        </w:rPr>
        <w:t> </w:t>
      </w:r>
      <w:r>
        <w:rPr>
          <w:rFonts w:ascii="Arial" w:hAnsi="Arial"/>
          <w:i/>
          <w:color w:val="231F20"/>
          <w:w w:val="105"/>
          <w:sz w:val="21"/>
        </w:rPr>
        <w:t>Decline</w:t>
      </w:r>
      <w:r>
        <w:rPr>
          <w:rFonts w:ascii="Arial" w:hAnsi="Arial"/>
          <w:i/>
          <w:color w:val="231F20"/>
          <w:spacing w:val="-16"/>
          <w:w w:val="105"/>
          <w:sz w:val="21"/>
        </w:rPr>
        <w:t> </w:t>
      </w:r>
      <w:r>
        <w:rPr>
          <w:rFonts w:ascii="Arial" w:hAnsi="Arial"/>
          <w:i/>
          <w:color w:val="231F20"/>
          <w:w w:val="105"/>
          <w:sz w:val="21"/>
        </w:rPr>
        <w:t>in</w:t>
      </w:r>
      <w:r>
        <w:rPr>
          <w:rFonts w:ascii="Arial" w:hAnsi="Arial"/>
          <w:i/>
          <w:color w:val="231F20"/>
          <w:spacing w:val="-16"/>
          <w:w w:val="105"/>
          <w:sz w:val="21"/>
        </w:rPr>
        <w:t> </w:t>
      </w:r>
      <w:r>
        <w:rPr>
          <w:rFonts w:ascii="Arial" w:hAnsi="Arial"/>
          <w:i/>
          <w:color w:val="231F20"/>
          <w:w w:val="105"/>
          <w:sz w:val="21"/>
        </w:rPr>
        <w:t>those</w:t>
      </w:r>
      <w:r>
        <w:rPr>
          <w:rFonts w:ascii="Arial" w:hAnsi="Arial"/>
          <w:i/>
          <w:color w:val="231F20"/>
          <w:spacing w:val="-16"/>
          <w:w w:val="105"/>
          <w:sz w:val="21"/>
        </w:rPr>
        <w:t> </w:t>
      </w:r>
      <w:r>
        <w:rPr>
          <w:rFonts w:ascii="Arial" w:hAnsi="Arial"/>
          <w:i/>
          <w:color w:val="231F20"/>
          <w:w w:val="105"/>
          <w:sz w:val="21"/>
        </w:rPr>
        <w:t>from</w:t>
      </w:r>
      <w:r>
        <w:rPr>
          <w:rFonts w:ascii="Arial" w:hAnsi="Arial"/>
          <w:i/>
          <w:color w:val="231F20"/>
          <w:spacing w:val="-16"/>
          <w:w w:val="105"/>
          <w:sz w:val="21"/>
        </w:rPr>
        <w:t> </w:t>
      </w:r>
      <w:r>
        <w:rPr>
          <w:rFonts w:ascii="Arial" w:hAnsi="Arial"/>
          <w:i/>
          <w:color w:val="231F20"/>
          <w:w w:val="105"/>
          <w:sz w:val="21"/>
        </w:rPr>
        <w:t>Mexico</w:t>
      </w:r>
      <w:r>
        <w:rPr>
          <w:rFonts w:ascii="Arial" w:hAnsi="Arial"/>
          <w:i/>
          <w:color w:val="231F20"/>
          <w:spacing w:val="-16"/>
          <w:w w:val="105"/>
          <w:sz w:val="21"/>
        </w:rPr>
        <w:t> </w:t>
      </w:r>
      <w:r>
        <w:rPr>
          <w:rFonts w:ascii="Arial" w:hAnsi="Arial"/>
          <w:i/>
          <w:color w:val="231F20"/>
          <w:w w:val="105"/>
          <w:sz w:val="21"/>
        </w:rPr>
        <w:t>fuels</w:t>
      </w:r>
      <w:r>
        <w:rPr>
          <w:rFonts w:ascii="Arial" w:hAnsi="Arial"/>
          <w:i/>
          <w:color w:val="231F20"/>
          <w:spacing w:val="-16"/>
          <w:w w:val="105"/>
          <w:sz w:val="21"/>
        </w:rPr>
        <w:t> </w:t>
      </w:r>
      <w:r>
        <w:rPr>
          <w:rFonts w:ascii="Arial" w:hAnsi="Arial"/>
          <w:i/>
          <w:color w:val="231F20"/>
          <w:w w:val="105"/>
          <w:sz w:val="21"/>
        </w:rPr>
        <w:t>most state decreases</w:t>
      </w:r>
      <w:r>
        <w:rPr>
          <w:color w:val="231F20"/>
          <w:w w:val="105"/>
          <w:sz w:val="21"/>
        </w:rPr>
        <w:t>, Washington: </w:t>
      </w:r>
      <w:r>
        <w:rPr>
          <w:color w:val="231F20"/>
          <w:spacing w:val="-6"/>
          <w:w w:val="105"/>
          <w:sz w:val="21"/>
        </w:rPr>
        <w:t>Pew </w:t>
      </w:r>
      <w:r>
        <w:rPr>
          <w:color w:val="231F20"/>
          <w:w w:val="105"/>
          <w:sz w:val="21"/>
        </w:rPr>
        <w:t>Research Center’s Hispanic </w:t>
      </w:r>
      <w:r>
        <w:rPr>
          <w:color w:val="231F20"/>
          <w:spacing w:val="-4"/>
          <w:sz w:val="21"/>
        </w:rPr>
        <w:t>Trends</w:t>
      </w:r>
      <w:r>
        <w:rPr>
          <w:color w:val="231F20"/>
          <w:spacing w:val="4"/>
          <w:sz w:val="21"/>
        </w:rPr>
        <w:t> </w:t>
      </w:r>
      <w:r>
        <w:rPr>
          <w:color w:val="231F20"/>
          <w:sz w:val="21"/>
        </w:rPr>
        <w:t>Project.</w:t>
      </w:r>
    </w:p>
    <w:p>
      <w:pPr>
        <w:spacing w:line="259" w:lineRule="auto" w:before="0"/>
        <w:ind w:left="2574" w:right="1721" w:hanging="738"/>
        <w:jc w:val="both"/>
        <w:rPr>
          <w:sz w:val="21"/>
        </w:rPr>
      </w:pPr>
      <w:r>
        <w:rPr>
          <w:color w:val="231F20"/>
          <w:w w:val="105"/>
          <w:sz w:val="21"/>
        </w:rPr>
        <w:t>Portes, Alejandro and Rumbaut, Rubén, (2001), </w:t>
      </w:r>
      <w:r>
        <w:rPr>
          <w:rFonts w:ascii="Arial" w:hAnsi="Arial"/>
          <w:i/>
          <w:color w:val="231F20"/>
          <w:w w:val="105"/>
          <w:sz w:val="21"/>
        </w:rPr>
        <w:t>The story of the immi- </w:t>
      </w:r>
      <w:r>
        <w:rPr>
          <w:rFonts w:ascii="Arial" w:hAnsi="Arial"/>
          <w:i/>
          <w:color w:val="231F20"/>
          <w:w w:val="105"/>
          <w:sz w:val="21"/>
        </w:rPr>
        <w:t>grant second generation: Legacies</w:t>
      </w:r>
      <w:r>
        <w:rPr>
          <w:color w:val="231F20"/>
          <w:w w:val="105"/>
          <w:sz w:val="21"/>
        </w:rPr>
        <w:t>, Berkeley: University of</w:t>
      </w:r>
      <w:r>
        <w:rPr>
          <w:color w:val="231F20"/>
          <w:spacing w:val="-36"/>
          <w:w w:val="105"/>
          <w:sz w:val="21"/>
        </w:rPr>
        <w:t> </w:t>
      </w:r>
      <w:r>
        <w:rPr>
          <w:color w:val="231F20"/>
          <w:w w:val="105"/>
          <w:sz w:val="21"/>
        </w:rPr>
        <w:t>Cali- </w:t>
      </w:r>
      <w:r>
        <w:rPr>
          <w:color w:val="231F20"/>
          <w:sz w:val="21"/>
        </w:rPr>
        <w:t>fornia</w:t>
      </w:r>
      <w:r>
        <w:rPr>
          <w:color w:val="231F20"/>
          <w:spacing w:val="-17"/>
          <w:sz w:val="21"/>
        </w:rPr>
        <w:t> </w:t>
      </w:r>
      <w:r>
        <w:rPr>
          <w:color w:val="231F20"/>
          <w:sz w:val="21"/>
        </w:rPr>
        <w:t>Press.</w:t>
      </w:r>
    </w:p>
    <w:p>
      <w:pPr>
        <w:spacing w:line="259" w:lineRule="auto" w:before="3"/>
        <w:ind w:left="2574" w:right="1715" w:hanging="738"/>
        <w:jc w:val="both"/>
        <w:rPr>
          <w:sz w:val="21"/>
        </w:rPr>
      </w:pPr>
      <w:r>
        <w:rPr>
          <w:color w:val="231F20"/>
          <w:spacing w:val="-3"/>
          <w:w w:val="105"/>
          <w:sz w:val="21"/>
        </w:rPr>
        <w:t>Pugh,</w:t>
      </w:r>
      <w:r>
        <w:rPr>
          <w:color w:val="231F20"/>
          <w:spacing w:val="-10"/>
          <w:w w:val="105"/>
          <w:sz w:val="21"/>
        </w:rPr>
        <w:t> </w:t>
      </w:r>
      <w:r>
        <w:rPr>
          <w:color w:val="231F20"/>
          <w:w w:val="105"/>
          <w:sz w:val="21"/>
        </w:rPr>
        <w:t>Guillian,</w:t>
      </w:r>
      <w:r>
        <w:rPr>
          <w:color w:val="231F20"/>
          <w:spacing w:val="-10"/>
          <w:w w:val="105"/>
          <w:sz w:val="21"/>
        </w:rPr>
        <w:t> </w:t>
      </w:r>
      <w:r>
        <w:rPr>
          <w:color w:val="231F20"/>
          <w:w w:val="105"/>
          <w:sz w:val="21"/>
        </w:rPr>
        <w:t>(2009),</w:t>
      </w:r>
      <w:r>
        <w:rPr>
          <w:color w:val="231F20"/>
          <w:spacing w:val="-10"/>
          <w:w w:val="105"/>
          <w:sz w:val="21"/>
        </w:rPr>
        <w:t> </w:t>
      </w:r>
      <w:r>
        <w:rPr>
          <w:color w:val="231F20"/>
          <w:w w:val="105"/>
          <w:sz w:val="21"/>
        </w:rPr>
        <w:t>“Every</w:t>
      </w:r>
      <w:r>
        <w:rPr>
          <w:color w:val="231F20"/>
          <w:spacing w:val="-5"/>
          <w:w w:val="105"/>
          <w:sz w:val="21"/>
        </w:rPr>
        <w:t> </w:t>
      </w:r>
      <w:r>
        <w:rPr>
          <w:color w:val="231F20"/>
          <w:w w:val="105"/>
          <w:sz w:val="21"/>
        </w:rPr>
        <w:t>child</w:t>
      </w:r>
      <w:r>
        <w:rPr>
          <w:color w:val="231F20"/>
          <w:spacing w:val="-5"/>
          <w:w w:val="105"/>
          <w:sz w:val="21"/>
        </w:rPr>
        <w:t> </w:t>
      </w:r>
      <w:r>
        <w:rPr>
          <w:color w:val="231F20"/>
          <w:w w:val="105"/>
          <w:sz w:val="21"/>
        </w:rPr>
        <w:t>matters:</w:t>
      </w:r>
      <w:r>
        <w:rPr>
          <w:color w:val="231F20"/>
          <w:spacing w:val="-9"/>
          <w:w w:val="105"/>
          <w:sz w:val="21"/>
        </w:rPr>
        <w:t> </w:t>
      </w:r>
      <w:r>
        <w:rPr>
          <w:color w:val="231F20"/>
          <w:w w:val="105"/>
          <w:sz w:val="21"/>
        </w:rPr>
        <w:t>The</w:t>
      </w:r>
      <w:r>
        <w:rPr>
          <w:color w:val="231F20"/>
          <w:spacing w:val="-5"/>
          <w:w w:val="105"/>
          <w:sz w:val="21"/>
        </w:rPr>
        <w:t> </w:t>
      </w:r>
      <w:r>
        <w:rPr>
          <w:color w:val="231F20"/>
          <w:w w:val="105"/>
          <w:sz w:val="21"/>
        </w:rPr>
        <w:t>implications</w:t>
      </w:r>
      <w:r>
        <w:rPr>
          <w:color w:val="231F20"/>
          <w:spacing w:val="-5"/>
          <w:w w:val="105"/>
          <w:sz w:val="21"/>
        </w:rPr>
        <w:t> </w:t>
      </w:r>
      <w:r>
        <w:rPr>
          <w:color w:val="231F20"/>
          <w:w w:val="105"/>
          <w:sz w:val="21"/>
        </w:rPr>
        <w:t>for</w:t>
      </w:r>
      <w:r>
        <w:rPr>
          <w:color w:val="231F20"/>
          <w:spacing w:val="-5"/>
          <w:w w:val="105"/>
          <w:sz w:val="21"/>
        </w:rPr>
        <w:t> </w:t>
      </w:r>
      <w:r>
        <w:rPr>
          <w:color w:val="231F20"/>
          <w:w w:val="105"/>
          <w:sz w:val="21"/>
        </w:rPr>
        <w:t>service integration in </w:t>
      </w:r>
      <w:r>
        <w:rPr>
          <w:color w:val="231F20"/>
          <w:spacing w:val="-3"/>
          <w:w w:val="105"/>
          <w:sz w:val="21"/>
        </w:rPr>
        <w:t>England”, </w:t>
      </w:r>
      <w:r>
        <w:rPr>
          <w:color w:val="231F20"/>
          <w:w w:val="105"/>
          <w:sz w:val="21"/>
        </w:rPr>
        <w:t>in Joan Forbes and Cate Watson (eds), </w:t>
      </w:r>
      <w:r>
        <w:rPr>
          <w:rFonts w:ascii="Arial" w:hAnsi="Arial"/>
          <w:i/>
          <w:color w:val="231F20"/>
          <w:w w:val="105"/>
          <w:sz w:val="21"/>
        </w:rPr>
        <w:t>Service integration in schools: Research and policy discourses, </w:t>
      </w:r>
      <w:r>
        <w:rPr>
          <w:rFonts w:ascii="Arial" w:hAnsi="Arial"/>
          <w:i/>
          <w:color w:val="231F20"/>
          <w:w w:val="105"/>
          <w:sz w:val="21"/>
        </w:rPr>
        <w:t>practices</w:t>
      </w:r>
      <w:r>
        <w:rPr>
          <w:rFonts w:ascii="Arial" w:hAnsi="Arial"/>
          <w:i/>
          <w:color w:val="231F20"/>
          <w:spacing w:val="-40"/>
          <w:w w:val="105"/>
          <w:sz w:val="21"/>
        </w:rPr>
        <w:t> </w:t>
      </w:r>
      <w:r>
        <w:rPr>
          <w:rFonts w:ascii="Arial" w:hAnsi="Arial"/>
          <w:i/>
          <w:color w:val="231F20"/>
          <w:w w:val="105"/>
          <w:sz w:val="21"/>
        </w:rPr>
        <w:t>and</w:t>
      </w:r>
      <w:r>
        <w:rPr>
          <w:rFonts w:ascii="Arial" w:hAnsi="Arial"/>
          <w:i/>
          <w:color w:val="231F20"/>
          <w:spacing w:val="-40"/>
          <w:w w:val="105"/>
          <w:sz w:val="21"/>
        </w:rPr>
        <w:t> </w:t>
      </w:r>
      <w:r>
        <w:rPr>
          <w:rFonts w:ascii="Arial" w:hAnsi="Arial"/>
          <w:i/>
          <w:color w:val="231F20"/>
          <w:w w:val="105"/>
          <w:sz w:val="21"/>
        </w:rPr>
        <w:t>future</w:t>
      </w:r>
      <w:r>
        <w:rPr>
          <w:rFonts w:ascii="Arial" w:hAnsi="Arial"/>
          <w:i/>
          <w:color w:val="231F20"/>
          <w:spacing w:val="-40"/>
          <w:w w:val="105"/>
          <w:sz w:val="21"/>
        </w:rPr>
        <w:t> </w:t>
      </w:r>
      <w:r>
        <w:rPr>
          <w:rFonts w:ascii="Arial" w:hAnsi="Arial"/>
          <w:i/>
          <w:color w:val="231F20"/>
          <w:w w:val="105"/>
          <w:sz w:val="21"/>
        </w:rPr>
        <w:t>prospects</w:t>
      </w:r>
      <w:r>
        <w:rPr>
          <w:color w:val="231F20"/>
          <w:w w:val="105"/>
          <w:sz w:val="21"/>
        </w:rPr>
        <w:t>,</w:t>
      </w:r>
      <w:r>
        <w:rPr>
          <w:color w:val="231F20"/>
          <w:spacing w:val="-40"/>
          <w:w w:val="105"/>
          <w:sz w:val="21"/>
        </w:rPr>
        <w:t> </w:t>
      </w:r>
      <w:r>
        <w:rPr>
          <w:color w:val="231F20"/>
          <w:w w:val="105"/>
          <w:sz w:val="21"/>
        </w:rPr>
        <w:t>Rotterdam:</w:t>
      </w:r>
      <w:r>
        <w:rPr>
          <w:color w:val="231F20"/>
          <w:spacing w:val="-38"/>
          <w:w w:val="105"/>
          <w:sz w:val="21"/>
        </w:rPr>
        <w:t> </w:t>
      </w:r>
      <w:r>
        <w:rPr>
          <w:color w:val="231F20"/>
          <w:w w:val="105"/>
          <w:sz w:val="21"/>
        </w:rPr>
        <w:t>Sense.</w:t>
      </w:r>
    </w:p>
    <w:p>
      <w:pPr>
        <w:spacing w:line="259" w:lineRule="auto" w:before="0"/>
        <w:ind w:left="2574" w:right="1722" w:hanging="738"/>
        <w:jc w:val="both"/>
        <w:rPr>
          <w:sz w:val="21"/>
        </w:rPr>
      </w:pPr>
      <w:r>
        <w:rPr>
          <w:color w:val="231F20"/>
          <w:w w:val="105"/>
          <w:sz w:val="21"/>
        </w:rPr>
        <w:t>Reyes</w:t>
      </w:r>
      <w:r>
        <w:rPr>
          <w:color w:val="231F20"/>
          <w:spacing w:val="-19"/>
          <w:w w:val="105"/>
          <w:sz w:val="21"/>
        </w:rPr>
        <w:t> </w:t>
      </w:r>
      <w:r>
        <w:rPr>
          <w:color w:val="231F20"/>
          <w:w w:val="105"/>
          <w:sz w:val="21"/>
        </w:rPr>
        <w:t>Cruz,</w:t>
      </w:r>
      <w:r>
        <w:rPr>
          <w:color w:val="231F20"/>
          <w:spacing w:val="-23"/>
          <w:w w:val="105"/>
          <w:sz w:val="21"/>
        </w:rPr>
        <w:t> </w:t>
      </w:r>
      <w:r>
        <w:rPr>
          <w:color w:val="231F20"/>
          <w:w w:val="105"/>
          <w:sz w:val="21"/>
        </w:rPr>
        <w:t>Mariolga,</w:t>
      </w:r>
      <w:r>
        <w:rPr>
          <w:color w:val="231F20"/>
          <w:spacing w:val="-23"/>
          <w:w w:val="105"/>
          <w:sz w:val="21"/>
        </w:rPr>
        <w:t> </w:t>
      </w:r>
      <w:r>
        <w:rPr>
          <w:color w:val="231F20"/>
          <w:w w:val="105"/>
          <w:sz w:val="21"/>
        </w:rPr>
        <w:t>(2008),</w:t>
      </w:r>
      <w:r>
        <w:rPr>
          <w:color w:val="231F20"/>
          <w:spacing w:val="-24"/>
          <w:w w:val="105"/>
          <w:sz w:val="21"/>
        </w:rPr>
        <w:t> </w:t>
      </w:r>
      <w:r>
        <w:rPr>
          <w:rFonts w:ascii="Arial"/>
          <w:i/>
          <w:color w:val="231F20"/>
          <w:w w:val="105"/>
          <w:sz w:val="21"/>
        </w:rPr>
        <w:t>Mexican</w:t>
      </w:r>
      <w:r>
        <w:rPr>
          <w:rFonts w:ascii="Arial"/>
          <w:i/>
          <w:color w:val="231F20"/>
          <w:spacing w:val="-22"/>
          <w:w w:val="105"/>
          <w:sz w:val="21"/>
        </w:rPr>
        <w:t> </w:t>
      </w:r>
      <w:r>
        <w:rPr>
          <w:rFonts w:ascii="Arial"/>
          <w:i/>
          <w:color w:val="231F20"/>
          <w:w w:val="105"/>
          <w:sz w:val="21"/>
        </w:rPr>
        <w:t>immigrant</w:t>
      </w:r>
      <w:r>
        <w:rPr>
          <w:rFonts w:ascii="Arial"/>
          <w:i/>
          <w:color w:val="231F20"/>
          <w:spacing w:val="-22"/>
          <w:w w:val="105"/>
          <w:sz w:val="21"/>
        </w:rPr>
        <w:t> </w:t>
      </w:r>
      <w:r>
        <w:rPr>
          <w:rFonts w:ascii="Arial"/>
          <w:i/>
          <w:color w:val="231F20"/>
          <w:w w:val="105"/>
          <w:sz w:val="21"/>
        </w:rPr>
        <w:t>parents</w:t>
      </w:r>
      <w:r>
        <w:rPr>
          <w:rFonts w:ascii="Arial"/>
          <w:i/>
          <w:color w:val="231F20"/>
          <w:spacing w:val="-22"/>
          <w:w w:val="105"/>
          <w:sz w:val="21"/>
        </w:rPr>
        <w:t> </w:t>
      </w:r>
      <w:r>
        <w:rPr>
          <w:rFonts w:ascii="Arial"/>
          <w:i/>
          <w:color w:val="231F20"/>
          <w:w w:val="105"/>
          <w:sz w:val="21"/>
        </w:rPr>
        <w:t>advocating</w:t>
      </w:r>
      <w:r>
        <w:rPr>
          <w:rFonts w:ascii="Arial"/>
          <w:i/>
          <w:color w:val="231F20"/>
          <w:spacing w:val="-22"/>
          <w:w w:val="105"/>
          <w:sz w:val="21"/>
        </w:rPr>
        <w:t> </w:t>
      </w:r>
      <w:r>
        <w:rPr>
          <w:rFonts w:ascii="Arial"/>
          <w:i/>
          <w:color w:val="231F20"/>
          <w:w w:val="105"/>
          <w:sz w:val="21"/>
        </w:rPr>
        <w:t>for </w:t>
      </w:r>
      <w:r>
        <w:rPr>
          <w:rFonts w:ascii="Arial"/>
          <w:i/>
          <w:color w:val="231F20"/>
          <w:w w:val="105"/>
          <w:sz w:val="21"/>
        </w:rPr>
        <w:t>school</w:t>
      </w:r>
      <w:r>
        <w:rPr>
          <w:rFonts w:ascii="Arial"/>
          <w:i/>
          <w:color w:val="231F20"/>
          <w:spacing w:val="-40"/>
          <w:w w:val="105"/>
          <w:sz w:val="21"/>
        </w:rPr>
        <w:t> </w:t>
      </w:r>
      <w:r>
        <w:rPr>
          <w:rFonts w:ascii="Arial"/>
          <w:i/>
          <w:color w:val="231F20"/>
          <w:w w:val="105"/>
          <w:sz w:val="21"/>
        </w:rPr>
        <w:t>reform</w:t>
      </w:r>
      <w:r>
        <w:rPr>
          <w:color w:val="231F20"/>
          <w:w w:val="105"/>
          <w:sz w:val="21"/>
        </w:rPr>
        <w:t>,</w:t>
      </w:r>
      <w:r>
        <w:rPr>
          <w:color w:val="231F20"/>
          <w:spacing w:val="-40"/>
          <w:w w:val="105"/>
          <w:sz w:val="21"/>
        </w:rPr>
        <w:t> </w:t>
      </w:r>
      <w:r>
        <w:rPr>
          <w:color w:val="231F20"/>
          <w:w w:val="105"/>
          <w:sz w:val="21"/>
        </w:rPr>
        <w:t>New</w:t>
      </w:r>
      <w:r>
        <w:rPr>
          <w:color w:val="231F20"/>
          <w:spacing w:val="-40"/>
          <w:w w:val="105"/>
          <w:sz w:val="21"/>
        </w:rPr>
        <w:t> </w:t>
      </w:r>
      <w:r>
        <w:rPr>
          <w:color w:val="231F20"/>
          <w:spacing w:val="-4"/>
          <w:w w:val="105"/>
          <w:sz w:val="21"/>
        </w:rPr>
        <w:t>York:</w:t>
      </w:r>
      <w:r>
        <w:rPr>
          <w:color w:val="231F20"/>
          <w:spacing w:val="-38"/>
          <w:w w:val="105"/>
          <w:sz w:val="21"/>
        </w:rPr>
        <w:t> </w:t>
      </w:r>
      <w:r>
        <w:rPr>
          <w:color w:val="231F20"/>
          <w:w w:val="105"/>
          <w:sz w:val="21"/>
        </w:rPr>
        <w:t>LFB</w:t>
      </w:r>
      <w:r>
        <w:rPr>
          <w:color w:val="231F20"/>
          <w:spacing w:val="-38"/>
          <w:w w:val="105"/>
          <w:sz w:val="21"/>
        </w:rPr>
        <w:t> </w:t>
      </w:r>
      <w:r>
        <w:rPr>
          <w:color w:val="231F20"/>
          <w:w w:val="105"/>
          <w:sz w:val="21"/>
        </w:rPr>
        <w:t>Scholarly</w:t>
      </w:r>
      <w:r>
        <w:rPr>
          <w:color w:val="231F20"/>
          <w:spacing w:val="-38"/>
          <w:w w:val="105"/>
          <w:sz w:val="21"/>
        </w:rPr>
        <w:t> </w:t>
      </w:r>
      <w:r>
        <w:rPr>
          <w:color w:val="231F20"/>
          <w:w w:val="105"/>
          <w:sz w:val="21"/>
        </w:rPr>
        <w:t>Publishing</w:t>
      </w:r>
      <w:r>
        <w:rPr>
          <w:color w:val="231F20"/>
          <w:spacing w:val="-38"/>
          <w:w w:val="105"/>
          <w:sz w:val="21"/>
        </w:rPr>
        <w:t> </w:t>
      </w:r>
      <w:r>
        <w:rPr>
          <w:color w:val="231F20"/>
          <w:w w:val="105"/>
          <w:sz w:val="21"/>
        </w:rPr>
        <w:t>LLC.</w:t>
      </w:r>
    </w:p>
    <w:p>
      <w:pPr>
        <w:pStyle w:val="BodyText"/>
        <w:spacing w:line="261" w:lineRule="auto" w:before="3"/>
        <w:ind w:left="2574" w:right="1716" w:hanging="738"/>
        <w:jc w:val="both"/>
      </w:pPr>
      <w:r>
        <w:rPr>
          <w:color w:val="231F20"/>
          <w:w w:val="105"/>
        </w:rPr>
        <w:t>Rodriguez, Nestor and Maria Hagan, Jacqueline, (2004), “Fractured fa- milies and communities: Effects of immigration reform in Texas, Mexico, and El Salvador”, </w:t>
      </w:r>
      <w:r>
        <w:rPr>
          <w:rFonts w:ascii="Arial" w:hAnsi="Arial"/>
          <w:i/>
          <w:color w:val="231F20"/>
          <w:w w:val="105"/>
        </w:rPr>
        <w:t>Latino Studies</w:t>
      </w:r>
      <w:r>
        <w:rPr>
          <w:color w:val="231F20"/>
          <w:w w:val="105"/>
        </w:rPr>
        <w:t>, vol. 2, num. 3.</w:t>
      </w:r>
    </w:p>
    <w:p>
      <w:pPr>
        <w:spacing w:line="259" w:lineRule="auto" w:before="0"/>
        <w:ind w:left="2574" w:right="1722" w:hanging="738"/>
        <w:jc w:val="both"/>
        <w:rPr>
          <w:sz w:val="21"/>
        </w:rPr>
      </w:pPr>
      <w:r>
        <w:rPr>
          <w:color w:val="231F20"/>
          <w:w w:val="105"/>
          <w:sz w:val="21"/>
        </w:rPr>
        <w:t>Romo,</w:t>
      </w:r>
      <w:r>
        <w:rPr>
          <w:color w:val="231F20"/>
          <w:spacing w:val="-11"/>
          <w:w w:val="105"/>
          <w:sz w:val="21"/>
        </w:rPr>
        <w:t> </w:t>
      </w:r>
      <w:r>
        <w:rPr>
          <w:color w:val="231F20"/>
          <w:w w:val="105"/>
          <w:sz w:val="21"/>
        </w:rPr>
        <w:t>Harriet,</w:t>
      </w:r>
      <w:r>
        <w:rPr>
          <w:color w:val="231F20"/>
          <w:spacing w:val="-11"/>
          <w:w w:val="105"/>
          <w:sz w:val="21"/>
        </w:rPr>
        <w:t> </w:t>
      </w:r>
      <w:r>
        <w:rPr>
          <w:color w:val="231F20"/>
          <w:w w:val="105"/>
          <w:sz w:val="21"/>
        </w:rPr>
        <w:t>(1999),</w:t>
      </w:r>
      <w:r>
        <w:rPr>
          <w:color w:val="231F20"/>
          <w:spacing w:val="-11"/>
          <w:w w:val="105"/>
          <w:sz w:val="21"/>
        </w:rPr>
        <w:t> </w:t>
      </w:r>
      <w:r>
        <w:rPr>
          <w:rFonts w:ascii="Arial"/>
          <w:i/>
          <w:color w:val="231F20"/>
          <w:w w:val="105"/>
          <w:sz w:val="21"/>
        </w:rPr>
        <w:t>Reaching</w:t>
      </w:r>
      <w:r>
        <w:rPr>
          <w:rFonts w:ascii="Arial"/>
          <w:i/>
          <w:color w:val="231F20"/>
          <w:spacing w:val="-9"/>
          <w:w w:val="105"/>
          <w:sz w:val="21"/>
        </w:rPr>
        <w:t> </w:t>
      </w:r>
      <w:r>
        <w:rPr>
          <w:rFonts w:ascii="Arial"/>
          <w:i/>
          <w:color w:val="231F20"/>
          <w:w w:val="105"/>
          <w:sz w:val="21"/>
        </w:rPr>
        <w:t>out:</w:t>
      </w:r>
      <w:r>
        <w:rPr>
          <w:rFonts w:ascii="Arial"/>
          <w:i/>
          <w:color w:val="231F20"/>
          <w:spacing w:val="-9"/>
          <w:w w:val="105"/>
          <w:sz w:val="21"/>
        </w:rPr>
        <w:t> </w:t>
      </w:r>
      <w:r>
        <w:rPr>
          <w:rFonts w:ascii="Arial"/>
          <w:i/>
          <w:color w:val="231F20"/>
          <w:w w:val="105"/>
          <w:sz w:val="21"/>
        </w:rPr>
        <w:t>Best</w:t>
      </w:r>
      <w:r>
        <w:rPr>
          <w:rFonts w:ascii="Arial"/>
          <w:i/>
          <w:color w:val="231F20"/>
          <w:spacing w:val="-9"/>
          <w:w w:val="105"/>
          <w:sz w:val="21"/>
        </w:rPr>
        <w:t> </w:t>
      </w:r>
      <w:r>
        <w:rPr>
          <w:rFonts w:ascii="Arial"/>
          <w:i/>
          <w:color w:val="231F20"/>
          <w:w w:val="105"/>
          <w:sz w:val="21"/>
        </w:rPr>
        <w:t>practices</w:t>
      </w:r>
      <w:r>
        <w:rPr>
          <w:rFonts w:ascii="Arial"/>
          <w:i/>
          <w:color w:val="231F20"/>
          <w:spacing w:val="-9"/>
          <w:w w:val="105"/>
          <w:sz w:val="21"/>
        </w:rPr>
        <w:t> </w:t>
      </w:r>
      <w:r>
        <w:rPr>
          <w:rFonts w:ascii="Arial"/>
          <w:i/>
          <w:color w:val="231F20"/>
          <w:w w:val="105"/>
          <w:sz w:val="21"/>
        </w:rPr>
        <w:t>for</w:t>
      </w:r>
      <w:r>
        <w:rPr>
          <w:rFonts w:ascii="Arial"/>
          <w:i/>
          <w:color w:val="231F20"/>
          <w:spacing w:val="-9"/>
          <w:w w:val="105"/>
          <w:sz w:val="21"/>
        </w:rPr>
        <w:t> </w:t>
      </w:r>
      <w:r>
        <w:rPr>
          <w:rFonts w:ascii="Arial"/>
          <w:i/>
          <w:color w:val="231F20"/>
          <w:w w:val="105"/>
          <w:sz w:val="21"/>
        </w:rPr>
        <w:t>educating</w:t>
      </w:r>
      <w:r>
        <w:rPr>
          <w:rFonts w:ascii="Arial"/>
          <w:i/>
          <w:color w:val="231F20"/>
          <w:spacing w:val="-9"/>
          <w:w w:val="105"/>
          <w:sz w:val="21"/>
        </w:rPr>
        <w:t> </w:t>
      </w:r>
      <w:r>
        <w:rPr>
          <w:rFonts w:ascii="Arial"/>
          <w:i/>
          <w:color w:val="231F20"/>
          <w:w w:val="105"/>
          <w:sz w:val="21"/>
        </w:rPr>
        <w:t>Mexi- </w:t>
      </w:r>
      <w:r>
        <w:rPr>
          <w:rFonts w:ascii="Arial"/>
          <w:i/>
          <w:color w:val="231F20"/>
          <w:w w:val="105"/>
          <w:sz w:val="21"/>
        </w:rPr>
        <w:t>can-origin children and youth</w:t>
      </w:r>
      <w:r>
        <w:rPr>
          <w:color w:val="231F20"/>
          <w:w w:val="105"/>
          <w:sz w:val="21"/>
        </w:rPr>
        <w:t>, West Virginia, Charleston: Eric Clearinghouse</w:t>
      </w:r>
      <w:r>
        <w:rPr>
          <w:color w:val="231F20"/>
          <w:spacing w:val="-33"/>
          <w:w w:val="105"/>
          <w:sz w:val="21"/>
        </w:rPr>
        <w:t> </w:t>
      </w:r>
      <w:r>
        <w:rPr>
          <w:color w:val="231F20"/>
          <w:w w:val="105"/>
          <w:sz w:val="21"/>
        </w:rPr>
        <w:t>on</w:t>
      </w:r>
      <w:r>
        <w:rPr>
          <w:color w:val="231F20"/>
          <w:spacing w:val="-33"/>
          <w:w w:val="105"/>
          <w:sz w:val="21"/>
        </w:rPr>
        <w:t> </w:t>
      </w:r>
      <w:r>
        <w:rPr>
          <w:color w:val="231F20"/>
          <w:w w:val="105"/>
          <w:sz w:val="21"/>
        </w:rPr>
        <w:t>Rural</w:t>
      </w:r>
      <w:r>
        <w:rPr>
          <w:color w:val="231F20"/>
          <w:spacing w:val="-33"/>
          <w:w w:val="105"/>
          <w:sz w:val="21"/>
        </w:rPr>
        <w:t> </w:t>
      </w:r>
      <w:r>
        <w:rPr>
          <w:color w:val="231F20"/>
          <w:w w:val="105"/>
          <w:sz w:val="21"/>
        </w:rPr>
        <w:t>Education</w:t>
      </w:r>
      <w:r>
        <w:rPr>
          <w:color w:val="231F20"/>
          <w:spacing w:val="-33"/>
          <w:w w:val="105"/>
          <w:sz w:val="21"/>
        </w:rPr>
        <w:t> </w:t>
      </w:r>
      <w:r>
        <w:rPr>
          <w:color w:val="231F20"/>
          <w:w w:val="105"/>
          <w:sz w:val="21"/>
        </w:rPr>
        <w:t>and</w:t>
      </w:r>
      <w:r>
        <w:rPr>
          <w:color w:val="231F20"/>
          <w:spacing w:val="-33"/>
          <w:w w:val="105"/>
          <w:sz w:val="21"/>
        </w:rPr>
        <w:t> </w:t>
      </w:r>
      <w:r>
        <w:rPr>
          <w:color w:val="231F20"/>
          <w:w w:val="105"/>
          <w:sz w:val="21"/>
        </w:rPr>
        <w:t>Small</w:t>
      </w:r>
      <w:r>
        <w:rPr>
          <w:color w:val="231F20"/>
          <w:spacing w:val="-33"/>
          <w:w w:val="105"/>
          <w:sz w:val="21"/>
        </w:rPr>
        <w:t> </w:t>
      </w:r>
      <w:r>
        <w:rPr>
          <w:color w:val="231F20"/>
          <w:w w:val="105"/>
          <w:sz w:val="21"/>
        </w:rPr>
        <w:t>Schools.</w:t>
      </w:r>
    </w:p>
    <w:p>
      <w:pPr>
        <w:spacing w:line="259" w:lineRule="auto" w:before="0"/>
        <w:ind w:left="2574" w:right="1727" w:hanging="738"/>
        <w:jc w:val="both"/>
        <w:rPr>
          <w:sz w:val="21"/>
        </w:rPr>
      </w:pPr>
      <w:r>
        <w:rPr>
          <w:color w:val="231F20"/>
          <w:sz w:val="21"/>
        </w:rPr>
        <w:t>Smith Robert, Courtney, (2006), </w:t>
      </w:r>
      <w:r>
        <w:rPr>
          <w:rFonts w:ascii="Arial"/>
          <w:i/>
          <w:color w:val="231F20"/>
          <w:sz w:val="21"/>
        </w:rPr>
        <w:t>Mexican New York: Transnational lives of </w:t>
      </w:r>
      <w:r>
        <w:rPr>
          <w:rFonts w:ascii="Arial"/>
          <w:i/>
          <w:color w:val="231F20"/>
          <w:sz w:val="21"/>
        </w:rPr>
        <w:t>new immigrants</w:t>
      </w:r>
      <w:r>
        <w:rPr>
          <w:color w:val="231F20"/>
          <w:sz w:val="21"/>
        </w:rPr>
        <w:t>, Berkeley, CA: University of California Press.</w:t>
      </w:r>
    </w:p>
    <w:p>
      <w:pPr>
        <w:spacing w:line="259" w:lineRule="auto" w:before="0"/>
        <w:ind w:left="2574" w:right="1721" w:hanging="738"/>
        <w:jc w:val="both"/>
        <w:rPr>
          <w:sz w:val="21"/>
        </w:rPr>
      </w:pPr>
      <w:r>
        <w:rPr>
          <w:color w:val="231F20"/>
          <w:w w:val="105"/>
          <w:sz w:val="21"/>
        </w:rPr>
        <w:t>Stanton</w:t>
      </w:r>
      <w:r>
        <w:rPr>
          <w:color w:val="231F20"/>
          <w:spacing w:val="-7"/>
          <w:w w:val="105"/>
          <w:sz w:val="21"/>
        </w:rPr>
        <w:t> </w:t>
      </w:r>
      <w:r>
        <w:rPr>
          <w:color w:val="231F20"/>
          <w:w w:val="105"/>
          <w:sz w:val="21"/>
        </w:rPr>
        <w:t>Salazar,</w:t>
      </w:r>
      <w:r>
        <w:rPr>
          <w:color w:val="231F20"/>
          <w:spacing w:val="-10"/>
          <w:w w:val="105"/>
          <w:sz w:val="21"/>
        </w:rPr>
        <w:t> </w:t>
      </w:r>
      <w:r>
        <w:rPr>
          <w:color w:val="231F20"/>
          <w:w w:val="105"/>
          <w:sz w:val="21"/>
        </w:rPr>
        <w:t>Ricardo,</w:t>
      </w:r>
      <w:r>
        <w:rPr>
          <w:color w:val="231F20"/>
          <w:spacing w:val="-10"/>
          <w:w w:val="105"/>
          <w:sz w:val="21"/>
        </w:rPr>
        <w:t> </w:t>
      </w:r>
      <w:r>
        <w:rPr>
          <w:color w:val="231F20"/>
          <w:w w:val="105"/>
          <w:sz w:val="21"/>
        </w:rPr>
        <w:t>(2001),</w:t>
      </w:r>
      <w:r>
        <w:rPr>
          <w:color w:val="231F20"/>
          <w:spacing w:val="-10"/>
          <w:w w:val="105"/>
          <w:sz w:val="21"/>
        </w:rPr>
        <w:t> </w:t>
      </w:r>
      <w:r>
        <w:rPr>
          <w:rFonts w:ascii="Arial"/>
          <w:i/>
          <w:color w:val="231F20"/>
          <w:w w:val="105"/>
          <w:sz w:val="21"/>
        </w:rPr>
        <w:t>Manufacturing</w:t>
      </w:r>
      <w:r>
        <w:rPr>
          <w:rFonts w:ascii="Arial"/>
          <w:i/>
          <w:color w:val="231F20"/>
          <w:spacing w:val="-10"/>
          <w:w w:val="105"/>
          <w:sz w:val="21"/>
        </w:rPr>
        <w:t> </w:t>
      </w:r>
      <w:r>
        <w:rPr>
          <w:rFonts w:ascii="Arial"/>
          <w:i/>
          <w:color w:val="231F20"/>
          <w:w w:val="105"/>
          <w:sz w:val="21"/>
        </w:rPr>
        <w:t>hope</w:t>
      </w:r>
      <w:r>
        <w:rPr>
          <w:rFonts w:ascii="Arial"/>
          <w:i/>
          <w:color w:val="231F20"/>
          <w:spacing w:val="-10"/>
          <w:w w:val="105"/>
          <w:sz w:val="21"/>
        </w:rPr>
        <w:t> </w:t>
      </w:r>
      <w:r>
        <w:rPr>
          <w:rFonts w:ascii="Arial"/>
          <w:i/>
          <w:color w:val="231F20"/>
          <w:w w:val="105"/>
          <w:sz w:val="21"/>
        </w:rPr>
        <w:t>and</w:t>
      </w:r>
      <w:r>
        <w:rPr>
          <w:rFonts w:ascii="Arial"/>
          <w:i/>
          <w:color w:val="231F20"/>
          <w:spacing w:val="-10"/>
          <w:w w:val="105"/>
          <w:sz w:val="21"/>
        </w:rPr>
        <w:t> </w:t>
      </w:r>
      <w:r>
        <w:rPr>
          <w:rFonts w:ascii="Arial"/>
          <w:i/>
          <w:color w:val="231F20"/>
          <w:w w:val="105"/>
          <w:sz w:val="21"/>
        </w:rPr>
        <w:t>despair:</w:t>
      </w:r>
      <w:r>
        <w:rPr>
          <w:rFonts w:ascii="Arial"/>
          <w:i/>
          <w:color w:val="231F20"/>
          <w:spacing w:val="-13"/>
          <w:w w:val="105"/>
          <w:sz w:val="21"/>
        </w:rPr>
        <w:t> </w:t>
      </w:r>
      <w:r>
        <w:rPr>
          <w:rFonts w:ascii="Arial"/>
          <w:i/>
          <w:color w:val="231F20"/>
          <w:w w:val="105"/>
          <w:sz w:val="21"/>
        </w:rPr>
        <w:t>The </w:t>
      </w:r>
      <w:r>
        <w:rPr>
          <w:rFonts w:ascii="Arial"/>
          <w:i/>
          <w:color w:val="231F20"/>
          <w:w w:val="105"/>
          <w:sz w:val="21"/>
        </w:rPr>
        <w:t>school</w:t>
      </w:r>
      <w:r>
        <w:rPr>
          <w:rFonts w:ascii="Arial"/>
          <w:i/>
          <w:color w:val="231F20"/>
          <w:spacing w:val="-24"/>
          <w:w w:val="105"/>
          <w:sz w:val="21"/>
        </w:rPr>
        <w:t> </w:t>
      </w:r>
      <w:r>
        <w:rPr>
          <w:rFonts w:ascii="Arial"/>
          <w:i/>
          <w:color w:val="231F20"/>
          <w:w w:val="105"/>
          <w:sz w:val="21"/>
        </w:rPr>
        <w:t>and</w:t>
      </w:r>
      <w:r>
        <w:rPr>
          <w:rFonts w:ascii="Arial"/>
          <w:i/>
          <w:color w:val="231F20"/>
          <w:spacing w:val="-24"/>
          <w:w w:val="105"/>
          <w:sz w:val="21"/>
        </w:rPr>
        <w:t> </w:t>
      </w:r>
      <w:r>
        <w:rPr>
          <w:rFonts w:ascii="Arial"/>
          <w:i/>
          <w:color w:val="231F20"/>
          <w:w w:val="105"/>
          <w:sz w:val="21"/>
        </w:rPr>
        <w:t>kin</w:t>
      </w:r>
      <w:r>
        <w:rPr>
          <w:rFonts w:ascii="Arial"/>
          <w:i/>
          <w:color w:val="231F20"/>
          <w:spacing w:val="-24"/>
          <w:w w:val="105"/>
          <w:sz w:val="21"/>
        </w:rPr>
        <w:t> </w:t>
      </w:r>
      <w:r>
        <w:rPr>
          <w:rFonts w:ascii="Arial"/>
          <w:i/>
          <w:color w:val="231F20"/>
          <w:w w:val="105"/>
          <w:sz w:val="21"/>
        </w:rPr>
        <w:t>support</w:t>
      </w:r>
      <w:r>
        <w:rPr>
          <w:rFonts w:ascii="Arial"/>
          <w:i/>
          <w:color w:val="231F20"/>
          <w:spacing w:val="-24"/>
          <w:w w:val="105"/>
          <w:sz w:val="21"/>
        </w:rPr>
        <w:t> </w:t>
      </w:r>
      <w:r>
        <w:rPr>
          <w:rFonts w:ascii="Arial"/>
          <w:i/>
          <w:color w:val="231F20"/>
          <w:w w:val="105"/>
          <w:sz w:val="21"/>
        </w:rPr>
        <w:t>networks</w:t>
      </w:r>
      <w:r>
        <w:rPr>
          <w:rFonts w:ascii="Arial"/>
          <w:i/>
          <w:color w:val="231F20"/>
          <w:spacing w:val="-24"/>
          <w:w w:val="105"/>
          <w:sz w:val="21"/>
        </w:rPr>
        <w:t> </w:t>
      </w:r>
      <w:r>
        <w:rPr>
          <w:rFonts w:ascii="Arial"/>
          <w:i/>
          <w:color w:val="231F20"/>
          <w:w w:val="105"/>
          <w:sz w:val="21"/>
        </w:rPr>
        <w:t>of</w:t>
      </w:r>
      <w:r>
        <w:rPr>
          <w:rFonts w:ascii="Arial"/>
          <w:i/>
          <w:color w:val="231F20"/>
          <w:spacing w:val="-20"/>
          <w:w w:val="105"/>
          <w:sz w:val="21"/>
        </w:rPr>
        <w:t> </w:t>
      </w:r>
      <w:r>
        <w:rPr>
          <w:rFonts w:ascii="Arial"/>
          <w:i/>
          <w:color w:val="231F20"/>
          <w:w w:val="105"/>
          <w:sz w:val="21"/>
        </w:rPr>
        <w:t>US-Mexican</w:t>
      </w:r>
      <w:r>
        <w:rPr>
          <w:rFonts w:ascii="Arial"/>
          <w:i/>
          <w:color w:val="231F20"/>
          <w:spacing w:val="-24"/>
          <w:w w:val="105"/>
          <w:sz w:val="21"/>
        </w:rPr>
        <w:t> </w:t>
      </w:r>
      <w:r>
        <w:rPr>
          <w:rFonts w:ascii="Arial"/>
          <w:i/>
          <w:color w:val="231F20"/>
          <w:w w:val="105"/>
          <w:sz w:val="21"/>
        </w:rPr>
        <w:t>youth</w:t>
      </w:r>
      <w:r>
        <w:rPr>
          <w:color w:val="231F20"/>
          <w:w w:val="105"/>
          <w:sz w:val="21"/>
        </w:rPr>
        <w:t>,</w:t>
      </w:r>
      <w:r>
        <w:rPr>
          <w:color w:val="231F20"/>
          <w:spacing w:val="-25"/>
          <w:w w:val="105"/>
          <w:sz w:val="21"/>
        </w:rPr>
        <w:t> </w:t>
      </w:r>
      <w:r>
        <w:rPr>
          <w:color w:val="231F20"/>
          <w:w w:val="105"/>
          <w:sz w:val="21"/>
        </w:rPr>
        <w:t>Los</w:t>
      </w:r>
      <w:r>
        <w:rPr>
          <w:color w:val="231F20"/>
          <w:spacing w:val="-23"/>
          <w:w w:val="105"/>
          <w:sz w:val="21"/>
        </w:rPr>
        <w:t> </w:t>
      </w:r>
      <w:r>
        <w:rPr>
          <w:color w:val="231F20"/>
          <w:w w:val="105"/>
          <w:sz w:val="21"/>
        </w:rPr>
        <w:t>Ange- </w:t>
      </w:r>
      <w:r>
        <w:rPr>
          <w:color w:val="231F20"/>
          <w:sz w:val="21"/>
        </w:rPr>
        <w:t>les, CA: </w:t>
      </w:r>
      <w:r>
        <w:rPr>
          <w:color w:val="231F20"/>
          <w:spacing w:val="-3"/>
          <w:sz w:val="21"/>
        </w:rPr>
        <w:t>Teachers </w:t>
      </w:r>
      <w:r>
        <w:rPr>
          <w:color w:val="231F20"/>
          <w:sz w:val="21"/>
        </w:rPr>
        <w:t>College</w:t>
      </w:r>
      <w:r>
        <w:rPr>
          <w:color w:val="231F20"/>
          <w:spacing w:val="-22"/>
          <w:sz w:val="21"/>
        </w:rPr>
        <w:t> </w:t>
      </w:r>
      <w:r>
        <w:rPr>
          <w:color w:val="231F20"/>
          <w:spacing w:val="-3"/>
          <w:sz w:val="21"/>
        </w:rPr>
        <w:t>Press.</w:t>
      </w:r>
    </w:p>
    <w:p>
      <w:pPr>
        <w:pStyle w:val="BodyText"/>
        <w:spacing w:line="259" w:lineRule="auto"/>
        <w:ind w:left="2574" w:right="1726" w:hanging="738"/>
        <w:jc w:val="both"/>
      </w:pPr>
      <w:r>
        <w:rPr>
          <w:color w:val="231F20"/>
        </w:rPr>
        <w:t>Suárez Orozco, Carola and Suárez Orozco, Marcelo, (2001), </w:t>
      </w:r>
      <w:r>
        <w:rPr>
          <w:rFonts w:ascii="Arial" w:hAnsi="Arial"/>
          <w:i/>
          <w:color w:val="231F20"/>
        </w:rPr>
        <w:t>Children of </w:t>
      </w:r>
      <w:r>
        <w:rPr>
          <w:rFonts w:ascii="Arial" w:hAnsi="Arial"/>
          <w:i/>
          <w:color w:val="231F20"/>
        </w:rPr>
        <w:t>immigration</w:t>
      </w:r>
      <w:r>
        <w:rPr>
          <w:color w:val="231F20"/>
        </w:rPr>
        <w:t>, Massachusetts: Harvard University Press.</w:t>
      </w:r>
    </w:p>
    <w:p>
      <w:pPr>
        <w:pStyle w:val="BodyText"/>
        <w:spacing w:line="261" w:lineRule="auto" w:before="3"/>
        <w:ind w:left="2574" w:right="1715" w:hanging="738"/>
        <w:jc w:val="both"/>
      </w:pPr>
      <w:r>
        <w:rPr>
          <w:color w:val="231F20"/>
          <w:w w:val="105"/>
        </w:rPr>
        <w:t>Suárez</w:t>
      </w:r>
      <w:r>
        <w:rPr>
          <w:color w:val="231F20"/>
          <w:spacing w:val="-34"/>
          <w:w w:val="105"/>
        </w:rPr>
        <w:t> </w:t>
      </w:r>
      <w:r>
        <w:rPr>
          <w:color w:val="231F20"/>
          <w:w w:val="105"/>
        </w:rPr>
        <w:t>Orozco,</w:t>
      </w:r>
      <w:r>
        <w:rPr>
          <w:color w:val="231F20"/>
          <w:spacing w:val="-36"/>
          <w:w w:val="105"/>
        </w:rPr>
        <w:t> </w:t>
      </w:r>
      <w:r>
        <w:rPr>
          <w:color w:val="231F20"/>
          <w:w w:val="105"/>
        </w:rPr>
        <w:t>Carola,</w:t>
      </w:r>
      <w:r>
        <w:rPr>
          <w:color w:val="231F20"/>
          <w:spacing w:val="-36"/>
          <w:w w:val="105"/>
        </w:rPr>
        <w:t> </w:t>
      </w:r>
      <w:r>
        <w:rPr>
          <w:color w:val="231F20"/>
          <w:w w:val="105"/>
        </w:rPr>
        <w:t>Gaytán,</w:t>
      </w:r>
      <w:r>
        <w:rPr>
          <w:color w:val="231F20"/>
          <w:spacing w:val="-36"/>
          <w:w w:val="105"/>
        </w:rPr>
        <w:t> </w:t>
      </w:r>
      <w:r>
        <w:rPr>
          <w:color w:val="231F20"/>
          <w:w w:val="105"/>
        </w:rPr>
        <w:t>Francisco,</w:t>
      </w:r>
      <w:r>
        <w:rPr>
          <w:color w:val="231F20"/>
          <w:spacing w:val="-36"/>
          <w:w w:val="105"/>
        </w:rPr>
        <w:t> </w:t>
      </w:r>
      <w:r>
        <w:rPr>
          <w:color w:val="231F20"/>
          <w:w w:val="105"/>
        </w:rPr>
        <w:t>Bang,</w:t>
      </w:r>
      <w:r>
        <w:rPr>
          <w:color w:val="231F20"/>
          <w:spacing w:val="-36"/>
          <w:w w:val="105"/>
        </w:rPr>
        <w:t> </w:t>
      </w:r>
      <w:r>
        <w:rPr>
          <w:color w:val="231F20"/>
          <w:w w:val="105"/>
        </w:rPr>
        <w:t>Hee</w:t>
      </w:r>
      <w:r>
        <w:rPr>
          <w:color w:val="231F20"/>
          <w:spacing w:val="-35"/>
          <w:w w:val="105"/>
        </w:rPr>
        <w:t> </w:t>
      </w:r>
      <w:r>
        <w:rPr>
          <w:color w:val="231F20"/>
          <w:w w:val="105"/>
        </w:rPr>
        <w:t>Jin,</w:t>
      </w:r>
      <w:r>
        <w:rPr>
          <w:color w:val="231F20"/>
          <w:spacing w:val="-36"/>
          <w:w w:val="105"/>
        </w:rPr>
        <w:t> </w:t>
      </w:r>
      <w:r>
        <w:rPr>
          <w:color w:val="231F20"/>
          <w:spacing w:val="-3"/>
          <w:w w:val="105"/>
        </w:rPr>
        <w:t>Pakes,</w:t>
      </w:r>
      <w:r>
        <w:rPr>
          <w:color w:val="231F20"/>
          <w:spacing w:val="-37"/>
          <w:w w:val="105"/>
        </w:rPr>
        <w:t> </w:t>
      </w:r>
      <w:r>
        <w:rPr>
          <w:color w:val="231F20"/>
          <w:w w:val="105"/>
        </w:rPr>
        <w:t>Juliana, O’Connor,</w:t>
      </w:r>
      <w:r>
        <w:rPr>
          <w:color w:val="231F20"/>
          <w:spacing w:val="-20"/>
          <w:w w:val="105"/>
        </w:rPr>
        <w:t> </w:t>
      </w:r>
      <w:r>
        <w:rPr>
          <w:color w:val="231F20"/>
          <w:w w:val="105"/>
        </w:rPr>
        <w:t>Erin</w:t>
      </w:r>
      <w:r>
        <w:rPr>
          <w:color w:val="231F20"/>
          <w:spacing w:val="-15"/>
          <w:w w:val="105"/>
        </w:rPr>
        <w:t> </w:t>
      </w:r>
      <w:r>
        <w:rPr>
          <w:color w:val="231F20"/>
          <w:w w:val="105"/>
        </w:rPr>
        <w:t>and</w:t>
      </w:r>
      <w:r>
        <w:rPr>
          <w:color w:val="231F20"/>
          <w:spacing w:val="-15"/>
          <w:w w:val="105"/>
        </w:rPr>
        <w:t> </w:t>
      </w:r>
      <w:r>
        <w:rPr>
          <w:color w:val="231F20"/>
          <w:w w:val="105"/>
        </w:rPr>
        <w:t>Rhodes,</w:t>
      </w:r>
      <w:r>
        <w:rPr>
          <w:color w:val="231F20"/>
          <w:spacing w:val="-21"/>
          <w:w w:val="105"/>
        </w:rPr>
        <w:t> </w:t>
      </w:r>
      <w:r>
        <w:rPr>
          <w:color w:val="231F20"/>
          <w:w w:val="105"/>
        </w:rPr>
        <w:t>Jean</w:t>
      </w:r>
      <w:r>
        <w:rPr>
          <w:color w:val="231F20"/>
          <w:spacing w:val="-15"/>
          <w:w w:val="105"/>
        </w:rPr>
        <w:t> </w:t>
      </w:r>
      <w:r>
        <w:rPr>
          <w:color w:val="231F20"/>
          <w:w w:val="105"/>
        </w:rPr>
        <w:t>(2010),</w:t>
      </w:r>
      <w:r>
        <w:rPr>
          <w:color w:val="231F20"/>
          <w:spacing w:val="-20"/>
          <w:w w:val="105"/>
        </w:rPr>
        <w:t> </w:t>
      </w:r>
      <w:r>
        <w:rPr>
          <w:color w:val="231F20"/>
          <w:w w:val="105"/>
        </w:rPr>
        <w:t>“Academic</w:t>
      </w:r>
      <w:r>
        <w:rPr>
          <w:color w:val="231F20"/>
          <w:spacing w:val="-15"/>
          <w:w w:val="105"/>
        </w:rPr>
        <w:t> </w:t>
      </w:r>
      <w:r>
        <w:rPr>
          <w:color w:val="231F20"/>
          <w:w w:val="105"/>
        </w:rPr>
        <w:t>trajectories of newcomer immigrant </w:t>
      </w:r>
      <w:r>
        <w:rPr>
          <w:color w:val="231F20"/>
          <w:spacing w:val="-4"/>
          <w:w w:val="105"/>
        </w:rPr>
        <w:t>youth”, </w:t>
      </w:r>
      <w:r>
        <w:rPr>
          <w:rFonts w:ascii="Arial" w:hAnsi="Arial"/>
          <w:i/>
          <w:color w:val="231F20"/>
          <w:w w:val="105"/>
        </w:rPr>
        <w:t>Developmental Psychology</w:t>
      </w:r>
      <w:r>
        <w:rPr>
          <w:color w:val="231F20"/>
          <w:w w:val="105"/>
        </w:rPr>
        <w:t>, vol. 43,</w:t>
      </w:r>
      <w:r>
        <w:rPr>
          <w:color w:val="231F20"/>
          <w:spacing w:val="-24"/>
          <w:w w:val="105"/>
        </w:rPr>
        <w:t> </w:t>
      </w:r>
      <w:r>
        <w:rPr>
          <w:color w:val="231F20"/>
          <w:w w:val="105"/>
        </w:rPr>
        <w:t>num.</w:t>
      </w:r>
      <w:r>
        <w:rPr>
          <w:color w:val="231F20"/>
          <w:spacing w:val="-24"/>
          <w:w w:val="105"/>
        </w:rPr>
        <w:t> </w:t>
      </w:r>
      <w:r>
        <w:rPr>
          <w:color w:val="231F20"/>
          <w:w w:val="105"/>
        </w:rPr>
        <w:t>3.</w:t>
      </w:r>
    </w:p>
    <w:p>
      <w:pPr>
        <w:pStyle w:val="BodyText"/>
        <w:spacing w:line="261" w:lineRule="auto" w:before="1"/>
        <w:ind w:left="2574" w:right="1715" w:hanging="738"/>
        <w:jc w:val="both"/>
      </w:pPr>
      <w:r>
        <w:rPr/>
        <w:pict>
          <v:line style="position:absolute;mso-position-horizontal-relative:page;mso-position-vertical-relative:paragraph;z-index:-483808" from="15pt,115.890587pt" to="0pt,115.890587pt" stroked="true" strokeweight=".25pt" strokecolor="#000000">
            <w10:wrap type="none"/>
          </v:line>
        </w:pict>
      </w:r>
      <w:r>
        <w:rPr/>
        <w:pict>
          <v:line style="position:absolute;mso-position-horizontal-relative:page;mso-position-vertical-relative:paragraph;z-index:6400" from="508.890015pt,115.890587pt" to="523.890015pt,115.890587pt" stroked="true" strokeweight=".25pt" strokecolor="#000000">
            <w10:wrap type="none"/>
          </v:line>
        </w:pict>
      </w:r>
      <w:r>
        <w:rPr>
          <w:color w:val="231F20"/>
          <w:spacing w:val="-5"/>
          <w:w w:val="105"/>
        </w:rPr>
        <w:t>Tang,</w:t>
      </w:r>
      <w:r>
        <w:rPr>
          <w:color w:val="231F20"/>
          <w:spacing w:val="-29"/>
          <w:w w:val="105"/>
        </w:rPr>
        <w:t> </w:t>
      </w:r>
      <w:r>
        <w:rPr>
          <w:color w:val="231F20"/>
          <w:w w:val="105"/>
        </w:rPr>
        <w:t>Sandra,</w:t>
      </w:r>
      <w:r>
        <w:rPr>
          <w:color w:val="231F20"/>
          <w:spacing w:val="-29"/>
          <w:w w:val="105"/>
        </w:rPr>
        <w:t> </w:t>
      </w:r>
      <w:r>
        <w:rPr>
          <w:color w:val="231F20"/>
          <w:w w:val="105"/>
        </w:rPr>
        <w:t>(2015),</w:t>
      </w:r>
      <w:r>
        <w:rPr>
          <w:color w:val="231F20"/>
          <w:spacing w:val="-29"/>
          <w:w w:val="105"/>
        </w:rPr>
        <w:t> </w:t>
      </w:r>
      <w:r>
        <w:rPr>
          <w:color w:val="231F20"/>
          <w:w w:val="105"/>
        </w:rPr>
        <w:t>“Social</w:t>
      </w:r>
      <w:r>
        <w:rPr>
          <w:color w:val="231F20"/>
          <w:spacing w:val="-24"/>
          <w:w w:val="105"/>
        </w:rPr>
        <w:t> </w:t>
      </w:r>
      <w:r>
        <w:rPr>
          <w:color w:val="231F20"/>
          <w:w w:val="105"/>
        </w:rPr>
        <w:t>capital</w:t>
      </w:r>
      <w:r>
        <w:rPr>
          <w:color w:val="231F20"/>
          <w:spacing w:val="-24"/>
          <w:w w:val="105"/>
        </w:rPr>
        <w:t> </w:t>
      </w:r>
      <w:r>
        <w:rPr>
          <w:color w:val="231F20"/>
          <w:w w:val="105"/>
        </w:rPr>
        <w:t>and</w:t>
      </w:r>
      <w:r>
        <w:rPr>
          <w:color w:val="231F20"/>
          <w:spacing w:val="-24"/>
          <w:w w:val="105"/>
        </w:rPr>
        <w:t> </w:t>
      </w:r>
      <w:r>
        <w:rPr>
          <w:color w:val="231F20"/>
          <w:w w:val="105"/>
        </w:rPr>
        <w:t>determinants</w:t>
      </w:r>
      <w:r>
        <w:rPr>
          <w:color w:val="231F20"/>
          <w:spacing w:val="-24"/>
          <w:w w:val="105"/>
        </w:rPr>
        <w:t> </w:t>
      </w:r>
      <w:r>
        <w:rPr>
          <w:color w:val="231F20"/>
          <w:w w:val="105"/>
        </w:rPr>
        <w:t>of</w:t>
      </w:r>
      <w:r>
        <w:rPr>
          <w:color w:val="231F20"/>
          <w:spacing w:val="-21"/>
          <w:w w:val="105"/>
        </w:rPr>
        <w:t> </w:t>
      </w:r>
      <w:r>
        <w:rPr>
          <w:color w:val="231F20"/>
          <w:w w:val="105"/>
        </w:rPr>
        <w:t>immigrant</w:t>
      </w:r>
      <w:r>
        <w:rPr>
          <w:color w:val="231F20"/>
          <w:spacing w:val="-24"/>
          <w:w w:val="105"/>
        </w:rPr>
        <w:t> </w:t>
      </w:r>
      <w:r>
        <w:rPr>
          <w:color w:val="231F20"/>
          <w:w w:val="105"/>
        </w:rPr>
        <w:t>fami- ly</w:t>
      </w:r>
      <w:r>
        <w:rPr>
          <w:color w:val="231F20"/>
          <w:spacing w:val="-39"/>
          <w:w w:val="105"/>
        </w:rPr>
        <w:t> </w:t>
      </w:r>
      <w:r>
        <w:rPr>
          <w:color w:val="231F20"/>
          <w:w w:val="105"/>
        </w:rPr>
        <w:t>educational</w:t>
      </w:r>
      <w:r>
        <w:rPr>
          <w:color w:val="231F20"/>
          <w:spacing w:val="-39"/>
          <w:w w:val="105"/>
        </w:rPr>
        <w:t> </w:t>
      </w:r>
      <w:r>
        <w:rPr>
          <w:color w:val="231F20"/>
          <w:w w:val="105"/>
        </w:rPr>
        <w:t>involvement”,</w:t>
      </w:r>
      <w:r>
        <w:rPr>
          <w:color w:val="231F20"/>
          <w:spacing w:val="-42"/>
          <w:w w:val="105"/>
        </w:rPr>
        <w:t> </w:t>
      </w:r>
      <w:r>
        <w:rPr>
          <w:rFonts w:ascii="Arial" w:hAnsi="Arial"/>
          <w:i/>
          <w:color w:val="231F20"/>
          <w:w w:val="105"/>
        </w:rPr>
        <w:t>The</w:t>
      </w:r>
      <w:r>
        <w:rPr>
          <w:rFonts w:ascii="Arial" w:hAnsi="Arial"/>
          <w:i/>
          <w:color w:val="231F20"/>
          <w:spacing w:val="-43"/>
          <w:w w:val="105"/>
        </w:rPr>
        <w:t> </w:t>
      </w:r>
      <w:r>
        <w:rPr>
          <w:rFonts w:ascii="Arial" w:hAnsi="Arial"/>
          <w:i/>
          <w:color w:val="231F20"/>
          <w:w w:val="105"/>
        </w:rPr>
        <w:t>Journal</w:t>
      </w:r>
      <w:r>
        <w:rPr>
          <w:rFonts w:ascii="Arial" w:hAnsi="Arial"/>
          <w:i/>
          <w:color w:val="231F20"/>
          <w:spacing w:val="-42"/>
          <w:w w:val="105"/>
        </w:rPr>
        <w:t> </w:t>
      </w:r>
      <w:r>
        <w:rPr>
          <w:rFonts w:ascii="Arial" w:hAnsi="Arial"/>
          <w:i/>
          <w:color w:val="231F20"/>
          <w:w w:val="105"/>
        </w:rPr>
        <w:t>of</w:t>
      </w:r>
      <w:r>
        <w:rPr>
          <w:rFonts w:ascii="Arial" w:hAnsi="Arial"/>
          <w:i/>
          <w:color w:val="231F20"/>
          <w:spacing w:val="-40"/>
          <w:w w:val="105"/>
        </w:rPr>
        <w:t> </w:t>
      </w:r>
      <w:r>
        <w:rPr>
          <w:rFonts w:ascii="Arial" w:hAnsi="Arial"/>
          <w:i/>
          <w:color w:val="231F20"/>
          <w:w w:val="105"/>
        </w:rPr>
        <w:t>Educational</w:t>
      </w:r>
      <w:r>
        <w:rPr>
          <w:rFonts w:ascii="Arial" w:hAnsi="Arial"/>
          <w:i/>
          <w:color w:val="231F20"/>
          <w:spacing w:val="-42"/>
          <w:w w:val="105"/>
        </w:rPr>
        <w:t> </w:t>
      </w:r>
      <w:r>
        <w:rPr>
          <w:rFonts w:ascii="Arial" w:hAnsi="Arial"/>
          <w:i/>
          <w:color w:val="231F20"/>
          <w:w w:val="105"/>
        </w:rPr>
        <w:t>Research</w:t>
      </w:r>
      <w:r>
        <w:rPr>
          <w:color w:val="231F20"/>
          <w:w w:val="105"/>
        </w:rPr>
        <w:t>, num.108.</w:t>
      </w:r>
      <w:r>
        <w:rPr>
          <w:color w:val="231F20"/>
          <w:spacing w:val="-34"/>
          <w:w w:val="105"/>
        </w:rPr>
        <w:t> </w:t>
      </w:r>
      <w:r>
        <w:rPr>
          <w:color w:val="231F20"/>
          <w:w w:val="105"/>
        </w:rPr>
        <w:t>DOI:</w:t>
      </w:r>
      <w:r>
        <w:rPr>
          <w:color w:val="231F20"/>
          <w:spacing w:val="-30"/>
          <w:w w:val="105"/>
        </w:rPr>
        <w:t> </w:t>
      </w:r>
      <w:r>
        <w:rPr>
          <w:color w:val="231F20"/>
          <w:w w:val="105"/>
        </w:rPr>
        <w:t>10.1080/00220671.2013.833076.</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line="261" w:lineRule="auto" w:before="57"/>
        <w:ind w:left="2461" w:right="1828" w:hanging="738"/>
        <w:jc w:val="both"/>
        <w:rPr>
          <w:sz w:val="21"/>
        </w:rPr>
      </w:pPr>
      <w:r>
        <w:rPr>
          <w:color w:val="231F20"/>
          <w:w w:val="105"/>
          <w:sz w:val="21"/>
        </w:rPr>
        <w:t>United We Dream, (2015), </w:t>
      </w:r>
      <w:r>
        <w:rPr>
          <w:rFonts w:ascii="Arial"/>
          <w:i/>
          <w:color w:val="231F20"/>
          <w:w w:val="105"/>
          <w:sz w:val="21"/>
        </w:rPr>
        <w:t>Dream educational empowerment program</w:t>
      </w:r>
      <w:r>
        <w:rPr>
          <w:color w:val="231F20"/>
          <w:w w:val="105"/>
          <w:sz w:val="21"/>
        </w:rPr>
        <w:t>, UWD, retrieved from </w:t>
      </w:r>
      <w:hyperlink r:id="rId55">
        <w:r>
          <w:rPr>
            <w:color w:val="231F20"/>
            <w:w w:val="105"/>
            <w:sz w:val="21"/>
          </w:rPr>
          <w:t>http://unitedwedream.org/about/projects/</w:t>
        </w:r>
      </w:hyperlink>
      <w:r>
        <w:rPr>
          <w:color w:val="231F20"/>
          <w:w w:val="105"/>
          <w:sz w:val="21"/>
        </w:rPr>
        <w:t> education-deep/</w:t>
      </w:r>
    </w:p>
    <w:p>
      <w:pPr>
        <w:spacing w:line="259" w:lineRule="auto" w:before="0"/>
        <w:ind w:left="2461" w:right="1834" w:hanging="738"/>
        <w:jc w:val="both"/>
        <w:rPr>
          <w:sz w:val="21"/>
        </w:rPr>
      </w:pPr>
      <w:r>
        <w:rPr>
          <w:color w:val="231F20"/>
          <w:spacing w:val="-3"/>
          <w:w w:val="105"/>
          <w:sz w:val="21"/>
        </w:rPr>
        <w:t>U.</w:t>
      </w:r>
      <w:r>
        <w:rPr>
          <w:color w:val="231F20"/>
          <w:spacing w:val="-23"/>
          <w:w w:val="105"/>
          <w:sz w:val="21"/>
        </w:rPr>
        <w:t> </w:t>
      </w:r>
      <w:r>
        <w:rPr>
          <w:color w:val="231F20"/>
          <w:w w:val="105"/>
          <w:sz w:val="21"/>
        </w:rPr>
        <w:t>S.</w:t>
      </w:r>
      <w:r>
        <w:rPr>
          <w:color w:val="231F20"/>
          <w:spacing w:val="-23"/>
          <w:w w:val="105"/>
          <w:sz w:val="21"/>
        </w:rPr>
        <w:t> </w:t>
      </w:r>
      <w:r>
        <w:rPr>
          <w:color w:val="231F20"/>
          <w:w w:val="105"/>
          <w:sz w:val="21"/>
        </w:rPr>
        <w:t>Department</w:t>
      </w:r>
      <w:r>
        <w:rPr>
          <w:color w:val="231F20"/>
          <w:spacing w:val="-18"/>
          <w:w w:val="105"/>
          <w:sz w:val="21"/>
        </w:rPr>
        <w:t> </w:t>
      </w:r>
      <w:r>
        <w:rPr>
          <w:color w:val="231F20"/>
          <w:w w:val="105"/>
          <w:sz w:val="21"/>
        </w:rPr>
        <w:t>of</w:t>
      </w:r>
      <w:r>
        <w:rPr>
          <w:color w:val="231F20"/>
          <w:spacing w:val="-14"/>
          <w:w w:val="105"/>
          <w:sz w:val="21"/>
        </w:rPr>
        <w:t> </w:t>
      </w:r>
      <w:r>
        <w:rPr>
          <w:color w:val="231F20"/>
          <w:w w:val="105"/>
          <w:sz w:val="21"/>
        </w:rPr>
        <w:t>Homeland</w:t>
      </w:r>
      <w:r>
        <w:rPr>
          <w:color w:val="231F20"/>
          <w:spacing w:val="-18"/>
          <w:w w:val="105"/>
          <w:sz w:val="21"/>
        </w:rPr>
        <w:t> </w:t>
      </w:r>
      <w:r>
        <w:rPr>
          <w:color w:val="231F20"/>
          <w:w w:val="105"/>
          <w:sz w:val="21"/>
        </w:rPr>
        <w:t>Security,</w:t>
      </w:r>
      <w:r>
        <w:rPr>
          <w:color w:val="231F20"/>
          <w:spacing w:val="-23"/>
          <w:w w:val="105"/>
          <w:sz w:val="21"/>
        </w:rPr>
        <w:t> </w:t>
      </w:r>
      <w:r>
        <w:rPr>
          <w:color w:val="231F20"/>
          <w:w w:val="105"/>
          <w:sz w:val="21"/>
        </w:rPr>
        <w:t>(2013a),</w:t>
      </w:r>
      <w:r>
        <w:rPr>
          <w:color w:val="231F20"/>
          <w:spacing w:val="-23"/>
          <w:w w:val="105"/>
          <w:sz w:val="21"/>
        </w:rPr>
        <w:t> </w:t>
      </w:r>
      <w:r>
        <w:rPr>
          <w:rFonts w:ascii="Arial"/>
          <w:i/>
          <w:color w:val="231F20"/>
          <w:spacing w:val="-5"/>
          <w:w w:val="105"/>
          <w:sz w:val="21"/>
        </w:rPr>
        <w:t>Table</w:t>
      </w:r>
      <w:r>
        <w:rPr>
          <w:rFonts w:ascii="Arial"/>
          <w:i/>
          <w:color w:val="231F20"/>
          <w:spacing w:val="-21"/>
          <w:w w:val="105"/>
          <w:sz w:val="21"/>
        </w:rPr>
        <w:t> </w:t>
      </w:r>
      <w:r>
        <w:rPr>
          <w:rFonts w:ascii="Arial"/>
          <w:i/>
          <w:color w:val="231F20"/>
          <w:w w:val="105"/>
          <w:sz w:val="21"/>
        </w:rPr>
        <w:t>34:</w:t>
      </w:r>
      <w:r>
        <w:rPr>
          <w:rFonts w:ascii="Arial"/>
          <w:i/>
          <w:color w:val="231F20"/>
          <w:spacing w:val="-23"/>
          <w:w w:val="105"/>
          <w:sz w:val="21"/>
        </w:rPr>
        <w:t> </w:t>
      </w:r>
      <w:r>
        <w:rPr>
          <w:rFonts w:ascii="Arial"/>
          <w:i/>
          <w:color w:val="231F20"/>
          <w:w w:val="105"/>
          <w:sz w:val="21"/>
        </w:rPr>
        <w:t>Aliens</w:t>
      </w:r>
      <w:r>
        <w:rPr>
          <w:rFonts w:ascii="Arial"/>
          <w:i/>
          <w:color w:val="231F20"/>
          <w:spacing w:val="-21"/>
          <w:w w:val="105"/>
          <w:sz w:val="21"/>
        </w:rPr>
        <w:t> </w:t>
      </w:r>
      <w:r>
        <w:rPr>
          <w:rFonts w:ascii="Arial"/>
          <w:i/>
          <w:color w:val="231F20"/>
          <w:w w:val="105"/>
          <w:sz w:val="21"/>
        </w:rPr>
        <w:t>appre- </w:t>
      </w:r>
      <w:r>
        <w:rPr>
          <w:rFonts w:ascii="Arial"/>
          <w:i/>
          <w:color w:val="231F20"/>
          <w:w w:val="105"/>
          <w:sz w:val="21"/>
        </w:rPr>
        <w:t>hended</w:t>
      </w:r>
      <w:r>
        <w:rPr>
          <w:rFonts w:ascii="Arial"/>
          <w:i/>
          <w:color w:val="231F20"/>
          <w:spacing w:val="-14"/>
          <w:w w:val="105"/>
          <w:sz w:val="21"/>
        </w:rPr>
        <w:t> </w:t>
      </w:r>
      <w:r>
        <w:rPr>
          <w:rFonts w:ascii="Arial"/>
          <w:i/>
          <w:color w:val="231F20"/>
          <w:w w:val="105"/>
          <w:sz w:val="21"/>
        </w:rPr>
        <w:t>by</w:t>
      </w:r>
      <w:r>
        <w:rPr>
          <w:rFonts w:ascii="Arial"/>
          <w:i/>
          <w:color w:val="231F20"/>
          <w:spacing w:val="-14"/>
          <w:w w:val="105"/>
          <w:sz w:val="21"/>
        </w:rPr>
        <w:t> </w:t>
      </w:r>
      <w:r>
        <w:rPr>
          <w:rFonts w:ascii="Arial"/>
          <w:i/>
          <w:color w:val="231F20"/>
          <w:w w:val="105"/>
          <w:sz w:val="21"/>
        </w:rPr>
        <w:t>region</w:t>
      </w:r>
      <w:r>
        <w:rPr>
          <w:rFonts w:ascii="Arial"/>
          <w:i/>
          <w:color w:val="231F20"/>
          <w:spacing w:val="-14"/>
          <w:w w:val="105"/>
          <w:sz w:val="21"/>
        </w:rPr>
        <w:t> </w:t>
      </w:r>
      <w:r>
        <w:rPr>
          <w:rFonts w:ascii="Arial"/>
          <w:i/>
          <w:color w:val="231F20"/>
          <w:w w:val="105"/>
          <w:sz w:val="21"/>
        </w:rPr>
        <w:t>and</w:t>
      </w:r>
      <w:r>
        <w:rPr>
          <w:rFonts w:ascii="Arial"/>
          <w:i/>
          <w:color w:val="231F20"/>
          <w:spacing w:val="-14"/>
          <w:w w:val="105"/>
          <w:sz w:val="21"/>
        </w:rPr>
        <w:t> </w:t>
      </w:r>
      <w:r>
        <w:rPr>
          <w:rFonts w:ascii="Arial"/>
          <w:i/>
          <w:color w:val="231F20"/>
          <w:w w:val="105"/>
          <w:sz w:val="21"/>
        </w:rPr>
        <w:t>country</w:t>
      </w:r>
      <w:r>
        <w:rPr>
          <w:rFonts w:ascii="Arial"/>
          <w:i/>
          <w:color w:val="231F20"/>
          <w:spacing w:val="-14"/>
          <w:w w:val="105"/>
          <w:sz w:val="21"/>
        </w:rPr>
        <w:t> </w:t>
      </w:r>
      <w:r>
        <w:rPr>
          <w:rFonts w:ascii="Arial"/>
          <w:i/>
          <w:color w:val="231F20"/>
          <w:w w:val="105"/>
          <w:sz w:val="21"/>
        </w:rPr>
        <w:t>of</w:t>
      </w:r>
      <w:r>
        <w:rPr>
          <w:rFonts w:ascii="Arial"/>
          <w:i/>
          <w:color w:val="231F20"/>
          <w:spacing w:val="-10"/>
          <w:w w:val="105"/>
          <w:sz w:val="21"/>
        </w:rPr>
        <w:t> </w:t>
      </w:r>
      <w:r>
        <w:rPr>
          <w:rFonts w:ascii="Arial"/>
          <w:i/>
          <w:color w:val="231F20"/>
          <w:w w:val="105"/>
          <w:sz w:val="21"/>
        </w:rPr>
        <w:t>nationality:</w:t>
      </w:r>
      <w:r>
        <w:rPr>
          <w:rFonts w:ascii="Arial"/>
          <w:i/>
          <w:color w:val="231F20"/>
          <w:spacing w:val="-14"/>
          <w:w w:val="105"/>
          <w:sz w:val="21"/>
        </w:rPr>
        <w:t> </w:t>
      </w:r>
      <w:r>
        <w:rPr>
          <w:rFonts w:ascii="Arial"/>
          <w:i/>
          <w:color w:val="231F20"/>
          <w:w w:val="105"/>
          <w:sz w:val="21"/>
        </w:rPr>
        <w:t>Fiscal</w:t>
      </w:r>
      <w:r>
        <w:rPr>
          <w:rFonts w:ascii="Arial"/>
          <w:i/>
          <w:color w:val="231F20"/>
          <w:spacing w:val="-14"/>
          <w:w w:val="105"/>
          <w:sz w:val="21"/>
        </w:rPr>
        <w:t> </w:t>
      </w:r>
      <w:r>
        <w:rPr>
          <w:rFonts w:ascii="Arial"/>
          <w:i/>
          <w:color w:val="231F20"/>
          <w:w w:val="105"/>
          <w:sz w:val="21"/>
        </w:rPr>
        <w:t>years</w:t>
      </w:r>
      <w:r>
        <w:rPr>
          <w:rFonts w:ascii="Arial"/>
          <w:i/>
          <w:color w:val="231F20"/>
          <w:spacing w:val="-14"/>
          <w:w w:val="105"/>
          <w:sz w:val="21"/>
        </w:rPr>
        <w:t> </w:t>
      </w:r>
      <w:r>
        <w:rPr>
          <w:rFonts w:ascii="Arial"/>
          <w:i/>
          <w:color w:val="231F20"/>
          <w:w w:val="105"/>
          <w:sz w:val="21"/>
        </w:rPr>
        <w:t>2004</w:t>
      </w:r>
      <w:r>
        <w:rPr>
          <w:rFonts w:ascii="Arial"/>
          <w:i/>
          <w:color w:val="231F20"/>
          <w:spacing w:val="-14"/>
          <w:w w:val="105"/>
          <w:sz w:val="21"/>
        </w:rPr>
        <w:t> </w:t>
      </w:r>
      <w:r>
        <w:rPr>
          <w:rFonts w:ascii="Arial"/>
          <w:i/>
          <w:color w:val="231F20"/>
          <w:w w:val="105"/>
          <w:sz w:val="21"/>
        </w:rPr>
        <w:t>to 2013</w:t>
      </w:r>
      <w:r>
        <w:rPr>
          <w:color w:val="231F20"/>
          <w:w w:val="105"/>
          <w:sz w:val="21"/>
        </w:rPr>
        <w:t>, Office of Immigration Statistics,</w:t>
      </w:r>
      <w:r>
        <w:rPr>
          <w:color w:val="231F20"/>
          <w:spacing w:val="-41"/>
          <w:w w:val="105"/>
          <w:sz w:val="21"/>
        </w:rPr>
        <w:t> </w:t>
      </w:r>
      <w:r>
        <w:rPr>
          <w:color w:val="231F20"/>
          <w:w w:val="105"/>
          <w:sz w:val="21"/>
        </w:rPr>
        <w:t>retrieved from </w:t>
      </w:r>
      <w:hyperlink r:id="rId41">
        <w:r>
          <w:rPr>
            <w:color w:val="231F20"/>
            <w:w w:val="105"/>
            <w:sz w:val="21"/>
          </w:rPr>
          <w:t>http://www.</w:t>
        </w:r>
      </w:hyperlink>
      <w:r>
        <w:rPr>
          <w:color w:val="231F20"/>
          <w:w w:val="105"/>
          <w:sz w:val="21"/>
        </w:rPr>
        <w:t> dhs.gov/sites/default/files/publications/ois_yb_2013_0.pdf</w:t>
      </w:r>
    </w:p>
    <w:p>
      <w:pPr>
        <w:tabs>
          <w:tab w:pos="2547" w:val="left" w:leader="none"/>
        </w:tabs>
        <w:spacing w:line="261" w:lineRule="auto" w:before="0"/>
        <w:ind w:left="2461" w:right="1829" w:hanging="738"/>
        <w:jc w:val="both"/>
        <w:rPr>
          <w:sz w:val="21"/>
        </w:rPr>
      </w:pPr>
      <w:r>
        <w:rPr>
          <w:color w:val="231F20"/>
          <w:w w:val="94"/>
          <w:sz w:val="21"/>
          <w:u w:val="single" w:color="221E1F"/>
        </w:rPr>
        <w:t> </w:t>
      </w:r>
      <w:r>
        <w:rPr>
          <w:color w:val="231F20"/>
          <w:sz w:val="21"/>
          <w:u w:val="single" w:color="221E1F"/>
        </w:rPr>
        <w:tab/>
        <w:tab/>
      </w:r>
      <w:r>
        <w:rPr>
          <w:color w:val="231F20"/>
          <w:spacing w:val="4"/>
          <w:sz w:val="21"/>
        </w:rPr>
        <w:t> </w:t>
      </w:r>
      <w:r>
        <w:rPr>
          <w:color w:val="231F20"/>
          <w:w w:val="105"/>
          <w:sz w:val="21"/>
        </w:rPr>
        <w:t>(2013b),</w:t>
      </w:r>
      <w:r>
        <w:rPr>
          <w:color w:val="231F20"/>
          <w:spacing w:val="-13"/>
          <w:w w:val="105"/>
          <w:sz w:val="21"/>
        </w:rPr>
        <w:t> </w:t>
      </w:r>
      <w:r>
        <w:rPr>
          <w:rFonts w:ascii="Arial"/>
          <w:i/>
          <w:color w:val="231F20"/>
          <w:spacing w:val="-5"/>
          <w:w w:val="105"/>
          <w:sz w:val="21"/>
        </w:rPr>
        <w:t>Table</w:t>
      </w:r>
      <w:r>
        <w:rPr>
          <w:rFonts w:ascii="Arial"/>
          <w:i/>
          <w:color w:val="231F20"/>
          <w:spacing w:val="-10"/>
          <w:w w:val="105"/>
          <w:sz w:val="21"/>
        </w:rPr>
        <w:t> </w:t>
      </w:r>
      <w:r>
        <w:rPr>
          <w:rFonts w:ascii="Arial"/>
          <w:i/>
          <w:color w:val="231F20"/>
          <w:w w:val="105"/>
          <w:sz w:val="21"/>
        </w:rPr>
        <w:t>40:</w:t>
      </w:r>
      <w:r>
        <w:rPr>
          <w:rFonts w:ascii="Arial"/>
          <w:i/>
          <w:color w:val="231F20"/>
          <w:spacing w:val="-14"/>
          <w:w w:val="105"/>
          <w:sz w:val="21"/>
        </w:rPr>
        <w:t> </w:t>
      </w:r>
      <w:r>
        <w:rPr>
          <w:rFonts w:ascii="Arial"/>
          <w:i/>
          <w:color w:val="231F20"/>
          <w:w w:val="105"/>
          <w:sz w:val="21"/>
        </w:rPr>
        <w:t>Aliens</w:t>
      </w:r>
      <w:r>
        <w:rPr>
          <w:rFonts w:ascii="Arial"/>
          <w:i/>
          <w:color w:val="231F20"/>
          <w:spacing w:val="-10"/>
          <w:w w:val="105"/>
          <w:sz w:val="21"/>
        </w:rPr>
        <w:t> </w:t>
      </w:r>
      <w:r>
        <w:rPr>
          <w:rFonts w:ascii="Arial"/>
          <w:i/>
          <w:color w:val="231F20"/>
          <w:w w:val="105"/>
          <w:sz w:val="21"/>
        </w:rPr>
        <w:t>returned</w:t>
      </w:r>
      <w:r>
        <w:rPr>
          <w:rFonts w:ascii="Arial"/>
          <w:i/>
          <w:color w:val="231F20"/>
          <w:spacing w:val="-10"/>
          <w:w w:val="105"/>
          <w:sz w:val="21"/>
        </w:rPr>
        <w:t> </w:t>
      </w:r>
      <w:r>
        <w:rPr>
          <w:rFonts w:ascii="Arial"/>
          <w:i/>
          <w:color w:val="231F20"/>
          <w:w w:val="105"/>
          <w:sz w:val="21"/>
        </w:rPr>
        <w:t>by</w:t>
      </w:r>
      <w:r>
        <w:rPr>
          <w:rFonts w:ascii="Arial"/>
          <w:i/>
          <w:color w:val="231F20"/>
          <w:spacing w:val="-10"/>
          <w:w w:val="105"/>
          <w:sz w:val="21"/>
        </w:rPr>
        <w:t> </w:t>
      </w:r>
      <w:r>
        <w:rPr>
          <w:rFonts w:ascii="Arial"/>
          <w:i/>
          <w:color w:val="231F20"/>
          <w:w w:val="105"/>
          <w:sz w:val="21"/>
        </w:rPr>
        <w:t>region</w:t>
      </w:r>
      <w:r>
        <w:rPr>
          <w:rFonts w:ascii="Arial"/>
          <w:i/>
          <w:color w:val="231F20"/>
          <w:spacing w:val="-10"/>
          <w:w w:val="105"/>
          <w:sz w:val="21"/>
        </w:rPr>
        <w:t> </w:t>
      </w:r>
      <w:r>
        <w:rPr>
          <w:rFonts w:ascii="Arial"/>
          <w:i/>
          <w:color w:val="231F20"/>
          <w:w w:val="105"/>
          <w:sz w:val="21"/>
        </w:rPr>
        <w:t>and</w:t>
      </w:r>
      <w:r>
        <w:rPr>
          <w:rFonts w:ascii="Arial"/>
          <w:i/>
          <w:color w:val="231F20"/>
          <w:spacing w:val="-10"/>
          <w:w w:val="105"/>
          <w:sz w:val="21"/>
        </w:rPr>
        <w:t> </w:t>
      </w:r>
      <w:r>
        <w:rPr>
          <w:rFonts w:ascii="Arial"/>
          <w:i/>
          <w:color w:val="231F20"/>
          <w:w w:val="105"/>
          <w:sz w:val="21"/>
        </w:rPr>
        <w:t>country</w:t>
      </w:r>
      <w:r>
        <w:rPr>
          <w:rFonts w:ascii="Arial"/>
          <w:i/>
          <w:color w:val="231F20"/>
          <w:spacing w:val="-10"/>
          <w:w w:val="105"/>
          <w:sz w:val="21"/>
        </w:rPr>
        <w:t> </w:t>
      </w:r>
      <w:r>
        <w:rPr>
          <w:rFonts w:ascii="Arial"/>
          <w:i/>
          <w:color w:val="231F20"/>
          <w:w w:val="105"/>
          <w:sz w:val="21"/>
        </w:rPr>
        <w:t>of</w:t>
      </w:r>
      <w:r>
        <w:rPr>
          <w:rFonts w:ascii="Arial"/>
          <w:i/>
          <w:color w:val="231F20"/>
          <w:spacing w:val="-6"/>
          <w:w w:val="105"/>
          <w:sz w:val="21"/>
        </w:rPr>
        <w:t> </w:t>
      </w:r>
      <w:r>
        <w:rPr>
          <w:rFonts w:ascii="Arial"/>
          <w:i/>
          <w:color w:val="231F20"/>
          <w:w w:val="105"/>
          <w:sz w:val="21"/>
        </w:rPr>
        <w:t>na-</w:t>
      </w:r>
      <w:r>
        <w:rPr>
          <w:rFonts w:ascii="Arial"/>
          <w:i/>
          <w:color w:val="231F20"/>
          <w:w w:val="96"/>
          <w:sz w:val="21"/>
        </w:rPr>
        <w:t> </w:t>
      </w:r>
      <w:r>
        <w:rPr>
          <w:rFonts w:ascii="Arial"/>
          <w:i/>
          <w:color w:val="231F20"/>
          <w:w w:val="105"/>
          <w:sz w:val="21"/>
        </w:rPr>
        <w:t>tionality:</w:t>
      </w:r>
      <w:r>
        <w:rPr>
          <w:rFonts w:ascii="Arial"/>
          <w:i/>
          <w:color w:val="231F20"/>
          <w:spacing w:val="-22"/>
          <w:w w:val="105"/>
          <w:sz w:val="21"/>
        </w:rPr>
        <w:t> </w:t>
      </w:r>
      <w:r>
        <w:rPr>
          <w:rFonts w:ascii="Arial"/>
          <w:i/>
          <w:color w:val="231F20"/>
          <w:w w:val="105"/>
          <w:sz w:val="21"/>
        </w:rPr>
        <w:t>Fiscal</w:t>
      </w:r>
      <w:r>
        <w:rPr>
          <w:rFonts w:ascii="Arial"/>
          <w:i/>
          <w:color w:val="231F20"/>
          <w:spacing w:val="-22"/>
          <w:w w:val="105"/>
          <w:sz w:val="21"/>
        </w:rPr>
        <w:t> </w:t>
      </w:r>
      <w:r>
        <w:rPr>
          <w:rFonts w:ascii="Arial"/>
          <w:i/>
          <w:color w:val="231F20"/>
          <w:w w:val="105"/>
          <w:sz w:val="21"/>
        </w:rPr>
        <w:t>years</w:t>
      </w:r>
      <w:r>
        <w:rPr>
          <w:rFonts w:ascii="Arial"/>
          <w:i/>
          <w:color w:val="231F20"/>
          <w:spacing w:val="-22"/>
          <w:w w:val="105"/>
          <w:sz w:val="21"/>
        </w:rPr>
        <w:t> </w:t>
      </w:r>
      <w:r>
        <w:rPr>
          <w:rFonts w:ascii="Arial"/>
          <w:i/>
          <w:color w:val="231F20"/>
          <w:w w:val="105"/>
          <w:sz w:val="21"/>
        </w:rPr>
        <w:t>2009-2013</w:t>
      </w:r>
      <w:r>
        <w:rPr>
          <w:color w:val="231F20"/>
          <w:w w:val="105"/>
          <w:sz w:val="21"/>
        </w:rPr>
        <w:t>,</w:t>
      </w:r>
      <w:r>
        <w:rPr>
          <w:color w:val="231F20"/>
          <w:spacing w:val="-22"/>
          <w:w w:val="105"/>
          <w:sz w:val="21"/>
        </w:rPr>
        <w:t> </w:t>
      </w:r>
      <w:r>
        <w:rPr>
          <w:color w:val="231F20"/>
          <w:w w:val="105"/>
          <w:sz w:val="21"/>
        </w:rPr>
        <w:t>Office</w:t>
      </w:r>
      <w:r>
        <w:rPr>
          <w:color w:val="231F20"/>
          <w:spacing w:val="-19"/>
          <w:w w:val="105"/>
          <w:sz w:val="21"/>
        </w:rPr>
        <w:t> </w:t>
      </w:r>
      <w:r>
        <w:rPr>
          <w:color w:val="231F20"/>
          <w:w w:val="105"/>
          <w:sz w:val="21"/>
        </w:rPr>
        <w:t>of</w:t>
      </w:r>
      <w:r>
        <w:rPr>
          <w:color w:val="231F20"/>
          <w:spacing w:val="-15"/>
          <w:w w:val="105"/>
          <w:sz w:val="21"/>
        </w:rPr>
        <w:t> </w:t>
      </w:r>
      <w:r>
        <w:rPr>
          <w:color w:val="231F20"/>
          <w:w w:val="105"/>
          <w:sz w:val="21"/>
        </w:rPr>
        <w:t>Immigration</w:t>
      </w:r>
      <w:r>
        <w:rPr>
          <w:color w:val="231F20"/>
          <w:spacing w:val="-19"/>
          <w:w w:val="105"/>
          <w:sz w:val="21"/>
        </w:rPr>
        <w:t> </w:t>
      </w:r>
      <w:r>
        <w:rPr>
          <w:color w:val="231F20"/>
          <w:w w:val="105"/>
          <w:sz w:val="21"/>
        </w:rPr>
        <w:t>Statistics, retrieved from </w:t>
      </w:r>
      <w:hyperlink r:id="rId56">
        <w:r>
          <w:rPr>
            <w:color w:val="231F20"/>
            <w:w w:val="105"/>
            <w:sz w:val="21"/>
          </w:rPr>
          <w:t>http://www.dhs.gov/sites/default/files/publica-</w:t>
        </w:r>
      </w:hyperlink>
      <w:r>
        <w:rPr>
          <w:color w:val="231F20"/>
          <w:w w:val="105"/>
          <w:sz w:val="21"/>
        </w:rPr>
        <w:t> tions/ois_yb_2013_0.pdf</w:t>
      </w:r>
    </w:p>
    <w:p>
      <w:pPr>
        <w:spacing w:line="261" w:lineRule="auto" w:before="0"/>
        <w:ind w:left="2461" w:right="1825" w:hanging="738"/>
        <w:jc w:val="both"/>
        <w:rPr>
          <w:sz w:val="21"/>
        </w:rPr>
      </w:pPr>
      <w:r>
        <w:rPr>
          <w:color w:val="231F20"/>
          <w:w w:val="105"/>
          <w:sz w:val="21"/>
        </w:rPr>
        <w:t>United States Citizenship and Immigration Services, (2015), </w:t>
      </w:r>
      <w:r>
        <w:rPr>
          <w:rFonts w:ascii="Arial"/>
          <w:i/>
          <w:color w:val="231F20"/>
          <w:w w:val="105"/>
          <w:sz w:val="21"/>
        </w:rPr>
        <w:t>Number   </w:t>
      </w:r>
      <w:r>
        <w:rPr>
          <w:rFonts w:ascii="Arial"/>
          <w:i/>
          <w:color w:val="231F20"/>
          <w:w w:val="105"/>
          <w:sz w:val="21"/>
        </w:rPr>
        <w:t>of I-821D, consideration of deferred action for childhood  arrivals by fiscal year, quarter, intake, biometrics, and case status:2012-2015 (March 31)</w:t>
      </w:r>
      <w:r>
        <w:rPr>
          <w:color w:val="231F20"/>
          <w:w w:val="105"/>
          <w:sz w:val="21"/>
        </w:rPr>
        <w:t>, United States Department of Homeland Security, retrieved from </w:t>
      </w:r>
      <w:hyperlink r:id="rId57">
        <w:r>
          <w:rPr>
            <w:color w:val="231F20"/>
            <w:w w:val="105"/>
            <w:sz w:val="21"/>
          </w:rPr>
          <w:t>http://www.uscis.gov/sites/</w:t>
        </w:r>
      </w:hyperlink>
      <w:r>
        <w:rPr>
          <w:color w:val="231F20"/>
          <w:w w:val="105"/>
          <w:sz w:val="21"/>
        </w:rPr>
        <w:t> </w:t>
      </w:r>
      <w:r>
        <w:rPr>
          <w:color w:val="231F20"/>
          <w:spacing w:val="8"/>
          <w:sz w:val="21"/>
        </w:rPr>
        <w:t>default/files/USCIS/Resources/Reports%20and%20Studies/ </w:t>
      </w:r>
      <w:r>
        <w:rPr>
          <w:color w:val="231F20"/>
          <w:sz w:val="21"/>
        </w:rPr>
        <w:t>Immigration%20Forms%20Data/Naturalization%20Data/I821d_ </w:t>
      </w:r>
      <w:r>
        <w:rPr>
          <w:color w:val="231F20"/>
          <w:w w:val="105"/>
          <w:sz w:val="21"/>
        </w:rPr>
        <w:t>performancedata_fy2015_qtr2.pdf</w:t>
      </w:r>
    </w:p>
    <w:p>
      <w:pPr>
        <w:spacing w:line="259" w:lineRule="auto" w:before="0"/>
        <w:ind w:left="2461" w:right="1831" w:hanging="738"/>
        <w:jc w:val="both"/>
        <w:rPr>
          <w:sz w:val="21"/>
        </w:rPr>
      </w:pPr>
      <w:r>
        <w:rPr>
          <w:color w:val="231F20"/>
          <w:w w:val="105"/>
          <w:sz w:val="21"/>
        </w:rPr>
        <w:t>U.S.</w:t>
      </w:r>
      <w:r>
        <w:rPr>
          <w:color w:val="231F20"/>
          <w:spacing w:val="-18"/>
          <w:w w:val="105"/>
          <w:sz w:val="21"/>
        </w:rPr>
        <w:t> </w:t>
      </w:r>
      <w:r>
        <w:rPr>
          <w:color w:val="231F20"/>
          <w:w w:val="105"/>
          <w:sz w:val="21"/>
        </w:rPr>
        <w:t>Immigration</w:t>
      </w:r>
      <w:r>
        <w:rPr>
          <w:color w:val="231F20"/>
          <w:spacing w:val="-14"/>
          <w:w w:val="105"/>
          <w:sz w:val="21"/>
        </w:rPr>
        <w:t> </w:t>
      </w:r>
      <w:r>
        <w:rPr>
          <w:color w:val="231F20"/>
          <w:w w:val="105"/>
          <w:sz w:val="21"/>
        </w:rPr>
        <w:t>and</w:t>
      </w:r>
      <w:r>
        <w:rPr>
          <w:color w:val="231F20"/>
          <w:spacing w:val="-14"/>
          <w:w w:val="105"/>
          <w:sz w:val="21"/>
        </w:rPr>
        <w:t> </w:t>
      </w:r>
      <w:r>
        <w:rPr>
          <w:color w:val="231F20"/>
          <w:w w:val="105"/>
          <w:sz w:val="21"/>
        </w:rPr>
        <w:t>Customs</w:t>
      </w:r>
      <w:r>
        <w:rPr>
          <w:color w:val="231F20"/>
          <w:spacing w:val="-14"/>
          <w:w w:val="105"/>
          <w:sz w:val="21"/>
        </w:rPr>
        <w:t> </w:t>
      </w:r>
      <w:r>
        <w:rPr>
          <w:color w:val="231F20"/>
          <w:w w:val="105"/>
          <w:sz w:val="21"/>
        </w:rPr>
        <w:t>Enforcement,</w:t>
      </w:r>
      <w:r>
        <w:rPr>
          <w:color w:val="231F20"/>
          <w:spacing w:val="-18"/>
          <w:w w:val="105"/>
          <w:sz w:val="21"/>
        </w:rPr>
        <w:t> </w:t>
      </w:r>
      <w:r>
        <w:rPr>
          <w:color w:val="231F20"/>
          <w:w w:val="105"/>
          <w:sz w:val="21"/>
        </w:rPr>
        <w:t>(2014),</w:t>
      </w:r>
      <w:r>
        <w:rPr>
          <w:color w:val="231F20"/>
          <w:spacing w:val="-18"/>
          <w:w w:val="105"/>
          <w:sz w:val="21"/>
        </w:rPr>
        <w:t> </w:t>
      </w:r>
      <w:r>
        <w:rPr>
          <w:rFonts w:ascii="Arial"/>
          <w:i/>
          <w:color w:val="231F20"/>
          <w:w w:val="105"/>
          <w:sz w:val="21"/>
        </w:rPr>
        <w:t>FY</w:t>
      </w:r>
      <w:r>
        <w:rPr>
          <w:rFonts w:ascii="Arial"/>
          <w:i/>
          <w:color w:val="231F20"/>
          <w:spacing w:val="-20"/>
          <w:w w:val="105"/>
          <w:sz w:val="21"/>
        </w:rPr>
        <w:t> </w:t>
      </w:r>
      <w:r>
        <w:rPr>
          <w:rFonts w:ascii="Arial"/>
          <w:i/>
          <w:color w:val="231F20"/>
          <w:w w:val="105"/>
          <w:sz w:val="21"/>
        </w:rPr>
        <w:t>2014</w:t>
      </w:r>
      <w:r>
        <w:rPr>
          <w:rFonts w:ascii="Arial"/>
          <w:i/>
          <w:color w:val="231F20"/>
          <w:spacing w:val="-16"/>
          <w:w w:val="105"/>
          <w:sz w:val="21"/>
        </w:rPr>
        <w:t> </w:t>
      </w:r>
      <w:r>
        <w:rPr>
          <w:rFonts w:ascii="Arial"/>
          <w:i/>
          <w:color w:val="231F20"/>
          <w:w w:val="105"/>
          <w:sz w:val="21"/>
        </w:rPr>
        <w:t>ICE</w:t>
      </w:r>
      <w:r>
        <w:rPr>
          <w:rFonts w:ascii="Arial"/>
          <w:i/>
          <w:color w:val="231F20"/>
          <w:spacing w:val="-16"/>
          <w:w w:val="105"/>
          <w:sz w:val="21"/>
        </w:rPr>
        <w:t> </w:t>
      </w:r>
      <w:r>
        <w:rPr>
          <w:rFonts w:ascii="Arial"/>
          <w:i/>
          <w:color w:val="231F20"/>
          <w:w w:val="105"/>
          <w:sz w:val="21"/>
        </w:rPr>
        <w:t>Immi- </w:t>
      </w:r>
      <w:r>
        <w:rPr>
          <w:rFonts w:ascii="Arial"/>
          <w:i/>
          <w:color w:val="231F20"/>
          <w:w w:val="105"/>
          <w:sz w:val="21"/>
        </w:rPr>
        <w:t>gration</w:t>
      </w:r>
      <w:r>
        <w:rPr>
          <w:rFonts w:ascii="Arial"/>
          <w:i/>
          <w:color w:val="231F20"/>
          <w:spacing w:val="-19"/>
          <w:w w:val="105"/>
          <w:sz w:val="21"/>
        </w:rPr>
        <w:t> </w:t>
      </w:r>
      <w:r>
        <w:rPr>
          <w:rFonts w:ascii="Arial"/>
          <w:i/>
          <w:color w:val="231F20"/>
          <w:spacing w:val="-3"/>
          <w:w w:val="105"/>
          <w:sz w:val="21"/>
        </w:rPr>
        <w:t>removals:</w:t>
      </w:r>
      <w:r>
        <w:rPr>
          <w:rFonts w:ascii="Arial"/>
          <w:i/>
          <w:color w:val="231F20"/>
          <w:spacing w:val="-19"/>
          <w:w w:val="105"/>
          <w:sz w:val="21"/>
        </w:rPr>
        <w:t> </w:t>
      </w:r>
      <w:r>
        <w:rPr>
          <w:rFonts w:ascii="Arial"/>
          <w:i/>
          <w:color w:val="231F20"/>
          <w:spacing w:val="-5"/>
          <w:w w:val="105"/>
          <w:sz w:val="21"/>
        </w:rPr>
        <w:t>Patterns</w:t>
      </w:r>
      <w:r>
        <w:rPr>
          <w:rFonts w:ascii="Arial"/>
          <w:i/>
          <w:color w:val="231F20"/>
          <w:spacing w:val="-19"/>
          <w:w w:val="105"/>
          <w:sz w:val="21"/>
        </w:rPr>
        <w:t> </w:t>
      </w:r>
      <w:r>
        <w:rPr>
          <w:rFonts w:ascii="Arial"/>
          <w:i/>
          <w:color w:val="231F20"/>
          <w:w w:val="105"/>
          <w:sz w:val="21"/>
        </w:rPr>
        <w:t>and</w:t>
      </w:r>
      <w:r>
        <w:rPr>
          <w:rFonts w:ascii="Arial"/>
          <w:i/>
          <w:color w:val="231F20"/>
          <w:spacing w:val="-19"/>
          <w:w w:val="105"/>
          <w:sz w:val="21"/>
        </w:rPr>
        <w:t> </w:t>
      </w:r>
      <w:r>
        <w:rPr>
          <w:rFonts w:ascii="Arial"/>
          <w:i/>
          <w:color w:val="231F20"/>
          <w:spacing w:val="-3"/>
          <w:w w:val="105"/>
          <w:sz w:val="21"/>
        </w:rPr>
        <w:t>demographics</w:t>
      </w:r>
      <w:r>
        <w:rPr>
          <w:rFonts w:ascii="Arial"/>
          <w:i/>
          <w:color w:val="231F20"/>
          <w:spacing w:val="-19"/>
          <w:w w:val="105"/>
          <w:sz w:val="21"/>
        </w:rPr>
        <w:t> </w:t>
      </w:r>
      <w:r>
        <w:rPr>
          <w:color w:val="231F20"/>
          <w:spacing w:val="-3"/>
          <w:w w:val="105"/>
          <w:sz w:val="21"/>
        </w:rPr>
        <w:t>[Data</w:t>
      </w:r>
      <w:r>
        <w:rPr>
          <w:color w:val="231F20"/>
          <w:spacing w:val="-16"/>
          <w:w w:val="105"/>
          <w:sz w:val="21"/>
        </w:rPr>
        <w:t> </w:t>
      </w:r>
      <w:r>
        <w:rPr>
          <w:color w:val="231F20"/>
          <w:spacing w:val="-3"/>
          <w:w w:val="105"/>
          <w:sz w:val="21"/>
        </w:rPr>
        <w:t>file],</w:t>
      </w:r>
      <w:r>
        <w:rPr>
          <w:color w:val="231F20"/>
          <w:spacing w:val="-21"/>
          <w:w w:val="105"/>
          <w:sz w:val="21"/>
        </w:rPr>
        <w:t> </w:t>
      </w:r>
      <w:r>
        <w:rPr>
          <w:color w:val="231F20"/>
          <w:spacing w:val="-3"/>
          <w:w w:val="105"/>
          <w:sz w:val="21"/>
        </w:rPr>
        <w:t>USAICE, retrieved from</w:t>
      </w:r>
      <w:r>
        <w:rPr>
          <w:color w:val="231F20"/>
          <w:spacing w:val="9"/>
          <w:w w:val="105"/>
          <w:sz w:val="21"/>
        </w:rPr>
        <w:t> </w:t>
      </w:r>
      <w:hyperlink r:id="rId58">
        <w:r>
          <w:rPr>
            <w:color w:val="231F20"/>
            <w:spacing w:val="-4"/>
            <w:w w:val="105"/>
            <w:sz w:val="21"/>
          </w:rPr>
          <w:t>http://www.ice.gov/removal-statistics.</w:t>
        </w:r>
      </w:hyperlink>
    </w:p>
    <w:p>
      <w:pPr>
        <w:pStyle w:val="BodyText"/>
        <w:spacing w:line="259" w:lineRule="auto" w:before="3"/>
        <w:ind w:left="2461" w:right="1834" w:hanging="738"/>
        <w:jc w:val="both"/>
      </w:pPr>
      <w:r>
        <w:rPr>
          <w:color w:val="231F20"/>
          <w:w w:val="105"/>
        </w:rPr>
        <w:t>Valenzuela,</w:t>
      </w:r>
      <w:r>
        <w:rPr>
          <w:color w:val="231F20"/>
          <w:spacing w:val="-19"/>
          <w:w w:val="105"/>
        </w:rPr>
        <w:t> </w:t>
      </w:r>
      <w:r>
        <w:rPr>
          <w:color w:val="231F20"/>
          <w:w w:val="105"/>
        </w:rPr>
        <w:t>Abel,</w:t>
      </w:r>
      <w:r>
        <w:rPr>
          <w:color w:val="231F20"/>
          <w:spacing w:val="-17"/>
          <w:w w:val="105"/>
        </w:rPr>
        <w:t> </w:t>
      </w:r>
      <w:r>
        <w:rPr>
          <w:color w:val="231F20"/>
          <w:w w:val="105"/>
        </w:rPr>
        <w:t>(1999),</w:t>
      </w:r>
      <w:r>
        <w:rPr>
          <w:color w:val="231F20"/>
          <w:spacing w:val="-17"/>
          <w:w w:val="105"/>
        </w:rPr>
        <w:t> </w:t>
      </w:r>
      <w:r>
        <w:rPr>
          <w:color w:val="231F20"/>
          <w:w w:val="105"/>
        </w:rPr>
        <w:t>“Gender</w:t>
      </w:r>
      <w:r>
        <w:rPr>
          <w:color w:val="231F20"/>
          <w:spacing w:val="-12"/>
          <w:w w:val="105"/>
        </w:rPr>
        <w:t> </w:t>
      </w:r>
      <w:r>
        <w:rPr>
          <w:color w:val="231F20"/>
          <w:w w:val="105"/>
        </w:rPr>
        <w:t>roles</w:t>
      </w:r>
      <w:r>
        <w:rPr>
          <w:color w:val="231F20"/>
          <w:spacing w:val="-12"/>
          <w:w w:val="105"/>
        </w:rPr>
        <w:t> </w:t>
      </w:r>
      <w:r>
        <w:rPr>
          <w:color w:val="231F20"/>
          <w:w w:val="105"/>
        </w:rPr>
        <w:t>and</w:t>
      </w:r>
      <w:r>
        <w:rPr>
          <w:color w:val="231F20"/>
          <w:spacing w:val="-12"/>
          <w:w w:val="105"/>
        </w:rPr>
        <w:t> </w:t>
      </w:r>
      <w:r>
        <w:rPr>
          <w:color w:val="231F20"/>
          <w:w w:val="105"/>
        </w:rPr>
        <w:t>settlement</w:t>
      </w:r>
      <w:r>
        <w:rPr>
          <w:color w:val="231F20"/>
          <w:spacing w:val="-12"/>
          <w:w w:val="105"/>
        </w:rPr>
        <w:t> </w:t>
      </w:r>
      <w:r>
        <w:rPr>
          <w:color w:val="231F20"/>
          <w:w w:val="105"/>
        </w:rPr>
        <w:t>activities</w:t>
      </w:r>
      <w:r>
        <w:rPr>
          <w:color w:val="231F20"/>
          <w:spacing w:val="-12"/>
          <w:w w:val="105"/>
        </w:rPr>
        <w:t> </w:t>
      </w:r>
      <w:r>
        <w:rPr>
          <w:color w:val="231F20"/>
          <w:w w:val="105"/>
        </w:rPr>
        <w:t>among children</w:t>
      </w:r>
      <w:r>
        <w:rPr>
          <w:color w:val="231F20"/>
          <w:spacing w:val="-33"/>
          <w:w w:val="105"/>
        </w:rPr>
        <w:t> </w:t>
      </w:r>
      <w:r>
        <w:rPr>
          <w:color w:val="231F20"/>
          <w:w w:val="105"/>
        </w:rPr>
        <w:t>and</w:t>
      </w:r>
      <w:r>
        <w:rPr>
          <w:color w:val="231F20"/>
          <w:spacing w:val="-33"/>
          <w:w w:val="105"/>
        </w:rPr>
        <w:t> </w:t>
      </w:r>
      <w:r>
        <w:rPr>
          <w:color w:val="231F20"/>
          <w:w w:val="105"/>
        </w:rPr>
        <w:t>their</w:t>
      </w:r>
      <w:r>
        <w:rPr>
          <w:color w:val="231F20"/>
          <w:spacing w:val="-33"/>
          <w:w w:val="105"/>
        </w:rPr>
        <w:t> </w:t>
      </w:r>
      <w:r>
        <w:rPr>
          <w:color w:val="231F20"/>
          <w:w w:val="105"/>
        </w:rPr>
        <w:t>immigrant</w:t>
      </w:r>
      <w:r>
        <w:rPr>
          <w:color w:val="231F20"/>
          <w:spacing w:val="-33"/>
          <w:w w:val="105"/>
        </w:rPr>
        <w:t> </w:t>
      </w:r>
      <w:r>
        <w:rPr>
          <w:color w:val="231F20"/>
          <w:spacing w:val="-3"/>
          <w:w w:val="105"/>
        </w:rPr>
        <w:t>families”,</w:t>
      </w:r>
      <w:r>
        <w:rPr>
          <w:color w:val="231F20"/>
          <w:spacing w:val="-37"/>
          <w:w w:val="105"/>
        </w:rPr>
        <w:t> </w:t>
      </w:r>
      <w:r>
        <w:rPr>
          <w:rFonts w:ascii="Arial" w:hAnsi="Arial"/>
          <w:i/>
          <w:color w:val="231F20"/>
          <w:w w:val="105"/>
        </w:rPr>
        <w:t>American</w:t>
      </w:r>
      <w:r>
        <w:rPr>
          <w:rFonts w:ascii="Arial" w:hAnsi="Arial"/>
          <w:i/>
          <w:color w:val="231F20"/>
          <w:spacing w:val="-35"/>
          <w:w w:val="105"/>
        </w:rPr>
        <w:t> </w:t>
      </w:r>
      <w:r>
        <w:rPr>
          <w:rFonts w:ascii="Arial" w:hAnsi="Arial"/>
          <w:i/>
          <w:color w:val="231F20"/>
          <w:w w:val="105"/>
        </w:rPr>
        <w:t>Behavioral</w:t>
      </w:r>
      <w:r>
        <w:rPr>
          <w:rFonts w:ascii="Arial" w:hAnsi="Arial"/>
          <w:i/>
          <w:color w:val="231F20"/>
          <w:spacing w:val="-35"/>
          <w:w w:val="105"/>
        </w:rPr>
        <w:t> </w:t>
      </w:r>
      <w:r>
        <w:rPr>
          <w:rFonts w:ascii="Arial" w:hAnsi="Arial"/>
          <w:i/>
          <w:color w:val="231F20"/>
          <w:w w:val="105"/>
        </w:rPr>
        <w:t>Scien- </w:t>
      </w:r>
      <w:r>
        <w:rPr>
          <w:rFonts w:ascii="Arial" w:hAnsi="Arial"/>
          <w:i/>
          <w:color w:val="231F20"/>
          <w:w w:val="105"/>
        </w:rPr>
        <w:t>tist</w:t>
      </w:r>
      <w:r>
        <w:rPr>
          <w:color w:val="231F20"/>
          <w:w w:val="105"/>
        </w:rPr>
        <w:t>,</w:t>
      </w:r>
      <w:r>
        <w:rPr>
          <w:color w:val="231F20"/>
          <w:spacing w:val="-24"/>
          <w:w w:val="105"/>
        </w:rPr>
        <w:t> </w:t>
      </w:r>
      <w:r>
        <w:rPr>
          <w:color w:val="231F20"/>
          <w:w w:val="105"/>
        </w:rPr>
        <w:t>vol.</w:t>
      </w:r>
      <w:r>
        <w:rPr>
          <w:color w:val="231F20"/>
          <w:spacing w:val="-24"/>
          <w:w w:val="105"/>
        </w:rPr>
        <w:t> </w:t>
      </w:r>
      <w:r>
        <w:rPr>
          <w:color w:val="231F20"/>
          <w:w w:val="105"/>
        </w:rPr>
        <w:t>42,</w:t>
      </w:r>
      <w:r>
        <w:rPr>
          <w:color w:val="231F20"/>
          <w:spacing w:val="-24"/>
          <w:w w:val="105"/>
        </w:rPr>
        <w:t> </w:t>
      </w:r>
      <w:r>
        <w:rPr>
          <w:color w:val="231F20"/>
          <w:w w:val="105"/>
        </w:rPr>
        <w:t>num.</w:t>
      </w:r>
      <w:r>
        <w:rPr>
          <w:color w:val="231F20"/>
          <w:spacing w:val="-24"/>
          <w:w w:val="105"/>
        </w:rPr>
        <w:t> </w:t>
      </w:r>
      <w:r>
        <w:rPr>
          <w:color w:val="231F20"/>
          <w:w w:val="105"/>
        </w:rPr>
        <w:t>4.</w:t>
      </w:r>
    </w:p>
    <w:p>
      <w:pPr>
        <w:tabs>
          <w:tab w:pos="2547" w:val="left" w:leader="none"/>
        </w:tabs>
        <w:spacing w:line="259" w:lineRule="auto" w:before="3"/>
        <w:ind w:left="2461" w:right="1835" w:hanging="738"/>
        <w:jc w:val="both"/>
        <w:rPr>
          <w:sz w:val="21"/>
        </w:rPr>
      </w:pPr>
      <w:r>
        <w:rPr>
          <w:color w:val="231F20"/>
          <w:w w:val="94"/>
          <w:sz w:val="21"/>
          <w:u w:val="single" w:color="221E1F"/>
        </w:rPr>
        <w:t> </w:t>
      </w:r>
      <w:r>
        <w:rPr>
          <w:color w:val="231F20"/>
          <w:sz w:val="21"/>
          <w:u w:val="single" w:color="221E1F"/>
        </w:rPr>
        <w:tab/>
        <w:tab/>
      </w:r>
      <w:r>
        <w:rPr>
          <w:color w:val="231F20"/>
          <w:spacing w:val="18"/>
          <w:sz w:val="21"/>
        </w:rPr>
        <w:t> </w:t>
      </w:r>
      <w:r>
        <w:rPr>
          <w:color w:val="231F20"/>
          <w:spacing w:val="-3"/>
          <w:w w:val="105"/>
          <w:sz w:val="21"/>
        </w:rPr>
        <w:t>(2010), “Gender roles </w:t>
      </w:r>
      <w:r>
        <w:rPr>
          <w:color w:val="231F20"/>
          <w:w w:val="105"/>
          <w:sz w:val="21"/>
        </w:rPr>
        <w:t>and </w:t>
      </w:r>
      <w:r>
        <w:rPr>
          <w:color w:val="231F20"/>
          <w:spacing w:val="-3"/>
          <w:w w:val="105"/>
          <w:sz w:val="21"/>
        </w:rPr>
        <w:t>settlement activities </w:t>
      </w:r>
      <w:r>
        <w:rPr>
          <w:color w:val="231F20"/>
          <w:w w:val="105"/>
          <w:sz w:val="21"/>
        </w:rPr>
        <w:t> </w:t>
      </w:r>
      <w:r>
        <w:rPr>
          <w:color w:val="231F20"/>
          <w:spacing w:val="-3"/>
          <w:w w:val="105"/>
          <w:sz w:val="21"/>
        </w:rPr>
        <w:t>among</w:t>
      </w:r>
      <w:r>
        <w:rPr>
          <w:color w:val="231F20"/>
          <w:spacing w:val="8"/>
          <w:w w:val="105"/>
          <w:sz w:val="21"/>
        </w:rPr>
        <w:t> </w:t>
      </w:r>
      <w:r>
        <w:rPr>
          <w:color w:val="231F20"/>
          <w:spacing w:val="-4"/>
          <w:w w:val="105"/>
          <w:sz w:val="21"/>
        </w:rPr>
        <w:t>children</w:t>
      </w:r>
      <w:r>
        <w:rPr>
          <w:color w:val="231F20"/>
          <w:spacing w:val="-3"/>
          <w:w w:val="103"/>
          <w:sz w:val="21"/>
        </w:rPr>
        <w:t> </w:t>
      </w:r>
      <w:r>
        <w:rPr>
          <w:color w:val="231F20"/>
          <w:w w:val="105"/>
          <w:sz w:val="21"/>
        </w:rPr>
        <w:t>and </w:t>
      </w:r>
      <w:r>
        <w:rPr>
          <w:color w:val="231F20"/>
          <w:spacing w:val="-3"/>
          <w:w w:val="105"/>
          <w:sz w:val="21"/>
        </w:rPr>
        <w:t>their immigrant </w:t>
      </w:r>
      <w:r>
        <w:rPr>
          <w:color w:val="231F20"/>
          <w:spacing w:val="-6"/>
          <w:w w:val="105"/>
          <w:sz w:val="21"/>
        </w:rPr>
        <w:t>families”, </w:t>
      </w:r>
      <w:r>
        <w:rPr>
          <w:color w:val="231F20"/>
          <w:w w:val="105"/>
          <w:sz w:val="21"/>
        </w:rPr>
        <w:t>in </w:t>
      </w:r>
      <w:r>
        <w:rPr>
          <w:color w:val="231F20"/>
          <w:spacing w:val="-4"/>
          <w:w w:val="105"/>
          <w:sz w:val="21"/>
        </w:rPr>
        <w:t>Karen </w:t>
      </w:r>
      <w:r>
        <w:rPr>
          <w:color w:val="231F20"/>
          <w:spacing w:val="-3"/>
          <w:w w:val="105"/>
          <w:sz w:val="21"/>
        </w:rPr>
        <w:t>Sternheimer (eds.)</w:t>
      </w:r>
      <w:r>
        <w:rPr>
          <w:rFonts w:ascii="Arial" w:hAnsi="Arial"/>
          <w:i/>
          <w:color w:val="231F20"/>
          <w:spacing w:val="-3"/>
          <w:w w:val="105"/>
          <w:sz w:val="21"/>
        </w:rPr>
        <w:t>, Child- </w:t>
      </w:r>
      <w:r>
        <w:rPr>
          <w:rFonts w:ascii="Arial" w:hAnsi="Arial"/>
          <w:i/>
          <w:color w:val="231F20"/>
          <w:spacing w:val="-3"/>
          <w:w w:val="105"/>
          <w:sz w:val="21"/>
        </w:rPr>
        <w:t>hood</w:t>
      </w:r>
      <w:r>
        <w:rPr>
          <w:rFonts w:ascii="Arial" w:hAnsi="Arial"/>
          <w:i/>
          <w:color w:val="231F20"/>
          <w:spacing w:val="-25"/>
          <w:w w:val="105"/>
          <w:sz w:val="21"/>
        </w:rPr>
        <w:t> </w:t>
      </w:r>
      <w:r>
        <w:rPr>
          <w:rFonts w:ascii="Arial" w:hAnsi="Arial"/>
          <w:i/>
          <w:color w:val="231F20"/>
          <w:w w:val="105"/>
          <w:sz w:val="21"/>
        </w:rPr>
        <w:t>in</w:t>
      </w:r>
      <w:r>
        <w:rPr>
          <w:rFonts w:ascii="Arial" w:hAnsi="Arial"/>
          <w:i/>
          <w:color w:val="231F20"/>
          <w:spacing w:val="-27"/>
          <w:w w:val="105"/>
          <w:sz w:val="21"/>
        </w:rPr>
        <w:t> </w:t>
      </w:r>
      <w:r>
        <w:rPr>
          <w:rFonts w:ascii="Arial" w:hAnsi="Arial"/>
          <w:i/>
          <w:color w:val="231F20"/>
          <w:spacing w:val="-3"/>
          <w:w w:val="105"/>
          <w:sz w:val="21"/>
        </w:rPr>
        <w:t>American</w:t>
      </w:r>
      <w:r>
        <w:rPr>
          <w:rFonts w:ascii="Arial" w:hAnsi="Arial"/>
          <w:i/>
          <w:color w:val="231F20"/>
          <w:spacing w:val="-25"/>
          <w:w w:val="105"/>
          <w:sz w:val="21"/>
        </w:rPr>
        <w:t> </w:t>
      </w:r>
      <w:r>
        <w:rPr>
          <w:rFonts w:ascii="Arial" w:hAnsi="Arial"/>
          <w:i/>
          <w:color w:val="231F20"/>
          <w:spacing w:val="-3"/>
          <w:w w:val="105"/>
          <w:sz w:val="21"/>
        </w:rPr>
        <w:t>society:</w:t>
      </w:r>
      <w:r>
        <w:rPr>
          <w:rFonts w:ascii="Arial" w:hAnsi="Arial"/>
          <w:i/>
          <w:color w:val="231F20"/>
          <w:spacing w:val="-27"/>
          <w:w w:val="105"/>
          <w:sz w:val="21"/>
        </w:rPr>
        <w:t> </w:t>
      </w:r>
      <w:r>
        <w:rPr>
          <w:rFonts w:ascii="Arial" w:hAnsi="Arial"/>
          <w:i/>
          <w:color w:val="231F20"/>
          <w:w w:val="105"/>
          <w:sz w:val="21"/>
        </w:rPr>
        <w:t>A</w:t>
      </w:r>
      <w:r>
        <w:rPr>
          <w:rFonts w:ascii="Arial" w:hAnsi="Arial"/>
          <w:i/>
          <w:color w:val="231F20"/>
          <w:spacing w:val="-27"/>
          <w:w w:val="105"/>
          <w:sz w:val="21"/>
        </w:rPr>
        <w:t> </w:t>
      </w:r>
      <w:r>
        <w:rPr>
          <w:rFonts w:ascii="Arial" w:hAnsi="Arial"/>
          <w:i/>
          <w:color w:val="231F20"/>
          <w:spacing w:val="-3"/>
          <w:w w:val="105"/>
          <w:sz w:val="21"/>
        </w:rPr>
        <w:t>reader</w:t>
      </w:r>
      <w:r>
        <w:rPr>
          <w:color w:val="231F20"/>
          <w:spacing w:val="-3"/>
          <w:w w:val="105"/>
          <w:sz w:val="21"/>
        </w:rPr>
        <w:t>,</w:t>
      </w:r>
      <w:r>
        <w:rPr>
          <w:color w:val="231F20"/>
          <w:spacing w:val="-26"/>
          <w:w w:val="105"/>
          <w:sz w:val="21"/>
        </w:rPr>
        <w:t> </w:t>
      </w:r>
      <w:r>
        <w:rPr>
          <w:color w:val="231F20"/>
          <w:spacing w:val="-3"/>
          <w:w w:val="105"/>
          <w:sz w:val="21"/>
        </w:rPr>
        <w:t>Boston:</w:t>
      </w:r>
      <w:r>
        <w:rPr>
          <w:color w:val="231F20"/>
          <w:spacing w:val="-25"/>
          <w:w w:val="105"/>
          <w:sz w:val="21"/>
        </w:rPr>
        <w:t> </w:t>
      </w:r>
      <w:r>
        <w:rPr>
          <w:color w:val="231F20"/>
          <w:spacing w:val="-3"/>
          <w:w w:val="105"/>
          <w:sz w:val="21"/>
        </w:rPr>
        <w:t>Allyn</w:t>
      </w:r>
      <w:r>
        <w:rPr>
          <w:color w:val="231F20"/>
          <w:spacing w:val="-22"/>
          <w:w w:val="105"/>
          <w:sz w:val="21"/>
        </w:rPr>
        <w:t> </w:t>
      </w:r>
      <w:r>
        <w:rPr>
          <w:color w:val="231F20"/>
          <w:w w:val="105"/>
          <w:sz w:val="21"/>
        </w:rPr>
        <w:t>and</w:t>
      </w:r>
      <w:r>
        <w:rPr>
          <w:color w:val="231F20"/>
          <w:spacing w:val="-22"/>
          <w:w w:val="105"/>
          <w:sz w:val="21"/>
        </w:rPr>
        <w:t> </w:t>
      </w:r>
      <w:r>
        <w:rPr>
          <w:color w:val="231F20"/>
          <w:spacing w:val="-3"/>
          <w:w w:val="105"/>
          <w:sz w:val="21"/>
        </w:rPr>
        <w:t>Bacon.</w:t>
      </w:r>
    </w:p>
    <w:p>
      <w:pPr>
        <w:pStyle w:val="BodyText"/>
        <w:spacing w:line="261" w:lineRule="auto" w:before="3"/>
        <w:ind w:left="2461" w:right="1832" w:hanging="738"/>
        <w:jc w:val="both"/>
      </w:pPr>
      <w:r>
        <w:rPr>
          <w:color w:val="231F20"/>
          <w:w w:val="105"/>
        </w:rPr>
        <w:t>Zong,</w:t>
      </w:r>
      <w:r>
        <w:rPr>
          <w:color w:val="231F20"/>
          <w:spacing w:val="-19"/>
          <w:w w:val="105"/>
        </w:rPr>
        <w:t> </w:t>
      </w:r>
      <w:r>
        <w:rPr>
          <w:color w:val="231F20"/>
          <w:w w:val="105"/>
        </w:rPr>
        <w:t>Jie</w:t>
      </w:r>
      <w:r>
        <w:rPr>
          <w:color w:val="231F20"/>
          <w:spacing w:val="-13"/>
          <w:w w:val="105"/>
        </w:rPr>
        <w:t> </w:t>
      </w:r>
      <w:r>
        <w:rPr>
          <w:color w:val="231F20"/>
          <w:w w:val="105"/>
        </w:rPr>
        <w:t>and</w:t>
      </w:r>
      <w:r>
        <w:rPr>
          <w:color w:val="231F20"/>
          <w:spacing w:val="-13"/>
          <w:w w:val="105"/>
        </w:rPr>
        <w:t> </w:t>
      </w:r>
      <w:r>
        <w:rPr>
          <w:color w:val="231F20"/>
          <w:w w:val="105"/>
        </w:rPr>
        <w:t>Batalova,</w:t>
      </w:r>
      <w:r>
        <w:rPr>
          <w:color w:val="231F20"/>
          <w:spacing w:val="-19"/>
          <w:w w:val="105"/>
        </w:rPr>
        <w:t> </w:t>
      </w:r>
      <w:r>
        <w:rPr>
          <w:color w:val="231F20"/>
          <w:w w:val="105"/>
        </w:rPr>
        <w:t>Jeanne,</w:t>
      </w:r>
      <w:r>
        <w:rPr>
          <w:color w:val="231F20"/>
          <w:spacing w:val="-17"/>
          <w:w w:val="105"/>
        </w:rPr>
        <w:t> </w:t>
      </w:r>
      <w:r>
        <w:rPr>
          <w:color w:val="231F20"/>
          <w:w w:val="105"/>
        </w:rPr>
        <w:t>(2015),</w:t>
      </w:r>
      <w:r>
        <w:rPr>
          <w:color w:val="231F20"/>
          <w:spacing w:val="-17"/>
          <w:w w:val="105"/>
        </w:rPr>
        <w:t> </w:t>
      </w:r>
      <w:r>
        <w:rPr>
          <w:color w:val="231F20"/>
          <w:w w:val="105"/>
        </w:rPr>
        <w:t>“Frequently</w:t>
      </w:r>
      <w:r>
        <w:rPr>
          <w:color w:val="231F20"/>
          <w:spacing w:val="-13"/>
          <w:w w:val="105"/>
        </w:rPr>
        <w:t> </w:t>
      </w:r>
      <w:r>
        <w:rPr>
          <w:color w:val="231F20"/>
          <w:w w:val="105"/>
        </w:rPr>
        <w:t>requested</w:t>
      </w:r>
      <w:r>
        <w:rPr>
          <w:color w:val="231F20"/>
          <w:spacing w:val="-13"/>
          <w:w w:val="105"/>
        </w:rPr>
        <w:t> </w:t>
      </w:r>
      <w:r>
        <w:rPr>
          <w:color w:val="231F20"/>
          <w:w w:val="105"/>
        </w:rPr>
        <w:t>statistics on</w:t>
      </w:r>
      <w:r>
        <w:rPr>
          <w:color w:val="231F20"/>
          <w:spacing w:val="-13"/>
          <w:w w:val="105"/>
        </w:rPr>
        <w:t> </w:t>
      </w:r>
      <w:r>
        <w:rPr>
          <w:color w:val="231F20"/>
          <w:w w:val="105"/>
        </w:rPr>
        <w:t>immigrants</w:t>
      </w:r>
      <w:r>
        <w:rPr>
          <w:color w:val="231F20"/>
          <w:spacing w:val="-13"/>
          <w:w w:val="105"/>
        </w:rPr>
        <w:t> </w:t>
      </w:r>
      <w:r>
        <w:rPr>
          <w:color w:val="231F20"/>
          <w:w w:val="105"/>
        </w:rPr>
        <w:t>and</w:t>
      </w:r>
      <w:r>
        <w:rPr>
          <w:color w:val="231F20"/>
          <w:spacing w:val="-13"/>
          <w:w w:val="105"/>
        </w:rPr>
        <w:t> </w:t>
      </w:r>
      <w:r>
        <w:rPr>
          <w:color w:val="231F20"/>
          <w:w w:val="105"/>
        </w:rPr>
        <w:t>immigration</w:t>
      </w:r>
      <w:r>
        <w:rPr>
          <w:color w:val="231F20"/>
          <w:spacing w:val="-13"/>
          <w:w w:val="105"/>
        </w:rPr>
        <w:t> </w:t>
      </w:r>
      <w:r>
        <w:rPr>
          <w:color w:val="231F20"/>
          <w:w w:val="105"/>
        </w:rPr>
        <w:t>in</w:t>
      </w:r>
      <w:r>
        <w:rPr>
          <w:color w:val="231F20"/>
          <w:spacing w:val="-13"/>
          <w:w w:val="105"/>
        </w:rPr>
        <w:t> </w:t>
      </w:r>
      <w:r>
        <w:rPr>
          <w:color w:val="231F20"/>
          <w:w w:val="105"/>
        </w:rPr>
        <w:t>the</w:t>
      </w:r>
      <w:r>
        <w:rPr>
          <w:color w:val="231F20"/>
          <w:spacing w:val="-13"/>
          <w:w w:val="105"/>
        </w:rPr>
        <w:t> </w:t>
      </w:r>
      <w:r>
        <w:rPr>
          <w:color w:val="231F20"/>
          <w:w w:val="105"/>
        </w:rPr>
        <w:t>United</w:t>
      </w:r>
      <w:r>
        <w:rPr>
          <w:color w:val="231F20"/>
          <w:spacing w:val="-13"/>
          <w:w w:val="105"/>
        </w:rPr>
        <w:t> </w:t>
      </w:r>
      <w:r>
        <w:rPr>
          <w:color w:val="231F20"/>
          <w:spacing w:val="-4"/>
          <w:w w:val="105"/>
        </w:rPr>
        <w:t>States”,</w:t>
      </w:r>
      <w:r>
        <w:rPr>
          <w:color w:val="231F20"/>
          <w:spacing w:val="-19"/>
          <w:w w:val="105"/>
        </w:rPr>
        <w:t> </w:t>
      </w:r>
      <w:r>
        <w:rPr>
          <w:color w:val="231F20"/>
          <w:w w:val="105"/>
        </w:rPr>
        <w:t>in</w:t>
      </w:r>
      <w:r>
        <w:rPr>
          <w:color w:val="231F20"/>
          <w:spacing w:val="-13"/>
          <w:w w:val="105"/>
        </w:rPr>
        <w:t> </w:t>
      </w:r>
      <w:r>
        <w:rPr>
          <w:rFonts w:ascii="Arial" w:hAnsi="Arial"/>
          <w:i/>
          <w:color w:val="231F20"/>
          <w:w w:val="105"/>
        </w:rPr>
        <w:t>Migration </w:t>
      </w:r>
      <w:r>
        <w:rPr>
          <w:rFonts w:ascii="Arial" w:hAnsi="Arial"/>
          <w:i/>
          <w:color w:val="231F20"/>
          <w:w w:val="105"/>
        </w:rPr>
        <w:t>Information</w:t>
      </w:r>
      <w:r>
        <w:rPr>
          <w:rFonts w:ascii="Arial" w:hAnsi="Arial"/>
          <w:i/>
          <w:color w:val="231F20"/>
          <w:spacing w:val="-15"/>
          <w:w w:val="105"/>
        </w:rPr>
        <w:t> </w:t>
      </w:r>
      <w:r>
        <w:rPr>
          <w:rFonts w:ascii="Arial" w:hAnsi="Arial"/>
          <w:i/>
          <w:color w:val="231F20"/>
          <w:w w:val="105"/>
        </w:rPr>
        <w:t>Source</w:t>
      </w:r>
      <w:r>
        <w:rPr>
          <w:color w:val="231F20"/>
          <w:w w:val="105"/>
        </w:rPr>
        <w:t>,</w:t>
      </w:r>
      <w:r>
        <w:rPr>
          <w:color w:val="231F20"/>
          <w:spacing w:val="-18"/>
          <w:w w:val="105"/>
        </w:rPr>
        <w:t> </w:t>
      </w:r>
      <w:r>
        <w:rPr>
          <w:color w:val="231F20"/>
          <w:w w:val="105"/>
        </w:rPr>
        <w:t>Migrant</w:t>
      </w:r>
      <w:r>
        <w:rPr>
          <w:color w:val="231F20"/>
          <w:spacing w:val="-12"/>
          <w:w w:val="105"/>
        </w:rPr>
        <w:t> </w:t>
      </w:r>
      <w:r>
        <w:rPr>
          <w:color w:val="231F20"/>
          <w:spacing w:val="-3"/>
          <w:w w:val="105"/>
        </w:rPr>
        <w:t>Policy</w:t>
      </w:r>
      <w:r>
        <w:rPr>
          <w:color w:val="231F20"/>
          <w:spacing w:val="-12"/>
          <w:w w:val="105"/>
        </w:rPr>
        <w:t> </w:t>
      </w:r>
      <w:r>
        <w:rPr>
          <w:color w:val="231F20"/>
          <w:w w:val="105"/>
        </w:rPr>
        <w:t>Institute,</w:t>
      </w:r>
      <w:r>
        <w:rPr>
          <w:color w:val="231F20"/>
          <w:spacing w:val="-18"/>
          <w:w w:val="105"/>
        </w:rPr>
        <w:t> </w:t>
      </w:r>
      <w:r>
        <w:rPr>
          <w:color w:val="231F20"/>
          <w:w w:val="105"/>
        </w:rPr>
        <w:t>retrieved</w:t>
      </w:r>
      <w:r>
        <w:rPr>
          <w:color w:val="231F20"/>
          <w:spacing w:val="-12"/>
          <w:w w:val="105"/>
        </w:rPr>
        <w:t> </w:t>
      </w:r>
      <w:r>
        <w:rPr>
          <w:color w:val="231F20"/>
          <w:w w:val="105"/>
        </w:rPr>
        <w:t>from</w:t>
      </w:r>
      <w:r>
        <w:rPr>
          <w:color w:val="231F20"/>
          <w:spacing w:val="-12"/>
          <w:w w:val="105"/>
        </w:rPr>
        <w:t> </w:t>
      </w:r>
      <w:r>
        <w:rPr>
          <w:color w:val="231F20"/>
          <w:w w:val="105"/>
        </w:rPr>
        <w:t>http:// </w:t>
      </w:r>
      <w:hyperlink r:id="rId59">
        <w:r>
          <w:rPr>
            <w:color w:val="231F20"/>
            <w:w w:val="105"/>
          </w:rPr>
          <w:t>www.migrationpolicy.org/article/frequently-requested-statistics-</w:t>
        </w:r>
      </w:hyperlink>
      <w:r>
        <w:rPr>
          <w:color w:val="231F20"/>
          <w:w w:val="105"/>
        </w:rPr>
        <w:t> immigrants-and-immigration-united-states</w:t>
      </w:r>
    </w:p>
    <w:p>
      <w:pPr>
        <w:spacing w:line="259" w:lineRule="auto" w:before="0"/>
        <w:ind w:left="2461" w:right="1834" w:hanging="738"/>
        <w:jc w:val="both"/>
        <w:rPr>
          <w:sz w:val="21"/>
        </w:rPr>
      </w:pPr>
      <w:r>
        <w:rPr>
          <w:color w:val="231F20"/>
          <w:sz w:val="21"/>
        </w:rPr>
        <w:t>Zuñiga, Victor and Hernández León, Ruben, (eds.), (2005), </w:t>
      </w:r>
      <w:r>
        <w:rPr>
          <w:rFonts w:ascii="Arial" w:hAnsi="Arial"/>
          <w:i/>
          <w:color w:val="231F20"/>
          <w:sz w:val="21"/>
        </w:rPr>
        <w:t>New Destina- </w:t>
      </w:r>
      <w:r>
        <w:rPr>
          <w:rFonts w:ascii="Arial" w:hAnsi="Arial"/>
          <w:i/>
          <w:color w:val="231F20"/>
          <w:sz w:val="21"/>
        </w:rPr>
        <w:t>tions: Mexican Immigration in the United States</w:t>
      </w:r>
      <w:r>
        <w:rPr>
          <w:color w:val="231F20"/>
          <w:sz w:val="21"/>
        </w:rPr>
        <w:t>, New </w:t>
      </w:r>
      <w:r>
        <w:rPr>
          <w:color w:val="231F20"/>
          <w:spacing w:val="-4"/>
          <w:sz w:val="21"/>
        </w:rPr>
        <w:t>York:</w:t>
      </w:r>
      <w:r>
        <w:rPr>
          <w:color w:val="231F20"/>
          <w:spacing w:val="-28"/>
          <w:sz w:val="21"/>
        </w:rPr>
        <w:t> </w:t>
      </w:r>
      <w:r>
        <w:rPr>
          <w:color w:val="231F20"/>
          <w:sz w:val="21"/>
        </w:rPr>
        <w:t>Russell Sage</w:t>
      </w:r>
      <w:r>
        <w:rPr>
          <w:color w:val="231F20"/>
          <w:spacing w:val="24"/>
          <w:sz w:val="21"/>
        </w:rPr>
        <w:t> </w:t>
      </w:r>
      <w:r>
        <w:rPr>
          <w:color w:val="231F20"/>
          <w:sz w:val="21"/>
        </w:rPr>
        <w:t>Foundation.</w:t>
      </w:r>
    </w:p>
    <w:p>
      <w:pPr>
        <w:spacing w:line="259" w:lineRule="auto" w:before="3"/>
        <w:ind w:left="2461" w:right="1835" w:hanging="738"/>
        <w:jc w:val="both"/>
        <w:rPr>
          <w:sz w:val="21"/>
        </w:rPr>
      </w:pPr>
      <w:r>
        <w:rPr>
          <w:color w:val="231F20"/>
          <w:w w:val="105"/>
          <w:sz w:val="21"/>
        </w:rPr>
        <w:t>Zychinski,</w:t>
      </w:r>
      <w:r>
        <w:rPr>
          <w:color w:val="231F20"/>
          <w:spacing w:val="-33"/>
          <w:w w:val="105"/>
          <w:sz w:val="21"/>
        </w:rPr>
        <w:t> </w:t>
      </w:r>
      <w:r>
        <w:rPr>
          <w:color w:val="231F20"/>
          <w:w w:val="105"/>
          <w:sz w:val="21"/>
        </w:rPr>
        <w:t>Kristen</w:t>
      </w:r>
      <w:r>
        <w:rPr>
          <w:color w:val="231F20"/>
          <w:spacing w:val="-29"/>
          <w:w w:val="105"/>
          <w:sz w:val="21"/>
        </w:rPr>
        <w:t> </w:t>
      </w:r>
      <w:r>
        <w:rPr>
          <w:color w:val="231F20"/>
          <w:w w:val="105"/>
          <w:sz w:val="21"/>
        </w:rPr>
        <w:t>and</w:t>
      </w:r>
      <w:r>
        <w:rPr>
          <w:color w:val="231F20"/>
          <w:spacing w:val="-29"/>
          <w:w w:val="105"/>
          <w:sz w:val="21"/>
        </w:rPr>
        <w:t> </w:t>
      </w:r>
      <w:r>
        <w:rPr>
          <w:color w:val="231F20"/>
          <w:spacing w:val="-4"/>
          <w:w w:val="105"/>
          <w:sz w:val="21"/>
        </w:rPr>
        <w:t>Polo,</w:t>
      </w:r>
      <w:r>
        <w:rPr>
          <w:color w:val="231F20"/>
          <w:spacing w:val="-35"/>
          <w:w w:val="105"/>
          <w:sz w:val="21"/>
        </w:rPr>
        <w:t> </w:t>
      </w:r>
      <w:r>
        <w:rPr>
          <w:color w:val="231F20"/>
          <w:w w:val="105"/>
          <w:sz w:val="21"/>
        </w:rPr>
        <w:t>Antonio,</w:t>
      </w:r>
      <w:r>
        <w:rPr>
          <w:color w:val="231F20"/>
          <w:spacing w:val="-33"/>
          <w:w w:val="105"/>
          <w:sz w:val="21"/>
        </w:rPr>
        <w:t> </w:t>
      </w:r>
      <w:r>
        <w:rPr>
          <w:color w:val="231F20"/>
          <w:w w:val="105"/>
          <w:sz w:val="21"/>
        </w:rPr>
        <w:t>(2012),</w:t>
      </w:r>
      <w:r>
        <w:rPr>
          <w:color w:val="231F20"/>
          <w:spacing w:val="-33"/>
          <w:w w:val="105"/>
          <w:sz w:val="21"/>
        </w:rPr>
        <w:t> </w:t>
      </w:r>
      <w:r>
        <w:rPr>
          <w:color w:val="231F20"/>
          <w:w w:val="105"/>
          <w:sz w:val="21"/>
        </w:rPr>
        <w:t>“Academic</w:t>
      </w:r>
      <w:r>
        <w:rPr>
          <w:color w:val="231F20"/>
          <w:spacing w:val="-29"/>
          <w:w w:val="105"/>
          <w:sz w:val="21"/>
        </w:rPr>
        <w:t> </w:t>
      </w:r>
      <w:r>
        <w:rPr>
          <w:color w:val="231F20"/>
          <w:w w:val="105"/>
          <w:sz w:val="21"/>
        </w:rPr>
        <w:t>achievement</w:t>
      </w:r>
      <w:r>
        <w:rPr>
          <w:color w:val="231F20"/>
          <w:spacing w:val="-29"/>
          <w:w w:val="105"/>
          <w:sz w:val="21"/>
        </w:rPr>
        <w:t> </w:t>
      </w:r>
      <w:r>
        <w:rPr>
          <w:color w:val="231F20"/>
          <w:w w:val="105"/>
          <w:sz w:val="21"/>
        </w:rPr>
        <w:t>and depressive symptoms in low-income Latino </w:t>
      </w:r>
      <w:r>
        <w:rPr>
          <w:color w:val="231F20"/>
          <w:spacing w:val="-4"/>
          <w:w w:val="105"/>
          <w:sz w:val="21"/>
        </w:rPr>
        <w:t>youth”, </w:t>
      </w:r>
      <w:r>
        <w:rPr>
          <w:rFonts w:ascii="Arial" w:hAnsi="Arial"/>
          <w:i/>
          <w:color w:val="231F20"/>
          <w:w w:val="105"/>
          <w:sz w:val="21"/>
        </w:rPr>
        <w:t>Journal of </w:t>
      </w:r>
      <w:r>
        <w:rPr>
          <w:rFonts w:ascii="Arial" w:hAnsi="Arial"/>
          <w:i/>
          <w:color w:val="231F20"/>
          <w:w w:val="105"/>
          <w:sz w:val="21"/>
        </w:rPr>
        <w:t>Child</w:t>
      </w:r>
      <w:r>
        <w:rPr>
          <w:rFonts w:ascii="Arial" w:hAnsi="Arial"/>
          <w:i/>
          <w:color w:val="231F20"/>
          <w:spacing w:val="-27"/>
          <w:w w:val="105"/>
          <w:sz w:val="21"/>
        </w:rPr>
        <w:t> </w:t>
      </w:r>
      <w:r>
        <w:rPr>
          <w:rFonts w:ascii="Arial" w:hAnsi="Arial"/>
          <w:i/>
          <w:color w:val="231F20"/>
          <w:w w:val="105"/>
          <w:sz w:val="21"/>
        </w:rPr>
        <w:t>and</w:t>
      </w:r>
      <w:r>
        <w:rPr>
          <w:rFonts w:ascii="Arial" w:hAnsi="Arial"/>
          <w:i/>
          <w:color w:val="231F20"/>
          <w:spacing w:val="-27"/>
          <w:w w:val="105"/>
          <w:sz w:val="21"/>
        </w:rPr>
        <w:t> </w:t>
      </w:r>
      <w:r>
        <w:rPr>
          <w:rFonts w:ascii="Arial" w:hAnsi="Arial"/>
          <w:i/>
          <w:color w:val="231F20"/>
          <w:w w:val="105"/>
          <w:sz w:val="21"/>
        </w:rPr>
        <w:t>Family</w:t>
      </w:r>
      <w:r>
        <w:rPr>
          <w:rFonts w:ascii="Arial" w:hAnsi="Arial"/>
          <w:i/>
          <w:color w:val="231F20"/>
          <w:spacing w:val="-27"/>
          <w:w w:val="105"/>
          <w:sz w:val="21"/>
        </w:rPr>
        <w:t> </w:t>
      </w:r>
      <w:r>
        <w:rPr>
          <w:rFonts w:ascii="Arial" w:hAnsi="Arial"/>
          <w:i/>
          <w:color w:val="231F20"/>
          <w:w w:val="105"/>
          <w:sz w:val="21"/>
        </w:rPr>
        <w:t>Studies</w:t>
      </w:r>
      <w:r>
        <w:rPr>
          <w:color w:val="231F20"/>
          <w:w w:val="105"/>
          <w:sz w:val="21"/>
        </w:rPr>
        <w:t>,</w:t>
      </w:r>
      <w:r>
        <w:rPr>
          <w:color w:val="231F20"/>
          <w:spacing w:val="-28"/>
          <w:w w:val="105"/>
          <w:sz w:val="21"/>
        </w:rPr>
        <w:t> </w:t>
      </w:r>
      <w:r>
        <w:rPr>
          <w:color w:val="231F20"/>
          <w:w w:val="105"/>
          <w:sz w:val="21"/>
        </w:rPr>
        <w:t>vol.</w:t>
      </w:r>
      <w:r>
        <w:rPr>
          <w:color w:val="231F20"/>
          <w:spacing w:val="-28"/>
          <w:w w:val="105"/>
          <w:sz w:val="21"/>
        </w:rPr>
        <w:t> </w:t>
      </w:r>
      <w:r>
        <w:rPr>
          <w:color w:val="231F20"/>
          <w:w w:val="105"/>
          <w:sz w:val="21"/>
        </w:rPr>
        <w:t>21,</w:t>
      </w:r>
      <w:r>
        <w:rPr>
          <w:color w:val="231F20"/>
          <w:spacing w:val="-28"/>
          <w:w w:val="105"/>
          <w:sz w:val="21"/>
        </w:rPr>
        <w:t> </w:t>
      </w:r>
      <w:r>
        <w:rPr>
          <w:color w:val="231F20"/>
          <w:w w:val="105"/>
          <w:sz w:val="21"/>
        </w:rPr>
        <w:t>num.</w:t>
      </w:r>
      <w:r>
        <w:rPr>
          <w:color w:val="231F20"/>
          <w:spacing w:val="-28"/>
          <w:w w:val="105"/>
          <w:sz w:val="21"/>
        </w:rPr>
        <w:t> </w:t>
      </w:r>
      <w:r>
        <w:rPr>
          <w:color w:val="231F20"/>
          <w:w w:val="105"/>
          <w:sz w:val="21"/>
        </w:rPr>
        <w:t>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tabs>
          <w:tab w:pos="2937" w:val="left" w:leader="none"/>
        </w:tabs>
        <w:spacing w:before="0"/>
        <w:ind w:left="1887" w:right="0" w:firstLine="0"/>
        <w:jc w:val="left"/>
        <w:rPr>
          <w:rFonts w:ascii="Calibri" w:hAnsi="Calibri"/>
          <w:sz w:val="15"/>
        </w:rPr>
      </w:pPr>
      <w:r>
        <w:rPr/>
        <w:pict>
          <v:line style="position:absolute;mso-position-horizontal-relative:page;mso-position-vertical-relative:paragraph;z-index:-483760" from="131.551193pt,.203715pt" to="131.551193pt,36.006114pt" stroked="true" strokeweight=".35pt" strokecolor="#231f20">
            <w10:wrap type="none"/>
          </v:line>
        </w:pict>
      </w:r>
      <w:r>
        <w:rPr/>
        <w:pict>
          <v:line style="position:absolute;mso-position-horizontal-relative:page;mso-position-vertical-relative:paragraph;z-index:-483736" from="15pt,36.005917pt" to="0pt,36.005917pt" stroked="true" strokeweight=".25pt" strokecolor="#000000">
            <w10:wrap type="none"/>
          </v:line>
        </w:pict>
      </w:r>
      <w:r>
        <w:rPr/>
        <w:pict>
          <v:line style="position:absolute;mso-position-horizontal-relative:page;mso-position-vertical-relative:paragraph;z-index:6472" from="508.890015pt,36.005917pt" to="523.890015pt,36.005917pt" stroked="true" strokeweight=".25pt" strokecolor="#000000">
            <w10:wrap type="none"/>
          </v:line>
        </w:pict>
      </w:r>
      <w:r>
        <w:rPr>
          <w:rFonts w:ascii="Arial" w:hAnsi="Arial"/>
          <w:color w:val="414042"/>
          <w:position w:val="-5"/>
          <w:sz w:val="20"/>
        </w:rPr>
        <w:t>64</w:t>
        <w:tab/>
      </w:r>
      <w:r>
        <w:rPr>
          <w:rFonts w:ascii="Calibri" w:hAnsi="Calibri"/>
          <w:color w:val="6D6E71"/>
          <w:sz w:val="15"/>
        </w:rPr>
        <w:t>Harriett Romo, Janeth Martínez y Christina  </w:t>
      </w:r>
      <w:r>
        <w:rPr>
          <w:rFonts w:ascii="Calibri" w:hAnsi="Calibri"/>
          <w:color w:val="6D6E71"/>
          <w:spacing w:val="15"/>
          <w:sz w:val="15"/>
        </w:rPr>
        <w:t> </w:t>
      </w:r>
      <w:r>
        <w:rPr>
          <w:rFonts w:ascii="Calibri" w:hAnsi="Calibri"/>
          <w:color w:val="6D6E71"/>
          <w:sz w:val="15"/>
        </w:rPr>
        <w:t>López-Mobilia</w:t>
      </w:r>
    </w:p>
    <w:p>
      <w:pPr>
        <w:spacing w:after="0"/>
        <w:jc w:val="left"/>
        <w:rPr>
          <w:rFonts w:ascii="Calibri" w:hAnsi="Calibri"/>
          <w:sz w:val="15"/>
        </w:rPr>
        <w:sectPr>
          <w:headerReference w:type="default" r:id="rId54"/>
          <w:pgSz w:w="10480" w:h="14730"/>
          <w:pgMar w:header="0" w:footer="103" w:top="420" w:bottom="300" w:left="0" w:right="0"/>
        </w:sectPr>
      </w:pPr>
    </w:p>
    <w:p>
      <w:pPr>
        <w:pStyle w:val="BodyText"/>
        <w:rPr>
          <w:rFonts w:ascii="Calibri"/>
          <w:sz w:val="20"/>
        </w:rPr>
      </w:pPr>
      <w:r>
        <w:rPr/>
        <w:pict>
          <v:group style="position:absolute;margin-left:21pt;margin-top:20.999975pt;width:481.9pt;height:694.5pt;mso-position-horizontal-relative:page;mso-position-vertical-relative:page;z-index:-483688" coordorigin="420,420" coordsize="9638,13890">
            <v:rect style="position:absolute;left:420;top:420;width:9638;height:13890" filled="true" fillcolor="#77787b" stroked="false">
              <v:fill type="solid"/>
            </v:rect>
            <v:shape style="position:absolute;left:420;top:6577;width:9638;height:7733" type="#_x0000_t75" stroked="false">
              <v:imagedata r:id="rId29" o:title=""/>
            </v:shape>
            <w10:wrap type="none"/>
          </v:group>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9"/>
        </w:rPr>
      </w:pPr>
    </w:p>
    <w:p>
      <w:pPr>
        <w:pStyle w:val="Heading2"/>
        <w:spacing w:line="187" w:lineRule="auto"/>
        <w:ind w:left="2346" w:right="4922" w:hanging="402"/>
      </w:pPr>
      <w:r>
        <w:rPr>
          <w:color w:val="FFFFFF"/>
          <w:w w:val="95"/>
        </w:rPr>
        <w:t>LOS PEqUEñOS “SOñADORES”</w:t>
      </w:r>
      <w:r>
        <w:rPr>
          <w:color w:val="FFFFFF"/>
          <w:spacing w:val="-14"/>
          <w:w w:val="95"/>
        </w:rPr>
        <w:t> </w:t>
      </w:r>
      <w:r>
        <w:rPr>
          <w:color w:val="FFFFFF"/>
          <w:w w:val="95"/>
        </w:rPr>
        <w:t>NO OMPAñADOS</w:t>
      </w:r>
      <w:r>
        <w:rPr>
          <w:color w:val="FFFFFF"/>
          <w:spacing w:val="-39"/>
          <w:w w:val="95"/>
        </w:rPr>
        <w:t> </w:t>
      </w:r>
      <w:r>
        <w:rPr>
          <w:color w:val="FFFFFF"/>
          <w:w w:val="95"/>
        </w:rPr>
        <w:t>EN</w:t>
      </w:r>
      <w:r>
        <w:rPr>
          <w:color w:val="FFFFFF"/>
          <w:spacing w:val="-39"/>
          <w:w w:val="95"/>
        </w:rPr>
        <w:t> </w:t>
      </w:r>
      <w:r>
        <w:rPr>
          <w:color w:val="FFFFFF"/>
          <w:w w:val="95"/>
        </w:rPr>
        <w:t>SU</w:t>
      </w:r>
      <w:r>
        <w:rPr>
          <w:color w:val="FFFFFF"/>
          <w:spacing w:val="-39"/>
          <w:w w:val="95"/>
        </w:rPr>
        <w:t> </w:t>
      </w:r>
      <w:r>
        <w:rPr>
          <w:color w:val="FFFFFF"/>
          <w:w w:val="95"/>
        </w:rPr>
        <w:t>TRáNSITO</w:t>
      </w:r>
    </w:p>
    <w:p>
      <w:pPr>
        <w:spacing w:line="187" w:lineRule="auto" w:before="0"/>
        <w:ind w:left="2137" w:right="5049" w:hanging="75"/>
        <w:jc w:val="left"/>
        <w:rPr>
          <w:rFonts w:ascii="Lucida Sans Unicode" w:hAnsi="Lucida Sans Unicode"/>
          <w:sz w:val="24"/>
        </w:rPr>
      </w:pPr>
      <w:r>
        <w:rPr>
          <w:rFonts w:ascii="Lucida Sans Unicode" w:hAnsi="Lucida Sans Unicode"/>
          <w:color w:val="FFFFFF"/>
          <w:sz w:val="24"/>
        </w:rPr>
        <w:t>POR EL </w:t>
      </w:r>
      <w:r>
        <w:rPr>
          <w:rFonts w:ascii="Lucida Sans Unicode" w:hAnsi="Lucida Sans Unicode"/>
          <w:color w:val="FFFFFF"/>
          <w:spacing w:val="-3"/>
          <w:sz w:val="24"/>
        </w:rPr>
        <w:t>ESTADO </w:t>
      </w:r>
      <w:r>
        <w:rPr>
          <w:rFonts w:ascii="Lucida Sans Unicode" w:hAnsi="Lucida Sans Unicode"/>
          <w:color w:val="FFFFFF"/>
          <w:sz w:val="24"/>
        </w:rPr>
        <w:t>DE MéXIC </w:t>
      </w:r>
      <w:r>
        <w:rPr>
          <w:rFonts w:ascii="Lucida Sans Unicode" w:hAnsi="Lucida Sans Unicode"/>
          <w:color w:val="FFFFFF"/>
          <w:w w:val="95"/>
          <w:sz w:val="24"/>
        </w:rPr>
        <w:t>REVISIÓN</w:t>
      </w:r>
      <w:r>
        <w:rPr>
          <w:rFonts w:ascii="Lucida Sans Unicode" w:hAnsi="Lucida Sans Unicode"/>
          <w:color w:val="FFFFFF"/>
          <w:spacing w:val="-34"/>
          <w:w w:val="95"/>
          <w:sz w:val="24"/>
        </w:rPr>
        <w:t> </w:t>
      </w:r>
      <w:r>
        <w:rPr>
          <w:rFonts w:ascii="Lucida Sans Unicode" w:hAnsi="Lucida Sans Unicode"/>
          <w:color w:val="FFFFFF"/>
          <w:w w:val="95"/>
          <w:sz w:val="24"/>
        </w:rPr>
        <w:t>A</w:t>
      </w:r>
      <w:r>
        <w:rPr>
          <w:rFonts w:ascii="Lucida Sans Unicode" w:hAnsi="Lucida Sans Unicode"/>
          <w:color w:val="FFFFFF"/>
          <w:spacing w:val="-34"/>
          <w:w w:val="95"/>
          <w:sz w:val="24"/>
        </w:rPr>
        <w:t> </w:t>
      </w:r>
      <w:r>
        <w:rPr>
          <w:rFonts w:ascii="Lucida Sans Unicode" w:hAnsi="Lucida Sans Unicode"/>
          <w:color w:val="FFFFFF"/>
          <w:spacing w:val="-4"/>
          <w:w w:val="95"/>
          <w:sz w:val="24"/>
        </w:rPr>
        <w:t>PARTIR</w:t>
      </w:r>
      <w:r>
        <w:rPr>
          <w:rFonts w:ascii="Lucida Sans Unicode" w:hAnsi="Lucida Sans Unicode"/>
          <w:color w:val="FFFFFF"/>
          <w:spacing w:val="-34"/>
          <w:w w:val="95"/>
          <w:sz w:val="24"/>
        </w:rPr>
        <w:t> </w:t>
      </w:r>
      <w:r>
        <w:rPr>
          <w:rFonts w:ascii="Lucida Sans Unicode" w:hAnsi="Lucida Sans Unicode"/>
          <w:color w:val="FFFFFF"/>
          <w:w w:val="95"/>
          <w:sz w:val="24"/>
        </w:rPr>
        <w:t>DEL</w:t>
      </w:r>
      <w:r>
        <w:rPr>
          <w:rFonts w:ascii="Lucida Sans Unicode" w:hAnsi="Lucida Sans Unicode"/>
          <w:color w:val="FFFFFF"/>
          <w:spacing w:val="-34"/>
          <w:w w:val="95"/>
          <w:sz w:val="24"/>
        </w:rPr>
        <w:t> </w:t>
      </w:r>
      <w:r>
        <w:rPr>
          <w:rFonts w:ascii="Lucida Sans Unicode" w:hAnsi="Lucida Sans Unicode"/>
          <w:color w:val="FFFFFF"/>
          <w:w w:val="95"/>
          <w:sz w:val="24"/>
        </w:rPr>
        <w:t>INTERé</w:t>
      </w:r>
    </w:p>
    <w:p>
      <w:pPr>
        <w:spacing w:line="311" w:lineRule="exact" w:before="0"/>
        <w:ind w:left="2741" w:right="0" w:firstLine="0"/>
        <w:jc w:val="left"/>
        <w:rPr>
          <w:rFonts w:ascii="Lucida Sans Unicode"/>
          <w:sz w:val="24"/>
        </w:rPr>
      </w:pPr>
      <w:r>
        <w:rPr>
          <w:rFonts w:ascii="Lucida Sans Unicode"/>
          <w:color w:val="FFFFFF"/>
          <w:w w:val="95"/>
          <w:sz w:val="24"/>
        </w:rPr>
        <w:t>SUPERIOR DE LA INFANCIA</w:t>
      </w:r>
    </w:p>
    <w:p>
      <w:pPr>
        <w:pStyle w:val="Heading4"/>
        <w:spacing w:line="264" w:lineRule="exact" w:before="79"/>
        <w:ind w:left="5541" w:right="1486"/>
        <w:rPr>
          <w:sz w:val="18"/>
        </w:rPr>
      </w:pPr>
      <w:r>
        <w:rPr>
          <w:color w:val="FFFFFF"/>
        </w:rPr>
        <w:t>María de Lourdes Morales Reynoso</w:t>
      </w:r>
      <w:r>
        <w:rPr>
          <w:color w:val="FFFFFF"/>
          <w:sz w:val="18"/>
        </w:rPr>
        <w:t>* </w:t>
      </w:r>
      <w:r>
        <w:rPr>
          <w:color w:val="FFFFFF"/>
        </w:rPr>
        <w:t>Claudia  Arianne  Martínez Zaragoza</w:t>
      </w:r>
      <w:r>
        <w:rPr>
          <w:color w:val="FFFFFF"/>
          <w:sz w:val="18"/>
        </w:rPr>
        <w:t>**</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7"/>
        <w:rPr>
          <w:rFonts w:ascii="Calibri"/>
          <w:sz w:val="24"/>
        </w:rPr>
      </w:pPr>
    </w:p>
    <w:p>
      <w:pPr>
        <w:spacing w:line="182" w:lineRule="exact" w:before="0"/>
        <w:ind w:left="1851" w:right="0" w:firstLine="0"/>
        <w:jc w:val="left"/>
        <w:rPr>
          <w:rFonts w:ascii="Calibri" w:hAnsi="Calibri"/>
          <w:sz w:val="15"/>
        </w:rPr>
      </w:pPr>
      <w:r>
        <w:rPr>
          <w:rFonts w:ascii="Calibri" w:hAnsi="Calibri"/>
          <w:color w:val="FFFFFF"/>
          <w:sz w:val="15"/>
        </w:rPr>
        <w:t>* Doctora en Derecho, Secretaria de Difusión Cultural de la Universidad Autónoma del Estado de México.</w:t>
      </w:r>
    </w:p>
    <w:p>
      <w:pPr>
        <w:spacing w:line="180" w:lineRule="exact" w:before="0"/>
        <w:ind w:left="1851" w:right="6753" w:firstLine="0"/>
        <w:jc w:val="left"/>
        <w:rPr>
          <w:rFonts w:ascii="Calibri"/>
          <w:i/>
          <w:sz w:val="15"/>
        </w:rPr>
      </w:pPr>
      <w:hyperlink r:id="rId61">
        <w:r>
          <w:rPr>
            <w:rFonts w:ascii="Calibri"/>
            <w:i/>
            <w:color w:val="FFFFFF"/>
            <w:sz w:val="15"/>
          </w:rPr>
          <w:t>mlmr71@hotmail.com</w:t>
        </w:r>
      </w:hyperlink>
    </w:p>
    <w:p>
      <w:pPr>
        <w:spacing w:line="180" w:lineRule="exact" w:before="0"/>
        <w:ind w:left="1851" w:right="0" w:firstLine="0"/>
        <w:jc w:val="left"/>
        <w:rPr>
          <w:rFonts w:ascii="Calibri" w:hAnsi="Calibri"/>
          <w:sz w:val="15"/>
        </w:rPr>
      </w:pPr>
      <w:r>
        <w:rPr>
          <w:rFonts w:ascii="Calibri" w:hAnsi="Calibri"/>
          <w:color w:val="FFFFFF"/>
          <w:sz w:val="15"/>
        </w:rPr>
        <w:t>** Doctoranda en Estudios Jurídicos en la Facultad de Derecho de la Universidad Autónoma del Estado de México.</w:t>
      </w:r>
    </w:p>
    <w:p>
      <w:pPr>
        <w:spacing w:line="182" w:lineRule="exact" w:before="0"/>
        <w:ind w:left="1851" w:right="6753" w:firstLine="0"/>
        <w:jc w:val="left"/>
        <w:rPr>
          <w:rFonts w:ascii="Calibri"/>
          <w:i/>
          <w:sz w:val="15"/>
        </w:rPr>
      </w:pPr>
      <w:hyperlink r:id="rId62">
        <w:r>
          <w:rPr>
            <w:rFonts w:ascii="Calibri"/>
            <w:i/>
            <w:color w:val="FFFFFF"/>
            <w:sz w:val="15"/>
          </w:rPr>
          <w:t>solaramx@yahoo.com.mx</w:t>
        </w:r>
      </w:hyperlink>
    </w:p>
    <w:p>
      <w:pPr>
        <w:spacing w:after="0" w:line="182" w:lineRule="exact"/>
        <w:jc w:val="left"/>
        <w:rPr>
          <w:rFonts w:ascii="Calibri"/>
          <w:sz w:val="15"/>
        </w:rPr>
        <w:sectPr>
          <w:footerReference w:type="default" r:id="rId60"/>
          <w:pgSz w:w="10480" w:h="14730"/>
          <w:pgMar w:footer="223" w:header="0" w:top="420" w:bottom="420" w:left="0" w:right="0"/>
        </w:sectPr>
      </w:pPr>
    </w:p>
    <w:p>
      <w:pPr>
        <w:pStyle w:val="BodyText"/>
        <w:spacing w:before="4"/>
        <w:rPr>
          <w:rFonts w:ascii="Times New Roman"/>
          <w:sz w:val="17"/>
        </w:rPr>
      </w:pPr>
    </w:p>
    <w:p>
      <w:pPr>
        <w:spacing w:after="0"/>
        <w:rPr>
          <w:rFonts w:ascii="Times New Roman"/>
          <w:sz w:val="17"/>
        </w:rPr>
        <w:sectPr>
          <w:footerReference w:type="default" r:id="rId63"/>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2"/>
        </w:rPr>
      </w:pPr>
    </w:p>
    <w:p>
      <w:pPr>
        <w:spacing w:line="228" w:lineRule="exact" w:before="61"/>
        <w:ind w:left="4105" w:right="1920" w:firstLine="39"/>
        <w:jc w:val="left"/>
        <w:rPr>
          <w:rFonts w:ascii="Calibri" w:hAnsi="Calibri"/>
          <w:i/>
          <w:sz w:val="19"/>
        </w:rPr>
      </w:pPr>
      <w:r>
        <w:rPr>
          <w:rFonts w:ascii="Calibri" w:hAnsi="Calibri"/>
          <w:i/>
          <w:color w:val="231F20"/>
          <w:sz w:val="19"/>
        </w:rPr>
        <w:t>La migración es una expresión de la aspiración humana </w:t>
      </w:r>
      <w:r>
        <w:rPr>
          <w:rFonts w:ascii="Calibri" w:hAnsi="Calibri"/>
          <w:i/>
          <w:color w:val="231F20"/>
          <w:sz w:val="19"/>
        </w:rPr>
        <w:t>por la dignidad, la seguridad y un futuro mejor.</w:t>
      </w:r>
    </w:p>
    <w:p>
      <w:pPr>
        <w:spacing w:before="1"/>
        <w:ind w:left="1516" w:right="1721" w:firstLine="0"/>
        <w:jc w:val="right"/>
        <w:rPr>
          <w:rFonts w:ascii="Calibri"/>
          <w:sz w:val="19"/>
        </w:rPr>
      </w:pPr>
      <w:r>
        <w:rPr>
          <w:rFonts w:ascii="Calibri"/>
          <w:color w:val="231F20"/>
          <w:w w:val="105"/>
          <w:sz w:val="19"/>
        </w:rPr>
        <w:t>Ban Ki-moon</w:t>
      </w:r>
    </w:p>
    <w:p>
      <w:pPr>
        <w:pStyle w:val="BodyText"/>
        <w:rPr>
          <w:rFonts w:ascii="Calibri"/>
          <w:sz w:val="20"/>
        </w:rPr>
      </w:pPr>
    </w:p>
    <w:p>
      <w:pPr>
        <w:pStyle w:val="BodyText"/>
        <w:rPr>
          <w:rFonts w:ascii="Calibri"/>
          <w:sz w:val="20"/>
        </w:rPr>
      </w:pPr>
    </w:p>
    <w:p>
      <w:pPr>
        <w:pStyle w:val="BodyText"/>
        <w:spacing w:before="1"/>
        <w:rPr>
          <w:rFonts w:ascii="Calibri"/>
          <w:sz w:val="17"/>
        </w:rPr>
      </w:pPr>
    </w:p>
    <w:p>
      <w:pPr>
        <w:pStyle w:val="BodyText"/>
        <w:spacing w:line="261" w:lineRule="auto"/>
        <w:ind w:left="2900" w:right="1721"/>
        <w:jc w:val="both"/>
      </w:pPr>
      <w:r>
        <w:rPr/>
        <w:pict>
          <v:shape style="position:absolute;margin-left:103.667099pt;margin-top:8.752198pt;width:31.2pt;height:51pt;mso-position-horizontal-relative:page;mso-position-vertical-relative:paragraph;z-index:6520"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w w:val="105"/>
        </w:rPr>
        <w:t>a historia de la humanidad ha sido, desde sus orígenes más remotos,</w:t>
      </w:r>
      <w:r>
        <w:rPr>
          <w:color w:val="231F20"/>
          <w:spacing w:val="-29"/>
          <w:w w:val="105"/>
        </w:rPr>
        <w:t> </w:t>
      </w:r>
      <w:r>
        <w:rPr>
          <w:color w:val="231F20"/>
          <w:w w:val="105"/>
        </w:rPr>
        <w:t>la</w:t>
      </w:r>
      <w:r>
        <w:rPr>
          <w:color w:val="231F20"/>
          <w:spacing w:val="-24"/>
          <w:w w:val="105"/>
        </w:rPr>
        <w:t> </w:t>
      </w:r>
      <w:r>
        <w:rPr>
          <w:color w:val="231F20"/>
          <w:w w:val="105"/>
        </w:rPr>
        <w:t>historia</w:t>
      </w:r>
      <w:r>
        <w:rPr>
          <w:color w:val="231F20"/>
          <w:spacing w:val="-24"/>
          <w:w w:val="105"/>
        </w:rPr>
        <w:t> </w:t>
      </w:r>
      <w:r>
        <w:rPr>
          <w:color w:val="231F20"/>
          <w:w w:val="105"/>
        </w:rPr>
        <w:t>de</w:t>
      </w:r>
      <w:r>
        <w:rPr>
          <w:color w:val="231F20"/>
          <w:spacing w:val="-24"/>
          <w:w w:val="105"/>
        </w:rPr>
        <w:t> </w:t>
      </w:r>
      <w:r>
        <w:rPr>
          <w:color w:val="231F20"/>
          <w:w w:val="105"/>
        </w:rPr>
        <w:t>sus</w:t>
      </w:r>
      <w:r>
        <w:rPr>
          <w:color w:val="231F20"/>
          <w:spacing w:val="-24"/>
          <w:w w:val="105"/>
        </w:rPr>
        <w:t> </w:t>
      </w:r>
      <w:r>
        <w:rPr>
          <w:color w:val="231F20"/>
          <w:w w:val="105"/>
        </w:rPr>
        <w:t>migraciones.</w:t>
      </w:r>
      <w:r>
        <w:rPr>
          <w:color w:val="231F20"/>
          <w:spacing w:val="-29"/>
          <w:w w:val="105"/>
        </w:rPr>
        <w:t> </w:t>
      </w:r>
      <w:r>
        <w:rPr>
          <w:color w:val="231F20"/>
          <w:w w:val="105"/>
        </w:rPr>
        <w:t>De</w:t>
      </w:r>
      <w:r>
        <w:rPr>
          <w:color w:val="231F20"/>
          <w:spacing w:val="-24"/>
          <w:w w:val="105"/>
        </w:rPr>
        <w:t> </w:t>
      </w:r>
      <w:r>
        <w:rPr>
          <w:color w:val="231F20"/>
          <w:w w:val="105"/>
        </w:rPr>
        <w:t>acuerdo</w:t>
      </w:r>
      <w:r>
        <w:rPr>
          <w:color w:val="231F20"/>
          <w:spacing w:val="-24"/>
          <w:w w:val="105"/>
        </w:rPr>
        <w:t> </w:t>
      </w:r>
      <w:r>
        <w:rPr>
          <w:color w:val="231F20"/>
          <w:w w:val="105"/>
        </w:rPr>
        <w:t>con</w:t>
      </w:r>
      <w:r>
        <w:rPr>
          <w:color w:val="231F20"/>
          <w:spacing w:val="-24"/>
          <w:w w:val="105"/>
        </w:rPr>
        <w:t> </w:t>
      </w:r>
      <w:r>
        <w:rPr>
          <w:color w:val="231F20"/>
          <w:w w:val="105"/>
        </w:rPr>
        <w:t>la</w:t>
      </w:r>
      <w:r>
        <w:rPr>
          <w:color w:val="231F20"/>
          <w:spacing w:val="-24"/>
          <w:w w:val="105"/>
        </w:rPr>
        <w:t> </w:t>
      </w:r>
      <w:r>
        <w:rPr>
          <w:color w:val="231F20"/>
          <w:w w:val="105"/>
        </w:rPr>
        <w:t>Or- ganización</w:t>
      </w:r>
      <w:r>
        <w:rPr>
          <w:color w:val="231F20"/>
          <w:spacing w:val="-23"/>
          <w:w w:val="105"/>
        </w:rPr>
        <w:t> </w:t>
      </w:r>
      <w:r>
        <w:rPr>
          <w:color w:val="231F20"/>
          <w:w w:val="105"/>
        </w:rPr>
        <w:t>Internacional</w:t>
      </w:r>
      <w:r>
        <w:rPr>
          <w:color w:val="231F20"/>
          <w:spacing w:val="-23"/>
          <w:w w:val="105"/>
        </w:rPr>
        <w:t> </w:t>
      </w:r>
      <w:r>
        <w:rPr>
          <w:color w:val="231F20"/>
          <w:w w:val="105"/>
        </w:rPr>
        <w:t>para</w:t>
      </w:r>
      <w:r>
        <w:rPr>
          <w:color w:val="231F20"/>
          <w:spacing w:val="-23"/>
          <w:w w:val="105"/>
        </w:rPr>
        <w:t> </w:t>
      </w:r>
      <w:r>
        <w:rPr>
          <w:color w:val="231F20"/>
          <w:w w:val="105"/>
        </w:rPr>
        <w:t>las</w:t>
      </w:r>
      <w:r>
        <w:rPr>
          <w:color w:val="231F20"/>
          <w:spacing w:val="-23"/>
          <w:w w:val="105"/>
        </w:rPr>
        <w:t> </w:t>
      </w:r>
      <w:r>
        <w:rPr>
          <w:color w:val="231F20"/>
          <w:w w:val="105"/>
        </w:rPr>
        <w:t>Migraciones</w:t>
      </w:r>
      <w:r>
        <w:rPr>
          <w:color w:val="231F20"/>
          <w:spacing w:val="-23"/>
          <w:w w:val="105"/>
        </w:rPr>
        <w:t> </w:t>
      </w:r>
      <w:r>
        <w:rPr>
          <w:color w:val="231F20"/>
          <w:w w:val="105"/>
        </w:rPr>
        <w:t>(</w:t>
      </w:r>
      <w:r>
        <w:rPr>
          <w:color w:val="231F20"/>
          <w:w w:val="105"/>
          <w:sz w:val="17"/>
        </w:rPr>
        <w:t>OIM</w:t>
      </w:r>
      <w:r>
        <w:rPr>
          <w:color w:val="231F20"/>
          <w:w w:val="105"/>
        </w:rPr>
        <w:t>),</w:t>
      </w:r>
      <w:r>
        <w:rPr>
          <w:color w:val="231F20"/>
          <w:spacing w:val="-27"/>
          <w:w w:val="105"/>
        </w:rPr>
        <w:t> </w:t>
      </w:r>
      <w:r>
        <w:rPr>
          <w:color w:val="231F20"/>
          <w:w w:val="105"/>
        </w:rPr>
        <w:t>los</w:t>
      </w:r>
      <w:r>
        <w:rPr>
          <w:color w:val="231F20"/>
          <w:spacing w:val="-23"/>
          <w:w w:val="105"/>
        </w:rPr>
        <w:t> </w:t>
      </w:r>
      <w:r>
        <w:rPr>
          <w:color w:val="231F20"/>
          <w:w w:val="105"/>
        </w:rPr>
        <w:t>seres humanos</w:t>
      </w:r>
      <w:r>
        <w:rPr>
          <w:color w:val="231F20"/>
          <w:spacing w:val="-26"/>
          <w:w w:val="105"/>
        </w:rPr>
        <w:t> </w:t>
      </w:r>
      <w:r>
        <w:rPr>
          <w:color w:val="231F20"/>
          <w:w w:val="105"/>
        </w:rPr>
        <w:t>nacidos</w:t>
      </w:r>
      <w:r>
        <w:rPr>
          <w:color w:val="231F20"/>
          <w:spacing w:val="-26"/>
          <w:w w:val="105"/>
        </w:rPr>
        <w:t> </w:t>
      </w:r>
      <w:r>
        <w:rPr>
          <w:color w:val="231F20"/>
          <w:w w:val="105"/>
        </w:rPr>
        <w:t>en</w:t>
      </w:r>
      <w:r>
        <w:rPr>
          <w:color w:val="231F20"/>
          <w:spacing w:val="-26"/>
          <w:w w:val="105"/>
        </w:rPr>
        <w:t> </w:t>
      </w:r>
      <w:r>
        <w:rPr>
          <w:color w:val="231F20"/>
          <w:w w:val="105"/>
        </w:rPr>
        <w:t>un</w:t>
      </w:r>
      <w:r>
        <w:rPr>
          <w:color w:val="231F20"/>
          <w:spacing w:val="-26"/>
          <w:w w:val="105"/>
        </w:rPr>
        <w:t> </w:t>
      </w:r>
      <w:r>
        <w:rPr>
          <w:color w:val="231F20"/>
          <w:w w:val="105"/>
        </w:rPr>
        <w:t>país</w:t>
      </w:r>
      <w:r>
        <w:rPr>
          <w:color w:val="231F20"/>
          <w:spacing w:val="-26"/>
          <w:w w:val="105"/>
        </w:rPr>
        <w:t> </w:t>
      </w:r>
      <w:r>
        <w:rPr>
          <w:color w:val="231F20"/>
          <w:w w:val="105"/>
        </w:rPr>
        <w:t>distinto</w:t>
      </w:r>
      <w:r>
        <w:rPr>
          <w:color w:val="231F20"/>
          <w:spacing w:val="-26"/>
          <w:w w:val="105"/>
        </w:rPr>
        <w:t> </w:t>
      </w:r>
      <w:r>
        <w:rPr>
          <w:color w:val="231F20"/>
          <w:w w:val="105"/>
        </w:rPr>
        <w:t>al</w:t>
      </w:r>
      <w:r>
        <w:rPr>
          <w:color w:val="231F20"/>
          <w:spacing w:val="-26"/>
          <w:w w:val="105"/>
        </w:rPr>
        <w:t> </w:t>
      </w:r>
      <w:r>
        <w:rPr>
          <w:color w:val="231F20"/>
          <w:w w:val="105"/>
        </w:rPr>
        <w:t>de</w:t>
      </w:r>
      <w:r>
        <w:rPr>
          <w:color w:val="231F20"/>
          <w:spacing w:val="-26"/>
          <w:w w:val="105"/>
        </w:rPr>
        <w:t> </w:t>
      </w:r>
      <w:r>
        <w:rPr>
          <w:color w:val="231F20"/>
          <w:w w:val="105"/>
        </w:rPr>
        <w:t>su</w:t>
      </w:r>
      <w:r>
        <w:rPr>
          <w:color w:val="231F20"/>
          <w:spacing w:val="-26"/>
          <w:w w:val="105"/>
        </w:rPr>
        <w:t> </w:t>
      </w:r>
      <w:r>
        <w:rPr>
          <w:color w:val="231F20"/>
          <w:w w:val="105"/>
        </w:rPr>
        <w:t>residencia</w:t>
      </w:r>
      <w:r>
        <w:rPr>
          <w:color w:val="231F20"/>
          <w:spacing w:val="-26"/>
          <w:w w:val="105"/>
        </w:rPr>
        <w:t> </w:t>
      </w:r>
      <w:r>
        <w:rPr>
          <w:color w:val="231F20"/>
          <w:w w:val="105"/>
        </w:rPr>
        <w:t>repre- sentan</w:t>
      </w:r>
      <w:r>
        <w:rPr>
          <w:color w:val="231F20"/>
          <w:spacing w:val="-8"/>
          <w:w w:val="105"/>
        </w:rPr>
        <w:t> </w:t>
      </w:r>
      <w:r>
        <w:rPr>
          <w:color w:val="231F20"/>
          <w:w w:val="105"/>
        </w:rPr>
        <w:t>actualmente</w:t>
      </w:r>
      <w:r>
        <w:rPr>
          <w:color w:val="231F20"/>
          <w:spacing w:val="-8"/>
          <w:w w:val="105"/>
        </w:rPr>
        <w:t> </w:t>
      </w:r>
      <w:r>
        <w:rPr>
          <w:color w:val="231F20"/>
          <w:w w:val="105"/>
        </w:rPr>
        <w:t>3.2</w:t>
      </w:r>
      <w:r>
        <w:rPr>
          <w:color w:val="231F20"/>
          <w:spacing w:val="-8"/>
          <w:w w:val="105"/>
        </w:rPr>
        <w:t> </w:t>
      </w:r>
      <w:r>
        <w:rPr>
          <w:color w:val="231F20"/>
          <w:w w:val="105"/>
        </w:rPr>
        <w:t>%</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población</w:t>
      </w:r>
      <w:r>
        <w:rPr>
          <w:color w:val="231F20"/>
          <w:spacing w:val="-8"/>
          <w:w w:val="105"/>
        </w:rPr>
        <w:t> </w:t>
      </w:r>
      <w:r>
        <w:rPr>
          <w:color w:val="231F20"/>
          <w:w w:val="105"/>
        </w:rPr>
        <w:t>mundial,</w:t>
      </w:r>
      <w:r>
        <w:rPr>
          <w:color w:val="231F20"/>
          <w:spacing w:val="-13"/>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se</w:t>
      </w:r>
    </w:p>
    <w:p>
      <w:pPr>
        <w:pStyle w:val="BodyText"/>
        <w:spacing w:line="261" w:lineRule="auto" w:before="1"/>
        <w:ind w:left="1837" w:right="1721" w:hanging="1"/>
        <w:jc w:val="both"/>
      </w:pPr>
      <w:r>
        <w:rPr>
          <w:color w:val="231F20"/>
          <w:w w:val="105"/>
        </w:rPr>
        <w:t>traduce</w:t>
      </w:r>
      <w:r>
        <w:rPr>
          <w:color w:val="231F20"/>
          <w:spacing w:val="-23"/>
          <w:w w:val="105"/>
        </w:rPr>
        <w:t> </w:t>
      </w:r>
      <w:r>
        <w:rPr>
          <w:color w:val="231F20"/>
          <w:w w:val="105"/>
        </w:rPr>
        <w:t>en</w:t>
      </w:r>
      <w:r>
        <w:rPr>
          <w:color w:val="231F20"/>
          <w:spacing w:val="-23"/>
          <w:w w:val="105"/>
        </w:rPr>
        <w:t> </w:t>
      </w:r>
      <w:r>
        <w:rPr>
          <w:color w:val="231F20"/>
          <w:w w:val="105"/>
        </w:rPr>
        <w:t>un</w:t>
      </w:r>
      <w:r>
        <w:rPr>
          <w:color w:val="231F20"/>
          <w:spacing w:val="-23"/>
          <w:w w:val="105"/>
        </w:rPr>
        <w:t> </w:t>
      </w:r>
      <w:r>
        <w:rPr>
          <w:color w:val="231F20"/>
          <w:w w:val="105"/>
        </w:rPr>
        <w:t>estimado</w:t>
      </w:r>
      <w:r>
        <w:rPr>
          <w:color w:val="231F20"/>
          <w:spacing w:val="-23"/>
          <w:w w:val="105"/>
        </w:rPr>
        <w:t> </w:t>
      </w:r>
      <w:r>
        <w:rPr>
          <w:color w:val="231F20"/>
          <w:w w:val="105"/>
        </w:rPr>
        <w:t>de</w:t>
      </w:r>
      <w:r>
        <w:rPr>
          <w:color w:val="231F20"/>
          <w:spacing w:val="-23"/>
          <w:w w:val="105"/>
        </w:rPr>
        <w:t> </w:t>
      </w:r>
      <w:r>
        <w:rPr>
          <w:color w:val="231F20"/>
          <w:w w:val="105"/>
        </w:rPr>
        <w:t>232</w:t>
      </w:r>
      <w:r>
        <w:rPr>
          <w:color w:val="231F20"/>
          <w:spacing w:val="-23"/>
          <w:w w:val="105"/>
        </w:rPr>
        <w:t> </w:t>
      </w:r>
      <w:r>
        <w:rPr>
          <w:color w:val="231F20"/>
          <w:w w:val="105"/>
        </w:rPr>
        <w:t>millones</w:t>
      </w:r>
      <w:r>
        <w:rPr>
          <w:color w:val="231F20"/>
          <w:spacing w:val="-23"/>
          <w:w w:val="105"/>
        </w:rPr>
        <w:t> </w:t>
      </w:r>
      <w:r>
        <w:rPr>
          <w:color w:val="231F20"/>
          <w:w w:val="105"/>
        </w:rPr>
        <w:t>de</w:t>
      </w:r>
      <w:r>
        <w:rPr>
          <w:color w:val="231F20"/>
          <w:spacing w:val="-23"/>
          <w:w w:val="105"/>
        </w:rPr>
        <w:t> </w:t>
      </w:r>
      <w:r>
        <w:rPr>
          <w:color w:val="231F20"/>
          <w:w w:val="105"/>
        </w:rPr>
        <w:t>migrantes</w:t>
      </w:r>
      <w:r>
        <w:rPr>
          <w:color w:val="231F20"/>
          <w:spacing w:val="-23"/>
          <w:w w:val="105"/>
        </w:rPr>
        <w:t> </w:t>
      </w:r>
      <w:r>
        <w:rPr>
          <w:color w:val="231F20"/>
          <w:w w:val="105"/>
        </w:rPr>
        <w:t>(</w:t>
      </w:r>
      <w:r>
        <w:rPr>
          <w:color w:val="231F20"/>
          <w:w w:val="105"/>
          <w:sz w:val="17"/>
        </w:rPr>
        <w:t>ONU</w:t>
      </w:r>
      <w:r>
        <w:rPr>
          <w:color w:val="231F20"/>
          <w:w w:val="105"/>
        </w:rPr>
        <w:t>,</w:t>
      </w:r>
      <w:r>
        <w:rPr>
          <w:color w:val="231F20"/>
          <w:spacing w:val="-28"/>
          <w:w w:val="105"/>
        </w:rPr>
        <w:t> </w:t>
      </w:r>
      <w:r>
        <w:rPr>
          <w:color w:val="231F20"/>
          <w:w w:val="105"/>
        </w:rPr>
        <w:t>2013a:</w:t>
      </w:r>
      <w:r>
        <w:rPr>
          <w:color w:val="231F20"/>
          <w:spacing w:val="-23"/>
          <w:w w:val="105"/>
        </w:rPr>
        <w:t> </w:t>
      </w:r>
      <w:r>
        <w:rPr>
          <w:color w:val="231F20"/>
          <w:w w:val="105"/>
        </w:rPr>
        <w:t>1).</w:t>
      </w:r>
      <w:r>
        <w:rPr>
          <w:color w:val="231F20"/>
          <w:spacing w:val="-28"/>
          <w:w w:val="105"/>
        </w:rPr>
        <w:t> </w:t>
      </w:r>
      <w:r>
        <w:rPr>
          <w:color w:val="231F20"/>
          <w:w w:val="105"/>
        </w:rPr>
        <w:t>En un</w:t>
      </w:r>
      <w:r>
        <w:rPr>
          <w:color w:val="231F20"/>
          <w:spacing w:val="-7"/>
          <w:w w:val="105"/>
        </w:rPr>
        <w:t> </w:t>
      </w:r>
      <w:r>
        <w:rPr>
          <w:color w:val="231F20"/>
          <w:w w:val="105"/>
        </w:rPr>
        <w:t>panorama</w:t>
      </w:r>
      <w:r>
        <w:rPr>
          <w:color w:val="231F20"/>
          <w:spacing w:val="-7"/>
          <w:w w:val="105"/>
        </w:rPr>
        <w:t> </w:t>
      </w:r>
      <w:r>
        <w:rPr>
          <w:color w:val="231F20"/>
          <w:w w:val="105"/>
        </w:rPr>
        <w:t>globalizado,</w:t>
      </w:r>
      <w:r>
        <w:rPr>
          <w:color w:val="231F20"/>
          <w:spacing w:val="-13"/>
          <w:w w:val="105"/>
        </w:rPr>
        <w:t> </w:t>
      </w:r>
      <w:r>
        <w:rPr>
          <w:color w:val="231F20"/>
          <w:w w:val="105"/>
        </w:rPr>
        <w:t>pensado</w:t>
      </w:r>
      <w:r>
        <w:rPr>
          <w:color w:val="231F20"/>
          <w:spacing w:val="-7"/>
          <w:w w:val="105"/>
        </w:rPr>
        <w:t> </w:t>
      </w:r>
      <w:r>
        <w:rPr>
          <w:color w:val="231F20"/>
          <w:w w:val="105"/>
        </w:rPr>
        <w:t>originalmente</w:t>
      </w:r>
      <w:r>
        <w:rPr>
          <w:color w:val="231F20"/>
          <w:spacing w:val="-7"/>
          <w:w w:val="105"/>
        </w:rPr>
        <w:t> </w:t>
      </w:r>
      <w:r>
        <w:rPr>
          <w:color w:val="231F20"/>
          <w:w w:val="105"/>
        </w:rPr>
        <w:t>para</w:t>
      </w:r>
      <w:r>
        <w:rPr>
          <w:color w:val="231F20"/>
          <w:spacing w:val="-7"/>
          <w:w w:val="105"/>
        </w:rPr>
        <w:t> </w:t>
      </w:r>
      <w:r>
        <w:rPr>
          <w:color w:val="231F20"/>
          <w:w w:val="105"/>
        </w:rPr>
        <w:t>facilitar</w:t>
      </w:r>
      <w:r>
        <w:rPr>
          <w:color w:val="231F20"/>
          <w:spacing w:val="-7"/>
          <w:w w:val="105"/>
        </w:rPr>
        <w:t> </w:t>
      </w:r>
      <w:r>
        <w:rPr>
          <w:color w:val="231F20"/>
          <w:w w:val="105"/>
        </w:rPr>
        <w:t>flujos</w:t>
      </w:r>
      <w:r>
        <w:rPr>
          <w:color w:val="231F20"/>
          <w:spacing w:val="-7"/>
          <w:w w:val="105"/>
        </w:rPr>
        <w:t> </w:t>
      </w:r>
      <w:r>
        <w:rPr>
          <w:color w:val="231F20"/>
          <w:w w:val="105"/>
        </w:rPr>
        <w:t>de mercancías,</w:t>
      </w:r>
      <w:r>
        <w:rPr>
          <w:color w:val="231F20"/>
          <w:spacing w:val="-28"/>
          <w:w w:val="105"/>
        </w:rPr>
        <w:t> </w:t>
      </w:r>
      <w:r>
        <w:rPr>
          <w:color w:val="231F20"/>
          <w:w w:val="105"/>
        </w:rPr>
        <w:t>de</w:t>
      </w:r>
      <w:r>
        <w:rPr>
          <w:color w:val="231F20"/>
          <w:spacing w:val="-23"/>
          <w:w w:val="105"/>
        </w:rPr>
        <w:t> </w:t>
      </w:r>
      <w:r>
        <w:rPr>
          <w:color w:val="231F20"/>
          <w:w w:val="105"/>
        </w:rPr>
        <w:t>capitales</w:t>
      </w:r>
      <w:r>
        <w:rPr>
          <w:color w:val="231F20"/>
          <w:spacing w:val="-23"/>
          <w:w w:val="105"/>
        </w:rPr>
        <w:t> </w:t>
      </w:r>
      <w:r>
        <w:rPr>
          <w:color w:val="231F20"/>
          <w:w w:val="105"/>
        </w:rPr>
        <w:t>y</w:t>
      </w:r>
      <w:r>
        <w:rPr>
          <w:color w:val="231F20"/>
          <w:spacing w:val="-23"/>
          <w:w w:val="105"/>
        </w:rPr>
        <w:t> </w:t>
      </w:r>
      <w:r>
        <w:rPr>
          <w:color w:val="231F20"/>
          <w:w w:val="105"/>
        </w:rPr>
        <w:t>de</w:t>
      </w:r>
      <w:r>
        <w:rPr>
          <w:color w:val="231F20"/>
          <w:spacing w:val="-23"/>
          <w:w w:val="105"/>
        </w:rPr>
        <w:t> </w:t>
      </w:r>
      <w:r>
        <w:rPr>
          <w:color w:val="231F20"/>
          <w:w w:val="105"/>
        </w:rPr>
        <w:t>información,</w:t>
      </w:r>
      <w:r>
        <w:rPr>
          <w:color w:val="231F20"/>
          <w:spacing w:val="-28"/>
          <w:w w:val="105"/>
        </w:rPr>
        <w:t> </w:t>
      </w:r>
      <w:r>
        <w:rPr>
          <w:color w:val="231F20"/>
          <w:w w:val="105"/>
        </w:rPr>
        <w:t>los</w:t>
      </w:r>
      <w:r>
        <w:rPr>
          <w:color w:val="231F20"/>
          <w:spacing w:val="-23"/>
          <w:w w:val="105"/>
        </w:rPr>
        <w:t> </w:t>
      </w:r>
      <w:r>
        <w:rPr>
          <w:color w:val="231F20"/>
          <w:w w:val="105"/>
        </w:rPr>
        <w:t>migrantes</w:t>
      </w:r>
      <w:r>
        <w:rPr>
          <w:color w:val="231F20"/>
          <w:spacing w:val="-23"/>
          <w:w w:val="105"/>
        </w:rPr>
        <w:t> </w:t>
      </w:r>
      <w:r>
        <w:rPr>
          <w:color w:val="231F20"/>
          <w:w w:val="105"/>
        </w:rPr>
        <w:t>se</w:t>
      </w:r>
      <w:r>
        <w:rPr>
          <w:color w:val="231F20"/>
          <w:spacing w:val="-23"/>
          <w:w w:val="105"/>
        </w:rPr>
        <w:t> </w:t>
      </w:r>
      <w:r>
        <w:rPr>
          <w:color w:val="231F20"/>
          <w:w w:val="105"/>
        </w:rPr>
        <w:t>han</w:t>
      </w:r>
      <w:r>
        <w:rPr>
          <w:color w:val="231F20"/>
          <w:spacing w:val="-23"/>
          <w:w w:val="105"/>
        </w:rPr>
        <w:t> </w:t>
      </w:r>
      <w:r>
        <w:rPr>
          <w:color w:val="231F20"/>
          <w:w w:val="105"/>
        </w:rPr>
        <w:t>converti- do</w:t>
      </w:r>
      <w:r>
        <w:rPr>
          <w:color w:val="231F20"/>
          <w:spacing w:val="-18"/>
          <w:w w:val="105"/>
        </w:rPr>
        <w:t> </w:t>
      </w:r>
      <w:r>
        <w:rPr>
          <w:color w:val="231F20"/>
          <w:w w:val="105"/>
        </w:rPr>
        <w:t>en</w:t>
      </w:r>
      <w:r>
        <w:rPr>
          <w:color w:val="231F20"/>
          <w:spacing w:val="-18"/>
          <w:w w:val="105"/>
        </w:rPr>
        <w:t> </w:t>
      </w:r>
      <w:r>
        <w:rPr>
          <w:color w:val="231F20"/>
          <w:w w:val="105"/>
        </w:rPr>
        <w:t>protagonistas</w:t>
      </w:r>
      <w:r>
        <w:rPr>
          <w:color w:val="231F20"/>
          <w:spacing w:val="-18"/>
          <w:w w:val="105"/>
        </w:rPr>
        <w:t> </w:t>
      </w:r>
      <w:r>
        <w:rPr>
          <w:color w:val="231F20"/>
          <w:w w:val="105"/>
        </w:rPr>
        <w:t>inesperados</w:t>
      </w:r>
      <w:r>
        <w:rPr>
          <w:color w:val="231F20"/>
          <w:spacing w:val="-18"/>
          <w:w w:val="105"/>
        </w:rPr>
        <w:t> </w:t>
      </w:r>
      <w:r>
        <w:rPr>
          <w:color w:val="231F20"/>
          <w:spacing w:val="-4"/>
          <w:w w:val="105"/>
        </w:rPr>
        <w:t>y,</w:t>
      </w:r>
      <w:r>
        <w:rPr>
          <w:color w:val="231F20"/>
          <w:spacing w:val="-23"/>
          <w:w w:val="105"/>
        </w:rPr>
        <w:t> </w:t>
      </w:r>
      <w:r>
        <w:rPr>
          <w:color w:val="231F20"/>
          <w:w w:val="105"/>
        </w:rPr>
        <w:t>a</w:t>
      </w:r>
      <w:r>
        <w:rPr>
          <w:color w:val="231F20"/>
          <w:spacing w:val="-18"/>
          <w:w w:val="105"/>
        </w:rPr>
        <w:t> </w:t>
      </w:r>
      <w:r>
        <w:rPr>
          <w:color w:val="231F20"/>
          <w:w w:val="105"/>
        </w:rPr>
        <w:t>menudo,</w:t>
      </w:r>
      <w:r>
        <w:rPr>
          <w:color w:val="231F20"/>
          <w:spacing w:val="-23"/>
          <w:w w:val="105"/>
        </w:rPr>
        <w:t> </w:t>
      </w:r>
      <w:r>
        <w:rPr>
          <w:color w:val="231F20"/>
          <w:w w:val="105"/>
        </w:rPr>
        <w:t>indeseables.</w:t>
      </w:r>
    </w:p>
    <w:p>
      <w:pPr>
        <w:pStyle w:val="BodyText"/>
        <w:spacing w:line="261" w:lineRule="auto" w:before="1"/>
        <w:ind w:left="1837" w:right="1715" w:firstLine="567"/>
        <w:jc w:val="both"/>
      </w:pPr>
      <w:r>
        <w:rPr>
          <w:color w:val="231F20"/>
          <w:w w:val="105"/>
        </w:rPr>
        <w:t>Desde que la invención de la agricultura promovió el estableci- miento</w:t>
      </w:r>
      <w:r>
        <w:rPr>
          <w:color w:val="231F20"/>
          <w:spacing w:val="-17"/>
          <w:w w:val="105"/>
        </w:rPr>
        <w:t> </w:t>
      </w:r>
      <w:r>
        <w:rPr>
          <w:color w:val="231F20"/>
          <w:w w:val="105"/>
        </w:rPr>
        <w:t>de</w:t>
      </w:r>
      <w:r>
        <w:rPr>
          <w:color w:val="231F20"/>
          <w:spacing w:val="-17"/>
          <w:w w:val="105"/>
        </w:rPr>
        <w:t> </w:t>
      </w:r>
      <w:r>
        <w:rPr>
          <w:color w:val="231F20"/>
          <w:w w:val="105"/>
        </w:rPr>
        <w:t>grupos</w:t>
      </w:r>
      <w:r>
        <w:rPr>
          <w:color w:val="231F20"/>
          <w:spacing w:val="-17"/>
          <w:w w:val="105"/>
        </w:rPr>
        <w:t> </w:t>
      </w:r>
      <w:r>
        <w:rPr>
          <w:color w:val="231F20"/>
          <w:w w:val="105"/>
        </w:rPr>
        <w:t>humanos</w:t>
      </w:r>
      <w:r>
        <w:rPr>
          <w:color w:val="231F20"/>
          <w:spacing w:val="-17"/>
          <w:w w:val="105"/>
        </w:rPr>
        <w:t> </w:t>
      </w:r>
      <w:r>
        <w:rPr>
          <w:color w:val="231F20"/>
          <w:w w:val="105"/>
        </w:rPr>
        <w:t>en</w:t>
      </w:r>
      <w:r>
        <w:rPr>
          <w:color w:val="231F20"/>
          <w:spacing w:val="-17"/>
          <w:w w:val="105"/>
        </w:rPr>
        <w:t> </w:t>
      </w:r>
      <w:r>
        <w:rPr>
          <w:color w:val="231F20"/>
          <w:w w:val="105"/>
        </w:rPr>
        <w:t>tierras</w:t>
      </w:r>
      <w:r>
        <w:rPr>
          <w:color w:val="231F20"/>
          <w:spacing w:val="-17"/>
          <w:w w:val="105"/>
        </w:rPr>
        <w:t> </w:t>
      </w:r>
      <w:r>
        <w:rPr>
          <w:color w:val="231F20"/>
          <w:w w:val="105"/>
        </w:rPr>
        <w:t>definidas,</w:t>
      </w:r>
      <w:r>
        <w:rPr>
          <w:color w:val="231F20"/>
          <w:spacing w:val="-23"/>
          <w:w w:val="105"/>
        </w:rPr>
        <w:t> </w:t>
      </w:r>
      <w:r>
        <w:rPr>
          <w:color w:val="231F20"/>
          <w:w w:val="105"/>
        </w:rPr>
        <w:t>a</w:t>
      </w:r>
      <w:r>
        <w:rPr>
          <w:color w:val="231F20"/>
          <w:spacing w:val="-17"/>
          <w:w w:val="105"/>
        </w:rPr>
        <w:t> </w:t>
      </w:r>
      <w:r>
        <w:rPr>
          <w:color w:val="231F20"/>
          <w:w w:val="105"/>
        </w:rPr>
        <w:t>las</w:t>
      </w:r>
      <w:r>
        <w:rPr>
          <w:color w:val="231F20"/>
          <w:spacing w:val="-17"/>
          <w:w w:val="105"/>
        </w:rPr>
        <w:t> </w:t>
      </w:r>
      <w:r>
        <w:rPr>
          <w:color w:val="231F20"/>
          <w:w w:val="105"/>
        </w:rPr>
        <w:t>que</w:t>
      </w:r>
      <w:r>
        <w:rPr>
          <w:color w:val="231F20"/>
          <w:spacing w:val="-17"/>
          <w:w w:val="105"/>
        </w:rPr>
        <w:t> </w:t>
      </w:r>
      <w:r>
        <w:rPr>
          <w:color w:val="231F20"/>
          <w:w w:val="105"/>
        </w:rPr>
        <w:t>imprimieron</w:t>
      </w:r>
      <w:r>
        <w:rPr>
          <w:color w:val="231F20"/>
          <w:spacing w:val="-17"/>
          <w:w w:val="105"/>
        </w:rPr>
        <w:t> </w:t>
      </w:r>
      <w:r>
        <w:rPr>
          <w:color w:val="231F20"/>
          <w:w w:val="105"/>
        </w:rPr>
        <w:t>su identidad</w:t>
      </w:r>
      <w:r>
        <w:rPr>
          <w:color w:val="231F20"/>
          <w:spacing w:val="-11"/>
          <w:w w:val="105"/>
        </w:rPr>
        <w:t> </w:t>
      </w:r>
      <w:r>
        <w:rPr>
          <w:color w:val="231F20"/>
          <w:w w:val="105"/>
        </w:rPr>
        <w:t>creando</w:t>
      </w:r>
      <w:r>
        <w:rPr>
          <w:color w:val="231F20"/>
          <w:spacing w:val="-11"/>
          <w:w w:val="105"/>
        </w:rPr>
        <w:t> </w:t>
      </w:r>
      <w:r>
        <w:rPr>
          <w:color w:val="231F20"/>
          <w:w w:val="105"/>
        </w:rPr>
        <w:t>las</w:t>
      </w:r>
      <w:r>
        <w:rPr>
          <w:color w:val="231F20"/>
          <w:spacing w:val="-11"/>
          <w:w w:val="105"/>
        </w:rPr>
        <w:t> </w:t>
      </w:r>
      <w:r>
        <w:rPr>
          <w:color w:val="231F20"/>
          <w:w w:val="105"/>
        </w:rPr>
        <w:t>naciones</w:t>
      </w:r>
      <w:r>
        <w:rPr>
          <w:color w:val="231F20"/>
          <w:spacing w:val="-11"/>
          <w:w w:val="105"/>
        </w:rPr>
        <w:t> </w:t>
      </w:r>
      <w:r>
        <w:rPr>
          <w:color w:val="231F20"/>
          <w:w w:val="105"/>
        </w:rPr>
        <w:t>modernas,</w:t>
      </w:r>
      <w:r>
        <w:rPr>
          <w:color w:val="231F20"/>
          <w:spacing w:val="-16"/>
          <w:w w:val="105"/>
        </w:rPr>
        <w:t> </w:t>
      </w:r>
      <w:r>
        <w:rPr>
          <w:color w:val="231F20"/>
          <w:w w:val="105"/>
        </w:rPr>
        <w:t>la</w:t>
      </w:r>
      <w:r>
        <w:rPr>
          <w:color w:val="231F20"/>
          <w:spacing w:val="-11"/>
          <w:w w:val="105"/>
        </w:rPr>
        <w:t> </w:t>
      </w:r>
      <w:r>
        <w:rPr>
          <w:color w:val="231F20"/>
          <w:w w:val="105"/>
        </w:rPr>
        <w:t>migración</w:t>
      </w:r>
      <w:r>
        <w:rPr>
          <w:color w:val="231F20"/>
          <w:spacing w:val="-11"/>
          <w:w w:val="105"/>
        </w:rPr>
        <w:t> </w:t>
      </w:r>
      <w:r>
        <w:rPr>
          <w:color w:val="231F20"/>
          <w:w w:val="105"/>
        </w:rPr>
        <w:t>se</w:t>
      </w:r>
      <w:r>
        <w:rPr>
          <w:color w:val="231F20"/>
          <w:spacing w:val="-11"/>
          <w:w w:val="105"/>
        </w:rPr>
        <w:t> </w:t>
      </w:r>
      <w:r>
        <w:rPr>
          <w:color w:val="231F20"/>
          <w:w w:val="105"/>
        </w:rPr>
        <w:t>ha</w:t>
      </w:r>
      <w:r>
        <w:rPr>
          <w:color w:val="231F20"/>
          <w:spacing w:val="-11"/>
          <w:w w:val="105"/>
        </w:rPr>
        <w:t> </w:t>
      </w:r>
      <w:r>
        <w:rPr>
          <w:color w:val="231F20"/>
          <w:w w:val="105"/>
        </w:rPr>
        <w:t>relaciona- do</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marginación</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pobreza.</w:t>
      </w:r>
      <w:r>
        <w:rPr>
          <w:color w:val="231F20"/>
          <w:spacing w:val="-11"/>
          <w:w w:val="105"/>
        </w:rPr>
        <w:t> </w:t>
      </w:r>
      <w:r>
        <w:rPr>
          <w:color w:val="231F20"/>
          <w:w w:val="105"/>
        </w:rPr>
        <w:t>Nuestra</w:t>
      </w:r>
      <w:r>
        <w:rPr>
          <w:color w:val="231F20"/>
          <w:spacing w:val="-5"/>
          <w:w w:val="105"/>
        </w:rPr>
        <w:t> </w:t>
      </w:r>
      <w:r>
        <w:rPr>
          <w:color w:val="231F20"/>
          <w:w w:val="105"/>
        </w:rPr>
        <w:t>historia</w:t>
      </w:r>
      <w:r>
        <w:rPr>
          <w:color w:val="231F20"/>
          <w:spacing w:val="-5"/>
          <w:w w:val="105"/>
        </w:rPr>
        <w:t> </w:t>
      </w:r>
      <w:r>
        <w:rPr>
          <w:color w:val="231F20"/>
          <w:w w:val="105"/>
        </w:rPr>
        <w:t>reciente</w:t>
      </w:r>
      <w:r>
        <w:rPr>
          <w:color w:val="231F20"/>
          <w:spacing w:val="-5"/>
          <w:w w:val="105"/>
        </w:rPr>
        <w:t> </w:t>
      </w:r>
      <w:r>
        <w:rPr>
          <w:color w:val="231F20"/>
          <w:w w:val="105"/>
        </w:rPr>
        <w:t>ha</w:t>
      </w:r>
      <w:r>
        <w:rPr>
          <w:color w:val="231F20"/>
          <w:spacing w:val="-5"/>
          <w:w w:val="105"/>
        </w:rPr>
        <w:t> </w:t>
      </w:r>
      <w:r>
        <w:rPr>
          <w:color w:val="231F20"/>
          <w:w w:val="105"/>
        </w:rPr>
        <w:t>mante- nido</w:t>
      </w:r>
      <w:r>
        <w:rPr>
          <w:color w:val="231F20"/>
          <w:spacing w:val="-22"/>
          <w:w w:val="105"/>
        </w:rPr>
        <w:t> </w:t>
      </w:r>
      <w:r>
        <w:rPr>
          <w:color w:val="231F20"/>
          <w:w w:val="105"/>
        </w:rPr>
        <w:t>ese</w:t>
      </w:r>
      <w:r>
        <w:rPr>
          <w:color w:val="231F20"/>
          <w:spacing w:val="-22"/>
          <w:w w:val="105"/>
        </w:rPr>
        <w:t> </w:t>
      </w:r>
      <w:r>
        <w:rPr>
          <w:color w:val="231F20"/>
          <w:w w:val="105"/>
        </w:rPr>
        <w:t>concepto,</w:t>
      </w:r>
      <w:r>
        <w:rPr>
          <w:color w:val="231F20"/>
          <w:spacing w:val="-27"/>
          <w:w w:val="105"/>
        </w:rPr>
        <w:t> </w:t>
      </w:r>
      <w:r>
        <w:rPr>
          <w:color w:val="231F20"/>
          <w:w w:val="105"/>
        </w:rPr>
        <w:t>aún</w:t>
      </w:r>
      <w:r>
        <w:rPr>
          <w:color w:val="231F20"/>
          <w:spacing w:val="-22"/>
          <w:w w:val="105"/>
        </w:rPr>
        <w:t> </w:t>
      </w:r>
      <w:r>
        <w:rPr>
          <w:color w:val="231F20"/>
          <w:w w:val="105"/>
        </w:rPr>
        <w:t>más</w:t>
      </w:r>
      <w:r>
        <w:rPr>
          <w:color w:val="231F20"/>
          <w:spacing w:val="-22"/>
          <w:w w:val="105"/>
        </w:rPr>
        <w:t> </w:t>
      </w:r>
      <w:r>
        <w:rPr>
          <w:color w:val="231F20"/>
          <w:w w:val="105"/>
        </w:rPr>
        <w:t>evidente</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4"/>
          <w:w w:val="105"/>
        </w:rPr>
        <w:t> </w:t>
      </w:r>
      <w:r>
        <w:rPr>
          <w:color w:val="231F20"/>
          <w:w w:val="105"/>
        </w:rPr>
        <w:t>Américas.</w:t>
      </w:r>
      <w:r>
        <w:rPr>
          <w:color w:val="231F20"/>
          <w:spacing w:val="-27"/>
          <w:w w:val="105"/>
        </w:rPr>
        <w:t> </w:t>
      </w:r>
      <w:r>
        <w:rPr>
          <w:color w:val="231F20"/>
          <w:w w:val="105"/>
        </w:rPr>
        <w:t>Quienes</w:t>
      </w:r>
      <w:r>
        <w:rPr>
          <w:color w:val="231F20"/>
          <w:spacing w:val="-22"/>
          <w:w w:val="105"/>
        </w:rPr>
        <w:t> </w:t>
      </w:r>
      <w:r>
        <w:rPr>
          <w:color w:val="231F20"/>
          <w:w w:val="105"/>
        </w:rPr>
        <w:t>migraron de</w:t>
      </w:r>
      <w:r>
        <w:rPr>
          <w:color w:val="231F20"/>
          <w:spacing w:val="-17"/>
          <w:w w:val="105"/>
        </w:rPr>
        <w:t> </w:t>
      </w:r>
      <w:r>
        <w:rPr>
          <w:color w:val="231F20"/>
          <w:w w:val="105"/>
        </w:rPr>
        <w:t>Europa</w:t>
      </w:r>
      <w:r>
        <w:rPr>
          <w:color w:val="231F20"/>
          <w:spacing w:val="-17"/>
          <w:w w:val="105"/>
        </w:rPr>
        <w:t> </w:t>
      </w:r>
      <w:r>
        <w:rPr>
          <w:color w:val="231F20"/>
          <w:w w:val="105"/>
        </w:rPr>
        <w:t>al</w:t>
      </w:r>
      <w:r>
        <w:rPr>
          <w:color w:val="231F20"/>
          <w:spacing w:val="-17"/>
          <w:w w:val="105"/>
        </w:rPr>
        <w:t> </w:t>
      </w:r>
      <w:r>
        <w:rPr>
          <w:color w:val="231F20"/>
          <w:w w:val="105"/>
        </w:rPr>
        <w:t>nuevo</w:t>
      </w:r>
      <w:r>
        <w:rPr>
          <w:color w:val="231F20"/>
          <w:spacing w:val="-17"/>
          <w:w w:val="105"/>
        </w:rPr>
        <w:t> </w:t>
      </w:r>
      <w:r>
        <w:rPr>
          <w:color w:val="231F20"/>
          <w:w w:val="105"/>
        </w:rPr>
        <w:t>mundo</w:t>
      </w:r>
      <w:r>
        <w:rPr>
          <w:color w:val="231F20"/>
          <w:spacing w:val="-17"/>
          <w:w w:val="105"/>
        </w:rPr>
        <w:t> </w:t>
      </w:r>
      <w:r>
        <w:rPr>
          <w:color w:val="231F20"/>
          <w:w w:val="105"/>
        </w:rPr>
        <w:t>fueron</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mayoría</w:t>
      </w:r>
      <w:r>
        <w:rPr>
          <w:color w:val="231F20"/>
          <w:spacing w:val="-17"/>
          <w:w w:val="105"/>
        </w:rPr>
        <w:t> </w:t>
      </w:r>
      <w:r>
        <w:rPr>
          <w:color w:val="231F20"/>
          <w:w w:val="105"/>
        </w:rPr>
        <w:t>los</w:t>
      </w:r>
      <w:r>
        <w:rPr>
          <w:color w:val="231F20"/>
          <w:spacing w:val="-17"/>
          <w:w w:val="105"/>
        </w:rPr>
        <w:t> </w:t>
      </w:r>
      <w:r>
        <w:rPr>
          <w:color w:val="231F20"/>
          <w:w w:val="105"/>
        </w:rPr>
        <w:t>más</w:t>
      </w:r>
      <w:r>
        <w:rPr>
          <w:color w:val="231F20"/>
          <w:spacing w:val="-17"/>
          <w:w w:val="105"/>
        </w:rPr>
        <w:t> </w:t>
      </w:r>
      <w:r>
        <w:rPr>
          <w:color w:val="231F20"/>
          <w:w w:val="105"/>
        </w:rPr>
        <w:t>pobres,</w:t>
      </w:r>
      <w:r>
        <w:rPr>
          <w:color w:val="231F20"/>
          <w:spacing w:val="-23"/>
          <w:w w:val="105"/>
        </w:rPr>
        <w:t> </w:t>
      </w:r>
      <w:r>
        <w:rPr>
          <w:color w:val="231F20"/>
          <w:w w:val="105"/>
        </w:rPr>
        <w:t>los</w:t>
      </w:r>
      <w:r>
        <w:rPr>
          <w:color w:val="231F20"/>
          <w:spacing w:val="-17"/>
          <w:w w:val="105"/>
        </w:rPr>
        <w:t> </w:t>
      </w:r>
      <w:r>
        <w:rPr>
          <w:color w:val="231F20"/>
          <w:w w:val="105"/>
        </w:rPr>
        <w:t>que no</w:t>
      </w:r>
      <w:r>
        <w:rPr>
          <w:color w:val="231F20"/>
          <w:spacing w:val="-5"/>
          <w:w w:val="105"/>
        </w:rPr>
        <w:t> </w:t>
      </w:r>
      <w:r>
        <w:rPr>
          <w:color w:val="231F20"/>
          <w:w w:val="105"/>
        </w:rPr>
        <w:t>tenían</w:t>
      </w:r>
      <w:r>
        <w:rPr>
          <w:color w:val="231F20"/>
          <w:spacing w:val="-5"/>
          <w:w w:val="105"/>
        </w:rPr>
        <w:t> </w:t>
      </w:r>
      <w:r>
        <w:rPr>
          <w:color w:val="231F20"/>
          <w:w w:val="105"/>
        </w:rPr>
        <w:t>oportunidades</w:t>
      </w:r>
      <w:r>
        <w:rPr>
          <w:color w:val="231F20"/>
          <w:spacing w:val="-5"/>
          <w:w w:val="105"/>
        </w:rPr>
        <w:t> </w:t>
      </w:r>
      <w:r>
        <w:rPr>
          <w:color w:val="231F20"/>
          <w:w w:val="105"/>
        </w:rPr>
        <w:t>de</w:t>
      </w:r>
      <w:r>
        <w:rPr>
          <w:color w:val="231F20"/>
          <w:spacing w:val="-5"/>
          <w:w w:val="105"/>
        </w:rPr>
        <w:t> </w:t>
      </w:r>
      <w:r>
        <w:rPr>
          <w:color w:val="231F20"/>
          <w:w w:val="105"/>
        </w:rPr>
        <w:t>desarrollo</w:t>
      </w:r>
      <w:r>
        <w:rPr>
          <w:color w:val="231F20"/>
          <w:spacing w:val="-5"/>
          <w:w w:val="105"/>
        </w:rPr>
        <w:t> </w:t>
      </w:r>
      <w:r>
        <w:rPr>
          <w:color w:val="231F20"/>
          <w:w w:val="105"/>
        </w:rPr>
        <w:t>en</w:t>
      </w:r>
      <w:r>
        <w:rPr>
          <w:color w:val="231F20"/>
          <w:spacing w:val="-5"/>
          <w:w w:val="105"/>
        </w:rPr>
        <w:t> </w:t>
      </w:r>
      <w:r>
        <w:rPr>
          <w:color w:val="231F20"/>
          <w:w w:val="105"/>
        </w:rPr>
        <w:t>sus</w:t>
      </w:r>
      <w:r>
        <w:rPr>
          <w:color w:val="231F20"/>
          <w:spacing w:val="-5"/>
          <w:w w:val="105"/>
        </w:rPr>
        <w:t> </w:t>
      </w:r>
      <w:r>
        <w:rPr>
          <w:color w:val="231F20"/>
          <w:w w:val="105"/>
        </w:rPr>
        <w:t>lugares</w:t>
      </w:r>
      <w:r>
        <w:rPr>
          <w:color w:val="231F20"/>
          <w:spacing w:val="-5"/>
          <w:w w:val="105"/>
        </w:rPr>
        <w:t> </w:t>
      </w:r>
      <w:r>
        <w:rPr>
          <w:color w:val="231F20"/>
          <w:w w:val="105"/>
        </w:rPr>
        <w:t>de</w:t>
      </w:r>
      <w:r>
        <w:rPr>
          <w:color w:val="231F20"/>
          <w:spacing w:val="-5"/>
          <w:w w:val="105"/>
        </w:rPr>
        <w:t> </w:t>
      </w:r>
      <w:r>
        <w:rPr>
          <w:color w:val="231F20"/>
          <w:w w:val="105"/>
        </w:rPr>
        <w:t>origen.</w:t>
      </w:r>
      <w:r>
        <w:rPr>
          <w:color w:val="231F20"/>
          <w:spacing w:val="-15"/>
          <w:w w:val="105"/>
        </w:rPr>
        <w:t> </w:t>
      </w:r>
      <w:r>
        <w:rPr>
          <w:color w:val="231F20"/>
          <w:w w:val="105"/>
        </w:rPr>
        <w:t>Actual- mente,</w:t>
      </w:r>
      <w:r>
        <w:rPr>
          <w:color w:val="231F20"/>
          <w:spacing w:val="-11"/>
          <w:w w:val="105"/>
        </w:rPr>
        <w:t> </w:t>
      </w:r>
      <w:r>
        <w:rPr>
          <w:color w:val="231F20"/>
          <w:w w:val="105"/>
        </w:rPr>
        <w:t>a</w:t>
      </w:r>
      <w:r>
        <w:rPr>
          <w:color w:val="231F20"/>
          <w:spacing w:val="-6"/>
          <w:w w:val="105"/>
        </w:rPr>
        <w:t> </w:t>
      </w:r>
      <w:r>
        <w:rPr>
          <w:color w:val="231F20"/>
          <w:w w:val="105"/>
        </w:rPr>
        <w:t>estos</w:t>
      </w:r>
      <w:r>
        <w:rPr>
          <w:color w:val="231F20"/>
          <w:spacing w:val="-6"/>
          <w:w w:val="105"/>
        </w:rPr>
        <w:t> </w:t>
      </w:r>
      <w:r>
        <w:rPr>
          <w:color w:val="231F20"/>
          <w:w w:val="105"/>
        </w:rPr>
        <w:t>se</w:t>
      </w:r>
      <w:r>
        <w:rPr>
          <w:color w:val="231F20"/>
          <w:spacing w:val="-6"/>
          <w:w w:val="105"/>
        </w:rPr>
        <w:t> </w:t>
      </w:r>
      <w:r>
        <w:rPr>
          <w:color w:val="231F20"/>
          <w:w w:val="105"/>
        </w:rPr>
        <w:t>suman</w:t>
      </w:r>
      <w:r>
        <w:rPr>
          <w:color w:val="231F20"/>
          <w:spacing w:val="-6"/>
          <w:w w:val="105"/>
        </w:rPr>
        <w:t> </w:t>
      </w:r>
      <w:r>
        <w:rPr>
          <w:color w:val="231F20"/>
          <w:w w:val="105"/>
        </w:rPr>
        <w:t>quienes</w:t>
      </w:r>
      <w:r>
        <w:rPr>
          <w:color w:val="231F20"/>
          <w:spacing w:val="-6"/>
          <w:w w:val="105"/>
        </w:rPr>
        <w:t> </w:t>
      </w:r>
      <w:r>
        <w:rPr>
          <w:color w:val="231F20"/>
          <w:w w:val="105"/>
        </w:rPr>
        <w:t>migran</w:t>
      </w:r>
      <w:r>
        <w:rPr>
          <w:color w:val="231F20"/>
          <w:spacing w:val="-6"/>
          <w:w w:val="105"/>
        </w:rPr>
        <w:t> </w:t>
      </w:r>
      <w:r>
        <w:rPr>
          <w:color w:val="231F20"/>
          <w:w w:val="105"/>
        </w:rPr>
        <w:t>huyendo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guerra</w:t>
      </w:r>
      <w:r>
        <w:rPr>
          <w:color w:val="231F20"/>
          <w:spacing w:val="-6"/>
          <w:w w:val="105"/>
        </w:rPr>
        <w:t> </w:t>
      </w:r>
      <w:r>
        <w:rPr>
          <w:color w:val="231F20"/>
          <w:w w:val="105"/>
        </w:rPr>
        <w:t>o</w:t>
      </w:r>
      <w:r>
        <w:rPr>
          <w:color w:val="231F20"/>
          <w:spacing w:val="-6"/>
          <w:w w:val="105"/>
        </w:rPr>
        <w:t> </w:t>
      </w:r>
      <w:r>
        <w:rPr>
          <w:color w:val="231F20"/>
          <w:w w:val="105"/>
        </w:rPr>
        <w:t>de</w:t>
      </w:r>
      <w:r>
        <w:rPr>
          <w:color w:val="231F20"/>
          <w:spacing w:val="-6"/>
          <w:w w:val="105"/>
        </w:rPr>
        <w:t> </w:t>
      </w:r>
      <w:r>
        <w:rPr>
          <w:color w:val="231F20"/>
          <w:w w:val="105"/>
        </w:rPr>
        <w:t>los desastres</w:t>
      </w:r>
      <w:r>
        <w:rPr>
          <w:color w:val="231F20"/>
          <w:spacing w:val="-5"/>
          <w:w w:val="105"/>
        </w:rPr>
        <w:t> </w:t>
      </w:r>
      <w:r>
        <w:rPr>
          <w:color w:val="231F20"/>
          <w:w w:val="105"/>
        </w:rPr>
        <w:t>naturales.</w:t>
      </w:r>
      <w:r>
        <w:rPr>
          <w:color w:val="231F20"/>
          <w:spacing w:val="-9"/>
          <w:w w:val="105"/>
        </w:rPr>
        <w:t> </w:t>
      </w:r>
      <w:r>
        <w:rPr>
          <w:color w:val="231F20"/>
          <w:w w:val="105"/>
        </w:rPr>
        <w:t>La</w:t>
      </w:r>
      <w:r>
        <w:rPr>
          <w:color w:val="231F20"/>
          <w:spacing w:val="-5"/>
          <w:w w:val="105"/>
        </w:rPr>
        <w:t> </w:t>
      </w:r>
      <w:r>
        <w:rPr>
          <w:color w:val="231F20"/>
          <w:w w:val="105"/>
        </w:rPr>
        <w:t>ausencia</w:t>
      </w:r>
      <w:r>
        <w:rPr>
          <w:color w:val="231F20"/>
          <w:spacing w:val="-5"/>
          <w:w w:val="105"/>
        </w:rPr>
        <w:t> </w:t>
      </w:r>
      <w:r>
        <w:rPr>
          <w:color w:val="231F20"/>
          <w:w w:val="105"/>
        </w:rPr>
        <w:t>o</w:t>
      </w:r>
      <w:r>
        <w:rPr>
          <w:color w:val="231F20"/>
          <w:spacing w:val="-5"/>
          <w:w w:val="105"/>
        </w:rPr>
        <w:t> </w:t>
      </w:r>
      <w:r>
        <w:rPr>
          <w:color w:val="231F20"/>
          <w:w w:val="105"/>
        </w:rPr>
        <w:t>deficiencia</w:t>
      </w:r>
      <w:r>
        <w:rPr>
          <w:color w:val="231F20"/>
          <w:spacing w:val="-5"/>
          <w:w w:val="105"/>
        </w:rPr>
        <w:t> </w:t>
      </w:r>
      <w:r>
        <w:rPr>
          <w:color w:val="231F20"/>
          <w:w w:val="105"/>
        </w:rPr>
        <w:t>de</w:t>
      </w:r>
      <w:r>
        <w:rPr>
          <w:color w:val="231F20"/>
          <w:spacing w:val="-5"/>
          <w:w w:val="105"/>
        </w:rPr>
        <w:t> </w:t>
      </w:r>
      <w:r>
        <w:rPr>
          <w:color w:val="231F20"/>
          <w:w w:val="105"/>
        </w:rPr>
        <w:t>instrumentos</w:t>
      </w:r>
      <w:r>
        <w:rPr>
          <w:color w:val="231F20"/>
          <w:spacing w:val="-5"/>
          <w:w w:val="105"/>
        </w:rPr>
        <w:t> </w:t>
      </w:r>
      <w:r>
        <w:rPr>
          <w:color w:val="231F20"/>
          <w:w w:val="105"/>
        </w:rPr>
        <w:t>legales, en</w:t>
      </w:r>
      <w:r>
        <w:rPr>
          <w:color w:val="231F20"/>
          <w:spacing w:val="-16"/>
          <w:w w:val="105"/>
        </w:rPr>
        <w:t> </w:t>
      </w:r>
      <w:r>
        <w:rPr>
          <w:color w:val="231F20"/>
          <w:w w:val="105"/>
        </w:rPr>
        <w:t>los</w:t>
      </w:r>
      <w:r>
        <w:rPr>
          <w:color w:val="231F20"/>
          <w:spacing w:val="-16"/>
          <w:w w:val="105"/>
        </w:rPr>
        <w:t> </w:t>
      </w:r>
      <w:r>
        <w:rPr>
          <w:color w:val="231F20"/>
          <w:w w:val="105"/>
        </w:rPr>
        <w:t>países</w:t>
      </w:r>
      <w:r>
        <w:rPr>
          <w:color w:val="231F20"/>
          <w:spacing w:val="-16"/>
          <w:w w:val="105"/>
        </w:rPr>
        <w:t> </w:t>
      </w:r>
      <w:r>
        <w:rPr>
          <w:color w:val="231F20"/>
          <w:w w:val="105"/>
        </w:rPr>
        <w:t>de</w:t>
      </w:r>
      <w:r>
        <w:rPr>
          <w:color w:val="231F20"/>
          <w:spacing w:val="-16"/>
          <w:w w:val="105"/>
        </w:rPr>
        <w:t> </w:t>
      </w:r>
      <w:r>
        <w:rPr>
          <w:color w:val="231F20"/>
          <w:w w:val="105"/>
        </w:rPr>
        <w:t>destino,</w:t>
      </w:r>
      <w:r>
        <w:rPr>
          <w:color w:val="231F20"/>
          <w:spacing w:val="-21"/>
          <w:w w:val="105"/>
        </w:rPr>
        <w:t> </w:t>
      </w:r>
      <w:r>
        <w:rPr>
          <w:color w:val="231F20"/>
          <w:w w:val="105"/>
        </w:rPr>
        <w:t>que</w:t>
      </w:r>
      <w:r>
        <w:rPr>
          <w:color w:val="231F20"/>
          <w:spacing w:val="-16"/>
          <w:w w:val="105"/>
        </w:rPr>
        <w:t> </w:t>
      </w:r>
      <w:r>
        <w:rPr>
          <w:color w:val="231F20"/>
          <w:w w:val="105"/>
        </w:rPr>
        <w:t>permitan</w:t>
      </w:r>
      <w:r>
        <w:rPr>
          <w:color w:val="231F20"/>
          <w:spacing w:val="-16"/>
          <w:w w:val="105"/>
        </w:rPr>
        <w:t> </w:t>
      </w:r>
      <w:r>
        <w:rPr>
          <w:color w:val="231F20"/>
          <w:w w:val="105"/>
        </w:rPr>
        <w:t>obtener</w:t>
      </w:r>
      <w:r>
        <w:rPr>
          <w:color w:val="231F20"/>
          <w:spacing w:val="-16"/>
          <w:w w:val="105"/>
        </w:rPr>
        <w:t> </w:t>
      </w:r>
      <w:r>
        <w:rPr>
          <w:color w:val="231F20"/>
          <w:w w:val="105"/>
        </w:rPr>
        <w:t>el</w:t>
      </w:r>
      <w:r>
        <w:rPr>
          <w:color w:val="231F20"/>
          <w:spacing w:val="-16"/>
          <w:w w:val="105"/>
        </w:rPr>
        <w:t> </w:t>
      </w:r>
      <w:r>
        <w:rPr>
          <w:color w:val="231F20"/>
          <w:w w:val="105"/>
        </w:rPr>
        <w:t>estatus</w:t>
      </w:r>
      <w:r>
        <w:rPr>
          <w:color w:val="231F20"/>
          <w:spacing w:val="-16"/>
          <w:w w:val="105"/>
        </w:rPr>
        <w:t> </w:t>
      </w:r>
      <w:r>
        <w:rPr>
          <w:color w:val="231F20"/>
          <w:w w:val="105"/>
        </w:rPr>
        <w:t>de</w:t>
      </w:r>
      <w:r>
        <w:rPr>
          <w:color w:val="231F20"/>
          <w:spacing w:val="-16"/>
          <w:w w:val="105"/>
        </w:rPr>
        <w:t> </w:t>
      </w:r>
      <w:r>
        <w:rPr>
          <w:color w:val="231F20"/>
          <w:w w:val="105"/>
        </w:rPr>
        <w:t>migrante</w:t>
      </w:r>
      <w:r>
        <w:rPr>
          <w:color w:val="231F20"/>
          <w:spacing w:val="-16"/>
          <w:w w:val="105"/>
        </w:rPr>
        <w:t> </w:t>
      </w:r>
      <w:r>
        <w:rPr>
          <w:color w:val="231F20"/>
          <w:w w:val="105"/>
        </w:rPr>
        <w:t>no han detenido el movimiento de personas, pero lo han convertido en un proceso clandestino y</w:t>
      </w:r>
      <w:r>
        <w:rPr>
          <w:color w:val="231F20"/>
          <w:spacing w:val="-37"/>
          <w:w w:val="105"/>
        </w:rPr>
        <w:t> </w:t>
      </w:r>
      <w:r>
        <w:rPr>
          <w:color w:val="231F20"/>
          <w:w w:val="105"/>
        </w:rPr>
        <w:t>peligroso.</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BodyText"/>
        <w:spacing w:line="261" w:lineRule="auto" w:before="60"/>
        <w:ind w:left="1723" w:right="1834"/>
        <w:jc w:val="both"/>
      </w:pPr>
      <w:r>
        <w:rPr>
          <w:color w:val="231F20"/>
          <w:w w:val="105"/>
        </w:rPr>
        <w:t>Es conveniente precisar que el término “migración </w:t>
      </w:r>
      <w:r>
        <w:rPr>
          <w:color w:val="231F20"/>
          <w:spacing w:val="-4"/>
          <w:w w:val="105"/>
        </w:rPr>
        <w:t>ilegal”, </w:t>
      </w:r>
      <w:r>
        <w:rPr>
          <w:color w:val="231F20"/>
          <w:w w:val="105"/>
        </w:rPr>
        <w:t>utilizado</w:t>
      </w:r>
      <w:r>
        <w:rPr>
          <w:color w:val="231F20"/>
          <w:spacing w:val="-27"/>
          <w:w w:val="105"/>
        </w:rPr>
        <w:t> </w:t>
      </w:r>
      <w:r>
        <w:rPr>
          <w:color w:val="231F20"/>
          <w:w w:val="105"/>
        </w:rPr>
        <w:t>para nombrar</w:t>
      </w:r>
      <w:r>
        <w:rPr>
          <w:color w:val="231F20"/>
          <w:spacing w:val="-9"/>
          <w:w w:val="105"/>
        </w:rPr>
        <w:t> </w:t>
      </w:r>
      <w:r>
        <w:rPr>
          <w:color w:val="231F20"/>
          <w:w w:val="105"/>
        </w:rPr>
        <w:t>a</w:t>
      </w:r>
      <w:r>
        <w:rPr>
          <w:color w:val="231F20"/>
          <w:spacing w:val="-9"/>
          <w:w w:val="105"/>
        </w:rPr>
        <w:t> </w:t>
      </w:r>
      <w:r>
        <w:rPr>
          <w:color w:val="231F20"/>
          <w:w w:val="105"/>
        </w:rPr>
        <w:t>las</w:t>
      </w:r>
      <w:r>
        <w:rPr>
          <w:color w:val="231F20"/>
          <w:spacing w:val="-9"/>
          <w:w w:val="105"/>
        </w:rPr>
        <w:t> </w:t>
      </w:r>
      <w:r>
        <w:rPr>
          <w:color w:val="231F20"/>
          <w:w w:val="105"/>
        </w:rPr>
        <w:t>personas</w:t>
      </w:r>
      <w:r>
        <w:rPr>
          <w:color w:val="231F20"/>
          <w:spacing w:val="-9"/>
          <w:w w:val="105"/>
        </w:rPr>
        <w:t> </w:t>
      </w:r>
      <w:r>
        <w:rPr>
          <w:color w:val="231F20"/>
          <w:w w:val="105"/>
        </w:rPr>
        <w:t>cuya</w:t>
      </w:r>
      <w:r>
        <w:rPr>
          <w:color w:val="231F20"/>
          <w:spacing w:val="-9"/>
          <w:w w:val="105"/>
        </w:rPr>
        <w:t> </w:t>
      </w:r>
      <w:r>
        <w:rPr>
          <w:color w:val="231F20"/>
          <w:w w:val="105"/>
        </w:rPr>
        <w:t>situación</w:t>
      </w:r>
      <w:r>
        <w:rPr>
          <w:color w:val="231F20"/>
          <w:spacing w:val="-9"/>
          <w:w w:val="105"/>
        </w:rPr>
        <w:t> </w:t>
      </w:r>
      <w:r>
        <w:rPr>
          <w:color w:val="231F20"/>
          <w:w w:val="105"/>
        </w:rPr>
        <w:t>no</w:t>
      </w:r>
      <w:r>
        <w:rPr>
          <w:color w:val="231F20"/>
          <w:spacing w:val="-9"/>
          <w:w w:val="105"/>
        </w:rPr>
        <w:t> </w:t>
      </w:r>
      <w:r>
        <w:rPr>
          <w:color w:val="231F20"/>
          <w:w w:val="105"/>
        </w:rPr>
        <w:t>se</w:t>
      </w:r>
      <w:r>
        <w:rPr>
          <w:color w:val="231F20"/>
          <w:spacing w:val="-9"/>
          <w:w w:val="105"/>
        </w:rPr>
        <w:t> </w:t>
      </w:r>
      <w:r>
        <w:rPr>
          <w:color w:val="231F20"/>
          <w:w w:val="105"/>
        </w:rPr>
        <w:t>ajusta,</w:t>
      </w:r>
      <w:r>
        <w:rPr>
          <w:color w:val="231F20"/>
          <w:spacing w:val="-14"/>
          <w:w w:val="105"/>
        </w:rPr>
        <w:t> </w:t>
      </w:r>
      <w:r>
        <w:rPr>
          <w:color w:val="231F20"/>
          <w:w w:val="105"/>
        </w:rPr>
        <w:t>por</w:t>
      </w:r>
      <w:r>
        <w:rPr>
          <w:color w:val="231F20"/>
          <w:spacing w:val="-9"/>
          <w:w w:val="105"/>
        </w:rPr>
        <w:t> </w:t>
      </w:r>
      <w:r>
        <w:rPr>
          <w:color w:val="231F20"/>
          <w:w w:val="105"/>
        </w:rPr>
        <w:t>alguna</w:t>
      </w:r>
      <w:r>
        <w:rPr>
          <w:color w:val="231F20"/>
          <w:spacing w:val="-9"/>
          <w:w w:val="105"/>
        </w:rPr>
        <w:t> </w:t>
      </w:r>
      <w:r>
        <w:rPr>
          <w:color w:val="231F20"/>
          <w:w w:val="105"/>
        </w:rPr>
        <w:t>razón,</w:t>
      </w:r>
      <w:r>
        <w:rPr>
          <w:color w:val="231F20"/>
          <w:spacing w:val="-14"/>
          <w:w w:val="105"/>
        </w:rPr>
        <w:t> </w:t>
      </w:r>
      <w:r>
        <w:rPr>
          <w:color w:val="231F20"/>
          <w:w w:val="105"/>
        </w:rPr>
        <w:t>a las</w:t>
      </w:r>
      <w:r>
        <w:rPr>
          <w:color w:val="231F20"/>
          <w:spacing w:val="-7"/>
          <w:w w:val="105"/>
        </w:rPr>
        <w:t> </w:t>
      </w:r>
      <w:r>
        <w:rPr>
          <w:color w:val="231F20"/>
          <w:w w:val="105"/>
        </w:rPr>
        <w:t>normas</w:t>
      </w:r>
      <w:r>
        <w:rPr>
          <w:color w:val="231F20"/>
          <w:spacing w:val="-7"/>
          <w:w w:val="105"/>
        </w:rPr>
        <w:t> </w:t>
      </w:r>
      <w:r>
        <w:rPr>
          <w:color w:val="231F20"/>
          <w:w w:val="105"/>
        </w:rPr>
        <w:t>del</w:t>
      </w:r>
      <w:r>
        <w:rPr>
          <w:color w:val="231F20"/>
          <w:spacing w:val="-6"/>
          <w:w w:val="105"/>
        </w:rPr>
        <w:t> </w:t>
      </w:r>
      <w:r>
        <w:rPr>
          <w:color w:val="231F20"/>
          <w:w w:val="105"/>
        </w:rPr>
        <w:t>país</w:t>
      </w:r>
      <w:r>
        <w:rPr>
          <w:color w:val="231F20"/>
          <w:spacing w:val="-7"/>
          <w:w w:val="105"/>
        </w:rPr>
        <w:t> </w:t>
      </w:r>
      <w:r>
        <w:rPr>
          <w:color w:val="231F20"/>
          <w:w w:val="105"/>
        </w:rPr>
        <w:t>en</w:t>
      </w:r>
      <w:r>
        <w:rPr>
          <w:color w:val="231F20"/>
          <w:spacing w:val="-6"/>
          <w:w w:val="105"/>
        </w:rPr>
        <w:t> </w:t>
      </w:r>
      <w:r>
        <w:rPr>
          <w:color w:val="231F20"/>
          <w:w w:val="105"/>
        </w:rPr>
        <w:t>el</w:t>
      </w:r>
      <w:r>
        <w:rPr>
          <w:color w:val="231F20"/>
          <w:spacing w:val="-7"/>
          <w:w w:val="105"/>
        </w:rPr>
        <w:t> </w:t>
      </w:r>
      <w:r>
        <w:rPr>
          <w:color w:val="231F20"/>
          <w:w w:val="105"/>
        </w:rPr>
        <w:t>que</w:t>
      </w:r>
      <w:r>
        <w:rPr>
          <w:color w:val="231F20"/>
          <w:spacing w:val="-6"/>
          <w:w w:val="105"/>
        </w:rPr>
        <w:t> </w:t>
      </w:r>
      <w:r>
        <w:rPr>
          <w:color w:val="231F20"/>
          <w:w w:val="105"/>
        </w:rPr>
        <w:t>residen,</w:t>
      </w:r>
      <w:r>
        <w:rPr>
          <w:color w:val="231F20"/>
          <w:spacing w:val="-13"/>
          <w:w w:val="105"/>
        </w:rPr>
        <w:t> </w:t>
      </w:r>
      <w:r>
        <w:rPr>
          <w:color w:val="231F20"/>
          <w:w w:val="105"/>
        </w:rPr>
        <w:t>ha</w:t>
      </w:r>
      <w:r>
        <w:rPr>
          <w:color w:val="231F20"/>
          <w:spacing w:val="-6"/>
          <w:w w:val="105"/>
        </w:rPr>
        <w:t> </w:t>
      </w:r>
      <w:r>
        <w:rPr>
          <w:color w:val="231F20"/>
          <w:w w:val="105"/>
        </w:rPr>
        <w:t>sido</w:t>
      </w:r>
      <w:r>
        <w:rPr>
          <w:color w:val="231F20"/>
          <w:spacing w:val="-7"/>
          <w:w w:val="105"/>
        </w:rPr>
        <w:t> </w:t>
      </w:r>
      <w:r>
        <w:rPr>
          <w:color w:val="231F20"/>
          <w:w w:val="105"/>
        </w:rPr>
        <w:t>criticado</w:t>
      </w:r>
      <w:r>
        <w:rPr>
          <w:color w:val="231F20"/>
          <w:spacing w:val="-7"/>
          <w:w w:val="105"/>
        </w:rPr>
        <w:t> </w:t>
      </w:r>
      <w:r>
        <w:rPr>
          <w:color w:val="231F20"/>
          <w:w w:val="105"/>
        </w:rPr>
        <w:t>por</w:t>
      </w:r>
      <w:r>
        <w:rPr>
          <w:color w:val="231F20"/>
          <w:spacing w:val="-6"/>
          <w:w w:val="105"/>
        </w:rPr>
        <w:t> </w:t>
      </w:r>
      <w:r>
        <w:rPr>
          <w:color w:val="231F20"/>
          <w:w w:val="105"/>
        </w:rPr>
        <w:t>la</w:t>
      </w:r>
      <w:r>
        <w:rPr>
          <w:color w:val="231F20"/>
          <w:spacing w:val="-10"/>
          <w:w w:val="105"/>
        </w:rPr>
        <w:t> </w:t>
      </w:r>
      <w:r>
        <w:rPr>
          <w:color w:val="231F20"/>
          <w:w w:val="105"/>
        </w:rPr>
        <w:t>Asamblea General de la </w:t>
      </w:r>
      <w:r>
        <w:rPr>
          <w:color w:val="231F20"/>
          <w:w w:val="105"/>
          <w:sz w:val="17"/>
        </w:rPr>
        <w:t>ONU </w:t>
      </w:r>
      <w:r>
        <w:rPr>
          <w:color w:val="231F20"/>
          <w:w w:val="105"/>
        </w:rPr>
        <w:t>desde 1975, porque implica la criminalización de la </w:t>
      </w:r>
      <w:r>
        <w:rPr>
          <w:color w:val="231F20"/>
          <w:spacing w:val="-4"/>
          <w:w w:val="105"/>
        </w:rPr>
        <w:t>migración.</w:t>
      </w:r>
      <w:r>
        <w:rPr>
          <w:color w:val="231F20"/>
          <w:spacing w:val="-26"/>
          <w:w w:val="105"/>
        </w:rPr>
        <w:t> </w:t>
      </w:r>
      <w:r>
        <w:rPr>
          <w:color w:val="231F20"/>
          <w:spacing w:val="-8"/>
          <w:w w:val="105"/>
        </w:rPr>
        <w:t>Por</w:t>
      </w:r>
      <w:r>
        <w:rPr>
          <w:color w:val="231F20"/>
          <w:spacing w:val="-19"/>
          <w:w w:val="105"/>
        </w:rPr>
        <w:t> </w:t>
      </w:r>
      <w:r>
        <w:rPr>
          <w:color w:val="231F20"/>
          <w:spacing w:val="-4"/>
          <w:w w:val="105"/>
        </w:rPr>
        <w:t>ello,</w:t>
      </w:r>
      <w:r>
        <w:rPr>
          <w:color w:val="231F20"/>
          <w:spacing w:val="-26"/>
          <w:w w:val="105"/>
        </w:rPr>
        <w:t> </w:t>
      </w:r>
      <w:r>
        <w:rPr>
          <w:color w:val="231F20"/>
          <w:w w:val="105"/>
        </w:rPr>
        <w:t>y</w:t>
      </w:r>
      <w:r>
        <w:rPr>
          <w:color w:val="231F20"/>
          <w:spacing w:val="-19"/>
          <w:w w:val="105"/>
        </w:rPr>
        <w:t> </w:t>
      </w:r>
      <w:r>
        <w:rPr>
          <w:color w:val="231F20"/>
          <w:w w:val="105"/>
        </w:rPr>
        <w:t>en</w:t>
      </w:r>
      <w:r>
        <w:rPr>
          <w:color w:val="231F20"/>
          <w:spacing w:val="-19"/>
          <w:w w:val="105"/>
        </w:rPr>
        <w:t> </w:t>
      </w:r>
      <w:r>
        <w:rPr>
          <w:color w:val="231F20"/>
          <w:spacing w:val="-4"/>
          <w:w w:val="105"/>
        </w:rPr>
        <w:t>atención</w:t>
      </w:r>
      <w:r>
        <w:rPr>
          <w:color w:val="231F20"/>
          <w:spacing w:val="-19"/>
          <w:w w:val="105"/>
        </w:rPr>
        <w:t> </w:t>
      </w:r>
      <w:r>
        <w:rPr>
          <w:color w:val="231F20"/>
          <w:w w:val="105"/>
        </w:rPr>
        <w:t>a</w:t>
      </w:r>
      <w:r>
        <w:rPr>
          <w:color w:val="231F20"/>
          <w:spacing w:val="-19"/>
          <w:w w:val="105"/>
        </w:rPr>
        <w:t> </w:t>
      </w:r>
      <w:r>
        <w:rPr>
          <w:color w:val="231F20"/>
          <w:spacing w:val="-3"/>
          <w:w w:val="105"/>
        </w:rPr>
        <w:t>las</w:t>
      </w:r>
      <w:r>
        <w:rPr>
          <w:color w:val="231F20"/>
          <w:spacing w:val="-19"/>
          <w:w w:val="105"/>
        </w:rPr>
        <w:t> </w:t>
      </w:r>
      <w:r>
        <w:rPr>
          <w:color w:val="231F20"/>
          <w:spacing w:val="-4"/>
          <w:w w:val="105"/>
        </w:rPr>
        <w:t>recomendaciones</w:t>
      </w:r>
      <w:r>
        <w:rPr>
          <w:color w:val="231F20"/>
          <w:spacing w:val="-19"/>
          <w:w w:val="105"/>
        </w:rPr>
        <w:t> </w:t>
      </w:r>
      <w:r>
        <w:rPr>
          <w:color w:val="231F20"/>
          <w:spacing w:val="-3"/>
          <w:w w:val="105"/>
        </w:rPr>
        <w:t>que</w:t>
      </w:r>
      <w:r>
        <w:rPr>
          <w:color w:val="231F20"/>
          <w:spacing w:val="-19"/>
          <w:w w:val="105"/>
        </w:rPr>
        <w:t> </w:t>
      </w:r>
      <w:r>
        <w:rPr>
          <w:color w:val="231F20"/>
          <w:spacing w:val="-4"/>
          <w:w w:val="105"/>
        </w:rPr>
        <w:t>dicho</w:t>
      </w:r>
      <w:r>
        <w:rPr>
          <w:color w:val="231F20"/>
          <w:spacing w:val="-19"/>
          <w:w w:val="105"/>
        </w:rPr>
        <w:t> </w:t>
      </w:r>
      <w:r>
        <w:rPr>
          <w:color w:val="231F20"/>
          <w:spacing w:val="-5"/>
          <w:w w:val="105"/>
        </w:rPr>
        <w:t>órgano </w:t>
      </w:r>
      <w:r>
        <w:rPr>
          <w:color w:val="231F20"/>
          <w:w w:val="105"/>
        </w:rPr>
        <w:t>realizó</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resolución</w:t>
      </w:r>
      <w:r>
        <w:rPr>
          <w:color w:val="231F20"/>
          <w:spacing w:val="-15"/>
          <w:w w:val="105"/>
        </w:rPr>
        <w:t> </w:t>
      </w:r>
      <w:r>
        <w:rPr>
          <w:color w:val="231F20"/>
          <w:w w:val="105"/>
        </w:rPr>
        <w:t>número</w:t>
      </w:r>
      <w:r>
        <w:rPr>
          <w:color w:val="231F20"/>
          <w:spacing w:val="-15"/>
          <w:w w:val="105"/>
        </w:rPr>
        <w:t> </w:t>
      </w:r>
      <w:r>
        <w:rPr>
          <w:color w:val="231F20"/>
          <w:w w:val="105"/>
        </w:rPr>
        <w:t>3449</w:t>
      </w:r>
      <w:r>
        <w:rPr>
          <w:color w:val="231F20"/>
          <w:spacing w:val="-15"/>
          <w:w w:val="105"/>
        </w:rPr>
        <w:t> </w:t>
      </w:r>
      <w:r>
        <w:rPr>
          <w:color w:val="231F20"/>
          <w:w w:val="105"/>
        </w:rPr>
        <w:t>(</w:t>
      </w:r>
      <w:r>
        <w:rPr>
          <w:color w:val="231F20"/>
          <w:w w:val="105"/>
          <w:sz w:val="17"/>
        </w:rPr>
        <w:t>ONU</w:t>
      </w:r>
      <w:r>
        <w:rPr>
          <w:color w:val="231F20"/>
          <w:w w:val="105"/>
        </w:rPr>
        <w:t>,</w:t>
      </w:r>
      <w:r>
        <w:rPr>
          <w:color w:val="231F20"/>
          <w:spacing w:val="-20"/>
          <w:w w:val="105"/>
        </w:rPr>
        <w:t> </w:t>
      </w:r>
      <w:r>
        <w:rPr>
          <w:color w:val="231F20"/>
          <w:w w:val="105"/>
        </w:rPr>
        <w:t>1975),</w:t>
      </w:r>
      <w:r>
        <w:rPr>
          <w:color w:val="231F20"/>
          <w:spacing w:val="-20"/>
          <w:w w:val="105"/>
        </w:rPr>
        <w:t> </w:t>
      </w:r>
      <w:r>
        <w:rPr>
          <w:color w:val="231F20"/>
          <w:w w:val="105"/>
        </w:rPr>
        <w:t>utilizaremos</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lu- gar el de “migración </w:t>
      </w:r>
      <w:r>
        <w:rPr>
          <w:color w:val="231F20"/>
          <w:spacing w:val="-3"/>
          <w:w w:val="105"/>
        </w:rPr>
        <w:t>irregular”, </w:t>
      </w:r>
      <w:r>
        <w:rPr>
          <w:color w:val="231F20"/>
          <w:w w:val="105"/>
        </w:rPr>
        <w:t>expresión adoptada universalmente por organismos</w:t>
      </w:r>
      <w:r>
        <w:rPr>
          <w:color w:val="231F20"/>
          <w:spacing w:val="-14"/>
          <w:w w:val="105"/>
        </w:rPr>
        <w:t> </w:t>
      </w:r>
      <w:r>
        <w:rPr>
          <w:color w:val="231F20"/>
          <w:w w:val="105"/>
        </w:rPr>
        <w:t>que</w:t>
      </w:r>
      <w:r>
        <w:rPr>
          <w:color w:val="231F20"/>
          <w:spacing w:val="-14"/>
          <w:w w:val="105"/>
        </w:rPr>
        <w:t> </w:t>
      </w:r>
      <w:r>
        <w:rPr>
          <w:color w:val="231F20"/>
          <w:w w:val="105"/>
        </w:rPr>
        <w:t>estudian</w:t>
      </w:r>
      <w:r>
        <w:rPr>
          <w:color w:val="231F20"/>
          <w:spacing w:val="-14"/>
          <w:w w:val="105"/>
        </w:rPr>
        <w:t> </w:t>
      </w:r>
      <w:r>
        <w:rPr>
          <w:color w:val="231F20"/>
          <w:w w:val="105"/>
        </w:rPr>
        <w:t>y</w:t>
      </w:r>
      <w:r>
        <w:rPr>
          <w:color w:val="231F20"/>
          <w:spacing w:val="-14"/>
          <w:w w:val="105"/>
        </w:rPr>
        <w:t> </w:t>
      </w:r>
      <w:r>
        <w:rPr>
          <w:color w:val="231F20"/>
          <w:w w:val="105"/>
        </w:rPr>
        <w:t>protegen</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migrantes.</w:t>
      </w:r>
    </w:p>
    <w:p>
      <w:pPr>
        <w:pStyle w:val="BodyText"/>
        <w:spacing w:line="261" w:lineRule="auto" w:before="1"/>
        <w:ind w:left="1723" w:right="1834" w:firstLine="567"/>
        <w:jc w:val="both"/>
      </w:pPr>
      <w:r>
        <w:rPr>
          <w:color w:val="231F20"/>
          <w:w w:val="105"/>
        </w:rPr>
        <w:t>Los</w:t>
      </w:r>
      <w:r>
        <w:rPr>
          <w:color w:val="231F20"/>
          <w:spacing w:val="-29"/>
          <w:w w:val="105"/>
        </w:rPr>
        <w:t> </w:t>
      </w:r>
      <w:r>
        <w:rPr>
          <w:color w:val="231F20"/>
          <w:w w:val="105"/>
        </w:rPr>
        <w:t>factores</w:t>
      </w:r>
      <w:r>
        <w:rPr>
          <w:color w:val="231F20"/>
          <w:spacing w:val="-29"/>
          <w:w w:val="105"/>
        </w:rPr>
        <w:t> </w:t>
      </w:r>
      <w:r>
        <w:rPr>
          <w:color w:val="231F20"/>
          <w:w w:val="105"/>
        </w:rPr>
        <w:t>que</w:t>
      </w:r>
      <w:r>
        <w:rPr>
          <w:color w:val="231F20"/>
          <w:spacing w:val="-29"/>
          <w:w w:val="105"/>
        </w:rPr>
        <w:t> </w:t>
      </w:r>
      <w:r>
        <w:rPr>
          <w:color w:val="231F20"/>
          <w:w w:val="105"/>
        </w:rPr>
        <w:t>alimentan</w:t>
      </w:r>
      <w:r>
        <w:rPr>
          <w:color w:val="231F20"/>
          <w:spacing w:val="-29"/>
          <w:w w:val="105"/>
        </w:rPr>
        <w:t> </w:t>
      </w:r>
      <w:r>
        <w:rPr>
          <w:color w:val="231F20"/>
          <w:w w:val="105"/>
        </w:rPr>
        <w:t>los</w:t>
      </w:r>
      <w:r>
        <w:rPr>
          <w:color w:val="231F20"/>
          <w:spacing w:val="-29"/>
          <w:w w:val="105"/>
        </w:rPr>
        <w:t> </w:t>
      </w:r>
      <w:r>
        <w:rPr>
          <w:color w:val="231F20"/>
          <w:w w:val="105"/>
        </w:rPr>
        <w:t>flujos</w:t>
      </w:r>
      <w:r>
        <w:rPr>
          <w:color w:val="231F20"/>
          <w:spacing w:val="-29"/>
          <w:w w:val="105"/>
        </w:rPr>
        <w:t> </w:t>
      </w:r>
      <w:r>
        <w:rPr>
          <w:color w:val="231F20"/>
          <w:w w:val="105"/>
        </w:rPr>
        <w:t>migratorios</w:t>
      </w:r>
      <w:r>
        <w:rPr>
          <w:color w:val="231F20"/>
          <w:spacing w:val="-29"/>
          <w:w w:val="105"/>
        </w:rPr>
        <w:t> </w:t>
      </w:r>
      <w:r>
        <w:rPr>
          <w:color w:val="231F20"/>
          <w:w w:val="105"/>
        </w:rPr>
        <w:t>irregulares</w:t>
      </w:r>
      <w:r>
        <w:rPr>
          <w:color w:val="231F20"/>
          <w:spacing w:val="-29"/>
          <w:w w:val="105"/>
        </w:rPr>
        <w:t> </w:t>
      </w:r>
      <w:r>
        <w:rPr>
          <w:color w:val="231F20"/>
          <w:w w:val="105"/>
        </w:rPr>
        <w:t>no</w:t>
      </w:r>
      <w:r>
        <w:rPr>
          <w:color w:val="231F20"/>
          <w:spacing w:val="-29"/>
          <w:w w:val="105"/>
        </w:rPr>
        <w:t> </w:t>
      </w:r>
      <w:r>
        <w:rPr>
          <w:color w:val="231F20"/>
          <w:w w:val="105"/>
        </w:rPr>
        <w:t>sue- len</w:t>
      </w:r>
      <w:r>
        <w:rPr>
          <w:color w:val="231F20"/>
          <w:spacing w:val="-17"/>
          <w:w w:val="105"/>
        </w:rPr>
        <w:t> </w:t>
      </w:r>
      <w:r>
        <w:rPr>
          <w:color w:val="231F20"/>
          <w:w w:val="105"/>
        </w:rPr>
        <w:t>ser</w:t>
      </w:r>
      <w:r>
        <w:rPr>
          <w:color w:val="231F20"/>
          <w:spacing w:val="-17"/>
          <w:w w:val="105"/>
        </w:rPr>
        <w:t> </w:t>
      </w:r>
      <w:r>
        <w:rPr>
          <w:color w:val="231F20"/>
          <w:w w:val="105"/>
        </w:rPr>
        <w:t>diferentes</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w w:val="105"/>
        </w:rPr>
        <w:t>intervienen</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17"/>
          <w:w w:val="105"/>
        </w:rPr>
        <w:t> </w:t>
      </w:r>
      <w:r>
        <w:rPr>
          <w:color w:val="231F20"/>
          <w:w w:val="105"/>
        </w:rPr>
        <w:t>regular,</w:t>
      </w:r>
      <w:r>
        <w:rPr>
          <w:color w:val="231F20"/>
          <w:spacing w:val="-22"/>
          <w:w w:val="105"/>
        </w:rPr>
        <w:t> </w:t>
      </w:r>
      <w:r>
        <w:rPr>
          <w:color w:val="231F20"/>
          <w:w w:val="105"/>
        </w:rPr>
        <w:t>pues</w:t>
      </w:r>
      <w:r>
        <w:rPr>
          <w:color w:val="231F20"/>
          <w:spacing w:val="-17"/>
          <w:w w:val="105"/>
        </w:rPr>
        <w:t> </w:t>
      </w:r>
      <w:r>
        <w:rPr>
          <w:color w:val="231F20"/>
          <w:w w:val="105"/>
        </w:rPr>
        <w:t>am- bos tipos de desplazamiento son consecuencia de múltiples dinámicas sociales</w:t>
      </w:r>
      <w:r>
        <w:rPr>
          <w:color w:val="231F20"/>
          <w:spacing w:val="-19"/>
          <w:w w:val="105"/>
        </w:rPr>
        <w:t> </w:t>
      </w:r>
      <w:r>
        <w:rPr>
          <w:color w:val="231F20"/>
          <w:w w:val="105"/>
        </w:rPr>
        <w:t>y</w:t>
      </w:r>
      <w:r>
        <w:rPr>
          <w:color w:val="231F20"/>
          <w:spacing w:val="-19"/>
          <w:w w:val="105"/>
        </w:rPr>
        <w:t> </w:t>
      </w:r>
      <w:r>
        <w:rPr>
          <w:color w:val="231F20"/>
          <w:w w:val="105"/>
        </w:rPr>
        <w:t>económicas,</w:t>
      </w:r>
      <w:r>
        <w:rPr>
          <w:color w:val="231F20"/>
          <w:spacing w:val="-23"/>
          <w:w w:val="105"/>
        </w:rPr>
        <w:t> </w:t>
      </w:r>
      <w:r>
        <w:rPr>
          <w:color w:val="231F20"/>
          <w:w w:val="105"/>
        </w:rPr>
        <w:t>interrelacionadas,</w:t>
      </w:r>
      <w:r>
        <w:rPr>
          <w:color w:val="231F20"/>
          <w:spacing w:val="-23"/>
          <w:w w:val="105"/>
        </w:rPr>
        <w:t> </w:t>
      </w:r>
      <w:r>
        <w:rPr>
          <w:color w:val="231F20"/>
          <w:w w:val="105"/>
        </w:rPr>
        <w:t>que</w:t>
      </w:r>
      <w:r>
        <w:rPr>
          <w:color w:val="231F20"/>
          <w:spacing w:val="-19"/>
          <w:w w:val="105"/>
        </w:rPr>
        <w:t> </w:t>
      </w:r>
      <w:r>
        <w:rPr>
          <w:color w:val="231F20"/>
          <w:w w:val="105"/>
        </w:rPr>
        <w:t>operan</w:t>
      </w:r>
      <w:r>
        <w:rPr>
          <w:color w:val="231F20"/>
          <w:spacing w:val="-19"/>
          <w:w w:val="105"/>
        </w:rPr>
        <w:t> </w:t>
      </w:r>
      <w:r>
        <w:rPr>
          <w:color w:val="231F20"/>
          <w:w w:val="105"/>
        </w:rPr>
        <w:t>en</w:t>
      </w:r>
      <w:r>
        <w:rPr>
          <w:color w:val="231F20"/>
          <w:spacing w:val="-19"/>
          <w:w w:val="105"/>
        </w:rPr>
        <w:t> </w:t>
      </w:r>
      <w:r>
        <w:rPr>
          <w:color w:val="231F20"/>
          <w:w w:val="105"/>
        </w:rPr>
        <w:t>nuestro</w:t>
      </w:r>
      <w:r>
        <w:rPr>
          <w:color w:val="231F20"/>
          <w:spacing w:val="-19"/>
          <w:w w:val="105"/>
        </w:rPr>
        <w:t> </w:t>
      </w:r>
      <w:r>
        <w:rPr>
          <w:color w:val="231F20"/>
          <w:w w:val="105"/>
        </w:rPr>
        <w:t>mundo globalizado.</w:t>
      </w:r>
      <w:r>
        <w:rPr>
          <w:color w:val="231F20"/>
          <w:spacing w:val="-16"/>
          <w:w w:val="105"/>
        </w:rPr>
        <w:t> </w:t>
      </w:r>
      <w:r>
        <w:rPr>
          <w:color w:val="231F20"/>
          <w:w w:val="105"/>
        </w:rPr>
        <w:t>Mas</w:t>
      </w:r>
      <w:r>
        <w:rPr>
          <w:color w:val="231F20"/>
          <w:spacing w:val="-10"/>
          <w:w w:val="105"/>
        </w:rPr>
        <w:t> </w:t>
      </w:r>
      <w:r>
        <w:rPr>
          <w:color w:val="231F20"/>
          <w:w w:val="105"/>
        </w:rPr>
        <w:t>a</w:t>
      </w:r>
      <w:r>
        <w:rPr>
          <w:color w:val="231F20"/>
          <w:spacing w:val="-10"/>
          <w:w w:val="105"/>
        </w:rPr>
        <w:t> </w:t>
      </w:r>
      <w:r>
        <w:rPr>
          <w:color w:val="231F20"/>
          <w:w w:val="105"/>
        </w:rPr>
        <w:t>diferencia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segunda,</w:t>
      </w:r>
      <w:r>
        <w:rPr>
          <w:color w:val="231F20"/>
          <w:spacing w:val="-16"/>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que</w:t>
      </w:r>
      <w:r>
        <w:rPr>
          <w:color w:val="231F20"/>
          <w:spacing w:val="-10"/>
          <w:w w:val="105"/>
        </w:rPr>
        <w:t> </w:t>
      </w:r>
      <w:r>
        <w:rPr>
          <w:color w:val="231F20"/>
          <w:w w:val="105"/>
        </w:rPr>
        <w:t>existe</w:t>
      </w:r>
      <w:r>
        <w:rPr>
          <w:color w:val="231F20"/>
          <w:spacing w:val="-10"/>
          <w:w w:val="105"/>
        </w:rPr>
        <w:t> </w:t>
      </w:r>
      <w:r>
        <w:rPr>
          <w:color w:val="231F20"/>
          <w:w w:val="105"/>
        </w:rPr>
        <w:t>cierto</w:t>
      </w:r>
      <w:r>
        <w:rPr>
          <w:color w:val="231F20"/>
          <w:spacing w:val="-10"/>
          <w:w w:val="105"/>
        </w:rPr>
        <w:t> </w:t>
      </w:r>
      <w:r>
        <w:rPr>
          <w:color w:val="231F20"/>
          <w:w w:val="105"/>
        </w:rPr>
        <w:t>con- trol, la migración irregular motiva temores profundos, políticas de con- tención</w:t>
      </w:r>
      <w:r>
        <w:rPr>
          <w:color w:val="231F20"/>
          <w:spacing w:val="-21"/>
          <w:w w:val="105"/>
        </w:rPr>
        <w:t> </w:t>
      </w:r>
      <w:r>
        <w:rPr>
          <w:color w:val="231F20"/>
          <w:w w:val="105"/>
        </w:rPr>
        <w:t>sofisticadas</w:t>
      </w:r>
      <w:r>
        <w:rPr>
          <w:color w:val="231F20"/>
          <w:spacing w:val="-21"/>
          <w:w w:val="105"/>
        </w:rPr>
        <w:t> </w:t>
      </w:r>
      <w:r>
        <w:rPr>
          <w:color w:val="231F20"/>
          <w:w w:val="105"/>
        </w:rPr>
        <w:t>y</w:t>
      </w:r>
      <w:r>
        <w:rPr>
          <w:color w:val="231F20"/>
          <w:spacing w:val="-21"/>
          <w:w w:val="105"/>
        </w:rPr>
        <w:t> </w:t>
      </w:r>
      <w:r>
        <w:rPr>
          <w:color w:val="231F20"/>
          <w:w w:val="105"/>
        </w:rPr>
        <w:t>debates</w:t>
      </w:r>
      <w:r>
        <w:rPr>
          <w:color w:val="231F20"/>
          <w:spacing w:val="-21"/>
          <w:w w:val="105"/>
        </w:rPr>
        <w:t> </w:t>
      </w:r>
      <w:r>
        <w:rPr>
          <w:color w:val="231F20"/>
          <w:w w:val="105"/>
        </w:rPr>
        <w:t>cada</w:t>
      </w:r>
      <w:r>
        <w:rPr>
          <w:color w:val="231F20"/>
          <w:spacing w:val="-21"/>
          <w:w w:val="105"/>
        </w:rPr>
        <w:t> </w:t>
      </w:r>
      <w:r>
        <w:rPr>
          <w:color w:val="231F20"/>
          <w:w w:val="105"/>
        </w:rPr>
        <w:t>vez</w:t>
      </w:r>
      <w:r>
        <w:rPr>
          <w:color w:val="231F20"/>
          <w:spacing w:val="-21"/>
          <w:w w:val="105"/>
        </w:rPr>
        <w:t> </w:t>
      </w:r>
      <w:r>
        <w:rPr>
          <w:color w:val="231F20"/>
          <w:w w:val="105"/>
        </w:rPr>
        <w:t>más</w:t>
      </w:r>
      <w:r>
        <w:rPr>
          <w:color w:val="231F20"/>
          <w:spacing w:val="-21"/>
          <w:w w:val="105"/>
        </w:rPr>
        <w:t> </w:t>
      </w:r>
      <w:r>
        <w:rPr>
          <w:color w:val="231F20"/>
          <w:w w:val="105"/>
        </w:rPr>
        <w:t>apasionados</w:t>
      </w:r>
      <w:r>
        <w:rPr>
          <w:color w:val="231F20"/>
          <w:spacing w:val="-21"/>
          <w:w w:val="105"/>
        </w:rPr>
        <w:t> </w:t>
      </w:r>
      <w:r>
        <w:rPr>
          <w:color w:val="231F20"/>
          <w:w w:val="105"/>
        </w:rPr>
        <w:t>entre</w:t>
      </w:r>
      <w:r>
        <w:rPr>
          <w:color w:val="231F20"/>
          <w:spacing w:val="-21"/>
          <w:w w:val="105"/>
        </w:rPr>
        <w:t> </w:t>
      </w:r>
      <w:r>
        <w:rPr>
          <w:color w:val="231F20"/>
          <w:w w:val="105"/>
        </w:rPr>
        <w:t>diversos países.</w:t>
      </w:r>
      <w:r>
        <w:rPr>
          <w:color w:val="231F20"/>
          <w:spacing w:val="-12"/>
          <w:w w:val="105"/>
        </w:rPr>
        <w:t> </w:t>
      </w:r>
      <w:r>
        <w:rPr>
          <w:color w:val="231F20"/>
          <w:w w:val="105"/>
        </w:rPr>
        <w:t>La</w:t>
      </w:r>
      <w:r>
        <w:rPr>
          <w:color w:val="231F20"/>
          <w:spacing w:val="-7"/>
          <w:w w:val="105"/>
        </w:rPr>
        <w:t> </w:t>
      </w:r>
      <w:r>
        <w:rPr>
          <w:color w:val="231F20"/>
          <w:w w:val="105"/>
        </w:rPr>
        <w:t>migración</w:t>
      </w:r>
      <w:r>
        <w:rPr>
          <w:color w:val="231F20"/>
          <w:spacing w:val="-7"/>
          <w:w w:val="105"/>
        </w:rPr>
        <w:t> </w:t>
      </w:r>
      <w:r>
        <w:rPr>
          <w:color w:val="231F20"/>
          <w:w w:val="105"/>
        </w:rPr>
        <w:t>irregular</w:t>
      </w:r>
      <w:r>
        <w:rPr>
          <w:color w:val="231F20"/>
          <w:spacing w:val="-7"/>
          <w:w w:val="105"/>
        </w:rPr>
        <w:t> </w:t>
      </w:r>
      <w:r>
        <w:rPr>
          <w:color w:val="231F20"/>
          <w:w w:val="105"/>
        </w:rPr>
        <w:t>de</w:t>
      </w:r>
      <w:r>
        <w:rPr>
          <w:color w:val="231F20"/>
          <w:spacing w:val="-7"/>
          <w:w w:val="105"/>
        </w:rPr>
        <w:t> </w:t>
      </w:r>
      <w:r>
        <w:rPr>
          <w:color w:val="231F20"/>
          <w:w w:val="105"/>
        </w:rPr>
        <w:t>personas</w:t>
      </w:r>
      <w:r>
        <w:rPr>
          <w:color w:val="231F20"/>
          <w:spacing w:val="-7"/>
          <w:w w:val="105"/>
        </w:rPr>
        <w:t> </w:t>
      </w:r>
      <w:r>
        <w:rPr>
          <w:color w:val="231F20"/>
          <w:w w:val="105"/>
        </w:rPr>
        <w:t>es</w:t>
      </w:r>
      <w:r>
        <w:rPr>
          <w:color w:val="231F20"/>
          <w:spacing w:val="-7"/>
          <w:w w:val="105"/>
        </w:rPr>
        <w:t> </w:t>
      </w:r>
      <w:r>
        <w:rPr>
          <w:color w:val="231F20"/>
          <w:w w:val="105"/>
        </w:rPr>
        <w:t>percibida</w:t>
      </w:r>
      <w:r>
        <w:rPr>
          <w:color w:val="231F20"/>
          <w:spacing w:val="-7"/>
          <w:w w:val="105"/>
        </w:rPr>
        <w:t> </w:t>
      </w:r>
      <w:r>
        <w:rPr>
          <w:color w:val="231F20"/>
          <w:w w:val="105"/>
        </w:rPr>
        <w:t>por</w:t>
      </w:r>
      <w:r>
        <w:rPr>
          <w:color w:val="231F20"/>
          <w:spacing w:val="-7"/>
          <w:w w:val="105"/>
        </w:rPr>
        <w:t> </w:t>
      </w:r>
      <w:r>
        <w:rPr>
          <w:color w:val="231F20"/>
          <w:w w:val="105"/>
        </w:rPr>
        <w:t>los</w:t>
      </w:r>
      <w:r>
        <w:rPr>
          <w:color w:val="231F20"/>
          <w:spacing w:val="-7"/>
          <w:w w:val="105"/>
        </w:rPr>
        <w:t> </w:t>
      </w:r>
      <w:r>
        <w:rPr>
          <w:color w:val="231F20"/>
          <w:w w:val="105"/>
        </w:rPr>
        <w:t>Estados como</w:t>
      </w:r>
      <w:r>
        <w:rPr>
          <w:color w:val="231F20"/>
          <w:spacing w:val="-19"/>
          <w:w w:val="105"/>
        </w:rPr>
        <w:t> </w:t>
      </w:r>
      <w:r>
        <w:rPr>
          <w:color w:val="231F20"/>
          <w:w w:val="105"/>
        </w:rPr>
        <w:t>una</w:t>
      </w:r>
      <w:r>
        <w:rPr>
          <w:color w:val="231F20"/>
          <w:spacing w:val="-19"/>
          <w:w w:val="105"/>
        </w:rPr>
        <w:t> </w:t>
      </w:r>
      <w:r>
        <w:rPr>
          <w:color w:val="231F20"/>
          <w:w w:val="105"/>
        </w:rPr>
        <w:t>anomalía,</w:t>
      </w:r>
      <w:r>
        <w:rPr>
          <w:color w:val="231F20"/>
          <w:spacing w:val="-23"/>
          <w:w w:val="105"/>
        </w:rPr>
        <w:t> </w:t>
      </w:r>
      <w:r>
        <w:rPr>
          <w:color w:val="231F20"/>
          <w:w w:val="105"/>
        </w:rPr>
        <w:t>una</w:t>
      </w:r>
      <w:r>
        <w:rPr>
          <w:color w:val="231F20"/>
          <w:spacing w:val="-19"/>
          <w:w w:val="105"/>
        </w:rPr>
        <w:t> </w:t>
      </w:r>
      <w:r>
        <w:rPr>
          <w:color w:val="231F20"/>
          <w:w w:val="105"/>
        </w:rPr>
        <w:t>amenaza</w:t>
      </w:r>
      <w:r>
        <w:rPr>
          <w:color w:val="231F20"/>
          <w:spacing w:val="-19"/>
          <w:w w:val="105"/>
        </w:rPr>
        <w:t> </w:t>
      </w:r>
      <w:r>
        <w:rPr>
          <w:color w:val="231F20"/>
          <w:w w:val="105"/>
        </w:rPr>
        <w:t>que</w:t>
      </w:r>
      <w:r>
        <w:rPr>
          <w:color w:val="231F20"/>
          <w:spacing w:val="-19"/>
          <w:w w:val="105"/>
        </w:rPr>
        <w:t> </w:t>
      </w:r>
      <w:r>
        <w:rPr>
          <w:color w:val="231F20"/>
          <w:w w:val="105"/>
        </w:rPr>
        <w:t>genera</w:t>
      </w:r>
      <w:r>
        <w:rPr>
          <w:color w:val="231F20"/>
          <w:spacing w:val="-19"/>
          <w:w w:val="105"/>
        </w:rPr>
        <w:t> </w:t>
      </w:r>
      <w:r>
        <w:rPr>
          <w:color w:val="231F20"/>
          <w:w w:val="105"/>
        </w:rPr>
        <w:t>incertidumbre.</w:t>
      </w:r>
    </w:p>
    <w:p>
      <w:pPr>
        <w:pStyle w:val="BodyText"/>
        <w:spacing w:line="261" w:lineRule="auto" w:before="1"/>
        <w:ind w:left="1723" w:right="1830" w:firstLine="567"/>
        <w:jc w:val="both"/>
      </w:pPr>
      <w:r>
        <w:rPr>
          <w:color w:val="231F20"/>
          <w:w w:val="105"/>
        </w:rPr>
        <w:t>La</w:t>
      </w:r>
      <w:r>
        <w:rPr>
          <w:color w:val="231F20"/>
          <w:spacing w:val="-28"/>
          <w:w w:val="105"/>
        </w:rPr>
        <w:t> </w:t>
      </w:r>
      <w:r>
        <w:rPr>
          <w:color w:val="231F20"/>
          <w:w w:val="105"/>
        </w:rPr>
        <w:t>preocupación</w:t>
      </w:r>
      <w:r>
        <w:rPr>
          <w:color w:val="231F20"/>
          <w:spacing w:val="-28"/>
          <w:w w:val="105"/>
        </w:rPr>
        <w:t> </w:t>
      </w:r>
      <w:r>
        <w:rPr>
          <w:color w:val="231F20"/>
          <w:w w:val="105"/>
        </w:rPr>
        <w:t>que</w:t>
      </w:r>
      <w:r>
        <w:rPr>
          <w:color w:val="231F20"/>
          <w:spacing w:val="-28"/>
          <w:w w:val="105"/>
        </w:rPr>
        <w:t> </w:t>
      </w:r>
      <w:r>
        <w:rPr>
          <w:color w:val="231F20"/>
          <w:w w:val="105"/>
        </w:rPr>
        <w:t>provoca</w:t>
      </w:r>
      <w:r>
        <w:rPr>
          <w:color w:val="231F20"/>
          <w:spacing w:val="-28"/>
          <w:w w:val="105"/>
        </w:rPr>
        <w:t> </w:t>
      </w:r>
      <w:r>
        <w:rPr>
          <w:color w:val="231F20"/>
          <w:w w:val="105"/>
        </w:rPr>
        <w:t>la</w:t>
      </w:r>
      <w:r>
        <w:rPr>
          <w:color w:val="231F20"/>
          <w:spacing w:val="-28"/>
          <w:w w:val="105"/>
        </w:rPr>
        <w:t> </w:t>
      </w:r>
      <w:r>
        <w:rPr>
          <w:color w:val="231F20"/>
          <w:w w:val="105"/>
        </w:rPr>
        <w:t>migración</w:t>
      </w:r>
      <w:r>
        <w:rPr>
          <w:color w:val="231F20"/>
          <w:spacing w:val="-28"/>
          <w:w w:val="105"/>
        </w:rPr>
        <w:t> </w:t>
      </w:r>
      <w:r>
        <w:rPr>
          <w:color w:val="231F20"/>
          <w:w w:val="105"/>
        </w:rPr>
        <w:t>en</w:t>
      </w:r>
      <w:r>
        <w:rPr>
          <w:color w:val="231F20"/>
          <w:spacing w:val="-28"/>
          <w:w w:val="105"/>
        </w:rPr>
        <w:t> </w:t>
      </w:r>
      <w:r>
        <w:rPr>
          <w:color w:val="231F20"/>
          <w:w w:val="105"/>
        </w:rPr>
        <w:t>los</w:t>
      </w:r>
      <w:r>
        <w:rPr>
          <w:color w:val="231F20"/>
          <w:spacing w:val="-28"/>
          <w:w w:val="105"/>
        </w:rPr>
        <w:t> </w:t>
      </w:r>
      <w:r>
        <w:rPr>
          <w:color w:val="231F20"/>
          <w:w w:val="105"/>
        </w:rPr>
        <w:t>países</w:t>
      </w:r>
      <w:r>
        <w:rPr>
          <w:color w:val="231F20"/>
          <w:spacing w:val="-28"/>
          <w:w w:val="105"/>
        </w:rPr>
        <w:t> </w:t>
      </w:r>
      <w:r>
        <w:rPr>
          <w:color w:val="231F20"/>
          <w:w w:val="105"/>
        </w:rPr>
        <w:t>desarrolla- dos</w:t>
      </w:r>
      <w:r>
        <w:rPr>
          <w:color w:val="231F20"/>
          <w:spacing w:val="-15"/>
          <w:w w:val="105"/>
        </w:rPr>
        <w:t> </w:t>
      </w:r>
      <w:r>
        <w:rPr>
          <w:color w:val="231F20"/>
          <w:w w:val="105"/>
        </w:rPr>
        <w:t>tiene</w:t>
      </w:r>
      <w:r>
        <w:rPr>
          <w:color w:val="231F20"/>
          <w:spacing w:val="-15"/>
          <w:w w:val="105"/>
        </w:rPr>
        <w:t> </w:t>
      </w:r>
      <w:r>
        <w:rPr>
          <w:color w:val="231F20"/>
          <w:w w:val="105"/>
        </w:rPr>
        <w:t>que</w:t>
      </w:r>
      <w:r>
        <w:rPr>
          <w:color w:val="231F20"/>
          <w:spacing w:val="-15"/>
          <w:w w:val="105"/>
        </w:rPr>
        <w:t> </w:t>
      </w:r>
      <w:r>
        <w:rPr>
          <w:color w:val="231F20"/>
          <w:w w:val="105"/>
        </w:rPr>
        <w:t>ver</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permanencia</w:t>
      </w:r>
      <w:r>
        <w:rPr>
          <w:color w:val="231F20"/>
          <w:spacing w:val="-15"/>
          <w:w w:val="105"/>
        </w:rPr>
        <w:t> </w:t>
      </w:r>
      <w:r>
        <w:rPr>
          <w:color w:val="231F20"/>
          <w:w w:val="105"/>
        </w:rPr>
        <w:t>de</w:t>
      </w:r>
      <w:r>
        <w:rPr>
          <w:color w:val="231F20"/>
          <w:spacing w:val="-15"/>
          <w:w w:val="105"/>
        </w:rPr>
        <w:t> </w:t>
      </w:r>
      <w:r>
        <w:rPr>
          <w:color w:val="231F20"/>
          <w:w w:val="105"/>
        </w:rPr>
        <w:t>estereotipos</w:t>
      </w:r>
      <w:r>
        <w:rPr>
          <w:color w:val="231F20"/>
          <w:spacing w:val="-15"/>
          <w:w w:val="105"/>
        </w:rPr>
        <w:t> </w:t>
      </w:r>
      <w:r>
        <w:rPr>
          <w:color w:val="231F20"/>
          <w:w w:val="105"/>
        </w:rPr>
        <w:t>negativos</w:t>
      </w:r>
      <w:r>
        <w:rPr>
          <w:color w:val="231F20"/>
          <w:spacing w:val="-15"/>
          <w:w w:val="105"/>
        </w:rPr>
        <w:t> </w:t>
      </w:r>
      <w:r>
        <w:rPr>
          <w:color w:val="231F20"/>
          <w:w w:val="105"/>
        </w:rPr>
        <w:t>sobre</w:t>
      </w:r>
      <w:r>
        <w:rPr>
          <w:color w:val="231F20"/>
          <w:spacing w:val="-15"/>
          <w:w w:val="105"/>
        </w:rPr>
        <w:t> </w:t>
      </w:r>
      <w:r>
        <w:rPr>
          <w:color w:val="231F20"/>
          <w:w w:val="105"/>
        </w:rPr>
        <w:t>el migrante,</w:t>
      </w:r>
      <w:r>
        <w:rPr>
          <w:color w:val="231F20"/>
          <w:spacing w:val="-10"/>
          <w:w w:val="105"/>
        </w:rPr>
        <w:t> </w:t>
      </w:r>
      <w:r>
        <w:rPr>
          <w:color w:val="231F20"/>
          <w:w w:val="105"/>
        </w:rPr>
        <w:t>reforzados</w:t>
      </w:r>
      <w:r>
        <w:rPr>
          <w:color w:val="231F20"/>
          <w:spacing w:val="-4"/>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aumento</w:t>
      </w:r>
      <w:r>
        <w:rPr>
          <w:color w:val="231F20"/>
          <w:spacing w:val="-4"/>
          <w:w w:val="105"/>
        </w:rPr>
        <w:t> </w:t>
      </w:r>
      <w:r>
        <w:rPr>
          <w:color w:val="231F20"/>
          <w:w w:val="105"/>
        </w:rPr>
        <w:t>de</w:t>
      </w:r>
      <w:r>
        <w:rPr>
          <w:color w:val="231F20"/>
          <w:spacing w:val="-4"/>
          <w:w w:val="105"/>
        </w:rPr>
        <w:t> </w:t>
      </w:r>
      <w:r>
        <w:rPr>
          <w:color w:val="231F20"/>
          <w:w w:val="105"/>
        </w:rPr>
        <w:t>personas</w:t>
      </w:r>
      <w:r>
        <w:rPr>
          <w:color w:val="231F20"/>
          <w:spacing w:val="-4"/>
          <w:w w:val="105"/>
        </w:rPr>
        <w:t> </w:t>
      </w:r>
      <w:r>
        <w:rPr>
          <w:color w:val="231F20"/>
          <w:w w:val="105"/>
        </w:rPr>
        <w:t>que</w:t>
      </w:r>
      <w:r>
        <w:rPr>
          <w:color w:val="231F20"/>
          <w:spacing w:val="-4"/>
          <w:w w:val="105"/>
        </w:rPr>
        <w:t> </w:t>
      </w:r>
      <w:r>
        <w:rPr>
          <w:color w:val="231F20"/>
          <w:w w:val="105"/>
        </w:rPr>
        <w:t>migran.</w:t>
      </w:r>
      <w:r>
        <w:rPr>
          <w:color w:val="231F20"/>
          <w:spacing w:val="-13"/>
          <w:w w:val="105"/>
        </w:rPr>
        <w:t> </w:t>
      </w:r>
      <w:r>
        <w:rPr>
          <w:color w:val="231F20"/>
          <w:w w:val="105"/>
        </w:rPr>
        <w:t>Además, se</w:t>
      </w:r>
      <w:r>
        <w:rPr>
          <w:color w:val="231F20"/>
          <w:spacing w:val="-17"/>
          <w:w w:val="105"/>
        </w:rPr>
        <w:t> </w:t>
      </w:r>
      <w:r>
        <w:rPr>
          <w:color w:val="231F20"/>
          <w:w w:val="105"/>
        </w:rPr>
        <w:t>han</w:t>
      </w:r>
      <w:r>
        <w:rPr>
          <w:color w:val="231F20"/>
          <w:spacing w:val="-17"/>
          <w:w w:val="105"/>
        </w:rPr>
        <w:t> </w:t>
      </w:r>
      <w:r>
        <w:rPr>
          <w:color w:val="231F20"/>
          <w:w w:val="105"/>
        </w:rPr>
        <w:t>incrementado</w:t>
      </w:r>
      <w:r>
        <w:rPr>
          <w:color w:val="231F20"/>
          <w:spacing w:val="-17"/>
          <w:w w:val="105"/>
        </w:rPr>
        <w:t> </w:t>
      </w:r>
      <w:r>
        <w:rPr>
          <w:color w:val="231F20"/>
          <w:w w:val="105"/>
        </w:rPr>
        <w:t>los</w:t>
      </w:r>
      <w:r>
        <w:rPr>
          <w:color w:val="231F20"/>
          <w:spacing w:val="-17"/>
          <w:w w:val="105"/>
        </w:rPr>
        <w:t> </w:t>
      </w:r>
      <w:r>
        <w:rPr>
          <w:color w:val="231F20"/>
          <w:w w:val="105"/>
        </w:rPr>
        <w:t>grupos</w:t>
      </w:r>
      <w:r>
        <w:rPr>
          <w:color w:val="231F20"/>
          <w:spacing w:val="-17"/>
          <w:w w:val="105"/>
        </w:rPr>
        <w:t> </w:t>
      </w:r>
      <w:r>
        <w:rPr>
          <w:color w:val="231F20"/>
          <w:w w:val="105"/>
        </w:rPr>
        <w:t>vulnerables</w:t>
      </w:r>
      <w:r>
        <w:rPr>
          <w:color w:val="231F20"/>
          <w:spacing w:val="-17"/>
          <w:w w:val="105"/>
        </w:rPr>
        <w:t> </w:t>
      </w:r>
      <w:r>
        <w:rPr>
          <w:color w:val="231F20"/>
          <w:w w:val="105"/>
        </w:rPr>
        <w:t>que</w:t>
      </w:r>
      <w:r>
        <w:rPr>
          <w:color w:val="231F20"/>
          <w:spacing w:val="-17"/>
          <w:w w:val="105"/>
        </w:rPr>
        <w:t> </w:t>
      </w:r>
      <w:r>
        <w:rPr>
          <w:color w:val="231F20"/>
          <w:w w:val="105"/>
        </w:rPr>
        <w:t>tienen</w:t>
      </w:r>
      <w:r>
        <w:rPr>
          <w:color w:val="231F20"/>
          <w:spacing w:val="-17"/>
          <w:w w:val="105"/>
        </w:rPr>
        <w:t> </w:t>
      </w:r>
      <w:r>
        <w:rPr>
          <w:color w:val="231F20"/>
          <w:w w:val="105"/>
        </w:rPr>
        <w:t>necesidades</w:t>
      </w:r>
      <w:r>
        <w:rPr>
          <w:color w:val="231F20"/>
          <w:spacing w:val="-17"/>
          <w:w w:val="105"/>
        </w:rPr>
        <w:t> </w:t>
      </w:r>
      <w:r>
        <w:rPr>
          <w:color w:val="231F20"/>
          <w:w w:val="105"/>
        </w:rPr>
        <w:t>es- pecíficas,</w:t>
      </w:r>
      <w:r>
        <w:rPr>
          <w:color w:val="231F20"/>
          <w:spacing w:val="-12"/>
          <w:w w:val="105"/>
        </w:rPr>
        <w:t> </w:t>
      </w:r>
      <w:r>
        <w:rPr>
          <w:color w:val="231F20"/>
          <w:w w:val="105"/>
        </w:rPr>
        <w:t>imposibles</w:t>
      </w:r>
      <w:r>
        <w:rPr>
          <w:color w:val="231F20"/>
          <w:spacing w:val="-7"/>
          <w:w w:val="105"/>
        </w:rPr>
        <w:t> </w:t>
      </w:r>
      <w:r>
        <w:rPr>
          <w:color w:val="231F20"/>
          <w:w w:val="105"/>
        </w:rPr>
        <w:t>de</w:t>
      </w:r>
      <w:r>
        <w:rPr>
          <w:color w:val="231F20"/>
          <w:spacing w:val="-7"/>
          <w:w w:val="105"/>
        </w:rPr>
        <w:t> </w:t>
      </w:r>
      <w:r>
        <w:rPr>
          <w:color w:val="231F20"/>
          <w:w w:val="105"/>
        </w:rPr>
        <w:t>atender</w:t>
      </w:r>
      <w:r>
        <w:rPr>
          <w:color w:val="231F20"/>
          <w:spacing w:val="-7"/>
          <w:w w:val="105"/>
        </w:rPr>
        <w:t> </w:t>
      </w:r>
      <w:r>
        <w:rPr>
          <w:color w:val="231F20"/>
          <w:w w:val="105"/>
        </w:rPr>
        <w:t>por</w:t>
      </w:r>
      <w:r>
        <w:rPr>
          <w:color w:val="231F20"/>
          <w:spacing w:val="-7"/>
          <w:w w:val="105"/>
        </w:rPr>
        <w:t> </w:t>
      </w:r>
      <w:r>
        <w:rPr>
          <w:color w:val="231F20"/>
          <w:w w:val="105"/>
        </w:rPr>
        <w:t>los</w:t>
      </w:r>
      <w:r>
        <w:rPr>
          <w:color w:val="231F20"/>
          <w:spacing w:val="-7"/>
          <w:w w:val="105"/>
        </w:rPr>
        <w:t> </w:t>
      </w:r>
      <w:r>
        <w:rPr>
          <w:color w:val="231F20"/>
          <w:w w:val="105"/>
        </w:rPr>
        <w:t>países</w:t>
      </w:r>
      <w:r>
        <w:rPr>
          <w:color w:val="231F20"/>
          <w:spacing w:val="-7"/>
          <w:w w:val="105"/>
        </w:rPr>
        <w:t> </w:t>
      </w:r>
      <w:r>
        <w:rPr>
          <w:color w:val="231F20"/>
          <w:w w:val="105"/>
        </w:rPr>
        <w:t>receptores</w:t>
      </w:r>
      <w:r>
        <w:rPr>
          <w:color w:val="231F20"/>
          <w:spacing w:val="-7"/>
          <w:w w:val="105"/>
        </w:rPr>
        <w:t> </w:t>
      </w:r>
      <w:r>
        <w:rPr>
          <w:color w:val="231F20"/>
          <w:w w:val="105"/>
        </w:rPr>
        <w:t>o</w:t>
      </w:r>
      <w:r>
        <w:rPr>
          <w:color w:val="231F20"/>
          <w:spacing w:val="-7"/>
          <w:w w:val="105"/>
        </w:rPr>
        <w:t> </w:t>
      </w:r>
      <w:r>
        <w:rPr>
          <w:color w:val="231F20"/>
          <w:w w:val="105"/>
        </w:rPr>
        <w:t>de</w:t>
      </w:r>
      <w:r>
        <w:rPr>
          <w:color w:val="231F20"/>
          <w:spacing w:val="-7"/>
          <w:w w:val="105"/>
        </w:rPr>
        <w:t> </w:t>
      </w:r>
      <w:r>
        <w:rPr>
          <w:color w:val="231F20"/>
          <w:w w:val="105"/>
        </w:rPr>
        <w:t>tránsito. Este</w:t>
      </w:r>
      <w:r>
        <w:rPr>
          <w:color w:val="231F20"/>
          <w:spacing w:val="-7"/>
          <w:w w:val="105"/>
        </w:rPr>
        <w:t> </w:t>
      </w:r>
      <w:r>
        <w:rPr>
          <w:color w:val="231F20"/>
          <w:w w:val="105"/>
        </w:rPr>
        <w:t>es</w:t>
      </w:r>
      <w:r>
        <w:rPr>
          <w:color w:val="231F20"/>
          <w:spacing w:val="-7"/>
          <w:w w:val="105"/>
        </w:rPr>
        <w:t> </w:t>
      </w:r>
      <w:r>
        <w:rPr>
          <w:color w:val="231F20"/>
          <w:w w:val="105"/>
        </w:rPr>
        <w:t>precisamente</w:t>
      </w:r>
      <w:r>
        <w:rPr>
          <w:color w:val="231F20"/>
          <w:spacing w:val="-7"/>
          <w:w w:val="105"/>
        </w:rPr>
        <w:t> </w:t>
      </w:r>
      <w:r>
        <w:rPr>
          <w:color w:val="231F20"/>
          <w:w w:val="105"/>
        </w:rPr>
        <w:t>el</w:t>
      </w:r>
      <w:r>
        <w:rPr>
          <w:color w:val="231F20"/>
          <w:spacing w:val="-7"/>
          <w:w w:val="105"/>
        </w:rPr>
        <w:t> </w:t>
      </w:r>
      <w:r>
        <w:rPr>
          <w:color w:val="231F20"/>
          <w:w w:val="105"/>
        </w:rPr>
        <w:t>caso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niñas,</w:t>
      </w:r>
      <w:r>
        <w:rPr>
          <w:color w:val="231F20"/>
          <w:spacing w:val="-12"/>
          <w:w w:val="105"/>
        </w:rPr>
        <w:t> </w:t>
      </w:r>
      <w:r>
        <w:rPr>
          <w:color w:val="231F20"/>
          <w:w w:val="105"/>
        </w:rPr>
        <w:t>los</w:t>
      </w:r>
      <w:r>
        <w:rPr>
          <w:color w:val="231F20"/>
          <w:spacing w:val="-7"/>
          <w:w w:val="105"/>
        </w:rPr>
        <w:t> </w:t>
      </w:r>
      <w:r>
        <w:rPr>
          <w:color w:val="231F20"/>
          <w:w w:val="105"/>
        </w:rPr>
        <w:t>niños</w:t>
      </w:r>
      <w:r>
        <w:rPr>
          <w:color w:val="231F20"/>
          <w:spacing w:val="-7"/>
          <w:w w:val="105"/>
        </w:rPr>
        <w:t> </w:t>
      </w:r>
      <w:r>
        <w:rPr>
          <w:color w:val="231F20"/>
          <w:w w:val="105"/>
        </w:rPr>
        <w:t>y</w:t>
      </w:r>
      <w:r>
        <w:rPr>
          <w:color w:val="231F20"/>
          <w:spacing w:val="-7"/>
          <w:w w:val="105"/>
        </w:rPr>
        <w:t> </w:t>
      </w:r>
      <w:r>
        <w:rPr>
          <w:color w:val="231F20"/>
          <w:w w:val="105"/>
        </w:rPr>
        <w:t>adolescentes</w:t>
      </w:r>
      <w:r>
        <w:rPr>
          <w:color w:val="231F20"/>
          <w:spacing w:val="-7"/>
          <w:w w:val="105"/>
        </w:rPr>
        <w:t> </w:t>
      </w:r>
      <w:r>
        <w:rPr>
          <w:color w:val="231F20"/>
          <w:w w:val="105"/>
        </w:rPr>
        <w:t>(en adelante</w:t>
      </w:r>
      <w:r>
        <w:rPr>
          <w:color w:val="231F20"/>
          <w:spacing w:val="-22"/>
          <w:w w:val="105"/>
        </w:rPr>
        <w:t> </w:t>
      </w:r>
      <w:r>
        <w:rPr>
          <w:color w:val="231F20"/>
          <w:w w:val="105"/>
          <w:sz w:val="17"/>
        </w:rPr>
        <w:t>NNA</w:t>
      </w:r>
      <w:r>
        <w:rPr>
          <w:color w:val="231F20"/>
          <w:w w:val="105"/>
        </w:rPr>
        <w:t>),</w:t>
      </w:r>
      <w:r>
        <w:rPr>
          <w:color w:val="231F20"/>
          <w:spacing w:val="-28"/>
          <w:w w:val="105"/>
        </w:rPr>
        <w:t> </w:t>
      </w:r>
      <w:r>
        <w:rPr>
          <w:color w:val="231F20"/>
          <w:w w:val="105"/>
        </w:rPr>
        <w:t>migrantes</w:t>
      </w:r>
      <w:r>
        <w:rPr>
          <w:color w:val="231F20"/>
          <w:spacing w:val="-22"/>
          <w:w w:val="105"/>
        </w:rPr>
        <w:t> </w:t>
      </w:r>
      <w:r>
        <w:rPr>
          <w:color w:val="231F20"/>
          <w:w w:val="105"/>
        </w:rPr>
        <w:t>irregulares</w:t>
      </w:r>
      <w:r>
        <w:rPr>
          <w:color w:val="231F20"/>
          <w:spacing w:val="-22"/>
          <w:w w:val="105"/>
        </w:rPr>
        <w:t> </w:t>
      </w:r>
      <w:r>
        <w:rPr>
          <w:color w:val="231F20"/>
          <w:w w:val="105"/>
        </w:rPr>
        <w:t>no</w:t>
      </w:r>
      <w:r>
        <w:rPr>
          <w:color w:val="231F20"/>
          <w:spacing w:val="-22"/>
          <w:w w:val="105"/>
        </w:rPr>
        <w:t> </w:t>
      </w:r>
      <w:r>
        <w:rPr>
          <w:color w:val="231F20"/>
          <w:w w:val="105"/>
        </w:rPr>
        <w:t>acompañados.</w:t>
      </w:r>
      <w:r>
        <w:rPr>
          <w:color w:val="231F20"/>
          <w:spacing w:val="-28"/>
          <w:w w:val="105"/>
        </w:rPr>
        <w:t> </w:t>
      </w:r>
      <w:r>
        <w:rPr>
          <w:color w:val="231F20"/>
          <w:w w:val="105"/>
        </w:rPr>
        <w:t>La</w:t>
      </w:r>
      <w:r>
        <w:rPr>
          <w:color w:val="231F20"/>
          <w:spacing w:val="-22"/>
          <w:w w:val="105"/>
        </w:rPr>
        <w:t> </w:t>
      </w:r>
      <w:r>
        <w:rPr>
          <w:color w:val="231F20"/>
          <w:w w:val="105"/>
        </w:rPr>
        <w:t>percepción</w:t>
      </w:r>
      <w:r>
        <w:rPr>
          <w:color w:val="231F20"/>
          <w:spacing w:val="-22"/>
          <w:w w:val="105"/>
        </w:rPr>
        <w:t> </w:t>
      </w:r>
      <w:r>
        <w:rPr>
          <w:color w:val="231F20"/>
          <w:w w:val="105"/>
        </w:rPr>
        <w:t>de que</w:t>
      </w:r>
      <w:r>
        <w:rPr>
          <w:color w:val="231F20"/>
          <w:spacing w:val="-5"/>
          <w:w w:val="105"/>
        </w:rPr>
        <w:t> </w:t>
      </w:r>
      <w:r>
        <w:rPr>
          <w:color w:val="231F20"/>
          <w:w w:val="105"/>
        </w:rPr>
        <w:t>han</w:t>
      </w:r>
      <w:r>
        <w:rPr>
          <w:color w:val="231F20"/>
          <w:spacing w:val="-5"/>
          <w:w w:val="105"/>
        </w:rPr>
        <w:t> </w:t>
      </w:r>
      <w:r>
        <w:rPr>
          <w:color w:val="231F20"/>
          <w:w w:val="105"/>
        </w:rPr>
        <w:t>de</w:t>
      </w:r>
      <w:r>
        <w:rPr>
          <w:color w:val="231F20"/>
          <w:spacing w:val="-5"/>
          <w:w w:val="105"/>
        </w:rPr>
        <w:t> </w:t>
      </w:r>
      <w:r>
        <w:rPr>
          <w:color w:val="231F20"/>
          <w:w w:val="105"/>
        </w:rPr>
        <w:t>desarrollarse</w:t>
      </w:r>
      <w:r>
        <w:rPr>
          <w:color w:val="231F20"/>
          <w:spacing w:val="-5"/>
          <w:w w:val="105"/>
        </w:rPr>
        <w:t> </w:t>
      </w:r>
      <w:r>
        <w:rPr>
          <w:color w:val="231F20"/>
          <w:w w:val="105"/>
        </w:rPr>
        <w:t>políticas</w:t>
      </w:r>
      <w:r>
        <w:rPr>
          <w:color w:val="231F20"/>
          <w:spacing w:val="-5"/>
          <w:w w:val="105"/>
        </w:rPr>
        <w:t> </w:t>
      </w:r>
      <w:r>
        <w:rPr>
          <w:color w:val="231F20"/>
          <w:w w:val="105"/>
        </w:rPr>
        <w:t>específicas</w:t>
      </w:r>
      <w:r>
        <w:rPr>
          <w:color w:val="231F20"/>
          <w:spacing w:val="-5"/>
          <w:w w:val="105"/>
        </w:rPr>
        <w:t> </w:t>
      </w:r>
      <w:r>
        <w:rPr>
          <w:color w:val="231F20"/>
          <w:w w:val="105"/>
        </w:rPr>
        <w:t>para</w:t>
      </w:r>
      <w:r>
        <w:rPr>
          <w:color w:val="231F20"/>
          <w:spacing w:val="-5"/>
          <w:w w:val="105"/>
        </w:rPr>
        <w:t> </w:t>
      </w:r>
      <w:r>
        <w:rPr>
          <w:color w:val="231F20"/>
          <w:w w:val="105"/>
        </w:rPr>
        <w:t>su</w:t>
      </w:r>
      <w:r>
        <w:rPr>
          <w:color w:val="231F20"/>
          <w:spacing w:val="-5"/>
          <w:w w:val="105"/>
        </w:rPr>
        <w:t> </w:t>
      </w:r>
      <w:r>
        <w:rPr>
          <w:color w:val="231F20"/>
          <w:w w:val="105"/>
        </w:rPr>
        <w:t>atención</w:t>
      </w:r>
      <w:r>
        <w:rPr>
          <w:color w:val="231F20"/>
          <w:spacing w:val="-5"/>
          <w:w w:val="105"/>
        </w:rPr>
        <w:t> </w:t>
      </w:r>
      <w:r>
        <w:rPr>
          <w:color w:val="231F20"/>
          <w:w w:val="105"/>
        </w:rPr>
        <w:t>choca</w:t>
      </w:r>
      <w:r>
        <w:rPr>
          <w:color w:val="231F20"/>
          <w:spacing w:val="-5"/>
          <w:w w:val="105"/>
        </w:rPr>
        <w:t> </w:t>
      </w:r>
      <w:r>
        <w:rPr>
          <w:color w:val="231F20"/>
          <w:w w:val="105"/>
        </w:rPr>
        <w:t>a menudo</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idea</w:t>
      </w:r>
      <w:r>
        <w:rPr>
          <w:color w:val="231F20"/>
          <w:spacing w:val="-16"/>
          <w:w w:val="105"/>
        </w:rPr>
        <w:t> </w:t>
      </w:r>
      <w:r>
        <w:rPr>
          <w:color w:val="231F20"/>
          <w:w w:val="105"/>
        </w:rPr>
        <w:t>de</w:t>
      </w:r>
      <w:r>
        <w:rPr>
          <w:color w:val="231F20"/>
          <w:spacing w:val="-16"/>
          <w:w w:val="105"/>
        </w:rPr>
        <w:t> </w:t>
      </w:r>
      <w:r>
        <w:rPr>
          <w:color w:val="231F20"/>
          <w:w w:val="105"/>
        </w:rPr>
        <w:t>que</w:t>
      </w:r>
      <w:r>
        <w:rPr>
          <w:color w:val="231F20"/>
          <w:spacing w:val="-16"/>
          <w:w w:val="105"/>
        </w:rPr>
        <w:t> </w:t>
      </w:r>
      <w:r>
        <w:rPr>
          <w:color w:val="231F20"/>
          <w:w w:val="105"/>
        </w:rPr>
        <w:t>es</w:t>
      </w:r>
      <w:r>
        <w:rPr>
          <w:color w:val="231F20"/>
          <w:spacing w:val="-16"/>
          <w:w w:val="105"/>
        </w:rPr>
        <w:t> </w:t>
      </w:r>
      <w:r>
        <w:rPr>
          <w:color w:val="231F20"/>
          <w:w w:val="105"/>
        </w:rPr>
        <w:t>una</w:t>
      </w:r>
      <w:r>
        <w:rPr>
          <w:color w:val="231F20"/>
          <w:spacing w:val="-16"/>
          <w:w w:val="105"/>
        </w:rPr>
        <w:t> </w:t>
      </w:r>
      <w:r>
        <w:rPr>
          <w:color w:val="231F20"/>
          <w:w w:val="105"/>
        </w:rPr>
        <w:t>anomalía</w:t>
      </w:r>
      <w:r>
        <w:rPr>
          <w:color w:val="231F20"/>
          <w:spacing w:val="-16"/>
          <w:w w:val="105"/>
        </w:rPr>
        <w:t> </w:t>
      </w:r>
      <w:r>
        <w:rPr>
          <w:color w:val="231F20"/>
          <w:w w:val="105"/>
        </w:rPr>
        <w:t>solucionable</w:t>
      </w:r>
      <w:r>
        <w:rPr>
          <w:color w:val="231F20"/>
          <w:spacing w:val="-16"/>
          <w:w w:val="105"/>
        </w:rPr>
        <w:t> </w:t>
      </w:r>
      <w:r>
        <w:rPr>
          <w:color w:val="231F20"/>
          <w:w w:val="105"/>
        </w:rPr>
        <w:t>y</w:t>
      </w:r>
      <w:r>
        <w:rPr>
          <w:color w:val="231F20"/>
          <w:spacing w:val="-16"/>
          <w:w w:val="105"/>
        </w:rPr>
        <w:t> </w:t>
      </w:r>
      <w:r>
        <w:rPr>
          <w:color w:val="231F20"/>
          <w:w w:val="105"/>
        </w:rPr>
        <w:t>no</w:t>
      </w:r>
      <w:r>
        <w:rPr>
          <w:color w:val="231F20"/>
          <w:spacing w:val="-16"/>
          <w:w w:val="105"/>
        </w:rPr>
        <w:t> </w:t>
      </w:r>
      <w:r>
        <w:rPr>
          <w:color w:val="231F20"/>
          <w:w w:val="105"/>
        </w:rPr>
        <w:t>una</w:t>
      </w:r>
      <w:r>
        <w:rPr>
          <w:color w:val="231F20"/>
          <w:spacing w:val="-16"/>
          <w:w w:val="105"/>
        </w:rPr>
        <w:t> </w:t>
      </w:r>
      <w:r>
        <w:rPr>
          <w:color w:val="231F20"/>
          <w:w w:val="105"/>
        </w:rPr>
        <w:t>situa- ción que requiere atención de forma</w:t>
      </w:r>
      <w:r>
        <w:rPr>
          <w:color w:val="231F20"/>
          <w:spacing w:val="-37"/>
          <w:w w:val="105"/>
        </w:rPr>
        <w:t> </w:t>
      </w:r>
      <w:r>
        <w:rPr>
          <w:color w:val="231F20"/>
          <w:w w:val="105"/>
        </w:rPr>
        <w:t>permanente.</w:t>
      </w:r>
    </w:p>
    <w:p>
      <w:pPr>
        <w:pStyle w:val="BodyText"/>
        <w:spacing w:line="261" w:lineRule="auto" w:before="1"/>
        <w:ind w:left="1723" w:right="1828" w:firstLine="567"/>
        <w:jc w:val="both"/>
      </w:pPr>
      <w:r>
        <w:rPr>
          <w:color w:val="231F20"/>
          <w:w w:val="105"/>
        </w:rPr>
        <w:t>Los</w:t>
      </w:r>
      <w:r>
        <w:rPr>
          <w:color w:val="231F20"/>
          <w:spacing w:val="-15"/>
          <w:w w:val="105"/>
        </w:rPr>
        <w:t> </w:t>
      </w:r>
      <w:r>
        <w:rPr>
          <w:color w:val="231F20"/>
          <w:w w:val="105"/>
        </w:rPr>
        <w:t>países</w:t>
      </w:r>
      <w:r>
        <w:rPr>
          <w:color w:val="231F20"/>
          <w:spacing w:val="-15"/>
          <w:w w:val="105"/>
        </w:rPr>
        <w:t> </w:t>
      </w:r>
      <w:r>
        <w:rPr>
          <w:color w:val="231F20"/>
          <w:w w:val="105"/>
        </w:rPr>
        <w:t>receptores</w:t>
      </w:r>
      <w:r>
        <w:rPr>
          <w:color w:val="231F20"/>
          <w:spacing w:val="-15"/>
          <w:w w:val="105"/>
        </w:rPr>
        <w:t> </w:t>
      </w:r>
      <w:r>
        <w:rPr>
          <w:color w:val="231F20"/>
          <w:w w:val="105"/>
        </w:rPr>
        <w:t>de</w:t>
      </w:r>
      <w:r>
        <w:rPr>
          <w:color w:val="231F20"/>
          <w:spacing w:val="-15"/>
          <w:w w:val="105"/>
        </w:rPr>
        <w:t> </w:t>
      </w:r>
      <w:r>
        <w:rPr>
          <w:color w:val="231F20"/>
          <w:w w:val="105"/>
        </w:rPr>
        <w:t>migrantes,</w:t>
      </w:r>
      <w:r>
        <w:rPr>
          <w:color w:val="231F20"/>
          <w:spacing w:val="-20"/>
          <w:w w:val="105"/>
        </w:rPr>
        <w:t> </w:t>
      </w:r>
      <w:r>
        <w:rPr>
          <w:color w:val="231F20"/>
          <w:w w:val="105"/>
        </w:rPr>
        <w:t>Estados</w:t>
      </w:r>
      <w:r>
        <w:rPr>
          <w:color w:val="231F20"/>
          <w:spacing w:val="-15"/>
          <w:w w:val="105"/>
        </w:rPr>
        <w:t> </w:t>
      </w:r>
      <w:r>
        <w:rPr>
          <w:color w:val="231F20"/>
          <w:w w:val="105"/>
        </w:rPr>
        <w:t>Unidos,</w:t>
      </w:r>
      <w:r>
        <w:rPr>
          <w:color w:val="231F20"/>
          <w:spacing w:val="-20"/>
          <w:w w:val="105"/>
        </w:rPr>
        <w:t> </w:t>
      </w:r>
      <w:r>
        <w:rPr>
          <w:color w:val="231F20"/>
          <w:w w:val="105"/>
        </w:rPr>
        <w:t>por</w:t>
      </w:r>
      <w:r>
        <w:rPr>
          <w:color w:val="231F20"/>
          <w:spacing w:val="-15"/>
          <w:w w:val="105"/>
        </w:rPr>
        <w:t> </w:t>
      </w:r>
      <w:r>
        <w:rPr>
          <w:color w:val="231F20"/>
          <w:w w:val="105"/>
        </w:rPr>
        <w:t>ejemplo, resuelven</w:t>
      </w:r>
      <w:r>
        <w:rPr>
          <w:color w:val="231F20"/>
          <w:spacing w:val="-8"/>
          <w:w w:val="105"/>
        </w:rPr>
        <w:t> </w:t>
      </w:r>
      <w:r>
        <w:rPr>
          <w:color w:val="231F20"/>
          <w:w w:val="105"/>
        </w:rPr>
        <w:t>mayoritariamente</w:t>
      </w:r>
      <w:r>
        <w:rPr>
          <w:color w:val="231F20"/>
          <w:spacing w:val="-8"/>
          <w:w w:val="105"/>
        </w:rPr>
        <w:t> </w:t>
      </w:r>
      <w:r>
        <w:rPr>
          <w:color w:val="231F20"/>
          <w:w w:val="105"/>
        </w:rPr>
        <w:t>el</w:t>
      </w:r>
      <w:r>
        <w:rPr>
          <w:color w:val="231F20"/>
          <w:spacing w:val="-8"/>
          <w:w w:val="105"/>
        </w:rPr>
        <w:t> </w:t>
      </w:r>
      <w:r>
        <w:rPr>
          <w:color w:val="231F20"/>
          <w:w w:val="105"/>
        </w:rPr>
        <w:t>problema</w:t>
      </w:r>
      <w:r>
        <w:rPr>
          <w:color w:val="231F20"/>
          <w:spacing w:val="-8"/>
          <w:w w:val="105"/>
        </w:rPr>
        <w:t> </w:t>
      </w:r>
      <w:r>
        <w:rPr>
          <w:color w:val="231F20"/>
          <w:w w:val="105"/>
        </w:rPr>
        <w:t>expulsando</w:t>
      </w:r>
      <w:r>
        <w:rPr>
          <w:color w:val="231F20"/>
          <w:spacing w:val="-8"/>
          <w:w w:val="105"/>
        </w:rPr>
        <w:t> </w:t>
      </w:r>
      <w:r>
        <w:rPr>
          <w:color w:val="231F20"/>
          <w:w w:val="105"/>
        </w:rPr>
        <w:t>al</w:t>
      </w:r>
      <w:r>
        <w:rPr>
          <w:color w:val="231F20"/>
          <w:spacing w:val="-8"/>
          <w:w w:val="105"/>
        </w:rPr>
        <w:t> </w:t>
      </w:r>
      <w:r>
        <w:rPr>
          <w:color w:val="231F20"/>
          <w:w w:val="105"/>
        </w:rPr>
        <w:t>migrante</w:t>
      </w:r>
      <w:r>
        <w:rPr>
          <w:color w:val="231F20"/>
          <w:spacing w:val="-8"/>
          <w:w w:val="105"/>
        </w:rPr>
        <w:t> </w:t>
      </w:r>
      <w:r>
        <w:rPr>
          <w:color w:val="231F20"/>
          <w:w w:val="105"/>
        </w:rPr>
        <w:t>irregu- lar a los países de “tránsito” (como México, cuyos flujos migratorios se tornan cada día más complejos). </w:t>
      </w:r>
      <w:r>
        <w:rPr>
          <w:w w:val="105"/>
        </w:rPr>
        <w:t>Esto impide un tratamiento adecuado de</w:t>
      </w:r>
      <w:r>
        <w:rPr>
          <w:spacing w:val="-3"/>
          <w:w w:val="105"/>
        </w:rPr>
        <w:t> </w:t>
      </w:r>
      <w:r>
        <w:rPr>
          <w:w w:val="105"/>
        </w:rPr>
        <w:t>la</w:t>
      </w:r>
      <w:r>
        <w:rPr>
          <w:spacing w:val="-3"/>
          <w:w w:val="105"/>
        </w:rPr>
        <w:t> </w:t>
      </w:r>
      <w:r>
        <w:rPr>
          <w:w w:val="105"/>
        </w:rPr>
        <w:t>situación,</w:t>
      </w:r>
      <w:r>
        <w:rPr>
          <w:spacing w:val="-8"/>
          <w:w w:val="105"/>
        </w:rPr>
        <w:t> </w:t>
      </w:r>
      <w:r>
        <w:rPr>
          <w:w w:val="105"/>
        </w:rPr>
        <w:t>como</w:t>
      </w:r>
      <w:r>
        <w:rPr>
          <w:spacing w:val="-3"/>
          <w:w w:val="105"/>
        </w:rPr>
        <w:t> </w:t>
      </w:r>
      <w:r>
        <w:rPr>
          <w:w w:val="105"/>
        </w:rPr>
        <w:t>señalan</w:t>
      </w:r>
      <w:r>
        <w:rPr>
          <w:spacing w:val="-3"/>
          <w:w w:val="105"/>
        </w:rPr>
        <w:t> </w:t>
      </w:r>
      <w:r>
        <w:rPr>
          <w:w w:val="105"/>
        </w:rPr>
        <w:t>Düvell,</w:t>
      </w:r>
      <w:r>
        <w:rPr>
          <w:spacing w:val="-8"/>
          <w:w w:val="105"/>
        </w:rPr>
        <w:t> </w:t>
      </w:r>
      <w:r>
        <w:rPr>
          <w:w w:val="105"/>
        </w:rPr>
        <w:t>Schapendonk,</w:t>
      </w:r>
      <w:r>
        <w:rPr>
          <w:spacing w:val="-8"/>
          <w:w w:val="105"/>
        </w:rPr>
        <w:t> </w:t>
      </w:r>
      <w:r>
        <w:rPr>
          <w:w w:val="105"/>
        </w:rPr>
        <w:t>Collyer,</w:t>
      </w:r>
      <w:r>
        <w:rPr>
          <w:spacing w:val="-8"/>
          <w:w w:val="105"/>
        </w:rPr>
        <w:t> </w:t>
      </w:r>
      <w:r>
        <w:rPr>
          <w:w w:val="105"/>
        </w:rPr>
        <w:t>de</w:t>
      </w:r>
      <w:r>
        <w:rPr>
          <w:spacing w:val="-3"/>
          <w:w w:val="105"/>
        </w:rPr>
        <w:t> </w:t>
      </w:r>
      <w:r>
        <w:rPr>
          <w:w w:val="105"/>
        </w:rPr>
        <w:t>Haas</w:t>
      </w:r>
      <w:r>
        <w:rPr>
          <w:spacing w:val="-3"/>
          <w:w w:val="105"/>
        </w:rPr>
        <w:t> </w:t>
      </w:r>
      <w:r>
        <w:rPr>
          <w:w w:val="105"/>
        </w:rPr>
        <w:t>y Hess, al afirman que la idea de “Estado de tránsito” resulta muy conve- niente</w:t>
      </w:r>
      <w:r>
        <w:rPr>
          <w:spacing w:val="-15"/>
          <w:w w:val="105"/>
        </w:rPr>
        <w:t> </w:t>
      </w:r>
      <w:r>
        <w:rPr>
          <w:w w:val="105"/>
        </w:rPr>
        <w:t>para</w:t>
      </w:r>
      <w:r>
        <w:rPr>
          <w:spacing w:val="-15"/>
          <w:w w:val="105"/>
        </w:rPr>
        <w:t> </w:t>
      </w:r>
      <w:r>
        <w:rPr>
          <w:w w:val="105"/>
        </w:rPr>
        <w:t>los</w:t>
      </w:r>
      <w:r>
        <w:rPr>
          <w:spacing w:val="-15"/>
          <w:w w:val="105"/>
        </w:rPr>
        <w:t> </w:t>
      </w:r>
      <w:r>
        <w:rPr>
          <w:w w:val="105"/>
        </w:rPr>
        <w:t>países</w:t>
      </w:r>
      <w:r>
        <w:rPr>
          <w:spacing w:val="-15"/>
          <w:w w:val="105"/>
        </w:rPr>
        <w:t> </w:t>
      </w:r>
      <w:r>
        <w:rPr>
          <w:w w:val="105"/>
        </w:rPr>
        <w:t>de</w:t>
      </w:r>
      <w:r>
        <w:rPr>
          <w:spacing w:val="-15"/>
          <w:w w:val="105"/>
        </w:rPr>
        <w:t> </w:t>
      </w:r>
      <w:r>
        <w:rPr>
          <w:w w:val="105"/>
        </w:rPr>
        <w:t>destino,</w:t>
      </w:r>
      <w:r>
        <w:rPr>
          <w:spacing w:val="-20"/>
          <w:w w:val="105"/>
        </w:rPr>
        <w:t> </w:t>
      </w:r>
      <w:r>
        <w:rPr>
          <w:w w:val="105"/>
        </w:rPr>
        <w:t>quienes</w:t>
      </w:r>
      <w:r>
        <w:rPr>
          <w:spacing w:val="-15"/>
          <w:w w:val="105"/>
        </w:rPr>
        <w:t> </w:t>
      </w:r>
      <w:r>
        <w:rPr>
          <w:w w:val="105"/>
        </w:rPr>
        <w:t>ceden</w:t>
      </w:r>
      <w:r>
        <w:rPr>
          <w:spacing w:val="-15"/>
          <w:w w:val="105"/>
        </w:rPr>
        <w:t> </w:t>
      </w:r>
      <w:r>
        <w:rPr>
          <w:w w:val="105"/>
        </w:rPr>
        <w:t>a</w:t>
      </w:r>
      <w:r>
        <w:rPr>
          <w:spacing w:val="-15"/>
          <w:w w:val="105"/>
        </w:rPr>
        <w:t> </w:t>
      </w:r>
      <w:r>
        <w:rPr>
          <w:w w:val="105"/>
        </w:rPr>
        <w:t>éstos</w:t>
      </w:r>
      <w:r>
        <w:rPr>
          <w:spacing w:val="-15"/>
          <w:w w:val="105"/>
        </w:rPr>
        <w:t> </w:t>
      </w:r>
      <w:r>
        <w:rPr>
          <w:w w:val="105"/>
        </w:rPr>
        <w:t>la</w:t>
      </w:r>
      <w:r>
        <w:rPr>
          <w:spacing w:val="-15"/>
          <w:w w:val="105"/>
        </w:rPr>
        <w:t> </w:t>
      </w:r>
      <w:r>
        <w:rPr>
          <w:w w:val="105"/>
        </w:rPr>
        <w:t>responsabili- dad</w:t>
      </w:r>
      <w:r>
        <w:rPr>
          <w:spacing w:val="-5"/>
          <w:w w:val="105"/>
        </w:rPr>
        <w:t> </w:t>
      </w:r>
      <w:r>
        <w:rPr>
          <w:w w:val="105"/>
        </w:rPr>
        <w:t>del</w:t>
      </w:r>
      <w:r>
        <w:rPr>
          <w:spacing w:val="-5"/>
          <w:w w:val="105"/>
        </w:rPr>
        <w:t> </w:t>
      </w:r>
      <w:r>
        <w:rPr>
          <w:w w:val="105"/>
        </w:rPr>
        <w:t>cuidado</w:t>
      </w:r>
      <w:r>
        <w:rPr>
          <w:spacing w:val="-5"/>
          <w:w w:val="105"/>
        </w:rPr>
        <w:t> </w:t>
      </w:r>
      <w:r>
        <w:rPr>
          <w:w w:val="105"/>
        </w:rPr>
        <w:t>de</w:t>
      </w:r>
      <w:r>
        <w:rPr>
          <w:spacing w:val="-5"/>
          <w:w w:val="105"/>
        </w:rPr>
        <w:t> </w:t>
      </w:r>
      <w:r>
        <w:rPr>
          <w:w w:val="105"/>
        </w:rPr>
        <w:t>las</w:t>
      </w:r>
      <w:r>
        <w:rPr>
          <w:spacing w:val="-5"/>
          <w:w w:val="105"/>
        </w:rPr>
        <w:t> </w:t>
      </w:r>
      <w:r>
        <w:rPr>
          <w:w w:val="105"/>
        </w:rPr>
        <w:t>fronteras</w:t>
      </w:r>
      <w:r>
        <w:rPr>
          <w:spacing w:val="-5"/>
          <w:w w:val="105"/>
        </w:rPr>
        <w:t> </w:t>
      </w:r>
      <w:r>
        <w:rPr>
          <w:w w:val="105"/>
        </w:rPr>
        <w:t>y</w:t>
      </w:r>
      <w:r>
        <w:rPr>
          <w:spacing w:val="-5"/>
          <w:w w:val="105"/>
        </w:rPr>
        <w:t> </w:t>
      </w:r>
      <w:r>
        <w:rPr>
          <w:w w:val="105"/>
        </w:rPr>
        <w:t>la</w:t>
      </w:r>
      <w:r>
        <w:rPr>
          <w:spacing w:val="-5"/>
          <w:w w:val="105"/>
        </w:rPr>
        <w:t> </w:t>
      </w:r>
      <w:r>
        <w:rPr>
          <w:w w:val="105"/>
        </w:rPr>
        <w:t>atención</w:t>
      </w:r>
      <w:r>
        <w:rPr>
          <w:spacing w:val="-5"/>
          <w:w w:val="105"/>
        </w:rPr>
        <w:t> </w:t>
      </w:r>
      <w:r>
        <w:rPr>
          <w:w w:val="105"/>
        </w:rPr>
        <w:t>a</w:t>
      </w:r>
      <w:r>
        <w:rPr>
          <w:spacing w:val="-5"/>
          <w:w w:val="105"/>
        </w:rPr>
        <w:t> </w:t>
      </w:r>
      <w:r>
        <w:rPr>
          <w:w w:val="105"/>
        </w:rPr>
        <w:t>los</w:t>
      </w:r>
      <w:r>
        <w:rPr>
          <w:spacing w:val="-5"/>
          <w:w w:val="105"/>
        </w:rPr>
        <w:t> </w:t>
      </w:r>
      <w:r>
        <w:rPr>
          <w:w w:val="105"/>
        </w:rPr>
        <w:t>migrantes</w:t>
      </w:r>
      <w:r>
        <w:rPr>
          <w:spacing w:val="-5"/>
          <w:w w:val="105"/>
        </w:rPr>
        <w:t> </w:t>
      </w:r>
      <w:r>
        <w:rPr>
          <w:w w:val="105"/>
        </w:rPr>
        <w:t>(Düvell</w:t>
      </w:r>
      <w:r>
        <w:rPr>
          <w:spacing w:val="-5"/>
          <w:w w:val="105"/>
        </w:rPr>
        <w:t> </w:t>
      </w:r>
      <w:r>
        <w:rPr>
          <w:rFonts w:ascii="Arial" w:hAnsi="Arial"/>
          <w:i/>
          <w:w w:val="105"/>
        </w:rPr>
        <w:t>et </w:t>
      </w:r>
      <w:r>
        <w:rPr>
          <w:rFonts w:ascii="Arial" w:hAnsi="Arial"/>
          <w:i/>
          <w:w w:val="105"/>
        </w:rPr>
        <w:t>al</w:t>
      </w:r>
      <w:r>
        <w:rPr>
          <w:w w:val="105"/>
        </w:rPr>
        <w:t>.,</w:t>
      </w:r>
      <w:r>
        <w:rPr>
          <w:spacing w:val="-33"/>
          <w:w w:val="105"/>
        </w:rPr>
        <w:t> </w:t>
      </w:r>
      <w:r>
        <w:rPr>
          <w:w w:val="105"/>
        </w:rPr>
        <w:t>2008:</w:t>
      </w:r>
      <w:r>
        <w:rPr>
          <w:spacing w:val="-29"/>
          <w:w w:val="105"/>
        </w:rPr>
        <w:t> </w:t>
      </w:r>
      <w:r>
        <w:rPr>
          <w:w w:val="105"/>
        </w:rPr>
        <w:t>416).</w:t>
      </w:r>
    </w:p>
    <w:p>
      <w:pPr>
        <w:pStyle w:val="BodyText"/>
        <w:spacing w:line="261" w:lineRule="auto"/>
        <w:ind w:left="1651" w:right="1834" w:firstLine="566"/>
        <w:jc w:val="right"/>
      </w:pPr>
      <w:r>
        <w:rPr>
          <w:color w:val="231F20"/>
          <w:w w:val="105"/>
        </w:rPr>
        <w:t>Sin </w:t>
      </w:r>
      <w:r>
        <w:rPr>
          <w:color w:val="231F20"/>
          <w:spacing w:val="-4"/>
          <w:w w:val="105"/>
        </w:rPr>
        <w:t>embargo, </w:t>
      </w:r>
      <w:r>
        <w:rPr>
          <w:color w:val="231F20"/>
          <w:spacing w:val="-3"/>
          <w:w w:val="105"/>
        </w:rPr>
        <w:t>esta solución </w:t>
      </w:r>
      <w:r>
        <w:rPr>
          <w:color w:val="231F20"/>
          <w:w w:val="105"/>
        </w:rPr>
        <w:t>no </w:t>
      </w:r>
      <w:r>
        <w:rPr>
          <w:color w:val="231F20"/>
          <w:spacing w:val="-3"/>
          <w:w w:val="105"/>
        </w:rPr>
        <w:t>puede aplicarse </w:t>
      </w:r>
      <w:r>
        <w:rPr>
          <w:color w:val="231F20"/>
          <w:w w:val="105"/>
        </w:rPr>
        <w:t>tan </w:t>
      </w:r>
      <w:r>
        <w:rPr>
          <w:color w:val="231F20"/>
          <w:spacing w:val="-3"/>
          <w:w w:val="105"/>
        </w:rPr>
        <w:t>fácilmente </w:t>
      </w:r>
      <w:r>
        <w:rPr>
          <w:color w:val="231F20"/>
          <w:w w:val="105"/>
        </w:rPr>
        <w:t>a </w:t>
      </w:r>
      <w:r>
        <w:rPr>
          <w:color w:val="231F20"/>
          <w:spacing w:val="-3"/>
          <w:w w:val="105"/>
        </w:rPr>
        <w:t>los</w:t>
      </w:r>
      <w:r>
        <w:rPr>
          <w:color w:val="231F20"/>
          <w:spacing w:val="-3"/>
          <w:w w:val="101"/>
        </w:rPr>
        <w:t> </w:t>
      </w:r>
      <w:r>
        <w:rPr>
          <w:color w:val="231F20"/>
          <w:w w:val="105"/>
          <w:sz w:val="17"/>
        </w:rPr>
        <w:t>NNA </w:t>
      </w:r>
      <w:r>
        <w:rPr>
          <w:color w:val="231F20"/>
          <w:spacing w:val="-3"/>
          <w:w w:val="105"/>
        </w:rPr>
        <w:t>migrantes </w:t>
      </w:r>
      <w:r>
        <w:rPr>
          <w:color w:val="231F20"/>
          <w:spacing w:val="-4"/>
          <w:w w:val="105"/>
        </w:rPr>
        <w:t>irregulares </w:t>
      </w:r>
      <w:r>
        <w:rPr>
          <w:color w:val="231F20"/>
          <w:w w:val="105"/>
        </w:rPr>
        <w:t>no </w:t>
      </w:r>
      <w:r>
        <w:rPr>
          <w:color w:val="231F20"/>
          <w:spacing w:val="-3"/>
          <w:w w:val="105"/>
        </w:rPr>
        <w:t>acompañados, </w:t>
      </w:r>
      <w:r>
        <w:rPr>
          <w:color w:val="231F20"/>
          <w:w w:val="105"/>
        </w:rPr>
        <w:t>que </w:t>
      </w:r>
      <w:r>
        <w:rPr>
          <w:color w:val="231F20"/>
          <w:spacing w:val="-3"/>
          <w:w w:val="105"/>
        </w:rPr>
        <w:t>están protegidos </w:t>
      </w:r>
      <w:r>
        <w:rPr>
          <w:color w:val="231F20"/>
          <w:w w:val="105"/>
        </w:rPr>
        <w:t>por di-</w:t>
      </w:r>
      <w:r>
        <w:rPr>
          <w:color w:val="231F20"/>
          <w:w w:val="96"/>
        </w:rPr>
        <w:t> </w:t>
      </w:r>
      <w:r>
        <w:rPr>
          <w:color w:val="231F20"/>
          <w:spacing w:val="-3"/>
          <w:w w:val="105"/>
        </w:rPr>
        <w:t>versos instrumentos internacionales. </w:t>
      </w:r>
      <w:r>
        <w:rPr>
          <w:color w:val="231F20"/>
          <w:w w:val="105"/>
        </w:rPr>
        <w:t>Las </w:t>
      </w:r>
      <w:r>
        <w:rPr>
          <w:color w:val="231F20"/>
          <w:spacing w:val="-3"/>
          <w:w w:val="105"/>
        </w:rPr>
        <w:t>fórmulas para atender </w:t>
      </w:r>
      <w:r>
        <w:rPr>
          <w:color w:val="231F20"/>
          <w:w w:val="105"/>
        </w:rPr>
        <w:t>su </w:t>
      </w:r>
      <w:r>
        <w:rPr>
          <w:color w:val="231F20"/>
          <w:spacing w:val="-3"/>
          <w:w w:val="105"/>
        </w:rPr>
        <w:t>situa-</w:t>
      </w:r>
      <w:r>
        <w:rPr>
          <w:color w:val="231F20"/>
          <w:w w:val="96"/>
        </w:rPr>
        <w:t> </w:t>
      </w:r>
      <w:r>
        <w:rPr>
          <w:color w:val="231F20"/>
          <w:spacing w:val="-3"/>
          <w:w w:val="105"/>
        </w:rPr>
        <w:t>ción irregular deben </w:t>
      </w:r>
      <w:r>
        <w:rPr>
          <w:color w:val="231F20"/>
          <w:w w:val="105"/>
        </w:rPr>
        <w:t>ser por </w:t>
      </w:r>
      <w:r>
        <w:rPr>
          <w:color w:val="231F20"/>
          <w:spacing w:val="-3"/>
          <w:w w:val="105"/>
        </w:rPr>
        <w:t>ello diferentes </w:t>
      </w:r>
      <w:r>
        <w:rPr>
          <w:color w:val="231F20"/>
          <w:w w:val="105"/>
        </w:rPr>
        <w:t>a las de los </w:t>
      </w:r>
      <w:r>
        <w:rPr>
          <w:color w:val="231F20"/>
          <w:spacing w:val="-3"/>
          <w:w w:val="105"/>
        </w:rPr>
        <w:t>migrantes adultos.</w:t>
      </w:r>
      <w:r>
        <w:rPr>
          <w:color w:val="231F20"/>
          <w:spacing w:val="-3"/>
          <w:w w:val="103"/>
        </w:rPr>
        <w:t> </w:t>
      </w:r>
      <w:r>
        <w:rPr>
          <w:color w:val="231F20"/>
          <w:w w:val="105"/>
        </w:rPr>
        <w:t>El Estado de México, debido a su posición geográfica e infraestruc-</w:t>
      </w:r>
    </w:p>
    <w:p>
      <w:pPr>
        <w:pStyle w:val="BodyText"/>
        <w:spacing w:line="261" w:lineRule="auto" w:before="1"/>
        <w:ind w:left="1724" w:right="1835"/>
        <w:jc w:val="both"/>
      </w:pPr>
      <w:r>
        <w:rPr>
          <w:color w:val="231F20"/>
          <w:w w:val="105"/>
        </w:rPr>
        <w:t>tura</w:t>
      </w:r>
      <w:r>
        <w:rPr>
          <w:color w:val="231F20"/>
          <w:spacing w:val="-11"/>
          <w:w w:val="105"/>
        </w:rPr>
        <w:t> </w:t>
      </w:r>
      <w:r>
        <w:rPr>
          <w:color w:val="231F20"/>
          <w:w w:val="105"/>
        </w:rPr>
        <w:t>carretera</w:t>
      </w:r>
      <w:r>
        <w:rPr>
          <w:color w:val="231F20"/>
          <w:spacing w:val="-11"/>
          <w:w w:val="105"/>
        </w:rPr>
        <w:t> </w:t>
      </w:r>
      <w:r>
        <w:rPr>
          <w:color w:val="231F20"/>
          <w:w w:val="105"/>
        </w:rPr>
        <w:t>y</w:t>
      </w:r>
      <w:r>
        <w:rPr>
          <w:color w:val="231F20"/>
          <w:spacing w:val="-11"/>
          <w:w w:val="105"/>
        </w:rPr>
        <w:t> </w:t>
      </w:r>
      <w:r>
        <w:rPr>
          <w:color w:val="231F20"/>
          <w:w w:val="105"/>
        </w:rPr>
        <w:t>ferroviaria,</w:t>
      </w:r>
      <w:r>
        <w:rPr>
          <w:color w:val="231F20"/>
          <w:spacing w:val="-16"/>
          <w:w w:val="105"/>
        </w:rPr>
        <w:t> </w:t>
      </w:r>
      <w:r>
        <w:rPr>
          <w:color w:val="231F20"/>
          <w:w w:val="105"/>
        </w:rPr>
        <w:t>es</w:t>
      </w:r>
      <w:r>
        <w:rPr>
          <w:color w:val="231F20"/>
          <w:spacing w:val="-11"/>
          <w:w w:val="105"/>
        </w:rPr>
        <w:t> </w:t>
      </w:r>
      <w:r>
        <w:rPr>
          <w:color w:val="231F20"/>
          <w:w w:val="105"/>
        </w:rPr>
        <w:t>una</w:t>
      </w:r>
      <w:r>
        <w:rPr>
          <w:color w:val="231F20"/>
          <w:spacing w:val="-11"/>
          <w:w w:val="105"/>
        </w:rPr>
        <w:t> </w:t>
      </w:r>
      <w:r>
        <w:rPr>
          <w:color w:val="231F20"/>
          <w:w w:val="105"/>
        </w:rPr>
        <w:t>etapa</w:t>
      </w:r>
      <w:r>
        <w:rPr>
          <w:color w:val="231F20"/>
          <w:spacing w:val="-11"/>
          <w:w w:val="105"/>
        </w:rPr>
        <w:t> </w:t>
      </w:r>
      <w:r>
        <w:rPr>
          <w:color w:val="231F20"/>
          <w:w w:val="105"/>
        </w:rPr>
        <w:t>importante</w:t>
      </w:r>
      <w:r>
        <w:rPr>
          <w:color w:val="231F20"/>
          <w:spacing w:val="-11"/>
          <w:w w:val="105"/>
        </w:rPr>
        <w:t> </w:t>
      </w:r>
      <w:r>
        <w:rPr>
          <w:color w:val="231F20"/>
          <w:w w:val="105"/>
        </w:rPr>
        <w:t>en</w:t>
      </w:r>
      <w:r>
        <w:rPr>
          <w:color w:val="231F20"/>
          <w:spacing w:val="-11"/>
          <w:w w:val="105"/>
        </w:rPr>
        <w:t> </w:t>
      </w:r>
      <w:r>
        <w:rPr>
          <w:color w:val="231F20"/>
          <w:w w:val="105"/>
        </w:rPr>
        <w:t>casi</w:t>
      </w:r>
      <w:r>
        <w:rPr>
          <w:color w:val="231F20"/>
          <w:spacing w:val="-11"/>
          <w:w w:val="105"/>
        </w:rPr>
        <w:t> </w:t>
      </w:r>
      <w:r>
        <w:rPr>
          <w:color w:val="231F20"/>
          <w:w w:val="105"/>
        </w:rPr>
        <w:t>todas</w:t>
      </w:r>
      <w:r>
        <w:rPr>
          <w:color w:val="231F20"/>
          <w:spacing w:val="-11"/>
          <w:w w:val="105"/>
        </w:rPr>
        <w:t> </w:t>
      </w:r>
      <w:r>
        <w:rPr>
          <w:color w:val="231F20"/>
          <w:w w:val="105"/>
        </w:rPr>
        <w:t>las</w:t>
      </w:r>
      <w:r>
        <w:rPr>
          <w:color w:val="231F20"/>
          <w:spacing w:val="-11"/>
          <w:w w:val="105"/>
        </w:rPr>
        <w:t> </w:t>
      </w:r>
      <w:r>
        <w:rPr>
          <w:color w:val="231F20"/>
          <w:w w:val="105"/>
        </w:rPr>
        <w:t>ru- tas</w:t>
      </w:r>
      <w:r>
        <w:rPr>
          <w:color w:val="231F20"/>
          <w:spacing w:val="-17"/>
          <w:w w:val="105"/>
        </w:rPr>
        <w:t> </w:t>
      </w:r>
      <w:r>
        <w:rPr>
          <w:color w:val="231F20"/>
          <w:w w:val="105"/>
        </w:rPr>
        <w:t>migratorias</w:t>
      </w:r>
      <w:r>
        <w:rPr>
          <w:color w:val="231F20"/>
          <w:spacing w:val="-17"/>
          <w:w w:val="105"/>
        </w:rPr>
        <w:t> </w:t>
      </w:r>
      <w:r>
        <w:rPr>
          <w:color w:val="231F20"/>
          <w:w w:val="105"/>
        </w:rPr>
        <w:t>hacia</w:t>
      </w:r>
      <w:r>
        <w:rPr>
          <w:color w:val="231F20"/>
          <w:spacing w:val="-17"/>
          <w:w w:val="105"/>
        </w:rPr>
        <w:t> </w:t>
      </w:r>
      <w:r>
        <w:rPr>
          <w:color w:val="231F20"/>
          <w:w w:val="105"/>
        </w:rPr>
        <w:t>Estados</w:t>
      </w:r>
      <w:r>
        <w:rPr>
          <w:color w:val="231F20"/>
          <w:spacing w:val="-17"/>
          <w:w w:val="105"/>
        </w:rPr>
        <w:t> </w:t>
      </w:r>
      <w:r>
        <w:rPr>
          <w:color w:val="231F20"/>
          <w:w w:val="105"/>
        </w:rPr>
        <w:t>Unidos.</w:t>
      </w:r>
      <w:r>
        <w:rPr>
          <w:color w:val="231F20"/>
          <w:spacing w:val="-22"/>
          <w:w w:val="105"/>
        </w:rPr>
        <w:t> </w:t>
      </w:r>
      <w:r>
        <w:rPr>
          <w:color w:val="231F20"/>
          <w:spacing w:val="-6"/>
          <w:w w:val="105"/>
        </w:rPr>
        <w:t>Por</w:t>
      </w:r>
      <w:r>
        <w:rPr>
          <w:color w:val="231F20"/>
          <w:spacing w:val="-17"/>
          <w:w w:val="105"/>
        </w:rPr>
        <w:t> </w:t>
      </w:r>
      <w:r>
        <w:rPr>
          <w:color w:val="231F20"/>
          <w:w w:val="105"/>
        </w:rPr>
        <w:t>ello,</w:t>
      </w:r>
      <w:r>
        <w:rPr>
          <w:color w:val="231F20"/>
          <w:spacing w:val="-22"/>
          <w:w w:val="105"/>
        </w:rPr>
        <w:t> </w:t>
      </w:r>
      <w:r>
        <w:rPr>
          <w:color w:val="231F20"/>
          <w:w w:val="105"/>
        </w:rPr>
        <w:t>es</w:t>
      </w:r>
      <w:r>
        <w:rPr>
          <w:color w:val="231F20"/>
          <w:spacing w:val="-17"/>
          <w:w w:val="105"/>
        </w:rPr>
        <w:t> </w:t>
      </w:r>
      <w:r>
        <w:rPr>
          <w:color w:val="231F20"/>
          <w:w w:val="105"/>
        </w:rPr>
        <w:t>de</w:t>
      </w:r>
      <w:r>
        <w:rPr>
          <w:color w:val="231F20"/>
          <w:spacing w:val="-17"/>
          <w:w w:val="105"/>
        </w:rPr>
        <w:t> </w:t>
      </w:r>
      <w:r>
        <w:rPr>
          <w:color w:val="231F20"/>
          <w:w w:val="105"/>
        </w:rPr>
        <w:t>vital</w:t>
      </w:r>
      <w:r>
        <w:rPr>
          <w:color w:val="231F20"/>
          <w:spacing w:val="-17"/>
          <w:w w:val="105"/>
        </w:rPr>
        <w:t> </w:t>
      </w:r>
      <w:r>
        <w:rPr>
          <w:color w:val="231F20"/>
          <w:w w:val="105"/>
        </w:rPr>
        <w:t>importancia</w:t>
      </w:r>
      <w:r>
        <w:rPr>
          <w:color w:val="231F20"/>
          <w:spacing w:val="-17"/>
          <w:w w:val="105"/>
        </w:rPr>
        <w:t> </w:t>
      </w:r>
      <w:r>
        <w:rPr>
          <w:color w:val="231F20"/>
          <w:w w:val="105"/>
        </w:rPr>
        <w:t>no</w:t>
      </w:r>
    </w:p>
    <w:p>
      <w:pPr>
        <w:pStyle w:val="BodyText"/>
        <w:rPr>
          <w:sz w:val="20"/>
        </w:rPr>
      </w:pPr>
    </w:p>
    <w:p>
      <w:pPr>
        <w:pStyle w:val="BodyText"/>
        <w:spacing w:before="8"/>
        <w:rPr>
          <w:sz w:val="26"/>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3640" from="131.551193pt,3.753715pt" to="131.551193pt,39.556114pt" stroked="true" strokeweight=".35pt" strokecolor="#231f20">
            <w10:wrap type="none"/>
          </v:line>
        </w:pict>
      </w:r>
      <w:r>
        <w:rPr/>
        <w:pict>
          <v:line style="position:absolute;mso-position-horizontal-relative:page;mso-position-vertical-relative:paragraph;z-index:-483616" from="15pt,39.555916pt" to="0pt,39.555916pt" stroked="true" strokeweight=".25pt" strokecolor="#000000">
            <w10:wrap type="none"/>
          </v:line>
        </w:pict>
      </w:r>
      <w:r>
        <w:rPr/>
        <w:pict>
          <v:line style="position:absolute;mso-position-horizontal-relative:page;mso-position-vertical-relative:paragraph;z-index:6592" from="508.890015pt,39.555916pt" to="523.890015pt,39.555916pt" stroked="true" strokeweight=".25pt" strokecolor="#000000">
            <w10:wrap type="none"/>
          </v:line>
        </w:pict>
      </w:r>
      <w:r>
        <w:rPr>
          <w:rFonts w:ascii="Arial" w:hAnsi="Arial"/>
          <w:color w:val="414042"/>
          <w:position w:val="-5"/>
          <w:sz w:val="20"/>
        </w:rPr>
        <w:t>68</w:t>
        <w:tab/>
      </w:r>
      <w:r>
        <w:rPr>
          <w:rFonts w:ascii="Calibri" w:hAnsi="Calibri"/>
          <w:color w:val="6D6E71"/>
          <w:sz w:val="15"/>
        </w:rPr>
        <w:t>María de Lourdes Morales Reynoso y Claudia Arianne Martínez  </w:t>
      </w:r>
      <w:r>
        <w:rPr>
          <w:rFonts w:ascii="Calibri" w:hAnsi="Calibri"/>
          <w:color w:val="6D6E71"/>
          <w:spacing w:val="16"/>
          <w:sz w:val="15"/>
        </w:rPr>
        <w:t> </w:t>
      </w:r>
      <w:r>
        <w:rPr>
          <w:rFonts w:ascii="Calibri" w:hAnsi="Calibri"/>
          <w:color w:val="6D6E71"/>
          <w:sz w:val="15"/>
        </w:rPr>
        <w:t>Zaragoza</w:t>
      </w:r>
    </w:p>
    <w:p>
      <w:pPr>
        <w:spacing w:after="0"/>
        <w:jc w:val="left"/>
        <w:rPr>
          <w:rFonts w:ascii="Calibri" w:hAnsi="Calibri"/>
          <w:sz w:val="15"/>
        </w:rPr>
        <w:sectPr>
          <w:footerReference w:type="default" r:id="rId64"/>
          <w:pgSz w:w="10480" w:h="14730"/>
          <w:pgMar w:footer="103" w:header="0" w:top="420" w:bottom="300" w:left="0" w:right="0"/>
        </w:sectPr>
      </w:pPr>
    </w:p>
    <w:p>
      <w:pPr>
        <w:pStyle w:val="BodyText"/>
        <w:rPr>
          <w:rFonts w:ascii="Calibri"/>
          <w:sz w:val="20"/>
        </w:rPr>
      </w:pPr>
    </w:p>
    <w:p>
      <w:pPr>
        <w:pStyle w:val="BodyText"/>
        <w:rPr>
          <w:rFonts w:ascii="Calibri"/>
          <w:sz w:val="20"/>
        </w:rPr>
      </w:pPr>
    </w:p>
    <w:p>
      <w:pPr>
        <w:tabs>
          <w:tab w:pos="8636" w:val="right" w:leader="none"/>
        </w:tabs>
        <w:spacing w:line="208" w:lineRule="exact" w:before="187"/>
        <w:ind w:left="2163" w:right="0" w:firstLine="0"/>
        <w:jc w:val="left"/>
        <w:rPr>
          <w:rFonts w:ascii="Arial" w:hAnsi="Arial"/>
          <w:sz w:val="20"/>
        </w:rPr>
      </w:pPr>
      <w:r>
        <w:rPr/>
        <w:pict>
          <v:line style="position:absolute;mso-position-horizontal-relative:page;mso-position-vertical-relative:paragraph;z-index:-483568" from="405.061005pt,-18.554295pt" to="405.061005pt,16.311579pt" stroked="true" strokeweight=".35pt" strokecolor="#231f20">
            <w10:wrap type="none"/>
          </v:line>
        </w:pict>
      </w:r>
      <w:r>
        <w:rPr/>
        <w:pict>
          <v:line style="position:absolute;mso-position-horizontal-relative:page;mso-position-vertical-relative:paragraph;z-index:6640" from="15pt,-18.554522pt" to="0pt,-18.554522pt" stroked="true" strokeweight=".25pt" strokecolor="#000000">
            <w10:wrap type="none"/>
          </v:line>
        </w:pict>
      </w:r>
      <w:r>
        <w:rPr/>
        <w:pict>
          <v:line style="position:absolute;mso-position-horizontal-relative:page;mso-position-vertical-relative:paragraph;z-index:6664" from="508.890015pt,-18.554522pt" to="523.890015pt,-18.554522pt" stroked="true" strokeweight=".25pt" strokecolor="#000000">
            <w10:wrap type="none"/>
          </v:line>
        </w:pict>
      </w:r>
      <w:r>
        <w:rPr>
          <w:rFonts w:ascii="Lucida Sans Unicode" w:hAnsi="Lucida Sans Unicode"/>
          <w:color w:val="6D6E71"/>
          <w:w w:val="105"/>
          <w:sz w:val="14"/>
        </w:rPr>
        <w:t>Los</w:t>
      </w:r>
      <w:r>
        <w:rPr>
          <w:rFonts w:ascii="Lucida Sans Unicode" w:hAnsi="Lucida Sans Unicode"/>
          <w:color w:val="6D6E71"/>
          <w:spacing w:val="-14"/>
          <w:w w:val="105"/>
          <w:sz w:val="14"/>
        </w:rPr>
        <w:t> </w:t>
      </w:r>
      <w:r>
        <w:rPr>
          <w:rFonts w:ascii="Lucida Sans Unicode" w:hAnsi="Lucida Sans Unicode"/>
          <w:color w:val="6D6E71"/>
          <w:w w:val="105"/>
          <w:sz w:val="14"/>
        </w:rPr>
        <w:t>pequeños</w:t>
      </w:r>
      <w:r>
        <w:rPr>
          <w:rFonts w:ascii="Lucida Sans Unicode" w:hAnsi="Lucida Sans Unicode"/>
          <w:color w:val="6D6E71"/>
          <w:spacing w:val="-14"/>
          <w:w w:val="105"/>
          <w:sz w:val="14"/>
        </w:rPr>
        <w:t> </w:t>
      </w:r>
      <w:r>
        <w:rPr>
          <w:rFonts w:ascii="Lucida Sans Unicode" w:hAnsi="Lucida Sans Unicode"/>
          <w:color w:val="6D6E71"/>
          <w:w w:val="105"/>
          <w:sz w:val="14"/>
        </w:rPr>
        <w:t>“soñadores”</w:t>
      </w:r>
      <w:r>
        <w:rPr>
          <w:rFonts w:ascii="Lucida Sans Unicode" w:hAnsi="Lucida Sans Unicode"/>
          <w:color w:val="6D6E71"/>
          <w:spacing w:val="-14"/>
          <w:w w:val="105"/>
          <w:sz w:val="14"/>
        </w:rPr>
        <w:t> </w:t>
      </w:r>
      <w:r>
        <w:rPr>
          <w:rFonts w:ascii="Lucida Sans Unicode" w:hAnsi="Lucida Sans Unicode"/>
          <w:color w:val="6D6E71"/>
          <w:w w:val="105"/>
          <w:sz w:val="14"/>
        </w:rPr>
        <w:t>no</w:t>
      </w:r>
      <w:r>
        <w:rPr>
          <w:rFonts w:ascii="Lucida Sans Unicode" w:hAnsi="Lucida Sans Unicode"/>
          <w:color w:val="6D6E71"/>
          <w:spacing w:val="-14"/>
          <w:w w:val="105"/>
          <w:sz w:val="14"/>
        </w:rPr>
        <w:t> </w:t>
      </w:r>
      <w:r>
        <w:rPr>
          <w:rFonts w:ascii="Lucida Sans Unicode" w:hAnsi="Lucida Sans Unicode"/>
          <w:color w:val="6D6E71"/>
          <w:w w:val="105"/>
          <w:sz w:val="14"/>
        </w:rPr>
        <w:t>acompañados</w:t>
      </w:r>
      <w:r>
        <w:rPr>
          <w:rFonts w:ascii="Lucida Sans Unicode" w:hAnsi="Lucida Sans Unicode"/>
          <w:color w:val="6D6E71"/>
          <w:spacing w:val="-14"/>
          <w:w w:val="105"/>
          <w:sz w:val="14"/>
        </w:rPr>
        <w:t> </w:t>
      </w:r>
      <w:r>
        <w:rPr>
          <w:rFonts w:ascii="Lucida Sans Unicode" w:hAnsi="Lucida Sans Unicode"/>
          <w:color w:val="6D6E71"/>
          <w:w w:val="105"/>
          <w:sz w:val="14"/>
        </w:rPr>
        <w:t>en</w:t>
      </w:r>
      <w:r>
        <w:rPr>
          <w:rFonts w:ascii="Lucida Sans Unicode" w:hAnsi="Lucida Sans Unicode"/>
          <w:color w:val="6D6E71"/>
          <w:spacing w:val="-14"/>
          <w:w w:val="105"/>
          <w:sz w:val="14"/>
        </w:rPr>
        <w:t> </w:t>
      </w:r>
      <w:r>
        <w:rPr>
          <w:rFonts w:ascii="Lucida Sans Unicode" w:hAnsi="Lucida Sans Unicode"/>
          <w:color w:val="6D6E71"/>
          <w:w w:val="105"/>
          <w:sz w:val="14"/>
        </w:rPr>
        <w:t>su</w:t>
      </w:r>
      <w:r>
        <w:rPr>
          <w:rFonts w:ascii="Lucida Sans Unicode" w:hAnsi="Lucida Sans Unicode"/>
          <w:color w:val="6D6E71"/>
          <w:spacing w:val="-14"/>
          <w:w w:val="105"/>
          <w:sz w:val="14"/>
        </w:rPr>
        <w:t> </w:t>
      </w:r>
      <w:r>
        <w:rPr>
          <w:rFonts w:ascii="Lucida Sans Unicode" w:hAnsi="Lucida Sans Unicode"/>
          <w:color w:val="6D6E71"/>
          <w:w w:val="105"/>
          <w:sz w:val="14"/>
        </w:rPr>
        <w:t>tránsito</w:t>
      </w:r>
      <w:r>
        <w:rPr>
          <w:rFonts w:ascii="Lucida Sans Unicode" w:hAnsi="Lucida Sans Unicode"/>
          <w:color w:val="6D6E71"/>
          <w:spacing w:val="-14"/>
          <w:w w:val="105"/>
          <w:sz w:val="14"/>
        </w:rPr>
        <w:t> </w:t>
      </w:r>
      <w:r>
        <w:rPr>
          <w:rFonts w:ascii="Lucida Sans Unicode" w:hAnsi="Lucida Sans Unicode"/>
          <w:color w:val="6D6E71"/>
          <w:w w:val="105"/>
          <w:sz w:val="14"/>
        </w:rPr>
        <w:t>por</w:t>
      </w:r>
      <w:r>
        <w:rPr>
          <w:rFonts w:ascii="Lucida Sans Unicode" w:hAnsi="Lucida Sans Unicode"/>
          <w:color w:val="6D6E71"/>
          <w:spacing w:val="-14"/>
          <w:w w:val="105"/>
          <w:sz w:val="14"/>
        </w:rPr>
        <w:t> </w:t>
      </w:r>
      <w:r>
        <w:rPr>
          <w:rFonts w:ascii="Lucida Sans Unicode" w:hAnsi="Lucida Sans Unicode"/>
          <w:color w:val="6D6E71"/>
          <w:w w:val="105"/>
          <w:sz w:val="14"/>
        </w:rPr>
        <w:t>eL</w:t>
      </w:r>
      <w:r>
        <w:rPr>
          <w:rFonts w:ascii="Lucida Sans Unicode" w:hAnsi="Lucida Sans Unicode"/>
          <w:color w:val="6D6E71"/>
          <w:spacing w:val="-14"/>
          <w:w w:val="105"/>
          <w:sz w:val="14"/>
        </w:rPr>
        <w:t> </w:t>
      </w:r>
      <w:r>
        <w:rPr>
          <w:rFonts w:ascii="Lucida Sans Unicode" w:hAnsi="Lucida Sans Unicode"/>
          <w:color w:val="6D6E71"/>
          <w:w w:val="105"/>
          <w:sz w:val="14"/>
        </w:rPr>
        <w:t>estado</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méxico.</w:t>
      </w:r>
      <w:r>
        <w:rPr>
          <w:rFonts w:ascii="Arial" w:hAnsi="Arial"/>
          <w:color w:val="414042"/>
          <w:w w:val="105"/>
          <w:position w:val="-3"/>
          <w:sz w:val="20"/>
        </w:rPr>
        <w:tab/>
        <w:t>69</w:t>
      </w:r>
    </w:p>
    <w:p>
      <w:pPr>
        <w:spacing w:line="187" w:lineRule="exact" w:before="0"/>
        <w:ind w:left="4069" w:right="0" w:firstLine="0"/>
        <w:jc w:val="left"/>
        <w:rPr>
          <w:rFonts w:ascii="Lucida Sans Unicode" w:hAnsi="Lucida Sans Unicode"/>
          <w:sz w:val="14"/>
        </w:rPr>
      </w:pPr>
      <w:r>
        <w:rPr>
          <w:rFonts w:ascii="Lucida Sans Unicode" w:hAnsi="Lucida Sans Unicode"/>
          <w:color w:val="6D6E71"/>
          <w:w w:val="105"/>
          <w:sz w:val="14"/>
        </w:rPr>
        <w:t>una revisión a partir deL interés superior de La infancia</w:t>
      </w:r>
    </w:p>
    <w:p>
      <w:pPr>
        <w:pStyle w:val="BodyText"/>
        <w:rPr>
          <w:rFonts w:ascii="Lucida Sans Unicode"/>
          <w:sz w:val="20"/>
        </w:rPr>
      </w:pPr>
    </w:p>
    <w:p>
      <w:pPr>
        <w:pStyle w:val="BodyText"/>
        <w:spacing w:line="261" w:lineRule="auto" w:before="173"/>
        <w:ind w:left="1837" w:right="1721"/>
        <w:jc w:val="both"/>
      </w:pPr>
      <w:r>
        <w:rPr>
          <w:color w:val="231F20"/>
          <w:w w:val="105"/>
        </w:rPr>
        <w:t>sólo</w:t>
      </w:r>
      <w:r>
        <w:rPr>
          <w:color w:val="231F20"/>
          <w:spacing w:val="-23"/>
          <w:w w:val="105"/>
        </w:rPr>
        <w:t> </w:t>
      </w:r>
      <w:r>
        <w:rPr>
          <w:color w:val="231F20"/>
          <w:w w:val="105"/>
        </w:rPr>
        <w:t>fortalecer</w:t>
      </w:r>
      <w:r>
        <w:rPr>
          <w:color w:val="231F20"/>
          <w:spacing w:val="-23"/>
          <w:w w:val="105"/>
        </w:rPr>
        <w:t> </w:t>
      </w:r>
      <w:r>
        <w:rPr>
          <w:color w:val="231F20"/>
          <w:w w:val="105"/>
        </w:rPr>
        <w:t>los</w:t>
      </w:r>
      <w:r>
        <w:rPr>
          <w:color w:val="231F20"/>
          <w:spacing w:val="-23"/>
          <w:w w:val="105"/>
        </w:rPr>
        <w:t> </w:t>
      </w:r>
      <w:r>
        <w:rPr>
          <w:color w:val="231F20"/>
          <w:w w:val="105"/>
        </w:rPr>
        <w:t>programas</w:t>
      </w:r>
      <w:r>
        <w:rPr>
          <w:color w:val="231F20"/>
          <w:spacing w:val="-23"/>
          <w:w w:val="105"/>
        </w:rPr>
        <w:t> </w:t>
      </w:r>
      <w:r>
        <w:rPr>
          <w:color w:val="231F20"/>
          <w:w w:val="105"/>
        </w:rPr>
        <w:t>para</w:t>
      </w:r>
      <w:r>
        <w:rPr>
          <w:color w:val="231F20"/>
          <w:spacing w:val="-23"/>
          <w:w w:val="105"/>
        </w:rPr>
        <w:t> </w:t>
      </w:r>
      <w:r>
        <w:rPr>
          <w:color w:val="231F20"/>
          <w:w w:val="105"/>
        </w:rPr>
        <w:t>detectar</w:t>
      </w:r>
      <w:r>
        <w:rPr>
          <w:color w:val="231F20"/>
          <w:spacing w:val="-23"/>
          <w:w w:val="105"/>
        </w:rPr>
        <w:t> </w:t>
      </w:r>
      <w:r>
        <w:rPr>
          <w:color w:val="231F20"/>
          <w:w w:val="105"/>
        </w:rPr>
        <w:t>y</w:t>
      </w:r>
      <w:r>
        <w:rPr>
          <w:color w:val="231F20"/>
          <w:spacing w:val="-23"/>
          <w:w w:val="105"/>
        </w:rPr>
        <w:t> </w:t>
      </w:r>
      <w:r>
        <w:rPr>
          <w:color w:val="231F20"/>
          <w:w w:val="105"/>
        </w:rPr>
        <w:t>atender</w:t>
      </w:r>
      <w:r>
        <w:rPr>
          <w:color w:val="231F20"/>
          <w:spacing w:val="-23"/>
          <w:w w:val="105"/>
        </w:rPr>
        <w:t> </w:t>
      </w:r>
      <w:r>
        <w:rPr>
          <w:color w:val="231F20"/>
          <w:w w:val="105"/>
        </w:rPr>
        <w:t>a</w:t>
      </w:r>
      <w:r>
        <w:rPr>
          <w:color w:val="231F20"/>
          <w:spacing w:val="-23"/>
          <w:w w:val="105"/>
        </w:rPr>
        <w:t> </w:t>
      </w:r>
      <w:r>
        <w:rPr>
          <w:color w:val="231F20"/>
          <w:w w:val="105"/>
        </w:rPr>
        <w:t>los</w:t>
      </w:r>
      <w:r>
        <w:rPr>
          <w:color w:val="231F20"/>
          <w:spacing w:val="-22"/>
          <w:w w:val="105"/>
        </w:rPr>
        <w:t> </w:t>
      </w:r>
      <w:r>
        <w:rPr>
          <w:color w:val="231F20"/>
          <w:w w:val="105"/>
          <w:sz w:val="17"/>
        </w:rPr>
        <w:t>NNA</w:t>
      </w:r>
      <w:r>
        <w:rPr>
          <w:color w:val="231F20"/>
          <w:spacing w:val="-11"/>
          <w:w w:val="105"/>
          <w:sz w:val="17"/>
        </w:rPr>
        <w:t> </w:t>
      </w:r>
      <w:r>
        <w:rPr>
          <w:color w:val="231F20"/>
          <w:w w:val="105"/>
        </w:rPr>
        <w:t>migrantes irregulares no acompañados que actualmente existen, sino generar</w:t>
      </w:r>
      <w:r>
        <w:rPr>
          <w:color w:val="231F20"/>
          <w:spacing w:val="-11"/>
          <w:w w:val="105"/>
        </w:rPr>
        <w:t> </w:t>
      </w:r>
      <w:r>
        <w:rPr>
          <w:color w:val="231F20"/>
          <w:w w:val="105"/>
        </w:rPr>
        <w:t>los instrumentos</w:t>
      </w:r>
      <w:r>
        <w:rPr>
          <w:color w:val="231F20"/>
          <w:spacing w:val="-15"/>
          <w:w w:val="105"/>
        </w:rPr>
        <w:t> </w:t>
      </w:r>
      <w:r>
        <w:rPr>
          <w:color w:val="231F20"/>
          <w:w w:val="105"/>
        </w:rPr>
        <w:t>jurídicos</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infraestructura</w:t>
      </w:r>
      <w:r>
        <w:rPr>
          <w:color w:val="231F20"/>
          <w:spacing w:val="-15"/>
          <w:w w:val="105"/>
        </w:rPr>
        <w:t> </w:t>
      </w:r>
      <w:r>
        <w:rPr>
          <w:color w:val="231F20"/>
          <w:w w:val="105"/>
        </w:rPr>
        <w:t>necesaria</w:t>
      </w:r>
      <w:r>
        <w:rPr>
          <w:color w:val="231F20"/>
          <w:spacing w:val="-15"/>
          <w:w w:val="105"/>
        </w:rPr>
        <w:t> </w:t>
      </w:r>
      <w:r>
        <w:rPr>
          <w:color w:val="231F20"/>
          <w:w w:val="105"/>
        </w:rPr>
        <w:t>para</w:t>
      </w:r>
      <w:r>
        <w:rPr>
          <w:color w:val="231F20"/>
          <w:spacing w:val="-15"/>
          <w:w w:val="105"/>
        </w:rPr>
        <w:t> </w:t>
      </w:r>
      <w:r>
        <w:rPr>
          <w:color w:val="231F20"/>
          <w:w w:val="105"/>
        </w:rPr>
        <w:t>defender,</w:t>
      </w:r>
      <w:r>
        <w:rPr>
          <w:color w:val="231F20"/>
          <w:spacing w:val="-20"/>
          <w:w w:val="105"/>
        </w:rPr>
        <w:t> </w:t>
      </w:r>
      <w:r>
        <w:rPr>
          <w:color w:val="231F20"/>
          <w:w w:val="105"/>
        </w:rPr>
        <w:t>de</w:t>
      </w:r>
      <w:r>
        <w:rPr>
          <w:color w:val="231F20"/>
          <w:spacing w:val="-15"/>
          <w:w w:val="105"/>
        </w:rPr>
        <w:t> </w:t>
      </w:r>
      <w:r>
        <w:rPr>
          <w:color w:val="231F20"/>
          <w:w w:val="105"/>
        </w:rPr>
        <w:t>la mejor</w:t>
      </w:r>
      <w:r>
        <w:rPr>
          <w:color w:val="231F20"/>
          <w:spacing w:val="-18"/>
          <w:w w:val="105"/>
        </w:rPr>
        <w:t> </w:t>
      </w:r>
      <w:r>
        <w:rPr>
          <w:color w:val="231F20"/>
          <w:w w:val="105"/>
        </w:rPr>
        <w:t>forma</w:t>
      </w:r>
      <w:r>
        <w:rPr>
          <w:color w:val="231F20"/>
          <w:spacing w:val="-18"/>
          <w:w w:val="105"/>
        </w:rPr>
        <w:t> </w:t>
      </w:r>
      <w:r>
        <w:rPr>
          <w:color w:val="231F20"/>
          <w:w w:val="105"/>
        </w:rPr>
        <w:t>posible,</w:t>
      </w:r>
      <w:r>
        <w:rPr>
          <w:color w:val="231F20"/>
          <w:spacing w:val="-23"/>
          <w:w w:val="105"/>
        </w:rPr>
        <w:t> </w:t>
      </w:r>
      <w:r>
        <w:rPr>
          <w:color w:val="231F20"/>
          <w:w w:val="105"/>
        </w:rPr>
        <w:t>el</w:t>
      </w:r>
      <w:r>
        <w:rPr>
          <w:color w:val="231F20"/>
          <w:spacing w:val="-18"/>
          <w:w w:val="105"/>
        </w:rPr>
        <w:t> </w:t>
      </w:r>
      <w:r>
        <w:rPr>
          <w:color w:val="231F20"/>
          <w:w w:val="105"/>
        </w:rPr>
        <w:t>interés</w:t>
      </w:r>
      <w:r>
        <w:rPr>
          <w:color w:val="231F20"/>
          <w:spacing w:val="-18"/>
          <w:w w:val="105"/>
        </w:rPr>
        <w:t> </w:t>
      </w:r>
      <w:r>
        <w:rPr>
          <w:color w:val="231F20"/>
          <w:w w:val="105"/>
        </w:rPr>
        <w:t>superior</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infancia.</w:t>
      </w:r>
      <w:r>
        <w:rPr>
          <w:color w:val="231F20"/>
          <w:spacing w:val="-23"/>
          <w:w w:val="105"/>
        </w:rPr>
        <w:t> </w:t>
      </w:r>
      <w:r>
        <w:rPr>
          <w:color w:val="231F20"/>
          <w:w w:val="105"/>
        </w:rPr>
        <w:t>Este</w:t>
      </w:r>
      <w:r>
        <w:rPr>
          <w:color w:val="231F20"/>
          <w:spacing w:val="-18"/>
          <w:w w:val="105"/>
        </w:rPr>
        <w:t> </w:t>
      </w:r>
      <w:r>
        <w:rPr>
          <w:color w:val="231F20"/>
          <w:w w:val="105"/>
        </w:rPr>
        <w:t>es</w:t>
      </w:r>
      <w:r>
        <w:rPr>
          <w:color w:val="231F20"/>
          <w:spacing w:val="-18"/>
          <w:w w:val="105"/>
        </w:rPr>
        <w:t> </w:t>
      </w:r>
      <w:r>
        <w:rPr>
          <w:color w:val="231F20"/>
          <w:w w:val="105"/>
        </w:rPr>
        <w:t>el</w:t>
      </w:r>
      <w:r>
        <w:rPr>
          <w:color w:val="231F20"/>
          <w:spacing w:val="-18"/>
          <w:w w:val="105"/>
        </w:rPr>
        <w:t> </w:t>
      </w:r>
      <w:r>
        <w:rPr>
          <w:color w:val="231F20"/>
          <w:w w:val="105"/>
        </w:rPr>
        <w:t>principio supremo</w:t>
      </w:r>
      <w:r>
        <w:rPr>
          <w:color w:val="231F20"/>
          <w:spacing w:val="-10"/>
          <w:w w:val="105"/>
        </w:rPr>
        <w:t> </w:t>
      </w:r>
      <w:r>
        <w:rPr>
          <w:color w:val="231F20"/>
          <w:w w:val="105"/>
        </w:rPr>
        <w:t>que</w:t>
      </w:r>
      <w:r>
        <w:rPr>
          <w:color w:val="231F20"/>
          <w:spacing w:val="-10"/>
          <w:w w:val="105"/>
        </w:rPr>
        <w:t> </w:t>
      </w:r>
      <w:r>
        <w:rPr>
          <w:color w:val="231F20"/>
          <w:w w:val="105"/>
        </w:rPr>
        <w:t>rige</w:t>
      </w:r>
      <w:r>
        <w:rPr>
          <w:color w:val="231F20"/>
          <w:spacing w:val="-10"/>
          <w:w w:val="105"/>
        </w:rPr>
        <w:t> </w:t>
      </w:r>
      <w:r>
        <w:rPr>
          <w:color w:val="231F20"/>
          <w:w w:val="105"/>
        </w:rPr>
        <w:t>cualquier</w:t>
      </w:r>
      <w:r>
        <w:rPr>
          <w:color w:val="231F20"/>
          <w:spacing w:val="-10"/>
          <w:w w:val="105"/>
        </w:rPr>
        <w:t> </w:t>
      </w:r>
      <w:r>
        <w:rPr>
          <w:color w:val="231F20"/>
          <w:w w:val="105"/>
        </w:rPr>
        <w:t>acción</w:t>
      </w:r>
      <w:r>
        <w:rPr>
          <w:color w:val="231F20"/>
          <w:spacing w:val="-10"/>
          <w:w w:val="105"/>
        </w:rPr>
        <w:t> </w:t>
      </w:r>
      <w:r>
        <w:rPr>
          <w:color w:val="231F20"/>
          <w:w w:val="105"/>
        </w:rPr>
        <w:t>jurídica</w:t>
      </w:r>
      <w:r>
        <w:rPr>
          <w:color w:val="231F20"/>
          <w:spacing w:val="-10"/>
          <w:w w:val="105"/>
        </w:rPr>
        <w:t> </w:t>
      </w:r>
      <w:r>
        <w:rPr>
          <w:color w:val="231F20"/>
          <w:w w:val="105"/>
        </w:rPr>
        <w:t>relacionada</w:t>
      </w:r>
      <w:r>
        <w:rPr>
          <w:color w:val="231F20"/>
          <w:spacing w:val="-10"/>
          <w:w w:val="105"/>
        </w:rPr>
        <w:t> </w:t>
      </w:r>
      <w:r>
        <w:rPr>
          <w:color w:val="231F20"/>
          <w:w w:val="105"/>
        </w:rPr>
        <w:t>con</w:t>
      </w:r>
      <w:r>
        <w:rPr>
          <w:color w:val="231F20"/>
          <w:spacing w:val="-10"/>
          <w:w w:val="105"/>
        </w:rPr>
        <w:t> </w:t>
      </w:r>
      <w:r>
        <w:rPr>
          <w:color w:val="231F20"/>
          <w:w w:val="105"/>
        </w:rPr>
        <w:t>los</w:t>
      </w:r>
      <w:r>
        <w:rPr>
          <w:color w:val="231F20"/>
          <w:spacing w:val="-10"/>
          <w:w w:val="105"/>
        </w:rPr>
        <w:t> </w:t>
      </w:r>
      <w:r>
        <w:rPr>
          <w:color w:val="231F20"/>
          <w:w w:val="105"/>
        </w:rPr>
        <w:t>menores de edad, que nos hemos comprometido a proteger no sólo en la legis- lación</w:t>
      </w:r>
      <w:r>
        <w:rPr>
          <w:color w:val="231F20"/>
          <w:spacing w:val="-17"/>
          <w:w w:val="105"/>
        </w:rPr>
        <w:t> </w:t>
      </w:r>
      <w:r>
        <w:rPr>
          <w:color w:val="231F20"/>
          <w:w w:val="105"/>
        </w:rPr>
        <w:t>local</w:t>
      </w:r>
      <w:r>
        <w:rPr>
          <w:color w:val="231F20"/>
          <w:spacing w:val="-17"/>
          <w:w w:val="105"/>
        </w:rPr>
        <w:t> </w:t>
      </w:r>
      <w:r>
        <w:rPr>
          <w:color w:val="231F20"/>
          <w:w w:val="105"/>
        </w:rPr>
        <w:t>y</w:t>
      </w:r>
      <w:r>
        <w:rPr>
          <w:color w:val="231F20"/>
          <w:spacing w:val="-17"/>
          <w:w w:val="105"/>
        </w:rPr>
        <w:t> </w:t>
      </w:r>
      <w:r>
        <w:rPr>
          <w:color w:val="231F20"/>
          <w:w w:val="105"/>
        </w:rPr>
        <w:t>nacional,</w:t>
      </w:r>
      <w:r>
        <w:rPr>
          <w:color w:val="231F20"/>
          <w:spacing w:val="-21"/>
          <w:w w:val="105"/>
        </w:rPr>
        <w:t> </w:t>
      </w:r>
      <w:r>
        <w:rPr>
          <w:color w:val="231F20"/>
          <w:w w:val="105"/>
        </w:rPr>
        <w:t>sino</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diversos</w:t>
      </w:r>
      <w:r>
        <w:rPr>
          <w:color w:val="231F20"/>
          <w:spacing w:val="-17"/>
          <w:w w:val="105"/>
        </w:rPr>
        <w:t> </w:t>
      </w:r>
      <w:r>
        <w:rPr>
          <w:color w:val="231F20"/>
          <w:w w:val="105"/>
        </w:rPr>
        <w:t>instrumentos</w:t>
      </w:r>
      <w:r>
        <w:rPr>
          <w:color w:val="231F20"/>
          <w:spacing w:val="-17"/>
          <w:w w:val="105"/>
        </w:rPr>
        <w:t> </w:t>
      </w:r>
      <w:r>
        <w:rPr>
          <w:color w:val="231F20"/>
          <w:w w:val="105"/>
        </w:rPr>
        <w:t>internacionales que</w:t>
      </w:r>
      <w:r>
        <w:rPr>
          <w:color w:val="231F20"/>
          <w:spacing w:val="-5"/>
          <w:w w:val="105"/>
        </w:rPr>
        <w:t> </w:t>
      </w:r>
      <w:r>
        <w:rPr>
          <w:color w:val="231F20"/>
          <w:w w:val="105"/>
        </w:rPr>
        <w:t>México</w:t>
      </w:r>
      <w:r>
        <w:rPr>
          <w:color w:val="231F20"/>
          <w:spacing w:val="-5"/>
          <w:w w:val="105"/>
        </w:rPr>
        <w:t> </w:t>
      </w:r>
      <w:r>
        <w:rPr>
          <w:color w:val="231F20"/>
          <w:w w:val="105"/>
        </w:rPr>
        <w:t>ha</w:t>
      </w:r>
      <w:r>
        <w:rPr>
          <w:color w:val="231F20"/>
          <w:spacing w:val="-5"/>
          <w:w w:val="105"/>
        </w:rPr>
        <w:t> </w:t>
      </w:r>
      <w:r>
        <w:rPr>
          <w:color w:val="231F20"/>
          <w:w w:val="105"/>
        </w:rPr>
        <w:t>signado</w:t>
      </w:r>
      <w:r>
        <w:rPr>
          <w:color w:val="231F20"/>
          <w:spacing w:val="-5"/>
          <w:w w:val="105"/>
        </w:rPr>
        <w:t> </w:t>
      </w:r>
      <w:r>
        <w:rPr>
          <w:color w:val="231F20"/>
          <w:w w:val="105"/>
        </w:rPr>
        <w:t>y</w:t>
      </w:r>
      <w:r>
        <w:rPr>
          <w:color w:val="231F20"/>
          <w:spacing w:val="-5"/>
          <w:w w:val="105"/>
        </w:rPr>
        <w:t> </w:t>
      </w:r>
      <w:r>
        <w:rPr>
          <w:color w:val="231F20"/>
          <w:w w:val="105"/>
        </w:rPr>
        <w:t>que</w:t>
      </w:r>
      <w:r>
        <w:rPr>
          <w:color w:val="231F20"/>
          <w:spacing w:val="-5"/>
          <w:w w:val="105"/>
        </w:rPr>
        <w:t> </w:t>
      </w:r>
      <w:r>
        <w:rPr>
          <w:color w:val="231F20"/>
          <w:w w:val="105"/>
        </w:rPr>
        <w:t>de</w:t>
      </w:r>
      <w:r>
        <w:rPr>
          <w:color w:val="231F20"/>
          <w:spacing w:val="-5"/>
          <w:w w:val="105"/>
        </w:rPr>
        <w:t> </w:t>
      </w:r>
      <w:r>
        <w:rPr>
          <w:color w:val="231F20"/>
          <w:w w:val="105"/>
        </w:rPr>
        <w:t>acuerdo</w:t>
      </w:r>
      <w:r>
        <w:rPr>
          <w:color w:val="231F20"/>
          <w:spacing w:val="-5"/>
          <w:w w:val="105"/>
        </w:rPr>
        <w:t> </w:t>
      </w:r>
      <w:r>
        <w:rPr>
          <w:color w:val="231F20"/>
          <w:w w:val="105"/>
        </w:rPr>
        <w:t>con</w:t>
      </w:r>
      <w:r>
        <w:rPr>
          <w:color w:val="231F20"/>
          <w:spacing w:val="-5"/>
          <w:w w:val="105"/>
        </w:rPr>
        <w:t> </w:t>
      </w:r>
      <w:r>
        <w:rPr>
          <w:color w:val="231F20"/>
          <w:w w:val="105"/>
        </w:rPr>
        <w:t>nuestra</w:t>
      </w:r>
      <w:r>
        <w:rPr>
          <w:color w:val="231F20"/>
          <w:spacing w:val="-5"/>
          <w:w w:val="105"/>
        </w:rPr>
        <w:t> </w:t>
      </w:r>
      <w:r>
        <w:rPr>
          <w:color w:val="231F20"/>
          <w:w w:val="105"/>
        </w:rPr>
        <w:t>Carta</w:t>
      </w:r>
      <w:r>
        <w:rPr>
          <w:color w:val="231F20"/>
          <w:spacing w:val="-5"/>
          <w:w w:val="105"/>
        </w:rPr>
        <w:t> </w:t>
      </w:r>
      <w:r>
        <w:rPr>
          <w:color w:val="231F20"/>
          <w:w w:val="105"/>
        </w:rPr>
        <w:t>Magna</w:t>
      </w:r>
      <w:r>
        <w:rPr>
          <w:color w:val="231F20"/>
          <w:spacing w:val="-5"/>
          <w:w w:val="105"/>
        </w:rPr>
        <w:t> </w:t>
      </w:r>
      <w:r>
        <w:rPr>
          <w:color w:val="231F20"/>
          <w:w w:val="105"/>
        </w:rPr>
        <w:t>son parte</w:t>
      </w:r>
      <w:r>
        <w:rPr>
          <w:color w:val="231F20"/>
          <w:spacing w:val="-14"/>
          <w:w w:val="105"/>
        </w:rPr>
        <w:t> </w:t>
      </w:r>
      <w:r>
        <w:rPr>
          <w:color w:val="231F20"/>
          <w:w w:val="105"/>
        </w:rPr>
        <w:t>de</w:t>
      </w:r>
      <w:r>
        <w:rPr>
          <w:color w:val="231F20"/>
          <w:spacing w:val="-14"/>
          <w:w w:val="105"/>
        </w:rPr>
        <w:t> </w:t>
      </w:r>
      <w:r>
        <w:rPr>
          <w:color w:val="231F20"/>
          <w:w w:val="105"/>
        </w:rPr>
        <w:t>nuestro</w:t>
      </w:r>
      <w:r>
        <w:rPr>
          <w:color w:val="231F20"/>
          <w:spacing w:val="-14"/>
          <w:w w:val="105"/>
        </w:rPr>
        <w:t> </w:t>
      </w:r>
      <w:r>
        <w:rPr>
          <w:color w:val="231F20"/>
          <w:w w:val="105"/>
        </w:rPr>
        <w:t>sistema</w:t>
      </w:r>
      <w:r>
        <w:rPr>
          <w:color w:val="231F20"/>
          <w:spacing w:val="-14"/>
          <w:w w:val="105"/>
        </w:rPr>
        <w:t> </w:t>
      </w:r>
      <w:r>
        <w:rPr>
          <w:color w:val="231F20"/>
          <w:w w:val="105"/>
        </w:rPr>
        <w:t>jurídico.</w:t>
      </w:r>
    </w:p>
    <w:p>
      <w:pPr>
        <w:pStyle w:val="BodyText"/>
        <w:rPr>
          <w:sz w:val="20"/>
        </w:rPr>
      </w:pPr>
    </w:p>
    <w:p>
      <w:pPr>
        <w:pStyle w:val="BodyText"/>
        <w:spacing w:before="9"/>
        <w:rPr>
          <w:sz w:val="20"/>
        </w:rPr>
      </w:pPr>
    </w:p>
    <w:p>
      <w:pPr>
        <w:spacing w:line="266" w:lineRule="auto" w:before="0"/>
        <w:ind w:left="1837" w:right="3009" w:firstLine="0"/>
        <w:jc w:val="left"/>
        <w:rPr>
          <w:rFonts w:ascii="Arial" w:hAnsi="Arial"/>
          <w:b/>
          <w:sz w:val="22"/>
        </w:rPr>
      </w:pPr>
      <w:r>
        <w:rPr>
          <w:rFonts w:ascii="Arial" w:hAnsi="Arial"/>
          <w:b/>
          <w:color w:val="231F20"/>
          <w:sz w:val="22"/>
        </w:rPr>
        <w:t>Niños,</w:t>
      </w:r>
      <w:r>
        <w:rPr>
          <w:rFonts w:ascii="Arial" w:hAnsi="Arial"/>
          <w:b/>
          <w:color w:val="231F20"/>
          <w:spacing w:val="-42"/>
          <w:sz w:val="22"/>
        </w:rPr>
        <w:t> </w:t>
      </w:r>
      <w:r>
        <w:rPr>
          <w:rFonts w:ascii="Arial" w:hAnsi="Arial"/>
          <w:b/>
          <w:color w:val="231F20"/>
          <w:sz w:val="22"/>
        </w:rPr>
        <w:t>niñas</w:t>
      </w:r>
      <w:r>
        <w:rPr>
          <w:rFonts w:ascii="Arial" w:hAnsi="Arial"/>
          <w:b/>
          <w:color w:val="231F20"/>
          <w:spacing w:val="-40"/>
          <w:sz w:val="22"/>
        </w:rPr>
        <w:t> </w:t>
      </w:r>
      <w:r>
        <w:rPr>
          <w:rFonts w:ascii="Arial" w:hAnsi="Arial"/>
          <w:b/>
          <w:color w:val="231F20"/>
          <w:sz w:val="22"/>
        </w:rPr>
        <w:t>y</w:t>
      </w:r>
      <w:r>
        <w:rPr>
          <w:rFonts w:ascii="Arial" w:hAnsi="Arial"/>
          <w:b/>
          <w:color w:val="231F20"/>
          <w:spacing w:val="-40"/>
          <w:sz w:val="22"/>
        </w:rPr>
        <w:t> </w:t>
      </w:r>
      <w:r>
        <w:rPr>
          <w:rFonts w:ascii="Arial" w:hAnsi="Arial"/>
          <w:b/>
          <w:color w:val="231F20"/>
          <w:sz w:val="22"/>
        </w:rPr>
        <w:t>adolescentes</w:t>
      </w:r>
      <w:r>
        <w:rPr>
          <w:rFonts w:ascii="Arial" w:hAnsi="Arial"/>
          <w:b/>
          <w:color w:val="231F20"/>
          <w:spacing w:val="-40"/>
          <w:sz w:val="22"/>
        </w:rPr>
        <w:t> </w:t>
      </w:r>
      <w:r>
        <w:rPr>
          <w:rFonts w:ascii="Arial" w:hAnsi="Arial"/>
          <w:b/>
          <w:color w:val="231F20"/>
          <w:sz w:val="22"/>
        </w:rPr>
        <w:t>(</w:t>
      </w:r>
      <w:r>
        <w:rPr>
          <w:rFonts w:ascii="Arial" w:hAnsi="Arial"/>
          <w:b/>
          <w:color w:val="231F20"/>
          <w:sz w:val="18"/>
        </w:rPr>
        <w:t>NNA</w:t>
      </w:r>
      <w:r>
        <w:rPr>
          <w:rFonts w:ascii="Arial" w:hAnsi="Arial"/>
          <w:b/>
          <w:color w:val="231F20"/>
          <w:sz w:val="22"/>
        </w:rPr>
        <w:t>)</w:t>
      </w:r>
      <w:r>
        <w:rPr>
          <w:rFonts w:ascii="Arial" w:hAnsi="Arial"/>
          <w:b/>
          <w:color w:val="231F20"/>
          <w:spacing w:val="-40"/>
          <w:sz w:val="22"/>
        </w:rPr>
        <w:t> </w:t>
      </w:r>
      <w:r>
        <w:rPr>
          <w:rFonts w:ascii="Arial" w:hAnsi="Arial"/>
          <w:b/>
          <w:color w:val="231F20"/>
          <w:sz w:val="22"/>
        </w:rPr>
        <w:t>migrantes</w:t>
      </w:r>
      <w:r>
        <w:rPr>
          <w:rFonts w:ascii="Arial" w:hAnsi="Arial"/>
          <w:b/>
          <w:color w:val="231F20"/>
          <w:spacing w:val="-40"/>
          <w:sz w:val="22"/>
        </w:rPr>
        <w:t> </w:t>
      </w:r>
      <w:r>
        <w:rPr>
          <w:rFonts w:ascii="Arial" w:hAnsi="Arial"/>
          <w:b/>
          <w:color w:val="231F20"/>
          <w:sz w:val="22"/>
        </w:rPr>
        <w:t>irregulares </w:t>
      </w:r>
      <w:r>
        <w:rPr>
          <w:rFonts w:ascii="Arial" w:hAnsi="Arial"/>
          <w:b/>
          <w:color w:val="231F20"/>
          <w:w w:val="95"/>
          <w:sz w:val="22"/>
        </w:rPr>
        <w:t>no</w:t>
      </w:r>
      <w:r>
        <w:rPr>
          <w:rFonts w:ascii="Arial" w:hAnsi="Arial"/>
          <w:b/>
          <w:color w:val="231F20"/>
          <w:spacing w:val="36"/>
          <w:w w:val="95"/>
          <w:sz w:val="22"/>
        </w:rPr>
        <w:t> </w:t>
      </w:r>
      <w:r>
        <w:rPr>
          <w:rFonts w:ascii="Arial" w:hAnsi="Arial"/>
          <w:b/>
          <w:color w:val="231F20"/>
          <w:w w:val="95"/>
          <w:sz w:val="22"/>
        </w:rPr>
        <w:t>acompañados</w:t>
      </w:r>
    </w:p>
    <w:p>
      <w:pPr>
        <w:pStyle w:val="BodyText"/>
        <w:rPr>
          <w:rFonts w:ascii="Arial"/>
          <w:b/>
          <w:sz w:val="22"/>
        </w:rPr>
      </w:pPr>
    </w:p>
    <w:p>
      <w:pPr>
        <w:pStyle w:val="BodyText"/>
        <w:spacing w:line="261" w:lineRule="auto" w:before="136"/>
        <w:ind w:left="1837" w:right="1715"/>
        <w:jc w:val="both"/>
      </w:pPr>
      <w:r>
        <w:rPr>
          <w:color w:val="231F20"/>
          <w:w w:val="105"/>
        </w:rPr>
        <w:t>La</w:t>
      </w:r>
      <w:r>
        <w:rPr>
          <w:color w:val="231F20"/>
          <w:spacing w:val="-20"/>
          <w:w w:val="105"/>
        </w:rPr>
        <w:t> </w:t>
      </w:r>
      <w:r>
        <w:rPr>
          <w:color w:val="231F20"/>
          <w:w w:val="105"/>
        </w:rPr>
        <w:t>Organización</w:t>
      </w:r>
      <w:r>
        <w:rPr>
          <w:color w:val="231F20"/>
          <w:spacing w:val="-20"/>
          <w:w w:val="105"/>
        </w:rPr>
        <w:t> </w:t>
      </w:r>
      <w:r>
        <w:rPr>
          <w:color w:val="231F20"/>
          <w:w w:val="105"/>
        </w:rPr>
        <w:t>Internacional</w:t>
      </w:r>
      <w:r>
        <w:rPr>
          <w:color w:val="231F20"/>
          <w:spacing w:val="-20"/>
          <w:w w:val="105"/>
        </w:rPr>
        <w:t> </w:t>
      </w:r>
      <w:r>
        <w:rPr>
          <w:color w:val="231F20"/>
          <w:w w:val="105"/>
        </w:rPr>
        <w:t>para</w:t>
      </w:r>
      <w:r>
        <w:rPr>
          <w:color w:val="231F20"/>
          <w:spacing w:val="-20"/>
          <w:w w:val="105"/>
        </w:rPr>
        <w:t> </w:t>
      </w:r>
      <w:r>
        <w:rPr>
          <w:color w:val="231F20"/>
          <w:w w:val="105"/>
        </w:rPr>
        <w:t>las</w:t>
      </w:r>
      <w:r>
        <w:rPr>
          <w:color w:val="231F20"/>
          <w:spacing w:val="-20"/>
          <w:w w:val="105"/>
        </w:rPr>
        <w:t> </w:t>
      </w:r>
      <w:r>
        <w:rPr>
          <w:color w:val="231F20"/>
          <w:w w:val="105"/>
        </w:rPr>
        <w:t>Migraciones</w:t>
      </w:r>
      <w:r>
        <w:rPr>
          <w:color w:val="231F20"/>
          <w:spacing w:val="-20"/>
          <w:w w:val="105"/>
        </w:rPr>
        <w:t> </w:t>
      </w:r>
      <w:r>
        <w:rPr>
          <w:color w:val="231F20"/>
          <w:w w:val="105"/>
        </w:rPr>
        <w:t>(</w:t>
      </w:r>
      <w:r>
        <w:rPr>
          <w:color w:val="231F20"/>
          <w:w w:val="105"/>
          <w:sz w:val="17"/>
        </w:rPr>
        <w:t>OIM</w:t>
      </w:r>
      <w:r>
        <w:rPr>
          <w:color w:val="231F20"/>
          <w:w w:val="105"/>
        </w:rPr>
        <w:t>)</w:t>
      </w:r>
      <w:r>
        <w:rPr>
          <w:color w:val="231F20"/>
          <w:spacing w:val="-20"/>
          <w:w w:val="105"/>
        </w:rPr>
        <w:t> </w:t>
      </w:r>
      <w:r>
        <w:rPr>
          <w:color w:val="231F20"/>
          <w:w w:val="105"/>
        </w:rPr>
        <w:t>define</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mi- grantes irregulares como “personas que se desplazan al margen de</w:t>
      </w:r>
      <w:r>
        <w:rPr>
          <w:color w:val="231F20"/>
          <w:spacing w:val="-28"/>
          <w:w w:val="105"/>
        </w:rPr>
        <w:t> </w:t>
      </w:r>
      <w:r>
        <w:rPr>
          <w:color w:val="231F20"/>
          <w:w w:val="105"/>
        </w:rPr>
        <w:t>las normas</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Estados</w:t>
      </w:r>
      <w:r>
        <w:rPr>
          <w:color w:val="231F20"/>
          <w:spacing w:val="-5"/>
          <w:w w:val="105"/>
        </w:rPr>
        <w:t> </w:t>
      </w:r>
      <w:r>
        <w:rPr>
          <w:color w:val="231F20"/>
          <w:w w:val="105"/>
        </w:rPr>
        <w:t>de</w:t>
      </w:r>
      <w:r>
        <w:rPr>
          <w:color w:val="231F20"/>
          <w:spacing w:val="-5"/>
          <w:w w:val="105"/>
        </w:rPr>
        <w:t> </w:t>
      </w:r>
      <w:r>
        <w:rPr>
          <w:color w:val="231F20"/>
          <w:w w:val="105"/>
        </w:rPr>
        <w:t>envío,</w:t>
      </w:r>
      <w:r>
        <w:rPr>
          <w:color w:val="231F20"/>
          <w:spacing w:val="-10"/>
          <w:w w:val="105"/>
        </w:rPr>
        <w:t> </w:t>
      </w:r>
      <w:r>
        <w:rPr>
          <w:color w:val="231F20"/>
          <w:w w:val="105"/>
        </w:rPr>
        <w:t>de</w:t>
      </w:r>
      <w:r>
        <w:rPr>
          <w:color w:val="231F20"/>
          <w:spacing w:val="-5"/>
          <w:w w:val="105"/>
        </w:rPr>
        <w:t> </w:t>
      </w:r>
      <w:r>
        <w:rPr>
          <w:color w:val="231F20"/>
          <w:w w:val="105"/>
        </w:rPr>
        <w:t>tránsito</w:t>
      </w:r>
      <w:r>
        <w:rPr>
          <w:color w:val="231F20"/>
          <w:spacing w:val="-5"/>
          <w:w w:val="105"/>
        </w:rPr>
        <w:t> </w:t>
      </w:r>
      <w:r>
        <w:rPr>
          <w:color w:val="231F20"/>
          <w:w w:val="105"/>
        </w:rPr>
        <w:t>o</w:t>
      </w:r>
      <w:r>
        <w:rPr>
          <w:color w:val="231F20"/>
          <w:spacing w:val="-5"/>
          <w:w w:val="105"/>
        </w:rPr>
        <w:t> </w:t>
      </w:r>
      <w:r>
        <w:rPr>
          <w:color w:val="231F20"/>
          <w:w w:val="105"/>
        </w:rPr>
        <w:t>receptor”</w:t>
      </w:r>
      <w:r>
        <w:rPr>
          <w:color w:val="231F20"/>
          <w:spacing w:val="-5"/>
          <w:w w:val="105"/>
        </w:rPr>
        <w:t> </w:t>
      </w:r>
      <w:r>
        <w:rPr>
          <w:color w:val="231F20"/>
          <w:w w:val="105"/>
        </w:rPr>
        <w:t>(</w:t>
      </w:r>
      <w:r>
        <w:rPr>
          <w:color w:val="231F20"/>
          <w:w w:val="105"/>
          <w:sz w:val="17"/>
        </w:rPr>
        <w:t>OIM</w:t>
      </w:r>
      <w:r>
        <w:rPr>
          <w:color w:val="231F20"/>
          <w:w w:val="105"/>
        </w:rPr>
        <w:t>,</w:t>
      </w:r>
      <w:r>
        <w:rPr>
          <w:color w:val="231F20"/>
          <w:spacing w:val="-10"/>
          <w:w w:val="105"/>
        </w:rPr>
        <w:t> </w:t>
      </w:r>
      <w:r>
        <w:rPr>
          <w:color w:val="231F20"/>
          <w:w w:val="105"/>
        </w:rPr>
        <w:t>2009:</w:t>
      </w:r>
      <w:r>
        <w:rPr>
          <w:color w:val="231F20"/>
          <w:spacing w:val="-5"/>
          <w:w w:val="105"/>
        </w:rPr>
        <w:t> </w:t>
      </w:r>
      <w:r>
        <w:rPr>
          <w:color w:val="231F20"/>
          <w:w w:val="105"/>
        </w:rPr>
        <w:t>40). Este</w:t>
      </w:r>
      <w:r>
        <w:rPr>
          <w:color w:val="231F20"/>
          <w:spacing w:val="-14"/>
          <w:w w:val="105"/>
        </w:rPr>
        <w:t> </w:t>
      </w:r>
      <w:r>
        <w:rPr>
          <w:color w:val="231F20"/>
          <w:w w:val="105"/>
        </w:rPr>
        <w:t>margen</w:t>
      </w:r>
      <w:r>
        <w:rPr>
          <w:color w:val="231F20"/>
          <w:spacing w:val="-14"/>
          <w:w w:val="105"/>
        </w:rPr>
        <w:t> </w:t>
      </w:r>
      <w:r>
        <w:rPr>
          <w:color w:val="231F20"/>
          <w:w w:val="105"/>
        </w:rPr>
        <w:t>se</w:t>
      </w:r>
      <w:r>
        <w:rPr>
          <w:color w:val="231F20"/>
          <w:spacing w:val="-14"/>
          <w:w w:val="105"/>
        </w:rPr>
        <w:t> </w:t>
      </w:r>
      <w:r>
        <w:rPr>
          <w:color w:val="231F20"/>
          <w:w w:val="105"/>
        </w:rPr>
        <w:t>refiere</w:t>
      </w:r>
      <w:r>
        <w:rPr>
          <w:color w:val="231F20"/>
          <w:spacing w:val="-14"/>
          <w:w w:val="105"/>
        </w:rPr>
        <w:t> </w:t>
      </w:r>
      <w:r>
        <w:rPr>
          <w:color w:val="231F20"/>
          <w:w w:val="105"/>
        </w:rPr>
        <w:t>no</w:t>
      </w:r>
      <w:r>
        <w:rPr>
          <w:color w:val="231F20"/>
          <w:spacing w:val="-14"/>
          <w:w w:val="105"/>
        </w:rPr>
        <w:t> </w:t>
      </w:r>
      <w:r>
        <w:rPr>
          <w:color w:val="231F20"/>
          <w:w w:val="105"/>
        </w:rPr>
        <w:t>sólo</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obediencia</w:t>
      </w:r>
      <w:r>
        <w:rPr>
          <w:color w:val="231F20"/>
          <w:spacing w:val="-14"/>
          <w:w w:val="105"/>
        </w:rPr>
        <w:t> </w:t>
      </w:r>
      <w:r>
        <w:rPr>
          <w:color w:val="231F20"/>
          <w:w w:val="105"/>
        </w:rPr>
        <w:t>debida</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normas,</w:t>
      </w:r>
      <w:r>
        <w:rPr>
          <w:color w:val="231F20"/>
          <w:spacing w:val="-19"/>
          <w:w w:val="105"/>
        </w:rPr>
        <w:t> </w:t>
      </w:r>
      <w:r>
        <w:rPr>
          <w:color w:val="231F20"/>
          <w:w w:val="105"/>
        </w:rPr>
        <w:t>sino a</w:t>
      </w:r>
      <w:r>
        <w:rPr>
          <w:color w:val="231F20"/>
          <w:spacing w:val="-21"/>
          <w:w w:val="105"/>
        </w:rPr>
        <w:t> </w:t>
      </w:r>
      <w:r>
        <w:rPr>
          <w:color w:val="231F20"/>
          <w:w w:val="105"/>
        </w:rPr>
        <w:t>la</w:t>
      </w:r>
      <w:r>
        <w:rPr>
          <w:color w:val="231F20"/>
          <w:spacing w:val="-21"/>
          <w:w w:val="105"/>
        </w:rPr>
        <w:t> </w:t>
      </w:r>
      <w:r>
        <w:rPr>
          <w:color w:val="231F20"/>
          <w:w w:val="105"/>
        </w:rPr>
        <w:t>protección</w:t>
      </w:r>
      <w:r>
        <w:rPr>
          <w:color w:val="231F20"/>
          <w:spacing w:val="-21"/>
          <w:w w:val="105"/>
        </w:rPr>
        <w:t> </w:t>
      </w:r>
      <w:r>
        <w:rPr>
          <w:color w:val="231F20"/>
          <w:w w:val="105"/>
        </w:rPr>
        <w:t>que</w:t>
      </w:r>
      <w:r>
        <w:rPr>
          <w:color w:val="231F20"/>
          <w:spacing w:val="-21"/>
          <w:w w:val="105"/>
        </w:rPr>
        <w:t> </w:t>
      </w:r>
      <w:r>
        <w:rPr>
          <w:color w:val="231F20"/>
          <w:w w:val="105"/>
        </w:rPr>
        <w:t>estas</w:t>
      </w:r>
      <w:r>
        <w:rPr>
          <w:color w:val="231F20"/>
          <w:spacing w:val="-21"/>
          <w:w w:val="105"/>
        </w:rPr>
        <w:t> </w:t>
      </w:r>
      <w:r>
        <w:rPr>
          <w:color w:val="231F20"/>
          <w:w w:val="105"/>
        </w:rPr>
        <w:t>procuran</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personas.</w:t>
      </w:r>
    </w:p>
    <w:p>
      <w:pPr>
        <w:pStyle w:val="BodyText"/>
        <w:spacing w:line="261" w:lineRule="auto" w:before="1"/>
        <w:ind w:left="1837" w:right="1715" w:firstLine="567"/>
        <w:jc w:val="right"/>
      </w:pPr>
      <w:r>
        <w:rPr>
          <w:color w:val="231F20"/>
          <w:spacing w:val="-7"/>
          <w:w w:val="105"/>
        </w:rPr>
        <w:t>Por</w:t>
      </w:r>
      <w:r>
        <w:rPr>
          <w:color w:val="231F20"/>
          <w:spacing w:val="-30"/>
          <w:w w:val="105"/>
        </w:rPr>
        <w:t> </w:t>
      </w:r>
      <w:r>
        <w:rPr>
          <w:color w:val="231F20"/>
          <w:w w:val="105"/>
        </w:rPr>
        <w:t>ello,</w:t>
      </w:r>
      <w:r>
        <w:rPr>
          <w:color w:val="231F20"/>
          <w:spacing w:val="-33"/>
          <w:w w:val="105"/>
        </w:rPr>
        <w:t> </w:t>
      </w:r>
      <w:r>
        <w:rPr>
          <w:color w:val="231F20"/>
          <w:w w:val="105"/>
        </w:rPr>
        <w:t>los</w:t>
      </w:r>
      <w:r>
        <w:rPr>
          <w:color w:val="231F20"/>
          <w:spacing w:val="-30"/>
          <w:w w:val="105"/>
        </w:rPr>
        <w:t> </w:t>
      </w:r>
      <w:r>
        <w:rPr>
          <w:color w:val="231F20"/>
          <w:w w:val="105"/>
        </w:rPr>
        <w:t>migrantes</w:t>
      </w:r>
      <w:r>
        <w:rPr>
          <w:color w:val="231F20"/>
          <w:spacing w:val="-30"/>
          <w:w w:val="105"/>
        </w:rPr>
        <w:t> </w:t>
      </w:r>
      <w:r>
        <w:rPr>
          <w:color w:val="231F20"/>
          <w:spacing w:val="-3"/>
          <w:w w:val="105"/>
        </w:rPr>
        <w:t>irregulares</w:t>
      </w:r>
      <w:r>
        <w:rPr>
          <w:color w:val="231F20"/>
          <w:spacing w:val="-30"/>
          <w:w w:val="105"/>
        </w:rPr>
        <w:t> </w:t>
      </w:r>
      <w:r>
        <w:rPr>
          <w:color w:val="231F20"/>
          <w:w w:val="105"/>
        </w:rPr>
        <w:t>se</w:t>
      </w:r>
      <w:r>
        <w:rPr>
          <w:color w:val="231F20"/>
          <w:spacing w:val="-30"/>
          <w:w w:val="105"/>
        </w:rPr>
        <w:t> </w:t>
      </w:r>
      <w:r>
        <w:rPr>
          <w:color w:val="231F20"/>
          <w:spacing w:val="-2"/>
          <w:w w:val="105"/>
        </w:rPr>
        <w:t>encuentran</w:t>
      </w:r>
      <w:r>
        <w:rPr>
          <w:color w:val="231F20"/>
          <w:spacing w:val="-30"/>
          <w:w w:val="105"/>
        </w:rPr>
        <w:t> </w:t>
      </w:r>
      <w:r>
        <w:rPr>
          <w:color w:val="231F20"/>
          <w:w w:val="105"/>
        </w:rPr>
        <w:t>permanentemente</w:t>
      </w:r>
      <w:r>
        <w:rPr>
          <w:color w:val="231F20"/>
          <w:spacing w:val="-2"/>
          <w:w w:val="105"/>
        </w:rPr>
        <w:t> </w:t>
      </w:r>
      <w:r>
        <w:rPr>
          <w:color w:val="231F20"/>
          <w:w w:val="105"/>
        </w:rPr>
        <w:t>expuestos</w:t>
      </w:r>
      <w:r>
        <w:rPr>
          <w:color w:val="231F20"/>
          <w:spacing w:val="-30"/>
          <w:w w:val="105"/>
        </w:rPr>
        <w:t> </w:t>
      </w:r>
      <w:r>
        <w:rPr>
          <w:color w:val="231F20"/>
          <w:w w:val="105"/>
        </w:rPr>
        <w:t>a</w:t>
      </w:r>
      <w:r>
        <w:rPr>
          <w:color w:val="231F20"/>
          <w:spacing w:val="-30"/>
          <w:w w:val="105"/>
        </w:rPr>
        <w:t> </w:t>
      </w:r>
      <w:r>
        <w:rPr>
          <w:color w:val="231F20"/>
          <w:w w:val="105"/>
        </w:rPr>
        <w:t>diversos</w:t>
      </w:r>
      <w:r>
        <w:rPr>
          <w:color w:val="231F20"/>
          <w:spacing w:val="-30"/>
          <w:w w:val="105"/>
        </w:rPr>
        <w:t> </w:t>
      </w:r>
      <w:r>
        <w:rPr>
          <w:color w:val="231F20"/>
          <w:w w:val="105"/>
        </w:rPr>
        <w:t>riesgos,</w:t>
      </w:r>
      <w:r>
        <w:rPr>
          <w:color w:val="231F20"/>
          <w:spacing w:val="-33"/>
          <w:w w:val="105"/>
        </w:rPr>
        <w:t> </w:t>
      </w:r>
      <w:r>
        <w:rPr>
          <w:color w:val="231F20"/>
          <w:w w:val="105"/>
        </w:rPr>
        <w:t>al</w:t>
      </w:r>
      <w:r>
        <w:rPr>
          <w:color w:val="231F20"/>
          <w:spacing w:val="-30"/>
          <w:w w:val="105"/>
        </w:rPr>
        <w:t> </w:t>
      </w:r>
      <w:r>
        <w:rPr>
          <w:color w:val="231F20"/>
          <w:w w:val="105"/>
        </w:rPr>
        <w:t>menos</w:t>
      </w:r>
      <w:r>
        <w:rPr>
          <w:color w:val="231F20"/>
          <w:spacing w:val="-30"/>
          <w:w w:val="105"/>
        </w:rPr>
        <w:t> </w:t>
      </w:r>
      <w:r>
        <w:rPr>
          <w:color w:val="231F20"/>
          <w:w w:val="105"/>
        </w:rPr>
        <w:t>en</w:t>
      </w:r>
      <w:r>
        <w:rPr>
          <w:color w:val="231F20"/>
          <w:spacing w:val="-30"/>
          <w:w w:val="105"/>
        </w:rPr>
        <w:t> </w:t>
      </w:r>
      <w:r>
        <w:rPr>
          <w:color w:val="231F20"/>
          <w:w w:val="105"/>
        </w:rPr>
        <w:t>lo</w:t>
      </w:r>
      <w:r>
        <w:rPr>
          <w:color w:val="231F20"/>
          <w:spacing w:val="-30"/>
          <w:w w:val="105"/>
        </w:rPr>
        <w:t> </w:t>
      </w:r>
      <w:r>
        <w:rPr>
          <w:color w:val="231F20"/>
          <w:w w:val="105"/>
        </w:rPr>
        <w:t>que</w:t>
      </w:r>
      <w:r>
        <w:rPr>
          <w:color w:val="231F20"/>
          <w:spacing w:val="-30"/>
          <w:w w:val="105"/>
        </w:rPr>
        <w:t> </w:t>
      </w:r>
      <w:r>
        <w:rPr>
          <w:color w:val="231F20"/>
          <w:spacing w:val="-3"/>
          <w:w w:val="105"/>
        </w:rPr>
        <w:t>respecta</w:t>
      </w:r>
      <w:r>
        <w:rPr>
          <w:color w:val="231F20"/>
          <w:spacing w:val="-30"/>
          <w:w w:val="105"/>
        </w:rPr>
        <w:t> </w:t>
      </w:r>
      <w:r>
        <w:rPr>
          <w:color w:val="231F20"/>
          <w:w w:val="105"/>
        </w:rPr>
        <w:t>a</w:t>
      </w:r>
      <w:r>
        <w:rPr>
          <w:color w:val="231F20"/>
          <w:spacing w:val="-30"/>
          <w:w w:val="105"/>
        </w:rPr>
        <w:t> </w:t>
      </w:r>
      <w:r>
        <w:rPr>
          <w:color w:val="231F20"/>
          <w:w w:val="105"/>
        </w:rPr>
        <w:t>sus</w:t>
      </w:r>
      <w:r>
        <w:rPr>
          <w:color w:val="231F20"/>
          <w:spacing w:val="-30"/>
          <w:w w:val="105"/>
        </w:rPr>
        <w:t> </w:t>
      </w:r>
      <w:r>
        <w:rPr>
          <w:color w:val="231F20"/>
          <w:spacing w:val="-3"/>
          <w:w w:val="105"/>
        </w:rPr>
        <w:t>derechos</w:t>
      </w:r>
      <w:r>
        <w:rPr>
          <w:color w:val="231F20"/>
          <w:spacing w:val="-2"/>
          <w:w w:val="101"/>
        </w:rPr>
        <w:t> </w:t>
      </w:r>
      <w:r>
        <w:rPr>
          <w:color w:val="231F20"/>
          <w:w w:val="105"/>
        </w:rPr>
        <w:t>elementales.</w:t>
      </w:r>
      <w:r>
        <w:rPr>
          <w:color w:val="231F20"/>
          <w:spacing w:val="-20"/>
          <w:w w:val="105"/>
        </w:rPr>
        <w:t> </w:t>
      </w:r>
      <w:r>
        <w:rPr>
          <w:color w:val="231F20"/>
          <w:w w:val="105"/>
        </w:rPr>
        <w:t>Es</w:t>
      </w:r>
      <w:r>
        <w:rPr>
          <w:color w:val="231F20"/>
          <w:spacing w:val="-16"/>
          <w:w w:val="105"/>
        </w:rPr>
        <w:t> </w:t>
      </w:r>
      <w:r>
        <w:rPr>
          <w:color w:val="231F20"/>
          <w:spacing w:val="-4"/>
          <w:w w:val="105"/>
        </w:rPr>
        <w:t>decir,</w:t>
      </w:r>
      <w:r>
        <w:rPr>
          <w:color w:val="231F20"/>
          <w:spacing w:val="-20"/>
          <w:w w:val="105"/>
        </w:rPr>
        <w:t> </w:t>
      </w:r>
      <w:r>
        <w:rPr>
          <w:color w:val="231F20"/>
          <w:w w:val="105"/>
        </w:rPr>
        <w:t>con</w:t>
      </w:r>
      <w:r>
        <w:rPr>
          <w:color w:val="231F20"/>
          <w:spacing w:val="-16"/>
          <w:w w:val="105"/>
        </w:rPr>
        <w:t> </w:t>
      </w:r>
      <w:r>
        <w:rPr>
          <w:color w:val="231F20"/>
          <w:w w:val="105"/>
        </w:rPr>
        <w:t>independencia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medios</w:t>
      </w:r>
      <w:r>
        <w:rPr>
          <w:color w:val="231F20"/>
          <w:spacing w:val="-16"/>
          <w:w w:val="105"/>
        </w:rPr>
        <w:t> </w:t>
      </w:r>
      <w:r>
        <w:rPr>
          <w:color w:val="231F20"/>
          <w:w w:val="105"/>
        </w:rPr>
        <w:t>económicos</w:t>
      </w:r>
      <w:r>
        <w:rPr>
          <w:color w:val="231F20"/>
          <w:spacing w:val="-16"/>
          <w:w w:val="105"/>
        </w:rPr>
        <w:t> </w:t>
      </w:r>
      <w:r>
        <w:rPr>
          <w:color w:val="231F20"/>
          <w:w w:val="105"/>
        </w:rPr>
        <w:t>de</w:t>
      </w:r>
      <w:r>
        <w:rPr>
          <w:color w:val="231F20"/>
          <w:spacing w:val="-2"/>
          <w:w w:val="108"/>
        </w:rPr>
        <w:t> </w:t>
      </w:r>
      <w:r>
        <w:rPr>
          <w:color w:val="231F20"/>
          <w:w w:val="105"/>
        </w:rPr>
        <w:t>que</w:t>
      </w:r>
      <w:r>
        <w:rPr>
          <w:color w:val="231F20"/>
          <w:spacing w:val="-32"/>
          <w:w w:val="105"/>
        </w:rPr>
        <w:t> </w:t>
      </w:r>
      <w:r>
        <w:rPr>
          <w:color w:val="231F20"/>
          <w:w w:val="105"/>
        </w:rPr>
        <w:t>dispongan</w:t>
      </w:r>
      <w:r>
        <w:rPr>
          <w:color w:val="231F20"/>
          <w:spacing w:val="-32"/>
          <w:w w:val="105"/>
        </w:rPr>
        <w:t> </w:t>
      </w:r>
      <w:r>
        <w:rPr>
          <w:color w:val="231F20"/>
          <w:w w:val="105"/>
        </w:rPr>
        <w:t>son</w:t>
      </w:r>
      <w:r>
        <w:rPr>
          <w:color w:val="231F20"/>
          <w:spacing w:val="-32"/>
          <w:w w:val="105"/>
        </w:rPr>
        <w:t> </w:t>
      </w:r>
      <w:r>
        <w:rPr>
          <w:color w:val="231F20"/>
          <w:w w:val="105"/>
        </w:rPr>
        <w:t>un</w:t>
      </w:r>
      <w:r>
        <w:rPr>
          <w:color w:val="231F20"/>
          <w:spacing w:val="-32"/>
          <w:w w:val="105"/>
        </w:rPr>
        <w:t> </w:t>
      </w:r>
      <w:r>
        <w:rPr>
          <w:color w:val="231F20"/>
          <w:w w:val="105"/>
        </w:rPr>
        <w:t>grupo</w:t>
      </w:r>
      <w:r>
        <w:rPr>
          <w:color w:val="231F20"/>
          <w:spacing w:val="-32"/>
          <w:w w:val="105"/>
        </w:rPr>
        <w:t> </w:t>
      </w:r>
      <w:r>
        <w:rPr>
          <w:color w:val="231F20"/>
          <w:w w:val="105"/>
        </w:rPr>
        <w:t>especialmente</w:t>
      </w:r>
      <w:r>
        <w:rPr>
          <w:color w:val="231F20"/>
          <w:spacing w:val="-32"/>
          <w:w w:val="105"/>
        </w:rPr>
        <w:t> </w:t>
      </w:r>
      <w:r>
        <w:rPr>
          <w:color w:val="231F20"/>
          <w:w w:val="105"/>
        </w:rPr>
        <w:t>vulnerable.</w:t>
      </w:r>
      <w:r>
        <w:rPr>
          <w:color w:val="231F20"/>
          <w:spacing w:val="-39"/>
          <w:w w:val="105"/>
        </w:rPr>
        <w:t> </w:t>
      </w:r>
      <w:r>
        <w:rPr>
          <w:color w:val="231F20"/>
          <w:w w:val="105"/>
        </w:rPr>
        <w:t>Algunos</w:t>
      </w:r>
      <w:r>
        <w:rPr>
          <w:color w:val="231F20"/>
          <w:spacing w:val="-32"/>
          <w:w w:val="105"/>
        </w:rPr>
        <w:t> </w:t>
      </w:r>
      <w:r>
        <w:rPr>
          <w:color w:val="231F20"/>
          <w:w w:val="105"/>
        </w:rPr>
        <w:t>de</w:t>
      </w:r>
      <w:r>
        <w:rPr>
          <w:color w:val="231F20"/>
          <w:spacing w:val="-32"/>
          <w:w w:val="105"/>
        </w:rPr>
        <w:t> </w:t>
      </w:r>
      <w:r>
        <w:rPr>
          <w:color w:val="231F20"/>
          <w:w w:val="105"/>
        </w:rPr>
        <w:t>estos</w:t>
      </w:r>
      <w:r>
        <w:rPr>
          <w:color w:val="231F20"/>
          <w:spacing w:val="-2"/>
          <w:w w:val="99"/>
        </w:rPr>
        <w:t> </w:t>
      </w:r>
      <w:r>
        <w:rPr>
          <w:color w:val="231F20"/>
          <w:w w:val="105"/>
        </w:rPr>
        <w:t>migrantes</w:t>
      </w:r>
      <w:r>
        <w:rPr>
          <w:color w:val="231F20"/>
          <w:spacing w:val="-21"/>
          <w:w w:val="105"/>
        </w:rPr>
        <w:t> </w:t>
      </w:r>
      <w:r>
        <w:rPr>
          <w:color w:val="231F20"/>
          <w:spacing w:val="-3"/>
          <w:w w:val="105"/>
        </w:rPr>
        <w:t>irregulares</w:t>
      </w:r>
      <w:r>
        <w:rPr>
          <w:color w:val="231F20"/>
          <w:spacing w:val="-21"/>
          <w:w w:val="105"/>
        </w:rPr>
        <w:t> </w:t>
      </w:r>
      <w:r>
        <w:rPr>
          <w:color w:val="231F20"/>
          <w:w w:val="105"/>
        </w:rPr>
        <w:t>pertenecen</w:t>
      </w:r>
      <w:r>
        <w:rPr>
          <w:color w:val="231F20"/>
          <w:spacing w:val="-21"/>
          <w:w w:val="105"/>
        </w:rPr>
        <w:t> </w:t>
      </w:r>
      <w:r>
        <w:rPr>
          <w:color w:val="231F20"/>
          <w:w w:val="105"/>
        </w:rPr>
        <w:t>a</w:t>
      </w:r>
      <w:r>
        <w:rPr>
          <w:color w:val="231F20"/>
          <w:spacing w:val="-21"/>
          <w:w w:val="105"/>
        </w:rPr>
        <w:t> </w:t>
      </w:r>
      <w:r>
        <w:rPr>
          <w:color w:val="231F20"/>
          <w:w w:val="105"/>
        </w:rPr>
        <w:t>subgrupos</w:t>
      </w:r>
      <w:r>
        <w:rPr>
          <w:color w:val="231F20"/>
          <w:spacing w:val="-21"/>
          <w:w w:val="105"/>
        </w:rPr>
        <w:t> </w:t>
      </w:r>
      <w:r>
        <w:rPr>
          <w:color w:val="231F20"/>
          <w:w w:val="105"/>
        </w:rPr>
        <w:t>que</w:t>
      </w:r>
      <w:r>
        <w:rPr>
          <w:color w:val="231F20"/>
          <w:spacing w:val="-21"/>
          <w:w w:val="105"/>
        </w:rPr>
        <w:t> </w:t>
      </w:r>
      <w:r>
        <w:rPr>
          <w:color w:val="231F20"/>
          <w:spacing w:val="-3"/>
          <w:w w:val="105"/>
        </w:rPr>
        <w:t>presentan</w:t>
      </w:r>
      <w:r>
        <w:rPr>
          <w:color w:val="231F20"/>
          <w:spacing w:val="-21"/>
          <w:w w:val="105"/>
        </w:rPr>
        <w:t> </w:t>
      </w:r>
      <w:r>
        <w:rPr>
          <w:color w:val="231F20"/>
          <w:spacing w:val="-3"/>
          <w:w w:val="105"/>
        </w:rPr>
        <w:t>factores</w:t>
      </w:r>
      <w:r>
        <w:rPr>
          <w:color w:val="231F20"/>
          <w:spacing w:val="-21"/>
          <w:w w:val="105"/>
        </w:rPr>
        <w:t> </w:t>
      </w:r>
      <w:r>
        <w:rPr>
          <w:color w:val="231F20"/>
          <w:w w:val="105"/>
        </w:rPr>
        <w:t>de</w:t>
      </w:r>
      <w:r>
        <w:rPr>
          <w:color w:val="231F20"/>
          <w:spacing w:val="-2"/>
          <w:w w:val="108"/>
        </w:rPr>
        <w:t> </w:t>
      </w:r>
      <w:r>
        <w:rPr>
          <w:color w:val="231F20"/>
        </w:rPr>
        <w:t>riesgo añadidos: </w:t>
      </w:r>
      <w:r>
        <w:rPr>
          <w:color w:val="231F20"/>
          <w:spacing w:val="-3"/>
        </w:rPr>
        <w:t>mujeres, </w:t>
      </w:r>
      <w:r>
        <w:rPr>
          <w:color w:val="231F20"/>
        </w:rPr>
        <w:t>ancianos, indígenas </w:t>
      </w:r>
      <w:r>
        <w:rPr>
          <w:color w:val="231F20"/>
          <w:spacing w:val="-5"/>
        </w:rPr>
        <w:t>y,</w:t>
      </w:r>
      <w:r>
        <w:rPr>
          <w:color w:val="231F20"/>
          <w:spacing w:val="-4"/>
        </w:rPr>
        <w:t> </w:t>
      </w:r>
      <w:r>
        <w:rPr>
          <w:color w:val="231F20"/>
        </w:rPr>
        <w:t>especialmente,</w:t>
      </w:r>
      <w:r>
        <w:rPr>
          <w:color w:val="231F20"/>
          <w:spacing w:val="-6"/>
        </w:rPr>
        <w:t> </w:t>
      </w:r>
      <w:r>
        <w:rPr>
          <w:color w:val="231F20"/>
          <w:spacing w:val="-3"/>
        </w:rPr>
        <w:t>menores.</w:t>
      </w:r>
      <w:r>
        <w:rPr>
          <w:color w:val="231F20"/>
          <w:spacing w:val="-2"/>
          <w:w w:val="95"/>
        </w:rPr>
        <w:t> </w:t>
      </w:r>
      <w:r>
        <w:rPr>
          <w:color w:val="231F20"/>
          <w:w w:val="105"/>
        </w:rPr>
        <w:t>En</w:t>
      </w:r>
      <w:r>
        <w:rPr>
          <w:color w:val="231F20"/>
          <w:spacing w:val="-16"/>
          <w:w w:val="105"/>
        </w:rPr>
        <w:t> </w:t>
      </w:r>
      <w:r>
        <w:rPr>
          <w:color w:val="231F20"/>
          <w:w w:val="105"/>
        </w:rPr>
        <w:t>estas</w:t>
      </w:r>
      <w:r>
        <w:rPr>
          <w:color w:val="231F20"/>
          <w:spacing w:val="-16"/>
          <w:w w:val="105"/>
        </w:rPr>
        <w:t> </w:t>
      </w:r>
      <w:r>
        <w:rPr>
          <w:color w:val="231F20"/>
          <w:w w:val="105"/>
        </w:rPr>
        <w:t>reflexiones</w:t>
      </w:r>
      <w:r>
        <w:rPr>
          <w:color w:val="231F20"/>
          <w:spacing w:val="-16"/>
          <w:w w:val="105"/>
        </w:rPr>
        <w:t> </w:t>
      </w:r>
      <w:r>
        <w:rPr>
          <w:color w:val="231F20"/>
          <w:w w:val="105"/>
        </w:rPr>
        <w:t>se</w:t>
      </w:r>
      <w:r>
        <w:rPr>
          <w:color w:val="231F20"/>
          <w:spacing w:val="-16"/>
          <w:w w:val="105"/>
        </w:rPr>
        <w:t> </w:t>
      </w:r>
      <w:r>
        <w:rPr>
          <w:color w:val="231F20"/>
          <w:w w:val="105"/>
        </w:rPr>
        <w:t>hace</w:t>
      </w:r>
      <w:r>
        <w:rPr>
          <w:color w:val="231F20"/>
          <w:spacing w:val="-16"/>
          <w:w w:val="105"/>
        </w:rPr>
        <w:t> </w:t>
      </w:r>
      <w:r>
        <w:rPr>
          <w:color w:val="231F20"/>
          <w:w w:val="105"/>
        </w:rPr>
        <w:t>referencia</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menores,</w:t>
      </w:r>
      <w:r>
        <w:rPr>
          <w:color w:val="231F20"/>
          <w:spacing w:val="-20"/>
          <w:w w:val="105"/>
        </w:rPr>
        <w:t> </w:t>
      </w:r>
      <w:r>
        <w:rPr>
          <w:color w:val="231F20"/>
          <w:w w:val="105"/>
          <w:sz w:val="17"/>
        </w:rPr>
        <w:t>NNA</w:t>
      </w:r>
      <w:r>
        <w:rPr>
          <w:color w:val="231F20"/>
          <w:spacing w:val="-5"/>
          <w:w w:val="105"/>
          <w:sz w:val="17"/>
        </w:rPr>
        <w:t> </w:t>
      </w:r>
      <w:r>
        <w:rPr>
          <w:w w:val="105"/>
        </w:rPr>
        <w:t>(niños,</w:t>
      </w:r>
    </w:p>
    <w:p>
      <w:pPr>
        <w:pStyle w:val="BodyText"/>
        <w:spacing w:line="261" w:lineRule="auto" w:before="1"/>
        <w:ind w:left="1837" w:right="1715"/>
        <w:jc w:val="both"/>
      </w:pPr>
      <w:r>
        <w:rPr>
          <w:w w:val="105"/>
        </w:rPr>
        <w:t>niñas</w:t>
      </w:r>
      <w:r>
        <w:rPr>
          <w:spacing w:val="-27"/>
          <w:w w:val="105"/>
        </w:rPr>
        <w:t> </w:t>
      </w:r>
      <w:r>
        <w:rPr>
          <w:w w:val="105"/>
        </w:rPr>
        <w:t>y</w:t>
      </w:r>
      <w:r>
        <w:rPr>
          <w:spacing w:val="-27"/>
          <w:w w:val="105"/>
        </w:rPr>
        <w:t> </w:t>
      </w:r>
      <w:r>
        <w:rPr>
          <w:w w:val="105"/>
        </w:rPr>
        <w:t>adolescentes),</w:t>
      </w:r>
      <w:r>
        <w:rPr>
          <w:spacing w:val="-31"/>
          <w:w w:val="105"/>
        </w:rPr>
        <w:t> </w:t>
      </w:r>
      <w:r>
        <w:rPr>
          <w:w w:val="105"/>
        </w:rPr>
        <w:t>para</w:t>
      </w:r>
      <w:r>
        <w:rPr>
          <w:spacing w:val="-27"/>
          <w:w w:val="105"/>
        </w:rPr>
        <w:t> </w:t>
      </w:r>
      <w:r>
        <w:rPr>
          <w:w w:val="105"/>
        </w:rPr>
        <w:t>enfatizar</w:t>
      </w:r>
      <w:r>
        <w:rPr>
          <w:spacing w:val="-27"/>
          <w:w w:val="105"/>
        </w:rPr>
        <w:t> </w:t>
      </w:r>
      <w:r>
        <w:rPr>
          <w:w w:val="105"/>
        </w:rPr>
        <w:t>no</w:t>
      </w:r>
      <w:r>
        <w:rPr>
          <w:spacing w:val="-27"/>
          <w:w w:val="105"/>
        </w:rPr>
        <w:t> </w:t>
      </w:r>
      <w:r>
        <w:rPr>
          <w:w w:val="105"/>
        </w:rPr>
        <w:t>solo</w:t>
      </w:r>
      <w:r>
        <w:rPr>
          <w:spacing w:val="-27"/>
          <w:w w:val="105"/>
        </w:rPr>
        <w:t> </w:t>
      </w:r>
      <w:r>
        <w:rPr>
          <w:w w:val="105"/>
        </w:rPr>
        <w:t>su</w:t>
      </w:r>
      <w:r>
        <w:rPr>
          <w:spacing w:val="-27"/>
          <w:w w:val="105"/>
        </w:rPr>
        <w:t> </w:t>
      </w:r>
      <w:r>
        <w:rPr>
          <w:w w:val="105"/>
        </w:rPr>
        <w:t>calidad</w:t>
      </w:r>
      <w:r>
        <w:rPr>
          <w:spacing w:val="-27"/>
          <w:w w:val="105"/>
        </w:rPr>
        <w:t> </w:t>
      </w:r>
      <w:r>
        <w:rPr>
          <w:w w:val="105"/>
        </w:rPr>
        <w:t>de</w:t>
      </w:r>
      <w:r>
        <w:rPr>
          <w:spacing w:val="-27"/>
          <w:w w:val="105"/>
        </w:rPr>
        <w:t> </w:t>
      </w:r>
      <w:r>
        <w:rPr>
          <w:w w:val="105"/>
        </w:rPr>
        <w:t>sujetos</w:t>
      </w:r>
      <w:r>
        <w:rPr>
          <w:spacing w:val="-27"/>
          <w:w w:val="105"/>
        </w:rPr>
        <w:t> </w:t>
      </w:r>
      <w:r>
        <w:rPr>
          <w:w w:val="105"/>
        </w:rPr>
        <w:t>de</w:t>
      </w:r>
      <w:r>
        <w:rPr>
          <w:spacing w:val="-27"/>
          <w:w w:val="105"/>
        </w:rPr>
        <w:t> </w:t>
      </w:r>
      <w:r>
        <w:rPr>
          <w:w w:val="105"/>
        </w:rPr>
        <w:t>pro- tección especial, sino su titularidad en </w:t>
      </w:r>
      <w:r>
        <w:rPr>
          <w:color w:val="231F20"/>
          <w:w w:val="105"/>
        </w:rPr>
        <w:t>derechos, en los términos </w:t>
      </w:r>
      <w:r>
        <w:rPr>
          <w:color w:val="231F20"/>
          <w:spacing w:val="2"/>
          <w:w w:val="105"/>
        </w:rPr>
        <w:t>del </w:t>
      </w:r>
      <w:r>
        <w:rPr>
          <w:color w:val="231F20"/>
          <w:w w:val="105"/>
        </w:rPr>
        <w:t>artículo primero de la Convención sobre los Derechos del Niño (</w:t>
      </w:r>
      <w:r>
        <w:rPr>
          <w:color w:val="231F20"/>
          <w:w w:val="105"/>
          <w:sz w:val="17"/>
        </w:rPr>
        <w:t>ONU</w:t>
      </w:r>
      <w:r>
        <w:rPr>
          <w:color w:val="231F20"/>
          <w:w w:val="105"/>
        </w:rPr>
        <w:t>, 1989).</w:t>
      </w:r>
      <w:r>
        <w:rPr>
          <w:color w:val="231F20"/>
          <w:spacing w:val="-28"/>
          <w:w w:val="105"/>
        </w:rPr>
        <w:t> </w:t>
      </w:r>
      <w:r>
        <w:rPr>
          <w:color w:val="231F20"/>
          <w:w w:val="105"/>
        </w:rPr>
        <w:t>Los</w:t>
      </w:r>
      <w:r>
        <w:rPr>
          <w:color w:val="231F20"/>
          <w:spacing w:val="-23"/>
          <w:w w:val="105"/>
        </w:rPr>
        <w:t> </w:t>
      </w:r>
      <w:r>
        <w:rPr>
          <w:color w:val="231F20"/>
          <w:w w:val="105"/>
          <w:sz w:val="17"/>
        </w:rPr>
        <w:t>NNA</w:t>
      </w:r>
      <w:r>
        <w:rPr>
          <w:color w:val="231F20"/>
          <w:spacing w:val="-12"/>
          <w:w w:val="105"/>
          <w:sz w:val="17"/>
        </w:rPr>
        <w:t> </w:t>
      </w:r>
      <w:r>
        <w:rPr>
          <w:color w:val="231F20"/>
          <w:w w:val="105"/>
        </w:rPr>
        <w:t>migrantes</w:t>
      </w:r>
      <w:r>
        <w:rPr>
          <w:color w:val="231F20"/>
          <w:spacing w:val="-23"/>
          <w:w w:val="105"/>
        </w:rPr>
        <w:t> </w:t>
      </w:r>
      <w:r>
        <w:rPr>
          <w:color w:val="231F20"/>
          <w:w w:val="105"/>
        </w:rPr>
        <w:t>irregulares</w:t>
      </w:r>
      <w:r>
        <w:rPr>
          <w:color w:val="231F20"/>
          <w:spacing w:val="-23"/>
          <w:w w:val="105"/>
        </w:rPr>
        <w:t> </w:t>
      </w:r>
      <w:r>
        <w:rPr>
          <w:color w:val="231F20"/>
          <w:w w:val="105"/>
        </w:rPr>
        <w:t>no</w:t>
      </w:r>
      <w:r>
        <w:rPr>
          <w:color w:val="231F20"/>
          <w:spacing w:val="-23"/>
          <w:w w:val="105"/>
        </w:rPr>
        <w:t> </w:t>
      </w:r>
      <w:r>
        <w:rPr>
          <w:color w:val="231F20"/>
          <w:w w:val="105"/>
        </w:rPr>
        <w:t>acompañados</w:t>
      </w:r>
      <w:r>
        <w:rPr>
          <w:color w:val="231F20"/>
          <w:spacing w:val="-23"/>
          <w:w w:val="105"/>
        </w:rPr>
        <w:t> </w:t>
      </w:r>
      <w:r>
        <w:rPr>
          <w:color w:val="231F20"/>
          <w:w w:val="105"/>
        </w:rPr>
        <w:t>son</w:t>
      </w:r>
      <w:r>
        <w:rPr>
          <w:color w:val="231F20"/>
          <w:spacing w:val="-23"/>
          <w:w w:val="105"/>
        </w:rPr>
        <w:t> </w:t>
      </w:r>
      <w:r>
        <w:rPr>
          <w:color w:val="231F20"/>
          <w:w w:val="105"/>
        </w:rPr>
        <w:t>todos</w:t>
      </w:r>
      <w:r>
        <w:rPr>
          <w:color w:val="231F20"/>
          <w:spacing w:val="-23"/>
          <w:w w:val="105"/>
        </w:rPr>
        <w:t> </w:t>
      </w:r>
      <w:r>
        <w:rPr>
          <w:color w:val="231F20"/>
          <w:w w:val="105"/>
        </w:rPr>
        <w:t>los</w:t>
      </w:r>
      <w:r>
        <w:rPr>
          <w:color w:val="231F20"/>
          <w:spacing w:val="-23"/>
          <w:w w:val="105"/>
        </w:rPr>
        <w:t> </w:t>
      </w:r>
      <w:r>
        <w:rPr>
          <w:color w:val="231F20"/>
          <w:w w:val="105"/>
        </w:rPr>
        <w:t>me- nores</w:t>
      </w:r>
      <w:r>
        <w:rPr>
          <w:color w:val="231F20"/>
          <w:spacing w:val="-23"/>
          <w:w w:val="105"/>
        </w:rPr>
        <w:t> </w:t>
      </w:r>
      <w:r>
        <w:rPr>
          <w:color w:val="231F20"/>
          <w:w w:val="105"/>
        </w:rPr>
        <w:t>de</w:t>
      </w:r>
      <w:r>
        <w:rPr>
          <w:color w:val="231F20"/>
          <w:spacing w:val="-23"/>
          <w:w w:val="105"/>
        </w:rPr>
        <w:t> </w:t>
      </w:r>
      <w:r>
        <w:rPr>
          <w:color w:val="231F20"/>
          <w:w w:val="105"/>
        </w:rPr>
        <w:t>18</w:t>
      </w:r>
      <w:r>
        <w:rPr>
          <w:color w:val="231F20"/>
          <w:spacing w:val="-23"/>
          <w:w w:val="105"/>
        </w:rPr>
        <w:t> </w:t>
      </w:r>
      <w:r>
        <w:rPr>
          <w:color w:val="231F20"/>
          <w:w w:val="105"/>
        </w:rPr>
        <w:t>años</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internan</w:t>
      </w:r>
      <w:r>
        <w:rPr>
          <w:color w:val="231F20"/>
          <w:spacing w:val="-23"/>
          <w:w w:val="105"/>
        </w:rPr>
        <w:t> </w:t>
      </w:r>
      <w:r>
        <w:rPr>
          <w:color w:val="231F20"/>
          <w:w w:val="105"/>
        </w:rPr>
        <w:t>en</w:t>
      </w:r>
      <w:r>
        <w:rPr>
          <w:color w:val="231F20"/>
          <w:spacing w:val="-23"/>
          <w:w w:val="105"/>
        </w:rPr>
        <w:t> </w:t>
      </w:r>
      <w:r>
        <w:rPr>
          <w:color w:val="231F20"/>
          <w:w w:val="105"/>
        </w:rPr>
        <w:t>un</w:t>
      </w:r>
      <w:r>
        <w:rPr>
          <w:color w:val="231F20"/>
          <w:spacing w:val="-23"/>
          <w:w w:val="105"/>
        </w:rPr>
        <w:t> </w:t>
      </w:r>
      <w:r>
        <w:rPr>
          <w:color w:val="231F20"/>
          <w:w w:val="105"/>
        </w:rPr>
        <w:t>país</w:t>
      </w:r>
      <w:r>
        <w:rPr>
          <w:color w:val="231F20"/>
          <w:spacing w:val="-23"/>
          <w:w w:val="105"/>
        </w:rPr>
        <w:t> </w:t>
      </w:r>
      <w:r>
        <w:rPr>
          <w:color w:val="231F20"/>
          <w:w w:val="105"/>
        </w:rPr>
        <w:t>distinto</w:t>
      </w:r>
      <w:r>
        <w:rPr>
          <w:color w:val="231F20"/>
          <w:spacing w:val="-23"/>
          <w:w w:val="105"/>
        </w:rPr>
        <w:t> </w:t>
      </w:r>
      <w:r>
        <w:rPr>
          <w:color w:val="231F20"/>
          <w:w w:val="105"/>
        </w:rPr>
        <w:t>al</w:t>
      </w:r>
      <w:r>
        <w:rPr>
          <w:color w:val="231F20"/>
          <w:spacing w:val="-23"/>
          <w:w w:val="105"/>
        </w:rPr>
        <w:t> </w:t>
      </w:r>
      <w:r>
        <w:rPr>
          <w:color w:val="231F20"/>
          <w:w w:val="105"/>
        </w:rPr>
        <w:t>de</w:t>
      </w:r>
      <w:r>
        <w:rPr>
          <w:color w:val="231F20"/>
          <w:spacing w:val="-23"/>
          <w:w w:val="105"/>
        </w:rPr>
        <w:t> </w:t>
      </w:r>
      <w:r>
        <w:rPr>
          <w:color w:val="231F20"/>
          <w:w w:val="105"/>
        </w:rPr>
        <w:t>su</w:t>
      </w:r>
      <w:r>
        <w:rPr>
          <w:color w:val="231F20"/>
          <w:spacing w:val="-23"/>
          <w:w w:val="105"/>
        </w:rPr>
        <w:t> </w:t>
      </w:r>
      <w:r>
        <w:rPr>
          <w:color w:val="231F20"/>
          <w:w w:val="105"/>
        </w:rPr>
        <w:t>nacionalidad sin</w:t>
      </w:r>
      <w:r>
        <w:rPr>
          <w:color w:val="231F20"/>
          <w:spacing w:val="-16"/>
          <w:w w:val="105"/>
        </w:rPr>
        <w:t> </w:t>
      </w:r>
      <w:r>
        <w:rPr>
          <w:color w:val="231F20"/>
          <w:w w:val="105"/>
        </w:rPr>
        <w:t>la</w:t>
      </w:r>
      <w:r>
        <w:rPr>
          <w:color w:val="231F20"/>
          <w:spacing w:val="-16"/>
          <w:w w:val="105"/>
        </w:rPr>
        <w:t> </w:t>
      </w:r>
      <w:r>
        <w:rPr>
          <w:color w:val="231F20"/>
          <w:w w:val="105"/>
        </w:rPr>
        <w:t>compañía</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w w:val="105"/>
        </w:rPr>
        <w:t>padre,</w:t>
      </w:r>
      <w:r>
        <w:rPr>
          <w:color w:val="231F20"/>
          <w:spacing w:val="-23"/>
          <w:w w:val="105"/>
        </w:rPr>
        <w:t> </w:t>
      </w:r>
      <w:r>
        <w:rPr>
          <w:color w:val="231F20"/>
          <w:w w:val="105"/>
        </w:rPr>
        <w:t>madre</w:t>
      </w:r>
      <w:r>
        <w:rPr>
          <w:color w:val="231F20"/>
          <w:spacing w:val="-16"/>
          <w:w w:val="105"/>
        </w:rPr>
        <w:t> </w:t>
      </w:r>
      <w:r>
        <w:rPr>
          <w:color w:val="231F20"/>
          <w:w w:val="105"/>
        </w:rPr>
        <w:t>o</w:t>
      </w:r>
      <w:r>
        <w:rPr>
          <w:color w:val="231F20"/>
          <w:spacing w:val="-16"/>
          <w:w w:val="105"/>
        </w:rPr>
        <w:t> </w:t>
      </w:r>
      <w:r>
        <w:rPr>
          <w:color w:val="231F20"/>
          <w:w w:val="105"/>
        </w:rPr>
        <w:t>tutor,</w:t>
      </w:r>
      <w:r>
        <w:rPr>
          <w:color w:val="231F20"/>
          <w:spacing w:val="-23"/>
          <w:w w:val="105"/>
        </w:rPr>
        <w:t> </w:t>
      </w:r>
      <w:r>
        <w:rPr>
          <w:color w:val="231F20"/>
          <w:w w:val="105"/>
        </w:rPr>
        <w:t>o</w:t>
      </w:r>
      <w:r>
        <w:rPr>
          <w:color w:val="231F20"/>
          <w:spacing w:val="-16"/>
          <w:w w:val="105"/>
        </w:rPr>
        <w:t> </w:t>
      </w:r>
      <w:r>
        <w:rPr>
          <w:color w:val="231F20"/>
          <w:w w:val="105"/>
        </w:rPr>
        <w:t>que</w:t>
      </w:r>
      <w:r>
        <w:rPr>
          <w:color w:val="231F20"/>
          <w:spacing w:val="-16"/>
          <w:w w:val="105"/>
        </w:rPr>
        <w:t> </w:t>
      </w:r>
      <w:r>
        <w:rPr>
          <w:color w:val="231F20"/>
          <w:w w:val="105"/>
        </w:rPr>
        <w:t>han</w:t>
      </w:r>
      <w:r>
        <w:rPr>
          <w:color w:val="231F20"/>
          <w:spacing w:val="-16"/>
          <w:w w:val="105"/>
        </w:rPr>
        <w:t> </w:t>
      </w:r>
      <w:r>
        <w:rPr>
          <w:color w:val="231F20"/>
          <w:w w:val="105"/>
        </w:rPr>
        <w:t>sido</w:t>
      </w:r>
      <w:r>
        <w:rPr>
          <w:color w:val="231F20"/>
          <w:spacing w:val="-16"/>
          <w:w w:val="105"/>
        </w:rPr>
        <w:t> </w:t>
      </w:r>
      <w:r>
        <w:rPr>
          <w:color w:val="231F20"/>
          <w:w w:val="105"/>
        </w:rPr>
        <w:t>abandonados por éstos, y no se encuentran en alguno de los supuestos migratorios contemplados</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ley</w:t>
      </w:r>
      <w:r>
        <w:rPr>
          <w:color w:val="231F20"/>
          <w:spacing w:val="-15"/>
          <w:w w:val="105"/>
        </w:rPr>
        <w:t> </w:t>
      </w:r>
      <w:r>
        <w:rPr>
          <w:color w:val="231F20"/>
          <w:w w:val="105"/>
        </w:rPr>
        <w:t>y</w:t>
      </w:r>
      <w:r>
        <w:rPr>
          <w:color w:val="231F20"/>
          <w:spacing w:val="-15"/>
          <w:w w:val="105"/>
        </w:rPr>
        <w:t> </w:t>
      </w:r>
      <w:r>
        <w:rPr>
          <w:color w:val="231F20"/>
          <w:w w:val="105"/>
        </w:rPr>
        <w:t>que</w:t>
      </w:r>
      <w:r>
        <w:rPr>
          <w:color w:val="231F20"/>
          <w:spacing w:val="-15"/>
          <w:w w:val="105"/>
        </w:rPr>
        <w:t> </w:t>
      </w:r>
      <w:r>
        <w:rPr>
          <w:color w:val="231F20"/>
          <w:w w:val="105"/>
        </w:rPr>
        <w:t>caracterizan</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migración</w:t>
      </w:r>
      <w:r>
        <w:rPr>
          <w:color w:val="231F20"/>
          <w:spacing w:val="-15"/>
          <w:w w:val="105"/>
        </w:rPr>
        <w:t> </w:t>
      </w:r>
      <w:r>
        <w:rPr>
          <w:color w:val="231F20"/>
          <w:w w:val="105"/>
        </w:rPr>
        <w:t>regular.</w:t>
      </w:r>
    </w:p>
    <w:p>
      <w:pPr>
        <w:pStyle w:val="BodyText"/>
        <w:spacing w:line="261" w:lineRule="auto" w:before="1"/>
        <w:ind w:left="1837" w:right="1715" w:firstLine="567"/>
        <w:jc w:val="both"/>
      </w:pPr>
      <w:r>
        <w:rPr/>
        <w:pict>
          <v:line style="position:absolute;mso-position-horizontal-relative:page;mso-position-vertical-relative:paragraph;z-index:-483496" from="15pt,175.336899pt" to="0pt,175.336899pt" stroked="true" strokeweight=".25pt" strokecolor="#000000">
            <w10:wrap type="none"/>
          </v:line>
        </w:pict>
      </w:r>
      <w:r>
        <w:rPr/>
        <w:pict>
          <v:line style="position:absolute;mso-position-horizontal-relative:page;mso-position-vertical-relative:paragraph;z-index:6712" from="508.890015pt,175.336899pt" to="523.890015pt,175.336899pt" stroked="true" strokeweight=".25pt" strokecolor="#000000">
            <w10:wrap type="none"/>
          </v:line>
        </w:pict>
      </w:r>
      <w:r>
        <w:rPr>
          <w:color w:val="231F20"/>
          <w:w w:val="105"/>
        </w:rPr>
        <w:t>Los </w:t>
      </w:r>
      <w:r>
        <w:rPr>
          <w:color w:val="231F20"/>
          <w:w w:val="105"/>
          <w:sz w:val="17"/>
        </w:rPr>
        <w:t>NNA  </w:t>
      </w:r>
      <w:r>
        <w:rPr>
          <w:color w:val="231F20"/>
          <w:w w:val="105"/>
        </w:rPr>
        <w:t>migrantes irregulares no acompañados en tránsito por  el Estado de México hacia Estados Unidos provienen principalmente de</w:t>
      </w:r>
      <w:r>
        <w:rPr>
          <w:color w:val="231F20"/>
          <w:spacing w:val="-8"/>
          <w:w w:val="105"/>
        </w:rPr>
        <w:t> </w:t>
      </w:r>
      <w:r>
        <w:rPr>
          <w:color w:val="231F20"/>
          <w:w w:val="105"/>
        </w:rPr>
        <w:t>tres</w:t>
      </w:r>
      <w:r>
        <w:rPr>
          <w:color w:val="231F20"/>
          <w:spacing w:val="-8"/>
          <w:w w:val="105"/>
        </w:rPr>
        <w:t> </w:t>
      </w:r>
      <w:r>
        <w:rPr>
          <w:color w:val="231F20"/>
          <w:w w:val="105"/>
        </w:rPr>
        <w:t>países</w:t>
      </w:r>
      <w:r>
        <w:rPr>
          <w:color w:val="231F20"/>
          <w:spacing w:val="-8"/>
          <w:w w:val="105"/>
        </w:rPr>
        <w:t> </w:t>
      </w:r>
      <w:r>
        <w:rPr>
          <w:color w:val="231F20"/>
          <w:w w:val="105"/>
        </w:rPr>
        <w:t>de</w:t>
      </w:r>
      <w:r>
        <w:rPr>
          <w:color w:val="231F20"/>
          <w:spacing w:val="-11"/>
          <w:w w:val="105"/>
        </w:rPr>
        <w:t> </w:t>
      </w:r>
      <w:r>
        <w:rPr>
          <w:color w:val="231F20"/>
          <w:w w:val="105"/>
        </w:rPr>
        <w:t>América</w:t>
      </w:r>
      <w:r>
        <w:rPr>
          <w:color w:val="231F20"/>
          <w:spacing w:val="-8"/>
          <w:w w:val="105"/>
        </w:rPr>
        <w:t> </w:t>
      </w:r>
      <w:r>
        <w:rPr>
          <w:color w:val="231F20"/>
          <w:w w:val="105"/>
        </w:rPr>
        <w:t>Central:</w:t>
      </w:r>
      <w:r>
        <w:rPr>
          <w:color w:val="231F20"/>
          <w:spacing w:val="-8"/>
          <w:w w:val="105"/>
        </w:rPr>
        <w:t> </w:t>
      </w:r>
      <w:r>
        <w:rPr>
          <w:color w:val="231F20"/>
          <w:w w:val="105"/>
        </w:rPr>
        <w:t>Honduras,</w:t>
      </w:r>
      <w:r>
        <w:rPr>
          <w:color w:val="231F20"/>
          <w:spacing w:val="-13"/>
          <w:w w:val="105"/>
        </w:rPr>
        <w:t> </w:t>
      </w:r>
      <w:r>
        <w:rPr>
          <w:color w:val="231F20"/>
          <w:w w:val="105"/>
        </w:rPr>
        <w:t>El</w:t>
      </w:r>
      <w:r>
        <w:rPr>
          <w:color w:val="231F20"/>
          <w:spacing w:val="-8"/>
          <w:w w:val="105"/>
        </w:rPr>
        <w:t> </w:t>
      </w:r>
      <w:r>
        <w:rPr>
          <w:color w:val="231F20"/>
          <w:w w:val="105"/>
        </w:rPr>
        <w:t>Salvador</w:t>
      </w:r>
      <w:r>
        <w:rPr>
          <w:color w:val="231F20"/>
          <w:spacing w:val="-8"/>
          <w:w w:val="105"/>
        </w:rPr>
        <w:t> </w:t>
      </w:r>
      <w:r>
        <w:rPr>
          <w:color w:val="231F20"/>
          <w:w w:val="105"/>
        </w:rPr>
        <w:t>y</w:t>
      </w:r>
      <w:r>
        <w:rPr>
          <w:color w:val="231F20"/>
          <w:spacing w:val="-8"/>
          <w:w w:val="105"/>
        </w:rPr>
        <w:t> </w:t>
      </w:r>
      <w:r>
        <w:rPr>
          <w:color w:val="231F20"/>
          <w:w w:val="105"/>
        </w:rPr>
        <w:t>Guatemala, y</w:t>
      </w:r>
      <w:r>
        <w:rPr>
          <w:color w:val="231F20"/>
          <w:spacing w:val="-5"/>
          <w:w w:val="105"/>
        </w:rPr>
        <w:t> </w:t>
      </w:r>
      <w:r>
        <w:rPr>
          <w:color w:val="231F20"/>
          <w:w w:val="105"/>
        </w:rPr>
        <w:t>siguen</w:t>
      </w:r>
      <w:r>
        <w:rPr>
          <w:color w:val="231F20"/>
          <w:spacing w:val="-5"/>
          <w:w w:val="105"/>
        </w:rPr>
        <w:t> </w:t>
      </w:r>
      <w:r>
        <w:rPr>
          <w:color w:val="231F20"/>
          <w:w w:val="105"/>
        </w:rPr>
        <w:t>las</w:t>
      </w:r>
      <w:r>
        <w:rPr>
          <w:color w:val="231F20"/>
          <w:spacing w:val="-5"/>
          <w:w w:val="105"/>
        </w:rPr>
        <w:t> </w:t>
      </w:r>
      <w:r>
        <w:rPr>
          <w:color w:val="231F20"/>
          <w:w w:val="105"/>
        </w:rPr>
        <w:t>rutas</w:t>
      </w:r>
      <w:r>
        <w:rPr>
          <w:color w:val="231F20"/>
          <w:spacing w:val="-5"/>
          <w:w w:val="105"/>
        </w:rPr>
        <w:t> </w:t>
      </w:r>
      <w:r>
        <w:rPr>
          <w:color w:val="231F20"/>
          <w:w w:val="105"/>
        </w:rPr>
        <w:t>habituales</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migrantes</w:t>
      </w:r>
      <w:r>
        <w:rPr>
          <w:color w:val="231F20"/>
          <w:spacing w:val="-5"/>
          <w:w w:val="105"/>
        </w:rPr>
        <w:t> </w:t>
      </w:r>
      <w:r>
        <w:rPr>
          <w:color w:val="231F20"/>
          <w:w w:val="105"/>
        </w:rPr>
        <w:t>adultos</w:t>
      </w:r>
      <w:r>
        <w:rPr>
          <w:color w:val="231F20"/>
          <w:spacing w:val="-5"/>
          <w:w w:val="105"/>
        </w:rPr>
        <w:t> </w:t>
      </w:r>
      <w:r>
        <w:rPr>
          <w:color w:val="231F20"/>
          <w:w w:val="105"/>
        </w:rPr>
        <w:t>(</w:t>
      </w:r>
      <w:r>
        <w:rPr>
          <w:color w:val="231F20"/>
          <w:w w:val="105"/>
          <w:sz w:val="17"/>
        </w:rPr>
        <w:t>SEGOB</w:t>
      </w:r>
      <w:r>
        <w:rPr>
          <w:color w:val="231F20"/>
          <w:w w:val="105"/>
        </w:rPr>
        <w:t>,</w:t>
      </w:r>
      <w:r>
        <w:rPr>
          <w:color w:val="231F20"/>
          <w:spacing w:val="-10"/>
          <w:w w:val="105"/>
        </w:rPr>
        <w:t> </w:t>
      </w:r>
      <w:r>
        <w:rPr>
          <w:color w:val="231F20"/>
          <w:w w:val="105"/>
        </w:rPr>
        <w:t>2014:</w:t>
      </w:r>
      <w:r>
        <w:rPr>
          <w:color w:val="231F20"/>
          <w:spacing w:val="-5"/>
          <w:w w:val="105"/>
        </w:rPr>
        <w:t> </w:t>
      </w:r>
      <w:r>
        <w:rPr>
          <w:color w:val="231F20"/>
          <w:w w:val="105"/>
        </w:rPr>
        <w:t>3). Esto no sólo se debe a que pueden aprovechar los recursos y</w:t>
      </w:r>
      <w:r>
        <w:rPr>
          <w:color w:val="231F20"/>
          <w:spacing w:val="-37"/>
          <w:w w:val="105"/>
        </w:rPr>
        <w:t> </w:t>
      </w:r>
      <w:r>
        <w:rPr>
          <w:color w:val="231F20"/>
          <w:w w:val="105"/>
        </w:rPr>
        <w:t>servicios establecidos</w:t>
      </w:r>
      <w:r>
        <w:rPr>
          <w:color w:val="231F20"/>
          <w:spacing w:val="-9"/>
          <w:w w:val="105"/>
        </w:rPr>
        <w:t> </w:t>
      </w:r>
      <w:r>
        <w:rPr>
          <w:color w:val="231F20"/>
          <w:w w:val="105"/>
        </w:rPr>
        <w:t>en</w:t>
      </w:r>
      <w:r>
        <w:rPr>
          <w:color w:val="231F20"/>
          <w:spacing w:val="-9"/>
          <w:w w:val="105"/>
        </w:rPr>
        <w:t> </w:t>
      </w:r>
      <w:r>
        <w:rPr>
          <w:color w:val="231F20"/>
          <w:w w:val="105"/>
        </w:rPr>
        <w:t>estas</w:t>
      </w:r>
      <w:r>
        <w:rPr>
          <w:color w:val="231F20"/>
          <w:spacing w:val="-9"/>
          <w:w w:val="105"/>
        </w:rPr>
        <w:t> </w:t>
      </w:r>
      <w:r>
        <w:rPr>
          <w:color w:val="231F20"/>
          <w:w w:val="105"/>
        </w:rPr>
        <w:t>rutas,</w:t>
      </w:r>
      <w:r>
        <w:rPr>
          <w:color w:val="231F20"/>
          <w:spacing w:val="-14"/>
          <w:w w:val="105"/>
        </w:rPr>
        <w:t> </w:t>
      </w:r>
      <w:r>
        <w:rPr>
          <w:color w:val="231F20"/>
          <w:w w:val="105"/>
        </w:rPr>
        <w:t>sino</w:t>
      </w:r>
      <w:r>
        <w:rPr>
          <w:color w:val="231F20"/>
          <w:spacing w:val="-9"/>
          <w:w w:val="105"/>
        </w:rPr>
        <w:t> </w:t>
      </w:r>
      <w:r>
        <w:rPr>
          <w:color w:val="231F20"/>
          <w:w w:val="105"/>
        </w:rPr>
        <w:t>a</w:t>
      </w:r>
      <w:r>
        <w:rPr>
          <w:color w:val="231F20"/>
          <w:spacing w:val="-9"/>
          <w:w w:val="105"/>
        </w:rPr>
        <w:t> </w:t>
      </w:r>
      <w:r>
        <w:rPr>
          <w:color w:val="231F20"/>
          <w:w w:val="105"/>
        </w:rPr>
        <w:t>que</w:t>
      </w:r>
      <w:r>
        <w:rPr>
          <w:color w:val="231F20"/>
          <w:spacing w:val="-9"/>
          <w:w w:val="105"/>
        </w:rPr>
        <w:t> </w:t>
      </w:r>
      <w:r>
        <w:rPr>
          <w:color w:val="231F20"/>
          <w:w w:val="105"/>
        </w:rPr>
        <w:t>siguen</w:t>
      </w:r>
      <w:r>
        <w:rPr>
          <w:color w:val="231F20"/>
          <w:spacing w:val="-9"/>
          <w:w w:val="105"/>
        </w:rPr>
        <w:t> </w:t>
      </w:r>
      <w:r>
        <w:rPr>
          <w:color w:val="231F20"/>
          <w:w w:val="105"/>
        </w:rPr>
        <w:t>el</w:t>
      </w:r>
      <w:r>
        <w:rPr>
          <w:color w:val="231F20"/>
          <w:spacing w:val="-9"/>
          <w:w w:val="105"/>
        </w:rPr>
        <w:t> </w:t>
      </w:r>
      <w:r>
        <w:rPr>
          <w:color w:val="231F20"/>
          <w:w w:val="105"/>
        </w:rPr>
        <w:t>ejemplo</w:t>
      </w:r>
      <w:r>
        <w:rPr>
          <w:color w:val="231F20"/>
          <w:spacing w:val="-9"/>
          <w:w w:val="105"/>
        </w:rPr>
        <w:t> </w:t>
      </w:r>
      <w:r>
        <w:rPr>
          <w:color w:val="231F20"/>
          <w:w w:val="105"/>
        </w:rPr>
        <w:t>de</w:t>
      </w:r>
      <w:r>
        <w:rPr>
          <w:color w:val="231F20"/>
          <w:spacing w:val="-9"/>
          <w:w w:val="105"/>
        </w:rPr>
        <w:t> </w:t>
      </w:r>
      <w:r>
        <w:rPr>
          <w:color w:val="231F20"/>
          <w:w w:val="105"/>
        </w:rPr>
        <w:t>sus</w:t>
      </w:r>
      <w:r>
        <w:rPr>
          <w:color w:val="231F20"/>
          <w:spacing w:val="-9"/>
          <w:w w:val="105"/>
        </w:rPr>
        <w:t> </w:t>
      </w:r>
      <w:r>
        <w:rPr>
          <w:color w:val="231F20"/>
          <w:w w:val="105"/>
        </w:rPr>
        <w:t>padres o hermanos mayores, sea para repetir sus experiencias o reunirse con ellos u otros familiares que pueden proveerles de los cuidados que</w:t>
      </w:r>
      <w:r>
        <w:rPr>
          <w:color w:val="231F20"/>
          <w:spacing w:val="-28"/>
          <w:w w:val="105"/>
        </w:rPr>
        <w:t> </w:t>
      </w:r>
      <w:r>
        <w:rPr>
          <w:color w:val="231F20"/>
          <w:w w:val="105"/>
        </w:rPr>
        <w:t>han</w:t>
      </w:r>
    </w:p>
    <w:p>
      <w:pPr>
        <w:spacing w:after="0" w:line="261" w:lineRule="auto"/>
        <w:jc w:val="both"/>
        <w:sectPr>
          <w:headerReference w:type="default" r:id="rId65"/>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p>
    <w:p>
      <w:pPr>
        <w:pStyle w:val="BodyText"/>
        <w:spacing w:line="261" w:lineRule="auto" w:before="60"/>
        <w:ind w:left="1723" w:right="1828"/>
        <w:jc w:val="both"/>
      </w:pPr>
      <w:r>
        <w:rPr/>
        <w:pict>
          <v:line style="position:absolute;mso-position-horizontal-relative:page;mso-position-vertical-relative:paragraph;z-index:6760" from="15pt,-64.434486pt" to="0pt,-64.434486pt" stroked="true" strokeweight=".25pt" strokecolor="#000000">
            <w10:wrap type="none"/>
          </v:line>
        </w:pict>
      </w:r>
      <w:r>
        <w:rPr/>
        <w:pict>
          <v:line style="position:absolute;mso-position-horizontal-relative:page;mso-position-vertical-relative:paragraph;z-index:6784" from="508.890015pt,-64.434486pt" to="523.890015pt,-64.434486pt" stroked="true" strokeweight=".25pt" strokecolor="#000000">
            <w10:wrap type="none"/>
          </v:line>
        </w:pict>
      </w:r>
      <w:r>
        <w:rPr>
          <w:color w:val="231F20"/>
          <w:w w:val="105"/>
        </w:rPr>
        <w:t>dejado</w:t>
      </w:r>
      <w:r>
        <w:rPr>
          <w:color w:val="231F20"/>
          <w:spacing w:val="-8"/>
          <w:w w:val="105"/>
        </w:rPr>
        <w:t> </w:t>
      </w:r>
      <w:r>
        <w:rPr>
          <w:color w:val="231F20"/>
          <w:w w:val="105"/>
        </w:rPr>
        <w:t>de</w:t>
      </w:r>
      <w:r>
        <w:rPr>
          <w:color w:val="231F20"/>
          <w:spacing w:val="-8"/>
          <w:w w:val="105"/>
        </w:rPr>
        <w:t> </w:t>
      </w:r>
      <w:r>
        <w:rPr>
          <w:color w:val="231F20"/>
          <w:w w:val="105"/>
        </w:rPr>
        <w:t>tener</w:t>
      </w:r>
      <w:r>
        <w:rPr>
          <w:color w:val="231F20"/>
          <w:spacing w:val="-8"/>
          <w:w w:val="105"/>
        </w:rPr>
        <w:t> </w:t>
      </w:r>
      <w:r>
        <w:rPr>
          <w:color w:val="231F20"/>
          <w:w w:val="105"/>
        </w:rPr>
        <w:t>en</w:t>
      </w:r>
      <w:r>
        <w:rPr>
          <w:color w:val="231F20"/>
          <w:spacing w:val="-8"/>
          <w:w w:val="105"/>
        </w:rPr>
        <w:t> </w:t>
      </w:r>
      <w:r>
        <w:rPr>
          <w:color w:val="231F20"/>
          <w:w w:val="105"/>
        </w:rPr>
        <w:t>sus</w:t>
      </w:r>
      <w:r>
        <w:rPr>
          <w:color w:val="231F20"/>
          <w:spacing w:val="-8"/>
          <w:w w:val="105"/>
        </w:rPr>
        <w:t> </w:t>
      </w:r>
      <w:r>
        <w:rPr>
          <w:color w:val="231F20"/>
          <w:w w:val="105"/>
        </w:rPr>
        <w:t>lugares</w:t>
      </w:r>
      <w:r>
        <w:rPr>
          <w:color w:val="231F20"/>
          <w:spacing w:val="-8"/>
          <w:w w:val="105"/>
        </w:rPr>
        <w:t> </w:t>
      </w:r>
      <w:r>
        <w:rPr>
          <w:color w:val="231F20"/>
          <w:w w:val="105"/>
        </w:rPr>
        <w:t>de</w:t>
      </w:r>
      <w:r>
        <w:rPr>
          <w:color w:val="231F20"/>
          <w:spacing w:val="-8"/>
          <w:w w:val="105"/>
        </w:rPr>
        <w:t> </w:t>
      </w:r>
      <w:r>
        <w:rPr>
          <w:color w:val="231F20"/>
          <w:w w:val="105"/>
        </w:rPr>
        <w:t>origen.</w:t>
      </w:r>
      <w:r>
        <w:rPr>
          <w:color w:val="231F20"/>
          <w:spacing w:val="-14"/>
          <w:w w:val="105"/>
        </w:rPr>
        <w:t> </w:t>
      </w:r>
      <w:r>
        <w:rPr>
          <w:color w:val="231F20"/>
          <w:w w:val="105"/>
        </w:rPr>
        <w:t>Esto</w:t>
      </w:r>
      <w:r>
        <w:rPr>
          <w:color w:val="231F20"/>
          <w:spacing w:val="-8"/>
          <w:w w:val="105"/>
        </w:rPr>
        <w:t> </w:t>
      </w:r>
      <w:r>
        <w:rPr>
          <w:color w:val="231F20"/>
          <w:w w:val="105"/>
        </w:rPr>
        <w:t>los</w:t>
      </w:r>
      <w:r>
        <w:rPr>
          <w:color w:val="231F20"/>
          <w:spacing w:val="-8"/>
          <w:w w:val="105"/>
        </w:rPr>
        <w:t> </w:t>
      </w:r>
      <w:r>
        <w:rPr>
          <w:color w:val="231F20"/>
          <w:w w:val="105"/>
        </w:rPr>
        <w:t>expone</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mismos peligros</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migrantes</w:t>
      </w:r>
      <w:r>
        <w:rPr>
          <w:color w:val="231F20"/>
          <w:spacing w:val="-15"/>
          <w:w w:val="105"/>
        </w:rPr>
        <w:t> </w:t>
      </w:r>
      <w:r>
        <w:rPr>
          <w:color w:val="231F20"/>
          <w:w w:val="105"/>
        </w:rPr>
        <w:t>adultos,</w:t>
      </w:r>
      <w:r>
        <w:rPr>
          <w:color w:val="231F20"/>
          <w:spacing w:val="-21"/>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problema</w:t>
      </w:r>
      <w:r>
        <w:rPr>
          <w:color w:val="231F20"/>
          <w:spacing w:val="-15"/>
          <w:w w:val="105"/>
        </w:rPr>
        <w:t> </w:t>
      </w:r>
      <w:r>
        <w:rPr>
          <w:color w:val="231F20"/>
          <w:w w:val="105"/>
        </w:rPr>
        <w:t>añadido</w:t>
      </w:r>
      <w:r>
        <w:rPr>
          <w:color w:val="231F20"/>
          <w:spacing w:val="-15"/>
          <w:w w:val="105"/>
        </w:rPr>
        <w:t> </w:t>
      </w:r>
      <w:r>
        <w:rPr>
          <w:color w:val="231F20"/>
          <w:w w:val="105"/>
        </w:rPr>
        <w:t>de</w:t>
      </w:r>
      <w:r>
        <w:rPr>
          <w:color w:val="231F20"/>
          <w:spacing w:val="-15"/>
          <w:w w:val="105"/>
        </w:rPr>
        <w:t> </w:t>
      </w:r>
      <w:r>
        <w:rPr>
          <w:color w:val="231F20"/>
          <w:w w:val="105"/>
        </w:rPr>
        <w:t>su</w:t>
      </w:r>
      <w:r>
        <w:rPr>
          <w:color w:val="231F20"/>
          <w:spacing w:val="-15"/>
          <w:w w:val="105"/>
        </w:rPr>
        <w:t> </w:t>
      </w:r>
      <w:r>
        <w:rPr>
          <w:color w:val="231F20"/>
          <w:w w:val="105"/>
        </w:rPr>
        <w:t>edad, que</w:t>
      </w:r>
      <w:r>
        <w:rPr>
          <w:color w:val="231F20"/>
          <w:spacing w:val="-6"/>
          <w:w w:val="105"/>
        </w:rPr>
        <w:t> </w:t>
      </w:r>
      <w:r>
        <w:rPr>
          <w:color w:val="231F20"/>
          <w:w w:val="105"/>
        </w:rPr>
        <w:t>los</w:t>
      </w:r>
      <w:r>
        <w:rPr>
          <w:color w:val="231F20"/>
          <w:spacing w:val="-6"/>
          <w:w w:val="105"/>
        </w:rPr>
        <w:t> </w:t>
      </w:r>
      <w:r>
        <w:rPr>
          <w:color w:val="231F20"/>
          <w:w w:val="105"/>
        </w:rPr>
        <w:t>hace</w:t>
      </w:r>
      <w:r>
        <w:rPr>
          <w:color w:val="231F20"/>
          <w:spacing w:val="-6"/>
          <w:w w:val="105"/>
        </w:rPr>
        <w:t> </w:t>
      </w:r>
      <w:r>
        <w:rPr>
          <w:color w:val="231F20"/>
          <w:w w:val="105"/>
        </w:rPr>
        <w:t>víctimas</w:t>
      </w:r>
      <w:r>
        <w:rPr>
          <w:color w:val="231F20"/>
          <w:spacing w:val="-6"/>
          <w:w w:val="105"/>
        </w:rPr>
        <w:t> </w:t>
      </w:r>
      <w:r>
        <w:rPr>
          <w:color w:val="231F20"/>
          <w:w w:val="105"/>
        </w:rPr>
        <w:t>propicias</w:t>
      </w:r>
      <w:r>
        <w:rPr>
          <w:color w:val="231F20"/>
          <w:spacing w:val="-6"/>
          <w:w w:val="105"/>
        </w:rPr>
        <w:t> </w:t>
      </w:r>
      <w:r>
        <w:rPr>
          <w:color w:val="231F20"/>
          <w:w w:val="105"/>
        </w:rPr>
        <w:t>de</w:t>
      </w:r>
      <w:r>
        <w:rPr>
          <w:color w:val="231F20"/>
          <w:spacing w:val="-6"/>
          <w:w w:val="105"/>
        </w:rPr>
        <w:t> </w:t>
      </w:r>
      <w:r>
        <w:rPr>
          <w:color w:val="231F20"/>
          <w:w w:val="105"/>
        </w:rPr>
        <w:t>grupos</w:t>
      </w:r>
      <w:r>
        <w:rPr>
          <w:color w:val="231F20"/>
          <w:spacing w:val="-6"/>
          <w:w w:val="105"/>
        </w:rPr>
        <w:t> </w:t>
      </w:r>
      <w:r>
        <w:rPr>
          <w:color w:val="231F20"/>
          <w:w w:val="105"/>
        </w:rPr>
        <w:t>delincuenciales</w:t>
      </w:r>
      <w:r>
        <w:rPr>
          <w:color w:val="231F20"/>
          <w:spacing w:val="-6"/>
          <w:w w:val="105"/>
        </w:rPr>
        <w:t> </w:t>
      </w:r>
      <w:r>
        <w:rPr>
          <w:color w:val="231F20"/>
          <w:spacing w:val="-4"/>
          <w:w w:val="105"/>
        </w:rPr>
        <w:t>y,</w:t>
      </w:r>
      <w:r>
        <w:rPr>
          <w:color w:val="231F20"/>
          <w:spacing w:val="-11"/>
          <w:w w:val="105"/>
        </w:rPr>
        <w:t> </w:t>
      </w:r>
      <w:r>
        <w:rPr>
          <w:color w:val="231F20"/>
          <w:w w:val="105"/>
        </w:rPr>
        <w:t>a</w:t>
      </w:r>
      <w:r>
        <w:rPr>
          <w:color w:val="231F20"/>
          <w:spacing w:val="-6"/>
          <w:w w:val="105"/>
        </w:rPr>
        <w:t> </w:t>
      </w:r>
      <w:r>
        <w:rPr>
          <w:color w:val="231F20"/>
          <w:w w:val="105"/>
        </w:rPr>
        <w:t>menudo, de</w:t>
      </w:r>
      <w:r>
        <w:rPr>
          <w:color w:val="231F20"/>
          <w:spacing w:val="-4"/>
          <w:w w:val="105"/>
        </w:rPr>
        <w:t> </w:t>
      </w:r>
      <w:r>
        <w:rPr>
          <w:color w:val="231F20"/>
          <w:w w:val="105"/>
        </w:rPr>
        <w:t>otros</w:t>
      </w:r>
      <w:r>
        <w:rPr>
          <w:color w:val="231F20"/>
          <w:spacing w:val="-4"/>
          <w:w w:val="105"/>
        </w:rPr>
        <w:t> </w:t>
      </w:r>
      <w:r>
        <w:rPr>
          <w:color w:val="231F20"/>
          <w:w w:val="105"/>
        </w:rPr>
        <w:t>migrantes.</w:t>
      </w:r>
      <w:r>
        <w:rPr>
          <w:color w:val="231F20"/>
          <w:spacing w:val="-9"/>
          <w:w w:val="105"/>
        </w:rPr>
        <w:t> </w:t>
      </w:r>
      <w:r>
        <w:rPr>
          <w:color w:val="231F20"/>
          <w:w w:val="105"/>
        </w:rPr>
        <w:t>En</w:t>
      </w:r>
      <w:r>
        <w:rPr>
          <w:color w:val="231F20"/>
          <w:spacing w:val="-4"/>
          <w:w w:val="105"/>
        </w:rPr>
        <w:t> </w:t>
      </w:r>
      <w:r>
        <w:rPr>
          <w:color w:val="231F20"/>
          <w:w w:val="105"/>
        </w:rPr>
        <w:t>este</w:t>
      </w:r>
      <w:r>
        <w:rPr>
          <w:color w:val="231F20"/>
          <w:spacing w:val="-4"/>
          <w:w w:val="105"/>
        </w:rPr>
        <w:t> </w:t>
      </w:r>
      <w:r>
        <w:rPr>
          <w:color w:val="231F20"/>
          <w:w w:val="105"/>
        </w:rPr>
        <w:t>contexto,</w:t>
      </w:r>
      <w:r>
        <w:rPr>
          <w:color w:val="231F20"/>
          <w:spacing w:val="-9"/>
          <w:w w:val="105"/>
        </w:rPr>
        <w:t> </w:t>
      </w:r>
      <w:r>
        <w:rPr>
          <w:color w:val="231F20"/>
          <w:w w:val="105"/>
        </w:rPr>
        <w:t>están</w:t>
      </w:r>
      <w:r>
        <w:rPr>
          <w:color w:val="231F20"/>
          <w:spacing w:val="-4"/>
          <w:w w:val="105"/>
        </w:rPr>
        <w:t> </w:t>
      </w:r>
      <w:r>
        <w:rPr>
          <w:color w:val="231F20"/>
          <w:w w:val="105"/>
        </w:rPr>
        <w:t>doblemente</w:t>
      </w:r>
      <w:r>
        <w:rPr>
          <w:color w:val="231F20"/>
          <w:spacing w:val="-4"/>
          <w:w w:val="105"/>
        </w:rPr>
        <w:t> </w:t>
      </w:r>
      <w:r>
        <w:rPr>
          <w:color w:val="231F20"/>
          <w:w w:val="105"/>
        </w:rPr>
        <w:t>expuestos:</w:t>
      </w:r>
      <w:r>
        <w:rPr>
          <w:color w:val="231F20"/>
          <w:spacing w:val="-4"/>
          <w:w w:val="105"/>
        </w:rPr>
        <w:t> </w:t>
      </w:r>
      <w:r>
        <w:rPr>
          <w:color w:val="231F20"/>
          <w:w w:val="105"/>
        </w:rPr>
        <w:t>por una</w:t>
      </w:r>
      <w:r>
        <w:rPr>
          <w:color w:val="231F20"/>
          <w:spacing w:val="-19"/>
          <w:w w:val="105"/>
        </w:rPr>
        <w:t> </w:t>
      </w:r>
      <w:r>
        <w:rPr>
          <w:color w:val="231F20"/>
          <w:w w:val="105"/>
        </w:rPr>
        <w:t>parte,</w:t>
      </w:r>
      <w:r>
        <w:rPr>
          <w:color w:val="231F20"/>
          <w:spacing w:val="-24"/>
          <w:w w:val="105"/>
        </w:rPr>
        <w:t> </w:t>
      </w:r>
      <w:r>
        <w:rPr>
          <w:color w:val="231F20"/>
          <w:w w:val="105"/>
        </w:rPr>
        <w:t>a</w:t>
      </w:r>
      <w:r>
        <w:rPr>
          <w:color w:val="231F20"/>
          <w:spacing w:val="-19"/>
          <w:w w:val="105"/>
        </w:rPr>
        <w:t> </w:t>
      </w:r>
      <w:r>
        <w:rPr>
          <w:color w:val="231F20"/>
          <w:w w:val="105"/>
        </w:rPr>
        <w:t>causa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dependencia</w:t>
      </w:r>
      <w:r>
        <w:rPr>
          <w:color w:val="231F20"/>
          <w:spacing w:val="-19"/>
          <w:w w:val="105"/>
        </w:rPr>
        <w:t> </w:t>
      </w:r>
      <w:r>
        <w:rPr>
          <w:color w:val="231F20"/>
          <w:w w:val="105"/>
        </w:rPr>
        <w:t>y</w:t>
      </w:r>
      <w:r>
        <w:rPr>
          <w:color w:val="231F20"/>
          <w:spacing w:val="-19"/>
          <w:w w:val="105"/>
        </w:rPr>
        <w:t> </w:t>
      </w:r>
      <w:r>
        <w:rPr>
          <w:color w:val="231F20"/>
          <w:w w:val="105"/>
        </w:rPr>
        <w:t>cuidados</w:t>
      </w:r>
      <w:r>
        <w:rPr>
          <w:color w:val="231F20"/>
          <w:spacing w:val="-19"/>
          <w:w w:val="105"/>
        </w:rPr>
        <w:t> </w:t>
      </w:r>
      <w:r>
        <w:rPr>
          <w:color w:val="231F20"/>
          <w:w w:val="105"/>
        </w:rPr>
        <w:t>que</w:t>
      </w:r>
      <w:r>
        <w:rPr>
          <w:color w:val="231F20"/>
          <w:spacing w:val="-19"/>
          <w:w w:val="105"/>
        </w:rPr>
        <w:t> </w:t>
      </w:r>
      <w:r>
        <w:rPr>
          <w:color w:val="231F20"/>
          <w:w w:val="105"/>
        </w:rPr>
        <w:t>requieren,</w:t>
      </w:r>
      <w:r>
        <w:rPr>
          <w:color w:val="231F20"/>
          <w:spacing w:val="-24"/>
          <w:w w:val="105"/>
        </w:rPr>
        <w:t> </w:t>
      </w:r>
      <w:r>
        <w:rPr>
          <w:color w:val="231F20"/>
          <w:w w:val="105"/>
        </w:rPr>
        <w:t>sea</w:t>
      </w:r>
      <w:r>
        <w:rPr>
          <w:color w:val="231F20"/>
          <w:spacing w:val="-19"/>
          <w:w w:val="105"/>
        </w:rPr>
        <w:t> </w:t>
      </w:r>
      <w:r>
        <w:rPr>
          <w:color w:val="231F20"/>
          <w:w w:val="105"/>
        </w:rPr>
        <w:t>cual sea su condición, y por otra, debido a la incertidumbre propia de la mi- gración</w:t>
      </w:r>
      <w:r>
        <w:rPr>
          <w:color w:val="231F20"/>
          <w:spacing w:val="-20"/>
          <w:w w:val="105"/>
        </w:rPr>
        <w:t> </w:t>
      </w:r>
      <w:r>
        <w:rPr>
          <w:color w:val="231F20"/>
          <w:w w:val="105"/>
        </w:rPr>
        <w:t>irregular.</w:t>
      </w:r>
    </w:p>
    <w:p>
      <w:pPr>
        <w:pStyle w:val="BodyText"/>
        <w:spacing w:line="261" w:lineRule="auto"/>
        <w:ind w:left="1723" w:right="1828" w:firstLine="567"/>
        <w:jc w:val="both"/>
      </w:pPr>
      <w:r>
        <w:rPr>
          <w:w w:val="105"/>
        </w:rPr>
        <w:t>De acuerdo con el documento titulado </w:t>
      </w:r>
      <w:r>
        <w:rPr>
          <w:rFonts w:ascii="Arial" w:hAnsi="Arial"/>
          <w:i/>
          <w:w w:val="105"/>
        </w:rPr>
        <w:t>Derechos humanos de los </w:t>
      </w:r>
      <w:r>
        <w:rPr>
          <w:rFonts w:ascii="Arial" w:hAnsi="Arial"/>
          <w:i/>
          <w:w w:val="105"/>
        </w:rPr>
        <w:t>migrantes y otras personas en el contexto de la movilidad humana en México</w:t>
      </w:r>
      <w:r>
        <w:rPr>
          <w:rFonts w:ascii="Arial" w:hAnsi="Arial"/>
          <w:i/>
          <w:spacing w:val="-21"/>
          <w:w w:val="105"/>
        </w:rPr>
        <w:t> </w:t>
      </w:r>
      <w:r>
        <w:rPr>
          <w:w w:val="105"/>
        </w:rPr>
        <w:t>de</w:t>
      </w:r>
      <w:r>
        <w:rPr>
          <w:spacing w:val="-18"/>
          <w:w w:val="105"/>
        </w:rPr>
        <w:t> </w:t>
      </w:r>
      <w:r>
        <w:rPr>
          <w:w w:val="105"/>
        </w:rPr>
        <w:t>la</w:t>
      </w:r>
      <w:r>
        <w:rPr>
          <w:spacing w:val="-18"/>
          <w:w w:val="105"/>
        </w:rPr>
        <w:t> </w:t>
      </w:r>
      <w:r>
        <w:rPr>
          <w:w w:val="105"/>
        </w:rPr>
        <w:t>Comisión</w:t>
      </w:r>
      <w:r>
        <w:rPr>
          <w:spacing w:val="-18"/>
          <w:w w:val="105"/>
        </w:rPr>
        <w:t> </w:t>
      </w:r>
      <w:r>
        <w:rPr>
          <w:w w:val="105"/>
        </w:rPr>
        <w:t>Interamericana</w:t>
      </w:r>
      <w:r>
        <w:rPr>
          <w:spacing w:val="-18"/>
          <w:w w:val="105"/>
        </w:rPr>
        <w:t> </w:t>
      </w:r>
      <w:r>
        <w:rPr>
          <w:w w:val="105"/>
        </w:rPr>
        <w:t>de</w:t>
      </w:r>
      <w:r>
        <w:rPr>
          <w:spacing w:val="-18"/>
          <w:w w:val="105"/>
        </w:rPr>
        <w:t> </w:t>
      </w:r>
      <w:r>
        <w:rPr>
          <w:w w:val="105"/>
        </w:rPr>
        <w:t>Derechos</w:t>
      </w:r>
      <w:r>
        <w:rPr>
          <w:spacing w:val="-18"/>
          <w:w w:val="105"/>
        </w:rPr>
        <w:t> </w:t>
      </w:r>
      <w:r>
        <w:rPr>
          <w:w w:val="105"/>
        </w:rPr>
        <w:t>Humanos</w:t>
      </w:r>
      <w:r>
        <w:rPr>
          <w:spacing w:val="-18"/>
          <w:w w:val="105"/>
        </w:rPr>
        <w:t> </w:t>
      </w:r>
      <w:r>
        <w:rPr>
          <w:w w:val="105"/>
        </w:rPr>
        <w:t>(</w:t>
      </w:r>
      <w:r>
        <w:rPr>
          <w:color w:val="231F20"/>
          <w:w w:val="105"/>
          <w:sz w:val="17"/>
        </w:rPr>
        <w:t>CIDH</w:t>
      </w:r>
      <w:r>
        <w:rPr>
          <w:color w:val="231F20"/>
          <w:w w:val="105"/>
        </w:rPr>
        <w:t>)</w:t>
      </w:r>
      <w:r>
        <w:rPr>
          <w:color w:val="231F20"/>
          <w:spacing w:val="-18"/>
          <w:w w:val="105"/>
        </w:rPr>
        <w:t> </w:t>
      </w:r>
      <w:r>
        <w:rPr>
          <w:w w:val="105"/>
        </w:rPr>
        <w:t>y</w:t>
      </w:r>
      <w:r>
        <w:rPr>
          <w:spacing w:val="-18"/>
          <w:w w:val="105"/>
        </w:rPr>
        <w:t> </w:t>
      </w:r>
      <w:r>
        <w:rPr>
          <w:w w:val="105"/>
        </w:rPr>
        <w:t>la Organización</w:t>
      </w:r>
      <w:r>
        <w:rPr>
          <w:spacing w:val="-36"/>
          <w:w w:val="105"/>
        </w:rPr>
        <w:t> </w:t>
      </w:r>
      <w:r>
        <w:rPr>
          <w:w w:val="105"/>
        </w:rPr>
        <w:t>de</w:t>
      </w:r>
      <w:r>
        <w:rPr>
          <w:spacing w:val="-36"/>
          <w:w w:val="105"/>
        </w:rPr>
        <w:t> </w:t>
      </w:r>
      <w:r>
        <w:rPr>
          <w:w w:val="105"/>
        </w:rPr>
        <w:t>Estados</w:t>
      </w:r>
      <w:r>
        <w:rPr>
          <w:spacing w:val="-38"/>
          <w:w w:val="105"/>
        </w:rPr>
        <w:t> </w:t>
      </w:r>
      <w:r>
        <w:rPr>
          <w:w w:val="105"/>
        </w:rPr>
        <w:t>Americanos</w:t>
      </w:r>
      <w:r>
        <w:rPr>
          <w:spacing w:val="-36"/>
          <w:w w:val="105"/>
        </w:rPr>
        <w:t> </w:t>
      </w:r>
      <w:r>
        <w:rPr>
          <w:w w:val="105"/>
        </w:rPr>
        <w:t>(</w:t>
      </w:r>
      <w:r>
        <w:rPr>
          <w:color w:val="231F20"/>
          <w:w w:val="105"/>
          <w:sz w:val="17"/>
        </w:rPr>
        <w:t>OEA</w:t>
      </w:r>
      <w:r>
        <w:rPr>
          <w:w w:val="105"/>
        </w:rPr>
        <w:t>),</w:t>
      </w:r>
      <w:r>
        <w:rPr>
          <w:spacing w:val="-39"/>
          <w:w w:val="105"/>
        </w:rPr>
        <w:t> </w:t>
      </w:r>
      <w:r>
        <w:rPr>
          <w:w w:val="105"/>
        </w:rPr>
        <w:t>las</w:t>
      </w:r>
      <w:r>
        <w:rPr>
          <w:spacing w:val="-36"/>
          <w:w w:val="105"/>
        </w:rPr>
        <w:t> </w:t>
      </w:r>
      <w:r>
        <w:rPr>
          <w:w w:val="105"/>
        </w:rPr>
        <w:t>causas</w:t>
      </w:r>
      <w:r>
        <w:rPr>
          <w:spacing w:val="-36"/>
          <w:w w:val="105"/>
        </w:rPr>
        <w:t> </w:t>
      </w:r>
      <w:r>
        <w:rPr>
          <w:w w:val="105"/>
        </w:rPr>
        <w:t>que</w:t>
      </w:r>
      <w:r>
        <w:rPr>
          <w:spacing w:val="-36"/>
          <w:w w:val="105"/>
        </w:rPr>
        <w:t> </w:t>
      </w:r>
      <w:r>
        <w:rPr>
          <w:w w:val="105"/>
        </w:rPr>
        <w:t>motivan</w:t>
      </w:r>
      <w:r>
        <w:rPr>
          <w:spacing w:val="-36"/>
          <w:w w:val="105"/>
        </w:rPr>
        <w:t> </w:t>
      </w:r>
      <w:r>
        <w:rPr>
          <w:w w:val="105"/>
        </w:rPr>
        <w:t>la</w:t>
      </w:r>
      <w:r>
        <w:rPr>
          <w:spacing w:val="-36"/>
          <w:w w:val="105"/>
        </w:rPr>
        <w:t> </w:t>
      </w:r>
      <w:r>
        <w:rPr>
          <w:w w:val="105"/>
        </w:rPr>
        <w:t>mi- gración</w:t>
      </w:r>
      <w:r>
        <w:rPr>
          <w:spacing w:val="-13"/>
          <w:w w:val="105"/>
        </w:rPr>
        <w:t> </w:t>
      </w:r>
      <w:r>
        <w:rPr>
          <w:w w:val="105"/>
        </w:rPr>
        <w:t>de</w:t>
      </w:r>
      <w:r>
        <w:rPr>
          <w:spacing w:val="-13"/>
          <w:w w:val="105"/>
        </w:rPr>
        <w:t> </w:t>
      </w:r>
      <w:r>
        <w:rPr>
          <w:w w:val="105"/>
        </w:rPr>
        <w:t>los</w:t>
      </w:r>
      <w:r>
        <w:rPr>
          <w:spacing w:val="-13"/>
          <w:w w:val="105"/>
        </w:rPr>
        <w:t> </w:t>
      </w:r>
      <w:r>
        <w:rPr>
          <w:w w:val="105"/>
          <w:sz w:val="17"/>
        </w:rPr>
        <w:t>NNA</w:t>
      </w:r>
      <w:r>
        <w:rPr>
          <w:spacing w:val="-2"/>
          <w:w w:val="105"/>
          <w:sz w:val="17"/>
        </w:rPr>
        <w:t> </w:t>
      </w:r>
      <w:r>
        <w:rPr>
          <w:w w:val="105"/>
        </w:rPr>
        <w:t>migrantes</w:t>
      </w:r>
      <w:r>
        <w:rPr>
          <w:spacing w:val="-13"/>
          <w:w w:val="105"/>
        </w:rPr>
        <w:t> </w:t>
      </w:r>
      <w:r>
        <w:rPr>
          <w:w w:val="105"/>
        </w:rPr>
        <w:t>no</w:t>
      </w:r>
      <w:r>
        <w:rPr>
          <w:spacing w:val="-13"/>
          <w:w w:val="105"/>
        </w:rPr>
        <w:t> </w:t>
      </w:r>
      <w:r>
        <w:rPr>
          <w:w w:val="105"/>
        </w:rPr>
        <w:t>acompañados</w:t>
      </w:r>
      <w:r>
        <w:rPr>
          <w:spacing w:val="-13"/>
          <w:w w:val="105"/>
        </w:rPr>
        <w:t> </w:t>
      </w:r>
      <w:r>
        <w:rPr>
          <w:w w:val="105"/>
        </w:rPr>
        <w:t>son</w:t>
      </w:r>
      <w:r>
        <w:rPr>
          <w:spacing w:val="-13"/>
          <w:w w:val="105"/>
        </w:rPr>
        <w:t> </w:t>
      </w:r>
      <w:r>
        <w:rPr>
          <w:w w:val="105"/>
        </w:rPr>
        <w:t>principalmente:</w:t>
      </w:r>
      <w:r>
        <w:rPr>
          <w:spacing w:val="-13"/>
          <w:w w:val="105"/>
        </w:rPr>
        <w:t> </w:t>
      </w:r>
      <w:r>
        <w:rPr>
          <w:w w:val="105"/>
        </w:rPr>
        <w:t>1)</w:t>
      </w:r>
      <w:r>
        <w:rPr>
          <w:spacing w:val="-13"/>
          <w:w w:val="105"/>
        </w:rPr>
        <w:t> </w:t>
      </w:r>
      <w:r>
        <w:rPr>
          <w:w w:val="105"/>
        </w:rPr>
        <w:t>la pobreza</w:t>
      </w:r>
      <w:r>
        <w:rPr>
          <w:spacing w:val="-14"/>
          <w:w w:val="105"/>
        </w:rPr>
        <w:t> </w:t>
      </w:r>
      <w:r>
        <w:rPr>
          <w:w w:val="105"/>
        </w:rPr>
        <w:t>que</w:t>
      </w:r>
      <w:r>
        <w:rPr>
          <w:spacing w:val="-14"/>
          <w:w w:val="105"/>
        </w:rPr>
        <w:t> </w:t>
      </w:r>
      <w:r>
        <w:rPr>
          <w:w w:val="105"/>
        </w:rPr>
        <w:t>sufren</w:t>
      </w:r>
      <w:r>
        <w:rPr>
          <w:spacing w:val="-14"/>
          <w:w w:val="105"/>
        </w:rPr>
        <w:t> </w:t>
      </w:r>
      <w:r>
        <w:rPr>
          <w:w w:val="105"/>
        </w:rPr>
        <w:t>en</w:t>
      </w:r>
      <w:r>
        <w:rPr>
          <w:spacing w:val="-14"/>
          <w:w w:val="105"/>
        </w:rPr>
        <w:t> </w:t>
      </w:r>
      <w:r>
        <w:rPr>
          <w:w w:val="105"/>
        </w:rPr>
        <w:t>sus</w:t>
      </w:r>
      <w:r>
        <w:rPr>
          <w:spacing w:val="-14"/>
          <w:w w:val="105"/>
        </w:rPr>
        <w:t> </w:t>
      </w:r>
      <w:r>
        <w:rPr>
          <w:w w:val="105"/>
        </w:rPr>
        <w:t>países</w:t>
      </w:r>
      <w:r>
        <w:rPr>
          <w:spacing w:val="-14"/>
          <w:w w:val="105"/>
        </w:rPr>
        <w:t> </w:t>
      </w:r>
      <w:r>
        <w:rPr>
          <w:w w:val="105"/>
        </w:rPr>
        <w:t>de</w:t>
      </w:r>
      <w:r>
        <w:rPr>
          <w:spacing w:val="-14"/>
          <w:w w:val="105"/>
        </w:rPr>
        <w:t> </w:t>
      </w:r>
      <w:r>
        <w:rPr>
          <w:w w:val="105"/>
        </w:rPr>
        <w:t>origen,</w:t>
      </w:r>
      <w:r>
        <w:rPr>
          <w:spacing w:val="-19"/>
          <w:w w:val="105"/>
        </w:rPr>
        <w:t> </w:t>
      </w:r>
      <w:r>
        <w:rPr>
          <w:w w:val="105"/>
        </w:rPr>
        <w:t>que</w:t>
      </w:r>
      <w:r>
        <w:rPr>
          <w:spacing w:val="-14"/>
          <w:w w:val="105"/>
        </w:rPr>
        <w:t> </w:t>
      </w:r>
      <w:r>
        <w:rPr>
          <w:w w:val="105"/>
        </w:rPr>
        <w:t>implica</w:t>
      </w:r>
      <w:r>
        <w:rPr>
          <w:spacing w:val="-14"/>
          <w:w w:val="105"/>
        </w:rPr>
        <w:t> </w:t>
      </w:r>
      <w:r>
        <w:rPr>
          <w:w w:val="105"/>
        </w:rPr>
        <w:t>tanto</w:t>
      </w:r>
      <w:r>
        <w:rPr>
          <w:spacing w:val="-14"/>
          <w:w w:val="105"/>
        </w:rPr>
        <w:t> </w:t>
      </w:r>
      <w:r>
        <w:rPr>
          <w:w w:val="105"/>
        </w:rPr>
        <w:t>carencias materiales como la ausencia sistemática de oportunidades, alimentada por condiciones de baja escolaridad y en general situaciones sociales que</w:t>
      </w:r>
      <w:r>
        <w:rPr>
          <w:spacing w:val="-10"/>
          <w:w w:val="105"/>
        </w:rPr>
        <w:t> </w:t>
      </w:r>
      <w:r>
        <w:rPr>
          <w:w w:val="105"/>
        </w:rPr>
        <w:t>promueven</w:t>
      </w:r>
      <w:r>
        <w:rPr>
          <w:spacing w:val="-10"/>
          <w:w w:val="105"/>
        </w:rPr>
        <w:t> </w:t>
      </w:r>
      <w:r>
        <w:rPr>
          <w:w w:val="105"/>
        </w:rPr>
        <w:t>la</w:t>
      </w:r>
      <w:r>
        <w:rPr>
          <w:spacing w:val="-10"/>
          <w:w w:val="105"/>
        </w:rPr>
        <w:t> </w:t>
      </w:r>
      <w:r>
        <w:rPr>
          <w:w w:val="105"/>
        </w:rPr>
        <w:t>desigualdad,</w:t>
      </w:r>
      <w:r>
        <w:rPr>
          <w:spacing w:val="-16"/>
          <w:w w:val="105"/>
        </w:rPr>
        <w:t> </w:t>
      </w:r>
      <w:r>
        <w:rPr>
          <w:w w:val="105"/>
        </w:rPr>
        <w:t>y</w:t>
      </w:r>
      <w:r>
        <w:rPr>
          <w:spacing w:val="-10"/>
          <w:w w:val="105"/>
        </w:rPr>
        <w:t> </w:t>
      </w:r>
      <w:r>
        <w:rPr>
          <w:w w:val="105"/>
        </w:rPr>
        <w:t>2)</w:t>
      </w:r>
      <w:r>
        <w:rPr>
          <w:spacing w:val="-10"/>
          <w:w w:val="105"/>
        </w:rPr>
        <w:t> </w:t>
      </w:r>
      <w:r>
        <w:rPr>
          <w:w w:val="105"/>
        </w:rPr>
        <w:t>la</w:t>
      </w:r>
      <w:r>
        <w:rPr>
          <w:spacing w:val="-10"/>
          <w:w w:val="105"/>
        </w:rPr>
        <w:t> </w:t>
      </w:r>
      <w:r>
        <w:rPr>
          <w:w w:val="105"/>
        </w:rPr>
        <w:t>violencia</w:t>
      </w:r>
      <w:r>
        <w:rPr>
          <w:spacing w:val="-10"/>
          <w:w w:val="105"/>
        </w:rPr>
        <w:t> </w:t>
      </w:r>
      <w:r>
        <w:rPr>
          <w:w w:val="105"/>
        </w:rPr>
        <w:t>que</w:t>
      </w:r>
      <w:r>
        <w:rPr>
          <w:spacing w:val="-10"/>
          <w:w w:val="105"/>
        </w:rPr>
        <w:t> </w:t>
      </w:r>
      <w:r>
        <w:rPr>
          <w:w w:val="105"/>
        </w:rPr>
        <w:t>sufren</w:t>
      </w:r>
      <w:r>
        <w:rPr>
          <w:spacing w:val="-10"/>
          <w:w w:val="105"/>
        </w:rPr>
        <w:t> </w:t>
      </w:r>
      <w:r>
        <w:rPr>
          <w:w w:val="105"/>
        </w:rPr>
        <w:t>estos</w:t>
      </w:r>
      <w:r>
        <w:rPr>
          <w:spacing w:val="-10"/>
          <w:w w:val="105"/>
        </w:rPr>
        <w:t> </w:t>
      </w:r>
      <w:r>
        <w:rPr>
          <w:w w:val="105"/>
        </w:rPr>
        <w:t>países centroamericanos, no sólo derivada de conflictos armados en la</w:t>
      </w:r>
      <w:r>
        <w:rPr>
          <w:spacing w:val="-39"/>
          <w:w w:val="105"/>
        </w:rPr>
        <w:t> </w:t>
      </w:r>
      <w:r>
        <w:rPr>
          <w:w w:val="105"/>
        </w:rPr>
        <w:t>región, sino</w:t>
      </w:r>
      <w:r>
        <w:rPr>
          <w:spacing w:val="-15"/>
          <w:w w:val="105"/>
        </w:rPr>
        <w:t> </w:t>
      </w:r>
      <w:r>
        <w:rPr>
          <w:w w:val="105"/>
        </w:rPr>
        <w:t>de</w:t>
      </w:r>
      <w:r>
        <w:rPr>
          <w:spacing w:val="-15"/>
          <w:w w:val="105"/>
        </w:rPr>
        <w:t> </w:t>
      </w:r>
      <w:r>
        <w:rPr>
          <w:w w:val="105"/>
        </w:rPr>
        <w:t>la</w:t>
      </w:r>
      <w:r>
        <w:rPr>
          <w:spacing w:val="-15"/>
          <w:w w:val="105"/>
        </w:rPr>
        <w:t> </w:t>
      </w:r>
      <w:r>
        <w:rPr>
          <w:w w:val="105"/>
        </w:rPr>
        <w:t>proliferación</w:t>
      </w:r>
      <w:r>
        <w:rPr>
          <w:spacing w:val="-15"/>
          <w:w w:val="105"/>
        </w:rPr>
        <w:t> </w:t>
      </w:r>
      <w:r>
        <w:rPr>
          <w:w w:val="105"/>
        </w:rPr>
        <w:t>de</w:t>
      </w:r>
      <w:r>
        <w:rPr>
          <w:spacing w:val="-15"/>
          <w:w w:val="105"/>
        </w:rPr>
        <w:t> </w:t>
      </w:r>
      <w:r>
        <w:rPr>
          <w:w w:val="105"/>
        </w:rPr>
        <w:t>pandillas</w:t>
      </w:r>
      <w:r>
        <w:rPr>
          <w:spacing w:val="-15"/>
          <w:w w:val="105"/>
        </w:rPr>
        <w:t> </w:t>
      </w:r>
      <w:r>
        <w:rPr>
          <w:w w:val="105"/>
        </w:rPr>
        <w:t>(maras)</w:t>
      </w:r>
      <w:r>
        <w:rPr>
          <w:spacing w:val="-15"/>
          <w:w w:val="105"/>
        </w:rPr>
        <w:t> </w:t>
      </w:r>
      <w:r>
        <w:rPr>
          <w:w w:val="105"/>
        </w:rPr>
        <w:t>que</w:t>
      </w:r>
      <w:r>
        <w:rPr>
          <w:spacing w:val="-15"/>
          <w:w w:val="105"/>
        </w:rPr>
        <w:t> </w:t>
      </w:r>
      <w:r>
        <w:rPr>
          <w:w w:val="105"/>
        </w:rPr>
        <w:t>reclutan</w:t>
      </w:r>
      <w:r>
        <w:rPr>
          <w:spacing w:val="-15"/>
          <w:w w:val="105"/>
        </w:rPr>
        <w:t> </w:t>
      </w:r>
      <w:r>
        <w:rPr>
          <w:w w:val="105"/>
        </w:rPr>
        <w:t>niños</w:t>
      </w:r>
      <w:r>
        <w:rPr>
          <w:spacing w:val="-15"/>
          <w:w w:val="105"/>
        </w:rPr>
        <w:t> </w:t>
      </w:r>
      <w:r>
        <w:rPr>
          <w:w w:val="105"/>
        </w:rPr>
        <w:t>y</w:t>
      </w:r>
      <w:r>
        <w:rPr>
          <w:spacing w:val="-15"/>
          <w:w w:val="105"/>
        </w:rPr>
        <w:t> </w:t>
      </w:r>
      <w:r>
        <w:rPr>
          <w:w w:val="105"/>
        </w:rPr>
        <w:t>adoles- centes</w:t>
      </w:r>
      <w:r>
        <w:rPr>
          <w:spacing w:val="-33"/>
          <w:w w:val="105"/>
        </w:rPr>
        <w:t> </w:t>
      </w:r>
      <w:r>
        <w:rPr>
          <w:w w:val="105"/>
        </w:rPr>
        <w:t>(</w:t>
      </w:r>
      <w:r>
        <w:rPr>
          <w:color w:val="231F20"/>
          <w:w w:val="105"/>
          <w:sz w:val="17"/>
        </w:rPr>
        <w:t>OEA</w:t>
      </w:r>
      <w:r>
        <w:rPr>
          <w:w w:val="105"/>
        </w:rPr>
        <w:t>,</w:t>
      </w:r>
      <w:r>
        <w:rPr>
          <w:spacing w:val="-36"/>
          <w:w w:val="105"/>
        </w:rPr>
        <w:t> </w:t>
      </w:r>
      <w:r>
        <w:rPr>
          <w:w w:val="105"/>
        </w:rPr>
        <w:t>2013:</w:t>
      </w:r>
      <w:r>
        <w:rPr>
          <w:spacing w:val="-33"/>
          <w:w w:val="105"/>
        </w:rPr>
        <w:t> </w:t>
      </w:r>
      <w:r>
        <w:rPr>
          <w:w w:val="105"/>
        </w:rPr>
        <w:t>98).</w:t>
      </w:r>
    </w:p>
    <w:p>
      <w:pPr>
        <w:pStyle w:val="BodyText"/>
        <w:spacing w:line="261" w:lineRule="auto"/>
        <w:ind w:left="1723" w:right="1834" w:firstLine="567"/>
        <w:jc w:val="both"/>
      </w:pPr>
      <w:r>
        <w:rPr>
          <w:w w:val="105"/>
        </w:rPr>
        <w:t>Conforme al </w:t>
      </w:r>
      <w:r>
        <w:rPr>
          <w:rFonts w:ascii="Arial" w:hAnsi="Arial"/>
          <w:i/>
          <w:w w:val="105"/>
        </w:rPr>
        <w:t>Estudio Global de Homicidios 2013</w:t>
      </w:r>
      <w:r>
        <w:rPr>
          <w:w w:val="105"/>
        </w:rPr>
        <w:t>, realizado por la Oficina en Drogas y Crimen de la </w:t>
      </w:r>
      <w:r>
        <w:rPr>
          <w:color w:val="231F20"/>
          <w:w w:val="105"/>
          <w:sz w:val="17"/>
        </w:rPr>
        <w:t>ONU</w:t>
      </w:r>
      <w:r>
        <w:rPr>
          <w:w w:val="105"/>
        </w:rPr>
        <w:t>, dos de los países con mayores tasas</w:t>
      </w:r>
      <w:r>
        <w:rPr>
          <w:spacing w:val="-9"/>
          <w:w w:val="105"/>
        </w:rPr>
        <w:t> </w:t>
      </w:r>
      <w:r>
        <w:rPr>
          <w:w w:val="105"/>
        </w:rPr>
        <w:t>de</w:t>
      </w:r>
      <w:r>
        <w:rPr>
          <w:spacing w:val="-9"/>
          <w:w w:val="105"/>
        </w:rPr>
        <w:t> </w:t>
      </w:r>
      <w:r>
        <w:rPr>
          <w:w w:val="105"/>
        </w:rPr>
        <w:t>homicidios</w:t>
      </w:r>
      <w:r>
        <w:rPr>
          <w:spacing w:val="-9"/>
          <w:w w:val="105"/>
        </w:rPr>
        <w:t> </w:t>
      </w:r>
      <w:r>
        <w:rPr>
          <w:w w:val="105"/>
        </w:rPr>
        <w:t>en</w:t>
      </w:r>
      <w:r>
        <w:rPr>
          <w:spacing w:val="-12"/>
          <w:w w:val="105"/>
        </w:rPr>
        <w:t> </w:t>
      </w:r>
      <w:r>
        <w:rPr>
          <w:w w:val="105"/>
        </w:rPr>
        <w:t>América</w:t>
      </w:r>
      <w:r>
        <w:rPr>
          <w:spacing w:val="-9"/>
          <w:w w:val="105"/>
        </w:rPr>
        <w:t> </w:t>
      </w:r>
      <w:r>
        <w:rPr>
          <w:w w:val="105"/>
        </w:rPr>
        <w:t>Latina</w:t>
      </w:r>
      <w:r>
        <w:rPr>
          <w:spacing w:val="-9"/>
          <w:w w:val="105"/>
        </w:rPr>
        <w:t> </w:t>
      </w:r>
      <w:r>
        <w:rPr>
          <w:w w:val="105"/>
        </w:rPr>
        <w:t>son</w:t>
      </w:r>
      <w:r>
        <w:rPr>
          <w:spacing w:val="-9"/>
          <w:w w:val="105"/>
        </w:rPr>
        <w:t> </w:t>
      </w:r>
      <w:r>
        <w:rPr>
          <w:w w:val="105"/>
        </w:rPr>
        <w:t>precisamente</w:t>
      </w:r>
      <w:r>
        <w:rPr>
          <w:spacing w:val="-9"/>
          <w:w w:val="105"/>
        </w:rPr>
        <w:t> </w:t>
      </w:r>
      <w:r>
        <w:rPr>
          <w:w w:val="105"/>
        </w:rPr>
        <w:t>Honduras</w:t>
      </w:r>
      <w:r>
        <w:rPr>
          <w:spacing w:val="-9"/>
          <w:w w:val="105"/>
        </w:rPr>
        <w:t> </w:t>
      </w:r>
      <w:r>
        <w:rPr>
          <w:w w:val="105"/>
        </w:rPr>
        <w:t>y</w:t>
      </w:r>
      <w:r>
        <w:rPr>
          <w:spacing w:val="-9"/>
          <w:w w:val="105"/>
        </w:rPr>
        <w:t> </w:t>
      </w:r>
      <w:r>
        <w:rPr>
          <w:w w:val="105"/>
        </w:rPr>
        <w:t>El Salvador</w:t>
      </w:r>
      <w:r>
        <w:rPr>
          <w:spacing w:val="-17"/>
          <w:w w:val="105"/>
        </w:rPr>
        <w:t> </w:t>
      </w:r>
      <w:r>
        <w:rPr>
          <w:w w:val="105"/>
        </w:rPr>
        <w:t>(</w:t>
      </w:r>
      <w:r>
        <w:rPr>
          <w:color w:val="231F20"/>
          <w:w w:val="105"/>
          <w:sz w:val="17"/>
        </w:rPr>
        <w:t>ONU</w:t>
      </w:r>
      <w:r>
        <w:rPr>
          <w:w w:val="105"/>
        </w:rPr>
        <w:t>,</w:t>
      </w:r>
      <w:r>
        <w:rPr>
          <w:spacing w:val="-22"/>
          <w:w w:val="105"/>
        </w:rPr>
        <w:t> </w:t>
      </w:r>
      <w:r>
        <w:rPr>
          <w:w w:val="105"/>
        </w:rPr>
        <w:t>2013b).</w:t>
      </w:r>
      <w:r>
        <w:rPr>
          <w:spacing w:val="-22"/>
          <w:w w:val="105"/>
        </w:rPr>
        <w:t> </w:t>
      </w:r>
      <w:r>
        <w:rPr>
          <w:spacing w:val="-6"/>
          <w:w w:val="105"/>
        </w:rPr>
        <w:t>Por</w:t>
      </w:r>
      <w:r>
        <w:rPr>
          <w:spacing w:val="-17"/>
          <w:w w:val="105"/>
        </w:rPr>
        <w:t> </w:t>
      </w:r>
      <w:r>
        <w:rPr>
          <w:w w:val="105"/>
        </w:rPr>
        <w:t>lo</w:t>
      </w:r>
      <w:r>
        <w:rPr>
          <w:spacing w:val="-17"/>
          <w:w w:val="105"/>
        </w:rPr>
        <w:t> </w:t>
      </w:r>
      <w:r>
        <w:rPr>
          <w:w w:val="105"/>
        </w:rPr>
        <w:t>anterior,</w:t>
      </w:r>
      <w:r>
        <w:rPr>
          <w:spacing w:val="-22"/>
          <w:w w:val="105"/>
        </w:rPr>
        <w:t> </w:t>
      </w:r>
      <w:r>
        <w:rPr>
          <w:w w:val="105"/>
        </w:rPr>
        <w:t>es</w:t>
      </w:r>
      <w:r>
        <w:rPr>
          <w:spacing w:val="-17"/>
          <w:w w:val="105"/>
        </w:rPr>
        <w:t> </w:t>
      </w:r>
      <w:r>
        <w:rPr>
          <w:w w:val="105"/>
        </w:rPr>
        <w:t>comprensible</w:t>
      </w:r>
      <w:r>
        <w:rPr>
          <w:spacing w:val="-17"/>
          <w:w w:val="105"/>
        </w:rPr>
        <w:t> </w:t>
      </w:r>
      <w:r>
        <w:rPr>
          <w:w w:val="105"/>
        </w:rPr>
        <w:t>que</w:t>
      </w:r>
      <w:r>
        <w:rPr>
          <w:spacing w:val="-17"/>
          <w:w w:val="105"/>
        </w:rPr>
        <w:t> </w:t>
      </w:r>
      <w:r>
        <w:rPr>
          <w:w w:val="105"/>
        </w:rPr>
        <w:t>la</w:t>
      </w:r>
      <w:r>
        <w:rPr>
          <w:spacing w:val="-17"/>
          <w:w w:val="105"/>
        </w:rPr>
        <w:t> </w:t>
      </w:r>
      <w:r>
        <w:rPr>
          <w:w w:val="105"/>
        </w:rPr>
        <w:t>migración sea</w:t>
      </w:r>
      <w:r>
        <w:rPr>
          <w:spacing w:val="-12"/>
          <w:w w:val="105"/>
        </w:rPr>
        <w:t> </w:t>
      </w:r>
      <w:r>
        <w:rPr>
          <w:w w:val="105"/>
        </w:rPr>
        <w:t>vista</w:t>
      </w:r>
      <w:r>
        <w:rPr>
          <w:spacing w:val="-12"/>
          <w:w w:val="105"/>
        </w:rPr>
        <w:t> </w:t>
      </w:r>
      <w:r>
        <w:rPr>
          <w:w w:val="105"/>
        </w:rPr>
        <w:t>como</w:t>
      </w:r>
      <w:r>
        <w:rPr>
          <w:spacing w:val="-12"/>
          <w:w w:val="105"/>
        </w:rPr>
        <w:t> </w:t>
      </w:r>
      <w:r>
        <w:rPr>
          <w:w w:val="105"/>
        </w:rPr>
        <w:t>la</w:t>
      </w:r>
      <w:r>
        <w:rPr>
          <w:spacing w:val="-12"/>
          <w:w w:val="105"/>
        </w:rPr>
        <w:t> </w:t>
      </w:r>
      <w:r>
        <w:rPr>
          <w:w w:val="105"/>
        </w:rPr>
        <w:t>única</w:t>
      </w:r>
      <w:r>
        <w:rPr>
          <w:spacing w:val="-12"/>
          <w:w w:val="105"/>
        </w:rPr>
        <w:t> </w:t>
      </w:r>
      <w:r>
        <w:rPr>
          <w:w w:val="105"/>
        </w:rPr>
        <w:t>escapatoria</w:t>
      </w:r>
      <w:r>
        <w:rPr>
          <w:spacing w:val="-12"/>
          <w:w w:val="105"/>
        </w:rPr>
        <w:t> </w:t>
      </w:r>
      <w:r>
        <w:rPr>
          <w:w w:val="105"/>
        </w:rPr>
        <w:t>que</w:t>
      </w:r>
      <w:r>
        <w:rPr>
          <w:spacing w:val="-12"/>
          <w:w w:val="105"/>
        </w:rPr>
        <w:t> </w:t>
      </w:r>
      <w:r>
        <w:rPr>
          <w:w w:val="105"/>
        </w:rPr>
        <w:t>niñas,</w:t>
      </w:r>
      <w:r>
        <w:rPr>
          <w:spacing w:val="-16"/>
          <w:w w:val="105"/>
        </w:rPr>
        <w:t> </w:t>
      </w:r>
      <w:r>
        <w:rPr>
          <w:w w:val="105"/>
        </w:rPr>
        <w:t>niños</w:t>
      </w:r>
      <w:r>
        <w:rPr>
          <w:spacing w:val="-12"/>
          <w:w w:val="105"/>
        </w:rPr>
        <w:t> </w:t>
      </w:r>
      <w:r>
        <w:rPr>
          <w:w w:val="105"/>
        </w:rPr>
        <w:t>y</w:t>
      </w:r>
      <w:r>
        <w:rPr>
          <w:spacing w:val="-12"/>
          <w:w w:val="105"/>
        </w:rPr>
        <w:t> </w:t>
      </w:r>
      <w:r>
        <w:rPr>
          <w:w w:val="105"/>
        </w:rPr>
        <w:t>adolescentes</w:t>
      </w:r>
      <w:r>
        <w:rPr>
          <w:spacing w:val="-12"/>
          <w:w w:val="105"/>
        </w:rPr>
        <w:t> </w:t>
      </w:r>
      <w:r>
        <w:rPr>
          <w:w w:val="105"/>
        </w:rPr>
        <w:t>tie- nen</w:t>
      </w:r>
      <w:r>
        <w:rPr>
          <w:spacing w:val="-20"/>
          <w:w w:val="105"/>
        </w:rPr>
        <w:t> </w:t>
      </w:r>
      <w:r>
        <w:rPr>
          <w:w w:val="105"/>
        </w:rPr>
        <w:t>de</w:t>
      </w:r>
      <w:r>
        <w:rPr>
          <w:spacing w:val="-20"/>
          <w:w w:val="105"/>
        </w:rPr>
        <w:t> </w:t>
      </w:r>
      <w:r>
        <w:rPr>
          <w:w w:val="105"/>
        </w:rPr>
        <w:t>las</w:t>
      </w:r>
      <w:r>
        <w:rPr>
          <w:spacing w:val="-20"/>
          <w:w w:val="105"/>
        </w:rPr>
        <w:t> </w:t>
      </w:r>
      <w:r>
        <w:rPr>
          <w:w w:val="105"/>
        </w:rPr>
        <w:t>maras</w:t>
      </w:r>
      <w:r>
        <w:rPr>
          <w:spacing w:val="-20"/>
          <w:w w:val="105"/>
        </w:rPr>
        <w:t> </w:t>
      </w:r>
      <w:r>
        <w:rPr>
          <w:w w:val="105"/>
        </w:rPr>
        <w:t>y</w:t>
      </w:r>
      <w:r>
        <w:rPr>
          <w:spacing w:val="-20"/>
          <w:w w:val="105"/>
        </w:rPr>
        <w:t> </w:t>
      </w:r>
      <w:r>
        <w:rPr>
          <w:w w:val="105"/>
        </w:rPr>
        <w:t>otros</w:t>
      </w:r>
      <w:r>
        <w:rPr>
          <w:spacing w:val="-20"/>
          <w:w w:val="105"/>
        </w:rPr>
        <w:t> </w:t>
      </w:r>
      <w:r>
        <w:rPr>
          <w:w w:val="105"/>
        </w:rPr>
        <w:t>grupos</w:t>
      </w:r>
      <w:r>
        <w:rPr>
          <w:spacing w:val="-20"/>
          <w:w w:val="105"/>
        </w:rPr>
        <w:t> </w:t>
      </w:r>
      <w:r>
        <w:rPr>
          <w:w w:val="105"/>
        </w:rPr>
        <w:t>delincuenciales.</w:t>
      </w:r>
    </w:p>
    <w:p>
      <w:pPr>
        <w:spacing w:line="261" w:lineRule="auto" w:before="0"/>
        <w:ind w:left="1723" w:right="1835" w:firstLine="567"/>
        <w:jc w:val="both"/>
        <w:rPr>
          <w:sz w:val="21"/>
        </w:rPr>
      </w:pPr>
      <w:r>
        <w:rPr>
          <w:w w:val="105"/>
          <w:sz w:val="21"/>
        </w:rPr>
        <w:t>Manuel</w:t>
      </w:r>
      <w:r>
        <w:rPr>
          <w:spacing w:val="-11"/>
          <w:w w:val="105"/>
          <w:sz w:val="21"/>
        </w:rPr>
        <w:t> </w:t>
      </w:r>
      <w:r>
        <w:rPr>
          <w:w w:val="105"/>
          <w:sz w:val="21"/>
        </w:rPr>
        <w:t>Ureste</w:t>
      </w:r>
      <w:r>
        <w:rPr>
          <w:spacing w:val="-11"/>
          <w:w w:val="105"/>
          <w:sz w:val="21"/>
        </w:rPr>
        <w:t> </w:t>
      </w:r>
      <w:r>
        <w:rPr>
          <w:w w:val="105"/>
          <w:sz w:val="21"/>
        </w:rPr>
        <w:t>recoge</w:t>
      </w:r>
      <w:r>
        <w:rPr>
          <w:spacing w:val="-11"/>
          <w:w w:val="105"/>
          <w:sz w:val="21"/>
        </w:rPr>
        <w:t> </w:t>
      </w:r>
      <w:r>
        <w:rPr>
          <w:w w:val="105"/>
          <w:sz w:val="21"/>
        </w:rPr>
        <w:t>en</w:t>
      </w:r>
      <w:r>
        <w:rPr>
          <w:spacing w:val="-11"/>
          <w:w w:val="105"/>
          <w:sz w:val="21"/>
        </w:rPr>
        <w:t> </w:t>
      </w:r>
      <w:r>
        <w:rPr>
          <w:w w:val="105"/>
          <w:sz w:val="21"/>
        </w:rPr>
        <w:t>su</w:t>
      </w:r>
      <w:r>
        <w:rPr>
          <w:spacing w:val="-11"/>
          <w:w w:val="105"/>
          <w:sz w:val="21"/>
        </w:rPr>
        <w:t> </w:t>
      </w:r>
      <w:r>
        <w:rPr>
          <w:w w:val="105"/>
          <w:sz w:val="21"/>
        </w:rPr>
        <w:t>obra</w:t>
      </w:r>
      <w:r>
        <w:rPr>
          <w:spacing w:val="-11"/>
          <w:w w:val="105"/>
          <w:sz w:val="21"/>
        </w:rPr>
        <w:t> </w:t>
      </w:r>
      <w:r>
        <w:rPr>
          <w:rFonts w:ascii="Arial" w:hAnsi="Arial"/>
          <w:i/>
          <w:w w:val="105"/>
          <w:sz w:val="21"/>
        </w:rPr>
        <w:t>Menores</w:t>
      </w:r>
      <w:r>
        <w:rPr>
          <w:rFonts w:ascii="Arial" w:hAnsi="Arial"/>
          <w:i/>
          <w:spacing w:val="-13"/>
          <w:w w:val="105"/>
          <w:sz w:val="21"/>
        </w:rPr>
        <w:t> </w:t>
      </w:r>
      <w:r>
        <w:rPr>
          <w:rFonts w:ascii="Arial" w:hAnsi="Arial"/>
          <w:i/>
          <w:w w:val="105"/>
          <w:sz w:val="21"/>
        </w:rPr>
        <w:t>migrantes:</w:t>
      </w:r>
      <w:r>
        <w:rPr>
          <w:rFonts w:ascii="Arial" w:hAnsi="Arial"/>
          <w:i/>
          <w:spacing w:val="-13"/>
          <w:w w:val="105"/>
          <w:sz w:val="21"/>
        </w:rPr>
        <w:t> </w:t>
      </w:r>
      <w:r>
        <w:rPr>
          <w:rFonts w:ascii="Arial" w:hAnsi="Arial"/>
          <w:i/>
          <w:w w:val="105"/>
          <w:sz w:val="21"/>
        </w:rPr>
        <w:t>México</w:t>
      </w:r>
      <w:r>
        <w:rPr>
          <w:rFonts w:ascii="Arial" w:hAnsi="Arial"/>
          <w:i/>
          <w:spacing w:val="-13"/>
          <w:w w:val="105"/>
          <w:sz w:val="21"/>
        </w:rPr>
        <w:t> </w:t>
      </w:r>
      <w:r>
        <w:rPr>
          <w:rFonts w:ascii="Arial" w:hAnsi="Arial"/>
          <w:i/>
          <w:w w:val="105"/>
          <w:sz w:val="21"/>
        </w:rPr>
        <w:t>cie- </w:t>
      </w:r>
      <w:r>
        <w:rPr>
          <w:rFonts w:ascii="Arial" w:hAnsi="Arial"/>
          <w:i/>
          <w:w w:val="105"/>
          <w:sz w:val="21"/>
        </w:rPr>
        <w:t>rra</w:t>
      </w:r>
      <w:r>
        <w:rPr>
          <w:rFonts w:ascii="Arial" w:hAnsi="Arial"/>
          <w:i/>
          <w:spacing w:val="-11"/>
          <w:w w:val="105"/>
          <w:sz w:val="21"/>
        </w:rPr>
        <w:t> </w:t>
      </w:r>
      <w:r>
        <w:rPr>
          <w:rFonts w:ascii="Arial" w:hAnsi="Arial"/>
          <w:i/>
          <w:w w:val="105"/>
          <w:sz w:val="21"/>
        </w:rPr>
        <w:t>la</w:t>
      </w:r>
      <w:r>
        <w:rPr>
          <w:rFonts w:ascii="Arial" w:hAnsi="Arial"/>
          <w:i/>
          <w:spacing w:val="-11"/>
          <w:w w:val="105"/>
          <w:sz w:val="21"/>
        </w:rPr>
        <w:t> </w:t>
      </w:r>
      <w:r>
        <w:rPr>
          <w:rFonts w:ascii="Arial" w:hAnsi="Arial"/>
          <w:i/>
          <w:w w:val="105"/>
          <w:sz w:val="21"/>
        </w:rPr>
        <w:t>puerta</w:t>
      </w:r>
      <w:r>
        <w:rPr>
          <w:rFonts w:ascii="Arial" w:hAnsi="Arial"/>
          <w:i/>
          <w:spacing w:val="-11"/>
          <w:w w:val="105"/>
          <w:sz w:val="21"/>
        </w:rPr>
        <w:t> </w:t>
      </w:r>
      <w:r>
        <w:rPr>
          <w:rFonts w:ascii="Arial" w:hAnsi="Arial"/>
          <w:i/>
          <w:w w:val="105"/>
          <w:sz w:val="21"/>
        </w:rPr>
        <w:t>a</w:t>
      </w:r>
      <w:r>
        <w:rPr>
          <w:rFonts w:ascii="Arial" w:hAnsi="Arial"/>
          <w:i/>
          <w:spacing w:val="-11"/>
          <w:w w:val="105"/>
          <w:sz w:val="21"/>
        </w:rPr>
        <w:t> </w:t>
      </w:r>
      <w:r>
        <w:rPr>
          <w:rFonts w:ascii="Arial" w:hAnsi="Arial"/>
          <w:i/>
          <w:w w:val="105"/>
          <w:sz w:val="21"/>
        </w:rPr>
        <w:t>una</w:t>
      </w:r>
      <w:r>
        <w:rPr>
          <w:rFonts w:ascii="Arial" w:hAnsi="Arial"/>
          <w:i/>
          <w:spacing w:val="-11"/>
          <w:w w:val="105"/>
          <w:sz w:val="21"/>
        </w:rPr>
        <w:t> </w:t>
      </w:r>
      <w:r>
        <w:rPr>
          <w:rFonts w:ascii="Arial" w:hAnsi="Arial"/>
          <w:i/>
          <w:w w:val="105"/>
          <w:sz w:val="21"/>
        </w:rPr>
        <w:t>generación</w:t>
      </w:r>
      <w:r>
        <w:rPr>
          <w:rFonts w:ascii="Arial" w:hAnsi="Arial"/>
          <w:i/>
          <w:spacing w:val="-11"/>
          <w:w w:val="105"/>
          <w:sz w:val="21"/>
        </w:rPr>
        <w:t> </w:t>
      </w:r>
      <w:r>
        <w:rPr>
          <w:rFonts w:ascii="Arial" w:hAnsi="Arial"/>
          <w:i/>
          <w:w w:val="105"/>
          <w:sz w:val="21"/>
        </w:rPr>
        <w:t>que</w:t>
      </w:r>
      <w:r>
        <w:rPr>
          <w:rFonts w:ascii="Arial" w:hAnsi="Arial"/>
          <w:i/>
          <w:spacing w:val="-11"/>
          <w:w w:val="105"/>
          <w:sz w:val="21"/>
        </w:rPr>
        <w:t> </w:t>
      </w:r>
      <w:r>
        <w:rPr>
          <w:rFonts w:ascii="Arial" w:hAnsi="Arial"/>
          <w:i/>
          <w:w w:val="105"/>
          <w:sz w:val="21"/>
        </w:rPr>
        <w:t>huye</w:t>
      </w:r>
      <w:r>
        <w:rPr>
          <w:rFonts w:ascii="Arial" w:hAnsi="Arial"/>
          <w:i/>
          <w:spacing w:val="-11"/>
          <w:w w:val="105"/>
          <w:sz w:val="21"/>
        </w:rPr>
        <w:t> </w:t>
      </w:r>
      <w:r>
        <w:rPr>
          <w:rFonts w:ascii="Arial" w:hAnsi="Arial"/>
          <w:i/>
          <w:w w:val="105"/>
          <w:sz w:val="21"/>
        </w:rPr>
        <w:t>de</w:t>
      </w:r>
      <w:r>
        <w:rPr>
          <w:rFonts w:ascii="Arial" w:hAnsi="Arial"/>
          <w:i/>
          <w:spacing w:val="-11"/>
          <w:w w:val="105"/>
          <w:sz w:val="21"/>
        </w:rPr>
        <w:t> </w:t>
      </w:r>
      <w:r>
        <w:rPr>
          <w:rFonts w:ascii="Arial" w:hAnsi="Arial"/>
          <w:i/>
          <w:w w:val="105"/>
          <w:sz w:val="21"/>
        </w:rPr>
        <w:t>la</w:t>
      </w:r>
      <w:r>
        <w:rPr>
          <w:rFonts w:ascii="Arial" w:hAnsi="Arial"/>
          <w:i/>
          <w:spacing w:val="-11"/>
          <w:w w:val="105"/>
          <w:sz w:val="21"/>
        </w:rPr>
        <w:t> </w:t>
      </w:r>
      <w:r>
        <w:rPr>
          <w:rFonts w:ascii="Arial" w:hAnsi="Arial"/>
          <w:i/>
          <w:w w:val="105"/>
          <w:sz w:val="21"/>
        </w:rPr>
        <w:t>violencia</w:t>
      </w:r>
      <w:r>
        <w:rPr>
          <w:w w:val="105"/>
          <w:sz w:val="21"/>
        </w:rPr>
        <w:t>,</w:t>
      </w:r>
      <w:r>
        <w:rPr>
          <w:spacing w:val="-14"/>
          <w:w w:val="105"/>
          <w:sz w:val="21"/>
        </w:rPr>
        <w:t> </w:t>
      </w:r>
      <w:r>
        <w:rPr>
          <w:w w:val="105"/>
          <w:sz w:val="21"/>
        </w:rPr>
        <w:t>el</w:t>
      </w:r>
      <w:r>
        <w:rPr>
          <w:spacing w:val="-8"/>
          <w:w w:val="105"/>
          <w:sz w:val="21"/>
        </w:rPr>
        <w:t> </w:t>
      </w:r>
      <w:r>
        <w:rPr>
          <w:w w:val="105"/>
          <w:sz w:val="21"/>
        </w:rPr>
        <w:t>testimonio</w:t>
      </w:r>
      <w:r>
        <w:rPr>
          <w:spacing w:val="-8"/>
          <w:w w:val="105"/>
          <w:sz w:val="21"/>
        </w:rPr>
        <w:t> </w:t>
      </w:r>
      <w:r>
        <w:rPr>
          <w:w w:val="105"/>
          <w:sz w:val="21"/>
        </w:rPr>
        <w:t>de diversos migrantes centroamericanos, entre ellos salvadoreños como Reynaldo,</w:t>
      </w:r>
      <w:r>
        <w:rPr>
          <w:spacing w:val="-16"/>
          <w:w w:val="105"/>
          <w:sz w:val="21"/>
        </w:rPr>
        <w:t> </w:t>
      </w:r>
      <w:r>
        <w:rPr>
          <w:w w:val="105"/>
          <w:sz w:val="21"/>
        </w:rPr>
        <w:t>quien</w:t>
      </w:r>
      <w:r>
        <w:rPr>
          <w:spacing w:val="-10"/>
          <w:w w:val="105"/>
          <w:sz w:val="21"/>
        </w:rPr>
        <w:t> </w:t>
      </w:r>
      <w:r>
        <w:rPr>
          <w:w w:val="105"/>
          <w:sz w:val="21"/>
        </w:rPr>
        <w:t>solicitó</w:t>
      </w:r>
      <w:r>
        <w:rPr>
          <w:spacing w:val="-10"/>
          <w:w w:val="105"/>
          <w:sz w:val="21"/>
        </w:rPr>
        <w:t> </w:t>
      </w:r>
      <w:r>
        <w:rPr>
          <w:w w:val="105"/>
          <w:sz w:val="21"/>
        </w:rPr>
        <w:t>el</w:t>
      </w:r>
      <w:r>
        <w:rPr>
          <w:spacing w:val="-10"/>
          <w:w w:val="105"/>
          <w:sz w:val="21"/>
        </w:rPr>
        <w:t> </w:t>
      </w:r>
      <w:r>
        <w:rPr>
          <w:w w:val="105"/>
          <w:sz w:val="21"/>
        </w:rPr>
        <w:t>estatus</w:t>
      </w:r>
      <w:r>
        <w:rPr>
          <w:spacing w:val="-10"/>
          <w:w w:val="105"/>
          <w:sz w:val="21"/>
        </w:rPr>
        <w:t> </w:t>
      </w:r>
      <w:r>
        <w:rPr>
          <w:w w:val="105"/>
          <w:sz w:val="21"/>
        </w:rPr>
        <w:t>de</w:t>
      </w:r>
      <w:r>
        <w:rPr>
          <w:spacing w:val="-10"/>
          <w:w w:val="105"/>
          <w:sz w:val="21"/>
        </w:rPr>
        <w:t> </w:t>
      </w:r>
      <w:r>
        <w:rPr>
          <w:w w:val="105"/>
          <w:sz w:val="21"/>
        </w:rPr>
        <w:t>refugiado</w:t>
      </w:r>
      <w:r>
        <w:rPr>
          <w:spacing w:val="-10"/>
          <w:w w:val="105"/>
          <w:sz w:val="21"/>
        </w:rPr>
        <w:t> </w:t>
      </w:r>
      <w:r>
        <w:rPr>
          <w:w w:val="105"/>
          <w:sz w:val="21"/>
        </w:rPr>
        <w:t>ante</w:t>
      </w:r>
      <w:r>
        <w:rPr>
          <w:spacing w:val="-10"/>
          <w:w w:val="105"/>
          <w:sz w:val="21"/>
        </w:rPr>
        <w:t> </w:t>
      </w:r>
      <w:r>
        <w:rPr>
          <w:w w:val="105"/>
          <w:sz w:val="21"/>
        </w:rPr>
        <w:t>la</w:t>
      </w:r>
      <w:r>
        <w:rPr>
          <w:spacing w:val="-10"/>
          <w:w w:val="105"/>
          <w:sz w:val="21"/>
        </w:rPr>
        <w:t> </w:t>
      </w:r>
      <w:r>
        <w:rPr>
          <w:w w:val="105"/>
          <w:sz w:val="21"/>
        </w:rPr>
        <w:t>Oficina</w:t>
      </w:r>
      <w:r>
        <w:rPr>
          <w:spacing w:val="-10"/>
          <w:w w:val="105"/>
          <w:sz w:val="21"/>
        </w:rPr>
        <w:t> </w:t>
      </w:r>
      <w:r>
        <w:rPr>
          <w:w w:val="105"/>
          <w:sz w:val="21"/>
        </w:rPr>
        <w:t>de</w:t>
      </w:r>
      <w:r>
        <w:rPr>
          <w:spacing w:val="-10"/>
          <w:w w:val="105"/>
          <w:sz w:val="21"/>
        </w:rPr>
        <w:t> </w:t>
      </w:r>
      <w:r>
        <w:rPr>
          <w:w w:val="105"/>
          <w:sz w:val="21"/>
        </w:rPr>
        <w:t>la</w:t>
      </w:r>
      <w:r>
        <w:rPr>
          <w:spacing w:val="-10"/>
          <w:w w:val="105"/>
          <w:sz w:val="21"/>
        </w:rPr>
        <w:t> </w:t>
      </w:r>
      <w:r>
        <w:rPr>
          <w:w w:val="105"/>
          <w:sz w:val="21"/>
        </w:rPr>
        <w:t>Co- misión</w:t>
      </w:r>
      <w:r>
        <w:rPr>
          <w:spacing w:val="-16"/>
          <w:w w:val="105"/>
          <w:sz w:val="21"/>
        </w:rPr>
        <w:t> </w:t>
      </w:r>
      <w:r>
        <w:rPr>
          <w:w w:val="105"/>
          <w:sz w:val="21"/>
        </w:rPr>
        <w:t>Mexicana</w:t>
      </w:r>
      <w:r>
        <w:rPr>
          <w:spacing w:val="-16"/>
          <w:w w:val="105"/>
          <w:sz w:val="21"/>
        </w:rPr>
        <w:t> </w:t>
      </w:r>
      <w:r>
        <w:rPr>
          <w:w w:val="105"/>
          <w:sz w:val="21"/>
        </w:rPr>
        <w:t>de</w:t>
      </w:r>
      <w:r>
        <w:rPr>
          <w:spacing w:val="-19"/>
          <w:w w:val="105"/>
          <w:sz w:val="21"/>
        </w:rPr>
        <w:t> </w:t>
      </w:r>
      <w:r>
        <w:rPr>
          <w:w w:val="105"/>
          <w:sz w:val="21"/>
        </w:rPr>
        <w:t>Ayuda</w:t>
      </w:r>
      <w:r>
        <w:rPr>
          <w:spacing w:val="-16"/>
          <w:w w:val="105"/>
          <w:sz w:val="21"/>
        </w:rPr>
        <w:t> </w:t>
      </w:r>
      <w:r>
        <w:rPr>
          <w:w w:val="105"/>
          <w:sz w:val="21"/>
        </w:rPr>
        <w:t>a</w:t>
      </w:r>
      <w:r>
        <w:rPr>
          <w:spacing w:val="-16"/>
          <w:w w:val="105"/>
          <w:sz w:val="21"/>
        </w:rPr>
        <w:t> </w:t>
      </w:r>
      <w:r>
        <w:rPr>
          <w:w w:val="105"/>
          <w:sz w:val="21"/>
        </w:rPr>
        <w:t>Refugiados</w:t>
      </w:r>
      <w:r>
        <w:rPr>
          <w:spacing w:val="-16"/>
          <w:w w:val="105"/>
          <w:sz w:val="21"/>
        </w:rPr>
        <w:t> </w:t>
      </w:r>
      <w:r>
        <w:rPr>
          <w:w w:val="105"/>
          <w:sz w:val="21"/>
        </w:rPr>
        <w:t>(</w:t>
      </w:r>
      <w:r>
        <w:rPr>
          <w:w w:val="105"/>
          <w:sz w:val="17"/>
        </w:rPr>
        <w:t>COMAR</w:t>
      </w:r>
      <w:r>
        <w:rPr>
          <w:w w:val="105"/>
          <w:sz w:val="21"/>
        </w:rPr>
        <w:t>),</w:t>
      </w:r>
      <w:r>
        <w:rPr>
          <w:spacing w:val="-21"/>
          <w:w w:val="105"/>
          <w:sz w:val="21"/>
        </w:rPr>
        <w:t> </w:t>
      </w:r>
      <w:r>
        <w:rPr>
          <w:w w:val="105"/>
          <w:sz w:val="21"/>
        </w:rPr>
        <w:t>pues</w:t>
      </w:r>
      <w:r>
        <w:rPr>
          <w:spacing w:val="-16"/>
          <w:w w:val="105"/>
          <w:sz w:val="21"/>
        </w:rPr>
        <w:t> </w:t>
      </w:r>
      <w:r>
        <w:rPr>
          <w:w w:val="105"/>
          <w:sz w:val="21"/>
        </w:rPr>
        <w:t>tuvo</w:t>
      </w:r>
      <w:r>
        <w:rPr>
          <w:spacing w:val="-16"/>
          <w:w w:val="105"/>
          <w:sz w:val="21"/>
        </w:rPr>
        <w:t> </w:t>
      </w:r>
      <w:r>
        <w:rPr>
          <w:w w:val="105"/>
          <w:sz w:val="21"/>
        </w:rPr>
        <w:t>que</w:t>
      </w:r>
      <w:r>
        <w:rPr>
          <w:spacing w:val="-16"/>
          <w:w w:val="105"/>
          <w:sz w:val="21"/>
        </w:rPr>
        <w:t> </w:t>
      </w:r>
      <w:r>
        <w:rPr>
          <w:w w:val="105"/>
          <w:sz w:val="21"/>
        </w:rPr>
        <w:t>huir</w:t>
      </w:r>
      <w:r>
        <w:rPr>
          <w:spacing w:val="-16"/>
          <w:w w:val="105"/>
          <w:sz w:val="21"/>
        </w:rPr>
        <w:t> </w:t>
      </w:r>
      <w:r>
        <w:rPr>
          <w:w w:val="105"/>
          <w:sz w:val="21"/>
        </w:rPr>
        <w:t>de su</w:t>
      </w:r>
      <w:r>
        <w:rPr>
          <w:spacing w:val="-10"/>
          <w:w w:val="105"/>
          <w:sz w:val="21"/>
        </w:rPr>
        <w:t> </w:t>
      </w:r>
      <w:r>
        <w:rPr>
          <w:w w:val="105"/>
          <w:sz w:val="21"/>
        </w:rPr>
        <w:t>tierra</w:t>
      </w:r>
      <w:r>
        <w:rPr>
          <w:spacing w:val="-10"/>
          <w:w w:val="105"/>
          <w:sz w:val="21"/>
        </w:rPr>
        <w:t> </w:t>
      </w:r>
      <w:r>
        <w:rPr>
          <w:w w:val="105"/>
          <w:sz w:val="21"/>
        </w:rPr>
        <w:t>para</w:t>
      </w:r>
      <w:r>
        <w:rPr>
          <w:spacing w:val="-10"/>
          <w:w w:val="105"/>
          <w:sz w:val="21"/>
        </w:rPr>
        <w:t> </w:t>
      </w:r>
      <w:r>
        <w:rPr>
          <w:w w:val="105"/>
          <w:sz w:val="21"/>
        </w:rPr>
        <w:t>proteger</w:t>
      </w:r>
      <w:r>
        <w:rPr>
          <w:spacing w:val="-10"/>
          <w:w w:val="105"/>
          <w:sz w:val="21"/>
        </w:rPr>
        <w:t> </w:t>
      </w:r>
      <w:r>
        <w:rPr>
          <w:w w:val="105"/>
          <w:sz w:val="21"/>
        </w:rPr>
        <w:t>a</w:t>
      </w:r>
      <w:r>
        <w:rPr>
          <w:spacing w:val="-10"/>
          <w:w w:val="105"/>
          <w:sz w:val="21"/>
        </w:rPr>
        <w:t> </w:t>
      </w:r>
      <w:r>
        <w:rPr>
          <w:w w:val="105"/>
          <w:sz w:val="21"/>
        </w:rPr>
        <w:t>su</w:t>
      </w:r>
      <w:r>
        <w:rPr>
          <w:spacing w:val="-10"/>
          <w:w w:val="105"/>
          <w:sz w:val="21"/>
        </w:rPr>
        <w:t> </w:t>
      </w:r>
      <w:r>
        <w:rPr>
          <w:w w:val="105"/>
          <w:sz w:val="21"/>
        </w:rPr>
        <w:t>hijo</w:t>
      </w:r>
      <w:r>
        <w:rPr>
          <w:spacing w:val="-10"/>
          <w:w w:val="105"/>
          <w:sz w:val="21"/>
        </w:rPr>
        <w:t> </w:t>
      </w:r>
      <w:r>
        <w:rPr>
          <w:w w:val="105"/>
          <w:sz w:val="21"/>
        </w:rPr>
        <w:t>de</w:t>
      </w:r>
      <w:r>
        <w:rPr>
          <w:spacing w:val="-10"/>
          <w:w w:val="105"/>
          <w:sz w:val="21"/>
        </w:rPr>
        <w:t> </w:t>
      </w:r>
      <w:r>
        <w:rPr>
          <w:w w:val="105"/>
          <w:sz w:val="21"/>
        </w:rPr>
        <w:t>doce</w:t>
      </w:r>
      <w:r>
        <w:rPr>
          <w:spacing w:val="-10"/>
          <w:w w:val="105"/>
          <w:sz w:val="21"/>
        </w:rPr>
        <w:t> </w:t>
      </w:r>
      <w:r>
        <w:rPr>
          <w:w w:val="105"/>
          <w:sz w:val="21"/>
        </w:rPr>
        <w:t>años:</w:t>
      </w:r>
    </w:p>
    <w:p>
      <w:pPr>
        <w:pStyle w:val="BodyText"/>
        <w:spacing w:before="7"/>
        <w:rPr>
          <w:sz w:val="18"/>
        </w:rPr>
      </w:pPr>
    </w:p>
    <w:p>
      <w:pPr>
        <w:spacing w:line="254" w:lineRule="auto" w:before="0"/>
        <w:ind w:left="2857" w:right="1834" w:firstLine="0"/>
        <w:jc w:val="both"/>
        <w:rPr>
          <w:sz w:val="18"/>
        </w:rPr>
      </w:pPr>
      <w:r>
        <w:rPr>
          <w:w w:val="105"/>
          <w:sz w:val="18"/>
        </w:rPr>
        <w:t>lo tuve que sacar de la escuela porque ya lo estaban esperando los pandilleros</w:t>
      </w:r>
      <w:r>
        <w:rPr>
          <w:spacing w:val="-12"/>
          <w:w w:val="105"/>
          <w:sz w:val="18"/>
        </w:rPr>
        <w:t> </w:t>
      </w:r>
      <w:r>
        <w:rPr>
          <w:w w:val="105"/>
          <w:sz w:val="18"/>
        </w:rPr>
        <w:t>todos</w:t>
      </w:r>
      <w:r>
        <w:rPr>
          <w:spacing w:val="-12"/>
          <w:w w:val="105"/>
          <w:sz w:val="18"/>
        </w:rPr>
        <w:t> </w:t>
      </w:r>
      <w:r>
        <w:rPr>
          <w:w w:val="105"/>
          <w:sz w:val="18"/>
        </w:rPr>
        <w:t>los</w:t>
      </w:r>
      <w:r>
        <w:rPr>
          <w:spacing w:val="-12"/>
          <w:w w:val="105"/>
          <w:sz w:val="18"/>
        </w:rPr>
        <w:t> </w:t>
      </w:r>
      <w:r>
        <w:rPr>
          <w:w w:val="105"/>
          <w:sz w:val="18"/>
        </w:rPr>
        <w:t>días</w:t>
      </w:r>
      <w:r>
        <w:rPr>
          <w:spacing w:val="-12"/>
          <w:w w:val="105"/>
          <w:sz w:val="18"/>
        </w:rPr>
        <w:t> </w:t>
      </w:r>
      <w:r>
        <w:rPr>
          <w:w w:val="105"/>
          <w:sz w:val="18"/>
        </w:rPr>
        <w:t>para</w:t>
      </w:r>
      <w:r>
        <w:rPr>
          <w:spacing w:val="-12"/>
          <w:w w:val="105"/>
          <w:sz w:val="18"/>
        </w:rPr>
        <w:t> </w:t>
      </w:r>
      <w:r>
        <w:rPr>
          <w:w w:val="105"/>
          <w:sz w:val="18"/>
        </w:rPr>
        <w:t>amenazarlo</w:t>
      </w:r>
      <w:r>
        <w:rPr>
          <w:spacing w:val="-12"/>
          <w:w w:val="105"/>
          <w:sz w:val="18"/>
        </w:rPr>
        <w:t> </w:t>
      </w:r>
      <w:r>
        <w:rPr>
          <w:w w:val="105"/>
          <w:sz w:val="18"/>
        </w:rPr>
        <w:t>y</w:t>
      </w:r>
      <w:r>
        <w:rPr>
          <w:spacing w:val="-12"/>
          <w:w w:val="105"/>
          <w:sz w:val="18"/>
        </w:rPr>
        <w:t> </w:t>
      </w:r>
      <w:r>
        <w:rPr>
          <w:w w:val="105"/>
          <w:sz w:val="18"/>
        </w:rPr>
        <w:t>golpearlo.</w:t>
      </w:r>
      <w:r>
        <w:rPr>
          <w:spacing w:val="-20"/>
          <w:w w:val="105"/>
          <w:sz w:val="18"/>
        </w:rPr>
        <w:t> </w:t>
      </w:r>
      <w:r>
        <w:rPr>
          <w:w w:val="105"/>
          <w:sz w:val="18"/>
        </w:rPr>
        <w:t>Y</w:t>
      </w:r>
      <w:r>
        <w:rPr>
          <w:spacing w:val="-16"/>
          <w:w w:val="105"/>
          <w:sz w:val="18"/>
        </w:rPr>
        <w:t> </w:t>
      </w:r>
      <w:r>
        <w:rPr>
          <w:w w:val="105"/>
          <w:sz w:val="18"/>
        </w:rPr>
        <w:t>a</w:t>
      </w:r>
      <w:r>
        <w:rPr>
          <w:spacing w:val="-12"/>
          <w:w w:val="105"/>
          <w:sz w:val="18"/>
        </w:rPr>
        <w:t> </w:t>
      </w:r>
      <w:r>
        <w:rPr>
          <w:w w:val="105"/>
          <w:sz w:val="18"/>
        </w:rPr>
        <w:t>las</w:t>
      </w:r>
      <w:r>
        <w:rPr>
          <w:spacing w:val="-12"/>
          <w:w w:val="105"/>
          <w:sz w:val="18"/>
        </w:rPr>
        <w:t> </w:t>
      </w:r>
      <w:r>
        <w:rPr>
          <w:w w:val="105"/>
          <w:sz w:val="18"/>
        </w:rPr>
        <w:t>mucha- chitas</w:t>
      </w:r>
      <w:r>
        <w:rPr>
          <w:spacing w:val="-8"/>
          <w:w w:val="105"/>
          <w:sz w:val="18"/>
        </w:rPr>
        <w:t> </w:t>
      </w:r>
      <w:r>
        <w:rPr>
          <w:w w:val="115"/>
          <w:sz w:val="18"/>
        </w:rPr>
        <w:t>[…]</w:t>
      </w:r>
      <w:r>
        <w:rPr>
          <w:spacing w:val="-13"/>
          <w:w w:val="115"/>
          <w:sz w:val="18"/>
        </w:rPr>
        <w:t> </w:t>
      </w:r>
      <w:r>
        <w:rPr>
          <w:w w:val="105"/>
          <w:sz w:val="18"/>
        </w:rPr>
        <w:t>que</w:t>
      </w:r>
      <w:r>
        <w:rPr>
          <w:spacing w:val="-8"/>
          <w:w w:val="105"/>
          <w:sz w:val="18"/>
        </w:rPr>
        <w:t> </w:t>
      </w:r>
      <w:r>
        <w:rPr>
          <w:w w:val="105"/>
          <w:sz w:val="18"/>
        </w:rPr>
        <w:t>ya</w:t>
      </w:r>
      <w:r>
        <w:rPr>
          <w:spacing w:val="-8"/>
          <w:w w:val="105"/>
          <w:sz w:val="18"/>
        </w:rPr>
        <w:t> </w:t>
      </w:r>
      <w:r>
        <w:rPr>
          <w:w w:val="105"/>
          <w:sz w:val="18"/>
        </w:rPr>
        <w:t>tienen</w:t>
      </w:r>
      <w:r>
        <w:rPr>
          <w:spacing w:val="-8"/>
          <w:w w:val="105"/>
          <w:sz w:val="18"/>
        </w:rPr>
        <w:t> </w:t>
      </w:r>
      <w:r>
        <w:rPr>
          <w:w w:val="105"/>
          <w:sz w:val="18"/>
        </w:rPr>
        <w:t>entre</w:t>
      </w:r>
      <w:r>
        <w:rPr>
          <w:spacing w:val="-8"/>
          <w:w w:val="105"/>
          <w:sz w:val="18"/>
        </w:rPr>
        <w:t> </w:t>
      </w:r>
      <w:r>
        <w:rPr>
          <w:w w:val="105"/>
          <w:sz w:val="18"/>
        </w:rPr>
        <w:t>13</w:t>
      </w:r>
      <w:r>
        <w:rPr>
          <w:spacing w:val="-8"/>
          <w:w w:val="105"/>
          <w:sz w:val="18"/>
        </w:rPr>
        <w:t> </w:t>
      </w:r>
      <w:r>
        <w:rPr>
          <w:w w:val="105"/>
          <w:sz w:val="18"/>
        </w:rPr>
        <w:t>y</w:t>
      </w:r>
      <w:r>
        <w:rPr>
          <w:spacing w:val="-8"/>
          <w:w w:val="105"/>
          <w:sz w:val="18"/>
        </w:rPr>
        <w:t> </w:t>
      </w:r>
      <w:r>
        <w:rPr>
          <w:w w:val="105"/>
          <w:sz w:val="18"/>
        </w:rPr>
        <w:t>14</w:t>
      </w:r>
      <w:r>
        <w:rPr>
          <w:spacing w:val="-8"/>
          <w:w w:val="105"/>
          <w:sz w:val="18"/>
        </w:rPr>
        <w:t> </w:t>
      </w:r>
      <w:r>
        <w:rPr>
          <w:w w:val="105"/>
          <w:sz w:val="18"/>
        </w:rPr>
        <w:t>años,</w:t>
      </w:r>
      <w:r>
        <w:rPr>
          <w:spacing w:val="-12"/>
          <w:w w:val="105"/>
          <w:sz w:val="18"/>
        </w:rPr>
        <w:t> </w:t>
      </w:r>
      <w:r>
        <w:rPr>
          <w:w w:val="105"/>
          <w:sz w:val="18"/>
        </w:rPr>
        <w:t>se</w:t>
      </w:r>
      <w:r>
        <w:rPr>
          <w:spacing w:val="-8"/>
          <w:w w:val="105"/>
          <w:sz w:val="18"/>
        </w:rPr>
        <w:t> </w:t>
      </w:r>
      <w:r>
        <w:rPr>
          <w:w w:val="105"/>
          <w:sz w:val="18"/>
        </w:rPr>
        <w:t>las</w:t>
      </w:r>
      <w:r>
        <w:rPr>
          <w:spacing w:val="-8"/>
          <w:w w:val="105"/>
          <w:sz w:val="18"/>
        </w:rPr>
        <w:t> </w:t>
      </w:r>
      <w:r>
        <w:rPr>
          <w:w w:val="105"/>
          <w:sz w:val="18"/>
        </w:rPr>
        <w:t>llevan</w:t>
      </w:r>
      <w:r>
        <w:rPr>
          <w:spacing w:val="-8"/>
          <w:w w:val="105"/>
          <w:sz w:val="18"/>
        </w:rPr>
        <w:t> </w:t>
      </w:r>
      <w:r>
        <w:rPr>
          <w:w w:val="105"/>
          <w:sz w:val="18"/>
        </w:rPr>
        <w:t>a</w:t>
      </w:r>
      <w:r>
        <w:rPr>
          <w:spacing w:val="-8"/>
          <w:w w:val="105"/>
          <w:sz w:val="18"/>
        </w:rPr>
        <w:t> </w:t>
      </w:r>
      <w:r>
        <w:rPr>
          <w:w w:val="105"/>
          <w:sz w:val="18"/>
        </w:rPr>
        <w:t>la</w:t>
      </w:r>
      <w:r>
        <w:rPr>
          <w:spacing w:val="-8"/>
          <w:w w:val="105"/>
          <w:sz w:val="18"/>
        </w:rPr>
        <w:t> </w:t>
      </w:r>
      <w:r>
        <w:rPr>
          <w:w w:val="105"/>
          <w:sz w:val="18"/>
        </w:rPr>
        <w:t>fuerza</w:t>
      </w:r>
      <w:r>
        <w:rPr>
          <w:spacing w:val="-8"/>
          <w:w w:val="105"/>
          <w:sz w:val="18"/>
        </w:rPr>
        <w:t> </w:t>
      </w:r>
      <w:r>
        <w:rPr>
          <w:w w:val="105"/>
          <w:sz w:val="18"/>
        </w:rPr>
        <w:t>de novias,</w:t>
      </w:r>
      <w:r>
        <w:rPr>
          <w:spacing w:val="-20"/>
          <w:w w:val="105"/>
          <w:sz w:val="18"/>
        </w:rPr>
        <w:t> </w:t>
      </w:r>
      <w:r>
        <w:rPr>
          <w:w w:val="105"/>
          <w:sz w:val="18"/>
        </w:rPr>
        <w:t>y</w:t>
      </w:r>
      <w:r>
        <w:rPr>
          <w:spacing w:val="-16"/>
          <w:w w:val="105"/>
          <w:sz w:val="18"/>
        </w:rPr>
        <w:t> </w:t>
      </w:r>
      <w:r>
        <w:rPr>
          <w:w w:val="105"/>
          <w:sz w:val="18"/>
        </w:rPr>
        <w:t>si</w:t>
      </w:r>
      <w:r>
        <w:rPr>
          <w:spacing w:val="-16"/>
          <w:w w:val="105"/>
          <w:sz w:val="18"/>
        </w:rPr>
        <w:t> </w:t>
      </w:r>
      <w:r>
        <w:rPr>
          <w:w w:val="105"/>
          <w:sz w:val="18"/>
        </w:rPr>
        <w:t>no</w:t>
      </w:r>
      <w:r>
        <w:rPr>
          <w:spacing w:val="-16"/>
          <w:w w:val="105"/>
          <w:sz w:val="18"/>
        </w:rPr>
        <w:t> </w:t>
      </w:r>
      <w:r>
        <w:rPr>
          <w:w w:val="105"/>
          <w:sz w:val="18"/>
        </w:rPr>
        <w:t>acceden</w:t>
      </w:r>
      <w:r>
        <w:rPr>
          <w:spacing w:val="-16"/>
          <w:w w:val="105"/>
          <w:sz w:val="18"/>
        </w:rPr>
        <w:t> </w:t>
      </w:r>
      <w:r>
        <w:rPr>
          <w:w w:val="105"/>
          <w:sz w:val="18"/>
        </w:rPr>
        <w:t>las</w:t>
      </w:r>
      <w:r>
        <w:rPr>
          <w:spacing w:val="-16"/>
          <w:w w:val="105"/>
          <w:sz w:val="18"/>
        </w:rPr>
        <w:t> </w:t>
      </w:r>
      <w:r>
        <w:rPr>
          <w:w w:val="105"/>
          <w:sz w:val="18"/>
        </w:rPr>
        <w:t>matan.</w:t>
      </w:r>
      <w:r>
        <w:rPr>
          <w:spacing w:val="-20"/>
          <w:w w:val="105"/>
          <w:sz w:val="18"/>
        </w:rPr>
        <w:t> </w:t>
      </w:r>
      <w:r>
        <w:rPr>
          <w:spacing w:val="-5"/>
          <w:w w:val="105"/>
          <w:sz w:val="18"/>
        </w:rPr>
        <w:t>Por</w:t>
      </w:r>
      <w:r>
        <w:rPr>
          <w:spacing w:val="-16"/>
          <w:w w:val="105"/>
          <w:sz w:val="18"/>
        </w:rPr>
        <w:t> </w:t>
      </w:r>
      <w:r>
        <w:rPr>
          <w:w w:val="105"/>
          <w:sz w:val="18"/>
        </w:rPr>
        <w:t>ese</w:t>
      </w:r>
      <w:r>
        <w:rPr>
          <w:spacing w:val="-16"/>
          <w:w w:val="105"/>
          <w:sz w:val="18"/>
        </w:rPr>
        <w:t> </w:t>
      </w:r>
      <w:r>
        <w:rPr>
          <w:w w:val="105"/>
          <w:sz w:val="18"/>
        </w:rPr>
        <w:t>motivo</w:t>
      </w:r>
      <w:r>
        <w:rPr>
          <w:spacing w:val="-16"/>
          <w:w w:val="105"/>
          <w:sz w:val="18"/>
        </w:rPr>
        <w:t> </w:t>
      </w:r>
      <w:r>
        <w:rPr>
          <w:w w:val="105"/>
          <w:sz w:val="18"/>
        </w:rPr>
        <w:t>le</w:t>
      </w:r>
      <w:r>
        <w:rPr>
          <w:spacing w:val="-16"/>
          <w:w w:val="105"/>
          <w:sz w:val="18"/>
        </w:rPr>
        <w:t> </w:t>
      </w:r>
      <w:r>
        <w:rPr>
          <w:w w:val="105"/>
          <w:sz w:val="18"/>
        </w:rPr>
        <w:t>dije</w:t>
      </w:r>
      <w:r>
        <w:rPr>
          <w:spacing w:val="-16"/>
          <w:w w:val="105"/>
          <w:sz w:val="18"/>
        </w:rPr>
        <w:t> </w:t>
      </w:r>
      <w:r>
        <w:rPr>
          <w:w w:val="105"/>
          <w:sz w:val="18"/>
        </w:rPr>
        <w:t>a</w:t>
      </w:r>
      <w:r>
        <w:rPr>
          <w:spacing w:val="-16"/>
          <w:w w:val="105"/>
          <w:sz w:val="18"/>
        </w:rPr>
        <w:t> </w:t>
      </w:r>
      <w:r>
        <w:rPr>
          <w:w w:val="105"/>
          <w:sz w:val="18"/>
        </w:rPr>
        <w:t>mi</w:t>
      </w:r>
      <w:r>
        <w:rPr>
          <w:spacing w:val="-16"/>
          <w:w w:val="105"/>
          <w:sz w:val="18"/>
        </w:rPr>
        <w:t> </w:t>
      </w:r>
      <w:r>
        <w:rPr>
          <w:w w:val="105"/>
          <w:sz w:val="18"/>
        </w:rPr>
        <w:t>mujer</w:t>
      </w:r>
      <w:r>
        <w:rPr>
          <w:spacing w:val="-16"/>
          <w:w w:val="105"/>
          <w:sz w:val="18"/>
        </w:rPr>
        <w:t> </w:t>
      </w:r>
      <w:r>
        <w:rPr>
          <w:w w:val="105"/>
          <w:sz w:val="18"/>
        </w:rPr>
        <w:t>que ya</w:t>
      </w:r>
      <w:r>
        <w:rPr>
          <w:spacing w:val="-14"/>
          <w:w w:val="105"/>
          <w:sz w:val="18"/>
        </w:rPr>
        <w:t> </w:t>
      </w:r>
      <w:r>
        <w:rPr>
          <w:w w:val="105"/>
          <w:sz w:val="18"/>
        </w:rPr>
        <w:t>buscáramos</w:t>
      </w:r>
      <w:r>
        <w:rPr>
          <w:spacing w:val="-14"/>
          <w:w w:val="105"/>
          <w:sz w:val="18"/>
        </w:rPr>
        <w:t> </w:t>
      </w:r>
      <w:r>
        <w:rPr>
          <w:w w:val="105"/>
          <w:sz w:val="18"/>
        </w:rPr>
        <w:t>otra</w:t>
      </w:r>
      <w:r>
        <w:rPr>
          <w:spacing w:val="-14"/>
          <w:w w:val="105"/>
          <w:sz w:val="18"/>
        </w:rPr>
        <w:t> </w:t>
      </w:r>
      <w:r>
        <w:rPr>
          <w:w w:val="105"/>
          <w:sz w:val="18"/>
        </w:rPr>
        <w:t>salida,</w:t>
      </w:r>
      <w:r>
        <w:rPr>
          <w:spacing w:val="-18"/>
          <w:w w:val="105"/>
          <w:sz w:val="18"/>
        </w:rPr>
        <w:t> </w:t>
      </w:r>
      <w:r>
        <w:rPr>
          <w:w w:val="105"/>
          <w:sz w:val="18"/>
        </w:rPr>
        <w:t>que</w:t>
      </w:r>
      <w:r>
        <w:rPr>
          <w:spacing w:val="-14"/>
          <w:w w:val="105"/>
          <w:sz w:val="18"/>
        </w:rPr>
        <w:t> </w:t>
      </w:r>
      <w:r>
        <w:rPr>
          <w:w w:val="105"/>
          <w:sz w:val="18"/>
        </w:rPr>
        <w:t>nos</w:t>
      </w:r>
      <w:r>
        <w:rPr>
          <w:spacing w:val="-14"/>
          <w:w w:val="105"/>
          <w:sz w:val="18"/>
        </w:rPr>
        <w:t> </w:t>
      </w:r>
      <w:r>
        <w:rPr>
          <w:w w:val="105"/>
          <w:sz w:val="18"/>
        </w:rPr>
        <w:t>fuéramos</w:t>
      </w:r>
      <w:r>
        <w:rPr>
          <w:spacing w:val="-14"/>
          <w:w w:val="105"/>
          <w:sz w:val="18"/>
        </w:rPr>
        <w:t> </w:t>
      </w:r>
      <w:r>
        <w:rPr>
          <w:w w:val="105"/>
          <w:sz w:val="18"/>
        </w:rPr>
        <w:t>para</w:t>
      </w:r>
      <w:r>
        <w:rPr>
          <w:spacing w:val="-14"/>
          <w:w w:val="105"/>
          <w:sz w:val="18"/>
        </w:rPr>
        <w:t> </w:t>
      </w:r>
      <w:r>
        <w:rPr>
          <w:w w:val="105"/>
          <w:sz w:val="18"/>
        </w:rPr>
        <w:t>México</w:t>
      </w:r>
      <w:r>
        <w:rPr>
          <w:spacing w:val="-14"/>
          <w:w w:val="105"/>
          <w:sz w:val="18"/>
        </w:rPr>
        <w:t> </w:t>
      </w:r>
      <w:r>
        <w:rPr>
          <w:w w:val="105"/>
          <w:sz w:val="18"/>
        </w:rPr>
        <w:t>a</w:t>
      </w:r>
      <w:r>
        <w:rPr>
          <w:spacing w:val="-14"/>
          <w:w w:val="105"/>
          <w:sz w:val="18"/>
        </w:rPr>
        <w:t> </w:t>
      </w:r>
      <w:r>
        <w:rPr>
          <w:w w:val="105"/>
          <w:sz w:val="18"/>
        </w:rPr>
        <w:t>hacer</w:t>
      </w:r>
      <w:r>
        <w:rPr>
          <w:spacing w:val="-14"/>
          <w:w w:val="105"/>
          <w:sz w:val="18"/>
        </w:rPr>
        <w:t> </w:t>
      </w:r>
      <w:r>
        <w:rPr>
          <w:w w:val="105"/>
          <w:sz w:val="18"/>
        </w:rPr>
        <w:t>una nueva</w:t>
      </w:r>
      <w:r>
        <w:rPr>
          <w:spacing w:val="-26"/>
          <w:w w:val="105"/>
          <w:sz w:val="18"/>
        </w:rPr>
        <w:t> </w:t>
      </w:r>
      <w:r>
        <w:rPr>
          <w:spacing w:val="-4"/>
          <w:w w:val="105"/>
          <w:sz w:val="18"/>
        </w:rPr>
        <w:t>vida’,</w:t>
      </w:r>
      <w:r>
        <w:rPr>
          <w:spacing w:val="-29"/>
          <w:w w:val="105"/>
          <w:sz w:val="18"/>
        </w:rPr>
        <w:t> </w:t>
      </w:r>
      <w:r>
        <w:rPr>
          <w:w w:val="105"/>
          <w:sz w:val="18"/>
        </w:rPr>
        <w:t>cuenta</w:t>
      </w:r>
      <w:r>
        <w:rPr>
          <w:spacing w:val="-26"/>
          <w:w w:val="105"/>
          <w:sz w:val="18"/>
        </w:rPr>
        <w:t> </w:t>
      </w:r>
      <w:r>
        <w:rPr>
          <w:w w:val="105"/>
          <w:sz w:val="18"/>
        </w:rPr>
        <w:t>Reynaldo,</w:t>
      </w:r>
      <w:r>
        <w:rPr>
          <w:spacing w:val="-29"/>
          <w:w w:val="105"/>
          <w:sz w:val="18"/>
        </w:rPr>
        <w:t> </w:t>
      </w:r>
      <w:r>
        <w:rPr>
          <w:w w:val="105"/>
          <w:sz w:val="18"/>
        </w:rPr>
        <w:t>que</w:t>
      </w:r>
      <w:r>
        <w:rPr>
          <w:spacing w:val="-26"/>
          <w:w w:val="105"/>
          <w:sz w:val="18"/>
        </w:rPr>
        <w:t> </w:t>
      </w:r>
      <w:r>
        <w:rPr>
          <w:w w:val="105"/>
          <w:sz w:val="18"/>
        </w:rPr>
        <w:t>traga</w:t>
      </w:r>
      <w:r>
        <w:rPr>
          <w:spacing w:val="-26"/>
          <w:w w:val="105"/>
          <w:sz w:val="18"/>
        </w:rPr>
        <w:t> </w:t>
      </w:r>
      <w:r>
        <w:rPr>
          <w:w w:val="105"/>
          <w:sz w:val="18"/>
        </w:rPr>
        <w:t>saliva</w:t>
      </w:r>
      <w:r>
        <w:rPr>
          <w:spacing w:val="-26"/>
          <w:w w:val="105"/>
          <w:sz w:val="18"/>
        </w:rPr>
        <w:t> </w:t>
      </w:r>
      <w:r>
        <w:rPr>
          <w:w w:val="105"/>
          <w:sz w:val="18"/>
        </w:rPr>
        <w:t>cuando</w:t>
      </w:r>
      <w:r>
        <w:rPr>
          <w:spacing w:val="-26"/>
          <w:w w:val="105"/>
          <w:sz w:val="18"/>
        </w:rPr>
        <w:t> </w:t>
      </w:r>
      <w:r>
        <w:rPr>
          <w:w w:val="105"/>
          <w:sz w:val="18"/>
        </w:rPr>
        <w:t>recuerda</w:t>
      </w:r>
      <w:r>
        <w:rPr>
          <w:spacing w:val="-26"/>
          <w:w w:val="105"/>
          <w:sz w:val="18"/>
        </w:rPr>
        <w:t> </w:t>
      </w:r>
      <w:r>
        <w:rPr>
          <w:w w:val="105"/>
          <w:sz w:val="18"/>
        </w:rPr>
        <w:t>aquella llamada de la maestra de su hijo alertándole que unos pandilleros lo esperaban</w:t>
      </w:r>
      <w:r>
        <w:rPr>
          <w:spacing w:val="-24"/>
          <w:w w:val="105"/>
          <w:sz w:val="18"/>
        </w:rPr>
        <w:t> </w:t>
      </w:r>
      <w:r>
        <w:rPr>
          <w:w w:val="105"/>
          <w:sz w:val="18"/>
        </w:rPr>
        <w:t>cada</w:t>
      </w:r>
      <w:r>
        <w:rPr>
          <w:spacing w:val="-24"/>
          <w:w w:val="105"/>
          <w:sz w:val="18"/>
        </w:rPr>
        <w:t> </w:t>
      </w:r>
      <w:r>
        <w:rPr>
          <w:w w:val="105"/>
          <w:sz w:val="18"/>
        </w:rPr>
        <w:t>día</w:t>
      </w:r>
      <w:r>
        <w:rPr>
          <w:spacing w:val="-24"/>
          <w:w w:val="105"/>
          <w:sz w:val="18"/>
        </w:rPr>
        <w:t> </w:t>
      </w:r>
      <w:r>
        <w:rPr>
          <w:w w:val="105"/>
          <w:sz w:val="18"/>
        </w:rPr>
        <w:t>a</w:t>
      </w:r>
      <w:r>
        <w:rPr>
          <w:spacing w:val="-24"/>
          <w:w w:val="105"/>
          <w:sz w:val="18"/>
        </w:rPr>
        <w:t> </w:t>
      </w:r>
      <w:r>
        <w:rPr>
          <w:w w:val="105"/>
          <w:sz w:val="18"/>
        </w:rPr>
        <w:t>la</w:t>
      </w:r>
      <w:r>
        <w:rPr>
          <w:spacing w:val="-24"/>
          <w:w w:val="105"/>
          <w:sz w:val="18"/>
        </w:rPr>
        <w:t> </w:t>
      </w:r>
      <w:r>
        <w:rPr>
          <w:w w:val="105"/>
          <w:sz w:val="18"/>
        </w:rPr>
        <w:t>salida</w:t>
      </w:r>
      <w:r>
        <w:rPr>
          <w:spacing w:val="-24"/>
          <w:w w:val="105"/>
          <w:sz w:val="18"/>
        </w:rPr>
        <w:t> </w:t>
      </w:r>
      <w:r>
        <w:rPr>
          <w:w w:val="105"/>
          <w:sz w:val="18"/>
        </w:rPr>
        <w:t>de</w:t>
      </w:r>
      <w:r>
        <w:rPr>
          <w:spacing w:val="-24"/>
          <w:w w:val="105"/>
          <w:sz w:val="18"/>
        </w:rPr>
        <w:t> </w:t>
      </w:r>
      <w:r>
        <w:rPr>
          <w:w w:val="105"/>
          <w:sz w:val="18"/>
        </w:rPr>
        <w:t>las</w:t>
      </w:r>
      <w:r>
        <w:rPr>
          <w:spacing w:val="-24"/>
          <w:w w:val="105"/>
          <w:sz w:val="18"/>
        </w:rPr>
        <w:t> </w:t>
      </w:r>
      <w:r>
        <w:rPr>
          <w:w w:val="105"/>
          <w:sz w:val="18"/>
        </w:rPr>
        <w:t>clases</w:t>
      </w:r>
      <w:r>
        <w:rPr>
          <w:spacing w:val="-24"/>
          <w:w w:val="105"/>
          <w:sz w:val="18"/>
        </w:rPr>
        <w:t> </w:t>
      </w:r>
      <w:r>
        <w:rPr>
          <w:w w:val="105"/>
          <w:sz w:val="18"/>
        </w:rPr>
        <w:t>(Ureste,</w:t>
      </w:r>
      <w:r>
        <w:rPr>
          <w:spacing w:val="-28"/>
          <w:w w:val="105"/>
          <w:sz w:val="18"/>
        </w:rPr>
        <w:t> </w:t>
      </w:r>
      <w:r>
        <w:rPr>
          <w:w w:val="105"/>
          <w:sz w:val="18"/>
        </w:rPr>
        <w:t>2014:</w:t>
      </w:r>
      <w:r>
        <w:rPr>
          <w:spacing w:val="-24"/>
          <w:w w:val="105"/>
          <w:sz w:val="18"/>
        </w:rPr>
        <w:t> </w:t>
      </w:r>
      <w:r>
        <w:rPr>
          <w:color w:val="231F20"/>
          <w:w w:val="105"/>
          <w:sz w:val="18"/>
        </w:rPr>
        <w:t>s.p.</w:t>
      </w:r>
      <w:r>
        <w:rPr>
          <w:w w:val="105"/>
          <w:sz w:val="18"/>
        </w:rPr>
        <w:t>).</w:t>
      </w:r>
    </w:p>
    <w:p>
      <w:pPr>
        <w:pStyle w:val="BodyText"/>
        <w:spacing w:before="5"/>
      </w:pPr>
    </w:p>
    <w:p>
      <w:pPr>
        <w:pStyle w:val="BodyText"/>
        <w:spacing w:line="261" w:lineRule="auto"/>
        <w:ind w:left="1723" w:right="1829"/>
        <w:jc w:val="both"/>
      </w:pPr>
      <w:r>
        <w:rPr>
          <w:color w:val="231F20"/>
          <w:w w:val="105"/>
        </w:rPr>
        <w:t>Paradójicamente,</w:t>
      </w:r>
      <w:r>
        <w:rPr>
          <w:color w:val="231F20"/>
          <w:spacing w:val="-38"/>
          <w:w w:val="105"/>
        </w:rPr>
        <w:t> </w:t>
      </w:r>
      <w:r>
        <w:rPr>
          <w:color w:val="231F20"/>
          <w:w w:val="105"/>
        </w:rPr>
        <w:t>y</w:t>
      </w:r>
      <w:r>
        <w:rPr>
          <w:color w:val="231F20"/>
          <w:spacing w:val="-35"/>
          <w:w w:val="105"/>
        </w:rPr>
        <w:t> </w:t>
      </w:r>
      <w:r>
        <w:rPr>
          <w:color w:val="231F20"/>
          <w:w w:val="105"/>
        </w:rPr>
        <w:t>desde</w:t>
      </w:r>
      <w:r>
        <w:rPr>
          <w:color w:val="231F20"/>
          <w:spacing w:val="-35"/>
          <w:w w:val="105"/>
        </w:rPr>
        <w:t> </w:t>
      </w:r>
      <w:r>
        <w:rPr>
          <w:color w:val="231F20"/>
          <w:w w:val="105"/>
        </w:rPr>
        <w:t>hace</w:t>
      </w:r>
      <w:r>
        <w:rPr>
          <w:color w:val="231F20"/>
          <w:spacing w:val="-35"/>
          <w:w w:val="105"/>
        </w:rPr>
        <w:t> </w:t>
      </w:r>
      <w:r>
        <w:rPr>
          <w:color w:val="231F20"/>
          <w:w w:val="105"/>
        </w:rPr>
        <w:t>algunos</w:t>
      </w:r>
      <w:r>
        <w:rPr>
          <w:color w:val="231F20"/>
          <w:spacing w:val="-35"/>
          <w:w w:val="105"/>
        </w:rPr>
        <w:t> </w:t>
      </w:r>
      <w:r>
        <w:rPr>
          <w:color w:val="231F20"/>
          <w:w w:val="105"/>
        </w:rPr>
        <w:t>años,</w:t>
      </w:r>
      <w:r>
        <w:rPr>
          <w:color w:val="231F20"/>
          <w:spacing w:val="-38"/>
          <w:w w:val="105"/>
        </w:rPr>
        <w:t> </w:t>
      </w:r>
      <w:r>
        <w:rPr>
          <w:color w:val="231F20"/>
          <w:w w:val="105"/>
        </w:rPr>
        <w:t>esa</w:t>
      </w:r>
      <w:r>
        <w:rPr>
          <w:color w:val="231F20"/>
          <w:spacing w:val="-35"/>
          <w:w w:val="105"/>
        </w:rPr>
        <w:t> </w:t>
      </w:r>
      <w:r>
        <w:rPr>
          <w:color w:val="231F20"/>
          <w:w w:val="105"/>
        </w:rPr>
        <w:t>violencia</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cual</w:t>
      </w:r>
      <w:r>
        <w:rPr>
          <w:color w:val="231F20"/>
          <w:spacing w:val="-35"/>
          <w:w w:val="105"/>
        </w:rPr>
        <w:t> </w:t>
      </w:r>
      <w:r>
        <w:rPr>
          <w:color w:val="231F20"/>
          <w:w w:val="105"/>
        </w:rPr>
        <w:t>pre- tenden escapar ha crecido exponencialmente en México, reportándose la</w:t>
      </w:r>
      <w:r>
        <w:rPr>
          <w:color w:val="231F20"/>
          <w:spacing w:val="-11"/>
          <w:w w:val="105"/>
        </w:rPr>
        <w:t> </w:t>
      </w:r>
      <w:r>
        <w:rPr>
          <w:color w:val="231F20"/>
          <w:w w:val="105"/>
        </w:rPr>
        <w:t>existencia</w:t>
      </w:r>
      <w:r>
        <w:rPr>
          <w:color w:val="231F20"/>
          <w:spacing w:val="-11"/>
          <w:w w:val="105"/>
        </w:rPr>
        <w:t> </w:t>
      </w:r>
      <w:r>
        <w:rPr>
          <w:color w:val="231F20"/>
          <w:w w:val="105"/>
        </w:rPr>
        <w:t>de</w:t>
      </w:r>
      <w:r>
        <w:rPr>
          <w:color w:val="231F20"/>
          <w:spacing w:val="-11"/>
          <w:w w:val="105"/>
        </w:rPr>
        <w:t> </w:t>
      </w:r>
      <w:r>
        <w:rPr>
          <w:color w:val="231F20"/>
          <w:w w:val="105"/>
        </w:rPr>
        <w:t>maras</w:t>
      </w:r>
      <w:r>
        <w:rPr>
          <w:color w:val="231F20"/>
          <w:spacing w:val="-11"/>
          <w:w w:val="105"/>
        </w:rPr>
        <w:t> </w:t>
      </w:r>
      <w:r>
        <w:rPr>
          <w:color w:val="231F20"/>
          <w:w w:val="105"/>
        </w:rPr>
        <w:t>y</w:t>
      </w:r>
      <w:r>
        <w:rPr>
          <w:color w:val="231F20"/>
          <w:spacing w:val="-11"/>
          <w:w w:val="105"/>
        </w:rPr>
        <w:t> </w:t>
      </w:r>
      <w:r>
        <w:rPr>
          <w:color w:val="231F20"/>
          <w:w w:val="105"/>
        </w:rPr>
        <w:t>pandillas</w:t>
      </w:r>
      <w:r>
        <w:rPr>
          <w:color w:val="231F20"/>
          <w:spacing w:val="-11"/>
          <w:w w:val="105"/>
        </w:rPr>
        <w:t> </w:t>
      </w:r>
      <w:r>
        <w:rPr>
          <w:color w:val="231F20"/>
          <w:w w:val="105"/>
        </w:rPr>
        <w:t>juveniles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sureste,</w:t>
      </w:r>
      <w:r>
        <w:rPr>
          <w:color w:val="231F20"/>
          <w:spacing w:val="-15"/>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organiza- ciones</w:t>
      </w:r>
      <w:r>
        <w:rPr>
          <w:color w:val="231F20"/>
          <w:spacing w:val="-22"/>
          <w:w w:val="105"/>
        </w:rPr>
        <w:t> </w:t>
      </w:r>
      <w:r>
        <w:rPr>
          <w:color w:val="231F20"/>
          <w:w w:val="105"/>
        </w:rPr>
        <w:t>del</w:t>
      </w:r>
      <w:r>
        <w:rPr>
          <w:color w:val="231F20"/>
          <w:spacing w:val="-22"/>
          <w:w w:val="105"/>
        </w:rPr>
        <w:t> </w:t>
      </w:r>
      <w:r>
        <w:rPr>
          <w:color w:val="231F20"/>
          <w:w w:val="105"/>
        </w:rPr>
        <w:t>crimen</w:t>
      </w:r>
      <w:r>
        <w:rPr>
          <w:color w:val="231F20"/>
          <w:spacing w:val="-22"/>
          <w:w w:val="105"/>
        </w:rPr>
        <w:t> </w:t>
      </w:r>
      <w:r>
        <w:rPr>
          <w:color w:val="231F20"/>
          <w:w w:val="105"/>
        </w:rPr>
        <w:t>organizado</w:t>
      </w:r>
      <w:r>
        <w:rPr>
          <w:color w:val="231F20"/>
          <w:spacing w:val="-22"/>
          <w:w w:val="105"/>
        </w:rPr>
        <w:t> </w:t>
      </w:r>
      <w:r>
        <w:rPr>
          <w:color w:val="231F20"/>
          <w:w w:val="105"/>
        </w:rPr>
        <w:t>que</w:t>
      </w:r>
      <w:r>
        <w:rPr>
          <w:color w:val="231F20"/>
          <w:spacing w:val="-22"/>
          <w:w w:val="105"/>
        </w:rPr>
        <w:t> </w:t>
      </w:r>
      <w:r>
        <w:rPr>
          <w:color w:val="231F20"/>
          <w:w w:val="105"/>
        </w:rPr>
        <w:t>afectan</w:t>
      </w:r>
      <w:r>
        <w:rPr>
          <w:color w:val="231F20"/>
          <w:spacing w:val="-22"/>
          <w:w w:val="105"/>
        </w:rPr>
        <w:t> </w:t>
      </w:r>
      <w:r>
        <w:rPr>
          <w:color w:val="231F20"/>
          <w:w w:val="105"/>
        </w:rPr>
        <w:t>a</w:t>
      </w:r>
      <w:r>
        <w:rPr>
          <w:color w:val="231F20"/>
          <w:spacing w:val="-22"/>
          <w:w w:val="105"/>
        </w:rPr>
        <w:t> </w:t>
      </w:r>
      <w:r>
        <w:rPr>
          <w:color w:val="231F20"/>
          <w:w w:val="105"/>
        </w:rPr>
        <w:t>los</w:t>
      </w:r>
      <w:r>
        <w:rPr>
          <w:color w:val="231F20"/>
          <w:spacing w:val="-22"/>
          <w:w w:val="105"/>
        </w:rPr>
        <w:t> </w:t>
      </w:r>
      <w:r>
        <w:rPr>
          <w:color w:val="231F20"/>
          <w:w w:val="105"/>
        </w:rPr>
        <w:t>migrantes</w:t>
      </w:r>
      <w:r>
        <w:rPr>
          <w:color w:val="231F20"/>
          <w:spacing w:val="-22"/>
          <w:w w:val="105"/>
        </w:rPr>
        <w:t> </w:t>
      </w:r>
      <w:r>
        <w:rPr>
          <w:color w:val="231F20"/>
          <w:w w:val="105"/>
        </w:rPr>
        <w:t>en</w:t>
      </w:r>
      <w:r>
        <w:rPr>
          <w:color w:val="231F20"/>
          <w:spacing w:val="-22"/>
          <w:w w:val="105"/>
        </w:rPr>
        <w:t> </w:t>
      </w:r>
      <w:r>
        <w:rPr>
          <w:color w:val="231F20"/>
          <w:w w:val="105"/>
        </w:rPr>
        <w:t>todo</w:t>
      </w:r>
      <w:r>
        <w:rPr>
          <w:color w:val="231F20"/>
          <w:spacing w:val="-22"/>
          <w:w w:val="105"/>
        </w:rPr>
        <w:t> </w:t>
      </w:r>
      <w:r>
        <w:rPr>
          <w:color w:val="231F20"/>
          <w:w w:val="105"/>
        </w:rPr>
        <w:t>el</w:t>
      </w:r>
      <w:r>
        <w:rPr>
          <w:color w:val="231F20"/>
          <w:spacing w:val="-22"/>
          <w:w w:val="105"/>
        </w:rPr>
        <w:t> </w:t>
      </w:r>
      <w:r>
        <w:rPr>
          <w:color w:val="231F20"/>
          <w:w w:val="105"/>
        </w:rPr>
        <w:t>país.</w:t>
      </w:r>
    </w:p>
    <w:p>
      <w:pPr>
        <w:pStyle w:val="BodyText"/>
        <w:rPr>
          <w:sz w:val="20"/>
        </w:rPr>
      </w:pPr>
    </w:p>
    <w:p>
      <w:pPr>
        <w:pStyle w:val="BodyText"/>
        <w:spacing w:before="6"/>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3448" from="131.551193pt,3.703715pt" to="131.551193pt,39.506114pt" stroked="true" strokeweight=".35pt" strokecolor="#231f20">
            <w10:wrap type="none"/>
          </v:line>
        </w:pict>
      </w:r>
      <w:r>
        <w:rPr/>
        <w:pict>
          <v:line style="position:absolute;mso-position-horizontal-relative:page;mso-position-vertical-relative:paragraph;z-index:-483376" from="15pt,39.505917pt" to="0pt,39.505917pt" stroked="true" strokeweight=".25pt" strokecolor="#000000">
            <w10:wrap type="none"/>
          </v:line>
        </w:pict>
      </w:r>
      <w:r>
        <w:rPr/>
        <w:pict>
          <v:line style="position:absolute;mso-position-horizontal-relative:page;mso-position-vertical-relative:paragraph;z-index:6832" from="508.890015pt,39.505917pt" to="523.890015pt,39.505917pt" stroked="true" strokeweight=".25pt" strokecolor="#000000">
            <w10:wrap type="none"/>
          </v:line>
        </w:pict>
      </w:r>
      <w:r>
        <w:rPr>
          <w:rFonts w:ascii="Arial" w:hAnsi="Arial"/>
          <w:color w:val="414042"/>
          <w:position w:val="-5"/>
          <w:sz w:val="20"/>
        </w:rPr>
        <w:t>70</w:t>
        <w:tab/>
      </w:r>
      <w:r>
        <w:rPr>
          <w:rFonts w:ascii="Calibri" w:hAnsi="Calibri"/>
          <w:color w:val="6D6E71"/>
          <w:sz w:val="15"/>
        </w:rPr>
        <w:t>María de Lourdes Morales Reynoso y Claudia Arianne Martínez  </w:t>
      </w:r>
      <w:r>
        <w:rPr>
          <w:rFonts w:ascii="Calibri" w:hAnsi="Calibri"/>
          <w:color w:val="6D6E71"/>
          <w:spacing w:val="16"/>
          <w:sz w:val="15"/>
        </w:rPr>
        <w:t> </w:t>
      </w:r>
      <w:r>
        <w:rPr>
          <w:rFonts w:ascii="Calibri" w:hAnsi="Calibri"/>
          <w:color w:val="6D6E71"/>
          <w:sz w:val="15"/>
        </w:rPr>
        <w:t>Zaragoza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line="208" w:lineRule="exact" w:before="187"/>
        <w:ind w:left="2163" w:right="0" w:firstLine="0"/>
        <w:jc w:val="left"/>
        <w:rPr>
          <w:rFonts w:ascii="Arial" w:hAnsi="Arial"/>
          <w:sz w:val="20"/>
        </w:rPr>
      </w:pPr>
      <w:r>
        <w:rPr/>
        <w:pict>
          <v:line style="position:absolute;mso-position-horizontal-relative:page;mso-position-vertical-relative:paragraph;z-index:-483328" from="405.061005pt,-18.554295pt" to="405.061005pt,16.311579pt" stroked="true" strokeweight=".35pt" strokecolor="#231f20">
            <w10:wrap type="none"/>
          </v:line>
        </w:pict>
      </w:r>
      <w:r>
        <w:rPr/>
        <w:pict>
          <v:line style="position:absolute;mso-position-horizontal-relative:page;mso-position-vertical-relative:paragraph;z-index:6880" from="15pt,-18.554522pt" to="0pt,-18.554522pt" stroked="true" strokeweight=".25pt" strokecolor="#000000">
            <w10:wrap type="none"/>
          </v:line>
        </w:pict>
      </w:r>
      <w:r>
        <w:rPr/>
        <w:pict>
          <v:line style="position:absolute;mso-position-horizontal-relative:page;mso-position-vertical-relative:paragraph;z-index:6904" from="508.890015pt,-18.554522pt" to="523.890015pt,-18.554522pt" stroked="true" strokeweight=".25pt" strokecolor="#000000">
            <w10:wrap type="none"/>
          </v:line>
        </w:pict>
      </w:r>
      <w:r>
        <w:rPr>
          <w:rFonts w:ascii="Lucida Sans Unicode" w:hAnsi="Lucida Sans Unicode"/>
          <w:color w:val="6D6E71"/>
          <w:w w:val="105"/>
          <w:sz w:val="14"/>
        </w:rPr>
        <w:t>Los</w:t>
      </w:r>
      <w:r>
        <w:rPr>
          <w:rFonts w:ascii="Lucida Sans Unicode" w:hAnsi="Lucida Sans Unicode"/>
          <w:color w:val="6D6E71"/>
          <w:spacing w:val="-14"/>
          <w:w w:val="105"/>
          <w:sz w:val="14"/>
        </w:rPr>
        <w:t> </w:t>
      </w:r>
      <w:r>
        <w:rPr>
          <w:rFonts w:ascii="Lucida Sans Unicode" w:hAnsi="Lucida Sans Unicode"/>
          <w:color w:val="6D6E71"/>
          <w:w w:val="105"/>
          <w:sz w:val="14"/>
        </w:rPr>
        <w:t>pequeños</w:t>
      </w:r>
      <w:r>
        <w:rPr>
          <w:rFonts w:ascii="Lucida Sans Unicode" w:hAnsi="Lucida Sans Unicode"/>
          <w:color w:val="6D6E71"/>
          <w:spacing w:val="-14"/>
          <w:w w:val="105"/>
          <w:sz w:val="14"/>
        </w:rPr>
        <w:t> </w:t>
      </w:r>
      <w:r>
        <w:rPr>
          <w:rFonts w:ascii="Lucida Sans Unicode" w:hAnsi="Lucida Sans Unicode"/>
          <w:color w:val="6D6E71"/>
          <w:w w:val="105"/>
          <w:sz w:val="14"/>
        </w:rPr>
        <w:t>“soñadores”</w:t>
      </w:r>
      <w:r>
        <w:rPr>
          <w:rFonts w:ascii="Lucida Sans Unicode" w:hAnsi="Lucida Sans Unicode"/>
          <w:color w:val="6D6E71"/>
          <w:spacing w:val="-14"/>
          <w:w w:val="105"/>
          <w:sz w:val="14"/>
        </w:rPr>
        <w:t> </w:t>
      </w:r>
      <w:r>
        <w:rPr>
          <w:rFonts w:ascii="Lucida Sans Unicode" w:hAnsi="Lucida Sans Unicode"/>
          <w:color w:val="6D6E71"/>
          <w:w w:val="105"/>
          <w:sz w:val="14"/>
        </w:rPr>
        <w:t>no</w:t>
      </w:r>
      <w:r>
        <w:rPr>
          <w:rFonts w:ascii="Lucida Sans Unicode" w:hAnsi="Lucida Sans Unicode"/>
          <w:color w:val="6D6E71"/>
          <w:spacing w:val="-14"/>
          <w:w w:val="105"/>
          <w:sz w:val="14"/>
        </w:rPr>
        <w:t> </w:t>
      </w:r>
      <w:r>
        <w:rPr>
          <w:rFonts w:ascii="Lucida Sans Unicode" w:hAnsi="Lucida Sans Unicode"/>
          <w:color w:val="6D6E71"/>
          <w:w w:val="105"/>
          <w:sz w:val="14"/>
        </w:rPr>
        <w:t>acompañados</w:t>
      </w:r>
      <w:r>
        <w:rPr>
          <w:rFonts w:ascii="Lucida Sans Unicode" w:hAnsi="Lucida Sans Unicode"/>
          <w:color w:val="6D6E71"/>
          <w:spacing w:val="-14"/>
          <w:w w:val="105"/>
          <w:sz w:val="14"/>
        </w:rPr>
        <w:t> </w:t>
      </w:r>
      <w:r>
        <w:rPr>
          <w:rFonts w:ascii="Lucida Sans Unicode" w:hAnsi="Lucida Sans Unicode"/>
          <w:color w:val="6D6E71"/>
          <w:w w:val="105"/>
          <w:sz w:val="14"/>
        </w:rPr>
        <w:t>en</w:t>
      </w:r>
      <w:r>
        <w:rPr>
          <w:rFonts w:ascii="Lucida Sans Unicode" w:hAnsi="Lucida Sans Unicode"/>
          <w:color w:val="6D6E71"/>
          <w:spacing w:val="-14"/>
          <w:w w:val="105"/>
          <w:sz w:val="14"/>
        </w:rPr>
        <w:t> </w:t>
      </w:r>
      <w:r>
        <w:rPr>
          <w:rFonts w:ascii="Lucida Sans Unicode" w:hAnsi="Lucida Sans Unicode"/>
          <w:color w:val="6D6E71"/>
          <w:w w:val="105"/>
          <w:sz w:val="14"/>
        </w:rPr>
        <w:t>su</w:t>
      </w:r>
      <w:r>
        <w:rPr>
          <w:rFonts w:ascii="Lucida Sans Unicode" w:hAnsi="Lucida Sans Unicode"/>
          <w:color w:val="6D6E71"/>
          <w:spacing w:val="-14"/>
          <w:w w:val="105"/>
          <w:sz w:val="14"/>
        </w:rPr>
        <w:t> </w:t>
      </w:r>
      <w:r>
        <w:rPr>
          <w:rFonts w:ascii="Lucida Sans Unicode" w:hAnsi="Lucida Sans Unicode"/>
          <w:color w:val="6D6E71"/>
          <w:w w:val="105"/>
          <w:sz w:val="14"/>
        </w:rPr>
        <w:t>tránsito</w:t>
      </w:r>
      <w:r>
        <w:rPr>
          <w:rFonts w:ascii="Lucida Sans Unicode" w:hAnsi="Lucida Sans Unicode"/>
          <w:color w:val="6D6E71"/>
          <w:spacing w:val="-14"/>
          <w:w w:val="105"/>
          <w:sz w:val="14"/>
        </w:rPr>
        <w:t> </w:t>
      </w:r>
      <w:r>
        <w:rPr>
          <w:rFonts w:ascii="Lucida Sans Unicode" w:hAnsi="Lucida Sans Unicode"/>
          <w:color w:val="6D6E71"/>
          <w:w w:val="105"/>
          <w:sz w:val="14"/>
        </w:rPr>
        <w:t>por</w:t>
      </w:r>
      <w:r>
        <w:rPr>
          <w:rFonts w:ascii="Lucida Sans Unicode" w:hAnsi="Lucida Sans Unicode"/>
          <w:color w:val="6D6E71"/>
          <w:spacing w:val="-14"/>
          <w:w w:val="105"/>
          <w:sz w:val="14"/>
        </w:rPr>
        <w:t> </w:t>
      </w:r>
      <w:r>
        <w:rPr>
          <w:rFonts w:ascii="Lucida Sans Unicode" w:hAnsi="Lucida Sans Unicode"/>
          <w:color w:val="6D6E71"/>
          <w:w w:val="105"/>
          <w:sz w:val="14"/>
        </w:rPr>
        <w:t>eL</w:t>
      </w:r>
      <w:r>
        <w:rPr>
          <w:rFonts w:ascii="Lucida Sans Unicode" w:hAnsi="Lucida Sans Unicode"/>
          <w:color w:val="6D6E71"/>
          <w:spacing w:val="-14"/>
          <w:w w:val="105"/>
          <w:sz w:val="14"/>
        </w:rPr>
        <w:t> </w:t>
      </w:r>
      <w:r>
        <w:rPr>
          <w:rFonts w:ascii="Lucida Sans Unicode" w:hAnsi="Lucida Sans Unicode"/>
          <w:color w:val="6D6E71"/>
          <w:w w:val="105"/>
          <w:sz w:val="14"/>
        </w:rPr>
        <w:t>estado</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méxico.</w:t>
      </w:r>
      <w:r>
        <w:rPr>
          <w:rFonts w:ascii="Arial" w:hAnsi="Arial"/>
          <w:color w:val="414042"/>
          <w:w w:val="105"/>
          <w:position w:val="-3"/>
          <w:sz w:val="20"/>
        </w:rPr>
        <w:tab/>
        <w:t>71</w:t>
      </w:r>
    </w:p>
    <w:p>
      <w:pPr>
        <w:spacing w:line="187" w:lineRule="exact" w:before="0"/>
        <w:ind w:left="4069" w:right="0" w:firstLine="0"/>
        <w:jc w:val="left"/>
        <w:rPr>
          <w:rFonts w:ascii="Lucida Sans Unicode" w:hAnsi="Lucida Sans Unicode"/>
          <w:sz w:val="14"/>
        </w:rPr>
      </w:pPr>
      <w:r>
        <w:rPr>
          <w:rFonts w:ascii="Lucida Sans Unicode" w:hAnsi="Lucida Sans Unicode"/>
          <w:color w:val="6D6E71"/>
          <w:w w:val="105"/>
          <w:sz w:val="14"/>
        </w:rPr>
        <w:t>una revisión a partir deL interés superior de La infancia</w:t>
      </w:r>
    </w:p>
    <w:p>
      <w:pPr>
        <w:pStyle w:val="BodyText"/>
        <w:rPr>
          <w:rFonts w:ascii="Lucida Sans Unicode"/>
          <w:sz w:val="20"/>
        </w:rPr>
      </w:pPr>
    </w:p>
    <w:p>
      <w:pPr>
        <w:pStyle w:val="BodyText"/>
        <w:spacing w:line="261" w:lineRule="auto" w:before="173"/>
        <w:ind w:left="1837" w:right="1721"/>
        <w:jc w:val="both"/>
      </w:pPr>
      <w:r>
        <w:rPr>
          <w:w w:val="105"/>
        </w:rPr>
        <w:t>La</w:t>
      </w:r>
      <w:r>
        <w:rPr>
          <w:spacing w:val="-13"/>
          <w:w w:val="105"/>
        </w:rPr>
        <w:t> </w:t>
      </w:r>
      <w:r>
        <w:rPr>
          <w:w w:val="105"/>
        </w:rPr>
        <w:t>delegación</w:t>
      </w:r>
      <w:r>
        <w:rPr>
          <w:spacing w:val="-13"/>
          <w:w w:val="105"/>
        </w:rPr>
        <w:t> </w:t>
      </w:r>
      <w:r>
        <w:rPr>
          <w:w w:val="105"/>
        </w:rPr>
        <w:t>de</w:t>
      </w:r>
      <w:r>
        <w:rPr>
          <w:spacing w:val="-13"/>
          <w:w w:val="105"/>
        </w:rPr>
        <w:t> </w:t>
      </w:r>
      <w:r>
        <w:rPr>
          <w:w w:val="105"/>
        </w:rPr>
        <w:t>la</w:t>
      </w:r>
      <w:r>
        <w:rPr>
          <w:spacing w:val="-13"/>
          <w:w w:val="105"/>
        </w:rPr>
        <w:t> </w:t>
      </w:r>
      <w:r>
        <w:rPr>
          <w:color w:val="231F20"/>
          <w:w w:val="105"/>
          <w:sz w:val="17"/>
        </w:rPr>
        <w:t>CIDH</w:t>
      </w:r>
      <w:r>
        <w:rPr>
          <w:color w:val="231F20"/>
          <w:spacing w:val="-2"/>
          <w:w w:val="105"/>
          <w:sz w:val="17"/>
        </w:rPr>
        <w:t> </w:t>
      </w:r>
      <w:r>
        <w:rPr>
          <w:w w:val="105"/>
        </w:rPr>
        <w:t>observó</w:t>
      </w:r>
      <w:r>
        <w:rPr>
          <w:spacing w:val="-13"/>
          <w:w w:val="105"/>
        </w:rPr>
        <w:t> </w:t>
      </w:r>
      <w:r>
        <w:rPr>
          <w:w w:val="105"/>
        </w:rPr>
        <w:t>y</w:t>
      </w:r>
      <w:r>
        <w:rPr>
          <w:spacing w:val="-13"/>
          <w:w w:val="105"/>
        </w:rPr>
        <w:t> </w:t>
      </w:r>
      <w:r>
        <w:rPr>
          <w:w w:val="105"/>
        </w:rPr>
        <w:t>fue</w:t>
      </w:r>
      <w:r>
        <w:rPr>
          <w:spacing w:val="-13"/>
          <w:w w:val="105"/>
        </w:rPr>
        <w:t> </w:t>
      </w:r>
      <w:r>
        <w:rPr>
          <w:w w:val="105"/>
        </w:rPr>
        <w:t>informada</w:t>
      </w:r>
      <w:r>
        <w:rPr>
          <w:spacing w:val="-13"/>
          <w:w w:val="105"/>
        </w:rPr>
        <w:t> </w:t>
      </w:r>
      <w:r>
        <w:rPr>
          <w:w w:val="105"/>
        </w:rPr>
        <w:t>de</w:t>
      </w:r>
      <w:r>
        <w:rPr>
          <w:spacing w:val="-13"/>
          <w:w w:val="105"/>
        </w:rPr>
        <w:t> </w:t>
      </w:r>
      <w:r>
        <w:rPr>
          <w:w w:val="105"/>
        </w:rPr>
        <w:t>que</w:t>
      </w:r>
      <w:r>
        <w:rPr>
          <w:spacing w:val="-13"/>
          <w:w w:val="105"/>
        </w:rPr>
        <w:t> </w:t>
      </w:r>
      <w:r>
        <w:rPr>
          <w:w w:val="105"/>
        </w:rPr>
        <w:t>un</w:t>
      </w:r>
      <w:r>
        <w:rPr>
          <w:spacing w:val="-13"/>
          <w:w w:val="105"/>
        </w:rPr>
        <w:t> </w:t>
      </w:r>
      <w:r>
        <w:rPr>
          <w:w w:val="105"/>
        </w:rPr>
        <w:t>número</w:t>
      </w:r>
      <w:r>
        <w:rPr>
          <w:spacing w:val="-13"/>
          <w:w w:val="105"/>
        </w:rPr>
        <w:t> </w:t>
      </w:r>
      <w:r>
        <w:rPr>
          <w:w w:val="105"/>
        </w:rPr>
        <w:t>sig- nificativo</w:t>
      </w:r>
      <w:r>
        <w:rPr>
          <w:spacing w:val="-7"/>
          <w:w w:val="105"/>
        </w:rPr>
        <w:t> </w:t>
      </w:r>
      <w:r>
        <w:rPr>
          <w:w w:val="105"/>
        </w:rPr>
        <w:t>de</w:t>
      </w:r>
      <w:r>
        <w:rPr>
          <w:spacing w:val="-7"/>
          <w:w w:val="105"/>
        </w:rPr>
        <w:t> </w:t>
      </w:r>
      <w:r>
        <w:rPr>
          <w:w w:val="105"/>
          <w:sz w:val="17"/>
        </w:rPr>
        <w:t>NNA</w:t>
      </w:r>
      <w:r>
        <w:rPr>
          <w:spacing w:val="4"/>
          <w:w w:val="105"/>
          <w:sz w:val="17"/>
        </w:rPr>
        <w:t> </w:t>
      </w:r>
      <w:r>
        <w:rPr>
          <w:w w:val="105"/>
        </w:rPr>
        <w:t>migrantes</w:t>
      </w:r>
      <w:r>
        <w:rPr>
          <w:spacing w:val="-7"/>
          <w:w w:val="105"/>
        </w:rPr>
        <w:t> </w:t>
      </w:r>
      <w:r>
        <w:rPr>
          <w:w w:val="105"/>
        </w:rPr>
        <w:t>que</w:t>
      </w:r>
      <w:r>
        <w:rPr>
          <w:spacing w:val="-7"/>
          <w:w w:val="105"/>
        </w:rPr>
        <w:t> </w:t>
      </w:r>
      <w:r>
        <w:rPr>
          <w:w w:val="105"/>
        </w:rPr>
        <w:t>transitan</w:t>
      </w:r>
      <w:r>
        <w:rPr>
          <w:spacing w:val="-7"/>
          <w:w w:val="105"/>
        </w:rPr>
        <w:t> </w:t>
      </w:r>
      <w:r>
        <w:rPr>
          <w:w w:val="105"/>
        </w:rPr>
        <w:t>por</w:t>
      </w:r>
      <w:r>
        <w:rPr>
          <w:spacing w:val="-7"/>
          <w:w w:val="105"/>
        </w:rPr>
        <w:t> </w:t>
      </w:r>
      <w:r>
        <w:rPr>
          <w:w w:val="105"/>
        </w:rPr>
        <w:t>México</w:t>
      </w:r>
      <w:r>
        <w:rPr>
          <w:spacing w:val="-7"/>
          <w:w w:val="105"/>
        </w:rPr>
        <w:t> </w:t>
      </w:r>
      <w:r>
        <w:rPr>
          <w:w w:val="105"/>
        </w:rPr>
        <w:t>enfrentan</w:t>
      </w:r>
      <w:r>
        <w:rPr>
          <w:spacing w:val="-7"/>
          <w:w w:val="105"/>
        </w:rPr>
        <w:t> </w:t>
      </w:r>
      <w:r>
        <w:rPr>
          <w:w w:val="105"/>
        </w:rPr>
        <w:t>situacio- nes de desprotección extrema, tales como los peligros asociados a</w:t>
      </w:r>
      <w:r>
        <w:rPr>
          <w:spacing w:val="-29"/>
          <w:w w:val="105"/>
        </w:rPr>
        <w:t> </w:t>
      </w:r>
      <w:r>
        <w:rPr>
          <w:w w:val="105"/>
        </w:rPr>
        <w:t>sus trayectos en tren o ser víctimas de delitos y violaciones a sus derechos humanos por parte de la delincuencia organizada, delincuentes comu- nes</w:t>
      </w:r>
      <w:r>
        <w:rPr>
          <w:spacing w:val="-26"/>
          <w:w w:val="105"/>
        </w:rPr>
        <w:t> </w:t>
      </w:r>
      <w:r>
        <w:rPr>
          <w:w w:val="105"/>
        </w:rPr>
        <w:t>y</w:t>
      </w:r>
      <w:r>
        <w:rPr>
          <w:spacing w:val="-26"/>
          <w:w w:val="105"/>
        </w:rPr>
        <w:t> </w:t>
      </w:r>
      <w:r>
        <w:rPr>
          <w:w w:val="105"/>
        </w:rPr>
        <w:t>en</w:t>
      </w:r>
      <w:r>
        <w:rPr>
          <w:spacing w:val="-26"/>
          <w:w w:val="105"/>
        </w:rPr>
        <w:t> </w:t>
      </w:r>
      <w:r>
        <w:rPr>
          <w:w w:val="105"/>
        </w:rPr>
        <w:t>algunos</w:t>
      </w:r>
      <w:r>
        <w:rPr>
          <w:spacing w:val="-26"/>
          <w:w w:val="105"/>
        </w:rPr>
        <w:t> </w:t>
      </w:r>
      <w:r>
        <w:rPr>
          <w:w w:val="105"/>
        </w:rPr>
        <w:t>casos</w:t>
      </w:r>
      <w:r>
        <w:rPr>
          <w:spacing w:val="-26"/>
          <w:w w:val="105"/>
        </w:rPr>
        <w:t> </w:t>
      </w:r>
      <w:r>
        <w:rPr>
          <w:w w:val="105"/>
        </w:rPr>
        <w:t>por</w:t>
      </w:r>
      <w:r>
        <w:rPr>
          <w:spacing w:val="-26"/>
          <w:w w:val="105"/>
        </w:rPr>
        <w:t> </w:t>
      </w:r>
      <w:r>
        <w:rPr>
          <w:w w:val="105"/>
        </w:rPr>
        <w:t>agentes</w:t>
      </w:r>
      <w:r>
        <w:rPr>
          <w:spacing w:val="-26"/>
          <w:w w:val="105"/>
        </w:rPr>
        <w:t> </w:t>
      </w:r>
      <w:r>
        <w:rPr>
          <w:w w:val="105"/>
        </w:rPr>
        <w:t>estatales</w:t>
      </w:r>
      <w:r>
        <w:rPr>
          <w:spacing w:val="-26"/>
          <w:w w:val="105"/>
        </w:rPr>
        <w:t> </w:t>
      </w:r>
      <w:r>
        <w:rPr>
          <w:w w:val="105"/>
        </w:rPr>
        <w:t>(</w:t>
      </w:r>
      <w:r>
        <w:rPr>
          <w:color w:val="231F20"/>
          <w:w w:val="105"/>
          <w:sz w:val="17"/>
        </w:rPr>
        <w:t>OEA</w:t>
      </w:r>
      <w:r>
        <w:rPr>
          <w:w w:val="105"/>
        </w:rPr>
        <w:t>,</w:t>
      </w:r>
      <w:r>
        <w:rPr>
          <w:spacing w:val="-30"/>
          <w:w w:val="105"/>
        </w:rPr>
        <w:t> </w:t>
      </w:r>
      <w:r>
        <w:rPr>
          <w:w w:val="105"/>
        </w:rPr>
        <w:t>2013:</w:t>
      </w:r>
      <w:r>
        <w:rPr>
          <w:spacing w:val="-26"/>
          <w:w w:val="105"/>
        </w:rPr>
        <w:t> </w:t>
      </w:r>
      <w:r>
        <w:rPr>
          <w:w w:val="105"/>
        </w:rPr>
        <w:t>99).</w:t>
      </w:r>
    </w:p>
    <w:p>
      <w:pPr>
        <w:pStyle w:val="BodyText"/>
        <w:spacing w:line="261" w:lineRule="auto" w:before="1"/>
        <w:ind w:left="1837" w:right="1715" w:firstLine="567"/>
        <w:jc w:val="both"/>
      </w:pPr>
      <w:r>
        <w:rPr>
          <w:w w:val="105"/>
        </w:rPr>
        <w:t>Los menores a menudo se trasladan desde sus lugares de</w:t>
      </w:r>
      <w:r>
        <w:rPr>
          <w:spacing w:val="-38"/>
          <w:w w:val="105"/>
        </w:rPr>
        <w:t> </w:t>
      </w:r>
      <w:r>
        <w:rPr>
          <w:w w:val="105"/>
        </w:rPr>
        <w:t>origen para reunirse con sus padres, quienes ante la posibilidad de no poder cruzar</w:t>
      </w:r>
      <w:r>
        <w:rPr>
          <w:spacing w:val="-10"/>
          <w:w w:val="105"/>
        </w:rPr>
        <w:t> </w:t>
      </w:r>
      <w:r>
        <w:rPr>
          <w:w w:val="105"/>
        </w:rPr>
        <w:t>nuevamente</w:t>
      </w:r>
      <w:r>
        <w:rPr>
          <w:spacing w:val="-10"/>
          <w:w w:val="105"/>
        </w:rPr>
        <w:t> </w:t>
      </w:r>
      <w:r>
        <w:rPr>
          <w:w w:val="105"/>
        </w:rPr>
        <w:t>la</w:t>
      </w:r>
      <w:r>
        <w:rPr>
          <w:spacing w:val="-10"/>
          <w:w w:val="105"/>
        </w:rPr>
        <w:t> </w:t>
      </w:r>
      <w:r>
        <w:rPr>
          <w:w w:val="105"/>
        </w:rPr>
        <w:t>frontera</w:t>
      </w:r>
      <w:r>
        <w:rPr>
          <w:spacing w:val="-10"/>
          <w:w w:val="105"/>
        </w:rPr>
        <w:t> </w:t>
      </w:r>
      <w:r>
        <w:rPr>
          <w:w w:val="105"/>
        </w:rPr>
        <w:t>no</w:t>
      </w:r>
      <w:r>
        <w:rPr>
          <w:spacing w:val="-10"/>
          <w:w w:val="105"/>
        </w:rPr>
        <w:t> </w:t>
      </w:r>
      <w:r>
        <w:rPr>
          <w:w w:val="105"/>
        </w:rPr>
        <w:t>se</w:t>
      </w:r>
      <w:r>
        <w:rPr>
          <w:spacing w:val="-10"/>
          <w:w w:val="105"/>
        </w:rPr>
        <w:t> </w:t>
      </w:r>
      <w:r>
        <w:rPr>
          <w:w w:val="105"/>
        </w:rPr>
        <w:t>atreven</w:t>
      </w:r>
      <w:r>
        <w:rPr>
          <w:spacing w:val="-10"/>
          <w:w w:val="105"/>
        </w:rPr>
        <w:t> </w:t>
      </w:r>
      <w:r>
        <w:rPr>
          <w:w w:val="105"/>
        </w:rPr>
        <w:t>a</w:t>
      </w:r>
      <w:r>
        <w:rPr>
          <w:spacing w:val="-10"/>
          <w:w w:val="105"/>
        </w:rPr>
        <w:t> </w:t>
      </w:r>
      <w:r>
        <w:rPr>
          <w:w w:val="105"/>
        </w:rPr>
        <w:t>regresar</w:t>
      </w:r>
      <w:r>
        <w:rPr>
          <w:spacing w:val="-10"/>
          <w:w w:val="105"/>
        </w:rPr>
        <w:t> </w:t>
      </w:r>
      <w:r>
        <w:rPr>
          <w:w w:val="105"/>
        </w:rPr>
        <w:t>a</w:t>
      </w:r>
      <w:r>
        <w:rPr>
          <w:spacing w:val="-10"/>
          <w:w w:val="105"/>
        </w:rPr>
        <w:t> </w:t>
      </w:r>
      <w:r>
        <w:rPr>
          <w:w w:val="105"/>
        </w:rPr>
        <w:t>su</w:t>
      </w:r>
      <w:r>
        <w:rPr>
          <w:spacing w:val="-10"/>
          <w:w w:val="105"/>
        </w:rPr>
        <w:t> </w:t>
      </w:r>
      <w:r>
        <w:rPr>
          <w:w w:val="105"/>
        </w:rPr>
        <w:t>país</w:t>
      </w:r>
      <w:r>
        <w:rPr>
          <w:spacing w:val="-10"/>
          <w:w w:val="105"/>
        </w:rPr>
        <w:t> </w:t>
      </w:r>
      <w:r>
        <w:rPr>
          <w:w w:val="105"/>
        </w:rPr>
        <w:t>nativo. Esto</w:t>
      </w:r>
      <w:r>
        <w:rPr>
          <w:spacing w:val="-4"/>
          <w:w w:val="105"/>
        </w:rPr>
        <w:t> </w:t>
      </w:r>
      <w:r>
        <w:rPr>
          <w:w w:val="105"/>
        </w:rPr>
        <w:t>ha</w:t>
      </w:r>
      <w:r>
        <w:rPr>
          <w:spacing w:val="-4"/>
          <w:w w:val="105"/>
        </w:rPr>
        <w:t> </w:t>
      </w:r>
      <w:r>
        <w:rPr>
          <w:w w:val="105"/>
        </w:rPr>
        <w:t>provocado</w:t>
      </w:r>
      <w:r>
        <w:rPr>
          <w:spacing w:val="-4"/>
          <w:w w:val="105"/>
        </w:rPr>
        <w:t> </w:t>
      </w:r>
      <w:r>
        <w:rPr>
          <w:w w:val="105"/>
        </w:rPr>
        <w:t>que</w:t>
      </w:r>
      <w:r>
        <w:rPr>
          <w:spacing w:val="-4"/>
          <w:w w:val="105"/>
        </w:rPr>
        <w:t> </w:t>
      </w:r>
      <w:r>
        <w:rPr>
          <w:w w:val="105"/>
        </w:rPr>
        <w:t>los</w:t>
      </w:r>
      <w:r>
        <w:rPr>
          <w:spacing w:val="-4"/>
          <w:w w:val="105"/>
        </w:rPr>
        <w:t> </w:t>
      </w:r>
      <w:r>
        <w:rPr>
          <w:w w:val="105"/>
        </w:rPr>
        <w:t>progenitores</w:t>
      </w:r>
      <w:r>
        <w:rPr>
          <w:spacing w:val="-4"/>
          <w:w w:val="105"/>
        </w:rPr>
        <w:t> </w:t>
      </w:r>
      <w:r>
        <w:rPr>
          <w:w w:val="105"/>
        </w:rPr>
        <w:t>recurran</w:t>
      </w:r>
      <w:r>
        <w:rPr>
          <w:spacing w:val="-4"/>
          <w:w w:val="105"/>
        </w:rPr>
        <w:t> </w:t>
      </w:r>
      <w:r>
        <w:rPr>
          <w:w w:val="105"/>
        </w:rPr>
        <w:t>a</w:t>
      </w:r>
      <w:r>
        <w:rPr>
          <w:spacing w:val="-4"/>
          <w:w w:val="105"/>
        </w:rPr>
        <w:t> </w:t>
      </w:r>
      <w:r>
        <w:rPr>
          <w:w w:val="105"/>
        </w:rPr>
        <w:t>algún</w:t>
      </w:r>
      <w:r>
        <w:rPr>
          <w:spacing w:val="-4"/>
          <w:w w:val="105"/>
        </w:rPr>
        <w:t> </w:t>
      </w:r>
      <w:r>
        <w:rPr>
          <w:w w:val="105"/>
        </w:rPr>
        <w:t>guía</w:t>
      </w:r>
      <w:r>
        <w:rPr>
          <w:spacing w:val="-4"/>
          <w:w w:val="105"/>
        </w:rPr>
        <w:t> </w:t>
      </w:r>
      <w:r>
        <w:rPr>
          <w:w w:val="105"/>
        </w:rPr>
        <w:t>para</w:t>
      </w:r>
      <w:r>
        <w:rPr>
          <w:spacing w:val="-4"/>
          <w:w w:val="105"/>
        </w:rPr>
        <w:t> </w:t>
      </w:r>
      <w:r>
        <w:rPr>
          <w:w w:val="105"/>
        </w:rPr>
        <w:t>que introduzca</w:t>
      </w:r>
      <w:r>
        <w:rPr>
          <w:spacing w:val="-14"/>
          <w:w w:val="105"/>
        </w:rPr>
        <w:t> </w:t>
      </w:r>
      <w:r>
        <w:rPr>
          <w:w w:val="105"/>
        </w:rPr>
        <w:t>ilegalmente</w:t>
      </w:r>
      <w:r>
        <w:rPr>
          <w:spacing w:val="-14"/>
          <w:w w:val="105"/>
        </w:rPr>
        <w:t> </w:t>
      </w:r>
      <w:r>
        <w:rPr>
          <w:w w:val="105"/>
        </w:rPr>
        <w:t>a</w:t>
      </w:r>
      <w:r>
        <w:rPr>
          <w:spacing w:val="-14"/>
          <w:w w:val="105"/>
        </w:rPr>
        <w:t> </w:t>
      </w:r>
      <w:r>
        <w:rPr>
          <w:w w:val="105"/>
        </w:rPr>
        <w:t>sus</w:t>
      </w:r>
      <w:r>
        <w:rPr>
          <w:spacing w:val="-14"/>
          <w:w w:val="105"/>
        </w:rPr>
        <w:t> </w:t>
      </w:r>
      <w:r>
        <w:rPr>
          <w:w w:val="105"/>
        </w:rPr>
        <w:t>hijos</w:t>
      </w:r>
      <w:r>
        <w:rPr>
          <w:spacing w:val="-14"/>
          <w:w w:val="105"/>
        </w:rPr>
        <w:t> </w:t>
      </w:r>
      <w:r>
        <w:rPr>
          <w:w w:val="105"/>
        </w:rPr>
        <w:t>menores</w:t>
      </w:r>
      <w:r>
        <w:rPr>
          <w:spacing w:val="-14"/>
          <w:w w:val="105"/>
        </w:rPr>
        <w:t> </w:t>
      </w:r>
      <w:r>
        <w:rPr>
          <w:w w:val="105"/>
        </w:rPr>
        <w:t>a</w:t>
      </w:r>
      <w:r>
        <w:rPr>
          <w:spacing w:val="-14"/>
          <w:w w:val="105"/>
        </w:rPr>
        <w:t> </w:t>
      </w:r>
      <w:r>
        <w:rPr>
          <w:w w:val="105"/>
        </w:rPr>
        <w:t>Estados</w:t>
      </w:r>
      <w:r>
        <w:rPr>
          <w:spacing w:val="-14"/>
          <w:w w:val="105"/>
        </w:rPr>
        <w:t> </w:t>
      </w:r>
      <w:r>
        <w:rPr>
          <w:w w:val="105"/>
        </w:rPr>
        <w:t>Unidos,</w:t>
      </w:r>
      <w:r>
        <w:rPr>
          <w:spacing w:val="-19"/>
          <w:w w:val="105"/>
        </w:rPr>
        <w:t> </w:t>
      </w:r>
      <w:r>
        <w:rPr>
          <w:w w:val="105"/>
        </w:rPr>
        <w:t>no</w:t>
      </w:r>
      <w:r>
        <w:rPr>
          <w:spacing w:val="-14"/>
          <w:w w:val="105"/>
        </w:rPr>
        <w:t> </w:t>
      </w:r>
      <w:r>
        <w:rPr>
          <w:w w:val="105"/>
        </w:rPr>
        <w:t>impor- tando</w:t>
      </w:r>
      <w:r>
        <w:rPr>
          <w:spacing w:val="-7"/>
          <w:w w:val="105"/>
        </w:rPr>
        <w:t> </w:t>
      </w:r>
      <w:r>
        <w:rPr>
          <w:w w:val="105"/>
        </w:rPr>
        <w:t>los</w:t>
      </w:r>
      <w:r>
        <w:rPr>
          <w:spacing w:val="-7"/>
          <w:w w:val="105"/>
        </w:rPr>
        <w:t> </w:t>
      </w:r>
      <w:r>
        <w:rPr>
          <w:w w:val="105"/>
        </w:rPr>
        <w:t>peligros</w:t>
      </w:r>
      <w:r>
        <w:rPr>
          <w:spacing w:val="-7"/>
          <w:w w:val="105"/>
        </w:rPr>
        <w:t> </w:t>
      </w:r>
      <w:r>
        <w:rPr>
          <w:w w:val="105"/>
        </w:rPr>
        <w:t>que</w:t>
      </w:r>
      <w:r>
        <w:rPr>
          <w:spacing w:val="-7"/>
          <w:w w:val="105"/>
        </w:rPr>
        <w:t> </w:t>
      </w:r>
      <w:r>
        <w:rPr>
          <w:w w:val="105"/>
        </w:rPr>
        <w:t>implica</w:t>
      </w:r>
      <w:r>
        <w:rPr>
          <w:spacing w:val="-7"/>
          <w:w w:val="105"/>
        </w:rPr>
        <w:t> </w:t>
      </w:r>
      <w:r>
        <w:rPr>
          <w:w w:val="105"/>
        </w:rPr>
        <w:t>esta</w:t>
      </w:r>
      <w:r>
        <w:rPr>
          <w:spacing w:val="-7"/>
          <w:w w:val="105"/>
        </w:rPr>
        <w:t> </w:t>
      </w:r>
      <w:r>
        <w:rPr>
          <w:w w:val="105"/>
        </w:rPr>
        <w:t>práctica.</w:t>
      </w:r>
      <w:r>
        <w:rPr>
          <w:spacing w:val="-12"/>
          <w:w w:val="105"/>
        </w:rPr>
        <w:t> </w:t>
      </w:r>
      <w:r>
        <w:rPr>
          <w:w w:val="105"/>
        </w:rPr>
        <w:t>Cuando</w:t>
      </w:r>
      <w:r>
        <w:rPr>
          <w:spacing w:val="-7"/>
          <w:w w:val="105"/>
        </w:rPr>
        <w:t> </w:t>
      </w:r>
      <w:r>
        <w:rPr>
          <w:w w:val="105"/>
        </w:rPr>
        <w:t>los</w:t>
      </w:r>
      <w:r>
        <w:rPr>
          <w:spacing w:val="-7"/>
          <w:w w:val="105"/>
        </w:rPr>
        <w:t> </w:t>
      </w:r>
      <w:r>
        <w:rPr>
          <w:w w:val="105"/>
        </w:rPr>
        <w:t>padres</w:t>
      </w:r>
      <w:r>
        <w:rPr>
          <w:spacing w:val="-7"/>
          <w:w w:val="105"/>
        </w:rPr>
        <w:t> </w:t>
      </w:r>
      <w:r>
        <w:rPr>
          <w:w w:val="105"/>
        </w:rPr>
        <w:t>no</w:t>
      </w:r>
      <w:r>
        <w:rPr>
          <w:spacing w:val="-7"/>
          <w:w w:val="105"/>
        </w:rPr>
        <w:t> </w:t>
      </w:r>
      <w:r>
        <w:rPr>
          <w:w w:val="105"/>
        </w:rPr>
        <w:t>pue- den</w:t>
      </w:r>
      <w:r>
        <w:rPr>
          <w:spacing w:val="-12"/>
          <w:w w:val="105"/>
        </w:rPr>
        <w:t> </w:t>
      </w:r>
      <w:r>
        <w:rPr>
          <w:w w:val="105"/>
        </w:rPr>
        <w:t>pagar</w:t>
      </w:r>
      <w:r>
        <w:rPr>
          <w:spacing w:val="-12"/>
          <w:w w:val="105"/>
        </w:rPr>
        <w:t> </w:t>
      </w:r>
      <w:r>
        <w:rPr>
          <w:w w:val="105"/>
        </w:rPr>
        <w:t>los</w:t>
      </w:r>
      <w:r>
        <w:rPr>
          <w:spacing w:val="-12"/>
          <w:w w:val="105"/>
        </w:rPr>
        <w:t> </w:t>
      </w:r>
      <w:r>
        <w:rPr>
          <w:w w:val="105"/>
        </w:rPr>
        <w:t>servicios</w:t>
      </w:r>
      <w:r>
        <w:rPr>
          <w:spacing w:val="-12"/>
          <w:w w:val="105"/>
        </w:rPr>
        <w:t> </w:t>
      </w:r>
      <w:r>
        <w:rPr>
          <w:w w:val="105"/>
        </w:rPr>
        <w:t>de</w:t>
      </w:r>
      <w:r>
        <w:rPr>
          <w:spacing w:val="-12"/>
          <w:w w:val="105"/>
        </w:rPr>
        <w:t> </w:t>
      </w:r>
      <w:r>
        <w:rPr>
          <w:w w:val="105"/>
        </w:rPr>
        <w:t>un</w:t>
      </w:r>
      <w:r>
        <w:rPr>
          <w:spacing w:val="-12"/>
          <w:w w:val="105"/>
        </w:rPr>
        <w:t> </w:t>
      </w:r>
      <w:r>
        <w:rPr>
          <w:w w:val="105"/>
        </w:rPr>
        <w:t>coyote,</w:t>
      </w:r>
      <w:r>
        <w:rPr>
          <w:spacing w:val="-18"/>
          <w:w w:val="105"/>
        </w:rPr>
        <w:t> </w:t>
      </w:r>
      <w:r>
        <w:rPr>
          <w:w w:val="105"/>
        </w:rPr>
        <w:t>no</w:t>
      </w:r>
      <w:r>
        <w:rPr>
          <w:spacing w:val="-12"/>
          <w:w w:val="105"/>
        </w:rPr>
        <w:t> </w:t>
      </w:r>
      <w:r>
        <w:rPr>
          <w:w w:val="105"/>
        </w:rPr>
        <w:t>es</w:t>
      </w:r>
      <w:r>
        <w:rPr>
          <w:spacing w:val="-12"/>
          <w:w w:val="105"/>
        </w:rPr>
        <w:t> </w:t>
      </w:r>
      <w:r>
        <w:rPr>
          <w:w w:val="105"/>
        </w:rPr>
        <w:t>infrecuente</w:t>
      </w:r>
      <w:r>
        <w:rPr>
          <w:spacing w:val="-12"/>
          <w:w w:val="105"/>
        </w:rPr>
        <w:t> </w:t>
      </w:r>
      <w:r>
        <w:rPr>
          <w:w w:val="105"/>
        </w:rPr>
        <w:t>que</w:t>
      </w:r>
      <w:r>
        <w:rPr>
          <w:spacing w:val="-12"/>
          <w:w w:val="105"/>
        </w:rPr>
        <w:t> </w:t>
      </w:r>
      <w:r>
        <w:rPr>
          <w:w w:val="105"/>
        </w:rPr>
        <w:t>los</w:t>
      </w:r>
      <w:r>
        <w:rPr>
          <w:spacing w:val="-12"/>
          <w:w w:val="105"/>
        </w:rPr>
        <w:t> </w:t>
      </w:r>
      <w:r>
        <w:rPr>
          <w:w w:val="105"/>
        </w:rPr>
        <w:t>menores realicen</w:t>
      </w:r>
      <w:r>
        <w:rPr>
          <w:spacing w:val="-26"/>
          <w:w w:val="105"/>
        </w:rPr>
        <w:t> </w:t>
      </w:r>
      <w:r>
        <w:rPr>
          <w:w w:val="105"/>
        </w:rPr>
        <w:t>este</w:t>
      </w:r>
      <w:r>
        <w:rPr>
          <w:spacing w:val="-26"/>
          <w:w w:val="105"/>
        </w:rPr>
        <w:t> </w:t>
      </w:r>
      <w:r>
        <w:rPr>
          <w:w w:val="105"/>
        </w:rPr>
        <w:t>viaje</w:t>
      </w:r>
      <w:r>
        <w:rPr>
          <w:spacing w:val="-26"/>
          <w:w w:val="105"/>
        </w:rPr>
        <w:t> </w:t>
      </w:r>
      <w:r>
        <w:rPr>
          <w:w w:val="105"/>
        </w:rPr>
        <w:t>solos,</w:t>
      </w:r>
      <w:r>
        <w:rPr>
          <w:spacing w:val="-31"/>
          <w:w w:val="105"/>
        </w:rPr>
        <w:t> </w:t>
      </w:r>
      <w:r>
        <w:rPr>
          <w:w w:val="105"/>
        </w:rPr>
        <w:t>lo</w:t>
      </w:r>
      <w:r>
        <w:rPr>
          <w:spacing w:val="-26"/>
          <w:w w:val="105"/>
        </w:rPr>
        <w:t> </w:t>
      </w:r>
      <w:r>
        <w:rPr>
          <w:w w:val="105"/>
        </w:rPr>
        <w:t>que</w:t>
      </w:r>
      <w:r>
        <w:rPr>
          <w:spacing w:val="-26"/>
          <w:w w:val="105"/>
        </w:rPr>
        <w:t> </w:t>
      </w:r>
      <w:r>
        <w:rPr>
          <w:w w:val="105"/>
        </w:rPr>
        <w:t>los</w:t>
      </w:r>
      <w:r>
        <w:rPr>
          <w:spacing w:val="-26"/>
          <w:w w:val="105"/>
        </w:rPr>
        <w:t> </w:t>
      </w:r>
      <w:r>
        <w:rPr>
          <w:w w:val="105"/>
        </w:rPr>
        <w:t>expone</w:t>
      </w:r>
      <w:r>
        <w:rPr>
          <w:spacing w:val="-26"/>
          <w:w w:val="105"/>
        </w:rPr>
        <w:t> </w:t>
      </w:r>
      <w:r>
        <w:rPr>
          <w:w w:val="105"/>
        </w:rPr>
        <w:t>a</w:t>
      </w:r>
      <w:r>
        <w:rPr>
          <w:spacing w:val="-26"/>
          <w:w w:val="105"/>
        </w:rPr>
        <w:t> </w:t>
      </w:r>
      <w:r>
        <w:rPr>
          <w:w w:val="105"/>
        </w:rPr>
        <w:t>situaciones</w:t>
      </w:r>
      <w:r>
        <w:rPr>
          <w:spacing w:val="-26"/>
          <w:w w:val="105"/>
        </w:rPr>
        <w:t> </w:t>
      </w:r>
      <w:r>
        <w:rPr>
          <w:w w:val="105"/>
        </w:rPr>
        <w:t>aún</w:t>
      </w:r>
      <w:r>
        <w:rPr>
          <w:spacing w:val="-26"/>
          <w:w w:val="105"/>
        </w:rPr>
        <w:t> </w:t>
      </w:r>
      <w:r>
        <w:rPr>
          <w:w w:val="105"/>
        </w:rPr>
        <w:t>más</w:t>
      </w:r>
      <w:r>
        <w:rPr>
          <w:spacing w:val="-26"/>
          <w:w w:val="105"/>
        </w:rPr>
        <w:t> </w:t>
      </w:r>
      <w:r>
        <w:rPr>
          <w:w w:val="105"/>
        </w:rPr>
        <w:t>peligro- sas.</w:t>
      </w:r>
      <w:r>
        <w:rPr>
          <w:spacing w:val="-19"/>
          <w:w w:val="105"/>
        </w:rPr>
        <w:t> </w:t>
      </w:r>
      <w:r>
        <w:rPr>
          <w:w w:val="105"/>
        </w:rPr>
        <w:t>En</w:t>
      </w:r>
      <w:r>
        <w:rPr>
          <w:spacing w:val="-14"/>
          <w:w w:val="105"/>
        </w:rPr>
        <w:t> </w:t>
      </w:r>
      <w:r>
        <w:rPr>
          <w:w w:val="105"/>
        </w:rPr>
        <w:t>ambos</w:t>
      </w:r>
      <w:r>
        <w:rPr>
          <w:spacing w:val="-14"/>
          <w:w w:val="105"/>
        </w:rPr>
        <w:t> </w:t>
      </w:r>
      <w:r>
        <w:rPr>
          <w:w w:val="105"/>
        </w:rPr>
        <w:t>casos,</w:t>
      </w:r>
      <w:r>
        <w:rPr>
          <w:spacing w:val="-19"/>
          <w:w w:val="105"/>
        </w:rPr>
        <w:t> </w:t>
      </w:r>
      <w:r>
        <w:rPr>
          <w:w w:val="105"/>
        </w:rPr>
        <w:t>los</w:t>
      </w:r>
      <w:r>
        <w:rPr>
          <w:spacing w:val="-15"/>
          <w:w w:val="105"/>
        </w:rPr>
        <w:t> </w:t>
      </w:r>
      <w:r>
        <w:rPr>
          <w:w w:val="105"/>
          <w:sz w:val="17"/>
        </w:rPr>
        <w:t>NNA</w:t>
      </w:r>
      <w:r>
        <w:rPr>
          <w:spacing w:val="-4"/>
          <w:w w:val="105"/>
          <w:sz w:val="17"/>
        </w:rPr>
        <w:t> </w:t>
      </w:r>
      <w:r>
        <w:rPr>
          <w:w w:val="105"/>
        </w:rPr>
        <w:t>pueden</w:t>
      </w:r>
      <w:r>
        <w:rPr>
          <w:spacing w:val="-14"/>
          <w:w w:val="105"/>
        </w:rPr>
        <w:t> </w:t>
      </w:r>
      <w:r>
        <w:rPr>
          <w:w w:val="105"/>
        </w:rPr>
        <w:t>caer</w:t>
      </w:r>
      <w:r>
        <w:rPr>
          <w:spacing w:val="-14"/>
          <w:w w:val="105"/>
        </w:rPr>
        <w:t> </w:t>
      </w:r>
      <w:r>
        <w:rPr>
          <w:w w:val="105"/>
        </w:rPr>
        <w:t>en</w:t>
      </w:r>
      <w:r>
        <w:rPr>
          <w:spacing w:val="-14"/>
          <w:w w:val="105"/>
        </w:rPr>
        <w:t> </w:t>
      </w:r>
      <w:r>
        <w:rPr>
          <w:w w:val="105"/>
        </w:rPr>
        <w:t>manos</w:t>
      </w:r>
      <w:r>
        <w:rPr>
          <w:spacing w:val="-14"/>
          <w:w w:val="105"/>
        </w:rPr>
        <w:t> </w:t>
      </w:r>
      <w:r>
        <w:rPr>
          <w:w w:val="105"/>
        </w:rPr>
        <w:t>de</w:t>
      </w:r>
      <w:r>
        <w:rPr>
          <w:spacing w:val="-14"/>
          <w:w w:val="105"/>
        </w:rPr>
        <w:t> </w:t>
      </w:r>
      <w:r>
        <w:rPr>
          <w:w w:val="105"/>
        </w:rPr>
        <w:t>organizaciones criminales de todo</w:t>
      </w:r>
      <w:r>
        <w:rPr>
          <w:spacing w:val="5"/>
          <w:w w:val="105"/>
        </w:rPr>
        <w:t> </w:t>
      </w:r>
      <w:r>
        <w:rPr>
          <w:w w:val="105"/>
        </w:rPr>
        <w:t>tipo.</w:t>
      </w:r>
    </w:p>
    <w:p>
      <w:pPr>
        <w:pStyle w:val="BodyText"/>
        <w:spacing w:line="261" w:lineRule="auto" w:before="1"/>
        <w:ind w:left="1837" w:right="1721" w:firstLine="567"/>
        <w:jc w:val="both"/>
      </w:pPr>
      <w:r>
        <w:rPr>
          <w:color w:val="231F20"/>
          <w:w w:val="105"/>
        </w:rPr>
        <w:t>Los menores migrantes irregulares no acompañados necesitan más apoyo gubernamental que cualquier otro grupo de migrantes. No sólo</w:t>
      </w:r>
      <w:r>
        <w:rPr>
          <w:color w:val="231F20"/>
          <w:spacing w:val="-14"/>
          <w:w w:val="105"/>
        </w:rPr>
        <w:t> </w:t>
      </w:r>
      <w:r>
        <w:rPr>
          <w:color w:val="231F20"/>
          <w:w w:val="105"/>
        </w:rPr>
        <w:t>carecen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seguridad</w:t>
      </w:r>
      <w:r>
        <w:rPr>
          <w:color w:val="231F20"/>
          <w:spacing w:val="-14"/>
          <w:w w:val="105"/>
        </w:rPr>
        <w:t> </w:t>
      </w:r>
      <w:r>
        <w:rPr>
          <w:color w:val="231F20"/>
          <w:w w:val="105"/>
        </w:rPr>
        <w:t>que</w:t>
      </w:r>
      <w:r>
        <w:rPr>
          <w:color w:val="231F20"/>
          <w:spacing w:val="-14"/>
          <w:w w:val="105"/>
        </w:rPr>
        <w:t> </w:t>
      </w:r>
      <w:r>
        <w:rPr>
          <w:color w:val="231F20"/>
          <w:w w:val="105"/>
        </w:rPr>
        <w:t>brinda</w:t>
      </w:r>
      <w:r>
        <w:rPr>
          <w:color w:val="231F20"/>
          <w:spacing w:val="-14"/>
          <w:w w:val="105"/>
        </w:rPr>
        <w:t> </w:t>
      </w:r>
      <w:r>
        <w:rPr>
          <w:color w:val="231F20"/>
          <w:w w:val="105"/>
        </w:rPr>
        <w:t>una</w:t>
      </w:r>
      <w:r>
        <w:rPr>
          <w:color w:val="231F20"/>
          <w:spacing w:val="-14"/>
          <w:w w:val="105"/>
        </w:rPr>
        <w:t> </w:t>
      </w:r>
      <w:r>
        <w:rPr>
          <w:color w:val="231F20"/>
          <w:w w:val="105"/>
        </w:rPr>
        <w:t>situación</w:t>
      </w:r>
      <w:r>
        <w:rPr>
          <w:color w:val="231F20"/>
          <w:spacing w:val="-14"/>
          <w:w w:val="105"/>
        </w:rPr>
        <w:t> </w:t>
      </w:r>
      <w:r>
        <w:rPr>
          <w:color w:val="231F20"/>
          <w:w w:val="105"/>
        </w:rPr>
        <w:t>legal</w:t>
      </w:r>
      <w:r>
        <w:rPr>
          <w:color w:val="231F20"/>
          <w:spacing w:val="-14"/>
          <w:w w:val="105"/>
        </w:rPr>
        <w:t> </w:t>
      </w:r>
      <w:r>
        <w:rPr>
          <w:color w:val="231F20"/>
          <w:w w:val="105"/>
        </w:rPr>
        <w:t>regular,</w:t>
      </w:r>
      <w:r>
        <w:rPr>
          <w:color w:val="231F20"/>
          <w:spacing w:val="-20"/>
          <w:w w:val="105"/>
        </w:rPr>
        <w:t> </w:t>
      </w:r>
      <w:r>
        <w:rPr>
          <w:color w:val="231F20"/>
          <w:w w:val="105"/>
        </w:rPr>
        <w:t>sino de</w:t>
      </w:r>
      <w:r>
        <w:rPr>
          <w:color w:val="231F20"/>
          <w:spacing w:val="-16"/>
          <w:w w:val="105"/>
        </w:rPr>
        <w:t> </w:t>
      </w:r>
      <w:r>
        <w:rPr>
          <w:color w:val="231F20"/>
          <w:w w:val="105"/>
        </w:rPr>
        <w:t>la</w:t>
      </w:r>
      <w:r>
        <w:rPr>
          <w:color w:val="231F20"/>
          <w:spacing w:val="-16"/>
          <w:w w:val="105"/>
        </w:rPr>
        <w:t> </w:t>
      </w:r>
      <w:r>
        <w:rPr>
          <w:color w:val="231F20"/>
          <w:w w:val="105"/>
        </w:rPr>
        <w:t>asistencia</w:t>
      </w:r>
      <w:r>
        <w:rPr>
          <w:color w:val="231F20"/>
          <w:spacing w:val="-16"/>
          <w:w w:val="105"/>
        </w:rPr>
        <w:t> </w:t>
      </w:r>
      <w:r>
        <w:rPr>
          <w:color w:val="231F20"/>
          <w:w w:val="105"/>
        </w:rPr>
        <w:t>que</w:t>
      </w:r>
      <w:r>
        <w:rPr>
          <w:color w:val="231F20"/>
          <w:spacing w:val="-16"/>
          <w:w w:val="105"/>
        </w:rPr>
        <w:t> </w:t>
      </w:r>
      <w:r>
        <w:rPr>
          <w:color w:val="231F20"/>
          <w:w w:val="105"/>
        </w:rPr>
        <w:t>precisan</w:t>
      </w:r>
      <w:r>
        <w:rPr>
          <w:color w:val="231F20"/>
          <w:spacing w:val="-16"/>
          <w:w w:val="105"/>
        </w:rPr>
        <w:t> </w:t>
      </w:r>
      <w:r>
        <w:rPr>
          <w:color w:val="231F20"/>
          <w:w w:val="105"/>
        </w:rPr>
        <w:t>de</w:t>
      </w:r>
      <w:r>
        <w:rPr>
          <w:color w:val="231F20"/>
          <w:spacing w:val="-16"/>
          <w:w w:val="105"/>
        </w:rPr>
        <w:t> </w:t>
      </w:r>
      <w:r>
        <w:rPr>
          <w:color w:val="231F20"/>
          <w:w w:val="105"/>
        </w:rPr>
        <w:t>sus</w:t>
      </w:r>
      <w:r>
        <w:rPr>
          <w:color w:val="231F20"/>
          <w:spacing w:val="-16"/>
          <w:w w:val="105"/>
        </w:rPr>
        <w:t> </w:t>
      </w:r>
      <w:r>
        <w:rPr>
          <w:color w:val="231F20"/>
          <w:w w:val="105"/>
        </w:rPr>
        <w:t>padres</w:t>
      </w:r>
      <w:r>
        <w:rPr>
          <w:color w:val="231F20"/>
          <w:spacing w:val="-16"/>
          <w:w w:val="105"/>
        </w:rPr>
        <w:t> </w:t>
      </w:r>
      <w:r>
        <w:rPr>
          <w:color w:val="231F20"/>
          <w:w w:val="105"/>
        </w:rPr>
        <w:t>o</w:t>
      </w:r>
      <w:r>
        <w:rPr>
          <w:color w:val="231F20"/>
          <w:spacing w:val="-16"/>
          <w:w w:val="105"/>
        </w:rPr>
        <w:t> </w:t>
      </w:r>
      <w:r>
        <w:rPr>
          <w:color w:val="231F20"/>
          <w:w w:val="105"/>
        </w:rPr>
        <w:t>tutores</w:t>
      </w:r>
      <w:r>
        <w:rPr>
          <w:color w:val="231F20"/>
          <w:spacing w:val="-16"/>
          <w:w w:val="105"/>
        </w:rPr>
        <w:t> </w:t>
      </w:r>
      <w:r>
        <w:rPr>
          <w:color w:val="231F20"/>
          <w:w w:val="105"/>
        </w:rPr>
        <w:t>por</w:t>
      </w:r>
      <w:r>
        <w:rPr>
          <w:color w:val="231F20"/>
          <w:spacing w:val="-16"/>
          <w:w w:val="105"/>
        </w:rPr>
        <w:t> </w:t>
      </w:r>
      <w:r>
        <w:rPr>
          <w:color w:val="231F20"/>
          <w:w w:val="105"/>
        </w:rPr>
        <w:t>sus</w:t>
      </w:r>
      <w:r>
        <w:rPr>
          <w:color w:val="231F20"/>
          <w:spacing w:val="-16"/>
          <w:w w:val="105"/>
        </w:rPr>
        <w:t> </w:t>
      </w:r>
      <w:r>
        <w:rPr>
          <w:color w:val="231F20"/>
          <w:w w:val="105"/>
        </w:rPr>
        <w:t>propias</w:t>
      </w:r>
      <w:r>
        <w:rPr>
          <w:color w:val="231F20"/>
          <w:spacing w:val="-16"/>
          <w:w w:val="105"/>
        </w:rPr>
        <w:t> </w:t>
      </w:r>
      <w:r>
        <w:rPr>
          <w:color w:val="231F20"/>
          <w:w w:val="105"/>
        </w:rPr>
        <w:t>ca- racterísticas</w:t>
      </w:r>
      <w:r>
        <w:rPr>
          <w:color w:val="231F20"/>
          <w:spacing w:val="-20"/>
          <w:w w:val="105"/>
        </w:rPr>
        <w:t> </w:t>
      </w:r>
      <w:r>
        <w:rPr>
          <w:color w:val="231F20"/>
          <w:w w:val="105"/>
        </w:rPr>
        <w:t>físicas</w:t>
      </w:r>
      <w:r>
        <w:rPr>
          <w:color w:val="231F20"/>
          <w:spacing w:val="-20"/>
          <w:w w:val="105"/>
        </w:rPr>
        <w:t> </w:t>
      </w:r>
      <w:r>
        <w:rPr>
          <w:color w:val="231F20"/>
          <w:w w:val="105"/>
        </w:rPr>
        <w:t>y</w:t>
      </w:r>
      <w:r>
        <w:rPr>
          <w:color w:val="231F20"/>
          <w:spacing w:val="-20"/>
          <w:w w:val="105"/>
        </w:rPr>
        <w:t> </w:t>
      </w:r>
      <w:r>
        <w:rPr>
          <w:color w:val="231F20"/>
          <w:w w:val="105"/>
        </w:rPr>
        <w:t>emocionales.</w:t>
      </w:r>
      <w:r>
        <w:rPr>
          <w:color w:val="231F20"/>
          <w:spacing w:val="-24"/>
          <w:w w:val="105"/>
        </w:rPr>
        <w:t> </w:t>
      </w:r>
      <w:r>
        <w:rPr>
          <w:color w:val="231F20"/>
          <w:w w:val="105"/>
        </w:rPr>
        <w:t>Desafortunadamente</w:t>
      </w:r>
      <w:r>
        <w:rPr>
          <w:color w:val="231F20"/>
          <w:spacing w:val="-20"/>
          <w:w w:val="105"/>
        </w:rPr>
        <w:t> </w:t>
      </w:r>
      <w:r>
        <w:rPr>
          <w:color w:val="231F20"/>
          <w:w w:val="105"/>
        </w:rPr>
        <w:t>y</w:t>
      </w:r>
      <w:r>
        <w:rPr>
          <w:color w:val="231F20"/>
          <w:spacing w:val="-20"/>
          <w:w w:val="105"/>
        </w:rPr>
        <w:t> </w:t>
      </w:r>
      <w:r>
        <w:rPr>
          <w:color w:val="231F20"/>
          <w:w w:val="105"/>
        </w:rPr>
        <w:t>aunque</w:t>
      </w:r>
      <w:r>
        <w:rPr>
          <w:color w:val="231F20"/>
          <w:spacing w:val="-20"/>
          <w:w w:val="105"/>
        </w:rPr>
        <w:t> </w:t>
      </w:r>
      <w:r>
        <w:rPr>
          <w:color w:val="231F20"/>
          <w:w w:val="105"/>
        </w:rPr>
        <w:t>están protegidos por diversos documentos, esta protección suele darse sólo en el</w:t>
      </w:r>
      <w:r>
        <w:rPr>
          <w:color w:val="231F20"/>
          <w:spacing w:val="-13"/>
          <w:w w:val="105"/>
        </w:rPr>
        <w:t> </w:t>
      </w:r>
      <w:r>
        <w:rPr>
          <w:color w:val="231F20"/>
          <w:w w:val="105"/>
        </w:rPr>
        <w:t>papel.</w:t>
      </w:r>
    </w:p>
    <w:p>
      <w:pPr>
        <w:pStyle w:val="BodyText"/>
        <w:rPr>
          <w:sz w:val="20"/>
        </w:rPr>
      </w:pPr>
    </w:p>
    <w:p>
      <w:pPr>
        <w:pStyle w:val="BodyText"/>
        <w:spacing w:before="9"/>
        <w:rPr>
          <w:sz w:val="20"/>
        </w:rPr>
      </w:pPr>
    </w:p>
    <w:p>
      <w:pPr>
        <w:pStyle w:val="Heading3"/>
      </w:pPr>
      <w:r>
        <w:rPr>
          <w:color w:val="231F20"/>
        </w:rPr>
        <w:t>El interés superior de la infancia y los derechos fundamentales de</w:t>
      </w:r>
    </w:p>
    <w:p>
      <w:pPr>
        <w:spacing w:before="27"/>
        <w:ind w:left="1837" w:right="0" w:firstLine="0"/>
        <w:jc w:val="both"/>
        <w:rPr>
          <w:rFonts w:ascii="Arial" w:hAnsi="Arial"/>
          <w:b/>
          <w:sz w:val="22"/>
        </w:rPr>
      </w:pPr>
      <w:r>
        <w:rPr>
          <w:rFonts w:ascii="Arial" w:hAnsi="Arial"/>
          <w:b/>
          <w:color w:val="231F20"/>
          <w:sz w:val="18"/>
        </w:rPr>
        <w:t>NNA </w:t>
      </w:r>
      <w:r>
        <w:rPr>
          <w:rFonts w:ascii="Arial" w:hAnsi="Arial"/>
          <w:b/>
          <w:color w:val="231F20"/>
          <w:sz w:val="22"/>
        </w:rPr>
        <w:t>migrantes no acompañados</w:t>
      </w:r>
    </w:p>
    <w:p>
      <w:pPr>
        <w:pStyle w:val="BodyText"/>
        <w:rPr>
          <w:rFonts w:ascii="Arial"/>
          <w:b/>
          <w:sz w:val="22"/>
        </w:rPr>
      </w:pPr>
    </w:p>
    <w:p>
      <w:pPr>
        <w:pStyle w:val="BodyText"/>
        <w:spacing w:line="261" w:lineRule="auto" w:before="163"/>
        <w:ind w:left="1837" w:right="1715"/>
        <w:jc w:val="both"/>
      </w:pPr>
      <w:r>
        <w:rPr>
          <w:color w:val="231F20"/>
          <w:w w:val="105"/>
        </w:rPr>
        <w:t>Hablar del principio superior de la infancia y derechos humanos en un contexto</w:t>
      </w:r>
      <w:r>
        <w:rPr>
          <w:color w:val="231F20"/>
          <w:spacing w:val="-11"/>
          <w:w w:val="105"/>
        </w:rPr>
        <w:t> </w:t>
      </w:r>
      <w:r>
        <w:rPr>
          <w:color w:val="231F20"/>
          <w:w w:val="105"/>
        </w:rPr>
        <w:t>social</w:t>
      </w:r>
      <w:r>
        <w:rPr>
          <w:color w:val="231F20"/>
          <w:spacing w:val="-11"/>
          <w:w w:val="105"/>
        </w:rPr>
        <w:t> </w:t>
      </w:r>
      <w:r>
        <w:rPr>
          <w:color w:val="231F20"/>
          <w:w w:val="105"/>
        </w:rPr>
        <w:t>que</w:t>
      </w:r>
      <w:r>
        <w:rPr>
          <w:color w:val="231F20"/>
          <w:spacing w:val="-11"/>
          <w:w w:val="105"/>
        </w:rPr>
        <w:t> </w:t>
      </w:r>
      <w:r>
        <w:rPr>
          <w:color w:val="231F20"/>
          <w:w w:val="105"/>
        </w:rPr>
        <w:t>permite</w:t>
      </w:r>
      <w:r>
        <w:rPr>
          <w:color w:val="231F20"/>
          <w:spacing w:val="-11"/>
          <w:w w:val="105"/>
        </w:rPr>
        <w:t> </w:t>
      </w:r>
      <w:r>
        <w:rPr>
          <w:color w:val="231F20"/>
          <w:w w:val="105"/>
        </w:rPr>
        <w:t>la</w:t>
      </w:r>
      <w:r>
        <w:rPr>
          <w:color w:val="231F20"/>
          <w:spacing w:val="-11"/>
          <w:w w:val="105"/>
        </w:rPr>
        <w:t> </w:t>
      </w:r>
      <w:r>
        <w:rPr>
          <w:color w:val="231F20"/>
          <w:w w:val="105"/>
        </w:rPr>
        <w:t>existencia</w:t>
      </w:r>
      <w:r>
        <w:rPr>
          <w:color w:val="231F20"/>
          <w:spacing w:val="-11"/>
          <w:w w:val="105"/>
        </w:rPr>
        <w:t> </w:t>
      </w:r>
      <w:r>
        <w:rPr>
          <w:color w:val="231F20"/>
          <w:w w:val="105"/>
        </w:rPr>
        <w:t>de</w:t>
      </w:r>
      <w:r>
        <w:rPr>
          <w:color w:val="231F20"/>
          <w:spacing w:val="-11"/>
          <w:w w:val="105"/>
        </w:rPr>
        <w:t> </w:t>
      </w:r>
      <w:r>
        <w:rPr>
          <w:color w:val="231F20"/>
          <w:w w:val="105"/>
        </w:rPr>
        <w:t>niños,</w:t>
      </w:r>
      <w:r>
        <w:rPr>
          <w:color w:val="231F20"/>
          <w:spacing w:val="-16"/>
          <w:w w:val="105"/>
        </w:rPr>
        <w:t> </w:t>
      </w:r>
      <w:r>
        <w:rPr>
          <w:color w:val="231F20"/>
          <w:w w:val="105"/>
        </w:rPr>
        <w:t>niñas</w:t>
      </w:r>
      <w:r>
        <w:rPr>
          <w:color w:val="231F20"/>
          <w:spacing w:val="-11"/>
          <w:w w:val="105"/>
        </w:rPr>
        <w:t> </w:t>
      </w:r>
      <w:r>
        <w:rPr>
          <w:color w:val="231F20"/>
          <w:w w:val="105"/>
        </w:rPr>
        <w:t>y</w:t>
      </w:r>
      <w:r>
        <w:rPr>
          <w:color w:val="231F20"/>
          <w:spacing w:val="-11"/>
          <w:w w:val="105"/>
        </w:rPr>
        <w:t> </w:t>
      </w:r>
      <w:r>
        <w:rPr>
          <w:color w:val="231F20"/>
          <w:w w:val="105"/>
        </w:rPr>
        <w:t>adolescentes migrantes</w:t>
      </w:r>
      <w:r>
        <w:rPr>
          <w:color w:val="231F20"/>
          <w:spacing w:val="-18"/>
          <w:w w:val="105"/>
        </w:rPr>
        <w:t> </w:t>
      </w:r>
      <w:r>
        <w:rPr>
          <w:color w:val="231F20"/>
          <w:w w:val="105"/>
        </w:rPr>
        <w:t>irregulares</w:t>
      </w:r>
      <w:r>
        <w:rPr>
          <w:color w:val="231F20"/>
          <w:spacing w:val="-18"/>
          <w:w w:val="105"/>
        </w:rPr>
        <w:t> </w:t>
      </w:r>
      <w:r>
        <w:rPr>
          <w:color w:val="231F20"/>
          <w:w w:val="105"/>
        </w:rPr>
        <w:t>no</w:t>
      </w:r>
      <w:r>
        <w:rPr>
          <w:color w:val="231F20"/>
          <w:spacing w:val="-18"/>
          <w:w w:val="105"/>
        </w:rPr>
        <w:t> </w:t>
      </w:r>
      <w:r>
        <w:rPr>
          <w:color w:val="231F20"/>
          <w:w w:val="105"/>
        </w:rPr>
        <w:t>acompañados</w:t>
      </w:r>
      <w:r>
        <w:rPr>
          <w:color w:val="231F20"/>
          <w:spacing w:val="-18"/>
          <w:w w:val="105"/>
        </w:rPr>
        <w:t> </w:t>
      </w:r>
      <w:r>
        <w:rPr>
          <w:color w:val="231F20"/>
          <w:w w:val="105"/>
        </w:rPr>
        <w:t>parece</w:t>
      </w:r>
      <w:r>
        <w:rPr>
          <w:color w:val="231F20"/>
          <w:spacing w:val="-18"/>
          <w:w w:val="105"/>
        </w:rPr>
        <w:t> </w:t>
      </w:r>
      <w:r>
        <w:rPr>
          <w:color w:val="231F20"/>
          <w:w w:val="105"/>
        </w:rPr>
        <w:t>al</w:t>
      </w:r>
      <w:r>
        <w:rPr>
          <w:color w:val="231F20"/>
          <w:spacing w:val="-18"/>
          <w:w w:val="105"/>
        </w:rPr>
        <w:t> </w:t>
      </w:r>
      <w:r>
        <w:rPr>
          <w:color w:val="231F20"/>
          <w:w w:val="105"/>
        </w:rPr>
        <w:t>menos</w:t>
      </w:r>
      <w:r>
        <w:rPr>
          <w:color w:val="231F20"/>
          <w:spacing w:val="-18"/>
          <w:w w:val="105"/>
        </w:rPr>
        <w:t> </w:t>
      </w:r>
      <w:r>
        <w:rPr>
          <w:color w:val="231F20"/>
          <w:w w:val="105"/>
        </w:rPr>
        <w:t>paradójico.</w:t>
      </w:r>
      <w:r>
        <w:rPr>
          <w:color w:val="231F20"/>
          <w:spacing w:val="-23"/>
          <w:w w:val="105"/>
        </w:rPr>
        <w:t> </w:t>
      </w:r>
      <w:r>
        <w:rPr>
          <w:color w:val="231F20"/>
          <w:w w:val="105"/>
        </w:rPr>
        <w:t>Los menores tienen derecho a un ambiente estable, a la protección, cuida- do y supervisión de adultos que les permita desarrollar plenamente</w:t>
      </w:r>
      <w:r>
        <w:rPr>
          <w:color w:val="231F20"/>
          <w:spacing w:val="-34"/>
          <w:w w:val="105"/>
        </w:rPr>
        <w:t> </w:t>
      </w:r>
      <w:r>
        <w:rPr>
          <w:color w:val="231F20"/>
          <w:w w:val="105"/>
        </w:rPr>
        <w:t>sus capacidades, y a la satisfacción de necesidades básicas</w:t>
      </w:r>
      <w:r>
        <w:rPr>
          <w:color w:val="231F20"/>
          <w:spacing w:val="-20"/>
          <w:w w:val="105"/>
        </w:rPr>
        <w:t> </w:t>
      </w:r>
      <w:r>
        <w:rPr>
          <w:color w:val="231F20"/>
          <w:w w:val="105"/>
        </w:rPr>
        <w:t>(alimentación, vivienda,</w:t>
      </w:r>
      <w:r>
        <w:rPr>
          <w:color w:val="231F20"/>
          <w:spacing w:val="-30"/>
          <w:w w:val="105"/>
        </w:rPr>
        <w:t> </w:t>
      </w:r>
      <w:r>
        <w:rPr>
          <w:color w:val="231F20"/>
          <w:w w:val="105"/>
        </w:rPr>
        <w:t>vestido,</w:t>
      </w:r>
      <w:r>
        <w:rPr>
          <w:color w:val="231F20"/>
          <w:spacing w:val="-30"/>
          <w:w w:val="105"/>
        </w:rPr>
        <w:t> </w:t>
      </w:r>
      <w:r>
        <w:rPr>
          <w:color w:val="231F20"/>
          <w:w w:val="105"/>
        </w:rPr>
        <w:t>escolaridad</w:t>
      </w:r>
      <w:r>
        <w:rPr>
          <w:color w:val="231F20"/>
          <w:spacing w:val="-27"/>
          <w:w w:val="105"/>
        </w:rPr>
        <w:t> </w:t>
      </w:r>
      <w:r>
        <w:rPr>
          <w:color w:val="231F20"/>
          <w:w w:val="105"/>
        </w:rPr>
        <w:t>y</w:t>
      </w:r>
      <w:r>
        <w:rPr>
          <w:color w:val="231F20"/>
          <w:spacing w:val="-27"/>
          <w:w w:val="105"/>
        </w:rPr>
        <w:t> </w:t>
      </w:r>
      <w:r>
        <w:rPr>
          <w:color w:val="231F20"/>
          <w:w w:val="105"/>
        </w:rPr>
        <w:t>actividades</w:t>
      </w:r>
      <w:r>
        <w:rPr>
          <w:color w:val="231F20"/>
          <w:spacing w:val="-27"/>
          <w:w w:val="105"/>
        </w:rPr>
        <w:t> </w:t>
      </w:r>
      <w:r>
        <w:rPr>
          <w:color w:val="231F20"/>
          <w:w w:val="105"/>
        </w:rPr>
        <w:t>lúdicas),</w:t>
      </w:r>
      <w:r>
        <w:rPr>
          <w:color w:val="231F20"/>
          <w:spacing w:val="-30"/>
          <w:w w:val="105"/>
        </w:rPr>
        <w:t> </w:t>
      </w:r>
      <w:r>
        <w:rPr>
          <w:color w:val="231F20"/>
          <w:w w:val="105"/>
        </w:rPr>
        <w:t>exactamente</w:t>
      </w:r>
      <w:r>
        <w:rPr>
          <w:color w:val="231F20"/>
          <w:spacing w:val="-27"/>
          <w:w w:val="105"/>
        </w:rPr>
        <w:t> </w:t>
      </w:r>
      <w:r>
        <w:rPr>
          <w:color w:val="231F20"/>
          <w:w w:val="105"/>
        </w:rPr>
        <w:t>lo</w:t>
      </w:r>
      <w:r>
        <w:rPr>
          <w:color w:val="231F20"/>
          <w:spacing w:val="-27"/>
          <w:w w:val="105"/>
        </w:rPr>
        <w:t> </w:t>
      </w:r>
      <w:r>
        <w:rPr>
          <w:color w:val="231F20"/>
          <w:w w:val="105"/>
        </w:rPr>
        <w:t>con- trario a lo que puede esperar un menor que, sin la compañía y cuidado de</w:t>
      </w:r>
      <w:r>
        <w:rPr>
          <w:color w:val="231F20"/>
          <w:spacing w:val="-22"/>
          <w:w w:val="105"/>
        </w:rPr>
        <w:t> </w:t>
      </w:r>
      <w:r>
        <w:rPr>
          <w:color w:val="231F20"/>
          <w:w w:val="105"/>
        </w:rPr>
        <w:t>un</w:t>
      </w:r>
      <w:r>
        <w:rPr>
          <w:color w:val="231F20"/>
          <w:spacing w:val="-22"/>
          <w:w w:val="105"/>
        </w:rPr>
        <w:t> </w:t>
      </w:r>
      <w:r>
        <w:rPr>
          <w:color w:val="231F20"/>
          <w:w w:val="105"/>
        </w:rPr>
        <w:t>adulto,</w:t>
      </w:r>
      <w:r>
        <w:rPr>
          <w:color w:val="231F20"/>
          <w:spacing w:val="-28"/>
          <w:w w:val="105"/>
        </w:rPr>
        <w:t> </w:t>
      </w:r>
      <w:r>
        <w:rPr>
          <w:color w:val="231F20"/>
          <w:w w:val="105"/>
        </w:rPr>
        <w:t>se</w:t>
      </w:r>
      <w:r>
        <w:rPr>
          <w:color w:val="231F20"/>
          <w:spacing w:val="-22"/>
          <w:w w:val="105"/>
        </w:rPr>
        <w:t> </w:t>
      </w:r>
      <w:r>
        <w:rPr>
          <w:color w:val="231F20"/>
          <w:w w:val="105"/>
        </w:rPr>
        <w:t>encuentra</w:t>
      </w:r>
      <w:r>
        <w:rPr>
          <w:color w:val="231F20"/>
          <w:spacing w:val="-22"/>
          <w:w w:val="105"/>
        </w:rPr>
        <w:t> </w:t>
      </w:r>
      <w:r>
        <w:rPr>
          <w:color w:val="231F20"/>
          <w:w w:val="105"/>
        </w:rPr>
        <w:t>en</w:t>
      </w:r>
      <w:r>
        <w:rPr>
          <w:color w:val="231F20"/>
          <w:spacing w:val="-22"/>
          <w:w w:val="105"/>
        </w:rPr>
        <w:t> </w:t>
      </w:r>
      <w:r>
        <w:rPr>
          <w:color w:val="231F20"/>
          <w:w w:val="105"/>
        </w:rPr>
        <w:t>una</w:t>
      </w:r>
      <w:r>
        <w:rPr>
          <w:color w:val="231F20"/>
          <w:spacing w:val="-22"/>
          <w:w w:val="105"/>
        </w:rPr>
        <w:t> </w:t>
      </w:r>
      <w:r>
        <w:rPr>
          <w:color w:val="231F20"/>
          <w:w w:val="105"/>
        </w:rPr>
        <w:t>situación</w:t>
      </w:r>
      <w:r>
        <w:rPr>
          <w:color w:val="231F20"/>
          <w:spacing w:val="-22"/>
          <w:w w:val="105"/>
        </w:rPr>
        <w:t> </w:t>
      </w:r>
      <w:r>
        <w:rPr>
          <w:color w:val="231F20"/>
          <w:w w:val="105"/>
        </w:rPr>
        <w:t>riesgosa</w:t>
      </w:r>
      <w:r>
        <w:rPr>
          <w:color w:val="231F20"/>
          <w:spacing w:val="-22"/>
          <w:w w:val="105"/>
        </w:rPr>
        <w:t> </w:t>
      </w:r>
      <w:r>
        <w:rPr>
          <w:color w:val="231F20"/>
          <w:w w:val="105"/>
        </w:rPr>
        <w:t>incluso</w:t>
      </w:r>
      <w:r>
        <w:rPr>
          <w:color w:val="231F20"/>
          <w:spacing w:val="-22"/>
          <w:w w:val="105"/>
        </w:rPr>
        <w:t> </w:t>
      </w:r>
      <w:r>
        <w:rPr>
          <w:color w:val="231F20"/>
          <w:w w:val="105"/>
        </w:rPr>
        <w:t>para</w:t>
      </w:r>
      <w:r>
        <w:rPr>
          <w:color w:val="231F20"/>
          <w:spacing w:val="-22"/>
          <w:w w:val="105"/>
        </w:rPr>
        <w:t> </w:t>
      </w:r>
      <w:r>
        <w:rPr>
          <w:color w:val="231F20"/>
          <w:w w:val="105"/>
        </w:rPr>
        <w:t>los</w:t>
      </w:r>
      <w:r>
        <w:rPr>
          <w:color w:val="231F20"/>
          <w:spacing w:val="-22"/>
          <w:w w:val="105"/>
        </w:rPr>
        <w:t> </w:t>
      </w:r>
      <w:r>
        <w:rPr>
          <w:color w:val="231F20"/>
          <w:w w:val="105"/>
        </w:rPr>
        <w:t>ma- yores de</w:t>
      </w:r>
      <w:r>
        <w:rPr>
          <w:color w:val="231F20"/>
          <w:spacing w:val="-26"/>
          <w:w w:val="105"/>
        </w:rPr>
        <w:t> </w:t>
      </w:r>
      <w:r>
        <w:rPr>
          <w:color w:val="231F20"/>
          <w:w w:val="105"/>
        </w:rPr>
        <w:t>edad.</w:t>
      </w:r>
    </w:p>
    <w:p>
      <w:pPr>
        <w:pStyle w:val="BodyText"/>
        <w:spacing w:line="261" w:lineRule="auto" w:before="1"/>
        <w:ind w:left="1837" w:right="1715" w:firstLine="567"/>
        <w:jc w:val="both"/>
      </w:pPr>
      <w:r>
        <w:rPr/>
        <w:pict>
          <v:line style="position:absolute;mso-position-horizontal-relative:page;mso-position-vertical-relative:paragraph;z-index:-483256" from="15pt,123.341881pt" to="0pt,123.341881pt" stroked="true" strokeweight=".25pt" strokecolor="#000000">
            <w10:wrap type="none"/>
          </v:line>
        </w:pict>
      </w:r>
      <w:r>
        <w:rPr/>
        <w:pict>
          <v:line style="position:absolute;mso-position-horizontal-relative:page;mso-position-vertical-relative:paragraph;z-index:6952" from="508.890015pt,123.341881pt" to="523.890015pt,123.341881pt" stroked="true" strokeweight=".25pt" strokecolor="#000000">
            <w10:wrap type="none"/>
          </v:line>
        </w:pict>
      </w:r>
      <w:r>
        <w:rPr>
          <w:color w:val="231F20"/>
          <w:w w:val="105"/>
        </w:rPr>
        <w:t>Los</w:t>
      </w:r>
      <w:r>
        <w:rPr>
          <w:color w:val="231F20"/>
          <w:spacing w:val="-29"/>
          <w:w w:val="105"/>
        </w:rPr>
        <w:t> </w:t>
      </w:r>
      <w:r>
        <w:rPr>
          <w:color w:val="231F20"/>
          <w:w w:val="105"/>
        </w:rPr>
        <w:t>derechos</w:t>
      </w:r>
      <w:r>
        <w:rPr>
          <w:color w:val="231F20"/>
          <w:spacing w:val="-29"/>
          <w:w w:val="105"/>
        </w:rPr>
        <w:t> </w:t>
      </w:r>
      <w:r>
        <w:rPr>
          <w:color w:val="231F20"/>
          <w:w w:val="105"/>
        </w:rPr>
        <w:t>humanos,</w:t>
      </w:r>
      <w:r>
        <w:rPr>
          <w:color w:val="231F20"/>
          <w:spacing w:val="-33"/>
          <w:w w:val="105"/>
        </w:rPr>
        <w:t> </w:t>
      </w:r>
      <w:r>
        <w:rPr>
          <w:color w:val="231F20"/>
          <w:w w:val="105"/>
        </w:rPr>
        <w:t>como</w:t>
      </w:r>
      <w:r>
        <w:rPr>
          <w:color w:val="231F20"/>
          <w:spacing w:val="-29"/>
          <w:w w:val="105"/>
        </w:rPr>
        <w:t> </w:t>
      </w:r>
      <w:r>
        <w:rPr>
          <w:color w:val="231F20"/>
          <w:w w:val="105"/>
        </w:rPr>
        <w:t>expresión</w:t>
      </w:r>
      <w:r>
        <w:rPr>
          <w:color w:val="231F20"/>
          <w:spacing w:val="-29"/>
          <w:w w:val="105"/>
        </w:rPr>
        <w:t> </w:t>
      </w:r>
      <w:r>
        <w:rPr>
          <w:color w:val="231F20"/>
          <w:w w:val="105"/>
        </w:rPr>
        <w:t>de</w:t>
      </w:r>
      <w:r>
        <w:rPr>
          <w:color w:val="231F20"/>
          <w:spacing w:val="-29"/>
          <w:w w:val="105"/>
        </w:rPr>
        <w:t> </w:t>
      </w:r>
      <w:r>
        <w:rPr>
          <w:color w:val="231F20"/>
          <w:w w:val="105"/>
        </w:rPr>
        <w:t>lo</w:t>
      </w:r>
      <w:r>
        <w:rPr>
          <w:color w:val="231F20"/>
          <w:spacing w:val="-29"/>
          <w:w w:val="105"/>
        </w:rPr>
        <w:t> </w:t>
      </w:r>
      <w:r>
        <w:rPr>
          <w:color w:val="231F20"/>
          <w:w w:val="105"/>
        </w:rPr>
        <w:t>que</w:t>
      </w:r>
      <w:r>
        <w:rPr>
          <w:color w:val="231F20"/>
          <w:spacing w:val="-29"/>
          <w:w w:val="105"/>
        </w:rPr>
        <w:t> </w:t>
      </w:r>
      <w:r>
        <w:rPr>
          <w:color w:val="231F20"/>
          <w:w w:val="105"/>
        </w:rPr>
        <w:t>es</w:t>
      </w:r>
      <w:r>
        <w:rPr>
          <w:color w:val="231F20"/>
          <w:spacing w:val="-29"/>
          <w:w w:val="105"/>
        </w:rPr>
        <w:t> </w:t>
      </w:r>
      <w:r>
        <w:rPr>
          <w:color w:val="231F20"/>
          <w:w w:val="105"/>
        </w:rPr>
        <w:t>consustancial a</w:t>
      </w:r>
      <w:r>
        <w:rPr>
          <w:color w:val="231F20"/>
          <w:spacing w:val="-20"/>
          <w:w w:val="105"/>
        </w:rPr>
        <w:t> </w:t>
      </w:r>
      <w:r>
        <w:rPr>
          <w:color w:val="231F20"/>
          <w:w w:val="105"/>
        </w:rPr>
        <w:t>toda</w:t>
      </w:r>
      <w:r>
        <w:rPr>
          <w:color w:val="231F20"/>
          <w:spacing w:val="-20"/>
          <w:w w:val="105"/>
        </w:rPr>
        <w:t> </w:t>
      </w:r>
      <w:r>
        <w:rPr>
          <w:color w:val="231F20"/>
          <w:w w:val="105"/>
        </w:rPr>
        <w:t>persona,</w:t>
      </w:r>
      <w:r>
        <w:rPr>
          <w:color w:val="231F20"/>
          <w:spacing w:val="-25"/>
          <w:w w:val="105"/>
        </w:rPr>
        <w:t> </w:t>
      </w:r>
      <w:r>
        <w:rPr>
          <w:color w:val="231F20"/>
          <w:w w:val="105"/>
        </w:rPr>
        <w:t>sea</w:t>
      </w:r>
      <w:r>
        <w:rPr>
          <w:color w:val="231F20"/>
          <w:spacing w:val="-20"/>
          <w:w w:val="105"/>
        </w:rPr>
        <w:t> </w:t>
      </w:r>
      <w:r>
        <w:rPr>
          <w:color w:val="231F20"/>
          <w:w w:val="105"/>
        </w:rPr>
        <w:t>cual</w:t>
      </w:r>
      <w:r>
        <w:rPr>
          <w:color w:val="231F20"/>
          <w:spacing w:val="-20"/>
          <w:w w:val="105"/>
        </w:rPr>
        <w:t> </w:t>
      </w:r>
      <w:r>
        <w:rPr>
          <w:color w:val="231F20"/>
          <w:w w:val="105"/>
        </w:rPr>
        <w:t>sea</w:t>
      </w:r>
      <w:r>
        <w:rPr>
          <w:color w:val="231F20"/>
          <w:spacing w:val="-20"/>
          <w:w w:val="105"/>
        </w:rPr>
        <w:t> </w:t>
      </w:r>
      <w:r>
        <w:rPr>
          <w:color w:val="231F20"/>
          <w:w w:val="105"/>
        </w:rPr>
        <w:t>su</w:t>
      </w:r>
      <w:r>
        <w:rPr>
          <w:color w:val="231F20"/>
          <w:spacing w:val="-20"/>
          <w:w w:val="105"/>
        </w:rPr>
        <w:t> </w:t>
      </w:r>
      <w:r>
        <w:rPr>
          <w:color w:val="231F20"/>
          <w:w w:val="105"/>
        </w:rPr>
        <w:t>edad,</w:t>
      </w:r>
      <w:r>
        <w:rPr>
          <w:color w:val="231F20"/>
          <w:spacing w:val="-25"/>
          <w:w w:val="105"/>
        </w:rPr>
        <w:t> </w:t>
      </w:r>
      <w:r>
        <w:rPr>
          <w:color w:val="231F20"/>
          <w:w w:val="105"/>
        </w:rPr>
        <w:t>nacionalidad</w:t>
      </w:r>
      <w:r>
        <w:rPr>
          <w:color w:val="231F20"/>
          <w:spacing w:val="-20"/>
          <w:w w:val="105"/>
        </w:rPr>
        <w:t> </w:t>
      </w:r>
      <w:r>
        <w:rPr>
          <w:color w:val="231F20"/>
          <w:w w:val="105"/>
        </w:rPr>
        <w:t>o</w:t>
      </w:r>
      <w:r>
        <w:rPr>
          <w:color w:val="231F20"/>
          <w:spacing w:val="-20"/>
          <w:w w:val="105"/>
        </w:rPr>
        <w:t> </w:t>
      </w:r>
      <w:r>
        <w:rPr>
          <w:color w:val="231F20"/>
          <w:w w:val="105"/>
        </w:rPr>
        <w:t>estatus,</w:t>
      </w:r>
      <w:r>
        <w:rPr>
          <w:color w:val="231F20"/>
          <w:spacing w:val="-25"/>
          <w:w w:val="105"/>
        </w:rPr>
        <w:t> </w:t>
      </w:r>
      <w:r>
        <w:rPr>
          <w:color w:val="231F20"/>
          <w:w w:val="105"/>
        </w:rPr>
        <w:t>no</w:t>
      </w:r>
      <w:r>
        <w:rPr>
          <w:color w:val="231F20"/>
          <w:spacing w:val="-20"/>
          <w:w w:val="105"/>
        </w:rPr>
        <w:t> </w:t>
      </w:r>
      <w:r>
        <w:rPr>
          <w:color w:val="231F20"/>
          <w:w w:val="105"/>
        </w:rPr>
        <w:t>son</w:t>
      </w:r>
      <w:r>
        <w:rPr>
          <w:color w:val="231F20"/>
          <w:spacing w:val="-20"/>
          <w:w w:val="105"/>
        </w:rPr>
        <w:t> </w:t>
      </w:r>
      <w:r>
        <w:rPr>
          <w:color w:val="231F20"/>
          <w:w w:val="105"/>
        </w:rPr>
        <w:t>una prerrogativa</w:t>
      </w:r>
      <w:r>
        <w:rPr>
          <w:color w:val="231F20"/>
          <w:spacing w:val="-8"/>
          <w:w w:val="105"/>
        </w:rPr>
        <w:t> </w:t>
      </w:r>
      <w:r>
        <w:rPr>
          <w:color w:val="231F20"/>
          <w:w w:val="105"/>
        </w:rPr>
        <w:t>de</w:t>
      </w:r>
      <w:r>
        <w:rPr>
          <w:color w:val="231F20"/>
          <w:spacing w:val="-8"/>
          <w:w w:val="105"/>
        </w:rPr>
        <w:t> </w:t>
      </w:r>
      <w:r>
        <w:rPr>
          <w:color w:val="231F20"/>
          <w:w w:val="105"/>
        </w:rPr>
        <w:t>quien</w:t>
      </w:r>
      <w:r>
        <w:rPr>
          <w:color w:val="231F20"/>
          <w:spacing w:val="-8"/>
          <w:w w:val="105"/>
        </w:rPr>
        <w:t> </w:t>
      </w:r>
      <w:r>
        <w:rPr>
          <w:color w:val="231F20"/>
          <w:w w:val="105"/>
        </w:rPr>
        <w:t>tiene</w:t>
      </w:r>
      <w:r>
        <w:rPr>
          <w:color w:val="231F20"/>
          <w:spacing w:val="-8"/>
          <w:w w:val="105"/>
        </w:rPr>
        <w:t> </w:t>
      </w:r>
      <w:r>
        <w:rPr>
          <w:color w:val="231F20"/>
          <w:w w:val="105"/>
        </w:rPr>
        <w:t>la</w:t>
      </w:r>
      <w:r>
        <w:rPr>
          <w:color w:val="231F20"/>
          <w:spacing w:val="-8"/>
          <w:w w:val="105"/>
        </w:rPr>
        <w:t> </w:t>
      </w:r>
      <w:r>
        <w:rPr>
          <w:color w:val="231F20"/>
          <w:w w:val="105"/>
        </w:rPr>
        <w:t>fortuna</w:t>
      </w:r>
      <w:r>
        <w:rPr>
          <w:color w:val="231F20"/>
          <w:spacing w:val="-8"/>
          <w:w w:val="105"/>
        </w:rPr>
        <w:t> </w:t>
      </w:r>
      <w:r>
        <w:rPr>
          <w:color w:val="231F20"/>
          <w:w w:val="105"/>
        </w:rPr>
        <w:t>de</w:t>
      </w:r>
      <w:r>
        <w:rPr>
          <w:color w:val="231F20"/>
          <w:spacing w:val="-8"/>
          <w:w w:val="105"/>
        </w:rPr>
        <w:t> </w:t>
      </w:r>
      <w:r>
        <w:rPr>
          <w:color w:val="231F20"/>
          <w:w w:val="105"/>
        </w:rPr>
        <w:t>vivir</w:t>
      </w:r>
      <w:r>
        <w:rPr>
          <w:color w:val="231F20"/>
          <w:spacing w:val="-8"/>
          <w:w w:val="105"/>
        </w:rPr>
        <w:t> </w:t>
      </w:r>
      <w:r>
        <w:rPr>
          <w:color w:val="231F20"/>
          <w:w w:val="105"/>
        </w:rPr>
        <w:t>en</w:t>
      </w:r>
      <w:r>
        <w:rPr>
          <w:color w:val="231F20"/>
          <w:spacing w:val="-8"/>
          <w:w w:val="105"/>
        </w:rPr>
        <w:t> </w:t>
      </w:r>
      <w:r>
        <w:rPr>
          <w:color w:val="231F20"/>
          <w:w w:val="105"/>
        </w:rPr>
        <w:t>un</w:t>
      </w:r>
      <w:r>
        <w:rPr>
          <w:color w:val="231F20"/>
          <w:spacing w:val="-8"/>
          <w:w w:val="105"/>
        </w:rPr>
        <w:t> </w:t>
      </w:r>
      <w:r>
        <w:rPr>
          <w:color w:val="231F20"/>
          <w:w w:val="105"/>
        </w:rPr>
        <w:t>estado</w:t>
      </w:r>
      <w:r>
        <w:rPr>
          <w:color w:val="231F20"/>
          <w:spacing w:val="-8"/>
          <w:w w:val="105"/>
        </w:rPr>
        <w:t> </w:t>
      </w:r>
      <w:r>
        <w:rPr>
          <w:color w:val="231F20"/>
          <w:w w:val="105"/>
        </w:rPr>
        <w:t>de</w:t>
      </w:r>
      <w:r>
        <w:rPr>
          <w:color w:val="231F20"/>
          <w:spacing w:val="-8"/>
          <w:w w:val="105"/>
        </w:rPr>
        <w:t> </w:t>
      </w:r>
      <w:r>
        <w:rPr>
          <w:color w:val="231F20"/>
          <w:w w:val="105"/>
        </w:rPr>
        <w:t>bienestar, sino de todo hombre y mujer por el mero hecho de serlo. Subrayar</w:t>
      </w:r>
      <w:r>
        <w:rPr>
          <w:color w:val="231F20"/>
          <w:spacing w:val="-30"/>
          <w:w w:val="105"/>
        </w:rPr>
        <w:t> </w:t>
      </w:r>
      <w:r>
        <w:rPr>
          <w:color w:val="231F20"/>
          <w:w w:val="105"/>
        </w:rPr>
        <w:t>esta</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7000" from="15pt,-71.68644pt" to="0pt,-71.68644pt" stroked="true" strokeweight=".25pt" strokecolor="#000000">
            <w10:wrap type="none"/>
          </v:line>
        </w:pict>
      </w:r>
      <w:r>
        <w:rPr/>
        <w:pict>
          <v:line style="position:absolute;mso-position-horizontal-relative:page;mso-position-vertical-relative:paragraph;z-index:7024" from="508.890015pt,-71.68644pt" to="523.890015pt,-71.68644pt" stroked="true" strokeweight=".25pt" strokecolor="#000000">
            <w10:wrap type="none"/>
          </v:line>
        </w:pict>
      </w:r>
      <w:r>
        <w:rPr>
          <w:color w:val="231F20"/>
        </w:rPr>
        <w:t>circunstancia cobra mayor importancia en los casos en que, por diversos motivos, su disfrute pueda verse mermado, ya que es obligación de to- dos, y en especial de las autoridades, velar porque sean   respetados.</w:t>
      </w:r>
    </w:p>
    <w:p>
      <w:pPr>
        <w:pStyle w:val="BodyText"/>
        <w:spacing w:line="261" w:lineRule="auto" w:before="1"/>
        <w:ind w:left="1723" w:right="1828" w:firstLine="567"/>
        <w:jc w:val="both"/>
      </w:pPr>
      <w:r>
        <w:rPr>
          <w:color w:val="231F20"/>
          <w:spacing w:val="-5"/>
          <w:w w:val="105"/>
        </w:rPr>
        <w:t>Por </w:t>
      </w:r>
      <w:r>
        <w:rPr>
          <w:color w:val="231F20"/>
          <w:w w:val="105"/>
        </w:rPr>
        <w:t>ello, estos derechos han de entenderse como el conjunto de prerrogativas indispensables que el ser humano tiene por el simple hecho de serlo, pues derivan de su dignidad y se precisan para lograr su pleno desarrollo. Son susceptibles de reclamarse frente a todas las demás personas </w:t>
      </w:r>
      <w:r>
        <w:rPr>
          <w:color w:val="231F20"/>
          <w:spacing w:val="-4"/>
          <w:w w:val="105"/>
        </w:rPr>
        <w:t>y, </w:t>
      </w:r>
      <w:r>
        <w:rPr>
          <w:color w:val="231F20"/>
          <w:w w:val="105"/>
        </w:rPr>
        <w:t>de forma especial, frente al Estado y sus agentes, de conformidad con el orden jurídico y social imperante. Los derechos humanos son, además, el límite que la autoridad tiene para actuar o no actuar. En virtud de que los derechos humanos derivan de la dignidad y del mero hecho de ser persona de cada hombre y mujer, estos son por fuerza necesarios, generales, imprescriptibles, intransferibles, per- manentes</w:t>
      </w:r>
      <w:r>
        <w:rPr>
          <w:color w:val="231F20"/>
          <w:spacing w:val="-18"/>
          <w:w w:val="105"/>
        </w:rPr>
        <w:t> </w:t>
      </w:r>
      <w:r>
        <w:rPr>
          <w:color w:val="231F20"/>
          <w:w w:val="105"/>
        </w:rPr>
        <w:t>incondicionales</w:t>
      </w:r>
      <w:r>
        <w:rPr>
          <w:color w:val="231F20"/>
          <w:spacing w:val="-18"/>
          <w:w w:val="105"/>
        </w:rPr>
        <w:t> </w:t>
      </w:r>
      <w:r>
        <w:rPr>
          <w:color w:val="231F20"/>
          <w:w w:val="105"/>
        </w:rPr>
        <w:t>y</w:t>
      </w:r>
      <w:r>
        <w:rPr>
          <w:color w:val="231F20"/>
          <w:spacing w:val="-18"/>
          <w:w w:val="105"/>
        </w:rPr>
        <w:t> </w:t>
      </w:r>
      <w:r>
        <w:rPr>
          <w:color w:val="231F20"/>
          <w:w w:val="105"/>
        </w:rPr>
        <w:t>progresivos</w:t>
      </w:r>
      <w:r>
        <w:rPr>
          <w:color w:val="231F20"/>
          <w:spacing w:val="-18"/>
          <w:w w:val="105"/>
        </w:rPr>
        <w:t> </w:t>
      </w:r>
      <w:r>
        <w:rPr>
          <w:color w:val="231F20"/>
          <w:w w:val="105"/>
        </w:rPr>
        <w:t>(</w:t>
      </w:r>
      <w:r>
        <w:rPr>
          <w:color w:val="231F20"/>
          <w:w w:val="105"/>
          <w:sz w:val="17"/>
        </w:rPr>
        <w:t>CODHEM</w:t>
      </w:r>
      <w:r>
        <w:rPr>
          <w:color w:val="231F20"/>
          <w:w w:val="105"/>
        </w:rPr>
        <w:t>,</w:t>
      </w:r>
      <w:r>
        <w:rPr>
          <w:color w:val="231F20"/>
          <w:spacing w:val="-23"/>
          <w:w w:val="105"/>
        </w:rPr>
        <w:t> </w:t>
      </w:r>
      <w:r>
        <w:rPr>
          <w:color w:val="231F20"/>
          <w:w w:val="105"/>
        </w:rPr>
        <w:t>2010:</w:t>
      </w:r>
      <w:r>
        <w:rPr>
          <w:color w:val="231F20"/>
          <w:spacing w:val="-18"/>
          <w:w w:val="105"/>
        </w:rPr>
        <w:t> </w:t>
      </w:r>
      <w:r>
        <w:rPr>
          <w:color w:val="231F20"/>
          <w:w w:val="105"/>
        </w:rPr>
        <w:t>s.p.),</w:t>
      </w:r>
      <w:r>
        <w:rPr>
          <w:color w:val="231F20"/>
          <w:spacing w:val="-23"/>
          <w:w w:val="105"/>
        </w:rPr>
        <w:t> </w:t>
      </w:r>
      <w:r>
        <w:rPr>
          <w:color w:val="231F20"/>
          <w:w w:val="105"/>
        </w:rPr>
        <w:t>ya</w:t>
      </w:r>
      <w:r>
        <w:rPr>
          <w:color w:val="231F20"/>
          <w:spacing w:val="-18"/>
          <w:w w:val="105"/>
        </w:rPr>
        <w:t> </w:t>
      </w:r>
      <w:r>
        <w:rPr>
          <w:color w:val="231F20"/>
          <w:w w:val="105"/>
        </w:rPr>
        <w:t>que</w:t>
      </w:r>
      <w:r>
        <w:rPr>
          <w:color w:val="231F20"/>
          <w:spacing w:val="-18"/>
          <w:w w:val="105"/>
        </w:rPr>
        <w:t> </w:t>
      </w:r>
      <w:r>
        <w:rPr>
          <w:color w:val="231F20"/>
          <w:w w:val="105"/>
        </w:rPr>
        <w:t>no pueden negarse, eliminarse, renunciar a ellos, condicionarse, cambiar- se,</w:t>
      </w:r>
      <w:r>
        <w:rPr>
          <w:color w:val="231F20"/>
          <w:spacing w:val="-29"/>
          <w:w w:val="105"/>
        </w:rPr>
        <w:t> </w:t>
      </w:r>
      <w:r>
        <w:rPr>
          <w:color w:val="231F20"/>
          <w:w w:val="105"/>
        </w:rPr>
        <w:t>transferirse</w:t>
      </w:r>
      <w:r>
        <w:rPr>
          <w:color w:val="231F20"/>
          <w:spacing w:val="-25"/>
          <w:w w:val="105"/>
        </w:rPr>
        <w:t> </w:t>
      </w:r>
      <w:r>
        <w:rPr>
          <w:color w:val="231F20"/>
          <w:w w:val="105"/>
        </w:rPr>
        <w:t>o</w:t>
      </w:r>
      <w:r>
        <w:rPr>
          <w:color w:val="231F20"/>
          <w:spacing w:val="-25"/>
          <w:w w:val="105"/>
        </w:rPr>
        <w:t> </w:t>
      </w:r>
      <w:r>
        <w:rPr>
          <w:color w:val="231F20"/>
          <w:w w:val="105"/>
        </w:rPr>
        <w:t>reducirse.</w:t>
      </w:r>
    </w:p>
    <w:p>
      <w:pPr>
        <w:pStyle w:val="BodyText"/>
        <w:spacing w:line="261" w:lineRule="auto" w:before="1"/>
        <w:ind w:left="1723" w:right="1828" w:firstLine="567"/>
        <w:jc w:val="both"/>
      </w:pPr>
      <w:r>
        <w:rPr>
          <w:color w:val="231F20"/>
        </w:rPr>
        <w:t>En este sentido, resulta preocupante que existan dudas sobre los derechos humanos de los migrantes irregulares. Ricardo Vilchis Orozco, visitador general de Supervisión Penitenciaria de la Comisión de Dere- chos Humanos del Estado de México (</w:t>
      </w:r>
      <w:r>
        <w:rPr>
          <w:color w:val="231F20"/>
          <w:sz w:val="17"/>
        </w:rPr>
        <w:t>CODHEM</w:t>
      </w:r>
      <w:r>
        <w:rPr>
          <w:color w:val="231F20"/>
        </w:rPr>
        <w:t>), señala un hecho que es obvio, pero que a menudo se   olvida:</w:t>
      </w:r>
    </w:p>
    <w:p>
      <w:pPr>
        <w:pStyle w:val="BodyText"/>
        <w:spacing w:before="7"/>
        <w:rPr>
          <w:sz w:val="18"/>
        </w:rPr>
      </w:pPr>
    </w:p>
    <w:p>
      <w:pPr>
        <w:spacing w:line="254" w:lineRule="auto" w:before="0"/>
        <w:ind w:left="2857" w:right="1835" w:firstLine="0"/>
        <w:jc w:val="both"/>
        <w:rPr>
          <w:sz w:val="18"/>
        </w:rPr>
      </w:pPr>
      <w:r>
        <w:rPr>
          <w:color w:val="231F20"/>
          <w:w w:val="105"/>
          <w:sz w:val="18"/>
        </w:rPr>
        <w:t>tienen exactamente los mismos derechos que tenemos todas las</w:t>
      </w:r>
      <w:r>
        <w:rPr>
          <w:color w:val="231F20"/>
          <w:spacing w:val="-25"/>
          <w:w w:val="105"/>
          <w:sz w:val="18"/>
        </w:rPr>
        <w:t> </w:t>
      </w:r>
      <w:r>
        <w:rPr>
          <w:color w:val="231F20"/>
          <w:w w:val="105"/>
          <w:sz w:val="18"/>
        </w:rPr>
        <w:t>per- sonas </w:t>
      </w:r>
      <w:r>
        <w:rPr>
          <w:color w:val="231F20"/>
          <w:w w:val="115"/>
          <w:sz w:val="18"/>
        </w:rPr>
        <w:t>[…] </w:t>
      </w:r>
      <w:r>
        <w:rPr>
          <w:color w:val="231F20"/>
          <w:w w:val="105"/>
          <w:sz w:val="18"/>
        </w:rPr>
        <w:t>en razón de la generalidad de su goce, a los cuales adicio- nalmente hay que considerar que hay derechos que se encuentran específicamente</w:t>
      </w:r>
      <w:r>
        <w:rPr>
          <w:color w:val="231F20"/>
          <w:spacing w:val="-19"/>
          <w:w w:val="105"/>
          <w:sz w:val="18"/>
        </w:rPr>
        <w:t> </w:t>
      </w:r>
      <w:r>
        <w:rPr>
          <w:color w:val="231F20"/>
          <w:w w:val="105"/>
          <w:sz w:val="18"/>
        </w:rPr>
        <w:t>reconocidos</w:t>
      </w:r>
      <w:r>
        <w:rPr>
          <w:color w:val="231F20"/>
          <w:spacing w:val="-19"/>
          <w:w w:val="105"/>
          <w:sz w:val="18"/>
        </w:rPr>
        <w:t> </w:t>
      </w:r>
      <w:r>
        <w:rPr>
          <w:color w:val="231F20"/>
          <w:w w:val="105"/>
          <w:sz w:val="18"/>
        </w:rPr>
        <w:t>en</w:t>
      </w:r>
      <w:r>
        <w:rPr>
          <w:color w:val="231F20"/>
          <w:spacing w:val="-19"/>
          <w:w w:val="105"/>
          <w:sz w:val="18"/>
        </w:rPr>
        <w:t> </w:t>
      </w:r>
      <w:r>
        <w:rPr>
          <w:color w:val="231F20"/>
          <w:w w:val="105"/>
          <w:sz w:val="18"/>
        </w:rPr>
        <w:t>instrumentos</w:t>
      </w:r>
      <w:r>
        <w:rPr>
          <w:color w:val="231F20"/>
          <w:spacing w:val="-19"/>
          <w:w w:val="105"/>
          <w:sz w:val="18"/>
        </w:rPr>
        <w:t> </w:t>
      </w:r>
      <w:r>
        <w:rPr>
          <w:color w:val="231F20"/>
          <w:w w:val="105"/>
          <w:sz w:val="18"/>
        </w:rPr>
        <w:t>internacionales</w:t>
      </w:r>
      <w:r>
        <w:rPr>
          <w:color w:val="231F20"/>
          <w:spacing w:val="-19"/>
          <w:w w:val="105"/>
          <w:sz w:val="18"/>
        </w:rPr>
        <w:t> </w:t>
      </w:r>
      <w:r>
        <w:rPr>
          <w:color w:val="231F20"/>
          <w:w w:val="105"/>
          <w:sz w:val="18"/>
        </w:rPr>
        <w:t>tanto</w:t>
      </w:r>
      <w:r>
        <w:rPr>
          <w:color w:val="231F20"/>
          <w:spacing w:val="-19"/>
          <w:w w:val="105"/>
          <w:sz w:val="18"/>
        </w:rPr>
        <w:t> </w:t>
      </w:r>
      <w:r>
        <w:rPr>
          <w:color w:val="231F20"/>
          <w:w w:val="105"/>
          <w:sz w:val="18"/>
        </w:rPr>
        <w:t>de índole</w:t>
      </w:r>
      <w:r>
        <w:rPr>
          <w:color w:val="231F20"/>
          <w:spacing w:val="-14"/>
          <w:w w:val="105"/>
          <w:sz w:val="18"/>
        </w:rPr>
        <w:t> </w:t>
      </w:r>
      <w:r>
        <w:rPr>
          <w:color w:val="231F20"/>
          <w:w w:val="105"/>
          <w:sz w:val="18"/>
        </w:rPr>
        <w:t>declarativo</w:t>
      </w:r>
      <w:r>
        <w:rPr>
          <w:color w:val="231F20"/>
          <w:spacing w:val="-14"/>
          <w:w w:val="105"/>
          <w:sz w:val="18"/>
        </w:rPr>
        <w:t> </w:t>
      </w:r>
      <w:r>
        <w:rPr>
          <w:color w:val="231F20"/>
          <w:w w:val="105"/>
          <w:sz w:val="18"/>
        </w:rPr>
        <w:t>como</w:t>
      </w:r>
      <w:r>
        <w:rPr>
          <w:color w:val="231F20"/>
          <w:spacing w:val="-14"/>
          <w:w w:val="105"/>
          <w:sz w:val="18"/>
        </w:rPr>
        <w:t> </w:t>
      </w:r>
      <w:r>
        <w:rPr>
          <w:color w:val="231F20"/>
          <w:w w:val="105"/>
          <w:sz w:val="18"/>
        </w:rPr>
        <w:t>convencional</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los</w:t>
      </w:r>
      <w:r>
        <w:rPr>
          <w:color w:val="231F20"/>
          <w:spacing w:val="-14"/>
          <w:w w:val="105"/>
          <w:sz w:val="18"/>
        </w:rPr>
        <w:t> </w:t>
      </w:r>
      <w:r>
        <w:rPr>
          <w:color w:val="231F20"/>
          <w:w w:val="105"/>
          <w:sz w:val="18"/>
        </w:rPr>
        <w:t>Sistemas</w:t>
      </w:r>
      <w:r>
        <w:rPr>
          <w:color w:val="231F20"/>
          <w:spacing w:val="-14"/>
          <w:w w:val="105"/>
          <w:sz w:val="18"/>
        </w:rPr>
        <w:t> </w:t>
      </w:r>
      <w:r>
        <w:rPr>
          <w:color w:val="231F20"/>
          <w:w w:val="115"/>
          <w:sz w:val="18"/>
        </w:rPr>
        <w:t>[…]</w:t>
      </w:r>
      <w:r>
        <w:rPr>
          <w:color w:val="231F20"/>
          <w:spacing w:val="-18"/>
          <w:w w:val="115"/>
          <w:sz w:val="18"/>
        </w:rPr>
        <w:t> </w:t>
      </w:r>
      <w:r>
        <w:rPr>
          <w:color w:val="231F20"/>
          <w:w w:val="105"/>
          <w:sz w:val="18"/>
        </w:rPr>
        <w:t>Universal</w:t>
      </w:r>
      <w:r>
        <w:rPr>
          <w:color w:val="231F20"/>
          <w:spacing w:val="-14"/>
          <w:w w:val="105"/>
          <w:sz w:val="18"/>
        </w:rPr>
        <w:t> </w:t>
      </w:r>
      <w:r>
        <w:rPr>
          <w:color w:val="231F20"/>
          <w:w w:val="105"/>
          <w:sz w:val="18"/>
        </w:rPr>
        <w:t>[y] Regional</w:t>
      </w:r>
      <w:r>
        <w:rPr>
          <w:color w:val="231F20"/>
          <w:spacing w:val="-20"/>
          <w:w w:val="105"/>
          <w:sz w:val="18"/>
        </w:rPr>
        <w:t> </w:t>
      </w:r>
      <w:r>
        <w:rPr>
          <w:color w:val="231F20"/>
          <w:w w:val="105"/>
          <w:sz w:val="18"/>
        </w:rPr>
        <w:t>Americano</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Derechos</w:t>
      </w:r>
      <w:r>
        <w:rPr>
          <w:color w:val="231F20"/>
          <w:spacing w:val="-17"/>
          <w:w w:val="105"/>
          <w:sz w:val="18"/>
        </w:rPr>
        <w:t> </w:t>
      </w:r>
      <w:r>
        <w:rPr>
          <w:color w:val="231F20"/>
          <w:w w:val="105"/>
          <w:sz w:val="18"/>
        </w:rPr>
        <w:t>Humanos[…]</w:t>
      </w:r>
      <w:r>
        <w:rPr>
          <w:color w:val="231F20"/>
          <w:spacing w:val="-17"/>
          <w:w w:val="105"/>
          <w:sz w:val="18"/>
        </w:rPr>
        <w:t> </w:t>
      </w:r>
      <w:r>
        <w:rPr>
          <w:color w:val="231F20"/>
          <w:w w:val="105"/>
          <w:sz w:val="18"/>
        </w:rPr>
        <w:t>(Vilchis,</w:t>
      </w:r>
      <w:r>
        <w:rPr>
          <w:color w:val="231F20"/>
          <w:spacing w:val="-22"/>
          <w:w w:val="105"/>
          <w:sz w:val="18"/>
        </w:rPr>
        <w:t> </w:t>
      </w:r>
      <w:r>
        <w:rPr>
          <w:color w:val="231F20"/>
          <w:w w:val="105"/>
          <w:sz w:val="18"/>
        </w:rPr>
        <w:t>2015:</w:t>
      </w:r>
      <w:r>
        <w:rPr>
          <w:color w:val="231F20"/>
          <w:spacing w:val="-17"/>
          <w:w w:val="105"/>
          <w:sz w:val="18"/>
        </w:rPr>
        <w:t> </w:t>
      </w:r>
      <w:r>
        <w:rPr>
          <w:color w:val="231F20"/>
          <w:w w:val="105"/>
          <w:sz w:val="18"/>
        </w:rPr>
        <w:t>s.p.).</w:t>
      </w:r>
    </w:p>
    <w:p>
      <w:pPr>
        <w:pStyle w:val="BodyText"/>
        <w:spacing w:before="5"/>
      </w:pPr>
    </w:p>
    <w:p>
      <w:pPr>
        <w:spacing w:line="261" w:lineRule="auto" w:before="0"/>
        <w:ind w:left="1723" w:right="1829" w:firstLine="0"/>
        <w:jc w:val="both"/>
        <w:rPr>
          <w:sz w:val="21"/>
        </w:rPr>
      </w:pPr>
      <w:r>
        <w:rPr>
          <w:color w:val="231F20"/>
          <w:w w:val="105"/>
          <w:sz w:val="21"/>
        </w:rPr>
        <w:t>Los</w:t>
      </w:r>
      <w:r>
        <w:rPr>
          <w:color w:val="231F20"/>
          <w:spacing w:val="-8"/>
          <w:w w:val="105"/>
          <w:sz w:val="21"/>
        </w:rPr>
        <w:t> </w:t>
      </w:r>
      <w:r>
        <w:rPr>
          <w:color w:val="231F20"/>
          <w:w w:val="105"/>
          <w:sz w:val="21"/>
        </w:rPr>
        <w:t>derechos</w:t>
      </w:r>
      <w:r>
        <w:rPr>
          <w:color w:val="231F20"/>
          <w:spacing w:val="-8"/>
          <w:w w:val="105"/>
          <w:sz w:val="21"/>
        </w:rPr>
        <w:t> </w:t>
      </w:r>
      <w:r>
        <w:rPr>
          <w:color w:val="231F20"/>
          <w:w w:val="105"/>
          <w:sz w:val="21"/>
        </w:rPr>
        <w:t>humanos</w:t>
      </w:r>
      <w:r>
        <w:rPr>
          <w:color w:val="231F20"/>
          <w:spacing w:val="-8"/>
          <w:w w:val="105"/>
          <w:sz w:val="21"/>
        </w:rPr>
        <w:t> </w:t>
      </w:r>
      <w:r>
        <w:rPr>
          <w:color w:val="231F20"/>
          <w:w w:val="105"/>
          <w:sz w:val="21"/>
        </w:rPr>
        <w:t>no</w:t>
      </w:r>
      <w:r>
        <w:rPr>
          <w:color w:val="231F20"/>
          <w:spacing w:val="-8"/>
          <w:w w:val="105"/>
          <w:sz w:val="21"/>
        </w:rPr>
        <w:t> </w:t>
      </w:r>
      <w:r>
        <w:rPr>
          <w:color w:val="231F20"/>
          <w:w w:val="105"/>
          <w:sz w:val="21"/>
        </w:rPr>
        <w:t>derivan</w:t>
      </w:r>
      <w:r>
        <w:rPr>
          <w:color w:val="231F20"/>
          <w:spacing w:val="-8"/>
          <w:w w:val="105"/>
          <w:sz w:val="21"/>
        </w:rPr>
        <w:t> </w:t>
      </w:r>
      <w:r>
        <w:rPr>
          <w:color w:val="231F20"/>
          <w:w w:val="105"/>
          <w:sz w:val="21"/>
        </w:rPr>
        <w:t>de</w:t>
      </w:r>
      <w:r>
        <w:rPr>
          <w:color w:val="231F20"/>
          <w:spacing w:val="-8"/>
          <w:w w:val="105"/>
          <w:sz w:val="21"/>
        </w:rPr>
        <w:t> </w:t>
      </w:r>
      <w:r>
        <w:rPr>
          <w:color w:val="231F20"/>
          <w:w w:val="105"/>
          <w:sz w:val="21"/>
        </w:rPr>
        <w:t>las</w:t>
      </w:r>
      <w:r>
        <w:rPr>
          <w:color w:val="231F20"/>
          <w:spacing w:val="-8"/>
          <w:w w:val="105"/>
          <w:sz w:val="21"/>
        </w:rPr>
        <w:t> </w:t>
      </w:r>
      <w:r>
        <w:rPr>
          <w:color w:val="231F20"/>
          <w:w w:val="105"/>
          <w:sz w:val="21"/>
        </w:rPr>
        <w:t>legislaciones</w:t>
      </w:r>
      <w:r>
        <w:rPr>
          <w:color w:val="231F20"/>
          <w:spacing w:val="-8"/>
          <w:w w:val="105"/>
          <w:sz w:val="21"/>
        </w:rPr>
        <w:t> </w:t>
      </w:r>
      <w:r>
        <w:rPr>
          <w:color w:val="231F20"/>
          <w:w w:val="105"/>
          <w:sz w:val="21"/>
        </w:rPr>
        <w:t>de</w:t>
      </w:r>
      <w:r>
        <w:rPr>
          <w:color w:val="231F20"/>
          <w:spacing w:val="-8"/>
          <w:w w:val="105"/>
          <w:sz w:val="21"/>
        </w:rPr>
        <w:t> </w:t>
      </w:r>
      <w:r>
        <w:rPr>
          <w:color w:val="231F20"/>
          <w:w w:val="105"/>
          <w:sz w:val="21"/>
        </w:rPr>
        <w:t>los</w:t>
      </w:r>
      <w:r>
        <w:rPr>
          <w:color w:val="231F20"/>
          <w:spacing w:val="-8"/>
          <w:w w:val="105"/>
          <w:sz w:val="21"/>
        </w:rPr>
        <w:t> </w:t>
      </w:r>
      <w:r>
        <w:rPr>
          <w:color w:val="231F20"/>
          <w:w w:val="105"/>
          <w:sz w:val="21"/>
        </w:rPr>
        <w:t>países</w:t>
      </w:r>
      <w:r>
        <w:rPr>
          <w:color w:val="231F20"/>
          <w:spacing w:val="-8"/>
          <w:w w:val="105"/>
          <w:sz w:val="21"/>
        </w:rPr>
        <w:t> </w:t>
      </w:r>
      <w:r>
        <w:rPr>
          <w:color w:val="231F20"/>
          <w:w w:val="105"/>
          <w:sz w:val="21"/>
        </w:rPr>
        <w:t>en tránsito</w:t>
      </w:r>
      <w:r>
        <w:rPr>
          <w:color w:val="231F20"/>
          <w:spacing w:val="-5"/>
          <w:w w:val="105"/>
          <w:sz w:val="21"/>
        </w:rPr>
        <w:t> </w:t>
      </w:r>
      <w:r>
        <w:rPr>
          <w:color w:val="231F20"/>
          <w:w w:val="105"/>
          <w:sz w:val="21"/>
        </w:rPr>
        <w:t>o</w:t>
      </w:r>
      <w:r>
        <w:rPr>
          <w:color w:val="231F20"/>
          <w:spacing w:val="-5"/>
          <w:w w:val="105"/>
          <w:sz w:val="21"/>
        </w:rPr>
        <w:t> </w:t>
      </w:r>
      <w:r>
        <w:rPr>
          <w:color w:val="231F20"/>
          <w:w w:val="105"/>
          <w:sz w:val="21"/>
        </w:rPr>
        <w:t>destino,</w:t>
      </w:r>
      <w:r>
        <w:rPr>
          <w:color w:val="231F20"/>
          <w:spacing w:val="-11"/>
          <w:w w:val="105"/>
          <w:sz w:val="21"/>
        </w:rPr>
        <w:t> </w:t>
      </w:r>
      <w:r>
        <w:rPr>
          <w:color w:val="231F20"/>
          <w:w w:val="105"/>
          <w:sz w:val="21"/>
        </w:rPr>
        <w:t>sino</w:t>
      </w:r>
      <w:r>
        <w:rPr>
          <w:color w:val="231F20"/>
          <w:spacing w:val="-5"/>
          <w:w w:val="105"/>
          <w:sz w:val="21"/>
        </w:rPr>
        <w:t> </w:t>
      </w:r>
      <w:r>
        <w:rPr>
          <w:color w:val="231F20"/>
          <w:w w:val="105"/>
          <w:sz w:val="21"/>
        </w:rPr>
        <w:t>de</w:t>
      </w:r>
      <w:r>
        <w:rPr>
          <w:color w:val="231F20"/>
          <w:spacing w:val="-5"/>
          <w:w w:val="105"/>
          <w:sz w:val="21"/>
        </w:rPr>
        <w:t> </w:t>
      </w:r>
      <w:r>
        <w:rPr>
          <w:color w:val="231F20"/>
          <w:w w:val="105"/>
          <w:sz w:val="21"/>
        </w:rPr>
        <w:t>la</w:t>
      </w:r>
      <w:r>
        <w:rPr>
          <w:color w:val="231F20"/>
          <w:spacing w:val="-5"/>
          <w:w w:val="105"/>
          <w:sz w:val="21"/>
        </w:rPr>
        <w:t> </w:t>
      </w:r>
      <w:r>
        <w:rPr>
          <w:color w:val="231F20"/>
          <w:w w:val="105"/>
          <w:sz w:val="21"/>
        </w:rPr>
        <w:t>calidad</w:t>
      </w:r>
      <w:r>
        <w:rPr>
          <w:color w:val="231F20"/>
          <w:spacing w:val="-5"/>
          <w:w w:val="105"/>
          <w:sz w:val="21"/>
        </w:rPr>
        <w:t> </w:t>
      </w:r>
      <w:r>
        <w:rPr>
          <w:color w:val="231F20"/>
          <w:w w:val="105"/>
          <w:sz w:val="21"/>
        </w:rPr>
        <w:t>de</w:t>
      </w:r>
      <w:r>
        <w:rPr>
          <w:color w:val="231F20"/>
          <w:spacing w:val="-5"/>
          <w:w w:val="105"/>
          <w:sz w:val="21"/>
        </w:rPr>
        <w:t> </w:t>
      </w:r>
      <w:r>
        <w:rPr>
          <w:color w:val="231F20"/>
          <w:w w:val="105"/>
          <w:sz w:val="21"/>
        </w:rPr>
        <w:t>persona.</w:t>
      </w:r>
      <w:r>
        <w:rPr>
          <w:color w:val="231F20"/>
          <w:spacing w:val="-15"/>
          <w:w w:val="105"/>
          <w:sz w:val="21"/>
        </w:rPr>
        <w:t> </w:t>
      </w:r>
      <w:r>
        <w:rPr>
          <w:color w:val="231F20"/>
          <w:w w:val="105"/>
          <w:sz w:val="21"/>
        </w:rPr>
        <w:t>Al</w:t>
      </w:r>
      <w:r>
        <w:rPr>
          <w:color w:val="231F20"/>
          <w:spacing w:val="-5"/>
          <w:w w:val="105"/>
          <w:sz w:val="21"/>
        </w:rPr>
        <w:t> </w:t>
      </w:r>
      <w:r>
        <w:rPr>
          <w:color w:val="231F20"/>
          <w:w w:val="105"/>
          <w:sz w:val="21"/>
        </w:rPr>
        <w:t>respecto,</w:t>
      </w:r>
      <w:r>
        <w:rPr>
          <w:color w:val="231F20"/>
          <w:spacing w:val="-11"/>
          <w:w w:val="105"/>
          <w:sz w:val="21"/>
        </w:rPr>
        <w:t> </w:t>
      </w:r>
      <w:r>
        <w:rPr>
          <w:color w:val="231F20"/>
          <w:w w:val="105"/>
          <w:sz w:val="21"/>
        </w:rPr>
        <w:t>la</w:t>
      </w:r>
      <w:r>
        <w:rPr>
          <w:color w:val="231F20"/>
          <w:spacing w:val="-5"/>
          <w:w w:val="105"/>
          <w:sz w:val="21"/>
        </w:rPr>
        <w:t> </w:t>
      </w:r>
      <w:r>
        <w:rPr>
          <w:color w:val="231F20"/>
          <w:w w:val="105"/>
          <w:sz w:val="21"/>
        </w:rPr>
        <w:t>Opinión Consultiva</w:t>
      </w:r>
      <w:r>
        <w:rPr>
          <w:color w:val="231F20"/>
          <w:spacing w:val="-28"/>
          <w:w w:val="105"/>
          <w:sz w:val="21"/>
        </w:rPr>
        <w:t> </w:t>
      </w:r>
      <w:r>
        <w:rPr>
          <w:color w:val="231F20"/>
          <w:w w:val="105"/>
          <w:sz w:val="21"/>
        </w:rPr>
        <w:t>OC-18/03</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la</w:t>
      </w:r>
      <w:r>
        <w:rPr>
          <w:color w:val="231F20"/>
          <w:spacing w:val="-28"/>
          <w:w w:val="105"/>
          <w:sz w:val="21"/>
        </w:rPr>
        <w:t> </w:t>
      </w:r>
      <w:r>
        <w:rPr>
          <w:color w:val="231F20"/>
          <w:w w:val="105"/>
          <w:sz w:val="21"/>
        </w:rPr>
        <w:t>Corte</w:t>
      </w:r>
      <w:r>
        <w:rPr>
          <w:color w:val="231F20"/>
          <w:spacing w:val="-28"/>
          <w:w w:val="105"/>
          <w:sz w:val="21"/>
        </w:rPr>
        <w:t> </w:t>
      </w:r>
      <w:r>
        <w:rPr>
          <w:color w:val="231F20"/>
          <w:w w:val="105"/>
          <w:sz w:val="21"/>
        </w:rPr>
        <w:t>Iberoamericana</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Derechos</w:t>
      </w:r>
      <w:r>
        <w:rPr>
          <w:color w:val="231F20"/>
          <w:spacing w:val="-28"/>
          <w:w w:val="105"/>
          <w:sz w:val="21"/>
        </w:rPr>
        <w:t> </w:t>
      </w:r>
      <w:r>
        <w:rPr>
          <w:color w:val="231F20"/>
          <w:w w:val="105"/>
          <w:sz w:val="21"/>
        </w:rPr>
        <w:t>Humanos, denominada</w:t>
      </w:r>
      <w:r>
        <w:rPr>
          <w:color w:val="231F20"/>
          <w:spacing w:val="-21"/>
          <w:w w:val="105"/>
          <w:sz w:val="21"/>
        </w:rPr>
        <w:t> </w:t>
      </w:r>
      <w:r>
        <w:rPr>
          <w:rFonts w:ascii="Arial" w:hAnsi="Arial"/>
          <w:i/>
          <w:color w:val="231F20"/>
          <w:w w:val="105"/>
          <w:sz w:val="21"/>
        </w:rPr>
        <w:t>Condición</w:t>
      </w:r>
      <w:r>
        <w:rPr>
          <w:rFonts w:ascii="Arial" w:hAnsi="Arial"/>
          <w:i/>
          <w:color w:val="231F20"/>
          <w:spacing w:val="-24"/>
          <w:w w:val="105"/>
          <w:sz w:val="21"/>
        </w:rPr>
        <w:t> </w:t>
      </w:r>
      <w:r>
        <w:rPr>
          <w:rFonts w:ascii="Arial" w:hAnsi="Arial"/>
          <w:i/>
          <w:color w:val="231F20"/>
          <w:w w:val="105"/>
          <w:sz w:val="21"/>
        </w:rPr>
        <w:t>jurídica</w:t>
      </w:r>
      <w:r>
        <w:rPr>
          <w:rFonts w:ascii="Arial" w:hAnsi="Arial"/>
          <w:i/>
          <w:color w:val="231F20"/>
          <w:spacing w:val="-24"/>
          <w:w w:val="105"/>
          <w:sz w:val="21"/>
        </w:rPr>
        <w:t> </w:t>
      </w:r>
      <w:r>
        <w:rPr>
          <w:rFonts w:ascii="Arial" w:hAnsi="Arial"/>
          <w:i/>
          <w:color w:val="231F20"/>
          <w:w w:val="105"/>
          <w:sz w:val="21"/>
        </w:rPr>
        <w:t>y</w:t>
      </w:r>
      <w:r>
        <w:rPr>
          <w:rFonts w:ascii="Arial" w:hAnsi="Arial"/>
          <w:i/>
          <w:color w:val="231F20"/>
          <w:spacing w:val="-24"/>
          <w:w w:val="105"/>
          <w:sz w:val="21"/>
        </w:rPr>
        <w:t> </w:t>
      </w:r>
      <w:r>
        <w:rPr>
          <w:rFonts w:ascii="Arial" w:hAnsi="Arial"/>
          <w:i/>
          <w:color w:val="231F20"/>
          <w:w w:val="105"/>
          <w:sz w:val="21"/>
        </w:rPr>
        <w:t>derechos</w:t>
      </w:r>
      <w:r>
        <w:rPr>
          <w:rFonts w:ascii="Arial" w:hAnsi="Arial"/>
          <w:i/>
          <w:color w:val="231F20"/>
          <w:spacing w:val="-24"/>
          <w:w w:val="105"/>
          <w:sz w:val="21"/>
        </w:rPr>
        <w:t> </w:t>
      </w:r>
      <w:r>
        <w:rPr>
          <w:rFonts w:ascii="Arial" w:hAnsi="Arial"/>
          <w:i/>
          <w:color w:val="231F20"/>
          <w:w w:val="105"/>
          <w:sz w:val="21"/>
        </w:rPr>
        <w:t>humanos</w:t>
      </w:r>
      <w:r>
        <w:rPr>
          <w:rFonts w:ascii="Arial" w:hAnsi="Arial"/>
          <w:i/>
          <w:color w:val="231F20"/>
          <w:spacing w:val="-24"/>
          <w:w w:val="105"/>
          <w:sz w:val="21"/>
        </w:rPr>
        <w:t> </w:t>
      </w:r>
      <w:r>
        <w:rPr>
          <w:rFonts w:ascii="Arial" w:hAnsi="Arial"/>
          <w:i/>
          <w:color w:val="231F20"/>
          <w:w w:val="105"/>
          <w:sz w:val="21"/>
        </w:rPr>
        <w:t>de</w:t>
      </w:r>
      <w:r>
        <w:rPr>
          <w:rFonts w:ascii="Arial" w:hAnsi="Arial"/>
          <w:i/>
          <w:color w:val="231F20"/>
          <w:spacing w:val="-24"/>
          <w:w w:val="105"/>
          <w:sz w:val="21"/>
        </w:rPr>
        <w:t> </w:t>
      </w:r>
      <w:r>
        <w:rPr>
          <w:rFonts w:ascii="Arial" w:hAnsi="Arial"/>
          <w:i/>
          <w:color w:val="231F20"/>
          <w:w w:val="105"/>
          <w:sz w:val="21"/>
        </w:rPr>
        <w:t>los</w:t>
      </w:r>
      <w:r>
        <w:rPr>
          <w:rFonts w:ascii="Arial" w:hAnsi="Arial"/>
          <w:i/>
          <w:color w:val="231F20"/>
          <w:spacing w:val="-24"/>
          <w:w w:val="105"/>
          <w:sz w:val="21"/>
        </w:rPr>
        <w:t> </w:t>
      </w:r>
      <w:r>
        <w:rPr>
          <w:rFonts w:ascii="Arial" w:hAnsi="Arial"/>
          <w:i/>
          <w:color w:val="231F20"/>
          <w:w w:val="105"/>
          <w:sz w:val="21"/>
        </w:rPr>
        <w:t>migrantes</w:t>
      </w:r>
      <w:r>
        <w:rPr>
          <w:rFonts w:ascii="Arial" w:hAnsi="Arial"/>
          <w:i/>
          <w:color w:val="231F20"/>
          <w:spacing w:val="-24"/>
          <w:w w:val="105"/>
          <w:sz w:val="21"/>
        </w:rPr>
        <w:t> </w:t>
      </w:r>
      <w:r>
        <w:rPr>
          <w:rFonts w:ascii="Arial" w:hAnsi="Arial"/>
          <w:i/>
          <w:color w:val="231F20"/>
          <w:w w:val="105"/>
          <w:sz w:val="21"/>
        </w:rPr>
        <w:t>in- </w:t>
      </w:r>
      <w:r>
        <w:rPr>
          <w:rFonts w:ascii="Arial" w:hAnsi="Arial"/>
          <w:i/>
          <w:color w:val="231F20"/>
          <w:w w:val="105"/>
          <w:sz w:val="21"/>
        </w:rPr>
        <w:t>documentados</w:t>
      </w:r>
      <w:r>
        <w:rPr>
          <w:color w:val="231F20"/>
          <w:w w:val="105"/>
          <w:sz w:val="21"/>
        </w:rPr>
        <w:t>,</w:t>
      </w:r>
      <w:r>
        <w:rPr>
          <w:color w:val="231F20"/>
          <w:spacing w:val="-37"/>
          <w:w w:val="105"/>
          <w:sz w:val="21"/>
        </w:rPr>
        <w:t> </w:t>
      </w:r>
      <w:r>
        <w:rPr>
          <w:color w:val="231F20"/>
          <w:w w:val="105"/>
          <w:sz w:val="21"/>
        </w:rPr>
        <w:t>señala</w:t>
      </w:r>
      <w:r>
        <w:rPr>
          <w:color w:val="231F20"/>
          <w:spacing w:val="-34"/>
          <w:w w:val="105"/>
          <w:sz w:val="21"/>
        </w:rPr>
        <w:t> </w:t>
      </w:r>
      <w:r>
        <w:rPr>
          <w:color w:val="231F20"/>
          <w:w w:val="105"/>
          <w:sz w:val="21"/>
        </w:rPr>
        <w:t>que:</w:t>
      </w:r>
    </w:p>
    <w:p>
      <w:pPr>
        <w:pStyle w:val="BodyText"/>
        <w:spacing w:before="7"/>
        <w:rPr>
          <w:sz w:val="18"/>
        </w:rPr>
      </w:pPr>
    </w:p>
    <w:p>
      <w:pPr>
        <w:spacing w:line="254" w:lineRule="auto" w:before="0"/>
        <w:ind w:left="2857" w:right="1835" w:firstLine="0"/>
        <w:jc w:val="both"/>
        <w:rPr>
          <w:sz w:val="18"/>
        </w:rPr>
      </w:pPr>
      <w:r>
        <w:rPr>
          <w:color w:val="231F20"/>
          <w:w w:val="105"/>
          <w:sz w:val="18"/>
        </w:rPr>
        <w:t>los</w:t>
      </w:r>
      <w:r>
        <w:rPr>
          <w:color w:val="231F20"/>
          <w:spacing w:val="-13"/>
          <w:w w:val="105"/>
          <w:sz w:val="18"/>
        </w:rPr>
        <w:t> </w:t>
      </w:r>
      <w:r>
        <w:rPr>
          <w:color w:val="231F20"/>
          <w:w w:val="105"/>
          <w:sz w:val="18"/>
        </w:rPr>
        <w:t>Estados</w:t>
      </w:r>
      <w:r>
        <w:rPr>
          <w:color w:val="231F20"/>
          <w:spacing w:val="-13"/>
          <w:w w:val="105"/>
          <w:sz w:val="18"/>
        </w:rPr>
        <w:t> </w:t>
      </w:r>
      <w:r>
        <w:rPr>
          <w:color w:val="231F20"/>
          <w:w w:val="105"/>
          <w:sz w:val="18"/>
        </w:rPr>
        <w:t>están</w:t>
      </w:r>
      <w:r>
        <w:rPr>
          <w:color w:val="231F20"/>
          <w:spacing w:val="-13"/>
          <w:w w:val="105"/>
          <w:sz w:val="18"/>
        </w:rPr>
        <w:t> </w:t>
      </w:r>
      <w:r>
        <w:rPr>
          <w:color w:val="231F20"/>
          <w:w w:val="105"/>
          <w:sz w:val="18"/>
        </w:rPr>
        <w:t>obligados</w:t>
      </w:r>
      <w:r>
        <w:rPr>
          <w:color w:val="231F20"/>
          <w:spacing w:val="-13"/>
          <w:w w:val="105"/>
          <w:sz w:val="18"/>
        </w:rPr>
        <w:t> </w:t>
      </w:r>
      <w:r>
        <w:rPr>
          <w:color w:val="231F20"/>
          <w:w w:val="105"/>
          <w:sz w:val="18"/>
        </w:rPr>
        <w:t>a</w:t>
      </w:r>
      <w:r>
        <w:rPr>
          <w:color w:val="231F20"/>
          <w:spacing w:val="-13"/>
          <w:w w:val="105"/>
          <w:sz w:val="18"/>
        </w:rPr>
        <w:t> </w:t>
      </w:r>
      <w:r>
        <w:rPr>
          <w:color w:val="231F20"/>
          <w:spacing w:val="-3"/>
          <w:w w:val="105"/>
          <w:sz w:val="18"/>
        </w:rPr>
        <w:t>respetar</w:t>
      </w:r>
      <w:r>
        <w:rPr>
          <w:color w:val="231F20"/>
          <w:spacing w:val="-13"/>
          <w:w w:val="105"/>
          <w:sz w:val="18"/>
        </w:rPr>
        <w:t> </w:t>
      </w:r>
      <w:r>
        <w:rPr>
          <w:color w:val="231F20"/>
          <w:w w:val="105"/>
          <w:sz w:val="18"/>
        </w:rPr>
        <w:t>y</w:t>
      </w:r>
      <w:r>
        <w:rPr>
          <w:color w:val="231F20"/>
          <w:spacing w:val="-13"/>
          <w:w w:val="105"/>
          <w:sz w:val="18"/>
        </w:rPr>
        <w:t> </w:t>
      </w:r>
      <w:r>
        <w:rPr>
          <w:color w:val="231F20"/>
          <w:w w:val="105"/>
          <w:sz w:val="18"/>
        </w:rPr>
        <w:t>garantizar</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pleno</w:t>
      </w:r>
      <w:r>
        <w:rPr>
          <w:color w:val="231F20"/>
          <w:spacing w:val="-13"/>
          <w:w w:val="105"/>
          <w:sz w:val="18"/>
        </w:rPr>
        <w:t> </w:t>
      </w:r>
      <w:r>
        <w:rPr>
          <w:color w:val="231F20"/>
          <w:w w:val="105"/>
          <w:sz w:val="18"/>
        </w:rPr>
        <w:t>y</w:t>
      </w:r>
      <w:r>
        <w:rPr>
          <w:color w:val="231F20"/>
          <w:spacing w:val="-13"/>
          <w:w w:val="105"/>
          <w:sz w:val="18"/>
        </w:rPr>
        <w:t> </w:t>
      </w:r>
      <w:r>
        <w:rPr>
          <w:color w:val="231F20"/>
          <w:spacing w:val="-3"/>
          <w:w w:val="105"/>
          <w:sz w:val="18"/>
        </w:rPr>
        <w:t>libre</w:t>
      </w:r>
      <w:r>
        <w:rPr>
          <w:color w:val="231F20"/>
          <w:spacing w:val="-13"/>
          <w:w w:val="105"/>
          <w:sz w:val="18"/>
        </w:rPr>
        <w:t> </w:t>
      </w:r>
      <w:r>
        <w:rPr>
          <w:color w:val="231F20"/>
          <w:spacing w:val="-3"/>
          <w:w w:val="105"/>
          <w:sz w:val="18"/>
        </w:rPr>
        <w:t>ejer- </w:t>
      </w:r>
      <w:r>
        <w:rPr>
          <w:color w:val="231F20"/>
          <w:w w:val="105"/>
          <w:sz w:val="18"/>
        </w:rPr>
        <w:t>cicio</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los</w:t>
      </w:r>
      <w:r>
        <w:rPr>
          <w:color w:val="231F20"/>
          <w:spacing w:val="-23"/>
          <w:w w:val="105"/>
          <w:sz w:val="18"/>
        </w:rPr>
        <w:t> </w:t>
      </w:r>
      <w:r>
        <w:rPr>
          <w:color w:val="231F20"/>
          <w:spacing w:val="-3"/>
          <w:w w:val="105"/>
          <w:sz w:val="18"/>
        </w:rPr>
        <w:t>derechos</w:t>
      </w:r>
      <w:r>
        <w:rPr>
          <w:color w:val="231F20"/>
          <w:spacing w:val="-23"/>
          <w:w w:val="105"/>
          <w:sz w:val="18"/>
        </w:rPr>
        <w:t> </w:t>
      </w:r>
      <w:r>
        <w:rPr>
          <w:color w:val="231F20"/>
          <w:w w:val="105"/>
          <w:sz w:val="18"/>
        </w:rPr>
        <w:t>y</w:t>
      </w:r>
      <w:r>
        <w:rPr>
          <w:color w:val="231F20"/>
          <w:spacing w:val="-23"/>
          <w:w w:val="105"/>
          <w:sz w:val="18"/>
        </w:rPr>
        <w:t> </w:t>
      </w:r>
      <w:r>
        <w:rPr>
          <w:color w:val="231F20"/>
          <w:w w:val="105"/>
          <w:sz w:val="18"/>
        </w:rPr>
        <w:t>libertades</w:t>
      </w:r>
      <w:r>
        <w:rPr>
          <w:color w:val="231F20"/>
          <w:spacing w:val="-23"/>
          <w:w w:val="105"/>
          <w:sz w:val="18"/>
        </w:rPr>
        <w:t> </w:t>
      </w:r>
      <w:r>
        <w:rPr>
          <w:color w:val="231F20"/>
          <w:w w:val="105"/>
          <w:sz w:val="18"/>
        </w:rPr>
        <w:t>sin</w:t>
      </w:r>
      <w:r>
        <w:rPr>
          <w:color w:val="231F20"/>
          <w:spacing w:val="-23"/>
          <w:w w:val="105"/>
          <w:sz w:val="18"/>
        </w:rPr>
        <w:t> </w:t>
      </w:r>
      <w:r>
        <w:rPr>
          <w:color w:val="231F20"/>
          <w:w w:val="105"/>
          <w:sz w:val="18"/>
        </w:rPr>
        <w:t>discriminación</w:t>
      </w:r>
      <w:r>
        <w:rPr>
          <w:color w:val="231F20"/>
          <w:spacing w:val="-23"/>
          <w:w w:val="105"/>
          <w:sz w:val="18"/>
        </w:rPr>
        <w:t> </w:t>
      </w:r>
      <w:r>
        <w:rPr>
          <w:color w:val="231F20"/>
          <w:w w:val="105"/>
          <w:sz w:val="18"/>
        </w:rPr>
        <w:t>alguna.</w:t>
      </w:r>
      <w:r>
        <w:rPr>
          <w:color w:val="231F20"/>
          <w:spacing w:val="-26"/>
          <w:w w:val="105"/>
          <w:sz w:val="18"/>
        </w:rPr>
        <w:t> </w:t>
      </w:r>
      <w:r>
        <w:rPr>
          <w:color w:val="231F20"/>
          <w:w w:val="105"/>
          <w:sz w:val="18"/>
        </w:rPr>
        <w:t>El</w:t>
      </w:r>
      <w:r>
        <w:rPr>
          <w:color w:val="231F20"/>
          <w:spacing w:val="-23"/>
          <w:w w:val="105"/>
          <w:sz w:val="18"/>
        </w:rPr>
        <w:t> </w:t>
      </w:r>
      <w:r>
        <w:rPr>
          <w:color w:val="231F20"/>
          <w:w w:val="105"/>
          <w:sz w:val="18"/>
        </w:rPr>
        <w:t>incumpli- miento</w:t>
      </w:r>
      <w:r>
        <w:rPr>
          <w:color w:val="231F20"/>
          <w:spacing w:val="-14"/>
          <w:w w:val="105"/>
          <w:sz w:val="18"/>
        </w:rPr>
        <w:t> </w:t>
      </w:r>
      <w:r>
        <w:rPr>
          <w:color w:val="231F20"/>
          <w:w w:val="105"/>
          <w:sz w:val="18"/>
        </w:rPr>
        <w:t>por</w:t>
      </w:r>
      <w:r>
        <w:rPr>
          <w:color w:val="231F20"/>
          <w:spacing w:val="-14"/>
          <w:w w:val="105"/>
          <w:sz w:val="18"/>
        </w:rPr>
        <w:t> </w:t>
      </w:r>
      <w:r>
        <w:rPr>
          <w:color w:val="231F20"/>
          <w:w w:val="105"/>
          <w:sz w:val="18"/>
        </w:rPr>
        <w:t>el</w:t>
      </w:r>
      <w:r>
        <w:rPr>
          <w:color w:val="231F20"/>
          <w:spacing w:val="-14"/>
          <w:w w:val="105"/>
          <w:sz w:val="18"/>
        </w:rPr>
        <w:t> </w:t>
      </w:r>
      <w:r>
        <w:rPr>
          <w:color w:val="231F20"/>
          <w:w w:val="105"/>
          <w:sz w:val="18"/>
        </w:rPr>
        <w:t>Estado</w:t>
      </w:r>
      <w:r>
        <w:rPr>
          <w:color w:val="231F20"/>
          <w:spacing w:val="-14"/>
          <w:w w:val="105"/>
          <w:sz w:val="18"/>
        </w:rPr>
        <w:t> </w:t>
      </w:r>
      <w:r>
        <w:rPr>
          <w:color w:val="231F20"/>
          <w:w w:val="105"/>
          <w:sz w:val="18"/>
        </w:rPr>
        <w:t>mediante</w:t>
      </w:r>
      <w:r>
        <w:rPr>
          <w:color w:val="231F20"/>
          <w:spacing w:val="-14"/>
          <w:w w:val="105"/>
          <w:sz w:val="18"/>
        </w:rPr>
        <w:t> </w:t>
      </w:r>
      <w:r>
        <w:rPr>
          <w:color w:val="231F20"/>
          <w:w w:val="105"/>
          <w:sz w:val="18"/>
        </w:rPr>
        <w:t>cualquier</w:t>
      </w:r>
      <w:r>
        <w:rPr>
          <w:color w:val="231F20"/>
          <w:spacing w:val="-14"/>
          <w:w w:val="105"/>
          <w:sz w:val="18"/>
        </w:rPr>
        <w:t> </w:t>
      </w:r>
      <w:r>
        <w:rPr>
          <w:color w:val="231F20"/>
          <w:spacing w:val="-3"/>
          <w:w w:val="105"/>
          <w:sz w:val="18"/>
        </w:rPr>
        <w:t>tratamiento</w:t>
      </w:r>
      <w:r>
        <w:rPr>
          <w:color w:val="231F20"/>
          <w:spacing w:val="-14"/>
          <w:w w:val="105"/>
          <w:sz w:val="18"/>
        </w:rPr>
        <w:t> </w:t>
      </w:r>
      <w:r>
        <w:rPr>
          <w:color w:val="231F20"/>
          <w:spacing w:val="-3"/>
          <w:w w:val="105"/>
          <w:sz w:val="18"/>
        </w:rPr>
        <w:t>discriminatorio,</w:t>
      </w:r>
      <w:r>
        <w:rPr>
          <w:color w:val="231F20"/>
          <w:spacing w:val="-19"/>
          <w:w w:val="105"/>
          <w:sz w:val="18"/>
        </w:rPr>
        <w:t> </w:t>
      </w:r>
      <w:r>
        <w:rPr>
          <w:color w:val="231F20"/>
          <w:w w:val="105"/>
          <w:sz w:val="18"/>
        </w:rPr>
        <w:t>de la</w:t>
      </w:r>
      <w:r>
        <w:rPr>
          <w:color w:val="231F20"/>
          <w:spacing w:val="-16"/>
          <w:w w:val="105"/>
          <w:sz w:val="18"/>
        </w:rPr>
        <w:t> </w:t>
      </w:r>
      <w:r>
        <w:rPr>
          <w:color w:val="231F20"/>
          <w:w w:val="105"/>
          <w:sz w:val="18"/>
        </w:rPr>
        <w:t>obligación</w:t>
      </w:r>
      <w:r>
        <w:rPr>
          <w:color w:val="231F20"/>
          <w:spacing w:val="-16"/>
          <w:w w:val="105"/>
          <w:sz w:val="18"/>
        </w:rPr>
        <w:t> </w:t>
      </w:r>
      <w:r>
        <w:rPr>
          <w:color w:val="231F20"/>
          <w:w w:val="105"/>
          <w:sz w:val="18"/>
        </w:rPr>
        <w:t>general</w:t>
      </w:r>
      <w:r>
        <w:rPr>
          <w:color w:val="231F20"/>
          <w:spacing w:val="-16"/>
          <w:w w:val="105"/>
          <w:sz w:val="18"/>
        </w:rPr>
        <w:t> </w:t>
      </w:r>
      <w:r>
        <w:rPr>
          <w:color w:val="231F20"/>
          <w:w w:val="105"/>
          <w:sz w:val="18"/>
        </w:rPr>
        <w:t>de</w:t>
      </w:r>
      <w:r>
        <w:rPr>
          <w:color w:val="231F20"/>
          <w:spacing w:val="-16"/>
          <w:w w:val="105"/>
          <w:sz w:val="18"/>
        </w:rPr>
        <w:t> </w:t>
      </w:r>
      <w:r>
        <w:rPr>
          <w:color w:val="231F20"/>
          <w:spacing w:val="-3"/>
          <w:w w:val="105"/>
          <w:sz w:val="18"/>
        </w:rPr>
        <w:t>respetar</w:t>
      </w:r>
      <w:r>
        <w:rPr>
          <w:color w:val="231F20"/>
          <w:spacing w:val="-16"/>
          <w:w w:val="105"/>
          <w:sz w:val="18"/>
        </w:rPr>
        <w:t> </w:t>
      </w:r>
      <w:r>
        <w:rPr>
          <w:color w:val="231F20"/>
          <w:w w:val="105"/>
          <w:sz w:val="18"/>
        </w:rPr>
        <w:t>y</w:t>
      </w:r>
      <w:r>
        <w:rPr>
          <w:color w:val="231F20"/>
          <w:spacing w:val="-16"/>
          <w:w w:val="105"/>
          <w:sz w:val="18"/>
        </w:rPr>
        <w:t> </w:t>
      </w:r>
      <w:r>
        <w:rPr>
          <w:color w:val="231F20"/>
          <w:w w:val="105"/>
          <w:sz w:val="18"/>
        </w:rPr>
        <w:t>garantizar</w:t>
      </w:r>
      <w:r>
        <w:rPr>
          <w:color w:val="231F20"/>
          <w:spacing w:val="-16"/>
          <w:w w:val="105"/>
          <w:sz w:val="18"/>
        </w:rPr>
        <w:t> </w:t>
      </w:r>
      <w:r>
        <w:rPr>
          <w:color w:val="231F20"/>
          <w:w w:val="105"/>
          <w:sz w:val="18"/>
        </w:rPr>
        <w:t>los</w:t>
      </w:r>
      <w:r>
        <w:rPr>
          <w:color w:val="231F20"/>
          <w:spacing w:val="-16"/>
          <w:w w:val="105"/>
          <w:sz w:val="18"/>
        </w:rPr>
        <w:t> </w:t>
      </w:r>
      <w:r>
        <w:rPr>
          <w:color w:val="231F20"/>
          <w:spacing w:val="-3"/>
          <w:w w:val="105"/>
          <w:sz w:val="18"/>
        </w:rPr>
        <w:t>derechos</w:t>
      </w:r>
      <w:r>
        <w:rPr>
          <w:color w:val="231F20"/>
          <w:spacing w:val="-16"/>
          <w:w w:val="105"/>
          <w:sz w:val="18"/>
        </w:rPr>
        <w:t> </w:t>
      </w:r>
      <w:r>
        <w:rPr>
          <w:color w:val="231F20"/>
          <w:w w:val="105"/>
          <w:sz w:val="18"/>
        </w:rPr>
        <w:t>humanos,</w:t>
      </w:r>
      <w:r>
        <w:rPr>
          <w:color w:val="231F20"/>
          <w:spacing w:val="-20"/>
          <w:w w:val="105"/>
          <w:sz w:val="18"/>
        </w:rPr>
        <w:t> </w:t>
      </w:r>
      <w:r>
        <w:rPr>
          <w:color w:val="231F20"/>
          <w:w w:val="105"/>
          <w:sz w:val="18"/>
        </w:rPr>
        <w:t>le </w:t>
      </w:r>
      <w:r>
        <w:rPr>
          <w:color w:val="231F20"/>
          <w:spacing w:val="-2"/>
          <w:w w:val="105"/>
          <w:sz w:val="18"/>
        </w:rPr>
        <w:t>genera</w:t>
      </w:r>
      <w:r>
        <w:rPr>
          <w:color w:val="231F20"/>
          <w:spacing w:val="-18"/>
          <w:w w:val="105"/>
          <w:sz w:val="18"/>
        </w:rPr>
        <w:t> </w:t>
      </w:r>
      <w:r>
        <w:rPr>
          <w:color w:val="231F20"/>
          <w:spacing w:val="-3"/>
          <w:w w:val="105"/>
          <w:sz w:val="18"/>
        </w:rPr>
        <w:t>responsabilidad</w:t>
      </w:r>
      <w:r>
        <w:rPr>
          <w:color w:val="231F20"/>
          <w:spacing w:val="-18"/>
          <w:w w:val="105"/>
          <w:sz w:val="18"/>
        </w:rPr>
        <w:t> </w:t>
      </w:r>
      <w:r>
        <w:rPr>
          <w:color w:val="231F20"/>
          <w:w w:val="105"/>
          <w:sz w:val="18"/>
        </w:rPr>
        <w:t>internacional</w:t>
      </w:r>
      <w:r>
        <w:rPr>
          <w:color w:val="231F20"/>
          <w:spacing w:val="-18"/>
          <w:w w:val="105"/>
          <w:sz w:val="18"/>
        </w:rPr>
        <w:t> </w:t>
      </w:r>
      <w:r>
        <w:rPr>
          <w:color w:val="231F20"/>
          <w:w w:val="115"/>
          <w:sz w:val="18"/>
        </w:rPr>
        <w:t>[…]</w:t>
      </w:r>
      <w:r>
        <w:rPr>
          <w:color w:val="231F20"/>
          <w:spacing w:val="-23"/>
          <w:w w:val="115"/>
          <w:sz w:val="18"/>
        </w:rPr>
        <w:t> </w:t>
      </w:r>
      <w:r>
        <w:rPr>
          <w:color w:val="231F20"/>
          <w:w w:val="105"/>
          <w:sz w:val="18"/>
        </w:rPr>
        <w:t>(</w:t>
      </w:r>
      <w:r>
        <w:rPr>
          <w:color w:val="231F20"/>
          <w:w w:val="105"/>
          <w:sz w:val="15"/>
        </w:rPr>
        <w:t>CIDH</w:t>
      </w:r>
      <w:r>
        <w:rPr>
          <w:color w:val="231F20"/>
          <w:w w:val="105"/>
          <w:sz w:val="18"/>
        </w:rPr>
        <w:t>,</w:t>
      </w:r>
      <w:r>
        <w:rPr>
          <w:color w:val="231F20"/>
          <w:spacing w:val="-22"/>
          <w:w w:val="105"/>
          <w:sz w:val="18"/>
        </w:rPr>
        <w:t> </w:t>
      </w:r>
      <w:r>
        <w:rPr>
          <w:color w:val="231F20"/>
          <w:w w:val="105"/>
          <w:sz w:val="18"/>
        </w:rPr>
        <w:t>2003:</w:t>
      </w:r>
      <w:r>
        <w:rPr>
          <w:color w:val="231F20"/>
          <w:spacing w:val="-18"/>
          <w:w w:val="105"/>
          <w:sz w:val="18"/>
        </w:rPr>
        <w:t> </w:t>
      </w:r>
      <w:r>
        <w:rPr>
          <w:color w:val="231F20"/>
          <w:w w:val="105"/>
          <w:sz w:val="18"/>
        </w:rPr>
        <w:t>111).</w:t>
      </w:r>
    </w:p>
    <w:p>
      <w:pPr>
        <w:pStyle w:val="BodyText"/>
        <w:spacing w:before="5"/>
      </w:pPr>
    </w:p>
    <w:p>
      <w:pPr>
        <w:pStyle w:val="BodyText"/>
        <w:spacing w:line="261" w:lineRule="auto"/>
        <w:ind w:left="1723" w:right="1834"/>
        <w:jc w:val="both"/>
      </w:pPr>
      <w:r>
        <w:rPr>
          <w:color w:val="231F20"/>
        </w:rPr>
        <w:t>Si bien los derechos son los mismos, existen desde las diversas tradicio- nes jurídicas distintas formas de protección, que han generado la nece- sidad de crear acuerdos para garantizarlos de igual forma, al menos en    lo</w:t>
      </w:r>
      <w:r>
        <w:rPr>
          <w:color w:val="231F20"/>
          <w:spacing w:val="24"/>
        </w:rPr>
        <w:t> </w:t>
      </w:r>
      <w:r>
        <w:rPr>
          <w:color w:val="231F20"/>
        </w:rPr>
        <w:t>que</w:t>
      </w:r>
      <w:r>
        <w:rPr>
          <w:color w:val="231F20"/>
          <w:spacing w:val="24"/>
        </w:rPr>
        <w:t> </w:t>
      </w:r>
      <w:r>
        <w:rPr>
          <w:color w:val="231F20"/>
        </w:rPr>
        <w:t>respecta</w:t>
      </w:r>
      <w:r>
        <w:rPr>
          <w:color w:val="231F20"/>
          <w:spacing w:val="24"/>
        </w:rPr>
        <w:t> </w:t>
      </w:r>
      <w:r>
        <w:rPr>
          <w:color w:val="231F20"/>
        </w:rPr>
        <w:t>a</w:t>
      </w:r>
      <w:r>
        <w:rPr>
          <w:color w:val="231F20"/>
          <w:spacing w:val="24"/>
        </w:rPr>
        <w:t> </w:t>
      </w:r>
      <w:r>
        <w:rPr>
          <w:color w:val="231F20"/>
        </w:rPr>
        <w:t>su</w:t>
      </w:r>
      <w:r>
        <w:rPr>
          <w:color w:val="231F20"/>
          <w:spacing w:val="24"/>
        </w:rPr>
        <w:t> </w:t>
      </w:r>
      <w:r>
        <w:rPr>
          <w:color w:val="231F20"/>
        </w:rPr>
        <w:t>esencia.</w:t>
      </w:r>
      <w:r>
        <w:rPr>
          <w:color w:val="231F20"/>
          <w:spacing w:val="16"/>
        </w:rPr>
        <w:t> </w:t>
      </w:r>
      <w:r>
        <w:rPr>
          <w:color w:val="231F20"/>
        </w:rPr>
        <w:t>Existen</w:t>
      </w:r>
      <w:r>
        <w:rPr>
          <w:color w:val="231F20"/>
          <w:spacing w:val="24"/>
        </w:rPr>
        <w:t> </w:t>
      </w:r>
      <w:r>
        <w:rPr>
          <w:color w:val="231F20"/>
        </w:rPr>
        <w:t>en</w:t>
      </w:r>
      <w:r>
        <w:rPr>
          <w:color w:val="231F20"/>
          <w:spacing w:val="24"/>
        </w:rPr>
        <w:t> </w:t>
      </w:r>
      <w:r>
        <w:rPr>
          <w:color w:val="231F20"/>
        </w:rPr>
        <w:t>este</w:t>
      </w:r>
      <w:r>
        <w:rPr>
          <w:color w:val="231F20"/>
          <w:spacing w:val="24"/>
        </w:rPr>
        <w:t> </w:t>
      </w:r>
      <w:r>
        <w:rPr>
          <w:color w:val="231F20"/>
        </w:rPr>
        <w:t>contexto</w:t>
      </w:r>
      <w:r>
        <w:rPr>
          <w:color w:val="231F20"/>
          <w:spacing w:val="24"/>
        </w:rPr>
        <w:t> </w:t>
      </w:r>
      <w:r>
        <w:rPr>
          <w:color w:val="231F20"/>
        </w:rPr>
        <w:t>dos</w:t>
      </w:r>
      <w:r>
        <w:rPr>
          <w:color w:val="231F20"/>
          <w:spacing w:val="24"/>
        </w:rPr>
        <w:t> </w:t>
      </w:r>
      <w:r>
        <w:rPr>
          <w:color w:val="231F20"/>
        </w:rPr>
        <w:t>sistemas</w:t>
      </w:r>
      <w:r>
        <w:rPr>
          <w:color w:val="231F20"/>
          <w:spacing w:val="24"/>
        </w:rPr>
        <w:t> </w:t>
      </w:r>
      <w:r>
        <w:rPr>
          <w:color w:val="231F20"/>
        </w:rPr>
        <w:t>de</w:t>
      </w:r>
    </w:p>
    <w:p>
      <w:pPr>
        <w:pStyle w:val="BodyText"/>
        <w:rPr>
          <w:sz w:val="20"/>
        </w:rPr>
      </w:pPr>
    </w:p>
    <w:p>
      <w:pPr>
        <w:pStyle w:val="BodyText"/>
        <w:rPr>
          <w:sz w:val="20"/>
        </w:rPr>
      </w:pPr>
    </w:p>
    <w:p>
      <w:pPr>
        <w:pStyle w:val="BodyText"/>
        <w:spacing w:before="8"/>
        <w:rPr>
          <w:sz w:val="17"/>
        </w:rPr>
      </w:pPr>
    </w:p>
    <w:p>
      <w:pPr>
        <w:tabs>
          <w:tab w:pos="2937" w:val="left" w:leader="none"/>
        </w:tabs>
        <w:spacing w:before="0"/>
        <w:ind w:left="1887" w:right="0" w:firstLine="0"/>
        <w:jc w:val="left"/>
        <w:rPr>
          <w:rFonts w:ascii="Calibri" w:hAnsi="Calibri"/>
          <w:sz w:val="15"/>
        </w:rPr>
      </w:pPr>
      <w:r>
        <w:rPr/>
        <w:pict>
          <v:line style="position:absolute;mso-position-horizontal-relative:page;mso-position-vertical-relative:paragraph;z-index:-483208" from="131.551193pt,.203715pt" to="131.551193pt,36.006114pt" stroked="true" strokeweight=".35pt" strokecolor="#231f20">
            <w10:wrap type="none"/>
          </v:line>
        </w:pict>
      </w:r>
      <w:r>
        <w:rPr/>
        <w:pict>
          <v:line style="position:absolute;mso-position-horizontal-relative:page;mso-position-vertical-relative:paragraph;z-index:-483136" from="15pt,36.005917pt" to="0pt,36.005917pt" stroked="true" strokeweight=".25pt" strokecolor="#000000">
            <w10:wrap type="none"/>
          </v:line>
        </w:pict>
      </w:r>
      <w:r>
        <w:rPr/>
        <w:pict>
          <v:line style="position:absolute;mso-position-horizontal-relative:page;mso-position-vertical-relative:paragraph;z-index:7072" from="508.890015pt,36.005917pt" to="523.890015pt,36.005917pt" stroked="true" strokeweight=".25pt" strokecolor="#000000">
            <w10:wrap type="none"/>
          </v:line>
        </w:pict>
      </w:r>
      <w:r>
        <w:rPr>
          <w:rFonts w:ascii="Arial" w:hAnsi="Arial"/>
          <w:color w:val="414042"/>
          <w:position w:val="-5"/>
          <w:sz w:val="20"/>
        </w:rPr>
        <w:t>72</w:t>
        <w:tab/>
      </w:r>
      <w:r>
        <w:rPr>
          <w:rFonts w:ascii="Calibri" w:hAnsi="Calibri"/>
          <w:color w:val="6D6E71"/>
          <w:sz w:val="15"/>
        </w:rPr>
        <w:t>María de Lourdes Morales Reynoso y Claudia Arianne Martínez  </w:t>
      </w:r>
      <w:r>
        <w:rPr>
          <w:rFonts w:ascii="Calibri" w:hAnsi="Calibri"/>
          <w:color w:val="6D6E71"/>
          <w:spacing w:val="16"/>
          <w:sz w:val="15"/>
        </w:rPr>
        <w:t> </w:t>
      </w:r>
      <w:r>
        <w:rPr>
          <w:rFonts w:ascii="Calibri" w:hAnsi="Calibri"/>
          <w:color w:val="6D6E71"/>
          <w:sz w:val="15"/>
        </w:rPr>
        <w:t>Zaragoza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line="208" w:lineRule="exact" w:before="187"/>
        <w:ind w:left="2163" w:right="0" w:firstLine="0"/>
        <w:jc w:val="left"/>
        <w:rPr>
          <w:rFonts w:ascii="Arial" w:hAnsi="Arial"/>
          <w:sz w:val="20"/>
        </w:rPr>
      </w:pPr>
      <w:r>
        <w:rPr/>
        <w:pict>
          <v:line style="position:absolute;mso-position-horizontal-relative:page;mso-position-vertical-relative:paragraph;z-index:-483088" from="405.061005pt,-18.554295pt" to="405.061005pt,16.311579pt" stroked="true" strokeweight=".35pt" strokecolor="#231f20">
            <w10:wrap type="none"/>
          </v:line>
        </w:pict>
      </w:r>
      <w:r>
        <w:rPr/>
        <w:pict>
          <v:line style="position:absolute;mso-position-horizontal-relative:page;mso-position-vertical-relative:paragraph;z-index:7120" from="15pt,-18.554522pt" to="0pt,-18.554522pt" stroked="true" strokeweight=".25pt" strokecolor="#000000">
            <w10:wrap type="none"/>
          </v:line>
        </w:pict>
      </w:r>
      <w:r>
        <w:rPr/>
        <w:pict>
          <v:line style="position:absolute;mso-position-horizontal-relative:page;mso-position-vertical-relative:paragraph;z-index:7144" from="508.890015pt,-18.554522pt" to="523.890015pt,-18.554522pt" stroked="true" strokeweight=".25pt" strokecolor="#000000">
            <w10:wrap type="none"/>
          </v:line>
        </w:pict>
      </w:r>
      <w:r>
        <w:rPr>
          <w:rFonts w:ascii="Lucida Sans Unicode" w:hAnsi="Lucida Sans Unicode"/>
          <w:color w:val="6D6E71"/>
          <w:w w:val="105"/>
          <w:sz w:val="14"/>
        </w:rPr>
        <w:t>Los</w:t>
      </w:r>
      <w:r>
        <w:rPr>
          <w:rFonts w:ascii="Lucida Sans Unicode" w:hAnsi="Lucida Sans Unicode"/>
          <w:color w:val="6D6E71"/>
          <w:spacing w:val="-14"/>
          <w:w w:val="105"/>
          <w:sz w:val="14"/>
        </w:rPr>
        <w:t> </w:t>
      </w:r>
      <w:r>
        <w:rPr>
          <w:rFonts w:ascii="Lucida Sans Unicode" w:hAnsi="Lucida Sans Unicode"/>
          <w:color w:val="6D6E71"/>
          <w:w w:val="105"/>
          <w:sz w:val="14"/>
        </w:rPr>
        <w:t>pequeños</w:t>
      </w:r>
      <w:r>
        <w:rPr>
          <w:rFonts w:ascii="Lucida Sans Unicode" w:hAnsi="Lucida Sans Unicode"/>
          <w:color w:val="6D6E71"/>
          <w:spacing w:val="-14"/>
          <w:w w:val="105"/>
          <w:sz w:val="14"/>
        </w:rPr>
        <w:t> </w:t>
      </w:r>
      <w:r>
        <w:rPr>
          <w:rFonts w:ascii="Lucida Sans Unicode" w:hAnsi="Lucida Sans Unicode"/>
          <w:color w:val="6D6E71"/>
          <w:w w:val="105"/>
          <w:sz w:val="14"/>
        </w:rPr>
        <w:t>“soñadores”</w:t>
      </w:r>
      <w:r>
        <w:rPr>
          <w:rFonts w:ascii="Lucida Sans Unicode" w:hAnsi="Lucida Sans Unicode"/>
          <w:color w:val="6D6E71"/>
          <w:spacing w:val="-14"/>
          <w:w w:val="105"/>
          <w:sz w:val="14"/>
        </w:rPr>
        <w:t> </w:t>
      </w:r>
      <w:r>
        <w:rPr>
          <w:rFonts w:ascii="Lucida Sans Unicode" w:hAnsi="Lucida Sans Unicode"/>
          <w:color w:val="6D6E71"/>
          <w:w w:val="105"/>
          <w:sz w:val="14"/>
        </w:rPr>
        <w:t>no</w:t>
      </w:r>
      <w:r>
        <w:rPr>
          <w:rFonts w:ascii="Lucida Sans Unicode" w:hAnsi="Lucida Sans Unicode"/>
          <w:color w:val="6D6E71"/>
          <w:spacing w:val="-14"/>
          <w:w w:val="105"/>
          <w:sz w:val="14"/>
        </w:rPr>
        <w:t> </w:t>
      </w:r>
      <w:r>
        <w:rPr>
          <w:rFonts w:ascii="Lucida Sans Unicode" w:hAnsi="Lucida Sans Unicode"/>
          <w:color w:val="6D6E71"/>
          <w:w w:val="105"/>
          <w:sz w:val="14"/>
        </w:rPr>
        <w:t>acompañados</w:t>
      </w:r>
      <w:r>
        <w:rPr>
          <w:rFonts w:ascii="Lucida Sans Unicode" w:hAnsi="Lucida Sans Unicode"/>
          <w:color w:val="6D6E71"/>
          <w:spacing w:val="-14"/>
          <w:w w:val="105"/>
          <w:sz w:val="14"/>
        </w:rPr>
        <w:t> </w:t>
      </w:r>
      <w:r>
        <w:rPr>
          <w:rFonts w:ascii="Lucida Sans Unicode" w:hAnsi="Lucida Sans Unicode"/>
          <w:color w:val="6D6E71"/>
          <w:w w:val="105"/>
          <w:sz w:val="14"/>
        </w:rPr>
        <w:t>en</w:t>
      </w:r>
      <w:r>
        <w:rPr>
          <w:rFonts w:ascii="Lucida Sans Unicode" w:hAnsi="Lucida Sans Unicode"/>
          <w:color w:val="6D6E71"/>
          <w:spacing w:val="-14"/>
          <w:w w:val="105"/>
          <w:sz w:val="14"/>
        </w:rPr>
        <w:t> </w:t>
      </w:r>
      <w:r>
        <w:rPr>
          <w:rFonts w:ascii="Lucida Sans Unicode" w:hAnsi="Lucida Sans Unicode"/>
          <w:color w:val="6D6E71"/>
          <w:w w:val="105"/>
          <w:sz w:val="14"/>
        </w:rPr>
        <w:t>su</w:t>
      </w:r>
      <w:r>
        <w:rPr>
          <w:rFonts w:ascii="Lucida Sans Unicode" w:hAnsi="Lucida Sans Unicode"/>
          <w:color w:val="6D6E71"/>
          <w:spacing w:val="-14"/>
          <w:w w:val="105"/>
          <w:sz w:val="14"/>
        </w:rPr>
        <w:t> </w:t>
      </w:r>
      <w:r>
        <w:rPr>
          <w:rFonts w:ascii="Lucida Sans Unicode" w:hAnsi="Lucida Sans Unicode"/>
          <w:color w:val="6D6E71"/>
          <w:w w:val="105"/>
          <w:sz w:val="14"/>
        </w:rPr>
        <w:t>tránsito</w:t>
      </w:r>
      <w:r>
        <w:rPr>
          <w:rFonts w:ascii="Lucida Sans Unicode" w:hAnsi="Lucida Sans Unicode"/>
          <w:color w:val="6D6E71"/>
          <w:spacing w:val="-14"/>
          <w:w w:val="105"/>
          <w:sz w:val="14"/>
        </w:rPr>
        <w:t> </w:t>
      </w:r>
      <w:r>
        <w:rPr>
          <w:rFonts w:ascii="Lucida Sans Unicode" w:hAnsi="Lucida Sans Unicode"/>
          <w:color w:val="6D6E71"/>
          <w:w w:val="105"/>
          <w:sz w:val="14"/>
        </w:rPr>
        <w:t>por</w:t>
      </w:r>
      <w:r>
        <w:rPr>
          <w:rFonts w:ascii="Lucida Sans Unicode" w:hAnsi="Lucida Sans Unicode"/>
          <w:color w:val="6D6E71"/>
          <w:spacing w:val="-14"/>
          <w:w w:val="105"/>
          <w:sz w:val="14"/>
        </w:rPr>
        <w:t> </w:t>
      </w:r>
      <w:r>
        <w:rPr>
          <w:rFonts w:ascii="Lucida Sans Unicode" w:hAnsi="Lucida Sans Unicode"/>
          <w:color w:val="6D6E71"/>
          <w:w w:val="105"/>
          <w:sz w:val="14"/>
        </w:rPr>
        <w:t>eL</w:t>
      </w:r>
      <w:r>
        <w:rPr>
          <w:rFonts w:ascii="Lucida Sans Unicode" w:hAnsi="Lucida Sans Unicode"/>
          <w:color w:val="6D6E71"/>
          <w:spacing w:val="-14"/>
          <w:w w:val="105"/>
          <w:sz w:val="14"/>
        </w:rPr>
        <w:t> </w:t>
      </w:r>
      <w:r>
        <w:rPr>
          <w:rFonts w:ascii="Lucida Sans Unicode" w:hAnsi="Lucida Sans Unicode"/>
          <w:color w:val="6D6E71"/>
          <w:w w:val="105"/>
          <w:sz w:val="14"/>
        </w:rPr>
        <w:t>estado</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méxico.</w:t>
      </w:r>
      <w:r>
        <w:rPr>
          <w:rFonts w:ascii="Arial" w:hAnsi="Arial"/>
          <w:color w:val="414042"/>
          <w:w w:val="105"/>
          <w:position w:val="-3"/>
          <w:sz w:val="20"/>
        </w:rPr>
        <w:tab/>
        <w:t>73</w:t>
      </w:r>
    </w:p>
    <w:p>
      <w:pPr>
        <w:spacing w:line="187" w:lineRule="exact" w:before="0"/>
        <w:ind w:left="4069" w:right="0" w:firstLine="0"/>
        <w:jc w:val="left"/>
        <w:rPr>
          <w:rFonts w:ascii="Lucida Sans Unicode" w:hAnsi="Lucida Sans Unicode"/>
          <w:sz w:val="14"/>
        </w:rPr>
      </w:pPr>
      <w:r>
        <w:rPr>
          <w:rFonts w:ascii="Lucida Sans Unicode" w:hAnsi="Lucida Sans Unicode"/>
          <w:color w:val="6D6E71"/>
          <w:w w:val="105"/>
          <w:sz w:val="14"/>
        </w:rPr>
        <w:t>una revisión a partir deL interés superior de La infancia</w:t>
      </w:r>
    </w:p>
    <w:p>
      <w:pPr>
        <w:pStyle w:val="BodyText"/>
        <w:rPr>
          <w:rFonts w:ascii="Lucida Sans Unicode"/>
          <w:sz w:val="20"/>
        </w:rPr>
      </w:pPr>
    </w:p>
    <w:p>
      <w:pPr>
        <w:pStyle w:val="BodyText"/>
        <w:spacing w:line="261" w:lineRule="auto" w:before="173"/>
        <w:ind w:left="1794" w:right="1695"/>
        <w:jc w:val="both"/>
      </w:pPr>
      <w:r>
        <w:rPr>
          <w:color w:val="231F20"/>
          <w:w w:val="105"/>
        </w:rPr>
        <w:t>protección:</w:t>
      </w:r>
      <w:r>
        <w:rPr>
          <w:color w:val="231F20"/>
          <w:spacing w:val="-18"/>
          <w:w w:val="105"/>
        </w:rPr>
        <w:t> </w:t>
      </w:r>
      <w:r>
        <w:rPr>
          <w:color w:val="231F20"/>
          <w:w w:val="105"/>
        </w:rPr>
        <w:t>el</w:t>
      </w:r>
      <w:r>
        <w:rPr>
          <w:color w:val="231F20"/>
          <w:spacing w:val="-18"/>
          <w:w w:val="105"/>
        </w:rPr>
        <w:t> </w:t>
      </w:r>
      <w:r>
        <w:rPr>
          <w:color w:val="231F20"/>
          <w:w w:val="105"/>
        </w:rPr>
        <w:t>universal</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regional.</w:t>
      </w:r>
      <w:r>
        <w:rPr>
          <w:color w:val="231F20"/>
          <w:spacing w:val="-26"/>
          <w:w w:val="105"/>
        </w:rPr>
        <w:t> </w:t>
      </w:r>
      <w:r>
        <w:rPr>
          <w:color w:val="231F20"/>
          <w:w w:val="105"/>
        </w:rPr>
        <w:t>Ambos</w:t>
      </w:r>
      <w:r>
        <w:rPr>
          <w:color w:val="231F20"/>
          <w:spacing w:val="-18"/>
          <w:w w:val="105"/>
        </w:rPr>
        <w:t> </w:t>
      </w:r>
      <w:r>
        <w:rPr>
          <w:color w:val="231F20"/>
          <w:w w:val="105"/>
        </w:rPr>
        <w:t>sistemas</w:t>
      </w:r>
      <w:r>
        <w:rPr>
          <w:color w:val="231F20"/>
          <w:spacing w:val="-18"/>
          <w:w w:val="105"/>
        </w:rPr>
        <w:t> </w:t>
      </w:r>
      <w:r>
        <w:rPr>
          <w:color w:val="231F20"/>
          <w:w w:val="105"/>
        </w:rPr>
        <w:t>han</w:t>
      </w:r>
      <w:r>
        <w:rPr>
          <w:color w:val="231F20"/>
          <w:spacing w:val="-18"/>
          <w:w w:val="105"/>
        </w:rPr>
        <w:t> </w:t>
      </w:r>
      <w:r>
        <w:rPr>
          <w:color w:val="231F20"/>
          <w:w w:val="105"/>
        </w:rPr>
        <w:t>contribuido,</w:t>
      </w:r>
      <w:r>
        <w:rPr>
          <w:color w:val="231F20"/>
          <w:spacing w:val="-23"/>
          <w:w w:val="105"/>
        </w:rPr>
        <w:t> </w:t>
      </w:r>
      <w:r>
        <w:rPr>
          <w:color w:val="231F20"/>
          <w:w w:val="105"/>
        </w:rPr>
        <w:t>en lo</w:t>
      </w:r>
      <w:r>
        <w:rPr>
          <w:color w:val="231F20"/>
          <w:spacing w:val="-15"/>
          <w:w w:val="105"/>
        </w:rPr>
        <w:t> </w:t>
      </w:r>
      <w:r>
        <w:rPr>
          <w:color w:val="231F20"/>
          <w:w w:val="105"/>
        </w:rPr>
        <w:t>que</w:t>
      </w:r>
      <w:r>
        <w:rPr>
          <w:color w:val="231F20"/>
          <w:spacing w:val="-15"/>
          <w:w w:val="105"/>
        </w:rPr>
        <w:t> </w:t>
      </w:r>
      <w:r>
        <w:rPr>
          <w:color w:val="231F20"/>
          <w:w w:val="105"/>
        </w:rPr>
        <w:t>respecta</w:t>
      </w:r>
      <w:r>
        <w:rPr>
          <w:color w:val="231F20"/>
          <w:spacing w:val="-15"/>
          <w:w w:val="105"/>
        </w:rPr>
        <w:t> </w:t>
      </w:r>
      <w:r>
        <w:rPr>
          <w:color w:val="231F20"/>
          <w:w w:val="105"/>
        </w:rPr>
        <w:t>a</w:t>
      </w:r>
      <w:r>
        <w:rPr>
          <w:color w:val="231F20"/>
          <w:spacing w:val="-15"/>
          <w:w w:val="105"/>
        </w:rPr>
        <w:t> </w:t>
      </w:r>
      <w:r>
        <w:rPr>
          <w:color w:val="231F20"/>
          <w:w w:val="105"/>
        </w:rPr>
        <w:t>su</w:t>
      </w:r>
      <w:r>
        <w:rPr>
          <w:color w:val="231F20"/>
          <w:spacing w:val="-15"/>
          <w:w w:val="105"/>
        </w:rPr>
        <w:t> </w:t>
      </w:r>
      <w:r>
        <w:rPr>
          <w:color w:val="231F20"/>
          <w:w w:val="105"/>
        </w:rPr>
        <w:t>esencia,</w:t>
      </w:r>
      <w:r>
        <w:rPr>
          <w:color w:val="231F20"/>
          <w:spacing w:val="-20"/>
          <w:w w:val="105"/>
        </w:rPr>
        <w:t> </w:t>
      </w:r>
      <w:r>
        <w:rPr>
          <w:color w:val="231F20"/>
          <w:w w:val="105"/>
        </w:rPr>
        <w:t>a</w:t>
      </w:r>
      <w:r>
        <w:rPr>
          <w:color w:val="231F20"/>
          <w:spacing w:val="-15"/>
          <w:w w:val="105"/>
        </w:rPr>
        <w:t> </w:t>
      </w:r>
      <w:r>
        <w:rPr>
          <w:color w:val="231F20"/>
          <w:w w:val="105"/>
        </w:rPr>
        <w:t>cambiar</w:t>
      </w:r>
      <w:r>
        <w:rPr>
          <w:color w:val="231F20"/>
          <w:spacing w:val="-15"/>
          <w:w w:val="105"/>
        </w:rPr>
        <w:t> </w:t>
      </w:r>
      <w:r>
        <w:rPr>
          <w:color w:val="231F20"/>
          <w:w w:val="105"/>
        </w:rPr>
        <w:t>y</w:t>
      </w:r>
      <w:r>
        <w:rPr>
          <w:color w:val="231F20"/>
          <w:spacing w:val="-15"/>
          <w:w w:val="105"/>
        </w:rPr>
        <w:t> </w:t>
      </w:r>
      <w:r>
        <w:rPr>
          <w:color w:val="231F20"/>
          <w:w w:val="105"/>
        </w:rPr>
        <w:t>transferir</w:t>
      </w:r>
      <w:r>
        <w:rPr>
          <w:color w:val="231F20"/>
          <w:spacing w:val="-15"/>
          <w:w w:val="105"/>
        </w:rPr>
        <w:t> </w:t>
      </w:r>
      <w:r>
        <w:rPr>
          <w:color w:val="231F20"/>
          <w:w w:val="105"/>
        </w:rPr>
        <w:t>mecanismos</w:t>
      </w:r>
      <w:r>
        <w:rPr>
          <w:color w:val="231F20"/>
          <w:spacing w:val="-15"/>
          <w:w w:val="105"/>
        </w:rPr>
        <w:t> </w:t>
      </w:r>
      <w:r>
        <w:rPr>
          <w:color w:val="231F20"/>
          <w:w w:val="105"/>
        </w:rPr>
        <w:t>jurídicos que contribuyen al cumplimiento cabal de los documentos que</w:t>
      </w:r>
      <w:r>
        <w:rPr>
          <w:color w:val="231F20"/>
          <w:spacing w:val="-24"/>
          <w:w w:val="105"/>
        </w:rPr>
        <w:t> </w:t>
      </w:r>
      <w:r>
        <w:rPr>
          <w:color w:val="231F20"/>
          <w:w w:val="105"/>
        </w:rPr>
        <w:t>amparan </w:t>
      </w:r>
      <w:r>
        <w:rPr>
          <w:color w:val="231F20"/>
        </w:rPr>
        <w:t>estos</w:t>
      </w:r>
      <w:r>
        <w:rPr>
          <w:color w:val="231F20"/>
          <w:spacing w:val="22"/>
        </w:rPr>
        <w:t> </w:t>
      </w:r>
      <w:r>
        <w:rPr>
          <w:color w:val="231F20"/>
        </w:rPr>
        <w:t>derechos.</w:t>
      </w:r>
    </w:p>
    <w:p>
      <w:pPr>
        <w:pStyle w:val="BodyText"/>
        <w:spacing w:line="261" w:lineRule="auto" w:before="1"/>
        <w:ind w:left="1794" w:right="1690" w:firstLine="567"/>
        <w:jc w:val="both"/>
      </w:pPr>
      <w:r>
        <w:rPr>
          <w:color w:val="231F20"/>
          <w:w w:val="105"/>
        </w:rPr>
        <w:t>El Sistema Universal de Protección de los Derechos Humanos se </w:t>
      </w:r>
      <w:r>
        <w:rPr>
          <w:color w:val="231F20"/>
          <w:spacing w:val="-3"/>
          <w:w w:val="105"/>
        </w:rPr>
        <w:t>conforma</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spacing w:val="-3"/>
          <w:w w:val="105"/>
        </w:rPr>
        <w:t>instrumentos</w:t>
      </w:r>
      <w:r>
        <w:rPr>
          <w:color w:val="231F20"/>
          <w:spacing w:val="-10"/>
          <w:w w:val="105"/>
        </w:rPr>
        <w:t> </w:t>
      </w:r>
      <w:r>
        <w:rPr>
          <w:color w:val="231F20"/>
          <w:spacing w:val="-3"/>
          <w:w w:val="105"/>
        </w:rPr>
        <w:t>internacionales</w:t>
      </w:r>
      <w:r>
        <w:rPr>
          <w:color w:val="231F20"/>
          <w:spacing w:val="-10"/>
          <w:w w:val="105"/>
        </w:rPr>
        <w:t> </w:t>
      </w:r>
      <w:r>
        <w:rPr>
          <w:color w:val="231F20"/>
          <w:spacing w:val="-3"/>
          <w:w w:val="105"/>
        </w:rPr>
        <w:t>desarrollados</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9"/>
          <w:w w:val="105"/>
        </w:rPr>
        <w:t> </w:t>
      </w:r>
      <w:r>
        <w:rPr>
          <w:color w:val="231F20"/>
          <w:w w:val="105"/>
          <w:sz w:val="17"/>
        </w:rPr>
        <w:t>ONU</w:t>
      </w:r>
      <w:r>
        <w:rPr>
          <w:color w:val="231F20"/>
          <w:spacing w:val="2"/>
          <w:w w:val="105"/>
          <w:sz w:val="17"/>
        </w:rPr>
        <w:t> </w:t>
      </w:r>
      <w:r>
        <w:rPr>
          <w:color w:val="231F20"/>
          <w:spacing w:val="-10"/>
          <w:w w:val="105"/>
        </w:rPr>
        <w:t>y, </w:t>
      </w:r>
      <w:r>
        <w:rPr>
          <w:color w:val="231F20"/>
          <w:w w:val="105"/>
        </w:rPr>
        <w:t>a</w:t>
      </w:r>
      <w:r>
        <w:rPr>
          <w:color w:val="231F20"/>
          <w:spacing w:val="-7"/>
          <w:w w:val="105"/>
        </w:rPr>
        <w:t> </w:t>
      </w:r>
      <w:r>
        <w:rPr>
          <w:color w:val="231F20"/>
          <w:w w:val="105"/>
        </w:rPr>
        <w:t>su</w:t>
      </w:r>
      <w:r>
        <w:rPr>
          <w:color w:val="231F20"/>
          <w:spacing w:val="-7"/>
          <w:w w:val="105"/>
        </w:rPr>
        <w:t> </w:t>
      </w:r>
      <w:r>
        <w:rPr>
          <w:color w:val="231F20"/>
          <w:w w:val="105"/>
        </w:rPr>
        <w:t>vez,</w:t>
      </w:r>
      <w:r>
        <w:rPr>
          <w:color w:val="231F20"/>
          <w:spacing w:val="-12"/>
          <w:w w:val="105"/>
        </w:rPr>
        <w:t> </w:t>
      </w:r>
      <w:r>
        <w:rPr>
          <w:color w:val="231F20"/>
          <w:w w:val="105"/>
        </w:rPr>
        <w:t>por</w:t>
      </w:r>
      <w:r>
        <w:rPr>
          <w:color w:val="231F20"/>
          <w:spacing w:val="-7"/>
          <w:w w:val="105"/>
        </w:rPr>
        <w:t> </w:t>
      </w:r>
      <w:r>
        <w:rPr>
          <w:color w:val="231F20"/>
          <w:w w:val="105"/>
        </w:rPr>
        <w:t>los</w:t>
      </w:r>
      <w:r>
        <w:rPr>
          <w:color w:val="231F20"/>
          <w:spacing w:val="-7"/>
          <w:w w:val="105"/>
        </w:rPr>
        <w:t> </w:t>
      </w:r>
      <w:r>
        <w:rPr>
          <w:color w:val="231F20"/>
          <w:w w:val="105"/>
        </w:rPr>
        <w:t>mecanismos</w:t>
      </w:r>
      <w:r>
        <w:rPr>
          <w:color w:val="231F20"/>
          <w:spacing w:val="-7"/>
          <w:w w:val="105"/>
        </w:rPr>
        <w:t> </w:t>
      </w:r>
      <w:r>
        <w:rPr>
          <w:color w:val="231F20"/>
          <w:w w:val="105"/>
        </w:rPr>
        <w:t>que</w:t>
      </w:r>
      <w:r>
        <w:rPr>
          <w:color w:val="231F20"/>
          <w:spacing w:val="-7"/>
          <w:w w:val="105"/>
        </w:rPr>
        <w:t> </w:t>
      </w:r>
      <w:r>
        <w:rPr>
          <w:color w:val="231F20"/>
          <w:w w:val="105"/>
        </w:rPr>
        <w:t>este</w:t>
      </w:r>
      <w:r>
        <w:rPr>
          <w:color w:val="231F20"/>
          <w:spacing w:val="-7"/>
          <w:w w:val="105"/>
        </w:rPr>
        <w:t> </w:t>
      </w:r>
      <w:r>
        <w:rPr>
          <w:color w:val="231F20"/>
          <w:w w:val="105"/>
        </w:rPr>
        <w:t>organismo</w:t>
      </w:r>
      <w:r>
        <w:rPr>
          <w:color w:val="231F20"/>
          <w:spacing w:val="-7"/>
          <w:w w:val="105"/>
        </w:rPr>
        <w:t> </w:t>
      </w:r>
      <w:r>
        <w:rPr>
          <w:color w:val="231F20"/>
          <w:w w:val="105"/>
        </w:rPr>
        <w:t>ha</w:t>
      </w:r>
      <w:r>
        <w:rPr>
          <w:color w:val="231F20"/>
          <w:spacing w:val="-7"/>
          <w:w w:val="105"/>
        </w:rPr>
        <w:t> </w:t>
      </w:r>
      <w:r>
        <w:rPr>
          <w:color w:val="231F20"/>
          <w:w w:val="105"/>
        </w:rPr>
        <w:t>creado</w:t>
      </w:r>
      <w:r>
        <w:rPr>
          <w:color w:val="231F20"/>
          <w:spacing w:val="-7"/>
          <w:w w:val="105"/>
        </w:rPr>
        <w:t> </w:t>
      </w:r>
      <w:r>
        <w:rPr>
          <w:color w:val="231F20"/>
          <w:w w:val="105"/>
        </w:rPr>
        <w:t>para</w:t>
      </w:r>
      <w:r>
        <w:rPr>
          <w:color w:val="231F20"/>
          <w:spacing w:val="-7"/>
          <w:w w:val="105"/>
        </w:rPr>
        <w:t> </w:t>
      </w:r>
      <w:r>
        <w:rPr>
          <w:color w:val="231F20"/>
          <w:w w:val="105"/>
        </w:rPr>
        <w:t>salva- guardar</w:t>
      </w:r>
      <w:r>
        <w:rPr>
          <w:color w:val="231F20"/>
          <w:spacing w:val="-25"/>
          <w:w w:val="105"/>
        </w:rPr>
        <w:t> </w:t>
      </w:r>
      <w:r>
        <w:rPr>
          <w:color w:val="231F20"/>
          <w:w w:val="105"/>
        </w:rPr>
        <w:t>y</w:t>
      </w:r>
      <w:r>
        <w:rPr>
          <w:color w:val="231F20"/>
          <w:spacing w:val="-25"/>
          <w:w w:val="105"/>
        </w:rPr>
        <w:t> </w:t>
      </w:r>
      <w:r>
        <w:rPr>
          <w:color w:val="231F20"/>
          <w:w w:val="105"/>
        </w:rPr>
        <w:t>cumplimentar</w:t>
      </w:r>
      <w:r>
        <w:rPr>
          <w:color w:val="231F20"/>
          <w:spacing w:val="-25"/>
          <w:w w:val="105"/>
        </w:rPr>
        <w:t> </w:t>
      </w:r>
      <w:r>
        <w:rPr>
          <w:color w:val="231F20"/>
          <w:w w:val="105"/>
        </w:rPr>
        <w:t>los</w:t>
      </w:r>
      <w:r>
        <w:rPr>
          <w:color w:val="231F20"/>
          <w:spacing w:val="-25"/>
          <w:w w:val="105"/>
        </w:rPr>
        <w:t> </w:t>
      </w:r>
      <w:r>
        <w:rPr>
          <w:color w:val="231F20"/>
          <w:w w:val="105"/>
        </w:rPr>
        <w:t>derechos</w:t>
      </w:r>
      <w:r>
        <w:rPr>
          <w:color w:val="231F20"/>
          <w:spacing w:val="-25"/>
          <w:w w:val="105"/>
        </w:rPr>
        <w:t> </w:t>
      </w:r>
      <w:r>
        <w:rPr>
          <w:color w:val="231F20"/>
          <w:w w:val="105"/>
        </w:rPr>
        <w:t>humanos</w:t>
      </w:r>
      <w:r>
        <w:rPr>
          <w:color w:val="231F20"/>
          <w:spacing w:val="-25"/>
          <w:w w:val="105"/>
        </w:rPr>
        <w:t> </w:t>
      </w:r>
      <w:r>
        <w:rPr>
          <w:color w:val="231F20"/>
          <w:w w:val="105"/>
        </w:rPr>
        <w:t>de</w:t>
      </w:r>
      <w:r>
        <w:rPr>
          <w:color w:val="231F20"/>
          <w:spacing w:val="-25"/>
          <w:w w:val="105"/>
        </w:rPr>
        <w:t> </w:t>
      </w:r>
      <w:r>
        <w:rPr>
          <w:color w:val="231F20"/>
          <w:w w:val="105"/>
        </w:rPr>
        <w:t>sus</w:t>
      </w:r>
      <w:r>
        <w:rPr>
          <w:color w:val="231F20"/>
          <w:spacing w:val="-25"/>
          <w:w w:val="105"/>
        </w:rPr>
        <w:t> </w:t>
      </w:r>
      <w:r>
        <w:rPr>
          <w:color w:val="231F20"/>
          <w:w w:val="105"/>
        </w:rPr>
        <w:t>estados</w:t>
      </w:r>
      <w:r>
        <w:rPr>
          <w:color w:val="231F20"/>
          <w:spacing w:val="-25"/>
          <w:w w:val="105"/>
        </w:rPr>
        <w:t> </w:t>
      </w:r>
      <w:r>
        <w:rPr>
          <w:color w:val="231F20"/>
          <w:w w:val="105"/>
        </w:rPr>
        <w:t>miembros. Los principales instrumentos del sistema de mérito son: la Carta de las Naciones</w:t>
      </w:r>
      <w:r>
        <w:rPr>
          <w:color w:val="231F20"/>
          <w:spacing w:val="-34"/>
          <w:w w:val="105"/>
        </w:rPr>
        <w:t> </w:t>
      </w:r>
      <w:r>
        <w:rPr>
          <w:color w:val="231F20"/>
          <w:w w:val="105"/>
        </w:rPr>
        <w:t>Unidas,</w:t>
      </w:r>
      <w:r>
        <w:rPr>
          <w:color w:val="231F20"/>
          <w:spacing w:val="-37"/>
          <w:w w:val="105"/>
        </w:rPr>
        <w:t> </w:t>
      </w:r>
      <w:r>
        <w:rPr>
          <w:color w:val="231F20"/>
          <w:w w:val="105"/>
        </w:rPr>
        <w:t>la</w:t>
      </w:r>
      <w:r>
        <w:rPr>
          <w:color w:val="231F20"/>
          <w:spacing w:val="-34"/>
          <w:w w:val="105"/>
        </w:rPr>
        <w:t> </w:t>
      </w:r>
      <w:r>
        <w:rPr>
          <w:color w:val="231F20"/>
          <w:w w:val="105"/>
        </w:rPr>
        <w:t>Declaración</w:t>
      </w:r>
      <w:r>
        <w:rPr>
          <w:color w:val="231F20"/>
          <w:spacing w:val="-34"/>
          <w:w w:val="105"/>
        </w:rPr>
        <w:t> </w:t>
      </w:r>
      <w:r>
        <w:rPr>
          <w:color w:val="231F20"/>
          <w:w w:val="105"/>
        </w:rPr>
        <w:t>Universal</w:t>
      </w:r>
      <w:r>
        <w:rPr>
          <w:color w:val="231F20"/>
          <w:spacing w:val="-34"/>
          <w:w w:val="105"/>
        </w:rPr>
        <w:t> </w:t>
      </w:r>
      <w:r>
        <w:rPr>
          <w:color w:val="231F20"/>
          <w:w w:val="105"/>
        </w:rPr>
        <w:t>de</w:t>
      </w:r>
      <w:r>
        <w:rPr>
          <w:color w:val="231F20"/>
          <w:spacing w:val="-34"/>
          <w:w w:val="105"/>
        </w:rPr>
        <w:t> </w:t>
      </w:r>
      <w:r>
        <w:rPr>
          <w:color w:val="231F20"/>
          <w:w w:val="105"/>
        </w:rPr>
        <w:t>los</w:t>
      </w:r>
      <w:r>
        <w:rPr>
          <w:color w:val="231F20"/>
          <w:spacing w:val="-34"/>
          <w:w w:val="105"/>
        </w:rPr>
        <w:t> </w:t>
      </w:r>
      <w:r>
        <w:rPr>
          <w:color w:val="231F20"/>
          <w:w w:val="105"/>
        </w:rPr>
        <w:t>Derechos</w:t>
      </w:r>
      <w:r>
        <w:rPr>
          <w:color w:val="231F20"/>
          <w:spacing w:val="-34"/>
          <w:w w:val="105"/>
        </w:rPr>
        <w:t> </w:t>
      </w:r>
      <w:r>
        <w:rPr>
          <w:color w:val="231F20"/>
          <w:w w:val="105"/>
        </w:rPr>
        <w:t>Humanos</w:t>
      </w:r>
      <w:r>
        <w:rPr>
          <w:color w:val="231F20"/>
          <w:spacing w:val="-34"/>
          <w:w w:val="105"/>
        </w:rPr>
        <w:t> </w:t>
      </w:r>
      <w:r>
        <w:rPr>
          <w:color w:val="231F20"/>
          <w:w w:val="105"/>
        </w:rPr>
        <w:t>y</w:t>
      </w:r>
      <w:r>
        <w:rPr>
          <w:color w:val="231F20"/>
          <w:spacing w:val="-34"/>
          <w:w w:val="105"/>
        </w:rPr>
        <w:t> </w:t>
      </w:r>
      <w:r>
        <w:rPr>
          <w:color w:val="231F20"/>
          <w:w w:val="105"/>
        </w:rPr>
        <w:t>los tratados,</w:t>
      </w:r>
      <w:r>
        <w:rPr>
          <w:color w:val="231F20"/>
          <w:spacing w:val="-28"/>
          <w:w w:val="105"/>
        </w:rPr>
        <w:t> </w:t>
      </w:r>
      <w:r>
        <w:rPr>
          <w:color w:val="231F20"/>
          <w:w w:val="105"/>
        </w:rPr>
        <w:t>pactos,</w:t>
      </w:r>
      <w:r>
        <w:rPr>
          <w:color w:val="231F20"/>
          <w:spacing w:val="-28"/>
          <w:w w:val="105"/>
        </w:rPr>
        <w:t> </w:t>
      </w:r>
      <w:r>
        <w:rPr>
          <w:color w:val="231F20"/>
          <w:w w:val="105"/>
        </w:rPr>
        <w:t>convenciones</w:t>
      </w:r>
      <w:r>
        <w:rPr>
          <w:color w:val="231F20"/>
          <w:spacing w:val="-24"/>
          <w:w w:val="105"/>
        </w:rPr>
        <w:t> </w:t>
      </w:r>
      <w:r>
        <w:rPr>
          <w:color w:val="231F20"/>
          <w:w w:val="105"/>
        </w:rPr>
        <w:t>o</w:t>
      </w:r>
      <w:r>
        <w:rPr>
          <w:color w:val="231F20"/>
          <w:spacing w:val="-24"/>
          <w:w w:val="105"/>
        </w:rPr>
        <w:t> </w:t>
      </w:r>
      <w:r>
        <w:rPr>
          <w:color w:val="231F20"/>
          <w:w w:val="105"/>
        </w:rPr>
        <w:t>protocolos</w:t>
      </w:r>
      <w:r>
        <w:rPr>
          <w:color w:val="231F20"/>
          <w:spacing w:val="-24"/>
          <w:w w:val="105"/>
        </w:rPr>
        <w:t> </w:t>
      </w:r>
      <w:r>
        <w:rPr>
          <w:color w:val="231F20"/>
          <w:w w:val="105"/>
        </w:rPr>
        <w:t>internacionales.</w:t>
      </w:r>
    </w:p>
    <w:p>
      <w:pPr>
        <w:pStyle w:val="BodyText"/>
        <w:spacing w:line="261" w:lineRule="auto" w:before="1"/>
        <w:ind w:left="1794" w:right="1696" w:firstLine="567"/>
        <w:jc w:val="both"/>
      </w:pPr>
      <w:r>
        <w:rPr>
          <w:color w:val="231F20"/>
          <w:spacing w:val="-3"/>
          <w:w w:val="105"/>
        </w:rPr>
        <w:t>Dado</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spacing w:val="-3"/>
          <w:w w:val="105"/>
        </w:rPr>
        <w:t>niñez</w:t>
      </w:r>
      <w:r>
        <w:rPr>
          <w:color w:val="231F20"/>
          <w:spacing w:val="-10"/>
          <w:w w:val="105"/>
        </w:rPr>
        <w:t> </w:t>
      </w:r>
      <w:r>
        <w:rPr>
          <w:color w:val="231F20"/>
          <w:w w:val="105"/>
        </w:rPr>
        <w:t>es</w:t>
      </w:r>
      <w:r>
        <w:rPr>
          <w:color w:val="231F20"/>
          <w:spacing w:val="-10"/>
          <w:w w:val="105"/>
        </w:rPr>
        <w:t> </w:t>
      </w:r>
      <w:r>
        <w:rPr>
          <w:color w:val="231F20"/>
          <w:spacing w:val="-3"/>
          <w:w w:val="105"/>
        </w:rPr>
        <w:t>pilar</w:t>
      </w:r>
      <w:r>
        <w:rPr>
          <w:color w:val="231F20"/>
          <w:spacing w:val="-10"/>
          <w:w w:val="105"/>
        </w:rPr>
        <w:t> </w:t>
      </w:r>
      <w:r>
        <w:rPr>
          <w:color w:val="231F20"/>
          <w:spacing w:val="-3"/>
          <w:w w:val="105"/>
        </w:rPr>
        <w:t>fundamental</w:t>
      </w:r>
      <w:r>
        <w:rPr>
          <w:color w:val="231F20"/>
          <w:spacing w:val="-10"/>
          <w:w w:val="105"/>
        </w:rPr>
        <w:t> </w:t>
      </w:r>
      <w:r>
        <w:rPr>
          <w:color w:val="231F20"/>
          <w:w w:val="105"/>
        </w:rPr>
        <w:t>de</w:t>
      </w:r>
      <w:r>
        <w:rPr>
          <w:color w:val="231F20"/>
          <w:spacing w:val="-10"/>
          <w:w w:val="105"/>
        </w:rPr>
        <w:t> </w:t>
      </w:r>
      <w:r>
        <w:rPr>
          <w:color w:val="231F20"/>
          <w:spacing w:val="-3"/>
          <w:w w:val="105"/>
        </w:rPr>
        <w:t>cualquier</w:t>
      </w:r>
      <w:r>
        <w:rPr>
          <w:color w:val="231F20"/>
          <w:spacing w:val="-10"/>
          <w:w w:val="105"/>
        </w:rPr>
        <w:t> </w:t>
      </w:r>
      <w:r>
        <w:rPr>
          <w:color w:val="231F20"/>
          <w:spacing w:val="-3"/>
          <w:w w:val="105"/>
        </w:rPr>
        <w:t>sociedad,</w:t>
      </w:r>
      <w:r>
        <w:rPr>
          <w:color w:val="231F20"/>
          <w:spacing w:val="-16"/>
          <w:w w:val="105"/>
        </w:rPr>
        <w:t> </w:t>
      </w:r>
      <w:r>
        <w:rPr>
          <w:color w:val="231F20"/>
          <w:spacing w:val="-3"/>
          <w:w w:val="105"/>
        </w:rPr>
        <w:t>pues </w:t>
      </w:r>
      <w:r>
        <w:rPr>
          <w:color w:val="231F20"/>
          <w:spacing w:val="-4"/>
          <w:w w:val="105"/>
        </w:rPr>
        <w:t>representa</w:t>
      </w:r>
      <w:r>
        <w:rPr>
          <w:color w:val="231F20"/>
          <w:spacing w:val="-14"/>
          <w:w w:val="105"/>
        </w:rPr>
        <w:t> </w:t>
      </w:r>
      <w:r>
        <w:rPr>
          <w:color w:val="231F20"/>
          <w:w w:val="105"/>
        </w:rPr>
        <w:t>las</w:t>
      </w:r>
      <w:r>
        <w:rPr>
          <w:color w:val="231F20"/>
          <w:spacing w:val="-14"/>
          <w:w w:val="105"/>
        </w:rPr>
        <w:t> </w:t>
      </w:r>
      <w:r>
        <w:rPr>
          <w:color w:val="231F20"/>
          <w:spacing w:val="-3"/>
          <w:w w:val="105"/>
        </w:rPr>
        <w:t>expectativas</w:t>
      </w:r>
      <w:r>
        <w:rPr>
          <w:color w:val="231F20"/>
          <w:spacing w:val="-14"/>
          <w:w w:val="105"/>
        </w:rPr>
        <w:t> </w:t>
      </w:r>
      <w:r>
        <w:rPr>
          <w:color w:val="231F20"/>
          <w:w w:val="105"/>
        </w:rPr>
        <w:t>del</w:t>
      </w:r>
      <w:r>
        <w:rPr>
          <w:color w:val="231F20"/>
          <w:spacing w:val="-14"/>
          <w:w w:val="105"/>
        </w:rPr>
        <w:t> </w:t>
      </w:r>
      <w:r>
        <w:rPr>
          <w:color w:val="231F20"/>
          <w:spacing w:val="-3"/>
          <w:w w:val="105"/>
        </w:rPr>
        <w:t>futuro</w:t>
      </w:r>
      <w:r>
        <w:rPr>
          <w:color w:val="231F20"/>
          <w:spacing w:val="-14"/>
          <w:w w:val="105"/>
        </w:rPr>
        <w:t> </w:t>
      </w:r>
      <w:r>
        <w:rPr>
          <w:color w:val="231F20"/>
          <w:w w:val="105"/>
        </w:rPr>
        <w:t>no</w:t>
      </w:r>
      <w:r>
        <w:rPr>
          <w:color w:val="231F20"/>
          <w:spacing w:val="-14"/>
          <w:w w:val="105"/>
        </w:rPr>
        <w:t> </w:t>
      </w:r>
      <w:r>
        <w:rPr>
          <w:color w:val="231F20"/>
          <w:spacing w:val="-3"/>
          <w:w w:val="105"/>
        </w:rPr>
        <w:t>sólo</w:t>
      </w:r>
      <w:r>
        <w:rPr>
          <w:color w:val="231F20"/>
          <w:spacing w:val="-14"/>
          <w:w w:val="105"/>
        </w:rPr>
        <w:t> </w:t>
      </w:r>
      <w:r>
        <w:rPr>
          <w:color w:val="231F20"/>
          <w:w w:val="105"/>
        </w:rPr>
        <w:t>de</w:t>
      </w:r>
      <w:r>
        <w:rPr>
          <w:color w:val="231F20"/>
          <w:spacing w:val="-14"/>
          <w:w w:val="105"/>
        </w:rPr>
        <w:t> </w:t>
      </w:r>
      <w:r>
        <w:rPr>
          <w:color w:val="231F20"/>
          <w:spacing w:val="-3"/>
          <w:w w:val="105"/>
        </w:rPr>
        <w:t>cada</w:t>
      </w:r>
      <w:r>
        <w:rPr>
          <w:color w:val="231F20"/>
          <w:spacing w:val="-14"/>
          <w:w w:val="105"/>
        </w:rPr>
        <w:t> </w:t>
      </w:r>
      <w:r>
        <w:rPr>
          <w:color w:val="231F20"/>
          <w:spacing w:val="-3"/>
          <w:w w:val="105"/>
        </w:rPr>
        <w:t>país,</w:t>
      </w:r>
      <w:r>
        <w:rPr>
          <w:color w:val="231F20"/>
          <w:spacing w:val="-19"/>
          <w:w w:val="105"/>
        </w:rPr>
        <w:t> </w:t>
      </w:r>
      <w:r>
        <w:rPr>
          <w:color w:val="231F20"/>
          <w:spacing w:val="-3"/>
          <w:w w:val="105"/>
        </w:rPr>
        <w:t>sino</w:t>
      </w:r>
      <w:r>
        <w:rPr>
          <w:color w:val="231F20"/>
          <w:spacing w:val="-14"/>
          <w:w w:val="105"/>
        </w:rPr>
        <w:t> </w:t>
      </w:r>
      <w:r>
        <w:rPr>
          <w:color w:val="231F20"/>
          <w:w w:val="105"/>
        </w:rPr>
        <w:t>de</w:t>
      </w:r>
      <w:r>
        <w:rPr>
          <w:color w:val="231F20"/>
          <w:spacing w:val="-14"/>
          <w:w w:val="105"/>
        </w:rPr>
        <w:t> </w:t>
      </w:r>
      <w:r>
        <w:rPr>
          <w:color w:val="231F20"/>
          <w:spacing w:val="-3"/>
          <w:w w:val="105"/>
        </w:rPr>
        <w:t>toda</w:t>
      </w:r>
      <w:r>
        <w:rPr>
          <w:color w:val="231F20"/>
          <w:spacing w:val="-14"/>
          <w:w w:val="105"/>
        </w:rPr>
        <w:t> </w:t>
      </w:r>
      <w:r>
        <w:rPr>
          <w:color w:val="231F20"/>
          <w:spacing w:val="-3"/>
          <w:w w:val="105"/>
        </w:rPr>
        <w:t>la humanidad, </w:t>
      </w:r>
      <w:r>
        <w:rPr>
          <w:color w:val="231F20"/>
          <w:w w:val="105"/>
        </w:rPr>
        <w:t>la </w:t>
      </w:r>
      <w:r>
        <w:rPr>
          <w:color w:val="231F20"/>
          <w:spacing w:val="-3"/>
          <w:w w:val="105"/>
        </w:rPr>
        <w:t>comunidad internacional </w:t>
      </w:r>
      <w:r>
        <w:rPr>
          <w:color w:val="231F20"/>
          <w:w w:val="105"/>
        </w:rPr>
        <w:t>ha </w:t>
      </w:r>
      <w:r>
        <w:rPr>
          <w:color w:val="231F20"/>
          <w:spacing w:val="-3"/>
          <w:w w:val="105"/>
        </w:rPr>
        <w:t>considerado indispensable el respeto</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spacing w:val="-3"/>
          <w:w w:val="105"/>
        </w:rPr>
        <w:t>observancia</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spacing w:val="-3"/>
          <w:w w:val="105"/>
        </w:rPr>
        <w:t>derechos</w:t>
      </w:r>
      <w:r>
        <w:rPr>
          <w:color w:val="231F20"/>
          <w:spacing w:val="-17"/>
          <w:w w:val="105"/>
        </w:rPr>
        <w:t> </w:t>
      </w:r>
      <w:r>
        <w:rPr>
          <w:color w:val="231F20"/>
          <w:spacing w:val="-3"/>
          <w:w w:val="105"/>
        </w:rPr>
        <w:t>fundamentales</w:t>
      </w:r>
      <w:r>
        <w:rPr>
          <w:color w:val="231F20"/>
          <w:spacing w:val="-17"/>
          <w:w w:val="105"/>
        </w:rPr>
        <w:t> </w:t>
      </w:r>
      <w:r>
        <w:rPr>
          <w:color w:val="231F20"/>
          <w:w w:val="105"/>
        </w:rPr>
        <w:t>que</w:t>
      </w:r>
      <w:r>
        <w:rPr>
          <w:color w:val="231F20"/>
          <w:spacing w:val="-17"/>
          <w:w w:val="105"/>
        </w:rPr>
        <w:t> </w:t>
      </w:r>
      <w:r>
        <w:rPr>
          <w:color w:val="231F20"/>
          <w:spacing w:val="-3"/>
          <w:w w:val="105"/>
        </w:rPr>
        <w:t>posibilitan</w:t>
      </w:r>
      <w:r>
        <w:rPr>
          <w:color w:val="231F20"/>
          <w:spacing w:val="-17"/>
          <w:w w:val="105"/>
        </w:rPr>
        <w:t> </w:t>
      </w:r>
      <w:r>
        <w:rPr>
          <w:color w:val="231F20"/>
          <w:spacing w:val="-3"/>
          <w:w w:val="105"/>
        </w:rPr>
        <w:t>su desarrollo</w:t>
      </w:r>
      <w:r>
        <w:rPr>
          <w:color w:val="231F20"/>
          <w:spacing w:val="-12"/>
          <w:w w:val="105"/>
        </w:rPr>
        <w:t> </w:t>
      </w:r>
      <w:r>
        <w:rPr>
          <w:color w:val="231F20"/>
          <w:spacing w:val="-3"/>
          <w:w w:val="105"/>
        </w:rPr>
        <w:t>integral.</w:t>
      </w:r>
      <w:r>
        <w:rPr>
          <w:color w:val="231F20"/>
          <w:spacing w:val="-20"/>
          <w:w w:val="105"/>
        </w:rPr>
        <w:t> </w:t>
      </w:r>
      <w:r>
        <w:rPr>
          <w:color w:val="231F20"/>
          <w:w w:val="105"/>
        </w:rPr>
        <w:t>Al</w:t>
      </w:r>
      <w:r>
        <w:rPr>
          <w:color w:val="231F20"/>
          <w:spacing w:val="-12"/>
          <w:w w:val="105"/>
        </w:rPr>
        <w:t> </w:t>
      </w:r>
      <w:r>
        <w:rPr>
          <w:color w:val="231F20"/>
          <w:spacing w:val="-4"/>
          <w:w w:val="105"/>
        </w:rPr>
        <w:t>respecto,</w:t>
      </w:r>
      <w:r>
        <w:rPr>
          <w:color w:val="231F20"/>
          <w:spacing w:val="-17"/>
          <w:w w:val="105"/>
        </w:rPr>
        <w:t> </w:t>
      </w:r>
      <w:r>
        <w:rPr>
          <w:color w:val="231F20"/>
          <w:w w:val="105"/>
        </w:rPr>
        <w:t>los</w:t>
      </w:r>
      <w:r>
        <w:rPr>
          <w:color w:val="231F20"/>
          <w:spacing w:val="-12"/>
          <w:w w:val="105"/>
        </w:rPr>
        <w:t> </w:t>
      </w:r>
      <w:r>
        <w:rPr>
          <w:color w:val="231F20"/>
          <w:spacing w:val="-3"/>
          <w:w w:val="105"/>
        </w:rPr>
        <w:t>diversos</w:t>
      </w:r>
      <w:r>
        <w:rPr>
          <w:color w:val="231F20"/>
          <w:spacing w:val="-12"/>
          <w:w w:val="105"/>
        </w:rPr>
        <w:t> </w:t>
      </w:r>
      <w:r>
        <w:rPr>
          <w:color w:val="231F20"/>
          <w:spacing w:val="-3"/>
          <w:w w:val="105"/>
        </w:rPr>
        <w:t>mecanismos</w:t>
      </w:r>
      <w:r>
        <w:rPr>
          <w:color w:val="231F20"/>
          <w:spacing w:val="-12"/>
          <w:w w:val="105"/>
        </w:rPr>
        <w:t> </w:t>
      </w:r>
      <w:r>
        <w:rPr>
          <w:color w:val="231F20"/>
          <w:spacing w:val="-3"/>
          <w:w w:val="105"/>
        </w:rPr>
        <w:t>jurídicos</w:t>
      </w:r>
      <w:r>
        <w:rPr>
          <w:color w:val="231F20"/>
          <w:spacing w:val="-12"/>
          <w:w w:val="105"/>
        </w:rPr>
        <w:t> </w:t>
      </w:r>
      <w:r>
        <w:rPr>
          <w:color w:val="231F20"/>
          <w:spacing w:val="-3"/>
          <w:w w:val="105"/>
        </w:rPr>
        <w:t>interna- cionales,</w:t>
      </w:r>
      <w:r>
        <w:rPr>
          <w:color w:val="231F20"/>
          <w:spacing w:val="-16"/>
          <w:w w:val="105"/>
        </w:rPr>
        <w:t> </w:t>
      </w:r>
      <w:r>
        <w:rPr>
          <w:color w:val="231F20"/>
          <w:spacing w:val="-3"/>
          <w:w w:val="105"/>
        </w:rPr>
        <w:t>bien</w:t>
      </w:r>
      <w:r>
        <w:rPr>
          <w:color w:val="231F20"/>
          <w:spacing w:val="-10"/>
          <w:w w:val="105"/>
        </w:rPr>
        <w:t> </w:t>
      </w:r>
      <w:r>
        <w:rPr>
          <w:color w:val="231F20"/>
          <w:spacing w:val="-3"/>
          <w:w w:val="105"/>
        </w:rPr>
        <w:t>sean</w:t>
      </w:r>
      <w:r>
        <w:rPr>
          <w:color w:val="231F20"/>
          <w:spacing w:val="-10"/>
          <w:w w:val="105"/>
        </w:rPr>
        <w:t> </w:t>
      </w:r>
      <w:r>
        <w:rPr>
          <w:color w:val="231F20"/>
          <w:spacing w:val="-4"/>
          <w:w w:val="105"/>
        </w:rPr>
        <w:t>declarativos</w:t>
      </w:r>
      <w:r>
        <w:rPr>
          <w:color w:val="231F20"/>
          <w:spacing w:val="-10"/>
          <w:w w:val="105"/>
        </w:rPr>
        <w:t> </w:t>
      </w:r>
      <w:r>
        <w:rPr>
          <w:color w:val="231F20"/>
          <w:w w:val="105"/>
        </w:rPr>
        <w:t>o</w:t>
      </w:r>
      <w:r>
        <w:rPr>
          <w:color w:val="231F20"/>
          <w:spacing w:val="-10"/>
          <w:w w:val="105"/>
        </w:rPr>
        <w:t> </w:t>
      </w:r>
      <w:r>
        <w:rPr>
          <w:color w:val="231F20"/>
          <w:spacing w:val="-3"/>
          <w:w w:val="105"/>
        </w:rPr>
        <w:t>convencionales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que</w:t>
      </w:r>
      <w:r>
        <w:rPr>
          <w:color w:val="231F20"/>
          <w:spacing w:val="-10"/>
          <w:w w:val="105"/>
        </w:rPr>
        <w:t> </w:t>
      </w:r>
      <w:r>
        <w:rPr>
          <w:color w:val="231F20"/>
          <w:spacing w:val="-3"/>
          <w:w w:val="105"/>
        </w:rPr>
        <w:t>nuestro</w:t>
      </w:r>
      <w:r>
        <w:rPr>
          <w:color w:val="231F20"/>
          <w:spacing w:val="-10"/>
          <w:w w:val="105"/>
        </w:rPr>
        <w:t> </w:t>
      </w:r>
      <w:r>
        <w:rPr>
          <w:color w:val="231F20"/>
          <w:spacing w:val="-3"/>
          <w:w w:val="105"/>
        </w:rPr>
        <w:t>país forma</w:t>
      </w:r>
      <w:r>
        <w:rPr>
          <w:color w:val="231F20"/>
          <w:spacing w:val="-10"/>
          <w:w w:val="105"/>
        </w:rPr>
        <w:t> </w:t>
      </w:r>
      <w:r>
        <w:rPr>
          <w:color w:val="231F20"/>
          <w:spacing w:val="-3"/>
          <w:w w:val="105"/>
        </w:rPr>
        <w:t>parte,</w:t>
      </w:r>
      <w:r>
        <w:rPr>
          <w:color w:val="231F20"/>
          <w:spacing w:val="-15"/>
          <w:w w:val="105"/>
        </w:rPr>
        <w:t> </w:t>
      </w:r>
      <w:r>
        <w:rPr>
          <w:color w:val="231F20"/>
          <w:spacing w:val="-3"/>
          <w:w w:val="105"/>
        </w:rPr>
        <w:t>consagran</w:t>
      </w:r>
      <w:r>
        <w:rPr>
          <w:color w:val="231F20"/>
          <w:spacing w:val="-10"/>
          <w:w w:val="105"/>
        </w:rPr>
        <w:t> </w:t>
      </w:r>
      <w:r>
        <w:rPr>
          <w:color w:val="231F20"/>
          <w:w w:val="105"/>
        </w:rPr>
        <w:t>una</w:t>
      </w:r>
      <w:r>
        <w:rPr>
          <w:color w:val="231F20"/>
          <w:spacing w:val="-10"/>
          <w:w w:val="105"/>
        </w:rPr>
        <w:t> </w:t>
      </w:r>
      <w:r>
        <w:rPr>
          <w:color w:val="231F20"/>
          <w:spacing w:val="-3"/>
          <w:w w:val="105"/>
        </w:rPr>
        <w:t>suma</w:t>
      </w:r>
      <w:r>
        <w:rPr>
          <w:color w:val="231F20"/>
          <w:spacing w:val="-10"/>
          <w:w w:val="105"/>
        </w:rPr>
        <w:t> </w:t>
      </w:r>
      <w:r>
        <w:rPr>
          <w:color w:val="231F20"/>
          <w:w w:val="105"/>
        </w:rPr>
        <w:t>de</w:t>
      </w:r>
      <w:r>
        <w:rPr>
          <w:color w:val="231F20"/>
          <w:spacing w:val="-10"/>
          <w:w w:val="105"/>
        </w:rPr>
        <w:t> </w:t>
      </w:r>
      <w:r>
        <w:rPr>
          <w:color w:val="231F20"/>
          <w:spacing w:val="-4"/>
          <w:w w:val="105"/>
        </w:rPr>
        <w:t>prerrogativas</w:t>
      </w:r>
      <w:r>
        <w:rPr>
          <w:color w:val="231F20"/>
          <w:spacing w:val="-10"/>
          <w:w w:val="105"/>
        </w:rPr>
        <w:t> </w:t>
      </w:r>
      <w:r>
        <w:rPr>
          <w:color w:val="231F20"/>
          <w:w w:val="105"/>
        </w:rPr>
        <w:t>y</w:t>
      </w:r>
      <w:r>
        <w:rPr>
          <w:color w:val="231F20"/>
          <w:spacing w:val="-10"/>
          <w:w w:val="105"/>
        </w:rPr>
        <w:t> </w:t>
      </w:r>
      <w:r>
        <w:rPr>
          <w:color w:val="231F20"/>
          <w:spacing w:val="-3"/>
          <w:w w:val="105"/>
        </w:rPr>
        <w:t>facultades</w:t>
      </w:r>
      <w:r>
        <w:rPr>
          <w:color w:val="231F20"/>
          <w:spacing w:val="-10"/>
          <w:w w:val="105"/>
        </w:rPr>
        <w:t> </w:t>
      </w:r>
      <w:r>
        <w:rPr>
          <w:color w:val="231F20"/>
          <w:w w:val="105"/>
        </w:rPr>
        <w:t>que</w:t>
      </w:r>
      <w:r>
        <w:rPr>
          <w:color w:val="231F20"/>
          <w:spacing w:val="-10"/>
          <w:w w:val="105"/>
        </w:rPr>
        <w:t> </w:t>
      </w:r>
      <w:r>
        <w:rPr>
          <w:color w:val="231F20"/>
          <w:spacing w:val="-3"/>
          <w:w w:val="105"/>
        </w:rPr>
        <w:t>resul- </w:t>
      </w:r>
      <w:r>
        <w:rPr>
          <w:color w:val="231F20"/>
          <w:w w:val="105"/>
        </w:rPr>
        <w:t>tan</w:t>
      </w:r>
      <w:r>
        <w:rPr>
          <w:color w:val="231F20"/>
          <w:spacing w:val="-30"/>
          <w:w w:val="105"/>
        </w:rPr>
        <w:t> </w:t>
      </w:r>
      <w:r>
        <w:rPr>
          <w:color w:val="231F20"/>
          <w:spacing w:val="-3"/>
          <w:w w:val="105"/>
        </w:rPr>
        <w:t>necesarias</w:t>
      </w:r>
      <w:r>
        <w:rPr>
          <w:color w:val="231F20"/>
          <w:spacing w:val="-30"/>
          <w:w w:val="105"/>
        </w:rPr>
        <w:t> </w:t>
      </w:r>
      <w:r>
        <w:rPr>
          <w:color w:val="231F20"/>
          <w:spacing w:val="-3"/>
          <w:w w:val="105"/>
        </w:rPr>
        <w:t>para</w:t>
      </w:r>
      <w:r>
        <w:rPr>
          <w:color w:val="231F20"/>
          <w:spacing w:val="-30"/>
          <w:w w:val="105"/>
        </w:rPr>
        <w:t> </w:t>
      </w:r>
      <w:r>
        <w:rPr>
          <w:color w:val="231F20"/>
          <w:w w:val="105"/>
        </w:rPr>
        <w:t>el</w:t>
      </w:r>
      <w:r>
        <w:rPr>
          <w:color w:val="231F20"/>
          <w:spacing w:val="-30"/>
          <w:w w:val="105"/>
        </w:rPr>
        <w:t> </w:t>
      </w:r>
      <w:r>
        <w:rPr>
          <w:color w:val="231F20"/>
          <w:spacing w:val="-3"/>
          <w:w w:val="105"/>
        </w:rPr>
        <w:t>disfrute</w:t>
      </w:r>
      <w:r>
        <w:rPr>
          <w:color w:val="231F20"/>
          <w:spacing w:val="-30"/>
          <w:w w:val="105"/>
        </w:rPr>
        <w:t> </w:t>
      </w:r>
      <w:r>
        <w:rPr>
          <w:color w:val="231F20"/>
          <w:w w:val="105"/>
        </w:rPr>
        <w:t>de</w:t>
      </w:r>
      <w:r>
        <w:rPr>
          <w:color w:val="231F20"/>
          <w:spacing w:val="-30"/>
          <w:w w:val="105"/>
        </w:rPr>
        <w:t> </w:t>
      </w:r>
      <w:r>
        <w:rPr>
          <w:color w:val="231F20"/>
          <w:w w:val="105"/>
        </w:rPr>
        <w:t>sus</w:t>
      </w:r>
      <w:r>
        <w:rPr>
          <w:color w:val="231F20"/>
          <w:spacing w:val="-30"/>
          <w:w w:val="105"/>
        </w:rPr>
        <w:t> </w:t>
      </w:r>
      <w:r>
        <w:rPr>
          <w:color w:val="231F20"/>
          <w:spacing w:val="-3"/>
          <w:w w:val="105"/>
        </w:rPr>
        <w:t>derechos</w:t>
      </w:r>
      <w:r>
        <w:rPr>
          <w:color w:val="231F20"/>
          <w:spacing w:val="-30"/>
          <w:w w:val="105"/>
        </w:rPr>
        <w:t> </w:t>
      </w:r>
      <w:r>
        <w:rPr>
          <w:color w:val="231F20"/>
          <w:spacing w:val="-3"/>
          <w:w w:val="105"/>
        </w:rPr>
        <w:t>humanos.</w:t>
      </w:r>
    </w:p>
    <w:p>
      <w:pPr>
        <w:pStyle w:val="BodyText"/>
        <w:spacing w:line="261" w:lineRule="auto" w:before="1"/>
        <w:ind w:left="1794" w:right="1691" w:firstLine="567"/>
        <w:jc w:val="right"/>
      </w:pPr>
      <w:r>
        <w:rPr>
          <w:color w:val="231F20"/>
          <w:w w:val="105"/>
        </w:rPr>
        <w:t>La</w:t>
      </w:r>
      <w:r>
        <w:rPr>
          <w:color w:val="231F20"/>
          <w:spacing w:val="-6"/>
          <w:w w:val="105"/>
        </w:rPr>
        <w:t> </w:t>
      </w:r>
      <w:r>
        <w:rPr>
          <w:color w:val="231F20"/>
          <w:w w:val="105"/>
        </w:rPr>
        <w:t>comunidad</w:t>
      </w:r>
      <w:r>
        <w:rPr>
          <w:color w:val="231F20"/>
          <w:spacing w:val="-6"/>
          <w:w w:val="105"/>
        </w:rPr>
        <w:t> </w:t>
      </w:r>
      <w:r>
        <w:rPr>
          <w:color w:val="231F20"/>
          <w:w w:val="105"/>
        </w:rPr>
        <w:t>internacional</w:t>
      </w:r>
      <w:r>
        <w:rPr>
          <w:color w:val="231F20"/>
          <w:spacing w:val="-6"/>
          <w:w w:val="105"/>
        </w:rPr>
        <w:t> </w:t>
      </w:r>
      <w:r>
        <w:rPr>
          <w:color w:val="231F20"/>
          <w:w w:val="105"/>
        </w:rPr>
        <w:t>ha</w:t>
      </w:r>
      <w:r>
        <w:rPr>
          <w:color w:val="231F20"/>
          <w:spacing w:val="-6"/>
          <w:w w:val="105"/>
        </w:rPr>
        <w:t> </w:t>
      </w:r>
      <w:r>
        <w:rPr>
          <w:color w:val="231F20"/>
          <w:w w:val="105"/>
        </w:rPr>
        <w:t>velado</w:t>
      </w:r>
      <w:r>
        <w:rPr>
          <w:color w:val="231F20"/>
          <w:spacing w:val="-6"/>
          <w:w w:val="105"/>
        </w:rPr>
        <w:t> </w:t>
      </w:r>
      <w:r>
        <w:rPr>
          <w:color w:val="231F20"/>
          <w:w w:val="105"/>
        </w:rPr>
        <w:t>por</w:t>
      </w:r>
      <w:r>
        <w:rPr>
          <w:color w:val="231F20"/>
          <w:spacing w:val="-6"/>
          <w:w w:val="105"/>
        </w:rPr>
        <w:t> </w:t>
      </w:r>
      <w:r>
        <w:rPr>
          <w:color w:val="231F20"/>
          <w:w w:val="105"/>
        </w:rPr>
        <w:t>las</w:t>
      </w:r>
      <w:r>
        <w:rPr>
          <w:color w:val="231F20"/>
          <w:spacing w:val="-6"/>
          <w:w w:val="105"/>
        </w:rPr>
        <w:t> </w:t>
      </w:r>
      <w:r>
        <w:rPr>
          <w:color w:val="231F20"/>
          <w:w w:val="105"/>
        </w:rPr>
        <w:t>prerrogativas</w:t>
      </w:r>
      <w:r>
        <w:rPr>
          <w:color w:val="231F20"/>
          <w:spacing w:val="-6"/>
          <w:w w:val="105"/>
        </w:rPr>
        <w:t> </w:t>
      </w:r>
      <w:r>
        <w:rPr>
          <w:color w:val="231F20"/>
          <w:w w:val="105"/>
        </w:rPr>
        <w:t>funda-</w:t>
      </w:r>
      <w:r>
        <w:rPr>
          <w:color w:val="231F20"/>
          <w:w w:val="96"/>
        </w:rPr>
        <w:t> </w:t>
      </w:r>
      <w:r>
        <w:rPr>
          <w:color w:val="231F20"/>
          <w:w w:val="105"/>
        </w:rPr>
        <w:t>mentales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sz w:val="17"/>
        </w:rPr>
        <w:t>NNA </w:t>
      </w:r>
      <w:r>
        <w:rPr>
          <w:color w:val="231F20"/>
          <w:w w:val="105"/>
        </w:rPr>
        <w:t>migrantes</w:t>
      </w:r>
      <w:r>
        <w:rPr>
          <w:color w:val="231F20"/>
          <w:spacing w:val="-12"/>
          <w:w w:val="105"/>
        </w:rPr>
        <w:t> </w:t>
      </w:r>
      <w:r>
        <w:rPr>
          <w:color w:val="231F20"/>
          <w:w w:val="105"/>
        </w:rPr>
        <w:t>irregulares</w:t>
      </w:r>
      <w:r>
        <w:rPr>
          <w:color w:val="231F20"/>
          <w:spacing w:val="-12"/>
          <w:w w:val="105"/>
        </w:rPr>
        <w:t> </w:t>
      </w:r>
      <w:r>
        <w:rPr>
          <w:color w:val="231F20"/>
          <w:w w:val="105"/>
        </w:rPr>
        <w:t>no</w:t>
      </w:r>
      <w:r>
        <w:rPr>
          <w:color w:val="231F20"/>
          <w:spacing w:val="-12"/>
          <w:w w:val="105"/>
        </w:rPr>
        <w:t> </w:t>
      </w:r>
      <w:r>
        <w:rPr>
          <w:color w:val="231F20"/>
          <w:w w:val="105"/>
        </w:rPr>
        <w:t>acompañados,</w:t>
      </w:r>
      <w:r>
        <w:rPr>
          <w:color w:val="231F20"/>
          <w:spacing w:val="-17"/>
          <w:w w:val="105"/>
        </w:rPr>
        <w:t> </w:t>
      </w:r>
      <w:r>
        <w:rPr>
          <w:color w:val="231F20"/>
          <w:w w:val="105"/>
        </w:rPr>
        <w:t>pues</w:t>
      </w:r>
      <w:r>
        <w:rPr>
          <w:color w:val="231F20"/>
          <w:spacing w:val="-12"/>
          <w:w w:val="105"/>
        </w:rPr>
        <w:t> </w:t>
      </w:r>
      <w:r>
        <w:rPr>
          <w:color w:val="231F20"/>
          <w:w w:val="105"/>
        </w:rPr>
        <w:t>en</w:t>
      </w:r>
      <w:r>
        <w:rPr>
          <w:color w:val="231F20"/>
          <w:spacing w:val="-12"/>
          <w:w w:val="105"/>
        </w:rPr>
        <w:t> </w:t>
      </w:r>
      <w:r>
        <w:rPr>
          <w:color w:val="231F20"/>
          <w:w w:val="105"/>
        </w:rPr>
        <w:t>los</w:t>
      </w:r>
      <w:r>
        <w:rPr>
          <w:color w:val="231F20"/>
          <w:w w:val="101"/>
        </w:rPr>
        <w:t> </w:t>
      </w:r>
      <w:r>
        <w:rPr>
          <w:color w:val="231F20"/>
          <w:w w:val="105"/>
        </w:rPr>
        <w:t>diversos</w:t>
      </w:r>
      <w:r>
        <w:rPr>
          <w:color w:val="231F20"/>
          <w:spacing w:val="-27"/>
          <w:w w:val="105"/>
        </w:rPr>
        <w:t> </w:t>
      </w:r>
      <w:r>
        <w:rPr>
          <w:color w:val="231F20"/>
          <w:w w:val="105"/>
        </w:rPr>
        <w:t>sistemas</w:t>
      </w:r>
      <w:r>
        <w:rPr>
          <w:color w:val="231F20"/>
          <w:spacing w:val="-27"/>
          <w:w w:val="105"/>
        </w:rPr>
        <w:t> </w:t>
      </w:r>
      <w:r>
        <w:rPr>
          <w:color w:val="231F20"/>
          <w:w w:val="105"/>
        </w:rPr>
        <w:t>de</w:t>
      </w:r>
      <w:r>
        <w:rPr>
          <w:color w:val="231F20"/>
          <w:spacing w:val="-27"/>
          <w:w w:val="105"/>
        </w:rPr>
        <w:t> </w:t>
      </w:r>
      <w:r>
        <w:rPr>
          <w:color w:val="231F20"/>
          <w:w w:val="105"/>
        </w:rPr>
        <w:t>protección</w:t>
      </w:r>
      <w:r>
        <w:rPr>
          <w:color w:val="231F20"/>
          <w:spacing w:val="-27"/>
          <w:w w:val="105"/>
        </w:rPr>
        <w:t> </w:t>
      </w:r>
      <w:r>
        <w:rPr>
          <w:color w:val="231F20"/>
          <w:w w:val="105"/>
        </w:rPr>
        <w:t>a</w:t>
      </w:r>
      <w:r>
        <w:rPr>
          <w:color w:val="231F20"/>
          <w:spacing w:val="-27"/>
          <w:w w:val="105"/>
        </w:rPr>
        <w:t> </w:t>
      </w:r>
      <w:r>
        <w:rPr>
          <w:color w:val="231F20"/>
          <w:w w:val="105"/>
        </w:rPr>
        <w:t>los</w:t>
      </w:r>
      <w:r>
        <w:rPr>
          <w:color w:val="231F20"/>
          <w:spacing w:val="-27"/>
          <w:w w:val="105"/>
        </w:rPr>
        <w:t> </w:t>
      </w:r>
      <w:r>
        <w:rPr>
          <w:color w:val="231F20"/>
          <w:w w:val="105"/>
        </w:rPr>
        <w:t>derechos</w:t>
      </w:r>
      <w:r>
        <w:rPr>
          <w:color w:val="231F20"/>
          <w:spacing w:val="-27"/>
          <w:w w:val="105"/>
        </w:rPr>
        <w:t> </w:t>
      </w:r>
      <w:r>
        <w:rPr>
          <w:color w:val="231F20"/>
          <w:w w:val="105"/>
        </w:rPr>
        <w:t>humanos</w:t>
      </w:r>
      <w:r>
        <w:rPr>
          <w:color w:val="231F20"/>
          <w:spacing w:val="-27"/>
          <w:w w:val="105"/>
        </w:rPr>
        <w:t> </w:t>
      </w:r>
      <w:r>
        <w:rPr>
          <w:color w:val="231F20"/>
          <w:w w:val="105"/>
        </w:rPr>
        <w:t>existe</w:t>
      </w:r>
      <w:r>
        <w:rPr>
          <w:color w:val="231F20"/>
          <w:spacing w:val="-27"/>
          <w:w w:val="105"/>
        </w:rPr>
        <w:t> </w:t>
      </w:r>
      <w:r>
        <w:rPr>
          <w:color w:val="231F20"/>
          <w:w w:val="105"/>
        </w:rPr>
        <w:t>un</w:t>
      </w:r>
      <w:r>
        <w:rPr>
          <w:color w:val="231F20"/>
          <w:spacing w:val="-27"/>
          <w:w w:val="105"/>
        </w:rPr>
        <w:t> </w:t>
      </w:r>
      <w:r>
        <w:rPr>
          <w:rFonts w:ascii="Arial" w:hAnsi="Arial"/>
          <w:i/>
          <w:color w:val="231F20"/>
          <w:w w:val="105"/>
        </w:rPr>
        <w:t>corpus</w:t>
      </w:r>
      <w:r>
        <w:rPr>
          <w:rFonts w:ascii="Arial" w:hAnsi="Arial"/>
          <w:i/>
          <w:color w:val="231F20"/>
          <w:w w:val="103"/>
        </w:rPr>
        <w:t> </w:t>
      </w:r>
      <w:r>
        <w:rPr>
          <w:rFonts w:ascii="Arial" w:hAnsi="Arial"/>
          <w:i/>
          <w:color w:val="231F20"/>
          <w:w w:val="105"/>
        </w:rPr>
        <w:t>juris</w:t>
      </w:r>
      <w:r>
        <w:rPr>
          <w:rFonts w:ascii="Arial" w:hAnsi="Arial"/>
          <w:i/>
          <w:color w:val="231F20"/>
          <w:spacing w:val="-23"/>
          <w:w w:val="105"/>
        </w:rPr>
        <w:t> </w:t>
      </w:r>
      <w:r>
        <w:rPr>
          <w:color w:val="231F20"/>
          <w:w w:val="105"/>
        </w:rPr>
        <w:t>tanto</w:t>
      </w:r>
      <w:r>
        <w:rPr>
          <w:color w:val="231F20"/>
          <w:spacing w:val="-20"/>
          <w:w w:val="105"/>
        </w:rPr>
        <w:t> </w:t>
      </w:r>
      <w:r>
        <w:rPr>
          <w:color w:val="231F20"/>
          <w:w w:val="105"/>
        </w:rPr>
        <w:t>en</w:t>
      </w:r>
      <w:r>
        <w:rPr>
          <w:color w:val="231F20"/>
          <w:spacing w:val="-20"/>
          <w:w w:val="105"/>
        </w:rPr>
        <w:t> </w:t>
      </w:r>
      <w:r>
        <w:rPr>
          <w:color w:val="231F20"/>
          <w:w w:val="105"/>
        </w:rPr>
        <w:t>materia</w:t>
      </w:r>
      <w:r>
        <w:rPr>
          <w:color w:val="231F20"/>
          <w:spacing w:val="-20"/>
          <w:w w:val="105"/>
        </w:rPr>
        <w:t> </w:t>
      </w:r>
      <w:r>
        <w:rPr>
          <w:color w:val="231F20"/>
          <w:w w:val="105"/>
        </w:rPr>
        <w:t>de</w:t>
      </w:r>
      <w:r>
        <w:rPr>
          <w:color w:val="231F20"/>
          <w:spacing w:val="-20"/>
          <w:w w:val="105"/>
        </w:rPr>
        <w:t> </w:t>
      </w:r>
      <w:r>
        <w:rPr>
          <w:color w:val="231F20"/>
          <w:w w:val="105"/>
        </w:rPr>
        <w:t>niñez</w:t>
      </w:r>
      <w:r>
        <w:rPr>
          <w:color w:val="231F20"/>
          <w:spacing w:val="-20"/>
          <w:w w:val="105"/>
        </w:rPr>
        <w:t> </w:t>
      </w:r>
      <w:r>
        <w:rPr>
          <w:color w:val="231F20"/>
          <w:w w:val="105"/>
        </w:rPr>
        <w:t>como</w:t>
      </w:r>
      <w:r>
        <w:rPr>
          <w:color w:val="231F20"/>
          <w:spacing w:val="-20"/>
          <w:w w:val="105"/>
        </w:rPr>
        <w:t> </w:t>
      </w:r>
      <w:r>
        <w:rPr>
          <w:color w:val="231F20"/>
          <w:w w:val="105"/>
        </w:rPr>
        <w:t>de</w:t>
      </w:r>
      <w:r>
        <w:rPr>
          <w:color w:val="231F20"/>
          <w:spacing w:val="-20"/>
          <w:w w:val="105"/>
        </w:rPr>
        <w:t> </w:t>
      </w:r>
      <w:r>
        <w:rPr>
          <w:color w:val="231F20"/>
          <w:w w:val="105"/>
        </w:rPr>
        <w:t>migración.</w:t>
      </w:r>
      <w:r>
        <w:rPr>
          <w:color w:val="231F20"/>
          <w:spacing w:val="-25"/>
          <w:w w:val="105"/>
        </w:rPr>
        <w:t> </w:t>
      </w:r>
      <w:r>
        <w:rPr>
          <w:color w:val="231F20"/>
          <w:w w:val="105"/>
        </w:rPr>
        <w:t>El</w:t>
      </w:r>
      <w:r>
        <w:rPr>
          <w:color w:val="231F20"/>
          <w:spacing w:val="-20"/>
          <w:w w:val="105"/>
        </w:rPr>
        <w:t> </w:t>
      </w:r>
      <w:r>
        <w:rPr>
          <w:color w:val="231F20"/>
          <w:w w:val="105"/>
        </w:rPr>
        <w:t>instrumento</w:t>
      </w:r>
      <w:r>
        <w:rPr>
          <w:color w:val="231F20"/>
          <w:spacing w:val="-20"/>
          <w:w w:val="105"/>
        </w:rPr>
        <w:t> </w:t>
      </w:r>
      <w:r>
        <w:rPr>
          <w:color w:val="231F20"/>
          <w:w w:val="105"/>
        </w:rPr>
        <w:t>interna-</w:t>
      </w:r>
      <w:r>
        <w:rPr>
          <w:color w:val="231F20"/>
          <w:w w:val="96"/>
        </w:rPr>
        <w:t> </w:t>
      </w:r>
      <w:r>
        <w:rPr>
          <w:color w:val="231F20"/>
          <w:w w:val="105"/>
        </w:rPr>
        <w:t>cional por excelencia que protege sus derechos es la</w:t>
      </w:r>
      <w:r>
        <w:rPr>
          <w:color w:val="231F20"/>
          <w:spacing w:val="-40"/>
          <w:w w:val="105"/>
        </w:rPr>
        <w:t> </w:t>
      </w:r>
      <w:r>
        <w:rPr>
          <w:color w:val="231F20"/>
          <w:w w:val="105"/>
        </w:rPr>
        <w:t>Convención</w:t>
      </w:r>
      <w:r>
        <w:rPr>
          <w:color w:val="231F20"/>
          <w:spacing w:val="-5"/>
          <w:w w:val="105"/>
        </w:rPr>
        <w:t> </w:t>
      </w:r>
      <w:r>
        <w:rPr>
          <w:color w:val="231F20"/>
          <w:w w:val="105"/>
        </w:rPr>
        <w:t>sobre</w:t>
      </w:r>
      <w:r>
        <w:rPr>
          <w:color w:val="231F20"/>
          <w:w w:val="102"/>
        </w:rPr>
        <w:t> </w:t>
      </w:r>
      <w:r>
        <w:rPr>
          <w:color w:val="231F20"/>
          <w:w w:val="105"/>
        </w:rPr>
        <w:t>los</w:t>
      </w:r>
      <w:r>
        <w:rPr>
          <w:color w:val="231F20"/>
          <w:spacing w:val="-27"/>
          <w:w w:val="105"/>
        </w:rPr>
        <w:t> </w:t>
      </w:r>
      <w:r>
        <w:rPr>
          <w:color w:val="231F20"/>
          <w:w w:val="105"/>
        </w:rPr>
        <w:t>Derechos</w:t>
      </w:r>
      <w:r>
        <w:rPr>
          <w:color w:val="231F20"/>
          <w:spacing w:val="-27"/>
          <w:w w:val="105"/>
        </w:rPr>
        <w:t> </w:t>
      </w:r>
      <w:r>
        <w:rPr>
          <w:color w:val="231F20"/>
          <w:w w:val="105"/>
        </w:rPr>
        <w:t>del</w:t>
      </w:r>
      <w:r>
        <w:rPr>
          <w:color w:val="231F20"/>
          <w:spacing w:val="-27"/>
          <w:w w:val="105"/>
        </w:rPr>
        <w:t> </w:t>
      </w:r>
      <w:r>
        <w:rPr>
          <w:color w:val="231F20"/>
          <w:w w:val="105"/>
        </w:rPr>
        <w:t>Niño,</w:t>
      </w:r>
      <w:r>
        <w:rPr>
          <w:color w:val="231F20"/>
          <w:spacing w:val="-31"/>
          <w:w w:val="105"/>
        </w:rPr>
        <w:t> </w:t>
      </w:r>
      <w:r>
        <w:rPr>
          <w:color w:val="231F20"/>
          <w:w w:val="105"/>
        </w:rPr>
        <w:t>al</w:t>
      </w:r>
      <w:r>
        <w:rPr>
          <w:color w:val="231F20"/>
          <w:spacing w:val="-27"/>
          <w:w w:val="105"/>
        </w:rPr>
        <w:t> </w:t>
      </w:r>
      <w:r>
        <w:rPr>
          <w:color w:val="231F20"/>
          <w:w w:val="105"/>
        </w:rPr>
        <w:t>sintetizar</w:t>
      </w:r>
      <w:r>
        <w:rPr>
          <w:color w:val="231F20"/>
          <w:spacing w:val="-27"/>
          <w:w w:val="105"/>
        </w:rPr>
        <w:t> </w:t>
      </w:r>
      <w:r>
        <w:rPr>
          <w:color w:val="231F20"/>
          <w:w w:val="105"/>
        </w:rPr>
        <w:t>diversos</w:t>
      </w:r>
      <w:r>
        <w:rPr>
          <w:color w:val="231F20"/>
          <w:spacing w:val="-27"/>
          <w:w w:val="105"/>
        </w:rPr>
        <w:t> </w:t>
      </w:r>
      <w:r>
        <w:rPr>
          <w:color w:val="231F20"/>
          <w:w w:val="105"/>
        </w:rPr>
        <w:t>instrumentos</w:t>
      </w:r>
      <w:r>
        <w:rPr>
          <w:color w:val="231F20"/>
          <w:spacing w:val="-27"/>
          <w:w w:val="105"/>
        </w:rPr>
        <w:t> </w:t>
      </w:r>
      <w:r>
        <w:rPr>
          <w:color w:val="231F20"/>
          <w:w w:val="105"/>
        </w:rPr>
        <w:t>de</w:t>
      </w:r>
      <w:r>
        <w:rPr>
          <w:color w:val="231F20"/>
          <w:spacing w:val="-27"/>
          <w:w w:val="105"/>
        </w:rPr>
        <w:t> </w:t>
      </w:r>
      <w:r>
        <w:rPr>
          <w:color w:val="231F20"/>
          <w:w w:val="105"/>
        </w:rPr>
        <w:t>derechos</w:t>
      </w:r>
      <w:r>
        <w:rPr>
          <w:color w:val="231F20"/>
          <w:spacing w:val="-27"/>
          <w:w w:val="105"/>
        </w:rPr>
        <w:t> </w:t>
      </w:r>
      <w:r>
        <w:rPr>
          <w:color w:val="231F20"/>
          <w:w w:val="105"/>
        </w:rPr>
        <w:t>hu-</w:t>
      </w:r>
      <w:r>
        <w:rPr>
          <w:color w:val="231F20"/>
          <w:w w:val="96"/>
        </w:rPr>
        <w:t> </w:t>
      </w:r>
      <w:r>
        <w:rPr>
          <w:color w:val="231F20"/>
          <w:w w:val="105"/>
        </w:rPr>
        <w:t>manos</w:t>
      </w:r>
      <w:r>
        <w:rPr>
          <w:color w:val="231F20"/>
          <w:spacing w:val="-22"/>
          <w:w w:val="105"/>
        </w:rPr>
        <w:t> </w:t>
      </w:r>
      <w:r>
        <w:rPr>
          <w:color w:val="231F20"/>
          <w:w w:val="105"/>
        </w:rPr>
        <w:t>de</w:t>
      </w:r>
      <w:r>
        <w:rPr>
          <w:color w:val="231F20"/>
          <w:spacing w:val="-22"/>
          <w:w w:val="105"/>
        </w:rPr>
        <w:t> </w:t>
      </w:r>
      <w:r>
        <w:rPr>
          <w:color w:val="231F20"/>
          <w:w w:val="105"/>
        </w:rPr>
        <w:t>carácter</w:t>
      </w:r>
      <w:r>
        <w:rPr>
          <w:color w:val="231F20"/>
          <w:spacing w:val="-22"/>
          <w:w w:val="105"/>
        </w:rPr>
        <w:t> </w:t>
      </w:r>
      <w:r>
        <w:rPr>
          <w:color w:val="231F20"/>
          <w:w w:val="105"/>
        </w:rPr>
        <w:t>general,</w:t>
      </w:r>
      <w:r>
        <w:rPr>
          <w:color w:val="231F20"/>
          <w:spacing w:val="-27"/>
          <w:w w:val="105"/>
        </w:rPr>
        <w:t> </w:t>
      </w:r>
      <w:r>
        <w:rPr>
          <w:color w:val="231F20"/>
          <w:w w:val="105"/>
        </w:rPr>
        <w:t>así</w:t>
      </w:r>
      <w:r>
        <w:rPr>
          <w:color w:val="231F20"/>
          <w:spacing w:val="-22"/>
          <w:w w:val="105"/>
        </w:rPr>
        <w:t> </w:t>
      </w:r>
      <w:r>
        <w:rPr>
          <w:color w:val="231F20"/>
          <w:w w:val="105"/>
        </w:rPr>
        <w:t>como</w:t>
      </w:r>
      <w:r>
        <w:rPr>
          <w:color w:val="231F20"/>
          <w:spacing w:val="-22"/>
          <w:w w:val="105"/>
        </w:rPr>
        <w:t> </w:t>
      </w:r>
      <w:r>
        <w:rPr>
          <w:color w:val="231F20"/>
          <w:w w:val="105"/>
        </w:rPr>
        <w:t>principios</w:t>
      </w:r>
      <w:r>
        <w:rPr>
          <w:color w:val="231F20"/>
          <w:spacing w:val="-22"/>
          <w:w w:val="105"/>
        </w:rPr>
        <w:t> </w:t>
      </w:r>
      <w:r>
        <w:rPr>
          <w:color w:val="231F20"/>
          <w:w w:val="105"/>
        </w:rPr>
        <w:t>vinculados</w:t>
      </w:r>
      <w:r>
        <w:rPr>
          <w:color w:val="231F20"/>
          <w:spacing w:val="-22"/>
          <w:w w:val="105"/>
        </w:rPr>
        <w:t> </w:t>
      </w:r>
      <w:r>
        <w:rPr>
          <w:color w:val="231F20"/>
          <w:w w:val="105"/>
        </w:rPr>
        <w:t>a</w:t>
      </w:r>
      <w:r>
        <w:rPr>
          <w:color w:val="231F20"/>
          <w:spacing w:val="-22"/>
          <w:w w:val="105"/>
        </w:rPr>
        <w:t> </w:t>
      </w:r>
      <w:r>
        <w:rPr>
          <w:color w:val="231F20"/>
          <w:w w:val="105"/>
        </w:rPr>
        <w:t>los</w:t>
      </w:r>
      <w:r>
        <w:rPr>
          <w:color w:val="231F20"/>
          <w:spacing w:val="-22"/>
          <w:w w:val="105"/>
        </w:rPr>
        <w:t> </w:t>
      </w:r>
      <w:r>
        <w:rPr>
          <w:color w:val="231F20"/>
          <w:w w:val="105"/>
        </w:rPr>
        <w:t>derechos</w:t>
      </w:r>
      <w:r>
        <w:rPr>
          <w:color w:val="231F20"/>
          <w:w w:val="101"/>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menores.</w:t>
      </w:r>
      <w:r>
        <w:rPr>
          <w:color w:val="231F20"/>
          <w:spacing w:val="-24"/>
          <w:w w:val="105"/>
        </w:rPr>
        <w:t> </w:t>
      </w:r>
      <w:r>
        <w:rPr>
          <w:color w:val="231F20"/>
          <w:w w:val="105"/>
        </w:rPr>
        <w:t>Dicha</w:t>
      </w:r>
      <w:r>
        <w:rPr>
          <w:color w:val="231F20"/>
          <w:spacing w:val="-21"/>
          <w:w w:val="105"/>
        </w:rPr>
        <w:t> </w:t>
      </w:r>
      <w:r>
        <w:rPr>
          <w:color w:val="231F20"/>
          <w:w w:val="105"/>
        </w:rPr>
        <w:t>convención</w:t>
      </w:r>
      <w:r>
        <w:rPr>
          <w:color w:val="231F20"/>
          <w:spacing w:val="-21"/>
          <w:w w:val="105"/>
        </w:rPr>
        <w:t> </w:t>
      </w:r>
      <w:r>
        <w:rPr>
          <w:color w:val="231F20"/>
          <w:w w:val="105"/>
        </w:rPr>
        <w:t>establece</w:t>
      </w:r>
      <w:r>
        <w:rPr>
          <w:color w:val="231F20"/>
          <w:spacing w:val="-21"/>
          <w:w w:val="105"/>
        </w:rPr>
        <w:t> </w:t>
      </w:r>
      <w:r>
        <w:rPr>
          <w:color w:val="231F20"/>
          <w:w w:val="105"/>
        </w:rPr>
        <w:t>dos</w:t>
      </w:r>
      <w:r>
        <w:rPr>
          <w:color w:val="231F20"/>
          <w:spacing w:val="-21"/>
          <w:w w:val="105"/>
        </w:rPr>
        <w:t> </w:t>
      </w:r>
      <w:r>
        <w:rPr>
          <w:color w:val="231F20"/>
          <w:w w:val="105"/>
        </w:rPr>
        <w:t>principios</w:t>
      </w:r>
      <w:r>
        <w:rPr>
          <w:color w:val="231F20"/>
          <w:spacing w:val="-21"/>
          <w:w w:val="105"/>
        </w:rPr>
        <w:t> </w:t>
      </w:r>
      <w:r>
        <w:rPr>
          <w:color w:val="231F20"/>
          <w:spacing w:val="-3"/>
          <w:w w:val="105"/>
        </w:rPr>
        <w:t>rectores,</w:t>
      </w:r>
      <w:r>
        <w:rPr>
          <w:color w:val="231F20"/>
          <w:spacing w:val="-25"/>
          <w:w w:val="105"/>
        </w:rPr>
        <w:t> </w:t>
      </w:r>
      <w:r>
        <w:rPr>
          <w:color w:val="231F20"/>
          <w:w w:val="105"/>
        </w:rPr>
        <w:t>ejes</w:t>
      </w:r>
      <w:r>
        <w:rPr>
          <w:color w:val="231F20"/>
          <w:spacing w:val="-2"/>
          <w:w w:val="99"/>
        </w:rPr>
        <w:t> </w:t>
      </w:r>
      <w:r>
        <w:rPr>
          <w:color w:val="231F20"/>
          <w:w w:val="105"/>
        </w:rPr>
        <w:t>fundamentales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spacing w:val="-3"/>
          <w:w w:val="105"/>
        </w:rPr>
        <w:t>derecho</w:t>
      </w:r>
      <w:r>
        <w:rPr>
          <w:color w:val="231F20"/>
          <w:spacing w:val="-7"/>
          <w:w w:val="105"/>
        </w:rPr>
        <w:t> </w:t>
      </w:r>
      <w:r>
        <w:rPr>
          <w:color w:val="231F20"/>
          <w:w w:val="105"/>
        </w:rPr>
        <w:t>internacional</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spacing w:val="-3"/>
          <w:w w:val="105"/>
        </w:rPr>
        <w:t>derechos</w:t>
      </w:r>
      <w:r>
        <w:rPr>
          <w:color w:val="231F20"/>
          <w:spacing w:val="-7"/>
          <w:w w:val="105"/>
        </w:rPr>
        <w:t> </w:t>
      </w:r>
      <w:r>
        <w:rPr>
          <w:color w:val="231F20"/>
          <w:w w:val="105"/>
        </w:rPr>
        <w:t>humanos</w:t>
      </w:r>
      <w:r>
        <w:rPr>
          <w:color w:val="231F20"/>
          <w:spacing w:val="-7"/>
          <w:w w:val="105"/>
        </w:rPr>
        <w:t> </w:t>
      </w:r>
      <w:r>
        <w:rPr>
          <w:color w:val="231F20"/>
          <w:w w:val="105"/>
        </w:rPr>
        <w:t>de</w:t>
      </w:r>
      <w:r>
        <w:rPr>
          <w:color w:val="231F20"/>
          <w:spacing w:val="-2"/>
          <w:w w:val="108"/>
        </w:rPr>
        <w:t> </w:t>
      </w:r>
      <w:r>
        <w:rPr>
          <w:color w:val="231F20"/>
          <w:w w:val="105"/>
        </w:rPr>
        <w:t>la</w:t>
      </w:r>
      <w:r>
        <w:rPr>
          <w:color w:val="231F20"/>
          <w:spacing w:val="-23"/>
          <w:w w:val="105"/>
        </w:rPr>
        <w:t> </w:t>
      </w:r>
      <w:r>
        <w:rPr>
          <w:color w:val="231F20"/>
          <w:w w:val="105"/>
        </w:rPr>
        <w:t>niñez,</w:t>
      </w:r>
      <w:r>
        <w:rPr>
          <w:color w:val="231F20"/>
          <w:spacing w:val="-27"/>
          <w:w w:val="105"/>
        </w:rPr>
        <w:t> </w:t>
      </w:r>
      <w:r>
        <w:rPr>
          <w:color w:val="231F20"/>
          <w:w w:val="105"/>
        </w:rPr>
        <w:t>a</w:t>
      </w:r>
      <w:r>
        <w:rPr>
          <w:color w:val="231F20"/>
          <w:spacing w:val="-23"/>
          <w:w w:val="105"/>
        </w:rPr>
        <w:t> </w:t>
      </w:r>
      <w:r>
        <w:rPr>
          <w:color w:val="231F20"/>
          <w:w w:val="105"/>
        </w:rPr>
        <w:t>saber:</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igualdad</w:t>
      </w:r>
      <w:r>
        <w:rPr>
          <w:color w:val="231F20"/>
          <w:spacing w:val="-23"/>
          <w:w w:val="105"/>
        </w:rPr>
        <w:t> </w:t>
      </w:r>
      <w:r>
        <w:rPr>
          <w:color w:val="231F20"/>
          <w:w w:val="105"/>
        </w:rPr>
        <w:t>y</w:t>
      </w:r>
      <w:r>
        <w:rPr>
          <w:color w:val="231F20"/>
          <w:spacing w:val="-23"/>
          <w:w w:val="105"/>
        </w:rPr>
        <w:t> </w:t>
      </w:r>
      <w:r>
        <w:rPr>
          <w:color w:val="231F20"/>
          <w:w w:val="105"/>
        </w:rPr>
        <w:t>no</w:t>
      </w:r>
      <w:r>
        <w:rPr>
          <w:color w:val="231F20"/>
          <w:spacing w:val="-23"/>
          <w:w w:val="105"/>
        </w:rPr>
        <w:t> </w:t>
      </w:r>
      <w:r>
        <w:rPr>
          <w:color w:val="231F20"/>
          <w:w w:val="105"/>
        </w:rPr>
        <w:t>discriminación</w:t>
      </w:r>
      <w:r>
        <w:rPr>
          <w:color w:val="231F20"/>
          <w:spacing w:val="-23"/>
          <w:w w:val="105"/>
        </w:rPr>
        <w:t> </w:t>
      </w:r>
      <w:r>
        <w:rPr>
          <w:color w:val="231F20"/>
          <w:spacing w:val="-5"/>
          <w:w w:val="105"/>
        </w:rPr>
        <w:t>y,</w:t>
      </w:r>
      <w:r>
        <w:rPr>
          <w:color w:val="231F20"/>
          <w:spacing w:val="-27"/>
          <w:w w:val="105"/>
        </w:rPr>
        <w:t> </w:t>
      </w:r>
      <w:r>
        <w:rPr>
          <w:color w:val="231F20"/>
          <w:w w:val="105"/>
        </w:rPr>
        <w:t>b)</w:t>
      </w:r>
      <w:r>
        <w:rPr>
          <w:color w:val="231F20"/>
          <w:spacing w:val="-23"/>
          <w:w w:val="105"/>
        </w:rPr>
        <w:t> </w:t>
      </w:r>
      <w:r>
        <w:rPr>
          <w:color w:val="231F20"/>
          <w:w w:val="105"/>
        </w:rPr>
        <w:t>el</w:t>
      </w:r>
      <w:r>
        <w:rPr>
          <w:color w:val="231F20"/>
          <w:spacing w:val="-23"/>
          <w:w w:val="105"/>
        </w:rPr>
        <w:t> </w:t>
      </w:r>
      <w:r>
        <w:rPr>
          <w:color w:val="231F20"/>
          <w:spacing w:val="-3"/>
          <w:w w:val="105"/>
        </w:rPr>
        <w:t>interés</w:t>
      </w:r>
      <w:r>
        <w:rPr>
          <w:color w:val="231F20"/>
          <w:spacing w:val="-23"/>
          <w:w w:val="105"/>
        </w:rPr>
        <w:t> </w:t>
      </w:r>
      <w:r>
        <w:rPr>
          <w:color w:val="231F20"/>
          <w:w w:val="105"/>
        </w:rPr>
        <w:t>superior</w:t>
      </w:r>
      <w:r>
        <w:rPr>
          <w:color w:val="231F20"/>
          <w:spacing w:val="-2"/>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infancia,</w:t>
      </w:r>
      <w:r>
        <w:rPr>
          <w:color w:val="231F20"/>
          <w:spacing w:val="-39"/>
          <w:w w:val="105"/>
        </w:rPr>
        <w:t> </w:t>
      </w:r>
      <w:r>
        <w:rPr>
          <w:color w:val="231F20"/>
          <w:w w:val="105"/>
        </w:rPr>
        <w:t>elevando</w:t>
      </w:r>
      <w:r>
        <w:rPr>
          <w:color w:val="231F20"/>
          <w:spacing w:val="-34"/>
          <w:w w:val="105"/>
        </w:rPr>
        <w:t> </w:t>
      </w:r>
      <w:r>
        <w:rPr>
          <w:color w:val="231F20"/>
          <w:w w:val="105"/>
        </w:rPr>
        <w:t>estos</w:t>
      </w:r>
      <w:r>
        <w:rPr>
          <w:color w:val="231F20"/>
          <w:spacing w:val="-34"/>
          <w:w w:val="105"/>
        </w:rPr>
        <w:t> </w:t>
      </w:r>
      <w:r>
        <w:rPr>
          <w:color w:val="231F20"/>
          <w:w w:val="105"/>
        </w:rPr>
        <w:t>principios</w:t>
      </w:r>
      <w:r>
        <w:rPr>
          <w:color w:val="231F20"/>
          <w:spacing w:val="-34"/>
          <w:w w:val="105"/>
        </w:rPr>
        <w:t> </w:t>
      </w:r>
      <w:r>
        <w:rPr>
          <w:color w:val="231F20"/>
          <w:w w:val="105"/>
        </w:rPr>
        <w:t>al</w:t>
      </w:r>
      <w:r>
        <w:rPr>
          <w:color w:val="231F20"/>
          <w:spacing w:val="-34"/>
          <w:w w:val="105"/>
        </w:rPr>
        <w:t> </w:t>
      </w:r>
      <w:r>
        <w:rPr>
          <w:color w:val="231F20"/>
          <w:w w:val="105"/>
        </w:rPr>
        <w:t>carácter</w:t>
      </w:r>
      <w:r>
        <w:rPr>
          <w:color w:val="231F20"/>
          <w:spacing w:val="-34"/>
          <w:w w:val="105"/>
        </w:rPr>
        <w:t> </w:t>
      </w:r>
      <w:r>
        <w:rPr>
          <w:color w:val="231F20"/>
          <w:w w:val="105"/>
        </w:rPr>
        <w:t>de</w:t>
      </w:r>
      <w:r>
        <w:rPr>
          <w:color w:val="231F20"/>
          <w:spacing w:val="-34"/>
          <w:w w:val="105"/>
        </w:rPr>
        <w:t> </w:t>
      </w:r>
      <w:r>
        <w:rPr>
          <w:color w:val="231F20"/>
          <w:w w:val="105"/>
        </w:rPr>
        <w:t>norma</w:t>
      </w:r>
      <w:r>
        <w:rPr>
          <w:color w:val="231F20"/>
          <w:spacing w:val="-34"/>
          <w:w w:val="105"/>
        </w:rPr>
        <w:t> </w:t>
      </w:r>
      <w:r>
        <w:rPr>
          <w:color w:val="231F20"/>
          <w:spacing w:val="-2"/>
          <w:w w:val="105"/>
        </w:rPr>
        <w:t>fundamental.</w:t>
      </w:r>
      <w:r>
        <w:rPr>
          <w:color w:val="231F20"/>
          <w:spacing w:val="-2"/>
          <w:w w:val="104"/>
        </w:rPr>
        <w:t> </w:t>
      </w:r>
      <w:r>
        <w:rPr>
          <w:color w:val="231F20"/>
          <w:w w:val="105"/>
        </w:rPr>
        <w:t>Otro</w:t>
      </w:r>
      <w:r>
        <w:rPr>
          <w:color w:val="231F20"/>
          <w:spacing w:val="-11"/>
          <w:w w:val="105"/>
        </w:rPr>
        <w:t> </w:t>
      </w:r>
      <w:r>
        <w:rPr>
          <w:color w:val="231F20"/>
          <w:w w:val="105"/>
        </w:rPr>
        <w:t>principio</w:t>
      </w:r>
      <w:r>
        <w:rPr>
          <w:color w:val="231F20"/>
          <w:spacing w:val="-11"/>
          <w:w w:val="105"/>
        </w:rPr>
        <w:t> </w:t>
      </w:r>
      <w:r>
        <w:rPr>
          <w:color w:val="231F20"/>
          <w:w w:val="105"/>
        </w:rPr>
        <w:t>concerniente</w:t>
      </w:r>
      <w:r>
        <w:rPr>
          <w:color w:val="231F20"/>
          <w:spacing w:val="-11"/>
          <w:w w:val="105"/>
        </w:rPr>
        <w:t> </w:t>
      </w:r>
      <w:r>
        <w:rPr>
          <w:color w:val="231F20"/>
          <w:w w:val="105"/>
        </w:rPr>
        <w:t>a</w:t>
      </w:r>
      <w:r>
        <w:rPr>
          <w:color w:val="231F20"/>
          <w:spacing w:val="-11"/>
          <w:w w:val="105"/>
        </w:rPr>
        <w:t> </w:t>
      </w:r>
      <w:r>
        <w:rPr>
          <w:color w:val="231F20"/>
          <w:w w:val="105"/>
        </w:rPr>
        <w:t>este</w:t>
      </w:r>
      <w:r>
        <w:rPr>
          <w:color w:val="231F20"/>
          <w:spacing w:val="-11"/>
          <w:w w:val="105"/>
        </w:rPr>
        <w:t> </w:t>
      </w:r>
      <w:r>
        <w:rPr>
          <w:color w:val="231F20"/>
          <w:w w:val="105"/>
        </w:rPr>
        <w:t>tema</w:t>
      </w:r>
      <w:r>
        <w:rPr>
          <w:color w:val="231F20"/>
          <w:spacing w:val="-11"/>
          <w:w w:val="105"/>
        </w:rPr>
        <w:t> </w:t>
      </w:r>
      <w:r>
        <w:rPr>
          <w:color w:val="231F20"/>
          <w:w w:val="105"/>
        </w:rPr>
        <w:t>se</w:t>
      </w:r>
      <w:r>
        <w:rPr>
          <w:color w:val="231F20"/>
          <w:spacing w:val="-11"/>
          <w:w w:val="105"/>
        </w:rPr>
        <w:t> </w:t>
      </w:r>
      <w:r>
        <w:rPr>
          <w:color w:val="231F20"/>
          <w:w w:val="105"/>
        </w:rPr>
        <w:t>localiza</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primer</w:t>
      </w:r>
      <w:r>
        <w:rPr>
          <w:color w:val="231F20"/>
          <w:spacing w:val="-11"/>
          <w:w w:val="105"/>
        </w:rPr>
        <w:t> </w:t>
      </w:r>
      <w:r>
        <w:rPr>
          <w:color w:val="231F20"/>
          <w:w w:val="105"/>
        </w:rPr>
        <w:t>pá-</w:t>
      </w:r>
    </w:p>
    <w:p>
      <w:pPr>
        <w:pStyle w:val="BodyText"/>
        <w:spacing w:line="261" w:lineRule="auto" w:before="1"/>
        <w:ind w:left="1794" w:right="1695"/>
        <w:jc w:val="both"/>
      </w:pPr>
      <w:r>
        <w:rPr>
          <w:color w:val="231F20"/>
          <w:w w:val="105"/>
        </w:rPr>
        <w:t>rrafo del artículo primero de dicho documento, y sostiene </w:t>
      </w:r>
      <w:r>
        <w:rPr>
          <w:color w:val="231F20"/>
          <w:spacing w:val="-3"/>
          <w:w w:val="105"/>
        </w:rPr>
        <w:t>“en </w:t>
      </w:r>
      <w:r>
        <w:rPr>
          <w:color w:val="231F20"/>
          <w:w w:val="105"/>
        </w:rPr>
        <w:t>todas las medidas</w:t>
      </w:r>
      <w:r>
        <w:rPr>
          <w:color w:val="231F20"/>
          <w:spacing w:val="-17"/>
          <w:w w:val="105"/>
        </w:rPr>
        <w:t> </w:t>
      </w:r>
      <w:r>
        <w:rPr>
          <w:color w:val="231F20"/>
          <w:w w:val="105"/>
        </w:rPr>
        <w:t>concernientes</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w w:val="105"/>
        </w:rPr>
        <w:t>niños</w:t>
      </w:r>
      <w:r>
        <w:rPr>
          <w:color w:val="231F20"/>
          <w:spacing w:val="-17"/>
          <w:w w:val="105"/>
        </w:rPr>
        <w:t> </w:t>
      </w:r>
      <w:r>
        <w:rPr>
          <w:color w:val="231F20"/>
          <w:w w:val="105"/>
        </w:rPr>
        <w:t>que</w:t>
      </w:r>
      <w:r>
        <w:rPr>
          <w:color w:val="231F20"/>
          <w:spacing w:val="-17"/>
          <w:w w:val="105"/>
        </w:rPr>
        <w:t> </w:t>
      </w:r>
      <w:r>
        <w:rPr>
          <w:color w:val="231F20"/>
          <w:w w:val="105"/>
        </w:rPr>
        <w:t>tomen</w:t>
      </w:r>
      <w:r>
        <w:rPr>
          <w:color w:val="231F20"/>
          <w:spacing w:val="-17"/>
          <w:w w:val="105"/>
        </w:rPr>
        <w:t> </w:t>
      </w:r>
      <w:r>
        <w:rPr>
          <w:color w:val="231F20"/>
          <w:w w:val="105"/>
        </w:rPr>
        <w:t>las</w:t>
      </w:r>
      <w:r>
        <w:rPr>
          <w:color w:val="231F20"/>
          <w:spacing w:val="-17"/>
          <w:w w:val="105"/>
        </w:rPr>
        <w:t> </w:t>
      </w:r>
      <w:r>
        <w:rPr>
          <w:color w:val="231F20"/>
          <w:w w:val="105"/>
        </w:rPr>
        <w:t>instituciones</w:t>
      </w:r>
      <w:r>
        <w:rPr>
          <w:color w:val="231F20"/>
          <w:spacing w:val="-17"/>
          <w:w w:val="105"/>
        </w:rPr>
        <w:t> </w:t>
      </w:r>
      <w:r>
        <w:rPr>
          <w:color w:val="231F20"/>
          <w:w w:val="105"/>
        </w:rPr>
        <w:t>públicas</w:t>
      </w:r>
      <w:r>
        <w:rPr>
          <w:color w:val="231F20"/>
          <w:spacing w:val="-17"/>
          <w:w w:val="105"/>
        </w:rPr>
        <w:t> </w:t>
      </w:r>
      <w:r>
        <w:rPr>
          <w:color w:val="231F20"/>
          <w:w w:val="105"/>
        </w:rPr>
        <w:t>o privadas</w:t>
      </w:r>
      <w:r>
        <w:rPr>
          <w:color w:val="231F20"/>
          <w:spacing w:val="-5"/>
          <w:w w:val="105"/>
        </w:rPr>
        <w:t> </w:t>
      </w:r>
      <w:r>
        <w:rPr>
          <w:color w:val="231F20"/>
          <w:w w:val="105"/>
        </w:rPr>
        <w:t>de</w:t>
      </w:r>
      <w:r>
        <w:rPr>
          <w:color w:val="231F20"/>
          <w:spacing w:val="-5"/>
          <w:w w:val="105"/>
        </w:rPr>
        <w:t> </w:t>
      </w:r>
      <w:r>
        <w:rPr>
          <w:color w:val="231F20"/>
          <w:w w:val="105"/>
        </w:rPr>
        <w:t>bienestar</w:t>
      </w:r>
      <w:r>
        <w:rPr>
          <w:color w:val="231F20"/>
          <w:spacing w:val="-5"/>
          <w:w w:val="105"/>
        </w:rPr>
        <w:t> </w:t>
      </w:r>
      <w:r>
        <w:rPr>
          <w:color w:val="231F20"/>
          <w:w w:val="105"/>
        </w:rPr>
        <w:t>social,</w:t>
      </w:r>
      <w:r>
        <w:rPr>
          <w:color w:val="231F20"/>
          <w:spacing w:val="-10"/>
          <w:w w:val="105"/>
        </w:rPr>
        <w:t> </w:t>
      </w:r>
      <w:r>
        <w:rPr>
          <w:color w:val="231F20"/>
          <w:w w:val="105"/>
        </w:rPr>
        <w:t>los</w:t>
      </w:r>
      <w:r>
        <w:rPr>
          <w:color w:val="231F20"/>
          <w:spacing w:val="-5"/>
          <w:w w:val="105"/>
        </w:rPr>
        <w:t> </w:t>
      </w:r>
      <w:r>
        <w:rPr>
          <w:color w:val="231F20"/>
          <w:w w:val="105"/>
        </w:rPr>
        <w:t>tribunales,</w:t>
      </w:r>
      <w:r>
        <w:rPr>
          <w:color w:val="231F20"/>
          <w:spacing w:val="-10"/>
          <w:w w:val="105"/>
        </w:rPr>
        <w:t> </w:t>
      </w:r>
      <w:r>
        <w:rPr>
          <w:color w:val="231F20"/>
          <w:w w:val="105"/>
        </w:rPr>
        <w:t>las</w:t>
      </w:r>
      <w:r>
        <w:rPr>
          <w:color w:val="231F20"/>
          <w:spacing w:val="-5"/>
          <w:w w:val="105"/>
        </w:rPr>
        <w:t> </w:t>
      </w:r>
      <w:r>
        <w:rPr>
          <w:color w:val="231F20"/>
          <w:w w:val="105"/>
        </w:rPr>
        <w:t>autoridades</w:t>
      </w:r>
      <w:r>
        <w:rPr>
          <w:color w:val="231F20"/>
          <w:spacing w:val="-5"/>
          <w:w w:val="105"/>
        </w:rPr>
        <w:t> </w:t>
      </w:r>
      <w:r>
        <w:rPr>
          <w:color w:val="231F20"/>
          <w:w w:val="105"/>
        </w:rPr>
        <w:t>administrati- vas</w:t>
      </w:r>
      <w:r>
        <w:rPr>
          <w:color w:val="231F20"/>
          <w:spacing w:val="-26"/>
          <w:w w:val="105"/>
        </w:rPr>
        <w:t> </w:t>
      </w:r>
      <w:r>
        <w:rPr>
          <w:color w:val="231F20"/>
          <w:w w:val="105"/>
        </w:rPr>
        <w:t>o</w:t>
      </w:r>
      <w:r>
        <w:rPr>
          <w:color w:val="231F20"/>
          <w:spacing w:val="-26"/>
          <w:w w:val="105"/>
        </w:rPr>
        <w:t> </w:t>
      </w:r>
      <w:r>
        <w:rPr>
          <w:color w:val="231F20"/>
          <w:w w:val="105"/>
        </w:rPr>
        <w:t>los</w:t>
      </w:r>
      <w:r>
        <w:rPr>
          <w:color w:val="231F20"/>
          <w:spacing w:val="-26"/>
          <w:w w:val="105"/>
        </w:rPr>
        <w:t> </w:t>
      </w:r>
      <w:r>
        <w:rPr>
          <w:color w:val="231F20"/>
          <w:w w:val="105"/>
        </w:rPr>
        <w:t>órganos</w:t>
      </w:r>
      <w:r>
        <w:rPr>
          <w:color w:val="231F20"/>
          <w:spacing w:val="-26"/>
          <w:w w:val="105"/>
        </w:rPr>
        <w:t> </w:t>
      </w:r>
      <w:r>
        <w:rPr>
          <w:color w:val="231F20"/>
          <w:w w:val="105"/>
        </w:rPr>
        <w:t>legislativos,</w:t>
      </w:r>
      <w:r>
        <w:rPr>
          <w:color w:val="231F20"/>
          <w:spacing w:val="-31"/>
          <w:w w:val="105"/>
        </w:rPr>
        <w:t> </w:t>
      </w:r>
      <w:r>
        <w:rPr>
          <w:color w:val="231F20"/>
          <w:w w:val="105"/>
        </w:rPr>
        <w:t>una</w:t>
      </w:r>
      <w:r>
        <w:rPr>
          <w:color w:val="231F20"/>
          <w:spacing w:val="-26"/>
          <w:w w:val="105"/>
        </w:rPr>
        <w:t> </w:t>
      </w:r>
      <w:r>
        <w:rPr>
          <w:color w:val="231F20"/>
          <w:w w:val="105"/>
        </w:rPr>
        <w:t>consideración</w:t>
      </w:r>
      <w:r>
        <w:rPr>
          <w:color w:val="231F20"/>
          <w:spacing w:val="-26"/>
          <w:w w:val="105"/>
        </w:rPr>
        <w:t> </w:t>
      </w:r>
      <w:r>
        <w:rPr>
          <w:color w:val="231F20"/>
          <w:w w:val="105"/>
        </w:rPr>
        <w:t>primordial</w:t>
      </w:r>
      <w:r>
        <w:rPr>
          <w:color w:val="231F20"/>
          <w:spacing w:val="-26"/>
          <w:w w:val="105"/>
        </w:rPr>
        <w:t> </w:t>
      </w:r>
      <w:r>
        <w:rPr>
          <w:color w:val="231F20"/>
          <w:w w:val="105"/>
        </w:rPr>
        <w:t>a</w:t>
      </w:r>
      <w:r>
        <w:rPr>
          <w:color w:val="231F20"/>
          <w:spacing w:val="-26"/>
          <w:w w:val="105"/>
        </w:rPr>
        <w:t> </w:t>
      </w:r>
      <w:r>
        <w:rPr>
          <w:color w:val="231F20"/>
          <w:w w:val="105"/>
        </w:rPr>
        <w:t>que</w:t>
      </w:r>
      <w:r>
        <w:rPr>
          <w:color w:val="231F20"/>
          <w:spacing w:val="-26"/>
          <w:w w:val="105"/>
        </w:rPr>
        <w:t> </w:t>
      </w:r>
      <w:r>
        <w:rPr>
          <w:color w:val="231F20"/>
          <w:w w:val="105"/>
        </w:rPr>
        <w:t>se</w:t>
      </w:r>
      <w:r>
        <w:rPr>
          <w:color w:val="231F20"/>
          <w:spacing w:val="-26"/>
          <w:w w:val="105"/>
        </w:rPr>
        <w:t> </w:t>
      </w:r>
      <w:r>
        <w:rPr>
          <w:color w:val="231F20"/>
          <w:w w:val="105"/>
        </w:rPr>
        <w:t>aten- derá</w:t>
      </w:r>
      <w:r>
        <w:rPr>
          <w:color w:val="231F20"/>
          <w:spacing w:val="-11"/>
          <w:w w:val="105"/>
        </w:rPr>
        <w:t> </w:t>
      </w:r>
      <w:r>
        <w:rPr>
          <w:color w:val="231F20"/>
          <w:w w:val="105"/>
        </w:rPr>
        <w:t>será</w:t>
      </w:r>
      <w:r>
        <w:rPr>
          <w:color w:val="231F20"/>
          <w:spacing w:val="-11"/>
          <w:w w:val="105"/>
        </w:rPr>
        <w:t> </w:t>
      </w:r>
      <w:r>
        <w:rPr>
          <w:color w:val="231F20"/>
          <w:w w:val="105"/>
        </w:rPr>
        <w:t>el</w:t>
      </w:r>
      <w:r>
        <w:rPr>
          <w:color w:val="231F20"/>
          <w:spacing w:val="-11"/>
          <w:w w:val="105"/>
        </w:rPr>
        <w:t> </w:t>
      </w:r>
      <w:r>
        <w:rPr>
          <w:color w:val="231F20"/>
          <w:w w:val="105"/>
        </w:rPr>
        <w:t>interés</w:t>
      </w:r>
      <w:r>
        <w:rPr>
          <w:color w:val="231F20"/>
          <w:spacing w:val="-11"/>
          <w:w w:val="105"/>
        </w:rPr>
        <w:t> </w:t>
      </w:r>
      <w:r>
        <w:rPr>
          <w:color w:val="231F20"/>
          <w:w w:val="105"/>
        </w:rPr>
        <w:t>superior</w:t>
      </w:r>
      <w:r>
        <w:rPr>
          <w:color w:val="231F20"/>
          <w:spacing w:val="-11"/>
          <w:w w:val="105"/>
        </w:rPr>
        <w:t> </w:t>
      </w:r>
      <w:r>
        <w:rPr>
          <w:color w:val="231F20"/>
          <w:w w:val="105"/>
        </w:rPr>
        <w:t>del</w:t>
      </w:r>
      <w:r>
        <w:rPr>
          <w:color w:val="231F20"/>
          <w:spacing w:val="-11"/>
          <w:w w:val="105"/>
        </w:rPr>
        <w:t> </w:t>
      </w:r>
      <w:r>
        <w:rPr>
          <w:color w:val="231F20"/>
          <w:spacing w:val="-5"/>
          <w:w w:val="105"/>
        </w:rPr>
        <w:t>niño”.</w:t>
      </w:r>
    </w:p>
    <w:p>
      <w:pPr>
        <w:pStyle w:val="BodyText"/>
        <w:spacing w:before="1"/>
        <w:ind w:left="1516" w:right="1696"/>
        <w:jc w:val="right"/>
      </w:pPr>
      <w:r>
        <w:rPr>
          <w:color w:val="231F20"/>
          <w:w w:val="105"/>
        </w:rPr>
        <w:t>Al respecto, la Corte Interamericana de Derechos Humanos advierte:</w:t>
      </w:r>
    </w:p>
    <w:p>
      <w:pPr>
        <w:pStyle w:val="BodyText"/>
        <w:spacing w:before="6"/>
        <w:rPr>
          <w:sz w:val="20"/>
        </w:rPr>
      </w:pPr>
    </w:p>
    <w:p>
      <w:pPr>
        <w:spacing w:line="254" w:lineRule="auto" w:before="0"/>
        <w:ind w:left="2928" w:right="1696" w:firstLine="0"/>
        <w:jc w:val="both"/>
        <w:rPr>
          <w:sz w:val="18"/>
        </w:rPr>
      </w:pPr>
      <w:r>
        <w:rPr/>
        <w:pict>
          <v:line style="position:absolute;mso-position-horizontal-relative:page;mso-position-vertical-relative:paragraph;z-index:-483016" from="15pt,131.280182pt" to="0pt,131.280182pt" stroked="true" strokeweight=".25pt" strokecolor="#000000">
            <w10:wrap type="none"/>
          </v:line>
        </w:pict>
      </w:r>
      <w:r>
        <w:rPr/>
        <w:pict>
          <v:line style="position:absolute;mso-position-horizontal-relative:page;mso-position-vertical-relative:paragraph;z-index:7192" from="508.890015pt,131.280182pt" to="523.890015pt,131.280182pt" stroked="true" strokeweight=".25pt" strokecolor="#000000">
            <w10:wrap type="none"/>
          </v:line>
        </w:pict>
      </w:r>
      <w:r>
        <w:rPr>
          <w:color w:val="231F20"/>
          <w:w w:val="105"/>
          <w:sz w:val="18"/>
        </w:rPr>
        <w:t>conviene observar que para asegurar, en la mayor medida posible, la prevalencia del interés superior del niño, el preámbulo de la Conven- ción sobre los Derechos del Niño establece que éste requiere ‘cuida- dos</w:t>
      </w:r>
      <w:r>
        <w:rPr>
          <w:color w:val="231F20"/>
          <w:spacing w:val="-18"/>
          <w:w w:val="105"/>
          <w:sz w:val="18"/>
        </w:rPr>
        <w:t> </w:t>
      </w:r>
      <w:r>
        <w:rPr>
          <w:color w:val="231F20"/>
          <w:w w:val="105"/>
          <w:sz w:val="18"/>
        </w:rPr>
        <w:t>especiales’,</w:t>
      </w:r>
      <w:r>
        <w:rPr>
          <w:color w:val="231F20"/>
          <w:spacing w:val="-22"/>
          <w:w w:val="105"/>
          <w:sz w:val="18"/>
        </w:rPr>
        <w:t> </w:t>
      </w:r>
      <w:r>
        <w:rPr>
          <w:color w:val="231F20"/>
          <w:w w:val="105"/>
          <w:sz w:val="18"/>
        </w:rPr>
        <w:t>y</w:t>
      </w:r>
      <w:r>
        <w:rPr>
          <w:color w:val="231F20"/>
          <w:spacing w:val="-18"/>
          <w:w w:val="105"/>
          <w:sz w:val="18"/>
        </w:rPr>
        <w:t> </w:t>
      </w:r>
      <w:r>
        <w:rPr>
          <w:color w:val="231F20"/>
          <w:w w:val="105"/>
          <w:sz w:val="18"/>
        </w:rPr>
        <w:t>el</w:t>
      </w:r>
      <w:r>
        <w:rPr>
          <w:color w:val="231F20"/>
          <w:spacing w:val="-18"/>
          <w:w w:val="105"/>
          <w:sz w:val="18"/>
        </w:rPr>
        <w:t> </w:t>
      </w:r>
      <w:r>
        <w:rPr>
          <w:color w:val="231F20"/>
          <w:w w:val="105"/>
          <w:sz w:val="18"/>
        </w:rPr>
        <w:t>artículo</w:t>
      </w:r>
      <w:r>
        <w:rPr>
          <w:color w:val="231F20"/>
          <w:spacing w:val="-18"/>
          <w:w w:val="105"/>
          <w:sz w:val="18"/>
        </w:rPr>
        <w:t> </w:t>
      </w:r>
      <w:r>
        <w:rPr>
          <w:color w:val="231F20"/>
          <w:w w:val="105"/>
          <w:sz w:val="18"/>
        </w:rPr>
        <w:t>19</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Convención</w:t>
      </w:r>
      <w:r>
        <w:rPr>
          <w:color w:val="231F20"/>
          <w:spacing w:val="-21"/>
          <w:w w:val="105"/>
          <w:sz w:val="18"/>
        </w:rPr>
        <w:t> </w:t>
      </w:r>
      <w:r>
        <w:rPr>
          <w:color w:val="231F20"/>
          <w:w w:val="105"/>
          <w:sz w:val="18"/>
        </w:rPr>
        <w:t>Americana</w:t>
      </w:r>
      <w:r>
        <w:rPr>
          <w:color w:val="231F20"/>
          <w:spacing w:val="-18"/>
          <w:w w:val="105"/>
          <w:sz w:val="18"/>
        </w:rPr>
        <w:t> </w:t>
      </w:r>
      <w:r>
        <w:rPr>
          <w:color w:val="231F20"/>
          <w:w w:val="105"/>
          <w:sz w:val="18"/>
        </w:rPr>
        <w:t>señala</w:t>
      </w:r>
      <w:r>
        <w:rPr>
          <w:color w:val="231F20"/>
          <w:spacing w:val="-18"/>
          <w:w w:val="105"/>
          <w:sz w:val="18"/>
        </w:rPr>
        <w:t> </w:t>
      </w:r>
      <w:r>
        <w:rPr>
          <w:color w:val="231F20"/>
          <w:w w:val="105"/>
          <w:sz w:val="18"/>
        </w:rPr>
        <w:t>que debe</w:t>
      </w:r>
      <w:r>
        <w:rPr>
          <w:color w:val="231F20"/>
          <w:spacing w:val="-12"/>
          <w:w w:val="105"/>
          <w:sz w:val="18"/>
        </w:rPr>
        <w:t> </w:t>
      </w:r>
      <w:r>
        <w:rPr>
          <w:color w:val="231F20"/>
          <w:w w:val="105"/>
          <w:sz w:val="18"/>
        </w:rPr>
        <w:t>recibir</w:t>
      </w:r>
      <w:r>
        <w:rPr>
          <w:color w:val="231F20"/>
          <w:spacing w:val="-12"/>
          <w:w w:val="105"/>
          <w:sz w:val="18"/>
        </w:rPr>
        <w:t> </w:t>
      </w:r>
      <w:r>
        <w:rPr>
          <w:color w:val="231F20"/>
          <w:w w:val="105"/>
          <w:sz w:val="18"/>
        </w:rPr>
        <w:t>medidas</w:t>
      </w:r>
      <w:r>
        <w:rPr>
          <w:color w:val="231F20"/>
          <w:spacing w:val="-12"/>
          <w:w w:val="105"/>
          <w:sz w:val="18"/>
        </w:rPr>
        <w:t> </w:t>
      </w:r>
      <w:r>
        <w:rPr>
          <w:color w:val="231F20"/>
          <w:w w:val="105"/>
          <w:sz w:val="18"/>
        </w:rPr>
        <w:t>especiales</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protección</w:t>
      </w:r>
      <w:r>
        <w:rPr>
          <w:color w:val="231F20"/>
          <w:spacing w:val="-12"/>
          <w:w w:val="105"/>
          <w:sz w:val="18"/>
        </w:rPr>
        <w:t> </w:t>
      </w:r>
      <w:r>
        <w:rPr>
          <w:color w:val="231F20"/>
          <w:w w:val="105"/>
          <w:sz w:val="18"/>
        </w:rPr>
        <w:t>(</w:t>
      </w:r>
      <w:r>
        <w:rPr>
          <w:color w:val="231F20"/>
          <w:w w:val="105"/>
          <w:sz w:val="15"/>
        </w:rPr>
        <w:t>CIDH</w:t>
      </w:r>
      <w:r>
        <w:rPr>
          <w:color w:val="231F20"/>
          <w:w w:val="105"/>
          <w:sz w:val="18"/>
        </w:rPr>
        <w:t>,</w:t>
      </w:r>
      <w:r>
        <w:rPr>
          <w:color w:val="231F20"/>
          <w:spacing w:val="-17"/>
          <w:w w:val="105"/>
          <w:sz w:val="18"/>
        </w:rPr>
        <w:t> </w:t>
      </w:r>
      <w:r>
        <w:rPr>
          <w:color w:val="231F20"/>
          <w:w w:val="105"/>
          <w:sz w:val="18"/>
        </w:rPr>
        <w:t>2003:</w:t>
      </w:r>
      <w:r>
        <w:rPr>
          <w:color w:val="231F20"/>
          <w:spacing w:val="-12"/>
          <w:w w:val="105"/>
          <w:sz w:val="18"/>
        </w:rPr>
        <w:t> </w:t>
      </w:r>
      <w:r>
        <w:rPr>
          <w:color w:val="231F20"/>
          <w:w w:val="105"/>
          <w:sz w:val="18"/>
        </w:rPr>
        <w:t>101).</w:t>
      </w:r>
    </w:p>
    <w:p>
      <w:pPr>
        <w:spacing w:after="0" w:line="254" w:lineRule="auto"/>
        <w:jc w:val="both"/>
        <w:rPr>
          <w:sz w:val="18"/>
        </w:rPr>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7240" from="15pt,-71.68644pt" to="0pt,-71.68644pt" stroked="true" strokeweight=".25pt" strokecolor="#000000">
            <w10:wrap type="none"/>
          </v:line>
        </w:pict>
      </w:r>
      <w:r>
        <w:rPr/>
        <w:pict>
          <v:line style="position:absolute;mso-position-horizontal-relative:page;mso-position-vertical-relative:paragraph;z-index:7264" from="508.890015pt,-71.68644pt" to="523.890015pt,-71.68644pt" stroked="true" strokeweight=".25pt" strokecolor="#000000">
            <w10:wrap type="none"/>
          </v:line>
        </w:pict>
      </w:r>
      <w:r>
        <w:rPr>
          <w:color w:val="231F20"/>
          <w:w w:val="105"/>
        </w:rPr>
        <w:t>No se debe soslayar que el interés superior de la infancia conlleva dos tipos de directrices: la primera hace alusión a las acciones que afectan a todos los menores de edad o a grupos de </w:t>
      </w:r>
      <w:r>
        <w:rPr>
          <w:color w:val="231F20"/>
          <w:w w:val="105"/>
          <w:sz w:val="17"/>
        </w:rPr>
        <w:t>NNA</w:t>
      </w:r>
      <w:r>
        <w:rPr>
          <w:color w:val="231F20"/>
          <w:w w:val="105"/>
        </w:rPr>
        <w:t>, mientras la segunda atañe</w:t>
      </w:r>
      <w:r>
        <w:rPr>
          <w:color w:val="231F20"/>
          <w:spacing w:val="-4"/>
          <w:w w:val="105"/>
        </w:rPr>
        <w:t> </w:t>
      </w:r>
      <w:r>
        <w:rPr>
          <w:color w:val="231F20"/>
          <w:w w:val="105"/>
        </w:rPr>
        <w:t>a</w:t>
      </w:r>
      <w:r>
        <w:rPr>
          <w:color w:val="231F20"/>
          <w:spacing w:val="-4"/>
          <w:w w:val="105"/>
        </w:rPr>
        <w:t> </w:t>
      </w:r>
      <w:r>
        <w:rPr>
          <w:color w:val="231F20"/>
          <w:w w:val="105"/>
        </w:rPr>
        <w:t>una</w:t>
      </w:r>
      <w:r>
        <w:rPr>
          <w:color w:val="231F20"/>
          <w:spacing w:val="-4"/>
          <w:w w:val="105"/>
        </w:rPr>
        <w:t> </w:t>
      </w:r>
      <w:r>
        <w:rPr>
          <w:color w:val="231F20"/>
          <w:w w:val="105"/>
        </w:rPr>
        <w:t>persona</w:t>
      </w:r>
      <w:r>
        <w:rPr>
          <w:color w:val="231F20"/>
          <w:spacing w:val="-4"/>
          <w:w w:val="105"/>
        </w:rPr>
        <w:t> </w:t>
      </w:r>
      <w:r>
        <w:rPr>
          <w:color w:val="231F20"/>
          <w:w w:val="105"/>
        </w:rPr>
        <w:t>menor</w:t>
      </w:r>
      <w:r>
        <w:rPr>
          <w:color w:val="231F20"/>
          <w:spacing w:val="-4"/>
          <w:w w:val="105"/>
        </w:rPr>
        <w:t> </w:t>
      </w:r>
      <w:r>
        <w:rPr>
          <w:color w:val="231F20"/>
          <w:w w:val="105"/>
        </w:rPr>
        <w:t>de</w:t>
      </w:r>
      <w:r>
        <w:rPr>
          <w:color w:val="231F20"/>
          <w:spacing w:val="-4"/>
          <w:w w:val="105"/>
        </w:rPr>
        <w:t> </w:t>
      </w:r>
      <w:r>
        <w:rPr>
          <w:color w:val="231F20"/>
          <w:w w:val="105"/>
        </w:rPr>
        <w:t>manera</w:t>
      </w:r>
      <w:r>
        <w:rPr>
          <w:color w:val="231F20"/>
          <w:spacing w:val="-4"/>
          <w:w w:val="105"/>
        </w:rPr>
        <w:t> </w:t>
      </w:r>
      <w:r>
        <w:rPr>
          <w:color w:val="231F20"/>
          <w:w w:val="105"/>
        </w:rPr>
        <w:t>individual.</w:t>
      </w:r>
      <w:r>
        <w:rPr>
          <w:color w:val="231F20"/>
          <w:spacing w:val="-9"/>
          <w:w w:val="105"/>
        </w:rPr>
        <w:t> </w:t>
      </w:r>
      <w:r>
        <w:rPr>
          <w:color w:val="231F20"/>
          <w:w w:val="105"/>
        </w:rPr>
        <w:t>Es</w:t>
      </w:r>
      <w:r>
        <w:rPr>
          <w:color w:val="231F20"/>
          <w:spacing w:val="-4"/>
          <w:w w:val="105"/>
        </w:rPr>
        <w:t> </w:t>
      </w:r>
      <w:r>
        <w:rPr>
          <w:color w:val="231F20"/>
          <w:w w:val="105"/>
        </w:rPr>
        <w:t>decir,</w:t>
      </w:r>
      <w:r>
        <w:rPr>
          <w:color w:val="231F20"/>
          <w:spacing w:val="-9"/>
          <w:w w:val="105"/>
        </w:rPr>
        <w:t> </w:t>
      </w:r>
      <w:r>
        <w:rPr>
          <w:color w:val="231F20"/>
          <w:w w:val="105"/>
        </w:rPr>
        <w:t>aplica</w:t>
      </w:r>
      <w:r>
        <w:rPr>
          <w:color w:val="231F20"/>
          <w:spacing w:val="-4"/>
          <w:w w:val="105"/>
        </w:rPr>
        <w:t> </w:t>
      </w:r>
      <w:r>
        <w:rPr>
          <w:color w:val="231F20"/>
          <w:w w:val="105"/>
        </w:rPr>
        <w:t>tanto para</w:t>
      </w:r>
      <w:r>
        <w:rPr>
          <w:color w:val="231F20"/>
          <w:spacing w:val="-10"/>
          <w:w w:val="105"/>
        </w:rPr>
        <w:t> </w:t>
      </w:r>
      <w:r>
        <w:rPr>
          <w:color w:val="231F20"/>
          <w:w w:val="105"/>
        </w:rPr>
        <w:t>leyes</w:t>
      </w:r>
      <w:r>
        <w:rPr>
          <w:color w:val="231F20"/>
          <w:spacing w:val="-10"/>
          <w:w w:val="105"/>
        </w:rPr>
        <w:t> </w:t>
      </w:r>
      <w:r>
        <w:rPr>
          <w:color w:val="231F20"/>
          <w:w w:val="105"/>
        </w:rPr>
        <w:t>y</w:t>
      </w:r>
      <w:r>
        <w:rPr>
          <w:color w:val="231F20"/>
          <w:spacing w:val="-10"/>
          <w:w w:val="105"/>
        </w:rPr>
        <w:t> </w:t>
      </w:r>
      <w:r>
        <w:rPr>
          <w:color w:val="231F20"/>
          <w:w w:val="105"/>
        </w:rPr>
        <w:t>políticas</w:t>
      </w:r>
      <w:r>
        <w:rPr>
          <w:color w:val="231F20"/>
          <w:spacing w:val="-10"/>
          <w:w w:val="105"/>
        </w:rPr>
        <w:t> </w:t>
      </w:r>
      <w:r>
        <w:rPr>
          <w:color w:val="231F20"/>
          <w:w w:val="105"/>
        </w:rPr>
        <w:t>públicas,</w:t>
      </w:r>
      <w:r>
        <w:rPr>
          <w:color w:val="231F20"/>
          <w:spacing w:val="-16"/>
          <w:w w:val="105"/>
        </w:rPr>
        <w:t> </w:t>
      </w:r>
      <w:r>
        <w:rPr>
          <w:color w:val="231F20"/>
          <w:w w:val="105"/>
        </w:rPr>
        <w:t>como</w:t>
      </w:r>
      <w:r>
        <w:rPr>
          <w:color w:val="231F20"/>
          <w:spacing w:val="-10"/>
          <w:w w:val="105"/>
        </w:rPr>
        <w:t> </w:t>
      </w:r>
      <w:r>
        <w:rPr>
          <w:color w:val="231F20"/>
          <w:w w:val="105"/>
        </w:rPr>
        <w:t>para</w:t>
      </w:r>
      <w:r>
        <w:rPr>
          <w:color w:val="231F20"/>
          <w:spacing w:val="-10"/>
          <w:w w:val="105"/>
        </w:rPr>
        <w:t> </w:t>
      </w:r>
      <w:r>
        <w:rPr>
          <w:color w:val="231F20"/>
          <w:w w:val="105"/>
        </w:rPr>
        <w:t>cada</w:t>
      </w:r>
      <w:r>
        <w:rPr>
          <w:color w:val="231F20"/>
          <w:spacing w:val="-10"/>
          <w:w w:val="105"/>
        </w:rPr>
        <w:t> </w:t>
      </w:r>
      <w:r>
        <w:rPr>
          <w:color w:val="231F20"/>
          <w:w w:val="105"/>
        </w:rPr>
        <w:t>uno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casos</w:t>
      </w:r>
      <w:r>
        <w:rPr>
          <w:color w:val="231F20"/>
          <w:spacing w:val="-10"/>
          <w:w w:val="105"/>
        </w:rPr>
        <w:t> </w:t>
      </w:r>
      <w:r>
        <w:rPr>
          <w:color w:val="231F20"/>
          <w:w w:val="105"/>
        </w:rPr>
        <w:t>en</w:t>
      </w:r>
      <w:r>
        <w:rPr>
          <w:color w:val="231F20"/>
          <w:spacing w:val="-10"/>
          <w:w w:val="105"/>
        </w:rPr>
        <w:t> </w:t>
      </w:r>
      <w:r>
        <w:rPr>
          <w:color w:val="231F20"/>
          <w:w w:val="105"/>
        </w:rPr>
        <w:t>que un</w:t>
      </w:r>
      <w:r>
        <w:rPr>
          <w:color w:val="231F20"/>
          <w:spacing w:val="-20"/>
          <w:w w:val="105"/>
        </w:rPr>
        <w:t> </w:t>
      </w:r>
      <w:r>
        <w:rPr>
          <w:color w:val="231F20"/>
          <w:w w:val="105"/>
        </w:rPr>
        <w:t>menor</w:t>
      </w:r>
      <w:r>
        <w:rPr>
          <w:color w:val="231F20"/>
          <w:spacing w:val="-20"/>
          <w:w w:val="105"/>
        </w:rPr>
        <w:t> </w:t>
      </w:r>
      <w:r>
        <w:rPr>
          <w:color w:val="231F20"/>
          <w:w w:val="105"/>
        </w:rPr>
        <w:t>se</w:t>
      </w:r>
      <w:r>
        <w:rPr>
          <w:color w:val="231F20"/>
          <w:spacing w:val="-20"/>
          <w:w w:val="105"/>
        </w:rPr>
        <w:t> </w:t>
      </w:r>
      <w:r>
        <w:rPr>
          <w:color w:val="231F20"/>
          <w:w w:val="105"/>
        </w:rPr>
        <w:t>vea</w:t>
      </w:r>
      <w:r>
        <w:rPr>
          <w:color w:val="231F20"/>
          <w:spacing w:val="-20"/>
          <w:w w:val="105"/>
        </w:rPr>
        <w:t> </w:t>
      </w:r>
      <w:r>
        <w:rPr>
          <w:color w:val="231F20"/>
          <w:w w:val="105"/>
        </w:rPr>
        <w:t>en</w:t>
      </w:r>
      <w:r>
        <w:rPr>
          <w:color w:val="231F20"/>
          <w:spacing w:val="-20"/>
          <w:w w:val="105"/>
        </w:rPr>
        <w:t> </w:t>
      </w:r>
      <w:r>
        <w:rPr>
          <w:color w:val="231F20"/>
          <w:w w:val="105"/>
        </w:rPr>
        <w:t>una</w:t>
      </w:r>
      <w:r>
        <w:rPr>
          <w:color w:val="231F20"/>
          <w:spacing w:val="-20"/>
          <w:w w:val="105"/>
        </w:rPr>
        <w:t> </w:t>
      </w:r>
      <w:r>
        <w:rPr>
          <w:color w:val="231F20"/>
          <w:w w:val="105"/>
        </w:rPr>
        <w:t>situación</w:t>
      </w:r>
      <w:r>
        <w:rPr>
          <w:color w:val="231F20"/>
          <w:spacing w:val="-20"/>
          <w:w w:val="105"/>
        </w:rPr>
        <w:t> </w:t>
      </w:r>
      <w:r>
        <w:rPr>
          <w:color w:val="231F20"/>
          <w:w w:val="105"/>
        </w:rPr>
        <w:t>de</w:t>
      </w:r>
      <w:r>
        <w:rPr>
          <w:color w:val="231F20"/>
          <w:spacing w:val="-20"/>
          <w:w w:val="105"/>
        </w:rPr>
        <w:t> </w:t>
      </w:r>
      <w:r>
        <w:rPr>
          <w:color w:val="231F20"/>
          <w:w w:val="105"/>
        </w:rPr>
        <w:t>desamparo,</w:t>
      </w:r>
      <w:r>
        <w:rPr>
          <w:color w:val="231F20"/>
          <w:spacing w:val="-24"/>
          <w:w w:val="105"/>
        </w:rPr>
        <w:t> </w:t>
      </w:r>
      <w:r>
        <w:rPr>
          <w:color w:val="231F20"/>
          <w:w w:val="105"/>
        </w:rPr>
        <w:t>como</w:t>
      </w:r>
      <w:r>
        <w:rPr>
          <w:color w:val="231F20"/>
          <w:spacing w:val="-20"/>
          <w:w w:val="105"/>
        </w:rPr>
        <w:t> </w:t>
      </w:r>
      <w:r>
        <w:rPr>
          <w:color w:val="231F20"/>
          <w:w w:val="105"/>
        </w:rPr>
        <w:t>ocurre</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caso de</w:t>
      </w:r>
      <w:r>
        <w:rPr>
          <w:color w:val="231F20"/>
          <w:spacing w:val="-17"/>
          <w:w w:val="105"/>
        </w:rPr>
        <w:t> </w:t>
      </w:r>
      <w:r>
        <w:rPr>
          <w:color w:val="231F20"/>
          <w:w w:val="105"/>
        </w:rPr>
        <w:t>los</w:t>
      </w:r>
      <w:r>
        <w:rPr>
          <w:color w:val="231F20"/>
          <w:spacing w:val="-17"/>
          <w:w w:val="105"/>
        </w:rPr>
        <w:t> </w:t>
      </w:r>
      <w:r>
        <w:rPr>
          <w:color w:val="231F20"/>
          <w:w w:val="105"/>
        </w:rPr>
        <w:t>menores</w:t>
      </w:r>
      <w:r>
        <w:rPr>
          <w:color w:val="231F20"/>
          <w:spacing w:val="-17"/>
          <w:w w:val="105"/>
        </w:rPr>
        <w:t> </w:t>
      </w:r>
      <w:r>
        <w:rPr>
          <w:color w:val="231F20"/>
          <w:w w:val="105"/>
        </w:rPr>
        <w:t>migrantes</w:t>
      </w:r>
      <w:r>
        <w:rPr>
          <w:color w:val="231F20"/>
          <w:spacing w:val="-17"/>
          <w:w w:val="105"/>
        </w:rPr>
        <w:t> </w:t>
      </w:r>
      <w:r>
        <w:rPr>
          <w:color w:val="231F20"/>
          <w:w w:val="105"/>
        </w:rPr>
        <w:t>no</w:t>
      </w:r>
      <w:r>
        <w:rPr>
          <w:color w:val="231F20"/>
          <w:spacing w:val="-17"/>
          <w:w w:val="105"/>
        </w:rPr>
        <w:t> </w:t>
      </w:r>
      <w:r>
        <w:rPr>
          <w:color w:val="231F20"/>
          <w:w w:val="105"/>
        </w:rPr>
        <w:t>acompañados.</w:t>
      </w:r>
    </w:p>
    <w:p>
      <w:pPr>
        <w:pStyle w:val="BodyText"/>
        <w:spacing w:line="261" w:lineRule="auto" w:before="1"/>
        <w:ind w:left="1723" w:right="1834" w:firstLine="567"/>
        <w:jc w:val="both"/>
      </w:pPr>
      <w:r>
        <w:rPr>
          <w:color w:val="231F20"/>
          <w:w w:val="105"/>
        </w:rPr>
        <w:t>Respecto</w:t>
      </w:r>
      <w:r>
        <w:rPr>
          <w:color w:val="231F20"/>
          <w:spacing w:val="-33"/>
          <w:w w:val="105"/>
        </w:rPr>
        <w:t> </w:t>
      </w:r>
      <w:r>
        <w:rPr>
          <w:color w:val="231F20"/>
          <w:w w:val="105"/>
        </w:rPr>
        <w:t>a</w:t>
      </w:r>
      <w:r>
        <w:rPr>
          <w:color w:val="231F20"/>
          <w:spacing w:val="-33"/>
          <w:w w:val="105"/>
        </w:rPr>
        <w:t> </w:t>
      </w:r>
      <w:r>
        <w:rPr>
          <w:color w:val="231F20"/>
          <w:w w:val="105"/>
        </w:rPr>
        <w:t>la</w:t>
      </w:r>
      <w:r>
        <w:rPr>
          <w:color w:val="231F20"/>
          <w:spacing w:val="-33"/>
          <w:w w:val="105"/>
        </w:rPr>
        <w:t> </w:t>
      </w:r>
      <w:r>
        <w:rPr>
          <w:color w:val="231F20"/>
          <w:w w:val="105"/>
        </w:rPr>
        <w:t>protección</w:t>
      </w:r>
      <w:r>
        <w:rPr>
          <w:color w:val="231F20"/>
          <w:spacing w:val="-33"/>
          <w:w w:val="105"/>
        </w:rPr>
        <w:t> </w:t>
      </w:r>
      <w:r>
        <w:rPr>
          <w:color w:val="231F20"/>
          <w:w w:val="105"/>
        </w:rPr>
        <w:t>general</w:t>
      </w:r>
      <w:r>
        <w:rPr>
          <w:color w:val="231F20"/>
          <w:spacing w:val="-33"/>
          <w:w w:val="105"/>
        </w:rPr>
        <w:t> </w:t>
      </w:r>
      <w:r>
        <w:rPr>
          <w:color w:val="231F20"/>
          <w:w w:val="105"/>
        </w:rPr>
        <w:t>que</w:t>
      </w:r>
      <w:r>
        <w:rPr>
          <w:color w:val="231F20"/>
          <w:spacing w:val="-33"/>
          <w:w w:val="105"/>
        </w:rPr>
        <w:t> </w:t>
      </w:r>
      <w:r>
        <w:rPr>
          <w:color w:val="231F20"/>
          <w:w w:val="105"/>
        </w:rPr>
        <w:t>tienen</w:t>
      </w:r>
      <w:r>
        <w:rPr>
          <w:color w:val="231F20"/>
          <w:spacing w:val="-33"/>
          <w:w w:val="105"/>
        </w:rPr>
        <w:t> </w:t>
      </w:r>
      <w:r>
        <w:rPr>
          <w:color w:val="231F20"/>
          <w:w w:val="105"/>
        </w:rPr>
        <w:t>las</w:t>
      </w:r>
      <w:r>
        <w:rPr>
          <w:color w:val="231F20"/>
          <w:spacing w:val="-33"/>
          <w:w w:val="105"/>
        </w:rPr>
        <w:t> </w:t>
      </w:r>
      <w:r>
        <w:rPr>
          <w:color w:val="231F20"/>
          <w:w w:val="105"/>
        </w:rPr>
        <w:t>personas</w:t>
      </w:r>
      <w:r>
        <w:rPr>
          <w:color w:val="231F20"/>
          <w:spacing w:val="-33"/>
          <w:w w:val="105"/>
        </w:rPr>
        <w:t> </w:t>
      </w:r>
      <w:r>
        <w:rPr>
          <w:color w:val="231F20"/>
          <w:w w:val="105"/>
        </w:rPr>
        <w:t>migrantes en</w:t>
      </w:r>
      <w:r>
        <w:rPr>
          <w:color w:val="231F20"/>
          <w:spacing w:val="-12"/>
          <w:w w:val="105"/>
        </w:rPr>
        <w:t> </w:t>
      </w:r>
      <w:r>
        <w:rPr>
          <w:color w:val="231F20"/>
          <w:w w:val="105"/>
        </w:rPr>
        <w:t>el</w:t>
      </w:r>
      <w:r>
        <w:rPr>
          <w:color w:val="231F20"/>
          <w:spacing w:val="-12"/>
          <w:w w:val="105"/>
        </w:rPr>
        <w:t> </w:t>
      </w:r>
      <w:r>
        <w:rPr>
          <w:color w:val="231F20"/>
          <w:w w:val="105"/>
        </w:rPr>
        <w:t>ámbito</w:t>
      </w:r>
      <w:r>
        <w:rPr>
          <w:color w:val="231F20"/>
          <w:spacing w:val="-12"/>
          <w:w w:val="105"/>
        </w:rPr>
        <w:t> </w:t>
      </w:r>
      <w:r>
        <w:rPr>
          <w:color w:val="231F20"/>
          <w:w w:val="105"/>
        </w:rPr>
        <w:t>internacional,</w:t>
      </w:r>
      <w:r>
        <w:rPr>
          <w:color w:val="231F20"/>
          <w:spacing w:val="-19"/>
          <w:w w:val="105"/>
        </w:rPr>
        <w:t> </w:t>
      </w:r>
      <w:r>
        <w:rPr>
          <w:color w:val="231F20"/>
          <w:w w:val="105"/>
        </w:rPr>
        <w:t>y</w:t>
      </w:r>
      <w:r>
        <w:rPr>
          <w:color w:val="231F20"/>
          <w:spacing w:val="-12"/>
          <w:w w:val="105"/>
        </w:rPr>
        <w:t> </w:t>
      </w:r>
      <w:r>
        <w:rPr>
          <w:color w:val="231F20"/>
          <w:w w:val="105"/>
        </w:rPr>
        <w:t>por</w:t>
      </w:r>
      <w:r>
        <w:rPr>
          <w:color w:val="231F20"/>
          <w:spacing w:val="-12"/>
          <w:w w:val="105"/>
        </w:rPr>
        <w:t> </w:t>
      </w:r>
      <w:r>
        <w:rPr>
          <w:color w:val="231F20"/>
          <w:w w:val="105"/>
        </w:rPr>
        <w:t>ende</w:t>
      </w:r>
      <w:r>
        <w:rPr>
          <w:color w:val="231F20"/>
          <w:spacing w:val="-12"/>
          <w:w w:val="105"/>
        </w:rPr>
        <w:t> </w:t>
      </w:r>
      <w:r>
        <w:rPr>
          <w:color w:val="231F20"/>
          <w:w w:val="105"/>
        </w:rPr>
        <w:t>los</w:t>
      </w:r>
      <w:r>
        <w:rPr>
          <w:color w:val="231F20"/>
          <w:spacing w:val="-12"/>
          <w:w w:val="105"/>
        </w:rPr>
        <w:t> </w:t>
      </w:r>
      <w:r>
        <w:rPr>
          <w:color w:val="231F20"/>
          <w:w w:val="105"/>
        </w:rPr>
        <w:t>menores,</w:t>
      </w:r>
      <w:r>
        <w:rPr>
          <w:color w:val="231F20"/>
          <w:spacing w:val="-19"/>
          <w:w w:val="105"/>
        </w:rPr>
        <w:t> </w:t>
      </w:r>
      <w:r>
        <w:rPr>
          <w:color w:val="231F20"/>
          <w:w w:val="105"/>
        </w:rPr>
        <w:t>los</w:t>
      </w:r>
      <w:r>
        <w:rPr>
          <w:color w:val="231F20"/>
          <w:spacing w:val="-12"/>
          <w:w w:val="105"/>
        </w:rPr>
        <w:t> </w:t>
      </w:r>
      <w:r>
        <w:rPr>
          <w:color w:val="231F20"/>
          <w:w w:val="105"/>
        </w:rPr>
        <w:t>principales</w:t>
      </w:r>
      <w:r>
        <w:rPr>
          <w:color w:val="231F20"/>
          <w:spacing w:val="-12"/>
          <w:w w:val="105"/>
        </w:rPr>
        <w:t> </w:t>
      </w:r>
      <w:r>
        <w:rPr>
          <w:color w:val="231F20"/>
          <w:w w:val="105"/>
        </w:rPr>
        <w:t>docu- mentos</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fundamenta</w:t>
      </w:r>
      <w:r>
        <w:rPr>
          <w:color w:val="231F20"/>
          <w:spacing w:val="-15"/>
          <w:w w:val="105"/>
        </w:rPr>
        <w:t> </w:t>
      </w:r>
      <w:r>
        <w:rPr>
          <w:color w:val="231F20"/>
          <w:w w:val="105"/>
        </w:rPr>
        <w:t>su</w:t>
      </w:r>
      <w:r>
        <w:rPr>
          <w:color w:val="231F20"/>
          <w:spacing w:val="-15"/>
          <w:w w:val="105"/>
        </w:rPr>
        <w:t> </w:t>
      </w:r>
      <w:r>
        <w:rPr>
          <w:color w:val="231F20"/>
          <w:w w:val="105"/>
        </w:rPr>
        <w:t>protección</w:t>
      </w:r>
      <w:r>
        <w:rPr>
          <w:color w:val="231F20"/>
          <w:spacing w:val="-15"/>
          <w:w w:val="105"/>
        </w:rPr>
        <w:t> </w:t>
      </w:r>
      <w:r>
        <w:rPr>
          <w:color w:val="231F20"/>
          <w:w w:val="105"/>
        </w:rPr>
        <w:t>son:</w:t>
      </w:r>
      <w:r>
        <w:rPr>
          <w:color w:val="231F20"/>
          <w:spacing w:val="-15"/>
          <w:w w:val="105"/>
        </w:rPr>
        <w:t> </w:t>
      </w:r>
      <w:r>
        <w:rPr>
          <w:color w:val="231F20"/>
          <w:w w:val="105"/>
        </w:rPr>
        <w:t>la</w:t>
      </w:r>
      <w:r>
        <w:rPr>
          <w:color w:val="231F20"/>
          <w:spacing w:val="-15"/>
          <w:w w:val="105"/>
        </w:rPr>
        <w:t> </w:t>
      </w:r>
      <w:r>
        <w:rPr>
          <w:color w:val="231F20"/>
          <w:w w:val="105"/>
        </w:rPr>
        <w:t>Declaración</w:t>
      </w:r>
      <w:r>
        <w:rPr>
          <w:color w:val="231F20"/>
          <w:spacing w:val="-15"/>
          <w:w w:val="105"/>
        </w:rPr>
        <w:t> </w:t>
      </w:r>
      <w:r>
        <w:rPr>
          <w:color w:val="231F20"/>
          <w:w w:val="105"/>
        </w:rPr>
        <w:t>Uni- versal</w:t>
      </w:r>
      <w:r>
        <w:rPr>
          <w:color w:val="231F20"/>
          <w:spacing w:val="-10"/>
          <w:w w:val="105"/>
        </w:rPr>
        <w:t> </w:t>
      </w:r>
      <w:r>
        <w:rPr>
          <w:color w:val="231F20"/>
          <w:w w:val="105"/>
        </w:rPr>
        <w:t>sobre</w:t>
      </w:r>
      <w:r>
        <w:rPr>
          <w:color w:val="231F20"/>
          <w:spacing w:val="-10"/>
          <w:w w:val="105"/>
        </w:rPr>
        <w:t> </w:t>
      </w:r>
      <w:r>
        <w:rPr>
          <w:color w:val="231F20"/>
          <w:w w:val="105"/>
        </w:rPr>
        <w:t>Derechos</w:t>
      </w:r>
      <w:r>
        <w:rPr>
          <w:color w:val="231F20"/>
          <w:spacing w:val="-10"/>
          <w:w w:val="105"/>
        </w:rPr>
        <w:t> </w:t>
      </w:r>
      <w:r>
        <w:rPr>
          <w:color w:val="231F20"/>
          <w:w w:val="105"/>
        </w:rPr>
        <w:t>Humanos,</w:t>
      </w:r>
      <w:r>
        <w:rPr>
          <w:color w:val="231F20"/>
          <w:spacing w:val="-15"/>
          <w:w w:val="105"/>
        </w:rPr>
        <w:t> </w:t>
      </w:r>
      <w:r>
        <w:rPr>
          <w:color w:val="231F20"/>
          <w:w w:val="105"/>
        </w:rPr>
        <w:t>la</w:t>
      </w:r>
      <w:r>
        <w:rPr>
          <w:color w:val="231F20"/>
          <w:spacing w:val="-10"/>
          <w:w w:val="105"/>
        </w:rPr>
        <w:t> </w:t>
      </w:r>
      <w:r>
        <w:rPr>
          <w:color w:val="231F20"/>
          <w:w w:val="105"/>
        </w:rPr>
        <w:t>Convención</w:t>
      </w:r>
      <w:r>
        <w:rPr>
          <w:color w:val="231F20"/>
          <w:spacing w:val="-10"/>
          <w:w w:val="105"/>
        </w:rPr>
        <w:t> </w:t>
      </w:r>
      <w:r>
        <w:rPr>
          <w:color w:val="231F20"/>
          <w:w w:val="105"/>
        </w:rPr>
        <w:t>Internacional</w:t>
      </w:r>
      <w:r>
        <w:rPr>
          <w:color w:val="231F20"/>
          <w:spacing w:val="-10"/>
          <w:w w:val="105"/>
        </w:rPr>
        <w:t> </w:t>
      </w:r>
      <w:r>
        <w:rPr>
          <w:color w:val="231F20"/>
          <w:w w:val="105"/>
        </w:rPr>
        <w:t>sobre</w:t>
      </w:r>
      <w:r>
        <w:rPr>
          <w:color w:val="231F20"/>
          <w:spacing w:val="-10"/>
          <w:w w:val="105"/>
        </w:rPr>
        <w:t> </w:t>
      </w:r>
      <w:r>
        <w:rPr>
          <w:color w:val="231F20"/>
          <w:w w:val="105"/>
        </w:rPr>
        <w:t>los Derechos</w:t>
      </w:r>
      <w:r>
        <w:rPr>
          <w:color w:val="231F20"/>
          <w:spacing w:val="-43"/>
          <w:w w:val="105"/>
        </w:rPr>
        <w:t> </w:t>
      </w:r>
      <w:r>
        <w:rPr>
          <w:color w:val="231F20"/>
          <w:w w:val="105"/>
        </w:rPr>
        <w:t>Económicos,</w:t>
      </w:r>
      <w:r>
        <w:rPr>
          <w:color w:val="231F20"/>
          <w:spacing w:val="-46"/>
          <w:w w:val="105"/>
        </w:rPr>
        <w:t> </w:t>
      </w:r>
      <w:r>
        <w:rPr>
          <w:color w:val="231F20"/>
          <w:w w:val="105"/>
        </w:rPr>
        <w:t>Sociales</w:t>
      </w:r>
      <w:r>
        <w:rPr>
          <w:color w:val="231F20"/>
          <w:spacing w:val="-43"/>
          <w:w w:val="105"/>
        </w:rPr>
        <w:t> </w:t>
      </w:r>
      <w:r>
        <w:rPr>
          <w:color w:val="231F20"/>
          <w:w w:val="105"/>
        </w:rPr>
        <w:t>y</w:t>
      </w:r>
      <w:r>
        <w:rPr>
          <w:color w:val="231F20"/>
          <w:spacing w:val="-43"/>
          <w:w w:val="105"/>
        </w:rPr>
        <w:t> </w:t>
      </w:r>
      <w:r>
        <w:rPr>
          <w:color w:val="231F20"/>
          <w:w w:val="105"/>
        </w:rPr>
        <w:t>Culturales,</w:t>
      </w:r>
      <w:r>
        <w:rPr>
          <w:color w:val="231F20"/>
          <w:spacing w:val="-46"/>
          <w:w w:val="105"/>
        </w:rPr>
        <w:t> </w:t>
      </w:r>
      <w:r>
        <w:rPr>
          <w:color w:val="231F20"/>
          <w:w w:val="105"/>
        </w:rPr>
        <w:t>la</w:t>
      </w:r>
      <w:r>
        <w:rPr>
          <w:color w:val="231F20"/>
          <w:spacing w:val="-43"/>
          <w:w w:val="105"/>
        </w:rPr>
        <w:t> </w:t>
      </w:r>
      <w:r>
        <w:rPr>
          <w:color w:val="231F20"/>
          <w:w w:val="105"/>
        </w:rPr>
        <w:t>Convención</w:t>
      </w:r>
      <w:r>
        <w:rPr>
          <w:color w:val="231F20"/>
          <w:spacing w:val="-43"/>
          <w:w w:val="105"/>
        </w:rPr>
        <w:t> </w:t>
      </w:r>
      <w:r>
        <w:rPr>
          <w:color w:val="231F20"/>
          <w:w w:val="105"/>
        </w:rPr>
        <w:t>Internacional sobre</w:t>
      </w:r>
      <w:r>
        <w:rPr>
          <w:color w:val="231F20"/>
          <w:spacing w:val="-9"/>
          <w:w w:val="105"/>
        </w:rPr>
        <w:t> </w:t>
      </w:r>
      <w:r>
        <w:rPr>
          <w:color w:val="231F20"/>
          <w:w w:val="105"/>
        </w:rPr>
        <w:t>Derechos</w:t>
      </w:r>
      <w:r>
        <w:rPr>
          <w:color w:val="231F20"/>
          <w:spacing w:val="-9"/>
          <w:w w:val="105"/>
        </w:rPr>
        <w:t> </w:t>
      </w:r>
      <w:r>
        <w:rPr>
          <w:color w:val="231F20"/>
          <w:w w:val="105"/>
        </w:rPr>
        <w:t>Civiles</w:t>
      </w:r>
      <w:r>
        <w:rPr>
          <w:color w:val="231F20"/>
          <w:spacing w:val="-9"/>
          <w:w w:val="105"/>
        </w:rPr>
        <w:t> </w:t>
      </w:r>
      <w:r>
        <w:rPr>
          <w:color w:val="231F20"/>
          <w:w w:val="105"/>
        </w:rPr>
        <w:t>y</w:t>
      </w:r>
      <w:r>
        <w:rPr>
          <w:color w:val="231F20"/>
          <w:spacing w:val="-9"/>
          <w:w w:val="105"/>
        </w:rPr>
        <w:t> </w:t>
      </w:r>
      <w:r>
        <w:rPr>
          <w:color w:val="231F20"/>
          <w:w w:val="105"/>
        </w:rPr>
        <w:t>Políticos,</w:t>
      </w:r>
      <w:r>
        <w:rPr>
          <w:color w:val="231F20"/>
          <w:spacing w:val="-15"/>
          <w:w w:val="105"/>
        </w:rPr>
        <w:t> </w:t>
      </w:r>
      <w:r>
        <w:rPr>
          <w:color w:val="231F20"/>
          <w:w w:val="105"/>
        </w:rPr>
        <w:t>la</w:t>
      </w:r>
      <w:r>
        <w:rPr>
          <w:color w:val="231F20"/>
          <w:spacing w:val="-9"/>
          <w:w w:val="105"/>
        </w:rPr>
        <w:t> </w:t>
      </w:r>
      <w:r>
        <w:rPr>
          <w:color w:val="231F20"/>
          <w:w w:val="105"/>
        </w:rPr>
        <w:t>Convención</w:t>
      </w:r>
      <w:r>
        <w:rPr>
          <w:color w:val="231F20"/>
          <w:spacing w:val="-9"/>
          <w:w w:val="105"/>
        </w:rPr>
        <w:t> </w:t>
      </w:r>
      <w:r>
        <w:rPr>
          <w:color w:val="231F20"/>
          <w:w w:val="105"/>
        </w:rPr>
        <w:t>Internacional</w:t>
      </w:r>
      <w:r>
        <w:rPr>
          <w:color w:val="231F20"/>
          <w:spacing w:val="-9"/>
          <w:w w:val="105"/>
        </w:rPr>
        <w:t> </w:t>
      </w:r>
      <w:r>
        <w:rPr>
          <w:color w:val="231F20"/>
          <w:w w:val="105"/>
        </w:rPr>
        <w:t>sobre</w:t>
      </w:r>
      <w:r>
        <w:rPr>
          <w:color w:val="231F20"/>
          <w:spacing w:val="-9"/>
          <w:w w:val="105"/>
        </w:rPr>
        <w:t> </w:t>
      </w:r>
      <w:r>
        <w:rPr>
          <w:color w:val="231F20"/>
          <w:w w:val="105"/>
        </w:rPr>
        <w:t>la Eliminación</w:t>
      </w:r>
      <w:r>
        <w:rPr>
          <w:color w:val="231F20"/>
          <w:spacing w:val="-29"/>
          <w:w w:val="105"/>
        </w:rPr>
        <w:t> </w:t>
      </w:r>
      <w:r>
        <w:rPr>
          <w:color w:val="231F20"/>
          <w:w w:val="105"/>
        </w:rPr>
        <w:t>de</w:t>
      </w:r>
      <w:r>
        <w:rPr>
          <w:color w:val="231F20"/>
          <w:spacing w:val="-29"/>
          <w:w w:val="105"/>
        </w:rPr>
        <w:t> </w:t>
      </w:r>
      <w:r>
        <w:rPr>
          <w:color w:val="231F20"/>
          <w:w w:val="105"/>
        </w:rPr>
        <w:t>todas</w:t>
      </w:r>
      <w:r>
        <w:rPr>
          <w:color w:val="231F20"/>
          <w:spacing w:val="-29"/>
          <w:w w:val="105"/>
        </w:rPr>
        <w:t> </w:t>
      </w:r>
      <w:r>
        <w:rPr>
          <w:color w:val="231F20"/>
          <w:w w:val="105"/>
        </w:rPr>
        <w:t>las</w:t>
      </w:r>
      <w:r>
        <w:rPr>
          <w:color w:val="231F20"/>
          <w:spacing w:val="-29"/>
          <w:w w:val="105"/>
        </w:rPr>
        <w:t> </w:t>
      </w:r>
      <w:r>
        <w:rPr>
          <w:color w:val="231F20"/>
          <w:w w:val="105"/>
        </w:rPr>
        <w:t>Formas</w:t>
      </w:r>
      <w:r>
        <w:rPr>
          <w:color w:val="231F20"/>
          <w:spacing w:val="-29"/>
          <w:w w:val="105"/>
        </w:rPr>
        <w:t> </w:t>
      </w:r>
      <w:r>
        <w:rPr>
          <w:color w:val="231F20"/>
          <w:w w:val="105"/>
        </w:rPr>
        <w:t>de</w:t>
      </w:r>
      <w:r>
        <w:rPr>
          <w:color w:val="231F20"/>
          <w:spacing w:val="-29"/>
          <w:w w:val="105"/>
        </w:rPr>
        <w:t> </w:t>
      </w:r>
      <w:r>
        <w:rPr>
          <w:color w:val="231F20"/>
          <w:w w:val="105"/>
        </w:rPr>
        <w:t>Discriminación</w:t>
      </w:r>
      <w:r>
        <w:rPr>
          <w:color w:val="231F20"/>
          <w:spacing w:val="-29"/>
          <w:w w:val="105"/>
        </w:rPr>
        <w:t> </w:t>
      </w:r>
      <w:r>
        <w:rPr>
          <w:color w:val="231F20"/>
          <w:w w:val="105"/>
        </w:rPr>
        <w:t>Racial,</w:t>
      </w:r>
      <w:r>
        <w:rPr>
          <w:color w:val="231F20"/>
          <w:spacing w:val="-33"/>
          <w:w w:val="105"/>
        </w:rPr>
        <w:t> </w:t>
      </w:r>
      <w:r>
        <w:rPr>
          <w:color w:val="231F20"/>
          <w:w w:val="105"/>
        </w:rPr>
        <w:t>la</w:t>
      </w:r>
      <w:r>
        <w:rPr>
          <w:color w:val="231F20"/>
          <w:spacing w:val="-29"/>
          <w:w w:val="105"/>
        </w:rPr>
        <w:t> </w:t>
      </w:r>
      <w:r>
        <w:rPr>
          <w:color w:val="231F20"/>
          <w:w w:val="105"/>
        </w:rPr>
        <w:t>Convención sobre</w:t>
      </w:r>
      <w:r>
        <w:rPr>
          <w:color w:val="231F20"/>
          <w:spacing w:val="-23"/>
          <w:w w:val="105"/>
        </w:rPr>
        <w:t> </w:t>
      </w:r>
      <w:r>
        <w:rPr>
          <w:color w:val="231F20"/>
          <w:w w:val="105"/>
        </w:rPr>
        <w:t>la</w:t>
      </w:r>
      <w:r>
        <w:rPr>
          <w:color w:val="231F20"/>
          <w:spacing w:val="-23"/>
          <w:w w:val="105"/>
        </w:rPr>
        <w:t> </w:t>
      </w:r>
      <w:r>
        <w:rPr>
          <w:color w:val="231F20"/>
          <w:w w:val="105"/>
        </w:rPr>
        <w:t>Eliminación</w:t>
      </w:r>
      <w:r>
        <w:rPr>
          <w:color w:val="231F20"/>
          <w:spacing w:val="-23"/>
          <w:w w:val="105"/>
        </w:rPr>
        <w:t> </w:t>
      </w:r>
      <w:r>
        <w:rPr>
          <w:color w:val="231F20"/>
          <w:w w:val="105"/>
        </w:rPr>
        <w:t>de</w:t>
      </w:r>
      <w:r>
        <w:rPr>
          <w:color w:val="231F20"/>
          <w:spacing w:val="-23"/>
          <w:w w:val="105"/>
        </w:rPr>
        <w:t> </w:t>
      </w:r>
      <w:r>
        <w:rPr>
          <w:color w:val="231F20"/>
          <w:w w:val="105"/>
        </w:rPr>
        <w:t>todas</w:t>
      </w:r>
      <w:r>
        <w:rPr>
          <w:color w:val="231F20"/>
          <w:spacing w:val="-23"/>
          <w:w w:val="105"/>
        </w:rPr>
        <w:t> </w:t>
      </w:r>
      <w:r>
        <w:rPr>
          <w:color w:val="231F20"/>
          <w:w w:val="105"/>
        </w:rPr>
        <w:t>las</w:t>
      </w:r>
      <w:r>
        <w:rPr>
          <w:color w:val="231F20"/>
          <w:spacing w:val="-23"/>
          <w:w w:val="105"/>
        </w:rPr>
        <w:t> </w:t>
      </w:r>
      <w:r>
        <w:rPr>
          <w:color w:val="231F20"/>
          <w:w w:val="105"/>
        </w:rPr>
        <w:t>Formas</w:t>
      </w:r>
      <w:r>
        <w:rPr>
          <w:color w:val="231F20"/>
          <w:spacing w:val="-23"/>
          <w:w w:val="105"/>
        </w:rPr>
        <w:t> </w:t>
      </w:r>
      <w:r>
        <w:rPr>
          <w:color w:val="231F20"/>
          <w:w w:val="105"/>
        </w:rPr>
        <w:t>de</w:t>
      </w:r>
      <w:r>
        <w:rPr>
          <w:color w:val="231F20"/>
          <w:spacing w:val="-23"/>
          <w:w w:val="105"/>
        </w:rPr>
        <w:t> </w:t>
      </w:r>
      <w:r>
        <w:rPr>
          <w:color w:val="231F20"/>
          <w:w w:val="105"/>
        </w:rPr>
        <w:t>Discriminación</w:t>
      </w:r>
      <w:r>
        <w:rPr>
          <w:color w:val="231F20"/>
          <w:spacing w:val="-23"/>
          <w:w w:val="105"/>
        </w:rPr>
        <w:t> </w:t>
      </w:r>
      <w:r>
        <w:rPr>
          <w:color w:val="231F20"/>
          <w:w w:val="105"/>
        </w:rPr>
        <w:t>contra</w:t>
      </w:r>
      <w:r>
        <w:rPr>
          <w:color w:val="231F20"/>
          <w:spacing w:val="-23"/>
          <w:w w:val="105"/>
        </w:rPr>
        <w:t> </w:t>
      </w:r>
      <w:r>
        <w:rPr>
          <w:color w:val="231F20"/>
          <w:w w:val="105"/>
        </w:rPr>
        <w:t>la</w:t>
      </w:r>
      <w:r>
        <w:rPr>
          <w:color w:val="231F20"/>
          <w:spacing w:val="-23"/>
          <w:w w:val="105"/>
        </w:rPr>
        <w:t> </w:t>
      </w:r>
      <w:r>
        <w:rPr>
          <w:color w:val="231F20"/>
          <w:w w:val="105"/>
        </w:rPr>
        <w:t>Mu- </w:t>
      </w:r>
      <w:r>
        <w:rPr>
          <w:color w:val="231F20"/>
          <w:spacing w:val="-3"/>
          <w:w w:val="105"/>
        </w:rPr>
        <w:t>jer,</w:t>
      </w:r>
      <w:r>
        <w:rPr>
          <w:color w:val="231F20"/>
          <w:spacing w:val="-19"/>
          <w:w w:val="105"/>
        </w:rPr>
        <w:t> </w:t>
      </w:r>
      <w:r>
        <w:rPr>
          <w:color w:val="231F20"/>
          <w:w w:val="105"/>
        </w:rPr>
        <w:t>la</w:t>
      </w:r>
      <w:r>
        <w:rPr>
          <w:color w:val="231F20"/>
          <w:spacing w:val="-14"/>
          <w:w w:val="105"/>
        </w:rPr>
        <w:t> </w:t>
      </w:r>
      <w:r>
        <w:rPr>
          <w:color w:val="231F20"/>
          <w:w w:val="105"/>
        </w:rPr>
        <w:t>Convención</w:t>
      </w:r>
      <w:r>
        <w:rPr>
          <w:color w:val="231F20"/>
          <w:spacing w:val="-14"/>
          <w:w w:val="105"/>
        </w:rPr>
        <w:t> </w:t>
      </w:r>
      <w:r>
        <w:rPr>
          <w:color w:val="231F20"/>
          <w:w w:val="105"/>
        </w:rPr>
        <w:t>en</w:t>
      </w:r>
      <w:r>
        <w:rPr>
          <w:color w:val="231F20"/>
          <w:spacing w:val="-14"/>
          <w:w w:val="105"/>
        </w:rPr>
        <w:t> </w:t>
      </w:r>
      <w:r>
        <w:rPr>
          <w:color w:val="231F20"/>
          <w:w w:val="105"/>
        </w:rPr>
        <w:t>contra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8"/>
          <w:w w:val="105"/>
        </w:rPr>
        <w:t> </w:t>
      </w:r>
      <w:r>
        <w:rPr>
          <w:color w:val="231F20"/>
          <w:spacing w:val="-4"/>
          <w:w w:val="105"/>
        </w:rPr>
        <w:t>Tortura</w:t>
      </w:r>
      <w:r>
        <w:rPr>
          <w:color w:val="231F20"/>
          <w:spacing w:val="-14"/>
          <w:w w:val="105"/>
        </w:rPr>
        <w:t> </w:t>
      </w:r>
      <w:r>
        <w:rPr>
          <w:color w:val="231F20"/>
          <w:w w:val="105"/>
        </w:rPr>
        <w:t>y</w:t>
      </w:r>
      <w:r>
        <w:rPr>
          <w:color w:val="231F20"/>
          <w:spacing w:val="-14"/>
          <w:w w:val="105"/>
        </w:rPr>
        <w:t> </w:t>
      </w:r>
      <w:r>
        <w:rPr>
          <w:color w:val="231F20"/>
          <w:w w:val="105"/>
        </w:rPr>
        <w:t>otros</w:t>
      </w:r>
      <w:r>
        <w:rPr>
          <w:color w:val="231F20"/>
          <w:spacing w:val="-14"/>
          <w:w w:val="105"/>
        </w:rPr>
        <w:t> </w:t>
      </w:r>
      <w:r>
        <w:rPr>
          <w:color w:val="231F20"/>
          <w:w w:val="105"/>
        </w:rPr>
        <w:t>tratos</w:t>
      </w:r>
      <w:r>
        <w:rPr>
          <w:color w:val="231F20"/>
          <w:spacing w:val="-14"/>
          <w:w w:val="105"/>
        </w:rPr>
        <w:t> </w:t>
      </w:r>
      <w:r>
        <w:rPr>
          <w:color w:val="231F20"/>
          <w:w w:val="105"/>
        </w:rPr>
        <w:t>Crueles,</w:t>
      </w:r>
      <w:r>
        <w:rPr>
          <w:color w:val="231F20"/>
          <w:spacing w:val="-19"/>
          <w:w w:val="105"/>
        </w:rPr>
        <w:t> </w:t>
      </w:r>
      <w:r>
        <w:rPr>
          <w:color w:val="231F20"/>
          <w:w w:val="105"/>
        </w:rPr>
        <w:t>Inhuma- nos</w:t>
      </w:r>
      <w:r>
        <w:rPr>
          <w:color w:val="231F20"/>
          <w:spacing w:val="-20"/>
          <w:w w:val="105"/>
        </w:rPr>
        <w:t> </w:t>
      </w:r>
      <w:r>
        <w:rPr>
          <w:color w:val="231F20"/>
          <w:w w:val="105"/>
        </w:rPr>
        <w:t>o</w:t>
      </w:r>
      <w:r>
        <w:rPr>
          <w:color w:val="231F20"/>
          <w:spacing w:val="-20"/>
          <w:w w:val="105"/>
        </w:rPr>
        <w:t> </w:t>
      </w:r>
      <w:r>
        <w:rPr>
          <w:color w:val="231F20"/>
          <w:w w:val="105"/>
        </w:rPr>
        <w:t>Degradantes,</w:t>
      </w:r>
      <w:r>
        <w:rPr>
          <w:color w:val="231F20"/>
          <w:spacing w:val="-25"/>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Convención</w:t>
      </w:r>
      <w:r>
        <w:rPr>
          <w:color w:val="231F20"/>
          <w:spacing w:val="-20"/>
          <w:w w:val="105"/>
        </w:rPr>
        <w:t> </w:t>
      </w:r>
      <w:r>
        <w:rPr>
          <w:color w:val="231F20"/>
          <w:w w:val="105"/>
        </w:rPr>
        <w:t>Internacional</w:t>
      </w:r>
      <w:r>
        <w:rPr>
          <w:color w:val="231F20"/>
          <w:spacing w:val="-20"/>
          <w:w w:val="105"/>
        </w:rPr>
        <w:t> </w:t>
      </w:r>
      <w:r>
        <w:rPr>
          <w:color w:val="231F20"/>
          <w:w w:val="105"/>
        </w:rPr>
        <w:t>sobre</w:t>
      </w:r>
      <w:r>
        <w:rPr>
          <w:color w:val="231F20"/>
          <w:spacing w:val="-20"/>
          <w:w w:val="105"/>
        </w:rPr>
        <w:t> </w:t>
      </w:r>
      <w:r>
        <w:rPr>
          <w:color w:val="231F20"/>
          <w:w w:val="105"/>
        </w:rPr>
        <w:t>la</w:t>
      </w:r>
      <w:r>
        <w:rPr>
          <w:color w:val="231F20"/>
          <w:spacing w:val="-20"/>
          <w:w w:val="105"/>
        </w:rPr>
        <w:t> </w:t>
      </w:r>
      <w:r>
        <w:rPr>
          <w:color w:val="231F20"/>
          <w:w w:val="105"/>
        </w:rPr>
        <w:t>Protección</w:t>
      </w:r>
      <w:r>
        <w:rPr>
          <w:color w:val="231F20"/>
          <w:spacing w:val="-20"/>
          <w:w w:val="105"/>
        </w:rPr>
        <w:t> </w:t>
      </w:r>
      <w:r>
        <w:rPr>
          <w:color w:val="231F20"/>
          <w:w w:val="105"/>
        </w:rPr>
        <w:t>de los Derechos de todos los Migrantes </w:t>
      </w:r>
      <w:r>
        <w:rPr>
          <w:color w:val="231F20"/>
          <w:spacing w:val="-3"/>
          <w:w w:val="105"/>
        </w:rPr>
        <w:t>Trabajadores </w:t>
      </w:r>
      <w:r>
        <w:rPr>
          <w:color w:val="231F20"/>
          <w:w w:val="105"/>
        </w:rPr>
        <w:t>y Miembros de sus Familias. Dichos documentos al estar firmados y ratificados por los Es- tados se tornan una obligación, es decir, su cumplimiento debería</w:t>
      </w:r>
      <w:r>
        <w:rPr>
          <w:color w:val="231F20"/>
          <w:spacing w:val="-33"/>
          <w:w w:val="105"/>
        </w:rPr>
        <w:t> </w:t>
      </w:r>
      <w:r>
        <w:rPr>
          <w:color w:val="231F20"/>
          <w:w w:val="105"/>
        </w:rPr>
        <w:t>estar garantizado.</w:t>
      </w:r>
      <w:r>
        <w:rPr>
          <w:color w:val="231F20"/>
          <w:spacing w:val="-23"/>
          <w:w w:val="105"/>
        </w:rPr>
        <w:t> </w:t>
      </w:r>
      <w:r>
        <w:rPr>
          <w:color w:val="231F20"/>
          <w:w w:val="105"/>
        </w:rPr>
        <w:t>Desafortunadamente,</w:t>
      </w:r>
      <w:r>
        <w:rPr>
          <w:color w:val="231F20"/>
          <w:spacing w:val="-23"/>
          <w:w w:val="105"/>
        </w:rPr>
        <w:t> </w:t>
      </w:r>
      <w:r>
        <w:rPr>
          <w:color w:val="231F20"/>
          <w:w w:val="105"/>
        </w:rPr>
        <w:t>esto</w:t>
      </w:r>
      <w:r>
        <w:rPr>
          <w:color w:val="231F20"/>
          <w:spacing w:val="-18"/>
          <w:w w:val="105"/>
        </w:rPr>
        <w:t> </w:t>
      </w:r>
      <w:r>
        <w:rPr>
          <w:color w:val="231F20"/>
          <w:w w:val="105"/>
        </w:rPr>
        <w:t>no</w:t>
      </w:r>
      <w:r>
        <w:rPr>
          <w:color w:val="231F20"/>
          <w:spacing w:val="-18"/>
          <w:w w:val="105"/>
        </w:rPr>
        <w:t> </w:t>
      </w:r>
      <w:r>
        <w:rPr>
          <w:color w:val="231F20"/>
          <w:w w:val="105"/>
        </w:rPr>
        <w:t>se</w:t>
      </w:r>
      <w:r>
        <w:rPr>
          <w:color w:val="231F20"/>
          <w:spacing w:val="-18"/>
          <w:w w:val="105"/>
        </w:rPr>
        <w:t> </w:t>
      </w:r>
      <w:r>
        <w:rPr>
          <w:color w:val="231F20"/>
          <w:w w:val="105"/>
        </w:rPr>
        <w:t>traduce</w:t>
      </w:r>
      <w:r>
        <w:rPr>
          <w:color w:val="231F20"/>
          <w:spacing w:val="-18"/>
          <w:w w:val="105"/>
        </w:rPr>
        <w:t> </w:t>
      </w:r>
      <w:r>
        <w:rPr>
          <w:color w:val="231F20"/>
          <w:w w:val="105"/>
        </w:rPr>
        <w:t>en</w:t>
      </w:r>
      <w:r>
        <w:rPr>
          <w:color w:val="231F20"/>
          <w:spacing w:val="-18"/>
          <w:w w:val="105"/>
        </w:rPr>
        <w:t> </w:t>
      </w:r>
      <w:r>
        <w:rPr>
          <w:color w:val="231F20"/>
          <w:w w:val="105"/>
        </w:rPr>
        <w:t>una</w:t>
      </w:r>
      <w:r>
        <w:rPr>
          <w:color w:val="231F20"/>
          <w:spacing w:val="-18"/>
          <w:w w:val="105"/>
        </w:rPr>
        <w:t> </w:t>
      </w:r>
      <w:r>
        <w:rPr>
          <w:color w:val="231F20"/>
          <w:w w:val="105"/>
        </w:rPr>
        <w:t>protección efectiva</w:t>
      </w:r>
      <w:r>
        <w:rPr>
          <w:color w:val="231F20"/>
          <w:spacing w:val="-30"/>
          <w:w w:val="105"/>
        </w:rPr>
        <w:t> </w:t>
      </w:r>
      <w:r>
        <w:rPr>
          <w:color w:val="231F20"/>
          <w:w w:val="105"/>
        </w:rPr>
        <w:t>para</w:t>
      </w:r>
      <w:r>
        <w:rPr>
          <w:color w:val="231F20"/>
          <w:spacing w:val="-30"/>
          <w:w w:val="105"/>
        </w:rPr>
        <w:t> </w:t>
      </w:r>
      <w:r>
        <w:rPr>
          <w:color w:val="231F20"/>
          <w:w w:val="105"/>
        </w:rPr>
        <w:t>los</w:t>
      </w:r>
      <w:r>
        <w:rPr>
          <w:color w:val="231F20"/>
          <w:spacing w:val="-30"/>
          <w:w w:val="105"/>
        </w:rPr>
        <w:t> </w:t>
      </w:r>
      <w:r>
        <w:rPr>
          <w:color w:val="231F20"/>
          <w:w w:val="105"/>
        </w:rPr>
        <w:t>menores</w:t>
      </w:r>
      <w:r>
        <w:rPr>
          <w:color w:val="231F20"/>
          <w:spacing w:val="-30"/>
          <w:w w:val="105"/>
        </w:rPr>
        <w:t> </w:t>
      </w:r>
      <w:r>
        <w:rPr>
          <w:color w:val="231F20"/>
          <w:w w:val="105"/>
        </w:rPr>
        <w:t>y</w:t>
      </w:r>
      <w:r>
        <w:rPr>
          <w:color w:val="231F20"/>
          <w:spacing w:val="-30"/>
          <w:w w:val="105"/>
        </w:rPr>
        <w:t> </w:t>
      </w:r>
      <w:r>
        <w:rPr>
          <w:color w:val="231F20"/>
          <w:w w:val="105"/>
        </w:rPr>
        <w:t>sus</w:t>
      </w:r>
      <w:r>
        <w:rPr>
          <w:color w:val="231F20"/>
          <w:spacing w:val="-30"/>
          <w:w w:val="105"/>
        </w:rPr>
        <w:t> </w:t>
      </w:r>
      <w:r>
        <w:rPr>
          <w:color w:val="231F20"/>
          <w:w w:val="105"/>
        </w:rPr>
        <w:t>familias.</w:t>
      </w:r>
    </w:p>
    <w:p>
      <w:pPr>
        <w:pStyle w:val="BodyText"/>
        <w:spacing w:line="261" w:lineRule="auto" w:before="1"/>
        <w:ind w:left="1723" w:right="1830" w:firstLine="567"/>
        <w:jc w:val="right"/>
      </w:pPr>
      <w:r>
        <w:rPr>
          <w:color w:val="231F20"/>
          <w:w w:val="105"/>
        </w:rPr>
        <w:t>En </w:t>
      </w:r>
      <w:r>
        <w:rPr>
          <w:color w:val="231F20"/>
          <w:spacing w:val="-4"/>
          <w:w w:val="105"/>
        </w:rPr>
        <w:t>cuanto </w:t>
      </w:r>
      <w:r>
        <w:rPr>
          <w:color w:val="231F20"/>
          <w:w w:val="105"/>
        </w:rPr>
        <w:t>a </w:t>
      </w:r>
      <w:r>
        <w:rPr>
          <w:color w:val="231F20"/>
          <w:spacing w:val="-3"/>
          <w:w w:val="105"/>
        </w:rPr>
        <w:t>los </w:t>
      </w:r>
      <w:r>
        <w:rPr>
          <w:color w:val="231F20"/>
          <w:spacing w:val="-4"/>
          <w:w w:val="105"/>
        </w:rPr>
        <w:t>sistemas regionales </w:t>
      </w:r>
      <w:r>
        <w:rPr>
          <w:color w:val="231F20"/>
          <w:w w:val="105"/>
        </w:rPr>
        <w:t>de </w:t>
      </w:r>
      <w:r>
        <w:rPr>
          <w:color w:val="231F20"/>
          <w:spacing w:val="-4"/>
          <w:w w:val="105"/>
        </w:rPr>
        <w:t>protección </w:t>
      </w:r>
      <w:r>
        <w:rPr>
          <w:color w:val="231F20"/>
          <w:w w:val="105"/>
        </w:rPr>
        <w:t>de</w:t>
      </w:r>
      <w:r>
        <w:rPr>
          <w:color w:val="231F20"/>
          <w:spacing w:val="5"/>
          <w:w w:val="105"/>
        </w:rPr>
        <w:t> </w:t>
      </w:r>
      <w:r>
        <w:rPr>
          <w:color w:val="231F20"/>
          <w:spacing w:val="-3"/>
          <w:w w:val="105"/>
        </w:rPr>
        <w:t>los</w:t>
      </w:r>
      <w:r>
        <w:rPr>
          <w:color w:val="231F20"/>
          <w:spacing w:val="-1"/>
          <w:w w:val="105"/>
        </w:rPr>
        <w:t> </w:t>
      </w:r>
      <w:r>
        <w:rPr>
          <w:color w:val="231F20"/>
          <w:spacing w:val="-5"/>
          <w:w w:val="105"/>
        </w:rPr>
        <w:t>derechos</w:t>
      </w:r>
      <w:r>
        <w:rPr>
          <w:color w:val="231F20"/>
          <w:spacing w:val="-4"/>
          <w:w w:val="101"/>
        </w:rPr>
        <w:t> </w:t>
      </w:r>
      <w:r>
        <w:rPr>
          <w:color w:val="231F20"/>
          <w:spacing w:val="-4"/>
          <w:w w:val="105"/>
        </w:rPr>
        <w:t>humanos,</w:t>
      </w:r>
      <w:r>
        <w:rPr>
          <w:color w:val="231F20"/>
          <w:spacing w:val="-27"/>
          <w:w w:val="105"/>
        </w:rPr>
        <w:t> </w:t>
      </w:r>
      <w:r>
        <w:rPr>
          <w:color w:val="231F20"/>
          <w:spacing w:val="-4"/>
          <w:w w:val="105"/>
        </w:rPr>
        <w:t>generalmente</w:t>
      </w:r>
      <w:r>
        <w:rPr>
          <w:color w:val="231F20"/>
          <w:spacing w:val="-22"/>
          <w:w w:val="105"/>
        </w:rPr>
        <w:t> </w:t>
      </w:r>
      <w:r>
        <w:rPr>
          <w:color w:val="231F20"/>
          <w:spacing w:val="-4"/>
          <w:w w:val="105"/>
        </w:rPr>
        <w:t>tratados,</w:t>
      </w:r>
      <w:r>
        <w:rPr>
          <w:color w:val="231F20"/>
          <w:spacing w:val="-27"/>
          <w:w w:val="105"/>
        </w:rPr>
        <w:t> </w:t>
      </w:r>
      <w:r>
        <w:rPr>
          <w:color w:val="231F20"/>
          <w:spacing w:val="-4"/>
          <w:w w:val="105"/>
        </w:rPr>
        <w:t>pactos,</w:t>
      </w:r>
      <w:r>
        <w:rPr>
          <w:color w:val="231F20"/>
          <w:spacing w:val="-27"/>
          <w:w w:val="105"/>
        </w:rPr>
        <w:t> </w:t>
      </w:r>
      <w:r>
        <w:rPr>
          <w:color w:val="231F20"/>
          <w:spacing w:val="-4"/>
          <w:w w:val="105"/>
        </w:rPr>
        <w:t>convenciones</w:t>
      </w:r>
      <w:r>
        <w:rPr>
          <w:color w:val="231F20"/>
          <w:spacing w:val="-22"/>
          <w:w w:val="105"/>
        </w:rPr>
        <w:t> </w:t>
      </w:r>
      <w:r>
        <w:rPr>
          <w:color w:val="231F20"/>
          <w:w w:val="105"/>
        </w:rPr>
        <w:t>o</w:t>
      </w:r>
      <w:r>
        <w:rPr>
          <w:color w:val="231F20"/>
          <w:spacing w:val="-22"/>
          <w:w w:val="105"/>
        </w:rPr>
        <w:t> </w:t>
      </w:r>
      <w:r>
        <w:rPr>
          <w:color w:val="231F20"/>
          <w:spacing w:val="-4"/>
          <w:w w:val="105"/>
        </w:rPr>
        <w:t>protocolos</w:t>
      </w:r>
      <w:r>
        <w:rPr>
          <w:color w:val="231F20"/>
          <w:spacing w:val="-22"/>
          <w:w w:val="105"/>
        </w:rPr>
        <w:t> </w:t>
      </w:r>
      <w:r>
        <w:rPr>
          <w:color w:val="231F20"/>
          <w:spacing w:val="-5"/>
          <w:w w:val="105"/>
        </w:rPr>
        <w:t>inter-</w:t>
      </w:r>
      <w:r>
        <w:rPr>
          <w:color w:val="231F20"/>
          <w:w w:val="96"/>
        </w:rPr>
        <w:t> </w:t>
      </w:r>
      <w:r>
        <w:rPr>
          <w:color w:val="231F20"/>
          <w:spacing w:val="-4"/>
          <w:w w:val="105"/>
        </w:rPr>
        <w:t>nacionales</w:t>
      </w:r>
      <w:r>
        <w:rPr>
          <w:color w:val="231F20"/>
          <w:spacing w:val="-18"/>
          <w:w w:val="105"/>
        </w:rPr>
        <w:t> </w:t>
      </w:r>
      <w:r>
        <w:rPr>
          <w:color w:val="231F20"/>
          <w:spacing w:val="-4"/>
          <w:w w:val="105"/>
        </w:rPr>
        <w:t>elaborados</w:t>
      </w:r>
      <w:r>
        <w:rPr>
          <w:color w:val="231F20"/>
          <w:spacing w:val="-18"/>
          <w:w w:val="105"/>
        </w:rPr>
        <w:t> </w:t>
      </w:r>
      <w:r>
        <w:rPr>
          <w:color w:val="231F20"/>
          <w:w w:val="105"/>
        </w:rPr>
        <w:t>y</w:t>
      </w:r>
      <w:r>
        <w:rPr>
          <w:color w:val="231F20"/>
          <w:spacing w:val="-18"/>
          <w:w w:val="105"/>
        </w:rPr>
        <w:t> </w:t>
      </w:r>
      <w:r>
        <w:rPr>
          <w:color w:val="231F20"/>
          <w:spacing w:val="-4"/>
          <w:w w:val="105"/>
        </w:rPr>
        <w:t>reconocidos</w:t>
      </w:r>
      <w:r>
        <w:rPr>
          <w:color w:val="231F20"/>
          <w:spacing w:val="-18"/>
          <w:w w:val="105"/>
        </w:rPr>
        <w:t> </w:t>
      </w:r>
      <w:r>
        <w:rPr>
          <w:color w:val="231F20"/>
          <w:spacing w:val="-3"/>
          <w:w w:val="105"/>
        </w:rPr>
        <w:t>por</w:t>
      </w:r>
      <w:r>
        <w:rPr>
          <w:color w:val="231F20"/>
          <w:spacing w:val="-18"/>
          <w:w w:val="105"/>
        </w:rPr>
        <w:t> </w:t>
      </w:r>
      <w:r>
        <w:rPr>
          <w:color w:val="231F20"/>
          <w:spacing w:val="-4"/>
          <w:w w:val="105"/>
        </w:rPr>
        <w:t>bloques</w:t>
      </w:r>
      <w:r>
        <w:rPr>
          <w:color w:val="231F20"/>
          <w:spacing w:val="-18"/>
          <w:w w:val="105"/>
        </w:rPr>
        <w:t> </w:t>
      </w:r>
      <w:r>
        <w:rPr>
          <w:color w:val="231F20"/>
          <w:spacing w:val="-4"/>
          <w:w w:val="105"/>
        </w:rPr>
        <w:t>regionales</w:t>
      </w:r>
      <w:r>
        <w:rPr>
          <w:color w:val="231F20"/>
          <w:spacing w:val="-18"/>
          <w:w w:val="105"/>
        </w:rPr>
        <w:t> </w:t>
      </w:r>
      <w:r>
        <w:rPr>
          <w:color w:val="231F20"/>
          <w:w w:val="105"/>
        </w:rPr>
        <w:t>de</w:t>
      </w:r>
      <w:r>
        <w:rPr>
          <w:color w:val="231F20"/>
          <w:spacing w:val="-18"/>
          <w:w w:val="105"/>
        </w:rPr>
        <w:t> </w:t>
      </w:r>
      <w:r>
        <w:rPr>
          <w:color w:val="231F20"/>
          <w:spacing w:val="-4"/>
          <w:w w:val="105"/>
        </w:rPr>
        <w:t>países,</w:t>
      </w:r>
      <w:r>
        <w:rPr>
          <w:color w:val="231F20"/>
          <w:spacing w:val="-23"/>
          <w:w w:val="105"/>
        </w:rPr>
        <w:t> </w:t>
      </w:r>
      <w:r>
        <w:rPr>
          <w:color w:val="231F20"/>
          <w:spacing w:val="-4"/>
          <w:w w:val="105"/>
        </w:rPr>
        <w:t>su</w:t>
      </w:r>
      <w:r>
        <w:rPr>
          <w:color w:val="231F20"/>
          <w:spacing w:val="-4"/>
          <w:w w:val="97"/>
        </w:rPr>
        <w:t> </w:t>
      </w:r>
      <w:r>
        <w:rPr>
          <w:color w:val="231F20"/>
          <w:spacing w:val="-4"/>
          <w:w w:val="105"/>
        </w:rPr>
        <w:t>objetivo</w:t>
      </w:r>
      <w:r>
        <w:rPr>
          <w:color w:val="231F20"/>
          <w:spacing w:val="-18"/>
          <w:w w:val="105"/>
        </w:rPr>
        <w:t> </w:t>
      </w:r>
      <w:r>
        <w:rPr>
          <w:color w:val="231F20"/>
          <w:w w:val="105"/>
        </w:rPr>
        <w:t>es</w:t>
      </w:r>
      <w:r>
        <w:rPr>
          <w:color w:val="231F20"/>
          <w:spacing w:val="-18"/>
          <w:w w:val="105"/>
        </w:rPr>
        <w:t> </w:t>
      </w:r>
      <w:r>
        <w:rPr>
          <w:color w:val="231F20"/>
          <w:spacing w:val="-4"/>
          <w:w w:val="105"/>
        </w:rPr>
        <w:t>proteger</w:t>
      </w:r>
      <w:r>
        <w:rPr>
          <w:color w:val="231F20"/>
          <w:spacing w:val="-18"/>
          <w:w w:val="105"/>
        </w:rPr>
        <w:t> </w:t>
      </w:r>
      <w:r>
        <w:rPr>
          <w:color w:val="231F20"/>
          <w:spacing w:val="-3"/>
          <w:w w:val="105"/>
        </w:rPr>
        <w:t>los</w:t>
      </w:r>
      <w:r>
        <w:rPr>
          <w:color w:val="231F20"/>
          <w:spacing w:val="-18"/>
          <w:w w:val="105"/>
        </w:rPr>
        <w:t> </w:t>
      </w:r>
      <w:r>
        <w:rPr>
          <w:color w:val="231F20"/>
          <w:spacing w:val="-4"/>
          <w:w w:val="105"/>
        </w:rPr>
        <w:t>derechos</w:t>
      </w:r>
      <w:r>
        <w:rPr>
          <w:color w:val="231F20"/>
          <w:spacing w:val="-18"/>
          <w:w w:val="105"/>
        </w:rPr>
        <w:t> </w:t>
      </w:r>
      <w:r>
        <w:rPr>
          <w:color w:val="231F20"/>
          <w:spacing w:val="-4"/>
          <w:w w:val="105"/>
        </w:rPr>
        <w:t>humanos</w:t>
      </w:r>
      <w:r>
        <w:rPr>
          <w:color w:val="231F20"/>
          <w:spacing w:val="-18"/>
          <w:w w:val="105"/>
        </w:rPr>
        <w:t> </w:t>
      </w:r>
      <w:r>
        <w:rPr>
          <w:color w:val="231F20"/>
          <w:spacing w:val="-4"/>
          <w:w w:val="105"/>
        </w:rPr>
        <w:t>dentro</w:t>
      </w:r>
      <w:r>
        <w:rPr>
          <w:color w:val="231F20"/>
          <w:spacing w:val="-18"/>
          <w:w w:val="105"/>
        </w:rPr>
        <w:t> </w:t>
      </w:r>
      <w:r>
        <w:rPr>
          <w:color w:val="231F20"/>
          <w:w w:val="105"/>
        </w:rPr>
        <w:t>de</w:t>
      </w:r>
      <w:r>
        <w:rPr>
          <w:color w:val="231F20"/>
          <w:spacing w:val="-18"/>
          <w:w w:val="105"/>
        </w:rPr>
        <w:t> </w:t>
      </w:r>
      <w:r>
        <w:rPr>
          <w:color w:val="231F20"/>
          <w:spacing w:val="-3"/>
          <w:w w:val="105"/>
        </w:rPr>
        <w:t>sus</w:t>
      </w:r>
      <w:r>
        <w:rPr>
          <w:color w:val="231F20"/>
          <w:spacing w:val="-18"/>
          <w:w w:val="105"/>
        </w:rPr>
        <w:t> </w:t>
      </w:r>
      <w:r>
        <w:rPr>
          <w:color w:val="231F20"/>
          <w:spacing w:val="-4"/>
          <w:w w:val="105"/>
        </w:rPr>
        <w:t>territorios.</w:t>
      </w:r>
      <w:r>
        <w:rPr>
          <w:color w:val="231F20"/>
          <w:spacing w:val="-24"/>
          <w:w w:val="105"/>
        </w:rPr>
        <w:t> </w:t>
      </w:r>
      <w:r>
        <w:rPr>
          <w:color w:val="231F20"/>
          <w:w w:val="105"/>
        </w:rPr>
        <w:t>Es</w:t>
      </w:r>
      <w:r>
        <w:rPr>
          <w:color w:val="231F20"/>
          <w:spacing w:val="-18"/>
          <w:w w:val="105"/>
        </w:rPr>
        <w:t> </w:t>
      </w:r>
      <w:r>
        <w:rPr>
          <w:color w:val="231F20"/>
          <w:spacing w:val="-4"/>
          <w:w w:val="105"/>
        </w:rPr>
        <w:t>así</w:t>
      </w:r>
      <w:r>
        <w:rPr>
          <w:color w:val="231F20"/>
          <w:spacing w:val="-4"/>
          <w:w w:val="95"/>
        </w:rPr>
        <w:t> </w:t>
      </w:r>
      <w:r>
        <w:rPr>
          <w:color w:val="231F20"/>
          <w:spacing w:val="-3"/>
          <w:w w:val="105"/>
        </w:rPr>
        <w:t>que</w:t>
      </w:r>
      <w:r>
        <w:rPr>
          <w:color w:val="231F20"/>
          <w:spacing w:val="-27"/>
          <w:w w:val="105"/>
        </w:rPr>
        <w:t> </w:t>
      </w:r>
      <w:r>
        <w:rPr>
          <w:color w:val="231F20"/>
          <w:spacing w:val="-3"/>
          <w:w w:val="105"/>
        </w:rPr>
        <w:t>sólo</w:t>
      </w:r>
      <w:r>
        <w:rPr>
          <w:color w:val="231F20"/>
          <w:spacing w:val="-27"/>
          <w:w w:val="105"/>
        </w:rPr>
        <w:t> </w:t>
      </w:r>
      <w:r>
        <w:rPr>
          <w:color w:val="231F20"/>
          <w:spacing w:val="-4"/>
          <w:w w:val="105"/>
        </w:rPr>
        <w:t>existen</w:t>
      </w:r>
      <w:r>
        <w:rPr>
          <w:color w:val="231F20"/>
          <w:spacing w:val="-27"/>
          <w:w w:val="105"/>
        </w:rPr>
        <w:t> </w:t>
      </w:r>
      <w:r>
        <w:rPr>
          <w:color w:val="231F20"/>
          <w:spacing w:val="-4"/>
          <w:w w:val="105"/>
        </w:rPr>
        <w:t>tres</w:t>
      </w:r>
      <w:r>
        <w:rPr>
          <w:color w:val="231F20"/>
          <w:spacing w:val="-27"/>
          <w:w w:val="105"/>
        </w:rPr>
        <w:t> </w:t>
      </w:r>
      <w:r>
        <w:rPr>
          <w:color w:val="231F20"/>
          <w:spacing w:val="-4"/>
          <w:w w:val="105"/>
        </w:rPr>
        <w:t>sistemas</w:t>
      </w:r>
      <w:r>
        <w:rPr>
          <w:color w:val="231F20"/>
          <w:spacing w:val="-27"/>
          <w:w w:val="105"/>
        </w:rPr>
        <w:t> </w:t>
      </w:r>
      <w:r>
        <w:rPr>
          <w:color w:val="231F20"/>
          <w:spacing w:val="-4"/>
          <w:w w:val="105"/>
        </w:rPr>
        <w:t>regionales</w:t>
      </w:r>
      <w:r>
        <w:rPr>
          <w:color w:val="231F20"/>
          <w:spacing w:val="-27"/>
          <w:w w:val="105"/>
        </w:rPr>
        <w:t> </w:t>
      </w:r>
      <w:r>
        <w:rPr>
          <w:color w:val="231F20"/>
          <w:w w:val="105"/>
        </w:rPr>
        <w:t>de</w:t>
      </w:r>
      <w:r>
        <w:rPr>
          <w:color w:val="231F20"/>
          <w:spacing w:val="-27"/>
          <w:w w:val="105"/>
        </w:rPr>
        <w:t> </w:t>
      </w:r>
      <w:r>
        <w:rPr>
          <w:color w:val="231F20"/>
          <w:spacing w:val="-4"/>
          <w:w w:val="105"/>
        </w:rPr>
        <w:t>protección</w:t>
      </w:r>
      <w:r>
        <w:rPr>
          <w:color w:val="231F20"/>
          <w:spacing w:val="-27"/>
          <w:w w:val="105"/>
        </w:rPr>
        <w:t> </w:t>
      </w:r>
      <w:r>
        <w:rPr>
          <w:color w:val="231F20"/>
          <w:w w:val="105"/>
        </w:rPr>
        <w:t>de</w:t>
      </w:r>
      <w:r>
        <w:rPr>
          <w:color w:val="231F20"/>
          <w:spacing w:val="-27"/>
          <w:w w:val="105"/>
        </w:rPr>
        <w:t> </w:t>
      </w:r>
      <w:r>
        <w:rPr>
          <w:color w:val="231F20"/>
          <w:spacing w:val="-3"/>
          <w:w w:val="105"/>
        </w:rPr>
        <w:t>los</w:t>
      </w:r>
      <w:r>
        <w:rPr>
          <w:color w:val="231F20"/>
          <w:spacing w:val="-27"/>
          <w:w w:val="105"/>
        </w:rPr>
        <w:t> </w:t>
      </w:r>
      <w:r>
        <w:rPr>
          <w:color w:val="231F20"/>
          <w:spacing w:val="-4"/>
          <w:w w:val="105"/>
        </w:rPr>
        <w:t>derechos</w:t>
      </w:r>
      <w:r>
        <w:rPr>
          <w:color w:val="231F20"/>
          <w:spacing w:val="-27"/>
          <w:w w:val="105"/>
        </w:rPr>
        <w:t> </w:t>
      </w:r>
      <w:r>
        <w:rPr>
          <w:color w:val="231F20"/>
          <w:spacing w:val="-3"/>
          <w:w w:val="105"/>
        </w:rPr>
        <w:t>hu-</w:t>
      </w:r>
      <w:r>
        <w:rPr>
          <w:color w:val="231F20"/>
          <w:w w:val="96"/>
        </w:rPr>
        <w:t> </w:t>
      </w:r>
      <w:r>
        <w:rPr>
          <w:color w:val="231F20"/>
          <w:spacing w:val="-4"/>
          <w:w w:val="105"/>
        </w:rPr>
        <w:t>manos:</w:t>
      </w:r>
      <w:r>
        <w:rPr>
          <w:color w:val="231F20"/>
          <w:spacing w:val="-28"/>
          <w:w w:val="105"/>
        </w:rPr>
        <w:t> </w:t>
      </w:r>
      <w:r>
        <w:rPr>
          <w:color w:val="231F20"/>
          <w:w w:val="105"/>
        </w:rPr>
        <w:t>el</w:t>
      </w:r>
      <w:r>
        <w:rPr>
          <w:color w:val="231F20"/>
          <w:spacing w:val="-28"/>
          <w:w w:val="105"/>
        </w:rPr>
        <w:t> </w:t>
      </w:r>
      <w:r>
        <w:rPr>
          <w:color w:val="231F20"/>
          <w:spacing w:val="-4"/>
          <w:w w:val="105"/>
        </w:rPr>
        <w:t>sistema</w:t>
      </w:r>
      <w:r>
        <w:rPr>
          <w:color w:val="231F20"/>
          <w:spacing w:val="-28"/>
          <w:w w:val="105"/>
        </w:rPr>
        <w:t> </w:t>
      </w:r>
      <w:r>
        <w:rPr>
          <w:color w:val="231F20"/>
          <w:spacing w:val="-5"/>
          <w:w w:val="105"/>
        </w:rPr>
        <w:t>europeo,</w:t>
      </w:r>
      <w:r>
        <w:rPr>
          <w:color w:val="231F20"/>
          <w:spacing w:val="-33"/>
          <w:w w:val="105"/>
        </w:rPr>
        <w:t> </w:t>
      </w:r>
      <w:r>
        <w:rPr>
          <w:color w:val="231F20"/>
          <w:w w:val="105"/>
        </w:rPr>
        <w:t>el</w:t>
      </w:r>
      <w:r>
        <w:rPr>
          <w:color w:val="231F20"/>
          <w:spacing w:val="-28"/>
          <w:w w:val="105"/>
        </w:rPr>
        <w:t> </w:t>
      </w:r>
      <w:r>
        <w:rPr>
          <w:color w:val="231F20"/>
          <w:spacing w:val="-4"/>
          <w:w w:val="105"/>
        </w:rPr>
        <w:t>sistema</w:t>
      </w:r>
      <w:r>
        <w:rPr>
          <w:color w:val="231F20"/>
          <w:spacing w:val="-28"/>
          <w:w w:val="105"/>
        </w:rPr>
        <w:t> </w:t>
      </w:r>
      <w:r>
        <w:rPr>
          <w:color w:val="231F20"/>
          <w:spacing w:val="-4"/>
          <w:w w:val="105"/>
        </w:rPr>
        <w:t>africano</w:t>
      </w:r>
      <w:r>
        <w:rPr>
          <w:color w:val="231F20"/>
          <w:spacing w:val="-28"/>
          <w:w w:val="105"/>
        </w:rPr>
        <w:t> </w:t>
      </w:r>
      <w:r>
        <w:rPr>
          <w:color w:val="231F20"/>
          <w:w w:val="105"/>
        </w:rPr>
        <w:t>y</w:t>
      </w:r>
      <w:r>
        <w:rPr>
          <w:color w:val="231F20"/>
          <w:spacing w:val="-28"/>
          <w:w w:val="105"/>
        </w:rPr>
        <w:t> </w:t>
      </w:r>
      <w:r>
        <w:rPr>
          <w:color w:val="231F20"/>
          <w:w w:val="105"/>
        </w:rPr>
        <w:t>el</w:t>
      </w:r>
      <w:r>
        <w:rPr>
          <w:color w:val="231F20"/>
          <w:spacing w:val="-28"/>
          <w:w w:val="105"/>
        </w:rPr>
        <w:t> </w:t>
      </w:r>
      <w:r>
        <w:rPr>
          <w:color w:val="231F20"/>
          <w:spacing w:val="-4"/>
          <w:w w:val="105"/>
        </w:rPr>
        <w:t>sistema</w:t>
      </w:r>
      <w:r>
        <w:rPr>
          <w:color w:val="231F20"/>
          <w:spacing w:val="-28"/>
          <w:w w:val="105"/>
        </w:rPr>
        <w:t> </w:t>
      </w:r>
      <w:r>
        <w:rPr>
          <w:color w:val="231F20"/>
          <w:spacing w:val="-4"/>
          <w:w w:val="105"/>
        </w:rPr>
        <w:t>interamericano.</w:t>
      </w:r>
      <w:r>
        <w:rPr>
          <w:color w:val="231F20"/>
          <w:w w:val="93"/>
        </w:rPr>
        <w:t> </w:t>
      </w:r>
      <w:r>
        <w:rPr>
          <w:color w:val="231F20"/>
          <w:w w:val="105"/>
        </w:rPr>
        <w:t>El</w:t>
      </w:r>
      <w:r>
        <w:rPr>
          <w:color w:val="231F20"/>
          <w:spacing w:val="-29"/>
          <w:w w:val="105"/>
        </w:rPr>
        <w:t> </w:t>
      </w:r>
      <w:r>
        <w:rPr>
          <w:color w:val="231F20"/>
          <w:w w:val="105"/>
        </w:rPr>
        <w:t>Sistema</w:t>
      </w:r>
      <w:r>
        <w:rPr>
          <w:color w:val="231F20"/>
          <w:spacing w:val="-29"/>
          <w:w w:val="105"/>
        </w:rPr>
        <w:t> </w:t>
      </w:r>
      <w:r>
        <w:rPr>
          <w:color w:val="231F20"/>
          <w:w w:val="105"/>
        </w:rPr>
        <w:t>Interamericano</w:t>
      </w:r>
      <w:r>
        <w:rPr>
          <w:color w:val="231F20"/>
          <w:spacing w:val="-29"/>
          <w:w w:val="105"/>
        </w:rPr>
        <w:t> </w:t>
      </w:r>
      <w:r>
        <w:rPr>
          <w:color w:val="231F20"/>
          <w:w w:val="105"/>
        </w:rPr>
        <w:t>de</w:t>
      </w:r>
      <w:r>
        <w:rPr>
          <w:color w:val="231F20"/>
          <w:spacing w:val="-29"/>
          <w:w w:val="105"/>
        </w:rPr>
        <w:t> </w:t>
      </w:r>
      <w:r>
        <w:rPr>
          <w:color w:val="231F20"/>
          <w:w w:val="105"/>
        </w:rPr>
        <w:t>Protección</w:t>
      </w:r>
      <w:r>
        <w:rPr>
          <w:color w:val="231F20"/>
          <w:spacing w:val="-29"/>
          <w:w w:val="105"/>
        </w:rPr>
        <w:t> </w:t>
      </w:r>
      <w:r>
        <w:rPr>
          <w:color w:val="231F20"/>
          <w:w w:val="105"/>
        </w:rPr>
        <w:t>a</w:t>
      </w:r>
      <w:r>
        <w:rPr>
          <w:color w:val="231F20"/>
          <w:spacing w:val="-29"/>
          <w:w w:val="105"/>
        </w:rPr>
        <w:t> </w:t>
      </w:r>
      <w:r>
        <w:rPr>
          <w:color w:val="231F20"/>
          <w:w w:val="105"/>
        </w:rPr>
        <w:t>los</w:t>
      </w:r>
      <w:r>
        <w:rPr>
          <w:color w:val="231F20"/>
          <w:spacing w:val="-29"/>
          <w:w w:val="105"/>
        </w:rPr>
        <w:t> </w:t>
      </w:r>
      <w:r>
        <w:rPr>
          <w:color w:val="231F20"/>
          <w:w w:val="105"/>
        </w:rPr>
        <w:t>Derechos</w:t>
      </w:r>
      <w:r>
        <w:rPr>
          <w:color w:val="231F20"/>
          <w:spacing w:val="-29"/>
          <w:w w:val="105"/>
        </w:rPr>
        <w:t> </w:t>
      </w:r>
      <w:r>
        <w:rPr>
          <w:color w:val="231F20"/>
          <w:w w:val="105"/>
        </w:rPr>
        <w:t>Humanos,</w:t>
      </w:r>
      <w:r>
        <w:rPr>
          <w:color w:val="231F20"/>
          <w:w w:val="101"/>
        </w:rPr>
        <w:t> </w:t>
      </w:r>
      <w:r>
        <w:rPr>
          <w:color w:val="231F20"/>
          <w:w w:val="105"/>
        </w:rPr>
        <w:t>vinculado a la Organización de los Estados Americanos (</w:t>
      </w:r>
      <w:r>
        <w:rPr>
          <w:color w:val="231F20"/>
          <w:w w:val="105"/>
          <w:sz w:val="17"/>
        </w:rPr>
        <w:t>OEA</w:t>
      </w:r>
      <w:r>
        <w:rPr>
          <w:color w:val="231F20"/>
          <w:w w:val="105"/>
        </w:rPr>
        <w:t>),</w:t>
      </w:r>
      <w:r>
        <w:rPr>
          <w:color w:val="231F20"/>
          <w:spacing w:val="-4"/>
          <w:w w:val="105"/>
        </w:rPr>
        <w:t> </w:t>
      </w:r>
      <w:r>
        <w:rPr>
          <w:color w:val="231F20"/>
          <w:w w:val="105"/>
        </w:rPr>
        <w:t>se com-</w:t>
      </w:r>
      <w:r>
        <w:rPr>
          <w:color w:val="231F20"/>
          <w:w w:val="96"/>
        </w:rPr>
        <w:t> </w:t>
      </w:r>
      <w:r>
        <w:rPr>
          <w:color w:val="231F20"/>
          <w:w w:val="105"/>
        </w:rPr>
        <w:t>pone de dos subsistemas: el primero de ellos se basa en la Carta</w:t>
      </w:r>
      <w:r>
        <w:rPr>
          <w:color w:val="231F20"/>
          <w:spacing w:val="-4"/>
          <w:w w:val="105"/>
        </w:rPr>
        <w:t> </w:t>
      </w:r>
      <w:r>
        <w:rPr>
          <w:color w:val="231F20"/>
          <w:w w:val="105"/>
        </w:rPr>
        <w:t>de</w:t>
      </w:r>
      <w:r>
        <w:rPr>
          <w:color w:val="231F20"/>
          <w:spacing w:val="-1"/>
          <w:w w:val="105"/>
        </w:rPr>
        <w:t> </w:t>
      </w:r>
      <w:r>
        <w:rPr>
          <w:color w:val="231F20"/>
          <w:w w:val="105"/>
        </w:rPr>
        <w:t>la</w:t>
      </w:r>
      <w:r>
        <w:rPr>
          <w:color w:val="231F20"/>
          <w:w w:val="100"/>
        </w:rPr>
        <w:t> </w:t>
      </w:r>
      <w:r>
        <w:rPr>
          <w:color w:val="231F20"/>
          <w:w w:val="105"/>
        </w:rPr>
        <w:t>Organización</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Estados</w:t>
      </w:r>
      <w:r>
        <w:rPr>
          <w:color w:val="231F20"/>
          <w:spacing w:val="-21"/>
          <w:w w:val="105"/>
        </w:rPr>
        <w:t> </w:t>
      </w:r>
      <w:r>
        <w:rPr>
          <w:color w:val="231F20"/>
          <w:w w:val="105"/>
        </w:rPr>
        <w:t>Americanos</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segundo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Convención</w:t>
      </w:r>
      <w:r>
        <w:rPr>
          <w:color w:val="231F20"/>
          <w:w w:val="104"/>
        </w:rPr>
        <w:t> </w:t>
      </w:r>
      <w:r>
        <w:rPr>
          <w:color w:val="231F20"/>
          <w:w w:val="105"/>
        </w:rPr>
        <w:t>Americana</w:t>
      </w:r>
      <w:r>
        <w:rPr>
          <w:color w:val="231F20"/>
          <w:spacing w:val="-34"/>
          <w:w w:val="105"/>
        </w:rPr>
        <w:t> </w:t>
      </w:r>
      <w:r>
        <w:rPr>
          <w:color w:val="231F20"/>
          <w:w w:val="105"/>
        </w:rPr>
        <w:t>sobre</w:t>
      </w:r>
      <w:r>
        <w:rPr>
          <w:color w:val="231F20"/>
          <w:spacing w:val="-34"/>
          <w:w w:val="105"/>
        </w:rPr>
        <w:t> </w:t>
      </w:r>
      <w:r>
        <w:rPr>
          <w:color w:val="231F20"/>
          <w:w w:val="105"/>
        </w:rPr>
        <w:t>Derechos</w:t>
      </w:r>
      <w:r>
        <w:rPr>
          <w:color w:val="231F20"/>
          <w:spacing w:val="-34"/>
          <w:w w:val="105"/>
        </w:rPr>
        <w:t> </w:t>
      </w:r>
      <w:r>
        <w:rPr>
          <w:color w:val="231F20"/>
          <w:w w:val="105"/>
        </w:rPr>
        <w:t>Humanos,</w:t>
      </w:r>
      <w:r>
        <w:rPr>
          <w:color w:val="231F20"/>
          <w:spacing w:val="-37"/>
          <w:w w:val="105"/>
        </w:rPr>
        <w:t> </w:t>
      </w:r>
      <w:r>
        <w:rPr>
          <w:color w:val="231F20"/>
          <w:w w:val="105"/>
        </w:rPr>
        <w:t>conocida</w:t>
      </w:r>
      <w:r>
        <w:rPr>
          <w:color w:val="231F20"/>
          <w:spacing w:val="-34"/>
          <w:w w:val="105"/>
        </w:rPr>
        <w:t> </w:t>
      </w:r>
      <w:r>
        <w:rPr>
          <w:color w:val="231F20"/>
          <w:w w:val="105"/>
        </w:rPr>
        <w:t>como</w:t>
      </w:r>
      <w:r>
        <w:rPr>
          <w:color w:val="231F20"/>
          <w:spacing w:val="-34"/>
          <w:w w:val="105"/>
        </w:rPr>
        <w:t> </w:t>
      </w:r>
      <w:r>
        <w:rPr>
          <w:color w:val="231F20"/>
          <w:spacing w:val="-3"/>
          <w:w w:val="105"/>
        </w:rPr>
        <w:t>Pacto</w:t>
      </w:r>
      <w:r>
        <w:rPr>
          <w:color w:val="231F20"/>
          <w:spacing w:val="-34"/>
          <w:w w:val="105"/>
        </w:rPr>
        <w:t> </w:t>
      </w:r>
      <w:r>
        <w:rPr>
          <w:color w:val="231F20"/>
          <w:w w:val="105"/>
        </w:rPr>
        <w:t>de</w:t>
      </w:r>
      <w:r>
        <w:rPr>
          <w:color w:val="231F20"/>
          <w:spacing w:val="-34"/>
          <w:w w:val="105"/>
        </w:rPr>
        <w:t> </w:t>
      </w:r>
      <w:r>
        <w:rPr>
          <w:color w:val="231F20"/>
          <w:w w:val="105"/>
        </w:rPr>
        <w:t>San</w:t>
      </w:r>
      <w:r>
        <w:rPr>
          <w:color w:val="231F20"/>
          <w:spacing w:val="-35"/>
          <w:w w:val="105"/>
        </w:rPr>
        <w:t> </w:t>
      </w:r>
      <w:r>
        <w:rPr>
          <w:color w:val="231F20"/>
          <w:w w:val="105"/>
        </w:rPr>
        <w:t>José.</w:t>
      </w:r>
      <w:r>
        <w:rPr>
          <w:color w:val="231F20"/>
          <w:w w:val="99"/>
        </w:rPr>
        <w:t> </w:t>
      </w:r>
      <w:r>
        <w:rPr>
          <w:color w:val="231F20"/>
          <w:w w:val="105"/>
        </w:rPr>
        <w:t>México es miembro de la </w:t>
      </w:r>
      <w:r>
        <w:rPr>
          <w:color w:val="231F20"/>
          <w:w w:val="105"/>
          <w:sz w:val="17"/>
        </w:rPr>
        <w:t>OEA </w:t>
      </w:r>
      <w:r>
        <w:rPr>
          <w:color w:val="231F20"/>
          <w:w w:val="105"/>
        </w:rPr>
        <w:t>desde su fundación, signó</w:t>
      </w:r>
      <w:r>
        <w:rPr>
          <w:color w:val="231F20"/>
          <w:spacing w:val="-26"/>
          <w:w w:val="105"/>
        </w:rPr>
        <w:t> </w:t>
      </w:r>
      <w:r>
        <w:rPr>
          <w:color w:val="231F20"/>
          <w:w w:val="105"/>
        </w:rPr>
        <w:t>la</w:t>
      </w:r>
      <w:r>
        <w:rPr>
          <w:color w:val="231F20"/>
          <w:spacing w:val="-3"/>
          <w:w w:val="105"/>
        </w:rPr>
        <w:t> </w:t>
      </w:r>
      <w:r>
        <w:rPr>
          <w:color w:val="231F20"/>
          <w:w w:val="105"/>
        </w:rPr>
        <w:t>Convención</w:t>
      </w:r>
      <w:r>
        <w:rPr>
          <w:color w:val="231F20"/>
          <w:w w:val="104"/>
        </w:rPr>
        <w:t> </w:t>
      </w:r>
      <w:r>
        <w:rPr>
          <w:color w:val="231F20"/>
          <w:w w:val="105"/>
        </w:rPr>
        <w:t>Americana en 1981 y aceptó la jurisdicción de la Corte en</w:t>
      </w:r>
      <w:r>
        <w:rPr>
          <w:color w:val="231F20"/>
          <w:spacing w:val="46"/>
          <w:w w:val="105"/>
        </w:rPr>
        <w:t> </w:t>
      </w:r>
      <w:r>
        <w:rPr>
          <w:color w:val="231F20"/>
          <w:w w:val="105"/>
        </w:rPr>
        <w:t>1999.</w:t>
      </w:r>
      <w:r>
        <w:rPr>
          <w:color w:val="231F20"/>
          <w:spacing w:val="9"/>
          <w:w w:val="105"/>
        </w:rPr>
        <w:t> </w:t>
      </w:r>
      <w:r>
        <w:rPr>
          <w:color w:val="231F20"/>
          <w:w w:val="105"/>
        </w:rPr>
        <w:t>Esto</w:t>
      </w:r>
      <w:r>
        <w:rPr>
          <w:color w:val="231F20"/>
          <w:w w:val="98"/>
        </w:rPr>
        <w:t> </w:t>
      </w:r>
      <w:r>
        <w:rPr>
          <w:color w:val="231F20"/>
          <w:w w:val="105"/>
        </w:rPr>
        <w:t>implica</w:t>
      </w:r>
      <w:r>
        <w:rPr>
          <w:color w:val="231F20"/>
          <w:spacing w:val="-5"/>
          <w:w w:val="105"/>
        </w:rPr>
        <w:t> </w:t>
      </w:r>
      <w:r>
        <w:rPr>
          <w:color w:val="231F20"/>
          <w:w w:val="105"/>
        </w:rPr>
        <w:t>el</w:t>
      </w:r>
      <w:r>
        <w:rPr>
          <w:color w:val="231F20"/>
          <w:spacing w:val="-5"/>
          <w:w w:val="105"/>
        </w:rPr>
        <w:t> </w:t>
      </w:r>
      <w:r>
        <w:rPr>
          <w:color w:val="231F20"/>
          <w:w w:val="105"/>
        </w:rPr>
        <w:t>compromiso</w:t>
      </w:r>
      <w:r>
        <w:rPr>
          <w:color w:val="231F20"/>
          <w:spacing w:val="-5"/>
          <w:w w:val="105"/>
        </w:rPr>
        <w:t> </w:t>
      </w:r>
      <w:r>
        <w:rPr>
          <w:color w:val="231F20"/>
          <w:w w:val="105"/>
        </w:rPr>
        <w:t>de</w:t>
      </w:r>
      <w:r>
        <w:rPr>
          <w:color w:val="231F20"/>
          <w:spacing w:val="-5"/>
          <w:w w:val="105"/>
        </w:rPr>
        <w:t> </w:t>
      </w:r>
      <w:r>
        <w:rPr>
          <w:color w:val="231F20"/>
          <w:w w:val="105"/>
        </w:rPr>
        <w:t>adecuar</w:t>
      </w:r>
      <w:r>
        <w:rPr>
          <w:color w:val="231F20"/>
          <w:spacing w:val="-5"/>
          <w:w w:val="105"/>
        </w:rPr>
        <w:t> </w:t>
      </w:r>
      <w:r>
        <w:rPr>
          <w:color w:val="231F20"/>
          <w:w w:val="105"/>
        </w:rPr>
        <w:t>los</w:t>
      </w:r>
      <w:r>
        <w:rPr>
          <w:color w:val="231F20"/>
          <w:spacing w:val="-5"/>
          <w:w w:val="105"/>
        </w:rPr>
        <w:t> </w:t>
      </w:r>
      <w:r>
        <w:rPr>
          <w:color w:val="231F20"/>
          <w:w w:val="105"/>
        </w:rPr>
        <w:t>ordenamientos</w:t>
      </w:r>
      <w:r>
        <w:rPr>
          <w:color w:val="231F20"/>
          <w:spacing w:val="-5"/>
          <w:w w:val="105"/>
        </w:rPr>
        <w:t> </w:t>
      </w:r>
      <w:r>
        <w:rPr>
          <w:color w:val="231F20"/>
          <w:w w:val="105"/>
        </w:rPr>
        <w:t>jurídicos</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es-</w:t>
      </w:r>
      <w:r>
        <w:rPr>
          <w:color w:val="231F20"/>
          <w:w w:val="96"/>
        </w:rPr>
        <w:t> </w:t>
      </w:r>
      <w:r>
        <w:rPr>
          <w:color w:val="231F20"/>
          <w:w w:val="105"/>
        </w:rPr>
        <w:t>tándares</w:t>
      </w:r>
      <w:r>
        <w:rPr>
          <w:color w:val="231F20"/>
          <w:spacing w:val="-20"/>
          <w:w w:val="105"/>
        </w:rPr>
        <w:t> </w:t>
      </w:r>
      <w:r>
        <w:rPr>
          <w:color w:val="231F20"/>
          <w:w w:val="105"/>
        </w:rPr>
        <w:t>internacionales</w:t>
      </w:r>
      <w:r>
        <w:rPr>
          <w:color w:val="231F20"/>
          <w:spacing w:val="-20"/>
          <w:w w:val="105"/>
        </w:rPr>
        <w:t> </w:t>
      </w:r>
      <w:r>
        <w:rPr>
          <w:color w:val="231F20"/>
          <w:w w:val="105"/>
        </w:rPr>
        <w:t>contenidos</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documentos</w:t>
      </w:r>
      <w:r>
        <w:rPr>
          <w:color w:val="231F20"/>
          <w:spacing w:val="-20"/>
          <w:w w:val="105"/>
        </w:rPr>
        <w:t> </w:t>
      </w:r>
      <w:r>
        <w:rPr>
          <w:color w:val="231F20"/>
          <w:w w:val="105"/>
        </w:rPr>
        <w:t>referidos,</w:t>
      </w:r>
      <w:r>
        <w:rPr>
          <w:color w:val="231F20"/>
          <w:spacing w:val="-25"/>
          <w:w w:val="105"/>
        </w:rPr>
        <w:t> </w:t>
      </w:r>
      <w:r>
        <w:rPr>
          <w:color w:val="231F20"/>
          <w:w w:val="105"/>
        </w:rPr>
        <w:t>lo</w:t>
      </w:r>
      <w:r>
        <w:rPr>
          <w:color w:val="231F20"/>
          <w:spacing w:val="-20"/>
          <w:w w:val="105"/>
        </w:rPr>
        <w:t> </w:t>
      </w:r>
      <w:r>
        <w:rPr>
          <w:color w:val="231F20"/>
          <w:w w:val="105"/>
        </w:rPr>
        <w:t>que</w:t>
      </w:r>
    </w:p>
    <w:p>
      <w:pPr>
        <w:pStyle w:val="BodyText"/>
        <w:spacing w:before="1"/>
        <w:ind w:left="1723"/>
        <w:jc w:val="both"/>
      </w:pPr>
      <w:r>
        <w:rPr>
          <w:color w:val="231F20"/>
          <w:w w:val="105"/>
        </w:rPr>
        <w:t>no siempre se ha realizado con oportunidad.</w:t>
      </w:r>
    </w:p>
    <w:p>
      <w:pPr>
        <w:pStyle w:val="BodyText"/>
        <w:spacing w:line="261" w:lineRule="auto" w:before="22"/>
        <w:ind w:left="1723" w:right="1835" w:firstLine="567"/>
        <w:jc w:val="both"/>
      </w:pPr>
      <w:r>
        <w:rPr>
          <w:w w:val="105"/>
        </w:rPr>
        <w:t>Uno de los primeros pasos concretos para atender las necesida- des</w:t>
      </w:r>
      <w:r>
        <w:rPr>
          <w:spacing w:val="-7"/>
          <w:w w:val="105"/>
        </w:rPr>
        <w:t> </w:t>
      </w:r>
      <w:r>
        <w:rPr>
          <w:w w:val="105"/>
        </w:rPr>
        <w:t>específicas</w:t>
      </w:r>
      <w:r>
        <w:rPr>
          <w:spacing w:val="-7"/>
          <w:w w:val="105"/>
        </w:rPr>
        <w:t> </w:t>
      </w:r>
      <w:r>
        <w:rPr>
          <w:w w:val="105"/>
        </w:rPr>
        <w:t>de</w:t>
      </w:r>
      <w:r>
        <w:rPr>
          <w:spacing w:val="-7"/>
          <w:w w:val="105"/>
        </w:rPr>
        <w:t> </w:t>
      </w:r>
      <w:r>
        <w:rPr>
          <w:w w:val="105"/>
        </w:rPr>
        <w:t>los</w:t>
      </w:r>
      <w:r>
        <w:rPr>
          <w:spacing w:val="-7"/>
          <w:w w:val="105"/>
        </w:rPr>
        <w:t> </w:t>
      </w:r>
      <w:r>
        <w:rPr>
          <w:w w:val="105"/>
        </w:rPr>
        <w:t>menores</w:t>
      </w:r>
      <w:r>
        <w:rPr>
          <w:spacing w:val="-7"/>
          <w:w w:val="105"/>
        </w:rPr>
        <w:t> </w:t>
      </w:r>
      <w:r>
        <w:rPr>
          <w:w w:val="105"/>
        </w:rPr>
        <w:t>en</w:t>
      </w:r>
      <w:r>
        <w:rPr>
          <w:spacing w:val="-7"/>
          <w:w w:val="105"/>
        </w:rPr>
        <w:t> </w:t>
      </w:r>
      <w:r>
        <w:rPr>
          <w:w w:val="105"/>
        </w:rPr>
        <w:t>nuestro</w:t>
      </w:r>
      <w:r>
        <w:rPr>
          <w:spacing w:val="-7"/>
          <w:w w:val="105"/>
        </w:rPr>
        <w:t> </w:t>
      </w:r>
      <w:r>
        <w:rPr>
          <w:w w:val="105"/>
        </w:rPr>
        <w:t>país</w:t>
      </w:r>
      <w:r>
        <w:rPr>
          <w:spacing w:val="-7"/>
          <w:w w:val="105"/>
        </w:rPr>
        <w:t> </w:t>
      </w:r>
      <w:r>
        <w:rPr>
          <w:w w:val="105"/>
        </w:rPr>
        <w:t>fue</w:t>
      </w:r>
      <w:r>
        <w:rPr>
          <w:spacing w:val="-7"/>
          <w:w w:val="105"/>
        </w:rPr>
        <w:t> </w:t>
      </w:r>
      <w:r>
        <w:rPr>
          <w:w w:val="105"/>
        </w:rPr>
        <w:t>la</w:t>
      </w:r>
      <w:r>
        <w:rPr>
          <w:spacing w:val="-7"/>
          <w:w w:val="105"/>
        </w:rPr>
        <w:t> </w:t>
      </w:r>
      <w:r>
        <w:rPr>
          <w:w w:val="105"/>
        </w:rPr>
        <w:t>emisión</w:t>
      </w:r>
      <w:r>
        <w:rPr>
          <w:spacing w:val="-7"/>
          <w:w w:val="105"/>
        </w:rPr>
        <w:t> </w:t>
      </w:r>
      <w:r>
        <w:rPr>
          <w:w w:val="105"/>
        </w:rPr>
        <w:t>de</w:t>
      </w:r>
      <w:r>
        <w:rPr>
          <w:spacing w:val="-7"/>
          <w:w w:val="105"/>
        </w:rPr>
        <w:t> </w:t>
      </w:r>
      <w:r>
        <w:rPr>
          <w:w w:val="105"/>
        </w:rPr>
        <w:t>la</w:t>
      </w:r>
      <w:r>
        <w:rPr>
          <w:spacing w:val="-7"/>
          <w:w w:val="105"/>
        </w:rPr>
        <w:t> </w:t>
      </w:r>
      <w:r>
        <w:rPr>
          <w:color w:val="231F20"/>
          <w:w w:val="105"/>
        </w:rPr>
        <w:t>Ley General</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Derechos</w:t>
      </w:r>
      <w:r>
        <w:rPr>
          <w:color w:val="231F20"/>
          <w:spacing w:val="-21"/>
          <w:w w:val="105"/>
        </w:rPr>
        <w:t> </w:t>
      </w:r>
      <w:r>
        <w:rPr>
          <w:color w:val="231F20"/>
          <w:w w:val="105"/>
        </w:rPr>
        <w:t>de</w:t>
      </w:r>
      <w:r>
        <w:rPr>
          <w:color w:val="231F20"/>
          <w:spacing w:val="-21"/>
          <w:w w:val="105"/>
        </w:rPr>
        <w:t> </w:t>
      </w:r>
      <w:r>
        <w:rPr>
          <w:color w:val="231F20"/>
          <w:w w:val="105"/>
        </w:rPr>
        <w:t>Niños,</w:t>
      </w:r>
      <w:r>
        <w:rPr>
          <w:color w:val="231F20"/>
          <w:spacing w:val="-26"/>
          <w:w w:val="105"/>
        </w:rPr>
        <w:t> </w:t>
      </w:r>
      <w:r>
        <w:rPr>
          <w:color w:val="231F20"/>
          <w:w w:val="105"/>
        </w:rPr>
        <w:t>Niñas</w:t>
      </w:r>
      <w:r>
        <w:rPr>
          <w:color w:val="231F20"/>
          <w:spacing w:val="-21"/>
          <w:w w:val="105"/>
        </w:rPr>
        <w:t> </w:t>
      </w:r>
      <w:r>
        <w:rPr>
          <w:color w:val="231F20"/>
          <w:w w:val="105"/>
        </w:rPr>
        <w:t>y</w:t>
      </w:r>
      <w:r>
        <w:rPr>
          <w:color w:val="231F20"/>
          <w:spacing w:val="-24"/>
          <w:w w:val="105"/>
        </w:rPr>
        <w:t> </w:t>
      </w:r>
      <w:r>
        <w:rPr>
          <w:color w:val="231F20"/>
          <w:w w:val="105"/>
        </w:rPr>
        <w:t>Adolescentes,</w:t>
      </w:r>
      <w:r>
        <w:rPr>
          <w:color w:val="231F20"/>
          <w:spacing w:val="-26"/>
          <w:w w:val="105"/>
        </w:rPr>
        <w:t> </w:t>
      </w:r>
      <w:r>
        <w:rPr>
          <w:color w:val="231F20"/>
          <w:w w:val="105"/>
        </w:rPr>
        <w:t>el</w:t>
      </w:r>
      <w:r>
        <w:rPr>
          <w:color w:val="231F20"/>
          <w:spacing w:val="-21"/>
          <w:w w:val="105"/>
        </w:rPr>
        <w:t> </w:t>
      </w:r>
      <w:r>
        <w:rPr>
          <w:color w:val="231F20"/>
          <w:w w:val="105"/>
        </w:rPr>
        <w:t>cuatro</w:t>
      </w:r>
      <w:r>
        <w:rPr>
          <w:color w:val="231F20"/>
          <w:spacing w:val="-21"/>
          <w:w w:val="105"/>
        </w:rPr>
        <w:t> </w:t>
      </w:r>
      <w:r>
        <w:rPr>
          <w:color w:val="231F20"/>
          <w:w w:val="105"/>
        </w:rPr>
        <w:t>de</w:t>
      </w:r>
      <w:r>
        <w:rPr>
          <w:color w:val="231F20"/>
          <w:spacing w:val="-21"/>
          <w:w w:val="105"/>
        </w:rPr>
        <w:t> </w:t>
      </w:r>
      <w:r>
        <w:rPr>
          <w:color w:val="231F20"/>
          <w:w w:val="105"/>
        </w:rPr>
        <w:t>di- ciembre</w:t>
      </w:r>
      <w:r>
        <w:rPr>
          <w:color w:val="231F20"/>
          <w:spacing w:val="-22"/>
          <w:w w:val="105"/>
        </w:rPr>
        <w:t> </w:t>
      </w:r>
      <w:r>
        <w:rPr>
          <w:color w:val="231F20"/>
          <w:w w:val="105"/>
        </w:rPr>
        <w:t>de</w:t>
      </w:r>
      <w:r>
        <w:rPr>
          <w:color w:val="231F20"/>
          <w:spacing w:val="-22"/>
          <w:w w:val="105"/>
        </w:rPr>
        <w:t> </w:t>
      </w:r>
      <w:r>
        <w:rPr>
          <w:color w:val="231F20"/>
          <w:w w:val="105"/>
        </w:rPr>
        <w:t>2014,</w:t>
      </w:r>
      <w:r>
        <w:rPr>
          <w:color w:val="231F20"/>
          <w:spacing w:val="-28"/>
          <w:w w:val="105"/>
        </w:rPr>
        <w:t> </w:t>
      </w:r>
      <w:r>
        <w:rPr>
          <w:color w:val="231F20"/>
          <w:w w:val="105"/>
        </w:rPr>
        <w:t>la</w:t>
      </w:r>
      <w:r>
        <w:rPr>
          <w:color w:val="231F20"/>
          <w:spacing w:val="-22"/>
          <w:w w:val="105"/>
        </w:rPr>
        <w:t> </w:t>
      </w:r>
      <w:r>
        <w:rPr>
          <w:color w:val="231F20"/>
          <w:w w:val="105"/>
        </w:rPr>
        <w:t>cual</w:t>
      </w:r>
      <w:r>
        <w:rPr>
          <w:color w:val="231F20"/>
          <w:spacing w:val="-22"/>
          <w:w w:val="105"/>
        </w:rPr>
        <w:t> </w:t>
      </w:r>
      <w:r>
        <w:rPr>
          <w:color w:val="231F20"/>
          <w:w w:val="105"/>
        </w:rPr>
        <w:t>establece,</w:t>
      </w:r>
      <w:r>
        <w:rPr>
          <w:color w:val="231F20"/>
          <w:spacing w:val="-28"/>
          <w:w w:val="105"/>
        </w:rPr>
        <w:t> </w:t>
      </w:r>
      <w:r>
        <w:rPr>
          <w:color w:val="231F20"/>
          <w:w w:val="105"/>
        </w:rPr>
        <w:t>de</w:t>
      </w:r>
      <w:r>
        <w:rPr>
          <w:color w:val="231F20"/>
          <w:spacing w:val="-22"/>
          <w:w w:val="105"/>
        </w:rPr>
        <w:t> </w:t>
      </w:r>
      <w:r>
        <w:rPr>
          <w:color w:val="231F20"/>
          <w:w w:val="105"/>
        </w:rPr>
        <w:t>manera</w:t>
      </w:r>
      <w:r>
        <w:rPr>
          <w:color w:val="231F20"/>
          <w:spacing w:val="-22"/>
          <w:w w:val="105"/>
        </w:rPr>
        <w:t> </w:t>
      </w:r>
      <w:r>
        <w:rPr>
          <w:color w:val="231F20"/>
          <w:w w:val="105"/>
        </w:rPr>
        <w:t>enunciativa</w:t>
      </w:r>
      <w:r>
        <w:rPr>
          <w:color w:val="231F20"/>
          <w:spacing w:val="-22"/>
          <w:w w:val="105"/>
        </w:rPr>
        <w:t> </w:t>
      </w:r>
      <w:r>
        <w:rPr>
          <w:color w:val="231F20"/>
          <w:w w:val="105"/>
        </w:rPr>
        <w:t>pero</w:t>
      </w:r>
      <w:r>
        <w:rPr>
          <w:color w:val="231F20"/>
          <w:spacing w:val="-22"/>
          <w:w w:val="105"/>
        </w:rPr>
        <w:t> </w:t>
      </w:r>
      <w:r>
        <w:rPr>
          <w:color w:val="231F20"/>
          <w:w w:val="105"/>
        </w:rPr>
        <w:t>en</w:t>
      </w:r>
      <w:r>
        <w:rPr>
          <w:color w:val="231F20"/>
          <w:spacing w:val="-22"/>
          <w:w w:val="105"/>
        </w:rPr>
        <w:t> </w:t>
      </w:r>
      <w:r>
        <w:rPr>
          <w:color w:val="231F20"/>
          <w:w w:val="105"/>
        </w:rPr>
        <w:t>modo</w:t>
      </w:r>
    </w:p>
    <w:p>
      <w:pPr>
        <w:pStyle w:val="BodyText"/>
        <w:rPr>
          <w:sz w:val="20"/>
        </w:rPr>
      </w:pPr>
    </w:p>
    <w:p>
      <w:pPr>
        <w:pStyle w:val="BodyText"/>
        <w:rPr>
          <w:sz w:val="20"/>
        </w:rPr>
      </w:pPr>
    </w:p>
    <w:p>
      <w:pPr>
        <w:pStyle w:val="BodyText"/>
        <w:spacing w:before="11"/>
        <w:rPr>
          <w:sz w:val="25"/>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2968" from="131.551193pt,3.703715pt" to="131.551193pt,39.506114pt" stroked="true" strokeweight=".35pt" strokecolor="#231f20">
            <w10:wrap type="none"/>
          </v:line>
        </w:pict>
      </w:r>
      <w:r>
        <w:rPr/>
        <w:pict>
          <v:line style="position:absolute;mso-position-horizontal-relative:page;mso-position-vertical-relative:paragraph;z-index:-482896" from="15pt,39.505917pt" to="0pt,39.505917pt" stroked="true" strokeweight=".25pt" strokecolor="#000000">
            <w10:wrap type="none"/>
          </v:line>
        </w:pict>
      </w:r>
      <w:r>
        <w:rPr/>
        <w:pict>
          <v:line style="position:absolute;mso-position-horizontal-relative:page;mso-position-vertical-relative:paragraph;z-index:7312" from="508.890015pt,39.505917pt" to="523.890015pt,39.505917pt" stroked="true" strokeweight=".25pt" strokecolor="#000000">
            <w10:wrap type="none"/>
          </v:line>
        </w:pict>
      </w:r>
      <w:r>
        <w:rPr>
          <w:rFonts w:ascii="Arial" w:hAnsi="Arial"/>
          <w:color w:val="414042"/>
          <w:position w:val="-5"/>
          <w:sz w:val="20"/>
        </w:rPr>
        <w:t>74</w:t>
        <w:tab/>
      </w:r>
      <w:r>
        <w:rPr>
          <w:rFonts w:ascii="Calibri" w:hAnsi="Calibri"/>
          <w:color w:val="6D6E71"/>
          <w:sz w:val="15"/>
        </w:rPr>
        <w:t>María de Lourdes Morales Reynoso y Claudia Arianne Martínez  </w:t>
      </w:r>
      <w:r>
        <w:rPr>
          <w:rFonts w:ascii="Calibri" w:hAnsi="Calibri"/>
          <w:color w:val="6D6E71"/>
          <w:spacing w:val="16"/>
          <w:sz w:val="15"/>
        </w:rPr>
        <w:t> </w:t>
      </w:r>
      <w:r>
        <w:rPr>
          <w:rFonts w:ascii="Calibri" w:hAnsi="Calibri"/>
          <w:color w:val="6D6E71"/>
          <w:sz w:val="15"/>
        </w:rPr>
        <w:t>Zaragoza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line="208" w:lineRule="exact" w:before="187"/>
        <w:ind w:left="2163" w:right="0" w:firstLine="0"/>
        <w:jc w:val="left"/>
        <w:rPr>
          <w:rFonts w:ascii="Arial" w:hAnsi="Arial"/>
          <w:sz w:val="20"/>
        </w:rPr>
      </w:pPr>
      <w:r>
        <w:rPr/>
        <w:pict>
          <v:line style="position:absolute;mso-position-horizontal-relative:page;mso-position-vertical-relative:paragraph;z-index:-482848" from="405.061005pt,-18.554295pt" to="405.061005pt,16.311579pt" stroked="true" strokeweight=".35pt" strokecolor="#231f20">
            <w10:wrap type="none"/>
          </v:line>
        </w:pict>
      </w:r>
      <w:r>
        <w:rPr/>
        <w:pict>
          <v:line style="position:absolute;mso-position-horizontal-relative:page;mso-position-vertical-relative:paragraph;z-index:7360" from="15pt,-18.554522pt" to="0pt,-18.554522pt" stroked="true" strokeweight=".25pt" strokecolor="#000000">
            <w10:wrap type="none"/>
          </v:line>
        </w:pict>
      </w:r>
      <w:r>
        <w:rPr/>
        <w:pict>
          <v:line style="position:absolute;mso-position-horizontal-relative:page;mso-position-vertical-relative:paragraph;z-index:7384" from="508.890015pt,-18.554522pt" to="523.890015pt,-18.554522pt" stroked="true" strokeweight=".25pt" strokecolor="#000000">
            <w10:wrap type="none"/>
          </v:line>
        </w:pict>
      </w:r>
      <w:r>
        <w:rPr>
          <w:rFonts w:ascii="Lucida Sans Unicode" w:hAnsi="Lucida Sans Unicode"/>
          <w:color w:val="6D6E71"/>
          <w:w w:val="105"/>
          <w:sz w:val="14"/>
        </w:rPr>
        <w:t>Los</w:t>
      </w:r>
      <w:r>
        <w:rPr>
          <w:rFonts w:ascii="Lucida Sans Unicode" w:hAnsi="Lucida Sans Unicode"/>
          <w:color w:val="6D6E71"/>
          <w:spacing w:val="-14"/>
          <w:w w:val="105"/>
          <w:sz w:val="14"/>
        </w:rPr>
        <w:t> </w:t>
      </w:r>
      <w:r>
        <w:rPr>
          <w:rFonts w:ascii="Lucida Sans Unicode" w:hAnsi="Lucida Sans Unicode"/>
          <w:color w:val="6D6E71"/>
          <w:w w:val="105"/>
          <w:sz w:val="14"/>
        </w:rPr>
        <w:t>pequeños</w:t>
      </w:r>
      <w:r>
        <w:rPr>
          <w:rFonts w:ascii="Lucida Sans Unicode" w:hAnsi="Lucida Sans Unicode"/>
          <w:color w:val="6D6E71"/>
          <w:spacing w:val="-14"/>
          <w:w w:val="105"/>
          <w:sz w:val="14"/>
        </w:rPr>
        <w:t> </w:t>
      </w:r>
      <w:r>
        <w:rPr>
          <w:rFonts w:ascii="Lucida Sans Unicode" w:hAnsi="Lucida Sans Unicode"/>
          <w:color w:val="6D6E71"/>
          <w:w w:val="105"/>
          <w:sz w:val="14"/>
        </w:rPr>
        <w:t>“soñadores”</w:t>
      </w:r>
      <w:r>
        <w:rPr>
          <w:rFonts w:ascii="Lucida Sans Unicode" w:hAnsi="Lucida Sans Unicode"/>
          <w:color w:val="6D6E71"/>
          <w:spacing w:val="-14"/>
          <w:w w:val="105"/>
          <w:sz w:val="14"/>
        </w:rPr>
        <w:t> </w:t>
      </w:r>
      <w:r>
        <w:rPr>
          <w:rFonts w:ascii="Lucida Sans Unicode" w:hAnsi="Lucida Sans Unicode"/>
          <w:color w:val="6D6E71"/>
          <w:w w:val="105"/>
          <w:sz w:val="14"/>
        </w:rPr>
        <w:t>no</w:t>
      </w:r>
      <w:r>
        <w:rPr>
          <w:rFonts w:ascii="Lucida Sans Unicode" w:hAnsi="Lucida Sans Unicode"/>
          <w:color w:val="6D6E71"/>
          <w:spacing w:val="-14"/>
          <w:w w:val="105"/>
          <w:sz w:val="14"/>
        </w:rPr>
        <w:t> </w:t>
      </w:r>
      <w:r>
        <w:rPr>
          <w:rFonts w:ascii="Lucida Sans Unicode" w:hAnsi="Lucida Sans Unicode"/>
          <w:color w:val="6D6E71"/>
          <w:w w:val="105"/>
          <w:sz w:val="14"/>
        </w:rPr>
        <w:t>acompañados</w:t>
      </w:r>
      <w:r>
        <w:rPr>
          <w:rFonts w:ascii="Lucida Sans Unicode" w:hAnsi="Lucida Sans Unicode"/>
          <w:color w:val="6D6E71"/>
          <w:spacing w:val="-14"/>
          <w:w w:val="105"/>
          <w:sz w:val="14"/>
        </w:rPr>
        <w:t> </w:t>
      </w:r>
      <w:r>
        <w:rPr>
          <w:rFonts w:ascii="Lucida Sans Unicode" w:hAnsi="Lucida Sans Unicode"/>
          <w:color w:val="6D6E71"/>
          <w:w w:val="105"/>
          <w:sz w:val="14"/>
        </w:rPr>
        <w:t>en</w:t>
      </w:r>
      <w:r>
        <w:rPr>
          <w:rFonts w:ascii="Lucida Sans Unicode" w:hAnsi="Lucida Sans Unicode"/>
          <w:color w:val="6D6E71"/>
          <w:spacing w:val="-14"/>
          <w:w w:val="105"/>
          <w:sz w:val="14"/>
        </w:rPr>
        <w:t> </w:t>
      </w:r>
      <w:r>
        <w:rPr>
          <w:rFonts w:ascii="Lucida Sans Unicode" w:hAnsi="Lucida Sans Unicode"/>
          <w:color w:val="6D6E71"/>
          <w:w w:val="105"/>
          <w:sz w:val="14"/>
        </w:rPr>
        <w:t>su</w:t>
      </w:r>
      <w:r>
        <w:rPr>
          <w:rFonts w:ascii="Lucida Sans Unicode" w:hAnsi="Lucida Sans Unicode"/>
          <w:color w:val="6D6E71"/>
          <w:spacing w:val="-14"/>
          <w:w w:val="105"/>
          <w:sz w:val="14"/>
        </w:rPr>
        <w:t> </w:t>
      </w:r>
      <w:r>
        <w:rPr>
          <w:rFonts w:ascii="Lucida Sans Unicode" w:hAnsi="Lucida Sans Unicode"/>
          <w:color w:val="6D6E71"/>
          <w:w w:val="105"/>
          <w:sz w:val="14"/>
        </w:rPr>
        <w:t>tránsito</w:t>
      </w:r>
      <w:r>
        <w:rPr>
          <w:rFonts w:ascii="Lucida Sans Unicode" w:hAnsi="Lucida Sans Unicode"/>
          <w:color w:val="6D6E71"/>
          <w:spacing w:val="-14"/>
          <w:w w:val="105"/>
          <w:sz w:val="14"/>
        </w:rPr>
        <w:t> </w:t>
      </w:r>
      <w:r>
        <w:rPr>
          <w:rFonts w:ascii="Lucida Sans Unicode" w:hAnsi="Lucida Sans Unicode"/>
          <w:color w:val="6D6E71"/>
          <w:w w:val="105"/>
          <w:sz w:val="14"/>
        </w:rPr>
        <w:t>por</w:t>
      </w:r>
      <w:r>
        <w:rPr>
          <w:rFonts w:ascii="Lucida Sans Unicode" w:hAnsi="Lucida Sans Unicode"/>
          <w:color w:val="6D6E71"/>
          <w:spacing w:val="-14"/>
          <w:w w:val="105"/>
          <w:sz w:val="14"/>
        </w:rPr>
        <w:t> </w:t>
      </w:r>
      <w:r>
        <w:rPr>
          <w:rFonts w:ascii="Lucida Sans Unicode" w:hAnsi="Lucida Sans Unicode"/>
          <w:color w:val="6D6E71"/>
          <w:w w:val="105"/>
          <w:sz w:val="14"/>
        </w:rPr>
        <w:t>eL</w:t>
      </w:r>
      <w:r>
        <w:rPr>
          <w:rFonts w:ascii="Lucida Sans Unicode" w:hAnsi="Lucida Sans Unicode"/>
          <w:color w:val="6D6E71"/>
          <w:spacing w:val="-14"/>
          <w:w w:val="105"/>
          <w:sz w:val="14"/>
        </w:rPr>
        <w:t> </w:t>
      </w:r>
      <w:r>
        <w:rPr>
          <w:rFonts w:ascii="Lucida Sans Unicode" w:hAnsi="Lucida Sans Unicode"/>
          <w:color w:val="6D6E71"/>
          <w:w w:val="105"/>
          <w:sz w:val="14"/>
        </w:rPr>
        <w:t>estado</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méxico.</w:t>
      </w:r>
      <w:r>
        <w:rPr>
          <w:rFonts w:ascii="Arial" w:hAnsi="Arial"/>
          <w:color w:val="414042"/>
          <w:w w:val="105"/>
          <w:position w:val="-3"/>
          <w:sz w:val="20"/>
        </w:rPr>
        <w:tab/>
        <w:t>75</w:t>
      </w:r>
    </w:p>
    <w:p>
      <w:pPr>
        <w:spacing w:line="187" w:lineRule="exact" w:before="0"/>
        <w:ind w:left="4069" w:right="0" w:firstLine="0"/>
        <w:jc w:val="left"/>
        <w:rPr>
          <w:rFonts w:ascii="Lucida Sans Unicode" w:hAnsi="Lucida Sans Unicode"/>
          <w:sz w:val="14"/>
        </w:rPr>
      </w:pPr>
      <w:r>
        <w:rPr>
          <w:rFonts w:ascii="Lucida Sans Unicode" w:hAnsi="Lucida Sans Unicode"/>
          <w:color w:val="6D6E71"/>
          <w:w w:val="105"/>
          <w:sz w:val="14"/>
        </w:rPr>
        <w:t>una revisión a partir deL interés superior de La infancia</w:t>
      </w:r>
    </w:p>
    <w:p>
      <w:pPr>
        <w:pStyle w:val="BodyText"/>
        <w:spacing w:before="6"/>
        <w:rPr>
          <w:rFonts w:ascii="Lucida Sans Unicode"/>
          <w:sz w:val="29"/>
        </w:rPr>
      </w:pPr>
    </w:p>
    <w:p>
      <w:pPr>
        <w:pStyle w:val="BodyText"/>
        <w:ind w:left="1837"/>
        <w:jc w:val="both"/>
      </w:pPr>
      <w:r>
        <w:rPr>
          <w:color w:val="231F20"/>
          <w:w w:val="105"/>
        </w:rPr>
        <w:t>alguno limitativa, tanto los principios rectores como los derechos de los</w:t>
      </w:r>
    </w:p>
    <w:p>
      <w:pPr>
        <w:pStyle w:val="BodyText"/>
        <w:spacing w:before="22"/>
        <w:ind w:left="1837"/>
        <w:jc w:val="both"/>
      </w:pPr>
      <w:r>
        <w:rPr>
          <w:color w:val="231F20"/>
          <w:w w:val="105"/>
          <w:sz w:val="17"/>
        </w:rPr>
        <w:t>NNA</w:t>
      </w:r>
      <w:r>
        <w:rPr>
          <w:color w:val="231F20"/>
          <w:w w:val="105"/>
        </w:rPr>
        <w:t>, específicamente en sus artículos 6 y 13, que a la letra dicen:</w:t>
      </w:r>
    </w:p>
    <w:p>
      <w:pPr>
        <w:pStyle w:val="BodyText"/>
        <w:spacing w:before="6"/>
        <w:rPr>
          <w:sz w:val="20"/>
        </w:rPr>
      </w:pPr>
    </w:p>
    <w:p>
      <w:pPr>
        <w:spacing w:line="254" w:lineRule="auto" w:before="0"/>
        <w:ind w:left="2971" w:right="1720" w:firstLine="0"/>
        <w:jc w:val="both"/>
        <w:rPr>
          <w:sz w:val="18"/>
        </w:rPr>
      </w:pPr>
      <w:r>
        <w:rPr>
          <w:color w:val="231F20"/>
          <w:w w:val="105"/>
          <w:sz w:val="18"/>
        </w:rPr>
        <w:t>Artículo 6. </w:t>
      </w:r>
      <w:r>
        <w:rPr>
          <w:color w:val="231F20"/>
          <w:w w:val="115"/>
          <w:sz w:val="18"/>
        </w:rPr>
        <w:t>[…] </w:t>
      </w:r>
      <w:r>
        <w:rPr>
          <w:color w:val="231F20"/>
          <w:w w:val="105"/>
          <w:sz w:val="18"/>
        </w:rPr>
        <w:t>son principios rectores, los siguientes: </w:t>
      </w:r>
      <w:r>
        <w:rPr>
          <w:color w:val="231F20"/>
          <w:w w:val="105"/>
          <w:sz w:val="15"/>
        </w:rPr>
        <w:t>I</w:t>
      </w:r>
      <w:r>
        <w:rPr>
          <w:color w:val="231F20"/>
          <w:w w:val="105"/>
          <w:sz w:val="18"/>
        </w:rPr>
        <w:t>. El interés su- perior de la niñez; </w:t>
      </w:r>
      <w:r>
        <w:rPr>
          <w:color w:val="231F20"/>
          <w:w w:val="105"/>
          <w:sz w:val="15"/>
        </w:rPr>
        <w:t>II</w:t>
      </w:r>
      <w:r>
        <w:rPr>
          <w:color w:val="231F20"/>
          <w:w w:val="105"/>
          <w:sz w:val="18"/>
        </w:rPr>
        <w:t>. La universalidad, interdependencia, indivisibili- dad, progresividad e integralidad de los derechos de niñas, niños y adolescentes, conforme a lo dispuesto en los artículos 1o. y 4o. de la Constitución</w:t>
      </w:r>
      <w:r>
        <w:rPr>
          <w:color w:val="231F20"/>
          <w:spacing w:val="-20"/>
          <w:w w:val="105"/>
          <w:sz w:val="18"/>
        </w:rPr>
        <w:t> </w:t>
      </w:r>
      <w:r>
        <w:rPr>
          <w:color w:val="231F20"/>
          <w:w w:val="105"/>
          <w:sz w:val="18"/>
        </w:rPr>
        <w:t>Política</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los</w:t>
      </w:r>
      <w:r>
        <w:rPr>
          <w:color w:val="231F20"/>
          <w:spacing w:val="-20"/>
          <w:w w:val="105"/>
          <w:sz w:val="18"/>
        </w:rPr>
        <w:t> </w:t>
      </w:r>
      <w:r>
        <w:rPr>
          <w:color w:val="231F20"/>
          <w:w w:val="105"/>
          <w:sz w:val="18"/>
        </w:rPr>
        <w:t>Estados</w:t>
      </w:r>
      <w:r>
        <w:rPr>
          <w:color w:val="231F20"/>
          <w:spacing w:val="-20"/>
          <w:w w:val="105"/>
          <w:sz w:val="18"/>
        </w:rPr>
        <w:t> </w:t>
      </w:r>
      <w:r>
        <w:rPr>
          <w:color w:val="231F20"/>
          <w:w w:val="105"/>
          <w:sz w:val="18"/>
        </w:rPr>
        <w:t>Unidos</w:t>
      </w:r>
      <w:r>
        <w:rPr>
          <w:color w:val="231F20"/>
          <w:spacing w:val="-20"/>
          <w:w w:val="105"/>
          <w:sz w:val="18"/>
        </w:rPr>
        <w:t> </w:t>
      </w:r>
      <w:r>
        <w:rPr>
          <w:color w:val="231F20"/>
          <w:w w:val="105"/>
          <w:sz w:val="18"/>
        </w:rPr>
        <w:t>Mexicanos</w:t>
      </w:r>
      <w:r>
        <w:rPr>
          <w:color w:val="231F20"/>
          <w:spacing w:val="-20"/>
          <w:w w:val="105"/>
          <w:sz w:val="18"/>
        </w:rPr>
        <w:t> </w:t>
      </w:r>
      <w:r>
        <w:rPr>
          <w:color w:val="231F20"/>
          <w:w w:val="105"/>
          <w:sz w:val="18"/>
        </w:rPr>
        <w:t>así</w:t>
      </w:r>
      <w:r>
        <w:rPr>
          <w:color w:val="231F20"/>
          <w:spacing w:val="-20"/>
          <w:w w:val="105"/>
          <w:sz w:val="18"/>
        </w:rPr>
        <w:t> </w:t>
      </w:r>
      <w:r>
        <w:rPr>
          <w:color w:val="231F20"/>
          <w:w w:val="105"/>
          <w:sz w:val="18"/>
        </w:rPr>
        <w:t>como</w:t>
      </w:r>
      <w:r>
        <w:rPr>
          <w:color w:val="231F20"/>
          <w:spacing w:val="-20"/>
          <w:w w:val="105"/>
          <w:sz w:val="18"/>
        </w:rPr>
        <w:t> </w:t>
      </w:r>
      <w:r>
        <w:rPr>
          <w:color w:val="231F20"/>
          <w:w w:val="105"/>
          <w:sz w:val="18"/>
        </w:rPr>
        <w:t>en</w:t>
      </w:r>
      <w:r>
        <w:rPr>
          <w:color w:val="231F20"/>
          <w:spacing w:val="-20"/>
          <w:w w:val="105"/>
          <w:sz w:val="18"/>
        </w:rPr>
        <w:t> </w:t>
      </w:r>
      <w:r>
        <w:rPr>
          <w:color w:val="231F20"/>
          <w:w w:val="105"/>
          <w:sz w:val="18"/>
        </w:rPr>
        <w:t>los tratados</w:t>
      </w:r>
      <w:r>
        <w:rPr>
          <w:color w:val="231F20"/>
          <w:spacing w:val="-29"/>
          <w:w w:val="105"/>
          <w:sz w:val="18"/>
        </w:rPr>
        <w:t> </w:t>
      </w:r>
      <w:r>
        <w:rPr>
          <w:color w:val="231F20"/>
          <w:w w:val="105"/>
          <w:sz w:val="18"/>
        </w:rPr>
        <w:t>internacionales;</w:t>
      </w:r>
      <w:r>
        <w:rPr>
          <w:color w:val="231F20"/>
          <w:spacing w:val="-29"/>
          <w:w w:val="105"/>
          <w:sz w:val="18"/>
        </w:rPr>
        <w:t> </w:t>
      </w:r>
      <w:r>
        <w:rPr>
          <w:color w:val="231F20"/>
          <w:w w:val="105"/>
          <w:sz w:val="15"/>
        </w:rPr>
        <w:t>III</w:t>
      </w:r>
      <w:r>
        <w:rPr>
          <w:color w:val="231F20"/>
          <w:w w:val="105"/>
          <w:sz w:val="18"/>
        </w:rPr>
        <w:t>.</w:t>
      </w:r>
      <w:r>
        <w:rPr>
          <w:color w:val="231F20"/>
          <w:spacing w:val="-32"/>
          <w:w w:val="105"/>
          <w:sz w:val="18"/>
        </w:rPr>
        <w:t> </w:t>
      </w:r>
      <w:r>
        <w:rPr>
          <w:color w:val="231F20"/>
          <w:w w:val="105"/>
          <w:sz w:val="18"/>
        </w:rPr>
        <w:t>La</w:t>
      </w:r>
      <w:r>
        <w:rPr>
          <w:color w:val="231F20"/>
          <w:spacing w:val="-29"/>
          <w:w w:val="105"/>
          <w:sz w:val="18"/>
        </w:rPr>
        <w:t> </w:t>
      </w:r>
      <w:r>
        <w:rPr>
          <w:color w:val="231F20"/>
          <w:w w:val="105"/>
          <w:sz w:val="18"/>
        </w:rPr>
        <w:t>igualdad</w:t>
      </w:r>
      <w:r>
        <w:rPr>
          <w:color w:val="231F20"/>
          <w:spacing w:val="-29"/>
          <w:w w:val="105"/>
          <w:sz w:val="18"/>
        </w:rPr>
        <w:t> </w:t>
      </w:r>
      <w:r>
        <w:rPr>
          <w:color w:val="231F20"/>
          <w:w w:val="105"/>
          <w:sz w:val="18"/>
        </w:rPr>
        <w:t>sustantiva;</w:t>
      </w:r>
      <w:r>
        <w:rPr>
          <w:color w:val="231F20"/>
          <w:spacing w:val="-29"/>
          <w:w w:val="105"/>
          <w:sz w:val="18"/>
        </w:rPr>
        <w:t> </w:t>
      </w:r>
      <w:r>
        <w:rPr>
          <w:color w:val="231F20"/>
          <w:w w:val="105"/>
          <w:sz w:val="15"/>
        </w:rPr>
        <w:t>IV</w:t>
      </w:r>
      <w:r>
        <w:rPr>
          <w:color w:val="231F20"/>
          <w:w w:val="105"/>
          <w:sz w:val="18"/>
        </w:rPr>
        <w:t>.</w:t>
      </w:r>
      <w:r>
        <w:rPr>
          <w:color w:val="231F20"/>
          <w:spacing w:val="-32"/>
          <w:w w:val="105"/>
          <w:sz w:val="18"/>
        </w:rPr>
        <w:t> </w:t>
      </w:r>
      <w:r>
        <w:rPr>
          <w:color w:val="231F20"/>
          <w:w w:val="105"/>
          <w:sz w:val="18"/>
        </w:rPr>
        <w:t>La</w:t>
      </w:r>
      <w:r>
        <w:rPr>
          <w:color w:val="231F20"/>
          <w:spacing w:val="-29"/>
          <w:w w:val="105"/>
          <w:sz w:val="18"/>
        </w:rPr>
        <w:t> </w:t>
      </w:r>
      <w:r>
        <w:rPr>
          <w:color w:val="231F20"/>
          <w:w w:val="105"/>
          <w:sz w:val="18"/>
        </w:rPr>
        <w:t>no</w:t>
      </w:r>
      <w:r>
        <w:rPr>
          <w:color w:val="231F20"/>
          <w:spacing w:val="-29"/>
          <w:w w:val="105"/>
          <w:sz w:val="18"/>
        </w:rPr>
        <w:t> </w:t>
      </w:r>
      <w:r>
        <w:rPr>
          <w:color w:val="231F20"/>
          <w:w w:val="105"/>
          <w:sz w:val="18"/>
        </w:rPr>
        <w:t>discrimina- ción;</w:t>
      </w:r>
      <w:r>
        <w:rPr>
          <w:color w:val="231F20"/>
          <w:spacing w:val="-13"/>
          <w:w w:val="105"/>
          <w:sz w:val="18"/>
        </w:rPr>
        <w:t> </w:t>
      </w:r>
      <w:r>
        <w:rPr>
          <w:color w:val="231F20"/>
          <w:w w:val="105"/>
          <w:sz w:val="15"/>
        </w:rPr>
        <w:t>V</w:t>
      </w:r>
      <w:r>
        <w:rPr>
          <w:color w:val="231F20"/>
          <w:w w:val="105"/>
          <w:sz w:val="18"/>
        </w:rPr>
        <w:t>.</w:t>
      </w:r>
      <w:r>
        <w:rPr>
          <w:color w:val="231F20"/>
          <w:spacing w:val="-17"/>
          <w:w w:val="105"/>
          <w:sz w:val="18"/>
        </w:rPr>
        <w:t> </w:t>
      </w:r>
      <w:r>
        <w:rPr>
          <w:color w:val="231F20"/>
          <w:w w:val="105"/>
          <w:sz w:val="18"/>
        </w:rPr>
        <w:t>La</w:t>
      </w:r>
      <w:r>
        <w:rPr>
          <w:color w:val="231F20"/>
          <w:spacing w:val="-13"/>
          <w:w w:val="105"/>
          <w:sz w:val="18"/>
        </w:rPr>
        <w:t> </w:t>
      </w:r>
      <w:r>
        <w:rPr>
          <w:color w:val="231F20"/>
          <w:w w:val="105"/>
          <w:sz w:val="18"/>
        </w:rPr>
        <w:t>inclusión;</w:t>
      </w:r>
      <w:r>
        <w:rPr>
          <w:color w:val="231F20"/>
          <w:spacing w:val="-13"/>
          <w:w w:val="105"/>
          <w:sz w:val="18"/>
        </w:rPr>
        <w:t> </w:t>
      </w:r>
      <w:r>
        <w:rPr>
          <w:color w:val="231F20"/>
          <w:w w:val="105"/>
          <w:sz w:val="15"/>
        </w:rPr>
        <w:t>VI</w:t>
      </w:r>
      <w:r>
        <w:rPr>
          <w:color w:val="231F20"/>
          <w:w w:val="105"/>
          <w:sz w:val="18"/>
        </w:rPr>
        <w:t>.</w:t>
      </w:r>
      <w:r>
        <w:rPr>
          <w:color w:val="231F20"/>
          <w:spacing w:val="-17"/>
          <w:w w:val="105"/>
          <w:sz w:val="18"/>
        </w:rPr>
        <w:t> </w:t>
      </w:r>
      <w:r>
        <w:rPr>
          <w:color w:val="231F20"/>
          <w:w w:val="105"/>
          <w:sz w:val="18"/>
        </w:rPr>
        <w:t>El</w:t>
      </w:r>
      <w:r>
        <w:rPr>
          <w:color w:val="231F20"/>
          <w:spacing w:val="-13"/>
          <w:w w:val="105"/>
          <w:sz w:val="18"/>
        </w:rPr>
        <w:t> </w:t>
      </w:r>
      <w:r>
        <w:rPr>
          <w:color w:val="231F20"/>
          <w:w w:val="105"/>
          <w:sz w:val="18"/>
        </w:rPr>
        <w:t>derecho</w:t>
      </w:r>
      <w:r>
        <w:rPr>
          <w:color w:val="231F20"/>
          <w:spacing w:val="-13"/>
          <w:w w:val="105"/>
          <w:sz w:val="18"/>
        </w:rPr>
        <w:t> </w:t>
      </w:r>
      <w:r>
        <w:rPr>
          <w:color w:val="231F20"/>
          <w:w w:val="105"/>
          <w:sz w:val="18"/>
        </w:rPr>
        <w:t>a</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vida,</w:t>
      </w:r>
      <w:r>
        <w:rPr>
          <w:color w:val="231F20"/>
          <w:spacing w:val="-17"/>
          <w:w w:val="105"/>
          <w:sz w:val="18"/>
        </w:rPr>
        <w:t> </w:t>
      </w:r>
      <w:r>
        <w:rPr>
          <w:color w:val="231F20"/>
          <w:w w:val="105"/>
          <w:sz w:val="18"/>
        </w:rPr>
        <w:t>a</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supervivencia</w:t>
      </w:r>
      <w:r>
        <w:rPr>
          <w:color w:val="231F20"/>
          <w:spacing w:val="-13"/>
          <w:w w:val="105"/>
          <w:sz w:val="18"/>
        </w:rPr>
        <w:t> </w:t>
      </w:r>
      <w:r>
        <w:rPr>
          <w:color w:val="231F20"/>
          <w:w w:val="105"/>
          <w:sz w:val="18"/>
        </w:rPr>
        <w:t>y</w:t>
      </w:r>
      <w:r>
        <w:rPr>
          <w:color w:val="231F20"/>
          <w:spacing w:val="-13"/>
          <w:w w:val="105"/>
          <w:sz w:val="18"/>
        </w:rPr>
        <w:t> </w:t>
      </w:r>
      <w:r>
        <w:rPr>
          <w:color w:val="231F20"/>
          <w:w w:val="105"/>
          <w:sz w:val="18"/>
        </w:rPr>
        <w:t>al</w:t>
      </w:r>
      <w:r>
        <w:rPr>
          <w:color w:val="231F20"/>
          <w:spacing w:val="-13"/>
          <w:w w:val="105"/>
          <w:sz w:val="18"/>
        </w:rPr>
        <w:t> </w:t>
      </w:r>
      <w:r>
        <w:rPr>
          <w:color w:val="231F20"/>
          <w:w w:val="105"/>
          <w:sz w:val="18"/>
        </w:rPr>
        <w:t>de- sarrollo;</w:t>
      </w:r>
      <w:r>
        <w:rPr>
          <w:color w:val="231F20"/>
          <w:spacing w:val="-17"/>
          <w:w w:val="105"/>
          <w:sz w:val="18"/>
        </w:rPr>
        <w:t> </w:t>
      </w:r>
      <w:r>
        <w:rPr>
          <w:color w:val="231F20"/>
          <w:w w:val="105"/>
          <w:sz w:val="15"/>
        </w:rPr>
        <w:t>VII</w:t>
      </w:r>
      <w:r>
        <w:rPr>
          <w:color w:val="231F20"/>
          <w:w w:val="105"/>
          <w:sz w:val="18"/>
        </w:rPr>
        <w:t>.</w:t>
      </w:r>
      <w:r>
        <w:rPr>
          <w:color w:val="231F20"/>
          <w:spacing w:val="-20"/>
          <w:w w:val="105"/>
          <w:sz w:val="18"/>
        </w:rPr>
        <w:t> </w:t>
      </w:r>
      <w:r>
        <w:rPr>
          <w:color w:val="231F20"/>
          <w:w w:val="105"/>
          <w:sz w:val="18"/>
        </w:rPr>
        <w:t>La</w:t>
      </w:r>
      <w:r>
        <w:rPr>
          <w:color w:val="231F20"/>
          <w:spacing w:val="-17"/>
          <w:w w:val="105"/>
          <w:sz w:val="18"/>
        </w:rPr>
        <w:t> </w:t>
      </w:r>
      <w:r>
        <w:rPr>
          <w:color w:val="231F20"/>
          <w:w w:val="105"/>
          <w:sz w:val="18"/>
        </w:rPr>
        <w:t>participación;</w:t>
      </w:r>
      <w:r>
        <w:rPr>
          <w:color w:val="231F20"/>
          <w:spacing w:val="-17"/>
          <w:w w:val="105"/>
          <w:sz w:val="18"/>
        </w:rPr>
        <w:t> </w:t>
      </w:r>
      <w:r>
        <w:rPr>
          <w:color w:val="231F20"/>
          <w:w w:val="105"/>
          <w:sz w:val="15"/>
        </w:rPr>
        <w:t>VIII</w:t>
      </w:r>
      <w:r>
        <w:rPr>
          <w:color w:val="231F20"/>
          <w:w w:val="105"/>
          <w:sz w:val="18"/>
        </w:rPr>
        <w:t>.</w:t>
      </w:r>
      <w:r>
        <w:rPr>
          <w:color w:val="231F20"/>
          <w:spacing w:val="-20"/>
          <w:w w:val="105"/>
          <w:sz w:val="18"/>
        </w:rPr>
        <w:t> </w:t>
      </w:r>
      <w:r>
        <w:rPr>
          <w:color w:val="231F20"/>
          <w:w w:val="105"/>
          <w:sz w:val="18"/>
        </w:rPr>
        <w:t>La</w:t>
      </w:r>
      <w:r>
        <w:rPr>
          <w:color w:val="231F20"/>
          <w:spacing w:val="-17"/>
          <w:w w:val="105"/>
          <w:sz w:val="18"/>
        </w:rPr>
        <w:t> </w:t>
      </w:r>
      <w:r>
        <w:rPr>
          <w:color w:val="231F20"/>
          <w:w w:val="105"/>
          <w:sz w:val="18"/>
        </w:rPr>
        <w:t>interculturalidad;</w:t>
      </w:r>
      <w:r>
        <w:rPr>
          <w:color w:val="231F20"/>
          <w:spacing w:val="-17"/>
          <w:w w:val="105"/>
          <w:sz w:val="18"/>
        </w:rPr>
        <w:t> </w:t>
      </w:r>
      <w:r>
        <w:rPr>
          <w:color w:val="231F20"/>
          <w:w w:val="105"/>
          <w:sz w:val="15"/>
        </w:rPr>
        <w:t>IX</w:t>
      </w:r>
      <w:r>
        <w:rPr>
          <w:color w:val="231F20"/>
          <w:w w:val="105"/>
          <w:sz w:val="18"/>
        </w:rPr>
        <w:t>.</w:t>
      </w:r>
      <w:r>
        <w:rPr>
          <w:color w:val="231F20"/>
          <w:spacing w:val="-20"/>
          <w:w w:val="105"/>
          <w:sz w:val="18"/>
        </w:rPr>
        <w:t> </w:t>
      </w:r>
      <w:r>
        <w:rPr>
          <w:color w:val="231F20"/>
          <w:w w:val="105"/>
          <w:sz w:val="18"/>
        </w:rPr>
        <w:t>La</w:t>
      </w:r>
      <w:r>
        <w:rPr>
          <w:color w:val="231F20"/>
          <w:spacing w:val="-17"/>
          <w:w w:val="105"/>
          <w:sz w:val="18"/>
        </w:rPr>
        <w:t> </w:t>
      </w:r>
      <w:r>
        <w:rPr>
          <w:color w:val="231F20"/>
          <w:w w:val="105"/>
          <w:sz w:val="18"/>
        </w:rPr>
        <w:t>correspon- sabilidad</w:t>
      </w:r>
      <w:r>
        <w:rPr>
          <w:color w:val="231F20"/>
          <w:spacing w:val="-9"/>
          <w:w w:val="105"/>
          <w:sz w:val="18"/>
        </w:rPr>
        <w:t> </w:t>
      </w:r>
      <w:r>
        <w:rPr>
          <w:color w:val="231F20"/>
          <w:w w:val="105"/>
          <w:sz w:val="18"/>
        </w:rPr>
        <w:t>de</w:t>
      </w:r>
      <w:r>
        <w:rPr>
          <w:color w:val="231F20"/>
          <w:spacing w:val="-9"/>
          <w:w w:val="105"/>
          <w:sz w:val="18"/>
        </w:rPr>
        <w:t> </w:t>
      </w:r>
      <w:r>
        <w:rPr>
          <w:color w:val="231F20"/>
          <w:w w:val="105"/>
          <w:sz w:val="18"/>
        </w:rPr>
        <w:t>los</w:t>
      </w:r>
      <w:r>
        <w:rPr>
          <w:color w:val="231F20"/>
          <w:spacing w:val="-9"/>
          <w:w w:val="105"/>
          <w:sz w:val="18"/>
        </w:rPr>
        <w:t> </w:t>
      </w:r>
      <w:r>
        <w:rPr>
          <w:color w:val="231F20"/>
          <w:w w:val="105"/>
          <w:sz w:val="18"/>
        </w:rPr>
        <w:t>miembros</w:t>
      </w:r>
      <w:r>
        <w:rPr>
          <w:color w:val="231F20"/>
          <w:spacing w:val="-9"/>
          <w:w w:val="105"/>
          <w:sz w:val="18"/>
        </w:rPr>
        <w:t> </w:t>
      </w:r>
      <w:r>
        <w:rPr>
          <w:color w:val="231F20"/>
          <w:w w:val="105"/>
          <w:sz w:val="18"/>
        </w:rPr>
        <w:t>de</w:t>
      </w:r>
      <w:r>
        <w:rPr>
          <w:color w:val="231F20"/>
          <w:spacing w:val="-9"/>
          <w:w w:val="105"/>
          <w:sz w:val="18"/>
        </w:rPr>
        <w:t> </w:t>
      </w:r>
      <w:r>
        <w:rPr>
          <w:color w:val="231F20"/>
          <w:w w:val="105"/>
          <w:sz w:val="18"/>
        </w:rPr>
        <w:t>la</w:t>
      </w:r>
      <w:r>
        <w:rPr>
          <w:color w:val="231F20"/>
          <w:spacing w:val="-9"/>
          <w:w w:val="105"/>
          <w:sz w:val="18"/>
        </w:rPr>
        <w:t> </w:t>
      </w:r>
      <w:r>
        <w:rPr>
          <w:color w:val="231F20"/>
          <w:w w:val="105"/>
          <w:sz w:val="18"/>
        </w:rPr>
        <w:t>familia,</w:t>
      </w:r>
      <w:r>
        <w:rPr>
          <w:color w:val="231F20"/>
          <w:spacing w:val="-14"/>
          <w:w w:val="105"/>
          <w:sz w:val="18"/>
        </w:rPr>
        <w:t> </w:t>
      </w:r>
      <w:r>
        <w:rPr>
          <w:color w:val="231F20"/>
          <w:w w:val="105"/>
          <w:sz w:val="18"/>
        </w:rPr>
        <w:t>la</w:t>
      </w:r>
      <w:r>
        <w:rPr>
          <w:color w:val="231F20"/>
          <w:spacing w:val="-9"/>
          <w:w w:val="105"/>
          <w:sz w:val="18"/>
        </w:rPr>
        <w:t> </w:t>
      </w:r>
      <w:r>
        <w:rPr>
          <w:color w:val="231F20"/>
          <w:w w:val="105"/>
          <w:sz w:val="18"/>
        </w:rPr>
        <w:t>sociedad</w:t>
      </w:r>
      <w:r>
        <w:rPr>
          <w:color w:val="231F20"/>
          <w:spacing w:val="-9"/>
          <w:w w:val="105"/>
          <w:sz w:val="18"/>
        </w:rPr>
        <w:t> </w:t>
      </w:r>
      <w:r>
        <w:rPr>
          <w:color w:val="231F20"/>
          <w:w w:val="105"/>
          <w:sz w:val="18"/>
        </w:rPr>
        <w:t>y</w:t>
      </w:r>
      <w:r>
        <w:rPr>
          <w:color w:val="231F20"/>
          <w:spacing w:val="-9"/>
          <w:w w:val="105"/>
          <w:sz w:val="18"/>
        </w:rPr>
        <w:t> </w:t>
      </w:r>
      <w:r>
        <w:rPr>
          <w:color w:val="231F20"/>
          <w:w w:val="105"/>
          <w:sz w:val="18"/>
        </w:rPr>
        <w:t>las</w:t>
      </w:r>
      <w:r>
        <w:rPr>
          <w:color w:val="231F20"/>
          <w:spacing w:val="-9"/>
          <w:w w:val="105"/>
          <w:sz w:val="18"/>
        </w:rPr>
        <w:t> </w:t>
      </w:r>
      <w:r>
        <w:rPr>
          <w:color w:val="231F20"/>
          <w:w w:val="105"/>
          <w:sz w:val="18"/>
        </w:rPr>
        <w:t>autoridades;</w:t>
      </w:r>
    </w:p>
    <w:p>
      <w:pPr>
        <w:spacing w:line="254" w:lineRule="auto" w:before="0"/>
        <w:ind w:left="2971" w:right="1720" w:firstLine="0"/>
        <w:jc w:val="both"/>
        <w:rPr>
          <w:sz w:val="18"/>
        </w:rPr>
      </w:pPr>
      <w:r>
        <w:rPr>
          <w:color w:val="231F20"/>
          <w:sz w:val="15"/>
        </w:rPr>
        <w:t>X</w:t>
      </w:r>
      <w:r>
        <w:rPr>
          <w:color w:val="231F20"/>
          <w:sz w:val="18"/>
        </w:rPr>
        <w:t>. La transversalidad en la legislación, políticas públicas, actividades administrativas, económicas y culturales; </w:t>
      </w:r>
      <w:r>
        <w:rPr>
          <w:color w:val="231F20"/>
          <w:sz w:val="15"/>
        </w:rPr>
        <w:t>XI</w:t>
      </w:r>
      <w:r>
        <w:rPr>
          <w:color w:val="231F20"/>
          <w:sz w:val="18"/>
        </w:rPr>
        <w:t>. La autonomía   progresiva;</w:t>
      </w:r>
    </w:p>
    <w:p>
      <w:pPr>
        <w:spacing w:line="254" w:lineRule="auto" w:before="0"/>
        <w:ind w:left="2971" w:right="1715" w:firstLine="0"/>
        <w:jc w:val="both"/>
        <w:rPr>
          <w:sz w:val="18"/>
        </w:rPr>
      </w:pPr>
      <w:r>
        <w:rPr>
          <w:color w:val="231F20"/>
          <w:w w:val="105"/>
          <w:sz w:val="15"/>
        </w:rPr>
        <w:t>XII</w:t>
      </w:r>
      <w:r>
        <w:rPr>
          <w:color w:val="231F20"/>
          <w:w w:val="105"/>
          <w:sz w:val="18"/>
        </w:rPr>
        <w:t>.</w:t>
      </w:r>
      <w:r>
        <w:rPr>
          <w:color w:val="231F20"/>
          <w:spacing w:val="-21"/>
          <w:w w:val="105"/>
          <w:sz w:val="18"/>
        </w:rPr>
        <w:t> </w:t>
      </w:r>
      <w:r>
        <w:rPr>
          <w:color w:val="231F20"/>
          <w:w w:val="105"/>
          <w:sz w:val="18"/>
        </w:rPr>
        <w:t>El</w:t>
      </w:r>
      <w:r>
        <w:rPr>
          <w:color w:val="231F20"/>
          <w:spacing w:val="-17"/>
          <w:w w:val="105"/>
          <w:sz w:val="18"/>
        </w:rPr>
        <w:t> </w:t>
      </w:r>
      <w:r>
        <w:rPr>
          <w:color w:val="231F20"/>
          <w:w w:val="105"/>
          <w:sz w:val="18"/>
        </w:rPr>
        <w:t>principio</w:t>
      </w:r>
      <w:r>
        <w:rPr>
          <w:color w:val="231F20"/>
          <w:spacing w:val="-17"/>
          <w:w w:val="105"/>
          <w:sz w:val="18"/>
        </w:rPr>
        <w:t> </w:t>
      </w:r>
      <w:r>
        <w:rPr>
          <w:color w:val="231F20"/>
          <w:w w:val="105"/>
          <w:sz w:val="18"/>
        </w:rPr>
        <w:t>pro</w:t>
      </w:r>
      <w:r>
        <w:rPr>
          <w:color w:val="231F20"/>
          <w:spacing w:val="-17"/>
          <w:w w:val="105"/>
          <w:sz w:val="18"/>
        </w:rPr>
        <w:t> </w:t>
      </w:r>
      <w:r>
        <w:rPr>
          <w:color w:val="231F20"/>
          <w:w w:val="105"/>
          <w:sz w:val="18"/>
        </w:rPr>
        <w:t>persona;</w:t>
      </w:r>
      <w:r>
        <w:rPr>
          <w:color w:val="231F20"/>
          <w:spacing w:val="-17"/>
          <w:w w:val="105"/>
          <w:sz w:val="18"/>
        </w:rPr>
        <w:t> </w:t>
      </w:r>
      <w:r>
        <w:rPr>
          <w:color w:val="231F20"/>
          <w:w w:val="105"/>
          <w:sz w:val="15"/>
        </w:rPr>
        <w:t>XIII</w:t>
      </w:r>
      <w:r>
        <w:rPr>
          <w:color w:val="231F20"/>
          <w:w w:val="105"/>
          <w:sz w:val="18"/>
        </w:rPr>
        <w:t>.</w:t>
      </w:r>
      <w:r>
        <w:rPr>
          <w:color w:val="231F20"/>
          <w:spacing w:val="-21"/>
          <w:w w:val="105"/>
          <w:sz w:val="18"/>
        </w:rPr>
        <w:t> </w:t>
      </w:r>
      <w:r>
        <w:rPr>
          <w:color w:val="231F20"/>
          <w:w w:val="105"/>
          <w:sz w:val="18"/>
        </w:rPr>
        <w:t>El</w:t>
      </w:r>
      <w:r>
        <w:rPr>
          <w:color w:val="231F20"/>
          <w:spacing w:val="-17"/>
          <w:w w:val="105"/>
          <w:sz w:val="18"/>
        </w:rPr>
        <w:t> </w:t>
      </w:r>
      <w:r>
        <w:rPr>
          <w:color w:val="231F20"/>
          <w:w w:val="105"/>
          <w:sz w:val="18"/>
        </w:rPr>
        <w:t>acceso</w:t>
      </w:r>
      <w:r>
        <w:rPr>
          <w:color w:val="231F20"/>
          <w:spacing w:val="-17"/>
          <w:w w:val="105"/>
          <w:sz w:val="18"/>
        </w:rPr>
        <w:t> </w:t>
      </w:r>
      <w:r>
        <w:rPr>
          <w:color w:val="231F20"/>
          <w:w w:val="105"/>
          <w:sz w:val="18"/>
        </w:rPr>
        <w:t>a</w:t>
      </w:r>
      <w:r>
        <w:rPr>
          <w:color w:val="231F20"/>
          <w:spacing w:val="-17"/>
          <w:w w:val="105"/>
          <w:sz w:val="18"/>
        </w:rPr>
        <w:t> </w:t>
      </w:r>
      <w:r>
        <w:rPr>
          <w:color w:val="231F20"/>
          <w:w w:val="105"/>
          <w:sz w:val="18"/>
        </w:rPr>
        <w:t>una</w:t>
      </w:r>
      <w:r>
        <w:rPr>
          <w:color w:val="231F20"/>
          <w:spacing w:val="-17"/>
          <w:w w:val="105"/>
          <w:sz w:val="18"/>
        </w:rPr>
        <w:t> </w:t>
      </w:r>
      <w:r>
        <w:rPr>
          <w:color w:val="231F20"/>
          <w:w w:val="105"/>
          <w:sz w:val="18"/>
        </w:rPr>
        <w:t>vida</w:t>
      </w:r>
      <w:r>
        <w:rPr>
          <w:color w:val="231F20"/>
          <w:spacing w:val="-17"/>
          <w:w w:val="105"/>
          <w:sz w:val="18"/>
        </w:rPr>
        <w:t> </w:t>
      </w:r>
      <w:r>
        <w:rPr>
          <w:color w:val="231F20"/>
          <w:w w:val="105"/>
          <w:sz w:val="18"/>
        </w:rPr>
        <w:t>libre</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violencia, y</w:t>
      </w:r>
      <w:r>
        <w:rPr>
          <w:color w:val="231F20"/>
          <w:spacing w:val="-29"/>
          <w:w w:val="105"/>
          <w:sz w:val="18"/>
        </w:rPr>
        <w:t> </w:t>
      </w:r>
      <w:r>
        <w:rPr>
          <w:color w:val="231F20"/>
          <w:w w:val="105"/>
          <w:sz w:val="15"/>
        </w:rPr>
        <w:t>XIV</w:t>
      </w:r>
      <w:r>
        <w:rPr>
          <w:color w:val="231F20"/>
          <w:w w:val="105"/>
          <w:sz w:val="18"/>
        </w:rPr>
        <w:t>.</w:t>
      </w:r>
      <w:r>
        <w:rPr>
          <w:color w:val="231F20"/>
          <w:spacing w:val="-32"/>
          <w:w w:val="105"/>
          <w:sz w:val="18"/>
        </w:rPr>
        <w:t> </w:t>
      </w:r>
      <w:r>
        <w:rPr>
          <w:color w:val="231F20"/>
          <w:w w:val="105"/>
          <w:sz w:val="18"/>
        </w:rPr>
        <w:t>La</w:t>
      </w:r>
      <w:r>
        <w:rPr>
          <w:color w:val="231F20"/>
          <w:spacing w:val="-29"/>
          <w:w w:val="105"/>
          <w:sz w:val="18"/>
        </w:rPr>
        <w:t> </w:t>
      </w:r>
      <w:r>
        <w:rPr>
          <w:color w:val="231F20"/>
          <w:w w:val="105"/>
          <w:sz w:val="18"/>
        </w:rPr>
        <w:t>accesibilidad.</w:t>
      </w:r>
    </w:p>
    <w:p>
      <w:pPr>
        <w:pStyle w:val="BodyText"/>
        <w:spacing w:before="5"/>
      </w:pPr>
    </w:p>
    <w:p>
      <w:pPr>
        <w:pStyle w:val="BodyText"/>
        <w:spacing w:line="261" w:lineRule="auto"/>
        <w:ind w:left="1837" w:right="1721"/>
        <w:jc w:val="both"/>
      </w:pP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mundo</w:t>
      </w:r>
      <w:r>
        <w:rPr>
          <w:color w:val="231F20"/>
          <w:spacing w:val="-11"/>
          <w:w w:val="105"/>
        </w:rPr>
        <w:t> </w:t>
      </w:r>
      <w:r>
        <w:rPr>
          <w:color w:val="231F20"/>
          <w:w w:val="105"/>
        </w:rPr>
        <w:t>jurídico,</w:t>
      </w:r>
      <w:r>
        <w:rPr>
          <w:color w:val="231F20"/>
          <w:spacing w:val="-17"/>
          <w:w w:val="105"/>
        </w:rPr>
        <w:t> </w:t>
      </w:r>
      <w:r>
        <w:rPr>
          <w:color w:val="231F20"/>
          <w:w w:val="105"/>
        </w:rPr>
        <w:t>un</w:t>
      </w:r>
      <w:r>
        <w:rPr>
          <w:color w:val="231F20"/>
          <w:spacing w:val="-11"/>
          <w:w w:val="105"/>
        </w:rPr>
        <w:t> </w:t>
      </w:r>
      <w:r>
        <w:rPr>
          <w:color w:val="231F20"/>
          <w:w w:val="105"/>
        </w:rPr>
        <w:t>principio</w:t>
      </w:r>
      <w:r>
        <w:rPr>
          <w:color w:val="231F20"/>
          <w:spacing w:val="-11"/>
          <w:w w:val="105"/>
        </w:rPr>
        <w:t> </w:t>
      </w:r>
      <w:r>
        <w:rPr>
          <w:color w:val="231F20"/>
          <w:w w:val="105"/>
        </w:rPr>
        <w:t>es</w:t>
      </w:r>
      <w:r>
        <w:rPr>
          <w:color w:val="231F20"/>
          <w:spacing w:val="-11"/>
          <w:w w:val="105"/>
        </w:rPr>
        <w:t> </w:t>
      </w:r>
      <w:r>
        <w:rPr>
          <w:color w:val="231F20"/>
          <w:w w:val="105"/>
        </w:rPr>
        <w:t>una</w:t>
      </w:r>
      <w:r>
        <w:rPr>
          <w:color w:val="231F20"/>
          <w:spacing w:val="-11"/>
          <w:w w:val="105"/>
        </w:rPr>
        <w:t> </w:t>
      </w:r>
      <w:r>
        <w:rPr>
          <w:color w:val="231F20"/>
          <w:w w:val="105"/>
        </w:rPr>
        <w:t>herramienta</w:t>
      </w:r>
      <w:r>
        <w:rPr>
          <w:color w:val="231F20"/>
          <w:spacing w:val="-11"/>
          <w:w w:val="105"/>
        </w:rPr>
        <w:t> </w:t>
      </w:r>
      <w:r>
        <w:rPr>
          <w:color w:val="231F20"/>
          <w:w w:val="105"/>
        </w:rPr>
        <w:t>que</w:t>
      </w:r>
      <w:r>
        <w:rPr>
          <w:color w:val="231F20"/>
          <w:spacing w:val="-11"/>
          <w:w w:val="105"/>
        </w:rPr>
        <w:t> </w:t>
      </w:r>
      <w:r>
        <w:rPr>
          <w:color w:val="231F20"/>
          <w:w w:val="105"/>
        </w:rPr>
        <w:t>permite</w:t>
      </w:r>
      <w:r>
        <w:rPr>
          <w:color w:val="231F20"/>
          <w:spacing w:val="-11"/>
          <w:w w:val="105"/>
        </w:rPr>
        <w:t> </w:t>
      </w:r>
      <w:r>
        <w:rPr>
          <w:color w:val="231F20"/>
          <w:w w:val="105"/>
        </w:rPr>
        <w:t>resol- ver</w:t>
      </w:r>
      <w:r>
        <w:rPr>
          <w:color w:val="231F20"/>
          <w:spacing w:val="-15"/>
          <w:w w:val="105"/>
        </w:rPr>
        <w:t> </w:t>
      </w:r>
      <w:r>
        <w:rPr>
          <w:color w:val="231F20"/>
          <w:w w:val="105"/>
        </w:rPr>
        <w:t>conflictos</w:t>
      </w:r>
      <w:r>
        <w:rPr>
          <w:color w:val="231F20"/>
          <w:spacing w:val="-15"/>
          <w:w w:val="105"/>
        </w:rPr>
        <w:t> </w:t>
      </w:r>
      <w:r>
        <w:rPr>
          <w:color w:val="231F20"/>
          <w:w w:val="105"/>
        </w:rPr>
        <w:t>entre</w:t>
      </w:r>
      <w:r>
        <w:rPr>
          <w:color w:val="231F20"/>
          <w:spacing w:val="-15"/>
          <w:w w:val="105"/>
        </w:rPr>
        <w:t> </w:t>
      </w:r>
      <w:r>
        <w:rPr>
          <w:color w:val="231F20"/>
          <w:w w:val="105"/>
        </w:rPr>
        <w:t>normas,</w:t>
      </w:r>
      <w:r>
        <w:rPr>
          <w:color w:val="231F20"/>
          <w:spacing w:val="-20"/>
          <w:w w:val="105"/>
        </w:rPr>
        <w:t> </w:t>
      </w:r>
      <w:r>
        <w:rPr>
          <w:color w:val="231F20"/>
          <w:w w:val="105"/>
        </w:rPr>
        <w:t>colmar</w:t>
      </w:r>
      <w:r>
        <w:rPr>
          <w:color w:val="231F20"/>
          <w:spacing w:val="-15"/>
          <w:w w:val="105"/>
        </w:rPr>
        <w:t> </w:t>
      </w:r>
      <w:r>
        <w:rPr>
          <w:color w:val="231F20"/>
          <w:w w:val="105"/>
        </w:rPr>
        <w:t>lagunas</w:t>
      </w:r>
      <w:r>
        <w:rPr>
          <w:color w:val="231F20"/>
          <w:spacing w:val="-15"/>
          <w:w w:val="105"/>
        </w:rPr>
        <w:t> </w:t>
      </w:r>
      <w:r>
        <w:rPr>
          <w:color w:val="231F20"/>
          <w:w w:val="105"/>
        </w:rPr>
        <w:t>que</w:t>
      </w:r>
      <w:r>
        <w:rPr>
          <w:color w:val="231F20"/>
          <w:spacing w:val="-15"/>
          <w:w w:val="105"/>
        </w:rPr>
        <w:t> </w:t>
      </w:r>
      <w:r>
        <w:rPr>
          <w:color w:val="231F20"/>
          <w:w w:val="105"/>
        </w:rPr>
        <w:t>éstas</w:t>
      </w:r>
      <w:r>
        <w:rPr>
          <w:color w:val="231F20"/>
          <w:spacing w:val="-15"/>
          <w:w w:val="105"/>
        </w:rPr>
        <w:t> </w:t>
      </w:r>
      <w:r>
        <w:rPr>
          <w:color w:val="231F20"/>
          <w:w w:val="105"/>
        </w:rPr>
        <w:t>puedan</w:t>
      </w:r>
      <w:r>
        <w:rPr>
          <w:color w:val="231F20"/>
          <w:spacing w:val="-15"/>
          <w:w w:val="105"/>
        </w:rPr>
        <w:t> </w:t>
      </w:r>
      <w:r>
        <w:rPr>
          <w:color w:val="231F20"/>
          <w:w w:val="105"/>
        </w:rPr>
        <w:t>presentar e</w:t>
      </w:r>
      <w:r>
        <w:rPr>
          <w:color w:val="231F20"/>
          <w:spacing w:val="-14"/>
          <w:w w:val="105"/>
        </w:rPr>
        <w:t> </w:t>
      </w:r>
      <w:r>
        <w:rPr>
          <w:color w:val="231F20"/>
          <w:w w:val="105"/>
        </w:rPr>
        <w:t>incluso</w:t>
      </w:r>
      <w:r>
        <w:rPr>
          <w:color w:val="231F20"/>
          <w:spacing w:val="-14"/>
          <w:w w:val="105"/>
        </w:rPr>
        <w:t> </w:t>
      </w:r>
      <w:r>
        <w:rPr>
          <w:color w:val="231F20"/>
          <w:w w:val="105"/>
        </w:rPr>
        <w:t>aplicarse</w:t>
      </w:r>
      <w:r>
        <w:rPr>
          <w:color w:val="231F20"/>
          <w:spacing w:val="-14"/>
          <w:w w:val="105"/>
        </w:rPr>
        <w:t> </w:t>
      </w:r>
      <w:r>
        <w:rPr>
          <w:color w:val="231F20"/>
          <w:w w:val="105"/>
        </w:rPr>
        <w:t>directamente</w:t>
      </w:r>
      <w:r>
        <w:rPr>
          <w:color w:val="231F20"/>
          <w:spacing w:val="-14"/>
          <w:w w:val="105"/>
        </w:rPr>
        <w:t> </w:t>
      </w:r>
      <w:r>
        <w:rPr>
          <w:color w:val="231F20"/>
          <w:w w:val="105"/>
        </w:rPr>
        <w:t>a</w:t>
      </w:r>
      <w:r>
        <w:rPr>
          <w:color w:val="231F20"/>
          <w:spacing w:val="-14"/>
          <w:w w:val="105"/>
        </w:rPr>
        <w:t> </w:t>
      </w:r>
      <w:r>
        <w:rPr>
          <w:color w:val="231F20"/>
          <w:w w:val="105"/>
        </w:rPr>
        <w:t>falta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anteriores.</w:t>
      </w:r>
      <w:r>
        <w:rPr>
          <w:color w:val="231F20"/>
          <w:spacing w:val="-19"/>
          <w:w w:val="105"/>
        </w:rPr>
        <w:t> </w:t>
      </w:r>
      <w:r>
        <w:rPr>
          <w:color w:val="231F20"/>
          <w:spacing w:val="-6"/>
          <w:w w:val="105"/>
        </w:rPr>
        <w:t>Por</w:t>
      </w:r>
      <w:r>
        <w:rPr>
          <w:color w:val="231F20"/>
          <w:spacing w:val="-14"/>
          <w:w w:val="105"/>
        </w:rPr>
        <w:t> </w:t>
      </w:r>
      <w:r>
        <w:rPr>
          <w:color w:val="231F20"/>
          <w:w w:val="105"/>
        </w:rPr>
        <w:t>ejemplo,</w:t>
      </w:r>
      <w:r>
        <w:rPr>
          <w:color w:val="231F20"/>
          <w:spacing w:val="-19"/>
          <w:w w:val="105"/>
        </w:rPr>
        <w:t> </w:t>
      </w:r>
      <w:r>
        <w:rPr>
          <w:color w:val="231F20"/>
          <w:w w:val="105"/>
        </w:rPr>
        <w:t>el principio</w:t>
      </w:r>
      <w:r>
        <w:rPr>
          <w:color w:val="231F20"/>
          <w:spacing w:val="-9"/>
          <w:w w:val="105"/>
        </w:rPr>
        <w:t> </w:t>
      </w:r>
      <w:r>
        <w:rPr>
          <w:color w:val="231F20"/>
          <w:w w:val="105"/>
        </w:rPr>
        <w:t>pro</w:t>
      </w:r>
      <w:r>
        <w:rPr>
          <w:color w:val="231F20"/>
          <w:spacing w:val="-9"/>
          <w:w w:val="105"/>
        </w:rPr>
        <w:t> </w:t>
      </w:r>
      <w:r>
        <w:rPr>
          <w:color w:val="231F20"/>
          <w:w w:val="105"/>
        </w:rPr>
        <w:t>persona</w:t>
      </w:r>
      <w:r>
        <w:rPr>
          <w:color w:val="231F20"/>
          <w:spacing w:val="-9"/>
          <w:w w:val="105"/>
        </w:rPr>
        <w:t> </w:t>
      </w:r>
      <w:r>
        <w:rPr>
          <w:color w:val="231F20"/>
          <w:w w:val="105"/>
        </w:rPr>
        <w:t>implica</w:t>
      </w:r>
      <w:r>
        <w:rPr>
          <w:color w:val="231F20"/>
          <w:spacing w:val="-9"/>
          <w:w w:val="105"/>
        </w:rPr>
        <w:t> </w:t>
      </w:r>
      <w:r>
        <w:rPr>
          <w:color w:val="231F20"/>
          <w:w w:val="105"/>
        </w:rPr>
        <w:t>que</w:t>
      </w:r>
      <w:r>
        <w:rPr>
          <w:color w:val="231F20"/>
          <w:spacing w:val="-9"/>
          <w:w w:val="105"/>
        </w:rPr>
        <w:t> </w:t>
      </w:r>
      <w:r>
        <w:rPr>
          <w:color w:val="231F20"/>
          <w:w w:val="105"/>
        </w:rPr>
        <w:t>en</w:t>
      </w:r>
      <w:r>
        <w:rPr>
          <w:color w:val="231F20"/>
          <w:spacing w:val="-9"/>
          <w:w w:val="105"/>
        </w:rPr>
        <w:t> </w:t>
      </w:r>
      <w:r>
        <w:rPr>
          <w:color w:val="231F20"/>
          <w:w w:val="105"/>
        </w:rPr>
        <w:t>caso</w:t>
      </w:r>
      <w:r>
        <w:rPr>
          <w:color w:val="231F20"/>
          <w:spacing w:val="-9"/>
          <w:w w:val="105"/>
        </w:rPr>
        <w:t> </w:t>
      </w:r>
      <w:r>
        <w:rPr>
          <w:color w:val="231F20"/>
          <w:w w:val="105"/>
        </w:rPr>
        <w:t>existir</w:t>
      </w:r>
      <w:r>
        <w:rPr>
          <w:color w:val="231F20"/>
          <w:spacing w:val="-9"/>
          <w:w w:val="105"/>
        </w:rPr>
        <w:t> </w:t>
      </w:r>
      <w:r>
        <w:rPr>
          <w:color w:val="231F20"/>
          <w:w w:val="105"/>
        </w:rPr>
        <w:t>varias</w:t>
      </w:r>
      <w:r>
        <w:rPr>
          <w:color w:val="231F20"/>
          <w:spacing w:val="-9"/>
          <w:w w:val="105"/>
        </w:rPr>
        <w:t> </w:t>
      </w:r>
      <w:r>
        <w:rPr>
          <w:color w:val="231F20"/>
          <w:w w:val="105"/>
        </w:rPr>
        <w:t>posibilidades</w:t>
      </w:r>
      <w:r>
        <w:rPr>
          <w:color w:val="231F20"/>
          <w:spacing w:val="-9"/>
          <w:w w:val="105"/>
        </w:rPr>
        <w:t> </w:t>
      </w:r>
      <w:r>
        <w:rPr>
          <w:color w:val="231F20"/>
          <w:w w:val="105"/>
        </w:rPr>
        <w:t>de solución a un mismo problema debe optarse por la norma que protege los</w:t>
      </w:r>
      <w:r>
        <w:rPr>
          <w:color w:val="231F20"/>
          <w:spacing w:val="-35"/>
          <w:w w:val="105"/>
        </w:rPr>
        <w:t> </w:t>
      </w:r>
      <w:r>
        <w:rPr>
          <w:color w:val="231F20"/>
          <w:w w:val="105"/>
        </w:rPr>
        <w:t>derechos</w:t>
      </w:r>
      <w:r>
        <w:rPr>
          <w:color w:val="231F20"/>
          <w:spacing w:val="-35"/>
          <w:w w:val="105"/>
        </w:rPr>
        <w:t> </w:t>
      </w:r>
      <w:r>
        <w:rPr>
          <w:color w:val="231F20"/>
          <w:w w:val="105"/>
        </w:rPr>
        <w:t>en</w:t>
      </w:r>
      <w:r>
        <w:rPr>
          <w:color w:val="231F20"/>
          <w:spacing w:val="-35"/>
          <w:w w:val="105"/>
        </w:rPr>
        <w:t> </w:t>
      </w:r>
      <w:r>
        <w:rPr>
          <w:color w:val="231F20"/>
          <w:w w:val="105"/>
        </w:rPr>
        <w:t>términos</w:t>
      </w:r>
      <w:r>
        <w:rPr>
          <w:color w:val="231F20"/>
          <w:spacing w:val="-35"/>
          <w:w w:val="105"/>
        </w:rPr>
        <w:t> </w:t>
      </w:r>
      <w:r>
        <w:rPr>
          <w:color w:val="231F20"/>
          <w:w w:val="105"/>
        </w:rPr>
        <w:t>más</w:t>
      </w:r>
      <w:r>
        <w:rPr>
          <w:color w:val="231F20"/>
          <w:spacing w:val="-35"/>
          <w:w w:val="105"/>
        </w:rPr>
        <w:t> </w:t>
      </w:r>
      <w:r>
        <w:rPr>
          <w:color w:val="231F20"/>
          <w:w w:val="105"/>
        </w:rPr>
        <w:t>amplios</w:t>
      </w:r>
      <w:r>
        <w:rPr>
          <w:color w:val="231F20"/>
          <w:spacing w:val="-35"/>
          <w:w w:val="105"/>
        </w:rPr>
        <w:t> </w:t>
      </w:r>
      <w:r>
        <w:rPr>
          <w:color w:val="231F20"/>
          <w:w w:val="105"/>
        </w:rPr>
        <w:t>(</w:t>
      </w:r>
      <w:r>
        <w:rPr>
          <w:color w:val="231F20"/>
          <w:w w:val="105"/>
          <w:sz w:val="17"/>
        </w:rPr>
        <w:t>SCJN</w:t>
      </w:r>
      <w:r>
        <w:rPr>
          <w:color w:val="231F20"/>
          <w:w w:val="105"/>
        </w:rPr>
        <w:t>,</w:t>
      </w:r>
      <w:r>
        <w:rPr>
          <w:color w:val="231F20"/>
          <w:spacing w:val="-38"/>
          <w:w w:val="105"/>
        </w:rPr>
        <w:t> </w:t>
      </w:r>
      <w:r>
        <w:rPr>
          <w:color w:val="231F20"/>
          <w:w w:val="105"/>
        </w:rPr>
        <w:t>2012:</w:t>
      </w:r>
      <w:r>
        <w:rPr>
          <w:color w:val="231F20"/>
          <w:spacing w:val="-35"/>
          <w:w w:val="105"/>
        </w:rPr>
        <w:t> </w:t>
      </w:r>
      <w:r>
        <w:rPr>
          <w:color w:val="231F20"/>
          <w:w w:val="105"/>
        </w:rPr>
        <w:t>1ª.</w:t>
      </w:r>
      <w:r>
        <w:rPr>
          <w:color w:val="231F20"/>
          <w:spacing w:val="-38"/>
          <w:w w:val="105"/>
        </w:rPr>
        <w:t> </w:t>
      </w:r>
      <w:r>
        <w:rPr>
          <w:color w:val="231F20"/>
          <w:w w:val="105"/>
          <w:sz w:val="17"/>
        </w:rPr>
        <w:t>XXVI</w:t>
      </w:r>
      <w:r>
        <w:rPr>
          <w:color w:val="231F20"/>
          <w:w w:val="105"/>
        </w:rPr>
        <w:t>/2012).</w:t>
      </w:r>
      <w:r>
        <w:rPr>
          <w:color w:val="231F20"/>
          <w:spacing w:val="-38"/>
          <w:w w:val="105"/>
        </w:rPr>
        <w:t> </w:t>
      </w:r>
      <w:r>
        <w:rPr>
          <w:color w:val="231F20"/>
          <w:w w:val="105"/>
        </w:rPr>
        <w:t>En</w:t>
      </w:r>
      <w:r>
        <w:rPr>
          <w:color w:val="231F20"/>
          <w:spacing w:val="-35"/>
          <w:w w:val="105"/>
        </w:rPr>
        <w:t> </w:t>
      </w:r>
      <w:r>
        <w:rPr>
          <w:color w:val="231F20"/>
          <w:w w:val="105"/>
        </w:rPr>
        <w:t>este caso, los derechos de los menores han de tenerse en cuenta antes de otros</w:t>
      </w:r>
      <w:r>
        <w:rPr>
          <w:color w:val="231F20"/>
          <w:spacing w:val="-27"/>
          <w:w w:val="105"/>
        </w:rPr>
        <w:t> </w:t>
      </w:r>
      <w:r>
        <w:rPr>
          <w:color w:val="231F20"/>
          <w:w w:val="105"/>
        </w:rPr>
        <w:t>factores.</w:t>
      </w:r>
      <w:r>
        <w:rPr>
          <w:color w:val="231F20"/>
          <w:spacing w:val="-32"/>
          <w:w w:val="105"/>
        </w:rPr>
        <w:t> </w:t>
      </w:r>
      <w:r>
        <w:rPr>
          <w:color w:val="231F20"/>
          <w:w w:val="105"/>
        </w:rPr>
        <w:t>En</w:t>
      </w:r>
      <w:r>
        <w:rPr>
          <w:color w:val="231F20"/>
          <w:spacing w:val="-27"/>
          <w:w w:val="105"/>
        </w:rPr>
        <w:t> </w:t>
      </w:r>
      <w:r>
        <w:rPr>
          <w:color w:val="231F20"/>
          <w:w w:val="105"/>
        </w:rPr>
        <w:t>lo</w:t>
      </w:r>
      <w:r>
        <w:rPr>
          <w:color w:val="231F20"/>
          <w:spacing w:val="-27"/>
          <w:w w:val="105"/>
        </w:rPr>
        <w:t> </w:t>
      </w:r>
      <w:r>
        <w:rPr>
          <w:color w:val="231F20"/>
          <w:w w:val="105"/>
        </w:rPr>
        <w:t>que</w:t>
      </w:r>
      <w:r>
        <w:rPr>
          <w:color w:val="231F20"/>
          <w:spacing w:val="-27"/>
          <w:w w:val="105"/>
        </w:rPr>
        <w:t> </w:t>
      </w:r>
      <w:r>
        <w:rPr>
          <w:color w:val="231F20"/>
          <w:w w:val="105"/>
        </w:rPr>
        <w:t>respecta</w:t>
      </w:r>
      <w:r>
        <w:rPr>
          <w:color w:val="231F20"/>
          <w:spacing w:val="-27"/>
          <w:w w:val="105"/>
        </w:rPr>
        <w:t> </w:t>
      </w:r>
      <w:r>
        <w:rPr>
          <w:color w:val="231F20"/>
          <w:w w:val="105"/>
        </w:rPr>
        <w:t>a</w:t>
      </w:r>
      <w:r>
        <w:rPr>
          <w:color w:val="231F20"/>
          <w:spacing w:val="-27"/>
          <w:w w:val="105"/>
        </w:rPr>
        <w:t> </w:t>
      </w:r>
      <w:r>
        <w:rPr>
          <w:color w:val="231F20"/>
          <w:w w:val="105"/>
        </w:rPr>
        <w:t>los</w:t>
      </w:r>
      <w:r>
        <w:rPr>
          <w:color w:val="231F20"/>
          <w:spacing w:val="-27"/>
          <w:w w:val="105"/>
        </w:rPr>
        <w:t> </w:t>
      </w:r>
      <w:r>
        <w:rPr>
          <w:color w:val="231F20"/>
          <w:w w:val="105"/>
        </w:rPr>
        <w:t>derechos</w:t>
      </w:r>
      <w:r>
        <w:rPr>
          <w:color w:val="231F20"/>
          <w:spacing w:val="-27"/>
          <w:w w:val="105"/>
        </w:rPr>
        <w:t> </w:t>
      </w:r>
      <w:r>
        <w:rPr>
          <w:color w:val="231F20"/>
          <w:w w:val="105"/>
        </w:rPr>
        <w:t>de</w:t>
      </w:r>
      <w:r>
        <w:rPr>
          <w:color w:val="231F20"/>
          <w:spacing w:val="-27"/>
          <w:w w:val="105"/>
        </w:rPr>
        <w:t> </w:t>
      </w:r>
      <w:r>
        <w:rPr>
          <w:color w:val="231F20"/>
          <w:w w:val="105"/>
        </w:rPr>
        <w:t>niñas,</w:t>
      </w:r>
      <w:r>
        <w:rPr>
          <w:color w:val="231F20"/>
          <w:spacing w:val="-32"/>
          <w:w w:val="105"/>
        </w:rPr>
        <w:t> </w:t>
      </w:r>
      <w:r>
        <w:rPr>
          <w:color w:val="231F20"/>
          <w:w w:val="105"/>
        </w:rPr>
        <w:t>niños</w:t>
      </w:r>
      <w:r>
        <w:rPr>
          <w:color w:val="231F20"/>
          <w:spacing w:val="-27"/>
          <w:w w:val="105"/>
        </w:rPr>
        <w:t> </w:t>
      </w:r>
      <w:r>
        <w:rPr>
          <w:color w:val="231F20"/>
          <w:w w:val="105"/>
        </w:rPr>
        <w:t>y</w:t>
      </w:r>
      <w:r>
        <w:rPr>
          <w:color w:val="231F20"/>
          <w:spacing w:val="-27"/>
          <w:w w:val="105"/>
        </w:rPr>
        <w:t> </w:t>
      </w:r>
      <w:r>
        <w:rPr>
          <w:color w:val="231F20"/>
          <w:w w:val="105"/>
        </w:rPr>
        <w:t>adoles- centes,</w:t>
      </w:r>
      <w:r>
        <w:rPr>
          <w:color w:val="231F20"/>
          <w:spacing w:val="-27"/>
          <w:w w:val="105"/>
        </w:rPr>
        <w:t> </w:t>
      </w:r>
      <w:r>
        <w:rPr>
          <w:color w:val="231F20"/>
          <w:w w:val="105"/>
        </w:rPr>
        <w:t>la</w:t>
      </w:r>
      <w:r>
        <w:rPr>
          <w:color w:val="231F20"/>
          <w:spacing w:val="-23"/>
          <w:w w:val="105"/>
        </w:rPr>
        <w:t> </w:t>
      </w:r>
      <w:r>
        <w:rPr>
          <w:color w:val="231F20"/>
          <w:w w:val="105"/>
        </w:rPr>
        <w:t>ley</w:t>
      </w:r>
      <w:r>
        <w:rPr>
          <w:color w:val="231F20"/>
          <w:spacing w:val="-23"/>
          <w:w w:val="105"/>
        </w:rPr>
        <w:t> </w:t>
      </w:r>
      <w:r>
        <w:rPr>
          <w:color w:val="231F20"/>
          <w:w w:val="105"/>
        </w:rPr>
        <w:t>los</w:t>
      </w:r>
      <w:r>
        <w:rPr>
          <w:color w:val="231F20"/>
          <w:spacing w:val="-23"/>
          <w:w w:val="105"/>
        </w:rPr>
        <w:t> </w:t>
      </w:r>
      <w:r>
        <w:rPr>
          <w:color w:val="231F20"/>
          <w:w w:val="105"/>
        </w:rPr>
        <w:t>enuncia</w:t>
      </w:r>
      <w:r>
        <w:rPr>
          <w:color w:val="231F20"/>
          <w:spacing w:val="-23"/>
          <w:w w:val="105"/>
        </w:rPr>
        <w:t> </w:t>
      </w:r>
      <w:r>
        <w:rPr>
          <w:color w:val="231F20"/>
          <w:w w:val="105"/>
        </w:rPr>
        <w:t>en</w:t>
      </w:r>
      <w:r>
        <w:rPr>
          <w:color w:val="231F20"/>
          <w:spacing w:val="-23"/>
          <w:w w:val="105"/>
        </w:rPr>
        <w:t> </w:t>
      </w:r>
      <w:r>
        <w:rPr>
          <w:color w:val="231F20"/>
          <w:w w:val="105"/>
        </w:rPr>
        <w:t>su</w:t>
      </w:r>
      <w:r>
        <w:rPr>
          <w:color w:val="231F20"/>
          <w:spacing w:val="-23"/>
          <w:w w:val="105"/>
        </w:rPr>
        <w:t> </w:t>
      </w:r>
      <w:r>
        <w:rPr>
          <w:color w:val="231F20"/>
          <w:w w:val="105"/>
        </w:rPr>
        <w:t>artículo</w:t>
      </w:r>
      <w:r>
        <w:rPr>
          <w:color w:val="231F20"/>
          <w:spacing w:val="-23"/>
          <w:w w:val="105"/>
        </w:rPr>
        <w:t> </w:t>
      </w:r>
      <w:r>
        <w:rPr>
          <w:color w:val="231F20"/>
          <w:w w:val="105"/>
        </w:rPr>
        <w:t>treceavo.</w:t>
      </w:r>
    </w:p>
    <w:p>
      <w:pPr>
        <w:pStyle w:val="BodyText"/>
        <w:spacing w:line="261" w:lineRule="auto" w:before="1"/>
        <w:ind w:left="1837" w:right="1721" w:firstLine="567"/>
        <w:jc w:val="both"/>
      </w:pPr>
      <w:r>
        <w:rPr>
          <w:color w:val="231F20"/>
          <w:w w:val="105"/>
        </w:rPr>
        <w:t>Estos</w:t>
      </w:r>
      <w:r>
        <w:rPr>
          <w:color w:val="231F20"/>
          <w:spacing w:val="-5"/>
          <w:w w:val="105"/>
        </w:rPr>
        <w:t> </w:t>
      </w:r>
      <w:r>
        <w:rPr>
          <w:color w:val="231F20"/>
          <w:w w:val="105"/>
        </w:rPr>
        <w:t>derechos</w:t>
      </w:r>
      <w:r>
        <w:rPr>
          <w:color w:val="231F20"/>
          <w:spacing w:val="-5"/>
          <w:w w:val="105"/>
        </w:rPr>
        <w:t> </w:t>
      </w:r>
      <w:r>
        <w:rPr>
          <w:color w:val="231F20"/>
          <w:w w:val="105"/>
        </w:rPr>
        <w:t>no</w:t>
      </w:r>
      <w:r>
        <w:rPr>
          <w:color w:val="231F20"/>
          <w:spacing w:val="-5"/>
          <w:w w:val="105"/>
        </w:rPr>
        <w:t> </w:t>
      </w:r>
      <w:r>
        <w:rPr>
          <w:color w:val="231F20"/>
          <w:w w:val="105"/>
        </w:rPr>
        <w:t>son</w:t>
      </w:r>
      <w:r>
        <w:rPr>
          <w:color w:val="231F20"/>
          <w:spacing w:val="-5"/>
          <w:w w:val="105"/>
        </w:rPr>
        <w:t> </w:t>
      </w:r>
      <w:r>
        <w:rPr>
          <w:color w:val="231F20"/>
          <w:w w:val="105"/>
        </w:rPr>
        <w:t>exclusivos</w:t>
      </w:r>
      <w:r>
        <w:rPr>
          <w:color w:val="231F20"/>
          <w:spacing w:val="-5"/>
          <w:w w:val="105"/>
        </w:rPr>
        <w:t> </w:t>
      </w:r>
      <w:r>
        <w:rPr>
          <w:color w:val="231F20"/>
          <w:w w:val="105"/>
        </w:rPr>
        <w:t>de</w:t>
      </w:r>
      <w:r>
        <w:rPr>
          <w:color w:val="231F20"/>
          <w:spacing w:val="-5"/>
          <w:w w:val="105"/>
        </w:rPr>
        <w:t> </w:t>
      </w:r>
      <w:r>
        <w:rPr>
          <w:color w:val="231F20"/>
          <w:w w:val="105"/>
        </w:rPr>
        <w:t>esta</w:t>
      </w:r>
      <w:r>
        <w:rPr>
          <w:color w:val="231F20"/>
          <w:spacing w:val="-5"/>
          <w:w w:val="105"/>
        </w:rPr>
        <w:t> </w:t>
      </w:r>
      <w:r>
        <w:rPr>
          <w:color w:val="231F20"/>
          <w:w w:val="105"/>
        </w:rPr>
        <w:t>norma,</w:t>
      </w:r>
      <w:r>
        <w:rPr>
          <w:color w:val="231F20"/>
          <w:spacing w:val="-9"/>
          <w:w w:val="105"/>
        </w:rPr>
        <w:t> </w:t>
      </w:r>
      <w:r>
        <w:rPr>
          <w:color w:val="231F20"/>
          <w:w w:val="105"/>
        </w:rPr>
        <w:t>sino</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en- cuentran</w:t>
      </w:r>
      <w:r>
        <w:rPr>
          <w:color w:val="231F20"/>
          <w:spacing w:val="-6"/>
          <w:w w:val="105"/>
        </w:rPr>
        <w:t> </w:t>
      </w:r>
      <w:r>
        <w:rPr>
          <w:color w:val="231F20"/>
          <w:w w:val="105"/>
        </w:rPr>
        <w:t>en</w:t>
      </w:r>
      <w:r>
        <w:rPr>
          <w:color w:val="231F20"/>
          <w:spacing w:val="-6"/>
          <w:w w:val="105"/>
        </w:rPr>
        <w:t> </w:t>
      </w:r>
      <w:r>
        <w:rPr>
          <w:color w:val="231F20"/>
          <w:w w:val="105"/>
        </w:rPr>
        <w:t>armonía</w:t>
      </w:r>
      <w:r>
        <w:rPr>
          <w:color w:val="231F20"/>
          <w:spacing w:val="-6"/>
          <w:w w:val="105"/>
        </w:rPr>
        <w:t> </w:t>
      </w:r>
      <w:r>
        <w:rPr>
          <w:color w:val="231F20"/>
          <w:w w:val="105"/>
        </w:rPr>
        <w:t>con</w:t>
      </w:r>
      <w:r>
        <w:rPr>
          <w:color w:val="231F20"/>
          <w:spacing w:val="-6"/>
          <w:w w:val="105"/>
        </w:rPr>
        <w:t> </w:t>
      </w:r>
      <w:r>
        <w:rPr>
          <w:color w:val="231F20"/>
          <w:w w:val="105"/>
        </w:rPr>
        <w:t>los</w:t>
      </w:r>
      <w:r>
        <w:rPr>
          <w:color w:val="231F20"/>
          <w:spacing w:val="-6"/>
          <w:w w:val="105"/>
        </w:rPr>
        <w:t> </w:t>
      </w:r>
      <w:r>
        <w:rPr>
          <w:color w:val="231F20"/>
          <w:w w:val="105"/>
        </w:rPr>
        <w:t>consagrados</w:t>
      </w:r>
      <w:r>
        <w:rPr>
          <w:color w:val="231F20"/>
          <w:spacing w:val="-6"/>
          <w:w w:val="105"/>
        </w:rPr>
        <w:t> </w:t>
      </w:r>
      <w:r>
        <w:rPr>
          <w:color w:val="231F20"/>
          <w:w w:val="105"/>
        </w:rPr>
        <w:t>por</w:t>
      </w:r>
      <w:r>
        <w:rPr>
          <w:color w:val="231F20"/>
          <w:spacing w:val="-6"/>
          <w:w w:val="105"/>
        </w:rPr>
        <w:t> </w:t>
      </w:r>
      <w:r>
        <w:rPr>
          <w:color w:val="231F20"/>
          <w:w w:val="105"/>
        </w:rPr>
        <w:t>documentos</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siste- mas descritos. Si bien es cierto que no existe un catálogo de derechos humanos</w:t>
      </w:r>
      <w:r>
        <w:rPr>
          <w:color w:val="231F20"/>
          <w:spacing w:val="-9"/>
          <w:w w:val="105"/>
        </w:rPr>
        <w:t> </w:t>
      </w:r>
      <w:r>
        <w:rPr>
          <w:color w:val="231F20"/>
          <w:w w:val="105"/>
        </w:rPr>
        <w:t>unificado</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comunidad</w:t>
      </w:r>
      <w:r>
        <w:rPr>
          <w:color w:val="231F20"/>
          <w:spacing w:val="-9"/>
          <w:w w:val="105"/>
        </w:rPr>
        <w:t> </w:t>
      </w:r>
      <w:r>
        <w:rPr>
          <w:color w:val="231F20"/>
          <w:w w:val="105"/>
        </w:rPr>
        <w:t>internacional,</w:t>
      </w:r>
      <w:r>
        <w:rPr>
          <w:color w:val="231F20"/>
          <w:spacing w:val="-14"/>
          <w:w w:val="105"/>
        </w:rPr>
        <w:t> </w:t>
      </w:r>
      <w:r>
        <w:rPr>
          <w:color w:val="231F20"/>
          <w:w w:val="105"/>
        </w:rPr>
        <w:t>ambos</w:t>
      </w:r>
      <w:r>
        <w:rPr>
          <w:color w:val="231F20"/>
          <w:spacing w:val="-9"/>
          <w:w w:val="105"/>
        </w:rPr>
        <w:t> </w:t>
      </w:r>
      <w:r>
        <w:rPr>
          <w:color w:val="231F20"/>
          <w:w w:val="105"/>
        </w:rPr>
        <w:t>sistemas</w:t>
      </w:r>
      <w:r>
        <w:rPr>
          <w:color w:val="231F20"/>
          <w:spacing w:val="-9"/>
          <w:w w:val="105"/>
        </w:rPr>
        <w:t> </w:t>
      </w:r>
      <w:r>
        <w:rPr>
          <w:color w:val="231F20"/>
          <w:w w:val="105"/>
        </w:rPr>
        <w:t>es- tablecen parámetros que deben traducirse en normas específicas para protejer</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niñas,</w:t>
      </w:r>
      <w:r>
        <w:rPr>
          <w:color w:val="231F20"/>
          <w:spacing w:val="-19"/>
          <w:w w:val="105"/>
        </w:rPr>
        <w:t> </w:t>
      </w:r>
      <w:r>
        <w:rPr>
          <w:color w:val="231F20"/>
          <w:w w:val="105"/>
        </w:rPr>
        <w:t>niños</w:t>
      </w:r>
      <w:r>
        <w:rPr>
          <w:color w:val="231F20"/>
          <w:spacing w:val="-15"/>
          <w:w w:val="105"/>
        </w:rPr>
        <w:t> </w:t>
      </w:r>
      <w:r>
        <w:rPr>
          <w:color w:val="231F20"/>
          <w:w w:val="105"/>
        </w:rPr>
        <w:t>y</w:t>
      </w:r>
      <w:r>
        <w:rPr>
          <w:color w:val="231F20"/>
          <w:spacing w:val="-15"/>
          <w:w w:val="105"/>
        </w:rPr>
        <w:t> </w:t>
      </w:r>
      <w:r>
        <w:rPr>
          <w:color w:val="231F20"/>
          <w:w w:val="105"/>
        </w:rPr>
        <w:t>adolescentes</w:t>
      </w:r>
      <w:r>
        <w:rPr>
          <w:color w:val="231F20"/>
          <w:spacing w:val="-15"/>
          <w:w w:val="105"/>
        </w:rPr>
        <w:t> </w:t>
      </w:r>
      <w:r>
        <w:rPr>
          <w:color w:val="231F20"/>
          <w:w w:val="105"/>
        </w:rPr>
        <w:t>sea</w:t>
      </w:r>
      <w:r>
        <w:rPr>
          <w:color w:val="231F20"/>
          <w:spacing w:val="-15"/>
          <w:w w:val="105"/>
        </w:rPr>
        <w:t> </w:t>
      </w:r>
      <w:r>
        <w:rPr>
          <w:color w:val="231F20"/>
          <w:w w:val="105"/>
        </w:rPr>
        <w:t>cual</w:t>
      </w:r>
      <w:r>
        <w:rPr>
          <w:color w:val="231F20"/>
          <w:spacing w:val="-15"/>
          <w:w w:val="105"/>
        </w:rPr>
        <w:t> </w:t>
      </w:r>
      <w:r>
        <w:rPr>
          <w:color w:val="231F20"/>
          <w:w w:val="105"/>
        </w:rPr>
        <w:t>sea</w:t>
      </w:r>
      <w:r>
        <w:rPr>
          <w:color w:val="231F20"/>
          <w:spacing w:val="-15"/>
          <w:w w:val="105"/>
        </w:rPr>
        <w:t> </w:t>
      </w:r>
      <w:r>
        <w:rPr>
          <w:color w:val="231F20"/>
          <w:w w:val="105"/>
        </w:rPr>
        <w:t>su</w:t>
      </w:r>
      <w:r>
        <w:rPr>
          <w:color w:val="231F20"/>
          <w:spacing w:val="-15"/>
          <w:w w:val="105"/>
        </w:rPr>
        <w:t> </w:t>
      </w:r>
      <w:r>
        <w:rPr>
          <w:color w:val="231F20"/>
          <w:w w:val="105"/>
        </w:rPr>
        <w:t>nacionalidad</w:t>
      </w:r>
      <w:r>
        <w:rPr>
          <w:color w:val="231F20"/>
          <w:spacing w:val="-15"/>
          <w:w w:val="105"/>
        </w:rPr>
        <w:t> </w:t>
      </w:r>
      <w:r>
        <w:rPr>
          <w:color w:val="231F20"/>
          <w:w w:val="105"/>
        </w:rPr>
        <w:t>y condición</w:t>
      </w:r>
      <w:r>
        <w:rPr>
          <w:color w:val="231F20"/>
          <w:spacing w:val="6"/>
          <w:w w:val="105"/>
        </w:rPr>
        <w:t> </w:t>
      </w:r>
      <w:r>
        <w:rPr>
          <w:color w:val="231F20"/>
          <w:w w:val="105"/>
        </w:rPr>
        <w:t>migratoria.</w:t>
      </w:r>
    </w:p>
    <w:p>
      <w:pPr>
        <w:pStyle w:val="BodyText"/>
        <w:rPr>
          <w:sz w:val="20"/>
        </w:rPr>
      </w:pPr>
    </w:p>
    <w:p>
      <w:pPr>
        <w:pStyle w:val="BodyText"/>
        <w:spacing w:before="9"/>
        <w:rPr>
          <w:sz w:val="20"/>
        </w:rPr>
      </w:pPr>
    </w:p>
    <w:p>
      <w:pPr>
        <w:pStyle w:val="Heading3"/>
      </w:pPr>
      <w:r>
        <w:rPr>
          <w:color w:val="231F20"/>
          <w:sz w:val="18"/>
        </w:rPr>
        <w:t>NNA </w:t>
      </w:r>
      <w:r>
        <w:rPr>
          <w:color w:val="231F20"/>
        </w:rPr>
        <w:t>migrantes irregulares no acompañados en el Estado de México</w:t>
      </w:r>
    </w:p>
    <w:p>
      <w:pPr>
        <w:pStyle w:val="BodyText"/>
        <w:rPr>
          <w:rFonts w:ascii="Arial"/>
          <w:b/>
          <w:sz w:val="22"/>
        </w:rPr>
      </w:pPr>
    </w:p>
    <w:p>
      <w:pPr>
        <w:pStyle w:val="BodyText"/>
        <w:spacing w:line="261" w:lineRule="auto" w:before="163"/>
        <w:ind w:left="1837" w:right="1714" w:hanging="1"/>
        <w:jc w:val="both"/>
      </w:pPr>
      <w:r>
        <w:rPr/>
        <w:pict>
          <v:line style="position:absolute;mso-position-horizontal-relative:page;mso-position-vertical-relative:paragraph;z-index:-482776" from="15pt,178.771881pt" to="0pt,178.771881pt" stroked="true" strokeweight=".25pt" strokecolor="#000000">
            <w10:wrap type="none"/>
          </v:line>
        </w:pict>
      </w:r>
      <w:r>
        <w:rPr/>
        <w:pict>
          <v:line style="position:absolute;mso-position-horizontal-relative:page;mso-position-vertical-relative:paragraph;z-index:7432" from="508.890015pt,178.771881pt" to="523.890015pt,178.771881pt" stroked="true" strokeweight=".25pt" strokecolor="#000000">
            <w10:wrap type="none"/>
          </v:line>
        </w:pict>
      </w:r>
      <w:r>
        <w:rPr>
          <w:color w:val="231F20"/>
          <w:w w:val="105"/>
        </w:rPr>
        <w:t>El</w:t>
      </w:r>
      <w:r>
        <w:rPr>
          <w:color w:val="231F20"/>
          <w:spacing w:val="-9"/>
          <w:w w:val="105"/>
        </w:rPr>
        <w:t> </w:t>
      </w:r>
      <w:r>
        <w:rPr>
          <w:color w:val="231F20"/>
          <w:w w:val="105"/>
        </w:rPr>
        <w:t>boletín</w:t>
      </w:r>
      <w:r>
        <w:rPr>
          <w:color w:val="231F20"/>
          <w:spacing w:val="-9"/>
          <w:w w:val="105"/>
        </w:rPr>
        <w:t> </w:t>
      </w:r>
      <w:r>
        <w:rPr>
          <w:color w:val="231F20"/>
          <w:w w:val="105"/>
        </w:rPr>
        <w:t>estadístico</w:t>
      </w:r>
      <w:r>
        <w:rPr>
          <w:color w:val="231F20"/>
          <w:spacing w:val="-9"/>
          <w:w w:val="105"/>
        </w:rPr>
        <w:t> </w:t>
      </w:r>
      <w:r>
        <w:rPr>
          <w:color w:val="231F20"/>
          <w:w w:val="105"/>
        </w:rPr>
        <w:t>del</w:t>
      </w:r>
      <w:r>
        <w:rPr>
          <w:color w:val="231F20"/>
          <w:spacing w:val="-9"/>
          <w:w w:val="105"/>
        </w:rPr>
        <w:t> </w:t>
      </w:r>
      <w:r>
        <w:rPr>
          <w:color w:val="231F20"/>
          <w:w w:val="105"/>
        </w:rPr>
        <w:t>Instituto</w:t>
      </w:r>
      <w:r>
        <w:rPr>
          <w:color w:val="231F20"/>
          <w:spacing w:val="-9"/>
          <w:w w:val="105"/>
        </w:rPr>
        <w:t> </w:t>
      </w:r>
      <w:r>
        <w:rPr>
          <w:color w:val="231F20"/>
          <w:w w:val="105"/>
        </w:rPr>
        <w:t>Nacional</w:t>
      </w:r>
      <w:r>
        <w:rPr>
          <w:color w:val="231F20"/>
          <w:spacing w:val="-9"/>
          <w:w w:val="105"/>
        </w:rPr>
        <w:t> </w:t>
      </w:r>
      <w:r>
        <w:rPr>
          <w:color w:val="231F20"/>
          <w:w w:val="105"/>
        </w:rPr>
        <w:t>de</w:t>
      </w:r>
      <w:r>
        <w:rPr>
          <w:color w:val="231F20"/>
          <w:spacing w:val="-9"/>
          <w:w w:val="105"/>
        </w:rPr>
        <w:t> </w:t>
      </w:r>
      <w:r>
        <w:rPr>
          <w:color w:val="231F20"/>
          <w:w w:val="105"/>
        </w:rPr>
        <w:t>Migración</w:t>
      </w:r>
      <w:r>
        <w:rPr>
          <w:color w:val="231F20"/>
          <w:spacing w:val="-9"/>
          <w:w w:val="105"/>
        </w:rPr>
        <w:t> </w:t>
      </w:r>
      <w:r>
        <w:rPr>
          <w:color w:val="231F20"/>
          <w:w w:val="105"/>
        </w:rPr>
        <w:t>(</w:t>
      </w:r>
      <w:r>
        <w:rPr>
          <w:color w:val="231F20"/>
          <w:w w:val="105"/>
          <w:sz w:val="17"/>
        </w:rPr>
        <w:t>INM</w:t>
      </w:r>
      <w:r>
        <w:rPr>
          <w:color w:val="231F20"/>
          <w:w w:val="105"/>
        </w:rPr>
        <w:t>,</w:t>
      </w:r>
      <w:r>
        <w:rPr>
          <w:color w:val="231F20"/>
          <w:spacing w:val="-14"/>
          <w:w w:val="105"/>
        </w:rPr>
        <w:t> </w:t>
      </w:r>
      <w:r>
        <w:rPr>
          <w:color w:val="231F20"/>
          <w:w w:val="105"/>
        </w:rPr>
        <w:t>2015),</w:t>
      </w:r>
      <w:r>
        <w:rPr>
          <w:color w:val="231F20"/>
          <w:spacing w:val="-14"/>
          <w:w w:val="105"/>
        </w:rPr>
        <w:t> </w:t>
      </w:r>
      <w:r>
        <w:rPr>
          <w:color w:val="231F20"/>
          <w:w w:val="105"/>
        </w:rPr>
        <w:t>co- rrespondiente</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extranjeros</w:t>
      </w:r>
      <w:r>
        <w:rPr>
          <w:color w:val="231F20"/>
          <w:spacing w:val="-12"/>
          <w:w w:val="105"/>
        </w:rPr>
        <w:t> </w:t>
      </w:r>
      <w:r>
        <w:rPr>
          <w:color w:val="231F20"/>
          <w:w w:val="105"/>
        </w:rPr>
        <w:t>presentados</w:t>
      </w:r>
      <w:r>
        <w:rPr>
          <w:color w:val="231F20"/>
          <w:spacing w:val="-12"/>
          <w:w w:val="105"/>
        </w:rPr>
        <w:t> </w:t>
      </w:r>
      <w:r>
        <w:rPr>
          <w:color w:val="231F20"/>
          <w:w w:val="105"/>
        </w:rPr>
        <w:t>y</w:t>
      </w:r>
      <w:r>
        <w:rPr>
          <w:color w:val="231F20"/>
          <w:spacing w:val="-12"/>
          <w:w w:val="105"/>
        </w:rPr>
        <w:t> </w:t>
      </w:r>
      <w:r>
        <w:rPr>
          <w:color w:val="231F20"/>
          <w:w w:val="105"/>
        </w:rPr>
        <w:t>devueltos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año</w:t>
      </w:r>
      <w:r>
        <w:rPr>
          <w:color w:val="231F20"/>
          <w:spacing w:val="-12"/>
          <w:w w:val="105"/>
        </w:rPr>
        <w:t> </w:t>
      </w:r>
      <w:r>
        <w:rPr>
          <w:color w:val="231F20"/>
          <w:w w:val="105"/>
        </w:rPr>
        <w:t>2015, específicamente al periodo comprendido entre los meses de enero a abril,</w:t>
      </w:r>
      <w:r>
        <w:rPr>
          <w:color w:val="231F20"/>
          <w:spacing w:val="-15"/>
          <w:w w:val="105"/>
        </w:rPr>
        <w:t> </w:t>
      </w:r>
      <w:r>
        <w:rPr>
          <w:color w:val="231F20"/>
          <w:w w:val="105"/>
        </w:rPr>
        <w:t>muestra</w:t>
      </w:r>
      <w:r>
        <w:rPr>
          <w:color w:val="231F20"/>
          <w:spacing w:val="-8"/>
          <w:w w:val="105"/>
        </w:rPr>
        <w:t> </w:t>
      </w:r>
      <w:r>
        <w:rPr>
          <w:color w:val="231F20"/>
          <w:w w:val="105"/>
        </w:rPr>
        <w:t>un</w:t>
      </w:r>
      <w:r>
        <w:rPr>
          <w:color w:val="231F20"/>
          <w:spacing w:val="-8"/>
          <w:w w:val="105"/>
        </w:rPr>
        <w:t> </w:t>
      </w:r>
      <w:r>
        <w:rPr>
          <w:color w:val="231F20"/>
          <w:w w:val="105"/>
        </w:rPr>
        <w:t>notable</w:t>
      </w:r>
      <w:r>
        <w:rPr>
          <w:color w:val="231F20"/>
          <w:spacing w:val="-8"/>
          <w:w w:val="105"/>
        </w:rPr>
        <w:t> </w:t>
      </w:r>
      <w:r>
        <w:rPr>
          <w:color w:val="231F20"/>
          <w:w w:val="105"/>
        </w:rPr>
        <w:t>incremento</w:t>
      </w:r>
      <w:r>
        <w:rPr>
          <w:color w:val="231F20"/>
          <w:spacing w:val="-8"/>
          <w:w w:val="105"/>
        </w:rPr>
        <w:t> </w:t>
      </w:r>
      <w:r>
        <w:rPr>
          <w:color w:val="231F20"/>
          <w:w w:val="105"/>
        </w:rPr>
        <w:t>durante</w:t>
      </w:r>
      <w:r>
        <w:rPr>
          <w:color w:val="231F20"/>
          <w:spacing w:val="-8"/>
          <w:w w:val="105"/>
        </w:rPr>
        <w:t> </w:t>
      </w:r>
      <w:r>
        <w:rPr>
          <w:color w:val="231F20"/>
          <w:w w:val="105"/>
        </w:rPr>
        <w:t>el</w:t>
      </w:r>
      <w:r>
        <w:rPr>
          <w:color w:val="231F20"/>
          <w:spacing w:val="-8"/>
          <w:w w:val="105"/>
        </w:rPr>
        <w:t> </w:t>
      </w:r>
      <w:r>
        <w:rPr>
          <w:color w:val="231F20"/>
          <w:w w:val="105"/>
        </w:rPr>
        <w:t>primer</w:t>
      </w:r>
      <w:r>
        <w:rPr>
          <w:color w:val="231F20"/>
          <w:spacing w:val="-8"/>
          <w:w w:val="105"/>
        </w:rPr>
        <w:t> </w:t>
      </w:r>
      <w:r>
        <w:rPr>
          <w:color w:val="231F20"/>
          <w:w w:val="105"/>
        </w:rPr>
        <w:t>trimestre</w:t>
      </w:r>
      <w:r>
        <w:rPr>
          <w:color w:val="231F20"/>
          <w:spacing w:val="-8"/>
          <w:w w:val="105"/>
        </w:rPr>
        <w:t> </w:t>
      </w:r>
      <w:r>
        <w:rPr>
          <w:color w:val="231F20"/>
          <w:w w:val="105"/>
        </w:rPr>
        <w:t>del</w:t>
      </w:r>
      <w:r>
        <w:rPr>
          <w:color w:val="231F20"/>
          <w:spacing w:val="-8"/>
          <w:w w:val="105"/>
        </w:rPr>
        <w:t> </w:t>
      </w:r>
      <w:r>
        <w:rPr>
          <w:color w:val="231F20"/>
          <w:w w:val="105"/>
        </w:rPr>
        <w:t>año en los menores migrantes no acompañados que transitan por nuestro país,</w:t>
      </w:r>
      <w:r>
        <w:rPr>
          <w:color w:val="231F20"/>
          <w:spacing w:val="-37"/>
          <w:w w:val="105"/>
        </w:rPr>
        <w:t> </w:t>
      </w:r>
      <w:r>
        <w:rPr>
          <w:color w:val="231F20"/>
          <w:w w:val="105"/>
        </w:rPr>
        <w:t>principalmente</w:t>
      </w:r>
      <w:r>
        <w:rPr>
          <w:color w:val="231F20"/>
          <w:spacing w:val="-34"/>
          <w:w w:val="105"/>
        </w:rPr>
        <w:t> </w:t>
      </w:r>
      <w:r>
        <w:rPr>
          <w:color w:val="231F20"/>
          <w:w w:val="105"/>
        </w:rPr>
        <w:t>de</w:t>
      </w:r>
      <w:r>
        <w:rPr>
          <w:color w:val="231F20"/>
          <w:spacing w:val="-34"/>
          <w:w w:val="105"/>
        </w:rPr>
        <w:t> </w:t>
      </w:r>
      <w:r>
        <w:rPr>
          <w:color w:val="231F20"/>
          <w:w w:val="105"/>
        </w:rPr>
        <w:t>origen</w:t>
      </w:r>
      <w:r>
        <w:rPr>
          <w:color w:val="231F20"/>
          <w:spacing w:val="-34"/>
          <w:w w:val="105"/>
        </w:rPr>
        <w:t> </w:t>
      </w:r>
      <w:r>
        <w:rPr>
          <w:color w:val="231F20"/>
          <w:w w:val="105"/>
        </w:rPr>
        <w:t>centroamericano</w:t>
      </w:r>
      <w:r>
        <w:rPr>
          <w:color w:val="231F20"/>
          <w:spacing w:val="-34"/>
          <w:w w:val="105"/>
        </w:rPr>
        <w:t> </w:t>
      </w:r>
      <w:r>
        <w:rPr>
          <w:color w:val="231F20"/>
          <w:w w:val="105"/>
        </w:rPr>
        <w:t>(El</w:t>
      </w:r>
      <w:r>
        <w:rPr>
          <w:color w:val="231F20"/>
          <w:spacing w:val="-34"/>
          <w:w w:val="105"/>
        </w:rPr>
        <w:t> </w:t>
      </w:r>
      <w:r>
        <w:rPr>
          <w:color w:val="231F20"/>
          <w:w w:val="105"/>
        </w:rPr>
        <w:t>Salvador,</w:t>
      </w:r>
      <w:r>
        <w:rPr>
          <w:color w:val="231F20"/>
          <w:spacing w:val="-37"/>
          <w:w w:val="105"/>
        </w:rPr>
        <w:t> </w:t>
      </w:r>
      <w:r>
        <w:rPr>
          <w:color w:val="231F20"/>
          <w:w w:val="105"/>
        </w:rPr>
        <w:t>Guatemala, Honduras</w:t>
      </w:r>
      <w:r>
        <w:rPr>
          <w:color w:val="231F20"/>
          <w:spacing w:val="-10"/>
          <w:w w:val="105"/>
        </w:rPr>
        <w:t> </w:t>
      </w:r>
      <w:r>
        <w:rPr>
          <w:color w:val="231F20"/>
          <w:w w:val="105"/>
        </w:rPr>
        <w:t>y</w:t>
      </w:r>
      <w:r>
        <w:rPr>
          <w:color w:val="231F20"/>
          <w:spacing w:val="-10"/>
          <w:w w:val="105"/>
        </w:rPr>
        <w:t> </w:t>
      </w:r>
      <w:r>
        <w:rPr>
          <w:color w:val="231F20"/>
          <w:w w:val="105"/>
        </w:rPr>
        <w:t>Nicaragua),</w:t>
      </w:r>
      <w:r>
        <w:rPr>
          <w:color w:val="231F20"/>
          <w:spacing w:val="-15"/>
          <w:w w:val="105"/>
        </w:rPr>
        <w:t> </w:t>
      </w:r>
      <w:r>
        <w:rPr>
          <w:color w:val="231F20"/>
          <w:w w:val="105"/>
        </w:rPr>
        <w:t>aunque</w:t>
      </w:r>
      <w:r>
        <w:rPr>
          <w:color w:val="231F20"/>
          <w:spacing w:val="-10"/>
          <w:w w:val="105"/>
        </w:rPr>
        <w:t> </w:t>
      </w:r>
      <w:r>
        <w:rPr>
          <w:color w:val="231F20"/>
          <w:w w:val="105"/>
        </w:rPr>
        <w:t>también</w:t>
      </w:r>
      <w:r>
        <w:rPr>
          <w:color w:val="231F20"/>
          <w:spacing w:val="-10"/>
          <w:w w:val="105"/>
        </w:rPr>
        <w:t> </w:t>
      </w:r>
      <w:r>
        <w:rPr>
          <w:color w:val="231F20"/>
          <w:w w:val="105"/>
        </w:rPr>
        <w:t>hay</w:t>
      </w:r>
      <w:r>
        <w:rPr>
          <w:color w:val="231F20"/>
          <w:spacing w:val="-10"/>
          <w:w w:val="105"/>
        </w:rPr>
        <w:t> </w:t>
      </w:r>
      <w:r>
        <w:rPr>
          <w:color w:val="231F20"/>
          <w:w w:val="105"/>
        </w:rPr>
        <w:t>registros</w:t>
      </w:r>
      <w:r>
        <w:rPr>
          <w:color w:val="231F20"/>
          <w:spacing w:val="-10"/>
          <w:w w:val="105"/>
        </w:rPr>
        <w:t> </w:t>
      </w:r>
      <w:r>
        <w:rPr>
          <w:color w:val="231F20"/>
          <w:w w:val="105"/>
        </w:rPr>
        <w:t>de</w:t>
      </w:r>
      <w:r>
        <w:rPr>
          <w:color w:val="231F20"/>
          <w:spacing w:val="-10"/>
          <w:w w:val="105"/>
        </w:rPr>
        <w:t> </w:t>
      </w:r>
      <w:r>
        <w:rPr>
          <w:color w:val="231F20"/>
          <w:w w:val="105"/>
        </w:rPr>
        <w:t>personas</w:t>
      </w:r>
      <w:r>
        <w:rPr>
          <w:color w:val="231F20"/>
          <w:spacing w:val="-10"/>
          <w:w w:val="105"/>
        </w:rPr>
        <w:t> </w:t>
      </w:r>
      <w:r>
        <w:rPr>
          <w:color w:val="231F20"/>
          <w:w w:val="105"/>
        </w:rPr>
        <w:t>pro- venientes</w:t>
      </w:r>
      <w:r>
        <w:rPr>
          <w:color w:val="231F20"/>
          <w:spacing w:val="-36"/>
          <w:w w:val="105"/>
        </w:rPr>
        <w:t> </w:t>
      </w:r>
      <w:r>
        <w:rPr>
          <w:color w:val="231F20"/>
          <w:w w:val="105"/>
        </w:rPr>
        <w:t>de</w:t>
      </w:r>
      <w:r>
        <w:rPr>
          <w:color w:val="231F20"/>
          <w:spacing w:val="-36"/>
          <w:w w:val="105"/>
        </w:rPr>
        <w:t> </w:t>
      </w:r>
      <w:r>
        <w:rPr>
          <w:color w:val="231F20"/>
          <w:w w:val="105"/>
        </w:rPr>
        <w:t>Panamá,</w:t>
      </w:r>
      <w:r>
        <w:rPr>
          <w:color w:val="231F20"/>
          <w:spacing w:val="-39"/>
          <w:w w:val="105"/>
        </w:rPr>
        <w:t> </w:t>
      </w:r>
      <w:r>
        <w:rPr>
          <w:color w:val="231F20"/>
          <w:w w:val="105"/>
        </w:rPr>
        <w:t>Cuba,</w:t>
      </w:r>
      <w:r>
        <w:rPr>
          <w:color w:val="231F20"/>
          <w:spacing w:val="-39"/>
          <w:w w:val="105"/>
        </w:rPr>
        <w:t> </w:t>
      </w:r>
      <w:r>
        <w:rPr>
          <w:color w:val="231F20"/>
          <w:w w:val="105"/>
        </w:rPr>
        <w:t>República</w:t>
      </w:r>
      <w:r>
        <w:rPr>
          <w:color w:val="231F20"/>
          <w:spacing w:val="-36"/>
          <w:w w:val="105"/>
        </w:rPr>
        <w:t> </w:t>
      </w:r>
      <w:r>
        <w:rPr>
          <w:color w:val="231F20"/>
          <w:w w:val="105"/>
        </w:rPr>
        <w:t>Dominicana</w:t>
      </w:r>
      <w:r>
        <w:rPr>
          <w:color w:val="231F20"/>
          <w:spacing w:val="-36"/>
          <w:w w:val="105"/>
        </w:rPr>
        <w:t> </w:t>
      </w:r>
      <w:r>
        <w:rPr>
          <w:color w:val="231F20"/>
          <w:w w:val="105"/>
        </w:rPr>
        <w:t>y</w:t>
      </w:r>
      <w:r>
        <w:rPr>
          <w:color w:val="231F20"/>
          <w:spacing w:val="-36"/>
          <w:w w:val="105"/>
        </w:rPr>
        <w:t> </w:t>
      </w:r>
      <w:r>
        <w:rPr>
          <w:color w:val="231F20"/>
          <w:w w:val="105"/>
        </w:rPr>
        <w:t>Ecuador.</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p>
    <w:p>
      <w:pPr>
        <w:spacing w:line="249" w:lineRule="auto" w:before="63"/>
        <w:ind w:left="3777" w:right="1796" w:hanging="2011"/>
        <w:jc w:val="left"/>
        <w:rPr>
          <w:rFonts w:ascii="Arial" w:hAnsi="Arial"/>
          <w:sz w:val="18"/>
        </w:rPr>
      </w:pPr>
      <w:r>
        <w:rPr/>
        <w:pict>
          <v:line style="position:absolute;mso-position-horizontal-relative:page;mso-position-vertical-relative:paragraph;z-index:7480" from="15pt,-62.604984pt" to="0pt,-62.604984pt" stroked="true" strokeweight=".25pt" strokecolor="#000000">
            <w10:wrap type="none"/>
          </v:line>
        </w:pict>
      </w:r>
      <w:r>
        <w:rPr/>
        <w:pict>
          <v:line style="position:absolute;mso-position-horizontal-relative:page;mso-position-vertical-relative:paragraph;z-index:7504" from="508.890015pt,-62.604984pt" to="523.890015pt,-62.604984pt" stroked="true" strokeweight=".25pt" strokecolor="#000000">
            <w10:wrap type="none"/>
          </v:line>
        </w:pict>
      </w:r>
      <w:r>
        <w:rPr>
          <w:rFonts w:ascii="Arial" w:hAnsi="Arial"/>
          <w:color w:val="231F20"/>
          <w:spacing w:val="-4"/>
          <w:w w:val="105"/>
          <w:sz w:val="18"/>
        </w:rPr>
        <w:t>Tabla </w:t>
      </w:r>
      <w:r>
        <w:rPr>
          <w:rFonts w:ascii="Arial" w:hAnsi="Arial"/>
          <w:color w:val="231F20"/>
          <w:w w:val="105"/>
          <w:sz w:val="18"/>
        </w:rPr>
        <w:t>1. Flujo migratorio en México de </w:t>
      </w:r>
      <w:r>
        <w:rPr>
          <w:rFonts w:ascii="Arial" w:hAnsi="Arial"/>
          <w:color w:val="231F20"/>
          <w:w w:val="105"/>
          <w:sz w:val="15"/>
        </w:rPr>
        <w:t>NNA </w:t>
      </w:r>
      <w:r>
        <w:rPr>
          <w:rFonts w:ascii="Arial" w:hAnsi="Arial"/>
          <w:color w:val="231F20"/>
          <w:w w:val="105"/>
          <w:sz w:val="18"/>
        </w:rPr>
        <w:t>migrantes irregulares no acompañados en el primer cuatrimestre de 2015</w:t>
      </w:r>
    </w:p>
    <w:p>
      <w:pPr>
        <w:pStyle w:val="BodyText"/>
        <w:spacing w:before="9"/>
        <w:rPr>
          <w:rFonts w:ascii="Arial"/>
          <w:sz w:val="12"/>
        </w:rPr>
      </w:pPr>
    </w:p>
    <w:tbl>
      <w:tblPr>
        <w:tblW w:w="0" w:type="auto"/>
        <w:jc w:val="left"/>
        <w:tblInd w:w="1722"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974"/>
        <w:gridCol w:w="902"/>
        <w:gridCol w:w="1011"/>
        <w:gridCol w:w="1013"/>
        <w:gridCol w:w="1014"/>
      </w:tblGrid>
      <w:tr>
        <w:trPr>
          <w:trHeight w:val="348" w:hRule="exact"/>
        </w:trPr>
        <w:tc>
          <w:tcPr>
            <w:tcW w:w="2974" w:type="dxa"/>
            <w:vMerge w:val="restart"/>
          </w:tcPr>
          <w:p>
            <w:pPr>
              <w:pStyle w:val="TableParagraph"/>
              <w:spacing w:before="7"/>
              <w:rPr>
                <w:rFonts w:ascii="Arial"/>
                <w:sz w:val="24"/>
              </w:rPr>
            </w:pPr>
          </w:p>
          <w:p>
            <w:pPr>
              <w:pStyle w:val="TableParagraph"/>
              <w:spacing w:before="0"/>
              <w:ind w:left="1060" w:right="1060"/>
              <w:jc w:val="center"/>
              <w:rPr>
                <w:rFonts w:ascii="Arial"/>
                <w:sz w:val="18"/>
              </w:rPr>
            </w:pPr>
            <w:r>
              <w:rPr>
                <w:rFonts w:ascii="Arial"/>
                <w:color w:val="231F20"/>
                <w:w w:val="105"/>
                <w:sz w:val="18"/>
              </w:rPr>
              <w:t>Concepto</w:t>
            </w:r>
          </w:p>
        </w:tc>
        <w:tc>
          <w:tcPr>
            <w:tcW w:w="3940" w:type="dxa"/>
            <w:gridSpan w:val="4"/>
          </w:tcPr>
          <w:p>
            <w:pPr>
              <w:pStyle w:val="TableParagraph"/>
              <w:spacing w:before="92"/>
              <w:ind w:left="1737" w:right="1737"/>
              <w:jc w:val="center"/>
              <w:rPr>
                <w:rFonts w:ascii="Arial"/>
                <w:sz w:val="18"/>
              </w:rPr>
            </w:pPr>
            <w:r>
              <w:rPr>
                <w:rFonts w:ascii="Arial"/>
                <w:color w:val="231F20"/>
                <w:w w:val="105"/>
                <w:sz w:val="18"/>
              </w:rPr>
              <w:t>2015</w:t>
            </w:r>
          </w:p>
        </w:tc>
      </w:tr>
      <w:tr>
        <w:trPr>
          <w:trHeight w:val="382" w:hRule="exact"/>
        </w:trPr>
        <w:tc>
          <w:tcPr>
            <w:tcW w:w="2974" w:type="dxa"/>
            <w:vMerge/>
          </w:tcPr>
          <w:p>
            <w:pPr/>
          </w:p>
        </w:tc>
        <w:tc>
          <w:tcPr>
            <w:tcW w:w="902" w:type="dxa"/>
          </w:tcPr>
          <w:p>
            <w:pPr>
              <w:pStyle w:val="TableParagraph"/>
              <w:spacing w:before="109"/>
              <w:ind w:left="206"/>
              <w:rPr>
                <w:rFonts w:ascii="Arial"/>
                <w:sz w:val="18"/>
              </w:rPr>
            </w:pPr>
            <w:r>
              <w:rPr>
                <w:rFonts w:ascii="Arial"/>
                <w:color w:val="231F20"/>
                <w:sz w:val="18"/>
              </w:rPr>
              <w:t>Enero</w:t>
            </w:r>
          </w:p>
        </w:tc>
        <w:tc>
          <w:tcPr>
            <w:tcW w:w="1011" w:type="dxa"/>
          </w:tcPr>
          <w:p>
            <w:pPr>
              <w:pStyle w:val="TableParagraph"/>
              <w:spacing w:before="109"/>
              <w:ind w:left="181"/>
              <w:rPr>
                <w:rFonts w:ascii="Arial"/>
                <w:sz w:val="18"/>
              </w:rPr>
            </w:pPr>
            <w:r>
              <w:rPr>
                <w:rFonts w:ascii="Arial"/>
                <w:color w:val="231F20"/>
                <w:w w:val="105"/>
                <w:sz w:val="18"/>
              </w:rPr>
              <w:t>Febrero</w:t>
            </w:r>
          </w:p>
        </w:tc>
        <w:tc>
          <w:tcPr>
            <w:tcW w:w="1013" w:type="dxa"/>
          </w:tcPr>
          <w:p>
            <w:pPr>
              <w:pStyle w:val="TableParagraph"/>
              <w:spacing w:before="109"/>
              <w:ind w:left="246"/>
              <w:rPr>
                <w:rFonts w:ascii="Arial"/>
                <w:sz w:val="18"/>
              </w:rPr>
            </w:pPr>
            <w:r>
              <w:rPr>
                <w:rFonts w:ascii="Arial"/>
                <w:color w:val="231F20"/>
                <w:w w:val="105"/>
                <w:sz w:val="18"/>
              </w:rPr>
              <w:t>Marzo</w:t>
            </w:r>
          </w:p>
        </w:tc>
        <w:tc>
          <w:tcPr>
            <w:tcW w:w="1014" w:type="dxa"/>
          </w:tcPr>
          <w:p>
            <w:pPr>
              <w:pStyle w:val="TableParagraph"/>
              <w:spacing w:before="109"/>
              <w:ind w:left="305"/>
              <w:rPr>
                <w:rFonts w:ascii="Arial"/>
                <w:sz w:val="18"/>
              </w:rPr>
            </w:pPr>
            <w:r>
              <w:rPr>
                <w:rFonts w:ascii="Arial"/>
                <w:color w:val="231F20"/>
                <w:w w:val="110"/>
                <w:sz w:val="18"/>
              </w:rPr>
              <w:t>Abril</w:t>
            </w:r>
          </w:p>
        </w:tc>
      </w:tr>
      <w:tr>
        <w:trPr>
          <w:trHeight w:val="639" w:hRule="exact"/>
        </w:trPr>
        <w:tc>
          <w:tcPr>
            <w:tcW w:w="2974" w:type="dxa"/>
          </w:tcPr>
          <w:p>
            <w:pPr>
              <w:pStyle w:val="TableParagraph"/>
              <w:spacing w:line="254" w:lineRule="auto" w:before="133"/>
              <w:ind w:left="77"/>
              <w:rPr>
                <w:sz w:val="18"/>
              </w:rPr>
            </w:pPr>
            <w:r>
              <w:rPr>
                <w:color w:val="231F20"/>
                <w:w w:val="105"/>
                <w:sz w:val="18"/>
              </w:rPr>
              <w:t>Menores no acompañados de 0 hasta 11 años de edad</w:t>
            </w:r>
          </w:p>
        </w:tc>
        <w:tc>
          <w:tcPr>
            <w:tcW w:w="902" w:type="dxa"/>
          </w:tcPr>
          <w:p>
            <w:pPr>
              <w:pStyle w:val="TableParagraph"/>
              <w:spacing w:before="11"/>
              <w:rPr>
                <w:rFonts w:ascii="Arial"/>
                <w:sz w:val="20"/>
              </w:rPr>
            </w:pPr>
          </w:p>
          <w:p>
            <w:pPr>
              <w:pStyle w:val="TableParagraph"/>
              <w:spacing w:before="0"/>
              <w:ind w:left="77"/>
              <w:rPr>
                <w:sz w:val="18"/>
              </w:rPr>
            </w:pPr>
            <w:r>
              <w:rPr>
                <w:color w:val="231F20"/>
                <w:w w:val="105"/>
                <w:sz w:val="18"/>
              </w:rPr>
              <w:t>36</w:t>
            </w:r>
          </w:p>
        </w:tc>
        <w:tc>
          <w:tcPr>
            <w:tcW w:w="1011" w:type="dxa"/>
          </w:tcPr>
          <w:p>
            <w:pPr>
              <w:pStyle w:val="TableParagraph"/>
              <w:spacing w:before="11"/>
              <w:rPr>
                <w:rFonts w:ascii="Arial"/>
                <w:sz w:val="20"/>
              </w:rPr>
            </w:pPr>
          </w:p>
          <w:p>
            <w:pPr>
              <w:pStyle w:val="TableParagraph"/>
              <w:spacing w:before="0"/>
              <w:ind w:left="77"/>
              <w:rPr>
                <w:sz w:val="18"/>
              </w:rPr>
            </w:pPr>
            <w:r>
              <w:rPr>
                <w:color w:val="231F20"/>
                <w:w w:val="105"/>
                <w:sz w:val="18"/>
              </w:rPr>
              <w:t>72</w:t>
            </w:r>
          </w:p>
        </w:tc>
        <w:tc>
          <w:tcPr>
            <w:tcW w:w="1013" w:type="dxa"/>
          </w:tcPr>
          <w:p>
            <w:pPr>
              <w:pStyle w:val="TableParagraph"/>
              <w:spacing w:before="11"/>
              <w:rPr>
                <w:rFonts w:ascii="Arial"/>
                <w:sz w:val="20"/>
              </w:rPr>
            </w:pPr>
          </w:p>
          <w:p>
            <w:pPr>
              <w:pStyle w:val="TableParagraph"/>
              <w:spacing w:before="0"/>
              <w:ind w:left="77"/>
              <w:rPr>
                <w:sz w:val="18"/>
              </w:rPr>
            </w:pPr>
            <w:r>
              <w:rPr>
                <w:color w:val="231F20"/>
                <w:w w:val="105"/>
                <w:sz w:val="18"/>
              </w:rPr>
              <w:t>132</w:t>
            </w:r>
          </w:p>
        </w:tc>
        <w:tc>
          <w:tcPr>
            <w:tcW w:w="1014" w:type="dxa"/>
          </w:tcPr>
          <w:p>
            <w:pPr>
              <w:pStyle w:val="TableParagraph"/>
              <w:spacing w:before="11"/>
              <w:rPr>
                <w:rFonts w:ascii="Arial"/>
                <w:sz w:val="20"/>
              </w:rPr>
            </w:pPr>
          </w:p>
          <w:p>
            <w:pPr>
              <w:pStyle w:val="TableParagraph"/>
              <w:spacing w:before="0"/>
              <w:ind w:left="77"/>
              <w:rPr>
                <w:sz w:val="18"/>
              </w:rPr>
            </w:pPr>
            <w:r>
              <w:rPr>
                <w:color w:val="231F20"/>
                <w:w w:val="105"/>
                <w:sz w:val="18"/>
              </w:rPr>
              <w:t>109</w:t>
            </w:r>
          </w:p>
        </w:tc>
      </w:tr>
      <w:tr>
        <w:trPr>
          <w:trHeight w:val="556" w:hRule="exact"/>
        </w:trPr>
        <w:tc>
          <w:tcPr>
            <w:tcW w:w="2974" w:type="dxa"/>
          </w:tcPr>
          <w:p>
            <w:pPr>
              <w:pStyle w:val="TableParagraph"/>
              <w:spacing w:line="254" w:lineRule="auto"/>
              <w:ind w:left="77"/>
              <w:rPr>
                <w:sz w:val="18"/>
              </w:rPr>
            </w:pPr>
            <w:r>
              <w:rPr>
                <w:color w:val="231F20"/>
                <w:w w:val="105"/>
                <w:sz w:val="18"/>
              </w:rPr>
              <w:t>Menores no acompañados de 12 hasta 17 años de edad</w:t>
            </w:r>
          </w:p>
        </w:tc>
        <w:tc>
          <w:tcPr>
            <w:tcW w:w="902" w:type="dxa"/>
          </w:tcPr>
          <w:p>
            <w:pPr>
              <w:pStyle w:val="TableParagraph"/>
              <w:spacing w:before="4"/>
              <w:rPr>
                <w:rFonts w:ascii="Arial"/>
                <w:sz w:val="17"/>
              </w:rPr>
            </w:pPr>
          </w:p>
          <w:p>
            <w:pPr>
              <w:pStyle w:val="TableParagraph"/>
              <w:spacing w:before="0"/>
              <w:ind w:left="77"/>
              <w:rPr>
                <w:sz w:val="18"/>
              </w:rPr>
            </w:pPr>
            <w:r>
              <w:rPr>
                <w:color w:val="231F20"/>
                <w:w w:val="105"/>
                <w:sz w:val="18"/>
              </w:rPr>
              <w:t>716</w:t>
            </w:r>
          </w:p>
        </w:tc>
        <w:tc>
          <w:tcPr>
            <w:tcW w:w="1011" w:type="dxa"/>
          </w:tcPr>
          <w:p>
            <w:pPr>
              <w:pStyle w:val="TableParagraph"/>
              <w:spacing w:before="4"/>
              <w:rPr>
                <w:rFonts w:ascii="Arial"/>
                <w:sz w:val="17"/>
              </w:rPr>
            </w:pPr>
          </w:p>
          <w:p>
            <w:pPr>
              <w:pStyle w:val="TableParagraph"/>
              <w:spacing w:before="0"/>
              <w:ind w:left="77"/>
              <w:rPr>
                <w:sz w:val="18"/>
              </w:rPr>
            </w:pPr>
            <w:r>
              <w:rPr>
                <w:color w:val="231F20"/>
                <w:w w:val="105"/>
                <w:sz w:val="18"/>
              </w:rPr>
              <w:t>946</w:t>
            </w:r>
          </w:p>
        </w:tc>
        <w:tc>
          <w:tcPr>
            <w:tcW w:w="1013" w:type="dxa"/>
          </w:tcPr>
          <w:p>
            <w:pPr>
              <w:pStyle w:val="TableParagraph"/>
              <w:spacing w:before="4"/>
              <w:rPr>
                <w:rFonts w:ascii="Arial"/>
                <w:sz w:val="17"/>
              </w:rPr>
            </w:pPr>
          </w:p>
          <w:p>
            <w:pPr>
              <w:pStyle w:val="TableParagraph"/>
              <w:spacing w:before="0"/>
              <w:ind w:left="77"/>
              <w:rPr>
                <w:sz w:val="18"/>
              </w:rPr>
            </w:pPr>
            <w:r>
              <w:rPr>
                <w:color w:val="231F20"/>
                <w:w w:val="105"/>
                <w:sz w:val="18"/>
              </w:rPr>
              <w:t>1016</w:t>
            </w:r>
          </w:p>
        </w:tc>
        <w:tc>
          <w:tcPr>
            <w:tcW w:w="1014" w:type="dxa"/>
          </w:tcPr>
          <w:p>
            <w:pPr>
              <w:pStyle w:val="TableParagraph"/>
              <w:spacing w:before="4"/>
              <w:rPr>
                <w:rFonts w:ascii="Arial"/>
                <w:sz w:val="17"/>
              </w:rPr>
            </w:pPr>
          </w:p>
          <w:p>
            <w:pPr>
              <w:pStyle w:val="TableParagraph"/>
              <w:spacing w:before="0"/>
              <w:ind w:left="77"/>
              <w:rPr>
                <w:sz w:val="18"/>
              </w:rPr>
            </w:pPr>
            <w:r>
              <w:rPr>
                <w:color w:val="231F20"/>
                <w:w w:val="105"/>
                <w:sz w:val="18"/>
              </w:rPr>
              <w:t>994</w:t>
            </w:r>
          </w:p>
        </w:tc>
      </w:tr>
    </w:tbl>
    <w:p>
      <w:pPr>
        <w:spacing w:line="254" w:lineRule="auto" w:before="78"/>
        <w:ind w:left="1723" w:right="1835" w:firstLine="0"/>
        <w:jc w:val="both"/>
        <w:rPr>
          <w:sz w:val="16"/>
        </w:rPr>
      </w:pPr>
      <w:r>
        <w:rPr>
          <w:color w:val="231F20"/>
          <w:w w:val="105"/>
          <w:sz w:val="16"/>
        </w:rPr>
        <w:t>Fuente:</w:t>
      </w:r>
      <w:r>
        <w:rPr>
          <w:color w:val="231F20"/>
          <w:spacing w:val="-8"/>
          <w:w w:val="105"/>
          <w:sz w:val="16"/>
        </w:rPr>
        <w:t> </w:t>
      </w:r>
      <w:r>
        <w:rPr>
          <w:color w:val="231F20"/>
          <w:w w:val="105"/>
          <w:sz w:val="16"/>
        </w:rPr>
        <w:t>elaboración</w:t>
      </w:r>
      <w:r>
        <w:rPr>
          <w:color w:val="231F20"/>
          <w:spacing w:val="-8"/>
          <w:w w:val="105"/>
          <w:sz w:val="16"/>
        </w:rPr>
        <w:t> </w:t>
      </w:r>
      <w:r>
        <w:rPr>
          <w:color w:val="231F20"/>
          <w:w w:val="105"/>
          <w:sz w:val="16"/>
        </w:rPr>
        <w:t>propia,</w:t>
      </w:r>
      <w:r>
        <w:rPr>
          <w:color w:val="231F20"/>
          <w:spacing w:val="-11"/>
          <w:w w:val="105"/>
          <w:sz w:val="16"/>
        </w:rPr>
        <w:t> </w:t>
      </w:r>
      <w:r>
        <w:rPr>
          <w:color w:val="231F20"/>
          <w:w w:val="105"/>
          <w:sz w:val="16"/>
        </w:rPr>
        <w:t>con</w:t>
      </w:r>
      <w:r>
        <w:rPr>
          <w:color w:val="231F20"/>
          <w:spacing w:val="-8"/>
          <w:w w:val="105"/>
          <w:sz w:val="16"/>
        </w:rPr>
        <w:t> </w:t>
      </w:r>
      <w:r>
        <w:rPr>
          <w:color w:val="231F20"/>
          <w:w w:val="105"/>
          <w:sz w:val="16"/>
        </w:rPr>
        <w:t>datos</w:t>
      </w:r>
      <w:r>
        <w:rPr>
          <w:color w:val="231F20"/>
          <w:spacing w:val="-8"/>
          <w:w w:val="105"/>
          <w:sz w:val="16"/>
        </w:rPr>
        <w:t> </w:t>
      </w:r>
      <w:r>
        <w:rPr>
          <w:color w:val="231F20"/>
          <w:w w:val="105"/>
          <w:sz w:val="16"/>
        </w:rPr>
        <w:t>del</w:t>
      </w:r>
      <w:r>
        <w:rPr>
          <w:color w:val="231F20"/>
          <w:spacing w:val="-8"/>
          <w:w w:val="105"/>
          <w:sz w:val="16"/>
        </w:rPr>
        <w:t> </w:t>
      </w:r>
      <w:r>
        <w:rPr>
          <w:color w:val="231F20"/>
          <w:w w:val="105"/>
          <w:sz w:val="16"/>
        </w:rPr>
        <w:t>Boletín</w:t>
      </w:r>
      <w:r>
        <w:rPr>
          <w:color w:val="231F20"/>
          <w:spacing w:val="-8"/>
          <w:w w:val="105"/>
          <w:sz w:val="16"/>
        </w:rPr>
        <w:t> </w:t>
      </w:r>
      <w:r>
        <w:rPr>
          <w:color w:val="231F20"/>
          <w:w w:val="105"/>
          <w:sz w:val="16"/>
        </w:rPr>
        <w:t>Estadístico</w:t>
      </w:r>
      <w:r>
        <w:rPr>
          <w:color w:val="231F20"/>
          <w:spacing w:val="-8"/>
          <w:w w:val="105"/>
          <w:sz w:val="16"/>
        </w:rPr>
        <w:t> </w:t>
      </w:r>
      <w:r>
        <w:rPr>
          <w:color w:val="231F20"/>
          <w:w w:val="105"/>
          <w:sz w:val="16"/>
        </w:rPr>
        <w:t>de</w:t>
      </w:r>
      <w:r>
        <w:rPr>
          <w:color w:val="231F20"/>
          <w:spacing w:val="-8"/>
          <w:w w:val="105"/>
          <w:sz w:val="16"/>
        </w:rPr>
        <w:t> </w:t>
      </w:r>
      <w:r>
        <w:rPr>
          <w:color w:val="231F20"/>
          <w:w w:val="105"/>
          <w:sz w:val="16"/>
        </w:rPr>
        <w:t>extranjeros</w:t>
      </w:r>
      <w:r>
        <w:rPr>
          <w:color w:val="231F20"/>
          <w:spacing w:val="-8"/>
          <w:w w:val="105"/>
          <w:sz w:val="16"/>
        </w:rPr>
        <w:t> </w:t>
      </w:r>
      <w:r>
        <w:rPr>
          <w:color w:val="231F20"/>
          <w:w w:val="105"/>
          <w:sz w:val="16"/>
        </w:rPr>
        <w:t>presentados</w:t>
      </w:r>
      <w:r>
        <w:rPr>
          <w:color w:val="231F20"/>
          <w:spacing w:val="-8"/>
          <w:w w:val="105"/>
          <w:sz w:val="16"/>
        </w:rPr>
        <w:t> </w:t>
      </w:r>
      <w:r>
        <w:rPr>
          <w:color w:val="231F20"/>
          <w:w w:val="105"/>
          <w:sz w:val="16"/>
        </w:rPr>
        <w:t>y</w:t>
      </w:r>
      <w:r>
        <w:rPr>
          <w:color w:val="231F20"/>
          <w:spacing w:val="-8"/>
          <w:w w:val="105"/>
          <w:sz w:val="16"/>
        </w:rPr>
        <w:t> </w:t>
      </w:r>
      <w:r>
        <w:rPr>
          <w:color w:val="231F20"/>
          <w:w w:val="105"/>
          <w:sz w:val="16"/>
        </w:rPr>
        <w:t>de- vueltos</w:t>
      </w:r>
      <w:r>
        <w:rPr>
          <w:color w:val="231F20"/>
          <w:spacing w:val="-17"/>
          <w:w w:val="105"/>
          <w:sz w:val="16"/>
        </w:rPr>
        <w:t> </w:t>
      </w:r>
      <w:r>
        <w:rPr>
          <w:color w:val="231F20"/>
          <w:w w:val="105"/>
          <w:sz w:val="16"/>
        </w:rPr>
        <w:t>en</w:t>
      </w:r>
      <w:r>
        <w:rPr>
          <w:color w:val="231F20"/>
          <w:spacing w:val="-17"/>
          <w:w w:val="105"/>
          <w:sz w:val="16"/>
        </w:rPr>
        <w:t> </w:t>
      </w:r>
      <w:r>
        <w:rPr>
          <w:color w:val="231F20"/>
          <w:w w:val="105"/>
          <w:sz w:val="16"/>
        </w:rPr>
        <w:t>México,</w:t>
      </w:r>
      <w:r>
        <w:rPr>
          <w:color w:val="231F20"/>
          <w:spacing w:val="-20"/>
          <w:w w:val="105"/>
          <w:sz w:val="16"/>
        </w:rPr>
        <w:t> </w:t>
      </w:r>
      <w:r>
        <w:rPr>
          <w:color w:val="231F20"/>
          <w:w w:val="105"/>
          <w:sz w:val="16"/>
        </w:rPr>
        <w:t>2015,</w:t>
      </w:r>
      <w:r>
        <w:rPr>
          <w:color w:val="231F20"/>
          <w:spacing w:val="-20"/>
          <w:w w:val="105"/>
          <w:sz w:val="16"/>
        </w:rPr>
        <w:t> </w:t>
      </w:r>
      <w:r>
        <w:rPr>
          <w:color w:val="231F20"/>
          <w:w w:val="105"/>
          <w:sz w:val="16"/>
        </w:rPr>
        <w:t>del</w:t>
      </w:r>
      <w:r>
        <w:rPr>
          <w:color w:val="231F20"/>
          <w:spacing w:val="-17"/>
          <w:w w:val="105"/>
          <w:sz w:val="16"/>
        </w:rPr>
        <w:t> </w:t>
      </w:r>
      <w:r>
        <w:rPr>
          <w:color w:val="231F20"/>
          <w:w w:val="105"/>
          <w:sz w:val="16"/>
        </w:rPr>
        <w:t>Instituto</w:t>
      </w:r>
      <w:r>
        <w:rPr>
          <w:color w:val="231F20"/>
          <w:spacing w:val="-17"/>
          <w:w w:val="105"/>
          <w:sz w:val="16"/>
        </w:rPr>
        <w:t> </w:t>
      </w:r>
      <w:r>
        <w:rPr>
          <w:color w:val="231F20"/>
          <w:w w:val="105"/>
          <w:sz w:val="16"/>
        </w:rPr>
        <w:t>Nacional</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Migración.</w:t>
      </w:r>
    </w:p>
    <w:p>
      <w:pPr>
        <w:pStyle w:val="BodyText"/>
        <w:rPr>
          <w:sz w:val="16"/>
        </w:rPr>
      </w:pPr>
    </w:p>
    <w:p>
      <w:pPr>
        <w:pStyle w:val="BodyText"/>
        <w:spacing w:line="261" w:lineRule="auto" w:before="101"/>
        <w:ind w:left="1723" w:right="1829"/>
        <w:jc w:val="both"/>
      </w:pPr>
      <w:r>
        <w:rPr>
          <w:color w:val="231F20"/>
          <w:w w:val="105"/>
        </w:rPr>
        <w:t>El aumento de estos datos es consistente con los datos que arroja el principal país de destino de migrantes mexicanos y centroamericanos. Según</w:t>
      </w:r>
      <w:r>
        <w:rPr>
          <w:color w:val="231F20"/>
          <w:spacing w:val="-7"/>
          <w:w w:val="105"/>
        </w:rPr>
        <w:t> </w:t>
      </w:r>
      <w:r>
        <w:rPr>
          <w:color w:val="231F20"/>
          <w:w w:val="105"/>
        </w:rPr>
        <w:t>datos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Unidad</w:t>
      </w:r>
      <w:r>
        <w:rPr>
          <w:color w:val="231F20"/>
          <w:spacing w:val="-7"/>
          <w:w w:val="105"/>
        </w:rPr>
        <w:t> </w:t>
      </w:r>
      <w:r>
        <w:rPr>
          <w:color w:val="231F20"/>
          <w:w w:val="105"/>
        </w:rPr>
        <w:t>de</w:t>
      </w:r>
      <w:r>
        <w:rPr>
          <w:color w:val="231F20"/>
          <w:spacing w:val="-7"/>
          <w:w w:val="105"/>
        </w:rPr>
        <w:t> </w:t>
      </w:r>
      <w:r>
        <w:rPr>
          <w:color w:val="231F20"/>
          <w:w w:val="105"/>
        </w:rPr>
        <w:t>Política</w:t>
      </w:r>
      <w:r>
        <w:rPr>
          <w:color w:val="231F20"/>
          <w:spacing w:val="-7"/>
          <w:w w:val="105"/>
        </w:rPr>
        <w:t> </w:t>
      </w:r>
      <w:r>
        <w:rPr>
          <w:color w:val="231F20"/>
          <w:w w:val="105"/>
        </w:rPr>
        <w:t>Migratoria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Secretaría</w:t>
      </w:r>
      <w:r>
        <w:rPr>
          <w:color w:val="231F20"/>
          <w:spacing w:val="-7"/>
          <w:w w:val="105"/>
        </w:rPr>
        <w:t> </w:t>
      </w:r>
      <w:r>
        <w:rPr>
          <w:color w:val="231F20"/>
          <w:w w:val="105"/>
        </w:rPr>
        <w:t>de</w:t>
      </w:r>
      <w:r>
        <w:rPr>
          <w:color w:val="231F20"/>
          <w:spacing w:val="-7"/>
          <w:w w:val="105"/>
        </w:rPr>
        <w:t> </w:t>
      </w:r>
      <w:r>
        <w:rPr>
          <w:color w:val="231F20"/>
          <w:w w:val="105"/>
        </w:rPr>
        <w:t>Go- bernación, los menores que han sido presentados ante el </w:t>
      </w:r>
      <w:r>
        <w:rPr>
          <w:color w:val="231F20"/>
          <w:w w:val="105"/>
          <w:sz w:val="17"/>
        </w:rPr>
        <w:t>INM </w:t>
      </w:r>
      <w:r>
        <w:rPr>
          <w:color w:val="231F20"/>
          <w:w w:val="105"/>
        </w:rPr>
        <w:t>no han hecho sino aumentar desde 2010. De acuerdo con este documento, el mayor incremento se presentó en el periodo enero-septiembre de</w:t>
      </w:r>
      <w:r>
        <w:rPr>
          <w:color w:val="231F20"/>
          <w:spacing w:val="-30"/>
          <w:w w:val="105"/>
        </w:rPr>
        <w:t> </w:t>
      </w:r>
      <w:r>
        <w:rPr>
          <w:color w:val="231F20"/>
          <w:w w:val="105"/>
        </w:rPr>
        <w:t>2014 con</w:t>
      </w:r>
      <w:r>
        <w:rPr>
          <w:color w:val="231F20"/>
          <w:spacing w:val="-11"/>
          <w:w w:val="105"/>
        </w:rPr>
        <w:t> </w:t>
      </w:r>
      <w:r>
        <w:rPr>
          <w:color w:val="231F20"/>
          <w:w w:val="105"/>
        </w:rPr>
        <w:t>17,322</w:t>
      </w:r>
      <w:r>
        <w:rPr>
          <w:color w:val="231F20"/>
          <w:spacing w:val="-11"/>
          <w:w w:val="105"/>
        </w:rPr>
        <w:t> </w:t>
      </w:r>
      <w:r>
        <w:rPr>
          <w:color w:val="231F20"/>
          <w:w w:val="105"/>
        </w:rPr>
        <w:t>menores</w:t>
      </w:r>
      <w:r>
        <w:rPr>
          <w:color w:val="231F20"/>
          <w:spacing w:val="-11"/>
          <w:w w:val="105"/>
        </w:rPr>
        <w:t> </w:t>
      </w:r>
      <w:r>
        <w:rPr>
          <w:color w:val="231F20"/>
          <w:w w:val="105"/>
        </w:rPr>
        <w:t>reportados,</w:t>
      </w:r>
      <w:r>
        <w:rPr>
          <w:color w:val="231F20"/>
          <w:spacing w:val="-17"/>
          <w:w w:val="105"/>
        </w:rPr>
        <w:t> </w:t>
      </w:r>
      <w:r>
        <w:rPr>
          <w:color w:val="231F20"/>
          <w:w w:val="105"/>
        </w:rPr>
        <w:t>cuando</w:t>
      </w:r>
      <w:r>
        <w:rPr>
          <w:color w:val="231F20"/>
          <w:spacing w:val="-11"/>
          <w:w w:val="105"/>
        </w:rPr>
        <w:t> </w:t>
      </w:r>
      <w:r>
        <w:rPr>
          <w:color w:val="231F20"/>
          <w:w w:val="105"/>
        </w:rPr>
        <w:t>en</w:t>
      </w:r>
      <w:r>
        <w:rPr>
          <w:color w:val="231F20"/>
          <w:spacing w:val="-11"/>
          <w:w w:val="105"/>
        </w:rPr>
        <w:t> </w:t>
      </w:r>
      <w:r>
        <w:rPr>
          <w:color w:val="231F20"/>
          <w:w w:val="105"/>
        </w:rPr>
        <w:t>2013,</w:t>
      </w:r>
      <w:r>
        <w:rPr>
          <w:color w:val="231F20"/>
          <w:spacing w:val="-17"/>
          <w:w w:val="105"/>
        </w:rPr>
        <w:t> </w:t>
      </w:r>
      <w:r>
        <w:rPr>
          <w:color w:val="231F20"/>
          <w:w w:val="105"/>
        </w:rPr>
        <w:t>en</w:t>
      </w:r>
      <w:r>
        <w:rPr>
          <w:color w:val="231F20"/>
          <w:spacing w:val="-11"/>
          <w:w w:val="105"/>
        </w:rPr>
        <w:t> </w:t>
      </w:r>
      <w:r>
        <w:rPr>
          <w:color w:val="231F20"/>
          <w:w w:val="105"/>
        </w:rPr>
        <w:t>todo</w:t>
      </w:r>
      <w:r>
        <w:rPr>
          <w:color w:val="231F20"/>
          <w:spacing w:val="-11"/>
          <w:w w:val="105"/>
        </w:rPr>
        <w:t> </w:t>
      </w:r>
      <w:r>
        <w:rPr>
          <w:color w:val="231F20"/>
          <w:w w:val="105"/>
        </w:rPr>
        <w:t>el</w:t>
      </w:r>
      <w:r>
        <w:rPr>
          <w:color w:val="231F20"/>
          <w:spacing w:val="-11"/>
          <w:w w:val="105"/>
        </w:rPr>
        <w:t> </w:t>
      </w:r>
      <w:r>
        <w:rPr>
          <w:color w:val="231F20"/>
          <w:w w:val="105"/>
        </w:rPr>
        <w:t>periodo,</w:t>
      </w:r>
      <w:r>
        <w:rPr>
          <w:color w:val="231F20"/>
          <w:spacing w:val="-17"/>
          <w:w w:val="105"/>
        </w:rPr>
        <w:t> </w:t>
      </w:r>
      <w:r>
        <w:rPr>
          <w:color w:val="231F20"/>
          <w:w w:val="105"/>
        </w:rPr>
        <w:t>se reportaron 9,630 (</w:t>
      </w:r>
      <w:r>
        <w:rPr>
          <w:color w:val="231F20"/>
          <w:w w:val="105"/>
          <w:sz w:val="17"/>
        </w:rPr>
        <w:t>SEGOB</w:t>
      </w:r>
      <w:r>
        <w:rPr>
          <w:color w:val="231F20"/>
          <w:w w:val="105"/>
        </w:rPr>
        <w:t>, 2014: 2). Puesto que los datos a menudo</w:t>
      </w:r>
      <w:r>
        <w:rPr>
          <w:color w:val="231F20"/>
          <w:spacing w:val="-31"/>
          <w:w w:val="105"/>
        </w:rPr>
        <w:t> </w:t>
      </w:r>
      <w:r>
        <w:rPr>
          <w:color w:val="231F20"/>
          <w:w w:val="105"/>
        </w:rPr>
        <w:t>son indicativos, es razonable suponer que el número </w:t>
      </w:r>
      <w:r>
        <w:rPr>
          <w:w w:val="105"/>
        </w:rPr>
        <w:t>de </w:t>
      </w:r>
      <w:r>
        <w:rPr>
          <w:w w:val="105"/>
          <w:sz w:val="17"/>
        </w:rPr>
        <w:t>NNA </w:t>
      </w:r>
      <w:r>
        <w:rPr>
          <w:w w:val="105"/>
        </w:rPr>
        <w:t>migrantes no acompañados</w:t>
      </w:r>
      <w:r>
        <w:rPr>
          <w:spacing w:val="-40"/>
          <w:w w:val="105"/>
        </w:rPr>
        <w:t> </w:t>
      </w:r>
      <w:r>
        <w:rPr>
          <w:color w:val="231F20"/>
          <w:w w:val="105"/>
        </w:rPr>
        <w:t>es</w:t>
      </w:r>
      <w:r>
        <w:rPr>
          <w:color w:val="231F20"/>
          <w:spacing w:val="-40"/>
          <w:w w:val="105"/>
        </w:rPr>
        <w:t> </w:t>
      </w:r>
      <w:r>
        <w:rPr>
          <w:color w:val="231F20"/>
          <w:w w:val="105"/>
        </w:rPr>
        <w:t>mayor.</w:t>
      </w:r>
    </w:p>
    <w:p>
      <w:pPr>
        <w:pStyle w:val="BodyText"/>
        <w:spacing w:line="261" w:lineRule="auto" w:before="1"/>
        <w:ind w:left="1723" w:right="1834" w:firstLine="567"/>
        <w:jc w:val="both"/>
      </w:pPr>
      <w:r>
        <w:rPr>
          <w:color w:val="231F20"/>
          <w:w w:val="105"/>
        </w:rPr>
        <w:t>El flujo permanente de personas no sólo ha generado toda una gama</w:t>
      </w:r>
      <w:r>
        <w:rPr>
          <w:color w:val="231F20"/>
          <w:spacing w:val="-19"/>
          <w:w w:val="105"/>
        </w:rPr>
        <w:t> </w:t>
      </w:r>
      <w:r>
        <w:rPr>
          <w:color w:val="231F20"/>
          <w:w w:val="105"/>
        </w:rPr>
        <w:t>de</w:t>
      </w:r>
      <w:r>
        <w:rPr>
          <w:color w:val="231F20"/>
          <w:spacing w:val="-19"/>
          <w:w w:val="105"/>
        </w:rPr>
        <w:t> </w:t>
      </w:r>
      <w:r>
        <w:rPr>
          <w:color w:val="231F20"/>
          <w:w w:val="105"/>
        </w:rPr>
        <w:t>servicios</w:t>
      </w:r>
      <w:r>
        <w:rPr>
          <w:color w:val="231F20"/>
          <w:spacing w:val="-19"/>
          <w:w w:val="105"/>
        </w:rPr>
        <w:t> </w:t>
      </w:r>
      <w:r>
        <w:rPr>
          <w:color w:val="231F20"/>
          <w:w w:val="105"/>
        </w:rPr>
        <w:t>informales:</w:t>
      </w:r>
      <w:r>
        <w:rPr>
          <w:color w:val="231F20"/>
          <w:spacing w:val="-19"/>
          <w:w w:val="105"/>
        </w:rPr>
        <w:t> </w:t>
      </w:r>
      <w:r>
        <w:rPr>
          <w:color w:val="231F20"/>
          <w:w w:val="105"/>
        </w:rPr>
        <w:t>también</w:t>
      </w:r>
      <w:r>
        <w:rPr>
          <w:color w:val="231F20"/>
          <w:spacing w:val="-19"/>
          <w:w w:val="105"/>
        </w:rPr>
        <w:t> </w:t>
      </w:r>
      <w:r>
        <w:rPr>
          <w:color w:val="231F20"/>
          <w:w w:val="105"/>
        </w:rPr>
        <w:t>ha</w:t>
      </w:r>
      <w:r>
        <w:rPr>
          <w:color w:val="231F20"/>
          <w:spacing w:val="-19"/>
          <w:w w:val="105"/>
        </w:rPr>
        <w:t> </w:t>
      </w:r>
      <w:r>
        <w:rPr>
          <w:color w:val="231F20"/>
          <w:w w:val="105"/>
        </w:rPr>
        <w:t>atraído</w:t>
      </w:r>
      <w:r>
        <w:rPr>
          <w:color w:val="231F20"/>
          <w:spacing w:val="-19"/>
          <w:w w:val="105"/>
        </w:rPr>
        <w:t> </w:t>
      </w:r>
      <w:r>
        <w:rPr>
          <w:color w:val="231F20"/>
          <w:w w:val="105"/>
        </w:rPr>
        <w:t>a</w:t>
      </w:r>
      <w:r>
        <w:rPr>
          <w:color w:val="231F20"/>
          <w:spacing w:val="-19"/>
          <w:w w:val="105"/>
        </w:rPr>
        <w:t> </w:t>
      </w:r>
      <w:r>
        <w:rPr>
          <w:color w:val="231F20"/>
          <w:w w:val="105"/>
        </w:rPr>
        <w:t>grupos</w:t>
      </w:r>
      <w:r>
        <w:rPr>
          <w:color w:val="231F20"/>
          <w:spacing w:val="-19"/>
          <w:w w:val="105"/>
        </w:rPr>
        <w:t> </w:t>
      </w:r>
      <w:r>
        <w:rPr>
          <w:color w:val="231F20"/>
          <w:w w:val="105"/>
        </w:rPr>
        <w:t>del</w:t>
      </w:r>
      <w:r>
        <w:rPr>
          <w:color w:val="231F20"/>
          <w:spacing w:val="-19"/>
          <w:w w:val="105"/>
        </w:rPr>
        <w:t> </w:t>
      </w:r>
      <w:r>
        <w:rPr>
          <w:color w:val="231F20"/>
          <w:w w:val="105"/>
        </w:rPr>
        <w:t>crimen</w:t>
      </w:r>
      <w:r>
        <w:rPr>
          <w:color w:val="231F20"/>
          <w:spacing w:val="-19"/>
          <w:w w:val="105"/>
        </w:rPr>
        <w:t> </w:t>
      </w:r>
      <w:r>
        <w:rPr>
          <w:color w:val="231F20"/>
          <w:w w:val="105"/>
        </w:rPr>
        <w:t>or- ganizado,</w:t>
      </w:r>
      <w:r>
        <w:rPr>
          <w:color w:val="231F20"/>
          <w:spacing w:val="-20"/>
          <w:w w:val="105"/>
        </w:rPr>
        <w:t> </w:t>
      </w:r>
      <w:r>
        <w:rPr>
          <w:color w:val="231F20"/>
          <w:w w:val="105"/>
        </w:rPr>
        <w:t>alentados</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clandestinidad</w:t>
      </w:r>
      <w:r>
        <w:rPr>
          <w:color w:val="231F20"/>
          <w:spacing w:val="-15"/>
          <w:w w:val="105"/>
        </w:rPr>
        <w:t> </w:t>
      </w:r>
      <w:r>
        <w:rPr>
          <w:color w:val="231F20"/>
          <w:w w:val="105"/>
        </w:rPr>
        <w:t>que</w:t>
      </w:r>
      <w:r>
        <w:rPr>
          <w:color w:val="231F20"/>
          <w:spacing w:val="-15"/>
          <w:w w:val="105"/>
        </w:rPr>
        <w:t> </w:t>
      </w:r>
      <w:r>
        <w:rPr>
          <w:color w:val="231F20"/>
          <w:w w:val="105"/>
        </w:rPr>
        <w:t>caracteriza</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migración irregular.</w:t>
      </w:r>
      <w:r>
        <w:rPr>
          <w:color w:val="231F20"/>
          <w:spacing w:val="-19"/>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publicación</w:t>
      </w:r>
      <w:r>
        <w:rPr>
          <w:color w:val="231F20"/>
          <w:spacing w:val="-14"/>
          <w:w w:val="105"/>
        </w:rPr>
        <w:t> </w:t>
      </w:r>
      <w:r>
        <w:rPr>
          <w:rFonts w:ascii="Arial" w:hAnsi="Arial"/>
          <w:i/>
          <w:color w:val="231F20"/>
          <w:w w:val="105"/>
        </w:rPr>
        <w:t>Víctimas</w:t>
      </w:r>
      <w:r>
        <w:rPr>
          <w:rFonts w:ascii="Arial" w:hAnsi="Arial"/>
          <w:i/>
          <w:color w:val="231F20"/>
          <w:spacing w:val="-17"/>
          <w:w w:val="105"/>
        </w:rPr>
        <w:t> </w:t>
      </w:r>
      <w:r>
        <w:rPr>
          <w:rFonts w:ascii="Arial" w:hAnsi="Arial"/>
          <w:i/>
          <w:color w:val="231F20"/>
          <w:w w:val="105"/>
        </w:rPr>
        <w:t>invisibles.</w:t>
      </w:r>
      <w:r>
        <w:rPr>
          <w:rFonts w:ascii="Arial" w:hAnsi="Arial"/>
          <w:i/>
          <w:color w:val="231F20"/>
          <w:spacing w:val="-22"/>
          <w:w w:val="105"/>
        </w:rPr>
        <w:t> </w:t>
      </w:r>
      <w:r>
        <w:rPr>
          <w:rFonts w:ascii="Arial" w:hAnsi="Arial"/>
          <w:i/>
          <w:color w:val="231F20"/>
          <w:w w:val="105"/>
        </w:rPr>
        <w:t>Migrantes</w:t>
      </w:r>
      <w:r>
        <w:rPr>
          <w:rFonts w:ascii="Arial" w:hAnsi="Arial"/>
          <w:i/>
          <w:color w:val="231F20"/>
          <w:spacing w:val="-17"/>
          <w:w w:val="105"/>
        </w:rPr>
        <w:t> </w:t>
      </w:r>
      <w:r>
        <w:rPr>
          <w:rFonts w:ascii="Arial" w:hAnsi="Arial"/>
          <w:i/>
          <w:color w:val="231F20"/>
          <w:w w:val="105"/>
        </w:rPr>
        <w:t>en</w:t>
      </w:r>
      <w:r>
        <w:rPr>
          <w:rFonts w:ascii="Arial" w:hAnsi="Arial"/>
          <w:i/>
          <w:color w:val="231F20"/>
          <w:spacing w:val="-17"/>
          <w:w w:val="105"/>
        </w:rPr>
        <w:t> </w:t>
      </w:r>
      <w:r>
        <w:rPr>
          <w:rFonts w:ascii="Arial" w:hAnsi="Arial"/>
          <w:i/>
          <w:color w:val="231F20"/>
          <w:w w:val="105"/>
        </w:rPr>
        <w:t>movimiento </w:t>
      </w:r>
      <w:r>
        <w:rPr>
          <w:rFonts w:ascii="Arial" w:hAnsi="Arial"/>
          <w:i/>
          <w:color w:val="231F20"/>
          <w:w w:val="105"/>
        </w:rPr>
        <w:t>en</w:t>
      </w:r>
      <w:r>
        <w:rPr>
          <w:rFonts w:ascii="Arial" w:hAnsi="Arial"/>
          <w:i/>
          <w:color w:val="231F20"/>
          <w:spacing w:val="-29"/>
          <w:w w:val="105"/>
        </w:rPr>
        <w:t> </w:t>
      </w:r>
      <w:r>
        <w:rPr>
          <w:rFonts w:ascii="Arial" w:hAnsi="Arial"/>
          <w:i/>
          <w:color w:val="231F20"/>
          <w:w w:val="105"/>
        </w:rPr>
        <w:t>México,</w:t>
      </w:r>
      <w:r>
        <w:rPr>
          <w:rFonts w:ascii="Arial" w:hAnsi="Arial"/>
          <w:i/>
          <w:color w:val="231F20"/>
          <w:spacing w:val="-32"/>
          <w:w w:val="105"/>
        </w:rPr>
        <w:t> </w:t>
      </w:r>
      <w:r>
        <w:rPr>
          <w:color w:val="231F20"/>
          <w:w w:val="105"/>
        </w:rPr>
        <w:t>Amnistía</w:t>
      </w:r>
      <w:r>
        <w:rPr>
          <w:color w:val="231F20"/>
          <w:spacing w:val="-27"/>
          <w:w w:val="105"/>
        </w:rPr>
        <w:t> </w:t>
      </w:r>
      <w:r>
        <w:rPr>
          <w:color w:val="231F20"/>
          <w:w w:val="105"/>
        </w:rPr>
        <w:t>Internacional</w:t>
      </w:r>
      <w:r>
        <w:rPr>
          <w:color w:val="231F20"/>
          <w:spacing w:val="-27"/>
          <w:w w:val="105"/>
        </w:rPr>
        <w:t> </w:t>
      </w:r>
      <w:r>
        <w:rPr>
          <w:color w:val="231F20"/>
          <w:w w:val="105"/>
        </w:rPr>
        <w:t>(</w:t>
      </w:r>
      <w:r>
        <w:rPr>
          <w:color w:val="231F20"/>
          <w:w w:val="105"/>
          <w:sz w:val="17"/>
        </w:rPr>
        <w:t>AI</w:t>
      </w:r>
      <w:r>
        <w:rPr>
          <w:color w:val="231F20"/>
          <w:w w:val="105"/>
        </w:rPr>
        <w:t>)</w:t>
      </w:r>
      <w:r>
        <w:rPr>
          <w:color w:val="231F20"/>
          <w:spacing w:val="-27"/>
          <w:w w:val="105"/>
        </w:rPr>
        <w:t> </w:t>
      </w:r>
      <w:r>
        <w:rPr>
          <w:color w:val="231F20"/>
          <w:w w:val="105"/>
        </w:rPr>
        <w:t>refiere:</w:t>
      </w:r>
    </w:p>
    <w:p>
      <w:pPr>
        <w:pStyle w:val="BodyText"/>
        <w:spacing w:before="7"/>
        <w:rPr>
          <w:sz w:val="18"/>
        </w:rPr>
      </w:pPr>
    </w:p>
    <w:p>
      <w:pPr>
        <w:spacing w:line="254" w:lineRule="auto" w:before="0"/>
        <w:ind w:left="2857" w:right="1834" w:firstLine="0"/>
        <w:jc w:val="both"/>
        <w:rPr>
          <w:sz w:val="18"/>
        </w:rPr>
      </w:pPr>
      <w:r>
        <w:rPr>
          <w:color w:val="231F20"/>
          <w:w w:val="105"/>
          <w:sz w:val="18"/>
        </w:rPr>
        <w:t>Cada</w:t>
      </w:r>
      <w:r>
        <w:rPr>
          <w:color w:val="231F20"/>
          <w:spacing w:val="-29"/>
          <w:w w:val="105"/>
          <w:sz w:val="18"/>
        </w:rPr>
        <w:t> </w:t>
      </w:r>
      <w:r>
        <w:rPr>
          <w:color w:val="231F20"/>
          <w:w w:val="105"/>
          <w:sz w:val="18"/>
        </w:rPr>
        <w:t>año,</w:t>
      </w:r>
      <w:r>
        <w:rPr>
          <w:color w:val="231F20"/>
          <w:spacing w:val="-32"/>
          <w:w w:val="105"/>
          <w:sz w:val="18"/>
        </w:rPr>
        <w:t> </w:t>
      </w:r>
      <w:r>
        <w:rPr>
          <w:color w:val="231F20"/>
          <w:w w:val="105"/>
          <w:sz w:val="18"/>
        </w:rPr>
        <w:t>decenas</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miles</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hombres,</w:t>
      </w:r>
      <w:r>
        <w:rPr>
          <w:color w:val="231F20"/>
          <w:spacing w:val="-32"/>
          <w:w w:val="105"/>
          <w:sz w:val="18"/>
        </w:rPr>
        <w:t> </w:t>
      </w:r>
      <w:r>
        <w:rPr>
          <w:color w:val="231F20"/>
          <w:w w:val="105"/>
          <w:sz w:val="18"/>
        </w:rPr>
        <w:t>mujeres,</w:t>
      </w:r>
      <w:r>
        <w:rPr>
          <w:color w:val="231F20"/>
          <w:spacing w:val="-32"/>
          <w:w w:val="105"/>
          <w:sz w:val="18"/>
        </w:rPr>
        <w:t> </w:t>
      </w:r>
      <w:r>
        <w:rPr>
          <w:color w:val="231F20"/>
          <w:w w:val="105"/>
          <w:sz w:val="18"/>
        </w:rPr>
        <w:t>niños</w:t>
      </w:r>
      <w:r>
        <w:rPr>
          <w:color w:val="231F20"/>
          <w:spacing w:val="-29"/>
          <w:w w:val="105"/>
          <w:sz w:val="18"/>
        </w:rPr>
        <w:t> </w:t>
      </w:r>
      <w:r>
        <w:rPr>
          <w:color w:val="231F20"/>
          <w:w w:val="105"/>
          <w:sz w:val="18"/>
        </w:rPr>
        <w:t>y</w:t>
      </w:r>
      <w:r>
        <w:rPr>
          <w:color w:val="231F20"/>
          <w:spacing w:val="-29"/>
          <w:w w:val="105"/>
          <w:sz w:val="18"/>
        </w:rPr>
        <w:t> </w:t>
      </w:r>
      <w:r>
        <w:rPr>
          <w:color w:val="231F20"/>
          <w:w w:val="105"/>
          <w:sz w:val="18"/>
        </w:rPr>
        <w:t>niñas</w:t>
      </w:r>
      <w:r>
        <w:rPr>
          <w:color w:val="231F20"/>
          <w:spacing w:val="-29"/>
          <w:w w:val="105"/>
          <w:sz w:val="18"/>
        </w:rPr>
        <w:t> </w:t>
      </w:r>
      <w:r>
        <w:rPr>
          <w:color w:val="231F20"/>
          <w:w w:val="105"/>
          <w:sz w:val="18"/>
        </w:rPr>
        <w:t>atravie- san México sin permiso legal, como migrantes irregulares </w:t>
      </w:r>
      <w:r>
        <w:rPr>
          <w:color w:val="231F20"/>
          <w:w w:val="115"/>
          <w:sz w:val="18"/>
        </w:rPr>
        <w:t>[…] </w:t>
      </w:r>
      <w:r>
        <w:rPr>
          <w:color w:val="231F20"/>
          <w:w w:val="105"/>
          <w:sz w:val="18"/>
        </w:rPr>
        <w:t>La</w:t>
      </w:r>
      <w:r>
        <w:rPr>
          <w:color w:val="231F20"/>
          <w:spacing w:val="-19"/>
          <w:w w:val="105"/>
          <w:sz w:val="18"/>
        </w:rPr>
        <w:t> </w:t>
      </w:r>
      <w:r>
        <w:rPr>
          <w:color w:val="231F20"/>
          <w:w w:val="105"/>
          <w:sz w:val="18"/>
        </w:rPr>
        <w:t>gran mayoría se dirigen a la frontera estadounidense con la esperanza de una nueva vida lejos de la pobreza que han dejado atrás. Su viaje es uno</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los</w:t>
      </w:r>
      <w:r>
        <w:rPr>
          <w:color w:val="231F20"/>
          <w:spacing w:val="-10"/>
          <w:w w:val="105"/>
          <w:sz w:val="18"/>
        </w:rPr>
        <w:t> </w:t>
      </w:r>
      <w:r>
        <w:rPr>
          <w:color w:val="231F20"/>
          <w:w w:val="105"/>
          <w:sz w:val="18"/>
        </w:rPr>
        <w:t>más</w:t>
      </w:r>
      <w:r>
        <w:rPr>
          <w:color w:val="231F20"/>
          <w:spacing w:val="-10"/>
          <w:w w:val="105"/>
          <w:sz w:val="18"/>
        </w:rPr>
        <w:t> </w:t>
      </w:r>
      <w:r>
        <w:rPr>
          <w:color w:val="231F20"/>
          <w:w w:val="105"/>
          <w:sz w:val="18"/>
        </w:rPr>
        <w:t>peligrosos</w:t>
      </w:r>
      <w:r>
        <w:rPr>
          <w:color w:val="231F20"/>
          <w:spacing w:val="-10"/>
          <w:w w:val="105"/>
          <w:sz w:val="18"/>
        </w:rPr>
        <w:t> </w:t>
      </w:r>
      <w:r>
        <w:rPr>
          <w:color w:val="231F20"/>
          <w:w w:val="105"/>
          <w:sz w:val="18"/>
        </w:rPr>
        <w:t>del</w:t>
      </w:r>
      <w:r>
        <w:rPr>
          <w:color w:val="231F20"/>
          <w:spacing w:val="-10"/>
          <w:w w:val="105"/>
          <w:sz w:val="18"/>
        </w:rPr>
        <w:t> </w:t>
      </w:r>
      <w:r>
        <w:rPr>
          <w:color w:val="231F20"/>
          <w:w w:val="105"/>
          <w:sz w:val="18"/>
        </w:rPr>
        <w:t>mundo</w:t>
      </w:r>
      <w:r>
        <w:rPr>
          <w:color w:val="231F20"/>
          <w:spacing w:val="-10"/>
          <w:w w:val="105"/>
          <w:sz w:val="18"/>
        </w:rPr>
        <w:t> </w:t>
      </w:r>
      <w:r>
        <w:rPr>
          <w:color w:val="231F20"/>
          <w:w w:val="105"/>
          <w:sz w:val="18"/>
        </w:rPr>
        <w:t>(AI,</w:t>
      </w:r>
      <w:r>
        <w:rPr>
          <w:color w:val="231F20"/>
          <w:spacing w:val="-15"/>
          <w:w w:val="105"/>
          <w:sz w:val="18"/>
        </w:rPr>
        <w:t> </w:t>
      </w:r>
      <w:r>
        <w:rPr>
          <w:color w:val="231F20"/>
          <w:w w:val="105"/>
          <w:sz w:val="18"/>
        </w:rPr>
        <w:t>2010:</w:t>
      </w:r>
      <w:r>
        <w:rPr>
          <w:color w:val="231F20"/>
          <w:spacing w:val="-10"/>
          <w:w w:val="105"/>
          <w:sz w:val="18"/>
        </w:rPr>
        <w:t> </w:t>
      </w:r>
      <w:r>
        <w:rPr>
          <w:color w:val="231F20"/>
          <w:w w:val="105"/>
          <w:sz w:val="18"/>
        </w:rPr>
        <w:t>5).</w:t>
      </w:r>
    </w:p>
    <w:p>
      <w:pPr>
        <w:pStyle w:val="BodyText"/>
        <w:spacing w:before="5"/>
      </w:pPr>
    </w:p>
    <w:p>
      <w:pPr>
        <w:spacing w:line="261" w:lineRule="auto" w:before="0"/>
        <w:ind w:left="1723" w:right="1830" w:firstLine="0"/>
        <w:jc w:val="both"/>
        <w:rPr>
          <w:sz w:val="21"/>
        </w:rPr>
      </w:pPr>
      <w:r>
        <w:rPr>
          <w:color w:val="231F20"/>
          <w:sz w:val="21"/>
        </w:rPr>
        <w:t>Es importante señalar que la mayoría de delitos cometidos </w:t>
      </w:r>
      <w:r>
        <w:rPr>
          <w:color w:val="231F20"/>
          <w:spacing w:val="-2"/>
          <w:sz w:val="21"/>
        </w:rPr>
        <w:t>contra </w:t>
      </w:r>
      <w:r>
        <w:rPr>
          <w:color w:val="231F20"/>
          <w:sz w:val="21"/>
        </w:rPr>
        <w:t>los mi- grantes se </w:t>
      </w:r>
      <w:r>
        <w:rPr>
          <w:color w:val="231F20"/>
          <w:spacing w:val="-3"/>
          <w:sz w:val="21"/>
        </w:rPr>
        <w:t>presentan </w:t>
      </w:r>
      <w:r>
        <w:rPr>
          <w:color w:val="231F20"/>
          <w:sz w:val="21"/>
        </w:rPr>
        <w:t>en las zonas aledañas a las vías </w:t>
      </w:r>
      <w:r>
        <w:rPr>
          <w:color w:val="231F20"/>
          <w:spacing w:val="-3"/>
          <w:sz w:val="21"/>
        </w:rPr>
        <w:t>ferroviarias, </w:t>
      </w:r>
      <w:r>
        <w:rPr>
          <w:color w:val="231F20"/>
          <w:sz w:val="21"/>
        </w:rPr>
        <w:t>pues estas </w:t>
      </w:r>
      <w:r>
        <w:rPr>
          <w:color w:val="231F20"/>
          <w:spacing w:val="-3"/>
          <w:sz w:val="21"/>
        </w:rPr>
        <w:t>representan </w:t>
      </w:r>
      <w:r>
        <w:rPr>
          <w:color w:val="231F20"/>
          <w:sz w:val="21"/>
        </w:rPr>
        <w:t>el medio de </w:t>
      </w:r>
      <w:r>
        <w:rPr>
          <w:color w:val="231F20"/>
          <w:spacing w:val="-3"/>
          <w:sz w:val="21"/>
        </w:rPr>
        <w:t>transporte </w:t>
      </w:r>
      <w:r>
        <w:rPr>
          <w:color w:val="231F20"/>
          <w:sz w:val="21"/>
        </w:rPr>
        <w:t>masivo hacia Estados Unidos.  En este sentido, los </w:t>
      </w:r>
      <w:r>
        <w:rPr>
          <w:color w:val="231F20"/>
          <w:spacing w:val="-3"/>
          <w:sz w:val="21"/>
        </w:rPr>
        <w:t>menores </w:t>
      </w:r>
      <w:r>
        <w:rPr>
          <w:color w:val="231F20"/>
          <w:sz w:val="21"/>
        </w:rPr>
        <w:t>no solo no están exentos de sufrir violencia, sino que a menudo son las víctimas favoritas de grupos del crimen </w:t>
      </w:r>
      <w:r>
        <w:rPr>
          <w:color w:val="231F20"/>
          <w:spacing w:val="-3"/>
          <w:sz w:val="21"/>
        </w:rPr>
        <w:t>organi- </w:t>
      </w:r>
      <w:r>
        <w:rPr>
          <w:color w:val="231F20"/>
          <w:sz w:val="21"/>
        </w:rPr>
        <w:t>zado. </w:t>
      </w:r>
      <w:r>
        <w:rPr>
          <w:color w:val="231F20"/>
          <w:spacing w:val="-4"/>
          <w:sz w:val="21"/>
        </w:rPr>
        <w:t>Freddy </w:t>
      </w:r>
      <w:r>
        <w:rPr>
          <w:color w:val="231F20"/>
          <w:spacing w:val="-3"/>
          <w:sz w:val="21"/>
        </w:rPr>
        <w:t>Velázquez, salvadoreño </w:t>
      </w:r>
      <w:r>
        <w:rPr>
          <w:color w:val="231F20"/>
          <w:sz w:val="21"/>
        </w:rPr>
        <w:t>de 16 años, narra en los testimonios </w:t>
      </w:r>
      <w:r>
        <w:rPr>
          <w:color w:val="231F20"/>
          <w:spacing w:val="-3"/>
          <w:sz w:val="21"/>
        </w:rPr>
        <w:t>recogidos </w:t>
      </w:r>
      <w:r>
        <w:rPr>
          <w:color w:val="231F20"/>
          <w:sz w:val="21"/>
        </w:rPr>
        <w:t>por el </w:t>
      </w:r>
      <w:r>
        <w:rPr>
          <w:color w:val="231F20"/>
          <w:spacing w:val="-3"/>
          <w:sz w:val="21"/>
        </w:rPr>
        <w:t>Centro </w:t>
      </w:r>
      <w:r>
        <w:rPr>
          <w:color w:val="231F20"/>
          <w:sz w:val="21"/>
        </w:rPr>
        <w:t>de </w:t>
      </w:r>
      <w:r>
        <w:rPr>
          <w:color w:val="231F20"/>
          <w:spacing w:val="-3"/>
          <w:sz w:val="21"/>
        </w:rPr>
        <w:t>Derechos </w:t>
      </w:r>
      <w:r>
        <w:rPr>
          <w:color w:val="231F20"/>
          <w:sz w:val="21"/>
        </w:rPr>
        <w:t>Humanos </w:t>
      </w:r>
      <w:r>
        <w:rPr>
          <w:color w:val="231F20"/>
          <w:sz w:val="17"/>
        </w:rPr>
        <w:t>PRODH </w:t>
      </w:r>
      <w:r>
        <w:rPr>
          <w:color w:val="231F20"/>
          <w:sz w:val="21"/>
        </w:rPr>
        <w:t>(</w:t>
      </w:r>
      <w:r>
        <w:rPr>
          <w:color w:val="231F20"/>
          <w:sz w:val="17"/>
        </w:rPr>
        <w:t>CDH-PRODH</w:t>
      </w:r>
      <w:r>
        <w:rPr>
          <w:color w:val="231F20"/>
          <w:sz w:val="21"/>
        </w:rPr>
        <w:t>), en el </w:t>
      </w:r>
      <w:r>
        <w:rPr>
          <w:rFonts w:ascii="Arial" w:hAnsi="Arial"/>
          <w:i/>
          <w:color w:val="231F20"/>
          <w:sz w:val="21"/>
        </w:rPr>
        <w:t>Cuaderno sobre </w:t>
      </w:r>
      <w:r>
        <w:rPr>
          <w:rFonts w:ascii="Arial" w:hAnsi="Arial"/>
          <w:i/>
          <w:color w:val="231F20"/>
          <w:spacing w:val="-2"/>
          <w:sz w:val="21"/>
        </w:rPr>
        <w:t>secuestro </w:t>
      </w:r>
      <w:r>
        <w:rPr>
          <w:rFonts w:ascii="Arial" w:hAnsi="Arial"/>
          <w:i/>
          <w:color w:val="231F20"/>
          <w:sz w:val="21"/>
        </w:rPr>
        <w:t>de migrantes. Dimensión, contexto y testimo- </w:t>
      </w:r>
      <w:r>
        <w:rPr>
          <w:rFonts w:ascii="Arial" w:hAnsi="Arial"/>
          <w:i/>
          <w:color w:val="231F20"/>
          <w:sz w:val="21"/>
        </w:rPr>
        <w:t>nios de la experiencia de la migración en tránsito por México</w:t>
      </w:r>
      <w:r>
        <w:rPr>
          <w:color w:val="231F20"/>
          <w:sz w:val="21"/>
        </w:rPr>
        <w:t>, lo</w:t>
      </w:r>
      <w:r>
        <w:rPr>
          <w:color w:val="231F20"/>
          <w:spacing w:val="-8"/>
          <w:sz w:val="21"/>
        </w:rPr>
        <w:t> </w:t>
      </w:r>
      <w:r>
        <w:rPr>
          <w:color w:val="231F20"/>
          <w:sz w:val="21"/>
        </w:rPr>
        <w:t>siguiente:</w:t>
      </w:r>
    </w:p>
    <w:p>
      <w:pPr>
        <w:pStyle w:val="BodyText"/>
        <w:rPr>
          <w:sz w:val="20"/>
        </w:rPr>
      </w:pPr>
    </w:p>
    <w:p>
      <w:pPr>
        <w:pStyle w:val="BodyText"/>
        <w:rPr>
          <w:sz w:val="20"/>
        </w:rPr>
      </w:pPr>
    </w:p>
    <w:p>
      <w:pPr>
        <w:pStyle w:val="BodyText"/>
        <w:rPr>
          <w:sz w:val="27"/>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2728" from="131.551193pt,3.753715pt" to="131.551193pt,39.556114pt" stroked="true" strokeweight=".35pt" strokecolor="#231f20">
            <w10:wrap type="none"/>
          </v:line>
        </w:pict>
      </w:r>
      <w:r>
        <w:rPr/>
        <w:pict>
          <v:line style="position:absolute;mso-position-horizontal-relative:page;mso-position-vertical-relative:paragraph;z-index:-482656" from="15pt,39.555916pt" to="0pt,39.555916pt" stroked="true" strokeweight=".25pt" strokecolor="#000000">
            <w10:wrap type="none"/>
          </v:line>
        </w:pict>
      </w:r>
      <w:r>
        <w:rPr/>
        <w:pict>
          <v:line style="position:absolute;mso-position-horizontal-relative:page;mso-position-vertical-relative:paragraph;z-index:7552" from="508.890015pt,39.555916pt" to="523.890015pt,39.555916pt" stroked="true" strokeweight=".25pt" strokecolor="#000000">
            <w10:wrap type="none"/>
          </v:line>
        </w:pict>
      </w:r>
      <w:r>
        <w:rPr>
          <w:rFonts w:ascii="Arial" w:hAnsi="Arial"/>
          <w:color w:val="414042"/>
          <w:position w:val="-5"/>
          <w:sz w:val="20"/>
        </w:rPr>
        <w:t>76</w:t>
        <w:tab/>
      </w:r>
      <w:r>
        <w:rPr>
          <w:rFonts w:ascii="Calibri" w:hAnsi="Calibri"/>
          <w:color w:val="6D6E71"/>
          <w:sz w:val="15"/>
        </w:rPr>
        <w:t>María de Lourdes Morales Reynoso y Claudia Arianne Martínez  </w:t>
      </w:r>
      <w:r>
        <w:rPr>
          <w:rFonts w:ascii="Calibri" w:hAnsi="Calibri"/>
          <w:color w:val="6D6E71"/>
          <w:spacing w:val="16"/>
          <w:sz w:val="15"/>
        </w:rPr>
        <w:t> </w:t>
      </w:r>
      <w:r>
        <w:rPr>
          <w:rFonts w:ascii="Calibri" w:hAnsi="Calibri"/>
          <w:color w:val="6D6E71"/>
          <w:sz w:val="15"/>
        </w:rPr>
        <w:t>Zaragoza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line="208" w:lineRule="exact" w:before="187"/>
        <w:ind w:left="2163" w:right="0" w:firstLine="0"/>
        <w:jc w:val="left"/>
        <w:rPr>
          <w:rFonts w:ascii="Arial" w:hAnsi="Arial"/>
          <w:sz w:val="20"/>
        </w:rPr>
      </w:pPr>
      <w:r>
        <w:rPr/>
        <w:pict>
          <v:line style="position:absolute;mso-position-horizontal-relative:page;mso-position-vertical-relative:paragraph;z-index:-482608" from="405.061005pt,-18.554295pt" to="405.061005pt,16.311579pt" stroked="true" strokeweight=".35pt" strokecolor="#231f20">
            <w10:wrap type="none"/>
          </v:line>
        </w:pict>
      </w:r>
      <w:r>
        <w:rPr/>
        <w:pict>
          <v:line style="position:absolute;mso-position-horizontal-relative:page;mso-position-vertical-relative:paragraph;z-index:7600" from="15pt,-18.554522pt" to="0pt,-18.554522pt" stroked="true" strokeweight=".25pt" strokecolor="#000000">
            <w10:wrap type="none"/>
          </v:line>
        </w:pict>
      </w:r>
      <w:r>
        <w:rPr/>
        <w:pict>
          <v:line style="position:absolute;mso-position-horizontal-relative:page;mso-position-vertical-relative:paragraph;z-index:7624" from="508.890015pt,-18.554522pt" to="523.890015pt,-18.554522pt" stroked="true" strokeweight=".25pt" strokecolor="#000000">
            <w10:wrap type="none"/>
          </v:line>
        </w:pict>
      </w:r>
      <w:r>
        <w:rPr>
          <w:rFonts w:ascii="Lucida Sans Unicode" w:hAnsi="Lucida Sans Unicode"/>
          <w:color w:val="6D6E71"/>
          <w:w w:val="105"/>
          <w:sz w:val="14"/>
        </w:rPr>
        <w:t>Los</w:t>
      </w:r>
      <w:r>
        <w:rPr>
          <w:rFonts w:ascii="Lucida Sans Unicode" w:hAnsi="Lucida Sans Unicode"/>
          <w:color w:val="6D6E71"/>
          <w:spacing w:val="-14"/>
          <w:w w:val="105"/>
          <w:sz w:val="14"/>
        </w:rPr>
        <w:t> </w:t>
      </w:r>
      <w:r>
        <w:rPr>
          <w:rFonts w:ascii="Lucida Sans Unicode" w:hAnsi="Lucida Sans Unicode"/>
          <w:color w:val="6D6E71"/>
          <w:w w:val="105"/>
          <w:sz w:val="14"/>
        </w:rPr>
        <w:t>pequeños</w:t>
      </w:r>
      <w:r>
        <w:rPr>
          <w:rFonts w:ascii="Lucida Sans Unicode" w:hAnsi="Lucida Sans Unicode"/>
          <w:color w:val="6D6E71"/>
          <w:spacing w:val="-14"/>
          <w:w w:val="105"/>
          <w:sz w:val="14"/>
        </w:rPr>
        <w:t> </w:t>
      </w:r>
      <w:r>
        <w:rPr>
          <w:rFonts w:ascii="Lucida Sans Unicode" w:hAnsi="Lucida Sans Unicode"/>
          <w:color w:val="6D6E71"/>
          <w:w w:val="105"/>
          <w:sz w:val="14"/>
        </w:rPr>
        <w:t>“soñadores”</w:t>
      </w:r>
      <w:r>
        <w:rPr>
          <w:rFonts w:ascii="Lucida Sans Unicode" w:hAnsi="Lucida Sans Unicode"/>
          <w:color w:val="6D6E71"/>
          <w:spacing w:val="-14"/>
          <w:w w:val="105"/>
          <w:sz w:val="14"/>
        </w:rPr>
        <w:t> </w:t>
      </w:r>
      <w:r>
        <w:rPr>
          <w:rFonts w:ascii="Lucida Sans Unicode" w:hAnsi="Lucida Sans Unicode"/>
          <w:color w:val="6D6E71"/>
          <w:w w:val="105"/>
          <w:sz w:val="14"/>
        </w:rPr>
        <w:t>no</w:t>
      </w:r>
      <w:r>
        <w:rPr>
          <w:rFonts w:ascii="Lucida Sans Unicode" w:hAnsi="Lucida Sans Unicode"/>
          <w:color w:val="6D6E71"/>
          <w:spacing w:val="-14"/>
          <w:w w:val="105"/>
          <w:sz w:val="14"/>
        </w:rPr>
        <w:t> </w:t>
      </w:r>
      <w:r>
        <w:rPr>
          <w:rFonts w:ascii="Lucida Sans Unicode" w:hAnsi="Lucida Sans Unicode"/>
          <w:color w:val="6D6E71"/>
          <w:w w:val="105"/>
          <w:sz w:val="14"/>
        </w:rPr>
        <w:t>acompañados</w:t>
      </w:r>
      <w:r>
        <w:rPr>
          <w:rFonts w:ascii="Lucida Sans Unicode" w:hAnsi="Lucida Sans Unicode"/>
          <w:color w:val="6D6E71"/>
          <w:spacing w:val="-14"/>
          <w:w w:val="105"/>
          <w:sz w:val="14"/>
        </w:rPr>
        <w:t> </w:t>
      </w:r>
      <w:r>
        <w:rPr>
          <w:rFonts w:ascii="Lucida Sans Unicode" w:hAnsi="Lucida Sans Unicode"/>
          <w:color w:val="6D6E71"/>
          <w:w w:val="105"/>
          <w:sz w:val="14"/>
        </w:rPr>
        <w:t>en</w:t>
      </w:r>
      <w:r>
        <w:rPr>
          <w:rFonts w:ascii="Lucida Sans Unicode" w:hAnsi="Lucida Sans Unicode"/>
          <w:color w:val="6D6E71"/>
          <w:spacing w:val="-14"/>
          <w:w w:val="105"/>
          <w:sz w:val="14"/>
        </w:rPr>
        <w:t> </w:t>
      </w:r>
      <w:r>
        <w:rPr>
          <w:rFonts w:ascii="Lucida Sans Unicode" w:hAnsi="Lucida Sans Unicode"/>
          <w:color w:val="6D6E71"/>
          <w:w w:val="105"/>
          <w:sz w:val="14"/>
        </w:rPr>
        <w:t>su</w:t>
      </w:r>
      <w:r>
        <w:rPr>
          <w:rFonts w:ascii="Lucida Sans Unicode" w:hAnsi="Lucida Sans Unicode"/>
          <w:color w:val="6D6E71"/>
          <w:spacing w:val="-14"/>
          <w:w w:val="105"/>
          <w:sz w:val="14"/>
        </w:rPr>
        <w:t> </w:t>
      </w:r>
      <w:r>
        <w:rPr>
          <w:rFonts w:ascii="Lucida Sans Unicode" w:hAnsi="Lucida Sans Unicode"/>
          <w:color w:val="6D6E71"/>
          <w:w w:val="105"/>
          <w:sz w:val="14"/>
        </w:rPr>
        <w:t>tránsito</w:t>
      </w:r>
      <w:r>
        <w:rPr>
          <w:rFonts w:ascii="Lucida Sans Unicode" w:hAnsi="Lucida Sans Unicode"/>
          <w:color w:val="6D6E71"/>
          <w:spacing w:val="-14"/>
          <w:w w:val="105"/>
          <w:sz w:val="14"/>
        </w:rPr>
        <w:t> </w:t>
      </w:r>
      <w:r>
        <w:rPr>
          <w:rFonts w:ascii="Lucida Sans Unicode" w:hAnsi="Lucida Sans Unicode"/>
          <w:color w:val="6D6E71"/>
          <w:w w:val="105"/>
          <w:sz w:val="14"/>
        </w:rPr>
        <w:t>por</w:t>
      </w:r>
      <w:r>
        <w:rPr>
          <w:rFonts w:ascii="Lucida Sans Unicode" w:hAnsi="Lucida Sans Unicode"/>
          <w:color w:val="6D6E71"/>
          <w:spacing w:val="-14"/>
          <w:w w:val="105"/>
          <w:sz w:val="14"/>
        </w:rPr>
        <w:t> </w:t>
      </w:r>
      <w:r>
        <w:rPr>
          <w:rFonts w:ascii="Lucida Sans Unicode" w:hAnsi="Lucida Sans Unicode"/>
          <w:color w:val="6D6E71"/>
          <w:w w:val="105"/>
          <w:sz w:val="14"/>
        </w:rPr>
        <w:t>eL</w:t>
      </w:r>
      <w:r>
        <w:rPr>
          <w:rFonts w:ascii="Lucida Sans Unicode" w:hAnsi="Lucida Sans Unicode"/>
          <w:color w:val="6D6E71"/>
          <w:spacing w:val="-14"/>
          <w:w w:val="105"/>
          <w:sz w:val="14"/>
        </w:rPr>
        <w:t> </w:t>
      </w:r>
      <w:r>
        <w:rPr>
          <w:rFonts w:ascii="Lucida Sans Unicode" w:hAnsi="Lucida Sans Unicode"/>
          <w:color w:val="6D6E71"/>
          <w:w w:val="105"/>
          <w:sz w:val="14"/>
        </w:rPr>
        <w:t>estado</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méxico.</w:t>
      </w:r>
      <w:r>
        <w:rPr>
          <w:rFonts w:ascii="Arial" w:hAnsi="Arial"/>
          <w:color w:val="414042"/>
          <w:w w:val="105"/>
          <w:position w:val="-3"/>
          <w:sz w:val="20"/>
        </w:rPr>
        <w:tab/>
        <w:t>77</w:t>
      </w:r>
    </w:p>
    <w:p>
      <w:pPr>
        <w:spacing w:line="187" w:lineRule="exact" w:before="0"/>
        <w:ind w:left="4069" w:right="0" w:firstLine="0"/>
        <w:jc w:val="left"/>
        <w:rPr>
          <w:rFonts w:ascii="Lucida Sans Unicode" w:hAnsi="Lucida Sans Unicode"/>
          <w:sz w:val="14"/>
        </w:rPr>
      </w:pPr>
      <w:r>
        <w:rPr>
          <w:rFonts w:ascii="Lucida Sans Unicode" w:hAnsi="Lucida Sans Unicode"/>
          <w:color w:val="6D6E71"/>
          <w:w w:val="105"/>
          <w:sz w:val="14"/>
        </w:rPr>
        <w:t>una revisión a partir deL interés superior de La infancia</w:t>
      </w:r>
    </w:p>
    <w:p>
      <w:pPr>
        <w:pStyle w:val="BodyText"/>
        <w:rPr>
          <w:rFonts w:ascii="Lucida Sans Unicode"/>
          <w:sz w:val="18"/>
        </w:rPr>
      </w:pPr>
    </w:p>
    <w:p>
      <w:pPr>
        <w:pStyle w:val="BodyText"/>
        <w:spacing w:before="1"/>
        <w:rPr>
          <w:rFonts w:ascii="Lucida Sans Unicode"/>
          <w:sz w:val="13"/>
        </w:rPr>
      </w:pPr>
    </w:p>
    <w:p>
      <w:pPr>
        <w:spacing w:line="254" w:lineRule="auto" w:before="0"/>
        <w:ind w:left="2971" w:right="1716" w:firstLine="0"/>
        <w:jc w:val="both"/>
        <w:rPr>
          <w:sz w:val="18"/>
        </w:rPr>
      </w:pPr>
      <w:r>
        <w:rPr>
          <w:color w:val="231F20"/>
          <w:w w:val="105"/>
          <w:sz w:val="18"/>
        </w:rPr>
        <w:t>querían los números de teléfono de nuestra familia y también querían que</w:t>
      </w:r>
      <w:r>
        <w:rPr>
          <w:color w:val="231F20"/>
          <w:spacing w:val="-16"/>
          <w:w w:val="105"/>
          <w:sz w:val="18"/>
        </w:rPr>
        <w:t> </w:t>
      </w:r>
      <w:r>
        <w:rPr>
          <w:color w:val="231F20"/>
          <w:w w:val="105"/>
          <w:sz w:val="18"/>
        </w:rPr>
        <w:t>cruzáramos</w:t>
      </w:r>
      <w:r>
        <w:rPr>
          <w:color w:val="231F20"/>
          <w:spacing w:val="-16"/>
          <w:w w:val="105"/>
          <w:sz w:val="18"/>
        </w:rPr>
        <w:t> </w:t>
      </w:r>
      <w:r>
        <w:rPr>
          <w:color w:val="231F20"/>
          <w:w w:val="105"/>
          <w:sz w:val="18"/>
        </w:rPr>
        <w:t>cargando</w:t>
      </w:r>
      <w:r>
        <w:rPr>
          <w:color w:val="231F20"/>
          <w:spacing w:val="-16"/>
          <w:w w:val="105"/>
          <w:sz w:val="18"/>
        </w:rPr>
        <w:t> </w:t>
      </w:r>
      <w:r>
        <w:rPr>
          <w:color w:val="231F20"/>
          <w:w w:val="105"/>
          <w:sz w:val="18"/>
        </w:rPr>
        <w:t>unos</w:t>
      </w:r>
      <w:r>
        <w:rPr>
          <w:color w:val="231F20"/>
          <w:spacing w:val="-16"/>
          <w:w w:val="105"/>
          <w:sz w:val="18"/>
        </w:rPr>
        <w:t> </w:t>
      </w:r>
      <w:r>
        <w:rPr>
          <w:color w:val="231F20"/>
          <w:w w:val="105"/>
          <w:sz w:val="18"/>
        </w:rPr>
        <w:t>paquetes</w:t>
      </w:r>
      <w:r>
        <w:rPr>
          <w:color w:val="231F20"/>
          <w:spacing w:val="-16"/>
          <w:w w:val="105"/>
          <w:sz w:val="18"/>
        </w:rPr>
        <w:t> </w:t>
      </w:r>
      <w:r>
        <w:rPr>
          <w:color w:val="231F20"/>
          <w:w w:val="105"/>
          <w:sz w:val="18"/>
        </w:rPr>
        <w:t>en</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frontera.</w:t>
      </w:r>
      <w:r>
        <w:rPr>
          <w:color w:val="231F20"/>
          <w:spacing w:val="-25"/>
          <w:w w:val="105"/>
          <w:sz w:val="18"/>
        </w:rPr>
        <w:t> </w:t>
      </w:r>
      <w:r>
        <w:rPr>
          <w:color w:val="231F20"/>
          <w:spacing w:val="-9"/>
          <w:w w:val="105"/>
          <w:sz w:val="18"/>
        </w:rPr>
        <w:t>Yo</w:t>
      </w:r>
      <w:r>
        <w:rPr>
          <w:color w:val="231F20"/>
          <w:spacing w:val="-16"/>
          <w:w w:val="105"/>
          <w:sz w:val="18"/>
        </w:rPr>
        <w:t> </w:t>
      </w:r>
      <w:r>
        <w:rPr>
          <w:color w:val="231F20"/>
          <w:w w:val="105"/>
          <w:sz w:val="18"/>
        </w:rPr>
        <w:t>les</w:t>
      </w:r>
      <w:r>
        <w:rPr>
          <w:color w:val="231F20"/>
          <w:spacing w:val="-16"/>
          <w:w w:val="105"/>
          <w:sz w:val="18"/>
        </w:rPr>
        <w:t> </w:t>
      </w:r>
      <w:r>
        <w:rPr>
          <w:color w:val="231F20"/>
          <w:w w:val="105"/>
          <w:sz w:val="18"/>
        </w:rPr>
        <w:t>dije</w:t>
      </w:r>
      <w:r>
        <w:rPr>
          <w:color w:val="231F20"/>
          <w:spacing w:val="-16"/>
          <w:w w:val="105"/>
          <w:sz w:val="18"/>
        </w:rPr>
        <w:t> </w:t>
      </w:r>
      <w:r>
        <w:rPr>
          <w:color w:val="231F20"/>
          <w:w w:val="105"/>
          <w:sz w:val="18"/>
        </w:rPr>
        <w:t>que no</w:t>
      </w:r>
      <w:r>
        <w:rPr>
          <w:color w:val="231F20"/>
          <w:spacing w:val="-6"/>
          <w:w w:val="105"/>
          <w:sz w:val="18"/>
        </w:rPr>
        <w:t> </w:t>
      </w:r>
      <w:r>
        <w:rPr>
          <w:color w:val="231F20"/>
          <w:w w:val="105"/>
          <w:sz w:val="18"/>
        </w:rPr>
        <w:t>tenía</w:t>
      </w:r>
      <w:r>
        <w:rPr>
          <w:color w:val="231F20"/>
          <w:spacing w:val="-6"/>
          <w:w w:val="105"/>
          <w:sz w:val="18"/>
        </w:rPr>
        <w:t> </w:t>
      </w:r>
      <w:r>
        <w:rPr>
          <w:color w:val="231F20"/>
          <w:w w:val="105"/>
          <w:sz w:val="18"/>
        </w:rPr>
        <w:t>dinero</w:t>
      </w:r>
      <w:r>
        <w:rPr>
          <w:color w:val="231F20"/>
          <w:spacing w:val="-6"/>
          <w:w w:val="105"/>
          <w:sz w:val="18"/>
        </w:rPr>
        <w:t> </w:t>
      </w:r>
      <w:r>
        <w:rPr>
          <w:color w:val="231F20"/>
          <w:w w:val="105"/>
          <w:sz w:val="18"/>
        </w:rPr>
        <w:t>ni</w:t>
      </w:r>
      <w:r>
        <w:rPr>
          <w:color w:val="231F20"/>
          <w:spacing w:val="-6"/>
          <w:w w:val="105"/>
          <w:sz w:val="18"/>
        </w:rPr>
        <w:t> </w:t>
      </w:r>
      <w:r>
        <w:rPr>
          <w:color w:val="231F20"/>
          <w:w w:val="105"/>
          <w:sz w:val="18"/>
        </w:rPr>
        <w:t>ayuda</w:t>
      </w:r>
      <w:r>
        <w:rPr>
          <w:color w:val="231F20"/>
          <w:spacing w:val="-6"/>
          <w:w w:val="105"/>
          <w:sz w:val="18"/>
        </w:rPr>
        <w:t> </w:t>
      </w:r>
      <w:r>
        <w:rPr>
          <w:color w:val="231F20"/>
          <w:w w:val="105"/>
          <w:sz w:val="18"/>
        </w:rPr>
        <w:t>de</w:t>
      </w:r>
      <w:r>
        <w:rPr>
          <w:color w:val="231F20"/>
          <w:spacing w:val="-6"/>
          <w:w w:val="105"/>
          <w:sz w:val="18"/>
        </w:rPr>
        <w:t> </w:t>
      </w:r>
      <w:r>
        <w:rPr>
          <w:color w:val="231F20"/>
          <w:w w:val="105"/>
          <w:sz w:val="18"/>
        </w:rPr>
        <w:t>ningún</w:t>
      </w:r>
      <w:r>
        <w:rPr>
          <w:color w:val="231F20"/>
          <w:spacing w:val="-6"/>
          <w:w w:val="105"/>
          <w:sz w:val="18"/>
        </w:rPr>
        <w:t> </w:t>
      </w:r>
      <w:r>
        <w:rPr>
          <w:color w:val="231F20"/>
          <w:w w:val="105"/>
          <w:sz w:val="18"/>
        </w:rPr>
        <w:t>familiar.</w:t>
      </w:r>
      <w:r>
        <w:rPr>
          <w:color w:val="231F20"/>
          <w:spacing w:val="-12"/>
          <w:w w:val="105"/>
          <w:sz w:val="18"/>
        </w:rPr>
        <w:t> </w:t>
      </w:r>
      <w:r>
        <w:rPr>
          <w:color w:val="231F20"/>
          <w:w w:val="105"/>
          <w:sz w:val="18"/>
        </w:rPr>
        <w:t>Donde</w:t>
      </w:r>
      <w:r>
        <w:rPr>
          <w:color w:val="231F20"/>
          <w:spacing w:val="-6"/>
          <w:w w:val="105"/>
          <w:sz w:val="18"/>
        </w:rPr>
        <w:t> </w:t>
      </w:r>
      <w:r>
        <w:rPr>
          <w:color w:val="231F20"/>
          <w:w w:val="105"/>
          <w:sz w:val="18"/>
        </w:rPr>
        <w:t>nos</w:t>
      </w:r>
      <w:r>
        <w:rPr>
          <w:color w:val="231F20"/>
          <w:spacing w:val="-6"/>
          <w:w w:val="105"/>
          <w:sz w:val="18"/>
        </w:rPr>
        <w:t> </w:t>
      </w:r>
      <w:r>
        <w:rPr>
          <w:color w:val="231F20"/>
          <w:w w:val="105"/>
          <w:sz w:val="18"/>
        </w:rPr>
        <w:t>encerraron</w:t>
      </w:r>
      <w:r>
        <w:rPr>
          <w:color w:val="231F20"/>
          <w:spacing w:val="-6"/>
          <w:w w:val="105"/>
          <w:sz w:val="18"/>
        </w:rPr>
        <w:t> </w:t>
      </w:r>
      <w:r>
        <w:rPr>
          <w:color w:val="231F20"/>
          <w:w w:val="105"/>
          <w:sz w:val="18"/>
        </w:rPr>
        <w:t>es- taban otras quince personas más; eran seis mujeres, siete hombres</w:t>
      </w:r>
      <w:r>
        <w:rPr>
          <w:color w:val="231F20"/>
          <w:spacing w:val="-35"/>
          <w:w w:val="105"/>
          <w:sz w:val="18"/>
        </w:rPr>
        <w:t> </w:t>
      </w:r>
      <w:r>
        <w:rPr>
          <w:color w:val="231F20"/>
          <w:w w:val="105"/>
          <w:sz w:val="18"/>
        </w:rPr>
        <w:t>y dos pequeños </w:t>
      </w:r>
      <w:r>
        <w:rPr>
          <w:color w:val="231F20"/>
          <w:w w:val="115"/>
          <w:sz w:val="18"/>
        </w:rPr>
        <w:t>[…]</w:t>
      </w:r>
      <w:r>
        <w:rPr>
          <w:color w:val="231F20"/>
          <w:spacing w:val="-38"/>
          <w:w w:val="115"/>
          <w:sz w:val="18"/>
        </w:rPr>
        <w:t> </w:t>
      </w:r>
      <w:r>
        <w:rPr>
          <w:color w:val="231F20"/>
          <w:spacing w:val="-9"/>
          <w:w w:val="105"/>
          <w:sz w:val="18"/>
        </w:rPr>
        <w:t>Yo </w:t>
      </w:r>
      <w:r>
        <w:rPr>
          <w:color w:val="231F20"/>
          <w:w w:val="105"/>
          <w:sz w:val="18"/>
        </w:rPr>
        <w:t>veía que sacaban algunas personas y que ya no regresaban;</w:t>
      </w:r>
      <w:r>
        <w:rPr>
          <w:color w:val="231F20"/>
          <w:spacing w:val="-5"/>
          <w:w w:val="105"/>
          <w:sz w:val="18"/>
        </w:rPr>
        <w:t> </w:t>
      </w:r>
      <w:r>
        <w:rPr>
          <w:color w:val="231F20"/>
          <w:w w:val="105"/>
          <w:sz w:val="18"/>
        </w:rPr>
        <w:t>no</w:t>
      </w:r>
      <w:r>
        <w:rPr>
          <w:color w:val="231F20"/>
          <w:spacing w:val="-5"/>
          <w:w w:val="105"/>
          <w:sz w:val="18"/>
        </w:rPr>
        <w:t> </w:t>
      </w:r>
      <w:r>
        <w:rPr>
          <w:color w:val="231F20"/>
          <w:w w:val="105"/>
          <w:sz w:val="18"/>
        </w:rPr>
        <w:t>sé</w:t>
      </w:r>
      <w:r>
        <w:rPr>
          <w:color w:val="231F20"/>
          <w:spacing w:val="-5"/>
          <w:w w:val="105"/>
          <w:sz w:val="18"/>
        </w:rPr>
        <w:t> </w:t>
      </w:r>
      <w:r>
        <w:rPr>
          <w:color w:val="231F20"/>
          <w:w w:val="105"/>
          <w:sz w:val="18"/>
        </w:rPr>
        <w:t>qué</w:t>
      </w:r>
      <w:r>
        <w:rPr>
          <w:color w:val="231F20"/>
          <w:spacing w:val="-5"/>
          <w:w w:val="105"/>
          <w:sz w:val="18"/>
        </w:rPr>
        <w:t> </w:t>
      </w:r>
      <w:r>
        <w:rPr>
          <w:color w:val="231F20"/>
          <w:w w:val="105"/>
          <w:sz w:val="18"/>
        </w:rPr>
        <w:t>es</w:t>
      </w:r>
      <w:r>
        <w:rPr>
          <w:color w:val="231F20"/>
          <w:spacing w:val="-5"/>
          <w:w w:val="105"/>
          <w:sz w:val="18"/>
        </w:rPr>
        <w:t> </w:t>
      </w:r>
      <w:r>
        <w:rPr>
          <w:color w:val="231F20"/>
          <w:w w:val="105"/>
          <w:sz w:val="18"/>
        </w:rPr>
        <w:t>lo</w:t>
      </w:r>
      <w:r>
        <w:rPr>
          <w:color w:val="231F20"/>
          <w:spacing w:val="-5"/>
          <w:w w:val="105"/>
          <w:sz w:val="18"/>
        </w:rPr>
        <w:t> </w:t>
      </w:r>
      <w:r>
        <w:rPr>
          <w:color w:val="231F20"/>
          <w:w w:val="105"/>
          <w:sz w:val="18"/>
        </w:rPr>
        <w:t>que</w:t>
      </w:r>
      <w:r>
        <w:rPr>
          <w:color w:val="231F20"/>
          <w:spacing w:val="-5"/>
          <w:w w:val="105"/>
          <w:sz w:val="18"/>
        </w:rPr>
        <w:t> </w:t>
      </w:r>
      <w:r>
        <w:rPr>
          <w:color w:val="231F20"/>
          <w:w w:val="105"/>
          <w:sz w:val="18"/>
        </w:rPr>
        <w:t>habrá</w:t>
      </w:r>
      <w:r>
        <w:rPr>
          <w:color w:val="231F20"/>
          <w:spacing w:val="-5"/>
          <w:w w:val="105"/>
          <w:sz w:val="18"/>
        </w:rPr>
        <w:t> </w:t>
      </w:r>
      <w:r>
        <w:rPr>
          <w:color w:val="231F20"/>
          <w:w w:val="105"/>
          <w:sz w:val="18"/>
        </w:rPr>
        <w:t>pasado</w:t>
      </w:r>
      <w:r>
        <w:rPr>
          <w:color w:val="231F20"/>
          <w:spacing w:val="-5"/>
          <w:w w:val="105"/>
          <w:sz w:val="18"/>
        </w:rPr>
        <w:t> </w:t>
      </w:r>
      <w:r>
        <w:rPr>
          <w:color w:val="231F20"/>
          <w:w w:val="105"/>
          <w:sz w:val="18"/>
        </w:rPr>
        <w:t>con</w:t>
      </w:r>
      <w:r>
        <w:rPr>
          <w:color w:val="231F20"/>
          <w:spacing w:val="-5"/>
          <w:w w:val="105"/>
          <w:sz w:val="18"/>
        </w:rPr>
        <w:t> </w:t>
      </w:r>
      <w:r>
        <w:rPr>
          <w:color w:val="231F20"/>
          <w:w w:val="105"/>
          <w:sz w:val="18"/>
        </w:rPr>
        <w:t>ellas</w:t>
      </w:r>
      <w:r>
        <w:rPr>
          <w:color w:val="231F20"/>
          <w:spacing w:val="-5"/>
          <w:w w:val="105"/>
          <w:sz w:val="18"/>
        </w:rPr>
        <w:t> </w:t>
      </w:r>
      <w:r>
        <w:rPr>
          <w:color w:val="231F20"/>
          <w:w w:val="105"/>
          <w:sz w:val="18"/>
        </w:rPr>
        <w:t>(</w:t>
      </w:r>
      <w:r>
        <w:rPr>
          <w:color w:val="231F20"/>
          <w:w w:val="105"/>
          <w:sz w:val="15"/>
        </w:rPr>
        <w:t>CDH-PRODH</w:t>
      </w:r>
      <w:r>
        <w:rPr>
          <w:color w:val="231F20"/>
          <w:w w:val="105"/>
          <w:sz w:val="18"/>
        </w:rPr>
        <w:t>, 2011:</w:t>
      </w:r>
      <w:r>
        <w:rPr>
          <w:color w:val="231F20"/>
          <w:spacing w:val="-23"/>
          <w:w w:val="105"/>
          <w:sz w:val="18"/>
        </w:rPr>
        <w:t> </w:t>
      </w:r>
      <w:r>
        <w:rPr>
          <w:color w:val="231F20"/>
          <w:w w:val="105"/>
          <w:sz w:val="18"/>
        </w:rPr>
        <w:t>21).</w:t>
      </w:r>
    </w:p>
    <w:p>
      <w:pPr>
        <w:pStyle w:val="BodyText"/>
        <w:spacing w:before="5"/>
      </w:pPr>
    </w:p>
    <w:p>
      <w:pPr>
        <w:pStyle w:val="BodyText"/>
        <w:spacing w:line="261" w:lineRule="auto"/>
        <w:ind w:left="1837" w:right="1715"/>
        <w:jc w:val="both"/>
      </w:pPr>
      <w:r>
        <w:rPr>
          <w:color w:val="231F20"/>
          <w:w w:val="105"/>
        </w:rPr>
        <w:t>Al</w:t>
      </w:r>
      <w:r>
        <w:rPr>
          <w:color w:val="231F20"/>
          <w:spacing w:val="-10"/>
          <w:w w:val="105"/>
        </w:rPr>
        <w:t> </w:t>
      </w:r>
      <w:r>
        <w:rPr>
          <w:color w:val="231F20"/>
          <w:w w:val="105"/>
        </w:rPr>
        <w:t>reclutamiento</w:t>
      </w:r>
      <w:r>
        <w:rPr>
          <w:color w:val="231F20"/>
          <w:spacing w:val="-10"/>
          <w:w w:val="105"/>
        </w:rPr>
        <w:t> </w:t>
      </w:r>
      <w:r>
        <w:rPr>
          <w:color w:val="231F20"/>
          <w:w w:val="105"/>
        </w:rPr>
        <w:t>forzado</w:t>
      </w:r>
      <w:r>
        <w:rPr>
          <w:color w:val="231F20"/>
          <w:spacing w:val="-10"/>
          <w:w w:val="105"/>
        </w:rPr>
        <w:t> </w:t>
      </w:r>
      <w:r>
        <w:rPr>
          <w:color w:val="231F20"/>
          <w:w w:val="105"/>
        </w:rPr>
        <w:t>para</w:t>
      </w:r>
      <w:r>
        <w:rPr>
          <w:color w:val="231F20"/>
          <w:spacing w:val="-10"/>
          <w:w w:val="105"/>
        </w:rPr>
        <w:t> </w:t>
      </w:r>
      <w:r>
        <w:rPr>
          <w:color w:val="231F20"/>
          <w:w w:val="105"/>
        </w:rPr>
        <w:t>actividades</w:t>
      </w:r>
      <w:r>
        <w:rPr>
          <w:color w:val="231F20"/>
          <w:spacing w:val="-10"/>
          <w:w w:val="105"/>
        </w:rPr>
        <w:t> </w:t>
      </w:r>
      <w:r>
        <w:rPr>
          <w:color w:val="231F20"/>
          <w:w w:val="105"/>
        </w:rPr>
        <w:t>de</w:t>
      </w:r>
      <w:r>
        <w:rPr>
          <w:color w:val="231F20"/>
          <w:spacing w:val="-10"/>
          <w:w w:val="105"/>
        </w:rPr>
        <w:t> </w:t>
      </w:r>
      <w:r>
        <w:rPr>
          <w:color w:val="231F20"/>
          <w:w w:val="105"/>
        </w:rPr>
        <w:t>narcotráfico</w:t>
      </w:r>
      <w:r>
        <w:rPr>
          <w:color w:val="231F20"/>
          <w:spacing w:val="-10"/>
          <w:w w:val="105"/>
        </w:rPr>
        <w:t> </w:t>
      </w:r>
      <w:r>
        <w:rPr>
          <w:color w:val="231F20"/>
          <w:w w:val="105"/>
        </w:rPr>
        <w:t>se</w:t>
      </w:r>
      <w:r>
        <w:rPr>
          <w:color w:val="231F20"/>
          <w:spacing w:val="-10"/>
          <w:w w:val="105"/>
        </w:rPr>
        <w:t> </w:t>
      </w:r>
      <w:r>
        <w:rPr>
          <w:color w:val="231F20"/>
          <w:w w:val="105"/>
        </w:rPr>
        <w:t>ha</w:t>
      </w:r>
      <w:r>
        <w:rPr>
          <w:color w:val="231F20"/>
          <w:spacing w:val="-10"/>
          <w:w w:val="105"/>
        </w:rPr>
        <w:t> </w:t>
      </w:r>
      <w:r>
        <w:rPr>
          <w:color w:val="231F20"/>
          <w:w w:val="105"/>
        </w:rPr>
        <w:t>sumado el tráfico de órganos, denunciado reiteradamente por el sacerdote Ale- jandro Solalinde, director del albergue “Hermanos en el Camino”</w:t>
      </w:r>
      <w:r>
        <w:rPr>
          <w:color w:val="231F20"/>
          <w:spacing w:val="-36"/>
          <w:w w:val="105"/>
        </w:rPr>
        <w:t> </w:t>
      </w:r>
      <w:r>
        <w:rPr>
          <w:color w:val="231F20"/>
          <w:w w:val="105"/>
        </w:rPr>
        <w:t>desde 2007</w:t>
      </w:r>
      <w:r>
        <w:rPr>
          <w:color w:val="231F20"/>
          <w:spacing w:val="-13"/>
          <w:w w:val="105"/>
        </w:rPr>
        <w:t> </w:t>
      </w:r>
      <w:r>
        <w:rPr>
          <w:color w:val="231F20"/>
          <w:w w:val="105"/>
        </w:rPr>
        <w:t>(Solalinde,</w:t>
      </w:r>
      <w:r>
        <w:rPr>
          <w:color w:val="231F20"/>
          <w:spacing w:val="-17"/>
          <w:w w:val="105"/>
        </w:rPr>
        <w:t> </w:t>
      </w:r>
      <w:r>
        <w:rPr>
          <w:color w:val="231F20"/>
          <w:w w:val="105"/>
        </w:rPr>
        <w:t>2015,</w:t>
      </w:r>
      <w:r>
        <w:rPr>
          <w:color w:val="231F20"/>
          <w:spacing w:val="-17"/>
          <w:w w:val="105"/>
        </w:rPr>
        <w:t> </w:t>
      </w:r>
      <w:r>
        <w:rPr>
          <w:color w:val="231F20"/>
          <w:w w:val="105"/>
        </w:rPr>
        <w:t>s.p.).</w:t>
      </w:r>
      <w:r>
        <w:rPr>
          <w:color w:val="231F20"/>
          <w:spacing w:val="-20"/>
          <w:w w:val="105"/>
        </w:rPr>
        <w:t> </w:t>
      </w:r>
      <w:r>
        <w:rPr>
          <w:color w:val="231F20"/>
          <w:w w:val="105"/>
        </w:rPr>
        <w:t>A</w:t>
      </w:r>
      <w:r>
        <w:rPr>
          <w:color w:val="231F20"/>
          <w:spacing w:val="-16"/>
          <w:w w:val="105"/>
        </w:rPr>
        <w:t> </w:t>
      </w:r>
      <w:r>
        <w:rPr>
          <w:color w:val="231F20"/>
          <w:w w:val="105"/>
        </w:rPr>
        <w:t>este</w:t>
      </w:r>
      <w:r>
        <w:rPr>
          <w:color w:val="231F20"/>
          <w:spacing w:val="-13"/>
          <w:w w:val="105"/>
        </w:rPr>
        <w:t> </w:t>
      </w:r>
      <w:r>
        <w:rPr>
          <w:color w:val="231F20"/>
          <w:w w:val="105"/>
        </w:rPr>
        <w:t>panorama,</w:t>
      </w:r>
      <w:r>
        <w:rPr>
          <w:color w:val="231F20"/>
          <w:spacing w:val="-17"/>
          <w:w w:val="105"/>
        </w:rPr>
        <w:t> </w:t>
      </w:r>
      <w:r>
        <w:rPr>
          <w:color w:val="231F20"/>
          <w:w w:val="105"/>
        </w:rPr>
        <w:t>por</w:t>
      </w:r>
      <w:r>
        <w:rPr>
          <w:color w:val="231F20"/>
          <w:spacing w:val="-13"/>
          <w:w w:val="105"/>
        </w:rPr>
        <w:t> </w:t>
      </w:r>
      <w:r>
        <w:rPr>
          <w:color w:val="231F20"/>
          <w:w w:val="105"/>
        </w:rPr>
        <w:t>sí</w:t>
      </w:r>
      <w:r>
        <w:rPr>
          <w:color w:val="231F20"/>
          <w:spacing w:val="-13"/>
          <w:w w:val="105"/>
        </w:rPr>
        <w:t> </w:t>
      </w:r>
      <w:r>
        <w:rPr>
          <w:color w:val="231F20"/>
          <w:w w:val="105"/>
        </w:rPr>
        <w:t>mismo</w:t>
      </w:r>
      <w:r>
        <w:rPr>
          <w:color w:val="231F20"/>
          <w:spacing w:val="-13"/>
          <w:w w:val="105"/>
        </w:rPr>
        <w:t> </w:t>
      </w:r>
      <w:r>
        <w:rPr>
          <w:color w:val="231F20"/>
          <w:w w:val="105"/>
        </w:rPr>
        <w:t>devastador, hay</w:t>
      </w:r>
      <w:r>
        <w:rPr>
          <w:color w:val="231F20"/>
          <w:spacing w:val="-28"/>
          <w:w w:val="105"/>
        </w:rPr>
        <w:t> </w:t>
      </w:r>
      <w:r>
        <w:rPr>
          <w:color w:val="231F20"/>
          <w:w w:val="105"/>
        </w:rPr>
        <w:t>que</w:t>
      </w:r>
      <w:r>
        <w:rPr>
          <w:color w:val="231F20"/>
          <w:spacing w:val="-28"/>
          <w:w w:val="105"/>
        </w:rPr>
        <w:t> </w:t>
      </w:r>
      <w:r>
        <w:rPr>
          <w:color w:val="231F20"/>
          <w:w w:val="105"/>
        </w:rPr>
        <w:t>sumar</w:t>
      </w:r>
      <w:r>
        <w:rPr>
          <w:color w:val="231F20"/>
          <w:spacing w:val="-28"/>
          <w:w w:val="105"/>
        </w:rPr>
        <w:t> </w:t>
      </w:r>
      <w:r>
        <w:rPr>
          <w:color w:val="231F20"/>
          <w:w w:val="105"/>
        </w:rPr>
        <w:t>los</w:t>
      </w:r>
      <w:r>
        <w:rPr>
          <w:color w:val="231F20"/>
          <w:spacing w:val="-28"/>
          <w:w w:val="105"/>
        </w:rPr>
        <w:t> </w:t>
      </w:r>
      <w:r>
        <w:rPr>
          <w:color w:val="231F20"/>
          <w:w w:val="105"/>
        </w:rPr>
        <w:t>riesgos</w:t>
      </w:r>
      <w:r>
        <w:rPr>
          <w:color w:val="231F20"/>
          <w:spacing w:val="-28"/>
          <w:w w:val="105"/>
        </w:rPr>
        <w:t> </w:t>
      </w:r>
      <w:r>
        <w:rPr>
          <w:color w:val="231F20"/>
          <w:w w:val="105"/>
        </w:rPr>
        <w:t>que</w:t>
      </w:r>
      <w:r>
        <w:rPr>
          <w:color w:val="231F20"/>
          <w:spacing w:val="-28"/>
          <w:w w:val="105"/>
        </w:rPr>
        <w:t> </w:t>
      </w:r>
      <w:r>
        <w:rPr>
          <w:color w:val="231F20"/>
          <w:w w:val="105"/>
        </w:rPr>
        <w:t>suponen</w:t>
      </w:r>
      <w:r>
        <w:rPr>
          <w:color w:val="231F20"/>
          <w:spacing w:val="-28"/>
          <w:w w:val="105"/>
        </w:rPr>
        <w:t> </w:t>
      </w:r>
      <w:r>
        <w:rPr>
          <w:color w:val="231F20"/>
          <w:w w:val="105"/>
        </w:rPr>
        <w:t>las</w:t>
      </w:r>
      <w:r>
        <w:rPr>
          <w:color w:val="231F20"/>
          <w:spacing w:val="-28"/>
          <w:w w:val="105"/>
        </w:rPr>
        <w:t> </w:t>
      </w:r>
      <w:r>
        <w:rPr>
          <w:color w:val="231F20"/>
          <w:w w:val="105"/>
        </w:rPr>
        <w:t>inclemencias</w:t>
      </w:r>
      <w:r>
        <w:rPr>
          <w:color w:val="231F20"/>
          <w:spacing w:val="-28"/>
          <w:w w:val="105"/>
        </w:rPr>
        <w:t> </w:t>
      </w:r>
      <w:r>
        <w:rPr>
          <w:color w:val="231F20"/>
          <w:w w:val="105"/>
        </w:rPr>
        <w:t>atmosféricas</w:t>
      </w:r>
      <w:r>
        <w:rPr>
          <w:color w:val="231F20"/>
          <w:spacing w:val="-28"/>
          <w:w w:val="105"/>
        </w:rPr>
        <w:t> </w:t>
      </w:r>
      <w:r>
        <w:rPr>
          <w:color w:val="231F20"/>
          <w:w w:val="105"/>
        </w:rPr>
        <w:t>de cada</w:t>
      </w:r>
      <w:r>
        <w:rPr>
          <w:color w:val="231F20"/>
          <w:spacing w:val="-17"/>
          <w:w w:val="105"/>
        </w:rPr>
        <w:t> </w:t>
      </w:r>
      <w:r>
        <w:rPr>
          <w:color w:val="231F20"/>
          <w:w w:val="105"/>
        </w:rPr>
        <w:t>región,</w:t>
      </w:r>
      <w:r>
        <w:rPr>
          <w:color w:val="231F20"/>
          <w:spacing w:val="-22"/>
          <w:w w:val="105"/>
        </w:rPr>
        <w:t> </w:t>
      </w:r>
      <w:r>
        <w:rPr>
          <w:color w:val="231F20"/>
          <w:w w:val="105"/>
        </w:rPr>
        <w:t>accidentes</w:t>
      </w:r>
      <w:r>
        <w:rPr>
          <w:color w:val="231F20"/>
          <w:spacing w:val="-17"/>
          <w:w w:val="105"/>
        </w:rPr>
        <w:t> </w:t>
      </w:r>
      <w:r>
        <w:rPr>
          <w:color w:val="231F20"/>
          <w:w w:val="105"/>
        </w:rPr>
        <w:t>ferroviarios,</w:t>
      </w:r>
      <w:r>
        <w:rPr>
          <w:color w:val="231F20"/>
          <w:spacing w:val="-22"/>
          <w:w w:val="105"/>
        </w:rPr>
        <w:t> </w:t>
      </w:r>
      <w:r>
        <w:rPr>
          <w:color w:val="231F20"/>
          <w:w w:val="105"/>
        </w:rPr>
        <w:t>malos</w:t>
      </w:r>
      <w:r>
        <w:rPr>
          <w:color w:val="231F20"/>
          <w:spacing w:val="-17"/>
          <w:w w:val="105"/>
        </w:rPr>
        <w:t> </w:t>
      </w:r>
      <w:r>
        <w:rPr>
          <w:color w:val="231F20"/>
          <w:w w:val="105"/>
        </w:rPr>
        <w:t>tratos,</w:t>
      </w:r>
      <w:r>
        <w:rPr>
          <w:color w:val="231F20"/>
          <w:spacing w:val="-22"/>
          <w:w w:val="105"/>
        </w:rPr>
        <w:t> </w:t>
      </w:r>
      <w:r>
        <w:rPr>
          <w:color w:val="231F20"/>
          <w:w w:val="105"/>
        </w:rPr>
        <w:t>carencia</w:t>
      </w:r>
      <w:r>
        <w:rPr>
          <w:color w:val="231F20"/>
          <w:spacing w:val="-17"/>
          <w:w w:val="105"/>
        </w:rPr>
        <w:t> </w:t>
      </w:r>
      <w:r>
        <w:rPr>
          <w:color w:val="231F20"/>
          <w:w w:val="105"/>
        </w:rPr>
        <w:t>de</w:t>
      </w:r>
      <w:r>
        <w:rPr>
          <w:color w:val="231F20"/>
          <w:spacing w:val="-17"/>
          <w:w w:val="105"/>
        </w:rPr>
        <w:t> </w:t>
      </w:r>
      <w:r>
        <w:rPr>
          <w:color w:val="231F20"/>
          <w:w w:val="105"/>
        </w:rPr>
        <w:t>alimentos y</w:t>
      </w:r>
      <w:r>
        <w:rPr>
          <w:color w:val="231F20"/>
          <w:spacing w:val="-24"/>
          <w:w w:val="105"/>
        </w:rPr>
        <w:t> </w:t>
      </w:r>
      <w:r>
        <w:rPr>
          <w:color w:val="231F20"/>
          <w:w w:val="105"/>
        </w:rPr>
        <w:t>otras</w:t>
      </w:r>
      <w:r>
        <w:rPr>
          <w:color w:val="231F20"/>
          <w:spacing w:val="-24"/>
          <w:w w:val="105"/>
        </w:rPr>
        <w:t> </w:t>
      </w:r>
      <w:r>
        <w:rPr>
          <w:color w:val="231F20"/>
          <w:w w:val="105"/>
        </w:rPr>
        <w:t>violaciones</w:t>
      </w:r>
      <w:r>
        <w:rPr>
          <w:color w:val="231F20"/>
          <w:spacing w:val="-24"/>
          <w:w w:val="105"/>
        </w:rPr>
        <w:t> </w:t>
      </w:r>
      <w:r>
        <w:rPr>
          <w:color w:val="231F20"/>
          <w:w w:val="105"/>
        </w:rPr>
        <w:t>a</w:t>
      </w:r>
      <w:r>
        <w:rPr>
          <w:color w:val="231F20"/>
          <w:spacing w:val="-24"/>
          <w:w w:val="105"/>
        </w:rPr>
        <w:t> </w:t>
      </w:r>
      <w:r>
        <w:rPr>
          <w:color w:val="231F20"/>
          <w:w w:val="105"/>
        </w:rPr>
        <w:t>sus</w:t>
      </w:r>
      <w:r>
        <w:rPr>
          <w:color w:val="231F20"/>
          <w:spacing w:val="-24"/>
          <w:w w:val="105"/>
        </w:rPr>
        <w:t> </w:t>
      </w:r>
      <w:r>
        <w:rPr>
          <w:color w:val="231F20"/>
          <w:w w:val="105"/>
        </w:rPr>
        <w:t>derechos</w:t>
      </w:r>
      <w:r>
        <w:rPr>
          <w:color w:val="231F20"/>
          <w:spacing w:val="-24"/>
          <w:w w:val="105"/>
        </w:rPr>
        <w:t> </w:t>
      </w:r>
      <w:r>
        <w:rPr>
          <w:color w:val="231F20"/>
          <w:w w:val="105"/>
        </w:rPr>
        <w:t>humanos,</w:t>
      </w:r>
      <w:r>
        <w:rPr>
          <w:color w:val="231F20"/>
          <w:spacing w:val="-28"/>
          <w:w w:val="105"/>
        </w:rPr>
        <w:t> </w:t>
      </w:r>
      <w:r>
        <w:rPr>
          <w:color w:val="231F20"/>
          <w:w w:val="105"/>
        </w:rPr>
        <w:t>atribuibles</w:t>
      </w:r>
      <w:r>
        <w:rPr>
          <w:color w:val="231F20"/>
          <w:spacing w:val="-24"/>
          <w:w w:val="105"/>
        </w:rPr>
        <w:t> </w:t>
      </w:r>
      <w:r>
        <w:rPr>
          <w:color w:val="231F20"/>
          <w:w w:val="105"/>
        </w:rPr>
        <w:t>tanto</w:t>
      </w:r>
      <w:r>
        <w:rPr>
          <w:color w:val="231F20"/>
          <w:spacing w:val="-24"/>
          <w:w w:val="105"/>
        </w:rPr>
        <w:t> </w:t>
      </w:r>
      <w:r>
        <w:rPr>
          <w:color w:val="231F20"/>
          <w:w w:val="105"/>
        </w:rPr>
        <w:t>a</w:t>
      </w:r>
      <w:r>
        <w:rPr>
          <w:color w:val="231F20"/>
          <w:spacing w:val="-24"/>
          <w:w w:val="105"/>
        </w:rPr>
        <w:t> </w:t>
      </w:r>
      <w:r>
        <w:rPr>
          <w:color w:val="231F20"/>
          <w:w w:val="105"/>
        </w:rPr>
        <w:t>particula- res</w:t>
      </w:r>
      <w:r>
        <w:rPr>
          <w:color w:val="231F20"/>
          <w:spacing w:val="-19"/>
          <w:w w:val="105"/>
        </w:rPr>
        <w:t> </w:t>
      </w:r>
      <w:r>
        <w:rPr>
          <w:color w:val="231F20"/>
          <w:w w:val="105"/>
        </w:rPr>
        <w:t>como</w:t>
      </w:r>
      <w:r>
        <w:rPr>
          <w:color w:val="231F20"/>
          <w:spacing w:val="-19"/>
          <w:w w:val="105"/>
        </w:rPr>
        <w:t> </w:t>
      </w:r>
      <w:r>
        <w:rPr>
          <w:color w:val="231F20"/>
          <w:w w:val="105"/>
        </w:rPr>
        <w:t>a</w:t>
      </w:r>
      <w:r>
        <w:rPr>
          <w:color w:val="231F20"/>
          <w:spacing w:val="-19"/>
          <w:w w:val="105"/>
        </w:rPr>
        <w:t> </w:t>
      </w:r>
      <w:r>
        <w:rPr>
          <w:color w:val="231F20"/>
          <w:w w:val="105"/>
        </w:rPr>
        <w:t>servidores</w:t>
      </w:r>
      <w:r>
        <w:rPr>
          <w:color w:val="231F20"/>
          <w:spacing w:val="-19"/>
          <w:w w:val="105"/>
        </w:rPr>
        <w:t> </w:t>
      </w:r>
      <w:r>
        <w:rPr>
          <w:color w:val="231F20"/>
          <w:w w:val="105"/>
        </w:rPr>
        <w:t>públicos.</w:t>
      </w:r>
    </w:p>
    <w:p>
      <w:pPr>
        <w:pStyle w:val="BodyText"/>
        <w:spacing w:line="261" w:lineRule="auto" w:before="1"/>
        <w:ind w:left="1837" w:right="1715" w:firstLine="567"/>
        <w:jc w:val="both"/>
      </w:pPr>
      <w:r>
        <w:rPr>
          <w:color w:val="231F20"/>
          <w:spacing w:val="-5"/>
          <w:w w:val="105"/>
        </w:rPr>
        <w:t>Todos</w:t>
      </w:r>
      <w:r>
        <w:rPr>
          <w:color w:val="231F20"/>
          <w:spacing w:val="-8"/>
          <w:w w:val="105"/>
        </w:rPr>
        <w:t> </w:t>
      </w:r>
      <w:r>
        <w:rPr>
          <w:color w:val="231F20"/>
          <w:w w:val="105"/>
        </w:rPr>
        <w:t>los</w:t>
      </w:r>
      <w:r>
        <w:rPr>
          <w:color w:val="231F20"/>
          <w:spacing w:val="-8"/>
          <w:w w:val="105"/>
        </w:rPr>
        <w:t> </w:t>
      </w:r>
      <w:r>
        <w:rPr>
          <w:color w:val="231F20"/>
          <w:w w:val="105"/>
        </w:rPr>
        <w:t>migrantes</w:t>
      </w:r>
      <w:r>
        <w:rPr>
          <w:color w:val="231F20"/>
          <w:spacing w:val="-8"/>
          <w:w w:val="105"/>
        </w:rPr>
        <w:t> </w:t>
      </w:r>
      <w:r>
        <w:rPr>
          <w:color w:val="231F20"/>
          <w:w w:val="105"/>
        </w:rPr>
        <w:t>irregulares</w:t>
      </w:r>
      <w:r>
        <w:rPr>
          <w:color w:val="231F20"/>
          <w:spacing w:val="-8"/>
          <w:w w:val="105"/>
        </w:rPr>
        <w:t> </w:t>
      </w:r>
      <w:r>
        <w:rPr>
          <w:color w:val="231F20"/>
          <w:w w:val="105"/>
        </w:rPr>
        <w:t>sufren</w:t>
      </w:r>
      <w:r>
        <w:rPr>
          <w:color w:val="231F20"/>
          <w:spacing w:val="-8"/>
          <w:w w:val="105"/>
        </w:rPr>
        <w:t> </w:t>
      </w:r>
      <w:r>
        <w:rPr>
          <w:color w:val="231F20"/>
          <w:w w:val="105"/>
        </w:rPr>
        <w:t>riesgos,</w:t>
      </w:r>
      <w:r>
        <w:rPr>
          <w:color w:val="231F20"/>
          <w:spacing w:val="-13"/>
          <w:w w:val="105"/>
        </w:rPr>
        <w:t> </w:t>
      </w:r>
      <w:r>
        <w:rPr>
          <w:color w:val="231F20"/>
          <w:w w:val="105"/>
        </w:rPr>
        <w:t>pero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caso</w:t>
      </w:r>
      <w:r>
        <w:rPr>
          <w:color w:val="231F20"/>
          <w:spacing w:val="-8"/>
          <w:w w:val="105"/>
        </w:rPr>
        <w:t> </w:t>
      </w:r>
      <w:r>
        <w:rPr>
          <w:color w:val="231F20"/>
          <w:w w:val="105"/>
        </w:rPr>
        <w:t>de los </w:t>
      </w:r>
      <w:r>
        <w:rPr>
          <w:color w:val="231F20"/>
          <w:w w:val="105"/>
          <w:sz w:val="17"/>
        </w:rPr>
        <w:t>NNA </w:t>
      </w:r>
      <w:r>
        <w:rPr>
          <w:color w:val="231F20"/>
          <w:w w:val="105"/>
        </w:rPr>
        <w:t>migrantes irregulares no acompañados estos se multiplican.</w:t>
      </w:r>
      <w:r>
        <w:rPr>
          <w:color w:val="231F20"/>
          <w:spacing w:val="-20"/>
          <w:w w:val="105"/>
        </w:rPr>
        <w:t> </w:t>
      </w:r>
      <w:r>
        <w:rPr>
          <w:color w:val="231F20"/>
          <w:w w:val="105"/>
        </w:rPr>
        <w:t>La delegación de la </w:t>
      </w:r>
      <w:r>
        <w:rPr>
          <w:color w:val="231F20"/>
          <w:w w:val="105"/>
          <w:sz w:val="17"/>
        </w:rPr>
        <w:t>CIDH </w:t>
      </w:r>
      <w:r>
        <w:rPr>
          <w:color w:val="231F20"/>
          <w:w w:val="105"/>
        </w:rPr>
        <w:t>tuvo ocasión de constatarlo en Ixtepec, Oaxaca, donde en un tren proveniente de Arriaga, Chiapas, distinguió entre los vagones</w:t>
      </w:r>
      <w:r>
        <w:rPr>
          <w:color w:val="231F20"/>
          <w:spacing w:val="-24"/>
          <w:w w:val="105"/>
        </w:rPr>
        <w:t> </w:t>
      </w:r>
      <w:r>
        <w:rPr>
          <w:color w:val="231F20"/>
          <w:w w:val="105"/>
        </w:rPr>
        <w:t>y</w:t>
      </w:r>
      <w:r>
        <w:rPr>
          <w:color w:val="231F20"/>
          <w:spacing w:val="-24"/>
          <w:w w:val="105"/>
        </w:rPr>
        <w:t> </w:t>
      </w:r>
      <w:r>
        <w:rPr>
          <w:color w:val="231F20"/>
          <w:w w:val="105"/>
        </w:rPr>
        <w:t>en</w:t>
      </w:r>
      <w:r>
        <w:rPr>
          <w:color w:val="231F20"/>
          <w:spacing w:val="-24"/>
          <w:w w:val="105"/>
        </w:rPr>
        <w:t> </w:t>
      </w:r>
      <w:r>
        <w:rPr>
          <w:color w:val="231F20"/>
          <w:w w:val="105"/>
        </w:rPr>
        <w:t>los</w:t>
      </w:r>
      <w:r>
        <w:rPr>
          <w:color w:val="231F20"/>
          <w:spacing w:val="-24"/>
          <w:w w:val="105"/>
        </w:rPr>
        <w:t> </w:t>
      </w:r>
      <w:r>
        <w:rPr>
          <w:color w:val="231F20"/>
          <w:w w:val="105"/>
        </w:rPr>
        <w:t>techos</w:t>
      </w:r>
      <w:r>
        <w:rPr>
          <w:color w:val="231F20"/>
          <w:spacing w:val="-24"/>
          <w:w w:val="105"/>
        </w:rPr>
        <w:t> </w:t>
      </w:r>
      <w:r>
        <w:rPr>
          <w:color w:val="231F20"/>
          <w:w w:val="105"/>
        </w:rPr>
        <w:t>“niños</w:t>
      </w:r>
      <w:r>
        <w:rPr>
          <w:color w:val="231F20"/>
          <w:spacing w:val="-24"/>
          <w:w w:val="105"/>
        </w:rPr>
        <w:t> </w:t>
      </w:r>
      <w:r>
        <w:rPr>
          <w:color w:val="231F20"/>
          <w:w w:val="105"/>
        </w:rPr>
        <w:t>y</w:t>
      </w:r>
      <w:r>
        <w:rPr>
          <w:color w:val="231F20"/>
          <w:spacing w:val="-24"/>
          <w:w w:val="105"/>
        </w:rPr>
        <w:t> </w:t>
      </w:r>
      <w:r>
        <w:rPr>
          <w:color w:val="231F20"/>
          <w:w w:val="105"/>
        </w:rPr>
        <w:t>niñas</w:t>
      </w:r>
      <w:r>
        <w:rPr>
          <w:color w:val="231F20"/>
          <w:spacing w:val="-24"/>
          <w:w w:val="105"/>
        </w:rPr>
        <w:t> </w:t>
      </w:r>
      <w:r>
        <w:rPr>
          <w:color w:val="231F20"/>
          <w:w w:val="105"/>
        </w:rPr>
        <w:t>migrantes</w:t>
      </w:r>
      <w:r>
        <w:rPr>
          <w:color w:val="231F20"/>
          <w:spacing w:val="-24"/>
          <w:w w:val="105"/>
        </w:rPr>
        <w:t> </w:t>
      </w:r>
      <w:r>
        <w:rPr>
          <w:color w:val="231F20"/>
          <w:w w:val="105"/>
        </w:rPr>
        <w:t>en</w:t>
      </w:r>
      <w:r>
        <w:rPr>
          <w:color w:val="231F20"/>
          <w:spacing w:val="-24"/>
          <w:w w:val="105"/>
        </w:rPr>
        <w:t> </w:t>
      </w:r>
      <w:r>
        <w:rPr>
          <w:color w:val="231F20"/>
          <w:w w:val="105"/>
        </w:rPr>
        <w:t>situación</w:t>
      </w:r>
      <w:r>
        <w:rPr>
          <w:color w:val="231F20"/>
          <w:spacing w:val="-24"/>
          <w:w w:val="105"/>
        </w:rPr>
        <w:t> </w:t>
      </w:r>
      <w:r>
        <w:rPr>
          <w:color w:val="231F20"/>
          <w:w w:val="105"/>
        </w:rPr>
        <w:t>de</w:t>
      </w:r>
      <w:r>
        <w:rPr>
          <w:color w:val="231F20"/>
          <w:spacing w:val="-24"/>
          <w:w w:val="105"/>
        </w:rPr>
        <w:t> </w:t>
      </w:r>
      <w:r>
        <w:rPr>
          <w:color w:val="231F20"/>
          <w:w w:val="105"/>
        </w:rPr>
        <w:t>extremo riesgo para su vida e integridad personal. La misma situación fue ob- servada por el relator en Tierra Blanca, Veracruz, donde niños y niñas esperaban</w:t>
      </w:r>
      <w:r>
        <w:rPr>
          <w:color w:val="231F20"/>
          <w:spacing w:val="-6"/>
          <w:w w:val="105"/>
        </w:rPr>
        <w:t> </w:t>
      </w:r>
      <w:r>
        <w:rPr>
          <w:color w:val="231F20"/>
          <w:w w:val="105"/>
        </w:rPr>
        <w:t>acostados</w:t>
      </w:r>
      <w:r>
        <w:rPr>
          <w:color w:val="231F20"/>
          <w:spacing w:val="-6"/>
          <w:w w:val="105"/>
        </w:rPr>
        <w:t> </w:t>
      </w:r>
      <w:r>
        <w:rPr>
          <w:color w:val="231F20"/>
          <w:w w:val="105"/>
        </w:rPr>
        <w:t>al</w:t>
      </w:r>
      <w:r>
        <w:rPr>
          <w:color w:val="231F20"/>
          <w:spacing w:val="-6"/>
          <w:w w:val="105"/>
        </w:rPr>
        <w:t> </w:t>
      </w:r>
      <w:r>
        <w:rPr>
          <w:color w:val="231F20"/>
          <w:w w:val="105"/>
        </w:rPr>
        <w:t>borde</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vías</w:t>
      </w:r>
      <w:r>
        <w:rPr>
          <w:color w:val="231F20"/>
          <w:spacing w:val="-6"/>
          <w:w w:val="105"/>
        </w:rPr>
        <w:t> </w:t>
      </w:r>
      <w:r>
        <w:rPr>
          <w:color w:val="231F20"/>
          <w:w w:val="105"/>
        </w:rPr>
        <w:t>la</w:t>
      </w:r>
      <w:r>
        <w:rPr>
          <w:color w:val="231F20"/>
          <w:spacing w:val="-6"/>
          <w:w w:val="105"/>
        </w:rPr>
        <w:t> </w:t>
      </w:r>
      <w:r>
        <w:rPr>
          <w:color w:val="231F20"/>
          <w:w w:val="105"/>
        </w:rPr>
        <w:t>llegada</w:t>
      </w:r>
      <w:r>
        <w:rPr>
          <w:color w:val="231F20"/>
          <w:spacing w:val="-6"/>
          <w:w w:val="105"/>
        </w:rPr>
        <w:t> </w:t>
      </w:r>
      <w:r>
        <w:rPr>
          <w:color w:val="231F20"/>
          <w:w w:val="105"/>
        </w:rPr>
        <w:t>del</w:t>
      </w:r>
      <w:r>
        <w:rPr>
          <w:color w:val="231F20"/>
          <w:spacing w:val="-6"/>
          <w:w w:val="105"/>
        </w:rPr>
        <w:t> </w:t>
      </w:r>
      <w:r>
        <w:rPr>
          <w:color w:val="231F20"/>
          <w:w w:val="105"/>
        </w:rPr>
        <w:t>tren,</w:t>
      </w:r>
      <w:r>
        <w:rPr>
          <w:color w:val="231F20"/>
          <w:spacing w:val="-11"/>
          <w:w w:val="105"/>
        </w:rPr>
        <w:t> </w:t>
      </w:r>
      <w:r>
        <w:rPr>
          <w:color w:val="231F20"/>
          <w:w w:val="105"/>
        </w:rPr>
        <w:t>sin</w:t>
      </w:r>
      <w:r>
        <w:rPr>
          <w:color w:val="231F20"/>
          <w:spacing w:val="-6"/>
          <w:w w:val="105"/>
        </w:rPr>
        <w:t> </w:t>
      </w:r>
      <w:r>
        <w:rPr>
          <w:color w:val="231F20"/>
          <w:w w:val="105"/>
        </w:rPr>
        <w:t>ningún tipo</w:t>
      </w:r>
      <w:r>
        <w:rPr>
          <w:color w:val="231F20"/>
          <w:spacing w:val="-16"/>
          <w:w w:val="105"/>
        </w:rPr>
        <w:t> </w:t>
      </w:r>
      <w:r>
        <w:rPr>
          <w:color w:val="231F20"/>
          <w:w w:val="105"/>
        </w:rPr>
        <w:t>de</w:t>
      </w:r>
      <w:r>
        <w:rPr>
          <w:color w:val="231F20"/>
          <w:spacing w:val="-16"/>
          <w:w w:val="105"/>
        </w:rPr>
        <w:t> </w:t>
      </w:r>
      <w:r>
        <w:rPr>
          <w:color w:val="231F20"/>
          <w:w w:val="105"/>
        </w:rPr>
        <w:t>protección”</w:t>
      </w:r>
      <w:r>
        <w:rPr>
          <w:color w:val="231F20"/>
          <w:spacing w:val="-16"/>
          <w:w w:val="105"/>
        </w:rPr>
        <w:t> </w:t>
      </w:r>
      <w:r>
        <w:rPr>
          <w:color w:val="231F20"/>
          <w:w w:val="105"/>
        </w:rPr>
        <w:t>(</w:t>
      </w:r>
      <w:r>
        <w:rPr>
          <w:color w:val="231F20"/>
          <w:w w:val="105"/>
          <w:sz w:val="17"/>
        </w:rPr>
        <w:t>OEA</w:t>
      </w:r>
      <w:r>
        <w:rPr>
          <w:color w:val="231F20"/>
          <w:w w:val="105"/>
        </w:rPr>
        <w:t>,</w:t>
      </w:r>
      <w:r>
        <w:rPr>
          <w:color w:val="231F20"/>
          <w:spacing w:val="-21"/>
          <w:w w:val="105"/>
        </w:rPr>
        <w:t> </w:t>
      </w:r>
      <w:r>
        <w:rPr>
          <w:color w:val="231F20"/>
          <w:w w:val="105"/>
        </w:rPr>
        <w:t>2013:</w:t>
      </w:r>
      <w:r>
        <w:rPr>
          <w:color w:val="231F20"/>
          <w:spacing w:val="-16"/>
          <w:w w:val="105"/>
        </w:rPr>
        <w:t> </w:t>
      </w:r>
      <w:r>
        <w:rPr>
          <w:color w:val="231F20"/>
          <w:w w:val="105"/>
        </w:rPr>
        <w:t>99).</w:t>
      </w:r>
      <w:r>
        <w:rPr>
          <w:color w:val="231F20"/>
          <w:spacing w:val="-21"/>
          <w:w w:val="105"/>
        </w:rPr>
        <w:t> </w:t>
      </w:r>
      <w:r>
        <w:rPr>
          <w:color w:val="231F20"/>
          <w:w w:val="105"/>
        </w:rPr>
        <w:t>Escenas</w:t>
      </w:r>
      <w:r>
        <w:rPr>
          <w:color w:val="231F20"/>
          <w:spacing w:val="-16"/>
          <w:w w:val="105"/>
        </w:rPr>
        <w:t> </w:t>
      </w:r>
      <w:r>
        <w:rPr>
          <w:color w:val="231F20"/>
          <w:w w:val="105"/>
        </w:rPr>
        <w:t>como</w:t>
      </w:r>
      <w:r>
        <w:rPr>
          <w:color w:val="231F20"/>
          <w:spacing w:val="-16"/>
          <w:w w:val="105"/>
        </w:rPr>
        <w:t> </w:t>
      </w:r>
      <w:r>
        <w:rPr>
          <w:color w:val="231F20"/>
          <w:w w:val="105"/>
        </w:rPr>
        <w:t>estas</w:t>
      </w:r>
      <w:r>
        <w:rPr>
          <w:color w:val="231F20"/>
          <w:spacing w:val="-16"/>
          <w:w w:val="105"/>
        </w:rPr>
        <w:t> </w:t>
      </w:r>
      <w:r>
        <w:rPr>
          <w:color w:val="231F20"/>
          <w:w w:val="105"/>
        </w:rPr>
        <w:t>se</w:t>
      </w:r>
      <w:r>
        <w:rPr>
          <w:color w:val="231F20"/>
          <w:spacing w:val="-16"/>
          <w:w w:val="105"/>
        </w:rPr>
        <w:t> </w:t>
      </w:r>
      <w:r>
        <w:rPr>
          <w:color w:val="231F20"/>
          <w:w w:val="105"/>
        </w:rPr>
        <w:t>multiplican</w:t>
      </w:r>
      <w:r>
        <w:rPr>
          <w:color w:val="231F20"/>
          <w:spacing w:val="-16"/>
          <w:w w:val="105"/>
        </w:rPr>
        <w:t> </w:t>
      </w:r>
      <w:r>
        <w:rPr>
          <w:color w:val="231F20"/>
          <w:w w:val="105"/>
        </w:rPr>
        <w:t>a lo</w:t>
      </w:r>
      <w:r>
        <w:rPr>
          <w:color w:val="231F20"/>
          <w:spacing w:val="-12"/>
          <w:w w:val="105"/>
        </w:rPr>
        <w:t> </w:t>
      </w:r>
      <w:r>
        <w:rPr>
          <w:color w:val="231F20"/>
          <w:w w:val="105"/>
        </w:rPr>
        <w:t>largo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red</w:t>
      </w:r>
      <w:r>
        <w:rPr>
          <w:color w:val="231F20"/>
          <w:spacing w:val="-12"/>
          <w:w w:val="105"/>
        </w:rPr>
        <w:t> </w:t>
      </w:r>
      <w:r>
        <w:rPr>
          <w:color w:val="231F20"/>
          <w:w w:val="105"/>
        </w:rPr>
        <w:t>ferroviaria</w:t>
      </w:r>
      <w:r>
        <w:rPr>
          <w:color w:val="231F20"/>
          <w:spacing w:val="-12"/>
          <w:w w:val="105"/>
        </w:rPr>
        <w:t> </w:t>
      </w:r>
      <w:r>
        <w:rPr>
          <w:color w:val="231F20"/>
          <w:w w:val="105"/>
        </w:rPr>
        <w:t>que</w:t>
      </w:r>
      <w:r>
        <w:rPr>
          <w:color w:val="231F20"/>
          <w:spacing w:val="-12"/>
          <w:w w:val="105"/>
        </w:rPr>
        <w:t> </w:t>
      </w:r>
      <w:r>
        <w:rPr>
          <w:color w:val="231F20"/>
          <w:w w:val="105"/>
        </w:rPr>
        <w:t>involucra</w:t>
      </w:r>
      <w:r>
        <w:rPr>
          <w:color w:val="231F20"/>
          <w:spacing w:val="-12"/>
          <w:w w:val="105"/>
        </w:rPr>
        <w:t> </w:t>
      </w:r>
      <w:r>
        <w:rPr>
          <w:color w:val="231F20"/>
          <w:w w:val="105"/>
        </w:rPr>
        <w:t>rutas</w:t>
      </w:r>
      <w:r>
        <w:rPr>
          <w:color w:val="231F20"/>
          <w:spacing w:val="-12"/>
          <w:w w:val="105"/>
        </w:rPr>
        <w:t> </w:t>
      </w:r>
      <w:r>
        <w:rPr>
          <w:color w:val="231F20"/>
          <w:w w:val="105"/>
        </w:rPr>
        <w:t>migrantes.</w:t>
      </w:r>
    </w:p>
    <w:p>
      <w:pPr>
        <w:pStyle w:val="BodyText"/>
        <w:spacing w:line="261" w:lineRule="auto" w:before="1"/>
        <w:ind w:left="1837" w:right="1715" w:firstLine="567"/>
        <w:jc w:val="both"/>
      </w:pPr>
      <w:r>
        <w:rPr>
          <w:color w:val="231F20"/>
          <w:w w:val="105"/>
        </w:rPr>
        <w:t>En el caso de nuestro país, el único organismo facultado por ley para</w:t>
      </w:r>
      <w:r>
        <w:rPr>
          <w:color w:val="231F20"/>
          <w:spacing w:val="-29"/>
          <w:w w:val="105"/>
        </w:rPr>
        <w:t> </w:t>
      </w:r>
      <w:r>
        <w:rPr>
          <w:color w:val="231F20"/>
          <w:w w:val="105"/>
        </w:rPr>
        <w:t>atender</w:t>
      </w:r>
      <w:r>
        <w:rPr>
          <w:color w:val="231F20"/>
          <w:spacing w:val="-29"/>
          <w:w w:val="105"/>
        </w:rPr>
        <w:t> </w:t>
      </w:r>
      <w:r>
        <w:rPr>
          <w:color w:val="231F20"/>
          <w:w w:val="105"/>
        </w:rPr>
        <w:t>lo</w:t>
      </w:r>
      <w:r>
        <w:rPr>
          <w:color w:val="231F20"/>
          <w:spacing w:val="-29"/>
          <w:w w:val="105"/>
        </w:rPr>
        <w:t> </w:t>
      </w:r>
      <w:r>
        <w:rPr>
          <w:color w:val="231F20"/>
          <w:w w:val="105"/>
        </w:rPr>
        <w:t>relativo</w:t>
      </w:r>
      <w:r>
        <w:rPr>
          <w:color w:val="231F20"/>
          <w:spacing w:val="-29"/>
          <w:w w:val="105"/>
        </w:rPr>
        <w:t> </w:t>
      </w:r>
      <w:r>
        <w:rPr>
          <w:color w:val="231F20"/>
          <w:w w:val="105"/>
        </w:rPr>
        <w:t>a</w:t>
      </w:r>
      <w:r>
        <w:rPr>
          <w:color w:val="231F20"/>
          <w:spacing w:val="-29"/>
          <w:w w:val="105"/>
        </w:rPr>
        <w:t> </w:t>
      </w:r>
      <w:r>
        <w:rPr>
          <w:color w:val="231F20"/>
          <w:w w:val="105"/>
        </w:rPr>
        <w:t>cuestiones</w:t>
      </w:r>
      <w:r>
        <w:rPr>
          <w:color w:val="231F20"/>
          <w:spacing w:val="-29"/>
          <w:w w:val="105"/>
        </w:rPr>
        <w:t> </w:t>
      </w:r>
      <w:r>
        <w:rPr>
          <w:color w:val="231F20"/>
          <w:w w:val="105"/>
        </w:rPr>
        <w:t>migratorias</w:t>
      </w:r>
      <w:r>
        <w:rPr>
          <w:color w:val="231F20"/>
          <w:spacing w:val="-29"/>
          <w:w w:val="105"/>
        </w:rPr>
        <w:t> </w:t>
      </w:r>
      <w:r>
        <w:rPr>
          <w:color w:val="231F20"/>
          <w:w w:val="105"/>
        </w:rPr>
        <w:t>y</w:t>
      </w:r>
      <w:r>
        <w:rPr>
          <w:color w:val="231F20"/>
          <w:spacing w:val="-29"/>
          <w:w w:val="105"/>
        </w:rPr>
        <w:t> </w:t>
      </w:r>
      <w:r>
        <w:rPr>
          <w:color w:val="231F20"/>
          <w:w w:val="105"/>
        </w:rPr>
        <w:t>al</w:t>
      </w:r>
      <w:r>
        <w:rPr>
          <w:color w:val="231F20"/>
          <w:spacing w:val="-29"/>
          <w:w w:val="105"/>
        </w:rPr>
        <w:t> </w:t>
      </w:r>
      <w:r>
        <w:rPr>
          <w:color w:val="231F20"/>
          <w:w w:val="105"/>
        </w:rPr>
        <w:t>estatus</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extran- jeros</w:t>
      </w:r>
      <w:r>
        <w:rPr>
          <w:color w:val="231F20"/>
          <w:spacing w:val="-16"/>
          <w:w w:val="105"/>
        </w:rPr>
        <w:t> </w:t>
      </w:r>
      <w:r>
        <w:rPr>
          <w:color w:val="231F20"/>
          <w:w w:val="105"/>
        </w:rPr>
        <w:t>es</w:t>
      </w:r>
      <w:r>
        <w:rPr>
          <w:color w:val="231F20"/>
          <w:spacing w:val="-16"/>
          <w:w w:val="105"/>
        </w:rPr>
        <w:t> </w:t>
      </w:r>
      <w:r>
        <w:rPr>
          <w:color w:val="231F20"/>
          <w:w w:val="105"/>
        </w:rPr>
        <w:t>el</w:t>
      </w:r>
      <w:r>
        <w:rPr>
          <w:color w:val="231F20"/>
          <w:spacing w:val="-16"/>
          <w:w w:val="105"/>
        </w:rPr>
        <w:t> </w:t>
      </w:r>
      <w:r>
        <w:rPr>
          <w:color w:val="231F20"/>
          <w:w w:val="105"/>
        </w:rPr>
        <w:t>Instituto</w:t>
      </w:r>
      <w:r>
        <w:rPr>
          <w:color w:val="231F20"/>
          <w:spacing w:val="-16"/>
          <w:w w:val="105"/>
        </w:rPr>
        <w:t> </w:t>
      </w:r>
      <w:r>
        <w:rPr>
          <w:color w:val="231F20"/>
          <w:w w:val="105"/>
        </w:rPr>
        <w:t>Nacional</w:t>
      </w:r>
      <w:r>
        <w:rPr>
          <w:color w:val="231F20"/>
          <w:spacing w:val="-16"/>
          <w:w w:val="105"/>
        </w:rPr>
        <w:t> </w:t>
      </w:r>
      <w:r>
        <w:rPr>
          <w:color w:val="231F20"/>
          <w:w w:val="105"/>
        </w:rPr>
        <w:t>de</w:t>
      </w:r>
      <w:r>
        <w:rPr>
          <w:color w:val="231F20"/>
          <w:spacing w:val="-16"/>
          <w:w w:val="105"/>
        </w:rPr>
        <w:t> </w:t>
      </w:r>
      <w:r>
        <w:rPr>
          <w:color w:val="231F20"/>
          <w:w w:val="105"/>
        </w:rPr>
        <w:t>Migración</w:t>
      </w:r>
      <w:r>
        <w:rPr>
          <w:color w:val="231F20"/>
          <w:spacing w:val="-16"/>
          <w:w w:val="105"/>
        </w:rPr>
        <w:t> </w:t>
      </w:r>
      <w:r>
        <w:rPr>
          <w:color w:val="231F20"/>
          <w:w w:val="105"/>
        </w:rPr>
        <w:t>(</w:t>
      </w:r>
      <w:r>
        <w:rPr>
          <w:color w:val="231F20"/>
          <w:w w:val="105"/>
          <w:sz w:val="17"/>
        </w:rPr>
        <w:t>INM</w:t>
      </w:r>
      <w:r>
        <w:rPr>
          <w:color w:val="231F20"/>
          <w:w w:val="105"/>
        </w:rPr>
        <w:t>),</w:t>
      </w:r>
      <w:r>
        <w:rPr>
          <w:color w:val="231F20"/>
          <w:spacing w:val="-21"/>
          <w:w w:val="105"/>
        </w:rPr>
        <w:t> </w:t>
      </w:r>
      <w:r>
        <w:rPr>
          <w:color w:val="231F20"/>
          <w:w w:val="105"/>
        </w:rPr>
        <w:t>el</w:t>
      </w:r>
      <w:r>
        <w:rPr>
          <w:color w:val="231F20"/>
          <w:spacing w:val="-16"/>
          <w:w w:val="105"/>
        </w:rPr>
        <w:t> </w:t>
      </w:r>
      <w:r>
        <w:rPr>
          <w:color w:val="231F20"/>
          <w:w w:val="105"/>
        </w:rPr>
        <w:t>cual</w:t>
      </w:r>
      <w:r>
        <w:rPr>
          <w:color w:val="231F20"/>
          <w:spacing w:val="-16"/>
          <w:w w:val="105"/>
        </w:rPr>
        <w:t> </w:t>
      </w:r>
      <w:r>
        <w:rPr>
          <w:color w:val="231F20"/>
          <w:w w:val="105"/>
        </w:rPr>
        <w:t>tiene</w:t>
      </w:r>
      <w:r>
        <w:rPr>
          <w:color w:val="231F20"/>
          <w:spacing w:val="-16"/>
          <w:w w:val="105"/>
        </w:rPr>
        <w:t> </w:t>
      </w:r>
      <w:r>
        <w:rPr>
          <w:color w:val="231F20"/>
          <w:w w:val="105"/>
        </w:rPr>
        <w:t>presencia</w:t>
      </w:r>
      <w:r>
        <w:rPr>
          <w:color w:val="231F20"/>
          <w:spacing w:val="-16"/>
          <w:w w:val="105"/>
        </w:rPr>
        <w:t> </w:t>
      </w:r>
      <w:r>
        <w:rPr>
          <w:color w:val="231F20"/>
          <w:w w:val="105"/>
        </w:rPr>
        <w:t>a lo largo y ancho de todo el territorio nacional, pues cuenta con delega- ciones</w:t>
      </w:r>
      <w:r>
        <w:rPr>
          <w:color w:val="231F20"/>
          <w:spacing w:val="-11"/>
          <w:w w:val="105"/>
        </w:rPr>
        <w:t> </w:t>
      </w:r>
      <w:r>
        <w:rPr>
          <w:color w:val="231F20"/>
          <w:w w:val="105"/>
        </w:rPr>
        <w:t>federales</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31</w:t>
      </w:r>
      <w:r>
        <w:rPr>
          <w:color w:val="231F20"/>
          <w:spacing w:val="-11"/>
          <w:w w:val="105"/>
        </w:rPr>
        <w:t> </w:t>
      </w:r>
      <w:r>
        <w:rPr>
          <w:color w:val="231F20"/>
          <w:w w:val="105"/>
        </w:rPr>
        <w:t>entidades</w:t>
      </w:r>
      <w:r>
        <w:rPr>
          <w:color w:val="231F20"/>
          <w:spacing w:val="-11"/>
          <w:w w:val="105"/>
        </w:rPr>
        <w:t> </w:t>
      </w:r>
      <w:r>
        <w:rPr>
          <w:color w:val="231F20"/>
          <w:w w:val="105"/>
        </w:rPr>
        <w:t>federativas</w:t>
      </w:r>
      <w:r>
        <w:rPr>
          <w:color w:val="231F20"/>
          <w:spacing w:val="-11"/>
          <w:w w:val="105"/>
        </w:rPr>
        <w:t> </w:t>
      </w:r>
      <w:r>
        <w:rPr>
          <w:color w:val="231F20"/>
          <w:w w:val="105"/>
        </w:rPr>
        <w:t>y</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Distrito</w:t>
      </w:r>
      <w:r>
        <w:rPr>
          <w:color w:val="231F20"/>
          <w:spacing w:val="-11"/>
          <w:w w:val="105"/>
        </w:rPr>
        <w:t> </w:t>
      </w:r>
      <w:r>
        <w:rPr>
          <w:color w:val="231F20"/>
          <w:w w:val="105"/>
        </w:rPr>
        <w:t>Federal, con</w:t>
      </w:r>
      <w:r>
        <w:rPr>
          <w:color w:val="231F20"/>
          <w:spacing w:val="-15"/>
          <w:w w:val="105"/>
        </w:rPr>
        <w:t> </w:t>
      </w:r>
      <w:r>
        <w:rPr>
          <w:color w:val="231F20"/>
          <w:w w:val="105"/>
        </w:rPr>
        <w:t>la</w:t>
      </w:r>
      <w:r>
        <w:rPr>
          <w:color w:val="231F20"/>
          <w:spacing w:val="-15"/>
          <w:w w:val="105"/>
        </w:rPr>
        <w:t> </w:t>
      </w:r>
      <w:r>
        <w:rPr>
          <w:color w:val="231F20"/>
          <w:w w:val="105"/>
        </w:rPr>
        <w:t>finalidad</w:t>
      </w:r>
      <w:r>
        <w:rPr>
          <w:color w:val="231F20"/>
          <w:spacing w:val="-15"/>
          <w:w w:val="105"/>
        </w:rPr>
        <w:t> </w:t>
      </w:r>
      <w:r>
        <w:rPr>
          <w:color w:val="231F20"/>
          <w:w w:val="105"/>
        </w:rPr>
        <w:t>de</w:t>
      </w:r>
      <w:r>
        <w:rPr>
          <w:color w:val="231F20"/>
          <w:spacing w:val="-15"/>
          <w:w w:val="105"/>
        </w:rPr>
        <w:t> </w:t>
      </w:r>
      <w:r>
        <w:rPr>
          <w:color w:val="231F20"/>
          <w:w w:val="105"/>
        </w:rPr>
        <w:t>controlar</w:t>
      </w:r>
      <w:r>
        <w:rPr>
          <w:color w:val="231F20"/>
          <w:spacing w:val="-15"/>
          <w:w w:val="105"/>
        </w:rPr>
        <w:t> </w:t>
      </w:r>
      <w:r>
        <w:rPr>
          <w:color w:val="231F20"/>
          <w:w w:val="105"/>
        </w:rPr>
        <w:t>los</w:t>
      </w:r>
      <w:r>
        <w:rPr>
          <w:color w:val="231F20"/>
          <w:spacing w:val="-15"/>
          <w:w w:val="105"/>
        </w:rPr>
        <w:t> </w:t>
      </w:r>
      <w:r>
        <w:rPr>
          <w:color w:val="231F20"/>
          <w:w w:val="105"/>
        </w:rPr>
        <w:t>movimientos</w:t>
      </w:r>
      <w:r>
        <w:rPr>
          <w:color w:val="231F20"/>
          <w:spacing w:val="-15"/>
          <w:w w:val="105"/>
        </w:rPr>
        <w:t> </w:t>
      </w:r>
      <w:r>
        <w:rPr>
          <w:color w:val="231F20"/>
          <w:w w:val="105"/>
        </w:rPr>
        <w:t>y</w:t>
      </w:r>
      <w:r>
        <w:rPr>
          <w:color w:val="231F20"/>
          <w:spacing w:val="-15"/>
          <w:w w:val="105"/>
        </w:rPr>
        <w:t> </w:t>
      </w:r>
      <w:r>
        <w:rPr>
          <w:color w:val="231F20"/>
          <w:w w:val="105"/>
        </w:rPr>
        <w:t>contener</w:t>
      </w:r>
      <w:r>
        <w:rPr>
          <w:color w:val="231F20"/>
          <w:spacing w:val="-15"/>
          <w:w w:val="105"/>
        </w:rPr>
        <w:t> </w:t>
      </w:r>
      <w:r>
        <w:rPr>
          <w:color w:val="231F20"/>
          <w:w w:val="105"/>
        </w:rPr>
        <w:t>los</w:t>
      </w:r>
      <w:r>
        <w:rPr>
          <w:color w:val="231F20"/>
          <w:spacing w:val="-15"/>
          <w:w w:val="105"/>
        </w:rPr>
        <w:t> </w:t>
      </w:r>
      <w:r>
        <w:rPr>
          <w:color w:val="231F20"/>
          <w:w w:val="105"/>
        </w:rPr>
        <w:t>flujos</w:t>
      </w:r>
      <w:r>
        <w:rPr>
          <w:color w:val="231F20"/>
          <w:spacing w:val="-15"/>
          <w:w w:val="105"/>
        </w:rPr>
        <w:t> </w:t>
      </w:r>
      <w:r>
        <w:rPr>
          <w:color w:val="231F20"/>
          <w:w w:val="105"/>
        </w:rPr>
        <w:t>de</w:t>
      </w:r>
      <w:r>
        <w:rPr>
          <w:color w:val="231F20"/>
          <w:spacing w:val="-15"/>
          <w:w w:val="105"/>
        </w:rPr>
        <w:t> </w:t>
      </w:r>
      <w:r>
        <w:rPr>
          <w:color w:val="231F20"/>
          <w:w w:val="105"/>
        </w:rPr>
        <w:t>per- sonas</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internan</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país</w:t>
      </w:r>
      <w:r>
        <w:rPr>
          <w:color w:val="231F20"/>
          <w:spacing w:val="-19"/>
          <w:w w:val="105"/>
        </w:rPr>
        <w:t> </w:t>
      </w:r>
      <w:r>
        <w:rPr>
          <w:color w:val="231F20"/>
          <w:w w:val="105"/>
        </w:rPr>
        <w:t>de</w:t>
      </w:r>
      <w:r>
        <w:rPr>
          <w:color w:val="231F20"/>
          <w:spacing w:val="-19"/>
          <w:w w:val="105"/>
        </w:rPr>
        <w:t> </w:t>
      </w:r>
      <w:r>
        <w:rPr>
          <w:color w:val="231F20"/>
          <w:w w:val="105"/>
        </w:rPr>
        <w:t>manera</w:t>
      </w:r>
      <w:r>
        <w:rPr>
          <w:color w:val="231F20"/>
          <w:spacing w:val="-19"/>
          <w:w w:val="105"/>
        </w:rPr>
        <w:t> </w:t>
      </w:r>
      <w:r>
        <w:rPr>
          <w:color w:val="231F20"/>
          <w:w w:val="105"/>
        </w:rPr>
        <w:t>irregular.</w:t>
      </w:r>
    </w:p>
    <w:p>
      <w:pPr>
        <w:pStyle w:val="BodyText"/>
        <w:spacing w:line="261" w:lineRule="auto" w:before="1"/>
        <w:ind w:left="1837" w:right="1721" w:firstLine="567"/>
        <w:jc w:val="both"/>
      </w:pPr>
      <w:r>
        <w:rPr/>
        <w:pict>
          <v:line style="position:absolute;mso-position-horizontal-relative:page;mso-position-vertical-relative:paragraph;z-index:-482536" from="15pt,210.217987pt" to="0pt,210.217987pt" stroked="true" strokeweight=".25pt" strokecolor="#000000">
            <w10:wrap type="none"/>
          </v:line>
        </w:pict>
      </w:r>
      <w:r>
        <w:rPr/>
        <w:pict>
          <v:line style="position:absolute;mso-position-horizontal-relative:page;mso-position-vertical-relative:paragraph;z-index:7672" from="508.890015pt,210.217987pt" to="523.890015pt,210.217987pt" stroked="true" strokeweight=".25pt" strokecolor="#000000">
            <w10:wrap type="none"/>
          </v:line>
        </w:pict>
      </w:r>
      <w:r>
        <w:rPr>
          <w:color w:val="231F20"/>
          <w:w w:val="105"/>
        </w:rPr>
        <w:t>Los</w:t>
      </w:r>
      <w:r>
        <w:rPr>
          <w:color w:val="231F20"/>
          <w:spacing w:val="-17"/>
          <w:w w:val="105"/>
        </w:rPr>
        <w:t> </w:t>
      </w:r>
      <w:r>
        <w:rPr>
          <w:color w:val="231F20"/>
          <w:w w:val="105"/>
        </w:rPr>
        <w:t>oficiales</w:t>
      </w:r>
      <w:r>
        <w:rPr>
          <w:color w:val="231F20"/>
          <w:spacing w:val="-17"/>
          <w:w w:val="105"/>
        </w:rPr>
        <w:t> </w:t>
      </w:r>
      <w:r>
        <w:rPr>
          <w:color w:val="231F20"/>
          <w:w w:val="105"/>
        </w:rPr>
        <w:t>de</w:t>
      </w:r>
      <w:r>
        <w:rPr>
          <w:color w:val="231F20"/>
          <w:spacing w:val="-17"/>
          <w:w w:val="105"/>
        </w:rPr>
        <w:t> </w:t>
      </w:r>
      <w:r>
        <w:rPr>
          <w:color w:val="231F20"/>
          <w:w w:val="105"/>
        </w:rPr>
        <w:t>protección</w:t>
      </w:r>
      <w:r>
        <w:rPr>
          <w:color w:val="231F20"/>
          <w:spacing w:val="-17"/>
          <w:w w:val="105"/>
        </w:rPr>
        <w:t> </w:t>
      </w:r>
      <w:r>
        <w:rPr>
          <w:color w:val="231F20"/>
          <w:w w:val="105"/>
        </w:rPr>
        <w:t>integral</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infancia</w:t>
      </w:r>
      <w:r>
        <w:rPr>
          <w:color w:val="231F20"/>
          <w:spacing w:val="-17"/>
          <w:w w:val="105"/>
        </w:rPr>
        <w:t> </w:t>
      </w:r>
      <w:r>
        <w:rPr>
          <w:color w:val="231F20"/>
          <w:w w:val="105"/>
        </w:rPr>
        <w:t>(</w:t>
      </w:r>
      <w:r>
        <w:rPr>
          <w:color w:val="231F20"/>
          <w:w w:val="105"/>
          <w:sz w:val="17"/>
        </w:rPr>
        <w:t>OPIS</w:t>
      </w:r>
      <w:r>
        <w:rPr>
          <w:color w:val="231F20"/>
          <w:w w:val="105"/>
        </w:rPr>
        <w:t>)</w:t>
      </w:r>
      <w:r>
        <w:rPr>
          <w:color w:val="231F20"/>
          <w:spacing w:val="-17"/>
          <w:w w:val="105"/>
        </w:rPr>
        <w:t> </w:t>
      </w:r>
      <w:r>
        <w:rPr>
          <w:color w:val="231F20"/>
          <w:w w:val="105"/>
        </w:rPr>
        <w:t>son</w:t>
      </w:r>
      <w:r>
        <w:rPr>
          <w:color w:val="231F20"/>
          <w:spacing w:val="-17"/>
          <w:w w:val="105"/>
        </w:rPr>
        <w:t> </w:t>
      </w:r>
      <w:r>
        <w:rPr>
          <w:color w:val="231F20"/>
          <w:w w:val="105"/>
        </w:rPr>
        <w:t>funcio- narios</w:t>
      </w:r>
      <w:r>
        <w:rPr>
          <w:color w:val="231F20"/>
          <w:spacing w:val="-18"/>
          <w:w w:val="105"/>
        </w:rPr>
        <w:t> </w:t>
      </w:r>
      <w:r>
        <w:rPr>
          <w:color w:val="231F20"/>
          <w:w w:val="105"/>
        </w:rPr>
        <w:t>del</w:t>
      </w:r>
      <w:r>
        <w:rPr>
          <w:color w:val="231F20"/>
          <w:spacing w:val="-18"/>
          <w:w w:val="105"/>
        </w:rPr>
        <w:t> </w:t>
      </w:r>
      <w:r>
        <w:rPr>
          <w:color w:val="231F20"/>
          <w:w w:val="105"/>
          <w:sz w:val="17"/>
        </w:rPr>
        <w:t>INM</w:t>
      </w:r>
      <w:r>
        <w:rPr>
          <w:color w:val="231F20"/>
          <w:spacing w:val="-7"/>
          <w:w w:val="105"/>
          <w:sz w:val="17"/>
        </w:rPr>
        <w:t> </w:t>
      </w:r>
      <w:r>
        <w:rPr>
          <w:color w:val="231F20"/>
          <w:w w:val="105"/>
        </w:rPr>
        <w:t>que</w:t>
      </w:r>
      <w:r>
        <w:rPr>
          <w:color w:val="231F20"/>
          <w:spacing w:val="-18"/>
          <w:w w:val="105"/>
        </w:rPr>
        <w:t> </w:t>
      </w:r>
      <w:r>
        <w:rPr>
          <w:color w:val="231F20"/>
          <w:w w:val="105"/>
        </w:rPr>
        <w:t>tienen</w:t>
      </w:r>
      <w:r>
        <w:rPr>
          <w:color w:val="231F20"/>
          <w:spacing w:val="-18"/>
          <w:w w:val="105"/>
        </w:rPr>
        <w:t> </w:t>
      </w:r>
      <w:r>
        <w:rPr>
          <w:color w:val="231F20"/>
          <w:w w:val="105"/>
        </w:rPr>
        <w:t>como</w:t>
      </w:r>
      <w:r>
        <w:rPr>
          <w:color w:val="231F20"/>
          <w:spacing w:val="-18"/>
          <w:w w:val="105"/>
        </w:rPr>
        <w:t> </w:t>
      </w:r>
      <w:r>
        <w:rPr>
          <w:color w:val="231F20"/>
          <w:w w:val="105"/>
        </w:rPr>
        <w:t>función</w:t>
      </w:r>
      <w:r>
        <w:rPr>
          <w:color w:val="231F20"/>
          <w:spacing w:val="-18"/>
          <w:w w:val="105"/>
        </w:rPr>
        <w:t> </w:t>
      </w:r>
      <w:r>
        <w:rPr>
          <w:color w:val="231F20"/>
          <w:w w:val="105"/>
        </w:rPr>
        <w:t>atender</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menores</w:t>
      </w:r>
      <w:r>
        <w:rPr>
          <w:color w:val="231F20"/>
          <w:spacing w:val="-18"/>
          <w:w w:val="105"/>
        </w:rPr>
        <w:t> </w:t>
      </w:r>
      <w:r>
        <w:rPr>
          <w:color w:val="231F20"/>
          <w:w w:val="105"/>
        </w:rPr>
        <w:t>que</w:t>
      </w:r>
      <w:r>
        <w:rPr>
          <w:color w:val="231F20"/>
          <w:spacing w:val="-18"/>
          <w:w w:val="105"/>
        </w:rPr>
        <w:t> </w:t>
      </w:r>
      <w:r>
        <w:rPr>
          <w:color w:val="231F20"/>
          <w:w w:val="105"/>
        </w:rPr>
        <w:t>llegan a</w:t>
      </w:r>
      <w:r>
        <w:rPr>
          <w:color w:val="231F20"/>
          <w:spacing w:val="-9"/>
          <w:w w:val="105"/>
        </w:rPr>
        <w:t> </w:t>
      </w:r>
      <w:r>
        <w:rPr>
          <w:color w:val="231F20"/>
          <w:w w:val="105"/>
        </w:rPr>
        <w:t>las</w:t>
      </w:r>
      <w:r>
        <w:rPr>
          <w:color w:val="231F20"/>
          <w:spacing w:val="-9"/>
          <w:w w:val="105"/>
        </w:rPr>
        <w:t> </w:t>
      </w:r>
      <w:r>
        <w:rPr>
          <w:color w:val="231F20"/>
          <w:w w:val="105"/>
        </w:rPr>
        <w:t>estaciones</w:t>
      </w:r>
      <w:r>
        <w:rPr>
          <w:color w:val="231F20"/>
          <w:spacing w:val="-9"/>
          <w:w w:val="105"/>
        </w:rPr>
        <w:t> </w:t>
      </w:r>
      <w:r>
        <w:rPr>
          <w:color w:val="231F20"/>
          <w:w w:val="105"/>
        </w:rPr>
        <w:t>migratorias,</w:t>
      </w:r>
      <w:r>
        <w:rPr>
          <w:color w:val="231F20"/>
          <w:spacing w:val="-13"/>
          <w:w w:val="105"/>
        </w:rPr>
        <w:t> </w:t>
      </w:r>
      <w:r>
        <w:rPr>
          <w:color w:val="231F20"/>
          <w:w w:val="105"/>
        </w:rPr>
        <w:t>procurando</w:t>
      </w:r>
      <w:r>
        <w:rPr>
          <w:color w:val="231F20"/>
          <w:spacing w:val="-9"/>
          <w:w w:val="105"/>
        </w:rPr>
        <w:t> </w:t>
      </w:r>
      <w:r>
        <w:rPr>
          <w:color w:val="231F20"/>
          <w:w w:val="105"/>
        </w:rPr>
        <w:t>se</w:t>
      </w:r>
      <w:r>
        <w:rPr>
          <w:color w:val="231F20"/>
          <w:spacing w:val="-9"/>
          <w:w w:val="105"/>
        </w:rPr>
        <w:t> </w:t>
      </w:r>
      <w:r>
        <w:rPr>
          <w:color w:val="231F20"/>
          <w:w w:val="105"/>
        </w:rPr>
        <w:t>respeten</w:t>
      </w:r>
      <w:r>
        <w:rPr>
          <w:color w:val="231F20"/>
          <w:spacing w:val="-9"/>
          <w:w w:val="105"/>
        </w:rPr>
        <w:t> </w:t>
      </w:r>
      <w:r>
        <w:rPr>
          <w:color w:val="231F20"/>
          <w:w w:val="105"/>
        </w:rPr>
        <w:t>sus</w:t>
      </w:r>
      <w:r>
        <w:rPr>
          <w:color w:val="231F20"/>
          <w:spacing w:val="-9"/>
          <w:w w:val="105"/>
        </w:rPr>
        <w:t> </w:t>
      </w:r>
      <w:r>
        <w:rPr>
          <w:color w:val="231F20"/>
          <w:w w:val="105"/>
        </w:rPr>
        <w:t>derechos</w:t>
      </w:r>
      <w:r>
        <w:rPr>
          <w:color w:val="231F20"/>
          <w:spacing w:val="-9"/>
          <w:w w:val="105"/>
        </w:rPr>
        <w:t> </w:t>
      </w:r>
      <w:r>
        <w:rPr>
          <w:color w:val="231F20"/>
          <w:w w:val="105"/>
        </w:rPr>
        <w:t>y</w:t>
      </w:r>
      <w:r>
        <w:rPr>
          <w:color w:val="231F20"/>
          <w:spacing w:val="-9"/>
          <w:w w:val="105"/>
        </w:rPr>
        <w:t> </w:t>
      </w:r>
      <w:r>
        <w:rPr>
          <w:color w:val="231F20"/>
          <w:w w:val="105"/>
        </w:rPr>
        <w:t>se cumplan</w:t>
      </w:r>
      <w:r>
        <w:rPr>
          <w:color w:val="231F20"/>
          <w:spacing w:val="-24"/>
          <w:w w:val="105"/>
        </w:rPr>
        <w:t> </w:t>
      </w:r>
      <w:r>
        <w:rPr>
          <w:color w:val="231F20"/>
          <w:w w:val="105"/>
        </w:rPr>
        <w:t>los</w:t>
      </w:r>
      <w:r>
        <w:rPr>
          <w:color w:val="231F20"/>
          <w:spacing w:val="-24"/>
          <w:w w:val="105"/>
        </w:rPr>
        <w:t> </w:t>
      </w:r>
      <w:r>
        <w:rPr>
          <w:color w:val="231F20"/>
          <w:w w:val="105"/>
        </w:rPr>
        <w:t>compromisos</w:t>
      </w:r>
      <w:r>
        <w:rPr>
          <w:color w:val="231F20"/>
          <w:spacing w:val="-24"/>
          <w:w w:val="105"/>
        </w:rPr>
        <w:t> </w:t>
      </w:r>
      <w:r>
        <w:rPr>
          <w:color w:val="231F20"/>
          <w:w w:val="105"/>
        </w:rPr>
        <w:t>internacionales</w:t>
      </w:r>
      <w:r>
        <w:rPr>
          <w:color w:val="231F20"/>
          <w:spacing w:val="-24"/>
          <w:w w:val="105"/>
        </w:rPr>
        <w:t> </w:t>
      </w:r>
      <w:r>
        <w:rPr>
          <w:color w:val="231F20"/>
          <w:w w:val="105"/>
        </w:rPr>
        <w:t>que</w:t>
      </w:r>
      <w:r>
        <w:rPr>
          <w:color w:val="231F20"/>
          <w:spacing w:val="-24"/>
          <w:w w:val="105"/>
        </w:rPr>
        <w:t> </w:t>
      </w:r>
      <w:r>
        <w:rPr>
          <w:color w:val="231F20"/>
          <w:w w:val="105"/>
        </w:rPr>
        <w:t>México</w:t>
      </w:r>
      <w:r>
        <w:rPr>
          <w:color w:val="231F20"/>
          <w:spacing w:val="-24"/>
          <w:w w:val="105"/>
        </w:rPr>
        <w:t> </w:t>
      </w:r>
      <w:r>
        <w:rPr>
          <w:color w:val="231F20"/>
          <w:w w:val="105"/>
        </w:rPr>
        <w:t>ha</w:t>
      </w:r>
      <w:r>
        <w:rPr>
          <w:color w:val="231F20"/>
          <w:spacing w:val="-24"/>
          <w:w w:val="105"/>
        </w:rPr>
        <w:t> </w:t>
      </w:r>
      <w:r>
        <w:rPr>
          <w:color w:val="231F20"/>
          <w:w w:val="105"/>
        </w:rPr>
        <w:t>signado.</w:t>
      </w:r>
      <w:r>
        <w:rPr>
          <w:color w:val="231F20"/>
          <w:spacing w:val="-32"/>
          <w:w w:val="105"/>
        </w:rPr>
        <w:t> </w:t>
      </w:r>
      <w:r>
        <w:rPr>
          <w:color w:val="231F20"/>
          <w:w w:val="105"/>
        </w:rPr>
        <w:t>Atien- den las necesidades inmediatas de los menores y facilitan el contacto con</w:t>
      </w:r>
      <w:r>
        <w:rPr>
          <w:color w:val="231F20"/>
          <w:spacing w:val="-31"/>
          <w:w w:val="105"/>
        </w:rPr>
        <w:t> </w:t>
      </w:r>
      <w:r>
        <w:rPr>
          <w:color w:val="231F20"/>
          <w:w w:val="105"/>
        </w:rPr>
        <w:t>sus</w:t>
      </w:r>
      <w:r>
        <w:rPr>
          <w:color w:val="231F20"/>
          <w:spacing w:val="-31"/>
          <w:w w:val="105"/>
        </w:rPr>
        <w:t> </w:t>
      </w:r>
      <w:r>
        <w:rPr>
          <w:color w:val="231F20"/>
          <w:w w:val="105"/>
        </w:rPr>
        <w:t>familiares,</w:t>
      </w:r>
      <w:r>
        <w:rPr>
          <w:color w:val="231F20"/>
          <w:spacing w:val="-35"/>
          <w:w w:val="105"/>
        </w:rPr>
        <w:t> </w:t>
      </w:r>
      <w:r>
        <w:rPr>
          <w:color w:val="231F20"/>
          <w:w w:val="105"/>
        </w:rPr>
        <w:t>si</w:t>
      </w:r>
      <w:r>
        <w:rPr>
          <w:color w:val="231F20"/>
          <w:spacing w:val="-31"/>
          <w:w w:val="105"/>
        </w:rPr>
        <w:t> </w:t>
      </w:r>
      <w:r>
        <w:rPr>
          <w:color w:val="231F20"/>
          <w:w w:val="105"/>
        </w:rPr>
        <w:t>los</w:t>
      </w:r>
      <w:r>
        <w:rPr>
          <w:color w:val="231F20"/>
          <w:spacing w:val="-31"/>
          <w:w w:val="105"/>
        </w:rPr>
        <w:t> </w:t>
      </w:r>
      <w:r>
        <w:rPr>
          <w:color w:val="231F20"/>
          <w:w w:val="105"/>
        </w:rPr>
        <w:t>tienen,</w:t>
      </w:r>
      <w:r>
        <w:rPr>
          <w:color w:val="231F20"/>
          <w:spacing w:val="-35"/>
          <w:w w:val="105"/>
        </w:rPr>
        <w:t> </w:t>
      </w:r>
      <w:r>
        <w:rPr>
          <w:color w:val="231F20"/>
          <w:w w:val="105"/>
        </w:rPr>
        <w:t>para</w:t>
      </w:r>
      <w:r>
        <w:rPr>
          <w:color w:val="231F20"/>
          <w:spacing w:val="-31"/>
          <w:w w:val="105"/>
        </w:rPr>
        <w:t> </w:t>
      </w:r>
      <w:r>
        <w:rPr>
          <w:color w:val="231F20"/>
          <w:w w:val="105"/>
        </w:rPr>
        <w:t>agilizar</w:t>
      </w:r>
      <w:r>
        <w:rPr>
          <w:color w:val="231F20"/>
          <w:spacing w:val="-31"/>
          <w:w w:val="105"/>
        </w:rPr>
        <w:t> </w:t>
      </w:r>
      <w:r>
        <w:rPr>
          <w:color w:val="231F20"/>
          <w:w w:val="105"/>
        </w:rPr>
        <w:t>su</w:t>
      </w:r>
      <w:r>
        <w:rPr>
          <w:color w:val="231F20"/>
          <w:spacing w:val="-31"/>
          <w:w w:val="105"/>
        </w:rPr>
        <w:t> </w:t>
      </w:r>
      <w:r>
        <w:rPr>
          <w:color w:val="231F20"/>
          <w:w w:val="105"/>
        </w:rPr>
        <w:t>repatriación.</w:t>
      </w:r>
      <w:r>
        <w:rPr>
          <w:color w:val="231F20"/>
          <w:spacing w:val="-35"/>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vida</w:t>
      </w:r>
      <w:r>
        <w:rPr>
          <w:color w:val="231F20"/>
          <w:spacing w:val="-31"/>
          <w:w w:val="105"/>
        </w:rPr>
        <w:t> </w:t>
      </w:r>
      <w:r>
        <w:rPr>
          <w:color w:val="231F20"/>
          <w:w w:val="105"/>
        </w:rPr>
        <w:t>co- tidiana,</w:t>
      </w:r>
      <w:r>
        <w:rPr>
          <w:color w:val="231F20"/>
          <w:spacing w:val="-17"/>
          <w:w w:val="105"/>
        </w:rPr>
        <w:t> </w:t>
      </w:r>
      <w:r>
        <w:rPr>
          <w:color w:val="231F20"/>
          <w:w w:val="105"/>
        </w:rPr>
        <w:t>desafortunadamente,</w:t>
      </w:r>
      <w:r>
        <w:rPr>
          <w:color w:val="231F20"/>
          <w:spacing w:val="-17"/>
          <w:w w:val="105"/>
        </w:rPr>
        <w:t> </w:t>
      </w:r>
      <w:r>
        <w:rPr>
          <w:color w:val="231F20"/>
          <w:w w:val="105"/>
        </w:rPr>
        <w:t>es</w:t>
      </w:r>
      <w:r>
        <w:rPr>
          <w:color w:val="231F20"/>
          <w:spacing w:val="-11"/>
          <w:w w:val="105"/>
        </w:rPr>
        <w:t> </w:t>
      </w:r>
      <w:r>
        <w:rPr>
          <w:color w:val="231F20"/>
          <w:w w:val="105"/>
        </w:rPr>
        <w:t>poco</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pueden</w:t>
      </w:r>
      <w:r>
        <w:rPr>
          <w:color w:val="231F20"/>
          <w:spacing w:val="-11"/>
          <w:w w:val="105"/>
        </w:rPr>
        <w:t> </w:t>
      </w:r>
      <w:r>
        <w:rPr>
          <w:color w:val="231F20"/>
          <w:w w:val="105"/>
        </w:rPr>
        <w:t>hacer</w:t>
      </w:r>
      <w:r>
        <w:rPr>
          <w:color w:val="231F20"/>
          <w:spacing w:val="-11"/>
          <w:w w:val="105"/>
        </w:rPr>
        <w:t> </w:t>
      </w:r>
      <w:r>
        <w:rPr>
          <w:color w:val="231F20"/>
          <w:w w:val="105"/>
        </w:rPr>
        <w:t>si</w:t>
      </w:r>
      <w:r>
        <w:rPr>
          <w:color w:val="231F20"/>
          <w:spacing w:val="-11"/>
          <w:w w:val="105"/>
        </w:rPr>
        <w:t> </w:t>
      </w:r>
      <w:r>
        <w:rPr>
          <w:color w:val="231F20"/>
          <w:w w:val="105"/>
        </w:rPr>
        <w:t>no</w:t>
      </w:r>
      <w:r>
        <w:rPr>
          <w:color w:val="231F20"/>
          <w:spacing w:val="-11"/>
          <w:w w:val="105"/>
        </w:rPr>
        <w:t> </w:t>
      </w:r>
      <w:r>
        <w:rPr>
          <w:color w:val="231F20"/>
          <w:w w:val="105"/>
        </w:rPr>
        <w:t>existen pabellones</w:t>
      </w:r>
      <w:r>
        <w:rPr>
          <w:color w:val="231F20"/>
          <w:spacing w:val="-17"/>
          <w:w w:val="105"/>
        </w:rPr>
        <w:t> </w:t>
      </w:r>
      <w:r>
        <w:rPr>
          <w:color w:val="231F20"/>
          <w:w w:val="105"/>
        </w:rPr>
        <w:t>separados</w:t>
      </w:r>
      <w:r>
        <w:rPr>
          <w:color w:val="231F20"/>
          <w:spacing w:val="-17"/>
          <w:w w:val="105"/>
        </w:rPr>
        <w:t> </w:t>
      </w:r>
      <w:r>
        <w:rPr>
          <w:color w:val="231F20"/>
          <w:w w:val="105"/>
        </w:rPr>
        <w:t>para</w:t>
      </w:r>
      <w:r>
        <w:rPr>
          <w:color w:val="231F20"/>
          <w:spacing w:val="-17"/>
          <w:w w:val="105"/>
        </w:rPr>
        <w:t> </w:t>
      </w:r>
      <w:r>
        <w:rPr>
          <w:color w:val="231F20"/>
          <w:w w:val="105"/>
        </w:rPr>
        <w:t>menores</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mayoría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estaciones</w:t>
      </w:r>
      <w:r>
        <w:rPr>
          <w:color w:val="231F20"/>
          <w:spacing w:val="-17"/>
          <w:w w:val="105"/>
        </w:rPr>
        <w:t> </w:t>
      </w:r>
      <w:r>
        <w:rPr>
          <w:color w:val="231F20"/>
          <w:w w:val="105"/>
        </w:rPr>
        <w:t>mi- gratorias.</w:t>
      </w:r>
      <w:r>
        <w:rPr>
          <w:color w:val="231F20"/>
          <w:spacing w:val="-20"/>
          <w:w w:val="105"/>
        </w:rPr>
        <w:t> </w:t>
      </w:r>
      <w:r>
        <w:rPr>
          <w:color w:val="231F20"/>
          <w:w w:val="105"/>
        </w:rPr>
        <w:t>Su</w:t>
      </w:r>
      <w:r>
        <w:rPr>
          <w:color w:val="231F20"/>
          <w:spacing w:val="-15"/>
          <w:w w:val="105"/>
        </w:rPr>
        <w:t> </w:t>
      </w:r>
      <w:r>
        <w:rPr>
          <w:color w:val="231F20"/>
          <w:w w:val="105"/>
        </w:rPr>
        <w:t>trabajo</w:t>
      </w:r>
      <w:r>
        <w:rPr>
          <w:color w:val="231F20"/>
          <w:spacing w:val="-15"/>
          <w:w w:val="105"/>
        </w:rPr>
        <w:t> </w:t>
      </w:r>
      <w:r>
        <w:rPr>
          <w:color w:val="231F20"/>
          <w:w w:val="105"/>
        </w:rPr>
        <w:t>a</w:t>
      </w:r>
      <w:r>
        <w:rPr>
          <w:color w:val="231F20"/>
          <w:spacing w:val="-15"/>
          <w:w w:val="105"/>
        </w:rPr>
        <w:t> </w:t>
      </w:r>
      <w:r>
        <w:rPr>
          <w:color w:val="231F20"/>
          <w:w w:val="105"/>
        </w:rPr>
        <w:t>menudo</w:t>
      </w:r>
      <w:r>
        <w:rPr>
          <w:color w:val="231F20"/>
          <w:spacing w:val="-15"/>
          <w:w w:val="105"/>
        </w:rPr>
        <w:t> </w:t>
      </w:r>
      <w:r>
        <w:rPr>
          <w:color w:val="231F20"/>
          <w:w w:val="105"/>
        </w:rPr>
        <w:t>se</w:t>
      </w:r>
      <w:r>
        <w:rPr>
          <w:color w:val="231F20"/>
          <w:spacing w:val="-15"/>
          <w:w w:val="105"/>
        </w:rPr>
        <w:t> </w:t>
      </w:r>
      <w:r>
        <w:rPr>
          <w:color w:val="231F20"/>
          <w:w w:val="105"/>
        </w:rPr>
        <w:t>limita</w:t>
      </w:r>
      <w:r>
        <w:rPr>
          <w:color w:val="231F20"/>
          <w:spacing w:val="-15"/>
          <w:w w:val="105"/>
        </w:rPr>
        <w:t> </w:t>
      </w:r>
      <w:r>
        <w:rPr>
          <w:color w:val="231F20"/>
          <w:w w:val="105"/>
        </w:rPr>
        <w:t>a</w:t>
      </w:r>
      <w:r>
        <w:rPr>
          <w:color w:val="231F20"/>
          <w:spacing w:val="-15"/>
          <w:w w:val="105"/>
        </w:rPr>
        <w:t> </w:t>
      </w:r>
      <w:r>
        <w:rPr>
          <w:color w:val="231F20"/>
          <w:w w:val="105"/>
        </w:rPr>
        <w:t>entrevistar</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menores</w:t>
      </w:r>
      <w:r>
        <w:rPr>
          <w:color w:val="231F20"/>
          <w:spacing w:val="-15"/>
          <w:w w:val="105"/>
        </w:rPr>
        <w:t> </w:t>
      </w:r>
      <w:r>
        <w:rPr>
          <w:color w:val="231F20"/>
          <w:w w:val="105"/>
        </w:rPr>
        <w:t>para facilitar</w:t>
      </w:r>
      <w:r>
        <w:rPr>
          <w:color w:val="231F20"/>
          <w:spacing w:val="-18"/>
          <w:w w:val="105"/>
        </w:rPr>
        <w:t> </w:t>
      </w:r>
      <w:r>
        <w:rPr>
          <w:color w:val="231F20"/>
          <w:w w:val="105"/>
        </w:rPr>
        <w:t>la</w:t>
      </w:r>
      <w:r>
        <w:rPr>
          <w:color w:val="231F20"/>
          <w:spacing w:val="-18"/>
          <w:w w:val="105"/>
        </w:rPr>
        <w:t> </w:t>
      </w:r>
      <w:r>
        <w:rPr>
          <w:color w:val="231F20"/>
          <w:w w:val="105"/>
        </w:rPr>
        <w:t>deportación,</w:t>
      </w:r>
      <w:r>
        <w:rPr>
          <w:color w:val="231F20"/>
          <w:spacing w:val="-25"/>
          <w:w w:val="105"/>
        </w:rPr>
        <w:t> </w:t>
      </w:r>
      <w:r>
        <w:rPr>
          <w:color w:val="231F20"/>
          <w:w w:val="105"/>
        </w:rPr>
        <w:t>dado</w:t>
      </w:r>
      <w:r>
        <w:rPr>
          <w:color w:val="231F20"/>
          <w:spacing w:val="-18"/>
          <w:w w:val="105"/>
        </w:rPr>
        <w:t> </w:t>
      </w:r>
      <w:r>
        <w:rPr>
          <w:color w:val="231F20"/>
          <w:w w:val="105"/>
        </w:rPr>
        <w:t>que</w:t>
      </w:r>
      <w:r>
        <w:rPr>
          <w:color w:val="231F20"/>
          <w:spacing w:val="-18"/>
          <w:w w:val="105"/>
        </w:rPr>
        <w:t> </w:t>
      </w:r>
      <w:r>
        <w:rPr>
          <w:color w:val="231F20"/>
          <w:w w:val="105"/>
        </w:rPr>
        <w:t>las</w:t>
      </w:r>
      <w:r>
        <w:rPr>
          <w:color w:val="231F20"/>
          <w:spacing w:val="-18"/>
          <w:w w:val="105"/>
        </w:rPr>
        <w:t> </w:t>
      </w:r>
      <w:r>
        <w:rPr>
          <w:color w:val="231F20"/>
          <w:w w:val="105"/>
        </w:rPr>
        <w:t>propias</w:t>
      </w:r>
      <w:r>
        <w:rPr>
          <w:color w:val="231F20"/>
          <w:spacing w:val="-18"/>
          <w:w w:val="105"/>
        </w:rPr>
        <w:t> </w:t>
      </w:r>
      <w:r>
        <w:rPr>
          <w:color w:val="231F20"/>
          <w:w w:val="105"/>
        </w:rPr>
        <w:t>instalaciones</w:t>
      </w:r>
      <w:r>
        <w:rPr>
          <w:color w:val="231F20"/>
          <w:spacing w:val="-18"/>
          <w:w w:val="105"/>
        </w:rPr>
        <w:t> </w:t>
      </w:r>
      <w:r>
        <w:rPr>
          <w:color w:val="231F20"/>
          <w:w w:val="105"/>
        </w:rPr>
        <w:t>no</w:t>
      </w:r>
      <w:r>
        <w:rPr>
          <w:color w:val="231F20"/>
          <w:spacing w:val="-18"/>
          <w:w w:val="105"/>
        </w:rPr>
        <w:t> </w:t>
      </w:r>
      <w:r>
        <w:rPr>
          <w:color w:val="231F20"/>
          <w:w w:val="105"/>
        </w:rPr>
        <w:t>permiten</w:t>
      </w:r>
      <w:r>
        <w:rPr>
          <w:color w:val="231F20"/>
          <w:spacing w:val="-18"/>
          <w:w w:val="105"/>
        </w:rPr>
        <w:t> </w:t>
      </w:r>
      <w:r>
        <w:rPr>
          <w:color w:val="231F20"/>
          <w:w w:val="105"/>
        </w:rPr>
        <w:t>el</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ind w:left="1723"/>
        <w:jc w:val="both"/>
        <w:rPr>
          <w:sz w:val="17"/>
        </w:rPr>
      </w:pPr>
      <w:r>
        <w:rPr/>
        <w:pict>
          <v:line style="position:absolute;mso-position-horizontal-relative:page;mso-position-vertical-relative:paragraph;z-index:7720" from="15pt,-71.68644pt" to="0pt,-71.68644pt" stroked="true" strokeweight=".25pt" strokecolor="#000000">
            <w10:wrap type="none"/>
          </v:line>
        </w:pict>
      </w:r>
      <w:r>
        <w:rPr/>
        <w:pict>
          <v:line style="position:absolute;mso-position-horizontal-relative:page;mso-position-vertical-relative:paragraph;z-index:7744" from="508.890015pt,-71.68644pt" to="523.890015pt,-71.68644pt" stroked="true" strokeweight=".25pt" strokecolor="#000000">
            <w10:wrap type="none"/>
          </v:line>
        </w:pict>
      </w:r>
      <w:r>
        <w:rPr>
          <w:color w:val="231F20"/>
          <w:w w:val="105"/>
        </w:rPr>
        <w:t>desarrollo de actividades lúdicas en un ambiente apropiado para los </w:t>
      </w:r>
      <w:r>
        <w:rPr>
          <w:color w:val="231F20"/>
          <w:w w:val="105"/>
          <w:sz w:val="17"/>
        </w:rPr>
        <w:t>NNA</w:t>
      </w:r>
    </w:p>
    <w:p>
      <w:pPr>
        <w:pStyle w:val="BodyText"/>
        <w:spacing w:before="22"/>
        <w:ind w:left="1723"/>
        <w:jc w:val="both"/>
      </w:pPr>
      <w:r>
        <w:rPr>
          <w:color w:val="231F20"/>
          <w:w w:val="105"/>
        </w:rPr>
        <w:t>migrantes irregulares no acompañados (</w:t>
      </w:r>
      <w:r>
        <w:rPr>
          <w:color w:val="231F20"/>
          <w:w w:val="105"/>
          <w:sz w:val="17"/>
        </w:rPr>
        <w:t>OEA</w:t>
      </w:r>
      <w:r>
        <w:rPr>
          <w:color w:val="231F20"/>
          <w:w w:val="105"/>
        </w:rPr>
        <w:t>, 2013: 100).</w:t>
      </w:r>
    </w:p>
    <w:p>
      <w:pPr>
        <w:pStyle w:val="BodyText"/>
        <w:spacing w:line="261" w:lineRule="auto" w:before="22"/>
        <w:ind w:left="1723" w:right="1834" w:firstLine="567"/>
        <w:jc w:val="both"/>
      </w:pPr>
      <w:r>
        <w:rPr>
          <w:w w:val="105"/>
        </w:rPr>
        <w:t>Acciones</w:t>
      </w:r>
      <w:r>
        <w:rPr>
          <w:spacing w:val="-12"/>
          <w:w w:val="105"/>
        </w:rPr>
        <w:t> </w:t>
      </w:r>
      <w:r>
        <w:rPr>
          <w:w w:val="105"/>
        </w:rPr>
        <w:t>que</w:t>
      </w:r>
      <w:r>
        <w:rPr>
          <w:spacing w:val="-12"/>
          <w:w w:val="105"/>
        </w:rPr>
        <w:t> </w:t>
      </w:r>
      <w:r>
        <w:rPr>
          <w:w w:val="105"/>
        </w:rPr>
        <w:t>constituyen</w:t>
      </w:r>
      <w:r>
        <w:rPr>
          <w:spacing w:val="-12"/>
          <w:w w:val="105"/>
        </w:rPr>
        <w:t> </w:t>
      </w:r>
      <w:r>
        <w:rPr>
          <w:w w:val="105"/>
        </w:rPr>
        <w:t>el</w:t>
      </w:r>
      <w:r>
        <w:rPr>
          <w:spacing w:val="-12"/>
          <w:w w:val="105"/>
        </w:rPr>
        <w:t> </w:t>
      </w:r>
      <w:r>
        <w:rPr>
          <w:w w:val="105"/>
        </w:rPr>
        <w:t>pan</w:t>
      </w:r>
      <w:r>
        <w:rPr>
          <w:spacing w:val="-12"/>
          <w:w w:val="105"/>
        </w:rPr>
        <w:t> </w:t>
      </w:r>
      <w:r>
        <w:rPr>
          <w:w w:val="105"/>
        </w:rPr>
        <w:t>de</w:t>
      </w:r>
      <w:r>
        <w:rPr>
          <w:spacing w:val="-12"/>
          <w:w w:val="105"/>
        </w:rPr>
        <w:t> </w:t>
      </w:r>
      <w:r>
        <w:rPr>
          <w:w w:val="105"/>
        </w:rPr>
        <w:t>cada</w:t>
      </w:r>
      <w:r>
        <w:rPr>
          <w:spacing w:val="-12"/>
          <w:w w:val="105"/>
        </w:rPr>
        <w:t> </w:t>
      </w:r>
      <w:r>
        <w:rPr>
          <w:w w:val="105"/>
        </w:rPr>
        <w:t>día</w:t>
      </w:r>
      <w:r>
        <w:rPr>
          <w:spacing w:val="-12"/>
          <w:w w:val="105"/>
        </w:rPr>
        <w:t> </w:t>
      </w:r>
      <w:r>
        <w:rPr>
          <w:w w:val="105"/>
        </w:rPr>
        <w:t>en</w:t>
      </w:r>
      <w:r>
        <w:rPr>
          <w:spacing w:val="-12"/>
          <w:w w:val="105"/>
        </w:rPr>
        <w:t> </w:t>
      </w:r>
      <w:r>
        <w:rPr>
          <w:w w:val="105"/>
        </w:rPr>
        <w:t>las</w:t>
      </w:r>
      <w:r>
        <w:rPr>
          <w:spacing w:val="-12"/>
          <w:w w:val="105"/>
        </w:rPr>
        <w:t> </w:t>
      </w:r>
      <w:r>
        <w:rPr>
          <w:w w:val="105"/>
        </w:rPr>
        <w:t>estaciones</w:t>
      </w:r>
      <w:r>
        <w:rPr>
          <w:spacing w:val="-12"/>
          <w:w w:val="105"/>
        </w:rPr>
        <w:t> </w:t>
      </w:r>
      <w:r>
        <w:rPr>
          <w:w w:val="105"/>
        </w:rPr>
        <w:t>mi- gratorias,</w:t>
      </w:r>
      <w:r>
        <w:rPr>
          <w:spacing w:val="-17"/>
          <w:w w:val="105"/>
        </w:rPr>
        <w:t> </w:t>
      </w:r>
      <w:r>
        <w:rPr>
          <w:w w:val="105"/>
        </w:rPr>
        <w:t>como</w:t>
      </w:r>
      <w:r>
        <w:rPr>
          <w:spacing w:val="-11"/>
          <w:w w:val="105"/>
        </w:rPr>
        <w:t> </w:t>
      </w:r>
      <w:r>
        <w:rPr>
          <w:w w:val="105"/>
        </w:rPr>
        <w:t>confinar</w:t>
      </w:r>
      <w:r>
        <w:rPr>
          <w:spacing w:val="-11"/>
          <w:w w:val="105"/>
        </w:rPr>
        <w:t> </w:t>
      </w:r>
      <w:r>
        <w:rPr>
          <w:w w:val="105"/>
        </w:rPr>
        <w:t>a</w:t>
      </w:r>
      <w:r>
        <w:rPr>
          <w:spacing w:val="-11"/>
          <w:w w:val="105"/>
        </w:rPr>
        <w:t> </w:t>
      </w:r>
      <w:r>
        <w:rPr>
          <w:w w:val="105"/>
        </w:rPr>
        <w:t>los</w:t>
      </w:r>
      <w:r>
        <w:rPr>
          <w:spacing w:val="-11"/>
          <w:w w:val="105"/>
        </w:rPr>
        <w:t> </w:t>
      </w:r>
      <w:r>
        <w:rPr>
          <w:w w:val="105"/>
        </w:rPr>
        <w:t>menores</w:t>
      </w:r>
      <w:r>
        <w:rPr>
          <w:spacing w:val="-11"/>
          <w:w w:val="105"/>
        </w:rPr>
        <w:t> </w:t>
      </w:r>
      <w:r>
        <w:rPr>
          <w:w w:val="105"/>
        </w:rPr>
        <w:t>en</w:t>
      </w:r>
      <w:r>
        <w:rPr>
          <w:spacing w:val="-11"/>
          <w:w w:val="105"/>
        </w:rPr>
        <w:t> </w:t>
      </w:r>
      <w:r>
        <w:rPr>
          <w:w w:val="105"/>
        </w:rPr>
        <w:t>las</w:t>
      </w:r>
      <w:r>
        <w:rPr>
          <w:spacing w:val="-11"/>
          <w:w w:val="105"/>
        </w:rPr>
        <w:t> </w:t>
      </w:r>
      <w:r>
        <w:rPr>
          <w:w w:val="105"/>
        </w:rPr>
        <w:t>mismas</w:t>
      </w:r>
      <w:r>
        <w:rPr>
          <w:spacing w:val="-11"/>
          <w:w w:val="105"/>
        </w:rPr>
        <w:t> </w:t>
      </w:r>
      <w:r>
        <w:rPr>
          <w:w w:val="105"/>
        </w:rPr>
        <w:t>instalaciones</w:t>
      </w:r>
      <w:r>
        <w:rPr>
          <w:spacing w:val="-11"/>
          <w:w w:val="105"/>
        </w:rPr>
        <w:t> </w:t>
      </w:r>
      <w:r>
        <w:rPr>
          <w:w w:val="105"/>
        </w:rPr>
        <w:t>que a</w:t>
      </w:r>
      <w:r>
        <w:rPr>
          <w:spacing w:val="-8"/>
          <w:w w:val="105"/>
        </w:rPr>
        <w:t> </w:t>
      </w:r>
      <w:r>
        <w:rPr>
          <w:w w:val="105"/>
        </w:rPr>
        <w:t>los</w:t>
      </w:r>
      <w:r>
        <w:rPr>
          <w:spacing w:val="-8"/>
          <w:w w:val="105"/>
        </w:rPr>
        <w:t> </w:t>
      </w:r>
      <w:r>
        <w:rPr>
          <w:w w:val="105"/>
        </w:rPr>
        <w:t>adultos</w:t>
      </w:r>
      <w:r>
        <w:rPr>
          <w:spacing w:val="-8"/>
          <w:w w:val="105"/>
        </w:rPr>
        <w:t> </w:t>
      </w:r>
      <w:r>
        <w:rPr>
          <w:w w:val="105"/>
        </w:rPr>
        <w:t>o</w:t>
      </w:r>
      <w:r>
        <w:rPr>
          <w:spacing w:val="-8"/>
          <w:w w:val="105"/>
        </w:rPr>
        <w:t> </w:t>
      </w:r>
      <w:r>
        <w:rPr>
          <w:w w:val="105"/>
        </w:rPr>
        <w:t>carecer</w:t>
      </w:r>
      <w:r>
        <w:rPr>
          <w:spacing w:val="-8"/>
          <w:w w:val="105"/>
        </w:rPr>
        <w:t> </w:t>
      </w:r>
      <w:r>
        <w:rPr>
          <w:w w:val="105"/>
        </w:rPr>
        <w:t>de</w:t>
      </w:r>
      <w:r>
        <w:rPr>
          <w:spacing w:val="-8"/>
          <w:w w:val="105"/>
        </w:rPr>
        <w:t> </w:t>
      </w:r>
      <w:r>
        <w:rPr>
          <w:w w:val="105"/>
        </w:rPr>
        <w:t>los</w:t>
      </w:r>
      <w:r>
        <w:rPr>
          <w:spacing w:val="-8"/>
          <w:w w:val="105"/>
        </w:rPr>
        <w:t> </w:t>
      </w:r>
      <w:r>
        <w:rPr>
          <w:w w:val="105"/>
        </w:rPr>
        <w:t>medios</w:t>
      </w:r>
      <w:r>
        <w:rPr>
          <w:spacing w:val="-8"/>
          <w:w w:val="105"/>
        </w:rPr>
        <w:t> </w:t>
      </w:r>
      <w:r>
        <w:rPr>
          <w:w w:val="105"/>
        </w:rPr>
        <w:t>para</w:t>
      </w:r>
      <w:r>
        <w:rPr>
          <w:spacing w:val="-8"/>
          <w:w w:val="105"/>
        </w:rPr>
        <w:t> </w:t>
      </w:r>
      <w:r>
        <w:rPr>
          <w:w w:val="105"/>
        </w:rPr>
        <w:t>cubrir</w:t>
      </w:r>
      <w:r>
        <w:rPr>
          <w:spacing w:val="-8"/>
          <w:w w:val="105"/>
        </w:rPr>
        <w:t> </w:t>
      </w:r>
      <w:r>
        <w:rPr>
          <w:w w:val="105"/>
        </w:rPr>
        <w:t>sus</w:t>
      </w:r>
      <w:r>
        <w:rPr>
          <w:spacing w:val="-8"/>
          <w:w w:val="105"/>
        </w:rPr>
        <w:t> </w:t>
      </w:r>
      <w:r>
        <w:rPr>
          <w:w w:val="105"/>
        </w:rPr>
        <w:t>necesidades,</w:t>
      </w:r>
      <w:r>
        <w:rPr>
          <w:spacing w:val="-13"/>
          <w:w w:val="105"/>
        </w:rPr>
        <w:t> </w:t>
      </w:r>
      <w:r>
        <w:rPr>
          <w:w w:val="105"/>
        </w:rPr>
        <w:t>viola lo</w:t>
      </w:r>
      <w:r>
        <w:rPr>
          <w:spacing w:val="-25"/>
          <w:w w:val="105"/>
        </w:rPr>
        <w:t> </w:t>
      </w:r>
      <w:r>
        <w:rPr>
          <w:w w:val="105"/>
        </w:rPr>
        <w:t>dispuesto</w:t>
      </w:r>
      <w:r>
        <w:rPr>
          <w:spacing w:val="-25"/>
          <w:w w:val="105"/>
        </w:rPr>
        <w:t> </w:t>
      </w:r>
      <w:r>
        <w:rPr>
          <w:w w:val="105"/>
        </w:rPr>
        <w:t>por</w:t>
      </w:r>
      <w:r>
        <w:rPr>
          <w:spacing w:val="-25"/>
          <w:w w:val="105"/>
        </w:rPr>
        <w:t> </w:t>
      </w:r>
      <w:r>
        <w:rPr>
          <w:w w:val="105"/>
        </w:rPr>
        <w:t>el</w:t>
      </w:r>
      <w:r>
        <w:rPr>
          <w:spacing w:val="-25"/>
          <w:w w:val="105"/>
        </w:rPr>
        <w:t> </w:t>
      </w:r>
      <w:r>
        <w:rPr>
          <w:spacing w:val="-3"/>
          <w:w w:val="105"/>
        </w:rPr>
        <w:t>Pacto</w:t>
      </w:r>
      <w:r>
        <w:rPr>
          <w:spacing w:val="-25"/>
          <w:w w:val="105"/>
        </w:rPr>
        <w:t> </w:t>
      </w:r>
      <w:r>
        <w:rPr>
          <w:w w:val="105"/>
        </w:rPr>
        <w:t>de</w:t>
      </w:r>
      <w:r>
        <w:rPr>
          <w:spacing w:val="-25"/>
          <w:w w:val="105"/>
        </w:rPr>
        <w:t> </w:t>
      </w:r>
      <w:r>
        <w:rPr>
          <w:w w:val="105"/>
        </w:rPr>
        <w:t>San</w:t>
      </w:r>
      <w:r>
        <w:rPr>
          <w:spacing w:val="-27"/>
          <w:w w:val="105"/>
        </w:rPr>
        <w:t> </w:t>
      </w:r>
      <w:r>
        <w:rPr>
          <w:w w:val="105"/>
        </w:rPr>
        <w:t>José.</w:t>
      </w:r>
      <w:r>
        <w:rPr>
          <w:spacing w:val="-30"/>
          <w:w w:val="105"/>
        </w:rPr>
        <w:t> </w:t>
      </w:r>
      <w:r>
        <w:rPr>
          <w:w w:val="105"/>
        </w:rPr>
        <w:t>Desafortunadamente,</w:t>
      </w:r>
      <w:r>
        <w:rPr>
          <w:spacing w:val="-30"/>
          <w:w w:val="105"/>
        </w:rPr>
        <w:t> </w:t>
      </w:r>
      <w:r>
        <w:rPr>
          <w:w w:val="105"/>
        </w:rPr>
        <w:t>nuestro</w:t>
      </w:r>
      <w:r>
        <w:rPr>
          <w:spacing w:val="-25"/>
          <w:w w:val="105"/>
        </w:rPr>
        <w:t> </w:t>
      </w:r>
      <w:r>
        <w:rPr>
          <w:w w:val="105"/>
        </w:rPr>
        <w:t>país no</w:t>
      </w:r>
      <w:r>
        <w:rPr>
          <w:spacing w:val="-12"/>
          <w:w w:val="105"/>
        </w:rPr>
        <w:t> </w:t>
      </w:r>
      <w:r>
        <w:rPr>
          <w:w w:val="105"/>
        </w:rPr>
        <w:t>está</w:t>
      </w:r>
      <w:r>
        <w:rPr>
          <w:spacing w:val="-12"/>
          <w:w w:val="105"/>
        </w:rPr>
        <w:t> </w:t>
      </w:r>
      <w:r>
        <w:rPr>
          <w:w w:val="105"/>
        </w:rPr>
        <w:t>preparado</w:t>
      </w:r>
      <w:r>
        <w:rPr>
          <w:spacing w:val="-12"/>
          <w:w w:val="105"/>
        </w:rPr>
        <w:t> </w:t>
      </w:r>
      <w:r>
        <w:rPr>
          <w:w w:val="105"/>
        </w:rPr>
        <w:t>para</w:t>
      </w:r>
      <w:r>
        <w:rPr>
          <w:spacing w:val="-12"/>
          <w:w w:val="105"/>
        </w:rPr>
        <w:t> </w:t>
      </w:r>
      <w:r>
        <w:rPr>
          <w:w w:val="105"/>
        </w:rPr>
        <w:t>hacer</w:t>
      </w:r>
      <w:r>
        <w:rPr>
          <w:spacing w:val="-12"/>
          <w:w w:val="105"/>
        </w:rPr>
        <w:t> </w:t>
      </w:r>
      <w:r>
        <w:rPr>
          <w:w w:val="105"/>
        </w:rPr>
        <w:t>frente</w:t>
      </w:r>
      <w:r>
        <w:rPr>
          <w:spacing w:val="-12"/>
          <w:w w:val="105"/>
        </w:rPr>
        <w:t> </w:t>
      </w:r>
      <w:r>
        <w:rPr>
          <w:w w:val="105"/>
        </w:rPr>
        <w:t>al</w:t>
      </w:r>
      <w:r>
        <w:rPr>
          <w:spacing w:val="-12"/>
          <w:w w:val="105"/>
        </w:rPr>
        <w:t> </w:t>
      </w:r>
      <w:r>
        <w:rPr>
          <w:w w:val="105"/>
        </w:rPr>
        <w:t>fenómeno</w:t>
      </w:r>
      <w:r>
        <w:rPr>
          <w:spacing w:val="-12"/>
          <w:w w:val="105"/>
        </w:rPr>
        <w:t> </w:t>
      </w:r>
      <w:r>
        <w:rPr>
          <w:w w:val="105"/>
        </w:rPr>
        <w:t>de</w:t>
      </w:r>
      <w:r>
        <w:rPr>
          <w:spacing w:val="-12"/>
          <w:w w:val="105"/>
        </w:rPr>
        <w:t> </w:t>
      </w:r>
      <w:r>
        <w:rPr>
          <w:w w:val="105"/>
        </w:rPr>
        <w:t>la</w:t>
      </w:r>
      <w:r>
        <w:rPr>
          <w:spacing w:val="-12"/>
          <w:w w:val="105"/>
        </w:rPr>
        <w:t> </w:t>
      </w:r>
      <w:r>
        <w:rPr>
          <w:w w:val="105"/>
        </w:rPr>
        <w:t>migración</w:t>
      </w:r>
      <w:r>
        <w:rPr>
          <w:spacing w:val="-12"/>
          <w:w w:val="105"/>
        </w:rPr>
        <w:t> </w:t>
      </w:r>
      <w:r>
        <w:rPr>
          <w:w w:val="105"/>
        </w:rPr>
        <w:t>infantil y adolescente no acompañada, lo que se traduce en pocas medidas</w:t>
      </w:r>
      <w:r>
        <w:rPr>
          <w:spacing w:val="-36"/>
          <w:w w:val="105"/>
        </w:rPr>
        <w:t> </w:t>
      </w:r>
      <w:r>
        <w:rPr>
          <w:w w:val="105"/>
        </w:rPr>
        <w:t>de prevención o contención de la problemática, que las instituciones esta- tales de beneficencia atienden lo mejor que pueden con los medios, a menudo</w:t>
      </w:r>
      <w:r>
        <w:rPr>
          <w:spacing w:val="-17"/>
          <w:w w:val="105"/>
        </w:rPr>
        <w:t> </w:t>
      </w:r>
      <w:r>
        <w:rPr>
          <w:w w:val="105"/>
        </w:rPr>
        <w:t>insuficientes,</w:t>
      </w:r>
      <w:r>
        <w:rPr>
          <w:spacing w:val="-22"/>
          <w:w w:val="105"/>
        </w:rPr>
        <w:t> </w:t>
      </w:r>
      <w:r>
        <w:rPr>
          <w:w w:val="105"/>
        </w:rPr>
        <w:t>con</w:t>
      </w:r>
      <w:r>
        <w:rPr>
          <w:spacing w:val="-17"/>
          <w:w w:val="105"/>
        </w:rPr>
        <w:t> </w:t>
      </w:r>
      <w:r>
        <w:rPr>
          <w:w w:val="105"/>
        </w:rPr>
        <w:t>que</w:t>
      </w:r>
      <w:r>
        <w:rPr>
          <w:spacing w:val="-17"/>
          <w:w w:val="105"/>
        </w:rPr>
        <w:t> </w:t>
      </w:r>
      <w:r>
        <w:rPr>
          <w:w w:val="105"/>
        </w:rPr>
        <w:t>cuentan.</w:t>
      </w:r>
    </w:p>
    <w:p>
      <w:pPr>
        <w:pStyle w:val="BodyText"/>
        <w:rPr>
          <w:sz w:val="20"/>
        </w:rPr>
      </w:pPr>
    </w:p>
    <w:p>
      <w:pPr>
        <w:pStyle w:val="BodyText"/>
        <w:spacing w:before="9"/>
        <w:rPr>
          <w:sz w:val="20"/>
        </w:rPr>
      </w:pPr>
    </w:p>
    <w:p>
      <w:pPr>
        <w:pStyle w:val="Heading3"/>
        <w:spacing w:line="266" w:lineRule="auto"/>
        <w:ind w:left="1724" w:right="1835" w:hanging="1"/>
      </w:pPr>
      <w:r>
        <w:rPr>
          <w:color w:val="231F20"/>
        </w:rPr>
        <w:t>La</w:t>
      </w:r>
      <w:r>
        <w:rPr>
          <w:color w:val="231F20"/>
          <w:spacing w:val="-41"/>
        </w:rPr>
        <w:t> </w:t>
      </w:r>
      <w:r>
        <w:rPr>
          <w:color w:val="231F20"/>
        </w:rPr>
        <w:t>protección</w:t>
      </w:r>
      <w:r>
        <w:rPr>
          <w:color w:val="231F20"/>
          <w:spacing w:val="-41"/>
        </w:rPr>
        <w:t> </w:t>
      </w:r>
      <w:r>
        <w:rPr>
          <w:color w:val="231F20"/>
        </w:rPr>
        <w:t>jurídica</w:t>
      </w:r>
      <w:r>
        <w:rPr>
          <w:color w:val="231F20"/>
          <w:spacing w:val="-41"/>
        </w:rPr>
        <w:t> </w:t>
      </w:r>
      <w:r>
        <w:rPr>
          <w:color w:val="231F20"/>
        </w:rPr>
        <w:t>de</w:t>
      </w:r>
      <w:r>
        <w:rPr>
          <w:color w:val="231F20"/>
          <w:spacing w:val="-40"/>
        </w:rPr>
        <w:t> </w:t>
      </w:r>
      <w:r>
        <w:rPr>
          <w:color w:val="231F20"/>
          <w:sz w:val="18"/>
        </w:rPr>
        <w:t>NNA</w:t>
      </w:r>
      <w:r>
        <w:rPr>
          <w:color w:val="231F20"/>
          <w:spacing w:val="-29"/>
          <w:sz w:val="18"/>
        </w:rPr>
        <w:t> </w:t>
      </w:r>
      <w:r>
        <w:rPr>
          <w:color w:val="231F20"/>
        </w:rPr>
        <w:t>migrantes</w:t>
      </w:r>
      <w:r>
        <w:rPr>
          <w:color w:val="231F20"/>
          <w:spacing w:val="-41"/>
        </w:rPr>
        <w:t> </w:t>
      </w:r>
      <w:r>
        <w:rPr>
          <w:color w:val="231F20"/>
        </w:rPr>
        <w:t>irregulares</w:t>
      </w:r>
      <w:r>
        <w:rPr>
          <w:color w:val="231F20"/>
          <w:spacing w:val="-41"/>
        </w:rPr>
        <w:t> </w:t>
      </w:r>
      <w:r>
        <w:rPr>
          <w:color w:val="231F20"/>
        </w:rPr>
        <w:t>no</w:t>
      </w:r>
      <w:r>
        <w:rPr>
          <w:color w:val="231F20"/>
          <w:spacing w:val="-41"/>
        </w:rPr>
        <w:t> </w:t>
      </w:r>
      <w:r>
        <w:rPr>
          <w:color w:val="231F20"/>
        </w:rPr>
        <w:t>acompañados en</w:t>
      </w:r>
      <w:r>
        <w:rPr>
          <w:color w:val="231F20"/>
          <w:spacing w:val="-14"/>
        </w:rPr>
        <w:t> </w:t>
      </w:r>
      <w:r>
        <w:rPr>
          <w:color w:val="231F20"/>
        </w:rPr>
        <w:t>el</w:t>
      </w:r>
      <w:r>
        <w:rPr>
          <w:color w:val="231F20"/>
          <w:spacing w:val="-14"/>
        </w:rPr>
        <w:t> </w:t>
      </w:r>
      <w:r>
        <w:rPr>
          <w:color w:val="231F20"/>
        </w:rPr>
        <w:t>Estado</w:t>
      </w:r>
      <w:r>
        <w:rPr>
          <w:color w:val="231F20"/>
          <w:spacing w:val="-14"/>
        </w:rPr>
        <w:t> </w:t>
      </w:r>
      <w:r>
        <w:rPr>
          <w:color w:val="231F20"/>
        </w:rPr>
        <w:t>de</w:t>
      </w:r>
      <w:r>
        <w:rPr>
          <w:color w:val="231F20"/>
          <w:spacing w:val="-14"/>
        </w:rPr>
        <w:t> </w:t>
      </w:r>
      <w:r>
        <w:rPr>
          <w:color w:val="231F20"/>
        </w:rPr>
        <w:t>México</w:t>
      </w:r>
    </w:p>
    <w:p>
      <w:pPr>
        <w:pStyle w:val="BodyText"/>
        <w:rPr>
          <w:rFonts w:ascii="Arial"/>
          <w:b/>
          <w:sz w:val="22"/>
        </w:rPr>
      </w:pPr>
    </w:p>
    <w:p>
      <w:pPr>
        <w:pStyle w:val="BodyText"/>
        <w:spacing w:line="261" w:lineRule="auto" w:before="136"/>
        <w:ind w:left="1723" w:right="1828"/>
        <w:jc w:val="both"/>
      </w:pPr>
      <w:r>
        <w:rPr>
          <w:color w:val="231F20"/>
        </w:rPr>
        <w:t>Si el perfil migratorio de México se ha modificado, ya que no sólo es un país de origen y tránsito, sino de retorno y destino, el Estado de México continúa siendo mayoritariamente un área geográfica de origen y tránsi- to. Es una de las entidades que forman parte de la llamada “Ruta del mi- grante” (Chiapas-Quintana </w:t>
      </w:r>
      <w:r>
        <w:rPr>
          <w:color w:val="231F20"/>
          <w:spacing w:val="-3"/>
        </w:rPr>
        <w:t>Roo-Tabasco-Veracruz-Estado </w:t>
      </w:r>
      <w:r>
        <w:rPr>
          <w:color w:val="231F20"/>
        </w:rPr>
        <w:t>de México-San Luis </w:t>
      </w:r>
      <w:r>
        <w:rPr>
          <w:color w:val="231F20"/>
          <w:spacing w:val="-3"/>
        </w:rPr>
        <w:t>Potosí-Tamaulipas), </w:t>
      </w:r>
      <w:r>
        <w:rPr>
          <w:color w:val="231F20"/>
        </w:rPr>
        <w:t>una de las vías más populares para adentrarse  en Estado Unidos (</w:t>
      </w:r>
      <w:r>
        <w:rPr>
          <w:color w:val="231F20"/>
          <w:sz w:val="17"/>
        </w:rPr>
        <w:t>OEA</w:t>
      </w:r>
      <w:r>
        <w:rPr>
          <w:color w:val="231F20"/>
        </w:rPr>
        <w:t>, 2013: 139). Además, su infraestructura ferroviaria propicia la presencia de migrantes en municipios como Acolman, Apax- co, Atizapán de Zaragoza, Axapusco, Coacalco, Coyotepec, Cuautitlán, Cuautitlán Izcalli, Ecatepec, Huehuetoca, Melchor Ocampo, Nextlalpan, Nopaltepec, Otumba, San Martín de las Pirámides, </w:t>
      </w:r>
      <w:r>
        <w:rPr>
          <w:color w:val="231F20"/>
          <w:spacing w:val="-3"/>
        </w:rPr>
        <w:t>Tecámac, </w:t>
      </w:r>
      <w:r>
        <w:rPr>
          <w:color w:val="231F20"/>
        </w:rPr>
        <w:t>Teoloyucan, San Juan</w:t>
      </w:r>
      <w:r>
        <w:rPr>
          <w:color w:val="231F20"/>
          <w:spacing w:val="-3"/>
        </w:rPr>
        <w:t> </w:t>
      </w:r>
      <w:r>
        <w:rPr>
          <w:color w:val="231F20"/>
        </w:rPr>
        <w:t>Teotihuacán,</w:t>
      </w:r>
      <w:r>
        <w:rPr>
          <w:color w:val="231F20"/>
          <w:spacing w:val="-10"/>
        </w:rPr>
        <w:t> </w:t>
      </w:r>
      <w:r>
        <w:rPr>
          <w:color w:val="231F20"/>
        </w:rPr>
        <w:t>Tequixquiac,</w:t>
      </w:r>
      <w:r>
        <w:rPr>
          <w:color w:val="231F20"/>
          <w:spacing w:val="-10"/>
        </w:rPr>
        <w:t> </w:t>
      </w:r>
      <w:r>
        <w:rPr>
          <w:color w:val="231F20"/>
        </w:rPr>
        <w:t>Tepotzotlán,</w:t>
      </w:r>
      <w:r>
        <w:rPr>
          <w:color w:val="231F20"/>
          <w:spacing w:val="-10"/>
        </w:rPr>
        <w:t> </w:t>
      </w:r>
      <w:r>
        <w:rPr>
          <w:color w:val="231F20"/>
        </w:rPr>
        <w:t>Tlalnepantla,</w:t>
      </w:r>
      <w:r>
        <w:rPr>
          <w:color w:val="231F20"/>
          <w:spacing w:val="-10"/>
        </w:rPr>
        <w:t> </w:t>
      </w:r>
      <w:r>
        <w:rPr>
          <w:color w:val="231F20"/>
          <w:spacing w:val="-3"/>
        </w:rPr>
        <w:t>Toluca,</w:t>
      </w:r>
      <w:r>
        <w:rPr>
          <w:color w:val="231F20"/>
          <w:spacing w:val="-10"/>
        </w:rPr>
        <w:t> </w:t>
      </w:r>
      <w:r>
        <w:rPr>
          <w:color w:val="231F20"/>
          <w:spacing w:val="-7"/>
        </w:rPr>
        <w:t>To- </w:t>
      </w:r>
      <w:r>
        <w:rPr>
          <w:color w:val="231F20"/>
        </w:rPr>
        <w:t>nanitla, </w:t>
      </w:r>
      <w:r>
        <w:rPr>
          <w:color w:val="231F20"/>
          <w:spacing w:val="-3"/>
        </w:rPr>
        <w:t>Tultepec, </w:t>
      </w:r>
      <w:r>
        <w:rPr>
          <w:color w:val="231F20"/>
        </w:rPr>
        <w:t>Tiltitlán y Zumpango, involucrándolo en la  mayoría  de las rutas migratorias, dado que la generalidad de los migrantes irregula- res se interna y transita en el país por vías</w:t>
      </w:r>
      <w:r>
        <w:rPr>
          <w:color w:val="231F20"/>
          <w:spacing w:val="27"/>
        </w:rPr>
        <w:t> </w:t>
      </w:r>
      <w:r>
        <w:rPr>
          <w:color w:val="231F20"/>
        </w:rPr>
        <w:t>terrestres.</w:t>
      </w:r>
    </w:p>
    <w:p>
      <w:pPr>
        <w:pStyle w:val="BodyText"/>
        <w:spacing w:line="261" w:lineRule="auto" w:before="1"/>
        <w:ind w:left="1723" w:right="1834" w:firstLine="567"/>
        <w:jc w:val="both"/>
      </w:pPr>
      <w:r>
        <w:rPr>
          <w:color w:val="231F20"/>
          <w:w w:val="105"/>
        </w:rPr>
        <w:t>El</w:t>
      </w:r>
      <w:r>
        <w:rPr>
          <w:color w:val="231F20"/>
          <w:spacing w:val="-14"/>
          <w:w w:val="105"/>
        </w:rPr>
        <w:t> </w:t>
      </w:r>
      <w:r>
        <w:rPr>
          <w:color w:val="231F20"/>
          <w:w w:val="105"/>
        </w:rPr>
        <w:t>tránsito</w:t>
      </w:r>
      <w:r>
        <w:rPr>
          <w:color w:val="231F20"/>
          <w:spacing w:val="-14"/>
          <w:w w:val="105"/>
        </w:rPr>
        <w:t> </w:t>
      </w:r>
      <w:r>
        <w:rPr>
          <w:color w:val="231F20"/>
          <w:w w:val="105"/>
        </w:rPr>
        <w:t>se</w:t>
      </w:r>
      <w:r>
        <w:rPr>
          <w:color w:val="231F20"/>
          <w:spacing w:val="-14"/>
          <w:w w:val="105"/>
        </w:rPr>
        <w:t> </w:t>
      </w:r>
      <w:r>
        <w:rPr>
          <w:color w:val="231F20"/>
          <w:w w:val="105"/>
        </w:rPr>
        <w:t>entiende</w:t>
      </w:r>
      <w:r>
        <w:rPr>
          <w:color w:val="231F20"/>
          <w:spacing w:val="-14"/>
          <w:w w:val="105"/>
        </w:rPr>
        <w:t> </w:t>
      </w:r>
      <w:r>
        <w:rPr>
          <w:color w:val="231F20"/>
          <w:w w:val="105"/>
        </w:rPr>
        <w:t>en</w:t>
      </w:r>
      <w:r>
        <w:rPr>
          <w:color w:val="231F20"/>
          <w:spacing w:val="-14"/>
          <w:w w:val="105"/>
        </w:rPr>
        <w:t> </w:t>
      </w:r>
      <w:r>
        <w:rPr>
          <w:color w:val="231F20"/>
          <w:w w:val="105"/>
        </w:rPr>
        <w:t>este</w:t>
      </w:r>
      <w:r>
        <w:rPr>
          <w:color w:val="231F20"/>
          <w:spacing w:val="-14"/>
          <w:w w:val="105"/>
        </w:rPr>
        <w:t> </w:t>
      </w:r>
      <w:r>
        <w:rPr>
          <w:color w:val="231F20"/>
          <w:w w:val="105"/>
        </w:rPr>
        <w:t>caso</w:t>
      </w:r>
      <w:r>
        <w:rPr>
          <w:color w:val="231F20"/>
          <w:spacing w:val="-14"/>
          <w:w w:val="105"/>
        </w:rPr>
        <w:t> </w:t>
      </w:r>
      <w:r>
        <w:rPr>
          <w:color w:val="231F20"/>
          <w:w w:val="105"/>
        </w:rPr>
        <w:t>en</w:t>
      </w:r>
      <w:r>
        <w:rPr>
          <w:color w:val="231F20"/>
          <w:spacing w:val="-14"/>
          <w:w w:val="105"/>
        </w:rPr>
        <w:t> </w:t>
      </w:r>
      <w:r>
        <w:rPr>
          <w:color w:val="231F20"/>
          <w:w w:val="105"/>
        </w:rPr>
        <w:t>sentido</w:t>
      </w:r>
      <w:r>
        <w:rPr>
          <w:color w:val="231F20"/>
          <w:spacing w:val="-14"/>
          <w:w w:val="105"/>
        </w:rPr>
        <w:t> </w:t>
      </w:r>
      <w:r>
        <w:rPr>
          <w:color w:val="231F20"/>
          <w:w w:val="105"/>
        </w:rPr>
        <w:t>lineal:</w:t>
      </w:r>
      <w:r>
        <w:rPr>
          <w:color w:val="231F20"/>
          <w:spacing w:val="-14"/>
          <w:w w:val="105"/>
        </w:rPr>
        <w:t> </w:t>
      </w:r>
      <w:r>
        <w:rPr>
          <w:color w:val="231F20"/>
          <w:w w:val="105"/>
        </w:rPr>
        <w:t>las</w:t>
      </w:r>
      <w:r>
        <w:rPr>
          <w:color w:val="231F20"/>
          <w:spacing w:val="-14"/>
          <w:w w:val="105"/>
        </w:rPr>
        <w:t> </w:t>
      </w:r>
      <w:r>
        <w:rPr>
          <w:color w:val="231F20"/>
          <w:w w:val="105"/>
        </w:rPr>
        <w:t>personas cruzan</w:t>
      </w:r>
      <w:r>
        <w:rPr>
          <w:color w:val="231F20"/>
          <w:spacing w:val="-11"/>
          <w:w w:val="105"/>
        </w:rPr>
        <w:t> </w:t>
      </w:r>
      <w:r>
        <w:rPr>
          <w:color w:val="231F20"/>
          <w:w w:val="105"/>
        </w:rPr>
        <w:t>generalmente</w:t>
      </w:r>
      <w:r>
        <w:rPr>
          <w:color w:val="231F20"/>
          <w:spacing w:val="-11"/>
          <w:w w:val="105"/>
        </w:rPr>
        <w:t> </w:t>
      </w:r>
      <w:r>
        <w:rPr>
          <w:color w:val="231F20"/>
          <w:w w:val="105"/>
        </w:rPr>
        <w:t>el</w:t>
      </w:r>
      <w:r>
        <w:rPr>
          <w:color w:val="231F20"/>
          <w:spacing w:val="-11"/>
          <w:w w:val="105"/>
        </w:rPr>
        <w:t> </w:t>
      </w:r>
      <w:r>
        <w:rPr>
          <w:color w:val="231F20"/>
          <w:w w:val="105"/>
        </w:rPr>
        <w:t>territorio</w:t>
      </w:r>
      <w:r>
        <w:rPr>
          <w:color w:val="231F20"/>
          <w:spacing w:val="-11"/>
          <w:w w:val="105"/>
        </w:rPr>
        <w:t> </w:t>
      </w:r>
      <w:r>
        <w:rPr>
          <w:color w:val="231F20"/>
          <w:w w:val="105"/>
        </w:rPr>
        <w:t>mexiquense,</w:t>
      </w:r>
      <w:r>
        <w:rPr>
          <w:color w:val="231F20"/>
          <w:spacing w:val="-16"/>
          <w:w w:val="105"/>
        </w:rPr>
        <w:t> </w:t>
      </w:r>
      <w:r>
        <w:rPr>
          <w:color w:val="231F20"/>
          <w:w w:val="105"/>
        </w:rPr>
        <w:t>provenientes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esta- dos</w:t>
      </w:r>
      <w:r>
        <w:rPr>
          <w:color w:val="231F20"/>
          <w:spacing w:val="-21"/>
          <w:w w:val="105"/>
        </w:rPr>
        <w:t> </w:t>
      </w:r>
      <w:r>
        <w:rPr>
          <w:color w:val="231F20"/>
          <w:w w:val="105"/>
        </w:rPr>
        <w:t>del</w:t>
      </w:r>
      <w:r>
        <w:rPr>
          <w:color w:val="231F20"/>
          <w:spacing w:val="-21"/>
          <w:w w:val="105"/>
        </w:rPr>
        <w:t> </w:t>
      </w:r>
      <w:r>
        <w:rPr>
          <w:color w:val="231F20"/>
          <w:spacing w:val="-3"/>
          <w:w w:val="105"/>
        </w:rPr>
        <w:t>sur,</w:t>
      </w:r>
      <w:r>
        <w:rPr>
          <w:color w:val="231F20"/>
          <w:spacing w:val="-27"/>
          <w:w w:val="105"/>
        </w:rPr>
        <w:t> </w:t>
      </w:r>
      <w:r>
        <w:rPr>
          <w:color w:val="231F20"/>
          <w:w w:val="105"/>
        </w:rPr>
        <w:t>con</w:t>
      </w:r>
      <w:r>
        <w:rPr>
          <w:color w:val="231F20"/>
          <w:spacing w:val="-21"/>
          <w:w w:val="105"/>
        </w:rPr>
        <w:t> </w:t>
      </w:r>
      <w:r>
        <w:rPr>
          <w:color w:val="231F20"/>
          <w:w w:val="105"/>
        </w:rPr>
        <w:t>destino</w:t>
      </w:r>
      <w:r>
        <w:rPr>
          <w:color w:val="231F20"/>
          <w:spacing w:val="-21"/>
          <w:w w:val="105"/>
        </w:rPr>
        <w:t> </w:t>
      </w:r>
      <w:r>
        <w:rPr>
          <w:color w:val="231F20"/>
          <w:w w:val="105"/>
        </w:rPr>
        <w:t>a</w:t>
      </w:r>
      <w:r>
        <w:rPr>
          <w:color w:val="231F20"/>
          <w:spacing w:val="-21"/>
          <w:w w:val="105"/>
        </w:rPr>
        <w:t> </w:t>
      </w:r>
      <w:r>
        <w:rPr>
          <w:color w:val="231F20"/>
          <w:w w:val="105"/>
        </w:rPr>
        <w:t>Estados</w:t>
      </w:r>
      <w:r>
        <w:rPr>
          <w:color w:val="231F20"/>
          <w:spacing w:val="-21"/>
          <w:w w:val="105"/>
        </w:rPr>
        <w:t> </w:t>
      </w:r>
      <w:r>
        <w:rPr>
          <w:color w:val="231F20"/>
          <w:w w:val="105"/>
        </w:rPr>
        <w:t>Unidos.</w:t>
      </w:r>
      <w:r>
        <w:rPr>
          <w:color w:val="231F20"/>
          <w:spacing w:val="-27"/>
          <w:w w:val="105"/>
        </w:rPr>
        <w:t> </w:t>
      </w:r>
      <w:r>
        <w:rPr>
          <w:color w:val="231F20"/>
          <w:w w:val="105"/>
        </w:rPr>
        <w:t>Sin</w:t>
      </w:r>
      <w:r>
        <w:rPr>
          <w:color w:val="231F20"/>
          <w:spacing w:val="-21"/>
          <w:w w:val="105"/>
        </w:rPr>
        <w:t> </w:t>
      </w:r>
      <w:r>
        <w:rPr>
          <w:color w:val="231F20"/>
          <w:w w:val="105"/>
        </w:rPr>
        <w:t>embargo,</w:t>
      </w:r>
      <w:r>
        <w:rPr>
          <w:color w:val="231F20"/>
          <w:spacing w:val="-27"/>
          <w:w w:val="105"/>
        </w:rPr>
        <w:t> </w:t>
      </w:r>
      <w:r>
        <w:rPr>
          <w:color w:val="231F20"/>
          <w:w w:val="105"/>
        </w:rPr>
        <w:t>muchos</w:t>
      </w:r>
      <w:r>
        <w:rPr>
          <w:color w:val="231F20"/>
          <w:spacing w:val="-21"/>
          <w:w w:val="105"/>
        </w:rPr>
        <w:t> </w:t>
      </w:r>
      <w:r>
        <w:rPr>
          <w:color w:val="231F20"/>
          <w:w w:val="105"/>
        </w:rPr>
        <w:t>migran- tes</w:t>
      </w:r>
      <w:r>
        <w:rPr>
          <w:color w:val="231F20"/>
          <w:spacing w:val="-23"/>
          <w:w w:val="105"/>
        </w:rPr>
        <w:t> </w:t>
      </w:r>
      <w:r>
        <w:rPr>
          <w:color w:val="231F20"/>
          <w:w w:val="105"/>
        </w:rPr>
        <w:t>se</w:t>
      </w:r>
      <w:r>
        <w:rPr>
          <w:color w:val="231F20"/>
          <w:spacing w:val="-23"/>
          <w:w w:val="105"/>
        </w:rPr>
        <w:t> </w:t>
      </w:r>
      <w:r>
        <w:rPr>
          <w:color w:val="231F20"/>
          <w:w w:val="105"/>
        </w:rPr>
        <w:t>quedan</w:t>
      </w:r>
      <w:r>
        <w:rPr>
          <w:color w:val="231F20"/>
          <w:spacing w:val="-23"/>
          <w:w w:val="105"/>
        </w:rPr>
        <w:t> </w:t>
      </w:r>
      <w:r>
        <w:rPr>
          <w:color w:val="231F20"/>
          <w:w w:val="105"/>
        </w:rPr>
        <w:t>en</w:t>
      </w:r>
      <w:r>
        <w:rPr>
          <w:color w:val="231F20"/>
          <w:spacing w:val="-23"/>
          <w:w w:val="105"/>
        </w:rPr>
        <w:t> </w:t>
      </w:r>
      <w:r>
        <w:rPr>
          <w:color w:val="231F20"/>
          <w:w w:val="105"/>
        </w:rPr>
        <w:t>esta</w:t>
      </w:r>
      <w:r>
        <w:rPr>
          <w:color w:val="231F20"/>
          <w:spacing w:val="-23"/>
          <w:w w:val="105"/>
        </w:rPr>
        <w:t> </w:t>
      </w:r>
      <w:r>
        <w:rPr>
          <w:color w:val="231F20"/>
          <w:w w:val="105"/>
        </w:rPr>
        <w:t>etapa</w:t>
      </w:r>
      <w:r>
        <w:rPr>
          <w:color w:val="231F20"/>
          <w:spacing w:val="-23"/>
          <w:w w:val="105"/>
        </w:rPr>
        <w:t> </w:t>
      </w:r>
      <w:r>
        <w:rPr>
          <w:color w:val="231F20"/>
          <w:w w:val="105"/>
        </w:rPr>
        <w:t>del</w:t>
      </w:r>
      <w:r>
        <w:rPr>
          <w:color w:val="231F20"/>
          <w:spacing w:val="-23"/>
          <w:w w:val="105"/>
        </w:rPr>
        <w:t> </w:t>
      </w:r>
      <w:r>
        <w:rPr>
          <w:color w:val="231F20"/>
          <w:w w:val="105"/>
        </w:rPr>
        <w:t>camino</w:t>
      </w:r>
      <w:r>
        <w:rPr>
          <w:color w:val="231F20"/>
          <w:spacing w:val="-23"/>
          <w:w w:val="105"/>
        </w:rPr>
        <w:t> </w:t>
      </w:r>
      <w:r>
        <w:rPr>
          <w:color w:val="231F20"/>
          <w:w w:val="105"/>
        </w:rPr>
        <w:t>sin</w:t>
      </w:r>
      <w:r>
        <w:rPr>
          <w:color w:val="231F20"/>
          <w:spacing w:val="-23"/>
          <w:w w:val="105"/>
        </w:rPr>
        <w:t> </w:t>
      </w:r>
      <w:r>
        <w:rPr>
          <w:color w:val="231F20"/>
          <w:w w:val="105"/>
        </w:rPr>
        <w:t>medios</w:t>
      </w:r>
      <w:r>
        <w:rPr>
          <w:color w:val="231F20"/>
          <w:spacing w:val="-23"/>
          <w:w w:val="105"/>
        </w:rPr>
        <w:t> </w:t>
      </w:r>
      <w:r>
        <w:rPr>
          <w:color w:val="231F20"/>
          <w:w w:val="105"/>
        </w:rPr>
        <w:t>para</w:t>
      </w:r>
      <w:r>
        <w:rPr>
          <w:color w:val="231F20"/>
          <w:spacing w:val="-23"/>
          <w:w w:val="105"/>
        </w:rPr>
        <w:t> </w:t>
      </w:r>
      <w:r>
        <w:rPr>
          <w:color w:val="231F20"/>
          <w:w w:val="105"/>
        </w:rPr>
        <w:t>subsistir,</w:t>
      </w:r>
      <w:r>
        <w:rPr>
          <w:color w:val="231F20"/>
          <w:spacing w:val="-28"/>
          <w:w w:val="105"/>
        </w:rPr>
        <w:t> </w:t>
      </w:r>
      <w:r>
        <w:rPr>
          <w:color w:val="231F20"/>
          <w:w w:val="105"/>
        </w:rPr>
        <w:t>depen- diendo</w:t>
      </w:r>
      <w:r>
        <w:rPr>
          <w:color w:val="231F20"/>
          <w:spacing w:val="-11"/>
          <w:w w:val="105"/>
        </w:rPr>
        <w:t> </w:t>
      </w:r>
      <w:r>
        <w:rPr>
          <w:color w:val="231F20"/>
          <w:w w:val="105"/>
        </w:rPr>
        <w:t>cada</w:t>
      </w:r>
      <w:r>
        <w:rPr>
          <w:color w:val="231F20"/>
          <w:spacing w:val="-11"/>
          <w:w w:val="105"/>
        </w:rPr>
        <w:t> </w:t>
      </w:r>
      <w:r>
        <w:rPr>
          <w:color w:val="231F20"/>
          <w:w w:val="105"/>
        </w:rPr>
        <w:t>vez</w:t>
      </w:r>
      <w:r>
        <w:rPr>
          <w:color w:val="231F20"/>
          <w:spacing w:val="-11"/>
          <w:w w:val="105"/>
        </w:rPr>
        <w:t> </w:t>
      </w:r>
      <w:r>
        <w:rPr>
          <w:color w:val="231F20"/>
          <w:w w:val="105"/>
        </w:rPr>
        <w:t>más</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ayudas</w:t>
      </w:r>
      <w:r>
        <w:rPr>
          <w:color w:val="231F20"/>
          <w:spacing w:val="-11"/>
          <w:w w:val="105"/>
        </w:rPr>
        <w:t> </w:t>
      </w:r>
      <w:r>
        <w:rPr>
          <w:color w:val="231F20"/>
          <w:w w:val="105"/>
        </w:rPr>
        <w:t>que</w:t>
      </w:r>
      <w:r>
        <w:rPr>
          <w:color w:val="231F20"/>
          <w:spacing w:val="-11"/>
          <w:w w:val="105"/>
        </w:rPr>
        <w:t> </w:t>
      </w:r>
      <w:r>
        <w:rPr>
          <w:color w:val="231F20"/>
          <w:w w:val="105"/>
        </w:rPr>
        <w:t>dependencias</w:t>
      </w:r>
      <w:r>
        <w:rPr>
          <w:color w:val="231F20"/>
          <w:spacing w:val="-11"/>
          <w:w w:val="105"/>
        </w:rPr>
        <w:t> </w:t>
      </w:r>
      <w:r>
        <w:rPr>
          <w:color w:val="231F20"/>
          <w:w w:val="105"/>
        </w:rPr>
        <w:t>y</w:t>
      </w:r>
      <w:r>
        <w:rPr>
          <w:color w:val="231F20"/>
          <w:spacing w:val="-11"/>
          <w:w w:val="105"/>
        </w:rPr>
        <w:t> </w:t>
      </w:r>
      <w:r>
        <w:rPr>
          <w:color w:val="231F20"/>
          <w:w w:val="105"/>
        </w:rPr>
        <w:t>organismos</w:t>
      </w:r>
      <w:r>
        <w:rPr>
          <w:color w:val="231F20"/>
          <w:spacing w:val="-11"/>
          <w:w w:val="105"/>
        </w:rPr>
        <w:t> </w:t>
      </w:r>
      <w:r>
        <w:rPr>
          <w:color w:val="231F20"/>
          <w:w w:val="105"/>
        </w:rPr>
        <w:t>no gubernamentales puedan</w:t>
      </w:r>
      <w:r>
        <w:rPr>
          <w:color w:val="231F20"/>
          <w:spacing w:val="-21"/>
          <w:w w:val="105"/>
        </w:rPr>
        <w:t> </w:t>
      </w:r>
      <w:r>
        <w:rPr>
          <w:color w:val="231F20"/>
          <w:w w:val="105"/>
        </w:rPr>
        <w:t>proporcionarles.</w:t>
      </w:r>
    </w:p>
    <w:p>
      <w:pPr>
        <w:pStyle w:val="BodyText"/>
        <w:spacing w:line="261" w:lineRule="auto" w:before="1"/>
        <w:ind w:left="1723" w:right="1834" w:firstLine="567"/>
        <w:jc w:val="both"/>
      </w:pPr>
      <w:r>
        <w:rPr>
          <w:color w:val="231F20"/>
          <w:w w:val="105"/>
        </w:rPr>
        <w:t>El recorrido que emprenden </w:t>
      </w:r>
      <w:r>
        <w:rPr>
          <w:color w:val="231F20"/>
          <w:w w:val="105"/>
          <w:sz w:val="17"/>
        </w:rPr>
        <w:t>NNA </w:t>
      </w:r>
      <w:r>
        <w:rPr>
          <w:color w:val="231F20"/>
          <w:w w:val="105"/>
        </w:rPr>
        <w:t>migrantes irregulares no acom- pañados suele ser paulatino y variable, pues depende de los recursos con los que cuenten. Muchos </w:t>
      </w:r>
      <w:r>
        <w:rPr>
          <w:color w:val="231F20"/>
          <w:w w:val="105"/>
          <w:sz w:val="17"/>
        </w:rPr>
        <w:t>NNA </w:t>
      </w:r>
      <w:r>
        <w:rPr>
          <w:color w:val="231F20"/>
          <w:w w:val="105"/>
        </w:rPr>
        <w:t>buscan trabajos temporales para</w:t>
      </w:r>
      <w:r>
        <w:rPr>
          <w:color w:val="231F20"/>
          <w:spacing w:val="-11"/>
          <w:w w:val="105"/>
        </w:rPr>
        <w:t> </w:t>
      </w:r>
      <w:r>
        <w:rPr>
          <w:color w:val="231F20"/>
          <w:w w:val="105"/>
        </w:rPr>
        <w:t>ga- nar</w:t>
      </w:r>
      <w:r>
        <w:rPr>
          <w:color w:val="231F20"/>
          <w:spacing w:val="-6"/>
          <w:w w:val="105"/>
        </w:rPr>
        <w:t> </w:t>
      </w:r>
      <w:r>
        <w:rPr>
          <w:color w:val="231F20"/>
          <w:w w:val="105"/>
        </w:rPr>
        <w:t>dinero</w:t>
      </w:r>
      <w:r>
        <w:rPr>
          <w:color w:val="231F20"/>
          <w:spacing w:val="-6"/>
          <w:w w:val="105"/>
        </w:rPr>
        <w:t> </w:t>
      </w:r>
      <w:r>
        <w:rPr>
          <w:color w:val="231F20"/>
          <w:w w:val="105"/>
        </w:rPr>
        <w:t>o</w:t>
      </w:r>
      <w:r>
        <w:rPr>
          <w:color w:val="231F20"/>
          <w:spacing w:val="-6"/>
          <w:w w:val="105"/>
        </w:rPr>
        <w:t> </w:t>
      </w:r>
      <w:r>
        <w:rPr>
          <w:color w:val="231F20"/>
          <w:w w:val="105"/>
        </w:rPr>
        <w:t>se</w:t>
      </w:r>
      <w:r>
        <w:rPr>
          <w:color w:val="231F20"/>
          <w:spacing w:val="-6"/>
          <w:w w:val="105"/>
        </w:rPr>
        <w:t> </w:t>
      </w:r>
      <w:r>
        <w:rPr>
          <w:color w:val="231F20"/>
          <w:w w:val="105"/>
        </w:rPr>
        <w:t>les</w:t>
      </w:r>
      <w:r>
        <w:rPr>
          <w:color w:val="231F20"/>
          <w:spacing w:val="-6"/>
          <w:w w:val="105"/>
        </w:rPr>
        <w:t> </w:t>
      </w:r>
      <w:r>
        <w:rPr>
          <w:color w:val="231F20"/>
          <w:w w:val="105"/>
        </w:rPr>
        <w:t>puede</w:t>
      </w:r>
      <w:r>
        <w:rPr>
          <w:color w:val="231F20"/>
          <w:spacing w:val="-6"/>
          <w:w w:val="105"/>
        </w:rPr>
        <w:t> </w:t>
      </w:r>
      <w:r>
        <w:rPr>
          <w:color w:val="231F20"/>
          <w:w w:val="105"/>
        </w:rPr>
        <w:t>observar</w:t>
      </w:r>
      <w:r>
        <w:rPr>
          <w:color w:val="231F20"/>
          <w:spacing w:val="-6"/>
          <w:w w:val="105"/>
        </w:rPr>
        <w:t> </w:t>
      </w:r>
      <w:r>
        <w:rPr>
          <w:color w:val="231F20"/>
          <w:w w:val="105"/>
        </w:rPr>
        <w:t>cerca</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vías</w:t>
      </w:r>
      <w:r>
        <w:rPr>
          <w:color w:val="231F20"/>
          <w:spacing w:val="-6"/>
          <w:w w:val="105"/>
        </w:rPr>
        <w:t> </w:t>
      </w:r>
      <w:r>
        <w:rPr>
          <w:color w:val="231F20"/>
          <w:w w:val="105"/>
        </w:rPr>
        <w:t>del</w:t>
      </w:r>
      <w:r>
        <w:rPr>
          <w:color w:val="231F20"/>
          <w:spacing w:val="-6"/>
          <w:w w:val="105"/>
        </w:rPr>
        <w:t> </w:t>
      </w:r>
      <w:r>
        <w:rPr>
          <w:color w:val="231F20"/>
          <w:w w:val="105"/>
        </w:rPr>
        <w:t>tren</w:t>
      </w:r>
      <w:r>
        <w:rPr>
          <w:color w:val="231F20"/>
          <w:spacing w:val="-6"/>
          <w:w w:val="105"/>
        </w:rPr>
        <w:t> </w:t>
      </w:r>
      <w:r>
        <w:rPr>
          <w:color w:val="231F20"/>
          <w:w w:val="105"/>
        </w:rPr>
        <w:t>solicitando una</w:t>
      </w:r>
      <w:r>
        <w:rPr>
          <w:color w:val="231F20"/>
          <w:spacing w:val="-12"/>
          <w:w w:val="105"/>
        </w:rPr>
        <w:t> </w:t>
      </w:r>
      <w:r>
        <w:rPr>
          <w:color w:val="231F20"/>
          <w:w w:val="105"/>
        </w:rPr>
        <w:t>ayuda</w:t>
      </w:r>
      <w:r>
        <w:rPr>
          <w:color w:val="231F20"/>
          <w:spacing w:val="-12"/>
          <w:w w:val="105"/>
        </w:rPr>
        <w:t> </w:t>
      </w:r>
      <w:r>
        <w:rPr>
          <w:color w:val="231F20"/>
          <w:w w:val="105"/>
        </w:rPr>
        <w:t>monetaria</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personas</w:t>
      </w:r>
      <w:r>
        <w:rPr>
          <w:color w:val="231F20"/>
          <w:spacing w:val="-12"/>
          <w:w w:val="105"/>
        </w:rPr>
        <w:t> </w:t>
      </w:r>
      <w:r>
        <w:rPr>
          <w:color w:val="231F20"/>
          <w:w w:val="105"/>
        </w:rPr>
        <w:t>que</w:t>
      </w:r>
      <w:r>
        <w:rPr>
          <w:color w:val="231F20"/>
          <w:spacing w:val="-12"/>
          <w:w w:val="105"/>
        </w:rPr>
        <w:t> </w:t>
      </w:r>
      <w:r>
        <w:rPr>
          <w:color w:val="231F20"/>
          <w:w w:val="105"/>
        </w:rPr>
        <w:t>encuentran</w:t>
      </w:r>
      <w:r>
        <w:rPr>
          <w:color w:val="231F20"/>
          <w:spacing w:val="-12"/>
          <w:w w:val="105"/>
        </w:rPr>
        <w:t> </w:t>
      </w:r>
      <w:r>
        <w:rPr>
          <w:color w:val="231F20"/>
          <w:w w:val="105"/>
        </w:rPr>
        <w:t>a</w:t>
      </w:r>
      <w:r>
        <w:rPr>
          <w:color w:val="231F20"/>
          <w:spacing w:val="-12"/>
          <w:w w:val="105"/>
        </w:rPr>
        <w:t> </w:t>
      </w:r>
      <w:r>
        <w:rPr>
          <w:color w:val="231F20"/>
          <w:w w:val="105"/>
        </w:rPr>
        <w:t>su</w:t>
      </w:r>
      <w:r>
        <w:rPr>
          <w:color w:val="231F20"/>
          <w:spacing w:val="-12"/>
          <w:w w:val="105"/>
        </w:rPr>
        <w:t> </w:t>
      </w:r>
      <w:r>
        <w:rPr>
          <w:color w:val="231F20"/>
          <w:w w:val="105"/>
        </w:rPr>
        <w:t>paso.</w:t>
      </w:r>
      <w:r>
        <w:rPr>
          <w:color w:val="231F20"/>
          <w:spacing w:val="-17"/>
          <w:w w:val="105"/>
        </w:rPr>
        <w:t> </w:t>
      </w:r>
      <w:r>
        <w:rPr>
          <w:color w:val="231F20"/>
          <w:w w:val="105"/>
        </w:rPr>
        <w:t>Cuando</w:t>
      </w:r>
    </w:p>
    <w:p>
      <w:pPr>
        <w:pStyle w:val="BodyText"/>
        <w:rPr>
          <w:sz w:val="20"/>
        </w:rPr>
      </w:pPr>
    </w:p>
    <w:p>
      <w:pPr>
        <w:pStyle w:val="BodyText"/>
        <w:rPr>
          <w:sz w:val="20"/>
        </w:rPr>
      </w:pPr>
    </w:p>
    <w:p>
      <w:pPr>
        <w:pStyle w:val="BodyText"/>
        <w:spacing w:before="2"/>
        <w:rPr>
          <w:sz w:val="16"/>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2488" from="131.551193pt,3.703715pt" to="131.551193pt,39.506114pt" stroked="true" strokeweight=".35pt" strokecolor="#231f20">
            <w10:wrap type="none"/>
          </v:line>
        </w:pict>
      </w:r>
      <w:r>
        <w:rPr/>
        <w:pict>
          <v:line style="position:absolute;mso-position-horizontal-relative:page;mso-position-vertical-relative:paragraph;z-index:-482416" from="15pt,39.505917pt" to="0pt,39.505917pt" stroked="true" strokeweight=".25pt" strokecolor="#000000">
            <w10:wrap type="none"/>
          </v:line>
        </w:pict>
      </w:r>
      <w:r>
        <w:rPr/>
        <w:pict>
          <v:line style="position:absolute;mso-position-horizontal-relative:page;mso-position-vertical-relative:paragraph;z-index:7792" from="508.890015pt,39.505917pt" to="523.890015pt,39.505917pt" stroked="true" strokeweight=".25pt" strokecolor="#000000">
            <w10:wrap type="none"/>
          </v:line>
        </w:pict>
      </w:r>
      <w:r>
        <w:rPr>
          <w:rFonts w:ascii="Arial" w:hAnsi="Arial"/>
          <w:color w:val="414042"/>
          <w:position w:val="-5"/>
          <w:sz w:val="20"/>
        </w:rPr>
        <w:t>78</w:t>
        <w:tab/>
      </w:r>
      <w:r>
        <w:rPr>
          <w:rFonts w:ascii="Calibri" w:hAnsi="Calibri"/>
          <w:color w:val="6D6E71"/>
          <w:sz w:val="15"/>
        </w:rPr>
        <w:t>María de Lourdes Morales Reynoso y Claudia Arianne Martínez  </w:t>
      </w:r>
      <w:r>
        <w:rPr>
          <w:rFonts w:ascii="Calibri" w:hAnsi="Calibri"/>
          <w:color w:val="6D6E71"/>
          <w:spacing w:val="16"/>
          <w:sz w:val="15"/>
        </w:rPr>
        <w:t> </w:t>
      </w:r>
      <w:r>
        <w:rPr>
          <w:rFonts w:ascii="Calibri" w:hAnsi="Calibri"/>
          <w:color w:val="6D6E71"/>
          <w:sz w:val="15"/>
        </w:rPr>
        <w:t>Zaragoza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line="208" w:lineRule="exact" w:before="187"/>
        <w:ind w:left="2163" w:right="0" w:firstLine="0"/>
        <w:jc w:val="left"/>
        <w:rPr>
          <w:rFonts w:ascii="Arial" w:hAnsi="Arial"/>
          <w:sz w:val="20"/>
        </w:rPr>
      </w:pPr>
      <w:r>
        <w:rPr/>
        <w:pict>
          <v:line style="position:absolute;mso-position-horizontal-relative:page;mso-position-vertical-relative:paragraph;z-index:-482368" from="405.061005pt,-18.554295pt" to="405.061005pt,16.311579pt" stroked="true" strokeweight=".35pt" strokecolor="#231f20">
            <w10:wrap type="none"/>
          </v:line>
        </w:pict>
      </w:r>
      <w:r>
        <w:rPr/>
        <w:pict>
          <v:line style="position:absolute;mso-position-horizontal-relative:page;mso-position-vertical-relative:paragraph;z-index:7840" from="15pt,-18.554522pt" to="0pt,-18.554522pt" stroked="true" strokeweight=".25pt" strokecolor="#000000">
            <w10:wrap type="none"/>
          </v:line>
        </w:pict>
      </w:r>
      <w:r>
        <w:rPr/>
        <w:pict>
          <v:line style="position:absolute;mso-position-horizontal-relative:page;mso-position-vertical-relative:paragraph;z-index:7864" from="508.890015pt,-18.554522pt" to="523.890015pt,-18.554522pt" stroked="true" strokeweight=".25pt" strokecolor="#000000">
            <w10:wrap type="none"/>
          </v:line>
        </w:pict>
      </w:r>
      <w:r>
        <w:rPr>
          <w:rFonts w:ascii="Lucida Sans Unicode" w:hAnsi="Lucida Sans Unicode"/>
          <w:color w:val="6D6E71"/>
          <w:w w:val="105"/>
          <w:sz w:val="14"/>
        </w:rPr>
        <w:t>Los</w:t>
      </w:r>
      <w:r>
        <w:rPr>
          <w:rFonts w:ascii="Lucida Sans Unicode" w:hAnsi="Lucida Sans Unicode"/>
          <w:color w:val="6D6E71"/>
          <w:spacing w:val="-14"/>
          <w:w w:val="105"/>
          <w:sz w:val="14"/>
        </w:rPr>
        <w:t> </w:t>
      </w:r>
      <w:r>
        <w:rPr>
          <w:rFonts w:ascii="Lucida Sans Unicode" w:hAnsi="Lucida Sans Unicode"/>
          <w:color w:val="6D6E71"/>
          <w:w w:val="105"/>
          <w:sz w:val="14"/>
        </w:rPr>
        <w:t>pequeños</w:t>
      </w:r>
      <w:r>
        <w:rPr>
          <w:rFonts w:ascii="Lucida Sans Unicode" w:hAnsi="Lucida Sans Unicode"/>
          <w:color w:val="6D6E71"/>
          <w:spacing w:val="-14"/>
          <w:w w:val="105"/>
          <w:sz w:val="14"/>
        </w:rPr>
        <w:t> </w:t>
      </w:r>
      <w:r>
        <w:rPr>
          <w:rFonts w:ascii="Lucida Sans Unicode" w:hAnsi="Lucida Sans Unicode"/>
          <w:color w:val="6D6E71"/>
          <w:w w:val="105"/>
          <w:sz w:val="14"/>
        </w:rPr>
        <w:t>“soñadores”</w:t>
      </w:r>
      <w:r>
        <w:rPr>
          <w:rFonts w:ascii="Lucida Sans Unicode" w:hAnsi="Lucida Sans Unicode"/>
          <w:color w:val="6D6E71"/>
          <w:spacing w:val="-14"/>
          <w:w w:val="105"/>
          <w:sz w:val="14"/>
        </w:rPr>
        <w:t> </w:t>
      </w:r>
      <w:r>
        <w:rPr>
          <w:rFonts w:ascii="Lucida Sans Unicode" w:hAnsi="Lucida Sans Unicode"/>
          <w:color w:val="6D6E71"/>
          <w:w w:val="105"/>
          <w:sz w:val="14"/>
        </w:rPr>
        <w:t>no</w:t>
      </w:r>
      <w:r>
        <w:rPr>
          <w:rFonts w:ascii="Lucida Sans Unicode" w:hAnsi="Lucida Sans Unicode"/>
          <w:color w:val="6D6E71"/>
          <w:spacing w:val="-14"/>
          <w:w w:val="105"/>
          <w:sz w:val="14"/>
        </w:rPr>
        <w:t> </w:t>
      </w:r>
      <w:r>
        <w:rPr>
          <w:rFonts w:ascii="Lucida Sans Unicode" w:hAnsi="Lucida Sans Unicode"/>
          <w:color w:val="6D6E71"/>
          <w:w w:val="105"/>
          <w:sz w:val="14"/>
        </w:rPr>
        <w:t>acompañados</w:t>
      </w:r>
      <w:r>
        <w:rPr>
          <w:rFonts w:ascii="Lucida Sans Unicode" w:hAnsi="Lucida Sans Unicode"/>
          <w:color w:val="6D6E71"/>
          <w:spacing w:val="-14"/>
          <w:w w:val="105"/>
          <w:sz w:val="14"/>
        </w:rPr>
        <w:t> </w:t>
      </w:r>
      <w:r>
        <w:rPr>
          <w:rFonts w:ascii="Lucida Sans Unicode" w:hAnsi="Lucida Sans Unicode"/>
          <w:color w:val="6D6E71"/>
          <w:w w:val="105"/>
          <w:sz w:val="14"/>
        </w:rPr>
        <w:t>en</w:t>
      </w:r>
      <w:r>
        <w:rPr>
          <w:rFonts w:ascii="Lucida Sans Unicode" w:hAnsi="Lucida Sans Unicode"/>
          <w:color w:val="6D6E71"/>
          <w:spacing w:val="-14"/>
          <w:w w:val="105"/>
          <w:sz w:val="14"/>
        </w:rPr>
        <w:t> </w:t>
      </w:r>
      <w:r>
        <w:rPr>
          <w:rFonts w:ascii="Lucida Sans Unicode" w:hAnsi="Lucida Sans Unicode"/>
          <w:color w:val="6D6E71"/>
          <w:w w:val="105"/>
          <w:sz w:val="14"/>
        </w:rPr>
        <w:t>su</w:t>
      </w:r>
      <w:r>
        <w:rPr>
          <w:rFonts w:ascii="Lucida Sans Unicode" w:hAnsi="Lucida Sans Unicode"/>
          <w:color w:val="6D6E71"/>
          <w:spacing w:val="-14"/>
          <w:w w:val="105"/>
          <w:sz w:val="14"/>
        </w:rPr>
        <w:t> </w:t>
      </w:r>
      <w:r>
        <w:rPr>
          <w:rFonts w:ascii="Lucida Sans Unicode" w:hAnsi="Lucida Sans Unicode"/>
          <w:color w:val="6D6E71"/>
          <w:w w:val="105"/>
          <w:sz w:val="14"/>
        </w:rPr>
        <w:t>tránsito</w:t>
      </w:r>
      <w:r>
        <w:rPr>
          <w:rFonts w:ascii="Lucida Sans Unicode" w:hAnsi="Lucida Sans Unicode"/>
          <w:color w:val="6D6E71"/>
          <w:spacing w:val="-14"/>
          <w:w w:val="105"/>
          <w:sz w:val="14"/>
        </w:rPr>
        <w:t> </w:t>
      </w:r>
      <w:r>
        <w:rPr>
          <w:rFonts w:ascii="Lucida Sans Unicode" w:hAnsi="Lucida Sans Unicode"/>
          <w:color w:val="6D6E71"/>
          <w:w w:val="105"/>
          <w:sz w:val="14"/>
        </w:rPr>
        <w:t>por</w:t>
      </w:r>
      <w:r>
        <w:rPr>
          <w:rFonts w:ascii="Lucida Sans Unicode" w:hAnsi="Lucida Sans Unicode"/>
          <w:color w:val="6D6E71"/>
          <w:spacing w:val="-14"/>
          <w:w w:val="105"/>
          <w:sz w:val="14"/>
        </w:rPr>
        <w:t> </w:t>
      </w:r>
      <w:r>
        <w:rPr>
          <w:rFonts w:ascii="Lucida Sans Unicode" w:hAnsi="Lucida Sans Unicode"/>
          <w:color w:val="6D6E71"/>
          <w:w w:val="105"/>
          <w:sz w:val="14"/>
        </w:rPr>
        <w:t>eL</w:t>
      </w:r>
      <w:r>
        <w:rPr>
          <w:rFonts w:ascii="Lucida Sans Unicode" w:hAnsi="Lucida Sans Unicode"/>
          <w:color w:val="6D6E71"/>
          <w:spacing w:val="-14"/>
          <w:w w:val="105"/>
          <w:sz w:val="14"/>
        </w:rPr>
        <w:t> </w:t>
      </w:r>
      <w:r>
        <w:rPr>
          <w:rFonts w:ascii="Lucida Sans Unicode" w:hAnsi="Lucida Sans Unicode"/>
          <w:color w:val="6D6E71"/>
          <w:w w:val="105"/>
          <w:sz w:val="14"/>
        </w:rPr>
        <w:t>estado</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méxico.</w:t>
      </w:r>
      <w:r>
        <w:rPr>
          <w:rFonts w:ascii="Arial" w:hAnsi="Arial"/>
          <w:color w:val="414042"/>
          <w:w w:val="105"/>
          <w:position w:val="-3"/>
          <w:sz w:val="20"/>
        </w:rPr>
        <w:tab/>
        <w:t>79</w:t>
      </w:r>
    </w:p>
    <w:p>
      <w:pPr>
        <w:spacing w:line="187" w:lineRule="exact" w:before="0"/>
        <w:ind w:left="4069" w:right="0" w:firstLine="0"/>
        <w:jc w:val="left"/>
        <w:rPr>
          <w:rFonts w:ascii="Lucida Sans Unicode" w:hAnsi="Lucida Sans Unicode"/>
          <w:sz w:val="14"/>
        </w:rPr>
      </w:pPr>
      <w:r>
        <w:rPr>
          <w:rFonts w:ascii="Lucida Sans Unicode" w:hAnsi="Lucida Sans Unicode"/>
          <w:color w:val="6D6E71"/>
          <w:w w:val="105"/>
          <w:sz w:val="14"/>
        </w:rPr>
        <w:t>una revisión a partir deL interés superior de La infancia</w:t>
      </w:r>
    </w:p>
    <w:p>
      <w:pPr>
        <w:pStyle w:val="BodyText"/>
        <w:rPr>
          <w:rFonts w:ascii="Lucida Sans Unicode"/>
          <w:sz w:val="20"/>
        </w:rPr>
      </w:pPr>
    </w:p>
    <w:p>
      <w:pPr>
        <w:pStyle w:val="BodyText"/>
        <w:spacing w:line="261" w:lineRule="auto" w:before="173"/>
        <w:ind w:left="1837" w:right="1721"/>
        <w:jc w:val="both"/>
      </w:pPr>
      <w:r>
        <w:rPr>
          <w:color w:val="231F20"/>
          <w:w w:val="105"/>
        </w:rPr>
        <w:t>encuentran</w:t>
      </w:r>
      <w:r>
        <w:rPr>
          <w:color w:val="231F20"/>
          <w:spacing w:val="-28"/>
          <w:w w:val="105"/>
        </w:rPr>
        <w:t> </w:t>
      </w:r>
      <w:r>
        <w:rPr>
          <w:color w:val="231F20"/>
          <w:w w:val="105"/>
        </w:rPr>
        <w:t>recursos</w:t>
      </w:r>
      <w:r>
        <w:rPr>
          <w:color w:val="231F20"/>
          <w:spacing w:val="-28"/>
          <w:w w:val="105"/>
        </w:rPr>
        <w:t> </w:t>
      </w:r>
      <w:r>
        <w:rPr>
          <w:color w:val="231F20"/>
          <w:w w:val="105"/>
        </w:rPr>
        <w:t>estructurales</w:t>
      </w:r>
      <w:r>
        <w:rPr>
          <w:color w:val="231F20"/>
          <w:spacing w:val="-28"/>
          <w:w w:val="105"/>
        </w:rPr>
        <w:t> </w:t>
      </w:r>
      <w:r>
        <w:rPr>
          <w:color w:val="231F20"/>
          <w:w w:val="105"/>
        </w:rPr>
        <w:t>como</w:t>
      </w:r>
      <w:r>
        <w:rPr>
          <w:color w:val="231F20"/>
          <w:spacing w:val="-28"/>
          <w:w w:val="105"/>
        </w:rPr>
        <w:t> </w:t>
      </w:r>
      <w:r>
        <w:rPr>
          <w:color w:val="231F20"/>
          <w:w w:val="105"/>
        </w:rPr>
        <w:t>los</w:t>
      </w:r>
      <w:r>
        <w:rPr>
          <w:color w:val="231F20"/>
          <w:spacing w:val="-28"/>
          <w:w w:val="105"/>
        </w:rPr>
        <w:t> </w:t>
      </w:r>
      <w:r>
        <w:rPr>
          <w:color w:val="231F20"/>
          <w:w w:val="105"/>
        </w:rPr>
        <w:t>albergues</w:t>
      </w:r>
      <w:r>
        <w:rPr>
          <w:color w:val="231F20"/>
          <w:spacing w:val="-28"/>
          <w:w w:val="105"/>
        </w:rPr>
        <w:t> </w:t>
      </w:r>
      <w:r>
        <w:rPr>
          <w:color w:val="231F20"/>
          <w:w w:val="105"/>
        </w:rPr>
        <w:t>o</w:t>
      </w:r>
      <w:r>
        <w:rPr>
          <w:color w:val="231F20"/>
          <w:spacing w:val="-28"/>
          <w:w w:val="105"/>
        </w:rPr>
        <w:t> </w:t>
      </w:r>
      <w:r>
        <w:rPr>
          <w:color w:val="231F20"/>
          <w:w w:val="105"/>
        </w:rPr>
        <w:t>comedores,</w:t>
      </w:r>
      <w:r>
        <w:rPr>
          <w:color w:val="231F20"/>
          <w:spacing w:val="-32"/>
          <w:w w:val="105"/>
        </w:rPr>
        <w:t> </w:t>
      </w:r>
      <w:r>
        <w:rPr>
          <w:color w:val="231F20"/>
          <w:w w:val="105"/>
        </w:rPr>
        <w:t>per- tenecientes a alguna sociedad civil o asociación religiosa, se detienen para</w:t>
      </w:r>
      <w:r>
        <w:rPr>
          <w:color w:val="231F20"/>
          <w:spacing w:val="-7"/>
          <w:w w:val="105"/>
        </w:rPr>
        <w:t> </w:t>
      </w:r>
      <w:r>
        <w:rPr>
          <w:color w:val="231F20"/>
          <w:w w:val="105"/>
        </w:rPr>
        <w:t>aprovecharlos;</w:t>
      </w:r>
      <w:r>
        <w:rPr>
          <w:color w:val="231F20"/>
          <w:spacing w:val="-7"/>
          <w:w w:val="105"/>
        </w:rPr>
        <w:t> </w:t>
      </w:r>
      <w:r>
        <w:rPr>
          <w:color w:val="231F20"/>
          <w:w w:val="105"/>
        </w:rPr>
        <w:t>no</w:t>
      </w:r>
      <w:r>
        <w:rPr>
          <w:color w:val="231F20"/>
          <w:spacing w:val="-7"/>
          <w:w w:val="105"/>
        </w:rPr>
        <w:t> </w:t>
      </w:r>
      <w:r>
        <w:rPr>
          <w:color w:val="231F20"/>
          <w:w w:val="105"/>
        </w:rPr>
        <w:t>sucede</w:t>
      </w:r>
      <w:r>
        <w:rPr>
          <w:color w:val="231F20"/>
          <w:spacing w:val="-7"/>
          <w:w w:val="105"/>
        </w:rPr>
        <w:t> </w:t>
      </w:r>
      <w:r>
        <w:rPr>
          <w:color w:val="231F20"/>
          <w:w w:val="105"/>
        </w:rPr>
        <w:t>lo</w:t>
      </w:r>
      <w:r>
        <w:rPr>
          <w:color w:val="231F20"/>
          <w:spacing w:val="-7"/>
          <w:w w:val="105"/>
        </w:rPr>
        <w:t> </w:t>
      </w:r>
      <w:r>
        <w:rPr>
          <w:color w:val="231F20"/>
          <w:w w:val="105"/>
        </w:rPr>
        <w:t>mismo</w:t>
      </w:r>
      <w:r>
        <w:rPr>
          <w:color w:val="231F20"/>
          <w:spacing w:val="-7"/>
          <w:w w:val="105"/>
        </w:rPr>
        <w:t> </w:t>
      </w:r>
      <w:r>
        <w:rPr>
          <w:color w:val="231F20"/>
          <w:w w:val="105"/>
        </w:rPr>
        <w:t>con</w:t>
      </w:r>
      <w:r>
        <w:rPr>
          <w:color w:val="231F20"/>
          <w:spacing w:val="-7"/>
          <w:w w:val="105"/>
        </w:rPr>
        <w:t> </w:t>
      </w:r>
      <w:r>
        <w:rPr>
          <w:color w:val="231F20"/>
          <w:w w:val="105"/>
        </w:rPr>
        <w:t>los</w:t>
      </w:r>
      <w:r>
        <w:rPr>
          <w:color w:val="231F20"/>
          <w:spacing w:val="-7"/>
          <w:w w:val="105"/>
        </w:rPr>
        <w:t> </w:t>
      </w:r>
      <w:r>
        <w:rPr>
          <w:color w:val="231F20"/>
          <w:w w:val="105"/>
        </w:rPr>
        <w:t>de</w:t>
      </w:r>
      <w:r>
        <w:rPr>
          <w:color w:val="231F20"/>
          <w:spacing w:val="-7"/>
          <w:w w:val="105"/>
        </w:rPr>
        <w:t> </w:t>
      </w:r>
      <w:r>
        <w:rPr>
          <w:color w:val="231F20"/>
          <w:w w:val="105"/>
        </w:rPr>
        <w:t>carácter</w:t>
      </w:r>
      <w:r>
        <w:rPr>
          <w:color w:val="231F20"/>
          <w:spacing w:val="-7"/>
          <w:w w:val="105"/>
        </w:rPr>
        <w:t> </w:t>
      </w:r>
      <w:r>
        <w:rPr>
          <w:color w:val="231F20"/>
          <w:w w:val="105"/>
        </w:rPr>
        <w:t>oficial,</w:t>
      </w:r>
      <w:r>
        <w:rPr>
          <w:color w:val="231F20"/>
          <w:spacing w:val="-12"/>
          <w:w w:val="105"/>
        </w:rPr>
        <w:t> </w:t>
      </w:r>
      <w:r>
        <w:rPr>
          <w:color w:val="231F20"/>
          <w:w w:val="105"/>
        </w:rPr>
        <w:t>que procuran evadir porque existe la percepción de que si son</w:t>
      </w:r>
      <w:r>
        <w:rPr>
          <w:color w:val="231F20"/>
          <w:spacing w:val="-22"/>
          <w:w w:val="105"/>
        </w:rPr>
        <w:t> </w:t>
      </w:r>
      <w:r>
        <w:rPr>
          <w:color w:val="231F20"/>
          <w:w w:val="105"/>
        </w:rPr>
        <w:t>identificados como</w:t>
      </w:r>
      <w:r>
        <w:rPr>
          <w:color w:val="231F20"/>
          <w:spacing w:val="-23"/>
          <w:w w:val="105"/>
        </w:rPr>
        <w:t> </w:t>
      </w:r>
      <w:r>
        <w:rPr>
          <w:color w:val="231F20"/>
          <w:w w:val="105"/>
        </w:rPr>
        <w:t>menores</w:t>
      </w:r>
      <w:r>
        <w:rPr>
          <w:color w:val="231F20"/>
          <w:spacing w:val="-23"/>
          <w:w w:val="105"/>
        </w:rPr>
        <w:t> </w:t>
      </w:r>
      <w:r>
        <w:rPr>
          <w:color w:val="231F20"/>
          <w:w w:val="105"/>
        </w:rPr>
        <w:t>serán</w:t>
      </w:r>
      <w:r>
        <w:rPr>
          <w:color w:val="231F20"/>
          <w:spacing w:val="-23"/>
          <w:w w:val="105"/>
        </w:rPr>
        <w:t> </w:t>
      </w:r>
      <w:r>
        <w:rPr>
          <w:color w:val="231F20"/>
          <w:w w:val="105"/>
        </w:rPr>
        <w:t>retenidos.</w:t>
      </w:r>
    </w:p>
    <w:p>
      <w:pPr>
        <w:pStyle w:val="BodyText"/>
        <w:spacing w:line="261" w:lineRule="auto" w:before="1"/>
        <w:ind w:left="1837" w:right="1715" w:firstLine="567"/>
        <w:jc w:val="both"/>
      </w:pPr>
      <w:r>
        <w:rPr>
          <w:color w:val="231F20"/>
          <w:w w:val="105"/>
        </w:rPr>
        <w:t>Respecto a la dificultad que tienen los organismos protectores</w:t>
      </w:r>
      <w:r>
        <w:rPr>
          <w:color w:val="231F20"/>
          <w:spacing w:val="-23"/>
          <w:w w:val="105"/>
        </w:rPr>
        <w:t> </w:t>
      </w:r>
      <w:r>
        <w:rPr>
          <w:color w:val="231F20"/>
          <w:w w:val="105"/>
        </w:rPr>
        <w:t>de derechos</w:t>
      </w:r>
      <w:r>
        <w:rPr>
          <w:color w:val="231F20"/>
          <w:spacing w:val="-22"/>
          <w:w w:val="105"/>
        </w:rPr>
        <w:t> </w:t>
      </w:r>
      <w:r>
        <w:rPr>
          <w:color w:val="231F20"/>
          <w:w w:val="105"/>
        </w:rPr>
        <w:t>humanos</w:t>
      </w:r>
      <w:r>
        <w:rPr>
          <w:color w:val="231F20"/>
          <w:spacing w:val="-22"/>
          <w:w w:val="105"/>
        </w:rPr>
        <w:t> </w:t>
      </w:r>
      <w:r>
        <w:rPr>
          <w:color w:val="231F20"/>
          <w:w w:val="105"/>
        </w:rPr>
        <w:t>para</w:t>
      </w:r>
      <w:r>
        <w:rPr>
          <w:color w:val="231F20"/>
          <w:spacing w:val="-22"/>
          <w:w w:val="105"/>
        </w:rPr>
        <w:t> </w:t>
      </w:r>
      <w:r>
        <w:rPr>
          <w:color w:val="231F20"/>
          <w:w w:val="105"/>
        </w:rPr>
        <w:t>identificar</w:t>
      </w:r>
      <w:r>
        <w:rPr>
          <w:color w:val="231F20"/>
          <w:spacing w:val="-22"/>
          <w:w w:val="105"/>
        </w:rPr>
        <w:t> </w:t>
      </w:r>
      <w:r>
        <w:rPr>
          <w:color w:val="231F20"/>
          <w:w w:val="105"/>
        </w:rPr>
        <w:t>a</w:t>
      </w:r>
      <w:r>
        <w:rPr>
          <w:color w:val="231F20"/>
          <w:spacing w:val="-22"/>
          <w:w w:val="105"/>
        </w:rPr>
        <w:t> </w:t>
      </w:r>
      <w:r>
        <w:rPr>
          <w:color w:val="231F20"/>
          <w:w w:val="105"/>
          <w:sz w:val="17"/>
        </w:rPr>
        <w:t>NNA</w:t>
      </w:r>
      <w:r>
        <w:rPr>
          <w:color w:val="231F20"/>
          <w:spacing w:val="-10"/>
          <w:w w:val="105"/>
          <w:sz w:val="17"/>
        </w:rPr>
        <w:t> </w:t>
      </w:r>
      <w:r>
        <w:rPr>
          <w:color w:val="231F20"/>
          <w:w w:val="105"/>
        </w:rPr>
        <w:t>migrantes</w:t>
      </w:r>
      <w:r>
        <w:rPr>
          <w:color w:val="231F20"/>
          <w:spacing w:val="-22"/>
          <w:w w:val="105"/>
        </w:rPr>
        <w:t> </w:t>
      </w:r>
      <w:r>
        <w:rPr>
          <w:color w:val="231F20"/>
          <w:w w:val="105"/>
        </w:rPr>
        <w:t>irregulares</w:t>
      </w:r>
      <w:r>
        <w:rPr>
          <w:color w:val="231F20"/>
          <w:spacing w:val="-22"/>
          <w:w w:val="105"/>
        </w:rPr>
        <w:t> </w:t>
      </w:r>
      <w:r>
        <w:rPr>
          <w:color w:val="231F20"/>
          <w:w w:val="105"/>
        </w:rPr>
        <w:t>no</w:t>
      </w:r>
      <w:r>
        <w:rPr>
          <w:color w:val="231F20"/>
          <w:spacing w:val="-22"/>
          <w:w w:val="105"/>
        </w:rPr>
        <w:t> </w:t>
      </w:r>
      <w:r>
        <w:rPr>
          <w:color w:val="231F20"/>
          <w:w w:val="105"/>
        </w:rPr>
        <w:t>acom- pañados,</w:t>
      </w:r>
      <w:r>
        <w:rPr>
          <w:color w:val="231F20"/>
          <w:spacing w:val="-26"/>
          <w:w w:val="105"/>
        </w:rPr>
        <w:t> </w:t>
      </w:r>
      <w:r>
        <w:rPr>
          <w:color w:val="231F20"/>
          <w:w w:val="105"/>
        </w:rPr>
        <w:t>el</w:t>
      </w:r>
      <w:r>
        <w:rPr>
          <w:color w:val="231F20"/>
          <w:spacing w:val="-22"/>
          <w:w w:val="105"/>
        </w:rPr>
        <w:t> </w:t>
      </w:r>
      <w:r>
        <w:rPr>
          <w:color w:val="231F20"/>
          <w:w w:val="105"/>
        </w:rPr>
        <w:t>visitador</w:t>
      </w:r>
      <w:r>
        <w:rPr>
          <w:color w:val="231F20"/>
          <w:spacing w:val="-22"/>
          <w:w w:val="105"/>
        </w:rPr>
        <w:t> </w:t>
      </w:r>
      <w:r>
        <w:rPr>
          <w:color w:val="231F20"/>
          <w:w w:val="105"/>
        </w:rPr>
        <w:t>general</w:t>
      </w:r>
      <w:r>
        <w:rPr>
          <w:color w:val="231F20"/>
          <w:spacing w:val="-22"/>
          <w:w w:val="105"/>
        </w:rPr>
        <w:t> </w:t>
      </w:r>
      <w:r>
        <w:rPr>
          <w:color w:val="231F20"/>
          <w:w w:val="105"/>
        </w:rPr>
        <w:t>de</w:t>
      </w:r>
      <w:r>
        <w:rPr>
          <w:color w:val="231F20"/>
          <w:spacing w:val="-22"/>
          <w:w w:val="105"/>
        </w:rPr>
        <w:t> </w:t>
      </w:r>
      <w:r>
        <w:rPr>
          <w:color w:val="231F20"/>
          <w:w w:val="105"/>
        </w:rPr>
        <w:t>Supervisión</w:t>
      </w:r>
      <w:r>
        <w:rPr>
          <w:color w:val="231F20"/>
          <w:spacing w:val="-22"/>
          <w:w w:val="105"/>
        </w:rPr>
        <w:t> </w:t>
      </w:r>
      <w:r>
        <w:rPr>
          <w:color w:val="231F20"/>
          <w:w w:val="105"/>
        </w:rPr>
        <w:t>Penitenciaria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sz w:val="17"/>
        </w:rPr>
        <w:t>CODHEM</w:t>
      </w:r>
      <w:r>
        <w:rPr>
          <w:color w:val="231F20"/>
          <w:w w:val="105"/>
        </w:rPr>
        <w:t>, </w:t>
      </w:r>
      <w:r>
        <w:rPr>
          <w:color w:val="231F20"/>
        </w:rPr>
        <w:t>Ricardo Vilchis Orozco,</w:t>
      </w:r>
      <w:r>
        <w:rPr>
          <w:color w:val="231F20"/>
          <w:spacing w:val="-5"/>
        </w:rPr>
        <w:t> </w:t>
      </w:r>
      <w:r>
        <w:rPr>
          <w:color w:val="231F20"/>
        </w:rPr>
        <w:t>señala:</w:t>
      </w:r>
    </w:p>
    <w:p>
      <w:pPr>
        <w:pStyle w:val="BodyText"/>
        <w:spacing w:before="7"/>
        <w:rPr>
          <w:sz w:val="18"/>
        </w:rPr>
      </w:pPr>
    </w:p>
    <w:p>
      <w:pPr>
        <w:spacing w:line="254" w:lineRule="auto" w:before="0"/>
        <w:ind w:left="2971" w:right="1721" w:firstLine="0"/>
        <w:jc w:val="both"/>
        <w:rPr>
          <w:sz w:val="18"/>
        </w:rPr>
      </w:pPr>
      <w:r>
        <w:rPr>
          <w:color w:val="231F20"/>
          <w:w w:val="105"/>
          <w:sz w:val="18"/>
        </w:rPr>
        <w:t>desafortunadamente los niños y las niñas migrantes no son muy visi- bles, no se ostentan como tal; nosotros hemos observado a</w:t>
      </w:r>
      <w:r>
        <w:rPr>
          <w:color w:val="231F20"/>
          <w:spacing w:val="-34"/>
          <w:w w:val="105"/>
          <w:sz w:val="18"/>
        </w:rPr>
        <w:t> </w:t>
      </w:r>
      <w:r>
        <w:rPr>
          <w:color w:val="231F20"/>
          <w:w w:val="105"/>
          <w:sz w:val="18"/>
        </w:rPr>
        <w:t>personas que por sus características físicas… presumimos que son menores de edad;</w:t>
      </w:r>
      <w:r>
        <w:rPr>
          <w:color w:val="231F20"/>
          <w:spacing w:val="-3"/>
          <w:w w:val="105"/>
          <w:sz w:val="18"/>
        </w:rPr>
        <w:t> </w:t>
      </w:r>
      <w:r>
        <w:rPr>
          <w:color w:val="231F20"/>
          <w:w w:val="105"/>
          <w:sz w:val="18"/>
        </w:rPr>
        <w:t>sin</w:t>
      </w:r>
      <w:r>
        <w:rPr>
          <w:color w:val="231F20"/>
          <w:spacing w:val="-3"/>
          <w:w w:val="105"/>
          <w:sz w:val="18"/>
        </w:rPr>
        <w:t> </w:t>
      </w:r>
      <w:r>
        <w:rPr>
          <w:color w:val="231F20"/>
          <w:w w:val="105"/>
          <w:sz w:val="18"/>
        </w:rPr>
        <w:t>embargo,</w:t>
      </w:r>
      <w:r>
        <w:rPr>
          <w:color w:val="231F20"/>
          <w:spacing w:val="-8"/>
          <w:w w:val="105"/>
          <w:sz w:val="18"/>
        </w:rPr>
        <w:t> </w:t>
      </w:r>
      <w:r>
        <w:rPr>
          <w:color w:val="231F20"/>
          <w:w w:val="105"/>
          <w:sz w:val="18"/>
        </w:rPr>
        <w:t>cuando</w:t>
      </w:r>
      <w:r>
        <w:rPr>
          <w:color w:val="231F20"/>
          <w:spacing w:val="-3"/>
          <w:w w:val="105"/>
          <w:sz w:val="18"/>
        </w:rPr>
        <w:t> </w:t>
      </w:r>
      <w:r>
        <w:rPr>
          <w:color w:val="231F20"/>
          <w:w w:val="105"/>
          <w:sz w:val="18"/>
        </w:rPr>
        <w:t>nos</w:t>
      </w:r>
      <w:r>
        <w:rPr>
          <w:color w:val="231F20"/>
          <w:spacing w:val="-3"/>
          <w:w w:val="105"/>
          <w:sz w:val="18"/>
        </w:rPr>
        <w:t> </w:t>
      </w:r>
      <w:r>
        <w:rPr>
          <w:color w:val="231F20"/>
          <w:w w:val="105"/>
          <w:sz w:val="18"/>
        </w:rPr>
        <w:t>acercamos</w:t>
      </w:r>
      <w:r>
        <w:rPr>
          <w:color w:val="231F20"/>
          <w:spacing w:val="-3"/>
          <w:w w:val="105"/>
          <w:sz w:val="18"/>
        </w:rPr>
        <w:t> </w:t>
      </w:r>
      <w:r>
        <w:rPr>
          <w:color w:val="231F20"/>
          <w:w w:val="105"/>
          <w:sz w:val="18"/>
        </w:rPr>
        <w:t>con</w:t>
      </w:r>
      <w:r>
        <w:rPr>
          <w:color w:val="231F20"/>
          <w:spacing w:val="-3"/>
          <w:w w:val="105"/>
          <w:sz w:val="18"/>
        </w:rPr>
        <w:t> </w:t>
      </w:r>
      <w:r>
        <w:rPr>
          <w:color w:val="231F20"/>
          <w:w w:val="105"/>
          <w:sz w:val="18"/>
        </w:rPr>
        <w:t>ellos</w:t>
      </w:r>
      <w:r>
        <w:rPr>
          <w:color w:val="231F20"/>
          <w:spacing w:val="-3"/>
          <w:w w:val="105"/>
          <w:sz w:val="18"/>
        </w:rPr>
        <w:t> </w:t>
      </w:r>
      <w:r>
        <w:rPr>
          <w:color w:val="231F20"/>
          <w:w w:val="105"/>
          <w:sz w:val="18"/>
        </w:rPr>
        <w:t>y</w:t>
      </w:r>
      <w:r>
        <w:rPr>
          <w:color w:val="231F20"/>
          <w:spacing w:val="-3"/>
          <w:w w:val="105"/>
          <w:sz w:val="18"/>
        </w:rPr>
        <w:t> </w:t>
      </w:r>
      <w:r>
        <w:rPr>
          <w:color w:val="231F20"/>
          <w:w w:val="105"/>
          <w:sz w:val="18"/>
        </w:rPr>
        <w:t>les…</w:t>
      </w:r>
      <w:r>
        <w:rPr>
          <w:color w:val="231F20"/>
          <w:spacing w:val="-8"/>
          <w:w w:val="105"/>
          <w:sz w:val="18"/>
        </w:rPr>
        <w:t> </w:t>
      </w:r>
      <w:r>
        <w:rPr>
          <w:color w:val="231F20"/>
          <w:w w:val="105"/>
          <w:sz w:val="18"/>
        </w:rPr>
        <w:t>pregunta- mos… su origen, nos dicen “vengo de Honduras, de Guatemala, de El Salvador” y nos dan todas las respuestas, pero cuando les pregunta- mos su edad curiosamente siempre nos dicen 18 años, 19 años; por- que</w:t>
      </w:r>
      <w:r>
        <w:rPr>
          <w:color w:val="231F20"/>
          <w:spacing w:val="-22"/>
          <w:w w:val="105"/>
          <w:sz w:val="18"/>
        </w:rPr>
        <w:t> </w:t>
      </w:r>
      <w:r>
        <w:rPr>
          <w:color w:val="231F20"/>
          <w:w w:val="105"/>
          <w:sz w:val="18"/>
        </w:rPr>
        <w:t>saben</w:t>
      </w:r>
      <w:r>
        <w:rPr>
          <w:color w:val="231F20"/>
          <w:spacing w:val="-22"/>
          <w:w w:val="105"/>
          <w:sz w:val="18"/>
        </w:rPr>
        <w:t> </w:t>
      </w:r>
      <w:r>
        <w:rPr>
          <w:color w:val="231F20"/>
          <w:w w:val="105"/>
          <w:sz w:val="18"/>
        </w:rPr>
        <w:t>que</w:t>
      </w:r>
      <w:r>
        <w:rPr>
          <w:color w:val="231F20"/>
          <w:spacing w:val="-22"/>
          <w:w w:val="105"/>
          <w:sz w:val="18"/>
        </w:rPr>
        <w:t> </w:t>
      </w:r>
      <w:r>
        <w:rPr>
          <w:color w:val="231F20"/>
          <w:w w:val="105"/>
          <w:sz w:val="18"/>
        </w:rPr>
        <w:t>esa</w:t>
      </w:r>
      <w:r>
        <w:rPr>
          <w:color w:val="231F20"/>
          <w:spacing w:val="-22"/>
          <w:w w:val="105"/>
          <w:sz w:val="18"/>
        </w:rPr>
        <w:t> </w:t>
      </w:r>
      <w:r>
        <w:rPr>
          <w:color w:val="231F20"/>
          <w:w w:val="105"/>
          <w:sz w:val="18"/>
        </w:rPr>
        <w:t>es</w:t>
      </w:r>
      <w:r>
        <w:rPr>
          <w:color w:val="231F20"/>
          <w:spacing w:val="-22"/>
          <w:w w:val="105"/>
          <w:sz w:val="18"/>
        </w:rPr>
        <w:t> </w:t>
      </w:r>
      <w:r>
        <w:rPr>
          <w:color w:val="231F20"/>
          <w:w w:val="105"/>
          <w:sz w:val="18"/>
        </w:rPr>
        <w:t>la</w:t>
      </w:r>
      <w:r>
        <w:rPr>
          <w:color w:val="231F20"/>
          <w:spacing w:val="-22"/>
          <w:w w:val="105"/>
          <w:sz w:val="18"/>
        </w:rPr>
        <w:t> </w:t>
      </w:r>
      <w:r>
        <w:rPr>
          <w:color w:val="231F20"/>
          <w:w w:val="105"/>
          <w:sz w:val="18"/>
        </w:rPr>
        <w:t>edad</w:t>
      </w:r>
      <w:r>
        <w:rPr>
          <w:color w:val="231F20"/>
          <w:spacing w:val="-22"/>
          <w:w w:val="105"/>
          <w:sz w:val="18"/>
        </w:rPr>
        <w:t> </w:t>
      </w:r>
      <w:r>
        <w:rPr>
          <w:color w:val="231F20"/>
          <w:w w:val="105"/>
          <w:sz w:val="18"/>
        </w:rPr>
        <w:t>que</w:t>
      </w:r>
      <w:r>
        <w:rPr>
          <w:color w:val="231F20"/>
          <w:spacing w:val="-22"/>
          <w:w w:val="105"/>
          <w:sz w:val="18"/>
        </w:rPr>
        <w:t> </w:t>
      </w:r>
      <w:r>
        <w:rPr>
          <w:color w:val="231F20"/>
          <w:w w:val="105"/>
          <w:sz w:val="18"/>
        </w:rPr>
        <w:t>en</w:t>
      </w:r>
      <w:r>
        <w:rPr>
          <w:color w:val="231F20"/>
          <w:spacing w:val="-22"/>
          <w:w w:val="105"/>
          <w:sz w:val="18"/>
        </w:rPr>
        <w:t> </w:t>
      </w:r>
      <w:r>
        <w:rPr>
          <w:color w:val="231F20"/>
          <w:w w:val="105"/>
          <w:sz w:val="18"/>
        </w:rPr>
        <w:t>México</w:t>
      </w:r>
      <w:r>
        <w:rPr>
          <w:color w:val="231F20"/>
          <w:spacing w:val="-22"/>
          <w:w w:val="105"/>
          <w:sz w:val="18"/>
        </w:rPr>
        <w:t> </w:t>
      </w:r>
      <w:r>
        <w:rPr>
          <w:color w:val="231F20"/>
          <w:w w:val="105"/>
          <w:sz w:val="18"/>
        </w:rPr>
        <w:t>se</w:t>
      </w:r>
      <w:r>
        <w:rPr>
          <w:color w:val="231F20"/>
          <w:spacing w:val="-22"/>
          <w:w w:val="105"/>
          <w:sz w:val="18"/>
        </w:rPr>
        <w:t> </w:t>
      </w:r>
      <w:r>
        <w:rPr>
          <w:color w:val="231F20"/>
          <w:w w:val="105"/>
          <w:sz w:val="18"/>
        </w:rPr>
        <w:t>establece</w:t>
      </w:r>
      <w:r>
        <w:rPr>
          <w:color w:val="231F20"/>
          <w:spacing w:val="-22"/>
          <w:w w:val="105"/>
          <w:sz w:val="18"/>
        </w:rPr>
        <w:t> </w:t>
      </w:r>
      <w:r>
        <w:rPr>
          <w:color w:val="231F20"/>
          <w:w w:val="105"/>
          <w:sz w:val="18"/>
        </w:rPr>
        <w:t>para</w:t>
      </w:r>
      <w:r>
        <w:rPr>
          <w:color w:val="231F20"/>
          <w:spacing w:val="-22"/>
          <w:w w:val="105"/>
          <w:sz w:val="18"/>
        </w:rPr>
        <w:t> </w:t>
      </w:r>
      <w:r>
        <w:rPr>
          <w:color w:val="231F20"/>
          <w:w w:val="105"/>
          <w:sz w:val="18"/>
        </w:rPr>
        <w:t>acceder a</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mayoría</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edad</w:t>
      </w:r>
      <w:r>
        <w:rPr>
          <w:color w:val="231F20"/>
          <w:spacing w:val="-20"/>
          <w:w w:val="105"/>
          <w:sz w:val="18"/>
        </w:rPr>
        <w:t> </w:t>
      </w:r>
      <w:r>
        <w:rPr>
          <w:color w:val="231F20"/>
          <w:w w:val="105"/>
          <w:sz w:val="18"/>
        </w:rPr>
        <w:t>(Vilchis,</w:t>
      </w:r>
      <w:r>
        <w:rPr>
          <w:color w:val="231F20"/>
          <w:spacing w:val="-24"/>
          <w:w w:val="105"/>
          <w:sz w:val="18"/>
        </w:rPr>
        <w:t> </w:t>
      </w:r>
      <w:r>
        <w:rPr>
          <w:color w:val="231F20"/>
          <w:w w:val="105"/>
          <w:sz w:val="18"/>
        </w:rPr>
        <w:t>2015:</w:t>
      </w:r>
      <w:r>
        <w:rPr>
          <w:color w:val="231F20"/>
          <w:spacing w:val="-20"/>
          <w:w w:val="105"/>
          <w:sz w:val="18"/>
        </w:rPr>
        <w:t> </w:t>
      </w:r>
      <w:r>
        <w:rPr>
          <w:color w:val="231F20"/>
          <w:w w:val="105"/>
          <w:sz w:val="18"/>
        </w:rPr>
        <w:t>s.p.).</w:t>
      </w:r>
    </w:p>
    <w:p>
      <w:pPr>
        <w:pStyle w:val="BodyText"/>
        <w:spacing w:before="5"/>
      </w:pPr>
    </w:p>
    <w:p>
      <w:pPr>
        <w:pStyle w:val="BodyText"/>
        <w:spacing w:line="261" w:lineRule="auto"/>
        <w:ind w:left="1837" w:right="1721"/>
        <w:jc w:val="both"/>
      </w:pPr>
      <w:r>
        <w:rPr>
          <w:color w:val="231F20"/>
          <w:w w:val="105"/>
        </w:rPr>
        <w:t>Los problemas para proteger a los menores en situaciones específicas choca con el amplio y variado marco legal que se ha generado para la protección de sus derechos fundamentales.</w:t>
      </w:r>
    </w:p>
    <w:p>
      <w:pPr>
        <w:pStyle w:val="BodyText"/>
        <w:spacing w:line="261" w:lineRule="auto" w:before="1"/>
        <w:ind w:left="1837" w:right="1721" w:firstLine="567"/>
        <w:jc w:val="both"/>
      </w:pPr>
      <w:r>
        <w:rPr>
          <w:color w:val="231F20"/>
          <w:w w:val="105"/>
        </w:rPr>
        <w:t>El</w:t>
      </w:r>
      <w:r>
        <w:rPr>
          <w:color w:val="231F20"/>
          <w:spacing w:val="-9"/>
          <w:w w:val="105"/>
        </w:rPr>
        <w:t> </w:t>
      </w:r>
      <w:r>
        <w:rPr>
          <w:color w:val="231F20"/>
          <w:w w:val="105"/>
        </w:rPr>
        <w:t>10</w:t>
      </w:r>
      <w:r>
        <w:rPr>
          <w:color w:val="231F20"/>
          <w:spacing w:val="-9"/>
          <w:w w:val="105"/>
        </w:rPr>
        <w:t> </w:t>
      </w:r>
      <w:r>
        <w:rPr>
          <w:color w:val="231F20"/>
          <w:w w:val="105"/>
        </w:rPr>
        <w:t>de</w:t>
      </w:r>
      <w:r>
        <w:rPr>
          <w:color w:val="231F20"/>
          <w:spacing w:val="-9"/>
          <w:w w:val="105"/>
        </w:rPr>
        <w:t> </w:t>
      </w:r>
      <w:r>
        <w:rPr>
          <w:color w:val="231F20"/>
          <w:w w:val="105"/>
        </w:rPr>
        <w:t>junio</w:t>
      </w:r>
      <w:r>
        <w:rPr>
          <w:color w:val="231F20"/>
          <w:spacing w:val="-9"/>
          <w:w w:val="105"/>
        </w:rPr>
        <w:t> </w:t>
      </w:r>
      <w:r>
        <w:rPr>
          <w:color w:val="231F20"/>
          <w:w w:val="105"/>
        </w:rPr>
        <w:t>de</w:t>
      </w:r>
      <w:r>
        <w:rPr>
          <w:color w:val="231F20"/>
          <w:spacing w:val="-9"/>
          <w:w w:val="105"/>
        </w:rPr>
        <w:t> </w:t>
      </w:r>
      <w:r>
        <w:rPr>
          <w:color w:val="231F20"/>
          <w:w w:val="105"/>
        </w:rPr>
        <w:t>2011</w:t>
      </w:r>
      <w:r>
        <w:rPr>
          <w:color w:val="231F20"/>
          <w:spacing w:val="-9"/>
          <w:w w:val="105"/>
        </w:rPr>
        <w:t> </w:t>
      </w:r>
      <w:r>
        <w:rPr>
          <w:color w:val="231F20"/>
          <w:w w:val="105"/>
        </w:rPr>
        <w:t>se</w:t>
      </w:r>
      <w:r>
        <w:rPr>
          <w:color w:val="231F20"/>
          <w:spacing w:val="-9"/>
          <w:w w:val="105"/>
        </w:rPr>
        <w:t> </w:t>
      </w:r>
      <w:r>
        <w:rPr>
          <w:color w:val="231F20"/>
          <w:w w:val="105"/>
        </w:rPr>
        <w:t>publicó</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Diario</w:t>
      </w:r>
      <w:r>
        <w:rPr>
          <w:color w:val="231F20"/>
          <w:spacing w:val="-9"/>
          <w:w w:val="105"/>
        </w:rPr>
        <w:t> </w:t>
      </w:r>
      <w:r>
        <w:rPr>
          <w:color w:val="231F20"/>
          <w:w w:val="105"/>
        </w:rPr>
        <w:t>Oficial</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Federa- ción</w:t>
      </w:r>
      <w:r>
        <w:rPr>
          <w:color w:val="231F20"/>
          <w:spacing w:val="-15"/>
          <w:w w:val="105"/>
        </w:rPr>
        <w:t> </w:t>
      </w:r>
      <w:r>
        <w:rPr>
          <w:color w:val="231F20"/>
          <w:w w:val="105"/>
        </w:rPr>
        <w:t>la</w:t>
      </w:r>
      <w:r>
        <w:rPr>
          <w:color w:val="231F20"/>
          <w:spacing w:val="-15"/>
          <w:w w:val="105"/>
        </w:rPr>
        <w:t> </w:t>
      </w:r>
      <w:r>
        <w:rPr>
          <w:color w:val="231F20"/>
          <w:w w:val="105"/>
        </w:rPr>
        <w:t>reforma</w:t>
      </w:r>
      <w:r>
        <w:rPr>
          <w:color w:val="231F20"/>
          <w:spacing w:val="-15"/>
          <w:w w:val="105"/>
        </w:rPr>
        <w:t> </w:t>
      </w:r>
      <w:r>
        <w:rPr>
          <w:color w:val="231F20"/>
          <w:w w:val="105"/>
        </w:rPr>
        <w:t>constitucional</w:t>
      </w:r>
      <w:r>
        <w:rPr>
          <w:color w:val="231F20"/>
          <w:spacing w:val="-15"/>
          <w:w w:val="105"/>
        </w:rPr>
        <w:t> </w:t>
      </w:r>
      <w:r>
        <w:rPr>
          <w:color w:val="231F20"/>
          <w:w w:val="105"/>
        </w:rPr>
        <w:t>en</w:t>
      </w:r>
      <w:r>
        <w:rPr>
          <w:color w:val="231F20"/>
          <w:spacing w:val="-15"/>
          <w:w w:val="105"/>
        </w:rPr>
        <w:t> </w:t>
      </w:r>
      <w:r>
        <w:rPr>
          <w:color w:val="231F20"/>
          <w:w w:val="105"/>
        </w:rPr>
        <w:t>materia</w:t>
      </w:r>
      <w:r>
        <w:rPr>
          <w:color w:val="231F20"/>
          <w:spacing w:val="-15"/>
          <w:w w:val="105"/>
        </w:rPr>
        <w:t> </w:t>
      </w:r>
      <w:r>
        <w:rPr>
          <w:color w:val="231F20"/>
          <w:w w:val="105"/>
        </w:rPr>
        <w:t>de</w:t>
      </w:r>
      <w:r>
        <w:rPr>
          <w:color w:val="231F20"/>
          <w:spacing w:val="-15"/>
          <w:w w:val="105"/>
        </w:rPr>
        <w:t> </w:t>
      </w:r>
      <w:r>
        <w:rPr>
          <w:color w:val="231F20"/>
          <w:w w:val="105"/>
        </w:rPr>
        <w:t>derechos</w:t>
      </w:r>
      <w:r>
        <w:rPr>
          <w:color w:val="231F20"/>
          <w:spacing w:val="-15"/>
          <w:w w:val="105"/>
        </w:rPr>
        <w:t> </w:t>
      </w:r>
      <w:r>
        <w:rPr>
          <w:color w:val="231F20"/>
          <w:w w:val="105"/>
        </w:rPr>
        <w:t>humanos,</w:t>
      </w:r>
      <w:r>
        <w:rPr>
          <w:color w:val="231F20"/>
          <w:spacing w:val="-20"/>
          <w:w w:val="105"/>
        </w:rPr>
        <w:t> </w:t>
      </w:r>
      <w:r>
        <w:rPr>
          <w:color w:val="231F20"/>
          <w:w w:val="105"/>
        </w:rPr>
        <w:t>por</w:t>
      </w:r>
      <w:r>
        <w:rPr>
          <w:color w:val="231F20"/>
          <w:spacing w:val="-15"/>
          <w:w w:val="105"/>
        </w:rPr>
        <w:t> </w:t>
      </w:r>
      <w:r>
        <w:rPr>
          <w:color w:val="231F20"/>
          <w:w w:val="105"/>
        </w:rPr>
        <w:t>me- dio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cual</w:t>
      </w:r>
      <w:r>
        <w:rPr>
          <w:color w:val="231F20"/>
          <w:spacing w:val="-5"/>
          <w:w w:val="105"/>
        </w:rPr>
        <w:t> </w:t>
      </w:r>
      <w:r>
        <w:rPr>
          <w:color w:val="231F20"/>
          <w:w w:val="105"/>
        </w:rPr>
        <w:t>estos</w:t>
      </w:r>
      <w:r>
        <w:rPr>
          <w:color w:val="231F20"/>
          <w:spacing w:val="-5"/>
          <w:w w:val="105"/>
        </w:rPr>
        <w:t> </w:t>
      </w:r>
      <w:r>
        <w:rPr>
          <w:color w:val="231F20"/>
          <w:w w:val="105"/>
        </w:rPr>
        <w:t>son</w:t>
      </w:r>
      <w:r>
        <w:rPr>
          <w:color w:val="231F20"/>
          <w:spacing w:val="-5"/>
          <w:w w:val="105"/>
        </w:rPr>
        <w:t> </w:t>
      </w:r>
      <w:r>
        <w:rPr>
          <w:color w:val="231F20"/>
          <w:w w:val="105"/>
        </w:rPr>
        <w:t>elevados</w:t>
      </w:r>
      <w:r>
        <w:rPr>
          <w:color w:val="231F20"/>
          <w:spacing w:val="-5"/>
          <w:w w:val="105"/>
        </w:rPr>
        <w:t> </w:t>
      </w:r>
      <w:r>
        <w:rPr>
          <w:color w:val="231F20"/>
          <w:w w:val="105"/>
        </w:rPr>
        <w:t>a</w:t>
      </w:r>
      <w:r>
        <w:rPr>
          <w:color w:val="231F20"/>
          <w:spacing w:val="-5"/>
          <w:w w:val="105"/>
        </w:rPr>
        <w:t> </w:t>
      </w:r>
      <w:r>
        <w:rPr>
          <w:color w:val="231F20"/>
          <w:w w:val="105"/>
        </w:rPr>
        <w:t>rango</w:t>
      </w:r>
      <w:r>
        <w:rPr>
          <w:color w:val="231F20"/>
          <w:spacing w:val="-5"/>
          <w:w w:val="105"/>
        </w:rPr>
        <w:t> </w:t>
      </w:r>
      <w:r>
        <w:rPr>
          <w:color w:val="231F20"/>
          <w:w w:val="105"/>
        </w:rPr>
        <w:t>constitucional,</w:t>
      </w:r>
      <w:r>
        <w:rPr>
          <w:color w:val="231F20"/>
          <w:spacing w:val="-12"/>
          <w:w w:val="105"/>
        </w:rPr>
        <w:t> </w:t>
      </w:r>
      <w:r>
        <w:rPr>
          <w:color w:val="231F20"/>
          <w:w w:val="105"/>
        </w:rPr>
        <w:t>protegidos</w:t>
      </w:r>
      <w:r>
        <w:rPr>
          <w:color w:val="231F20"/>
          <w:spacing w:val="-5"/>
          <w:w w:val="105"/>
        </w:rPr>
        <w:t> </w:t>
      </w:r>
      <w:r>
        <w:rPr>
          <w:color w:val="231F20"/>
          <w:w w:val="105"/>
        </w:rPr>
        <w:t>por tratados internacionales ratificados por México. En el párrafo segundo del</w:t>
      </w:r>
      <w:r>
        <w:rPr>
          <w:color w:val="231F20"/>
          <w:spacing w:val="-16"/>
          <w:w w:val="105"/>
        </w:rPr>
        <w:t> </w:t>
      </w:r>
      <w:r>
        <w:rPr>
          <w:color w:val="231F20"/>
          <w:w w:val="105"/>
        </w:rPr>
        <w:t>artículo</w:t>
      </w:r>
      <w:r>
        <w:rPr>
          <w:color w:val="231F20"/>
          <w:spacing w:val="-16"/>
          <w:w w:val="105"/>
        </w:rPr>
        <w:t> </w:t>
      </w:r>
      <w:r>
        <w:rPr>
          <w:color w:val="231F20"/>
          <w:w w:val="105"/>
        </w:rPr>
        <w:t>primero</w:t>
      </w:r>
      <w:r>
        <w:rPr>
          <w:color w:val="231F20"/>
          <w:spacing w:val="-16"/>
          <w:w w:val="105"/>
        </w:rPr>
        <w:t> </w:t>
      </w:r>
      <w:r>
        <w:rPr>
          <w:color w:val="231F20"/>
          <w:w w:val="105"/>
        </w:rPr>
        <w:t>constitucional,</w:t>
      </w:r>
      <w:r>
        <w:rPr>
          <w:color w:val="231F20"/>
          <w:spacing w:val="-22"/>
          <w:w w:val="105"/>
        </w:rPr>
        <w:t> </w:t>
      </w:r>
      <w:r>
        <w:rPr>
          <w:color w:val="231F20"/>
          <w:w w:val="105"/>
        </w:rPr>
        <w:t>se</w:t>
      </w:r>
      <w:r>
        <w:rPr>
          <w:color w:val="231F20"/>
          <w:spacing w:val="-16"/>
          <w:w w:val="105"/>
        </w:rPr>
        <w:t> </w:t>
      </w:r>
      <w:r>
        <w:rPr>
          <w:color w:val="231F20"/>
          <w:w w:val="105"/>
        </w:rPr>
        <w:t>establece</w:t>
      </w:r>
      <w:r>
        <w:rPr>
          <w:color w:val="231F20"/>
          <w:spacing w:val="-16"/>
          <w:w w:val="105"/>
        </w:rPr>
        <w:t> </w:t>
      </w:r>
      <w:r>
        <w:rPr>
          <w:color w:val="231F20"/>
          <w:w w:val="105"/>
        </w:rPr>
        <w:t>la</w:t>
      </w:r>
      <w:r>
        <w:rPr>
          <w:color w:val="231F20"/>
          <w:spacing w:val="-16"/>
          <w:w w:val="105"/>
        </w:rPr>
        <w:t> </w:t>
      </w:r>
      <w:r>
        <w:rPr>
          <w:color w:val="231F20"/>
          <w:w w:val="105"/>
        </w:rPr>
        <w:t>protección</w:t>
      </w:r>
      <w:r>
        <w:rPr>
          <w:color w:val="231F20"/>
          <w:spacing w:val="-16"/>
          <w:w w:val="105"/>
        </w:rPr>
        <w:t> </w:t>
      </w:r>
      <w:r>
        <w:rPr>
          <w:color w:val="231F20"/>
          <w:w w:val="105"/>
        </w:rPr>
        <w:t>efectiva</w:t>
      </w:r>
      <w:r>
        <w:rPr>
          <w:color w:val="231F20"/>
          <w:spacing w:val="-16"/>
          <w:w w:val="105"/>
        </w:rPr>
        <w:t> </w:t>
      </w:r>
      <w:r>
        <w:rPr>
          <w:color w:val="231F20"/>
          <w:w w:val="105"/>
        </w:rPr>
        <w:t>en materia de derechos fundamentales a las personas y la obligación del Estado</w:t>
      </w:r>
      <w:r>
        <w:rPr>
          <w:color w:val="231F20"/>
          <w:spacing w:val="-23"/>
          <w:w w:val="105"/>
        </w:rPr>
        <w:t> </w:t>
      </w:r>
      <w:r>
        <w:rPr>
          <w:color w:val="231F20"/>
          <w:w w:val="105"/>
        </w:rPr>
        <w:t>para</w:t>
      </w:r>
      <w:r>
        <w:rPr>
          <w:color w:val="231F20"/>
          <w:spacing w:val="-23"/>
          <w:w w:val="105"/>
        </w:rPr>
        <w:t> </w:t>
      </w:r>
      <w:r>
        <w:rPr>
          <w:color w:val="231F20"/>
          <w:w w:val="105"/>
        </w:rPr>
        <w:t>garantizar</w:t>
      </w:r>
      <w:r>
        <w:rPr>
          <w:color w:val="231F20"/>
          <w:spacing w:val="-23"/>
          <w:w w:val="105"/>
        </w:rPr>
        <w:t> </w:t>
      </w:r>
      <w:r>
        <w:rPr>
          <w:color w:val="231F20"/>
          <w:w w:val="105"/>
        </w:rPr>
        <w:t>el</w:t>
      </w:r>
      <w:r>
        <w:rPr>
          <w:color w:val="231F20"/>
          <w:spacing w:val="-23"/>
          <w:w w:val="105"/>
        </w:rPr>
        <w:t> </w:t>
      </w:r>
      <w:r>
        <w:rPr>
          <w:color w:val="231F20"/>
          <w:w w:val="105"/>
        </w:rPr>
        <w:t>cumplimiento</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mismas.</w:t>
      </w:r>
    </w:p>
    <w:p>
      <w:pPr>
        <w:pStyle w:val="BodyText"/>
        <w:spacing w:line="261" w:lineRule="auto" w:before="1"/>
        <w:ind w:left="1837" w:right="1721" w:firstLine="567"/>
        <w:jc w:val="both"/>
      </w:pPr>
      <w:r>
        <w:rPr>
          <w:color w:val="231F20"/>
          <w:w w:val="105"/>
        </w:rPr>
        <w:t>Bajo esta línea </w:t>
      </w:r>
      <w:r>
        <w:rPr>
          <w:color w:val="231F20"/>
          <w:spacing w:val="-3"/>
          <w:w w:val="105"/>
        </w:rPr>
        <w:t>argumentativa, </w:t>
      </w:r>
      <w:r>
        <w:rPr>
          <w:color w:val="231F20"/>
          <w:w w:val="105"/>
        </w:rPr>
        <w:t>y en armonía con lo estipulado </w:t>
      </w:r>
      <w:r>
        <w:rPr>
          <w:color w:val="231F20"/>
          <w:spacing w:val="-2"/>
          <w:w w:val="105"/>
        </w:rPr>
        <w:t>por </w:t>
      </w:r>
      <w:r>
        <w:rPr>
          <w:color w:val="231F20"/>
          <w:w w:val="105"/>
        </w:rPr>
        <w:t>el</w:t>
      </w:r>
      <w:r>
        <w:rPr>
          <w:color w:val="231F20"/>
          <w:spacing w:val="-13"/>
          <w:w w:val="105"/>
        </w:rPr>
        <w:t> </w:t>
      </w:r>
      <w:r>
        <w:rPr>
          <w:color w:val="231F20"/>
          <w:w w:val="105"/>
        </w:rPr>
        <w:t>artículo</w:t>
      </w:r>
      <w:r>
        <w:rPr>
          <w:color w:val="231F20"/>
          <w:spacing w:val="-13"/>
          <w:w w:val="105"/>
        </w:rPr>
        <w:t> </w:t>
      </w:r>
      <w:r>
        <w:rPr>
          <w:color w:val="231F20"/>
          <w:w w:val="105"/>
        </w:rPr>
        <w:t>3.1</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Convención</w:t>
      </w:r>
      <w:r>
        <w:rPr>
          <w:color w:val="231F20"/>
          <w:spacing w:val="-13"/>
          <w:w w:val="105"/>
        </w:rPr>
        <w:t> </w:t>
      </w:r>
      <w:r>
        <w:rPr>
          <w:color w:val="231F20"/>
          <w:spacing w:val="-3"/>
          <w:w w:val="105"/>
        </w:rPr>
        <w:t>sobre</w:t>
      </w:r>
      <w:r>
        <w:rPr>
          <w:color w:val="231F20"/>
          <w:spacing w:val="-13"/>
          <w:w w:val="105"/>
        </w:rPr>
        <w:t> </w:t>
      </w:r>
      <w:r>
        <w:rPr>
          <w:color w:val="231F20"/>
          <w:w w:val="105"/>
        </w:rPr>
        <w:t>los</w:t>
      </w:r>
      <w:r>
        <w:rPr>
          <w:color w:val="231F20"/>
          <w:spacing w:val="-13"/>
          <w:w w:val="105"/>
        </w:rPr>
        <w:t> </w:t>
      </w:r>
      <w:r>
        <w:rPr>
          <w:color w:val="231F20"/>
          <w:spacing w:val="-3"/>
          <w:w w:val="105"/>
        </w:rPr>
        <w:t>Derechos</w:t>
      </w:r>
      <w:r>
        <w:rPr>
          <w:color w:val="231F20"/>
          <w:spacing w:val="-13"/>
          <w:w w:val="105"/>
        </w:rPr>
        <w:t> </w:t>
      </w:r>
      <w:r>
        <w:rPr>
          <w:color w:val="231F20"/>
          <w:w w:val="105"/>
        </w:rPr>
        <w:t>del</w:t>
      </w:r>
      <w:r>
        <w:rPr>
          <w:color w:val="231F20"/>
          <w:spacing w:val="-13"/>
          <w:w w:val="105"/>
        </w:rPr>
        <w:t> </w:t>
      </w:r>
      <w:r>
        <w:rPr>
          <w:color w:val="231F20"/>
          <w:w w:val="105"/>
        </w:rPr>
        <w:t>Niño,</w:t>
      </w:r>
      <w:r>
        <w:rPr>
          <w:color w:val="231F20"/>
          <w:spacing w:val="-18"/>
          <w:w w:val="105"/>
        </w:rPr>
        <w:t> </w:t>
      </w:r>
      <w:r>
        <w:rPr>
          <w:color w:val="231F20"/>
          <w:w w:val="105"/>
        </w:rPr>
        <w:t>el</w:t>
      </w:r>
      <w:r>
        <w:rPr>
          <w:color w:val="231F20"/>
          <w:spacing w:val="-13"/>
          <w:w w:val="105"/>
        </w:rPr>
        <w:t> </w:t>
      </w:r>
      <w:r>
        <w:rPr>
          <w:color w:val="231F20"/>
          <w:w w:val="105"/>
        </w:rPr>
        <w:t>principio del </w:t>
      </w:r>
      <w:r>
        <w:rPr>
          <w:color w:val="231F20"/>
          <w:spacing w:val="-3"/>
          <w:w w:val="105"/>
        </w:rPr>
        <w:t>interés </w:t>
      </w:r>
      <w:r>
        <w:rPr>
          <w:color w:val="231F20"/>
          <w:w w:val="105"/>
        </w:rPr>
        <w:t>de la niñez se </w:t>
      </w:r>
      <w:r>
        <w:rPr>
          <w:color w:val="231F20"/>
          <w:spacing w:val="-2"/>
          <w:w w:val="105"/>
        </w:rPr>
        <w:t>encuentra </w:t>
      </w:r>
      <w:r>
        <w:rPr>
          <w:color w:val="231F20"/>
          <w:spacing w:val="-3"/>
          <w:w w:val="105"/>
        </w:rPr>
        <w:t>reconocido </w:t>
      </w:r>
      <w:r>
        <w:rPr>
          <w:color w:val="231F20"/>
          <w:w w:val="105"/>
        </w:rPr>
        <w:t>en el </w:t>
      </w:r>
      <w:r>
        <w:rPr>
          <w:color w:val="231F20"/>
          <w:spacing w:val="-3"/>
          <w:w w:val="105"/>
        </w:rPr>
        <w:t>propio </w:t>
      </w:r>
      <w:r>
        <w:rPr>
          <w:color w:val="231F20"/>
          <w:w w:val="105"/>
        </w:rPr>
        <w:t>texto cons- titucional,</w:t>
      </w:r>
      <w:r>
        <w:rPr>
          <w:color w:val="231F20"/>
          <w:spacing w:val="-9"/>
          <w:w w:val="105"/>
        </w:rPr>
        <w:t> </w:t>
      </w:r>
      <w:r>
        <w:rPr>
          <w:color w:val="231F20"/>
          <w:w w:val="105"/>
        </w:rPr>
        <w:t>específicamente</w:t>
      </w:r>
      <w:r>
        <w:rPr>
          <w:color w:val="231F20"/>
          <w:spacing w:val="-5"/>
          <w:w w:val="105"/>
        </w:rPr>
        <w:t> </w:t>
      </w:r>
      <w:r>
        <w:rPr>
          <w:color w:val="231F20"/>
          <w:w w:val="105"/>
        </w:rPr>
        <w:t>su</w:t>
      </w:r>
      <w:r>
        <w:rPr>
          <w:color w:val="231F20"/>
          <w:spacing w:val="-5"/>
          <w:w w:val="105"/>
        </w:rPr>
        <w:t> </w:t>
      </w:r>
      <w:r>
        <w:rPr>
          <w:color w:val="231F20"/>
          <w:w w:val="105"/>
        </w:rPr>
        <w:t>artículo</w:t>
      </w:r>
      <w:r>
        <w:rPr>
          <w:color w:val="231F20"/>
          <w:spacing w:val="-5"/>
          <w:w w:val="105"/>
        </w:rPr>
        <w:t> </w:t>
      </w:r>
      <w:r>
        <w:rPr>
          <w:color w:val="231F20"/>
          <w:w w:val="105"/>
        </w:rPr>
        <w:t>4,</w:t>
      </w:r>
      <w:r>
        <w:rPr>
          <w:color w:val="231F20"/>
          <w:spacing w:val="-9"/>
          <w:w w:val="105"/>
        </w:rPr>
        <w:t> </w:t>
      </w:r>
      <w:r>
        <w:rPr>
          <w:color w:val="231F20"/>
          <w:w w:val="105"/>
        </w:rPr>
        <w:t>párrafo</w:t>
      </w:r>
      <w:r>
        <w:rPr>
          <w:color w:val="231F20"/>
          <w:spacing w:val="-5"/>
          <w:w w:val="105"/>
        </w:rPr>
        <w:t> </w:t>
      </w:r>
      <w:r>
        <w:rPr>
          <w:color w:val="231F20"/>
          <w:w w:val="105"/>
        </w:rPr>
        <w:t>noveno,</w:t>
      </w:r>
      <w:r>
        <w:rPr>
          <w:color w:val="231F20"/>
          <w:spacing w:val="-9"/>
          <w:w w:val="105"/>
        </w:rPr>
        <w:t> </w:t>
      </w:r>
      <w:r>
        <w:rPr>
          <w:color w:val="231F20"/>
          <w:w w:val="105"/>
        </w:rPr>
        <w:t>que</w:t>
      </w:r>
      <w:r>
        <w:rPr>
          <w:color w:val="231F20"/>
          <w:spacing w:val="-5"/>
          <w:w w:val="105"/>
        </w:rPr>
        <w:t> </w:t>
      </w:r>
      <w:r>
        <w:rPr>
          <w:color w:val="231F20"/>
          <w:w w:val="105"/>
        </w:rPr>
        <w:t>establece que</w:t>
      </w:r>
      <w:r>
        <w:rPr>
          <w:color w:val="231F20"/>
          <w:spacing w:val="-36"/>
          <w:w w:val="105"/>
        </w:rPr>
        <w:t> </w:t>
      </w:r>
      <w:r>
        <w:rPr>
          <w:color w:val="231F20"/>
          <w:w w:val="105"/>
        </w:rPr>
        <w:t>en</w:t>
      </w:r>
      <w:r>
        <w:rPr>
          <w:color w:val="231F20"/>
          <w:spacing w:val="-36"/>
          <w:w w:val="105"/>
        </w:rPr>
        <w:t> </w:t>
      </w:r>
      <w:r>
        <w:rPr>
          <w:color w:val="231F20"/>
          <w:w w:val="105"/>
        </w:rPr>
        <w:t>todas</w:t>
      </w:r>
      <w:r>
        <w:rPr>
          <w:color w:val="231F20"/>
          <w:spacing w:val="-36"/>
          <w:w w:val="105"/>
        </w:rPr>
        <w:t> </w:t>
      </w:r>
      <w:r>
        <w:rPr>
          <w:color w:val="231F20"/>
          <w:w w:val="105"/>
        </w:rPr>
        <w:t>las</w:t>
      </w:r>
      <w:r>
        <w:rPr>
          <w:color w:val="231F20"/>
          <w:spacing w:val="-36"/>
          <w:w w:val="105"/>
        </w:rPr>
        <w:t> </w:t>
      </w:r>
      <w:r>
        <w:rPr>
          <w:color w:val="231F20"/>
          <w:w w:val="105"/>
        </w:rPr>
        <w:t>decisiones</w:t>
      </w:r>
      <w:r>
        <w:rPr>
          <w:color w:val="231F20"/>
          <w:spacing w:val="-36"/>
          <w:w w:val="105"/>
        </w:rPr>
        <w:t> </w:t>
      </w:r>
      <w:r>
        <w:rPr>
          <w:color w:val="231F20"/>
          <w:w w:val="105"/>
        </w:rPr>
        <w:t>y</w:t>
      </w:r>
      <w:r>
        <w:rPr>
          <w:color w:val="231F20"/>
          <w:spacing w:val="-36"/>
          <w:w w:val="105"/>
        </w:rPr>
        <w:t> </w:t>
      </w:r>
      <w:r>
        <w:rPr>
          <w:color w:val="231F20"/>
          <w:w w:val="105"/>
        </w:rPr>
        <w:t>actuaciones</w:t>
      </w:r>
      <w:r>
        <w:rPr>
          <w:color w:val="231F20"/>
          <w:spacing w:val="-36"/>
          <w:w w:val="105"/>
        </w:rPr>
        <w:t> </w:t>
      </w:r>
      <w:r>
        <w:rPr>
          <w:color w:val="231F20"/>
          <w:w w:val="105"/>
        </w:rPr>
        <w:t>llevadas</w:t>
      </w:r>
      <w:r>
        <w:rPr>
          <w:color w:val="231F20"/>
          <w:spacing w:val="-36"/>
          <w:w w:val="105"/>
        </w:rPr>
        <w:t> </w:t>
      </w:r>
      <w:r>
        <w:rPr>
          <w:color w:val="231F20"/>
          <w:w w:val="105"/>
        </w:rPr>
        <w:t>a</w:t>
      </w:r>
      <w:r>
        <w:rPr>
          <w:color w:val="231F20"/>
          <w:spacing w:val="-36"/>
          <w:w w:val="105"/>
        </w:rPr>
        <w:t> </w:t>
      </w:r>
      <w:r>
        <w:rPr>
          <w:color w:val="231F20"/>
          <w:w w:val="105"/>
        </w:rPr>
        <w:t>cabo</w:t>
      </w:r>
      <w:r>
        <w:rPr>
          <w:color w:val="231F20"/>
          <w:spacing w:val="-36"/>
          <w:w w:val="105"/>
        </w:rPr>
        <w:t> </w:t>
      </w:r>
      <w:r>
        <w:rPr>
          <w:color w:val="231F20"/>
          <w:w w:val="105"/>
        </w:rPr>
        <w:t>por</w:t>
      </w:r>
      <w:r>
        <w:rPr>
          <w:color w:val="231F20"/>
          <w:spacing w:val="-36"/>
          <w:w w:val="105"/>
        </w:rPr>
        <w:t> </w:t>
      </w:r>
      <w:r>
        <w:rPr>
          <w:color w:val="231F20"/>
          <w:w w:val="105"/>
        </w:rPr>
        <w:t>el</w:t>
      </w:r>
      <w:r>
        <w:rPr>
          <w:color w:val="231F20"/>
          <w:spacing w:val="-36"/>
          <w:w w:val="105"/>
        </w:rPr>
        <w:t> </w:t>
      </w:r>
      <w:r>
        <w:rPr>
          <w:color w:val="231F20"/>
          <w:w w:val="105"/>
        </w:rPr>
        <w:t>Estado</w:t>
      </w:r>
      <w:r>
        <w:rPr>
          <w:color w:val="231F20"/>
          <w:spacing w:val="-36"/>
          <w:w w:val="105"/>
        </w:rPr>
        <w:t> </w:t>
      </w:r>
      <w:r>
        <w:rPr>
          <w:color w:val="231F20"/>
          <w:w w:val="105"/>
        </w:rPr>
        <w:t>se </w:t>
      </w:r>
      <w:r>
        <w:rPr>
          <w:color w:val="231F20"/>
          <w:spacing w:val="-2"/>
          <w:w w:val="105"/>
        </w:rPr>
        <w:t>velará</w:t>
      </w:r>
      <w:r>
        <w:rPr>
          <w:color w:val="231F20"/>
          <w:spacing w:val="-21"/>
          <w:w w:val="105"/>
        </w:rPr>
        <w:t> </w:t>
      </w:r>
      <w:r>
        <w:rPr>
          <w:color w:val="231F20"/>
          <w:w w:val="105"/>
        </w:rPr>
        <w:t>y</w:t>
      </w:r>
      <w:r>
        <w:rPr>
          <w:color w:val="231F20"/>
          <w:spacing w:val="-21"/>
          <w:w w:val="105"/>
        </w:rPr>
        <w:t> </w:t>
      </w:r>
      <w:r>
        <w:rPr>
          <w:color w:val="231F20"/>
          <w:w w:val="105"/>
        </w:rPr>
        <w:t>cumplirá</w:t>
      </w:r>
      <w:r>
        <w:rPr>
          <w:color w:val="231F20"/>
          <w:spacing w:val="-21"/>
          <w:w w:val="105"/>
        </w:rPr>
        <w:t> </w:t>
      </w:r>
      <w:r>
        <w:rPr>
          <w:color w:val="231F20"/>
          <w:w w:val="105"/>
        </w:rPr>
        <w:t>el</w:t>
      </w:r>
      <w:r>
        <w:rPr>
          <w:color w:val="231F20"/>
          <w:spacing w:val="-21"/>
          <w:w w:val="105"/>
        </w:rPr>
        <w:t> </w:t>
      </w:r>
      <w:r>
        <w:rPr>
          <w:color w:val="231F20"/>
          <w:w w:val="105"/>
        </w:rPr>
        <w:t>principio</w:t>
      </w:r>
      <w:r>
        <w:rPr>
          <w:color w:val="231F20"/>
          <w:spacing w:val="-21"/>
          <w:w w:val="105"/>
        </w:rPr>
        <w:t> </w:t>
      </w:r>
      <w:r>
        <w:rPr>
          <w:color w:val="231F20"/>
          <w:spacing w:val="-3"/>
          <w:w w:val="105"/>
        </w:rPr>
        <w:t>rector</w:t>
      </w:r>
      <w:r>
        <w:rPr>
          <w:color w:val="231F20"/>
          <w:spacing w:val="-21"/>
          <w:w w:val="105"/>
        </w:rPr>
        <w:t> </w:t>
      </w:r>
      <w:r>
        <w:rPr>
          <w:color w:val="231F20"/>
          <w:w w:val="105"/>
        </w:rPr>
        <w:t>de</w:t>
      </w:r>
      <w:r>
        <w:rPr>
          <w:color w:val="231F20"/>
          <w:spacing w:val="-21"/>
          <w:w w:val="105"/>
        </w:rPr>
        <w:t> </w:t>
      </w:r>
      <w:r>
        <w:rPr>
          <w:color w:val="231F20"/>
          <w:w w:val="105"/>
        </w:rPr>
        <w:t>mérito,</w:t>
      </w:r>
      <w:r>
        <w:rPr>
          <w:color w:val="231F20"/>
          <w:spacing w:val="-26"/>
          <w:w w:val="105"/>
        </w:rPr>
        <w:t> </w:t>
      </w:r>
      <w:r>
        <w:rPr>
          <w:color w:val="231F20"/>
          <w:w w:val="105"/>
        </w:rPr>
        <w:t>con</w:t>
      </w:r>
      <w:r>
        <w:rPr>
          <w:color w:val="231F20"/>
          <w:spacing w:val="-21"/>
          <w:w w:val="105"/>
        </w:rPr>
        <w:t> </w:t>
      </w:r>
      <w:r>
        <w:rPr>
          <w:color w:val="231F20"/>
          <w:w w:val="105"/>
        </w:rPr>
        <w:t>la</w:t>
      </w:r>
      <w:r>
        <w:rPr>
          <w:color w:val="231F20"/>
          <w:spacing w:val="-21"/>
          <w:w w:val="105"/>
        </w:rPr>
        <w:t> </w:t>
      </w:r>
      <w:r>
        <w:rPr>
          <w:color w:val="231F20"/>
          <w:w w:val="105"/>
        </w:rPr>
        <w:t>finalidad</w:t>
      </w:r>
      <w:r>
        <w:rPr>
          <w:color w:val="231F20"/>
          <w:spacing w:val="-21"/>
          <w:w w:val="105"/>
        </w:rPr>
        <w:t> </w:t>
      </w:r>
      <w:r>
        <w:rPr>
          <w:color w:val="231F20"/>
          <w:w w:val="105"/>
        </w:rPr>
        <w:t>que</w:t>
      </w:r>
      <w:r>
        <w:rPr>
          <w:color w:val="231F20"/>
          <w:spacing w:val="-21"/>
          <w:w w:val="105"/>
        </w:rPr>
        <w:t> </w:t>
      </w:r>
      <w:r>
        <w:rPr>
          <w:color w:val="231F20"/>
          <w:w w:val="105"/>
        </w:rPr>
        <w:t>los</w:t>
      </w:r>
      <w:r>
        <w:rPr>
          <w:color w:val="231F20"/>
          <w:spacing w:val="-21"/>
          <w:w w:val="105"/>
        </w:rPr>
        <w:t> </w:t>
      </w:r>
      <w:r>
        <w:rPr>
          <w:color w:val="231F20"/>
          <w:w w:val="105"/>
          <w:sz w:val="17"/>
        </w:rPr>
        <w:t>NNA </w:t>
      </w:r>
      <w:r>
        <w:rPr>
          <w:color w:val="231F20"/>
          <w:spacing w:val="-3"/>
          <w:w w:val="105"/>
        </w:rPr>
        <w:t>logren</w:t>
      </w:r>
      <w:r>
        <w:rPr>
          <w:color w:val="231F20"/>
          <w:spacing w:val="-11"/>
          <w:w w:val="105"/>
        </w:rPr>
        <w:t> </w:t>
      </w:r>
      <w:r>
        <w:rPr>
          <w:color w:val="231F20"/>
          <w:w w:val="105"/>
        </w:rPr>
        <w:t>su</w:t>
      </w:r>
      <w:r>
        <w:rPr>
          <w:color w:val="231F20"/>
          <w:spacing w:val="-11"/>
          <w:w w:val="105"/>
        </w:rPr>
        <w:t> </w:t>
      </w:r>
      <w:r>
        <w:rPr>
          <w:color w:val="231F20"/>
          <w:w w:val="105"/>
        </w:rPr>
        <w:t>pleno</w:t>
      </w:r>
      <w:r>
        <w:rPr>
          <w:color w:val="231F20"/>
          <w:spacing w:val="-11"/>
          <w:w w:val="105"/>
        </w:rPr>
        <w:t> </w:t>
      </w:r>
      <w:r>
        <w:rPr>
          <w:color w:val="231F20"/>
          <w:spacing w:val="-3"/>
          <w:w w:val="105"/>
        </w:rPr>
        <w:t>desarrollo.</w:t>
      </w:r>
      <w:r>
        <w:rPr>
          <w:color w:val="231F20"/>
          <w:spacing w:val="-20"/>
          <w:w w:val="105"/>
        </w:rPr>
        <w:t> </w:t>
      </w:r>
      <w:r>
        <w:rPr>
          <w:color w:val="231F20"/>
          <w:spacing w:val="-2"/>
          <w:w w:val="105"/>
        </w:rPr>
        <w:t>Asimismo,</w:t>
      </w:r>
      <w:r>
        <w:rPr>
          <w:color w:val="231F20"/>
          <w:spacing w:val="-17"/>
          <w:w w:val="105"/>
        </w:rPr>
        <w:t> </w:t>
      </w:r>
      <w:r>
        <w:rPr>
          <w:color w:val="231F20"/>
          <w:w w:val="105"/>
        </w:rPr>
        <w:t>señala</w:t>
      </w:r>
      <w:r>
        <w:rPr>
          <w:color w:val="231F20"/>
          <w:spacing w:val="-11"/>
          <w:w w:val="105"/>
        </w:rPr>
        <w:t> </w:t>
      </w:r>
      <w:r>
        <w:rPr>
          <w:color w:val="231F20"/>
          <w:w w:val="105"/>
        </w:rPr>
        <w:t>que</w:t>
      </w:r>
      <w:r>
        <w:rPr>
          <w:color w:val="231F20"/>
          <w:spacing w:val="-11"/>
          <w:w w:val="105"/>
        </w:rPr>
        <w:t> </w:t>
      </w:r>
      <w:r>
        <w:rPr>
          <w:color w:val="231F20"/>
          <w:w w:val="105"/>
        </w:rPr>
        <w:t>este</w:t>
      </w:r>
      <w:r>
        <w:rPr>
          <w:color w:val="231F20"/>
          <w:spacing w:val="-11"/>
          <w:w w:val="105"/>
        </w:rPr>
        <w:t> </w:t>
      </w:r>
      <w:r>
        <w:rPr>
          <w:color w:val="231F20"/>
          <w:w w:val="105"/>
        </w:rPr>
        <w:t>principio</w:t>
      </w:r>
      <w:r>
        <w:rPr>
          <w:color w:val="231F20"/>
          <w:spacing w:val="-11"/>
          <w:w w:val="105"/>
        </w:rPr>
        <w:t> </w:t>
      </w:r>
      <w:r>
        <w:rPr>
          <w:color w:val="231F20"/>
          <w:spacing w:val="-2"/>
          <w:w w:val="105"/>
        </w:rPr>
        <w:t>guiará</w:t>
      </w:r>
      <w:r>
        <w:rPr>
          <w:color w:val="231F20"/>
          <w:spacing w:val="-11"/>
          <w:w w:val="105"/>
        </w:rPr>
        <w:t> </w:t>
      </w:r>
      <w:r>
        <w:rPr>
          <w:color w:val="231F20"/>
          <w:w w:val="105"/>
        </w:rPr>
        <w:t>el diseño,</w:t>
      </w:r>
      <w:r>
        <w:rPr>
          <w:color w:val="231F20"/>
          <w:spacing w:val="-18"/>
          <w:w w:val="105"/>
        </w:rPr>
        <w:t> </w:t>
      </w:r>
      <w:r>
        <w:rPr>
          <w:color w:val="231F20"/>
          <w:w w:val="105"/>
        </w:rPr>
        <w:t>ejecución,</w:t>
      </w:r>
      <w:r>
        <w:rPr>
          <w:color w:val="231F20"/>
          <w:spacing w:val="-18"/>
          <w:w w:val="105"/>
        </w:rPr>
        <w:t> </w:t>
      </w:r>
      <w:r>
        <w:rPr>
          <w:color w:val="231F20"/>
          <w:w w:val="105"/>
        </w:rPr>
        <w:t>seguimiento</w:t>
      </w:r>
      <w:r>
        <w:rPr>
          <w:color w:val="231F20"/>
          <w:spacing w:val="-13"/>
          <w:w w:val="105"/>
        </w:rPr>
        <w:t> </w:t>
      </w:r>
      <w:r>
        <w:rPr>
          <w:color w:val="231F20"/>
          <w:w w:val="105"/>
        </w:rPr>
        <w:t>y</w:t>
      </w:r>
      <w:r>
        <w:rPr>
          <w:color w:val="231F20"/>
          <w:spacing w:val="-13"/>
          <w:w w:val="105"/>
        </w:rPr>
        <w:t> </w:t>
      </w:r>
      <w:r>
        <w:rPr>
          <w:color w:val="231F20"/>
          <w:w w:val="105"/>
        </w:rPr>
        <w:t>evaluación</w:t>
      </w:r>
      <w:r>
        <w:rPr>
          <w:color w:val="231F20"/>
          <w:spacing w:val="-13"/>
          <w:w w:val="105"/>
        </w:rPr>
        <w:t> </w:t>
      </w:r>
      <w:r>
        <w:rPr>
          <w:color w:val="231F20"/>
          <w:w w:val="105"/>
        </w:rPr>
        <w:t>de</w:t>
      </w:r>
      <w:r>
        <w:rPr>
          <w:color w:val="231F20"/>
          <w:spacing w:val="-13"/>
          <w:w w:val="105"/>
        </w:rPr>
        <w:t> </w:t>
      </w:r>
      <w:r>
        <w:rPr>
          <w:color w:val="231F20"/>
          <w:w w:val="105"/>
        </w:rPr>
        <w:t>todas</w:t>
      </w:r>
      <w:r>
        <w:rPr>
          <w:color w:val="231F20"/>
          <w:spacing w:val="-13"/>
          <w:w w:val="105"/>
        </w:rPr>
        <w:t> </w:t>
      </w:r>
      <w:r>
        <w:rPr>
          <w:color w:val="231F20"/>
          <w:w w:val="105"/>
        </w:rPr>
        <w:t>las</w:t>
      </w:r>
      <w:r>
        <w:rPr>
          <w:color w:val="231F20"/>
          <w:spacing w:val="-13"/>
          <w:w w:val="105"/>
        </w:rPr>
        <w:t> </w:t>
      </w:r>
      <w:r>
        <w:rPr>
          <w:color w:val="231F20"/>
          <w:w w:val="105"/>
        </w:rPr>
        <w:t>políticas</w:t>
      </w:r>
      <w:r>
        <w:rPr>
          <w:color w:val="231F20"/>
          <w:spacing w:val="-13"/>
          <w:w w:val="105"/>
        </w:rPr>
        <w:t> </w:t>
      </w:r>
      <w:r>
        <w:rPr>
          <w:color w:val="231F20"/>
          <w:w w:val="105"/>
        </w:rPr>
        <w:t>públi- cas</w:t>
      </w:r>
      <w:r>
        <w:rPr>
          <w:color w:val="231F20"/>
          <w:spacing w:val="-19"/>
          <w:w w:val="105"/>
        </w:rPr>
        <w:t> </w:t>
      </w:r>
      <w:r>
        <w:rPr>
          <w:color w:val="231F20"/>
          <w:w w:val="105"/>
        </w:rPr>
        <w:t>que</w:t>
      </w:r>
      <w:r>
        <w:rPr>
          <w:color w:val="231F20"/>
          <w:spacing w:val="-19"/>
          <w:w w:val="105"/>
        </w:rPr>
        <w:t> </w:t>
      </w:r>
      <w:r>
        <w:rPr>
          <w:color w:val="231F20"/>
          <w:w w:val="105"/>
        </w:rPr>
        <w:t>tutelen</w:t>
      </w:r>
      <w:r>
        <w:rPr>
          <w:color w:val="231F20"/>
          <w:spacing w:val="-19"/>
          <w:w w:val="105"/>
        </w:rPr>
        <w:t> </w:t>
      </w:r>
      <w:r>
        <w:rPr>
          <w:color w:val="231F20"/>
          <w:w w:val="105"/>
        </w:rPr>
        <w:t>los</w:t>
      </w:r>
      <w:r>
        <w:rPr>
          <w:color w:val="231F20"/>
          <w:spacing w:val="-19"/>
          <w:w w:val="105"/>
        </w:rPr>
        <w:t> </w:t>
      </w:r>
      <w:r>
        <w:rPr>
          <w:color w:val="231F20"/>
          <w:spacing w:val="-3"/>
          <w:w w:val="105"/>
        </w:rPr>
        <w:t>derechos</w:t>
      </w:r>
      <w:r>
        <w:rPr>
          <w:color w:val="231F20"/>
          <w:spacing w:val="-19"/>
          <w:w w:val="105"/>
        </w:rPr>
        <w:t> </w:t>
      </w:r>
      <w:r>
        <w:rPr>
          <w:color w:val="231F20"/>
          <w:w w:val="105"/>
        </w:rPr>
        <w:t>humanos</w:t>
      </w:r>
      <w:r>
        <w:rPr>
          <w:color w:val="231F20"/>
          <w:spacing w:val="-19"/>
          <w:w w:val="105"/>
        </w:rPr>
        <w:t> </w:t>
      </w:r>
      <w:r>
        <w:rPr>
          <w:color w:val="231F20"/>
          <w:w w:val="105"/>
        </w:rPr>
        <w:t>de</w:t>
      </w:r>
      <w:r>
        <w:rPr>
          <w:color w:val="231F20"/>
          <w:spacing w:val="-19"/>
          <w:w w:val="105"/>
        </w:rPr>
        <w:t> </w:t>
      </w:r>
      <w:r>
        <w:rPr>
          <w:color w:val="231F20"/>
          <w:w w:val="105"/>
        </w:rPr>
        <w:t>este</w:t>
      </w:r>
      <w:r>
        <w:rPr>
          <w:color w:val="231F20"/>
          <w:spacing w:val="-19"/>
          <w:w w:val="105"/>
        </w:rPr>
        <w:t> </w:t>
      </w:r>
      <w:r>
        <w:rPr>
          <w:color w:val="231F20"/>
          <w:w w:val="105"/>
        </w:rPr>
        <w:t>grupo</w:t>
      </w:r>
      <w:r>
        <w:rPr>
          <w:color w:val="231F20"/>
          <w:spacing w:val="-19"/>
          <w:w w:val="105"/>
        </w:rPr>
        <w:t> </w:t>
      </w:r>
      <w:r>
        <w:rPr>
          <w:color w:val="231F20"/>
          <w:spacing w:val="-3"/>
          <w:w w:val="105"/>
        </w:rPr>
        <w:t>vulnerable.</w:t>
      </w:r>
    </w:p>
    <w:p>
      <w:pPr>
        <w:pStyle w:val="BodyText"/>
        <w:spacing w:line="261" w:lineRule="auto" w:before="1"/>
        <w:ind w:left="1837" w:right="1722" w:firstLine="567"/>
        <w:jc w:val="both"/>
      </w:pPr>
      <w:r>
        <w:rPr/>
        <w:pict>
          <v:line style="position:absolute;mso-position-horizontal-relative:page;mso-position-vertical-relative:paragraph;z-index:-482296" from="15pt,138.978394pt" to="0pt,138.978394pt" stroked="true" strokeweight=".25pt" strokecolor="#000000">
            <w10:wrap type="none"/>
          </v:line>
        </w:pict>
      </w:r>
      <w:r>
        <w:rPr/>
        <w:pict>
          <v:line style="position:absolute;mso-position-horizontal-relative:page;mso-position-vertical-relative:paragraph;z-index:7912" from="508.890015pt,138.978394pt" to="523.890015pt,138.978394pt" stroked="true" strokeweight=".25pt" strokecolor="#000000">
            <w10:wrap type="none"/>
          </v:line>
        </w:pict>
      </w:r>
      <w:r>
        <w:rPr>
          <w:color w:val="231F20"/>
          <w:w w:val="105"/>
        </w:rPr>
        <w:t>Resulta</w:t>
      </w:r>
      <w:r>
        <w:rPr>
          <w:color w:val="231F20"/>
          <w:spacing w:val="-28"/>
          <w:w w:val="105"/>
        </w:rPr>
        <w:t> </w:t>
      </w:r>
      <w:r>
        <w:rPr>
          <w:color w:val="231F20"/>
          <w:w w:val="105"/>
        </w:rPr>
        <w:t>evidente</w:t>
      </w:r>
      <w:r>
        <w:rPr>
          <w:color w:val="231F20"/>
          <w:spacing w:val="-28"/>
          <w:w w:val="105"/>
        </w:rPr>
        <w:t> </w:t>
      </w:r>
      <w:r>
        <w:rPr>
          <w:color w:val="231F20"/>
          <w:w w:val="105"/>
        </w:rPr>
        <w:t>que</w:t>
      </w:r>
      <w:r>
        <w:rPr>
          <w:color w:val="231F20"/>
          <w:spacing w:val="-28"/>
          <w:w w:val="105"/>
        </w:rPr>
        <w:t> </w:t>
      </w:r>
      <w:r>
        <w:rPr>
          <w:color w:val="231F20"/>
          <w:w w:val="105"/>
        </w:rPr>
        <w:t>el</w:t>
      </w:r>
      <w:r>
        <w:rPr>
          <w:color w:val="231F20"/>
          <w:spacing w:val="-28"/>
          <w:w w:val="105"/>
        </w:rPr>
        <w:t> </w:t>
      </w:r>
      <w:r>
        <w:rPr>
          <w:color w:val="231F20"/>
          <w:spacing w:val="-3"/>
          <w:w w:val="105"/>
        </w:rPr>
        <w:t>interés</w:t>
      </w:r>
      <w:r>
        <w:rPr>
          <w:color w:val="231F20"/>
          <w:spacing w:val="-28"/>
          <w:w w:val="105"/>
        </w:rPr>
        <w:t> </w:t>
      </w:r>
      <w:r>
        <w:rPr>
          <w:color w:val="231F20"/>
          <w:w w:val="105"/>
        </w:rPr>
        <w:t>superior</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infancia</w:t>
      </w:r>
      <w:r>
        <w:rPr>
          <w:color w:val="231F20"/>
          <w:spacing w:val="-28"/>
          <w:w w:val="105"/>
        </w:rPr>
        <w:t> </w:t>
      </w:r>
      <w:r>
        <w:rPr>
          <w:color w:val="231F20"/>
          <w:w w:val="105"/>
        </w:rPr>
        <w:t>es</w:t>
      </w:r>
      <w:r>
        <w:rPr>
          <w:color w:val="231F20"/>
          <w:spacing w:val="-28"/>
          <w:w w:val="105"/>
        </w:rPr>
        <w:t> </w:t>
      </w:r>
      <w:r>
        <w:rPr>
          <w:color w:val="231F20"/>
          <w:w w:val="105"/>
        </w:rPr>
        <w:t>el</w:t>
      </w:r>
      <w:r>
        <w:rPr>
          <w:color w:val="231F20"/>
          <w:spacing w:val="-28"/>
          <w:w w:val="105"/>
        </w:rPr>
        <w:t> </w:t>
      </w:r>
      <w:r>
        <w:rPr>
          <w:color w:val="231F20"/>
          <w:w w:val="105"/>
        </w:rPr>
        <w:t>punto</w:t>
      </w:r>
      <w:r>
        <w:rPr>
          <w:color w:val="231F20"/>
          <w:spacing w:val="-28"/>
          <w:w w:val="105"/>
        </w:rPr>
        <w:t> </w:t>
      </w:r>
      <w:r>
        <w:rPr>
          <w:color w:val="231F20"/>
          <w:w w:val="105"/>
        </w:rPr>
        <w:t>de </w:t>
      </w:r>
      <w:r>
        <w:rPr>
          <w:color w:val="231F20"/>
          <w:spacing w:val="-3"/>
          <w:w w:val="105"/>
        </w:rPr>
        <w:t>referencia</w:t>
      </w:r>
      <w:r>
        <w:rPr>
          <w:color w:val="231F20"/>
          <w:spacing w:val="-6"/>
          <w:w w:val="105"/>
        </w:rPr>
        <w:t> </w:t>
      </w:r>
      <w:r>
        <w:rPr>
          <w:color w:val="231F20"/>
          <w:w w:val="105"/>
        </w:rPr>
        <w:t>para</w:t>
      </w:r>
      <w:r>
        <w:rPr>
          <w:color w:val="231F20"/>
          <w:spacing w:val="-6"/>
          <w:w w:val="105"/>
        </w:rPr>
        <w:t> </w:t>
      </w:r>
      <w:r>
        <w:rPr>
          <w:color w:val="231F20"/>
          <w:w w:val="105"/>
        </w:rPr>
        <w:t>las</w:t>
      </w:r>
      <w:r>
        <w:rPr>
          <w:color w:val="231F20"/>
          <w:spacing w:val="-6"/>
          <w:w w:val="105"/>
        </w:rPr>
        <w:t> </w:t>
      </w:r>
      <w:r>
        <w:rPr>
          <w:color w:val="231F20"/>
          <w:w w:val="105"/>
        </w:rPr>
        <w:t>normas</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derivan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Constitución</w:t>
      </w:r>
      <w:r>
        <w:rPr>
          <w:color w:val="231F20"/>
          <w:spacing w:val="-6"/>
          <w:w w:val="105"/>
        </w:rPr>
        <w:t> </w:t>
      </w:r>
      <w:r>
        <w:rPr>
          <w:color w:val="231F20"/>
          <w:spacing w:val="-4"/>
          <w:w w:val="105"/>
        </w:rPr>
        <w:t>Política</w:t>
      </w:r>
      <w:r>
        <w:rPr>
          <w:color w:val="231F20"/>
          <w:spacing w:val="-6"/>
          <w:w w:val="105"/>
        </w:rPr>
        <w:t> </w:t>
      </w:r>
      <w:r>
        <w:rPr>
          <w:color w:val="231F20"/>
          <w:w w:val="105"/>
        </w:rPr>
        <w:t>de los</w:t>
      </w:r>
      <w:r>
        <w:rPr>
          <w:color w:val="231F20"/>
          <w:spacing w:val="-19"/>
          <w:w w:val="105"/>
        </w:rPr>
        <w:t> </w:t>
      </w:r>
      <w:r>
        <w:rPr>
          <w:color w:val="231F20"/>
          <w:w w:val="105"/>
        </w:rPr>
        <w:t>Estados</w:t>
      </w:r>
      <w:r>
        <w:rPr>
          <w:color w:val="231F20"/>
          <w:spacing w:val="-19"/>
          <w:w w:val="105"/>
        </w:rPr>
        <w:t> </w:t>
      </w:r>
      <w:r>
        <w:rPr>
          <w:color w:val="231F20"/>
          <w:w w:val="105"/>
        </w:rPr>
        <w:t>Unidos</w:t>
      </w:r>
      <w:r>
        <w:rPr>
          <w:color w:val="231F20"/>
          <w:spacing w:val="-19"/>
          <w:w w:val="105"/>
        </w:rPr>
        <w:t> </w:t>
      </w:r>
      <w:r>
        <w:rPr>
          <w:color w:val="231F20"/>
          <w:w w:val="105"/>
        </w:rPr>
        <w:t>Mexicanos,</w:t>
      </w:r>
      <w:r>
        <w:rPr>
          <w:color w:val="231F20"/>
          <w:spacing w:val="-23"/>
          <w:w w:val="105"/>
        </w:rPr>
        <w:t> </w:t>
      </w:r>
      <w:r>
        <w:rPr>
          <w:color w:val="231F20"/>
          <w:w w:val="105"/>
        </w:rPr>
        <w:t>pues</w:t>
      </w:r>
      <w:r>
        <w:rPr>
          <w:color w:val="231F20"/>
          <w:spacing w:val="-19"/>
          <w:w w:val="105"/>
        </w:rPr>
        <w:t> </w:t>
      </w:r>
      <w:r>
        <w:rPr>
          <w:color w:val="231F20"/>
          <w:w w:val="105"/>
        </w:rPr>
        <w:t>éstas</w:t>
      </w:r>
      <w:r>
        <w:rPr>
          <w:color w:val="231F20"/>
          <w:spacing w:val="-19"/>
          <w:w w:val="105"/>
        </w:rPr>
        <w:t> </w:t>
      </w:r>
      <w:r>
        <w:rPr>
          <w:color w:val="231F20"/>
          <w:w w:val="105"/>
        </w:rPr>
        <w:t>se</w:t>
      </w:r>
      <w:r>
        <w:rPr>
          <w:color w:val="231F20"/>
          <w:spacing w:val="-19"/>
          <w:w w:val="105"/>
        </w:rPr>
        <w:t> </w:t>
      </w:r>
      <w:r>
        <w:rPr>
          <w:color w:val="231F20"/>
          <w:spacing w:val="-3"/>
          <w:w w:val="105"/>
        </w:rPr>
        <w:t>encargarán</w:t>
      </w:r>
      <w:r>
        <w:rPr>
          <w:color w:val="231F20"/>
          <w:spacing w:val="-19"/>
          <w:w w:val="105"/>
        </w:rPr>
        <w:t> </w:t>
      </w:r>
      <w:r>
        <w:rPr>
          <w:color w:val="231F20"/>
          <w:w w:val="105"/>
        </w:rPr>
        <w:t>de</w:t>
      </w:r>
      <w:r>
        <w:rPr>
          <w:color w:val="231F20"/>
          <w:spacing w:val="-19"/>
          <w:w w:val="105"/>
        </w:rPr>
        <w:t> </w:t>
      </w:r>
      <w:r>
        <w:rPr>
          <w:color w:val="231F20"/>
          <w:w w:val="105"/>
        </w:rPr>
        <w:t>asegurar</w:t>
      </w:r>
      <w:r>
        <w:rPr>
          <w:color w:val="231F20"/>
          <w:spacing w:val="-19"/>
          <w:w w:val="105"/>
        </w:rPr>
        <w:t> </w:t>
      </w:r>
      <w:r>
        <w:rPr>
          <w:color w:val="231F20"/>
          <w:w w:val="105"/>
        </w:rPr>
        <w:t>la efectiva</w:t>
      </w:r>
      <w:r>
        <w:rPr>
          <w:color w:val="231F20"/>
          <w:spacing w:val="-28"/>
          <w:w w:val="105"/>
        </w:rPr>
        <w:t> </w:t>
      </w:r>
      <w:r>
        <w:rPr>
          <w:color w:val="231F20"/>
          <w:spacing w:val="-3"/>
          <w:w w:val="105"/>
        </w:rPr>
        <w:t>realización</w:t>
      </w:r>
      <w:r>
        <w:rPr>
          <w:color w:val="231F20"/>
          <w:spacing w:val="-28"/>
          <w:w w:val="105"/>
        </w:rPr>
        <w:t> </w:t>
      </w:r>
      <w:r>
        <w:rPr>
          <w:color w:val="231F20"/>
          <w:w w:val="105"/>
        </w:rPr>
        <w:t>de</w:t>
      </w:r>
      <w:r>
        <w:rPr>
          <w:color w:val="231F20"/>
          <w:spacing w:val="-28"/>
          <w:w w:val="105"/>
        </w:rPr>
        <w:t> </w:t>
      </w:r>
      <w:r>
        <w:rPr>
          <w:color w:val="231F20"/>
          <w:w w:val="105"/>
        </w:rPr>
        <w:t>todos</w:t>
      </w:r>
      <w:r>
        <w:rPr>
          <w:color w:val="231F20"/>
          <w:spacing w:val="-28"/>
          <w:w w:val="105"/>
        </w:rPr>
        <w:t> </w:t>
      </w:r>
      <w:r>
        <w:rPr>
          <w:color w:val="231F20"/>
          <w:w w:val="105"/>
        </w:rPr>
        <w:t>los</w:t>
      </w:r>
      <w:r>
        <w:rPr>
          <w:color w:val="231F20"/>
          <w:spacing w:val="-28"/>
          <w:w w:val="105"/>
        </w:rPr>
        <w:t> </w:t>
      </w:r>
      <w:r>
        <w:rPr>
          <w:color w:val="231F20"/>
          <w:spacing w:val="-3"/>
          <w:w w:val="105"/>
        </w:rPr>
        <w:t>derechos</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niñez,</w:t>
      </w:r>
      <w:r>
        <w:rPr>
          <w:color w:val="231F20"/>
          <w:spacing w:val="-32"/>
          <w:w w:val="105"/>
        </w:rPr>
        <w:t> </w:t>
      </w:r>
      <w:r>
        <w:rPr>
          <w:color w:val="231F20"/>
          <w:w w:val="105"/>
        </w:rPr>
        <w:t>así</w:t>
      </w:r>
      <w:r>
        <w:rPr>
          <w:color w:val="231F20"/>
          <w:spacing w:val="-28"/>
          <w:w w:val="105"/>
        </w:rPr>
        <w:t> </w:t>
      </w:r>
      <w:r>
        <w:rPr>
          <w:color w:val="231F20"/>
          <w:w w:val="105"/>
        </w:rPr>
        <w:t>como</w:t>
      </w:r>
      <w:r>
        <w:rPr>
          <w:color w:val="231F20"/>
          <w:spacing w:val="-28"/>
          <w:w w:val="105"/>
        </w:rPr>
        <w:t> </w:t>
      </w:r>
      <w:r>
        <w:rPr>
          <w:color w:val="231F20"/>
          <w:w w:val="105"/>
        </w:rPr>
        <w:t>el</w:t>
      </w:r>
      <w:r>
        <w:rPr>
          <w:color w:val="231F20"/>
          <w:spacing w:val="-28"/>
          <w:w w:val="105"/>
        </w:rPr>
        <w:t> </w:t>
      </w:r>
      <w:r>
        <w:rPr>
          <w:color w:val="231F20"/>
          <w:spacing w:val="-2"/>
          <w:w w:val="105"/>
        </w:rPr>
        <w:t>máximo </w:t>
      </w:r>
      <w:r>
        <w:rPr>
          <w:color w:val="231F20"/>
          <w:spacing w:val="-3"/>
          <w:w w:val="105"/>
        </w:rPr>
        <w:t>desarrollo</w:t>
      </w:r>
      <w:r>
        <w:rPr>
          <w:color w:val="231F20"/>
          <w:spacing w:val="-15"/>
          <w:w w:val="105"/>
        </w:rPr>
        <w:t> </w:t>
      </w:r>
      <w:r>
        <w:rPr>
          <w:color w:val="231F20"/>
          <w:w w:val="105"/>
        </w:rPr>
        <w:t>de</w:t>
      </w:r>
      <w:r>
        <w:rPr>
          <w:color w:val="231F20"/>
          <w:spacing w:val="-15"/>
          <w:w w:val="105"/>
        </w:rPr>
        <w:t> </w:t>
      </w:r>
      <w:r>
        <w:rPr>
          <w:color w:val="231F20"/>
          <w:w w:val="105"/>
        </w:rPr>
        <w:t>sus</w:t>
      </w:r>
      <w:r>
        <w:rPr>
          <w:color w:val="231F20"/>
          <w:spacing w:val="-15"/>
          <w:w w:val="105"/>
        </w:rPr>
        <w:t> </w:t>
      </w:r>
      <w:r>
        <w:rPr>
          <w:color w:val="231F20"/>
          <w:w w:val="105"/>
        </w:rPr>
        <w:t>potencialidades,</w:t>
      </w:r>
      <w:r>
        <w:rPr>
          <w:color w:val="231F20"/>
          <w:spacing w:val="-21"/>
          <w:w w:val="105"/>
        </w:rPr>
        <w:t> </w:t>
      </w:r>
      <w:r>
        <w:rPr>
          <w:color w:val="231F20"/>
          <w:w w:val="105"/>
        </w:rPr>
        <w:t>por</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21"/>
          <w:w w:val="105"/>
        </w:rPr>
        <w:t> </w:t>
      </w:r>
      <w:r>
        <w:rPr>
          <w:color w:val="231F20"/>
          <w:w w:val="105"/>
        </w:rPr>
        <w:t>toda</w:t>
      </w:r>
      <w:r>
        <w:rPr>
          <w:color w:val="231F20"/>
          <w:spacing w:val="-15"/>
          <w:w w:val="105"/>
        </w:rPr>
        <w:t> </w:t>
      </w:r>
      <w:r>
        <w:rPr>
          <w:color w:val="231F20"/>
          <w:w w:val="105"/>
        </w:rPr>
        <w:t>decisión</w:t>
      </w:r>
      <w:r>
        <w:rPr>
          <w:color w:val="231F20"/>
          <w:spacing w:val="-15"/>
          <w:w w:val="105"/>
        </w:rPr>
        <w:t> </w:t>
      </w:r>
      <w:r>
        <w:rPr>
          <w:color w:val="231F20"/>
          <w:w w:val="105"/>
        </w:rPr>
        <w:t>del</w:t>
      </w:r>
      <w:r>
        <w:rPr>
          <w:color w:val="231F20"/>
          <w:spacing w:val="-15"/>
          <w:w w:val="105"/>
        </w:rPr>
        <w:t> </w:t>
      </w:r>
      <w:r>
        <w:rPr>
          <w:color w:val="231F20"/>
          <w:w w:val="105"/>
        </w:rPr>
        <w:t>Estado</w:t>
      </w:r>
      <w:r>
        <w:rPr>
          <w:color w:val="231F20"/>
          <w:spacing w:val="-15"/>
          <w:w w:val="105"/>
        </w:rPr>
        <w:t> </w:t>
      </w:r>
      <w:r>
        <w:rPr>
          <w:color w:val="231F20"/>
          <w:w w:val="105"/>
        </w:rPr>
        <w:t>o</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7960" from="15pt,-71.68644pt" to="0pt,-71.68644pt" stroked="true" strokeweight=".25pt" strokecolor="#000000">
            <w10:wrap type="none"/>
          </v:line>
        </w:pict>
      </w:r>
      <w:r>
        <w:rPr/>
        <w:pict>
          <v:line style="position:absolute;mso-position-horizontal-relative:page;mso-position-vertical-relative:paragraph;z-index:7984" from="508.890015pt,-71.68644pt" to="523.890015pt,-71.68644pt" stroked="true" strokeweight=".25pt" strokecolor="#000000">
            <w10:wrap type="none"/>
          </v:line>
        </w:pict>
      </w:r>
      <w:r>
        <w:rPr>
          <w:color w:val="231F20"/>
          <w:w w:val="105"/>
        </w:rPr>
        <w:t>de</w:t>
      </w:r>
      <w:r>
        <w:rPr>
          <w:color w:val="231F20"/>
          <w:spacing w:val="-8"/>
          <w:w w:val="105"/>
        </w:rPr>
        <w:t> </w:t>
      </w:r>
      <w:r>
        <w:rPr>
          <w:color w:val="231F20"/>
          <w:w w:val="105"/>
        </w:rPr>
        <w:t>sus</w:t>
      </w:r>
      <w:r>
        <w:rPr>
          <w:color w:val="231F20"/>
          <w:spacing w:val="-8"/>
          <w:w w:val="105"/>
        </w:rPr>
        <w:t> </w:t>
      </w:r>
      <w:r>
        <w:rPr>
          <w:color w:val="231F20"/>
          <w:w w:val="105"/>
        </w:rPr>
        <w:t>agentes,</w:t>
      </w:r>
      <w:r>
        <w:rPr>
          <w:color w:val="231F20"/>
          <w:spacing w:val="-14"/>
          <w:w w:val="105"/>
        </w:rPr>
        <w:t> </w:t>
      </w:r>
      <w:r>
        <w:rPr>
          <w:color w:val="231F20"/>
          <w:w w:val="105"/>
        </w:rPr>
        <w:t>que</w:t>
      </w:r>
      <w:r>
        <w:rPr>
          <w:color w:val="231F20"/>
          <w:spacing w:val="-8"/>
          <w:w w:val="105"/>
        </w:rPr>
        <w:t> </w:t>
      </w:r>
      <w:r>
        <w:rPr>
          <w:color w:val="231F20"/>
          <w:w w:val="105"/>
        </w:rPr>
        <w:t>implique</w:t>
      </w:r>
      <w:r>
        <w:rPr>
          <w:color w:val="231F20"/>
          <w:spacing w:val="-8"/>
          <w:w w:val="105"/>
        </w:rPr>
        <w:t> </w:t>
      </w:r>
      <w:r>
        <w:rPr>
          <w:color w:val="231F20"/>
          <w:w w:val="105"/>
        </w:rPr>
        <w:t>alguna</w:t>
      </w:r>
      <w:r>
        <w:rPr>
          <w:color w:val="231F20"/>
          <w:spacing w:val="-8"/>
          <w:w w:val="105"/>
        </w:rPr>
        <w:t> </w:t>
      </w:r>
      <w:r>
        <w:rPr>
          <w:color w:val="231F20"/>
          <w:spacing w:val="-3"/>
          <w:w w:val="105"/>
        </w:rPr>
        <w:t>restricción</w:t>
      </w:r>
      <w:r>
        <w:rPr>
          <w:color w:val="231F20"/>
          <w:spacing w:val="-8"/>
          <w:w w:val="105"/>
        </w:rPr>
        <w:t> </w:t>
      </w:r>
      <w:r>
        <w:rPr>
          <w:color w:val="231F20"/>
          <w:w w:val="105"/>
        </w:rPr>
        <w:t>al</w:t>
      </w:r>
      <w:r>
        <w:rPr>
          <w:color w:val="231F20"/>
          <w:spacing w:val="-8"/>
          <w:w w:val="105"/>
        </w:rPr>
        <w:t> </w:t>
      </w:r>
      <w:r>
        <w:rPr>
          <w:color w:val="231F20"/>
          <w:spacing w:val="-3"/>
          <w:w w:val="105"/>
        </w:rPr>
        <w:t>ejercicio</w:t>
      </w:r>
      <w:r>
        <w:rPr>
          <w:color w:val="231F20"/>
          <w:spacing w:val="-8"/>
          <w:w w:val="105"/>
        </w:rPr>
        <w:t> </w:t>
      </w:r>
      <w:r>
        <w:rPr>
          <w:color w:val="231F20"/>
          <w:w w:val="105"/>
        </w:rPr>
        <w:t>de</w:t>
      </w:r>
      <w:r>
        <w:rPr>
          <w:color w:val="231F20"/>
          <w:spacing w:val="-8"/>
          <w:w w:val="105"/>
        </w:rPr>
        <w:t> </w:t>
      </w:r>
      <w:r>
        <w:rPr>
          <w:color w:val="231F20"/>
          <w:w w:val="105"/>
        </w:rPr>
        <w:t>cualquier </w:t>
      </w:r>
      <w:r>
        <w:rPr>
          <w:color w:val="231F20"/>
          <w:spacing w:val="-3"/>
          <w:w w:val="105"/>
        </w:rPr>
        <w:t>derecho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sz w:val="17"/>
        </w:rPr>
        <w:t>NNA</w:t>
      </w:r>
      <w:r>
        <w:rPr>
          <w:color w:val="231F20"/>
          <w:w w:val="105"/>
        </w:rPr>
        <w:t>,</w:t>
      </w:r>
      <w:r>
        <w:rPr>
          <w:color w:val="231F20"/>
          <w:spacing w:val="-24"/>
          <w:w w:val="105"/>
        </w:rPr>
        <w:t> </w:t>
      </w:r>
      <w:r>
        <w:rPr>
          <w:color w:val="231F20"/>
          <w:w w:val="105"/>
        </w:rPr>
        <w:t>habrá</w:t>
      </w:r>
      <w:r>
        <w:rPr>
          <w:color w:val="231F20"/>
          <w:spacing w:val="-20"/>
          <w:w w:val="105"/>
        </w:rPr>
        <w:t> </w:t>
      </w:r>
      <w:r>
        <w:rPr>
          <w:color w:val="231F20"/>
          <w:w w:val="105"/>
        </w:rPr>
        <w:t>de</w:t>
      </w:r>
      <w:r>
        <w:rPr>
          <w:color w:val="231F20"/>
          <w:spacing w:val="-20"/>
          <w:w w:val="105"/>
        </w:rPr>
        <w:t> </w:t>
      </w:r>
      <w:r>
        <w:rPr>
          <w:color w:val="231F20"/>
          <w:w w:val="105"/>
        </w:rPr>
        <w:t>encuadrarse</w:t>
      </w:r>
      <w:r>
        <w:rPr>
          <w:color w:val="231F20"/>
          <w:spacing w:val="-20"/>
          <w:w w:val="105"/>
        </w:rPr>
        <w:t> </w:t>
      </w:r>
      <w:r>
        <w:rPr>
          <w:color w:val="231F20"/>
          <w:w w:val="105"/>
        </w:rPr>
        <w:t>estrictamente</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Estado</w:t>
      </w:r>
      <w:r>
        <w:rPr>
          <w:color w:val="231F20"/>
          <w:spacing w:val="-20"/>
          <w:w w:val="105"/>
        </w:rPr>
        <w:t> </w:t>
      </w:r>
      <w:r>
        <w:rPr>
          <w:color w:val="231F20"/>
          <w:w w:val="105"/>
        </w:rPr>
        <w:t>de </w:t>
      </w:r>
      <w:r>
        <w:rPr>
          <w:color w:val="231F20"/>
          <w:spacing w:val="-3"/>
          <w:w w:val="105"/>
        </w:rPr>
        <w:t>derecho mexicano, </w:t>
      </w:r>
      <w:r>
        <w:rPr>
          <w:color w:val="231F20"/>
          <w:w w:val="105"/>
        </w:rPr>
        <w:t>y ponderar no sólo el </w:t>
      </w:r>
      <w:r>
        <w:rPr>
          <w:color w:val="231F20"/>
          <w:spacing w:val="-3"/>
          <w:w w:val="105"/>
        </w:rPr>
        <w:t>requerimiento </w:t>
      </w:r>
      <w:r>
        <w:rPr>
          <w:color w:val="231F20"/>
          <w:w w:val="105"/>
        </w:rPr>
        <w:t>de medidas es- peciales,</w:t>
      </w:r>
      <w:r>
        <w:rPr>
          <w:color w:val="231F20"/>
          <w:spacing w:val="-30"/>
          <w:w w:val="105"/>
        </w:rPr>
        <w:t> </w:t>
      </w:r>
      <w:r>
        <w:rPr>
          <w:color w:val="231F20"/>
          <w:w w:val="105"/>
        </w:rPr>
        <w:t>sino</w:t>
      </w:r>
      <w:r>
        <w:rPr>
          <w:color w:val="231F20"/>
          <w:spacing w:val="-26"/>
          <w:w w:val="105"/>
        </w:rPr>
        <w:t> </w:t>
      </w:r>
      <w:r>
        <w:rPr>
          <w:color w:val="231F20"/>
          <w:w w:val="105"/>
        </w:rPr>
        <w:t>también</w:t>
      </w:r>
      <w:r>
        <w:rPr>
          <w:color w:val="231F20"/>
          <w:spacing w:val="-26"/>
          <w:w w:val="105"/>
        </w:rPr>
        <w:t> </w:t>
      </w:r>
      <w:r>
        <w:rPr>
          <w:color w:val="231F20"/>
          <w:w w:val="105"/>
        </w:rPr>
        <w:t>las</w:t>
      </w:r>
      <w:r>
        <w:rPr>
          <w:color w:val="231F20"/>
          <w:spacing w:val="-26"/>
          <w:w w:val="105"/>
        </w:rPr>
        <w:t> </w:t>
      </w:r>
      <w:r>
        <w:rPr>
          <w:color w:val="231F20"/>
          <w:w w:val="105"/>
        </w:rPr>
        <w:t>especificidades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situación</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que</w:t>
      </w:r>
      <w:r>
        <w:rPr>
          <w:color w:val="231F20"/>
          <w:spacing w:val="-26"/>
          <w:w w:val="105"/>
        </w:rPr>
        <w:t> </w:t>
      </w:r>
      <w:r>
        <w:rPr>
          <w:color w:val="231F20"/>
          <w:w w:val="105"/>
        </w:rPr>
        <w:t>se</w:t>
      </w:r>
      <w:r>
        <w:rPr>
          <w:color w:val="231F20"/>
          <w:spacing w:val="-26"/>
          <w:w w:val="105"/>
        </w:rPr>
        <w:t> </w:t>
      </w:r>
      <w:r>
        <w:rPr>
          <w:color w:val="231F20"/>
          <w:w w:val="105"/>
        </w:rPr>
        <w:t>ha- lle,</w:t>
      </w:r>
      <w:r>
        <w:rPr>
          <w:color w:val="231F20"/>
          <w:spacing w:val="-24"/>
          <w:w w:val="105"/>
        </w:rPr>
        <w:t> </w:t>
      </w:r>
      <w:r>
        <w:rPr>
          <w:color w:val="231F20"/>
          <w:w w:val="105"/>
        </w:rPr>
        <w:t>tal</w:t>
      </w:r>
      <w:r>
        <w:rPr>
          <w:color w:val="231F20"/>
          <w:spacing w:val="-19"/>
          <w:w w:val="105"/>
        </w:rPr>
        <w:t> </w:t>
      </w:r>
      <w:r>
        <w:rPr>
          <w:color w:val="231F20"/>
          <w:w w:val="105"/>
        </w:rPr>
        <w:t>como</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sz w:val="17"/>
        </w:rPr>
        <w:t>NNA</w:t>
      </w:r>
      <w:r>
        <w:rPr>
          <w:color w:val="231F20"/>
          <w:spacing w:val="-8"/>
          <w:w w:val="105"/>
          <w:sz w:val="17"/>
        </w:rPr>
        <w:t> </w:t>
      </w:r>
      <w:r>
        <w:rPr>
          <w:color w:val="231F20"/>
          <w:w w:val="105"/>
        </w:rPr>
        <w:t>migrantes</w:t>
      </w:r>
      <w:r>
        <w:rPr>
          <w:color w:val="231F20"/>
          <w:spacing w:val="-19"/>
          <w:w w:val="105"/>
        </w:rPr>
        <w:t> </w:t>
      </w:r>
      <w:r>
        <w:rPr>
          <w:color w:val="231F20"/>
          <w:spacing w:val="-3"/>
          <w:w w:val="105"/>
        </w:rPr>
        <w:t>irregulares</w:t>
      </w:r>
      <w:r>
        <w:rPr>
          <w:color w:val="231F20"/>
          <w:spacing w:val="-19"/>
          <w:w w:val="105"/>
        </w:rPr>
        <w:t> </w:t>
      </w:r>
      <w:r>
        <w:rPr>
          <w:color w:val="231F20"/>
          <w:w w:val="105"/>
        </w:rPr>
        <w:t>no</w:t>
      </w:r>
      <w:r>
        <w:rPr>
          <w:color w:val="231F20"/>
          <w:spacing w:val="-19"/>
          <w:w w:val="105"/>
        </w:rPr>
        <w:t> </w:t>
      </w:r>
      <w:r>
        <w:rPr>
          <w:color w:val="231F20"/>
          <w:spacing w:val="-2"/>
          <w:w w:val="105"/>
        </w:rPr>
        <w:t>acompañados.</w:t>
      </w:r>
    </w:p>
    <w:p>
      <w:pPr>
        <w:pStyle w:val="BodyText"/>
        <w:spacing w:line="261" w:lineRule="auto" w:before="1"/>
        <w:ind w:left="1723" w:right="1829" w:firstLine="567"/>
        <w:jc w:val="both"/>
      </w:pPr>
      <w:r>
        <w:rPr>
          <w:color w:val="231F20"/>
          <w:w w:val="105"/>
        </w:rPr>
        <w:t>Con</w:t>
      </w:r>
      <w:r>
        <w:rPr>
          <w:color w:val="231F20"/>
          <w:spacing w:val="-22"/>
          <w:w w:val="105"/>
        </w:rPr>
        <w:t> </w:t>
      </w:r>
      <w:r>
        <w:rPr>
          <w:color w:val="231F20"/>
          <w:w w:val="105"/>
        </w:rPr>
        <w:t>relación</w:t>
      </w:r>
      <w:r>
        <w:rPr>
          <w:color w:val="231F20"/>
          <w:spacing w:val="-22"/>
          <w:w w:val="105"/>
        </w:rPr>
        <w:t> </w:t>
      </w:r>
      <w:r>
        <w:rPr>
          <w:color w:val="231F20"/>
          <w:w w:val="105"/>
        </w:rPr>
        <w:t>al</w:t>
      </w:r>
      <w:r>
        <w:rPr>
          <w:color w:val="231F20"/>
          <w:spacing w:val="-22"/>
          <w:w w:val="105"/>
        </w:rPr>
        <w:t> </w:t>
      </w:r>
      <w:r>
        <w:rPr>
          <w:color w:val="231F20"/>
          <w:w w:val="105"/>
        </w:rPr>
        <w:t>marco</w:t>
      </w:r>
      <w:r>
        <w:rPr>
          <w:color w:val="231F20"/>
          <w:spacing w:val="-22"/>
          <w:w w:val="105"/>
        </w:rPr>
        <w:t> </w:t>
      </w:r>
      <w:r>
        <w:rPr>
          <w:color w:val="231F20"/>
          <w:w w:val="105"/>
        </w:rPr>
        <w:t>jurídico</w:t>
      </w:r>
      <w:r>
        <w:rPr>
          <w:color w:val="231F20"/>
          <w:spacing w:val="-22"/>
          <w:w w:val="105"/>
        </w:rPr>
        <w:t> </w:t>
      </w:r>
      <w:r>
        <w:rPr>
          <w:color w:val="231F20"/>
          <w:w w:val="105"/>
        </w:rPr>
        <w:t>nacional</w:t>
      </w:r>
      <w:r>
        <w:rPr>
          <w:color w:val="231F20"/>
          <w:spacing w:val="-22"/>
          <w:w w:val="105"/>
        </w:rPr>
        <w:t> </w:t>
      </w:r>
      <w:r>
        <w:rPr>
          <w:color w:val="231F20"/>
          <w:w w:val="105"/>
        </w:rPr>
        <w:t>y</w:t>
      </w:r>
      <w:r>
        <w:rPr>
          <w:color w:val="231F20"/>
          <w:spacing w:val="-22"/>
          <w:w w:val="105"/>
        </w:rPr>
        <w:t> </w:t>
      </w:r>
      <w:r>
        <w:rPr>
          <w:color w:val="231F20"/>
          <w:w w:val="105"/>
        </w:rPr>
        <w:t>del</w:t>
      </w:r>
      <w:r>
        <w:rPr>
          <w:color w:val="231F20"/>
          <w:spacing w:val="-22"/>
          <w:w w:val="105"/>
        </w:rPr>
        <w:t> </w:t>
      </w:r>
      <w:r>
        <w:rPr>
          <w:color w:val="231F20"/>
          <w:w w:val="105"/>
        </w:rPr>
        <w:t>Estado</w:t>
      </w:r>
      <w:r>
        <w:rPr>
          <w:color w:val="231F20"/>
          <w:spacing w:val="-22"/>
          <w:w w:val="105"/>
        </w:rPr>
        <w:t> </w:t>
      </w:r>
      <w:r>
        <w:rPr>
          <w:color w:val="231F20"/>
          <w:w w:val="105"/>
        </w:rPr>
        <w:t>de</w:t>
      </w:r>
      <w:r>
        <w:rPr>
          <w:color w:val="231F20"/>
          <w:spacing w:val="-22"/>
          <w:w w:val="105"/>
        </w:rPr>
        <w:t> </w:t>
      </w:r>
      <w:r>
        <w:rPr>
          <w:color w:val="231F20"/>
          <w:w w:val="105"/>
        </w:rPr>
        <w:t>México,</w:t>
      </w:r>
      <w:r>
        <w:rPr>
          <w:color w:val="231F20"/>
          <w:spacing w:val="-28"/>
          <w:w w:val="105"/>
        </w:rPr>
        <w:t> </w:t>
      </w:r>
      <w:r>
        <w:rPr>
          <w:color w:val="231F20"/>
          <w:w w:val="105"/>
        </w:rPr>
        <w:t>con respecto</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w w:val="105"/>
        </w:rPr>
        <w:t>personas</w:t>
      </w:r>
      <w:r>
        <w:rPr>
          <w:color w:val="231F20"/>
          <w:spacing w:val="-13"/>
          <w:w w:val="105"/>
        </w:rPr>
        <w:t> </w:t>
      </w:r>
      <w:r>
        <w:rPr>
          <w:color w:val="231F20"/>
          <w:w w:val="105"/>
        </w:rPr>
        <w:t>migrantes,</w:t>
      </w:r>
      <w:r>
        <w:rPr>
          <w:color w:val="231F20"/>
          <w:spacing w:val="-19"/>
          <w:w w:val="105"/>
        </w:rPr>
        <w:t> </w:t>
      </w:r>
      <w:r>
        <w:rPr>
          <w:color w:val="231F20"/>
          <w:w w:val="105"/>
        </w:rPr>
        <w:t>se</w:t>
      </w:r>
      <w:r>
        <w:rPr>
          <w:color w:val="231F20"/>
          <w:spacing w:val="-13"/>
          <w:w w:val="105"/>
        </w:rPr>
        <w:t> </w:t>
      </w:r>
      <w:r>
        <w:rPr>
          <w:color w:val="231F20"/>
          <w:w w:val="105"/>
        </w:rPr>
        <w:t>pueden</w:t>
      </w:r>
      <w:r>
        <w:rPr>
          <w:color w:val="231F20"/>
          <w:spacing w:val="-13"/>
          <w:w w:val="105"/>
        </w:rPr>
        <w:t> </w:t>
      </w:r>
      <w:r>
        <w:rPr>
          <w:color w:val="231F20"/>
          <w:w w:val="105"/>
        </w:rPr>
        <w:t>enunciar,</w:t>
      </w:r>
      <w:r>
        <w:rPr>
          <w:color w:val="231F20"/>
          <w:spacing w:val="-19"/>
          <w:w w:val="105"/>
        </w:rPr>
        <w:t> </w:t>
      </w:r>
      <w:r>
        <w:rPr>
          <w:color w:val="231F20"/>
          <w:w w:val="105"/>
        </w:rPr>
        <w:t>principalmente, los siguientes ordenamientos: Constitución Política de los Estados</w:t>
      </w:r>
      <w:r>
        <w:rPr>
          <w:color w:val="231F20"/>
          <w:spacing w:val="-14"/>
          <w:w w:val="105"/>
        </w:rPr>
        <w:t> </w:t>
      </w:r>
      <w:r>
        <w:rPr>
          <w:color w:val="231F20"/>
          <w:w w:val="105"/>
        </w:rPr>
        <w:t>Uni- dos</w:t>
      </w:r>
      <w:r>
        <w:rPr>
          <w:color w:val="231F20"/>
          <w:spacing w:val="-17"/>
          <w:w w:val="105"/>
        </w:rPr>
        <w:t> </w:t>
      </w:r>
      <w:r>
        <w:rPr>
          <w:color w:val="231F20"/>
          <w:w w:val="105"/>
        </w:rPr>
        <w:t>Mexicanos,</w:t>
      </w:r>
      <w:r>
        <w:rPr>
          <w:color w:val="231F20"/>
          <w:spacing w:val="-22"/>
          <w:w w:val="105"/>
        </w:rPr>
        <w:t> </w:t>
      </w:r>
      <w:r>
        <w:rPr>
          <w:color w:val="231F20"/>
          <w:w w:val="105"/>
        </w:rPr>
        <w:t>Ley</w:t>
      </w:r>
      <w:r>
        <w:rPr>
          <w:color w:val="231F20"/>
          <w:spacing w:val="-17"/>
          <w:w w:val="105"/>
        </w:rPr>
        <w:t> </w:t>
      </w:r>
      <w:r>
        <w:rPr>
          <w:color w:val="231F20"/>
          <w:w w:val="105"/>
        </w:rPr>
        <w:t>de</w:t>
      </w:r>
      <w:r>
        <w:rPr>
          <w:color w:val="231F20"/>
          <w:spacing w:val="-17"/>
          <w:w w:val="105"/>
        </w:rPr>
        <w:t> </w:t>
      </w:r>
      <w:r>
        <w:rPr>
          <w:color w:val="231F20"/>
          <w:w w:val="105"/>
        </w:rPr>
        <w:t>Migración,</w:t>
      </w:r>
      <w:r>
        <w:rPr>
          <w:color w:val="231F20"/>
          <w:spacing w:val="-22"/>
          <w:w w:val="105"/>
        </w:rPr>
        <w:t> </w:t>
      </w:r>
      <w:r>
        <w:rPr>
          <w:color w:val="231F20"/>
          <w:w w:val="105"/>
        </w:rPr>
        <w:t>así</w:t>
      </w:r>
      <w:r>
        <w:rPr>
          <w:color w:val="231F20"/>
          <w:spacing w:val="-17"/>
          <w:w w:val="105"/>
        </w:rPr>
        <w:t> </w:t>
      </w:r>
      <w:r>
        <w:rPr>
          <w:color w:val="231F20"/>
          <w:w w:val="105"/>
        </w:rPr>
        <w:t>como</w:t>
      </w:r>
      <w:r>
        <w:rPr>
          <w:color w:val="231F20"/>
          <w:spacing w:val="-17"/>
          <w:w w:val="105"/>
        </w:rPr>
        <w:t> </w:t>
      </w:r>
      <w:r>
        <w:rPr>
          <w:color w:val="231F20"/>
          <w:w w:val="105"/>
        </w:rPr>
        <w:t>su</w:t>
      </w:r>
      <w:r>
        <w:rPr>
          <w:color w:val="231F20"/>
          <w:spacing w:val="-17"/>
          <w:w w:val="105"/>
        </w:rPr>
        <w:t> </w:t>
      </w:r>
      <w:r>
        <w:rPr>
          <w:color w:val="231F20"/>
          <w:w w:val="105"/>
        </w:rPr>
        <w:t>Reglamento;</w:t>
      </w:r>
      <w:r>
        <w:rPr>
          <w:color w:val="231F20"/>
          <w:spacing w:val="-17"/>
          <w:w w:val="105"/>
        </w:rPr>
        <w:t> </w:t>
      </w:r>
      <w:r>
        <w:rPr>
          <w:color w:val="231F20"/>
          <w:w w:val="105"/>
        </w:rPr>
        <w:t>Ley</w:t>
      </w:r>
      <w:r>
        <w:rPr>
          <w:color w:val="231F20"/>
          <w:spacing w:val="-17"/>
          <w:w w:val="105"/>
        </w:rPr>
        <w:t> </w:t>
      </w:r>
      <w:r>
        <w:rPr>
          <w:color w:val="231F20"/>
          <w:w w:val="105"/>
        </w:rPr>
        <w:t>Federal para</w:t>
      </w:r>
      <w:r>
        <w:rPr>
          <w:color w:val="231F20"/>
          <w:spacing w:val="-13"/>
          <w:w w:val="105"/>
        </w:rPr>
        <w:t> </w:t>
      </w:r>
      <w:r>
        <w:rPr>
          <w:color w:val="231F20"/>
          <w:w w:val="105"/>
        </w:rPr>
        <w:t>Prevenir</w:t>
      </w:r>
      <w:r>
        <w:rPr>
          <w:color w:val="231F20"/>
          <w:spacing w:val="-13"/>
          <w:w w:val="105"/>
        </w:rPr>
        <w:t> </w:t>
      </w:r>
      <w:r>
        <w:rPr>
          <w:color w:val="231F20"/>
          <w:w w:val="105"/>
        </w:rPr>
        <w:t>y</w:t>
      </w:r>
      <w:r>
        <w:rPr>
          <w:color w:val="231F20"/>
          <w:spacing w:val="-13"/>
          <w:w w:val="105"/>
        </w:rPr>
        <w:t> </w:t>
      </w:r>
      <w:r>
        <w:rPr>
          <w:color w:val="231F20"/>
          <w:w w:val="105"/>
        </w:rPr>
        <w:t>Eliminar</w:t>
      </w:r>
      <w:r>
        <w:rPr>
          <w:color w:val="231F20"/>
          <w:spacing w:val="-13"/>
          <w:w w:val="105"/>
        </w:rPr>
        <w:t> </w:t>
      </w:r>
      <w:r>
        <w:rPr>
          <w:color w:val="231F20"/>
          <w:w w:val="105"/>
        </w:rPr>
        <w:t>la</w:t>
      </w:r>
      <w:r>
        <w:rPr>
          <w:color w:val="231F20"/>
          <w:spacing w:val="-13"/>
          <w:w w:val="105"/>
        </w:rPr>
        <w:t> </w:t>
      </w:r>
      <w:r>
        <w:rPr>
          <w:color w:val="231F20"/>
          <w:w w:val="105"/>
        </w:rPr>
        <w:t>Discriminación,</w:t>
      </w:r>
      <w:r>
        <w:rPr>
          <w:color w:val="231F20"/>
          <w:spacing w:val="-18"/>
          <w:w w:val="105"/>
        </w:rPr>
        <w:t> </w:t>
      </w:r>
      <w:r>
        <w:rPr>
          <w:color w:val="231F20"/>
          <w:w w:val="105"/>
        </w:rPr>
        <w:t>Ley</w:t>
      </w:r>
      <w:r>
        <w:rPr>
          <w:color w:val="231F20"/>
          <w:spacing w:val="-13"/>
          <w:w w:val="105"/>
        </w:rPr>
        <w:t> </w:t>
      </w:r>
      <w:r>
        <w:rPr>
          <w:color w:val="231F20"/>
          <w:w w:val="105"/>
        </w:rPr>
        <w:t>General</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Derechos de los Niños, Niñas y Adolescentes, Ley General de Víctimas, Ley</w:t>
      </w:r>
      <w:r>
        <w:rPr>
          <w:color w:val="231F20"/>
          <w:spacing w:val="-29"/>
          <w:w w:val="105"/>
        </w:rPr>
        <w:t> </w:t>
      </w:r>
      <w:r>
        <w:rPr>
          <w:color w:val="231F20"/>
          <w:w w:val="105"/>
        </w:rPr>
        <w:t>para Prevenir</w:t>
      </w:r>
      <w:r>
        <w:rPr>
          <w:color w:val="231F20"/>
          <w:spacing w:val="-41"/>
          <w:w w:val="105"/>
        </w:rPr>
        <w:t> </w:t>
      </w:r>
      <w:r>
        <w:rPr>
          <w:color w:val="231F20"/>
          <w:w w:val="105"/>
        </w:rPr>
        <w:t>y</w:t>
      </w:r>
      <w:r>
        <w:rPr>
          <w:color w:val="231F20"/>
          <w:spacing w:val="-41"/>
          <w:w w:val="105"/>
        </w:rPr>
        <w:t> </w:t>
      </w:r>
      <w:r>
        <w:rPr>
          <w:color w:val="231F20"/>
          <w:w w:val="105"/>
        </w:rPr>
        <w:t>Sancionar</w:t>
      </w:r>
      <w:r>
        <w:rPr>
          <w:color w:val="231F20"/>
          <w:spacing w:val="-41"/>
          <w:w w:val="105"/>
        </w:rPr>
        <w:t> </w:t>
      </w:r>
      <w:r>
        <w:rPr>
          <w:color w:val="231F20"/>
          <w:w w:val="105"/>
        </w:rPr>
        <w:t>la</w:t>
      </w:r>
      <w:r>
        <w:rPr>
          <w:color w:val="231F20"/>
          <w:spacing w:val="-43"/>
          <w:w w:val="105"/>
        </w:rPr>
        <w:t> </w:t>
      </w:r>
      <w:r>
        <w:rPr>
          <w:color w:val="231F20"/>
          <w:spacing w:val="-5"/>
          <w:w w:val="105"/>
        </w:rPr>
        <w:t>Trata</w:t>
      </w:r>
      <w:r>
        <w:rPr>
          <w:color w:val="231F20"/>
          <w:spacing w:val="-41"/>
          <w:w w:val="105"/>
        </w:rPr>
        <w:t> </w:t>
      </w:r>
      <w:r>
        <w:rPr>
          <w:color w:val="231F20"/>
          <w:w w:val="105"/>
        </w:rPr>
        <w:t>de</w:t>
      </w:r>
      <w:r>
        <w:rPr>
          <w:color w:val="231F20"/>
          <w:spacing w:val="-41"/>
          <w:w w:val="105"/>
        </w:rPr>
        <w:t> </w:t>
      </w:r>
      <w:r>
        <w:rPr>
          <w:color w:val="231F20"/>
          <w:w w:val="105"/>
        </w:rPr>
        <w:t>Personas,</w:t>
      </w:r>
      <w:r>
        <w:rPr>
          <w:color w:val="231F20"/>
          <w:spacing w:val="-43"/>
          <w:w w:val="105"/>
        </w:rPr>
        <w:t> </w:t>
      </w:r>
      <w:r>
        <w:rPr>
          <w:color w:val="231F20"/>
          <w:w w:val="105"/>
        </w:rPr>
        <w:t>Constitución</w:t>
      </w:r>
      <w:r>
        <w:rPr>
          <w:color w:val="231F20"/>
          <w:spacing w:val="-41"/>
          <w:w w:val="105"/>
        </w:rPr>
        <w:t> </w:t>
      </w:r>
      <w:r>
        <w:rPr>
          <w:color w:val="231F20"/>
          <w:w w:val="105"/>
        </w:rPr>
        <w:t>Política</w:t>
      </w:r>
      <w:r>
        <w:rPr>
          <w:color w:val="231F20"/>
          <w:spacing w:val="-41"/>
          <w:w w:val="105"/>
        </w:rPr>
        <w:t> </w:t>
      </w:r>
      <w:r>
        <w:rPr>
          <w:color w:val="231F20"/>
          <w:w w:val="105"/>
        </w:rPr>
        <w:t>del</w:t>
      </w:r>
      <w:r>
        <w:rPr>
          <w:color w:val="231F20"/>
          <w:spacing w:val="-41"/>
          <w:w w:val="105"/>
        </w:rPr>
        <w:t> </w:t>
      </w:r>
      <w:r>
        <w:rPr>
          <w:color w:val="231F20"/>
          <w:w w:val="105"/>
        </w:rPr>
        <w:t>Estado Libre</w:t>
      </w:r>
      <w:r>
        <w:rPr>
          <w:color w:val="231F20"/>
          <w:spacing w:val="-28"/>
          <w:w w:val="105"/>
        </w:rPr>
        <w:t> </w:t>
      </w:r>
      <w:r>
        <w:rPr>
          <w:color w:val="231F20"/>
          <w:w w:val="105"/>
        </w:rPr>
        <w:t>y</w:t>
      </w:r>
      <w:r>
        <w:rPr>
          <w:color w:val="231F20"/>
          <w:spacing w:val="-28"/>
          <w:w w:val="105"/>
        </w:rPr>
        <w:t> </w:t>
      </w:r>
      <w:r>
        <w:rPr>
          <w:color w:val="231F20"/>
          <w:w w:val="105"/>
        </w:rPr>
        <w:t>Soberano</w:t>
      </w:r>
      <w:r>
        <w:rPr>
          <w:color w:val="231F20"/>
          <w:spacing w:val="-28"/>
          <w:w w:val="105"/>
        </w:rPr>
        <w:t> </w:t>
      </w:r>
      <w:r>
        <w:rPr>
          <w:color w:val="231F20"/>
          <w:w w:val="105"/>
        </w:rPr>
        <w:t>de</w:t>
      </w:r>
      <w:r>
        <w:rPr>
          <w:color w:val="231F20"/>
          <w:spacing w:val="-28"/>
          <w:w w:val="105"/>
        </w:rPr>
        <w:t> </w:t>
      </w:r>
      <w:r>
        <w:rPr>
          <w:color w:val="231F20"/>
          <w:w w:val="105"/>
        </w:rPr>
        <w:t>México,</w:t>
      </w:r>
      <w:r>
        <w:rPr>
          <w:color w:val="231F20"/>
          <w:spacing w:val="-32"/>
          <w:w w:val="105"/>
        </w:rPr>
        <w:t> </w:t>
      </w:r>
      <w:r>
        <w:rPr>
          <w:color w:val="231F20"/>
          <w:w w:val="105"/>
        </w:rPr>
        <w:t>Ley</w:t>
      </w:r>
      <w:r>
        <w:rPr>
          <w:color w:val="231F20"/>
          <w:spacing w:val="-28"/>
          <w:w w:val="105"/>
        </w:rPr>
        <w:t> </w:t>
      </w:r>
      <w:r>
        <w:rPr>
          <w:color w:val="231F20"/>
          <w:w w:val="105"/>
        </w:rPr>
        <w:t>para</w:t>
      </w:r>
      <w:r>
        <w:rPr>
          <w:color w:val="231F20"/>
          <w:spacing w:val="-28"/>
          <w:w w:val="105"/>
        </w:rPr>
        <w:t> </w:t>
      </w:r>
      <w:r>
        <w:rPr>
          <w:color w:val="231F20"/>
          <w:spacing w:val="-3"/>
          <w:w w:val="105"/>
        </w:rPr>
        <w:t>Prevenir,</w:t>
      </w:r>
      <w:r>
        <w:rPr>
          <w:color w:val="231F20"/>
          <w:spacing w:val="-32"/>
          <w:w w:val="105"/>
        </w:rPr>
        <w:t> </w:t>
      </w:r>
      <w:r>
        <w:rPr>
          <w:color w:val="231F20"/>
          <w:w w:val="105"/>
        </w:rPr>
        <w:t>Combatir</w:t>
      </w:r>
      <w:r>
        <w:rPr>
          <w:color w:val="231F20"/>
          <w:spacing w:val="-28"/>
          <w:w w:val="105"/>
        </w:rPr>
        <w:t> </w:t>
      </w:r>
      <w:r>
        <w:rPr>
          <w:color w:val="231F20"/>
          <w:w w:val="105"/>
        </w:rPr>
        <w:t>y</w:t>
      </w:r>
      <w:r>
        <w:rPr>
          <w:color w:val="231F20"/>
          <w:spacing w:val="-28"/>
          <w:w w:val="105"/>
        </w:rPr>
        <w:t> </w:t>
      </w:r>
      <w:r>
        <w:rPr>
          <w:color w:val="231F20"/>
          <w:w w:val="105"/>
        </w:rPr>
        <w:t>Eliminar</w:t>
      </w:r>
      <w:r>
        <w:rPr>
          <w:color w:val="231F20"/>
          <w:spacing w:val="-30"/>
          <w:w w:val="105"/>
        </w:rPr>
        <w:t> </w:t>
      </w:r>
      <w:r>
        <w:rPr>
          <w:color w:val="231F20"/>
          <w:w w:val="105"/>
        </w:rPr>
        <w:t>Actos de</w:t>
      </w:r>
      <w:r>
        <w:rPr>
          <w:color w:val="231F20"/>
          <w:spacing w:val="-13"/>
          <w:w w:val="105"/>
        </w:rPr>
        <w:t> </w:t>
      </w:r>
      <w:r>
        <w:rPr>
          <w:color w:val="231F20"/>
          <w:w w:val="105"/>
        </w:rPr>
        <w:t>Discriminación</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33"/>
          <w:w w:val="105"/>
        </w:rPr>
        <w:t> </w:t>
      </w:r>
      <w:r>
        <w:rPr>
          <w:color w:val="231F20"/>
          <w:w w:val="105"/>
        </w:rPr>
        <w:t>Ley</w:t>
      </w:r>
      <w:r>
        <w:rPr>
          <w:color w:val="231F20"/>
          <w:spacing w:val="-13"/>
          <w:w w:val="105"/>
        </w:rPr>
        <w:t> </w:t>
      </w:r>
      <w:r>
        <w:rPr>
          <w:color w:val="231F20"/>
          <w:w w:val="105"/>
        </w:rPr>
        <w:t>de</w:t>
      </w:r>
      <w:r>
        <w:rPr>
          <w:color w:val="231F20"/>
          <w:spacing w:val="-13"/>
          <w:w w:val="105"/>
        </w:rPr>
        <w:t> </w:t>
      </w:r>
      <w:r>
        <w:rPr>
          <w:color w:val="231F20"/>
          <w:w w:val="105"/>
        </w:rPr>
        <w:t>Protección</w:t>
      </w:r>
      <w:r>
        <w:rPr>
          <w:color w:val="231F20"/>
          <w:spacing w:val="-13"/>
          <w:w w:val="105"/>
        </w:rPr>
        <w:t> </w:t>
      </w:r>
      <w:r>
        <w:rPr>
          <w:color w:val="231F20"/>
          <w:w w:val="105"/>
        </w:rPr>
        <w:t>a</w:t>
      </w:r>
      <w:r>
        <w:rPr>
          <w:color w:val="231F20"/>
          <w:spacing w:val="-17"/>
          <w:w w:val="105"/>
        </w:rPr>
        <w:t> </w:t>
      </w:r>
      <w:r>
        <w:rPr>
          <w:color w:val="231F20"/>
          <w:w w:val="105"/>
        </w:rPr>
        <w:t>Vícti- mas</w:t>
      </w:r>
      <w:r>
        <w:rPr>
          <w:color w:val="231F20"/>
          <w:spacing w:val="-13"/>
          <w:w w:val="105"/>
        </w:rPr>
        <w:t> </w:t>
      </w:r>
      <w:r>
        <w:rPr>
          <w:color w:val="231F20"/>
          <w:w w:val="105"/>
        </w:rPr>
        <w:t>del</w:t>
      </w:r>
      <w:r>
        <w:rPr>
          <w:color w:val="231F20"/>
          <w:spacing w:val="-13"/>
          <w:w w:val="105"/>
        </w:rPr>
        <w:t> </w:t>
      </w:r>
      <w:r>
        <w:rPr>
          <w:color w:val="231F20"/>
          <w:w w:val="105"/>
        </w:rPr>
        <w:t>Delito</w:t>
      </w:r>
      <w:r>
        <w:rPr>
          <w:color w:val="231F20"/>
          <w:spacing w:val="-13"/>
          <w:w w:val="105"/>
        </w:rPr>
        <w:t> </w:t>
      </w:r>
      <w:r>
        <w:rPr>
          <w:color w:val="231F20"/>
          <w:w w:val="105"/>
        </w:rPr>
        <w:t>para</w:t>
      </w:r>
      <w:r>
        <w:rPr>
          <w:color w:val="231F20"/>
          <w:spacing w:val="-13"/>
          <w:w w:val="105"/>
        </w:rPr>
        <w:t> </w:t>
      </w:r>
      <w:r>
        <w:rPr>
          <w:color w:val="231F20"/>
          <w:w w:val="105"/>
        </w:rPr>
        <w:t>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p>
    <w:p>
      <w:pPr>
        <w:pStyle w:val="BodyText"/>
        <w:spacing w:line="261" w:lineRule="auto" w:before="1"/>
        <w:ind w:left="1723" w:right="1835" w:firstLine="567"/>
        <w:jc w:val="both"/>
      </w:pPr>
      <w:r>
        <w:rPr>
          <w:color w:val="231F20"/>
        </w:rPr>
        <w:t>Existe un rico engranaje jurídico que permitiría suponer una ade- cuada y completa protección de los menores; sin embargo, en todo el   país la aplicación de estas normas en los casos concretos encuentra nu- merosas dificultades técnicas y estructurales. El Estado de México no es la excepción, pero en modo alguno es la única entidad que enfrenta este tipo  de</w:t>
      </w:r>
      <w:r>
        <w:rPr>
          <w:color w:val="231F20"/>
          <w:spacing w:val="42"/>
        </w:rPr>
        <w:t> </w:t>
      </w:r>
      <w:r>
        <w:rPr>
          <w:color w:val="231F20"/>
        </w:rPr>
        <w:t>problemas.</w:t>
      </w:r>
    </w:p>
    <w:p>
      <w:pPr>
        <w:pStyle w:val="BodyText"/>
        <w:spacing w:line="261" w:lineRule="auto" w:before="1"/>
        <w:ind w:left="1723" w:right="1829" w:firstLine="566"/>
        <w:jc w:val="both"/>
      </w:pPr>
      <w:r>
        <w:rPr>
          <w:color w:val="231F20"/>
          <w:w w:val="105"/>
        </w:rPr>
        <w:t>Los</w:t>
      </w:r>
      <w:r>
        <w:rPr>
          <w:color w:val="231F20"/>
          <w:spacing w:val="-26"/>
          <w:w w:val="105"/>
        </w:rPr>
        <w:t> </w:t>
      </w:r>
      <w:r>
        <w:rPr>
          <w:color w:val="231F20"/>
          <w:w w:val="105"/>
          <w:sz w:val="17"/>
        </w:rPr>
        <w:t>NNA</w:t>
      </w:r>
      <w:r>
        <w:rPr>
          <w:color w:val="231F20"/>
          <w:spacing w:val="-14"/>
          <w:w w:val="105"/>
          <w:sz w:val="17"/>
        </w:rPr>
        <w:t> </w:t>
      </w:r>
      <w:r>
        <w:rPr>
          <w:color w:val="231F20"/>
          <w:w w:val="105"/>
        </w:rPr>
        <w:t>migrantes</w:t>
      </w:r>
      <w:r>
        <w:rPr>
          <w:color w:val="231F20"/>
          <w:spacing w:val="-26"/>
          <w:w w:val="105"/>
        </w:rPr>
        <w:t> </w:t>
      </w:r>
      <w:r>
        <w:rPr>
          <w:color w:val="231F20"/>
          <w:w w:val="105"/>
        </w:rPr>
        <w:t>irregulares</w:t>
      </w:r>
      <w:r>
        <w:rPr>
          <w:color w:val="231F20"/>
          <w:spacing w:val="-26"/>
          <w:w w:val="105"/>
        </w:rPr>
        <w:t> </w:t>
      </w:r>
      <w:r>
        <w:rPr>
          <w:color w:val="231F20"/>
          <w:w w:val="105"/>
        </w:rPr>
        <w:t>no</w:t>
      </w:r>
      <w:r>
        <w:rPr>
          <w:color w:val="231F20"/>
          <w:spacing w:val="-26"/>
          <w:w w:val="105"/>
        </w:rPr>
        <w:t> </w:t>
      </w:r>
      <w:r>
        <w:rPr>
          <w:color w:val="231F20"/>
          <w:w w:val="105"/>
        </w:rPr>
        <w:t>acompañados</w:t>
      </w:r>
      <w:r>
        <w:rPr>
          <w:color w:val="231F20"/>
          <w:spacing w:val="-26"/>
          <w:w w:val="105"/>
        </w:rPr>
        <w:t> </w:t>
      </w:r>
      <w:r>
        <w:rPr>
          <w:color w:val="231F20"/>
          <w:w w:val="105"/>
        </w:rPr>
        <w:t>entran</w:t>
      </w:r>
      <w:r>
        <w:rPr>
          <w:color w:val="231F20"/>
          <w:spacing w:val="-26"/>
          <w:w w:val="105"/>
        </w:rPr>
        <w:t> </w:t>
      </w:r>
      <w:r>
        <w:rPr>
          <w:color w:val="231F20"/>
          <w:w w:val="105"/>
        </w:rPr>
        <w:t>en</w:t>
      </w:r>
      <w:r>
        <w:rPr>
          <w:color w:val="231F20"/>
          <w:spacing w:val="-26"/>
          <w:w w:val="105"/>
        </w:rPr>
        <w:t> </w:t>
      </w:r>
      <w:r>
        <w:rPr>
          <w:color w:val="231F20"/>
          <w:w w:val="105"/>
        </w:rPr>
        <w:t>contacto con organismos estatales que vigilan la movilidad humana y los que se encargan de la protección de la niñez, verbigracia, el </w:t>
      </w:r>
      <w:r>
        <w:rPr>
          <w:color w:val="231F20"/>
          <w:w w:val="105"/>
          <w:sz w:val="17"/>
        </w:rPr>
        <w:t>INM </w:t>
      </w:r>
      <w:r>
        <w:rPr>
          <w:color w:val="231F20"/>
          <w:w w:val="105"/>
        </w:rPr>
        <w:t>y el Sistema Nacional para el Desarrollo Integral de la Familia (</w:t>
      </w:r>
      <w:r>
        <w:rPr>
          <w:color w:val="231F20"/>
          <w:w w:val="105"/>
          <w:sz w:val="17"/>
        </w:rPr>
        <w:t>DIF</w:t>
      </w:r>
      <w:r>
        <w:rPr>
          <w:color w:val="231F20"/>
          <w:w w:val="105"/>
        </w:rPr>
        <w:t>). En el Estado de México</w:t>
      </w:r>
      <w:r>
        <w:rPr>
          <w:color w:val="231F20"/>
          <w:spacing w:val="-14"/>
          <w:w w:val="105"/>
        </w:rPr>
        <w:t> </w:t>
      </w:r>
      <w:r>
        <w:rPr>
          <w:color w:val="231F20"/>
          <w:w w:val="105"/>
        </w:rPr>
        <w:t>existen</w:t>
      </w:r>
      <w:r>
        <w:rPr>
          <w:color w:val="231F20"/>
          <w:spacing w:val="-14"/>
          <w:w w:val="105"/>
        </w:rPr>
        <w:t> </w:t>
      </w:r>
      <w:r>
        <w:rPr>
          <w:color w:val="231F20"/>
          <w:w w:val="105"/>
        </w:rPr>
        <w:t>programas</w:t>
      </w:r>
      <w:r>
        <w:rPr>
          <w:color w:val="231F20"/>
          <w:spacing w:val="-14"/>
          <w:w w:val="105"/>
        </w:rPr>
        <w:t> </w:t>
      </w:r>
      <w:r>
        <w:rPr>
          <w:color w:val="231F20"/>
          <w:w w:val="105"/>
        </w:rPr>
        <w:t>y</w:t>
      </w:r>
      <w:r>
        <w:rPr>
          <w:color w:val="231F20"/>
          <w:spacing w:val="-14"/>
          <w:w w:val="105"/>
        </w:rPr>
        <w:t> </w:t>
      </w:r>
      <w:r>
        <w:rPr>
          <w:color w:val="231F20"/>
          <w:w w:val="105"/>
        </w:rPr>
        <w:t>estrategias</w:t>
      </w:r>
      <w:r>
        <w:rPr>
          <w:color w:val="231F20"/>
          <w:spacing w:val="-14"/>
          <w:w w:val="105"/>
        </w:rPr>
        <w:t> </w:t>
      </w:r>
      <w:r>
        <w:rPr>
          <w:color w:val="231F20"/>
          <w:w w:val="105"/>
        </w:rPr>
        <w:t>para</w:t>
      </w:r>
      <w:r>
        <w:rPr>
          <w:color w:val="231F20"/>
          <w:spacing w:val="-14"/>
          <w:w w:val="105"/>
        </w:rPr>
        <w:t> </w:t>
      </w:r>
      <w:r>
        <w:rPr>
          <w:color w:val="231F20"/>
          <w:w w:val="105"/>
        </w:rPr>
        <w:t>atender</w:t>
      </w:r>
      <w:r>
        <w:rPr>
          <w:color w:val="231F20"/>
          <w:spacing w:val="-14"/>
          <w:w w:val="105"/>
        </w:rPr>
        <w:t> </w:t>
      </w:r>
      <w:r>
        <w:rPr>
          <w:color w:val="231F20"/>
          <w:w w:val="105"/>
        </w:rPr>
        <w:t>tanto</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sz w:val="17"/>
        </w:rPr>
        <w:t>NNA</w:t>
      </w:r>
      <w:r>
        <w:rPr>
          <w:color w:val="231F20"/>
          <w:spacing w:val="-2"/>
          <w:w w:val="105"/>
          <w:sz w:val="17"/>
        </w:rPr>
        <w:t> </w:t>
      </w:r>
      <w:r>
        <w:rPr>
          <w:color w:val="231F20"/>
          <w:w w:val="105"/>
        </w:rPr>
        <w:t>mi- grantes irregulares no acompañados originarios del Estado de México, como</w:t>
      </w:r>
      <w:r>
        <w:rPr>
          <w:color w:val="231F20"/>
          <w:spacing w:val="-9"/>
          <w:w w:val="105"/>
        </w:rPr>
        <w:t> </w:t>
      </w:r>
      <w:r>
        <w:rPr>
          <w:color w:val="231F20"/>
          <w:w w:val="105"/>
        </w:rPr>
        <w:t>a</w:t>
      </w:r>
      <w:r>
        <w:rPr>
          <w:color w:val="231F20"/>
          <w:spacing w:val="-9"/>
          <w:w w:val="105"/>
        </w:rPr>
        <w:t> </w:t>
      </w:r>
      <w:r>
        <w:rPr>
          <w:color w:val="231F20"/>
          <w:w w:val="105"/>
        </w:rPr>
        <w:t>aquellos</w:t>
      </w:r>
      <w:r>
        <w:rPr>
          <w:color w:val="231F20"/>
          <w:spacing w:val="-9"/>
          <w:w w:val="105"/>
        </w:rPr>
        <w:t> </w:t>
      </w:r>
      <w:r>
        <w:rPr>
          <w:color w:val="231F20"/>
          <w:w w:val="105"/>
        </w:rPr>
        <w:t>que</w:t>
      </w:r>
      <w:r>
        <w:rPr>
          <w:color w:val="231F20"/>
          <w:spacing w:val="-9"/>
          <w:w w:val="105"/>
        </w:rPr>
        <w:t> </w:t>
      </w:r>
      <w:r>
        <w:rPr>
          <w:color w:val="231F20"/>
          <w:w w:val="105"/>
        </w:rPr>
        <w:t>son</w:t>
      </w:r>
      <w:r>
        <w:rPr>
          <w:color w:val="231F20"/>
          <w:spacing w:val="-9"/>
          <w:w w:val="105"/>
        </w:rPr>
        <w:t> </w:t>
      </w:r>
      <w:r>
        <w:rPr>
          <w:color w:val="231F20"/>
          <w:w w:val="105"/>
        </w:rPr>
        <w:t>detectados</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territorio.</w:t>
      </w:r>
    </w:p>
    <w:p>
      <w:pPr>
        <w:pStyle w:val="BodyText"/>
        <w:spacing w:line="261" w:lineRule="auto" w:before="1"/>
        <w:ind w:left="1723" w:right="1828" w:firstLine="567"/>
        <w:jc w:val="both"/>
      </w:pPr>
      <w:r>
        <w:rPr>
          <w:color w:val="231F20"/>
          <w:w w:val="105"/>
        </w:rPr>
        <w:t>En</w:t>
      </w:r>
      <w:r>
        <w:rPr>
          <w:color w:val="231F20"/>
          <w:spacing w:val="-18"/>
          <w:w w:val="105"/>
        </w:rPr>
        <w:t> </w:t>
      </w:r>
      <w:r>
        <w:rPr>
          <w:color w:val="231F20"/>
          <w:w w:val="105"/>
        </w:rPr>
        <w:t>este</w:t>
      </w:r>
      <w:r>
        <w:rPr>
          <w:color w:val="231F20"/>
          <w:spacing w:val="-18"/>
          <w:w w:val="105"/>
        </w:rPr>
        <w:t> </w:t>
      </w:r>
      <w:r>
        <w:rPr>
          <w:color w:val="231F20"/>
          <w:w w:val="105"/>
        </w:rPr>
        <w:t>orden,</w:t>
      </w:r>
      <w:r>
        <w:rPr>
          <w:color w:val="231F20"/>
          <w:spacing w:val="-25"/>
          <w:w w:val="105"/>
        </w:rPr>
        <w:t> </w:t>
      </w:r>
      <w:r>
        <w:rPr>
          <w:color w:val="231F20"/>
          <w:w w:val="105"/>
        </w:rPr>
        <w:t>aunque</w:t>
      </w:r>
      <w:r>
        <w:rPr>
          <w:color w:val="231F20"/>
          <w:spacing w:val="-18"/>
          <w:w w:val="105"/>
        </w:rPr>
        <w:t> </w:t>
      </w:r>
      <w:r>
        <w:rPr>
          <w:color w:val="231F20"/>
          <w:w w:val="105"/>
        </w:rPr>
        <w:t>desde</w:t>
      </w:r>
      <w:r>
        <w:rPr>
          <w:color w:val="231F20"/>
          <w:spacing w:val="-18"/>
          <w:w w:val="105"/>
        </w:rPr>
        <w:t> </w:t>
      </w:r>
      <w:r>
        <w:rPr>
          <w:color w:val="231F20"/>
          <w:w w:val="105"/>
        </w:rPr>
        <w:t>abril</w:t>
      </w:r>
      <w:r>
        <w:rPr>
          <w:color w:val="231F20"/>
          <w:spacing w:val="-18"/>
          <w:w w:val="105"/>
        </w:rPr>
        <w:t> </w:t>
      </w:r>
      <w:r>
        <w:rPr>
          <w:color w:val="231F20"/>
          <w:w w:val="105"/>
        </w:rPr>
        <w:t>de</w:t>
      </w:r>
      <w:r>
        <w:rPr>
          <w:color w:val="231F20"/>
          <w:spacing w:val="-18"/>
          <w:w w:val="105"/>
        </w:rPr>
        <w:t> </w:t>
      </w:r>
      <w:r>
        <w:rPr>
          <w:color w:val="231F20"/>
          <w:w w:val="105"/>
        </w:rPr>
        <w:t>2013</w:t>
      </w:r>
      <w:r>
        <w:rPr>
          <w:color w:val="231F20"/>
          <w:spacing w:val="-18"/>
          <w:w w:val="105"/>
        </w:rPr>
        <w:t> </w:t>
      </w:r>
      <w:r>
        <w:rPr>
          <w:color w:val="231F20"/>
          <w:w w:val="105"/>
        </w:rPr>
        <w:t>se</w:t>
      </w:r>
      <w:r>
        <w:rPr>
          <w:color w:val="231F20"/>
          <w:spacing w:val="-18"/>
          <w:w w:val="105"/>
        </w:rPr>
        <w:t> </w:t>
      </w:r>
      <w:r>
        <w:rPr>
          <w:color w:val="231F20"/>
          <w:w w:val="105"/>
        </w:rPr>
        <w:t>publicó</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Gaceta Oficial del Gobierno del Estado de México los </w:t>
      </w:r>
      <w:r>
        <w:rPr>
          <w:rFonts w:ascii="Arial" w:hAnsi="Arial"/>
          <w:i/>
          <w:color w:val="231F20"/>
          <w:w w:val="105"/>
        </w:rPr>
        <w:t>Lineamientos de opera- </w:t>
      </w:r>
      <w:r>
        <w:rPr>
          <w:rFonts w:ascii="Arial" w:hAnsi="Arial"/>
          <w:i/>
          <w:color w:val="231F20"/>
          <w:w w:val="105"/>
        </w:rPr>
        <w:t>ción</w:t>
      </w:r>
      <w:r>
        <w:rPr>
          <w:rFonts w:ascii="Arial" w:hAnsi="Arial"/>
          <w:i/>
          <w:color w:val="231F20"/>
          <w:spacing w:val="-31"/>
          <w:w w:val="105"/>
        </w:rPr>
        <w:t> </w:t>
      </w:r>
      <w:r>
        <w:rPr>
          <w:rFonts w:ascii="Arial" w:hAnsi="Arial"/>
          <w:i/>
          <w:color w:val="231F20"/>
          <w:w w:val="105"/>
        </w:rPr>
        <w:t>de</w:t>
      </w:r>
      <w:r>
        <w:rPr>
          <w:rFonts w:ascii="Arial" w:hAnsi="Arial"/>
          <w:i/>
          <w:color w:val="231F20"/>
          <w:spacing w:val="-31"/>
          <w:w w:val="105"/>
        </w:rPr>
        <w:t> </w:t>
      </w:r>
      <w:r>
        <w:rPr>
          <w:rFonts w:ascii="Arial" w:hAnsi="Arial"/>
          <w:i/>
          <w:color w:val="231F20"/>
          <w:w w:val="105"/>
        </w:rPr>
        <w:t>la</w:t>
      </w:r>
      <w:r>
        <w:rPr>
          <w:rFonts w:ascii="Arial" w:hAnsi="Arial"/>
          <w:i/>
          <w:color w:val="231F20"/>
          <w:spacing w:val="-31"/>
          <w:w w:val="105"/>
        </w:rPr>
        <w:t> </w:t>
      </w:r>
      <w:r>
        <w:rPr>
          <w:rFonts w:ascii="Arial" w:hAnsi="Arial"/>
          <w:i/>
          <w:color w:val="231F20"/>
          <w:w w:val="105"/>
        </w:rPr>
        <w:t>acción</w:t>
      </w:r>
      <w:r>
        <w:rPr>
          <w:rFonts w:ascii="Arial" w:hAnsi="Arial"/>
          <w:i/>
          <w:color w:val="231F20"/>
          <w:spacing w:val="-31"/>
          <w:w w:val="105"/>
        </w:rPr>
        <w:t> </w:t>
      </w:r>
      <w:r>
        <w:rPr>
          <w:rFonts w:ascii="Arial" w:hAnsi="Arial"/>
          <w:i/>
          <w:color w:val="231F20"/>
          <w:w w:val="105"/>
        </w:rPr>
        <w:t>de</w:t>
      </w:r>
      <w:r>
        <w:rPr>
          <w:rFonts w:ascii="Arial" w:hAnsi="Arial"/>
          <w:i/>
          <w:color w:val="231F20"/>
          <w:spacing w:val="-31"/>
          <w:w w:val="105"/>
        </w:rPr>
        <w:t> </w:t>
      </w:r>
      <w:r>
        <w:rPr>
          <w:rFonts w:ascii="Arial" w:hAnsi="Arial"/>
          <w:i/>
          <w:color w:val="231F20"/>
          <w:w w:val="105"/>
        </w:rPr>
        <w:t>desarrollo</w:t>
      </w:r>
      <w:r>
        <w:rPr>
          <w:rFonts w:ascii="Arial" w:hAnsi="Arial"/>
          <w:i/>
          <w:color w:val="231F20"/>
          <w:spacing w:val="-31"/>
          <w:w w:val="105"/>
        </w:rPr>
        <w:t> </w:t>
      </w:r>
      <w:r>
        <w:rPr>
          <w:rFonts w:ascii="Arial" w:hAnsi="Arial"/>
          <w:i/>
          <w:color w:val="231F20"/>
          <w:w w:val="105"/>
        </w:rPr>
        <w:t>social.</w:t>
      </w:r>
      <w:r>
        <w:rPr>
          <w:rFonts w:ascii="Arial" w:hAnsi="Arial"/>
          <w:i/>
          <w:color w:val="231F20"/>
          <w:spacing w:val="-35"/>
          <w:w w:val="105"/>
        </w:rPr>
        <w:t> </w:t>
      </w:r>
      <w:r>
        <w:rPr>
          <w:rFonts w:ascii="Arial" w:hAnsi="Arial"/>
          <w:i/>
          <w:color w:val="231F20"/>
          <w:w w:val="105"/>
        </w:rPr>
        <w:t>Estrategia</w:t>
      </w:r>
      <w:r>
        <w:rPr>
          <w:rFonts w:ascii="Arial" w:hAnsi="Arial"/>
          <w:i/>
          <w:color w:val="231F20"/>
          <w:spacing w:val="-31"/>
          <w:w w:val="105"/>
        </w:rPr>
        <w:t> </w:t>
      </w:r>
      <w:r>
        <w:rPr>
          <w:rFonts w:ascii="Arial" w:hAnsi="Arial"/>
          <w:i/>
          <w:color w:val="231F20"/>
          <w:w w:val="105"/>
        </w:rPr>
        <w:t>de</w:t>
      </w:r>
      <w:r>
        <w:rPr>
          <w:rFonts w:ascii="Arial" w:hAnsi="Arial"/>
          <w:i/>
          <w:color w:val="231F20"/>
          <w:spacing w:val="-31"/>
          <w:w w:val="105"/>
        </w:rPr>
        <w:t> </w:t>
      </w:r>
      <w:r>
        <w:rPr>
          <w:rFonts w:ascii="Arial" w:hAnsi="Arial"/>
          <w:i/>
          <w:color w:val="231F20"/>
          <w:w w:val="105"/>
        </w:rPr>
        <w:t>Prevención</w:t>
      </w:r>
      <w:r>
        <w:rPr>
          <w:rFonts w:ascii="Arial" w:hAnsi="Arial"/>
          <w:i/>
          <w:color w:val="231F20"/>
          <w:spacing w:val="-31"/>
          <w:w w:val="105"/>
        </w:rPr>
        <w:t> </w:t>
      </w:r>
      <w:r>
        <w:rPr>
          <w:rFonts w:ascii="Arial" w:hAnsi="Arial"/>
          <w:i/>
          <w:color w:val="231F20"/>
          <w:w w:val="105"/>
        </w:rPr>
        <w:t>y</w:t>
      </w:r>
      <w:r>
        <w:rPr>
          <w:rFonts w:ascii="Arial" w:hAnsi="Arial"/>
          <w:i/>
          <w:color w:val="231F20"/>
          <w:spacing w:val="-31"/>
          <w:w w:val="105"/>
        </w:rPr>
        <w:t> </w:t>
      </w:r>
      <w:r>
        <w:rPr>
          <w:rFonts w:ascii="Arial" w:hAnsi="Arial"/>
          <w:i/>
          <w:color w:val="231F20"/>
          <w:w w:val="105"/>
        </w:rPr>
        <w:t>atención a</w:t>
      </w:r>
      <w:r>
        <w:rPr>
          <w:rFonts w:ascii="Arial" w:hAnsi="Arial"/>
          <w:i/>
          <w:color w:val="231F20"/>
          <w:spacing w:val="-17"/>
          <w:w w:val="105"/>
        </w:rPr>
        <w:t> </w:t>
      </w:r>
      <w:r>
        <w:rPr>
          <w:rFonts w:ascii="Arial" w:hAnsi="Arial"/>
          <w:i/>
          <w:color w:val="231F20"/>
          <w:w w:val="105"/>
        </w:rPr>
        <w:t>niñas,</w:t>
      </w:r>
      <w:r>
        <w:rPr>
          <w:rFonts w:ascii="Arial" w:hAnsi="Arial"/>
          <w:i/>
          <w:color w:val="231F20"/>
          <w:spacing w:val="-21"/>
          <w:w w:val="105"/>
        </w:rPr>
        <w:t> </w:t>
      </w:r>
      <w:r>
        <w:rPr>
          <w:rFonts w:ascii="Arial" w:hAnsi="Arial"/>
          <w:i/>
          <w:color w:val="231F20"/>
          <w:w w:val="105"/>
        </w:rPr>
        <w:t>niños</w:t>
      </w:r>
      <w:r>
        <w:rPr>
          <w:rFonts w:ascii="Arial" w:hAnsi="Arial"/>
          <w:i/>
          <w:color w:val="231F20"/>
          <w:spacing w:val="-17"/>
          <w:w w:val="105"/>
        </w:rPr>
        <w:t> </w:t>
      </w:r>
      <w:r>
        <w:rPr>
          <w:rFonts w:ascii="Arial" w:hAnsi="Arial"/>
          <w:i/>
          <w:color w:val="231F20"/>
          <w:w w:val="105"/>
        </w:rPr>
        <w:t>y</w:t>
      </w:r>
      <w:r>
        <w:rPr>
          <w:rFonts w:ascii="Arial" w:hAnsi="Arial"/>
          <w:i/>
          <w:color w:val="231F20"/>
          <w:spacing w:val="-17"/>
          <w:w w:val="105"/>
        </w:rPr>
        <w:t> </w:t>
      </w:r>
      <w:r>
        <w:rPr>
          <w:rFonts w:ascii="Arial" w:hAnsi="Arial"/>
          <w:i/>
          <w:color w:val="231F20"/>
          <w:w w:val="105"/>
        </w:rPr>
        <w:t>adolescentes</w:t>
      </w:r>
      <w:r>
        <w:rPr>
          <w:rFonts w:ascii="Arial" w:hAnsi="Arial"/>
          <w:i/>
          <w:color w:val="231F20"/>
          <w:spacing w:val="-17"/>
          <w:w w:val="105"/>
        </w:rPr>
        <w:t> </w:t>
      </w:r>
      <w:r>
        <w:rPr>
          <w:rFonts w:ascii="Arial" w:hAnsi="Arial"/>
          <w:i/>
          <w:color w:val="231F20"/>
          <w:w w:val="105"/>
        </w:rPr>
        <w:t>migrantes</w:t>
      </w:r>
      <w:r>
        <w:rPr>
          <w:rFonts w:ascii="Arial" w:hAnsi="Arial"/>
          <w:i/>
          <w:color w:val="231F20"/>
          <w:spacing w:val="-17"/>
          <w:w w:val="105"/>
        </w:rPr>
        <w:t> </w:t>
      </w:r>
      <w:r>
        <w:rPr>
          <w:rFonts w:ascii="Arial" w:hAnsi="Arial"/>
          <w:i/>
          <w:color w:val="231F20"/>
          <w:w w:val="105"/>
        </w:rPr>
        <w:t>y</w:t>
      </w:r>
      <w:r>
        <w:rPr>
          <w:rFonts w:ascii="Arial" w:hAnsi="Arial"/>
          <w:i/>
          <w:color w:val="231F20"/>
          <w:spacing w:val="-17"/>
          <w:w w:val="105"/>
        </w:rPr>
        <w:t> </w:t>
      </w:r>
      <w:r>
        <w:rPr>
          <w:rFonts w:ascii="Arial" w:hAnsi="Arial"/>
          <w:i/>
          <w:color w:val="231F20"/>
          <w:w w:val="105"/>
        </w:rPr>
        <w:t>repatriados</w:t>
      </w:r>
      <w:r>
        <w:rPr>
          <w:rFonts w:ascii="Arial" w:hAnsi="Arial"/>
          <w:i/>
          <w:color w:val="231F20"/>
          <w:spacing w:val="-17"/>
          <w:w w:val="105"/>
        </w:rPr>
        <w:t> </w:t>
      </w:r>
      <w:r>
        <w:rPr>
          <w:rFonts w:ascii="Arial" w:hAnsi="Arial"/>
          <w:i/>
          <w:color w:val="231F20"/>
          <w:w w:val="105"/>
        </w:rPr>
        <w:t>no</w:t>
      </w:r>
      <w:r>
        <w:rPr>
          <w:rFonts w:ascii="Arial" w:hAnsi="Arial"/>
          <w:i/>
          <w:color w:val="231F20"/>
          <w:spacing w:val="-17"/>
          <w:w w:val="105"/>
        </w:rPr>
        <w:t> </w:t>
      </w:r>
      <w:r>
        <w:rPr>
          <w:rFonts w:ascii="Arial" w:hAnsi="Arial"/>
          <w:i/>
          <w:color w:val="231F20"/>
          <w:w w:val="105"/>
        </w:rPr>
        <w:t>acompañados</w:t>
      </w:r>
      <w:r>
        <w:rPr>
          <w:color w:val="231F20"/>
          <w:w w:val="105"/>
        </w:rPr>
        <w:t>, también operan de forma conjunta otros programas más consolidados como el </w:t>
      </w:r>
      <w:r>
        <w:rPr>
          <w:color w:val="231F20"/>
          <w:spacing w:val="-3"/>
          <w:w w:val="105"/>
        </w:rPr>
        <w:t>Programa </w:t>
      </w:r>
      <w:r>
        <w:rPr>
          <w:color w:val="231F20"/>
          <w:w w:val="105"/>
        </w:rPr>
        <w:t>de Atención a Menores </w:t>
      </w:r>
      <w:r>
        <w:rPr>
          <w:color w:val="231F20"/>
          <w:spacing w:val="-3"/>
          <w:w w:val="105"/>
        </w:rPr>
        <w:t>Trabajadores </w:t>
      </w:r>
      <w:r>
        <w:rPr>
          <w:color w:val="231F20"/>
          <w:w w:val="105"/>
        </w:rPr>
        <w:t>Urbano Margi- nales</w:t>
      </w:r>
      <w:r>
        <w:rPr>
          <w:color w:val="231F20"/>
          <w:spacing w:val="-19"/>
          <w:w w:val="105"/>
        </w:rPr>
        <w:t> </w:t>
      </w:r>
      <w:r>
        <w:rPr>
          <w:color w:val="231F20"/>
          <w:w w:val="105"/>
        </w:rPr>
        <w:t>(</w:t>
      </w:r>
      <w:r>
        <w:rPr>
          <w:color w:val="231F20"/>
          <w:w w:val="105"/>
          <w:sz w:val="17"/>
        </w:rPr>
        <w:t>METRUM</w:t>
      </w:r>
      <w:r>
        <w:rPr>
          <w:color w:val="231F20"/>
          <w:w w:val="105"/>
        </w:rPr>
        <w:t>),</w:t>
      </w:r>
      <w:r>
        <w:rPr>
          <w:color w:val="231F20"/>
          <w:spacing w:val="-24"/>
          <w:w w:val="105"/>
        </w:rPr>
        <w:t> </w:t>
      </w:r>
      <w:r>
        <w:rPr>
          <w:color w:val="231F20"/>
          <w:w w:val="105"/>
        </w:rPr>
        <w:t>que</w:t>
      </w:r>
      <w:r>
        <w:rPr>
          <w:color w:val="231F20"/>
          <w:spacing w:val="-19"/>
          <w:w w:val="105"/>
        </w:rPr>
        <w:t> </w:t>
      </w:r>
      <w:r>
        <w:rPr>
          <w:color w:val="231F20"/>
          <w:w w:val="105"/>
        </w:rPr>
        <w:t>no</w:t>
      </w:r>
      <w:r>
        <w:rPr>
          <w:color w:val="231F20"/>
          <w:spacing w:val="-19"/>
          <w:w w:val="105"/>
        </w:rPr>
        <w:t> </w:t>
      </w:r>
      <w:r>
        <w:rPr>
          <w:color w:val="231F20"/>
          <w:w w:val="105"/>
        </w:rPr>
        <w:t>necesariamente</w:t>
      </w:r>
      <w:r>
        <w:rPr>
          <w:color w:val="231F20"/>
          <w:spacing w:val="-19"/>
          <w:w w:val="105"/>
        </w:rPr>
        <w:t> </w:t>
      </w:r>
      <w:r>
        <w:rPr>
          <w:color w:val="231F20"/>
          <w:w w:val="105"/>
        </w:rPr>
        <w:t>se</w:t>
      </w:r>
      <w:r>
        <w:rPr>
          <w:color w:val="231F20"/>
          <w:spacing w:val="-19"/>
          <w:w w:val="105"/>
        </w:rPr>
        <w:t> </w:t>
      </w:r>
      <w:r>
        <w:rPr>
          <w:color w:val="231F20"/>
          <w:w w:val="105"/>
        </w:rPr>
        <w:t>refiere</w:t>
      </w:r>
      <w:r>
        <w:rPr>
          <w:color w:val="231F20"/>
          <w:spacing w:val="-19"/>
          <w:w w:val="105"/>
        </w:rPr>
        <w:t> </w:t>
      </w:r>
      <w:r>
        <w:rPr>
          <w:color w:val="231F20"/>
          <w:w w:val="105"/>
        </w:rPr>
        <w:t>a</w:t>
      </w:r>
      <w:r>
        <w:rPr>
          <w:color w:val="231F20"/>
          <w:spacing w:val="-19"/>
          <w:w w:val="105"/>
        </w:rPr>
        <w:t> </w:t>
      </w:r>
      <w:r>
        <w:rPr>
          <w:color w:val="231F20"/>
          <w:w w:val="105"/>
        </w:rPr>
        <w:t>migrantes,</w:t>
      </w:r>
      <w:r>
        <w:rPr>
          <w:color w:val="231F20"/>
          <w:spacing w:val="-24"/>
          <w:w w:val="105"/>
        </w:rPr>
        <w:t> </w:t>
      </w:r>
      <w:r>
        <w:rPr>
          <w:color w:val="231F20"/>
          <w:w w:val="105"/>
        </w:rPr>
        <w:t>pero</w:t>
      </w:r>
      <w:r>
        <w:rPr>
          <w:color w:val="231F20"/>
          <w:spacing w:val="-19"/>
          <w:w w:val="105"/>
        </w:rPr>
        <w:t> </w:t>
      </w:r>
      <w:r>
        <w:rPr>
          <w:color w:val="231F20"/>
          <w:w w:val="105"/>
        </w:rPr>
        <w:t>que se</w:t>
      </w:r>
      <w:r>
        <w:rPr>
          <w:color w:val="231F20"/>
          <w:spacing w:val="-24"/>
          <w:w w:val="105"/>
        </w:rPr>
        <w:t> </w:t>
      </w:r>
      <w:r>
        <w:rPr>
          <w:color w:val="231F20"/>
          <w:w w:val="105"/>
        </w:rPr>
        <w:t>encuentra</w:t>
      </w:r>
      <w:r>
        <w:rPr>
          <w:color w:val="231F20"/>
          <w:spacing w:val="-24"/>
          <w:w w:val="105"/>
        </w:rPr>
        <w:t> </w:t>
      </w:r>
      <w:r>
        <w:rPr>
          <w:color w:val="231F20"/>
          <w:w w:val="105"/>
        </w:rPr>
        <w:t>integrado</w:t>
      </w:r>
      <w:r>
        <w:rPr>
          <w:color w:val="231F20"/>
          <w:spacing w:val="-24"/>
          <w:w w:val="105"/>
        </w:rPr>
        <w:t> </w:t>
      </w:r>
      <w:r>
        <w:rPr>
          <w:color w:val="231F20"/>
          <w:w w:val="105"/>
        </w:rPr>
        <w:t>con</w:t>
      </w:r>
      <w:r>
        <w:rPr>
          <w:color w:val="231F20"/>
          <w:spacing w:val="-24"/>
          <w:w w:val="105"/>
        </w:rPr>
        <w:t> </w:t>
      </w:r>
      <w:r>
        <w:rPr>
          <w:color w:val="231F20"/>
          <w:w w:val="105"/>
        </w:rPr>
        <w:t>el</w:t>
      </w:r>
      <w:r>
        <w:rPr>
          <w:color w:val="231F20"/>
          <w:spacing w:val="-24"/>
          <w:w w:val="105"/>
        </w:rPr>
        <w:t> </w:t>
      </w:r>
      <w:r>
        <w:rPr>
          <w:color w:val="231F20"/>
          <w:w w:val="105"/>
        </w:rPr>
        <w:t>Sistema</w:t>
      </w:r>
      <w:r>
        <w:rPr>
          <w:color w:val="231F20"/>
          <w:spacing w:val="-24"/>
          <w:w w:val="105"/>
        </w:rPr>
        <w:t> </w:t>
      </w:r>
      <w:r>
        <w:rPr>
          <w:color w:val="231F20"/>
          <w:w w:val="105"/>
          <w:sz w:val="17"/>
        </w:rPr>
        <w:t>DIF</w:t>
      </w:r>
      <w:r>
        <w:rPr>
          <w:color w:val="231F20"/>
          <w:spacing w:val="-14"/>
          <w:w w:val="105"/>
          <w:sz w:val="17"/>
        </w:rPr>
        <w:t> </w:t>
      </w:r>
      <w:r>
        <w:rPr>
          <w:color w:val="231F20"/>
          <w:w w:val="105"/>
        </w:rPr>
        <w:t>nacional</w:t>
      </w:r>
      <w:r>
        <w:rPr>
          <w:color w:val="231F20"/>
          <w:spacing w:val="-24"/>
          <w:w w:val="105"/>
        </w:rPr>
        <w:t> </w:t>
      </w:r>
      <w:r>
        <w:rPr>
          <w:color w:val="231F20"/>
          <w:w w:val="105"/>
        </w:rPr>
        <w:t>y</w:t>
      </w:r>
      <w:r>
        <w:rPr>
          <w:color w:val="231F20"/>
          <w:spacing w:val="-24"/>
          <w:w w:val="105"/>
        </w:rPr>
        <w:t> </w:t>
      </w:r>
      <w:r>
        <w:rPr>
          <w:color w:val="231F20"/>
          <w:w w:val="105"/>
        </w:rPr>
        <w:t>los</w:t>
      </w:r>
      <w:r>
        <w:rPr>
          <w:color w:val="231F20"/>
          <w:spacing w:val="-24"/>
          <w:w w:val="105"/>
        </w:rPr>
        <w:t> </w:t>
      </w:r>
      <w:r>
        <w:rPr>
          <w:color w:val="231F20"/>
          <w:w w:val="105"/>
        </w:rPr>
        <w:t>sistemas</w:t>
      </w:r>
      <w:r>
        <w:rPr>
          <w:color w:val="231F20"/>
          <w:spacing w:val="-24"/>
          <w:w w:val="105"/>
        </w:rPr>
        <w:t> </w:t>
      </w:r>
      <w:r>
        <w:rPr>
          <w:color w:val="231F20"/>
          <w:w w:val="105"/>
          <w:sz w:val="17"/>
        </w:rPr>
        <w:t>DIF</w:t>
      </w:r>
      <w:r>
        <w:rPr>
          <w:color w:val="231F20"/>
          <w:spacing w:val="-14"/>
          <w:w w:val="105"/>
          <w:sz w:val="17"/>
        </w:rPr>
        <w:t> </w:t>
      </w:r>
      <w:r>
        <w:rPr>
          <w:color w:val="231F20"/>
          <w:w w:val="105"/>
        </w:rPr>
        <w:t>mu- nicipales</w:t>
      </w:r>
      <w:r>
        <w:rPr>
          <w:color w:val="231F20"/>
          <w:spacing w:val="-22"/>
          <w:w w:val="105"/>
        </w:rPr>
        <w:t> </w:t>
      </w:r>
      <w:r>
        <w:rPr>
          <w:color w:val="231F20"/>
          <w:w w:val="105"/>
        </w:rPr>
        <w:t>(</w:t>
      </w:r>
      <w:r>
        <w:rPr>
          <w:color w:val="231F20"/>
          <w:w w:val="105"/>
          <w:sz w:val="17"/>
        </w:rPr>
        <w:t>SMDIF</w:t>
      </w:r>
      <w:r>
        <w:rPr>
          <w:color w:val="231F20"/>
          <w:w w:val="105"/>
        </w:rPr>
        <w:t>)</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entidad.</w:t>
      </w:r>
      <w:r>
        <w:rPr>
          <w:color w:val="231F20"/>
          <w:spacing w:val="-27"/>
          <w:w w:val="105"/>
        </w:rPr>
        <w:t> </w:t>
      </w:r>
      <w:r>
        <w:rPr>
          <w:color w:val="231F20"/>
          <w:w w:val="105"/>
        </w:rPr>
        <w:t>Impulsando</w:t>
      </w:r>
      <w:r>
        <w:rPr>
          <w:color w:val="231F20"/>
          <w:spacing w:val="-22"/>
          <w:w w:val="105"/>
        </w:rPr>
        <w:t> </w:t>
      </w:r>
      <w:r>
        <w:rPr>
          <w:color w:val="231F20"/>
          <w:w w:val="105"/>
        </w:rPr>
        <w:t>que</w:t>
      </w:r>
      <w:r>
        <w:rPr>
          <w:color w:val="231F20"/>
          <w:spacing w:val="-22"/>
          <w:w w:val="105"/>
        </w:rPr>
        <w:t> </w:t>
      </w:r>
      <w:r>
        <w:rPr>
          <w:color w:val="231F20"/>
          <w:w w:val="105"/>
        </w:rPr>
        <w:t>los</w:t>
      </w:r>
      <w:r>
        <w:rPr>
          <w:color w:val="231F20"/>
          <w:spacing w:val="-22"/>
          <w:w w:val="105"/>
        </w:rPr>
        <w:t> </w:t>
      </w:r>
      <w:r>
        <w:rPr>
          <w:color w:val="231F20"/>
          <w:w w:val="105"/>
        </w:rPr>
        <w:t>menores</w:t>
      </w:r>
      <w:r>
        <w:rPr>
          <w:color w:val="231F20"/>
          <w:spacing w:val="-22"/>
          <w:w w:val="105"/>
        </w:rPr>
        <w:t> </w:t>
      </w:r>
      <w:r>
        <w:rPr>
          <w:color w:val="231F20"/>
          <w:w w:val="105"/>
        </w:rPr>
        <w:t>ubicados</w:t>
      </w:r>
      <w:r>
        <w:rPr>
          <w:color w:val="231F20"/>
          <w:spacing w:val="-22"/>
          <w:w w:val="105"/>
        </w:rPr>
        <w:t> </w:t>
      </w:r>
      <w:r>
        <w:rPr>
          <w:color w:val="231F20"/>
          <w:w w:val="105"/>
        </w:rPr>
        <w:t>en albergues</w:t>
      </w:r>
      <w:r>
        <w:rPr>
          <w:color w:val="231F20"/>
          <w:spacing w:val="-19"/>
          <w:w w:val="105"/>
        </w:rPr>
        <w:t> </w:t>
      </w:r>
      <w:r>
        <w:rPr>
          <w:color w:val="231F20"/>
          <w:w w:val="105"/>
        </w:rPr>
        <w:t>o</w:t>
      </w:r>
      <w:r>
        <w:rPr>
          <w:color w:val="231F20"/>
          <w:spacing w:val="-19"/>
          <w:w w:val="105"/>
        </w:rPr>
        <w:t> </w:t>
      </w:r>
      <w:r>
        <w:rPr>
          <w:color w:val="231F20"/>
          <w:w w:val="105"/>
        </w:rPr>
        <w:t>estaciones</w:t>
      </w:r>
      <w:r>
        <w:rPr>
          <w:color w:val="231F20"/>
          <w:spacing w:val="-19"/>
          <w:w w:val="105"/>
        </w:rPr>
        <w:t> </w:t>
      </w:r>
      <w:r>
        <w:rPr>
          <w:color w:val="231F20"/>
          <w:w w:val="105"/>
        </w:rPr>
        <w:t>migratorias</w:t>
      </w:r>
      <w:r>
        <w:rPr>
          <w:color w:val="231F20"/>
          <w:spacing w:val="-19"/>
          <w:w w:val="105"/>
        </w:rPr>
        <w:t> </w:t>
      </w:r>
      <w:r>
        <w:rPr>
          <w:color w:val="231F20"/>
          <w:w w:val="105"/>
        </w:rPr>
        <w:t>de</w:t>
      </w:r>
      <w:r>
        <w:rPr>
          <w:color w:val="231F20"/>
          <w:spacing w:val="-19"/>
          <w:w w:val="105"/>
        </w:rPr>
        <w:t> </w:t>
      </w:r>
      <w:r>
        <w:rPr>
          <w:color w:val="231F20"/>
          <w:w w:val="105"/>
        </w:rPr>
        <w:t>otras</w:t>
      </w:r>
      <w:r>
        <w:rPr>
          <w:color w:val="231F20"/>
          <w:spacing w:val="-19"/>
          <w:w w:val="105"/>
        </w:rPr>
        <w:t> </w:t>
      </w:r>
      <w:r>
        <w:rPr>
          <w:color w:val="231F20"/>
          <w:w w:val="105"/>
        </w:rPr>
        <w:t>entidades</w:t>
      </w:r>
      <w:r>
        <w:rPr>
          <w:color w:val="231F20"/>
          <w:spacing w:val="-19"/>
          <w:w w:val="105"/>
        </w:rPr>
        <w:t> </w:t>
      </w:r>
      <w:r>
        <w:rPr>
          <w:color w:val="231F20"/>
          <w:w w:val="105"/>
        </w:rPr>
        <w:t>federativas,</w:t>
      </w:r>
      <w:r>
        <w:rPr>
          <w:color w:val="231F20"/>
          <w:spacing w:val="-23"/>
          <w:w w:val="105"/>
        </w:rPr>
        <w:t> </w:t>
      </w:r>
      <w:r>
        <w:rPr>
          <w:color w:val="231F20"/>
          <w:w w:val="105"/>
        </w:rPr>
        <w:t>y</w:t>
      </w:r>
      <w:r>
        <w:rPr>
          <w:color w:val="231F20"/>
          <w:spacing w:val="-19"/>
          <w:w w:val="105"/>
        </w:rPr>
        <w:t> </w:t>
      </w:r>
      <w:r>
        <w:rPr>
          <w:color w:val="231F20"/>
          <w:w w:val="105"/>
        </w:rPr>
        <w:t>que se digan oriundos del Estado de México, puedan ser contactados con sus</w:t>
      </w:r>
      <w:r>
        <w:rPr>
          <w:color w:val="231F20"/>
          <w:spacing w:val="-28"/>
          <w:w w:val="105"/>
        </w:rPr>
        <w:t> </w:t>
      </w:r>
      <w:r>
        <w:rPr>
          <w:color w:val="231F20"/>
          <w:w w:val="105"/>
        </w:rPr>
        <w:t>familiares</w:t>
      </w:r>
      <w:r>
        <w:rPr>
          <w:color w:val="231F20"/>
          <w:spacing w:val="-28"/>
          <w:w w:val="105"/>
        </w:rPr>
        <w:t> </w:t>
      </w:r>
      <w:r>
        <w:rPr>
          <w:color w:val="231F20"/>
          <w:w w:val="105"/>
        </w:rPr>
        <w:t>y</w:t>
      </w:r>
      <w:r>
        <w:rPr>
          <w:color w:val="231F20"/>
          <w:spacing w:val="-28"/>
          <w:w w:val="105"/>
        </w:rPr>
        <w:t> </w:t>
      </w:r>
      <w:r>
        <w:rPr>
          <w:color w:val="231F20"/>
          <w:w w:val="105"/>
        </w:rPr>
        <w:t>reincorporados</w:t>
      </w:r>
      <w:r>
        <w:rPr>
          <w:color w:val="231F20"/>
          <w:spacing w:val="-28"/>
          <w:w w:val="105"/>
        </w:rPr>
        <w:t> </w:t>
      </w:r>
      <w:r>
        <w:rPr>
          <w:color w:val="231F20"/>
          <w:w w:val="105"/>
        </w:rPr>
        <w:t>a</w:t>
      </w:r>
      <w:r>
        <w:rPr>
          <w:color w:val="231F20"/>
          <w:spacing w:val="-28"/>
          <w:w w:val="105"/>
        </w:rPr>
        <w:t> </w:t>
      </w:r>
      <w:r>
        <w:rPr>
          <w:color w:val="231F20"/>
          <w:w w:val="105"/>
        </w:rPr>
        <w:t>su</w:t>
      </w:r>
      <w:r>
        <w:rPr>
          <w:color w:val="231F20"/>
          <w:spacing w:val="-28"/>
          <w:w w:val="105"/>
        </w:rPr>
        <w:t> </w:t>
      </w:r>
      <w:r>
        <w:rPr>
          <w:color w:val="231F20"/>
          <w:w w:val="105"/>
        </w:rPr>
        <w:t>núcleo</w:t>
      </w:r>
      <w:r>
        <w:rPr>
          <w:color w:val="231F20"/>
          <w:spacing w:val="-28"/>
          <w:w w:val="105"/>
        </w:rPr>
        <w:t> </w:t>
      </w:r>
      <w:r>
        <w:rPr>
          <w:color w:val="231F20"/>
          <w:w w:val="105"/>
        </w:rPr>
        <w:t>familiar.</w:t>
      </w:r>
      <w:r>
        <w:rPr>
          <w:color w:val="231F20"/>
          <w:spacing w:val="-33"/>
          <w:w w:val="105"/>
        </w:rPr>
        <w:t> </w:t>
      </w:r>
      <w:r>
        <w:rPr>
          <w:color w:val="231F20"/>
          <w:w w:val="105"/>
        </w:rPr>
        <w:t>Durante</w:t>
      </w:r>
      <w:r>
        <w:rPr>
          <w:color w:val="231F20"/>
          <w:spacing w:val="-28"/>
          <w:w w:val="105"/>
        </w:rPr>
        <w:t> </w:t>
      </w:r>
      <w:r>
        <w:rPr>
          <w:color w:val="231F20"/>
          <w:w w:val="105"/>
        </w:rPr>
        <w:t>2010,</w:t>
      </w:r>
      <w:r>
        <w:rPr>
          <w:color w:val="231F20"/>
          <w:spacing w:val="-33"/>
          <w:w w:val="105"/>
        </w:rPr>
        <w:t> </w:t>
      </w:r>
      <w:r>
        <w:rPr>
          <w:color w:val="231F20"/>
          <w:w w:val="105"/>
        </w:rPr>
        <w:t>fueron detectados 686 </w:t>
      </w:r>
      <w:r>
        <w:rPr>
          <w:color w:val="231F20"/>
          <w:w w:val="105"/>
          <w:sz w:val="17"/>
        </w:rPr>
        <w:t>NNA </w:t>
      </w:r>
      <w:r>
        <w:rPr>
          <w:color w:val="231F20"/>
          <w:w w:val="105"/>
        </w:rPr>
        <w:t>migrantes irregulares no acompañados mexiquen- ses,</w:t>
      </w:r>
      <w:r>
        <w:rPr>
          <w:color w:val="231F20"/>
          <w:spacing w:val="-28"/>
          <w:w w:val="105"/>
        </w:rPr>
        <w:t> </w:t>
      </w:r>
      <w:r>
        <w:rPr>
          <w:color w:val="231F20"/>
          <w:w w:val="105"/>
        </w:rPr>
        <w:t>siendo</w:t>
      </w:r>
      <w:r>
        <w:rPr>
          <w:color w:val="231F20"/>
          <w:spacing w:val="-28"/>
          <w:w w:val="105"/>
        </w:rPr>
        <w:t> </w:t>
      </w:r>
      <w:r>
        <w:rPr>
          <w:color w:val="231F20"/>
          <w:spacing w:val="-3"/>
          <w:w w:val="105"/>
        </w:rPr>
        <w:t>Toluca,</w:t>
      </w:r>
      <w:r>
        <w:rPr>
          <w:color w:val="231F20"/>
          <w:spacing w:val="-28"/>
          <w:w w:val="105"/>
        </w:rPr>
        <w:t> </w:t>
      </w:r>
      <w:r>
        <w:rPr>
          <w:color w:val="231F20"/>
          <w:w w:val="105"/>
        </w:rPr>
        <w:t>Ecatepec</w:t>
      </w:r>
      <w:r>
        <w:rPr>
          <w:color w:val="231F20"/>
          <w:spacing w:val="-24"/>
          <w:w w:val="105"/>
        </w:rPr>
        <w:t> </w:t>
      </w:r>
      <w:r>
        <w:rPr>
          <w:color w:val="231F20"/>
          <w:w w:val="105"/>
        </w:rPr>
        <w:t>y</w:t>
      </w:r>
      <w:r>
        <w:rPr>
          <w:color w:val="231F20"/>
          <w:spacing w:val="-24"/>
          <w:w w:val="105"/>
        </w:rPr>
        <w:t> </w:t>
      </w:r>
      <w:r>
        <w:rPr>
          <w:color w:val="231F20"/>
          <w:w w:val="105"/>
        </w:rPr>
        <w:t>Nezahualcóyotl</w:t>
      </w:r>
      <w:r>
        <w:rPr>
          <w:color w:val="231F20"/>
          <w:spacing w:val="-24"/>
          <w:w w:val="105"/>
        </w:rPr>
        <w:t> </w:t>
      </w:r>
      <w:r>
        <w:rPr>
          <w:color w:val="231F20"/>
          <w:w w:val="105"/>
        </w:rPr>
        <w:t>los</w:t>
      </w:r>
      <w:r>
        <w:rPr>
          <w:color w:val="231F20"/>
          <w:spacing w:val="-24"/>
          <w:w w:val="105"/>
        </w:rPr>
        <w:t> </w:t>
      </w:r>
      <w:r>
        <w:rPr>
          <w:color w:val="231F20"/>
          <w:w w:val="105"/>
        </w:rPr>
        <w:t>municipios</w:t>
      </w:r>
      <w:r>
        <w:rPr>
          <w:color w:val="231F20"/>
          <w:spacing w:val="-24"/>
          <w:w w:val="105"/>
        </w:rPr>
        <w:t> </w:t>
      </w:r>
      <w:r>
        <w:rPr>
          <w:color w:val="231F20"/>
          <w:w w:val="105"/>
        </w:rPr>
        <w:t>que</w:t>
      </w:r>
      <w:r>
        <w:rPr>
          <w:color w:val="231F20"/>
          <w:spacing w:val="-24"/>
          <w:w w:val="105"/>
        </w:rPr>
        <w:t> </w:t>
      </w:r>
      <w:r>
        <w:rPr>
          <w:color w:val="231F20"/>
          <w:w w:val="105"/>
        </w:rPr>
        <w:t>mayor</w:t>
      </w:r>
    </w:p>
    <w:p>
      <w:pPr>
        <w:pStyle w:val="BodyText"/>
        <w:rPr>
          <w:sz w:val="20"/>
        </w:rPr>
      </w:pPr>
    </w:p>
    <w:p>
      <w:pPr>
        <w:pStyle w:val="BodyText"/>
        <w:rPr>
          <w:sz w:val="20"/>
        </w:rPr>
      </w:pPr>
    </w:p>
    <w:p>
      <w:pPr>
        <w:pStyle w:val="BodyText"/>
        <w:spacing w:before="10"/>
        <w:rPr>
          <w:sz w:val="25"/>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2248" from="131.551193pt,3.753715pt" to="131.551193pt,39.556114pt" stroked="true" strokeweight=".35pt" strokecolor="#231f20">
            <w10:wrap type="none"/>
          </v:line>
        </w:pict>
      </w:r>
      <w:r>
        <w:rPr/>
        <w:pict>
          <v:line style="position:absolute;mso-position-horizontal-relative:page;mso-position-vertical-relative:paragraph;z-index:-482176" from="15pt,39.555916pt" to="0pt,39.555916pt" stroked="true" strokeweight=".25pt" strokecolor="#000000">
            <w10:wrap type="none"/>
          </v:line>
        </w:pict>
      </w:r>
      <w:r>
        <w:rPr/>
        <w:pict>
          <v:line style="position:absolute;mso-position-horizontal-relative:page;mso-position-vertical-relative:paragraph;z-index:8032" from="508.890015pt,39.555916pt" to="523.890015pt,39.555916pt" stroked="true" strokeweight=".25pt" strokecolor="#000000">
            <w10:wrap type="none"/>
          </v:line>
        </w:pict>
      </w:r>
      <w:r>
        <w:rPr>
          <w:rFonts w:ascii="Arial" w:hAnsi="Arial"/>
          <w:color w:val="414042"/>
          <w:position w:val="-5"/>
          <w:sz w:val="20"/>
        </w:rPr>
        <w:t>80</w:t>
        <w:tab/>
      </w:r>
      <w:r>
        <w:rPr>
          <w:rFonts w:ascii="Calibri" w:hAnsi="Calibri"/>
          <w:color w:val="6D6E71"/>
          <w:sz w:val="15"/>
        </w:rPr>
        <w:t>María de Lourdes Morales Reynoso y Claudia Arianne Martínez  </w:t>
      </w:r>
      <w:r>
        <w:rPr>
          <w:rFonts w:ascii="Calibri" w:hAnsi="Calibri"/>
          <w:color w:val="6D6E71"/>
          <w:spacing w:val="16"/>
          <w:sz w:val="15"/>
        </w:rPr>
        <w:t> </w:t>
      </w:r>
      <w:r>
        <w:rPr>
          <w:rFonts w:ascii="Calibri" w:hAnsi="Calibri"/>
          <w:color w:val="6D6E71"/>
          <w:sz w:val="15"/>
        </w:rPr>
        <w:t>Zaragoza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line="208" w:lineRule="exact" w:before="187"/>
        <w:ind w:left="2163" w:right="0" w:firstLine="0"/>
        <w:jc w:val="left"/>
        <w:rPr>
          <w:rFonts w:ascii="Arial" w:hAnsi="Arial"/>
          <w:sz w:val="20"/>
        </w:rPr>
      </w:pPr>
      <w:r>
        <w:rPr/>
        <w:pict>
          <v:line style="position:absolute;mso-position-horizontal-relative:page;mso-position-vertical-relative:paragraph;z-index:-482128" from="405.061005pt,-18.554295pt" to="405.061005pt,16.311579pt" stroked="true" strokeweight=".35pt" strokecolor="#231f20">
            <w10:wrap type="none"/>
          </v:line>
        </w:pict>
      </w:r>
      <w:r>
        <w:rPr/>
        <w:pict>
          <v:line style="position:absolute;mso-position-horizontal-relative:page;mso-position-vertical-relative:paragraph;z-index:8080" from="15pt,-18.554522pt" to="0pt,-18.554522pt" stroked="true" strokeweight=".25pt" strokecolor="#000000">
            <w10:wrap type="none"/>
          </v:line>
        </w:pict>
      </w:r>
      <w:r>
        <w:rPr/>
        <w:pict>
          <v:line style="position:absolute;mso-position-horizontal-relative:page;mso-position-vertical-relative:paragraph;z-index:8104" from="508.890015pt,-18.554522pt" to="523.890015pt,-18.554522pt" stroked="true" strokeweight=".25pt" strokecolor="#000000">
            <w10:wrap type="none"/>
          </v:line>
        </w:pict>
      </w:r>
      <w:r>
        <w:rPr>
          <w:rFonts w:ascii="Lucida Sans Unicode" w:hAnsi="Lucida Sans Unicode"/>
          <w:color w:val="6D6E71"/>
          <w:w w:val="105"/>
          <w:sz w:val="14"/>
        </w:rPr>
        <w:t>Los</w:t>
      </w:r>
      <w:r>
        <w:rPr>
          <w:rFonts w:ascii="Lucida Sans Unicode" w:hAnsi="Lucida Sans Unicode"/>
          <w:color w:val="6D6E71"/>
          <w:spacing w:val="-14"/>
          <w:w w:val="105"/>
          <w:sz w:val="14"/>
        </w:rPr>
        <w:t> </w:t>
      </w:r>
      <w:r>
        <w:rPr>
          <w:rFonts w:ascii="Lucida Sans Unicode" w:hAnsi="Lucida Sans Unicode"/>
          <w:color w:val="6D6E71"/>
          <w:w w:val="105"/>
          <w:sz w:val="14"/>
        </w:rPr>
        <w:t>pequeños</w:t>
      </w:r>
      <w:r>
        <w:rPr>
          <w:rFonts w:ascii="Lucida Sans Unicode" w:hAnsi="Lucida Sans Unicode"/>
          <w:color w:val="6D6E71"/>
          <w:spacing w:val="-14"/>
          <w:w w:val="105"/>
          <w:sz w:val="14"/>
        </w:rPr>
        <w:t> </w:t>
      </w:r>
      <w:r>
        <w:rPr>
          <w:rFonts w:ascii="Lucida Sans Unicode" w:hAnsi="Lucida Sans Unicode"/>
          <w:color w:val="6D6E71"/>
          <w:w w:val="105"/>
          <w:sz w:val="14"/>
        </w:rPr>
        <w:t>“soñadores”</w:t>
      </w:r>
      <w:r>
        <w:rPr>
          <w:rFonts w:ascii="Lucida Sans Unicode" w:hAnsi="Lucida Sans Unicode"/>
          <w:color w:val="6D6E71"/>
          <w:spacing w:val="-14"/>
          <w:w w:val="105"/>
          <w:sz w:val="14"/>
        </w:rPr>
        <w:t> </w:t>
      </w:r>
      <w:r>
        <w:rPr>
          <w:rFonts w:ascii="Lucida Sans Unicode" w:hAnsi="Lucida Sans Unicode"/>
          <w:color w:val="6D6E71"/>
          <w:w w:val="105"/>
          <w:sz w:val="14"/>
        </w:rPr>
        <w:t>no</w:t>
      </w:r>
      <w:r>
        <w:rPr>
          <w:rFonts w:ascii="Lucida Sans Unicode" w:hAnsi="Lucida Sans Unicode"/>
          <w:color w:val="6D6E71"/>
          <w:spacing w:val="-14"/>
          <w:w w:val="105"/>
          <w:sz w:val="14"/>
        </w:rPr>
        <w:t> </w:t>
      </w:r>
      <w:r>
        <w:rPr>
          <w:rFonts w:ascii="Lucida Sans Unicode" w:hAnsi="Lucida Sans Unicode"/>
          <w:color w:val="6D6E71"/>
          <w:w w:val="105"/>
          <w:sz w:val="14"/>
        </w:rPr>
        <w:t>acompañados</w:t>
      </w:r>
      <w:r>
        <w:rPr>
          <w:rFonts w:ascii="Lucida Sans Unicode" w:hAnsi="Lucida Sans Unicode"/>
          <w:color w:val="6D6E71"/>
          <w:spacing w:val="-14"/>
          <w:w w:val="105"/>
          <w:sz w:val="14"/>
        </w:rPr>
        <w:t> </w:t>
      </w:r>
      <w:r>
        <w:rPr>
          <w:rFonts w:ascii="Lucida Sans Unicode" w:hAnsi="Lucida Sans Unicode"/>
          <w:color w:val="6D6E71"/>
          <w:w w:val="105"/>
          <w:sz w:val="14"/>
        </w:rPr>
        <w:t>en</w:t>
      </w:r>
      <w:r>
        <w:rPr>
          <w:rFonts w:ascii="Lucida Sans Unicode" w:hAnsi="Lucida Sans Unicode"/>
          <w:color w:val="6D6E71"/>
          <w:spacing w:val="-14"/>
          <w:w w:val="105"/>
          <w:sz w:val="14"/>
        </w:rPr>
        <w:t> </w:t>
      </w:r>
      <w:r>
        <w:rPr>
          <w:rFonts w:ascii="Lucida Sans Unicode" w:hAnsi="Lucida Sans Unicode"/>
          <w:color w:val="6D6E71"/>
          <w:w w:val="105"/>
          <w:sz w:val="14"/>
        </w:rPr>
        <w:t>su</w:t>
      </w:r>
      <w:r>
        <w:rPr>
          <w:rFonts w:ascii="Lucida Sans Unicode" w:hAnsi="Lucida Sans Unicode"/>
          <w:color w:val="6D6E71"/>
          <w:spacing w:val="-14"/>
          <w:w w:val="105"/>
          <w:sz w:val="14"/>
        </w:rPr>
        <w:t> </w:t>
      </w:r>
      <w:r>
        <w:rPr>
          <w:rFonts w:ascii="Lucida Sans Unicode" w:hAnsi="Lucida Sans Unicode"/>
          <w:color w:val="6D6E71"/>
          <w:w w:val="105"/>
          <w:sz w:val="14"/>
        </w:rPr>
        <w:t>tránsito</w:t>
      </w:r>
      <w:r>
        <w:rPr>
          <w:rFonts w:ascii="Lucida Sans Unicode" w:hAnsi="Lucida Sans Unicode"/>
          <w:color w:val="6D6E71"/>
          <w:spacing w:val="-14"/>
          <w:w w:val="105"/>
          <w:sz w:val="14"/>
        </w:rPr>
        <w:t> </w:t>
      </w:r>
      <w:r>
        <w:rPr>
          <w:rFonts w:ascii="Lucida Sans Unicode" w:hAnsi="Lucida Sans Unicode"/>
          <w:color w:val="6D6E71"/>
          <w:w w:val="105"/>
          <w:sz w:val="14"/>
        </w:rPr>
        <w:t>por</w:t>
      </w:r>
      <w:r>
        <w:rPr>
          <w:rFonts w:ascii="Lucida Sans Unicode" w:hAnsi="Lucida Sans Unicode"/>
          <w:color w:val="6D6E71"/>
          <w:spacing w:val="-14"/>
          <w:w w:val="105"/>
          <w:sz w:val="14"/>
        </w:rPr>
        <w:t> </w:t>
      </w:r>
      <w:r>
        <w:rPr>
          <w:rFonts w:ascii="Lucida Sans Unicode" w:hAnsi="Lucida Sans Unicode"/>
          <w:color w:val="6D6E71"/>
          <w:w w:val="105"/>
          <w:sz w:val="14"/>
        </w:rPr>
        <w:t>eL</w:t>
      </w:r>
      <w:r>
        <w:rPr>
          <w:rFonts w:ascii="Lucida Sans Unicode" w:hAnsi="Lucida Sans Unicode"/>
          <w:color w:val="6D6E71"/>
          <w:spacing w:val="-14"/>
          <w:w w:val="105"/>
          <w:sz w:val="14"/>
        </w:rPr>
        <w:t> </w:t>
      </w:r>
      <w:r>
        <w:rPr>
          <w:rFonts w:ascii="Lucida Sans Unicode" w:hAnsi="Lucida Sans Unicode"/>
          <w:color w:val="6D6E71"/>
          <w:w w:val="105"/>
          <w:sz w:val="14"/>
        </w:rPr>
        <w:t>estado</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méxico.</w:t>
      </w:r>
      <w:r>
        <w:rPr>
          <w:rFonts w:ascii="Arial" w:hAnsi="Arial"/>
          <w:color w:val="414042"/>
          <w:w w:val="105"/>
          <w:position w:val="-3"/>
          <w:sz w:val="20"/>
        </w:rPr>
        <w:tab/>
        <w:t>81</w:t>
      </w:r>
    </w:p>
    <w:p>
      <w:pPr>
        <w:spacing w:line="187" w:lineRule="exact" w:before="0"/>
        <w:ind w:left="4069" w:right="0" w:firstLine="0"/>
        <w:jc w:val="left"/>
        <w:rPr>
          <w:rFonts w:ascii="Lucida Sans Unicode" w:hAnsi="Lucida Sans Unicode"/>
          <w:sz w:val="14"/>
        </w:rPr>
      </w:pPr>
      <w:r>
        <w:rPr>
          <w:rFonts w:ascii="Lucida Sans Unicode" w:hAnsi="Lucida Sans Unicode"/>
          <w:color w:val="6D6E71"/>
          <w:w w:val="105"/>
          <w:sz w:val="14"/>
        </w:rPr>
        <w:t>una revisión a partir deL interés superior de La infancia</w:t>
      </w:r>
    </w:p>
    <w:p>
      <w:pPr>
        <w:pStyle w:val="BodyText"/>
        <w:rPr>
          <w:rFonts w:ascii="Lucida Sans Unicode"/>
          <w:sz w:val="20"/>
        </w:rPr>
      </w:pPr>
    </w:p>
    <w:p>
      <w:pPr>
        <w:pStyle w:val="BodyText"/>
        <w:spacing w:line="261" w:lineRule="auto" w:before="173"/>
        <w:ind w:left="1837" w:right="1721" w:hanging="1"/>
        <w:jc w:val="both"/>
      </w:pPr>
      <w:r>
        <w:rPr>
          <w:color w:val="231F20"/>
          <w:w w:val="105"/>
        </w:rPr>
        <w:t>cantidad de menores expulsaron (</w:t>
      </w:r>
      <w:r>
        <w:rPr>
          <w:color w:val="231F20"/>
          <w:w w:val="105"/>
          <w:sz w:val="17"/>
        </w:rPr>
        <w:t>GEM</w:t>
      </w:r>
      <w:r>
        <w:rPr>
          <w:color w:val="231F20"/>
          <w:w w:val="105"/>
        </w:rPr>
        <w:t>, 2012: 21). Además, se procura desalentar</w:t>
      </w:r>
      <w:r>
        <w:rPr>
          <w:color w:val="231F20"/>
          <w:spacing w:val="-6"/>
          <w:w w:val="105"/>
        </w:rPr>
        <w:t> </w:t>
      </w:r>
      <w:r>
        <w:rPr>
          <w:color w:val="231F20"/>
          <w:w w:val="105"/>
        </w:rPr>
        <w:t>la</w:t>
      </w:r>
      <w:r>
        <w:rPr>
          <w:color w:val="231F20"/>
          <w:spacing w:val="-6"/>
          <w:w w:val="105"/>
        </w:rPr>
        <w:t> </w:t>
      </w:r>
      <w:r>
        <w:rPr>
          <w:color w:val="231F20"/>
          <w:w w:val="105"/>
        </w:rPr>
        <w:t>migración</w:t>
      </w:r>
      <w:r>
        <w:rPr>
          <w:color w:val="231F20"/>
          <w:spacing w:val="-6"/>
          <w:w w:val="105"/>
        </w:rPr>
        <w:t> </w:t>
      </w:r>
      <w:r>
        <w:rPr>
          <w:color w:val="231F20"/>
          <w:w w:val="105"/>
        </w:rPr>
        <w:t>mediante</w:t>
      </w:r>
      <w:r>
        <w:rPr>
          <w:color w:val="231F20"/>
          <w:spacing w:val="-6"/>
          <w:w w:val="105"/>
        </w:rPr>
        <w:t> </w:t>
      </w:r>
      <w:r>
        <w:rPr>
          <w:color w:val="231F20"/>
          <w:w w:val="105"/>
        </w:rPr>
        <w:t>el</w:t>
      </w:r>
      <w:r>
        <w:rPr>
          <w:color w:val="231F20"/>
          <w:spacing w:val="-6"/>
          <w:w w:val="105"/>
        </w:rPr>
        <w:t> </w:t>
      </w:r>
      <w:r>
        <w:rPr>
          <w:color w:val="231F20"/>
          <w:w w:val="105"/>
        </w:rPr>
        <w:t>otorgamiento</w:t>
      </w:r>
      <w:r>
        <w:rPr>
          <w:color w:val="231F20"/>
          <w:spacing w:val="-6"/>
          <w:w w:val="105"/>
        </w:rPr>
        <w:t> </w:t>
      </w:r>
      <w:r>
        <w:rPr>
          <w:color w:val="231F20"/>
          <w:w w:val="105"/>
        </w:rPr>
        <w:t>de</w:t>
      </w:r>
      <w:r>
        <w:rPr>
          <w:color w:val="231F20"/>
          <w:spacing w:val="-6"/>
          <w:w w:val="105"/>
        </w:rPr>
        <w:t> </w:t>
      </w:r>
      <w:r>
        <w:rPr>
          <w:color w:val="231F20"/>
          <w:w w:val="105"/>
        </w:rPr>
        <w:t>becas</w:t>
      </w:r>
      <w:r>
        <w:rPr>
          <w:color w:val="231F20"/>
          <w:spacing w:val="-6"/>
          <w:w w:val="105"/>
        </w:rPr>
        <w:t> </w:t>
      </w:r>
      <w:r>
        <w:rPr>
          <w:color w:val="231F20"/>
          <w:w w:val="105"/>
        </w:rPr>
        <w:t>y</w:t>
      </w:r>
      <w:r>
        <w:rPr>
          <w:color w:val="231F20"/>
          <w:spacing w:val="-6"/>
          <w:w w:val="105"/>
        </w:rPr>
        <w:t> </w:t>
      </w:r>
      <w:r>
        <w:rPr>
          <w:color w:val="231F20"/>
          <w:w w:val="105"/>
        </w:rPr>
        <w:t>otros</w:t>
      </w:r>
      <w:r>
        <w:rPr>
          <w:color w:val="231F20"/>
          <w:spacing w:val="-6"/>
          <w:w w:val="105"/>
        </w:rPr>
        <w:t> </w:t>
      </w:r>
      <w:r>
        <w:rPr>
          <w:color w:val="231F20"/>
          <w:w w:val="105"/>
        </w:rPr>
        <w:t>estí- mulos</w:t>
      </w:r>
      <w:r>
        <w:rPr>
          <w:color w:val="231F20"/>
          <w:spacing w:val="-34"/>
          <w:w w:val="105"/>
        </w:rPr>
        <w:t> </w:t>
      </w:r>
      <w:r>
        <w:rPr>
          <w:color w:val="231F20"/>
          <w:w w:val="105"/>
        </w:rPr>
        <w:t>(</w:t>
      </w:r>
      <w:r>
        <w:rPr>
          <w:color w:val="231F20"/>
          <w:w w:val="105"/>
          <w:sz w:val="17"/>
        </w:rPr>
        <w:t>GEM</w:t>
      </w:r>
      <w:r>
        <w:rPr>
          <w:color w:val="231F20"/>
          <w:w w:val="105"/>
        </w:rPr>
        <w:t>,</w:t>
      </w:r>
      <w:r>
        <w:rPr>
          <w:color w:val="231F20"/>
          <w:spacing w:val="-37"/>
          <w:w w:val="105"/>
        </w:rPr>
        <w:t> </w:t>
      </w:r>
      <w:r>
        <w:rPr>
          <w:color w:val="231F20"/>
          <w:w w:val="105"/>
        </w:rPr>
        <w:t>2013:</w:t>
      </w:r>
      <w:r>
        <w:rPr>
          <w:color w:val="231F20"/>
          <w:spacing w:val="-34"/>
          <w:w w:val="105"/>
        </w:rPr>
        <w:t> </w:t>
      </w:r>
      <w:r>
        <w:rPr>
          <w:color w:val="231F20"/>
          <w:w w:val="105"/>
        </w:rPr>
        <w:t>220-224).</w:t>
      </w:r>
    </w:p>
    <w:p>
      <w:pPr>
        <w:pStyle w:val="BodyText"/>
        <w:spacing w:line="261" w:lineRule="auto" w:before="1"/>
        <w:ind w:left="1837" w:right="1721" w:firstLine="567"/>
        <w:jc w:val="both"/>
      </w:pPr>
      <w:r>
        <w:rPr>
          <w:color w:val="231F20"/>
          <w:w w:val="105"/>
        </w:rPr>
        <w:t>El proceso es más complejo y difícil cuando se trata de menores detectados en el Estado de México, no sólo porque generalmente no acuden</w:t>
      </w:r>
      <w:r>
        <w:rPr>
          <w:color w:val="231F20"/>
          <w:spacing w:val="-10"/>
          <w:w w:val="105"/>
        </w:rPr>
        <w:t> </w:t>
      </w:r>
      <w:r>
        <w:rPr>
          <w:color w:val="231F20"/>
          <w:w w:val="105"/>
        </w:rPr>
        <w:t>a</w:t>
      </w:r>
      <w:r>
        <w:rPr>
          <w:color w:val="231F20"/>
          <w:spacing w:val="-10"/>
          <w:w w:val="105"/>
        </w:rPr>
        <w:t> </w:t>
      </w:r>
      <w:r>
        <w:rPr>
          <w:color w:val="231F20"/>
          <w:w w:val="105"/>
        </w:rPr>
        <w:t>las</w:t>
      </w:r>
      <w:r>
        <w:rPr>
          <w:color w:val="231F20"/>
          <w:spacing w:val="-10"/>
          <w:w w:val="105"/>
        </w:rPr>
        <w:t> </w:t>
      </w:r>
      <w:r>
        <w:rPr>
          <w:color w:val="231F20"/>
          <w:w w:val="105"/>
        </w:rPr>
        <w:t>autoridades</w:t>
      </w:r>
      <w:r>
        <w:rPr>
          <w:color w:val="231F20"/>
          <w:spacing w:val="-10"/>
          <w:w w:val="105"/>
        </w:rPr>
        <w:t> </w:t>
      </w:r>
      <w:r>
        <w:rPr>
          <w:color w:val="231F20"/>
          <w:w w:val="105"/>
        </w:rPr>
        <w:t>para</w:t>
      </w:r>
      <w:r>
        <w:rPr>
          <w:color w:val="231F20"/>
          <w:spacing w:val="-10"/>
          <w:w w:val="105"/>
        </w:rPr>
        <w:t> </w:t>
      </w:r>
      <w:r>
        <w:rPr>
          <w:color w:val="231F20"/>
          <w:w w:val="105"/>
        </w:rPr>
        <w:t>recibir</w:t>
      </w:r>
      <w:r>
        <w:rPr>
          <w:color w:val="231F20"/>
          <w:spacing w:val="-10"/>
          <w:w w:val="105"/>
        </w:rPr>
        <w:t> </w:t>
      </w:r>
      <w:r>
        <w:rPr>
          <w:color w:val="231F20"/>
          <w:w w:val="105"/>
        </w:rPr>
        <w:t>auxilio,</w:t>
      </w:r>
      <w:r>
        <w:rPr>
          <w:color w:val="231F20"/>
          <w:spacing w:val="-17"/>
          <w:w w:val="105"/>
        </w:rPr>
        <w:t> </w:t>
      </w:r>
      <w:r>
        <w:rPr>
          <w:color w:val="231F20"/>
          <w:w w:val="105"/>
        </w:rPr>
        <w:t>por</w:t>
      </w:r>
      <w:r>
        <w:rPr>
          <w:color w:val="231F20"/>
          <w:spacing w:val="-10"/>
          <w:w w:val="105"/>
        </w:rPr>
        <w:t> </w:t>
      </w:r>
      <w:r>
        <w:rPr>
          <w:color w:val="231F20"/>
          <w:w w:val="105"/>
        </w:rPr>
        <w:t>miedo</w:t>
      </w:r>
      <w:r>
        <w:rPr>
          <w:color w:val="231F20"/>
          <w:spacing w:val="-10"/>
          <w:w w:val="105"/>
        </w:rPr>
        <w:t> </w:t>
      </w:r>
      <w:r>
        <w:rPr>
          <w:color w:val="231F20"/>
          <w:w w:val="105"/>
        </w:rPr>
        <w:t>a</w:t>
      </w:r>
      <w:r>
        <w:rPr>
          <w:color w:val="231F20"/>
          <w:spacing w:val="-10"/>
          <w:w w:val="105"/>
        </w:rPr>
        <w:t> </w:t>
      </w:r>
      <w:r>
        <w:rPr>
          <w:color w:val="231F20"/>
          <w:w w:val="105"/>
        </w:rPr>
        <w:t>que</w:t>
      </w:r>
      <w:r>
        <w:rPr>
          <w:color w:val="231F20"/>
          <w:spacing w:val="-10"/>
          <w:w w:val="105"/>
        </w:rPr>
        <w:t> </w:t>
      </w:r>
      <w:r>
        <w:rPr>
          <w:color w:val="231F20"/>
          <w:w w:val="105"/>
        </w:rPr>
        <w:t>los</w:t>
      </w:r>
      <w:r>
        <w:rPr>
          <w:color w:val="231F20"/>
          <w:spacing w:val="-10"/>
          <w:w w:val="105"/>
        </w:rPr>
        <w:t> </w:t>
      </w:r>
      <w:r>
        <w:rPr>
          <w:color w:val="231F20"/>
          <w:w w:val="105"/>
        </w:rPr>
        <w:t>deten- gan, sino porque al no existir una estación migratoria del </w:t>
      </w:r>
      <w:r>
        <w:rPr>
          <w:color w:val="231F20"/>
          <w:w w:val="105"/>
          <w:sz w:val="17"/>
        </w:rPr>
        <w:t>INM </w:t>
      </w:r>
      <w:r>
        <w:rPr>
          <w:color w:val="231F20"/>
          <w:w w:val="105"/>
        </w:rPr>
        <w:t>en la enti- dad,</w:t>
      </w:r>
      <w:r>
        <w:rPr>
          <w:color w:val="231F20"/>
          <w:spacing w:val="-13"/>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cuenta</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infraestructura</w:t>
      </w:r>
      <w:r>
        <w:rPr>
          <w:color w:val="231F20"/>
          <w:spacing w:val="-8"/>
          <w:w w:val="105"/>
        </w:rPr>
        <w:t> </w:t>
      </w:r>
      <w:r>
        <w:rPr>
          <w:color w:val="231F20"/>
          <w:w w:val="105"/>
        </w:rPr>
        <w:t>ni</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personal</w:t>
      </w:r>
      <w:r>
        <w:rPr>
          <w:color w:val="231F20"/>
          <w:spacing w:val="-8"/>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caso </w:t>
      </w:r>
      <w:r>
        <w:rPr>
          <w:color w:val="231F20"/>
          <w:w w:val="105"/>
          <w:sz w:val="17"/>
        </w:rPr>
        <w:t>OPIS</w:t>
      </w:r>
      <w:r>
        <w:rPr>
          <w:color w:val="231F20"/>
          <w:w w:val="105"/>
        </w:rPr>
        <w:t>)</w:t>
      </w:r>
      <w:r>
        <w:rPr>
          <w:color w:val="231F20"/>
          <w:spacing w:val="-34"/>
          <w:w w:val="105"/>
        </w:rPr>
        <w:t> </w:t>
      </w:r>
      <w:r>
        <w:rPr>
          <w:color w:val="231F20"/>
          <w:w w:val="105"/>
        </w:rPr>
        <w:t>necesario</w:t>
      </w:r>
      <w:r>
        <w:rPr>
          <w:color w:val="231F20"/>
          <w:spacing w:val="-34"/>
          <w:w w:val="105"/>
        </w:rPr>
        <w:t> </w:t>
      </w:r>
      <w:r>
        <w:rPr>
          <w:color w:val="231F20"/>
          <w:w w:val="105"/>
        </w:rPr>
        <w:t>para</w:t>
      </w:r>
      <w:r>
        <w:rPr>
          <w:color w:val="231F20"/>
          <w:spacing w:val="-34"/>
          <w:w w:val="105"/>
        </w:rPr>
        <w:t> </w:t>
      </w:r>
      <w:r>
        <w:rPr>
          <w:color w:val="231F20"/>
          <w:w w:val="105"/>
        </w:rPr>
        <w:t>atender</w:t>
      </w:r>
      <w:r>
        <w:rPr>
          <w:color w:val="231F20"/>
          <w:spacing w:val="-34"/>
          <w:w w:val="105"/>
        </w:rPr>
        <w:t> </w:t>
      </w:r>
      <w:r>
        <w:rPr>
          <w:color w:val="231F20"/>
          <w:w w:val="105"/>
        </w:rPr>
        <w:t>a</w:t>
      </w:r>
      <w:r>
        <w:rPr>
          <w:color w:val="231F20"/>
          <w:spacing w:val="-34"/>
          <w:w w:val="105"/>
        </w:rPr>
        <w:t> </w:t>
      </w:r>
      <w:r>
        <w:rPr>
          <w:color w:val="231F20"/>
          <w:w w:val="105"/>
        </w:rPr>
        <w:t>estos</w:t>
      </w:r>
      <w:r>
        <w:rPr>
          <w:color w:val="231F20"/>
          <w:spacing w:val="-34"/>
          <w:w w:val="105"/>
        </w:rPr>
        <w:t> </w:t>
      </w:r>
      <w:r>
        <w:rPr>
          <w:color w:val="231F20"/>
          <w:w w:val="105"/>
        </w:rPr>
        <w:t>menores,</w:t>
      </w:r>
      <w:r>
        <w:rPr>
          <w:color w:val="231F20"/>
          <w:spacing w:val="-38"/>
          <w:w w:val="105"/>
        </w:rPr>
        <w:t> </w:t>
      </w:r>
      <w:r>
        <w:rPr>
          <w:color w:val="231F20"/>
          <w:w w:val="105"/>
        </w:rPr>
        <w:t>quienes</w:t>
      </w:r>
      <w:r>
        <w:rPr>
          <w:color w:val="231F20"/>
          <w:spacing w:val="-34"/>
          <w:w w:val="105"/>
        </w:rPr>
        <w:t> </w:t>
      </w:r>
      <w:r>
        <w:rPr>
          <w:color w:val="231F20"/>
          <w:w w:val="105"/>
        </w:rPr>
        <w:t>generalmente</w:t>
      </w:r>
      <w:r>
        <w:rPr>
          <w:color w:val="231F20"/>
          <w:spacing w:val="-34"/>
          <w:w w:val="105"/>
        </w:rPr>
        <w:t> </w:t>
      </w:r>
      <w:r>
        <w:rPr>
          <w:color w:val="231F20"/>
          <w:w w:val="105"/>
        </w:rPr>
        <w:t>son canalizados a albergues temporales del </w:t>
      </w:r>
      <w:r>
        <w:rPr>
          <w:color w:val="231F20"/>
          <w:w w:val="105"/>
          <w:sz w:val="17"/>
        </w:rPr>
        <w:t>DIF </w:t>
      </w:r>
      <w:r>
        <w:rPr>
          <w:color w:val="231F20"/>
          <w:w w:val="105"/>
        </w:rPr>
        <w:t>para su atención, no</w:t>
      </w:r>
      <w:r>
        <w:rPr>
          <w:color w:val="231F20"/>
          <w:spacing w:val="-39"/>
          <w:w w:val="105"/>
        </w:rPr>
        <w:t> </w:t>
      </w:r>
      <w:r>
        <w:rPr>
          <w:color w:val="231F20"/>
          <w:w w:val="105"/>
        </w:rPr>
        <w:t>impor- tando que estos se encuentren fuertemente presionados por el</w:t>
      </w:r>
      <w:r>
        <w:rPr>
          <w:color w:val="231F20"/>
          <w:spacing w:val="-20"/>
          <w:w w:val="105"/>
        </w:rPr>
        <w:t> </w:t>
      </w:r>
      <w:r>
        <w:rPr>
          <w:color w:val="231F20"/>
          <w:w w:val="105"/>
        </w:rPr>
        <w:t>número de menores que</w:t>
      </w:r>
      <w:r>
        <w:rPr>
          <w:color w:val="231F20"/>
          <w:spacing w:val="-29"/>
          <w:w w:val="105"/>
        </w:rPr>
        <w:t> </w:t>
      </w:r>
      <w:r>
        <w:rPr>
          <w:color w:val="231F20"/>
          <w:w w:val="105"/>
        </w:rPr>
        <w:t>atienden.</w:t>
      </w:r>
    </w:p>
    <w:p>
      <w:pPr>
        <w:pStyle w:val="BodyText"/>
        <w:spacing w:line="261" w:lineRule="auto" w:before="1"/>
        <w:ind w:left="1837" w:right="1721" w:firstLine="567"/>
        <w:jc w:val="both"/>
      </w:pPr>
      <w:r>
        <w:rPr>
          <w:color w:val="231F20"/>
          <w:w w:val="105"/>
        </w:rPr>
        <w:t>La existencia de estos programas en el Estado de México consti- tuye un primer paso para la atención oportuna y adecuada de los </w:t>
      </w:r>
      <w:r>
        <w:rPr>
          <w:color w:val="231F20"/>
          <w:w w:val="105"/>
          <w:sz w:val="17"/>
        </w:rPr>
        <w:t>NNA </w:t>
      </w:r>
      <w:r>
        <w:rPr>
          <w:color w:val="231F20"/>
          <w:w w:val="105"/>
        </w:rPr>
        <w:t>migrantes irregulares no acompañados, pero resulta indispensable,</w:t>
      </w:r>
      <w:r>
        <w:rPr>
          <w:color w:val="231F20"/>
          <w:spacing w:val="-25"/>
          <w:w w:val="105"/>
        </w:rPr>
        <w:t> </w:t>
      </w:r>
      <w:r>
        <w:rPr>
          <w:color w:val="231F20"/>
          <w:w w:val="105"/>
        </w:rPr>
        <w:t>so- bre</w:t>
      </w:r>
      <w:r>
        <w:rPr>
          <w:color w:val="231F20"/>
          <w:spacing w:val="-7"/>
          <w:w w:val="105"/>
        </w:rPr>
        <w:t> </w:t>
      </w:r>
      <w:r>
        <w:rPr>
          <w:color w:val="231F20"/>
          <w:w w:val="105"/>
        </w:rPr>
        <w:t>todo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caso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menores</w:t>
      </w:r>
      <w:r>
        <w:rPr>
          <w:color w:val="231F20"/>
          <w:spacing w:val="-7"/>
          <w:w w:val="105"/>
        </w:rPr>
        <w:t> </w:t>
      </w:r>
      <w:r>
        <w:rPr>
          <w:color w:val="231F20"/>
          <w:w w:val="105"/>
        </w:rPr>
        <w:t>foráneos,</w:t>
      </w:r>
      <w:r>
        <w:rPr>
          <w:color w:val="231F20"/>
          <w:spacing w:val="-12"/>
          <w:w w:val="105"/>
        </w:rPr>
        <w:t> </w:t>
      </w:r>
      <w:r>
        <w:rPr>
          <w:color w:val="231F20"/>
          <w:w w:val="105"/>
        </w:rPr>
        <w:t>contar</w:t>
      </w:r>
      <w:r>
        <w:rPr>
          <w:color w:val="231F20"/>
          <w:spacing w:val="-7"/>
          <w:w w:val="105"/>
        </w:rPr>
        <w:t> </w:t>
      </w:r>
      <w:r>
        <w:rPr>
          <w:color w:val="231F20"/>
          <w:w w:val="105"/>
        </w:rPr>
        <w:t>con</w:t>
      </w:r>
      <w:r>
        <w:rPr>
          <w:color w:val="231F20"/>
          <w:spacing w:val="-7"/>
          <w:w w:val="105"/>
        </w:rPr>
        <w:t> </w:t>
      </w:r>
      <w:r>
        <w:rPr>
          <w:color w:val="231F20"/>
          <w:w w:val="105"/>
        </w:rPr>
        <w:t>instalaciones</w:t>
      </w:r>
      <w:r>
        <w:rPr>
          <w:color w:val="231F20"/>
          <w:spacing w:val="-7"/>
          <w:w w:val="105"/>
        </w:rPr>
        <w:t> </w:t>
      </w:r>
      <w:r>
        <w:rPr>
          <w:color w:val="231F20"/>
          <w:w w:val="105"/>
        </w:rPr>
        <w:t>y herramientas</w:t>
      </w:r>
      <w:r>
        <w:rPr>
          <w:color w:val="231F20"/>
          <w:spacing w:val="-9"/>
          <w:w w:val="105"/>
        </w:rPr>
        <w:t> </w:t>
      </w:r>
      <w:r>
        <w:rPr>
          <w:color w:val="231F20"/>
          <w:w w:val="105"/>
        </w:rPr>
        <w:t>jurídicas</w:t>
      </w:r>
      <w:r>
        <w:rPr>
          <w:color w:val="231F20"/>
          <w:spacing w:val="-9"/>
          <w:w w:val="105"/>
        </w:rPr>
        <w:t> </w:t>
      </w:r>
      <w:r>
        <w:rPr>
          <w:color w:val="231F20"/>
          <w:w w:val="105"/>
        </w:rPr>
        <w:t>que</w:t>
      </w:r>
      <w:r>
        <w:rPr>
          <w:color w:val="231F20"/>
          <w:spacing w:val="-9"/>
          <w:w w:val="105"/>
        </w:rPr>
        <w:t> </w:t>
      </w:r>
      <w:r>
        <w:rPr>
          <w:color w:val="231F20"/>
          <w:w w:val="105"/>
        </w:rPr>
        <w:t>involucren</w:t>
      </w:r>
      <w:r>
        <w:rPr>
          <w:color w:val="231F20"/>
          <w:spacing w:val="-9"/>
          <w:w w:val="105"/>
        </w:rPr>
        <w:t> </w:t>
      </w:r>
      <w:r>
        <w:rPr>
          <w:color w:val="231F20"/>
          <w:w w:val="105"/>
        </w:rPr>
        <w:t>al</w:t>
      </w:r>
      <w:r>
        <w:rPr>
          <w:color w:val="231F20"/>
          <w:spacing w:val="-10"/>
          <w:w w:val="105"/>
        </w:rPr>
        <w:t> </w:t>
      </w:r>
      <w:r>
        <w:rPr>
          <w:color w:val="231F20"/>
          <w:w w:val="105"/>
          <w:sz w:val="17"/>
        </w:rPr>
        <w:t>INM</w:t>
      </w:r>
      <w:r>
        <w:rPr>
          <w:color w:val="231F20"/>
          <w:w w:val="105"/>
        </w:rPr>
        <w:t>,</w:t>
      </w:r>
      <w:r>
        <w:rPr>
          <w:color w:val="231F20"/>
          <w:spacing w:val="-15"/>
          <w:w w:val="105"/>
        </w:rPr>
        <w:t> </w:t>
      </w:r>
      <w:r>
        <w:rPr>
          <w:color w:val="231F20"/>
          <w:w w:val="105"/>
        </w:rPr>
        <w:t>pues</w:t>
      </w:r>
      <w:r>
        <w:rPr>
          <w:color w:val="231F20"/>
          <w:spacing w:val="-9"/>
          <w:w w:val="105"/>
        </w:rPr>
        <w:t> </w:t>
      </w:r>
      <w:r>
        <w:rPr>
          <w:color w:val="231F20"/>
          <w:w w:val="105"/>
        </w:rPr>
        <w:t>a</w:t>
      </w:r>
      <w:r>
        <w:rPr>
          <w:color w:val="231F20"/>
          <w:spacing w:val="-9"/>
          <w:w w:val="105"/>
        </w:rPr>
        <w:t> </w:t>
      </w:r>
      <w:r>
        <w:rPr>
          <w:color w:val="231F20"/>
          <w:w w:val="105"/>
        </w:rPr>
        <w:t>menudo</w:t>
      </w:r>
      <w:r>
        <w:rPr>
          <w:color w:val="231F20"/>
          <w:spacing w:val="-9"/>
          <w:w w:val="105"/>
        </w:rPr>
        <w:t> </w:t>
      </w:r>
      <w:r>
        <w:rPr>
          <w:color w:val="231F20"/>
          <w:w w:val="105"/>
        </w:rPr>
        <w:t>los</w:t>
      </w:r>
      <w:r>
        <w:rPr>
          <w:color w:val="231F20"/>
          <w:spacing w:val="-9"/>
          <w:w w:val="105"/>
        </w:rPr>
        <w:t> </w:t>
      </w:r>
      <w:r>
        <w:rPr>
          <w:color w:val="231F20"/>
          <w:w w:val="105"/>
        </w:rPr>
        <w:t>conflic- tos</w:t>
      </w:r>
      <w:r>
        <w:rPr>
          <w:color w:val="231F20"/>
          <w:spacing w:val="-7"/>
          <w:w w:val="105"/>
        </w:rPr>
        <w:t> </w:t>
      </w:r>
      <w:r>
        <w:rPr>
          <w:color w:val="231F20"/>
          <w:w w:val="105"/>
        </w:rPr>
        <w:t>de</w:t>
      </w:r>
      <w:r>
        <w:rPr>
          <w:color w:val="231F20"/>
          <w:spacing w:val="-7"/>
          <w:w w:val="105"/>
        </w:rPr>
        <w:t> </w:t>
      </w:r>
      <w:r>
        <w:rPr>
          <w:color w:val="231F20"/>
          <w:w w:val="105"/>
        </w:rPr>
        <w:t>competencia</w:t>
      </w:r>
      <w:r>
        <w:rPr>
          <w:color w:val="231F20"/>
          <w:spacing w:val="-7"/>
          <w:w w:val="105"/>
        </w:rPr>
        <w:t> </w:t>
      </w:r>
      <w:r>
        <w:rPr>
          <w:color w:val="231F20"/>
          <w:w w:val="105"/>
        </w:rPr>
        <w:t>generan</w:t>
      </w:r>
      <w:r>
        <w:rPr>
          <w:color w:val="231F20"/>
          <w:spacing w:val="-7"/>
          <w:w w:val="105"/>
        </w:rPr>
        <w:t> </w:t>
      </w:r>
      <w:r>
        <w:rPr>
          <w:color w:val="231F20"/>
          <w:w w:val="105"/>
        </w:rPr>
        <w:t>situaciones</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que</w:t>
      </w:r>
      <w:r>
        <w:rPr>
          <w:color w:val="231F20"/>
          <w:spacing w:val="-7"/>
          <w:w w:val="105"/>
        </w:rPr>
        <w:t> </w:t>
      </w:r>
      <w:r>
        <w:rPr>
          <w:color w:val="231F20"/>
          <w:w w:val="105"/>
        </w:rPr>
        <w:t>los</w:t>
      </w:r>
      <w:r>
        <w:rPr>
          <w:color w:val="231F20"/>
          <w:spacing w:val="-7"/>
          <w:w w:val="105"/>
        </w:rPr>
        <w:t> </w:t>
      </w:r>
      <w:r>
        <w:rPr>
          <w:color w:val="231F20"/>
          <w:w w:val="105"/>
        </w:rPr>
        <w:t>menores</w:t>
      </w:r>
      <w:r>
        <w:rPr>
          <w:color w:val="231F20"/>
          <w:spacing w:val="-7"/>
          <w:w w:val="105"/>
        </w:rPr>
        <w:t> </w:t>
      </w:r>
      <w:r>
        <w:rPr>
          <w:color w:val="231F20"/>
          <w:w w:val="105"/>
        </w:rPr>
        <w:t>no</w:t>
      </w:r>
      <w:r>
        <w:rPr>
          <w:color w:val="231F20"/>
          <w:spacing w:val="-7"/>
          <w:w w:val="105"/>
        </w:rPr>
        <w:t> </w:t>
      </w:r>
      <w:r>
        <w:rPr>
          <w:color w:val="231F20"/>
          <w:w w:val="105"/>
        </w:rPr>
        <w:t>son atendidos</w:t>
      </w:r>
      <w:r>
        <w:rPr>
          <w:color w:val="231F20"/>
          <w:spacing w:val="-12"/>
          <w:w w:val="105"/>
        </w:rPr>
        <w:t> </w:t>
      </w:r>
      <w:r>
        <w:rPr>
          <w:color w:val="231F20"/>
          <w:w w:val="105"/>
        </w:rPr>
        <w:t>por</w:t>
      </w:r>
      <w:r>
        <w:rPr>
          <w:color w:val="231F20"/>
          <w:spacing w:val="-12"/>
          <w:w w:val="105"/>
        </w:rPr>
        <w:t> </w:t>
      </w:r>
      <w:r>
        <w:rPr>
          <w:color w:val="231F20"/>
          <w:w w:val="105"/>
        </w:rPr>
        <w:t>el</w:t>
      </w:r>
      <w:r>
        <w:rPr>
          <w:color w:val="231F20"/>
          <w:spacing w:val="-12"/>
          <w:w w:val="105"/>
        </w:rPr>
        <w:t> </w:t>
      </w:r>
      <w:r>
        <w:rPr>
          <w:color w:val="231F20"/>
          <w:w w:val="105"/>
        </w:rPr>
        <w:t>personal</w:t>
      </w:r>
      <w:r>
        <w:rPr>
          <w:color w:val="231F20"/>
          <w:spacing w:val="-12"/>
          <w:w w:val="105"/>
        </w:rPr>
        <w:t> </w:t>
      </w:r>
      <w:r>
        <w:rPr>
          <w:color w:val="231F20"/>
          <w:w w:val="105"/>
        </w:rPr>
        <w:t>(</w:t>
      </w:r>
      <w:r>
        <w:rPr>
          <w:color w:val="231F20"/>
          <w:w w:val="105"/>
          <w:sz w:val="17"/>
        </w:rPr>
        <w:t>OPIS</w:t>
      </w:r>
      <w:r>
        <w:rPr>
          <w:color w:val="231F20"/>
          <w:w w:val="105"/>
        </w:rPr>
        <w:t>)</w:t>
      </w:r>
      <w:r>
        <w:rPr>
          <w:color w:val="231F20"/>
          <w:spacing w:val="-12"/>
          <w:w w:val="105"/>
        </w:rPr>
        <w:t> </w:t>
      </w:r>
      <w:r>
        <w:rPr>
          <w:color w:val="231F20"/>
          <w:w w:val="105"/>
        </w:rPr>
        <w:t>con</w:t>
      </w:r>
      <w:r>
        <w:rPr>
          <w:color w:val="231F20"/>
          <w:spacing w:val="-12"/>
          <w:w w:val="105"/>
        </w:rPr>
        <w:t> </w:t>
      </w:r>
      <w:r>
        <w:rPr>
          <w:color w:val="231F20"/>
          <w:w w:val="105"/>
        </w:rPr>
        <w:t>acceso</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redes</w:t>
      </w:r>
      <w:r>
        <w:rPr>
          <w:color w:val="231F20"/>
          <w:spacing w:val="-12"/>
          <w:w w:val="105"/>
        </w:rPr>
        <w:t> </w:t>
      </w:r>
      <w:r>
        <w:rPr>
          <w:color w:val="231F20"/>
          <w:w w:val="105"/>
        </w:rPr>
        <w:t>que</w:t>
      </w:r>
      <w:r>
        <w:rPr>
          <w:color w:val="231F20"/>
          <w:spacing w:val="-12"/>
          <w:w w:val="105"/>
        </w:rPr>
        <w:t> </w:t>
      </w:r>
      <w:r>
        <w:rPr>
          <w:color w:val="231F20"/>
          <w:w w:val="105"/>
        </w:rPr>
        <w:t>permiten</w:t>
      </w:r>
      <w:r>
        <w:rPr>
          <w:color w:val="231F20"/>
          <w:spacing w:val="-12"/>
          <w:w w:val="105"/>
        </w:rPr>
        <w:t> </w:t>
      </w:r>
      <w:r>
        <w:rPr>
          <w:color w:val="231F20"/>
          <w:w w:val="105"/>
        </w:rPr>
        <w:t>su reintegración,</w:t>
      </w:r>
      <w:r>
        <w:rPr>
          <w:color w:val="231F20"/>
          <w:spacing w:val="-10"/>
          <w:w w:val="105"/>
        </w:rPr>
        <w:t> </w:t>
      </w:r>
      <w:r>
        <w:rPr>
          <w:color w:val="231F20"/>
          <w:w w:val="105"/>
        </w:rPr>
        <w:t>ya</w:t>
      </w:r>
      <w:r>
        <w:rPr>
          <w:color w:val="231F20"/>
          <w:spacing w:val="-5"/>
          <w:w w:val="105"/>
        </w:rPr>
        <w:t> </w:t>
      </w:r>
      <w:r>
        <w:rPr>
          <w:color w:val="231F20"/>
          <w:w w:val="105"/>
        </w:rPr>
        <w:t>sea</w:t>
      </w:r>
      <w:r>
        <w:rPr>
          <w:color w:val="231F20"/>
          <w:spacing w:val="-5"/>
          <w:w w:val="105"/>
        </w:rPr>
        <w:t> </w:t>
      </w:r>
      <w:r>
        <w:rPr>
          <w:color w:val="231F20"/>
          <w:w w:val="105"/>
        </w:rPr>
        <w:t>a</w:t>
      </w:r>
      <w:r>
        <w:rPr>
          <w:color w:val="231F20"/>
          <w:spacing w:val="-5"/>
          <w:w w:val="105"/>
        </w:rPr>
        <w:t> </w:t>
      </w:r>
      <w:r>
        <w:rPr>
          <w:color w:val="231F20"/>
          <w:w w:val="105"/>
        </w:rPr>
        <w:t>sus</w:t>
      </w:r>
      <w:r>
        <w:rPr>
          <w:color w:val="231F20"/>
          <w:spacing w:val="-5"/>
          <w:w w:val="105"/>
        </w:rPr>
        <w:t> </w:t>
      </w:r>
      <w:r>
        <w:rPr>
          <w:color w:val="231F20"/>
          <w:w w:val="105"/>
        </w:rPr>
        <w:t>comunidades</w:t>
      </w:r>
      <w:r>
        <w:rPr>
          <w:color w:val="231F20"/>
          <w:spacing w:val="-5"/>
          <w:w w:val="105"/>
        </w:rPr>
        <w:t> </w:t>
      </w:r>
      <w:r>
        <w:rPr>
          <w:color w:val="231F20"/>
          <w:w w:val="105"/>
        </w:rPr>
        <w:t>de</w:t>
      </w:r>
      <w:r>
        <w:rPr>
          <w:color w:val="231F20"/>
          <w:spacing w:val="-5"/>
          <w:w w:val="105"/>
        </w:rPr>
        <w:t> </w:t>
      </w:r>
      <w:r>
        <w:rPr>
          <w:color w:val="231F20"/>
          <w:w w:val="105"/>
        </w:rPr>
        <w:t>origen</w:t>
      </w:r>
      <w:r>
        <w:rPr>
          <w:color w:val="231F20"/>
          <w:spacing w:val="-5"/>
          <w:w w:val="105"/>
        </w:rPr>
        <w:t> </w:t>
      </w:r>
      <w:r>
        <w:rPr>
          <w:color w:val="231F20"/>
          <w:w w:val="105"/>
        </w:rPr>
        <w:t>o,</w:t>
      </w:r>
      <w:r>
        <w:rPr>
          <w:color w:val="231F20"/>
          <w:spacing w:val="-10"/>
          <w:w w:val="105"/>
        </w:rPr>
        <w:t> </w:t>
      </w:r>
      <w:r>
        <w:rPr>
          <w:color w:val="231F20"/>
          <w:w w:val="105"/>
        </w:rPr>
        <w:t>en</w:t>
      </w:r>
      <w:r>
        <w:rPr>
          <w:color w:val="231F20"/>
          <w:spacing w:val="-5"/>
          <w:w w:val="105"/>
        </w:rPr>
        <w:t> </w:t>
      </w:r>
      <w:r>
        <w:rPr>
          <w:color w:val="231F20"/>
          <w:w w:val="105"/>
        </w:rPr>
        <w:t>caso</w:t>
      </w:r>
      <w:r>
        <w:rPr>
          <w:color w:val="231F20"/>
          <w:spacing w:val="-5"/>
          <w:w w:val="105"/>
        </w:rPr>
        <w:t> </w:t>
      </w:r>
      <w:r>
        <w:rPr>
          <w:color w:val="231F20"/>
          <w:w w:val="105"/>
        </w:rPr>
        <w:t>de</w:t>
      </w:r>
      <w:r>
        <w:rPr>
          <w:color w:val="231F20"/>
          <w:spacing w:val="-5"/>
          <w:w w:val="105"/>
        </w:rPr>
        <w:t> </w:t>
      </w:r>
      <w:r>
        <w:rPr>
          <w:color w:val="231F20"/>
          <w:w w:val="105"/>
        </w:rPr>
        <w:t>aban- dono,</w:t>
      </w:r>
      <w:r>
        <w:rPr>
          <w:color w:val="231F20"/>
          <w:spacing w:val="-11"/>
          <w:w w:val="105"/>
        </w:rPr>
        <w:t> </w:t>
      </w:r>
      <w:r>
        <w:rPr>
          <w:color w:val="231F20"/>
          <w:w w:val="105"/>
        </w:rPr>
        <w:t>a</w:t>
      </w:r>
      <w:r>
        <w:rPr>
          <w:color w:val="231F20"/>
          <w:spacing w:val="-6"/>
          <w:w w:val="105"/>
        </w:rPr>
        <w:t> </w:t>
      </w:r>
      <w:r>
        <w:rPr>
          <w:color w:val="231F20"/>
          <w:w w:val="105"/>
        </w:rPr>
        <w:t>las</w:t>
      </w:r>
      <w:r>
        <w:rPr>
          <w:color w:val="231F20"/>
          <w:spacing w:val="-6"/>
          <w:w w:val="105"/>
        </w:rPr>
        <w:t> </w:t>
      </w:r>
      <w:r>
        <w:rPr>
          <w:color w:val="231F20"/>
          <w:w w:val="105"/>
        </w:rPr>
        <w:t>que</w:t>
      </w:r>
      <w:r>
        <w:rPr>
          <w:color w:val="231F20"/>
          <w:spacing w:val="-6"/>
          <w:w w:val="105"/>
        </w:rPr>
        <w:t> </w:t>
      </w:r>
      <w:r>
        <w:rPr>
          <w:color w:val="231F20"/>
          <w:w w:val="105"/>
        </w:rPr>
        <w:t>le</w:t>
      </w:r>
      <w:r>
        <w:rPr>
          <w:color w:val="231F20"/>
          <w:spacing w:val="-6"/>
          <w:w w:val="105"/>
        </w:rPr>
        <w:t> </w:t>
      </w:r>
      <w:r>
        <w:rPr>
          <w:color w:val="231F20"/>
          <w:w w:val="105"/>
        </w:rPr>
        <w:t>han</w:t>
      </w:r>
      <w:r>
        <w:rPr>
          <w:color w:val="231F20"/>
          <w:spacing w:val="-6"/>
          <w:w w:val="105"/>
        </w:rPr>
        <w:t> </w:t>
      </w:r>
      <w:r>
        <w:rPr>
          <w:color w:val="231F20"/>
          <w:w w:val="105"/>
        </w:rPr>
        <w:t>dado</w:t>
      </w:r>
      <w:r>
        <w:rPr>
          <w:color w:val="231F20"/>
          <w:spacing w:val="-6"/>
          <w:w w:val="105"/>
        </w:rPr>
        <w:t> </w:t>
      </w:r>
      <w:r>
        <w:rPr>
          <w:color w:val="231F20"/>
          <w:w w:val="105"/>
        </w:rPr>
        <w:t>cobijo</w:t>
      </w:r>
      <w:r>
        <w:rPr>
          <w:color w:val="231F20"/>
          <w:spacing w:val="-6"/>
          <w:w w:val="105"/>
        </w:rPr>
        <w:t> </w:t>
      </w:r>
      <w:r>
        <w:rPr>
          <w:color w:val="231F20"/>
          <w:w w:val="105"/>
        </w:rPr>
        <w:t>en</w:t>
      </w:r>
      <w:r>
        <w:rPr>
          <w:color w:val="231F20"/>
          <w:spacing w:val="-6"/>
          <w:w w:val="105"/>
        </w:rPr>
        <w:t> </w:t>
      </w:r>
      <w:r>
        <w:rPr>
          <w:color w:val="231F20"/>
          <w:w w:val="105"/>
        </w:rPr>
        <w:t>nuestro</w:t>
      </w:r>
      <w:r>
        <w:rPr>
          <w:color w:val="231F20"/>
          <w:spacing w:val="-6"/>
          <w:w w:val="105"/>
        </w:rPr>
        <w:t> </w:t>
      </w:r>
      <w:r>
        <w:rPr>
          <w:color w:val="231F20"/>
          <w:w w:val="105"/>
        </w:rPr>
        <w:t>país.</w:t>
      </w:r>
      <w:r>
        <w:rPr>
          <w:color w:val="231F20"/>
          <w:spacing w:val="-11"/>
          <w:w w:val="105"/>
        </w:rPr>
        <w:t> </w:t>
      </w:r>
      <w:r>
        <w:rPr>
          <w:color w:val="231F20"/>
          <w:w w:val="105"/>
        </w:rPr>
        <w:t>Se</w:t>
      </w:r>
      <w:r>
        <w:rPr>
          <w:color w:val="231F20"/>
          <w:spacing w:val="-6"/>
          <w:w w:val="105"/>
        </w:rPr>
        <w:t> </w:t>
      </w:r>
      <w:r>
        <w:rPr>
          <w:color w:val="231F20"/>
          <w:w w:val="105"/>
        </w:rPr>
        <w:t>trata</w:t>
      </w:r>
      <w:r>
        <w:rPr>
          <w:color w:val="231F20"/>
          <w:spacing w:val="-6"/>
          <w:w w:val="105"/>
        </w:rPr>
        <w:t> </w:t>
      </w:r>
      <w:r>
        <w:rPr>
          <w:color w:val="231F20"/>
          <w:w w:val="105"/>
        </w:rPr>
        <w:t>sin</w:t>
      </w:r>
      <w:r>
        <w:rPr>
          <w:color w:val="231F20"/>
          <w:spacing w:val="-6"/>
          <w:w w:val="105"/>
        </w:rPr>
        <w:t> </w:t>
      </w:r>
      <w:r>
        <w:rPr>
          <w:color w:val="231F20"/>
          <w:w w:val="105"/>
        </w:rPr>
        <w:t>duda</w:t>
      </w:r>
      <w:r>
        <w:rPr>
          <w:color w:val="231F20"/>
          <w:spacing w:val="-6"/>
          <w:w w:val="105"/>
        </w:rPr>
        <w:t> </w:t>
      </w:r>
      <w:r>
        <w:rPr>
          <w:color w:val="231F20"/>
          <w:w w:val="105"/>
        </w:rPr>
        <w:t>de un problema complejo que debe ser atendido antes de que el sistema se vea</w:t>
      </w:r>
      <w:r>
        <w:rPr>
          <w:color w:val="231F20"/>
          <w:spacing w:val="-42"/>
          <w:w w:val="105"/>
        </w:rPr>
        <w:t> </w:t>
      </w:r>
      <w:r>
        <w:rPr>
          <w:color w:val="231F20"/>
          <w:w w:val="105"/>
        </w:rPr>
        <w:t>desbordado.</w:t>
      </w:r>
    </w:p>
    <w:p>
      <w:pPr>
        <w:pStyle w:val="BodyText"/>
        <w:rPr>
          <w:sz w:val="20"/>
        </w:rPr>
      </w:pPr>
    </w:p>
    <w:p>
      <w:pPr>
        <w:pStyle w:val="BodyText"/>
        <w:spacing w:before="9"/>
        <w:rPr>
          <w:sz w:val="20"/>
        </w:rPr>
      </w:pPr>
    </w:p>
    <w:p>
      <w:pPr>
        <w:pStyle w:val="Heading3"/>
        <w:spacing w:line="266" w:lineRule="auto"/>
        <w:ind w:right="1721"/>
      </w:pPr>
      <w:r>
        <w:rPr>
          <w:color w:val="231F20"/>
        </w:rPr>
        <w:t>Entre</w:t>
      </w:r>
      <w:r>
        <w:rPr>
          <w:color w:val="231F20"/>
          <w:spacing w:val="-22"/>
        </w:rPr>
        <w:t> </w:t>
      </w:r>
      <w:r>
        <w:rPr>
          <w:color w:val="231F20"/>
        </w:rPr>
        <w:t>la</w:t>
      </w:r>
      <w:r>
        <w:rPr>
          <w:color w:val="231F20"/>
          <w:spacing w:val="-22"/>
        </w:rPr>
        <w:t> </w:t>
      </w:r>
      <w:r>
        <w:rPr>
          <w:color w:val="231F20"/>
        </w:rPr>
        <w:t>anomia</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rPr>
        <w:t>derecho:</w:t>
      </w:r>
      <w:r>
        <w:rPr>
          <w:color w:val="231F20"/>
          <w:spacing w:val="-22"/>
        </w:rPr>
        <w:t> </w:t>
      </w:r>
      <w:r>
        <w:rPr>
          <w:color w:val="231F20"/>
        </w:rPr>
        <w:t>la</w:t>
      </w:r>
      <w:r>
        <w:rPr>
          <w:color w:val="231F20"/>
          <w:spacing w:val="-22"/>
        </w:rPr>
        <w:t> </w:t>
      </w:r>
      <w:r>
        <w:rPr>
          <w:color w:val="231F20"/>
        </w:rPr>
        <w:t>situación</w:t>
      </w:r>
      <w:r>
        <w:rPr>
          <w:color w:val="231F20"/>
          <w:spacing w:val="-22"/>
        </w:rPr>
        <w:t> </w:t>
      </w:r>
      <w:r>
        <w:rPr>
          <w:color w:val="231F20"/>
        </w:rPr>
        <w:t>de</w:t>
      </w:r>
      <w:r>
        <w:rPr>
          <w:color w:val="231F20"/>
          <w:spacing w:val="-22"/>
        </w:rPr>
        <w:t> </w:t>
      </w:r>
      <w:r>
        <w:rPr>
          <w:color w:val="231F20"/>
          <w:sz w:val="18"/>
        </w:rPr>
        <w:t>NNA</w:t>
      </w:r>
      <w:r>
        <w:rPr>
          <w:color w:val="231F20"/>
          <w:spacing w:val="-11"/>
          <w:sz w:val="18"/>
        </w:rPr>
        <w:t> </w:t>
      </w:r>
      <w:r>
        <w:rPr>
          <w:color w:val="231F20"/>
        </w:rPr>
        <w:t>migrantes</w:t>
      </w:r>
      <w:r>
        <w:rPr>
          <w:color w:val="231F20"/>
          <w:spacing w:val="-22"/>
        </w:rPr>
        <w:t> </w:t>
      </w:r>
      <w:r>
        <w:rPr>
          <w:color w:val="231F20"/>
        </w:rPr>
        <w:t>irregula- res</w:t>
      </w:r>
      <w:r>
        <w:rPr>
          <w:color w:val="231F20"/>
          <w:spacing w:val="-28"/>
        </w:rPr>
        <w:t> </w:t>
      </w:r>
      <w:r>
        <w:rPr>
          <w:color w:val="231F20"/>
        </w:rPr>
        <w:t>no</w:t>
      </w:r>
      <w:r>
        <w:rPr>
          <w:color w:val="231F20"/>
          <w:spacing w:val="-28"/>
        </w:rPr>
        <w:t> </w:t>
      </w:r>
      <w:r>
        <w:rPr>
          <w:color w:val="231F20"/>
        </w:rPr>
        <w:t>acompañados</w:t>
      </w:r>
      <w:r>
        <w:rPr>
          <w:color w:val="231F20"/>
          <w:spacing w:val="-28"/>
        </w:rPr>
        <w:t> </w:t>
      </w:r>
      <w:r>
        <w:rPr>
          <w:color w:val="231F20"/>
        </w:rPr>
        <w:t>en</w:t>
      </w:r>
      <w:r>
        <w:rPr>
          <w:color w:val="231F20"/>
          <w:spacing w:val="-28"/>
        </w:rPr>
        <w:t> </w:t>
      </w:r>
      <w:r>
        <w:rPr>
          <w:color w:val="231F20"/>
        </w:rPr>
        <w:t>México</w:t>
      </w:r>
    </w:p>
    <w:p>
      <w:pPr>
        <w:pStyle w:val="BodyText"/>
        <w:rPr>
          <w:rFonts w:ascii="Arial"/>
          <w:b/>
          <w:sz w:val="22"/>
        </w:rPr>
      </w:pPr>
    </w:p>
    <w:p>
      <w:pPr>
        <w:pStyle w:val="BodyText"/>
        <w:spacing w:line="261" w:lineRule="auto" w:before="136"/>
        <w:ind w:left="1837" w:right="1721"/>
        <w:jc w:val="both"/>
      </w:pPr>
      <w:r>
        <w:rPr>
          <w:color w:val="231F20"/>
          <w:w w:val="105"/>
        </w:rPr>
        <w:t>La</w:t>
      </w:r>
      <w:r>
        <w:rPr>
          <w:color w:val="231F20"/>
          <w:spacing w:val="-17"/>
          <w:w w:val="105"/>
        </w:rPr>
        <w:t> </w:t>
      </w:r>
      <w:r>
        <w:rPr>
          <w:color w:val="231F20"/>
          <w:w w:val="105"/>
        </w:rPr>
        <w:t>existencia</w:t>
      </w:r>
      <w:r>
        <w:rPr>
          <w:color w:val="231F20"/>
          <w:spacing w:val="-17"/>
          <w:w w:val="105"/>
        </w:rPr>
        <w:t> </w:t>
      </w:r>
      <w:r>
        <w:rPr>
          <w:color w:val="231F20"/>
          <w:w w:val="105"/>
        </w:rPr>
        <w:t>de</w:t>
      </w:r>
      <w:r>
        <w:rPr>
          <w:color w:val="231F20"/>
          <w:spacing w:val="-17"/>
          <w:w w:val="105"/>
        </w:rPr>
        <w:t> </w:t>
      </w:r>
      <w:r>
        <w:rPr>
          <w:color w:val="231F20"/>
          <w:w w:val="105"/>
        </w:rPr>
        <w:t>flujos</w:t>
      </w:r>
      <w:r>
        <w:rPr>
          <w:color w:val="231F20"/>
          <w:spacing w:val="-17"/>
          <w:w w:val="105"/>
        </w:rPr>
        <w:t> </w:t>
      </w:r>
      <w:r>
        <w:rPr>
          <w:color w:val="231F20"/>
          <w:w w:val="105"/>
        </w:rPr>
        <w:t>migratorios</w:t>
      </w:r>
      <w:r>
        <w:rPr>
          <w:color w:val="231F20"/>
          <w:spacing w:val="-17"/>
          <w:w w:val="105"/>
        </w:rPr>
        <w:t> </w:t>
      </w:r>
      <w:r>
        <w:rPr>
          <w:color w:val="231F20"/>
          <w:w w:val="105"/>
        </w:rPr>
        <w:t>mixtos</w:t>
      </w:r>
      <w:r>
        <w:rPr>
          <w:color w:val="231F20"/>
          <w:spacing w:val="-17"/>
          <w:w w:val="105"/>
        </w:rPr>
        <w:t> </w:t>
      </w:r>
      <w:r>
        <w:rPr>
          <w:color w:val="231F20"/>
          <w:w w:val="105"/>
        </w:rPr>
        <w:t>exige</w:t>
      </w:r>
      <w:r>
        <w:rPr>
          <w:color w:val="231F20"/>
          <w:spacing w:val="-17"/>
          <w:w w:val="105"/>
        </w:rPr>
        <w:t> </w:t>
      </w:r>
      <w:r>
        <w:rPr>
          <w:color w:val="231F20"/>
          <w:w w:val="105"/>
        </w:rPr>
        <w:t>políticas</w:t>
      </w:r>
      <w:r>
        <w:rPr>
          <w:color w:val="231F20"/>
          <w:spacing w:val="-17"/>
          <w:w w:val="105"/>
        </w:rPr>
        <w:t> </w:t>
      </w:r>
      <w:r>
        <w:rPr>
          <w:color w:val="231F20"/>
          <w:w w:val="105"/>
        </w:rPr>
        <w:t>y</w:t>
      </w:r>
      <w:r>
        <w:rPr>
          <w:color w:val="231F20"/>
          <w:spacing w:val="-17"/>
          <w:w w:val="105"/>
        </w:rPr>
        <w:t> </w:t>
      </w:r>
      <w:r>
        <w:rPr>
          <w:color w:val="231F20"/>
          <w:w w:val="105"/>
        </w:rPr>
        <w:t>estrategias</w:t>
      </w:r>
      <w:r>
        <w:rPr>
          <w:color w:val="231F20"/>
          <w:spacing w:val="-17"/>
          <w:w w:val="105"/>
        </w:rPr>
        <w:t> </w:t>
      </w:r>
      <w:r>
        <w:rPr>
          <w:color w:val="231F20"/>
          <w:w w:val="105"/>
        </w:rPr>
        <w:t>di- ferentes a las de los países de tránsito o destino, por lo que la informa- ción</w:t>
      </w:r>
      <w:r>
        <w:rPr>
          <w:color w:val="231F20"/>
          <w:spacing w:val="-18"/>
          <w:w w:val="105"/>
        </w:rPr>
        <w:t> </w:t>
      </w:r>
      <w:r>
        <w:rPr>
          <w:color w:val="231F20"/>
          <w:w w:val="105"/>
        </w:rPr>
        <w:t>resulta</w:t>
      </w:r>
      <w:r>
        <w:rPr>
          <w:color w:val="231F20"/>
          <w:spacing w:val="-18"/>
          <w:w w:val="105"/>
        </w:rPr>
        <w:t> </w:t>
      </w:r>
      <w:r>
        <w:rPr>
          <w:color w:val="231F20"/>
          <w:w w:val="105"/>
        </w:rPr>
        <w:t>crucial</w:t>
      </w:r>
      <w:r>
        <w:rPr>
          <w:color w:val="231F20"/>
          <w:spacing w:val="-18"/>
          <w:w w:val="105"/>
        </w:rPr>
        <w:t> </w:t>
      </w:r>
      <w:r>
        <w:rPr>
          <w:color w:val="231F20"/>
          <w:w w:val="105"/>
        </w:rPr>
        <w:t>para</w:t>
      </w:r>
      <w:r>
        <w:rPr>
          <w:color w:val="231F20"/>
          <w:spacing w:val="-18"/>
          <w:w w:val="105"/>
        </w:rPr>
        <w:t> </w:t>
      </w:r>
      <w:r>
        <w:rPr>
          <w:color w:val="231F20"/>
          <w:w w:val="105"/>
        </w:rPr>
        <w:t>el</w:t>
      </w:r>
      <w:r>
        <w:rPr>
          <w:color w:val="231F20"/>
          <w:spacing w:val="-18"/>
          <w:w w:val="105"/>
        </w:rPr>
        <w:t> </w:t>
      </w:r>
      <w:r>
        <w:rPr>
          <w:color w:val="231F20"/>
          <w:w w:val="105"/>
        </w:rPr>
        <w:t>éxito</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planificadores</w:t>
      </w:r>
      <w:r>
        <w:rPr>
          <w:color w:val="231F20"/>
          <w:spacing w:val="-18"/>
          <w:w w:val="105"/>
        </w:rPr>
        <w:t> </w:t>
      </w:r>
      <w:r>
        <w:rPr>
          <w:color w:val="231F20"/>
          <w:w w:val="105"/>
        </w:rPr>
        <w:t>y</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protección de</w:t>
      </w:r>
      <w:r>
        <w:rPr>
          <w:color w:val="231F20"/>
          <w:spacing w:val="-25"/>
          <w:w w:val="105"/>
        </w:rPr>
        <w:t> </w:t>
      </w:r>
      <w:r>
        <w:rPr>
          <w:color w:val="231F20"/>
          <w:w w:val="105"/>
        </w:rPr>
        <w:t>los</w:t>
      </w:r>
      <w:r>
        <w:rPr>
          <w:color w:val="231F20"/>
          <w:spacing w:val="-25"/>
          <w:w w:val="105"/>
        </w:rPr>
        <w:t> </w:t>
      </w:r>
      <w:r>
        <w:rPr>
          <w:color w:val="231F20"/>
          <w:w w:val="105"/>
        </w:rPr>
        <w:t>derechos</w:t>
      </w:r>
      <w:r>
        <w:rPr>
          <w:color w:val="231F20"/>
          <w:spacing w:val="-25"/>
          <w:w w:val="105"/>
        </w:rPr>
        <w:t> </w:t>
      </w:r>
      <w:r>
        <w:rPr>
          <w:color w:val="231F20"/>
          <w:w w:val="105"/>
        </w:rPr>
        <w:t>humanos</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migrantes.</w:t>
      </w:r>
      <w:r>
        <w:rPr>
          <w:color w:val="231F20"/>
          <w:spacing w:val="-30"/>
          <w:w w:val="105"/>
        </w:rPr>
        <w:t> </w:t>
      </w:r>
      <w:r>
        <w:rPr>
          <w:color w:val="231F20"/>
          <w:w w:val="105"/>
        </w:rPr>
        <w:t>La</w:t>
      </w:r>
      <w:r>
        <w:rPr>
          <w:color w:val="231F20"/>
          <w:spacing w:val="-25"/>
          <w:w w:val="105"/>
        </w:rPr>
        <w:t> </w:t>
      </w:r>
      <w:r>
        <w:rPr>
          <w:color w:val="231F20"/>
          <w:w w:val="105"/>
          <w:sz w:val="17"/>
        </w:rPr>
        <w:t>CIDH</w:t>
      </w:r>
      <w:r>
        <w:rPr>
          <w:color w:val="231F20"/>
          <w:spacing w:val="-14"/>
          <w:w w:val="105"/>
          <w:sz w:val="17"/>
        </w:rPr>
        <w:t> </w:t>
      </w:r>
      <w:r>
        <w:rPr>
          <w:color w:val="231F20"/>
          <w:w w:val="105"/>
        </w:rPr>
        <w:t>expuso</w:t>
      </w:r>
      <w:r>
        <w:rPr>
          <w:color w:val="231F20"/>
          <w:spacing w:val="-25"/>
          <w:w w:val="105"/>
        </w:rPr>
        <w:t> </w:t>
      </w:r>
      <w:r>
        <w:rPr>
          <w:color w:val="231F20"/>
          <w:w w:val="105"/>
        </w:rPr>
        <w:t>en</w:t>
      </w:r>
      <w:r>
        <w:rPr>
          <w:color w:val="231F20"/>
          <w:spacing w:val="-25"/>
          <w:w w:val="105"/>
        </w:rPr>
        <w:t> </w:t>
      </w:r>
      <w:r>
        <w:rPr>
          <w:color w:val="231F20"/>
          <w:w w:val="105"/>
        </w:rPr>
        <w:t>su</w:t>
      </w:r>
      <w:r>
        <w:rPr>
          <w:color w:val="231F20"/>
          <w:spacing w:val="-25"/>
          <w:w w:val="105"/>
        </w:rPr>
        <w:t> </w:t>
      </w:r>
      <w:r>
        <w:rPr>
          <w:color w:val="231F20"/>
          <w:w w:val="105"/>
        </w:rPr>
        <w:t>informe 2013</w:t>
      </w:r>
      <w:r>
        <w:rPr>
          <w:color w:val="231F20"/>
          <w:spacing w:val="-25"/>
          <w:w w:val="105"/>
        </w:rPr>
        <w:t> </w:t>
      </w:r>
      <w:r>
        <w:rPr>
          <w:color w:val="231F20"/>
          <w:w w:val="105"/>
        </w:rPr>
        <w:t>sobre</w:t>
      </w:r>
      <w:r>
        <w:rPr>
          <w:color w:val="231F20"/>
          <w:spacing w:val="-25"/>
          <w:w w:val="105"/>
        </w:rPr>
        <w:t> </w:t>
      </w:r>
      <w:r>
        <w:rPr>
          <w:color w:val="231F20"/>
          <w:w w:val="105"/>
        </w:rPr>
        <w:t>migración</w:t>
      </w:r>
      <w:r>
        <w:rPr>
          <w:color w:val="231F20"/>
          <w:spacing w:val="-25"/>
          <w:w w:val="105"/>
        </w:rPr>
        <w:t> </w:t>
      </w:r>
      <w:r>
        <w:rPr>
          <w:color w:val="231F20"/>
          <w:w w:val="105"/>
        </w:rPr>
        <w:t>en</w:t>
      </w:r>
      <w:r>
        <w:rPr>
          <w:color w:val="231F20"/>
          <w:spacing w:val="-25"/>
          <w:w w:val="105"/>
        </w:rPr>
        <w:t> </w:t>
      </w:r>
      <w:r>
        <w:rPr>
          <w:color w:val="231F20"/>
          <w:w w:val="105"/>
        </w:rPr>
        <w:t>México,</w:t>
      </w:r>
      <w:r>
        <w:rPr>
          <w:color w:val="231F20"/>
          <w:spacing w:val="-30"/>
          <w:w w:val="105"/>
        </w:rPr>
        <w:t> </w:t>
      </w:r>
      <w:r>
        <w:rPr>
          <w:color w:val="231F20"/>
          <w:w w:val="105"/>
        </w:rPr>
        <w:t>la</w:t>
      </w:r>
      <w:r>
        <w:rPr>
          <w:color w:val="231F20"/>
          <w:spacing w:val="-25"/>
          <w:w w:val="105"/>
        </w:rPr>
        <w:t> </w:t>
      </w:r>
      <w:r>
        <w:rPr>
          <w:color w:val="231F20"/>
          <w:w w:val="105"/>
        </w:rPr>
        <w:t>“falta</w:t>
      </w:r>
      <w:r>
        <w:rPr>
          <w:color w:val="231F20"/>
          <w:spacing w:val="-25"/>
          <w:w w:val="105"/>
        </w:rPr>
        <w:t> </w:t>
      </w:r>
      <w:r>
        <w:rPr>
          <w:color w:val="231F20"/>
          <w:w w:val="105"/>
        </w:rPr>
        <w:t>de</w:t>
      </w:r>
      <w:r>
        <w:rPr>
          <w:color w:val="231F20"/>
          <w:spacing w:val="-25"/>
          <w:w w:val="105"/>
        </w:rPr>
        <w:t> </w:t>
      </w:r>
      <w:r>
        <w:rPr>
          <w:color w:val="231F20"/>
          <w:w w:val="105"/>
        </w:rPr>
        <w:t>datos</w:t>
      </w:r>
      <w:r>
        <w:rPr>
          <w:color w:val="231F20"/>
          <w:spacing w:val="-25"/>
          <w:w w:val="105"/>
        </w:rPr>
        <w:t> </w:t>
      </w:r>
      <w:r>
        <w:rPr>
          <w:color w:val="231F20"/>
          <w:w w:val="105"/>
        </w:rPr>
        <w:t>sistemáticos</w:t>
      </w:r>
      <w:r>
        <w:rPr>
          <w:color w:val="231F20"/>
          <w:spacing w:val="-25"/>
          <w:w w:val="105"/>
        </w:rPr>
        <w:t> </w:t>
      </w:r>
      <w:r>
        <w:rPr>
          <w:color w:val="231F20"/>
          <w:w w:val="105"/>
        </w:rPr>
        <w:t>sobre</w:t>
      </w:r>
      <w:r>
        <w:rPr>
          <w:color w:val="231F20"/>
          <w:spacing w:val="-25"/>
          <w:w w:val="105"/>
        </w:rPr>
        <w:t> </w:t>
      </w:r>
      <w:r>
        <w:rPr>
          <w:color w:val="231F20"/>
          <w:w w:val="105"/>
        </w:rPr>
        <w:t>de- litos</w:t>
      </w:r>
      <w:r>
        <w:rPr>
          <w:color w:val="231F20"/>
          <w:spacing w:val="-26"/>
          <w:w w:val="105"/>
        </w:rPr>
        <w:t> </w:t>
      </w:r>
      <w:r>
        <w:rPr>
          <w:color w:val="231F20"/>
          <w:w w:val="105"/>
        </w:rPr>
        <w:t>y</w:t>
      </w:r>
      <w:r>
        <w:rPr>
          <w:color w:val="231F20"/>
          <w:spacing w:val="-26"/>
          <w:w w:val="105"/>
        </w:rPr>
        <w:t> </w:t>
      </w:r>
      <w:r>
        <w:rPr>
          <w:color w:val="231F20"/>
          <w:w w:val="105"/>
        </w:rPr>
        <w:t>violaciones</w:t>
      </w:r>
      <w:r>
        <w:rPr>
          <w:color w:val="231F20"/>
          <w:spacing w:val="-26"/>
          <w:w w:val="105"/>
        </w:rPr>
        <w:t> </w:t>
      </w:r>
      <w:r>
        <w:rPr>
          <w:color w:val="231F20"/>
          <w:w w:val="105"/>
        </w:rPr>
        <w:t>a</w:t>
      </w:r>
      <w:r>
        <w:rPr>
          <w:color w:val="231F20"/>
          <w:spacing w:val="-26"/>
          <w:w w:val="105"/>
        </w:rPr>
        <w:t> </w:t>
      </w:r>
      <w:r>
        <w:rPr>
          <w:color w:val="231F20"/>
          <w:w w:val="105"/>
        </w:rPr>
        <w:t>los</w:t>
      </w:r>
      <w:r>
        <w:rPr>
          <w:color w:val="231F20"/>
          <w:spacing w:val="-26"/>
          <w:w w:val="105"/>
        </w:rPr>
        <w:t> </w:t>
      </w:r>
      <w:r>
        <w:rPr>
          <w:color w:val="231F20"/>
          <w:w w:val="105"/>
        </w:rPr>
        <w:t>derechos</w:t>
      </w:r>
      <w:r>
        <w:rPr>
          <w:color w:val="231F20"/>
          <w:spacing w:val="-26"/>
          <w:w w:val="105"/>
        </w:rPr>
        <w:t> </w:t>
      </w:r>
      <w:r>
        <w:rPr>
          <w:color w:val="231F20"/>
          <w:w w:val="105"/>
        </w:rPr>
        <w:t>humanos</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que</w:t>
      </w:r>
      <w:r>
        <w:rPr>
          <w:color w:val="231F20"/>
          <w:spacing w:val="-26"/>
          <w:w w:val="105"/>
        </w:rPr>
        <w:t> </w:t>
      </w:r>
      <w:r>
        <w:rPr>
          <w:color w:val="231F20"/>
          <w:w w:val="105"/>
        </w:rPr>
        <w:t>hayan</w:t>
      </w:r>
      <w:r>
        <w:rPr>
          <w:color w:val="231F20"/>
          <w:spacing w:val="-26"/>
          <w:w w:val="105"/>
        </w:rPr>
        <w:t> </w:t>
      </w:r>
      <w:r>
        <w:rPr>
          <w:color w:val="231F20"/>
          <w:w w:val="105"/>
        </w:rPr>
        <w:t>sido</w:t>
      </w:r>
      <w:r>
        <w:rPr>
          <w:color w:val="231F20"/>
          <w:spacing w:val="-26"/>
          <w:w w:val="105"/>
        </w:rPr>
        <w:t> </w:t>
      </w:r>
      <w:r>
        <w:rPr>
          <w:color w:val="231F20"/>
          <w:w w:val="105"/>
        </w:rPr>
        <w:t>víctimas </w:t>
      </w:r>
      <w:r>
        <w:rPr>
          <w:color w:val="231F20"/>
          <w:w w:val="105"/>
          <w:sz w:val="17"/>
        </w:rPr>
        <w:t>NNA </w:t>
      </w:r>
      <w:r>
        <w:rPr>
          <w:color w:val="231F20"/>
          <w:w w:val="105"/>
        </w:rPr>
        <w:t>migrantes” (</w:t>
      </w:r>
      <w:r>
        <w:rPr>
          <w:color w:val="231F20"/>
          <w:w w:val="105"/>
          <w:sz w:val="17"/>
        </w:rPr>
        <w:t>OEA</w:t>
      </w:r>
      <w:r>
        <w:rPr>
          <w:color w:val="231F20"/>
          <w:w w:val="105"/>
        </w:rPr>
        <w:t>, 2013: 101). Esto incide directamente en el</w:t>
      </w:r>
      <w:r>
        <w:rPr>
          <w:color w:val="231F20"/>
          <w:spacing w:val="-36"/>
          <w:w w:val="105"/>
        </w:rPr>
        <w:t> </w:t>
      </w:r>
      <w:r>
        <w:rPr>
          <w:color w:val="231F20"/>
          <w:w w:val="105"/>
        </w:rPr>
        <w:t>trabajo que</w:t>
      </w:r>
      <w:r>
        <w:rPr>
          <w:color w:val="231F20"/>
          <w:spacing w:val="-15"/>
          <w:w w:val="105"/>
        </w:rPr>
        <w:t> </w:t>
      </w:r>
      <w:r>
        <w:rPr>
          <w:color w:val="231F20"/>
          <w:w w:val="105"/>
        </w:rPr>
        <w:t>realizan</w:t>
      </w:r>
      <w:r>
        <w:rPr>
          <w:color w:val="231F20"/>
          <w:spacing w:val="-15"/>
          <w:w w:val="105"/>
        </w:rPr>
        <w:t> </w:t>
      </w:r>
      <w:r>
        <w:rPr>
          <w:color w:val="231F20"/>
          <w:w w:val="105"/>
        </w:rPr>
        <w:t>los</w:t>
      </w:r>
      <w:r>
        <w:rPr>
          <w:color w:val="231F20"/>
          <w:spacing w:val="-15"/>
          <w:w w:val="105"/>
        </w:rPr>
        <w:t> </w:t>
      </w:r>
      <w:r>
        <w:rPr>
          <w:color w:val="231F20"/>
          <w:w w:val="105"/>
        </w:rPr>
        <w:t>organismos</w:t>
      </w:r>
      <w:r>
        <w:rPr>
          <w:color w:val="231F20"/>
          <w:spacing w:val="-15"/>
          <w:w w:val="105"/>
        </w:rPr>
        <w:t> </w:t>
      </w:r>
      <w:r>
        <w:rPr>
          <w:color w:val="231F20"/>
          <w:w w:val="105"/>
        </w:rPr>
        <w:t>gubernamentales,</w:t>
      </w:r>
      <w:r>
        <w:rPr>
          <w:color w:val="231F20"/>
          <w:spacing w:val="-20"/>
          <w:w w:val="105"/>
        </w:rPr>
        <w:t> </w:t>
      </w:r>
      <w:r>
        <w:rPr>
          <w:color w:val="231F20"/>
          <w:w w:val="105"/>
        </w:rPr>
        <w:t>pues</w:t>
      </w:r>
      <w:r>
        <w:rPr>
          <w:color w:val="231F20"/>
          <w:spacing w:val="-15"/>
          <w:w w:val="105"/>
        </w:rPr>
        <w:t> </w:t>
      </w:r>
      <w:r>
        <w:rPr>
          <w:color w:val="231F20"/>
          <w:w w:val="105"/>
        </w:rPr>
        <w:t>difícilmente</w:t>
      </w:r>
      <w:r>
        <w:rPr>
          <w:color w:val="231F20"/>
          <w:spacing w:val="-15"/>
          <w:w w:val="105"/>
        </w:rPr>
        <w:t> </w:t>
      </w:r>
      <w:r>
        <w:rPr>
          <w:color w:val="231F20"/>
          <w:w w:val="105"/>
        </w:rPr>
        <w:t>podrán diseñarse</w:t>
      </w:r>
      <w:r>
        <w:rPr>
          <w:color w:val="231F20"/>
          <w:spacing w:val="-18"/>
          <w:w w:val="105"/>
        </w:rPr>
        <w:t> </w:t>
      </w:r>
      <w:r>
        <w:rPr>
          <w:color w:val="231F20"/>
          <w:w w:val="105"/>
        </w:rPr>
        <w:t>estrategias</w:t>
      </w:r>
      <w:r>
        <w:rPr>
          <w:color w:val="231F20"/>
          <w:spacing w:val="-18"/>
          <w:w w:val="105"/>
        </w:rPr>
        <w:t> </w:t>
      </w:r>
      <w:r>
        <w:rPr>
          <w:color w:val="231F20"/>
          <w:w w:val="105"/>
        </w:rPr>
        <w:t>adecuadas</w:t>
      </w:r>
      <w:r>
        <w:rPr>
          <w:color w:val="231F20"/>
          <w:spacing w:val="-18"/>
          <w:w w:val="105"/>
        </w:rPr>
        <w:t> </w:t>
      </w:r>
      <w:r>
        <w:rPr>
          <w:color w:val="231F20"/>
          <w:w w:val="105"/>
        </w:rPr>
        <w:t>si</w:t>
      </w:r>
      <w:r>
        <w:rPr>
          <w:color w:val="231F20"/>
          <w:spacing w:val="-18"/>
          <w:w w:val="105"/>
        </w:rPr>
        <w:t> </w:t>
      </w:r>
      <w:r>
        <w:rPr>
          <w:color w:val="231F20"/>
          <w:w w:val="105"/>
        </w:rPr>
        <w:t>no</w:t>
      </w:r>
      <w:r>
        <w:rPr>
          <w:color w:val="231F20"/>
          <w:spacing w:val="-18"/>
          <w:w w:val="105"/>
        </w:rPr>
        <w:t> </w:t>
      </w:r>
      <w:r>
        <w:rPr>
          <w:color w:val="231F20"/>
          <w:w w:val="105"/>
        </w:rPr>
        <w:t>se</w:t>
      </w:r>
      <w:r>
        <w:rPr>
          <w:color w:val="231F20"/>
          <w:spacing w:val="-18"/>
          <w:w w:val="105"/>
        </w:rPr>
        <w:t> </w:t>
      </w:r>
      <w:r>
        <w:rPr>
          <w:color w:val="231F20"/>
          <w:w w:val="105"/>
        </w:rPr>
        <w:t>conoce</w:t>
      </w:r>
      <w:r>
        <w:rPr>
          <w:color w:val="231F20"/>
          <w:spacing w:val="-18"/>
          <w:w w:val="105"/>
        </w:rPr>
        <w:t> </w:t>
      </w:r>
      <w:r>
        <w:rPr>
          <w:color w:val="231F20"/>
          <w:w w:val="105"/>
        </w:rPr>
        <w:t>la</w:t>
      </w:r>
      <w:r>
        <w:rPr>
          <w:color w:val="231F20"/>
          <w:spacing w:val="-18"/>
          <w:w w:val="105"/>
        </w:rPr>
        <w:t> </w:t>
      </w:r>
      <w:r>
        <w:rPr>
          <w:color w:val="231F20"/>
          <w:w w:val="105"/>
        </w:rPr>
        <w:t>magnitud</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pro- blemas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han</w:t>
      </w:r>
      <w:r>
        <w:rPr>
          <w:color w:val="231F20"/>
          <w:spacing w:val="-15"/>
          <w:w w:val="105"/>
        </w:rPr>
        <w:t> </w:t>
      </w:r>
      <w:r>
        <w:rPr>
          <w:color w:val="231F20"/>
          <w:w w:val="105"/>
        </w:rPr>
        <w:t>de</w:t>
      </w:r>
      <w:r>
        <w:rPr>
          <w:color w:val="231F20"/>
          <w:spacing w:val="-15"/>
          <w:w w:val="105"/>
        </w:rPr>
        <w:t> </w:t>
      </w:r>
      <w:r>
        <w:rPr>
          <w:color w:val="231F20"/>
          <w:w w:val="105"/>
        </w:rPr>
        <w:t>abordar.</w:t>
      </w:r>
    </w:p>
    <w:p>
      <w:pPr>
        <w:pStyle w:val="BodyText"/>
        <w:spacing w:line="261" w:lineRule="auto" w:before="1"/>
        <w:ind w:left="1837" w:right="1715" w:firstLine="567"/>
        <w:jc w:val="both"/>
      </w:pPr>
      <w:r>
        <w:rPr/>
        <w:pict>
          <v:line style="position:absolute;mso-position-horizontal-relative:page;mso-position-vertical-relative:paragraph;z-index:-482056" from="15pt,123.335884pt" to="0pt,123.335884pt" stroked="true" strokeweight=".25pt" strokecolor="#000000">
            <w10:wrap type="none"/>
          </v:line>
        </w:pict>
      </w:r>
      <w:r>
        <w:rPr/>
        <w:pict>
          <v:line style="position:absolute;mso-position-horizontal-relative:page;mso-position-vertical-relative:paragraph;z-index:8152" from="508.890015pt,123.335884pt" to="523.890015pt,123.335884pt" stroked="true" strokeweight=".25pt" strokecolor="#000000">
            <w10:wrap type="none"/>
          </v:line>
        </w:pict>
      </w:r>
      <w:r>
        <w:rPr>
          <w:color w:val="231F20"/>
          <w:w w:val="105"/>
        </w:rPr>
        <w:t>En</w:t>
      </w:r>
      <w:r>
        <w:rPr>
          <w:color w:val="231F20"/>
          <w:spacing w:val="-23"/>
          <w:w w:val="105"/>
        </w:rPr>
        <w:t> </w:t>
      </w:r>
      <w:r>
        <w:rPr>
          <w:color w:val="231F20"/>
          <w:w w:val="105"/>
        </w:rPr>
        <w:t>este</w:t>
      </w:r>
      <w:r>
        <w:rPr>
          <w:color w:val="231F20"/>
          <w:spacing w:val="-23"/>
          <w:w w:val="105"/>
        </w:rPr>
        <w:t> </w:t>
      </w:r>
      <w:r>
        <w:rPr>
          <w:color w:val="231F20"/>
          <w:w w:val="105"/>
        </w:rPr>
        <w:t>orden,</w:t>
      </w:r>
      <w:r>
        <w:rPr>
          <w:color w:val="231F20"/>
          <w:spacing w:val="-28"/>
          <w:w w:val="105"/>
        </w:rPr>
        <w:t> </w:t>
      </w:r>
      <w:r>
        <w:rPr>
          <w:color w:val="231F20"/>
          <w:w w:val="105"/>
        </w:rPr>
        <w:t>es</w:t>
      </w:r>
      <w:r>
        <w:rPr>
          <w:color w:val="231F20"/>
          <w:spacing w:val="-23"/>
          <w:w w:val="105"/>
        </w:rPr>
        <w:t> </w:t>
      </w:r>
      <w:r>
        <w:rPr>
          <w:color w:val="231F20"/>
          <w:w w:val="105"/>
        </w:rPr>
        <w:t>importante</w:t>
      </w:r>
      <w:r>
        <w:rPr>
          <w:color w:val="231F20"/>
          <w:spacing w:val="-23"/>
          <w:w w:val="105"/>
        </w:rPr>
        <w:t> </w:t>
      </w:r>
      <w:r>
        <w:rPr>
          <w:color w:val="231F20"/>
          <w:w w:val="105"/>
        </w:rPr>
        <w:t>reconocer</w:t>
      </w:r>
      <w:r>
        <w:rPr>
          <w:color w:val="231F20"/>
          <w:spacing w:val="-23"/>
          <w:w w:val="105"/>
        </w:rPr>
        <w:t> </w:t>
      </w:r>
      <w:r>
        <w:rPr>
          <w:color w:val="231F20"/>
          <w:w w:val="105"/>
        </w:rPr>
        <w:t>que</w:t>
      </w:r>
      <w:r>
        <w:rPr>
          <w:color w:val="231F20"/>
          <w:spacing w:val="-23"/>
          <w:w w:val="105"/>
        </w:rPr>
        <w:t> </w:t>
      </w:r>
      <w:r>
        <w:rPr>
          <w:color w:val="231F20"/>
          <w:w w:val="105"/>
        </w:rPr>
        <w:t>toda</w:t>
      </w:r>
      <w:r>
        <w:rPr>
          <w:color w:val="231F20"/>
          <w:spacing w:val="-23"/>
          <w:w w:val="105"/>
        </w:rPr>
        <w:t> </w:t>
      </w:r>
      <w:r>
        <w:rPr>
          <w:color w:val="231F20"/>
          <w:w w:val="105"/>
        </w:rPr>
        <w:t>persona</w:t>
      </w:r>
      <w:r>
        <w:rPr>
          <w:color w:val="231F20"/>
          <w:spacing w:val="-23"/>
          <w:w w:val="105"/>
        </w:rPr>
        <w:t> </w:t>
      </w:r>
      <w:r>
        <w:rPr>
          <w:color w:val="231F20"/>
          <w:w w:val="105"/>
        </w:rPr>
        <w:t>enfrenta, en</w:t>
      </w:r>
      <w:r>
        <w:rPr>
          <w:color w:val="231F20"/>
          <w:spacing w:val="-10"/>
          <w:w w:val="105"/>
        </w:rPr>
        <w:t> </w:t>
      </w:r>
      <w:r>
        <w:rPr>
          <w:color w:val="231F20"/>
          <w:w w:val="105"/>
        </w:rPr>
        <w:t>alguna</w:t>
      </w:r>
      <w:r>
        <w:rPr>
          <w:color w:val="231F20"/>
          <w:spacing w:val="-10"/>
          <w:w w:val="105"/>
        </w:rPr>
        <w:t> </w:t>
      </w:r>
      <w:r>
        <w:rPr>
          <w:color w:val="231F20"/>
          <w:w w:val="105"/>
        </w:rPr>
        <w:t>etapa</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vida,</w:t>
      </w:r>
      <w:r>
        <w:rPr>
          <w:color w:val="231F20"/>
          <w:spacing w:val="-15"/>
          <w:w w:val="105"/>
        </w:rPr>
        <w:t> </w:t>
      </w:r>
      <w:r>
        <w:rPr>
          <w:color w:val="231F20"/>
          <w:w w:val="105"/>
        </w:rPr>
        <w:t>situaciones</w:t>
      </w:r>
      <w:r>
        <w:rPr>
          <w:color w:val="231F20"/>
          <w:spacing w:val="-10"/>
          <w:w w:val="105"/>
        </w:rPr>
        <w:t> </w:t>
      </w:r>
      <w:r>
        <w:rPr>
          <w:color w:val="231F20"/>
          <w:w w:val="105"/>
        </w:rPr>
        <w:t>de</w:t>
      </w:r>
      <w:r>
        <w:rPr>
          <w:color w:val="231F20"/>
          <w:spacing w:val="-10"/>
          <w:w w:val="105"/>
        </w:rPr>
        <w:t> </w:t>
      </w:r>
      <w:r>
        <w:rPr>
          <w:color w:val="231F20"/>
          <w:w w:val="105"/>
        </w:rPr>
        <w:t>vulnerabilidad.</w:t>
      </w:r>
      <w:r>
        <w:rPr>
          <w:color w:val="231F20"/>
          <w:spacing w:val="-15"/>
          <w:w w:val="105"/>
        </w:rPr>
        <w:t> </w:t>
      </w:r>
      <w:r>
        <w:rPr>
          <w:color w:val="231F20"/>
          <w:w w:val="105"/>
        </w:rPr>
        <w:t>Es</w:t>
      </w:r>
      <w:r>
        <w:rPr>
          <w:color w:val="231F20"/>
          <w:spacing w:val="-10"/>
          <w:w w:val="105"/>
        </w:rPr>
        <w:t> </w:t>
      </w:r>
      <w:r>
        <w:rPr>
          <w:color w:val="231F20"/>
          <w:w w:val="105"/>
        </w:rPr>
        <w:t>inevitable, más</w:t>
      </w:r>
      <w:r>
        <w:rPr>
          <w:color w:val="231F20"/>
          <w:spacing w:val="-21"/>
          <w:w w:val="105"/>
        </w:rPr>
        <w:t> </w:t>
      </w:r>
      <w:r>
        <w:rPr>
          <w:color w:val="231F20"/>
          <w:w w:val="105"/>
        </w:rPr>
        <w:t>aún</w:t>
      </w:r>
      <w:r>
        <w:rPr>
          <w:color w:val="231F20"/>
          <w:spacing w:val="-21"/>
          <w:w w:val="105"/>
        </w:rPr>
        <w:t> </w:t>
      </w:r>
      <w:r>
        <w:rPr>
          <w:color w:val="231F20"/>
          <w:w w:val="105"/>
        </w:rPr>
        <w:t>cuando</w:t>
      </w:r>
      <w:r>
        <w:rPr>
          <w:color w:val="231F20"/>
          <w:spacing w:val="-21"/>
          <w:w w:val="105"/>
        </w:rPr>
        <w:t> </w:t>
      </w:r>
      <w:r>
        <w:rPr>
          <w:color w:val="231F20"/>
          <w:w w:val="105"/>
        </w:rPr>
        <w:t>existe</w:t>
      </w:r>
      <w:r>
        <w:rPr>
          <w:color w:val="231F20"/>
          <w:spacing w:val="-21"/>
          <w:w w:val="105"/>
        </w:rPr>
        <w:t> </w:t>
      </w:r>
      <w:r>
        <w:rPr>
          <w:color w:val="231F20"/>
          <w:w w:val="105"/>
        </w:rPr>
        <w:t>un</w:t>
      </w:r>
      <w:r>
        <w:rPr>
          <w:color w:val="231F20"/>
          <w:spacing w:val="-21"/>
          <w:w w:val="105"/>
        </w:rPr>
        <w:t> </w:t>
      </w:r>
      <w:r>
        <w:rPr>
          <w:color w:val="231F20"/>
          <w:w w:val="105"/>
        </w:rPr>
        <w:t>tipo</w:t>
      </w:r>
      <w:r>
        <w:rPr>
          <w:color w:val="231F20"/>
          <w:spacing w:val="-21"/>
          <w:w w:val="105"/>
        </w:rPr>
        <w:t> </w:t>
      </w:r>
      <w:r>
        <w:rPr>
          <w:color w:val="231F20"/>
          <w:w w:val="105"/>
        </w:rPr>
        <w:t>de</w:t>
      </w:r>
      <w:r>
        <w:rPr>
          <w:color w:val="231F20"/>
          <w:spacing w:val="-21"/>
          <w:w w:val="105"/>
        </w:rPr>
        <w:t> </w:t>
      </w:r>
      <w:r>
        <w:rPr>
          <w:color w:val="231F20"/>
          <w:w w:val="105"/>
        </w:rPr>
        <w:t>vulnerabilidad</w:t>
      </w:r>
      <w:r>
        <w:rPr>
          <w:color w:val="231F20"/>
          <w:spacing w:val="-21"/>
          <w:w w:val="105"/>
        </w:rPr>
        <w:t> </w:t>
      </w:r>
      <w:r>
        <w:rPr>
          <w:color w:val="231F20"/>
          <w:w w:val="105"/>
        </w:rPr>
        <w:t>que</w:t>
      </w:r>
      <w:r>
        <w:rPr>
          <w:color w:val="231F20"/>
          <w:spacing w:val="-21"/>
          <w:w w:val="105"/>
        </w:rPr>
        <w:t> </w:t>
      </w:r>
      <w:r>
        <w:rPr>
          <w:color w:val="231F20"/>
          <w:w w:val="105"/>
        </w:rPr>
        <w:t>no</w:t>
      </w:r>
      <w:r>
        <w:rPr>
          <w:color w:val="231F20"/>
          <w:spacing w:val="-21"/>
          <w:w w:val="105"/>
        </w:rPr>
        <w:t> </w:t>
      </w:r>
      <w:r>
        <w:rPr>
          <w:color w:val="231F20"/>
          <w:w w:val="105"/>
        </w:rPr>
        <w:t>sólo</w:t>
      </w:r>
      <w:r>
        <w:rPr>
          <w:color w:val="231F20"/>
          <w:spacing w:val="-21"/>
          <w:w w:val="105"/>
        </w:rPr>
        <w:t> </w:t>
      </w:r>
      <w:r>
        <w:rPr>
          <w:color w:val="231F20"/>
          <w:w w:val="105"/>
        </w:rPr>
        <w:t>lesiona</w:t>
      </w:r>
      <w:r>
        <w:rPr>
          <w:color w:val="231F20"/>
          <w:spacing w:val="-21"/>
          <w:w w:val="105"/>
        </w:rPr>
        <w:t> </w:t>
      </w:r>
      <w:r>
        <w:rPr>
          <w:color w:val="231F20"/>
          <w:w w:val="105"/>
        </w:rPr>
        <w:t>a</w:t>
      </w:r>
      <w:r>
        <w:rPr>
          <w:color w:val="231F20"/>
          <w:spacing w:val="-21"/>
          <w:w w:val="105"/>
        </w:rPr>
        <w:t> </w:t>
      </w:r>
      <w:r>
        <w:rPr>
          <w:color w:val="231F20"/>
          <w:w w:val="105"/>
        </w:rPr>
        <w:t>las personas</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dignidad</w:t>
      </w:r>
      <w:r>
        <w:rPr>
          <w:color w:val="231F20"/>
          <w:spacing w:val="-9"/>
          <w:w w:val="105"/>
        </w:rPr>
        <w:t> </w:t>
      </w:r>
      <w:r>
        <w:rPr>
          <w:color w:val="231F20"/>
          <w:w w:val="105"/>
        </w:rPr>
        <w:t>e</w:t>
      </w:r>
      <w:r>
        <w:rPr>
          <w:color w:val="231F20"/>
          <w:spacing w:val="-9"/>
          <w:w w:val="105"/>
        </w:rPr>
        <w:t> </w:t>
      </w:r>
      <w:r>
        <w:rPr>
          <w:color w:val="231F20"/>
          <w:w w:val="105"/>
        </w:rPr>
        <w:t>integridad</w:t>
      </w:r>
      <w:r>
        <w:rPr>
          <w:color w:val="231F20"/>
          <w:spacing w:val="-9"/>
          <w:w w:val="105"/>
        </w:rPr>
        <w:t> </w:t>
      </w:r>
      <w:r>
        <w:rPr>
          <w:color w:val="231F20"/>
          <w:w w:val="105"/>
        </w:rPr>
        <w:t>personal,</w:t>
      </w:r>
      <w:r>
        <w:rPr>
          <w:color w:val="231F20"/>
          <w:spacing w:val="-16"/>
          <w:w w:val="105"/>
        </w:rPr>
        <w:t> </w:t>
      </w:r>
      <w:r>
        <w:rPr>
          <w:color w:val="231F20"/>
          <w:w w:val="105"/>
        </w:rPr>
        <w:t>sino</w:t>
      </w:r>
      <w:r>
        <w:rPr>
          <w:color w:val="231F20"/>
          <w:spacing w:val="-9"/>
          <w:w w:val="105"/>
        </w:rPr>
        <w:t> </w:t>
      </w:r>
      <w:r>
        <w:rPr>
          <w:color w:val="231F20"/>
          <w:w w:val="105"/>
        </w:rPr>
        <w:t>que</w:t>
      </w:r>
      <w:r>
        <w:rPr>
          <w:color w:val="231F20"/>
          <w:spacing w:val="-9"/>
          <w:w w:val="105"/>
        </w:rPr>
        <w:t> </w:t>
      </w:r>
      <w:r>
        <w:rPr>
          <w:color w:val="231F20"/>
          <w:w w:val="105"/>
        </w:rPr>
        <w:t>su</w:t>
      </w:r>
      <w:r>
        <w:rPr>
          <w:color w:val="231F20"/>
          <w:spacing w:val="-9"/>
          <w:w w:val="105"/>
        </w:rPr>
        <w:t> </w:t>
      </w:r>
      <w:r>
        <w:rPr>
          <w:color w:val="231F20"/>
          <w:w w:val="105"/>
        </w:rPr>
        <w:t>desatención</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6"/>
        <w:jc w:val="both"/>
      </w:pPr>
      <w:r>
        <w:rPr/>
        <w:pict>
          <v:line style="position:absolute;mso-position-horizontal-relative:page;mso-position-vertical-relative:paragraph;z-index:8200" from="15pt,-71.68644pt" to="0pt,-71.68644pt" stroked="true" strokeweight=".25pt" strokecolor="#000000">
            <w10:wrap type="none"/>
          </v:line>
        </w:pict>
      </w:r>
      <w:r>
        <w:rPr/>
        <w:pict>
          <v:line style="position:absolute;mso-position-horizontal-relative:page;mso-position-vertical-relative:paragraph;z-index:8224" from="508.890015pt,-71.68644pt" to="523.890015pt,-71.68644pt" stroked="true" strokeweight=".25pt" strokecolor="#000000">
            <w10:wrap type="none"/>
          </v:line>
        </w:pict>
      </w:r>
      <w:r>
        <w:rPr>
          <w:color w:val="231F20"/>
          <w:w w:val="105"/>
        </w:rPr>
        <w:t>pone en duda la idea misma de Estado constitucional de derecho. Se trata de la vulnerabilidad jurídica, que consiste en la ausencia de orde- namientos o herramientas que posibiliten la defensa de los derechos y principios protegidos por el sistema jurídico.</w:t>
      </w:r>
    </w:p>
    <w:p>
      <w:pPr>
        <w:pStyle w:val="BodyText"/>
        <w:spacing w:line="261" w:lineRule="auto" w:before="1"/>
        <w:ind w:left="1723" w:right="1834" w:firstLine="567"/>
        <w:jc w:val="both"/>
      </w:pPr>
      <w:r>
        <w:rPr>
          <w:color w:val="231F20"/>
          <w:w w:val="105"/>
        </w:rPr>
        <w:t>Nuestro</w:t>
      </w:r>
      <w:r>
        <w:rPr>
          <w:color w:val="231F20"/>
          <w:spacing w:val="-16"/>
          <w:w w:val="105"/>
        </w:rPr>
        <w:t> </w:t>
      </w:r>
      <w:r>
        <w:rPr>
          <w:color w:val="231F20"/>
          <w:w w:val="105"/>
        </w:rPr>
        <w:t>país</w:t>
      </w:r>
      <w:r>
        <w:rPr>
          <w:color w:val="231F20"/>
          <w:spacing w:val="-16"/>
          <w:w w:val="105"/>
        </w:rPr>
        <w:t> </w:t>
      </w:r>
      <w:r>
        <w:rPr>
          <w:color w:val="231F20"/>
          <w:w w:val="105"/>
        </w:rPr>
        <w:t>ha</w:t>
      </w:r>
      <w:r>
        <w:rPr>
          <w:color w:val="231F20"/>
          <w:spacing w:val="-16"/>
          <w:w w:val="105"/>
        </w:rPr>
        <w:t> </w:t>
      </w:r>
      <w:r>
        <w:rPr>
          <w:color w:val="231F20"/>
          <w:w w:val="105"/>
        </w:rPr>
        <w:t>ratificado</w:t>
      </w:r>
      <w:r>
        <w:rPr>
          <w:color w:val="231F20"/>
          <w:spacing w:val="-16"/>
          <w:w w:val="105"/>
        </w:rPr>
        <w:t> </w:t>
      </w:r>
      <w:r>
        <w:rPr>
          <w:color w:val="231F20"/>
          <w:w w:val="105"/>
        </w:rPr>
        <w:t>y</w:t>
      </w:r>
      <w:r>
        <w:rPr>
          <w:color w:val="231F20"/>
          <w:spacing w:val="-16"/>
          <w:w w:val="105"/>
        </w:rPr>
        <w:t> </w:t>
      </w:r>
      <w:r>
        <w:rPr>
          <w:color w:val="231F20"/>
          <w:w w:val="105"/>
        </w:rPr>
        <w:t>firmado</w:t>
      </w:r>
      <w:r>
        <w:rPr>
          <w:color w:val="231F20"/>
          <w:spacing w:val="-16"/>
          <w:w w:val="105"/>
        </w:rPr>
        <w:t> </w:t>
      </w:r>
      <w:r>
        <w:rPr>
          <w:color w:val="231F20"/>
          <w:w w:val="105"/>
        </w:rPr>
        <w:t>diversos</w:t>
      </w:r>
      <w:r>
        <w:rPr>
          <w:color w:val="231F20"/>
          <w:spacing w:val="-16"/>
          <w:w w:val="105"/>
        </w:rPr>
        <w:t> </w:t>
      </w:r>
      <w:r>
        <w:rPr>
          <w:color w:val="231F20"/>
          <w:w w:val="105"/>
        </w:rPr>
        <w:t>instrumentos</w:t>
      </w:r>
      <w:r>
        <w:rPr>
          <w:color w:val="231F20"/>
          <w:spacing w:val="-16"/>
          <w:w w:val="105"/>
        </w:rPr>
        <w:t> </w:t>
      </w:r>
      <w:r>
        <w:rPr>
          <w:color w:val="231F20"/>
          <w:w w:val="105"/>
        </w:rPr>
        <w:t>interna- cionales</w:t>
      </w:r>
      <w:r>
        <w:rPr>
          <w:color w:val="231F20"/>
          <w:spacing w:val="-6"/>
          <w:w w:val="105"/>
        </w:rPr>
        <w:t> </w:t>
      </w:r>
      <w:r>
        <w:rPr>
          <w:color w:val="231F20"/>
          <w:w w:val="105"/>
        </w:rPr>
        <w:t>–códigos,</w:t>
      </w:r>
      <w:r>
        <w:rPr>
          <w:color w:val="231F20"/>
          <w:spacing w:val="-12"/>
          <w:w w:val="105"/>
        </w:rPr>
        <w:t> </w:t>
      </w:r>
      <w:r>
        <w:rPr>
          <w:color w:val="231F20"/>
          <w:w w:val="105"/>
        </w:rPr>
        <w:t>convenciones,</w:t>
      </w:r>
      <w:r>
        <w:rPr>
          <w:color w:val="231F20"/>
          <w:spacing w:val="-12"/>
          <w:w w:val="105"/>
        </w:rPr>
        <w:t> </w:t>
      </w:r>
      <w:r>
        <w:rPr>
          <w:color w:val="231F20"/>
          <w:w w:val="105"/>
        </w:rPr>
        <w:t>declarativos,</w:t>
      </w:r>
      <w:r>
        <w:rPr>
          <w:color w:val="231F20"/>
          <w:spacing w:val="-12"/>
          <w:w w:val="105"/>
        </w:rPr>
        <w:t> </w:t>
      </w:r>
      <w:r>
        <w:rPr>
          <w:color w:val="231F20"/>
          <w:w w:val="105"/>
        </w:rPr>
        <w:t>pactos</w:t>
      </w:r>
      <w:r>
        <w:rPr>
          <w:color w:val="231F20"/>
          <w:spacing w:val="-6"/>
          <w:w w:val="105"/>
        </w:rPr>
        <w:t> </w:t>
      </w:r>
      <w:r>
        <w:rPr>
          <w:color w:val="231F20"/>
          <w:w w:val="105"/>
        </w:rPr>
        <w:t>y</w:t>
      </w:r>
      <w:r>
        <w:rPr>
          <w:color w:val="231F20"/>
          <w:spacing w:val="-6"/>
          <w:w w:val="105"/>
        </w:rPr>
        <w:t> </w:t>
      </w:r>
      <w:r>
        <w:rPr>
          <w:color w:val="231F20"/>
          <w:w w:val="105"/>
        </w:rPr>
        <w:t>protocolos–</w:t>
      </w:r>
      <w:r>
        <w:rPr>
          <w:color w:val="231F20"/>
          <w:spacing w:val="-6"/>
          <w:w w:val="105"/>
        </w:rPr>
        <w:t> </w:t>
      </w:r>
      <w:r>
        <w:rPr>
          <w:color w:val="231F20"/>
          <w:w w:val="105"/>
        </w:rPr>
        <w:t>que salvaguardan</w:t>
      </w:r>
      <w:r>
        <w:rPr>
          <w:color w:val="231F20"/>
          <w:spacing w:val="-23"/>
          <w:w w:val="105"/>
        </w:rPr>
        <w:t> </w:t>
      </w:r>
      <w:r>
        <w:rPr>
          <w:color w:val="231F20"/>
          <w:w w:val="105"/>
        </w:rPr>
        <w:t>los</w:t>
      </w:r>
      <w:r>
        <w:rPr>
          <w:color w:val="231F20"/>
          <w:spacing w:val="-23"/>
          <w:w w:val="105"/>
        </w:rPr>
        <w:t> </w:t>
      </w:r>
      <w:r>
        <w:rPr>
          <w:color w:val="231F20"/>
          <w:w w:val="105"/>
        </w:rPr>
        <w:t>derechos</w:t>
      </w:r>
      <w:r>
        <w:rPr>
          <w:color w:val="231F20"/>
          <w:spacing w:val="-23"/>
          <w:w w:val="105"/>
        </w:rPr>
        <w:t> </w:t>
      </w:r>
      <w:r>
        <w:rPr>
          <w:color w:val="231F20"/>
          <w:w w:val="105"/>
        </w:rPr>
        <w:t>humanos</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sz w:val="17"/>
        </w:rPr>
        <w:t>NNA</w:t>
      </w:r>
      <w:r>
        <w:rPr>
          <w:color w:val="231F20"/>
          <w:spacing w:val="-12"/>
          <w:w w:val="105"/>
          <w:sz w:val="17"/>
        </w:rPr>
        <w:t> </w:t>
      </w:r>
      <w:r>
        <w:rPr>
          <w:color w:val="231F20"/>
          <w:w w:val="105"/>
        </w:rPr>
        <w:t>migrantes</w:t>
      </w:r>
      <w:r>
        <w:rPr>
          <w:color w:val="231F20"/>
          <w:spacing w:val="-23"/>
          <w:w w:val="105"/>
        </w:rPr>
        <w:t> </w:t>
      </w:r>
      <w:r>
        <w:rPr>
          <w:color w:val="231F20"/>
          <w:w w:val="105"/>
        </w:rPr>
        <w:t>irregulares</w:t>
      </w:r>
      <w:r>
        <w:rPr>
          <w:color w:val="231F20"/>
          <w:spacing w:val="-23"/>
          <w:w w:val="105"/>
        </w:rPr>
        <w:t> </w:t>
      </w:r>
      <w:r>
        <w:rPr>
          <w:color w:val="231F20"/>
          <w:w w:val="105"/>
        </w:rPr>
        <w:t>no acompañados;</w:t>
      </w:r>
      <w:r>
        <w:rPr>
          <w:color w:val="231F20"/>
          <w:spacing w:val="-18"/>
          <w:w w:val="105"/>
        </w:rPr>
        <w:t> </w:t>
      </w:r>
      <w:r>
        <w:rPr>
          <w:color w:val="231F20"/>
          <w:w w:val="105"/>
        </w:rPr>
        <w:t>asimismo,</w:t>
      </w:r>
      <w:r>
        <w:rPr>
          <w:color w:val="231F20"/>
          <w:spacing w:val="-23"/>
          <w:w w:val="105"/>
        </w:rPr>
        <w:t> </w:t>
      </w:r>
      <w:r>
        <w:rPr>
          <w:color w:val="231F20"/>
          <w:w w:val="105"/>
        </w:rPr>
        <w:t>el</w:t>
      </w:r>
      <w:r>
        <w:rPr>
          <w:color w:val="231F20"/>
          <w:spacing w:val="-18"/>
          <w:w w:val="105"/>
        </w:rPr>
        <w:t> </w:t>
      </w:r>
      <w:r>
        <w:rPr>
          <w:color w:val="231F20"/>
          <w:w w:val="105"/>
        </w:rPr>
        <w:t>marco</w:t>
      </w:r>
      <w:r>
        <w:rPr>
          <w:color w:val="231F20"/>
          <w:spacing w:val="-18"/>
          <w:w w:val="105"/>
        </w:rPr>
        <w:t> </w:t>
      </w:r>
      <w:r>
        <w:rPr>
          <w:color w:val="231F20"/>
          <w:w w:val="105"/>
        </w:rPr>
        <w:t>jurídico</w:t>
      </w:r>
      <w:r>
        <w:rPr>
          <w:color w:val="231F20"/>
          <w:spacing w:val="-18"/>
          <w:w w:val="105"/>
        </w:rPr>
        <w:t> </w:t>
      </w:r>
      <w:r>
        <w:rPr>
          <w:color w:val="231F20"/>
          <w:w w:val="105"/>
        </w:rPr>
        <w:t>nacional</w:t>
      </w:r>
      <w:r>
        <w:rPr>
          <w:color w:val="231F20"/>
          <w:spacing w:val="-18"/>
          <w:w w:val="105"/>
        </w:rPr>
        <w:t> </w:t>
      </w:r>
      <w:r>
        <w:rPr>
          <w:color w:val="231F20"/>
          <w:w w:val="105"/>
        </w:rPr>
        <w:t>vislumbra</w:t>
      </w:r>
      <w:r>
        <w:rPr>
          <w:color w:val="231F20"/>
          <w:spacing w:val="-18"/>
          <w:w w:val="105"/>
        </w:rPr>
        <w:t> </w:t>
      </w:r>
      <w:r>
        <w:rPr>
          <w:color w:val="231F20"/>
          <w:w w:val="105"/>
        </w:rPr>
        <w:t>principios rectores</w:t>
      </w:r>
      <w:r>
        <w:rPr>
          <w:color w:val="231F20"/>
          <w:spacing w:val="-8"/>
          <w:w w:val="105"/>
        </w:rPr>
        <w:t> </w:t>
      </w:r>
      <w:r>
        <w:rPr>
          <w:color w:val="231F20"/>
          <w:w w:val="105"/>
        </w:rPr>
        <w:t>tanto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niñez</w:t>
      </w:r>
      <w:r>
        <w:rPr>
          <w:color w:val="231F20"/>
          <w:spacing w:val="-8"/>
          <w:w w:val="105"/>
        </w:rPr>
        <w:t> </w:t>
      </w:r>
      <w:r>
        <w:rPr>
          <w:color w:val="231F20"/>
          <w:w w:val="105"/>
        </w:rPr>
        <w:t>como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migración;</w:t>
      </w:r>
      <w:r>
        <w:rPr>
          <w:color w:val="231F20"/>
          <w:spacing w:val="-8"/>
          <w:w w:val="105"/>
        </w:rPr>
        <w:t> </w:t>
      </w:r>
      <w:r>
        <w:rPr>
          <w:color w:val="231F20"/>
          <w:w w:val="105"/>
        </w:rPr>
        <w:t>sin</w:t>
      </w:r>
      <w:r>
        <w:rPr>
          <w:color w:val="231F20"/>
          <w:spacing w:val="-8"/>
          <w:w w:val="105"/>
        </w:rPr>
        <w:t> </w:t>
      </w:r>
      <w:r>
        <w:rPr>
          <w:color w:val="231F20"/>
          <w:w w:val="105"/>
        </w:rPr>
        <w:t>embargo,</w:t>
      </w:r>
      <w:r>
        <w:rPr>
          <w:color w:val="231F20"/>
          <w:spacing w:val="-13"/>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vida cotidiana</w:t>
      </w:r>
      <w:r>
        <w:rPr>
          <w:color w:val="231F20"/>
          <w:spacing w:val="-23"/>
          <w:w w:val="105"/>
        </w:rPr>
        <w:t> </w:t>
      </w:r>
      <w:r>
        <w:rPr>
          <w:color w:val="231F20"/>
          <w:w w:val="105"/>
        </w:rPr>
        <w:t>los</w:t>
      </w:r>
      <w:r>
        <w:rPr>
          <w:color w:val="231F20"/>
          <w:spacing w:val="-23"/>
          <w:w w:val="105"/>
        </w:rPr>
        <w:t> </w:t>
      </w:r>
      <w:r>
        <w:rPr>
          <w:color w:val="231F20"/>
          <w:w w:val="105"/>
          <w:sz w:val="17"/>
        </w:rPr>
        <w:t>NNA</w:t>
      </w:r>
      <w:r>
        <w:rPr>
          <w:color w:val="231F20"/>
          <w:spacing w:val="-12"/>
          <w:w w:val="105"/>
          <w:sz w:val="17"/>
        </w:rPr>
        <w:t> </w:t>
      </w:r>
      <w:r>
        <w:rPr>
          <w:color w:val="231F20"/>
          <w:w w:val="105"/>
        </w:rPr>
        <w:t>migrantes</w:t>
      </w:r>
      <w:r>
        <w:rPr>
          <w:color w:val="231F20"/>
          <w:spacing w:val="-23"/>
          <w:w w:val="105"/>
        </w:rPr>
        <w:t> </w:t>
      </w:r>
      <w:r>
        <w:rPr>
          <w:color w:val="231F20"/>
          <w:w w:val="105"/>
        </w:rPr>
        <w:t>irregulares</w:t>
      </w:r>
      <w:r>
        <w:rPr>
          <w:color w:val="231F20"/>
          <w:spacing w:val="-23"/>
          <w:w w:val="105"/>
        </w:rPr>
        <w:t> </w:t>
      </w:r>
      <w:r>
        <w:rPr>
          <w:color w:val="231F20"/>
          <w:w w:val="105"/>
        </w:rPr>
        <w:t>no</w:t>
      </w:r>
      <w:r>
        <w:rPr>
          <w:color w:val="231F20"/>
          <w:spacing w:val="-23"/>
          <w:w w:val="105"/>
        </w:rPr>
        <w:t> </w:t>
      </w:r>
      <w:r>
        <w:rPr>
          <w:color w:val="231F20"/>
          <w:w w:val="105"/>
        </w:rPr>
        <w:t>acompañados</w:t>
      </w:r>
      <w:r>
        <w:rPr>
          <w:color w:val="231F20"/>
          <w:spacing w:val="-23"/>
          <w:w w:val="105"/>
        </w:rPr>
        <w:t> </w:t>
      </w:r>
      <w:r>
        <w:rPr>
          <w:color w:val="231F20"/>
          <w:w w:val="105"/>
        </w:rPr>
        <w:t>viven</w:t>
      </w:r>
      <w:r>
        <w:rPr>
          <w:color w:val="231F20"/>
          <w:spacing w:val="-23"/>
          <w:w w:val="105"/>
        </w:rPr>
        <w:t> </w:t>
      </w:r>
      <w:r>
        <w:rPr>
          <w:color w:val="231F20"/>
          <w:w w:val="105"/>
        </w:rPr>
        <w:t>en</w:t>
      </w:r>
      <w:r>
        <w:rPr>
          <w:color w:val="231F20"/>
          <w:spacing w:val="-23"/>
          <w:w w:val="105"/>
        </w:rPr>
        <w:t> </w:t>
      </w:r>
      <w:r>
        <w:rPr>
          <w:color w:val="231F20"/>
          <w:w w:val="105"/>
        </w:rPr>
        <w:t>un</w:t>
      </w:r>
      <w:r>
        <w:rPr>
          <w:color w:val="231F20"/>
          <w:spacing w:val="-23"/>
          <w:w w:val="105"/>
        </w:rPr>
        <w:t> </w:t>
      </w:r>
      <w:r>
        <w:rPr>
          <w:color w:val="231F20"/>
          <w:w w:val="105"/>
        </w:rPr>
        <w:t>lim- bo</w:t>
      </w:r>
      <w:r>
        <w:rPr>
          <w:color w:val="231F20"/>
          <w:spacing w:val="-15"/>
          <w:w w:val="105"/>
        </w:rPr>
        <w:t> </w:t>
      </w:r>
      <w:r>
        <w:rPr>
          <w:color w:val="231F20"/>
          <w:w w:val="105"/>
        </w:rPr>
        <w:t>jurídico,</w:t>
      </w:r>
      <w:r>
        <w:rPr>
          <w:color w:val="231F20"/>
          <w:spacing w:val="-20"/>
          <w:w w:val="105"/>
        </w:rPr>
        <w:t> </w:t>
      </w:r>
      <w:r>
        <w:rPr>
          <w:color w:val="231F20"/>
          <w:w w:val="105"/>
        </w:rPr>
        <w:t>en</w:t>
      </w:r>
      <w:r>
        <w:rPr>
          <w:color w:val="231F20"/>
          <w:spacing w:val="-15"/>
          <w:w w:val="105"/>
        </w:rPr>
        <w:t> </w:t>
      </w:r>
      <w:r>
        <w:rPr>
          <w:color w:val="231F20"/>
          <w:w w:val="105"/>
        </w:rPr>
        <w:t>donde</w:t>
      </w:r>
      <w:r>
        <w:rPr>
          <w:color w:val="231F20"/>
          <w:spacing w:val="-15"/>
          <w:w w:val="105"/>
        </w:rPr>
        <w:t> </w:t>
      </w:r>
      <w:r>
        <w:rPr>
          <w:color w:val="231F20"/>
          <w:w w:val="105"/>
        </w:rPr>
        <w:t>los</w:t>
      </w:r>
      <w:r>
        <w:rPr>
          <w:color w:val="231F20"/>
          <w:spacing w:val="-15"/>
          <w:w w:val="105"/>
        </w:rPr>
        <w:t> </w:t>
      </w:r>
      <w:r>
        <w:rPr>
          <w:color w:val="231F20"/>
          <w:w w:val="105"/>
        </w:rPr>
        <w:t>estados</w:t>
      </w:r>
      <w:r>
        <w:rPr>
          <w:color w:val="231F20"/>
          <w:spacing w:val="-15"/>
          <w:w w:val="105"/>
        </w:rPr>
        <w:t> </w:t>
      </w:r>
      <w:r>
        <w:rPr>
          <w:color w:val="231F20"/>
          <w:w w:val="105"/>
        </w:rPr>
        <w:t>que</w:t>
      </w:r>
      <w:r>
        <w:rPr>
          <w:color w:val="231F20"/>
          <w:spacing w:val="-15"/>
          <w:w w:val="105"/>
        </w:rPr>
        <w:t> </w:t>
      </w:r>
      <w:r>
        <w:rPr>
          <w:color w:val="231F20"/>
          <w:w w:val="105"/>
        </w:rPr>
        <w:t>participan</w:t>
      </w:r>
      <w:r>
        <w:rPr>
          <w:color w:val="231F20"/>
          <w:spacing w:val="-15"/>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fenómeno,</w:t>
      </w:r>
      <w:r>
        <w:rPr>
          <w:color w:val="231F20"/>
          <w:spacing w:val="-20"/>
          <w:w w:val="105"/>
        </w:rPr>
        <w:t> </w:t>
      </w:r>
      <w:r>
        <w:rPr>
          <w:color w:val="231F20"/>
          <w:w w:val="105"/>
        </w:rPr>
        <w:t>sean expulsores, de tránsito o mixtos, no han podido generar los protocolos y</w:t>
      </w:r>
      <w:r>
        <w:rPr>
          <w:color w:val="231F20"/>
          <w:spacing w:val="-11"/>
          <w:w w:val="105"/>
        </w:rPr>
        <w:t> </w:t>
      </w:r>
      <w:r>
        <w:rPr>
          <w:color w:val="231F20"/>
          <w:w w:val="105"/>
        </w:rPr>
        <w:t>la</w:t>
      </w:r>
      <w:r>
        <w:rPr>
          <w:color w:val="231F20"/>
          <w:spacing w:val="-11"/>
          <w:w w:val="105"/>
        </w:rPr>
        <w:t> </w:t>
      </w:r>
      <w:r>
        <w:rPr>
          <w:color w:val="231F20"/>
          <w:w w:val="105"/>
        </w:rPr>
        <w:t>infraestructura</w:t>
      </w:r>
      <w:r>
        <w:rPr>
          <w:color w:val="231F20"/>
          <w:spacing w:val="-11"/>
          <w:w w:val="105"/>
        </w:rPr>
        <w:t> </w:t>
      </w:r>
      <w:r>
        <w:rPr>
          <w:color w:val="231F20"/>
          <w:w w:val="105"/>
        </w:rPr>
        <w:t>básica</w:t>
      </w:r>
      <w:r>
        <w:rPr>
          <w:color w:val="231F20"/>
          <w:spacing w:val="-11"/>
          <w:w w:val="105"/>
        </w:rPr>
        <w:t> </w:t>
      </w:r>
      <w:r>
        <w:rPr>
          <w:color w:val="231F20"/>
          <w:w w:val="105"/>
        </w:rPr>
        <w:t>para</w:t>
      </w:r>
      <w:r>
        <w:rPr>
          <w:color w:val="231F20"/>
          <w:spacing w:val="-11"/>
          <w:w w:val="105"/>
        </w:rPr>
        <w:t> </w:t>
      </w:r>
      <w:r>
        <w:rPr>
          <w:color w:val="231F20"/>
          <w:w w:val="105"/>
        </w:rPr>
        <w:t>su</w:t>
      </w:r>
      <w:r>
        <w:rPr>
          <w:color w:val="231F20"/>
          <w:spacing w:val="-11"/>
          <w:w w:val="105"/>
        </w:rPr>
        <w:t> </w:t>
      </w:r>
      <w:r>
        <w:rPr>
          <w:color w:val="231F20"/>
          <w:w w:val="105"/>
        </w:rPr>
        <w:t>protección,</w:t>
      </w:r>
      <w:r>
        <w:rPr>
          <w:color w:val="231F20"/>
          <w:spacing w:val="-16"/>
          <w:w w:val="105"/>
        </w:rPr>
        <w:t> </w:t>
      </w:r>
      <w:r>
        <w:rPr>
          <w:color w:val="231F20"/>
          <w:w w:val="105"/>
        </w:rPr>
        <w:t>a</w:t>
      </w:r>
      <w:r>
        <w:rPr>
          <w:color w:val="231F20"/>
          <w:spacing w:val="-11"/>
          <w:w w:val="105"/>
        </w:rPr>
        <w:t> </w:t>
      </w:r>
      <w:r>
        <w:rPr>
          <w:color w:val="231F20"/>
          <w:w w:val="105"/>
        </w:rPr>
        <w:t>pesar</w:t>
      </w:r>
      <w:r>
        <w:rPr>
          <w:color w:val="231F20"/>
          <w:spacing w:val="-11"/>
          <w:w w:val="105"/>
        </w:rPr>
        <w:t> </w:t>
      </w:r>
      <w:r>
        <w:rPr>
          <w:color w:val="231F20"/>
          <w:w w:val="105"/>
        </w:rPr>
        <w:t>de</w:t>
      </w:r>
      <w:r>
        <w:rPr>
          <w:color w:val="231F20"/>
          <w:spacing w:val="-11"/>
          <w:w w:val="105"/>
        </w:rPr>
        <w:t> </w:t>
      </w:r>
      <w:r>
        <w:rPr>
          <w:color w:val="231F20"/>
          <w:w w:val="105"/>
        </w:rPr>
        <w:t>tener</w:t>
      </w:r>
      <w:r>
        <w:rPr>
          <w:color w:val="231F20"/>
          <w:spacing w:val="-11"/>
          <w:w w:val="105"/>
        </w:rPr>
        <w:t> </w:t>
      </w:r>
      <w:r>
        <w:rPr>
          <w:color w:val="231F20"/>
          <w:w w:val="105"/>
        </w:rPr>
        <w:t>la</w:t>
      </w:r>
      <w:r>
        <w:rPr>
          <w:color w:val="231F20"/>
          <w:spacing w:val="-11"/>
          <w:w w:val="105"/>
        </w:rPr>
        <w:t> </w:t>
      </w:r>
      <w:r>
        <w:rPr>
          <w:color w:val="231F20"/>
          <w:w w:val="105"/>
        </w:rPr>
        <w:t>obliga- ción</w:t>
      </w:r>
      <w:r>
        <w:rPr>
          <w:color w:val="231F20"/>
          <w:spacing w:val="-18"/>
          <w:w w:val="105"/>
        </w:rPr>
        <w:t> </w:t>
      </w:r>
      <w:r>
        <w:rPr>
          <w:color w:val="231F20"/>
          <w:w w:val="105"/>
        </w:rPr>
        <w:t>de</w:t>
      </w:r>
      <w:r>
        <w:rPr>
          <w:color w:val="231F20"/>
          <w:spacing w:val="-18"/>
          <w:w w:val="105"/>
        </w:rPr>
        <w:t> </w:t>
      </w:r>
      <w:r>
        <w:rPr>
          <w:color w:val="231F20"/>
          <w:w w:val="105"/>
        </w:rPr>
        <w:t>brindarles</w:t>
      </w:r>
      <w:r>
        <w:rPr>
          <w:color w:val="231F20"/>
          <w:spacing w:val="-18"/>
          <w:w w:val="105"/>
        </w:rPr>
        <w:t> </w:t>
      </w:r>
      <w:r>
        <w:rPr>
          <w:color w:val="231F20"/>
          <w:w w:val="105"/>
        </w:rPr>
        <w:t>certeza</w:t>
      </w:r>
      <w:r>
        <w:rPr>
          <w:color w:val="231F20"/>
          <w:spacing w:val="-18"/>
          <w:w w:val="105"/>
        </w:rPr>
        <w:t> </w:t>
      </w:r>
      <w:r>
        <w:rPr>
          <w:color w:val="231F20"/>
          <w:w w:val="105"/>
        </w:rPr>
        <w:t>legal.</w:t>
      </w:r>
      <w:r>
        <w:rPr>
          <w:color w:val="231F20"/>
          <w:spacing w:val="-23"/>
          <w:w w:val="105"/>
        </w:rPr>
        <w:t> </w:t>
      </w:r>
      <w:r>
        <w:rPr>
          <w:color w:val="231F20"/>
          <w:w w:val="105"/>
        </w:rPr>
        <w:t>Es</w:t>
      </w:r>
      <w:r>
        <w:rPr>
          <w:color w:val="231F20"/>
          <w:spacing w:val="-18"/>
          <w:w w:val="105"/>
        </w:rPr>
        <w:t> </w:t>
      </w:r>
      <w:r>
        <w:rPr>
          <w:color w:val="231F20"/>
          <w:w w:val="105"/>
        </w:rPr>
        <w:t>decir,</w:t>
      </w:r>
      <w:r>
        <w:rPr>
          <w:color w:val="231F20"/>
          <w:spacing w:val="-23"/>
          <w:w w:val="105"/>
        </w:rPr>
        <w:t> </w:t>
      </w:r>
      <w:r>
        <w:rPr>
          <w:color w:val="231F20"/>
          <w:w w:val="105"/>
        </w:rPr>
        <w:t>existen</w:t>
      </w:r>
      <w:r>
        <w:rPr>
          <w:color w:val="231F20"/>
          <w:spacing w:val="-18"/>
          <w:w w:val="105"/>
        </w:rPr>
        <w:t> </w:t>
      </w:r>
      <w:r>
        <w:rPr>
          <w:color w:val="231F20"/>
          <w:w w:val="105"/>
        </w:rPr>
        <w:t>una</w:t>
      </w:r>
      <w:r>
        <w:rPr>
          <w:color w:val="231F20"/>
          <w:spacing w:val="-18"/>
          <w:w w:val="105"/>
        </w:rPr>
        <w:t> </w:t>
      </w:r>
      <w:r>
        <w:rPr>
          <w:color w:val="231F20"/>
          <w:w w:val="105"/>
        </w:rPr>
        <w:t>serie</w:t>
      </w:r>
      <w:r>
        <w:rPr>
          <w:color w:val="231F20"/>
          <w:spacing w:val="-18"/>
          <w:w w:val="105"/>
        </w:rPr>
        <w:t> </w:t>
      </w:r>
      <w:r>
        <w:rPr>
          <w:color w:val="231F20"/>
          <w:w w:val="105"/>
        </w:rPr>
        <w:t>de</w:t>
      </w:r>
      <w:r>
        <w:rPr>
          <w:color w:val="231F20"/>
          <w:spacing w:val="-18"/>
          <w:w w:val="105"/>
        </w:rPr>
        <w:t> </w:t>
      </w:r>
      <w:r>
        <w:rPr>
          <w:color w:val="231F20"/>
          <w:w w:val="105"/>
        </w:rPr>
        <w:t>anomalías y</w:t>
      </w:r>
      <w:r>
        <w:rPr>
          <w:color w:val="231F20"/>
          <w:spacing w:val="-16"/>
          <w:w w:val="105"/>
        </w:rPr>
        <w:t> </w:t>
      </w:r>
      <w:r>
        <w:rPr>
          <w:color w:val="231F20"/>
          <w:w w:val="105"/>
        </w:rPr>
        <w:t>lagunas</w:t>
      </w:r>
      <w:r>
        <w:rPr>
          <w:color w:val="231F20"/>
          <w:spacing w:val="-16"/>
          <w:w w:val="105"/>
        </w:rPr>
        <w:t> </w:t>
      </w:r>
      <w:r>
        <w:rPr>
          <w:color w:val="231F20"/>
          <w:w w:val="105"/>
        </w:rPr>
        <w:t>que</w:t>
      </w:r>
      <w:r>
        <w:rPr>
          <w:color w:val="231F20"/>
          <w:spacing w:val="-16"/>
          <w:w w:val="105"/>
        </w:rPr>
        <w:t> </w:t>
      </w:r>
      <w:r>
        <w:rPr>
          <w:color w:val="231F20"/>
          <w:w w:val="105"/>
        </w:rPr>
        <w:t>provocan</w:t>
      </w:r>
      <w:r>
        <w:rPr>
          <w:color w:val="231F20"/>
          <w:spacing w:val="-16"/>
          <w:w w:val="105"/>
        </w:rPr>
        <w:t> </w:t>
      </w:r>
      <w:r>
        <w:rPr>
          <w:color w:val="231F20"/>
          <w:w w:val="105"/>
        </w:rPr>
        <w:t>graves</w:t>
      </w:r>
      <w:r>
        <w:rPr>
          <w:color w:val="231F20"/>
          <w:spacing w:val="-16"/>
          <w:w w:val="105"/>
        </w:rPr>
        <w:t> </w:t>
      </w:r>
      <w:r>
        <w:rPr>
          <w:color w:val="231F20"/>
          <w:w w:val="105"/>
        </w:rPr>
        <w:t>consecuencias</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atención</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me- nores</w:t>
      </w:r>
      <w:r>
        <w:rPr>
          <w:color w:val="231F20"/>
          <w:spacing w:val="-14"/>
          <w:w w:val="105"/>
        </w:rPr>
        <w:t> </w:t>
      </w:r>
      <w:r>
        <w:rPr>
          <w:color w:val="231F20"/>
          <w:w w:val="105"/>
        </w:rPr>
        <w:t>impidiéndoles</w:t>
      </w:r>
      <w:r>
        <w:rPr>
          <w:color w:val="231F20"/>
          <w:spacing w:val="-14"/>
          <w:w w:val="105"/>
        </w:rPr>
        <w:t> </w:t>
      </w:r>
      <w:r>
        <w:rPr>
          <w:color w:val="231F20"/>
          <w:w w:val="105"/>
        </w:rPr>
        <w:t>el</w:t>
      </w:r>
      <w:r>
        <w:rPr>
          <w:color w:val="231F20"/>
          <w:spacing w:val="-14"/>
          <w:w w:val="105"/>
        </w:rPr>
        <w:t> </w:t>
      </w:r>
      <w:r>
        <w:rPr>
          <w:color w:val="231F20"/>
          <w:w w:val="105"/>
        </w:rPr>
        <w:t>goce</w:t>
      </w:r>
      <w:r>
        <w:rPr>
          <w:color w:val="231F20"/>
          <w:spacing w:val="-14"/>
          <w:w w:val="105"/>
        </w:rPr>
        <w:t> </w:t>
      </w:r>
      <w:r>
        <w:rPr>
          <w:color w:val="231F20"/>
          <w:w w:val="105"/>
        </w:rPr>
        <w:t>de</w:t>
      </w:r>
      <w:r>
        <w:rPr>
          <w:color w:val="231F20"/>
          <w:spacing w:val="-14"/>
          <w:w w:val="105"/>
        </w:rPr>
        <w:t> </w:t>
      </w:r>
      <w:r>
        <w:rPr>
          <w:color w:val="231F20"/>
          <w:w w:val="105"/>
        </w:rPr>
        <w:t>sus</w:t>
      </w:r>
      <w:r>
        <w:rPr>
          <w:color w:val="231F20"/>
          <w:spacing w:val="-14"/>
          <w:w w:val="105"/>
        </w:rPr>
        <w:t> </w:t>
      </w:r>
      <w:r>
        <w:rPr>
          <w:color w:val="231F20"/>
          <w:w w:val="105"/>
        </w:rPr>
        <w:t>derechos</w:t>
      </w:r>
      <w:r>
        <w:rPr>
          <w:color w:val="231F20"/>
          <w:spacing w:val="-14"/>
          <w:w w:val="105"/>
        </w:rPr>
        <w:t> </w:t>
      </w:r>
      <w:r>
        <w:rPr>
          <w:color w:val="231F20"/>
          <w:w w:val="105"/>
        </w:rPr>
        <w:t>humanos.</w:t>
      </w:r>
    </w:p>
    <w:p>
      <w:pPr>
        <w:pStyle w:val="BodyText"/>
        <w:spacing w:line="261" w:lineRule="auto" w:before="1"/>
        <w:ind w:left="1724" w:right="1834" w:firstLine="567"/>
        <w:jc w:val="both"/>
      </w:pPr>
      <w:r>
        <w:rPr>
          <w:w w:val="105"/>
        </w:rPr>
        <w:t>La Convención Americana sobre Derechos Humanos estipula en su</w:t>
      </w:r>
      <w:r>
        <w:rPr>
          <w:spacing w:val="-9"/>
          <w:w w:val="105"/>
        </w:rPr>
        <w:t> </w:t>
      </w:r>
      <w:r>
        <w:rPr>
          <w:w w:val="105"/>
        </w:rPr>
        <w:t>artículo</w:t>
      </w:r>
      <w:r>
        <w:rPr>
          <w:spacing w:val="-9"/>
          <w:w w:val="105"/>
        </w:rPr>
        <w:t> </w:t>
      </w:r>
      <w:r>
        <w:rPr>
          <w:w w:val="105"/>
        </w:rPr>
        <w:t>19</w:t>
      </w:r>
      <w:r>
        <w:rPr>
          <w:spacing w:val="-9"/>
          <w:w w:val="105"/>
        </w:rPr>
        <w:t> </w:t>
      </w:r>
      <w:r>
        <w:rPr>
          <w:spacing w:val="-4"/>
          <w:w w:val="105"/>
        </w:rPr>
        <w:t>“Todo</w:t>
      </w:r>
      <w:r>
        <w:rPr>
          <w:spacing w:val="-9"/>
          <w:w w:val="105"/>
        </w:rPr>
        <w:t> </w:t>
      </w:r>
      <w:r>
        <w:rPr>
          <w:w w:val="105"/>
        </w:rPr>
        <w:t>niño</w:t>
      </w:r>
      <w:r>
        <w:rPr>
          <w:spacing w:val="-9"/>
          <w:w w:val="105"/>
        </w:rPr>
        <w:t> </w:t>
      </w:r>
      <w:r>
        <w:rPr>
          <w:w w:val="105"/>
        </w:rPr>
        <w:t>tiene</w:t>
      </w:r>
      <w:r>
        <w:rPr>
          <w:spacing w:val="-9"/>
          <w:w w:val="105"/>
        </w:rPr>
        <w:t> </w:t>
      </w:r>
      <w:r>
        <w:rPr>
          <w:w w:val="105"/>
        </w:rPr>
        <w:t>derecho</w:t>
      </w:r>
      <w:r>
        <w:rPr>
          <w:spacing w:val="-9"/>
          <w:w w:val="105"/>
        </w:rPr>
        <w:t> </w:t>
      </w:r>
      <w:r>
        <w:rPr>
          <w:w w:val="105"/>
        </w:rPr>
        <w:t>a</w:t>
      </w:r>
      <w:r>
        <w:rPr>
          <w:spacing w:val="-9"/>
          <w:w w:val="105"/>
        </w:rPr>
        <w:t> </w:t>
      </w:r>
      <w:r>
        <w:rPr>
          <w:w w:val="105"/>
        </w:rPr>
        <w:t>las</w:t>
      </w:r>
      <w:r>
        <w:rPr>
          <w:spacing w:val="-9"/>
          <w:w w:val="105"/>
        </w:rPr>
        <w:t> </w:t>
      </w:r>
      <w:r>
        <w:rPr>
          <w:w w:val="105"/>
        </w:rPr>
        <w:t>medidas</w:t>
      </w:r>
      <w:r>
        <w:rPr>
          <w:spacing w:val="-9"/>
          <w:w w:val="105"/>
        </w:rPr>
        <w:t> </w:t>
      </w:r>
      <w:r>
        <w:rPr>
          <w:w w:val="105"/>
        </w:rPr>
        <w:t>de</w:t>
      </w:r>
      <w:r>
        <w:rPr>
          <w:spacing w:val="-9"/>
          <w:w w:val="105"/>
        </w:rPr>
        <w:t> </w:t>
      </w:r>
      <w:r>
        <w:rPr>
          <w:w w:val="105"/>
        </w:rPr>
        <w:t>protección</w:t>
      </w:r>
      <w:r>
        <w:rPr>
          <w:spacing w:val="-9"/>
          <w:w w:val="105"/>
        </w:rPr>
        <w:t> </w:t>
      </w:r>
      <w:r>
        <w:rPr>
          <w:w w:val="105"/>
        </w:rPr>
        <w:t>que su condición de menor requiere por parte de su familia, de la sociedad y del </w:t>
      </w:r>
      <w:r>
        <w:rPr>
          <w:spacing w:val="-4"/>
          <w:w w:val="105"/>
        </w:rPr>
        <w:t>Estado”, </w:t>
      </w:r>
      <w:r>
        <w:rPr>
          <w:w w:val="105"/>
        </w:rPr>
        <w:t>lo que se traduce en la obligación de generar protocolos de</w:t>
      </w:r>
      <w:r>
        <w:rPr>
          <w:spacing w:val="-23"/>
          <w:w w:val="105"/>
        </w:rPr>
        <w:t> </w:t>
      </w:r>
      <w:r>
        <w:rPr>
          <w:w w:val="105"/>
        </w:rPr>
        <w:t>actuación</w:t>
      </w:r>
      <w:r>
        <w:rPr>
          <w:spacing w:val="-23"/>
          <w:w w:val="105"/>
        </w:rPr>
        <w:t> </w:t>
      </w:r>
      <w:r>
        <w:rPr>
          <w:w w:val="105"/>
        </w:rPr>
        <w:t>que</w:t>
      </w:r>
      <w:r>
        <w:rPr>
          <w:spacing w:val="-23"/>
          <w:w w:val="105"/>
        </w:rPr>
        <w:t> </w:t>
      </w:r>
      <w:r>
        <w:rPr>
          <w:w w:val="105"/>
        </w:rPr>
        <w:t>atiendan</w:t>
      </w:r>
      <w:r>
        <w:rPr>
          <w:spacing w:val="-23"/>
          <w:w w:val="105"/>
        </w:rPr>
        <w:t> </w:t>
      </w:r>
      <w:r>
        <w:rPr>
          <w:w w:val="105"/>
        </w:rPr>
        <w:t>las</w:t>
      </w:r>
      <w:r>
        <w:rPr>
          <w:spacing w:val="-23"/>
          <w:w w:val="105"/>
        </w:rPr>
        <w:t> </w:t>
      </w:r>
      <w:r>
        <w:rPr>
          <w:w w:val="105"/>
        </w:rPr>
        <w:t>necesidades</w:t>
      </w:r>
      <w:r>
        <w:rPr>
          <w:spacing w:val="-23"/>
          <w:w w:val="105"/>
        </w:rPr>
        <w:t> </w:t>
      </w:r>
      <w:r>
        <w:rPr>
          <w:w w:val="105"/>
        </w:rPr>
        <w:t>específicas</w:t>
      </w:r>
      <w:r>
        <w:rPr>
          <w:spacing w:val="-23"/>
          <w:w w:val="105"/>
        </w:rPr>
        <w:t> </w:t>
      </w:r>
      <w:r>
        <w:rPr>
          <w:w w:val="105"/>
        </w:rPr>
        <w:t>de</w:t>
      </w:r>
      <w:r>
        <w:rPr>
          <w:spacing w:val="-23"/>
          <w:w w:val="105"/>
        </w:rPr>
        <w:t> </w:t>
      </w:r>
      <w:r>
        <w:rPr>
          <w:w w:val="105"/>
        </w:rPr>
        <w:t>los</w:t>
      </w:r>
      <w:r>
        <w:rPr>
          <w:spacing w:val="-23"/>
          <w:w w:val="105"/>
        </w:rPr>
        <w:t> </w:t>
      </w:r>
      <w:r>
        <w:rPr>
          <w:w w:val="105"/>
        </w:rPr>
        <w:t>menores.</w:t>
      </w:r>
    </w:p>
    <w:p>
      <w:pPr>
        <w:pStyle w:val="BodyText"/>
        <w:spacing w:line="261" w:lineRule="auto" w:before="1"/>
        <w:ind w:left="1723" w:right="1829" w:firstLine="567"/>
        <w:jc w:val="both"/>
      </w:pPr>
      <w:r>
        <w:rPr>
          <w:color w:val="231F20"/>
          <w:w w:val="105"/>
        </w:rPr>
        <w:t>Como se ha mencionado arriba, en el Estado de México existen programas que evidencian el esfuerzo de las instituciones locales para atender</w:t>
      </w:r>
      <w:r>
        <w:rPr>
          <w:color w:val="231F20"/>
          <w:spacing w:val="-10"/>
          <w:w w:val="105"/>
        </w:rPr>
        <w:t> </w:t>
      </w:r>
      <w:r>
        <w:rPr>
          <w:color w:val="231F20"/>
          <w:w w:val="105"/>
        </w:rPr>
        <w:t>el</w:t>
      </w:r>
      <w:r>
        <w:rPr>
          <w:color w:val="231F20"/>
          <w:spacing w:val="-10"/>
          <w:w w:val="105"/>
        </w:rPr>
        <w:t> </w:t>
      </w:r>
      <w:r>
        <w:rPr>
          <w:color w:val="231F20"/>
          <w:w w:val="105"/>
        </w:rPr>
        <w:t>problema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sz w:val="17"/>
        </w:rPr>
        <w:t>NNA</w:t>
      </w:r>
      <w:r>
        <w:rPr>
          <w:color w:val="231F20"/>
          <w:spacing w:val="1"/>
          <w:w w:val="105"/>
          <w:sz w:val="17"/>
        </w:rPr>
        <w:t> </w:t>
      </w:r>
      <w:r>
        <w:rPr>
          <w:color w:val="231F20"/>
          <w:w w:val="105"/>
        </w:rPr>
        <w:t>migrantes</w:t>
      </w:r>
      <w:r>
        <w:rPr>
          <w:color w:val="231F20"/>
          <w:spacing w:val="-10"/>
          <w:w w:val="105"/>
        </w:rPr>
        <w:t> </w:t>
      </w:r>
      <w:r>
        <w:rPr>
          <w:color w:val="231F20"/>
          <w:w w:val="105"/>
        </w:rPr>
        <w:t>no</w:t>
      </w:r>
      <w:r>
        <w:rPr>
          <w:color w:val="231F20"/>
          <w:spacing w:val="-10"/>
          <w:w w:val="105"/>
        </w:rPr>
        <w:t> </w:t>
      </w:r>
      <w:r>
        <w:rPr>
          <w:color w:val="231F20"/>
          <w:w w:val="105"/>
        </w:rPr>
        <w:t>acompañados.</w:t>
      </w:r>
      <w:r>
        <w:rPr>
          <w:color w:val="231F20"/>
          <w:spacing w:val="-16"/>
          <w:w w:val="105"/>
        </w:rPr>
        <w:t> </w:t>
      </w:r>
      <w:r>
        <w:rPr>
          <w:color w:val="231F20"/>
          <w:w w:val="105"/>
        </w:rPr>
        <w:t>No</w:t>
      </w:r>
      <w:r>
        <w:rPr>
          <w:color w:val="231F20"/>
          <w:spacing w:val="-10"/>
          <w:w w:val="105"/>
        </w:rPr>
        <w:t> </w:t>
      </w:r>
      <w:r>
        <w:rPr>
          <w:color w:val="231F20"/>
          <w:w w:val="105"/>
        </w:rPr>
        <w:t>obstan- te,</w:t>
      </w:r>
      <w:r>
        <w:rPr>
          <w:color w:val="231F20"/>
          <w:spacing w:val="-17"/>
          <w:w w:val="105"/>
        </w:rPr>
        <w:t> </w:t>
      </w:r>
      <w:r>
        <w:rPr>
          <w:color w:val="231F20"/>
          <w:w w:val="105"/>
        </w:rPr>
        <w:t>este</w:t>
      </w:r>
      <w:r>
        <w:rPr>
          <w:color w:val="231F20"/>
          <w:spacing w:val="-12"/>
          <w:w w:val="105"/>
        </w:rPr>
        <w:t> </w:t>
      </w:r>
      <w:r>
        <w:rPr>
          <w:color w:val="231F20"/>
          <w:w w:val="105"/>
        </w:rPr>
        <w:t>esfuerzo</w:t>
      </w:r>
      <w:r>
        <w:rPr>
          <w:color w:val="231F20"/>
          <w:spacing w:val="-12"/>
          <w:w w:val="105"/>
        </w:rPr>
        <w:t> </w:t>
      </w:r>
      <w:r>
        <w:rPr>
          <w:color w:val="231F20"/>
          <w:w w:val="105"/>
        </w:rPr>
        <w:t>no</w:t>
      </w:r>
      <w:r>
        <w:rPr>
          <w:color w:val="231F20"/>
          <w:spacing w:val="-12"/>
          <w:w w:val="105"/>
        </w:rPr>
        <w:t> </w:t>
      </w:r>
      <w:r>
        <w:rPr>
          <w:color w:val="231F20"/>
          <w:w w:val="105"/>
        </w:rPr>
        <w:t>tendrá</w:t>
      </w:r>
      <w:r>
        <w:rPr>
          <w:color w:val="231F20"/>
          <w:spacing w:val="-12"/>
          <w:w w:val="105"/>
        </w:rPr>
        <w:t> </w:t>
      </w:r>
      <w:r>
        <w:rPr>
          <w:color w:val="231F20"/>
          <w:w w:val="105"/>
        </w:rPr>
        <w:t>la</w:t>
      </w:r>
      <w:r>
        <w:rPr>
          <w:color w:val="231F20"/>
          <w:spacing w:val="-12"/>
          <w:w w:val="105"/>
        </w:rPr>
        <w:t> </w:t>
      </w:r>
      <w:r>
        <w:rPr>
          <w:color w:val="231F20"/>
          <w:w w:val="105"/>
        </w:rPr>
        <w:t>efectividad</w:t>
      </w:r>
      <w:r>
        <w:rPr>
          <w:color w:val="231F20"/>
          <w:spacing w:val="-12"/>
          <w:w w:val="105"/>
        </w:rPr>
        <w:t> </w:t>
      </w:r>
      <w:r>
        <w:rPr>
          <w:color w:val="231F20"/>
          <w:w w:val="105"/>
        </w:rPr>
        <w:t>deseada,</w:t>
      </w:r>
      <w:r>
        <w:rPr>
          <w:color w:val="231F20"/>
          <w:spacing w:val="-17"/>
          <w:w w:val="105"/>
        </w:rPr>
        <w:t> </w:t>
      </w:r>
      <w:r>
        <w:rPr>
          <w:color w:val="231F20"/>
          <w:w w:val="105"/>
        </w:rPr>
        <w:t>sino</w:t>
      </w:r>
      <w:r>
        <w:rPr>
          <w:color w:val="231F20"/>
          <w:spacing w:val="-12"/>
          <w:w w:val="105"/>
        </w:rPr>
        <w:t> </w:t>
      </w:r>
      <w:r>
        <w:rPr>
          <w:color w:val="231F20"/>
          <w:w w:val="105"/>
        </w:rPr>
        <w:t>opera</w:t>
      </w:r>
      <w:r>
        <w:rPr>
          <w:color w:val="231F20"/>
          <w:spacing w:val="-12"/>
          <w:w w:val="105"/>
        </w:rPr>
        <w:t> </w:t>
      </w:r>
      <w:r>
        <w:rPr>
          <w:color w:val="231F20"/>
          <w:w w:val="105"/>
        </w:rPr>
        <w:t>en</w:t>
      </w:r>
      <w:r>
        <w:rPr>
          <w:color w:val="231F20"/>
          <w:spacing w:val="-12"/>
          <w:w w:val="105"/>
        </w:rPr>
        <w:t> </w:t>
      </w:r>
      <w:r>
        <w:rPr>
          <w:color w:val="231F20"/>
          <w:w w:val="105"/>
        </w:rPr>
        <w:t>coordi- nación</w:t>
      </w:r>
      <w:r>
        <w:rPr>
          <w:color w:val="231F20"/>
          <w:spacing w:val="-42"/>
          <w:w w:val="105"/>
        </w:rPr>
        <w:t> </w:t>
      </w:r>
      <w:r>
        <w:rPr>
          <w:color w:val="231F20"/>
          <w:w w:val="105"/>
        </w:rPr>
        <w:t>con</w:t>
      </w:r>
      <w:r>
        <w:rPr>
          <w:color w:val="231F20"/>
          <w:spacing w:val="-42"/>
          <w:w w:val="105"/>
        </w:rPr>
        <w:t> </w:t>
      </w:r>
      <w:r>
        <w:rPr>
          <w:color w:val="231F20"/>
          <w:w w:val="105"/>
        </w:rPr>
        <w:t>otras</w:t>
      </w:r>
      <w:r>
        <w:rPr>
          <w:color w:val="231F20"/>
          <w:spacing w:val="-42"/>
          <w:w w:val="105"/>
        </w:rPr>
        <w:t> </w:t>
      </w:r>
      <w:r>
        <w:rPr>
          <w:color w:val="231F20"/>
          <w:w w:val="105"/>
        </w:rPr>
        <w:t>instancias</w:t>
      </w:r>
      <w:r>
        <w:rPr>
          <w:color w:val="231F20"/>
          <w:spacing w:val="-42"/>
          <w:w w:val="105"/>
        </w:rPr>
        <w:t> </w:t>
      </w:r>
      <w:r>
        <w:rPr>
          <w:color w:val="231F20"/>
          <w:w w:val="105"/>
        </w:rPr>
        <w:t>estatales</w:t>
      </w:r>
      <w:r>
        <w:rPr>
          <w:color w:val="231F20"/>
          <w:spacing w:val="-42"/>
          <w:w w:val="105"/>
        </w:rPr>
        <w:t> </w:t>
      </w:r>
      <w:r>
        <w:rPr>
          <w:color w:val="231F20"/>
          <w:w w:val="105"/>
        </w:rPr>
        <w:t>y</w:t>
      </w:r>
      <w:r>
        <w:rPr>
          <w:color w:val="231F20"/>
          <w:spacing w:val="-42"/>
          <w:w w:val="105"/>
        </w:rPr>
        <w:t> </w:t>
      </w:r>
      <w:r>
        <w:rPr>
          <w:color w:val="231F20"/>
          <w:w w:val="105"/>
        </w:rPr>
        <w:t>federales,</w:t>
      </w:r>
      <w:r>
        <w:rPr>
          <w:color w:val="231F20"/>
          <w:spacing w:val="-45"/>
          <w:w w:val="105"/>
        </w:rPr>
        <w:t> </w:t>
      </w:r>
      <w:r>
        <w:rPr>
          <w:color w:val="231F20"/>
          <w:w w:val="105"/>
        </w:rPr>
        <w:t>especialmente</w:t>
      </w:r>
      <w:r>
        <w:rPr>
          <w:color w:val="231F20"/>
          <w:spacing w:val="-42"/>
          <w:w w:val="105"/>
        </w:rPr>
        <w:t> </w:t>
      </w:r>
      <w:r>
        <w:rPr>
          <w:color w:val="231F20"/>
          <w:w w:val="105"/>
        </w:rPr>
        <w:t>en</w:t>
      </w:r>
      <w:r>
        <w:rPr>
          <w:color w:val="231F20"/>
          <w:spacing w:val="-42"/>
          <w:w w:val="105"/>
        </w:rPr>
        <w:t> </w:t>
      </w:r>
      <w:r>
        <w:rPr>
          <w:color w:val="231F20"/>
          <w:w w:val="105"/>
        </w:rPr>
        <w:t>el</w:t>
      </w:r>
      <w:r>
        <w:rPr>
          <w:color w:val="231F20"/>
          <w:spacing w:val="-42"/>
          <w:w w:val="105"/>
        </w:rPr>
        <w:t> </w:t>
      </w:r>
      <w:r>
        <w:rPr>
          <w:color w:val="231F20"/>
          <w:w w:val="105"/>
        </w:rPr>
        <w:t>caso de</w:t>
      </w:r>
      <w:r>
        <w:rPr>
          <w:color w:val="231F20"/>
          <w:spacing w:val="-17"/>
          <w:w w:val="105"/>
        </w:rPr>
        <w:t> </w:t>
      </w:r>
      <w:r>
        <w:rPr>
          <w:color w:val="231F20"/>
          <w:w w:val="105"/>
        </w:rPr>
        <w:t>los</w:t>
      </w:r>
      <w:r>
        <w:rPr>
          <w:color w:val="231F20"/>
          <w:spacing w:val="-17"/>
          <w:w w:val="105"/>
        </w:rPr>
        <w:t> </w:t>
      </w:r>
      <w:r>
        <w:rPr>
          <w:color w:val="231F20"/>
          <w:w w:val="105"/>
          <w:sz w:val="17"/>
        </w:rPr>
        <w:t>NNA</w:t>
      </w:r>
      <w:r>
        <w:rPr>
          <w:color w:val="231F20"/>
          <w:spacing w:val="-6"/>
          <w:w w:val="105"/>
          <w:sz w:val="17"/>
        </w:rPr>
        <w:t> </w:t>
      </w:r>
      <w:r>
        <w:rPr>
          <w:color w:val="231F20"/>
          <w:w w:val="105"/>
        </w:rPr>
        <w:t>extranjeros,</w:t>
      </w:r>
      <w:r>
        <w:rPr>
          <w:color w:val="231F20"/>
          <w:spacing w:val="-22"/>
          <w:w w:val="105"/>
        </w:rPr>
        <w:t> </w:t>
      </w:r>
      <w:r>
        <w:rPr>
          <w:color w:val="231F20"/>
          <w:w w:val="105"/>
        </w:rPr>
        <w:t>cuya</w:t>
      </w:r>
      <w:r>
        <w:rPr>
          <w:color w:val="231F20"/>
          <w:spacing w:val="-17"/>
          <w:w w:val="105"/>
        </w:rPr>
        <w:t> </w:t>
      </w:r>
      <w:r>
        <w:rPr>
          <w:color w:val="231F20"/>
          <w:w w:val="105"/>
        </w:rPr>
        <w:t>atención</w:t>
      </w:r>
      <w:r>
        <w:rPr>
          <w:color w:val="231F20"/>
          <w:spacing w:val="-17"/>
          <w:w w:val="105"/>
        </w:rPr>
        <w:t> </w:t>
      </w:r>
      <w:r>
        <w:rPr>
          <w:color w:val="231F20"/>
          <w:w w:val="105"/>
        </w:rPr>
        <w:t>corresponde</w:t>
      </w:r>
      <w:r>
        <w:rPr>
          <w:color w:val="231F20"/>
          <w:spacing w:val="-17"/>
          <w:w w:val="105"/>
        </w:rPr>
        <w:t> </w:t>
      </w:r>
      <w:r>
        <w:rPr>
          <w:color w:val="231F20"/>
          <w:w w:val="105"/>
        </w:rPr>
        <w:t>fundamentalmente</w:t>
      </w:r>
      <w:r>
        <w:rPr>
          <w:color w:val="231F20"/>
          <w:spacing w:val="-17"/>
          <w:w w:val="105"/>
        </w:rPr>
        <w:t> </w:t>
      </w:r>
      <w:r>
        <w:rPr>
          <w:color w:val="231F20"/>
          <w:w w:val="105"/>
        </w:rPr>
        <w:t>al </w:t>
      </w:r>
      <w:r>
        <w:rPr>
          <w:color w:val="231F20"/>
          <w:w w:val="105"/>
          <w:sz w:val="17"/>
        </w:rPr>
        <w:t>INM</w:t>
      </w:r>
      <w:r>
        <w:rPr>
          <w:color w:val="231F20"/>
          <w:w w:val="105"/>
        </w:rPr>
        <w:t>, que no cuenta con estaciones migratorias en todos los estados de la</w:t>
      </w:r>
      <w:r>
        <w:rPr>
          <w:color w:val="231F20"/>
          <w:spacing w:val="-19"/>
          <w:w w:val="105"/>
        </w:rPr>
        <w:t> </w:t>
      </w:r>
      <w:r>
        <w:rPr>
          <w:color w:val="231F20"/>
          <w:w w:val="105"/>
        </w:rPr>
        <w:t>república,</w:t>
      </w:r>
      <w:r>
        <w:rPr>
          <w:color w:val="231F20"/>
          <w:spacing w:val="-23"/>
          <w:w w:val="105"/>
        </w:rPr>
        <w:t> </w:t>
      </w:r>
      <w:r>
        <w:rPr>
          <w:color w:val="231F20"/>
          <w:w w:val="105"/>
        </w:rPr>
        <w:t>sino</w:t>
      </w:r>
      <w:r>
        <w:rPr>
          <w:color w:val="231F20"/>
          <w:spacing w:val="-19"/>
          <w:w w:val="105"/>
        </w:rPr>
        <w:t> </w:t>
      </w:r>
      <w:r>
        <w:rPr>
          <w:color w:val="231F20"/>
          <w:w w:val="105"/>
        </w:rPr>
        <w:t>solo</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que</w:t>
      </w:r>
      <w:r>
        <w:rPr>
          <w:color w:val="231F20"/>
          <w:spacing w:val="-19"/>
          <w:w w:val="105"/>
        </w:rPr>
        <w:t> </w:t>
      </w:r>
      <w:r>
        <w:rPr>
          <w:color w:val="231F20"/>
          <w:w w:val="105"/>
        </w:rPr>
        <w:t>están</w:t>
      </w:r>
      <w:r>
        <w:rPr>
          <w:color w:val="231F20"/>
          <w:spacing w:val="-19"/>
          <w:w w:val="105"/>
        </w:rPr>
        <w:t> </w:t>
      </w:r>
      <w:r>
        <w:rPr>
          <w:color w:val="231F20"/>
          <w:w w:val="105"/>
        </w:rPr>
        <w:t>situados</w:t>
      </w:r>
      <w:r>
        <w:rPr>
          <w:color w:val="231F20"/>
          <w:spacing w:val="-19"/>
          <w:w w:val="105"/>
        </w:rPr>
        <w:t> </w:t>
      </w:r>
      <w:r>
        <w:rPr>
          <w:color w:val="231F20"/>
          <w:w w:val="105"/>
        </w:rPr>
        <w:t>en</w:t>
      </w:r>
      <w:r>
        <w:rPr>
          <w:color w:val="231F20"/>
          <w:spacing w:val="-19"/>
          <w:w w:val="105"/>
        </w:rPr>
        <w:t> </w:t>
      </w:r>
      <w:r>
        <w:rPr>
          <w:color w:val="231F20"/>
          <w:w w:val="105"/>
        </w:rPr>
        <w:t>zonas</w:t>
      </w:r>
      <w:r>
        <w:rPr>
          <w:color w:val="231F20"/>
          <w:spacing w:val="-19"/>
          <w:w w:val="105"/>
        </w:rPr>
        <w:t> </w:t>
      </w:r>
      <w:r>
        <w:rPr>
          <w:color w:val="231F20"/>
          <w:w w:val="105"/>
        </w:rPr>
        <w:t>fronterizas.</w:t>
      </w:r>
      <w:r>
        <w:rPr>
          <w:color w:val="231F20"/>
          <w:spacing w:val="-23"/>
          <w:w w:val="105"/>
        </w:rPr>
        <w:t> </w:t>
      </w:r>
      <w:r>
        <w:rPr>
          <w:color w:val="231F20"/>
          <w:w w:val="105"/>
        </w:rPr>
        <w:t>Es, sin</w:t>
      </w:r>
      <w:r>
        <w:rPr>
          <w:color w:val="231F20"/>
          <w:spacing w:val="-21"/>
          <w:w w:val="105"/>
        </w:rPr>
        <w:t> </w:t>
      </w:r>
      <w:r>
        <w:rPr>
          <w:color w:val="231F20"/>
          <w:w w:val="105"/>
        </w:rPr>
        <w:t>embargo,</w:t>
      </w:r>
      <w:r>
        <w:rPr>
          <w:color w:val="231F20"/>
          <w:spacing w:val="-25"/>
          <w:w w:val="105"/>
        </w:rPr>
        <w:t> </w:t>
      </w:r>
      <w:r>
        <w:rPr>
          <w:color w:val="231F20"/>
          <w:w w:val="105"/>
        </w:rPr>
        <w:t>en</w:t>
      </w:r>
      <w:r>
        <w:rPr>
          <w:color w:val="231F20"/>
          <w:spacing w:val="-21"/>
          <w:w w:val="105"/>
        </w:rPr>
        <w:t> </w:t>
      </w:r>
      <w:r>
        <w:rPr>
          <w:color w:val="231F20"/>
          <w:w w:val="105"/>
        </w:rPr>
        <w:t>las</w:t>
      </w:r>
      <w:r>
        <w:rPr>
          <w:color w:val="231F20"/>
          <w:spacing w:val="-21"/>
          <w:w w:val="105"/>
        </w:rPr>
        <w:t> </w:t>
      </w:r>
      <w:r>
        <w:rPr>
          <w:color w:val="231F20"/>
          <w:w w:val="105"/>
        </w:rPr>
        <w:t>regiones</w:t>
      </w:r>
      <w:r>
        <w:rPr>
          <w:color w:val="231F20"/>
          <w:spacing w:val="-21"/>
          <w:w w:val="105"/>
        </w:rPr>
        <w:t> </w:t>
      </w:r>
      <w:r>
        <w:rPr>
          <w:color w:val="231F20"/>
          <w:w w:val="105"/>
        </w:rPr>
        <w:t>centrales</w:t>
      </w:r>
      <w:r>
        <w:rPr>
          <w:color w:val="231F20"/>
          <w:spacing w:val="-21"/>
          <w:w w:val="105"/>
        </w:rPr>
        <w:t> </w:t>
      </w:r>
      <w:r>
        <w:rPr>
          <w:color w:val="231F20"/>
          <w:w w:val="105"/>
        </w:rPr>
        <w:t>donde</w:t>
      </w:r>
      <w:r>
        <w:rPr>
          <w:color w:val="231F20"/>
          <w:spacing w:val="-21"/>
          <w:w w:val="105"/>
        </w:rPr>
        <w:t> </w:t>
      </w:r>
      <w:r>
        <w:rPr>
          <w:color w:val="231F20"/>
          <w:w w:val="105"/>
        </w:rPr>
        <w:t>los</w:t>
      </w:r>
      <w:r>
        <w:rPr>
          <w:color w:val="231F20"/>
          <w:spacing w:val="-21"/>
          <w:w w:val="105"/>
        </w:rPr>
        <w:t> </w:t>
      </w:r>
      <w:r>
        <w:rPr>
          <w:color w:val="231F20"/>
          <w:w w:val="105"/>
        </w:rPr>
        <w:t>menores</w:t>
      </w:r>
      <w:r>
        <w:rPr>
          <w:color w:val="231F20"/>
          <w:spacing w:val="-21"/>
          <w:w w:val="105"/>
        </w:rPr>
        <w:t> </w:t>
      </w:r>
      <w:r>
        <w:rPr>
          <w:color w:val="231F20"/>
          <w:w w:val="105"/>
        </w:rPr>
        <w:t>se</w:t>
      </w:r>
      <w:r>
        <w:rPr>
          <w:color w:val="231F20"/>
          <w:spacing w:val="-21"/>
          <w:w w:val="105"/>
        </w:rPr>
        <w:t> </w:t>
      </w:r>
      <w:r>
        <w:rPr>
          <w:color w:val="231F20"/>
          <w:w w:val="105"/>
        </w:rPr>
        <w:t>quedan</w:t>
      </w:r>
      <w:r>
        <w:rPr>
          <w:color w:val="231F20"/>
          <w:spacing w:val="-21"/>
          <w:w w:val="105"/>
        </w:rPr>
        <w:t> </w:t>
      </w:r>
      <w:r>
        <w:rPr>
          <w:color w:val="231F20"/>
          <w:w w:val="105"/>
        </w:rPr>
        <w:t>sin recursos</w:t>
      </w:r>
      <w:r>
        <w:rPr>
          <w:color w:val="231F20"/>
          <w:spacing w:val="-39"/>
          <w:w w:val="105"/>
        </w:rPr>
        <w:t> </w:t>
      </w:r>
      <w:r>
        <w:rPr>
          <w:color w:val="231F20"/>
          <w:w w:val="105"/>
        </w:rPr>
        <w:t>y</w:t>
      </w:r>
      <w:r>
        <w:rPr>
          <w:color w:val="231F20"/>
          <w:spacing w:val="-39"/>
          <w:w w:val="105"/>
        </w:rPr>
        <w:t> </w:t>
      </w:r>
      <w:r>
        <w:rPr>
          <w:color w:val="231F20"/>
          <w:w w:val="105"/>
        </w:rPr>
        <w:t>están,</w:t>
      </w:r>
      <w:r>
        <w:rPr>
          <w:color w:val="231F20"/>
          <w:spacing w:val="-43"/>
          <w:w w:val="105"/>
        </w:rPr>
        <w:t> </w:t>
      </w:r>
      <w:r>
        <w:rPr>
          <w:color w:val="231F20"/>
          <w:w w:val="105"/>
        </w:rPr>
        <w:t>en</w:t>
      </w:r>
      <w:r>
        <w:rPr>
          <w:color w:val="231F20"/>
          <w:spacing w:val="-39"/>
          <w:w w:val="105"/>
        </w:rPr>
        <w:t> </w:t>
      </w:r>
      <w:r>
        <w:rPr>
          <w:color w:val="231F20"/>
          <w:w w:val="105"/>
        </w:rPr>
        <w:t>consecuencia,</w:t>
      </w:r>
      <w:r>
        <w:rPr>
          <w:color w:val="231F20"/>
          <w:spacing w:val="-43"/>
          <w:w w:val="105"/>
        </w:rPr>
        <w:t> </w:t>
      </w:r>
      <w:r>
        <w:rPr>
          <w:color w:val="231F20"/>
          <w:w w:val="105"/>
        </w:rPr>
        <w:t>expuestos</w:t>
      </w:r>
      <w:r>
        <w:rPr>
          <w:color w:val="231F20"/>
          <w:spacing w:val="-39"/>
          <w:w w:val="105"/>
        </w:rPr>
        <w:t> </w:t>
      </w:r>
      <w:r>
        <w:rPr>
          <w:color w:val="231F20"/>
          <w:w w:val="105"/>
        </w:rPr>
        <w:t>a</w:t>
      </w:r>
      <w:r>
        <w:rPr>
          <w:color w:val="231F20"/>
          <w:spacing w:val="-39"/>
          <w:w w:val="105"/>
        </w:rPr>
        <w:t> </w:t>
      </w:r>
      <w:r>
        <w:rPr>
          <w:color w:val="231F20"/>
          <w:w w:val="105"/>
        </w:rPr>
        <w:t>sufrir</w:t>
      </w:r>
      <w:r>
        <w:rPr>
          <w:color w:val="231F20"/>
          <w:spacing w:val="-39"/>
          <w:w w:val="105"/>
        </w:rPr>
        <w:t> </w:t>
      </w:r>
      <w:r>
        <w:rPr>
          <w:color w:val="231F20"/>
          <w:w w:val="105"/>
        </w:rPr>
        <w:t>violaciones</w:t>
      </w:r>
      <w:r>
        <w:rPr>
          <w:color w:val="231F20"/>
          <w:spacing w:val="-39"/>
          <w:w w:val="105"/>
        </w:rPr>
        <w:t> </w:t>
      </w:r>
      <w:r>
        <w:rPr>
          <w:color w:val="231F20"/>
          <w:w w:val="105"/>
        </w:rPr>
        <w:t>a</w:t>
      </w:r>
      <w:r>
        <w:rPr>
          <w:color w:val="231F20"/>
          <w:spacing w:val="-39"/>
          <w:w w:val="105"/>
        </w:rPr>
        <w:t> </w:t>
      </w:r>
      <w:r>
        <w:rPr>
          <w:color w:val="231F20"/>
          <w:w w:val="105"/>
        </w:rPr>
        <w:t>sus</w:t>
      </w:r>
      <w:r>
        <w:rPr>
          <w:color w:val="231F20"/>
          <w:spacing w:val="-39"/>
          <w:w w:val="105"/>
        </w:rPr>
        <w:t> </w:t>
      </w:r>
      <w:r>
        <w:rPr>
          <w:color w:val="231F20"/>
          <w:w w:val="105"/>
        </w:rPr>
        <w:t>de- rechos</w:t>
      </w:r>
      <w:r>
        <w:rPr>
          <w:color w:val="231F20"/>
          <w:spacing w:val="-6"/>
          <w:w w:val="105"/>
        </w:rPr>
        <w:t> </w:t>
      </w:r>
      <w:r>
        <w:rPr>
          <w:color w:val="231F20"/>
          <w:w w:val="105"/>
        </w:rPr>
        <w:t>fundamentales.</w:t>
      </w:r>
      <w:r>
        <w:rPr>
          <w:color w:val="231F20"/>
          <w:spacing w:val="-11"/>
          <w:w w:val="105"/>
        </w:rPr>
        <w:t> </w:t>
      </w:r>
      <w:r>
        <w:rPr>
          <w:color w:val="231F20"/>
          <w:w w:val="105"/>
        </w:rPr>
        <w:t>Los</w:t>
      </w:r>
      <w:r>
        <w:rPr>
          <w:color w:val="231F20"/>
          <w:spacing w:val="-6"/>
          <w:w w:val="105"/>
        </w:rPr>
        <w:t> </w:t>
      </w:r>
      <w:r>
        <w:rPr>
          <w:color w:val="231F20"/>
          <w:w w:val="105"/>
        </w:rPr>
        <w:t>espacios</w:t>
      </w:r>
      <w:r>
        <w:rPr>
          <w:color w:val="231F20"/>
          <w:spacing w:val="-6"/>
          <w:w w:val="105"/>
        </w:rPr>
        <w:t> </w:t>
      </w:r>
      <w:r>
        <w:rPr>
          <w:color w:val="231F20"/>
          <w:w w:val="105"/>
        </w:rPr>
        <w:t>disponibles</w:t>
      </w:r>
      <w:r>
        <w:rPr>
          <w:color w:val="231F20"/>
          <w:spacing w:val="-6"/>
          <w:w w:val="105"/>
        </w:rPr>
        <w:t> </w:t>
      </w:r>
      <w:r>
        <w:rPr>
          <w:color w:val="231F20"/>
          <w:w w:val="105"/>
        </w:rPr>
        <w:t>para</w:t>
      </w:r>
      <w:r>
        <w:rPr>
          <w:color w:val="231F20"/>
          <w:spacing w:val="-6"/>
          <w:w w:val="105"/>
        </w:rPr>
        <w:t> </w:t>
      </w:r>
      <w:r>
        <w:rPr>
          <w:color w:val="231F20"/>
          <w:w w:val="105"/>
        </w:rPr>
        <w:t>atender</w:t>
      </w:r>
      <w:r>
        <w:rPr>
          <w:color w:val="231F20"/>
          <w:spacing w:val="-6"/>
          <w:w w:val="105"/>
        </w:rPr>
        <w:t> </w:t>
      </w:r>
      <w:r>
        <w:rPr>
          <w:color w:val="231F20"/>
          <w:w w:val="105"/>
        </w:rPr>
        <w:t>menores en</w:t>
      </w:r>
      <w:r>
        <w:rPr>
          <w:color w:val="231F20"/>
          <w:spacing w:val="-30"/>
          <w:w w:val="105"/>
        </w:rPr>
        <w:t> </w:t>
      </w:r>
      <w:r>
        <w:rPr>
          <w:color w:val="231F20"/>
          <w:w w:val="105"/>
        </w:rPr>
        <w:t>tránsito,</w:t>
      </w:r>
      <w:r>
        <w:rPr>
          <w:color w:val="231F20"/>
          <w:spacing w:val="-34"/>
          <w:w w:val="105"/>
        </w:rPr>
        <w:t> </w:t>
      </w:r>
      <w:r>
        <w:rPr>
          <w:color w:val="231F20"/>
          <w:w w:val="105"/>
        </w:rPr>
        <w:t>como</w:t>
      </w:r>
      <w:r>
        <w:rPr>
          <w:color w:val="231F20"/>
          <w:spacing w:val="-30"/>
          <w:w w:val="105"/>
        </w:rPr>
        <w:t> </w:t>
      </w:r>
      <w:r>
        <w:rPr>
          <w:color w:val="231F20"/>
          <w:w w:val="105"/>
        </w:rPr>
        <w:t>los</w:t>
      </w:r>
      <w:r>
        <w:rPr>
          <w:color w:val="231F20"/>
          <w:spacing w:val="-30"/>
          <w:w w:val="105"/>
        </w:rPr>
        <w:t> </w:t>
      </w:r>
      <w:r>
        <w:rPr>
          <w:color w:val="231F20"/>
          <w:w w:val="105"/>
        </w:rPr>
        <w:t>albergues</w:t>
      </w:r>
      <w:r>
        <w:rPr>
          <w:color w:val="231F20"/>
          <w:spacing w:val="-30"/>
          <w:w w:val="105"/>
        </w:rPr>
        <w:t> </w:t>
      </w:r>
      <w:r>
        <w:rPr>
          <w:color w:val="231F20"/>
          <w:w w:val="105"/>
        </w:rPr>
        <w:t>temporales</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sistemas</w:t>
      </w:r>
      <w:r>
        <w:rPr>
          <w:color w:val="231F20"/>
          <w:spacing w:val="-30"/>
          <w:w w:val="105"/>
        </w:rPr>
        <w:t> </w:t>
      </w:r>
      <w:r>
        <w:rPr>
          <w:color w:val="231F20"/>
          <w:w w:val="105"/>
          <w:sz w:val="17"/>
        </w:rPr>
        <w:t>DIF</w:t>
      </w:r>
      <w:r>
        <w:rPr>
          <w:color w:val="231F20"/>
          <w:spacing w:val="-18"/>
          <w:w w:val="105"/>
          <w:sz w:val="17"/>
        </w:rPr>
        <w:t> </w:t>
      </w:r>
      <w:r>
        <w:rPr>
          <w:color w:val="231F20"/>
          <w:w w:val="105"/>
        </w:rPr>
        <w:t>estatales</w:t>
      </w:r>
      <w:r>
        <w:rPr>
          <w:color w:val="231F20"/>
          <w:spacing w:val="-30"/>
          <w:w w:val="105"/>
        </w:rPr>
        <w:t> </w:t>
      </w:r>
      <w:r>
        <w:rPr>
          <w:color w:val="231F20"/>
          <w:w w:val="105"/>
        </w:rPr>
        <w:t>y municipales,</w:t>
      </w:r>
      <w:r>
        <w:rPr>
          <w:color w:val="231F20"/>
          <w:spacing w:val="-22"/>
          <w:w w:val="105"/>
        </w:rPr>
        <w:t> </w:t>
      </w:r>
      <w:r>
        <w:rPr>
          <w:color w:val="231F20"/>
          <w:w w:val="105"/>
        </w:rPr>
        <w:t>no</w:t>
      </w:r>
      <w:r>
        <w:rPr>
          <w:color w:val="231F20"/>
          <w:spacing w:val="-17"/>
          <w:w w:val="105"/>
        </w:rPr>
        <w:t> </w:t>
      </w:r>
      <w:r>
        <w:rPr>
          <w:color w:val="231F20"/>
          <w:w w:val="105"/>
        </w:rPr>
        <w:t>son</w:t>
      </w:r>
      <w:r>
        <w:rPr>
          <w:color w:val="231F20"/>
          <w:spacing w:val="-17"/>
          <w:w w:val="105"/>
        </w:rPr>
        <w:t> </w:t>
      </w:r>
      <w:r>
        <w:rPr>
          <w:color w:val="231F20"/>
          <w:w w:val="105"/>
        </w:rPr>
        <w:t>suficientes</w:t>
      </w:r>
      <w:r>
        <w:rPr>
          <w:color w:val="231F20"/>
          <w:spacing w:val="-17"/>
          <w:w w:val="105"/>
        </w:rPr>
        <w:t> </w:t>
      </w:r>
      <w:r>
        <w:rPr>
          <w:color w:val="231F20"/>
          <w:w w:val="105"/>
        </w:rPr>
        <w:t>para</w:t>
      </w:r>
      <w:r>
        <w:rPr>
          <w:color w:val="231F20"/>
          <w:spacing w:val="-17"/>
          <w:w w:val="105"/>
        </w:rPr>
        <w:t> </w:t>
      </w:r>
      <w:r>
        <w:rPr>
          <w:color w:val="231F20"/>
          <w:w w:val="105"/>
        </w:rPr>
        <w:t>atender</w:t>
      </w:r>
      <w:r>
        <w:rPr>
          <w:color w:val="231F20"/>
          <w:spacing w:val="-17"/>
          <w:w w:val="105"/>
        </w:rPr>
        <w:t> </w:t>
      </w:r>
      <w:r>
        <w:rPr>
          <w:color w:val="231F20"/>
          <w:w w:val="105"/>
        </w:rPr>
        <w:t>la</w:t>
      </w:r>
      <w:r>
        <w:rPr>
          <w:color w:val="231F20"/>
          <w:spacing w:val="-17"/>
          <w:w w:val="105"/>
        </w:rPr>
        <w:t> </w:t>
      </w:r>
      <w:r>
        <w:rPr>
          <w:color w:val="231F20"/>
          <w:w w:val="105"/>
        </w:rPr>
        <w:t>problemática,</w:t>
      </w:r>
      <w:r>
        <w:rPr>
          <w:color w:val="231F20"/>
          <w:spacing w:val="-22"/>
          <w:w w:val="105"/>
        </w:rPr>
        <w:t> </w:t>
      </w:r>
      <w:r>
        <w:rPr>
          <w:color w:val="231F20"/>
          <w:w w:val="105"/>
        </w:rPr>
        <w:t>sobre</w:t>
      </w:r>
      <w:r>
        <w:rPr>
          <w:color w:val="231F20"/>
          <w:spacing w:val="-17"/>
          <w:w w:val="105"/>
        </w:rPr>
        <w:t> </w:t>
      </w:r>
      <w:r>
        <w:rPr>
          <w:color w:val="231F20"/>
          <w:w w:val="105"/>
        </w:rPr>
        <w:t>todo en</w:t>
      </w:r>
      <w:r>
        <w:rPr>
          <w:color w:val="231F20"/>
          <w:spacing w:val="-5"/>
          <w:w w:val="105"/>
        </w:rPr>
        <w:t> </w:t>
      </w:r>
      <w:r>
        <w:rPr>
          <w:color w:val="231F20"/>
          <w:w w:val="105"/>
        </w:rPr>
        <w:t>el</w:t>
      </w:r>
      <w:r>
        <w:rPr>
          <w:color w:val="231F20"/>
          <w:spacing w:val="-5"/>
          <w:w w:val="105"/>
        </w:rPr>
        <w:t> </w:t>
      </w:r>
      <w:r>
        <w:rPr>
          <w:color w:val="231F20"/>
          <w:w w:val="105"/>
        </w:rPr>
        <w:t>caso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menores</w:t>
      </w:r>
      <w:r>
        <w:rPr>
          <w:color w:val="231F20"/>
          <w:spacing w:val="-5"/>
          <w:w w:val="105"/>
        </w:rPr>
        <w:t> </w:t>
      </w:r>
      <w:r>
        <w:rPr>
          <w:color w:val="231F20"/>
          <w:w w:val="105"/>
        </w:rPr>
        <w:t>migrantes</w:t>
      </w:r>
      <w:r>
        <w:rPr>
          <w:color w:val="231F20"/>
          <w:spacing w:val="-5"/>
          <w:w w:val="105"/>
        </w:rPr>
        <w:t> </w:t>
      </w:r>
      <w:r>
        <w:rPr>
          <w:color w:val="231F20"/>
          <w:w w:val="105"/>
        </w:rPr>
        <w:t>que</w:t>
      </w:r>
      <w:r>
        <w:rPr>
          <w:color w:val="231F20"/>
          <w:spacing w:val="-5"/>
          <w:w w:val="105"/>
        </w:rPr>
        <w:t> </w:t>
      </w:r>
      <w:r>
        <w:rPr>
          <w:color w:val="231F20"/>
          <w:w w:val="105"/>
        </w:rPr>
        <w:t>son</w:t>
      </w:r>
      <w:r>
        <w:rPr>
          <w:color w:val="231F20"/>
          <w:spacing w:val="-5"/>
          <w:w w:val="105"/>
        </w:rPr>
        <w:t> </w:t>
      </w:r>
      <w:r>
        <w:rPr>
          <w:color w:val="231F20"/>
          <w:w w:val="105"/>
        </w:rPr>
        <w:t>extranjeros.</w:t>
      </w:r>
      <w:r>
        <w:rPr>
          <w:color w:val="231F20"/>
          <w:spacing w:val="-10"/>
          <w:w w:val="105"/>
        </w:rPr>
        <w:t> </w:t>
      </w:r>
      <w:r>
        <w:rPr>
          <w:color w:val="231F20"/>
          <w:spacing w:val="-6"/>
          <w:w w:val="105"/>
        </w:rPr>
        <w:t>Por</w:t>
      </w:r>
      <w:r>
        <w:rPr>
          <w:color w:val="231F20"/>
          <w:spacing w:val="-5"/>
          <w:w w:val="105"/>
        </w:rPr>
        <w:t> </w:t>
      </w:r>
      <w:r>
        <w:rPr>
          <w:color w:val="231F20"/>
          <w:w w:val="105"/>
        </w:rPr>
        <w:t>ello</w:t>
      </w:r>
      <w:r>
        <w:rPr>
          <w:color w:val="231F20"/>
          <w:spacing w:val="-5"/>
          <w:w w:val="105"/>
        </w:rPr>
        <w:t> </w:t>
      </w:r>
      <w:r>
        <w:rPr>
          <w:color w:val="231F20"/>
          <w:w w:val="105"/>
        </w:rPr>
        <w:t>sería conveniente que existiera en cada entidad federativa una estación mi- gratoria</w:t>
      </w:r>
      <w:r>
        <w:rPr>
          <w:color w:val="231F20"/>
          <w:spacing w:val="-13"/>
          <w:w w:val="105"/>
        </w:rPr>
        <w:t> </w:t>
      </w:r>
      <w:r>
        <w:rPr>
          <w:color w:val="231F20"/>
          <w:w w:val="105"/>
        </w:rPr>
        <w:t>que</w:t>
      </w:r>
      <w:r>
        <w:rPr>
          <w:color w:val="231F20"/>
          <w:spacing w:val="-13"/>
          <w:w w:val="105"/>
        </w:rPr>
        <w:t> </w:t>
      </w:r>
      <w:r>
        <w:rPr>
          <w:color w:val="231F20"/>
          <w:w w:val="105"/>
        </w:rPr>
        <w:t>pueda</w:t>
      </w:r>
      <w:r>
        <w:rPr>
          <w:color w:val="231F20"/>
          <w:spacing w:val="-13"/>
          <w:w w:val="105"/>
        </w:rPr>
        <w:t> </w:t>
      </w:r>
      <w:r>
        <w:rPr>
          <w:color w:val="231F20"/>
          <w:w w:val="105"/>
        </w:rPr>
        <w:t>ocuparse</w:t>
      </w:r>
      <w:r>
        <w:rPr>
          <w:color w:val="231F20"/>
          <w:spacing w:val="-13"/>
          <w:w w:val="105"/>
        </w:rPr>
        <w:t> </w:t>
      </w:r>
      <w:r>
        <w:rPr>
          <w:color w:val="231F20"/>
          <w:w w:val="105"/>
        </w:rPr>
        <w:t>de</w:t>
      </w:r>
      <w:r>
        <w:rPr>
          <w:color w:val="231F20"/>
          <w:spacing w:val="-13"/>
          <w:w w:val="105"/>
        </w:rPr>
        <w:t> </w:t>
      </w:r>
      <w:r>
        <w:rPr>
          <w:color w:val="231F20"/>
          <w:w w:val="105"/>
        </w:rPr>
        <w:t>menores</w:t>
      </w:r>
      <w:r>
        <w:rPr>
          <w:color w:val="231F20"/>
          <w:spacing w:val="-13"/>
          <w:w w:val="105"/>
        </w:rPr>
        <w:t> </w:t>
      </w:r>
      <w:r>
        <w:rPr>
          <w:color w:val="231F20"/>
          <w:w w:val="105"/>
        </w:rPr>
        <w:t>o</w:t>
      </w:r>
      <w:r>
        <w:rPr>
          <w:color w:val="231F20"/>
          <w:spacing w:val="-13"/>
          <w:w w:val="105"/>
        </w:rPr>
        <w:t> </w:t>
      </w:r>
      <w:r>
        <w:rPr>
          <w:color w:val="231F20"/>
          <w:w w:val="105"/>
        </w:rPr>
        <w:t>al</w:t>
      </w:r>
      <w:r>
        <w:rPr>
          <w:color w:val="231F20"/>
          <w:spacing w:val="-13"/>
          <w:w w:val="105"/>
        </w:rPr>
        <w:t> </w:t>
      </w:r>
      <w:r>
        <w:rPr>
          <w:color w:val="231F20"/>
          <w:w w:val="105"/>
        </w:rPr>
        <w:t>menos</w:t>
      </w:r>
      <w:r>
        <w:rPr>
          <w:color w:val="231F20"/>
          <w:spacing w:val="-13"/>
          <w:w w:val="105"/>
        </w:rPr>
        <w:t> </w:t>
      </w:r>
      <w:r>
        <w:rPr>
          <w:color w:val="231F20"/>
          <w:w w:val="105"/>
        </w:rPr>
        <w:t>un</w:t>
      </w:r>
      <w:r>
        <w:rPr>
          <w:color w:val="231F20"/>
          <w:spacing w:val="-13"/>
          <w:w w:val="105"/>
        </w:rPr>
        <w:t> </w:t>
      </w:r>
      <w:r>
        <w:rPr>
          <w:color w:val="231F20"/>
          <w:w w:val="105"/>
        </w:rPr>
        <w:t>número</w:t>
      </w:r>
      <w:r>
        <w:rPr>
          <w:color w:val="231F20"/>
          <w:spacing w:val="-13"/>
          <w:w w:val="105"/>
        </w:rPr>
        <w:t> </w:t>
      </w:r>
      <w:r>
        <w:rPr>
          <w:color w:val="231F20"/>
          <w:w w:val="105"/>
        </w:rPr>
        <w:t>de</w:t>
      </w:r>
      <w:r>
        <w:rPr>
          <w:color w:val="231F20"/>
          <w:spacing w:val="-13"/>
          <w:w w:val="105"/>
        </w:rPr>
        <w:t> </w:t>
      </w:r>
      <w:r>
        <w:rPr>
          <w:color w:val="231F20"/>
          <w:w w:val="105"/>
          <w:sz w:val="17"/>
        </w:rPr>
        <w:t>OPIS </w:t>
      </w:r>
      <w:r>
        <w:rPr>
          <w:color w:val="231F20"/>
          <w:w w:val="105"/>
        </w:rPr>
        <w:t>suficiente</w:t>
      </w:r>
      <w:r>
        <w:rPr>
          <w:color w:val="231F20"/>
          <w:spacing w:val="-20"/>
          <w:w w:val="105"/>
        </w:rPr>
        <w:t> </w:t>
      </w:r>
      <w:r>
        <w:rPr>
          <w:color w:val="231F20"/>
          <w:w w:val="105"/>
        </w:rPr>
        <w:t>para</w:t>
      </w:r>
      <w:r>
        <w:rPr>
          <w:color w:val="231F20"/>
          <w:spacing w:val="-20"/>
          <w:w w:val="105"/>
        </w:rPr>
        <w:t> </w:t>
      </w:r>
      <w:r>
        <w:rPr>
          <w:color w:val="231F20"/>
          <w:w w:val="105"/>
        </w:rPr>
        <w:t>atender</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menores</w:t>
      </w:r>
      <w:r>
        <w:rPr>
          <w:color w:val="231F20"/>
          <w:spacing w:val="-20"/>
          <w:w w:val="105"/>
        </w:rPr>
        <w:t> </w:t>
      </w:r>
      <w:r>
        <w:rPr>
          <w:color w:val="231F20"/>
          <w:w w:val="105"/>
        </w:rPr>
        <w:t>en</w:t>
      </w:r>
      <w:r>
        <w:rPr>
          <w:color w:val="231F20"/>
          <w:spacing w:val="-20"/>
          <w:w w:val="105"/>
        </w:rPr>
        <w:t> </w:t>
      </w:r>
      <w:r>
        <w:rPr>
          <w:color w:val="231F20"/>
          <w:w w:val="105"/>
        </w:rPr>
        <w:t>tránsito.</w:t>
      </w:r>
    </w:p>
    <w:p>
      <w:pPr>
        <w:pStyle w:val="BodyText"/>
        <w:spacing w:line="261" w:lineRule="auto" w:before="1"/>
        <w:ind w:left="1723" w:right="1829" w:firstLine="567"/>
        <w:jc w:val="both"/>
      </w:pPr>
      <w:r>
        <w:rPr>
          <w:color w:val="231F20"/>
          <w:w w:val="105"/>
        </w:rPr>
        <w:t>Consideramos que en el caso del Estado de México, debido a su situación</w:t>
      </w:r>
      <w:r>
        <w:rPr>
          <w:color w:val="231F20"/>
          <w:spacing w:val="-20"/>
          <w:w w:val="105"/>
        </w:rPr>
        <w:t> </w:t>
      </w:r>
      <w:r>
        <w:rPr>
          <w:color w:val="231F20"/>
          <w:w w:val="105"/>
        </w:rPr>
        <w:t>estratégica</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rutas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migrantes,</w:t>
      </w:r>
      <w:r>
        <w:rPr>
          <w:color w:val="231F20"/>
          <w:spacing w:val="-24"/>
          <w:w w:val="105"/>
        </w:rPr>
        <w:t> </w:t>
      </w:r>
      <w:r>
        <w:rPr>
          <w:color w:val="231F20"/>
          <w:w w:val="105"/>
        </w:rPr>
        <w:t>amerita</w:t>
      </w:r>
      <w:r>
        <w:rPr>
          <w:color w:val="231F20"/>
          <w:spacing w:val="-20"/>
          <w:w w:val="105"/>
        </w:rPr>
        <w:t> </w:t>
      </w:r>
      <w:r>
        <w:rPr>
          <w:color w:val="231F20"/>
          <w:w w:val="105"/>
        </w:rPr>
        <w:t>ser</w:t>
      </w:r>
      <w:r>
        <w:rPr>
          <w:color w:val="231F20"/>
          <w:spacing w:val="-20"/>
          <w:w w:val="105"/>
        </w:rPr>
        <w:t> </w:t>
      </w:r>
      <w:r>
        <w:rPr>
          <w:color w:val="231F20"/>
          <w:w w:val="105"/>
        </w:rPr>
        <w:t>considera la construcción de instalaciones permanentes dedicadas a la atención, al</w:t>
      </w:r>
      <w:r>
        <w:rPr>
          <w:color w:val="231F20"/>
          <w:spacing w:val="-5"/>
          <w:w w:val="105"/>
        </w:rPr>
        <w:t> </w:t>
      </w:r>
      <w:r>
        <w:rPr>
          <w:color w:val="231F20"/>
          <w:w w:val="105"/>
        </w:rPr>
        <w:t>menos,</w:t>
      </w:r>
      <w:r>
        <w:rPr>
          <w:color w:val="231F20"/>
          <w:spacing w:val="-11"/>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sz w:val="17"/>
        </w:rPr>
        <w:t>NNA</w:t>
      </w:r>
      <w:r>
        <w:rPr>
          <w:color w:val="231F20"/>
          <w:spacing w:val="5"/>
          <w:w w:val="105"/>
          <w:sz w:val="17"/>
        </w:rPr>
        <w:t> </w:t>
      </w:r>
      <w:r>
        <w:rPr>
          <w:color w:val="231F20"/>
          <w:w w:val="105"/>
        </w:rPr>
        <w:t>migrantes</w:t>
      </w:r>
      <w:r>
        <w:rPr>
          <w:color w:val="231F20"/>
          <w:spacing w:val="-5"/>
          <w:w w:val="105"/>
        </w:rPr>
        <w:t> </w:t>
      </w:r>
      <w:r>
        <w:rPr>
          <w:color w:val="231F20"/>
          <w:w w:val="105"/>
        </w:rPr>
        <w:t>no</w:t>
      </w:r>
      <w:r>
        <w:rPr>
          <w:color w:val="231F20"/>
          <w:spacing w:val="-5"/>
          <w:w w:val="105"/>
        </w:rPr>
        <w:t> </w:t>
      </w:r>
      <w:r>
        <w:rPr>
          <w:color w:val="231F20"/>
          <w:w w:val="105"/>
        </w:rPr>
        <w:t>acompañados,</w:t>
      </w:r>
      <w:r>
        <w:rPr>
          <w:color w:val="231F20"/>
          <w:spacing w:val="-11"/>
          <w:w w:val="105"/>
        </w:rPr>
        <w:t> </w:t>
      </w:r>
      <w:r>
        <w:rPr>
          <w:color w:val="231F20"/>
          <w:w w:val="105"/>
        </w:rPr>
        <w:t>tanto</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caso</w:t>
      </w:r>
      <w:r>
        <w:rPr>
          <w:color w:val="231F20"/>
          <w:spacing w:val="-5"/>
          <w:w w:val="105"/>
        </w:rPr>
        <w:t> </w:t>
      </w:r>
      <w:r>
        <w:rPr>
          <w:color w:val="231F20"/>
          <w:w w:val="105"/>
        </w:rPr>
        <w:t>de</w:t>
      </w:r>
    </w:p>
    <w:p>
      <w:pPr>
        <w:pStyle w:val="BodyText"/>
        <w:rPr>
          <w:sz w:val="20"/>
        </w:rPr>
      </w:pPr>
    </w:p>
    <w:p>
      <w:pPr>
        <w:pStyle w:val="BodyText"/>
        <w:rPr>
          <w:sz w:val="20"/>
        </w:rPr>
      </w:pPr>
    </w:p>
    <w:p>
      <w:pPr>
        <w:pStyle w:val="BodyText"/>
        <w:spacing w:before="11"/>
        <w:rPr>
          <w:sz w:val="25"/>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2008" from="131.551193pt,3.703715pt" to="131.551193pt,39.506114pt" stroked="true" strokeweight=".35pt" strokecolor="#231f20">
            <w10:wrap type="none"/>
          </v:line>
        </w:pict>
      </w:r>
      <w:r>
        <w:rPr/>
        <w:pict>
          <v:line style="position:absolute;mso-position-horizontal-relative:page;mso-position-vertical-relative:paragraph;z-index:-481936" from="15pt,39.505917pt" to="0pt,39.505917pt" stroked="true" strokeweight=".25pt" strokecolor="#000000">
            <w10:wrap type="none"/>
          </v:line>
        </w:pict>
      </w:r>
      <w:r>
        <w:rPr/>
        <w:pict>
          <v:line style="position:absolute;mso-position-horizontal-relative:page;mso-position-vertical-relative:paragraph;z-index:8272" from="508.890015pt,39.505917pt" to="523.890015pt,39.505917pt" stroked="true" strokeweight=".25pt" strokecolor="#000000">
            <w10:wrap type="none"/>
          </v:line>
        </w:pict>
      </w:r>
      <w:r>
        <w:rPr>
          <w:rFonts w:ascii="Arial" w:hAnsi="Arial"/>
          <w:color w:val="414042"/>
          <w:position w:val="-5"/>
          <w:sz w:val="20"/>
        </w:rPr>
        <w:t>82</w:t>
        <w:tab/>
      </w:r>
      <w:r>
        <w:rPr>
          <w:rFonts w:ascii="Calibri" w:hAnsi="Calibri"/>
          <w:color w:val="6D6E71"/>
          <w:sz w:val="15"/>
        </w:rPr>
        <w:t>María de Lourdes Morales Reynoso y Claudia Arianne Martínez  </w:t>
      </w:r>
      <w:r>
        <w:rPr>
          <w:rFonts w:ascii="Calibri" w:hAnsi="Calibri"/>
          <w:color w:val="6D6E71"/>
          <w:spacing w:val="16"/>
          <w:sz w:val="15"/>
        </w:rPr>
        <w:t> </w:t>
      </w:r>
      <w:r>
        <w:rPr>
          <w:rFonts w:ascii="Calibri" w:hAnsi="Calibri"/>
          <w:color w:val="6D6E71"/>
          <w:sz w:val="15"/>
        </w:rPr>
        <w:t>Zaragoza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line="208" w:lineRule="exact" w:before="187"/>
        <w:ind w:left="2163" w:right="0" w:firstLine="0"/>
        <w:jc w:val="left"/>
        <w:rPr>
          <w:rFonts w:ascii="Arial" w:hAnsi="Arial"/>
          <w:sz w:val="20"/>
        </w:rPr>
      </w:pPr>
      <w:r>
        <w:rPr/>
        <w:pict>
          <v:line style="position:absolute;mso-position-horizontal-relative:page;mso-position-vertical-relative:paragraph;z-index:-481888" from="405.061005pt,-18.554295pt" to="405.061005pt,16.311579pt" stroked="true" strokeweight=".35pt" strokecolor="#231f20">
            <w10:wrap type="none"/>
          </v:line>
        </w:pict>
      </w:r>
      <w:r>
        <w:rPr/>
        <w:pict>
          <v:line style="position:absolute;mso-position-horizontal-relative:page;mso-position-vertical-relative:paragraph;z-index:8320" from="15pt,-18.554522pt" to="0pt,-18.554522pt" stroked="true" strokeweight=".25pt" strokecolor="#000000">
            <w10:wrap type="none"/>
          </v:line>
        </w:pict>
      </w:r>
      <w:r>
        <w:rPr/>
        <w:pict>
          <v:line style="position:absolute;mso-position-horizontal-relative:page;mso-position-vertical-relative:paragraph;z-index:8344" from="508.890015pt,-18.554522pt" to="523.890015pt,-18.554522pt" stroked="true" strokeweight=".25pt" strokecolor="#000000">
            <w10:wrap type="none"/>
          </v:line>
        </w:pict>
      </w:r>
      <w:r>
        <w:rPr>
          <w:rFonts w:ascii="Lucida Sans Unicode" w:hAnsi="Lucida Sans Unicode"/>
          <w:color w:val="6D6E71"/>
          <w:w w:val="105"/>
          <w:sz w:val="14"/>
        </w:rPr>
        <w:t>Los</w:t>
      </w:r>
      <w:r>
        <w:rPr>
          <w:rFonts w:ascii="Lucida Sans Unicode" w:hAnsi="Lucida Sans Unicode"/>
          <w:color w:val="6D6E71"/>
          <w:spacing w:val="-14"/>
          <w:w w:val="105"/>
          <w:sz w:val="14"/>
        </w:rPr>
        <w:t> </w:t>
      </w:r>
      <w:r>
        <w:rPr>
          <w:rFonts w:ascii="Lucida Sans Unicode" w:hAnsi="Lucida Sans Unicode"/>
          <w:color w:val="6D6E71"/>
          <w:w w:val="105"/>
          <w:sz w:val="14"/>
        </w:rPr>
        <w:t>pequeños</w:t>
      </w:r>
      <w:r>
        <w:rPr>
          <w:rFonts w:ascii="Lucida Sans Unicode" w:hAnsi="Lucida Sans Unicode"/>
          <w:color w:val="6D6E71"/>
          <w:spacing w:val="-14"/>
          <w:w w:val="105"/>
          <w:sz w:val="14"/>
        </w:rPr>
        <w:t> </w:t>
      </w:r>
      <w:r>
        <w:rPr>
          <w:rFonts w:ascii="Lucida Sans Unicode" w:hAnsi="Lucida Sans Unicode"/>
          <w:color w:val="6D6E71"/>
          <w:w w:val="105"/>
          <w:sz w:val="14"/>
        </w:rPr>
        <w:t>“soñadores”</w:t>
      </w:r>
      <w:r>
        <w:rPr>
          <w:rFonts w:ascii="Lucida Sans Unicode" w:hAnsi="Lucida Sans Unicode"/>
          <w:color w:val="6D6E71"/>
          <w:spacing w:val="-14"/>
          <w:w w:val="105"/>
          <w:sz w:val="14"/>
        </w:rPr>
        <w:t> </w:t>
      </w:r>
      <w:r>
        <w:rPr>
          <w:rFonts w:ascii="Lucida Sans Unicode" w:hAnsi="Lucida Sans Unicode"/>
          <w:color w:val="6D6E71"/>
          <w:w w:val="105"/>
          <w:sz w:val="14"/>
        </w:rPr>
        <w:t>no</w:t>
      </w:r>
      <w:r>
        <w:rPr>
          <w:rFonts w:ascii="Lucida Sans Unicode" w:hAnsi="Lucida Sans Unicode"/>
          <w:color w:val="6D6E71"/>
          <w:spacing w:val="-14"/>
          <w:w w:val="105"/>
          <w:sz w:val="14"/>
        </w:rPr>
        <w:t> </w:t>
      </w:r>
      <w:r>
        <w:rPr>
          <w:rFonts w:ascii="Lucida Sans Unicode" w:hAnsi="Lucida Sans Unicode"/>
          <w:color w:val="6D6E71"/>
          <w:w w:val="105"/>
          <w:sz w:val="14"/>
        </w:rPr>
        <w:t>acompañados</w:t>
      </w:r>
      <w:r>
        <w:rPr>
          <w:rFonts w:ascii="Lucida Sans Unicode" w:hAnsi="Lucida Sans Unicode"/>
          <w:color w:val="6D6E71"/>
          <w:spacing w:val="-14"/>
          <w:w w:val="105"/>
          <w:sz w:val="14"/>
        </w:rPr>
        <w:t> </w:t>
      </w:r>
      <w:r>
        <w:rPr>
          <w:rFonts w:ascii="Lucida Sans Unicode" w:hAnsi="Lucida Sans Unicode"/>
          <w:color w:val="6D6E71"/>
          <w:w w:val="105"/>
          <w:sz w:val="14"/>
        </w:rPr>
        <w:t>en</w:t>
      </w:r>
      <w:r>
        <w:rPr>
          <w:rFonts w:ascii="Lucida Sans Unicode" w:hAnsi="Lucida Sans Unicode"/>
          <w:color w:val="6D6E71"/>
          <w:spacing w:val="-14"/>
          <w:w w:val="105"/>
          <w:sz w:val="14"/>
        </w:rPr>
        <w:t> </w:t>
      </w:r>
      <w:r>
        <w:rPr>
          <w:rFonts w:ascii="Lucida Sans Unicode" w:hAnsi="Lucida Sans Unicode"/>
          <w:color w:val="6D6E71"/>
          <w:w w:val="105"/>
          <w:sz w:val="14"/>
        </w:rPr>
        <w:t>su</w:t>
      </w:r>
      <w:r>
        <w:rPr>
          <w:rFonts w:ascii="Lucida Sans Unicode" w:hAnsi="Lucida Sans Unicode"/>
          <w:color w:val="6D6E71"/>
          <w:spacing w:val="-14"/>
          <w:w w:val="105"/>
          <w:sz w:val="14"/>
        </w:rPr>
        <w:t> </w:t>
      </w:r>
      <w:r>
        <w:rPr>
          <w:rFonts w:ascii="Lucida Sans Unicode" w:hAnsi="Lucida Sans Unicode"/>
          <w:color w:val="6D6E71"/>
          <w:w w:val="105"/>
          <w:sz w:val="14"/>
        </w:rPr>
        <w:t>tránsito</w:t>
      </w:r>
      <w:r>
        <w:rPr>
          <w:rFonts w:ascii="Lucida Sans Unicode" w:hAnsi="Lucida Sans Unicode"/>
          <w:color w:val="6D6E71"/>
          <w:spacing w:val="-14"/>
          <w:w w:val="105"/>
          <w:sz w:val="14"/>
        </w:rPr>
        <w:t> </w:t>
      </w:r>
      <w:r>
        <w:rPr>
          <w:rFonts w:ascii="Lucida Sans Unicode" w:hAnsi="Lucida Sans Unicode"/>
          <w:color w:val="6D6E71"/>
          <w:w w:val="105"/>
          <w:sz w:val="14"/>
        </w:rPr>
        <w:t>por</w:t>
      </w:r>
      <w:r>
        <w:rPr>
          <w:rFonts w:ascii="Lucida Sans Unicode" w:hAnsi="Lucida Sans Unicode"/>
          <w:color w:val="6D6E71"/>
          <w:spacing w:val="-14"/>
          <w:w w:val="105"/>
          <w:sz w:val="14"/>
        </w:rPr>
        <w:t> </w:t>
      </w:r>
      <w:r>
        <w:rPr>
          <w:rFonts w:ascii="Lucida Sans Unicode" w:hAnsi="Lucida Sans Unicode"/>
          <w:color w:val="6D6E71"/>
          <w:w w:val="105"/>
          <w:sz w:val="14"/>
        </w:rPr>
        <w:t>eL</w:t>
      </w:r>
      <w:r>
        <w:rPr>
          <w:rFonts w:ascii="Lucida Sans Unicode" w:hAnsi="Lucida Sans Unicode"/>
          <w:color w:val="6D6E71"/>
          <w:spacing w:val="-14"/>
          <w:w w:val="105"/>
          <w:sz w:val="14"/>
        </w:rPr>
        <w:t> </w:t>
      </w:r>
      <w:r>
        <w:rPr>
          <w:rFonts w:ascii="Lucida Sans Unicode" w:hAnsi="Lucida Sans Unicode"/>
          <w:color w:val="6D6E71"/>
          <w:w w:val="105"/>
          <w:sz w:val="14"/>
        </w:rPr>
        <w:t>estado</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méxico.</w:t>
      </w:r>
      <w:r>
        <w:rPr>
          <w:rFonts w:ascii="Arial" w:hAnsi="Arial"/>
          <w:color w:val="414042"/>
          <w:w w:val="105"/>
          <w:position w:val="-3"/>
          <w:sz w:val="20"/>
        </w:rPr>
        <w:tab/>
        <w:t>83</w:t>
      </w:r>
    </w:p>
    <w:p>
      <w:pPr>
        <w:spacing w:line="187" w:lineRule="exact" w:before="0"/>
        <w:ind w:left="4069" w:right="0" w:firstLine="0"/>
        <w:jc w:val="left"/>
        <w:rPr>
          <w:rFonts w:ascii="Lucida Sans Unicode" w:hAnsi="Lucida Sans Unicode"/>
          <w:sz w:val="14"/>
        </w:rPr>
      </w:pPr>
      <w:r>
        <w:rPr>
          <w:rFonts w:ascii="Lucida Sans Unicode" w:hAnsi="Lucida Sans Unicode"/>
          <w:color w:val="6D6E71"/>
          <w:w w:val="105"/>
          <w:sz w:val="14"/>
        </w:rPr>
        <w:t>una revisión a partir deL interés superior de La infancia</w:t>
      </w:r>
    </w:p>
    <w:p>
      <w:pPr>
        <w:pStyle w:val="BodyText"/>
        <w:rPr>
          <w:rFonts w:ascii="Lucida Sans Unicode"/>
          <w:sz w:val="20"/>
        </w:rPr>
      </w:pPr>
    </w:p>
    <w:p>
      <w:pPr>
        <w:pStyle w:val="BodyText"/>
        <w:spacing w:line="261" w:lineRule="auto" w:before="173"/>
        <w:ind w:left="1837" w:right="1683"/>
      </w:pPr>
      <w:r>
        <w:rPr>
          <w:color w:val="231F20"/>
        </w:rPr>
        <w:t>migrantes nacionales como extranjeros, aunque en el último caso las ac- ciones a tomar corresponden al  </w:t>
      </w:r>
      <w:r>
        <w:rPr>
          <w:color w:val="231F20"/>
          <w:sz w:val="17"/>
        </w:rPr>
        <w:t>INM</w:t>
      </w:r>
      <w:r>
        <w:rPr>
          <w:color w:val="231F20"/>
        </w:rPr>
        <w:t>.</w:t>
      </w:r>
    </w:p>
    <w:p>
      <w:pPr>
        <w:pStyle w:val="BodyText"/>
        <w:rPr>
          <w:sz w:val="20"/>
        </w:rPr>
      </w:pPr>
    </w:p>
    <w:p>
      <w:pPr>
        <w:pStyle w:val="BodyText"/>
        <w:spacing w:before="9"/>
        <w:rPr>
          <w:sz w:val="20"/>
        </w:rPr>
      </w:pPr>
    </w:p>
    <w:p>
      <w:pPr>
        <w:pStyle w:val="Heading3"/>
        <w:ind w:right="6753"/>
        <w:jc w:val="left"/>
      </w:pPr>
      <w:r>
        <w:rPr>
          <w:color w:val="231F20"/>
        </w:rPr>
        <w:t>Bibliografía</w:t>
      </w:r>
    </w:p>
    <w:p>
      <w:pPr>
        <w:pStyle w:val="BodyText"/>
        <w:rPr>
          <w:rFonts w:ascii="Arial"/>
          <w:b/>
          <w:sz w:val="22"/>
        </w:rPr>
      </w:pPr>
    </w:p>
    <w:p>
      <w:pPr>
        <w:spacing w:line="261" w:lineRule="auto" w:before="160"/>
        <w:ind w:left="2574" w:right="1721" w:hanging="737"/>
        <w:jc w:val="both"/>
        <w:rPr>
          <w:sz w:val="21"/>
        </w:rPr>
      </w:pPr>
      <w:r>
        <w:rPr>
          <w:color w:val="231F20"/>
          <w:spacing w:val="-3"/>
          <w:w w:val="105"/>
          <w:sz w:val="21"/>
        </w:rPr>
        <w:t>Amnistía</w:t>
      </w:r>
      <w:r>
        <w:rPr>
          <w:color w:val="231F20"/>
          <w:spacing w:val="-17"/>
          <w:w w:val="105"/>
          <w:sz w:val="21"/>
        </w:rPr>
        <w:t> </w:t>
      </w:r>
      <w:r>
        <w:rPr>
          <w:color w:val="231F20"/>
          <w:spacing w:val="-3"/>
          <w:w w:val="105"/>
          <w:sz w:val="21"/>
        </w:rPr>
        <w:t>Internacional</w:t>
      </w:r>
      <w:r>
        <w:rPr>
          <w:color w:val="231F20"/>
          <w:spacing w:val="-17"/>
          <w:w w:val="105"/>
          <w:sz w:val="21"/>
        </w:rPr>
        <w:t> </w:t>
      </w:r>
      <w:r>
        <w:rPr>
          <w:color w:val="231F20"/>
          <w:w w:val="105"/>
          <w:sz w:val="21"/>
        </w:rPr>
        <w:t>(</w:t>
      </w:r>
      <w:r>
        <w:rPr>
          <w:color w:val="231F20"/>
          <w:w w:val="105"/>
          <w:sz w:val="17"/>
        </w:rPr>
        <w:t>AI</w:t>
      </w:r>
      <w:r>
        <w:rPr>
          <w:color w:val="231F20"/>
          <w:w w:val="105"/>
          <w:sz w:val="21"/>
        </w:rPr>
        <w:t>),</w:t>
      </w:r>
      <w:r>
        <w:rPr>
          <w:color w:val="231F20"/>
          <w:spacing w:val="-21"/>
          <w:w w:val="105"/>
          <w:sz w:val="21"/>
        </w:rPr>
        <w:t> </w:t>
      </w:r>
      <w:r>
        <w:rPr>
          <w:color w:val="231F20"/>
          <w:spacing w:val="-3"/>
          <w:w w:val="105"/>
          <w:sz w:val="21"/>
        </w:rPr>
        <w:t>(2010),</w:t>
      </w:r>
      <w:r>
        <w:rPr>
          <w:color w:val="231F20"/>
          <w:spacing w:val="-21"/>
          <w:w w:val="105"/>
          <w:sz w:val="21"/>
        </w:rPr>
        <w:t> </w:t>
      </w:r>
      <w:r>
        <w:rPr>
          <w:rFonts w:ascii="Arial" w:hAnsi="Arial"/>
          <w:i/>
          <w:color w:val="231F20"/>
          <w:spacing w:val="-3"/>
          <w:w w:val="105"/>
          <w:sz w:val="21"/>
        </w:rPr>
        <w:t>Víctimas</w:t>
      </w:r>
      <w:r>
        <w:rPr>
          <w:rFonts w:ascii="Arial" w:hAnsi="Arial"/>
          <w:i/>
          <w:color w:val="231F20"/>
          <w:spacing w:val="-20"/>
          <w:w w:val="105"/>
          <w:sz w:val="21"/>
        </w:rPr>
        <w:t> </w:t>
      </w:r>
      <w:r>
        <w:rPr>
          <w:rFonts w:ascii="Arial" w:hAnsi="Arial"/>
          <w:i/>
          <w:color w:val="231F20"/>
          <w:spacing w:val="-3"/>
          <w:w w:val="105"/>
          <w:sz w:val="21"/>
        </w:rPr>
        <w:t>invisibles.</w:t>
      </w:r>
      <w:r>
        <w:rPr>
          <w:rFonts w:ascii="Arial" w:hAnsi="Arial"/>
          <w:i/>
          <w:color w:val="231F20"/>
          <w:spacing w:val="-24"/>
          <w:w w:val="105"/>
          <w:sz w:val="21"/>
        </w:rPr>
        <w:t> </w:t>
      </w:r>
      <w:r>
        <w:rPr>
          <w:rFonts w:ascii="Arial" w:hAnsi="Arial"/>
          <w:i/>
          <w:color w:val="231F20"/>
          <w:spacing w:val="-3"/>
          <w:w w:val="105"/>
          <w:sz w:val="21"/>
        </w:rPr>
        <w:t>Migrantes</w:t>
      </w:r>
      <w:r>
        <w:rPr>
          <w:rFonts w:ascii="Arial" w:hAnsi="Arial"/>
          <w:i/>
          <w:color w:val="231F20"/>
          <w:spacing w:val="-20"/>
          <w:w w:val="105"/>
          <w:sz w:val="21"/>
        </w:rPr>
        <w:t> </w:t>
      </w:r>
      <w:r>
        <w:rPr>
          <w:rFonts w:ascii="Arial" w:hAnsi="Arial"/>
          <w:i/>
          <w:color w:val="231F20"/>
          <w:w w:val="105"/>
          <w:sz w:val="21"/>
        </w:rPr>
        <w:t>en</w:t>
      </w:r>
      <w:r>
        <w:rPr>
          <w:rFonts w:ascii="Arial" w:hAnsi="Arial"/>
          <w:i/>
          <w:color w:val="231F20"/>
          <w:spacing w:val="-20"/>
          <w:w w:val="105"/>
          <w:sz w:val="21"/>
        </w:rPr>
        <w:t> </w:t>
      </w:r>
      <w:r>
        <w:rPr>
          <w:rFonts w:ascii="Arial" w:hAnsi="Arial"/>
          <w:i/>
          <w:color w:val="231F20"/>
          <w:spacing w:val="-3"/>
          <w:w w:val="105"/>
          <w:sz w:val="21"/>
        </w:rPr>
        <w:t>movi- </w:t>
      </w:r>
      <w:r>
        <w:rPr>
          <w:rFonts w:ascii="Arial" w:hAnsi="Arial"/>
          <w:i/>
          <w:color w:val="231F20"/>
          <w:spacing w:val="-3"/>
          <w:w w:val="105"/>
          <w:sz w:val="21"/>
        </w:rPr>
        <w:t>miento </w:t>
      </w:r>
      <w:r>
        <w:rPr>
          <w:rFonts w:ascii="Arial" w:hAnsi="Arial"/>
          <w:i/>
          <w:color w:val="231F20"/>
          <w:w w:val="105"/>
          <w:sz w:val="21"/>
        </w:rPr>
        <w:t>en </w:t>
      </w:r>
      <w:r>
        <w:rPr>
          <w:rFonts w:ascii="Arial" w:hAnsi="Arial"/>
          <w:i/>
          <w:color w:val="231F20"/>
          <w:spacing w:val="-3"/>
          <w:w w:val="105"/>
          <w:sz w:val="21"/>
        </w:rPr>
        <w:t>México, </w:t>
      </w:r>
      <w:r>
        <w:rPr>
          <w:color w:val="231F20"/>
          <w:spacing w:val="-4"/>
          <w:w w:val="105"/>
          <w:sz w:val="21"/>
        </w:rPr>
        <w:t>recuperado </w:t>
      </w:r>
      <w:r>
        <w:rPr>
          <w:color w:val="231F20"/>
          <w:w w:val="105"/>
          <w:sz w:val="21"/>
        </w:rPr>
        <w:t>de </w:t>
      </w:r>
      <w:hyperlink r:id="rId66">
        <w:r>
          <w:rPr>
            <w:color w:val="231F20"/>
            <w:spacing w:val="-4"/>
            <w:w w:val="105"/>
            <w:sz w:val="21"/>
          </w:rPr>
          <w:t>http://observatoriocolef.org/_</w:t>
        </w:r>
      </w:hyperlink>
      <w:r>
        <w:rPr>
          <w:color w:val="231F20"/>
          <w:spacing w:val="-4"/>
          <w:w w:val="105"/>
          <w:sz w:val="21"/>
        </w:rPr>
        <w:t> </w:t>
      </w:r>
      <w:r>
        <w:rPr>
          <w:color w:val="231F20"/>
          <w:w w:val="105"/>
          <w:sz w:val="21"/>
        </w:rPr>
        <w:t>admin/documentos/Victimas%20en%20movimiento%20amnis- </w:t>
      </w:r>
      <w:r>
        <w:rPr>
          <w:color w:val="231F20"/>
          <w:spacing w:val="-3"/>
          <w:w w:val="105"/>
          <w:sz w:val="21"/>
        </w:rPr>
        <w:t>tia%20internacional.pdf</w:t>
      </w:r>
    </w:p>
    <w:p>
      <w:pPr>
        <w:spacing w:line="259" w:lineRule="auto" w:before="0"/>
        <w:ind w:left="2574" w:right="1721" w:hanging="738"/>
        <w:jc w:val="both"/>
        <w:rPr>
          <w:sz w:val="21"/>
        </w:rPr>
      </w:pPr>
      <w:r>
        <w:rPr>
          <w:color w:val="231F20"/>
          <w:sz w:val="21"/>
        </w:rPr>
        <w:t>Centro de Derechos Humanos-</w:t>
      </w:r>
      <w:r>
        <w:rPr>
          <w:color w:val="231F20"/>
          <w:sz w:val="17"/>
        </w:rPr>
        <w:t>PRODH</w:t>
      </w:r>
      <w:r>
        <w:rPr>
          <w:color w:val="231F20"/>
          <w:sz w:val="21"/>
        </w:rPr>
        <w:t>, (2011), </w:t>
      </w:r>
      <w:r>
        <w:rPr>
          <w:rFonts w:ascii="Arial" w:hAnsi="Arial"/>
          <w:i/>
          <w:color w:val="231F20"/>
          <w:sz w:val="21"/>
        </w:rPr>
        <w:t>Cuaderno sobre secuestro </w:t>
      </w:r>
      <w:r>
        <w:rPr>
          <w:rFonts w:ascii="Arial" w:hAnsi="Arial"/>
          <w:i/>
          <w:color w:val="231F20"/>
          <w:sz w:val="21"/>
        </w:rPr>
        <w:t>de migrantes. Dimensión, contexto y testimonios de la experien- cia de la migración en tránsito por México</w:t>
      </w:r>
      <w:r>
        <w:rPr>
          <w:color w:val="231F20"/>
          <w:sz w:val="21"/>
        </w:rPr>
        <w:t>, Saltillo, México: Miguel Agustín Pro Juárez A.C./Casa del  migrante.</w:t>
      </w:r>
    </w:p>
    <w:p>
      <w:pPr>
        <w:spacing w:line="261" w:lineRule="auto" w:before="0"/>
        <w:ind w:left="2574" w:right="1721" w:hanging="738"/>
        <w:jc w:val="both"/>
        <w:rPr>
          <w:sz w:val="21"/>
        </w:rPr>
      </w:pPr>
      <w:r>
        <w:rPr>
          <w:color w:val="231F20"/>
          <w:w w:val="105"/>
          <w:sz w:val="21"/>
        </w:rPr>
        <w:t>Comisión Interamericana de Derechos Humanos (</w:t>
      </w:r>
      <w:r>
        <w:rPr>
          <w:color w:val="231F20"/>
          <w:w w:val="105"/>
          <w:sz w:val="17"/>
        </w:rPr>
        <w:t>CIDH</w:t>
      </w:r>
      <w:r>
        <w:rPr>
          <w:color w:val="231F20"/>
          <w:w w:val="105"/>
          <w:sz w:val="21"/>
        </w:rPr>
        <w:t>), (2003), </w:t>
      </w:r>
      <w:r>
        <w:rPr>
          <w:rFonts w:ascii="Arial" w:hAnsi="Arial"/>
          <w:i/>
          <w:color w:val="231F20"/>
          <w:w w:val="105"/>
          <w:sz w:val="21"/>
        </w:rPr>
        <w:t>Con- </w:t>
      </w:r>
      <w:r>
        <w:rPr>
          <w:rFonts w:ascii="Arial" w:hAnsi="Arial"/>
          <w:i/>
          <w:color w:val="231F20"/>
          <w:w w:val="105"/>
          <w:sz w:val="21"/>
        </w:rPr>
        <w:t>dición jurídica y Derechos de los Migrantes Indocumentados, </w:t>
      </w:r>
      <w:r>
        <w:rPr>
          <w:color w:val="231F20"/>
          <w:w w:val="105"/>
          <w:sz w:val="21"/>
        </w:rPr>
        <w:t>Opinión Consultiva OC-18/03 solicitada por los Estados Unidos Mexicanos, recuperado de </w:t>
      </w:r>
      <w:hyperlink r:id="rId67">
        <w:r>
          <w:rPr>
            <w:color w:val="231F20"/>
            <w:w w:val="105"/>
            <w:sz w:val="21"/>
          </w:rPr>
          <w:t>http://www.corteidh.or.cr/docs/opi-</w:t>
        </w:r>
      </w:hyperlink>
      <w:r>
        <w:rPr>
          <w:color w:val="231F20"/>
          <w:w w:val="105"/>
          <w:sz w:val="21"/>
        </w:rPr>
        <w:t> niones/seriea_18_esp.pdf</w:t>
      </w:r>
    </w:p>
    <w:p>
      <w:pPr>
        <w:spacing w:line="261" w:lineRule="auto" w:before="1"/>
        <w:ind w:left="2574" w:right="1715" w:hanging="738"/>
        <w:jc w:val="both"/>
        <w:rPr>
          <w:sz w:val="21"/>
        </w:rPr>
      </w:pPr>
      <w:r>
        <w:rPr>
          <w:color w:val="231F20"/>
          <w:w w:val="105"/>
          <w:sz w:val="21"/>
        </w:rPr>
        <w:t>Comisión de los Derechos Humanos del Estado de México (</w:t>
      </w:r>
      <w:r>
        <w:rPr>
          <w:color w:val="231F20"/>
          <w:w w:val="105"/>
          <w:sz w:val="17"/>
        </w:rPr>
        <w:t>CODHEM</w:t>
      </w:r>
      <w:r>
        <w:rPr>
          <w:color w:val="231F20"/>
          <w:w w:val="105"/>
          <w:sz w:val="21"/>
        </w:rPr>
        <w:t>), (2010),</w:t>
      </w:r>
      <w:r>
        <w:rPr>
          <w:color w:val="231F20"/>
          <w:spacing w:val="-26"/>
          <w:w w:val="105"/>
          <w:sz w:val="21"/>
        </w:rPr>
        <w:t> </w:t>
      </w:r>
      <w:r>
        <w:rPr>
          <w:rFonts w:ascii="Arial" w:hAnsi="Arial"/>
          <w:i/>
          <w:color w:val="231F20"/>
          <w:w w:val="105"/>
          <w:sz w:val="21"/>
        </w:rPr>
        <w:t>10</w:t>
      </w:r>
      <w:r>
        <w:rPr>
          <w:rFonts w:ascii="Arial" w:hAnsi="Arial"/>
          <w:i/>
          <w:color w:val="231F20"/>
          <w:spacing w:val="-25"/>
          <w:w w:val="105"/>
          <w:sz w:val="21"/>
        </w:rPr>
        <w:t> </w:t>
      </w:r>
      <w:r>
        <w:rPr>
          <w:rFonts w:ascii="Arial" w:hAnsi="Arial"/>
          <w:i/>
          <w:color w:val="231F20"/>
          <w:w w:val="105"/>
          <w:sz w:val="21"/>
        </w:rPr>
        <w:t>Cuestiones</w:t>
      </w:r>
      <w:r>
        <w:rPr>
          <w:rFonts w:ascii="Arial" w:hAnsi="Arial"/>
          <w:i/>
          <w:color w:val="231F20"/>
          <w:spacing w:val="-25"/>
          <w:w w:val="105"/>
          <w:sz w:val="21"/>
        </w:rPr>
        <w:t> </w:t>
      </w:r>
      <w:r>
        <w:rPr>
          <w:rFonts w:ascii="Arial" w:hAnsi="Arial"/>
          <w:i/>
          <w:color w:val="231F20"/>
          <w:w w:val="105"/>
          <w:sz w:val="21"/>
        </w:rPr>
        <w:t>básicas</w:t>
      </w:r>
      <w:r>
        <w:rPr>
          <w:rFonts w:ascii="Arial" w:hAnsi="Arial"/>
          <w:i/>
          <w:color w:val="231F20"/>
          <w:spacing w:val="-25"/>
          <w:w w:val="105"/>
          <w:sz w:val="21"/>
        </w:rPr>
        <w:t> </w:t>
      </w:r>
      <w:r>
        <w:rPr>
          <w:rFonts w:ascii="Arial" w:hAnsi="Arial"/>
          <w:i/>
          <w:color w:val="231F20"/>
          <w:w w:val="105"/>
          <w:sz w:val="21"/>
        </w:rPr>
        <w:t>de</w:t>
      </w:r>
      <w:r>
        <w:rPr>
          <w:rFonts w:ascii="Arial" w:hAnsi="Arial"/>
          <w:i/>
          <w:color w:val="231F20"/>
          <w:spacing w:val="-25"/>
          <w:w w:val="105"/>
          <w:sz w:val="21"/>
        </w:rPr>
        <w:t> </w:t>
      </w:r>
      <w:r>
        <w:rPr>
          <w:rFonts w:ascii="Arial" w:hAnsi="Arial"/>
          <w:i/>
          <w:color w:val="231F20"/>
          <w:w w:val="105"/>
          <w:sz w:val="21"/>
        </w:rPr>
        <w:t>Derechos</w:t>
      </w:r>
      <w:r>
        <w:rPr>
          <w:rFonts w:ascii="Arial" w:hAnsi="Arial"/>
          <w:i/>
          <w:color w:val="231F20"/>
          <w:spacing w:val="-25"/>
          <w:w w:val="105"/>
          <w:sz w:val="21"/>
        </w:rPr>
        <w:t> </w:t>
      </w:r>
      <w:r>
        <w:rPr>
          <w:rFonts w:ascii="Arial" w:hAnsi="Arial"/>
          <w:i/>
          <w:color w:val="231F20"/>
          <w:w w:val="105"/>
          <w:sz w:val="21"/>
        </w:rPr>
        <w:t>Humanos</w:t>
      </w:r>
      <w:r>
        <w:rPr>
          <w:color w:val="231F20"/>
          <w:w w:val="105"/>
          <w:sz w:val="21"/>
        </w:rPr>
        <w:t>,</w:t>
      </w:r>
      <w:r>
        <w:rPr>
          <w:color w:val="231F20"/>
          <w:spacing w:val="-26"/>
          <w:w w:val="105"/>
          <w:sz w:val="21"/>
        </w:rPr>
        <w:t> </w:t>
      </w:r>
      <w:r>
        <w:rPr>
          <w:color w:val="231F20"/>
          <w:w w:val="105"/>
          <w:sz w:val="21"/>
        </w:rPr>
        <w:t>recupera- do de </w:t>
      </w:r>
      <w:hyperlink r:id="rId68">
        <w:r>
          <w:rPr>
            <w:color w:val="231F20"/>
            <w:w w:val="105"/>
            <w:sz w:val="21"/>
          </w:rPr>
          <w:t>http://www.codhem.org.mx/LocalUser/codhem.org/difus/</w:t>
        </w:r>
      </w:hyperlink>
      <w:r>
        <w:rPr>
          <w:color w:val="231F20"/>
          <w:w w:val="105"/>
          <w:sz w:val="21"/>
        </w:rPr>
        <w:t> 10cuestiones.pdf</w:t>
      </w:r>
    </w:p>
    <w:p>
      <w:pPr>
        <w:pStyle w:val="BodyText"/>
        <w:spacing w:line="261" w:lineRule="auto" w:before="1"/>
        <w:ind w:left="2574" w:right="1721" w:hanging="738"/>
        <w:jc w:val="both"/>
      </w:pPr>
      <w:r>
        <w:rPr>
          <w:color w:val="231F20"/>
          <w:w w:val="105"/>
        </w:rPr>
        <w:t>Congreso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Unión,</w:t>
      </w:r>
      <w:r>
        <w:rPr>
          <w:color w:val="231F20"/>
          <w:spacing w:val="-24"/>
          <w:w w:val="105"/>
        </w:rPr>
        <w:t> </w:t>
      </w:r>
      <w:r>
        <w:rPr>
          <w:color w:val="231F20"/>
          <w:w w:val="105"/>
        </w:rPr>
        <w:t>(2014),</w:t>
      </w:r>
      <w:r>
        <w:rPr>
          <w:color w:val="231F20"/>
          <w:spacing w:val="-24"/>
          <w:w w:val="105"/>
        </w:rPr>
        <w:t> </w:t>
      </w:r>
      <w:r>
        <w:rPr>
          <w:color w:val="231F20"/>
          <w:w w:val="105"/>
        </w:rPr>
        <w:t>“Ley</w:t>
      </w:r>
      <w:r>
        <w:rPr>
          <w:color w:val="231F20"/>
          <w:spacing w:val="-19"/>
          <w:w w:val="105"/>
        </w:rPr>
        <w:t> </w:t>
      </w:r>
      <w:r>
        <w:rPr>
          <w:color w:val="231F20"/>
          <w:w w:val="105"/>
        </w:rPr>
        <w:t>General</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derechos</w:t>
      </w:r>
      <w:r>
        <w:rPr>
          <w:color w:val="231F20"/>
          <w:spacing w:val="-19"/>
          <w:w w:val="105"/>
        </w:rPr>
        <w:t> </w:t>
      </w:r>
      <w:r>
        <w:rPr>
          <w:color w:val="231F20"/>
          <w:w w:val="105"/>
        </w:rPr>
        <w:t>de</w:t>
      </w:r>
      <w:r>
        <w:rPr>
          <w:color w:val="231F20"/>
          <w:spacing w:val="-19"/>
          <w:w w:val="105"/>
        </w:rPr>
        <w:t> </w:t>
      </w:r>
      <w:r>
        <w:rPr>
          <w:color w:val="231F20"/>
          <w:w w:val="105"/>
        </w:rPr>
        <w:t>niños,</w:t>
      </w:r>
      <w:r>
        <w:rPr>
          <w:color w:val="231F20"/>
          <w:spacing w:val="-24"/>
          <w:w w:val="105"/>
        </w:rPr>
        <w:t> </w:t>
      </w:r>
      <w:r>
        <w:rPr>
          <w:color w:val="231F20"/>
          <w:w w:val="105"/>
        </w:rPr>
        <w:t>ni- ñas</w:t>
      </w:r>
      <w:r>
        <w:rPr>
          <w:color w:val="231F20"/>
          <w:spacing w:val="-42"/>
          <w:w w:val="105"/>
        </w:rPr>
        <w:t> </w:t>
      </w:r>
      <w:r>
        <w:rPr>
          <w:color w:val="231F20"/>
          <w:w w:val="105"/>
        </w:rPr>
        <w:t>y</w:t>
      </w:r>
      <w:r>
        <w:rPr>
          <w:color w:val="231F20"/>
          <w:spacing w:val="-42"/>
          <w:w w:val="105"/>
        </w:rPr>
        <w:t> </w:t>
      </w:r>
      <w:r>
        <w:rPr>
          <w:color w:val="231F20"/>
          <w:w w:val="105"/>
        </w:rPr>
        <w:t>adolescentes”,</w:t>
      </w:r>
      <w:r>
        <w:rPr>
          <w:color w:val="231F20"/>
          <w:spacing w:val="-45"/>
          <w:w w:val="105"/>
        </w:rPr>
        <w:t> </w:t>
      </w:r>
      <w:r>
        <w:rPr>
          <w:rFonts w:ascii="Arial" w:hAnsi="Arial"/>
          <w:i/>
          <w:color w:val="231F20"/>
          <w:w w:val="105"/>
        </w:rPr>
        <w:t>Diario</w:t>
      </w:r>
      <w:r>
        <w:rPr>
          <w:rFonts w:ascii="Arial" w:hAnsi="Arial"/>
          <w:i/>
          <w:color w:val="231F20"/>
          <w:spacing w:val="-45"/>
          <w:w w:val="105"/>
        </w:rPr>
        <w:t> </w:t>
      </w:r>
      <w:r>
        <w:rPr>
          <w:rFonts w:ascii="Arial" w:hAnsi="Arial"/>
          <w:i/>
          <w:color w:val="231F20"/>
          <w:w w:val="105"/>
        </w:rPr>
        <w:t>Oficial</w:t>
      </w:r>
      <w:r>
        <w:rPr>
          <w:rFonts w:ascii="Arial" w:hAnsi="Arial"/>
          <w:i/>
          <w:color w:val="231F20"/>
          <w:spacing w:val="-45"/>
          <w:w w:val="105"/>
        </w:rPr>
        <w:t> </w:t>
      </w:r>
      <w:r>
        <w:rPr>
          <w:rFonts w:ascii="Arial" w:hAnsi="Arial"/>
          <w:i/>
          <w:color w:val="231F20"/>
          <w:w w:val="105"/>
        </w:rPr>
        <w:t>de</w:t>
      </w:r>
      <w:r>
        <w:rPr>
          <w:rFonts w:ascii="Arial" w:hAnsi="Arial"/>
          <w:i/>
          <w:color w:val="231F20"/>
          <w:spacing w:val="-45"/>
          <w:w w:val="105"/>
        </w:rPr>
        <w:t> </w:t>
      </w:r>
      <w:r>
        <w:rPr>
          <w:rFonts w:ascii="Arial" w:hAnsi="Arial"/>
          <w:i/>
          <w:color w:val="231F20"/>
          <w:w w:val="105"/>
        </w:rPr>
        <w:t>la</w:t>
      </w:r>
      <w:r>
        <w:rPr>
          <w:rFonts w:ascii="Arial" w:hAnsi="Arial"/>
          <w:i/>
          <w:color w:val="231F20"/>
          <w:spacing w:val="-45"/>
          <w:w w:val="105"/>
        </w:rPr>
        <w:t> </w:t>
      </w:r>
      <w:r>
        <w:rPr>
          <w:rFonts w:ascii="Arial" w:hAnsi="Arial"/>
          <w:i/>
          <w:color w:val="231F20"/>
          <w:w w:val="105"/>
        </w:rPr>
        <w:t>Federación</w:t>
      </w:r>
      <w:r>
        <w:rPr>
          <w:color w:val="231F20"/>
          <w:w w:val="105"/>
        </w:rPr>
        <w:t>,</w:t>
      </w:r>
      <w:r>
        <w:rPr>
          <w:color w:val="231F20"/>
          <w:spacing w:val="-45"/>
          <w:w w:val="105"/>
        </w:rPr>
        <w:t> </w:t>
      </w:r>
      <w:r>
        <w:rPr>
          <w:color w:val="231F20"/>
          <w:w w:val="105"/>
        </w:rPr>
        <w:t>recuperado</w:t>
      </w:r>
      <w:r>
        <w:rPr>
          <w:color w:val="231F20"/>
          <w:spacing w:val="-42"/>
          <w:w w:val="105"/>
        </w:rPr>
        <w:t> </w:t>
      </w:r>
      <w:r>
        <w:rPr>
          <w:color w:val="231F20"/>
          <w:w w:val="105"/>
        </w:rPr>
        <w:t>de </w:t>
      </w:r>
      <w:hyperlink r:id="rId69">
        <w:r>
          <w:rPr>
            <w:color w:val="231F20"/>
            <w:w w:val="105"/>
          </w:rPr>
          <w:t>http://www.dof.gob.mx/nota_detalle.php?codigo=5374143&amp;fe-</w:t>
        </w:r>
      </w:hyperlink>
      <w:r>
        <w:rPr>
          <w:color w:val="231F20"/>
          <w:w w:val="105"/>
        </w:rPr>
        <w:t> cha=04/12/2014</w:t>
      </w:r>
    </w:p>
    <w:p>
      <w:pPr>
        <w:spacing w:line="261" w:lineRule="auto" w:before="0"/>
        <w:ind w:left="2574" w:right="1715" w:hanging="738"/>
        <w:jc w:val="both"/>
        <w:rPr>
          <w:sz w:val="21"/>
        </w:rPr>
      </w:pPr>
      <w:r>
        <w:rPr>
          <w:color w:val="231F20"/>
          <w:w w:val="105"/>
          <w:sz w:val="21"/>
        </w:rPr>
        <w:t>Düvell,</w:t>
      </w:r>
      <w:r>
        <w:rPr>
          <w:color w:val="231F20"/>
          <w:spacing w:val="-37"/>
          <w:w w:val="105"/>
          <w:sz w:val="21"/>
        </w:rPr>
        <w:t> </w:t>
      </w:r>
      <w:r>
        <w:rPr>
          <w:color w:val="231F20"/>
          <w:w w:val="105"/>
          <w:sz w:val="21"/>
        </w:rPr>
        <w:t>Franck,</w:t>
      </w:r>
      <w:r>
        <w:rPr>
          <w:color w:val="231F20"/>
          <w:spacing w:val="-37"/>
          <w:w w:val="105"/>
          <w:sz w:val="21"/>
        </w:rPr>
        <w:t> </w:t>
      </w:r>
      <w:r>
        <w:rPr>
          <w:color w:val="231F20"/>
          <w:w w:val="105"/>
          <w:sz w:val="21"/>
        </w:rPr>
        <w:t>(2008),</w:t>
      </w:r>
      <w:r>
        <w:rPr>
          <w:color w:val="231F20"/>
          <w:spacing w:val="-37"/>
          <w:w w:val="105"/>
          <w:sz w:val="21"/>
        </w:rPr>
        <w:t> </w:t>
      </w:r>
      <w:r>
        <w:rPr>
          <w:rFonts w:ascii="Arial" w:hAnsi="Arial"/>
          <w:i/>
          <w:color w:val="231F20"/>
          <w:spacing w:val="-4"/>
          <w:w w:val="105"/>
          <w:sz w:val="21"/>
        </w:rPr>
        <w:t>Transit</w:t>
      </w:r>
      <w:r>
        <w:rPr>
          <w:rFonts w:ascii="Arial" w:hAnsi="Arial"/>
          <w:i/>
          <w:color w:val="231F20"/>
          <w:spacing w:val="-36"/>
          <w:w w:val="105"/>
          <w:sz w:val="21"/>
        </w:rPr>
        <w:t> </w:t>
      </w:r>
      <w:r>
        <w:rPr>
          <w:rFonts w:ascii="Arial" w:hAnsi="Arial"/>
          <w:i/>
          <w:color w:val="231F20"/>
          <w:w w:val="105"/>
          <w:sz w:val="21"/>
        </w:rPr>
        <w:t>migration:</w:t>
      </w:r>
      <w:r>
        <w:rPr>
          <w:rFonts w:ascii="Arial" w:hAnsi="Arial"/>
          <w:i/>
          <w:color w:val="231F20"/>
          <w:spacing w:val="-36"/>
          <w:w w:val="105"/>
          <w:sz w:val="21"/>
        </w:rPr>
        <w:t> </w:t>
      </w:r>
      <w:r>
        <w:rPr>
          <w:rFonts w:ascii="Arial" w:hAnsi="Arial"/>
          <w:i/>
          <w:color w:val="231F20"/>
          <w:w w:val="105"/>
          <w:sz w:val="21"/>
        </w:rPr>
        <w:t>a</w:t>
      </w:r>
      <w:r>
        <w:rPr>
          <w:rFonts w:ascii="Arial" w:hAnsi="Arial"/>
          <w:i/>
          <w:color w:val="231F20"/>
          <w:spacing w:val="-36"/>
          <w:w w:val="105"/>
          <w:sz w:val="21"/>
        </w:rPr>
        <w:t> </w:t>
      </w:r>
      <w:r>
        <w:rPr>
          <w:rFonts w:ascii="Arial" w:hAnsi="Arial"/>
          <w:i/>
          <w:color w:val="231F20"/>
          <w:w w:val="105"/>
          <w:sz w:val="21"/>
        </w:rPr>
        <w:t>blurred</w:t>
      </w:r>
      <w:r>
        <w:rPr>
          <w:rFonts w:ascii="Arial" w:hAnsi="Arial"/>
          <w:i/>
          <w:color w:val="231F20"/>
          <w:spacing w:val="-36"/>
          <w:w w:val="105"/>
          <w:sz w:val="21"/>
        </w:rPr>
        <w:t> </w:t>
      </w:r>
      <w:r>
        <w:rPr>
          <w:rFonts w:ascii="Arial" w:hAnsi="Arial"/>
          <w:i/>
          <w:color w:val="231F20"/>
          <w:w w:val="105"/>
          <w:sz w:val="21"/>
        </w:rPr>
        <w:t>and</w:t>
      </w:r>
      <w:r>
        <w:rPr>
          <w:rFonts w:ascii="Arial" w:hAnsi="Arial"/>
          <w:i/>
          <w:color w:val="231F20"/>
          <w:spacing w:val="-36"/>
          <w:w w:val="105"/>
          <w:sz w:val="21"/>
        </w:rPr>
        <w:t> </w:t>
      </w:r>
      <w:r>
        <w:rPr>
          <w:rFonts w:ascii="Arial" w:hAnsi="Arial"/>
          <w:i/>
          <w:color w:val="231F20"/>
          <w:w w:val="105"/>
          <w:sz w:val="21"/>
        </w:rPr>
        <w:t>politicized</w:t>
      </w:r>
      <w:r>
        <w:rPr>
          <w:rFonts w:ascii="Arial" w:hAnsi="Arial"/>
          <w:i/>
          <w:color w:val="231F20"/>
          <w:spacing w:val="-36"/>
          <w:w w:val="105"/>
          <w:sz w:val="21"/>
        </w:rPr>
        <w:t> </w:t>
      </w:r>
      <w:r>
        <w:rPr>
          <w:rFonts w:ascii="Arial" w:hAnsi="Arial"/>
          <w:i/>
          <w:color w:val="231F20"/>
          <w:w w:val="105"/>
          <w:sz w:val="21"/>
        </w:rPr>
        <w:t>concept</w:t>
      </w:r>
      <w:r>
        <w:rPr>
          <w:color w:val="231F20"/>
          <w:w w:val="105"/>
          <w:sz w:val="21"/>
        </w:rPr>
        <w:t>, trabajo presentado en First Conference on Irregular Migration, </w:t>
      </w:r>
      <w:r>
        <w:rPr>
          <w:color w:val="231F20"/>
          <w:spacing w:val="-3"/>
          <w:w w:val="105"/>
          <w:sz w:val="21"/>
        </w:rPr>
        <w:t>Tripoli, </w:t>
      </w:r>
      <w:r>
        <w:rPr>
          <w:color w:val="231F20"/>
          <w:w w:val="105"/>
          <w:sz w:val="21"/>
        </w:rPr>
        <w:t>recuperado de </w:t>
      </w:r>
      <w:hyperlink r:id="rId70">
        <w:r>
          <w:rPr>
            <w:color w:val="231F20"/>
            <w:w w:val="105"/>
            <w:sz w:val="21"/>
          </w:rPr>
          <w:t>http://www.cespi.it/PDF/Libia-D%C3%B-</w:t>
        </w:r>
      </w:hyperlink>
      <w:r>
        <w:rPr>
          <w:color w:val="231F20"/>
          <w:w w:val="105"/>
          <w:sz w:val="21"/>
        </w:rPr>
        <w:t> Cvell.pdf</w:t>
      </w:r>
    </w:p>
    <w:p>
      <w:pPr>
        <w:spacing w:line="259" w:lineRule="auto" w:before="0"/>
        <w:ind w:left="2574" w:right="1721" w:hanging="738"/>
        <w:jc w:val="both"/>
        <w:rPr>
          <w:sz w:val="21"/>
        </w:rPr>
      </w:pPr>
      <w:r>
        <w:rPr>
          <w:color w:val="231F20"/>
          <w:w w:val="105"/>
          <w:sz w:val="21"/>
        </w:rPr>
        <w:t>Gobierno</w:t>
      </w:r>
      <w:r>
        <w:rPr>
          <w:color w:val="231F20"/>
          <w:spacing w:val="-18"/>
          <w:w w:val="105"/>
          <w:sz w:val="21"/>
        </w:rPr>
        <w:t> </w:t>
      </w:r>
      <w:r>
        <w:rPr>
          <w:color w:val="231F20"/>
          <w:w w:val="105"/>
          <w:sz w:val="21"/>
        </w:rPr>
        <w:t>del</w:t>
      </w:r>
      <w:r>
        <w:rPr>
          <w:color w:val="231F20"/>
          <w:spacing w:val="-18"/>
          <w:w w:val="105"/>
          <w:sz w:val="21"/>
        </w:rPr>
        <w:t> </w:t>
      </w:r>
      <w:r>
        <w:rPr>
          <w:color w:val="231F20"/>
          <w:w w:val="105"/>
          <w:sz w:val="21"/>
        </w:rPr>
        <w:t>Estado</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México</w:t>
      </w:r>
      <w:r>
        <w:rPr>
          <w:color w:val="231F20"/>
          <w:spacing w:val="-18"/>
          <w:w w:val="105"/>
          <w:sz w:val="21"/>
        </w:rPr>
        <w:t> </w:t>
      </w:r>
      <w:r>
        <w:rPr>
          <w:color w:val="231F20"/>
          <w:w w:val="105"/>
          <w:sz w:val="21"/>
        </w:rPr>
        <w:t>(</w:t>
      </w:r>
      <w:r>
        <w:rPr>
          <w:color w:val="231F20"/>
          <w:w w:val="105"/>
          <w:sz w:val="17"/>
        </w:rPr>
        <w:t>GEM</w:t>
      </w:r>
      <w:r>
        <w:rPr>
          <w:color w:val="231F20"/>
          <w:w w:val="105"/>
          <w:sz w:val="21"/>
        </w:rPr>
        <w:t>),</w:t>
      </w:r>
      <w:r>
        <w:rPr>
          <w:color w:val="231F20"/>
          <w:spacing w:val="-23"/>
          <w:w w:val="105"/>
          <w:sz w:val="21"/>
        </w:rPr>
        <w:t> </w:t>
      </w:r>
      <w:r>
        <w:rPr>
          <w:color w:val="231F20"/>
          <w:w w:val="105"/>
          <w:sz w:val="21"/>
        </w:rPr>
        <w:t>(2012),</w:t>
      </w:r>
      <w:r>
        <w:rPr>
          <w:color w:val="231F20"/>
          <w:spacing w:val="-23"/>
          <w:w w:val="105"/>
          <w:sz w:val="21"/>
        </w:rPr>
        <w:t> </w:t>
      </w:r>
      <w:r>
        <w:rPr>
          <w:rFonts w:ascii="Arial" w:hAnsi="Arial"/>
          <w:i/>
          <w:color w:val="231F20"/>
          <w:w w:val="105"/>
          <w:sz w:val="21"/>
        </w:rPr>
        <w:t>Folleto</w:t>
      </w:r>
      <w:r>
        <w:rPr>
          <w:rFonts w:ascii="Arial" w:hAnsi="Arial"/>
          <w:i/>
          <w:color w:val="231F20"/>
          <w:spacing w:val="-21"/>
          <w:w w:val="105"/>
          <w:sz w:val="21"/>
        </w:rPr>
        <w:t> </w:t>
      </w:r>
      <w:r>
        <w:rPr>
          <w:rFonts w:ascii="Arial" w:hAnsi="Arial"/>
          <w:i/>
          <w:color w:val="231F20"/>
          <w:w w:val="105"/>
          <w:sz w:val="21"/>
        </w:rPr>
        <w:t>de</w:t>
      </w:r>
      <w:r>
        <w:rPr>
          <w:rFonts w:ascii="Arial" w:hAnsi="Arial"/>
          <w:i/>
          <w:color w:val="231F20"/>
          <w:spacing w:val="-21"/>
          <w:w w:val="105"/>
          <w:sz w:val="21"/>
        </w:rPr>
        <w:t> </w:t>
      </w:r>
      <w:r>
        <w:rPr>
          <w:rFonts w:ascii="Arial" w:hAnsi="Arial"/>
          <w:i/>
          <w:color w:val="231F20"/>
          <w:w w:val="105"/>
          <w:sz w:val="21"/>
        </w:rPr>
        <w:t>información</w:t>
      </w:r>
      <w:r>
        <w:rPr>
          <w:rFonts w:ascii="Arial" w:hAnsi="Arial"/>
          <w:i/>
          <w:color w:val="231F20"/>
          <w:spacing w:val="-21"/>
          <w:w w:val="105"/>
          <w:sz w:val="21"/>
        </w:rPr>
        <w:t> </w:t>
      </w:r>
      <w:r>
        <w:rPr>
          <w:rFonts w:ascii="Arial" w:hAnsi="Arial"/>
          <w:i/>
          <w:color w:val="231F20"/>
          <w:w w:val="105"/>
          <w:sz w:val="21"/>
        </w:rPr>
        <w:t>bá- </w:t>
      </w:r>
      <w:r>
        <w:rPr>
          <w:rFonts w:ascii="Arial" w:hAnsi="Arial"/>
          <w:i/>
          <w:color w:val="231F20"/>
          <w:w w:val="105"/>
          <w:sz w:val="21"/>
        </w:rPr>
        <w:t>sica</w:t>
      </w:r>
      <w:r>
        <w:rPr>
          <w:rFonts w:ascii="Arial" w:hAnsi="Arial"/>
          <w:i/>
          <w:color w:val="231F20"/>
          <w:spacing w:val="-21"/>
          <w:w w:val="105"/>
          <w:sz w:val="21"/>
        </w:rPr>
        <w:t> </w:t>
      </w:r>
      <w:r>
        <w:rPr>
          <w:rFonts w:ascii="Arial" w:hAnsi="Arial"/>
          <w:i/>
          <w:color w:val="231F20"/>
          <w:w w:val="105"/>
          <w:sz w:val="21"/>
        </w:rPr>
        <w:t>del</w:t>
      </w:r>
      <w:r>
        <w:rPr>
          <w:rFonts w:ascii="Arial" w:hAnsi="Arial"/>
          <w:i/>
          <w:color w:val="231F20"/>
          <w:spacing w:val="-21"/>
          <w:w w:val="105"/>
          <w:sz w:val="21"/>
        </w:rPr>
        <w:t> </w:t>
      </w:r>
      <w:r>
        <w:rPr>
          <w:rFonts w:ascii="Arial" w:hAnsi="Arial"/>
          <w:i/>
          <w:color w:val="231F20"/>
          <w:w w:val="105"/>
          <w:sz w:val="21"/>
        </w:rPr>
        <w:t>programa</w:t>
      </w:r>
      <w:r>
        <w:rPr>
          <w:rFonts w:ascii="Arial" w:hAnsi="Arial"/>
          <w:i/>
          <w:color w:val="231F20"/>
          <w:spacing w:val="-21"/>
          <w:w w:val="105"/>
          <w:sz w:val="21"/>
        </w:rPr>
        <w:t> </w:t>
      </w:r>
      <w:r>
        <w:rPr>
          <w:rFonts w:ascii="Arial" w:hAnsi="Arial"/>
          <w:i/>
          <w:color w:val="231F20"/>
          <w:w w:val="105"/>
          <w:sz w:val="21"/>
        </w:rPr>
        <w:t>METRUM</w:t>
      </w:r>
      <w:r>
        <w:rPr>
          <w:rFonts w:ascii="Arial" w:hAnsi="Arial"/>
          <w:i/>
          <w:color w:val="231F20"/>
          <w:spacing w:val="-21"/>
          <w:w w:val="105"/>
          <w:sz w:val="21"/>
        </w:rPr>
        <w:t> </w:t>
      </w:r>
      <w:r>
        <w:rPr>
          <w:rFonts w:ascii="Arial" w:hAnsi="Arial"/>
          <w:i/>
          <w:color w:val="231F20"/>
          <w:w w:val="105"/>
          <w:sz w:val="21"/>
        </w:rPr>
        <w:t>para</w:t>
      </w:r>
      <w:r>
        <w:rPr>
          <w:rFonts w:ascii="Arial" w:hAnsi="Arial"/>
          <w:i/>
          <w:color w:val="231F20"/>
          <w:spacing w:val="-21"/>
          <w:w w:val="105"/>
          <w:sz w:val="21"/>
        </w:rPr>
        <w:t> </w:t>
      </w:r>
      <w:r>
        <w:rPr>
          <w:rFonts w:ascii="Arial" w:hAnsi="Arial"/>
          <w:i/>
          <w:color w:val="231F20"/>
          <w:w w:val="105"/>
          <w:sz w:val="21"/>
        </w:rPr>
        <w:t>los</w:t>
      </w:r>
      <w:r>
        <w:rPr>
          <w:rFonts w:ascii="Arial" w:hAnsi="Arial"/>
          <w:i/>
          <w:color w:val="231F20"/>
          <w:spacing w:val="-21"/>
          <w:w w:val="105"/>
          <w:sz w:val="21"/>
        </w:rPr>
        <w:t> </w:t>
      </w:r>
      <w:r>
        <w:rPr>
          <w:rFonts w:ascii="Arial" w:hAnsi="Arial"/>
          <w:i/>
          <w:color w:val="231F20"/>
          <w:w w:val="105"/>
          <w:sz w:val="21"/>
        </w:rPr>
        <w:t>coordinadores</w:t>
      </w:r>
      <w:r>
        <w:rPr>
          <w:rFonts w:ascii="Arial" w:hAnsi="Arial"/>
          <w:i/>
          <w:color w:val="231F20"/>
          <w:spacing w:val="-21"/>
          <w:w w:val="105"/>
          <w:sz w:val="21"/>
        </w:rPr>
        <w:t> </w:t>
      </w:r>
      <w:r>
        <w:rPr>
          <w:rFonts w:ascii="Arial" w:hAnsi="Arial"/>
          <w:i/>
          <w:color w:val="231F20"/>
          <w:w w:val="105"/>
          <w:sz w:val="21"/>
        </w:rPr>
        <w:t>de</w:t>
      </w:r>
      <w:r>
        <w:rPr>
          <w:rFonts w:ascii="Arial" w:hAnsi="Arial"/>
          <w:i/>
          <w:color w:val="231F20"/>
          <w:spacing w:val="-21"/>
          <w:w w:val="105"/>
          <w:sz w:val="21"/>
        </w:rPr>
        <w:t> </w:t>
      </w:r>
      <w:r>
        <w:rPr>
          <w:rFonts w:ascii="Arial" w:hAnsi="Arial"/>
          <w:i/>
          <w:color w:val="231F20"/>
          <w:w w:val="105"/>
          <w:sz w:val="21"/>
        </w:rPr>
        <w:t>los</w:t>
      </w:r>
      <w:r>
        <w:rPr>
          <w:rFonts w:ascii="Arial" w:hAnsi="Arial"/>
          <w:i/>
          <w:color w:val="231F20"/>
          <w:spacing w:val="-21"/>
          <w:w w:val="105"/>
          <w:sz w:val="21"/>
        </w:rPr>
        <w:t> </w:t>
      </w:r>
      <w:r>
        <w:rPr>
          <w:rFonts w:ascii="Arial" w:hAnsi="Arial"/>
          <w:i/>
          <w:color w:val="231F20"/>
          <w:w w:val="105"/>
          <w:sz w:val="21"/>
        </w:rPr>
        <w:t>Siste- mas</w:t>
      </w:r>
      <w:r>
        <w:rPr>
          <w:rFonts w:ascii="Arial" w:hAnsi="Arial"/>
          <w:i/>
          <w:color w:val="231F20"/>
          <w:spacing w:val="-42"/>
          <w:w w:val="105"/>
          <w:sz w:val="21"/>
        </w:rPr>
        <w:t> </w:t>
      </w:r>
      <w:r>
        <w:rPr>
          <w:rFonts w:ascii="Arial" w:hAnsi="Arial"/>
          <w:i/>
          <w:color w:val="231F20"/>
          <w:w w:val="105"/>
          <w:sz w:val="21"/>
        </w:rPr>
        <w:t>Municipales</w:t>
      </w:r>
      <w:r>
        <w:rPr>
          <w:rFonts w:ascii="Arial" w:hAnsi="Arial"/>
          <w:i/>
          <w:color w:val="231F20"/>
          <w:spacing w:val="-42"/>
          <w:w w:val="105"/>
          <w:sz w:val="21"/>
        </w:rPr>
        <w:t> </w:t>
      </w:r>
      <w:r>
        <w:rPr>
          <w:rFonts w:ascii="Arial" w:hAnsi="Arial"/>
          <w:i/>
          <w:color w:val="231F20"/>
          <w:w w:val="105"/>
          <w:sz w:val="17"/>
        </w:rPr>
        <w:t>DIF</w:t>
      </w:r>
      <w:r>
        <w:rPr>
          <w:color w:val="231F20"/>
          <w:w w:val="105"/>
          <w:sz w:val="21"/>
        </w:rPr>
        <w:t>,</w:t>
      </w:r>
      <w:r>
        <w:rPr>
          <w:color w:val="231F20"/>
          <w:spacing w:val="-44"/>
          <w:w w:val="105"/>
          <w:sz w:val="21"/>
        </w:rPr>
        <w:t> </w:t>
      </w:r>
      <w:r>
        <w:rPr>
          <w:color w:val="231F20"/>
          <w:spacing w:val="-3"/>
          <w:w w:val="105"/>
          <w:sz w:val="21"/>
        </w:rPr>
        <w:t>Toluca,</w:t>
      </w:r>
      <w:r>
        <w:rPr>
          <w:color w:val="231F20"/>
          <w:spacing w:val="-42"/>
          <w:w w:val="105"/>
          <w:sz w:val="21"/>
        </w:rPr>
        <w:t> </w:t>
      </w:r>
      <w:r>
        <w:rPr>
          <w:color w:val="231F20"/>
          <w:w w:val="105"/>
          <w:sz w:val="21"/>
        </w:rPr>
        <w:t>México:</w:t>
      </w:r>
      <w:r>
        <w:rPr>
          <w:color w:val="231F20"/>
          <w:spacing w:val="-39"/>
          <w:w w:val="105"/>
          <w:sz w:val="21"/>
        </w:rPr>
        <w:t> </w:t>
      </w:r>
      <w:r>
        <w:rPr>
          <w:color w:val="231F20"/>
          <w:w w:val="105"/>
          <w:sz w:val="17"/>
        </w:rPr>
        <w:t>DIFEM</w:t>
      </w:r>
      <w:r>
        <w:rPr>
          <w:color w:val="231F20"/>
          <w:w w:val="105"/>
          <w:sz w:val="21"/>
        </w:rPr>
        <w:t>.</w:t>
      </w:r>
    </w:p>
    <w:p>
      <w:pPr>
        <w:pStyle w:val="BodyText"/>
        <w:tabs>
          <w:tab w:pos="2677" w:val="left" w:leader="none"/>
        </w:tabs>
        <w:spacing w:line="261" w:lineRule="auto" w:before="3"/>
        <w:ind w:left="2574" w:right="1715" w:hanging="738"/>
        <w:jc w:val="both"/>
      </w:pPr>
      <w:r>
        <w:rPr>
          <w:color w:val="231F20"/>
          <w:w w:val="94"/>
          <w:u w:val="single" w:color="221E1F"/>
        </w:rPr>
        <w:t> </w:t>
      </w:r>
      <w:r>
        <w:rPr>
          <w:color w:val="231F20"/>
          <w:u w:val="single" w:color="221E1F"/>
        </w:rPr>
        <w:tab/>
        <w:tab/>
      </w:r>
      <w:r>
        <w:rPr>
          <w:color w:val="231F20"/>
          <w:spacing w:val="6"/>
        </w:rPr>
        <w:t> </w:t>
      </w:r>
      <w:r>
        <w:rPr>
          <w:color w:val="231F20"/>
          <w:w w:val="105"/>
        </w:rPr>
        <w:t>(2013), “Lineamientos de operación de la acción</w:t>
      </w:r>
      <w:r>
        <w:rPr>
          <w:color w:val="231F20"/>
          <w:spacing w:val="-29"/>
          <w:w w:val="105"/>
        </w:rPr>
        <w:t> </w:t>
      </w:r>
      <w:r>
        <w:rPr>
          <w:color w:val="231F20"/>
          <w:w w:val="105"/>
        </w:rPr>
        <w:t>de</w:t>
      </w:r>
      <w:r>
        <w:rPr>
          <w:color w:val="231F20"/>
          <w:spacing w:val="-4"/>
          <w:w w:val="105"/>
        </w:rPr>
        <w:t> </w:t>
      </w:r>
      <w:r>
        <w:rPr>
          <w:color w:val="231F20"/>
          <w:w w:val="105"/>
        </w:rPr>
        <w:t>desarrollo</w:t>
      </w:r>
      <w:r>
        <w:rPr>
          <w:color w:val="231F20"/>
          <w:w w:val="110"/>
        </w:rPr>
        <w:t> </w:t>
      </w:r>
      <w:r>
        <w:rPr>
          <w:color w:val="231F20"/>
          <w:w w:val="105"/>
        </w:rPr>
        <w:t>social.</w:t>
      </w:r>
      <w:r>
        <w:rPr>
          <w:color w:val="231F20"/>
          <w:spacing w:val="-16"/>
          <w:w w:val="105"/>
        </w:rPr>
        <w:t> </w:t>
      </w:r>
      <w:r>
        <w:rPr>
          <w:color w:val="231F20"/>
          <w:w w:val="105"/>
        </w:rPr>
        <w:t>Estrategia</w:t>
      </w:r>
      <w:r>
        <w:rPr>
          <w:color w:val="231F20"/>
          <w:spacing w:val="-11"/>
          <w:w w:val="105"/>
        </w:rPr>
        <w:t> </w:t>
      </w:r>
      <w:r>
        <w:rPr>
          <w:color w:val="231F20"/>
          <w:w w:val="105"/>
        </w:rPr>
        <w:t>de</w:t>
      </w:r>
      <w:r>
        <w:rPr>
          <w:color w:val="231F20"/>
          <w:spacing w:val="-11"/>
          <w:w w:val="105"/>
        </w:rPr>
        <w:t> </w:t>
      </w:r>
      <w:r>
        <w:rPr>
          <w:color w:val="231F20"/>
          <w:w w:val="105"/>
        </w:rPr>
        <w:t>Prevención</w:t>
      </w:r>
      <w:r>
        <w:rPr>
          <w:color w:val="231F20"/>
          <w:spacing w:val="-11"/>
          <w:w w:val="105"/>
        </w:rPr>
        <w:t> </w:t>
      </w:r>
      <w:r>
        <w:rPr>
          <w:color w:val="231F20"/>
          <w:w w:val="105"/>
        </w:rPr>
        <w:t>y</w:t>
      </w:r>
      <w:r>
        <w:rPr>
          <w:color w:val="231F20"/>
          <w:spacing w:val="-11"/>
          <w:w w:val="105"/>
        </w:rPr>
        <w:t> </w:t>
      </w:r>
      <w:r>
        <w:rPr>
          <w:color w:val="231F20"/>
          <w:w w:val="105"/>
        </w:rPr>
        <w:t>atención</w:t>
      </w:r>
      <w:r>
        <w:rPr>
          <w:color w:val="231F20"/>
          <w:spacing w:val="-11"/>
          <w:w w:val="105"/>
        </w:rPr>
        <w:t> </w:t>
      </w:r>
      <w:r>
        <w:rPr>
          <w:color w:val="231F20"/>
          <w:w w:val="105"/>
        </w:rPr>
        <w:t>a</w:t>
      </w:r>
      <w:r>
        <w:rPr>
          <w:color w:val="231F20"/>
          <w:spacing w:val="-11"/>
          <w:w w:val="105"/>
        </w:rPr>
        <w:t> </w:t>
      </w:r>
      <w:r>
        <w:rPr>
          <w:color w:val="231F20"/>
          <w:w w:val="105"/>
        </w:rPr>
        <w:t>niñas,</w:t>
      </w:r>
      <w:r>
        <w:rPr>
          <w:color w:val="231F20"/>
          <w:spacing w:val="-16"/>
          <w:w w:val="105"/>
        </w:rPr>
        <w:t> </w:t>
      </w:r>
      <w:r>
        <w:rPr>
          <w:color w:val="231F20"/>
          <w:w w:val="105"/>
        </w:rPr>
        <w:t>niños</w:t>
      </w:r>
      <w:r>
        <w:rPr>
          <w:color w:val="231F20"/>
          <w:spacing w:val="-11"/>
          <w:w w:val="105"/>
        </w:rPr>
        <w:t> </w:t>
      </w:r>
      <w:r>
        <w:rPr>
          <w:color w:val="231F20"/>
          <w:w w:val="105"/>
        </w:rPr>
        <w:t>y</w:t>
      </w:r>
      <w:r>
        <w:rPr>
          <w:color w:val="231F20"/>
          <w:spacing w:val="-11"/>
          <w:w w:val="105"/>
        </w:rPr>
        <w:t> </w:t>
      </w:r>
      <w:r>
        <w:rPr>
          <w:color w:val="231F20"/>
          <w:w w:val="105"/>
        </w:rPr>
        <w:t>ado- lescentes</w:t>
      </w:r>
      <w:r>
        <w:rPr>
          <w:color w:val="231F20"/>
          <w:spacing w:val="-21"/>
          <w:w w:val="105"/>
        </w:rPr>
        <w:t> </w:t>
      </w:r>
      <w:r>
        <w:rPr>
          <w:color w:val="231F20"/>
          <w:w w:val="105"/>
        </w:rPr>
        <w:t>migrantes</w:t>
      </w:r>
      <w:r>
        <w:rPr>
          <w:color w:val="231F20"/>
          <w:spacing w:val="-21"/>
          <w:w w:val="105"/>
        </w:rPr>
        <w:t> </w:t>
      </w:r>
      <w:r>
        <w:rPr>
          <w:color w:val="231F20"/>
          <w:w w:val="105"/>
        </w:rPr>
        <w:t>y</w:t>
      </w:r>
      <w:r>
        <w:rPr>
          <w:color w:val="231F20"/>
          <w:spacing w:val="-21"/>
          <w:w w:val="105"/>
        </w:rPr>
        <w:t> </w:t>
      </w:r>
      <w:r>
        <w:rPr>
          <w:color w:val="231F20"/>
          <w:w w:val="105"/>
        </w:rPr>
        <w:t>repatriados</w:t>
      </w:r>
      <w:r>
        <w:rPr>
          <w:color w:val="231F20"/>
          <w:spacing w:val="-21"/>
          <w:w w:val="105"/>
        </w:rPr>
        <w:t> </w:t>
      </w:r>
      <w:r>
        <w:rPr>
          <w:color w:val="231F20"/>
          <w:w w:val="105"/>
        </w:rPr>
        <w:t>no</w:t>
      </w:r>
      <w:r>
        <w:rPr>
          <w:color w:val="231F20"/>
          <w:spacing w:val="-21"/>
          <w:w w:val="105"/>
        </w:rPr>
        <w:t> </w:t>
      </w:r>
      <w:r>
        <w:rPr>
          <w:color w:val="231F20"/>
          <w:w w:val="105"/>
        </w:rPr>
        <w:t>acompañados</w:t>
      </w:r>
      <w:r>
        <w:rPr>
          <w:color w:val="231F20"/>
          <w:spacing w:val="-21"/>
          <w:w w:val="105"/>
        </w:rPr>
        <w:t> </w:t>
      </w:r>
      <w:r>
        <w:rPr>
          <w:color w:val="231F20"/>
          <w:w w:val="105"/>
        </w:rPr>
        <w:t>(vertiente</w:t>
      </w:r>
      <w:r>
        <w:rPr>
          <w:color w:val="231F20"/>
          <w:spacing w:val="-21"/>
          <w:w w:val="105"/>
        </w:rPr>
        <w:t> </w:t>
      </w:r>
      <w:r>
        <w:rPr>
          <w:color w:val="231F20"/>
          <w:w w:val="105"/>
        </w:rPr>
        <w:t>de </w:t>
      </w:r>
      <w:r>
        <w:rPr>
          <w:color w:val="231F20"/>
          <w:spacing w:val="-3"/>
          <w:w w:val="105"/>
        </w:rPr>
        <w:t>atención)”, </w:t>
      </w:r>
      <w:r>
        <w:rPr>
          <w:rFonts w:ascii="Arial" w:hAnsi="Arial"/>
          <w:i/>
          <w:color w:val="231F20"/>
          <w:w w:val="105"/>
        </w:rPr>
        <w:t>Gaceta del Gobierno del Estado de México</w:t>
      </w:r>
      <w:r>
        <w:rPr>
          <w:color w:val="231F20"/>
          <w:w w:val="105"/>
        </w:rPr>
        <w:t>, t. </w:t>
      </w:r>
      <w:r>
        <w:rPr>
          <w:color w:val="231F20"/>
          <w:w w:val="105"/>
          <w:sz w:val="17"/>
        </w:rPr>
        <w:t>CXCV</w:t>
      </w:r>
      <w:r>
        <w:rPr>
          <w:color w:val="231F20"/>
          <w:w w:val="105"/>
        </w:rPr>
        <w:t>, núm. 79, recuperado de </w:t>
      </w:r>
      <w:hyperlink r:id="rId71">
        <w:r>
          <w:rPr>
            <w:color w:val="231F20"/>
            <w:w w:val="105"/>
          </w:rPr>
          <w:t>http://www.edomex.gob.mx/portal/</w:t>
        </w:r>
      </w:hyperlink>
      <w:r>
        <w:rPr>
          <w:color w:val="231F20"/>
          <w:w w:val="105"/>
        </w:rPr>
        <w:t> page/portal/legistel/gaceta-de-gobierno/2013/abril</w:t>
      </w:r>
    </w:p>
    <w:p>
      <w:pPr>
        <w:spacing w:line="259" w:lineRule="auto" w:before="1"/>
        <w:ind w:left="2574" w:right="1722" w:hanging="737"/>
        <w:jc w:val="both"/>
        <w:rPr>
          <w:rFonts w:ascii="Arial" w:hAnsi="Arial"/>
          <w:i/>
          <w:sz w:val="21"/>
        </w:rPr>
      </w:pPr>
      <w:r>
        <w:rPr/>
        <w:pict>
          <v:line style="position:absolute;mso-position-horizontal-relative:page;mso-position-vertical-relative:paragraph;z-index:-481816" from="15pt,98.334885pt" to="0pt,98.334885pt" stroked="true" strokeweight=".25pt" strokecolor="#000000">
            <w10:wrap type="none"/>
          </v:line>
        </w:pict>
      </w:r>
      <w:r>
        <w:rPr/>
        <w:pict>
          <v:line style="position:absolute;mso-position-horizontal-relative:page;mso-position-vertical-relative:paragraph;z-index:8392" from="508.890015pt,98.334885pt" to="523.890015pt,98.334885pt" stroked="true" strokeweight=".25pt" strokecolor="#000000">
            <w10:wrap type="none"/>
          </v:line>
        </w:pict>
      </w:r>
      <w:r>
        <w:rPr>
          <w:color w:val="231F20"/>
          <w:w w:val="105"/>
          <w:sz w:val="21"/>
        </w:rPr>
        <w:t>Instituto Nacional de Migración (</w:t>
      </w:r>
      <w:r>
        <w:rPr>
          <w:color w:val="231F20"/>
          <w:w w:val="105"/>
          <w:sz w:val="17"/>
        </w:rPr>
        <w:t>INM</w:t>
      </w:r>
      <w:r>
        <w:rPr>
          <w:color w:val="231F20"/>
          <w:w w:val="105"/>
          <w:sz w:val="21"/>
        </w:rPr>
        <w:t>), (2015), “Extranjeros presentados y devueltos 2015”, </w:t>
      </w:r>
      <w:r>
        <w:rPr>
          <w:rFonts w:ascii="Arial" w:hAnsi="Arial"/>
          <w:i/>
          <w:color w:val="231F20"/>
          <w:w w:val="105"/>
          <w:sz w:val="21"/>
        </w:rPr>
        <w:t>Boletines estadísticos del Instituto  Nacional</w:t>
      </w:r>
    </w:p>
    <w:p>
      <w:pPr>
        <w:spacing w:after="0" w:line="259" w:lineRule="auto"/>
        <w:jc w:val="both"/>
        <w:rPr>
          <w:rFonts w:ascii="Arial" w:hAnsi="Arial"/>
          <w:sz w:val="21"/>
        </w:rPr>
        <w:sectPr>
          <w:pgSz w:w="10480" w:h="14730"/>
          <w:pgMar w:header="0" w:footer="103" w:top="300" w:bottom="300" w:left="0" w:right="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2"/>
        <w:rPr>
          <w:rFonts w:ascii="Arial"/>
          <w:i/>
          <w:sz w:val="27"/>
        </w:rPr>
      </w:pPr>
    </w:p>
    <w:p>
      <w:pPr>
        <w:pStyle w:val="BodyText"/>
        <w:spacing w:line="261" w:lineRule="auto" w:before="57"/>
        <w:ind w:left="2460"/>
      </w:pPr>
      <w:r>
        <w:rPr/>
        <w:pict>
          <v:line style="position:absolute;mso-position-horizontal-relative:page;mso-position-vertical-relative:paragraph;z-index:8440" from="15pt,-67.249893pt" to="0pt,-67.249893pt" stroked="true" strokeweight=".25pt" strokecolor="#000000">
            <w10:wrap type="none"/>
          </v:line>
        </w:pict>
      </w:r>
      <w:r>
        <w:rPr/>
        <w:pict>
          <v:line style="position:absolute;mso-position-horizontal-relative:page;mso-position-vertical-relative:paragraph;z-index:8464" from="508.890015pt,-67.249893pt" to="523.890015pt,-67.249893pt" stroked="true" strokeweight=".25pt" strokecolor="#000000">
            <w10:wrap type="none"/>
          </v:line>
        </w:pict>
      </w:r>
      <w:r>
        <w:rPr>
          <w:rFonts w:ascii="Arial" w:hAnsi="Arial"/>
          <w:i/>
          <w:color w:val="231F20"/>
          <w:w w:val="105"/>
        </w:rPr>
        <w:t>de Migración</w:t>
      </w:r>
      <w:r>
        <w:rPr>
          <w:color w:val="231F20"/>
          <w:w w:val="105"/>
        </w:rPr>
        <w:t>, recuperado de </w:t>
      </w:r>
      <w:hyperlink r:id="rId72">
        <w:r>
          <w:rPr>
            <w:color w:val="231F20"/>
            <w:w w:val="105"/>
          </w:rPr>
          <w:t>http://www.politicamigratoria.gob.</w:t>
        </w:r>
      </w:hyperlink>
      <w:r>
        <w:rPr>
          <w:color w:val="231F20"/>
          <w:w w:val="105"/>
        </w:rPr>
        <w:t> mx/es_mx/SEGOB/Extranjeros_presentados_y_devueltos</w:t>
      </w:r>
    </w:p>
    <w:p>
      <w:pPr>
        <w:pStyle w:val="BodyText"/>
        <w:spacing w:line="261" w:lineRule="auto" w:before="1"/>
        <w:ind w:left="2460" w:right="1832" w:hanging="738"/>
        <w:jc w:val="both"/>
      </w:pPr>
      <w:r>
        <w:rPr>
          <w:color w:val="231F20"/>
          <w:w w:val="105"/>
        </w:rPr>
        <w:t>Organización de los Estados Americanos (</w:t>
      </w:r>
      <w:r>
        <w:rPr>
          <w:color w:val="231F20"/>
          <w:w w:val="105"/>
          <w:sz w:val="17"/>
        </w:rPr>
        <w:t>OEA</w:t>
      </w:r>
      <w:r>
        <w:rPr>
          <w:color w:val="231F20"/>
          <w:w w:val="105"/>
        </w:rPr>
        <w:t>), (2013), “Derechos Humanos de los migrantes y otras personas en el contexto     de la movilidad humana en </w:t>
      </w:r>
      <w:r>
        <w:rPr>
          <w:color w:val="231F20"/>
          <w:spacing w:val="-4"/>
          <w:w w:val="105"/>
        </w:rPr>
        <w:t>México”. </w:t>
      </w:r>
      <w:r>
        <w:rPr>
          <w:rFonts w:ascii="Arial" w:hAnsi="Arial"/>
          <w:i/>
          <w:color w:val="231F20"/>
          <w:spacing w:val="-4"/>
          <w:w w:val="105"/>
        </w:rPr>
        <w:t>Informe </w:t>
      </w:r>
      <w:r>
        <w:rPr>
          <w:rFonts w:ascii="Arial" w:hAnsi="Arial"/>
          <w:i/>
          <w:color w:val="231F20"/>
          <w:w w:val="105"/>
        </w:rPr>
        <w:t>de la </w:t>
      </w:r>
      <w:r>
        <w:rPr>
          <w:rFonts w:ascii="Arial" w:hAnsi="Arial"/>
          <w:i/>
          <w:color w:val="231F20"/>
          <w:spacing w:val="-5"/>
          <w:w w:val="105"/>
        </w:rPr>
        <w:t>Comisión </w:t>
      </w:r>
      <w:r>
        <w:rPr>
          <w:rFonts w:ascii="Arial" w:hAnsi="Arial"/>
          <w:i/>
          <w:color w:val="231F20"/>
          <w:spacing w:val="-4"/>
          <w:w w:val="105"/>
        </w:rPr>
        <w:t>Interamericana </w:t>
      </w:r>
      <w:r>
        <w:rPr>
          <w:rFonts w:ascii="Arial" w:hAnsi="Arial"/>
          <w:i/>
          <w:color w:val="231F20"/>
          <w:w w:val="105"/>
        </w:rPr>
        <w:t>de </w:t>
      </w:r>
      <w:r>
        <w:rPr>
          <w:rFonts w:ascii="Arial" w:hAnsi="Arial"/>
          <w:i/>
          <w:color w:val="231F20"/>
          <w:spacing w:val="-4"/>
          <w:w w:val="105"/>
        </w:rPr>
        <w:t>Derechos Humanos</w:t>
      </w:r>
      <w:r>
        <w:rPr>
          <w:color w:val="231F20"/>
          <w:spacing w:val="-4"/>
          <w:w w:val="105"/>
        </w:rPr>
        <w:t>, </w:t>
      </w:r>
      <w:r>
        <w:rPr>
          <w:color w:val="231F20"/>
          <w:spacing w:val="-5"/>
          <w:w w:val="105"/>
        </w:rPr>
        <w:t>recuperado </w:t>
      </w:r>
      <w:r>
        <w:rPr>
          <w:color w:val="231F20"/>
          <w:w w:val="105"/>
        </w:rPr>
        <w:t>de </w:t>
      </w:r>
      <w:r>
        <w:rPr>
          <w:color w:val="231F20"/>
          <w:spacing w:val="-5"/>
          <w:w w:val="105"/>
        </w:rPr>
        <w:t>http:// </w:t>
      </w:r>
      <w:hyperlink r:id="rId73">
        <w:r>
          <w:rPr>
            <w:color w:val="231F20"/>
            <w:spacing w:val="3"/>
            <w:w w:val="105"/>
          </w:rPr>
          <w:t>www.oas.org/es/cidh/migrantes/docs/pdf/Informe-Migrantes-</w:t>
        </w:r>
      </w:hyperlink>
      <w:r>
        <w:rPr>
          <w:color w:val="231F20"/>
          <w:spacing w:val="3"/>
          <w:w w:val="105"/>
        </w:rPr>
        <w:t> </w:t>
      </w:r>
      <w:r>
        <w:rPr>
          <w:color w:val="231F20"/>
          <w:spacing w:val="-5"/>
          <w:w w:val="105"/>
        </w:rPr>
        <w:t>Mexico-2013.pdf</w:t>
      </w:r>
    </w:p>
    <w:p>
      <w:pPr>
        <w:spacing w:line="261" w:lineRule="auto" w:before="0"/>
        <w:ind w:left="2460" w:right="1831" w:hanging="738"/>
        <w:jc w:val="both"/>
        <w:rPr>
          <w:sz w:val="21"/>
        </w:rPr>
      </w:pPr>
      <w:r>
        <w:rPr>
          <w:color w:val="231F20"/>
          <w:spacing w:val="-4"/>
          <w:w w:val="105"/>
          <w:sz w:val="21"/>
        </w:rPr>
        <w:t>Organización Internacional para </w:t>
      </w:r>
      <w:r>
        <w:rPr>
          <w:color w:val="231F20"/>
          <w:spacing w:val="-3"/>
          <w:w w:val="105"/>
          <w:sz w:val="21"/>
        </w:rPr>
        <w:t>las </w:t>
      </w:r>
      <w:r>
        <w:rPr>
          <w:color w:val="231F20"/>
          <w:spacing w:val="-4"/>
          <w:w w:val="105"/>
          <w:sz w:val="21"/>
        </w:rPr>
        <w:t>Migraciones </w:t>
      </w:r>
      <w:r>
        <w:rPr>
          <w:color w:val="231F20"/>
          <w:spacing w:val="-3"/>
          <w:w w:val="105"/>
          <w:sz w:val="21"/>
        </w:rPr>
        <w:t>(</w:t>
      </w:r>
      <w:r>
        <w:rPr>
          <w:color w:val="231F20"/>
          <w:spacing w:val="-3"/>
          <w:w w:val="105"/>
          <w:sz w:val="17"/>
        </w:rPr>
        <w:t>OIM</w:t>
      </w:r>
      <w:r>
        <w:rPr>
          <w:color w:val="231F20"/>
          <w:spacing w:val="-3"/>
          <w:w w:val="105"/>
          <w:sz w:val="21"/>
        </w:rPr>
        <w:t>), </w:t>
      </w:r>
      <w:r>
        <w:rPr>
          <w:color w:val="231F20"/>
          <w:spacing w:val="-4"/>
          <w:w w:val="105"/>
          <w:sz w:val="21"/>
        </w:rPr>
        <w:t>(2009), </w:t>
      </w:r>
      <w:r>
        <w:rPr>
          <w:rFonts w:ascii="Arial" w:hAnsi="Arial"/>
          <w:i/>
          <w:color w:val="231F20"/>
          <w:spacing w:val="-5"/>
          <w:w w:val="105"/>
          <w:sz w:val="21"/>
        </w:rPr>
        <w:t>Migración </w:t>
      </w:r>
      <w:r>
        <w:rPr>
          <w:rFonts w:ascii="Arial" w:hAnsi="Arial"/>
          <w:i/>
          <w:color w:val="231F20"/>
          <w:spacing w:val="-4"/>
          <w:w w:val="105"/>
          <w:sz w:val="21"/>
        </w:rPr>
        <w:t>irregular </w:t>
      </w:r>
      <w:r>
        <w:rPr>
          <w:rFonts w:ascii="Arial" w:hAnsi="Arial"/>
          <w:i/>
          <w:color w:val="231F20"/>
          <w:w w:val="105"/>
          <w:sz w:val="21"/>
        </w:rPr>
        <w:t>y </w:t>
      </w:r>
      <w:r>
        <w:rPr>
          <w:rFonts w:ascii="Arial" w:hAnsi="Arial"/>
          <w:i/>
          <w:color w:val="231F20"/>
          <w:spacing w:val="-3"/>
          <w:w w:val="105"/>
          <w:sz w:val="21"/>
        </w:rPr>
        <w:t>flujos </w:t>
      </w:r>
      <w:r>
        <w:rPr>
          <w:rFonts w:ascii="Arial" w:hAnsi="Arial"/>
          <w:i/>
          <w:color w:val="231F20"/>
          <w:spacing w:val="-4"/>
          <w:w w:val="105"/>
          <w:sz w:val="21"/>
        </w:rPr>
        <w:t>migratorios mixtos: Enfoque </w:t>
      </w:r>
      <w:r>
        <w:rPr>
          <w:rFonts w:ascii="Arial" w:hAnsi="Arial"/>
          <w:i/>
          <w:color w:val="231F20"/>
          <w:w w:val="105"/>
          <w:sz w:val="21"/>
        </w:rPr>
        <w:t>de la </w:t>
      </w:r>
      <w:r>
        <w:rPr>
          <w:rFonts w:ascii="Arial" w:hAnsi="Arial"/>
          <w:i/>
          <w:color w:val="231F20"/>
          <w:spacing w:val="-3"/>
          <w:w w:val="105"/>
          <w:sz w:val="17"/>
        </w:rPr>
        <w:t>OIM</w:t>
      </w:r>
      <w:r>
        <w:rPr>
          <w:color w:val="231F20"/>
          <w:spacing w:val="-3"/>
          <w:w w:val="105"/>
          <w:sz w:val="21"/>
        </w:rPr>
        <w:t>, </w:t>
      </w:r>
      <w:r>
        <w:rPr>
          <w:color w:val="231F20"/>
          <w:spacing w:val="-4"/>
          <w:w w:val="105"/>
          <w:sz w:val="21"/>
        </w:rPr>
        <w:t>recupe- rado </w:t>
      </w:r>
      <w:r>
        <w:rPr>
          <w:color w:val="231F20"/>
          <w:w w:val="105"/>
          <w:sz w:val="21"/>
        </w:rPr>
        <w:t>de </w:t>
      </w:r>
      <w:r>
        <w:rPr>
          <w:color w:val="231F20"/>
          <w:spacing w:val="-5"/>
          <w:w w:val="105"/>
          <w:sz w:val="21"/>
        </w:rPr>
        <w:t>ht</w:t>
      </w:r>
      <w:hyperlink r:id="rId74">
        <w:r>
          <w:rPr>
            <w:color w:val="231F20"/>
            <w:spacing w:val="-5"/>
            <w:w w:val="105"/>
            <w:sz w:val="21"/>
          </w:rPr>
          <w:t>tps://www.iom.int/jahia/webdav/site/myjahiasite/sha</w:t>
        </w:r>
      </w:hyperlink>
      <w:r>
        <w:rPr>
          <w:color w:val="231F20"/>
          <w:spacing w:val="-5"/>
          <w:w w:val="105"/>
          <w:sz w:val="21"/>
        </w:rPr>
        <w:t>- </w:t>
      </w:r>
      <w:r>
        <w:rPr>
          <w:color w:val="231F20"/>
          <w:spacing w:val="4"/>
          <w:w w:val="105"/>
          <w:sz w:val="21"/>
        </w:rPr>
        <w:t>red/shared/mainsite/policy_and_research/policy_documents/ </w:t>
      </w:r>
      <w:r>
        <w:rPr>
          <w:color w:val="231F20"/>
          <w:spacing w:val="-5"/>
          <w:w w:val="105"/>
          <w:sz w:val="21"/>
        </w:rPr>
        <w:t>MC-INF-297-Flujos-Migratorios-Mixtos_ES.pdf</w:t>
      </w:r>
    </w:p>
    <w:p>
      <w:pPr>
        <w:spacing w:line="259" w:lineRule="auto" w:before="0"/>
        <w:ind w:left="2461" w:right="1835" w:hanging="738"/>
        <w:jc w:val="both"/>
        <w:rPr>
          <w:sz w:val="21"/>
        </w:rPr>
      </w:pPr>
      <w:r>
        <w:rPr>
          <w:color w:val="231F20"/>
          <w:w w:val="105"/>
          <w:sz w:val="21"/>
        </w:rPr>
        <w:t>Organización</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las</w:t>
      </w:r>
      <w:r>
        <w:rPr>
          <w:color w:val="231F20"/>
          <w:spacing w:val="-16"/>
          <w:w w:val="105"/>
          <w:sz w:val="21"/>
        </w:rPr>
        <w:t> </w:t>
      </w:r>
      <w:r>
        <w:rPr>
          <w:color w:val="231F20"/>
          <w:w w:val="105"/>
          <w:sz w:val="21"/>
        </w:rPr>
        <w:t>Naciones</w:t>
      </w:r>
      <w:r>
        <w:rPr>
          <w:color w:val="231F20"/>
          <w:spacing w:val="-16"/>
          <w:w w:val="105"/>
          <w:sz w:val="21"/>
        </w:rPr>
        <w:t> </w:t>
      </w:r>
      <w:r>
        <w:rPr>
          <w:color w:val="231F20"/>
          <w:w w:val="105"/>
          <w:sz w:val="21"/>
        </w:rPr>
        <w:t>Unidas</w:t>
      </w:r>
      <w:r>
        <w:rPr>
          <w:color w:val="231F20"/>
          <w:spacing w:val="-16"/>
          <w:w w:val="105"/>
          <w:sz w:val="21"/>
        </w:rPr>
        <w:t> </w:t>
      </w:r>
      <w:r>
        <w:rPr>
          <w:color w:val="231F20"/>
          <w:w w:val="105"/>
          <w:sz w:val="21"/>
        </w:rPr>
        <w:t>(</w:t>
      </w:r>
      <w:r>
        <w:rPr>
          <w:color w:val="231F20"/>
          <w:w w:val="105"/>
          <w:sz w:val="17"/>
        </w:rPr>
        <w:t>ONU</w:t>
      </w:r>
      <w:r>
        <w:rPr>
          <w:color w:val="231F20"/>
          <w:w w:val="105"/>
          <w:sz w:val="21"/>
        </w:rPr>
        <w:t>),</w:t>
      </w:r>
      <w:r>
        <w:rPr>
          <w:color w:val="231F20"/>
          <w:spacing w:val="-20"/>
          <w:w w:val="105"/>
          <w:sz w:val="21"/>
        </w:rPr>
        <w:t> </w:t>
      </w:r>
      <w:r>
        <w:rPr>
          <w:color w:val="231F20"/>
          <w:w w:val="105"/>
          <w:sz w:val="21"/>
        </w:rPr>
        <w:t>(1975),</w:t>
      </w:r>
      <w:r>
        <w:rPr>
          <w:color w:val="231F20"/>
          <w:spacing w:val="-20"/>
          <w:w w:val="105"/>
          <w:sz w:val="21"/>
        </w:rPr>
        <w:t> </w:t>
      </w:r>
      <w:r>
        <w:rPr>
          <w:rFonts w:ascii="Arial" w:hAnsi="Arial"/>
          <w:i/>
          <w:color w:val="231F20"/>
          <w:w w:val="105"/>
          <w:sz w:val="21"/>
        </w:rPr>
        <w:t>Resolución</w:t>
      </w:r>
      <w:r>
        <w:rPr>
          <w:rFonts w:ascii="Arial" w:hAnsi="Arial"/>
          <w:i/>
          <w:color w:val="231F20"/>
          <w:spacing w:val="-19"/>
          <w:w w:val="105"/>
          <w:sz w:val="21"/>
        </w:rPr>
        <w:t> </w:t>
      </w:r>
      <w:r>
        <w:rPr>
          <w:rFonts w:ascii="Arial" w:hAnsi="Arial"/>
          <w:i/>
          <w:color w:val="231F20"/>
          <w:w w:val="105"/>
          <w:sz w:val="21"/>
        </w:rPr>
        <w:t>número </w:t>
      </w:r>
      <w:r>
        <w:rPr>
          <w:rFonts w:ascii="Arial" w:hAnsi="Arial"/>
          <w:i/>
          <w:color w:val="231F20"/>
          <w:w w:val="105"/>
          <w:sz w:val="21"/>
        </w:rPr>
        <w:t>3449 (</w:t>
      </w:r>
      <w:r>
        <w:rPr>
          <w:rFonts w:ascii="Arial" w:hAnsi="Arial"/>
          <w:i/>
          <w:color w:val="231F20"/>
          <w:w w:val="105"/>
          <w:sz w:val="17"/>
        </w:rPr>
        <w:t>XXX</w:t>
      </w:r>
      <w:r>
        <w:rPr>
          <w:rFonts w:ascii="Arial" w:hAnsi="Arial"/>
          <w:i/>
          <w:color w:val="231F20"/>
          <w:w w:val="105"/>
          <w:sz w:val="21"/>
        </w:rPr>
        <w:t>)</w:t>
      </w:r>
      <w:r>
        <w:rPr>
          <w:color w:val="231F20"/>
          <w:w w:val="105"/>
          <w:sz w:val="21"/>
        </w:rPr>
        <w:t>, recuperado de </w:t>
      </w:r>
      <w:hyperlink r:id="rId75">
        <w:r>
          <w:rPr>
            <w:color w:val="231F20"/>
            <w:w w:val="105"/>
            <w:sz w:val="21"/>
          </w:rPr>
          <w:t>http://www.un.org/es/documents/ag/</w:t>
        </w:r>
      </w:hyperlink>
      <w:r>
        <w:rPr>
          <w:color w:val="231F20"/>
          <w:w w:val="105"/>
          <w:sz w:val="21"/>
        </w:rPr>
        <w:t> res/30/ares30.htm</w:t>
      </w:r>
    </w:p>
    <w:p>
      <w:pPr>
        <w:tabs>
          <w:tab w:pos="2563" w:val="left" w:leader="none"/>
        </w:tabs>
        <w:spacing w:line="261" w:lineRule="auto" w:before="0"/>
        <w:ind w:left="2460" w:right="1835" w:hanging="738"/>
        <w:jc w:val="both"/>
        <w:rPr>
          <w:sz w:val="21"/>
        </w:rPr>
      </w:pPr>
      <w:r>
        <w:rPr>
          <w:color w:val="231F20"/>
          <w:w w:val="94"/>
          <w:sz w:val="21"/>
          <w:u w:val="single" w:color="221E1F"/>
        </w:rPr>
        <w:t> </w:t>
      </w:r>
      <w:r>
        <w:rPr>
          <w:color w:val="231F20"/>
          <w:sz w:val="21"/>
          <w:u w:val="single" w:color="221E1F"/>
        </w:rPr>
        <w:tab/>
        <w:tab/>
      </w:r>
      <w:r>
        <w:rPr>
          <w:color w:val="231F20"/>
          <w:spacing w:val="21"/>
          <w:sz w:val="21"/>
        </w:rPr>
        <w:t> </w:t>
      </w:r>
      <w:r>
        <w:rPr>
          <w:color w:val="231F20"/>
          <w:w w:val="105"/>
          <w:sz w:val="21"/>
        </w:rPr>
        <w:t>(1989), </w:t>
      </w:r>
      <w:r>
        <w:rPr>
          <w:rFonts w:ascii="Arial" w:hAnsi="Arial"/>
          <w:i/>
          <w:color w:val="231F20"/>
          <w:w w:val="105"/>
          <w:sz w:val="21"/>
        </w:rPr>
        <w:t>Convención sobre los Derechos del</w:t>
      </w:r>
      <w:r>
        <w:rPr>
          <w:rFonts w:ascii="Arial" w:hAnsi="Arial"/>
          <w:i/>
          <w:color w:val="231F20"/>
          <w:spacing w:val="3"/>
          <w:w w:val="105"/>
          <w:sz w:val="21"/>
        </w:rPr>
        <w:t> </w:t>
      </w:r>
      <w:r>
        <w:rPr>
          <w:rFonts w:ascii="Arial" w:hAnsi="Arial"/>
          <w:i/>
          <w:color w:val="231F20"/>
          <w:w w:val="105"/>
          <w:sz w:val="21"/>
        </w:rPr>
        <w:t>Niño</w:t>
      </w:r>
      <w:r>
        <w:rPr>
          <w:color w:val="231F20"/>
          <w:w w:val="105"/>
          <w:sz w:val="21"/>
        </w:rPr>
        <w:t>,</w:t>
      </w:r>
      <w:r>
        <w:rPr>
          <w:color w:val="231F20"/>
          <w:spacing w:val="3"/>
          <w:w w:val="105"/>
          <w:sz w:val="21"/>
        </w:rPr>
        <w:t> </w:t>
      </w:r>
      <w:r>
        <w:rPr>
          <w:color w:val="231F20"/>
          <w:w w:val="105"/>
          <w:sz w:val="21"/>
        </w:rPr>
        <w:t>recuperado</w:t>
      </w:r>
      <w:r>
        <w:rPr>
          <w:color w:val="231F20"/>
          <w:w w:val="106"/>
          <w:sz w:val="21"/>
        </w:rPr>
        <w:t> </w:t>
      </w:r>
      <w:r>
        <w:rPr>
          <w:color w:val="231F20"/>
          <w:w w:val="105"/>
          <w:sz w:val="21"/>
        </w:rPr>
        <w:t>de</w:t>
      </w:r>
      <w:r>
        <w:rPr>
          <w:color w:val="231F20"/>
          <w:spacing w:val="55"/>
          <w:w w:val="105"/>
          <w:sz w:val="21"/>
        </w:rPr>
        <w:t> </w:t>
      </w:r>
      <w:hyperlink r:id="rId76">
        <w:r>
          <w:rPr>
            <w:color w:val="231F20"/>
            <w:w w:val="105"/>
            <w:sz w:val="21"/>
          </w:rPr>
          <w:t>http://www.unicef.org/ecuador/convencion_2.pdf</w:t>
        </w:r>
      </w:hyperlink>
    </w:p>
    <w:p>
      <w:pPr>
        <w:tabs>
          <w:tab w:pos="2563" w:val="left" w:leader="none"/>
        </w:tabs>
        <w:spacing w:line="261" w:lineRule="auto" w:before="0"/>
        <w:ind w:left="2460" w:right="1829" w:hanging="738"/>
        <w:jc w:val="both"/>
        <w:rPr>
          <w:sz w:val="21"/>
        </w:rPr>
      </w:pPr>
      <w:r>
        <w:rPr>
          <w:color w:val="231F20"/>
          <w:w w:val="94"/>
          <w:sz w:val="21"/>
          <w:u w:val="single" w:color="221E1F"/>
        </w:rPr>
        <w:t> </w:t>
      </w:r>
      <w:r>
        <w:rPr>
          <w:color w:val="231F20"/>
          <w:sz w:val="21"/>
          <w:u w:val="single" w:color="221E1F"/>
        </w:rPr>
        <w:tab/>
        <w:tab/>
      </w:r>
      <w:r>
        <w:rPr>
          <w:color w:val="231F20"/>
          <w:sz w:val="21"/>
        </w:rPr>
        <w:t> </w:t>
      </w:r>
      <w:r>
        <w:rPr>
          <w:color w:val="231F20"/>
          <w:spacing w:val="-10"/>
          <w:sz w:val="21"/>
        </w:rPr>
        <w:t> </w:t>
      </w:r>
      <w:r>
        <w:rPr>
          <w:color w:val="231F20"/>
          <w:w w:val="105"/>
          <w:sz w:val="21"/>
        </w:rPr>
        <w:t>(1990), </w:t>
      </w:r>
      <w:r>
        <w:rPr>
          <w:rFonts w:ascii="Arial" w:hAnsi="Arial"/>
          <w:i/>
          <w:color w:val="231F20"/>
          <w:w w:val="105"/>
          <w:sz w:val="21"/>
        </w:rPr>
        <w:t>Convención Internacional sobre la Protección </w:t>
      </w:r>
      <w:r>
        <w:rPr>
          <w:rFonts w:ascii="Arial" w:hAnsi="Arial"/>
          <w:i/>
          <w:color w:val="231F20"/>
          <w:spacing w:val="46"/>
          <w:w w:val="105"/>
          <w:sz w:val="21"/>
        </w:rPr>
        <w:t> </w:t>
      </w:r>
      <w:r>
        <w:rPr>
          <w:rFonts w:ascii="Arial" w:hAnsi="Arial"/>
          <w:i/>
          <w:color w:val="231F20"/>
          <w:w w:val="105"/>
          <w:sz w:val="21"/>
        </w:rPr>
        <w:t>de</w:t>
      </w:r>
      <w:r>
        <w:rPr>
          <w:rFonts w:ascii="Arial" w:hAnsi="Arial"/>
          <w:i/>
          <w:color w:val="231F20"/>
          <w:spacing w:val="18"/>
          <w:w w:val="105"/>
          <w:sz w:val="21"/>
        </w:rPr>
        <w:t> </w:t>
      </w:r>
      <w:r>
        <w:rPr>
          <w:rFonts w:ascii="Arial" w:hAnsi="Arial"/>
          <w:i/>
          <w:color w:val="231F20"/>
          <w:w w:val="105"/>
          <w:sz w:val="21"/>
        </w:rPr>
        <w:t>los</w:t>
      </w:r>
      <w:r>
        <w:rPr>
          <w:rFonts w:ascii="Arial" w:hAnsi="Arial"/>
          <w:i/>
          <w:color w:val="231F20"/>
          <w:w w:val="101"/>
          <w:sz w:val="21"/>
        </w:rPr>
        <w:t> </w:t>
      </w:r>
      <w:r>
        <w:rPr>
          <w:rFonts w:ascii="Arial" w:hAnsi="Arial"/>
          <w:i/>
          <w:color w:val="231F20"/>
          <w:w w:val="105"/>
          <w:sz w:val="21"/>
        </w:rPr>
        <w:t>Derechos</w:t>
      </w:r>
      <w:r>
        <w:rPr>
          <w:rFonts w:ascii="Arial" w:hAnsi="Arial"/>
          <w:i/>
          <w:color w:val="231F20"/>
          <w:spacing w:val="-35"/>
          <w:w w:val="105"/>
          <w:sz w:val="21"/>
        </w:rPr>
        <w:t> </w:t>
      </w:r>
      <w:r>
        <w:rPr>
          <w:rFonts w:ascii="Arial" w:hAnsi="Arial"/>
          <w:i/>
          <w:color w:val="231F20"/>
          <w:w w:val="105"/>
          <w:sz w:val="21"/>
        </w:rPr>
        <w:t>de</w:t>
      </w:r>
      <w:r>
        <w:rPr>
          <w:rFonts w:ascii="Arial" w:hAnsi="Arial"/>
          <w:i/>
          <w:color w:val="231F20"/>
          <w:spacing w:val="-35"/>
          <w:w w:val="105"/>
          <w:sz w:val="21"/>
        </w:rPr>
        <w:t> </w:t>
      </w:r>
      <w:r>
        <w:rPr>
          <w:rFonts w:ascii="Arial" w:hAnsi="Arial"/>
          <w:i/>
          <w:color w:val="231F20"/>
          <w:w w:val="105"/>
          <w:sz w:val="21"/>
        </w:rPr>
        <w:t>todos</w:t>
      </w:r>
      <w:r>
        <w:rPr>
          <w:rFonts w:ascii="Arial" w:hAnsi="Arial"/>
          <w:i/>
          <w:color w:val="231F20"/>
          <w:spacing w:val="-35"/>
          <w:w w:val="105"/>
          <w:sz w:val="21"/>
        </w:rPr>
        <w:t> </w:t>
      </w:r>
      <w:r>
        <w:rPr>
          <w:rFonts w:ascii="Arial" w:hAnsi="Arial"/>
          <w:i/>
          <w:color w:val="231F20"/>
          <w:w w:val="105"/>
          <w:sz w:val="21"/>
        </w:rPr>
        <w:t>los</w:t>
      </w:r>
      <w:r>
        <w:rPr>
          <w:rFonts w:ascii="Arial" w:hAnsi="Arial"/>
          <w:i/>
          <w:color w:val="231F20"/>
          <w:spacing w:val="-38"/>
          <w:w w:val="105"/>
          <w:sz w:val="21"/>
        </w:rPr>
        <w:t> </w:t>
      </w:r>
      <w:r>
        <w:rPr>
          <w:rFonts w:ascii="Arial" w:hAnsi="Arial"/>
          <w:i/>
          <w:color w:val="231F20"/>
          <w:spacing w:val="-3"/>
          <w:w w:val="105"/>
          <w:sz w:val="21"/>
        </w:rPr>
        <w:t>Trabajadores</w:t>
      </w:r>
      <w:r>
        <w:rPr>
          <w:rFonts w:ascii="Arial" w:hAnsi="Arial"/>
          <w:i/>
          <w:color w:val="231F20"/>
          <w:spacing w:val="-35"/>
          <w:w w:val="105"/>
          <w:sz w:val="21"/>
        </w:rPr>
        <w:t> </w:t>
      </w:r>
      <w:r>
        <w:rPr>
          <w:rFonts w:ascii="Arial" w:hAnsi="Arial"/>
          <w:i/>
          <w:color w:val="231F20"/>
          <w:w w:val="105"/>
          <w:sz w:val="21"/>
        </w:rPr>
        <w:t>Migratorios</w:t>
      </w:r>
      <w:r>
        <w:rPr>
          <w:rFonts w:ascii="Arial" w:hAnsi="Arial"/>
          <w:i/>
          <w:color w:val="231F20"/>
          <w:spacing w:val="-35"/>
          <w:w w:val="105"/>
          <w:sz w:val="21"/>
        </w:rPr>
        <w:t> </w:t>
      </w:r>
      <w:r>
        <w:rPr>
          <w:rFonts w:ascii="Arial" w:hAnsi="Arial"/>
          <w:i/>
          <w:color w:val="231F20"/>
          <w:w w:val="105"/>
          <w:sz w:val="21"/>
        </w:rPr>
        <w:t>y</w:t>
      </w:r>
      <w:r>
        <w:rPr>
          <w:rFonts w:ascii="Arial" w:hAnsi="Arial"/>
          <w:i/>
          <w:color w:val="231F20"/>
          <w:spacing w:val="-35"/>
          <w:w w:val="105"/>
          <w:sz w:val="21"/>
        </w:rPr>
        <w:t> </w:t>
      </w:r>
      <w:r>
        <w:rPr>
          <w:rFonts w:ascii="Arial" w:hAnsi="Arial"/>
          <w:i/>
          <w:color w:val="231F20"/>
          <w:w w:val="105"/>
          <w:sz w:val="21"/>
        </w:rPr>
        <w:t>de</w:t>
      </w:r>
      <w:r>
        <w:rPr>
          <w:rFonts w:ascii="Arial" w:hAnsi="Arial"/>
          <w:i/>
          <w:color w:val="231F20"/>
          <w:spacing w:val="-35"/>
          <w:w w:val="105"/>
          <w:sz w:val="21"/>
        </w:rPr>
        <w:t> </w:t>
      </w:r>
      <w:r>
        <w:rPr>
          <w:rFonts w:ascii="Arial" w:hAnsi="Arial"/>
          <w:i/>
          <w:color w:val="231F20"/>
          <w:w w:val="105"/>
          <w:sz w:val="21"/>
        </w:rPr>
        <w:t>sus</w:t>
      </w:r>
      <w:r>
        <w:rPr>
          <w:rFonts w:ascii="Arial" w:hAnsi="Arial"/>
          <w:i/>
          <w:color w:val="231F20"/>
          <w:spacing w:val="-35"/>
          <w:w w:val="105"/>
          <w:sz w:val="21"/>
        </w:rPr>
        <w:t> </w:t>
      </w:r>
      <w:r>
        <w:rPr>
          <w:rFonts w:ascii="Arial" w:hAnsi="Arial"/>
          <w:i/>
          <w:color w:val="231F20"/>
          <w:w w:val="105"/>
          <w:sz w:val="21"/>
        </w:rPr>
        <w:t>Familias</w:t>
      </w:r>
      <w:r>
        <w:rPr>
          <w:color w:val="231F20"/>
          <w:w w:val="105"/>
          <w:sz w:val="21"/>
        </w:rPr>
        <w:t>, </w:t>
      </w:r>
      <w:r>
        <w:rPr>
          <w:w w:val="105"/>
          <w:sz w:val="21"/>
        </w:rPr>
        <w:t>recuperado de </w:t>
      </w:r>
      <w:hyperlink r:id="rId77">
        <w:r>
          <w:rPr>
            <w:color w:val="231F20"/>
            <w:w w:val="105"/>
            <w:sz w:val="21"/>
          </w:rPr>
          <w:t>http://www.ohchr.org/SP/ProfessionalInterest/</w:t>
        </w:r>
      </w:hyperlink>
      <w:r>
        <w:rPr>
          <w:color w:val="231F20"/>
          <w:w w:val="105"/>
          <w:sz w:val="21"/>
        </w:rPr>
        <w:t> Pages/CMW.aspx</w:t>
      </w:r>
    </w:p>
    <w:p>
      <w:pPr>
        <w:tabs>
          <w:tab w:pos="2563" w:val="left" w:leader="none"/>
        </w:tabs>
        <w:spacing w:line="259" w:lineRule="auto" w:before="0"/>
        <w:ind w:left="2460" w:right="1834" w:hanging="738"/>
        <w:jc w:val="both"/>
        <w:rPr>
          <w:sz w:val="21"/>
        </w:rPr>
      </w:pPr>
      <w:r>
        <w:rPr>
          <w:color w:val="231F20"/>
          <w:w w:val="94"/>
          <w:sz w:val="21"/>
          <w:u w:val="single" w:color="221E1F"/>
        </w:rPr>
        <w:t> </w:t>
      </w:r>
      <w:r>
        <w:rPr>
          <w:color w:val="231F20"/>
          <w:sz w:val="21"/>
          <w:u w:val="single" w:color="221E1F"/>
        </w:rPr>
        <w:tab/>
        <w:tab/>
      </w:r>
      <w:r>
        <w:rPr>
          <w:color w:val="231F20"/>
          <w:spacing w:val="4"/>
          <w:sz w:val="21"/>
        </w:rPr>
        <w:t> </w:t>
      </w:r>
      <w:r>
        <w:rPr>
          <w:color w:val="231F20"/>
          <w:w w:val="105"/>
          <w:sz w:val="21"/>
        </w:rPr>
        <w:t>(2013a),</w:t>
      </w:r>
      <w:r>
        <w:rPr>
          <w:color w:val="231F20"/>
          <w:spacing w:val="-23"/>
          <w:w w:val="105"/>
          <w:sz w:val="21"/>
        </w:rPr>
        <w:t> </w:t>
      </w:r>
      <w:r>
        <w:rPr>
          <w:rFonts w:ascii="Arial"/>
          <w:i/>
          <w:color w:val="231F20"/>
          <w:w w:val="105"/>
          <w:sz w:val="21"/>
        </w:rPr>
        <w:t>Comunicado</w:t>
      </w:r>
      <w:r>
        <w:rPr>
          <w:rFonts w:ascii="Arial"/>
          <w:i/>
          <w:color w:val="231F20"/>
          <w:spacing w:val="-22"/>
          <w:w w:val="105"/>
          <w:sz w:val="21"/>
        </w:rPr>
        <w:t> </w:t>
      </w:r>
      <w:r>
        <w:rPr>
          <w:rFonts w:ascii="Arial"/>
          <w:i/>
          <w:color w:val="231F20"/>
          <w:w w:val="105"/>
          <w:sz w:val="21"/>
        </w:rPr>
        <w:t>de</w:t>
      </w:r>
      <w:r>
        <w:rPr>
          <w:rFonts w:ascii="Arial"/>
          <w:i/>
          <w:color w:val="231F20"/>
          <w:spacing w:val="-22"/>
          <w:w w:val="105"/>
          <w:sz w:val="21"/>
        </w:rPr>
        <w:t> </w:t>
      </w:r>
      <w:r>
        <w:rPr>
          <w:rFonts w:ascii="Arial"/>
          <w:i/>
          <w:color w:val="231F20"/>
          <w:spacing w:val="-3"/>
          <w:w w:val="105"/>
          <w:sz w:val="21"/>
        </w:rPr>
        <w:t>Prensa</w:t>
      </w:r>
      <w:r>
        <w:rPr>
          <w:rFonts w:ascii="Arial"/>
          <w:i/>
          <w:color w:val="231F20"/>
          <w:spacing w:val="-22"/>
          <w:w w:val="105"/>
          <w:sz w:val="21"/>
        </w:rPr>
        <w:t> </w:t>
      </w:r>
      <w:r>
        <w:rPr>
          <w:rFonts w:ascii="Arial"/>
          <w:i/>
          <w:color w:val="231F20"/>
          <w:w w:val="105"/>
          <w:sz w:val="21"/>
        </w:rPr>
        <w:t>de</w:t>
      </w:r>
      <w:r>
        <w:rPr>
          <w:rFonts w:ascii="Arial"/>
          <w:i/>
          <w:color w:val="231F20"/>
          <w:spacing w:val="-22"/>
          <w:w w:val="105"/>
          <w:sz w:val="21"/>
        </w:rPr>
        <w:t> </w:t>
      </w:r>
      <w:r>
        <w:rPr>
          <w:rFonts w:ascii="Arial"/>
          <w:i/>
          <w:color w:val="231F20"/>
          <w:w w:val="105"/>
          <w:sz w:val="21"/>
        </w:rPr>
        <w:t>las</w:t>
      </w:r>
      <w:r>
        <w:rPr>
          <w:rFonts w:ascii="Arial"/>
          <w:i/>
          <w:color w:val="231F20"/>
          <w:spacing w:val="-22"/>
          <w:w w:val="105"/>
          <w:sz w:val="21"/>
        </w:rPr>
        <w:t> </w:t>
      </w:r>
      <w:r>
        <w:rPr>
          <w:rFonts w:ascii="Arial"/>
          <w:i/>
          <w:color w:val="231F20"/>
          <w:w w:val="105"/>
          <w:sz w:val="21"/>
        </w:rPr>
        <w:t>Naciones</w:t>
      </w:r>
      <w:r>
        <w:rPr>
          <w:rFonts w:ascii="Arial"/>
          <w:i/>
          <w:color w:val="231F20"/>
          <w:spacing w:val="-22"/>
          <w:w w:val="105"/>
          <w:sz w:val="21"/>
        </w:rPr>
        <w:t> </w:t>
      </w:r>
      <w:r>
        <w:rPr>
          <w:rFonts w:ascii="Arial"/>
          <w:i/>
          <w:color w:val="231F20"/>
          <w:w w:val="105"/>
          <w:sz w:val="21"/>
        </w:rPr>
        <w:t>Unidas</w:t>
      </w:r>
      <w:r>
        <w:rPr>
          <w:rFonts w:ascii="Arial"/>
          <w:i/>
          <w:color w:val="231F20"/>
          <w:spacing w:val="-22"/>
          <w:w w:val="105"/>
          <w:sz w:val="21"/>
        </w:rPr>
        <w:t> </w:t>
      </w:r>
      <w:r>
        <w:rPr>
          <w:rFonts w:ascii="Arial"/>
          <w:i/>
          <w:color w:val="231F20"/>
          <w:w w:val="105"/>
          <w:sz w:val="21"/>
        </w:rPr>
        <w:t>del</w:t>
      </w:r>
      <w:r>
        <w:rPr>
          <w:rFonts w:ascii="Arial"/>
          <w:i/>
          <w:color w:val="231F20"/>
          <w:spacing w:val="-22"/>
          <w:w w:val="105"/>
          <w:sz w:val="21"/>
        </w:rPr>
        <w:t> </w:t>
      </w:r>
      <w:r>
        <w:rPr>
          <w:rFonts w:ascii="Arial"/>
          <w:i/>
          <w:color w:val="231F20"/>
          <w:w w:val="105"/>
          <w:sz w:val="21"/>
        </w:rPr>
        <w:t>11</w:t>
      </w:r>
      <w:r>
        <w:rPr>
          <w:rFonts w:ascii="Arial"/>
          <w:i/>
          <w:color w:val="231F20"/>
          <w:w w:val="104"/>
          <w:sz w:val="21"/>
        </w:rPr>
        <w:t> </w:t>
      </w:r>
      <w:r>
        <w:rPr>
          <w:rFonts w:ascii="Arial"/>
          <w:i/>
          <w:color w:val="231F20"/>
          <w:w w:val="105"/>
          <w:sz w:val="21"/>
        </w:rPr>
        <w:t>de septiembre</w:t>
      </w:r>
      <w:r>
        <w:rPr>
          <w:color w:val="231F20"/>
          <w:w w:val="105"/>
          <w:sz w:val="21"/>
        </w:rPr>
        <w:t>, </w:t>
      </w:r>
      <w:r>
        <w:rPr>
          <w:w w:val="105"/>
          <w:sz w:val="21"/>
        </w:rPr>
        <w:t>recuperado de http: // </w:t>
      </w:r>
      <w:hyperlink r:id="rId41">
        <w:r>
          <w:rPr>
            <w:w w:val="105"/>
            <w:sz w:val="21"/>
          </w:rPr>
          <w:t>www.</w:t>
        </w:r>
      </w:hyperlink>
      <w:r>
        <w:rPr>
          <w:w w:val="105"/>
          <w:sz w:val="21"/>
        </w:rPr>
        <w:t> un.org/es/ga/68/ meetings/migration/pdf/press_el_sep%202013_spa.pdf</w:t>
      </w:r>
    </w:p>
    <w:p>
      <w:pPr>
        <w:pStyle w:val="BodyText"/>
        <w:tabs>
          <w:tab w:pos="2563" w:val="left" w:leader="none"/>
        </w:tabs>
        <w:spacing w:line="261" w:lineRule="auto"/>
        <w:ind w:left="2460" w:right="1834" w:hanging="738"/>
        <w:jc w:val="both"/>
      </w:pPr>
      <w:r>
        <w:rPr>
          <w:w w:val="94"/>
          <w:u w:val="single" w:color="221E1F"/>
        </w:rPr>
        <w:t> </w:t>
      </w:r>
      <w:r>
        <w:rPr>
          <w:u w:val="single" w:color="221E1F"/>
        </w:rPr>
        <w:tab/>
        <w:tab/>
      </w:r>
      <w:r>
        <w:rPr>
          <w:spacing w:val="-5"/>
        </w:rPr>
        <w:t> </w:t>
      </w:r>
      <w:r>
        <w:rPr>
          <w:w w:val="105"/>
        </w:rPr>
        <w:t>(2013b),</w:t>
      </w:r>
      <w:r>
        <w:rPr>
          <w:spacing w:val="-25"/>
          <w:w w:val="105"/>
        </w:rPr>
        <w:t> </w:t>
      </w:r>
      <w:r>
        <w:rPr>
          <w:rFonts w:ascii="Arial" w:hAnsi="Arial"/>
          <w:i/>
          <w:w w:val="105"/>
        </w:rPr>
        <w:t>Estudio</w:t>
      </w:r>
      <w:r>
        <w:rPr>
          <w:rFonts w:ascii="Arial" w:hAnsi="Arial"/>
          <w:i/>
          <w:spacing w:val="-22"/>
          <w:w w:val="105"/>
        </w:rPr>
        <w:t> </w:t>
      </w:r>
      <w:r>
        <w:rPr>
          <w:rFonts w:ascii="Arial" w:hAnsi="Arial"/>
          <w:i/>
          <w:w w:val="105"/>
        </w:rPr>
        <w:t>Global</w:t>
      </w:r>
      <w:r>
        <w:rPr>
          <w:rFonts w:ascii="Arial" w:hAnsi="Arial"/>
          <w:i/>
          <w:spacing w:val="-22"/>
          <w:w w:val="105"/>
        </w:rPr>
        <w:t> </w:t>
      </w:r>
      <w:r>
        <w:rPr>
          <w:rFonts w:ascii="Arial" w:hAnsi="Arial"/>
          <w:i/>
          <w:w w:val="105"/>
        </w:rPr>
        <w:t>de</w:t>
      </w:r>
      <w:r>
        <w:rPr>
          <w:rFonts w:ascii="Arial" w:hAnsi="Arial"/>
          <w:i/>
          <w:spacing w:val="-22"/>
          <w:w w:val="105"/>
        </w:rPr>
        <w:t> </w:t>
      </w:r>
      <w:r>
        <w:rPr>
          <w:rFonts w:ascii="Arial" w:hAnsi="Arial"/>
          <w:i/>
          <w:w w:val="105"/>
        </w:rPr>
        <w:t>Homicidios</w:t>
      </w:r>
      <w:r>
        <w:rPr>
          <w:rFonts w:ascii="Arial" w:hAnsi="Arial"/>
          <w:i/>
          <w:spacing w:val="-22"/>
          <w:w w:val="105"/>
        </w:rPr>
        <w:t> </w:t>
      </w:r>
      <w:r>
        <w:rPr>
          <w:rFonts w:ascii="Arial" w:hAnsi="Arial"/>
          <w:i/>
          <w:w w:val="105"/>
        </w:rPr>
        <w:t>2013</w:t>
      </w:r>
      <w:r>
        <w:rPr>
          <w:w w:val="105"/>
        </w:rPr>
        <w:t>,</w:t>
      </w:r>
      <w:r>
        <w:rPr>
          <w:spacing w:val="-25"/>
          <w:w w:val="105"/>
        </w:rPr>
        <w:t> </w:t>
      </w:r>
      <w:r>
        <w:rPr>
          <w:w w:val="105"/>
        </w:rPr>
        <w:t>Oficina</w:t>
      </w:r>
      <w:r>
        <w:rPr>
          <w:spacing w:val="-19"/>
          <w:w w:val="105"/>
        </w:rPr>
        <w:t> </w:t>
      </w:r>
      <w:r>
        <w:rPr>
          <w:w w:val="105"/>
        </w:rPr>
        <w:t>en</w:t>
      </w:r>
      <w:r>
        <w:rPr>
          <w:spacing w:val="-19"/>
          <w:w w:val="105"/>
        </w:rPr>
        <w:t> </w:t>
      </w:r>
      <w:r>
        <w:rPr>
          <w:w w:val="105"/>
        </w:rPr>
        <w:t>Drogas</w:t>
      </w:r>
      <w:r>
        <w:rPr>
          <w:w w:val="102"/>
        </w:rPr>
        <w:t> </w:t>
      </w:r>
      <w:r>
        <w:rPr>
          <w:w w:val="105"/>
        </w:rPr>
        <w:t>y</w:t>
      </w:r>
      <w:r>
        <w:rPr>
          <w:spacing w:val="-23"/>
          <w:w w:val="105"/>
        </w:rPr>
        <w:t> </w:t>
      </w:r>
      <w:r>
        <w:rPr>
          <w:w w:val="105"/>
        </w:rPr>
        <w:t>Crimen</w:t>
      </w:r>
      <w:r>
        <w:rPr>
          <w:spacing w:val="-23"/>
          <w:w w:val="105"/>
        </w:rPr>
        <w:t> </w:t>
      </w:r>
      <w:r>
        <w:rPr>
          <w:w w:val="105"/>
        </w:rPr>
        <w:t>de</w:t>
      </w:r>
      <w:r>
        <w:rPr>
          <w:spacing w:val="-23"/>
          <w:w w:val="105"/>
        </w:rPr>
        <w:t> </w:t>
      </w:r>
      <w:r>
        <w:rPr>
          <w:w w:val="105"/>
        </w:rPr>
        <w:t>la</w:t>
      </w:r>
      <w:r>
        <w:rPr>
          <w:spacing w:val="-23"/>
          <w:w w:val="105"/>
        </w:rPr>
        <w:t> </w:t>
      </w:r>
      <w:r>
        <w:rPr>
          <w:w w:val="105"/>
        </w:rPr>
        <w:t>Organización</w:t>
      </w:r>
      <w:r>
        <w:rPr>
          <w:spacing w:val="-23"/>
          <w:w w:val="105"/>
        </w:rPr>
        <w:t> </w:t>
      </w:r>
      <w:r>
        <w:rPr>
          <w:w w:val="105"/>
        </w:rPr>
        <w:t>de</w:t>
      </w:r>
      <w:r>
        <w:rPr>
          <w:spacing w:val="-23"/>
          <w:w w:val="105"/>
        </w:rPr>
        <w:t> </w:t>
      </w:r>
      <w:r>
        <w:rPr>
          <w:w w:val="105"/>
        </w:rPr>
        <w:t>las</w:t>
      </w:r>
      <w:r>
        <w:rPr>
          <w:spacing w:val="-23"/>
          <w:w w:val="105"/>
        </w:rPr>
        <w:t> </w:t>
      </w:r>
      <w:r>
        <w:rPr>
          <w:w w:val="105"/>
        </w:rPr>
        <w:t>Naciones</w:t>
      </w:r>
      <w:r>
        <w:rPr>
          <w:spacing w:val="-23"/>
          <w:w w:val="105"/>
        </w:rPr>
        <w:t> </w:t>
      </w:r>
      <w:r>
        <w:rPr>
          <w:w w:val="105"/>
        </w:rPr>
        <w:t>Unidas,</w:t>
      </w:r>
      <w:r>
        <w:rPr>
          <w:spacing w:val="-27"/>
          <w:w w:val="105"/>
        </w:rPr>
        <w:t> </w:t>
      </w:r>
      <w:r>
        <w:rPr>
          <w:w w:val="105"/>
        </w:rPr>
        <w:t>recuperado de </w:t>
      </w:r>
      <w:hyperlink r:id="rId78">
        <w:r>
          <w:rPr>
            <w:w w:val="105"/>
          </w:rPr>
          <w:t>http://www.unodc.org/documents/gsh/pdfs/2014_GLOBAL_</w:t>
        </w:r>
      </w:hyperlink>
      <w:r>
        <w:rPr>
          <w:w w:val="105"/>
        </w:rPr>
        <w:t> HOMICIDE_BOOK_web.pdf</w:t>
      </w:r>
    </w:p>
    <w:p>
      <w:pPr>
        <w:pStyle w:val="BodyText"/>
        <w:spacing w:line="261" w:lineRule="auto"/>
        <w:ind w:left="2460" w:right="1833" w:hanging="738"/>
        <w:jc w:val="both"/>
      </w:pPr>
      <w:r>
        <w:rPr>
          <w:w w:val="105"/>
        </w:rPr>
        <w:t>Secretaría</w:t>
      </w:r>
      <w:r>
        <w:rPr>
          <w:spacing w:val="-22"/>
          <w:w w:val="105"/>
        </w:rPr>
        <w:t> </w:t>
      </w:r>
      <w:r>
        <w:rPr>
          <w:w w:val="105"/>
        </w:rPr>
        <w:t>de</w:t>
      </w:r>
      <w:r>
        <w:rPr>
          <w:spacing w:val="-22"/>
          <w:w w:val="105"/>
        </w:rPr>
        <w:t> </w:t>
      </w:r>
      <w:r>
        <w:rPr>
          <w:w w:val="105"/>
        </w:rPr>
        <w:t>Gobernación</w:t>
      </w:r>
      <w:r>
        <w:rPr>
          <w:spacing w:val="-22"/>
          <w:w w:val="105"/>
        </w:rPr>
        <w:t> </w:t>
      </w:r>
      <w:r>
        <w:rPr>
          <w:w w:val="105"/>
        </w:rPr>
        <w:t>(</w:t>
      </w:r>
      <w:r>
        <w:rPr>
          <w:w w:val="105"/>
          <w:sz w:val="17"/>
        </w:rPr>
        <w:t>SEGOB</w:t>
      </w:r>
      <w:r>
        <w:rPr>
          <w:w w:val="105"/>
        </w:rPr>
        <w:t>),</w:t>
      </w:r>
      <w:r>
        <w:rPr>
          <w:spacing w:val="-25"/>
          <w:w w:val="105"/>
        </w:rPr>
        <w:t> </w:t>
      </w:r>
      <w:r>
        <w:rPr>
          <w:w w:val="105"/>
        </w:rPr>
        <w:t>(2014),</w:t>
      </w:r>
      <w:r>
        <w:rPr>
          <w:spacing w:val="-25"/>
          <w:w w:val="105"/>
        </w:rPr>
        <w:t> </w:t>
      </w:r>
      <w:r>
        <w:rPr>
          <w:rFonts w:ascii="Arial" w:hAnsi="Arial"/>
          <w:i/>
          <w:w w:val="105"/>
        </w:rPr>
        <w:t>En</w:t>
      </w:r>
      <w:r>
        <w:rPr>
          <w:rFonts w:ascii="Arial" w:hAnsi="Arial"/>
          <w:i/>
          <w:spacing w:val="-24"/>
          <w:w w:val="105"/>
        </w:rPr>
        <w:t> </w:t>
      </w:r>
      <w:r>
        <w:rPr>
          <w:rFonts w:ascii="Arial" w:hAnsi="Arial"/>
          <w:i/>
          <w:w w:val="105"/>
        </w:rPr>
        <w:t>foco.</w:t>
      </w:r>
      <w:r>
        <w:rPr>
          <w:rFonts w:ascii="Arial" w:hAnsi="Arial"/>
          <w:i/>
          <w:spacing w:val="-28"/>
          <w:w w:val="105"/>
        </w:rPr>
        <w:t> </w:t>
      </w:r>
      <w:r>
        <w:rPr>
          <w:rFonts w:ascii="Arial" w:hAnsi="Arial"/>
          <w:i/>
          <w:w w:val="105"/>
        </w:rPr>
        <w:t>Menores</w:t>
      </w:r>
      <w:r>
        <w:rPr>
          <w:rFonts w:ascii="Arial" w:hAnsi="Arial"/>
          <w:i/>
          <w:spacing w:val="-24"/>
          <w:w w:val="105"/>
        </w:rPr>
        <w:t> </w:t>
      </w:r>
      <w:r>
        <w:rPr>
          <w:rFonts w:ascii="Arial" w:hAnsi="Arial"/>
          <w:i/>
          <w:w w:val="105"/>
        </w:rPr>
        <w:t>migrantes </w:t>
      </w:r>
      <w:r>
        <w:rPr>
          <w:rFonts w:ascii="Arial" w:hAnsi="Arial"/>
          <w:i/>
          <w:w w:val="105"/>
        </w:rPr>
        <w:t>en México</w:t>
      </w:r>
      <w:r>
        <w:rPr>
          <w:w w:val="105"/>
        </w:rPr>
        <w:t>, </w:t>
      </w:r>
      <w:r>
        <w:rPr>
          <w:color w:val="231F20"/>
          <w:w w:val="105"/>
        </w:rPr>
        <w:t>Unidad de política migratoria de la Secretaría de Gobernación, </w:t>
      </w:r>
      <w:r>
        <w:rPr>
          <w:w w:val="105"/>
        </w:rPr>
        <w:t>recuperado de </w:t>
      </w:r>
      <w:r>
        <w:rPr>
          <w:color w:val="231F20"/>
          <w:w w:val="105"/>
        </w:rPr>
        <w:t>http://www.politicamigratoria. </w:t>
      </w:r>
      <w:r>
        <w:rPr>
          <w:color w:val="231F20"/>
        </w:rPr>
        <w:t>gob.mx/work/models/SEGOB/Resource/2510/1/images/EN%20 </w:t>
      </w:r>
      <w:r>
        <w:rPr>
          <w:color w:val="231F20"/>
          <w:w w:val="105"/>
        </w:rPr>
        <w:t>FOCO%2026112014(1).pdf</w:t>
      </w:r>
    </w:p>
    <w:p>
      <w:pPr>
        <w:pStyle w:val="BodyText"/>
        <w:spacing w:line="261" w:lineRule="auto" w:before="1"/>
        <w:ind w:left="2460" w:right="1835" w:hanging="738"/>
        <w:jc w:val="both"/>
      </w:pPr>
      <w:r>
        <w:rPr>
          <w:color w:val="231F20"/>
          <w:w w:val="105"/>
        </w:rPr>
        <w:t>Solalinde, Alejandro, (12 de junio 2015), “Aumenta robo de órganos     a migrantes que van hacia </w:t>
      </w:r>
      <w:r>
        <w:rPr>
          <w:color w:val="231F20"/>
          <w:spacing w:val="-7"/>
          <w:w w:val="105"/>
        </w:rPr>
        <w:t>EU”, </w:t>
      </w:r>
      <w:r>
        <w:rPr>
          <w:rFonts w:ascii="Arial" w:hAnsi="Arial"/>
          <w:i/>
          <w:color w:val="231F20"/>
          <w:w w:val="105"/>
        </w:rPr>
        <w:t>SDP Noticias</w:t>
      </w:r>
      <w:r>
        <w:rPr>
          <w:color w:val="231F20"/>
          <w:w w:val="105"/>
        </w:rPr>
        <w:t>, recuperado de </w:t>
      </w:r>
      <w:hyperlink r:id="rId79">
        <w:r>
          <w:rPr>
            <w:color w:val="231F20"/>
            <w:w w:val="105"/>
          </w:rPr>
          <w:t>http://www.sdpnoticias.com/nacional/2015/06/12/aumenta-ro-</w:t>
        </w:r>
      </w:hyperlink>
      <w:r>
        <w:rPr>
          <w:color w:val="231F20"/>
          <w:w w:val="105"/>
        </w:rPr>
        <w:t> bo-de-organos-a-migrantes-que-van-hacia-eu-solalinde</w:t>
      </w:r>
    </w:p>
    <w:p>
      <w:pPr>
        <w:spacing w:line="259" w:lineRule="auto" w:before="1"/>
        <w:ind w:left="2461" w:right="1835" w:hanging="738"/>
        <w:jc w:val="both"/>
        <w:rPr>
          <w:sz w:val="21"/>
        </w:rPr>
      </w:pPr>
      <w:r>
        <w:rPr>
          <w:color w:val="231F20"/>
          <w:sz w:val="21"/>
        </w:rPr>
        <w:t>Suprema Corte de Justicia de la Nación (</w:t>
      </w:r>
      <w:r>
        <w:rPr>
          <w:color w:val="231F20"/>
          <w:sz w:val="17"/>
        </w:rPr>
        <w:t>SCJN</w:t>
      </w:r>
      <w:r>
        <w:rPr>
          <w:color w:val="231F20"/>
          <w:sz w:val="21"/>
        </w:rPr>
        <w:t>), (2012), “Principio proper- sonae. El contenido y alcance de los derechos humanos deben analizarse a partir de </w:t>
      </w:r>
      <w:r>
        <w:rPr>
          <w:color w:val="231F20"/>
          <w:spacing w:val="-4"/>
          <w:sz w:val="21"/>
        </w:rPr>
        <w:t>aquel”, </w:t>
      </w:r>
      <w:r>
        <w:rPr>
          <w:rFonts w:ascii="Arial" w:hAnsi="Arial"/>
          <w:i/>
          <w:color w:val="231F20"/>
          <w:sz w:val="21"/>
        </w:rPr>
        <w:t>Semanario Judicial de la Federación </w:t>
      </w:r>
      <w:r>
        <w:rPr>
          <w:rFonts w:ascii="Arial" w:hAnsi="Arial"/>
          <w:i/>
          <w:color w:val="231F20"/>
          <w:sz w:val="21"/>
        </w:rPr>
        <w:t>y su Gaceta</w:t>
      </w:r>
      <w:r>
        <w:rPr>
          <w:color w:val="231F20"/>
          <w:sz w:val="21"/>
        </w:rPr>
        <w:t>, 10ª época, libro </w:t>
      </w:r>
      <w:r>
        <w:rPr>
          <w:color w:val="231F20"/>
          <w:spacing w:val="-9"/>
          <w:sz w:val="21"/>
        </w:rPr>
        <w:t>V, </w:t>
      </w:r>
      <w:r>
        <w:rPr>
          <w:color w:val="231F20"/>
          <w:sz w:val="21"/>
        </w:rPr>
        <w:t>t.</w:t>
      </w:r>
      <w:r>
        <w:rPr>
          <w:color w:val="231F20"/>
          <w:spacing w:val="-18"/>
          <w:sz w:val="21"/>
        </w:rPr>
        <w:t> </w:t>
      </w:r>
      <w:r>
        <w:rPr>
          <w:color w:val="231F20"/>
          <w:sz w:val="21"/>
        </w:rPr>
        <w:t>I.</w:t>
      </w:r>
    </w:p>
    <w:p>
      <w:pPr>
        <w:pStyle w:val="BodyText"/>
        <w:rPr>
          <w:sz w:val="20"/>
        </w:rPr>
      </w:pPr>
    </w:p>
    <w:p>
      <w:pPr>
        <w:pStyle w:val="BodyText"/>
        <w:rPr>
          <w:sz w:val="20"/>
        </w:rPr>
      </w:pPr>
    </w:p>
    <w:p>
      <w:pPr>
        <w:pStyle w:val="BodyText"/>
        <w:spacing w:before="7"/>
        <w:rPr>
          <w:sz w:val="28"/>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1768" from="131.551193pt,3.703715pt" to="131.551193pt,39.506114pt" stroked="true" strokeweight=".35pt" strokecolor="#231f20">
            <w10:wrap type="none"/>
          </v:line>
        </w:pict>
      </w:r>
      <w:r>
        <w:rPr/>
        <w:pict>
          <v:line style="position:absolute;mso-position-horizontal-relative:page;mso-position-vertical-relative:paragraph;z-index:-481696" from="15pt,39.505917pt" to="0pt,39.505917pt" stroked="true" strokeweight=".25pt" strokecolor="#000000">
            <w10:wrap type="none"/>
          </v:line>
        </w:pict>
      </w:r>
      <w:r>
        <w:rPr/>
        <w:pict>
          <v:line style="position:absolute;mso-position-horizontal-relative:page;mso-position-vertical-relative:paragraph;z-index:8512" from="508.890015pt,39.505917pt" to="523.890015pt,39.505917pt" stroked="true" strokeweight=".25pt" strokecolor="#000000">
            <w10:wrap type="none"/>
          </v:line>
        </w:pict>
      </w:r>
      <w:r>
        <w:rPr>
          <w:rFonts w:ascii="Arial" w:hAnsi="Arial"/>
          <w:color w:val="414042"/>
          <w:position w:val="-5"/>
          <w:sz w:val="20"/>
        </w:rPr>
        <w:t>84</w:t>
        <w:tab/>
      </w:r>
      <w:r>
        <w:rPr>
          <w:rFonts w:ascii="Calibri" w:hAnsi="Calibri"/>
          <w:color w:val="6D6E71"/>
          <w:sz w:val="15"/>
        </w:rPr>
        <w:t>María de Lourdes Morales Reynoso y Claudia Arianne Martínez  </w:t>
      </w:r>
      <w:r>
        <w:rPr>
          <w:rFonts w:ascii="Calibri" w:hAnsi="Calibri"/>
          <w:color w:val="6D6E71"/>
          <w:spacing w:val="16"/>
          <w:sz w:val="15"/>
        </w:rPr>
        <w:t> </w:t>
      </w:r>
      <w:r>
        <w:rPr>
          <w:rFonts w:ascii="Calibri" w:hAnsi="Calibri"/>
          <w:color w:val="6D6E71"/>
          <w:sz w:val="15"/>
        </w:rPr>
        <w:t>Zaragoza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line="208" w:lineRule="exact" w:before="187"/>
        <w:ind w:left="2163" w:right="0" w:firstLine="0"/>
        <w:jc w:val="left"/>
        <w:rPr>
          <w:rFonts w:ascii="Arial" w:hAnsi="Arial"/>
          <w:sz w:val="20"/>
        </w:rPr>
      </w:pPr>
      <w:r>
        <w:rPr/>
        <w:pict>
          <v:line style="position:absolute;mso-position-horizontal-relative:page;mso-position-vertical-relative:paragraph;z-index:-481648" from="405.061005pt,-18.554295pt" to="405.061005pt,16.311579pt" stroked="true" strokeweight=".35pt" strokecolor="#231f20">
            <w10:wrap type="none"/>
          </v:line>
        </w:pict>
      </w:r>
      <w:r>
        <w:rPr/>
        <w:pict>
          <v:line style="position:absolute;mso-position-horizontal-relative:page;mso-position-vertical-relative:paragraph;z-index:8560" from="15pt,-18.554522pt" to="0pt,-18.554522pt" stroked="true" strokeweight=".25pt" strokecolor="#000000">
            <w10:wrap type="none"/>
          </v:line>
        </w:pict>
      </w:r>
      <w:r>
        <w:rPr/>
        <w:pict>
          <v:line style="position:absolute;mso-position-horizontal-relative:page;mso-position-vertical-relative:paragraph;z-index:8584" from="508.890015pt,-18.554522pt" to="523.890015pt,-18.554522pt" stroked="true" strokeweight=".25pt" strokecolor="#000000">
            <w10:wrap type="none"/>
          </v:line>
        </w:pict>
      </w:r>
      <w:r>
        <w:rPr>
          <w:rFonts w:ascii="Lucida Sans Unicode" w:hAnsi="Lucida Sans Unicode"/>
          <w:color w:val="6D6E71"/>
          <w:w w:val="105"/>
          <w:sz w:val="14"/>
        </w:rPr>
        <w:t>Los</w:t>
      </w:r>
      <w:r>
        <w:rPr>
          <w:rFonts w:ascii="Lucida Sans Unicode" w:hAnsi="Lucida Sans Unicode"/>
          <w:color w:val="6D6E71"/>
          <w:spacing w:val="-14"/>
          <w:w w:val="105"/>
          <w:sz w:val="14"/>
        </w:rPr>
        <w:t> </w:t>
      </w:r>
      <w:r>
        <w:rPr>
          <w:rFonts w:ascii="Lucida Sans Unicode" w:hAnsi="Lucida Sans Unicode"/>
          <w:color w:val="6D6E71"/>
          <w:w w:val="105"/>
          <w:sz w:val="14"/>
        </w:rPr>
        <w:t>pequeños</w:t>
      </w:r>
      <w:r>
        <w:rPr>
          <w:rFonts w:ascii="Lucida Sans Unicode" w:hAnsi="Lucida Sans Unicode"/>
          <w:color w:val="6D6E71"/>
          <w:spacing w:val="-14"/>
          <w:w w:val="105"/>
          <w:sz w:val="14"/>
        </w:rPr>
        <w:t> </w:t>
      </w:r>
      <w:r>
        <w:rPr>
          <w:rFonts w:ascii="Lucida Sans Unicode" w:hAnsi="Lucida Sans Unicode"/>
          <w:color w:val="6D6E71"/>
          <w:w w:val="105"/>
          <w:sz w:val="14"/>
        </w:rPr>
        <w:t>“soñadores”</w:t>
      </w:r>
      <w:r>
        <w:rPr>
          <w:rFonts w:ascii="Lucida Sans Unicode" w:hAnsi="Lucida Sans Unicode"/>
          <w:color w:val="6D6E71"/>
          <w:spacing w:val="-14"/>
          <w:w w:val="105"/>
          <w:sz w:val="14"/>
        </w:rPr>
        <w:t> </w:t>
      </w:r>
      <w:r>
        <w:rPr>
          <w:rFonts w:ascii="Lucida Sans Unicode" w:hAnsi="Lucida Sans Unicode"/>
          <w:color w:val="6D6E71"/>
          <w:w w:val="105"/>
          <w:sz w:val="14"/>
        </w:rPr>
        <w:t>no</w:t>
      </w:r>
      <w:r>
        <w:rPr>
          <w:rFonts w:ascii="Lucida Sans Unicode" w:hAnsi="Lucida Sans Unicode"/>
          <w:color w:val="6D6E71"/>
          <w:spacing w:val="-14"/>
          <w:w w:val="105"/>
          <w:sz w:val="14"/>
        </w:rPr>
        <w:t> </w:t>
      </w:r>
      <w:r>
        <w:rPr>
          <w:rFonts w:ascii="Lucida Sans Unicode" w:hAnsi="Lucida Sans Unicode"/>
          <w:color w:val="6D6E71"/>
          <w:w w:val="105"/>
          <w:sz w:val="14"/>
        </w:rPr>
        <w:t>acompañados</w:t>
      </w:r>
      <w:r>
        <w:rPr>
          <w:rFonts w:ascii="Lucida Sans Unicode" w:hAnsi="Lucida Sans Unicode"/>
          <w:color w:val="6D6E71"/>
          <w:spacing w:val="-14"/>
          <w:w w:val="105"/>
          <w:sz w:val="14"/>
        </w:rPr>
        <w:t> </w:t>
      </w:r>
      <w:r>
        <w:rPr>
          <w:rFonts w:ascii="Lucida Sans Unicode" w:hAnsi="Lucida Sans Unicode"/>
          <w:color w:val="6D6E71"/>
          <w:w w:val="105"/>
          <w:sz w:val="14"/>
        </w:rPr>
        <w:t>en</w:t>
      </w:r>
      <w:r>
        <w:rPr>
          <w:rFonts w:ascii="Lucida Sans Unicode" w:hAnsi="Lucida Sans Unicode"/>
          <w:color w:val="6D6E71"/>
          <w:spacing w:val="-14"/>
          <w:w w:val="105"/>
          <w:sz w:val="14"/>
        </w:rPr>
        <w:t> </w:t>
      </w:r>
      <w:r>
        <w:rPr>
          <w:rFonts w:ascii="Lucida Sans Unicode" w:hAnsi="Lucida Sans Unicode"/>
          <w:color w:val="6D6E71"/>
          <w:w w:val="105"/>
          <w:sz w:val="14"/>
        </w:rPr>
        <w:t>su</w:t>
      </w:r>
      <w:r>
        <w:rPr>
          <w:rFonts w:ascii="Lucida Sans Unicode" w:hAnsi="Lucida Sans Unicode"/>
          <w:color w:val="6D6E71"/>
          <w:spacing w:val="-14"/>
          <w:w w:val="105"/>
          <w:sz w:val="14"/>
        </w:rPr>
        <w:t> </w:t>
      </w:r>
      <w:r>
        <w:rPr>
          <w:rFonts w:ascii="Lucida Sans Unicode" w:hAnsi="Lucida Sans Unicode"/>
          <w:color w:val="6D6E71"/>
          <w:w w:val="105"/>
          <w:sz w:val="14"/>
        </w:rPr>
        <w:t>tránsito</w:t>
      </w:r>
      <w:r>
        <w:rPr>
          <w:rFonts w:ascii="Lucida Sans Unicode" w:hAnsi="Lucida Sans Unicode"/>
          <w:color w:val="6D6E71"/>
          <w:spacing w:val="-14"/>
          <w:w w:val="105"/>
          <w:sz w:val="14"/>
        </w:rPr>
        <w:t> </w:t>
      </w:r>
      <w:r>
        <w:rPr>
          <w:rFonts w:ascii="Lucida Sans Unicode" w:hAnsi="Lucida Sans Unicode"/>
          <w:color w:val="6D6E71"/>
          <w:w w:val="105"/>
          <w:sz w:val="14"/>
        </w:rPr>
        <w:t>por</w:t>
      </w:r>
      <w:r>
        <w:rPr>
          <w:rFonts w:ascii="Lucida Sans Unicode" w:hAnsi="Lucida Sans Unicode"/>
          <w:color w:val="6D6E71"/>
          <w:spacing w:val="-14"/>
          <w:w w:val="105"/>
          <w:sz w:val="14"/>
        </w:rPr>
        <w:t> </w:t>
      </w:r>
      <w:r>
        <w:rPr>
          <w:rFonts w:ascii="Lucida Sans Unicode" w:hAnsi="Lucida Sans Unicode"/>
          <w:color w:val="6D6E71"/>
          <w:w w:val="105"/>
          <w:sz w:val="14"/>
        </w:rPr>
        <w:t>eL</w:t>
      </w:r>
      <w:r>
        <w:rPr>
          <w:rFonts w:ascii="Lucida Sans Unicode" w:hAnsi="Lucida Sans Unicode"/>
          <w:color w:val="6D6E71"/>
          <w:spacing w:val="-14"/>
          <w:w w:val="105"/>
          <w:sz w:val="14"/>
        </w:rPr>
        <w:t> </w:t>
      </w:r>
      <w:r>
        <w:rPr>
          <w:rFonts w:ascii="Lucida Sans Unicode" w:hAnsi="Lucida Sans Unicode"/>
          <w:color w:val="6D6E71"/>
          <w:w w:val="105"/>
          <w:sz w:val="14"/>
        </w:rPr>
        <w:t>estado</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méxico.</w:t>
      </w:r>
      <w:r>
        <w:rPr>
          <w:rFonts w:ascii="Arial" w:hAnsi="Arial"/>
          <w:color w:val="414042"/>
          <w:w w:val="105"/>
          <w:position w:val="-3"/>
          <w:sz w:val="20"/>
        </w:rPr>
        <w:tab/>
        <w:t>85</w:t>
      </w:r>
    </w:p>
    <w:p>
      <w:pPr>
        <w:spacing w:line="187" w:lineRule="exact" w:before="0"/>
        <w:ind w:left="4069" w:right="0" w:firstLine="0"/>
        <w:jc w:val="left"/>
        <w:rPr>
          <w:rFonts w:ascii="Lucida Sans Unicode" w:hAnsi="Lucida Sans Unicode"/>
          <w:sz w:val="14"/>
        </w:rPr>
      </w:pPr>
      <w:r>
        <w:rPr>
          <w:rFonts w:ascii="Lucida Sans Unicode" w:hAnsi="Lucida Sans Unicode"/>
          <w:color w:val="6D6E71"/>
          <w:w w:val="105"/>
          <w:sz w:val="14"/>
        </w:rPr>
        <w:t>una revisión a partir deL interés superior de La infancia</w:t>
      </w:r>
    </w:p>
    <w:p>
      <w:pPr>
        <w:pStyle w:val="BodyText"/>
        <w:rPr>
          <w:rFonts w:ascii="Lucida Sans Unicode"/>
          <w:sz w:val="20"/>
        </w:rPr>
      </w:pPr>
    </w:p>
    <w:p>
      <w:pPr>
        <w:tabs>
          <w:tab w:pos="2677" w:val="left" w:leader="none"/>
        </w:tabs>
        <w:spacing w:line="259" w:lineRule="auto" w:before="169"/>
        <w:ind w:left="2574" w:right="1721" w:hanging="738"/>
        <w:jc w:val="both"/>
        <w:rPr>
          <w:sz w:val="21"/>
        </w:rPr>
      </w:pPr>
      <w:r>
        <w:rPr>
          <w:color w:val="231F20"/>
          <w:w w:val="94"/>
          <w:sz w:val="21"/>
          <w:u w:val="single" w:color="221E1F"/>
        </w:rPr>
        <w:t> </w:t>
      </w:r>
      <w:r>
        <w:rPr>
          <w:color w:val="231F20"/>
          <w:sz w:val="21"/>
          <w:u w:val="single" w:color="221E1F"/>
        </w:rPr>
        <w:tab/>
        <w:tab/>
      </w:r>
      <w:r>
        <w:rPr>
          <w:color w:val="231F20"/>
          <w:spacing w:val="-11"/>
          <w:sz w:val="21"/>
        </w:rPr>
        <w:t> </w:t>
      </w:r>
      <w:r>
        <w:rPr>
          <w:color w:val="231F20"/>
          <w:w w:val="105"/>
          <w:sz w:val="21"/>
        </w:rPr>
        <w:t>(2013),</w:t>
      </w:r>
      <w:r>
        <w:rPr>
          <w:color w:val="231F20"/>
          <w:spacing w:val="-35"/>
          <w:w w:val="105"/>
          <w:sz w:val="21"/>
        </w:rPr>
        <w:t> </w:t>
      </w:r>
      <w:r>
        <w:rPr>
          <w:rFonts w:ascii="Arial" w:hAnsi="Arial"/>
          <w:i/>
          <w:color w:val="231F20"/>
          <w:w w:val="105"/>
          <w:sz w:val="21"/>
        </w:rPr>
        <w:t>Protocolo</w:t>
      </w:r>
      <w:r>
        <w:rPr>
          <w:rFonts w:ascii="Arial" w:hAnsi="Arial"/>
          <w:i/>
          <w:color w:val="231F20"/>
          <w:spacing w:val="-34"/>
          <w:w w:val="105"/>
          <w:sz w:val="21"/>
        </w:rPr>
        <w:t> </w:t>
      </w:r>
      <w:r>
        <w:rPr>
          <w:rFonts w:ascii="Arial" w:hAnsi="Arial"/>
          <w:i/>
          <w:color w:val="231F20"/>
          <w:w w:val="105"/>
          <w:sz w:val="21"/>
        </w:rPr>
        <w:t>de</w:t>
      </w:r>
      <w:r>
        <w:rPr>
          <w:rFonts w:ascii="Arial" w:hAnsi="Arial"/>
          <w:i/>
          <w:color w:val="231F20"/>
          <w:spacing w:val="-34"/>
          <w:w w:val="105"/>
          <w:sz w:val="21"/>
        </w:rPr>
        <w:t> </w:t>
      </w:r>
      <w:r>
        <w:rPr>
          <w:rFonts w:ascii="Arial" w:hAnsi="Arial"/>
          <w:i/>
          <w:color w:val="231F20"/>
          <w:w w:val="105"/>
          <w:sz w:val="21"/>
        </w:rPr>
        <w:t>actuación</w:t>
      </w:r>
      <w:r>
        <w:rPr>
          <w:rFonts w:ascii="Arial" w:hAnsi="Arial"/>
          <w:i/>
          <w:color w:val="231F20"/>
          <w:spacing w:val="-34"/>
          <w:w w:val="105"/>
          <w:sz w:val="21"/>
        </w:rPr>
        <w:t> </w:t>
      </w:r>
      <w:r>
        <w:rPr>
          <w:rFonts w:ascii="Arial" w:hAnsi="Arial"/>
          <w:i/>
          <w:color w:val="231F20"/>
          <w:w w:val="105"/>
          <w:sz w:val="21"/>
        </w:rPr>
        <w:t>para</w:t>
      </w:r>
      <w:r>
        <w:rPr>
          <w:rFonts w:ascii="Arial" w:hAnsi="Arial"/>
          <w:i/>
          <w:color w:val="231F20"/>
          <w:spacing w:val="-34"/>
          <w:w w:val="105"/>
          <w:sz w:val="21"/>
        </w:rPr>
        <w:t> </w:t>
      </w:r>
      <w:r>
        <w:rPr>
          <w:rFonts w:ascii="Arial" w:hAnsi="Arial"/>
          <w:i/>
          <w:color w:val="231F20"/>
          <w:w w:val="105"/>
          <w:sz w:val="21"/>
        </w:rPr>
        <w:t>quienes</w:t>
      </w:r>
      <w:r>
        <w:rPr>
          <w:rFonts w:ascii="Arial" w:hAnsi="Arial"/>
          <w:i/>
          <w:color w:val="231F20"/>
          <w:spacing w:val="-34"/>
          <w:w w:val="105"/>
          <w:sz w:val="21"/>
        </w:rPr>
        <w:t> </w:t>
      </w:r>
      <w:r>
        <w:rPr>
          <w:rFonts w:ascii="Arial" w:hAnsi="Arial"/>
          <w:i/>
          <w:color w:val="231F20"/>
          <w:w w:val="105"/>
          <w:sz w:val="21"/>
        </w:rPr>
        <w:t>imparten</w:t>
      </w:r>
      <w:r>
        <w:rPr>
          <w:rFonts w:ascii="Arial" w:hAnsi="Arial"/>
          <w:i/>
          <w:color w:val="231F20"/>
          <w:spacing w:val="-34"/>
          <w:w w:val="105"/>
          <w:sz w:val="21"/>
        </w:rPr>
        <w:t> </w:t>
      </w:r>
      <w:r>
        <w:rPr>
          <w:rFonts w:ascii="Arial" w:hAnsi="Arial"/>
          <w:i/>
          <w:color w:val="231F20"/>
          <w:w w:val="105"/>
          <w:sz w:val="21"/>
        </w:rPr>
        <w:t>justicia</w:t>
      </w:r>
      <w:r>
        <w:rPr>
          <w:rFonts w:ascii="Arial" w:hAnsi="Arial"/>
          <w:i/>
          <w:color w:val="231F20"/>
          <w:spacing w:val="-34"/>
          <w:w w:val="105"/>
          <w:sz w:val="21"/>
        </w:rPr>
        <w:t> </w:t>
      </w:r>
      <w:r>
        <w:rPr>
          <w:rFonts w:ascii="Arial" w:hAnsi="Arial"/>
          <w:i/>
          <w:color w:val="231F20"/>
          <w:w w:val="105"/>
          <w:sz w:val="21"/>
        </w:rPr>
        <w:t>en</w:t>
      </w:r>
      <w:r>
        <w:rPr>
          <w:rFonts w:ascii="Arial" w:hAnsi="Arial"/>
          <w:i/>
          <w:color w:val="231F20"/>
          <w:w w:val="102"/>
          <w:sz w:val="21"/>
        </w:rPr>
        <w:t> </w:t>
      </w:r>
      <w:r>
        <w:rPr>
          <w:rFonts w:ascii="Arial" w:hAnsi="Arial"/>
          <w:i/>
          <w:color w:val="231F20"/>
          <w:w w:val="105"/>
          <w:sz w:val="21"/>
        </w:rPr>
        <w:t>casos</w:t>
      </w:r>
      <w:r>
        <w:rPr>
          <w:rFonts w:ascii="Arial" w:hAnsi="Arial"/>
          <w:i/>
          <w:color w:val="231F20"/>
          <w:spacing w:val="-13"/>
          <w:w w:val="105"/>
          <w:sz w:val="21"/>
        </w:rPr>
        <w:t> </w:t>
      </w:r>
      <w:r>
        <w:rPr>
          <w:rFonts w:ascii="Arial" w:hAnsi="Arial"/>
          <w:i/>
          <w:color w:val="231F20"/>
          <w:w w:val="105"/>
          <w:sz w:val="21"/>
        </w:rPr>
        <w:t>que</w:t>
      </w:r>
      <w:r>
        <w:rPr>
          <w:rFonts w:ascii="Arial" w:hAnsi="Arial"/>
          <w:i/>
          <w:color w:val="231F20"/>
          <w:spacing w:val="-13"/>
          <w:w w:val="105"/>
          <w:sz w:val="21"/>
        </w:rPr>
        <w:t> </w:t>
      </w:r>
      <w:r>
        <w:rPr>
          <w:rFonts w:ascii="Arial" w:hAnsi="Arial"/>
          <w:i/>
          <w:color w:val="231F20"/>
          <w:w w:val="105"/>
          <w:sz w:val="21"/>
        </w:rPr>
        <w:t>afecten</w:t>
      </w:r>
      <w:r>
        <w:rPr>
          <w:rFonts w:ascii="Arial" w:hAnsi="Arial"/>
          <w:i/>
          <w:color w:val="231F20"/>
          <w:spacing w:val="-13"/>
          <w:w w:val="105"/>
          <w:sz w:val="21"/>
        </w:rPr>
        <w:t> </w:t>
      </w:r>
      <w:r>
        <w:rPr>
          <w:rFonts w:ascii="Arial" w:hAnsi="Arial"/>
          <w:i/>
          <w:color w:val="231F20"/>
          <w:w w:val="105"/>
          <w:sz w:val="21"/>
        </w:rPr>
        <w:t>a</w:t>
      </w:r>
      <w:r>
        <w:rPr>
          <w:rFonts w:ascii="Arial" w:hAnsi="Arial"/>
          <w:i/>
          <w:color w:val="231F20"/>
          <w:spacing w:val="-13"/>
          <w:w w:val="105"/>
          <w:sz w:val="21"/>
        </w:rPr>
        <w:t> </w:t>
      </w:r>
      <w:r>
        <w:rPr>
          <w:rFonts w:ascii="Arial" w:hAnsi="Arial"/>
          <w:i/>
          <w:color w:val="231F20"/>
          <w:w w:val="105"/>
          <w:sz w:val="21"/>
        </w:rPr>
        <w:t>personas</w:t>
      </w:r>
      <w:r>
        <w:rPr>
          <w:rFonts w:ascii="Arial" w:hAnsi="Arial"/>
          <w:i/>
          <w:color w:val="231F20"/>
          <w:spacing w:val="-13"/>
          <w:w w:val="105"/>
          <w:sz w:val="21"/>
        </w:rPr>
        <w:t> </w:t>
      </w:r>
      <w:r>
        <w:rPr>
          <w:rFonts w:ascii="Arial" w:hAnsi="Arial"/>
          <w:i/>
          <w:color w:val="231F20"/>
          <w:w w:val="105"/>
          <w:sz w:val="21"/>
        </w:rPr>
        <w:t>migrantes</w:t>
      </w:r>
      <w:r>
        <w:rPr>
          <w:rFonts w:ascii="Arial" w:hAnsi="Arial"/>
          <w:i/>
          <w:color w:val="231F20"/>
          <w:spacing w:val="-13"/>
          <w:w w:val="105"/>
          <w:sz w:val="21"/>
        </w:rPr>
        <w:t> </w:t>
      </w:r>
      <w:r>
        <w:rPr>
          <w:rFonts w:ascii="Arial" w:hAnsi="Arial"/>
          <w:i/>
          <w:color w:val="231F20"/>
          <w:w w:val="105"/>
          <w:sz w:val="21"/>
        </w:rPr>
        <w:t>y</w:t>
      </w:r>
      <w:r>
        <w:rPr>
          <w:rFonts w:ascii="Arial" w:hAnsi="Arial"/>
          <w:i/>
          <w:color w:val="231F20"/>
          <w:spacing w:val="-13"/>
          <w:w w:val="105"/>
          <w:sz w:val="21"/>
        </w:rPr>
        <w:t> </w:t>
      </w:r>
      <w:r>
        <w:rPr>
          <w:rFonts w:ascii="Arial" w:hAnsi="Arial"/>
          <w:i/>
          <w:color w:val="231F20"/>
          <w:w w:val="105"/>
          <w:sz w:val="21"/>
        </w:rPr>
        <w:t>sujetas</w:t>
      </w:r>
      <w:r>
        <w:rPr>
          <w:rFonts w:ascii="Arial" w:hAnsi="Arial"/>
          <w:i/>
          <w:color w:val="231F20"/>
          <w:spacing w:val="-13"/>
          <w:w w:val="105"/>
          <w:sz w:val="21"/>
        </w:rPr>
        <w:t> </w:t>
      </w:r>
      <w:r>
        <w:rPr>
          <w:rFonts w:ascii="Arial" w:hAnsi="Arial"/>
          <w:i/>
          <w:color w:val="231F20"/>
          <w:w w:val="105"/>
          <w:sz w:val="21"/>
        </w:rPr>
        <w:t>de</w:t>
      </w:r>
      <w:r>
        <w:rPr>
          <w:rFonts w:ascii="Arial" w:hAnsi="Arial"/>
          <w:i/>
          <w:color w:val="231F20"/>
          <w:spacing w:val="-13"/>
          <w:w w:val="105"/>
          <w:sz w:val="21"/>
        </w:rPr>
        <w:t> </w:t>
      </w:r>
      <w:r>
        <w:rPr>
          <w:rFonts w:ascii="Arial" w:hAnsi="Arial"/>
          <w:i/>
          <w:color w:val="231F20"/>
          <w:w w:val="105"/>
          <w:sz w:val="21"/>
        </w:rPr>
        <w:t>protección internacional</w:t>
      </w:r>
      <w:r>
        <w:rPr>
          <w:color w:val="231F20"/>
          <w:w w:val="105"/>
          <w:sz w:val="21"/>
        </w:rPr>
        <w:t>,</w:t>
      </w:r>
      <w:r>
        <w:rPr>
          <w:color w:val="231F20"/>
          <w:spacing w:val="-25"/>
          <w:w w:val="105"/>
          <w:sz w:val="21"/>
        </w:rPr>
        <w:t> </w:t>
      </w:r>
      <w:r>
        <w:rPr>
          <w:color w:val="231F20"/>
          <w:w w:val="105"/>
          <w:sz w:val="21"/>
        </w:rPr>
        <w:t>recuperado</w:t>
      </w:r>
      <w:r>
        <w:rPr>
          <w:color w:val="231F20"/>
          <w:spacing w:val="-15"/>
          <w:w w:val="105"/>
          <w:sz w:val="21"/>
        </w:rPr>
        <w:t> </w:t>
      </w:r>
      <w:r>
        <w:rPr>
          <w:color w:val="231F20"/>
          <w:w w:val="105"/>
          <w:sz w:val="21"/>
        </w:rPr>
        <w:t>de</w:t>
      </w:r>
      <w:r>
        <w:rPr>
          <w:color w:val="231F20"/>
          <w:spacing w:val="-15"/>
          <w:w w:val="105"/>
          <w:sz w:val="21"/>
        </w:rPr>
        <w:t> </w:t>
      </w:r>
      <w:hyperlink r:id="rId81">
        <w:r>
          <w:rPr>
            <w:color w:val="231F20"/>
            <w:w w:val="105"/>
            <w:sz w:val="21"/>
          </w:rPr>
          <w:t>http://www.amij.org.mx/protocolos/</w:t>
        </w:r>
      </w:hyperlink>
      <w:r>
        <w:rPr>
          <w:color w:val="231F20"/>
          <w:w w:val="105"/>
          <w:sz w:val="21"/>
        </w:rPr>
        <w:t> Protocolo%20Migrantes.pdf</w:t>
      </w:r>
    </w:p>
    <w:p>
      <w:pPr>
        <w:pStyle w:val="BodyText"/>
        <w:spacing w:line="261" w:lineRule="auto" w:before="3"/>
        <w:ind w:left="2574" w:right="1721" w:hanging="738"/>
        <w:jc w:val="both"/>
      </w:pPr>
      <w:r>
        <w:rPr>
          <w:color w:val="231F20"/>
          <w:w w:val="105"/>
        </w:rPr>
        <w:t>Ureste, Manuel, (2014), “Menores migrantes: México cierra la puerta a una</w:t>
      </w:r>
      <w:r>
        <w:rPr>
          <w:color w:val="231F20"/>
          <w:spacing w:val="-4"/>
          <w:w w:val="105"/>
        </w:rPr>
        <w:t> </w:t>
      </w:r>
      <w:r>
        <w:rPr>
          <w:color w:val="231F20"/>
          <w:w w:val="105"/>
        </w:rPr>
        <w:t>generación</w:t>
      </w:r>
      <w:r>
        <w:rPr>
          <w:color w:val="231F20"/>
          <w:spacing w:val="-4"/>
          <w:w w:val="105"/>
        </w:rPr>
        <w:t> </w:t>
      </w:r>
      <w:r>
        <w:rPr>
          <w:color w:val="231F20"/>
          <w:w w:val="105"/>
        </w:rPr>
        <w:t>que</w:t>
      </w:r>
      <w:r>
        <w:rPr>
          <w:color w:val="231F20"/>
          <w:spacing w:val="-4"/>
          <w:w w:val="105"/>
        </w:rPr>
        <w:t> </w:t>
      </w:r>
      <w:r>
        <w:rPr>
          <w:color w:val="231F20"/>
          <w:w w:val="105"/>
        </w:rPr>
        <w:t>huye</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violencia”,</w:t>
      </w:r>
      <w:r>
        <w:rPr>
          <w:color w:val="231F20"/>
          <w:spacing w:val="-9"/>
          <w:w w:val="105"/>
        </w:rPr>
        <w:t> </w:t>
      </w:r>
      <w:r>
        <w:rPr>
          <w:rFonts w:ascii="Arial" w:hAnsi="Arial"/>
          <w:i/>
          <w:color w:val="231F20"/>
          <w:w w:val="105"/>
        </w:rPr>
        <w:t>Animal</w:t>
      </w:r>
      <w:r>
        <w:rPr>
          <w:rFonts w:ascii="Arial" w:hAnsi="Arial"/>
          <w:i/>
          <w:color w:val="231F20"/>
          <w:spacing w:val="-6"/>
          <w:w w:val="105"/>
        </w:rPr>
        <w:t> </w:t>
      </w:r>
      <w:r>
        <w:rPr>
          <w:rFonts w:ascii="Arial" w:hAnsi="Arial"/>
          <w:i/>
          <w:color w:val="231F20"/>
          <w:w w:val="105"/>
        </w:rPr>
        <w:t>Político</w:t>
      </w:r>
      <w:r>
        <w:rPr>
          <w:color w:val="231F20"/>
          <w:w w:val="105"/>
        </w:rPr>
        <w:t>,</w:t>
      </w:r>
      <w:r>
        <w:rPr>
          <w:color w:val="231F20"/>
          <w:spacing w:val="-9"/>
          <w:w w:val="105"/>
        </w:rPr>
        <w:t> </w:t>
      </w:r>
      <w:r>
        <w:rPr>
          <w:color w:val="231F20"/>
          <w:w w:val="105"/>
        </w:rPr>
        <w:t>recu- perado   de </w:t>
      </w:r>
      <w:r>
        <w:rPr>
          <w:color w:val="231F20"/>
          <w:spacing w:val="34"/>
          <w:w w:val="105"/>
        </w:rPr>
        <w:t> </w:t>
      </w:r>
      <w:r>
        <w:rPr>
          <w:color w:val="231F20"/>
          <w:w w:val="105"/>
        </w:rPr>
        <w:t>https://readymag.com/animalpolitico/33897/3/</w:t>
      </w:r>
    </w:p>
    <w:p>
      <w:pPr>
        <w:pStyle w:val="BodyText"/>
        <w:spacing w:line="261" w:lineRule="auto" w:before="1"/>
        <w:ind w:left="2574" w:right="1724" w:hanging="738"/>
        <w:jc w:val="both"/>
      </w:pPr>
      <w:r>
        <w:rPr>
          <w:color w:val="231F20"/>
          <w:spacing w:val="-3"/>
          <w:w w:val="105"/>
        </w:rPr>
        <w:t>Vilchis</w:t>
      </w:r>
      <w:r>
        <w:rPr>
          <w:color w:val="231F20"/>
          <w:spacing w:val="-33"/>
          <w:w w:val="105"/>
        </w:rPr>
        <w:t> </w:t>
      </w:r>
      <w:r>
        <w:rPr>
          <w:color w:val="231F20"/>
          <w:spacing w:val="-4"/>
          <w:w w:val="105"/>
        </w:rPr>
        <w:t>Orozco,</w:t>
      </w:r>
      <w:r>
        <w:rPr>
          <w:color w:val="231F20"/>
          <w:spacing w:val="-36"/>
          <w:w w:val="105"/>
        </w:rPr>
        <w:t> </w:t>
      </w:r>
      <w:r>
        <w:rPr>
          <w:color w:val="231F20"/>
          <w:spacing w:val="-3"/>
          <w:w w:val="105"/>
        </w:rPr>
        <w:t>Raúl,</w:t>
      </w:r>
      <w:r>
        <w:rPr>
          <w:color w:val="231F20"/>
          <w:spacing w:val="-36"/>
          <w:w w:val="105"/>
        </w:rPr>
        <w:t> </w:t>
      </w:r>
      <w:r>
        <w:rPr>
          <w:color w:val="231F20"/>
          <w:spacing w:val="-3"/>
          <w:w w:val="105"/>
        </w:rPr>
        <w:t>(2015),</w:t>
      </w:r>
      <w:r>
        <w:rPr>
          <w:color w:val="231F20"/>
          <w:spacing w:val="-36"/>
          <w:w w:val="105"/>
        </w:rPr>
        <w:t> </w:t>
      </w:r>
      <w:r>
        <w:rPr>
          <w:color w:val="231F20"/>
          <w:spacing w:val="-3"/>
          <w:w w:val="105"/>
        </w:rPr>
        <w:t>Entrevista</w:t>
      </w:r>
      <w:r>
        <w:rPr>
          <w:color w:val="231F20"/>
          <w:spacing w:val="-33"/>
          <w:w w:val="105"/>
        </w:rPr>
        <w:t> </w:t>
      </w:r>
      <w:r>
        <w:rPr>
          <w:color w:val="231F20"/>
          <w:spacing w:val="-4"/>
          <w:w w:val="105"/>
        </w:rPr>
        <w:t>realizada</w:t>
      </w:r>
      <w:r>
        <w:rPr>
          <w:color w:val="231F20"/>
          <w:spacing w:val="-33"/>
          <w:w w:val="105"/>
        </w:rPr>
        <w:t> </w:t>
      </w:r>
      <w:r>
        <w:rPr>
          <w:color w:val="231F20"/>
          <w:w w:val="105"/>
        </w:rPr>
        <w:t>en</w:t>
      </w:r>
      <w:r>
        <w:rPr>
          <w:color w:val="231F20"/>
          <w:spacing w:val="-33"/>
          <w:w w:val="105"/>
        </w:rPr>
        <w:t> </w:t>
      </w:r>
      <w:r>
        <w:rPr>
          <w:color w:val="231F20"/>
          <w:w w:val="105"/>
        </w:rPr>
        <w:t>las</w:t>
      </w:r>
      <w:r>
        <w:rPr>
          <w:color w:val="231F20"/>
          <w:spacing w:val="-33"/>
          <w:w w:val="105"/>
        </w:rPr>
        <w:t> </w:t>
      </w:r>
      <w:r>
        <w:rPr>
          <w:color w:val="231F20"/>
          <w:spacing w:val="-3"/>
          <w:w w:val="105"/>
        </w:rPr>
        <w:t>instalaciones</w:t>
      </w:r>
      <w:r>
        <w:rPr>
          <w:color w:val="231F20"/>
          <w:spacing w:val="-33"/>
          <w:w w:val="105"/>
        </w:rPr>
        <w:t> </w:t>
      </w:r>
      <w:r>
        <w:rPr>
          <w:color w:val="231F20"/>
          <w:w w:val="105"/>
        </w:rPr>
        <w:t>de</w:t>
      </w:r>
      <w:r>
        <w:rPr>
          <w:color w:val="231F20"/>
          <w:spacing w:val="-33"/>
          <w:w w:val="105"/>
        </w:rPr>
        <w:t> </w:t>
      </w:r>
      <w:r>
        <w:rPr>
          <w:color w:val="231F20"/>
          <w:spacing w:val="-3"/>
          <w:w w:val="105"/>
        </w:rPr>
        <w:t>las oficinas</w:t>
      </w:r>
      <w:r>
        <w:rPr>
          <w:color w:val="231F20"/>
          <w:spacing w:val="-15"/>
          <w:w w:val="105"/>
        </w:rPr>
        <w:t> </w:t>
      </w:r>
      <w:r>
        <w:rPr>
          <w:color w:val="231F20"/>
          <w:spacing w:val="-3"/>
          <w:w w:val="105"/>
        </w:rPr>
        <w:t>centrales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sz w:val="17"/>
        </w:rPr>
        <w:t>CODHEM</w:t>
      </w:r>
      <w:r>
        <w:rPr>
          <w:color w:val="231F20"/>
          <w:spacing w:val="-3"/>
          <w:w w:val="105"/>
        </w:rPr>
        <w:t>/Entrevistador</w:t>
      </w:r>
      <w:r>
        <w:rPr>
          <w:color w:val="231F20"/>
          <w:spacing w:val="-15"/>
          <w:w w:val="105"/>
        </w:rPr>
        <w:t> </w:t>
      </w:r>
      <w:r>
        <w:rPr>
          <w:color w:val="231F20"/>
          <w:spacing w:val="-3"/>
          <w:w w:val="105"/>
        </w:rPr>
        <w:t>Raúl</w:t>
      </w:r>
      <w:r>
        <w:rPr>
          <w:color w:val="231F20"/>
          <w:spacing w:val="-17"/>
          <w:w w:val="105"/>
        </w:rPr>
        <w:t> </w:t>
      </w:r>
      <w:r>
        <w:rPr>
          <w:color w:val="231F20"/>
          <w:spacing w:val="-3"/>
          <w:w w:val="105"/>
        </w:rPr>
        <w:t>Vilchis,</w:t>
      </w:r>
      <w:r>
        <w:rPr>
          <w:color w:val="231F20"/>
          <w:spacing w:val="-22"/>
          <w:w w:val="105"/>
        </w:rPr>
        <w:t> </w:t>
      </w:r>
      <w:r>
        <w:rPr>
          <w:color w:val="231F20"/>
          <w:spacing w:val="-7"/>
          <w:w w:val="105"/>
        </w:rPr>
        <w:t>Toluca </w:t>
      </w:r>
      <w:r>
        <w:rPr>
          <w:color w:val="231F20"/>
          <w:w w:val="105"/>
        </w:rPr>
        <w:t>de</w:t>
      </w:r>
      <w:r>
        <w:rPr>
          <w:color w:val="231F20"/>
          <w:spacing w:val="-10"/>
          <w:w w:val="105"/>
        </w:rPr>
        <w:t> </w:t>
      </w:r>
      <w:r>
        <w:rPr>
          <w:color w:val="231F20"/>
          <w:spacing w:val="-4"/>
          <w:w w:val="105"/>
        </w:rPr>
        <w:t>Lerdo.</w:t>
      </w:r>
    </w:p>
    <w:p>
      <w:pPr>
        <w:spacing w:after="0" w:line="261" w:lineRule="auto"/>
        <w:jc w:val="both"/>
        <w:sectPr>
          <w:footerReference w:type="default" r:id="rId80"/>
          <w:pgSz w:w="10480" w:h="14730"/>
          <w:pgMar w:footer="223" w:header="0" w:top="300" w:bottom="420" w:left="0" w:right="0"/>
        </w:sectPr>
      </w:pPr>
    </w:p>
    <w:p>
      <w:pPr>
        <w:pStyle w:val="BodyText"/>
        <w:spacing w:before="4"/>
        <w:rPr>
          <w:rFonts w:ascii="Times New Roman"/>
          <w:sz w:val="17"/>
        </w:rPr>
      </w:pPr>
    </w:p>
    <w:p>
      <w:pPr>
        <w:spacing w:after="0"/>
        <w:rPr>
          <w:rFonts w:ascii="Times New Roman"/>
          <w:sz w:val="17"/>
        </w:rPr>
        <w:sectPr>
          <w:headerReference w:type="default" r:id="rId82"/>
          <w:footerReference w:type="default" r:id="rId83"/>
          <w:pgSz w:w="10480" w:h="14730"/>
          <w:pgMar w:header="0" w:footer="223" w:top="420" w:bottom="420" w:left="0" w:right="0"/>
        </w:sectPr>
      </w:pPr>
    </w:p>
    <w:p>
      <w:pPr>
        <w:pStyle w:val="BodyText"/>
        <w:rPr>
          <w:rFonts w:ascii="Times New Roman"/>
          <w:sz w:val="20"/>
        </w:rPr>
      </w:pPr>
      <w:r>
        <w:rPr/>
        <w:pict>
          <v:group style="position:absolute;margin-left:21pt;margin-top:20.999975pt;width:481.9pt;height:694.5pt;mso-position-horizontal-relative:page;mso-position-vertical-relative:page;z-index:-481576" coordorigin="420,420" coordsize="9638,13890">
            <v:rect style="position:absolute;left:420;top:420;width:9638;height:13890" filled="true" fillcolor="#77787b" stroked="false">
              <v:fill type="solid"/>
            </v:rect>
            <v:shape style="position:absolute;left:420;top:6577;width:9638;height:7733" type="#_x0000_t75" stroked="false">
              <v:imagedata r:id="rId29"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3"/>
        </w:rPr>
      </w:pPr>
    </w:p>
    <w:p>
      <w:pPr>
        <w:pStyle w:val="Heading2"/>
        <w:spacing w:line="328" w:lineRule="exact" w:before="4"/>
        <w:ind w:left="3147"/>
      </w:pPr>
      <w:r>
        <w:rPr>
          <w:color w:val="FFFFFF"/>
          <w:w w:val="90"/>
        </w:rPr>
        <w:t>IMAftINARIOS A</w:t>
      </w:r>
    </w:p>
    <w:p>
      <w:pPr>
        <w:spacing w:line="187" w:lineRule="auto" w:before="17"/>
        <w:ind w:left="3527" w:right="4753" w:hanging="298"/>
        <w:jc w:val="left"/>
        <w:rPr>
          <w:rFonts w:ascii="Lucida Sans Unicode" w:hAnsi="Lucida Sans Unicode"/>
          <w:sz w:val="24"/>
        </w:rPr>
      </w:pPr>
      <w:r>
        <w:rPr>
          <w:rFonts w:ascii="Lucida Sans Unicode" w:hAnsi="Lucida Sans Unicode"/>
          <w:color w:val="FFFFFF"/>
          <w:sz w:val="24"/>
        </w:rPr>
        <w:t>DE NIñOS JORNALER </w:t>
      </w:r>
      <w:r>
        <w:rPr>
          <w:rFonts w:ascii="Lucida Sans Unicode" w:hAnsi="Lucida Sans Unicode"/>
          <w:color w:val="FFFFFF"/>
          <w:w w:val="95"/>
          <w:sz w:val="24"/>
        </w:rPr>
        <w:t>DE VILLA</w:t>
      </w:r>
      <w:r>
        <w:rPr>
          <w:rFonts w:ascii="Lucida Sans Unicode" w:hAnsi="Lucida Sans Unicode"/>
          <w:color w:val="FFFFFF"/>
          <w:spacing w:val="-58"/>
          <w:w w:val="95"/>
          <w:sz w:val="24"/>
        </w:rPr>
        <w:t> </w:t>
      </w:r>
      <w:r>
        <w:rPr>
          <w:rFonts w:ascii="Lucida Sans Unicode" w:hAnsi="Lucida Sans Unicode"/>
          <w:color w:val="FFFFFF"/>
          <w:w w:val="95"/>
          <w:sz w:val="24"/>
        </w:rPr>
        <w:t>ftUERRERO</w:t>
      </w:r>
    </w:p>
    <w:p>
      <w:pPr>
        <w:pStyle w:val="Heading4"/>
        <w:spacing w:before="104"/>
        <w:ind w:left="5709"/>
        <w:rPr>
          <w:sz w:val="18"/>
        </w:rPr>
      </w:pPr>
      <w:bookmarkStart w:name="_TOC_250000" w:id="4"/>
      <w:r>
        <w:rPr>
          <w:color w:val="FFFFFF"/>
        </w:rPr>
        <w:t>Saraí Miranda Juárez</w:t>
      </w:r>
      <w:bookmarkEnd w:id="4"/>
      <w:r>
        <w:rPr>
          <w:color w:val="FFFFFF"/>
          <w:sz w:val="18"/>
        </w:rPr>
        <w: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rPr>
      </w:pPr>
    </w:p>
    <w:p>
      <w:pPr>
        <w:spacing w:line="182" w:lineRule="exact" w:before="70"/>
        <w:ind w:left="2126" w:right="0" w:firstLine="0"/>
        <w:jc w:val="left"/>
        <w:rPr>
          <w:rFonts w:ascii="Calibri" w:hAnsi="Calibri"/>
          <w:sz w:val="15"/>
        </w:rPr>
      </w:pPr>
      <w:r>
        <w:rPr>
          <w:rFonts w:ascii="Calibri" w:hAnsi="Calibri"/>
          <w:color w:val="FFFFFF"/>
          <w:sz w:val="15"/>
        </w:rPr>
        <w:t>* Doctora en Estudios de Población. Consultora independiente de ONU Mujeres   México.</w:t>
      </w:r>
    </w:p>
    <w:p>
      <w:pPr>
        <w:spacing w:line="182" w:lineRule="exact" w:before="0"/>
        <w:ind w:left="2126" w:right="0" w:firstLine="0"/>
        <w:jc w:val="left"/>
        <w:rPr>
          <w:rFonts w:ascii="Calibri"/>
          <w:i/>
          <w:sz w:val="15"/>
        </w:rPr>
      </w:pPr>
      <w:hyperlink r:id="rId84">
        <w:r>
          <w:rPr>
            <w:rFonts w:ascii="Calibri"/>
            <w:i/>
            <w:color w:val="FFFFFF"/>
            <w:sz w:val="15"/>
          </w:rPr>
          <w:t>saraimirandaj@gmail.com</w:t>
        </w:r>
      </w:hyperlink>
    </w:p>
    <w:p>
      <w:pPr>
        <w:spacing w:after="0" w:line="182" w:lineRule="exact"/>
        <w:jc w:val="left"/>
        <w:rPr>
          <w:rFonts w:ascii="Calibri"/>
          <w:sz w:val="15"/>
        </w:rPr>
        <w:sectPr>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85"/>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p>
      <w:pPr>
        <w:spacing w:before="54"/>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21" w:hanging="3"/>
        <w:jc w:val="both"/>
      </w:pPr>
      <w:r>
        <w:rPr/>
        <w:pict>
          <v:shape style="position:absolute;margin-left:103.218903pt;margin-top:13.113499pt;width:31.2pt;height:51pt;mso-position-horizontal-relative:page;mso-position-vertical-relative:paragraph;z-index:8632"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n</w:t>
      </w:r>
      <w:r>
        <w:rPr>
          <w:color w:val="231F20"/>
          <w:spacing w:val="-17"/>
          <w:w w:val="105"/>
        </w:rPr>
        <w:t> </w:t>
      </w:r>
      <w:r>
        <w:rPr>
          <w:color w:val="231F20"/>
          <w:spacing w:val="-3"/>
          <w:w w:val="105"/>
        </w:rPr>
        <w:t>materia</w:t>
      </w:r>
      <w:r>
        <w:rPr>
          <w:color w:val="231F20"/>
          <w:spacing w:val="-17"/>
          <w:w w:val="105"/>
        </w:rPr>
        <w:t> </w:t>
      </w:r>
      <w:r>
        <w:rPr>
          <w:color w:val="231F20"/>
          <w:w w:val="105"/>
        </w:rPr>
        <w:t>de</w:t>
      </w:r>
      <w:r>
        <w:rPr>
          <w:color w:val="231F20"/>
          <w:spacing w:val="-17"/>
          <w:w w:val="105"/>
        </w:rPr>
        <w:t> </w:t>
      </w:r>
      <w:r>
        <w:rPr>
          <w:color w:val="231F20"/>
          <w:spacing w:val="-3"/>
          <w:w w:val="105"/>
        </w:rPr>
        <w:t>infancia</w:t>
      </w:r>
      <w:r>
        <w:rPr>
          <w:color w:val="231F20"/>
          <w:spacing w:val="-17"/>
          <w:w w:val="105"/>
        </w:rPr>
        <w:t> </w:t>
      </w:r>
      <w:r>
        <w:rPr>
          <w:color w:val="231F20"/>
          <w:w w:val="105"/>
        </w:rPr>
        <w:t>hay</w:t>
      </w:r>
      <w:r>
        <w:rPr>
          <w:color w:val="231F20"/>
          <w:spacing w:val="-17"/>
          <w:w w:val="105"/>
        </w:rPr>
        <w:t> </w:t>
      </w:r>
      <w:r>
        <w:rPr>
          <w:color w:val="231F20"/>
          <w:w w:val="105"/>
        </w:rPr>
        <w:t>dos</w:t>
      </w:r>
      <w:r>
        <w:rPr>
          <w:color w:val="231F20"/>
          <w:spacing w:val="-17"/>
          <w:w w:val="105"/>
        </w:rPr>
        <w:t> </w:t>
      </w:r>
      <w:r>
        <w:rPr>
          <w:color w:val="231F20"/>
          <w:spacing w:val="-3"/>
          <w:w w:val="105"/>
        </w:rPr>
        <w:t>temas</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spacing w:val="-3"/>
          <w:w w:val="105"/>
        </w:rPr>
        <w:t>actualidad</w:t>
      </w:r>
      <w:r>
        <w:rPr>
          <w:color w:val="231F20"/>
          <w:spacing w:val="-17"/>
          <w:w w:val="105"/>
        </w:rPr>
        <w:t> </w:t>
      </w:r>
      <w:r>
        <w:rPr>
          <w:color w:val="231F20"/>
          <w:spacing w:val="-3"/>
          <w:w w:val="105"/>
        </w:rPr>
        <w:t>afec- </w:t>
      </w:r>
      <w:r>
        <w:rPr>
          <w:color w:val="231F20"/>
          <w:w w:val="105"/>
        </w:rPr>
        <w:t>tan</w:t>
      </w:r>
      <w:r>
        <w:rPr>
          <w:color w:val="231F20"/>
          <w:spacing w:val="-9"/>
          <w:w w:val="105"/>
        </w:rPr>
        <w:t> </w:t>
      </w:r>
      <w:r>
        <w:rPr>
          <w:color w:val="231F20"/>
          <w:w w:val="105"/>
        </w:rPr>
        <w:t>la</w:t>
      </w:r>
      <w:r>
        <w:rPr>
          <w:color w:val="231F20"/>
          <w:spacing w:val="-9"/>
          <w:w w:val="105"/>
        </w:rPr>
        <w:t> </w:t>
      </w:r>
      <w:r>
        <w:rPr>
          <w:color w:val="231F20"/>
          <w:spacing w:val="-3"/>
          <w:w w:val="105"/>
        </w:rPr>
        <w:t>vida</w:t>
      </w:r>
      <w:r>
        <w:rPr>
          <w:color w:val="231F20"/>
          <w:spacing w:val="-9"/>
          <w:w w:val="105"/>
        </w:rPr>
        <w:t> </w:t>
      </w:r>
      <w:r>
        <w:rPr>
          <w:color w:val="231F20"/>
          <w:spacing w:val="-3"/>
          <w:w w:val="105"/>
        </w:rPr>
        <w:t>cotidiana</w:t>
      </w:r>
      <w:r>
        <w:rPr>
          <w:color w:val="231F20"/>
          <w:spacing w:val="-9"/>
          <w:w w:val="105"/>
        </w:rPr>
        <w:t> </w:t>
      </w:r>
      <w:r>
        <w:rPr>
          <w:color w:val="231F20"/>
          <w:w w:val="105"/>
        </w:rPr>
        <w:t>de</w:t>
      </w:r>
      <w:r>
        <w:rPr>
          <w:color w:val="231F20"/>
          <w:spacing w:val="-9"/>
          <w:w w:val="105"/>
        </w:rPr>
        <w:t> </w:t>
      </w:r>
      <w:r>
        <w:rPr>
          <w:color w:val="231F20"/>
          <w:spacing w:val="-3"/>
          <w:w w:val="105"/>
        </w:rPr>
        <w:t>miles</w:t>
      </w:r>
      <w:r>
        <w:rPr>
          <w:color w:val="231F20"/>
          <w:spacing w:val="-9"/>
          <w:w w:val="105"/>
        </w:rPr>
        <w:t> </w:t>
      </w:r>
      <w:r>
        <w:rPr>
          <w:color w:val="231F20"/>
          <w:w w:val="105"/>
        </w:rPr>
        <w:t>de</w:t>
      </w:r>
      <w:r>
        <w:rPr>
          <w:color w:val="231F20"/>
          <w:spacing w:val="-9"/>
          <w:w w:val="105"/>
        </w:rPr>
        <w:t> </w:t>
      </w:r>
      <w:r>
        <w:rPr>
          <w:color w:val="231F20"/>
          <w:spacing w:val="-3"/>
          <w:w w:val="105"/>
        </w:rPr>
        <w:t>niños</w:t>
      </w:r>
      <w:r>
        <w:rPr>
          <w:color w:val="231F20"/>
          <w:spacing w:val="-9"/>
          <w:w w:val="105"/>
        </w:rPr>
        <w:t> </w:t>
      </w:r>
      <w:r>
        <w:rPr>
          <w:color w:val="231F20"/>
          <w:w w:val="105"/>
        </w:rPr>
        <w:t>a</w:t>
      </w:r>
      <w:r>
        <w:rPr>
          <w:color w:val="231F20"/>
          <w:spacing w:val="-9"/>
          <w:w w:val="105"/>
        </w:rPr>
        <w:t> </w:t>
      </w:r>
      <w:r>
        <w:rPr>
          <w:color w:val="231F20"/>
          <w:spacing w:val="-3"/>
          <w:w w:val="105"/>
        </w:rPr>
        <w:t>nivel</w:t>
      </w:r>
      <w:r>
        <w:rPr>
          <w:color w:val="231F20"/>
          <w:spacing w:val="-9"/>
          <w:w w:val="105"/>
        </w:rPr>
        <w:t> </w:t>
      </w:r>
      <w:r>
        <w:rPr>
          <w:color w:val="231F20"/>
          <w:spacing w:val="-3"/>
          <w:w w:val="105"/>
        </w:rPr>
        <w:t>mundial:</w:t>
      </w:r>
      <w:r>
        <w:rPr>
          <w:color w:val="231F20"/>
          <w:spacing w:val="-9"/>
          <w:w w:val="105"/>
        </w:rPr>
        <w:t> </w:t>
      </w:r>
      <w:r>
        <w:rPr>
          <w:color w:val="231F20"/>
          <w:spacing w:val="-4"/>
          <w:w w:val="105"/>
        </w:rPr>
        <w:t>trabajo </w:t>
      </w:r>
      <w:r>
        <w:rPr>
          <w:color w:val="231F20"/>
          <w:w w:val="105"/>
        </w:rPr>
        <w:t>y </w:t>
      </w:r>
      <w:r>
        <w:rPr>
          <w:color w:val="231F20"/>
          <w:spacing w:val="-3"/>
          <w:w w:val="105"/>
        </w:rPr>
        <w:t>migración. Mucho </w:t>
      </w:r>
      <w:r>
        <w:rPr>
          <w:color w:val="231F20"/>
          <w:w w:val="105"/>
        </w:rPr>
        <w:t>se lee en la </w:t>
      </w:r>
      <w:r>
        <w:rPr>
          <w:color w:val="231F20"/>
          <w:spacing w:val="-3"/>
          <w:w w:val="105"/>
        </w:rPr>
        <w:t>prensa sobre </w:t>
      </w:r>
      <w:r>
        <w:rPr>
          <w:color w:val="231F20"/>
          <w:w w:val="105"/>
        </w:rPr>
        <w:t>las </w:t>
      </w:r>
      <w:r>
        <w:rPr>
          <w:color w:val="231F20"/>
          <w:spacing w:val="-4"/>
          <w:w w:val="105"/>
        </w:rPr>
        <w:t>frecuentes </w:t>
      </w:r>
      <w:r>
        <w:rPr>
          <w:color w:val="231F20"/>
          <w:spacing w:val="-3"/>
          <w:w w:val="105"/>
        </w:rPr>
        <w:t>migraciones internacionales hacia Europa </w:t>
      </w:r>
      <w:r>
        <w:rPr>
          <w:color w:val="231F20"/>
          <w:w w:val="105"/>
        </w:rPr>
        <w:t>y</w:t>
      </w:r>
      <w:r>
        <w:rPr>
          <w:color w:val="231F20"/>
          <w:spacing w:val="-42"/>
          <w:w w:val="105"/>
        </w:rPr>
        <w:t> </w:t>
      </w:r>
      <w:r>
        <w:rPr>
          <w:color w:val="231F20"/>
          <w:spacing w:val="-3"/>
          <w:w w:val="105"/>
        </w:rPr>
        <w:t>Estados Unidos </w:t>
      </w:r>
      <w:r>
        <w:rPr>
          <w:color w:val="231F20"/>
          <w:w w:val="105"/>
        </w:rPr>
        <w:t>y sus</w:t>
      </w:r>
      <w:r>
        <w:rPr>
          <w:color w:val="231F20"/>
          <w:spacing w:val="-45"/>
          <w:w w:val="105"/>
        </w:rPr>
        <w:t> </w:t>
      </w:r>
      <w:r>
        <w:rPr>
          <w:color w:val="231F20"/>
          <w:spacing w:val="-3"/>
          <w:w w:val="105"/>
        </w:rPr>
        <w:t>fatales</w:t>
      </w:r>
      <w:r>
        <w:rPr>
          <w:color w:val="231F20"/>
          <w:spacing w:val="-45"/>
          <w:w w:val="105"/>
        </w:rPr>
        <w:t> </w:t>
      </w:r>
      <w:r>
        <w:rPr>
          <w:color w:val="231F20"/>
          <w:spacing w:val="-3"/>
          <w:w w:val="105"/>
        </w:rPr>
        <w:t>consecuencias</w:t>
      </w:r>
      <w:r>
        <w:rPr>
          <w:color w:val="231F20"/>
          <w:spacing w:val="-45"/>
          <w:w w:val="105"/>
        </w:rPr>
        <w:t> </w:t>
      </w:r>
      <w:r>
        <w:rPr>
          <w:color w:val="231F20"/>
          <w:spacing w:val="-3"/>
          <w:w w:val="105"/>
        </w:rPr>
        <w:t>sobre</w:t>
      </w:r>
      <w:r>
        <w:rPr>
          <w:color w:val="231F20"/>
          <w:spacing w:val="-45"/>
          <w:w w:val="105"/>
        </w:rPr>
        <w:t> </w:t>
      </w:r>
      <w:r>
        <w:rPr>
          <w:color w:val="231F20"/>
          <w:w w:val="105"/>
        </w:rPr>
        <w:t>los</w:t>
      </w:r>
      <w:r>
        <w:rPr>
          <w:color w:val="231F20"/>
          <w:spacing w:val="-45"/>
          <w:w w:val="105"/>
        </w:rPr>
        <w:t> </w:t>
      </w:r>
      <w:r>
        <w:rPr>
          <w:color w:val="231F20"/>
          <w:spacing w:val="-3"/>
          <w:w w:val="105"/>
        </w:rPr>
        <w:t>niños,</w:t>
      </w:r>
      <w:r>
        <w:rPr>
          <w:color w:val="231F20"/>
          <w:spacing w:val="-48"/>
          <w:w w:val="105"/>
        </w:rPr>
        <w:t> </w:t>
      </w:r>
      <w:r>
        <w:rPr>
          <w:color w:val="231F20"/>
          <w:w w:val="105"/>
        </w:rPr>
        <w:t>las</w:t>
      </w:r>
      <w:r>
        <w:rPr>
          <w:color w:val="231F20"/>
          <w:spacing w:val="-45"/>
          <w:w w:val="105"/>
        </w:rPr>
        <w:t> </w:t>
      </w:r>
      <w:r>
        <w:rPr>
          <w:color w:val="231F20"/>
          <w:spacing w:val="-3"/>
          <w:w w:val="105"/>
        </w:rPr>
        <w:t>niñas</w:t>
      </w:r>
      <w:r>
        <w:rPr>
          <w:color w:val="231F20"/>
          <w:spacing w:val="-45"/>
          <w:w w:val="105"/>
        </w:rPr>
        <w:t> </w:t>
      </w:r>
      <w:r>
        <w:rPr>
          <w:color w:val="231F20"/>
          <w:w w:val="105"/>
        </w:rPr>
        <w:t>y</w:t>
      </w:r>
      <w:r>
        <w:rPr>
          <w:color w:val="231F20"/>
          <w:spacing w:val="-45"/>
          <w:w w:val="105"/>
        </w:rPr>
        <w:t> </w:t>
      </w:r>
      <w:r>
        <w:rPr>
          <w:color w:val="231F20"/>
          <w:w w:val="105"/>
        </w:rPr>
        <w:t>los</w:t>
      </w:r>
      <w:r>
        <w:rPr>
          <w:color w:val="231F20"/>
          <w:spacing w:val="-45"/>
          <w:w w:val="105"/>
        </w:rPr>
        <w:t> </w:t>
      </w:r>
      <w:r>
        <w:rPr>
          <w:color w:val="231F20"/>
          <w:spacing w:val="-3"/>
          <w:w w:val="105"/>
        </w:rPr>
        <w:t>adoles-</w:t>
      </w:r>
    </w:p>
    <w:p>
      <w:pPr>
        <w:pStyle w:val="BodyText"/>
        <w:spacing w:line="261" w:lineRule="auto" w:before="1"/>
        <w:ind w:left="1837" w:right="1721"/>
        <w:jc w:val="both"/>
      </w:pPr>
      <w:r>
        <w:rPr>
          <w:color w:val="231F20"/>
        </w:rPr>
        <w:t>centes que intentan huir de las adversas condiciones que imperan en sus regiones. Recientes estimaciones muestran que una de cada cinco perso- nas que emigran es un niño, una niña o un adolescente (</w:t>
      </w:r>
      <w:r>
        <w:rPr>
          <w:color w:val="231F20"/>
          <w:sz w:val="17"/>
        </w:rPr>
        <w:t>CEPAL</w:t>
      </w:r>
      <w:r>
        <w:rPr>
          <w:color w:val="231F20"/>
        </w:rPr>
        <w:t>, 2010).</w:t>
      </w:r>
    </w:p>
    <w:p>
      <w:pPr>
        <w:pStyle w:val="BodyText"/>
        <w:spacing w:line="261" w:lineRule="auto" w:before="1"/>
        <w:ind w:left="1837" w:right="1721" w:firstLine="567"/>
        <w:jc w:val="both"/>
      </w:pPr>
      <w:r>
        <w:rPr>
          <w:color w:val="231F20"/>
        </w:rPr>
        <w:t>Igualmente, cada mes de junio que se conmemora el día interna- cional contra el trabajo infantil, se lee sobre la persistencia de aproxima- damente 85.3 millones de niños y niñas en labores productivas peligro-  sas y no aptas para su edad, pues interfieren en su adecuado desarrollo (</w:t>
      </w:r>
      <w:r>
        <w:rPr>
          <w:color w:val="231F20"/>
          <w:sz w:val="17"/>
        </w:rPr>
        <w:t>OIT</w:t>
      </w:r>
      <w:r>
        <w:rPr>
          <w:color w:val="231F20"/>
        </w:rPr>
        <w:t>, 2013).</w:t>
      </w:r>
    </w:p>
    <w:p>
      <w:pPr>
        <w:pStyle w:val="BodyText"/>
        <w:spacing w:line="261" w:lineRule="auto" w:before="1"/>
        <w:ind w:left="1837" w:right="1720" w:firstLine="567"/>
        <w:jc w:val="both"/>
      </w:pPr>
      <w:r>
        <w:rPr>
          <w:color w:val="231F20"/>
          <w:w w:val="105"/>
        </w:rPr>
        <w:t>Lamentablemente,</w:t>
      </w:r>
      <w:r>
        <w:rPr>
          <w:color w:val="231F20"/>
          <w:spacing w:val="-16"/>
          <w:w w:val="105"/>
        </w:rPr>
        <w:t> </w:t>
      </w:r>
      <w:r>
        <w:rPr>
          <w:color w:val="231F20"/>
          <w:w w:val="105"/>
        </w:rPr>
        <w:t>los</w:t>
      </w:r>
      <w:r>
        <w:rPr>
          <w:color w:val="231F20"/>
          <w:spacing w:val="-11"/>
          <w:w w:val="105"/>
        </w:rPr>
        <w:t> </w:t>
      </w:r>
      <w:r>
        <w:rPr>
          <w:color w:val="231F20"/>
          <w:w w:val="105"/>
        </w:rPr>
        <w:t>reflectores</w:t>
      </w:r>
      <w:r>
        <w:rPr>
          <w:color w:val="231F20"/>
          <w:spacing w:val="-11"/>
          <w:w w:val="105"/>
        </w:rPr>
        <w:t> </w:t>
      </w:r>
      <w:r>
        <w:rPr>
          <w:color w:val="231F20"/>
          <w:w w:val="105"/>
        </w:rPr>
        <w:t>mediáticos</w:t>
      </w:r>
      <w:r>
        <w:rPr>
          <w:color w:val="231F20"/>
          <w:spacing w:val="-11"/>
          <w:w w:val="105"/>
        </w:rPr>
        <w:t> </w:t>
      </w:r>
      <w:r>
        <w:rPr>
          <w:color w:val="231F20"/>
          <w:w w:val="105"/>
        </w:rPr>
        <w:t>sobre</w:t>
      </w:r>
      <w:r>
        <w:rPr>
          <w:color w:val="231F20"/>
          <w:spacing w:val="-11"/>
          <w:w w:val="105"/>
        </w:rPr>
        <w:t> </w:t>
      </w:r>
      <w:r>
        <w:rPr>
          <w:color w:val="231F20"/>
          <w:w w:val="105"/>
        </w:rPr>
        <w:t>la</w:t>
      </w:r>
      <w:r>
        <w:rPr>
          <w:color w:val="231F20"/>
          <w:spacing w:val="-11"/>
          <w:w w:val="105"/>
        </w:rPr>
        <w:t> </w:t>
      </w:r>
      <w:r>
        <w:rPr>
          <w:color w:val="231F20"/>
          <w:w w:val="105"/>
        </w:rPr>
        <w:t>infancia</w:t>
      </w:r>
      <w:r>
        <w:rPr>
          <w:color w:val="231F20"/>
          <w:spacing w:val="-11"/>
          <w:w w:val="105"/>
        </w:rPr>
        <w:t> </w:t>
      </w:r>
      <w:r>
        <w:rPr>
          <w:color w:val="231F20"/>
          <w:w w:val="105"/>
        </w:rPr>
        <w:t>tra- bajadora y la infancia migrante simplifican dos fenómeno sociales</w:t>
      </w:r>
      <w:r>
        <w:rPr>
          <w:color w:val="231F20"/>
          <w:spacing w:val="-37"/>
          <w:w w:val="105"/>
        </w:rPr>
        <w:t> </w:t>
      </w:r>
      <w:r>
        <w:rPr>
          <w:color w:val="231F20"/>
          <w:w w:val="105"/>
        </w:rPr>
        <w:t>com- plejos que en cierta medida son la punta del </w:t>
      </w:r>
      <w:r>
        <w:rPr>
          <w:rFonts w:ascii="Arial" w:hAnsi="Arial"/>
          <w:i/>
          <w:color w:val="231F20"/>
          <w:w w:val="105"/>
        </w:rPr>
        <w:t>iceberg </w:t>
      </w:r>
      <w:r>
        <w:rPr>
          <w:color w:val="231F20"/>
          <w:w w:val="105"/>
        </w:rPr>
        <w:t>de una serie de problemáticas</w:t>
      </w:r>
      <w:r>
        <w:rPr>
          <w:color w:val="231F20"/>
          <w:spacing w:val="-26"/>
          <w:w w:val="105"/>
        </w:rPr>
        <w:t> </w:t>
      </w:r>
      <w:r>
        <w:rPr>
          <w:color w:val="231F20"/>
          <w:w w:val="105"/>
        </w:rPr>
        <w:t>que</w:t>
      </w:r>
      <w:r>
        <w:rPr>
          <w:color w:val="231F20"/>
          <w:spacing w:val="-26"/>
          <w:w w:val="105"/>
        </w:rPr>
        <w:t> </w:t>
      </w:r>
      <w:r>
        <w:rPr>
          <w:color w:val="231F20"/>
          <w:w w:val="105"/>
        </w:rPr>
        <w:t>afectan</w:t>
      </w:r>
      <w:r>
        <w:rPr>
          <w:color w:val="231F20"/>
          <w:spacing w:val="-26"/>
          <w:w w:val="105"/>
        </w:rPr>
        <w:t> </w:t>
      </w:r>
      <w:r>
        <w:rPr>
          <w:color w:val="231F20"/>
          <w:w w:val="105"/>
        </w:rPr>
        <w:t>la</w:t>
      </w:r>
      <w:r>
        <w:rPr>
          <w:color w:val="231F20"/>
          <w:spacing w:val="-26"/>
          <w:w w:val="105"/>
        </w:rPr>
        <w:t> </w:t>
      </w:r>
      <w:r>
        <w:rPr>
          <w:color w:val="231F20"/>
          <w:w w:val="105"/>
        </w:rPr>
        <w:t>distribución</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recursos,</w:t>
      </w:r>
      <w:r>
        <w:rPr>
          <w:color w:val="231F20"/>
          <w:spacing w:val="-31"/>
          <w:w w:val="105"/>
        </w:rPr>
        <w:t> </w:t>
      </w:r>
      <w:r>
        <w:rPr>
          <w:color w:val="231F20"/>
          <w:w w:val="105"/>
        </w:rPr>
        <w:t>el</w:t>
      </w:r>
      <w:r>
        <w:rPr>
          <w:color w:val="231F20"/>
          <w:spacing w:val="-26"/>
          <w:w w:val="105"/>
        </w:rPr>
        <w:t> </w:t>
      </w:r>
      <w:r>
        <w:rPr>
          <w:color w:val="231F20"/>
          <w:w w:val="105"/>
        </w:rPr>
        <w:t>acceso</w:t>
      </w:r>
      <w:r>
        <w:rPr>
          <w:color w:val="231F20"/>
          <w:spacing w:val="-26"/>
          <w:w w:val="105"/>
        </w:rPr>
        <w:t> </w:t>
      </w:r>
      <w:r>
        <w:rPr>
          <w:color w:val="231F20"/>
          <w:w w:val="105"/>
        </w:rPr>
        <w:t>a</w:t>
      </w:r>
      <w:r>
        <w:rPr>
          <w:color w:val="231F20"/>
          <w:spacing w:val="-26"/>
          <w:w w:val="105"/>
        </w:rPr>
        <w:t> </w:t>
      </w:r>
      <w:r>
        <w:rPr>
          <w:color w:val="231F20"/>
          <w:w w:val="105"/>
        </w:rPr>
        <w:t>una vida de calidad y el papel de los Estados en la provisión de bienestar a la</w:t>
      </w:r>
      <w:r>
        <w:rPr>
          <w:color w:val="231F20"/>
          <w:spacing w:val="-15"/>
          <w:w w:val="105"/>
        </w:rPr>
        <w:t> </w:t>
      </w:r>
      <w:r>
        <w:rPr>
          <w:color w:val="231F20"/>
          <w:w w:val="105"/>
        </w:rPr>
        <w:t>población,</w:t>
      </w:r>
      <w:r>
        <w:rPr>
          <w:color w:val="231F20"/>
          <w:spacing w:val="-21"/>
          <w:w w:val="105"/>
        </w:rPr>
        <w:t> </w:t>
      </w:r>
      <w:r>
        <w:rPr>
          <w:color w:val="231F20"/>
          <w:w w:val="105"/>
        </w:rPr>
        <w:t>particularmente</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niñez.</w:t>
      </w:r>
      <w:r>
        <w:rPr>
          <w:color w:val="231F20"/>
          <w:spacing w:val="-21"/>
          <w:w w:val="105"/>
        </w:rPr>
        <w:t> </w:t>
      </w:r>
      <w:r>
        <w:rPr>
          <w:color w:val="231F20"/>
          <w:w w:val="105"/>
        </w:rPr>
        <w:t>La</w:t>
      </w:r>
      <w:r>
        <w:rPr>
          <w:color w:val="231F20"/>
          <w:spacing w:val="-15"/>
          <w:w w:val="105"/>
        </w:rPr>
        <w:t> </w:t>
      </w:r>
      <w:r>
        <w:rPr>
          <w:color w:val="231F20"/>
          <w:w w:val="105"/>
        </w:rPr>
        <w:t>niñez</w:t>
      </w:r>
      <w:r>
        <w:rPr>
          <w:color w:val="231F20"/>
          <w:spacing w:val="-15"/>
          <w:w w:val="105"/>
        </w:rPr>
        <w:t> </w:t>
      </w:r>
      <w:r>
        <w:rPr>
          <w:color w:val="231F20"/>
          <w:w w:val="105"/>
        </w:rPr>
        <w:t>migrante</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niñez</w:t>
      </w:r>
      <w:r>
        <w:rPr>
          <w:color w:val="231F20"/>
          <w:spacing w:val="-15"/>
          <w:w w:val="105"/>
        </w:rPr>
        <w:t> </w:t>
      </w:r>
      <w:r>
        <w:rPr>
          <w:color w:val="231F20"/>
          <w:w w:val="105"/>
        </w:rPr>
        <w:t>que trabaja</w:t>
      </w:r>
      <w:r>
        <w:rPr>
          <w:color w:val="231F20"/>
          <w:spacing w:val="-7"/>
          <w:w w:val="105"/>
        </w:rPr>
        <w:t> </w:t>
      </w:r>
      <w:r>
        <w:rPr>
          <w:color w:val="231F20"/>
          <w:w w:val="105"/>
        </w:rPr>
        <w:t>son</w:t>
      </w:r>
      <w:r>
        <w:rPr>
          <w:color w:val="231F20"/>
          <w:spacing w:val="-7"/>
          <w:w w:val="105"/>
        </w:rPr>
        <w:t> </w:t>
      </w:r>
      <w:r>
        <w:rPr>
          <w:color w:val="231F20"/>
          <w:w w:val="105"/>
        </w:rPr>
        <w:t>grupos</w:t>
      </w:r>
      <w:r>
        <w:rPr>
          <w:color w:val="231F20"/>
          <w:spacing w:val="-7"/>
          <w:w w:val="105"/>
        </w:rPr>
        <w:t> </w:t>
      </w:r>
      <w:r>
        <w:rPr>
          <w:color w:val="231F20"/>
          <w:w w:val="105"/>
        </w:rPr>
        <w:t>sociales</w:t>
      </w:r>
      <w:r>
        <w:rPr>
          <w:color w:val="231F20"/>
          <w:spacing w:val="-7"/>
          <w:w w:val="105"/>
        </w:rPr>
        <w:t> </w:t>
      </w:r>
      <w:r>
        <w:rPr>
          <w:color w:val="231F20"/>
          <w:w w:val="105"/>
        </w:rPr>
        <w:t>caracterizados</w:t>
      </w:r>
      <w:r>
        <w:rPr>
          <w:color w:val="231F20"/>
          <w:spacing w:val="-7"/>
          <w:w w:val="105"/>
        </w:rPr>
        <w:t> </w:t>
      </w:r>
      <w:r>
        <w:rPr>
          <w:color w:val="231F20"/>
          <w:w w:val="105"/>
        </w:rPr>
        <w:t>por</w:t>
      </w:r>
      <w:r>
        <w:rPr>
          <w:color w:val="231F20"/>
          <w:spacing w:val="-7"/>
          <w:w w:val="105"/>
        </w:rPr>
        <w:t> </w:t>
      </w:r>
      <w:r>
        <w:rPr>
          <w:color w:val="231F20"/>
          <w:w w:val="105"/>
        </w:rPr>
        <w:t>contextos</w:t>
      </w:r>
      <w:r>
        <w:rPr>
          <w:color w:val="231F20"/>
          <w:spacing w:val="-7"/>
          <w:w w:val="105"/>
        </w:rPr>
        <w:t> </w:t>
      </w:r>
      <w:r>
        <w:rPr>
          <w:color w:val="231F20"/>
          <w:w w:val="105"/>
        </w:rPr>
        <w:t>complejos,</w:t>
      </w:r>
      <w:r>
        <w:rPr>
          <w:color w:val="231F20"/>
          <w:spacing w:val="-13"/>
          <w:w w:val="105"/>
        </w:rPr>
        <w:t> </w:t>
      </w:r>
      <w:r>
        <w:rPr>
          <w:color w:val="231F20"/>
          <w:w w:val="105"/>
        </w:rPr>
        <w:t>en muchos de los casos ambos fenómenos van de la mano</w:t>
      </w:r>
      <w:r>
        <w:rPr>
          <w:color w:val="231F20"/>
          <w:spacing w:val="-31"/>
          <w:w w:val="105"/>
        </w:rPr>
        <w:t> </w:t>
      </w:r>
      <w:r>
        <w:rPr>
          <w:color w:val="231F20"/>
          <w:w w:val="105"/>
        </w:rPr>
        <w:t>profundizando aún</w:t>
      </w:r>
      <w:r>
        <w:rPr>
          <w:color w:val="231F20"/>
          <w:spacing w:val="-18"/>
          <w:w w:val="105"/>
        </w:rPr>
        <w:t> </w:t>
      </w:r>
      <w:r>
        <w:rPr>
          <w:color w:val="231F20"/>
          <w:w w:val="105"/>
        </w:rPr>
        <w:t>más</w:t>
      </w:r>
      <w:r>
        <w:rPr>
          <w:color w:val="231F20"/>
          <w:spacing w:val="-18"/>
          <w:w w:val="105"/>
        </w:rPr>
        <w:t> </w:t>
      </w:r>
      <w:r>
        <w:rPr>
          <w:color w:val="231F20"/>
          <w:w w:val="105"/>
        </w:rPr>
        <w:t>su</w:t>
      </w:r>
      <w:r>
        <w:rPr>
          <w:color w:val="231F20"/>
          <w:spacing w:val="-18"/>
          <w:w w:val="105"/>
        </w:rPr>
        <w:t> </w:t>
      </w:r>
      <w:r>
        <w:rPr>
          <w:color w:val="231F20"/>
          <w:w w:val="105"/>
        </w:rPr>
        <w:t>complejidad.</w:t>
      </w:r>
    </w:p>
    <w:p>
      <w:pPr>
        <w:pStyle w:val="BodyText"/>
        <w:spacing w:line="261" w:lineRule="auto" w:before="1"/>
        <w:ind w:left="1837" w:right="1721" w:firstLine="567"/>
        <w:jc w:val="both"/>
      </w:pPr>
      <w:r>
        <w:rPr>
          <w:color w:val="231F20"/>
          <w:w w:val="105"/>
        </w:rPr>
        <w:t>En</w:t>
      </w:r>
      <w:r>
        <w:rPr>
          <w:color w:val="231F20"/>
          <w:spacing w:val="-6"/>
          <w:w w:val="105"/>
        </w:rPr>
        <w:t> </w:t>
      </w:r>
      <w:r>
        <w:rPr>
          <w:color w:val="231F20"/>
          <w:w w:val="105"/>
        </w:rPr>
        <w:t>México,</w:t>
      </w:r>
      <w:r>
        <w:rPr>
          <w:color w:val="231F20"/>
          <w:spacing w:val="-11"/>
          <w:w w:val="105"/>
        </w:rPr>
        <w:t> </w:t>
      </w:r>
      <w:r>
        <w:rPr>
          <w:color w:val="231F20"/>
          <w:w w:val="105"/>
        </w:rPr>
        <w:t>las</w:t>
      </w:r>
      <w:r>
        <w:rPr>
          <w:color w:val="231F20"/>
          <w:spacing w:val="-6"/>
          <w:w w:val="105"/>
        </w:rPr>
        <w:t> </w:t>
      </w:r>
      <w:r>
        <w:rPr>
          <w:color w:val="231F20"/>
          <w:w w:val="105"/>
        </w:rPr>
        <w:t>condiciones</w:t>
      </w:r>
      <w:r>
        <w:rPr>
          <w:color w:val="231F20"/>
          <w:spacing w:val="-6"/>
          <w:w w:val="105"/>
        </w:rPr>
        <w:t> </w:t>
      </w:r>
      <w:r>
        <w:rPr>
          <w:color w:val="231F20"/>
          <w:w w:val="105"/>
        </w:rPr>
        <w:t>de</w:t>
      </w:r>
      <w:r>
        <w:rPr>
          <w:color w:val="231F20"/>
          <w:spacing w:val="-6"/>
          <w:w w:val="105"/>
        </w:rPr>
        <w:t> </w:t>
      </w:r>
      <w:r>
        <w:rPr>
          <w:color w:val="231F20"/>
          <w:w w:val="105"/>
        </w:rPr>
        <w:t>desigualdad</w:t>
      </w:r>
      <w:r>
        <w:rPr>
          <w:color w:val="231F20"/>
          <w:spacing w:val="-6"/>
          <w:w w:val="105"/>
        </w:rPr>
        <w:t> </w:t>
      </w:r>
      <w:r>
        <w:rPr>
          <w:color w:val="231F20"/>
          <w:w w:val="105"/>
        </w:rPr>
        <w:t>y</w:t>
      </w:r>
      <w:r>
        <w:rPr>
          <w:color w:val="231F20"/>
          <w:spacing w:val="-6"/>
          <w:w w:val="105"/>
        </w:rPr>
        <w:t> </w:t>
      </w:r>
      <w:r>
        <w:rPr>
          <w:color w:val="231F20"/>
          <w:w w:val="105"/>
        </w:rPr>
        <w:t>precariedad</w:t>
      </w:r>
      <w:r>
        <w:rPr>
          <w:color w:val="231F20"/>
          <w:spacing w:val="-6"/>
          <w:w w:val="105"/>
        </w:rPr>
        <w:t> </w:t>
      </w:r>
      <w:r>
        <w:rPr>
          <w:color w:val="231F20"/>
          <w:w w:val="105"/>
        </w:rPr>
        <w:t>que</w:t>
      </w:r>
      <w:r>
        <w:rPr>
          <w:color w:val="231F20"/>
          <w:spacing w:val="-6"/>
          <w:w w:val="105"/>
        </w:rPr>
        <w:t> </w:t>
      </w:r>
      <w:r>
        <w:rPr>
          <w:color w:val="231F20"/>
          <w:w w:val="105"/>
        </w:rPr>
        <w:t>im- peran</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ámbito</w:t>
      </w:r>
      <w:r>
        <w:rPr>
          <w:color w:val="231F20"/>
          <w:spacing w:val="-15"/>
          <w:w w:val="105"/>
        </w:rPr>
        <w:t> </w:t>
      </w:r>
      <w:r>
        <w:rPr>
          <w:color w:val="231F20"/>
          <w:w w:val="105"/>
        </w:rPr>
        <w:t>rural</w:t>
      </w:r>
      <w:r>
        <w:rPr>
          <w:color w:val="231F20"/>
          <w:spacing w:val="-15"/>
          <w:w w:val="105"/>
        </w:rPr>
        <w:t> </w:t>
      </w:r>
      <w:r>
        <w:rPr>
          <w:color w:val="231F20"/>
          <w:w w:val="105"/>
        </w:rPr>
        <w:t>son</w:t>
      </w:r>
      <w:r>
        <w:rPr>
          <w:color w:val="231F20"/>
          <w:spacing w:val="-15"/>
          <w:w w:val="105"/>
        </w:rPr>
        <w:t> </w:t>
      </w:r>
      <w:r>
        <w:rPr>
          <w:color w:val="231F20"/>
          <w:w w:val="105"/>
        </w:rPr>
        <w:t>el</w:t>
      </w:r>
      <w:r>
        <w:rPr>
          <w:color w:val="231F20"/>
          <w:spacing w:val="-15"/>
          <w:w w:val="105"/>
        </w:rPr>
        <w:t> </w:t>
      </w:r>
      <w:r>
        <w:rPr>
          <w:color w:val="231F20"/>
          <w:w w:val="105"/>
        </w:rPr>
        <w:t>escenario</w:t>
      </w:r>
      <w:r>
        <w:rPr>
          <w:color w:val="231F20"/>
          <w:spacing w:val="-15"/>
          <w:w w:val="105"/>
        </w:rPr>
        <w:t> </w:t>
      </w:r>
      <w:r>
        <w:rPr>
          <w:color w:val="231F20"/>
          <w:w w:val="105"/>
        </w:rPr>
        <w:t>ideal</w:t>
      </w:r>
      <w:r>
        <w:rPr>
          <w:color w:val="231F20"/>
          <w:spacing w:val="-15"/>
          <w:w w:val="105"/>
        </w:rPr>
        <w:t> </w:t>
      </w:r>
      <w:r>
        <w:rPr>
          <w:color w:val="231F20"/>
          <w:w w:val="105"/>
        </w:rPr>
        <w:t>para</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trabajo</w:t>
      </w:r>
      <w:r>
        <w:rPr>
          <w:color w:val="231F20"/>
          <w:spacing w:val="-15"/>
          <w:w w:val="105"/>
        </w:rPr>
        <w:t> </w:t>
      </w:r>
      <w:r>
        <w:rPr>
          <w:color w:val="231F20"/>
          <w:w w:val="105"/>
        </w:rPr>
        <w:t>infantil</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28"/>
        <w:jc w:val="both"/>
      </w:pPr>
      <w:r>
        <w:rPr>
          <w:color w:val="231F20"/>
          <w:w w:val="105"/>
        </w:rPr>
        <w:t>y la migración se presenten como estrategias de supervivencia econó- mica</w:t>
      </w:r>
      <w:r>
        <w:rPr>
          <w:color w:val="231F20"/>
          <w:spacing w:val="-12"/>
          <w:w w:val="105"/>
        </w:rPr>
        <w:t> </w:t>
      </w:r>
      <w:r>
        <w:rPr>
          <w:color w:val="231F20"/>
          <w:w w:val="105"/>
        </w:rPr>
        <w:t>para</w:t>
      </w:r>
      <w:r>
        <w:rPr>
          <w:color w:val="231F20"/>
          <w:spacing w:val="-12"/>
          <w:w w:val="105"/>
        </w:rPr>
        <w:t> </w:t>
      </w:r>
      <w:r>
        <w:rPr>
          <w:color w:val="231F20"/>
          <w:w w:val="105"/>
        </w:rPr>
        <w:t>miles</w:t>
      </w:r>
      <w:r>
        <w:rPr>
          <w:color w:val="231F20"/>
          <w:spacing w:val="-12"/>
          <w:w w:val="105"/>
        </w:rPr>
        <w:t> </w:t>
      </w:r>
      <w:r>
        <w:rPr>
          <w:color w:val="231F20"/>
          <w:w w:val="105"/>
        </w:rPr>
        <w:t>de</w:t>
      </w:r>
      <w:r>
        <w:rPr>
          <w:color w:val="231F20"/>
          <w:spacing w:val="-12"/>
          <w:w w:val="105"/>
        </w:rPr>
        <w:t> </w:t>
      </w:r>
      <w:r>
        <w:rPr>
          <w:color w:val="231F20"/>
          <w:w w:val="105"/>
        </w:rPr>
        <w:t>familias</w:t>
      </w:r>
      <w:r>
        <w:rPr>
          <w:color w:val="231F20"/>
          <w:spacing w:val="-12"/>
          <w:w w:val="105"/>
        </w:rPr>
        <w:t> </w:t>
      </w:r>
      <w:r>
        <w:rPr>
          <w:color w:val="231F20"/>
          <w:w w:val="105"/>
        </w:rPr>
        <w:t>que</w:t>
      </w:r>
      <w:r>
        <w:rPr>
          <w:color w:val="231F20"/>
          <w:spacing w:val="-12"/>
          <w:w w:val="105"/>
        </w:rPr>
        <w:t> </w:t>
      </w:r>
      <w:r>
        <w:rPr>
          <w:color w:val="231F20"/>
          <w:w w:val="105"/>
        </w:rPr>
        <w:t>día</w:t>
      </w:r>
      <w:r>
        <w:rPr>
          <w:color w:val="231F20"/>
          <w:spacing w:val="-12"/>
          <w:w w:val="105"/>
        </w:rPr>
        <w:t> </w:t>
      </w:r>
      <w:r>
        <w:rPr>
          <w:color w:val="231F20"/>
          <w:w w:val="105"/>
        </w:rPr>
        <w:t>a</w:t>
      </w:r>
      <w:r>
        <w:rPr>
          <w:color w:val="231F20"/>
          <w:spacing w:val="-12"/>
          <w:w w:val="105"/>
        </w:rPr>
        <w:t> </w:t>
      </w:r>
      <w:r>
        <w:rPr>
          <w:color w:val="231F20"/>
          <w:w w:val="105"/>
        </w:rPr>
        <w:t>día</w:t>
      </w:r>
      <w:r>
        <w:rPr>
          <w:color w:val="231F20"/>
          <w:spacing w:val="-12"/>
          <w:w w:val="105"/>
        </w:rPr>
        <w:t> </w:t>
      </w:r>
      <w:r>
        <w:rPr>
          <w:color w:val="231F20"/>
          <w:w w:val="105"/>
        </w:rPr>
        <w:t>enfrentan</w:t>
      </w:r>
      <w:r>
        <w:rPr>
          <w:color w:val="231F20"/>
          <w:spacing w:val="-12"/>
          <w:w w:val="105"/>
        </w:rPr>
        <w:t> </w:t>
      </w:r>
      <w:r>
        <w:rPr>
          <w:color w:val="231F20"/>
          <w:w w:val="105"/>
        </w:rPr>
        <w:t>los</w:t>
      </w:r>
      <w:r>
        <w:rPr>
          <w:color w:val="231F20"/>
          <w:spacing w:val="-12"/>
          <w:w w:val="105"/>
        </w:rPr>
        <w:t> </w:t>
      </w:r>
      <w:r>
        <w:rPr>
          <w:color w:val="231F20"/>
          <w:w w:val="105"/>
        </w:rPr>
        <w:t>estragos</w:t>
      </w:r>
      <w:r>
        <w:rPr>
          <w:color w:val="231F20"/>
          <w:spacing w:val="-12"/>
          <w:w w:val="105"/>
        </w:rPr>
        <w:t> </w:t>
      </w:r>
      <w:r>
        <w:rPr>
          <w:color w:val="231F20"/>
          <w:w w:val="105"/>
        </w:rPr>
        <w:t>que</w:t>
      </w:r>
      <w:r>
        <w:rPr>
          <w:color w:val="231F20"/>
          <w:spacing w:val="-12"/>
          <w:w w:val="105"/>
        </w:rPr>
        <w:t> </w:t>
      </w:r>
      <w:r>
        <w:rPr>
          <w:color w:val="231F20"/>
          <w:w w:val="105"/>
        </w:rPr>
        <w:t>han dejado la supuesta modernización agropecuaria y la flexibilidad laboral (Barrón, 2013). Baste revisar el crecimiento de la pobreza alimentaria, que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ámbito</w:t>
      </w:r>
      <w:r>
        <w:rPr>
          <w:color w:val="231F20"/>
          <w:spacing w:val="-17"/>
          <w:w w:val="105"/>
        </w:rPr>
        <w:t> </w:t>
      </w:r>
      <w:r>
        <w:rPr>
          <w:color w:val="231F20"/>
          <w:w w:val="105"/>
        </w:rPr>
        <w:t>rural</w:t>
      </w:r>
      <w:r>
        <w:rPr>
          <w:color w:val="231F20"/>
          <w:spacing w:val="-17"/>
          <w:w w:val="105"/>
        </w:rPr>
        <w:t> </w:t>
      </w:r>
      <w:r>
        <w:rPr>
          <w:color w:val="231F20"/>
          <w:w w:val="105"/>
        </w:rPr>
        <w:t>pasó</w:t>
      </w:r>
      <w:r>
        <w:rPr>
          <w:color w:val="231F20"/>
          <w:spacing w:val="-17"/>
          <w:w w:val="105"/>
        </w:rPr>
        <w:t> </w:t>
      </w:r>
      <w:r>
        <w:rPr>
          <w:color w:val="231F20"/>
          <w:w w:val="105"/>
        </w:rPr>
        <w:t>de</w:t>
      </w:r>
      <w:r>
        <w:rPr>
          <w:color w:val="231F20"/>
          <w:spacing w:val="-17"/>
          <w:w w:val="105"/>
        </w:rPr>
        <w:t> </w:t>
      </w:r>
      <w:r>
        <w:rPr>
          <w:color w:val="231F20"/>
          <w:w w:val="105"/>
        </w:rPr>
        <w:t>24.1%</w:t>
      </w:r>
      <w:r>
        <w:rPr>
          <w:color w:val="231F20"/>
          <w:spacing w:val="-17"/>
          <w:w w:val="105"/>
        </w:rPr>
        <w:t> </w:t>
      </w:r>
      <w:r>
        <w:rPr>
          <w:color w:val="231F20"/>
          <w:w w:val="105"/>
        </w:rPr>
        <w:t>a</w:t>
      </w:r>
      <w:r>
        <w:rPr>
          <w:color w:val="231F20"/>
          <w:spacing w:val="-17"/>
          <w:w w:val="105"/>
        </w:rPr>
        <w:t> </w:t>
      </w:r>
      <w:r>
        <w:rPr>
          <w:color w:val="231F20"/>
          <w:w w:val="105"/>
        </w:rPr>
        <w:t>29.3%,</w:t>
      </w:r>
      <w:r>
        <w:rPr>
          <w:color w:val="231F20"/>
          <w:spacing w:val="-22"/>
          <w:w w:val="105"/>
        </w:rPr>
        <w:t> </w:t>
      </w:r>
      <w:r>
        <w:rPr>
          <w:color w:val="231F20"/>
          <w:w w:val="105"/>
        </w:rPr>
        <w:t>entre</w:t>
      </w:r>
      <w:r>
        <w:rPr>
          <w:color w:val="231F20"/>
          <w:spacing w:val="-17"/>
          <w:w w:val="105"/>
        </w:rPr>
        <w:t> </w:t>
      </w:r>
      <w:r>
        <w:rPr>
          <w:color w:val="231F20"/>
          <w:w w:val="105"/>
        </w:rPr>
        <w:t>2006</w:t>
      </w:r>
      <w:r>
        <w:rPr>
          <w:color w:val="231F20"/>
          <w:spacing w:val="-17"/>
          <w:w w:val="105"/>
        </w:rPr>
        <w:t> </w:t>
      </w:r>
      <w:r>
        <w:rPr>
          <w:color w:val="231F20"/>
          <w:w w:val="105"/>
        </w:rPr>
        <w:t>y</w:t>
      </w:r>
      <w:r>
        <w:rPr>
          <w:color w:val="231F20"/>
          <w:spacing w:val="-17"/>
          <w:w w:val="105"/>
        </w:rPr>
        <w:t> </w:t>
      </w:r>
      <w:r>
        <w:rPr>
          <w:color w:val="231F20"/>
          <w:w w:val="105"/>
        </w:rPr>
        <w:t>2010,</w:t>
      </w:r>
      <w:r>
        <w:rPr>
          <w:color w:val="231F20"/>
          <w:spacing w:val="-22"/>
          <w:w w:val="105"/>
        </w:rPr>
        <w:t> </w:t>
      </w:r>
      <w:r>
        <w:rPr>
          <w:color w:val="231F20"/>
          <w:w w:val="105"/>
        </w:rPr>
        <w:t>lo</w:t>
      </w:r>
      <w:r>
        <w:rPr>
          <w:color w:val="231F20"/>
          <w:spacing w:val="-17"/>
          <w:w w:val="105"/>
        </w:rPr>
        <w:t> </w:t>
      </w:r>
      <w:r>
        <w:rPr>
          <w:color w:val="231F20"/>
          <w:w w:val="105"/>
        </w:rPr>
        <w:t>cual representó</w:t>
      </w:r>
      <w:r>
        <w:rPr>
          <w:color w:val="231F20"/>
          <w:spacing w:val="-17"/>
          <w:w w:val="105"/>
        </w:rPr>
        <w:t> </w:t>
      </w:r>
      <w:r>
        <w:rPr>
          <w:color w:val="231F20"/>
          <w:w w:val="105"/>
        </w:rPr>
        <w:t>a</w:t>
      </w:r>
      <w:r>
        <w:rPr>
          <w:color w:val="231F20"/>
          <w:spacing w:val="-17"/>
          <w:w w:val="105"/>
        </w:rPr>
        <w:t> </w:t>
      </w:r>
      <w:r>
        <w:rPr>
          <w:color w:val="231F20"/>
          <w:w w:val="105"/>
        </w:rPr>
        <w:t>cerca</w:t>
      </w:r>
      <w:r>
        <w:rPr>
          <w:color w:val="231F20"/>
          <w:spacing w:val="-17"/>
          <w:w w:val="105"/>
        </w:rPr>
        <w:t> </w:t>
      </w:r>
      <w:r>
        <w:rPr>
          <w:color w:val="231F20"/>
          <w:w w:val="105"/>
        </w:rPr>
        <w:t>del</w:t>
      </w:r>
      <w:r>
        <w:rPr>
          <w:color w:val="231F20"/>
          <w:spacing w:val="-17"/>
          <w:w w:val="105"/>
        </w:rPr>
        <w:t> </w:t>
      </w:r>
      <w:r>
        <w:rPr>
          <w:color w:val="231F20"/>
          <w:w w:val="105"/>
        </w:rPr>
        <w:t>50%</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población</w:t>
      </w:r>
      <w:r>
        <w:rPr>
          <w:color w:val="231F20"/>
          <w:spacing w:val="-17"/>
          <w:w w:val="105"/>
        </w:rPr>
        <w:t> </w:t>
      </w:r>
      <w:r>
        <w:rPr>
          <w:color w:val="231F20"/>
          <w:w w:val="105"/>
        </w:rPr>
        <w:t>rural</w:t>
      </w:r>
      <w:r>
        <w:rPr>
          <w:color w:val="231F20"/>
          <w:spacing w:val="-17"/>
          <w:w w:val="105"/>
        </w:rPr>
        <w:t> </w:t>
      </w:r>
      <w:r>
        <w:rPr>
          <w:color w:val="231F20"/>
          <w:w w:val="105"/>
        </w:rPr>
        <w:t>(Barrón,</w:t>
      </w:r>
      <w:r>
        <w:rPr>
          <w:color w:val="231F20"/>
          <w:spacing w:val="-22"/>
          <w:w w:val="105"/>
        </w:rPr>
        <w:t> </w:t>
      </w:r>
      <w:r>
        <w:rPr>
          <w:color w:val="231F20"/>
          <w:w w:val="105"/>
        </w:rPr>
        <w:t>2013).</w:t>
      </w:r>
    </w:p>
    <w:p>
      <w:pPr>
        <w:pStyle w:val="BodyText"/>
        <w:spacing w:line="261" w:lineRule="auto" w:before="1"/>
        <w:ind w:left="1723" w:right="1834" w:firstLine="567"/>
        <w:jc w:val="both"/>
      </w:pPr>
      <w:r>
        <w:rPr>
          <w:color w:val="231F20"/>
          <w:w w:val="105"/>
        </w:rPr>
        <w:t>Una</w:t>
      </w:r>
      <w:r>
        <w:rPr>
          <w:color w:val="231F20"/>
          <w:spacing w:val="-16"/>
          <w:w w:val="105"/>
        </w:rPr>
        <w:t> </w:t>
      </w:r>
      <w:r>
        <w:rPr>
          <w:color w:val="231F20"/>
          <w:w w:val="105"/>
        </w:rPr>
        <w:t>rama</w:t>
      </w:r>
      <w:r>
        <w:rPr>
          <w:color w:val="231F20"/>
          <w:spacing w:val="-16"/>
          <w:w w:val="105"/>
        </w:rPr>
        <w:t> </w:t>
      </w:r>
      <w:r>
        <w:rPr>
          <w:color w:val="231F20"/>
          <w:w w:val="105"/>
        </w:rPr>
        <w:t>agrícola</w:t>
      </w:r>
      <w:r>
        <w:rPr>
          <w:color w:val="231F20"/>
          <w:spacing w:val="-16"/>
          <w:w w:val="105"/>
        </w:rPr>
        <w:t> </w:t>
      </w:r>
      <w:r>
        <w:rPr>
          <w:color w:val="231F20"/>
          <w:w w:val="105"/>
        </w:rPr>
        <w:t>moderna</w:t>
      </w:r>
      <w:r>
        <w:rPr>
          <w:color w:val="231F20"/>
          <w:spacing w:val="-16"/>
          <w:w w:val="105"/>
        </w:rPr>
        <w:t> </w:t>
      </w:r>
      <w:r>
        <w:rPr>
          <w:color w:val="231F20"/>
          <w:w w:val="105"/>
        </w:rPr>
        <w:t>y</w:t>
      </w:r>
      <w:r>
        <w:rPr>
          <w:color w:val="231F20"/>
          <w:spacing w:val="-16"/>
          <w:w w:val="105"/>
        </w:rPr>
        <w:t> </w:t>
      </w:r>
      <w:r>
        <w:rPr>
          <w:color w:val="231F20"/>
          <w:w w:val="105"/>
        </w:rPr>
        <w:t>vinculada</w:t>
      </w:r>
      <w:r>
        <w:rPr>
          <w:color w:val="231F20"/>
          <w:spacing w:val="-16"/>
          <w:w w:val="105"/>
        </w:rPr>
        <w:t> </w:t>
      </w:r>
      <w:r>
        <w:rPr>
          <w:color w:val="231F20"/>
          <w:w w:val="105"/>
        </w:rPr>
        <w:t>con</w:t>
      </w:r>
      <w:r>
        <w:rPr>
          <w:color w:val="231F20"/>
          <w:spacing w:val="-16"/>
          <w:w w:val="105"/>
        </w:rPr>
        <w:t> </w:t>
      </w:r>
      <w:r>
        <w:rPr>
          <w:color w:val="231F20"/>
          <w:w w:val="105"/>
        </w:rPr>
        <w:t>los</w:t>
      </w:r>
      <w:r>
        <w:rPr>
          <w:color w:val="231F20"/>
          <w:spacing w:val="-16"/>
          <w:w w:val="105"/>
        </w:rPr>
        <w:t> </w:t>
      </w:r>
      <w:r>
        <w:rPr>
          <w:color w:val="231F20"/>
          <w:spacing w:val="-3"/>
          <w:w w:val="105"/>
        </w:rPr>
        <w:t>mercados</w:t>
      </w:r>
      <w:r>
        <w:rPr>
          <w:color w:val="231F20"/>
          <w:spacing w:val="-16"/>
          <w:w w:val="105"/>
        </w:rPr>
        <w:t> </w:t>
      </w:r>
      <w:r>
        <w:rPr>
          <w:color w:val="231F20"/>
          <w:w w:val="105"/>
        </w:rPr>
        <w:t>interna- cionales</w:t>
      </w:r>
      <w:r>
        <w:rPr>
          <w:color w:val="231F20"/>
          <w:spacing w:val="-34"/>
          <w:w w:val="105"/>
        </w:rPr>
        <w:t> </w:t>
      </w:r>
      <w:r>
        <w:rPr>
          <w:color w:val="231F20"/>
          <w:w w:val="105"/>
        </w:rPr>
        <w:t>es</w:t>
      </w:r>
      <w:r>
        <w:rPr>
          <w:color w:val="231F20"/>
          <w:spacing w:val="-34"/>
          <w:w w:val="105"/>
        </w:rPr>
        <w:t> </w:t>
      </w:r>
      <w:r>
        <w:rPr>
          <w:color w:val="231F20"/>
          <w:w w:val="105"/>
        </w:rPr>
        <w:t>la</w:t>
      </w:r>
      <w:r>
        <w:rPr>
          <w:color w:val="231F20"/>
          <w:spacing w:val="-34"/>
          <w:w w:val="105"/>
        </w:rPr>
        <w:t> </w:t>
      </w:r>
      <w:r>
        <w:rPr>
          <w:color w:val="231F20"/>
          <w:w w:val="105"/>
        </w:rPr>
        <w:t>floricultura.</w:t>
      </w:r>
      <w:r>
        <w:rPr>
          <w:color w:val="231F20"/>
          <w:spacing w:val="-38"/>
          <w:w w:val="105"/>
        </w:rPr>
        <w:t> </w:t>
      </w:r>
      <w:r>
        <w:rPr>
          <w:color w:val="231F20"/>
          <w:w w:val="105"/>
        </w:rPr>
        <w:t>El</w:t>
      </w:r>
      <w:r>
        <w:rPr>
          <w:color w:val="231F20"/>
          <w:spacing w:val="-34"/>
          <w:w w:val="105"/>
        </w:rPr>
        <w:t> </w:t>
      </w:r>
      <w:r>
        <w:rPr>
          <w:color w:val="231F20"/>
          <w:w w:val="105"/>
        </w:rPr>
        <w:t>sur</w:t>
      </w:r>
      <w:r>
        <w:rPr>
          <w:color w:val="231F20"/>
          <w:spacing w:val="-34"/>
          <w:w w:val="105"/>
        </w:rPr>
        <w:t> </w:t>
      </w:r>
      <w:r>
        <w:rPr>
          <w:color w:val="231F20"/>
          <w:w w:val="105"/>
        </w:rPr>
        <w:t>del</w:t>
      </w:r>
      <w:r>
        <w:rPr>
          <w:color w:val="231F20"/>
          <w:spacing w:val="-34"/>
          <w:w w:val="105"/>
        </w:rPr>
        <w:t> </w:t>
      </w:r>
      <w:r>
        <w:rPr>
          <w:color w:val="231F20"/>
          <w:w w:val="105"/>
        </w:rPr>
        <w:t>Estado</w:t>
      </w:r>
      <w:r>
        <w:rPr>
          <w:color w:val="231F20"/>
          <w:spacing w:val="-34"/>
          <w:w w:val="105"/>
        </w:rPr>
        <w:t> </w:t>
      </w:r>
      <w:r>
        <w:rPr>
          <w:color w:val="231F20"/>
          <w:w w:val="105"/>
        </w:rPr>
        <w:t>de</w:t>
      </w:r>
      <w:r>
        <w:rPr>
          <w:color w:val="231F20"/>
          <w:spacing w:val="-34"/>
          <w:w w:val="105"/>
        </w:rPr>
        <w:t> </w:t>
      </w:r>
      <w:r>
        <w:rPr>
          <w:color w:val="231F20"/>
          <w:w w:val="105"/>
        </w:rPr>
        <w:t>México</w:t>
      </w:r>
      <w:r>
        <w:rPr>
          <w:color w:val="231F20"/>
          <w:spacing w:val="-34"/>
          <w:w w:val="105"/>
        </w:rPr>
        <w:t> </w:t>
      </w:r>
      <w:r>
        <w:rPr>
          <w:color w:val="231F20"/>
          <w:w w:val="105"/>
        </w:rPr>
        <w:t>es</w:t>
      </w:r>
      <w:r>
        <w:rPr>
          <w:color w:val="231F20"/>
          <w:spacing w:val="-34"/>
          <w:w w:val="105"/>
        </w:rPr>
        <w:t> </w:t>
      </w:r>
      <w:r>
        <w:rPr>
          <w:color w:val="231F20"/>
          <w:w w:val="105"/>
        </w:rPr>
        <w:t>la</w:t>
      </w:r>
      <w:r>
        <w:rPr>
          <w:color w:val="231F20"/>
          <w:spacing w:val="-34"/>
          <w:w w:val="105"/>
        </w:rPr>
        <w:t> </w:t>
      </w:r>
      <w:r>
        <w:rPr>
          <w:color w:val="231F20"/>
          <w:w w:val="105"/>
        </w:rPr>
        <w:t>principal</w:t>
      </w:r>
      <w:r>
        <w:rPr>
          <w:color w:val="231F20"/>
          <w:spacing w:val="-34"/>
          <w:w w:val="105"/>
        </w:rPr>
        <w:t> </w:t>
      </w:r>
      <w:r>
        <w:rPr>
          <w:color w:val="231F20"/>
          <w:spacing w:val="-3"/>
          <w:w w:val="105"/>
        </w:rPr>
        <w:t>región productora</w:t>
      </w:r>
      <w:r>
        <w:rPr>
          <w:color w:val="231F20"/>
          <w:spacing w:val="-17"/>
          <w:w w:val="105"/>
        </w:rPr>
        <w:t> </w:t>
      </w:r>
      <w:r>
        <w:rPr>
          <w:color w:val="231F20"/>
          <w:w w:val="105"/>
        </w:rPr>
        <w:t>a</w:t>
      </w:r>
      <w:r>
        <w:rPr>
          <w:color w:val="231F20"/>
          <w:spacing w:val="-17"/>
          <w:w w:val="105"/>
        </w:rPr>
        <w:t> </w:t>
      </w:r>
      <w:r>
        <w:rPr>
          <w:color w:val="231F20"/>
          <w:w w:val="105"/>
        </w:rPr>
        <w:t>nivel</w:t>
      </w:r>
      <w:r>
        <w:rPr>
          <w:color w:val="231F20"/>
          <w:spacing w:val="-17"/>
          <w:w w:val="105"/>
        </w:rPr>
        <w:t> </w:t>
      </w:r>
      <w:r>
        <w:rPr>
          <w:color w:val="231F20"/>
          <w:w w:val="105"/>
        </w:rPr>
        <w:t>nacional,</w:t>
      </w:r>
      <w:r>
        <w:rPr>
          <w:color w:val="231F20"/>
          <w:spacing w:val="-23"/>
          <w:w w:val="105"/>
        </w:rPr>
        <w:t> </w:t>
      </w:r>
      <w:r>
        <w:rPr>
          <w:color w:val="231F20"/>
          <w:w w:val="105"/>
        </w:rPr>
        <w:t>particularmente</w:t>
      </w:r>
      <w:r>
        <w:rPr>
          <w:color w:val="231F20"/>
          <w:spacing w:val="-17"/>
          <w:w w:val="105"/>
        </w:rPr>
        <w:t> </w:t>
      </w:r>
      <w:r>
        <w:rPr>
          <w:color w:val="231F20"/>
          <w:w w:val="105"/>
        </w:rPr>
        <w:t>el</w:t>
      </w:r>
      <w:r>
        <w:rPr>
          <w:color w:val="231F20"/>
          <w:spacing w:val="-17"/>
          <w:w w:val="105"/>
        </w:rPr>
        <w:t> </w:t>
      </w:r>
      <w:r>
        <w:rPr>
          <w:color w:val="231F20"/>
          <w:w w:val="105"/>
        </w:rPr>
        <w:t>municipio</w:t>
      </w:r>
      <w:r>
        <w:rPr>
          <w:color w:val="231F20"/>
          <w:spacing w:val="-17"/>
          <w:w w:val="105"/>
        </w:rPr>
        <w:t> </w:t>
      </w:r>
      <w:r>
        <w:rPr>
          <w:color w:val="231F20"/>
          <w:w w:val="105"/>
        </w:rPr>
        <w:t>de</w:t>
      </w:r>
      <w:r>
        <w:rPr>
          <w:color w:val="231F20"/>
          <w:spacing w:val="-21"/>
          <w:w w:val="105"/>
        </w:rPr>
        <w:t> </w:t>
      </w:r>
      <w:r>
        <w:rPr>
          <w:color w:val="231F20"/>
          <w:spacing w:val="-3"/>
          <w:w w:val="105"/>
        </w:rPr>
        <w:t>Villa</w:t>
      </w:r>
      <w:r>
        <w:rPr>
          <w:color w:val="231F20"/>
          <w:spacing w:val="-17"/>
          <w:w w:val="105"/>
        </w:rPr>
        <w:t> </w:t>
      </w:r>
      <w:r>
        <w:rPr>
          <w:color w:val="231F20"/>
          <w:spacing w:val="-3"/>
          <w:w w:val="105"/>
        </w:rPr>
        <w:t>Guerre- ro</w:t>
      </w:r>
      <w:r>
        <w:rPr>
          <w:color w:val="231F20"/>
          <w:spacing w:val="-16"/>
          <w:w w:val="105"/>
        </w:rPr>
        <w:t> </w:t>
      </w:r>
      <w:r>
        <w:rPr>
          <w:color w:val="231F20"/>
          <w:spacing w:val="-2"/>
          <w:w w:val="105"/>
        </w:rPr>
        <w:t>concentra</w:t>
      </w:r>
      <w:r>
        <w:rPr>
          <w:color w:val="231F20"/>
          <w:spacing w:val="-16"/>
          <w:w w:val="105"/>
        </w:rPr>
        <w:t> </w:t>
      </w:r>
      <w:r>
        <w:rPr>
          <w:color w:val="231F20"/>
          <w:w w:val="105"/>
        </w:rPr>
        <w:t>la</w:t>
      </w:r>
      <w:r>
        <w:rPr>
          <w:color w:val="231F20"/>
          <w:spacing w:val="-16"/>
          <w:w w:val="105"/>
        </w:rPr>
        <w:t> </w:t>
      </w:r>
      <w:r>
        <w:rPr>
          <w:color w:val="231F20"/>
          <w:w w:val="105"/>
        </w:rPr>
        <w:t>mayor</w:t>
      </w:r>
      <w:r>
        <w:rPr>
          <w:color w:val="231F20"/>
          <w:spacing w:val="-16"/>
          <w:w w:val="105"/>
        </w:rPr>
        <w:t> </w:t>
      </w:r>
      <w:r>
        <w:rPr>
          <w:color w:val="231F20"/>
          <w:w w:val="105"/>
        </w:rPr>
        <w:t>superficie</w:t>
      </w:r>
      <w:r>
        <w:rPr>
          <w:color w:val="231F20"/>
          <w:spacing w:val="-16"/>
          <w:w w:val="105"/>
        </w:rPr>
        <w:t> </w:t>
      </w:r>
      <w:r>
        <w:rPr>
          <w:color w:val="231F20"/>
          <w:w w:val="105"/>
        </w:rPr>
        <w:t>territorial</w:t>
      </w:r>
      <w:r>
        <w:rPr>
          <w:color w:val="231F20"/>
          <w:spacing w:val="-16"/>
          <w:w w:val="105"/>
        </w:rPr>
        <w:t> </w:t>
      </w:r>
      <w:r>
        <w:rPr>
          <w:color w:val="231F20"/>
          <w:w w:val="105"/>
        </w:rPr>
        <w:t>dedicada</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spacing w:val="-3"/>
          <w:w w:val="105"/>
        </w:rPr>
        <w:t>producción</w:t>
      </w:r>
      <w:r>
        <w:rPr>
          <w:color w:val="231F20"/>
          <w:spacing w:val="-16"/>
          <w:w w:val="105"/>
        </w:rPr>
        <w:t> </w:t>
      </w:r>
      <w:r>
        <w:rPr>
          <w:color w:val="231F20"/>
          <w:w w:val="105"/>
        </w:rPr>
        <w:t>y</w:t>
      </w:r>
      <w:r>
        <w:rPr>
          <w:color w:val="231F20"/>
          <w:spacing w:val="-16"/>
          <w:w w:val="105"/>
        </w:rPr>
        <w:t> </w:t>
      </w:r>
      <w:r>
        <w:rPr>
          <w:color w:val="231F20"/>
          <w:w w:val="105"/>
        </w:rPr>
        <w:t>co- </w:t>
      </w:r>
      <w:r>
        <w:rPr>
          <w:color w:val="231F20"/>
          <w:spacing w:val="-3"/>
          <w:w w:val="105"/>
        </w:rPr>
        <w:t>mercialización</w:t>
      </w:r>
      <w:r>
        <w:rPr>
          <w:color w:val="231F20"/>
          <w:spacing w:val="-14"/>
          <w:w w:val="105"/>
        </w:rPr>
        <w:t> </w:t>
      </w:r>
      <w:r>
        <w:rPr>
          <w:color w:val="231F20"/>
          <w:w w:val="105"/>
        </w:rPr>
        <w:t>de</w:t>
      </w:r>
      <w:r>
        <w:rPr>
          <w:color w:val="231F20"/>
          <w:spacing w:val="-14"/>
          <w:w w:val="105"/>
        </w:rPr>
        <w:t> </w:t>
      </w:r>
      <w:r>
        <w:rPr>
          <w:color w:val="231F20"/>
          <w:spacing w:val="-3"/>
          <w:w w:val="105"/>
        </w:rPr>
        <w:t>flores</w:t>
      </w:r>
      <w:r>
        <w:rPr>
          <w:color w:val="231F20"/>
          <w:spacing w:val="-14"/>
          <w:w w:val="105"/>
        </w:rPr>
        <w:t> </w:t>
      </w:r>
      <w:r>
        <w:rPr>
          <w:color w:val="231F20"/>
          <w:w w:val="105"/>
        </w:rPr>
        <w:t>de</w:t>
      </w:r>
      <w:r>
        <w:rPr>
          <w:color w:val="231F20"/>
          <w:spacing w:val="-14"/>
          <w:w w:val="105"/>
        </w:rPr>
        <w:t> </w:t>
      </w:r>
      <w:r>
        <w:rPr>
          <w:color w:val="231F20"/>
          <w:w w:val="105"/>
        </w:rPr>
        <w:t>corte</w:t>
      </w:r>
      <w:r>
        <w:rPr>
          <w:color w:val="231F20"/>
          <w:spacing w:val="-14"/>
          <w:w w:val="105"/>
        </w:rPr>
        <w:t> </w:t>
      </w:r>
      <w:r>
        <w:rPr>
          <w:color w:val="231F20"/>
          <w:w w:val="105"/>
        </w:rPr>
        <w:t>bajo</w:t>
      </w:r>
      <w:r>
        <w:rPr>
          <w:color w:val="231F20"/>
          <w:spacing w:val="-14"/>
          <w:w w:val="105"/>
        </w:rPr>
        <w:t> </w:t>
      </w:r>
      <w:r>
        <w:rPr>
          <w:color w:val="231F20"/>
          <w:spacing w:val="-3"/>
          <w:w w:val="105"/>
        </w:rPr>
        <w:t>invernadero</w:t>
      </w:r>
      <w:r>
        <w:rPr>
          <w:color w:val="231F20"/>
          <w:spacing w:val="-14"/>
          <w:w w:val="105"/>
        </w:rPr>
        <w:t> </w:t>
      </w:r>
      <w:r>
        <w:rPr>
          <w:color w:val="231F20"/>
          <w:spacing w:val="-3"/>
          <w:w w:val="105"/>
        </w:rPr>
        <w:t>(Orozco,</w:t>
      </w:r>
      <w:r>
        <w:rPr>
          <w:color w:val="231F20"/>
          <w:spacing w:val="-20"/>
          <w:w w:val="105"/>
        </w:rPr>
        <w:t> </w:t>
      </w:r>
      <w:r>
        <w:rPr>
          <w:color w:val="231F20"/>
          <w:spacing w:val="-2"/>
          <w:w w:val="105"/>
        </w:rPr>
        <w:t>2003).</w:t>
      </w:r>
    </w:p>
    <w:p>
      <w:pPr>
        <w:pStyle w:val="BodyText"/>
        <w:spacing w:line="261" w:lineRule="auto" w:before="1"/>
        <w:ind w:left="1723" w:right="1835" w:firstLine="567"/>
        <w:jc w:val="both"/>
      </w:pPr>
      <w:r>
        <w:rPr>
          <w:color w:val="231F20"/>
          <w:w w:val="105"/>
        </w:rPr>
        <w:t>Como</w:t>
      </w:r>
      <w:r>
        <w:rPr>
          <w:color w:val="231F20"/>
          <w:spacing w:val="-5"/>
          <w:w w:val="105"/>
        </w:rPr>
        <w:t> </w:t>
      </w:r>
      <w:r>
        <w:rPr>
          <w:color w:val="231F20"/>
          <w:w w:val="105"/>
        </w:rPr>
        <w:t>muchas</w:t>
      </w:r>
      <w:r>
        <w:rPr>
          <w:color w:val="231F20"/>
          <w:spacing w:val="-5"/>
          <w:w w:val="105"/>
        </w:rPr>
        <w:t> </w:t>
      </w:r>
      <w:r>
        <w:rPr>
          <w:color w:val="231F20"/>
          <w:w w:val="105"/>
        </w:rPr>
        <w:t>otras</w:t>
      </w:r>
      <w:r>
        <w:rPr>
          <w:color w:val="231F20"/>
          <w:spacing w:val="-5"/>
          <w:w w:val="105"/>
        </w:rPr>
        <w:t> </w:t>
      </w:r>
      <w:r>
        <w:rPr>
          <w:color w:val="231F20"/>
          <w:w w:val="105"/>
        </w:rPr>
        <w:t>ramas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producción</w:t>
      </w:r>
      <w:r>
        <w:rPr>
          <w:color w:val="231F20"/>
          <w:spacing w:val="-5"/>
          <w:w w:val="105"/>
        </w:rPr>
        <w:t> </w:t>
      </w:r>
      <w:r>
        <w:rPr>
          <w:color w:val="231F20"/>
          <w:w w:val="105"/>
        </w:rPr>
        <w:t>agrícola,</w:t>
      </w:r>
      <w:r>
        <w:rPr>
          <w:color w:val="231F20"/>
          <w:spacing w:val="-11"/>
          <w:w w:val="105"/>
        </w:rPr>
        <w:t> </w:t>
      </w:r>
      <w:r>
        <w:rPr>
          <w:color w:val="231F20"/>
          <w:w w:val="105"/>
        </w:rPr>
        <w:t>la</w:t>
      </w:r>
      <w:r>
        <w:rPr>
          <w:color w:val="231F20"/>
          <w:spacing w:val="-5"/>
          <w:w w:val="105"/>
        </w:rPr>
        <w:t> </w:t>
      </w:r>
      <w:r>
        <w:rPr>
          <w:color w:val="231F20"/>
          <w:w w:val="105"/>
        </w:rPr>
        <w:t>floricultu- ra del municipio de Villa Guerrero se caracteriza por un desarrollo dual formado por la floricultura empresarial, con moderna infraestructura y procesos tecnológico y organizativos con fines de exportación, y por la floricultura rústica, que emplea metodologías rudimentarias y poco tec- nificadas, destinadas a satisfacer preferentemente la demanda interna </w:t>
      </w:r>
      <w:r>
        <w:rPr>
          <w:color w:val="231F20"/>
        </w:rPr>
        <w:t>(Vázquez y Norman,</w:t>
      </w:r>
      <w:r>
        <w:rPr>
          <w:color w:val="231F20"/>
          <w:spacing w:val="-7"/>
        </w:rPr>
        <w:t> </w:t>
      </w:r>
      <w:r>
        <w:rPr>
          <w:color w:val="231F20"/>
        </w:rPr>
        <w:t>1996).</w:t>
      </w:r>
    </w:p>
    <w:p>
      <w:pPr>
        <w:pStyle w:val="BodyText"/>
        <w:spacing w:line="261" w:lineRule="auto" w:before="1"/>
        <w:ind w:left="1723" w:right="1831" w:firstLine="567"/>
        <w:jc w:val="both"/>
      </w:pPr>
      <w:r>
        <w:rPr>
          <w:color w:val="231F20"/>
          <w:w w:val="105"/>
        </w:rPr>
        <w:t>En</w:t>
      </w:r>
      <w:r>
        <w:rPr>
          <w:color w:val="231F20"/>
          <w:spacing w:val="-16"/>
          <w:w w:val="105"/>
        </w:rPr>
        <w:t> </w:t>
      </w:r>
      <w:r>
        <w:rPr>
          <w:color w:val="231F20"/>
          <w:spacing w:val="-3"/>
          <w:w w:val="105"/>
        </w:rPr>
        <w:t>este</w:t>
      </w:r>
      <w:r>
        <w:rPr>
          <w:color w:val="231F20"/>
          <w:spacing w:val="-16"/>
          <w:w w:val="105"/>
        </w:rPr>
        <w:t> </w:t>
      </w:r>
      <w:r>
        <w:rPr>
          <w:color w:val="231F20"/>
          <w:spacing w:val="-4"/>
          <w:w w:val="105"/>
        </w:rPr>
        <w:t>contexto</w:t>
      </w:r>
      <w:r>
        <w:rPr>
          <w:color w:val="231F20"/>
          <w:spacing w:val="-16"/>
          <w:w w:val="105"/>
        </w:rPr>
        <w:t> </w:t>
      </w:r>
      <w:r>
        <w:rPr>
          <w:color w:val="231F20"/>
          <w:spacing w:val="-4"/>
          <w:w w:val="105"/>
        </w:rPr>
        <w:t>local,</w:t>
      </w:r>
      <w:r>
        <w:rPr>
          <w:color w:val="231F20"/>
          <w:spacing w:val="-21"/>
          <w:w w:val="105"/>
        </w:rPr>
        <w:t> </w:t>
      </w:r>
      <w:r>
        <w:rPr>
          <w:color w:val="231F20"/>
          <w:w w:val="105"/>
        </w:rPr>
        <w:t>es</w:t>
      </w:r>
      <w:r>
        <w:rPr>
          <w:color w:val="231F20"/>
          <w:spacing w:val="-16"/>
          <w:w w:val="105"/>
        </w:rPr>
        <w:t> </w:t>
      </w:r>
      <w:r>
        <w:rPr>
          <w:color w:val="231F20"/>
          <w:spacing w:val="-4"/>
          <w:w w:val="105"/>
        </w:rPr>
        <w:t>común</w:t>
      </w:r>
      <w:r>
        <w:rPr>
          <w:color w:val="231F20"/>
          <w:spacing w:val="-16"/>
          <w:w w:val="105"/>
        </w:rPr>
        <w:t> </w:t>
      </w:r>
      <w:r>
        <w:rPr>
          <w:color w:val="231F20"/>
          <w:spacing w:val="-4"/>
          <w:w w:val="105"/>
        </w:rPr>
        <w:t>encontrar</w:t>
      </w:r>
      <w:r>
        <w:rPr>
          <w:color w:val="231F20"/>
          <w:spacing w:val="-16"/>
          <w:w w:val="105"/>
        </w:rPr>
        <w:t> </w:t>
      </w:r>
      <w:r>
        <w:rPr>
          <w:color w:val="231F20"/>
          <w:spacing w:val="-4"/>
          <w:w w:val="105"/>
        </w:rPr>
        <w:t>familias</w:t>
      </w:r>
      <w:r>
        <w:rPr>
          <w:color w:val="231F20"/>
          <w:spacing w:val="-16"/>
          <w:w w:val="105"/>
        </w:rPr>
        <w:t> </w:t>
      </w:r>
      <w:r>
        <w:rPr>
          <w:color w:val="231F20"/>
          <w:spacing w:val="-4"/>
          <w:w w:val="105"/>
        </w:rPr>
        <w:t>enteras</w:t>
      </w:r>
      <w:r>
        <w:rPr>
          <w:color w:val="231F20"/>
          <w:spacing w:val="-16"/>
          <w:w w:val="105"/>
        </w:rPr>
        <w:t> </w:t>
      </w:r>
      <w:r>
        <w:rPr>
          <w:color w:val="231F20"/>
          <w:spacing w:val="-4"/>
          <w:w w:val="105"/>
        </w:rPr>
        <w:t>emplea- </w:t>
      </w:r>
      <w:r>
        <w:rPr>
          <w:color w:val="231F20"/>
          <w:spacing w:val="-3"/>
          <w:w w:val="105"/>
        </w:rPr>
        <w:t>das </w:t>
      </w:r>
      <w:r>
        <w:rPr>
          <w:color w:val="231F20"/>
          <w:w w:val="105"/>
        </w:rPr>
        <w:t>de </w:t>
      </w:r>
      <w:r>
        <w:rPr>
          <w:color w:val="231F20"/>
          <w:spacing w:val="-4"/>
          <w:w w:val="105"/>
        </w:rPr>
        <w:t>forma temporal </w:t>
      </w:r>
      <w:r>
        <w:rPr>
          <w:color w:val="231F20"/>
          <w:w w:val="105"/>
        </w:rPr>
        <w:t>en la </w:t>
      </w:r>
      <w:r>
        <w:rPr>
          <w:color w:val="231F20"/>
          <w:spacing w:val="-4"/>
          <w:w w:val="105"/>
        </w:rPr>
        <w:t>floricultura, sobre </w:t>
      </w:r>
      <w:r>
        <w:rPr>
          <w:color w:val="231F20"/>
          <w:spacing w:val="-3"/>
          <w:w w:val="105"/>
        </w:rPr>
        <w:t>todo </w:t>
      </w:r>
      <w:r>
        <w:rPr>
          <w:color w:val="231F20"/>
          <w:spacing w:val="-4"/>
          <w:w w:val="105"/>
        </w:rPr>
        <w:t>durante </w:t>
      </w:r>
      <w:r>
        <w:rPr>
          <w:color w:val="231F20"/>
          <w:w w:val="105"/>
        </w:rPr>
        <w:t>el </w:t>
      </w:r>
      <w:r>
        <w:rPr>
          <w:color w:val="231F20"/>
          <w:spacing w:val="-4"/>
          <w:w w:val="105"/>
        </w:rPr>
        <w:t>ciclo </w:t>
      </w:r>
      <w:r>
        <w:rPr>
          <w:color w:val="231F20"/>
          <w:spacing w:val="-3"/>
          <w:w w:val="105"/>
        </w:rPr>
        <w:t>pri- </w:t>
      </w:r>
      <w:r>
        <w:rPr>
          <w:color w:val="231F20"/>
          <w:spacing w:val="-4"/>
          <w:w w:val="105"/>
        </w:rPr>
        <w:t>mavera verano, época </w:t>
      </w:r>
      <w:r>
        <w:rPr>
          <w:color w:val="231F20"/>
          <w:w w:val="105"/>
        </w:rPr>
        <w:t>de </w:t>
      </w:r>
      <w:r>
        <w:rPr>
          <w:color w:val="231F20"/>
          <w:spacing w:val="-4"/>
          <w:w w:val="105"/>
        </w:rPr>
        <w:t>altos picos productivos. Estas modalidades de flexibilidad</w:t>
      </w:r>
      <w:r>
        <w:rPr>
          <w:color w:val="231F20"/>
          <w:spacing w:val="-18"/>
          <w:w w:val="105"/>
        </w:rPr>
        <w:t> </w:t>
      </w:r>
      <w:r>
        <w:rPr>
          <w:color w:val="231F20"/>
          <w:spacing w:val="-4"/>
          <w:w w:val="105"/>
        </w:rPr>
        <w:t>laboral</w:t>
      </w:r>
      <w:r>
        <w:rPr>
          <w:color w:val="231F20"/>
          <w:spacing w:val="-18"/>
          <w:w w:val="105"/>
        </w:rPr>
        <w:t> </w:t>
      </w:r>
      <w:r>
        <w:rPr>
          <w:color w:val="231F20"/>
          <w:spacing w:val="-3"/>
          <w:w w:val="105"/>
        </w:rPr>
        <w:t>son</w:t>
      </w:r>
      <w:r>
        <w:rPr>
          <w:color w:val="231F20"/>
          <w:spacing w:val="-18"/>
          <w:w w:val="105"/>
        </w:rPr>
        <w:t> </w:t>
      </w:r>
      <w:r>
        <w:rPr>
          <w:color w:val="231F20"/>
          <w:w w:val="105"/>
        </w:rPr>
        <w:t>el</w:t>
      </w:r>
      <w:r>
        <w:rPr>
          <w:color w:val="231F20"/>
          <w:spacing w:val="-18"/>
          <w:w w:val="105"/>
        </w:rPr>
        <w:t> </w:t>
      </w:r>
      <w:r>
        <w:rPr>
          <w:color w:val="231F20"/>
          <w:spacing w:val="-4"/>
          <w:w w:val="105"/>
        </w:rPr>
        <w:t>escenario</w:t>
      </w:r>
      <w:r>
        <w:rPr>
          <w:color w:val="231F20"/>
          <w:spacing w:val="-18"/>
          <w:w w:val="105"/>
        </w:rPr>
        <w:t> </w:t>
      </w:r>
      <w:r>
        <w:rPr>
          <w:color w:val="231F20"/>
          <w:spacing w:val="-4"/>
          <w:w w:val="105"/>
        </w:rPr>
        <w:t>ideal</w:t>
      </w:r>
      <w:r>
        <w:rPr>
          <w:color w:val="231F20"/>
          <w:spacing w:val="-18"/>
          <w:w w:val="105"/>
        </w:rPr>
        <w:t> </w:t>
      </w:r>
      <w:r>
        <w:rPr>
          <w:color w:val="231F20"/>
          <w:spacing w:val="-4"/>
          <w:w w:val="105"/>
        </w:rPr>
        <w:t>para</w:t>
      </w:r>
      <w:r>
        <w:rPr>
          <w:color w:val="231F20"/>
          <w:spacing w:val="-18"/>
          <w:w w:val="105"/>
        </w:rPr>
        <w:t> </w:t>
      </w:r>
      <w:r>
        <w:rPr>
          <w:color w:val="231F20"/>
          <w:w w:val="105"/>
        </w:rPr>
        <w:t>el</w:t>
      </w:r>
      <w:r>
        <w:rPr>
          <w:color w:val="231F20"/>
          <w:spacing w:val="-18"/>
          <w:w w:val="105"/>
        </w:rPr>
        <w:t> </w:t>
      </w:r>
      <w:r>
        <w:rPr>
          <w:color w:val="231F20"/>
          <w:spacing w:val="-4"/>
          <w:w w:val="105"/>
        </w:rPr>
        <w:t>empleo</w:t>
      </w:r>
      <w:r>
        <w:rPr>
          <w:color w:val="231F20"/>
          <w:spacing w:val="-18"/>
          <w:w w:val="105"/>
        </w:rPr>
        <w:t> </w:t>
      </w:r>
      <w:r>
        <w:rPr>
          <w:color w:val="231F20"/>
          <w:w w:val="105"/>
        </w:rPr>
        <w:t>de</w:t>
      </w:r>
      <w:r>
        <w:rPr>
          <w:color w:val="231F20"/>
          <w:spacing w:val="-18"/>
          <w:w w:val="105"/>
        </w:rPr>
        <w:t> </w:t>
      </w:r>
      <w:r>
        <w:rPr>
          <w:color w:val="231F20"/>
          <w:spacing w:val="-4"/>
          <w:w w:val="105"/>
        </w:rPr>
        <w:t>mujeres,</w:t>
      </w:r>
      <w:r>
        <w:rPr>
          <w:color w:val="231F20"/>
          <w:spacing w:val="-25"/>
          <w:w w:val="105"/>
        </w:rPr>
        <w:t> </w:t>
      </w:r>
      <w:r>
        <w:rPr>
          <w:color w:val="231F20"/>
          <w:spacing w:val="-4"/>
          <w:w w:val="105"/>
        </w:rPr>
        <w:t>niñas, niños</w:t>
      </w:r>
      <w:r>
        <w:rPr>
          <w:color w:val="231F20"/>
          <w:spacing w:val="-10"/>
          <w:w w:val="105"/>
        </w:rPr>
        <w:t> </w:t>
      </w:r>
      <w:r>
        <w:rPr>
          <w:color w:val="231F20"/>
          <w:w w:val="105"/>
        </w:rPr>
        <w:t>y</w:t>
      </w:r>
      <w:r>
        <w:rPr>
          <w:color w:val="231F20"/>
          <w:spacing w:val="-10"/>
          <w:w w:val="105"/>
        </w:rPr>
        <w:t> </w:t>
      </w:r>
      <w:r>
        <w:rPr>
          <w:color w:val="231F20"/>
          <w:spacing w:val="-4"/>
          <w:w w:val="105"/>
        </w:rPr>
        <w:t>adolescentes</w:t>
      </w:r>
      <w:r>
        <w:rPr>
          <w:color w:val="231F20"/>
          <w:spacing w:val="-10"/>
          <w:w w:val="105"/>
        </w:rPr>
        <w:t> </w:t>
      </w:r>
      <w:r>
        <w:rPr>
          <w:color w:val="231F20"/>
          <w:w w:val="105"/>
        </w:rPr>
        <w:t>en</w:t>
      </w:r>
      <w:r>
        <w:rPr>
          <w:color w:val="231F20"/>
          <w:spacing w:val="-10"/>
          <w:w w:val="105"/>
        </w:rPr>
        <w:t> </w:t>
      </w:r>
      <w:r>
        <w:rPr>
          <w:color w:val="231F20"/>
          <w:spacing w:val="-3"/>
          <w:w w:val="105"/>
        </w:rPr>
        <w:t>los</w:t>
      </w:r>
      <w:r>
        <w:rPr>
          <w:color w:val="231F20"/>
          <w:spacing w:val="-10"/>
          <w:w w:val="105"/>
        </w:rPr>
        <w:t> </w:t>
      </w:r>
      <w:r>
        <w:rPr>
          <w:color w:val="231F20"/>
          <w:spacing w:val="-4"/>
          <w:w w:val="105"/>
        </w:rPr>
        <w:t>tiempos</w:t>
      </w:r>
      <w:r>
        <w:rPr>
          <w:color w:val="231F20"/>
          <w:spacing w:val="-10"/>
          <w:w w:val="105"/>
        </w:rPr>
        <w:t> </w:t>
      </w:r>
      <w:r>
        <w:rPr>
          <w:color w:val="231F20"/>
          <w:w w:val="105"/>
        </w:rPr>
        <w:t>de</w:t>
      </w:r>
      <w:r>
        <w:rPr>
          <w:color w:val="231F20"/>
          <w:spacing w:val="-10"/>
          <w:w w:val="105"/>
        </w:rPr>
        <w:t> </w:t>
      </w:r>
      <w:r>
        <w:rPr>
          <w:color w:val="231F20"/>
          <w:spacing w:val="-4"/>
          <w:w w:val="105"/>
        </w:rPr>
        <w:t>corte.</w:t>
      </w:r>
      <w:r>
        <w:rPr>
          <w:color w:val="231F20"/>
          <w:spacing w:val="-16"/>
          <w:w w:val="105"/>
        </w:rPr>
        <w:t> </w:t>
      </w:r>
      <w:r>
        <w:rPr>
          <w:color w:val="231F20"/>
          <w:w w:val="105"/>
        </w:rPr>
        <w:t>En</w:t>
      </w:r>
      <w:r>
        <w:rPr>
          <w:color w:val="231F20"/>
          <w:spacing w:val="-10"/>
          <w:w w:val="105"/>
        </w:rPr>
        <w:t> </w:t>
      </w:r>
      <w:r>
        <w:rPr>
          <w:color w:val="231F20"/>
          <w:spacing w:val="-3"/>
          <w:w w:val="105"/>
        </w:rPr>
        <w:t>este</w:t>
      </w:r>
      <w:r>
        <w:rPr>
          <w:color w:val="231F20"/>
          <w:spacing w:val="-10"/>
          <w:w w:val="105"/>
        </w:rPr>
        <w:t> </w:t>
      </w:r>
      <w:r>
        <w:rPr>
          <w:color w:val="231F20"/>
          <w:spacing w:val="-4"/>
          <w:w w:val="105"/>
        </w:rPr>
        <w:t>mercado</w:t>
      </w:r>
      <w:r>
        <w:rPr>
          <w:color w:val="231F20"/>
          <w:spacing w:val="-10"/>
          <w:w w:val="105"/>
        </w:rPr>
        <w:t> </w:t>
      </w:r>
      <w:r>
        <w:rPr>
          <w:color w:val="231F20"/>
          <w:w w:val="105"/>
        </w:rPr>
        <w:t>de</w:t>
      </w:r>
      <w:r>
        <w:rPr>
          <w:color w:val="231F20"/>
          <w:spacing w:val="-10"/>
          <w:w w:val="105"/>
        </w:rPr>
        <w:t> </w:t>
      </w:r>
      <w:r>
        <w:rPr>
          <w:color w:val="231F20"/>
          <w:spacing w:val="-5"/>
          <w:w w:val="105"/>
        </w:rPr>
        <w:t>trabajo </w:t>
      </w:r>
      <w:r>
        <w:rPr>
          <w:color w:val="231F20"/>
          <w:w w:val="105"/>
        </w:rPr>
        <w:t>es</w:t>
      </w:r>
      <w:r>
        <w:rPr>
          <w:color w:val="231F20"/>
          <w:spacing w:val="-23"/>
          <w:w w:val="105"/>
        </w:rPr>
        <w:t> </w:t>
      </w:r>
      <w:r>
        <w:rPr>
          <w:color w:val="231F20"/>
          <w:spacing w:val="-4"/>
          <w:w w:val="105"/>
        </w:rPr>
        <w:t>posible</w:t>
      </w:r>
      <w:r>
        <w:rPr>
          <w:color w:val="231F20"/>
          <w:spacing w:val="-23"/>
          <w:w w:val="105"/>
        </w:rPr>
        <w:t> </w:t>
      </w:r>
      <w:r>
        <w:rPr>
          <w:color w:val="231F20"/>
          <w:spacing w:val="-4"/>
          <w:w w:val="105"/>
        </w:rPr>
        <w:t>encontrar</w:t>
      </w:r>
      <w:r>
        <w:rPr>
          <w:color w:val="231F20"/>
          <w:spacing w:val="-23"/>
          <w:w w:val="105"/>
        </w:rPr>
        <w:t> </w:t>
      </w:r>
      <w:r>
        <w:rPr>
          <w:color w:val="231F20"/>
          <w:spacing w:val="-4"/>
          <w:w w:val="105"/>
        </w:rPr>
        <w:t>diversas</w:t>
      </w:r>
      <w:r>
        <w:rPr>
          <w:color w:val="231F20"/>
          <w:spacing w:val="-23"/>
          <w:w w:val="105"/>
        </w:rPr>
        <w:t> </w:t>
      </w:r>
      <w:r>
        <w:rPr>
          <w:color w:val="231F20"/>
          <w:spacing w:val="-4"/>
          <w:w w:val="105"/>
        </w:rPr>
        <w:t>modalidades</w:t>
      </w:r>
      <w:r>
        <w:rPr>
          <w:color w:val="231F20"/>
          <w:spacing w:val="-23"/>
          <w:w w:val="105"/>
        </w:rPr>
        <w:t> </w:t>
      </w:r>
      <w:r>
        <w:rPr>
          <w:color w:val="231F20"/>
          <w:w w:val="105"/>
        </w:rPr>
        <w:t>de</w:t>
      </w:r>
      <w:r>
        <w:rPr>
          <w:color w:val="231F20"/>
          <w:spacing w:val="-23"/>
          <w:w w:val="105"/>
        </w:rPr>
        <w:t> </w:t>
      </w:r>
      <w:r>
        <w:rPr>
          <w:color w:val="231F20"/>
          <w:spacing w:val="-4"/>
          <w:w w:val="105"/>
        </w:rPr>
        <w:t>niños</w:t>
      </w:r>
      <w:r>
        <w:rPr>
          <w:color w:val="231F20"/>
          <w:spacing w:val="-23"/>
          <w:w w:val="105"/>
        </w:rPr>
        <w:t> </w:t>
      </w:r>
      <w:r>
        <w:rPr>
          <w:color w:val="231F20"/>
          <w:spacing w:val="-5"/>
          <w:w w:val="105"/>
        </w:rPr>
        <w:t>trabajadores</w:t>
      </w:r>
      <w:r>
        <w:rPr>
          <w:color w:val="231F20"/>
          <w:spacing w:val="-23"/>
          <w:w w:val="105"/>
        </w:rPr>
        <w:t> </w:t>
      </w:r>
      <w:r>
        <w:rPr>
          <w:color w:val="231F20"/>
          <w:w w:val="105"/>
        </w:rPr>
        <w:t>y</w:t>
      </w:r>
      <w:r>
        <w:rPr>
          <w:color w:val="231F20"/>
          <w:spacing w:val="-23"/>
          <w:w w:val="105"/>
        </w:rPr>
        <w:t> </w:t>
      </w:r>
      <w:r>
        <w:rPr>
          <w:color w:val="231F20"/>
          <w:spacing w:val="-4"/>
          <w:w w:val="105"/>
        </w:rPr>
        <w:t>migran- </w:t>
      </w:r>
      <w:r>
        <w:rPr>
          <w:color w:val="231F20"/>
          <w:spacing w:val="-3"/>
          <w:w w:val="105"/>
        </w:rPr>
        <w:t>tes: </w:t>
      </w:r>
      <w:r>
        <w:rPr>
          <w:color w:val="231F20"/>
          <w:spacing w:val="-4"/>
          <w:w w:val="105"/>
        </w:rPr>
        <w:t>niños </w:t>
      </w:r>
      <w:r>
        <w:rPr>
          <w:color w:val="231F20"/>
          <w:spacing w:val="-3"/>
          <w:w w:val="105"/>
        </w:rPr>
        <w:t>con una </w:t>
      </w:r>
      <w:r>
        <w:rPr>
          <w:color w:val="231F20"/>
          <w:spacing w:val="-4"/>
          <w:w w:val="105"/>
        </w:rPr>
        <w:t>tradición </w:t>
      </w:r>
      <w:r>
        <w:rPr>
          <w:color w:val="231F20"/>
          <w:w w:val="105"/>
        </w:rPr>
        <w:t>de </w:t>
      </w:r>
      <w:r>
        <w:rPr>
          <w:color w:val="231F20"/>
          <w:spacing w:val="-4"/>
          <w:w w:val="105"/>
        </w:rPr>
        <w:t>trabajo familiar </w:t>
      </w:r>
      <w:r>
        <w:rPr>
          <w:color w:val="231F20"/>
          <w:w w:val="105"/>
        </w:rPr>
        <w:t>de </w:t>
      </w:r>
      <w:r>
        <w:rPr>
          <w:color w:val="231F20"/>
          <w:spacing w:val="-4"/>
          <w:w w:val="105"/>
        </w:rPr>
        <w:t>subsistencia </w:t>
      </w:r>
      <w:r>
        <w:rPr>
          <w:color w:val="231F20"/>
          <w:w w:val="105"/>
        </w:rPr>
        <w:t>en la </w:t>
      </w:r>
      <w:r>
        <w:rPr>
          <w:color w:val="231F20"/>
          <w:spacing w:val="-3"/>
          <w:w w:val="105"/>
        </w:rPr>
        <w:t>flori- </w:t>
      </w:r>
      <w:r>
        <w:rPr>
          <w:color w:val="231F20"/>
          <w:spacing w:val="-4"/>
          <w:w w:val="105"/>
        </w:rPr>
        <w:t>cultura</w:t>
      </w:r>
      <w:r>
        <w:rPr>
          <w:color w:val="231F20"/>
          <w:spacing w:val="-21"/>
          <w:w w:val="105"/>
        </w:rPr>
        <w:t> </w:t>
      </w:r>
      <w:r>
        <w:rPr>
          <w:color w:val="231F20"/>
          <w:w w:val="105"/>
        </w:rPr>
        <w:t>de</w:t>
      </w:r>
      <w:r>
        <w:rPr>
          <w:color w:val="231F20"/>
          <w:spacing w:val="-21"/>
          <w:w w:val="105"/>
        </w:rPr>
        <w:t> </w:t>
      </w:r>
      <w:r>
        <w:rPr>
          <w:color w:val="231F20"/>
          <w:spacing w:val="-4"/>
          <w:w w:val="105"/>
        </w:rPr>
        <w:t>traspatio</w:t>
      </w:r>
      <w:r>
        <w:rPr>
          <w:color w:val="231F20"/>
          <w:spacing w:val="-21"/>
          <w:w w:val="105"/>
        </w:rPr>
        <w:t> </w:t>
      </w:r>
      <w:r>
        <w:rPr>
          <w:color w:val="231F20"/>
          <w:w w:val="105"/>
        </w:rPr>
        <w:t>o</w:t>
      </w:r>
      <w:r>
        <w:rPr>
          <w:color w:val="231F20"/>
          <w:spacing w:val="-21"/>
          <w:w w:val="105"/>
        </w:rPr>
        <w:t> </w:t>
      </w:r>
      <w:r>
        <w:rPr>
          <w:color w:val="231F20"/>
          <w:spacing w:val="-4"/>
          <w:w w:val="105"/>
        </w:rPr>
        <w:t>niños</w:t>
      </w:r>
      <w:r>
        <w:rPr>
          <w:color w:val="231F20"/>
          <w:spacing w:val="-21"/>
          <w:w w:val="105"/>
        </w:rPr>
        <w:t> </w:t>
      </w:r>
      <w:r>
        <w:rPr>
          <w:color w:val="231F20"/>
          <w:spacing w:val="-4"/>
          <w:w w:val="105"/>
        </w:rPr>
        <w:t>jornaleros</w:t>
      </w:r>
      <w:r>
        <w:rPr>
          <w:color w:val="231F20"/>
          <w:spacing w:val="-21"/>
          <w:w w:val="105"/>
        </w:rPr>
        <w:t> </w:t>
      </w:r>
      <w:r>
        <w:rPr>
          <w:color w:val="231F20"/>
          <w:spacing w:val="-3"/>
          <w:w w:val="105"/>
        </w:rPr>
        <w:t>con</w:t>
      </w:r>
      <w:r>
        <w:rPr>
          <w:color w:val="231F20"/>
          <w:spacing w:val="-21"/>
          <w:w w:val="105"/>
        </w:rPr>
        <w:t> </w:t>
      </w:r>
      <w:r>
        <w:rPr>
          <w:color w:val="231F20"/>
          <w:spacing w:val="-4"/>
          <w:w w:val="105"/>
        </w:rPr>
        <w:t>experiencias</w:t>
      </w:r>
      <w:r>
        <w:rPr>
          <w:color w:val="231F20"/>
          <w:spacing w:val="-21"/>
          <w:w w:val="105"/>
        </w:rPr>
        <w:t> </w:t>
      </w:r>
      <w:r>
        <w:rPr>
          <w:color w:val="231F20"/>
          <w:spacing w:val="-4"/>
          <w:w w:val="105"/>
        </w:rPr>
        <w:t>migratorias</w:t>
      </w:r>
      <w:r>
        <w:rPr>
          <w:color w:val="231F20"/>
          <w:spacing w:val="-21"/>
          <w:w w:val="105"/>
        </w:rPr>
        <w:t> </w:t>
      </w:r>
      <w:r>
        <w:rPr>
          <w:color w:val="231F20"/>
          <w:spacing w:val="-4"/>
          <w:w w:val="105"/>
        </w:rPr>
        <w:t>cíclicas constantes</w:t>
      </w:r>
      <w:r>
        <w:rPr>
          <w:color w:val="231F20"/>
          <w:spacing w:val="-14"/>
          <w:w w:val="105"/>
        </w:rPr>
        <w:t> </w:t>
      </w:r>
      <w:r>
        <w:rPr>
          <w:color w:val="231F20"/>
          <w:spacing w:val="-3"/>
          <w:w w:val="105"/>
        </w:rPr>
        <w:t>que</w:t>
      </w:r>
      <w:r>
        <w:rPr>
          <w:color w:val="231F20"/>
          <w:spacing w:val="-14"/>
          <w:w w:val="105"/>
        </w:rPr>
        <w:t> </w:t>
      </w:r>
      <w:r>
        <w:rPr>
          <w:color w:val="231F20"/>
          <w:spacing w:val="-4"/>
          <w:w w:val="105"/>
        </w:rPr>
        <w:t>provienen</w:t>
      </w:r>
      <w:r>
        <w:rPr>
          <w:color w:val="231F20"/>
          <w:spacing w:val="-14"/>
          <w:w w:val="105"/>
        </w:rPr>
        <w:t> </w:t>
      </w:r>
      <w:r>
        <w:rPr>
          <w:color w:val="231F20"/>
          <w:w w:val="105"/>
        </w:rPr>
        <w:t>de</w:t>
      </w:r>
      <w:r>
        <w:rPr>
          <w:color w:val="231F20"/>
          <w:spacing w:val="-14"/>
          <w:w w:val="105"/>
        </w:rPr>
        <w:t> </w:t>
      </w:r>
      <w:r>
        <w:rPr>
          <w:color w:val="231F20"/>
          <w:spacing w:val="-4"/>
          <w:w w:val="105"/>
        </w:rPr>
        <w:t>estados</w:t>
      </w:r>
      <w:r>
        <w:rPr>
          <w:color w:val="231F20"/>
          <w:spacing w:val="-14"/>
          <w:w w:val="105"/>
        </w:rPr>
        <w:t> </w:t>
      </w:r>
      <w:r>
        <w:rPr>
          <w:color w:val="231F20"/>
          <w:spacing w:val="-3"/>
          <w:w w:val="105"/>
        </w:rPr>
        <w:t>del</w:t>
      </w:r>
      <w:r>
        <w:rPr>
          <w:color w:val="231F20"/>
          <w:spacing w:val="-14"/>
          <w:w w:val="105"/>
        </w:rPr>
        <w:t> </w:t>
      </w:r>
      <w:r>
        <w:rPr>
          <w:color w:val="231F20"/>
          <w:spacing w:val="-3"/>
          <w:w w:val="105"/>
        </w:rPr>
        <w:t>sur</w:t>
      </w:r>
      <w:r>
        <w:rPr>
          <w:color w:val="231F20"/>
          <w:spacing w:val="-14"/>
          <w:w w:val="105"/>
        </w:rPr>
        <w:t> </w:t>
      </w:r>
      <w:r>
        <w:rPr>
          <w:color w:val="231F20"/>
          <w:spacing w:val="-3"/>
          <w:w w:val="105"/>
        </w:rPr>
        <w:t>como</w:t>
      </w:r>
      <w:r>
        <w:rPr>
          <w:color w:val="231F20"/>
          <w:spacing w:val="-14"/>
          <w:w w:val="105"/>
        </w:rPr>
        <w:t> </w:t>
      </w:r>
      <w:r>
        <w:rPr>
          <w:color w:val="231F20"/>
          <w:spacing w:val="-4"/>
          <w:w w:val="105"/>
        </w:rPr>
        <w:t>Chiapas</w:t>
      </w:r>
      <w:r>
        <w:rPr>
          <w:color w:val="231F20"/>
          <w:spacing w:val="-14"/>
          <w:w w:val="105"/>
        </w:rPr>
        <w:t> </w:t>
      </w:r>
      <w:r>
        <w:rPr>
          <w:color w:val="231F20"/>
          <w:w w:val="105"/>
        </w:rPr>
        <w:t>o</w:t>
      </w:r>
      <w:r>
        <w:rPr>
          <w:color w:val="231F20"/>
          <w:spacing w:val="-14"/>
          <w:w w:val="105"/>
        </w:rPr>
        <w:t> </w:t>
      </w:r>
      <w:r>
        <w:rPr>
          <w:color w:val="231F20"/>
          <w:spacing w:val="-4"/>
          <w:w w:val="105"/>
        </w:rPr>
        <w:t>Oaxaca,</w:t>
      </w:r>
      <w:r>
        <w:rPr>
          <w:color w:val="231F20"/>
          <w:spacing w:val="-19"/>
          <w:w w:val="105"/>
        </w:rPr>
        <w:t> </w:t>
      </w:r>
      <w:r>
        <w:rPr>
          <w:color w:val="231F20"/>
          <w:spacing w:val="-4"/>
          <w:w w:val="105"/>
        </w:rPr>
        <w:t>sin olvidar</w:t>
      </w:r>
      <w:r>
        <w:rPr>
          <w:color w:val="231F20"/>
          <w:spacing w:val="-25"/>
          <w:w w:val="105"/>
        </w:rPr>
        <w:t> </w:t>
      </w:r>
      <w:r>
        <w:rPr>
          <w:color w:val="231F20"/>
          <w:spacing w:val="-3"/>
          <w:w w:val="105"/>
        </w:rPr>
        <w:t>que</w:t>
      </w:r>
      <w:r>
        <w:rPr>
          <w:color w:val="231F20"/>
          <w:spacing w:val="-25"/>
          <w:w w:val="105"/>
        </w:rPr>
        <w:t> </w:t>
      </w:r>
      <w:r>
        <w:rPr>
          <w:color w:val="231F20"/>
          <w:spacing w:val="-4"/>
          <w:w w:val="105"/>
        </w:rPr>
        <w:t>también</w:t>
      </w:r>
      <w:r>
        <w:rPr>
          <w:color w:val="231F20"/>
          <w:spacing w:val="-25"/>
          <w:w w:val="105"/>
        </w:rPr>
        <w:t> </w:t>
      </w:r>
      <w:r>
        <w:rPr>
          <w:color w:val="231F20"/>
          <w:w w:val="105"/>
        </w:rPr>
        <w:t>se</w:t>
      </w:r>
      <w:r>
        <w:rPr>
          <w:color w:val="231F20"/>
          <w:spacing w:val="-25"/>
          <w:w w:val="105"/>
        </w:rPr>
        <w:t> </w:t>
      </w:r>
      <w:r>
        <w:rPr>
          <w:color w:val="231F20"/>
          <w:spacing w:val="-4"/>
          <w:w w:val="105"/>
        </w:rPr>
        <w:t>encuentran</w:t>
      </w:r>
      <w:r>
        <w:rPr>
          <w:color w:val="231F20"/>
          <w:spacing w:val="-25"/>
          <w:w w:val="105"/>
        </w:rPr>
        <w:t> </w:t>
      </w:r>
      <w:r>
        <w:rPr>
          <w:color w:val="231F20"/>
          <w:spacing w:val="-4"/>
          <w:w w:val="105"/>
        </w:rPr>
        <w:t>niños</w:t>
      </w:r>
      <w:r>
        <w:rPr>
          <w:color w:val="231F20"/>
          <w:spacing w:val="-25"/>
          <w:w w:val="105"/>
        </w:rPr>
        <w:t> </w:t>
      </w:r>
      <w:r>
        <w:rPr>
          <w:color w:val="231F20"/>
          <w:w w:val="105"/>
        </w:rPr>
        <w:t>y</w:t>
      </w:r>
      <w:r>
        <w:rPr>
          <w:color w:val="231F20"/>
          <w:spacing w:val="-25"/>
          <w:w w:val="105"/>
        </w:rPr>
        <w:t> </w:t>
      </w:r>
      <w:r>
        <w:rPr>
          <w:color w:val="231F20"/>
          <w:spacing w:val="-4"/>
          <w:w w:val="105"/>
        </w:rPr>
        <w:t>adolescentes</w:t>
      </w:r>
      <w:r>
        <w:rPr>
          <w:color w:val="231F20"/>
          <w:spacing w:val="-25"/>
          <w:w w:val="105"/>
        </w:rPr>
        <w:t> </w:t>
      </w:r>
      <w:r>
        <w:rPr>
          <w:color w:val="231F20"/>
          <w:spacing w:val="-3"/>
          <w:w w:val="105"/>
        </w:rPr>
        <w:t>que</w:t>
      </w:r>
      <w:r>
        <w:rPr>
          <w:color w:val="231F20"/>
          <w:spacing w:val="-25"/>
          <w:w w:val="105"/>
        </w:rPr>
        <w:t> </w:t>
      </w:r>
      <w:r>
        <w:rPr>
          <w:color w:val="231F20"/>
          <w:spacing w:val="-3"/>
          <w:w w:val="105"/>
        </w:rPr>
        <w:t>son</w:t>
      </w:r>
      <w:r>
        <w:rPr>
          <w:color w:val="231F20"/>
          <w:spacing w:val="-25"/>
          <w:w w:val="105"/>
        </w:rPr>
        <w:t> </w:t>
      </w:r>
      <w:r>
        <w:rPr>
          <w:color w:val="231F20"/>
          <w:spacing w:val="-5"/>
          <w:w w:val="105"/>
        </w:rPr>
        <w:t>jornaleros </w:t>
      </w:r>
      <w:r>
        <w:rPr>
          <w:color w:val="231F20"/>
          <w:spacing w:val="-4"/>
          <w:w w:val="105"/>
        </w:rPr>
        <w:t>asalariados</w:t>
      </w:r>
      <w:r>
        <w:rPr>
          <w:color w:val="231F20"/>
          <w:spacing w:val="-19"/>
          <w:w w:val="105"/>
        </w:rPr>
        <w:t> </w:t>
      </w:r>
      <w:r>
        <w:rPr>
          <w:color w:val="231F20"/>
          <w:spacing w:val="-4"/>
          <w:w w:val="105"/>
        </w:rPr>
        <w:t>(Miranda,</w:t>
      </w:r>
      <w:r>
        <w:rPr>
          <w:color w:val="231F20"/>
          <w:spacing w:val="-23"/>
          <w:w w:val="105"/>
        </w:rPr>
        <w:t> </w:t>
      </w:r>
      <w:r>
        <w:rPr>
          <w:color w:val="231F20"/>
          <w:spacing w:val="-4"/>
          <w:w w:val="105"/>
        </w:rPr>
        <w:t>2012).</w:t>
      </w:r>
      <w:r>
        <w:rPr>
          <w:color w:val="231F20"/>
          <w:spacing w:val="-23"/>
          <w:w w:val="105"/>
        </w:rPr>
        <w:t> </w:t>
      </w:r>
      <w:r>
        <w:rPr>
          <w:color w:val="231F20"/>
          <w:spacing w:val="-3"/>
          <w:w w:val="105"/>
        </w:rPr>
        <w:t>Sea</w:t>
      </w:r>
      <w:r>
        <w:rPr>
          <w:color w:val="231F20"/>
          <w:spacing w:val="-19"/>
          <w:w w:val="105"/>
        </w:rPr>
        <w:t> </w:t>
      </w:r>
      <w:r>
        <w:rPr>
          <w:color w:val="231F20"/>
          <w:spacing w:val="-3"/>
          <w:w w:val="105"/>
        </w:rPr>
        <w:t>cual</w:t>
      </w:r>
      <w:r>
        <w:rPr>
          <w:color w:val="231F20"/>
          <w:spacing w:val="-19"/>
          <w:w w:val="105"/>
        </w:rPr>
        <w:t> </w:t>
      </w:r>
      <w:r>
        <w:rPr>
          <w:color w:val="231F20"/>
          <w:spacing w:val="-3"/>
          <w:w w:val="105"/>
        </w:rPr>
        <w:t>sea</w:t>
      </w:r>
      <w:r>
        <w:rPr>
          <w:color w:val="231F20"/>
          <w:spacing w:val="-19"/>
          <w:w w:val="105"/>
        </w:rPr>
        <w:t> </w:t>
      </w:r>
      <w:r>
        <w:rPr>
          <w:color w:val="231F20"/>
          <w:w w:val="105"/>
        </w:rPr>
        <w:t>la</w:t>
      </w:r>
      <w:r>
        <w:rPr>
          <w:color w:val="231F20"/>
          <w:spacing w:val="-19"/>
          <w:w w:val="105"/>
        </w:rPr>
        <w:t> </w:t>
      </w:r>
      <w:r>
        <w:rPr>
          <w:color w:val="231F20"/>
          <w:spacing w:val="-4"/>
          <w:w w:val="105"/>
        </w:rPr>
        <w:t>modalidad</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spacing w:val="-3"/>
          <w:w w:val="105"/>
        </w:rPr>
        <w:t>que</w:t>
      </w:r>
      <w:r>
        <w:rPr>
          <w:color w:val="231F20"/>
          <w:spacing w:val="-19"/>
          <w:w w:val="105"/>
        </w:rPr>
        <w:t> </w:t>
      </w:r>
      <w:r>
        <w:rPr>
          <w:color w:val="231F20"/>
          <w:spacing w:val="-5"/>
          <w:w w:val="105"/>
        </w:rPr>
        <w:t>trabajan, </w:t>
      </w:r>
      <w:r>
        <w:rPr>
          <w:color w:val="231F20"/>
          <w:spacing w:val="-4"/>
          <w:w w:val="105"/>
        </w:rPr>
        <w:t>estos</w:t>
      </w:r>
      <w:r>
        <w:rPr>
          <w:color w:val="231F20"/>
          <w:spacing w:val="-18"/>
          <w:w w:val="105"/>
        </w:rPr>
        <w:t> </w:t>
      </w:r>
      <w:r>
        <w:rPr>
          <w:color w:val="231F20"/>
          <w:spacing w:val="-4"/>
          <w:w w:val="105"/>
        </w:rPr>
        <w:t>niños</w:t>
      </w:r>
      <w:r>
        <w:rPr>
          <w:color w:val="231F20"/>
          <w:spacing w:val="-18"/>
          <w:w w:val="105"/>
        </w:rPr>
        <w:t> </w:t>
      </w:r>
      <w:r>
        <w:rPr>
          <w:color w:val="231F20"/>
          <w:spacing w:val="-3"/>
          <w:w w:val="105"/>
        </w:rPr>
        <w:t>ven</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spacing w:val="-4"/>
          <w:w w:val="105"/>
        </w:rPr>
        <w:t>migración</w:t>
      </w:r>
      <w:r>
        <w:rPr>
          <w:color w:val="231F20"/>
          <w:spacing w:val="-18"/>
          <w:w w:val="105"/>
        </w:rPr>
        <w:t> </w:t>
      </w:r>
      <w:r>
        <w:rPr>
          <w:color w:val="231F20"/>
          <w:spacing w:val="-4"/>
          <w:w w:val="105"/>
        </w:rPr>
        <w:t>internacional</w:t>
      </w:r>
      <w:r>
        <w:rPr>
          <w:color w:val="231F20"/>
          <w:spacing w:val="-18"/>
          <w:w w:val="105"/>
        </w:rPr>
        <w:t> </w:t>
      </w:r>
      <w:r>
        <w:rPr>
          <w:color w:val="231F20"/>
          <w:spacing w:val="-3"/>
          <w:w w:val="105"/>
        </w:rPr>
        <w:t>una</w:t>
      </w:r>
      <w:r>
        <w:rPr>
          <w:color w:val="231F20"/>
          <w:spacing w:val="-18"/>
          <w:w w:val="105"/>
        </w:rPr>
        <w:t> </w:t>
      </w:r>
      <w:r>
        <w:rPr>
          <w:color w:val="231F20"/>
          <w:spacing w:val="-4"/>
          <w:w w:val="105"/>
        </w:rPr>
        <w:t>opción</w:t>
      </w:r>
      <w:r>
        <w:rPr>
          <w:color w:val="231F20"/>
          <w:spacing w:val="-18"/>
          <w:w w:val="105"/>
        </w:rPr>
        <w:t> </w:t>
      </w:r>
      <w:r>
        <w:rPr>
          <w:color w:val="231F20"/>
          <w:spacing w:val="-4"/>
          <w:w w:val="105"/>
        </w:rPr>
        <w:t>para</w:t>
      </w:r>
      <w:r>
        <w:rPr>
          <w:color w:val="231F20"/>
          <w:spacing w:val="-18"/>
          <w:w w:val="105"/>
        </w:rPr>
        <w:t> </w:t>
      </w:r>
      <w:r>
        <w:rPr>
          <w:color w:val="231F20"/>
          <w:w w:val="105"/>
        </w:rPr>
        <w:t>su</w:t>
      </w:r>
      <w:r>
        <w:rPr>
          <w:color w:val="231F20"/>
          <w:spacing w:val="-18"/>
          <w:w w:val="105"/>
        </w:rPr>
        <w:t> </w:t>
      </w:r>
      <w:r>
        <w:rPr>
          <w:color w:val="231F20"/>
          <w:spacing w:val="-5"/>
          <w:w w:val="105"/>
        </w:rPr>
        <w:t>futuro.</w:t>
      </w:r>
    </w:p>
    <w:p>
      <w:pPr>
        <w:pStyle w:val="BodyText"/>
        <w:spacing w:line="261" w:lineRule="auto" w:before="1"/>
        <w:ind w:left="1723" w:right="1834" w:firstLine="567"/>
        <w:jc w:val="both"/>
      </w:pPr>
      <w:r>
        <w:rPr>
          <w:color w:val="231F20"/>
          <w:w w:val="105"/>
        </w:rPr>
        <w:t>El</w:t>
      </w:r>
      <w:r>
        <w:rPr>
          <w:color w:val="231F20"/>
          <w:spacing w:val="-20"/>
          <w:w w:val="105"/>
        </w:rPr>
        <w:t> </w:t>
      </w:r>
      <w:r>
        <w:rPr>
          <w:color w:val="231F20"/>
          <w:w w:val="105"/>
        </w:rPr>
        <w:t>presente</w:t>
      </w:r>
      <w:r>
        <w:rPr>
          <w:color w:val="231F20"/>
          <w:spacing w:val="-20"/>
          <w:w w:val="105"/>
        </w:rPr>
        <w:t> </w:t>
      </w:r>
      <w:r>
        <w:rPr>
          <w:color w:val="231F20"/>
          <w:w w:val="105"/>
        </w:rPr>
        <w:t>artículo</w:t>
      </w:r>
      <w:r>
        <w:rPr>
          <w:color w:val="231F20"/>
          <w:spacing w:val="-20"/>
          <w:w w:val="105"/>
        </w:rPr>
        <w:t> </w:t>
      </w:r>
      <w:r>
        <w:rPr>
          <w:color w:val="231F20"/>
          <w:w w:val="105"/>
        </w:rPr>
        <w:t>forma</w:t>
      </w:r>
      <w:r>
        <w:rPr>
          <w:color w:val="231F20"/>
          <w:spacing w:val="-20"/>
          <w:w w:val="105"/>
        </w:rPr>
        <w:t> </w:t>
      </w:r>
      <w:r>
        <w:rPr>
          <w:color w:val="231F20"/>
          <w:w w:val="105"/>
        </w:rPr>
        <w:t>parte</w:t>
      </w:r>
      <w:r>
        <w:rPr>
          <w:color w:val="231F20"/>
          <w:spacing w:val="-20"/>
          <w:w w:val="105"/>
        </w:rPr>
        <w:t> </w:t>
      </w:r>
      <w:r>
        <w:rPr>
          <w:color w:val="231F20"/>
          <w:w w:val="105"/>
        </w:rPr>
        <w:t>de</w:t>
      </w:r>
      <w:r>
        <w:rPr>
          <w:color w:val="231F20"/>
          <w:spacing w:val="-20"/>
          <w:w w:val="105"/>
        </w:rPr>
        <w:t> </w:t>
      </w:r>
      <w:r>
        <w:rPr>
          <w:color w:val="231F20"/>
          <w:w w:val="105"/>
        </w:rPr>
        <w:t>una</w:t>
      </w:r>
      <w:r>
        <w:rPr>
          <w:color w:val="231F20"/>
          <w:spacing w:val="-20"/>
          <w:w w:val="105"/>
        </w:rPr>
        <w:t> </w:t>
      </w:r>
      <w:r>
        <w:rPr>
          <w:color w:val="231F20"/>
          <w:w w:val="105"/>
        </w:rPr>
        <w:t>serie</w:t>
      </w:r>
      <w:r>
        <w:rPr>
          <w:color w:val="231F20"/>
          <w:spacing w:val="-20"/>
          <w:w w:val="105"/>
        </w:rPr>
        <w:t> </w:t>
      </w:r>
      <w:r>
        <w:rPr>
          <w:color w:val="231F20"/>
          <w:w w:val="105"/>
        </w:rPr>
        <w:t>de</w:t>
      </w:r>
      <w:r>
        <w:rPr>
          <w:color w:val="231F20"/>
          <w:spacing w:val="-20"/>
          <w:w w:val="105"/>
        </w:rPr>
        <w:t> </w:t>
      </w:r>
      <w:r>
        <w:rPr>
          <w:color w:val="231F20"/>
          <w:w w:val="105"/>
        </w:rPr>
        <w:t>artículos</w:t>
      </w:r>
      <w:r>
        <w:rPr>
          <w:color w:val="231F20"/>
          <w:spacing w:val="-20"/>
          <w:w w:val="105"/>
        </w:rPr>
        <w:t> </w:t>
      </w:r>
      <w:r>
        <w:rPr>
          <w:color w:val="231F20"/>
          <w:w w:val="105"/>
        </w:rPr>
        <w:t>derivados de</w:t>
      </w:r>
      <w:r>
        <w:rPr>
          <w:color w:val="231F20"/>
          <w:spacing w:val="-16"/>
          <w:w w:val="105"/>
        </w:rPr>
        <w:t> </w:t>
      </w:r>
      <w:r>
        <w:rPr>
          <w:color w:val="231F20"/>
          <w:w w:val="105"/>
        </w:rPr>
        <w:t>una</w:t>
      </w:r>
      <w:r>
        <w:rPr>
          <w:color w:val="231F20"/>
          <w:spacing w:val="-16"/>
          <w:w w:val="105"/>
        </w:rPr>
        <w:t> </w:t>
      </w:r>
      <w:r>
        <w:rPr>
          <w:color w:val="231F20"/>
          <w:w w:val="105"/>
        </w:rPr>
        <w:t>investigación</w:t>
      </w:r>
      <w:r>
        <w:rPr>
          <w:color w:val="231F20"/>
          <w:spacing w:val="-16"/>
          <w:w w:val="105"/>
        </w:rPr>
        <w:t> </w:t>
      </w:r>
      <w:r>
        <w:rPr>
          <w:color w:val="231F20"/>
          <w:w w:val="105"/>
        </w:rPr>
        <w:t>doctoral</w:t>
      </w:r>
      <w:r>
        <w:rPr>
          <w:color w:val="231F20"/>
          <w:spacing w:val="-16"/>
          <w:w w:val="105"/>
        </w:rPr>
        <w:t> </w:t>
      </w:r>
      <w:r>
        <w:rPr>
          <w:color w:val="231F20"/>
          <w:w w:val="105"/>
        </w:rPr>
        <w:t>sobre</w:t>
      </w:r>
      <w:r>
        <w:rPr>
          <w:color w:val="231F20"/>
          <w:spacing w:val="-16"/>
          <w:w w:val="105"/>
        </w:rPr>
        <w:t> </w:t>
      </w:r>
      <w:r>
        <w:rPr>
          <w:color w:val="231F20"/>
          <w:w w:val="105"/>
        </w:rPr>
        <w:t>trabajo</w:t>
      </w:r>
      <w:r>
        <w:rPr>
          <w:color w:val="231F20"/>
          <w:spacing w:val="-16"/>
          <w:w w:val="105"/>
        </w:rPr>
        <w:t> </w:t>
      </w:r>
      <w:r>
        <w:rPr>
          <w:color w:val="231F20"/>
          <w:w w:val="105"/>
        </w:rPr>
        <w:t>infantil</w:t>
      </w:r>
      <w:r>
        <w:rPr>
          <w:color w:val="231F20"/>
          <w:spacing w:val="-16"/>
          <w:w w:val="105"/>
        </w:rPr>
        <w:t> </w:t>
      </w:r>
      <w:r>
        <w:rPr>
          <w:color w:val="231F20"/>
          <w:w w:val="105"/>
        </w:rPr>
        <w:t>en</w:t>
      </w:r>
      <w:r>
        <w:rPr>
          <w:color w:val="231F20"/>
          <w:spacing w:val="-18"/>
          <w:w w:val="105"/>
        </w:rPr>
        <w:t> </w:t>
      </w:r>
      <w:r>
        <w:rPr>
          <w:color w:val="231F20"/>
          <w:w w:val="105"/>
        </w:rPr>
        <w:t>Villa</w:t>
      </w:r>
      <w:r>
        <w:rPr>
          <w:color w:val="231F20"/>
          <w:spacing w:val="-16"/>
          <w:w w:val="105"/>
        </w:rPr>
        <w:t> </w:t>
      </w:r>
      <w:r>
        <w:rPr>
          <w:color w:val="231F20"/>
          <w:w w:val="105"/>
        </w:rPr>
        <w:t>Guerrero,</w:t>
      </w:r>
      <w:r>
        <w:rPr>
          <w:color w:val="231F20"/>
          <w:spacing w:val="-21"/>
          <w:w w:val="105"/>
        </w:rPr>
        <w:t> </w:t>
      </w:r>
      <w:r>
        <w:rPr>
          <w:color w:val="231F20"/>
          <w:w w:val="105"/>
        </w:rPr>
        <w:t>Es- tado</w:t>
      </w:r>
      <w:r>
        <w:rPr>
          <w:color w:val="231F20"/>
          <w:spacing w:val="-21"/>
          <w:w w:val="105"/>
        </w:rPr>
        <w:t> </w:t>
      </w:r>
      <w:r>
        <w:rPr>
          <w:color w:val="231F20"/>
          <w:w w:val="105"/>
        </w:rPr>
        <w:t>de</w:t>
      </w:r>
      <w:r>
        <w:rPr>
          <w:color w:val="231F20"/>
          <w:spacing w:val="-22"/>
          <w:w w:val="105"/>
        </w:rPr>
        <w:t> </w:t>
      </w:r>
      <w:r>
        <w:rPr>
          <w:color w:val="231F20"/>
          <w:w w:val="105"/>
        </w:rPr>
        <w:t>México,</w:t>
      </w:r>
      <w:r>
        <w:rPr>
          <w:color w:val="231F20"/>
          <w:spacing w:val="-28"/>
          <w:w w:val="105"/>
        </w:rPr>
        <w:t> </w:t>
      </w:r>
      <w:r>
        <w:rPr>
          <w:color w:val="231F20"/>
          <w:w w:val="105"/>
        </w:rPr>
        <w:t>para</w:t>
      </w:r>
      <w:r>
        <w:rPr>
          <w:color w:val="231F20"/>
          <w:spacing w:val="-21"/>
          <w:w w:val="105"/>
        </w:rPr>
        <w:t> </w:t>
      </w:r>
      <w:r>
        <w:rPr>
          <w:color w:val="231F20"/>
          <w:w w:val="105"/>
        </w:rPr>
        <w:t>dicha</w:t>
      </w:r>
      <w:r>
        <w:rPr>
          <w:color w:val="231F20"/>
          <w:spacing w:val="-21"/>
          <w:w w:val="105"/>
        </w:rPr>
        <w:t> </w:t>
      </w:r>
      <w:r>
        <w:rPr>
          <w:color w:val="231F20"/>
          <w:w w:val="105"/>
        </w:rPr>
        <w:t>investigación</w:t>
      </w:r>
      <w:r>
        <w:rPr>
          <w:color w:val="231F20"/>
          <w:spacing w:val="-22"/>
          <w:w w:val="105"/>
        </w:rPr>
        <w:t> </w:t>
      </w:r>
      <w:r>
        <w:rPr>
          <w:color w:val="231F20"/>
          <w:w w:val="105"/>
        </w:rPr>
        <w:t>se</w:t>
      </w:r>
      <w:r>
        <w:rPr>
          <w:color w:val="231F20"/>
          <w:spacing w:val="-21"/>
          <w:w w:val="105"/>
        </w:rPr>
        <w:t> </w:t>
      </w:r>
      <w:r>
        <w:rPr>
          <w:color w:val="231F20"/>
          <w:w w:val="105"/>
        </w:rPr>
        <w:t>realizó</w:t>
      </w:r>
      <w:r>
        <w:rPr>
          <w:color w:val="231F20"/>
          <w:spacing w:val="-22"/>
          <w:w w:val="105"/>
        </w:rPr>
        <w:t> </w:t>
      </w:r>
      <w:r>
        <w:rPr>
          <w:color w:val="231F20"/>
          <w:w w:val="105"/>
        </w:rPr>
        <w:t>trabajo</w:t>
      </w:r>
      <w:r>
        <w:rPr>
          <w:color w:val="231F20"/>
          <w:spacing w:val="-22"/>
          <w:w w:val="105"/>
        </w:rPr>
        <w:t> </w:t>
      </w:r>
      <w:r>
        <w:rPr>
          <w:color w:val="231F20"/>
          <w:w w:val="105"/>
        </w:rPr>
        <w:t>de</w:t>
      </w:r>
      <w:r>
        <w:rPr>
          <w:color w:val="231F20"/>
          <w:spacing w:val="-21"/>
          <w:w w:val="105"/>
        </w:rPr>
        <w:t> </w:t>
      </w:r>
      <w:r>
        <w:rPr>
          <w:color w:val="231F20"/>
          <w:w w:val="105"/>
        </w:rPr>
        <w:t>campo</w:t>
      </w:r>
      <w:r>
        <w:rPr>
          <w:color w:val="231F20"/>
          <w:spacing w:val="-21"/>
          <w:w w:val="105"/>
        </w:rPr>
        <w:t> </w:t>
      </w:r>
      <w:r>
        <w:rPr>
          <w:color w:val="231F20"/>
          <w:w w:val="105"/>
        </w:rPr>
        <w:t>con los</w:t>
      </w:r>
      <w:r>
        <w:rPr>
          <w:color w:val="231F20"/>
          <w:spacing w:val="-16"/>
          <w:w w:val="105"/>
        </w:rPr>
        <w:t> </w:t>
      </w:r>
      <w:r>
        <w:rPr>
          <w:color w:val="231F20"/>
          <w:w w:val="105"/>
        </w:rPr>
        <w:t>niños</w:t>
      </w:r>
      <w:r>
        <w:rPr>
          <w:color w:val="231F20"/>
          <w:spacing w:val="-16"/>
          <w:w w:val="105"/>
        </w:rPr>
        <w:t> </w:t>
      </w:r>
      <w:r>
        <w:rPr>
          <w:color w:val="231F20"/>
          <w:w w:val="105"/>
        </w:rPr>
        <w:t>y</w:t>
      </w:r>
      <w:r>
        <w:rPr>
          <w:color w:val="231F20"/>
          <w:spacing w:val="-16"/>
          <w:w w:val="105"/>
        </w:rPr>
        <w:t> </w:t>
      </w:r>
      <w:r>
        <w:rPr>
          <w:color w:val="231F20"/>
          <w:w w:val="105"/>
        </w:rPr>
        <w:t>las</w:t>
      </w:r>
      <w:r>
        <w:rPr>
          <w:color w:val="231F20"/>
          <w:spacing w:val="-16"/>
          <w:w w:val="105"/>
        </w:rPr>
        <w:t> </w:t>
      </w:r>
      <w:r>
        <w:rPr>
          <w:color w:val="231F20"/>
          <w:w w:val="105"/>
        </w:rPr>
        <w:t>niñas</w:t>
      </w:r>
      <w:r>
        <w:rPr>
          <w:color w:val="231F20"/>
          <w:spacing w:val="-16"/>
          <w:w w:val="105"/>
        </w:rPr>
        <w:t> </w:t>
      </w:r>
      <w:r>
        <w:rPr>
          <w:color w:val="231F20"/>
          <w:w w:val="105"/>
        </w:rPr>
        <w:t>jornaleras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floricultura</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municipio.</w:t>
      </w:r>
    </w:p>
    <w:p>
      <w:pPr>
        <w:pStyle w:val="BodyText"/>
        <w:spacing w:line="261" w:lineRule="auto" w:before="1"/>
        <w:ind w:left="1723" w:right="1834" w:firstLine="567"/>
        <w:jc w:val="both"/>
      </w:pPr>
      <w:r>
        <w:rPr>
          <w:color w:val="231F20"/>
          <w:w w:val="105"/>
        </w:rPr>
        <w:t>Al</w:t>
      </w:r>
      <w:r>
        <w:rPr>
          <w:color w:val="231F20"/>
          <w:spacing w:val="-5"/>
          <w:w w:val="105"/>
        </w:rPr>
        <w:t> </w:t>
      </w:r>
      <w:r>
        <w:rPr>
          <w:color w:val="231F20"/>
          <w:w w:val="105"/>
        </w:rPr>
        <w:t>analizar</w:t>
      </w:r>
      <w:r>
        <w:rPr>
          <w:color w:val="231F20"/>
          <w:spacing w:val="-5"/>
          <w:w w:val="105"/>
        </w:rPr>
        <w:t> </w:t>
      </w:r>
      <w:r>
        <w:rPr>
          <w:color w:val="231F20"/>
          <w:w w:val="105"/>
        </w:rPr>
        <w:t>el</w:t>
      </w:r>
      <w:r>
        <w:rPr>
          <w:color w:val="231F20"/>
          <w:spacing w:val="-5"/>
          <w:w w:val="105"/>
        </w:rPr>
        <w:t> </w:t>
      </w:r>
      <w:r>
        <w:rPr>
          <w:color w:val="231F20"/>
          <w:w w:val="105"/>
        </w:rPr>
        <w:t>contexto</w:t>
      </w:r>
      <w:r>
        <w:rPr>
          <w:color w:val="231F20"/>
          <w:spacing w:val="-5"/>
          <w:w w:val="105"/>
        </w:rPr>
        <w:t> </w:t>
      </w:r>
      <w:r>
        <w:rPr>
          <w:color w:val="231F20"/>
          <w:w w:val="105"/>
        </w:rPr>
        <w:t>local,</w:t>
      </w:r>
      <w:r>
        <w:rPr>
          <w:color w:val="231F20"/>
          <w:spacing w:val="-10"/>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particular</w:t>
      </w:r>
      <w:r>
        <w:rPr>
          <w:color w:val="231F20"/>
          <w:spacing w:val="-5"/>
          <w:w w:val="105"/>
        </w:rPr>
        <w:t> </w:t>
      </w:r>
      <w:r>
        <w:rPr>
          <w:color w:val="231F20"/>
          <w:w w:val="105"/>
        </w:rPr>
        <w:t>el</w:t>
      </w:r>
      <w:r>
        <w:rPr>
          <w:color w:val="231F20"/>
          <w:spacing w:val="-5"/>
          <w:w w:val="105"/>
        </w:rPr>
        <w:t> </w:t>
      </w:r>
      <w:r>
        <w:rPr>
          <w:color w:val="231F20"/>
          <w:w w:val="105"/>
        </w:rPr>
        <w:t>relativo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produc- ción de flor en el municipio, se hizo patente que en el imaginario social de</w:t>
      </w:r>
      <w:r>
        <w:rPr>
          <w:color w:val="231F20"/>
          <w:spacing w:val="-13"/>
          <w:w w:val="105"/>
        </w:rPr>
        <w:t> </w:t>
      </w:r>
      <w:r>
        <w:rPr>
          <w:color w:val="231F20"/>
          <w:w w:val="105"/>
        </w:rPr>
        <w:t>progreso</w:t>
      </w:r>
      <w:r>
        <w:rPr>
          <w:color w:val="231F20"/>
          <w:spacing w:val="-13"/>
          <w:w w:val="105"/>
        </w:rPr>
        <w:t> </w:t>
      </w:r>
      <w:r>
        <w:rPr>
          <w:color w:val="231F20"/>
          <w:w w:val="105"/>
        </w:rPr>
        <w:t>está</w:t>
      </w:r>
      <w:r>
        <w:rPr>
          <w:color w:val="231F20"/>
          <w:spacing w:val="-13"/>
          <w:w w:val="105"/>
        </w:rPr>
        <w:t> </w:t>
      </w:r>
      <w:r>
        <w:rPr>
          <w:color w:val="231F20"/>
          <w:w w:val="105"/>
        </w:rPr>
        <w:t>presente,</w:t>
      </w:r>
      <w:r>
        <w:rPr>
          <w:color w:val="231F20"/>
          <w:spacing w:val="-18"/>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discurso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niños</w:t>
      </w:r>
      <w:r>
        <w:rPr>
          <w:color w:val="231F20"/>
          <w:spacing w:val="-13"/>
          <w:w w:val="105"/>
        </w:rPr>
        <w:t> </w:t>
      </w:r>
      <w:r>
        <w:rPr>
          <w:color w:val="231F20"/>
          <w:w w:val="105"/>
        </w:rPr>
        <w:t>que</w:t>
      </w:r>
      <w:r>
        <w:rPr>
          <w:color w:val="231F20"/>
          <w:spacing w:val="-13"/>
          <w:w w:val="105"/>
        </w:rPr>
        <w:t> </w:t>
      </w:r>
      <w:r>
        <w:rPr>
          <w:color w:val="231F20"/>
          <w:w w:val="105"/>
        </w:rPr>
        <w:t>trabajan,</w:t>
      </w:r>
      <w:r>
        <w:rPr>
          <w:color w:val="231F20"/>
          <w:spacing w:val="-18"/>
          <w:w w:val="105"/>
        </w:rPr>
        <w:t> </w:t>
      </w:r>
      <w:r>
        <w:rPr>
          <w:color w:val="231F20"/>
          <w:w w:val="105"/>
        </w:rPr>
        <w:t>par- ticularmente</w:t>
      </w:r>
      <w:r>
        <w:rPr>
          <w:color w:val="231F20"/>
          <w:spacing w:val="-26"/>
          <w:w w:val="105"/>
        </w:rPr>
        <w:t> </w:t>
      </w:r>
      <w:r>
        <w:rPr>
          <w:color w:val="231F20"/>
          <w:w w:val="105"/>
        </w:rPr>
        <w:t>en</w:t>
      </w:r>
      <w:r>
        <w:rPr>
          <w:color w:val="231F20"/>
          <w:spacing w:val="-26"/>
          <w:w w:val="105"/>
        </w:rPr>
        <w:t> </w:t>
      </w:r>
      <w:r>
        <w:rPr>
          <w:color w:val="231F20"/>
          <w:w w:val="105"/>
        </w:rPr>
        <w:t>los</w:t>
      </w:r>
      <w:r>
        <w:rPr>
          <w:color w:val="231F20"/>
          <w:spacing w:val="-26"/>
          <w:w w:val="105"/>
        </w:rPr>
        <w:t> </w:t>
      </w:r>
      <w:r>
        <w:rPr>
          <w:color w:val="231F20"/>
          <w:w w:val="105"/>
        </w:rPr>
        <w:t>varones,</w:t>
      </w:r>
      <w:r>
        <w:rPr>
          <w:color w:val="231F20"/>
          <w:spacing w:val="-30"/>
          <w:w w:val="105"/>
        </w:rPr>
        <w:t> </w:t>
      </w:r>
      <w:r>
        <w:rPr>
          <w:color w:val="231F20"/>
          <w:w w:val="105"/>
        </w:rPr>
        <w:t>el</w:t>
      </w:r>
      <w:r>
        <w:rPr>
          <w:color w:val="231F20"/>
          <w:spacing w:val="-26"/>
          <w:w w:val="105"/>
        </w:rPr>
        <w:t> </w:t>
      </w:r>
      <w:r>
        <w:rPr>
          <w:color w:val="231F20"/>
          <w:w w:val="105"/>
        </w:rPr>
        <w:t>deseo</w:t>
      </w:r>
      <w:r>
        <w:rPr>
          <w:color w:val="231F20"/>
          <w:spacing w:val="-26"/>
          <w:w w:val="105"/>
        </w:rPr>
        <w:t> </w:t>
      </w:r>
      <w:r>
        <w:rPr>
          <w:color w:val="231F20"/>
          <w:w w:val="105"/>
        </w:rPr>
        <w:t>de</w:t>
      </w:r>
      <w:r>
        <w:rPr>
          <w:color w:val="231F20"/>
          <w:spacing w:val="-26"/>
          <w:w w:val="105"/>
        </w:rPr>
        <w:t> </w:t>
      </w:r>
      <w:r>
        <w:rPr>
          <w:color w:val="231F20"/>
          <w:w w:val="105"/>
        </w:rPr>
        <w:t>migrar</w:t>
      </w:r>
      <w:r>
        <w:rPr>
          <w:color w:val="231F20"/>
          <w:spacing w:val="-26"/>
          <w:w w:val="105"/>
        </w:rPr>
        <w:t> </w:t>
      </w:r>
      <w:r>
        <w:rPr>
          <w:color w:val="231F20"/>
          <w:w w:val="105"/>
        </w:rPr>
        <w:t>hacia</w:t>
      </w:r>
      <w:r>
        <w:rPr>
          <w:color w:val="231F20"/>
          <w:spacing w:val="-26"/>
          <w:w w:val="105"/>
        </w:rPr>
        <w:t> </w:t>
      </w:r>
      <w:r>
        <w:rPr>
          <w:color w:val="231F20"/>
          <w:w w:val="105"/>
        </w:rPr>
        <w:t>Estados</w:t>
      </w:r>
      <w:r>
        <w:rPr>
          <w:color w:val="231F20"/>
          <w:spacing w:val="-26"/>
          <w:w w:val="105"/>
        </w:rPr>
        <w:t> </w:t>
      </w:r>
      <w:r>
        <w:rPr>
          <w:color w:val="231F20"/>
          <w:w w:val="105"/>
        </w:rPr>
        <w:t>Unidos.</w:t>
      </w:r>
      <w:r>
        <w:rPr>
          <w:color w:val="231F20"/>
          <w:spacing w:val="-30"/>
          <w:w w:val="105"/>
        </w:rPr>
        <w:t> </w:t>
      </w:r>
      <w:r>
        <w:rPr>
          <w:color w:val="231F20"/>
          <w:w w:val="105"/>
        </w:rPr>
        <w:t>Es más, se observó que dicho discurso es una extensión del deseo de los jornaleros</w:t>
      </w:r>
      <w:r>
        <w:rPr>
          <w:color w:val="231F20"/>
          <w:spacing w:val="-11"/>
          <w:w w:val="105"/>
        </w:rPr>
        <w:t> </w:t>
      </w:r>
      <w:r>
        <w:rPr>
          <w:color w:val="231F20"/>
          <w:w w:val="105"/>
        </w:rPr>
        <w:t>adultos</w:t>
      </w:r>
      <w:r>
        <w:rPr>
          <w:color w:val="231F20"/>
          <w:spacing w:val="-11"/>
          <w:w w:val="105"/>
        </w:rPr>
        <w:t> </w:t>
      </w:r>
      <w:r>
        <w:rPr>
          <w:color w:val="231F20"/>
          <w:w w:val="105"/>
        </w:rPr>
        <w:t>y</w:t>
      </w:r>
      <w:r>
        <w:rPr>
          <w:color w:val="231F20"/>
          <w:spacing w:val="-11"/>
          <w:w w:val="105"/>
        </w:rPr>
        <w:t> </w:t>
      </w:r>
      <w:r>
        <w:rPr>
          <w:color w:val="231F20"/>
          <w:w w:val="105"/>
        </w:rPr>
        <w:t>los</w:t>
      </w:r>
      <w:r>
        <w:rPr>
          <w:color w:val="231F20"/>
          <w:spacing w:val="-11"/>
          <w:w w:val="105"/>
        </w:rPr>
        <w:t> </w:t>
      </w:r>
      <w:r>
        <w:rPr>
          <w:color w:val="231F20"/>
          <w:w w:val="105"/>
        </w:rPr>
        <w:t>pequeños</w:t>
      </w:r>
      <w:r>
        <w:rPr>
          <w:color w:val="231F20"/>
          <w:spacing w:val="-11"/>
          <w:w w:val="105"/>
        </w:rPr>
        <w:t> </w:t>
      </w:r>
      <w:r>
        <w:rPr>
          <w:color w:val="231F20"/>
          <w:w w:val="105"/>
        </w:rPr>
        <w:t>productores,</w:t>
      </w:r>
      <w:r>
        <w:rPr>
          <w:color w:val="231F20"/>
          <w:spacing w:val="-18"/>
          <w:w w:val="105"/>
        </w:rPr>
        <w:t> </w:t>
      </w:r>
      <w:r>
        <w:rPr>
          <w:color w:val="231F20"/>
          <w:w w:val="105"/>
        </w:rPr>
        <w:t>quienes</w:t>
      </w:r>
      <w:r>
        <w:rPr>
          <w:color w:val="231F20"/>
          <w:spacing w:val="-11"/>
          <w:w w:val="105"/>
        </w:rPr>
        <w:t> </w:t>
      </w:r>
      <w:r>
        <w:rPr>
          <w:color w:val="231F20"/>
          <w:w w:val="105"/>
        </w:rPr>
        <w:t>ven</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migra- ción una posible estrategia frente a la precariedad laboral y productiva que</w:t>
      </w:r>
      <w:r>
        <w:rPr>
          <w:color w:val="231F20"/>
          <w:spacing w:val="-14"/>
          <w:w w:val="105"/>
        </w:rPr>
        <w:t> </w:t>
      </w:r>
      <w:r>
        <w:rPr>
          <w:color w:val="231F20"/>
          <w:w w:val="105"/>
        </w:rPr>
        <w:t>experimentan.</w:t>
      </w:r>
    </w:p>
    <w:p>
      <w:pPr>
        <w:pStyle w:val="BodyText"/>
        <w:rPr>
          <w:sz w:val="20"/>
        </w:rPr>
      </w:pPr>
    </w:p>
    <w:p>
      <w:pPr>
        <w:pStyle w:val="BodyText"/>
        <w:rPr>
          <w:sz w:val="20"/>
        </w:rPr>
      </w:pPr>
    </w:p>
    <w:p>
      <w:pPr>
        <w:pStyle w:val="BodyText"/>
        <w:rPr>
          <w:sz w:val="26"/>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1528" from="131.551193pt,3.703715pt" to="131.551193pt,39.506114pt" stroked="true" strokeweight=".35pt" strokecolor="#231f20">
            <w10:wrap type="none"/>
          </v:line>
        </w:pict>
      </w:r>
      <w:r>
        <w:rPr/>
        <w:pict>
          <v:line style="position:absolute;mso-position-horizontal-relative:page;mso-position-vertical-relative:paragraph;z-index:-481504" from="15pt,39.505917pt" to="0pt,39.505917pt" stroked="true" strokeweight=".25pt" strokecolor="#000000">
            <w10:wrap type="none"/>
          </v:line>
        </w:pict>
      </w:r>
      <w:r>
        <w:rPr/>
        <w:pict>
          <v:line style="position:absolute;mso-position-horizontal-relative:page;mso-position-vertical-relative:paragraph;z-index:8704" from="508.890015pt,39.505917pt" to="523.890015pt,39.505917pt" stroked="true" strokeweight=".25pt" strokecolor="#000000">
            <w10:wrap type="none"/>
          </v:line>
        </w:pict>
      </w:r>
      <w:r>
        <w:rPr>
          <w:rFonts w:ascii="Arial" w:hAnsi="Arial"/>
          <w:color w:val="414042"/>
          <w:position w:val="-5"/>
          <w:sz w:val="20"/>
        </w:rPr>
        <w:t>90</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footerReference w:type="default" r:id="rId86"/>
          <w:pgSz w:w="10480" w:h="14730"/>
          <w:pgMar w:footer="103" w:header="0" w:top="42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755" w:right="0" w:firstLine="0"/>
        <w:jc w:val="left"/>
        <w:rPr>
          <w:rFonts w:ascii="Arial" w:hAnsi="Arial"/>
          <w:sz w:val="20"/>
        </w:rPr>
      </w:pPr>
      <w:r>
        <w:rPr/>
        <w:pict>
          <v:line style="position:absolute;mso-position-horizontal-relative:page;mso-position-vertical-relative:paragraph;z-index:-481456" from="405.061005pt,-18.554295pt" to="405.061005pt,16.311579pt" stroked="true" strokeweight=".35pt" strokecolor="#231f20">
            <w10:wrap type="none"/>
          </v:line>
        </w:pict>
      </w:r>
      <w:r>
        <w:rPr/>
        <w:pict>
          <v:line style="position:absolute;mso-position-horizontal-relative:page;mso-position-vertical-relative:paragraph;z-index:8752" from="15pt,-18.554522pt" to="0pt,-18.554522pt" stroked="true" strokeweight=".25pt" strokecolor="#000000">
            <w10:wrap type="none"/>
          </v:line>
        </w:pict>
      </w:r>
      <w:r>
        <w:rPr/>
        <w:pict>
          <v:line style="position:absolute;mso-position-horizontal-relative:page;mso-position-vertical-relative:paragraph;z-index:8776"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91</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spacing w:val="-6"/>
          <w:w w:val="105"/>
        </w:rPr>
        <w:t>Por</w:t>
      </w:r>
      <w:r>
        <w:rPr>
          <w:color w:val="231F20"/>
          <w:spacing w:val="-17"/>
          <w:w w:val="105"/>
        </w:rPr>
        <w:t> </w:t>
      </w:r>
      <w:r>
        <w:rPr>
          <w:color w:val="231F20"/>
          <w:w w:val="105"/>
        </w:rPr>
        <w:t>ello,</w:t>
      </w:r>
      <w:r>
        <w:rPr>
          <w:color w:val="231F20"/>
          <w:spacing w:val="-23"/>
          <w:w w:val="105"/>
        </w:rPr>
        <w:t> </w:t>
      </w:r>
      <w:r>
        <w:rPr>
          <w:color w:val="231F20"/>
          <w:w w:val="105"/>
        </w:rPr>
        <w:t>el</w:t>
      </w:r>
      <w:r>
        <w:rPr>
          <w:color w:val="231F20"/>
          <w:spacing w:val="-17"/>
          <w:w w:val="105"/>
        </w:rPr>
        <w:t> </w:t>
      </w:r>
      <w:r>
        <w:rPr>
          <w:color w:val="231F20"/>
          <w:w w:val="105"/>
        </w:rPr>
        <w:t>objetivo</w:t>
      </w:r>
      <w:r>
        <w:rPr>
          <w:color w:val="231F20"/>
          <w:spacing w:val="-17"/>
          <w:w w:val="105"/>
        </w:rPr>
        <w:t> </w:t>
      </w:r>
      <w:r>
        <w:rPr>
          <w:color w:val="231F20"/>
          <w:w w:val="105"/>
        </w:rPr>
        <w:t>del</w:t>
      </w:r>
      <w:r>
        <w:rPr>
          <w:color w:val="231F20"/>
          <w:spacing w:val="-17"/>
          <w:w w:val="105"/>
        </w:rPr>
        <w:t> </w:t>
      </w:r>
      <w:r>
        <w:rPr>
          <w:color w:val="231F20"/>
          <w:w w:val="105"/>
        </w:rPr>
        <w:t>presente</w:t>
      </w:r>
      <w:r>
        <w:rPr>
          <w:color w:val="231F20"/>
          <w:spacing w:val="-17"/>
          <w:w w:val="105"/>
        </w:rPr>
        <w:t> </w:t>
      </w:r>
      <w:r>
        <w:rPr>
          <w:color w:val="231F20"/>
          <w:w w:val="105"/>
        </w:rPr>
        <w:t>artículo</w:t>
      </w:r>
      <w:r>
        <w:rPr>
          <w:color w:val="231F20"/>
          <w:spacing w:val="-17"/>
          <w:w w:val="105"/>
        </w:rPr>
        <w:t> </w:t>
      </w:r>
      <w:r>
        <w:rPr>
          <w:color w:val="231F20"/>
          <w:w w:val="105"/>
        </w:rPr>
        <w:t>es</w:t>
      </w:r>
      <w:r>
        <w:rPr>
          <w:color w:val="231F20"/>
          <w:spacing w:val="-17"/>
          <w:w w:val="105"/>
        </w:rPr>
        <w:t> </w:t>
      </w:r>
      <w:r>
        <w:rPr>
          <w:color w:val="231F20"/>
          <w:w w:val="105"/>
        </w:rPr>
        <w:t>dar</w:t>
      </w:r>
      <w:r>
        <w:rPr>
          <w:color w:val="231F20"/>
          <w:spacing w:val="-17"/>
          <w:w w:val="105"/>
        </w:rPr>
        <w:t> </w:t>
      </w:r>
      <w:r>
        <w:rPr>
          <w:color w:val="231F20"/>
          <w:w w:val="105"/>
        </w:rPr>
        <w:t>cuenta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presencia</w:t>
      </w:r>
      <w:r>
        <w:rPr>
          <w:color w:val="231F20"/>
          <w:spacing w:val="-17"/>
          <w:w w:val="105"/>
        </w:rPr>
        <w:t> </w:t>
      </w:r>
      <w:r>
        <w:rPr>
          <w:color w:val="231F20"/>
          <w:w w:val="105"/>
        </w:rPr>
        <w:t>de la</w:t>
      </w:r>
      <w:r>
        <w:rPr>
          <w:color w:val="231F20"/>
          <w:spacing w:val="-23"/>
          <w:w w:val="105"/>
        </w:rPr>
        <w:t> </w:t>
      </w:r>
      <w:r>
        <w:rPr>
          <w:color w:val="231F20"/>
          <w:w w:val="105"/>
        </w:rPr>
        <w:t>migración</w:t>
      </w:r>
      <w:r>
        <w:rPr>
          <w:color w:val="231F20"/>
          <w:spacing w:val="-23"/>
          <w:w w:val="105"/>
        </w:rPr>
        <w:t> </w:t>
      </w:r>
      <w:r>
        <w:rPr>
          <w:color w:val="231F20"/>
          <w:w w:val="105"/>
        </w:rPr>
        <w:t>hacia</w:t>
      </w:r>
      <w:r>
        <w:rPr>
          <w:color w:val="231F20"/>
          <w:spacing w:val="-23"/>
          <w:w w:val="105"/>
        </w:rPr>
        <w:t> </w:t>
      </w:r>
      <w:r>
        <w:rPr>
          <w:color w:val="231F20"/>
          <w:w w:val="105"/>
        </w:rPr>
        <w:t>Estados</w:t>
      </w:r>
      <w:r>
        <w:rPr>
          <w:color w:val="231F20"/>
          <w:spacing w:val="-23"/>
          <w:w w:val="105"/>
        </w:rPr>
        <w:t> </w:t>
      </w:r>
      <w:r>
        <w:rPr>
          <w:color w:val="231F20"/>
          <w:w w:val="105"/>
        </w:rPr>
        <w:t>Unidos</w:t>
      </w:r>
      <w:r>
        <w:rPr>
          <w:color w:val="231F20"/>
          <w:spacing w:val="-23"/>
          <w:w w:val="105"/>
        </w:rPr>
        <w:t> </w:t>
      </w:r>
      <w:r>
        <w:rPr>
          <w:color w:val="231F20"/>
          <w:w w:val="105"/>
        </w:rPr>
        <w:t>como</w:t>
      </w:r>
      <w:r>
        <w:rPr>
          <w:color w:val="231F20"/>
          <w:spacing w:val="-23"/>
          <w:w w:val="105"/>
        </w:rPr>
        <w:t> </w:t>
      </w:r>
      <w:r>
        <w:rPr>
          <w:color w:val="231F20"/>
          <w:w w:val="105"/>
        </w:rPr>
        <w:t>una</w:t>
      </w:r>
      <w:r>
        <w:rPr>
          <w:color w:val="231F20"/>
          <w:spacing w:val="-23"/>
          <w:w w:val="105"/>
        </w:rPr>
        <w:t> </w:t>
      </w:r>
      <w:r>
        <w:rPr>
          <w:color w:val="231F20"/>
          <w:w w:val="105"/>
        </w:rPr>
        <w:t>opción</w:t>
      </w:r>
      <w:r>
        <w:rPr>
          <w:color w:val="231F20"/>
          <w:spacing w:val="-23"/>
          <w:w w:val="105"/>
        </w:rPr>
        <w:t> </w:t>
      </w:r>
      <w:r>
        <w:rPr>
          <w:color w:val="231F20"/>
          <w:w w:val="105"/>
        </w:rPr>
        <w:t>a</w:t>
      </w:r>
      <w:r>
        <w:rPr>
          <w:color w:val="231F20"/>
          <w:spacing w:val="-23"/>
          <w:w w:val="105"/>
        </w:rPr>
        <w:t> </w:t>
      </w:r>
      <w:r>
        <w:rPr>
          <w:color w:val="231F20"/>
          <w:w w:val="105"/>
        </w:rPr>
        <w:t>futuro</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discur- so</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imaginario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niños</w:t>
      </w:r>
      <w:r>
        <w:rPr>
          <w:color w:val="231F20"/>
          <w:spacing w:val="-17"/>
          <w:w w:val="105"/>
        </w:rPr>
        <w:t> </w:t>
      </w:r>
      <w:r>
        <w:rPr>
          <w:color w:val="231F20"/>
          <w:w w:val="105"/>
        </w:rPr>
        <w:t>y</w:t>
      </w:r>
      <w:r>
        <w:rPr>
          <w:color w:val="231F20"/>
          <w:spacing w:val="-17"/>
          <w:w w:val="105"/>
        </w:rPr>
        <w:t> </w:t>
      </w:r>
      <w:r>
        <w:rPr>
          <w:color w:val="231F20"/>
          <w:w w:val="105"/>
        </w:rPr>
        <w:t>adolescentes</w:t>
      </w:r>
      <w:r>
        <w:rPr>
          <w:color w:val="231F20"/>
          <w:spacing w:val="-17"/>
          <w:w w:val="105"/>
        </w:rPr>
        <w:t> </w:t>
      </w:r>
      <w:r>
        <w:rPr>
          <w:color w:val="231F20"/>
          <w:w w:val="105"/>
        </w:rPr>
        <w:t>jornaleros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floricultura en</w:t>
      </w:r>
      <w:r>
        <w:rPr>
          <w:color w:val="231F20"/>
          <w:spacing w:val="-14"/>
          <w:w w:val="105"/>
        </w:rPr>
        <w:t> </w:t>
      </w:r>
      <w:r>
        <w:rPr>
          <w:color w:val="231F20"/>
          <w:w w:val="105"/>
        </w:rPr>
        <w:t>el</w:t>
      </w:r>
      <w:r>
        <w:rPr>
          <w:color w:val="231F20"/>
          <w:spacing w:val="-14"/>
          <w:w w:val="105"/>
        </w:rPr>
        <w:t> </w:t>
      </w:r>
      <w:r>
        <w:rPr>
          <w:color w:val="231F20"/>
          <w:w w:val="105"/>
        </w:rPr>
        <w:t>municipio</w:t>
      </w:r>
      <w:r>
        <w:rPr>
          <w:color w:val="231F20"/>
          <w:spacing w:val="-14"/>
          <w:w w:val="105"/>
        </w:rPr>
        <w:t> </w:t>
      </w:r>
      <w:r>
        <w:rPr>
          <w:color w:val="231F20"/>
          <w:w w:val="105"/>
        </w:rPr>
        <w:t>de</w:t>
      </w:r>
      <w:r>
        <w:rPr>
          <w:color w:val="231F20"/>
          <w:spacing w:val="-18"/>
          <w:w w:val="105"/>
        </w:rPr>
        <w:t> </w:t>
      </w:r>
      <w:r>
        <w:rPr>
          <w:color w:val="231F20"/>
          <w:w w:val="105"/>
        </w:rPr>
        <w:t>Villa</w:t>
      </w:r>
      <w:r>
        <w:rPr>
          <w:color w:val="231F20"/>
          <w:spacing w:val="-14"/>
          <w:w w:val="105"/>
        </w:rPr>
        <w:t> </w:t>
      </w:r>
      <w:r>
        <w:rPr>
          <w:color w:val="231F20"/>
          <w:w w:val="105"/>
        </w:rPr>
        <w:t>Guerrero,</w:t>
      </w:r>
      <w:r>
        <w:rPr>
          <w:color w:val="231F20"/>
          <w:spacing w:val="-20"/>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México.</w:t>
      </w:r>
    </w:p>
    <w:p>
      <w:pPr>
        <w:pStyle w:val="BodyText"/>
        <w:spacing w:line="261" w:lineRule="auto" w:before="1"/>
        <w:ind w:left="1837" w:right="1721" w:firstLine="567"/>
        <w:jc w:val="both"/>
      </w:pPr>
      <w:r>
        <w:rPr>
          <w:color w:val="231F20"/>
          <w:w w:val="105"/>
        </w:rPr>
        <w:t>Si</w:t>
      </w:r>
      <w:r>
        <w:rPr>
          <w:color w:val="231F20"/>
          <w:spacing w:val="-21"/>
          <w:w w:val="105"/>
        </w:rPr>
        <w:t> </w:t>
      </w:r>
      <w:r>
        <w:rPr>
          <w:color w:val="231F20"/>
          <w:w w:val="105"/>
        </w:rPr>
        <w:t>bien</w:t>
      </w:r>
      <w:r>
        <w:rPr>
          <w:color w:val="231F20"/>
          <w:spacing w:val="-21"/>
          <w:w w:val="105"/>
        </w:rPr>
        <w:t> </w:t>
      </w:r>
      <w:r>
        <w:rPr>
          <w:color w:val="231F20"/>
          <w:w w:val="105"/>
        </w:rPr>
        <w:t>vincular</w:t>
      </w:r>
      <w:r>
        <w:rPr>
          <w:color w:val="231F20"/>
          <w:spacing w:val="-21"/>
          <w:w w:val="105"/>
        </w:rPr>
        <w:t> </w:t>
      </w:r>
      <w:r>
        <w:rPr>
          <w:color w:val="231F20"/>
          <w:w w:val="105"/>
        </w:rPr>
        <w:t>dos</w:t>
      </w:r>
      <w:r>
        <w:rPr>
          <w:color w:val="231F20"/>
          <w:spacing w:val="-21"/>
          <w:w w:val="105"/>
        </w:rPr>
        <w:t> </w:t>
      </w:r>
      <w:r>
        <w:rPr>
          <w:color w:val="231F20"/>
          <w:w w:val="105"/>
        </w:rPr>
        <w:t>fenómenos</w:t>
      </w:r>
      <w:r>
        <w:rPr>
          <w:color w:val="231F20"/>
          <w:spacing w:val="-21"/>
          <w:w w:val="105"/>
        </w:rPr>
        <w:t> </w:t>
      </w:r>
      <w:r>
        <w:rPr>
          <w:color w:val="231F20"/>
          <w:w w:val="105"/>
        </w:rPr>
        <w:t>sociales</w:t>
      </w:r>
      <w:r>
        <w:rPr>
          <w:color w:val="231F20"/>
          <w:spacing w:val="-21"/>
          <w:w w:val="105"/>
        </w:rPr>
        <w:t> </w:t>
      </w:r>
      <w:r>
        <w:rPr>
          <w:color w:val="231F20"/>
          <w:w w:val="105"/>
        </w:rPr>
        <w:t>de</w:t>
      </w:r>
      <w:r>
        <w:rPr>
          <w:color w:val="231F20"/>
          <w:spacing w:val="-21"/>
          <w:w w:val="105"/>
        </w:rPr>
        <w:t> </w:t>
      </w:r>
      <w:r>
        <w:rPr>
          <w:color w:val="231F20"/>
          <w:w w:val="105"/>
        </w:rPr>
        <w:t>tan</w:t>
      </w:r>
      <w:r>
        <w:rPr>
          <w:color w:val="231F20"/>
          <w:spacing w:val="-21"/>
          <w:w w:val="105"/>
        </w:rPr>
        <w:t> </w:t>
      </w:r>
      <w:r>
        <w:rPr>
          <w:color w:val="231F20"/>
          <w:w w:val="105"/>
        </w:rPr>
        <w:t>amplia</w:t>
      </w:r>
      <w:r>
        <w:rPr>
          <w:color w:val="231F20"/>
          <w:spacing w:val="-21"/>
          <w:w w:val="105"/>
        </w:rPr>
        <w:t> </w:t>
      </w:r>
      <w:r>
        <w:rPr>
          <w:color w:val="231F20"/>
          <w:w w:val="105"/>
        </w:rPr>
        <w:t>complejidad no</w:t>
      </w:r>
      <w:r>
        <w:rPr>
          <w:color w:val="231F20"/>
          <w:spacing w:val="-18"/>
          <w:w w:val="105"/>
        </w:rPr>
        <w:t> </w:t>
      </w:r>
      <w:r>
        <w:rPr>
          <w:color w:val="231F20"/>
          <w:w w:val="105"/>
        </w:rPr>
        <w:t>es</w:t>
      </w:r>
      <w:r>
        <w:rPr>
          <w:color w:val="231F20"/>
          <w:spacing w:val="-18"/>
          <w:w w:val="105"/>
        </w:rPr>
        <w:t> </w:t>
      </w:r>
      <w:r>
        <w:rPr>
          <w:color w:val="231F20"/>
          <w:w w:val="105"/>
        </w:rPr>
        <w:t>tarea</w:t>
      </w:r>
      <w:r>
        <w:rPr>
          <w:color w:val="231F20"/>
          <w:spacing w:val="-18"/>
          <w:w w:val="105"/>
        </w:rPr>
        <w:t> </w:t>
      </w:r>
      <w:r>
        <w:rPr>
          <w:color w:val="231F20"/>
          <w:w w:val="105"/>
        </w:rPr>
        <w:t>fácil,</w:t>
      </w:r>
      <w:r>
        <w:rPr>
          <w:color w:val="231F20"/>
          <w:spacing w:val="-22"/>
          <w:w w:val="105"/>
        </w:rPr>
        <w:t> </w:t>
      </w:r>
      <w:r>
        <w:rPr>
          <w:color w:val="231F20"/>
          <w:w w:val="105"/>
        </w:rPr>
        <w:t>se</w:t>
      </w:r>
      <w:r>
        <w:rPr>
          <w:color w:val="231F20"/>
          <w:spacing w:val="-18"/>
          <w:w w:val="105"/>
        </w:rPr>
        <w:t> </w:t>
      </w:r>
      <w:r>
        <w:rPr>
          <w:color w:val="231F20"/>
          <w:w w:val="105"/>
        </w:rPr>
        <w:t>busca</w:t>
      </w:r>
      <w:r>
        <w:rPr>
          <w:color w:val="231F20"/>
          <w:spacing w:val="-18"/>
          <w:w w:val="105"/>
        </w:rPr>
        <w:t> </w:t>
      </w:r>
      <w:r>
        <w:rPr>
          <w:color w:val="231F20"/>
          <w:w w:val="105"/>
        </w:rPr>
        <w:t>describir</w:t>
      </w:r>
      <w:r>
        <w:rPr>
          <w:color w:val="231F20"/>
          <w:spacing w:val="-18"/>
          <w:w w:val="105"/>
        </w:rPr>
        <w:t> </w:t>
      </w:r>
      <w:r>
        <w:rPr>
          <w:color w:val="231F20"/>
          <w:w w:val="105"/>
        </w:rPr>
        <w:t>cómo</w:t>
      </w:r>
      <w:r>
        <w:rPr>
          <w:color w:val="231F20"/>
          <w:spacing w:val="-18"/>
          <w:w w:val="105"/>
        </w:rPr>
        <w:t> </w:t>
      </w:r>
      <w:r>
        <w:rPr>
          <w:color w:val="231F20"/>
          <w:w w:val="105"/>
        </w:rPr>
        <w:t>los</w:t>
      </w:r>
      <w:r>
        <w:rPr>
          <w:color w:val="231F20"/>
          <w:spacing w:val="-18"/>
          <w:w w:val="105"/>
        </w:rPr>
        <w:t> </w:t>
      </w:r>
      <w:r>
        <w:rPr>
          <w:color w:val="231F20"/>
          <w:w w:val="105"/>
        </w:rPr>
        <w:t>niños</w:t>
      </w:r>
      <w:r>
        <w:rPr>
          <w:color w:val="231F20"/>
          <w:spacing w:val="-18"/>
          <w:w w:val="105"/>
        </w:rPr>
        <w:t> </w:t>
      </w:r>
      <w:r>
        <w:rPr>
          <w:color w:val="231F20"/>
          <w:w w:val="105"/>
        </w:rPr>
        <w:t>y</w:t>
      </w:r>
      <w:r>
        <w:rPr>
          <w:color w:val="231F20"/>
          <w:spacing w:val="-18"/>
          <w:w w:val="105"/>
        </w:rPr>
        <w:t> </w:t>
      </w:r>
      <w:r>
        <w:rPr>
          <w:color w:val="231F20"/>
          <w:w w:val="105"/>
        </w:rPr>
        <w:t>adolescentes</w:t>
      </w:r>
      <w:r>
        <w:rPr>
          <w:color w:val="231F20"/>
          <w:spacing w:val="-18"/>
          <w:w w:val="105"/>
        </w:rPr>
        <w:t> </w:t>
      </w:r>
      <w:r>
        <w:rPr>
          <w:color w:val="231F20"/>
          <w:w w:val="105"/>
        </w:rPr>
        <w:t>jorna- leros de la floricultura han adoptado este trabajo como opción para su futuro inmediato, y a la migración como una opción para capitalizarse</w:t>
      </w:r>
      <w:r>
        <w:rPr>
          <w:color w:val="231F20"/>
          <w:spacing w:val="-22"/>
          <w:w w:val="105"/>
        </w:rPr>
        <w:t> </w:t>
      </w:r>
      <w:r>
        <w:rPr>
          <w:color w:val="231F20"/>
          <w:w w:val="105"/>
        </w:rPr>
        <w:t>y volver</w:t>
      </w:r>
      <w:r>
        <w:rPr>
          <w:color w:val="231F20"/>
          <w:spacing w:val="-8"/>
          <w:w w:val="105"/>
        </w:rPr>
        <w:t> </w:t>
      </w:r>
      <w:r>
        <w:rPr>
          <w:color w:val="231F20"/>
          <w:w w:val="105"/>
        </w:rPr>
        <w:t>a</w:t>
      </w:r>
      <w:r>
        <w:rPr>
          <w:color w:val="231F20"/>
          <w:spacing w:val="-8"/>
          <w:w w:val="105"/>
        </w:rPr>
        <w:t> </w:t>
      </w:r>
      <w:r>
        <w:rPr>
          <w:color w:val="231F20"/>
          <w:w w:val="105"/>
        </w:rPr>
        <w:t>esta</w:t>
      </w:r>
      <w:r>
        <w:rPr>
          <w:color w:val="231F20"/>
          <w:spacing w:val="-8"/>
          <w:w w:val="105"/>
        </w:rPr>
        <w:t> </w:t>
      </w:r>
      <w:r>
        <w:rPr>
          <w:color w:val="231F20"/>
          <w:w w:val="105"/>
        </w:rPr>
        <w:t>actividad</w:t>
      </w:r>
      <w:r>
        <w:rPr>
          <w:color w:val="231F20"/>
          <w:spacing w:val="-8"/>
          <w:w w:val="105"/>
        </w:rPr>
        <w:t> </w:t>
      </w:r>
      <w:r>
        <w:rPr>
          <w:color w:val="231F20"/>
          <w:w w:val="105"/>
        </w:rPr>
        <w:t>con</w:t>
      </w:r>
      <w:r>
        <w:rPr>
          <w:color w:val="231F20"/>
          <w:spacing w:val="-8"/>
          <w:w w:val="105"/>
        </w:rPr>
        <w:t> </w:t>
      </w:r>
      <w:r>
        <w:rPr>
          <w:color w:val="231F20"/>
          <w:w w:val="105"/>
        </w:rPr>
        <w:t>capacidad</w:t>
      </w:r>
      <w:r>
        <w:rPr>
          <w:color w:val="231F20"/>
          <w:spacing w:val="-8"/>
          <w:w w:val="105"/>
        </w:rPr>
        <w:t> </w:t>
      </w:r>
      <w:r>
        <w:rPr>
          <w:color w:val="231F20"/>
          <w:w w:val="105"/>
        </w:rPr>
        <w:t>de</w:t>
      </w:r>
      <w:r>
        <w:rPr>
          <w:color w:val="231F20"/>
          <w:spacing w:val="-8"/>
          <w:w w:val="105"/>
        </w:rPr>
        <w:t> </w:t>
      </w:r>
      <w:r>
        <w:rPr>
          <w:color w:val="231F20"/>
          <w:w w:val="105"/>
        </w:rPr>
        <w:t>inversión</w:t>
      </w:r>
      <w:r>
        <w:rPr>
          <w:color w:val="231F20"/>
          <w:spacing w:val="-8"/>
          <w:w w:val="105"/>
        </w:rPr>
        <w:t> </w:t>
      </w:r>
      <w:r>
        <w:rPr>
          <w:color w:val="231F20"/>
          <w:w w:val="105"/>
        </w:rPr>
        <w:t>vía</w:t>
      </w:r>
      <w:r>
        <w:rPr>
          <w:color w:val="231F20"/>
          <w:spacing w:val="-8"/>
          <w:w w:val="105"/>
        </w:rPr>
        <w:t> </w:t>
      </w:r>
      <w:r>
        <w:rPr>
          <w:color w:val="231F20"/>
          <w:w w:val="105"/>
        </w:rPr>
        <w:t>las</w:t>
      </w:r>
      <w:r>
        <w:rPr>
          <w:color w:val="231F20"/>
          <w:spacing w:val="-8"/>
          <w:w w:val="105"/>
        </w:rPr>
        <w:t> </w:t>
      </w:r>
      <w:r>
        <w:rPr>
          <w:color w:val="231F20"/>
          <w:w w:val="105"/>
        </w:rPr>
        <w:t>remesas</w:t>
      </w:r>
      <w:r>
        <w:rPr>
          <w:color w:val="231F20"/>
          <w:spacing w:val="-8"/>
          <w:w w:val="105"/>
        </w:rPr>
        <w:t> </w:t>
      </w:r>
      <w:r>
        <w:rPr>
          <w:color w:val="231F20"/>
          <w:w w:val="105"/>
        </w:rPr>
        <w:t>y</w:t>
      </w:r>
      <w:r>
        <w:rPr>
          <w:color w:val="231F20"/>
          <w:spacing w:val="-8"/>
          <w:w w:val="105"/>
        </w:rPr>
        <w:t> </w:t>
      </w:r>
      <w:r>
        <w:rPr>
          <w:color w:val="231F20"/>
          <w:w w:val="105"/>
        </w:rPr>
        <w:t>los ahorros obtenidos </w:t>
      </w:r>
      <w:r>
        <w:rPr>
          <w:color w:val="231F20"/>
          <w:spacing w:val="-3"/>
          <w:w w:val="105"/>
        </w:rPr>
        <w:t>“del </w:t>
      </w:r>
      <w:r>
        <w:rPr>
          <w:color w:val="231F20"/>
          <w:w w:val="105"/>
        </w:rPr>
        <w:t>otro</w:t>
      </w:r>
      <w:r>
        <w:rPr>
          <w:color w:val="231F20"/>
          <w:spacing w:val="32"/>
          <w:w w:val="105"/>
        </w:rPr>
        <w:t> </w:t>
      </w:r>
      <w:r>
        <w:rPr>
          <w:color w:val="231F20"/>
          <w:spacing w:val="-5"/>
          <w:w w:val="105"/>
        </w:rPr>
        <w:t>lado”.</w:t>
      </w:r>
    </w:p>
    <w:p>
      <w:pPr>
        <w:pStyle w:val="BodyText"/>
        <w:spacing w:line="261" w:lineRule="auto" w:before="1"/>
        <w:ind w:left="1837" w:right="1716" w:firstLine="567"/>
        <w:jc w:val="both"/>
      </w:pPr>
      <w:r>
        <w:rPr>
          <w:color w:val="231F20"/>
          <w:spacing w:val="-4"/>
          <w:w w:val="105"/>
        </w:rPr>
        <w:t>Para </w:t>
      </w:r>
      <w:r>
        <w:rPr>
          <w:color w:val="231F20"/>
          <w:w w:val="105"/>
        </w:rPr>
        <w:t>alcanzar el objetivo se muestran los relatos y dibujos de ni- ños</w:t>
      </w:r>
      <w:r>
        <w:rPr>
          <w:color w:val="231F20"/>
          <w:spacing w:val="-28"/>
          <w:w w:val="105"/>
        </w:rPr>
        <w:t> </w:t>
      </w:r>
      <w:r>
        <w:rPr>
          <w:color w:val="231F20"/>
          <w:w w:val="105"/>
        </w:rPr>
        <w:t>que</w:t>
      </w:r>
      <w:r>
        <w:rPr>
          <w:color w:val="231F20"/>
          <w:spacing w:val="-28"/>
          <w:w w:val="105"/>
        </w:rPr>
        <w:t> </w:t>
      </w:r>
      <w:r>
        <w:rPr>
          <w:color w:val="231F20"/>
          <w:w w:val="105"/>
        </w:rPr>
        <w:t>fueron</w:t>
      </w:r>
      <w:r>
        <w:rPr>
          <w:color w:val="231F20"/>
          <w:spacing w:val="-28"/>
          <w:w w:val="105"/>
        </w:rPr>
        <w:t> </w:t>
      </w:r>
      <w:r>
        <w:rPr>
          <w:color w:val="231F20"/>
          <w:w w:val="105"/>
        </w:rPr>
        <w:t>entrevistados</w:t>
      </w:r>
      <w:r>
        <w:rPr>
          <w:color w:val="231F20"/>
          <w:spacing w:val="-28"/>
          <w:w w:val="105"/>
        </w:rPr>
        <w:t> </w:t>
      </w:r>
      <w:r>
        <w:rPr>
          <w:color w:val="231F20"/>
          <w:w w:val="105"/>
        </w:rPr>
        <w:t>en</w:t>
      </w:r>
      <w:r>
        <w:rPr>
          <w:color w:val="231F20"/>
          <w:spacing w:val="-28"/>
          <w:w w:val="105"/>
        </w:rPr>
        <w:t> </w:t>
      </w:r>
      <w:r>
        <w:rPr>
          <w:color w:val="231F20"/>
          <w:w w:val="105"/>
        </w:rPr>
        <w:t>sus</w:t>
      </w:r>
      <w:r>
        <w:rPr>
          <w:color w:val="231F20"/>
          <w:spacing w:val="-28"/>
          <w:w w:val="105"/>
        </w:rPr>
        <w:t> </w:t>
      </w:r>
      <w:r>
        <w:rPr>
          <w:color w:val="231F20"/>
          <w:w w:val="105"/>
        </w:rPr>
        <w:t>casas,</w:t>
      </w:r>
      <w:r>
        <w:rPr>
          <w:color w:val="231F20"/>
          <w:spacing w:val="-31"/>
          <w:w w:val="105"/>
        </w:rPr>
        <w:t> </w:t>
      </w:r>
      <w:r>
        <w:rPr>
          <w:color w:val="231F20"/>
          <w:w w:val="105"/>
        </w:rPr>
        <w:t>escuelas</w:t>
      </w:r>
      <w:r>
        <w:rPr>
          <w:color w:val="231F20"/>
          <w:spacing w:val="-28"/>
          <w:w w:val="105"/>
        </w:rPr>
        <w:t> </w:t>
      </w:r>
      <w:r>
        <w:rPr>
          <w:color w:val="231F20"/>
          <w:w w:val="105"/>
        </w:rPr>
        <w:t>y</w:t>
      </w:r>
      <w:r>
        <w:rPr>
          <w:color w:val="231F20"/>
          <w:spacing w:val="-28"/>
          <w:w w:val="105"/>
        </w:rPr>
        <w:t> </w:t>
      </w:r>
      <w:r>
        <w:rPr>
          <w:color w:val="231F20"/>
          <w:w w:val="105"/>
        </w:rPr>
        <w:t>lugares</w:t>
      </w:r>
      <w:r>
        <w:rPr>
          <w:color w:val="231F20"/>
          <w:spacing w:val="-28"/>
          <w:w w:val="105"/>
        </w:rPr>
        <w:t> </w:t>
      </w:r>
      <w:r>
        <w:rPr>
          <w:color w:val="231F20"/>
          <w:w w:val="105"/>
        </w:rPr>
        <w:t>de</w:t>
      </w:r>
      <w:r>
        <w:rPr>
          <w:color w:val="231F20"/>
          <w:spacing w:val="-28"/>
          <w:w w:val="105"/>
        </w:rPr>
        <w:t> </w:t>
      </w:r>
      <w:r>
        <w:rPr>
          <w:color w:val="231F20"/>
          <w:w w:val="105"/>
        </w:rPr>
        <w:t>trabajo, entre enero y mayo de 2010. En este orden, se utiliza una metodología cualitativa</w:t>
      </w:r>
      <w:r>
        <w:rPr>
          <w:color w:val="231F20"/>
          <w:spacing w:val="-10"/>
          <w:w w:val="105"/>
        </w:rPr>
        <w:t> </w:t>
      </w:r>
      <w:r>
        <w:rPr>
          <w:color w:val="231F20"/>
          <w:w w:val="105"/>
        </w:rPr>
        <w:t>para</w:t>
      </w:r>
      <w:r>
        <w:rPr>
          <w:color w:val="231F20"/>
          <w:spacing w:val="-10"/>
          <w:w w:val="105"/>
        </w:rPr>
        <w:t> </w:t>
      </w:r>
      <w:r>
        <w:rPr>
          <w:color w:val="231F20"/>
          <w:w w:val="105"/>
        </w:rPr>
        <w:t>comprender</w:t>
      </w:r>
      <w:r>
        <w:rPr>
          <w:color w:val="231F20"/>
          <w:spacing w:val="-10"/>
          <w:w w:val="105"/>
        </w:rPr>
        <w:t> </w:t>
      </w:r>
      <w:r>
        <w:rPr>
          <w:color w:val="231F20"/>
          <w:w w:val="105"/>
        </w:rPr>
        <w:t>el</w:t>
      </w:r>
      <w:r>
        <w:rPr>
          <w:color w:val="231F20"/>
          <w:spacing w:val="-10"/>
          <w:w w:val="105"/>
        </w:rPr>
        <w:t> </w:t>
      </w:r>
      <w:r>
        <w:rPr>
          <w:color w:val="231F20"/>
          <w:w w:val="105"/>
        </w:rPr>
        <w:t>vínculo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migración</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trabajo</w:t>
      </w:r>
      <w:r>
        <w:rPr>
          <w:color w:val="231F20"/>
          <w:spacing w:val="-10"/>
          <w:w w:val="105"/>
        </w:rPr>
        <w:t> </w:t>
      </w:r>
      <w:r>
        <w:rPr>
          <w:color w:val="231F20"/>
          <w:w w:val="105"/>
        </w:rPr>
        <w:t>en</w:t>
      </w:r>
      <w:r>
        <w:rPr>
          <w:color w:val="231F20"/>
          <w:spacing w:val="-10"/>
          <w:w w:val="105"/>
        </w:rPr>
        <w:t> </w:t>
      </w:r>
      <w:r>
        <w:rPr>
          <w:color w:val="231F20"/>
          <w:w w:val="105"/>
        </w:rPr>
        <w:t>los discursos</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interpretación</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niños</w:t>
      </w:r>
      <w:r>
        <w:rPr>
          <w:color w:val="231F20"/>
          <w:spacing w:val="-13"/>
          <w:w w:val="105"/>
        </w:rPr>
        <w:t> </w:t>
      </w:r>
      <w:r>
        <w:rPr>
          <w:color w:val="231F20"/>
          <w:w w:val="105"/>
        </w:rPr>
        <w:t>otorgan</w:t>
      </w:r>
      <w:r>
        <w:rPr>
          <w:color w:val="231F20"/>
          <w:spacing w:val="-13"/>
          <w:w w:val="105"/>
        </w:rPr>
        <w:t> </w:t>
      </w:r>
      <w:r>
        <w:rPr>
          <w:color w:val="231F20"/>
          <w:w w:val="105"/>
        </w:rPr>
        <w:t>a</w:t>
      </w:r>
      <w:r>
        <w:rPr>
          <w:color w:val="231F20"/>
          <w:spacing w:val="-13"/>
          <w:w w:val="105"/>
        </w:rPr>
        <w:t> </w:t>
      </w:r>
      <w:r>
        <w:rPr>
          <w:color w:val="231F20"/>
          <w:w w:val="105"/>
        </w:rPr>
        <w:t>una</w:t>
      </w:r>
      <w:r>
        <w:rPr>
          <w:color w:val="231F20"/>
          <w:spacing w:val="-13"/>
          <w:w w:val="105"/>
        </w:rPr>
        <w:t> </w:t>
      </w:r>
      <w:r>
        <w:rPr>
          <w:color w:val="231F20"/>
          <w:w w:val="105"/>
        </w:rPr>
        <w:t>importante</w:t>
      </w:r>
      <w:r>
        <w:rPr>
          <w:color w:val="231F20"/>
          <w:spacing w:val="-13"/>
          <w:w w:val="105"/>
        </w:rPr>
        <w:t> </w:t>
      </w:r>
      <w:r>
        <w:rPr>
          <w:color w:val="231F20"/>
          <w:w w:val="105"/>
        </w:rPr>
        <w:t>par- cela</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w w:val="105"/>
        </w:rPr>
        <w:t>vida</w:t>
      </w:r>
      <w:r>
        <w:rPr>
          <w:color w:val="231F20"/>
          <w:spacing w:val="-16"/>
          <w:w w:val="105"/>
        </w:rPr>
        <w:t> </w:t>
      </w:r>
      <w:r>
        <w:rPr>
          <w:color w:val="231F20"/>
          <w:w w:val="105"/>
        </w:rPr>
        <w:t>cotidiana.</w:t>
      </w:r>
    </w:p>
    <w:p>
      <w:pPr>
        <w:pStyle w:val="BodyText"/>
        <w:spacing w:line="261" w:lineRule="auto" w:before="1"/>
        <w:ind w:left="1837" w:right="1721" w:firstLine="567"/>
        <w:jc w:val="both"/>
      </w:pPr>
      <w:r>
        <w:rPr>
          <w:color w:val="231F20"/>
          <w:spacing w:val="-4"/>
          <w:w w:val="105"/>
        </w:rPr>
        <w:t>Para</w:t>
      </w:r>
      <w:r>
        <w:rPr>
          <w:color w:val="231F20"/>
          <w:spacing w:val="-18"/>
          <w:w w:val="105"/>
        </w:rPr>
        <w:t> </w:t>
      </w:r>
      <w:r>
        <w:rPr>
          <w:color w:val="231F20"/>
          <w:w w:val="105"/>
        </w:rPr>
        <w:t>efecto</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reflexiones</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presentan</w:t>
      </w:r>
      <w:r>
        <w:rPr>
          <w:color w:val="231F20"/>
          <w:spacing w:val="-18"/>
          <w:w w:val="105"/>
        </w:rPr>
        <w:t> </w:t>
      </w:r>
      <w:r>
        <w:rPr>
          <w:color w:val="231F20"/>
          <w:w w:val="105"/>
        </w:rPr>
        <w:t>en</w:t>
      </w:r>
      <w:r>
        <w:rPr>
          <w:color w:val="231F20"/>
          <w:spacing w:val="-18"/>
          <w:w w:val="105"/>
        </w:rPr>
        <w:t> </w:t>
      </w:r>
      <w:r>
        <w:rPr>
          <w:color w:val="231F20"/>
          <w:w w:val="105"/>
        </w:rPr>
        <w:t>este</w:t>
      </w:r>
      <w:r>
        <w:rPr>
          <w:color w:val="231F20"/>
          <w:spacing w:val="-18"/>
          <w:w w:val="105"/>
        </w:rPr>
        <w:t> </w:t>
      </w:r>
      <w:r>
        <w:rPr>
          <w:color w:val="231F20"/>
          <w:w w:val="105"/>
        </w:rPr>
        <w:t>artículo,</w:t>
      </w:r>
      <w:r>
        <w:rPr>
          <w:color w:val="231F20"/>
          <w:spacing w:val="-23"/>
          <w:w w:val="105"/>
        </w:rPr>
        <w:t> </w:t>
      </w:r>
      <w:r>
        <w:rPr>
          <w:color w:val="231F20"/>
          <w:w w:val="105"/>
        </w:rPr>
        <w:t>se realiza una revisión breve del </w:t>
      </w:r>
      <w:r>
        <w:rPr>
          <w:rFonts w:ascii="Arial" w:hAnsi="Arial"/>
          <w:i/>
          <w:color w:val="231F20"/>
          <w:w w:val="105"/>
        </w:rPr>
        <w:t>habitus </w:t>
      </w:r>
      <w:r>
        <w:rPr>
          <w:color w:val="231F20"/>
          <w:w w:val="105"/>
        </w:rPr>
        <w:t>como noción que facilita la com- prensión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construcción</w:t>
      </w:r>
      <w:r>
        <w:rPr>
          <w:color w:val="231F20"/>
          <w:spacing w:val="-10"/>
          <w:w w:val="105"/>
        </w:rPr>
        <w:t> </w:t>
      </w:r>
      <w:r>
        <w:rPr>
          <w:color w:val="231F20"/>
          <w:w w:val="105"/>
        </w:rPr>
        <w:t>de</w:t>
      </w:r>
      <w:r>
        <w:rPr>
          <w:color w:val="231F20"/>
          <w:spacing w:val="-10"/>
          <w:w w:val="105"/>
        </w:rPr>
        <w:t> </w:t>
      </w:r>
      <w:r>
        <w:rPr>
          <w:color w:val="231F20"/>
          <w:w w:val="105"/>
        </w:rPr>
        <w:t>imaginarios</w:t>
      </w:r>
      <w:r>
        <w:rPr>
          <w:color w:val="231F20"/>
          <w:spacing w:val="-10"/>
          <w:w w:val="105"/>
        </w:rPr>
        <w:t> </w:t>
      </w:r>
      <w:r>
        <w:rPr>
          <w:color w:val="231F20"/>
          <w:w w:val="105"/>
        </w:rPr>
        <w:t>sobre</w:t>
      </w:r>
      <w:r>
        <w:rPr>
          <w:color w:val="231F20"/>
          <w:spacing w:val="-10"/>
          <w:w w:val="105"/>
        </w:rPr>
        <w:t> </w:t>
      </w:r>
      <w:r>
        <w:rPr>
          <w:color w:val="231F20"/>
          <w:w w:val="105"/>
        </w:rPr>
        <w:t>migración</w:t>
      </w:r>
      <w:r>
        <w:rPr>
          <w:color w:val="231F20"/>
          <w:spacing w:val="-10"/>
          <w:w w:val="105"/>
        </w:rPr>
        <w:t> </w:t>
      </w:r>
      <w:r>
        <w:rPr>
          <w:color w:val="231F20"/>
          <w:w w:val="105"/>
        </w:rPr>
        <w:t>y</w:t>
      </w:r>
      <w:r>
        <w:rPr>
          <w:color w:val="231F20"/>
          <w:spacing w:val="-10"/>
          <w:w w:val="105"/>
        </w:rPr>
        <w:t> </w:t>
      </w:r>
      <w:r>
        <w:rPr>
          <w:color w:val="231F20"/>
          <w:w w:val="105"/>
        </w:rPr>
        <w:t>trabajo</w:t>
      </w:r>
      <w:r>
        <w:rPr>
          <w:color w:val="231F20"/>
          <w:spacing w:val="-10"/>
          <w:w w:val="105"/>
        </w:rPr>
        <w:t> </w:t>
      </w:r>
      <w:r>
        <w:rPr>
          <w:color w:val="231F20"/>
          <w:w w:val="105"/>
        </w:rPr>
        <w:t>en los</w:t>
      </w:r>
      <w:r>
        <w:rPr>
          <w:color w:val="231F20"/>
          <w:spacing w:val="-21"/>
          <w:w w:val="105"/>
        </w:rPr>
        <w:t> </w:t>
      </w:r>
      <w:r>
        <w:rPr>
          <w:color w:val="231F20"/>
          <w:w w:val="105"/>
        </w:rPr>
        <w:t>niños</w:t>
      </w:r>
      <w:r>
        <w:rPr>
          <w:color w:val="231F20"/>
          <w:spacing w:val="-21"/>
          <w:w w:val="105"/>
        </w:rPr>
        <w:t> </w:t>
      </w:r>
      <w:r>
        <w:rPr>
          <w:color w:val="231F20"/>
          <w:w w:val="105"/>
        </w:rPr>
        <w:t>jornaleros.</w:t>
      </w:r>
      <w:r>
        <w:rPr>
          <w:color w:val="231F20"/>
          <w:spacing w:val="-26"/>
          <w:w w:val="105"/>
        </w:rPr>
        <w:t> </w:t>
      </w:r>
      <w:r>
        <w:rPr>
          <w:color w:val="231F20"/>
          <w:w w:val="105"/>
        </w:rPr>
        <w:t>Posteriormente,</w:t>
      </w:r>
      <w:r>
        <w:rPr>
          <w:color w:val="231F20"/>
          <w:spacing w:val="-26"/>
          <w:w w:val="105"/>
        </w:rPr>
        <w:t> </w:t>
      </w:r>
      <w:r>
        <w:rPr>
          <w:color w:val="231F20"/>
          <w:w w:val="105"/>
        </w:rPr>
        <w:t>se</w:t>
      </w:r>
      <w:r>
        <w:rPr>
          <w:color w:val="231F20"/>
          <w:spacing w:val="-21"/>
          <w:w w:val="105"/>
        </w:rPr>
        <w:t> </w:t>
      </w:r>
      <w:r>
        <w:rPr>
          <w:color w:val="231F20"/>
          <w:w w:val="105"/>
        </w:rPr>
        <w:t>revisa</w:t>
      </w:r>
      <w:r>
        <w:rPr>
          <w:color w:val="231F20"/>
          <w:spacing w:val="-21"/>
          <w:w w:val="105"/>
        </w:rPr>
        <w:t> </w:t>
      </w:r>
      <w:r>
        <w:rPr>
          <w:color w:val="231F20"/>
          <w:w w:val="105"/>
        </w:rPr>
        <w:t>el</w:t>
      </w:r>
      <w:r>
        <w:rPr>
          <w:color w:val="231F20"/>
          <w:spacing w:val="-21"/>
          <w:w w:val="105"/>
        </w:rPr>
        <w:t> </w:t>
      </w:r>
      <w:r>
        <w:rPr>
          <w:color w:val="231F20"/>
          <w:w w:val="105"/>
        </w:rPr>
        <w:t>contexto</w:t>
      </w:r>
      <w:r>
        <w:rPr>
          <w:color w:val="231F20"/>
          <w:spacing w:val="-21"/>
          <w:w w:val="105"/>
        </w:rPr>
        <w:t> </w:t>
      </w:r>
      <w:r>
        <w:rPr>
          <w:color w:val="231F20"/>
          <w:w w:val="105"/>
        </w:rPr>
        <w:t>local</w:t>
      </w:r>
      <w:r>
        <w:rPr>
          <w:color w:val="231F20"/>
          <w:spacing w:val="-21"/>
          <w:w w:val="105"/>
        </w:rPr>
        <w:t> </w:t>
      </w:r>
      <w:r>
        <w:rPr>
          <w:color w:val="231F20"/>
          <w:w w:val="105"/>
        </w:rPr>
        <w:t>y</w:t>
      </w:r>
      <w:r>
        <w:rPr>
          <w:color w:val="231F20"/>
          <w:spacing w:val="-21"/>
          <w:w w:val="105"/>
        </w:rPr>
        <w:t> </w:t>
      </w:r>
      <w:r>
        <w:rPr>
          <w:color w:val="231F20"/>
          <w:w w:val="105"/>
        </w:rPr>
        <w:t>produc- tivo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floricultura</w:t>
      </w:r>
      <w:r>
        <w:rPr>
          <w:color w:val="231F20"/>
          <w:spacing w:val="-13"/>
          <w:w w:val="105"/>
        </w:rPr>
        <w:t> </w:t>
      </w:r>
      <w:r>
        <w:rPr>
          <w:color w:val="231F20"/>
          <w:w w:val="105"/>
        </w:rPr>
        <w:t>en</w:t>
      </w:r>
      <w:r>
        <w:rPr>
          <w:color w:val="231F20"/>
          <w:spacing w:val="-17"/>
          <w:w w:val="105"/>
        </w:rPr>
        <w:t> </w:t>
      </w:r>
      <w:r>
        <w:rPr>
          <w:color w:val="231F20"/>
          <w:w w:val="105"/>
        </w:rPr>
        <w:t>Villa</w:t>
      </w:r>
      <w:r>
        <w:rPr>
          <w:color w:val="231F20"/>
          <w:spacing w:val="-13"/>
          <w:w w:val="105"/>
        </w:rPr>
        <w:t> </w:t>
      </w:r>
      <w:r>
        <w:rPr>
          <w:color w:val="231F20"/>
          <w:w w:val="105"/>
        </w:rPr>
        <w:t>Guerrero</w:t>
      </w:r>
      <w:r>
        <w:rPr>
          <w:color w:val="231F20"/>
          <w:spacing w:val="-13"/>
          <w:w w:val="105"/>
        </w:rPr>
        <w:t> </w:t>
      </w:r>
      <w:r>
        <w:rPr>
          <w:color w:val="231F20"/>
          <w:w w:val="105"/>
        </w:rPr>
        <w:t>para</w:t>
      </w:r>
      <w:r>
        <w:rPr>
          <w:color w:val="231F20"/>
          <w:spacing w:val="-13"/>
          <w:w w:val="105"/>
        </w:rPr>
        <w:t> </w:t>
      </w:r>
      <w:r>
        <w:rPr>
          <w:color w:val="231F20"/>
          <w:w w:val="105"/>
        </w:rPr>
        <w:t>dar</w:t>
      </w:r>
      <w:r>
        <w:rPr>
          <w:color w:val="231F20"/>
          <w:spacing w:val="-13"/>
          <w:w w:val="105"/>
        </w:rPr>
        <w:t> </w:t>
      </w:r>
      <w:r>
        <w:rPr>
          <w:color w:val="231F20"/>
          <w:w w:val="105"/>
        </w:rPr>
        <w:t>pie</w:t>
      </w:r>
      <w:r>
        <w:rPr>
          <w:color w:val="231F20"/>
          <w:spacing w:val="-13"/>
          <w:w w:val="105"/>
        </w:rPr>
        <w:t> </w:t>
      </w:r>
      <w:r>
        <w:rPr>
          <w:color w:val="231F20"/>
          <w:w w:val="105"/>
        </w:rPr>
        <w:t>al</w:t>
      </w:r>
      <w:r>
        <w:rPr>
          <w:color w:val="231F20"/>
          <w:spacing w:val="-13"/>
          <w:w w:val="105"/>
        </w:rPr>
        <w:t> </w:t>
      </w:r>
      <w:r>
        <w:rPr>
          <w:color w:val="231F20"/>
          <w:w w:val="105"/>
        </w:rPr>
        <w:t>análisis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rela- tos</w:t>
      </w:r>
      <w:r>
        <w:rPr>
          <w:color w:val="231F20"/>
          <w:spacing w:val="-15"/>
          <w:w w:val="105"/>
        </w:rPr>
        <w:t> </w:t>
      </w:r>
      <w:r>
        <w:rPr>
          <w:color w:val="231F20"/>
          <w:w w:val="105"/>
        </w:rPr>
        <w:t>y</w:t>
      </w:r>
      <w:r>
        <w:rPr>
          <w:color w:val="231F20"/>
          <w:spacing w:val="-15"/>
          <w:w w:val="105"/>
        </w:rPr>
        <w:t> </w:t>
      </w:r>
      <w:r>
        <w:rPr>
          <w:color w:val="231F20"/>
          <w:w w:val="105"/>
        </w:rPr>
        <w:t>dibujos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niños</w:t>
      </w:r>
      <w:r>
        <w:rPr>
          <w:color w:val="231F20"/>
          <w:spacing w:val="-15"/>
          <w:w w:val="105"/>
        </w:rPr>
        <w:t> </w:t>
      </w:r>
      <w:r>
        <w:rPr>
          <w:color w:val="231F20"/>
          <w:w w:val="105"/>
        </w:rPr>
        <w:t>entrevistados.</w:t>
      </w:r>
    </w:p>
    <w:p>
      <w:pPr>
        <w:pStyle w:val="BodyText"/>
        <w:rPr>
          <w:sz w:val="20"/>
        </w:rPr>
      </w:pPr>
    </w:p>
    <w:p>
      <w:pPr>
        <w:pStyle w:val="BodyText"/>
        <w:spacing w:before="9"/>
        <w:rPr>
          <w:sz w:val="20"/>
        </w:rPr>
      </w:pPr>
    </w:p>
    <w:p>
      <w:pPr>
        <w:pStyle w:val="Heading3"/>
        <w:rPr>
          <w:rFonts w:ascii="Trebuchet MS" w:hAnsi="Trebuchet MS"/>
          <w:i/>
        </w:rPr>
      </w:pPr>
      <w:r>
        <w:rPr>
          <w:color w:val="231F20"/>
        </w:rPr>
        <w:t>El trabajo infantil y la migración desde la noción del </w:t>
      </w:r>
      <w:r>
        <w:rPr>
          <w:rFonts w:ascii="Trebuchet MS" w:hAnsi="Trebuchet MS"/>
          <w:i/>
          <w:color w:val="231F20"/>
        </w:rPr>
        <w:t>habitus</w:t>
      </w:r>
    </w:p>
    <w:p>
      <w:pPr>
        <w:pStyle w:val="BodyText"/>
        <w:rPr>
          <w:rFonts w:ascii="Trebuchet MS"/>
          <w:b/>
          <w:i/>
          <w:sz w:val="22"/>
        </w:rPr>
      </w:pPr>
    </w:p>
    <w:p>
      <w:pPr>
        <w:pStyle w:val="BodyText"/>
        <w:spacing w:line="261" w:lineRule="auto" w:before="159"/>
        <w:ind w:left="1837" w:right="1715"/>
        <w:jc w:val="both"/>
      </w:pPr>
      <w:r>
        <w:rPr>
          <w:color w:val="231F20"/>
          <w:w w:val="105"/>
        </w:rPr>
        <w:t>El estudio metódico sobre los factores que rodean la movilidad de la población</w:t>
      </w:r>
      <w:r>
        <w:rPr>
          <w:color w:val="231F20"/>
          <w:spacing w:val="-11"/>
          <w:w w:val="105"/>
        </w:rPr>
        <w:t> </w:t>
      </w:r>
      <w:r>
        <w:rPr>
          <w:color w:val="231F20"/>
          <w:w w:val="105"/>
        </w:rPr>
        <w:t>ha</w:t>
      </w:r>
      <w:r>
        <w:rPr>
          <w:color w:val="231F20"/>
          <w:spacing w:val="-11"/>
          <w:w w:val="105"/>
        </w:rPr>
        <w:t> </w:t>
      </w:r>
      <w:r>
        <w:rPr>
          <w:color w:val="231F20"/>
          <w:w w:val="105"/>
        </w:rPr>
        <w:t>estado</w:t>
      </w:r>
      <w:r>
        <w:rPr>
          <w:color w:val="231F20"/>
          <w:spacing w:val="-11"/>
          <w:w w:val="105"/>
        </w:rPr>
        <w:t> </w:t>
      </w:r>
      <w:r>
        <w:rPr>
          <w:color w:val="231F20"/>
          <w:w w:val="105"/>
        </w:rPr>
        <w:t>presente</w:t>
      </w:r>
      <w:r>
        <w:rPr>
          <w:color w:val="231F20"/>
          <w:spacing w:val="-11"/>
          <w:w w:val="105"/>
        </w:rPr>
        <w:t> </w:t>
      </w:r>
      <w:r>
        <w:rPr>
          <w:color w:val="231F20"/>
          <w:w w:val="105"/>
        </w:rPr>
        <w:t>desde</w:t>
      </w:r>
      <w:r>
        <w:rPr>
          <w:color w:val="231F20"/>
          <w:spacing w:val="-11"/>
          <w:w w:val="105"/>
        </w:rPr>
        <w:t> </w:t>
      </w:r>
      <w:r>
        <w:rPr>
          <w:color w:val="231F20"/>
          <w:w w:val="105"/>
        </w:rPr>
        <w:t>la</w:t>
      </w:r>
      <w:r>
        <w:rPr>
          <w:color w:val="231F20"/>
          <w:spacing w:val="-11"/>
          <w:w w:val="105"/>
        </w:rPr>
        <w:t> </w:t>
      </w:r>
      <w:r>
        <w:rPr>
          <w:color w:val="231F20"/>
          <w:w w:val="105"/>
        </w:rPr>
        <w:t>segunda</w:t>
      </w:r>
      <w:r>
        <w:rPr>
          <w:color w:val="231F20"/>
          <w:spacing w:val="-11"/>
          <w:w w:val="105"/>
        </w:rPr>
        <w:t> </w:t>
      </w:r>
      <w:r>
        <w:rPr>
          <w:color w:val="231F20"/>
          <w:w w:val="105"/>
        </w:rPr>
        <w:t>mitad</w:t>
      </w:r>
      <w:r>
        <w:rPr>
          <w:color w:val="231F20"/>
          <w:spacing w:val="-11"/>
          <w:w w:val="105"/>
        </w:rPr>
        <w:t> </w:t>
      </w:r>
      <w:r>
        <w:rPr>
          <w:color w:val="231F20"/>
          <w:w w:val="105"/>
        </w:rPr>
        <w:t>del</w:t>
      </w:r>
      <w:r>
        <w:rPr>
          <w:color w:val="231F20"/>
          <w:spacing w:val="-11"/>
          <w:w w:val="105"/>
        </w:rPr>
        <w:t> </w:t>
      </w:r>
      <w:r>
        <w:rPr>
          <w:color w:val="231F20"/>
          <w:w w:val="105"/>
        </w:rPr>
        <w:t>siglo</w:t>
      </w:r>
      <w:r>
        <w:rPr>
          <w:color w:val="231F20"/>
          <w:spacing w:val="-11"/>
          <w:w w:val="105"/>
        </w:rPr>
        <w:t> </w:t>
      </w:r>
      <w:r>
        <w:rPr>
          <w:color w:val="231F20"/>
          <w:w w:val="105"/>
          <w:sz w:val="17"/>
        </w:rPr>
        <w:t>XX</w:t>
      </w:r>
      <w:r>
        <w:rPr>
          <w:color w:val="231F20"/>
          <w:w w:val="105"/>
        </w:rPr>
        <w:t>,</w:t>
      </w:r>
      <w:r>
        <w:rPr>
          <w:color w:val="231F20"/>
          <w:spacing w:val="-18"/>
          <w:w w:val="105"/>
        </w:rPr>
        <w:t> </w:t>
      </w:r>
      <w:r>
        <w:rPr>
          <w:color w:val="231F20"/>
          <w:w w:val="105"/>
        </w:rPr>
        <w:t>justo cuando</w:t>
      </w:r>
      <w:r>
        <w:rPr>
          <w:color w:val="231F20"/>
          <w:spacing w:val="-18"/>
          <w:w w:val="105"/>
        </w:rPr>
        <w:t> </w:t>
      </w:r>
      <w:r>
        <w:rPr>
          <w:color w:val="231F20"/>
          <w:w w:val="105"/>
        </w:rPr>
        <w:t>los</w:t>
      </w:r>
      <w:r>
        <w:rPr>
          <w:color w:val="231F20"/>
          <w:spacing w:val="-18"/>
          <w:w w:val="105"/>
        </w:rPr>
        <w:t> </w:t>
      </w:r>
      <w:r>
        <w:rPr>
          <w:color w:val="231F20"/>
          <w:w w:val="105"/>
        </w:rPr>
        <w:t>especialistas</w:t>
      </w:r>
      <w:r>
        <w:rPr>
          <w:color w:val="231F20"/>
          <w:spacing w:val="-18"/>
          <w:w w:val="105"/>
        </w:rPr>
        <w:t> </w:t>
      </w:r>
      <w:r>
        <w:rPr>
          <w:color w:val="231F20"/>
          <w:w w:val="105"/>
        </w:rPr>
        <w:t>dieron</w:t>
      </w:r>
      <w:r>
        <w:rPr>
          <w:color w:val="231F20"/>
          <w:spacing w:val="-18"/>
          <w:w w:val="105"/>
        </w:rPr>
        <w:t> </w:t>
      </w:r>
      <w:r>
        <w:rPr>
          <w:color w:val="231F20"/>
          <w:w w:val="105"/>
        </w:rPr>
        <w:t>cuenta</w:t>
      </w:r>
      <w:r>
        <w:rPr>
          <w:color w:val="231F20"/>
          <w:spacing w:val="-18"/>
          <w:w w:val="105"/>
        </w:rPr>
        <w:t> </w:t>
      </w:r>
      <w:r>
        <w:rPr>
          <w:color w:val="231F20"/>
          <w:w w:val="105"/>
        </w:rPr>
        <w:t>de</w:t>
      </w:r>
      <w:r>
        <w:rPr>
          <w:color w:val="231F20"/>
          <w:spacing w:val="-18"/>
          <w:w w:val="105"/>
        </w:rPr>
        <w:t> </w:t>
      </w:r>
      <w:r>
        <w:rPr>
          <w:color w:val="231F20"/>
          <w:w w:val="105"/>
        </w:rPr>
        <w:t>gran</w:t>
      </w:r>
      <w:r>
        <w:rPr>
          <w:color w:val="231F20"/>
          <w:spacing w:val="-18"/>
          <w:w w:val="105"/>
        </w:rPr>
        <w:t> </w:t>
      </w:r>
      <w:r>
        <w:rPr>
          <w:color w:val="231F20"/>
          <w:w w:val="105"/>
        </w:rPr>
        <w:t>parte</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dimensiones sociales</w:t>
      </w:r>
      <w:r>
        <w:rPr>
          <w:color w:val="231F20"/>
          <w:spacing w:val="-9"/>
          <w:w w:val="105"/>
        </w:rPr>
        <w:t> </w:t>
      </w:r>
      <w:r>
        <w:rPr>
          <w:color w:val="231F20"/>
          <w:w w:val="105"/>
        </w:rPr>
        <w:t>y</w:t>
      </w:r>
      <w:r>
        <w:rPr>
          <w:color w:val="231F20"/>
          <w:spacing w:val="-9"/>
          <w:w w:val="105"/>
        </w:rPr>
        <w:t> </w:t>
      </w:r>
      <w:r>
        <w:rPr>
          <w:color w:val="231F20"/>
          <w:w w:val="105"/>
        </w:rPr>
        <w:t>económicas</w:t>
      </w:r>
      <w:r>
        <w:rPr>
          <w:color w:val="231F20"/>
          <w:spacing w:val="-9"/>
          <w:w w:val="105"/>
        </w:rPr>
        <w:t> </w:t>
      </w:r>
      <w:r>
        <w:rPr>
          <w:color w:val="231F20"/>
          <w:w w:val="105"/>
        </w:rPr>
        <w:t>involucradas</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movilidad</w:t>
      </w:r>
      <w:r>
        <w:rPr>
          <w:color w:val="231F20"/>
          <w:spacing w:val="-9"/>
          <w:w w:val="105"/>
        </w:rPr>
        <w:t> </w:t>
      </w:r>
      <w:r>
        <w:rPr>
          <w:color w:val="231F20"/>
          <w:w w:val="105"/>
        </w:rPr>
        <w:t>poblacional.</w:t>
      </w:r>
      <w:r>
        <w:rPr>
          <w:color w:val="231F20"/>
          <w:spacing w:val="-13"/>
          <w:w w:val="105"/>
        </w:rPr>
        <w:t> </w:t>
      </w:r>
      <w:r>
        <w:rPr>
          <w:color w:val="231F20"/>
          <w:w w:val="105"/>
        </w:rPr>
        <w:t>En</w:t>
      </w:r>
      <w:r>
        <w:rPr>
          <w:color w:val="231F20"/>
          <w:spacing w:val="-9"/>
          <w:w w:val="105"/>
        </w:rPr>
        <w:t> </w:t>
      </w:r>
      <w:r>
        <w:rPr>
          <w:color w:val="231F20"/>
          <w:w w:val="105"/>
        </w:rPr>
        <w:t>tér- minos</w:t>
      </w:r>
      <w:r>
        <w:rPr>
          <w:color w:val="231F20"/>
          <w:spacing w:val="-27"/>
          <w:w w:val="105"/>
        </w:rPr>
        <w:t> </w:t>
      </w:r>
      <w:r>
        <w:rPr>
          <w:color w:val="231F20"/>
          <w:w w:val="105"/>
        </w:rPr>
        <w:t>muy</w:t>
      </w:r>
      <w:r>
        <w:rPr>
          <w:color w:val="231F20"/>
          <w:spacing w:val="-27"/>
          <w:w w:val="105"/>
        </w:rPr>
        <w:t> </w:t>
      </w:r>
      <w:r>
        <w:rPr>
          <w:color w:val="231F20"/>
          <w:w w:val="105"/>
        </w:rPr>
        <w:t>generales,</w:t>
      </w:r>
      <w:r>
        <w:rPr>
          <w:color w:val="231F20"/>
          <w:spacing w:val="-32"/>
          <w:w w:val="105"/>
        </w:rPr>
        <w:t> </w:t>
      </w:r>
      <w:r>
        <w:rPr>
          <w:color w:val="231F20"/>
          <w:w w:val="105"/>
        </w:rPr>
        <w:t>la</w:t>
      </w:r>
      <w:r>
        <w:rPr>
          <w:color w:val="231F20"/>
          <w:spacing w:val="-27"/>
          <w:w w:val="105"/>
        </w:rPr>
        <w:t> </w:t>
      </w:r>
      <w:r>
        <w:rPr>
          <w:color w:val="231F20"/>
          <w:w w:val="105"/>
        </w:rPr>
        <w:t>literatura</w:t>
      </w:r>
      <w:r>
        <w:rPr>
          <w:color w:val="231F20"/>
          <w:spacing w:val="-27"/>
          <w:w w:val="105"/>
        </w:rPr>
        <w:t> </w:t>
      </w:r>
      <w:r>
        <w:rPr>
          <w:color w:val="231F20"/>
          <w:w w:val="105"/>
        </w:rPr>
        <w:t>teórica</w:t>
      </w:r>
      <w:r>
        <w:rPr>
          <w:color w:val="231F20"/>
          <w:spacing w:val="-27"/>
          <w:w w:val="105"/>
        </w:rPr>
        <w:t> </w:t>
      </w:r>
      <w:r>
        <w:rPr>
          <w:color w:val="231F20"/>
          <w:w w:val="105"/>
        </w:rPr>
        <w:t>y</w:t>
      </w:r>
      <w:r>
        <w:rPr>
          <w:color w:val="231F20"/>
          <w:spacing w:val="-27"/>
          <w:w w:val="105"/>
        </w:rPr>
        <w:t> </w:t>
      </w:r>
      <w:r>
        <w:rPr>
          <w:color w:val="231F20"/>
          <w:w w:val="105"/>
        </w:rPr>
        <w:t>empírica</w:t>
      </w:r>
      <w:r>
        <w:rPr>
          <w:color w:val="231F20"/>
          <w:spacing w:val="-27"/>
          <w:w w:val="105"/>
        </w:rPr>
        <w:t> </w:t>
      </w:r>
      <w:r>
        <w:rPr>
          <w:color w:val="231F20"/>
          <w:w w:val="105"/>
        </w:rPr>
        <w:t>comenzó</w:t>
      </w:r>
      <w:r>
        <w:rPr>
          <w:color w:val="231F20"/>
          <w:spacing w:val="-27"/>
          <w:w w:val="105"/>
        </w:rPr>
        <w:t> </w:t>
      </w:r>
      <w:r>
        <w:rPr>
          <w:color w:val="231F20"/>
          <w:w w:val="105"/>
        </w:rPr>
        <w:t>rastreando los vínculos entre la migración y las características sociodemográficas, económicas y productivas en las áreas de origen y de destino. </w:t>
      </w:r>
      <w:r>
        <w:rPr>
          <w:color w:val="231F20"/>
          <w:spacing w:val="-6"/>
          <w:w w:val="105"/>
        </w:rPr>
        <w:t>Por </w:t>
      </w:r>
      <w:r>
        <w:rPr>
          <w:color w:val="231F20"/>
          <w:w w:val="105"/>
        </w:rPr>
        <w:t>otra parte,</w:t>
      </w:r>
      <w:r>
        <w:rPr>
          <w:color w:val="231F20"/>
          <w:spacing w:val="-19"/>
          <w:w w:val="105"/>
        </w:rPr>
        <w:t> </w:t>
      </w:r>
      <w:r>
        <w:rPr>
          <w:color w:val="231F20"/>
          <w:w w:val="105"/>
        </w:rPr>
        <w:t>se</w:t>
      </w:r>
      <w:r>
        <w:rPr>
          <w:color w:val="231F20"/>
          <w:spacing w:val="-14"/>
          <w:w w:val="105"/>
        </w:rPr>
        <w:t> </w:t>
      </w:r>
      <w:r>
        <w:rPr>
          <w:color w:val="231F20"/>
          <w:w w:val="105"/>
        </w:rPr>
        <w:t>buscó</w:t>
      </w:r>
      <w:r>
        <w:rPr>
          <w:color w:val="231F20"/>
          <w:spacing w:val="-14"/>
          <w:w w:val="105"/>
        </w:rPr>
        <w:t> </w:t>
      </w:r>
      <w:r>
        <w:rPr>
          <w:color w:val="231F20"/>
          <w:w w:val="105"/>
        </w:rPr>
        <w:t>la</w:t>
      </w:r>
      <w:r>
        <w:rPr>
          <w:color w:val="231F20"/>
          <w:spacing w:val="-14"/>
          <w:w w:val="105"/>
        </w:rPr>
        <w:t> </w:t>
      </w:r>
      <w:r>
        <w:rPr>
          <w:color w:val="231F20"/>
          <w:w w:val="105"/>
        </w:rPr>
        <w:t>relación</w:t>
      </w:r>
      <w:r>
        <w:rPr>
          <w:color w:val="231F20"/>
          <w:spacing w:val="-14"/>
          <w:w w:val="105"/>
        </w:rPr>
        <w:t> </w:t>
      </w:r>
      <w:r>
        <w:rPr>
          <w:color w:val="231F20"/>
          <w:w w:val="105"/>
        </w:rPr>
        <w:t>entre</w:t>
      </w:r>
      <w:r>
        <w:rPr>
          <w:color w:val="231F20"/>
          <w:spacing w:val="-14"/>
          <w:w w:val="105"/>
        </w:rPr>
        <w:t> </w:t>
      </w:r>
      <w:r>
        <w:rPr>
          <w:color w:val="231F20"/>
          <w:w w:val="105"/>
        </w:rPr>
        <w:t>las</w:t>
      </w:r>
      <w:r>
        <w:rPr>
          <w:color w:val="231F20"/>
          <w:spacing w:val="-14"/>
          <w:w w:val="105"/>
        </w:rPr>
        <w:t> </w:t>
      </w:r>
      <w:r>
        <w:rPr>
          <w:color w:val="231F20"/>
          <w:w w:val="105"/>
        </w:rPr>
        <w:t>lógicas</w:t>
      </w:r>
      <w:r>
        <w:rPr>
          <w:color w:val="231F20"/>
          <w:spacing w:val="-14"/>
          <w:w w:val="105"/>
        </w:rPr>
        <w:t> </w:t>
      </w:r>
      <w:r>
        <w:rPr>
          <w:color w:val="231F20"/>
          <w:w w:val="105"/>
        </w:rPr>
        <w:t>individuales</w:t>
      </w:r>
      <w:r>
        <w:rPr>
          <w:color w:val="231F20"/>
          <w:spacing w:val="-14"/>
          <w:w w:val="105"/>
        </w:rPr>
        <w:t> </w:t>
      </w:r>
      <w:r>
        <w:rPr>
          <w:color w:val="231F20"/>
          <w:w w:val="105"/>
        </w:rPr>
        <w:t>y</w:t>
      </w:r>
      <w:r>
        <w:rPr>
          <w:color w:val="231F20"/>
          <w:spacing w:val="-14"/>
          <w:w w:val="105"/>
        </w:rPr>
        <w:t> </w:t>
      </w:r>
      <w:r>
        <w:rPr>
          <w:color w:val="231F20"/>
          <w:w w:val="105"/>
        </w:rPr>
        <w:t>mesosociales, sobretodo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unidades</w:t>
      </w:r>
      <w:r>
        <w:rPr>
          <w:color w:val="231F20"/>
          <w:spacing w:val="-6"/>
          <w:w w:val="105"/>
        </w:rPr>
        <w:t> </w:t>
      </w:r>
      <w:r>
        <w:rPr>
          <w:color w:val="231F20"/>
          <w:w w:val="105"/>
        </w:rPr>
        <w:t>domésticas,</w:t>
      </w:r>
      <w:r>
        <w:rPr>
          <w:color w:val="231F20"/>
          <w:spacing w:val="-11"/>
          <w:w w:val="105"/>
        </w:rPr>
        <w:t> </w:t>
      </w:r>
      <w:r>
        <w:rPr>
          <w:color w:val="231F20"/>
          <w:w w:val="105"/>
        </w:rPr>
        <w:t>que</w:t>
      </w:r>
      <w:r>
        <w:rPr>
          <w:color w:val="231F20"/>
          <w:spacing w:val="-6"/>
          <w:w w:val="105"/>
        </w:rPr>
        <w:t> </w:t>
      </w:r>
      <w:r>
        <w:rPr>
          <w:color w:val="231F20"/>
          <w:w w:val="105"/>
        </w:rPr>
        <w:t>tomaban</w:t>
      </w:r>
      <w:r>
        <w:rPr>
          <w:color w:val="231F20"/>
          <w:spacing w:val="-6"/>
          <w:w w:val="105"/>
        </w:rPr>
        <w:t> </w:t>
      </w:r>
      <w:r>
        <w:rPr>
          <w:color w:val="231F20"/>
          <w:w w:val="105"/>
        </w:rPr>
        <w:t>las</w:t>
      </w:r>
      <w:r>
        <w:rPr>
          <w:color w:val="231F20"/>
          <w:spacing w:val="-6"/>
          <w:w w:val="105"/>
        </w:rPr>
        <w:t> </w:t>
      </w:r>
      <w:r>
        <w:rPr>
          <w:color w:val="231F20"/>
          <w:w w:val="105"/>
        </w:rPr>
        <w:t>decisiones</w:t>
      </w:r>
      <w:r>
        <w:rPr>
          <w:color w:val="231F20"/>
          <w:spacing w:val="-6"/>
          <w:w w:val="105"/>
        </w:rPr>
        <w:t> </w:t>
      </w:r>
      <w:r>
        <w:rPr>
          <w:color w:val="231F20"/>
          <w:w w:val="105"/>
        </w:rPr>
        <w:t>mi- </w:t>
      </w:r>
      <w:r>
        <w:rPr>
          <w:color w:val="231F20"/>
          <w:spacing w:val="-4"/>
          <w:w w:val="105"/>
        </w:rPr>
        <w:t>gratorias</w:t>
      </w:r>
      <w:r>
        <w:rPr>
          <w:color w:val="231F20"/>
          <w:spacing w:val="-25"/>
          <w:w w:val="105"/>
        </w:rPr>
        <w:t> </w:t>
      </w:r>
      <w:r>
        <w:rPr>
          <w:color w:val="231F20"/>
          <w:w w:val="105"/>
        </w:rPr>
        <w:t>y</w:t>
      </w:r>
      <w:r>
        <w:rPr>
          <w:color w:val="231F20"/>
          <w:spacing w:val="-25"/>
          <w:w w:val="105"/>
        </w:rPr>
        <w:t> </w:t>
      </w:r>
      <w:r>
        <w:rPr>
          <w:color w:val="231F20"/>
          <w:spacing w:val="-3"/>
          <w:w w:val="105"/>
        </w:rPr>
        <w:t>valoraban</w:t>
      </w:r>
      <w:r>
        <w:rPr>
          <w:color w:val="231F20"/>
          <w:spacing w:val="-25"/>
          <w:w w:val="105"/>
        </w:rPr>
        <w:t> </w:t>
      </w:r>
      <w:r>
        <w:rPr>
          <w:color w:val="231F20"/>
          <w:w w:val="105"/>
        </w:rPr>
        <w:t>los</w:t>
      </w:r>
      <w:r>
        <w:rPr>
          <w:color w:val="231F20"/>
          <w:spacing w:val="-25"/>
          <w:w w:val="105"/>
        </w:rPr>
        <w:t> </w:t>
      </w:r>
      <w:r>
        <w:rPr>
          <w:color w:val="231F20"/>
          <w:spacing w:val="-3"/>
          <w:w w:val="105"/>
        </w:rPr>
        <w:t>costos</w:t>
      </w:r>
      <w:r>
        <w:rPr>
          <w:color w:val="231F20"/>
          <w:spacing w:val="-25"/>
          <w:w w:val="105"/>
        </w:rPr>
        <w:t> </w:t>
      </w:r>
      <w:r>
        <w:rPr>
          <w:color w:val="231F20"/>
          <w:w w:val="105"/>
        </w:rPr>
        <w:t>y</w:t>
      </w:r>
      <w:r>
        <w:rPr>
          <w:color w:val="231F20"/>
          <w:spacing w:val="-25"/>
          <w:w w:val="105"/>
        </w:rPr>
        <w:t> </w:t>
      </w:r>
      <w:r>
        <w:rPr>
          <w:color w:val="231F20"/>
          <w:spacing w:val="-3"/>
          <w:w w:val="105"/>
        </w:rPr>
        <w:t>beneficios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3"/>
          <w:w w:val="105"/>
        </w:rPr>
        <w:t>movilidad</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3"/>
          <w:w w:val="105"/>
        </w:rPr>
        <w:t>fuerza</w:t>
      </w:r>
      <w:r>
        <w:rPr>
          <w:color w:val="231F20"/>
          <w:spacing w:val="-24"/>
          <w:w w:val="105"/>
        </w:rPr>
        <w:t> </w:t>
      </w:r>
      <w:r>
        <w:rPr>
          <w:color w:val="231F20"/>
          <w:w w:val="105"/>
        </w:rPr>
        <w:t>de trabajo familiar en el mercado local, regional o internacional. La migra- ción</w:t>
      </w:r>
      <w:r>
        <w:rPr>
          <w:color w:val="231F20"/>
          <w:spacing w:val="-21"/>
          <w:w w:val="105"/>
        </w:rPr>
        <w:t> </w:t>
      </w:r>
      <w:r>
        <w:rPr>
          <w:color w:val="231F20"/>
          <w:w w:val="105"/>
        </w:rPr>
        <w:t>también</w:t>
      </w:r>
      <w:r>
        <w:rPr>
          <w:color w:val="231F20"/>
          <w:spacing w:val="-21"/>
          <w:w w:val="105"/>
        </w:rPr>
        <w:t> </w:t>
      </w:r>
      <w:r>
        <w:rPr>
          <w:color w:val="231F20"/>
          <w:w w:val="105"/>
        </w:rPr>
        <w:t>fue</w:t>
      </w:r>
      <w:r>
        <w:rPr>
          <w:color w:val="231F20"/>
          <w:spacing w:val="-21"/>
          <w:w w:val="105"/>
        </w:rPr>
        <w:t> </w:t>
      </w:r>
      <w:r>
        <w:rPr>
          <w:color w:val="231F20"/>
          <w:w w:val="105"/>
        </w:rPr>
        <w:t>estudiada</w:t>
      </w:r>
      <w:r>
        <w:rPr>
          <w:color w:val="231F20"/>
          <w:spacing w:val="-21"/>
          <w:w w:val="105"/>
        </w:rPr>
        <w:t> </w:t>
      </w:r>
      <w:r>
        <w:rPr>
          <w:color w:val="231F20"/>
          <w:w w:val="105"/>
        </w:rPr>
        <w:t>a</w:t>
      </w:r>
      <w:r>
        <w:rPr>
          <w:color w:val="231F20"/>
          <w:spacing w:val="-21"/>
          <w:w w:val="105"/>
        </w:rPr>
        <w:t> </w:t>
      </w:r>
      <w:r>
        <w:rPr>
          <w:color w:val="231F20"/>
          <w:w w:val="105"/>
        </w:rPr>
        <w:t>partir</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centralidad</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redes</w:t>
      </w:r>
      <w:r>
        <w:rPr>
          <w:color w:val="231F20"/>
          <w:spacing w:val="-21"/>
          <w:w w:val="105"/>
        </w:rPr>
        <w:t> </w:t>
      </w:r>
      <w:r>
        <w:rPr>
          <w:color w:val="231F20"/>
          <w:w w:val="105"/>
        </w:rPr>
        <w:t>sociales en</w:t>
      </w:r>
      <w:r>
        <w:rPr>
          <w:color w:val="231F20"/>
          <w:spacing w:val="-18"/>
          <w:w w:val="105"/>
        </w:rPr>
        <w:t> </w:t>
      </w:r>
      <w:r>
        <w:rPr>
          <w:color w:val="231F20"/>
          <w:w w:val="105"/>
        </w:rPr>
        <w:t>el</w:t>
      </w:r>
      <w:r>
        <w:rPr>
          <w:color w:val="231F20"/>
          <w:spacing w:val="23"/>
          <w:w w:val="105"/>
        </w:rPr>
        <w:t> </w:t>
      </w:r>
      <w:r>
        <w:rPr>
          <w:color w:val="231F20"/>
          <w:w w:val="105"/>
        </w:rPr>
        <w:t>flujos</w:t>
      </w:r>
      <w:r>
        <w:rPr>
          <w:color w:val="231F20"/>
          <w:spacing w:val="-18"/>
          <w:w w:val="105"/>
        </w:rPr>
        <w:t> </w:t>
      </w:r>
      <w:r>
        <w:rPr>
          <w:color w:val="231F20"/>
          <w:w w:val="105"/>
        </w:rPr>
        <w:t>migratorios</w:t>
      </w:r>
      <w:r>
        <w:rPr>
          <w:color w:val="231F20"/>
          <w:spacing w:val="-18"/>
          <w:w w:val="105"/>
        </w:rPr>
        <w:t> </w:t>
      </w:r>
      <w:r>
        <w:rPr>
          <w:color w:val="231F20"/>
          <w:w w:val="105"/>
        </w:rPr>
        <w:t>(Martínez,</w:t>
      </w:r>
      <w:r>
        <w:rPr>
          <w:color w:val="231F20"/>
          <w:spacing w:val="-23"/>
          <w:w w:val="105"/>
        </w:rPr>
        <w:t> </w:t>
      </w:r>
      <w:r>
        <w:rPr>
          <w:color w:val="231F20"/>
          <w:w w:val="105"/>
        </w:rPr>
        <w:t>2014).</w:t>
      </w:r>
    </w:p>
    <w:p>
      <w:pPr>
        <w:pStyle w:val="BodyText"/>
        <w:spacing w:line="261" w:lineRule="auto" w:before="1"/>
        <w:ind w:left="1837" w:right="1722" w:firstLine="567"/>
        <w:jc w:val="both"/>
      </w:pPr>
      <w:r>
        <w:rPr/>
        <w:pict>
          <v:line style="position:absolute;mso-position-horizontal-relative:page;mso-position-vertical-relative:paragraph;z-index:-481384" from="15pt,111.343887pt" to="0pt,111.343887pt" stroked="true" strokeweight=".25pt" strokecolor="#000000">
            <w10:wrap type="none"/>
          </v:line>
        </w:pict>
      </w:r>
      <w:r>
        <w:rPr/>
        <w:pict>
          <v:line style="position:absolute;mso-position-horizontal-relative:page;mso-position-vertical-relative:paragraph;z-index:8824" from="508.890015pt,111.343887pt" to="523.890015pt,111.343887pt" stroked="true" strokeweight=".25pt" strokecolor="#000000">
            <w10:wrap type="none"/>
          </v:line>
        </w:pict>
      </w:r>
      <w:r>
        <w:rPr>
          <w:color w:val="231F20"/>
          <w:w w:val="105"/>
        </w:rPr>
        <w:t>A</w:t>
      </w:r>
      <w:r>
        <w:rPr>
          <w:color w:val="231F20"/>
          <w:spacing w:val="-17"/>
          <w:w w:val="105"/>
        </w:rPr>
        <w:t> </w:t>
      </w:r>
      <w:r>
        <w:rPr>
          <w:color w:val="231F20"/>
          <w:w w:val="105"/>
        </w:rPr>
        <w:t>partir</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décadas</w:t>
      </w:r>
      <w:r>
        <w:rPr>
          <w:color w:val="231F20"/>
          <w:spacing w:val="-14"/>
          <w:w w:val="105"/>
        </w:rPr>
        <w:t> </w:t>
      </w:r>
      <w:r>
        <w:rPr>
          <w:color w:val="231F20"/>
          <w:w w:val="105"/>
        </w:rPr>
        <w:t>conocidas</w:t>
      </w:r>
      <w:r>
        <w:rPr>
          <w:color w:val="231F20"/>
          <w:spacing w:val="-14"/>
          <w:w w:val="105"/>
        </w:rPr>
        <w:t> </w:t>
      </w:r>
      <w:r>
        <w:rPr>
          <w:color w:val="231F20"/>
          <w:w w:val="105"/>
        </w:rPr>
        <w:t>como</w:t>
      </w:r>
      <w:r>
        <w:rPr>
          <w:color w:val="231F20"/>
          <w:spacing w:val="-14"/>
          <w:w w:val="105"/>
        </w:rPr>
        <w:t> </w:t>
      </w:r>
      <w:r>
        <w:rPr>
          <w:color w:val="231F20"/>
          <w:w w:val="105"/>
        </w:rPr>
        <w:t>de</w:t>
      </w:r>
      <w:r>
        <w:rPr>
          <w:color w:val="231F20"/>
          <w:spacing w:val="-14"/>
          <w:w w:val="105"/>
        </w:rPr>
        <w:t> </w:t>
      </w:r>
      <w:r>
        <w:rPr>
          <w:color w:val="231F20"/>
          <w:w w:val="105"/>
        </w:rPr>
        <w:t>corte</w:t>
      </w:r>
      <w:r>
        <w:rPr>
          <w:color w:val="231F20"/>
          <w:spacing w:val="-14"/>
          <w:w w:val="105"/>
        </w:rPr>
        <w:t> </w:t>
      </w:r>
      <w:r>
        <w:rPr>
          <w:color w:val="231F20"/>
          <w:w w:val="105"/>
        </w:rPr>
        <w:t>neoliberal,</w:t>
      </w:r>
      <w:r>
        <w:rPr>
          <w:color w:val="231F20"/>
          <w:spacing w:val="-20"/>
          <w:w w:val="105"/>
        </w:rPr>
        <w:t> </w:t>
      </w:r>
      <w:r>
        <w:rPr>
          <w:color w:val="231F20"/>
          <w:w w:val="105"/>
        </w:rPr>
        <w:t>es</w:t>
      </w:r>
      <w:r>
        <w:rPr>
          <w:color w:val="231F20"/>
          <w:spacing w:val="-14"/>
          <w:w w:val="105"/>
        </w:rPr>
        <w:t> </w:t>
      </w:r>
      <w:r>
        <w:rPr>
          <w:color w:val="231F20"/>
          <w:w w:val="105"/>
        </w:rPr>
        <w:t>de- cir</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años</w:t>
      </w:r>
      <w:r>
        <w:rPr>
          <w:color w:val="231F20"/>
          <w:spacing w:val="-16"/>
          <w:w w:val="105"/>
        </w:rPr>
        <w:t> </w:t>
      </w:r>
      <w:r>
        <w:rPr>
          <w:color w:val="231F20"/>
          <w:w w:val="105"/>
        </w:rPr>
        <w:t>1970</w:t>
      </w:r>
      <w:r>
        <w:rPr>
          <w:color w:val="231F20"/>
          <w:spacing w:val="-16"/>
          <w:w w:val="105"/>
        </w:rPr>
        <w:t> </w:t>
      </w:r>
      <w:r>
        <w:rPr>
          <w:color w:val="231F20"/>
          <w:w w:val="105"/>
        </w:rPr>
        <w:t>y</w:t>
      </w:r>
      <w:r>
        <w:rPr>
          <w:color w:val="231F20"/>
          <w:spacing w:val="-16"/>
          <w:w w:val="105"/>
        </w:rPr>
        <w:t> </w:t>
      </w:r>
      <w:r>
        <w:rPr>
          <w:color w:val="231F20"/>
          <w:w w:val="105"/>
        </w:rPr>
        <w:t>1980,</w:t>
      </w:r>
      <w:r>
        <w:rPr>
          <w:color w:val="231F20"/>
          <w:spacing w:val="-22"/>
          <w:w w:val="105"/>
        </w:rPr>
        <w:t> </w:t>
      </w:r>
      <w:r>
        <w:rPr>
          <w:color w:val="231F20"/>
          <w:w w:val="105"/>
        </w:rPr>
        <w:t>la</w:t>
      </w:r>
      <w:r>
        <w:rPr>
          <w:color w:val="231F20"/>
          <w:spacing w:val="-16"/>
          <w:w w:val="105"/>
        </w:rPr>
        <w:t> </w:t>
      </w:r>
      <w:r>
        <w:rPr>
          <w:color w:val="231F20"/>
          <w:w w:val="105"/>
        </w:rPr>
        <w:t>literatura</w:t>
      </w:r>
      <w:r>
        <w:rPr>
          <w:color w:val="231F20"/>
          <w:spacing w:val="-16"/>
          <w:w w:val="105"/>
        </w:rPr>
        <w:t> </w:t>
      </w:r>
      <w:r>
        <w:rPr>
          <w:color w:val="231F20"/>
          <w:w w:val="105"/>
        </w:rPr>
        <w:t>sobre</w:t>
      </w:r>
      <w:r>
        <w:rPr>
          <w:color w:val="231F20"/>
          <w:spacing w:val="-16"/>
          <w:w w:val="105"/>
        </w:rPr>
        <w:t> </w:t>
      </w:r>
      <w:r>
        <w:rPr>
          <w:color w:val="231F20"/>
          <w:w w:val="105"/>
        </w:rPr>
        <w:t>la</w:t>
      </w:r>
      <w:r>
        <w:rPr>
          <w:color w:val="231F20"/>
          <w:spacing w:val="-16"/>
          <w:w w:val="105"/>
        </w:rPr>
        <w:t> </w:t>
      </w:r>
      <w:r>
        <w:rPr>
          <w:color w:val="231F20"/>
          <w:w w:val="105"/>
        </w:rPr>
        <w:t>migración</w:t>
      </w:r>
      <w:r>
        <w:rPr>
          <w:color w:val="231F20"/>
          <w:spacing w:val="-16"/>
          <w:w w:val="105"/>
        </w:rPr>
        <w:t> </w:t>
      </w:r>
      <w:r>
        <w:rPr>
          <w:color w:val="231F20"/>
          <w:w w:val="105"/>
        </w:rPr>
        <w:t>dio</w:t>
      </w:r>
      <w:r>
        <w:rPr>
          <w:color w:val="231F20"/>
          <w:spacing w:val="-16"/>
          <w:w w:val="105"/>
        </w:rPr>
        <w:t> </w:t>
      </w:r>
      <w:r>
        <w:rPr>
          <w:color w:val="231F20"/>
          <w:w w:val="105"/>
        </w:rPr>
        <w:t>cuenta</w:t>
      </w:r>
      <w:r>
        <w:rPr>
          <w:color w:val="231F20"/>
          <w:spacing w:val="-16"/>
          <w:w w:val="105"/>
        </w:rPr>
        <w:t> </w:t>
      </w:r>
      <w:r>
        <w:rPr>
          <w:color w:val="231F20"/>
          <w:w w:val="105"/>
        </w:rPr>
        <w:t>de nuevos</w:t>
      </w:r>
      <w:r>
        <w:rPr>
          <w:color w:val="231F20"/>
          <w:spacing w:val="-19"/>
          <w:w w:val="105"/>
        </w:rPr>
        <w:t> </w:t>
      </w:r>
      <w:r>
        <w:rPr>
          <w:color w:val="231F20"/>
          <w:w w:val="105"/>
        </w:rPr>
        <w:t>actores</w:t>
      </w:r>
      <w:r>
        <w:rPr>
          <w:color w:val="231F20"/>
          <w:spacing w:val="-19"/>
          <w:w w:val="105"/>
        </w:rPr>
        <w:t> </w:t>
      </w:r>
      <w:r>
        <w:rPr>
          <w:color w:val="231F20"/>
          <w:w w:val="105"/>
        </w:rPr>
        <w:t>involucrados.</w:t>
      </w:r>
      <w:r>
        <w:rPr>
          <w:color w:val="231F20"/>
          <w:spacing w:val="-24"/>
          <w:w w:val="105"/>
        </w:rPr>
        <w:t> </w:t>
      </w:r>
      <w:r>
        <w:rPr>
          <w:color w:val="231F20"/>
          <w:w w:val="105"/>
        </w:rPr>
        <w:t>Un</w:t>
      </w:r>
      <w:r>
        <w:rPr>
          <w:color w:val="231F20"/>
          <w:spacing w:val="-19"/>
          <w:w w:val="105"/>
        </w:rPr>
        <w:t> </w:t>
      </w:r>
      <w:r>
        <w:rPr>
          <w:color w:val="231F20"/>
          <w:w w:val="105"/>
        </w:rPr>
        <w:t>ejemplo</w:t>
      </w:r>
      <w:r>
        <w:rPr>
          <w:color w:val="231F20"/>
          <w:spacing w:val="-19"/>
          <w:w w:val="105"/>
        </w:rPr>
        <w:t> </w:t>
      </w:r>
      <w:r>
        <w:rPr>
          <w:color w:val="231F20"/>
          <w:w w:val="105"/>
        </w:rPr>
        <w:t>fue</w:t>
      </w:r>
      <w:r>
        <w:rPr>
          <w:color w:val="231F20"/>
          <w:spacing w:val="-19"/>
          <w:w w:val="105"/>
        </w:rPr>
        <w:t> </w:t>
      </w:r>
      <w:r>
        <w:rPr>
          <w:color w:val="231F20"/>
          <w:w w:val="105"/>
        </w:rPr>
        <w:t>la</w:t>
      </w:r>
      <w:r>
        <w:rPr>
          <w:color w:val="231F20"/>
          <w:spacing w:val="-19"/>
          <w:w w:val="105"/>
        </w:rPr>
        <w:t> </w:t>
      </w:r>
      <w:r>
        <w:rPr>
          <w:color w:val="231F20"/>
          <w:w w:val="105"/>
        </w:rPr>
        <w:t>notoria</w:t>
      </w:r>
      <w:r>
        <w:rPr>
          <w:color w:val="231F20"/>
          <w:spacing w:val="-19"/>
          <w:w w:val="105"/>
        </w:rPr>
        <w:t> </w:t>
      </w:r>
      <w:r>
        <w:rPr>
          <w:color w:val="231F20"/>
          <w:w w:val="105"/>
        </w:rPr>
        <w:t>visibilidad</w:t>
      </w:r>
      <w:r>
        <w:rPr>
          <w:color w:val="231F20"/>
          <w:spacing w:val="-19"/>
          <w:w w:val="105"/>
        </w:rPr>
        <w:t> </w:t>
      </w:r>
      <w:r>
        <w:rPr>
          <w:color w:val="231F20"/>
          <w:w w:val="105"/>
        </w:rPr>
        <w:t>que</w:t>
      </w:r>
      <w:r>
        <w:rPr>
          <w:color w:val="231F20"/>
          <w:spacing w:val="-19"/>
          <w:w w:val="105"/>
        </w:rPr>
        <w:t> </w:t>
      </w:r>
      <w:r>
        <w:rPr>
          <w:color w:val="231F20"/>
          <w:w w:val="105"/>
        </w:rPr>
        <w:t>se</w:t>
      </w:r>
    </w:p>
    <w:p>
      <w:pPr>
        <w:spacing w:after="0" w:line="261" w:lineRule="auto"/>
        <w:jc w:val="both"/>
        <w:sectPr>
          <w:headerReference w:type="default" r:id="rId87"/>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683"/>
      </w:pPr>
      <w:r>
        <w:rPr/>
        <w:pict>
          <v:line style="position:absolute;mso-position-horizontal-relative:page;mso-position-vertical-relative:paragraph;z-index:8872" from="15pt,-71.68644pt" to="0pt,-71.68644pt" stroked="true" strokeweight=".25pt" strokecolor="#000000">
            <w10:wrap type="none"/>
          </v:line>
        </w:pict>
      </w:r>
      <w:r>
        <w:rPr/>
        <w:pict>
          <v:line style="position:absolute;mso-position-horizontal-relative:page;mso-position-vertical-relative:paragraph;z-index:8896" from="508.890015pt,-71.68644pt" to="523.890015pt,-71.68644pt" stroked="true" strokeweight=".25pt" strokecolor="#000000">
            <w10:wrap type="none"/>
          </v:line>
        </w:pict>
      </w:r>
      <w:r>
        <w:rPr>
          <w:color w:val="231F20"/>
          <w:w w:val="105"/>
        </w:rPr>
        <w:t>dio a la migración femenina, con lo cual se incorporó la perspectiva de género en la forma de analizar la movilidad de la población.</w:t>
      </w:r>
    </w:p>
    <w:p>
      <w:pPr>
        <w:pStyle w:val="BodyText"/>
        <w:spacing w:line="261" w:lineRule="auto" w:before="1"/>
        <w:ind w:left="1723" w:right="1828" w:firstLine="567"/>
        <w:jc w:val="both"/>
      </w:pPr>
      <w:r>
        <w:rPr>
          <w:color w:val="231F20"/>
          <w:w w:val="105"/>
        </w:rPr>
        <w:t>La</w:t>
      </w:r>
      <w:r>
        <w:rPr>
          <w:color w:val="231F20"/>
          <w:spacing w:val="-12"/>
          <w:w w:val="105"/>
        </w:rPr>
        <w:t> </w:t>
      </w:r>
      <w:r>
        <w:rPr>
          <w:color w:val="231F20"/>
          <w:w w:val="105"/>
        </w:rPr>
        <w:t>presencia</w:t>
      </w:r>
      <w:r>
        <w:rPr>
          <w:color w:val="231F20"/>
          <w:spacing w:val="-12"/>
          <w:w w:val="105"/>
        </w:rPr>
        <w:t> </w:t>
      </w:r>
      <w:r>
        <w:rPr>
          <w:color w:val="231F20"/>
          <w:w w:val="105"/>
        </w:rPr>
        <w:t>de</w:t>
      </w:r>
      <w:r>
        <w:rPr>
          <w:color w:val="231F20"/>
          <w:spacing w:val="-12"/>
          <w:w w:val="105"/>
        </w:rPr>
        <w:t> </w:t>
      </w:r>
      <w:r>
        <w:rPr>
          <w:color w:val="231F20"/>
          <w:w w:val="105"/>
        </w:rPr>
        <w:t>niños,</w:t>
      </w:r>
      <w:r>
        <w:rPr>
          <w:color w:val="231F20"/>
          <w:spacing w:val="-16"/>
          <w:w w:val="105"/>
        </w:rPr>
        <w:t> </w:t>
      </w:r>
      <w:r>
        <w:rPr>
          <w:color w:val="231F20"/>
          <w:w w:val="105"/>
        </w:rPr>
        <w:t>niñas</w:t>
      </w:r>
      <w:r>
        <w:rPr>
          <w:color w:val="231F20"/>
          <w:spacing w:val="-12"/>
          <w:w w:val="105"/>
        </w:rPr>
        <w:t> </w:t>
      </w:r>
      <w:r>
        <w:rPr>
          <w:color w:val="231F20"/>
          <w:w w:val="105"/>
        </w:rPr>
        <w:t>y</w:t>
      </w:r>
      <w:r>
        <w:rPr>
          <w:color w:val="231F20"/>
          <w:spacing w:val="-12"/>
          <w:w w:val="105"/>
        </w:rPr>
        <w:t> </w:t>
      </w:r>
      <w:r>
        <w:rPr>
          <w:color w:val="231F20"/>
          <w:w w:val="105"/>
        </w:rPr>
        <w:t>adolescentes</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estudios</w:t>
      </w:r>
      <w:r>
        <w:rPr>
          <w:color w:val="231F20"/>
          <w:spacing w:val="-12"/>
          <w:w w:val="105"/>
        </w:rPr>
        <w:t> </w:t>
      </w:r>
      <w:r>
        <w:rPr>
          <w:color w:val="231F20"/>
          <w:w w:val="105"/>
        </w:rPr>
        <w:t>sobre migración,</w:t>
      </w:r>
      <w:r>
        <w:rPr>
          <w:color w:val="231F20"/>
          <w:spacing w:val="-21"/>
          <w:w w:val="105"/>
        </w:rPr>
        <w:t> </w:t>
      </w:r>
      <w:r>
        <w:rPr>
          <w:color w:val="231F20"/>
          <w:w w:val="105"/>
        </w:rPr>
        <w:t>tanto</w:t>
      </w:r>
      <w:r>
        <w:rPr>
          <w:color w:val="231F20"/>
          <w:spacing w:val="-16"/>
          <w:w w:val="105"/>
        </w:rPr>
        <w:t> </w:t>
      </w:r>
      <w:r>
        <w:rPr>
          <w:color w:val="231F20"/>
          <w:w w:val="105"/>
        </w:rPr>
        <w:t>regional</w:t>
      </w:r>
      <w:r>
        <w:rPr>
          <w:color w:val="231F20"/>
          <w:spacing w:val="-16"/>
          <w:w w:val="105"/>
        </w:rPr>
        <w:t> </w:t>
      </w:r>
      <w:r>
        <w:rPr>
          <w:color w:val="231F20"/>
          <w:w w:val="105"/>
        </w:rPr>
        <w:t>como</w:t>
      </w:r>
      <w:r>
        <w:rPr>
          <w:color w:val="231F20"/>
          <w:spacing w:val="-16"/>
          <w:w w:val="105"/>
        </w:rPr>
        <w:t> </w:t>
      </w:r>
      <w:r>
        <w:rPr>
          <w:color w:val="231F20"/>
          <w:w w:val="105"/>
        </w:rPr>
        <w:t>internacional,</w:t>
      </w:r>
      <w:r>
        <w:rPr>
          <w:color w:val="231F20"/>
          <w:spacing w:val="-21"/>
          <w:w w:val="105"/>
        </w:rPr>
        <w:t> </w:t>
      </w:r>
      <w:r>
        <w:rPr>
          <w:color w:val="231F20"/>
          <w:w w:val="105"/>
        </w:rPr>
        <w:t>se</w:t>
      </w:r>
      <w:r>
        <w:rPr>
          <w:color w:val="231F20"/>
          <w:spacing w:val="-16"/>
          <w:w w:val="105"/>
        </w:rPr>
        <w:t> </w:t>
      </w:r>
      <w:r>
        <w:rPr>
          <w:color w:val="231F20"/>
          <w:w w:val="105"/>
        </w:rPr>
        <w:t>ha</w:t>
      </w:r>
      <w:r>
        <w:rPr>
          <w:color w:val="231F20"/>
          <w:spacing w:val="-16"/>
          <w:w w:val="105"/>
        </w:rPr>
        <w:t> </w:t>
      </w:r>
      <w:r>
        <w:rPr>
          <w:color w:val="231F20"/>
          <w:w w:val="105"/>
        </w:rPr>
        <w:t>dado</w:t>
      </w:r>
      <w:r>
        <w:rPr>
          <w:color w:val="231F20"/>
          <w:spacing w:val="-16"/>
          <w:w w:val="105"/>
        </w:rPr>
        <w:t> </w:t>
      </w:r>
      <w:r>
        <w:rPr>
          <w:color w:val="231F20"/>
          <w:w w:val="105"/>
        </w:rPr>
        <w:t>recientemente. La</w:t>
      </w:r>
      <w:r>
        <w:rPr>
          <w:color w:val="231F20"/>
          <w:spacing w:val="-21"/>
          <w:w w:val="105"/>
        </w:rPr>
        <w:t> </w:t>
      </w:r>
      <w:r>
        <w:rPr>
          <w:color w:val="231F20"/>
          <w:w w:val="105"/>
        </w:rPr>
        <w:t>presencia</w:t>
      </w:r>
      <w:r>
        <w:rPr>
          <w:color w:val="231F20"/>
          <w:spacing w:val="-21"/>
          <w:w w:val="105"/>
        </w:rPr>
        <w:t> </w:t>
      </w:r>
      <w:r>
        <w:rPr>
          <w:color w:val="231F20"/>
          <w:w w:val="105"/>
        </w:rPr>
        <w:t>de</w:t>
      </w:r>
      <w:r>
        <w:rPr>
          <w:color w:val="231F20"/>
          <w:spacing w:val="-21"/>
          <w:w w:val="105"/>
        </w:rPr>
        <w:t> </w:t>
      </w:r>
      <w:r>
        <w:rPr>
          <w:color w:val="231F20"/>
          <w:w w:val="105"/>
        </w:rPr>
        <w:t>niños,</w:t>
      </w:r>
      <w:r>
        <w:rPr>
          <w:color w:val="231F20"/>
          <w:spacing w:val="-25"/>
          <w:w w:val="105"/>
        </w:rPr>
        <w:t> </w:t>
      </w:r>
      <w:r>
        <w:rPr>
          <w:color w:val="231F20"/>
          <w:w w:val="105"/>
        </w:rPr>
        <w:t>niñas</w:t>
      </w:r>
      <w:r>
        <w:rPr>
          <w:color w:val="231F20"/>
          <w:spacing w:val="-21"/>
          <w:w w:val="105"/>
        </w:rPr>
        <w:t> </w:t>
      </w:r>
      <w:r>
        <w:rPr>
          <w:color w:val="231F20"/>
          <w:w w:val="105"/>
        </w:rPr>
        <w:t>y</w:t>
      </w:r>
      <w:r>
        <w:rPr>
          <w:color w:val="231F20"/>
          <w:spacing w:val="-21"/>
          <w:w w:val="105"/>
        </w:rPr>
        <w:t> </w:t>
      </w:r>
      <w:r>
        <w:rPr>
          <w:color w:val="231F20"/>
          <w:w w:val="105"/>
        </w:rPr>
        <w:t>adolescentes</w:t>
      </w:r>
      <w:r>
        <w:rPr>
          <w:color w:val="231F20"/>
          <w:spacing w:val="-21"/>
          <w:w w:val="105"/>
        </w:rPr>
        <w:t> </w:t>
      </w:r>
      <w:r>
        <w:rPr>
          <w:color w:val="231F20"/>
          <w:w w:val="105"/>
        </w:rPr>
        <w:t>migrantes</w:t>
      </w:r>
      <w:r>
        <w:rPr>
          <w:color w:val="231F20"/>
          <w:spacing w:val="-21"/>
          <w:w w:val="105"/>
        </w:rPr>
        <w:t> </w:t>
      </w:r>
      <w:r>
        <w:rPr>
          <w:color w:val="231F20"/>
          <w:w w:val="105"/>
        </w:rPr>
        <w:t>no</w:t>
      </w:r>
      <w:r>
        <w:rPr>
          <w:color w:val="231F20"/>
          <w:spacing w:val="-21"/>
          <w:w w:val="105"/>
        </w:rPr>
        <w:t> </w:t>
      </w:r>
      <w:r>
        <w:rPr>
          <w:color w:val="231F20"/>
          <w:w w:val="105"/>
        </w:rPr>
        <w:t>acompañados es</w:t>
      </w:r>
      <w:r>
        <w:rPr>
          <w:color w:val="231F20"/>
          <w:spacing w:val="-9"/>
          <w:w w:val="105"/>
        </w:rPr>
        <w:t> </w:t>
      </w:r>
      <w:r>
        <w:rPr>
          <w:color w:val="231F20"/>
          <w:w w:val="105"/>
        </w:rPr>
        <w:t>uno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retos</w:t>
      </w:r>
      <w:r>
        <w:rPr>
          <w:color w:val="231F20"/>
          <w:spacing w:val="-9"/>
          <w:w w:val="105"/>
        </w:rPr>
        <w:t> </w:t>
      </w:r>
      <w:r>
        <w:rPr>
          <w:color w:val="231F20"/>
          <w:w w:val="105"/>
        </w:rPr>
        <w:t>más</w:t>
      </w:r>
      <w:r>
        <w:rPr>
          <w:color w:val="231F20"/>
          <w:spacing w:val="-9"/>
          <w:w w:val="105"/>
        </w:rPr>
        <w:t> </w:t>
      </w:r>
      <w:r>
        <w:rPr>
          <w:color w:val="231F20"/>
          <w:w w:val="105"/>
        </w:rPr>
        <w:t>profundos</w:t>
      </w:r>
      <w:r>
        <w:rPr>
          <w:color w:val="231F20"/>
          <w:spacing w:val="-9"/>
          <w:w w:val="105"/>
        </w:rPr>
        <w:t> </w:t>
      </w:r>
      <w:r>
        <w:rPr>
          <w:color w:val="231F20"/>
          <w:w w:val="105"/>
        </w:rPr>
        <w:t>que</w:t>
      </w:r>
      <w:r>
        <w:rPr>
          <w:color w:val="231F20"/>
          <w:spacing w:val="-9"/>
          <w:w w:val="105"/>
        </w:rPr>
        <w:t> </w:t>
      </w:r>
      <w:r>
        <w:rPr>
          <w:color w:val="231F20"/>
          <w:w w:val="105"/>
        </w:rPr>
        <w:t>ha</w:t>
      </w:r>
      <w:r>
        <w:rPr>
          <w:color w:val="231F20"/>
          <w:spacing w:val="-9"/>
          <w:w w:val="105"/>
        </w:rPr>
        <w:t> </w:t>
      </w:r>
      <w:r>
        <w:rPr>
          <w:color w:val="231F20"/>
          <w:w w:val="105"/>
        </w:rPr>
        <w:t>enfrentado</w:t>
      </w:r>
      <w:r>
        <w:rPr>
          <w:color w:val="231F20"/>
          <w:spacing w:val="-9"/>
          <w:w w:val="105"/>
        </w:rPr>
        <w:t> </w:t>
      </w:r>
      <w:r>
        <w:rPr>
          <w:color w:val="231F20"/>
          <w:w w:val="105"/>
        </w:rPr>
        <w:t>el</w:t>
      </w:r>
      <w:r>
        <w:rPr>
          <w:color w:val="231F20"/>
          <w:spacing w:val="-9"/>
          <w:w w:val="105"/>
        </w:rPr>
        <w:t> </w:t>
      </w:r>
      <w:r>
        <w:rPr>
          <w:color w:val="231F20"/>
          <w:w w:val="105"/>
        </w:rPr>
        <w:t>campo</w:t>
      </w:r>
      <w:r>
        <w:rPr>
          <w:color w:val="231F20"/>
          <w:spacing w:val="-9"/>
          <w:w w:val="105"/>
        </w:rPr>
        <w:t> </w:t>
      </w:r>
      <w:r>
        <w:rPr>
          <w:color w:val="231F20"/>
          <w:w w:val="105"/>
        </w:rPr>
        <w:t>de</w:t>
      </w:r>
      <w:r>
        <w:rPr>
          <w:color w:val="231F20"/>
          <w:spacing w:val="-9"/>
          <w:w w:val="105"/>
        </w:rPr>
        <w:t> </w:t>
      </w:r>
      <w:r>
        <w:rPr>
          <w:color w:val="231F20"/>
          <w:w w:val="105"/>
        </w:rPr>
        <w:t>estu- dio de las migraciones. Este nuevo tópico se cruza con otras</w:t>
      </w:r>
      <w:r>
        <w:rPr>
          <w:color w:val="231F20"/>
          <w:spacing w:val="-16"/>
          <w:w w:val="105"/>
        </w:rPr>
        <w:t> </w:t>
      </w:r>
      <w:r>
        <w:rPr>
          <w:color w:val="231F20"/>
          <w:w w:val="105"/>
        </w:rPr>
        <w:t>dimensio- nes</w:t>
      </w:r>
      <w:r>
        <w:rPr>
          <w:color w:val="231F20"/>
          <w:spacing w:val="-30"/>
          <w:w w:val="105"/>
        </w:rPr>
        <w:t> </w:t>
      </w:r>
      <w:r>
        <w:rPr>
          <w:color w:val="231F20"/>
          <w:w w:val="105"/>
        </w:rPr>
        <w:t>que</w:t>
      </w:r>
      <w:r>
        <w:rPr>
          <w:color w:val="231F20"/>
          <w:spacing w:val="-30"/>
          <w:w w:val="105"/>
        </w:rPr>
        <w:t> </w:t>
      </w:r>
      <w:r>
        <w:rPr>
          <w:color w:val="231F20"/>
          <w:w w:val="105"/>
        </w:rPr>
        <w:t>complejizan</w:t>
      </w:r>
      <w:r>
        <w:rPr>
          <w:color w:val="231F20"/>
          <w:spacing w:val="-30"/>
          <w:w w:val="105"/>
        </w:rPr>
        <w:t> </w:t>
      </w:r>
      <w:r>
        <w:rPr>
          <w:color w:val="231F20"/>
          <w:w w:val="105"/>
        </w:rPr>
        <w:t>el</w:t>
      </w:r>
      <w:r>
        <w:rPr>
          <w:color w:val="231F20"/>
          <w:spacing w:val="-30"/>
          <w:w w:val="105"/>
        </w:rPr>
        <w:t> </w:t>
      </w:r>
      <w:r>
        <w:rPr>
          <w:color w:val="231F20"/>
          <w:w w:val="105"/>
        </w:rPr>
        <w:t>análisis.</w:t>
      </w:r>
      <w:r>
        <w:rPr>
          <w:color w:val="231F20"/>
          <w:spacing w:val="-34"/>
          <w:w w:val="105"/>
        </w:rPr>
        <w:t> </w:t>
      </w:r>
      <w:r>
        <w:rPr>
          <w:color w:val="231F20"/>
          <w:w w:val="105"/>
        </w:rPr>
        <w:t>Las</w:t>
      </w:r>
      <w:r>
        <w:rPr>
          <w:color w:val="231F20"/>
          <w:spacing w:val="-30"/>
          <w:w w:val="105"/>
        </w:rPr>
        <w:t> </w:t>
      </w:r>
      <w:r>
        <w:rPr>
          <w:color w:val="231F20"/>
          <w:w w:val="105"/>
        </w:rPr>
        <w:t>indagaciones</w:t>
      </w:r>
      <w:r>
        <w:rPr>
          <w:color w:val="231F20"/>
          <w:spacing w:val="-30"/>
          <w:w w:val="105"/>
        </w:rPr>
        <w:t> </w:t>
      </w:r>
      <w:r>
        <w:rPr>
          <w:color w:val="231F20"/>
          <w:w w:val="105"/>
        </w:rPr>
        <w:t>sobre</w:t>
      </w:r>
      <w:r>
        <w:rPr>
          <w:color w:val="231F20"/>
          <w:spacing w:val="-30"/>
          <w:w w:val="105"/>
        </w:rPr>
        <w:t> </w:t>
      </w:r>
      <w:r>
        <w:rPr>
          <w:color w:val="231F20"/>
          <w:w w:val="105"/>
        </w:rPr>
        <w:t>la</w:t>
      </w:r>
      <w:r>
        <w:rPr>
          <w:color w:val="231F20"/>
          <w:spacing w:val="-30"/>
          <w:w w:val="105"/>
        </w:rPr>
        <w:t> </w:t>
      </w:r>
      <w:r>
        <w:rPr>
          <w:color w:val="231F20"/>
          <w:w w:val="105"/>
        </w:rPr>
        <w:t>niñez</w:t>
      </w:r>
      <w:r>
        <w:rPr>
          <w:color w:val="231F20"/>
          <w:spacing w:val="-30"/>
          <w:w w:val="105"/>
        </w:rPr>
        <w:t> </w:t>
      </w:r>
      <w:r>
        <w:rPr>
          <w:color w:val="231F20"/>
          <w:w w:val="105"/>
        </w:rPr>
        <w:t>migrante se</w:t>
      </w:r>
      <w:r>
        <w:rPr>
          <w:color w:val="231F20"/>
          <w:spacing w:val="-13"/>
          <w:w w:val="105"/>
        </w:rPr>
        <w:t> </w:t>
      </w:r>
      <w:r>
        <w:rPr>
          <w:color w:val="231F20"/>
          <w:w w:val="105"/>
        </w:rPr>
        <w:t>vinculan</w:t>
      </w:r>
      <w:r>
        <w:rPr>
          <w:color w:val="231F20"/>
          <w:spacing w:val="-13"/>
          <w:w w:val="105"/>
        </w:rPr>
        <w:t> </w:t>
      </w:r>
      <w:r>
        <w:rPr>
          <w:color w:val="231F20"/>
          <w:w w:val="105"/>
        </w:rPr>
        <w:t>directamente</w:t>
      </w:r>
      <w:r>
        <w:rPr>
          <w:color w:val="231F20"/>
          <w:spacing w:val="-13"/>
          <w:w w:val="105"/>
        </w:rPr>
        <w:t> </w:t>
      </w:r>
      <w:r>
        <w:rPr>
          <w:color w:val="231F20"/>
          <w:w w:val="105"/>
        </w:rPr>
        <w:t>con</w:t>
      </w:r>
      <w:r>
        <w:rPr>
          <w:color w:val="231F20"/>
          <w:spacing w:val="-13"/>
          <w:w w:val="105"/>
        </w:rPr>
        <w:t> </w:t>
      </w:r>
      <w:r>
        <w:rPr>
          <w:color w:val="231F20"/>
          <w:w w:val="105"/>
        </w:rPr>
        <w:t>la</w:t>
      </w:r>
      <w:r>
        <w:rPr>
          <w:color w:val="231F20"/>
          <w:spacing w:val="-13"/>
          <w:w w:val="105"/>
        </w:rPr>
        <w:t> </w:t>
      </w:r>
      <w:r>
        <w:rPr>
          <w:color w:val="231F20"/>
          <w:w w:val="105"/>
        </w:rPr>
        <w:t>vulneración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derechos</w:t>
      </w:r>
      <w:r>
        <w:rPr>
          <w:color w:val="231F20"/>
          <w:spacing w:val="-13"/>
          <w:w w:val="105"/>
        </w:rPr>
        <w:t> </w:t>
      </w:r>
      <w:r>
        <w:rPr>
          <w:color w:val="231F20"/>
          <w:w w:val="105"/>
        </w:rPr>
        <w:t>más</w:t>
      </w:r>
      <w:r>
        <w:rPr>
          <w:color w:val="231F20"/>
          <w:spacing w:val="-13"/>
          <w:w w:val="105"/>
        </w:rPr>
        <w:t> </w:t>
      </w:r>
      <w:r>
        <w:rPr>
          <w:color w:val="231F20"/>
          <w:w w:val="105"/>
        </w:rPr>
        <w:t>funda- mentales cuando se trata de niñez refugiada, niñez desplazada o bien cuando</w:t>
      </w:r>
      <w:r>
        <w:rPr>
          <w:color w:val="231F20"/>
          <w:spacing w:val="-13"/>
          <w:w w:val="105"/>
        </w:rPr>
        <w:t> </w:t>
      </w:r>
      <w:r>
        <w:rPr>
          <w:color w:val="231F20"/>
          <w:w w:val="105"/>
        </w:rPr>
        <w:t>se</w:t>
      </w:r>
      <w:r>
        <w:rPr>
          <w:color w:val="231F20"/>
          <w:spacing w:val="-13"/>
          <w:w w:val="105"/>
        </w:rPr>
        <w:t> </w:t>
      </w:r>
      <w:r>
        <w:rPr>
          <w:color w:val="231F20"/>
          <w:w w:val="105"/>
        </w:rPr>
        <w:t>trata</w:t>
      </w:r>
      <w:r>
        <w:rPr>
          <w:color w:val="231F20"/>
          <w:spacing w:val="-13"/>
          <w:w w:val="105"/>
        </w:rPr>
        <w:t> </w:t>
      </w:r>
      <w:r>
        <w:rPr>
          <w:color w:val="231F20"/>
          <w:w w:val="105"/>
        </w:rPr>
        <w:t>de</w:t>
      </w:r>
      <w:r>
        <w:rPr>
          <w:color w:val="231F20"/>
          <w:spacing w:val="-13"/>
          <w:w w:val="105"/>
        </w:rPr>
        <w:t> </w:t>
      </w:r>
      <w:r>
        <w:rPr>
          <w:color w:val="231F20"/>
          <w:w w:val="105"/>
        </w:rPr>
        <w:t>movilidad</w:t>
      </w:r>
      <w:r>
        <w:rPr>
          <w:color w:val="231F20"/>
          <w:spacing w:val="-13"/>
          <w:w w:val="105"/>
        </w:rPr>
        <w:t> </w:t>
      </w:r>
      <w:r>
        <w:rPr>
          <w:color w:val="231F20"/>
          <w:w w:val="105"/>
        </w:rPr>
        <w:t>con</w:t>
      </w:r>
      <w:r>
        <w:rPr>
          <w:color w:val="231F20"/>
          <w:spacing w:val="-13"/>
          <w:w w:val="105"/>
        </w:rPr>
        <w:t> </w:t>
      </w:r>
      <w:r>
        <w:rPr>
          <w:color w:val="231F20"/>
          <w:w w:val="105"/>
        </w:rPr>
        <w:t>fines</w:t>
      </w:r>
      <w:r>
        <w:rPr>
          <w:color w:val="231F20"/>
          <w:spacing w:val="-13"/>
          <w:w w:val="105"/>
        </w:rPr>
        <w:t> </w:t>
      </w:r>
      <w:r>
        <w:rPr>
          <w:color w:val="231F20"/>
          <w:w w:val="105"/>
        </w:rPr>
        <w:t>de</w:t>
      </w:r>
      <w:r>
        <w:rPr>
          <w:color w:val="231F20"/>
          <w:spacing w:val="-13"/>
          <w:w w:val="105"/>
        </w:rPr>
        <w:t> </w:t>
      </w:r>
      <w:r>
        <w:rPr>
          <w:color w:val="231F20"/>
          <w:w w:val="105"/>
        </w:rPr>
        <w:t>explotación</w:t>
      </w:r>
      <w:r>
        <w:rPr>
          <w:color w:val="231F20"/>
          <w:spacing w:val="-13"/>
          <w:w w:val="105"/>
        </w:rPr>
        <w:t> </w:t>
      </w:r>
      <w:r>
        <w:rPr>
          <w:color w:val="231F20"/>
          <w:w w:val="105"/>
        </w:rPr>
        <w:t>laboral</w:t>
      </w:r>
      <w:r>
        <w:rPr>
          <w:color w:val="231F20"/>
          <w:spacing w:val="-13"/>
          <w:w w:val="105"/>
        </w:rPr>
        <w:t> </w:t>
      </w:r>
      <w:r>
        <w:rPr>
          <w:color w:val="231F20"/>
          <w:w w:val="105"/>
        </w:rPr>
        <w:t>y</w:t>
      </w:r>
      <w:r>
        <w:rPr>
          <w:color w:val="231F20"/>
          <w:spacing w:val="-13"/>
          <w:w w:val="105"/>
        </w:rPr>
        <w:t> </w:t>
      </w:r>
      <w:r>
        <w:rPr>
          <w:color w:val="231F20"/>
          <w:w w:val="105"/>
        </w:rPr>
        <w:t>sexual.</w:t>
      </w:r>
    </w:p>
    <w:p>
      <w:pPr>
        <w:pStyle w:val="BodyText"/>
        <w:spacing w:line="261" w:lineRule="auto" w:before="1"/>
        <w:ind w:left="1723" w:right="1828" w:firstLine="567"/>
        <w:jc w:val="both"/>
      </w:pPr>
      <w:r>
        <w:rPr>
          <w:color w:val="231F20"/>
          <w:spacing w:val="-3"/>
          <w:w w:val="105"/>
        </w:rPr>
        <w:t>Dentro </w:t>
      </w:r>
      <w:r>
        <w:rPr>
          <w:color w:val="231F20"/>
          <w:w w:val="105"/>
        </w:rPr>
        <w:t>del cúmulo de investigaciones </w:t>
      </w:r>
      <w:r>
        <w:rPr>
          <w:color w:val="231F20"/>
          <w:spacing w:val="-3"/>
          <w:w w:val="105"/>
        </w:rPr>
        <w:t>recientes sobre </w:t>
      </w:r>
      <w:r>
        <w:rPr>
          <w:color w:val="231F20"/>
          <w:w w:val="105"/>
        </w:rPr>
        <w:t>niñez mi- grante,</w:t>
      </w:r>
      <w:r>
        <w:rPr>
          <w:color w:val="231F20"/>
          <w:spacing w:val="-30"/>
          <w:w w:val="105"/>
        </w:rPr>
        <w:t> </w:t>
      </w:r>
      <w:r>
        <w:rPr>
          <w:color w:val="231F20"/>
          <w:w w:val="105"/>
        </w:rPr>
        <w:t>se</w:t>
      </w:r>
      <w:r>
        <w:rPr>
          <w:color w:val="231F20"/>
          <w:spacing w:val="-26"/>
          <w:w w:val="105"/>
        </w:rPr>
        <w:t> </w:t>
      </w:r>
      <w:r>
        <w:rPr>
          <w:color w:val="231F20"/>
          <w:spacing w:val="-2"/>
          <w:w w:val="105"/>
        </w:rPr>
        <w:t>encuentran</w:t>
      </w:r>
      <w:r>
        <w:rPr>
          <w:color w:val="231F20"/>
          <w:spacing w:val="-26"/>
          <w:w w:val="105"/>
        </w:rPr>
        <w:t> </w:t>
      </w:r>
      <w:r>
        <w:rPr>
          <w:color w:val="231F20"/>
          <w:w w:val="105"/>
        </w:rPr>
        <w:t>quienes</w:t>
      </w:r>
      <w:r>
        <w:rPr>
          <w:color w:val="231F20"/>
          <w:spacing w:val="-26"/>
          <w:w w:val="105"/>
        </w:rPr>
        <w:t> </w:t>
      </w:r>
      <w:r>
        <w:rPr>
          <w:color w:val="231F20"/>
          <w:w w:val="105"/>
        </w:rPr>
        <w:t>han</w:t>
      </w:r>
      <w:r>
        <w:rPr>
          <w:color w:val="231F20"/>
          <w:spacing w:val="-26"/>
          <w:w w:val="105"/>
        </w:rPr>
        <w:t> </w:t>
      </w:r>
      <w:r>
        <w:rPr>
          <w:color w:val="231F20"/>
          <w:w w:val="105"/>
        </w:rPr>
        <w:t>puesto</w:t>
      </w:r>
      <w:r>
        <w:rPr>
          <w:color w:val="231F20"/>
          <w:spacing w:val="-26"/>
          <w:w w:val="105"/>
        </w:rPr>
        <w:t> </w:t>
      </w:r>
      <w:r>
        <w:rPr>
          <w:color w:val="231F20"/>
          <w:w w:val="105"/>
        </w:rPr>
        <w:t>el</w:t>
      </w:r>
      <w:r>
        <w:rPr>
          <w:color w:val="231F20"/>
          <w:spacing w:val="-26"/>
          <w:w w:val="105"/>
        </w:rPr>
        <w:t> </w:t>
      </w:r>
      <w:r>
        <w:rPr>
          <w:color w:val="231F20"/>
          <w:w w:val="105"/>
        </w:rPr>
        <w:t>foco</w:t>
      </w:r>
      <w:r>
        <w:rPr>
          <w:color w:val="231F20"/>
          <w:spacing w:val="-26"/>
          <w:w w:val="105"/>
        </w:rPr>
        <w:t> </w:t>
      </w:r>
      <w:r>
        <w:rPr>
          <w:color w:val="231F20"/>
          <w:w w:val="105"/>
        </w:rPr>
        <w:t>de</w:t>
      </w:r>
      <w:r>
        <w:rPr>
          <w:color w:val="231F20"/>
          <w:spacing w:val="-26"/>
          <w:w w:val="105"/>
        </w:rPr>
        <w:t> </w:t>
      </w:r>
      <w:r>
        <w:rPr>
          <w:color w:val="231F20"/>
          <w:w w:val="105"/>
        </w:rPr>
        <w:t>atención</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víncu- lo </w:t>
      </w:r>
      <w:r>
        <w:rPr>
          <w:color w:val="231F20"/>
          <w:spacing w:val="-3"/>
          <w:w w:val="105"/>
        </w:rPr>
        <w:t>entre </w:t>
      </w:r>
      <w:r>
        <w:rPr>
          <w:color w:val="231F20"/>
          <w:w w:val="105"/>
        </w:rPr>
        <w:t>migración y </w:t>
      </w:r>
      <w:r>
        <w:rPr>
          <w:color w:val="231F20"/>
          <w:spacing w:val="-3"/>
          <w:w w:val="105"/>
        </w:rPr>
        <w:t>trabajo, </w:t>
      </w:r>
      <w:r>
        <w:rPr>
          <w:color w:val="231F20"/>
          <w:w w:val="105"/>
        </w:rPr>
        <w:t>partiendo del hecho de que </w:t>
      </w:r>
      <w:r>
        <w:rPr>
          <w:color w:val="231F20"/>
          <w:spacing w:val="-2"/>
          <w:w w:val="105"/>
        </w:rPr>
        <w:t>mundialmente </w:t>
      </w:r>
      <w:r>
        <w:rPr>
          <w:color w:val="231F20"/>
          <w:w w:val="105"/>
        </w:rPr>
        <w:t>sigue</w:t>
      </w:r>
      <w:r>
        <w:rPr>
          <w:color w:val="231F20"/>
          <w:spacing w:val="-31"/>
          <w:w w:val="105"/>
        </w:rPr>
        <w:t> </w:t>
      </w:r>
      <w:r>
        <w:rPr>
          <w:color w:val="231F20"/>
          <w:w w:val="105"/>
        </w:rPr>
        <w:t>siendo</w:t>
      </w:r>
      <w:r>
        <w:rPr>
          <w:color w:val="231F20"/>
          <w:spacing w:val="-31"/>
          <w:w w:val="105"/>
        </w:rPr>
        <w:t> </w:t>
      </w:r>
      <w:r>
        <w:rPr>
          <w:color w:val="231F20"/>
          <w:w w:val="105"/>
        </w:rPr>
        <w:t>significativa</w:t>
      </w:r>
      <w:r>
        <w:rPr>
          <w:color w:val="231F20"/>
          <w:spacing w:val="-31"/>
          <w:w w:val="105"/>
        </w:rPr>
        <w:t> </w:t>
      </w:r>
      <w:r>
        <w:rPr>
          <w:color w:val="231F20"/>
          <w:w w:val="105"/>
        </w:rPr>
        <w:t>la</w:t>
      </w:r>
      <w:r>
        <w:rPr>
          <w:color w:val="231F20"/>
          <w:spacing w:val="-31"/>
          <w:w w:val="105"/>
        </w:rPr>
        <w:t> </w:t>
      </w:r>
      <w:r>
        <w:rPr>
          <w:color w:val="231F20"/>
          <w:w w:val="105"/>
        </w:rPr>
        <w:t>cantidad</w:t>
      </w:r>
      <w:r>
        <w:rPr>
          <w:color w:val="231F20"/>
          <w:spacing w:val="-31"/>
          <w:w w:val="105"/>
        </w:rPr>
        <w:t> </w:t>
      </w:r>
      <w:r>
        <w:rPr>
          <w:color w:val="231F20"/>
          <w:w w:val="105"/>
        </w:rPr>
        <w:t>de</w:t>
      </w:r>
      <w:r>
        <w:rPr>
          <w:color w:val="231F20"/>
          <w:spacing w:val="-31"/>
          <w:w w:val="105"/>
        </w:rPr>
        <w:t> </w:t>
      </w:r>
      <w:r>
        <w:rPr>
          <w:color w:val="231F20"/>
          <w:w w:val="105"/>
        </w:rPr>
        <w:t>niños</w:t>
      </w:r>
      <w:r>
        <w:rPr>
          <w:color w:val="231F20"/>
          <w:spacing w:val="-31"/>
          <w:w w:val="105"/>
        </w:rPr>
        <w:t> </w:t>
      </w:r>
      <w:r>
        <w:rPr>
          <w:color w:val="231F20"/>
          <w:w w:val="105"/>
        </w:rPr>
        <w:t>y</w:t>
      </w:r>
      <w:r>
        <w:rPr>
          <w:color w:val="231F20"/>
          <w:spacing w:val="-31"/>
          <w:w w:val="105"/>
        </w:rPr>
        <w:t> </w:t>
      </w:r>
      <w:r>
        <w:rPr>
          <w:color w:val="231F20"/>
          <w:w w:val="105"/>
        </w:rPr>
        <w:t>adolescente</w:t>
      </w:r>
      <w:r>
        <w:rPr>
          <w:color w:val="231F20"/>
          <w:spacing w:val="-31"/>
          <w:w w:val="105"/>
        </w:rPr>
        <w:t> </w:t>
      </w:r>
      <w:r>
        <w:rPr>
          <w:color w:val="231F20"/>
          <w:w w:val="105"/>
        </w:rPr>
        <w:t>que</w:t>
      </w:r>
      <w:r>
        <w:rPr>
          <w:color w:val="231F20"/>
          <w:spacing w:val="-31"/>
          <w:w w:val="105"/>
        </w:rPr>
        <w:t> </w:t>
      </w:r>
      <w:r>
        <w:rPr>
          <w:color w:val="231F20"/>
          <w:spacing w:val="-3"/>
          <w:w w:val="105"/>
        </w:rPr>
        <w:t>trabajan. </w:t>
      </w:r>
      <w:r>
        <w:rPr>
          <w:color w:val="231F20"/>
          <w:w w:val="105"/>
        </w:rPr>
        <w:t>Las</w:t>
      </w:r>
      <w:r>
        <w:rPr>
          <w:color w:val="231F20"/>
          <w:spacing w:val="-31"/>
          <w:w w:val="105"/>
        </w:rPr>
        <w:t> </w:t>
      </w:r>
      <w:r>
        <w:rPr>
          <w:color w:val="231F20"/>
          <w:w w:val="105"/>
        </w:rPr>
        <w:t>investigaciones</w:t>
      </w:r>
      <w:r>
        <w:rPr>
          <w:color w:val="231F20"/>
          <w:spacing w:val="-31"/>
          <w:w w:val="105"/>
        </w:rPr>
        <w:t> </w:t>
      </w:r>
      <w:r>
        <w:rPr>
          <w:color w:val="231F20"/>
          <w:w w:val="105"/>
        </w:rPr>
        <w:t>analizan</w:t>
      </w:r>
      <w:r>
        <w:rPr>
          <w:color w:val="231F20"/>
          <w:spacing w:val="-31"/>
          <w:w w:val="105"/>
        </w:rPr>
        <w:t> </w:t>
      </w:r>
      <w:r>
        <w:rPr>
          <w:color w:val="231F20"/>
          <w:w w:val="105"/>
        </w:rPr>
        <w:t>casos</w:t>
      </w:r>
      <w:r>
        <w:rPr>
          <w:color w:val="231F20"/>
          <w:spacing w:val="-31"/>
          <w:w w:val="105"/>
        </w:rPr>
        <w:t> </w:t>
      </w:r>
      <w:r>
        <w:rPr>
          <w:color w:val="231F20"/>
          <w:w w:val="105"/>
        </w:rPr>
        <w:t>de</w:t>
      </w:r>
      <w:r>
        <w:rPr>
          <w:color w:val="231F20"/>
          <w:spacing w:val="-31"/>
          <w:w w:val="105"/>
        </w:rPr>
        <w:t> </w:t>
      </w:r>
      <w:r>
        <w:rPr>
          <w:color w:val="231F20"/>
          <w:w w:val="105"/>
        </w:rPr>
        <w:t>migración</w:t>
      </w:r>
      <w:r>
        <w:rPr>
          <w:color w:val="231F20"/>
          <w:spacing w:val="-31"/>
          <w:w w:val="105"/>
        </w:rPr>
        <w:t> </w:t>
      </w:r>
      <w:r>
        <w:rPr>
          <w:color w:val="231F20"/>
          <w:spacing w:val="-3"/>
          <w:w w:val="105"/>
        </w:rPr>
        <w:t>rural-rural</w:t>
      </w:r>
      <w:r>
        <w:rPr>
          <w:color w:val="231F20"/>
          <w:spacing w:val="-31"/>
          <w:w w:val="105"/>
        </w:rPr>
        <w:t> </w:t>
      </w:r>
      <w:r>
        <w:rPr>
          <w:color w:val="231F20"/>
          <w:w w:val="105"/>
        </w:rPr>
        <w:t>y</w:t>
      </w:r>
      <w:r>
        <w:rPr>
          <w:color w:val="231F20"/>
          <w:spacing w:val="-31"/>
          <w:w w:val="105"/>
        </w:rPr>
        <w:t> </w:t>
      </w:r>
      <w:r>
        <w:rPr>
          <w:color w:val="231F20"/>
          <w:spacing w:val="-3"/>
          <w:w w:val="105"/>
        </w:rPr>
        <w:t>rural-urbana </w:t>
      </w:r>
      <w:r>
        <w:rPr>
          <w:color w:val="231F20"/>
          <w:w w:val="105"/>
        </w:rPr>
        <w:t>de</w:t>
      </w:r>
      <w:r>
        <w:rPr>
          <w:color w:val="231F20"/>
          <w:spacing w:val="-26"/>
          <w:w w:val="105"/>
        </w:rPr>
        <w:t> </w:t>
      </w:r>
      <w:r>
        <w:rPr>
          <w:color w:val="231F20"/>
          <w:w w:val="105"/>
        </w:rPr>
        <w:t>niños,</w:t>
      </w:r>
      <w:r>
        <w:rPr>
          <w:color w:val="231F20"/>
          <w:spacing w:val="-31"/>
          <w:w w:val="105"/>
        </w:rPr>
        <w:t> </w:t>
      </w:r>
      <w:r>
        <w:rPr>
          <w:color w:val="231F20"/>
          <w:w w:val="105"/>
        </w:rPr>
        <w:t>niñas</w:t>
      </w:r>
      <w:r>
        <w:rPr>
          <w:color w:val="231F20"/>
          <w:spacing w:val="-26"/>
          <w:w w:val="105"/>
        </w:rPr>
        <w:t> </w:t>
      </w:r>
      <w:r>
        <w:rPr>
          <w:color w:val="231F20"/>
          <w:w w:val="105"/>
        </w:rPr>
        <w:t>y</w:t>
      </w:r>
      <w:r>
        <w:rPr>
          <w:color w:val="231F20"/>
          <w:spacing w:val="-26"/>
          <w:w w:val="105"/>
        </w:rPr>
        <w:t> </w:t>
      </w:r>
      <w:r>
        <w:rPr>
          <w:color w:val="231F20"/>
          <w:w w:val="105"/>
        </w:rPr>
        <w:t>adolescentes,</w:t>
      </w:r>
      <w:r>
        <w:rPr>
          <w:color w:val="231F20"/>
          <w:spacing w:val="-31"/>
          <w:w w:val="105"/>
        </w:rPr>
        <w:t> </w:t>
      </w:r>
      <w:r>
        <w:rPr>
          <w:color w:val="231F20"/>
          <w:w w:val="105"/>
        </w:rPr>
        <w:t>y</w:t>
      </w:r>
      <w:r>
        <w:rPr>
          <w:color w:val="231F20"/>
          <w:spacing w:val="-26"/>
          <w:w w:val="105"/>
        </w:rPr>
        <w:t> </w:t>
      </w:r>
      <w:r>
        <w:rPr>
          <w:color w:val="231F20"/>
          <w:w w:val="105"/>
        </w:rPr>
        <w:t>discuten</w:t>
      </w:r>
      <w:r>
        <w:rPr>
          <w:color w:val="231F20"/>
          <w:spacing w:val="-26"/>
          <w:w w:val="105"/>
        </w:rPr>
        <w:t> </w:t>
      </w:r>
      <w:r>
        <w:rPr>
          <w:color w:val="231F20"/>
          <w:w w:val="105"/>
        </w:rPr>
        <w:t>los</w:t>
      </w:r>
      <w:r>
        <w:rPr>
          <w:color w:val="231F20"/>
          <w:spacing w:val="-26"/>
          <w:w w:val="105"/>
        </w:rPr>
        <w:t> </w:t>
      </w:r>
      <w:r>
        <w:rPr>
          <w:color w:val="231F20"/>
          <w:w w:val="105"/>
        </w:rPr>
        <w:t>motivos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movilidad,</w:t>
      </w:r>
      <w:r>
        <w:rPr>
          <w:color w:val="231F20"/>
          <w:spacing w:val="-31"/>
          <w:w w:val="105"/>
        </w:rPr>
        <w:t> </w:t>
      </w:r>
      <w:r>
        <w:rPr>
          <w:color w:val="231F20"/>
          <w:spacing w:val="-2"/>
          <w:w w:val="105"/>
        </w:rPr>
        <w:t>las </w:t>
      </w:r>
      <w:r>
        <w:rPr>
          <w:color w:val="231F20"/>
          <w:w w:val="105"/>
        </w:rPr>
        <w:t>distintas</w:t>
      </w:r>
      <w:r>
        <w:rPr>
          <w:color w:val="231F20"/>
          <w:spacing w:val="-7"/>
          <w:w w:val="105"/>
        </w:rPr>
        <w:t> </w:t>
      </w:r>
      <w:r>
        <w:rPr>
          <w:color w:val="231F20"/>
          <w:w w:val="105"/>
        </w:rPr>
        <w:t>formas</w:t>
      </w:r>
      <w:r>
        <w:rPr>
          <w:color w:val="231F20"/>
          <w:spacing w:val="-7"/>
          <w:w w:val="105"/>
        </w:rPr>
        <w:t> </w:t>
      </w:r>
      <w:r>
        <w:rPr>
          <w:color w:val="231F20"/>
          <w:w w:val="105"/>
        </w:rPr>
        <w:t>de</w:t>
      </w:r>
      <w:r>
        <w:rPr>
          <w:color w:val="231F20"/>
          <w:spacing w:val="-7"/>
          <w:w w:val="105"/>
        </w:rPr>
        <w:t> </w:t>
      </w:r>
      <w:r>
        <w:rPr>
          <w:color w:val="231F20"/>
          <w:spacing w:val="-3"/>
          <w:w w:val="105"/>
        </w:rPr>
        <w:t>circulación,</w:t>
      </w:r>
      <w:r>
        <w:rPr>
          <w:color w:val="231F20"/>
          <w:spacing w:val="-12"/>
          <w:w w:val="105"/>
        </w:rPr>
        <w:t> </w:t>
      </w:r>
      <w:r>
        <w:rPr>
          <w:color w:val="231F20"/>
          <w:w w:val="105"/>
        </w:rPr>
        <w:t>y</w:t>
      </w:r>
      <w:r>
        <w:rPr>
          <w:color w:val="231F20"/>
          <w:spacing w:val="-7"/>
          <w:w w:val="105"/>
        </w:rPr>
        <w:t> </w:t>
      </w:r>
      <w:r>
        <w:rPr>
          <w:color w:val="231F20"/>
          <w:w w:val="105"/>
        </w:rPr>
        <w:t>los</w:t>
      </w:r>
      <w:r>
        <w:rPr>
          <w:color w:val="231F20"/>
          <w:spacing w:val="-7"/>
          <w:w w:val="105"/>
        </w:rPr>
        <w:t> </w:t>
      </w:r>
      <w:r>
        <w:rPr>
          <w:color w:val="231F20"/>
          <w:w w:val="105"/>
        </w:rPr>
        <w:t>tipos</w:t>
      </w:r>
      <w:r>
        <w:rPr>
          <w:color w:val="231F20"/>
          <w:spacing w:val="-7"/>
          <w:w w:val="105"/>
        </w:rPr>
        <w:t> </w:t>
      </w:r>
      <w:r>
        <w:rPr>
          <w:color w:val="231F20"/>
          <w:w w:val="105"/>
        </w:rPr>
        <w:t>de</w:t>
      </w:r>
      <w:r>
        <w:rPr>
          <w:color w:val="231F20"/>
          <w:spacing w:val="-7"/>
          <w:w w:val="105"/>
        </w:rPr>
        <w:t> </w:t>
      </w:r>
      <w:r>
        <w:rPr>
          <w:color w:val="231F20"/>
          <w:w w:val="105"/>
        </w:rPr>
        <w:t>trabajo</w:t>
      </w:r>
      <w:r>
        <w:rPr>
          <w:color w:val="231F20"/>
          <w:spacing w:val="-7"/>
          <w:w w:val="105"/>
        </w:rPr>
        <w:t> </w:t>
      </w:r>
      <w:r>
        <w:rPr>
          <w:color w:val="231F20"/>
          <w:w w:val="105"/>
        </w:rPr>
        <w:t>en</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spacing w:val="-3"/>
          <w:w w:val="105"/>
        </w:rPr>
        <w:t>emplean </w:t>
      </w:r>
      <w:r>
        <w:rPr>
          <w:color w:val="231F20"/>
          <w:w w:val="105"/>
        </w:rPr>
        <w:t>los</w:t>
      </w:r>
      <w:r>
        <w:rPr>
          <w:color w:val="231F20"/>
          <w:spacing w:val="-31"/>
          <w:w w:val="105"/>
        </w:rPr>
        <w:t> </w:t>
      </w:r>
      <w:r>
        <w:rPr>
          <w:color w:val="231F20"/>
          <w:w w:val="105"/>
        </w:rPr>
        <w:t>niños</w:t>
      </w:r>
      <w:r>
        <w:rPr>
          <w:color w:val="231F20"/>
          <w:spacing w:val="-31"/>
          <w:w w:val="105"/>
        </w:rPr>
        <w:t> </w:t>
      </w:r>
      <w:r>
        <w:rPr>
          <w:color w:val="231F20"/>
          <w:w w:val="105"/>
        </w:rPr>
        <w:t>y</w:t>
      </w:r>
      <w:r>
        <w:rPr>
          <w:color w:val="231F20"/>
          <w:spacing w:val="-31"/>
          <w:w w:val="105"/>
        </w:rPr>
        <w:t> </w:t>
      </w:r>
      <w:r>
        <w:rPr>
          <w:color w:val="231F20"/>
          <w:w w:val="105"/>
        </w:rPr>
        <w:t>las</w:t>
      </w:r>
      <w:r>
        <w:rPr>
          <w:color w:val="231F20"/>
          <w:spacing w:val="-31"/>
          <w:w w:val="105"/>
        </w:rPr>
        <w:t> </w:t>
      </w:r>
      <w:r>
        <w:rPr>
          <w:color w:val="231F20"/>
          <w:w w:val="105"/>
        </w:rPr>
        <w:t>niñas</w:t>
      </w:r>
      <w:r>
        <w:rPr>
          <w:color w:val="231F20"/>
          <w:spacing w:val="-31"/>
          <w:w w:val="105"/>
        </w:rPr>
        <w:t> </w:t>
      </w:r>
      <w:r>
        <w:rPr>
          <w:color w:val="231F20"/>
          <w:w w:val="105"/>
        </w:rPr>
        <w:t>según</w:t>
      </w:r>
      <w:r>
        <w:rPr>
          <w:color w:val="231F20"/>
          <w:spacing w:val="-31"/>
          <w:w w:val="105"/>
        </w:rPr>
        <w:t> </w:t>
      </w:r>
      <w:r>
        <w:rPr>
          <w:color w:val="231F20"/>
          <w:spacing w:val="-3"/>
          <w:w w:val="105"/>
        </w:rPr>
        <w:t>sexo,</w:t>
      </w:r>
      <w:r>
        <w:rPr>
          <w:color w:val="231F20"/>
          <w:spacing w:val="-35"/>
          <w:w w:val="105"/>
        </w:rPr>
        <w:t> </w:t>
      </w:r>
      <w:r>
        <w:rPr>
          <w:color w:val="231F20"/>
          <w:w w:val="105"/>
        </w:rPr>
        <w:t>temporalidad</w:t>
      </w:r>
      <w:r>
        <w:rPr>
          <w:color w:val="231F20"/>
          <w:spacing w:val="-31"/>
          <w:w w:val="105"/>
        </w:rPr>
        <w:t> </w:t>
      </w:r>
      <w:r>
        <w:rPr>
          <w:color w:val="231F20"/>
          <w:w w:val="105"/>
        </w:rPr>
        <w:t>y</w:t>
      </w:r>
      <w:r>
        <w:rPr>
          <w:color w:val="231F20"/>
          <w:spacing w:val="-31"/>
          <w:w w:val="105"/>
        </w:rPr>
        <w:t> </w:t>
      </w:r>
      <w:r>
        <w:rPr>
          <w:color w:val="231F20"/>
          <w:w w:val="105"/>
        </w:rPr>
        <w:t>las</w:t>
      </w:r>
      <w:r>
        <w:rPr>
          <w:color w:val="231F20"/>
          <w:spacing w:val="-31"/>
          <w:w w:val="105"/>
        </w:rPr>
        <w:t> </w:t>
      </w:r>
      <w:r>
        <w:rPr>
          <w:color w:val="231F20"/>
          <w:w w:val="105"/>
        </w:rPr>
        <w:t>modalidades</w:t>
      </w:r>
      <w:r>
        <w:rPr>
          <w:color w:val="231F20"/>
          <w:spacing w:val="-31"/>
          <w:w w:val="105"/>
        </w:rPr>
        <w:t> </w:t>
      </w:r>
      <w:r>
        <w:rPr>
          <w:color w:val="231F20"/>
          <w:w w:val="105"/>
        </w:rPr>
        <w:t>de</w:t>
      </w:r>
      <w:r>
        <w:rPr>
          <w:color w:val="231F20"/>
          <w:spacing w:val="-31"/>
          <w:w w:val="105"/>
        </w:rPr>
        <w:t> </w:t>
      </w:r>
      <w:r>
        <w:rPr>
          <w:color w:val="231F20"/>
          <w:w w:val="105"/>
        </w:rPr>
        <w:t>pago. El</w:t>
      </w:r>
      <w:r>
        <w:rPr>
          <w:color w:val="231F20"/>
          <w:spacing w:val="-10"/>
          <w:w w:val="105"/>
        </w:rPr>
        <w:t> </w:t>
      </w:r>
      <w:r>
        <w:rPr>
          <w:color w:val="231F20"/>
          <w:w w:val="105"/>
        </w:rPr>
        <w:t>consenso</w:t>
      </w:r>
      <w:r>
        <w:rPr>
          <w:color w:val="231F20"/>
          <w:spacing w:val="-10"/>
          <w:w w:val="105"/>
        </w:rPr>
        <w:t> </w:t>
      </w:r>
      <w:r>
        <w:rPr>
          <w:color w:val="231F20"/>
          <w:w w:val="105"/>
        </w:rPr>
        <w:t>general</w:t>
      </w:r>
      <w:r>
        <w:rPr>
          <w:color w:val="231F20"/>
          <w:spacing w:val="-10"/>
          <w:w w:val="105"/>
        </w:rPr>
        <w:t> </w:t>
      </w:r>
      <w:r>
        <w:rPr>
          <w:color w:val="231F20"/>
          <w:w w:val="105"/>
        </w:rPr>
        <w:t>es</w:t>
      </w:r>
      <w:r>
        <w:rPr>
          <w:color w:val="231F20"/>
          <w:spacing w:val="-10"/>
          <w:w w:val="105"/>
        </w:rPr>
        <w:t> </w:t>
      </w:r>
      <w:r>
        <w:rPr>
          <w:color w:val="231F20"/>
          <w:w w:val="105"/>
        </w:rPr>
        <w:t>que</w:t>
      </w:r>
      <w:r>
        <w:rPr>
          <w:color w:val="231F20"/>
          <w:spacing w:val="-10"/>
          <w:w w:val="105"/>
        </w:rPr>
        <w:t> </w:t>
      </w:r>
      <w:r>
        <w:rPr>
          <w:color w:val="231F20"/>
          <w:w w:val="105"/>
        </w:rPr>
        <w:t>es</w:t>
      </w:r>
      <w:r>
        <w:rPr>
          <w:color w:val="231F20"/>
          <w:spacing w:val="-10"/>
          <w:w w:val="105"/>
        </w:rPr>
        <w:t> </w:t>
      </w:r>
      <w:r>
        <w:rPr>
          <w:color w:val="231F20"/>
          <w:w w:val="105"/>
        </w:rPr>
        <w:t>un</w:t>
      </w:r>
      <w:r>
        <w:rPr>
          <w:color w:val="231F20"/>
          <w:spacing w:val="-10"/>
          <w:w w:val="105"/>
        </w:rPr>
        <w:t> </w:t>
      </w:r>
      <w:r>
        <w:rPr>
          <w:color w:val="231F20"/>
          <w:w w:val="105"/>
        </w:rPr>
        <w:t>tema</w:t>
      </w:r>
      <w:r>
        <w:rPr>
          <w:color w:val="231F20"/>
          <w:spacing w:val="-10"/>
          <w:w w:val="105"/>
        </w:rPr>
        <w:t> </w:t>
      </w:r>
      <w:r>
        <w:rPr>
          <w:color w:val="231F20"/>
          <w:w w:val="105"/>
        </w:rPr>
        <w:t>inagotable</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complejiza</w:t>
      </w:r>
      <w:r>
        <w:rPr>
          <w:color w:val="231F20"/>
          <w:spacing w:val="-10"/>
          <w:w w:val="105"/>
        </w:rPr>
        <w:t> </w:t>
      </w:r>
      <w:r>
        <w:rPr>
          <w:color w:val="231F20"/>
          <w:w w:val="105"/>
        </w:rPr>
        <w:t>al mismo</w:t>
      </w:r>
      <w:r>
        <w:rPr>
          <w:color w:val="231F20"/>
          <w:spacing w:val="-25"/>
          <w:w w:val="105"/>
        </w:rPr>
        <w:t> </w:t>
      </w:r>
      <w:r>
        <w:rPr>
          <w:color w:val="231F20"/>
          <w:w w:val="105"/>
        </w:rPr>
        <w:t>ritmo</w:t>
      </w:r>
      <w:r>
        <w:rPr>
          <w:color w:val="231F20"/>
          <w:spacing w:val="-25"/>
          <w:w w:val="105"/>
        </w:rPr>
        <w:t> </w:t>
      </w:r>
      <w:r>
        <w:rPr>
          <w:color w:val="231F20"/>
          <w:w w:val="105"/>
        </w:rPr>
        <w:t>que</w:t>
      </w:r>
      <w:r>
        <w:rPr>
          <w:color w:val="231F20"/>
          <w:spacing w:val="-25"/>
          <w:w w:val="105"/>
        </w:rPr>
        <w:t> </w:t>
      </w:r>
      <w:r>
        <w:rPr>
          <w:color w:val="231F20"/>
          <w:w w:val="105"/>
        </w:rPr>
        <w:t>la</w:t>
      </w:r>
      <w:r>
        <w:rPr>
          <w:color w:val="231F20"/>
          <w:spacing w:val="-25"/>
          <w:w w:val="105"/>
        </w:rPr>
        <w:t> </w:t>
      </w:r>
      <w:r>
        <w:rPr>
          <w:color w:val="231F20"/>
          <w:spacing w:val="-3"/>
          <w:w w:val="105"/>
        </w:rPr>
        <w:t>realidad</w:t>
      </w:r>
      <w:r>
        <w:rPr>
          <w:color w:val="231F20"/>
          <w:spacing w:val="-25"/>
          <w:w w:val="105"/>
        </w:rPr>
        <w:t> </w:t>
      </w:r>
      <w:r>
        <w:rPr>
          <w:color w:val="231F20"/>
          <w:w w:val="105"/>
        </w:rPr>
        <w:t>social</w:t>
      </w:r>
      <w:r>
        <w:rPr>
          <w:color w:val="231F20"/>
          <w:spacing w:val="-25"/>
          <w:w w:val="105"/>
        </w:rPr>
        <w:t> </w:t>
      </w:r>
      <w:r>
        <w:rPr>
          <w:color w:val="231F20"/>
          <w:w w:val="105"/>
        </w:rPr>
        <w:t>(Martínez,</w:t>
      </w:r>
      <w:r>
        <w:rPr>
          <w:color w:val="231F20"/>
          <w:spacing w:val="-29"/>
          <w:w w:val="105"/>
        </w:rPr>
        <w:t> </w:t>
      </w:r>
      <w:r>
        <w:rPr>
          <w:color w:val="231F20"/>
          <w:spacing w:val="-2"/>
          <w:w w:val="105"/>
        </w:rPr>
        <w:t>2014).</w:t>
      </w:r>
    </w:p>
    <w:p>
      <w:pPr>
        <w:pStyle w:val="BodyText"/>
        <w:spacing w:line="261" w:lineRule="auto" w:before="1"/>
        <w:ind w:left="1723" w:right="1834" w:firstLine="567"/>
        <w:jc w:val="both"/>
      </w:pPr>
      <w:r>
        <w:rPr>
          <w:color w:val="231F20"/>
          <w:w w:val="105"/>
        </w:rPr>
        <w:t>El</w:t>
      </w:r>
      <w:r>
        <w:rPr>
          <w:color w:val="231F20"/>
          <w:spacing w:val="-18"/>
          <w:w w:val="105"/>
        </w:rPr>
        <w:t> </w:t>
      </w:r>
      <w:r>
        <w:rPr>
          <w:color w:val="231F20"/>
          <w:w w:val="105"/>
        </w:rPr>
        <w:t>análisis</w:t>
      </w:r>
      <w:r>
        <w:rPr>
          <w:color w:val="231F20"/>
          <w:spacing w:val="-18"/>
          <w:w w:val="105"/>
        </w:rPr>
        <w:t> </w:t>
      </w:r>
      <w:r>
        <w:rPr>
          <w:color w:val="231F20"/>
          <w:w w:val="105"/>
        </w:rPr>
        <w:t>del</w:t>
      </w:r>
      <w:r>
        <w:rPr>
          <w:color w:val="231F20"/>
          <w:spacing w:val="-18"/>
          <w:w w:val="105"/>
        </w:rPr>
        <w:t> </w:t>
      </w:r>
      <w:r>
        <w:rPr>
          <w:color w:val="231F20"/>
          <w:w w:val="105"/>
        </w:rPr>
        <w:t>complejo</w:t>
      </w:r>
      <w:r>
        <w:rPr>
          <w:color w:val="231F20"/>
          <w:spacing w:val="-18"/>
          <w:w w:val="105"/>
        </w:rPr>
        <w:t> </w:t>
      </w:r>
      <w:r>
        <w:rPr>
          <w:color w:val="231F20"/>
          <w:w w:val="105"/>
        </w:rPr>
        <w:t>tejido</w:t>
      </w:r>
      <w:r>
        <w:rPr>
          <w:color w:val="231F20"/>
          <w:spacing w:val="-18"/>
          <w:w w:val="105"/>
        </w:rPr>
        <w:t> </w:t>
      </w:r>
      <w:r>
        <w:rPr>
          <w:color w:val="231F20"/>
          <w:w w:val="105"/>
        </w:rPr>
        <w:t>que</w:t>
      </w:r>
      <w:r>
        <w:rPr>
          <w:color w:val="231F20"/>
          <w:spacing w:val="-18"/>
          <w:w w:val="105"/>
        </w:rPr>
        <w:t> </w:t>
      </w:r>
      <w:r>
        <w:rPr>
          <w:color w:val="231F20"/>
          <w:w w:val="105"/>
        </w:rPr>
        <w:t>supone</w:t>
      </w:r>
      <w:r>
        <w:rPr>
          <w:color w:val="231F20"/>
          <w:spacing w:val="-18"/>
          <w:w w:val="105"/>
        </w:rPr>
        <w:t> </w:t>
      </w:r>
      <w:r>
        <w:rPr>
          <w:color w:val="231F20"/>
          <w:w w:val="105"/>
        </w:rPr>
        <w:t>el</w:t>
      </w:r>
      <w:r>
        <w:rPr>
          <w:color w:val="231F20"/>
          <w:spacing w:val="-18"/>
          <w:w w:val="105"/>
        </w:rPr>
        <w:t> </w:t>
      </w:r>
      <w:r>
        <w:rPr>
          <w:color w:val="231F20"/>
          <w:w w:val="105"/>
        </w:rPr>
        <w:t>trabajo</w:t>
      </w:r>
      <w:r>
        <w:rPr>
          <w:color w:val="231F20"/>
          <w:spacing w:val="-18"/>
          <w:w w:val="105"/>
        </w:rPr>
        <w:t> </w:t>
      </w:r>
      <w:r>
        <w:rPr>
          <w:color w:val="231F20"/>
          <w:w w:val="105"/>
        </w:rPr>
        <w:t>infantil</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mi- gración</w:t>
      </w:r>
      <w:r>
        <w:rPr>
          <w:color w:val="231F20"/>
          <w:spacing w:val="-18"/>
          <w:w w:val="105"/>
        </w:rPr>
        <w:t> </w:t>
      </w:r>
      <w:r>
        <w:rPr>
          <w:color w:val="231F20"/>
          <w:w w:val="105"/>
        </w:rPr>
        <w:t>de</w:t>
      </w:r>
      <w:r>
        <w:rPr>
          <w:color w:val="231F20"/>
          <w:spacing w:val="-18"/>
          <w:w w:val="105"/>
        </w:rPr>
        <w:t> </w:t>
      </w:r>
      <w:r>
        <w:rPr>
          <w:color w:val="231F20"/>
          <w:w w:val="105"/>
        </w:rPr>
        <w:t>niños,</w:t>
      </w:r>
      <w:r>
        <w:rPr>
          <w:color w:val="231F20"/>
          <w:spacing w:val="-23"/>
          <w:w w:val="105"/>
        </w:rPr>
        <w:t> </w:t>
      </w:r>
      <w:r>
        <w:rPr>
          <w:color w:val="231F20"/>
          <w:w w:val="105"/>
        </w:rPr>
        <w:t>niñas</w:t>
      </w:r>
      <w:r>
        <w:rPr>
          <w:color w:val="231F20"/>
          <w:spacing w:val="-18"/>
          <w:w w:val="105"/>
        </w:rPr>
        <w:t> </w:t>
      </w:r>
      <w:r>
        <w:rPr>
          <w:color w:val="231F20"/>
          <w:w w:val="105"/>
        </w:rPr>
        <w:t>y</w:t>
      </w:r>
      <w:r>
        <w:rPr>
          <w:color w:val="231F20"/>
          <w:spacing w:val="-18"/>
          <w:w w:val="105"/>
        </w:rPr>
        <w:t> </w:t>
      </w:r>
      <w:r>
        <w:rPr>
          <w:color w:val="231F20"/>
          <w:w w:val="105"/>
        </w:rPr>
        <w:t>adolescentes</w:t>
      </w:r>
      <w:r>
        <w:rPr>
          <w:color w:val="231F20"/>
          <w:spacing w:val="-18"/>
          <w:w w:val="105"/>
        </w:rPr>
        <w:t> </w:t>
      </w:r>
      <w:r>
        <w:rPr>
          <w:color w:val="231F20"/>
          <w:w w:val="105"/>
        </w:rPr>
        <w:t>en</w:t>
      </w:r>
      <w:r>
        <w:rPr>
          <w:color w:val="231F20"/>
          <w:spacing w:val="-18"/>
          <w:w w:val="105"/>
        </w:rPr>
        <w:t> </w:t>
      </w:r>
      <w:r>
        <w:rPr>
          <w:color w:val="231F20"/>
          <w:w w:val="105"/>
        </w:rPr>
        <w:t>contextos</w:t>
      </w:r>
      <w:r>
        <w:rPr>
          <w:color w:val="231F20"/>
          <w:spacing w:val="-18"/>
          <w:w w:val="105"/>
        </w:rPr>
        <w:t> </w:t>
      </w:r>
      <w:r>
        <w:rPr>
          <w:color w:val="231F20"/>
          <w:w w:val="105"/>
        </w:rPr>
        <w:t>rurales</w:t>
      </w:r>
      <w:r>
        <w:rPr>
          <w:color w:val="231F20"/>
          <w:spacing w:val="-18"/>
          <w:w w:val="105"/>
        </w:rPr>
        <w:t> </w:t>
      </w:r>
      <w:r>
        <w:rPr>
          <w:color w:val="231F20"/>
          <w:w w:val="105"/>
        </w:rPr>
        <w:t>de</w:t>
      </w:r>
      <w:r>
        <w:rPr>
          <w:color w:val="231F20"/>
          <w:spacing w:val="-18"/>
          <w:w w:val="105"/>
        </w:rPr>
        <w:t> </w:t>
      </w:r>
      <w:r>
        <w:rPr>
          <w:color w:val="231F20"/>
          <w:w w:val="105"/>
        </w:rPr>
        <w:t>vocación agrícola</w:t>
      </w:r>
      <w:r>
        <w:rPr>
          <w:color w:val="231F20"/>
          <w:spacing w:val="-21"/>
          <w:w w:val="105"/>
        </w:rPr>
        <w:t> </w:t>
      </w:r>
      <w:r>
        <w:rPr>
          <w:color w:val="231F20"/>
          <w:w w:val="105"/>
        </w:rPr>
        <w:t>forma</w:t>
      </w:r>
      <w:r>
        <w:rPr>
          <w:color w:val="231F20"/>
          <w:spacing w:val="-21"/>
          <w:w w:val="105"/>
        </w:rPr>
        <w:t> </w:t>
      </w:r>
      <w:r>
        <w:rPr>
          <w:color w:val="231F20"/>
          <w:w w:val="105"/>
        </w:rPr>
        <w:t>parte</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nuevas</w:t>
      </w:r>
      <w:r>
        <w:rPr>
          <w:color w:val="231F20"/>
          <w:spacing w:val="-21"/>
          <w:w w:val="105"/>
        </w:rPr>
        <w:t> </w:t>
      </w:r>
      <w:r>
        <w:rPr>
          <w:color w:val="231F20"/>
          <w:spacing w:val="-3"/>
          <w:w w:val="105"/>
        </w:rPr>
        <w:t>preocupaciones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estudios</w:t>
      </w:r>
      <w:r>
        <w:rPr>
          <w:color w:val="231F20"/>
          <w:spacing w:val="-21"/>
          <w:w w:val="105"/>
        </w:rPr>
        <w:t> </w:t>
      </w:r>
      <w:r>
        <w:rPr>
          <w:color w:val="231F20"/>
          <w:w w:val="105"/>
        </w:rPr>
        <w:t>espe- cializados, es </w:t>
      </w:r>
      <w:r>
        <w:rPr>
          <w:color w:val="231F20"/>
          <w:spacing w:val="-4"/>
          <w:w w:val="105"/>
        </w:rPr>
        <w:t>decir, </w:t>
      </w:r>
      <w:r>
        <w:rPr>
          <w:color w:val="231F20"/>
          <w:w w:val="105"/>
        </w:rPr>
        <w:t>exige una </w:t>
      </w:r>
      <w:r>
        <w:rPr>
          <w:color w:val="231F20"/>
          <w:spacing w:val="-3"/>
          <w:w w:val="105"/>
        </w:rPr>
        <w:t>revisión </w:t>
      </w:r>
      <w:r>
        <w:rPr>
          <w:color w:val="231F20"/>
          <w:w w:val="105"/>
        </w:rPr>
        <w:t>teórica que contribuya a la com- </w:t>
      </w:r>
      <w:r>
        <w:rPr>
          <w:color w:val="231F20"/>
          <w:spacing w:val="-3"/>
          <w:w w:val="105"/>
        </w:rPr>
        <w:t>prensión </w:t>
      </w:r>
      <w:r>
        <w:rPr>
          <w:color w:val="231F20"/>
          <w:w w:val="105"/>
        </w:rPr>
        <w:t>y descripción de los imaginarios </w:t>
      </w:r>
      <w:r>
        <w:rPr>
          <w:color w:val="231F20"/>
          <w:spacing w:val="-3"/>
          <w:w w:val="105"/>
        </w:rPr>
        <w:t>migratorios </w:t>
      </w:r>
      <w:r>
        <w:rPr>
          <w:color w:val="231F20"/>
          <w:w w:val="105"/>
        </w:rPr>
        <w:t>de los niños </w:t>
      </w:r>
      <w:r>
        <w:rPr>
          <w:color w:val="231F20"/>
          <w:spacing w:val="-2"/>
          <w:w w:val="105"/>
        </w:rPr>
        <w:t>que trabajan.</w:t>
      </w:r>
      <w:r>
        <w:rPr>
          <w:color w:val="231F20"/>
          <w:spacing w:val="-22"/>
          <w:w w:val="105"/>
        </w:rPr>
        <w:t> </w:t>
      </w:r>
      <w:r>
        <w:rPr>
          <w:color w:val="231F20"/>
          <w:spacing w:val="-5"/>
          <w:w w:val="105"/>
        </w:rPr>
        <w:t>Para</w:t>
      </w:r>
      <w:r>
        <w:rPr>
          <w:color w:val="231F20"/>
          <w:spacing w:val="-18"/>
          <w:w w:val="105"/>
        </w:rPr>
        <w:t> </w:t>
      </w:r>
      <w:r>
        <w:rPr>
          <w:color w:val="231F20"/>
          <w:w w:val="105"/>
        </w:rPr>
        <w:t>los</w:t>
      </w:r>
      <w:r>
        <w:rPr>
          <w:color w:val="231F20"/>
          <w:spacing w:val="-18"/>
          <w:w w:val="105"/>
        </w:rPr>
        <w:t> </w:t>
      </w:r>
      <w:r>
        <w:rPr>
          <w:color w:val="231F20"/>
          <w:w w:val="105"/>
        </w:rPr>
        <w:t>efectos</w:t>
      </w:r>
      <w:r>
        <w:rPr>
          <w:color w:val="231F20"/>
          <w:spacing w:val="-18"/>
          <w:w w:val="105"/>
        </w:rPr>
        <w:t> </w:t>
      </w:r>
      <w:r>
        <w:rPr>
          <w:color w:val="231F20"/>
          <w:w w:val="105"/>
        </w:rPr>
        <w:t>de</w:t>
      </w:r>
      <w:r>
        <w:rPr>
          <w:color w:val="231F20"/>
          <w:spacing w:val="-18"/>
          <w:w w:val="105"/>
        </w:rPr>
        <w:t> </w:t>
      </w:r>
      <w:r>
        <w:rPr>
          <w:color w:val="231F20"/>
          <w:w w:val="105"/>
        </w:rPr>
        <w:t>este</w:t>
      </w:r>
      <w:r>
        <w:rPr>
          <w:color w:val="231F20"/>
          <w:spacing w:val="-18"/>
          <w:w w:val="105"/>
        </w:rPr>
        <w:t> </w:t>
      </w:r>
      <w:r>
        <w:rPr>
          <w:color w:val="231F20"/>
          <w:spacing w:val="-3"/>
          <w:w w:val="105"/>
        </w:rPr>
        <w:t>artículo,</w:t>
      </w:r>
      <w:r>
        <w:rPr>
          <w:color w:val="231F20"/>
          <w:spacing w:val="-22"/>
          <w:w w:val="105"/>
        </w:rPr>
        <w:t> </w:t>
      </w:r>
      <w:r>
        <w:rPr>
          <w:color w:val="231F20"/>
          <w:w w:val="105"/>
        </w:rPr>
        <w:t>la</w:t>
      </w:r>
      <w:r>
        <w:rPr>
          <w:color w:val="231F20"/>
          <w:spacing w:val="-18"/>
          <w:w w:val="105"/>
        </w:rPr>
        <w:t> </w:t>
      </w:r>
      <w:r>
        <w:rPr>
          <w:color w:val="231F20"/>
          <w:spacing w:val="-3"/>
          <w:w w:val="105"/>
        </w:rPr>
        <w:t>preocupación</w:t>
      </w:r>
      <w:r>
        <w:rPr>
          <w:color w:val="231F20"/>
          <w:spacing w:val="-18"/>
          <w:w w:val="105"/>
        </w:rPr>
        <w:t> </w:t>
      </w:r>
      <w:r>
        <w:rPr>
          <w:color w:val="231F20"/>
          <w:w w:val="105"/>
        </w:rPr>
        <w:t>central</w:t>
      </w:r>
      <w:r>
        <w:rPr>
          <w:color w:val="231F20"/>
          <w:spacing w:val="-18"/>
          <w:w w:val="105"/>
        </w:rPr>
        <w:t> </w:t>
      </w:r>
      <w:r>
        <w:rPr>
          <w:color w:val="231F20"/>
          <w:w w:val="105"/>
        </w:rPr>
        <w:t>gira</w:t>
      </w:r>
      <w:r>
        <w:rPr>
          <w:color w:val="231F20"/>
          <w:spacing w:val="-18"/>
          <w:w w:val="105"/>
        </w:rPr>
        <w:t> </w:t>
      </w:r>
      <w:r>
        <w:rPr>
          <w:color w:val="231F20"/>
          <w:w w:val="105"/>
        </w:rPr>
        <w:t>en torno</w:t>
      </w:r>
      <w:r>
        <w:rPr>
          <w:color w:val="231F20"/>
          <w:spacing w:val="-23"/>
          <w:w w:val="105"/>
        </w:rPr>
        <w:t> </w:t>
      </w:r>
      <w:r>
        <w:rPr>
          <w:color w:val="231F20"/>
          <w:w w:val="105"/>
        </w:rPr>
        <w:t>al</w:t>
      </w:r>
      <w:r>
        <w:rPr>
          <w:color w:val="231F20"/>
          <w:spacing w:val="-23"/>
          <w:w w:val="105"/>
        </w:rPr>
        <w:t> </w:t>
      </w:r>
      <w:r>
        <w:rPr>
          <w:color w:val="231F20"/>
          <w:w w:val="105"/>
        </w:rPr>
        <w:t>imaginario</w:t>
      </w:r>
      <w:r>
        <w:rPr>
          <w:color w:val="231F20"/>
          <w:spacing w:val="-23"/>
          <w:w w:val="105"/>
        </w:rPr>
        <w:t> </w:t>
      </w:r>
      <w:r>
        <w:rPr>
          <w:color w:val="231F20"/>
          <w:spacing w:val="-3"/>
          <w:w w:val="105"/>
        </w:rPr>
        <w:t>futuro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migración</w:t>
      </w:r>
      <w:r>
        <w:rPr>
          <w:color w:val="231F20"/>
          <w:spacing w:val="-23"/>
          <w:w w:val="105"/>
        </w:rPr>
        <w:t> </w:t>
      </w:r>
      <w:r>
        <w:rPr>
          <w:color w:val="231F20"/>
          <w:w w:val="105"/>
        </w:rPr>
        <w:t>en</w:t>
      </w:r>
      <w:r>
        <w:rPr>
          <w:color w:val="231F20"/>
          <w:spacing w:val="-23"/>
          <w:w w:val="105"/>
        </w:rPr>
        <w:t> </w:t>
      </w:r>
      <w:r>
        <w:rPr>
          <w:color w:val="231F20"/>
          <w:w w:val="105"/>
        </w:rPr>
        <w:t>un</w:t>
      </w:r>
      <w:r>
        <w:rPr>
          <w:color w:val="231F20"/>
          <w:spacing w:val="-23"/>
          <w:w w:val="105"/>
        </w:rPr>
        <w:t> </w:t>
      </w:r>
      <w:r>
        <w:rPr>
          <w:color w:val="231F20"/>
          <w:w w:val="105"/>
        </w:rPr>
        <w:t>contexto</w:t>
      </w:r>
      <w:r>
        <w:rPr>
          <w:color w:val="231F20"/>
          <w:spacing w:val="-23"/>
          <w:w w:val="105"/>
        </w:rPr>
        <w:t> </w:t>
      </w:r>
      <w:r>
        <w:rPr>
          <w:color w:val="231F20"/>
          <w:w w:val="105"/>
        </w:rPr>
        <w:t>en</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ponen en</w:t>
      </w:r>
      <w:r>
        <w:rPr>
          <w:color w:val="231F20"/>
          <w:spacing w:val="-26"/>
          <w:w w:val="105"/>
        </w:rPr>
        <w:t> </w:t>
      </w:r>
      <w:r>
        <w:rPr>
          <w:color w:val="231F20"/>
          <w:w w:val="105"/>
        </w:rPr>
        <w:t>práctica</w:t>
      </w:r>
      <w:r>
        <w:rPr>
          <w:color w:val="231F20"/>
          <w:spacing w:val="-26"/>
          <w:w w:val="105"/>
        </w:rPr>
        <w:t> </w:t>
      </w:r>
      <w:r>
        <w:rPr>
          <w:color w:val="231F20"/>
          <w:w w:val="105"/>
        </w:rPr>
        <w:t>otra</w:t>
      </w:r>
      <w:r>
        <w:rPr>
          <w:color w:val="231F20"/>
          <w:spacing w:val="-26"/>
          <w:w w:val="105"/>
        </w:rPr>
        <w:t> </w:t>
      </w:r>
      <w:r>
        <w:rPr>
          <w:color w:val="231F20"/>
          <w:spacing w:val="-3"/>
          <w:w w:val="105"/>
        </w:rPr>
        <w:t>estrategia</w:t>
      </w:r>
      <w:r>
        <w:rPr>
          <w:color w:val="231F20"/>
          <w:spacing w:val="-26"/>
          <w:w w:val="105"/>
        </w:rPr>
        <w:t> </w:t>
      </w:r>
      <w:r>
        <w:rPr>
          <w:color w:val="231F20"/>
          <w:w w:val="105"/>
        </w:rPr>
        <w:t>de</w:t>
      </w:r>
      <w:r>
        <w:rPr>
          <w:color w:val="231F20"/>
          <w:spacing w:val="-26"/>
          <w:w w:val="105"/>
        </w:rPr>
        <w:t> </w:t>
      </w:r>
      <w:r>
        <w:rPr>
          <w:color w:val="231F20"/>
          <w:w w:val="105"/>
        </w:rPr>
        <w:t>supervivencia:</w:t>
      </w:r>
      <w:r>
        <w:rPr>
          <w:color w:val="231F20"/>
          <w:spacing w:val="-26"/>
          <w:w w:val="105"/>
        </w:rPr>
        <w:t> </w:t>
      </w:r>
      <w:r>
        <w:rPr>
          <w:color w:val="231F20"/>
          <w:w w:val="105"/>
        </w:rPr>
        <w:t>el</w:t>
      </w:r>
      <w:r>
        <w:rPr>
          <w:color w:val="231F20"/>
          <w:spacing w:val="-26"/>
          <w:w w:val="105"/>
        </w:rPr>
        <w:t> </w:t>
      </w:r>
      <w:r>
        <w:rPr>
          <w:color w:val="231F20"/>
          <w:w w:val="105"/>
        </w:rPr>
        <w:t>trabajo</w:t>
      </w:r>
      <w:r>
        <w:rPr>
          <w:color w:val="231F20"/>
          <w:spacing w:val="-26"/>
          <w:w w:val="105"/>
        </w:rPr>
        <w:t> </w:t>
      </w:r>
      <w:r>
        <w:rPr>
          <w:color w:val="231F20"/>
          <w:w w:val="105"/>
        </w:rPr>
        <w:t>infantil</w:t>
      </w:r>
      <w:r>
        <w:rPr>
          <w:color w:val="231F20"/>
          <w:spacing w:val="-26"/>
          <w:w w:val="105"/>
        </w:rPr>
        <w:t> </w:t>
      </w:r>
      <w:r>
        <w:rPr>
          <w:color w:val="231F20"/>
          <w:w w:val="105"/>
        </w:rPr>
        <w:t>agrícola.</w:t>
      </w:r>
    </w:p>
    <w:p>
      <w:pPr>
        <w:pStyle w:val="BodyText"/>
        <w:spacing w:line="261" w:lineRule="auto" w:before="1"/>
        <w:ind w:left="1723" w:right="1834" w:firstLine="567"/>
        <w:jc w:val="both"/>
      </w:pPr>
      <w:r>
        <w:rPr>
          <w:color w:val="231F20"/>
          <w:w w:val="105"/>
        </w:rPr>
        <w:t>En este punto, es importante destacar que la migración y trabajo infantil,</w:t>
      </w:r>
      <w:r>
        <w:rPr>
          <w:color w:val="231F20"/>
          <w:spacing w:val="-12"/>
          <w:w w:val="105"/>
        </w:rPr>
        <w:t> </w:t>
      </w:r>
      <w:r>
        <w:rPr>
          <w:color w:val="231F20"/>
          <w:w w:val="105"/>
        </w:rPr>
        <w:t>en</w:t>
      </w:r>
      <w:r>
        <w:rPr>
          <w:color w:val="231F20"/>
          <w:spacing w:val="-7"/>
          <w:w w:val="105"/>
        </w:rPr>
        <w:t> </w:t>
      </w:r>
      <w:r>
        <w:rPr>
          <w:color w:val="231F20"/>
          <w:w w:val="105"/>
        </w:rPr>
        <w:t>cuanto</w:t>
      </w:r>
      <w:r>
        <w:rPr>
          <w:color w:val="231F20"/>
          <w:spacing w:val="-7"/>
          <w:w w:val="105"/>
        </w:rPr>
        <w:t> </w:t>
      </w:r>
      <w:r>
        <w:rPr>
          <w:color w:val="231F20"/>
          <w:w w:val="105"/>
        </w:rPr>
        <w:t>fenómenos</w:t>
      </w:r>
      <w:r>
        <w:rPr>
          <w:color w:val="231F20"/>
          <w:spacing w:val="-7"/>
          <w:w w:val="105"/>
        </w:rPr>
        <w:t> </w:t>
      </w:r>
      <w:r>
        <w:rPr>
          <w:color w:val="231F20"/>
          <w:w w:val="105"/>
        </w:rPr>
        <w:t>sociales,</w:t>
      </w:r>
      <w:r>
        <w:rPr>
          <w:color w:val="231F20"/>
          <w:spacing w:val="-12"/>
          <w:w w:val="105"/>
        </w:rPr>
        <w:t> </w:t>
      </w:r>
      <w:r>
        <w:rPr>
          <w:color w:val="231F20"/>
          <w:w w:val="105"/>
        </w:rPr>
        <w:t>se</w:t>
      </w:r>
      <w:r>
        <w:rPr>
          <w:color w:val="231F20"/>
          <w:spacing w:val="-7"/>
          <w:w w:val="105"/>
        </w:rPr>
        <w:t> </w:t>
      </w:r>
      <w:r>
        <w:rPr>
          <w:color w:val="231F20"/>
          <w:w w:val="105"/>
        </w:rPr>
        <w:t>encuentran</w:t>
      </w:r>
      <w:r>
        <w:rPr>
          <w:color w:val="231F20"/>
          <w:spacing w:val="-7"/>
          <w:w w:val="105"/>
        </w:rPr>
        <w:t> </w:t>
      </w:r>
      <w:r>
        <w:rPr>
          <w:color w:val="231F20"/>
          <w:w w:val="105"/>
        </w:rPr>
        <w:t>vinculados</w:t>
      </w:r>
      <w:r>
        <w:rPr>
          <w:color w:val="231F20"/>
          <w:spacing w:val="-7"/>
          <w:w w:val="105"/>
        </w:rPr>
        <w:t> </w:t>
      </w:r>
      <w:r>
        <w:rPr>
          <w:color w:val="231F20"/>
          <w:w w:val="105"/>
        </w:rPr>
        <w:t>a</w:t>
      </w:r>
      <w:r>
        <w:rPr>
          <w:color w:val="231F20"/>
          <w:spacing w:val="-7"/>
          <w:w w:val="105"/>
        </w:rPr>
        <w:t> </w:t>
      </w:r>
      <w:r>
        <w:rPr>
          <w:color w:val="231F20"/>
          <w:w w:val="105"/>
        </w:rPr>
        <w:t>pre- siones</w:t>
      </w:r>
      <w:r>
        <w:rPr>
          <w:color w:val="231F20"/>
          <w:spacing w:val="-21"/>
          <w:w w:val="105"/>
        </w:rPr>
        <w:t> </w:t>
      </w:r>
      <w:r>
        <w:rPr>
          <w:color w:val="231F20"/>
          <w:w w:val="105"/>
        </w:rPr>
        <w:t>de</w:t>
      </w:r>
      <w:r>
        <w:rPr>
          <w:color w:val="231F20"/>
          <w:spacing w:val="-21"/>
          <w:w w:val="105"/>
        </w:rPr>
        <w:t> </w:t>
      </w:r>
      <w:r>
        <w:rPr>
          <w:color w:val="231F20"/>
          <w:w w:val="105"/>
        </w:rPr>
        <w:t>distintos</w:t>
      </w:r>
      <w:r>
        <w:rPr>
          <w:color w:val="231F20"/>
          <w:spacing w:val="-21"/>
          <w:w w:val="105"/>
        </w:rPr>
        <w:t> </w:t>
      </w:r>
      <w:r>
        <w:rPr>
          <w:color w:val="231F20"/>
          <w:w w:val="105"/>
        </w:rPr>
        <w:t>niveles</w:t>
      </w:r>
      <w:r>
        <w:rPr>
          <w:color w:val="231F20"/>
          <w:spacing w:val="-21"/>
          <w:w w:val="105"/>
        </w:rPr>
        <w:t> </w:t>
      </w:r>
      <w:r>
        <w:rPr>
          <w:color w:val="231F20"/>
          <w:w w:val="105"/>
        </w:rPr>
        <w:t>sociales;</w:t>
      </w:r>
      <w:r>
        <w:rPr>
          <w:color w:val="231F20"/>
          <w:spacing w:val="17"/>
          <w:w w:val="105"/>
        </w:rPr>
        <w:t> </w:t>
      </w:r>
      <w:r>
        <w:rPr>
          <w:color w:val="231F20"/>
          <w:w w:val="105"/>
        </w:rPr>
        <w:t>ya</w:t>
      </w:r>
      <w:r>
        <w:rPr>
          <w:color w:val="231F20"/>
          <w:spacing w:val="-21"/>
          <w:w w:val="105"/>
        </w:rPr>
        <w:t> </w:t>
      </w:r>
      <w:r>
        <w:rPr>
          <w:color w:val="231F20"/>
          <w:w w:val="105"/>
        </w:rPr>
        <w:t>sea</w:t>
      </w:r>
      <w:r>
        <w:rPr>
          <w:color w:val="231F20"/>
          <w:spacing w:val="-21"/>
          <w:w w:val="105"/>
        </w:rPr>
        <w:t> </w:t>
      </w:r>
      <w:r>
        <w:rPr>
          <w:color w:val="231F20"/>
          <w:w w:val="105"/>
        </w:rPr>
        <w:t>por</w:t>
      </w:r>
      <w:r>
        <w:rPr>
          <w:color w:val="231F20"/>
          <w:spacing w:val="-21"/>
          <w:w w:val="105"/>
        </w:rPr>
        <w:t> </w:t>
      </w:r>
      <w:r>
        <w:rPr>
          <w:color w:val="231F20"/>
          <w:w w:val="105"/>
        </w:rPr>
        <w:t>las</w:t>
      </w:r>
      <w:r>
        <w:rPr>
          <w:color w:val="231F20"/>
          <w:spacing w:val="-21"/>
          <w:w w:val="105"/>
        </w:rPr>
        <w:t> </w:t>
      </w:r>
      <w:r>
        <w:rPr>
          <w:color w:val="231F20"/>
          <w:w w:val="105"/>
        </w:rPr>
        <w:t>dinámicas</w:t>
      </w:r>
      <w:r>
        <w:rPr>
          <w:color w:val="231F20"/>
          <w:spacing w:val="-21"/>
          <w:w w:val="105"/>
        </w:rPr>
        <w:t> </w:t>
      </w:r>
      <w:r>
        <w:rPr>
          <w:color w:val="231F20"/>
          <w:w w:val="105"/>
        </w:rPr>
        <w:t>internas</w:t>
      </w:r>
      <w:r>
        <w:rPr>
          <w:color w:val="231F20"/>
          <w:spacing w:val="-21"/>
          <w:w w:val="105"/>
        </w:rPr>
        <w:t> </w:t>
      </w:r>
      <w:r>
        <w:rPr>
          <w:color w:val="231F20"/>
          <w:w w:val="105"/>
        </w:rPr>
        <w:t>de las propias unidades domésticas o bien por el contexto externo que las rodea.</w:t>
      </w:r>
      <w:r>
        <w:rPr>
          <w:color w:val="231F20"/>
          <w:spacing w:val="-11"/>
          <w:w w:val="105"/>
        </w:rPr>
        <w:t> </w:t>
      </w:r>
      <w:r>
        <w:rPr>
          <w:color w:val="231F20"/>
          <w:w w:val="105"/>
        </w:rPr>
        <w:t>Esto</w:t>
      </w:r>
      <w:r>
        <w:rPr>
          <w:color w:val="231F20"/>
          <w:spacing w:val="-6"/>
          <w:w w:val="105"/>
        </w:rPr>
        <w:t> </w:t>
      </w:r>
      <w:r>
        <w:rPr>
          <w:color w:val="231F20"/>
          <w:w w:val="105"/>
        </w:rPr>
        <w:t>constituye</w:t>
      </w:r>
      <w:r>
        <w:rPr>
          <w:color w:val="231F20"/>
          <w:spacing w:val="-6"/>
          <w:w w:val="105"/>
        </w:rPr>
        <w:t> </w:t>
      </w:r>
      <w:r>
        <w:rPr>
          <w:color w:val="231F20"/>
          <w:w w:val="105"/>
        </w:rPr>
        <w:t>una</w:t>
      </w:r>
      <w:r>
        <w:rPr>
          <w:color w:val="231F20"/>
          <w:spacing w:val="-6"/>
          <w:w w:val="105"/>
        </w:rPr>
        <w:t> </w:t>
      </w:r>
      <w:r>
        <w:rPr>
          <w:color w:val="231F20"/>
          <w:w w:val="105"/>
        </w:rPr>
        <w:t>importante</w:t>
      </w:r>
      <w:r>
        <w:rPr>
          <w:color w:val="231F20"/>
          <w:spacing w:val="-6"/>
          <w:w w:val="105"/>
        </w:rPr>
        <w:t> </w:t>
      </w:r>
      <w:r>
        <w:rPr>
          <w:color w:val="231F20"/>
          <w:w w:val="105"/>
        </w:rPr>
        <w:t>consideración</w:t>
      </w:r>
      <w:r>
        <w:rPr>
          <w:color w:val="231F20"/>
          <w:spacing w:val="-6"/>
          <w:w w:val="105"/>
        </w:rPr>
        <w:t> </w:t>
      </w:r>
      <w:r>
        <w:rPr>
          <w:color w:val="231F20"/>
          <w:w w:val="105"/>
        </w:rPr>
        <w:t>que</w:t>
      </w:r>
      <w:r>
        <w:rPr>
          <w:color w:val="231F20"/>
          <w:spacing w:val="-6"/>
          <w:w w:val="105"/>
        </w:rPr>
        <w:t> </w:t>
      </w:r>
      <w:r>
        <w:rPr>
          <w:color w:val="231F20"/>
          <w:w w:val="105"/>
        </w:rPr>
        <w:t>resulta</w:t>
      </w:r>
      <w:r>
        <w:rPr>
          <w:color w:val="231F20"/>
          <w:spacing w:val="-6"/>
          <w:w w:val="105"/>
        </w:rPr>
        <w:t> </w:t>
      </w:r>
      <w:r>
        <w:rPr>
          <w:color w:val="231F20"/>
          <w:w w:val="105"/>
        </w:rPr>
        <w:t>funda- mental</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discusión</w:t>
      </w:r>
      <w:r>
        <w:rPr>
          <w:color w:val="231F20"/>
          <w:spacing w:val="-8"/>
          <w:w w:val="105"/>
        </w:rPr>
        <w:t> </w:t>
      </w:r>
      <w:r>
        <w:rPr>
          <w:color w:val="231F20"/>
          <w:w w:val="105"/>
        </w:rPr>
        <w:t>de</w:t>
      </w:r>
      <w:r>
        <w:rPr>
          <w:color w:val="231F20"/>
          <w:spacing w:val="-8"/>
          <w:w w:val="105"/>
        </w:rPr>
        <w:t> </w:t>
      </w:r>
      <w:r>
        <w:rPr>
          <w:color w:val="231F20"/>
          <w:w w:val="105"/>
        </w:rPr>
        <w:t>dichos</w:t>
      </w:r>
      <w:r>
        <w:rPr>
          <w:color w:val="231F20"/>
          <w:spacing w:val="-8"/>
          <w:w w:val="105"/>
        </w:rPr>
        <w:t> </w:t>
      </w:r>
      <w:r>
        <w:rPr>
          <w:color w:val="231F20"/>
          <w:w w:val="105"/>
        </w:rPr>
        <w:t>fenómenos.</w:t>
      </w:r>
      <w:r>
        <w:rPr>
          <w:color w:val="231F20"/>
          <w:spacing w:val="-17"/>
          <w:w w:val="105"/>
        </w:rPr>
        <w:t> </w:t>
      </w:r>
      <w:r>
        <w:rPr>
          <w:color w:val="231F20"/>
          <w:w w:val="105"/>
        </w:rPr>
        <w:t>Ambos</w:t>
      </w:r>
      <w:r>
        <w:rPr>
          <w:color w:val="231F20"/>
          <w:spacing w:val="-8"/>
          <w:w w:val="105"/>
        </w:rPr>
        <w:t> </w:t>
      </w:r>
      <w:r>
        <w:rPr>
          <w:color w:val="231F20"/>
          <w:w w:val="105"/>
        </w:rPr>
        <w:t>pueden</w:t>
      </w:r>
      <w:r>
        <w:rPr>
          <w:color w:val="231F20"/>
          <w:spacing w:val="-8"/>
          <w:w w:val="105"/>
        </w:rPr>
        <w:t> </w:t>
      </w:r>
      <w:r>
        <w:rPr>
          <w:color w:val="231F20"/>
          <w:w w:val="105"/>
        </w:rPr>
        <w:t>analizarse como estrategias de supervivencia económica y como prácticas de re- producción</w:t>
      </w:r>
      <w:r>
        <w:rPr>
          <w:color w:val="231F20"/>
          <w:spacing w:val="-14"/>
          <w:w w:val="105"/>
        </w:rPr>
        <w:t> </w:t>
      </w:r>
      <w:r>
        <w:rPr>
          <w:color w:val="231F20"/>
          <w:w w:val="105"/>
        </w:rPr>
        <w:t>social.</w:t>
      </w:r>
    </w:p>
    <w:p>
      <w:pPr>
        <w:pStyle w:val="BodyText"/>
        <w:spacing w:line="261" w:lineRule="auto" w:before="1"/>
        <w:ind w:left="1723" w:right="1834" w:firstLine="567"/>
        <w:jc w:val="both"/>
      </w:pPr>
      <w:r>
        <w:rPr>
          <w:color w:val="231F20"/>
          <w:w w:val="105"/>
        </w:rPr>
        <w:t>En</w:t>
      </w:r>
      <w:r>
        <w:rPr>
          <w:color w:val="231F20"/>
          <w:spacing w:val="-25"/>
          <w:w w:val="105"/>
        </w:rPr>
        <w:t> </w:t>
      </w:r>
      <w:r>
        <w:rPr>
          <w:color w:val="231F20"/>
          <w:w w:val="105"/>
        </w:rPr>
        <w:t>este</w:t>
      </w:r>
      <w:r>
        <w:rPr>
          <w:color w:val="231F20"/>
          <w:spacing w:val="-25"/>
          <w:w w:val="105"/>
        </w:rPr>
        <w:t> </w:t>
      </w:r>
      <w:r>
        <w:rPr>
          <w:color w:val="231F20"/>
          <w:w w:val="105"/>
        </w:rPr>
        <w:t>sentido,</w:t>
      </w:r>
      <w:r>
        <w:rPr>
          <w:color w:val="231F20"/>
          <w:spacing w:val="-29"/>
          <w:w w:val="105"/>
        </w:rPr>
        <w:t> </w:t>
      </w:r>
      <w:r>
        <w:rPr>
          <w:color w:val="231F20"/>
          <w:w w:val="105"/>
        </w:rPr>
        <w:t>se</w:t>
      </w:r>
      <w:r>
        <w:rPr>
          <w:color w:val="231F20"/>
          <w:spacing w:val="-25"/>
          <w:w w:val="105"/>
        </w:rPr>
        <w:t> </w:t>
      </w:r>
      <w:r>
        <w:rPr>
          <w:color w:val="231F20"/>
          <w:w w:val="105"/>
        </w:rPr>
        <w:t>han</w:t>
      </w:r>
      <w:r>
        <w:rPr>
          <w:color w:val="231F20"/>
          <w:spacing w:val="-25"/>
          <w:w w:val="105"/>
        </w:rPr>
        <w:t> </w:t>
      </w:r>
      <w:r>
        <w:rPr>
          <w:color w:val="231F20"/>
          <w:w w:val="105"/>
        </w:rPr>
        <w:t>desarrollado</w:t>
      </w:r>
      <w:r>
        <w:rPr>
          <w:color w:val="231F20"/>
          <w:spacing w:val="-25"/>
          <w:w w:val="105"/>
        </w:rPr>
        <w:t> </w:t>
      </w:r>
      <w:r>
        <w:rPr>
          <w:color w:val="231F20"/>
          <w:w w:val="105"/>
        </w:rPr>
        <w:t>importantes</w:t>
      </w:r>
      <w:r>
        <w:rPr>
          <w:color w:val="231F20"/>
          <w:spacing w:val="-25"/>
          <w:w w:val="105"/>
        </w:rPr>
        <w:t> </w:t>
      </w:r>
      <w:r>
        <w:rPr>
          <w:color w:val="231F20"/>
          <w:w w:val="105"/>
        </w:rPr>
        <w:t>aportaciones</w:t>
      </w:r>
      <w:r>
        <w:rPr>
          <w:color w:val="231F20"/>
          <w:spacing w:val="-25"/>
          <w:w w:val="105"/>
        </w:rPr>
        <w:t> </w:t>
      </w:r>
      <w:r>
        <w:rPr>
          <w:color w:val="231F20"/>
          <w:w w:val="105"/>
        </w:rPr>
        <w:t>teó- ricas que profundizan sobre la perspectiva de la reproducción de dife- rentes</w:t>
      </w:r>
      <w:r>
        <w:rPr>
          <w:color w:val="231F20"/>
          <w:spacing w:val="-29"/>
          <w:w w:val="105"/>
        </w:rPr>
        <w:t> </w:t>
      </w:r>
      <w:r>
        <w:rPr>
          <w:color w:val="231F20"/>
          <w:w w:val="105"/>
        </w:rPr>
        <w:t>prácticas</w:t>
      </w:r>
      <w:r>
        <w:rPr>
          <w:color w:val="231F20"/>
          <w:spacing w:val="-29"/>
          <w:w w:val="105"/>
        </w:rPr>
        <w:t> </w:t>
      </w:r>
      <w:r>
        <w:rPr>
          <w:color w:val="231F20"/>
          <w:w w:val="105"/>
        </w:rPr>
        <w:t>y</w:t>
      </w:r>
      <w:r>
        <w:rPr>
          <w:color w:val="231F20"/>
          <w:spacing w:val="-29"/>
          <w:w w:val="105"/>
        </w:rPr>
        <w:t> </w:t>
      </w:r>
      <w:r>
        <w:rPr>
          <w:color w:val="231F20"/>
          <w:w w:val="105"/>
        </w:rPr>
        <w:t>grupos</w:t>
      </w:r>
      <w:r>
        <w:rPr>
          <w:color w:val="231F20"/>
          <w:spacing w:val="-29"/>
          <w:w w:val="105"/>
        </w:rPr>
        <w:t> </w:t>
      </w:r>
      <w:r>
        <w:rPr>
          <w:color w:val="231F20"/>
          <w:w w:val="105"/>
        </w:rPr>
        <w:t>sociales.</w:t>
      </w:r>
      <w:r>
        <w:rPr>
          <w:color w:val="231F20"/>
          <w:spacing w:val="-33"/>
          <w:w w:val="105"/>
        </w:rPr>
        <w:t> </w:t>
      </w:r>
      <w:r>
        <w:rPr>
          <w:color w:val="231F20"/>
          <w:w w:val="105"/>
        </w:rPr>
        <w:t>Un</w:t>
      </w:r>
      <w:r>
        <w:rPr>
          <w:color w:val="231F20"/>
          <w:spacing w:val="-29"/>
          <w:w w:val="105"/>
        </w:rPr>
        <w:t> </w:t>
      </w:r>
      <w:r>
        <w:rPr>
          <w:color w:val="231F20"/>
          <w:w w:val="105"/>
        </w:rPr>
        <w:t>importante</w:t>
      </w:r>
      <w:r>
        <w:rPr>
          <w:color w:val="231F20"/>
          <w:spacing w:val="-29"/>
          <w:w w:val="105"/>
        </w:rPr>
        <w:t> </w:t>
      </w:r>
      <w:r>
        <w:rPr>
          <w:color w:val="231F20"/>
          <w:w w:val="105"/>
        </w:rPr>
        <w:t>representante</w:t>
      </w:r>
      <w:r>
        <w:rPr>
          <w:color w:val="231F20"/>
          <w:spacing w:val="-29"/>
          <w:w w:val="105"/>
        </w:rPr>
        <w:t> </w:t>
      </w:r>
      <w:r>
        <w:rPr>
          <w:color w:val="231F20"/>
          <w:w w:val="105"/>
        </w:rPr>
        <w:t>es</w:t>
      </w:r>
      <w:r>
        <w:rPr>
          <w:color w:val="231F20"/>
          <w:spacing w:val="-29"/>
          <w:w w:val="105"/>
        </w:rPr>
        <w:t> </w:t>
      </w:r>
      <w:r>
        <w:rPr>
          <w:color w:val="231F20"/>
          <w:w w:val="105"/>
        </w:rPr>
        <w:t>Pierre Bourdieu,</w:t>
      </w:r>
      <w:r>
        <w:rPr>
          <w:color w:val="231F20"/>
          <w:spacing w:val="-20"/>
          <w:w w:val="105"/>
        </w:rPr>
        <w:t> </w:t>
      </w:r>
      <w:r>
        <w:rPr>
          <w:color w:val="231F20"/>
          <w:w w:val="105"/>
        </w:rPr>
        <w:t>quien</w:t>
      </w:r>
      <w:r>
        <w:rPr>
          <w:color w:val="231F20"/>
          <w:spacing w:val="-16"/>
          <w:w w:val="105"/>
        </w:rPr>
        <w:t> </w:t>
      </w:r>
      <w:r>
        <w:rPr>
          <w:color w:val="231F20"/>
          <w:w w:val="105"/>
        </w:rPr>
        <w:t>incorpora</w:t>
      </w:r>
      <w:r>
        <w:rPr>
          <w:color w:val="231F20"/>
          <w:spacing w:val="-16"/>
          <w:w w:val="105"/>
        </w:rPr>
        <w:t> </w:t>
      </w:r>
      <w:r>
        <w:rPr>
          <w:color w:val="231F20"/>
          <w:w w:val="105"/>
        </w:rPr>
        <w:t>en</w:t>
      </w:r>
      <w:r>
        <w:rPr>
          <w:color w:val="231F20"/>
          <w:spacing w:val="-16"/>
          <w:w w:val="105"/>
        </w:rPr>
        <w:t> </w:t>
      </w:r>
      <w:r>
        <w:rPr>
          <w:color w:val="231F20"/>
          <w:w w:val="105"/>
        </w:rPr>
        <w:t>su</w:t>
      </w:r>
      <w:r>
        <w:rPr>
          <w:color w:val="231F20"/>
          <w:spacing w:val="-16"/>
          <w:w w:val="105"/>
        </w:rPr>
        <w:t> </w:t>
      </w:r>
      <w:r>
        <w:rPr>
          <w:color w:val="231F20"/>
          <w:w w:val="105"/>
        </w:rPr>
        <w:t>análisis</w:t>
      </w:r>
      <w:r>
        <w:rPr>
          <w:color w:val="231F20"/>
          <w:spacing w:val="-16"/>
          <w:w w:val="105"/>
        </w:rPr>
        <w:t> </w:t>
      </w:r>
      <w:r>
        <w:rPr>
          <w:color w:val="231F20"/>
          <w:w w:val="105"/>
        </w:rPr>
        <w:t>diversos</w:t>
      </w:r>
      <w:r>
        <w:rPr>
          <w:color w:val="231F20"/>
          <w:spacing w:val="-16"/>
          <w:w w:val="105"/>
        </w:rPr>
        <w:t> </w:t>
      </w:r>
      <w:r>
        <w:rPr>
          <w:color w:val="231F20"/>
          <w:w w:val="105"/>
        </w:rPr>
        <w:t>ejes</w:t>
      </w:r>
      <w:r>
        <w:rPr>
          <w:color w:val="231F20"/>
          <w:spacing w:val="-16"/>
          <w:w w:val="105"/>
        </w:rPr>
        <w:t> </w:t>
      </w:r>
      <w:r>
        <w:rPr>
          <w:color w:val="231F20"/>
          <w:w w:val="105"/>
        </w:rPr>
        <w:t>tales</w:t>
      </w:r>
      <w:r>
        <w:rPr>
          <w:color w:val="231F20"/>
          <w:spacing w:val="-16"/>
          <w:w w:val="105"/>
        </w:rPr>
        <w:t> </w:t>
      </w:r>
      <w:r>
        <w:rPr>
          <w:color w:val="231F20"/>
          <w:w w:val="105"/>
        </w:rPr>
        <w:t>como</w:t>
      </w:r>
      <w:r>
        <w:rPr>
          <w:color w:val="231F20"/>
          <w:spacing w:val="-16"/>
          <w:w w:val="105"/>
        </w:rPr>
        <w:t> </w:t>
      </w:r>
      <w:r>
        <w:rPr>
          <w:color w:val="231F20"/>
          <w:w w:val="105"/>
        </w:rPr>
        <w:t>la</w:t>
      </w:r>
      <w:r>
        <w:rPr>
          <w:color w:val="231F20"/>
          <w:spacing w:val="-16"/>
          <w:w w:val="105"/>
        </w:rPr>
        <w:t> </w:t>
      </w:r>
      <w:r>
        <w:rPr>
          <w:color w:val="231F20"/>
          <w:w w:val="105"/>
        </w:rPr>
        <w:t>vida cotidiana y las prácticas sociales para dar cuenta de la complejidad</w:t>
      </w:r>
      <w:r>
        <w:rPr>
          <w:color w:val="231F20"/>
          <w:spacing w:val="-8"/>
          <w:w w:val="105"/>
        </w:rPr>
        <w:t> </w:t>
      </w:r>
      <w:r>
        <w:rPr>
          <w:color w:val="231F20"/>
          <w:w w:val="105"/>
        </w:rPr>
        <w:t>del</w:t>
      </w:r>
    </w:p>
    <w:p>
      <w:pPr>
        <w:pStyle w:val="BodyText"/>
        <w:rPr>
          <w:sz w:val="20"/>
        </w:rPr>
      </w:pPr>
    </w:p>
    <w:p>
      <w:pPr>
        <w:pStyle w:val="BodyText"/>
        <w:rPr>
          <w:sz w:val="20"/>
        </w:rPr>
      </w:pPr>
    </w:p>
    <w:p>
      <w:pPr>
        <w:pStyle w:val="BodyText"/>
        <w:rPr>
          <w:sz w:val="26"/>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1336" from="131.551193pt,3.703715pt" to="131.551193pt,39.506114pt" stroked="true" strokeweight=".35pt" strokecolor="#231f20">
            <w10:wrap type="none"/>
          </v:line>
        </w:pict>
      </w:r>
      <w:r>
        <w:rPr/>
        <w:pict>
          <v:line style="position:absolute;mso-position-horizontal-relative:page;mso-position-vertical-relative:paragraph;z-index:-481264" from="15pt,39.505917pt" to="0pt,39.505917pt" stroked="true" strokeweight=".25pt" strokecolor="#000000">
            <w10:wrap type="none"/>
          </v:line>
        </w:pict>
      </w:r>
      <w:r>
        <w:rPr/>
        <w:pict>
          <v:line style="position:absolute;mso-position-horizontal-relative:page;mso-position-vertical-relative:paragraph;z-index:8944" from="508.890015pt,39.505917pt" to="523.890015pt,39.505917pt" stroked="true" strokeweight=".25pt" strokecolor="#000000">
            <w10:wrap type="none"/>
          </v:line>
        </w:pict>
      </w:r>
      <w:r>
        <w:rPr>
          <w:rFonts w:ascii="Arial" w:hAnsi="Arial"/>
          <w:color w:val="414042"/>
          <w:position w:val="-5"/>
          <w:sz w:val="20"/>
        </w:rPr>
        <w:t>92</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755" w:right="0" w:firstLine="0"/>
        <w:jc w:val="left"/>
        <w:rPr>
          <w:rFonts w:ascii="Arial" w:hAnsi="Arial"/>
          <w:sz w:val="20"/>
        </w:rPr>
      </w:pPr>
      <w:r>
        <w:rPr/>
        <w:pict>
          <v:line style="position:absolute;mso-position-horizontal-relative:page;mso-position-vertical-relative:paragraph;z-index:-481216" from="405.061005pt,-18.554295pt" to="405.061005pt,16.311579pt" stroked="true" strokeweight=".35pt" strokecolor="#231f20">
            <w10:wrap type="none"/>
          </v:line>
        </w:pict>
      </w:r>
      <w:r>
        <w:rPr/>
        <w:pict>
          <v:line style="position:absolute;mso-position-horizontal-relative:page;mso-position-vertical-relative:paragraph;z-index:8992" from="15pt,-18.554522pt" to="0pt,-18.554522pt" stroked="true" strokeweight=".25pt" strokecolor="#000000">
            <w10:wrap type="none"/>
          </v:line>
        </w:pict>
      </w:r>
      <w:r>
        <w:rPr/>
        <w:pict>
          <v:line style="position:absolute;mso-position-horizontal-relative:page;mso-position-vertical-relative:paragraph;z-index:9016"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93</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proceso</w:t>
      </w:r>
      <w:r>
        <w:rPr>
          <w:color w:val="231F20"/>
          <w:spacing w:val="-6"/>
          <w:w w:val="105"/>
        </w:rPr>
        <w:t> </w:t>
      </w:r>
      <w:r>
        <w:rPr>
          <w:color w:val="231F20"/>
          <w:w w:val="105"/>
        </w:rPr>
        <w:t>de</w:t>
      </w:r>
      <w:r>
        <w:rPr>
          <w:color w:val="231F20"/>
          <w:spacing w:val="-6"/>
          <w:w w:val="105"/>
        </w:rPr>
        <w:t> </w:t>
      </w:r>
      <w:r>
        <w:rPr>
          <w:color w:val="231F20"/>
          <w:w w:val="105"/>
        </w:rPr>
        <w:t>permanencia,</w:t>
      </w:r>
      <w:r>
        <w:rPr>
          <w:color w:val="231F20"/>
          <w:spacing w:val="-11"/>
          <w:w w:val="105"/>
        </w:rPr>
        <w:t> </w:t>
      </w:r>
      <w:r>
        <w:rPr>
          <w:color w:val="231F20"/>
          <w:w w:val="105"/>
        </w:rPr>
        <w:t>cambio</w:t>
      </w:r>
      <w:r>
        <w:rPr>
          <w:color w:val="231F20"/>
          <w:spacing w:val="-6"/>
          <w:w w:val="105"/>
        </w:rPr>
        <w:t> </w:t>
      </w:r>
      <w:r>
        <w:rPr>
          <w:color w:val="231F20"/>
          <w:w w:val="105"/>
        </w:rPr>
        <w:t>y</w:t>
      </w:r>
      <w:r>
        <w:rPr>
          <w:color w:val="231F20"/>
          <w:spacing w:val="-6"/>
          <w:w w:val="105"/>
        </w:rPr>
        <w:t> </w:t>
      </w:r>
      <w:r>
        <w:rPr>
          <w:color w:val="231F20"/>
          <w:w w:val="105"/>
        </w:rPr>
        <w:t>reproducción</w:t>
      </w:r>
      <w:r>
        <w:rPr>
          <w:color w:val="231F20"/>
          <w:spacing w:val="-6"/>
          <w:w w:val="105"/>
        </w:rPr>
        <w:t> </w:t>
      </w:r>
      <w:r>
        <w:rPr>
          <w:color w:val="231F20"/>
          <w:w w:val="105"/>
        </w:rPr>
        <w:t>de</w:t>
      </w:r>
      <w:r>
        <w:rPr>
          <w:color w:val="231F20"/>
          <w:spacing w:val="-6"/>
          <w:w w:val="105"/>
        </w:rPr>
        <w:t> </w:t>
      </w:r>
      <w:r>
        <w:rPr>
          <w:color w:val="231F20"/>
          <w:w w:val="105"/>
        </w:rPr>
        <w:t>lo</w:t>
      </w:r>
      <w:r>
        <w:rPr>
          <w:color w:val="231F20"/>
          <w:spacing w:val="-6"/>
          <w:w w:val="105"/>
        </w:rPr>
        <w:t> </w:t>
      </w:r>
      <w:r>
        <w:rPr>
          <w:color w:val="231F20"/>
          <w:w w:val="105"/>
        </w:rPr>
        <w:t>social</w:t>
      </w:r>
      <w:r>
        <w:rPr>
          <w:color w:val="231F20"/>
          <w:spacing w:val="-6"/>
          <w:w w:val="105"/>
        </w:rPr>
        <w:t> </w:t>
      </w:r>
      <w:r>
        <w:rPr>
          <w:color w:val="231F20"/>
          <w:w w:val="105"/>
        </w:rPr>
        <w:t>(Oliveira</w:t>
      </w:r>
      <w:r>
        <w:rPr>
          <w:color w:val="231F20"/>
          <w:spacing w:val="-6"/>
          <w:w w:val="105"/>
        </w:rPr>
        <w:t> </w:t>
      </w:r>
      <w:r>
        <w:rPr>
          <w:color w:val="231F20"/>
          <w:w w:val="105"/>
        </w:rPr>
        <w:t>y </w:t>
      </w:r>
      <w:r>
        <w:rPr>
          <w:color w:val="231F20"/>
        </w:rPr>
        <w:t>Salles,</w:t>
      </w:r>
      <w:r>
        <w:rPr>
          <w:color w:val="231F20"/>
          <w:spacing w:val="-30"/>
        </w:rPr>
        <w:t> </w:t>
      </w:r>
      <w:r>
        <w:rPr>
          <w:color w:val="231F20"/>
        </w:rPr>
        <w:t>2000).</w:t>
      </w:r>
    </w:p>
    <w:p>
      <w:pPr>
        <w:pStyle w:val="BodyText"/>
        <w:spacing w:line="261" w:lineRule="auto"/>
        <w:ind w:left="1837" w:right="1720" w:firstLine="566"/>
        <w:jc w:val="both"/>
      </w:pPr>
      <w:r>
        <w:rPr>
          <w:color w:val="231F20"/>
          <w:w w:val="105"/>
        </w:rPr>
        <w:t>Con</w:t>
      </w:r>
      <w:r>
        <w:rPr>
          <w:color w:val="231F20"/>
          <w:spacing w:val="-16"/>
          <w:w w:val="105"/>
        </w:rPr>
        <w:t> </w:t>
      </w:r>
      <w:r>
        <w:rPr>
          <w:color w:val="231F20"/>
          <w:w w:val="105"/>
        </w:rPr>
        <w:t>su</w:t>
      </w:r>
      <w:r>
        <w:rPr>
          <w:color w:val="231F20"/>
          <w:spacing w:val="-16"/>
          <w:w w:val="105"/>
        </w:rPr>
        <w:t> </w:t>
      </w:r>
      <w:r>
        <w:rPr>
          <w:color w:val="231F20"/>
          <w:w w:val="105"/>
        </w:rPr>
        <w:t>conocido</w:t>
      </w:r>
      <w:r>
        <w:rPr>
          <w:color w:val="231F20"/>
          <w:spacing w:val="-16"/>
          <w:w w:val="105"/>
        </w:rPr>
        <w:t> </w:t>
      </w:r>
      <w:r>
        <w:rPr>
          <w:color w:val="231F20"/>
          <w:w w:val="105"/>
        </w:rPr>
        <w:t>concepto</w:t>
      </w:r>
      <w:r>
        <w:rPr>
          <w:color w:val="231F20"/>
          <w:spacing w:val="-16"/>
          <w:w w:val="105"/>
        </w:rPr>
        <w:t> </w:t>
      </w:r>
      <w:r>
        <w:rPr>
          <w:color w:val="231F20"/>
          <w:w w:val="105"/>
        </w:rPr>
        <w:t>de</w:t>
      </w:r>
      <w:r>
        <w:rPr>
          <w:color w:val="231F20"/>
          <w:spacing w:val="-16"/>
          <w:w w:val="105"/>
        </w:rPr>
        <w:t> </w:t>
      </w:r>
      <w:r>
        <w:rPr>
          <w:rFonts w:ascii="Arial" w:hAnsi="Arial"/>
          <w:i/>
          <w:color w:val="231F20"/>
          <w:w w:val="105"/>
        </w:rPr>
        <w:t>habitus,</w:t>
      </w:r>
      <w:r>
        <w:rPr>
          <w:rFonts w:ascii="Arial" w:hAnsi="Arial"/>
          <w:i/>
          <w:color w:val="231F20"/>
          <w:spacing w:val="-25"/>
          <w:w w:val="105"/>
        </w:rPr>
        <w:t> </w:t>
      </w:r>
      <w:r>
        <w:rPr>
          <w:color w:val="231F20"/>
          <w:w w:val="105"/>
        </w:rPr>
        <w:t>Bourdieu</w:t>
      </w:r>
      <w:r>
        <w:rPr>
          <w:color w:val="231F20"/>
          <w:spacing w:val="-16"/>
          <w:w w:val="105"/>
        </w:rPr>
        <w:t> </w:t>
      </w:r>
      <w:r>
        <w:rPr>
          <w:color w:val="231F20"/>
          <w:w w:val="105"/>
        </w:rPr>
        <w:t>intenta</w:t>
      </w:r>
      <w:r>
        <w:rPr>
          <w:color w:val="231F20"/>
          <w:spacing w:val="-16"/>
          <w:w w:val="105"/>
        </w:rPr>
        <w:t> </w:t>
      </w:r>
      <w:r>
        <w:rPr>
          <w:color w:val="231F20"/>
          <w:w w:val="105"/>
        </w:rPr>
        <w:t>dar</w:t>
      </w:r>
      <w:r>
        <w:rPr>
          <w:color w:val="231F20"/>
          <w:spacing w:val="-16"/>
          <w:w w:val="105"/>
        </w:rPr>
        <w:t> </w:t>
      </w:r>
      <w:r>
        <w:rPr>
          <w:color w:val="231F20"/>
          <w:w w:val="105"/>
        </w:rPr>
        <w:t>cuenta de la forma en que lo social es capturado y apropiado por lo</w:t>
      </w:r>
      <w:r>
        <w:rPr>
          <w:color w:val="231F20"/>
          <w:spacing w:val="-34"/>
          <w:w w:val="105"/>
        </w:rPr>
        <w:t> </w:t>
      </w:r>
      <w:r>
        <w:rPr>
          <w:color w:val="231F20"/>
          <w:w w:val="105"/>
        </w:rPr>
        <w:t>individuos; término que incluye una perspectiva en movimiento de los fenómenos sociales,</w:t>
      </w:r>
      <w:r>
        <w:rPr>
          <w:color w:val="231F20"/>
          <w:spacing w:val="-24"/>
          <w:w w:val="105"/>
        </w:rPr>
        <w:t> </w:t>
      </w:r>
      <w:r>
        <w:rPr>
          <w:color w:val="231F20"/>
          <w:w w:val="105"/>
        </w:rPr>
        <w:t>es</w:t>
      </w:r>
      <w:r>
        <w:rPr>
          <w:color w:val="231F20"/>
          <w:spacing w:val="-19"/>
          <w:w w:val="105"/>
        </w:rPr>
        <w:t> </w:t>
      </w:r>
      <w:r>
        <w:rPr>
          <w:color w:val="231F20"/>
          <w:w w:val="105"/>
        </w:rPr>
        <w:t>decir,</w:t>
      </w:r>
      <w:r>
        <w:rPr>
          <w:color w:val="231F20"/>
          <w:spacing w:val="-24"/>
          <w:w w:val="105"/>
        </w:rPr>
        <w:t> </w:t>
      </w:r>
      <w:r>
        <w:rPr>
          <w:color w:val="231F20"/>
          <w:w w:val="105"/>
        </w:rPr>
        <w:t>facilita</w:t>
      </w:r>
      <w:r>
        <w:rPr>
          <w:color w:val="231F20"/>
          <w:spacing w:val="-19"/>
          <w:w w:val="105"/>
        </w:rPr>
        <w:t> </w:t>
      </w:r>
      <w:r>
        <w:rPr>
          <w:color w:val="231F20"/>
          <w:w w:val="105"/>
        </w:rPr>
        <w:t>su</w:t>
      </w:r>
      <w:r>
        <w:rPr>
          <w:color w:val="231F20"/>
          <w:spacing w:val="-19"/>
          <w:w w:val="105"/>
        </w:rPr>
        <w:t> </w:t>
      </w:r>
      <w:r>
        <w:rPr>
          <w:color w:val="231F20"/>
          <w:w w:val="105"/>
        </w:rPr>
        <w:t>comprensión</w:t>
      </w:r>
      <w:r>
        <w:rPr>
          <w:color w:val="231F20"/>
          <w:spacing w:val="-19"/>
          <w:w w:val="105"/>
        </w:rPr>
        <w:t> </w:t>
      </w:r>
      <w:r>
        <w:rPr>
          <w:color w:val="231F20"/>
          <w:w w:val="105"/>
        </w:rPr>
        <w:t>como</w:t>
      </w:r>
      <w:r>
        <w:rPr>
          <w:color w:val="231F20"/>
          <w:spacing w:val="-19"/>
          <w:w w:val="105"/>
        </w:rPr>
        <w:t> </w:t>
      </w:r>
      <w:r>
        <w:rPr>
          <w:color w:val="231F20"/>
          <w:w w:val="105"/>
        </w:rPr>
        <w:t>procesos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tiempo.</w:t>
      </w:r>
    </w:p>
    <w:p>
      <w:pPr>
        <w:pStyle w:val="BodyText"/>
        <w:spacing w:line="261" w:lineRule="auto"/>
        <w:ind w:left="1837" w:right="1721" w:firstLine="567"/>
        <w:jc w:val="both"/>
      </w:pPr>
      <w:r>
        <w:rPr>
          <w:color w:val="231F20"/>
          <w:w w:val="105"/>
        </w:rPr>
        <w:t>Una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principales</w:t>
      </w:r>
      <w:r>
        <w:rPr>
          <w:color w:val="231F20"/>
          <w:spacing w:val="-17"/>
          <w:w w:val="105"/>
        </w:rPr>
        <w:t> </w:t>
      </w:r>
      <w:r>
        <w:rPr>
          <w:color w:val="231F20"/>
          <w:w w:val="105"/>
        </w:rPr>
        <w:t>aportaciones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noción</w:t>
      </w:r>
      <w:r>
        <w:rPr>
          <w:color w:val="231F20"/>
          <w:spacing w:val="-17"/>
          <w:w w:val="105"/>
        </w:rPr>
        <w:t> </w:t>
      </w:r>
      <w:r>
        <w:rPr>
          <w:color w:val="231F20"/>
          <w:w w:val="105"/>
        </w:rPr>
        <w:t>de</w:t>
      </w:r>
      <w:r>
        <w:rPr>
          <w:color w:val="231F20"/>
          <w:spacing w:val="-17"/>
          <w:w w:val="105"/>
        </w:rPr>
        <w:t> </w:t>
      </w:r>
      <w:r>
        <w:rPr>
          <w:rFonts w:ascii="Arial" w:hAnsi="Arial"/>
          <w:i/>
          <w:color w:val="231F20"/>
          <w:w w:val="105"/>
        </w:rPr>
        <w:t>habitus</w:t>
      </w:r>
      <w:r>
        <w:rPr>
          <w:rFonts w:ascii="Arial" w:hAnsi="Arial"/>
          <w:i/>
          <w:color w:val="231F20"/>
          <w:spacing w:val="-20"/>
          <w:w w:val="105"/>
        </w:rPr>
        <w:t> </w:t>
      </w:r>
      <w:r>
        <w:rPr>
          <w:color w:val="231F20"/>
          <w:w w:val="105"/>
        </w:rPr>
        <w:t>es</w:t>
      </w:r>
      <w:r>
        <w:rPr>
          <w:color w:val="231F20"/>
          <w:spacing w:val="-17"/>
          <w:w w:val="105"/>
        </w:rPr>
        <w:t> </w:t>
      </w:r>
      <w:r>
        <w:rPr>
          <w:color w:val="231F20"/>
          <w:w w:val="105"/>
        </w:rPr>
        <w:t>que permite</w:t>
      </w:r>
      <w:r>
        <w:rPr>
          <w:color w:val="231F20"/>
          <w:spacing w:val="-14"/>
          <w:w w:val="105"/>
        </w:rPr>
        <w:t> </w:t>
      </w:r>
      <w:r>
        <w:rPr>
          <w:color w:val="231F20"/>
          <w:w w:val="105"/>
        </w:rPr>
        <w:t>articular</w:t>
      </w:r>
      <w:r>
        <w:rPr>
          <w:color w:val="231F20"/>
          <w:spacing w:val="-14"/>
          <w:w w:val="105"/>
        </w:rPr>
        <w:t> </w:t>
      </w:r>
      <w:r>
        <w:rPr>
          <w:color w:val="231F20"/>
          <w:w w:val="105"/>
        </w:rPr>
        <w:t>lo</w:t>
      </w:r>
      <w:r>
        <w:rPr>
          <w:color w:val="231F20"/>
          <w:spacing w:val="-14"/>
          <w:w w:val="105"/>
        </w:rPr>
        <w:t> </w:t>
      </w:r>
      <w:r>
        <w:rPr>
          <w:color w:val="231F20"/>
          <w:w w:val="105"/>
        </w:rPr>
        <w:t>individual</w:t>
      </w:r>
      <w:r>
        <w:rPr>
          <w:color w:val="231F20"/>
          <w:spacing w:val="-14"/>
          <w:w w:val="105"/>
        </w:rPr>
        <w:t> </w:t>
      </w:r>
      <w:r>
        <w:rPr>
          <w:color w:val="231F20"/>
          <w:w w:val="105"/>
        </w:rPr>
        <w:t>con</w:t>
      </w:r>
      <w:r>
        <w:rPr>
          <w:color w:val="231F20"/>
          <w:spacing w:val="-14"/>
          <w:w w:val="105"/>
        </w:rPr>
        <w:t> </w:t>
      </w:r>
      <w:r>
        <w:rPr>
          <w:color w:val="231F20"/>
          <w:w w:val="105"/>
        </w:rPr>
        <w:t>lo</w:t>
      </w:r>
      <w:r>
        <w:rPr>
          <w:color w:val="231F20"/>
          <w:spacing w:val="-14"/>
          <w:w w:val="105"/>
        </w:rPr>
        <w:t> </w:t>
      </w:r>
      <w:r>
        <w:rPr>
          <w:color w:val="231F20"/>
          <w:w w:val="105"/>
        </w:rPr>
        <w:t>social,</w:t>
      </w:r>
      <w:r>
        <w:rPr>
          <w:color w:val="231F20"/>
          <w:spacing w:val="-19"/>
          <w:w w:val="105"/>
        </w:rPr>
        <w:t> </w:t>
      </w:r>
      <w:r>
        <w:rPr>
          <w:color w:val="231F20"/>
          <w:w w:val="105"/>
        </w:rPr>
        <w:t>es</w:t>
      </w:r>
      <w:r>
        <w:rPr>
          <w:color w:val="231F20"/>
          <w:spacing w:val="-14"/>
          <w:w w:val="105"/>
        </w:rPr>
        <w:t> </w:t>
      </w:r>
      <w:r>
        <w:rPr>
          <w:color w:val="231F20"/>
          <w:w w:val="105"/>
        </w:rPr>
        <w:t>decir,</w:t>
      </w:r>
      <w:r>
        <w:rPr>
          <w:color w:val="231F20"/>
          <w:spacing w:val="-19"/>
          <w:w w:val="105"/>
        </w:rPr>
        <w:t> </w:t>
      </w:r>
      <w:r>
        <w:rPr>
          <w:color w:val="231F20"/>
          <w:w w:val="105"/>
        </w:rPr>
        <w:t>las</w:t>
      </w:r>
      <w:r>
        <w:rPr>
          <w:color w:val="231F20"/>
          <w:spacing w:val="-14"/>
          <w:w w:val="105"/>
        </w:rPr>
        <w:t> </w:t>
      </w:r>
      <w:r>
        <w:rPr>
          <w:color w:val="231F20"/>
          <w:w w:val="105"/>
        </w:rPr>
        <w:t>estructuras</w:t>
      </w:r>
      <w:r>
        <w:rPr>
          <w:color w:val="231F20"/>
          <w:spacing w:val="-14"/>
          <w:w w:val="105"/>
        </w:rPr>
        <w:t> </w:t>
      </w:r>
      <w:r>
        <w:rPr>
          <w:color w:val="231F20"/>
          <w:w w:val="105"/>
        </w:rPr>
        <w:t>inter- nas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subjetividad</w:t>
      </w:r>
      <w:r>
        <w:rPr>
          <w:color w:val="231F20"/>
          <w:spacing w:val="-6"/>
          <w:w w:val="105"/>
        </w:rPr>
        <w:t> </w:t>
      </w:r>
      <w:r>
        <w:rPr>
          <w:color w:val="231F20"/>
          <w:w w:val="105"/>
        </w:rPr>
        <w:t>y</w:t>
      </w:r>
      <w:r>
        <w:rPr>
          <w:color w:val="231F20"/>
          <w:spacing w:val="-6"/>
          <w:w w:val="105"/>
        </w:rPr>
        <w:t> </w:t>
      </w:r>
      <w:r>
        <w:rPr>
          <w:color w:val="231F20"/>
          <w:w w:val="105"/>
        </w:rPr>
        <w:t>las</w:t>
      </w:r>
      <w:r>
        <w:rPr>
          <w:color w:val="231F20"/>
          <w:spacing w:val="-6"/>
          <w:w w:val="105"/>
        </w:rPr>
        <w:t> </w:t>
      </w:r>
      <w:r>
        <w:rPr>
          <w:color w:val="231F20"/>
          <w:w w:val="105"/>
        </w:rPr>
        <w:t>estructuras</w:t>
      </w:r>
      <w:r>
        <w:rPr>
          <w:color w:val="231F20"/>
          <w:spacing w:val="-6"/>
          <w:w w:val="105"/>
        </w:rPr>
        <w:t> </w:t>
      </w:r>
      <w:r>
        <w:rPr>
          <w:color w:val="231F20"/>
          <w:w w:val="105"/>
        </w:rPr>
        <w:t>sociales</w:t>
      </w:r>
      <w:r>
        <w:rPr>
          <w:color w:val="231F20"/>
          <w:spacing w:val="-6"/>
          <w:w w:val="105"/>
        </w:rPr>
        <w:t> </w:t>
      </w:r>
      <w:r>
        <w:rPr>
          <w:color w:val="231F20"/>
          <w:w w:val="105"/>
        </w:rPr>
        <w:t>externas,</w:t>
      </w:r>
      <w:r>
        <w:rPr>
          <w:color w:val="231F20"/>
          <w:spacing w:val="-11"/>
          <w:w w:val="105"/>
        </w:rPr>
        <w:t> </w:t>
      </w:r>
      <w:r>
        <w:rPr>
          <w:color w:val="231F20"/>
          <w:w w:val="105"/>
        </w:rPr>
        <w:t>al</w:t>
      </w:r>
      <w:r>
        <w:rPr>
          <w:color w:val="231F20"/>
          <w:spacing w:val="-6"/>
          <w:w w:val="105"/>
        </w:rPr>
        <w:t> </w:t>
      </w:r>
      <w:r>
        <w:rPr>
          <w:color w:val="231F20"/>
          <w:w w:val="105"/>
        </w:rPr>
        <w:t>tiempo</w:t>
      </w:r>
      <w:r>
        <w:rPr>
          <w:color w:val="231F20"/>
          <w:spacing w:val="-6"/>
          <w:w w:val="105"/>
        </w:rPr>
        <w:t> </w:t>
      </w:r>
      <w:r>
        <w:rPr>
          <w:color w:val="231F20"/>
          <w:w w:val="105"/>
        </w:rPr>
        <w:t>que permite la compaginación entre la libre iniciativa del individuo con la</w:t>
      </w:r>
      <w:r>
        <w:rPr>
          <w:color w:val="231F20"/>
          <w:spacing w:val="-25"/>
          <w:w w:val="105"/>
        </w:rPr>
        <w:t> </w:t>
      </w:r>
      <w:r>
        <w:rPr>
          <w:color w:val="231F20"/>
          <w:w w:val="105"/>
        </w:rPr>
        <w:t>in- fluencia</w:t>
      </w:r>
      <w:r>
        <w:rPr>
          <w:color w:val="231F20"/>
          <w:spacing w:val="-27"/>
          <w:w w:val="105"/>
        </w:rPr>
        <w:t> </w:t>
      </w:r>
      <w:r>
        <w:rPr>
          <w:color w:val="231F20"/>
          <w:w w:val="105"/>
        </w:rPr>
        <w:t>exterior</w:t>
      </w:r>
      <w:r>
        <w:rPr>
          <w:color w:val="231F20"/>
          <w:spacing w:val="-27"/>
          <w:w w:val="105"/>
        </w:rPr>
        <w:t> </w:t>
      </w:r>
      <w:r>
        <w:rPr>
          <w:color w:val="231F20"/>
          <w:w w:val="105"/>
        </w:rPr>
        <w:t>de</w:t>
      </w:r>
      <w:r>
        <w:rPr>
          <w:color w:val="231F20"/>
          <w:spacing w:val="6"/>
          <w:w w:val="105"/>
        </w:rPr>
        <w:t> </w:t>
      </w:r>
      <w:r>
        <w:rPr>
          <w:color w:val="231F20"/>
          <w:w w:val="105"/>
        </w:rPr>
        <w:t>las</w:t>
      </w:r>
      <w:r>
        <w:rPr>
          <w:color w:val="231F20"/>
          <w:spacing w:val="-27"/>
          <w:w w:val="105"/>
        </w:rPr>
        <w:t> </w:t>
      </w:r>
      <w:r>
        <w:rPr>
          <w:color w:val="231F20"/>
          <w:w w:val="105"/>
        </w:rPr>
        <w:t>organizaciones</w:t>
      </w:r>
      <w:r>
        <w:rPr>
          <w:color w:val="231F20"/>
          <w:spacing w:val="-27"/>
          <w:w w:val="105"/>
        </w:rPr>
        <w:t> </w:t>
      </w:r>
      <w:r>
        <w:rPr>
          <w:color w:val="231F20"/>
          <w:w w:val="105"/>
        </w:rPr>
        <w:t>(Castón,</w:t>
      </w:r>
      <w:r>
        <w:rPr>
          <w:color w:val="231F20"/>
          <w:spacing w:val="-31"/>
          <w:w w:val="105"/>
        </w:rPr>
        <w:t> </w:t>
      </w:r>
      <w:r>
        <w:rPr>
          <w:color w:val="231F20"/>
          <w:w w:val="105"/>
        </w:rPr>
        <w:t>1996).</w:t>
      </w:r>
    </w:p>
    <w:p>
      <w:pPr>
        <w:spacing w:line="239" w:lineRule="exact" w:before="0"/>
        <w:ind w:left="2404" w:right="0" w:firstLine="0"/>
        <w:jc w:val="left"/>
        <w:rPr>
          <w:sz w:val="21"/>
        </w:rPr>
      </w:pPr>
      <w:r>
        <w:rPr>
          <w:color w:val="231F20"/>
          <w:w w:val="105"/>
          <w:sz w:val="21"/>
        </w:rPr>
        <w:t>Así, el </w:t>
      </w:r>
      <w:r>
        <w:rPr>
          <w:rFonts w:ascii="Arial" w:hAnsi="Arial"/>
          <w:i/>
          <w:color w:val="231F20"/>
          <w:w w:val="105"/>
          <w:sz w:val="21"/>
        </w:rPr>
        <w:t>habitus </w:t>
      </w:r>
      <w:r>
        <w:rPr>
          <w:color w:val="231F20"/>
          <w:w w:val="105"/>
          <w:sz w:val="21"/>
        </w:rPr>
        <w:t>es definido como:</w:t>
      </w:r>
    </w:p>
    <w:p>
      <w:pPr>
        <w:pStyle w:val="BodyText"/>
        <w:spacing w:before="6"/>
        <w:rPr>
          <w:sz w:val="20"/>
        </w:rPr>
      </w:pPr>
    </w:p>
    <w:p>
      <w:pPr>
        <w:spacing w:line="254" w:lineRule="auto" w:before="0"/>
        <w:ind w:left="2971" w:right="1716" w:firstLine="0"/>
        <w:jc w:val="both"/>
        <w:rPr>
          <w:sz w:val="18"/>
        </w:rPr>
      </w:pPr>
      <w:r>
        <w:rPr>
          <w:color w:val="231F20"/>
          <w:spacing w:val="-5"/>
          <w:w w:val="105"/>
          <w:sz w:val="18"/>
        </w:rPr>
        <w:t>“…un </w:t>
      </w:r>
      <w:r>
        <w:rPr>
          <w:color w:val="231F20"/>
          <w:w w:val="105"/>
          <w:sz w:val="18"/>
        </w:rPr>
        <w:t>sistema de disposiciones para actuar, sentir y pensar de una</w:t>
      </w:r>
      <w:r>
        <w:rPr>
          <w:color w:val="231F20"/>
          <w:spacing w:val="-25"/>
          <w:w w:val="105"/>
          <w:sz w:val="18"/>
        </w:rPr>
        <w:t> </w:t>
      </w:r>
      <w:r>
        <w:rPr>
          <w:color w:val="231F20"/>
          <w:w w:val="105"/>
          <w:sz w:val="18"/>
        </w:rPr>
        <w:t>de- terminada</w:t>
      </w:r>
      <w:r>
        <w:rPr>
          <w:color w:val="231F20"/>
          <w:spacing w:val="-6"/>
          <w:w w:val="105"/>
          <w:sz w:val="18"/>
        </w:rPr>
        <w:t> </w:t>
      </w:r>
      <w:r>
        <w:rPr>
          <w:color w:val="231F20"/>
          <w:w w:val="105"/>
          <w:sz w:val="18"/>
        </w:rPr>
        <w:t>manera,</w:t>
      </w:r>
      <w:r>
        <w:rPr>
          <w:color w:val="231F20"/>
          <w:spacing w:val="-12"/>
          <w:w w:val="105"/>
          <w:sz w:val="18"/>
        </w:rPr>
        <w:t> </w:t>
      </w:r>
      <w:r>
        <w:rPr>
          <w:color w:val="231F20"/>
          <w:w w:val="105"/>
          <w:sz w:val="18"/>
        </w:rPr>
        <w:t>interiorizadas</w:t>
      </w:r>
      <w:r>
        <w:rPr>
          <w:color w:val="231F20"/>
          <w:spacing w:val="-6"/>
          <w:w w:val="105"/>
          <w:sz w:val="18"/>
        </w:rPr>
        <w:t> </w:t>
      </w:r>
      <w:r>
        <w:rPr>
          <w:color w:val="231F20"/>
          <w:w w:val="105"/>
          <w:sz w:val="18"/>
        </w:rPr>
        <w:t>e</w:t>
      </w:r>
      <w:r>
        <w:rPr>
          <w:color w:val="231F20"/>
          <w:spacing w:val="-6"/>
          <w:w w:val="105"/>
          <w:sz w:val="18"/>
        </w:rPr>
        <w:t> </w:t>
      </w:r>
      <w:r>
        <w:rPr>
          <w:color w:val="231F20"/>
          <w:w w:val="105"/>
          <w:sz w:val="18"/>
        </w:rPr>
        <w:t>incorporadas</w:t>
      </w:r>
      <w:r>
        <w:rPr>
          <w:color w:val="231F20"/>
          <w:spacing w:val="-6"/>
          <w:w w:val="105"/>
          <w:sz w:val="18"/>
        </w:rPr>
        <w:t> </w:t>
      </w:r>
      <w:r>
        <w:rPr>
          <w:color w:val="231F20"/>
          <w:w w:val="105"/>
          <w:sz w:val="18"/>
        </w:rPr>
        <w:t>por</w:t>
      </w:r>
      <w:r>
        <w:rPr>
          <w:color w:val="231F20"/>
          <w:spacing w:val="-6"/>
          <w:w w:val="105"/>
          <w:sz w:val="18"/>
        </w:rPr>
        <w:t> </w:t>
      </w:r>
      <w:r>
        <w:rPr>
          <w:color w:val="231F20"/>
          <w:w w:val="105"/>
          <w:sz w:val="18"/>
        </w:rPr>
        <w:t>los</w:t>
      </w:r>
      <w:r>
        <w:rPr>
          <w:color w:val="231F20"/>
          <w:spacing w:val="-6"/>
          <w:w w:val="105"/>
          <w:sz w:val="18"/>
        </w:rPr>
        <w:t> </w:t>
      </w:r>
      <w:r>
        <w:rPr>
          <w:color w:val="231F20"/>
          <w:w w:val="105"/>
          <w:sz w:val="18"/>
        </w:rPr>
        <w:t>individuos</w:t>
      </w:r>
      <w:r>
        <w:rPr>
          <w:color w:val="231F20"/>
          <w:spacing w:val="-6"/>
          <w:w w:val="105"/>
          <w:sz w:val="18"/>
        </w:rPr>
        <w:t> </w:t>
      </w:r>
      <w:r>
        <w:rPr>
          <w:color w:val="231F20"/>
          <w:w w:val="105"/>
          <w:sz w:val="18"/>
        </w:rPr>
        <w:t>en el</w:t>
      </w:r>
      <w:r>
        <w:rPr>
          <w:color w:val="231F20"/>
          <w:spacing w:val="-20"/>
          <w:w w:val="105"/>
          <w:sz w:val="18"/>
        </w:rPr>
        <w:t> </w:t>
      </w:r>
      <w:r>
        <w:rPr>
          <w:color w:val="231F20"/>
          <w:w w:val="105"/>
          <w:sz w:val="18"/>
        </w:rPr>
        <w:t>transcurso</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su</w:t>
      </w:r>
      <w:r>
        <w:rPr>
          <w:color w:val="231F20"/>
          <w:spacing w:val="-20"/>
          <w:w w:val="105"/>
          <w:sz w:val="18"/>
        </w:rPr>
        <w:t> </w:t>
      </w:r>
      <w:r>
        <w:rPr>
          <w:color w:val="231F20"/>
          <w:w w:val="105"/>
          <w:sz w:val="18"/>
        </w:rPr>
        <w:t>historia.</w:t>
      </w:r>
      <w:r>
        <w:rPr>
          <w:color w:val="231F20"/>
          <w:spacing w:val="-24"/>
          <w:w w:val="105"/>
          <w:sz w:val="18"/>
        </w:rPr>
        <w:t> </w:t>
      </w:r>
      <w:r>
        <w:rPr>
          <w:color w:val="231F20"/>
          <w:w w:val="105"/>
          <w:sz w:val="18"/>
        </w:rPr>
        <w:t>El</w:t>
      </w:r>
      <w:r>
        <w:rPr>
          <w:color w:val="231F20"/>
          <w:spacing w:val="-20"/>
          <w:w w:val="105"/>
          <w:sz w:val="18"/>
        </w:rPr>
        <w:t> </w:t>
      </w:r>
      <w:r>
        <w:rPr>
          <w:rFonts w:ascii="Arial" w:hAnsi="Arial"/>
          <w:i/>
          <w:color w:val="231F20"/>
          <w:w w:val="105"/>
          <w:sz w:val="18"/>
        </w:rPr>
        <w:t>habitus</w:t>
      </w:r>
      <w:r>
        <w:rPr>
          <w:rFonts w:ascii="Arial" w:hAnsi="Arial"/>
          <w:i/>
          <w:color w:val="231F20"/>
          <w:spacing w:val="-23"/>
          <w:w w:val="105"/>
          <w:sz w:val="18"/>
        </w:rPr>
        <w:t> </w:t>
      </w:r>
      <w:r>
        <w:rPr>
          <w:color w:val="231F20"/>
          <w:w w:val="105"/>
          <w:sz w:val="18"/>
        </w:rPr>
        <w:t>se</w:t>
      </w:r>
      <w:r>
        <w:rPr>
          <w:color w:val="231F20"/>
          <w:spacing w:val="-20"/>
          <w:w w:val="105"/>
          <w:sz w:val="18"/>
        </w:rPr>
        <w:t> </w:t>
      </w:r>
      <w:r>
        <w:rPr>
          <w:color w:val="231F20"/>
          <w:w w:val="105"/>
          <w:sz w:val="18"/>
        </w:rPr>
        <w:t>manifiesta</w:t>
      </w:r>
      <w:r>
        <w:rPr>
          <w:color w:val="231F20"/>
          <w:spacing w:val="-20"/>
          <w:w w:val="105"/>
          <w:sz w:val="18"/>
        </w:rPr>
        <w:t> </w:t>
      </w:r>
      <w:r>
        <w:rPr>
          <w:color w:val="231F20"/>
          <w:w w:val="105"/>
          <w:sz w:val="18"/>
        </w:rPr>
        <w:t>fundamentalmente por</w:t>
      </w:r>
      <w:r>
        <w:rPr>
          <w:color w:val="231F20"/>
          <w:spacing w:val="-4"/>
          <w:w w:val="105"/>
          <w:sz w:val="18"/>
        </w:rPr>
        <w:t> </w:t>
      </w:r>
      <w:r>
        <w:rPr>
          <w:color w:val="231F20"/>
          <w:w w:val="105"/>
          <w:sz w:val="18"/>
        </w:rPr>
        <w:t>medio</w:t>
      </w:r>
      <w:r>
        <w:rPr>
          <w:color w:val="231F20"/>
          <w:spacing w:val="-4"/>
          <w:w w:val="105"/>
          <w:sz w:val="18"/>
        </w:rPr>
        <w:t> </w:t>
      </w:r>
      <w:r>
        <w:rPr>
          <w:color w:val="231F20"/>
          <w:w w:val="105"/>
          <w:sz w:val="18"/>
        </w:rPr>
        <w:t>del</w:t>
      </w:r>
      <w:r>
        <w:rPr>
          <w:color w:val="231F20"/>
          <w:spacing w:val="-4"/>
          <w:w w:val="105"/>
          <w:sz w:val="18"/>
        </w:rPr>
        <w:t> </w:t>
      </w:r>
      <w:r>
        <w:rPr>
          <w:rFonts w:ascii="Arial" w:hAnsi="Arial"/>
          <w:i/>
          <w:color w:val="231F20"/>
          <w:w w:val="105"/>
          <w:sz w:val="18"/>
        </w:rPr>
        <w:t>senspratique</w:t>
      </w:r>
      <w:r>
        <w:rPr>
          <w:color w:val="231F20"/>
          <w:w w:val="105"/>
          <w:sz w:val="18"/>
        </w:rPr>
        <w:t>.</w:t>
      </w:r>
      <w:r>
        <w:rPr>
          <w:color w:val="231F20"/>
          <w:spacing w:val="-14"/>
          <w:w w:val="105"/>
          <w:sz w:val="18"/>
        </w:rPr>
        <w:t> </w:t>
      </w:r>
      <w:r>
        <w:rPr>
          <w:color w:val="231F20"/>
          <w:w w:val="105"/>
          <w:sz w:val="18"/>
        </w:rPr>
        <w:t>Y</w:t>
      </w:r>
      <w:r>
        <w:rPr>
          <w:color w:val="231F20"/>
          <w:spacing w:val="-8"/>
          <w:w w:val="105"/>
          <w:sz w:val="18"/>
        </w:rPr>
        <w:t> </w:t>
      </w:r>
      <w:r>
        <w:rPr>
          <w:color w:val="231F20"/>
          <w:w w:val="105"/>
          <w:sz w:val="18"/>
        </w:rPr>
        <w:t>en</w:t>
      </w:r>
      <w:r>
        <w:rPr>
          <w:color w:val="231F20"/>
          <w:spacing w:val="-4"/>
          <w:w w:val="105"/>
          <w:sz w:val="18"/>
        </w:rPr>
        <w:t> </w:t>
      </w:r>
      <w:r>
        <w:rPr>
          <w:color w:val="231F20"/>
          <w:w w:val="105"/>
          <w:sz w:val="18"/>
        </w:rPr>
        <w:t>el</w:t>
      </w:r>
      <w:r>
        <w:rPr>
          <w:color w:val="231F20"/>
          <w:spacing w:val="-4"/>
          <w:w w:val="105"/>
          <w:sz w:val="18"/>
        </w:rPr>
        <w:t> </w:t>
      </w:r>
      <w:r>
        <w:rPr>
          <w:color w:val="231F20"/>
          <w:w w:val="105"/>
          <w:sz w:val="18"/>
        </w:rPr>
        <w:t>sentido</w:t>
      </w:r>
      <w:r>
        <w:rPr>
          <w:color w:val="231F20"/>
          <w:spacing w:val="-4"/>
          <w:w w:val="105"/>
          <w:sz w:val="18"/>
        </w:rPr>
        <w:t> </w:t>
      </w:r>
      <w:r>
        <w:rPr>
          <w:color w:val="231F20"/>
          <w:w w:val="105"/>
          <w:sz w:val="18"/>
        </w:rPr>
        <w:t>práctico</w:t>
      </w:r>
      <w:r>
        <w:rPr>
          <w:color w:val="231F20"/>
          <w:spacing w:val="-4"/>
          <w:w w:val="105"/>
          <w:sz w:val="18"/>
        </w:rPr>
        <w:t> </w:t>
      </w:r>
      <w:r>
        <w:rPr>
          <w:color w:val="231F20"/>
          <w:w w:val="105"/>
          <w:sz w:val="18"/>
        </w:rPr>
        <w:t>es</w:t>
      </w:r>
      <w:r>
        <w:rPr>
          <w:color w:val="231F20"/>
          <w:spacing w:val="-4"/>
          <w:w w:val="105"/>
          <w:sz w:val="18"/>
        </w:rPr>
        <w:t> </w:t>
      </w:r>
      <w:r>
        <w:rPr>
          <w:color w:val="231F20"/>
          <w:w w:val="105"/>
          <w:sz w:val="18"/>
        </w:rPr>
        <w:t>la</w:t>
      </w:r>
      <w:r>
        <w:rPr>
          <w:color w:val="231F20"/>
          <w:spacing w:val="-4"/>
          <w:w w:val="105"/>
          <w:sz w:val="18"/>
        </w:rPr>
        <w:t> </w:t>
      </w:r>
      <w:r>
        <w:rPr>
          <w:color w:val="231F20"/>
          <w:w w:val="105"/>
          <w:sz w:val="18"/>
        </w:rPr>
        <w:t>aptitud</w:t>
      </w:r>
      <w:r>
        <w:rPr>
          <w:color w:val="231F20"/>
          <w:spacing w:val="-4"/>
          <w:w w:val="105"/>
          <w:sz w:val="18"/>
        </w:rPr>
        <w:t> </w:t>
      </w:r>
      <w:r>
        <w:rPr>
          <w:color w:val="231F20"/>
          <w:w w:val="105"/>
          <w:sz w:val="18"/>
        </w:rPr>
        <w:t>para moverse,</w:t>
      </w:r>
      <w:r>
        <w:rPr>
          <w:color w:val="231F20"/>
          <w:spacing w:val="-18"/>
          <w:w w:val="105"/>
          <w:sz w:val="18"/>
        </w:rPr>
        <w:t> </w:t>
      </w:r>
      <w:r>
        <w:rPr>
          <w:color w:val="231F20"/>
          <w:w w:val="105"/>
          <w:sz w:val="18"/>
        </w:rPr>
        <w:t>para</w:t>
      </w:r>
      <w:r>
        <w:rPr>
          <w:color w:val="231F20"/>
          <w:spacing w:val="-14"/>
          <w:w w:val="105"/>
          <w:sz w:val="18"/>
        </w:rPr>
        <w:t> </w:t>
      </w:r>
      <w:r>
        <w:rPr>
          <w:color w:val="231F20"/>
          <w:w w:val="105"/>
          <w:sz w:val="18"/>
        </w:rPr>
        <w:t>actuar</w:t>
      </w:r>
      <w:r>
        <w:rPr>
          <w:color w:val="231F20"/>
          <w:spacing w:val="-14"/>
          <w:w w:val="105"/>
          <w:sz w:val="18"/>
        </w:rPr>
        <w:t> </w:t>
      </w:r>
      <w:r>
        <w:rPr>
          <w:color w:val="231F20"/>
          <w:w w:val="105"/>
          <w:sz w:val="18"/>
        </w:rPr>
        <w:t>y</w:t>
      </w:r>
      <w:r>
        <w:rPr>
          <w:color w:val="231F20"/>
          <w:spacing w:val="-14"/>
          <w:w w:val="105"/>
          <w:sz w:val="18"/>
        </w:rPr>
        <w:t> </w:t>
      </w:r>
      <w:r>
        <w:rPr>
          <w:color w:val="231F20"/>
          <w:w w:val="105"/>
          <w:sz w:val="18"/>
        </w:rPr>
        <w:t>para</w:t>
      </w:r>
      <w:r>
        <w:rPr>
          <w:color w:val="231F20"/>
          <w:spacing w:val="-14"/>
          <w:w w:val="105"/>
          <w:sz w:val="18"/>
        </w:rPr>
        <w:t> </w:t>
      </w:r>
      <w:r>
        <w:rPr>
          <w:color w:val="231F20"/>
          <w:w w:val="105"/>
          <w:sz w:val="18"/>
        </w:rPr>
        <w:t>orientarse</w:t>
      </w:r>
      <w:r>
        <w:rPr>
          <w:color w:val="231F20"/>
          <w:spacing w:val="-14"/>
          <w:w w:val="105"/>
          <w:sz w:val="18"/>
        </w:rPr>
        <w:t> </w:t>
      </w:r>
      <w:r>
        <w:rPr>
          <w:color w:val="231F20"/>
          <w:w w:val="105"/>
          <w:sz w:val="18"/>
        </w:rPr>
        <w:t>según</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posición</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se</w:t>
      </w:r>
      <w:r>
        <w:rPr>
          <w:color w:val="231F20"/>
          <w:spacing w:val="-14"/>
          <w:w w:val="105"/>
          <w:sz w:val="18"/>
        </w:rPr>
        <w:t> </w:t>
      </w:r>
      <w:r>
        <w:rPr>
          <w:color w:val="231F20"/>
          <w:w w:val="105"/>
          <w:sz w:val="18"/>
        </w:rPr>
        <w:t>ocupe en</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espacio</w:t>
      </w:r>
      <w:r>
        <w:rPr>
          <w:color w:val="231F20"/>
          <w:spacing w:val="-13"/>
          <w:w w:val="105"/>
          <w:sz w:val="18"/>
        </w:rPr>
        <w:t> </w:t>
      </w:r>
      <w:r>
        <w:rPr>
          <w:color w:val="231F20"/>
          <w:w w:val="105"/>
          <w:sz w:val="18"/>
        </w:rPr>
        <w:t>social.</w:t>
      </w:r>
      <w:r>
        <w:rPr>
          <w:color w:val="231F20"/>
          <w:spacing w:val="-20"/>
          <w:w w:val="105"/>
          <w:sz w:val="18"/>
        </w:rPr>
        <w:t> </w:t>
      </w:r>
      <w:r>
        <w:rPr>
          <w:color w:val="231F20"/>
          <w:w w:val="105"/>
          <w:sz w:val="18"/>
        </w:rPr>
        <w:t>Y</w:t>
      </w:r>
      <w:r>
        <w:rPr>
          <w:color w:val="231F20"/>
          <w:spacing w:val="-16"/>
          <w:w w:val="105"/>
          <w:sz w:val="18"/>
        </w:rPr>
        <w:t> </w:t>
      </w:r>
      <w:r>
        <w:rPr>
          <w:color w:val="231F20"/>
          <w:w w:val="105"/>
          <w:sz w:val="18"/>
        </w:rPr>
        <w:t>todo</w:t>
      </w:r>
      <w:r>
        <w:rPr>
          <w:color w:val="231F20"/>
          <w:spacing w:val="-13"/>
          <w:w w:val="105"/>
          <w:sz w:val="18"/>
        </w:rPr>
        <w:t> </w:t>
      </w:r>
      <w:r>
        <w:rPr>
          <w:color w:val="231F20"/>
          <w:w w:val="105"/>
          <w:sz w:val="18"/>
        </w:rPr>
        <w:t>esto</w:t>
      </w:r>
      <w:r>
        <w:rPr>
          <w:color w:val="231F20"/>
          <w:spacing w:val="-13"/>
          <w:w w:val="105"/>
          <w:sz w:val="18"/>
        </w:rPr>
        <w:t> </w:t>
      </w:r>
      <w:r>
        <w:rPr>
          <w:color w:val="231F20"/>
          <w:w w:val="105"/>
          <w:sz w:val="18"/>
        </w:rPr>
        <w:t>sin</w:t>
      </w:r>
      <w:r>
        <w:rPr>
          <w:color w:val="231F20"/>
          <w:spacing w:val="-13"/>
          <w:w w:val="105"/>
          <w:sz w:val="18"/>
        </w:rPr>
        <w:t> </w:t>
      </w:r>
      <w:r>
        <w:rPr>
          <w:color w:val="231F20"/>
          <w:w w:val="105"/>
          <w:sz w:val="18"/>
        </w:rPr>
        <w:t>recurrir</w:t>
      </w:r>
      <w:r>
        <w:rPr>
          <w:color w:val="231F20"/>
          <w:spacing w:val="-13"/>
          <w:w w:val="105"/>
          <w:sz w:val="18"/>
        </w:rPr>
        <w:t> </w:t>
      </w:r>
      <w:r>
        <w:rPr>
          <w:color w:val="231F20"/>
          <w:w w:val="105"/>
          <w:sz w:val="18"/>
        </w:rPr>
        <w:t>a</w:t>
      </w:r>
      <w:r>
        <w:rPr>
          <w:color w:val="231F20"/>
          <w:spacing w:val="-13"/>
          <w:w w:val="105"/>
          <w:sz w:val="18"/>
        </w:rPr>
        <w:t> </w:t>
      </w:r>
      <w:r>
        <w:rPr>
          <w:color w:val="231F20"/>
          <w:w w:val="105"/>
          <w:sz w:val="18"/>
        </w:rPr>
        <w:t>una</w:t>
      </w:r>
      <w:r>
        <w:rPr>
          <w:color w:val="231F20"/>
          <w:spacing w:val="-13"/>
          <w:w w:val="105"/>
          <w:sz w:val="18"/>
        </w:rPr>
        <w:t> </w:t>
      </w:r>
      <w:r>
        <w:rPr>
          <w:color w:val="231F20"/>
          <w:w w:val="105"/>
          <w:sz w:val="18"/>
        </w:rPr>
        <w:t>reflexión</w:t>
      </w:r>
      <w:r>
        <w:rPr>
          <w:color w:val="231F20"/>
          <w:spacing w:val="-13"/>
          <w:w w:val="105"/>
          <w:sz w:val="18"/>
        </w:rPr>
        <w:t> </w:t>
      </w:r>
      <w:r>
        <w:rPr>
          <w:color w:val="231F20"/>
          <w:w w:val="105"/>
          <w:sz w:val="18"/>
        </w:rPr>
        <w:t>consciente, gracias a las disposiciones adquiridas que funcionan</w:t>
      </w:r>
      <w:r>
        <w:rPr>
          <w:color w:val="231F20"/>
          <w:spacing w:val="-35"/>
          <w:w w:val="105"/>
          <w:sz w:val="18"/>
        </w:rPr>
        <w:t> </w:t>
      </w:r>
      <w:r>
        <w:rPr>
          <w:color w:val="231F20"/>
          <w:w w:val="105"/>
          <w:sz w:val="18"/>
        </w:rPr>
        <w:t>automáticamen- te”</w:t>
      </w:r>
      <w:r>
        <w:rPr>
          <w:color w:val="231F20"/>
          <w:spacing w:val="-16"/>
          <w:w w:val="105"/>
          <w:sz w:val="18"/>
        </w:rPr>
        <w:t> </w:t>
      </w:r>
      <w:r>
        <w:rPr>
          <w:color w:val="231F20"/>
          <w:w w:val="105"/>
          <w:sz w:val="18"/>
        </w:rPr>
        <w:t>(Bourdieu</w:t>
      </w:r>
      <w:r>
        <w:rPr>
          <w:color w:val="231F20"/>
          <w:spacing w:val="-16"/>
          <w:w w:val="105"/>
          <w:sz w:val="18"/>
        </w:rPr>
        <w:t> </w:t>
      </w:r>
      <w:r>
        <w:rPr>
          <w:color w:val="231F20"/>
          <w:w w:val="105"/>
          <w:sz w:val="18"/>
        </w:rPr>
        <w:t>1987,</w:t>
      </w:r>
      <w:r>
        <w:rPr>
          <w:color w:val="231F20"/>
          <w:spacing w:val="-21"/>
          <w:w w:val="105"/>
          <w:sz w:val="18"/>
        </w:rPr>
        <w:t> </w:t>
      </w:r>
      <w:r>
        <w:rPr>
          <w:color w:val="231F20"/>
          <w:w w:val="105"/>
          <w:sz w:val="18"/>
        </w:rPr>
        <w:t>en</w:t>
      </w:r>
      <w:r>
        <w:rPr>
          <w:color w:val="231F20"/>
          <w:spacing w:val="-16"/>
          <w:w w:val="105"/>
          <w:sz w:val="18"/>
        </w:rPr>
        <w:t> </w:t>
      </w:r>
      <w:r>
        <w:rPr>
          <w:color w:val="231F20"/>
          <w:w w:val="105"/>
          <w:sz w:val="18"/>
        </w:rPr>
        <w:t>Castón,</w:t>
      </w:r>
      <w:r>
        <w:rPr>
          <w:color w:val="231F20"/>
          <w:spacing w:val="-21"/>
          <w:w w:val="105"/>
          <w:sz w:val="18"/>
        </w:rPr>
        <w:t> </w:t>
      </w:r>
      <w:r>
        <w:rPr>
          <w:color w:val="231F20"/>
          <w:w w:val="105"/>
          <w:sz w:val="18"/>
        </w:rPr>
        <w:t>1996:</w:t>
      </w:r>
      <w:r>
        <w:rPr>
          <w:color w:val="231F20"/>
          <w:spacing w:val="-16"/>
          <w:w w:val="105"/>
          <w:sz w:val="18"/>
        </w:rPr>
        <w:t> </w:t>
      </w:r>
      <w:r>
        <w:rPr>
          <w:color w:val="231F20"/>
          <w:w w:val="105"/>
          <w:sz w:val="18"/>
        </w:rPr>
        <w:t>81).</w:t>
      </w:r>
    </w:p>
    <w:p>
      <w:pPr>
        <w:pStyle w:val="BodyText"/>
        <w:spacing w:before="2"/>
      </w:pPr>
    </w:p>
    <w:p>
      <w:pPr>
        <w:pStyle w:val="BodyText"/>
        <w:spacing w:line="261" w:lineRule="auto"/>
        <w:ind w:left="1837" w:right="1721"/>
        <w:jc w:val="both"/>
      </w:pPr>
      <w:r>
        <w:rPr>
          <w:color w:val="231F20"/>
          <w:w w:val="105"/>
        </w:rPr>
        <w:t>Esta</w:t>
      </w:r>
      <w:r>
        <w:rPr>
          <w:color w:val="231F20"/>
          <w:spacing w:val="-21"/>
          <w:w w:val="105"/>
        </w:rPr>
        <w:t> </w:t>
      </w:r>
      <w:r>
        <w:rPr>
          <w:color w:val="231F20"/>
          <w:w w:val="105"/>
        </w:rPr>
        <w:t>construcción</w:t>
      </w:r>
      <w:r>
        <w:rPr>
          <w:color w:val="231F20"/>
          <w:spacing w:val="-21"/>
          <w:w w:val="105"/>
        </w:rPr>
        <w:t> </w:t>
      </w:r>
      <w:r>
        <w:rPr>
          <w:color w:val="231F20"/>
          <w:w w:val="105"/>
        </w:rPr>
        <w:t>teórica</w:t>
      </w:r>
      <w:r>
        <w:rPr>
          <w:color w:val="231F20"/>
          <w:spacing w:val="-21"/>
          <w:w w:val="105"/>
        </w:rPr>
        <w:t> </w:t>
      </w:r>
      <w:r>
        <w:rPr>
          <w:color w:val="231F20"/>
          <w:w w:val="105"/>
        </w:rPr>
        <w:t>incorpora</w:t>
      </w:r>
      <w:r>
        <w:rPr>
          <w:color w:val="231F20"/>
          <w:spacing w:val="-21"/>
          <w:w w:val="105"/>
        </w:rPr>
        <w:t> </w:t>
      </w:r>
      <w:r>
        <w:rPr>
          <w:color w:val="231F20"/>
          <w:w w:val="105"/>
        </w:rPr>
        <w:t>asimismo</w:t>
      </w:r>
      <w:r>
        <w:rPr>
          <w:color w:val="231F20"/>
          <w:spacing w:val="-21"/>
          <w:w w:val="105"/>
        </w:rPr>
        <w:t> </w:t>
      </w:r>
      <w:r>
        <w:rPr>
          <w:color w:val="231F20"/>
          <w:w w:val="105"/>
        </w:rPr>
        <w:t>el</w:t>
      </w:r>
      <w:r>
        <w:rPr>
          <w:color w:val="231F20"/>
          <w:spacing w:val="-21"/>
          <w:w w:val="105"/>
        </w:rPr>
        <w:t> </w:t>
      </w:r>
      <w:r>
        <w:rPr>
          <w:color w:val="231F20"/>
          <w:w w:val="105"/>
        </w:rPr>
        <w:t>término</w:t>
      </w:r>
      <w:r>
        <w:rPr>
          <w:color w:val="231F20"/>
          <w:spacing w:val="-21"/>
          <w:w w:val="105"/>
        </w:rPr>
        <w:t> </w:t>
      </w:r>
      <w:r>
        <w:rPr>
          <w:rFonts w:ascii="Arial" w:hAnsi="Arial"/>
          <w:i/>
          <w:color w:val="231F20"/>
          <w:w w:val="105"/>
        </w:rPr>
        <w:t>habitus</w:t>
      </w:r>
      <w:r>
        <w:rPr>
          <w:rFonts w:ascii="Arial" w:hAnsi="Arial"/>
          <w:i/>
          <w:color w:val="231F20"/>
          <w:spacing w:val="-24"/>
          <w:w w:val="105"/>
        </w:rPr>
        <w:t> </w:t>
      </w:r>
      <w:r>
        <w:rPr>
          <w:rFonts w:ascii="Arial" w:hAnsi="Arial"/>
          <w:i/>
          <w:color w:val="231F20"/>
          <w:w w:val="105"/>
        </w:rPr>
        <w:t>de</w:t>
      </w:r>
      <w:r>
        <w:rPr>
          <w:rFonts w:ascii="Arial" w:hAnsi="Arial"/>
          <w:i/>
          <w:color w:val="231F20"/>
          <w:spacing w:val="-24"/>
          <w:w w:val="105"/>
        </w:rPr>
        <w:t> </w:t>
      </w:r>
      <w:r>
        <w:rPr>
          <w:rFonts w:ascii="Arial" w:hAnsi="Arial"/>
          <w:i/>
          <w:color w:val="231F20"/>
          <w:w w:val="105"/>
        </w:rPr>
        <w:t>clase </w:t>
      </w:r>
      <w:r>
        <w:rPr>
          <w:color w:val="231F20"/>
          <w:w w:val="105"/>
        </w:rPr>
        <w:t>por el cual entiende “un sistema de disposiciones con componentes in- conscientes</w:t>
      </w:r>
      <w:r>
        <w:rPr>
          <w:color w:val="231F20"/>
          <w:spacing w:val="-30"/>
          <w:w w:val="105"/>
        </w:rPr>
        <w:t> </w:t>
      </w:r>
      <w:r>
        <w:rPr>
          <w:color w:val="231F20"/>
          <w:w w:val="105"/>
        </w:rPr>
        <w:t>que</w:t>
      </w:r>
      <w:r>
        <w:rPr>
          <w:color w:val="231F20"/>
          <w:spacing w:val="-30"/>
          <w:w w:val="105"/>
        </w:rPr>
        <w:t> </w:t>
      </w:r>
      <w:r>
        <w:rPr>
          <w:color w:val="231F20"/>
          <w:w w:val="105"/>
        </w:rPr>
        <w:t>orientan</w:t>
      </w:r>
      <w:r>
        <w:rPr>
          <w:color w:val="231F20"/>
          <w:spacing w:val="-30"/>
          <w:w w:val="105"/>
        </w:rPr>
        <w:t> </w:t>
      </w:r>
      <w:r>
        <w:rPr>
          <w:color w:val="231F20"/>
          <w:w w:val="105"/>
        </w:rPr>
        <w:t>la</w:t>
      </w:r>
      <w:r>
        <w:rPr>
          <w:color w:val="231F20"/>
          <w:spacing w:val="-30"/>
          <w:w w:val="105"/>
        </w:rPr>
        <w:t> </w:t>
      </w:r>
      <w:r>
        <w:rPr>
          <w:color w:val="231F20"/>
          <w:w w:val="105"/>
        </w:rPr>
        <w:t>práctica</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sujetos</w:t>
      </w:r>
      <w:r>
        <w:rPr>
          <w:color w:val="231F20"/>
          <w:spacing w:val="-30"/>
          <w:w w:val="105"/>
        </w:rPr>
        <w:t> </w:t>
      </w:r>
      <w:r>
        <w:rPr>
          <w:color w:val="231F20"/>
          <w:w w:val="105"/>
        </w:rPr>
        <w:t>y</w:t>
      </w:r>
      <w:r>
        <w:rPr>
          <w:color w:val="231F20"/>
          <w:spacing w:val="-30"/>
          <w:w w:val="105"/>
        </w:rPr>
        <w:t> </w:t>
      </w:r>
      <w:r>
        <w:rPr>
          <w:color w:val="231F20"/>
          <w:w w:val="105"/>
        </w:rPr>
        <w:t>confiere</w:t>
      </w:r>
      <w:r>
        <w:rPr>
          <w:color w:val="231F20"/>
          <w:spacing w:val="-30"/>
          <w:w w:val="105"/>
        </w:rPr>
        <w:t> </w:t>
      </w:r>
      <w:r>
        <w:rPr>
          <w:color w:val="231F20"/>
          <w:w w:val="105"/>
        </w:rPr>
        <w:t>a</w:t>
      </w:r>
      <w:r>
        <w:rPr>
          <w:color w:val="231F20"/>
          <w:spacing w:val="-30"/>
          <w:w w:val="105"/>
        </w:rPr>
        <w:t> </w:t>
      </w:r>
      <w:r>
        <w:rPr>
          <w:color w:val="231F20"/>
          <w:w w:val="105"/>
        </w:rPr>
        <w:t>las</w:t>
      </w:r>
      <w:r>
        <w:rPr>
          <w:color w:val="231F20"/>
          <w:spacing w:val="-30"/>
          <w:w w:val="105"/>
        </w:rPr>
        <w:t> </w:t>
      </w:r>
      <w:r>
        <w:rPr>
          <w:color w:val="231F20"/>
          <w:w w:val="105"/>
        </w:rPr>
        <w:t>mismas una coherencia no intencional” (Oliveira y Salles, 2000: 622-623), para conservar su patrimonio y al mismo tiempo mantener o mejorar su po- sición</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estructura</w:t>
      </w:r>
      <w:r>
        <w:rPr>
          <w:color w:val="231F20"/>
          <w:spacing w:val="-9"/>
          <w:w w:val="105"/>
        </w:rPr>
        <w:t> </w:t>
      </w:r>
      <w:r>
        <w:rPr>
          <w:color w:val="231F20"/>
          <w:w w:val="105"/>
        </w:rPr>
        <w:t>de</w:t>
      </w:r>
      <w:r>
        <w:rPr>
          <w:color w:val="231F20"/>
          <w:spacing w:val="-9"/>
          <w:w w:val="105"/>
        </w:rPr>
        <w:t> </w:t>
      </w:r>
      <w:r>
        <w:rPr>
          <w:color w:val="231F20"/>
          <w:w w:val="105"/>
        </w:rPr>
        <w:t>relaciones</w:t>
      </w:r>
      <w:r>
        <w:rPr>
          <w:color w:val="231F20"/>
          <w:spacing w:val="-9"/>
          <w:w w:val="105"/>
        </w:rPr>
        <w:t> </w:t>
      </w:r>
      <w:r>
        <w:rPr>
          <w:color w:val="231F20"/>
          <w:w w:val="105"/>
        </w:rPr>
        <w:t>de</w:t>
      </w:r>
      <w:r>
        <w:rPr>
          <w:color w:val="231F20"/>
          <w:spacing w:val="-9"/>
          <w:w w:val="105"/>
        </w:rPr>
        <w:t> </w:t>
      </w:r>
      <w:r>
        <w:rPr>
          <w:color w:val="231F20"/>
          <w:w w:val="105"/>
        </w:rPr>
        <w:t>clase.</w:t>
      </w:r>
      <w:r>
        <w:rPr>
          <w:color w:val="231F20"/>
          <w:spacing w:val="-15"/>
          <w:w w:val="105"/>
        </w:rPr>
        <w:t> </w:t>
      </w:r>
      <w:r>
        <w:rPr>
          <w:color w:val="231F20"/>
          <w:w w:val="105"/>
        </w:rPr>
        <w:t>Esto</w:t>
      </w:r>
      <w:r>
        <w:rPr>
          <w:color w:val="231F20"/>
          <w:spacing w:val="-9"/>
          <w:w w:val="105"/>
        </w:rPr>
        <w:t> </w:t>
      </w:r>
      <w:r>
        <w:rPr>
          <w:color w:val="231F20"/>
          <w:w w:val="105"/>
        </w:rPr>
        <w:t>hace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noción</w:t>
      </w:r>
      <w:r>
        <w:rPr>
          <w:color w:val="231F20"/>
          <w:spacing w:val="-9"/>
          <w:w w:val="105"/>
        </w:rPr>
        <w:t> </w:t>
      </w:r>
      <w:r>
        <w:rPr>
          <w:color w:val="231F20"/>
          <w:w w:val="105"/>
        </w:rPr>
        <w:t>de </w:t>
      </w:r>
      <w:r>
        <w:rPr>
          <w:rFonts w:ascii="Arial" w:hAnsi="Arial"/>
          <w:i/>
          <w:color w:val="231F20"/>
          <w:w w:val="105"/>
        </w:rPr>
        <w:t>habitus</w:t>
      </w:r>
      <w:r>
        <w:rPr>
          <w:rFonts w:ascii="Arial" w:hAnsi="Arial"/>
          <w:i/>
          <w:color w:val="231F20"/>
          <w:spacing w:val="-27"/>
          <w:w w:val="105"/>
        </w:rPr>
        <w:t> </w:t>
      </w:r>
      <w:r>
        <w:rPr>
          <w:color w:val="231F20"/>
          <w:w w:val="105"/>
        </w:rPr>
        <w:t>una</w:t>
      </w:r>
      <w:r>
        <w:rPr>
          <w:color w:val="231F20"/>
          <w:spacing w:val="-24"/>
          <w:w w:val="105"/>
        </w:rPr>
        <w:t> </w:t>
      </w:r>
      <w:r>
        <w:rPr>
          <w:color w:val="231F20"/>
          <w:w w:val="105"/>
        </w:rPr>
        <w:t>instancia</w:t>
      </w:r>
      <w:r>
        <w:rPr>
          <w:color w:val="231F20"/>
          <w:spacing w:val="-24"/>
          <w:w w:val="105"/>
        </w:rPr>
        <w:t> </w:t>
      </w:r>
      <w:r>
        <w:rPr>
          <w:color w:val="231F20"/>
          <w:w w:val="105"/>
        </w:rPr>
        <w:t>mediadora</w:t>
      </w:r>
      <w:r>
        <w:rPr>
          <w:color w:val="231F20"/>
          <w:spacing w:val="-24"/>
          <w:w w:val="105"/>
        </w:rPr>
        <w:t> </w:t>
      </w:r>
      <w:r>
        <w:rPr>
          <w:color w:val="231F20"/>
          <w:w w:val="105"/>
        </w:rPr>
        <w:t>–junto</w:t>
      </w:r>
      <w:r>
        <w:rPr>
          <w:color w:val="231F20"/>
          <w:spacing w:val="-24"/>
          <w:w w:val="105"/>
        </w:rPr>
        <w:t> </w:t>
      </w:r>
      <w:r>
        <w:rPr>
          <w:color w:val="231F20"/>
          <w:w w:val="105"/>
        </w:rPr>
        <w:t>con</w:t>
      </w:r>
      <w:r>
        <w:rPr>
          <w:color w:val="231F20"/>
          <w:spacing w:val="-24"/>
          <w:w w:val="105"/>
        </w:rPr>
        <w:t> </w:t>
      </w:r>
      <w:r>
        <w:rPr>
          <w:color w:val="231F20"/>
          <w:w w:val="105"/>
        </w:rPr>
        <w:t>algunas</w:t>
      </w:r>
      <w:r>
        <w:rPr>
          <w:color w:val="231F20"/>
          <w:spacing w:val="-24"/>
          <w:w w:val="105"/>
        </w:rPr>
        <w:t> </w:t>
      </w:r>
      <w:r>
        <w:rPr>
          <w:color w:val="231F20"/>
          <w:w w:val="105"/>
        </w:rPr>
        <w:t>instituciones</w:t>
      </w:r>
      <w:r>
        <w:rPr>
          <w:color w:val="231F20"/>
          <w:spacing w:val="-24"/>
          <w:w w:val="105"/>
        </w:rPr>
        <w:t> </w:t>
      </w:r>
      <w:r>
        <w:rPr>
          <w:color w:val="231F20"/>
          <w:w w:val="105"/>
        </w:rPr>
        <w:t>como</w:t>
      </w:r>
      <w:r>
        <w:rPr>
          <w:color w:val="231F20"/>
          <w:spacing w:val="-24"/>
          <w:w w:val="105"/>
        </w:rPr>
        <w:t> </w:t>
      </w:r>
      <w:r>
        <w:rPr>
          <w:color w:val="231F20"/>
          <w:w w:val="105"/>
        </w:rPr>
        <w:t>la familia, la escuela y el trabajo– que genera un movimiento bidireccional entre el nivel microsocial y el nivel macrosocial, además como apunta Bourdieu</w:t>
      </w:r>
      <w:r>
        <w:rPr>
          <w:color w:val="231F20"/>
          <w:spacing w:val="-10"/>
          <w:w w:val="105"/>
        </w:rPr>
        <w:t> </w:t>
      </w:r>
      <w:r>
        <w:rPr>
          <w:color w:val="231F20"/>
          <w:w w:val="105"/>
        </w:rPr>
        <w:t>los</w:t>
      </w:r>
      <w:r>
        <w:rPr>
          <w:color w:val="231F20"/>
          <w:spacing w:val="-9"/>
          <w:w w:val="105"/>
        </w:rPr>
        <w:t> </w:t>
      </w:r>
      <w:r>
        <w:rPr>
          <w:rFonts w:ascii="Arial" w:hAnsi="Arial"/>
          <w:i/>
          <w:color w:val="231F20"/>
          <w:w w:val="105"/>
        </w:rPr>
        <w:t>habitus</w:t>
      </w:r>
      <w:r>
        <w:rPr>
          <w:rFonts w:ascii="Arial" w:hAnsi="Arial"/>
          <w:i/>
          <w:color w:val="231F20"/>
          <w:spacing w:val="-13"/>
          <w:w w:val="105"/>
        </w:rPr>
        <w:t> </w:t>
      </w:r>
      <w:r>
        <w:rPr>
          <w:color w:val="231F20"/>
          <w:w w:val="105"/>
        </w:rPr>
        <w:t>de</w:t>
      </w:r>
      <w:r>
        <w:rPr>
          <w:color w:val="231F20"/>
          <w:spacing w:val="-10"/>
          <w:w w:val="105"/>
        </w:rPr>
        <w:t> </w:t>
      </w:r>
      <w:r>
        <w:rPr>
          <w:color w:val="231F20"/>
          <w:w w:val="105"/>
        </w:rPr>
        <w:t>clase</w:t>
      </w:r>
      <w:r>
        <w:rPr>
          <w:color w:val="231F20"/>
          <w:spacing w:val="-9"/>
          <w:w w:val="105"/>
        </w:rPr>
        <w:t> </w:t>
      </w:r>
      <w:r>
        <w:rPr>
          <w:color w:val="231F20"/>
          <w:w w:val="105"/>
        </w:rPr>
        <w:t>producen</w:t>
      </w:r>
      <w:r>
        <w:rPr>
          <w:color w:val="231F20"/>
          <w:spacing w:val="-10"/>
          <w:w w:val="105"/>
        </w:rPr>
        <w:t> </w:t>
      </w:r>
      <w:r>
        <w:rPr>
          <w:color w:val="231F20"/>
          <w:w w:val="105"/>
        </w:rPr>
        <w:t>diferenciación</w:t>
      </w:r>
      <w:r>
        <w:rPr>
          <w:color w:val="231F20"/>
          <w:spacing w:val="-10"/>
          <w:w w:val="105"/>
        </w:rPr>
        <w:t> </w:t>
      </w:r>
      <w:r>
        <w:rPr>
          <w:color w:val="231F20"/>
          <w:w w:val="105"/>
        </w:rPr>
        <w:t>social</w:t>
      </w:r>
      <w:r>
        <w:rPr>
          <w:color w:val="231F20"/>
          <w:spacing w:val="-9"/>
          <w:w w:val="105"/>
        </w:rPr>
        <w:t> </w:t>
      </w:r>
      <w:r>
        <w:rPr>
          <w:color w:val="231F20"/>
          <w:w w:val="105"/>
        </w:rPr>
        <w:t>y</w:t>
      </w:r>
      <w:r>
        <w:rPr>
          <w:color w:val="231F20"/>
          <w:spacing w:val="-10"/>
          <w:w w:val="105"/>
        </w:rPr>
        <w:t> </w:t>
      </w:r>
      <w:r>
        <w:rPr>
          <w:color w:val="231F20"/>
          <w:w w:val="105"/>
        </w:rPr>
        <w:t>esto</w:t>
      </w:r>
      <w:r>
        <w:rPr>
          <w:color w:val="231F20"/>
          <w:spacing w:val="-10"/>
          <w:w w:val="105"/>
        </w:rPr>
        <w:t> </w:t>
      </w:r>
      <w:r>
        <w:rPr>
          <w:color w:val="231F20"/>
          <w:w w:val="105"/>
        </w:rPr>
        <w:t>a</w:t>
      </w:r>
      <w:r>
        <w:rPr>
          <w:color w:val="231F20"/>
          <w:spacing w:val="-9"/>
          <w:w w:val="105"/>
        </w:rPr>
        <w:t> </w:t>
      </w:r>
      <w:r>
        <w:rPr>
          <w:color w:val="231F20"/>
          <w:w w:val="105"/>
        </w:rPr>
        <w:t>su vez</w:t>
      </w:r>
      <w:r>
        <w:rPr>
          <w:color w:val="231F20"/>
          <w:spacing w:val="-38"/>
          <w:w w:val="105"/>
        </w:rPr>
        <w:t> </w:t>
      </w:r>
      <w:r>
        <w:rPr>
          <w:color w:val="231F20"/>
          <w:w w:val="105"/>
        </w:rPr>
        <w:t>refuerza</w:t>
      </w:r>
      <w:r>
        <w:rPr>
          <w:color w:val="231F20"/>
          <w:spacing w:val="-38"/>
          <w:w w:val="105"/>
        </w:rPr>
        <w:t> </w:t>
      </w:r>
      <w:r>
        <w:rPr>
          <w:color w:val="231F20"/>
          <w:w w:val="105"/>
        </w:rPr>
        <w:t>las</w:t>
      </w:r>
      <w:r>
        <w:rPr>
          <w:color w:val="231F20"/>
          <w:spacing w:val="-38"/>
          <w:w w:val="105"/>
        </w:rPr>
        <w:t> </w:t>
      </w:r>
      <w:r>
        <w:rPr>
          <w:color w:val="231F20"/>
          <w:w w:val="105"/>
        </w:rPr>
        <w:t>desigualdades</w:t>
      </w:r>
      <w:r>
        <w:rPr>
          <w:color w:val="231F20"/>
          <w:spacing w:val="-38"/>
          <w:w w:val="105"/>
        </w:rPr>
        <w:t> </w:t>
      </w:r>
      <w:r>
        <w:rPr>
          <w:color w:val="231F20"/>
          <w:w w:val="105"/>
        </w:rPr>
        <w:t>previas:</w:t>
      </w:r>
    </w:p>
    <w:p>
      <w:pPr>
        <w:pStyle w:val="BodyText"/>
        <w:spacing w:before="7"/>
        <w:rPr>
          <w:sz w:val="18"/>
        </w:rPr>
      </w:pPr>
    </w:p>
    <w:p>
      <w:pPr>
        <w:spacing w:line="252" w:lineRule="auto" w:before="1"/>
        <w:ind w:left="2971" w:right="1721" w:firstLine="0"/>
        <w:jc w:val="both"/>
        <w:rPr>
          <w:sz w:val="18"/>
        </w:rPr>
      </w:pPr>
      <w:r>
        <w:rPr>
          <w:color w:val="231F20"/>
          <w:spacing w:val="-4"/>
          <w:w w:val="105"/>
          <w:sz w:val="18"/>
        </w:rPr>
        <w:t>“en </w:t>
      </w:r>
      <w:r>
        <w:rPr>
          <w:color w:val="231F20"/>
          <w:w w:val="105"/>
          <w:sz w:val="18"/>
        </w:rPr>
        <w:t>este enfoque no se pueden aislar las </w:t>
      </w:r>
      <w:r>
        <w:rPr>
          <w:color w:val="231F20"/>
          <w:spacing w:val="-3"/>
          <w:w w:val="105"/>
          <w:sz w:val="18"/>
        </w:rPr>
        <w:t>relaciones </w:t>
      </w:r>
      <w:r>
        <w:rPr>
          <w:color w:val="231F20"/>
          <w:w w:val="105"/>
          <w:sz w:val="18"/>
        </w:rPr>
        <w:t>económicas</w:t>
      </w:r>
      <w:r>
        <w:rPr>
          <w:color w:val="231F20"/>
          <w:spacing w:val="-25"/>
          <w:w w:val="105"/>
          <w:sz w:val="18"/>
        </w:rPr>
        <w:t> </w:t>
      </w:r>
      <w:r>
        <w:rPr>
          <w:color w:val="231F20"/>
          <w:spacing w:val="-3"/>
          <w:w w:val="105"/>
          <w:sz w:val="18"/>
        </w:rPr>
        <w:t>entre </w:t>
      </w:r>
      <w:r>
        <w:rPr>
          <w:color w:val="231F20"/>
          <w:w w:val="105"/>
          <w:sz w:val="18"/>
        </w:rPr>
        <w:t>las</w:t>
      </w:r>
      <w:r>
        <w:rPr>
          <w:color w:val="231F20"/>
          <w:spacing w:val="-21"/>
          <w:w w:val="105"/>
          <w:sz w:val="18"/>
        </w:rPr>
        <w:t> </w:t>
      </w:r>
      <w:r>
        <w:rPr>
          <w:color w:val="231F20"/>
          <w:w w:val="105"/>
          <w:sz w:val="18"/>
        </w:rPr>
        <w:t>clases</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las</w:t>
      </w:r>
      <w:r>
        <w:rPr>
          <w:color w:val="231F20"/>
          <w:spacing w:val="-21"/>
          <w:w w:val="105"/>
          <w:sz w:val="18"/>
        </w:rPr>
        <w:t> </w:t>
      </w:r>
      <w:r>
        <w:rPr>
          <w:color w:val="231F20"/>
          <w:spacing w:val="-3"/>
          <w:w w:val="105"/>
          <w:sz w:val="18"/>
        </w:rPr>
        <w:t>percepciones</w:t>
      </w:r>
      <w:r>
        <w:rPr>
          <w:color w:val="231F20"/>
          <w:spacing w:val="-21"/>
          <w:w w:val="105"/>
          <w:sz w:val="18"/>
        </w:rPr>
        <w:t> </w:t>
      </w:r>
      <w:r>
        <w:rPr>
          <w:color w:val="231F20"/>
          <w:w w:val="105"/>
          <w:sz w:val="18"/>
        </w:rPr>
        <w:t>y</w:t>
      </w:r>
      <w:r>
        <w:rPr>
          <w:color w:val="231F20"/>
          <w:spacing w:val="-21"/>
          <w:w w:val="105"/>
          <w:sz w:val="18"/>
        </w:rPr>
        <w:t> </w:t>
      </w:r>
      <w:r>
        <w:rPr>
          <w:color w:val="231F20"/>
          <w:w w:val="105"/>
          <w:sz w:val="18"/>
        </w:rPr>
        <w:t>símbolos;</w:t>
      </w:r>
      <w:r>
        <w:rPr>
          <w:color w:val="231F20"/>
          <w:spacing w:val="-21"/>
          <w:w w:val="105"/>
          <w:sz w:val="18"/>
        </w:rPr>
        <w:t> </w:t>
      </w:r>
      <w:r>
        <w:rPr>
          <w:color w:val="231F20"/>
          <w:w w:val="105"/>
          <w:sz w:val="18"/>
        </w:rPr>
        <w:t>a</w:t>
      </w:r>
      <w:r>
        <w:rPr>
          <w:color w:val="231F20"/>
          <w:spacing w:val="-21"/>
          <w:w w:val="105"/>
          <w:sz w:val="18"/>
        </w:rPr>
        <w:t> </w:t>
      </w:r>
      <w:r>
        <w:rPr>
          <w:color w:val="231F20"/>
          <w:spacing w:val="-2"/>
          <w:w w:val="105"/>
          <w:sz w:val="18"/>
        </w:rPr>
        <w:t>partir</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su</w:t>
      </w:r>
      <w:r>
        <w:rPr>
          <w:color w:val="231F20"/>
          <w:spacing w:val="-21"/>
          <w:w w:val="105"/>
          <w:sz w:val="18"/>
        </w:rPr>
        <w:t> </w:t>
      </w:r>
      <w:r>
        <w:rPr>
          <w:color w:val="231F20"/>
          <w:w w:val="105"/>
          <w:sz w:val="18"/>
        </w:rPr>
        <w:t>combinación</w:t>
      </w:r>
      <w:r>
        <w:rPr>
          <w:color w:val="231F20"/>
          <w:spacing w:val="-21"/>
          <w:w w:val="105"/>
          <w:sz w:val="18"/>
        </w:rPr>
        <w:t> </w:t>
      </w:r>
      <w:r>
        <w:rPr>
          <w:color w:val="231F20"/>
          <w:w w:val="105"/>
          <w:sz w:val="18"/>
        </w:rPr>
        <w:t>se </w:t>
      </w:r>
      <w:r>
        <w:rPr>
          <w:color w:val="231F20"/>
          <w:spacing w:val="-3"/>
          <w:w w:val="105"/>
          <w:sz w:val="18"/>
        </w:rPr>
        <w:t>organizan</w:t>
      </w:r>
      <w:r>
        <w:rPr>
          <w:color w:val="231F20"/>
          <w:spacing w:val="-22"/>
          <w:w w:val="105"/>
          <w:sz w:val="18"/>
        </w:rPr>
        <w:t> </w:t>
      </w:r>
      <w:r>
        <w:rPr>
          <w:color w:val="231F20"/>
          <w:spacing w:val="-3"/>
          <w:w w:val="105"/>
          <w:sz w:val="18"/>
        </w:rPr>
        <w:t>procesos</w:t>
      </w:r>
      <w:r>
        <w:rPr>
          <w:color w:val="231F20"/>
          <w:spacing w:val="-22"/>
          <w:w w:val="105"/>
          <w:sz w:val="18"/>
        </w:rPr>
        <w:t> </w:t>
      </w:r>
      <w:r>
        <w:rPr>
          <w:color w:val="231F20"/>
          <w:w w:val="105"/>
          <w:sz w:val="18"/>
        </w:rPr>
        <w:t>de</w:t>
      </w:r>
      <w:r>
        <w:rPr>
          <w:color w:val="231F20"/>
          <w:spacing w:val="-22"/>
          <w:w w:val="105"/>
          <w:sz w:val="18"/>
        </w:rPr>
        <w:t> </w:t>
      </w:r>
      <w:r>
        <w:rPr>
          <w:color w:val="231F20"/>
          <w:spacing w:val="-3"/>
          <w:w w:val="105"/>
          <w:sz w:val="18"/>
        </w:rPr>
        <w:t>reproducción</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la</w:t>
      </w:r>
      <w:r>
        <w:rPr>
          <w:color w:val="231F20"/>
          <w:spacing w:val="-22"/>
          <w:w w:val="105"/>
          <w:sz w:val="18"/>
        </w:rPr>
        <w:t> </w:t>
      </w:r>
      <w:r>
        <w:rPr>
          <w:color w:val="231F20"/>
          <w:spacing w:val="-3"/>
          <w:w w:val="105"/>
          <w:sz w:val="18"/>
        </w:rPr>
        <w:t>diferenciación</w:t>
      </w:r>
      <w:r>
        <w:rPr>
          <w:color w:val="231F20"/>
          <w:spacing w:val="-22"/>
          <w:w w:val="105"/>
          <w:sz w:val="18"/>
        </w:rPr>
        <w:t> </w:t>
      </w:r>
      <w:r>
        <w:rPr>
          <w:color w:val="231F20"/>
          <w:w w:val="105"/>
          <w:sz w:val="18"/>
        </w:rPr>
        <w:t>social.</w:t>
      </w:r>
      <w:r>
        <w:rPr>
          <w:color w:val="231F20"/>
          <w:spacing w:val="-26"/>
          <w:w w:val="105"/>
          <w:sz w:val="18"/>
        </w:rPr>
        <w:t> </w:t>
      </w:r>
      <w:r>
        <w:rPr>
          <w:color w:val="231F20"/>
          <w:w w:val="105"/>
          <w:sz w:val="18"/>
        </w:rPr>
        <w:t>Las</w:t>
      </w:r>
      <w:r>
        <w:rPr>
          <w:color w:val="231F20"/>
          <w:spacing w:val="-22"/>
          <w:w w:val="105"/>
          <w:sz w:val="18"/>
        </w:rPr>
        <w:t> </w:t>
      </w:r>
      <w:r>
        <w:rPr>
          <w:color w:val="231F20"/>
          <w:w w:val="105"/>
          <w:sz w:val="18"/>
        </w:rPr>
        <w:t>con- diciones</w:t>
      </w:r>
      <w:r>
        <w:rPr>
          <w:color w:val="231F20"/>
          <w:spacing w:val="-24"/>
          <w:w w:val="105"/>
          <w:sz w:val="18"/>
        </w:rPr>
        <w:t> </w:t>
      </w:r>
      <w:r>
        <w:rPr>
          <w:color w:val="231F20"/>
          <w:w w:val="105"/>
          <w:sz w:val="18"/>
        </w:rPr>
        <w:t>de</w:t>
      </w:r>
      <w:r>
        <w:rPr>
          <w:color w:val="231F20"/>
          <w:spacing w:val="-24"/>
          <w:w w:val="105"/>
          <w:sz w:val="18"/>
        </w:rPr>
        <w:t> </w:t>
      </w:r>
      <w:r>
        <w:rPr>
          <w:color w:val="231F20"/>
          <w:w w:val="105"/>
          <w:sz w:val="18"/>
        </w:rPr>
        <w:t>existencia</w:t>
      </w:r>
      <w:r>
        <w:rPr>
          <w:color w:val="231F20"/>
          <w:spacing w:val="-24"/>
          <w:w w:val="105"/>
          <w:sz w:val="18"/>
        </w:rPr>
        <w:t> </w:t>
      </w:r>
      <w:r>
        <w:rPr>
          <w:color w:val="231F20"/>
          <w:spacing w:val="-3"/>
          <w:w w:val="105"/>
          <w:sz w:val="18"/>
        </w:rPr>
        <w:t>diferentes</w:t>
      </w:r>
      <w:r>
        <w:rPr>
          <w:color w:val="231F20"/>
          <w:spacing w:val="-24"/>
          <w:w w:val="105"/>
          <w:sz w:val="18"/>
        </w:rPr>
        <w:t> </w:t>
      </w:r>
      <w:r>
        <w:rPr>
          <w:color w:val="231F20"/>
          <w:spacing w:val="-3"/>
          <w:w w:val="105"/>
          <w:sz w:val="18"/>
        </w:rPr>
        <w:t>producen</w:t>
      </w:r>
      <w:r>
        <w:rPr>
          <w:color w:val="231F20"/>
          <w:spacing w:val="-24"/>
          <w:w w:val="105"/>
          <w:sz w:val="18"/>
        </w:rPr>
        <w:t> </w:t>
      </w:r>
      <w:r>
        <w:rPr>
          <w:rFonts w:ascii="Arial" w:hAnsi="Arial"/>
          <w:i/>
          <w:color w:val="231F20"/>
          <w:w w:val="105"/>
          <w:sz w:val="18"/>
        </w:rPr>
        <w:t>habitus</w:t>
      </w:r>
      <w:r>
        <w:rPr>
          <w:rFonts w:ascii="Arial" w:hAnsi="Arial"/>
          <w:i/>
          <w:color w:val="231F20"/>
          <w:spacing w:val="-26"/>
          <w:w w:val="105"/>
          <w:sz w:val="18"/>
        </w:rPr>
        <w:t> </w:t>
      </w:r>
      <w:r>
        <w:rPr>
          <w:color w:val="231F20"/>
          <w:w w:val="105"/>
          <w:sz w:val="18"/>
        </w:rPr>
        <w:t>distintos,</w:t>
      </w:r>
      <w:r>
        <w:rPr>
          <w:color w:val="231F20"/>
          <w:spacing w:val="-27"/>
          <w:w w:val="105"/>
          <w:sz w:val="18"/>
        </w:rPr>
        <w:t> </w:t>
      </w:r>
      <w:r>
        <w:rPr>
          <w:color w:val="231F20"/>
          <w:w w:val="105"/>
          <w:sz w:val="18"/>
        </w:rPr>
        <w:t>y</w:t>
      </w:r>
      <w:r>
        <w:rPr>
          <w:color w:val="231F20"/>
          <w:spacing w:val="-24"/>
          <w:w w:val="105"/>
          <w:sz w:val="18"/>
        </w:rPr>
        <w:t> </w:t>
      </w:r>
      <w:r>
        <w:rPr>
          <w:color w:val="231F20"/>
          <w:w w:val="105"/>
          <w:sz w:val="18"/>
        </w:rPr>
        <w:t>las</w:t>
      </w:r>
      <w:r>
        <w:rPr>
          <w:color w:val="231F20"/>
          <w:spacing w:val="-24"/>
          <w:w w:val="105"/>
          <w:sz w:val="18"/>
        </w:rPr>
        <w:t> </w:t>
      </w:r>
      <w:r>
        <w:rPr>
          <w:color w:val="231F20"/>
          <w:w w:val="105"/>
          <w:sz w:val="18"/>
        </w:rPr>
        <w:t>prácti- cas</w:t>
      </w:r>
      <w:r>
        <w:rPr>
          <w:color w:val="231F20"/>
          <w:spacing w:val="-26"/>
          <w:w w:val="105"/>
          <w:sz w:val="18"/>
        </w:rPr>
        <w:t> </w:t>
      </w:r>
      <w:r>
        <w:rPr>
          <w:color w:val="231F20"/>
          <w:w w:val="105"/>
          <w:sz w:val="18"/>
        </w:rPr>
        <w:t>engendradas</w:t>
      </w:r>
      <w:r>
        <w:rPr>
          <w:color w:val="231F20"/>
          <w:spacing w:val="-26"/>
          <w:w w:val="105"/>
          <w:sz w:val="18"/>
        </w:rPr>
        <w:t> </w:t>
      </w:r>
      <w:r>
        <w:rPr>
          <w:color w:val="231F20"/>
          <w:w w:val="105"/>
          <w:sz w:val="18"/>
        </w:rPr>
        <w:t>por</w:t>
      </w:r>
      <w:r>
        <w:rPr>
          <w:color w:val="231F20"/>
          <w:spacing w:val="-26"/>
          <w:w w:val="105"/>
          <w:sz w:val="18"/>
        </w:rPr>
        <w:t> </w:t>
      </w:r>
      <w:r>
        <w:rPr>
          <w:color w:val="231F20"/>
          <w:w w:val="105"/>
          <w:sz w:val="18"/>
        </w:rPr>
        <w:t>dichos</w:t>
      </w:r>
      <w:r>
        <w:rPr>
          <w:color w:val="231F20"/>
          <w:spacing w:val="-26"/>
          <w:w w:val="105"/>
          <w:sz w:val="18"/>
        </w:rPr>
        <w:t> </w:t>
      </w:r>
      <w:r>
        <w:rPr>
          <w:rFonts w:ascii="Arial" w:hAnsi="Arial"/>
          <w:i/>
          <w:color w:val="231F20"/>
          <w:w w:val="105"/>
          <w:sz w:val="18"/>
        </w:rPr>
        <w:t>habitus</w:t>
      </w:r>
      <w:r>
        <w:rPr>
          <w:rFonts w:ascii="Arial" w:hAnsi="Arial"/>
          <w:i/>
          <w:color w:val="231F20"/>
          <w:spacing w:val="-28"/>
          <w:w w:val="105"/>
          <w:sz w:val="18"/>
        </w:rPr>
        <w:t> </w:t>
      </w:r>
      <w:r>
        <w:rPr>
          <w:color w:val="231F20"/>
          <w:spacing w:val="-3"/>
          <w:w w:val="105"/>
          <w:sz w:val="18"/>
        </w:rPr>
        <w:t>refuerzan</w:t>
      </w:r>
      <w:r>
        <w:rPr>
          <w:color w:val="231F20"/>
          <w:spacing w:val="-26"/>
          <w:w w:val="105"/>
          <w:sz w:val="18"/>
        </w:rPr>
        <w:t> </w:t>
      </w:r>
      <w:r>
        <w:rPr>
          <w:color w:val="231F20"/>
          <w:w w:val="105"/>
          <w:sz w:val="18"/>
        </w:rPr>
        <w:t>las</w:t>
      </w:r>
      <w:r>
        <w:rPr>
          <w:color w:val="231F20"/>
          <w:spacing w:val="-26"/>
          <w:w w:val="105"/>
          <w:sz w:val="18"/>
        </w:rPr>
        <w:t> </w:t>
      </w:r>
      <w:r>
        <w:rPr>
          <w:color w:val="231F20"/>
          <w:w w:val="105"/>
          <w:sz w:val="18"/>
        </w:rPr>
        <w:t>desigualdades</w:t>
      </w:r>
      <w:r>
        <w:rPr>
          <w:color w:val="231F20"/>
          <w:spacing w:val="-26"/>
          <w:w w:val="105"/>
          <w:sz w:val="18"/>
        </w:rPr>
        <w:t> </w:t>
      </w:r>
      <w:r>
        <w:rPr>
          <w:color w:val="231F20"/>
          <w:w w:val="105"/>
          <w:sz w:val="18"/>
        </w:rPr>
        <w:t>dadas por</w:t>
      </w:r>
      <w:r>
        <w:rPr>
          <w:color w:val="231F20"/>
          <w:spacing w:val="-33"/>
          <w:w w:val="105"/>
          <w:sz w:val="18"/>
        </w:rPr>
        <w:t> </w:t>
      </w:r>
      <w:r>
        <w:rPr>
          <w:color w:val="231F20"/>
          <w:w w:val="105"/>
          <w:sz w:val="18"/>
        </w:rPr>
        <w:t>las</w:t>
      </w:r>
      <w:r>
        <w:rPr>
          <w:color w:val="231F20"/>
          <w:spacing w:val="-33"/>
          <w:w w:val="105"/>
          <w:sz w:val="18"/>
        </w:rPr>
        <w:t> </w:t>
      </w:r>
      <w:r>
        <w:rPr>
          <w:color w:val="231F20"/>
          <w:w w:val="105"/>
          <w:sz w:val="18"/>
        </w:rPr>
        <w:t>condiciones</w:t>
      </w:r>
      <w:r>
        <w:rPr>
          <w:color w:val="231F20"/>
          <w:spacing w:val="-33"/>
          <w:w w:val="105"/>
          <w:sz w:val="18"/>
        </w:rPr>
        <w:t> </w:t>
      </w:r>
      <w:r>
        <w:rPr>
          <w:color w:val="231F20"/>
          <w:w w:val="105"/>
          <w:sz w:val="18"/>
        </w:rPr>
        <w:t>de</w:t>
      </w:r>
      <w:r>
        <w:rPr>
          <w:color w:val="231F20"/>
          <w:spacing w:val="-33"/>
          <w:w w:val="105"/>
          <w:sz w:val="18"/>
        </w:rPr>
        <w:t> </w:t>
      </w:r>
      <w:r>
        <w:rPr>
          <w:color w:val="231F20"/>
          <w:w w:val="105"/>
          <w:sz w:val="18"/>
        </w:rPr>
        <w:t>existencia</w:t>
      </w:r>
      <w:r>
        <w:rPr>
          <w:color w:val="231F20"/>
          <w:spacing w:val="-33"/>
          <w:w w:val="105"/>
          <w:sz w:val="18"/>
        </w:rPr>
        <w:t> </w:t>
      </w:r>
      <w:r>
        <w:rPr>
          <w:color w:val="231F20"/>
          <w:spacing w:val="-3"/>
          <w:w w:val="105"/>
          <w:sz w:val="18"/>
        </w:rPr>
        <w:t>previas”</w:t>
      </w:r>
      <w:r>
        <w:rPr>
          <w:color w:val="231F20"/>
          <w:spacing w:val="-33"/>
          <w:w w:val="105"/>
          <w:sz w:val="18"/>
        </w:rPr>
        <w:t> </w:t>
      </w:r>
      <w:r>
        <w:rPr>
          <w:color w:val="231F20"/>
          <w:w w:val="105"/>
          <w:sz w:val="18"/>
        </w:rPr>
        <w:t>(Oliveira</w:t>
      </w:r>
      <w:r>
        <w:rPr>
          <w:color w:val="231F20"/>
          <w:spacing w:val="-33"/>
          <w:w w:val="105"/>
          <w:sz w:val="18"/>
        </w:rPr>
        <w:t> </w:t>
      </w:r>
      <w:r>
        <w:rPr>
          <w:color w:val="231F20"/>
          <w:w w:val="105"/>
          <w:sz w:val="18"/>
        </w:rPr>
        <w:t>y</w:t>
      </w:r>
      <w:r>
        <w:rPr>
          <w:color w:val="231F20"/>
          <w:spacing w:val="-33"/>
          <w:w w:val="105"/>
          <w:sz w:val="18"/>
        </w:rPr>
        <w:t> </w:t>
      </w:r>
      <w:r>
        <w:rPr>
          <w:color w:val="231F20"/>
          <w:w w:val="105"/>
          <w:sz w:val="18"/>
        </w:rPr>
        <w:t>Salles,</w:t>
      </w:r>
      <w:r>
        <w:rPr>
          <w:color w:val="231F20"/>
          <w:spacing w:val="-35"/>
          <w:w w:val="105"/>
          <w:sz w:val="18"/>
        </w:rPr>
        <w:t> </w:t>
      </w:r>
      <w:r>
        <w:rPr>
          <w:color w:val="231F20"/>
          <w:w w:val="105"/>
          <w:sz w:val="18"/>
        </w:rPr>
        <w:t>2000:</w:t>
      </w:r>
      <w:r>
        <w:rPr>
          <w:color w:val="231F20"/>
          <w:spacing w:val="-33"/>
          <w:w w:val="105"/>
          <w:sz w:val="18"/>
        </w:rPr>
        <w:t> </w:t>
      </w:r>
      <w:r>
        <w:rPr>
          <w:color w:val="231F20"/>
          <w:w w:val="105"/>
          <w:sz w:val="18"/>
        </w:rPr>
        <w:t>623).</w:t>
      </w:r>
    </w:p>
    <w:p>
      <w:pPr>
        <w:pStyle w:val="BodyText"/>
        <w:spacing w:before="4"/>
      </w:pPr>
    </w:p>
    <w:p>
      <w:pPr>
        <w:pStyle w:val="BodyText"/>
        <w:spacing w:line="261" w:lineRule="auto"/>
        <w:ind w:left="1837" w:right="1721"/>
        <w:jc w:val="both"/>
      </w:pPr>
      <w:r>
        <w:rPr/>
        <w:pict>
          <v:line style="position:absolute;mso-position-horizontal-relative:page;mso-position-vertical-relative:paragraph;z-index:-481144" from="15pt,127.416382pt" to="0pt,127.416382pt" stroked="true" strokeweight=".25pt" strokecolor="#000000">
            <w10:wrap type="none"/>
          </v:line>
        </w:pict>
      </w:r>
      <w:r>
        <w:rPr/>
        <w:pict>
          <v:line style="position:absolute;mso-position-horizontal-relative:page;mso-position-vertical-relative:paragraph;z-index:9064" from="508.890015pt,127.416382pt" to="523.890015pt,127.416382pt" stroked="true" strokeweight=".25pt" strokecolor="#000000">
            <w10:wrap type="none"/>
          </v:line>
        </w:pict>
      </w:r>
      <w:r>
        <w:rPr>
          <w:color w:val="231F20"/>
          <w:w w:val="105"/>
        </w:rPr>
        <w:t>Desde el ámbito microsocial el </w:t>
      </w:r>
      <w:r>
        <w:rPr>
          <w:rFonts w:ascii="Arial" w:hAnsi="Arial"/>
          <w:i/>
          <w:color w:val="231F20"/>
          <w:w w:val="105"/>
        </w:rPr>
        <w:t>habitus </w:t>
      </w:r>
      <w:r>
        <w:rPr>
          <w:color w:val="231F20"/>
          <w:w w:val="105"/>
        </w:rPr>
        <w:t>“genera comportamientos que incorporan en los sujetos distintas reglas durante el proceso su socia- lización, determinando la matriz de representaciones y acciones dadas en</w:t>
      </w:r>
      <w:r>
        <w:rPr>
          <w:color w:val="231F20"/>
          <w:spacing w:val="-21"/>
          <w:w w:val="105"/>
        </w:rPr>
        <w:t> </w:t>
      </w:r>
      <w:r>
        <w:rPr>
          <w:color w:val="231F20"/>
          <w:w w:val="105"/>
        </w:rPr>
        <w:t>distintos</w:t>
      </w:r>
      <w:r>
        <w:rPr>
          <w:color w:val="231F20"/>
          <w:spacing w:val="-21"/>
          <w:w w:val="105"/>
        </w:rPr>
        <w:t> </w:t>
      </w:r>
      <w:r>
        <w:rPr>
          <w:color w:val="231F20"/>
          <w:w w:val="105"/>
        </w:rPr>
        <w:t>contextos”</w:t>
      </w:r>
      <w:r>
        <w:rPr>
          <w:color w:val="231F20"/>
          <w:spacing w:val="-21"/>
          <w:w w:val="105"/>
        </w:rPr>
        <w:t> </w:t>
      </w:r>
      <w:r>
        <w:rPr>
          <w:color w:val="231F20"/>
          <w:w w:val="105"/>
        </w:rPr>
        <w:t>(Tijoux,</w:t>
      </w:r>
      <w:r>
        <w:rPr>
          <w:color w:val="231F20"/>
          <w:spacing w:val="-26"/>
          <w:w w:val="105"/>
        </w:rPr>
        <w:t> </w:t>
      </w:r>
      <w:r>
        <w:rPr>
          <w:color w:val="231F20"/>
          <w:w w:val="105"/>
        </w:rPr>
        <w:t>2013:</w:t>
      </w:r>
      <w:r>
        <w:rPr>
          <w:color w:val="231F20"/>
          <w:spacing w:val="-21"/>
          <w:w w:val="105"/>
        </w:rPr>
        <w:t> </w:t>
      </w:r>
      <w:r>
        <w:rPr>
          <w:color w:val="231F20"/>
          <w:w w:val="105"/>
        </w:rPr>
        <w:t>85).</w:t>
      </w:r>
      <w:r>
        <w:rPr>
          <w:color w:val="231F20"/>
          <w:spacing w:val="-26"/>
          <w:w w:val="105"/>
        </w:rPr>
        <w:t> </w:t>
      </w:r>
      <w:r>
        <w:rPr>
          <w:color w:val="231F20"/>
          <w:w w:val="105"/>
        </w:rPr>
        <w:t>Es</w:t>
      </w:r>
      <w:r>
        <w:rPr>
          <w:color w:val="231F20"/>
          <w:spacing w:val="-21"/>
          <w:w w:val="105"/>
        </w:rPr>
        <w:t> </w:t>
      </w:r>
      <w:r>
        <w:rPr>
          <w:color w:val="231F20"/>
          <w:w w:val="105"/>
        </w:rPr>
        <w:t>justamente</w:t>
      </w:r>
      <w:r>
        <w:rPr>
          <w:color w:val="231F20"/>
          <w:spacing w:val="-21"/>
          <w:w w:val="105"/>
        </w:rPr>
        <w:t> </w:t>
      </w:r>
      <w:r>
        <w:rPr>
          <w:color w:val="231F20"/>
          <w:w w:val="105"/>
        </w:rPr>
        <w:t>durante</w:t>
      </w:r>
      <w:r>
        <w:rPr>
          <w:color w:val="231F20"/>
          <w:spacing w:val="-21"/>
          <w:w w:val="105"/>
        </w:rPr>
        <w:t> </w:t>
      </w:r>
      <w:r>
        <w:rPr>
          <w:color w:val="231F20"/>
          <w:w w:val="105"/>
        </w:rPr>
        <w:t>la</w:t>
      </w:r>
      <w:r>
        <w:rPr>
          <w:color w:val="231F20"/>
          <w:spacing w:val="-21"/>
          <w:w w:val="105"/>
        </w:rPr>
        <w:t> </w:t>
      </w:r>
      <w:r>
        <w:rPr>
          <w:color w:val="231F20"/>
          <w:w w:val="105"/>
        </w:rPr>
        <w:t>infan-</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9112" from="15pt,-71.68644pt" to="0pt,-71.68644pt" stroked="true" strokeweight=".25pt" strokecolor="#000000">
            <w10:wrap type="none"/>
          </v:line>
        </w:pict>
      </w:r>
      <w:r>
        <w:rPr/>
        <w:pict>
          <v:line style="position:absolute;mso-position-horizontal-relative:page;mso-position-vertical-relative:paragraph;z-index:9136" from="508.890015pt,-71.68644pt" to="523.890015pt,-71.68644pt" stroked="true" strokeweight=".25pt" strokecolor="#000000">
            <w10:wrap type="none"/>
          </v:line>
        </w:pict>
      </w:r>
      <w:r>
        <w:rPr>
          <w:color w:val="231F20"/>
          <w:w w:val="105"/>
        </w:rPr>
        <w:t>cia</w:t>
      </w:r>
      <w:r>
        <w:rPr>
          <w:color w:val="231F20"/>
          <w:spacing w:val="-13"/>
          <w:w w:val="105"/>
        </w:rPr>
        <w:t> </w:t>
      </w:r>
      <w:r>
        <w:rPr>
          <w:color w:val="231F20"/>
          <w:w w:val="105"/>
        </w:rPr>
        <w:t>cuando</w:t>
      </w:r>
      <w:r>
        <w:rPr>
          <w:color w:val="231F20"/>
          <w:spacing w:val="-13"/>
          <w:w w:val="105"/>
        </w:rPr>
        <w:t> </w:t>
      </w:r>
      <w:r>
        <w:rPr>
          <w:color w:val="231F20"/>
          <w:w w:val="105"/>
        </w:rPr>
        <w:t>se</w:t>
      </w:r>
      <w:r>
        <w:rPr>
          <w:color w:val="231F20"/>
          <w:spacing w:val="-13"/>
          <w:w w:val="105"/>
        </w:rPr>
        <w:t> </w:t>
      </w:r>
      <w:r>
        <w:rPr>
          <w:color w:val="231F20"/>
          <w:w w:val="105"/>
        </w:rPr>
        <w:t>incorpora</w:t>
      </w:r>
      <w:r>
        <w:rPr>
          <w:color w:val="231F20"/>
          <w:spacing w:val="-13"/>
          <w:w w:val="105"/>
        </w:rPr>
        <w:t> </w:t>
      </w:r>
      <w:r>
        <w:rPr>
          <w:color w:val="231F20"/>
          <w:w w:val="105"/>
        </w:rPr>
        <w:t>el</w:t>
      </w:r>
      <w:r>
        <w:rPr>
          <w:color w:val="231F20"/>
          <w:spacing w:val="-13"/>
          <w:w w:val="105"/>
        </w:rPr>
        <w:t> </w:t>
      </w:r>
      <w:r>
        <w:rPr>
          <w:color w:val="231F20"/>
          <w:w w:val="105"/>
        </w:rPr>
        <w:t>sistema</w:t>
      </w:r>
      <w:r>
        <w:rPr>
          <w:color w:val="231F20"/>
          <w:spacing w:val="-13"/>
          <w:w w:val="105"/>
        </w:rPr>
        <w:t> </w:t>
      </w:r>
      <w:r>
        <w:rPr>
          <w:color w:val="231F20"/>
          <w:w w:val="105"/>
        </w:rPr>
        <w:t>de</w:t>
      </w:r>
      <w:r>
        <w:rPr>
          <w:color w:val="231F20"/>
          <w:spacing w:val="-13"/>
          <w:w w:val="105"/>
        </w:rPr>
        <w:t> </w:t>
      </w:r>
      <w:r>
        <w:rPr>
          <w:color w:val="231F20"/>
          <w:w w:val="105"/>
        </w:rPr>
        <w:t>disposiciones</w:t>
      </w:r>
      <w:r>
        <w:rPr>
          <w:color w:val="231F20"/>
          <w:spacing w:val="-13"/>
          <w:w w:val="105"/>
        </w:rPr>
        <w:t> </w:t>
      </w:r>
      <w:r>
        <w:rPr>
          <w:color w:val="231F20"/>
          <w:w w:val="105"/>
        </w:rPr>
        <w:t>duraderas,</w:t>
      </w:r>
      <w:r>
        <w:rPr>
          <w:color w:val="231F20"/>
          <w:spacing w:val="-18"/>
          <w:w w:val="105"/>
        </w:rPr>
        <w:t> </w:t>
      </w:r>
      <w:r>
        <w:rPr>
          <w:color w:val="231F20"/>
          <w:w w:val="105"/>
        </w:rPr>
        <w:t>dejando huellas</w:t>
      </w:r>
      <w:r>
        <w:rPr>
          <w:color w:val="231F20"/>
          <w:spacing w:val="-23"/>
          <w:w w:val="105"/>
        </w:rPr>
        <w:t> </w:t>
      </w:r>
      <w:r>
        <w:rPr>
          <w:color w:val="231F20"/>
          <w:w w:val="105"/>
        </w:rPr>
        <w:t>permanentes</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vida</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sujetos</w:t>
      </w:r>
      <w:r>
        <w:rPr>
          <w:color w:val="231F20"/>
          <w:spacing w:val="-23"/>
          <w:w w:val="105"/>
        </w:rPr>
        <w:t> </w:t>
      </w:r>
      <w:r>
        <w:rPr>
          <w:color w:val="231F20"/>
          <w:w w:val="105"/>
        </w:rPr>
        <w:t>(Tijoux,</w:t>
      </w:r>
      <w:r>
        <w:rPr>
          <w:color w:val="231F20"/>
          <w:spacing w:val="-27"/>
          <w:w w:val="105"/>
        </w:rPr>
        <w:t> </w:t>
      </w:r>
      <w:r>
        <w:rPr>
          <w:color w:val="231F20"/>
          <w:w w:val="105"/>
        </w:rPr>
        <w:t>2013).</w:t>
      </w:r>
    </w:p>
    <w:p>
      <w:pPr>
        <w:pStyle w:val="BodyText"/>
        <w:spacing w:line="261" w:lineRule="auto"/>
        <w:ind w:left="1723" w:right="1829" w:firstLine="567"/>
        <w:jc w:val="both"/>
      </w:pPr>
      <w:r>
        <w:rPr>
          <w:color w:val="231F20"/>
        </w:rPr>
        <w:t>El </w:t>
      </w:r>
      <w:r>
        <w:rPr>
          <w:rFonts w:ascii="Arial" w:hAnsi="Arial"/>
          <w:i/>
          <w:color w:val="231F20"/>
        </w:rPr>
        <w:t>habitus </w:t>
      </w:r>
      <w:r>
        <w:rPr>
          <w:color w:val="231F20"/>
        </w:rPr>
        <w:t>tiene la utilidad de mostrar diversas socializaciones en distintos momentos de la vida, durante la niñez “el </w:t>
      </w:r>
      <w:r>
        <w:rPr>
          <w:rFonts w:ascii="Arial" w:hAnsi="Arial"/>
          <w:i/>
          <w:color w:val="231F20"/>
        </w:rPr>
        <w:t>habitus </w:t>
      </w:r>
      <w:r>
        <w:rPr>
          <w:color w:val="231F20"/>
        </w:rPr>
        <w:t>se construye según la apropiación singular que los niños(as) hacen de las referencias colectivas operadas a través de sus experiencias particulares” (Tijoux, 2013: 90).</w:t>
      </w:r>
    </w:p>
    <w:p>
      <w:pPr>
        <w:pStyle w:val="BodyText"/>
        <w:spacing w:line="261" w:lineRule="auto"/>
        <w:ind w:left="1723" w:right="1834" w:firstLine="567"/>
        <w:jc w:val="both"/>
      </w:pPr>
      <w:r>
        <w:rPr>
          <w:color w:val="231F20"/>
        </w:rPr>
        <w:t>Los niños y las niñas procesan el </w:t>
      </w:r>
      <w:r>
        <w:rPr>
          <w:rFonts w:ascii="Arial" w:hAnsi="Arial"/>
          <w:i/>
          <w:color w:val="231F20"/>
        </w:rPr>
        <w:t>habitus </w:t>
      </w:r>
      <w:r>
        <w:rPr>
          <w:color w:val="231F20"/>
        </w:rPr>
        <w:t>en arquetipos y represen- taciones colectivas articuladas, configurando con ello una gama de prác- ticas cotidianas que interiorizan sus roles en la sociedad. Varios espacios administran el </w:t>
      </w:r>
      <w:r>
        <w:rPr>
          <w:rFonts w:ascii="Arial" w:hAnsi="Arial"/>
          <w:i/>
          <w:color w:val="231F20"/>
        </w:rPr>
        <w:t>habitus </w:t>
      </w:r>
      <w:r>
        <w:rPr>
          <w:color w:val="231F20"/>
        </w:rPr>
        <w:t>durante la infancia, por ejemplo la familia, la es- cuela y el lugar de trabajo. En estos espacios los niños y las niñas apren- den roles, costumbres y disciplinan sus cuerpos bajo órdenes cotidianas que buscan reproducir el orden de la sociedad    (Tijoux, 2013).</w:t>
      </w:r>
    </w:p>
    <w:p>
      <w:pPr>
        <w:pStyle w:val="BodyText"/>
        <w:spacing w:line="261" w:lineRule="auto" w:before="1"/>
        <w:ind w:left="1723" w:right="1835" w:firstLine="567"/>
        <w:jc w:val="both"/>
      </w:pPr>
      <w:r>
        <w:rPr>
          <w:color w:val="231F20"/>
          <w:w w:val="105"/>
        </w:rPr>
        <w:t>La familia, la escuela y el lugar de trabajo constituyen marcos in- tegradores donde se produce un acuerdo tácito para la enseñanza de valores comunes que aprenden y luego reproducen (Tijoux, 2013).</w:t>
      </w:r>
    </w:p>
    <w:p>
      <w:pPr>
        <w:pStyle w:val="BodyText"/>
        <w:spacing w:line="261" w:lineRule="auto"/>
        <w:ind w:left="1723" w:right="1834" w:firstLine="567"/>
        <w:jc w:val="both"/>
      </w:pPr>
      <w:r>
        <w:rPr>
          <w:color w:val="231F20"/>
        </w:rPr>
        <w:t>Así, la noción de </w:t>
      </w:r>
      <w:r>
        <w:rPr>
          <w:rFonts w:ascii="Arial" w:hAnsi="Arial"/>
          <w:i/>
          <w:color w:val="231F20"/>
        </w:rPr>
        <w:t>habitus </w:t>
      </w:r>
      <w:r>
        <w:rPr>
          <w:color w:val="231F20"/>
        </w:rPr>
        <w:t>resulta adecuada para enmarcar el estu- dio del trabajo infantil y  de  los  imaginarios  migrantes  que  construyen los niños jornaleros. </w:t>
      </w:r>
      <w:r>
        <w:rPr>
          <w:color w:val="231F20"/>
          <w:spacing w:val="-5"/>
        </w:rPr>
        <w:t>Pero </w:t>
      </w:r>
      <w:r>
        <w:rPr>
          <w:color w:val="231F20"/>
        </w:rPr>
        <w:t>además es útil al vincular los niveles de análi- sis microsocial y macrosocial mediante la puesta en práctica de acciones que pueden ser o no conscientes, pero que permiten que se presenten procesos de reproducción y  </w:t>
      </w:r>
      <w:r>
        <w:rPr>
          <w:color w:val="231F20"/>
          <w:spacing w:val="13"/>
        </w:rPr>
        <w:t> </w:t>
      </w:r>
      <w:r>
        <w:rPr>
          <w:color w:val="231F20"/>
        </w:rPr>
        <w:t>supervivencia.</w:t>
      </w:r>
    </w:p>
    <w:p>
      <w:pPr>
        <w:pStyle w:val="BodyText"/>
        <w:spacing w:line="261" w:lineRule="auto" w:before="1"/>
        <w:ind w:left="1723" w:right="1835" w:firstLine="567"/>
        <w:jc w:val="both"/>
      </w:pPr>
      <w:r>
        <w:rPr>
          <w:color w:val="231F20"/>
          <w:w w:val="105"/>
        </w:rPr>
        <w:t>La</w:t>
      </w:r>
      <w:r>
        <w:rPr>
          <w:color w:val="231F20"/>
          <w:spacing w:val="-19"/>
          <w:w w:val="105"/>
        </w:rPr>
        <w:t> </w:t>
      </w:r>
      <w:r>
        <w:rPr>
          <w:color w:val="231F20"/>
          <w:w w:val="105"/>
        </w:rPr>
        <w:t>interiorización</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aprendizaje</w:t>
      </w:r>
      <w:r>
        <w:rPr>
          <w:color w:val="231F20"/>
          <w:spacing w:val="-19"/>
          <w:w w:val="105"/>
        </w:rPr>
        <w:t> </w:t>
      </w:r>
      <w:r>
        <w:rPr>
          <w:color w:val="231F20"/>
          <w:w w:val="105"/>
        </w:rPr>
        <w:t>del</w:t>
      </w:r>
      <w:r>
        <w:rPr>
          <w:color w:val="231F20"/>
          <w:spacing w:val="-19"/>
          <w:w w:val="105"/>
        </w:rPr>
        <w:t> </w:t>
      </w:r>
      <w:r>
        <w:rPr>
          <w:color w:val="231F20"/>
          <w:w w:val="105"/>
        </w:rPr>
        <w:t>lugar</w:t>
      </w:r>
      <w:r>
        <w:rPr>
          <w:color w:val="231F20"/>
          <w:spacing w:val="-19"/>
          <w:w w:val="105"/>
        </w:rPr>
        <w:t> </w:t>
      </w:r>
      <w:r>
        <w:rPr>
          <w:color w:val="231F20"/>
          <w:w w:val="105"/>
        </w:rPr>
        <w:t>que</w:t>
      </w:r>
      <w:r>
        <w:rPr>
          <w:color w:val="231F20"/>
          <w:spacing w:val="-19"/>
          <w:w w:val="105"/>
        </w:rPr>
        <w:t> </w:t>
      </w:r>
      <w:r>
        <w:rPr>
          <w:color w:val="231F20"/>
          <w:w w:val="105"/>
        </w:rPr>
        <w:t>ocupan</w:t>
      </w:r>
      <w:r>
        <w:rPr>
          <w:color w:val="231F20"/>
          <w:spacing w:val="-19"/>
          <w:w w:val="105"/>
        </w:rPr>
        <w:t> </w:t>
      </w:r>
      <w:r>
        <w:rPr>
          <w:color w:val="231F20"/>
          <w:w w:val="105"/>
        </w:rPr>
        <w:t>y</w:t>
      </w:r>
      <w:r>
        <w:rPr>
          <w:color w:val="231F20"/>
          <w:spacing w:val="-19"/>
          <w:w w:val="105"/>
        </w:rPr>
        <w:t> </w:t>
      </w:r>
      <w:r>
        <w:rPr>
          <w:color w:val="231F20"/>
          <w:w w:val="105"/>
        </w:rPr>
        <w:t>ocuparán los</w:t>
      </w:r>
      <w:r>
        <w:rPr>
          <w:color w:val="231F20"/>
          <w:spacing w:val="-10"/>
          <w:w w:val="105"/>
        </w:rPr>
        <w:t> </w:t>
      </w:r>
      <w:r>
        <w:rPr>
          <w:color w:val="231F20"/>
          <w:w w:val="105"/>
        </w:rPr>
        <w:t>niños</w:t>
      </w:r>
      <w:r>
        <w:rPr>
          <w:color w:val="231F20"/>
          <w:spacing w:val="-10"/>
          <w:w w:val="105"/>
        </w:rPr>
        <w:t> </w:t>
      </w:r>
      <w:r>
        <w:rPr>
          <w:color w:val="231F20"/>
          <w:w w:val="105"/>
        </w:rPr>
        <w:t>y</w:t>
      </w:r>
      <w:r>
        <w:rPr>
          <w:color w:val="231F20"/>
          <w:spacing w:val="-10"/>
          <w:w w:val="105"/>
        </w:rPr>
        <w:t> </w:t>
      </w:r>
      <w:r>
        <w:rPr>
          <w:color w:val="231F20"/>
          <w:w w:val="105"/>
        </w:rPr>
        <w:t>las</w:t>
      </w:r>
      <w:r>
        <w:rPr>
          <w:color w:val="231F20"/>
          <w:spacing w:val="-10"/>
          <w:w w:val="105"/>
        </w:rPr>
        <w:t> </w:t>
      </w:r>
      <w:r>
        <w:rPr>
          <w:color w:val="231F20"/>
          <w:w w:val="105"/>
        </w:rPr>
        <w:t>niñas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sociedad</w:t>
      </w:r>
      <w:r>
        <w:rPr>
          <w:color w:val="231F20"/>
          <w:spacing w:val="-10"/>
          <w:w w:val="105"/>
        </w:rPr>
        <w:t> </w:t>
      </w:r>
      <w:r>
        <w:rPr>
          <w:color w:val="231F20"/>
          <w:w w:val="105"/>
        </w:rPr>
        <w:t>están</w:t>
      </w:r>
      <w:r>
        <w:rPr>
          <w:color w:val="231F20"/>
          <w:spacing w:val="-10"/>
          <w:w w:val="105"/>
        </w:rPr>
        <w:t> </w:t>
      </w:r>
      <w:r>
        <w:rPr>
          <w:color w:val="231F20"/>
          <w:w w:val="105"/>
        </w:rPr>
        <w:t>permeadas</w:t>
      </w:r>
      <w:r>
        <w:rPr>
          <w:color w:val="231F20"/>
          <w:spacing w:val="-10"/>
          <w:w w:val="105"/>
        </w:rPr>
        <w:t> </w:t>
      </w:r>
      <w:r>
        <w:rPr>
          <w:color w:val="231F20"/>
          <w:w w:val="105"/>
        </w:rPr>
        <w:t>por</w:t>
      </w:r>
      <w:r>
        <w:rPr>
          <w:color w:val="231F20"/>
          <w:spacing w:val="-10"/>
          <w:w w:val="105"/>
        </w:rPr>
        <w:t> </w:t>
      </w:r>
      <w:r>
        <w:rPr>
          <w:color w:val="231F20"/>
          <w:w w:val="105"/>
        </w:rPr>
        <w:t>contextos</w:t>
      </w:r>
      <w:r>
        <w:rPr>
          <w:color w:val="231F20"/>
          <w:spacing w:val="-10"/>
          <w:w w:val="105"/>
        </w:rPr>
        <w:t> </w:t>
      </w:r>
      <w:r>
        <w:rPr>
          <w:color w:val="231F20"/>
          <w:w w:val="105"/>
        </w:rPr>
        <w:t>ma- crosociales</w:t>
      </w:r>
      <w:r>
        <w:rPr>
          <w:color w:val="231F20"/>
          <w:spacing w:val="-21"/>
          <w:w w:val="105"/>
        </w:rPr>
        <w:t> </w:t>
      </w:r>
      <w:r>
        <w:rPr>
          <w:color w:val="231F20"/>
          <w:w w:val="105"/>
        </w:rPr>
        <w:t>con</w:t>
      </w:r>
      <w:r>
        <w:rPr>
          <w:color w:val="231F20"/>
          <w:spacing w:val="-21"/>
          <w:w w:val="105"/>
        </w:rPr>
        <w:t> </w:t>
      </w:r>
      <w:r>
        <w:rPr>
          <w:color w:val="231F20"/>
          <w:w w:val="105"/>
        </w:rPr>
        <w:t>los</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articulan</w:t>
      </w:r>
      <w:r>
        <w:rPr>
          <w:color w:val="231F20"/>
          <w:spacing w:val="-21"/>
          <w:w w:val="105"/>
        </w:rPr>
        <w:t> </w:t>
      </w:r>
      <w:r>
        <w:rPr>
          <w:color w:val="231F20"/>
          <w:w w:val="105"/>
        </w:rPr>
        <w:t>las</w:t>
      </w:r>
      <w:r>
        <w:rPr>
          <w:color w:val="231F20"/>
          <w:spacing w:val="-21"/>
          <w:w w:val="105"/>
        </w:rPr>
        <w:t> </w:t>
      </w:r>
      <w:r>
        <w:rPr>
          <w:color w:val="231F20"/>
          <w:w w:val="105"/>
        </w:rPr>
        <w:t>prácticas</w:t>
      </w:r>
      <w:r>
        <w:rPr>
          <w:color w:val="231F20"/>
          <w:spacing w:val="-21"/>
          <w:w w:val="105"/>
        </w:rPr>
        <w:t> </w:t>
      </w:r>
      <w:r>
        <w:rPr>
          <w:color w:val="231F20"/>
          <w:w w:val="105"/>
        </w:rPr>
        <w:t>tanto</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familias,</w:t>
      </w:r>
      <w:r>
        <w:rPr>
          <w:color w:val="231F20"/>
          <w:spacing w:val="-26"/>
          <w:w w:val="105"/>
        </w:rPr>
        <w:t> </w:t>
      </w:r>
      <w:r>
        <w:rPr>
          <w:color w:val="231F20"/>
          <w:w w:val="105"/>
        </w:rPr>
        <w:t>las escuelas</w:t>
      </w:r>
      <w:r>
        <w:rPr>
          <w:color w:val="231F20"/>
          <w:spacing w:val="-20"/>
          <w:w w:val="105"/>
        </w:rPr>
        <w:t> </w:t>
      </w:r>
      <w:r>
        <w:rPr>
          <w:color w:val="231F20"/>
          <w:w w:val="105"/>
        </w:rPr>
        <w:t>y</w:t>
      </w:r>
      <w:r>
        <w:rPr>
          <w:color w:val="231F20"/>
          <w:spacing w:val="-20"/>
          <w:w w:val="105"/>
        </w:rPr>
        <w:t> </w:t>
      </w:r>
      <w:r>
        <w:rPr>
          <w:color w:val="231F20"/>
          <w:w w:val="105"/>
        </w:rPr>
        <w:t>en</w:t>
      </w:r>
      <w:r>
        <w:rPr>
          <w:color w:val="231F20"/>
          <w:spacing w:val="-20"/>
          <w:w w:val="105"/>
        </w:rPr>
        <w:t> </w:t>
      </w:r>
      <w:r>
        <w:rPr>
          <w:color w:val="231F20"/>
          <w:w w:val="105"/>
        </w:rPr>
        <w:t>algunos</w:t>
      </w:r>
      <w:r>
        <w:rPr>
          <w:color w:val="231F20"/>
          <w:spacing w:val="-20"/>
          <w:w w:val="105"/>
        </w:rPr>
        <w:t> </w:t>
      </w:r>
      <w:r>
        <w:rPr>
          <w:color w:val="231F20"/>
          <w:w w:val="105"/>
        </w:rPr>
        <w:t>casos</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lugares</w:t>
      </w:r>
      <w:r>
        <w:rPr>
          <w:color w:val="231F20"/>
          <w:spacing w:val="-20"/>
          <w:w w:val="105"/>
        </w:rPr>
        <w:t> </w:t>
      </w:r>
      <w:r>
        <w:rPr>
          <w:color w:val="231F20"/>
          <w:w w:val="105"/>
        </w:rPr>
        <w:t>de</w:t>
      </w:r>
      <w:r>
        <w:rPr>
          <w:color w:val="231F20"/>
          <w:spacing w:val="-20"/>
          <w:w w:val="105"/>
        </w:rPr>
        <w:t> </w:t>
      </w:r>
      <w:r>
        <w:rPr>
          <w:color w:val="231F20"/>
          <w:w w:val="105"/>
        </w:rPr>
        <w:t>trabajo</w:t>
      </w:r>
      <w:r>
        <w:rPr>
          <w:color w:val="231F20"/>
          <w:spacing w:val="-20"/>
          <w:w w:val="105"/>
        </w:rPr>
        <w:t> </w:t>
      </w:r>
      <w:r>
        <w:rPr>
          <w:color w:val="231F20"/>
          <w:w w:val="105"/>
        </w:rPr>
        <w:t>donde</w:t>
      </w:r>
      <w:r>
        <w:rPr>
          <w:color w:val="231F20"/>
          <w:spacing w:val="-20"/>
          <w:w w:val="105"/>
        </w:rPr>
        <w:t> </w:t>
      </w:r>
      <w:r>
        <w:rPr>
          <w:color w:val="231F20"/>
          <w:w w:val="105"/>
        </w:rPr>
        <w:t>se</w:t>
      </w:r>
      <w:r>
        <w:rPr>
          <w:color w:val="231F20"/>
          <w:spacing w:val="-20"/>
          <w:w w:val="105"/>
        </w:rPr>
        <w:t> </w:t>
      </w:r>
      <w:r>
        <w:rPr>
          <w:color w:val="231F20"/>
          <w:w w:val="105"/>
        </w:rPr>
        <w:t>emplean niños</w:t>
      </w:r>
      <w:r>
        <w:rPr>
          <w:color w:val="231F20"/>
          <w:spacing w:val="-33"/>
          <w:w w:val="105"/>
        </w:rPr>
        <w:t> </w:t>
      </w:r>
      <w:r>
        <w:rPr>
          <w:color w:val="231F20"/>
          <w:w w:val="105"/>
        </w:rPr>
        <w:t>y</w:t>
      </w:r>
      <w:r>
        <w:rPr>
          <w:color w:val="231F20"/>
          <w:spacing w:val="-33"/>
          <w:w w:val="105"/>
        </w:rPr>
        <w:t> </w:t>
      </w:r>
      <w:r>
        <w:rPr>
          <w:color w:val="231F20"/>
          <w:w w:val="105"/>
        </w:rPr>
        <w:t>niñas.</w:t>
      </w:r>
    </w:p>
    <w:p>
      <w:pPr>
        <w:pStyle w:val="BodyText"/>
        <w:spacing w:line="261" w:lineRule="auto" w:before="1"/>
        <w:ind w:left="1723" w:right="1835" w:firstLine="567"/>
        <w:jc w:val="both"/>
      </w:pPr>
      <w:r>
        <w:rPr>
          <w:color w:val="231F20"/>
        </w:rPr>
        <w:t>¿Cuál es el contexto macrosocial donde se articulan las prácticas sociales que serán interiorizadas por los niños y las niñas? ¿Cuáles son sus características? Para los fines de este artículo se ha considerado al ámbito productivo local, caracterizado por la desigualdad estructural en- tre  productores.</w:t>
      </w:r>
    </w:p>
    <w:p>
      <w:pPr>
        <w:pStyle w:val="BodyText"/>
        <w:rPr>
          <w:sz w:val="20"/>
        </w:rPr>
      </w:pPr>
    </w:p>
    <w:p>
      <w:pPr>
        <w:pStyle w:val="BodyText"/>
        <w:spacing w:before="7"/>
        <w:rPr>
          <w:sz w:val="19"/>
        </w:rPr>
      </w:pPr>
    </w:p>
    <w:p>
      <w:pPr>
        <w:pStyle w:val="Heading3"/>
        <w:ind w:left="1723"/>
        <w:rPr>
          <w:rFonts w:ascii="Tahoma" w:hAnsi="Tahoma"/>
        </w:rPr>
      </w:pPr>
      <w:r>
        <w:rPr>
          <w:rFonts w:ascii="Tahoma" w:hAnsi="Tahoma"/>
          <w:color w:val="231F20"/>
          <w:w w:val="95"/>
        </w:rPr>
        <w:t>La actividad florícola en Villa Guerrero</w:t>
      </w:r>
    </w:p>
    <w:p>
      <w:pPr>
        <w:pStyle w:val="BodyText"/>
        <w:rPr>
          <w:rFonts w:ascii="Tahoma"/>
          <w:b/>
          <w:sz w:val="22"/>
        </w:rPr>
      </w:pPr>
    </w:p>
    <w:p>
      <w:pPr>
        <w:pStyle w:val="BodyText"/>
        <w:spacing w:line="261" w:lineRule="auto" w:before="152"/>
        <w:ind w:left="1723" w:right="1834"/>
        <w:jc w:val="both"/>
      </w:pPr>
      <w:r>
        <w:rPr>
          <w:color w:val="231F20"/>
          <w:w w:val="105"/>
        </w:rPr>
        <w:t>La floricultura en el municipio de Villa Guerrero tiene múltiples</w:t>
      </w:r>
      <w:r>
        <w:rPr>
          <w:color w:val="231F20"/>
          <w:spacing w:val="-39"/>
          <w:w w:val="105"/>
        </w:rPr>
        <w:t> </w:t>
      </w:r>
      <w:r>
        <w:rPr>
          <w:color w:val="231F20"/>
          <w:w w:val="105"/>
        </w:rPr>
        <w:t>manifes- taciones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vida</w:t>
      </w:r>
      <w:r>
        <w:rPr>
          <w:color w:val="231F20"/>
          <w:spacing w:val="-20"/>
          <w:w w:val="105"/>
        </w:rPr>
        <w:t> </w:t>
      </w:r>
      <w:r>
        <w:rPr>
          <w:color w:val="231F20"/>
          <w:w w:val="105"/>
        </w:rPr>
        <w:t>cotidiana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población</w:t>
      </w:r>
      <w:r>
        <w:rPr>
          <w:color w:val="231F20"/>
          <w:spacing w:val="-20"/>
          <w:w w:val="105"/>
        </w:rPr>
        <w:t> </w:t>
      </w:r>
      <w:r>
        <w:rPr>
          <w:color w:val="231F20"/>
          <w:w w:val="105"/>
        </w:rPr>
        <w:t>local.</w:t>
      </w:r>
      <w:r>
        <w:rPr>
          <w:color w:val="231F20"/>
          <w:spacing w:val="-26"/>
          <w:w w:val="105"/>
        </w:rPr>
        <w:t> </w:t>
      </w:r>
      <w:r>
        <w:rPr>
          <w:color w:val="231F20"/>
          <w:w w:val="105"/>
        </w:rPr>
        <w:t>Los</w:t>
      </w:r>
      <w:r>
        <w:rPr>
          <w:color w:val="231F20"/>
          <w:spacing w:val="-20"/>
          <w:w w:val="105"/>
        </w:rPr>
        <w:t> </w:t>
      </w:r>
      <w:r>
        <w:rPr>
          <w:color w:val="231F20"/>
          <w:w w:val="105"/>
        </w:rPr>
        <w:t>habitantes</w:t>
      </w:r>
      <w:r>
        <w:rPr>
          <w:color w:val="231F20"/>
          <w:spacing w:val="-20"/>
          <w:w w:val="105"/>
        </w:rPr>
        <w:t> </w:t>
      </w:r>
      <w:r>
        <w:rPr>
          <w:color w:val="231F20"/>
          <w:w w:val="105"/>
        </w:rPr>
        <w:t>de</w:t>
      </w:r>
      <w:r>
        <w:rPr>
          <w:color w:val="231F20"/>
          <w:spacing w:val="-23"/>
          <w:w w:val="105"/>
        </w:rPr>
        <w:t> </w:t>
      </w:r>
      <w:r>
        <w:rPr>
          <w:color w:val="231F20"/>
          <w:w w:val="105"/>
        </w:rPr>
        <w:t>Villa Guerrero</w:t>
      </w:r>
      <w:r>
        <w:rPr>
          <w:color w:val="231F20"/>
          <w:spacing w:val="-18"/>
          <w:w w:val="105"/>
        </w:rPr>
        <w:t> </w:t>
      </w:r>
      <w:r>
        <w:rPr>
          <w:color w:val="231F20"/>
          <w:w w:val="105"/>
        </w:rPr>
        <w:t>viven</w:t>
      </w:r>
      <w:r>
        <w:rPr>
          <w:color w:val="231F20"/>
          <w:spacing w:val="-18"/>
          <w:w w:val="105"/>
        </w:rPr>
        <w:t> </w:t>
      </w:r>
      <w:r>
        <w:rPr>
          <w:color w:val="231F20"/>
          <w:w w:val="105"/>
        </w:rPr>
        <w:t>día</w:t>
      </w:r>
      <w:r>
        <w:rPr>
          <w:color w:val="231F20"/>
          <w:spacing w:val="-18"/>
          <w:w w:val="105"/>
        </w:rPr>
        <w:t> </w:t>
      </w:r>
      <w:r>
        <w:rPr>
          <w:color w:val="231F20"/>
          <w:w w:val="105"/>
        </w:rPr>
        <w:t>con</w:t>
      </w:r>
      <w:r>
        <w:rPr>
          <w:color w:val="231F20"/>
          <w:spacing w:val="-18"/>
          <w:w w:val="105"/>
        </w:rPr>
        <w:t> </w:t>
      </w:r>
      <w:r>
        <w:rPr>
          <w:color w:val="231F20"/>
          <w:w w:val="105"/>
        </w:rPr>
        <w:t>día</w:t>
      </w:r>
      <w:r>
        <w:rPr>
          <w:color w:val="231F20"/>
          <w:spacing w:val="-18"/>
          <w:w w:val="105"/>
        </w:rPr>
        <w:t> </w:t>
      </w:r>
      <w:r>
        <w:rPr>
          <w:color w:val="231F20"/>
          <w:w w:val="105"/>
        </w:rPr>
        <w:t>la</w:t>
      </w:r>
      <w:r>
        <w:rPr>
          <w:color w:val="231F20"/>
          <w:spacing w:val="-18"/>
          <w:w w:val="105"/>
        </w:rPr>
        <w:t> </w:t>
      </w:r>
      <w:r>
        <w:rPr>
          <w:color w:val="231F20"/>
          <w:w w:val="105"/>
        </w:rPr>
        <w:t>presencia</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color w:val="231F20"/>
          <w:w w:val="105"/>
        </w:rPr>
        <w:t>actividad</w:t>
      </w:r>
      <w:r>
        <w:rPr>
          <w:color w:val="231F20"/>
          <w:spacing w:val="-18"/>
          <w:w w:val="105"/>
        </w:rPr>
        <w:t> </w:t>
      </w:r>
      <w:r>
        <w:rPr>
          <w:color w:val="231F20"/>
          <w:w w:val="105"/>
        </w:rPr>
        <w:t>económica</w:t>
      </w:r>
      <w:r>
        <w:rPr>
          <w:color w:val="231F20"/>
          <w:spacing w:val="-18"/>
          <w:w w:val="105"/>
        </w:rPr>
        <w:t> </w:t>
      </w:r>
      <w:r>
        <w:rPr>
          <w:color w:val="231F20"/>
          <w:w w:val="105"/>
        </w:rPr>
        <w:t>alta- mente</w:t>
      </w:r>
      <w:r>
        <w:rPr>
          <w:color w:val="231F20"/>
          <w:spacing w:val="-22"/>
          <w:w w:val="105"/>
        </w:rPr>
        <w:t> </w:t>
      </w:r>
      <w:r>
        <w:rPr>
          <w:color w:val="231F20"/>
          <w:w w:val="105"/>
        </w:rPr>
        <w:t>vinculada</w:t>
      </w:r>
      <w:r>
        <w:rPr>
          <w:color w:val="231F20"/>
          <w:spacing w:val="-22"/>
          <w:w w:val="105"/>
        </w:rPr>
        <w:t> </w:t>
      </w:r>
      <w:r>
        <w:rPr>
          <w:color w:val="231F20"/>
          <w:w w:val="105"/>
        </w:rPr>
        <w:t>a</w:t>
      </w:r>
      <w:r>
        <w:rPr>
          <w:color w:val="231F20"/>
          <w:spacing w:val="-22"/>
          <w:w w:val="105"/>
        </w:rPr>
        <w:t> </w:t>
      </w:r>
      <w:r>
        <w:rPr>
          <w:color w:val="231F20"/>
          <w:w w:val="105"/>
        </w:rPr>
        <w:t>los</w:t>
      </w:r>
      <w:r>
        <w:rPr>
          <w:color w:val="231F20"/>
          <w:spacing w:val="-22"/>
          <w:w w:val="105"/>
        </w:rPr>
        <w:t> </w:t>
      </w:r>
      <w:r>
        <w:rPr>
          <w:color w:val="231F20"/>
          <w:w w:val="105"/>
        </w:rPr>
        <w:t>mercados</w:t>
      </w:r>
      <w:r>
        <w:rPr>
          <w:color w:val="231F20"/>
          <w:spacing w:val="-22"/>
          <w:w w:val="105"/>
        </w:rPr>
        <w:t> </w:t>
      </w:r>
      <w:r>
        <w:rPr>
          <w:color w:val="231F20"/>
          <w:w w:val="105"/>
        </w:rPr>
        <w:t>internacionales,</w:t>
      </w:r>
      <w:r>
        <w:rPr>
          <w:color w:val="231F20"/>
          <w:spacing w:val="-26"/>
          <w:w w:val="105"/>
        </w:rPr>
        <w:t> </w:t>
      </w:r>
      <w:r>
        <w:rPr>
          <w:color w:val="231F20"/>
          <w:w w:val="105"/>
        </w:rPr>
        <w:t>no</w:t>
      </w:r>
      <w:r>
        <w:rPr>
          <w:color w:val="231F20"/>
          <w:spacing w:val="-22"/>
          <w:w w:val="105"/>
        </w:rPr>
        <w:t> </w:t>
      </w:r>
      <w:r>
        <w:rPr>
          <w:color w:val="231F20"/>
          <w:w w:val="105"/>
        </w:rPr>
        <w:t>sólo</w:t>
      </w:r>
      <w:r>
        <w:rPr>
          <w:color w:val="231F20"/>
          <w:spacing w:val="-22"/>
          <w:w w:val="105"/>
        </w:rPr>
        <w:t> </w:t>
      </w:r>
      <w:r>
        <w:rPr>
          <w:color w:val="231F20"/>
          <w:w w:val="105"/>
        </w:rPr>
        <w:t>como</w:t>
      </w:r>
      <w:r>
        <w:rPr>
          <w:color w:val="231F20"/>
          <w:spacing w:val="-22"/>
          <w:w w:val="105"/>
        </w:rPr>
        <w:t> </w:t>
      </w:r>
      <w:r>
        <w:rPr>
          <w:color w:val="231F20"/>
          <w:w w:val="105"/>
        </w:rPr>
        <w:t>expende- dora de flores, sino también como consumidora de insumos de</w:t>
      </w:r>
      <w:r>
        <w:rPr>
          <w:color w:val="231F20"/>
          <w:spacing w:val="-18"/>
          <w:w w:val="105"/>
        </w:rPr>
        <w:t> </w:t>
      </w:r>
      <w:r>
        <w:rPr>
          <w:color w:val="231F20"/>
          <w:w w:val="105"/>
        </w:rPr>
        <w:t>produc-</w:t>
      </w:r>
    </w:p>
    <w:p>
      <w:pPr>
        <w:pStyle w:val="BodyText"/>
        <w:rPr>
          <w:sz w:val="20"/>
        </w:rPr>
      </w:pPr>
    </w:p>
    <w:p>
      <w:pPr>
        <w:pStyle w:val="BodyText"/>
        <w:rPr>
          <w:sz w:val="20"/>
        </w:rPr>
      </w:pPr>
    </w:p>
    <w:p>
      <w:pPr>
        <w:pStyle w:val="BodyText"/>
        <w:spacing w:before="11"/>
        <w:rPr>
          <w:sz w:val="17"/>
        </w:rPr>
      </w:pPr>
    </w:p>
    <w:p>
      <w:pPr>
        <w:tabs>
          <w:tab w:pos="2937" w:val="left" w:leader="none"/>
        </w:tabs>
        <w:spacing w:before="70"/>
        <w:ind w:left="1887" w:right="0" w:firstLine="0"/>
        <w:jc w:val="left"/>
        <w:rPr>
          <w:rFonts w:ascii="Calibri" w:hAnsi="Calibri"/>
          <w:sz w:val="15"/>
        </w:rPr>
      </w:pPr>
      <w:r>
        <w:rPr/>
        <w:pict>
          <v:line style="position:absolute;mso-position-horizontal-relative:page;mso-position-vertical-relative:paragraph;z-index:-481096" from="131.551193pt,3.703715pt" to="131.551193pt,39.506114pt" stroked="true" strokeweight=".35pt" strokecolor="#231f20">
            <w10:wrap type="none"/>
          </v:line>
        </w:pict>
      </w:r>
      <w:r>
        <w:rPr/>
        <w:pict>
          <v:line style="position:absolute;mso-position-horizontal-relative:page;mso-position-vertical-relative:paragraph;z-index:-481024" from="15pt,39.505917pt" to="0pt,39.505917pt" stroked="true" strokeweight=".25pt" strokecolor="#000000">
            <w10:wrap type="none"/>
          </v:line>
        </w:pict>
      </w:r>
      <w:r>
        <w:rPr/>
        <w:pict>
          <v:line style="position:absolute;mso-position-horizontal-relative:page;mso-position-vertical-relative:paragraph;z-index:9184" from="508.890015pt,39.505917pt" to="523.890015pt,39.505917pt" stroked="true" strokeweight=".25pt" strokecolor="#000000">
            <w10:wrap type="none"/>
          </v:line>
        </w:pict>
      </w:r>
      <w:r>
        <w:rPr>
          <w:rFonts w:ascii="Arial" w:hAnsi="Arial"/>
          <w:color w:val="414042"/>
          <w:position w:val="-5"/>
          <w:sz w:val="20"/>
        </w:rPr>
        <w:t>94</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755" w:right="0" w:firstLine="0"/>
        <w:jc w:val="left"/>
        <w:rPr>
          <w:rFonts w:ascii="Arial" w:hAnsi="Arial"/>
          <w:sz w:val="20"/>
        </w:rPr>
      </w:pPr>
      <w:r>
        <w:rPr/>
        <w:pict>
          <v:line style="position:absolute;mso-position-horizontal-relative:page;mso-position-vertical-relative:paragraph;z-index:-480976" from="405.061005pt,-18.554295pt" to="405.061005pt,16.311579pt" stroked="true" strokeweight=".35pt" strokecolor="#231f20">
            <w10:wrap type="none"/>
          </v:line>
        </w:pict>
      </w:r>
      <w:r>
        <w:rPr/>
        <w:pict>
          <v:line style="position:absolute;mso-position-horizontal-relative:page;mso-position-vertical-relative:paragraph;z-index:9232" from="15pt,-18.554522pt" to="0pt,-18.554522pt" stroked="true" strokeweight=".25pt" strokecolor="#000000">
            <w10:wrap type="none"/>
          </v:line>
        </w:pict>
      </w:r>
      <w:r>
        <w:rPr/>
        <w:pict>
          <v:line style="position:absolute;mso-position-horizontal-relative:page;mso-position-vertical-relative:paragraph;z-index:9256"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95</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ción provenientes del extranjero. Caminar por el espacio territorial del municipio significa toparse con la floricultura y ver expresiones de ella por doquier.</w:t>
      </w:r>
    </w:p>
    <w:p>
      <w:pPr>
        <w:pStyle w:val="BodyText"/>
        <w:spacing w:line="261" w:lineRule="auto" w:before="1"/>
        <w:ind w:left="1837" w:right="1715" w:firstLine="567"/>
        <w:jc w:val="both"/>
      </w:pPr>
      <w:r>
        <w:rPr>
          <w:color w:val="231F20"/>
          <w:w w:val="105"/>
        </w:rPr>
        <w:t>Al adquirir un ramo o arreglo floral, cuyo consumo resulta en una “experiencia</w:t>
      </w:r>
      <w:r>
        <w:rPr>
          <w:color w:val="231F20"/>
          <w:spacing w:val="-31"/>
          <w:w w:val="105"/>
        </w:rPr>
        <w:t> </w:t>
      </w:r>
      <w:r>
        <w:rPr>
          <w:color w:val="231F20"/>
          <w:w w:val="105"/>
        </w:rPr>
        <w:t>estética”</w:t>
      </w:r>
      <w:r>
        <w:rPr>
          <w:color w:val="231F20"/>
          <w:spacing w:val="-31"/>
          <w:w w:val="105"/>
        </w:rPr>
        <w:t> </w:t>
      </w:r>
      <w:r>
        <w:rPr>
          <w:color w:val="231F20"/>
          <w:w w:val="105"/>
        </w:rPr>
        <w:t>-por</w:t>
      </w:r>
      <w:r>
        <w:rPr>
          <w:color w:val="231F20"/>
          <w:spacing w:val="-31"/>
          <w:w w:val="105"/>
        </w:rPr>
        <w:t> </w:t>
      </w:r>
      <w:r>
        <w:rPr>
          <w:color w:val="231F20"/>
          <w:w w:val="105"/>
        </w:rPr>
        <w:t>lo</w:t>
      </w:r>
      <w:r>
        <w:rPr>
          <w:color w:val="231F20"/>
          <w:spacing w:val="-31"/>
          <w:w w:val="105"/>
        </w:rPr>
        <w:t> </w:t>
      </w:r>
      <w:r>
        <w:rPr>
          <w:color w:val="231F20"/>
          <w:w w:val="105"/>
        </w:rPr>
        <w:t>general</w:t>
      </w:r>
      <w:r>
        <w:rPr>
          <w:color w:val="231F20"/>
          <w:spacing w:val="-31"/>
          <w:w w:val="105"/>
        </w:rPr>
        <w:t> </w:t>
      </w:r>
      <w:r>
        <w:rPr>
          <w:color w:val="231F20"/>
          <w:w w:val="105"/>
        </w:rPr>
        <w:t>reservada</w:t>
      </w:r>
      <w:r>
        <w:rPr>
          <w:color w:val="231F20"/>
          <w:spacing w:val="-31"/>
          <w:w w:val="105"/>
        </w:rPr>
        <w:t> </w:t>
      </w:r>
      <w:r>
        <w:rPr>
          <w:color w:val="231F20"/>
          <w:w w:val="105"/>
        </w:rPr>
        <w:t>a</w:t>
      </w:r>
      <w:r>
        <w:rPr>
          <w:color w:val="231F20"/>
          <w:spacing w:val="-31"/>
          <w:w w:val="105"/>
        </w:rPr>
        <w:t> </w:t>
      </w:r>
      <w:r>
        <w:rPr>
          <w:color w:val="231F20"/>
          <w:w w:val="105"/>
        </w:rPr>
        <w:t>las</w:t>
      </w:r>
      <w:r>
        <w:rPr>
          <w:color w:val="231F20"/>
          <w:spacing w:val="-31"/>
          <w:w w:val="105"/>
        </w:rPr>
        <w:t> </w:t>
      </w:r>
      <w:r>
        <w:rPr>
          <w:color w:val="231F20"/>
          <w:w w:val="105"/>
        </w:rPr>
        <w:t>capas</w:t>
      </w:r>
      <w:r>
        <w:rPr>
          <w:color w:val="231F20"/>
          <w:spacing w:val="-31"/>
          <w:w w:val="105"/>
        </w:rPr>
        <w:t> </w:t>
      </w:r>
      <w:r>
        <w:rPr>
          <w:color w:val="231F20"/>
          <w:w w:val="105"/>
        </w:rPr>
        <w:t>medias</w:t>
      </w:r>
      <w:r>
        <w:rPr>
          <w:color w:val="231F20"/>
          <w:spacing w:val="-31"/>
          <w:w w:val="105"/>
        </w:rPr>
        <w:t> </w:t>
      </w:r>
      <w:r>
        <w:rPr>
          <w:color w:val="231F20"/>
          <w:w w:val="105"/>
        </w:rPr>
        <w:t>y</w:t>
      </w:r>
      <w:r>
        <w:rPr>
          <w:color w:val="231F20"/>
          <w:spacing w:val="-31"/>
          <w:w w:val="105"/>
        </w:rPr>
        <w:t> </w:t>
      </w:r>
      <w:r>
        <w:rPr>
          <w:color w:val="231F20"/>
          <w:w w:val="105"/>
        </w:rPr>
        <w:t>altas de la población por ser un bien de lujo o suntuario- queda invisibiliza- do el proceso requerido para que el arreglo floral llegue hasta el con- sumidor</w:t>
      </w:r>
      <w:r>
        <w:rPr>
          <w:color w:val="231F20"/>
          <w:spacing w:val="-10"/>
          <w:w w:val="105"/>
        </w:rPr>
        <w:t> </w:t>
      </w:r>
      <w:r>
        <w:rPr>
          <w:color w:val="231F20"/>
          <w:w w:val="105"/>
        </w:rPr>
        <w:t>final,</w:t>
      </w:r>
      <w:r>
        <w:rPr>
          <w:color w:val="231F20"/>
          <w:spacing w:val="-15"/>
          <w:w w:val="105"/>
        </w:rPr>
        <w:t> </w:t>
      </w:r>
      <w:r>
        <w:rPr>
          <w:color w:val="231F20"/>
          <w:w w:val="105"/>
        </w:rPr>
        <w:t>ya</w:t>
      </w:r>
      <w:r>
        <w:rPr>
          <w:color w:val="231F20"/>
          <w:spacing w:val="-10"/>
          <w:w w:val="105"/>
        </w:rPr>
        <w:t> </w:t>
      </w:r>
      <w:r>
        <w:rPr>
          <w:color w:val="231F20"/>
          <w:w w:val="105"/>
        </w:rPr>
        <w:t>que</w:t>
      </w:r>
      <w:r>
        <w:rPr>
          <w:color w:val="231F20"/>
          <w:spacing w:val="-10"/>
          <w:w w:val="105"/>
        </w:rPr>
        <w:t> </w:t>
      </w:r>
      <w:r>
        <w:rPr>
          <w:color w:val="231F20"/>
          <w:w w:val="105"/>
        </w:rPr>
        <w:t>es</w:t>
      </w:r>
      <w:r>
        <w:rPr>
          <w:color w:val="231F20"/>
          <w:spacing w:val="-10"/>
          <w:w w:val="105"/>
        </w:rPr>
        <w:t> </w:t>
      </w:r>
      <w:r>
        <w:rPr>
          <w:color w:val="231F20"/>
          <w:w w:val="105"/>
        </w:rPr>
        <w:t>necesaria</w:t>
      </w:r>
      <w:r>
        <w:rPr>
          <w:color w:val="231F20"/>
          <w:spacing w:val="-10"/>
          <w:w w:val="105"/>
        </w:rPr>
        <w:t> </w:t>
      </w:r>
      <w:r>
        <w:rPr>
          <w:color w:val="231F20"/>
          <w:w w:val="105"/>
        </w:rPr>
        <w:t>una</w:t>
      </w:r>
      <w:r>
        <w:rPr>
          <w:color w:val="231F20"/>
          <w:spacing w:val="-10"/>
          <w:w w:val="105"/>
        </w:rPr>
        <w:t> </w:t>
      </w:r>
      <w:r>
        <w:rPr>
          <w:color w:val="231F20"/>
          <w:w w:val="105"/>
        </w:rPr>
        <w:t>compleja</w:t>
      </w:r>
      <w:r>
        <w:rPr>
          <w:color w:val="231F20"/>
          <w:spacing w:val="-10"/>
          <w:w w:val="105"/>
        </w:rPr>
        <w:t> </w:t>
      </w:r>
      <w:r>
        <w:rPr>
          <w:color w:val="231F20"/>
          <w:w w:val="105"/>
        </w:rPr>
        <w:t>red</w:t>
      </w:r>
      <w:r>
        <w:rPr>
          <w:color w:val="231F20"/>
          <w:spacing w:val="-10"/>
          <w:w w:val="105"/>
        </w:rPr>
        <w:t> </w:t>
      </w:r>
      <w:r>
        <w:rPr>
          <w:color w:val="231F20"/>
          <w:w w:val="105"/>
        </w:rPr>
        <w:t>de</w:t>
      </w:r>
      <w:r>
        <w:rPr>
          <w:color w:val="231F20"/>
          <w:spacing w:val="-10"/>
          <w:w w:val="105"/>
        </w:rPr>
        <w:t> </w:t>
      </w:r>
      <w:r>
        <w:rPr>
          <w:color w:val="231F20"/>
          <w:w w:val="105"/>
        </w:rPr>
        <w:t>actividades</w:t>
      </w:r>
      <w:r>
        <w:rPr>
          <w:color w:val="231F20"/>
          <w:spacing w:val="-10"/>
          <w:w w:val="105"/>
        </w:rPr>
        <w:t> </w:t>
      </w:r>
      <w:r>
        <w:rPr>
          <w:color w:val="231F20"/>
          <w:w w:val="105"/>
        </w:rPr>
        <w:t>y</w:t>
      </w:r>
      <w:r>
        <w:rPr>
          <w:color w:val="231F20"/>
          <w:spacing w:val="-10"/>
          <w:w w:val="105"/>
        </w:rPr>
        <w:t> </w:t>
      </w:r>
      <w:r>
        <w:rPr>
          <w:color w:val="231F20"/>
          <w:w w:val="105"/>
        </w:rPr>
        <w:t>un importante movimiento de recursos económicos que, paradójicamente, tiene</w:t>
      </w:r>
      <w:r>
        <w:rPr>
          <w:color w:val="231F20"/>
          <w:spacing w:val="-12"/>
          <w:w w:val="105"/>
        </w:rPr>
        <w:t> </w:t>
      </w:r>
      <w:r>
        <w:rPr>
          <w:color w:val="231F20"/>
          <w:w w:val="105"/>
        </w:rPr>
        <w:t>en</w:t>
      </w:r>
      <w:r>
        <w:rPr>
          <w:color w:val="231F20"/>
          <w:spacing w:val="-12"/>
          <w:w w:val="105"/>
        </w:rPr>
        <w:t> </w:t>
      </w:r>
      <w:r>
        <w:rPr>
          <w:color w:val="231F20"/>
          <w:w w:val="105"/>
        </w:rPr>
        <w:t>su</w:t>
      </w:r>
      <w:r>
        <w:rPr>
          <w:color w:val="231F20"/>
          <w:spacing w:val="-12"/>
          <w:w w:val="105"/>
        </w:rPr>
        <w:t> </w:t>
      </w:r>
      <w:r>
        <w:rPr>
          <w:color w:val="231F20"/>
          <w:w w:val="105"/>
        </w:rPr>
        <w:t>último</w:t>
      </w:r>
      <w:r>
        <w:rPr>
          <w:color w:val="231F20"/>
          <w:spacing w:val="-12"/>
          <w:w w:val="105"/>
        </w:rPr>
        <w:t> </w:t>
      </w:r>
      <w:r>
        <w:rPr>
          <w:color w:val="231F20"/>
          <w:w w:val="105"/>
        </w:rPr>
        <w:t>eslabón</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mano</w:t>
      </w:r>
      <w:r>
        <w:rPr>
          <w:color w:val="231F20"/>
          <w:spacing w:val="-12"/>
          <w:w w:val="105"/>
        </w:rPr>
        <w:t> </w:t>
      </w:r>
      <w:r>
        <w:rPr>
          <w:color w:val="231F20"/>
          <w:w w:val="105"/>
        </w:rPr>
        <w:t>de</w:t>
      </w:r>
      <w:r>
        <w:rPr>
          <w:color w:val="231F20"/>
          <w:spacing w:val="-12"/>
          <w:w w:val="105"/>
        </w:rPr>
        <w:t> </w:t>
      </w:r>
      <w:r>
        <w:rPr>
          <w:color w:val="231F20"/>
          <w:w w:val="105"/>
        </w:rPr>
        <w:t>obra</w:t>
      </w:r>
      <w:r>
        <w:rPr>
          <w:color w:val="231F20"/>
          <w:spacing w:val="-12"/>
          <w:w w:val="105"/>
        </w:rPr>
        <w:t> </w:t>
      </w:r>
      <w:r>
        <w:rPr>
          <w:color w:val="231F20"/>
          <w:w w:val="105"/>
        </w:rPr>
        <w:t>constituida</w:t>
      </w:r>
      <w:r>
        <w:rPr>
          <w:color w:val="231F20"/>
          <w:spacing w:val="-12"/>
          <w:w w:val="105"/>
        </w:rPr>
        <w:t> </w:t>
      </w:r>
      <w:r>
        <w:rPr>
          <w:color w:val="231F20"/>
          <w:w w:val="105"/>
        </w:rPr>
        <w:t>por</w:t>
      </w:r>
      <w:r>
        <w:rPr>
          <w:color w:val="231F20"/>
          <w:spacing w:val="-12"/>
          <w:w w:val="105"/>
        </w:rPr>
        <w:t> </w:t>
      </w:r>
      <w:r>
        <w:rPr>
          <w:color w:val="231F20"/>
          <w:w w:val="105"/>
        </w:rPr>
        <w:t>familias</w:t>
      </w:r>
      <w:r>
        <w:rPr>
          <w:color w:val="231F20"/>
          <w:spacing w:val="-12"/>
          <w:w w:val="105"/>
        </w:rPr>
        <w:t> </w:t>
      </w:r>
      <w:r>
        <w:rPr>
          <w:color w:val="231F20"/>
          <w:w w:val="105"/>
        </w:rPr>
        <w:t>en- teras,</w:t>
      </w:r>
      <w:r>
        <w:rPr>
          <w:color w:val="231F20"/>
          <w:spacing w:val="-35"/>
          <w:w w:val="105"/>
        </w:rPr>
        <w:t> </w:t>
      </w:r>
      <w:r>
        <w:rPr>
          <w:color w:val="231F20"/>
          <w:w w:val="105"/>
        </w:rPr>
        <w:t>entre</w:t>
      </w:r>
      <w:r>
        <w:rPr>
          <w:color w:val="231F20"/>
          <w:spacing w:val="-32"/>
          <w:w w:val="105"/>
        </w:rPr>
        <w:t> </w:t>
      </w:r>
      <w:r>
        <w:rPr>
          <w:color w:val="231F20"/>
          <w:w w:val="105"/>
        </w:rPr>
        <w:t>ellas</w:t>
      </w:r>
      <w:r>
        <w:rPr>
          <w:color w:val="231F20"/>
          <w:spacing w:val="-32"/>
          <w:w w:val="105"/>
        </w:rPr>
        <w:t> </w:t>
      </w:r>
      <w:r>
        <w:rPr>
          <w:color w:val="231F20"/>
          <w:w w:val="105"/>
        </w:rPr>
        <w:t>niños,</w:t>
      </w:r>
      <w:r>
        <w:rPr>
          <w:color w:val="231F20"/>
          <w:spacing w:val="-35"/>
          <w:w w:val="105"/>
        </w:rPr>
        <w:t> </w:t>
      </w:r>
      <w:r>
        <w:rPr>
          <w:color w:val="231F20"/>
          <w:w w:val="105"/>
        </w:rPr>
        <w:t>niñas</w:t>
      </w:r>
      <w:r>
        <w:rPr>
          <w:color w:val="231F20"/>
          <w:spacing w:val="-32"/>
          <w:w w:val="105"/>
        </w:rPr>
        <w:t> </w:t>
      </w:r>
      <w:r>
        <w:rPr>
          <w:color w:val="231F20"/>
          <w:w w:val="105"/>
        </w:rPr>
        <w:t>y</w:t>
      </w:r>
      <w:r>
        <w:rPr>
          <w:color w:val="231F20"/>
          <w:spacing w:val="-32"/>
          <w:w w:val="105"/>
        </w:rPr>
        <w:t> </w:t>
      </w:r>
      <w:r>
        <w:rPr>
          <w:color w:val="231F20"/>
          <w:w w:val="105"/>
        </w:rPr>
        <w:t>adolescentes</w:t>
      </w:r>
      <w:r>
        <w:rPr>
          <w:color w:val="231F20"/>
          <w:spacing w:val="-32"/>
          <w:w w:val="105"/>
        </w:rPr>
        <w:t> </w:t>
      </w:r>
      <w:r>
        <w:rPr>
          <w:color w:val="231F20"/>
          <w:w w:val="105"/>
        </w:rPr>
        <w:t>(Miranda,</w:t>
      </w:r>
      <w:r>
        <w:rPr>
          <w:color w:val="231F20"/>
          <w:spacing w:val="-35"/>
          <w:w w:val="105"/>
        </w:rPr>
        <w:t> </w:t>
      </w:r>
      <w:r>
        <w:rPr>
          <w:color w:val="231F20"/>
          <w:w w:val="105"/>
        </w:rPr>
        <w:t>2012).</w:t>
      </w:r>
    </w:p>
    <w:p>
      <w:pPr>
        <w:pStyle w:val="BodyText"/>
        <w:spacing w:line="261" w:lineRule="auto" w:before="1"/>
        <w:ind w:left="1837" w:right="1716" w:firstLine="567"/>
        <w:jc w:val="both"/>
      </w:pP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contexto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adquisición</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producto</w:t>
      </w:r>
      <w:r>
        <w:rPr>
          <w:color w:val="231F20"/>
          <w:spacing w:val="-11"/>
          <w:w w:val="105"/>
        </w:rPr>
        <w:t> </w:t>
      </w:r>
      <w:r>
        <w:rPr>
          <w:color w:val="231F20"/>
          <w:w w:val="105"/>
        </w:rPr>
        <w:t>suntuario</w:t>
      </w:r>
      <w:r>
        <w:rPr>
          <w:color w:val="231F20"/>
          <w:spacing w:val="-11"/>
          <w:w w:val="105"/>
        </w:rPr>
        <w:t> </w:t>
      </w:r>
      <w:r>
        <w:rPr>
          <w:color w:val="231F20"/>
          <w:w w:val="105"/>
        </w:rPr>
        <w:t>que</w:t>
      </w:r>
      <w:r>
        <w:rPr>
          <w:color w:val="231F20"/>
          <w:spacing w:val="-11"/>
          <w:w w:val="105"/>
        </w:rPr>
        <w:t> </w:t>
      </w:r>
      <w:r>
        <w:rPr>
          <w:color w:val="231F20"/>
          <w:w w:val="105"/>
        </w:rPr>
        <w:t>pro- vee de satisfacción estética y ornamental, para un consumidor común resulta</w:t>
      </w:r>
      <w:r>
        <w:rPr>
          <w:color w:val="231F20"/>
          <w:spacing w:val="-14"/>
          <w:w w:val="105"/>
        </w:rPr>
        <w:t> </w:t>
      </w:r>
      <w:r>
        <w:rPr>
          <w:color w:val="231F20"/>
          <w:w w:val="105"/>
        </w:rPr>
        <w:t>complejo</w:t>
      </w:r>
      <w:r>
        <w:rPr>
          <w:color w:val="231F20"/>
          <w:spacing w:val="-14"/>
          <w:w w:val="105"/>
        </w:rPr>
        <w:t> </w:t>
      </w:r>
      <w:r>
        <w:rPr>
          <w:color w:val="231F20"/>
          <w:w w:val="105"/>
        </w:rPr>
        <w:t>obtener</w:t>
      </w:r>
      <w:r>
        <w:rPr>
          <w:color w:val="231F20"/>
          <w:spacing w:val="-14"/>
          <w:w w:val="105"/>
        </w:rPr>
        <w:t> </w:t>
      </w:r>
      <w:r>
        <w:rPr>
          <w:color w:val="231F20"/>
          <w:w w:val="105"/>
        </w:rPr>
        <w:t>una</w:t>
      </w:r>
      <w:r>
        <w:rPr>
          <w:color w:val="231F20"/>
          <w:spacing w:val="-14"/>
          <w:w w:val="105"/>
        </w:rPr>
        <w:t> </w:t>
      </w:r>
      <w:r>
        <w:rPr>
          <w:color w:val="231F20"/>
          <w:w w:val="105"/>
        </w:rPr>
        <w:t>idea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condiciones</w:t>
      </w:r>
      <w:r>
        <w:rPr>
          <w:color w:val="231F20"/>
          <w:spacing w:val="-14"/>
          <w:w w:val="105"/>
        </w:rPr>
        <w:t> </w:t>
      </w:r>
      <w:r>
        <w:rPr>
          <w:color w:val="231F20"/>
          <w:w w:val="105"/>
        </w:rPr>
        <w:t>laborales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po- blación,</w:t>
      </w:r>
      <w:r>
        <w:rPr>
          <w:color w:val="231F20"/>
          <w:spacing w:val="-33"/>
          <w:w w:val="105"/>
        </w:rPr>
        <w:t> </w:t>
      </w:r>
      <w:r>
        <w:rPr>
          <w:color w:val="231F20"/>
          <w:w w:val="105"/>
        </w:rPr>
        <w:t>incluyendo</w:t>
      </w:r>
      <w:r>
        <w:rPr>
          <w:color w:val="231F20"/>
          <w:spacing w:val="-28"/>
          <w:w w:val="105"/>
        </w:rPr>
        <w:t> </w:t>
      </w:r>
      <w:r>
        <w:rPr>
          <w:color w:val="231F20"/>
          <w:w w:val="105"/>
        </w:rPr>
        <w:t>las</w:t>
      </w:r>
      <w:r>
        <w:rPr>
          <w:color w:val="231F20"/>
          <w:spacing w:val="-28"/>
          <w:w w:val="105"/>
        </w:rPr>
        <w:t> </w:t>
      </w:r>
      <w:r>
        <w:rPr>
          <w:color w:val="231F20"/>
          <w:w w:val="105"/>
        </w:rPr>
        <w:t>niñas</w:t>
      </w:r>
      <w:r>
        <w:rPr>
          <w:color w:val="231F20"/>
          <w:spacing w:val="-28"/>
          <w:w w:val="105"/>
        </w:rPr>
        <w:t> </w:t>
      </w:r>
      <w:r>
        <w:rPr>
          <w:color w:val="231F20"/>
          <w:w w:val="105"/>
        </w:rPr>
        <w:t>y</w:t>
      </w:r>
      <w:r>
        <w:rPr>
          <w:color w:val="231F20"/>
          <w:spacing w:val="-28"/>
          <w:w w:val="105"/>
        </w:rPr>
        <w:t> </w:t>
      </w:r>
      <w:r>
        <w:rPr>
          <w:color w:val="231F20"/>
          <w:w w:val="105"/>
        </w:rPr>
        <w:t>los</w:t>
      </w:r>
      <w:r>
        <w:rPr>
          <w:color w:val="231F20"/>
          <w:spacing w:val="-28"/>
          <w:w w:val="105"/>
        </w:rPr>
        <w:t> </w:t>
      </w:r>
      <w:r>
        <w:rPr>
          <w:color w:val="231F20"/>
          <w:w w:val="105"/>
        </w:rPr>
        <w:t>niños,</w:t>
      </w:r>
      <w:r>
        <w:rPr>
          <w:color w:val="231F20"/>
          <w:spacing w:val="-33"/>
          <w:w w:val="105"/>
        </w:rPr>
        <w:t> </w:t>
      </w:r>
      <w:r>
        <w:rPr>
          <w:color w:val="231F20"/>
          <w:w w:val="105"/>
        </w:rPr>
        <w:t>que</w:t>
      </w:r>
      <w:r>
        <w:rPr>
          <w:color w:val="231F20"/>
          <w:spacing w:val="-28"/>
          <w:w w:val="105"/>
        </w:rPr>
        <w:t> </w:t>
      </w:r>
      <w:r>
        <w:rPr>
          <w:color w:val="231F20"/>
          <w:w w:val="105"/>
        </w:rPr>
        <w:t>se</w:t>
      </w:r>
      <w:r>
        <w:rPr>
          <w:color w:val="231F20"/>
          <w:spacing w:val="-28"/>
          <w:w w:val="105"/>
        </w:rPr>
        <w:t> </w:t>
      </w:r>
      <w:r>
        <w:rPr>
          <w:color w:val="231F20"/>
          <w:w w:val="105"/>
        </w:rPr>
        <w:t>emplean</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spacing w:val="-3"/>
          <w:w w:val="105"/>
        </w:rPr>
        <w:t>floricultura. </w:t>
      </w:r>
      <w:r>
        <w:rPr>
          <w:color w:val="231F20"/>
          <w:w w:val="105"/>
        </w:rPr>
        <w:t>Como bien afirman Fenner y Gebauer (1992: 10) </w:t>
      </w:r>
      <w:r>
        <w:rPr>
          <w:color w:val="231F20"/>
          <w:w w:val="110"/>
        </w:rPr>
        <w:t>“[…] </w:t>
      </w:r>
      <w:r>
        <w:rPr>
          <w:color w:val="231F20"/>
          <w:w w:val="105"/>
        </w:rPr>
        <w:t>la imagen de las flores,</w:t>
      </w:r>
      <w:r>
        <w:rPr>
          <w:color w:val="231F20"/>
          <w:spacing w:val="-30"/>
          <w:w w:val="105"/>
        </w:rPr>
        <w:t> </w:t>
      </w:r>
      <w:r>
        <w:rPr>
          <w:color w:val="231F20"/>
          <w:w w:val="105"/>
        </w:rPr>
        <w:t>su</w:t>
      </w:r>
      <w:r>
        <w:rPr>
          <w:color w:val="231F20"/>
          <w:spacing w:val="-25"/>
          <w:w w:val="105"/>
        </w:rPr>
        <w:t> </w:t>
      </w:r>
      <w:r>
        <w:rPr>
          <w:color w:val="231F20"/>
          <w:w w:val="105"/>
        </w:rPr>
        <w:t>belleza</w:t>
      </w:r>
      <w:r>
        <w:rPr>
          <w:color w:val="231F20"/>
          <w:spacing w:val="-25"/>
          <w:w w:val="105"/>
        </w:rPr>
        <w:t> </w:t>
      </w:r>
      <w:r>
        <w:rPr>
          <w:color w:val="231F20"/>
          <w:w w:val="105"/>
        </w:rPr>
        <w:t>y</w:t>
      </w:r>
      <w:r>
        <w:rPr>
          <w:color w:val="231F20"/>
          <w:spacing w:val="-25"/>
          <w:w w:val="105"/>
        </w:rPr>
        <w:t> </w:t>
      </w:r>
      <w:r>
        <w:rPr>
          <w:color w:val="231F20"/>
          <w:w w:val="105"/>
        </w:rPr>
        <w:t>su</w:t>
      </w:r>
      <w:r>
        <w:rPr>
          <w:color w:val="231F20"/>
          <w:spacing w:val="-25"/>
          <w:w w:val="105"/>
        </w:rPr>
        <w:t> </w:t>
      </w:r>
      <w:r>
        <w:rPr>
          <w:color w:val="231F20"/>
          <w:w w:val="105"/>
        </w:rPr>
        <w:t>fino</w:t>
      </w:r>
      <w:r>
        <w:rPr>
          <w:color w:val="231F20"/>
          <w:spacing w:val="-25"/>
          <w:w w:val="105"/>
        </w:rPr>
        <w:t> </w:t>
      </w:r>
      <w:r>
        <w:rPr>
          <w:color w:val="231F20"/>
          <w:spacing w:val="-3"/>
          <w:w w:val="105"/>
        </w:rPr>
        <w:t>olor,</w:t>
      </w:r>
      <w:r>
        <w:rPr>
          <w:color w:val="231F20"/>
          <w:spacing w:val="-30"/>
          <w:w w:val="105"/>
        </w:rPr>
        <w:t> </w:t>
      </w:r>
      <w:r>
        <w:rPr>
          <w:color w:val="231F20"/>
          <w:w w:val="105"/>
        </w:rPr>
        <w:t>no</w:t>
      </w:r>
      <w:r>
        <w:rPr>
          <w:color w:val="231F20"/>
          <w:spacing w:val="-25"/>
          <w:w w:val="105"/>
        </w:rPr>
        <w:t> </w:t>
      </w:r>
      <w:r>
        <w:rPr>
          <w:color w:val="231F20"/>
          <w:w w:val="105"/>
        </w:rPr>
        <w:t>nos</w:t>
      </w:r>
      <w:r>
        <w:rPr>
          <w:color w:val="231F20"/>
          <w:spacing w:val="-25"/>
          <w:w w:val="105"/>
        </w:rPr>
        <w:t> </w:t>
      </w:r>
      <w:r>
        <w:rPr>
          <w:color w:val="231F20"/>
          <w:w w:val="105"/>
        </w:rPr>
        <w:t>dejan</w:t>
      </w:r>
      <w:r>
        <w:rPr>
          <w:color w:val="231F20"/>
          <w:spacing w:val="-25"/>
          <w:w w:val="105"/>
        </w:rPr>
        <w:t> </w:t>
      </w:r>
      <w:r>
        <w:rPr>
          <w:color w:val="231F20"/>
          <w:w w:val="105"/>
        </w:rPr>
        <w:t>ver</w:t>
      </w:r>
      <w:r>
        <w:rPr>
          <w:color w:val="231F20"/>
          <w:spacing w:val="-25"/>
          <w:w w:val="105"/>
        </w:rPr>
        <w:t> </w:t>
      </w:r>
      <w:r>
        <w:rPr>
          <w:color w:val="231F20"/>
          <w:w w:val="105"/>
        </w:rPr>
        <w:t>las</w:t>
      </w:r>
      <w:r>
        <w:rPr>
          <w:color w:val="231F20"/>
          <w:spacing w:val="-25"/>
          <w:w w:val="105"/>
        </w:rPr>
        <w:t> </w:t>
      </w:r>
      <w:r>
        <w:rPr>
          <w:color w:val="231F20"/>
          <w:w w:val="105"/>
        </w:rPr>
        <w:t>condiciones</w:t>
      </w:r>
      <w:r>
        <w:rPr>
          <w:color w:val="231F20"/>
          <w:spacing w:val="-25"/>
          <w:w w:val="105"/>
        </w:rPr>
        <w:t> </w:t>
      </w:r>
      <w:r>
        <w:rPr>
          <w:color w:val="231F20"/>
          <w:w w:val="105"/>
        </w:rPr>
        <w:t>reales</w:t>
      </w:r>
      <w:r>
        <w:rPr>
          <w:color w:val="231F20"/>
          <w:spacing w:val="-25"/>
          <w:w w:val="105"/>
        </w:rPr>
        <w:t> </w:t>
      </w:r>
      <w:r>
        <w:rPr>
          <w:color w:val="231F20"/>
          <w:w w:val="105"/>
        </w:rPr>
        <w:t>del trabajo humano que las</w:t>
      </w:r>
      <w:r>
        <w:rPr>
          <w:color w:val="231F20"/>
          <w:spacing w:val="-18"/>
          <w:w w:val="105"/>
        </w:rPr>
        <w:t> </w:t>
      </w:r>
      <w:r>
        <w:rPr>
          <w:color w:val="231F20"/>
          <w:spacing w:val="-4"/>
          <w:w w:val="105"/>
        </w:rPr>
        <w:t>produce”.</w:t>
      </w:r>
    </w:p>
    <w:p>
      <w:pPr>
        <w:pStyle w:val="BodyText"/>
        <w:spacing w:line="261" w:lineRule="auto" w:before="1"/>
        <w:ind w:left="1837" w:right="1713" w:firstLine="567"/>
        <w:jc w:val="both"/>
      </w:pPr>
      <w:r>
        <w:rPr>
          <w:color w:val="231F20"/>
          <w:w w:val="105"/>
        </w:rPr>
        <w:t>Ciertamente, la producción florícola en México es mínima en comparación con otros cultivos de vanguardia dirigidos a la exporta- ción, como las frutas y las hortalizas que se producen principalmente en los estados del norte de país, y es mínima también si se le compara con los niveles productivos de países como Holanda, Colombia, Ecua- dor y Kenia; sin embargo, debe destacarse que la superficie territorial dedicada a la floricultura ha aumentado durante las últimas décadas. Un ejemplo de ello es la superficie cosechada en hectáreas para el Es- tado</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13"/>
          <w:w w:val="105"/>
        </w:rPr>
        <w:t> </w:t>
      </w:r>
      <w:r>
        <w:rPr>
          <w:color w:val="231F20"/>
          <w:w w:val="105"/>
        </w:rPr>
        <w:t>entidad</w:t>
      </w:r>
      <w:r>
        <w:rPr>
          <w:color w:val="231F20"/>
          <w:spacing w:val="-6"/>
          <w:w w:val="105"/>
        </w:rPr>
        <w:t> </w:t>
      </w:r>
      <w:r>
        <w:rPr>
          <w:color w:val="231F20"/>
          <w:w w:val="105"/>
        </w:rPr>
        <w:t>con</w:t>
      </w:r>
      <w:r>
        <w:rPr>
          <w:color w:val="231F20"/>
          <w:spacing w:val="-6"/>
          <w:w w:val="105"/>
        </w:rPr>
        <w:t> </w:t>
      </w:r>
      <w:r>
        <w:rPr>
          <w:color w:val="231F20"/>
          <w:w w:val="105"/>
        </w:rPr>
        <w:t>mayor</w:t>
      </w:r>
      <w:r>
        <w:rPr>
          <w:color w:val="231F20"/>
          <w:spacing w:val="-6"/>
          <w:w w:val="105"/>
        </w:rPr>
        <w:t> </w:t>
      </w:r>
      <w:r>
        <w:rPr>
          <w:color w:val="231F20"/>
          <w:w w:val="105"/>
        </w:rPr>
        <w:t>representatividad</w:t>
      </w:r>
      <w:r>
        <w:rPr>
          <w:color w:val="231F20"/>
          <w:spacing w:val="-6"/>
          <w:w w:val="105"/>
        </w:rPr>
        <w:t> </w:t>
      </w:r>
      <w:r>
        <w:rPr>
          <w:color w:val="231F20"/>
          <w:w w:val="105"/>
        </w:rPr>
        <w:t>en</w:t>
      </w:r>
      <w:r>
        <w:rPr>
          <w:color w:val="231F20"/>
          <w:spacing w:val="-6"/>
          <w:w w:val="105"/>
        </w:rPr>
        <w:t> </w:t>
      </w:r>
      <w:r>
        <w:rPr>
          <w:color w:val="231F20"/>
          <w:w w:val="105"/>
        </w:rPr>
        <w:t>esta</w:t>
      </w:r>
      <w:r>
        <w:rPr>
          <w:color w:val="231F20"/>
          <w:spacing w:val="-6"/>
          <w:w w:val="105"/>
        </w:rPr>
        <w:t> </w:t>
      </w:r>
      <w:r>
        <w:rPr>
          <w:color w:val="231F20"/>
          <w:w w:val="105"/>
        </w:rPr>
        <w:t>rama</w:t>
      </w:r>
      <w:r>
        <w:rPr>
          <w:color w:val="231F20"/>
          <w:spacing w:val="-6"/>
          <w:w w:val="105"/>
        </w:rPr>
        <w:t> </w:t>
      </w:r>
      <w:r>
        <w:rPr>
          <w:color w:val="231F20"/>
          <w:w w:val="105"/>
        </w:rPr>
        <w:t>pro- ductiva, pues abarca 80% de la producción nacional de flores de corte </w:t>
      </w:r>
      <w:r>
        <w:rPr>
          <w:color w:val="231F20"/>
        </w:rPr>
        <w:t>(</w:t>
      </w:r>
      <w:r>
        <w:rPr>
          <w:color w:val="231F20"/>
          <w:sz w:val="17"/>
        </w:rPr>
        <w:t>SEDAGRO</w:t>
      </w:r>
      <w:r>
        <w:rPr>
          <w:color w:val="231F20"/>
        </w:rPr>
        <w:t>,</w:t>
      </w:r>
      <w:r>
        <w:rPr>
          <w:color w:val="231F20"/>
          <w:spacing w:val="-33"/>
        </w:rPr>
        <w:t> </w:t>
      </w:r>
      <w:r>
        <w:rPr>
          <w:color w:val="231F20"/>
          <w:spacing w:val="2"/>
        </w:rPr>
        <w:t>2007).</w:t>
      </w:r>
    </w:p>
    <w:p>
      <w:pPr>
        <w:pStyle w:val="BodyText"/>
        <w:spacing w:line="261" w:lineRule="auto" w:before="1"/>
        <w:ind w:left="1837" w:right="1716" w:firstLine="567"/>
        <w:jc w:val="both"/>
      </w:pPr>
      <w:r>
        <w:rPr>
          <w:color w:val="231F20"/>
          <w:w w:val="105"/>
        </w:rPr>
        <w:t>Aun</w:t>
      </w:r>
      <w:r>
        <w:rPr>
          <w:color w:val="231F20"/>
          <w:spacing w:val="-11"/>
          <w:w w:val="105"/>
        </w:rPr>
        <w:t> </w:t>
      </w:r>
      <w:r>
        <w:rPr>
          <w:color w:val="231F20"/>
          <w:w w:val="105"/>
        </w:rPr>
        <w:t>cuando</w:t>
      </w:r>
      <w:r>
        <w:rPr>
          <w:color w:val="231F20"/>
          <w:spacing w:val="-11"/>
          <w:w w:val="105"/>
        </w:rPr>
        <w:t> </w:t>
      </w:r>
      <w:r>
        <w:rPr>
          <w:color w:val="231F20"/>
          <w:w w:val="105"/>
        </w:rPr>
        <w:t>no</w:t>
      </w:r>
      <w:r>
        <w:rPr>
          <w:color w:val="231F20"/>
          <w:spacing w:val="-11"/>
          <w:w w:val="105"/>
        </w:rPr>
        <w:t> </w:t>
      </w:r>
      <w:r>
        <w:rPr>
          <w:color w:val="231F20"/>
          <w:w w:val="105"/>
        </w:rPr>
        <w:t>existe</w:t>
      </w:r>
      <w:r>
        <w:rPr>
          <w:color w:val="231F20"/>
          <w:spacing w:val="-11"/>
          <w:w w:val="105"/>
        </w:rPr>
        <w:t> </w:t>
      </w:r>
      <w:r>
        <w:rPr>
          <w:color w:val="231F20"/>
          <w:w w:val="105"/>
        </w:rPr>
        <w:t>información</w:t>
      </w:r>
      <w:r>
        <w:rPr>
          <w:color w:val="231F20"/>
          <w:spacing w:val="-11"/>
          <w:w w:val="105"/>
        </w:rPr>
        <w:t> </w:t>
      </w:r>
      <w:r>
        <w:rPr>
          <w:color w:val="231F20"/>
          <w:w w:val="105"/>
        </w:rPr>
        <w:t>precisa</w:t>
      </w:r>
      <w:r>
        <w:rPr>
          <w:color w:val="231F20"/>
          <w:spacing w:val="-11"/>
          <w:w w:val="105"/>
        </w:rPr>
        <w:t> </w:t>
      </w:r>
      <w:r>
        <w:rPr>
          <w:color w:val="231F20"/>
          <w:w w:val="105"/>
        </w:rPr>
        <w:t>sobre</w:t>
      </w:r>
      <w:r>
        <w:rPr>
          <w:color w:val="231F20"/>
          <w:spacing w:val="-11"/>
          <w:w w:val="105"/>
        </w:rPr>
        <w:t> </w:t>
      </w:r>
      <w:r>
        <w:rPr>
          <w:color w:val="231F20"/>
          <w:w w:val="105"/>
        </w:rPr>
        <w:t>el</w:t>
      </w:r>
      <w:r>
        <w:rPr>
          <w:color w:val="231F20"/>
          <w:spacing w:val="-11"/>
          <w:w w:val="105"/>
        </w:rPr>
        <w:t> </w:t>
      </w:r>
      <w:r>
        <w:rPr>
          <w:color w:val="231F20"/>
          <w:w w:val="105"/>
        </w:rPr>
        <w:t>número</w:t>
      </w:r>
      <w:r>
        <w:rPr>
          <w:color w:val="231F20"/>
          <w:spacing w:val="-11"/>
          <w:w w:val="105"/>
        </w:rPr>
        <w:t> </w:t>
      </w:r>
      <w:r>
        <w:rPr>
          <w:color w:val="231F20"/>
          <w:w w:val="105"/>
        </w:rPr>
        <w:t>exacto de hectáreas dedicadas a la floricultura, se estima que para el 2008 el municipio</w:t>
      </w:r>
      <w:r>
        <w:rPr>
          <w:color w:val="231F20"/>
          <w:spacing w:val="-18"/>
          <w:w w:val="105"/>
        </w:rPr>
        <w:t> </w:t>
      </w:r>
      <w:r>
        <w:rPr>
          <w:color w:val="231F20"/>
          <w:w w:val="105"/>
        </w:rPr>
        <w:t>de</w:t>
      </w:r>
      <w:r>
        <w:rPr>
          <w:color w:val="231F20"/>
          <w:spacing w:val="-20"/>
          <w:w w:val="105"/>
        </w:rPr>
        <w:t> </w:t>
      </w:r>
      <w:r>
        <w:rPr>
          <w:color w:val="231F20"/>
          <w:w w:val="105"/>
        </w:rPr>
        <w:t>Villa</w:t>
      </w:r>
      <w:r>
        <w:rPr>
          <w:color w:val="231F20"/>
          <w:spacing w:val="-18"/>
          <w:w w:val="105"/>
        </w:rPr>
        <w:t> </w:t>
      </w:r>
      <w:r>
        <w:rPr>
          <w:color w:val="231F20"/>
          <w:w w:val="105"/>
        </w:rPr>
        <w:t>Guerrero</w:t>
      </w:r>
      <w:r>
        <w:rPr>
          <w:color w:val="231F20"/>
          <w:spacing w:val="-18"/>
          <w:w w:val="105"/>
        </w:rPr>
        <w:t> </w:t>
      </w:r>
      <w:r>
        <w:rPr>
          <w:color w:val="231F20"/>
          <w:w w:val="105"/>
        </w:rPr>
        <w:t>contaba</w:t>
      </w:r>
      <w:r>
        <w:rPr>
          <w:color w:val="231F20"/>
          <w:spacing w:val="-18"/>
          <w:w w:val="105"/>
        </w:rPr>
        <w:t> </w:t>
      </w:r>
      <w:r>
        <w:rPr>
          <w:color w:val="231F20"/>
          <w:w w:val="105"/>
        </w:rPr>
        <w:t>con</w:t>
      </w:r>
      <w:r>
        <w:rPr>
          <w:color w:val="231F20"/>
          <w:spacing w:val="-18"/>
          <w:w w:val="105"/>
        </w:rPr>
        <w:t> </w:t>
      </w:r>
      <w:r>
        <w:rPr>
          <w:color w:val="231F20"/>
          <w:w w:val="105"/>
        </w:rPr>
        <w:t>54.46%</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superficie</w:t>
      </w:r>
      <w:r>
        <w:rPr>
          <w:color w:val="231F20"/>
          <w:spacing w:val="-18"/>
          <w:w w:val="105"/>
        </w:rPr>
        <w:t> </w:t>
      </w:r>
      <w:r>
        <w:rPr>
          <w:color w:val="231F20"/>
          <w:w w:val="105"/>
        </w:rPr>
        <w:t>florícola estatal,</w:t>
      </w:r>
      <w:r>
        <w:rPr>
          <w:color w:val="231F20"/>
          <w:spacing w:val="-23"/>
          <w:w w:val="105"/>
        </w:rPr>
        <w:t> </w:t>
      </w:r>
      <w:r>
        <w:rPr>
          <w:color w:val="231F20"/>
          <w:w w:val="105"/>
        </w:rPr>
        <w:t>principalmente</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producción</w:t>
      </w:r>
      <w:r>
        <w:rPr>
          <w:color w:val="231F20"/>
          <w:spacing w:val="-17"/>
          <w:w w:val="105"/>
        </w:rPr>
        <w:t> </w:t>
      </w:r>
      <w:r>
        <w:rPr>
          <w:color w:val="231F20"/>
          <w:w w:val="105"/>
        </w:rPr>
        <w:t>de</w:t>
      </w:r>
      <w:r>
        <w:rPr>
          <w:color w:val="231F20"/>
          <w:spacing w:val="-17"/>
          <w:w w:val="105"/>
        </w:rPr>
        <w:t> </w:t>
      </w:r>
      <w:r>
        <w:rPr>
          <w:color w:val="231F20"/>
          <w:w w:val="105"/>
        </w:rPr>
        <w:t>crisantemo,</w:t>
      </w:r>
      <w:r>
        <w:rPr>
          <w:color w:val="231F20"/>
          <w:spacing w:val="-23"/>
          <w:w w:val="105"/>
        </w:rPr>
        <w:t> </w:t>
      </w:r>
      <w:r>
        <w:rPr>
          <w:color w:val="231F20"/>
          <w:w w:val="105"/>
        </w:rPr>
        <w:t>clavel,</w:t>
      </w:r>
      <w:r>
        <w:rPr>
          <w:color w:val="231F20"/>
          <w:spacing w:val="-23"/>
          <w:w w:val="105"/>
        </w:rPr>
        <w:t> </w:t>
      </w:r>
      <w:r>
        <w:rPr>
          <w:color w:val="231F20"/>
          <w:w w:val="105"/>
        </w:rPr>
        <w:t>gladiola, gerbera</w:t>
      </w:r>
      <w:r>
        <w:rPr>
          <w:color w:val="231F20"/>
          <w:spacing w:val="-24"/>
          <w:w w:val="105"/>
        </w:rPr>
        <w:t> </w:t>
      </w:r>
      <w:r>
        <w:rPr>
          <w:color w:val="231F20"/>
          <w:w w:val="105"/>
        </w:rPr>
        <w:t>y</w:t>
      </w:r>
      <w:r>
        <w:rPr>
          <w:color w:val="231F20"/>
          <w:spacing w:val="-24"/>
          <w:w w:val="105"/>
        </w:rPr>
        <w:t> </w:t>
      </w:r>
      <w:r>
        <w:rPr>
          <w:color w:val="231F20"/>
          <w:w w:val="105"/>
        </w:rPr>
        <w:t>rosa.</w:t>
      </w:r>
      <w:r>
        <w:rPr>
          <w:color w:val="231F20"/>
          <w:spacing w:val="-29"/>
          <w:w w:val="105"/>
        </w:rPr>
        <w:t> </w:t>
      </w:r>
      <w:r>
        <w:rPr>
          <w:color w:val="231F20"/>
          <w:w w:val="105"/>
        </w:rPr>
        <w:t>Seguido</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municipios</w:t>
      </w:r>
      <w:r>
        <w:rPr>
          <w:color w:val="231F20"/>
          <w:spacing w:val="-24"/>
          <w:w w:val="105"/>
        </w:rPr>
        <w:t> </w:t>
      </w:r>
      <w:r>
        <w:rPr>
          <w:color w:val="231F20"/>
          <w:w w:val="105"/>
        </w:rPr>
        <w:t>de</w:t>
      </w:r>
      <w:r>
        <w:rPr>
          <w:color w:val="231F20"/>
          <w:spacing w:val="-28"/>
          <w:w w:val="105"/>
        </w:rPr>
        <w:t> </w:t>
      </w:r>
      <w:r>
        <w:rPr>
          <w:color w:val="231F20"/>
          <w:spacing w:val="-3"/>
          <w:w w:val="105"/>
        </w:rPr>
        <w:t>Tenancingo</w:t>
      </w:r>
      <w:r>
        <w:rPr>
          <w:color w:val="231F20"/>
          <w:spacing w:val="-24"/>
          <w:w w:val="105"/>
        </w:rPr>
        <w:t> </w:t>
      </w:r>
      <w:r>
        <w:rPr>
          <w:color w:val="231F20"/>
          <w:w w:val="105"/>
        </w:rPr>
        <w:t>con</w:t>
      </w:r>
      <w:r>
        <w:rPr>
          <w:color w:val="231F20"/>
          <w:spacing w:val="-24"/>
          <w:w w:val="105"/>
        </w:rPr>
        <w:t> </w:t>
      </w:r>
      <w:r>
        <w:rPr>
          <w:color w:val="231F20"/>
          <w:w w:val="105"/>
        </w:rPr>
        <w:t>12%</w:t>
      </w:r>
      <w:r>
        <w:rPr>
          <w:color w:val="231F20"/>
          <w:spacing w:val="-24"/>
          <w:w w:val="105"/>
        </w:rPr>
        <w:t> </w:t>
      </w:r>
      <w:r>
        <w:rPr>
          <w:color w:val="231F20"/>
          <w:w w:val="105"/>
        </w:rPr>
        <w:t>y</w:t>
      </w:r>
      <w:r>
        <w:rPr>
          <w:color w:val="231F20"/>
          <w:spacing w:val="-24"/>
          <w:w w:val="105"/>
        </w:rPr>
        <w:t> </w:t>
      </w:r>
      <w:r>
        <w:rPr>
          <w:color w:val="231F20"/>
          <w:w w:val="105"/>
        </w:rPr>
        <w:t>Coa- </w:t>
      </w:r>
      <w:r>
        <w:rPr>
          <w:color w:val="231F20"/>
        </w:rPr>
        <w:t>tepec Harinas con 10.36% (</w:t>
      </w:r>
      <w:r>
        <w:rPr>
          <w:color w:val="231F20"/>
          <w:sz w:val="17"/>
        </w:rPr>
        <w:t>SEDAGRO</w:t>
      </w:r>
      <w:r>
        <w:rPr>
          <w:color w:val="231F20"/>
        </w:rPr>
        <w:t>,</w:t>
      </w:r>
      <w:r>
        <w:rPr>
          <w:color w:val="231F20"/>
          <w:spacing w:val="-18"/>
        </w:rPr>
        <w:t> </w:t>
      </w:r>
      <w:r>
        <w:rPr>
          <w:color w:val="231F20"/>
        </w:rPr>
        <w:t>2010).</w:t>
      </w:r>
    </w:p>
    <w:p>
      <w:pPr>
        <w:pStyle w:val="BodyText"/>
        <w:spacing w:line="261" w:lineRule="auto" w:before="1"/>
        <w:ind w:left="1837" w:right="1715" w:firstLine="567"/>
        <w:jc w:val="both"/>
      </w:pPr>
      <w:r>
        <w:rPr/>
        <w:pict>
          <v:line style="position:absolute;mso-position-horizontal-relative:page;mso-position-vertical-relative:paragraph;z-index:-480904" from="15pt,167.852585pt" to="0pt,167.852585pt" stroked="true" strokeweight=".25pt" strokecolor="#000000">
            <w10:wrap type="none"/>
          </v:line>
        </w:pict>
      </w:r>
      <w:r>
        <w:rPr/>
        <w:pict>
          <v:line style="position:absolute;mso-position-horizontal-relative:page;mso-position-vertical-relative:paragraph;z-index:9304" from="508.890015pt,167.852585pt" to="523.890015pt,167.852585pt" stroked="true" strokeweight=".25pt" strokecolor="#000000">
            <w10:wrap type="none"/>
          </v:line>
        </w:pict>
      </w:r>
      <w:r>
        <w:rPr>
          <w:color w:val="231F20"/>
          <w:spacing w:val="-4"/>
        </w:rPr>
        <w:t>Pese </w:t>
      </w:r>
      <w:r>
        <w:rPr>
          <w:color w:val="231F20"/>
        </w:rPr>
        <w:t>a las tendencias que ha mostrado el sector agrícola a nivel nacional y estatal, en el municipio de Villa Guerrero el sector primario muestra un crecimiento. En el Censo Agrícola de 1990 se mostraba, por ejemplo, que la superficie agrícola total era de 20 773 hectáreas; de ellas 38.7% se dedicaba a actividades agrícolas, 50.56% para uso forestal, 2.20% para actividades pecuarias y 1.13% para asentamientos humanos (</w:t>
      </w:r>
      <w:r>
        <w:rPr>
          <w:color w:val="231F20"/>
          <w:sz w:val="17"/>
        </w:rPr>
        <w:t>INEGI</w:t>
      </w:r>
      <w:r>
        <w:rPr>
          <w:color w:val="231F20"/>
        </w:rPr>
        <w:t>, 1991). Casi 15 años después, el último censo agrícola reporta </w:t>
      </w:r>
      <w:r>
        <w:rPr>
          <w:color w:val="231F20"/>
          <w:spacing w:val="52"/>
        </w:rPr>
        <w:t> </w:t>
      </w:r>
      <w:r>
        <w:rPr>
          <w:color w:val="231F20"/>
        </w:rPr>
        <w:t>que</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9376" from="15pt,-71.68644pt" to="0pt,-71.68644pt" stroked="true" strokeweight=".25pt" strokecolor="#000000">
            <w10:wrap type="none"/>
          </v:line>
        </w:pict>
      </w:r>
      <w:r>
        <w:rPr/>
        <w:pict>
          <v:line style="position:absolute;mso-position-horizontal-relative:page;mso-position-vertical-relative:paragraph;z-index:9400" from="508.890015pt,-71.68644pt" to="523.890015pt,-71.68644pt" stroked="true" strokeweight=".25pt" strokecolor="#000000">
            <w10:wrap type="none"/>
          </v:line>
        </w:pic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superficie</w:t>
      </w:r>
      <w:r>
        <w:rPr>
          <w:color w:val="231F20"/>
          <w:spacing w:val="-6"/>
          <w:w w:val="105"/>
        </w:rPr>
        <w:t> </w:t>
      </w:r>
      <w:r>
        <w:rPr>
          <w:color w:val="231F20"/>
          <w:w w:val="105"/>
        </w:rPr>
        <w:t>total</w:t>
      </w:r>
      <w:r>
        <w:rPr>
          <w:color w:val="231F20"/>
          <w:spacing w:val="-6"/>
          <w:w w:val="105"/>
        </w:rPr>
        <w:t> </w:t>
      </w:r>
      <w:r>
        <w:rPr>
          <w:color w:val="231F20"/>
          <w:w w:val="105"/>
        </w:rPr>
        <w:t>del</w:t>
      </w:r>
      <w:r>
        <w:rPr>
          <w:color w:val="231F20"/>
          <w:spacing w:val="-6"/>
          <w:w w:val="105"/>
        </w:rPr>
        <w:t> </w:t>
      </w:r>
      <w:r>
        <w:rPr>
          <w:color w:val="231F20"/>
          <w:w w:val="105"/>
        </w:rPr>
        <w:t>municipio</w:t>
      </w:r>
      <w:r>
        <w:rPr>
          <w:color w:val="231F20"/>
          <w:spacing w:val="-6"/>
          <w:w w:val="105"/>
        </w:rPr>
        <w:t> </w:t>
      </w:r>
      <w:r>
        <w:rPr>
          <w:color w:val="231F20"/>
          <w:w w:val="105"/>
        </w:rPr>
        <w:t>44%</w:t>
      </w:r>
      <w:r>
        <w:rPr>
          <w:color w:val="231F20"/>
          <w:spacing w:val="-6"/>
          <w:w w:val="105"/>
        </w:rPr>
        <w:t> </w:t>
      </w:r>
      <w:r>
        <w:rPr>
          <w:color w:val="231F20"/>
          <w:w w:val="105"/>
        </w:rPr>
        <w:t>es</w:t>
      </w:r>
      <w:r>
        <w:rPr>
          <w:color w:val="231F20"/>
          <w:spacing w:val="-6"/>
          <w:w w:val="105"/>
        </w:rPr>
        <w:t> </w:t>
      </w:r>
      <w:r>
        <w:rPr>
          <w:color w:val="231F20"/>
          <w:w w:val="105"/>
        </w:rPr>
        <w:t>utilizada</w:t>
      </w:r>
      <w:r>
        <w:rPr>
          <w:color w:val="231F20"/>
          <w:spacing w:val="-6"/>
          <w:w w:val="105"/>
        </w:rPr>
        <w:t> </w:t>
      </w:r>
      <w:r>
        <w:rPr>
          <w:color w:val="231F20"/>
          <w:w w:val="105"/>
        </w:rPr>
        <w:t>para</w:t>
      </w:r>
      <w:r>
        <w:rPr>
          <w:color w:val="231F20"/>
          <w:spacing w:val="-6"/>
          <w:w w:val="105"/>
        </w:rPr>
        <w:t> </w:t>
      </w:r>
      <w:r>
        <w:rPr>
          <w:color w:val="231F20"/>
          <w:w w:val="105"/>
        </w:rPr>
        <w:t>las</w:t>
      </w:r>
      <w:r>
        <w:rPr>
          <w:color w:val="231F20"/>
          <w:spacing w:val="-6"/>
          <w:w w:val="105"/>
        </w:rPr>
        <w:t> </w:t>
      </w:r>
      <w:r>
        <w:rPr>
          <w:color w:val="231F20"/>
          <w:w w:val="105"/>
        </w:rPr>
        <w:t>actividades agropecuarias</w:t>
      </w:r>
      <w:r>
        <w:rPr>
          <w:color w:val="231F20"/>
          <w:spacing w:val="-8"/>
          <w:w w:val="105"/>
        </w:rPr>
        <w:t> </w:t>
      </w:r>
      <w:r>
        <w:rPr>
          <w:color w:val="231F20"/>
          <w:w w:val="105"/>
        </w:rPr>
        <w:t>(</w:t>
      </w:r>
      <w:r>
        <w:rPr>
          <w:color w:val="231F20"/>
          <w:w w:val="105"/>
          <w:sz w:val="17"/>
        </w:rPr>
        <w:t>INEGI</w:t>
      </w:r>
      <w:r>
        <w:rPr>
          <w:color w:val="231F20"/>
          <w:w w:val="105"/>
        </w:rPr>
        <w:t>,</w:t>
      </w:r>
      <w:r>
        <w:rPr>
          <w:color w:val="231F20"/>
          <w:spacing w:val="-14"/>
          <w:w w:val="105"/>
        </w:rPr>
        <w:t> </w:t>
      </w:r>
      <w:r>
        <w:rPr>
          <w:color w:val="231F20"/>
          <w:w w:val="105"/>
        </w:rPr>
        <w:t>2007).</w:t>
      </w:r>
      <w:r>
        <w:rPr>
          <w:color w:val="231F20"/>
          <w:spacing w:val="-14"/>
          <w:w w:val="105"/>
        </w:rPr>
        <w:t> </w:t>
      </w:r>
      <w:r>
        <w:rPr>
          <w:color w:val="231F20"/>
          <w:w w:val="105"/>
        </w:rPr>
        <w:t>Con</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pone</w:t>
      </w:r>
      <w:r>
        <w:rPr>
          <w:color w:val="231F20"/>
          <w:spacing w:val="-8"/>
          <w:w w:val="105"/>
        </w:rPr>
        <w:t> </w:t>
      </w:r>
      <w:r>
        <w:rPr>
          <w:color w:val="231F20"/>
          <w:w w:val="105"/>
        </w:rPr>
        <w:t>de</w:t>
      </w:r>
      <w:r>
        <w:rPr>
          <w:color w:val="231F20"/>
          <w:spacing w:val="-8"/>
          <w:w w:val="105"/>
        </w:rPr>
        <w:t> </w:t>
      </w:r>
      <w:r>
        <w:rPr>
          <w:color w:val="231F20"/>
          <w:w w:val="105"/>
        </w:rPr>
        <w:t>manifiesto</w:t>
      </w:r>
      <w:r>
        <w:rPr>
          <w:color w:val="231F20"/>
          <w:spacing w:val="-8"/>
          <w:w w:val="105"/>
        </w:rPr>
        <w:t> </w:t>
      </w:r>
      <w:r>
        <w:rPr>
          <w:color w:val="231F20"/>
          <w:w w:val="105"/>
        </w:rPr>
        <w:t>la</w:t>
      </w:r>
      <w:r>
        <w:rPr>
          <w:color w:val="231F20"/>
          <w:spacing w:val="-8"/>
          <w:w w:val="105"/>
        </w:rPr>
        <w:t> </w:t>
      </w:r>
      <w:r>
        <w:rPr>
          <w:color w:val="231F20"/>
          <w:w w:val="105"/>
        </w:rPr>
        <w:t>impor- tancia</w:t>
      </w:r>
      <w:r>
        <w:rPr>
          <w:color w:val="231F20"/>
          <w:spacing w:val="-14"/>
          <w:w w:val="105"/>
        </w:rPr>
        <w:t> </w:t>
      </w:r>
      <w:r>
        <w:rPr>
          <w:color w:val="231F20"/>
          <w:w w:val="105"/>
        </w:rPr>
        <w:t>que</w:t>
      </w:r>
      <w:r>
        <w:rPr>
          <w:color w:val="231F20"/>
          <w:spacing w:val="-14"/>
          <w:w w:val="105"/>
        </w:rPr>
        <w:t> </w:t>
      </w:r>
      <w:r>
        <w:rPr>
          <w:color w:val="231F20"/>
          <w:w w:val="105"/>
        </w:rPr>
        <w:t>tiene</w:t>
      </w:r>
      <w:r>
        <w:rPr>
          <w:color w:val="231F20"/>
          <w:spacing w:val="-14"/>
          <w:w w:val="105"/>
        </w:rPr>
        <w:t> </w:t>
      </w:r>
      <w:r>
        <w:rPr>
          <w:color w:val="231F20"/>
          <w:w w:val="105"/>
        </w:rPr>
        <w:t>este</w:t>
      </w:r>
      <w:r>
        <w:rPr>
          <w:color w:val="231F20"/>
          <w:spacing w:val="-14"/>
          <w:w w:val="105"/>
        </w:rPr>
        <w:t> </w:t>
      </w:r>
      <w:r>
        <w:rPr>
          <w:color w:val="231F20"/>
          <w:w w:val="105"/>
        </w:rPr>
        <w:t>sector</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economía.</w:t>
      </w:r>
    </w:p>
    <w:p>
      <w:pPr>
        <w:pStyle w:val="BodyText"/>
        <w:spacing w:line="261" w:lineRule="auto" w:before="1"/>
        <w:ind w:left="1723" w:right="1834" w:firstLine="567"/>
        <w:jc w:val="both"/>
      </w:pPr>
      <w:r>
        <w:rPr>
          <w:color w:val="231F20"/>
          <w:w w:val="105"/>
        </w:rPr>
        <w:t>Asimismo, el último censo agrícola de 2007 arroja datos que po- nen</w:t>
      </w:r>
      <w:r>
        <w:rPr>
          <w:color w:val="231F20"/>
          <w:spacing w:val="-23"/>
          <w:w w:val="105"/>
        </w:rPr>
        <w:t> </w:t>
      </w:r>
      <w:r>
        <w:rPr>
          <w:color w:val="231F20"/>
          <w:w w:val="105"/>
        </w:rPr>
        <w:t>en</w:t>
      </w:r>
      <w:r>
        <w:rPr>
          <w:color w:val="231F20"/>
          <w:spacing w:val="-23"/>
          <w:w w:val="105"/>
        </w:rPr>
        <w:t> </w:t>
      </w:r>
      <w:r>
        <w:rPr>
          <w:color w:val="231F20"/>
          <w:w w:val="105"/>
        </w:rPr>
        <w:t>evidencia</w:t>
      </w:r>
      <w:r>
        <w:rPr>
          <w:color w:val="231F20"/>
          <w:spacing w:val="-23"/>
          <w:w w:val="105"/>
        </w:rPr>
        <w:t> </w:t>
      </w:r>
      <w:r>
        <w:rPr>
          <w:color w:val="231F20"/>
          <w:w w:val="105"/>
        </w:rPr>
        <w:t>la</w:t>
      </w:r>
      <w:r>
        <w:rPr>
          <w:color w:val="231F20"/>
          <w:spacing w:val="-23"/>
          <w:w w:val="105"/>
        </w:rPr>
        <w:t> </w:t>
      </w:r>
      <w:r>
        <w:rPr>
          <w:color w:val="231F20"/>
          <w:w w:val="105"/>
        </w:rPr>
        <w:t>especialización</w:t>
      </w:r>
      <w:r>
        <w:rPr>
          <w:color w:val="231F20"/>
          <w:spacing w:val="-23"/>
          <w:w w:val="105"/>
        </w:rPr>
        <w:t> </w:t>
      </w:r>
      <w:r>
        <w:rPr>
          <w:color w:val="231F20"/>
          <w:w w:val="105"/>
        </w:rPr>
        <w:t>de</w:t>
      </w:r>
      <w:r>
        <w:rPr>
          <w:color w:val="231F20"/>
          <w:spacing w:val="-23"/>
          <w:w w:val="105"/>
        </w:rPr>
        <w:t> </w:t>
      </w:r>
      <w:r>
        <w:rPr>
          <w:color w:val="231F20"/>
          <w:w w:val="105"/>
        </w:rPr>
        <w:t>cultivos</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ha</w:t>
      </w:r>
      <w:r>
        <w:rPr>
          <w:color w:val="231F20"/>
          <w:spacing w:val="-23"/>
          <w:w w:val="105"/>
        </w:rPr>
        <w:t> </w:t>
      </w:r>
      <w:r>
        <w:rPr>
          <w:color w:val="231F20"/>
          <w:w w:val="105"/>
        </w:rPr>
        <w:t>desarrollado</w:t>
      </w:r>
      <w:r>
        <w:rPr>
          <w:color w:val="231F20"/>
          <w:spacing w:val="-23"/>
          <w:w w:val="105"/>
        </w:rPr>
        <w:t> </w:t>
      </w:r>
      <w:r>
        <w:rPr>
          <w:color w:val="231F20"/>
          <w:w w:val="105"/>
        </w:rPr>
        <w:t>en el</w:t>
      </w:r>
      <w:r>
        <w:rPr>
          <w:color w:val="231F20"/>
          <w:spacing w:val="-17"/>
          <w:w w:val="105"/>
        </w:rPr>
        <w:t> </w:t>
      </w:r>
      <w:r>
        <w:rPr>
          <w:color w:val="231F20"/>
          <w:w w:val="105"/>
        </w:rPr>
        <w:t>municipio.</w:t>
      </w:r>
      <w:r>
        <w:rPr>
          <w:color w:val="231F20"/>
          <w:spacing w:val="-22"/>
          <w:w w:val="105"/>
        </w:rPr>
        <w:t> </w:t>
      </w:r>
      <w:r>
        <w:rPr>
          <w:color w:val="231F20"/>
          <w:spacing w:val="-3"/>
          <w:w w:val="105"/>
        </w:rPr>
        <w:t>Pues</w:t>
      </w:r>
      <w:r>
        <w:rPr>
          <w:color w:val="231F20"/>
          <w:spacing w:val="-17"/>
          <w:w w:val="105"/>
        </w:rPr>
        <w:t> </w:t>
      </w:r>
      <w:r>
        <w:rPr>
          <w:color w:val="231F20"/>
          <w:w w:val="105"/>
        </w:rPr>
        <w:t>pese</w:t>
      </w:r>
      <w:r>
        <w:rPr>
          <w:color w:val="231F20"/>
          <w:spacing w:val="-17"/>
          <w:w w:val="105"/>
        </w:rPr>
        <w:t> </w:t>
      </w:r>
      <w:r>
        <w:rPr>
          <w:color w:val="231F20"/>
          <w:w w:val="105"/>
        </w:rPr>
        <w:t>a</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se</w:t>
      </w:r>
      <w:r>
        <w:rPr>
          <w:color w:val="231F20"/>
          <w:spacing w:val="-17"/>
          <w:w w:val="105"/>
        </w:rPr>
        <w:t> </w:t>
      </w:r>
      <w:r>
        <w:rPr>
          <w:color w:val="231F20"/>
          <w:w w:val="105"/>
        </w:rPr>
        <w:t>caracteriza</w:t>
      </w:r>
      <w:r>
        <w:rPr>
          <w:color w:val="231F20"/>
          <w:spacing w:val="-17"/>
          <w:w w:val="105"/>
        </w:rPr>
        <w:t> </w:t>
      </w:r>
      <w:r>
        <w:rPr>
          <w:color w:val="231F20"/>
          <w:w w:val="105"/>
        </w:rPr>
        <w:t>por</w:t>
      </w:r>
      <w:r>
        <w:rPr>
          <w:color w:val="231F20"/>
          <w:spacing w:val="-17"/>
          <w:w w:val="105"/>
        </w:rPr>
        <w:t> </w:t>
      </w:r>
      <w:r>
        <w:rPr>
          <w:color w:val="231F20"/>
          <w:w w:val="105"/>
        </w:rPr>
        <w:t>ser uno de los primeros productores a nivel nacional de cultivos</w:t>
      </w:r>
      <w:r>
        <w:rPr>
          <w:color w:val="231F20"/>
          <w:spacing w:val="-10"/>
          <w:w w:val="105"/>
        </w:rPr>
        <w:t> </w:t>
      </w:r>
      <w:r>
        <w:rPr>
          <w:color w:val="231F20"/>
          <w:w w:val="105"/>
        </w:rPr>
        <w:t>tradiciona- les</w:t>
      </w:r>
      <w:r>
        <w:rPr>
          <w:color w:val="231F20"/>
          <w:spacing w:val="-14"/>
          <w:w w:val="105"/>
        </w:rPr>
        <w:t> </w:t>
      </w:r>
      <w:r>
        <w:rPr>
          <w:color w:val="231F20"/>
          <w:w w:val="105"/>
        </w:rPr>
        <w:t>como</w:t>
      </w:r>
      <w:r>
        <w:rPr>
          <w:color w:val="231F20"/>
          <w:spacing w:val="-14"/>
          <w:w w:val="105"/>
        </w:rPr>
        <w:t> </w:t>
      </w:r>
      <w:r>
        <w:rPr>
          <w:color w:val="231F20"/>
          <w:w w:val="105"/>
        </w:rPr>
        <w:t>el</w:t>
      </w:r>
      <w:r>
        <w:rPr>
          <w:color w:val="231F20"/>
          <w:spacing w:val="-14"/>
          <w:w w:val="105"/>
        </w:rPr>
        <w:t> </w:t>
      </w:r>
      <w:r>
        <w:rPr>
          <w:color w:val="231F20"/>
          <w:w w:val="105"/>
        </w:rPr>
        <w:t>maíz,</w:t>
      </w:r>
      <w:r>
        <w:rPr>
          <w:color w:val="231F20"/>
          <w:spacing w:val="-20"/>
          <w:w w:val="105"/>
        </w:rPr>
        <w:t> </w:t>
      </w:r>
      <w:r>
        <w:rPr>
          <w:color w:val="231F20"/>
          <w:w w:val="105"/>
        </w:rPr>
        <w:t>en</w:t>
      </w:r>
      <w:r>
        <w:rPr>
          <w:color w:val="231F20"/>
          <w:spacing w:val="-14"/>
          <w:w w:val="105"/>
        </w:rPr>
        <w:t> </w:t>
      </w:r>
      <w:r>
        <w:rPr>
          <w:color w:val="231F20"/>
          <w:w w:val="105"/>
        </w:rPr>
        <w:t>este</w:t>
      </w:r>
      <w:r>
        <w:rPr>
          <w:color w:val="231F20"/>
          <w:spacing w:val="-14"/>
          <w:w w:val="105"/>
        </w:rPr>
        <w:t> </w:t>
      </w:r>
      <w:r>
        <w:rPr>
          <w:color w:val="231F20"/>
          <w:w w:val="105"/>
        </w:rPr>
        <w:t>municipio</w:t>
      </w:r>
      <w:r>
        <w:rPr>
          <w:color w:val="231F20"/>
          <w:spacing w:val="-14"/>
          <w:w w:val="105"/>
        </w:rPr>
        <w:t> </w:t>
      </w:r>
      <w:r>
        <w:rPr>
          <w:color w:val="231F20"/>
          <w:w w:val="105"/>
        </w:rPr>
        <w:t>no</w:t>
      </w:r>
      <w:r>
        <w:rPr>
          <w:color w:val="231F20"/>
          <w:spacing w:val="-14"/>
          <w:w w:val="105"/>
        </w:rPr>
        <w:t> </w:t>
      </w:r>
      <w:r>
        <w:rPr>
          <w:color w:val="231F20"/>
          <w:w w:val="105"/>
        </w:rPr>
        <w:t>figuran</w:t>
      </w:r>
      <w:r>
        <w:rPr>
          <w:color w:val="231F20"/>
          <w:spacing w:val="-14"/>
          <w:w w:val="105"/>
        </w:rPr>
        <w:t> </w:t>
      </w:r>
      <w:r>
        <w:rPr>
          <w:color w:val="231F20"/>
          <w:w w:val="105"/>
        </w:rPr>
        <w:t>como</w:t>
      </w:r>
      <w:r>
        <w:rPr>
          <w:color w:val="231F20"/>
          <w:spacing w:val="-14"/>
          <w:w w:val="105"/>
        </w:rPr>
        <w:t> </w:t>
      </w:r>
      <w:r>
        <w:rPr>
          <w:color w:val="231F20"/>
          <w:w w:val="105"/>
        </w:rPr>
        <w:t>mayoritarios</w:t>
      </w:r>
      <w:r>
        <w:rPr>
          <w:color w:val="231F20"/>
          <w:spacing w:val="-14"/>
          <w:w w:val="105"/>
        </w:rPr>
        <w:t> </w:t>
      </w:r>
      <w:r>
        <w:rPr>
          <w:color w:val="231F20"/>
          <w:w w:val="105"/>
        </w:rPr>
        <w:t>dichos cultivos.</w:t>
      </w:r>
      <w:r>
        <w:rPr>
          <w:color w:val="231F20"/>
          <w:spacing w:val="-24"/>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ciclo</w:t>
      </w:r>
      <w:r>
        <w:rPr>
          <w:color w:val="231F20"/>
          <w:spacing w:val="-19"/>
          <w:w w:val="105"/>
        </w:rPr>
        <w:t> </w:t>
      </w:r>
      <w:r>
        <w:rPr>
          <w:color w:val="231F20"/>
          <w:w w:val="105"/>
        </w:rPr>
        <w:t>primavera-verano</w:t>
      </w:r>
      <w:r>
        <w:rPr>
          <w:color w:val="231F20"/>
          <w:spacing w:val="-19"/>
          <w:w w:val="105"/>
        </w:rPr>
        <w:t> </w:t>
      </w:r>
      <w:r>
        <w:rPr>
          <w:color w:val="231F20"/>
          <w:w w:val="105"/>
        </w:rPr>
        <w:t>73.9%</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toneladas</w:t>
      </w:r>
      <w:r>
        <w:rPr>
          <w:color w:val="231F20"/>
          <w:spacing w:val="-19"/>
          <w:w w:val="105"/>
        </w:rPr>
        <w:t> </w:t>
      </w:r>
      <w:r>
        <w:rPr>
          <w:color w:val="231F20"/>
          <w:w w:val="105"/>
        </w:rPr>
        <w:t>de</w:t>
      </w:r>
      <w:r>
        <w:rPr>
          <w:color w:val="231F20"/>
          <w:spacing w:val="-19"/>
          <w:w w:val="105"/>
        </w:rPr>
        <w:t> </w:t>
      </w:r>
      <w:r>
        <w:rPr>
          <w:color w:val="231F20"/>
          <w:w w:val="105"/>
        </w:rPr>
        <w:t>produc- ción</w:t>
      </w:r>
      <w:r>
        <w:rPr>
          <w:color w:val="231F20"/>
          <w:spacing w:val="-17"/>
          <w:w w:val="105"/>
        </w:rPr>
        <w:t> </w:t>
      </w:r>
      <w:r>
        <w:rPr>
          <w:color w:val="231F20"/>
          <w:w w:val="105"/>
        </w:rPr>
        <w:t>obtenida</w:t>
      </w:r>
      <w:r>
        <w:rPr>
          <w:color w:val="231F20"/>
          <w:spacing w:val="-17"/>
          <w:w w:val="105"/>
        </w:rPr>
        <w:t> </w:t>
      </w:r>
      <w:r>
        <w:rPr>
          <w:color w:val="231F20"/>
          <w:w w:val="105"/>
        </w:rPr>
        <w:t>pertenecen</w:t>
      </w:r>
      <w:r>
        <w:rPr>
          <w:color w:val="231F20"/>
          <w:spacing w:val="-17"/>
          <w:w w:val="105"/>
        </w:rPr>
        <w:t> </w:t>
      </w:r>
      <w:r>
        <w:rPr>
          <w:color w:val="231F20"/>
          <w:w w:val="105"/>
        </w:rPr>
        <w:t>al</w:t>
      </w:r>
      <w:r>
        <w:rPr>
          <w:color w:val="231F20"/>
          <w:spacing w:val="-17"/>
          <w:w w:val="105"/>
        </w:rPr>
        <w:t> </w:t>
      </w:r>
      <w:r>
        <w:rPr>
          <w:color w:val="231F20"/>
          <w:w w:val="105"/>
        </w:rPr>
        <w:t>concepto</w:t>
      </w:r>
      <w:r>
        <w:rPr>
          <w:color w:val="231F20"/>
          <w:spacing w:val="-17"/>
          <w:w w:val="105"/>
        </w:rPr>
        <w:t> </w:t>
      </w:r>
      <w:r>
        <w:rPr>
          <w:color w:val="231F20"/>
          <w:spacing w:val="-3"/>
          <w:w w:val="105"/>
        </w:rPr>
        <w:t>“otros</w:t>
      </w:r>
      <w:r>
        <w:rPr>
          <w:color w:val="231F20"/>
          <w:spacing w:val="-17"/>
          <w:w w:val="105"/>
        </w:rPr>
        <w:t> </w:t>
      </w:r>
      <w:r>
        <w:rPr>
          <w:color w:val="231F20"/>
          <w:spacing w:val="-3"/>
          <w:w w:val="105"/>
        </w:rPr>
        <w:t>cultivos”,</w:t>
      </w:r>
      <w:r>
        <w:rPr>
          <w:color w:val="231F20"/>
          <w:spacing w:val="-23"/>
          <w:w w:val="105"/>
        </w:rPr>
        <w:t> </w:t>
      </w:r>
      <w:r>
        <w:rPr>
          <w:color w:val="231F20"/>
          <w:w w:val="105"/>
        </w:rPr>
        <w:t>23%</w:t>
      </w:r>
      <w:r>
        <w:rPr>
          <w:color w:val="231F20"/>
          <w:spacing w:val="-17"/>
          <w:w w:val="105"/>
        </w:rPr>
        <w:t> </w:t>
      </w:r>
      <w:r>
        <w:rPr>
          <w:color w:val="231F20"/>
          <w:w w:val="105"/>
        </w:rPr>
        <w:t>a</w:t>
      </w:r>
      <w:r>
        <w:rPr>
          <w:color w:val="231F20"/>
          <w:spacing w:val="-17"/>
          <w:w w:val="105"/>
        </w:rPr>
        <w:t> </w:t>
      </w:r>
      <w:r>
        <w:rPr>
          <w:color w:val="231F20"/>
          <w:w w:val="105"/>
        </w:rPr>
        <w:t>maíz</w:t>
      </w:r>
      <w:r>
        <w:rPr>
          <w:color w:val="231F20"/>
          <w:spacing w:val="-17"/>
          <w:w w:val="105"/>
        </w:rPr>
        <w:t> </w:t>
      </w:r>
      <w:r>
        <w:rPr>
          <w:color w:val="231F20"/>
          <w:w w:val="105"/>
        </w:rPr>
        <w:t>blanco y amarillo, y el resto a fríjol y avena forrajera (</w:t>
      </w:r>
      <w:r>
        <w:rPr>
          <w:color w:val="231F20"/>
          <w:w w:val="105"/>
          <w:sz w:val="17"/>
        </w:rPr>
        <w:t>INEGI</w:t>
      </w:r>
      <w:r>
        <w:rPr>
          <w:color w:val="231F20"/>
          <w:w w:val="105"/>
        </w:rPr>
        <w:t>, 2007). </w:t>
      </w:r>
      <w:r>
        <w:rPr>
          <w:color w:val="231F20"/>
          <w:spacing w:val="-4"/>
          <w:w w:val="105"/>
        </w:rPr>
        <w:t>Para </w:t>
      </w:r>
      <w:r>
        <w:rPr>
          <w:color w:val="231F20"/>
          <w:w w:val="105"/>
        </w:rPr>
        <w:t>el ciclo verano-otoño la mayor proporción de producción obtenida</w:t>
      </w:r>
      <w:r>
        <w:rPr>
          <w:color w:val="231F20"/>
          <w:spacing w:val="-11"/>
          <w:w w:val="105"/>
        </w:rPr>
        <w:t> </w:t>
      </w:r>
      <w:r>
        <w:rPr>
          <w:color w:val="231F20"/>
          <w:w w:val="105"/>
        </w:rPr>
        <w:t>nuevamente es</w:t>
      </w:r>
      <w:r>
        <w:rPr>
          <w:color w:val="231F20"/>
          <w:spacing w:val="-26"/>
          <w:w w:val="105"/>
        </w:rPr>
        <w:t> </w:t>
      </w:r>
      <w:r>
        <w:rPr>
          <w:color w:val="231F20"/>
          <w:w w:val="105"/>
        </w:rPr>
        <w:t>de</w:t>
      </w:r>
      <w:r>
        <w:rPr>
          <w:color w:val="231F20"/>
          <w:spacing w:val="-26"/>
          <w:w w:val="105"/>
        </w:rPr>
        <w:t> </w:t>
      </w:r>
      <w:r>
        <w:rPr>
          <w:color w:val="231F20"/>
          <w:w w:val="105"/>
        </w:rPr>
        <w:t>otros</w:t>
      </w:r>
      <w:r>
        <w:rPr>
          <w:color w:val="231F20"/>
          <w:spacing w:val="-26"/>
          <w:w w:val="105"/>
        </w:rPr>
        <w:t> </w:t>
      </w:r>
      <w:r>
        <w:rPr>
          <w:color w:val="231F20"/>
          <w:w w:val="105"/>
        </w:rPr>
        <w:t>cultivos</w:t>
      </w:r>
      <w:r>
        <w:rPr>
          <w:color w:val="231F20"/>
          <w:spacing w:val="-26"/>
          <w:w w:val="105"/>
        </w:rPr>
        <w:t> </w:t>
      </w:r>
      <w:r>
        <w:rPr>
          <w:color w:val="231F20"/>
          <w:w w:val="105"/>
        </w:rPr>
        <w:t>con</w:t>
      </w:r>
      <w:r>
        <w:rPr>
          <w:color w:val="231F20"/>
          <w:spacing w:val="-26"/>
          <w:w w:val="105"/>
        </w:rPr>
        <w:t> </w:t>
      </w:r>
      <w:r>
        <w:rPr>
          <w:color w:val="231F20"/>
          <w:w w:val="105"/>
        </w:rPr>
        <w:t>47.7%</w:t>
      </w:r>
      <w:r>
        <w:rPr>
          <w:color w:val="231F20"/>
          <w:spacing w:val="-26"/>
          <w:w w:val="105"/>
        </w:rPr>
        <w:t> </w:t>
      </w:r>
      <w:r>
        <w:rPr>
          <w:color w:val="231F20"/>
          <w:w w:val="105"/>
        </w:rPr>
        <w:t>(</w:t>
      </w:r>
      <w:r>
        <w:rPr>
          <w:color w:val="231F20"/>
          <w:w w:val="105"/>
          <w:sz w:val="17"/>
        </w:rPr>
        <w:t>INEGI</w:t>
      </w:r>
      <w:r>
        <w:rPr>
          <w:color w:val="231F20"/>
          <w:w w:val="105"/>
        </w:rPr>
        <w:t>,</w:t>
      </w:r>
      <w:r>
        <w:rPr>
          <w:color w:val="231F20"/>
          <w:spacing w:val="-30"/>
          <w:w w:val="105"/>
        </w:rPr>
        <w:t> </w:t>
      </w:r>
      <w:r>
        <w:rPr>
          <w:color w:val="231F20"/>
          <w:w w:val="105"/>
        </w:rPr>
        <w:t>2007).</w:t>
      </w:r>
    </w:p>
    <w:p>
      <w:pPr>
        <w:pStyle w:val="BodyText"/>
        <w:spacing w:line="261" w:lineRule="auto" w:before="1"/>
        <w:ind w:left="1723" w:right="1828" w:firstLine="567"/>
        <w:jc w:val="both"/>
      </w:pPr>
      <w:r>
        <w:rPr>
          <w:color w:val="231F20"/>
          <w:w w:val="105"/>
        </w:rPr>
        <w:t>El rubro de </w:t>
      </w:r>
      <w:r>
        <w:rPr>
          <w:color w:val="231F20"/>
          <w:spacing w:val="-3"/>
          <w:w w:val="105"/>
        </w:rPr>
        <w:t>“otros </w:t>
      </w:r>
      <w:r>
        <w:rPr>
          <w:color w:val="231F20"/>
          <w:w w:val="105"/>
        </w:rPr>
        <w:t>cultivos” comprende el ramo florícola y follajes, mismo que se posiciona como el principal cultivo del municipio en am- bos</w:t>
      </w:r>
      <w:r>
        <w:rPr>
          <w:color w:val="231F20"/>
          <w:spacing w:val="-24"/>
          <w:w w:val="105"/>
        </w:rPr>
        <w:t> </w:t>
      </w:r>
      <w:r>
        <w:rPr>
          <w:color w:val="231F20"/>
          <w:w w:val="105"/>
        </w:rPr>
        <w:t>ciclos</w:t>
      </w:r>
      <w:r>
        <w:rPr>
          <w:color w:val="231F20"/>
          <w:spacing w:val="-24"/>
          <w:w w:val="105"/>
        </w:rPr>
        <w:t> </w:t>
      </w:r>
      <w:r>
        <w:rPr>
          <w:color w:val="231F20"/>
          <w:w w:val="105"/>
        </w:rPr>
        <w:t>agrícolas.</w:t>
      </w:r>
      <w:r>
        <w:rPr>
          <w:color w:val="231F20"/>
          <w:spacing w:val="-29"/>
          <w:w w:val="105"/>
        </w:rPr>
        <w:t> </w:t>
      </w:r>
      <w:r>
        <w:rPr>
          <w:color w:val="231F20"/>
          <w:w w:val="105"/>
        </w:rPr>
        <w:t>Esto</w:t>
      </w:r>
      <w:r>
        <w:rPr>
          <w:color w:val="231F20"/>
          <w:spacing w:val="-24"/>
          <w:w w:val="105"/>
        </w:rPr>
        <w:t> </w:t>
      </w:r>
      <w:r>
        <w:rPr>
          <w:color w:val="231F20"/>
          <w:w w:val="105"/>
        </w:rPr>
        <w:t>no</w:t>
      </w:r>
      <w:r>
        <w:rPr>
          <w:color w:val="231F20"/>
          <w:spacing w:val="-24"/>
          <w:w w:val="105"/>
        </w:rPr>
        <w:t> </w:t>
      </w:r>
      <w:r>
        <w:rPr>
          <w:color w:val="231F20"/>
          <w:w w:val="105"/>
        </w:rPr>
        <w:t>significa</w:t>
      </w:r>
      <w:r>
        <w:rPr>
          <w:color w:val="231F20"/>
          <w:spacing w:val="-24"/>
          <w:w w:val="105"/>
        </w:rPr>
        <w:t> </w:t>
      </w:r>
      <w:r>
        <w:rPr>
          <w:color w:val="231F20"/>
          <w:w w:val="105"/>
        </w:rPr>
        <w:t>que</w:t>
      </w:r>
      <w:r>
        <w:rPr>
          <w:color w:val="231F20"/>
          <w:spacing w:val="-24"/>
          <w:w w:val="105"/>
        </w:rPr>
        <w:t> </w:t>
      </w:r>
      <w:r>
        <w:rPr>
          <w:color w:val="231F20"/>
          <w:w w:val="105"/>
        </w:rPr>
        <w:t>no</w:t>
      </w:r>
      <w:r>
        <w:rPr>
          <w:color w:val="231F20"/>
          <w:spacing w:val="-24"/>
          <w:w w:val="105"/>
        </w:rPr>
        <w:t> </w:t>
      </w:r>
      <w:r>
        <w:rPr>
          <w:color w:val="231F20"/>
          <w:w w:val="105"/>
        </w:rPr>
        <w:t>exista</w:t>
      </w:r>
      <w:r>
        <w:rPr>
          <w:color w:val="231F20"/>
          <w:spacing w:val="-24"/>
          <w:w w:val="105"/>
        </w:rPr>
        <w:t> </w:t>
      </w:r>
      <w:r>
        <w:rPr>
          <w:color w:val="231F20"/>
          <w:w w:val="105"/>
        </w:rPr>
        <w:t>producción</w:t>
      </w:r>
      <w:r>
        <w:rPr>
          <w:color w:val="231F20"/>
          <w:spacing w:val="-24"/>
          <w:w w:val="105"/>
        </w:rPr>
        <w:t> </w:t>
      </w:r>
      <w:r>
        <w:rPr>
          <w:color w:val="231F20"/>
          <w:w w:val="105"/>
        </w:rPr>
        <w:t>durante</w:t>
      </w:r>
      <w:r>
        <w:rPr>
          <w:color w:val="231F20"/>
          <w:spacing w:val="-24"/>
          <w:w w:val="105"/>
        </w:rPr>
        <w:t> </w:t>
      </w:r>
      <w:r>
        <w:rPr>
          <w:color w:val="231F20"/>
          <w:w w:val="105"/>
        </w:rPr>
        <w:t>el ciclo otoño-invierno, pues la producción de flores puede ser controlada en</w:t>
      </w:r>
      <w:r>
        <w:rPr>
          <w:color w:val="231F20"/>
          <w:spacing w:val="-16"/>
          <w:w w:val="105"/>
        </w:rPr>
        <w:t> </w:t>
      </w:r>
      <w:r>
        <w:rPr>
          <w:color w:val="231F20"/>
          <w:w w:val="105"/>
        </w:rPr>
        <w:t>todo</w:t>
      </w:r>
      <w:r>
        <w:rPr>
          <w:color w:val="231F20"/>
          <w:spacing w:val="-16"/>
          <w:w w:val="105"/>
        </w:rPr>
        <w:t> </w:t>
      </w:r>
      <w:r>
        <w:rPr>
          <w:color w:val="231F20"/>
          <w:w w:val="105"/>
        </w:rPr>
        <w:t>el</w:t>
      </w:r>
      <w:r>
        <w:rPr>
          <w:color w:val="231F20"/>
          <w:spacing w:val="-16"/>
          <w:w w:val="105"/>
        </w:rPr>
        <w:t> </w:t>
      </w:r>
      <w:r>
        <w:rPr>
          <w:color w:val="231F20"/>
          <w:w w:val="105"/>
        </w:rPr>
        <w:t>año</w:t>
      </w:r>
      <w:r>
        <w:rPr>
          <w:color w:val="231F20"/>
          <w:spacing w:val="-16"/>
          <w:w w:val="105"/>
        </w:rPr>
        <w:t> </w:t>
      </w:r>
      <w:r>
        <w:rPr>
          <w:color w:val="231F20"/>
          <w:w w:val="105"/>
        </w:rPr>
        <w:t>agrícola,</w:t>
      </w:r>
      <w:r>
        <w:rPr>
          <w:color w:val="231F20"/>
          <w:spacing w:val="-22"/>
          <w:w w:val="105"/>
        </w:rPr>
        <w:t> </w:t>
      </w:r>
      <w:r>
        <w:rPr>
          <w:color w:val="231F20"/>
          <w:w w:val="105"/>
        </w:rPr>
        <w:t>aunque</w:t>
      </w:r>
      <w:r>
        <w:rPr>
          <w:color w:val="231F20"/>
          <w:spacing w:val="-16"/>
          <w:w w:val="105"/>
        </w:rPr>
        <w:t> </w:t>
      </w:r>
      <w:r>
        <w:rPr>
          <w:color w:val="231F20"/>
          <w:w w:val="105"/>
        </w:rPr>
        <w:t>se</w:t>
      </w:r>
      <w:r>
        <w:rPr>
          <w:color w:val="231F20"/>
          <w:spacing w:val="-16"/>
          <w:w w:val="105"/>
        </w:rPr>
        <w:t> </w:t>
      </w:r>
      <w:r>
        <w:rPr>
          <w:color w:val="231F20"/>
          <w:w w:val="105"/>
        </w:rPr>
        <w:t>requiere</w:t>
      </w:r>
      <w:r>
        <w:rPr>
          <w:color w:val="231F20"/>
          <w:spacing w:val="-16"/>
          <w:w w:val="105"/>
        </w:rPr>
        <w:t> </w:t>
      </w:r>
      <w:r>
        <w:rPr>
          <w:color w:val="231F20"/>
          <w:w w:val="105"/>
        </w:rPr>
        <w:t>de</w:t>
      </w:r>
      <w:r>
        <w:rPr>
          <w:color w:val="231F20"/>
          <w:spacing w:val="-16"/>
          <w:w w:val="105"/>
        </w:rPr>
        <w:t> </w:t>
      </w:r>
      <w:r>
        <w:rPr>
          <w:color w:val="231F20"/>
          <w:w w:val="105"/>
        </w:rPr>
        <w:t>un</w:t>
      </w:r>
      <w:r>
        <w:rPr>
          <w:color w:val="231F20"/>
          <w:spacing w:val="-16"/>
          <w:w w:val="105"/>
        </w:rPr>
        <w:t> </w:t>
      </w:r>
      <w:r>
        <w:rPr>
          <w:color w:val="231F20"/>
          <w:w w:val="105"/>
        </w:rPr>
        <w:t>mayor</w:t>
      </w:r>
      <w:r>
        <w:rPr>
          <w:color w:val="231F20"/>
          <w:spacing w:val="-16"/>
          <w:w w:val="105"/>
        </w:rPr>
        <w:t> </w:t>
      </w:r>
      <w:r>
        <w:rPr>
          <w:color w:val="231F20"/>
          <w:w w:val="105"/>
        </w:rPr>
        <w:t>uso</w:t>
      </w:r>
      <w:r>
        <w:rPr>
          <w:color w:val="231F20"/>
          <w:spacing w:val="-16"/>
          <w:w w:val="105"/>
        </w:rPr>
        <w:t> </w:t>
      </w:r>
      <w:r>
        <w:rPr>
          <w:color w:val="231F20"/>
          <w:w w:val="105"/>
        </w:rPr>
        <w:t>de</w:t>
      </w:r>
      <w:r>
        <w:rPr>
          <w:color w:val="231F20"/>
          <w:spacing w:val="-16"/>
          <w:w w:val="105"/>
        </w:rPr>
        <w:t> </w:t>
      </w:r>
      <w:r>
        <w:rPr>
          <w:color w:val="231F20"/>
          <w:w w:val="105"/>
        </w:rPr>
        <w:t>insumos tecnológicos y mayor inversión productiva. Lo que explicaría que no to- das</w:t>
      </w:r>
      <w:r>
        <w:rPr>
          <w:color w:val="231F20"/>
          <w:spacing w:val="-11"/>
          <w:w w:val="105"/>
        </w:rPr>
        <w:t> </w:t>
      </w:r>
      <w:r>
        <w:rPr>
          <w:color w:val="231F20"/>
          <w:w w:val="105"/>
        </w:rPr>
        <w:t>las</w:t>
      </w:r>
      <w:r>
        <w:rPr>
          <w:color w:val="231F20"/>
          <w:spacing w:val="-11"/>
          <w:w w:val="105"/>
        </w:rPr>
        <w:t> </w:t>
      </w:r>
      <w:r>
        <w:rPr>
          <w:color w:val="231F20"/>
          <w:w w:val="105"/>
        </w:rPr>
        <w:t>unidades</w:t>
      </w:r>
      <w:r>
        <w:rPr>
          <w:color w:val="231F20"/>
          <w:spacing w:val="-11"/>
          <w:w w:val="105"/>
        </w:rPr>
        <w:t> </w:t>
      </w:r>
      <w:r>
        <w:rPr>
          <w:color w:val="231F20"/>
          <w:w w:val="105"/>
        </w:rPr>
        <w:t>productivas</w:t>
      </w:r>
      <w:r>
        <w:rPr>
          <w:color w:val="231F20"/>
          <w:spacing w:val="-11"/>
          <w:w w:val="105"/>
        </w:rPr>
        <w:t> </w:t>
      </w:r>
      <w:r>
        <w:rPr>
          <w:color w:val="231F20"/>
          <w:w w:val="105"/>
        </w:rPr>
        <w:t>realicen</w:t>
      </w:r>
      <w:r>
        <w:rPr>
          <w:color w:val="231F20"/>
          <w:spacing w:val="-11"/>
          <w:w w:val="105"/>
        </w:rPr>
        <w:t> </w:t>
      </w:r>
      <w:r>
        <w:rPr>
          <w:color w:val="231F20"/>
          <w:w w:val="105"/>
        </w:rPr>
        <w:t>la</w:t>
      </w:r>
      <w:r>
        <w:rPr>
          <w:color w:val="231F20"/>
          <w:spacing w:val="-11"/>
          <w:w w:val="105"/>
        </w:rPr>
        <w:t> </w:t>
      </w:r>
      <w:r>
        <w:rPr>
          <w:color w:val="231F20"/>
          <w:w w:val="105"/>
        </w:rPr>
        <w:t>actividad</w:t>
      </w:r>
      <w:r>
        <w:rPr>
          <w:color w:val="231F20"/>
          <w:spacing w:val="-11"/>
          <w:w w:val="105"/>
        </w:rPr>
        <w:t> </w:t>
      </w:r>
      <w:r>
        <w:rPr>
          <w:color w:val="231F20"/>
          <w:w w:val="105"/>
        </w:rPr>
        <w:t>durante</w:t>
      </w:r>
      <w:r>
        <w:rPr>
          <w:color w:val="231F20"/>
          <w:spacing w:val="-11"/>
          <w:w w:val="105"/>
        </w:rPr>
        <w:t> </w:t>
      </w:r>
      <w:r>
        <w:rPr>
          <w:color w:val="231F20"/>
          <w:w w:val="105"/>
        </w:rPr>
        <w:t>este</w:t>
      </w:r>
      <w:r>
        <w:rPr>
          <w:color w:val="231F20"/>
          <w:spacing w:val="-11"/>
          <w:w w:val="105"/>
        </w:rPr>
        <w:t> </w:t>
      </w:r>
      <w:r>
        <w:rPr>
          <w:color w:val="231F20"/>
          <w:w w:val="105"/>
        </w:rPr>
        <w:t>ciclo.</w:t>
      </w:r>
      <w:r>
        <w:rPr>
          <w:color w:val="231F20"/>
          <w:spacing w:val="-16"/>
          <w:w w:val="105"/>
        </w:rPr>
        <w:t> </w:t>
      </w:r>
      <w:r>
        <w:rPr>
          <w:color w:val="231F20"/>
          <w:w w:val="105"/>
        </w:rPr>
        <w:t>Un ejemplo de ello es la notable producción durante los meses de enero y febrero,</w:t>
      </w:r>
      <w:r>
        <w:rPr>
          <w:color w:val="231F20"/>
          <w:spacing w:val="-13"/>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día</w:t>
      </w:r>
      <w:r>
        <w:rPr>
          <w:color w:val="231F20"/>
          <w:spacing w:val="-7"/>
          <w:w w:val="105"/>
        </w:rPr>
        <w:t> </w:t>
      </w:r>
      <w:r>
        <w:rPr>
          <w:color w:val="231F20"/>
          <w:w w:val="105"/>
        </w:rPr>
        <w:t>de</w:t>
      </w:r>
      <w:r>
        <w:rPr>
          <w:color w:val="231F20"/>
          <w:spacing w:val="-7"/>
          <w:w w:val="105"/>
        </w:rPr>
        <w:t> </w:t>
      </w:r>
      <w:r>
        <w:rPr>
          <w:color w:val="231F20"/>
          <w:w w:val="105"/>
        </w:rPr>
        <w:t>San</w:t>
      </w:r>
      <w:r>
        <w:rPr>
          <w:color w:val="231F20"/>
          <w:spacing w:val="-11"/>
          <w:w w:val="105"/>
        </w:rPr>
        <w:t> </w:t>
      </w:r>
      <w:r>
        <w:rPr>
          <w:color w:val="231F20"/>
          <w:w w:val="105"/>
        </w:rPr>
        <w:t>Valentín</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celebración</w:t>
      </w:r>
      <w:r>
        <w:rPr>
          <w:color w:val="231F20"/>
          <w:spacing w:val="-7"/>
          <w:w w:val="105"/>
        </w:rPr>
        <w:t> </w:t>
      </w:r>
      <w:r>
        <w:rPr>
          <w:color w:val="231F20"/>
          <w:w w:val="105"/>
        </w:rPr>
        <w:t>del</w:t>
      </w:r>
      <w:r>
        <w:rPr>
          <w:color w:val="231F20"/>
          <w:spacing w:val="-11"/>
          <w:w w:val="105"/>
        </w:rPr>
        <w:t> </w:t>
      </w:r>
      <w:r>
        <w:rPr>
          <w:color w:val="231F20"/>
          <w:w w:val="105"/>
        </w:rPr>
        <w:t>Año</w:t>
      </w:r>
      <w:r>
        <w:rPr>
          <w:color w:val="231F20"/>
          <w:spacing w:val="-7"/>
          <w:w w:val="105"/>
        </w:rPr>
        <w:t> </w:t>
      </w:r>
      <w:r>
        <w:rPr>
          <w:color w:val="231F20"/>
          <w:w w:val="105"/>
        </w:rPr>
        <w:t>Nuevo</w:t>
      </w:r>
      <w:r>
        <w:rPr>
          <w:color w:val="231F20"/>
          <w:spacing w:val="-7"/>
          <w:w w:val="105"/>
        </w:rPr>
        <w:t> </w:t>
      </w:r>
      <w:r>
        <w:rPr>
          <w:color w:val="231F20"/>
          <w:w w:val="105"/>
        </w:rPr>
        <w:t>Chi- no,</w:t>
      </w:r>
      <w:r>
        <w:rPr>
          <w:color w:val="231F20"/>
          <w:spacing w:val="-23"/>
          <w:w w:val="105"/>
        </w:rPr>
        <w:t> </w:t>
      </w:r>
      <w:r>
        <w:rPr>
          <w:color w:val="231F20"/>
          <w:w w:val="105"/>
        </w:rPr>
        <w:t>que</w:t>
      </w:r>
      <w:r>
        <w:rPr>
          <w:color w:val="231F20"/>
          <w:spacing w:val="-18"/>
          <w:w w:val="105"/>
        </w:rPr>
        <w:t> </w:t>
      </w:r>
      <w:r>
        <w:rPr>
          <w:color w:val="231F20"/>
          <w:w w:val="105"/>
        </w:rPr>
        <w:t>es</w:t>
      </w:r>
      <w:r>
        <w:rPr>
          <w:color w:val="231F20"/>
          <w:spacing w:val="-18"/>
          <w:w w:val="105"/>
        </w:rPr>
        <w:t> </w:t>
      </w:r>
      <w:r>
        <w:rPr>
          <w:color w:val="231F20"/>
          <w:w w:val="105"/>
        </w:rPr>
        <w:t>exportada</w:t>
      </w:r>
      <w:r>
        <w:rPr>
          <w:color w:val="231F20"/>
          <w:spacing w:val="-18"/>
          <w:w w:val="105"/>
        </w:rPr>
        <w:t> </w:t>
      </w:r>
      <w:r>
        <w:rPr>
          <w:color w:val="231F20"/>
          <w:w w:val="105"/>
        </w:rPr>
        <w:t>a</w:t>
      </w:r>
      <w:r>
        <w:rPr>
          <w:color w:val="231F20"/>
          <w:spacing w:val="-18"/>
          <w:w w:val="105"/>
        </w:rPr>
        <w:t> </w:t>
      </w:r>
      <w:r>
        <w:rPr>
          <w:color w:val="231F20"/>
          <w:w w:val="105"/>
        </w:rPr>
        <w:t>las</w:t>
      </w:r>
      <w:r>
        <w:rPr>
          <w:color w:val="231F20"/>
          <w:spacing w:val="-18"/>
          <w:w w:val="105"/>
        </w:rPr>
        <w:t> </w:t>
      </w:r>
      <w:r>
        <w:rPr>
          <w:color w:val="231F20"/>
          <w:w w:val="105"/>
        </w:rPr>
        <w:t>ciudades</w:t>
      </w:r>
      <w:r>
        <w:rPr>
          <w:color w:val="231F20"/>
          <w:spacing w:val="-18"/>
          <w:w w:val="105"/>
        </w:rPr>
        <w:t> </w:t>
      </w:r>
      <w:r>
        <w:rPr>
          <w:color w:val="231F20"/>
          <w:w w:val="105"/>
        </w:rPr>
        <w:t>de</w:t>
      </w:r>
      <w:r>
        <w:rPr>
          <w:color w:val="231F20"/>
          <w:spacing w:val="-18"/>
          <w:w w:val="105"/>
        </w:rPr>
        <w:t> </w:t>
      </w:r>
      <w:r>
        <w:rPr>
          <w:color w:val="231F20"/>
          <w:w w:val="105"/>
        </w:rPr>
        <w:t>Nueva</w:t>
      </w:r>
      <w:r>
        <w:rPr>
          <w:color w:val="231F20"/>
          <w:spacing w:val="-22"/>
          <w:w w:val="105"/>
        </w:rPr>
        <w:t> </w:t>
      </w:r>
      <w:r>
        <w:rPr>
          <w:color w:val="231F20"/>
          <w:spacing w:val="-5"/>
          <w:w w:val="105"/>
        </w:rPr>
        <w:t>York</w:t>
      </w:r>
      <w:r>
        <w:rPr>
          <w:color w:val="231F20"/>
          <w:spacing w:val="-18"/>
          <w:w w:val="105"/>
        </w:rPr>
        <w:t> </w:t>
      </w:r>
      <w:r>
        <w:rPr>
          <w:color w:val="231F20"/>
          <w:w w:val="105"/>
        </w:rPr>
        <w:t>y</w:t>
      </w:r>
      <w:r>
        <w:rPr>
          <w:color w:val="231F20"/>
          <w:spacing w:val="-18"/>
          <w:w w:val="105"/>
        </w:rPr>
        <w:t> </w:t>
      </w:r>
      <w:r>
        <w:rPr>
          <w:color w:val="231F20"/>
          <w:w w:val="105"/>
        </w:rPr>
        <w:t>Chicago.</w:t>
      </w:r>
    </w:p>
    <w:p>
      <w:pPr>
        <w:pStyle w:val="BodyText"/>
        <w:spacing w:line="261" w:lineRule="auto" w:before="1"/>
        <w:ind w:left="1723" w:right="1829" w:firstLine="567"/>
        <w:jc w:val="both"/>
      </w:pPr>
      <w:r>
        <w:rPr>
          <w:color w:val="231F20"/>
          <w:w w:val="105"/>
        </w:rPr>
        <w:t>Lara (1998) afirma que la floricultura de exportación tiene una</w:t>
      </w:r>
      <w:r>
        <w:rPr>
          <w:color w:val="231F20"/>
          <w:spacing w:val="-33"/>
          <w:w w:val="105"/>
        </w:rPr>
        <w:t> </w:t>
      </w:r>
      <w:r>
        <w:rPr>
          <w:color w:val="231F20"/>
          <w:w w:val="105"/>
        </w:rPr>
        <w:t>ca- racterística</w:t>
      </w:r>
      <w:r>
        <w:rPr>
          <w:color w:val="231F20"/>
          <w:spacing w:val="-38"/>
          <w:w w:val="105"/>
        </w:rPr>
        <w:t> </w:t>
      </w:r>
      <w:r>
        <w:rPr>
          <w:color w:val="231F20"/>
          <w:w w:val="105"/>
        </w:rPr>
        <w:t>singular:</w:t>
      </w:r>
      <w:r>
        <w:rPr>
          <w:color w:val="231F20"/>
          <w:spacing w:val="-38"/>
          <w:w w:val="105"/>
        </w:rPr>
        <w:t> </w:t>
      </w:r>
      <w:r>
        <w:rPr>
          <w:color w:val="231F20"/>
          <w:w w:val="105"/>
        </w:rPr>
        <w:t>para</w:t>
      </w:r>
      <w:r>
        <w:rPr>
          <w:color w:val="231F20"/>
          <w:spacing w:val="-38"/>
          <w:w w:val="105"/>
        </w:rPr>
        <w:t> </w:t>
      </w:r>
      <w:r>
        <w:rPr>
          <w:color w:val="231F20"/>
          <w:w w:val="105"/>
        </w:rPr>
        <w:t>alcanzar</w:t>
      </w:r>
      <w:r>
        <w:rPr>
          <w:color w:val="231F20"/>
          <w:spacing w:val="-38"/>
          <w:w w:val="105"/>
        </w:rPr>
        <w:t> </w:t>
      </w:r>
      <w:r>
        <w:rPr>
          <w:color w:val="231F20"/>
          <w:w w:val="105"/>
        </w:rPr>
        <w:t>las</w:t>
      </w:r>
      <w:r>
        <w:rPr>
          <w:color w:val="231F20"/>
          <w:spacing w:val="-38"/>
          <w:w w:val="105"/>
        </w:rPr>
        <w:t> </w:t>
      </w:r>
      <w:r>
        <w:rPr>
          <w:color w:val="231F20"/>
          <w:w w:val="105"/>
        </w:rPr>
        <w:t>exigencias</w:t>
      </w:r>
      <w:r>
        <w:rPr>
          <w:color w:val="231F20"/>
          <w:spacing w:val="-38"/>
          <w:w w:val="105"/>
        </w:rPr>
        <w:t> </w:t>
      </w:r>
      <w:r>
        <w:rPr>
          <w:color w:val="231F20"/>
          <w:w w:val="105"/>
        </w:rPr>
        <w:t>de</w:t>
      </w:r>
      <w:r>
        <w:rPr>
          <w:color w:val="231F20"/>
          <w:spacing w:val="-38"/>
          <w:w w:val="105"/>
        </w:rPr>
        <w:t> </w:t>
      </w:r>
      <w:r>
        <w:rPr>
          <w:color w:val="231F20"/>
          <w:w w:val="105"/>
        </w:rPr>
        <w:t>mercados</w:t>
      </w:r>
      <w:r>
        <w:rPr>
          <w:color w:val="231F20"/>
          <w:spacing w:val="-38"/>
          <w:w w:val="105"/>
        </w:rPr>
        <w:t> </w:t>
      </w:r>
      <w:r>
        <w:rPr>
          <w:color w:val="231F20"/>
          <w:w w:val="105"/>
        </w:rPr>
        <w:t>internacio- nales</w:t>
      </w:r>
      <w:r>
        <w:rPr>
          <w:color w:val="231F20"/>
          <w:spacing w:val="-30"/>
          <w:w w:val="105"/>
        </w:rPr>
        <w:t> </w:t>
      </w:r>
      <w:r>
        <w:rPr>
          <w:color w:val="231F20"/>
          <w:w w:val="105"/>
        </w:rPr>
        <w:t>deben</w:t>
      </w:r>
      <w:r>
        <w:rPr>
          <w:color w:val="231F20"/>
          <w:spacing w:val="-30"/>
          <w:w w:val="105"/>
        </w:rPr>
        <w:t> </w:t>
      </w:r>
      <w:r>
        <w:rPr>
          <w:color w:val="231F20"/>
          <w:w w:val="105"/>
        </w:rPr>
        <w:t>utilizarse</w:t>
      </w:r>
      <w:r>
        <w:rPr>
          <w:color w:val="231F20"/>
          <w:spacing w:val="-30"/>
          <w:w w:val="105"/>
        </w:rPr>
        <w:t> </w:t>
      </w:r>
      <w:r>
        <w:rPr>
          <w:color w:val="231F20"/>
          <w:w w:val="105"/>
        </w:rPr>
        <w:t>tecnologías</w:t>
      </w:r>
      <w:r>
        <w:rPr>
          <w:color w:val="231F20"/>
          <w:spacing w:val="-30"/>
          <w:w w:val="105"/>
        </w:rPr>
        <w:t> </w:t>
      </w:r>
      <w:r>
        <w:rPr>
          <w:color w:val="231F20"/>
          <w:w w:val="105"/>
        </w:rPr>
        <w:t>únicamente</w:t>
      </w:r>
      <w:r>
        <w:rPr>
          <w:color w:val="231F20"/>
          <w:spacing w:val="-30"/>
          <w:w w:val="105"/>
        </w:rPr>
        <w:t> </w:t>
      </w:r>
      <w:r>
        <w:rPr>
          <w:color w:val="231F20"/>
          <w:w w:val="105"/>
        </w:rPr>
        <w:t>accesibles</w:t>
      </w:r>
      <w:r>
        <w:rPr>
          <w:color w:val="231F20"/>
          <w:spacing w:val="-30"/>
          <w:w w:val="105"/>
        </w:rPr>
        <w:t> </w:t>
      </w:r>
      <w:r>
        <w:rPr>
          <w:color w:val="231F20"/>
          <w:w w:val="105"/>
        </w:rPr>
        <w:t>para</w:t>
      </w:r>
      <w:r>
        <w:rPr>
          <w:color w:val="231F20"/>
          <w:spacing w:val="-30"/>
          <w:w w:val="105"/>
        </w:rPr>
        <w:t> </w:t>
      </w:r>
      <w:r>
        <w:rPr>
          <w:color w:val="231F20"/>
          <w:w w:val="105"/>
        </w:rPr>
        <w:t>empresas y consorcios grandes. En general, la tecnología que utilizan los</w:t>
      </w:r>
      <w:r>
        <w:rPr>
          <w:color w:val="231F20"/>
          <w:spacing w:val="-34"/>
          <w:w w:val="105"/>
        </w:rPr>
        <w:t> </w:t>
      </w:r>
      <w:r>
        <w:rPr>
          <w:color w:val="231F20"/>
          <w:w w:val="105"/>
        </w:rPr>
        <w:t>produc- tores</w:t>
      </w:r>
      <w:r>
        <w:rPr>
          <w:color w:val="231F20"/>
          <w:spacing w:val="-15"/>
          <w:w w:val="105"/>
        </w:rPr>
        <w:t> </w:t>
      </w:r>
      <w:r>
        <w:rPr>
          <w:color w:val="231F20"/>
          <w:w w:val="105"/>
        </w:rPr>
        <w:t>mejor</w:t>
      </w:r>
      <w:r>
        <w:rPr>
          <w:color w:val="231F20"/>
          <w:spacing w:val="-15"/>
          <w:w w:val="105"/>
        </w:rPr>
        <w:t> </w:t>
      </w:r>
      <w:r>
        <w:rPr>
          <w:color w:val="231F20"/>
          <w:w w:val="105"/>
        </w:rPr>
        <w:t>posicionados</w:t>
      </w:r>
      <w:r>
        <w:rPr>
          <w:color w:val="231F20"/>
          <w:spacing w:val="-15"/>
          <w:w w:val="105"/>
        </w:rPr>
        <w:t> </w:t>
      </w:r>
      <w:r>
        <w:rPr>
          <w:color w:val="231F20"/>
          <w:w w:val="105"/>
        </w:rPr>
        <w:t>va</w:t>
      </w:r>
      <w:r>
        <w:rPr>
          <w:color w:val="231F20"/>
          <w:spacing w:val="-15"/>
          <w:w w:val="105"/>
        </w:rPr>
        <w:t> </w:t>
      </w:r>
      <w:r>
        <w:rPr>
          <w:color w:val="231F20"/>
          <w:w w:val="105"/>
        </w:rPr>
        <w:t>desde</w:t>
      </w:r>
      <w:r>
        <w:rPr>
          <w:color w:val="231F20"/>
          <w:spacing w:val="-15"/>
          <w:w w:val="105"/>
        </w:rPr>
        <w:t> </w:t>
      </w:r>
      <w:r>
        <w:rPr>
          <w:color w:val="231F20"/>
          <w:w w:val="105"/>
        </w:rPr>
        <w:t>los</w:t>
      </w:r>
      <w:r>
        <w:rPr>
          <w:color w:val="231F20"/>
          <w:spacing w:val="-15"/>
          <w:w w:val="105"/>
        </w:rPr>
        <w:t> </w:t>
      </w:r>
      <w:r>
        <w:rPr>
          <w:color w:val="231F20"/>
          <w:w w:val="105"/>
        </w:rPr>
        <w:t>invernaderos,</w:t>
      </w:r>
      <w:r>
        <w:rPr>
          <w:color w:val="231F20"/>
          <w:spacing w:val="-20"/>
          <w:w w:val="105"/>
        </w:rPr>
        <w:t> </w:t>
      </w:r>
      <w:r>
        <w:rPr>
          <w:color w:val="231F20"/>
          <w:w w:val="105"/>
        </w:rPr>
        <w:t>adquisición</w:t>
      </w:r>
      <w:r>
        <w:rPr>
          <w:color w:val="231F20"/>
          <w:spacing w:val="-15"/>
          <w:w w:val="105"/>
        </w:rPr>
        <w:t> </w:t>
      </w:r>
      <w:r>
        <w:rPr>
          <w:color w:val="231F20"/>
          <w:w w:val="105"/>
        </w:rPr>
        <w:t>de</w:t>
      </w:r>
      <w:r>
        <w:rPr>
          <w:color w:val="231F20"/>
          <w:spacing w:val="-15"/>
          <w:w w:val="105"/>
        </w:rPr>
        <w:t> </w:t>
      </w:r>
      <w:r>
        <w:rPr>
          <w:color w:val="231F20"/>
          <w:w w:val="105"/>
        </w:rPr>
        <w:t>ma- terial vegetativo y reproductivo de exportación, reproducción por</w:t>
      </w:r>
      <w:r>
        <w:rPr>
          <w:color w:val="231F20"/>
          <w:spacing w:val="-19"/>
          <w:w w:val="105"/>
        </w:rPr>
        <w:t> </w:t>
      </w:r>
      <w:r>
        <w:rPr>
          <w:color w:val="231F20"/>
          <w:w w:val="105"/>
        </w:rPr>
        <w:t>injerto y por bulbos, hasta equipos de refrigeración, cuartos de enfriamiento, riego por microaspersión, entre</w:t>
      </w:r>
      <w:r>
        <w:rPr>
          <w:color w:val="231F20"/>
          <w:spacing w:val="-39"/>
          <w:w w:val="105"/>
        </w:rPr>
        <w:t> </w:t>
      </w:r>
      <w:r>
        <w:rPr>
          <w:color w:val="231F20"/>
          <w:w w:val="105"/>
        </w:rPr>
        <w:t>otros.</w:t>
      </w:r>
    </w:p>
    <w:p>
      <w:pPr>
        <w:pStyle w:val="BodyText"/>
        <w:spacing w:line="261" w:lineRule="auto" w:before="1"/>
        <w:ind w:left="1723" w:right="1834" w:firstLine="567"/>
        <w:jc w:val="both"/>
      </w:pP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sentido,</w:t>
      </w:r>
      <w:r>
        <w:rPr>
          <w:color w:val="231F20"/>
          <w:spacing w:val="-14"/>
          <w:w w:val="105"/>
        </w:rPr>
        <w:t> </w:t>
      </w:r>
      <w:r>
        <w:rPr>
          <w:color w:val="231F20"/>
          <w:w w:val="105"/>
        </w:rPr>
        <w:t>el</w:t>
      </w:r>
      <w:r>
        <w:rPr>
          <w:color w:val="231F20"/>
          <w:spacing w:val="-8"/>
          <w:w w:val="105"/>
        </w:rPr>
        <w:t> </w:t>
      </w:r>
      <w:r>
        <w:rPr>
          <w:color w:val="231F20"/>
          <w:w w:val="105"/>
        </w:rPr>
        <w:t>desarrollo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actividad</w:t>
      </w:r>
      <w:r>
        <w:rPr>
          <w:color w:val="231F20"/>
          <w:spacing w:val="-8"/>
          <w:w w:val="105"/>
        </w:rPr>
        <w:t> </w:t>
      </w:r>
      <w:r>
        <w:rPr>
          <w:color w:val="231F20"/>
          <w:w w:val="105"/>
        </w:rPr>
        <w:t>florícola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munici- pio</w:t>
      </w:r>
      <w:r>
        <w:rPr>
          <w:color w:val="231F20"/>
          <w:spacing w:val="-4"/>
          <w:w w:val="105"/>
        </w:rPr>
        <w:t> </w:t>
      </w:r>
      <w:r>
        <w:rPr>
          <w:color w:val="231F20"/>
          <w:w w:val="105"/>
        </w:rPr>
        <w:t>ha</w:t>
      </w:r>
      <w:r>
        <w:rPr>
          <w:color w:val="231F20"/>
          <w:spacing w:val="-4"/>
          <w:w w:val="105"/>
        </w:rPr>
        <w:t> </w:t>
      </w:r>
      <w:r>
        <w:rPr>
          <w:color w:val="231F20"/>
          <w:w w:val="105"/>
        </w:rPr>
        <w:t>derivado</w:t>
      </w:r>
      <w:r>
        <w:rPr>
          <w:color w:val="231F20"/>
          <w:spacing w:val="-4"/>
          <w:w w:val="105"/>
        </w:rPr>
        <w:t> </w:t>
      </w:r>
      <w:r>
        <w:rPr>
          <w:color w:val="231F20"/>
          <w:w w:val="105"/>
        </w:rPr>
        <w:t>en</w:t>
      </w:r>
      <w:r>
        <w:rPr>
          <w:color w:val="231F20"/>
          <w:spacing w:val="-4"/>
          <w:w w:val="105"/>
        </w:rPr>
        <w:t> </w:t>
      </w:r>
      <w:r>
        <w:rPr>
          <w:color w:val="231F20"/>
          <w:w w:val="105"/>
        </w:rPr>
        <w:t>un</w:t>
      </w:r>
      <w:r>
        <w:rPr>
          <w:color w:val="231F20"/>
          <w:spacing w:val="-4"/>
          <w:w w:val="105"/>
        </w:rPr>
        <w:t> </w:t>
      </w:r>
      <w:r>
        <w:rPr>
          <w:color w:val="231F20"/>
          <w:w w:val="105"/>
        </w:rPr>
        <w:t>complejo</w:t>
      </w:r>
      <w:r>
        <w:rPr>
          <w:color w:val="231F20"/>
          <w:spacing w:val="-4"/>
          <w:w w:val="105"/>
        </w:rPr>
        <w:t> </w:t>
      </w:r>
      <w:r>
        <w:rPr>
          <w:color w:val="231F20"/>
          <w:w w:val="105"/>
        </w:rPr>
        <w:t>aparato</w:t>
      </w:r>
      <w:r>
        <w:rPr>
          <w:color w:val="231F20"/>
          <w:spacing w:val="-4"/>
          <w:w w:val="105"/>
        </w:rPr>
        <w:t> </w:t>
      </w:r>
      <w:r>
        <w:rPr>
          <w:color w:val="231F20"/>
          <w:w w:val="105"/>
        </w:rPr>
        <w:t>productivo.</w:t>
      </w:r>
      <w:r>
        <w:rPr>
          <w:color w:val="231F20"/>
          <w:spacing w:val="-11"/>
          <w:w w:val="105"/>
        </w:rPr>
        <w:t> </w:t>
      </w:r>
      <w:r>
        <w:rPr>
          <w:color w:val="231F20"/>
          <w:w w:val="105"/>
        </w:rPr>
        <w:t>Nadie</w:t>
      </w:r>
      <w:r>
        <w:rPr>
          <w:color w:val="231F20"/>
          <w:spacing w:val="-4"/>
          <w:w w:val="105"/>
        </w:rPr>
        <w:t> </w:t>
      </w:r>
      <w:r>
        <w:rPr>
          <w:color w:val="231F20"/>
          <w:w w:val="105"/>
        </w:rPr>
        <w:t>sabe</w:t>
      </w:r>
      <w:r>
        <w:rPr>
          <w:color w:val="231F20"/>
          <w:spacing w:val="-4"/>
          <w:w w:val="105"/>
        </w:rPr>
        <w:t> </w:t>
      </w:r>
      <w:r>
        <w:rPr>
          <w:color w:val="231F20"/>
          <w:w w:val="105"/>
        </w:rPr>
        <w:t>exacta- mente</w:t>
      </w:r>
      <w:r>
        <w:rPr>
          <w:color w:val="231F20"/>
          <w:spacing w:val="-11"/>
          <w:w w:val="105"/>
        </w:rPr>
        <w:t> </w:t>
      </w:r>
      <w:r>
        <w:rPr>
          <w:color w:val="231F20"/>
          <w:w w:val="105"/>
        </w:rPr>
        <w:t>el</w:t>
      </w:r>
      <w:r>
        <w:rPr>
          <w:color w:val="231F20"/>
          <w:spacing w:val="-11"/>
          <w:w w:val="105"/>
        </w:rPr>
        <w:t> </w:t>
      </w:r>
      <w:r>
        <w:rPr>
          <w:color w:val="231F20"/>
          <w:w w:val="105"/>
        </w:rPr>
        <w:t>número</w:t>
      </w:r>
      <w:r>
        <w:rPr>
          <w:color w:val="231F20"/>
          <w:spacing w:val="-11"/>
          <w:w w:val="105"/>
        </w:rPr>
        <w:t> </w:t>
      </w:r>
      <w:r>
        <w:rPr>
          <w:color w:val="231F20"/>
          <w:w w:val="105"/>
        </w:rPr>
        <w:t>de</w:t>
      </w:r>
      <w:r>
        <w:rPr>
          <w:color w:val="231F20"/>
          <w:spacing w:val="-11"/>
          <w:w w:val="105"/>
        </w:rPr>
        <w:t> </w:t>
      </w:r>
      <w:r>
        <w:rPr>
          <w:color w:val="231F20"/>
          <w:w w:val="105"/>
        </w:rPr>
        <w:t>productores</w:t>
      </w:r>
      <w:r>
        <w:rPr>
          <w:color w:val="231F20"/>
          <w:spacing w:val="-11"/>
          <w:w w:val="105"/>
        </w:rPr>
        <w:t> </w:t>
      </w:r>
      <w:r>
        <w:rPr>
          <w:color w:val="231F20"/>
          <w:w w:val="105"/>
        </w:rPr>
        <w:t>debido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variación</w:t>
      </w:r>
      <w:r>
        <w:rPr>
          <w:color w:val="231F20"/>
          <w:spacing w:val="-11"/>
          <w:w w:val="105"/>
        </w:rPr>
        <w:t> </w:t>
      </w:r>
      <w:r>
        <w:rPr>
          <w:color w:val="231F20"/>
          <w:w w:val="105"/>
        </w:rPr>
        <w:t>estacional</w:t>
      </w:r>
      <w:r>
        <w:rPr>
          <w:color w:val="231F20"/>
          <w:spacing w:val="-11"/>
          <w:w w:val="105"/>
        </w:rPr>
        <w:t> </w:t>
      </w:r>
      <w:r>
        <w:rPr>
          <w:color w:val="231F20"/>
          <w:w w:val="105"/>
        </w:rPr>
        <w:t>que</w:t>
      </w:r>
      <w:r>
        <w:rPr>
          <w:color w:val="231F20"/>
          <w:spacing w:val="-11"/>
          <w:w w:val="105"/>
        </w:rPr>
        <w:t> </w:t>
      </w:r>
      <w:r>
        <w:rPr>
          <w:color w:val="231F20"/>
          <w:w w:val="105"/>
        </w:rPr>
        <w:t>se presentan</w:t>
      </w:r>
      <w:r>
        <w:rPr>
          <w:color w:val="231F20"/>
          <w:spacing w:val="-13"/>
          <w:w w:val="105"/>
        </w:rPr>
        <w:t> </w:t>
      </w:r>
      <w:r>
        <w:rPr>
          <w:color w:val="231F20"/>
          <w:w w:val="105"/>
        </w:rPr>
        <w:t>en</w:t>
      </w:r>
      <w:r>
        <w:rPr>
          <w:color w:val="231F20"/>
          <w:spacing w:val="-13"/>
          <w:w w:val="105"/>
        </w:rPr>
        <w:t> </w:t>
      </w:r>
      <w:r>
        <w:rPr>
          <w:color w:val="231F20"/>
          <w:w w:val="105"/>
        </w:rPr>
        <w:t>esta</w:t>
      </w:r>
      <w:r>
        <w:rPr>
          <w:color w:val="231F20"/>
          <w:spacing w:val="-13"/>
          <w:w w:val="105"/>
        </w:rPr>
        <w:t> </w:t>
      </w:r>
      <w:r>
        <w:rPr>
          <w:color w:val="231F20"/>
          <w:w w:val="105"/>
        </w:rPr>
        <w:t>actividad.</w:t>
      </w:r>
      <w:r>
        <w:rPr>
          <w:color w:val="231F20"/>
          <w:spacing w:val="-18"/>
          <w:w w:val="105"/>
        </w:rPr>
        <w:t> </w:t>
      </w:r>
      <w:r>
        <w:rPr>
          <w:color w:val="231F20"/>
          <w:w w:val="105"/>
        </w:rPr>
        <w:t>Se</w:t>
      </w:r>
      <w:r>
        <w:rPr>
          <w:color w:val="231F20"/>
          <w:spacing w:val="-13"/>
          <w:w w:val="105"/>
        </w:rPr>
        <w:t> </w:t>
      </w:r>
      <w:r>
        <w:rPr>
          <w:color w:val="231F20"/>
          <w:w w:val="105"/>
        </w:rPr>
        <w:t>habla</w:t>
      </w:r>
      <w:r>
        <w:rPr>
          <w:color w:val="231F20"/>
          <w:spacing w:val="-13"/>
          <w:w w:val="105"/>
        </w:rPr>
        <w:t> </w:t>
      </w:r>
      <w:r>
        <w:rPr>
          <w:color w:val="231F20"/>
          <w:w w:val="105"/>
        </w:rPr>
        <w:t>anualmente</w:t>
      </w:r>
      <w:r>
        <w:rPr>
          <w:color w:val="231F20"/>
          <w:spacing w:val="-13"/>
          <w:w w:val="105"/>
        </w:rPr>
        <w:t> </w:t>
      </w:r>
      <w:r>
        <w:rPr>
          <w:color w:val="231F20"/>
          <w:w w:val="105"/>
        </w:rPr>
        <w:t>de</w:t>
      </w:r>
      <w:r>
        <w:rPr>
          <w:color w:val="231F20"/>
          <w:spacing w:val="-13"/>
          <w:w w:val="105"/>
        </w:rPr>
        <w:t> </w:t>
      </w:r>
      <w:r>
        <w:rPr>
          <w:color w:val="231F20"/>
          <w:w w:val="105"/>
        </w:rPr>
        <w:t>5,000</w:t>
      </w:r>
      <w:r>
        <w:rPr>
          <w:color w:val="231F20"/>
          <w:spacing w:val="-13"/>
          <w:w w:val="105"/>
        </w:rPr>
        <w:t> </w:t>
      </w:r>
      <w:r>
        <w:rPr>
          <w:color w:val="231F20"/>
          <w:w w:val="105"/>
        </w:rPr>
        <w:t>productores entre</w:t>
      </w:r>
      <w:r>
        <w:rPr>
          <w:color w:val="231F20"/>
          <w:spacing w:val="-14"/>
          <w:w w:val="105"/>
        </w:rPr>
        <w:t> </w:t>
      </w:r>
      <w:r>
        <w:rPr>
          <w:color w:val="231F20"/>
          <w:w w:val="105"/>
        </w:rPr>
        <w:t>los</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encuentran</w:t>
      </w:r>
      <w:r>
        <w:rPr>
          <w:color w:val="231F20"/>
          <w:spacing w:val="-14"/>
          <w:w w:val="105"/>
        </w:rPr>
        <w:t> </w:t>
      </w:r>
      <w:r>
        <w:rPr>
          <w:color w:val="231F20"/>
          <w:w w:val="105"/>
        </w:rPr>
        <w:t>las</w:t>
      </w:r>
      <w:r>
        <w:rPr>
          <w:color w:val="231F20"/>
          <w:spacing w:val="-14"/>
          <w:w w:val="105"/>
        </w:rPr>
        <w:t> </w:t>
      </w:r>
      <w:r>
        <w:rPr>
          <w:color w:val="231F20"/>
          <w:w w:val="105"/>
        </w:rPr>
        <w:t>grandes</w:t>
      </w:r>
      <w:r>
        <w:rPr>
          <w:color w:val="231F20"/>
          <w:spacing w:val="-14"/>
          <w:w w:val="105"/>
        </w:rPr>
        <w:t> </w:t>
      </w:r>
      <w:r>
        <w:rPr>
          <w:color w:val="231F20"/>
          <w:w w:val="105"/>
        </w:rPr>
        <w:t>corporaciones</w:t>
      </w:r>
      <w:r>
        <w:rPr>
          <w:color w:val="231F20"/>
          <w:spacing w:val="-14"/>
          <w:w w:val="105"/>
        </w:rPr>
        <w:t> </w:t>
      </w:r>
      <w:r>
        <w:rPr>
          <w:color w:val="231F20"/>
          <w:w w:val="105"/>
        </w:rPr>
        <w:t>y</w:t>
      </w:r>
      <w:r>
        <w:rPr>
          <w:color w:val="231F20"/>
          <w:spacing w:val="-14"/>
          <w:w w:val="105"/>
        </w:rPr>
        <w:t> </w:t>
      </w:r>
      <w:r>
        <w:rPr>
          <w:color w:val="231F20"/>
          <w:w w:val="105"/>
        </w:rPr>
        <w:t>los</w:t>
      </w:r>
      <w:r>
        <w:rPr>
          <w:color w:val="231F20"/>
          <w:spacing w:val="-14"/>
          <w:w w:val="105"/>
        </w:rPr>
        <w:t> </w:t>
      </w:r>
      <w:r>
        <w:rPr>
          <w:color w:val="231F20"/>
          <w:w w:val="105"/>
        </w:rPr>
        <w:t>medianos</w:t>
      </w:r>
      <w:r>
        <w:rPr>
          <w:color w:val="231F20"/>
          <w:spacing w:val="-14"/>
          <w:w w:val="105"/>
        </w:rPr>
        <w:t> </w:t>
      </w:r>
      <w:r>
        <w:rPr>
          <w:color w:val="231F20"/>
          <w:w w:val="105"/>
        </w:rPr>
        <w:t>y pequeños</w:t>
      </w:r>
      <w:r>
        <w:rPr>
          <w:color w:val="231F20"/>
          <w:spacing w:val="-7"/>
          <w:w w:val="105"/>
        </w:rPr>
        <w:t> </w:t>
      </w:r>
      <w:r>
        <w:rPr>
          <w:color w:val="231F20"/>
          <w:w w:val="105"/>
        </w:rPr>
        <w:t>productores</w:t>
      </w:r>
      <w:r>
        <w:rPr>
          <w:color w:val="231F20"/>
          <w:spacing w:val="-7"/>
          <w:w w:val="105"/>
        </w:rPr>
        <w:t> </w:t>
      </w:r>
      <w:r>
        <w:rPr>
          <w:color w:val="231F20"/>
          <w:w w:val="105"/>
        </w:rPr>
        <w:t>que</w:t>
      </w:r>
      <w:r>
        <w:rPr>
          <w:color w:val="231F20"/>
          <w:spacing w:val="-7"/>
          <w:w w:val="105"/>
        </w:rPr>
        <w:t> </w:t>
      </w:r>
      <w:r>
        <w:rPr>
          <w:color w:val="231F20"/>
          <w:w w:val="105"/>
        </w:rPr>
        <w:t>dirigen</w:t>
      </w:r>
      <w:r>
        <w:rPr>
          <w:color w:val="231F20"/>
          <w:spacing w:val="-8"/>
          <w:w w:val="105"/>
        </w:rPr>
        <w:t> </w:t>
      </w:r>
      <w:r>
        <w:rPr>
          <w:color w:val="231F20"/>
          <w:w w:val="105"/>
        </w:rPr>
        <w:t>su</w:t>
      </w:r>
      <w:r>
        <w:rPr>
          <w:color w:val="231F20"/>
          <w:spacing w:val="-7"/>
          <w:w w:val="105"/>
        </w:rPr>
        <w:t> </w:t>
      </w:r>
      <w:r>
        <w:rPr>
          <w:color w:val="231F20"/>
          <w:w w:val="105"/>
        </w:rPr>
        <w:t>producción</w:t>
      </w:r>
      <w:r>
        <w:rPr>
          <w:color w:val="231F20"/>
          <w:spacing w:val="-7"/>
          <w:w w:val="105"/>
        </w:rPr>
        <w:t> </w:t>
      </w:r>
      <w:r>
        <w:rPr>
          <w:color w:val="231F20"/>
          <w:w w:val="105"/>
        </w:rPr>
        <w:t>al</w:t>
      </w:r>
      <w:r>
        <w:rPr>
          <w:color w:val="231F20"/>
          <w:spacing w:val="-7"/>
          <w:w w:val="105"/>
        </w:rPr>
        <w:t> </w:t>
      </w:r>
      <w:r>
        <w:rPr>
          <w:color w:val="231F20"/>
          <w:w w:val="105"/>
        </w:rPr>
        <w:t>mercado</w:t>
      </w:r>
      <w:r>
        <w:rPr>
          <w:color w:val="231F20"/>
          <w:spacing w:val="-7"/>
          <w:w w:val="105"/>
        </w:rPr>
        <w:t> </w:t>
      </w:r>
      <w:r>
        <w:rPr>
          <w:color w:val="231F20"/>
          <w:w w:val="105"/>
        </w:rPr>
        <w:t>nacional</w:t>
      </w:r>
      <w:r>
        <w:rPr>
          <w:color w:val="231F20"/>
          <w:spacing w:val="-8"/>
          <w:w w:val="105"/>
        </w:rPr>
        <w:t> </w:t>
      </w:r>
      <w:r>
        <w:rPr>
          <w:color w:val="231F20"/>
          <w:w w:val="105"/>
        </w:rPr>
        <w:t>y local</w:t>
      </w:r>
      <w:r>
        <w:rPr>
          <w:color w:val="231F20"/>
          <w:spacing w:val="-21"/>
          <w:w w:val="105"/>
        </w:rPr>
        <w:t> </w:t>
      </w:r>
      <w:r>
        <w:rPr>
          <w:color w:val="231F20"/>
          <w:w w:val="105"/>
        </w:rPr>
        <w:t>(Entrevista</w:t>
      </w:r>
      <w:r>
        <w:rPr>
          <w:color w:val="231F20"/>
          <w:spacing w:val="-21"/>
          <w:w w:val="105"/>
        </w:rPr>
        <w:t> </w:t>
      </w:r>
      <w:r>
        <w:rPr>
          <w:color w:val="231F20"/>
          <w:w w:val="105"/>
        </w:rPr>
        <w:t>al</w:t>
      </w:r>
      <w:r>
        <w:rPr>
          <w:color w:val="231F20"/>
          <w:spacing w:val="-21"/>
          <w:w w:val="105"/>
        </w:rPr>
        <w:t> </w:t>
      </w:r>
      <w:r>
        <w:rPr>
          <w:color w:val="231F20"/>
          <w:w w:val="105"/>
        </w:rPr>
        <w:t>Gerente</w:t>
      </w:r>
      <w:r>
        <w:rPr>
          <w:color w:val="231F20"/>
          <w:spacing w:val="-21"/>
          <w:w w:val="105"/>
        </w:rPr>
        <w:t> </w:t>
      </w:r>
      <w:r>
        <w:rPr>
          <w:color w:val="231F20"/>
          <w:w w:val="105"/>
        </w:rPr>
        <w:t>del</w:t>
      </w:r>
      <w:r>
        <w:rPr>
          <w:color w:val="231F20"/>
          <w:spacing w:val="-21"/>
          <w:w w:val="105"/>
        </w:rPr>
        <w:t> </w:t>
      </w:r>
      <w:r>
        <w:rPr>
          <w:color w:val="231F20"/>
          <w:w w:val="105"/>
        </w:rPr>
        <w:t>Consejo</w:t>
      </w:r>
      <w:r>
        <w:rPr>
          <w:color w:val="231F20"/>
          <w:spacing w:val="-21"/>
          <w:w w:val="105"/>
        </w:rPr>
        <w:t> </w:t>
      </w:r>
      <w:r>
        <w:rPr>
          <w:color w:val="231F20"/>
          <w:w w:val="105"/>
        </w:rPr>
        <w:t>Mexicano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05"/>
        </w:rPr>
        <w:t>Flor,</w:t>
      </w:r>
      <w:r>
        <w:rPr>
          <w:color w:val="231F20"/>
          <w:spacing w:val="-26"/>
          <w:w w:val="105"/>
        </w:rPr>
        <w:t> </w:t>
      </w:r>
      <w:r>
        <w:rPr>
          <w:color w:val="231F20"/>
          <w:w w:val="105"/>
        </w:rPr>
        <w:t>2010).</w:t>
      </w:r>
    </w:p>
    <w:p>
      <w:pPr>
        <w:pStyle w:val="BodyText"/>
        <w:spacing w:line="264" w:lineRule="auto" w:before="1"/>
        <w:ind w:left="1723" w:right="1835" w:firstLine="567"/>
        <w:jc w:val="both"/>
      </w:pPr>
      <w:r>
        <w:rPr>
          <w:color w:val="231F20"/>
          <w:w w:val="105"/>
        </w:rPr>
        <w:t>Un aspecto central para el desarrollo de la floricultura en el</w:t>
      </w:r>
      <w:r>
        <w:rPr>
          <w:color w:val="231F20"/>
          <w:spacing w:val="-16"/>
          <w:w w:val="105"/>
        </w:rPr>
        <w:t> </w:t>
      </w:r>
      <w:r>
        <w:rPr>
          <w:color w:val="231F20"/>
          <w:w w:val="105"/>
        </w:rPr>
        <w:t>muni- cipio es la distribución de la tierra</w:t>
      </w:r>
      <w:r>
        <w:rPr>
          <w:color w:val="231F20"/>
          <w:w w:val="105"/>
          <w:position w:val="7"/>
          <w:sz w:val="12"/>
        </w:rPr>
        <w:t>1</w:t>
      </w:r>
      <w:r>
        <w:rPr>
          <w:color w:val="231F20"/>
          <w:w w:val="105"/>
        </w:rPr>
        <w:t>. El reparto agrario en este</w:t>
      </w:r>
      <w:r>
        <w:rPr>
          <w:color w:val="231F20"/>
          <w:spacing w:val="-13"/>
          <w:w w:val="105"/>
        </w:rPr>
        <w:t> </w:t>
      </w:r>
      <w:r>
        <w:rPr>
          <w:color w:val="231F20"/>
          <w:w w:val="105"/>
        </w:rPr>
        <w:t>municipio</w:t>
      </w:r>
    </w:p>
    <w:p>
      <w:pPr>
        <w:pStyle w:val="BodyText"/>
        <w:spacing w:before="8"/>
        <w:rPr>
          <w:sz w:val="18"/>
        </w:rPr>
      </w:pPr>
      <w:r>
        <w:rPr/>
        <w:pict>
          <v:line style="position:absolute;mso-position-horizontal-relative:page;mso-position-vertical-relative:paragraph;z-index:9328;mso-wrap-distance-left:0;mso-wrap-distance-right:0" from="86.1968pt,12.662983pt" to="199.5828pt,12.662983pt" stroked="true" strokeweight=".25pt" strokecolor="#231f20">
            <w10:wrap type="topAndBottom"/>
          </v:line>
        </w:pict>
      </w:r>
    </w:p>
    <w:p>
      <w:pPr>
        <w:spacing w:line="192" w:lineRule="exact" w:before="7"/>
        <w:ind w:left="1723" w:right="1835" w:hanging="1"/>
        <w:jc w:val="left"/>
        <w:rPr>
          <w:rFonts w:ascii="Calibri" w:hAnsi="Calibri"/>
          <w:sz w:val="16"/>
        </w:rPr>
      </w:pPr>
      <w:r>
        <w:rPr>
          <w:rFonts w:ascii="Calibri" w:hAnsi="Calibri"/>
          <w:color w:val="414042"/>
          <w:position w:val="5"/>
          <w:sz w:val="9"/>
        </w:rPr>
        <w:t>1   </w:t>
      </w:r>
      <w:r>
        <w:rPr>
          <w:rFonts w:ascii="Calibri" w:hAnsi="Calibri"/>
          <w:color w:val="414042"/>
          <w:sz w:val="16"/>
        </w:rPr>
        <w:t>En México, históricamente se ha organizado la producción agrícola sobre la base de distintas formas      de</w:t>
      </w:r>
      <w:r>
        <w:rPr>
          <w:rFonts w:ascii="Calibri" w:hAnsi="Calibri"/>
          <w:color w:val="414042"/>
          <w:spacing w:val="17"/>
          <w:sz w:val="16"/>
        </w:rPr>
        <w:t> </w:t>
      </w:r>
      <w:r>
        <w:rPr>
          <w:rFonts w:ascii="Calibri" w:hAnsi="Calibri"/>
          <w:color w:val="414042"/>
          <w:sz w:val="16"/>
        </w:rPr>
        <w:t>propiedad.</w:t>
      </w:r>
      <w:r>
        <w:rPr>
          <w:rFonts w:ascii="Calibri" w:hAnsi="Calibri"/>
          <w:color w:val="414042"/>
          <w:spacing w:val="17"/>
          <w:sz w:val="16"/>
        </w:rPr>
        <w:t> </w:t>
      </w:r>
      <w:r>
        <w:rPr>
          <w:rFonts w:ascii="Calibri" w:hAnsi="Calibri"/>
          <w:color w:val="414042"/>
          <w:sz w:val="16"/>
        </w:rPr>
        <w:t>Desde</w:t>
      </w:r>
      <w:r>
        <w:rPr>
          <w:rFonts w:ascii="Calibri" w:hAnsi="Calibri"/>
          <w:color w:val="414042"/>
          <w:spacing w:val="17"/>
          <w:sz w:val="16"/>
        </w:rPr>
        <w:t> </w:t>
      </w:r>
      <w:r>
        <w:rPr>
          <w:rFonts w:ascii="Calibri" w:hAnsi="Calibri"/>
          <w:color w:val="414042"/>
          <w:sz w:val="16"/>
        </w:rPr>
        <w:t>el</w:t>
      </w:r>
      <w:r>
        <w:rPr>
          <w:rFonts w:ascii="Calibri" w:hAnsi="Calibri"/>
          <w:color w:val="414042"/>
          <w:spacing w:val="17"/>
          <w:sz w:val="16"/>
        </w:rPr>
        <w:t> </w:t>
      </w:r>
      <w:r>
        <w:rPr>
          <w:rFonts w:ascii="Calibri" w:hAnsi="Calibri"/>
          <w:color w:val="414042"/>
          <w:sz w:val="16"/>
        </w:rPr>
        <w:t>conocido</w:t>
      </w:r>
      <w:r>
        <w:rPr>
          <w:rFonts w:ascii="Calibri" w:hAnsi="Calibri"/>
          <w:color w:val="414042"/>
          <w:spacing w:val="17"/>
          <w:sz w:val="16"/>
        </w:rPr>
        <w:t> </w:t>
      </w:r>
      <w:r>
        <w:rPr>
          <w:rFonts w:ascii="Calibri" w:hAnsi="Calibri"/>
          <w:color w:val="414042"/>
          <w:sz w:val="16"/>
        </w:rPr>
        <w:t>“calpulli”</w:t>
      </w:r>
      <w:r>
        <w:rPr>
          <w:rFonts w:ascii="Calibri" w:hAnsi="Calibri"/>
          <w:color w:val="414042"/>
          <w:spacing w:val="17"/>
          <w:sz w:val="16"/>
        </w:rPr>
        <w:t> </w:t>
      </w:r>
      <w:r>
        <w:rPr>
          <w:rFonts w:ascii="Calibri" w:hAnsi="Calibri"/>
          <w:color w:val="414042"/>
          <w:sz w:val="16"/>
        </w:rPr>
        <w:t>de</w:t>
      </w:r>
      <w:r>
        <w:rPr>
          <w:rFonts w:ascii="Calibri" w:hAnsi="Calibri"/>
          <w:color w:val="414042"/>
          <w:spacing w:val="17"/>
          <w:sz w:val="16"/>
        </w:rPr>
        <w:t> </w:t>
      </w:r>
      <w:r>
        <w:rPr>
          <w:rFonts w:ascii="Calibri" w:hAnsi="Calibri"/>
          <w:color w:val="414042"/>
          <w:sz w:val="16"/>
        </w:rPr>
        <w:t>origen</w:t>
      </w:r>
      <w:r>
        <w:rPr>
          <w:rFonts w:ascii="Calibri" w:hAnsi="Calibri"/>
          <w:color w:val="414042"/>
          <w:spacing w:val="17"/>
          <w:sz w:val="16"/>
        </w:rPr>
        <w:t> </w:t>
      </w:r>
      <w:r>
        <w:rPr>
          <w:rFonts w:ascii="Calibri" w:hAnsi="Calibri"/>
          <w:color w:val="414042"/>
          <w:sz w:val="16"/>
        </w:rPr>
        <w:t>indígena,</w:t>
      </w:r>
      <w:r>
        <w:rPr>
          <w:rFonts w:ascii="Calibri" w:hAnsi="Calibri"/>
          <w:color w:val="414042"/>
          <w:spacing w:val="17"/>
          <w:sz w:val="16"/>
        </w:rPr>
        <w:t> </w:t>
      </w:r>
      <w:r>
        <w:rPr>
          <w:rFonts w:ascii="Calibri" w:hAnsi="Calibri"/>
          <w:color w:val="414042"/>
          <w:sz w:val="16"/>
        </w:rPr>
        <w:t>que</w:t>
      </w:r>
      <w:r>
        <w:rPr>
          <w:rFonts w:ascii="Calibri" w:hAnsi="Calibri"/>
          <w:color w:val="414042"/>
          <w:spacing w:val="17"/>
          <w:sz w:val="16"/>
        </w:rPr>
        <w:t> </w:t>
      </w:r>
      <w:r>
        <w:rPr>
          <w:rFonts w:ascii="Calibri" w:hAnsi="Calibri"/>
          <w:color w:val="414042"/>
          <w:sz w:val="16"/>
        </w:rPr>
        <w:t>proliferó</w:t>
      </w:r>
      <w:r>
        <w:rPr>
          <w:rFonts w:ascii="Calibri" w:hAnsi="Calibri"/>
          <w:color w:val="414042"/>
          <w:spacing w:val="17"/>
          <w:sz w:val="16"/>
        </w:rPr>
        <w:t> </w:t>
      </w:r>
      <w:r>
        <w:rPr>
          <w:rFonts w:ascii="Calibri" w:hAnsi="Calibri"/>
          <w:color w:val="414042"/>
          <w:sz w:val="16"/>
        </w:rPr>
        <w:t>antes</w:t>
      </w:r>
      <w:r>
        <w:rPr>
          <w:rFonts w:ascii="Calibri" w:hAnsi="Calibri"/>
          <w:color w:val="414042"/>
          <w:spacing w:val="17"/>
          <w:sz w:val="16"/>
        </w:rPr>
        <w:t> </w:t>
      </w:r>
      <w:r>
        <w:rPr>
          <w:rFonts w:ascii="Calibri" w:hAnsi="Calibri"/>
          <w:color w:val="414042"/>
          <w:sz w:val="16"/>
        </w:rPr>
        <w:t>de</w:t>
      </w:r>
      <w:r>
        <w:rPr>
          <w:rFonts w:ascii="Calibri" w:hAnsi="Calibri"/>
          <w:color w:val="414042"/>
          <w:spacing w:val="17"/>
          <w:sz w:val="16"/>
        </w:rPr>
        <w:t> </w:t>
      </w:r>
      <w:r>
        <w:rPr>
          <w:rFonts w:ascii="Calibri" w:hAnsi="Calibri"/>
          <w:color w:val="414042"/>
          <w:sz w:val="16"/>
        </w:rPr>
        <w:t>la</w:t>
      </w:r>
      <w:r>
        <w:rPr>
          <w:rFonts w:ascii="Calibri" w:hAnsi="Calibri"/>
          <w:color w:val="414042"/>
          <w:spacing w:val="17"/>
          <w:sz w:val="16"/>
        </w:rPr>
        <w:t> </w:t>
      </w:r>
      <w:r>
        <w:rPr>
          <w:rFonts w:ascii="Calibri" w:hAnsi="Calibri"/>
          <w:color w:val="414042"/>
          <w:sz w:val="16"/>
        </w:rPr>
        <w:t>conquista</w:t>
      </w:r>
      <w:r>
        <w:rPr>
          <w:rFonts w:ascii="Calibri" w:hAnsi="Calibri"/>
          <w:color w:val="414042"/>
          <w:spacing w:val="15"/>
          <w:sz w:val="16"/>
        </w:rPr>
        <w:t> </w:t>
      </w:r>
      <w:r>
        <w:rPr>
          <w:rFonts w:ascii="Calibri" w:hAnsi="Calibri"/>
          <w:color w:val="414042"/>
          <w:sz w:val="16"/>
        </w:rPr>
        <w:t>y</w:t>
      </w:r>
      <w:r>
        <w:rPr>
          <w:rFonts w:ascii="Calibri" w:hAnsi="Calibri"/>
          <w:color w:val="414042"/>
          <w:spacing w:val="17"/>
          <w:sz w:val="16"/>
        </w:rPr>
        <w:t> </w:t>
      </w:r>
      <w:r>
        <w:rPr>
          <w:rFonts w:ascii="Calibri" w:hAnsi="Calibri"/>
          <w:color w:val="414042"/>
          <w:sz w:val="16"/>
        </w:rPr>
        <w:t>es</w:t>
      </w:r>
    </w:p>
    <w:p>
      <w:pPr>
        <w:pStyle w:val="BodyText"/>
        <w:rPr>
          <w:rFonts w:ascii="Calibri"/>
          <w:sz w:val="20"/>
        </w:rPr>
      </w:pPr>
    </w:p>
    <w:p>
      <w:pPr>
        <w:pStyle w:val="BodyText"/>
        <w:spacing w:before="2"/>
        <w:rPr>
          <w:rFonts w:ascii="Calibri"/>
          <w:sz w:val="28"/>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0832" from="131.551193pt,3.753715pt" to="131.551193pt,39.556114pt" stroked="true" strokeweight=".35pt" strokecolor="#231f20">
            <w10:wrap type="none"/>
          </v:line>
        </w:pict>
      </w:r>
      <w:r>
        <w:rPr/>
        <w:pict>
          <v:line style="position:absolute;mso-position-horizontal-relative:page;mso-position-vertical-relative:paragraph;z-index:-480760" from="15pt,39.555916pt" to="0pt,39.555916pt" stroked="true" strokeweight=".25pt" strokecolor="#000000">
            <w10:wrap type="none"/>
          </v:line>
        </w:pict>
      </w:r>
      <w:r>
        <w:rPr/>
        <w:pict>
          <v:line style="position:absolute;mso-position-horizontal-relative:page;mso-position-vertical-relative:paragraph;z-index:9448" from="508.890015pt,39.555916pt" to="523.890015pt,39.555916pt" stroked="true" strokeweight=".25pt" strokecolor="#000000">
            <w10:wrap type="none"/>
          </v:line>
        </w:pict>
      </w:r>
      <w:r>
        <w:rPr>
          <w:rFonts w:ascii="Arial" w:hAnsi="Arial"/>
          <w:color w:val="414042"/>
          <w:position w:val="-5"/>
          <w:sz w:val="20"/>
        </w:rPr>
        <w:t>96</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36" w:val="right" w:leader="none"/>
        </w:tabs>
        <w:spacing w:before="187"/>
        <w:ind w:left="3755" w:right="0" w:firstLine="0"/>
        <w:jc w:val="left"/>
        <w:rPr>
          <w:rFonts w:ascii="Arial" w:hAnsi="Arial"/>
          <w:sz w:val="20"/>
        </w:rPr>
      </w:pPr>
      <w:r>
        <w:rPr/>
        <w:pict>
          <v:line style="position:absolute;mso-position-horizontal-relative:page;mso-position-vertical-relative:paragraph;z-index:-480688" from="405.061005pt,-18.554295pt" to="405.061005pt,16.311579pt" stroked="true" strokeweight=".35pt" strokecolor="#231f20">
            <w10:wrap type="none"/>
          </v:line>
        </w:pict>
      </w:r>
      <w:r>
        <w:rPr/>
        <w:pict>
          <v:line style="position:absolute;mso-position-horizontal-relative:page;mso-position-vertical-relative:paragraph;z-index:9520" from="15pt,-18.554522pt" to="0pt,-18.554522pt" stroked="true" strokeweight=".25pt" strokecolor="#000000">
            <w10:wrap type="none"/>
          </v:line>
        </w:pict>
      </w:r>
      <w:r>
        <w:rPr/>
        <w:pict>
          <v:line style="position:absolute;mso-position-horizontal-relative:page;mso-position-vertical-relative:paragraph;z-index:9544"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97</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fue mínimo. La propiedad privada de la tierra ha sido una de las carac- terísticas del municipio desde las décadas de los años 30 y 40 del</w:t>
      </w:r>
      <w:r>
        <w:rPr>
          <w:color w:val="231F20"/>
          <w:spacing w:val="-30"/>
          <w:w w:val="105"/>
        </w:rPr>
        <w:t> </w:t>
      </w:r>
      <w:r>
        <w:rPr>
          <w:color w:val="231F20"/>
          <w:w w:val="105"/>
        </w:rPr>
        <w:t>siglo pasado</w:t>
      </w:r>
      <w:r>
        <w:rPr>
          <w:color w:val="231F20"/>
          <w:spacing w:val="-26"/>
          <w:w w:val="105"/>
        </w:rPr>
        <w:t> </w:t>
      </w:r>
      <w:r>
        <w:rPr>
          <w:color w:val="231F20"/>
          <w:w w:val="105"/>
        </w:rPr>
        <w:t>(Aguado,</w:t>
      </w:r>
      <w:r>
        <w:rPr>
          <w:color w:val="231F20"/>
          <w:spacing w:val="-30"/>
          <w:w w:val="105"/>
        </w:rPr>
        <w:t> </w:t>
      </w:r>
      <w:r>
        <w:rPr>
          <w:color w:val="231F20"/>
          <w:w w:val="105"/>
        </w:rPr>
        <w:t>1998).</w:t>
      </w:r>
    </w:p>
    <w:p>
      <w:pPr>
        <w:pStyle w:val="BodyText"/>
        <w:spacing w:line="261" w:lineRule="auto" w:before="1"/>
        <w:ind w:left="1837" w:right="1721" w:firstLine="567"/>
        <w:jc w:val="both"/>
      </w:pPr>
      <w:r>
        <w:rPr>
          <w:color w:val="231F20"/>
          <w:w w:val="105"/>
        </w:rPr>
        <w:t>El Censo Agrícola de 1990 reporta que del total de unidades pro- ductivas</w:t>
      </w:r>
      <w:r>
        <w:rPr>
          <w:color w:val="231F20"/>
          <w:spacing w:val="-32"/>
          <w:w w:val="105"/>
        </w:rPr>
        <w:t> </w:t>
      </w:r>
      <w:r>
        <w:rPr>
          <w:color w:val="231F20"/>
          <w:w w:val="105"/>
        </w:rPr>
        <w:t>registradas</w:t>
      </w:r>
      <w:r>
        <w:rPr>
          <w:color w:val="231F20"/>
          <w:spacing w:val="-32"/>
          <w:w w:val="105"/>
        </w:rPr>
        <w:t> </w:t>
      </w:r>
      <w:r>
        <w:rPr>
          <w:color w:val="231F20"/>
          <w:w w:val="105"/>
        </w:rPr>
        <w:t>para</w:t>
      </w:r>
      <w:r>
        <w:rPr>
          <w:color w:val="231F20"/>
          <w:spacing w:val="-32"/>
          <w:w w:val="105"/>
        </w:rPr>
        <w:t> </w:t>
      </w:r>
      <w:r>
        <w:rPr>
          <w:color w:val="231F20"/>
          <w:w w:val="105"/>
        </w:rPr>
        <w:t>ese</w:t>
      </w:r>
      <w:r>
        <w:rPr>
          <w:color w:val="231F20"/>
          <w:spacing w:val="-32"/>
          <w:w w:val="105"/>
        </w:rPr>
        <w:t> </w:t>
      </w:r>
      <w:r>
        <w:rPr>
          <w:color w:val="231F20"/>
          <w:w w:val="105"/>
        </w:rPr>
        <w:t>entonces,</w:t>
      </w:r>
      <w:r>
        <w:rPr>
          <w:color w:val="231F20"/>
          <w:spacing w:val="-35"/>
          <w:w w:val="105"/>
        </w:rPr>
        <w:t> </w:t>
      </w:r>
      <w:r>
        <w:rPr>
          <w:color w:val="231F20"/>
          <w:w w:val="105"/>
        </w:rPr>
        <w:t>16%</w:t>
      </w:r>
      <w:r>
        <w:rPr>
          <w:color w:val="231F20"/>
          <w:spacing w:val="-32"/>
          <w:w w:val="105"/>
        </w:rPr>
        <w:t> </w:t>
      </w:r>
      <w:r>
        <w:rPr>
          <w:color w:val="231F20"/>
          <w:w w:val="105"/>
        </w:rPr>
        <w:t>estaban</w:t>
      </w:r>
      <w:r>
        <w:rPr>
          <w:color w:val="231F20"/>
          <w:spacing w:val="-32"/>
          <w:w w:val="105"/>
        </w:rPr>
        <w:t> </w:t>
      </w:r>
      <w:r>
        <w:rPr>
          <w:color w:val="231F20"/>
          <w:w w:val="105"/>
        </w:rPr>
        <w:t>organizadas</w:t>
      </w:r>
      <w:r>
        <w:rPr>
          <w:color w:val="231F20"/>
          <w:spacing w:val="-32"/>
          <w:w w:val="105"/>
        </w:rPr>
        <w:t> </w:t>
      </w:r>
      <w:r>
        <w:rPr>
          <w:color w:val="231F20"/>
          <w:w w:val="105"/>
        </w:rPr>
        <w:t>bajo</w:t>
      </w:r>
      <w:r>
        <w:rPr>
          <w:color w:val="231F20"/>
          <w:spacing w:val="-32"/>
          <w:w w:val="105"/>
        </w:rPr>
        <w:t> </w:t>
      </w:r>
      <w:r>
        <w:rPr>
          <w:color w:val="231F20"/>
          <w:w w:val="105"/>
        </w:rPr>
        <w:t>el régimen de tenencia ejidal, mientras que el resto pertenecía al</w:t>
      </w:r>
      <w:r>
        <w:rPr>
          <w:color w:val="231F20"/>
          <w:spacing w:val="-17"/>
          <w:w w:val="105"/>
        </w:rPr>
        <w:t> </w:t>
      </w:r>
      <w:r>
        <w:rPr>
          <w:color w:val="231F20"/>
          <w:w w:val="105"/>
        </w:rPr>
        <w:t>régimen de</w:t>
      </w:r>
      <w:r>
        <w:rPr>
          <w:color w:val="231F20"/>
          <w:spacing w:val="-16"/>
          <w:w w:val="105"/>
        </w:rPr>
        <w:t> </w:t>
      </w:r>
      <w:r>
        <w:rPr>
          <w:color w:val="231F20"/>
          <w:w w:val="105"/>
        </w:rPr>
        <w:t>tenencia</w:t>
      </w:r>
      <w:r>
        <w:rPr>
          <w:color w:val="231F20"/>
          <w:spacing w:val="-16"/>
          <w:w w:val="105"/>
        </w:rPr>
        <w:t> </w:t>
      </w:r>
      <w:r>
        <w:rPr>
          <w:color w:val="231F20"/>
          <w:w w:val="105"/>
        </w:rPr>
        <w:t>privada</w:t>
      </w:r>
      <w:r>
        <w:rPr>
          <w:color w:val="231F20"/>
          <w:spacing w:val="-16"/>
          <w:w w:val="105"/>
        </w:rPr>
        <w:t> </w:t>
      </w:r>
      <w:r>
        <w:rPr>
          <w:color w:val="231F20"/>
          <w:w w:val="105"/>
        </w:rPr>
        <w:t>(</w:t>
      </w:r>
      <w:r>
        <w:rPr>
          <w:color w:val="231F20"/>
          <w:w w:val="105"/>
          <w:sz w:val="17"/>
        </w:rPr>
        <w:t>INEGI</w:t>
      </w:r>
      <w:r>
        <w:rPr>
          <w:color w:val="231F20"/>
          <w:w w:val="105"/>
        </w:rPr>
        <w:t>,</w:t>
      </w:r>
      <w:r>
        <w:rPr>
          <w:color w:val="231F20"/>
          <w:spacing w:val="-20"/>
          <w:w w:val="105"/>
        </w:rPr>
        <w:t> </w:t>
      </w:r>
      <w:r>
        <w:rPr>
          <w:color w:val="231F20"/>
          <w:w w:val="105"/>
        </w:rPr>
        <w:t>1991).</w:t>
      </w:r>
      <w:r>
        <w:rPr>
          <w:color w:val="231F20"/>
          <w:spacing w:val="-20"/>
          <w:w w:val="105"/>
        </w:rPr>
        <w:t> </w:t>
      </w:r>
      <w:r>
        <w:rPr>
          <w:color w:val="231F20"/>
          <w:spacing w:val="-4"/>
          <w:w w:val="105"/>
        </w:rPr>
        <w:t>Para</w:t>
      </w:r>
      <w:r>
        <w:rPr>
          <w:color w:val="231F20"/>
          <w:spacing w:val="-16"/>
          <w:w w:val="105"/>
        </w:rPr>
        <w:t> </w:t>
      </w:r>
      <w:r>
        <w:rPr>
          <w:color w:val="231F20"/>
          <w:w w:val="105"/>
        </w:rPr>
        <w:t>el</w:t>
      </w:r>
      <w:r>
        <w:rPr>
          <w:color w:val="231F20"/>
          <w:spacing w:val="-16"/>
          <w:w w:val="105"/>
        </w:rPr>
        <w:t> </w:t>
      </w:r>
      <w:r>
        <w:rPr>
          <w:color w:val="231F20"/>
          <w:w w:val="105"/>
        </w:rPr>
        <w:t>2007,</w:t>
      </w:r>
      <w:r>
        <w:rPr>
          <w:color w:val="231F20"/>
          <w:spacing w:val="-20"/>
          <w:w w:val="105"/>
        </w:rPr>
        <w:t> </w:t>
      </w:r>
      <w:r>
        <w:rPr>
          <w:color w:val="231F20"/>
          <w:w w:val="105"/>
        </w:rPr>
        <w:t>las</w:t>
      </w:r>
      <w:r>
        <w:rPr>
          <w:color w:val="231F20"/>
          <w:spacing w:val="-16"/>
          <w:w w:val="105"/>
        </w:rPr>
        <w:t> </w:t>
      </w:r>
      <w:r>
        <w:rPr>
          <w:color w:val="231F20"/>
          <w:w w:val="105"/>
        </w:rPr>
        <w:t>unidades</w:t>
      </w:r>
      <w:r>
        <w:rPr>
          <w:color w:val="231F20"/>
          <w:spacing w:val="-16"/>
          <w:w w:val="105"/>
        </w:rPr>
        <w:t> </w:t>
      </w:r>
      <w:r>
        <w:rPr>
          <w:color w:val="231F20"/>
          <w:w w:val="105"/>
        </w:rPr>
        <w:t>registradas con</w:t>
      </w:r>
      <w:r>
        <w:rPr>
          <w:color w:val="231F20"/>
          <w:spacing w:val="-22"/>
          <w:w w:val="105"/>
        </w:rPr>
        <w:t> </w:t>
      </w:r>
      <w:r>
        <w:rPr>
          <w:color w:val="231F20"/>
          <w:w w:val="105"/>
        </w:rPr>
        <w:t>tenencia</w:t>
      </w:r>
      <w:r>
        <w:rPr>
          <w:color w:val="231F20"/>
          <w:spacing w:val="-22"/>
          <w:w w:val="105"/>
        </w:rPr>
        <w:t> </w:t>
      </w:r>
      <w:r>
        <w:rPr>
          <w:color w:val="231F20"/>
          <w:w w:val="105"/>
        </w:rPr>
        <w:t>ejidal</w:t>
      </w:r>
      <w:r>
        <w:rPr>
          <w:color w:val="231F20"/>
          <w:spacing w:val="-22"/>
          <w:w w:val="105"/>
        </w:rPr>
        <w:t> </w:t>
      </w:r>
      <w:r>
        <w:rPr>
          <w:color w:val="231F20"/>
          <w:w w:val="105"/>
        </w:rPr>
        <w:t>habían</w:t>
      </w:r>
      <w:r>
        <w:rPr>
          <w:color w:val="231F20"/>
          <w:spacing w:val="-22"/>
          <w:w w:val="105"/>
        </w:rPr>
        <w:t> </w:t>
      </w:r>
      <w:r>
        <w:rPr>
          <w:color w:val="231F20"/>
          <w:w w:val="105"/>
        </w:rPr>
        <w:t>disminuido</w:t>
      </w:r>
      <w:r>
        <w:rPr>
          <w:color w:val="231F20"/>
          <w:spacing w:val="-22"/>
          <w:w w:val="105"/>
        </w:rPr>
        <w:t> </w:t>
      </w:r>
      <w:r>
        <w:rPr>
          <w:color w:val="231F20"/>
          <w:w w:val="105"/>
        </w:rPr>
        <w:t>a</w:t>
      </w:r>
      <w:r>
        <w:rPr>
          <w:color w:val="231F20"/>
          <w:spacing w:val="-22"/>
          <w:w w:val="105"/>
        </w:rPr>
        <w:t> </w:t>
      </w:r>
      <w:r>
        <w:rPr>
          <w:color w:val="231F20"/>
          <w:w w:val="105"/>
        </w:rPr>
        <w:t>11%</w:t>
      </w:r>
      <w:r>
        <w:rPr>
          <w:color w:val="231F20"/>
          <w:spacing w:val="-22"/>
          <w:w w:val="105"/>
        </w:rPr>
        <w:t> </w:t>
      </w:r>
      <w:r>
        <w:rPr>
          <w:color w:val="231F20"/>
          <w:w w:val="105"/>
        </w:rPr>
        <w:t>(</w:t>
      </w:r>
      <w:r>
        <w:rPr>
          <w:color w:val="231F20"/>
          <w:w w:val="105"/>
          <w:sz w:val="17"/>
        </w:rPr>
        <w:t>INEGI</w:t>
      </w:r>
      <w:r>
        <w:rPr>
          <w:color w:val="231F20"/>
          <w:w w:val="105"/>
        </w:rPr>
        <w:t>,</w:t>
      </w:r>
      <w:r>
        <w:rPr>
          <w:color w:val="231F20"/>
          <w:spacing w:val="-27"/>
          <w:w w:val="105"/>
        </w:rPr>
        <w:t> </w:t>
      </w:r>
      <w:r>
        <w:rPr>
          <w:color w:val="231F20"/>
          <w:w w:val="105"/>
        </w:rPr>
        <w:t>2007).</w:t>
      </w:r>
      <w:r>
        <w:rPr>
          <w:color w:val="231F20"/>
          <w:spacing w:val="-27"/>
          <w:w w:val="105"/>
        </w:rPr>
        <w:t> </w:t>
      </w:r>
      <w:r>
        <w:rPr>
          <w:color w:val="231F20"/>
          <w:w w:val="105"/>
        </w:rPr>
        <w:t>Ello</w:t>
      </w:r>
      <w:r>
        <w:rPr>
          <w:color w:val="231F20"/>
          <w:spacing w:val="-22"/>
          <w:w w:val="105"/>
        </w:rPr>
        <w:t> </w:t>
      </w:r>
      <w:r>
        <w:rPr>
          <w:color w:val="231F20"/>
          <w:w w:val="105"/>
        </w:rPr>
        <w:t>tiene</w:t>
      </w:r>
      <w:r>
        <w:rPr>
          <w:color w:val="231F20"/>
          <w:spacing w:val="-22"/>
          <w:w w:val="105"/>
        </w:rPr>
        <w:t> </w:t>
      </w:r>
      <w:r>
        <w:rPr>
          <w:color w:val="231F20"/>
          <w:w w:val="105"/>
        </w:rPr>
        <w:t>cier- tas implicaciones en la organización de la producción, pues se genera una</w:t>
      </w:r>
      <w:r>
        <w:rPr>
          <w:color w:val="231F20"/>
          <w:spacing w:val="-12"/>
          <w:w w:val="105"/>
        </w:rPr>
        <w:t> </w:t>
      </w:r>
      <w:r>
        <w:rPr>
          <w:color w:val="231F20"/>
          <w:w w:val="105"/>
        </w:rPr>
        <w:t>mayor</w:t>
      </w:r>
      <w:r>
        <w:rPr>
          <w:color w:val="231F20"/>
          <w:spacing w:val="-12"/>
          <w:w w:val="105"/>
        </w:rPr>
        <w:t> </w:t>
      </w:r>
      <w:r>
        <w:rPr>
          <w:color w:val="231F20"/>
          <w:w w:val="105"/>
        </w:rPr>
        <w:t>desigualdad</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acceso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tierra</w:t>
      </w:r>
      <w:r>
        <w:rPr>
          <w:color w:val="231F20"/>
          <w:w w:val="105"/>
          <w:position w:val="7"/>
          <w:sz w:val="12"/>
        </w:rPr>
        <w:t>2</w:t>
      </w:r>
      <w:r>
        <w:rPr>
          <w:color w:val="231F20"/>
          <w:w w:val="105"/>
        </w:rPr>
        <w:t>,</w:t>
      </w:r>
      <w:r>
        <w:rPr>
          <w:color w:val="231F20"/>
          <w:spacing w:val="-17"/>
          <w:w w:val="105"/>
        </w:rPr>
        <w:t> </w:t>
      </w:r>
      <w:r>
        <w:rPr>
          <w:color w:val="231F20"/>
          <w:w w:val="105"/>
        </w:rPr>
        <w:t>ya</w:t>
      </w:r>
      <w:r>
        <w:rPr>
          <w:color w:val="231F20"/>
          <w:spacing w:val="-12"/>
          <w:w w:val="105"/>
        </w:rPr>
        <w:t> </w:t>
      </w:r>
      <w:r>
        <w:rPr>
          <w:color w:val="231F20"/>
          <w:w w:val="105"/>
        </w:rPr>
        <w:t>que</w:t>
      </w:r>
      <w:r>
        <w:rPr>
          <w:color w:val="231F20"/>
          <w:spacing w:val="-12"/>
          <w:w w:val="105"/>
        </w:rPr>
        <w:t> </w:t>
      </w:r>
      <w:r>
        <w:rPr>
          <w:color w:val="231F20"/>
          <w:w w:val="105"/>
        </w:rPr>
        <w:t>al</w:t>
      </w:r>
      <w:r>
        <w:rPr>
          <w:color w:val="231F20"/>
          <w:spacing w:val="-12"/>
          <w:w w:val="105"/>
        </w:rPr>
        <w:t> </w:t>
      </w:r>
      <w:r>
        <w:rPr>
          <w:color w:val="231F20"/>
          <w:w w:val="105"/>
        </w:rPr>
        <w:t>tener</w:t>
      </w:r>
      <w:r>
        <w:rPr>
          <w:color w:val="231F20"/>
          <w:spacing w:val="-12"/>
          <w:w w:val="105"/>
        </w:rPr>
        <w:t> </w:t>
      </w:r>
      <w:r>
        <w:rPr>
          <w:color w:val="231F20"/>
          <w:w w:val="105"/>
        </w:rPr>
        <w:t>que</w:t>
      </w:r>
      <w:r>
        <w:rPr>
          <w:color w:val="231F20"/>
          <w:spacing w:val="-12"/>
          <w:w w:val="105"/>
        </w:rPr>
        <w:t> </w:t>
      </w:r>
      <w:r>
        <w:rPr>
          <w:color w:val="231F20"/>
          <w:w w:val="105"/>
        </w:rPr>
        <w:t>ren- tarla</w:t>
      </w:r>
      <w:r>
        <w:rPr>
          <w:color w:val="231F20"/>
          <w:spacing w:val="-14"/>
          <w:w w:val="105"/>
        </w:rPr>
        <w:t> </w:t>
      </w:r>
      <w:r>
        <w:rPr>
          <w:color w:val="231F20"/>
          <w:w w:val="105"/>
        </w:rPr>
        <w:t>se</w:t>
      </w:r>
      <w:r>
        <w:rPr>
          <w:color w:val="231F20"/>
          <w:spacing w:val="-14"/>
          <w:w w:val="105"/>
        </w:rPr>
        <w:t> </w:t>
      </w:r>
      <w:r>
        <w:rPr>
          <w:color w:val="231F20"/>
          <w:w w:val="105"/>
        </w:rPr>
        <w:t>presenta</w:t>
      </w:r>
      <w:r>
        <w:rPr>
          <w:color w:val="231F20"/>
          <w:spacing w:val="-14"/>
          <w:w w:val="105"/>
        </w:rPr>
        <w:t> </w:t>
      </w:r>
      <w:r>
        <w:rPr>
          <w:color w:val="231F20"/>
          <w:w w:val="105"/>
        </w:rPr>
        <w:t>un</w:t>
      </w:r>
      <w:r>
        <w:rPr>
          <w:color w:val="231F20"/>
          <w:spacing w:val="-14"/>
          <w:w w:val="105"/>
        </w:rPr>
        <w:t> </w:t>
      </w:r>
      <w:r>
        <w:rPr>
          <w:color w:val="231F20"/>
          <w:w w:val="105"/>
        </w:rPr>
        <w:t>aumento</w:t>
      </w:r>
      <w:r>
        <w:rPr>
          <w:color w:val="231F20"/>
          <w:spacing w:val="-14"/>
          <w:w w:val="105"/>
        </w:rPr>
        <w:t> </w:t>
      </w:r>
      <w:r>
        <w:rPr>
          <w:color w:val="231F20"/>
          <w:w w:val="105"/>
        </w:rPr>
        <w:t>importante</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costos</w:t>
      </w:r>
      <w:r>
        <w:rPr>
          <w:color w:val="231F20"/>
          <w:spacing w:val="-14"/>
          <w:w w:val="105"/>
        </w:rPr>
        <w:t> </w:t>
      </w:r>
      <w:r>
        <w:rPr>
          <w:color w:val="231F20"/>
          <w:w w:val="105"/>
        </w:rPr>
        <w:t>productivos.</w:t>
      </w:r>
    </w:p>
    <w:p>
      <w:pPr>
        <w:pStyle w:val="BodyText"/>
        <w:spacing w:line="261" w:lineRule="auto" w:before="1"/>
        <w:ind w:left="1837" w:right="1722" w:firstLine="567"/>
        <w:jc w:val="both"/>
      </w:pPr>
      <w:r>
        <w:rPr>
          <w:color w:val="231F20"/>
          <w:w w:val="105"/>
        </w:rPr>
        <w:t>En el último censo agrícola se observa que 75% de las unidades productivas</w:t>
      </w:r>
      <w:r>
        <w:rPr>
          <w:color w:val="231F20"/>
          <w:spacing w:val="-23"/>
          <w:w w:val="105"/>
        </w:rPr>
        <w:t> </w:t>
      </w:r>
      <w:r>
        <w:rPr>
          <w:color w:val="231F20"/>
          <w:w w:val="105"/>
        </w:rPr>
        <w:t>se</w:t>
      </w:r>
      <w:r>
        <w:rPr>
          <w:color w:val="231F20"/>
          <w:spacing w:val="-23"/>
          <w:w w:val="105"/>
        </w:rPr>
        <w:t> </w:t>
      </w:r>
      <w:r>
        <w:rPr>
          <w:color w:val="231F20"/>
          <w:w w:val="105"/>
        </w:rPr>
        <w:t>integran</w:t>
      </w:r>
      <w:r>
        <w:rPr>
          <w:color w:val="231F20"/>
          <w:spacing w:val="-23"/>
          <w:w w:val="105"/>
        </w:rPr>
        <w:t> </w:t>
      </w:r>
      <w:r>
        <w:rPr>
          <w:color w:val="231F20"/>
          <w:w w:val="105"/>
        </w:rPr>
        <w:t>únicamente</w:t>
      </w:r>
      <w:r>
        <w:rPr>
          <w:color w:val="231F20"/>
          <w:spacing w:val="-23"/>
          <w:w w:val="105"/>
        </w:rPr>
        <w:t> </w:t>
      </w:r>
      <w:r>
        <w:rPr>
          <w:color w:val="231F20"/>
          <w:w w:val="105"/>
        </w:rPr>
        <w:t>por</w:t>
      </w:r>
      <w:r>
        <w:rPr>
          <w:color w:val="231F20"/>
          <w:spacing w:val="-23"/>
          <w:w w:val="105"/>
        </w:rPr>
        <w:t> </w:t>
      </w:r>
      <w:r>
        <w:rPr>
          <w:color w:val="231F20"/>
          <w:w w:val="105"/>
        </w:rPr>
        <w:t>un</w:t>
      </w:r>
      <w:r>
        <w:rPr>
          <w:color w:val="231F20"/>
          <w:spacing w:val="-23"/>
          <w:w w:val="105"/>
        </w:rPr>
        <w:t> </w:t>
      </w:r>
      <w:r>
        <w:rPr>
          <w:color w:val="231F20"/>
          <w:w w:val="105"/>
        </w:rPr>
        <w:t>terreno,</w:t>
      </w:r>
      <w:r>
        <w:rPr>
          <w:color w:val="231F20"/>
          <w:spacing w:val="-29"/>
          <w:w w:val="105"/>
        </w:rPr>
        <w:t> </w:t>
      </w:r>
      <w:r>
        <w:rPr>
          <w:color w:val="231F20"/>
          <w:w w:val="105"/>
        </w:rPr>
        <w:t>13%</w:t>
      </w:r>
      <w:r>
        <w:rPr>
          <w:color w:val="231F20"/>
          <w:spacing w:val="-23"/>
          <w:w w:val="105"/>
        </w:rPr>
        <w:t> </w:t>
      </w:r>
      <w:r>
        <w:rPr>
          <w:color w:val="231F20"/>
          <w:w w:val="105"/>
        </w:rPr>
        <w:t>cuentan</w:t>
      </w:r>
      <w:r>
        <w:rPr>
          <w:color w:val="231F20"/>
          <w:spacing w:val="-23"/>
          <w:w w:val="105"/>
        </w:rPr>
        <w:t> </w:t>
      </w:r>
      <w:r>
        <w:rPr>
          <w:color w:val="231F20"/>
          <w:w w:val="105"/>
        </w:rPr>
        <w:t>con</w:t>
      </w:r>
      <w:r>
        <w:rPr>
          <w:color w:val="231F20"/>
          <w:spacing w:val="-23"/>
          <w:w w:val="105"/>
        </w:rPr>
        <w:t> </w:t>
      </w:r>
      <w:r>
        <w:rPr>
          <w:color w:val="231F20"/>
          <w:w w:val="105"/>
        </w:rPr>
        <w:t>dos terrenos, 5% con tres, 2.6% cuentan con cuatro terrenos, mientras que sólo</w:t>
      </w:r>
      <w:r>
        <w:rPr>
          <w:color w:val="231F20"/>
          <w:spacing w:val="-25"/>
          <w:w w:val="105"/>
        </w:rPr>
        <w:t> </w:t>
      </w:r>
      <w:r>
        <w:rPr>
          <w:color w:val="231F20"/>
          <w:w w:val="105"/>
        </w:rPr>
        <w:t>3.3%</w:t>
      </w:r>
      <w:r>
        <w:rPr>
          <w:color w:val="231F20"/>
          <w:spacing w:val="-25"/>
          <w:w w:val="105"/>
        </w:rPr>
        <w:t> </w:t>
      </w:r>
      <w:r>
        <w:rPr>
          <w:color w:val="231F20"/>
          <w:w w:val="105"/>
        </w:rPr>
        <w:t>cuentan</w:t>
      </w:r>
      <w:r>
        <w:rPr>
          <w:color w:val="231F20"/>
          <w:spacing w:val="-25"/>
          <w:w w:val="105"/>
        </w:rPr>
        <w:t> </w:t>
      </w:r>
      <w:r>
        <w:rPr>
          <w:color w:val="231F20"/>
          <w:w w:val="105"/>
        </w:rPr>
        <w:t>con</w:t>
      </w:r>
      <w:r>
        <w:rPr>
          <w:color w:val="231F20"/>
          <w:spacing w:val="-25"/>
          <w:w w:val="105"/>
        </w:rPr>
        <w:t> </w:t>
      </w:r>
      <w:r>
        <w:rPr>
          <w:color w:val="231F20"/>
          <w:w w:val="105"/>
        </w:rPr>
        <w:t>cinco</w:t>
      </w:r>
      <w:r>
        <w:rPr>
          <w:color w:val="231F20"/>
          <w:spacing w:val="-25"/>
          <w:w w:val="105"/>
        </w:rPr>
        <w:t> </w:t>
      </w:r>
      <w:r>
        <w:rPr>
          <w:color w:val="231F20"/>
          <w:w w:val="105"/>
        </w:rPr>
        <w:t>terrenos</w:t>
      </w:r>
      <w:r>
        <w:rPr>
          <w:color w:val="231F20"/>
          <w:spacing w:val="-25"/>
          <w:w w:val="105"/>
        </w:rPr>
        <w:t> </w:t>
      </w:r>
      <w:r>
        <w:rPr>
          <w:color w:val="231F20"/>
          <w:w w:val="105"/>
        </w:rPr>
        <w:t>o</w:t>
      </w:r>
      <w:r>
        <w:rPr>
          <w:color w:val="231F20"/>
          <w:spacing w:val="-25"/>
          <w:w w:val="105"/>
        </w:rPr>
        <w:t> </w:t>
      </w:r>
      <w:r>
        <w:rPr>
          <w:color w:val="231F20"/>
          <w:w w:val="105"/>
        </w:rPr>
        <w:t>más</w:t>
      </w:r>
      <w:r>
        <w:rPr>
          <w:color w:val="231F20"/>
          <w:spacing w:val="-25"/>
          <w:w w:val="105"/>
        </w:rPr>
        <w:t> </w:t>
      </w:r>
      <w:r>
        <w:rPr>
          <w:color w:val="231F20"/>
          <w:w w:val="105"/>
        </w:rPr>
        <w:t>(</w:t>
      </w:r>
      <w:r>
        <w:rPr>
          <w:color w:val="231F20"/>
          <w:w w:val="105"/>
          <w:sz w:val="17"/>
        </w:rPr>
        <w:t>INEGI</w:t>
      </w:r>
      <w:r>
        <w:rPr>
          <w:color w:val="231F20"/>
          <w:w w:val="105"/>
        </w:rPr>
        <w:t>,</w:t>
      </w:r>
      <w:r>
        <w:rPr>
          <w:color w:val="231F20"/>
          <w:spacing w:val="-29"/>
          <w:w w:val="105"/>
        </w:rPr>
        <w:t> </w:t>
      </w:r>
      <w:r>
        <w:rPr>
          <w:color w:val="231F20"/>
          <w:w w:val="105"/>
        </w:rPr>
        <w:t>2007).</w:t>
      </w:r>
    </w:p>
    <w:p>
      <w:pPr>
        <w:pStyle w:val="BodyText"/>
        <w:spacing w:line="261" w:lineRule="auto" w:before="1"/>
        <w:ind w:left="1837" w:right="1715" w:firstLine="567"/>
        <w:jc w:val="right"/>
      </w:pPr>
      <w:r>
        <w:rPr>
          <w:color w:val="231F20"/>
          <w:w w:val="105"/>
        </w:rPr>
        <w:t>La</w:t>
      </w:r>
      <w:r>
        <w:rPr>
          <w:color w:val="231F20"/>
          <w:spacing w:val="-25"/>
          <w:w w:val="105"/>
        </w:rPr>
        <w:t> </w:t>
      </w:r>
      <w:r>
        <w:rPr>
          <w:color w:val="231F20"/>
          <w:w w:val="105"/>
        </w:rPr>
        <w:t>distribución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spacing w:val="-3"/>
          <w:w w:val="105"/>
        </w:rPr>
        <w:t>terrenos</w:t>
      </w:r>
      <w:r>
        <w:rPr>
          <w:color w:val="231F20"/>
          <w:spacing w:val="-25"/>
          <w:w w:val="105"/>
        </w:rPr>
        <w:t> </w:t>
      </w:r>
      <w:r>
        <w:rPr>
          <w:color w:val="231F20"/>
          <w:w w:val="105"/>
        </w:rPr>
        <w:t>que</w:t>
      </w:r>
      <w:r>
        <w:rPr>
          <w:color w:val="231F20"/>
          <w:spacing w:val="-25"/>
          <w:w w:val="105"/>
        </w:rPr>
        <w:t> </w:t>
      </w:r>
      <w:r>
        <w:rPr>
          <w:color w:val="231F20"/>
          <w:w w:val="105"/>
        </w:rPr>
        <w:t>conforman</w:t>
      </w:r>
      <w:r>
        <w:rPr>
          <w:color w:val="231F20"/>
          <w:spacing w:val="-25"/>
          <w:w w:val="105"/>
        </w:rPr>
        <w:t> </w:t>
      </w:r>
      <w:r>
        <w:rPr>
          <w:color w:val="231F20"/>
          <w:w w:val="105"/>
        </w:rPr>
        <w:t>las</w:t>
      </w:r>
      <w:r>
        <w:rPr>
          <w:color w:val="231F20"/>
          <w:spacing w:val="-25"/>
          <w:w w:val="105"/>
        </w:rPr>
        <w:t> </w:t>
      </w:r>
      <w:r>
        <w:rPr>
          <w:color w:val="231F20"/>
          <w:w w:val="105"/>
        </w:rPr>
        <w:t>unidades</w:t>
      </w:r>
      <w:r>
        <w:rPr>
          <w:color w:val="231F20"/>
          <w:spacing w:val="-25"/>
          <w:w w:val="105"/>
        </w:rPr>
        <w:t> </w:t>
      </w:r>
      <w:r>
        <w:rPr>
          <w:color w:val="231F20"/>
          <w:spacing w:val="-3"/>
          <w:w w:val="105"/>
        </w:rPr>
        <w:t>produc-</w:t>
      </w:r>
      <w:r>
        <w:rPr>
          <w:color w:val="231F20"/>
          <w:w w:val="96"/>
        </w:rPr>
        <w:t> </w:t>
      </w:r>
      <w:r>
        <w:rPr>
          <w:color w:val="231F20"/>
          <w:w w:val="105"/>
        </w:rPr>
        <w:t>tivas dan cuenta de un fenómeno vinculado </w:t>
      </w:r>
      <w:r>
        <w:rPr>
          <w:color w:val="231F20"/>
          <w:spacing w:val="-3"/>
          <w:w w:val="105"/>
        </w:rPr>
        <w:t>directamente </w:t>
      </w:r>
      <w:r>
        <w:rPr>
          <w:color w:val="231F20"/>
          <w:w w:val="105"/>
        </w:rPr>
        <w:t>a</w:t>
      </w:r>
      <w:r>
        <w:rPr>
          <w:color w:val="231F20"/>
          <w:spacing w:val="-30"/>
          <w:w w:val="105"/>
        </w:rPr>
        <w:t> </w:t>
      </w:r>
      <w:r>
        <w:rPr>
          <w:color w:val="231F20"/>
          <w:w w:val="105"/>
        </w:rPr>
        <w:t>la</w:t>
      </w:r>
      <w:r>
        <w:rPr>
          <w:color w:val="231F20"/>
          <w:spacing w:val="-4"/>
          <w:w w:val="105"/>
        </w:rPr>
        <w:t> </w:t>
      </w:r>
      <w:r>
        <w:rPr>
          <w:color w:val="231F20"/>
          <w:spacing w:val="-3"/>
          <w:w w:val="105"/>
        </w:rPr>
        <w:t>organiza-</w:t>
      </w:r>
      <w:r>
        <w:rPr>
          <w:color w:val="231F20"/>
          <w:w w:val="96"/>
        </w:rPr>
        <w:t> </w:t>
      </w:r>
      <w:r>
        <w:rPr>
          <w:color w:val="231F20"/>
          <w:w w:val="105"/>
        </w:rPr>
        <w:t>ción </w:t>
      </w:r>
      <w:r>
        <w:rPr>
          <w:color w:val="231F20"/>
          <w:spacing w:val="-3"/>
          <w:w w:val="105"/>
        </w:rPr>
        <w:t>productiva </w:t>
      </w:r>
      <w:r>
        <w:rPr>
          <w:color w:val="231F20"/>
          <w:w w:val="105"/>
        </w:rPr>
        <w:t>de la floricultura en la actualidad: el escaso acceso</w:t>
      </w:r>
      <w:r>
        <w:rPr>
          <w:color w:val="231F20"/>
          <w:spacing w:val="-27"/>
          <w:w w:val="105"/>
        </w:rPr>
        <w:t> </w:t>
      </w:r>
      <w:r>
        <w:rPr>
          <w:color w:val="231F20"/>
          <w:w w:val="105"/>
        </w:rPr>
        <w:t>a</w:t>
      </w:r>
      <w:r>
        <w:rPr>
          <w:color w:val="231F20"/>
          <w:spacing w:val="-3"/>
          <w:w w:val="105"/>
        </w:rPr>
        <w:t> </w:t>
      </w:r>
      <w:r>
        <w:rPr>
          <w:color w:val="231F20"/>
          <w:w w:val="105"/>
        </w:rPr>
        <w:t>la</w:t>
      </w:r>
      <w:r>
        <w:rPr>
          <w:color w:val="231F20"/>
          <w:spacing w:val="-2"/>
          <w:w w:val="100"/>
        </w:rPr>
        <w:t> </w:t>
      </w:r>
      <w:r>
        <w:rPr>
          <w:color w:val="231F20"/>
          <w:w w:val="105"/>
        </w:rPr>
        <w:t>tierra,</w:t>
      </w:r>
      <w:r>
        <w:rPr>
          <w:color w:val="231F20"/>
          <w:spacing w:val="-38"/>
          <w:w w:val="105"/>
        </w:rPr>
        <w:t> </w:t>
      </w:r>
      <w:r>
        <w:rPr>
          <w:color w:val="231F20"/>
          <w:w w:val="105"/>
        </w:rPr>
        <w:t>que</w:t>
      </w:r>
      <w:r>
        <w:rPr>
          <w:color w:val="231F20"/>
          <w:spacing w:val="-35"/>
          <w:w w:val="105"/>
        </w:rPr>
        <w:t> </w:t>
      </w:r>
      <w:r>
        <w:rPr>
          <w:color w:val="231F20"/>
          <w:w w:val="105"/>
        </w:rPr>
        <w:t>genera,</w:t>
      </w:r>
      <w:r>
        <w:rPr>
          <w:color w:val="231F20"/>
          <w:spacing w:val="-38"/>
          <w:w w:val="105"/>
        </w:rPr>
        <w:t> </w:t>
      </w:r>
      <w:r>
        <w:rPr>
          <w:color w:val="231F20"/>
          <w:spacing w:val="-3"/>
          <w:w w:val="105"/>
        </w:rPr>
        <w:t>entre</w:t>
      </w:r>
      <w:r>
        <w:rPr>
          <w:color w:val="231F20"/>
          <w:spacing w:val="-35"/>
          <w:w w:val="105"/>
        </w:rPr>
        <w:t> </w:t>
      </w:r>
      <w:r>
        <w:rPr>
          <w:color w:val="231F20"/>
          <w:w w:val="105"/>
        </w:rPr>
        <w:t>otras</w:t>
      </w:r>
      <w:r>
        <w:rPr>
          <w:color w:val="231F20"/>
          <w:spacing w:val="-35"/>
          <w:w w:val="105"/>
        </w:rPr>
        <w:t> </w:t>
      </w:r>
      <w:r>
        <w:rPr>
          <w:color w:val="231F20"/>
          <w:w w:val="105"/>
        </w:rPr>
        <w:t>características,</w:t>
      </w:r>
      <w:r>
        <w:rPr>
          <w:color w:val="231F20"/>
          <w:spacing w:val="-38"/>
          <w:w w:val="105"/>
        </w:rPr>
        <w:t> </w:t>
      </w:r>
      <w:r>
        <w:rPr>
          <w:color w:val="231F20"/>
          <w:w w:val="105"/>
        </w:rPr>
        <w:t>la</w:t>
      </w:r>
      <w:r>
        <w:rPr>
          <w:color w:val="231F20"/>
          <w:spacing w:val="-35"/>
          <w:w w:val="105"/>
        </w:rPr>
        <w:t> </w:t>
      </w:r>
      <w:r>
        <w:rPr>
          <w:color w:val="231F20"/>
          <w:spacing w:val="-3"/>
          <w:w w:val="105"/>
        </w:rPr>
        <w:t>presencia</w:t>
      </w:r>
      <w:r>
        <w:rPr>
          <w:color w:val="231F20"/>
          <w:spacing w:val="-35"/>
          <w:w w:val="105"/>
        </w:rPr>
        <w:t> </w:t>
      </w:r>
      <w:r>
        <w:rPr>
          <w:color w:val="231F20"/>
          <w:w w:val="105"/>
        </w:rPr>
        <w:t>de</w:t>
      </w:r>
      <w:r>
        <w:rPr>
          <w:color w:val="231F20"/>
          <w:spacing w:val="-35"/>
          <w:w w:val="105"/>
        </w:rPr>
        <w:t> </w:t>
      </w:r>
      <w:r>
        <w:rPr>
          <w:color w:val="231F20"/>
          <w:w w:val="105"/>
        </w:rPr>
        <w:t>un</w:t>
      </w:r>
      <w:r>
        <w:rPr>
          <w:color w:val="231F20"/>
          <w:spacing w:val="-35"/>
          <w:w w:val="105"/>
        </w:rPr>
        <w:t> </w:t>
      </w:r>
      <w:r>
        <w:rPr>
          <w:color w:val="231F20"/>
          <w:w w:val="105"/>
        </w:rPr>
        <w:t>esquema</w:t>
      </w:r>
      <w:r>
        <w:rPr>
          <w:color w:val="231F20"/>
          <w:spacing w:val="-2"/>
          <w:w w:val="102"/>
        </w:rPr>
        <w:t> </w:t>
      </w:r>
      <w:r>
        <w:rPr>
          <w:color w:val="231F20"/>
          <w:w w:val="105"/>
        </w:rPr>
        <w:t>dual.</w:t>
      </w:r>
      <w:r>
        <w:rPr>
          <w:color w:val="231F20"/>
          <w:spacing w:val="-28"/>
          <w:w w:val="105"/>
        </w:rPr>
        <w:t> </w:t>
      </w:r>
      <w:r>
        <w:rPr>
          <w:color w:val="231F20"/>
          <w:spacing w:val="-7"/>
          <w:w w:val="105"/>
        </w:rPr>
        <w:t>Por</w:t>
      </w:r>
      <w:r>
        <w:rPr>
          <w:color w:val="231F20"/>
          <w:spacing w:val="-23"/>
          <w:w w:val="105"/>
        </w:rPr>
        <w:t> </w:t>
      </w:r>
      <w:r>
        <w:rPr>
          <w:color w:val="231F20"/>
          <w:w w:val="105"/>
        </w:rPr>
        <w:t>un</w:t>
      </w:r>
      <w:r>
        <w:rPr>
          <w:color w:val="231F20"/>
          <w:spacing w:val="-23"/>
          <w:w w:val="105"/>
        </w:rPr>
        <w:t> </w:t>
      </w:r>
      <w:r>
        <w:rPr>
          <w:color w:val="231F20"/>
          <w:w w:val="105"/>
        </w:rPr>
        <w:t>lado</w:t>
      </w:r>
      <w:r>
        <w:rPr>
          <w:color w:val="231F20"/>
          <w:spacing w:val="-23"/>
          <w:w w:val="105"/>
        </w:rPr>
        <w:t> </w:t>
      </w:r>
      <w:r>
        <w:rPr>
          <w:color w:val="231F20"/>
          <w:w w:val="105"/>
        </w:rPr>
        <w:t>el</w:t>
      </w:r>
      <w:r>
        <w:rPr>
          <w:color w:val="231F20"/>
          <w:spacing w:val="-23"/>
          <w:w w:val="105"/>
        </w:rPr>
        <w:t> </w:t>
      </w:r>
      <w:r>
        <w:rPr>
          <w:color w:val="231F20"/>
          <w:w w:val="105"/>
        </w:rPr>
        <w:t>minifundismo,</w:t>
      </w:r>
      <w:r>
        <w:rPr>
          <w:color w:val="231F20"/>
          <w:spacing w:val="-28"/>
          <w:w w:val="105"/>
        </w:rPr>
        <w:t> </w:t>
      </w:r>
      <w:r>
        <w:rPr>
          <w:color w:val="231F20"/>
          <w:w w:val="105"/>
        </w:rPr>
        <w:t>compuesto</w:t>
      </w:r>
      <w:r>
        <w:rPr>
          <w:color w:val="231F20"/>
          <w:spacing w:val="-23"/>
          <w:w w:val="105"/>
        </w:rPr>
        <w:t> </w:t>
      </w:r>
      <w:r>
        <w:rPr>
          <w:color w:val="231F20"/>
          <w:w w:val="105"/>
        </w:rPr>
        <w:t>básicamente</w:t>
      </w:r>
      <w:r>
        <w:rPr>
          <w:color w:val="231F20"/>
          <w:spacing w:val="-23"/>
          <w:w w:val="105"/>
        </w:rPr>
        <w:t> </w:t>
      </w:r>
      <w:r>
        <w:rPr>
          <w:color w:val="231F20"/>
          <w:w w:val="105"/>
        </w:rPr>
        <w:t>por</w:t>
      </w:r>
      <w:r>
        <w:rPr>
          <w:color w:val="231F20"/>
          <w:spacing w:val="-23"/>
          <w:w w:val="105"/>
        </w:rPr>
        <w:t> </w:t>
      </w:r>
      <w:r>
        <w:rPr>
          <w:color w:val="231F20"/>
          <w:w w:val="105"/>
        </w:rPr>
        <w:t>unidades</w:t>
      </w:r>
      <w:r>
        <w:rPr>
          <w:color w:val="231F20"/>
          <w:spacing w:val="-2"/>
          <w:w w:val="104"/>
        </w:rPr>
        <w:t> </w:t>
      </w:r>
      <w:r>
        <w:rPr>
          <w:color w:val="231F20"/>
          <w:w w:val="105"/>
        </w:rPr>
        <w:t>campesinas de subsistencia, y por </w:t>
      </w:r>
      <w:r>
        <w:rPr>
          <w:color w:val="231F20"/>
          <w:spacing w:val="-3"/>
          <w:w w:val="105"/>
        </w:rPr>
        <w:t>otro </w:t>
      </w:r>
      <w:r>
        <w:rPr>
          <w:color w:val="231F20"/>
          <w:w w:val="105"/>
        </w:rPr>
        <w:t>pequeñas élites</w:t>
      </w:r>
      <w:r>
        <w:rPr>
          <w:color w:val="231F20"/>
          <w:spacing w:val="-23"/>
          <w:w w:val="105"/>
        </w:rPr>
        <w:t> </w:t>
      </w:r>
      <w:r>
        <w:rPr>
          <w:color w:val="231F20"/>
          <w:w w:val="105"/>
        </w:rPr>
        <w:t>que</w:t>
      </w:r>
      <w:r>
        <w:rPr>
          <w:color w:val="231F20"/>
          <w:spacing w:val="-3"/>
          <w:w w:val="105"/>
        </w:rPr>
        <w:t> </w:t>
      </w:r>
      <w:r>
        <w:rPr>
          <w:color w:val="231F20"/>
          <w:w w:val="105"/>
        </w:rPr>
        <w:t>conservan</w:t>
      </w:r>
      <w:r>
        <w:rPr>
          <w:color w:val="231F20"/>
          <w:spacing w:val="-2"/>
          <w:w w:val="101"/>
        </w:rPr>
        <w:t> </w:t>
      </w:r>
      <w:r>
        <w:rPr>
          <w:color w:val="231F20"/>
          <w:w w:val="105"/>
        </w:rPr>
        <w:t>la mayor parte de la </w:t>
      </w:r>
      <w:r>
        <w:rPr>
          <w:color w:val="231F20"/>
          <w:spacing w:val="-2"/>
          <w:w w:val="105"/>
        </w:rPr>
        <w:t>tierra </w:t>
      </w:r>
      <w:r>
        <w:rPr>
          <w:color w:val="231F20"/>
          <w:w w:val="105"/>
        </w:rPr>
        <w:t>y que hacen uso de los </w:t>
      </w:r>
      <w:r>
        <w:rPr>
          <w:color w:val="231F20"/>
          <w:spacing w:val="-3"/>
          <w:w w:val="105"/>
        </w:rPr>
        <w:t>recursos</w:t>
      </w:r>
      <w:r>
        <w:rPr>
          <w:color w:val="231F20"/>
          <w:spacing w:val="-19"/>
          <w:w w:val="105"/>
        </w:rPr>
        <w:t> </w:t>
      </w:r>
      <w:r>
        <w:rPr>
          <w:color w:val="231F20"/>
          <w:w w:val="105"/>
        </w:rPr>
        <w:t>que</w:t>
      </w:r>
      <w:r>
        <w:rPr>
          <w:color w:val="231F20"/>
          <w:spacing w:val="-2"/>
          <w:w w:val="105"/>
        </w:rPr>
        <w:t> pueden</w:t>
      </w:r>
      <w:r>
        <w:rPr>
          <w:color w:val="231F20"/>
          <w:spacing w:val="-2"/>
          <w:w w:val="107"/>
        </w:rPr>
        <w:t> </w:t>
      </w:r>
      <w:r>
        <w:rPr>
          <w:color w:val="231F20"/>
          <w:spacing w:val="-3"/>
          <w:w w:val="105"/>
        </w:rPr>
        <w:t>ofrecer</w:t>
      </w:r>
      <w:r>
        <w:rPr>
          <w:color w:val="231F20"/>
          <w:spacing w:val="-32"/>
          <w:w w:val="105"/>
        </w:rPr>
        <w:t> </w:t>
      </w:r>
      <w:r>
        <w:rPr>
          <w:color w:val="231F20"/>
          <w:w w:val="105"/>
        </w:rPr>
        <w:t>las</w:t>
      </w:r>
      <w:r>
        <w:rPr>
          <w:color w:val="231F20"/>
          <w:spacing w:val="-32"/>
          <w:w w:val="105"/>
        </w:rPr>
        <w:t> </w:t>
      </w:r>
      <w:r>
        <w:rPr>
          <w:color w:val="231F20"/>
          <w:w w:val="105"/>
        </w:rPr>
        <w:t>unidades</w:t>
      </w:r>
      <w:r>
        <w:rPr>
          <w:color w:val="231F20"/>
          <w:spacing w:val="-32"/>
          <w:w w:val="105"/>
        </w:rPr>
        <w:t> </w:t>
      </w:r>
      <w:r>
        <w:rPr>
          <w:color w:val="231F20"/>
          <w:w w:val="105"/>
        </w:rPr>
        <w:t>campesinas</w:t>
      </w:r>
      <w:r>
        <w:rPr>
          <w:color w:val="231F20"/>
          <w:spacing w:val="-32"/>
          <w:w w:val="105"/>
        </w:rPr>
        <w:t> </w:t>
      </w:r>
      <w:r>
        <w:rPr>
          <w:color w:val="231F20"/>
          <w:w w:val="105"/>
        </w:rPr>
        <w:t>tales</w:t>
      </w:r>
      <w:r>
        <w:rPr>
          <w:color w:val="231F20"/>
          <w:spacing w:val="-32"/>
          <w:w w:val="105"/>
        </w:rPr>
        <w:t> </w:t>
      </w:r>
      <w:r>
        <w:rPr>
          <w:color w:val="231F20"/>
          <w:w w:val="105"/>
        </w:rPr>
        <w:t>como</w:t>
      </w:r>
      <w:r>
        <w:rPr>
          <w:color w:val="231F20"/>
          <w:spacing w:val="-32"/>
          <w:w w:val="105"/>
        </w:rPr>
        <w:t> </w:t>
      </w:r>
      <w:r>
        <w:rPr>
          <w:color w:val="231F20"/>
          <w:w w:val="105"/>
        </w:rPr>
        <w:t>mano</w:t>
      </w:r>
      <w:r>
        <w:rPr>
          <w:color w:val="231F20"/>
          <w:spacing w:val="-32"/>
          <w:w w:val="105"/>
        </w:rPr>
        <w:t> </w:t>
      </w:r>
      <w:r>
        <w:rPr>
          <w:color w:val="231F20"/>
          <w:w w:val="105"/>
        </w:rPr>
        <w:t>de</w:t>
      </w:r>
      <w:r>
        <w:rPr>
          <w:color w:val="231F20"/>
          <w:spacing w:val="-32"/>
          <w:w w:val="105"/>
        </w:rPr>
        <w:t> </w:t>
      </w:r>
      <w:r>
        <w:rPr>
          <w:color w:val="231F20"/>
          <w:w w:val="105"/>
        </w:rPr>
        <w:t>obra</w:t>
      </w:r>
      <w:r>
        <w:rPr>
          <w:color w:val="231F20"/>
          <w:spacing w:val="-32"/>
          <w:w w:val="105"/>
        </w:rPr>
        <w:t> </w:t>
      </w:r>
      <w:r>
        <w:rPr>
          <w:color w:val="231F20"/>
          <w:spacing w:val="-5"/>
          <w:w w:val="105"/>
        </w:rPr>
        <w:t>(Torres,</w:t>
      </w:r>
      <w:r>
        <w:rPr>
          <w:color w:val="231F20"/>
          <w:spacing w:val="-36"/>
          <w:w w:val="105"/>
        </w:rPr>
        <w:t> </w:t>
      </w:r>
      <w:r>
        <w:rPr>
          <w:color w:val="231F20"/>
          <w:spacing w:val="-2"/>
          <w:w w:val="105"/>
        </w:rPr>
        <w:t>1985).</w:t>
      </w:r>
    </w:p>
    <w:p>
      <w:pPr>
        <w:pStyle w:val="BodyText"/>
        <w:spacing w:line="261" w:lineRule="auto" w:before="1"/>
        <w:ind w:left="1837" w:right="1721" w:firstLine="567"/>
        <w:jc w:val="both"/>
      </w:pPr>
      <w:r>
        <w:rPr>
          <w:color w:val="231F20"/>
          <w:w w:val="105"/>
        </w:rPr>
        <w:t>Al</w:t>
      </w:r>
      <w:r>
        <w:rPr>
          <w:color w:val="231F20"/>
          <w:spacing w:val="-12"/>
          <w:w w:val="105"/>
        </w:rPr>
        <w:t> </w:t>
      </w:r>
      <w:r>
        <w:rPr>
          <w:color w:val="231F20"/>
          <w:w w:val="105"/>
        </w:rPr>
        <w:t>mismo</w:t>
      </w:r>
      <w:r>
        <w:rPr>
          <w:color w:val="231F20"/>
          <w:spacing w:val="-12"/>
          <w:w w:val="105"/>
        </w:rPr>
        <w:t> </w:t>
      </w:r>
      <w:r>
        <w:rPr>
          <w:color w:val="231F20"/>
          <w:w w:val="105"/>
        </w:rPr>
        <w:t>tiempo,</w:t>
      </w:r>
      <w:r>
        <w:rPr>
          <w:color w:val="231F20"/>
          <w:spacing w:val="-19"/>
          <w:w w:val="105"/>
        </w:rPr>
        <w:t> </w:t>
      </w:r>
      <w:r>
        <w:rPr>
          <w:color w:val="231F20"/>
          <w:w w:val="105"/>
        </w:rPr>
        <w:t>esta</w:t>
      </w:r>
      <w:r>
        <w:rPr>
          <w:color w:val="231F20"/>
          <w:spacing w:val="-12"/>
          <w:w w:val="105"/>
        </w:rPr>
        <w:t> </w:t>
      </w:r>
      <w:r>
        <w:rPr>
          <w:color w:val="231F20"/>
          <w:w w:val="105"/>
        </w:rPr>
        <w:t>estructura</w:t>
      </w:r>
      <w:r>
        <w:rPr>
          <w:color w:val="231F20"/>
          <w:spacing w:val="-12"/>
          <w:w w:val="105"/>
        </w:rPr>
        <w:t> </w:t>
      </w:r>
      <w:r>
        <w:rPr>
          <w:color w:val="231F20"/>
          <w:w w:val="105"/>
        </w:rPr>
        <w:t>de</w:t>
      </w:r>
      <w:r>
        <w:rPr>
          <w:color w:val="231F20"/>
          <w:spacing w:val="-12"/>
          <w:w w:val="105"/>
        </w:rPr>
        <w:t> </w:t>
      </w:r>
      <w:r>
        <w:rPr>
          <w:color w:val="231F20"/>
          <w:w w:val="105"/>
        </w:rPr>
        <w:t>distribución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tierra</w:t>
      </w:r>
      <w:r>
        <w:rPr>
          <w:color w:val="231F20"/>
          <w:spacing w:val="-12"/>
          <w:w w:val="105"/>
        </w:rPr>
        <w:t> </w:t>
      </w:r>
      <w:r>
        <w:rPr>
          <w:color w:val="231F20"/>
          <w:w w:val="105"/>
        </w:rPr>
        <w:t>facilita la aplicación de lo que se conoce como “agricultura de </w:t>
      </w:r>
      <w:r>
        <w:rPr>
          <w:color w:val="231F20"/>
          <w:spacing w:val="-4"/>
          <w:w w:val="105"/>
        </w:rPr>
        <w:t>contrato”, </w:t>
      </w:r>
      <w:r>
        <w:rPr>
          <w:color w:val="231F20"/>
          <w:w w:val="105"/>
        </w:rPr>
        <w:t>es de- </w:t>
      </w:r>
      <w:r>
        <w:rPr>
          <w:color w:val="231F20"/>
          <w:spacing w:val="-3"/>
          <w:w w:val="105"/>
        </w:rPr>
        <w:t>cir, </w:t>
      </w:r>
      <w:r>
        <w:rPr>
          <w:color w:val="231F20"/>
          <w:w w:val="105"/>
        </w:rPr>
        <w:t>las pequeñas unidades campesinas producen para posteriormente abastecer</w:t>
      </w:r>
      <w:r>
        <w:rPr>
          <w:color w:val="231F20"/>
          <w:spacing w:val="-17"/>
          <w:w w:val="105"/>
        </w:rPr>
        <w:t> </w:t>
      </w:r>
      <w:r>
        <w:rPr>
          <w:color w:val="231F20"/>
          <w:w w:val="105"/>
        </w:rPr>
        <w:t>a</w:t>
      </w:r>
      <w:r>
        <w:rPr>
          <w:color w:val="231F20"/>
          <w:spacing w:val="-17"/>
          <w:w w:val="105"/>
        </w:rPr>
        <w:t> </w:t>
      </w:r>
      <w:r>
        <w:rPr>
          <w:color w:val="231F20"/>
          <w:w w:val="105"/>
        </w:rPr>
        <w:t>las</w:t>
      </w:r>
      <w:r>
        <w:rPr>
          <w:color w:val="231F20"/>
          <w:spacing w:val="-17"/>
          <w:w w:val="105"/>
        </w:rPr>
        <w:t> </w:t>
      </w:r>
      <w:r>
        <w:rPr>
          <w:color w:val="231F20"/>
          <w:w w:val="105"/>
        </w:rPr>
        <w:t>grandes</w:t>
      </w:r>
      <w:r>
        <w:rPr>
          <w:color w:val="231F20"/>
          <w:spacing w:val="-17"/>
          <w:w w:val="105"/>
        </w:rPr>
        <w:t> </w:t>
      </w:r>
      <w:r>
        <w:rPr>
          <w:color w:val="231F20"/>
          <w:w w:val="105"/>
        </w:rPr>
        <w:t>empresas</w:t>
      </w:r>
      <w:r>
        <w:rPr>
          <w:color w:val="231F20"/>
          <w:spacing w:val="-17"/>
          <w:w w:val="105"/>
        </w:rPr>
        <w:t> </w:t>
      </w:r>
      <w:r>
        <w:rPr>
          <w:color w:val="231F20"/>
          <w:w w:val="105"/>
        </w:rPr>
        <w:t>o</w:t>
      </w:r>
      <w:r>
        <w:rPr>
          <w:color w:val="231F20"/>
          <w:spacing w:val="-17"/>
          <w:w w:val="105"/>
        </w:rPr>
        <w:t> </w:t>
      </w:r>
      <w:r>
        <w:rPr>
          <w:color w:val="231F20"/>
          <w:w w:val="105"/>
        </w:rPr>
        <w:t>consorcios,</w:t>
      </w:r>
      <w:r>
        <w:rPr>
          <w:color w:val="231F20"/>
          <w:spacing w:val="-21"/>
          <w:w w:val="105"/>
        </w:rPr>
        <w:t> </w:t>
      </w:r>
      <w:r>
        <w:rPr>
          <w:color w:val="231F20"/>
          <w:w w:val="105"/>
        </w:rPr>
        <w:t>que</w:t>
      </w:r>
      <w:r>
        <w:rPr>
          <w:color w:val="231F20"/>
          <w:spacing w:val="-17"/>
          <w:w w:val="105"/>
        </w:rPr>
        <w:t> </w:t>
      </w:r>
      <w:r>
        <w:rPr>
          <w:color w:val="231F20"/>
          <w:w w:val="105"/>
        </w:rPr>
        <w:t>por</w:t>
      </w:r>
      <w:r>
        <w:rPr>
          <w:color w:val="231F20"/>
          <w:spacing w:val="-17"/>
          <w:w w:val="105"/>
        </w:rPr>
        <w:t> </w:t>
      </w:r>
      <w:r>
        <w:rPr>
          <w:color w:val="231F20"/>
          <w:w w:val="105"/>
        </w:rPr>
        <w:t>estar</w:t>
      </w:r>
      <w:r>
        <w:rPr>
          <w:color w:val="231F20"/>
          <w:spacing w:val="-17"/>
          <w:w w:val="105"/>
        </w:rPr>
        <w:t> </w:t>
      </w:r>
      <w:r>
        <w:rPr>
          <w:color w:val="231F20"/>
          <w:w w:val="105"/>
        </w:rPr>
        <w:t>especiali- zados en alguna etapa de la cadena productiva requieren de la</w:t>
      </w:r>
      <w:r>
        <w:rPr>
          <w:color w:val="231F20"/>
          <w:spacing w:val="-39"/>
          <w:w w:val="105"/>
        </w:rPr>
        <w:t> </w:t>
      </w:r>
      <w:r>
        <w:rPr>
          <w:color w:val="231F20"/>
          <w:w w:val="105"/>
        </w:rPr>
        <w:t>produc- ción</w:t>
      </w:r>
      <w:r>
        <w:rPr>
          <w:color w:val="231F20"/>
          <w:spacing w:val="-21"/>
          <w:w w:val="105"/>
        </w:rPr>
        <w:t> </w:t>
      </w:r>
      <w:r>
        <w:rPr>
          <w:color w:val="231F20"/>
          <w:w w:val="105"/>
        </w:rPr>
        <w:t>ofertada</w:t>
      </w:r>
      <w:r>
        <w:rPr>
          <w:color w:val="231F20"/>
          <w:spacing w:val="-21"/>
          <w:w w:val="105"/>
        </w:rPr>
        <w:t> </w:t>
      </w:r>
      <w:r>
        <w:rPr>
          <w:color w:val="231F20"/>
          <w:w w:val="105"/>
        </w:rPr>
        <w:t>por</w:t>
      </w:r>
      <w:r>
        <w:rPr>
          <w:color w:val="231F20"/>
          <w:spacing w:val="-21"/>
          <w:w w:val="105"/>
        </w:rPr>
        <w:t> </w:t>
      </w:r>
      <w:r>
        <w:rPr>
          <w:color w:val="231F20"/>
          <w:w w:val="105"/>
        </w:rPr>
        <w:t>las</w:t>
      </w:r>
      <w:r>
        <w:rPr>
          <w:color w:val="231F20"/>
          <w:spacing w:val="-21"/>
          <w:w w:val="105"/>
        </w:rPr>
        <w:t> </w:t>
      </w:r>
      <w:r>
        <w:rPr>
          <w:color w:val="231F20"/>
          <w:w w:val="105"/>
        </w:rPr>
        <w:t>unidades</w:t>
      </w:r>
      <w:r>
        <w:rPr>
          <w:color w:val="231F20"/>
          <w:spacing w:val="-21"/>
          <w:w w:val="105"/>
        </w:rPr>
        <w:t> </w:t>
      </w:r>
      <w:r>
        <w:rPr>
          <w:color w:val="231F20"/>
          <w:w w:val="105"/>
        </w:rPr>
        <w:t>campesinas.</w:t>
      </w:r>
    </w:p>
    <w:p>
      <w:pPr>
        <w:pStyle w:val="BodyText"/>
        <w:spacing w:line="261" w:lineRule="auto" w:before="1"/>
        <w:ind w:left="1837" w:right="1720" w:firstLine="567"/>
        <w:jc w:val="both"/>
      </w:pPr>
      <w:r>
        <w:rPr>
          <w:color w:val="231F20"/>
          <w:w w:val="105"/>
        </w:rPr>
        <w:t>De tal forma, en el municipio la organización de la agricultura or- namental se ha sustentado en dos formas principales: la producción</w:t>
      </w:r>
      <w:r>
        <w:rPr>
          <w:color w:val="231F20"/>
          <w:spacing w:val="-37"/>
          <w:w w:val="105"/>
        </w:rPr>
        <w:t> </w:t>
      </w:r>
      <w:r>
        <w:rPr>
          <w:color w:val="231F20"/>
          <w:w w:val="105"/>
        </w:rPr>
        <w:t>de tipo empresarial, básicamente dirigida a mercados externos y apoyada en la adquisición de tecnología de punta</w:t>
      </w:r>
      <w:r>
        <w:rPr>
          <w:color w:val="231F20"/>
          <w:w w:val="105"/>
          <w:position w:val="7"/>
          <w:sz w:val="12"/>
        </w:rPr>
        <w:t>3</w:t>
      </w:r>
      <w:r>
        <w:rPr>
          <w:color w:val="231F20"/>
          <w:w w:val="105"/>
        </w:rPr>
        <w:t>, y la producción orientada hacia el mercado nacional y local, que se lleva a cabo a la intemperie  o</w:t>
      </w:r>
      <w:r>
        <w:rPr>
          <w:color w:val="231F20"/>
          <w:spacing w:val="22"/>
          <w:w w:val="105"/>
        </w:rPr>
        <w:t> </w:t>
      </w:r>
      <w:r>
        <w:rPr>
          <w:color w:val="231F20"/>
          <w:w w:val="105"/>
        </w:rPr>
        <w:t>bien</w:t>
      </w:r>
      <w:r>
        <w:rPr>
          <w:color w:val="231F20"/>
          <w:spacing w:val="22"/>
          <w:w w:val="105"/>
        </w:rPr>
        <w:t> </w:t>
      </w:r>
      <w:r>
        <w:rPr>
          <w:color w:val="231F20"/>
          <w:w w:val="105"/>
        </w:rPr>
        <w:t>con</w:t>
      </w:r>
      <w:r>
        <w:rPr>
          <w:color w:val="231F20"/>
          <w:spacing w:val="22"/>
          <w:w w:val="105"/>
        </w:rPr>
        <w:t> </w:t>
      </w:r>
      <w:r>
        <w:rPr>
          <w:color w:val="231F20"/>
          <w:w w:val="105"/>
        </w:rPr>
        <w:t>innovaciones</w:t>
      </w:r>
      <w:r>
        <w:rPr>
          <w:color w:val="231F20"/>
          <w:spacing w:val="22"/>
          <w:w w:val="105"/>
        </w:rPr>
        <w:t> </w:t>
      </w:r>
      <w:r>
        <w:rPr>
          <w:color w:val="231F20"/>
          <w:w w:val="105"/>
        </w:rPr>
        <w:t>creativas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propios</w:t>
      </w:r>
      <w:r>
        <w:rPr>
          <w:color w:val="231F20"/>
          <w:spacing w:val="22"/>
          <w:w w:val="105"/>
        </w:rPr>
        <w:t> </w:t>
      </w:r>
      <w:r>
        <w:rPr>
          <w:color w:val="231F20"/>
          <w:w w:val="105"/>
        </w:rPr>
        <w:t>productores</w:t>
      </w:r>
      <w:r>
        <w:rPr>
          <w:color w:val="231F20"/>
          <w:spacing w:val="22"/>
          <w:w w:val="105"/>
        </w:rPr>
        <w:t> </w:t>
      </w:r>
      <w:r>
        <w:rPr>
          <w:color w:val="231F20"/>
          <w:w w:val="105"/>
        </w:rPr>
        <w:t>para</w:t>
      </w:r>
      <w:r>
        <w:rPr>
          <w:color w:val="231F20"/>
          <w:spacing w:val="22"/>
          <w:w w:val="105"/>
        </w:rPr>
        <w:t> </w:t>
      </w:r>
      <w:r>
        <w:rPr>
          <w:color w:val="231F20"/>
          <w:w w:val="105"/>
        </w:rPr>
        <w:t>la</w:t>
      </w:r>
    </w:p>
    <w:p>
      <w:pPr>
        <w:pStyle w:val="BodyText"/>
        <w:rPr>
          <w:sz w:val="15"/>
        </w:rPr>
      </w:pPr>
      <w:r>
        <w:rPr/>
        <w:pict>
          <v:line style="position:absolute;mso-position-horizontal-relative:page;mso-position-vertical-relative:paragraph;z-index:9472;mso-wrap-distance-left:0;mso-wrap-distance-right:0" from="91.866203pt,10.583725pt" to="205.252203pt,10.583725pt" stroked="true" strokeweight=".25pt" strokecolor="#231f20">
            <w10:wrap type="topAndBottom"/>
          </v:line>
        </w:pict>
      </w:r>
    </w:p>
    <w:p>
      <w:pPr>
        <w:spacing w:line="192" w:lineRule="exact" w:before="7"/>
        <w:ind w:left="1837" w:right="1721" w:firstLine="0"/>
        <w:jc w:val="both"/>
        <w:rPr>
          <w:rFonts w:ascii="Calibri"/>
          <w:sz w:val="16"/>
        </w:rPr>
      </w:pPr>
      <w:r>
        <w:rPr>
          <w:rFonts w:ascii="Calibri"/>
          <w:color w:val="414042"/>
          <w:w w:val="105"/>
          <w:sz w:val="16"/>
        </w:rPr>
        <w:t>considerado</w:t>
      </w:r>
      <w:r>
        <w:rPr>
          <w:rFonts w:ascii="Calibri"/>
          <w:color w:val="414042"/>
          <w:spacing w:val="-13"/>
          <w:w w:val="105"/>
          <w:sz w:val="16"/>
        </w:rPr>
        <w:t> </w:t>
      </w:r>
      <w:r>
        <w:rPr>
          <w:rFonts w:ascii="Calibri"/>
          <w:color w:val="414042"/>
          <w:w w:val="105"/>
          <w:sz w:val="16"/>
        </w:rPr>
        <w:t>el</w:t>
      </w:r>
      <w:r>
        <w:rPr>
          <w:rFonts w:ascii="Calibri"/>
          <w:color w:val="414042"/>
          <w:spacing w:val="-13"/>
          <w:w w:val="105"/>
          <w:sz w:val="16"/>
        </w:rPr>
        <w:t> </w:t>
      </w:r>
      <w:r>
        <w:rPr>
          <w:rFonts w:ascii="Calibri"/>
          <w:color w:val="414042"/>
          <w:w w:val="105"/>
          <w:sz w:val="16"/>
        </w:rPr>
        <w:t>antecedente</w:t>
      </w:r>
      <w:r>
        <w:rPr>
          <w:rFonts w:ascii="Calibri"/>
          <w:color w:val="414042"/>
          <w:spacing w:val="-13"/>
          <w:w w:val="105"/>
          <w:sz w:val="16"/>
        </w:rPr>
        <w:t> </w:t>
      </w:r>
      <w:r>
        <w:rPr>
          <w:rFonts w:ascii="Calibri"/>
          <w:color w:val="414042"/>
          <w:w w:val="105"/>
          <w:sz w:val="16"/>
        </w:rPr>
        <w:t>de</w:t>
      </w:r>
      <w:r>
        <w:rPr>
          <w:rFonts w:ascii="Calibri"/>
          <w:color w:val="414042"/>
          <w:spacing w:val="-13"/>
          <w:w w:val="105"/>
          <w:sz w:val="16"/>
        </w:rPr>
        <w:t> </w:t>
      </w:r>
      <w:r>
        <w:rPr>
          <w:rFonts w:ascii="Calibri"/>
          <w:color w:val="414042"/>
          <w:w w:val="105"/>
          <w:sz w:val="16"/>
        </w:rPr>
        <w:t>lo</w:t>
      </w:r>
      <w:r>
        <w:rPr>
          <w:rFonts w:ascii="Calibri"/>
          <w:color w:val="414042"/>
          <w:spacing w:val="-13"/>
          <w:w w:val="105"/>
          <w:sz w:val="16"/>
        </w:rPr>
        <w:t> </w:t>
      </w:r>
      <w:r>
        <w:rPr>
          <w:rFonts w:ascii="Calibri"/>
          <w:color w:val="414042"/>
          <w:w w:val="105"/>
          <w:sz w:val="16"/>
        </w:rPr>
        <w:t>que</w:t>
      </w:r>
      <w:r>
        <w:rPr>
          <w:rFonts w:ascii="Calibri"/>
          <w:color w:val="414042"/>
          <w:spacing w:val="-13"/>
          <w:w w:val="105"/>
          <w:sz w:val="16"/>
        </w:rPr>
        <w:t> </w:t>
      </w:r>
      <w:r>
        <w:rPr>
          <w:rFonts w:ascii="Calibri"/>
          <w:color w:val="414042"/>
          <w:w w:val="105"/>
          <w:sz w:val="16"/>
        </w:rPr>
        <w:t>hoy</w:t>
      </w:r>
      <w:r>
        <w:rPr>
          <w:rFonts w:ascii="Calibri"/>
          <w:color w:val="414042"/>
          <w:spacing w:val="-13"/>
          <w:w w:val="105"/>
          <w:sz w:val="16"/>
        </w:rPr>
        <w:t> </w:t>
      </w:r>
      <w:r>
        <w:rPr>
          <w:rFonts w:ascii="Calibri"/>
          <w:color w:val="414042"/>
          <w:w w:val="105"/>
          <w:sz w:val="16"/>
        </w:rPr>
        <w:t>se</w:t>
      </w:r>
      <w:r>
        <w:rPr>
          <w:rFonts w:ascii="Calibri"/>
          <w:color w:val="414042"/>
          <w:spacing w:val="-13"/>
          <w:w w:val="105"/>
          <w:sz w:val="16"/>
        </w:rPr>
        <w:t> </w:t>
      </w:r>
      <w:r>
        <w:rPr>
          <w:rFonts w:ascii="Calibri"/>
          <w:color w:val="414042"/>
          <w:w w:val="105"/>
          <w:sz w:val="16"/>
        </w:rPr>
        <w:t>conoce</w:t>
      </w:r>
      <w:r>
        <w:rPr>
          <w:rFonts w:ascii="Calibri"/>
          <w:color w:val="414042"/>
          <w:spacing w:val="-13"/>
          <w:w w:val="105"/>
          <w:sz w:val="16"/>
        </w:rPr>
        <w:t> </w:t>
      </w:r>
      <w:r>
        <w:rPr>
          <w:rFonts w:ascii="Calibri"/>
          <w:color w:val="414042"/>
          <w:w w:val="105"/>
          <w:sz w:val="16"/>
        </w:rPr>
        <w:t>como</w:t>
      </w:r>
      <w:r>
        <w:rPr>
          <w:rFonts w:ascii="Calibri"/>
          <w:color w:val="414042"/>
          <w:spacing w:val="-13"/>
          <w:w w:val="105"/>
          <w:sz w:val="16"/>
        </w:rPr>
        <w:t> </w:t>
      </w:r>
      <w:r>
        <w:rPr>
          <w:rFonts w:ascii="Calibri"/>
          <w:color w:val="414042"/>
          <w:w w:val="105"/>
          <w:sz w:val="16"/>
        </w:rPr>
        <w:t>ejido,</w:t>
      </w:r>
      <w:r>
        <w:rPr>
          <w:rFonts w:ascii="Calibri"/>
          <w:color w:val="414042"/>
          <w:spacing w:val="-13"/>
          <w:w w:val="105"/>
          <w:sz w:val="16"/>
        </w:rPr>
        <w:t> </w:t>
      </w:r>
      <w:r>
        <w:rPr>
          <w:rFonts w:ascii="Calibri"/>
          <w:color w:val="414042"/>
          <w:w w:val="105"/>
          <w:sz w:val="16"/>
        </w:rPr>
        <w:t>pasando</w:t>
      </w:r>
      <w:r>
        <w:rPr>
          <w:rFonts w:ascii="Calibri"/>
          <w:color w:val="414042"/>
          <w:spacing w:val="-13"/>
          <w:w w:val="105"/>
          <w:sz w:val="16"/>
        </w:rPr>
        <w:t> </w:t>
      </w:r>
      <w:r>
        <w:rPr>
          <w:rFonts w:ascii="Calibri"/>
          <w:color w:val="414042"/>
          <w:w w:val="105"/>
          <w:sz w:val="16"/>
        </w:rPr>
        <w:t>por</w:t>
      </w:r>
      <w:r>
        <w:rPr>
          <w:rFonts w:ascii="Calibri"/>
          <w:color w:val="414042"/>
          <w:spacing w:val="-13"/>
          <w:w w:val="105"/>
          <w:sz w:val="16"/>
        </w:rPr>
        <w:t> </w:t>
      </w:r>
      <w:r>
        <w:rPr>
          <w:rFonts w:ascii="Calibri"/>
          <w:color w:val="414042"/>
          <w:w w:val="105"/>
          <w:sz w:val="16"/>
        </w:rPr>
        <w:t>las</w:t>
      </w:r>
      <w:r>
        <w:rPr>
          <w:rFonts w:ascii="Calibri"/>
          <w:color w:val="414042"/>
          <w:spacing w:val="-13"/>
          <w:w w:val="105"/>
          <w:sz w:val="16"/>
        </w:rPr>
        <w:t> </w:t>
      </w:r>
      <w:r>
        <w:rPr>
          <w:rFonts w:ascii="Calibri"/>
          <w:color w:val="414042"/>
          <w:w w:val="105"/>
          <w:sz w:val="16"/>
        </w:rPr>
        <w:t>grandes</w:t>
      </w:r>
      <w:r>
        <w:rPr>
          <w:rFonts w:ascii="Calibri"/>
          <w:color w:val="414042"/>
          <w:spacing w:val="-13"/>
          <w:w w:val="105"/>
          <w:sz w:val="16"/>
        </w:rPr>
        <w:t> </w:t>
      </w:r>
      <w:r>
        <w:rPr>
          <w:rFonts w:ascii="Calibri"/>
          <w:color w:val="414042"/>
          <w:w w:val="105"/>
          <w:sz w:val="16"/>
        </w:rPr>
        <w:t>haciendas</w:t>
      </w:r>
      <w:r>
        <w:rPr>
          <w:rFonts w:ascii="Calibri"/>
          <w:color w:val="414042"/>
          <w:spacing w:val="-13"/>
          <w:w w:val="105"/>
          <w:sz w:val="16"/>
        </w:rPr>
        <w:t> </w:t>
      </w:r>
      <w:r>
        <w:rPr>
          <w:rFonts w:ascii="Calibri"/>
          <w:color w:val="414042"/>
          <w:w w:val="105"/>
          <w:sz w:val="16"/>
        </w:rPr>
        <w:t>y</w:t>
      </w:r>
      <w:r>
        <w:rPr>
          <w:rFonts w:ascii="Calibri"/>
          <w:color w:val="414042"/>
          <w:spacing w:val="-13"/>
          <w:w w:val="105"/>
          <w:sz w:val="16"/>
        </w:rPr>
        <w:t> </w:t>
      </w:r>
      <w:r>
        <w:rPr>
          <w:rFonts w:ascii="Calibri"/>
          <w:color w:val="414042"/>
          <w:w w:val="105"/>
          <w:sz w:val="16"/>
        </w:rPr>
        <w:t>el latifundismo, hasta el reparto agrario como resultado de las luchas revolucionarias de inicios del siglo </w:t>
      </w:r>
      <w:r>
        <w:rPr>
          <w:rFonts w:ascii="Calibri"/>
          <w:color w:val="414042"/>
          <w:w w:val="105"/>
          <w:sz w:val="13"/>
        </w:rPr>
        <w:t>XX </w:t>
      </w:r>
      <w:r>
        <w:rPr>
          <w:rFonts w:ascii="Calibri"/>
          <w:color w:val="414042"/>
          <w:w w:val="105"/>
          <w:sz w:val="16"/>
        </w:rPr>
        <w:t>(Aguado,</w:t>
      </w:r>
      <w:r>
        <w:rPr>
          <w:rFonts w:ascii="Calibri"/>
          <w:color w:val="414042"/>
          <w:spacing w:val="-31"/>
          <w:w w:val="105"/>
          <w:sz w:val="16"/>
        </w:rPr>
        <w:t> </w:t>
      </w:r>
      <w:r>
        <w:rPr>
          <w:rFonts w:ascii="Calibri"/>
          <w:color w:val="414042"/>
          <w:w w:val="105"/>
          <w:sz w:val="16"/>
        </w:rPr>
        <w:t>1998).</w:t>
      </w:r>
    </w:p>
    <w:p>
      <w:pPr>
        <w:spacing w:line="192" w:lineRule="exact" w:before="0"/>
        <w:ind w:left="1837" w:right="1722" w:firstLine="0"/>
        <w:jc w:val="both"/>
        <w:rPr>
          <w:rFonts w:ascii="Calibri" w:hAnsi="Calibri"/>
          <w:sz w:val="16"/>
        </w:rPr>
      </w:pPr>
      <w:r>
        <w:rPr>
          <w:rFonts w:ascii="Calibri" w:hAnsi="Calibri"/>
          <w:color w:val="414042"/>
          <w:position w:val="5"/>
          <w:sz w:val="9"/>
        </w:rPr>
        <w:t>2 </w:t>
      </w:r>
      <w:r>
        <w:rPr>
          <w:rFonts w:ascii="Calibri" w:hAnsi="Calibri"/>
          <w:color w:val="414042"/>
          <w:sz w:val="16"/>
        </w:rPr>
        <w:t>Para 1990 el índice de Gini, correspondiente al tipo de tenencia privada, correspondía a 0.50 lo que in- dica alta desigualdad en la distribución del recurso. Para el régimen de tenencia ejidal le correspondía un índice de Gini de 0.40 (estimación propia con base en </w:t>
      </w:r>
      <w:r>
        <w:rPr>
          <w:rFonts w:ascii="Calibri" w:hAnsi="Calibri"/>
          <w:color w:val="414042"/>
          <w:sz w:val="13"/>
        </w:rPr>
        <w:t>INEGI</w:t>
      </w:r>
      <w:r>
        <w:rPr>
          <w:rFonts w:ascii="Calibri" w:hAnsi="Calibri"/>
          <w:color w:val="414042"/>
          <w:sz w:val="16"/>
        </w:rPr>
        <w:t>, 1991).</w:t>
      </w:r>
    </w:p>
    <w:p>
      <w:pPr>
        <w:spacing w:line="192" w:lineRule="exact" w:before="0"/>
        <w:ind w:left="1837" w:right="1721" w:firstLine="0"/>
        <w:jc w:val="both"/>
        <w:rPr>
          <w:rFonts w:ascii="Calibri" w:hAnsi="Calibri"/>
          <w:sz w:val="16"/>
        </w:rPr>
      </w:pPr>
      <w:r>
        <w:rPr/>
        <w:pict>
          <v:line style="position:absolute;mso-position-horizontal-relative:page;mso-position-vertical-relative:paragraph;z-index:-480616" from="15pt,97.746002pt" to="0pt,97.746002pt" stroked="true" strokeweight=".25pt" strokecolor="#000000">
            <w10:wrap type="none"/>
          </v:line>
        </w:pict>
      </w:r>
      <w:r>
        <w:rPr/>
        <w:pict>
          <v:line style="position:absolute;mso-position-horizontal-relative:page;mso-position-vertical-relative:paragraph;z-index:9592" from="508.890015pt,97.746002pt" to="523.890015pt,97.746002pt" stroked="true" strokeweight=".25pt" strokecolor="#000000">
            <w10:wrap type="none"/>
          </v:line>
        </w:pict>
      </w:r>
      <w:r>
        <w:rPr>
          <w:rFonts w:ascii="Calibri" w:hAnsi="Calibri"/>
          <w:color w:val="414042"/>
          <w:w w:val="105"/>
          <w:position w:val="5"/>
          <w:sz w:val="9"/>
        </w:rPr>
        <w:t>3</w:t>
      </w:r>
      <w:r>
        <w:rPr>
          <w:rFonts w:ascii="Calibri" w:hAnsi="Calibri"/>
          <w:color w:val="414042"/>
          <w:spacing w:val="4"/>
          <w:w w:val="105"/>
          <w:position w:val="5"/>
          <w:sz w:val="9"/>
        </w:rPr>
        <w:t> </w:t>
      </w:r>
      <w:r>
        <w:rPr>
          <w:rFonts w:ascii="Calibri" w:hAnsi="Calibri"/>
          <w:color w:val="414042"/>
          <w:w w:val="105"/>
          <w:sz w:val="16"/>
        </w:rPr>
        <w:t>La</w:t>
      </w:r>
      <w:r>
        <w:rPr>
          <w:rFonts w:ascii="Calibri" w:hAnsi="Calibri"/>
          <w:color w:val="414042"/>
          <w:spacing w:val="-13"/>
          <w:w w:val="105"/>
          <w:sz w:val="16"/>
        </w:rPr>
        <w:t> </w:t>
      </w:r>
      <w:r>
        <w:rPr>
          <w:rFonts w:ascii="Calibri" w:hAnsi="Calibri"/>
          <w:color w:val="414042"/>
          <w:w w:val="105"/>
          <w:sz w:val="16"/>
        </w:rPr>
        <w:t>producción</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tipo</w:t>
      </w:r>
      <w:r>
        <w:rPr>
          <w:rFonts w:ascii="Calibri" w:hAnsi="Calibri"/>
          <w:color w:val="414042"/>
          <w:spacing w:val="-13"/>
          <w:w w:val="105"/>
          <w:sz w:val="16"/>
        </w:rPr>
        <w:t> </w:t>
      </w:r>
      <w:r>
        <w:rPr>
          <w:rFonts w:ascii="Calibri" w:hAnsi="Calibri"/>
          <w:color w:val="414042"/>
          <w:w w:val="105"/>
          <w:sz w:val="16"/>
        </w:rPr>
        <w:t>empresarial</w:t>
      </w:r>
      <w:r>
        <w:rPr>
          <w:rFonts w:ascii="Calibri" w:hAnsi="Calibri"/>
          <w:color w:val="414042"/>
          <w:spacing w:val="-13"/>
          <w:w w:val="105"/>
          <w:sz w:val="16"/>
        </w:rPr>
        <w:t> </w:t>
      </w:r>
      <w:r>
        <w:rPr>
          <w:rFonts w:ascii="Calibri" w:hAnsi="Calibri"/>
          <w:color w:val="414042"/>
          <w:w w:val="105"/>
          <w:sz w:val="16"/>
        </w:rPr>
        <w:t>es</w:t>
      </w:r>
      <w:r>
        <w:rPr>
          <w:rFonts w:ascii="Calibri" w:hAnsi="Calibri"/>
          <w:color w:val="414042"/>
          <w:spacing w:val="-13"/>
          <w:w w:val="105"/>
          <w:sz w:val="16"/>
        </w:rPr>
        <w:t> </w:t>
      </w:r>
      <w:r>
        <w:rPr>
          <w:rFonts w:ascii="Calibri" w:hAnsi="Calibri"/>
          <w:color w:val="414042"/>
          <w:w w:val="105"/>
          <w:sz w:val="16"/>
        </w:rPr>
        <w:t>la</w:t>
      </w:r>
      <w:r>
        <w:rPr>
          <w:rFonts w:ascii="Calibri" w:hAnsi="Calibri"/>
          <w:color w:val="414042"/>
          <w:spacing w:val="-13"/>
          <w:w w:val="105"/>
          <w:sz w:val="16"/>
        </w:rPr>
        <w:t> </w:t>
      </w:r>
      <w:r>
        <w:rPr>
          <w:rFonts w:ascii="Calibri" w:hAnsi="Calibri"/>
          <w:color w:val="414042"/>
          <w:w w:val="105"/>
          <w:sz w:val="16"/>
        </w:rPr>
        <w:t>que</w:t>
      </w:r>
      <w:r>
        <w:rPr>
          <w:rFonts w:ascii="Calibri" w:hAnsi="Calibri"/>
          <w:color w:val="414042"/>
          <w:spacing w:val="-13"/>
          <w:w w:val="105"/>
          <w:sz w:val="16"/>
        </w:rPr>
        <w:t> </w:t>
      </w:r>
      <w:r>
        <w:rPr>
          <w:rFonts w:ascii="Calibri" w:hAnsi="Calibri"/>
          <w:color w:val="414042"/>
          <w:w w:val="105"/>
          <w:sz w:val="16"/>
        </w:rPr>
        <w:t>puede</w:t>
      </w:r>
      <w:r>
        <w:rPr>
          <w:rFonts w:ascii="Calibri" w:hAnsi="Calibri"/>
          <w:color w:val="414042"/>
          <w:spacing w:val="-13"/>
          <w:w w:val="105"/>
          <w:sz w:val="16"/>
        </w:rPr>
        <w:t> </w:t>
      </w:r>
      <w:r>
        <w:rPr>
          <w:rFonts w:ascii="Calibri" w:hAnsi="Calibri"/>
          <w:color w:val="414042"/>
          <w:w w:val="105"/>
          <w:sz w:val="16"/>
        </w:rPr>
        <w:t>ser</w:t>
      </w:r>
      <w:r>
        <w:rPr>
          <w:rFonts w:ascii="Calibri" w:hAnsi="Calibri"/>
          <w:color w:val="414042"/>
          <w:spacing w:val="-13"/>
          <w:w w:val="105"/>
          <w:sz w:val="16"/>
        </w:rPr>
        <w:t> </w:t>
      </w:r>
      <w:r>
        <w:rPr>
          <w:rFonts w:ascii="Calibri" w:hAnsi="Calibri"/>
          <w:color w:val="414042"/>
          <w:w w:val="105"/>
          <w:sz w:val="16"/>
        </w:rPr>
        <w:t>considerada</w:t>
      </w:r>
      <w:r>
        <w:rPr>
          <w:rFonts w:ascii="Calibri" w:hAnsi="Calibri"/>
          <w:color w:val="414042"/>
          <w:spacing w:val="-13"/>
          <w:w w:val="105"/>
          <w:sz w:val="16"/>
        </w:rPr>
        <w:t> </w:t>
      </w:r>
      <w:r>
        <w:rPr>
          <w:rFonts w:ascii="Calibri" w:hAnsi="Calibri"/>
          <w:color w:val="414042"/>
          <w:w w:val="105"/>
          <w:sz w:val="16"/>
        </w:rPr>
        <w:t>dentro</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la</w:t>
      </w:r>
      <w:r>
        <w:rPr>
          <w:rFonts w:ascii="Calibri" w:hAnsi="Calibri"/>
          <w:color w:val="414042"/>
          <w:spacing w:val="-13"/>
          <w:w w:val="105"/>
          <w:sz w:val="16"/>
        </w:rPr>
        <w:t> </w:t>
      </w:r>
      <w:r>
        <w:rPr>
          <w:rFonts w:ascii="Calibri" w:hAnsi="Calibri"/>
          <w:color w:val="414042"/>
          <w:w w:val="105"/>
          <w:sz w:val="16"/>
        </w:rPr>
        <w:t>rama</w:t>
      </w:r>
      <w:r>
        <w:rPr>
          <w:rFonts w:ascii="Calibri" w:hAnsi="Calibri"/>
          <w:color w:val="414042"/>
          <w:spacing w:val="-13"/>
          <w:w w:val="105"/>
          <w:sz w:val="16"/>
        </w:rPr>
        <w:t> </w:t>
      </w:r>
      <w:r>
        <w:rPr>
          <w:rFonts w:ascii="Calibri" w:hAnsi="Calibri"/>
          <w:color w:val="414042"/>
          <w:w w:val="105"/>
          <w:sz w:val="16"/>
        </w:rPr>
        <w:t>agroindustrial,</w:t>
      </w:r>
      <w:r>
        <w:rPr>
          <w:rFonts w:ascii="Calibri" w:hAnsi="Calibri"/>
          <w:color w:val="414042"/>
          <w:spacing w:val="-14"/>
          <w:w w:val="105"/>
          <w:sz w:val="16"/>
        </w:rPr>
        <w:t> </w:t>
      </w:r>
      <w:r>
        <w:rPr>
          <w:rFonts w:ascii="Calibri" w:hAnsi="Calibri"/>
          <w:color w:val="414042"/>
          <w:w w:val="105"/>
          <w:sz w:val="16"/>
        </w:rPr>
        <w:t>ya que</w:t>
      </w:r>
      <w:r>
        <w:rPr>
          <w:rFonts w:ascii="Calibri" w:hAnsi="Calibri"/>
          <w:color w:val="414042"/>
          <w:spacing w:val="-10"/>
          <w:w w:val="105"/>
          <w:sz w:val="16"/>
        </w:rPr>
        <w:t> </w:t>
      </w:r>
      <w:r>
        <w:rPr>
          <w:rFonts w:ascii="Calibri" w:hAnsi="Calibri"/>
          <w:color w:val="414042"/>
          <w:w w:val="105"/>
          <w:sz w:val="16"/>
        </w:rPr>
        <w:t>en</w:t>
      </w:r>
      <w:r>
        <w:rPr>
          <w:rFonts w:ascii="Calibri" w:hAnsi="Calibri"/>
          <w:color w:val="414042"/>
          <w:spacing w:val="-10"/>
          <w:w w:val="105"/>
          <w:sz w:val="16"/>
        </w:rPr>
        <w:t> </w:t>
      </w:r>
      <w:r>
        <w:rPr>
          <w:rFonts w:ascii="Calibri" w:hAnsi="Calibri"/>
          <w:color w:val="414042"/>
          <w:w w:val="105"/>
          <w:sz w:val="16"/>
        </w:rPr>
        <w:t>esta</w:t>
      </w:r>
      <w:r>
        <w:rPr>
          <w:rFonts w:ascii="Calibri" w:hAnsi="Calibri"/>
          <w:color w:val="414042"/>
          <w:spacing w:val="-10"/>
          <w:w w:val="105"/>
          <w:sz w:val="16"/>
        </w:rPr>
        <w:t> </w:t>
      </w:r>
      <w:r>
        <w:rPr>
          <w:rFonts w:ascii="Calibri" w:hAnsi="Calibri"/>
          <w:color w:val="414042"/>
          <w:w w:val="105"/>
          <w:sz w:val="16"/>
        </w:rPr>
        <w:t>clase</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procesos</w:t>
      </w:r>
      <w:r>
        <w:rPr>
          <w:rFonts w:ascii="Calibri" w:hAnsi="Calibri"/>
          <w:color w:val="414042"/>
          <w:spacing w:val="-10"/>
          <w:w w:val="105"/>
          <w:sz w:val="16"/>
        </w:rPr>
        <w:t> </w:t>
      </w:r>
      <w:r>
        <w:rPr>
          <w:rFonts w:ascii="Calibri" w:hAnsi="Calibri"/>
          <w:color w:val="414042"/>
          <w:w w:val="105"/>
          <w:sz w:val="16"/>
        </w:rPr>
        <w:t>“se</w:t>
      </w:r>
      <w:r>
        <w:rPr>
          <w:rFonts w:ascii="Calibri" w:hAnsi="Calibri"/>
          <w:color w:val="414042"/>
          <w:spacing w:val="-10"/>
          <w:w w:val="105"/>
          <w:sz w:val="16"/>
        </w:rPr>
        <w:t> </w:t>
      </w:r>
      <w:r>
        <w:rPr>
          <w:rFonts w:ascii="Calibri" w:hAnsi="Calibri"/>
          <w:color w:val="414042"/>
          <w:w w:val="105"/>
          <w:sz w:val="16"/>
        </w:rPr>
        <w:t>adiciona</w:t>
      </w:r>
      <w:r>
        <w:rPr>
          <w:rFonts w:ascii="Calibri" w:hAnsi="Calibri"/>
          <w:color w:val="414042"/>
          <w:spacing w:val="-12"/>
          <w:w w:val="105"/>
          <w:sz w:val="16"/>
        </w:rPr>
        <w:t> </w:t>
      </w:r>
      <w:r>
        <w:rPr>
          <w:rFonts w:ascii="Calibri" w:hAnsi="Calibri"/>
          <w:color w:val="414042"/>
          <w:w w:val="105"/>
          <w:sz w:val="16"/>
        </w:rPr>
        <w:t>valor</w:t>
      </w:r>
      <w:r>
        <w:rPr>
          <w:rFonts w:ascii="Calibri" w:hAnsi="Calibri"/>
          <w:color w:val="414042"/>
          <w:spacing w:val="-10"/>
          <w:w w:val="105"/>
          <w:sz w:val="16"/>
        </w:rPr>
        <w:t> </w:t>
      </w:r>
      <w:r>
        <w:rPr>
          <w:rFonts w:ascii="Calibri" w:hAnsi="Calibri"/>
          <w:color w:val="414042"/>
          <w:w w:val="105"/>
          <w:sz w:val="16"/>
        </w:rPr>
        <w:t>agregado</w:t>
      </w:r>
      <w:r>
        <w:rPr>
          <w:rFonts w:ascii="Calibri" w:hAnsi="Calibri"/>
          <w:color w:val="414042"/>
          <w:spacing w:val="-10"/>
          <w:w w:val="105"/>
          <w:sz w:val="16"/>
        </w:rPr>
        <w:t> </w:t>
      </w:r>
      <w:r>
        <w:rPr>
          <w:rFonts w:ascii="Calibri" w:hAnsi="Calibri"/>
          <w:color w:val="414042"/>
          <w:w w:val="105"/>
          <w:sz w:val="16"/>
        </w:rPr>
        <w:t>a</w:t>
      </w:r>
      <w:r>
        <w:rPr>
          <w:rFonts w:ascii="Calibri" w:hAnsi="Calibri"/>
          <w:color w:val="414042"/>
          <w:spacing w:val="-10"/>
          <w:w w:val="105"/>
          <w:sz w:val="16"/>
        </w:rPr>
        <w:t> </w:t>
      </w:r>
      <w:r>
        <w:rPr>
          <w:rFonts w:ascii="Calibri" w:hAnsi="Calibri"/>
          <w:color w:val="414042"/>
          <w:w w:val="105"/>
          <w:sz w:val="16"/>
        </w:rPr>
        <w:t>los</w:t>
      </w:r>
      <w:r>
        <w:rPr>
          <w:rFonts w:ascii="Calibri" w:hAnsi="Calibri"/>
          <w:color w:val="414042"/>
          <w:spacing w:val="-10"/>
          <w:w w:val="105"/>
          <w:sz w:val="16"/>
        </w:rPr>
        <w:t> </w:t>
      </w:r>
      <w:r>
        <w:rPr>
          <w:rFonts w:ascii="Calibri" w:hAnsi="Calibri"/>
          <w:color w:val="414042"/>
          <w:w w:val="105"/>
          <w:sz w:val="16"/>
        </w:rPr>
        <w:t>diversos</w:t>
      </w:r>
      <w:r>
        <w:rPr>
          <w:rFonts w:ascii="Calibri" w:hAnsi="Calibri"/>
          <w:color w:val="414042"/>
          <w:spacing w:val="-10"/>
          <w:w w:val="105"/>
          <w:sz w:val="16"/>
        </w:rPr>
        <w:t> </w:t>
      </w:r>
      <w:r>
        <w:rPr>
          <w:rFonts w:ascii="Calibri" w:hAnsi="Calibri"/>
          <w:color w:val="414042"/>
          <w:w w:val="105"/>
          <w:sz w:val="16"/>
        </w:rPr>
        <w:t>productos”</w:t>
      </w:r>
      <w:r>
        <w:rPr>
          <w:rFonts w:ascii="Calibri" w:hAnsi="Calibri"/>
          <w:color w:val="414042"/>
          <w:spacing w:val="-10"/>
          <w:w w:val="105"/>
          <w:sz w:val="16"/>
        </w:rPr>
        <w:t> </w:t>
      </w:r>
      <w:r>
        <w:rPr>
          <w:rFonts w:ascii="Calibri" w:hAnsi="Calibri"/>
          <w:color w:val="414042"/>
          <w:w w:val="105"/>
          <w:sz w:val="16"/>
        </w:rPr>
        <w:t>(</w:t>
      </w:r>
      <w:r>
        <w:rPr>
          <w:rFonts w:ascii="Calibri" w:hAnsi="Calibri"/>
          <w:color w:val="414042"/>
          <w:w w:val="105"/>
          <w:sz w:val="13"/>
        </w:rPr>
        <w:t>FIRA</w:t>
      </w:r>
      <w:r>
        <w:rPr>
          <w:rFonts w:ascii="Calibri" w:hAnsi="Calibri"/>
          <w:color w:val="414042"/>
          <w:w w:val="105"/>
          <w:sz w:val="16"/>
        </w:rPr>
        <w:t>,</w:t>
      </w:r>
      <w:r>
        <w:rPr>
          <w:rFonts w:ascii="Calibri" w:hAnsi="Calibri"/>
          <w:color w:val="414042"/>
          <w:spacing w:val="-10"/>
          <w:w w:val="105"/>
          <w:sz w:val="16"/>
        </w:rPr>
        <w:t> </w:t>
      </w:r>
      <w:r>
        <w:rPr>
          <w:rFonts w:ascii="Calibri" w:hAnsi="Calibri"/>
          <w:color w:val="414042"/>
          <w:w w:val="105"/>
          <w:sz w:val="16"/>
        </w:rPr>
        <w:t>1995:</w:t>
      </w:r>
      <w:r>
        <w:rPr>
          <w:rFonts w:ascii="Calibri" w:hAnsi="Calibri"/>
          <w:color w:val="414042"/>
          <w:spacing w:val="-10"/>
          <w:w w:val="105"/>
          <w:sz w:val="16"/>
        </w:rPr>
        <w:t> </w:t>
      </w:r>
      <w:r>
        <w:rPr>
          <w:rFonts w:ascii="Calibri" w:hAnsi="Calibri"/>
          <w:color w:val="414042"/>
          <w:w w:val="105"/>
          <w:sz w:val="16"/>
        </w:rPr>
        <w:t>19)</w:t>
      </w:r>
      <w:r>
        <w:rPr>
          <w:rFonts w:ascii="Calibri" w:hAnsi="Calibri"/>
          <w:color w:val="414042"/>
          <w:spacing w:val="-10"/>
          <w:w w:val="105"/>
          <w:sz w:val="16"/>
        </w:rPr>
        <w:t> </w:t>
      </w:r>
      <w:r>
        <w:rPr>
          <w:rFonts w:ascii="Calibri" w:hAnsi="Calibri"/>
          <w:color w:val="414042"/>
          <w:w w:val="105"/>
          <w:sz w:val="16"/>
        </w:rPr>
        <w:t>me- diante</w:t>
      </w:r>
      <w:r>
        <w:rPr>
          <w:rFonts w:ascii="Calibri" w:hAnsi="Calibri"/>
          <w:color w:val="414042"/>
          <w:spacing w:val="-21"/>
          <w:w w:val="105"/>
          <w:sz w:val="16"/>
        </w:rPr>
        <w:t> </w:t>
      </w:r>
      <w:r>
        <w:rPr>
          <w:rFonts w:ascii="Calibri" w:hAnsi="Calibri"/>
          <w:color w:val="414042"/>
          <w:w w:val="105"/>
          <w:sz w:val="16"/>
        </w:rPr>
        <w:t>cada</w:t>
      </w:r>
      <w:r>
        <w:rPr>
          <w:rFonts w:ascii="Calibri" w:hAnsi="Calibri"/>
          <w:color w:val="414042"/>
          <w:spacing w:val="-21"/>
          <w:w w:val="105"/>
          <w:sz w:val="16"/>
        </w:rPr>
        <w:t> </w:t>
      </w:r>
      <w:r>
        <w:rPr>
          <w:rFonts w:ascii="Calibri" w:hAnsi="Calibri"/>
          <w:color w:val="414042"/>
          <w:w w:val="105"/>
          <w:sz w:val="16"/>
        </w:rPr>
        <w:t>fase</w:t>
      </w:r>
      <w:r>
        <w:rPr>
          <w:rFonts w:ascii="Calibri" w:hAnsi="Calibri"/>
          <w:color w:val="414042"/>
          <w:spacing w:val="-21"/>
          <w:w w:val="105"/>
          <w:sz w:val="16"/>
        </w:rPr>
        <w:t> </w:t>
      </w:r>
      <w:r>
        <w:rPr>
          <w:rFonts w:ascii="Calibri" w:hAnsi="Calibri"/>
          <w:color w:val="414042"/>
          <w:w w:val="105"/>
          <w:sz w:val="16"/>
        </w:rPr>
        <w:t>del</w:t>
      </w:r>
      <w:r>
        <w:rPr>
          <w:rFonts w:ascii="Calibri" w:hAnsi="Calibri"/>
          <w:color w:val="414042"/>
          <w:spacing w:val="-21"/>
          <w:w w:val="105"/>
          <w:sz w:val="16"/>
        </w:rPr>
        <w:t> </w:t>
      </w:r>
      <w:r>
        <w:rPr>
          <w:rFonts w:ascii="Calibri" w:hAnsi="Calibri"/>
          <w:color w:val="414042"/>
          <w:w w:val="105"/>
          <w:sz w:val="16"/>
        </w:rPr>
        <w:t>proceso</w:t>
      </w:r>
      <w:r>
        <w:rPr>
          <w:rFonts w:ascii="Calibri" w:hAnsi="Calibri"/>
          <w:color w:val="414042"/>
          <w:spacing w:val="-21"/>
          <w:w w:val="105"/>
          <w:sz w:val="16"/>
        </w:rPr>
        <w:t> </w:t>
      </w:r>
      <w:r>
        <w:rPr>
          <w:rFonts w:ascii="Calibri" w:hAnsi="Calibri"/>
          <w:color w:val="414042"/>
          <w:w w:val="105"/>
          <w:sz w:val="16"/>
        </w:rPr>
        <w:t>productivo:</w:t>
      </w:r>
      <w:r>
        <w:rPr>
          <w:rFonts w:ascii="Calibri" w:hAnsi="Calibri"/>
          <w:color w:val="414042"/>
          <w:spacing w:val="-21"/>
          <w:w w:val="105"/>
          <w:sz w:val="16"/>
        </w:rPr>
        <w:t> </w:t>
      </w:r>
      <w:r>
        <w:rPr>
          <w:rFonts w:ascii="Calibri" w:hAnsi="Calibri"/>
          <w:color w:val="414042"/>
          <w:w w:val="105"/>
          <w:sz w:val="16"/>
        </w:rPr>
        <w:t>acopio,</w:t>
      </w:r>
      <w:r>
        <w:rPr>
          <w:rFonts w:ascii="Calibri" w:hAnsi="Calibri"/>
          <w:color w:val="414042"/>
          <w:spacing w:val="-21"/>
          <w:w w:val="105"/>
          <w:sz w:val="16"/>
        </w:rPr>
        <w:t> </w:t>
      </w:r>
      <w:r>
        <w:rPr>
          <w:rFonts w:ascii="Calibri" w:hAnsi="Calibri"/>
          <w:color w:val="414042"/>
          <w:w w:val="105"/>
          <w:sz w:val="16"/>
        </w:rPr>
        <w:t>selección,</w:t>
      </w:r>
      <w:r>
        <w:rPr>
          <w:rFonts w:ascii="Calibri" w:hAnsi="Calibri"/>
          <w:color w:val="414042"/>
          <w:spacing w:val="-21"/>
          <w:w w:val="105"/>
          <w:sz w:val="16"/>
        </w:rPr>
        <w:t> </w:t>
      </w:r>
      <w:r>
        <w:rPr>
          <w:rFonts w:ascii="Calibri" w:hAnsi="Calibri"/>
          <w:color w:val="414042"/>
          <w:w w:val="105"/>
          <w:sz w:val="16"/>
        </w:rPr>
        <w:t>empaque</w:t>
      </w:r>
      <w:r>
        <w:rPr>
          <w:rFonts w:ascii="Calibri" w:hAnsi="Calibri"/>
          <w:color w:val="414042"/>
          <w:spacing w:val="-22"/>
          <w:w w:val="105"/>
          <w:sz w:val="16"/>
        </w:rPr>
        <w:t> </w:t>
      </w:r>
      <w:r>
        <w:rPr>
          <w:rFonts w:ascii="Calibri" w:hAnsi="Calibri"/>
          <w:color w:val="414042"/>
          <w:w w:val="105"/>
          <w:sz w:val="16"/>
        </w:rPr>
        <w:t>y</w:t>
      </w:r>
      <w:r>
        <w:rPr>
          <w:rFonts w:ascii="Calibri" w:hAnsi="Calibri"/>
          <w:color w:val="414042"/>
          <w:spacing w:val="-21"/>
          <w:w w:val="105"/>
          <w:sz w:val="16"/>
        </w:rPr>
        <w:t> </w:t>
      </w:r>
      <w:r>
        <w:rPr>
          <w:rFonts w:ascii="Calibri" w:hAnsi="Calibri"/>
          <w:color w:val="414042"/>
          <w:w w:val="105"/>
          <w:sz w:val="16"/>
        </w:rPr>
        <w:t>refrigeración.</w:t>
      </w:r>
    </w:p>
    <w:p>
      <w:pPr>
        <w:spacing w:after="0" w:line="192" w:lineRule="exact"/>
        <w:jc w:val="both"/>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34"/>
        <w:jc w:val="both"/>
      </w:pPr>
      <w:r>
        <w:rPr/>
        <w:pict>
          <v:line style="position:absolute;mso-position-horizontal-relative:page;mso-position-vertical-relative:paragraph;z-index:9664" from="15pt,-68.636444pt" to="0pt,-68.636444pt" stroked="true" strokeweight=".25pt" strokecolor="#000000">
            <w10:wrap type="none"/>
          </v:line>
        </w:pict>
      </w:r>
      <w:r>
        <w:rPr/>
        <w:pict>
          <v:line style="position:absolute;mso-position-horizontal-relative:page;mso-position-vertical-relative:paragraph;z-index:9688" from="508.890015pt,-68.636444pt" to="523.890015pt,-68.636444pt" stroked="true" strokeweight=".25pt" strokecolor="#000000">
            <w10:wrap type="none"/>
          </v:line>
        </w:pict>
      </w:r>
      <w:r>
        <w:rPr>
          <w:color w:val="231F20"/>
          <w:w w:val="105"/>
        </w:rPr>
        <w:t>protección</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flores</w:t>
      </w:r>
      <w:r>
        <w:rPr>
          <w:color w:val="231F20"/>
          <w:spacing w:val="-12"/>
          <w:w w:val="105"/>
        </w:rPr>
        <w:t> </w:t>
      </w:r>
      <w:r>
        <w:rPr>
          <w:color w:val="231F20"/>
          <w:w w:val="105"/>
        </w:rPr>
        <w:t>y</w:t>
      </w:r>
      <w:r>
        <w:rPr>
          <w:color w:val="231F20"/>
          <w:spacing w:val="-12"/>
          <w:w w:val="105"/>
        </w:rPr>
        <w:t> </w:t>
      </w:r>
      <w:r>
        <w:rPr>
          <w:color w:val="231F20"/>
          <w:w w:val="105"/>
        </w:rPr>
        <w:t>plantas</w:t>
      </w:r>
      <w:r>
        <w:rPr>
          <w:color w:val="231F20"/>
          <w:spacing w:val="-11"/>
          <w:w w:val="105"/>
        </w:rPr>
        <w:t> </w:t>
      </w:r>
      <w:r>
        <w:rPr>
          <w:color w:val="231F20"/>
          <w:w w:val="105"/>
        </w:rPr>
        <w:t>frente</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1"/>
          <w:w w:val="105"/>
        </w:rPr>
        <w:t> </w:t>
      </w:r>
      <w:r>
        <w:rPr>
          <w:color w:val="231F20"/>
          <w:w w:val="105"/>
        </w:rPr>
        <w:t>inclemencias</w:t>
      </w:r>
      <w:r>
        <w:rPr>
          <w:color w:val="231F20"/>
          <w:spacing w:val="-11"/>
          <w:w w:val="105"/>
        </w:rPr>
        <w:t> </w:t>
      </w:r>
      <w:r>
        <w:rPr>
          <w:color w:val="231F20"/>
          <w:w w:val="105"/>
        </w:rPr>
        <w:t>del</w:t>
      </w:r>
      <w:r>
        <w:rPr>
          <w:color w:val="231F20"/>
          <w:spacing w:val="-11"/>
          <w:w w:val="105"/>
        </w:rPr>
        <w:t> </w:t>
      </w:r>
      <w:r>
        <w:rPr>
          <w:color w:val="231F20"/>
          <w:w w:val="105"/>
        </w:rPr>
        <w:t>clima,</w:t>
      </w:r>
      <w:r>
        <w:rPr>
          <w:color w:val="231F20"/>
          <w:spacing w:val="-18"/>
          <w:w w:val="105"/>
        </w:rPr>
        <w:t> </w:t>
      </w:r>
      <w:r>
        <w:rPr>
          <w:color w:val="231F20"/>
          <w:w w:val="105"/>
        </w:rPr>
        <w:t>por ejemplo el uso de invernaderos rudimentarios y sencillos con varillas y </w:t>
      </w:r>
      <w:r>
        <w:rPr>
          <w:color w:val="231F20"/>
        </w:rPr>
        <w:t>plásticos (Castro,</w:t>
      </w:r>
      <w:r>
        <w:rPr>
          <w:color w:val="231F20"/>
          <w:spacing w:val="24"/>
        </w:rPr>
        <w:t> </w:t>
      </w:r>
      <w:r>
        <w:rPr>
          <w:color w:val="231F20"/>
        </w:rPr>
        <w:t>2003).</w:t>
      </w:r>
    </w:p>
    <w:p>
      <w:pPr>
        <w:pStyle w:val="BodyText"/>
        <w:spacing w:line="261" w:lineRule="auto" w:before="1"/>
        <w:ind w:left="1723" w:right="1829" w:firstLine="567"/>
        <w:jc w:val="both"/>
        <w:rPr>
          <w:sz w:val="12"/>
        </w:rPr>
      </w:pPr>
      <w:r>
        <w:rPr>
          <w:color w:val="231F20"/>
          <w:w w:val="105"/>
        </w:rPr>
        <w:t>El</w:t>
      </w:r>
      <w:r>
        <w:rPr>
          <w:color w:val="231F20"/>
          <w:spacing w:val="-9"/>
          <w:w w:val="105"/>
        </w:rPr>
        <w:t> </w:t>
      </w:r>
      <w:r>
        <w:rPr>
          <w:color w:val="231F20"/>
          <w:w w:val="105"/>
        </w:rPr>
        <w:t>reducido</w:t>
      </w:r>
      <w:r>
        <w:rPr>
          <w:color w:val="231F20"/>
          <w:spacing w:val="-9"/>
          <w:w w:val="105"/>
        </w:rPr>
        <w:t> </w:t>
      </w:r>
      <w:r>
        <w:rPr>
          <w:color w:val="231F20"/>
          <w:w w:val="105"/>
        </w:rPr>
        <w:t>grupo</w:t>
      </w:r>
      <w:r>
        <w:rPr>
          <w:color w:val="231F20"/>
          <w:spacing w:val="-9"/>
          <w:w w:val="105"/>
        </w:rPr>
        <w:t> </w:t>
      </w:r>
      <w:r>
        <w:rPr>
          <w:color w:val="231F20"/>
          <w:w w:val="105"/>
        </w:rPr>
        <w:t>de</w:t>
      </w:r>
      <w:r>
        <w:rPr>
          <w:color w:val="231F20"/>
          <w:spacing w:val="-9"/>
          <w:w w:val="105"/>
        </w:rPr>
        <w:t> </w:t>
      </w:r>
      <w:r>
        <w:rPr>
          <w:color w:val="231F20"/>
          <w:w w:val="105"/>
        </w:rPr>
        <w:t>empresas</w:t>
      </w:r>
      <w:r>
        <w:rPr>
          <w:color w:val="231F20"/>
          <w:spacing w:val="-9"/>
          <w:w w:val="105"/>
        </w:rPr>
        <w:t> </w:t>
      </w:r>
      <w:r>
        <w:rPr>
          <w:color w:val="231F20"/>
          <w:w w:val="105"/>
        </w:rPr>
        <w:t>de</w:t>
      </w:r>
      <w:r>
        <w:rPr>
          <w:color w:val="231F20"/>
          <w:spacing w:val="-9"/>
          <w:w w:val="105"/>
        </w:rPr>
        <w:t> </w:t>
      </w:r>
      <w:r>
        <w:rPr>
          <w:color w:val="231F20"/>
          <w:w w:val="105"/>
        </w:rPr>
        <w:t>exportación</w:t>
      </w:r>
      <w:r>
        <w:rPr>
          <w:color w:val="231F20"/>
          <w:spacing w:val="-9"/>
          <w:w w:val="105"/>
        </w:rPr>
        <w:t> </w:t>
      </w:r>
      <w:r>
        <w:rPr>
          <w:color w:val="231F20"/>
          <w:w w:val="105"/>
        </w:rPr>
        <w:t>son</w:t>
      </w:r>
      <w:r>
        <w:rPr>
          <w:color w:val="231F20"/>
          <w:spacing w:val="-9"/>
          <w:w w:val="105"/>
        </w:rPr>
        <w:t> </w:t>
      </w:r>
      <w:r>
        <w:rPr>
          <w:color w:val="231F20"/>
          <w:w w:val="105"/>
        </w:rPr>
        <w:t>un</w:t>
      </w:r>
      <w:r>
        <w:rPr>
          <w:color w:val="231F20"/>
          <w:spacing w:val="-9"/>
          <w:w w:val="105"/>
        </w:rPr>
        <w:t> </w:t>
      </w:r>
      <w:r>
        <w:rPr>
          <w:color w:val="231F20"/>
          <w:w w:val="105"/>
        </w:rPr>
        <w:t>claro</w:t>
      </w:r>
      <w:r>
        <w:rPr>
          <w:color w:val="231F20"/>
          <w:spacing w:val="-9"/>
          <w:w w:val="105"/>
        </w:rPr>
        <w:t> </w:t>
      </w:r>
      <w:r>
        <w:rPr>
          <w:color w:val="231F20"/>
          <w:w w:val="105"/>
        </w:rPr>
        <w:t>ejem- plo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agricultura</w:t>
      </w:r>
      <w:r>
        <w:rPr>
          <w:color w:val="231F20"/>
          <w:spacing w:val="-16"/>
          <w:w w:val="105"/>
        </w:rPr>
        <w:t> </w:t>
      </w:r>
      <w:r>
        <w:rPr>
          <w:color w:val="231F20"/>
          <w:w w:val="105"/>
        </w:rPr>
        <w:t>moderna.</w:t>
      </w:r>
      <w:r>
        <w:rPr>
          <w:color w:val="231F20"/>
          <w:spacing w:val="-23"/>
          <w:w w:val="105"/>
        </w:rPr>
        <w:t> </w:t>
      </w:r>
      <w:r>
        <w:rPr>
          <w:color w:val="231F20"/>
          <w:w w:val="105"/>
        </w:rPr>
        <w:t>Su</w:t>
      </w:r>
      <w:r>
        <w:rPr>
          <w:color w:val="231F20"/>
          <w:spacing w:val="-16"/>
          <w:w w:val="105"/>
        </w:rPr>
        <w:t> </w:t>
      </w:r>
      <w:r>
        <w:rPr>
          <w:color w:val="231F20"/>
          <w:w w:val="105"/>
        </w:rPr>
        <w:t>producción,</w:t>
      </w:r>
      <w:r>
        <w:rPr>
          <w:color w:val="231F20"/>
          <w:spacing w:val="-23"/>
          <w:w w:val="105"/>
        </w:rPr>
        <w:t> </w:t>
      </w:r>
      <w:r>
        <w:rPr>
          <w:color w:val="231F20"/>
          <w:w w:val="105"/>
        </w:rPr>
        <w:t>además</w:t>
      </w:r>
      <w:r>
        <w:rPr>
          <w:color w:val="231F20"/>
          <w:spacing w:val="-16"/>
          <w:w w:val="105"/>
        </w:rPr>
        <w:t> </w:t>
      </w:r>
      <w:r>
        <w:rPr>
          <w:color w:val="231F20"/>
          <w:w w:val="105"/>
        </w:rPr>
        <w:t>de</w:t>
      </w:r>
      <w:r>
        <w:rPr>
          <w:color w:val="231F20"/>
          <w:spacing w:val="-16"/>
          <w:w w:val="105"/>
        </w:rPr>
        <w:t> </w:t>
      </w:r>
      <w:r>
        <w:rPr>
          <w:color w:val="231F20"/>
          <w:w w:val="105"/>
        </w:rPr>
        <w:t>contar</w:t>
      </w:r>
      <w:r>
        <w:rPr>
          <w:color w:val="231F20"/>
          <w:spacing w:val="-16"/>
          <w:w w:val="105"/>
        </w:rPr>
        <w:t> </w:t>
      </w:r>
      <w:r>
        <w:rPr>
          <w:color w:val="231F20"/>
          <w:w w:val="105"/>
        </w:rPr>
        <w:t>con</w:t>
      </w:r>
      <w:r>
        <w:rPr>
          <w:color w:val="231F20"/>
          <w:spacing w:val="-16"/>
          <w:w w:val="105"/>
        </w:rPr>
        <w:t> </w:t>
      </w:r>
      <w:r>
        <w:rPr>
          <w:color w:val="231F20"/>
          <w:w w:val="105"/>
        </w:rPr>
        <w:t>tec- nología</w:t>
      </w:r>
      <w:r>
        <w:rPr>
          <w:color w:val="231F20"/>
          <w:spacing w:val="-27"/>
          <w:w w:val="105"/>
        </w:rPr>
        <w:t> </w:t>
      </w:r>
      <w:r>
        <w:rPr>
          <w:color w:val="231F20"/>
          <w:w w:val="105"/>
        </w:rPr>
        <w:t>de</w:t>
      </w:r>
      <w:r>
        <w:rPr>
          <w:color w:val="231F20"/>
          <w:spacing w:val="-27"/>
          <w:w w:val="105"/>
        </w:rPr>
        <w:t> </w:t>
      </w:r>
      <w:r>
        <w:rPr>
          <w:color w:val="231F20"/>
          <w:w w:val="105"/>
        </w:rPr>
        <w:t>alto</w:t>
      </w:r>
      <w:r>
        <w:rPr>
          <w:color w:val="231F20"/>
          <w:spacing w:val="-27"/>
          <w:w w:val="105"/>
        </w:rPr>
        <w:t> </w:t>
      </w:r>
      <w:r>
        <w:rPr>
          <w:color w:val="231F20"/>
          <w:w w:val="105"/>
        </w:rPr>
        <w:t>nivel,</w:t>
      </w:r>
      <w:r>
        <w:rPr>
          <w:color w:val="231F20"/>
          <w:spacing w:val="-32"/>
          <w:w w:val="105"/>
        </w:rPr>
        <w:t> </w:t>
      </w:r>
      <w:r>
        <w:rPr>
          <w:color w:val="231F20"/>
          <w:w w:val="105"/>
        </w:rPr>
        <w:t>está</w:t>
      </w:r>
      <w:r>
        <w:rPr>
          <w:color w:val="231F20"/>
          <w:spacing w:val="-27"/>
          <w:w w:val="105"/>
        </w:rPr>
        <w:t> </w:t>
      </w:r>
      <w:r>
        <w:rPr>
          <w:color w:val="231F20"/>
          <w:w w:val="105"/>
        </w:rPr>
        <w:t>vinculada</w:t>
      </w:r>
      <w:r>
        <w:rPr>
          <w:color w:val="231F20"/>
          <w:spacing w:val="-27"/>
          <w:w w:val="105"/>
        </w:rPr>
        <w:t> </w:t>
      </w:r>
      <w:r>
        <w:rPr>
          <w:color w:val="231F20"/>
          <w:w w:val="105"/>
        </w:rPr>
        <w:t>a</w:t>
      </w:r>
      <w:r>
        <w:rPr>
          <w:color w:val="231F20"/>
          <w:spacing w:val="-27"/>
          <w:w w:val="105"/>
        </w:rPr>
        <w:t> </w:t>
      </w:r>
      <w:r>
        <w:rPr>
          <w:color w:val="231F20"/>
          <w:w w:val="105"/>
        </w:rPr>
        <w:t>capitales</w:t>
      </w:r>
      <w:r>
        <w:rPr>
          <w:color w:val="231F20"/>
          <w:spacing w:val="-27"/>
          <w:w w:val="105"/>
        </w:rPr>
        <w:t> </w:t>
      </w:r>
      <w:r>
        <w:rPr>
          <w:color w:val="231F20"/>
          <w:w w:val="105"/>
        </w:rPr>
        <w:t>extranjeros</w:t>
      </w:r>
      <w:r>
        <w:rPr>
          <w:color w:val="231F20"/>
          <w:spacing w:val="-27"/>
          <w:w w:val="105"/>
        </w:rPr>
        <w:t> </w:t>
      </w:r>
      <w:r>
        <w:rPr>
          <w:color w:val="231F20"/>
          <w:w w:val="105"/>
        </w:rPr>
        <w:t>y</w:t>
      </w:r>
      <w:r>
        <w:rPr>
          <w:color w:val="231F20"/>
          <w:spacing w:val="-27"/>
          <w:w w:val="105"/>
        </w:rPr>
        <w:t> </w:t>
      </w:r>
      <w:r>
        <w:rPr>
          <w:color w:val="231F20"/>
          <w:w w:val="105"/>
        </w:rPr>
        <w:t>de</w:t>
      </w:r>
      <w:r>
        <w:rPr>
          <w:color w:val="231F20"/>
          <w:spacing w:val="-27"/>
          <w:w w:val="105"/>
        </w:rPr>
        <w:t> </w:t>
      </w:r>
      <w:r>
        <w:rPr>
          <w:color w:val="231F20"/>
          <w:w w:val="105"/>
        </w:rPr>
        <w:t>una</w:t>
      </w:r>
      <w:r>
        <w:rPr>
          <w:color w:val="231F20"/>
          <w:spacing w:val="-27"/>
          <w:w w:val="105"/>
        </w:rPr>
        <w:t> </w:t>
      </w:r>
      <w:r>
        <w:rPr>
          <w:color w:val="231F20"/>
          <w:w w:val="105"/>
        </w:rPr>
        <w:t>u</w:t>
      </w:r>
      <w:r>
        <w:rPr>
          <w:color w:val="231F20"/>
          <w:spacing w:val="-27"/>
          <w:w w:val="105"/>
        </w:rPr>
        <w:t> </w:t>
      </w:r>
      <w:r>
        <w:rPr>
          <w:color w:val="231F20"/>
          <w:w w:val="105"/>
        </w:rPr>
        <w:t>otra manera han aprovechado las políticas de modernización agropecuaria, ya</w:t>
      </w:r>
      <w:r>
        <w:rPr>
          <w:color w:val="231F20"/>
          <w:spacing w:val="-10"/>
          <w:w w:val="105"/>
        </w:rPr>
        <w:t> </w:t>
      </w:r>
      <w:r>
        <w:rPr>
          <w:color w:val="231F20"/>
          <w:w w:val="105"/>
        </w:rPr>
        <w:t>sea</w:t>
      </w:r>
      <w:r>
        <w:rPr>
          <w:color w:val="231F20"/>
          <w:spacing w:val="-10"/>
          <w:w w:val="105"/>
        </w:rPr>
        <w:t> </w:t>
      </w:r>
      <w:r>
        <w:rPr>
          <w:color w:val="231F20"/>
          <w:w w:val="105"/>
        </w:rPr>
        <w:t>mediante</w:t>
      </w:r>
      <w:r>
        <w:rPr>
          <w:color w:val="231F20"/>
          <w:spacing w:val="-10"/>
          <w:w w:val="105"/>
        </w:rPr>
        <w:t> </w:t>
      </w:r>
      <w:r>
        <w:rPr>
          <w:color w:val="231F20"/>
          <w:w w:val="105"/>
        </w:rPr>
        <w:t>el</w:t>
      </w:r>
      <w:r>
        <w:rPr>
          <w:color w:val="231F20"/>
          <w:spacing w:val="-10"/>
          <w:w w:val="105"/>
        </w:rPr>
        <w:t> </w:t>
      </w:r>
      <w:r>
        <w:rPr>
          <w:color w:val="231F20"/>
          <w:w w:val="105"/>
        </w:rPr>
        <w:t>crédito,</w:t>
      </w:r>
      <w:r>
        <w:rPr>
          <w:color w:val="231F20"/>
          <w:spacing w:val="-15"/>
          <w:w w:val="105"/>
        </w:rPr>
        <w:t> </w:t>
      </w:r>
      <w:r>
        <w:rPr>
          <w:color w:val="231F20"/>
          <w:w w:val="105"/>
        </w:rPr>
        <w:t>mediante</w:t>
      </w:r>
      <w:r>
        <w:rPr>
          <w:color w:val="231F20"/>
          <w:spacing w:val="-10"/>
          <w:w w:val="105"/>
        </w:rPr>
        <w:t> </w:t>
      </w:r>
      <w:r>
        <w:rPr>
          <w:color w:val="231F20"/>
          <w:w w:val="105"/>
        </w:rPr>
        <w:t>el</w:t>
      </w:r>
      <w:r>
        <w:rPr>
          <w:color w:val="231F20"/>
          <w:spacing w:val="-10"/>
          <w:w w:val="105"/>
        </w:rPr>
        <w:t> </w:t>
      </w:r>
      <w:r>
        <w:rPr>
          <w:color w:val="231F20"/>
          <w:w w:val="105"/>
        </w:rPr>
        <w:t>usufructo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tierra</w:t>
      </w:r>
      <w:r>
        <w:rPr>
          <w:color w:val="231F20"/>
          <w:spacing w:val="-10"/>
          <w:w w:val="105"/>
        </w:rPr>
        <w:t> </w:t>
      </w:r>
      <w:r>
        <w:rPr>
          <w:color w:val="231F20"/>
          <w:w w:val="105"/>
        </w:rPr>
        <w:t>y</w:t>
      </w:r>
      <w:r>
        <w:rPr>
          <w:color w:val="231F20"/>
          <w:spacing w:val="-10"/>
          <w:w w:val="105"/>
        </w:rPr>
        <w:t> </w:t>
      </w:r>
      <w:r>
        <w:rPr>
          <w:color w:val="231F20"/>
          <w:w w:val="105"/>
        </w:rPr>
        <w:t>los</w:t>
      </w:r>
      <w:r>
        <w:rPr>
          <w:color w:val="231F20"/>
          <w:spacing w:val="-10"/>
          <w:w w:val="105"/>
        </w:rPr>
        <w:t> </w:t>
      </w:r>
      <w:r>
        <w:rPr>
          <w:color w:val="231F20"/>
          <w:w w:val="105"/>
        </w:rPr>
        <w:t>recur- sos</w:t>
      </w:r>
      <w:r>
        <w:rPr>
          <w:color w:val="231F20"/>
          <w:spacing w:val="-27"/>
          <w:w w:val="105"/>
        </w:rPr>
        <w:t> </w:t>
      </w:r>
      <w:r>
        <w:rPr>
          <w:color w:val="231F20"/>
          <w:w w:val="105"/>
        </w:rPr>
        <w:t>hídricos,</w:t>
      </w:r>
      <w:r>
        <w:rPr>
          <w:color w:val="231F20"/>
          <w:spacing w:val="-31"/>
          <w:w w:val="105"/>
        </w:rPr>
        <w:t> </w:t>
      </w:r>
      <w:r>
        <w:rPr>
          <w:color w:val="231F20"/>
          <w:w w:val="105"/>
        </w:rPr>
        <w:t>el</w:t>
      </w:r>
      <w:r>
        <w:rPr>
          <w:color w:val="231F20"/>
          <w:spacing w:val="-27"/>
          <w:w w:val="105"/>
        </w:rPr>
        <w:t> </w:t>
      </w:r>
      <w:r>
        <w:rPr>
          <w:color w:val="231F20"/>
          <w:w w:val="105"/>
        </w:rPr>
        <w:t>aprovechamiento</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inversión</w:t>
      </w:r>
      <w:r>
        <w:rPr>
          <w:color w:val="231F20"/>
          <w:spacing w:val="-27"/>
          <w:w w:val="105"/>
        </w:rPr>
        <w:t> </w:t>
      </w:r>
      <w:r>
        <w:rPr>
          <w:color w:val="231F20"/>
          <w:w w:val="105"/>
        </w:rPr>
        <w:t>oficial</w:t>
      </w:r>
      <w:r>
        <w:rPr>
          <w:color w:val="231F20"/>
          <w:spacing w:val="-27"/>
          <w:w w:val="105"/>
        </w:rPr>
        <w:t> </w:t>
      </w:r>
      <w:r>
        <w:rPr>
          <w:color w:val="231F20"/>
          <w:w w:val="105"/>
        </w:rPr>
        <w:t>en</w:t>
      </w:r>
      <w:r>
        <w:rPr>
          <w:color w:val="231F20"/>
          <w:spacing w:val="-27"/>
          <w:w w:val="105"/>
        </w:rPr>
        <w:t> </w:t>
      </w:r>
      <w:r>
        <w:rPr>
          <w:color w:val="231F20"/>
          <w:w w:val="105"/>
        </w:rPr>
        <w:t>infraestructura</w:t>
      </w:r>
      <w:r>
        <w:rPr>
          <w:color w:val="231F20"/>
          <w:w w:val="105"/>
          <w:position w:val="7"/>
          <w:sz w:val="12"/>
        </w:rPr>
        <w:t>4 </w:t>
      </w:r>
      <w:r>
        <w:rPr>
          <w:color w:val="231F20"/>
          <w:w w:val="105"/>
        </w:rPr>
        <w:t>o</w:t>
      </w:r>
      <w:r>
        <w:rPr>
          <w:color w:val="231F20"/>
          <w:spacing w:val="-16"/>
          <w:w w:val="105"/>
        </w:rPr>
        <w:t> </w:t>
      </w:r>
      <w:r>
        <w:rPr>
          <w:color w:val="231F20"/>
          <w:w w:val="105"/>
        </w:rPr>
        <w:t>bien</w:t>
      </w:r>
      <w:r>
        <w:rPr>
          <w:color w:val="231F20"/>
          <w:spacing w:val="-16"/>
          <w:w w:val="105"/>
        </w:rPr>
        <w:t> </w:t>
      </w:r>
      <w:r>
        <w:rPr>
          <w:color w:val="231F20"/>
          <w:w w:val="105"/>
        </w:rPr>
        <w:t>a</w:t>
      </w:r>
      <w:r>
        <w:rPr>
          <w:color w:val="231F20"/>
          <w:spacing w:val="-16"/>
          <w:w w:val="105"/>
        </w:rPr>
        <w:t> </w:t>
      </w:r>
      <w:r>
        <w:rPr>
          <w:color w:val="231F20"/>
          <w:w w:val="105"/>
        </w:rPr>
        <w:t>través</w:t>
      </w:r>
      <w:r>
        <w:rPr>
          <w:color w:val="231F20"/>
          <w:spacing w:val="-16"/>
          <w:w w:val="105"/>
        </w:rPr>
        <w:t> </w:t>
      </w:r>
      <w:r>
        <w:rPr>
          <w:color w:val="231F20"/>
          <w:w w:val="105"/>
        </w:rPr>
        <w:t>la</w:t>
      </w:r>
      <w:r>
        <w:rPr>
          <w:color w:val="231F20"/>
          <w:spacing w:val="-16"/>
          <w:w w:val="105"/>
        </w:rPr>
        <w:t> </w:t>
      </w:r>
      <w:r>
        <w:rPr>
          <w:color w:val="231F20"/>
          <w:w w:val="105"/>
        </w:rPr>
        <w:t>conformación</w:t>
      </w:r>
      <w:r>
        <w:rPr>
          <w:color w:val="231F20"/>
          <w:spacing w:val="-16"/>
          <w:w w:val="105"/>
        </w:rPr>
        <w:t> </w:t>
      </w:r>
      <w:r>
        <w:rPr>
          <w:color w:val="231F20"/>
          <w:w w:val="105"/>
        </w:rPr>
        <w:t>de</w:t>
      </w:r>
      <w:r>
        <w:rPr>
          <w:color w:val="231F20"/>
          <w:spacing w:val="-16"/>
          <w:w w:val="105"/>
        </w:rPr>
        <w:t> </w:t>
      </w:r>
      <w:r>
        <w:rPr>
          <w:color w:val="231F20"/>
          <w:w w:val="105"/>
        </w:rPr>
        <w:t>organizaciones</w:t>
      </w:r>
      <w:r>
        <w:rPr>
          <w:color w:val="231F20"/>
          <w:spacing w:val="-16"/>
          <w:w w:val="105"/>
        </w:rPr>
        <w:t> </w:t>
      </w:r>
      <w:r>
        <w:rPr>
          <w:color w:val="231F20"/>
          <w:w w:val="105"/>
        </w:rPr>
        <w:t>para</w:t>
      </w:r>
      <w:r>
        <w:rPr>
          <w:color w:val="231F20"/>
          <w:spacing w:val="-16"/>
          <w:w w:val="105"/>
        </w:rPr>
        <w:t> </w:t>
      </w:r>
      <w:r>
        <w:rPr>
          <w:color w:val="231F20"/>
          <w:w w:val="105"/>
        </w:rPr>
        <w:t>el</w:t>
      </w:r>
      <w:r>
        <w:rPr>
          <w:color w:val="231F20"/>
          <w:spacing w:val="-16"/>
          <w:w w:val="105"/>
        </w:rPr>
        <w:t> </w:t>
      </w:r>
      <w:r>
        <w:rPr>
          <w:color w:val="231F20"/>
          <w:w w:val="105"/>
        </w:rPr>
        <w:t>impulso</w:t>
      </w:r>
      <w:r>
        <w:rPr>
          <w:color w:val="231F20"/>
          <w:spacing w:val="-16"/>
          <w:w w:val="105"/>
        </w:rPr>
        <w:t> </w:t>
      </w:r>
      <w:r>
        <w:rPr>
          <w:color w:val="231F20"/>
          <w:w w:val="105"/>
        </w:rPr>
        <w:t>de</w:t>
      </w:r>
      <w:r>
        <w:rPr>
          <w:color w:val="231F20"/>
          <w:spacing w:val="-16"/>
          <w:w w:val="105"/>
        </w:rPr>
        <w:t> </w:t>
      </w:r>
      <w:r>
        <w:rPr>
          <w:color w:val="231F20"/>
          <w:w w:val="105"/>
        </w:rPr>
        <w:t>las exportaciones</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gestión</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apoyos</w:t>
      </w:r>
      <w:r>
        <w:rPr>
          <w:color w:val="231F20"/>
          <w:spacing w:val="-18"/>
          <w:w w:val="105"/>
        </w:rPr>
        <w:t> </w:t>
      </w:r>
      <w:r>
        <w:rPr>
          <w:color w:val="231F20"/>
          <w:w w:val="105"/>
        </w:rPr>
        <w:t>oficiales.</w:t>
      </w:r>
      <w:r>
        <w:rPr>
          <w:color w:val="231F20"/>
          <w:w w:val="105"/>
          <w:position w:val="7"/>
          <w:sz w:val="12"/>
        </w:rPr>
        <w:t>5</w:t>
      </w:r>
    </w:p>
    <w:p>
      <w:pPr>
        <w:pStyle w:val="BodyText"/>
        <w:spacing w:line="261" w:lineRule="auto" w:before="1"/>
        <w:ind w:left="1723" w:right="1834" w:firstLine="567"/>
        <w:jc w:val="both"/>
      </w:pPr>
      <w:r>
        <w:rPr>
          <w:color w:val="231F20"/>
          <w:spacing w:val="-6"/>
          <w:w w:val="105"/>
        </w:rPr>
        <w:t>Por</w:t>
      </w:r>
      <w:r>
        <w:rPr>
          <w:color w:val="231F20"/>
          <w:spacing w:val="-9"/>
          <w:w w:val="105"/>
        </w:rPr>
        <w:t> </w:t>
      </w:r>
      <w:r>
        <w:rPr>
          <w:color w:val="231F20"/>
          <w:w w:val="105"/>
        </w:rPr>
        <w:t>otro</w:t>
      </w:r>
      <w:r>
        <w:rPr>
          <w:color w:val="231F20"/>
          <w:spacing w:val="-9"/>
          <w:w w:val="105"/>
        </w:rPr>
        <w:t> </w:t>
      </w:r>
      <w:r>
        <w:rPr>
          <w:color w:val="231F20"/>
          <w:w w:val="105"/>
        </w:rPr>
        <w:t>lado,</w:t>
      </w:r>
      <w:r>
        <w:rPr>
          <w:color w:val="231F20"/>
          <w:spacing w:val="-15"/>
          <w:w w:val="105"/>
        </w:rPr>
        <w:t> </w:t>
      </w:r>
      <w:r>
        <w:rPr>
          <w:color w:val="231F20"/>
          <w:w w:val="105"/>
        </w:rPr>
        <w:t>se</w:t>
      </w:r>
      <w:r>
        <w:rPr>
          <w:color w:val="231F20"/>
          <w:spacing w:val="-9"/>
          <w:w w:val="105"/>
        </w:rPr>
        <w:t> </w:t>
      </w:r>
      <w:r>
        <w:rPr>
          <w:color w:val="231F20"/>
          <w:w w:val="105"/>
        </w:rPr>
        <w:t>encuentra</w:t>
      </w:r>
      <w:r>
        <w:rPr>
          <w:color w:val="231F20"/>
          <w:spacing w:val="-9"/>
          <w:w w:val="105"/>
        </w:rPr>
        <w:t> </w:t>
      </w:r>
      <w:r>
        <w:rPr>
          <w:color w:val="231F20"/>
          <w:w w:val="105"/>
        </w:rPr>
        <w:t>un</w:t>
      </w:r>
      <w:r>
        <w:rPr>
          <w:color w:val="231F20"/>
          <w:spacing w:val="-9"/>
          <w:w w:val="105"/>
        </w:rPr>
        <w:t> </w:t>
      </w:r>
      <w:r>
        <w:rPr>
          <w:color w:val="231F20"/>
          <w:w w:val="105"/>
        </w:rPr>
        <w:t>segundo</w:t>
      </w:r>
      <w:r>
        <w:rPr>
          <w:color w:val="231F20"/>
          <w:spacing w:val="-9"/>
          <w:w w:val="105"/>
        </w:rPr>
        <w:t> </w:t>
      </w:r>
      <w:r>
        <w:rPr>
          <w:color w:val="231F20"/>
          <w:w w:val="105"/>
        </w:rPr>
        <w:t>grupo:</w:t>
      </w:r>
      <w:r>
        <w:rPr>
          <w:color w:val="231F20"/>
          <w:spacing w:val="-9"/>
          <w:w w:val="105"/>
        </w:rPr>
        <w:t> </w:t>
      </w:r>
      <w:r>
        <w:rPr>
          <w:color w:val="231F20"/>
          <w:w w:val="105"/>
        </w:rPr>
        <w:t>un</w:t>
      </w:r>
      <w:r>
        <w:rPr>
          <w:color w:val="231F20"/>
          <w:spacing w:val="-9"/>
          <w:w w:val="105"/>
        </w:rPr>
        <w:t> </w:t>
      </w:r>
      <w:r>
        <w:rPr>
          <w:color w:val="231F20"/>
          <w:w w:val="105"/>
        </w:rPr>
        <w:t>gran</w:t>
      </w:r>
      <w:r>
        <w:rPr>
          <w:color w:val="231F20"/>
          <w:spacing w:val="-9"/>
          <w:w w:val="105"/>
        </w:rPr>
        <w:t> </w:t>
      </w:r>
      <w:r>
        <w:rPr>
          <w:color w:val="231F20"/>
          <w:w w:val="105"/>
        </w:rPr>
        <w:t>número</w:t>
      </w:r>
      <w:r>
        <w:rPr>
          <w:color w:val="231F20"/>
          <w:spacing w:val="-9"/>
          <w:w w:val="105"/>
        </w:rPr>
        <w:t> </w:t>
      </w:r>
      <w:r>
        <w:rPr>
          <w:color w:val="231F20"/>
          <w:w w:val="105"/>
        </w:rPr>
        <w:t>de pequeños productores sustentados en el trabajo familiar y sin acceso</w:t>
      </w:r>
      <w:r>
        <w:rPr>
          <w:color w:val="231F20"/>
          <w:spacing w:val="-19"/>
          <w:w w:val="105"/>
        </w:rPr>
        <w:t> </w:t>
      </w:r>
      <w:r>
        <w:rPr>
          <w:color w:val="231F20"/>
          <w:w w:val="105"/>
        </w:rPr>
        <w:t>a la tecnología de punta utilizado por el primer grupo.</w:t>
      </w:r>
      <w:r>
        <w:rPr>
          <w:color w:val="231F20"/>
          <w:w w:val="105"/>
          <w:position w:val="7"/>
          <w:sz w:val="12"/>
        </w:rPr>
        <w:t>6 </w:t>
      </w:r>
      <w:r>
        <w:rPr>
          <w:color w:val="231F20"/>
          <w:w w:val="105"/>
        </w:rPr>
        <w:t>De hecho los pe- queños</w:t>
      </w:r>
      <w:r>
        <w:rPr>
          <w:color w:val="231F20"/>
          <w:spacing w:val="-14"/>
          <w:w w:val="105"/>
        </w:rPr>
        <w:t> </w:t>
      </w:r>
      <w:r>
        <w:rPr>
          <w:color w:val="231F20"/>
          <w:w w:val="105"/>
        </w:rPr>
        <w:t>agricultores</w:t>
      </w:r>
      <w:r>
        <w:rPr>
          <w:color w:val="231F20"/>
          <w:spacing w:val="-14"/>
          <w:w w:val="105"/>
        </w:rPr>
        <w:t> </w:t>
      </w:r>
      <w:r>
        <w:rPr>
          <w:color w:val="231F20"/>
          <w:w w:val="105"/>
        </w:rPr>
        <w:t>idearon</w:t>
      </w:r>
      <w:r>
        <w:rPr>
          <w:color w:val="231F20"/>
          <w:spacing w:val="-14"/>
          <w:w w:val="105"/>
        </w:rPr>
        <w:t> </w:t>
      </w:r>
      <w:r>
        <w:rPr>
          <w:color w:val="231F20"/>
          <w:w w:val="105"/>
        </w:rPr>
        <w:t>un</w:t>
      </w:r>
      <w:r>
        <w:rPr>
          <w:color w:val="231F20"/>
          <w:spacing w:val="-14"/>
          <w:w w:val="105"/>
        </w:rPr>
        <w:t> </w:t>
      </w:r>
      <w:r>
        <w:rPr>
          <w:color w:val="231F20"/>
          <w:w w:val="105"/>
        </w:rPr>
        <w:t>sistema</w:t>
      </w:r>
      <w:r>
        <w:rPr>
          <w:color w:val="231F20"/>
          <w:spacing w:val="-14"/>
          <w:w w:val="105"/>
        </w:rPr>
        <w:t> </w:t>
      </w:r>
      <w:r>
        <w:rPr>
          <w:color w:val="231F20"/>
          <w:w w:val="105"/>
        </w:rPr>
        <w:t>sencillo</w:t>
      </w:r>
      <w:r>
        <w:rPr>
          <w:color w:val="231F20"/>
          <w:spacing w:val="-14"/>
          <w:w w:val="105"/>
        </w:rPr>
        <w:t> </w:t>
      </w:r>
      <w:r>
        <w:rPr>
          <w:color w:val="231F20"/>
          <w:w w:val="105"/>
        </w:rPr>
        <w:t>y</w:t>
      </w:r>
      <w:r>
        <w:rPr>
          <w:color w:val="231F20"/>
          <w:spacing w:val="-14"/>
          <w:w w:val="105"/>
        </w:rPr>
        <w:t> </w:t>
      </w:r>
      <w:r>
        <w:rPr>
          <w:color w:val="231F20"/>
          <w:w w:val="105"/>
        </w:rPr>
        <w:t>económico</w:t>
      </w:r>
      <w:r>
        <w:rPr>
          <w:color w:val="231F20"/>
          <w:spacing w:val="-14"/>
          <w:w w:val="105"/>
        </w:rPr>
        <w:t> </w:t>
      </w:r>
      <w:r>
        <w:rPr>
          <w:color w:val="231F20"/>
          <w:w w:val="105"/>
        </w:rPr>
        <w:t>para</w:t>
      </w:r>
      <w:r>
        <w:rPr>
          <w:color w:val="231F20"/>
          <w:spacing w:val="-14"/>
          <w:w w:val="105"/>
        </w:rPr>
        <w:t> </w:t>
      </w:r>
      <w:r>
        <w:rPr>
          <w:color w:val="231F20"/>
          <w:w w:val="105"/>
        </w:rPr>
        <w:t>cons- truir sus pequeños invernaderos utilizando materiales disponibles en el lugar,</w:t>
      </w:r>
      <w:r>
        <w:rPr>
          <w:color w:val="231F20"/>
          <w:spacing w:val="-15"/>
          <w:w w:val="105"/>
        </w:rPr>
        <w:t> </w:t>
      </w:r>
      <w:r>
        <w:rPr>
          <w:color w:val="231F20"/>
          <w:w w:val="105"/>
        </w:rPr>
        <w:t>como</w:t>
      </w:r>
      <w:r>
        <w:rPr>
          <w:color w:val="231F20"/>
          <w:spacing w:val="-9"/>
          <w:w w:val="105"/>
        </w:rPr>
        <w:t> </w:t>
      </w:r>
      <w:r>
        <w:rPr>
          <w:color w:val="231F20"/>
          <w:w w:val="105"/>
        </w:rPr>
        <w:t>los</w:t>
      </w:r>
      <w:r>
        <w:rPr>
          <w:color w:val="231F20"/>
          <w:spacing w:val="-9"/>
          <w:w w:val="105"/>
        </w:rPr>
        <w:t> </w:t>
      </w:r>
      <w:r>
        <w:rPr>
          <w:color w:val="231F20"/>
          <w:w w:val="105"/>
        </w:rPr>
        <w:t>puntales</w:t>
      </w:r>
      <w:r>
        <w:rPr>
          <w:color w:val="231F20"/>
          <w:spacing w:val="-9"/>
          <w:w w:val="105"/>
        </w:rPr>
        <w:t> </w:t>
      </w:r>
      <w:r>
        <w:rPr>
          <w:color w:val="231F20"/>
          <w:w w:val="105"/>
        </w:rPr>
        <w:t>de</w:t>
      </w:r>
      <w:r>
        <w:rPr>
          <w:color w:val="231F20"/>
          <w:spacing w:val="-9"/>
          <w:w w:val="105"/>
        </w:rPr>
        <w:t> </w:t>
      </w:r>
      <w:r>
        <w:rPr>
          <w:color w:val="231F20"/>
          <w:w w:val="105"/>
        </w:rPr>
        <w:t>madera</w:t>
      </w:r>
      <w:r>
        <w:rPr>
          <w:color w:val="231F20"/>
          <w:spacing w:val="-9"/>
          <w:w w:val="105"/>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alambre</w:t>
      </w:r>
      <w:r>
        <w:rPr>
          <w:color w:val="231F20"/>
          <w:spacing w:val="-9"/>
          <w:w w:val="105"/>
        </w:rPr>
        <w:t> </w:t>
      </w:r>
      <w:r>
        <w:rPr>
          <w:color w:val="231F20"/>
          <w:w w:val="105"/>
        </w:rPr>
        <w:t>galvanizado,</w:t>
      </w:r>
      <w:r>
        <w:rPr>
          <w:color w:val="231F20"/>
          <w:spacing w:val="-15"/>
          <w:w w:val="105"/>
        </w:rPr>
        <w:t> </w:t>
      </w:r>
      <w:r>
        <w:rPr>
          <w:color w:val="231F20"/>
          <w:w w:val="105"/>
        </w:rPr>
        <w:t>naciendo con ello el invernadero autóctono (Gerente de la Asociación Mexicana de</w:t>
      </w:r>
      <w:r>
        <w:rPr>
          <w:color w:val="231F20"/>
          <w:spacing w:val="-32"/>
          <w:w w:val="105"/>
        </w:rPr>
        <w:t> </w:t>
      </w:r>
      <w:r>
        <w:rPr>
          <w:color w:val="231F20"/>
          <w:w w:val="105"/>
        </w:rPr>
        <w:t>Floricultores,</w:t>
      </w:r>
      <w:r>
        <w:rPr>
          <w:color w:val="231F20"/>
          <w:spacing w:val="-36"/>
          <w:w w:val="105"/>
        </w:rPr>
        <w:t> </w:t>
      </w:r>
      <w:r>
        <w:rPr>
          <w:color w:val="231F20"/>
          <w:w w:val="105"/>
        </w:rPr>
        <w:t>2010).</w:t>
      </w:r>
      <w:r>
        <w:rPr>
          <w:color w:val="231F20"/>
          <w:spacing w:val="-36"/>
          <w:w w:val="105"/>
        </w:rPr>
        <w:t> </w:t>
      </w:r>
      <w:r>
        <w:rPr>
          <w:color w:val="231F20"/>
          <w:w w:val="105"/>
        </w:rPr>
        <w:t>Igualmente,</w:t>
      </w:r>
      <w:r>
        <w:rPr>
          <w:color w:val="231F20"/>
          <w:spacing w:val="-36"/>
          <w:w w:val="105"/>
        </w:rPr>
        <w:t> </w:t>
      </w:r>
      <w:r>
        <w:rPr>
          <w:color w:val="231F20"/>
          <w:w w:val="105"/>
        </w:rPr>
        <w:t>se</w:t>
      </w:r>
      <w:r>
        <w:rPr>
          <w:color w:val="231F20"/>
          <w:spacing w:val="-32"/>
          <w:w w:val="105"/>
        </w:rPr>
        <w:t> </w:t>
      </w:r>
      <w:r>
        <w:rPr>
          <w:color w:val="231F20"/>
          <w:w w:val="105"/>
        </w:rPr>
        <w:t>encuentran</w:t>
      </w:r>
      <w:r>
        <w:rPr>
          <w:color w:val="231F20"/>
          <w:spacing w:val="-32"/>
          <w:w w:val="105"/>
        </w:rPr>
        <w:t> </w:t>
      </w:r>
      <w:r>
        <w:rPr>
          <w:color w:val="231F20"/>
          <w:w w:val="105"/>
        </w:rPr>
        <w:t>quienes</w:t>
      </w:r>
      <w:r>
        <w:rPr>
          <w:color w:val="231F20"/>
          <w:spacing w:val="-32"/>
          <w:w w:val="105"/>
        </w:rPr>
        <w:t> </w:t>
      </w:r>
      <w:r>
        <w:rPr>
          <w:color w:val="231F20"/>
          <w:w w:val="105"/>
        </w:rPr>
        <w:t>practican</w:t>
      </w:r>
      <w:r>
        <w:rPr>
          <w:color w:val="231F20"/>
          <w:spacing w:val="-32"/>
          <w:w w:val="105"/>
        </w:rPr>
        <w:t> </w:t>
      </w:r>
      <w:r>
        <w:rPr>
          <w:color w:val="231F20"/>
          <w:w w:val="105"/>
        </w:rPr>
        <w:t>esta actividad</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forma</w:t>
      </w:r>
      <w:r>
        <w:rPr>
          <w:color w:val="231F20"/>
          <w:spacing w:val="-5"/>
          <w:w w:val="105"/>
        </w:rPr>
        <w:t> </w:t>
      </w:r>
      <w:r>
        <w:rPr>
          <w:color w:val="231F20"/>
          <w:w w:val="105"/>
        </w:rPr>
        <w:t>más</w:t>
      </w:r>
      <w:r>
        <w:rPr>
          <w:color w:val="231F20"/>
          <w:spacing w:val="-5"/>
          <w:w w:val="105"/>
        </w:rPr>
        <w:t> </w:t>
      </w:r>
      <w:r>
        <w:rPr>
          <w:color w:val="231F20"/>
          <w:w w:val="105"/>
        </w:rPr>
        <w:t>rústica,</w:t>
      </w:r>
      <w:r>
        <w:rPr>
          <w:color w:val="231F20"/>
          <w:spacing w:val="-12"/>
          <w:w w:val="105"/>
        </w:rPr>
        <w:t> </w:t>
      </w:r>
      <w:r>
        <w:rPr>
          <w:color w:val="231F20"/>
          <w:w w:val="105"/>
        </w:rPr>
        <w:t>es</w:t>
      </w:r>
      <w:r>
        <w:rPr>
          <w:color w:val="231F20"/>
          <w:spacing w:val="-5"/>
          <w:w w:val="105"/>
        </w:rPr>
        <w:t> </w:t>
      </w:r>
      <w:r>
        <w:rPr>
          <w:color w:val="231F20"/>
          <w:w w:val="105"/>
        </w:rPr>
        <w:t>decir,</w:t>
      </w:r>
      <w:r>
        <w:rPr>
          <w:color w:val="231F20"/>
          <w:spacing w:val="-12"/>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intemperie</w:t>
      </w:r>
      <w:r>
        <w:rPr>
          <w:color w:val="231F20"/>
          <w:spacing w:val="-5"/>
          <w:w w:val="105"/>
        </w:rPr>
        <w:t> </w:t>
      </w:r>
      <w:r>
        <w:rPr>
          <w:color w:val="231F20"/>
          <w:w w:val="105"/>
        </w:rPr>
        <w:t>y</w:t>
      </w:r>
      <w:r>
        <w:rPr>
          <w:color w:val="231F20"/>
          <w:spacing w:val="-5"/>
          <w:w w:val="105"/>
        </w:rPr>
        <w:t> </w:t>
      </w:r>
      <w:r>
        <w:rPr>
          <w:color w:val="231F20"/>
          <w:w w:val="105"/>
        </w:rPr>
        <w:t>que</w:t>
      </w:r>
      <w:r>
        <w:rPr>
          <w:color w:val="231F20"/>
          <w:spacing w:val="-5"/>
          <w:w w:val="105"/>
        </w:rPr>
        <w:t> </w:t>
      </w:r>
      <w:r>
        <w:rPr>
          <w:color w:val="231F20"/>
          <w:w w:val="105"/>
        </w:rPr>
        <w:t>dirigen su</w:t>
      </w:r>
      <w:r>
        <w:rPr>
          <w:color w:val="231F20"/>
          <w:spacing w:val="-9"/>
          <w:w w:val="105"/>
        </w:rPr>
        <w:t> </w:t>
      </w:r>
      <w:r>
        <w:rPr>
          <w:color w:val="231F20"/>
          <w:w w:val="105"/>
        </w:rPr>
        <w:t>producción</w:t>
      </w:r>
      <w:r>
        <w:rPr>
          <w:color w:val="231F20"/>
          <w:spacing w:val="-9"/>
          <w:w w:val="105"/>
        </w:rPr>
        <w:t> </w:t>
      </w:r>
      <w:r>
        <w:rPr>
          <w:color w:val="231F20"/>
          <w:w w:val="105"/>
        </w:rPr>
        <w:t>hacia</w:t>
      </w:r>
      <w:r>
        <w:rPr>
          <w:color w:val="231F20"/>
          <w:spacing w:val="-9"/>
          <w:w w:val="105"/>
        </w:rPr>
        <w:t> </w:t>
      </w:r>
      <w:r>
        <w:rPr>
          <w:color w:val="231F20"/>
          <w:w w:val="105"/>
        </w:rPr>
        <w:t>el</w:t>
      </w:r>
      <w:r>
        <w:rPr>
          <w:color w:val="231F20"/>
          <w:spacing w:val="-9"/>
          <w:w w:val="105"/>
        </w:rPr>
        <w:t> </w:t>
      </w:r>
      <w:r>
        <w:rPr>
          <w:color w:val="231F20"/>
          <w:w w:val="105"/>
        </w:rPr>
        <w:t>mercado</w:t>
      </w:r>
      <w:r>
        <w:rPr>
          <w:color w:val="231F20"/>
          <w:spacing w:val="-9"/>
          <w:w w:val="105"/>
        </w:rPr>
        <w:t> </w:t>
      </w:r>
      <w:r>
        <w:rPr>
          <w:color w:val="231F20"/>
          <w:w w:val="105"/>
        </w:rPr>
        <w:t>regional,</w:t>
      </w:r>
      <w:r>
        <w:rPr>
          <w:color w:val="231F20"/>
          <w:spacing w:val="-14"/>
          <w:w w:val="105"/>
        </w:rPr>
        <w:t> </w:t>
      </w:r>
      <w:r>
        <w:rPr>
          <w:color w:val="231F20"/>
          <w:w w:val="105"/>
        </w:rPr>
        <w:t>hacia</w:t>
      </w:r>
      <w:r>
        <w:rPr>
          <w:color w:val="231F20"/>
          <w:spacing w:val="-9"/>
          <w:w w:val="105"/>
        </w:rPr>
        <w:t> </w:t>
      </w:r>
      <w:r>
        <w:rPr>
          <w:color w:val="231F20"/>
          <w:w w:val="105"/>
        </w:rPr>
        <w:t>los</w:t>
      </w:r>
      <w:r>
        <w:rPr>
          <w:color w:val="231F20"/>
          <w:spacing w:val="-9"/>
          <w:w w:val="105"/>
        </w:rPr>
        <w:t> </w:t>
      </w:r>
      <w:r>
        <w:rPr>
          <w:color w:val="231F20"/>
          <w:w w:val="105"/>
        </w:rPr>
        <w:t>mercados</w:t>
      </w:r>
      <w:r>
        <w:rPr>
          <w:color w:val="231F20"/>
          <w:spacing w:val="-9"/>
          <w:w w:val="105"/>
        </w:rPr>
        <w:t> </w:t>
      </w:r>
      <w:r>
        <w:rPr>
          <w:color w:val="231F20"/>
          <w:w w:val="105"/>
        </w:rPr>
        <w:t>de</w:t>
      </w:r>
      <w:r>
        <w:rPr>
          <w:color w:val="231F20"/>
          <w:spacing w:val="-13"/>
          <w:w w:val="105"/>
        </w:rPr>
        <w:t> </w:t>
      </w:r>
      <w:r>
        <w:rPr>
          <w:color w:val="231F20"/>
          <w:spacing w:val="-4"/>
          <w:w w:val="105"/>
        </w:rPr>
        <w:t>Tenan- </w:t>
      </w:r>
      <w:r>
        <w:rPr>
          <w:color w:val="231F20"/>
          <w:w w:val="105"/>
        </w:rPr>
        <w:t>cingo</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Central</w:t>
      </w:r>
      <w:r>
        <w:rPr>
          <w:color w:val="231F20"/>
          <w:spacing w:val="-12"/>
          <w:w w:val="105"/>
        </w:rPr>
        <w:t> </w:t>
      </w:r>
      <w:r>
        <w:rPr>
          <w:color w:val="231F20"/>
          <w:w w:val="105"/>
        </w:rPr>
        <w:t>de</w:t>
      </w:r>
      <w:r>
        <w:rPr>
          <w:color w:val="231F20"/>
          <w:spacing w:val="-16"/>
          <w:w w:val="105"/>
        </w:rPr>
        <w:t> </w:t>
      </w:r>
      <w:r>
        <w:rPr>
          <w:color w:val="231F20"/>
          <w:w w:val="105"/>
        </w:rPr>
        <w:t>Abastos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Ciudad</w:t>
      </w:r>
      <w:r>
        <w:rPr>
          <w:color w:val="231F20"/>
          <w:spacing w:val="-12"/>
          <w:w w:val="105"/>
        </w:rPr>
        <w:t> </w:t>
      </w:r>
      <w:r>
        <w:rPr>
          <w:color w:val="231F20"/>
          <w:w w:val="105"/>
        </w:rPr>
        <w:t>de</w:t>
      </w:r>
      <w:r>
        <w:rPr>
          <w:color w:val="231F20"/>
          <w:spacing w:val="-16"/>
          <w:w w:val="105"/>
        </w:rPr>
        <w:t> </w:t>
      </w:r>
      <w:r>
        <w:rPr>
          <w:color w:val="231F20"/>
          <w:spacing w:val="-3"/>
          <w:w w:val="105"/>
        </w:rPr>
        <w:t>Toluca</w:t>
      </w:r>
      <w:r>
        <w:rPr>
          <w:color w:val="231F20"/>
          <w:spacing w:val="-3"/>
          <w:w w:val="105"/>
          <w:position w:val="7"/>
          <w:sz w:val="12"/>
        </w:rPr>
        <w:t>7</w:t>
      </w:r>
      <w:r>
        <w:rPr>
          <w:color w:val="231F20"/>
          <w:spacing w:val="-3"/>
          <w:w w:val="105"/>
        </w:rPr>
        <w:t>.</w:t>
      </w:r>
    </w:p>
    <w:p>
      <w:pPr>
        <w:pStyle w:val="BodyText"/>
        <w:spacing w:line="261" w:lineRule="auto" w:before="1"/>
        <w:ind w:left="1723" w:right="1828" w:firstLine="567"/>
        <w:jc w:val="both"/>
      </w:pPr>
      <w:r>
        <w:rPr>
          <w:color w:val="231F20"/>
          <w:w w:val="105"/>
        </w:rPr>
        <w:t>Estos</w:t>
      </w:r>
      <w:r>
        <w:rPr>
          <w:color w:val="231F20"/>
          <w:spacing w:val="-21"/>
          <w:w w:val="105"/>
        </w:rPr>
        <w:t> </w:t>
      </w:r>
      <w:r>
        <w:rPr>
          <w:color w:val="231F20"/>
          <w:w w:val="105"/>
        </w:rPr>
        <w:t>productores</w:t>
      </w:r>
      <w:r>
        <w:rPr>
          <w:color w:val="231F20"/>
          <w:spacing w:val="16"/>
          <w:w w:val="105"/>
        </w:rPr>
        <w:t> </w:t>
      </w:r>
      <w:r>
        <w:rPr>
          <w:color w:val="231F20"/>
          <w:w w:val="105"/>
        </w:rPr>
        <w:t>difícilmente</w:t>
      </w:r>
      <w:r>
        <w:rPr>
          <w:color w:val="231F20"/>
          <w:spacing w:val="-21"/>
          <w:w w:val="105"/>
        </w:rPr>
        <w:t> </w:t>
      </w:r>
      <w:r>
        <w:rPr>
          <w:color w:val="231F20"/>
          <w:w w:val="105"/>
        </w:rPr>
        <w:t>pueden</w:t>
      </w:r>
      <w:r>
        <w:rPr>
          <w:color w:val="231F20"/>
          <w:spacing w:val="-21"/>
          <w:w w:val="105"/>
        </w:rPr>
        <w:t> </w:t>
      </w:r>
      <w:r>
        <w:rPr>
          <w:color w:val="231F20"/>
          <w:w w:val="105"/>
        </w:rPr>
        <w:t>acceder</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infraestructura e</w:t>
      </w:r>
      <w:r>
        <w:rPr>
          <w:color w:val="231F20"/>
          <w:spacing w:val="-18"/>
          <w:w w:val="105"/>
        </w:rPr>
        <w:t> </w:t>
      </w:r>
      <w:r>
        <w:rPr>
          <w:color w:val="231F20"/>
          <w:w w:val="105"/>
        </w:rPr>
        <w:t>insumos</w:t>
      </w:r>
      <w:r>
        <w:rPr>
          <w:color w:val="231F20"/>
          <w:spacing w:val="-18"/>
          <w:w w:val="105"/>
        </w:rPr>
        <w:t> </w:t>
      </w:r>
      <w:r>
        <w:rPr>
          <w:color w:val="231F20"/>
          <w:w w:val="105"/>
        </w:rPr>
        <w:t>que</w:t>
      </w:r>
      <w:r>
        <w:rPr>
          <w:color w:val="231F20"/>
          <w:spacing w:val="-18"/>
          <w:w w:val="105"/>
        </w:rPr>
        <w:t> </w:t>
      </w:r>
      <w:r>
        <w:rPr>
          <w:color w:val="231F20"/>
          <w:w w:val="105"/>
        </w:rPr>
        <w:t>proveen</w:t>
      </w:r>
      <w:r>
        <w:rPr>
          <w:color w:val="231F20"/>
          <w:spacing w:val="-18"/>
          <w:w w:val="105"/>
        </w:rPr>
        <w:t> </w:t>
      </w:r>
      <w:r>
        <w:rPr>
          <w:color w:val="231F20"/>
          <w:w w:val="105"/>
        </w:rPr>
        <w:t>la</w:t>
      </w:r>
      <w:r>
        <w:rPr>
          <w:color w:val="231F20"/>
          <w:spacing w:val="-18"/>
          <w:w w:val="105"/>
        </w:rPr>
        <w:t> </w:t>
      </w:r>
      <w:r>
        <w:rPr>
          <w:color w:val="231F20"/>
          <w:w w:val="105"/>
        </w:rPr>
        <w:t>calidad</w:t>
      </w:r>
      <w:r>
        <w:rPr>
          <w:color w:val="231F20"/>
          <w:spacing w:val="-18"/>
          <w:w w:val="105"/>
        </w:rPr>
        <w:t> </w:t>
      </w:r>
      <w:r>
        <w:rPr>
          <w:color w:val="231F20"/>
          <w:w w:val="105"/>
        </w:rPr>
        <w:t>requerida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mercado</w:t>
      </w:r>
      <w:r>
        <w:rPr>
          <w:color w:val="231F20"/>
          <w:spacing w:val="-18"/>
          <w:w w:val="105"/>
        </w:rPr>
        <w:t> </w:t>
      </w:r>
      <w:r>
        <w:rPr>
          <w:color w:val="231F20"/>
          <w:w w:val="105"/>
        </w:rPr>
        <w:t>internacional, por</w:t>
      </w:r>
      <w:r>
        <w:rPr>
          <w:color w:val="231F20"/>
          <w:spacing w:val="-22"/>
          <w:w w:val="105"/>
        </w:rPr>
        <w:t> </w:t>
      </w:r>
      <w:r>
        <w:rPr>
          <w:color w:val="231F20"/>
          <w:w w:val="105"/>
        </w:rPr>
        <w:t>ello,</w:t>
      </w:r>
      <w:r>
        <w:rPr>
          <w:color w:val="231F20"/>
          <w:spacing w:val="-27"/>
          <w:w w:val="105"/>
        </w:rPr>
        <w:t> </w:t>
      </w:r>
      <w:r>
        <w:rPr>
          <w:color w:val="231F20"/>
          <w:w w:val="105"/>
        </w:rPr>
        <w:t>son</w:t>
      </w:r>
      <w:r>
        <w:rPr>
          <w:color w:val="231F20"/>
          <w:spacing w:val="-22"/>
          <w:w w:val="105"/>
        </w:rPr>
        <w:t> </w:t>
      </w:r>
      <w:r>
        <w:rPr>
          <w:color w:val="231F20"/>
          <w:w w:val="105"/>
        </w:rPr>
        <w:t>poco</w:t>
      </w:r>
      <w:r>
        <w:rPr>
          <w:color w:val="231F20"/>
          <w:spacing w:val="-22"/>
          <w:w w:val="105"/>
        </w:rPr>
        <w:t> </w:t>
      </w:r>
      <w:r>
        <w:rPr>
          <w:color w:val="231F20"/>
          <w:w w:val="105"/>
        </w:rPr>
        <w:t>representativos</w:t>
      </w:r>
      <w:r>
        <w:rPr>
          <w:color w:val="231F20"/>
          <w:spacing w:val="-22"/>
          <w:w w:val="105"/>
        </w:rPr>
        <w:t> </w:t>
      </w:r>
      <w:r>
        <w:rPr>
          <w:color w:val="231F20"/>
          <w:w w:val="105"/>
        </w:rPr>
        <w:t>para</w:t>
      </w:r>
      <w:r>
        <w:rPr>
          <w:color w:val="231F20"/>
          <w:spacing w:val="-22"/>
          <w:w w:val="105"/>
        </w:rPr>
        <w:t> </w:t>
      </w:r>
      <w:r>
        <w:rPr>
          <w:color w:val="231F20"/>
          <w:w w:val="105"/>
        </w:rPr>
        <w:t>este</w:t>
      </w:r>
      <w:r>
        <w:rPr>
          <w:color w:val="231F20"/>
          <w:spacing w:val="-22"/>
          <w:w w:val="105"/>
        </w:rPr>
        <w:t> </w:t>
      </w:r>
      <w:r>
        <w:rPr>
          <w:color w:val="231F20"/>
          <w:w w:val="105"/>
        </w:rPr>
        <w:t>comercio;</w:t>
      </w:r>
      <w:r>
        <w:rPr>
          <w:color w:val="231F20"/>
          <w:spacing w:val="-22"/>
          <w:w w:val="105"/>
        </w:rPr>
        <w:t> </w:t>
      </w:r>
      <w:r>
        <w:rPr>
          <w:color w:val="231F20"/>
          <w:w w:val="105"/>
        </w:rPr>
        <w:t>no</w:t>
      </w:r>
      <w:r>
        <w:rPr>
          <w:color w:val="231F20"/>
          <w:spacing w:val="-22"/>
          <w:w w:val="105"/>
        </w:rPr>
        <w:t> </w:t>
      </w:r>
      <w:r>
        <w:rPr>
          <w:color w:val="231F20"/>
          <w:w w:val="105"/>
        </w:rPr>
        <w:t>obstante,</w:t>
      </w:r>
      <w:r>
        <w:rPr>
          <w:color w:val="231F20"/>
          <w:spacing w:val="-27"/>
          <w:w w:val="105"/>
        </w:rPr>
        <w:t> </w:t>
      </w:r>
      <w:r>
        <w:rPr>
          <w:color w:val="231F20"/>
          <w:w w:val="105"/>
        </w:rPr>
        <w:t>es</w:t>
      </w:r>
      <w:r>
        <w:rPr>
          <w:color w:val="231F20"/>
          <w:spacing w:val="-22"/>
          <w:w w:val="105"/>
        </w:rPr>
        <w:t> </w:t>
      </w:r>
      <w:r>
        <w:rPr>
          <w:color w:val="231F20"/>
          <w:w w:val="105"/>
        </w:rPr>
        <w:t>un grupo de productores que prácticamente mantiene viva a la economía local</w:t>
      </w:r>
      <w:r>
        <w:rPr>
          <w:color w:val="231F20"/>
          <w:spacing w:val="-20"/>
          <w:w w:val="105"/>
        </w:rPr>
        <w:t> </w:t>
      </w:r>
      <w:r>
        <w:rPr>
          <w:color w:val="231F20"/>
          <w:w w:val="105"/>
        </w:rPr>
        <w:t>y</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sostienen</w:t>
      </w:r>
      <w:r>
        <w:rPr>
          <w:color w:val="231F20"/>
          <w:spacing w:val="-20"/>
          <w:w w:val="105"/>
        </w:rPr>
        <w:t> </w:t>
      </w:r>
      <w:r>
        <w:rPr>
          <w:color w:val="231F20"/>
          <w:w w:val="105"/>
        </w:rPr>
        <w:t>mediante</w:t>
      </w:r>
      <w:r>
        <w:rPr>
          <w:color w:val="231F20"/>
          <w:spacing w:val="-20"/>
          <w:w w:val="105"/>
        </w:rPr>
        <w:t> </w:t>
      </w:r>
      <w:r>
        <w:rPr>
          <w:color w:val="231F20"/>
          <w:w w:val="105"/>
        </w:rPr>
        <w:t>el</w:t>
      </w:r>
      <w:r>
        <w:rPr>
          <w:color w:val="231F20"/>
          <w:spacing w:val="-20"/>
          <w:w w:val="105"/>
        </w:rPr>
        <w:t> </w:t>
      </w:r>
      <w:r>
        <w:rPr>
          <w:color w:val="231F20"/>
          <w:w w:val="105"/>
        </w:rPr>
        <w:t>uso</w:t>
      </w:r>
      <w:r>
        <w:rPr>
          <w:color w:val="231F20"/>
          <w:spacing w:val="-20"/>
          <w:w w:val="105"/>
        </w:rPr>
        <w:t> </w:t>
      </w:r>
      <w:r>
        <w:rPr>
          <w:color w:val="231F20"/>
          <w:w w:val="105"/>
        </w:rPr>
        <w:t>de</w:t>
      </w:r>
      <w:r>
        <w:rPr>
          <w:color w:val="231F20"/>
          <w:spacing w:val="-20"/>
          <w:w w:val="105"/>
        </w:rPr>
        <w:t> </w:t>
      </w:r>
      <w:r>
        <w:rPr>
          <w:color w:val="231F20"/>
          <w:w w:val="105"/>
        </w:rPr>
        <w:t>mano</w:t>
      </w:r>
      <w:r>
        <w:rPr>
          <w:color w:val="231F20"/>
          <w:spacing w:val="-20"/>
          <w:w w:val="105"/>
        </w:rPr>
        <w:t> </w:t>
      </w:r>
      <w:r>
        <w:rPr>
          <w:color w:val="231F20"/>
          <w:w w:val="105"/>
        </w:rPr>
        <w:t>de</w:t>
      </w:r>
      <w:r>
        <w:rPr>
          <w:color w:val="231F20"/>
          <w:spacing w:val="-20"/>
          <w:w w:val="105"/>
        </w:rPr>
        <w:t> </w:t>
      </w:r>
      <w:r>
        <w:rPr>
          <w:color w:val="231F20"/>
          <w:w w:val="105"/>
        </w:rPr>
        <w:t>obra</w:t>
      </w:r>
      <w:r>
        <w:rPr>
          <w:color w:val="231F20"/>
          <w:spacing w:val="-20"/>
          <w:w w:val="105"/>
        </w:rPr>
        <w:t> </w:t>
      </w:r>
      <w:r>
        <w:rPr>
          <w:color w:val="231F20"/>
          <w:w w:val="105"/>
        </w:rPr>
        <w:t>familiar,</w:t>
      </w:r>
      <w:r>
        <w:rPr>
          <w:color w:val="231F20"/>
          <w:spacing w:val="-26"/>
          <w:w w:val="105"/>
        </w:rPr>
        <w:t> </w:t>
      </w:r>
      <w:r>
        <w:rPr>
          <w:color w:val="231F20"/>
          <w:w w:val="105"/>
        </w:rPr>
        <w:t>desde mujeres,</w:t>
      </w:r>
      <w:r>
        <w:rPr>
          <w:color w:val="231F20"/>
          <w:spacing w:val="-24"/>
          <w:w w:val="105"/>
        </w:rPr>
        <w:t> </w:t>
      </w:r>
      <w:r>
        <w:rPr>
          <w:color w:val="231F20"/>
          <w:w w:val="105"/>
        </w:rPr>
        <w:t>personas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tercera</w:t>
      </w:r>
      <w:r>
        <w:rPr>
          <w:color w:val="231F20"/>
          <w:spacing w:val="-19"/>
          <w:w w:val="105"/>
        </w:rPr>
        <w:t> </w:t>
      </w:r>
      <w:r>
        <w:rPr>
          <w:color w:val="231F20"/>
          <w:w w:val="105"/>
        </w:rPr>
        <w:t>edad</w:t>
      </w:r>
      <w:r>
        <w:rPr>
          <w:color w:val="231F20"/>
          <w:spacing w:val="-19"/>
          <w:w w:val="105"/>
        </w:rPr>
        <w:t> </w:t>
      </w:r>
      <w:r>
        <w:rPr>
          <w:color w:val="231F20"/>
          <w:w w:val="105"/>
        </w:rPr>
        <w:t>así</w:t>
      </w:r>
      <w:r>
        <w:rPr>
          <w:color w:val="231F20"/>
          <w:spacing w:val="-19"/>
          <w:w w:val="105"/>
        </w:rPr>
        <w:t> </w:t>
      </w:r>
      <w:r>
        <w:rPr>
          <w:color w:val="231F20"/>
          <w:w w:val="105"/>
        </w:rPr>
        <w:t>como</w:t>
      </w:r>
      <w:r>
        <w:rPr>
          <w:color w:val="231F20"/>
          <w:spacing w:val="-19"/>
          <w:w w:val="105"/>
        </w:rPr>
        <w:t> </w:t>
      </w:r>
      <w:r>
        <w:rPr>
          <w:color w:val="231F20"/>
          <w:w w:val="105"/>
        </w:rPr>
        <w:t>niñas</w:t>
      </w:r>
      <w:r>
        <w:rPr>
          <w:color w:val="231F20"/>
          <w:spacing w:val="-19"/>
          <w:w w:val="105"/>
        </w:rPr>
        <w:t> </w:t>
      </w:r>
      <w:r>
        <w:rPr>
          <w:color w:val="231F20"/>
          <w:w w:val="105"/>
        </w:rPr>
        <w:t>y</w:t>
      </w:r>
      <w:r>
        <w:rPr>
          <w:color w:val="231F20"/>
          <w:spacing w:val="-19"/>
          <w:w w:val="105"/>
        </w:rPr>
        <w:t> </w:t>
      </w:r>
      <w:r>
        <w:rPr>
          <w:color w:val="231F20"/>
          <w:w w:val="105"/>
        </w:rPr>
        <w:t>niños</w:t>
      </w:r>
      <w:r>
        <w:rPr>
          <w:color w:val="231F20"/>
          <w:spacing w:val="-19"/>
          <w:w w:val="105"/>
        </w:rPr>
        <w:t> </w:t>
      </w:r>
      <w:r>
        <w:rPr>
          <w:color w:val="231F20"/>
          <w:w w:val="105"/>
        </w:rPr>
        <w:t>(Asociación Mexicana</w:t>
      </w:r>
      <w:r>
        <w:rPr>
          <w:color w:val="231F20"/>
          <w:spacing w:val="-32"/>
          <w:w w:val="105"/>
        </w:rPr>
        <w:t> </w:t>
      </w:r>
      <w:r>
        <w:rPr>
          <w:color w:val="231F20"/>
          <w:w w:val="105"/>
        </w:rPr>
        <w:t>de</w:t>
      </w:r>
      <w:r>
        <w:rPr>
          <w:color w:val="231F20"/>
          <w:spacing w:val="-32"/>
          <w:w w:val="105"/>
        </w:rPr>
        <w:t> </w:t>
      </w:r>
      <w:r>
        <w:rPr>
          <w:color w:val="231F20"/>
          <w:w w:val="105"/>
        </w:rPr>
        <w:t>Floricultores,</w:t>
      </w:r>
      <w:r>
        <w:rPr>
          <w:color w:val="231F20"/>
          <w:spacing w:val="-35"/>
          <w:w w:val="105"/>
        </w:rPr>
        <w:t> </w:t>
      </w:r>
      <w:r>
        <w:rPr>
          <w:color w:val="231F20"/>
          <w:w w:val="105"/>
        </w:rPr>
        <w:t>2010).</w:t>
      </w:r>
    </w:p>
    <w:p>
      <w:pPr>
        <w:pStyle w:val="BodyText"/>
        <w:spacing w:line="261" w:lineRule="auto" w:before="1"/>
        <w:ind w:left="1723" w:right="1834" w:firstLine="567"/>
        <w:jc w:val="both"/>
      </w:pPr>
      <w:r>
        <w:rPr>
          <w:color w:val="231F20"/>
          <w:w w:val="105"/>
        </w:rPr>
        <w:t>Derivado de las políticas de modernización agropecuaria, dismi- nuyó el apoyo estatal hacia los pequeños y medianos productores por ser</w:t>
      </w:r>
      <w:r>
        <w:rPr>
          <w:color w:val="231F20"/>
          <w:spacing w:val="-22"/>
          <w:w w:val="105"/>
        </w:rPr>
        <w:t> </w:t>
      </w:r>
      <w:r>
        <w:rPr>
          <w:color w:val="231F20"/>
          <w:w w:val="105"/>
        </w:rPr>
        <w:t>considerados</w:t>
      </w:r>
      <w:r>
        <w:rPr>
          <w:color w:val="231F20"/>
          <w:spacing w:val="-22"/>
          <w:w w:val="105"/>
        </w:rPr>
        <w:t> </w:t>
      </w:r>
      <w:r>
        <w:rPr>
          <w:color w:val="231F20"/>
          <w:w w:val="105"/>
        </w:rPr>
        <w:t>como</w:t>
      </w:r>
      <w:r>
        <w:rPr>
          <w:color w:val="231F20"/>
          <w:spacing w:val="-22"/>
          <w:w w:val="105"/>
        </w:rPr>
        <w:t> </w:t>
      </w:r>
      <w:r>
        <w:rPr>
          <w:color w:val="231F20"/>
          <w:w w:val="105"/>
        </w:rPr>
        <w:t>poco</w:t>
      </w:r>
      <w:r>
        <w:rPr>
          <w:color w:val="231F20"/>
          <w:spacing w:val="-22"/>
          <w:w w:val="105"/>
        </w:rPr>
        <w:t> </w:t>
      </w:r>
      <w:r>
        <w:rPr>
          <w:color w:val="231F20"/>
          <w:spacing w:val="-3"/>
          <w:w w:val="105"/>
        </w:rPr>
        <w:t>“eficientes”.</w:t>
      </w:r>
      <w:r>
        <w:rPr>
          <w:color w:val="231F20"/>
          <w:spacing w:val="-30"/>
          <w:w w:val="105"/>
        </w:rPr>
        <w:t> </w:t>
      </w:r>
      <w:r>
        <w:rPr>
          <w:color w:val="231F20"/>
          <w:w w:val="105"/>
        </w:rPr>
        <w:t>Además</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altas</w:t>
      </w:r>
      <w:r>
        <w:rPr>
          <w:color w:val="231F20"/>
          <w:spacing w:val="-22"/>
          <w:w w:val="105"/>
        </w:rPr>
        <w:t> </w:t>
      </w:r>
      <w:r>
        <w:rPr>
          <w:color w:val="231F20"/>
          <w:w w:val="105"/>
        </w:rPr>
        <w:t>exigencias</w:t>
      </w:r>
    </w:p>
    <w:p>
      <w:pPr>
        <w:pStyle w:val="BodyText"/>
        <w:rPr>
          <w:sz w:val="20"/>
        </w:rPr>
      </w:pPr>
    </w:p>
    <w:p>
      <w:pPr>
        <w:pStyle w:val="BodyText"/>
        <w:rPr>
          <w:sz w:val="13"/>
        </w:rPr>
      </w:pPr>
      <w:r>
        <w:rPr/>
        <w:pict>
          <v:line style="position:absolute;mso-position-horizontal-relative:page;mso-position-vertical-relative:paragraph;z-index:9616;mso-wrap-distance-left:0;mso-wrap-distance-right:0" from="86.1968pt,9.473361pt" to="199.5828pt,9.473361pt" stroked="true" strokeweight=".25pt" strokecolor="#231f20">
            <w10:wrap type="topAndBottom"/>
          </v:line>
        </w:pict>
      </w:r>
    </w:p>
    <w:p>
      <w:pPr>
        <w:spacing w:line="192" w:lineRule="exact" w:before="7"/>
        <w:ind w:left="1723" w:right="1834" w:firstLine="0"/>
        <w:jc w:val="both"/>
        <w:rPr>
          <w:rFonts w:ascii="Calibri" w:hAnsi="Calibri"/>
          <w:sz w:val="16"/>
        </w:rPr>
      </w:pPr>
      <w:r>
        <w:rPr>
          <w:rFonts w:ascii="Calibri" w:hAnsi="Calibri"/>
          <w:color w:val="414042"/>
          <w:w w:val="105"/>
          <w:position w:val="5"/>
          <w:sz w:val="9"/>
        </w:rPr>
        <w:t>4 </w:t>
      </w:r>
      <w:r>
        <w:rPr>
          <w:rFonts w:ascii="Calibri" w:hAnsi="Calibri"/>
          <w:color w:val="414042"/>
          <w:w w:val="105"/>
          <w:sz w:val="16"/>
        </w:rPr>
        <w:t>La construcción de la Autopista Toluca-Ixtapan de la Sal es un claro ejemplo de ello, dado que</w:t>
      </w:r>
      <w:r>
        <w:rPr>
          <w:rFonts w:ascii="Calibri" w:hAnsi="Calibri"/>
          <w:color w:val="414042"/>
          <w:spacing w:val="-26"/>
          <w:w w:val="105"/>
          <w:sz w:val="16"/>
        </w:rPr>
        <w:t> </w:t>
      </w:r>
      <w:r>
        <w:rPr>
          <w:rFonts w:ascii="Calibri" w:hAnsi="Calibri"/>
          <w:color w:val="414042"/>
          <w:w w:val="105"/>
          <w:sz w:val="16"/>
        </w:rPr>
        <w:t>facilita el transporte de la producción en menor tiempo. Ello constituye un factor que disminuye costos a los productores.</w:t>
      </w:r>
    </w:p>
    <w:p>
      <w:pPr>
        <w:spacing w:line="192" w:lineRule="exact" w:before="0"/>
        <w:ind w:left="1723" w:right="1835" w:firstLine="0"/>
        <w:jc w:val="both"/>
        <w:rPr>
          <w:rFonts w:ascii="Calibri" w:hAnsi="Calibri"/>
          <w:sz w:val="16"/>
        </w:rPr>
      </w:pPr>
      <w:r>
        <w:rPr>
          <w:rFonts w:ascii="Calibri" w:hAnsi="Calibri"/>
          <w:color w:val="414042"/>
          <w:w w:val="105"/>
          <w:position w:val="5"/>
          <w:sz w:val="9"/>
        </w:rPr>
        <w:t>5</w:t>
      </w:r>
      <w:r>
        <w:rPr>
          <w:rFonts w:ascii="Calibri" w:hAnsi="Calibri"/>
          <w:color w:val="414042"/>
          <w:spacing w:val="3"/>
          <w:w w:val="105"/>
          <w:position w:val="5"/>
          <w:sz w:val="9"/>
        </w:rPr>
        <w:t> </w:t>
      </w:r>
      <w:r>
        <w:rPr>
          <w:rFonts w:ascii="Calibri" w:hAnsi="Calibri"/>
          <w:color w:val="414042"/>
          <w:w w:val="105"/>
          <w:sz w:val="16"/>
        </w:rPr>
        <w:t>El</w:t>
      </w:r>
      <w:r>
        <w:rPr>
          <w:rFonts w:ascii="Calibri" w:hAnsi="Calibri"/>
          <w:color w:val="414042"/>
          <w:spacing w:val="-13"/>
          <w:w w:val="105"/>
          <w:sz w:val="16"/>
        </w:rPr>
        <w:t> </w:t>
      </w:r>
      <w:r>
        <w:rPr>
          <w:rFonts w:ascii="Calibri" w:hAnsi="Calibri"/>
          <w:color w:val="414042"/>
          <w:w w:val="105"/>
          <w:sz w:val="16"/>
        </w:rPr>
        <w:t>Consejo</w:t>
      </w:r>
      <w:r>
        <w:rPr>
          <w:rFonts w:ascii="Calibri" w:hAnsi="Calibri"/>
          <w:color w:val="414042"/>
          <w:spacing w:val="-13"/>
          <w:w w:val="105"/>
          <w:sz w:val="16"/>
        </w:rPr>
        <w:t> </w:t>
      </w:r>
      <w:r>
        <w:rPr>
          <w:rFonts w:ascii="Calibri" w:hAnsi="Calibri"/>
          <w:color w:val="414042"/>
          <w:w w:val="105"/>
          <w:sz w:val="16"/>
        </w:rPr>
        <w:t>Mexicano</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la</w:t>
      </w:r>
      <w:r>
        <w:rPr>
          <w:rFonts w:ascii="Calibri" w:hAnsi="Calibri"/>
          <w:color w:val="414042"/>
          <w:spacing w:val="-13"/>
          <w:w w:val="105"/>
          <w:sz w:val="16"/>
        </w:rPr>
        <w:t> </w:t>
      </w:r>
      <w:r>
        <w:rPr>
          <w:rFonts w:ascii="Calibri" w:hAnsi="Calibri"/>
          <w:color w:val="414042"/>
          <w:w w:val="105"/>
          <w:sz w:val="16"/>
        </w:rPr>
        <w:t>Flor</w:t>
      </w:r>
      <w:r>
        <w:rPr>
          <w:rFonts w:ascii="Calibri" w:hAnsi="Calibri"/>
          <w:color w:val="414042"/>
          <w:spacing w:val="-13"/>
          <w:w w:val="105"/>
          <w:sz w:val="16"/>
        </w:rPr>
        <w:t> </w:t>
      </w:r>
      <w:r>
        <w:rPr>
          <w:rFonts w:ascii="Calibri" w:hAnsi="Calibri"/>
          <w:color w:val="414042"/>
          <w:w w:val="105"/>
          <w:sz w:val="16"/>
        </w:rPr>
        <w:t>es</w:t>
      </w:r>
      <w:r>
        <w:rPr>
          <w:rFonts w:ascii="Calibri" w:hAnsi="Calibri"/>
          <w:color w:val="414042"/>
          <w:spacing w:val="-13"/>
          <w:w w:val="105"/>
          <w:sz w:val="16"/>
        </w:rPr>
        <w:t> </w:t>
      </w:r>
      <w:r>
        <w:rPr>
          <w:rFonts w:ascii="Calibri" w:hAnsi="Calibri"/>
          <w:color w:val="414042"/>
          <w:w w:val="105"/>
          <w:sz w:val="16"/>
        </w:rPr>
        <w:t>un</w:t>
      </w:r>
      <w:r>
        <w:rPr>
          <w:rFonts w:ascii="Calibri" w:hAnsi="Calibri"/>
          <w:color w:val="414042"/>
          <w:spacing w:val="-13"/>
          <w:w w:val="105"/>
          <w:sz w:val="16"/>
        </w:rPr>
        <w:t> </w:t>
      </w:r>
      <w:r>
        <w:rPr>
          <w:rFonts w:ascii="Calibri" w:hAnsi="Calibri"/>
          <w:color w:val="414042"/>
          <w:w w:val="105"/>
          <w:sz w:val="16"/>
        </w:rPr>
        <w:t>ejemplo</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esto,</w:t>
      </w:r>
      <w:r>
        <w:rPr>
          <w:rFonts w:ascii="Calibri" w:hAnsi="Calibri"/>
          <w:color w:val="414042"/>
          <w:spacing w:val="-15"/>
          <w:w w:val="105"/>
          <w:sz w:val="16"/>
        </w:rPr>
        <w:t> </w:t>
      </w:r>
      <w:r>
        <w:rPr>
          <w:rFonts w:ascii="Calibri" w:hAnsi="Calibri"/>
          <w:color w:val="414042"/>
          <w:w w:val="105"/>
          <w:sz w:val="16"/>
        </w:rPr>
        <w:t>ya</w:t>
      </w:r>
      <w:r>
        <w:rPr>
          <w:rFonts w:ascii="Calibri" w:hAnsi="Calibri"/>
          <w:color w:val="414042"/>
          <w:spacing w:val="-13"/>
          <w:w w:val="105"/>
          <w:sz w:val="16"/>
        </w:rPr>
        <w:t> </w:t>
      </w:r>
      <w:r>
        <w:rPr>
          <w:rFonts w:ascii="Calibri" w:hAnsi="Calibri"/>
          <w:color w:val="414042"/>
          <w:w w:val="105"/>
          <w:sz w:val="16"/>
        </w:rPr>
        <w:t>que</w:t>
      </w:r>
      <w:r>
        <w:rPr>
          <w:rFonts w:ascii="Calibri" w:hAnsi="Calibri"/>
          <w:color w:val="414042"/>
          <w:spacing w:val="-13"/>
          <w:w w:val="105"/>
          <w:sz w:val="16"/>
        </w:rPr>
        <w:t> </w:t>
      </w:r>
      <w:r>
        <w:rPr>
          <w:rFonts w:ascii="Calibri" w:hAnsi="Calibri"/>
          <w:color w:val="414042"/>
          <w:w w:val="105"/>
          <w:sz w:val="16"/>
        </w:rPr>
        <w:t>agrupa</w:t>
      </w:r>
      <w:r>
        <w:rPr>
          <w:rFonts w:ascii="Calibri" w:hAnsi="Calibri"/>
          <w:color w:val="414042"/>
          <w:spacing w:val="-13"/>
          <w:w w:val="105"/>
          <w:sz w:val="16"/>
        </w:rPr>
        <w:t> </w:t>
      </w:r>
      <w:r>
        <w:rPr>
          <w:rFonts w:ascii="Calibri" w:hAnsi="Calibri"/>
          <w:color w:val="414042"/>
          <w:w w:val="105"/>
          <w:sz w:val="16"/>
        </w:rPr>
        <w:t>al</w:t>
      </w:r>
      <w:r>
        <w:rPr>
          <w:rFonts w:ascii="Calibri" w:hAnsi="Calibri"/>
          <w:color w:val="414042"/>
          <w:spacing w:val="-13"/>
          <w:w w:val="105"/>
          <w:sz w:val="16"/>
        </w:rPr>
        <w:t> </w:t>
      </w:r>
      <w:r>
        <w:rPr>
          <w:rFonts w:ascii="Calibri" w:hAnsi="Calibri"/>
          <w:color w:val="414042"/>
          <w:w w:val="105"/>
          <w:sz w:val="16"/>
        </w:rPr>
        <w:t>grueso</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las</w:t>
      </w:r>
      <w:r>
        <w:rPr>
          <w:rFonts w:ascii="Calibri" w:hAnsi="Calibri"/>
          <w:color w:val="414042"/>
          <w:spacing w:val="-13"/>
          <w:w w:val="105"/>
          <w:sz w:val="16"/>
        </w:rPr>
        <w:t> </w:t>
      </w:r>
      <w:r>
        <w:rPr>
          <w:rFonts w:ascii="Calibri" w:hAnsi="Calibri"/>
          <w:color w:val="414042"/>
          <w:w w:val="105"/>
          <w:sz w:val="16"/>
        </w:rPr>
        <w:t>grandes</w:t>
      </w:r>
      <w:r>
        <w:rPr>
          <w:rFonts w:ascii="Calibri" w:hAnsi="Calibri"/>
          <w:color w:val="414042"/>
          <w:spacing w:val="-13"/>
          <w:w w:val="105"/>
          <w:sz w:val="16"/>
        </w:rPr>
        <w:t> </w:t>
      </w:r>
      <w:r>
        <w:rPr>
          <w:rFonts w:ascii="Calibri" w:hAnsi="Calibri"/>
          <w:color w:val="414042"/>
          <w:w w:val="105"/>
          <w:sz w:val="16"/>
        </w:rPr>
        <w:t>empresas. </w:t>
      </w:r>
      <w:r>
        <w:rPr>
          <w:rFonts w:ascii="Calibri" w:hAnsi="Calibri"/>
          <w:color w:val="414042"/>
          <w:w w:val="105"/>
          <w:position w:val="5"/>
          <w:sz w:val="9"/>
        </w:rPr>
        <w:t>6</w:t>
      </w:r>
      <w:r>
        <w:rPr>
          <w:rFonts w:ascii="Calibri" w:hAnsi="Calibri"/>
          <w:color w:val="414042"/>
          <w:spacing w:val="8"/>
          <w:w w:val="105"/>
          <w:position w:val="5"/>
          <w:sz w:val="9"/>
        </w:rPr>
        <w:t> </w:t>
      </w:r>
      <w:r>
        <w:rPr>
          <w:rFonts w:ascii="Calibri" w:hAnsi="Calibri"/>
          <w:color w:val="414042"/>
          <w:w w:val="105"/>
          <w:sz w:val="16"/>
        </w:rPr>
        <w:t>Los</w:t>
      </w:r>
      <w:r>
        <w:rPr>
          <w:rFonts w:ascii="Calibri" w:hAnsi="Calibri"/>
          <w:color w:val="414042"/>
          <w:spacing w:val="-9"/>
          <w:w w:val="105"/>
          <w:sz w:val="16"/>
        </w:rPr>
        <w:t> </w:t>
      </w:r>
      <w:r>
        <w:rPr>
          <w:rFonts w:ascii="Calibri" w:hAnsi="Calibri"/>
          <w:color w:val="414042"/>
          <w:w w:val="105"/>
          <w:sz w:val="16"/>
        </w:rPr>
        <w:t>habitantes</w:t>
      </w:r>
      <w:r>
        <w:rPr>
          <w:rFonts w:ascii="Calibri" w:hAnsi="Calibri"/>
          <w:color w:val="414042"/>
          <w:spacing w:val="-9"/>
          <w:w w:val="105"/>
          <w:sz w:val="16"/>
        </w:rPr>
        <w:t> </w:t>
      </w:r>
      <w:r>
        <w:rPr>
          <w:rFonts w:ascii="Calibri" w:hAnsi="Calibri"/>
          <w:color w:val="414042"/>
          <w:w w:val="105"/>
          <w:sz w:val="16"/>
        </w:rPr>
        <w:t>del</w:t>
      </w:r>
      <w:r>
        <w:rPr>
          <w:rFonts w:ascii="Calibri" w:hAnsi="Calibri"/>
          <w:color w:val="414042"/>
          <w:spacing w:val="-9"/>
          <w:w w:val="105"/>
          <w:sz w:val="16"/>
        </w:rPr>
        <w:t> </w:t>
      </w:r>
      <w:r>
        <w:rPr>
          <w:rFonts w:ascii="Calibri" w:hAnsi="Calibri"/>
          <w:color w:val="414042"/>
          <w:w w:val="105"/>
          <w:sz w:val="16"/>
        </w:rPr>
        <w:t>municipio</w:t>
      </w:r>
      <w:r>
        <w:rPr>
          <w:rFonts w:ascii="Calibri" w:hAnsi="Calibri"/>
          <w:color w:val="414042"/>
          <w:spacing w:val="-11"/>
          <w:w w:val="105"/>
          <w:sz w:val="16"/>
        </w:rPr>
        <w:t> </w:t>
      </w:r>
      <w:r>
        <w:rPr>
          <w:rFonts w:ascii="Calibri" w:hAnsi="Calibri"/>
          <w:color w:val="414042"/>
          <w:w w:val="105"/>
          <w:sz w:val="16"/>
        </w:rPr>
        <w:t>y</w:t>
      </w:r>
      <w:r>
        <w:rPr>
          <w:rFonts w:ascii="Calibri" w:hAnsi="Calibri"/>
          <w:color w:val="414042"/>
          <w:spacing w:val="-9"/>
          <w:w w:val="105"/>
          <w:sz w:val="16"/>
        </w:rPr>
        <w:t> </w:t>
      </w:r>
      <w:r>
        <w:rPr>
          <w:rFonts w:ascii="Calibri" w:hAnsi="Calibri"/>
          <w:color w:val="414042"/>
          <w:w w:val="105"/>
          <w:sz w:val="16"/>
        </w:rPr>
        <w:t>sus</w:t>
      </w:r>
      <w:r>
        <w:rPr>
          <w:rFonts w:ascii="Calibri" w:hAnsi="Calibri"/>
          <w:color w:val="414042"/>
          <w:spacing w:val="-9"/>
          <w:w w:val="105"/>
          <w:sz w:val="16"/>
        </w:rPr>
        <w:t> </w:t>
      </w:r>
      <w:r>
        <w:rPr>
          <w:rFonts w:ascii="Calibri" w:hAnsi="Calibri"/>
          <w:color w:val="414042"/>
          <w:w w:val="105"/>
          <w:sz w:val="16"/>
        </w:rPr>
        <w:t>localidades</w:t>
      </w:r>
      <w:r>
        <w:rPr>
          <w:rFonts w:ascii="Calibri" w:hAnsi="Calibri"/>
          <w:color w:val="414042"/>
          <w:spacing w:val="-9"/>
          <w:w w:val="105"/>
          <w:sz w:val="16"/>
        </w:rPr>
        <w:t> </w:t>
      </w:r>
      <w:r>
        <w:rPr>
          <w:rFonts w:ascii="Calibri" w:hAnsi="Calibri"/>
          <w:color w:val="414042"/>
          <w:w w:val="105"/>
          <w:sz w:val="16"/>
        </w:rPr>
        <w:t>aprendieron</w:t>
      </w:r>
      <w:r>
        <w:rPr>
          <w:rFonts w:ascii="Calibri" w:hAnsi="Calibri"/>
          <w:color w:val="414042"/>
          <w:spacing w:val="-9"/>
          <w:w w:val="105"/>
          <w:sz w:val="16"/>
        </w:rPr>
        <w:t> </w:t>
      </w:r>
      <w:r>
        <w:rPr>
          <w:rFonts w:ascii="Calibri" w:hAnsi="Calibri"/>
          <w:color w:val="414042"/>
          <w:w w:val="105"/>
          <w:sz w:val="16"/>
        </w:rPr>
        <w:t>todo</w:t>
      </w:r>
      <w:r>
        <w:rPr>
          <w:rFonts w:ascii="Calibri" w:hAnsi="Calibri"/>
          <w:color w:val="414042"/>
          <w:spacing w:val="-9"/>
          <w:w w:val="105"/>
          <w:sz w:val="16"/>
        </w:rPr>
        <w:t> </w:t>
      </w:r>
      <w:r>
        <w:rPr>
          <w:rFonts w:ascii="Calibri" w:hAnsi="Calibri"/>
          <w:color w:val="414042"/>
          <w:w w:val="105"/>
          <w:sz w:val="16"/>
        </w:rPr>
        <w:t>lo</w:t>
      </w:r>
      <w:r>
        <w:rPr>
          <w:rFonts w:ascii="Calibri" w:hAnsi="Calibri"/>
          <w:color w:val="414042"/>
          <w:spacing w:val="-9"/>
          <w:w w:val="105"/>
          <w:sz w:val="16"/>
        </w:rPr>
        <w:t> </w:t>
      </w:r>
      <w:r>
        <w:rPr>
          <w:rFonts w:ascii="Calibri" w:hAnsi="Calibri"/>
          <w:color w:val="414042"/>
          <w:w w:val="105"/>
          <w:sz w:val="16"/>
        </w:rPr>
        <w:t>referente</w:t>
      </w:r>
      <w:r>
        <w:rPr>
          <w:rFonts w:ascii="Calibri" w:hAnsi="Calibri"/>
          <w:color w:val="414042"/>
          <w:spacing w:val="-9"/>
          <w:w w:val="105"/>
          <w:sz w:val="16"/>
        </w:rPr>
        <w:t> </w:t>
      </w:r>
      <w:r>
        <w:rPr>
          <w:rFonts w:ascii="Calibri" w:hAnsi="Calibri"/>
          <w:color w:val="414042"/>
          <w:w w:val="105"/>
          <w:sz w:val="16"/>
        </w:rPr>
        <w:t>al</w:t>
      </w:r>
      <w:r>
        <w:rPr>
          <w:rFonts w:ascii="Calibri" w:hAnsi="Calibri"/>
          <w:color w:val="414042"/>
          <w:spacing w:val="-9"/>
          <w:w w:val="105"/>
          <w:sz w:val="16"/>
        </w:rPr>
        <w:t> </w:t>
      </w:r>
      <w:r>
        <w:rPr>
          <w:rFonts w:ascii="Calibri" w:hAnsi="Calibri"/>
          <w:color w:val="414042"/>
          <w:w w:val="105"/>
          <w:sz w:val="16"/>
        </w:rPr>
        <w:t>cultivo</w:t>
      </w:r>
      <w:r>
        <w:rPr>
          <w:rFonts w:ascii="Calibri" w:hAnsi="Calibri"/>
          <w:color w:val="414042"/>
          <w:spacing w:val="-9"/>
          <w:w w:val="105"/>
          <w:sz w:val="16"/>
        </w:rPr>
        <w:t> </w:t>
      </w:r>
      <w:r>
        <w:rPr>
          <w:rFonts w:ascii="Calibri" w:hAnsi="Calibri"/>
          <w:color w:val="414042"/>
          <w:w w:val="105"/>
          <w:sz w:val="16"/>
        </w:rPr>
        <w:t>de</w:t>
      </w:r>
      <w:r>
        <w:rPr>
          <w:rFonts w:ascii="Calibri" w:hAnsi="Calibri"/>
          <w:color w:val="414042"/>
          <w:spacing w:val="-9"/>
          <w:w w:val="105"/>
          <w:sz w:val="16"/>
        </w:rPr>
        <w:t> </w:t>
      </w:r>
      <w:r>
        <w:rPr>
          <w:rFonts w:ascii="Calibri" w:hAnsi="Calibri"/>
          <w:color w:val="414042"/>
          <w:w w:val="105"/>
          <w:sz w:val="16"/>
        </w:rPr>
        <w:t>la</w:t>
      </w:r>
      <w:r>
        <w:rPr>
          <w:rFonts w:ascii="Calibri" w:hAnsi="Calibri"/>
          <w:color w:val="414042"/>
          <w:spacing w:val="-9"/>
          <w:w w:val="105"/>
          <w:sz w:val="16"/>
        </w:rPr>
        <w:t> </w:t>
      </w:r>
      <w:r>
        <w:rPr>
          <w:rFonts w:ascii="Calibri" w:hAnsi="Calibri"/>
          <w:color w:val="414042"/>
          <w:spacing w:val="-3"/>
          <w:w w:val="105"/>
          <w:sz w:val="16"/>
        </w:rPr>
        <w:t>flor,</w:t>
      </w:r>
      <w:r>
        <w:rPr>
          <w:rFonts w:ascii="Calibri" w:hAnsi="Calibri"/>
          <w:color w:val="414042"/>
          <w:spacing w:val="-9"/>
          <w:w w:val="105"/>
          <w:sz w:val="16"/>
        </w:rPr>
        <w:t> </w:t>
      </w:r>
      <w:r>
        <w:rPr>
          <w:rFonts w:ascii="Calibri" w:hAnsi="Calibri"/>
          <w:color w:val="414042"/>
          <w:w w:val="105"/>
          <w:sz w:val="16"/>
        </w:rPr>
        <w:t>por</w:t>
      </w:r>
      <w:r>
        <w:rPr>
          <w:rFonts w:ascii="Calibri" w:hAnsi="Calibri"/>
          <w:color w:val="414042"/>
          <w:spacing w:val="-9"/>
          <w:w w:val="105"/>
          <w:sz w:val="16"/>
        </w:rPr>
        <w:t> </w:t>
      </w:r>
      <w:r>
        <w:rPr>
          <w:rFonts w:ascii="Calibri" w:hAnsi="Calibri"/>
          <w:color w:val="414042"/>
          <w:w w:val="105"/>
          <w:sz w:val="16"/>
        </w:rPr>
        <w:t>lo que</w:t>
      </w:r>
      <w:r>
        <w:rPr>
          <w:rFonts w:ascii="Calibri" w:hAnsi="Calibri"/>
          <w:color w:val="414042"/>
          <w:spacing w:val="-10"/>
          <w:w w:val="105"/>
          <w:sz w:val="16"/>
        </w:rPr>
        <w:t> </w:t>
      </w:r>
      <w:r>
        <w:rPr>
          <w:rFonts w:ascii="Calibri" w:hAnsi="Calibri"/>
          <w:color w:val="414042"/>
          <w:w w:val="105"/>
          <w:sz w:val="16"/>
        </w:rPr>
        <w:t>muchos</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ellos</w:t>
      </w:r>
      <w:r>
        <w:rPr>
          <w:rFonts w:ascii="Calibri" w:hAnsi="Calibri"/>
          <w:color w:val="414042"/>
          <w:spacing w:val="-10"/>
          <w:w w:val="105"/>
          <w:sz w:val="16"/>
        </w:rPr>
        <w:t> </w:t>
      </w:r>
      <w:r>
        <w:rPr>
          <w:rFonts w:ascii="Calibri" w:hAnsi="Calibri"/>
          <w:color w:val="414042"/>
          <w:w w:val="105"/>
          <w:sz w:val="16"/>
        </w:rPr>
        <w:t>consideraron</w:t>
      </w:r>
      <w:r>
        <w:rPr>
          <w:rFonts w:ascii="Calibri" w:hAnsi="Calibri"/>
          <w:color w:val="414042"/>
          <w:spacing w:val="-10"/>
          <w:w w:val="105"/>
          <w:sz w:val="16"/>
        </w:rPr>
        <w:t> </w:t>
      </w:r>
      <w:r>
        <w:rPr>
          <w:rFonts w:ascii="Calibri" w:hAnsi="Calibri"/>
          <w:color w:val="414042"/>
          <w:w w:val="105"/>
          <w:sz w:val="16"/>
        </w:rPr>
        <w:t>la</w:t>
      </w:r>
      <w:r>
        <w:rPr>
          <w:rFonts w:ascii="Calibri" w:hAnsi="Calibri"/>
          <w:color w:val="414042"/>
          <w:spacing w:val="-10"/>
          <w:w w:val="105"/>
          <w:sz w:val="16"/>
        </w:rPr>
        <w:t> </w:t>
      </w:r>
      <w:r>
        <w:rPr>
          <w:rFonts w:ascii="Calibri" w:hAnsi="Calibri"/>
          <w:color w:val="414042"/>
          <w:w w:val="105"/>
          <w:sz w:val="16"/>
        </w:rPr>
        <w:t>posibilidad</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tener</w:t>
      </w:r>
      <w:r>
        <w:rPr>
          <w:rFonts w:ascii="Calibri" w:hAnsi="Calibri"/>
          <w:color w:val="414042"/>
          <w:spacing w:val="-10"/>
          <w:w w:val="105"/>
          <w:sz w:val="16"/>
        </w:rPr>
        <w:t> </w:t>
      </w:r>
      <w:r>
        <w:rPr>
          <w:rFonts w:ascii="Calibri" w:hAnsi="Calibri"/>
          <w:color w:val="414042"/>
          <w:w w:val="105"/>
          <w:sz w:val="16"/>
        </w:rPr>
        <w:t>su</w:t>
      </w:r>
      <w:r>
        <w:rPr>
          <w:rFonts w:ascii="Calibri" w:hAnsi="Calibri"/>
          <w:color w:val="414042"/>
          <w:spacing w:val="-10"/>
          <w:w w:val="105"/>
          <w:sz w:val="16"/>
        </w:rPr>
        <w:t> </w:t>
      </w:r>
      <w:r>
        <w:rPr>
          <w:rFonts w:ascii="Calibri" w:hAnsi="Calibri"/>
          <w:color w:val="414042"/>
          <w:w w:val="105"/>
          <w:sz w:val="16"/>
        </w:rPr>
        <w:t>propio</w:t>
      </w:r>
      <w:r>
        <w:rPr>
          <w:rFonts w:ascii="Calibri" w:hAnsi="Calibri"/>
          <w:color w:val="414042"/>
          <w:spacing w:val="-10"/>
          <w:w w:val="105"/>
          <w:sz w:val="16"/>
        </w:rPr>
        <w:t> </w:t>
      </w:r>
      <w:r>
        <w:rPr>
          <w:rFonts w:ascii="Calibri" w:hAnsi="Calibri"/>
          <w:color w:val="414042"/>
          <w:w w:val="105"/>
          <w:sz w:val="16"/>
        </w:rPr>
        <w:t>negocio,</w:t>
      </w:r>
      <w:r>
        <w:rPr>
          <w:rFonts w:ascii="Calibri" w:hAnsi="Calibri"/>
          <w:color w:val="414042"/>
          <w:spacing w:val="-10"/>
          <w:w w:val="105"/>
          <w:sz w:val="16"/>
        </w:rPr>
        <w:t> </w:t>
      </w:r>
      <w:r>
        <w:rPr>
          <w:rFonts w:ascii="Calibri" w:hAnsi="Calibri"/>
          <w:color w:val="414042"/>
          <w:w w:val="105"/>
          <w:sz w:val="16"/>
        </w:rPr>
        <w:t>“pero</w:t>
      </w:r>
      <w:r>
        <w:rPr>
          <w:rFonts w:ascii="Calibri" w:hAnsi="Calibri"/>
          <w:color w:val="414042"/>
          <w:spacing w:val="-10"/>
          <w:w w:val="105"/>
          <w:sz w:val="16"/>
        </w:rPr>
        <w:t> </w:t>
      </w:r>
      <w:r>
        <w:rPr>
          <w:rFonts w:ascii="Calibri" w:hAnsi="Calibri"/>
          <w:color w:val="414042"/>
          <w:w w:val="105"/>
          <w:sz w:val="16"/>
        </w:rPr>
        <w:t>como</w:t>
      </w:r>
      <w:r>
        <w:rPr>
          <w:rFonts w:ascii="Calibri" w:hAnsi="Calibri"/>
          <w:color w:val="414042"/>
          <w:spacing w:val="-10"/>
          <w:w w:val="105"/>
          <w:sz w:val="16"/>
        </w:rPr>
        <w:t> </w:t>
      </w:r>
      <w:r>
        <w:rPr>
          <w:rFonts w:ascii="Calibri" w:hAnsi="Calibri"/>
          <w:color w:val="414042"/>
          <w:w w:val="105"/>
          <w:sz w:val="16"/>
        </w:rPr>
        <w:t>no</w:t>
      </w:r>
      <w:r>
        <w:rPr>
          <w:rFonts w:ascii="Calibri" w:hAnsi="Calibri"/>
          <w:color w:val="414042"/>
          <w:spacing w:val="-10"/>
          <w:w w:val="105"/>
          <w:sz w:val="16"/>
        </w:rPr>
        <w:t> </w:t>
      </w:r>
      <w:r>
        <w:rPr>
          <w:rFonts w:ascii="Calibri" w:hAnsi="Calibri"/>
          <w:color w:val="414042"/>
          <w:w w:val="105"/>
          <w:sz w:val="16"/>
        </w:rPr>
        <w:t>era</w:t>
      </w:r>
      <w:r>
        <w:rPr>
          <w:rFonts w:ascii="Calibri" w:hAnsi="Calibri"/>
          <w:color w:val="414042"/>
          <w:spacing w:val="-10"/>
          <w:w w:val="105"/>
          <w:sz w:val="16"/>
        </w:rPr>
        <w:t> </w:t>
      </w:r>
      <w:r>
        <w:rPr>
          <w:rFonts w:ascii="Calibri" w:hAnsi="Calibri"/>
          <w:color w:val="414042"/>
          <w:w w:val="105"/>
          <w:sz w:val="16"/>
        </w:rPr>
        <w:t>sencillo conseguir</w:t>
      </w:r>
      <w:r>
        <w:rPr>
          <w:rFonts w:ascii="Calibri" w:hAnsi="Calibri"/>
          <w:color w:val="414042"/>
          <w:spacing w:val="-19"/>
          <w:w w:val="105"/>
          <w:sz w:val="16"/>
        </w:rPr>
        <w:t> </w:t>
      </w:r>
      <w:r>
        <w:rPr>
          <w:rFonts w:ascii="Calibri" w:hAnsi="Calibri"/>
          <w:color w:val="414042"/>
          <w:w w:val="105"/>
          <w:sz w:val="16"/>
        </w:rPr>
        <w:t>el</w:t>
      </w:r>
      <w:r>
        <w:rPr>
          <w:rFonts w:ascii="Calibri" w:hAnsi="Calibri"/>
          <w:color w:val="414042"/>
          <w:spacing w:val="-19"/>
          <w:w w:val="105"/>
          <w:sz w:val="16"/>
        </w:rPr>
        <w:t> </w:t>
      </w:r>
      <w:r>
        <w:rPr>
          <w:rFonts w:ascii="Calibri" w:hAnsi="Calibri"/>
          <w:color w:val="414042"/>
          <w:w w:val="105"/>
          <w:sz w:val="16"/>
        </w:rPr>
        <w:t>material</w:t>
      </w:r>
      <w:r>
        <w:rPr>
          <w:rFonts w:ascii="Calibri" w:hAnsi="Calibri"/>
          <w:color w:val="414042"/>
          <w:spacing w:val="-20"/>
          <w:w w:val="105"/>
          <w:sz w:val="16"/>
        </w:rPr>
        <w:t> </w:t>
      </w:r>
      <w:r>
        <w:rPr>
          <w:rFonts w:ascii="Calibri" w:hAnsi="Calibri"/>
          <w:color w:val="414042"/>
          <w:w w:val="105"/>
          <w:sz w:val="16"/>
        </w:rPr>
        <w:t>vegetativo,</w:t>
      </w:r>
      <w:r>
        <w:rPr>
          <w:rFonts w:ascii="Calibri" w:hAnsi="Calibri"/>
          <w:color w:val="414042"/>
          <w:spacing w:val="-19"/>
          <w:w w:val="105"/>
          <w:sz w:val="16"/>
        </w:rPr>
        <w:t> </w:t>
      </w:r>
      <w:r>
        <w:rPr>
          <w:rFonts w:ascii="Calibri" w:hAnsi="Calibri"/>
          <w:color w:val="414042"/>
          <w:w w:val="105"/>
          <w:sz w:val="16"/>
        </w:rPr>
        <w:t>optaron</w:t>
      </w:r>
      <w:r>
        <w:rPr>
          <w:rFonts w:ascii="Calibri" w:hAnsi="Calibri"/>
          <w:color w:val="414042"/>
          <w:spacing w:val="-19"/>
          <w:w w:val="105"/>
          <w:sz w:val="16"/>
        </w:rPr>
        <w:t> </w:t>
      </w:r>
      <w:r>
        <w:rPr>
          <w:rFonts w:ascii="Calibri" w:hAnsi="Calibri"/>
          <w:color w:val="414042"/>
          <w:w w:val="105"/>
          <w:sz w:val="16"/>
        </w:rPr>
        <w:t>por</w:t>
      </w:r>
      <w:r>
        <w:rPr>
          <w:rFonts w:ascii="Calibri" w:hAnsi="Calibri"/>
          <w:color w:val="414042"/>
          <w:spacing w:val="-19"/>
          <w:w w:val="105"/>
          <w:sz w:val="16"/>
        </w:rPr>
        <w:t> </w:t>
      </w:r>
      <w:r>
        <w:rPr>
          <w:rFonts w:ascii="Calibri" w:hAnsi="Calibri"/>
          <w:color w:val="414042"/>
          <w:w w:val="105"/>
          <w:sz w:val="16"/>
        </w:rPr>
        <w:t>extraer</w:t>
      </w:r>
      <w:r>
        <w:rPr>
          <w:rFonts w:ascii="Calibri" w:hAnsi="Calibri"/>
          <w:color w:val="414042"/>
          <w:spacing w:val="-19"/>
          <w:w w:val="105"/>
          <w:sz w:val="16"/>
        </w:rPr>
        <w:t> </w:t>
      </w:r>
      <w:r>
        <w:rPr>
          <w:rFonts w:ascii="Calibri" w:hAnsi="Calibri"/>
          <w:color w:val="414042"/>
          <w:w w:val="105"/>
          <w:sz w:val="16"/>
        </w:rPr>
        <w:t>esquejes</w:t>
      </w:r>
      <w:r>
        <w:rPr>
          <w:rFonts w:ascii="Calibri" w:hAnsi="Calibri"/>
          <w:color w:val="414042"/>
          <w:spacing w:val="-19"/>
          <w:w w:val="105"/>
          <w:sz w:val="16"/>
        </w:rPr>
        <w:t> </w:t>
      </w:r>
      <w:r>
        <w:rPr>
          <w:rFonts w:ascii="Calibri" w:hAnsi="Calibri"/>
          <w:color w:val="414042"/>
          <w:w w:val="105"/>
          <w:sz w:val="16"/>
        </w:rPr>
        <w:t>de</w:t>
      </w:r>
      <w:r>
        <w:rPr>
          <w:rFonts w:ascii="Calibri" w:hAnsi="Calibri"/>
          <w:color w:val="414042"/>
          <w:spacing w:val="-19"/>
          <w:w w:val="105"/>
          <w:sz w:val="16"/>
        </w:rPr>
        <w:t> </w:t>
      </w:r>
      <w:r>
        <w:rPr>
          <w:rFonts w:ascii="Calibri" w:hAnsi="Calibri"/>
          <w:color w:val="414042"/>
          <w:w w:val="105"/>
          <w:sz w:val="16"/>
        </w:rPr>
        <w:t>los</w:t>
      </w:r>
      <w:r>
        <w:rPr>
          <w:rFonts w:ascii="Calibri" w:hAnsi="Calibri"/>
          <w:color w:val="414042"/>
          <w:spacing w:val="-19"/>
          <w:w w:val="105"/>
          <w:sz w:val="16"/>
        </w:rPr>
        <w:t> </w:t>
      </w:r>
      <w:r>
        <w:rPr>
          <w:rFonts w:ascii="Calibri" w:hAnsi="Calibri"/>
          <w:color w:val="414042"/>
          <w:w w:val="105"/>
          <w:sz w:val="16"/>
        </w:rPr>
        <w:t>japoneses.</w:t>
      </w:r>
      <w:r>
        <w:rPr>
          <w:rFonts w:ascii="Calibri" w:hAnsi="Calibri"/>
          <w:color w:val="414042"/>
          <w:spacing w:val="-19"/>
          <w:w w:val="105"/>
          <w:sz w:val="16"/>
        </w:rPr>
        <w:t> </w:t>
      </w:r>
      <w:r>
        <w:rPr>
          <w:rFonts w:ascii="Calibri" w:hAnsi="Calibri"/>
          <w:color w:val="414042"/>
          <w:w w:val="105"/>
          <w:sz w:val="16"/>
        </w:rPr>
        <w:t>Los</w:t>
      </w:r>
      <w:r>
        <w:rPr>
          <w:rFonts w:ascii="Calibri" w:hAnsi="Calibri"/>
          <w:color w:val="414042"/>
          <w:spacing w:val="-20"/>
          <w:w w:val="105"/>
          <w:sz w:val="16"/>
        </w:rPr>
        <w:t> </w:t>
      </w:r>
      <w:r>
        <w:rPr>
          <w:rFonts w:ascii="Calibri" w:hAnsi="Calibri"/>
          <w:color w:val="414042"/>
          <w:w w:val="105"/>
          <w:sz w:val="16"/>
        </w:rPr>
        <w:t>villaguerrerenses</w:t>
      </w:r>
      <w:r>
        <w:rPr>
          <w:rFonts w:ascii="Calibri" w:hAnsi="Calibri"/>
          <w:color w:val="414042"/>
          <w:spacing w:val="-19"/>
          <w:w w:val="105"/>
          <w:sz w:val="16"/>
        </w:rPr>
        <w:t> </w:t>
      </w:r>
      <w:r>
        <w:rPr>
          <w:rFonts w:ascii="Calibri" w:hAnsi="Calibri"/>
          <w:color w:val="414042"/>
          <w:w w:val="105"/>
          <w:sz w:val="16"/>
        </w:rPr>
        <w:t>no tenían</w:t>
      </w:r>
      <w:r>
        <w:rPr>
          <w:rFonts w:ascii="Calibri" w:hAnsi="Calibri"/>
          <w:color w:val="414042"/>
          <w:spacing w:val="-11"/>
          <w:w w:val="105"/>
          <w:sz w:val="16"/>
        </w:rPr>
        <w:t> </w:t>
      </w:r>
      <w:r>
        <w:rPr>
          <w:rFonts w:ascii="Calibri" w:hAnsi="Calibri"/>
          <w:color w:val="414042"/>
          <w:w w:val="105"/>
          <w:sz w:val="16"/>
        </w:rPr>
        <w:t>posibilidad</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comprarles</w:t>
      </w:r>
      <w:r>
        <w:rPr>
          <w:rFonts w:ascii="Calibri" w:hAnsi="Calibri"/>
          <w:color w:val="414042"/>
          <w:spacing w:val="-11"/>
          <w:w w:val="105"/>
          <w:sz w:val="16"/>
        </w:rPr>
        <w:t> </w:t>
      </w:r>
      <w:r>
        <w:rPr>
          <w:rFonts w:ascii="Calibri" w:hAnsi="Calibri"/>
          <w:color w:val="414042"/>
          <w:w w:val="105"/>
          <w:sz w:val="16"/>
        </w:rPr>
        <w:t>plantas</w:t>
      </w:r>
      <w:r>
        <w:rPr>
          <w:rFonts w:ascii="Calibri" w:hAnsi="Calibri"/>
          <w:color w:val="414042"/>
          <w:spacing w:val="-11"/>
          <w:w w:val="105"/>
          <w:sz w:val="16"/>
        </w:rPr>
        <w:t> </w:t>
      </w:r>
      <w:r>
        <w:rPr>
          <w:rFonts w:ascii="Calibri" w:hAnsi="Calibri"/>
          <w:color w:val="414042"/>
          <w:w w:val="105"/>
          <w:sz w:val="16"/>
        </w:rPr>
        <w:t>a</w:t>
      </w:r>
      <w:r>
        <w:rPr>
          <w:rFonts w:ascii="Calibri" w:hAnsi="Calibri"/>
          <w:color w:val="414042"/>
          <w:spacing w:val="16"/>
          <w:w w:val="105"/>
          <w:sz w:val="16"/>
        </w:rPr>
        <w:t> </w:t>
      </w:r>
      <w:r>
        <w:rPr>
          <w:rFonts w:ascii="Calibri" w:hAnsi="Calibri"/>
          <w:color w:val="414042"/>
          <w:w w:val="105"/>
          <w:sz w:val="16"/>
        </w:rPr>
        <w:t>los</w:t>
      </w:r>
      <w:r>
        <w:rPr>
          <w:rFonts w:ascii="Calibri" w:hAnsi="Calibri"/>
          <w:color w:val="414042"/>
          <w:spacing w:val="-11"/>
          <w:w w:val="105"/>
          <w:sz w:val="16"/>
        </w:rPr>
        <w:t> </w:t>
      </w:r>
      <w:r>
        <w:rPr>
          <w:rFonts w:ascii="Calibri" w:hAnsi="Calibri"/>
          <w:color w:val="414042"/>
          <w:w w:val="105"/>
          <w:sz w:val="16"/>
        </w:rPr>
        <w:t>japoneses”</w:t>
      </w:r>
      <w:r>
        <w:rPr>
          <w:rFonts w:ascii="Calibri" w:hAnsi="Calibri"/>
          <w:color w:val="414042"/>
          <w:spacing w:val="-11"/>
          <w:w w:val="105"/>
          <w:sz w:val="16"/>
        </w:rPr>
        <w:t> </w:t>
      </w:r>
      <w:r>
        <w:rPr>
          <w:rFonts w:ascii="Calibri" w:hAnsi="Calibri"/>
          <w:color w:val="414042"/>
          <w:w w:val="105"/>
          <w:sz w:val="16"/>
        </w:rPr>
        <w:t>(Castro,</w:t>
      </w:r>
      <w:r>
        <w:rPr>
          <w:rFonts w:ascii="Calibri" w:hAnsi="Calibri"/>
          <w:color w:val="414042"/>
          <w:spacing w:val="16"/>
          <w:w w:val="105"/>
          <w:sz w:val="16"/>
        </w:rPr>
        <w:t> </w:t>
      </w:r>
      <w:r>
        <w:rPr>
          <w:rFonts w:ascii="Calibri" w:hAnsi="Calibri"/>
          <w:color w:val="414042"/>
          <w:w w:val="105"/>
          <w:sz w:val="16"/>
        </w:rPr>
        <w:t>2003:</w:t>
      </w:r>
      <w:r>
        <w:rPr>
          <w:rFonts w:ascii="Calibri" w:hAnsi="Calibri"/>
          <w:color w:val="414042"/>
          <w:spacing w:val="-11"/>
          <w:w w:val="105"/>
          <w:sz w:val="16"/>
        </w:rPr>
        <w:t> </w:t>
      </w:r>
      <w:r>
        <w:rPr>
          <w:rFonts w:ascii="Calibri" w:hAnsi="Calibri"/>
          <w:color w:val="414042"/>
          <w:w w:val="105"/>
          <w:sz w:val="16"/>
        </w:rPr>
        <w:t>326),</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hecho</w:t>
      </w:r>
      <w:r>
        <w:rPr>
          <w:rFonts w:ascii="Calibri" w:hAnsi="Calibri"/>
          <w:color w:val="414042"/>
          <w:spacing w:val="-11"/>
          <w:w w:val="105"/>
          <w:sz w:val="16"/>
        </w:rPr>
        <w:t> </w:t>
      </w:r>
      <w:r>
        <w:rPr>
          <w:rFonts w:ascii="Calibri" w:hAnsi="Calibri"/>
          <w:color w:val="414042"/>
          <w:w w:val="105"/>
          <w:sz w:val="16"/>
        </w:rPr>
        <w:t>se</w:t>
      </w:r>
      <w:r>
        <w:rPr>
          <w:rFonts w:ascii="Calibri" w:hAnsi="Calibri"/>
          <w:color w:val="414042"/>
          <w:spacing w:val="-11"/>
          <w:w w:val="105"/>
          <w:sz w:val="16"/>
        </w:rPr>
        <w:t> </w:t>
      </w:r>
      <w:r>
        <w:rPr>
          <w:rFonts w:ascii="Calibri" w:hAnsi="Calibri"/>
          <w:color w:val="414042"/>
          <w:w w:val="105"/>
          <w:sz w:val="16"/>
        </w:rPr>
        <w:t>dice</w:t>
      </w:r>
      <w:r>
        <w:rPr>
          <w:rFonts w:ascii="Calibri" w:hAnsi="Calibri"/>
          <w:color w:val="414042"/>
          <w:spacing w:val="-11"/>
          <w:w w:val="105"/>
          <w:sz w:val="16"/>
        </w:rPr>
        <w:t> </w:t>
      </w:r>
      <w:r>
        <w:rPr>
          <w:rFonts w:ascii="Calibri" w:hAnsi="Calibri"/>
          <w:color w:val="414042"/>
          <w:w w:val="105"/>
          <w:sz w:val="16"/>
        </w:rPr>
        <w:t>que</w:t>
      </w:r>
      <w:r>
        <w:rPr>
          <w:rFonts w:ascii="Calibri" w:hAnsi="Calibri"/>
          <w:color w:val="414042"/>
          <w:spacing w:val="-11"/>
          <w:w w:val="105"/>
          <w:sz w:val="16"/>
        </w:rPr>
        <w:t> </w:t>
      </w:r>
      <w:r>
        <w:rPr>
          <w:rFonts w:ascii="Calibri" w:hAnsi="Calibri"/>
          <w:color w:val="414042"/>
          <w:w w:val="105"/>
          <w:sz w:val="16"/>
        </w:rPr>
        <w:t>fue por</w:t>
      </w:r>
      <w:r>
        <w:rPr>
          <w:rFonts w:ascii="Calibri" w:hAnsi="Calibri"/>
          <w:color w:val="414042"/>
          <w:spacing w:val="-25"/>
          <w:w w:val="105"/>
          <w:sz w:val="16"/>
        </w:rPr>
        <w:t> </w:t>
      </w:r>
      <w:r>
        <w:rPr>
          <w:rFonts w:ascii="Calibri" w:hAnsi="Calibri"/>
          <w:color w:val="414042"/>
          <w:w w:val="105"/>
          <w:sz w:val="16"/>
        </w:rPr>
        <w:t>medio</w:t>
      </w:r>
      <w:r>
        <w:rPr>
          <w:rFonts w:ascii="Calibri" w:hAnsi="Calibri"/>
          <w:color w:val="414042"/>
          <w:spacing w:val="-25"/>
          <w:w w:val="105"/>
          <w:sz w:val="16"/>
        </w:rPr>
        <w:t> </w:t>
      </w:r>
      <w:r>
        <w:rPr>
          <w:rFonts w:ascii="Calibri" w:hAnsi="Calibri"/>
          <w:color w:val="414042"/>
          <w:w w:val="105"/>
          <w:sz w:val="16"/>
        </w:rPr>
        <w:t>del</w:t>
      </w:r>
      <w:r>
        <w:rPr>
          <w:rFonts w:ascii="Calibri" w:hAnsi="Calibri"/>
          <w:color w:val="414042"/>
          <w:spacing w:val="-25"/>
          <w:w w:val="105"/>
          <w:sz w:val="16"/>
        </w:rPr>
        <w:t> </w:t>
      </w:r>
      <w:r>
        <w:rPr>
          <w:rFonts w:ascii="Calibri" w:hAnsi="Calibri"/>
          <w:color w:val="414042"/>
          <w:w w:val="105"/>
          <w:sz w:val="16"/>
        </w:rPr>
        <w:t>robo</w:t>
      </w:r>
      <w:r>
        <w:rPr>
          <w:rFonts w:ascii="Calibri" w:hAnsi="Calibri"/>
          <w:color w:val="414042"/>
          <w:spacing w:val="-25"/>
          <w:w w:val="105"/>
          <w:sz w:val="16"/>
        </w:rPr>
        <w:t> </w:t>
      </w:r>
      <w:r>
        <w:rPr>
          <w:rFonts w:ascii="Calibri" w:hAnsi="Calibri"/>
          <w:color w:val="414042"/>
          <w:w w:val="105"/>
          <w:sz w:val="16"/>
        </w:rPr>
        <w:t>de</w:t>
      </w:r>
      <w:r>
        <w:rPr>
          <w:rFonts w:ascii="Calibri" w:hAnsi="Calibri"/>
          <w:color w:val="414042"/>
          <w:spacing w:val="-25"/>
          <w:w w:val="105"/>
          <w:sz w:val="16"/>
        </w:rPr>
        <w:t> </w:t>
      </w:r>
      <w:r>
        <w:rPr>
          <w:rFonts w:ascii="Calibri" w:hAnsi="Calibri"/>
          <w:color w:val="414042"/>
          <w:w w:val="105"/>
          <w:sz w:val="16"/>
        </w:rPr>
        <w:t>esquejes</w:t>
      </w:r>
      <w:r>
        <w:rPr>
          <w:rFonts w:ascii="Calibri" w:hAnsi="Calibri"/>
          <w:color w:val="414042"/>
          <w:spacing w:val="-26"/>
          <w:w w:val="105"/>
          <w:sz w:val="16"/>
        </w:rPr>
        <w:t> </w:t>
      </w:r>
      <w:r>
        <w:rPr>
          <w:rFonts w:ascii="Calibri" w:hAnsi="Calibri"/>
          <w:color w:val="414042"/>
          <w:w w:val="105"/>
          <w:sz w:val="16"/>
        </w:rPr>
        <w:t>y</w:t>
      </w:r>
      <w:r>
        <w:rPr>
          <w:rFonts w:ascii="Calibri" w:hAnsi="Calibri"/>
          <w:color w:val="414042"/>
          <w:spacing w:val="-25"/>
          <w:w w:val="105"/>
          <w:sz w:val="16"/>
        </w:rPr>
        <w:t> </w:t>
      </w:r>
      <w:r>
        <w:rPr>
          <w:rFonts w:ascii="Calibri" w:hAnsi="Calibri"/>
          <w:color w:val="414042"/>
          <w:w w:val="105"/>
          <w:sz w:val="16"/>
        </w:rPr>
        <w:t>semillas</w:t>
      </w:r>
      <w:r>
        <w:rPr>
          <w:rFonts w:ascii="Calibri" w:hAnsi="Calibri"/>
          <w:color w:val="414042"/>
          <w:spacing w:val="-25"/>
          <w:w w:val="105"/>
          <w:sz w:val="16"/>
        </w:rPr>
        <w:t> </w:t>
      </w:r>
      <w:r>
        <w:rPr>
          <w:rFonts w:ascii="Calibri" w:hAnsi="Calibri"/>
          <w:color w:val="414042"/>
          <w:w w:val="105"/>
          <w:sz w:val="16"/>
        </w:rPr>
        <w:t>por</w:t>
      </w:r>
      <w:r>
        <w:rPr>
          <w:rFonts w:ascii="Calibri" w:hAnsi="Calibri"/>
          <w:color w:val="414042"/>
          <w:spacing w:val="-25"/>
          <w:w w:val="105"/>
          <w:sz w:val="16"/>
        </w:rPr>
        <w:t> </w:t>
      </w:r>
      <w:r>
        <w:rPr>
          <w:rFonts w:ascii="Calibri" w:hAnsi="Calibri"/>
          <w:color w:val="414042"/>
          <w:w w:val="105"/>
          <w:sz w:val="16"/>
        </w:rPr>
        <w:t>parte</w:t>
      </w:r>
      <w:r>
        <w:rPr>
          <w:rFonts w:ascii="Calibri" w:hAnsi="Calibri"/>
          <w:color w:val="414042"/>
          <w:spacing w:val="-25"/>
          <w:w w:val="105"/>
          <w:sz w:val="16"/>
        </w:rPr>
        <w:t> </w:t>
      </w:r>
      <w:r>
        <w:rPr>
          <w:rFonts w:ascii="Calibri" w:hAnsi="Calibri"/>
          <w:color w:val="414042"/>
          <w:w w:val="105"/>
          <w:sz w:val="16"/>
        </w:rPr>
        <w:t>de</w:t>
      </w:r>
      <w:r>
        <w:rPr>
          <w:rFonts w:ascii="Calibri" w:hAnsi="Calibri"/>
          <w:color w:val="414042"/>
          <w:spacing w:val="-25"/>
          <w:w w:val="105"/>
          <w:sz w:val="16"/>
        </w:rPr>
        <w:t> </w:t>
      </w:r>
      <w:r>
        <w:rPr>
          <w:rFonts w:ascii="Calibri" w:hAnsi="Calibri"/>
          <w:color w:val="414042"/>
          <w:w w:val="105"/>
          <w:sz w:val="16"/>
        </w:rPr>
        <w:t>los</w:t>
      </w:r>
      <w:r>
        <w:rPr>
          <w:rFonts w:ascii="Calibri" w:hAnsi="Calibri"/>
          <w:color w:val="414042"/>
          <w:spacing w:val="-25"/>
          <w:w w:val="105"/>
          <w:sz w:val="16"/>
        </w:rPr>
        <w:t> </w:t>
      </w:r>
      <w:r>
        <w:rPr>
          <w:rFonts w:ascii="Calibri" w:hAnsi="Calibri"/>
          <w:color w:val="414042"/>
          <w:w w:val="105"/>
          <w:sz w:val="16"/>
        </w:rPr>
        <w:t>empleados</w:t>
      </w:r>
      <w:r>
        <w:rPr>
          <w:rFonts w:ascii="Calibri" w:hAnsi="Calibri"/>
          <w:color w:val="414042"/>
          <w:spacing w:val="-25"/>
          <w:w w:val="105"/>
          <w:sz w:val="16"/>
        </w:rPr>
        <w:t> </w:t>
      </w:r>
      <w:r>
        <w:rPr>
          <w:rFonts w:ascii="Calibri" w:hAnsi="Calibri"/>
          <w:color w:val="414042"/>
          <w:w w:val="105"/>
          <w:sz w:val="16"/>
        </w:rPr>
        <w:t>que</w:t>
      </w:r>
      <w:r>
        <w:rPr>
          <w:rFonts w:ascii="Calibri" w:hAnsi="Calibri"/>
          <w:color w:val="414042"/>
          <w:spacing w:val="-25"/>
          <w:w w:val="105"/>
          <w:sz w:val="16"/>
        </w:rPr>
        <w:t> </w:t>
      </w:r>
      <w:r>
        <w:rPr>
          <w:rFonts w:ascii="Calibri" w:hAnsi="Calibri"/>
          <w:color w:val="414042"/>
          <w:w w:val="105"/>
          <w:sz w:val="16"/>
        </w:rPr>
        <w:t>fue</w:t>
      </w:r>
      <w:r>
        <w:rPr>
          <w:rFonts w:ascii="Calibri" w:hAnsi="Calibri"/>
          <w:color w:val="414042"/>
          <w:spacing w:val="-25"/>
          <w:w w:val="105"/>
          <w:sz w:val="16"/>
        </w:rPr>
        <w:t> </w:t>
      </w:r>
      <w:r>
        <w:rPr>
          <w:rFonts w:ascii="Calibri" w:hAnsi="Calibri"/>
          <w:color w:val="414042"/>
          <w:w w:val="105"/>
          <w:sz w:val="16"/>
        </w:rPr>
        <w:t>posible</w:t>
      </w:r>
      <w:r>
        <w:rPr>
          <w:rFonts w:ascii="Calibri" w:hAnsi="Calibri"/>
          <w:color w:val="414042"/>
          <w:spacing w:val="-25"/>
          <w:w w:val="105"/>
          <w:sz w:val="16"/>
        </w:rPr>
        <w:t> </w:t>
      </w:r>
      <w:r>
        <w:rPr>
          <w:rFonts w:ascii="Calibri" w:hAnsi="Calibri"/>
          <w:color w:val="414042"/>
          <w:w w:val="105"/>
          <w:sz w:val="16"/>
        </w:rPr>
        <w:t>expandir</w:t>
      </w:r>
      <w:r>
        <w:rPr>
          <w:rFonts w:ascii="Calibri" w:hAnsi="Calibri"/>
          <w:color w:val="414042"/>
          <w:spacing w:val="-25"/>
          <w:w w:val="105"/>
          <w:sz w:val="16"/>
        </w:rPr>
        <w:t> </w:t>
      </w:r>
      <w:r>
        <w:rPr>
          <w:rFonts w:ascii="Calibri" w:hAnsi="Calibri"/>
          <w:color w:val="414042"/>
          <w:w w:val="105"/>
          <w:sz w:val="16"/>
        </w:rPr>
        <w:t>la</w:t>
      </w:r>
      <w:r>
        <w:rPr>
          <w:rFonts w:ascii="Calibri" w:hAnsi="Calibri"/>
          <w:color w:val="414042"/>
          <w:spacing w:val="-25"/>
          <w:w w:val="105"/>
          <w:sz w:val="16"/>
        </w:rPr>
        <w:t> </w:t>
      </w:r>
      <w:r>
        <w:rPr>
          <w:rFonts w:ascii="Calibri" w:hAnsi="Calibri"/>
          <w:color w:val="414042"/>
          <w:w w:val="105"/>
          <w:sz w:val="16"/>
        </w:rPr>
        <w:t>actividad. </w:t>
      </w:r>
      <w:r>
        <w:rPr>
          <w:rFonts w:ascii="Calibri" w:hAnsi="Calibri"/>
          <w:color w:val="414042"/>
          <w:w w:val="105"/>
          <w:position w:val="5"/>
          <w:sz w:val="9"/>
        </w:rPr>
        <w:t>7 </w:t>
      </w:r>
      <w:r>
        <w:rPr>
          <w:rFonts w:ascii="Calibri" w:hAnsi="Calibri"/>
          <w:color w:val="414042"/>
          <w:w w:val="105"/>
          <w:sz w:val="16"/>
        </w:rPr>
        <w:t>Los</w:t>
      </w:r>
      <w:r>
        <w:rPr>
          <w:rFonts w:ascii="Calibri" w:hAnsi="Calibri"/>
          <w:color w:val="414042"/>
          <w:spacing w:val="-17"/>
          <w:w w:val="105"/>
          <w:sz w:val="16"/>
        </w:rPr>
        <w:t> </w:t>
      </w:r>
      <w:r>
        <w:rPr>
          <w:rFonts w:ascii="Calibri" w:hAnsi="Calibri"/>
          <w:color w:val="414042"/>
          <w:w w:val="105"/>
          <w:sz w:val="16"/>
        </w:rPr>
        <w:t>datos</w:t>
      </w:r>
      <w:r>
        <w:rPr>
          <w:rFonts w:ascii="Calibri" w:hAnsi="Calibri"/>
          <w:color w:val="414042"/>
          <w:spacing w:val="-17"/>
          <w:w w:val="105"/>
          <w:sz w:val="16"/>
        </w:rPr>
        <w:t> </w:t>
      </w:r>
      <w:r>
        <w:rPr>
          <w:rFonts w:ascii="Calibri" w:hAnsi="Calibri"/>
          <w:color w:val="414042"/>
          <w:w w:val="105"/>
          <w:sz w:val="16"/>
        </w:rPr>
        <w:t>más</w:t>
      </w:r>
      <w:r>
        <w:rPr>
          <w:rFonts w:ascii="Calibri" w:hAnsi="Calibri"/>
          <w:color w:val="414042"/>
          <w:spacing w:val="-17"/>
          <w:w w:val="105"/>
          <w:sz w:val="16"/>
        </w:rPr>
        <w:t> </w:t>
      </w:r>
      <w:r>
        <w:rPr>
          <w:rFonts w:ascii="Calibri" w:hAnsi="Calibri"/>
          <w:color w:val="414042"/>
          <w:w w:val="105"/>
          <w:sz w:val="16"/>
        </w:rPr>
        <w:t>recientes</w:t>
      </w:r>
      <w:r>
        <w:rPr>
          <w:rFonts w:ascii="Calibri" w:hAnsi="Calibri"/>
          <w:color w:val="414042"/>
          <w:spacing w:val="-17"/>
          <w:w w:val="105"/>
          <w:sz w:val="16"/>
        </w:rPr>
        <w:t> </w:t>
      </w:r>
      <w:r>
        <w:rPr>
          <w:rFonts w:ascii="Calibri" w:hAnsi="Calibri"/>
          <w:color w:val="414042"/>
          <w:w w:val="105"/>
          <w:sz w:val="16"/>
        </w:rPr>
        <w:t>que</w:t>
      </w:r>
      <w:r>
        <w:rPr>
          <w:rFonts w:ascii="Calibri" w:hAnsi="Calibri"/>
          <w:color w:val="414042"/>
          <w:spacing w:val="-17"/>
          <w:w w:val="105"/>
          <w:sz w:val="16"/>
        </w:rPr>
        <w:t> </w:t>
      </w:r>
      <w:r>
        <w:rPr>
          <w:rFonts w:ascii="Calibri" w:hAnsi="Calibri"/>
          <w:color w:val="414042"/>
          <w:w w:val="105"/>
          <w:sz w:val="16"/>
        </w:rPr>
        <w:t>se</w:t>
      </w:r>
      <w:r>
        <w:rPr>
          <w:rFonts w:ascii="Calibri" w:hAnsi="Calibri"/>
          <w:color w:val="414042"/>
          <w:spacing w:val="-17"/>
          <w:w w:val="105"/>
          <w:sz w:val="16"/>
        </w:rPr>
        <w:t> </w:t>
      </w:r>
      <w:r>
        <w:rPr>
          <w:rFonts w:ascii="Calibri" w:hAnsi="Calibri"/>
          <w:color w:val="414042"/>
          <w:w w:val="105"/>
          <w:sz w:val="16"/>
        </w:rPr>
        <w:t>tienen</w:t>
      </w:r>
      <w:r>
        <w:rPr>
          <w:rFonts w:ascii="Calibri" w:hAnsi="Calibri"/>
          <w:color w:val="414042"/>
          <w:spacing w:val="-17"/>
          <w:w w:val="105"/>
          <w:sz w:val="16"/>
        </w:rPr>
        <w:t> </w:t>
      </w:r>
      <w:r>
        <w:rPr>
          <w:rFonts w:ascii="Calibri" w:hAnsi="Calibri"/>
          <w:color w:val="414042"/>
          <w:w w:val="105"/>
          <w:sz w:val="16"/>
        </w:rPr>
        <w:t>respecto</w:t>
      </w:r>
      <w:r>
        <w:rPr>
          <w:rFonts w:ascii="Calibri" w:hAnsi="Calibri"/>
          <w:color w:val="414042"/>
          <w:spacing w:val="-17"/>
          <w:w w:val="105"/>
          <w:sz w:val="16"/>
        </w:rPr>
        <w:t> </w:t>
      </w:r>
      <w:r>
        <w:rPr>
          <w:rFonts w:ascii="Calibri" w:hAnsi="Calibri"/>
          <w:color w:val="414042"/>
          <w:w w:val="105"/>
          <w:sz w:val="16"/>
        </w:rPr>
        <w:t>al</w:t>
      </w:r>
      <w:r>
        <w:rPr>
          <w:rFonts w:ascii="Calibri" w:hAnsi="Calibri"/>
          <w:color w:val="414042"/>
          <w:spacing w:val="-17"/>
          <w:w w:val="105"/>
          <w:sz w:val="16"/>
        </w:rPr>
        <w:t> </w:t>
      </w:r>
      <w:r>
        <w:rPr>
          <w:rFonts w:ascii="Calibri" w:hAnsi="Calibri"/>
          <w:color w:val="414042"/>
          <w:w w:val="105"/>
          <w:sz w:val="16"/>
        </w:rPr>
        <w:t>sector</w:t>
      </w:r>
      <w:r>
        <w:rPr>
          <w:rFonts w:ascii="Calibri" w:hAnsi="Calibri"/>
          <w:color w:val="414042"/>
          <w:spacing w:val="-17"/>
          <w:w w:val="105"/>
          <w:sz w:val="16"/>
        </w:rPr>
        <w:t> </w:t>
      </w:r>
      <w:r>
        <w:rPr>
          <w:rFonts w:ascii="Calibri" w:hAnsi="Calibri"/>
          <w:color w:val="414042"/>
          <w:w w:val="105"/>
          <w:sz w:val="16"/>
        </w:rPr>
        <w:t>agrícola,</w:t>
      </w:r>
      <w:r>
        <w:rPr>
          <w:rFonts w:ascii="Calibri" w:hAnsi="Calibri"/>
          <w:color w:val="414042"/>
          <w:spacing w:val="-17"/>
          <w:w w:val="105"/>
          <w:sz w:val="16"/>
        </w:rPr>
        <w:t> </w:t>
      </w:r>
      <w:r>
        <w:rPr>
          <w:rFonts w:ascii="Calibri" w:hAnsi="Calibri"/>
          <w:color w:val="414042"/>
          <w:w w:val="105"/>
          <w:sz w:val="16"/>
        </w:rPr>
        <w:t>por</w:t>
      </w:r>
      <w:r>
        <w:rPr>
          <w:rFonts w:ascii="Calibri" w:hAnsi="Calibri"/>
          <w:color w:val="414042"/>
          <w:spacing w:val="-17"/>
          <w:w w:val="105"/>
          <w:sz w:val="16"/>
        </w:rPr>
        <w:t> </w:t>
      </w:r>
      <w:r>
        <w:rPr>
          <w:rFonts w:ascii="Calibri" w:hAnsi="Calibri"/>
          <w:color w:val="414042"/>
          <w:w w:val="105"/>
          <w:sz w:val="16"/>
        </w:rPr>
        <w:t>unidad</w:t>
      </w:r>
      <w:r>
        <w:rPr>
          <w:rFonts w:ascii="Calibri" w:hAnsi="Calibri"/>
          <w:color w:val="414042"/>
          <w:spacing w:val="-17"/>
          <w:w w:val="105"/>
          <w:sz w:val="16"/>
        </w:rPr>
        <w:t> </w:t>
      </w:r>
      <w:r>
        <w:rPr>
          <w:rFonts w:ascii="Calibri" w:hAnsi="Calibri"/>
          <w:color w:val="414042"/>
          <w:w w:val="105"/>
          <w:sz w:val="16"/>
        </w:rPr>
        <w:t>productiva,</w:t>
      </w:r>
      <w:r>
        <w:rPr>
          <w:rFonts w:ascii="Calibri" w:hAnsi="Calibri"/>
          <w:color w:val="414042"/>
          <w:spacing w:val="-17"/>
          <w:w w:val="105"/>
          <w:sz w:val="16"/>
        </w:rPr>
        <w:t> </w:t>
      </w:r>
      <w:r>
        <w:rPr>
          <w:rFonts w:ascii="Calibri" w:hAnsi="Calibri"/>
          <w:color w:val="414042"/>
          <w:w w:val="105"/>
          <w:sz w:val="16"/>
        </w:rPr>
        <w:t>arrojan</w:t>
      </w:r>
      <w:r>
        <w:rPr>
          <w:rFonts w:ascii="Calibri" w:hAnsi="Calibri"/>
          <w:color w:val="414042"/>
          <w:spacing w:val="-17"/>
          <w:w w:val="105"/>
          <w:sz w:val="16"/>
        </w:rPr>
        <w:t> </w:t>
      </w:r>
      <w:r>
        <w:rPr>
          <w:rFonts w:ascii="Calibri" w:hAnsi="Calibri"/>
          <w:color w:val="414042"/>
          <w:w w:val="105"/>
          <w:sz w:val="16"/>
        </w:rPr>
        <w:t>que</w:t>
      </w:r>
      <w:r>
        <w:rPr>
          <w:rFonts w:ascii="Calibri" w:hAnsi="Calibri"/>
          <w:color w:val="414042"/>
          <w:spacing w:val="-17"/>
          <w:w w:val="105"/>
          <w:sz w:val="16"/>
        </w:rPr>
        <w:t> </w:t>
      </w:r>
      <w:r>
        <w:rPr>
          <w:rFonts w:ascii="Calibri" w:hAnsi="Calibri"/>
          <w:color w:val="414042"/>
          <w:w w:val="105"/>
          <w:sz w:val="16"/>
        </w:rPr>
        <w:t>en el</w:t>
      </w:r>
      <w:r>
        <w:rPr>
          <w:rFonts w:ascii="Calibri" w:hAnsi="Calibri"/>
          <w:color w:val="414042"/>
          <w:spacing w:val="-13"/>
          <w:w w:val="105"/>
          <w:sz w:val="16"/>
        </w:rPr>
        <w:t> </w:t>
      </w:r>
      <w:r>
        <w:rPr>
          <w:rFonts w:ascii="Calibri" w:hAnsi="Calibri"/>
          <w:color w:val="414042"/>
          <w:w w:val="105"/>
          <w:sz w:val="16"/>
        </w:rPr>
        <w:t>municipio</w:t>
      </w:r>
      <w:r>
        <w:rPr>
          <w:rFonts w:ascii="Calibri" w:hAnsi="Calibri"/>
          <w:color w:val="414042"/>
          <w:spacing w:val="-13"/>
          <w:w w:val="105"/>
          <w:sz w:val="16"/>
        </w:rPr>
        <w:t> </w:t>
      </w:r>
      <w:r>
        <w:rPr>
          <w:rFonts w:ascii="Calibri" w:hAnsi="Calibri"/>
          <w:color w:val="414042"/>
          <w:w w:val="105"/>
          <w:sz w:val="16"/>
        </w:rPr>
        <w:t>aproximadamente</w:t>
      </w:r>
      <w:r>
        <w:rPr>
          <w:rFonts w:ascii="Calibri" w:hAnsi="Calibri"/>
          <w:color w:val="414042"/>
          <w:spacing w:val="-13"/>
          <w:w w:val="105"/>
          <w:sz w:val="16"/>
        </w:rPr>
        <w:t> </w:t>
      </w:r>
      <w:r>
        <w:rPr>
          <w:rFonts w:ascii="Calibri" w:hAnsi="Calibri"/>
          <w:color w:val="414042"/>
          <w:w w:val="105"/>
          <w:sz w:val="16"/>
        </w:rPr>
        <w:t>87%</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los</w:t>
      </w:r>
      <w:r>
        <w:rPr>
          <w:rFonts w:ascii="Calibri" w:hAnsi="Calibri"/>
          <w:color w:val="414042"/>
          <w:spacing w:val="-13"/>
          <w:w w:val="105"/>
          <w:sz w:val="16"/>
        </w:rPr>
        <w:t> </w:t>
      </w:r>
      <w:r>
        <w:rPr>
          <w:rFonts w:ascii="Calibri" w:hAnsi="Calibri"/>
          <w:color w:val="414042"/>
          <w:w w:val="105"/>
          <w:sz w:val="16"/>
        </w:rPr>
        <w:t>productores</w:t>
      </w:r>
      <w:r>
        <w:rPr>
          <w:rFonts w:ascii="Calibri" w:hAnsi="Calibri"/>
          <w:color w:val="414042"/>
          <w:spacing w:val="-13"/>
          <w:w w:val="105"/>
          <w:sz w:val="16"/>
        </w:rPr>
        <w:t> </w:t>
      </w:r>
      <w:r>
        <w:rPr>
          <w:rFonts w:ascii="Calibri" w:hAnsi="Calibri"/>
          <w:color w:val="414042"/>
          <w:w w:val="105"/>
          <w:sz w:val="16"/>
        </w:rPr>
        <w:t>destinan</w:t>
      </w:r>
      <w:r>
        <w:rPr>
          <w:rFonts w:ascii="Calibri" w:hAnsi="Calibri"/>
          <w:color w:val="414042"/>
          <w:spacing w:val="-13"/>
          <w:w w:val="105"/>
          <w:sz w:val="16"/>
        </w:rPr>
        <w:t> </w:t>
      </w:r>
      <w:r>
        <w:rPr>
          <w:rFonts w:ascii="Calibri" w:hAnsi="Calibri"/>
          <w:color w:val="414042"/>
          <w:w w:val="105"/>
          <w:sz w:val="16"/>
        </w:rPr>
        <w:t>su</w:t>
      </w:r>
      <w:r>
        <w:rPr>
          <w:rFonts w:ascii="Calibri" w:hAnsi="Calibri"/>
          <w:color w:val="414042"/>
          <w:spacing w:val="-13"/>
          <w:w w:val="105"/>
          <w:sz w:val="16"/>
        </w:rPr>
        <w:t> </w:t>
      </w:r>
      <w:r>
        <w:rPr>
          <w:rFonts w:ascii="Calibri" w:hAnsi="Calibri"/>
          <w:color w:val="414042"/>
          <w:w w:val="105"/>
          <w:sz w:val="16"/>
        </w:rPr>
        <w:t>producción</w:t>
      </w:r>
      <w:r>
        <w:rPr>
          <w:rFonts w:ascii="Calibri" w:hAnsi="Calibri"/>
          <w:color w:val="414042"/>
          <w:spacing w:val="-13"/>
          <w:w w:val="105"/>
          <w:sz w:val="16"/>
        </w:rPr>
        <w:t> </w:t>
      </w:r>
      <w:r>
        <w:rPr>
          <w:rFonts w:ascii="Calibri" w:hAnsi="Calibri"/>
          <w:color w:val="414042"/>
          <w:w w:val="105"/>
          <w:sz w:val="16"/>
        </w:rPr>
        <w:t>a</w:t>
      </w:r>
      <w:r>
        <w:rPr>
          <w:rFonts w:ascii="Calibri" w:hAnsi="Calibri"/>
          <w:color w:val="414042"/>
          <w:spacing w:val="-13"/>
          <w:w w:val="105"/>
          <w:sz w:val="16"/>
        </w:rPr>
        <w:t> </w:t>
      </w:r>
      <w:r>
        <w:rPr>
          <w:rFonts w:ascii="Calibri" w:hAnsi="Calibri"/>
          <w:color w:val="414042"/>
          <w:w w:val="105"/>
          <w:sz w:val="16"/>
        </w:rPr>
        <w:t>la</w:t>
      </w:r>
      <w:r>
        <w:rPr>
          <w:rFonts w:ascii="Calibri" w:hAnsi="Calibri"/>
          <w:color w:val="414042"/>
          <w:spacing w:val="-15"/>
          <w:w w:val="105"/>
          <w:sz w:val="16"/>
        </w:rPr>
        <w:t> </w:t>
      </w:r>
      <w:r>
        <w:rPr>
          <w:rFonts w:ascii="Calibri" w:hAnsi="Calibri"/>
          <w:color w:val="414042"/>
          <w:w w:val="105"/>
          <w:sz w:val="16"/>
        </w:rPr>
        <w:t>venta</w:t>
      </w:r>
      <w:r>
        <w:rPr>
          <w:rFonts w:ascii="Calibri" w:hAnsi="Calibri"/>
          <w:color w:val="414042"/>
          <w:spacing w:val="-13"/>
          <w:w w:val="105"/>
          <w:sz w:val="16"/>
        </w:rPr>
        <w:t> </w:t>
      </w:r>
      <w:r>
        <w:rPr>
          <w:rFonts w:ascii="Calibri" w:hAnsi="Calibri"/>
          <w:color w:val="414042"/>
          <w:w w:val="105"/>
          <w:sz w:val="16"/>
        </w:rPr>
        <w:t>local,</w:t>
      </w:r>
      <w:r>
        <w:rPr>
          <w:rFonts w:ascii="Calibri" w:hAnsi="Calibri"/>
          <w:color w:val="414042"/>
          <w:spacing w:val="-13"/>
          <w:w w:val="105"/>
          <w:sz w:val="16"/>
        </w:rPr>
        <w:t> </w:t>
      </w:r>
      <w:r>
        <w:rPr>
          <w:rFonts w:ascii="Calibri" w:hAnsi="Calibri"/>
          <w:color w:val="414042"/>
          <w:w w:val="105"/>
          <w:sz w:val="16"/>
        </w:rPr>
        <w:t>regional o</w:t>
      </w:r>
      <w:r>
        <w:rPr>
          <w:rFonts w:ascii="Calibri" w:hAnsi="Calibri"/>
          <w:color w:val="414042"/>
          <w:spacing w:val="-7"/>
          <w:w w:val="105"/>
          <w:sz w:val="16"/>
        </w:rPr>
        <w:t> </w:t>
      </w:r>
      <w:r>
        <w:rPr>
          <w:rFonts w:ascii="Calibri" w:hAnsi="Calibri"/>
          <w:color w:val="414042"/>
          <w:w w:val="105"/>
          <w:sz w:val="16"/>
        </w:rPr>
        <w:t>nacional,</w:t>
      </w:r>
      <w:r>
        <w:rPr>
          <w:rFonts w:ascii="Calibri" w:hAnsi="Calibri"/>
          <w:color w:val="414042"/>
          <w:spacing w:val="-9"/>
          <w:w w:val="105"/>
          <w:sz w:val="16"/>
        </w:rPr>
        <w:t> </w:t>
      </w:r>
      <w:r>
        <w:rPr>
          <w:rFonts w:ascii="Calibri" w:hAnsi="Calibri"/>
          <w:color w:val="414042"/>
          <w:w w:val="105"/>
          <w:sz w:val="16"/>
        </w:rPr>
        <w:t>y</w:t>
      </w:r>
      <w:r>
        <w:rPr>
          <w:rFonts w:ascii="Calibri" w:hAnsi="Calibri"/>
          <w:color w:val="414042"/>
          <w:spacing w:val="-7"/>
          <w:w w:val="105"/>
          <w:sz w:val="16"/>
        </w:rPr>
        <w:t> </w:t>
      </w:r>
      <w:r>
        <w:rPr>
          <w:rFonts w:ascii="Calibri" w:hAnsi="Calibri"/>
          <w:color w:val="414042"/>
          <w:w w:val="105"/>
          <w:sz w:val="16"/>
        </w:rPr>
        <w:t>tan</w:t>
      </w:r>
      <w:r>
        <w:rPr>
          <w:rFonts w:ascii="Calibri" w:hAnsi="Calibri"/>
          <w:color w:val="414042"/>
          <w:spacing w:val="-7"/>
          <w:w w:val="105"/>
          <w:sz w:val="16"/>
        </w:rPr>
        <w:t> </w:t>
      </w:r>
      <w:r>
        <w:rPr>
          <w:rFonts w:ascii="Calibri" w:hAnsi="Calibri"/>
          <w:color w:val="414042"/>
          <w:w w:val="105"/>
          <w:sz w:val="16"/>
        </w:rPr>
        <w:t>sólo</w:t>
      </w:r>
      <w:r>
        <w:rPr>
          <w:rFonts w:ascii="Calibri" w:hAnsi="Calibri"/>
          <w:color w:val="414042"/>
          <w:spacing w:val="-7"/>
          <w:w w:val="105"/>
          <w:sz w:val="16"/>
        </w:rPr>
        <w:t> </w:t>
      </w:r>
      <w:r>
        <w:rPr>
          <w:rFonts w:ascii="Calibri" w:hAnsi="Calibri"/>
          <w:color w:val="414042"/>
          <w:w w:val="105"/>
          <w:sz w:val="16"/>
        </w:rPr>
        <w:t>0.39%</w:t>
      </w:r>
      <w:r>
        <w:rPr>
          <w:rFonts w:ascii="Calibri" w:hAnsi="Calibri"/>
          <w:color w:val="414042"/>
          <w:spacing w:val="-7"/>
          <w:w w:val="105"/>
          <w:sz w:val="16"/>
        </w:rPr>
        <w:t> </w:t>
      </w:r>
      <w:r>
        <w:rPr>
          <w:rFonts w:ascii="Calibri" w:hAnsi="Calibri"/>
          <w:color w:val="414042"/>
          <w:w w:val="105"/>
          <w:sz w:val="16"/>
        </w:rPr>
        <w:t>la</w:t>
      </w:r>
      <w:r>
        <w:rPr>
          <w:rFonts w:ascii="Calibri" w:hAnsi="Calibri"/>
          <w:color w:val="414042"/>
          <w:spacing w:val="-7"/>
          <w:w w:val="105"/>
          <w:sz w:val="16"/>
        </w:rPr>
        <w:t> </w:t>
      </w:r>
      <w:r>
        <w:rPr>
          <w:rFonts w:ascii="Calibri" w:hAnsi="Calibri"/>
          <w:color w:val="414042"/>
          <w:w w:val="105"/>
          <w:sz w:val="16"/>
        </w:rPr>
        <w:t>destinan</w:t>
      </w:r>
      <w:r>
        <w:rPr>
          <w:rFonts w:ascii="Calibri" w:hAnsi="Calibri"/>
          <w:color w:val="414042"/>
          <w:spacing w:val="-7"/>
          <w:w w:val="105"/>
          <w:sz w:val="16"/>
        </w:rPr>
        <w:t> </w:t>
      </w:r>
      <w:r>
        <w:rPr>
          <w:rFonts w:ascii="Calibri" w:hAnsi="Calibri"/>
          <w:color w:val="414042"/>
          <w:w w:val="105"/>
          <w:sz w:val="16"/>
        </w:rPr>
        <w:t>a</w:t>
      </w:r>
      <w:r>
        <w:rPr>
          <w:rFonts w:ascii="Calibri" w:hAnsi="Calibri"/>
          <w:color w:val="414042"/>
          <w:spacing w:val="-10"/>
          <w:w w:val="105"/>
          <w:sz w:val="16"/>
        </w:rPr>
        <w:t> </w:t>
      </w:r>
      <w:r>
        <w:rPr>
          <w:rFonts w:ascii="Calibri" w:hAnsi="Calibri"/>
          <w:color w:val="414042"/>
          <w:w w:val="105"/>
          <w:sz w:val="16"/>
        </w:rPr>
        <w:t>ventas</w:t>
      </w:r>
      <w:r>
        <w:rPr>
          <w:rFonts w:ascii="Calibri" w:hAnsi="Calibri"/>
          <w:color w:val="414042"/>
          <w:spacing w:val="-7"/>
          <w:w w:val="105"/>
          <w:sz w:val="16"/>
        </w:rPr>
        <w:t> </w:t>
      </w:r>
      <w:r>
        <w:rPr>
          <w:rFonts w:ascii="Calibri" w:hAnsi="Calibri"/>
          <w:color w:val="414042"/>
          <w:w w:val="105"/>
          <w:sz w:val="16"/>
        </w:rPr>
        <w:t>al</w:t>
      </w:r>
      <w:r>
        <w:rPr>
          <w:rFonts w:ascii="Calibri" w:hAnsi="Calibri"/>
          <w:color w:val="414042"/>
          <w:spacing w:val="-7"/>
          <w:w w:val="105"/>
          <w:sz w:val="16"/>
        </w:rPr>
        <w:t> </w:t>
      </w:r>
      <w:r>
        <w:rPr>
          <w:rFonts w:ascii="Calibri" w:hAnsi="Calibri"/>
          <w:color w:val="414042"/>
          <w:w w:val="105"/>
          <w:sz w:val="16"/>
        </w:rPr>
        <w:t>extranjero.</w:t>
      </w:r>
    </w:p>
    <w:p>
      <w:pPr>
        <w:pStyle w:val="BodyText"/>
        <w:rPr>
          <w:rFonts w:ascii="Calibri"/>
          <w:sz w:val="20"/>
        </w:rPr>
      </w:pPr>
    </w:p>
    <w:p>
      <w:pPr>
        <w:pStyle w:val="BodyText"/>
        <w:spacing w:before="2"/>
        <w:rPr>
          <w:rFonts w:ascii="Calibri"/>
          <w:sz w:val="28"/>
        </w:rPr>
      </w:pPr>
    </w:p>
    <w:p>
      <w:pPr>
        <w:tabs>
          <w:tab w:pos="2937" w:val="left" w:leader="none"/>
        </w:tabs>
        <w:spacing w:before="71"/>
        <w:ind w:left="1887" w:right="0" w:firstLine="0"/>
        <w:jc w:val="left"/>
        <w:rPr>
          <w:rFonts w:ascii="Calibri" w:hAnsi="Calibri"/>
          <w:sz w:val="15"/>
        </w:rPr>
      </w:pPr>
      <w:r>
        <w:rPr/>
        <w:pict>
          <v:line style="position:absolute;mso-position-horizontal-relative:page;mso-position-vertical-relative:paragraph;z-index:-480544" from="131.551193pt,3.753715pt" to="131.551193pt,39.556114pt" stroked="true" strokeweight=".35pt" strokecolor="#231f20">
            <w10:wrap type="none"/>
          </v:line>
        </w:pict>
      </w:r>
      <w:r>
        <w:rPr/>
        <w:pict>
          <v:line style="position:absolute;mso-position-horizontal-relative:page;mso-position-vertical-relative:paragraph;z-index:-480472" from="15pt,39.555916pt" to="0pt,39.555916pt" stroked="true" strokeweight=".25pt" strokecolor="#000000">
            <w10:wrap type="none"/>
          </v:line>
        </w:pict>
      </w:r>
      <w:r>
        <w:rPr/>
        <w:pict>
          <v:line style="position:absolute;mso-position-horizontal-relative:page;mso-position-vertical-relative:paragraph;z-index:9736" from="508.890015pt,39.555916pt" to="523.890015pt,39.555916pt" stroked="true" strokeweight=".25pt" strokecolor="#000000">
            <w10:wrap type="none"/>
          </v:line>
        </w:pict>
      </w:r>
      <w:r>
        <w:rPr>
          <w:rFonts w:ascii="Arial" w:hAnsi="Arial"/>
          <w:color w:val="414042"/>
          <w:position w:val="-5"/>
          <w:sz w:val="20"/>
        </w:rPr>
        <w:t>98</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80328" from="15pt,715.487793pt" to="0pt,715.487793pt" stroked="true" strokeweight=".25pt" strokecolor="#000000">
            <w10:wrap type="none"/>
          </v:line>
        </w:pict>
      </w:r>
      <w:r>
        <w:rPr/>
        <w:pict>
          <v:line style="position:absolute;mso-position-horizontal-relative:page;mso-position-vertical-relative:page;z-index:9880" from="508.890015pt,715.487793pt" to="523.890015pt,715.487793pt" stroked="true" strokeweight=".25pt" strokecolor="#000000">
            <w10:wrap type="none"/>
          </v:line>
        </w:pict>
      </w:r>
    </w:p>
    <w:p>
      <w:pPr>
        <w:pStyle w:val="BodyText"/>
        <w:rPr>
          <w:rFonts w:ascii="Calibri"/>
          <w:sz w:val="20"/>
        </w:rPr>
      </w:pPr>
    </w:p>
    <w:p>
      <w:pPr>
        <w:tabs>
          <w:tab w:pos="8636" w:val="right" w:leader="none"/>
        </w:tabs>
        <w:spacing w:before="187"/>
        <w:ind w:left="3755" w:right="0" w:firstLine="0"/>
        <w:jc w:val="left"/>
        <w:rPr>
          <w:rFonts w:ascii="Arial" w:hAnsi="Arial"/>
          <w:sz w:val="20"/>
        </w:rPr>
      </w:pPr>
      <w:r>
        <w:rPr/>
        <w:pict>
          <v:line style="position:absolute;mso-position-horizontal-relative:page;mso-position-vertical-relative:paragraph;z-index:-480400" from="405.061005pt,-18.554295pt" to="405.061005pt,16.311579pt" stroked="true" strokeweight=".35pt" strokecolor="#231f20">
            <w10:wrap type="none"/>
          </v:line>
        </w:pict>
      </w:r>
      <w:r>
        <w:rPr/>
        <w:pict>
          <v:line style="position:absolute;mso-position-horizontal-relative:page;mso-position-vertical-relative:paragraph;z-index:9808" from="15pt,-18.554522pt" to="0pt,-18.554522pt" stroked="true" strokeweight=".25pt" strokecolor="#000000">
            <w10:wrap type="none"/>
          </v:line>
        </w:pict>
      </w:r>
      <w:r>
        <w:rPr/>
        <w:pict>
          <v:line style="position:absolute;mso-position-horizontal-relative:page;mso-position-vertical-relative:paragraph;z-index:9832"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99</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competitivas</w:t>
      </w:r>
      <w:r>
        <w:rPr>
          <w:color w:val="231F20"/>
          <w:spacing w:val="-11"/>
          <w:w w:val="105"/>
        </w:rPr>
        <w:t> </w:t>
      </w:r>
      <w:r>
        <w:rPr>
          <w:color w:val="231F20"/>
          <w:w w:val="105"/>
        </w:rPr>
        <w:t>que</w:t>
      </w:r>
      <w:r>
        <w:rPr>
          <w:color w:val="231F20"/>
          <w:spacing w:val="-11"/>
          <w:w w:val="105"/>
        </w:rPr>
        <w:t> </w:t>
      </w:r>
      <w:r>
        <w:rPr>
          <w:color w:val="231F20"/>
          <w:w w:val="105"/>
        </w:rPr>
        <w:t>suponen</w:t>
      </w:r>
      <w:r>
        <w:rPr>
          <w:color w:val="231F20"/>
          <w:spacing w:val="-11"/>
          <w:w w:val="105"/>
        </w:rPr>
        <w:t> </w:t>
      </w:r>
      <w:r>
        <w:rPr>
          <w:color w:val="231F20"/>
          <w:w w:val="105"/>
        </w:rPr>
        <w:t>los</w:t>
      </w:r>
      <w:r>
        <w:rPr>
          <w:color w:val="231F20"/>
          <w:spacing w:val="-11"/>
          <w:w w:val="105"/>
        </w:rPr>
        <w:t> </w:t>
      </w:r>
      <w:r>
        <w:rPr>
          <w:color w:val="231F20"/>
          <w:w w:val="105"/>
        </w:rPr>
        <w:t>mercados</w:t>
      </w:r>
      <w:r>
        <w:rPr>
          <w:color w:val="231F20"/>
          <w:spacing w:val="-11"/>
          <w:w w:val="105"/>
        </w:rPr>
        <w:t> </w:t>
      </w:r>
      <w:r>
        <w:rPr>
          <w:color w:val="231F20"/>
          <w:w w:val="105"/>
        </w:rPr>
        <w:t>internacionales,</w:t>
      </w:r>
      <w:r>
        <w:rPr>
          <w:color w:val="231F20"/>
          <w:spacing w:val="-16"/>
          <w:w w:val="105"/>
        </w:rPr>
        <w:t> </w:t>
      </w:r>
      <w:r>
        <w:rPr>
          <w:color w:val="231F20"/>
          <w:w w:val="105"/>
        </w:rPr>
        <w:t>la</w:t>
      </w:r>
      <w:r>
        <w:rPr>
          <w:color w:val="231F20"/>
          <w:spacing w:val="-11"/>
          <w:w w:val="105"/>
        </w:rPr>
        <w:t> </w:t>
      </w:r>
      <w:r>
        <w:rPr>
          <w:color w:val="231F20"/>
          <w:w w:val="105"/>
        </w:rPr>
        <w:t>disminución del crédito oficial es un factor que ha contribuido al desplazamiento de los pequeños productores. Según el testimonio del 6º regidor del</w:t>
      </w:r>
      <w:r>
        <w:rPr>
          <w:color w:val="231F20"/>
          <w:spacing w:val="-28"/>
          <w:w w:val="105"/>
        </w:rPr>
        <w:t> </w:t>
      </w:r>
      <w:r>
        <w:rPr>
          <w:color w:val="231F20"/>
          <w:w w:val="105"/>
        </w:rPr>
        <w:t>Ayun- tamiento,</w:t>
      </w:r>
      <w:r>
        <w:rPr>
          <w:color w:val="231F20"/>
          <w:spacing w:val="-16"/>
          <w:w w:val="105"/>
        </w:rPr>
        <w:t> </w:t>
      </w:r>
      <w:r>
        <w:rPr>
          <w:color w:val="231F20"/>
          <w:w w:val="105"/>
        </w:rPr>
        <w:t>la</w:t>
      </w:r>
      <w:r>
        <w:rPr>
          <w:color w:val="231F20"/>
          <w:spacing w:val="-10"/>
          <w:w w:val="105"/>
        </w:rPr>
        <w:t> </w:t>
      </w:r>
      <w:r>
        <w:rPr>
          <w:color w:val="231F20"/>
          <w:w w:val="105"/>
        </w:rPr>
        <w:t>mayoría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pequeños</w:t>
      </w:r>
      <w:r>
        <w:rPr>
          <w:color w:val="231F20"/>
          <w:spacing w:val="-10"/>
          <w:w w:val="105"/>
        </w:rPr>
        <w:t> </w:t>
      </w:r>
      <w:r>
        <w:rPr>
          <w:color w:val="231F20"/>
          <w:w w:val="105"/>
        </w:rPr>
        <w:t>y</w:t>
      </w:r>
      <w:r>
        <w:rPr>
          <w:color w:val="231F20"/>
          <w:spacing w:val="-10"/>
          <w:w w:val="105"/>
        </w:rPr>
        <w:t> </w:t>
      </w:r>
      <w:r>
        <w:rPr>
          <w:color w:val="231F20"/>
          <w:w w:val="105"/>
        </w:rPr>
        <w:t>medianos</w:t>
      </w:r>
      <w:r>
        <w:rPr>
          <w:color w:val="231F20"/>
          <w:spacing w:val="-10"/>
          <w:w w:val="105"/>
        </w:rPr>
        <w:t> </w:t>
      </w:r>
      <w:r>
        <w:rPr>
          <w:color w:val="231F20"/>
          <w:w w:val="105"/>
        </w:rPr>
        <w:t>productores</w:t>
      </w:r>
      <w:r>
        <w:rPr>
          <w:color w:val="231F20"/>
          <w:spacing w:val="-10"/>
          <w:w w:val="105"/>
        </w:rPr>
        <w:t> </w:t>
      </w:r>
      <w:r>
        <w:rPr>
          <w:color w:val="231F20"/>
          <w:w w:val="105"/>
        </w:rPr>
        <w:t>de</w:t>
      </w:r>
      <w:r>
        <w:rPr>
          <w:color w:val="231F20"/>
          <w:spacing w:val="-10"/>
          <w:w w:val="105"/>
        </w:rPr>
        <w:t> </w:t>
      </w:r>
      <w:r>
        <w:rPr>
          <w:color w:val="231F20"/>
          <w:w w:val="105"/>
        </w:rPr>
        <w:t>flor</w:t>
      </w:r>
      <w:r>
        <w:rPr>
          <w:color w:val="231F20"/>
          <w:spacing w:val="-10"/>
          <w:w w:val="105"/>
        </w:rPr>
        <w:t> </w:t>
      </w:r>
      <w:r>
        <w:rPr>
          <w:color w:val="231F20"/>
          <w:w w:val="105"/>
        </w:rPr>
        <w:t>se enfrentan</w:t>
      </w:r>
      <w:r>
        <w:rPr>
          <w:color w:val="231F20"/>
          <w:spacing w:val="-11"/>
          <w:w w:val="105"/>
        </w:rPr>
        <w:t> </w:t>
      </w:r>
      <w:r>
        <w:rPr>
          <w:color w:val="231F20"/>
          <w:w w:val="105"/>
        </w:rPr>
        <w:t>con</w:t>
      </w:r>
      <w:r>
        <w:rPr>
          <w:color w:val="231F20"/>
          <w:spacing w:val="-11"/>
          <w:w w:val="105"/>
        </w:rPr>
        <w:t> </w:t>
      </w:r>
      <w:r>
        <w:rPr>
          <w:color w:val="231F20"/>
          <w:w w:val="105"/>
        </w:rPr>
        <w:t>problemas</w:t>
      </w:r>
      <w:r>
        <w:rPr>
          <w:color w:val="231F20"/>
          <w:spacing w:val="-11"/>
          <w:w w:val="105"/>
        </w:rPr>
        <w:t> </w:t>
      </w:r>
      <w:r>
        <w:rPr>
          <w:color w:val="231F20"/>
          <w:w w:val="105"/>
        </w:rPr>
        <w:t>de</w:t>
      </w:r>
      <w:r>
        <w:rPr>
          <w:color w:val="231F20"/>
          <w:spacing w:val="-11"/>
          <w:w w:val="105"/>
        </w:rPr>
        <w:t> </w:t>
      </w:r>
      <w:r>
        <w:rPr>
          <w:color w:val="231F20"/>
          <w:w w:val="105"/>
        </w:rPr>
        <w:t>cartera</w:t>
      </w:r>
      <w:r>
        <w:rPr>
          <w:color w:val="231F20"/>
          <w:spacing w:val="-11"/>
          <w:w w:val="105"/>
        </w:rPr>
        <w:t> </w:t>
      </w:r>
      <w:r>
        <w:rPr>
          <w:color w:val="231F20"/>
          <w:w w:val="105"/>
        </w:rPr>
        <w:t>vencida,</w:t>
      </w:r>
      <w:r>
        <w:rPr>
          <w:color w:val="231F20"/>
          <w:spacing w:val="-17"/>
          <w:w w:val="105"/>
        </w:rPr>
        <w:t> </w:t>
      </w:r>
      <w:r>
        <w:rPr>
          <w:color w:val="231F20"/>
          <w:w w:val="105"/>
        </w:rPr>
        <w:t>de</w:t>
      </w:r>
      <w:r>
        <w:rPr>
          <w:color w:val="231F20"/>
          <w:spacing w:val="-11"/>
          <w:w w:val="105"/>
        </w:rPr>
        <w:t> </w:t>
      </w:r>
      <w:r>
        <w:rPr>
          <w:color w:val="231F20"/>
          <w:w w:val="105"/>
        </w:rPr>
        <w:t>hecho</w:t>
      </w:r>
      <w:r>
        <w:rPr>
          <w:color w:val="231F20"/>
          <w:spacing w:val="-11"/>
          <w:w w:val="105"/>
        </w:rPr>
        <w:t> </w:t>
      </w:r>
      <w:r>
        <w:rPr>
          <w:color w:val="231F20"/>
          <w:w w:val="105"/>
        </w:rPr>
        <w:t>este</w:t>
      </w:r>
      <w:r>
        <w:rPr>
          <w:color w:val="231F20"/>
          <w:spacing w:val="-11"/>
          <w:w w:val="105"/>
        </w:rPr>
        <w:t> </w:t>
      </w:r>
      <w:r>
        <w:rPr>
          <w:color w:val="231F20"/>
          <w:w w:val="105"/>
        </w:rPr>
        <w:t>es</w:t>
      </w:r>
      <w:r>
        <w:rPr>
          <w:color w:val="231F20"/>
          <w:spacing w:val="-11"/>
          <w:w w:val="105"/>
        </w:rPr>
        <w:t> </w:t>
      </w:r>
      <w:r>
        <w:rPr>
          <w:color w:val="231F20"/>
          <w:w w:val="105"/>
        </w:rPr>
        <w:t>un</w:t>
      </w:r>
      <w:r>
        <w:rPr>
          <w:color w:val="231F20"/>
          <w:spacing w:val="-11"/>
          <w:w w:val="105"/>
        </w:rPr>
        <w:t> </w:t>
      </w:r>
      <w:r>
        <w:rPr>
          <w:color w:val="231F20"/>
          <w:w w:val="105"/>
        </w:rPr>
        <w:t>deter- minante</w:t>
      </w:r>
      <w:r>
        <w:rPr>
          <w:color w:val="231F20"/>
          <w:spacing w:val="-15"/>
          <w:w w:val="105"/>
        </w:rPr>
        <w:t> </w:t>
      </w:r>
      <w:r>
        <w:rPr>
          <w:color w:val="231F20"/>
          <w:w w:val="105"/>
        </w:rPr>
        <w:t>para</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hombres</w:t>
      </w:r>
      <w:r>
        <w:rPr>
          <w:color w:val="231F20"/>
          <w:spacing w:val="-15"/>
          <w:w w:val="105"/>
        </w:rPr>
        <w:t> </w:t>
      </w:r>
      <w:r>
        <w:rPr>
          <w:color w:val="231F20"/>
          <w:w w:val="105"/>
        </w:rPr>
        <w:t>“se</w:t>
      </w:r>
      <w:r>
        <w:rPr>
          <w:color w:val="231F20"/>
          <w:spacing w:val="-15"/>
          <w:w w:val="105"/>
        </w:rPr>
        <w:t> </w:t>
      </w:r>
      <w:r>
        <w:rPr>
          <w:color w:val="231F20"/>
          <w:w w:val="105"/>
        </w:rPr>
        <w:t>vayan</w:t>
      </w:r>
      <w:r>
        <w:rPr>
          <w:color w:val="231F20"/>
          <w:spacing w:val="-15"/>
          <w:w w:val="105"/>
        </w:rPr>
        <w:t> </w:t>
      </w:r>
      <w:r>
        <w:rPr>
          <w:color w:val="231F20"/>
          <w:w w:val="105"/>
        </w:rPr>
        <w:t>al</w:t>
      </w:r>
      <w:r>
        <w:rPr>
          <w:color w:val="231F20"/>
          <w:spacing w:val="-15"/>
          <w:w w:val="105"/>
        </w:rPr>
        <w:t> </w:t>
      </w:r>
      <w:r>
        <w:rPr>
          <w:color w:val="231F20"/>
          <w:w w:val="105"/>
        </w:rPr>
        <w:t>otro</w:t>
      </w:r>
      <w:r>
        <w:rPr>
          <w:color w:val="231F20"/>
          <w:spacing w:val="-15"/>
          <w:w w:val="105"/>
        </w:rPr>
        <w:t> </w:t>
      </w:r>
      <w:r>
        <w:rPr>
          <w:color w:val="231F20"/>
          <w:w w:val="105"/>
        </w:rPr>
        <w:t>lado</w:t>
      </w:r>
      <w:r>
        <w:rPr>
          <w:color w:val="231F20"/>
          <w:spacing w:val="-15"/>
          <w:w w:val="105"/>
        </w:rPr>
        <w:t> </w:t>
      </w:r>
      <w:r>
        <w:rPr>
          <w:color w:val="231F20"/>
          <w:w w:val="105"/>
        </w:rPr>
        <w:t>para</w:t>
      </w:r>
      <w:r>
        <w:rPr>
          <w:color w:val="231F20"/>
          <w:spacing w:val="-15"/>
          <w:w w:val="105"/>
        </w:rPr>
        <w:t> </w:t>
      </w:r>
      <w:r>
        <w:rPr>
          <w:color w:val="231F20"/>
          <w:w w:val="105"/>
        </w:rPr>
        <w:t>ahorrar</w:t>
      </w:r>
      <w:r>
        <w:rPr>
          <w:color w:val="231F20"/>
          <w:spacing w:val="-15"/>
          <w:w w:val="105"/>
        </w:rPr>
        <w:t> </w:t>
      </w:r>
      <w:r>
        <w:rPr>
          <w:color w:val="231F20"/>
          <w:w w:val="105"/>
        </w:rPr>
        <w:t>y</w:t>
      </w:r>
      <w:r>
        <w:rPr>
          <w:color w:val="231F20"/>
          <w:spacing w:val="-15"/>
          <w:w w:val="105"/>
        </w:rPr>
        <w:t> </w:t>
      </w:r>
      <w:r>
        <w:rPr>
          <w:color w:val="231F20"/>
          <w:w w:val="105"/>
        </w:rPr>
        <w:t>venir a</w:t>
      </w:r>
      <w:r>
        <w:rPr>
          <w:color w:val="231F20"/>
          <w:spacing w:val="-11"/>
          <w:w w:val="105"/>
        </w:rPr>
        <w:t> </w:t>
      </w:r>
      <w:r>
        <w:rPr>
          <w:color w:val="231F20"/>
          <w:w w:val="105"/>
        </w:rPr>
        <w:t>pagar</w:t>
      </w:r>
      <w:r>
        <w:rPr>
          <w:color w:val="231F20"/>
          <w:spacing w:val="-11"/>
          <w:w w:val="105"/>
        </w:rPr>
        <w:t> </w:t>
      </w:r>
      <w:r>
        <w:rPr>
          <w:color w:val="231F20"/>
          <w:w w:val="105"/>
        </w:rPr>
        <w:t>las</w:t>
      </w:r>
      <w:r>
        <w:rPr>
          <w:color w:val="231F20"/>
          <w:spacing w:val="-11"/>
          <w:w w:val="105"/>
        </w:rPr>
        <w:t> </w:t>
      </w:r>
      <w:r>
        <w:rPr>
          <w:color w:val="231F20"/>
          <w:w w:val="105"/>
        </w:rPr>
        <w:t>deudas”</w:t>
      </w:r>
      <w:r>
        <w:rPr>
          <w:color w:val="231F20"/>
          <w:spacing w:val="-11"/>
          <w:w w:val="105"/>
        </w:rPr>
        <w:t> </w:t>
      </w:r>
      <w:r>
        <w:rPr>
          <w:color w:val="231F20"/>
          <w:w w:val="105"/>
        </w:rPr>
        <w:t>(información</w:t>
      </w:r>
      <w:r>
        <w:rPr>
          <w:color w:val="231F20"/>
          <w:spacing w:val="-11"/>
          <w:w w:val="105"/>
        </w:rPr>
        <w:t> </w:t>
      </w:r>
      <w:r>
        <w:rPr>
          <w:color w:val="231F20"/>
          <w:w w:val="105"/>
        </w:rPr>
        <w:t>obtenida</w:t>
      </w:r>
      <w:r>
        <w:rPr>
          <w:color w:val="231F20"/>
          <w:spacing w:val="-11"/>
          <w:w w:val="105"/>
        </w:rPr>
        <w:t> </w:t>
      </w:r>
      <w:r>
        <w:rPr>
          <w:color w:val="231F20"/>
          <w:w w:val="105"/>
        </w:rPr>
        <w:t>el</w:t>
      </w:r>
      <w:r>
        <w:rPr>
          <w:color w:val="231F20"/>
          <w:spacing w:val="-11"/>
          <w:w w:val="105"/>
        </w:rPr>
        <w:t> </w:t>
      </w:r>
      <w:r>
        <w:rPr>
          <w:color w:val="231F20"/>
          <w:w w:val="105"/>
        </w:rPr>
        <w:t>17</w:t>
      </w:r>
      <w:r>
        <w:rPr>
          <w:color w:val="231F20"/>
          <w:spacing w:val="-11"/>
          <w:w w:val="105"/>
        </w:rPr>
        <w:t> </w:t>
      </w:r>
      <w:r>
        <w:rPr>
          <w:color w:val="231F20"/>
          <w:w w:val="105"/>
        </w:rPr>
        <w:t>de</w:t>
      </w:r>
      <w:r>
        <w:rPr>
          <w:color w:val="231F20"/>
          <w:spacing w:val="-11"/>
          <w:w w:val="105"/>
        </w:rPr>
        <w:t> </w:t>
      </w:r>
      <w:r>
        <w:rPr>
          <w:color w:val="231F20"/>
          <w:w w:val="105"/>
        </w:rPr>
        <w:t>marzo</w:t>
      </w:r>
      <w:r>
        <w:rPr>
          <w:color w:val="231F20"/>
          <w:spacing w:val="-11"/>
          <w:w w:val="105"/>
        </w:rPr>
        <w:t> </w:t>
      </w:r>
      <w:r>
        <w:rPr>
          <w:color w:val="231F20"/>
          <w:w w:val="105"/>
        </w:rPr>
        <w:t>de</w:t>
      </w:r>
      <w:r>
        <w:rPr>
          <w:color w:val="231F20"/>
          <w:spacing w:val="-11"/>
          <w:w w:val="105"/>
        </w:rPr>
        <w:t> </w:t>
      </w:r>
      <w:r>
        <w:rPr>
          <w:color w:val="231F20"/>
          <w:w w:val="105"/>
        </w:rPr>
        <w:t>2010).</w:t>
      </w:r>
    </w:p>
    <w:p>
      <w:pPr>
        <w:pStyle w:val="BodyText"/>
        <w:spacing w:line="261" w:lineRule="auto" w:before="1"/>
        <w:ind w:left="1837" w:right="1721" w:firstLine="567"/>
        <w:jc w:val="both"/>
      </w:pPr>
      <w:r>
        <w:rPr>
          <w:color w:val="231F20"/>
        </w:rPr>
        <w:t>El último censo agrícola deja ver cómo es mínima la cantidad de unidades productivas que tienen acceso al crédito y otros beneficios pro- venientes del Estado y las políticas públicas aplicadas al sector. </w:t>
      </w:r>
      <w:r>
        <w:rPr>
          <w:color w:val="231F20"/>
          <w:spacing w:val="-6"/>
        </w:rPr>
        <w:t>Por </w:t>
      </w:r>
      <w:r>
        <w:rPr>
          <w:color w:val="231F20"/>
        </w:rPr>
        <w:t>ejem- plo, del total de las unidades productiva exclusivamente 2.2% cuentan  con un crédito o un seguro para la   </w:t>
      </w:r>
      <w:r>
        <w:rPr>
          <w:color w:val="231F20"/>
          <w:spacing w:val="2"/>
        </w:rPr>
        <w:t> </w:t>
      </w:r>
      <w:r>
        <w:rPr>
          <w:color w:val="231F20"/>
        </w:rPr>
        <w:t>producción.</w:t>
      </w:r>
    </w:p>
    <w:p>
      <w:pPr>
        <w:pStyle w:val="BodyText"/>
        <w:spacing w:line="261" w:lineRule="auto" w:before="1"/>
        <w:ind w:left="1837" w:right="1715" w:firstLine="567"/>
        <w:jc w:val="both"/>
      </w:pPr>
      <w:r>
        <w:rPr>
          <w:color w:val="231F20"/>
          <w:w w:val="105"/>
        </w:rPr>
        <w:t>El</w:t>
      </w:r>
      <w:r>
        <w:rPr>
          <w:color w:val="231F20"/>
          <w:spacing w:val="-9"/>
          <w:w w:val="105"/>
        </w:rPr>
        <w:t> </w:t>
      </w:r>
      <w:r>
        <w:rPr>
          <w:color w:val="231F20"/>
          <w:w w:val="105"/>
        </w:rPr>
        <w:t>grueso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productores,</w:t>
      </w:r>
      <w:r>
        <w:rPr>
          <w:color w:val="231F20"/>
          <w:spacing w:val="-14"/>
          <w:w w:val="105"/>
        </w:rPr>
        <w:t> </w:t>
      </w:r>
      <w:r>
        <w:rPr>
          <w:color w:val="231F20"/>
          <w:w w:val="105"/>
        </w:rPr>
        <w:t>es</w:t>
      </w:r>
      <w:r>
        <w:rPr>
          <w:color w:val="231F20"/>
          <w:spacing w:val="-9"/>
          <w:w w:val="105"/>
        </w:rPr>
        <w:t> </w:t>
      </w:r>
      <w:r>
        <w:rPr>
          <w:color w:val="231F20"/>
          <w:w w:val="105"/>
        </w:rPr>
        <w:t>decir,</w:t>
      </w:r>
      <w:r>
        <w:rPr>
          <w:color w:val="231F20"/>
          <w:spacing w:val="-14"/>
          <w:w w:val="105"/>
        </w:rPr>
        <w:t> </w:t>
      </w:r>
      <w:r>
        <w:rPr>
          <w:color w:val="231F20"/>
          <w:w w:val="105"/>
        </w:rPr>
        <w:t>97.7%,</w:t>
      </w:r>
      <w:r>
        <w:rPr>
          <w:color w:val="231F20"/>
          <w:spacing w:val="-14"/>
          <w:w w:val="105"/>
        </w:rPr>
        <w:t> </w:t>
      </w:r>
      <w:r>
        <w:rPr>
          <w:color w:val="231F20"/>
          <w:w w:val="105"/>
        </w:rPr>
        <w:t>no</w:t>
      </w:r>
      <w:r>
        <w:rPr>
          <w:color w:val="231F20"/>
          <w:spacing w:val="-9"/>
          <w:w w:val="105"/>
        </w:rPr>
        <w:t> </w:t>
      </w:r>
      <w:r>
        <w:rPr>
          <w:color w:val="231F20"/>
          <w:w w:val="105"/>
        </w:rPr>
        <w:t>tienen</w:t>
      </w:r>
      <w:r>
        <w:rPr>
          <w:color w:val="231F20"/>
          <w:spacing w:val="-9"/>
          <w:w w:val="105"/>
        </w:rPr>
        <w:t> </w:t>
      </w:r>
      <w:r>
        <w:rPr>
          <w:color w:val="231F20"/>
          <w:w w:val="105"/>
        </w:rPr>
        <w:t>acceso</w:t>
      </w:r>
      <w:r>
        <w:rPr>
          <w:color w:val="231F20"/>
          <w:spacing w:val="-9"/>
          <w:w w:val="105"/>
        </w:rPr>
        <w:t> </w:t>
      </w:r>
      <w:r>
        <w:rPr>
          <w:color w:val="231F20"/>
          <w:w w:val="105"/>
        </w:rPr>
        <w:t>ni a crédito ni a un seguro. La inmensa mayoría de medianos y pequeños productores</w:t>
      </w:r>
      <w:r>
        <w:rPr>
          <w:color w:val="231F20"/>
          <w:spacing w:val="-10"/>
          <w:w w:val="105"/>
        </w:rPr>
        <w:t> </w:t>
      </w:r>
      <w:r>
        <w:rPr>
          <w:color w:val="231F20"/>
          <w:w w:val="105"/>
        </w:rPr>
        <w:t>tienen</w:t>
      </w:r>
      <w:r>
        <w:rPr>
          <w:color w:val="231F20"/>
          <w:spacing w:val="-10"/>
          <w:w w:val="105"/>
        </w:rPr>
        <w:t> </w:t>
      </w:r>
      <w:r>
        <w:rPr>
          <w:color w:val="231F20"/>
          <w:w w:val="105"/>
        </w:rPr>
        <w:t>que</w:t>
      </w:r>
      <w:r>
        <w:rPr>
          <w:color w:val="231F20"/>
          <w:spacing w:val="-10"/>
          <w:w w:val="105"/>
        </w:rPr>
        <w:t> </w:t>
      </w:r>
      <w:r>
        <w:rPr>
          <w:color w:val="231F20"/>
          <w:w w:val="105"/>
        </w:rPr>
        <w:t>enfrentar</w:t>
      </w:r>
      <w:r>
        <w:rPr>
          <w:color w:val="231F20"/>
          <w:spacing w:val="-10"/>
          <w:w w:val="105"/>
        </w:rPr>
        <w:t> </w:t>
      </w:r>
      <w:r>
        <w:rPr>
          <w:color w:val="231F20"/>
          <w:w w:val="105"/>
        </w:rPr>
        <w:t>las</w:t>
      </w:r>
      <w:r>
        <w:rPr>
          <w:color w:val="231F20"/>
          <w:spacing w:val="-10"/>
          <w:w w:val="105"/>
        </w:rPr>
        <w:t> </w:t>
      </w:r>
      <w:r>
        <w:rPr>
          <w:color w:val="231F20"/>
          <w:w w:val="105"/>
        </w:rPr>
        <w:t>barreras</w:t>
      </w:r>
      <w:r>
        <w:rPr>
          <w:color w:val="231F20"/>
          <w:spacing w:val="-10"/>
          <w:w w:val="105"/>
        </w:rPr>
        <w:t> </w:t>
      </w:r>
      <w:r>
        <w:rPr>
          <w:color w:val="231F20"/>
          <w:w w:val="105"/>
        </w:rPr>
        <w:t>que</w:t>
      </w:r>
      <w:r>
        <w:rPr>
          <w:color w:val="231F20"/>
          <w:spacing w:val="-10"/>
          <w:w w:val="105"/>
        </w:rPr>
        <w:t> </w:t>
      </w:r>
      <w:r>
        <w:rPr>
          <w:color w:val="231F20"/>
          <w:w w:val="105"/>
        </w:rPr>
        <w:t>les</w:t>
      </w:r>
      <w:r>
        <w:rPr>
          <w:color w:val="231F20"/>
          <w:spacing w:val="-10"/>
          <w:w w:val="105"/>
        </w:rPr>
        <w:t> </w:t>
      </w:r>
      <w:r>
        <w:rPr>
          <w:color w:val="231F20"/>
          <w:w w:val="105"/>
        </w:rPr>
        <w:t>imponen</w:t>
      </w:r>
      <w:r>
        <w:rPr>
          <w:color w:val="231F20"/>
          <w:spacing w:val="-10"/>
          <w:w w:val="105"/>
        </w:rPr>
        <w:t> </w:t>
      </w:r>
      <w:r>
        <w:rPr>
          <w:color w:val="231F20"/>
          <w:w w:val="105"/>
        </w:rPr>
        <w:t>las</w:t>
      </w:r>
      <w:r>
        <w:rPr>
          <w:color w:val="231F20"/>
          <w:spacing w:val="-10"/>
          <w:w w:val="105"/>
        </w:rPr>
        <w:t> </w:t>
      </w:r>
      <w:r>
        <w:rPr>
          <w:color w:val="231F20"/>
          <w:w w:val="105"/>
        </w:rPr>
        <w:t>leyes del mercado, la competencia y los altos costos de los insumos produc- tivos.</w:t>
      </w:r>
      <w:r>
        <w:rPr>
          <w:color w:val="231F20"/>
          <w:spacing w:val="-15"/>
          <w:w w:val="105"/>
        </w:rPr>
        <w:t> </w:t>
      </w:r>
      <w:r>
        <w:rPr>
          <w:color w:val="231F20"/>
          <w:w w:val="105"/>
        </w:rPr>
        <w:t>Razón</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cual</w:t>
      </w:r>
      <w:r>
        <w:rPr>
          <w:color w:val="231F20"/>
          <w:spacing w:val="-12"/>
          <w:w w:val="105"/>
        </w:rPr>
        <w:t> </w:t>
      </w:r>
      <w:r>
        <w:rPr>
          <w:color w:val="231F20"/>
          <w:w w:val="105"/>
        </w:rPr>
        <w:t>son</w:t>
      </w:r>
      <w:r>
        <w:rPr>
          <w:color w:val="231F20"/>
          <w:spacing w:val="-12"/>
          <w:w w:val="105"/>
        </w:rPr>
        <w:t> </w:t>
      </w:r>
      <w:r>
        <w:rPr>
          <w:color w:val="231F20"/>
          <w:w w:val="105"/>
        </w:rPr>
        <w:t>productores</w:t>
      </w:r>
      <w:r>
        <w:rPr>
          <w:color w:val="231F20"/>
          <w:spacing w:val="-12"/>
          <w:w w:val="105"/>
        </w:rPr>
        <w:t> </w:t>
      </w:r>
      <w:r>
        <w:rPr>
          <w:color w:val="231F20"/>
          <w:w w:val="105"/>
        </w:rPr>
        <w:t>que</w:t>
      </w:r>
      <w:r>
        <w:rPr>
          <w:color w:val="231F20"/>
          <w:spacing w:val="-12"/>
          <w:w w:val="105"/>
        </w:rPr>
        <w:t> </w:t>
      </w:r>
      <w:r>
        <w:rPr>
          <w:color w:val="231F20"/>
          <w:w w:val="105"/>
        </w:rPr>
        <w:t>surten</w:t>
      </w:r>
      <w:r>
        <w:rPr>
          <w:color w:val="231F20"/>
          <w:spacing w:val="-12"/>
          <w:w w:val="105"/>
        </w:rPr>
        <w:t> </w:t>
      </w:r>
      <w:r>
        <w:rPr>
          <w:color w:val="231F20"/>
          <w:w w:val="105"/>
        </w:rPr>
        <w:t>la</w:t>
      </w:r>
      <w:r>
        <w:rPr>
          <w:color w:val="231F20"/>
          <w:spacing w:val="-12"/>
          <w:w w:val="105"/>
        </w:rPr>
        <w:t> </w:t>
      </w:r>
      <w:r>
        <w:rPr>
          <w:color w:val="231F20"/>
          <w:w w:val="105"/>
        </w:rPr>
        <w:t>demanda</w:t>
      </w:r>
      <w:r>
        <w:rPr>
          <w:color w:val="231F20"/>
          <w:spacing w:val="-12"/>
          <w:w w:val="105"/>
        </w:rPr>
        <w:t> </w:t>
      </w:r>
      <w:r>
        <w:rPr>
          <w:color w:val="231F20"/>
          <w:w w:val="105"/>
        </w:rPr>
        <w:t>local</w:t>
      </w:r>
      <w:r>
        <w:rPr>
          <w:color w:val="231F20"/>
          <w:spacing w:val="-12"/>
          <w:w w:val="105"/>
        </w:rPr>
        <w:t> </w:t>
      </w:r>
      <w:r>
        <w:rPr>
          <w:color w:val="231F20"/>
          <w:w w:val="105"/>
        </w:rPr>
        <w:t>de flores sorteando una infinidad de obstáculos como la renta de la tierra, los</w:t>
      </w:r>
      <w:r>
        <w:rPr>
          <w:color w:val="231F20"/>
          <w:spacing w:val="-23"/>
          <w:w w:val="105"/>
        </w:rPr>
        <w:t> </w:t>
      </w:r>
      <w:r>
        <w:rPr>
          <w:color w:val="231F20"/>
          <w:w w:val="105"/>
        </w:rPr>
        <w:t>créditos</w:t>
      </w:r>
      <w:r>
        <w:rPr>
          <w:color w:val="231F20"/>
          <w:spacing w:val="-23"/>
          <w:w w:val="105"/>
        </w:rPr>
        <w:t> </w:t>
      </w:r>
      <w:r>
        <w:rPr>
          <w:color w:val="231F20"/>
          <w:w w:val="105"/>
        </w:rPr>
        <w:t>privados</w:t>
      </w:r>
      <w:r>
        <w:rPr>
          <w:color w:val="231F20"/>
          <w:spacing w:val="-23"/>
          <w:w w:val="105"/>
        </w:rPr>
        <w:t> </w:t>
      </w:r>
      <w:r>
        <w:rPr>
          <w:color w:val="231F20"/>
          <w:w w:val="105"/>
        </w:rPr>
        <w:t>e</w:t>
      </w:r>
      <w:r>
        <w:rPr>
          <w:color w:val="231F20"/>
          <w:spacing w:val="-23"/>
          <w:w w:val="105"/>
        </w:rPr>
        <w:t> </w:t>
      </w:r>
      <w:r>
        <w:rPr>
          <w:color w:val="231F20"/>
          <w:w w:val="105"/>
        </w:rPr>
        <w:t>informales</w:t>
      </w:r>
      <w:r>
        <w:rPr>
          <w:color w:val="231F20"/>
          <w:spacing w:val="-23"/>
          <w:w w:val="105"/>
        </w:rPr>
        <w:t> </w:t>
      </w:r>
      <w:r>
        <w:rPr>
          <w:color w:val="231F20"/>
          <w:w w:val="105"/>
        </w:rPr>
        <w:t>con</w:t>
      </w:r>
      <w:r>
        <w:rPr>
          <w:color w:val="231F20"/>
          <w:spacing w:val="-23"/>
          <w:w w:val="105"/>
        </w:rPr>
        <w:t> </w:t>
      </w:r>
      <w:r>
        <w:rPr>
          <w:color w:val="231F20"/>
          <w:w w:val="105"/>
        </w:rPr>
        <w:t>altos</w:t>
      </w:r>
      <w:r>
        <w:rPr>
          <w:color w:val="231F20"/>
          <w:spacing w:val="-23"/>
          <w:w w:val="105"/>
        </w:rPr>
        <w:t> </w:t>
      </w:r>
      <w:r>
        <w:rPr>
          <w:color w:val="231F20"/>
          <w:w w:val="105"/>
        </w:rPr>
        <w:t>costos,</w:t>
      </w:r>
      <w:r>
        <w:rPr>
          <w:color w:val="231F20"/>
          <w:spacing w:val="-28"/>
          <w:w w:val="105"/>
        </w:rPr>
        <w:t> </w:t>
      </w:r>
      <w:r>
        <w:rPr>
          <w:color w:val="231F20"/>
          <w:w w:val="105"/>
        </w:rPr>
        <w:t>entre</w:t>
      </w:r>
      <w:r>
        <w:rPr>
          <w:color w:val="231F20"/>
          <w:spacing w:val="-23"/>
          <w:w w:val="105"/>
        </w:rPr>
        <w:t> </w:t>
      </w:r>
      <w:r>
        <w:rPr>
          <w:color w:val="231F20"/>
          <w:w w:val="105"/>
        </w:rPr>
        <w:t>otros.</w:t>
      </w:r>
      <w:r>
        <w:rPr>
          <w:color w:val="231F20"/>
          <w:spacing w:val="-28"/>
          <w:w w:val="105"/>
        </w:rPr>
        <w:t> </w:t>
      </w:r>
      <w:r>
        <w:rPr>
          <w:color w:val="231F20"/>
          <w:w w:val="105"/>
        </w:rPr>
        <w:t>Son</w:t>
      </w:r>
      <w:r>
        <w:rPr>
          <w:color w:val="231F20"/>
          <w:spacing w:val="-23"/>
          <w:w w:val="105"/>
        </w:rPr>
        <w:t> </w:t>
      </w:r>
      <w:r>
        <w:rPr>
          <w:color w:val="231F20"/>
          <w:w w:val="105"/>
        </w:rPr>
        <w:t>estos productores</w:t>
      </w:r>
      <w:r>
        <w:rPr>
          <w:color w:val="231F20"/>
          <w:spacing w:val="-8"/>
          <w:w w:val="105"/>
        </w:rPr>
        <w:t> </w:t>
      </w:r>
      <w:r>
        <w:rPr>
          <w:color w:val="231F20"/>
          <w:w w:val="105"/>
        </w:rPr>
        <w:t>quienes</w:t>
      </w:r>
      <w:r>
        <w:rPr>
          <w:color w:val="231F20"/>
          <w:spacing w:val="-8"/>
          <w:w w:val="105"/>
        </w:rPr>
        <w:t> </w:t>
      </w:r>
      <w:r>
        <w:rPr>
          <w:color w:val="231F20"/>
          <w:w w:val="105"/>
        </w:rPr>
        <w:t>también</w:t>
      </w:r>
      <w:r>
        <w:rPr>
          <w:color w:val="231F20"/>
          <w:spacing w:val="-8"/>
          <w:w w:val="105"/>
        </w:rPr>
        <w:t> </w:t>
      </w:r>
      <w:r>
        <w:rPr>
          <w:color w:val="231F20"/>
          <w:w w:val="105"/>
        </w:rPr>
        <w:t>utilizan</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fuerza</w:t>
      </w:r>
      <w:r>
        <w:rPr>
          <w:color w:val="231F20"/>
          <w:spacing w:val="-8"/>
          <w:w w:val="105"/>
        </w:rPr>
        <w:t> </w:t>
      </w:r>
      <w:r>
        <w:rPr>
          <w:color w:val="231F20"/>
          <w:w w:val="105"/>
        </w:rPr>
        <w:t>de</w:t>
      </w:r>
      <w:r>
        <w:rPr>
          <w:color w:val="231F20"/>
          <w:spacing w:val="-8"/>
          <w:w w:val="105"/>
        </w:rPr>
        <w:t> </w:t>
      </w:r>
      <w:r>
        <w:rPr>
          <w:color w:val="231F20"/>
          <w:w w:val="105"/>
        </w:rPr>
        <w:t>trabajo</w:t>
      </w:r>
      <w:r>
        <w:rPr>
          <w:color w:val="231F20"/>
          <w:spacing w:val="-8"/>
          <w:w w:val="105"/>
        </w:rPr>
        <w:t> </w:t>
      </w:r>
      <w:r>
        <w:rPr>
          <w:color w:val="231F20"/>
          <w:w w:val="105"/>
        </w:rPr>
        <w:t>familiar</w:t>
      </w:r>
      <w:r>
        <w:rPr>
          <w:color w:val="231F20"/>
          <w:spacing w:val="-8"/>
          <w:w w:val="105"/>
        </w:rPr>
        <w:t> </w:t>
      </w:r>
      <w:r>
        <w:rPr>
          <w:color w:val="231F20"/>
          <w:w w:val="105"/>
        </w:rPr>
        <w:t>para lograr</w:t>
      </w:r>
      <w:r>
        <w:rPr>
          <w:color w:val="231F20"/>
          <w:spacing w:val="-16"/>
          <w:w w:val="105"/>
        </w:rPr>
        <w:t> </w:t>
      </w:r>
      <w:r>
        <w:rPr>
          <w:color w:val="231F20"/>
          <w:w w:val="105"/>
        </w:rPr>
        <w:t>subsistir</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mercado.</w:t>
      </w:r>
    </w:p>
    <w:p>
      <w:pPr>
        <w:pStyle w:val="BodyText"/>
        <w:spacing w:line="261" w:lineRule="auto" w:before="1"/>
        <w:ind w:left="1837" w:right="1721" w:firstLine="567"/>
        <w:jc w:val="both"/>
      </w:pPr>
      <w:r>
        <w:rPr>
          <w:color w:val="231F20"/>
          <w:spacing w:val="-4"/>
        </w:rPr>
        <w:t>Para </w:t>
      </w:r>
      <w:r>
        <w:rPr>
          <w:color w:val="231F20"/>
        </w:rPr>
        <w:t>que la actividad florícola del municipio de Villa Guerrero, Esta- do de México, se haya consolidado como la más dinámica en los últimos treinta años han tenido que operar un sinnúmero de factores, entre los  que resalta la ventaja de la fuerza de trabajo tanto local e inmigrante. Las siguientes líneas dan cuenta de las principales características de la mano de obra que se emplea en esta </w:t>
      </w:r>
      <w:r>
        <w:rPr>
          <w:color w:val="231F20"/>
          <w:spacing w:val="51"/>
        </w:rPr>
        <w:t> </w:t>
      </w:r>
      <w:r>
        <w:rPr>
          <w:color w:val="231F20"/>
        </w:rPr>
        <w:t>actividad.</w:t>
      </w:r>
    </w:p>
    <w:p>
      <w:pPr>
        <w:pStyle w:val="BodyText"/>
        <w:rPr>
          <w:sz w:val="20"/>
        </w:rPr>
      </w:pPr>
    </w:p>
    <w:p>
      <w:pPr>
        <w:pStyle w:val="BodyText"/>
        <w:spacing w:before="7"/>
        <w:rPr>
          <w:sz w:val="19"/>
        </w:rPr>
      </w:pPr>
    </w:p>
    <w:p>
      <w:pPr>
        <w:pStyle w:val="Heading3"/>
        <w:rPr>
          <w:rFonts w:ascii="Tahoma" w:hAnsi="Tahoma"/>
        </w:rPr>
      </w:pPr>
      <w:r>
        <w:rPr>
          <w:rFonts w:ascii="Tahoma" w:hAnsi="Tahoma"/>
          <w:color w:val="231F20"/>
          <w:w w:val="95"/>
        </w:rPr>
        <w:t>La fuerza de trabajo y la migración en Villa Guerrero</w:t>
      </w:r>
    </w:p>
    <w:p>
      <w:pPr>
        <w:pStyle w:val="BodyText"/>
        <w:rPr>
          <w:rFonts w:ascii="Tahoma"/>
          <w:b/>
          <w:sz w:val="22"/>
        </w:rPr>
      </w:pPr>
    </w:p>
    <w:p>
      <w:pPr>
        <w:pStyle w:val="BodyText"/>
        <w:spacing w:line="261" w:lineRule="auto" w:before="152"/>
        <w:ind w:left="1837" w:right="1721"/>
        <w:jc w:val="both"/>
      </w:pPr>
      <w:r>
        <w:rPr>
          <w:color w:val="231F20"/>
          <w:w w:val="105"/>
        </w:rPr>
        <w:t>El municipio de Villa Guerrero se ha caracterizado por contar con po- blación</w:t>
      </w:r>
      <w:r>
        <w:rPr>
          <w:color w:val="231F20"/>
          <w:spacing w:val="-9"/>
          <w:w w:val="105"/>
        </w:rPr>
        <w:t> </w:t>
      </w:r>
      <w:r>
        <w:rPr>
          <w:color w:val="231F20"/>
          <w:w w:val="105"/>
        </w:rPr>
        <w:t>predominantemente</w:t>
      </w:r>
      <w:r>
        <w:rPr>
          <w:color w:val="231F20"/>
          <w:spacing w:val="-9"/>
          <w:w w:val="105"/>
        </w:rPr>
        <w:t> </w:t>
      </w:r>
      <w:r>
        <w:rPr>
          <w:color w:val="231F20"/>
          <w:w w:val="105"/>
        </w:rPr>
        <w:t>rural.</w:t>
      </w:r>
      <w:r>
        <w:rPr>
          <w:color w:val="231F20"/>
          <w:spacing w:val="-14"/>
          <w:w w:val="105"/>
        </w:rPr>
        <w:t> </w:t>
      </w:r>
      <w:r>
        <w:rPr>
          <w:color w:val="231F20"/>
          <w:spacing w:val="-4"/>
          <w:w w:val="105"/>
        </w:rPr>
        <w:t>Para</w:t>
      </w:r>
      <w:r>
        <w:rPr>
          <w:color w:val="231F20"/>
          <w:spacing w:val="-9"/>
          <w:w w:val="105"/>
        </w:rPr>
        <w:t> </w:t>
      </w:r>
      <w:r>
        <w:rPr>
          <w:color w:val="231F20"/>
          <w:w w:val="105"/>
        </w:rPr>
        <w:t>las</w:t>
      </w:r>
      <w:r>
        <w:rPr>
          <w:color w:val="231F20"/>
          <w:spacing w:val="-9"/>
          <w:w w:val="105"/>
        </w:rPr>
        <w:t> </w:t>
      </w:r>
      <w:r>
        <w:rPr>
          <w:color w:val="231F20"/>
          <w:w w:val="105"/>
        </w:rPr>
        <w:t>décadas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treinta</w:t>
      </w:r>
      <w:r>
        <w:rPr>
          <w:color w:val="231F20"/>
          <w:spacing w:val="-9"/>
          <w:w w:val="105"/>
        </w:rPr>
        <w:t> </w:t>
      </w:r>
      <w:r>
        <w:rPr>
          <w:color w:val="231F20"/>
          <w:w w:val="105"/>
        </w:rPr>
        <w:t>y</w:t>
      </w:r>
      <w:r>
        <w:rPr>
          <w:color w:val="231F20"/>
          <w:spacing w:val="-9"/>
          <w:w w:val="105"/>
        </w:rPr>
        <w:t> </w:t>
      </w:r>
      <w:r>
        <w:rPr>
          <w:color w:val="231F20"/>
          <w:w w:val="105"/>
        </w:rPr>
        <w:t>cua- renta, el municipio contaba con una población cien por ciento rural; sin embargo, a partir de mediados del siglo </w:t>
      </w:r>
      <w:r>
        <w:rPr>
          <w:color w:val="231F20"/>
          <w:w w:val="105"/>
          <w:sz w:val="17"/>
        </w:rPr>
        <w:t>XX </w:t>
      </w:r>
      <w:r>
        <w:rPr>
          <w:color w:val="231F20"/>
          <w:w w:val="105"/>
        </w:rPr>
        <w:t>se presentó un aumento en la</w:t>
      </w:r>
      <w:r>
        <w:rPr>
          <w:color w:val="231F20"/>
          <w:spacing w:val="-6"/>
          <w:w w:val="105"/>
        </w:rPr>
        <w:t> </w:t>
      </w:r>
      <w:r>
        <w:rPr>
          <w:color w:val="231F20"/>
          <w:w w:val="105"/>
        </w:rPr>
        <w:t>población</w:t>
      </w:r>
      <w:r>
        <w:rPr>
          <w:color w:val="231F20"/>
          <w:spacing w:val="-6"/>
          <w:w w:val="105"/>
        </w:rPr>
        <w:t> </w:t>
      </w:r>
      <w:r>
        <w:rPr>
          <w:color w:val="231F20"/>
          <w:w w:val="105"/>
        </w:rPr>
        <w:t>definida</w:t>
      </w:r>
      <w:r>
        <w:rPr>
          <w:color w:val="231F20"/>
          <w:spacing w:val="-6"/>
          <w:w w:val="105"/>
        </w:rPr>
        <w:t> </w:t>
      </w:r>
      <w:r>
        <w:rPr>
          <w:color w:val="231F20"/>
          <w:w w:val="105"/>
        </w:rPr>
        <w:t>como</w:t>
      </w:r>
      <w:r>
        <w:rPr>
          <w:color w:val="231F20"/>
          <w:spacing w:val="-6"/>
          <w:w w:val="105"/>
        </w:rPr>
        <w:t> </w:t>
      </w:r>
      <w:r>
        <w:rPr>
          <w:color w:val="231F20"/>
          <w:w w:val="105"/>
        </w:rPr>
        <w:t>urbana</w:t>
      </w:r>
      <w:r>
        <w:rPr>
          <w:color w:val="231F20"/>
          <w:w w:val="105"/>
          <w:position w:val="7"/>
          <w:sz w:val="12"/>
        </w:rPr>
        <w:t>8</w:t>
      </w:r>
      <w:r>
        <w:rPr>
          <w:color w:val="231F20"/>
          <w:w w:val="105"/>
        </w:rPr>
        <w:t>,</w:t>
      </w:r>
      <w:r>
        <w:rPr>
          <w:color w:val="231F20"/>
          <w:spacing w:val="-13"/>
          <w:w w:val="105"/>
        </w:rPr>
        <w:t> </w:t>
      </w:r>
      <w:r>
        <w:rPr>
          <w:color w:val="231F20"/>
          <w:w w:val="105"/>
        </w:rPr>
        <w:t>presencia</w:t>
      </w:r>
      <w:r>
        <w:rPr>
          <w:color w:val="231F20"/>
          <w:spacing w:val="-6"/>
          <w:w w:val="105"/>
        </w:rPr>
        <w:t> </w:t>
      </w:r>
      <w:r>
        <w:rPr>
          <w:color w:val="231F20"/>
          <w:w w:val="105"/>
        </w:rPr>
        <w:t>influida</w:t>
      </w:r>
      <w:r>
        <w:rPr>
          <w:color w:val="231F20"/>
          <w:spacing w:val="-6"/>
          <w:w w:val="105"/>
        </w:rPr>
        <w:t> </w:t>
      </w:r>
      <w:r>
        <w:rPr>
          <w:color w:val="231F20"/>
          <w:w w:val="105"/>
        </w:rPr>
        <w:t>sobre</w:t>
      </w:r>
      <w:r>
        <w:rPr>
          <w:color w:val="231F20"/>
          <w:spacing w:val="-6"/>
          <w:w w:val="105"/>
        </w:rPr>
        <w:t> </w:t>
      </w:r>
      <w:r>
        <w:rPr>
          <w:color w:val="231F20"/>
          <w:w w:val="105"/>
        </w:rPr>
        <w:t>todo</w:t>
      </w:r>
      <w:r>
        <w:rPr>
          <w:color w:val="231F20"/>
          <w:spacing w:val="-6"/>
          <w:w w:val="105"/>
        </w:rPr>
        <w:t> </w:t>
      </w:r>
      <w:r>
        <w:rPr>
          <w:color w:val="231F20"/>
          <w:w w:val="105"/>
        </w:rPr>
        <w:t>por</w:t>
      </w:r>
      <w:r>
        <w:rPr>
          <w:color w:val="231F20"/>
          <w:spacing w:val="-6"/>
          <w:w w:val="105"/>
        </w:rPr>
        <w:t> </w:t>
      </w:r>
      <w:r>
        <w:rPr>
          <w:color w:val="231F20"/>
          <w:w w:val="105"/>
        </w:rPr>
        <w:t>el crecimiento de la población en la cabecera municipal. </w:t>
      </w:r>
      <w:r>
        <w:rPr>
          <w:color w:val="231F20"/>
          <w:spacing w:val="-4"/>
          <w:w w:val="105"/>
        </w:rPr>
        <w:t>Para </w:t>
      </w:r>
      <w:r>
        <w:rPr>
          <w:color w:val="231F20"/>
          <w:w w:val="105"/>
        </w:rPr>
        <w:t>el año</w:t>
      </w:r>
      <w:r>
        <w:rPr>
          <w:color w:val="231F20"/>
          <w:spacing w:val="-27"/>
          <w:w w:val="105"/>
        </w:rPr>
        <w:t> </w:t>
      </w:r>
      <w:r>
        <w:rPr>
          <w:color w:val="231F20"/>
          <w:w w:val="105"/>
        </w:rPr>
        <w:t>2010 Villa Guerrero contaba con una población de 50,829 habitantes,  </w:t>
      </w:r>
      <w:r>
        <w:rPr>
          <w:color w:val="231F20"/>
          <w:spacing w:val="42"/>
          <w:w w:val="105"/>
        </w:rPr>
        <w:t> </w:t>
      </w:r>
      <w:r>
        <w:rPr>
          <w:color w:val="231F20"/>
          <w:w w:val="105"/>
        </w:rPr>
        <w:t>cuya</w:t>
      </w:r>
    </w:p>
    <w:p>
      <w:pPr>
        <w:pStyle w:val="BodyText"/>
        <w:rPr>
          <w:sz w:val="20"/>
        </w:rPr>
      </w:pPr>
    </w:p>
    <w:p>
      <w:pPr>
        <w:pStyle w:val="BodyText"/>
        <w:spacing w:before="10"/>
        <w:rPr>
          <w:sz w:val="19"/>
        </w:rPr>
      </w:pPr>
      <w:r>
        <w:rPr/>
        <w:pict>
          <v:line style="position:absolute;mso-position-horizontal-relative:page;mso-position-vertical-relative:paragraph;z-index:9760;mso-wrap-distance-left:0;mso-wrap-distance-right:0" from="91.866203pt,13.345667pt" to="205.252203pt,13.345667pt" stroked="true" strokeweight=".25pt" strokecolor="#231f20">
            <w10:wrap type="topAndBottom"/>
          </v:line>
        </w:pict>
      </w:r>
    </w:p>
    <w:p>
      <w:pPr>
        <w:spacing w:line="192" w:lineRule="exact" w:before="7"/>
        <w:ind w:left="1837" w:right="1721" w:hanging="1"/>
        <w:jc w:val="both"/>
        <w:rPr>
          <w:rFonts w:ascii="Calibri" w:hAnsi="Calibri"/>
          <w:sz w:val="16"/>
        </w:rPr>
      </w:pPr>
      <w:r>
        <w:rPr>
          <w:rFonts w:ascii="Calibri" w:hAnsi="Calibri"/>
          <w:color w:val="414042"/>
          <w:w w:val="105"/>
          <w:position w:val="5"/>
          <w:sz w:val="9"/>
        </w:rPr>
        <w:t>8 </w:t>
      </w:r>
      <w:r>
        <w:rPr>
          <w:rFonts w:ascii="Calibri" w:hAnsi="Calibri"/>
          <w:color w:val="414042"/>
          <w:w w:val="105"/>
          <w:sz w:val="16"/>
        </w:rPr>
        <w:t>Con apego al criterio definido por el Instituto Nacional de Geografía, Estadística e Informática (</w:t>
      </w:r>
      <w:r>
        <w:rPr>
          <w:rFonts w:ascii="Calibri" w:hAnsi="Calibri"/>
          <w:color w:val="414042"/>
          <w:w w:val="105"/>
          <w:sz w:val="13"/>
        </w:rPr>
        <w:t>INEGI</w:t>
      </w:r>
      <w:r>
        <w:rPr>
          <w:rFonts w:ascii="Calibri" w:hAnsi="Calibri"/>
          <w:color w:val="414042"/>
          <w:w w:val="105"/>
          <w:sz w:val="16"/>
        </w:rPr>
        <w:t>) son</w:t>
      </w:r>
      <w:r>
        <w:rPr>
          <w:rFonts w:ascii="Calibri" w:hAnsi="Calibri"/>
          <w:color w:val="414042"/>
          <w:spacing w:val="-9"/>
          <w:w w:val="105"/>
          <w:sz w:val="16"/>
        </w:rPr>
        <w:t> </w:t>
      </w:r>
      <w:r>
        <w:rPr>
          <w:rFonts w:ascii="Calibri" w:hAnsi="Calibri"/>
          <w:color w:val="414042"/>
          <w:w w:val="105"/>
          <w:sz w:val="16"/>
        </w:rPr>
        <w:t>localidades</w:t>
      </w:r>
      <w:r>
        <w:rPr>
          <w:rFonts w:ascii="Calibri" w:hAnsi="Calibri"/>
          <w:color w:val="414042"/>
          <w:spacing w:val="-9"/>
          <w:w w:val="105"/>
          <w:sz w:val="16"/>
        </w:rPr>
        <w:t> </w:t>
      </w:r>
      <w:r>
        <w:rPr>
          <w:rFonts w:ascii="Calibri" w:hAnsi="Calibri"/>
          <w:color w:val="414042"/>
          <w:w w:val="105"/>
          <w:sz w:val="16"/>
        </w:rPr>
        <w:t>urbanas</w:t>
      </w:r>
      <w:r>
        <w:rPr>
          <w:rFonts w:ascii="Calibri" w:hAnsi="Calibri"/>
          <w:color w:val="414042"/>
          <w:spacing w:val="-9"/>
          <w:w w:val="105"/>
          <w:sz w:val="16"/>
        </w:rPr>
        <w:t> </w:t>
      </w:r>
      <w:r>
        <w:rPr>
          <w:rFonts w:ascii="Calibri" w:hAnsi="Calibri"/>
          <w:color w:val="414042"/>
          <w:w w:val="105"/>
          <w:sz w:val="16"/>
        </w:rPr>
        <w:t>aquellas</w:t>
      </w:r>
      <w:r>
        <w:rPr>
          <w:rFonts w:ascii="Calibri" w:hAnsi="Calibri"/>
          <w:color w:val="414042"/>
          <w:spacing w:val="-9"/>
          <w:w w:val="105"/>
          <w:sz w:val="16"/>
        </w:rPr>
        <w:t> </w:t>
      </w:r>
      <w:r>
        <w:rPr>
          <w:rFonts w:ascii="Calibri" w:hAnsi="Calibri"/>
          <w:color w:val="414042"/>
          <w:w w:val="105"/>
          <w:sz w:val="16"/>
        </w:rPr>
        <w:t>que</w:t>
      </w:r>
      <w:r>
        <w:rPr>
          <w:rFonts w:ascii="Calibri" w:hAnsi="Calibri"/>
          <w:color w:val="414042"/>
          <w:spacing w:val="-9"/>
          <w:w w:val="105"/>
          <w:sz w:val="16"/>
        </w:rPr>
        <w:t> </w:t>
      </w:r>
      <w:r>
        <w:rPr>
          <w:rFonts w:ascii="Calibri" w:hAnsi="Calibri"/>
          <w:color w:val="414042"/>
          <w:w w:val="105"/>
          <w:sz w:val="16"/>
        </w:rPr>
        <w:t>cuentan</w:t>
      </w:r>
      <w:r>
        <w:rPr>
          <w:rFonts w:ascii="Calibri" w:hAnsi="Calibri"/>
          <w:color w:val="414042"/>
          <w:spacing w:val="-9"/>
          <w:w w:val="105"/>
          <w:sz w:val="16"/>
        </w:rPr>
        <w:t> </w:t>
      </w:r>
      <w:r>
        <w:rPr>
          <w:rFonts w:ascii="Calibri" w:hAnsi="Calibri"/>
          <w:color w:val="414042"/>
          <w:w w:val="105"/>
          <w:sz w:val="16"/>
        </w:rPr>
        <w:t>con</w:t>
      </w:r>
      <w:r>
        <w:rPr>
          <w:rFonts w:ascii="Calibri" w:hAnsi="Calibri"/>
          <w:color w:val="414042"/>
          <w:spacing w:val="-9"/>
          <w:w w:val="105"/>
          <w:sz w:val="16"/>
        </w:rPr>
        <w:t> </w:t>
      </w:r>
      <w:r>
        <w:rPr>
          <w:rFonts w:ascii="Calibri" w:hAnsi="Calibri"/>
          <w:color w:val="414042"/>
          <w:w w:val="105"/>
          <w:sz w:val="16"/>
        </w:rPr>
        <w:t>más</w:t>
      </w:r>
      <w:r>
        <w:rPr>
          <w:rFonts w:ascii="Calibri" w:hAnsi="Calibri"/>
          <w:color w:val="414042"/>
          <w:spacing w:val="-9"/>
          <w:w w:val="105"/>
          <w:sz w:val="16"/>
        </w:rPr>
        <w:t> </w:t>
      </w:r>
      <w:r>
        <w:rPr>
          <w:rFonts w:ascii="Calibri" w:hAnsi="Calibri"/>
          <w:color w:val="414042"/>
          <w:w w:val="105"/>
          <w:sz w:val="16"/>
        </w:rPr>
        <w:t>de</w:t>
      </w:r>
      <w:r>
        <w:rPr>
          <w:rFonts w:ascii="Calibri" w:hAnsi="Calibri"/>
          <w:color w:val="414042"/>
          <w:spacing w:val="-9"/>
          <w:w w:val="105"/>
          <w:sz w:val="16"/>
        </w:rPr>
        <w:t> </w:t>
      </w:r>
      <w:r>
        <w:rPr>
          <w:rFonts w:ascii="Calibri" w:hAnsi="Calibri"/>
          <w:color w:val="414042"/>
          <w:w w:val="105"/>
          <w:sz w:val="16"/>
        </w:rPr>
        <w:t>2</w:t>
      </w:r>
      <w:r>
        <w:rPr>
          <w:rFonts w:ascii="Calibri" w:hAnsi="Calibri"/>
          <w:color w:val="414042"/>
          <w:spacing w:val="-9"/>
          <w:w w:val="105"/>
          <w:sz w:val="16"/>
        </w:rPr>
        <w:t> </w:t>
      </w:r>
      <w:r>
        <w:rPr>
          <w:rFonts w:ascii="Calibri" w:hAnsi="Calibri"/>
          <w:color w:val="414042"/>
          <w:w w:val="105"/>
          <w:sz w:val="16"/>
        </w:rPr>
        <w:t>500</w:t>
      </w:r>
      <w:r>
        <w:rPr>
          <w:rFonts w:ascii="Calibri" w:hAnsi="Calibri"/>
          <w:color w:val="414042"/>
          <w:spacing w:val="-9"/>
          <w:w w:val="105"/>
          <w:sz w:val="16"/>
        </w:rPr>
        <w:t> </w:t>
      </w:r>
      <w:r>
        <w:rPr>
          <w:rFonts w:ascii="Calibri" w:hAnsi="Calibri"/>
          <w:color w:val="414042"/>
          <w:w w:val="105"/>
          <w:sz w:val="16"/>
        </w:rPr>
        <w:t>habitantes;</w:t>
      </w:r>
      <w:r>
        <w:rPr>
          <w:rFonts w:ascii="Calibri" w:hAnsi="Calibri"/>
          <w:color w:val="414042"/>
          <w:spacing w:val="-9"/>
          <w:w w:val="105"/>
          <w:sz w:val="16"/>
        </w:rPr>
        <w:t> </w:t>
      </w:r>
      <w:r>
        <w:rPr>
          <w:rFonts w:ascii="Calibri" w:hAnsi="Calibri"/>
          <w:color w:val="414042"/>
          <w:w w:val="105"/>
          <w:sz w:val="16"/>
        </w:rPr>
        <w:t>en</w:t>
      </w:r>
      <w:r>
        <w:rPr>
          <w:rFonts w:ascii="Calibri" w:hAnsi="Calibri"/>
          <w:color w:val="414042"/>
          <w:spacing w:val="-9"/>
          <w:w w:val="105"/>
          <w:sz w:val="16"/>
        </w:rPr>
        <w:t> </w:t>
      </w:r>
      <w:r>
        <w:rPr>
          <w:rFonts w:ascii="Calibri" w:hAnsi="Calibri"/>
          <w:color w:val="414042"/>
          <w:w w:val="105"/>
          <w:sz w:val="16"/>
        </w:rPr>
        <w:t>tanto</w:t>
      </w:r>
      <w:r>
        <w:rPr>
          <w:rFonts w:ascii="Calibri" w:hAnsi="Calibri"/>
          <w:color w:val="414042"/>
          <w:spacing w:val="-9"/>
          <w:w w:val="105"/>
          <w:sz w:val="16"/>
        </w:rPr>
        <w:t> </w:t>
      </w:r>
      <w:r>
        <w:rPr>
          <w:rFonts w:ascii="Calibri" w:hAnsi="Calibri"/>
          <w:color w:val="414042"/>
          <w:w w:val="105"/>
          <w:sz w:val="16"/>
        </w:rPr>
        <w:t>que</w:t>
      </w:r>
      <w:r>
        <w:rPr>
          <w:rFonts w:ascii="Calibri" w:hAnsi="Calibri"/>
          <w:color w:val="414042"/>
          <w:spacing w:val="-9"/>
          <w:w w:val="105"/>
          <w:sz w:val="16"/>
        </w:rPr>
        <w:t> </w:t>
      </w:r>
      <w:r>
        <w:rPr>
          <w:rFonts w:ascii="Calibri" w:hAnsi="Calibri"/>
          <w:color w:val="414042"/>
          <w:w w:val="105"/>
          <w:sz w:val="16"/>
        </w:rPr>
        <w:t>se</w:t>
      </w:r>
      <w:r>
        <w:rPr>
          <w:rFonts w:ascii="Calibri" w:hAnsi="Calibri"/>
          <w:color w:val="414042"/>
          <w:spacing w:val="-9"/>
          <w:w w:val="105"/>
          <w:sz w:val="16"/>
        </w:rPr>
        <w:t> </w:t>
      </w:r>
      <w:r>
        <w:rPr>
          <w:rFonts w:ascii="Calibri" w:hAnsi="Calibri"/>
          <w:color w:val="414042"/>
          <w:w w:val="105"/>
          <w:sz w:val="16"/>
        </w:rPr>
        <w:t>consideran localidades</w:t>
      </w:r>
      <w:r>
        <w:rPr>
          <w:rFonts w:ascii="Calibri" w:hAnsi="Calibri"/>
          <w:color w:val="414042"/>
          <w:spacing w:val="-13"/>
          <w:w w:val="105"/>
          <w:sz w:val="16"/>
        </w:rPr>
        <w:t> </w:t>
      </w:r>
      <w:r>
        <w:rPr>
          <w:rFonts w:ascii="Calibri" w:hAnsi="Calibri"/>
          <w:color w:val="414042"/>
          <w:w w:val="105"/>
          <w:sz w:val="16"/>
        </w:rPr>
        <w:t>rurales</w:t>
      </w:r>
      <w:r>
        <w:rPr>
          <w:rFonts w:ascii="Calibri" w:hAnsi="Calibri"/>
          <w:color w:val="414042"/>
          <w:spacing w:val="-13"/>
          <w:w w:val="105"/>
          <w:sz w:val="16"/>
        </w:rPr>
        <w:t> </w:t>
      </w:r>
      <w:r>
        <w:rPr>
          <w:rFonts w:ascii="Calibri" w:hAnsi="Calibri"/>
          <w:color w:val="414042"/>
          <w:w w:val="105"/>
          <w:sz w:val="16"/>
        </w:rPr>
        <w:t>las</w:t>
      </w:r>
      <w:r>
        <w:rPr>
          <w:rFonts w:ascii="Calibri" w:hAnsi="Calibri"/>
          <w:color w:val="414042"/>
          <w:spacing w:val="-13"/>
          <w:w w:val="105"/>
          <w:sz w:val="16"/>
        </w:rPr>
        <w:t> </w:t>
      </w:r>
      <w:r>
        <w:rPr>
          <w:rFonts w:ascii="Calibri" w:hAnsi="Calibri"/>
          <w:color w:val="414042"/>
          <w:w w:val="105"/>
          <w:sz w:val="16"/>
        </w:rPr>
        <w:t>que</w:t>
      </w:r>
      <w:r>
        <w:rPr>
          <w:rFonts w:ascii="Calibri" w:hAnsi="Calibri"/>
          <w:color w:val="414042"/>
          <w:spacing w:val="-13"/>
          <w:w w:val="105"/>
          <w:sz w:val="16"/>
        </w:rPr>
        <w:t> </w:t>
      </w:r>
      <w:r>
        <w:rPr>
          <w:rFonts w:ascii="Calibri" w:hAnsi="Calibri"/>
          <w:color w:val="414042"/>
          <w:w w:val="105"/>
          <w:sz w:val="16"/>
        </w:rPr>
        <w:t>están</w:t>
      </w:r>
      <w:r>
        <w:rPr>
          <w:rFonts w:ascii="Calibri" w:hAnsi="Calibri"/>
          <w:color w:val="414042"/>
          <w:spacing w:val="-13"/>
          <w:w w:val="105"/>
          <w:sz w:val="16"/>
        </w:rPr>
        <w:t> </w:t>
      </w:r>
      <w:r>
        <w:rPr>
          <w:rFonts w:ascii="Calibri" w:hAnsi="Calibri"/>
          <w:color w:val="414042"/>
          <w:w w:val="105"/>
          <w:sz w:val="16"/>
        </w:rPr>
        <w:t>por</w:t>
      </w:r>
      <w:r>
        <w:rPr>
          <w:rFonts w:ascii="Calibri" w:hAnsi="Calibri"/>
          <w:color w:val="414042"/>
          <w:spacing w:val="-13"/>
          <w:w w:val="105"/>
          <w:sz w:val="16"/>
        </w:rPr>
        <w:t> </w:t>
      </w:r>
      <w:r>
        <w:rPr>
          <w:rFonts w:ascii="Calibri" w:hAnsi="Calibri"/>
          <w:color w:val="414042"/>
          <w:w w:val="105"/>
          <w:sz w:val="16"/>
        </w:rPr>
        <w:t>debajo</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esta</w:t>
      </w:r>
      <w:r>
        <w:rPr>
          <w:rFonts w:ascii="Calibri" w:hAnsi="Calibri"/>
          <w:color w:val="414042"/>
          <w:spacing w:val="-13"/>
          <w:w w:val="105"/>
          <w:sz w:val="16"/>
        </w:rPr>
        <w:t> </w:t>
      </w:r>
      <w:r>
        <w:rPr>
          <w:rFonts w:ascii="Calibri" w:hAnsi="Calibri"/>
          <w:color w:val="414042"/>
          <w:w w:val="105"/>
          <w:sz w:val="16"/>
        </w:rPr>
        <w:t>cifra.</w:t>
      </w:r>
    </w:p>
    <w:p>
      <w:pPr>
        <w:spacing w:after="0" w:line="192" w:lineRule="exact"/>
        <w:jc w:val="both"/>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683"/>
      </w:pPr>
      <w:r>
        <w:rPr/>
        <w:pict>
          <v:line style="position:absolute;mso-position-horizontal-relative:page;mso-position-vertical-relative:paragraph;z-index:9952" from="15pt,-68.636444pt" to="0pt,-68.636444pt" stroked="true" strokeweight=".25pt" strokecolor="#000000">
            <w10:wrap type="none"/>
          </v:line>
        </w:pict>
      </w:r>
      <w:r>
        <w:rPr/>
        <w:pict>
          <v:line style="position:absolute;mso-position-horizontal-relative:page;mso-position-vertical-relative:paragraph;z-index:9976" from="508.890015pt,-68.636444pt" to="523.890015pt,-68.636444pt" stroked="true" strokeweight=".25pt" strokecolor="#000000">
            <w10:wrap type="none"/>
          </v:line>
        </w:pict>
      </w:r>
      <w:r>
        <w:rPr>
          <w:color w:val="231F20"/>
          <w:w w:val="105"/>
        </w:rPr>
        <w:t>proporción rural corresponde a 57.1% mientras que el resto es conside- rada como urbana</w:t>
      </w:r>
      <w:r>
        <w:rPr>
          <w:color w:val="231F20"/>
          <w:w w:val="105"/>
          <w:position w:val="7"/>
          <w:sz w:val="12"/>
        </w:rPr>
        <w:t>9</w:t>
      </w:r>
      <w:r>
        <w:rPr>
          <w:color w:val="231F20"/>
          <w:w w:val="105"/>
        </w:rPr>
        <w:t>.</w:t>
      </w:r>
    </w:p>
    <w:p>
      <w:pPr>
        <w:pStyle w:val="BodyText"/>
        <w:spacing w:line="261" w:lineRule="auto" w:before="1"/>
        <w:ind w:left="1723" w:right="1772" w:firstLine="567"/>
        <w:jc w:val="right"/>
      </w:pPr>
      <w:r>
        <w:rPr>
          <w:color w:val="231F20"/>
          <w:spacing w:val="-3"/>
          <w:w w:val="105"/>
        </w:rPr>
        <w:t>Sumado </w:t>
      </w:r>
      <w:r>
        <w:rPr>
          <w:color w:val="231F20"/>
          <w:w w:val="105"/>
        </w:rPr>
        <w:t>a la </w:t>
      </w:r>
      <w:r>
        <w:rPr>
          <w:color w:val="231F20"/>
          <w:spacing w:val="-3"/>
          <w:w w:val="105"/>
        </w:rPr>
        <w:t>característica mayoritariamente rural </w:t>
      </w:r>
      <w:r>
        <w:rPr>
          <w:color w:val="231F20"/>
          <w:w w:val="105"/>
        </w:rPr>
        <w:t>de la</w:t>
      </w:r>
      <w:r>
        <w:rPr>
          <w:color w:val="231F20"/>
          <w:spacing w:val="6"/>
          <w:w w:val="105"/>
        </w:rPr>
        <w:t> </w:t>
      </w:r>
      <w:r>
        <w:rPr>
          <w:color w:val="231F20"/>
          <w:spacing w:val="-3"/>
          <w:w w:val="105"/>
        </w:rPr>
        <w:t>población,</w:t>
      </w:r>
      <w:r>
        <w:rPr>
          <w:color w:val="231F20"/>
          <w:spacing w:val="-3"/>
          <w:w w:val="106"/>
        </w:rPr>
        <w:t> </w:t>
      </w:r>
      <w:r>
        <w:rPr>
          <w:color w:val="231F20"/>
          <w:spacing w:val="-3"/>
          <w:w w:val="105"/>
        </w:rPr>
        <w:t>pueden</w:t>
      </w:r>
      <w:r>
        <w:rPr>
          <w:color w:val="231F20"/>
          <w:spacing w:val="-19"/>
          <w:w w:val="105"/>
        </w:rPr>
        <w:t> </w:t>
      </w:r>
      <w:r>
        <w:rPr>
          <w:color w:val="231F20"/>
          <w:spacing w:val="-3"/>
          <w:w w:val="105"/>
        </w:rPr>
        <w:t>observarse</w:t>
      </w:r>
      <w:r>
        <w:rPr>
          <w:color w:val="231F20"/>
          <w:spacing w:val="-19"/>
          <w:w w:val="105"/>
        </w:rPr>
        <w:t> </w:t>
      </w:r>
      <w:r>
        <w:rPr>
          <w:color w:val="231F20"/>
          <w:spacing w:val="-3"/>
          <w:w w:val="105"/>
        </w:rPr>
        <w:t>otras</w:t>
      </w:r>
      <w:r>
        <w:rPr>
          <w:color w:val="231F20"/>
          <w:spacing w:val="-19"/>
          <w:w w:val="105"/>
        </w:rPr>
        <w:t> </w:t>
      </w:r>
      <w:r>
        <w:rPr>
          <w:color w:val="231F20"/>
          <w:spacing w:val="-3"/>
          <w:w w:val="105"/>
        </w:rPr>
        <w:t>características</w:t>
      </w:r>
      <w:r>
        <w:rPr>
          <w:color w:val="231F20"/>
          <w:spacing w:val="-19"/>
          <w:w w:val="105"/>
        </w:rPr>
        <w:t> </w:t>
      </w:r>
      <w:r>
        <w:rPr>
          <w:color w:val="231F20"/>
          <w:spacing w:val="-3"/>
          <w:w w:val="105"/>
        </w:rPr>
        <w:t>sociodemográficas</w:t>
      </w:r>
      <w:r>
        <w:rPr>
          <w:color w:val="231F20"/>
          <w:spacing w:val="-19"/>
          <w:w w:val="105"/>
        </w:rPr>
        <w:t> </w:t>
      </w:r>
      <w:r>
        <w:rPr>
          <w:color w:val="231F20"/>
          <w:w w:val="105"/>
        </w:rPr>
        <w:t>y</w:t>
      </w:r>
      <w:r>
        <w:rPr>
          <w:color w:val="231F20"/>
          <w:spacing w:val="-19"/>
          <w:w w:val="105"/>
        </w:rPr>
        <w:t> </w:t>
      </w:r>
      <w:r>
        <w:rPr>
          <w:color w:val="231F20"/>
          <w:spacing w:val="-3"/>
          <w:w w:val="105"/>
        </w:rPr>
        <w:t>socioeconó-</w:t>
      </w:r>
      <w:r>
        <w:rPr>
          <w:color w:val="231F20"/>
          <w:w w:val="96"/>
        </w:rPr>
        <w:t> </w:t>
      </w:r>
      <w:r>
        <w:rPr>
          <w:color w:val="231F20"/>
          <w:spacing w:val="-3"/>
          <w:w w:val="105"/>
        </w:rPr>
        <w:t>micas</w:t>
      </w:r>
      <w:r>
        <w:rPr>
          <w:color w:val="231F20"/>
          <w:spacing w:val="-29"/>
          <w:w w:val="105"/>
        </w:rPr>
        <w:t> </w:t>
      </w:r>
      <w:r>
        <w:rPr>
          <w:color w:val="231F20"/>
          <w:spacing w:val="-3"/>
          <w:w w:val="105"/>
        </w:rPr>
        <w:t>vinculadas,</w:t>
      </w:r>
      <w:r>
        <w:rPr>
          <w:color w:val="231F20"/>
          <w:spacing w:val="-34"/>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spacing w:val="-3"/>
          <w:w w:val="105"/>
        </w:rPr>
        <w:t>contexto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actividad</w:t>
      </w:r>
      <w:r>
        <w:rPr>
          <w:color w:val="231F20"/>
          <w:spacing w:val="-29"/>
          <w:w w:val="105"/>
        </w:rPr>
        <w:t> </w:t>
      </w:r>
      <w:r>
        <w:rPr>
          <w:color w:val="231F20"/>
          <w:spacing w:val="-3"/>
          <w:w w:val="105"/>
        </w:rPr>
        <w:t>florícola,</w:t>
      </w:r>
      <w:r>
        <w:rPr>
          <w:color w:val="231F20"/>
          <w:spacing w:val="-34"/>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spacing w:val="-3"/>
          <w:w w:val="105"/>
        </w:rPr>
        <w:t>calidad</w:t>
      </w:r>
      <w:r>
        <w:rPr>
          <w:color w:val="231F20"/>
          <w:spacing w:val="-29"/>
          <w:w w:val="105"/>
        </w:rPr>
        <w:t> </w:t>
      </w:r>
      <w:r>
        <w:rPr>
          <w:color w:val="231F20"/>
          <w:w w:val="105"/>
        </w:rPr>
        <w:t>de</w:t>
      </w:r>
      <w:r>
        <w:rPr>
          <w:color w:val="231F20"/>
          <w:spacing w:val="-29"/>
          <w:w w:val="105"/>
        </w:rPr>
        <w:t> </w:t>
      </w:r>
      <w:r>
        <w:rPr>
          <w:color w:val="231F20"/>
          <w:spacing w:val="-3"/>
          <w:w w:val="105"/>
        </w:rPr>
        <w:t>vida</w:t>
      </w:r>
      <w:r>
        <w:rPr>
          <w:color w:val="231F20"/>
          <w:spacing w:val="-3"/>
          <w:w w:val="103"/>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población</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spacing w:val="-3"/>
          <w:w w:val="105"/>
        </w:rPr>
        <w:t>calidad</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mano</w:t>
      </w:r>
      <w:r>
        <w:rPr>
          <w:color w:val="231F20"/>
          <w:spacing w:val="-14"/>
          <w:w w:val="105"/>
        </w:rPr>
        <w:t> </w:t>
      </w:r>
      <w:r>
        <w:rPr>
          <w:color w:val="231F20"/>
          <w:w w:val="105"/>
        </w:rPr>
        <w:t>de</w:t>
      </w:r>
      <w:r>
        <w:rPr>
          <w:color w:val="231F20"/>
          <w:spacing w:val="-14"/>
          <w:w w:val="105"/>
        </w:rPr>
        <w:t> </w:t>
      </w:r>
      <w:r>
        <w:rPr>
          <w:color w:val="231F20"/>
          <w:spacing w:val="-3"/>
          <w:w w:val="105"/>
        </w:rPr>
        <w:t>obra</w:t>
      </w:r>
      <w:r>
        <w:rPr>
          <w:color w:val="231F20"/>
          <w:spacing w:val="-14"/>
          <w:w w:val="105"/>
        </w:rPr>
        <w:t> </w:t>
      </w:r>
      <w:r>
        <w:rPr>
          <w:color w:val="231F20"/>
          <w:spacing w:val="-3"/>
          <w:w w:val="105"/>
        </w:rPr>
        <w:t>utilizada</w:t>
      </w:r>
      <w:r>
        <w:rPr>
          <w:color w:val="231F20"/>
          <w:spacing w:val="-14"/>
          <w:w w:val="105"/>
        </w:rPr>
        <w:t> </w:t>
      </w:r>
      <w:r>
        <w:rPr>
          <w:color w:val="231F20"/>
          <w:w w:val="105"/>
        </w:rPr>
        <w:t>en</w:t>
      </w:r>
      <w:r>
        <w:rPr>
          <w:color w:val="231F20"/>
          <w:spacing w:val="-14"/>
          <w:w w:val="105"/>
        </w:rPr>
        <w:t> </w:t>
      </w:r>
      <w:r>
        <w:rPr>
          <w:color w:val="231F20"/>
          <w:spacing w:val="-3"/>
          <w:w w:val="105"/>
        </w:rPr>
        <w:t>esta</w:t>
      </w:r>
      <w:r>
        <w:rPr>
          <w:color w:val="231F20"/>
          <w:spacing w:val="-14"/>
          <w:w w:val="105"/>
        </w:rPr>
        <w:t> </w:t>
      </w:r>
      <w:r>
        <w:rPr>
          <w:color w:val="231F20"/>
          <w:spacing w:val="-3"/>
          <w:w w:val="105"/>
        </w:rPr>
        <w:t>actividad.</w:t>
      </w:r>
      <w:r>
        <w:rPr>
          <w:color w:val="231F20"/>
          <w:spacing w:val="-3"/>
          <w:w w:val="104"/>
        </w:rPr>
        <w:t> </w:t>
      </w:r>
      <w:r>
        <w:rPr>
          <w:color w:val="231F20"/>
          <w:w w:val="105"/>
        </w:rPr>
        <w:t>Los</w:t>
      </w:r>
      <w:r>
        <w:rPr>
          <w:color w:val="231F20"/>
          <w:spacing w:val="-20"/>
          <w:w w:val="105"/>
        </w:rPr>
        <w:t> </w:t>
      </w:r>
      <w:r>
        <w:rPr>
          <w:color w:val="231F20"/>
          <w:w w:val="105"/>
        </w:rPr>
        <w:t>datos</w:t>
      </w:r>
      <w:r>
        <w:rPr>
          <w:color w:val="231F20"/>
          <w:spacing w:val="-20"/>
          <w:w w:val="105"/>
        </w:rPr>
        <w:t> </w:t>
      </w:r>
      <w:r>
        <w:rPr>
          <w:color w:val="231F20"/>
          <w:w w:val="105"/>
        </w:rPr>
        <w:t>censales</w:t>
      </w:r>
      <w:r>
        <w:rPr>
          <w:color w:val="231F20"/>
          <w:spacing w:val="-20"/>
          <w:w w:val="105"/>
        </w:rPr>
        <w:t> </w:t>
      </w:r>
      <w:r>
        <w:rPr>
          <w:color w:val="231F20"/>
          <w:w w:val="105"/>
        </w:rPr>
        <w:t>a</w:t>
      </w:r>
      <w:r>
        <w:rPr>
          <w:color w:val="231F20"/>
          <w:spacing w:val="-20"/>
          <w:w w:val="105"/>
        </w:rPr>
        <w:t> </w:t>
      </w:r>
      <w:r>
        <w:rPr>
          <w:color w:val="231F20"/>
          <w:w w:val="105"/>
        </w:rPr>
        <w:t>través</w:t>
      </w:r>
      <w:r>
        <w:rPr>
          <w:color w:val="231F20"/>
          <w:spacing w:val="-20"/>
          <w:w w:val="105"/>
        </w:rPr>
        <w:t> </w:t>
      </w:r>
      <w:r>
        <w:rPr>
          <w:color w:val="231F20"/>
          <w:w w:val="105"/>
        </w:rPr>
        <w:t>del</w:t>
      </w:r>
      <w:r>
        <w:rPr>
          <w:color w:val="231F20"/>
          <w:spacing w:val="-20"/>
          <w:w w:val="105"/>
        </w:rPr>
        <w:t> </w:t>
      </w:r>
      <w:r>
        <w:rPr>
          <w:color w:val="231F20"/>
          <w:w w:val="105"/>
        </w:rPr>
        <w:t>tiempo</w:t>
      </w:r>
      <w:r>
        <w:rPr>
          <w:color w:val="231F20"/>
          <w:spacing w:val="-20"/>
          <w:w w:val="105"/>
        </w:rPr>
        <w:t> </w:t>
      </w:r>
      <w:r>
        <w:rPr>
          <w:color w:val="231F20"/>
          <w:w w:val="105"/>
        </w:rPr>
        <w:t>muestran</w:t>
      </w:r>
      <w:r>
        <w:rPr>
          <w:color w:val="231F20"/>
          <w:spacing w:val="-20"/>
          <w:w w:val="105"/>
        </w:rPr>
        <w:t> </w:t>
      </w:r>
      <w:r>
        <w:rPr>
          <w:color w:val="231F20"/>
          <w:w w:val="105"/>
        </w:rPr>
        <w:t>que</w:t>
      </w:r>
      <w:r>
        <w:rPr>
          <w:color w:val="231F20"/>
          <w:spacing w:val="-20"/>
          <w:w w:val="105"/>
        </w:rPr>
        <w:t> </w:t>
      </w:r>
      <w:r>
        <w:rPr>
          <w:color w:val="231F20"/>
          <w:w w:val="105"/>
        </w:rPr>
        <w:t>un</w:t>
      </w:r>
      <w:r>
        <w:rPr>
          <w:color w:val="231F20"/>
          <w:spacing w:val="-20"/>
          <w:w w:val="105"/>
        </w:rPr>
        <w:t> </w:t>
      </w:r>
      <w:r>
        <w:rPr>
          <w:color w:val="231F20"/>
          <w:w w:val="105"/>
        </w:rPr>
        <w:t>porcentaje</w:t>
      </w:r>
      <w:r>
        <w:rPr>
          <w:color w:val="231F20"/>
          <w:w w:val="102"/>
        </w:rPr>
        <w:t> </w:t>
      </w:r>
      <w:r>
        <w:rPr>
          <w:color w:val="231F20"/>
          <w:w w:val="105"/>
        </w:rPr>
        <w:t>significativo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se</w:t>
      </w:r>
      <w:r>
        <w:rPr>
          <w:color w:val="231F20"/>
          <w:spacing w:val="-16"/>
          <w:w w:val="105"/>
        </w:rPr>
        <w:t> </w:t>
      </w:r>
      <w:r>
        <w:rPr>
          <w:color w:val="231F20"/>
          <w:w w:val="105"/>
        </w:rPr>
        <w:t>encuentra</w:t>
      </w:r>
      <w:r>
        <w:rPr>
          <w:color w:val="231F20"/>
          <w:spacing w:val="-16"/>
          <w:w w:val="105"/>
        </w:rPr>
        <w:t> </w:t>
      </w:r>
      <w:r>
        <w:rPr>
          <w:color w:val="231F20"/>
          <w:w w:val="105"/>
        </w:rPr>
        <w:t>en</w:t>
      </w:r>
      <w:r>
        <w:rPr>
          <w:color w:val="231F20"/>
          <w:spacing w:val="-16"/>
          <w:w w:val="105"/>
        </w:rPr>
        <w:t> </w:t>
      </w:r>
      <w:r>
        <w:rPr>
          <w:color w:val="231F20"/>
          <w:w w:val="105"/>
        </w:rPr>
        <w:t>condición</w:t>
      </w:r>
      <w:r>
        <w:rPr>
          <w:color w:val="231F20"/>
          <w:spacing w:val="-16"/>
          <w:w w:val="105"/>
        </w:rPr>
        <w:t> </w:t>
      </w:r>
      <w:r>
        <w:rPr>
          <w:color w:val="231F20"/>
          <w:w w:val="105"/>
        </w:rPr>
        <w:t>de</w:t>
      </w:r>
      <w:r>
        <w:rPr>
          <w:color w:val="231F20"/>
          <w:spacing w:val="-16"/>
          <w:w w:val="105"/>
        </w:rPr>
        <w:t> </w:t>
      </w:r>
      <w:r>
        <w:rPr>
          <w:color w:val="231F20"/>
          <w:w w:val="105"/>
        </w:rPr>
        <w:t>analfabetismo.</w:t>
      </w:r>
    </w:p>
    <w:p>
      <w:pPr>
        <w:pStyle w:val="BodyText"/>
        <w:spacing w:line="261" w:lineRule="auto" w:before="1"/>
        <w:ind w:left="1723" w:right="1712"/>
      </w:pPr>
      <w:r>
        <w:rPr>
          <w:color w:val="231F20"/>
          <w:w w:val="105"/>
        </w:rPr>
        <w:t>El último censo muestra que en Villa Guerrero 9% de la población de 15 años y más estaba en condición de analfabetismo (</w:t>
      </w:r>
      <w:r>
        <w:rPr>
          <w:color w:val="231F20"/>
          <w:w w:val="105"/>
          <w:sz w:val="17"/>
        </w:rPr>
        <w:t>INEGI</w:t>
      </w:r>
      <w:r>
        <w:rPr>
          <w:color w:val="231F20"/>
          <w:w w:val="105"/>
        </w:rPr>
        <w:t>, 2010).</w:t>
      </w:r>
    </w:p>
    <w:p>
      <w:pPr>
        <w:pStyle w:val="BodyText"/>
        <w:spacing w:line="261" w:lineRule="auto" w:before="1"/>
        <w:ind w:left="1723" w:right="1778" w:firstLine="567"/>
        <w:jc w:val="both"/>
      </w:pPr>
      <w:r>
        <w:rPr>
          <w:color w:val="231F20"/>
          <w:spacing w:val="-3"/>
          <w:w w:val="105"/>
        </w:rPr>
        <w:t>Según</w:t>
      </w:r>
      <w:r>
        <w:rPr>
          <w:color w:val="231F20"/>
          <w:spacing w:val="-16"/>
          <w:w w:val="105"/>
        </w:rPr>
        <w:t> </w:t>
      </w:r>
      <w:r>
        <w:rPr>
          <w:color w:val="231F20"/>
          <w:w w:val="105"/>
        </w:rPr>
        <w:t>el</w:t>
      </w:r>
      <w:r>
        <w:rPr>
          <w:color w:val="231F20"/>
          <w:spacing w:val="-16"/>
          <w:w w:val="105"/>
        </w:rPr>
        <w:t> </w:t>
      </w:r>
      <w:r>
        <w:rPr>
          <w:color w:val="231F20"/>
          <w:spacing w:val="-3"/>
          <w:w w:val="105"/>
        </w:rPr>
        <w:t>Consejo</w:t>
      </w:r>
      <w:r>
        <w:rPr>
          <w:color w:val="231F20"/>
          <w:spacing w:val="-16"/>
          <w:w w:val="105"/>
        </w:rPr>
        <w:t> </w:t>
      </w:r>
      <w:r>
        <w:rPr>
          <w:color w:val="231F20"/>
          <w:spacing w:val="-3"/>
          <w:w w:val="105"/>
        </w:rPr>
        <w:t>Nacional</w:t>
      </w:r>
      <w:r>
        <w:rPr>
          <w:color w:val="231F20"/>
          <w:spacing w:val="-16"/>
          <w:w w:val="105"/>
        </w:rPr>
        <w:t> </w:t>
      </w:r>
      <w:r>
        <w:rPr>
          <w:color w:val="231F20"/>
          <w:w w:val="105"/>
        </w:rPr>
        <w:t>de</w:t>
      </w:r>
      <w:r>
        <w:rPr>
          <w:color w:val="231F20"/>
          <w:spacing w:val="-16"/>
          <w:w w:val="105"/>
        </w:rPr>
        <w:t> </w:t>
      </w:r>
      <w:r>
        <w:rPr>
          <w:color w:val="231F20"/>
          <w:spacing w:val="-5"/>
          <w:w w:val="105"/>
        </w:rPr>
        <w:t>Población</w:t>
      </w:r>
      <w:r>
        <w:rPr>
          <w:color w:val="231F20"/>
          <w:spacing w:val="-16"/>
          <w:w w:val="105"/>
        </w:rPr>
        <w:t> </w:t>
      </w:r>
      <w:r>
        <w:rPr>
          <w:color w:val="231F20"/>
          <w:spacing w:val="-3"/>
          <w:w w:val="105"/>
        </w:rPr>
        <w:t>(2010)</w:t>
      </w:r>
      <w:r>
        <w:rPr>
          <w:color w:val="231F20"/>
          <w:spacing w:val="-16"/>
          <w:w w:val="105"/>
        </w:rPr>
        <w:t> </w:t>
      </w:r>
      <w:r>
        <w:rPr>
          <w:color w:val="231F20"/>
          <w:w w:val="105"/>
        </w:rPr>
        <w:t>el</w:t>
      </w:r>
      <w:r>
        <w:rPr>
          <w:color w:val="231F20"/>
          <w:spacing w:val="-16"/>
          <w:w w:val="105"/>
        </w:rPr>
        <w:t> </w:t>
      </w:r>
      <w:r>
        <w:rPr>
          <w:color w:val="231F20"/>
          <w:spacing w:val="-3"/>
          <w:w w:val="105"/>
        </w:rPr>
        <w:t>municipio</w:t>
      </w:r>
      <w:r>
        <w:rPr>
          <w:color w:val="231F20"/>
          <w:spacing w:val="-16"/>
          <w:w w:val="105"/>
        </w:rPr>
        <w:t> </w:t>
      </w:r>
      <w:r>
        <w:rPr>
          <w:color w:val="231F20"/>
          <w:w w:val="105"/>
        </w:rPr>
        <w:t>de</w:t>
      </w:r>
      <w:r>
        <w:rPr>
          <w:color w:val="231F20"/>
          <w:spacing w:val="-20"/>
          <w:w w:val="105"/>
        </w:rPr>
        <w:t> </w:t>
      </w:r>
      <w:r>
        <w:rPr>
          <w:color w:val="231F20"/>
          <w:spacing w:val="-4"/>
          <w:w w:val="105"/>
        </w:rPr>
        <w:t>Villa Guerrero </w:t>
      </w:r>
      <w:r>
        <w:rPr>
          <w:color w:val="231F20"/>
          <w:spacing w:val="-3"/>
          <w:w w:val="105"/>
        </w:rPr>
        <w:t>tiene </w:t>
      </w:r>
      <w:r>
        <w:rPr>
          <w:color w:val="231F20"/>
          <w:w w:val="105"/>
        </w:rPr>
        <w:t>un </w:t>
      </w:r>
      <w:r>
        <w:rPr>
          <w:color w:val="231F20"/>
          <w:spacing w:val="-3"/>
          <w:w w:val="105"/>
        </w:rPr>
        <w:t>grado </w:t>
      </w:r>
      <w:r>
        <w:rPr>
          <w:color w:val="231F20"/>
          <w:w w:val="105"/>
        </w:rPr>
        <w:t>de </w:t>
      </w:r>
      <w:r>
        <w:rPr>
          <w:color w:val="231F20"/>
          <w:spacing w:val="-3"/>
          <w:w w:val="105"/>
        </w:rPr>
        <w:t>marginación medio. </w:t>
      </w:r>
      <w:r>
        <w:rPr>
          <w:color w:val="231F20"/>
          <w:spacing w:val="-6"/>
          <w:w w:val="105"/>
        </w:rPr>
        <w:t>Para </w:t>
      </w:r>
      <w:r>
        <w:rPr>
          <w:color w:val="231F20"/>
          <w:w w:val="105"/>
        </w:rPr>
        <w:t>el año </w:t>
      </w:r>
      <w:r>
        <w:rPr>
          <w:color w:val="231F20"/>
          <w:spacing w:val="-3"/>
          <w:w w:val="105"/>
        </w:rPr>
        <w:t>2010 </w:t>
      </w:r>
      <w:r>
        <w:rPr>
          <w:color w:val="231F20"/>
          <w:w w:val="105"/>
        </w:rPr>
        <w:t>en </w:t>
      </w:r>
      <w:r>
        <w:rPr>
          <w:color w:val="231F20"/>
          <w:spacing w:val="-4"/>
          <w:w w:val="105"/>
        </w:rPr>
        <w:t>Villa Guerrero</w:t>
      </w:r>
      <w:r>
        <w:rPr>
          <w:color w:val="231F20"/>
          <w:spacing w:val="-24"/>
          <w:w w:val="105"/>
        </w:rPr>
        <w:t> </w:t>
      </w:r>
      <w:r>
        <w:rPr>
          <w:color w:val="231F20"/>
          <w:spacing w:val="-3"/>
          <w:w w:val="105"/>
        </w:rPr>
        <w:t>9.4%</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spacing w:val="-3"/>
          <w:w w:val="105"/>
        </w:rPr>
        <w:t>población</w:t>
      </w:r>
      <w:r>
        <w:rPr>
          <w:color w:val="231F20"/>
          <w:spacing w:val="-24"/>
          <w:w w:val="105"/>
        </w:rPr>
        <w:t> </w:t>
      </w:r>
      <w:r>
        <w:rPr>
          <w:color w:val="231F20"/>
          <w:spacing w:val="-3"/>
          <w:w w:val="105"/>
        </w:rPr>
        <w:t>habitaba</w:t>
      </w:r>
      <w:r>
        <w:rPr>
          <w:color w:val="231F20"/>
          <w:spacing w:val="-24"/>
          <w:w w:val="105"/>
        </w:rPr>
        <w:t> </w:t>
      </w:r>
      <w:r>
        <w:rPr>
          <w:color w:val="231F20"/>
          <w:w w:val="105"/>
        </w:rPr>
        <w:t>en</w:t>
      </w:r>
      <w:r>
        <w:rPr>
          <w:color w:val="231F20"/>
          <w:spacing w:val="-24"/>
          <w:w w:val="105"/>
        </w:rPr>
        <w:t> </w:t>
      </w:r>
      <w:r>
        <w:rPr>
          <w:color w:val="231F20"/>
          <w:spacing w:val="-3"/>
          <w:w w:val="105"/>
        </w:rPr>
        <w:t>viviendas</w:t>
      </w:r>
      <w:r>
        <w:rPr>
          <w:color w:val="231F20"/>
          <w:spacing w:val="-24"/>
          <w:w w:val="105"/>
        </w:rPr>
        <w:t> </w:t>
      </w:r>
      <w:r>
        <w:rPr>
          <w:color w:val="231F20"/>
          <w:w w:val="105"/>
        </w:rPr>
        <w:t>sin</w:t>
      </w:r>
      <w:r>
        <w:rPr>
          <w:color w:val="231F20"/>
          <w:spacing w:val="-24"/>
          <w:w w:val="105"/>
        </w:rPr>
        <w:t> </w:t>
      </w:r>
      <w:r>
        <w:rPr>
          <w:color w:val="231F20"/>
          <w:spacing w:val="-3"/>
          <w:w w:val="105"/>
        </w:rPr>
        <w:t>drenaje</w:t>
      </w:r>
      <w:r>
        <w:rPr>
          <w:color w:val="231F20"/>
          <w:spacing w:val="-24"/>
          <w:w w:val="105"/>
        </w:rPr>
        <w:t> </w:t>
      </w:r>
      <w:r>
        <w:rPr>
          <w:color w:val="231F20"/>
          <w:w w:val="105"/>
        </w:rPr>
        <w:t>ni</w:t>
      </w:r>
      <w:r>
        <w:rPr>
          <w:color w:val="231F20"/>
          <w:spacing w:val="-24"/>
          <w:w w:val="105"/>
        </w:rPr>
        <w:t> </w:t>
      </w:r>
      <w:r>
        <w:rPr>
          <w:color w:val="231F20"/>
          <w:spacing w:val="-3"/>
          <w:w w:val="105"/>
        </w:rPr>
        <w:t>servicio sanitario;</w:t>
      </w:r>
      <w:r>
        <w:rPr>
          <w:color w:val="231F20"/>
          <w:spacing w:val="-15"/>
          <w:w w:val="105"/>
        </w:rPr>
        <w:t> </w:t>
      </w:r>
      <w:r>
        <w:rPr>
          <w:color w:val="231F20"/>
          <w:spacing w:val="-3"/>
          <w:w w:val="105"/>
        </w:rPr>
        <w:t>2.2%</w:t>
      </w:r>
      <w:r>
        <w:rPr>
          <w:color w:val="231F20"/>
          <w:spacing w:val="-15"/>
          <w:w w:val="105"/>
        </w:rPr>
        <w:t> </w:t>
      </w:r>
      <w:r>
        <w:rPr>
          <w:color w:val="231F20"/>
          <w:spacing w:val="-3"/>
          <w:w w:val="105"/>
        </w:rPr>
        <w:t>habitaba</w:t>
      </w:r>
      <w:r>
        <w:rPr>
          <w:color w:val="231F20"/>
          <w:spacing w:val="-15"/>
          <w:w w:val="105"/>
        </w:rPr>
        <w:t> </w:t>
      </w:r>
      <w:r>
        <w:rPr>
          <w:color w:val="231F20"/>
          <w:w w:val="105"/>
        </w:rPr>
        <w:t>en</w:t>
      </w:r>
      <w:r>
        <w:rPr>
          <w:color w:val="231F20"/>
          <w:spacing w:val="-15"/>
          <w:w w:val="105"/>
        </w:rPr>
        <w:t> </w:t>
      </w:r>
      <w:r>
        <w:rPr>
          <w:color w:val="231F20"/>
          <w:spacing w:val="-3"/>
          <w:w w:val="105"/>
        </w:rPr>
        <w:t>viviendas</w:t>
      </w:r>
      <w:r>
        <w:rPr>
          <w:color w:val="231F20"/>
          <w:spacing w:val="-15"/>
          <w:w w:val="105"/>
        </w:rPr>
        <w:t> </w:t>
      </w:r>
      <w:r>
        <w:rPr>
          <w:color w:val="231F20"/>
          <w:w w:val="105"/>
        </w:rPr>
        <w:t>sin</w:t>
      </w:r>
      <w:r>
        <w:rPr>
          <w:color w:val="231F20"/>
          <w:spacing w:val="-15"/>
          <w:w w:val="105"/>
        </w:rPr>
        <w:t> </w:t>
      </w:r>
      <w:r>
        <w:rPr>
          <w:color w:val="231F20"/>
          <w:spacing w:val="-3"/>
          <w:w w:val="105"/>
        </w:rPr>
        <w:t>energía</w:t>
      </w:r>
      <w:r>
        <w:rPr>
          <w:color w:val="231F20"/>
          <w:spacing w:val="-15"/>
          <w:w w:val="105"/>
        </w:rPr>
        <w:t> </w:t>
      </w:r>
      <w:r>
        <w:rPr>
          <w:color w:val="231F20"/>
          <w:spacing w:val="-3"/>
          <w:w w:val="105"/>
        </w:rPr>
        <w:t>eléctrica;</w:t>
      </w:r>
      <w:r>
        <w:rPr>
          <w:color w:val="231F20"/>
          <w:spacing w:val="-15"/>
          <w:w w:val="105"/>
        </w:rPr>
        <w:t> </w:t>
      </w:r>
      <w:r>
        <w:rPr>
          <w:color w:val="231F20"/>
          <w:spacing w:val="-3"/>
          <w:w w:val="105"/>
        </w:rPr>
        <w:t>8.2%</w:t>
      </w:r>
      <w:r>
        <w:rPr>
          <w:color w:val="231F20"/>
          <w:spacing w:val="-15"/>
          <w:w w:val="105"/>
        </w:rPr>
        <w:t> </w:t>
      </w:r>
      <w:r>
        <w:rPr>
          <w:color w:val="231F20"/>
          <w:w w:val="105"/>
        </w:rPr>
        <w:t>no</w:t>
      </w:r>
      <w:r>
        <w:rPr>
          <w:color w:val="231F20"/>
          <w:spacing w:val="-15"/>
          <w:w w:val="105"/>
        </w:rPr>
        <w:t> </w:t>
      </w:r>
      <w:r>
        <w:rPr>
          <w:color w:val="231F20"/>
          <w:spacing w:val="-3"/>
          <w:w w:val="105"/>
        </w:rPr>
        <w:t>dispo- </w:t>
      </w:r>
      <w:r>
        <w:rPr>
          <w:color w:val="231F20"/>
          <w:w w:val="105"/>
        </w:rPr>
        <w:t>nía de </w:t>
      </w:r>
      <w:r>
        <w:rPr>
          <w:color w:val="231F20"/>
          <w:spacing w:val="-3"/>
          <w:w w:val="105"/>
        </w:rPr>
        <w:t>agua entubada; 50.1% </w:t>
      </w:r>
      <w:r>
        <w:rPr>
          <w:color w:val="231F20"/>
          <w:w w:val="105"/>
        </w:rPr>
        <w:t>de las </w:t>
      </w:r>
      <w:r>
        <w:rPr>
          <w:color w:val="231F20"/>
          <w:spacing w:val="-3"/>
          <w:w w:val="105"/>
        </w:rPr>
        <w:t>viviendas presentaba algún nivel de hacinamiento (</w:t>
      </w:r>
      <w:r>
        <w:rPr>
          <w:color w:val="231F20"/>
          <w:spacing w:val="-3"/>
          <w:w w:val="105"/>
          <w:sz w:val="17"/>
        </w:rPr>
        <w:t>CONAPO</w:t>
      </w:r>
      <w:r>
        <w:rPr>
          <w:color w:val="231F20"/>
          <w:spacing w:val="-3"/>
          <w:w w:val="105"/>
        </w:rPr>
        <w:t>, 2011). </w:t>
      </w:r>
      <w:r>
        <w:rPr>
          <w:color w:val="231F20"/>
          <w:w w:val="105"/>
        </w:rPr>
        <w:t>El </w:t>
      </w:r>
      <w:r>
        <w:rPr>
          <w:color w:val="231F20"/>
          <w:spacing w:val="-3"/>
          <w:w w:val="105"/>
        </w:rPr>
        <w:t>marcado crecimiento </w:t>
      </w:r>
      <w:r>
        <w:rPr>
          <w:color w:val="231F20"/>
          <w:w w:val="105"/>
        </w:rPr>
        <w:t>de la </w:t>
      </w:r>
      <w:r>
        <w:rPr>
          <w:color w:val="231F20"/>
          <w:spacing w:val="-3"/>
          <w:w w:val="105"/>
        </w:rPr>
        <w:t>floricultura </w:t>
      </w:r>
      <w:r>
        <w:rPr>
          <w:color w:val="231F20"/>
          <w:w w:val="105"/>
        </w:rPr>
        <w:t>a </w:t>
      </w:r>
      <w:r>
        <w:rPr>
          <w:color w:val="231F20"/>
          <w:spacing w:val="-3"/>
          <w:w w:val="105"/>
        </w:rPr>
        <w:t>nivel</w:t>
      </w:r>
      <w:r>
        <w:rPr>
          <w:color w:val="231F20"/>
          <w:spacing w:val="-21"/>
          <w:w w:val="105"/>
        </w:rPr>
        <w:t> </w:t>
      </w:r>
      <w:r>
        <w:rPr>
          <w:color w:val="231F20"/>
          <w:spacing w:val="-3"/>
          <w:w w:val="105"/>
        </w:rPr>
        <w:t>local</w:t>
      </w:r>
      <w:r>
        <w:rPr>
          <w:color w:val="231F20"/>
          <w:spacing w:val="-21"/>
          <w:w w:val="105"/>
        </w:rPr>
        <w:t> </w:t>
      </w:r>
      <w:r>
        <w:rPr>
          <w:color w:val="231F20"/>
          <w:w w:val="105"/>
        </w:rPr>
        <w:t>y</w:t>
      </w:r>
      <w:r>
        <w:rPr>
          <w:color w:val="231F20"/>
          <w:spacing w:val="-21"/>
          <w:w w:val="105"/>
        </w:rPr>
        <w:t> </w:t>
      </w:r>
      <w:r>
        <w:rPr>
          <w:color w:val="231F20"/>
          <w:w w:val="105"/>
        </w:rPr>
        <w:t>su</w:t>
      </w:r>
      <w:r>
        <w:rPr>
          <w:color w:val="231F20"/>
          <w:spacing w:val="18"/>
          <w:w w:val="105"/>
        </w:rPr>
        <w:t> </w:t>
      </w:r>
      <w:r>
        <w:rPr>
          <w:color w:val="231F20"/>
          <w:spacing w:val="-3"/>
          <w:w w:val="105"/>
        </w:rPr>
        <w:t>creciente</w:t>
      </w:r>
      <w:r>
        <w:rPr>
          <w:color w:val="231F20"/>
          <w:spacing w:val="-21"/>
          <w:w w:val="105"/>
        </w:rPr>
        <w:t> </w:t>
      </w:r>
      <w:r>
        <w:rPr>
          <w:color w:val="231F20"/>
          <w:spacing w:val="-3"/>
          <w:w w:val="105"/>
        </w:rPr>
        <w:t>relación</w:t>
      </w:r>
      <w:r>
        <w:rPr>
          <w:color w:val="231F20"/>
          <w:spacing w:val="-21"/>
          <w:w w:val="105"/>
        </w:rPr>
        <w:t> </w:t>
      </w:r>
      <w:r>
        <w:rPr>
          <w:color w:val="231F20"/>
          <w:w w:val="105"/>
        </w:rPr>
        <w:t>con</w:t>
      </w:r>
      <w:r>
        <w:rPr>
          <w:color w:val="231F20"/>
          <w:spacing w:val="-21"/>
          <w:w w:val="105"/>
        </w:rPr>
        <w:t> </w:t>
      </w:r>
      <w:r>
        <w:rPr>
          <w:color w:val="231F20"/>
          <w:w w:val="105"/>
        </w:rPr>
        <w:t>los</w:t>
      </w:r>
      <w:r>
        <w:rPr>
          <w:color w:val="231F20"/>
          <w:spacing w:val="-21"/>
          <w:w w:val="105"/>
        </w:rPr>
        <w:t> </w:t>
      </w:r>
      <w:r>
        <w:rPr>
          <w:color w:val="231F20"/>
          <w:spacing w:val="-3"/>
          <w:w w:val="105"/>
        </w:rPr>
        <w:t>mercados</w:t>
      </w:r>
      <w:r>
        <w:rPr>
          <w:color w:val="231F20"/>
          <w:spacing w:val="-21"/>
          <w:w w:val="105"/>
        </w:rPr>
        <w:t> </w:t>
      </w:r>
      <w:r>
        <w:rPr>
          <w:color w:val="231F20"/>
          <w:spacing w:val="-3"/>
          <w:w w:val="105"/>
        </w:rPr>
        <w:t>internacionales,</w:t>
      </w:r>
      <w:r>
        <w:rPr>
          <w:color w:val="231F20"/>
          <w:spacing w:val="-27"/>
          <w:w w:val="105"/>
        </w:rPr>
        <w:t> </w:t>
      </w:r>
      <w:r>
        <w:rPr>
          <w:color w:val="231F20"/>
          <w:spacing w:val="-3"/>
          <w:w w:val="105"/>
        </w:rPr>
        <w:t>harían suponer</w:t>
      </w:r>
      <w:r>
        <w:rPr>
          <w:color w:val="231F20"/>
          <w:spacing w:val="-9"/>
          <w:w w:val="105"/>
        </w:rPr>
        <w:t> </w:t>
      </w:r>
      <w:r>
        <w:rPr>
          <w:color w:val="231F20"/>
          <w:w w:val="105"/>
        </w:rPr>
        <w:t>un</w:t>
      </w:r>
      <w:r>
        <w:rPr>
          <w:color w:val="231F20"/>
          <w:spacing w:val="-9"/>
          <w:w w:val="105"/>
        </w:rPr>
        <w:t> </w:t>
      </w:r>
      <w:r>
        <w:rPr>
          <w:color w:val="231F20"/>
          <w:spacing w:val="-3"/>
          <w:w w:val="105"/>
        </w:rPr>
        <w:t>nivel</w:t>
      </w:r>
      <w:r>
        <w:rPr>
          <w:color w:val="231F20"/>
          <w:spacing w:val="-9"/>
          <w:w w:val="105"/>
        </w:rPr>
        <w:t> </w:t>
      </w:r>
      <w:r>
        <w:rPr>
          <w:color w:val="231F20"/>
          <w:w w:val="105"/>
        </w:rPr>
        <w:t>de</w:t>
      </w:r>
      <w:r>
        <w:rPr>
          <w:color w:val="231F20"/>
          <w:spacing w:val="-9"/>
          <w:w w:val="105"/>
        </w:rPr>
        <w:t> </w:t>
      </w:r>
      <w:r>
        <w:rPr>
          <w:color w:val="231F20"/>
          <w:spacing w:val="-3"/>
          <w:w w:val="105"/>
        </w:rPr>
        <w:t>vida</w:t>
      </w:r>
      <w:r>
        <w:rPr>
          <w:color w:val="231F20"/>
          <w:spacing w:val="-9"/>
          <w:w w:val="105"/>
        </w:rPr>
        <w:t> </w:t>
      </w:r>
      <w:r>
        <w:rPr>
          <w:color w:val="231F20"/>
          <w:spacing w:val="-3"/>
          <w:w w:val="105"/>
        </w:rPr>
        <w:t>adecuado</w:t>
      </w:r>
      <w:r>
        <w:rPr>
          <w:color w:val="231F20"/>
          <w:spacing w:val="-9"/>
          <w:w w:val="105"/>
        </w:rPr>
        <w:t> </w:t>
      </w:r>
      <w:r>
        <w:rPr>
          <w:color w:val="231F20"/>
          <w:spacing w:val="-3"/>
          <w:w w:val="105"/>
        </w:rPr>
        <w:t>para</w:t>
      </w:r>
      <w:r>
        <w:rPr>
          <w:color w:val="231F20"/>
          <w:spacing w:val="-9"/>
          <w:w w:val="105"/>
        </w:rPr>
        <w:t> </w:t>
      </w:r>
      <w:r>
        <w:rPr>
          <w:color w:val="231F20"/>
          <w:w w:val="105"/>
        </w:rPr>
        <w:t>la</w:t>
      </w:r>
      <w:r>
        <w:rPr>
          <w:color w:val="231F20"/>
          <w:spacing w:val="-9"/>
          <w:w w:val="105"/>
        </w:rPr>
        <w:t> </w:t>
      </w:r>
      <w:r>
        <w:rPr>
          <w:color w:val="231F20"/>
          <w:spacing w:val="-3"/>
          <w:w w:val="105"/>
        </w:rPr>
        <w:t>población.</w:t>
      </w:r>
      <w:r>
        <w:rPr>
          <w:color w:val="231F20"/>
          <w:spacing w:val="-15"/>
          <w:w w:val="105"/>
        </w:rPr>
        <w:t> </w:t>
      </w:r>
      <w:r>
        <w:rPr>
          <w:color w:val="231F20"/>
          <w:spacing w:val="-4"/>
          <w:w w:val="105"/>
        </w:rPr>
        <w:t>Empero,</w:t>
      </w:r>
      <w:r>
        <w:rPr>
          <w:color w:val="231F20"/>
          <w:spacing w:val="-15"/>
          <w:w w:val="105"/>
        </w:rPr>
        <w:t> </w:t>
      </w:r>
      <w:r>
        <w:rPr>
          <w:color w:val="231F20"/>
          <w:w w:val="105"/>
        </w:rPr>
        <w:t>los</w:t>
      </w:r>
      <w:r>
        <w:rPr>
          <w:color w:val="231F20"/>
          <w:spacing w:val="-9"/>
          <w:w w:val="105"/>
        </w:rPr>
        <w:t> </w:t>
      </w:r>
      <w:r>
        <w:rPr>
          <w:color w:val="231F20"/>
          <w:spacing w:val="-3"/>
          <w:w w:val="105"/>
        </w:rPr>
        <w:t>índices </w:t>
      </w:r>
      <w:r>
        <w:rPr>
          <w:color w:val="231F20"/>
          <w:w w:val="105"/>
        </w:rPr>
        <w:t>de</w:t>
      </w:r>
      <w:r>
        <w:rPr>
          <w:color w:val="231F20"/>
          <w:spacing w:val="-27"/>
          <w:w w:val="105"/>
        </w:rPr>
        <w:t> </w:t>
      </w:r>
      <w:r>
        <w:rPr>
          <w:color w:val="231F20"/>
          <w:spacing w:val="-3"/>
          <w:w w:val="105"/>
        </w:rPr>
        <w:t>marginación</w:t>
      </w:r>
      <w:r>
        <w:rPr>
          <w:color w:val="231F20"/>
          <w:spacing w:val="-27"/>
          <w:w w:val="105"/>
        </w:rPr>
        <w:t> </w:t>
      </w:r>
      <w:r>
        <w:rPr>
          <w:color w:val="231F20"/>
          <w:spacing w:val="-3"/>
          <w:w w:val="105"/>
        </w:rPr>
        <w:t>muestran</w:t>
      </w:r>
      <w:r>
        <w:rPr>
          <w:color w:val="231F20"/>
          <w:spacing w:val="-27"/>
          <w:w w:val="105"/>
        </w:rPr>
        <w:t> </w:t>
      </w:r>
      <w:r>
        <w:rPr>
          <w:color w:val="231F20"/>
          <w:w w:val="105"/>
        </w:rPr>
        <w:t>que</w:t>
      </w:r>
      <w:r>
        <w:rPr>
          <w:color w:val="231F20"/>
          <w:spacing w:val="-27"/>
          <w:w w:val="105"/>
        </w:rPr>
        <w:t> </w:t>
      </w:r>
      <w:r>
        <w:rPr>
          <w:color w:val="231F20"/>
          <w:w w:val="105"/>
        </w:rPr>
        <w:t>no</w:t>
      </w:r>
      <w:r>
        <w:rPr>
          <w:color w:val="231F20"/>
          <w:spacing w:val="-27"/>
          <w:w w:val="105"/>
        </w:rPr>
        <w:t> </w:t>
      </w:r>
      <w:r>
        <w:rPr>
          <w:color w:val="231F20"/>
          <w:spacing w:val="-3"/>
          <w:w w:val="105"/>
        </w:rPr>
        <w:t>necesariamente</w:t>
      </w:r>
      <w:r>
        <w:rPr>
          <w:color w:val="231F20"/>
          <w:spacing w:val="-27"/>
          <w:w w:val="105"/>
        </w:rPr>
        <w:t> </w:t>
      </w:r>
      <w:r>
        <w:rPr>
          <w:color w:val="231F20"/>
          <w:w w:val="105"/>
        </w:rPr>
        <w:t>es</w:t>
      </w:r>
      <w:r>
        <w:rPr>
          <w:color w:val="231F20"/>
          <w:spacing w:val="-27"/>
          <w:w w:val="105"/>
        </w:rPr>
        <w:t> </w:t>
      </w:r>
      <w:r>
        <w:rPr>
          <w:color w:val="231F20"/>
          <w:spacing w:val="-3"/>
          <w:w w:val="105"/>
        </w:rPr>
        <w:t>así.</w:t>
      </w:r>
    </w:p>
    <w:p>
      <w:pPr>
        <w:pStyle w:val="BodyText"/>
        <w:spacing w:line="261" w:lineRule="auto" w:before="1"/>
        <w:ind w:left="1723" w:right="1778" w:firstLine="567"/>
        <w:jc w:val="both"/>
      </w:pPr>
      <w:r>
        <w:rPr>
          <w:color w:val="231F20"/>
          <w:w w:val="105"/>
        </w:rPr>
        <w:t>En</w:t>
      </w:r>
      <w:r>
        <w:rPr>
          <w:color w:val="231F20"/>
          <w:spacing w:val="-15"/>
          <w:w w:val="105"/>
        </w:rPr>
        <w:t> </w:t>
      </w:r>
      <w:r>
        <w:rPr>
          <w:color w:val="231F20"/>
          <w:spacing w:val="-3"/>
          <w:w w:val="105"/>
        </w:rPr>
        <w:t>cuanto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spacing w:val="-3"/>
          <w:w w:val="105"/>
        </w:rPr>
        <w:t>estructura</w:t>
      </w:r>
      <w:r>
        <w:rPr>
          <w:color w:val="231F20"/>
          <w:spacing w:val="-15"/>
          <w:w w:val="105"/>
        </w:rPr>
        <w:t> </w:t>
      </w:r>
      <w:r>
        <w:rPr>
          <w:color w:val="231F20"/>
          <w:w w:val="105"/>
        </w:rPr>
        <w:t>por</w:t>
      </w:r>
      <w:r>
        <w:rPr>
          <w:color w:val="231F20"/>
          <w:spacing w:val="-15"/>
          <w:w w:val="105"/>
        </w:rPr>
        <w:t> </w:t>
      </w:r>
      <w:r>
        <w:rPr>
          <w:color w:val="231F20"/>
          <w:spacing w:val="-3"/>
          <w:w w:val="105"/>
        </w:rPr>
        <w:t>edad</w:t>
      </w:r>
      <w:r>
        <w:rPr>
          <w:color w:val="231F20"/>
          <w:spacing w:val="-15"/>
          <w:w w:val="105"/>
        </w:rPr>
        <w:t> </w:t>
      </w:r>
      <w:r>
        <w:rPr>
          <w:color w:val="231F20"/>
          <w:w w:val="105"/>
        </w:rPr>
        <w:t>y</w:t>
      </w:r>
      <w:r>
        <w:rPr>
          <w:color w:val="231F20"/>
          <w:spacing w:val="-15"/>
          <w:w w:val="105"/>
        </w:rPr>
        <w:t> </w:t>
      </w:r>
      <w:r>
        <w:rPr>
          <w:color w:val="231F20"/>
          <w:spacing w:val="-3"/>
          <w:w w:val="105"/>
        </w:rPr>
        <w:t>sexo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rPr>
        <w:t>población,</w:t>
      </w:r>
      <w:r>
        <w:rPr>
          <w:color w:val="231F20"/>
          <w:spacing w:val="-20"/>
          <w:w w:val="105"/>
        </w:rPr>
        <w:t> </w:t>
      </w:r>
      <w:r>
        <w:rPr>
          <w:color w:val="231F20"/>
          <w:w w:val="105"/>
        </w:rPr>
        <w:t>el</w:t>
      </w:r>
      <w:r>
        <w:rPr>
          <w:color w:val="231F20"/>
          <w:spacing w:val="-15"/>
          <w:w w:val="105"/>
        </w:rPr>
        <w:t> </w:t>
      </w:r>
      <w:r>
        <w:rPr>
          <w:color w:val="231F20"/>
          <w:spacing w:val="-3"/>
          <w:w w:val="105"/>
        </w:rPr>
        <w:t>análisis comprueba </w:t>
      </w:r>
      <w:r>
        <w:rPr>
          <w:color w:val="231F20"/>
          <w:w w:val="105"/>
        </w:rPr>
        <w:t>que es una </w:t>
      </w:r>
      <w:r>
        <w:rPr>
          <w:color w:val="231F20"/>
          <w:spacing w:val="-3"/>
          <w:w w:val="105"/>
        </w:rPr>
        <w:t>población </w:t>
      </w:r>
      <w:r>
        <w:rPr>
          <w:color w:val="231F20"/>
          <w:w w:val="105"/>
        </w:rPr>
        <w:t>que aún no ha </w:t>
      </w:r>
      <w:r>
        <w:rPr>
          <w:color w:val="231F20"/>
          <w:spacing w:val="-3"/>
          <w:w w:val="105"/>
        </w:rPr>
        <w:t>pasado </w:t>
      </w:r>
      <w:r>
        <w:rPr>
          <w:color w:val="231F20"/>
          <w:w w:val="105"/>
        </w:rPr>
        <w:t>por la </w:t>
      </w:r>
      <w:r>
        <w:rPr>
          <w:color w:val="231F20"/>
          <w:spacing w:val="-3"/>
          <w:w w:val="105"/>
        </w:rPr>
        <w:t>conocida transición demográfica </w:t>
      </w:r>
      <w:r>
        <w:rPr>
          <w:color w:val="231F20"/>
          <w:w w:val="105"/>
        </w:rPr>
        <w:t>en la que la </w:t>
      </w:r>
      <w:r>
        <w:rPr>
          <w:color w:val="231F20"/>
          <w:spacing w:val="-3"/>
          <w:w w:val="105"/>
        </w:rPr>
        <w:t>población envejece </w:t>
      </w:r>
      <w:r>
        <w:rPr>
          <w:color w:val="231F20"/>
          <w:w w:val="105"/>
        </w:rPr>
        <w:t>y </w:t>
      </w:r>
      <w:r>
        <w:rPr>
          <w:color w:val="231F20"/>
          <w:spacing w:val="-3"/>
          <w:w w:val="105"/>
        </w:rPr>
        <w:t>disminuyen las capas</w:t>
      </w:r>
      <w:r>
        <w:rPr>
          <w:color w:val="231F20"/>
          <w:spacing w:val="-21"/>
          <w:w w:val="105"/>
        </w:rPr>
        <w:t> </w:t>
      </w:r>
      <w:r>
        <w:rPr>
          <w:color w:val="231F20"/>
          <w:w w:val="105"/>
        </w:rPr>
        <w:t>de</w:t>
      </w:r>
      <w:r>
        <w:rPr>
          <w:color w:val="231F20"/>
          <w:spacing w:val="-21"/>
          <w:w w:val="105"/>
        </w:rPr>
        <w:t> </w:t>
      </w:r>
      <w:r>
        <w:rPr>
          <w:color w:val="231F20"/>
          <w:spacing w:val="-3"/>
          <w:w w:val="105"/>
        </w:rPr>
        <w:t>población</w:t>
      </w:r>
      <w:r>
        <w:rPr>
          <w:color w:val="231F20"/>
          <w:spacing w:val="-21"/>
          <w:w w:val="105"/>
        </w:rPr>
        <w:t> </w:t>
      </w:r>
      <w:r>
        <w:rPr>
          <w:color w:val="231F20"/>
          <w:w w:val="105"/>
        </w:rPr>
        <w:t>en</w:t>
      </w:r>
      <w:r>
        <w:rPr>
          <w:color w:val="231F20"/>
          <w:spacing w:val="-21"/>
          <w:w w:val="105"/>
        </w:rPr>
        <w:t> </w:t>
      </w:r>
      <w:r>
        <w:rPr>
          <w:color w:val="231F20"/>
          <w:spacing w:val="-3"/>
          <w:w w:val="105"/>
        </w:rPr>
        <w:t>edades</w:t>
      </w:r>
      <w:r>
        <w:rPr>
          <w:color w:val="231F20"/>
          <w:spacing w:val="-21"/>
          <w:w w:val="105"/>
        </w:rPr>
        <w:t> </w:t>
      </w:r>
      <w:r>
        <w:rPr>
          <w:color w:val="231F20"/>
          <w:spacing w:val="-3"/>
          <w:w w:val="105"/>
        </w:rPr>
        <w:t>tempranas.</w:t>
      </w:r>
      <w:r>
        <w:rPr>
          <w:color w:val="231F20"/>
          <w:spacing w:val="-27"/>
          <w:w w:val="105"/>
        </w:rPr>
        <w:t> </w:t>
      </w:r>
      <w:r>
        <w:rPr>
          <w:color w:val="231F20"/>
          <w:w w:val="105"/>
        </w:rPr>
        <w:t>De</w:t>
      </w:r>
      <w:r>
        <w:rPr>
          <w:color w:val="231F20"/>
          <w:spacing w:val="-21"/>
          <w:w w:val="105"/>
        </w:rPr>
        <w:t> </w:t>
      </w:r>
      <w:r>
        <w:rPr>
          <w:color w:val="231F20"/>
          <w:spacing w:val="-3"/>
          <w:w w:val="105"/>
        </w:rPr>
        <w:t>hecho,</w:t>
      </w:r>
      <w:r>
        <w:rPr>
          <w:color w:val="231F20"/>
          <w:spacing w:val="-27"/>
          <w:w w:val="105"/>
        </w:rPr>
        <w:t> </w:t>
      </w:r>
      <w:r>
        <w:rPr>
          <w:color w:val="231F20"/>
          <w:w w:val="105"/>
        </w:rPr>
        <w:t>la</w:t>
      </w:r>
      <w:r>
        <w:rPr>
          <w:color w:val="231F20"/>
          <w:spacing w:val="-21"/>
          <w:w w:val="105"/>
        </w:rPr>
        <w:t> </w:t>
      </w:r>
      <w:r>
        <w:rPr>
          <w:color w:val="231F20"/>
          <w:spacing w:val="-3"/>
          <w:w w:val="105"/>
        </w:rPr>
        <w:t>población</w:t>
      </w:r>
      <w:r>
        <w:rPr>
          <w:color w:val="231F20"/>
          <w:spacing w:val="-21"/>
          <w:w w:val="105"/>
        </w:rPr>
        <w:t> </w:t>
      </w:r>
      <w:r>
        <w:rPr>
          <w:color w:val="231F20"/>
          <w:spacing w:val="-3"/>
          <w:w w:val="105"/>
        </w:rPr>
        <w:t>villague- </w:t>
      </w:r>
      <w:r>
        <w:rPr>
          <w:color w:val="231F20"/>
          <w:spacing w:val="-4"/>
          <w:w w:val="105"/>
        </w:rPr>
        <w:t>rrerense</w:t>
      </w:r>
      <w:r>
        <w:rPr>
          <w:color w:val="231F20"/>
          <w:spacing w:val="-16"/>
          <w:w w:val="105"/>
        </w:rPr>
        <w:t> </w:t>
      </w:r>
      <w:r>
        <w:rPr>
          <w:color w:val="231F20"/>
          <w:w w:val="105"/>
        </w:rPr>
        <w:t>es</w:t>
      </w:r>
      <w:r>
        <w:rPr>
          <w:color w:val="231F20"/>
          <w:spacing w:val="-16"/>
          <w:w w:val="105"/>
        </w:rPr>
        <w:t> </w:t>
      </w:r>
      <w:r>
        <w:rPr>
          <w:color w:val="231F20"/>
          <w:w w:val="105"/>
        </w:rPr>
        <w:t>una</w:t>
      </w:r>
      <w:r>
        <w:rPr>
          <w:color w:val="231F20"/>
          <w:spacing w:val="-16"/>
          <w:w w:val="105"/>
        </w:rPr>
        <w:t> </w:t>
      </w:r>
      <w:r>
        <w:rPr>
          <w:color w:val="231F20"/>
          <w:spacing w:val="-3"/>
          <w:w w:val="105"/>
        </w:rPr>
        <w:t>población</w:t>
      </w:r>
      <w:r>
        <w:rPr>
          <w:color w:val="231F20"/>
          <w:spacing w:val="-16"/>
          <w:w w:val="105"/>
        </w:rPr>
        <w:t> </w:t>
      </w:r>
      <w:r>
        <w:rPr>
          <w:color w:val="231F20"/>
          <w:spacing w:val="-3"/>
          <w:w w:val="105"/>
        </w:rPr>
        <w:t>mayoritariamente</w:t>
      </w:r>
      <w:r>
        <w:rPr>
          <w:color w:val="231F20"/>
          <w:spacing w:val="-16"/>
          <w:w w:val="105"/>
        </w:rPr>
        <w:t> </w:t>
      </w:r>
      <w:r>
        <w:rPr>
          <w:color w:val="231F20"/>
          <w:spacing w:val="-3"/>
          <w:w w:val="105"/>
        </w:rPr>
        <w:t>joven</w:t>
      </w:r>
      <w:r>
        <w:rPr>
          <w:color w:val="231F20"/>
          <w:spacing w:val="-16"/>
          <w:w w:val="105"/>
        </w:rPr>
        <w:t> </w:t>
      </w:r>
      <w:r>
        <w:rPr>
          <w:color w:val="231F20"/>
          <w:w w:val="105"/>
        </w:rPr>
        <w:t>y</w:t>
      </w:r>
      <w:r>
        <w:rPr>
          <w:color w:val="231F20"/>
          <w:spacing w:val="-16"/>
          <w:w w:val="105"/>
        </w:rPr>
        <w:t> </w:t>
      </w:r>
      <w:r>
        <w:rPr>
          <w:color w:val="231F20"/>
          <w:w w:val="105"/>
        </w:rPr>
        <w:t>en</w:t>
      </w:r>
      <w:r>
        <w:rPr>
          <w:color w:val="231F20"/>
          <w:spacing w:val="-16"/>
          <w:w w:val="105"/>
        </w:rPr>
        <w:t> </w:t>
      </w:r>
      <w:r>
        <w:rPr>
          <w:color w:val="231F20"/>
          <w:spacing w:val="-3"/>
          <w:w w:val="105"/>
        </w:rPr>
        <w:t>edad</w:t>
      </w:r>
      <w:r>
        <w:rPr>
          <w:color w:val="231F20"/>
          <w:spacing w:val="-16"/>
          <w:w w:val="105"/>
        </w:rPr>
        <w:t> </w:t>
      </w:r>
      <w:r>
        <w:rPr>
          <w:color w:val="231F20"/>
          <w:spacing w:val="-4"/>
          <w:w w:val="105"/>
        </w:rPr>
        <w:t>productiva.</w:t>
      </w:r>
    </w:p>
    <w:p>
      <w:pPr>
        <w:pStyle w:val="BodyText"/>
        <w:spacing w:line="261" w:lineRule="auto" w:before="1"/>
        <w:ind w:left="1723" w:right="1771" w:firstLine="567"/>
        <w:jc w:val="both"/>
      </w:pPr>
      <w:r>
        <w:rPr>
          <w:color w:val="231F20"/>
          <w:w w:val="105"/>
        </w:rPr>
        <w:t>Un</w:t>
      </w:r>
      <w:r>
        <w:rPr>
          <w:color w:val="231F20"/>
          <w:spacing w:val="-22"/>
          <w:w w:val="105"/>
        </w:rPr>
        <w:t> </w:t>
      </w:r>
      <w:r>
        <w:rPr>
          <w:color w:val="231F20"/>
          <w:spacing w:val="-3"/>
          <w:w w:val="105"/>
        </w:rPr>
        <w:t>factor</w:t>
      </w:r>
      <w:r>
        <w:rPr>
          <w:color w:val="231F20"/>
          <w:spacing w:val="-22"/>
          <w:w w:val="105"/>
        </w:rPr>
        <w:t> </w:t>
      </w:r>
      <w:r>
        <w:rPr>
          <w:color w:val="231F20"/>
          <w:spacing w:val="-3"/>
          <w:w w:val="105"/>
        </w:rPr>
        <w:t>importante</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spacing w:val="-3"/>
          <w:w w:val="105"/>
        </w:rPr>
        <w:t>observa</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spacing w:val="-3"/>
          <w:w w:val="105"/>
        </w:rPr>
        <w:t>estructura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3"/>
          <w:w w:val="105"/>
        </w:rPr>
        <w:t>población, sobre</w:t>
      </w:r>
      <w:r>
        <w:rPr>
          <w:color w:val="231F20"/>
          <w:spacing w:val="-16"/>
          <w:w w:val="105"/>
        </w:rPr>
        <w:t> </w:t>
      </w:r>
      <w:r>
        <w:rPr>
          <w:color w:val="231F20"/>
          <w:spacing w:val="-3"/>
          <w:w w:val="105"/>
        </w:rPr>
        <w:t>todo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spacing w:val="-3"/>
          <w:w w:val="105"/>
        </w:rPr>
        <w:t>correspondiente</w:t>
      </w:r>
      <w:r>
        <w:rPr>
          <w:color w:val="231F20"/>
          <w:spacing w:val="-16"/>
          <w:w w:val="105"/>
        </w:rPr>
        <w:t> </w:t>
      </w:r>
      <w:r>
        <w:rPr>
          <w:color w:val="231F20"/>
          <w:w w:val="105"/>
        </w:rPr>
        <w:t>al</w:t>
      </w:r>
      <w:r>
        <w:rPr>
          <w:color w:val="231F20"/>
          <w:spacing w:val="-16"/>
          <w:w w:val="105"/>
        </w:rPr>
        <w:t> </w:t>
      </w:r>
      <w:r>
        <w:rPr>
          <w:color w:val="231F20"/>
          <w:spacing w:val="-3"/>
          <w:w w:val="105"/>
        </w:rPr>
        <w:t>2010,</w:t>
      </w:r>
      <w:r>
        <w:rPr>
          <w:color w:val="231F20"/>
          <w:spacing w:val="-22"/>
          <w:w w:val="105"/>
        </w:rPr>
        <w:t> </w:t>
      </w:r>
      <w:r>
        <w:rPr>
          <w:color w:val="231F20"/>
          <w:w w:val="105"/>
        </w:rPr>
        <w:t>es</w:t>
      </w:r>
      <w:r>
        <w:rPr>
          <w:color w:val="231F20"/>
          <w:spacing w:val="-16"/>
          <w:w w:val="105"/>
        </w:rPr>
        <w:t> </w:t>
      </w:r>
      <w:r>
        <w:rPr>
          <w:color w:val="231F20"/>
          <w:w w:val="105"/>
        </w:rPr>
        <w:t>el</w:t>
      </w:r>
      <w:r>
        <w:rPr>
          <w:color w:val="231F20"/>
          <w:spacing w:val="-16"/>
          <w:w w:val="105"/>
        </w:rPr>
        <w:t> </w:t>
      </w:r>
      <w:r>
        <w:rPr>
          <w:color w:val="231F20"/>
          <w:spacing w:val="-3"/>
          <w:w w:val="105"/>
        </w:rPr>
        <w:t>efecto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migración,</w:t>
      </w:r>
      <w:r>
        <w:rPr>
          <w:color w:val="231F20"/>
          <w:spacing w:val="-22"/>
          <w:w w:val="105"/>
        </w:rPr>
        <w:t> </w:t>
      </w:r>
      <w:r>
        <w:rPr>
          <w:color w:val="231F20"/>
          <w:spacing w:val="-3"/>
          <w:w w:val="105"/>
        </w:rPr>
        <w:t>que muestra </w:t>
      </w:r>
      <w:r>
        <w:rPr>
          <w:color w:val="231F20"/>
          <w:w w:val="105"/>
        </w:rPr>
        <w:t>una </w:t>
      </w:r>
      <w:r>
        <w:rPr>
          <w:color w:val="231F20"/>
          <w:spacing w:val="-3"/>
          <w:w w:val="105"/>
        </w:rPr>
        <w:t>disminución </w:t>
      </w:r>
      <w:r>
        <w:rPr>
          <w:color w:val="231F20"/>
          <w:w w:val="105"/>
        </w:rPr>
        <w:t>en las </w:t>
      </w:r>
      <w:r>
        <w:rPr>
          <w:color w:val="231F20"/>
          <w:spacing w:val="-3"/>
          <w:w w:val="105"/>
        </w:rPr>
        <w:t>edades </w:t>
      </w:r>
      <w:r>
        <w:rPr>
          <w:color w:val="231F20"/>
          <w:w w:val="105"/>
        </w:rPr>
        <w:t>de 20 a 35 </w:t>
      </w:r>
      <w:r>
        <w:rPr>
          <w:color w:val="231F20"/>
          <w:spacing w:val="-3"/>
          <w:w w:val="105"/>
        </w:rPr>
        <w:t>años </w:t>
      </w:r>
      <w:r>
        <w:rPr>
          <w:color w:val="231F20"/>
          <w:w w:val="105"/>
        </w:rPr>
        <w:t>del </w:t>
      </w:r>
      <w:r>
        <w:rPr>
          <w:color w:val="231F20"/>
          <w:spacing w:val="-3"/>
          <w:w w:val="105"/>
        </w:rPr>
        <w:t>lado </w:t>
      </w:r>
      <w:r>
        <w:rPr>
          <w:color w:val="231F20"/>
          <w:w w:val="105"/>
        </w:rPr>
        <w:t>de </w:t>
      </w:r>
      <w:r>
        <w:rPr>
          <w:color w:val="231F20"/>
          <w:spacing w:val="-3"/>
          <w:w w:val="105"/>
        </w:rPr>
        <w:t>los varones.</w:t>
      </w:r>
      <w:r>
        <w:rPr>
          <w:color w:val="231F20"/>
          <w:spacing w:val="-21"/>
          <w:w w:val="105"/>
        </w:rPr>
        <w:t> </w:t>
      </w:r>
      <w:r>
        <w:rPr>
          <w:color w:val="231F20"/>
          <w:spacing w:val="-3"/>
          <w:w w:val="105"/>
        </w:rPr>
        <w:t>Ello</w:t>
      </w:r>
      <w:r>
        <w:rPr>
          <w:color w:val="231F20"/>
          <w:spacing w:val="-15"/>
          <w:w w:val="105"/>
        </w:rPr>
        <w:t> </w:t>
      </w:r>
      <w:r>
        <w:rPr>
          <w:color w:val="231F20"/>
          <w:spacing w:val="-3"/>
          <w:w w:val="105"/>
        </w:rPr>
        <w:t>seguramente</w:t>
      </w:r>
      <w:r>
        <w:rPr>
          <w:color w:val="231F20"/>
          <w:spacing w:val="-15"/>
          <w:w w:val="105"/>
        </w:rPr>
        <w:t> </w:t>
      </w:r>
      <w:r>
        <w:rPr>
          <w:color w:val="231F20"/>
          <w:w w:val="105"/>
        </w:rPr>
        <w:t>es</w:t>
      </w:r>
      <w:r>
        <w:rPr>
          <w:color w:val="231F20"/>
          <w:spacing w:val="-15"/>
          <w:w w:val="105"/>
        </w:rPr>
        <w:t> </w:t>
      </w:r>
      <w:r>
        <w:rPr>
          <w:color w:val="231F20"/>
          <w:w w:val="105"/>
        </w:rPr>
        <w:t>un</w:t>
      </w:r>
      <w:r>
        <w:rPr>
          <w:color w:val="231F20"/>
          <w:spacing w:val="-15"/>
          <w:w w:val="105"/>
        </w:rPr>
        <w:t> </w:t>
      </w:r>
      <w:r>
        <w:rPr>
          <w:color w:val="231F20"/>
          <w:spacing w:val="-3"/>
          <w:w w:val="105"/>
        </w:rPr>
        <w:t>efecto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rPr>
        <w:t>influencia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rPr>
        <w:t>migración</w:t>
      </w:r>
      <w:r>
        <w:rPr>
          <w:color w:val="231F20"/>
          <w:spacing w:val="-15"/>
          <w:w w:val="105"/>
        </w:rPr>
        <w:t> </w:t>
      </w:r>
      <w:r>
        <w:rPr>
          <w:color w:val="231F20"/>
          <w:spacing w:val="-3"/>
          <w:w w:val="105"/>
        </w:rPr>
        <w:t>en </w:t>
      </w:r>
      <w:r>
        <w:rPr>
          <w:color w:val="231F20"/>
          <w:w w:val="105"/>
        </w:rPr>
        <w:t>la</w:t>
      </w:r>
      <w:r>
        <w:rPr>
          <w:color w:val="231F20"/>
          <w:spacing w:val="-25"/>
          <w:w w:val="105"/>
        </w:rPr>
        <w:t> </w:t>
      </w:r>
      <w:r>
        <w:rPr>
          <w:color w:val="231F20"/>
          <w:spacing w:val="-3"/>
          <w:w w:val="105"/>
        </w:rPr>
        <w:t>composición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3"/>
          <w:w w:val="105"/>
        </w:rPr>
        <w:t>población</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spacing w:val="-3"/>
          <w:w w:val="105"/>
        </w:rPr>
        <w:t>municipio.</w:t>
      </w:r>
      <w:r>
        <w:rPr>
          <w:color w:val="231F20"/>
          <w:spacing w:val="-30"/>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año</w:t>
      </w:r>
      <w:r>
        <w:rPr>
          <w:color w:val="231F20"/>
          <w:spacing w:val="-25"/>
          <w:w w:val="105"/>
        </w:rPr>
        <w:t> </w:t>
      </w:r>
      <w:r>
        <w:rPr>
          <w:color w:val="231F20"/>
          <w:spacing w:val="-3"/>
          <w:w w:val="105"/>
        </w:rPr>
        <w:t>2000</w:t>
      </w:r>
      <w:r>
        <w:rPr>
          <w:color w:val="231F20"/>
          <w:spacing w:val="-25"/>
          <w:w w:val="105"/>
        </w:rPr>
        <w:t> </w:t>
      </w:r>
      <w:r>
        <w:rPr>
          <w:color w:val="231F20"/>
          <w:w w:val="105"/>
        </w:rPr>
        <w:t>se</w:t>
      </w:r>
      <w:r>
        <w:rPr>
          <w:color w:val="231F20"/>
          <w:spacing w:val="-25"/>
          <w:w w:val="105"/>
        </w:rPr>
        <w:t> </w:t>
      </w:r>
      <w:r>
        <w:rPr>
          <w:color w:val="231F20"/>
          <w:spacing w:val="-3"/>
          <w:w w:val="105"/>
        </w:rPr>
        <w:t>estimaba </w:t>
      </w:r>
      <w:r>
        <w:rPr>
          <w:color w:val="231F20"/>
          <w:w w:val="105"/>
        </w:rPr>
        <w:t>que</w:t>
      </w:r>
      <w:r>
        <w:rPr>
          <w:color w:val="231F20"/>
          <w:spacing w:val="-23"/>
          <w:w w:val="105"/>
        </w:rPr>
        <w:t> </w:t>
      </w:r>
      <w:r>
        <w:rPr>
          <w:color w:val="231F20"/>
          <w:w w:val="105"/>
        </w:rPr>
        <w:t>en</w:t>
      </w:r>
      <w:r>
        <w:rPr>
          <w:color w:val="231F20"/>
          <w:spacing w:val="-26"/>
          <w:w w:val="105"/>
        </w:rPr>
        <w:t> </w:t>
      </w:r>
      <w:r>
        <w:rPr>
          <w:color w:val="231F20"/>
          <w:spacing w:val="-3"/>
          <w:w w:val="105"/>
        </w:rPr>
        <w:t>Villa</w:t>
      </w:r>
      <w:r>
        <w:rPr>
          <w:color w:val="231F20"/>
          <w:spacing w:val="-23"/>
          <w:w w:val="105"/>
        </w:rPr>
        <w:t> </w:t>
      </w:r>
      <w:r>
        <w:rPr>
          <w:color w:val="231F20"/>
          <w:spacing w:val="-4"/>
          <w:w w:val="105"/>
        </w:rPr>
        <w:t>Guerrero</w:t>
      </w:r>
      <w:r>
        <w:rPr>
          <w:color w:val="231F20"/>
          <w:spacing w:val="-23"/>
          <w:w w:val="105"/>
        </w:rPr>
        <w:t> </w:t>
      </w:r>
      <w:r>
        <w:rPr>
          <w:color w:val="231F20"/>
          <w:spacing w:val="-3"/>
          <w:w w:val="105"/>
        </w:rPr>
        <w:t>9.5%</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spacing w:val="-3"/>
          <w:w w:val="105"/>
        </w:rPr>
        <w:t>hogares</w:t>
      </w:r>
      <w:r>
        <w:rPr>
          <w:color w:val="231F20"/>
          <w:spacing w:val="-23"/>
          <w:w w:val="105"/>
        </w:rPr>
        <w:t> </w:t>
      </w:r>
      <w:r>
        <w:rPr>
          <w:color w:val="231F20"/>
          <w:spacing w:val="-3"/>
          <w:w w:val="105"/>
        </w:rPr>
        <w:t>tenían</w:t>
      </w:r>
      <w:r>
        <w:rPr>
          <w:color w:val="231F20"/>
          <w:spacing w:val="-23"/>
          <w:w w:val="105"/>
        </w:rPr>
        <w:t> </w:t>
      </w:r>
      <w:r>
        <w:rPr>
          <w:color w:val="231F20"/>
          <w:w w:val="105"/>
        </w:rPr>
        <w:t>por</w:t>
      </w:r>
      <w:r>
        <w:rPr>
          <w:color w:val="231F20"/>
          <w:spacing w:val="-23"/>
          <w:w w:val="105"/>
        </w:rPr>
        <w:t> </w:t>
      </w:r>
      <w:r>
        <w:rPr>
          <w:color w:val="231F20"/>
          <w:w w:val="105"/>
        </w:rPr>
        <w:t>lo</w:t>
      </w:r>
      <w:r>
        <w:rPr>
          <w:color w:val="231F20"/>
          <w:spacing w:val="-23"/>
          <w:w w:val="105"/>
        </w:rPr>
        <w:t> </w:t>
      </w:r>
      <w:r>
        <w:rPr>
          <w:color w:val="231F20"/>
          <w:spacing w:val="-3"/>
          <w:w w:val="105"/>
        </w:rPr>
        <w:t>menos</w:t>
      </w:r>
      <w:r>
        <w:rPr>
          <w:color w:val="231F20"/>
          <w:spacing w:val="-23"/>
          <w:w w:val="105"/>
        </w:rPr>
        <w:t> </w:t>
      </w:r>
      <w:r>
        <w:rPr>
          <w:color w:val="231F20"/>
          <w:w w:val="105"/>
        </w:rPr>
        <w:t>un</w:t>
      </w:r>
      <w:r>
        <w:rPr>
          <w:color w:val="231F20"/>
          <w:spacing w:val="-23"/>
          <w:w w:val="105"/>
        </w:rPr>
        <w:t> </w:t>
      </w:r>
      <w:r>
        <w:rPr>
          <w:color w:val="231F20"/>
          <w:spacing w:val="-3"/>
          <w:w w:val="105"/>
        </w:rPr>
        <w:t>miembro </w:t>
      </w:r>
      <w:r>
        <w:rPr>
          <w:color w:val="231F20"/>
          <w:w w:val="105"/>
        </w:rPr>
        <w:t>en </w:t>
      </w:r>
      <w:r>
        <w:rPr>
          <w:color w:val="231F20"/>
          <w:spacing w:val="-3"/>
          <w:w w:val="105"/>
        </w:rPr>
        <w:t>condición </w:t>
      </w:r>
      <w:r>
        <w:rPr>
          <w:color w:val="231F20"/>
          <w:w w:val="105"/>
        </w:rPr>
        <w:t>de </w:t>
      </w:r>
      <w:r>
        <w:rPr>
          <w:color w:val="231F20"/>
          <w:spacing w:val="-3"/>
          <w:w w:val="105"/>
        </w:rPr>
        <w:t>migrante hacia Estados Unidos </w:t>
      </w:r>
      <w:r>
        <w:rPr>
          <w:color w:val="231F20"/>
          <w:w w:val="105"/>
        </w:rPr>
        <w:t>y </w:t>
      </w:r>
      <w:r>
        <w:rPr>
          <w:color w:val="231F20"/>
          <w:spacing w:val="-3"/>
          <w:w w:val="105"/>
        </w:rPr>
        <w:t>4.2% eran hogares que </w:t>
      </w:r>
      <w:r>
        <w:rPr>
          <w:color w:val="231F20"/>
          <w:spacing w:val="-4"/>
          <w:w w:val="105"/>
        </w:rPr>
        <w:t>registraban</w:t>
      </w:r>
      <w:r>
        <w:rPr>
          <w:color w:val="231F20"/>
          <w:spacing w:val="-29"/>
          <w:w w:val="105"/>
        </w:rPr>
        <w:t> </w:t>
      </w:r>
      <w:r>
        <w:rPr>
          <w:color w:val="231F20"/>
          <w:spacing w:val="-3"/>
          <w:w w:val="105"/>
        </w:rPr>
        <w:t>envío</w:t>
      </w:r>
      <w:r>
        <w:rPr>
          <w:color w:val="231F20"/>
          <w:spacing w:val="-29"/>
          <w:w w:val="105"/>
        </w:rPr>
        <w:t> </w:t>
      </w:r>
      <w:r>
        <w:rPr>
          <w:color w:val="231F20"/>
          <w:w w:val="105"/>
        </w:rPr>
        <w:t>de</w:t>
      </w:r>
      <w:r>
        <w:rPr>
          <w:color w:val="231F20"/>
          <w:spacing w:val="-29"/>
          <w:w w:val="105"/>
        </w:rPr>
        <w:t> </w:t>
      </w:r>
      <w:r>
        <w:rPr>
          <w:color w:val="231F20"/>
          <w:spacing w:val="-3"/>
          <w:w w:val="105"/>
        </w:rPr>
        <w:t>remesas,</w:t>
      </w:r>
      <w:r>
        <w:rPr>
          <w:color w:val="231F20"/>
          <w:spacing w:val="-34"/>
          <w:w w:val="105"/>
        </w:rPr>
        <w:t> </w:t>
      </w:r>
      <w:r>
        <w:rPr>
          <w:color w:val="231F20"/>
          <w:w w:val="105"/>
        </w:rPr>
        <w:t>en</w:t>
      </w:r>
      <w:r>
        <w:rPr>
          <w:color w:val="231F20"/>
          <w:spacing w:val="-29"/>
          <w:w w:val="105"/>
        </w:rPr>
        <w:t> </w:t>
      </w:r>
      <w:r>
        <w:rPr>
          <w:color w:val="231F20"/>
          <w:w w:val="105"/>
        </w:rPr>
        <w:t>ese</w:t>
      </w:r>
      <w:r>
        <w:rPr>
          <w:color w:val="231F20"/>
          <w:spacing w:val="-29"/>
          <w:w w:val="105"/>
        </w:rPr>
        <w:t> </w:t>
      </w:r>
      <w:r>
        <w:rPr>
          <w:color w:val="231F20"/>
          <w:w w:val="105"/>
        </w:rPr>
        <w:t>año</w:t>
      </w:r>
      <w:r>
        <w:rPr>
          <w:color w:val="231F20"/>
          <w:spacing w:val="-29"/>
          <w:w w:val="105"/>
        </w:rPr>
        <w:t> </w:t>
      </w:r>
      <w:r>
        <w:rPr>
          <w:color w:val="231F20"/>
          <w:w w:val="105"/>
        </w:rPr>
        <w:t>el</w:t>
      </w:r>
      <w:r>
        <w:rPr>
          <w:color w:val="231F20"/>
          <w:spacing w:val="-29"/>
          <w:w w:val="105"/>
        </w:rPr>
        <w:t> </w:t>
      </w:r>
      <w:r>
        <w:rPr>
          <w:color w:val="231F20"/>
          <w:spacing w:val="-3"/>
          <w:w w:val="105"/>
        </w:rPr>
        <w:t>municipio</w:t>
      </w:r>
      <w:r>
        <w:rPr>
          <w:color w:val="231F20"/>
          <w:spacing w:val="-29"/>
          <w:w w:val="105"/>
        </w:rPr>
        <w:t> </w:t>
      </w:r>
      <w:r>
        <w:rPr>
          <w:color w:val="231F20"/>
          <w:w w:val="105"/>
        </w:rPr>
        <w:t>se</w:t>
      </w:r>
      <w:r>
        <w:rPr>
          <w:color w:val="231F20"/>
          <w:spacing w:val="-29"/>
          <w:w w:val="105"/>
        </w:rPr>
        <w:t> </w:t>
      </w:r>
      <w:r>
        <w:rPr>
          <w:color w:val="231F20"/>
          <w:spacing w:val="-3"/>
          <w:w w:val="105"/>
        </w:rPr>
        <w:t>clasificaba</w:t>
      </w:r>
      <w:r>
        <w:rPr>
          <w:color w:val="231F20"/>
          <w:spacing w:val="-29"/>
          <w:w w:val="105"/>
        </w:rPr>
        <w:t> </w:t>
      </w:r>
      <w:r>
        <w:rPr>
          <w:color w:val="231F20"/>
          <w:w w:val="105"/>
        </w:rPr>
        <w:t>con</w:t>
      </w:r>
      <w:r>
        <w:rPr>
          <w:color w:val="231F20"/>
          <w:spacing w:val="-29"/>
          <w:w w:val="105"/>
        </w:rPr>
        <w:t> </w:t>
      </w:r>
      <w:r>
        <w:rPr>
          <w:color w:val="231F20"/>
          <w:spacing w:val="-3"/>
          <w:w w:val="105"/>
        </w:rPr>
        <w:t>un grado</w:t>
      </w:r>
      <w:r>
        <w:rPr>
          <w:color w:val="231F20"/>
          <w:spacing w:val="-12"/>
          <w:w w:val="105"/>
        </w:rPr>
        <w:t> </w:t>
      </w:r>
      <w:r>
        <w:rPr>
          <w:color w:val="231F20"/>
          <w:w w:val="105"/>
        </w:rPr>
        <w:t>de</w:t>
      </w:r>
      <w:r>
        <w:rPr>
          <w:color w:val="231F20"/>
          <w:spacing w:val="-12"/>
          <w:w w:val="105"/>
        </w:rPr>
        <w:t> </w:t>
      </w:r>
      <w:r>
        <w:rPr>
          <w:color w:val="231F20"/>
          <w:spacing w:val="-3"/>
          <w:w w:val="105"/>
        </w:rPr>
        <w:t>intensidad</w:t>
      </w:r>
      <w:r>
        <w:rPr>
          <w:color w:val="231F20"/>
          <w:spacing w:val="-12"/>
          <w:w w:val="105"/>
        </w:rPr>
        <w:t> </w:t>
      </w:r>
      <w:r>
        <w:rPr>
          <w:color w:val="231F20"/>
          <w:spacing w:val="-4"/>
          <w:w w:val="105"/>
        </w:rPr>
        <w:t>migratoria</w:t>
      </w:r>
      <w:r>
        <w:rPr>
          <w:color w:val="231F20"/>
          <w:spacing w:val="-12"/>
          <w:w w:val="105"/>
        </w:rPr>
        <w:t> </w:t>
      </w:r>
      <w:r>
        <w:rPr>
          <w:color w:val="231F20"/>
          <w:spacing w:val="-3"/>
          <w:w w:val="105"/>
        </w:rPr>
        <w:t>“Medio”</w:t>
      </w:r>
      <w:r>
        <w:rPr>
          <w:color w:val="231F20"/>
          <w:spacing w:val="-12"/>
          <w:w w:val="105"/>
        </w:rPr>
        <w:t> </w:t>
      </w:r>
      <w:r>
        <w:rPr>
          <w:color w:val="231F20"/>
          <w:w w:val="105"/>
        </w:rPr>
        <w:t>(</w:t>
      </w:r>
      <w:r>
        <w:rPr>
          <w:color w:val="231F20"/>
          <w:w w:val="105"/>
          <w:sz w:val="17"/>
        </w:rPr>
        <w:t>CONAPO</w:t>
      </w:r>
      <w:r>
        <w:rPr>
          <w:color w:val="231F20"/>
          <w:w w:val="105"/>
        </w:rPr>
        <w:t>,</w:t>
      </w:r>
      <w:r>
        <w:rPr>
          <w:color w:val="231F20"/>
          <w:spacing w:val="-18"/>
          <w:w w:val="105"/>
        </w:rPr>
        <w:t> </w:t>
      </w:r>
      <w:r>
        <w:rPr>
          <w:color w:val="231F20"/>
          <w:spacing w:val="-3"/>
          <w:w w:val="105"/>
        </w:rPr>
        <w:t>2001).</w:t>
      </w:r>
      <w:r>
        <w:rPr>
          <w:color w:val="231F20"/>
          <w:spacing w:val="-18"/>
          <w:w w:val="105"/>
        </w:rPr>
        <w:t> </w:t>
      </w:r>
      <w:r>
        <w:rPr>
          <w:color w:val="231F20"/>
          <w:spacing w:val="-6"/>
          <w:w w:val="105"/>
        </w:rPr>
        <w:t>Para</w:t>
      </w:r>
      <w:r>
        <w:rPr>
          <w:color w:val="231F20"/>
          <w:spacing w:val="-12"/>
          <w:w w:val="105"/>
        </w:rPr>
        <w:t> </w:t>
      </w:r>
      <w:r>
        <w:rPr>
          <w:color w:val="231F20"/>
          <w:w w:val="105"/>
        </w:rPr>
        <w:t>el</w:t>
      </w:r>
      <w:r>
        <w:rPr>
          <w:color w:val="231F20"/>
          <w:spacing w:val="-12"/>
          <w:w w:val="105"/>
        </w:rPr>
        <w:t> </w:t>
      </w:r>
      <w:r>
        <w:rPr>
          <w:color w:val="231F20"/>
          <w:w w:val="105"/>
        </w:rPr>
        <w:t>año</w:t>
      </w:r>
      <w:r>
        <w:rPr>
          <w:color w:val="231F20"/>
          <w:spacing w:val="-12"/>
          <w:w w:val="105"/>
        </w:rPr>
        <w:t> </w:t>
      </w:r>
      <w:r>
        <w:rPr>
          <w:color w:val="231F20"/>
          <w:spacing w:val="-3"/>
          <w:w w:val="105"/>
        </w:rPr>
        <w:t>2010, </w:t>
      </w:r>
      <w:r>
        <w:rPr>
          <w:color w:val="231F20"/>
          <w:w w:val="105"/>
        </w:rPr>
        <w:t>las </w:t>
      </w:r>
      <w:r>
        <w:rPr>
          <w:color w:val="231F20"/>
          <w:spacing w:val="-3"/>
          <w:w w:val="105"/>
        </w:rPr>
        <w:t>estimaciones </w:t>
      </w:r>
      <w:r>
        <w:rPr>
          <w:color w:val="231F20"/>
          <w:spacing w:val="-4"/>
          <w:w w:val="105"/>
        </w:rPr>
        <w:t>arrojaron </w:t>
      </w:r>
      <w:r>
        <w:rPr>
          <w:color w:val="231F20"/>
          <w:w w:val="105"/>
        </w:rPr>
        <w:t>que el </w:t>
      </w:r>
      <w:r>
        <w:rPr>
          <w:color w:val="231F20"/>
          <w:spacing w:val="-3"/>
          <w:w w:val="105"/>
        </w:rPr>
        <w:t>municipio </w:t>
      </w:r>
      <w:r>
        <w:rPr>
          <w:color w:val="231F20"/>
          <w:w w:val="105"/>
        </w:rPr>
        <w:t>se </w:t>
      </w:r>
      <w:r>
        <w:rPr>
          <w:color w:val="231F20"/>
          <w:spacing w:val="-3"/>
          <w:w w:val="105"/>
        </w:rPr>
        <w:t>clasifica </w:t>
      </w:r>
      <w:r>
        <w:rPr>
          <w:color w:val="231F20"/>
          <w:w w:val="105"/>
        </w:rPr>
        <w:t>con un </w:t>
      </w:r>
      <w:r>
        <w:rPr>
          <w:color w:val="231F20"/>
          <w:spacing w:val="-3"/>
          <w:w w:val="105"/>
        </w:rPr>
        <w:t>grado de intensidad</w:t>
      </w:r>
      <w:r>
        <w:rPr>
          <w:color w:val="231F20"/>
          <w:spacing w:val="-21"/>
          <w:w w:val="105"/>
        </w:rPr>
        <w:t> </w:t>
      </w:r>
      <w:r>
        <w:rPr>
          <w:color w:val="231F20"/>
          <w:spacing w:val="-4"/>
          <w:w w:val="105"/>
        </w:rPr>
        <w:t>migratoria</w:t>
      </w:r>
      <w:r>
        <w:rPr>
          <w:color w:val="231F20"/>
          <w:spacing w:val="-21"/>
          <w:w w:val="105"/>
        </w:rPr>
        <w:t> </w:t>
      </w:r>
      <w:r>
        <w:rPr>
          <w:color w:val="231F20"/>
          <w:spacing w:val="-7"/>
          <w:w w:val="105"/>
        </w:rPr>
        <w:t>“Bajo”.</w:t>
      </w:r>
      <w:r>
        <w:rPr>
          <w:color w:val="231F20"/>
          <w:spacing w:val="-26"/>
          <w:w w:val="105"/>
        </w:rPr>
        <w:t> </w:t>
      </w:r>
      <w:r>
        <w:rPr>
          <w:color w:val="231F20"/>
          <w:spacing w:val="-3"/>
          <w:w w:val="105"/>
        </w:rPr>
        <w:t>Con</w:t>
      </w:r>
      <w:r>
        <w:rPr>
          <w:color w:val="231F20"/>
          <w:spacing w:val="-21"/>
          <w:w w:val="105"/>
        </w:rPr>
        <w:t> </w:t>
      </w:r>
      <w:r>
        <w:rPr>
          <w:color w:val="231F20"/>
          <w:spacing w:val="-3"/>
          <w:w w:val="105"/>
        </w:rPr>
        <w:t>3.4%</w:t>
      </w:r>
      <w:r>
        <w:rPr>
          <w:color w:val="231F20"/>
          <w:spacing w:val="-21"/>
          <w:w w:val="105"/>
        </w:rPr>
        <w:t> </w:t>
      </w:r>
      <w:r>
        <w:rPr>
          <w:color w:val="231F20"/>
          <w:w w:val="105"/>
        </w:rPr>
        <w:t>de</w:t>
      </w:r>
      <w:r>
        <w:rPr>
          <w:color w:val="231F20"/>
          <w:spacing w:val="-21"/>
          <w:w w:val="105"/>
        </w:rPr>
        <w:t> </w:t>
      </w:r>
      <w:r>
        <w:rPr>
          <w:color w:val="231F20"/>
          <w:spacing w:val="-3"/>
          <w:w w:val="105"/>
        </w:rPr>
        <w:t>viviendas</w:t>
      </w:r>
      <w:r>
        <w:rPr>
          <w:color w:val="231F20"/>
          <w:spacing w:val="-21"/>
          <w:w w:val="105"/>
        </w:rPr>
        <w:t> </w:t>
      </w:r>
      <w:r>
        <w:rPr>
          <w:color w:val="231F20"/>
          <w:w w:val="105"/>
        </w:rPr>
        <w:t>que</w:t>
      </w:r>
      <w:r>
        <w:rPr>
          <w:color w:val="231F20"/>
          <w:spacing w:val="-21"/>
          <w:w w:val="105"/>
        </w:rPr>
        <w:t> </w:t>
      </w:r>
      <w:r>
        <w:rPr>
          <w:color w:val="231F20"/>
          <w:spacing w:val="-3"/>
          <w:w w:val="105"/>
        </w:rPr>
        <w:t>reciben</w:t>
      </w:r>
      <w:r>
        <w:rPr>
          <w:color w:val="231F20"/>
          <w:spacing w:val="-21"/>
          <w:w w:val="105"/>
        </w:rPr>
        <w:t> </w:t>
      </w:r>
      <w:r>
        <w:rPr>
          <w:color w:val="231F20"/>
          <w:spacing w:val="-3"/>
          <w:w w:val="105"/>
        </w:rPr>
        <w:t>remesas</w:t>
      </w:r>
      <w:r>
        <w:rPr>
          <w:color w:val="231F20"/>
          <w:spacing w:val="-21"/>
          <w:w w:val="105"/>
        </w:rPr>
        <w:t> </w:t>
      </w:r>
      <w:r>
        <w:rPr>
          <w:color w:val="231F20"/>
          <w:w w:val="105"/>
        </w:rPr>
        <w:t>y </w:t>
      </w:r>
      <w:r>
        <w:rPr>
          <w:color w:val="231F20"/>
          <w:spacing w:val="-3"/>
          <w:w w:val="105"/>
        </w:rPr>
        <w:t>2.9%</w:t>
      </w:r>
      <w:r>
        <w:rPr>
          <w:color w:val="231F20"/>
          <w:spacing w:val="-26"/>
          <w:w w:val="105"/>
        </w:rPr>
        <w:t> </w:t>
      </w:r>
      <w:r>
        <w:rPr>
          <w:color w:val="231F20"/>
          <w:spacing w:val="-3"/>
          <w:w w:val="105"/>
        </w:rPr>
        <w:t>viviendas</w:t>
      </w:r>
      <w:r>
        <w:rPr>
          <w:color w:val="231F20"/>
          <w:spacing w:val="-26"/>
          <w:w w:val="105"/>
        </w:rPr>
        <w:t> </w:t>
      </w:r>
      <w:r>
        <w:rPr>
          <w:color w:val="231F20"/>
          <w:w w:val="105"/>
        </w:rPr>
        <w:t>con</w:t>
      </w:r>
      <w:r>
        <w:rPr>
          <w:color w:val="231F20"/>
          <w:spacing w:val="-26"/>
          <w:w w:val="105"/>
        </w:rPr>
        <w:t> </w:t>
      </w:r>
      <w:r>
        <w:rPr>
          <w:color w:val="231F20"/>
          <w:spacing w:val="-3"/>
          <w:w w:val="105"/>
        </w:rPr>
        <w:t>emigrantes</w:t>
      </w:r>
      <w:r>
        <w:rPr>
          <w:color w:val="231F20"/>
          <w:spacing w:val="-26"/>
          <w:w w:val="105"/>
        </w:rPr>
        <w:t> </w:t>
      </w:r>
      <w:r>
        <w:rPr>
          <w:color w:val="231F20"/>
          <w:w w:val="105"/>
        </w:rPr>
        <w:t>a</w:t>
      </w:r>
      <w:r>
        <w:rPr>
          <w:color w:val="231F20"/>
          <w:spacing w:val="-26"/>
          <w:w w:val="105"/>
        </w:rPr>
        <w:t> </w:t>
      </w:r>
      <w:r>
        <w:rPr>
          <w:color w:val="231F20"/>
          <w:spacing w:val="-3"/>
          <w:w w:val="105"/>
        </w:rPr>
        <w:t>Estados</w:t>
      </w:r>
      <w:r>
        <w:rPr>
          <w:color w:val="231F20"/>
          <w:spacing w:val="-26"/>
          <w:w w:val="105"/>
        </w:rPr>
        <w:t> </w:t>
      </w:r>
      <w:r>
        <w:rPr>
          <w:color w:val="231F20"/>
          <w:spacing w:val="-3"/>
          <w:w w:val="105"/>
        </w:rPr>
        <w:t>Unidos</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spacing w:val="-3"/>
          <w:w w:val="105"/>
        </w:rPr>
        <w:t>quinquenio</w:t>
      </w:r>
      <w:r>
        <w:rPr>
          <w:color w:val="231F20"/>
          <w:spacing w:val="-26"/>
          <w:w w:val="105"/>
        </w:rPr>
        <w:t> </w:t>
      </w:r>
      <w:r>
        <w:rPr>
          <w:color w:val="231F20"/>
          <w:spacing w:val="-4"/>
          <w:w w:val="105"/>
        </w:rPr>
        <w:t>anterior. </w:t>
      </w:r>
      <w:r>
        <w:rPr>
          <w:color w:val="231F20"/>
          <w:spacing w:val="-3"/>
          <w:w w:val="105"/>
        </w:rPr>
        <w:t>Este</w:t>
      </w:r>
      <w:r>
        <w:rPr>
          <w:color w:val="231F20"/>
          <w:spacing w:val="-17"/>
          <w:w w:val="105"/>
        </w:rPr>
        <w:t> </w:t>
      </w:r>
      <w:r>
        <w:rPr>
          <w:color w:val="231F20"/>
          <w:spacing w:val="-3"/>
          <w:w w:val="105"/>
        </w:rPr>
        <w:t>cambio</w:t>
      </w:r>
      <w:r>
        <w:rPr>
          <w:color w:val="231F20"/>
          <w:spacing w:val="-17"/>
          <w:w w:val="105"/>
        </w:rPr>
        <w:t> </w:t>
      </w:r>
      <w:r>
        <w:rPr>
          <w:color w:val="231F20"/>
          <w:spacing w:val="-3"/>
          <w:w w:val="105"/>
        </w:rPr>
        <w:t>podría</w:t>
      </w:r>
      <w:r>
        <w:rPr>
          <w:color w:val="231F20"/>
          <w:spacing w:val="-17"/>
          <w:w w:val="105"/>
        </w:rPr>
        <w:t> </w:t>
      </w:r>
      <w:r>
        <w:rPr>
          <w:color w:val="231F20"/>
          <w:spacing w:val="-3"/>
          <w:w w:val="105"/>
        </w:rPr>
        <w:t>estar</w:t>
      </w:r>
      <w:r>
        <w:rPr>
          <w:color w:val="231F20"/>
          <w:spacing w:val="-17"/>
          <w:w w:val="105"/>
        </w:rPr>
        <w:t> </w:t>
      </w:r>
      <w:r>
        <w:rPr>
          <w:color w:val="231F20"/>
          <w:spacing w:val="-3"/>
          <w:w w:val="105"/>
        </w:rPr>
        <w:t>explicado</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spacing w:val="-3"/>
          <w:w w:val="105"/>
        </w:rPr>
        <w:t>hecho</w:t>
      </w:r>
      <w:r>
        <w:rPr>
          <w:color w:val="231F20"/>
          <w:spacing w:val="-17"/>
          <w:w w:val="105"/>
        </w:rPr>
        <w:t> </w:t>
      </w:r>
      <w:r>
        <w:rPr>
          <w:color w:val="231F20"/>
          <w:w w:val="105"/>
        </w:rPr>
        <w:t>de</w:t>
      </w:r>
      <w:r>
        <w:rPr>
          <w:color w:val="231F20"/>
          <w:spacing w:val="-17"/>
          <w:w w:val="105"/>
        </w:rPr>
        <w:t> </w:t>
      </w:r>
      <w:r>
        <w:rPr>
          <w:color w:val="231F20"/>
          <w:w w:val="105"/>
        </w:rPr>
        <w:t>que</w:t>
      </w:r>
      <w:r>
        <w:rPr>
          <w:color w:val="231F20"/>
          <w:spacing w:val="-17"/>
          <w:w w:val="105"/>
        </w:rPr>
        <w:t> </w:t>
      </w:r>
      <w:r>
        <w:rPr>
          <w:color w:val="231F20"/>
          <w:spacing w:val="-3"/>
          <w:w w:val="105"/>
        </w:rPr>
        <w:t>2.7%</w:t>
      </w:r>
      <w:r>
        <w:rPr>
          <w:color w:val="231F20"/>
          <w:spacing w:val="-17"/>
          <w:w w:val="105"/>
        </w:rPr>
        <w:t> </w:t>
      </w:r>
      <w:r>
        <w:rPr>
          <w:color w:val="231F20"/>
          <w:w w:val="105"/>
        </w:rPr>
        <w:t>de</w:t>
      </w:r>
      <w:r>
        <w:rPr>
          <w:color w:val="231F20"/>
          <w:spacing w:val="-17"/>
          <w:w w:val="105"/>
        </w:rPr>
        <w:t> </w:t>
      </w:r>
      <w:r>
        <w:rPr>
          <w:color w:val="231F20"/>
          <w:spacing w:val="-3"/>
          <w:w w:val="105"/>
        </w:rPr>
        <w:t>viviendas </w:t>
      </w:r>
      <w:r>
        <w:rPr>
          <w:color w:val="231F20"/>
          <w:spacing w:val="-4"/>
          <w:w w:val="105"/>
        </w:rPr>
        <w:t>registro </w:t>
      </w:r>
      <w:r>
        <w:rPr>
          <w:color w:val="231F20"/>
          <w:spacing w:val="-3"/>
          <w:w w:val="105"/>
        </w:rPr>
        <w:t>tener </w:t>
      </w:r>
      <w:r>
        <w:rPr>
          <w:color w:val="231F20"/>
          <w:w w:val="105"/>
        </w:rPr>
        <w:t>por lo </w:t>
      </w:r>
      <w:r>
        <w:rPr>
          <w:color w:val="231F20"/>
          <w:spacing w:val="-3"/>
          <w:w w:val="105"/>
        </w:rPr>
        <w:t>menos </w:t>
      </w:r>
      <w:r>
        <w:rPr>
          <w:color w:val="231F20"/>
          <w:w w:val="105"/>
        </w:rPr>
        <w:t>un </w:t>
      </w:r>
      <w:r>
        <w:rPr>
          <w:color w:val="231F20"/>
          <w:spacing w:val="-3"/>
          <w:w w:val="105"/>
        </w:rPr>
        <w:t>migrante </w:t>
      </w:r>
      <w:r>
        <w:rPr>
          <w:color w:val="231F20"/>
          <w:w w:val="105"/>
        </w:rPr>
        <w:t>de</w:t>
      </w:r>
      <w:r>
        <w:rPr>
          <w:color w:val="231F20"/>
          <w:spacing w:val="-20"/>
          <w:w w:val="105"/>
        </w:rPr>
        <w:t> </w:t>
      </w:r>
      <w:r>
        <w:rPr>
          <w:color w:val="231F20"/>
          <w:spacing w:val="-4"/>
          <w:w w:val="105"/>
        </w:rPr>
        <w:t>retorno.</w:t>
      </w:r>
    </w:p>
    <w:p>
      <w:pPr>
        <w:pStyle w:val="BodyText"/>
        <w:rPr>
          <w:sz w:val="20"/>
        </w:rPr>
      </w:pPr>
    </w:p>
    <w:p>
      <w:pPr>
        <w:pStyle w:val="BodyText"/>
        <w:spacing w:before="10"/>
        <w:rPr>
          <w:sz w:val="27"/>
        </w:rPr>
      </w:pPr>
      <w:r>
        <w:rPr/>
        <w:pict>
          <v:line style="position:absolute;mso-position-horizontal-relative:page;mso-position-vertical-relative:paragraph;z-index:9904;mso-wrap-distance-left:0;mso-wrap-distance-right:0" from="86.196899pt,17.868372pt" to="199.582899pt,17.868372pt" stroked="true" strokeweight=".25pt" strokecolor="#231f20">
            <w10:wrap type="topAndBottom"/>
          </v:line>
        </w:pict>
      </w:r>
    </w:p>
    <w:p>
      <w:pPr>
        <w:spacing w:line="192" w:lineRule="exact" w:before="7"/>
        <w:ind w:left="1723" w:right="1779" w:firstLine="0"/>
        <w:jc w:val="both"/>
        <w:rPr>
          <w:rFonts w:ascii="Calibri" w:hAnsi="Calibri"/>
          <w:sz w:val="16"/>
        </w:rPr>
      </w:pPr>
      <w:r>
        <w:rPr>
          <w:rFonts w:ascii="Calibri" w:hAnsi="Calibri"/>
          <w:color w:val="414042"/>
          <w:w w:val="105"/>
          <w:position w:val="5"/>
          <w:sz w:val="9"/>
        </w:rPr>
        <w:t>9</w:t>
      </w:r>
      <w:r>
        <w:rPr>
          <w:rFonts w:ascii="Calibri" w:hAnsi="Calibri"/>
          <w:color w:val="414042"/>
          <w:spacing w:val="-2"/>
          <w:w w:val="105"/>
          <w:position w:val="5"/>
          <w:sz w:val="9"/>
        </w:rPr>
        <w:t> </w:t>
      </w:r>
      <w:r>
        <w:rPr>
          <w:rFonts w:ascii="Calibri" w:hAnsi="Calibri"/>
          <w:color w:val="414042"/>
          <w:w w:val="105"/>
          <w:sz w:val="16"/>
        </w:rPr>
        <w:t>Este</w:t>
      </w:r>
      <w:r>
        <w:rPr>
          <w:rFonts w:ascii="Calibri" w:hAnsi="Calibri"/>
          <w:color w:val="414042"/>
          <w:spacing w:val="-18"/>
          <w:w w:val="105"/>
          <w:sz w:val="16"/>
        </w:rPr>
        <w:t> </w:t>
      </w:r>
      <w:r>
        <w:rPr>
          <w:rFonts w:ascii="Calibri" w:hAnsi="Calibri"/>
          <w:color w:val="414042"/>
          <w:w w:val="105"/>
          <w:sz w:val="16"/>
        </w:rPr>
        <w:t>dato</w:t>
      </w:r>
      <w:r>
        <w:rPr>
          <w:rFonts w:ascii="Calibri" w:hAnsi="Calibri"/>
          <w:color w:val="414042"/>
          <w:spacing w:val="-18"/>
          <w:w w:val="105"/>
          <w:sz w:val="16"/>
        </w:rPr>
        <w:t> </w:t>
      </w:r>
      <w:r>
        <w:rPr>
          <w:rFonts w:ascii="Calibri" w:hAnsi="Calibri"/>
          <w:color w:val="414042"/>
          <w:w w:val="105"/>
          <w:sz w:val="16"/>
        </w:rPr>
        <w:t>es</w:t>
      </w:r>
      <w:r>
        <w:rPr>
          <w:rFonts w:ascii="Calibri" w:hAnsi="Calibri"/>
          <w:color w:val="414042"/>
          <w:spacing w:val="-18"/>
          <w:w w:val="105"/>
          <w:sz w:val="16"/>
        </w:rPr>
        <w:t> </w:t>
      </w:r>
      <w:r>
        <w:rPr>
          <w:rFonts w:ascii="Calibri" w:hAnsi="Calibri"/>
          <w:color w:val="414042"/>
          <w:w w:val="105"/>
          <w:sz w:val="16"/>
        </w:rPr>
        <w:t>sumamente</w:t>
      </w:r>
      <w:r>
        <w:rPr>
          <w:rFonts w:ascii="Calibri" w:hAnsi="Calibri"/>
          <w:color w:val="414042"/>
          <w:spacing w:val="-18"/>
          <w:w w:val="105"/>
          <w:sz w:val="16"/>
        </w:rPr>
        <w:t> </w:t>
      </w:r>
      <w:r>
        <w:rPr>
          <w:rFonts w:ascii="Calibri" w:hAnsi="Calibri"/>
          <w:color w:val="414042"/>
          <w:w w:val="105"/>
          <w:sz w:val="16"/>
        </w:rPr>
        <w:t>representativo</w:t>
      </w:r>
      <w:r>
        <w:rPr>
          <w:rFonts w:ascii="Calibri" w:hAnsi="Calibri"/>
          <w:color w:val="414042"/>
          <w:spacing w:val="-18"/>
          <w:w w:val="105"/>
          <w:sz w:val="16"/>
        </w:rPr>
        <w:t> </w:t>
      </w:r>
      <w:r>
        <w:rPr>
          <w:rFonts w:ascii="Calibri" w:hAnsi="Calibri"/>
          <w:color w:val="414042"/>
          <w:w w:val="105"/>
          <w:sz w:val="16"/>
        </w:rPr>
        <w:t>dada</w:t>
      </w:r>
      <w:r>
        <w:rPr>
          <w:rFonts w:ascii="Calibri" w:hAnsi="Calibri"/>
          <w:color w:val="414042"/>
          <w:spacing w:val="-18"/>
          <w:w w:val="105"/>
          <w:sz w:val="16"/>
        </w:rPr>
        <w:t> </w:t>
      </w:r>
      <w:r>
        <w:rPr>
          <w:rFonts w:ascii="Calibri" w:hAnsi="Calibri"/>
          <w:color w:val="414042"/>
          <w:w w:val="105"/>
          <w:sz w:val="16"/>
        </w:rPr>
        <w:t>la</w:t>
      </w:r>
      <w:r>
        <w:rPr>
          <w:rFonts w:ascii="Calibri" w:hAnsi="Calibri"/>
          <w:color w:val="414042"/>
          <w:spacing w:val="-18"/>
          <w:w w:val="105"/>
          <w:sz w:val="16"/>
        </w:rPr>
        <w:t> </w:t>
      </w:r>
      <w:r>
        <w:rPr>
          <w:rFonts w:ascii="Calibri" w:hAnsi="Calibri"/>
          <w:color w:val="414042"/>
          <w:w w:val="105"/>
          <w:sz w:val="16"/>
        </w:rPr>
        <w:t>predominante</w:t>
      </w:r>
      <w:r>
        <w:rPr>
          <w:rFonts w:ascii="Calibri" w:hAnsi="Calibri"/>
          <w:color w:val="414042"/>
          <w:spacing w:val="-18"/>
          <w:w w:val="105"/>
          <w:sz w:val="16"/>
        </w:rPr>
        <w:t> </w:t>
      </w:r>
      <w:r>
        <w:rPr>
          <w:rFonts w:ascii="Calibri" w:hAnsi="Calibri"/>
          <w:color w:val="414042"/>
          <w:w w:val="105"/>
          <w:sz w:val="16"/>
        </w:rPr>
        <w:t>existencia</w:t>
      </w:r>
      <w:r>
        <w:rPr>
          <w:rFonts w:ascii="Calibri" w:hAnsi="Calibri"/>
          <w:color w:val="414042"/>
          <w:spacing w:val="-18"/>
          <w:w w:val="105"/>
          <w:sz w:val="16"/>
        </w:rPr>
        <w:t> </w:t>
      </w:r>
      <w:r>
        <w:rPr>
          <w:rFonts w:ascii="Calibri" w:hAnsi="Calibri"/>
          <w:color w:val="414042"/>
          <w:w w:val="105"/>
          <w:sz w:val="16"/>
        </w:rPr>
        <w:t>de</w:t>
      </w:r>
      <w:r>
        <w:rPr>
          <w:rFonts w:ascii="Calibri" w:hAnsi="Calibri"/>
          <w:color w:val="414042"/>
          <w:spacing w:val="-18"/>
          <w:w w:val="105"/>
          <w:sz w:val="16"/>
        </w:rPr>
        <w:t> </w:t>
      </w:r>
      <w:r>
        <w:rPr>
          <w:rFonts w:ascii="Calibri" w:hAnsi="Calibri"/>
          <w:color w:val="414042"/>
          <w:w w:val="105"/>
          <w:sz w:val="16"/>
        </w:rPr>
        <w:t>población</w:t>
      </w:r>
      <w:r>
        <w:rPr>
          <w:rFonts w:ascii="Calibri" w:hAnsi="Calibri"/>
          <w:color w:val="414042"/>
          <w:spacing w:val="-18"/>
          <w:w w:val="105"/>
          <w:sz w:val="16"/>
        </w:rPr>
        <w:t> </w:t>
      </w:r>
      <w:r>
        <w:rPr>
          <w:rFonts w:ascii="Calibri" w:hAnsi="Calibri"/>
          <w:color w:val="414042"/>
          <w:w w:val="105"/>
          <w:sz w:val="16"/>
        </w:rPr>
        <w:t>urbana</w:t>
      </w:r>
      <w:r>
        <w:rPr>
          <w:rFonts w:ascii="Calibri" w:hAnsi="Calibri"/>
          <w:color w:val="414042"/>
          <w:spacing w:val="-18"/>
          <w:w w:val="105"/>
          <w:sz w:val="16"/>
        </w:rPr>
        <w:t> </w:t>
      </w:r>
      <w:r>
        <w:rPr>
          <w:rFonts w:ascii="Calibri" w:hAnsi="Calibri"/>
          <w:color w:val="414042"/>
          <w:w w:val="105"/>
          <w:sz w:val="16"/>
        </w:rPr>
        <w:t>a</w:t>
      </w:r>
      <w:r>
        <w:rPr>
          <w:rFonts w:ascii="Calibri" w:hAnsi="Calibri"/>
          <w:color w:val="414042"/>
          <w:spacing w:val="-18"/>
          <w:w w:val="105"/>
          <w:sz w:val="16"/>
        </w:rPr>
        <w:t> </w:t>
      </w:r>
      <w:r>
        <w:rPr>
          <w:rFonts w:ascii="Calibri" w:hAnsi="Calibri"/>
          <w:color w:val="414042"/>
          <w:w w:val="105"/>
          <w:sz w:val="16"/>
        </w:rPr>
        <w:t>nivel</w:t>
      </w:r>
      <w:r>
        <w:rPr>
          <w:rFonts w:ascii="Calibri" w:hAnsi="Calibri"/>
          <w:color w:val="414042"/>
          <w:spacing w:val="-18"/>
          <w:w w:val="105"/>
          <w:sz w:val="16"/>
        </w:rPr>
        <w:t> </w:t>
      </w:r>
      <w:r>
        <w:rPr>
          <w:rFonts w:ascii="Calibri" w:hAnsi="Calibri"/>
          <w:color w:val="414042"/>
          <w:w w:val="105"/>
          <w:sz w:val="16"/>
        </w:rPr>
        <w:t>es- tatal.</w:t>
      </w:r>
      <w:r>
        <w:rPr>
          <w:rFonts w:ascii="Calibri" w:hAnsi="Calibri"/>
          <w:color w:val="414042"/>
          <w:spacing w:val="-14"/>
          <w:w w:val="105"/>
          <w:sz w:val="16"/>
        </w:rPr>
        <w:t> </w:t>
      </w:r>
      <w:r>
        <w:rPr>
          <w:rFonts w:ascii="Calibri" w:hAnsi="Calibri"/>
          <w:color w:val="414042"/>
          <w:w w:val="105"/>
          <w:sz w:val="16"/>
        </w:rPr>
        <w:t>En</w:t>
      </w:r>
      <w:r>
        <w:rPr>
          <w:rFonts w:ascii="Calibri" w:hAnsi="Calibri"/>
          <w:color w:val="414042"/>
          <w:spacing w:val="-14"/>
          <w:w w:val="105"/>
          <w:sz w:val="16"/>
        </w:rPr>
        <w:t> </w:t>
      </w:r>
      <w:r>
        <w:rPr>
          <w:rFonts w:ascii="Calibri" w:hAnsi="Calibri"/>
          <w:color w:val="414042"/>
          <w:w w:val="105"/>
          <w:sz w:val="16"/>
        </w:rPr>
        <w:t>el</w:t>
      </w:r>
      <w:r>
        <w:rPr>
          <w:rFonts w:ascii="Calibri" w:hAnsi="Calibri"/>
          <w:color w:val="414042"/>
          <w:spacing w:val="-14"/>
          <w:w w:val="105"/>
          <w:sz w:val="16"/>
        </w:rPr>
        <w:t> </w:t>
      </w:r>
      <w:r>
        <w:rPr>
          <w:rFonts w:ascii="Calibri" w:hAnsi="Calibri"/>
          <w:color w:val="414042"/>
          <w:w w:val="105"/>
          <w:sz w:val="16"/>
        </w:rPr>
        <w:t>Estado</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México</w:t>
      </w:r>
      <w:r>
        <w:rPr>
          <w:rFonts w:ascii="Calibri" w:hAnsi="Calibri"/>
          <w:color w:val="414042"/>
          <w:spacing w:val="-14"/>
          <w:w w:val="105"/>
          <w:sz w:val="16"/>
        </w:rPr>
        <w:t> </w:t>
      </w:r>
      <w:r>
        <w:rPr>
          <w:rFonts w:ascii="Calibri" w:hAnsi="Calibri"/>
          <w:color w:val="414042"/>
          <w:w w:val="105"/>
          <w:sz w:val="16"/>
        </w:rPr>
        <w:t>para</w:t>
      </w:r>
      <w:r>
        <w:rPr>
          <w:rFonts w:ascii="Calibri" w:hAnsi="Calibri"/>
          <w:color w:val="414042"/>
          <w:spacing w:val="-14"/>
          <w:w w:val="105"/>
          <w:sz w:val="16"/>
        </w:rPr>
        <w:t> </w:t>
      </w:r>
      <w:r>
        <w:rPr>
          <w:rFonts w:ascii="Calibri" w:hAnsi="Calibri"/>
          <w:color w:val="414042"/>
          <w:w w:val="105"/>
          <w:sz w:val="16"/>
        </w:rPr>
        <w:t>el</w:t>
      </w:r>
      <w:r>
        <w:rPr>
          <w:rFonts w:ascii="Calibri" w:hAnsi="Calibri"/>
          <w:color w:val="414042"/>
          <w:spacing w:val="-14"/>
          <w:w w:val="105"/>
          <w:sz w:val="16"/>
        </w:rPr>
        <w:t> </w:t>
      </w:r>
      <w:r>
        <w:rPr>
          <w:rFonts w:ascii="Calibri" w:hAnsi="Calibri"/>
          <w:color w:val="414042"/>
          <w:w w:val="105"/>
          <w:sz w:val="16"/>
        </w:rPr>
        <w:t>año</w:t>
      </w:r>
      <w:r>
        <w:rPr>
          <w:rFonts w:ascii="Calibri" w:hAnsi="Calibri"/>
          <w:color w:val="414042"/>
          <w:spacing w:val="-14"/>
          <w:w w:val="105"/>
          <w:sz w:val="16"/>
        </w:rPr>
        <w:t> </w:t>
      </w:r>
      <w:r>
        <w:rPr>
          <w:rFonts w:ascii="Calibri" w:hAnsi="Calibri"/>
          <w:color w:val="414042"/>
          <w:w w:val="105"/>
          <w:sz w:val="16"/>
        </w:rPr>
        <w:t>2000</w:t>
      </w:r>
      <w:r>
        <w:rPr>
          <w:rFonts w:ascii="Calibri" w:hAnsi="Calibri"/>
          <w:color w:val="414042"/>
          <w:spacing w:val="-14"/>
          <w:w w:val="105"/>
          <w:sz w:val="16"/>
        </w:rPr>
        <w:t> </w:t>
      </w:r>
      <w:r>
        <w:rPr>
          <w:rFonts w:ascii="Calibri" w:hAnsi="Calibri"/>
          <w:color w:val="414042"/>
          <w:w w:val="105"/>
          <w:sz w:val="16"/>
        </w:rPr>
        <w:t>se</w:t>
      </w:r>
      <w:r>
        <w:rPr>
          <w:rFonts w:ascii="Calibri" w:hAnsi="Calibri"/>
          <w:color w:val="414042"/>
          <w:spacing w:val="-14"/>
          <w:w w:val="105"/>
          <w:sz w:val="16"/>
        </w:rPr>
        <w:t> </w:t>
      </w:r>
      <w:r>
        <w:rPr>
          <w:rFonts w:ascii="Calibri" w:hAnsi="Calibri"/>
          <w:color w:val="414042"/>
          <w:w w:val="105"/>
          <w:sz w:val="16"/>
        </w:rPr>
        <w:t>registró</w:t>
      </w:r>
      <w:r>
        <w:rPr>
          <w:rFonts w:ascii="Calibri" w:hAnsi="Calibri"/>
          <w:color w:val="414042"/>
          <w:spacing w:val="-14"/>
          <w:w w:val="105"/>
          <w:sz w:val="16"/>
        </w:rPr>
        <w:t> </w:t>
      </w:r>
      <w:r>
        <w:rPr>
          <w:rFonts w:ascii="Calibri" w:hAnsi="Calibri"/>
          <w:color w:val="414042"/>
          <w:w w:val="105"/>
          <w:sz w:val="16"/>
        </w:rPr>
        <w:t>86%</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la</w:t>
      </w:r>
      <w:r>
        <w:rPr>
          <w:rFonts w:ascii="Calibri" w:hAnsi="Calibri"/>
          <w:color w:val="414042"/>
          <w:spacing w:val="-14"/>
          <w:w w:val="105"/>
          <w:sz w:val="16"/>
        </w:rPr>
        <w:t> </w:t>
      </w:r>
      <w:r>
        <w:rPr>
          <w:rFonts w:ascii="Calibri" w:hAnsi="Calibri"/>
          <w:color w:val="414042"/>
          <w:w w:val="105"/>
          <w:sz w:val="16"/>
        </w:rPr>
        <w:t>población</w:t>
      </w:r>
      <w:r>
        <w:rPr>
          <w:rFonts w:ascii="Calibri" w:hAnsi="Calibri"/>
          <w:color w:val="414042"/>
          <w:spacing w:val="-14"/>
          <w:w w:val="105"/>
          <w:sz w:val="16"/>
        </w:rPr>
        <w:t> </w:t>
      </w:r>
      <w:r>
        <w:rPr>
          <w:rFonts w:ascii="Calibri" w:hAnsi="Calibri"/>
          <w:color w:val="414042"/>
          <w:w w:val="105"/>
          <w:sz w:val="16"/>
        </w:rPr>
        <w:t>como</w:t>
      </w:r>
      <w:r>
        <w:rPr>
          <w:rFonts w:ascii="Calibri" w:hAnsi="Calibri"/>
          <w:color w:val="414042"/>
          <w:spacing w:val="-14"/>
          <w:w w:val="105"/>
          <w:sz w:val="16"/>
        </w:rPr>
        <w:t> </w:t>
      </w:r>
      <w:r>
        <w:rPr>
          <w:rFonts w:ascii="Calibri" w:hAnsi="Calibri"/>
          <w:color w:val="414042"/>
          <w:w w:val="105"/>
          <w:sz w:val="16"/>
        </w:rPr>
        <w:t>urbana</w:t>
      </w:r>
      <w:r>
        <w:rPr>
          <w:rFonts w:ascii="Calibri" w:hAnsi="Calibri"/>
          <w:color w:val="414042"/>
          <w:spacing w:val="-15"/>
          <w:w w:val="105"/>
          <w:sz w:val="16"/>
        </w:rPr>
        <w:t> </w:t>
      </w:r>
      <w:r>
        <w:rPr>
          <w:rFonts w:ascii="Calibri" w:hAnsi="Calibri"/>
          <w:color w:val="414042"/>
          <w:w w:val="105"/>
          <w:sz w:val="16"/>
        </w:rPr>
        <w:t>y</w:t>
      </w:r>
      <w:r>
        <w:rPr>
          <w:rFonts w:ascii="Calibri" w:hAnsi="Calibri"/>
          <w:color w:val="414042"/>
          <w:spacing w:val="-14"/>
          <w:w w:val="105"/>
          <w:sz w:val="16"/>
        </w:rPr>
        <w:t> </w:t>
      </w:r>
      <w:r>
        <w:rPr>
          <w:rFonts w:ascii="Calibri" w:hAnsi="Calibri"/>
          <w:color w:val="414042"/>
          <w:w w:val="105"/>
          <w:sz w:val="16"/>
        </w:rPr>
        <w:t>únicamente 14%</w:t>
      </w:r>
      <w:r>
        <w:rPr>
          <w:rFonts w:ascii="Calibri" w:hAnsi="Calibri"/>
          <w:color w:val="414042"/>
          <w:spacing w:val="-21"/>
          <w:w w:val="105"/>
          <w:sz w:val="16"/>
        </w:rPr>
        <w:t> </w:t>
      </w:r>
      <w:r>
        <w:rPr>
          <w:rFonts w:ascii="Calibri" w:hAnsi="Calibri"/>
          <w:color w:val="414042"/>
          <w:w w:val="105"/>
          <w:sz w:val="16"/>
        </w:rPr>
        <w:t>rural</w:t>
      </w:r>
      <w:r>
        <w:rPr>
          <w:rFonts w:ascii="Calibri" w:hAnsi="Calibri"/>
          <w:color w:val="414042"/>
          <w:spacing w:val="-21"/>
          <w:w w:val="105"/>
          <w:sz w:val="16"/>
        </w:rPr>
        <w:t> </w:t>
      </w:r>
      <w:r>
        <w:rPr>
          <w:rFonts w:ascii="Calibri" w:hAnsi="Calibri"/>
          <w:color w:val="414042"/>
          <w:w w:val="105"/>
          <w:sz w:val="16"/>
        </w:rPr>
        <w:t>(</w:t>
      </w:r>
      <w:r>
        <w:rPr>
          <w:rFonts w:ascii="Calibri" w:hAnsi="Calibri"/>
          <w:color w:val="414042"/>
          <w:w w:val="105"/>
          <w:sz w:val="13"/>
        </w:rPr>
        <w:t>INEGI</w:t>
      </w:r>
      <w:r>
        <w:rPr>
          <w:rFonts w:ascii="Calibri" w:hAnsi="Calibri"/>
          <w:color w:val="414042"/>
          <w:w w:val="105"/>
          <w:sz w:val="16"/>
        </w:rPr>
        <w:t>,</w:t>
      </w:r>
      <w:r>
        <w:rPr>
          <w:rFonts w:ascii="Calibri" w:hAnsi="Calibri"/>
          <w:color w:val="414042"/>
          <w:spacing w:val="-21"/>
          <w:w w:val="105"/>
          <w:sz w:val="16"/>
        </w:rPr>
        <w:t> </w:t>
      </w:r>
      <w:r>
        <w:rPr>
          <w:rFonts w:ascii="Calibri" w:hAnsi="Calibri"/>
          <w:color w:val="414042"/>
          <w:w w:val="105"/>
          <w:sz w:val="16"/>
        </w:rPr>
        <w:t>2001).</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80256" from="131.551193pt,3.753715pt" to="131.551193pt,39.556114pt" stroked="true" strokeweight=".35pt" strokecolor="#231f20">
            <w10:wrap type="none"/>
          </v:line>
        </w:pict>
      </w:r>
      <w:r>
        <w:rPr/>
        <w:pict>
          <v:line style="position:absolute;mso-position-horizontal-relative:page;mso-position-vertical-relative:paragraph;z-index:-480184" from="15pt,39.555916pt" to="0pt,39.555916pt" stroked="true" strokeweight=".25pt" strokecolor="#000000">
            <w10:wrap type="none"/>
          </v:line>
        </w:pict>
      </w:r>
      <w:r>
        <w:rPr/>
        <w:pict>
          <v:line style="position:absolute;mso-position-horizontal-relative:page;mso-position-vertical-relative:paragraph;z-index:10024" from="508.890015pt,39.555916pt" to="523.890015pt,39.555916pt" stroked="true" strokeweight=".25pt" strokecolor="#000000">
            <w10:wrap type="none"/>
          </v:line>
        </w:pict>
      </w:r>
      <w:r>
        <w:rPr>
          <w:rFonts w:ascii="Arial" w:hAnsi="Arial"/>
          <w:color w:val="414042"/>
          <w:position w:val="-5"/>
          <w:sz w:val="20"/>
        </w:rPr>
        <w:t>100</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755" w:right="0" w:firstLine="0"/>
        <w:jc w:val="left"/>
        <w:rPr>
          <w:rFonts w:ascii="Arial" w:hAnsi="Arial"/>
          <w:sz w:val="20"/>
        </w:rPr>
      </w:pPr>
      <w:r>
        <w:rPr/>
        <w:pict>
          <v:line style="position:absolute;mso-position-horizontal-relative:page;mso-position-vertical-relative:paragraph;z-index:-480136" from="405.061005pt,-18.554295pt" to="405.061005pt,16.311579pt" stroked="true" strokeweight=".35pt" strokecolor="#231f20">
            <w10:wrap type="none"/>
          </v:line>
        </w:pict>
      </w:r>
      <w:r>
        <w:rPr/>
        <w:pict>
          <v:line style="position:absolute;mso-position-horizontal-relative:page;mso-position-vertical-relative:paragraph;z-index:10072" from="15pt,-18.554522pt" to="0pt,-18.554522pt" stroked="true" strokeweight=".25pt" strokecolor="#000000">
            <w10:wrap type="none"/>
          </v:line>
        </w:pict>
      </w:r>
      <w:r>
        <w:rPr/>
        <w:pict>
          <v:line style="position:absolute;mso-position-horizontal-relative:page;mso-position-vertical-relative:paragraph;z-index:10096"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101</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spacing w:val="-4"/>
          <w:w w:val="105"/>
        </w:rPr>
        <w:t>Pese </w:t>
      </w:r>
      <w:r>
        <w:rPr>
          <w:color w:val="231F20"/>
          <w:w w:val="105"/>
        </w:rPr>
        <w:t>a ello, la población de Villa Guerrero ve a la migración internacio- nal, sobre todo hacia Estados Unidos, como una posibilidad para</w:t>
      </w:r>
      <w:r>
        <w:rPr>
          <w:color w:val="231F20"/>
          <w:spacing w:val="-35"/>
          <w:w w:val="105"/>
        </w:rPr>
        <w:t> </w:t>
      </w:r>
      <w:r>
        <w:rPr>
          <w:color w:val="231F20"/>
          <w:w w:val="105"/>
        </w:rPr>
        <w:t>hacer frente</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supervivencia</w:t>
      </w:r>
      <w:r>
        <w:rPr>
          <w:color w:val="231F20"/>
          <w:spacing w:val="-30"/>
          <w:w w:val="105"/>
        </w:rPr>
        <w:t> </w:t>
      </w:r>
      <w:r>
        <w:rPr>
          <w:color w:val="231F20"/>
          <w:w w:val="105"/>
        </w:rPr>
        <w:t>cotidiana</w:t>
      </w:r>
      <w:r>
        <w:rPr>
          <w:color w:val="231F20"/>
          <w:spacing w:val="-30"/>
          <w:w w:val="105"/>
        </w:rPr>
        <w:t> </w:t>
      </w:r>
      <w:r>
        <w:rPr>
          <w:color w:val="231F20"/>
          <w:spacing w:val="-3"/>
          <w:w w:val="105"/>
        </w:rPr>
        <w:t>(Pérez,</w:t>
      </w:r>
      <w:r>
        <w:rPr>
          <w:color w:val="231F20"/>
          <w:spacing w:val="-34"/>
          <w:w w:val="105"/>
        </w:rPr>
        <w:t> </w:t>
      </w:r>
      <w:r>
        <w:rPr>
          <w:color w:val="231F20"/>
          <w:w w:val="105"/>
        </w:rPr>
        <w:t>2005);</w:t>
      </w:r>
      <w:r>
        <w:rPr>
          <w:color w:val="231F20"/>
          <w:spacing w:val="-30"/>
          <w:w w:val="105"/>
        </w:rPr>
        <w:t> </w:t>
      </w:r>
      <w:r>
        <w:rPr>
          <w:color w:val="231F20"/>
          <w:w w:val="105"/>
        </w:rPr>
        <w:t>asimismo,</w:t>
      </w:r>
      <w:r>
        <w:rPr>
          <w:color w:val="231F20"/>
          <w:spacing w:val="-34"/>
          <w:w w:val="105"/>
        </w:rPr>
        <w:t> </w:t>
      </w:r>
      <w:r>
        <w:rPr>
          <w:color w:val="231F20"/>
          <w:w w:val="105"/>
        </w:rPr>
        <w:t>en</w:t>
      </w:r>
      <w:r>
        <w:rPr>
          <w:color w:val="231F20"/>
          <w:spacing w:val="-30"/>
          <w:w w:val="105"/>
        </w:rPr>
        <w:t> </w:t>
      </w:r>
      <w:r>
        <w:rPr>
          <w:color w:val="231F20"/>
          <w:w w:val="105"/>
        </w:rPr>
        <w:t>los</w:t>
      </w:r>
      <w:r>
        <w:rPr>
          <w:color w:val="231F20"/>
          <w:spacing w:val="-30"/>
          <w:w w:val="105"/>
        </w:rPr>
        <w:t> </w:t>
      </w:r>
      <w:r>
        <w:rPr>
          <w:color w:val="231F20"/>
          <w:w w:val="105"/>
        </w:rPr>
        <w:t>últimos años el municipio se ha posicionado como importante receptor de in- migrantes</w:t>
      </w:r>
      <w:r>
        <w:rPr>
          <w:color w:val="231F20"/>
          <w:spacing w:val="-7"/>
          <w:w w:val="105"/>
        </w:rPr>
        <w:t> </w:t>
      </w:r>
      <w:r>
        <w:rPr>
          <w:color w:val="231F20"/>
          <w:w w:val="105"/>
        </w:rPr>
        <w:t>provenientes</w:t>
      </w:r>
      <w:r>
        <w:rPr>
          <w:color w:val="231F20"/>
          <w:spacing w:val="-7"/>
          <w:w w:val="105"/>
        </w:rPr>
        <w:t> </w:t>
      </w:r>
      <w:r>
        <w:rPr>
          <w:color w:val="231F20"/>
          <w:w w:val="105"/>
        </w:rPr>
        <w:t>en</w:t>
      </w:r>
      <w:r>
        <w:rPr>
          <w:color w:val="231F20"/>
          <w:spacing w:val="-7"/>
          <w:w w:val="105"/>
        </w:rPr>
        <w:t> </w:t>
      </w:r>
      <w:r>
        <w:rPr>
          <w:color w:val="231F20"/>
          <w:w w:val="105"/>
        </w:rPr>
        <w:t>su</w:t>
      </w:r>
      <w:r>
        <w:rPr>
          <w:color w:val="231F20"/>
          <w:spacing w:val="-7"/>
          <w:w w:val="105"/>
        </w:rPr>
        <w:t> </w:t>
      </w:r>
      <w:r>
        <w:rPr>
          <w:color w:val="231F20"/>
          <w:w w:val="105"/>
        </w:rPr>
        <w:t>mayoría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estados</w:t>
      </w:r>
      <w:r>
        <w:rPr>
          <w:color w:val="231F20"/>
          <w:spacing w:val="-7"/>
          <w:w w:val="105"/>
        </w:rPr>
        <w:t> </w:t>
      </w:r>
      <w:r>
        <w:rPr>
          <w:color w:val="231F20"/>
          <w:w w:val="105"/>
        </w:rPr>
        <w:t>del</w:t>
      </w:r>
      <w:r>
        <w:rPr>
          <w:color w:val="231F20"/>
          <w:spacing w:val="-7"/>
          <w:w w:val="105"/>
        </w:rPr>
        <w:t> </w:t>
      </w:r>
      <w:r>
        <w:rPr>
          <w:color w:val="231F20"/>
          <w:w w:val="105"/>
        </w:rPr>
        <w:t>sur</w:t>
      </w:r>
      <w:r>
        <w:rPr>
          <w:color w:val="231F20"/>
          <w:spacing w:val="-7"/>
          <w:w w:val="105"/>
        </w:rPr>
        <w:t> </w:t>
      </w:r>
      <w:r>
        <w:rPr>
          <w:color w:val="231F20"/>
          <w:w w:val="105"/>
        </w:rPr>
        <w:t>de</w:t>
      </w:r>
      <w:r>
        <w:rPr>
          <w:color w:val="231F20"/>
          <w:spacing w:val="-7"/>
          <w:w w:val="105"/>
        </w:rPr>
        <w:t> </w:t>
      </w:r>
      <w:r>
        <w:rPr>
          <w:color w:val="231F20"/>
          <w:w w:val="105"/>
        </w:rPr>
        <w:t>México como</w:t>
      </w:r>
      <w:r>
        <w:rPr>
          <w:color w:val="231F20"/>
          <w:spacing w:val="-5"/>
          <w:w w:val="105"/>
        </w:rPr>
        <w:t> </w:t>
      </w:r>
      <w:r>
        <w:rPr>
          <w:color w:val="231F20"/>
          <w:w w:val="105"/>
        </w:rPr>
        <w:t>Chiapas,</w:t>
      </w:r>
      <w:r>
        <w:rPr>
          <w:color w:val="231F20"/>
          <w:spacing w:val="-13"/>
          <w:w w:val="105"/>
        </w:rPr>
        <w:t> </w:t>
      </w:r>
      <w:r>
        <w:rPr>
          <w:color w:val="231F20"/>
          <w:spacing w:val="-3"/>
          <w:w w:val="105"/>
        </w:rPr>
        <w:t>Tabasco</w:t>
      </w:r>
      <w:r>
        <w:rPr>
          <w:color w:val="231F20"/>
          <w:spacing w:val="-5"/>
          <w:w w:val="105"/>
        </w:rPr>
        <w:t> </w:t>
      </w:r>
      <w:r>
        <w:rPr>
          <w:color w:val="231F20"/>
          <w:w w:val="105"/>
        </w:rPr>
        <w:t>y</w:t>
      </w:r>
      <w:r>
        <w:rPr>
          <w:color w:val="231F20"/>
          <w:spacing w:val="-8"/>
          <w:w w:val="105"/>
        </w:rPr>
        <w:t> </w:t>
      </w:r>
      <w:r>
        <w:rPr>
          <w:color w:val="231F20"/>
          <w:w w:val="105"/>
        </w:rPr>
        <w:t>Veracruz,</w:t>
      </w:r>
      <w:r>
        <w:rPr>
          <w:color w:val="231F20"/>
          <w:spacing w:val="-9"/>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menor</w:t>
      </w:r>
      <w:r>
        <w:rPr>
          <w:color w:val="231F20"/>
          <w:spacing w:val="-5"/>
          <w:w w:val="105"/>
        </w:rPr>
        <w:t> </w:t>
      </w:r>
      <w:r>
        <w:rPr>
          <w:color w:val="231F20"/>
          <w:w w:val="105"/>
        </w:rPr>
        <w:t>medida</w:t>
      </w:r>
      <w:r>
        <w:rPr>
          <w:color w:val="231F20"/>
          <w:spacing w:val="-5"/>
          <w:w w:val="105"/>
        </w:rPr>
        <w:t> </w:t>
      </w:r>
      <w:r>
        <w:rPr>
          <w:color w:val="231F20"/>
          <w:w w:val="105"/>
        </w:rPr>
        <w:t>de</w:t>
      </w:r>
      <w:r>
        <w:rPr>
          <w:color w:val="231F20"/>
          <w:spacing w:val="-5"/>
          <w:w w:val="105"/>
        </w:rPr>
        <w:t> </w:t>
      </w:r>
      <w:r>
        <w:rPr>
          <w:color w:val="231F20"/>
          <w:w w:val="105"/>
        </w:rPr>
        <w:t>inmigrantes provenientes</w:t>
      </w:r>
      <w:r>
        <w:rPr>
          <w:color w:val="231F20"/>
          <w:spacing w:val="-12"/>
          <w:w w:val="105"/>
        </w:rPr>
        <w:t> </w:t>
      </w:r>
      <w:r>
        <w:rPr>
          <w:color w:val="231F20"/>
          <w:w w:val="105"/>
        </w:rPr>
        <w:t>de</w:t>
      </w:r>
      <w:r>
        <w:rPr>
          <w:color w:val="231F20"/>
          <w:spacing w:val="-12"/>
          <w:w w:val="105"/>
        </w:rPr>
        <w:t> </w:t>
      </w:r>
      <w:r>
        <w:rPr>
          <w:color w:val="231F20"/>
          <w:w w:val="105"/>
        </w:rPr>
        <w:t>Guatemala</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Salvador.</w:t>
      </w:r>
      <w:r>
        <w:rPr>
          <w:color w:val="231F20"/>
          <w:spacing w:val="-16"/>
          <w:w w:val="105"/>
        </w:rPr>
        <w:t> </w:t>
      </w:r>
      <w:r>
        <w:rPr>
          <w:color w:val="231F20"/>
          <w:w w:val="105"/>
        </w:rPr>
        <w:t>La</w:t>
      </w:r>
      <w:r>
        <w:rPr>
          <w:color w:val="231F20"/>
          <w:spacing w:val="-12"/>
          <w:w w:val="105"/>
        </w:rPr>
        <w:t> </w:t>
      </w:r>
      <w:r>
        <w:rPr>
          <w:color w:val="231F20"/>
          <w:w w:val="105"/>
        </w:rPr>
        <w:t>información</w:t>
      </w:r>
      <w:r>
        <w:rPr>
          <w:color w:val="231F20"/>
          <w:spacing w:val="-12"/>
          <w:w w:val="105"/>
        </w:rPr>
        <w:t> </w:t>
      </w:r>
      <w:r>
        <w:rPr>
          <w:color w:val="231F20"/>
          <w:w w:val="105"/>
        </w:rPr>
        <w:t>al</w:t>
      </w:r>
      <w:r>
        <w:rPr>
          <w:color w:val="231F20"/>
          <w:spacing w:val="-12"/>
          <w:w w:val="105"/>
        </w:rPr>
        <w:t> </w:t>
      </w:r>
      <w:r>
        <w:rPr>
          <w:color w:val="231F20"/>
          <w:w w:val="105"/>
        </w:rPr>
        <w:t>respecto</w:t>
      </w:r>
      <w:r>
        <w:rPr>
          <w:color w:val="231F20"/>
          <w:spacing w:val="-12"/>
          <w:w w:val="105"/>
        </w:rPr>
        <w:t> </w:t>
      </w:r>
      <w:r>
        <w:rPr>
          <w:color w:val="231F20"/>
          <w:w w:val="105"/>
        </w:rPr>
        <w:t>es sumamente</w:t>
      </w:r>
      <w:r>
        <w:rPr>
          <w:color w:val="231F20"/>
          <w:spacing w:val="-5"/>
          <w:w w:val="105"/>
        </w:rPr>
        <w:t> </w:t>
      </w:r>
      <w:r>
        <w:rPr>
          <w:color w:val="231F20"/>
          <w:w w:val="105"/>
        </w:rPr>
        <w:t>limitada,</w:t>
      </w:r>
      <w:r>
        <w:rPr>
          <w:color w:val="231F20"/>
          <w:spacing w:val="-11"/>
          <w:w w:val="105"/>
        </w:rPr>
        <w:t> </w:t>
      </w:r>
      <w:r>
        <w:rPr>
          <w:color w:val="231F20"/>
          <w:w w:val="105"/>
        </w:rPr>
        <w:t>pues</w:t>
      </w:r>
      <w:r>
        <w:rPr>
          <w:color w:val="231F20"/>
          <w:spacing w:val="-5"/>
          <w:w w:val="105"/>
        </w:rPr>
        <w:t> </w:t>
      </w:r>
      <w:r>
        <w:rPr>
          <w:color w:val="231F20"/>
          <w:w w:val="105"/>
        </w:rPr>
        <w:t>al</w:t>
      </w:r>
      <w:r>
        <w:rPr>
          <w:color w:val="231F20"/>
          <w:spacing w:val="-5"/>
          <w:w w:val="105"/>
        </w:rPr>
        <w:t> </w:t>
      </w:r>
      <w:r>
        <w:rPr>
          <w:color w:val="231F20"/>
          <w:w w:val="105"/>
        </w:rPr>
        <w:t>ser</w:t>
      </w:r>
      <w:r>
        <w:rPr>
          <w:color w:val="231F20"/>
          <w:spacing w:val="-5"/>
          <w:w w:val="105"/>
        </w:rPr>
        <w:t> </w:t>
      </w:r>
      <w:r>
        <w:rPr>
          <w:color w:val="231F20"/>
          <w:w w:val="105"/>
        </w:rPr>
        <w:t>una</w:t>
      </w:r>
      <w:r>
        <w:rPr>
          <w:color w:val="231F20"/>
          <w:spacing w:val="-5"/>
          <w:w w:val="105"/>
        </w:rPr>
        <w:t> </w:t>
      </w:r>
      <w:r>
        <w:rPr>
          <w:color w:val="231F20"/>
          <w:w w:val="105"/>
        </w:rPr>
        <w:t>migración</w:t>
      </w:r>
      <w:r>
        <w:rPr>
          <w:color w:val="231F20"/>
          <w:spacing w:val="-5"/>
          <w:w w:val="105"/>
        </w:rPr>
        <w:t> </w:t>
      </w:r>
      <w:r>
        <w:rPr>
          <w:color w:val="231F20"/>
          <w:w w:val="105"/>
        </w:rPr>
        <w:t>temporal,</w:t>
      </w:r>
      <w:r>
        <w:rPr>
          <w:color w:val="231F20"/>
          <w:spacing w:val="-11"/>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mayoría de</w:t>
      </w:r>
      <w:r>
        <w:rPr>
          <w:color w:val="231F20"/>
          <w:spacing w:val="-19"/>
          <w:w w:val="105"/>
        </w:rPr>
        <w:t> </w:t>
      </w:r>
      <w:r>
        <w:rPr>
          <w:color w:val="231F20"/>
          <w:w w:val="105"/>
        </w:rPr>
        <w:t>los</w:t>
      </w:r>
      <w:r>
        <w:rPr>
          <w:color w:val="231F20"/>
          <w:spacing w:val="-19"/>
          <w:w w:val="105"/>
        </w:rPr>
        <w:t> </w:t>
      </w:r>
      <w:r>
        <w:rPr>
          <w:color w:val="231F20"/>
          <w:w w:val="105"/>
        </w:rPr>
        <w:t>casos,</w:t>
      </w:r>
      <w:r>
        <w:rPr>
          <w:color w:val="231F20"/>
          <w:spacing w:val="-24"/>
          <w:w w:val="105"/>
        </w:rPr>
        <w:t> </w:t>
      </w:r>
      <w:r>
        <w:rPr>
          <w:color w:val="231F20"/>
          <w:w w:val="105"/>
        </w:rPr>
        <w:t>su</w:t>
      </w:r>
      <w:r>
        <w:rPr>
          <w:color w:val="231F20"/>
          <w:spacing w:val="-19"/>
          <w:w w:val="105"/>
        </w:rPr>
        <w:t> </w:t>
      </w:r>
      <w:r>
        <w:rPr>
          <w:color w:val="231F20"/>
          <w:w w:val="105"/>
        </w:rPr>
        <w:t>identificación</w:t>
      </w:r>
      <w:r>
        <w:rPr>
          <w:color w:val="231F20"/>
          <w:spacing w:val="-19"/>
          <w:w w:val="105"/>
        </w:rPr>
        <w:t> </w:t>
      </w:r>
      <w:r>
        <w:rPr>
          <w:color w:val="231F20"/>
          <w:w w:val="105"/>
        </w:rPr>
        <w:t>y</w:t>
      </w:r>
      <w:r>
        <w:rPr>
          <w:color w:val="231F20"/>
          <w:spacing w:val="-19"/>
          <w:w w:val="105"/>
        </w:rPr>
        <w:t> </w:t>
      </w:r>
      <w:r>
        <w:rPr>
          <w:color w:val="231F20"/>
          <w:w w:val="105"/>
        </w:rPr>
        <w:t>medición</w:t>
      </w:r>
      <w:r>
        <w:rPr>
          <w:color w:val="231F20"/>
          <w:spacing w:val="-19"/>
          <w:w w:val="105"/>
        </w:rPr>
        <w:t> </w:t>
      </w:r>
      <w:r>
        <w:rPr>
          <w:color w:val="231F20"/>
          <w:w w:val="105"/>
        </w:rPr>
        <w:t>resultan</w:t>
      </w:r>
      <w:r>
        <w:rPr>
          <w:color w:val="231F20"/>
          <w:spacing w:val="-19"/>
          <w:w w:val="105"/>
        </w:rPr>
        <w:t> </w:t>
      </w:r>
      <w:r>
        <w:rPr>
          <w:color w:val="231F20"/>
          <w:w w:val="105"/>
        </w:rPr>
        <w:t>prácticamente</w:t>
      </w:r>
      <w:r>
        <w:rPr>
          <w:color w:val="231F20"/>
          <w:spacing w:val="-19"/>
          <w:w w:val="105"/>
        </w:rPr>
        <w:t> </w:t>
      </w:r>
      <w:r>
        <w:rPr>
          <w:color w:val="231F20"/>
          <w:w w:val="105"/>
        </w:rPr>
        <w:t>imposi- ble.</w:t>
      </w:r>
      <w:r>
        <w:rPr>
          <w:color w:val="231F20"/>
          <w:spacing w:val="-13"/>
          <w:w w:val="105"/>
        </w:rPr>
        <w:t> </w:t>
      </w:r>
      <w:r>
        <w:rPr>
          <w:color w:val="231F20"/>
          <w:w w:val="105"/>
        </w:rPr>
        <w:t>Lo</w:t>
      </w:r>
      <w:r>
        <w:rPr>
          <w:color w:val="231F20"/>
          <w:spacing w:val="-5"/>
          <w:w w:val="105"/>
        </w:rPr>
        <w:t> </w:t>
      </w:r>
      <w:r>
        <w:rPr>
          <w:color w:val="231F20"/>
          <w:w w:val="105"/>
        </w:rPr>
        <w:t>poco</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sabe</w:t>
      </w:r>
      <w:r>
        <w:rPr>
          <w:color w:val="231F20"/>
          <w:spacing w:val="-5"/>
          <w:w w:val="105"/>
        </w:rPr>
        <w:t> </w:t>
      </w:r>
      <w:r>
        <w:rPr>
          <w:color w:val="231F20"/>
          <w:w w:val="105"/>
        </w:rPr>
        <w:t>tiene</w:t>
      </w:r>
      <w:r>
        <w:rPr>
          <w:color w:val="231F20"/>
          <w:spacing w:val="-5"/>
          <w:w w:val="105"/>
        </w:rPr>
        <w:t> </w:t>
      </w:r>
      <w:r>
        <w:rPr>
          <w:color w:val="231F20"/>
          <w:w w:val="105"/>
        </w:rPr>
        <w:t>como</w:t>
      </w:r>
      <w:r>
        <w:rPr>
          <w:color w:val="231F20"/>
          <w:spacing w:val="-5"/>
          <w:w w:val="105"/>
        </w:rPr>
        <w:t> </w:t>
      </w:r>
      <w:r>
        <w:rPr>
          <w:color w:val="231F20"/>
          <w:w w:val="105"/>
        </w:rPr>
        <w:t>fuente</w:t>
      </w:r>
      <w:r>
        <w:rPr>
          <w:color w:val="231F20"/>
          <w:spacing w:val="-5"/>
          <w:w w:val="105"/>
        </w:rPr>
        <w:t> </w:t>
      </w:r>
      <w:r>
        <w:rPr>
          <w:color w:val="231F20"/>
          <w:w w:val="105"/>
        </w:rPr>
        <w:t>el</w:t>
      </w:r>
      <w:r>
        <w:rPr>
          <w:color w:val="231F20"/>
          <w:spacing w:val="-5"/>
          <w:w w:val="105"/>
        </w:rPr>
        <w:t> </w:t>
      </w:r>
      <w:r>
        <w:rPr>
          <w:color w:val="231F20"/>
          <w:w w:val="105"/>
        </w:rPr>
        <w:t>testimonio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propios habitantes</w:t>
      </w:r>
      <w:r>
        <w:rPr>
          <w:color w:val="231F20"/>
          <w:spacing w:val="-5"/>
          <w:w w:val="105"/>
        </w:rPr>
        <w:t> </w:t>
      </w:r>
      <w:r>
        <w:rPr>
          <w:color w:val="231F20"/>
          <w:w w:val="105"/>
        </w:rPr>
        <w:t>de</w:t>
      </w:r>
      <w:r>
        <w:rPr>
          <w:color w:val="231F20"/>
          <w:spacing w:val="-8"/>
          <w:w w:val="105"/>
        </w:rPr>
        <w:t> </w:t>
      </w:r>
      <w:r>
        <w:rPr>
          <w:color w:val="231F20"/>
          <w:w w:val="105"/>
        </w:rPr>
        <w:t>Villa</w:t>
      </w:r>
      <w:r>
        <w:rPr>
          <w:color w:val="231F20"/>
          <w:spacing w:val="-5"/>
          <w:w w:val="105"/>
        </w:rPr>
        <w:t> </w:t>
      </w:r>
      <w:r>
        <w:rPr>
          <w:color w:val="231F20"/>
          <w:w w:val="105"/>
        </w:rPr>
        <w:t>Guerrero,</w:t>
      </w:r>
      <w:r>
        <w:rPr>
          <w:color w:val="231F20"/>
          <w:spacing w:val="-10"/>
          <w:w w:val="105"/>
        </w:rPr>
        <w:t> </w:t>
      </w:r>
      <w:r>
        <w:rPr>
          <w:color w:val="231F20"/>
          <w:w w:val="105"/>
        </w:rPr>
        <w:t>las</w:t>
      </w:r>
      <w:r>
        <w:rPr>
          <w:color w:val="231F20"/>
          <w:spacing w:val="-5"/>
          <w:w w:val="105"/>
        </w:rPr>
        <w:t> </w:t>
      </w:r>
      <w:r>
        <w:rPr>
          <w:color w:val="231F20"/>
          <w:w w:val="105"/>
        </w:rPr>
        <w:t>autoridades</w:t>
      </w:r>
      <w:r>
        <w:rPr>
          <w:color w:val="231F20"/>
          <w:spacing w:val="-5"/>
          <w:w w:val="105"/>
        </w:rPr>
        <w:t> </w:t>
      </w:r>
      <w:r>
        <w:rPr>
          <w:color w:val="231F20"/>
          <w:w w:val="105"/>
        </w:rPr>
        <w:t>municipales</w:t>
      </w:r>
      <w:r>
        <w:rPr>
          <w:color w:val="231F20"/>
          <w:spacing w:val="-5"/>
          <w:w w:val="105"/>
        </w:rPr>
        <w:t> </w:t>
      </w:r>
      <w:r>
        <w:rPr>
          <w:color w:val="231F20"/>
          <w:w w:val="105"/>
        </w:rPr>
        <w:t>y</w:t>
      </w:r>
      <w:r>
        <w:rPr>
          <w:color w:val="231F20"/>
          <w:spacing w:val="-5"/>
          <w:w w:val="105"/>
        </w:rPr>
        <w:t> </w:t>
      </w:r>
      <w:r>
        <w:rPr>
          <w:color w:val="231F20"/>
          <w:w w:val="105"/>
        </w:rPr>
        <w:t>algunos</w:t>
      </w:r>
      <w:r>
        <w:rPr>
          <w:color w:val="231F20"/>
          <w:spacing w:val="-5"/>
          <w:w w:val="105"/>
        </w:rPr>
        <w:t> </w:t>
      </w:r>
      <w:r>
        <w:rPr>
          <w:color w:val="231F20"/>
          <w:w w:val="105"/>
        </w:rPr>
        <w:t>en- cargados</w:t>
      </w:r>
      <w:r>
        <w:rPr>
          <w:color w:val="231F20"/>
          <w:spacing w:val="-10"/>
          <w:w w:val="105"/>
        </w:rPr>
        <w:t> </w:t>
      </w:r>
      <w:r>
        <w:rPr>
          <w:color w:val="231F20"/>
          <w:w w:val="105"/>
        </w:rPr>
        <w:t>de</w:t>
      </w:r>
      <w:r>
        <w:rPr>
          <w:color w:val="231F20"/>
          <w:spacing w:val="-10"/>
          <w:w w:val="105"/>
        </w:rPr>
        <w:t> </w:t>
      </w:r>
      <w:r>
        <w:rPr>
          <w:color w:val="231F20"/>
          <w:w w:val="105"/>
        </w:rPr>
        <w:t>reclutar</w:t>
      </w:r>
      <w:r>
        <w:rPr>
          <w:color w:val="231F20"/>
          <w:spacing w:val="-10"/>
          <w:w w:val="105"/>
        </w:rPr>
        <w:t> </w:t>
      </w:r>
      <w:r>
        <w:rPr>
          <w:color w:val="231F20"/>
          <w:w w:val="105"/>
        </w:rPr>
        <w:t>personal</w:t>
      </w:r>
      <w:r>
        <w:rPr>
          <w:color w:val="231F20"/>
          <w:spacing w:val="-10"/>
          <w:w w:val="105"/>
        </w:rPr>
        <w:t> </w:t>
      </w:r>
      <w:r>
        <w:rPr>
          <w:color w:val="231F20"/>
          <w:w w:val="105"/>
        </w:rPr>
        <w:t>para</w:t>
      </w:r>
      <w:r>
        <w:rPr>
          <w:color w:val="231F20"/>
          <w:spacing w:val="-10"/>
          <w:w w:val="105"/>
        </w:rPr>
        <w:t> </w:t>
      </w:r>
      <w:r>
        <w:rPr>
          <w:color w:val="231F20"/>
          <w:w w:val="105"/>
        </w:rPr>
        <w:t>el</w:t>
      </w:r>
      <w:r>
        <w:rPr>
          <w:color w:val="231F20"/>
          <w:spacing w:val="-10"/>
          <w:w w:val="105"/>
        </w:rPr>
        <w:t> </w:t>
      </w:r>
      <w:r>
        <w:rPr>
          <w:color w:val="231F20"/>
          <w:w w:val="105"/>
        </w:rPr>
        <w:t>trabajo</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empresas</w:t>
      </w:r>
      <w:r>
        <w:rPr>
          <w:color w:val="231F20"/>
          <w:spacing w:val="-10"/>
          <w:w w:val="105"/>
        </w:rPr>
        <w:t> </w:t>
      </w:r>
      <w:r>
        <w:rPr>
          <w:color w:val="231F20"/>
          <w:w w:val="105"/>
        </w:rPr>
        <w:t>floriculto- </w:t>
      </w:r>
      <w:r>
        <w:rPr>
          <w:color w:val="231F20"/>
        </w:rPr>
        <w:t>ras</w:t>
      </w:r>
      <w:r>
        <w:rPr>
          <w:color w:val="231F20"/>
          <w:spacing w:val="-44"/>
        </w:rPr>
        <w:t> </w:t>
      </w:r>
      <w:r>
        <w:rPr>
          <w:color w:val="231F20"/>
          <w:spacing w:val="-3"/>
        </w:rPr>
        <w:t>(Pérez, </w:t>
      </w:r>
      <w:r>
        <w:rPr>
          <w:color w:val="231F20"/>
        </w:rPr>
        <w:t>2005).</w:t>
      </w:r>
    </w:p>
    <w:p>
      <w:pPr>
        <w:pStyle w:val="BodyText"/>
        <w:spacing w:line="261" w:lineRule="auto" w:before="1"/>
        <w:ind w:left="1837" w:right="1721" w:firstLine="567"/>
        <w:jc w:val="both"/>
      </w:pPr>
      <w:r>
        <w:rPr>
          <w:color w:val="231F20"/>
          <w:w w:val="105"/>
        </w:rPr>
        <w:t>Según</w:t>
      </w:r>
      <w:r>
        <w:rPr>
          <w:color w:val="231F20"/>
          <w:spacing w:val="-16"/>
          <w:w w:val="105"/>
        </w:rPr>
        <w:t> </w:t>
      </w:r>
      <w:r>
        <w:rPr>
          <w:color w:val="231F20"/>
          <w:w w:val="105"/>
        </w:rPr>
        <w:t>dichas</w:t>
      </w:r>
      <w:r>
        <w:rPr>
          <w:color w:val="231F20"/>
          <w:spacing w:val="-16"/>
          <w:w w:val="105"/>
        </w:rPr>
        <w:t> </w:t>
      </w:r>
      <w:r>
        <w:rPr>
          <w:color w:val="231F20"/>
          <w:w w:val="105"/>
        </w:rPr>
        <w:t>fuentes,</w:t>
      </w:r>
      <w:r>
        <w:rPr>
          <w:color w:val="231F20"/>
          <w:spacing w:val="-21"/>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últimos</w:t>
      </w:r>
      <w:r>
        <w:rPr>
          <w:color w:val="231F20"/>
          <w:spacing w:val="-16"/>
          <w:w w:val="105"/>
        </w:rPr>
        <w:t> </w:t>
      </w:r>
      <w:r>
        <w:rPr>
          <w:color w:val="231F20"/>
          <w:w w:val="105"/>
        </w:rPr>
        <w:t>años</w:t>
      </w:r>
      <w:r>
        <w:rPr>
          <w:color w:val="231F20"/>
          <w:spacing w:val="-16"/>
          <w:w w:val="105"/>
        </w:rPr>
        <w:t> </w:t>
      </w:r>
      <w:r>
        <w:rPr>
          <w:color w:val="231F20"/>
          <w:w w:val="105"/>
        </w:rPr>
        <w:t>se</w:t>
      </w:r>
      <w:r>
        <w:rPr>
          <w:color w:val="231F20"/>
          <w:spacing w:val="-16"/>
          <w:w w:val="105"/>
        </w:rPr>
        <w:t> </w:t>
      </w:r>
      <w:r>
        <w:rPr>
          <w:color w:val="231F20"/>
          <w:w w:val="105"/>
        </w:rPr>
        <w:t>ha</w:t>
      </w:r>
      <w:r>
        <w:rPr>
          <w:color w:val="231F20"/>
          <w:spacing w:val="-16"/>
          <w:w w:val="105"/>
        </w:rPr>
        <w:t> </w:t>
      </w:r>
      <w:r>
        <w:rPr>
          <w:color w:val="231F20"/>
          <w:w w:val="105"/>
        </w:rPr>
        <w:t>visto</w:t>
      </w:r>
      <w:r>
        <w:rPr>
          <w:color w:val="231F20"/>
          <w:spacing w:val="-16"/>
          <w:w w:val="105"/>
        </w:rPr>
        <w:t> </w:t>
      </w:r>
      <w:r>
        <w:rPr>
          <w:color w:val="231F20"/>
          <w:w w:val="105"/>
        </w:rPr>
        <w:t>un</w:t>
      </w:r>
      <w:r>
        <w:rPr>
          <w:color w:val="231F20"/>
          <w:spacing w:val="-16"/>
          <w:w w:val="105"/>
        </w:rPr>
        <w:t> </w:t>
      </w:r>
      <w:r>
        <w:rPr>
          <w:color w:val="231F20"/>
          <w:w w:val="105"/>
        </w:rPr>
        <w:t>importan- te fenómeno de atracción de trabajadores, especialmente</w:t>
      </w:r>
      <w:r>
        <w:rPr>
          <w:color w:val="231F20"/>
          <w:spacing w:val="-28"/>
          <w:w w:val="105"/>
        </w:rPr>
        <w:t> </w:t>
      </w:r>
      <w:r>
        <w:rPr>
          <w:color w:val="231F20"/>
          <w:w w:val="105"/>
        </w:rPr>
        <w:t>provenientes de los estados del sureste del país, que llegan al municipio por aproxi- madamente ocho meses (de noviembre a mayo) para emplearse en la floricultura en el período de alta producción, y posteriormente regresar a</w:t>
      </w:r>
      <w:r>
        <w:rPr>
          <w:color w:val="231F20"/>
          <w:spacing w:val="-10"/>
          <w:w w:val="105"/>
        </w:rPr>
        <w:t> </w:t>
      </w:r>
      <w:r>
        <w:rPr>
          <w:color w:val="231F20"/>
          <w:w w:val="105"/>
        </w:rPr>
        <w:t>su</w:t>
      </w:r>
      <w:r>
        <w:rPr>
          <w:color w:val="231F20"/>
          <w:spacing w:val="-10"/>
          <w:w w:val="105"/>
        </w:rPr>
        <w:t> </w:t>
      </w:r>
      <w:r>
        <w:rPr>
          <w:color w:val="231F20"/>
          <w:w w:val="105"/>
        </w:rPr>
        <w:t>lugar</w:t>
      </w:r>
      <w:r>
        <w:rPr>
          <w:color w:val="231F20"/>
          <w:spacing w:val="-10"/>
          <w:w w:val="105"/>
        </w:rPr>
        <w:t> </w:t>
      </w:r>
      <w:r>
        <w:rPr>
          <w:color w:val="231F20"/>
          <w:w w:val="105"/>
        </w:rPr>
        <w:t>de</w:t>
      </w:r>
      <w:r>
        <w:rPr>
          <w:color w:val="231F20"/>
          <w:spacing w:val="-10"/>
          <w:w w:val="105"/>
        </w:rPr>
        <w:t> </w:t>
      </w:r>
      <w:r>
        <w:rPr>
          <w:color w:val="231F20"/>
          <w:w w:val="105"/>
        </w:rPr>
        <w:t>origen,</w:t>
      </w:r>
      <w:r>
        <w:rPr>
          <w:color w:val="231F20"/>
          <w:spacing w:val="-16"/>
          <w:w w:val="105"/>
        </w:rPr>
        <w:t> </w:t>
      </w:r>
      <w:r>
        <w:rPr>
          <w:color w:val="231F20"/>
          <w:w w:val="105"/>
        </w:rPr>
        <w:t>o</w:t>
      </w:r>
      <w:r>
        <w:rPr>
          <w:color w:val="231F20"/>
          <w:spacing w:val="-10"/>
          <w:w w:val="105"/>
        </w:rPr>
        <w:t> </w:t>
      </w:r>
      <w:r>
        <w:rPr>
          <w:color w:val="231F20"/>
          <w:w w:val="105"/>
        </w:rPr>
        <w:t>bien,</w:t>
      </w:r>
      <w:r>
        <w:rPr>
          <w:color w:val="231F20"/>
          <w:spacing w:val="-16"/>
          <w:w w:val="105"/>
        </w:rPr>
        <w:t> </w:t>
      </w:r>
      <w:r>
        <w:rPr>
          <w:color w:val="231F20"/>
          <w:w w:val="105"/>
        </w:rPr>
        <w:t>seguir</w:t>
      </w:r>
      <w:r>
        <w:rPr>
          <w:color w:val="231F20"/>
          <w:spacing w:val="-10"/>
          <w:w w:val="105"/>
        </w:rPr>
        <w:t> </w:t>
      </w:r>
      <w:r>
        <w:rPr>
          <w:color w:val="231F20"/>
          <w:w w:val="105"/>
        </w:rPr>
        <w:t>su</w:t>
      </w:r>
      <w:r>
        <w:rPr>
          <w:color w:val="231F20"/>
          <w:spacing w:val="-10"/>
          <w:w w:val="105"/>
        </w:rPr>
        <w:t> </w:t>
      </w:r>
      <w:r>
        <w:rPr>
          <w:color w:val="231F20"/>
          <w:w w:val="105"/>
        </w:rPr>
        <w:t>camino</w:t>
      </w:r>
      <w:r>
        <w:rPr>
          <w:color w:val="231F20"/>
          <w:spacing w:val="-10"/>
          <w:w w:val="105"/>
        </w:rPr>
        <w:t> </w:t>
      </w:r>
      <w:r>
        <w:rPr>
          <w:color w:val="231F20"/>
          <w:w w:val="105"/>
        </w:rPr>
        <w:t>hacia</w:t>
      </w:r>
      <w:r>
        <w:rPr>
          <w:color w:val="231F20"/>
          <w:spacing w:val="-10"/>
          <w:w w:val="105"/>
        </w:rPr>
        <w:t> </w:t>
      </w:r>
      <w:r>
        <w:rPr>
          <w:color w:val="231F20"/>
          <w:w w:val="105"/>
        </w:rPr>
        <w:t>las</w:t>
      </w:r>
      <w:r>
        <w:rPr>
          <w:color w:val="231F20"/>
          <w:spacing w:val="-10"/>
          <w:w w:val="105"/>
        </w:rPr>
        <w:t> </w:t>
      </w:r>
      <w:r>
        <w:rPr>
          <w:color w:val="231F20"/>
          <w:w w:val="105"/>
        </w:rPr>
        <w:t>producciones</w:t>
      </w:r>
      <w:r>
        <w:rPr>
          <w:color w:val="231F20"/>
          <w:spacing w:val="-10"/>
          <w:w w:val="105"/>
        </w:rPr>
        <w:t> </w:t>
      </w:r>
      <w:r>
        <w:rPr>
          <w:color w:val="231F20"/>
          <w:w w:val="105"/>
        </w:rPr>
        <w:t>de hortalizas</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estado</w:t>
      </w:r>
      <w:r>
        <w:rPr>
          <w:color w:val="231F20"/>
          <w:spacing w:val="-5"/>
          <w:w w:val="105"/>
        </w:rPr>
        <w:t> </w:t>
      </w:r>
      <w:r>
        <w:rPr>
          <w:color w:val="231F20"/>
          <w:w w:val="105"/>
        </w:rPr>
        <w:t>del</w:t>
      </w:r>
      <w:r>
        <w:rPr>
          <w:color w:val="231F20"/>
          <w:spacing w:val="-5"/>
          <w:w w:val="105"/>
        </w:rPr>
        <w:t> </w:t>
      </w:r>
      <w:r>
        <w:rPr>
          <w:color w:val="231F20"/>
          <w:w w:val="105"/>
        </w:rPr>
        <w:t>norte</w:t>
      </w:r>
      <w:r>
        <w:rPr>
          <w:color w:val="231F20"/>
          <w:spacing w:val="-5"/>
          <w:w w:val="105"/>
        </w:rPr>
        <w:t> </w:t>
      </w:r>
      <w:r>
        <w:rPr>
          <w:color w:val="231F20"/>
          <w:w w:val="105"/>
        </w:rPr>
        <w:t>de</w:t>
      </w:r>
      <w:r>
        <w:rPr>
          <w:color w:val="231F20"/>
          <w:spacing w:val="-5"/>
          <w:w w:val="105"/>
        </w:rPr>
        <w:t> </w:t>
      </w:r>
      <w:r>
        <w:rPr>
          <w:color w:val="231F20"/>
          <w:w w:val="105"/>
        </w:rPr>
        <w:t>México</w:t>
      </w:r>
      <w:r>
        <w:rPr>
          <w:color w:val="231F20"/>
          <w:spacing w:val="-5"/>
          <w:w w:val="105"/>
        </w:rPr>
        <w:t> </w:t>
      </w:r>
      <w:r>
        <w:rPr>
          <w:color w:val="231F20"/>
          <w:w w:val="105"/>
        </w:rPr>
        <w:t>o</w:t>
      </w:r>
      <w:r>
        <w:rPr>
          <w:color w:val="231F20"/>
          <w:spacing w:val="-5"/>
          <w:w w:val="105"/>
        </w:rPr>
        <w:t> </w:t>
      </w:r>
      <w:r>
        <w:rPr>
          <w:color w:val="231F20"/>
          <w:w w:val="105"/>
        </w:rPr>
        <w:t>directamente</w:t>
      </w:r>
      <w:r>
        <w:rPr>
          <w:color w:val="231F20"/>
          <w:spacing w:val="-5"/>
          <w:w w:val="105"/>
        </w:rPr>
        <w:t> </w:t>
      </w:r>
      <w:r>
        <w:rPr>
          <w:color w:val="231F20"/>
          <w:w w:val="105"/>
        </w:rPr>
        <w:t>hacia</w:t>
      </w:r>
      <w:r>
        <w:rPr>
          <w:color w:val="231F20"/>
          <w:spacing w:val="-5"/>
          <w:w w:val="105"/>
        </w:rPr>
        <w:t> </w:t>
      </w:r>
      <w:r>
        <w:rPr>
          <w:color w:val="231F20"/>
          <w:w w:val="105"/>
        </w:rPr>
        <w:t>Esta- dos</w:t>
      </w:r>
      <w:r>
        <w:rPr>
          <w:color w:val="231F20"/>
          <w:spacing w:val="-39"/>
          <w:w w:val="105"/>
        </w:rPr>
        <w:t> </w:t>
      </w:r>
      <w:r>
        <w:rPr>
          <w:color w:val="231F20"/>
          <w:w w:val="105"/>
        </w:rPr>
        <w:t>Unidos</w:t>
      </w:r>
      <w:r>
        <w:rPr>
          <w:color w:val="231F20"/>
          <w:spacing w:val="-39"/>
          <w:w w:val="105"/>
        </w:rPr>
        <w:t> </w:t>
      </w:r>
      <w:r>
        <w:rPr>
          <w:color w:val="231F20"/>
          <w:spacing w:val="-3"/>
          <w:w w:val="105"/>
        </w:rPr>
        <w:t>(Pérez,</w:t>
      </w:r>
      <w:r>
        <w:rPr>
          <w:color w:val="231F20"/>
          <w:spacing w:val="-41"/>
          <w:w w:val="105"/>
        </w:rPr>
        <w:t> </w:t>
      </w:r>
      <w:r>
        <w:rPr>
          <w:color w:val="231F20"/>
          <w:w w:val="105"/>
        </w:rPr>
        <w:t>2005).</w:t>
      </w:r>
    </w:p>
    <w:p>
      <w:pPr>
        <w:pStyle w:val="BodyText"/>
        <w:spacing w:line="261" w:lineRule="auto" w:before="1"/>
        <w:ind w:left="1837" w:right="1721" w:firstLine="567"/>
        <w:jc w:val="both"/>
      </w:pPr>
      <w:r>
        <w:rPr>
          <w:color w:val="231F20"/>
          <w:w w:val="105"/>
        </w:rPr>
        <w:t>¿De qué forma impacta la realidad local en el imaginario de los niños</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emplean</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floricultura?</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siguiente</w:t>
      </w:r>
      <w:r>
        <w:rPr>
          <w:color w:val="231F20"/>
          <w:spacing w:val="-17"/>
          <w:w w:val="105"/>
        </w:rPr>
        <w:t> </w:t>
      </w:r>
      <w:r>
        <w:rPr>
          <w:color w:val="231F20"/>
          <w:w w:val="105"/>
        </w:rPr>
        <w:t>apartado</w:t>
      </w:r>
      <w:r>
        <w:rPr>
          <w:color w:val="231F20"/>
          <w:spacing w:val="-17"/>
          <w:w w:val="105"/>
        </w:rPr>
        <w:t> </w:t>
      </w:r>
      <w:r>
        <w:rPr>
          <w:color w:val="231F20"/>
          <w:w w:val="105"/>
        </w:rPr>
        <w:t>se</w:t>
      </w:r>
      <w:r>
        <w:rPr>
          <w:color w:val="231F20"/>
          <w:spacing w:val="-17"/>
          <w:w w:val="105"/>
        </w:rPr>
        <w:t> </w:t>
      </w:r>
      <w:r>
        <w:rPr>
          <w:color w:val="231F20"/>
          <w:w w:val="105"/>
        </w:rPr>
        <w:t>des- criben</w:t>
      </w:r>
      <w:r>
        <w:rPr>
          <w:color w:val="231F20"/>
          <w:spacing w:val="-17"/>
          <w:w w:val="105"/>
        </w:rPr>
        <w:t> </w:t>
      </w:r>
      <w:r>
        <w:rPr>
          <w:color w:val="231F20"/>
          <w:w w:val="105"/>
        </w:rPr>
        <w:t>algunos</w:t>
      </w:r>
      <w:r>
        <w:rPr>
          <w:color w:val="231F20"/>
          <w:spacing w:val="-17"/>
          <w:w w:val="105"/>
        </w:rPr>
        <w:t> </w:t>
      </w:r>
      <w:r>
        <w:rPr>
          <w:color w:val="231F20"/>
          <w:w w:val="105"/>
        </w:rPr>
        <w:t>testimonios</w:t>
      </w:r>
      <w:r>
        <w:rPr>
          <w:color w:val="231F20"/>
          <w:spacing w:val="-17"/>
          <w:w w:val="105"/>
        </w:rPr>
        <w:t> </w:t>
      </w:r>
      <w:r>
        <w:rPr>
          <w:color w:val="231F20"/>
          <w:w w:val="105"/>
        </w:rPr>
        <w:t>al</w:t>
      </w:r>
      <w:r>
        <w:rPr>
          <w:color w:val="231F20"/>
          <w:spacing w:val="-17"/>
          <w:w w:val="105"/>
        </w:rPr>
        <w:t> </w:t>
      </w:r>
      <w:r>
        <w:rPr>
          <w:color w:val="231F20"/>
          <w:w w:val="105"/>
        </w:rPr>
        <w:t>respecto.</w:t>
      </w:r>
    </w:p>
    <w:p>
      <w:pPr>
        <w:pStyle w:val="BodyText"/>
        <w:rPr>
          <w:sz w:val="20"/>
        </w:rPr>
      </w:pPr>
    </w:p>
    <w:p>
      <w:pPr>
        <w:pStyle w:val="BodyText"/>
        <w:spacing w:before="9"/>
        <w:rPr>
          <w:sz w:val="20"/>
        </w:rPr>
      </w:pPr>
    </w:p>
    <w:p>
      <w:pPr>
        <w:pStyle w:val="Heading3"/>
      </w:pPr>
      <w:r>
        <w:rPr>
          <w:color w:val="231F20"/>
        </w:rPr>
        <w:t>El discurso del trabajo y la migración en los niños jornaleros</w:t>
      </w:r>
    </w:p>
    <w:p>
      <w:pPr>
        <w:pStyle w:val="BodyText"/>
        <w:rPr>
          <w:rFonts w:ascii="Arial"/>
          <w:b/>
          <w:sz w:val="22"/>
        </w:rPr>
      </w:pPr>
    </w:p>
    <w:p>
      <w:pPr>
        <w:pStyle w:val="BodyText"/>
        <w:spacing w:line="261" w:lineRule="auto" w:before="163"/>
        <w:ind w:left="1837" w:right="1721"/>
        <w:jc w:val="both"/>
      </w:pP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contexto</w:t>
      </w:r>
      <w:r>
        <w:rPr>
          <w:color w:val="231F20"/>
          <w:spacing w:val="-4"/>
          <w:w w:val="105"/>
        </w:rPr>
        <w:t> </w:t>
      </w:r>
      <w:r>
        <w:rPr>
          <w:color w:val="231F20"/>
          <w:w w:val="105"/>
        </w:rPr>
        <w:t>local</w:t>
      </w:r>
      <w:r>
        <w:rPr>
          <w:color w:val="231F20"/>
          <w:spacing w:val="-4"/>
          <w:w w:val="105"/>
        </w:rPr>
        <w:t> </w:t>
      </w:r>
      <w:r>
        <w:rPr>
          <w:color w:val="231F20"/>
          <w:w w:val="105"/>
        </w:rPr>
        <w:t>arriba</w:t>
      </w:r>
      <w:r>
        <w:rPr>
          <w:color w:val="231F20"/>
          <w:spacing w:val="-4"/>
          <w:w w:val="105"/>
        </w:rPr>
        <w:t> </w:t>
      </w:r>
      <w:r>
        <w:rPr>
          <w:color w:val="231F20"/>
          <w:w w:val="105"/>
        </w:rPr>
        <w:t>descrito,</w:t>
      </w:r>
      <w:r>
        <w:rPr>
          <w:color w:val="231F20"/>
          <w:spacing w:val="-10"/>
          <w:w w:val="105"/>
        </w:rPr>
        <w:t> </w:t>
      </w:r>
      <w:r>
        <w:rPr>
          <w:color w:val="231F20"/>
          <w:w w:val="105"/>
        </w:rPr>
        <w:t>la</w:t>
      </w:r>
      <w:r>
        <w:rPr>
          <w:color w:val="231F20"/>
          <w:spacing w:val="-4"/>
          <w:w w:val="105"/>
        </w:rPr>
        <w:t> </w:t>
      </w:r>
      <w:r>
        <w:rPr>
          <w:color w:val="231F20"/>
          <w:w w:val="105"/>
        </w:rPr>
        <w:t>actividad</w:t>
      </w:r>
      <w:r>
        <w:rPr>
          <w:color w:val="231F20"/>
          <w:spacing w:val="-4"/>
          <w:w w:val="105"/>
        </w:rPr>
        <w:t> </w:t>
      </w:r>
      <w:r>
        <w:rPr>
          <w:color w:val="231F20"/>
          <w:w w:val="105"/>
        </w:rPr>
        <w:t>productiva</w:t>
      </w:r>
      <w:r>
        <w:rPr>
          <w:color w:val="231F20"/>
          <w:spacing w:val="-4"/>
          <w:w w:val="105"/>
        </w:rPr>
        <w:t> </w:t>
      </w:r>
      <w:r>
        <w:rPr>
          <w:color w:val="231F20"/>
          <w:w w:val="105"/>
        </w:rPr>
        <w:t>gira</w:t>
      </w:r>
      <w:r>
        <w:rPr>
          <w:color w:val="231F20"/>
          <w:spacing w:val="-4"/>
          <w:w w:val="105"/>
        </w:rPr>
        <w:t> </w:t>
      </w:r>
      <w:r>
        <w:rPr>
          <w:color w:val="231F20"/>
          <w:w w:val="105"/>
        </w:rPr>
        <w:t>en</w:t>
      </w:r>
      <w:r>
        <w:rPr>
          <w:color w:val="231F20"/>
          <w:spacing w:val="-4"/>
          <w:w w:val="105"/>
        </w:rPr>
        <w:t> </w:t>
      </w:r>
      <w:r>
        <w:rPr>
          <w:color w:val="231F20"/>
          <w:w w:val="105"/>
        </w:rPr>
        <w:t>torno a</w:t>
      </w:r>
      <w:r>
        <w:rPr>
          <w:color w:val="231F20"/>
          <w:spacing w:val="-7"/>
          <w:w w:val="105"/>
        </w:rPr>
        <w:t> </w:t>
      </w:r>
      <w:r>
        <w:rPr>
          <w:color w:val="231F20"/>
          <w:w w:val="105"/>
        </w:rPr>
        <w:t>una</w:t>
      </w:r>
      <w:r>
        <w:rPr>
          <w:color w:val="231F20"/>
          <w:spacing w:val="-7"/>
          <w:w w:val="105"/>
        </w:rPr>
        <w:t> </w:t>
      </w:r>
      <w:r>
        <w:rPr>
          <w:color w:val="231F20"/>
          <w:w w:val="105"/>
        </w:rPr>
        <w:t>actividad</w:t>
      </w:r>
      <w:r>
        <w:rPr>
          <w:color w:val="231F20"/>
          <w:spacing w:val="-7"/>
          <w:w w:val="105"/>
        </w:rPr>
        <w:t> </w:t>
      </w:r>
      <w:r>
        <w:rPr>
          <w:color w:val="231F20"/>
          <w:w w:val="105"/>
        </w:rPr>
        <w:t>estructurada</w:t>
      </w:r>
      <w:r>
        <w:rPr>
          <w:color w:val="231F20"/>
          <w:spacing w:val="-7"/>
          <w:w w:val="105"/>
        </w:rPr>
        <w:t> </w:t>
      </w:r>
      <w:r>
        <w:rPr>
          <w:color w:val="231F20"/>
          <w:w w:val="105"/>
        </w:rPr>
        <w:t>bajo</w:t>
      </w:r>
      <w:r>
        <w:rPr>
          <w:color w:val="231F20"/>
          <w:spacing w:val="-7"/>
          <w:w w:val="105"/>
        </w:rPr>
        <w:t> </w:t>
      </w:r>
      <w:r>
        <w:rPr>
          <w:color w:val="231F20"/>
          <w:w w:val="105"/>
        </w:rPr>
        <w:t>la</w:t>
      </w:r>
      <w:r>
        <w:rPr>
          <w:color w:val="231F20"/>
          <w:spacing w:val="-7"/>
          <w:w w:val="105"/>
        </w:rPr>
        <w:t> </w:t>
      </w:r>
      <w:r>
        <w:rPr>
          <w:color w:val="231F20"/>
          <w:w w:val="105"/>
        </w:rPr>
        <w:t>lógica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dualidad,</w:t>
      </w:r>
      <w:r>
        <w:rPr>
          <w:color w:val="231F20"/>
          <w:spacing w:val="-12"/>
          <w:w w:val="105"/>
        </w:rPr>
        <w:t> </w:t>
      </w:r>
      <w:r>
        <w:rPr>
          <w:color w:val="231F20"/>
          <w:w w:val="105"/>
        </w:rPr>
        <w:t>en</w:t>
      </w:r>
      <w:r>
        <w:rPr>
          <w:color w:val="231F20"/>
          <w:spacing w:val="-7"/>
          <w:w w:val="105"/>
        </w:rPr>
        <w:t> </w:t>
      </w:r>
      <w:r>
        <w:rPr>
          <w:color w:val="231F20"/>
          <w:w w:val="105"/>
        </w:rPr>
        <w:t>donde</w:t>
      </w:r>
      <w:r>
        <w:rPr>
          <w:color w:val="231F20"/>
          <w:spacing w:val="-7"/>
          <w:w w:val="105"/>
        </w:rPr>
        <w:t> </w:t>
      </w:r>
      <w:r>
        <w:rPr>
          <w:color w:val="231F20"/>
          <w:w w:val="105"/>
        </w:rPr>
        <w:t>hay pocos productores privilegiados, vinculados a los mercados internacio- nales,</w:t>
      </w:r>
      <w:r>
        <w:rPr>
          <w:color w:val="231F20"/>
          <w:spacing w:val="-11"/>
          <w:w w:val="105"/>
        </w:rPr>
        <w:t> </w:t>
      </w:r>
      <w:r>
        <w:rPr>
          <w:color w:val="231F20"/>
          <w:w w:val="105"/>
        </w:rPr>
        <w:t>y</w:t>
      </w:r>
      <w:r>
        <w:rPr>
          <w:color w:val="231F20"/>
          <w:spacing w:val="-4"/>
          <w:w w:val="105"/>
        </w:rPr>
        <w:t> </w:t>
      </w:r>
      <w:r>
        <w:rPr>
          <w:color w:val="231F20"/>
          <w:w w:val="105"/>
        </w:rPr>
        <w:t>un</w:t>
      </w:r>
      <w:r>
        <w:rPr>
          <w:color w:val="231F20"/>
          <w:spacing w:val="-4"/>
          <w:w w:val="105"/>
        </w:rPr>
        <w:t> </w:t>
      </w:r>
      <w:r>
        <w:rPr>
          <w:color w:val="231F20"/>
          <w:w w:val="105"/>
        </w:rPr>
        <w:t>gran</w:t>
      </w:r>
      <w:r>
        <w:rPr>
          <w:color w:val="231F20"/>
          <w:spacing w:val="-4"/>
          <w:w w:val="105"/>
        </w:rPr>
        <w:t> </w:t>
      </w:r>
      <w:r>
        <w:rPr>
          <w:color w:val="231F20"/>
          <w:w w:val="105"/>
        </w:rPr>
        <w:t>número</w:t>
      </w:r>
      <w:r>
        <w:rPr>
          <w:color w:val="231F20"/>
          <w:spacing w:val="-4"/>
          <w:w w:val="105"/>
        </w:rPr>
        <w:t> </w:t>
      </w:r>
      <w:r>
        <w:rPr>
          <w:color w:val="231F20"/>
          <w:w w:val="105"/>
        </w:rPr>
        <w:t>de</w:t>
      </w:r>
      <w:r>
        <w:rPr>
          <w:color w:val="231F20"/>
          <w:spacing w:val="-4"/>
          <w:w w:val="105"/>
        </w:rPr>
        <w:t> </w:t>
      </w:r>
      <w:r>
        <w:rPr>
          <w:color w:val="231F20"/>
          <w:w w:val="105"/>
        </w:rPr>
        <w:t>medianos</w:t>
      </w:r>
      <w:r>
        <w:rPr>
          <w:color w:val="231F20"/>
          <w:spacing w:val="-4"/>
          <w:w w:val="105"/>
        </w:rPr>
        <w:t> </w:t>
      </w:r>
      <w:r>
        <w:rPr>
          <w:color w:val="231F20"/>
          <w:w w:val="105"/>
        </w:rPr>
        <w:t>y</w:t>
      </w:r>
      <w:r>
        <w:rPr>
          <w:color w:val="231F20"/>
          <w:spacing w:val="-4"/>
          <w:w w:val="105"/>
        </w:rPr>
        <w:t> </w:t>
      </w:r>
      <w:r>
        <w:rPr>
          <w:color w:val="231F20"/>
          <w:w w:val="105"/>
        </w:rPr>
        <w:t>pequeños</w:t>
      </w:r>
      <w:r>
        <w:rPr>
          <w:color w:val="231F20"/>
          <w:spacing w:val="-4"/>
          <w:w w:val="105"/>
        </w:rPr>
        <w:t> </w:t>
      </w:r>
      <w:r>
        <w:rPr>
          <w:color w:val="231F20"/>
          <w:w w:val="105"/>
        </w:rPr>
        <w:t>productores</w:t>
      </w:r>
      <w:r>
        <w:rPr>
          <w:color w:val="231F20"/>
          <w:spacing w:val="-4"/>
          <w:w w:val="105"/>
        </w:rPr>
        <w:t> </w:t>
      </w:r>
      <w:r>
        <w:rPr>
          <w:color w:val="231F20"/>
          <w:w w:val="105"/>
        </w:rPr>
        <w:t>que</w:t>
      </w:r>
      <w:r>
        <w:rPr>
          <w:color w:val="231F20"/>
          <w:spacing w:val="-4"/>
          <w:w w:val="105"/>
        </w:rPr>
        <w:t> </w:t>
      </w:r>
      <w:r>
        <w:rPr>
          <w:color w:val="231F20"/>
          <w:w w:val="105"/>
        </w:rPr>
        <w:t>dan dinamismo a la actividad floricultora, se observa que existe un compo- nente de trabajo infantil temporal que satisface la oferta de empleo en épocas de</w:t>
      </w:r>
      <w:r>
        <w:rPr>
          <w:color w:val="231F20"/>
          <w:spacing w:val="-29"/>
          <w:w w:val="105"/>
        </w:rPr>
        <w:t> </w:t>
      </w:r>
      <w:r>
        <w:rPr>
          <w:color w:val="231F20"/>
          <w:w w:val="105"/>
        </w:rPr>
        <w:t>corte.</w:t>
      </w:r>
    </w:p>
    <w:p>
      <w:pPr>
        <w:pStyle w:val="BodyText"/>
        <w:spacing w:line="261" w:lineRule="auto" w:before="1"/>
        <w:ind w:left="1837" w:right="1721" w:firstLine="567"/>
        <w:jc w:val="both"/>
      </w:pPr>
      <w:r>
        <w:rPr/>
        <w:pict>
          <v:line style="position:absolute;mso-position-horizontal-relative:page;mso-position-vertical-relative:paragraph;z-index:-480064" from="15pt,163.338898pt" to="0pt,163.338898pt" stroked="true" strokeweight=".25pt" strokecolor="#000000">
            <w10:wrap type="none"/>
          </v:line>
        </w:pict>
      </w:r>
      <w:r>
        <w:rPr/>
        <w:pict>
          <v:line style="position:absolute;mso-position-horizontal-relative:page;mso-position-vertical-relative:paragraph;z-index:10144" from="508.890015pt,163.338898pt" to="523.890015pt,163.338898pt" stroked="true" strokeweight=".25pt" strokecolor="#000000">
            <w10:wrap type="none"/>
          </v:line>
        </w:pict>
      </w:r>
      <w:r>
        <w:rPr>
          <w:color w:val="231F20"/>
          <w:w w:val="105"/>
        </w:rPr>
        <w:t>Esta</w:t>
      </w:r>
      <w:r>
        <w:rPr>
          <w:color w:val="231F20"/>
          <w:spacing w:val="-21"/>
          <w:w w:val="105"/>
        </w:rPr>
        <w:t> </w:t>
      </w:r>
      <w:r>
        <w:rPr>
          <w:color w:val="231F20"/>
          <w:w w:val="105"/>
        </w:rPr>
        <w:t>estructura</w:t>
      </w:r>
      <w:r>
        <w:rPr>
          <w:color w:val="231F20"/>
          <w:spacing w:val="-21"/>
          <w:w w:val="105"/>
        </w:rPr>
        <w:t> </w:t>
      </w:r>
      <w:r>
        <w:rPr>
          <w:color w:val="231F20"/>
          <w:w w:val="105"/>
        </w:rPr>
        <w:t>productiva,</w:t>
      </w:r>
      <w:r>
        <w:rPr>
          <w:color w:val="231F20"/>
          <w:spacing w:val="-26"/>
          <w:w w:val="105"/>
        </w:rPr>
        <w:t> </w:t>
      </w:r>
      <w:r>
        <w:rPr>
          <w:color w:val="231F20"/>
          <w:w w:val="105"/>
        </w:rPr>
        <w:t>acompañada</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mercado</w:t>
      </w:r>
      <w:r>
        <w:rPr>
          <w:color w:val="231F20"/>
          <w:spacing w:val="-21"/>
          <w:w w:val="105"/>
        </w:rPr>
        <w:t> </w:t>
      </w:r>
      <w:r>
        <w:rPr>
          <w:color w:val="231F20"/>
          <w:w w:val="105"/>
        </w:rPr>
        <w:t>de</w:t>
      </w:r>
      <w:r>
        <w:rPr>
          <w:color w:val="231F20"/>
          <w:spacing w:val="-21"/>
          <w:w w:val="105"/>
        </w:rPr>
        <w:t> </w:t>
      </w:r>
      <w:r>
        <w:rPr>
          <w:color w:val="231F20"/>
          <w:w w:val="105"/>
        </w:rPr>
        <w:t>trabajo flexible y precario, fortalece la entrada temprana a las actividades</w:t>
      </w:r>
      <w:r>
        <w:rPr>
          <w:color w:val="231F20"/>
          <w:spacing w:val="-41"/>
          <w:w w:val="105"/>
        </w:rPr>
        <w:t> </w:t>
      </w:r>
      <w:r>
        <w:rPr>
          <w:color w:val="231F20"/>
          <w:w w:val="105"/>
        </w:rPr>
        <w:t>labo- rales.</w:t>
      </w:r>
      <w:r>
        <w:rPr>
          <w:color w:val="231F20"/>
          <w:spacing w:val="-30"/>
          <w:w w:val="105"/>
        </w:rPr>
        <w:t> </w:t>
      </w:r>
      <w:r>
        <w:rPr>
          <w:color w:val="231F20"/>
          <w:w w:val="105"/>
        </w:rPr>
        <w:t>Los</w:t>
      </w:r>
      <w:r>
        <w:rPr>
          <w:color w:val="231F20"/>
          <w:spacing w:val="-26"/>
          <w:w w:val="105"/>
        </w:rPr>
        <w:t> </w:t>
      </w:r>
      <w:r>
        <w:rPr>
          <w:color w:val="231F20"/>
          <w:w w:val="105"/>
        </w:rPr>
        <w:t>niños,</w:t>
      </w:r>
      <w:r>
        <w:rPr>
          <w:color w:val="231F20"/>
          <w:spacing w:val="-30"/>
          <w:w w:val="105"/>
        </w:rPr>
        <w:t> </w:t>
      </w:r>
      <w:r>
        <w:rPr>
          <w:color w:val="231F20"/>
          <w:w w:val="105"/>
        </w:rPr>
        <w:t>las</w:t>
      </w:r>
      <w:r>
        <w:rPr>
          <w:color w:val="231F20"/>
          <w:spacing w:val="-26"/>
          <w:w w:val="105"/>
        </w:rPr>
        <w:t> </w:t>
      </w:r>
      <w:r>
        <w:rPr>
          <w:color w:val="231F20"/>
          <w:w w:val="105"/>
        </w:rPr>
        <w:t>niñas</w:t>
      </w:r>
      <w:r>
        <w:rPr>
          <w:color w:val="231F20"/>
          <w:spacing w:val="-26"/>
          <w:w w:val="105"/>
        </w:rPr>
        <w:t> </w:t>
      </w:r>
      <w:r>
        <w:rPr>
          <w:color w:val="231F20"/>
          <w:w w:val="105"/>
        </w:rPr>
        <w:t>y</w:t>
      </w:r>
      <w:r>
        <w:rPr>
          <w:color w:val="231F20"/>
          <w:spacing w:val="-26"/>
          <w:w w:val="105"/>
        </w:rPr>
        <w:t> </w:t>
      </w:r>
      <w:r>
        <w:rPr>
          <w:color w:val="231F20"/>
          <w:w w:val="105"/>
        </w:rPr>
        <w:t>los</w:t>
      </w:r>
      <w:r>
        <w:rPr>
          <w:color w:val="231F20"/>
          <w:spacing w:val="-26"/>
          <w:w w:val="105"/>
        </w:rPr>
        <w:t> </w:t>
      </w:r>
      <w:r>
        <w:rPr>
          <w:color w:val="231F20"/>
          <w:w w:val="105"/>
        </w:rPr>
        <w:t>adolescentes</w:t>
      </w:r>
      <w:r>
        <w:rPr>
          <w:color w:val="231F20"/>
          <w:spacing w:val="-26"/>
          <w:w w:val="105"/>
        </w:rPr>
        <w:t> </w:t>
      </w:r>
      <w:r>
        <w:rPr>
          <w:color w:val="231F20"/>
          <w:w w:val="105"/>
        </w:rPr>
        <w:t>se</w:t>
      </w:r>
      <w:r>
        <w:rPr>
          <w:color w:val="231F20"/>
          <w:spacing w:val="6"/>
          <w:w w:val="105"/>
        </w:rPr>
        <w:t> </w:t>
      </w:r>
      <w:r>
        <w:rPr>
          <w:color w:val="231F20"/>
          <w:w w:val="105"/>
        </w:rPr>
        <w:t>insertan</w:t>
      </w:r>
      <w:r>
        <w:rPr>
          <w:color w:val="231F20"/>
          <w:spacing w:val="-26"/>
          <w:w w:val="105"/>
        </w:rPr>
        <w:t> </w:t>
      </w:r>
      <w:r>
        <w:rPr>
          <w:color w:val="231F20"/>
          <w:w w:val="105"/>
        </w:rPr>
        <w:t>laboralmente</w:t>
      </w:r>
      <w:r>
        <w:rPr>
          <w:color w:val="231F20"/>
          <w:spacing w:val="-26"/>
          <w:w w:val="105"/>
        </w:rPr>
        <w:t> </w:t>
      </w:r>
      <w:r>
        <w:rPr>
          <w:color w:val="231F20"/>
          <w:w w:val="105"/>
        </w:rPr>
        <w:t>en diversas</w:t>
      </w:r>
      <w:r>
        <w:rPr>
          <w:color w:val="231F20"/>
          <w:spacing w:val="-9"/>
          <w:w w:val="105"/>
        </w:rPr>
        <w:t> </w:t>
      </w:r>
      <w:r>
        <w:rPr>
          <w:color w:val="231F20"/>
          <w:w w:val="105"/>
        </w:rPr>
        <w:t>modalidades:</w:t>
      </w:r>
      <w:r>
        <w:rPr>
          <w:color w:val="231F20"/>
          <w:spacing w:val="-9"/>
          <w:w w:val="105"/>
        </w:rPr>
        <w:t> </w:t>
      </w:r>
      <w:r>
        <w:rPr>
          <w:color w:val="231F20"/>
          <w:w w:val="105"/>
        </w:rPr>
        <w:t>desde</w:t>
      </w:r>
      <w:r>
        <w:rPr>
          <w:color w:val="231F20"/>
          <w:spacing w:val="-9"/>
          <w:w w:val="105"/>
        </w:rPr>
        <w:t> </w:t>
      </w:r>
      <w:r>
        <w:rPr>
          <w:color w:val="231F20"/>
          <w:w w:val="105"/>
        </w:rPr>
        <w:t>aquellos</w:t>
      </w:r>
      <w:r>
        <w:rPr>
          <w:color w:val="231F20"/>
          <w:spacing w:val="-9"/>
          <w:w w:val="105"/>
        </w:rPr>
        <w:t> </w:t>
      </w:r>
      <w:r>
        <w:rPr>
          <w:color w:val="231F20"/>
          <w:w w:val="105"/>
        </w:rPr>
        <w:t>que</w:t>
      </w:r>
      <w:r>
        <w:rPr>
          <w:color w:val="231F20"/>
          <w:spacing w:val="-9"/>
          <w:w w:val="105"/>
        </w:rPr>
        <w:t> </w:t>
      </w:r>
      <w:r>
        <w:rPr>
          <w:color w:val="231F20"/>
          <w:w w:val="105"/>
        </w:rPr>
        <w:t>acuden</w:t>
      </w:r>
      <w:r>
        <w:rPr>
          <w:color w:val="231F20"/>
          <w:spacing w:val="-9"/>
          <w:w w:val="105"/>
        </w:rPr>
        <w:t> </w:t>
      </w:r>
      <w:r>
        <w:rPr>
          <w:color w:val="231F20"/>
          <w:w w:val="105"/>
        </w:rPr>
        <w:t>a</w:t>
      </w:r>
      <w:r>
        <w:rPr>
          <w:color w:val="231F20"/>
          <w:spacing w:val="-9"/>
          <w:w w:val="105"/>
        </w:rPr>
        <w:t> </w:t>
      </w:r>
      <w:r>
        <w:rPr>
          <w:color w:val="231F20"/>
          <w:w w:val="105"/>
        </w:rPr>
        <w:t>las</w:t>
      </w:r>
      <w:r>
        <w:rPr>
          <w:color w:val="231F20"/>
          <w:spacing w:val="-9"/>
          <w:w w:val="105"/>
        </w:rPr>
        <w:t> </w:t>
      </w:r>
      <w:r>
        <w:rPr>
          <w:color w:val="231F20"/>
          <w:w w:val="105"/>
        </w:rPr>
        <w:t>empresas</w:t>
      </w:r>
      <w:r>
        <w:rPr>
          <w:color w:val="231F20"/>
          <w:spacing w:val="-9"/>
          <w:w w:val="105"/>
        </w:rPr>
        <w:t> </w:t>
      </w:r>
      <w:r>
        <w:rPr>
          <w:color w:val="231F20"/>
          <w:w w:val="105"/>
        </w:rPr>
        <w:t>tem- poralmente como acompañantes de algún familiar adulto, y colaboran con</w:t>
      </w:r>
      <w:r>
        <w:rPr>
          <w:color w:val="231F20"/>
          <w:spacing w:val="-11"/>
          <w:w w:val="105"/>
        </w:rPr>
        <w:t> </w:t>
      </w:r>
      <w:r>
        <w:rPr>
          <w:color w:val="231F20"/>
          <w:w w:val="105"/>
        </w:rPr>
        <w:t>el</w:t>
      </w:r>
      <w:r>
        <w:rPr>
          <w:color w:val="231F20"/>
          <w:spacing w:val="-11"/>
          <w:w w:val="105"/>
        </w:rPr>
        <w:t> </w:t>
      </w:r>
      <w:r>
        <w:rPr>
          <w:color w:val="231F20"/>
          <w:w w:val="105"/>
        </w:rPr>
        <w:t>corte</w:t>
      </w:r>
      <w:r>
        <w:rPr>
          <w:color w:val="231F20"/>
          <w:spacing w:val="-11"/>
          <w:w w:val="105"/>
        </w:rPr>
        <w:t> </w:t>
      </w:r>
      <w:r>
        <w:rPr>
          <w:color w:val="231F20"/>
          <w:w w:val="105"/>
        </w:rPr>
        <w:t>y</w:t>
      </w:r>
      <w:r>
        <w:rPr>
          <w:color w:val="231F20"/>
          <w:spacing w:val="-11"/>
          <w:w w:val="105"/>
        </w:rPr>
        <w:t> </w:t>
      </w:r>
      <w:r>
        <w:rPr>
          <w:color w:val="231F20"/>
          <w:w w:val="105"/>
        </w:rPr>
        <w:t>las</w:t>
      </w:r>
      <w:r>
        <w:rPr>
          <w:color w:val="231F20"/>
          <w:spacing w:val="-11"/>
          <w:w w:val="105"/>
        </w:rPr>
        <w:t> </w:t>
      </w:r>
      <w:r>
        <w:rPr>
          <w:color w:val="231F20"/>
          <w:w w:val="105"/>
        </w:rPr>
        <w:t>tareas</w:t>
      </w:r>
      <w:r>
        <w:rPr>
          <w:color w:val="231F20"/>
          <w:spacing w:val="-11"/>
          <w:w w:val="105"/>
        </w:rPr>
        <w:t> </w:t>
      </w:r>
      <w:r>
        <w:rPr>
          <w:color w:val="231F20"/>
          <w:w w:val="105"/>
        </w:rPr>
        <w:t>que</w:t>
      </w:r>
      <w:r>
        <w:rPr>
          <w:color w:val="231F20"/>
          <w:spacing w:val="-11"/>
          <w:w w:val="105"/>
        </w:rPr>
        <w:t> </w:t>
      </w:r>
      <w:r>
        <w:rPr>
          <w:color w:val="231F20"/>
          <w:w w:val="105"/>
        </w:rPr>
        <w:t>por</w:t>
      </w:r>
      <w:r>
        <w:rPr>
          <w:color w:val="231F20"/>
          <w:spacing w:val="-11"/>
          <w:w w:val="105"/>
        </w:rPr>
        <w:t> </w:t>
      </w:r>
      <w:r>
        <w:rPr>
          <w:color w:val="231F20"/>
          <w:w w:val="105"/>
        </w:rPr>
        <w:t>lo</w:t>
      </w:r>
      <w:r>
        <w:rPr>
          <w:color w:val="231F20"/>
          <w:spacing w:val="-11"/>
          <w:w w:val="105"/>
        </w:rPr>
        <w:t> </w:t>
      </w:r>
      <w:r>
        <w:rPr>
          <w:color w:val="231F20"/>
          <w:w w:val="105"/>
        </w:rPr>
        <w:t>regular</w:t>
      </w:r>
      <w:r>
        <w:rPr>
          <w:color w:val="231F20"/>
          <w:spacing w:val="-11"/>
          <w:w w:val="105"/>
        </w:rPr>
        <w:t> </w:t>
      </w:r>
      <w:r>
        <w:rPr>
          <w:color w:val="231F20"/>
          <w:w w:val="105"/>
        </w:rPr>
        <w:t>se</w:t>
      </w:r>
      <w:r>
        <w:rPr>
          <w:color w:val="231F20"/>
          <w:spacing w:val="-11"/>
          <w:w w:val="105"/>
        </w:rPr>
        <w:t> </w:t>
      </w:r>
      <w:r>
        <w:rPr>
          <w:color w:val="231F20"/>
          <w:w w:val="105"/>
        </w:rPr>
        <w:t>pagan</w:t>
      </w:r>
      <w:r>
        <w:rPr>
          <w:color w:val="231F20"/>
          <w:spacing w:val="-11"/>
          <w:w w:val="105"/>
        </w:rPr>
        <w:t> </w:t>
      </w:r>
      <w:r>
        <w:rPr>
          <w:color w:val="231F20"/>
          <w:w w:val="105"/>
        </w:rPr>
        <w:t>a</w:t>
      </w:r>
      <w:r>
        <w:rPr>
          <w:color w:val="231F20"/>
          <w:spacing w:val="-11"/>
          <w:w w:val="105"/>
        </w:rPr>
        <w:t> </w:t>
      </w:r>
      <w:r>
        <w:rPr>
          <w:color w:val="231F20"/>
          <w:w w:val="105"/>
        </w:rPr>
        <w:t>destajo,</w:t>
      </w:r>
      <w:r>
        <w:rPr>
          <w:color w:val="231F20"/>
          <w:spacing w:val="33"/>
          <w:w w:val="105"/>
        </w:rPr>
        <w:t> </w:t>
      </w:r>
      <w:r>
        <w:rPr>
          <w:color w:val="231F20"/>
          <w:w w:val="105"/>
        </w:rPr>
        <w:t>hasta</w:t>
      </w:r>
      <w:r>
        <w:rPr>
          <w:color w:val="231F20"/>
          <w:spacing w:val="-11"/>
          <w:w w:val="105"/>
        </w:rPr>
        <w:t> </w:t>
      </w:r>
      <w:r>
        <w:rPr>
          <w:color w:val="231F20"/>
          <w:w w:val="105"/>
        </w:rPr>
        <w:t>los que han dejado la escuela por completo y han decidido emplearse  </w:t>
      </w:r>
      <w:r>
        <w:rPr>
          <w:color w:val="231F20"/>
          <w:spacing w:val="24"/>
          <w:w w:val="105"/>
        </w:rPr>
        <w:t> </w:t>
      </w:r>
      <w:r>
        <w:rPr>
          <w:color w:val="231F20"/>
          <w:w w:val="105"/>
        </w:rPr>
        <w:t>de</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10216" from="15pt,-71.68644pt" to="0pt,-71.68644pt" stroked="true" strokeweight=".25pt" strokecolor="#000000">
            <w10:wrap type="none"/>
          </v:line>
        </w:pict>
      </w:r>
      <w:r>
        <w:rPr/>
        <w:pict>
          <v:line style="position:absolute;mso-position-horizontal-relative:page;mso-position-vertical-relative:paragraph;z-index:10240" from="508.890015pt,-71.68644pt" to="523.890015pt,-71.68644pt" stroked="true" strokeweight=".25pt" strokecolor="#000000">
            <w10:wrap type="none"/>
          </v:line>
        </w:pict>
      </w:r>
      <w:r>
        <w:rPr>
          <w:color w:val="231F20"/>
          <w:w w:val="105"/>
        </w:rPr>
        <w:t>tiempo completo en la floricultura, o aquellos que trabajan bajo la mo- dalidad de la economía campesina de subsistencia en las unidades de producción más pequeñas que producen floricultura de traspatio.</w:t>
      </w:r>
    </w:p>
    <w:p>
      <w:pPr>
        <w:pStyle w:val="BodyText"/>
        <w:spacing w:line="261" w:lineRule="auto" w:before="1"/>
        <w:ind w:left="1723" w:right="1834" w:firstLine="567"/>
        <w:jc w:val="both"/>
      </w:pPr>
      <w:r>
        <w:rPr>
          <w:color w:val="231F20"/>
        </w:rPr>
        <w:t>Bajo estas condiciones de desigualdad productiva y de precarie-  dad laboral, ¿qué expectativas laborales a futuro tienen estos niños y ni- ñas? Los niños y las niñas que se emplean en la floricultura difícilmente cuentan con referentes escolares y laborales similares a las de los niños de clase media y del contexto urbano. No encuentran en la continuidad   de la escolaridad una opción para su  </w:t>
      </w:r>
      <w:r>
        <w:rPr>
          <w:color w:val="231F20"/>
          <w:spacing w:val="11"/>
        </w:rPr>
        <w:t> </w:t>
      </w:r>
      <w:r>
        <w:rPr>
          <w:color w:val="231F20"/>
        </w:rPr>
        <w:t>futuro.</w:t>
      </w:r>
    </w:p>
    <w:p>
      <w:pPr>
        <w:pStyle w:val="BodyText"/>
        <w:spacing w:line="261" w:lineRule="auto" w:before="1"/>
        <w:ind w:left="1723" w:right="1834" w:firstLine="567"/>
        <w:jc w:val="both"/>
      </w:pPr>
      <w:r>
        <w:rPr>
          <w:color w:val="231F20"/>
          <w:w w:val="105"/>
        </w:rPr>
        <w:t>Durante la investigación realizada se obtuvieron cerca de 90</w:t>
      </w:r>
      <w:r>
        <w:rPr>
          <w:color w:val="231F20"/>
          <w:spacing w:val="-19"/>
          <w:w w:val="105"/>
        </w:rPr>
        <w:t> </w:t>
      </w:r>
      <w:r>
        <w:rPr>
          <w:color w:val="231F20"/>
          <w:w w:val="105"/>
        </w:rPr>
        <w:t>ilus- traciones</w:t>
      </w:r>
      <w:r>
        <w:rPr>
          <w:color w:val="231F20"/>
          <w:spacing w:val="-4"/>
          <w:w w:val="105"/>
        </w:rPr>
        <w:t> </w:t>
      </w:r>
      <w:r>
        <w:rPr>
          <w:color w:val="231F20"/>
          <w:w w:val="105"/>
        </w:rPr>
        <w:t>que</w:t>
      </w:r>
      <w:r>
        <w:rPr>
          <w:color w:val="231F20"/>
          <w:spacing w:val="-4"/>
          <w:w w:val="105"/>
        </w:rPr>
        <w:t> </w:t>
      </w:r>
      <w:r>
        <w:rPr>
          <w:color w:val="231F20"/>
          <w:w w:val="105"/>
        </w:rPr>
        <w:t>indicaban</w:t>
      </w:r>
      <w:r>
        <w:rPr>
          <w:color w:val="231F20"/>
          <w:spacing w:val="-4"/>
          <w:w w:val="105"/>
        </w:rPr>
        <w:t> </w:t>
      </w:r>
      <w:r>
        <w:rPr>
          <w:color w:val="231F20"/>
          <w:w w:val="105"/>
        </w:rPr>
        <w:t>cuál</w:t>
      </w:r>
      <w:r>
        <w:rPr>
          <w:color w:val="231F20"/>
          <w:spacing w:val="-4"/>
          <w:w w:val="105"/>
        </w:rPr>
        <w:t> </w:t>
      </w:r>
      <w:r>
        <w:rPr>
          <w:color w:val="231F20"/>
          <w:w w:val="105"/>
        </w:rPr>
        <w:t>era</w:t>
      </w:r>
      <w:r>
        <w:rPr>
          <w:color w:val="231F20"/>
          <w:spacing w:val="-4"/>
          <w:w w:val="105"/>
        </w:rPr>
        <w:t> </w:t>
      </w:r>
      <w:r>
        <w:rPr>
          <w:color w:val="231F20"/>
          <w:w w:val="105"/>
        </w:rPr>
        <w:t>su</w:t>
      </w:r>
      <w:r>
        <w:rPr>
          <w:color w:val="231F20"/>
          <w:spacing w:val="-4"/>
          <w:w w:val="105"/>
        </w:rPr>
        <w:t> </w:t>
      </w:r>
      <w:r>
        <w:rPr>
          <w:color w:val="231F20"/>
          <w:w w:val="105"/>
        </w:rPr>
        <w:t>trabajo</w:t>
      </w:r>
      <w:r>
        <w:rPr>
          <w:color w:val="231F20"/>
          <w:spacing w:val="-4"/>
          <w:w w:val="105"/>
        </w:rPr>
        <w:t> </w:t>
      </w:r>
      <w:r>
        <w:rPr>
          <w:color w:val="231F20"/>
          <w:w w:val="105"/>
        </w:rPr>
        <w:t>actual</w:t>
      </w:r>
      <w:r>
        <w:rPr>
          <w:color w:val="231F20"/>
          <w:spacing w:val="-4"/>
          <w:w w:val="105"/>
        </w:rPr>
        <w:t> </w:t>
      </w:r>
      <w:r>
        <w:rPr>
          <w:color w:val="231F20"/>
          <w:w w:val="105"/>
        </w:rPr>
        <w:t>y</w:t>
      </w:r>
      <w:r>
        <w:rPr>
          <w:color w:val="231F20"/>
          <w:spacing w:val="-4"/>
          <w:w w:val="105"/>
        </w:rPr>
        <w:t> </w:t>
      </w:r>
      <w:r>
        <w:rPr>
          <w:color w:val="231F20"/>
          <w:w w:val="105"/>
        </w:rPr>
        <w:t>qué</w:t>
      </w:r>
      <w:r>
        <w:rPr>
          <w:color w:val="231F20"/>
          <w:spacing w:val="-4"/>
          <w:w w:val="105"/>
        </w:rPr>
        <w:t> </w:t>
      </w:r>
      <w:r>
        <w:rPr>
          <w:color w:val="231F20"/>
          <w:w w:val="105"/>
        </w:rPr>
        <w:t>trabajo</w:t>
      </w:r>
      <w:r>
        <w:rPr>
          <w:color w:val="231F20"/>
          <w:spacing w:val="-4"/>
          <w:w w:val="105"/>
        </w:rPr>
        <w:t> </w:t>
      </w:r>
      <w:r>
        <w:rPr>
          <w:color w:val="231F20"/>
          <w:w w:val="105"/>
        </w:rPr>
        <w:t>se</w:t>
      </w:r>
      <w:r>
        <w:rPr>
          <w:color w:val="231F20"/>
          <w:spacing w:val="-4"/>
          <w:w w:val="105"/>
        </w:rPr>
        <w:t> </w:t>
      </w:r>
      <w:r>
        <w:rPr>
          <w:color w:val="231F20"/>
          <w:w w:val="105"/>
        </w:rPr>
        <w:t>ima- ginaban tendrían cuando fueran mayores de edad. Únicamente un</w:t>
      </w:r>
      <w:r>
        <w:rPr>
          <w:color w:val="231F20"/>
          <w:spacing w:val="-31"/>
          <w:w w:val="105"/>
        </w:rPr>
        <w:t> </w:t>
      </w:r>
      <w:r>
        <w:rPr>
          <w:color w:val="231F20"/>
          <w:w w:val="105"/>
        </w:rPr>
        <w:t>niño dibujó</w:t>
      </w:r>
      <w:r>
        <w:rPr>
          <w:color w:val="231F20"/>
          <w:spacing w:val="-4"/>
          <w:w w:val="105"/>
        </w:rPr>
        <w:t> </w:t>
      </w:r>
      <w:r>
        <w:rPr>
          <w:color w:val="231F20"/>
          <w:w w:val="105"/>
        </w:rPr>
        <w:t>la</w:t>
      </w:r>
      <w:r>
        <w:rPr>
          <w:color w:val="231F20"/>
          <w:spacing w:val="-4"/>
          <w:w w:val="105"/>
        </w:rPr>
        <w:t> </w:t>
      </w:r>
      <w:r>
        <w:rPr>
          <w:color w:val="231F20"/>
          <w:w w:val="105"/>
        </w:rPr>
        <w:t>opción</w:t>
      </w:r>
      <w:r>
        <w:rPr>
          <w:color w:val="231F20"/>
          <w:spacing w:val="-4"/>
          <w:w w:val="105"/>
        </w:rPr>
        <w:t> </w:t>
      </w:r>
      <w:r>
        <w:rPr>
          <w:color w:val="231F20"/>
          <w:w w:val="105"/>
        </w:rPr>
        <w:t>de</w:t>
      </w:r>
      <w:r>
        <w:rPr>
          <w:color w:val="231F20"/>
          <w:spacing w:val="-4"/>
          <w:w w:val="105"/>
        </w:rPr>
        <w:t> </w:t>
      </w:r>
      <w:r>
        <w:rPr>
          <w:color w:val="231F20"/>
          <w:w w:val="105"/>
        </w:rPr>
        <w:t>convertirse</w:t>
      </w:r>
      <w:r>
        <w:rPr>
          <w:color w:val="231F20"/>
          <w:spacing w:val="-4"/>
          <w:w w:val="105"/>
        </w:rPr>
        <w:t> </w:t>
      </w:r>
      <w:r>
        <w:rPr>
          <w:color w:val="231F20"/>
          <w:w w:val="105"/>
        </w:rPr>
        <w:t>en</w:t>
      </w:r>
      <w:r>
        <w:rPr>
          <w:color w:val="231F20"/>
          <w:spacing w:val="-4"/>
          <w:w w:val="105"/>
        </w:rPr>
        <w:t> </w:t>
      </w:r>
      <w:r>
        <w:rPr>
          <w:color w:val="231F20"/>
          <w:w w:val="105"/>
        </w:rPr>
        <w:t>médico</w:t>
      </w:r>
      <w:r>
        <w:rPr>
          <w:color w:val="231F20"/>
          <w:spacing w:val="-4"/>
          <w:w w:val="105"/>
        </w:rPr>
        <w:t> </w:t>
      </w:r>
      <w:r>
        <w:rPr>
          <w:color w:val="231F20"/>
          <w:w w:val="105"/>
        </w:rPr>
        <w:t>y</w:t>
      </w:r>
      <w:r>
        <w:rPr>
          <w:color w:val="231F20"/>
          <w:spacing w:val="-4"/>
          <w:w w:val="105"/>
        </w:rPr>
        <w:t> </w:t>
      </w:r>
      <w:r>
        <w:rPr>
          <w:color w:val="231F20"/>
          <w:w w:val="105"/>
        </w:rPr>
        <w:t>dos</w:t>
      </w:r>
      <w:r>
        <w:rPr>
          <w:color w:val="231F20"/>
          <w:spacing w:val="-4"/>
          <w:w w:val="105"/>
        </w:rPr>
        <w:t> </w:t>
      </w:r>
      <w:r>
        <w:rPr>
          <w:color w:val="231F20"/>
          <w:w w:val="105"/>
        </w:rPr>
        <w:t>niñas</w:t>
      </w:r>
      <w:r>
        <w:rPr>
          <w:color w:val="231F20"/>
          <w:spacing w:val="-4"/>
          <w:w w:val="105"/>
        </w:rPr>
        <w:t> </w:t>
      </w:r>
      <w:r>
        <w:rPr>
          <w:color w:val="231F20"/>
          <w:w w:val="105"/>
        </w:rPr>
        <w:t>la</w:t>
      </w:r>
      <w:r>
        <w:rPr>
          <w:color w:val="231F20"/>
          <w:spacing w:val="-4"/>
          <w:w w:val="105"/>
        </w:rPr>
        <w:t> </w:t>
      </w:r>
      <w:r>
        <w:rPr>
          <w:color w:val="231F20"/>
          <w:w w:val="105"/>
        </w:rPr>
        <w:t>opción</w:t>
      </w:r>
      <w:r>
        <w:rPr>
          <w:color w:val="231F20"/>
          <w:spacing w:val="-4"/>
          <w:w w:val="105"/>
        </w:rPr>
        <w:t> </w:t>
      </w:r>
      <w:r>
        <w:rPr>
          <w:color w:val="231F20"/>
          <w:w w:val="105"/>
        </w:rPr>
        <w:t>de</w:t>
      </w:r>
      <w:r>
        <w:rPr>
          <w:color w:val="231F20"/>
          <w:spacing w:val="-4"/>
          <w:w w:val="105"/>
        </w:rPr>
        <w:t> </w:t>
      </w:r>
      <w:r>
        <w:rPr>
          <w:color w:val="231F20"/>
          <w:w w:val="105"/>
        </w:rPr>
        <w:t>con- vertirse</w:t>
      </w:r>
      <w:r>
        <w:rPr>
          <w:color w:val="231F20"/>
          <w:spacing w:val="-15"/>
          <w:w w:val="105"/>
        </w:rPr>
        <w:t> </w:t>
      </w:r>
      <w:r>
        <w:rPr>
          <w:color w:val="231F20"/>
          <w:w w:val="105"/>
        </w:rPr>
        <w:t>en</w:t>
      </w:r>
      <w:r>
        <w:rPr>
          <w:color w:val="231F20"/>
          <w:spacing w:val="-15"/>
          <w:w w:val="105"/>
        </w:rPr>
        <w:t> </w:t>
      </w:r>
      <w:r>
        <w:rPr>
          <w:color w:val="231F20"/>
          <w:w w:val="105"/>
        </w:rPr>
        <w:t>profesoras</w:t>
      </w:r>
      <w:r>
        <w:rPr>
          <w:color w:val="231F20"/>
          <w:spacing w:val="-15"/>
          <w:w w:val="105"/>
        </w:rPr>
        <w:t> </w:t>
      </w:r>
      <w:r>
        <w:rPr>
          <w:color w:val="231F20"/>
          <w:w w:val="105"/>
        </w:rPr>
        <w:t>de</w:t>
      </w:r>
      <w:r>
        <w:rPr>
          <w:color w:val="231F20"/>
          <w:spacing w:val="-15"/>
          <w:w w:val="105"/>
        </w:rPr>
        <w:t> </w:t>
      </w:r>
      <w:r>
        <w:rPr>
          <w:color w:val="231F20"/>
          <w:w w:val="105"/>
        </w:rPr>
        <w:t>primaria.</w:t>
      </w:r>
      <w:r>
        <w:rPr>
          <w:color w:val="231F20"/>
          <w:spacing w:val="-20"/>
          <w:w w:val="105"/>
        </w:rPr>
        <w:t> </w:t>
      </w:r>
      <w:r>
        <w:rPr>
          <w:color w:val="231F20"/>
          <w:w w:val="105"/>
        </w:rPr>
        <w:t>El</w:t>
      </w:r>
      <w:r>
        <w:rPr>
          <w:color w:val="231F20"/>
          <w:spacing w:val="-15"/>
          <w:w w:val="105"/>
        </w:rPr>
        <w:t> </w:t>
      </w:r>
      <w:r>
        <w:rPr>
          <w:color w:val="231F20"/>
          <w:w w:val="105"/>
        </w:rPr>
        <w:t>resto</w:t>
      </w:r>
      <w:r>
        <w:rPr>
          <w:color w:val="231F20"/>
          <w:spacing w:val="-15"/>
          <w:w w:val="105"/>
        </w:rPr>
        <w:t> </w:t>
      </w:r>
      <w:r>
        <w:rPr>
          <w:color w:val="231F20"/>
          <w:w w:val="105"/>
        </w:rPr>
        <w:t>vinculó</w:t>
      </w:r>
      <w:r>
        <w:rPr>
          <w:color w:val="231F20"/>
          <w:spacing w:val="-15"/>
          <w:w w:val="105"/>
        </w:rPr>
        <w:t> </w:t>
      </w:r>
      <w:r>
        <w:rPr>
          <w:color w:val="231F20"/>
          <w:w w:val="105"/>
        </w:rPr>
        <w:t>su</w:t>
      </w:r>
      <w:r>
        <w:rPr>
          <w:color w:val="231F20"/>
          <w:spacing w:val="-15"/>
          <w:w w:val="105"/>
        </w:rPr>
        <w:t> </w:t>
      </w:r>
      <w:r>
        <w:rPr>
          <w:color w:val="231F20"/>
          <w:w w:val="105"/>
        </w:rPr>
        <w:t>trabajo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futuro a</w:t>
      </w:r>
      <w:r>
        <w:rPr>
          <w:color w:val="231F20"/>
          <w:spacing w:val="-17"/>
          <w:w w:val="105"/>
        </w:rPr>
        <w:t> </w:t>
      </w:r>
      <w:r>
        <w:rPr>
          <w:color w:val="231F20"/>
          <w:w w:val="105"/>
        </w:rPr>
        <w:t>alguna</w:t>
      </w:r>
      <w:r>
        <w:rPr>
          <w:color w:val="231F20"/>
          <w:spacing w:val="-17"/>
          <w:w w:val="105"/>
        </w:rPr>
        <w:t> </w:t>
      </w:r>
      <w:r>
        <w:rPr>
          <w:color w:val="231F20"/>
          <w:w w:val="105"/>
        </w:rPr>
        <w:t>actividad</w:t>
      </w:r>
      <w:r>
        <w:rPr>
          <w:color w:val="231F20"/>
          <w:spacing w:val="-17"/>
          <w:w w:val="105"/>
        </w:rPr>
        <w:t> </w:t>
      </w:r>
      <w:r>
        <w:rPr>
          <w:color w:val="231F20"/>
          <w:w w:val="105"/>
        </w:rPr>
        <w:t>relacionada</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rama</w:t>
      </w:r>
      <w:r>
        <w:rPr>
          <w:color w:val="231F20"/>
          <w:spacing w:val="-17"/>
          <w:w w:val="105"/>
        </w:rPr>
        <w:t> </w:t>
      </w:r>
      <w:r>
        <w:rPr>
          <w:color w:val="231F20"/>
          <w:w w:val="105"/>
        </w:rPr>
        <w:t>florícola.</w:t>
      </w:r>
    </w:p>
    <w:p>
      <w:pPr>
        <w:pStyle w:val="BodyText"/>
        <w:spacing w:line="261" w:lineRule="auto" w:before="1"/>
        <w:ind w:left="1723" w:right="1834" w:firstLine="567"/>
        <w:jc w:val="both"/>
      </w:pPr>
      <w:r>
        <w:rPr>
          <w:color w:val="231F20"/>
          <w:w w:val="105"/>
        </w:rPr>
        <w:t>Un</w:t>
      </w:r>
      <w:r>
        <w:rPr>
          <w:color w:val="231F20"/>
          <w:spacing w:val="-13"/>
          <w:w w:val="105"/>
        </w:rPr>
        <w:t> </w:t>
      </w:r>
      <w:r>
        <w:rPr>
          <w:color w:val="231F20"/>
          <w:w w:val="105"/>
        </w:rPr>
        <w:t>elemento</w:t>
      </w:r>
      <w:r>
        <w:rPr>
          <w:color w:val="231F20"/>
          <w:spacing w:val="-14"/>
          <w:w w:val="105"/>
        </w:rPr>
        <w:t> </w:t>
      </w:r>
      <w:r>
        <w:rPr>
          <w:color w:val="231F20"/>
          <w:w w:val="105"/>
        </w:rPr>
        <w:t>central</w:t>
      </w:r>
      <w:r>
        <w:rPr>
          <w:color w:val="231F20"/>
          <w:spacing w:val="-13"/>
          <w:w w:val="105"/>
        </w:rPr>
        <w:t> </w:t>
      </w:r>
      <w:r>
        <w:rPr>
          <w:color w:val="231F20"/>
          <w:w w:val="105"/>
        </w:rPr>
        <w:t>que</w:t>
      </w:r>
      <w:r>
        <w:rPr>
          <w:color w:val="231F20"/>
          <w:spacing w:val="-13"/>
          <w:w w:val="105"/>
        </w:rPr>
        <w:t> </w:t>
      </w:r>
      <w:r>
        <w:rPr>
          <w:color w:val="231F20"/>
          <w:w w:val="105"/>
        </w:rPr>
        <w:t>surgió</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discurso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niños</w:t>
      </w:r>
      <w:r>
        <w:rPr>
          <w:color w:val="231F20"/>
          <w:spacing w:val="-13"/>
          <w:w w:val="105"/>
        </w:rPr>
        <w:t> </w:t>
      </w:r>
      <w:r>
        <w:rPr>
          <w:color w:val="231F20"/>
          <w:w w:val="105"/>
        </w:rPr>
        <w:t>cuando se trataba de imaginar su futuro fue que serían empleadores y no em- pleados</w:t>
      </w:r>
      <w:r>
        <w:rPr>
          <w:color w:val="231F20"/>
          <w:spacing w:val="-17"/>
          <w:w w:val="105"/>
        </w:rPr>
        <w:t> </w:t>
      </w:r>
      <w:r>
        <w:rPr>
          <w:color w:val="231F20"/>
          <w:w w:val="105"/>
        </w:rPr>
        <w:t>como</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presente.</w:t>
      </w:r>
      <w:r>
        <w:rPr>
          <w:color w:val="231F20"/>
          <w:spacing w:val="-25"/>
          <w:w w:val="105"/>
        </w:rPr>
        <w:t> </w:t>
      </w:r>
      <w:r>
        <w:rPr>
          <w:color w:val="231F20"/>
          <w:spacing w:val="-3"/>
          <w:w w:val="105"/>
        </w:rPr>
        <w:t>Véase</w:t>
      </w:r>
      <w:r>
        <w:rPr>
          <w:color w:val="231F20"/>
          <w:spacing w:val="-17"/>
          <w:w w:val="105"/>
        </w:rPr>
        <w:t> </w:t>
      </w:r>
      <w:r>
        <w:rPr>
          <w:color w:val="231F20"/>
          <w:w w:val="105"/>
        </w:rPr>
        <w:t>ilustración</w:t>
      </w:r>
      <w:r>
        <w:rPr>
          <w:color w:val="231F20"/>
          <w:spacing w:val="-17"/>
          <w:w w:val="105"/>
        </w:rPr>
        <w:t> </w:t>
      </w:r>
      <w:r>
        <w:rPr>
          <w:color w:val="231F20"/>
          <w:w w:val="105"/>
        </w:rPr>
        <w:t>número</w:t>
      </w:r>
      <w:r>
        <w:rPr>
          <w:color w:val="231F20"/>
          <w:spacing w:val="-17"/>
          <w:w w:val="105"/>
        </w:rPr>
        <w:t> </w:t>
      </w:r>
      <w:r>
        <w:rPr>
          <w:color w:val="231F20"/>
          <w:w w:val="105"/>
        </w:rPr>
        <w:t>uno.</w:t>
      </w:r>
    </w:p>
    <w:p>
      <w:pPr>
        <w:pStyle w:val="BodyText"/>
        <w:spacing w:before="4"/>
      </w:pPr>
    </w:p>
    <w:p>
      <w:pPr>
        <w:spacing w:before="0"/>
        <w:ind w:left="2693" w:right="2804" w:firstLine="0"/>
        <w:jc w:val="center"/>
        <w:rPr>
          <w:rFonts w:ascii="Arial" w:hAnsi="Arial"/>
          <w:sz w:val="18"/>
        </w:rPr>
      </w:pPr>
      <w:r>
        <w:rPr/>
        <w:drawing>
          <wp:anchor distT="0" distB="0" distL="0" distR="0" allowOverlap="1" layoutInCell="1" locked="0" behindDoc="0" simplePos="0" relativeHeight="10168">
            <wp:simplePos x="0" y="0"/>
            <wp:positionH relativeFrom="page">
              <wp:posOffset>1112699</wp:posOffset>
            </wp:positionH>
            <wp:positionV relativeFrom="paragraph">
              <wp:posOffset>212885</wp:posOffset>
            </wp:positionV>
            <wp:extent cx="4352823" cy="2935224"/>
            <wp:effectExtent l="0" t="0" r="0" b="0"/>
            <wp:wrapTopAndBottom/>
            <wp:docPr id="13" name="image14.png" descr=""/>
            <wp:cNvGraphicFramePr>
              <a:graphicFrameLocks noChangeAspect="1"/>
            </wp:cNvGraphicFramePr>
            <a:graphic>
              <a:graphicData uri="http://schemas.openxmlformats.org/drawingml/2006/picture">
                <pic:pic>
                  <pic:nvPicPr>
                    <pic:cNvPr id="14" name="image14.png"/>
                    <pic:cNvPicPr/>
                  </pic:nvPicPr>
                  <pic:blipFill>
                    <a:blip r:embed="rId88" cstate="print"/>
                    <a:stretch>
                      <a:fillRect/>
                    </a:stretch>
                  </pic:blipFill>
                  <pic:spPr>
                    <a:xfrm>
                      <a:off x="0" y="0"/>
                      <a:ext cx="4352823" cy="2935224"/>
                    </a:xfrm>
                    <a:prstGeom prst="rect">
                      <a:avLst/>
                    </a:prstGeom>
                  </pic:spPr>
                </pic:pic>
              </a:graphicData>
            </a:graphic>
          </wp:anchor>
        </w:drawing>
      </w:r>
      <w:r>
        <w:rPr>
          <w:rFonts w:ascii="Arial" w:hAnsi="Arial"/>
          <w:color w:val="231F20"/>
          <w:w w:val="105"/>
          <w:sz w:val="18"/>
        </w:rPr>
        <w:t>Ilustración 1</w:t>
      </w:r>
    </w:p>
    <w:p>
      <w:pPr>
        <w:spacing w:before="11"/>
        <w:ind w:left="1723" w:right="0" w:firstLine="0"/>
        <w:jc w:val="both"/>
        <w:rPr>
          <w:sz w:val="16"/>
        </w:rPr>
      </w:pPr>
      <w:r>
        <w:rPr>
          <w:color w:val="231F20"/>
          <w:sz w:val="16"/>
        </w:rPr>
        <w:t>(Niño, 10 años)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9992" from="131.551193pt,3.703715pt" to="131.551193pt,39.506114pt" stroked="true" strokeweight=".35pt" strokecolor="#231f20">
            <w10:wrap type="none"/>
          </v:line>
        </w:pict>
      </w:r>
      <w:r>
        <w:rPr/>
        <w:pict>
          <v:line style="position:absolute;mso-position-horizontal-relative:page;mso-position-vertical-relative:paragraph;z-index:-479920" from="15pt,39.505917pt" to="0pt,39.505917pt" stroked="true" strokeweight=".25pt" strokecolor="#000000">
            <w10:wrap type="none"/>
          </v:line>
        </w:pict>
      </w:r>
      <w:r>
        <w:rPr/>
        <w:pict>
          <v:line style="position:absolute;mso-position-horizontal-relative:page;mso-position-vertical-relative:paragraph;z-index:10288" from="508.890015pt,39.505917pt" to="523.890015pt,39.505917pt" stroked="true" strokeweight=".25pt" strokecolor="#000000">
            <w10:wrap type="none"/>
          </v:line>
        </w:pict>
      </w:r>
      <w:r>
        <w:rPr>
          <w:rFonts w:ascii="Arial" w:hAnsi="Arial"/>
          <w:color w:val="414042"/>
          <w:position w:val="-5"/>
          <w:sz w:val="20"/>
        </w:rPr>
        <w:t>102</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755" w:right="0" w:firstLine="0"/>
        <w:jc w:val="left"/>
        <w:rPr>
          <w:rFonts w:ascii="Arial" w:hAnsi="Arial"/>
          <w:sz w:val="20"/>
        </w:rPr>
      </w:pPr>
      <w:r>
        <w:rPr/>
        <w:pict>
          <v:line style="position:absolute;mso-position-horizontal-relative:page;mso-position-vertical-relative:paragraph;z-index:-479848" from="405.061005pt,-18.554295pt" to="405.061005pt,16.311579pt" stroked="true" strokeweight=".35pt" strokecolor="#231f20">
            <w10:wrap type="none"/>
          </v:line>
        </w:pict>
      </w:r>
      <w:r>
        <w:rPr/>
        <w:pict>
          <v:line style="position:absolute;mso-position-horizontal-relative:page;mso-position-vertical-relative:paragraph;z-index:10360" from="15pt,-18.554522pt" to="0pt,-18.554522pt" stroked="true" strokeweight=".25pt" strokecolor="#000000">
            <w10:wrap type="none"/>
          </v:line>
        </w:pict>
      </w:r>
      <w:r>
        <w:rPr/>
        <w:pict>
          <v:line style="position:absolute;mso-position-horizontal-relative:page;mso-position-vertical-relative:paragraph;z-index:10384"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103</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En</w:t>
      </w:r>
      <w:r>
        <w:rPr>
          <w:color w:val="231F20"/>
          <w:spacing w:val="-19"/>
          <w:w w:val="105"/>
        </w:rPr>
        <w:t> </w:t>
      </w:r>
      <w:r>
        <w:rPr>
          <w:color w:val="231F20"/>
          <w:w w:val="105"/>
        </w:rPr>
        <w:t>este</w:t>
      </w:r>
      <w:r>
        <w:rPr>
          <w:color w:val="231F20"/>
          <w:spacing w:val="-19"/>
          <w:w w:val="105"/>
        </w:rPr>
        <w:t> </w:t>
      </w:r>
      <w:r>
        <w:rPr>
          <w:color w:val="231F20"/>
          <w:w w:val="105"/>
        </w:rPr>
        <w:t>mismo</w:t>
      </w:r>
      <w:r>
        <w:rPr>
          <w:color w:val="231F20"/>
          <w:spacing w:val="-19"/>
          <w:w w:val="105"/>
        </w:rPr>
        <w:t> </w:t>
      </w:r>
      <w:r>
        <w:rPr>
          <w:color w:val="231F20"/>
          <w:w w:val="105"/>
        </w:rPr>
        <w:t>sentido,</w:t>
      </w:r>
      <w:r>
        <w:rPr>
          <w:color w:val="231F20"/>
          <w:spacing w:val="-24"/>
          <w:w w:val="105"/>
        </w:rPr>
        <w:t> </w:t>
      </w:r>
      <w:r>
        <w:rPr>
          <w:color w:val="231F20"/>
          <w:w w:val="105"/>
        </w:rPr>
        <w:t>varios</w:t>
      </w:r>
      <w:r>
        <w:rPr>
          <w:color w:val="231F20"/>
          <w:spacing w:val="-19"/>
          <w:w w:val="105"/>
        </w:rPr>
        <w:t> </w:t>
      </w:r>
      <w:r>
        <w:rPr>
          <w:color w:val="231F20"/>
          <w:w w:val="105"/>
        </w:rPr>
        <w:t>hicieron</w:t>
      </w:r>
      <w:r>
        <w:rPr>
          <w:color w:val="231F20"/>
          <w:spacing w:val="-19"/>
          <w:w w:val="105"/>
        </w:rPr>
        <w:t> </w:t>
      </w:r>
      <w:r>
        <w:rPr>
          <w:color w:val="231F20"/>
          <w:w w:val="105"/>
        </w:rPr>
        <w:t>mención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necesidad</w:t>
      </w:r>
      <w:r>
        <w:rPr>
          <w:color w:val="231F20"/>
          <w:spacing w:val="-19"/>
          <w:w w:val="105"/>
        </w:rPr>
        <w:t> </w:t>
      </w:r>
      <w:r>
        <w:rPr>
          <w:color w:val="231F20"/>
          <w:w w:val="105"/>
        </w:rPr>
        <w:t>de</w:t>
      </w:r>
      <w:r>
        <w:rPr>
          <w:color w:val="231F20"/>
          <w:spacing w:val="-19"/>
          <w:w w:val="105"/>
        </w:rPr>
        <w:t> </w:t>
      </w:r>
      <w:r>
        <w:rPr>
          <w:color w:val="231F20"/>
          <w:w w:val="105"/>
        </w:rPr>
        <w:t>tener una</w:t>
      </w:r>
      <w:r>
        <w:rPr>
          <w:color w:val="231F20"/>
          <w:spacing w:val="-19"/>
          <w:w w:val="105"/>
        </w:rPr>
        <w:t> </w:t>
      </w:r>
      <w:r>
        <w:rPr>
          <w:color w:val="231F20"/>
          <w:w w:val="105"/>
        </w:rPr>
        <w:t>camioneta</w:t>
      </w:r>
      <w:r>
        <w:rPr>
          <w:color w:val="231F20"/>
          <w:spacing w:val="-19"/>
          <w:w w:val="105"/>
        </w:rPr>
        <w:t> </w:t>
      </w:r>
      <w:r>
        <w:rPr>
          <w:color w:val="231F20"/>
          <w:w w:val="105"/>
        </w:rPr>
        <w:t>o</w:t>
      </w:r>
      <w:r>
        <w:rPr>
          <w:color w:val="231F20"/>
          <w:spacing w:val="-19"/>
          <w:w w:val="105"/>
        </w:rPr>
        <w:t> </w:t>
      </w:r>
      <w:r>
        <w:rPr>
          <w:color w:val="231F20"/>
          <w:w w:val="105"/>
        </w:rPr>
        <w:t>tráiler</w:t>
      </w:r>
      <w:r>
        <w:rPr>
          <w:color w:val="231F20"/>
          <w:spacing w:val="-19"/>
          <w:w w:val="105"/>
        </w:rPr>
        <w:t> </w:t>
      </w:r>
      <w:r>
        <w:rPr>
          <w:color w:val="231F20"/>
          <w:w w:val="105"/>
        </w:rPr>
        <w:t>para</w:t>
      </w:r>
      <w:r>
        <w:rPr>
          <w:color w:val="231F20"/>
          <w:spacing w:val="-19"/>
          <w:w w:val="105"/>
        </w:rPr>
        <w:t> </w:t>
      </w:r>
      <w:r>
        <w:rPr>
          <w:color w:val="231F20"/>
          <w:w w:val="105"/>
        </w:rPr>
        <w:t>trasportar</w:t>
      </w:r>
      <w:r>
        <w:rPr>
          <w:color w:val="231F20"/>
          <w:spacing w:val="-19"/>
          <w:w w:val="105"/>
        </w:rPr>
        <w:t> </w:t>
      </w:r>
      <w:r>
        <w:rPr>
          <w:color w:val="231F20"/>
          <w:w w:val="105"/>
        </w:rPr>
        <w:t>las</w:t>
      </w:r>
      <w:r>
        <w:rPr>
          <w:color w:val="231F20"/>
          <w:spacing w:val="-19"/>
          <w:w w:val="105"/>
        </w:rPr>
        <w:t> </w:t>
      </w:r>
      <w:r>
        <w:rPr>
          <w:color w:val="231F20"/>
          <w:w w:val="105"/>
        </w:rPr>
        <w:t>flores</w:t>
      </w:r>
      <w:r>
        <w:rPr>
          <w:color w:val="231F20"/>
          <w:spacing w:val="-19"/>
          <w:w w:val="105"/>
        </w:rPr>
        <w:t> </w:t>
      </w:r>
      <w:r>
        <w:rPr>
          <w:color w:val="231F20"/>
          <w:w w:val="105"/>
        </w:rPr>
        <w:t>al</w:t>
      </w:r>
      <w:r>
        <w:rPr>
          <w:color w:val="231F20"/>
          <w:spacing w:val="-19"/>
          <w:w w:val="105"/>
        </w:rPr>
        <w:t> </w:t>
      </w:r>
      <w:r>
        <w:rPr>
          <w:color w:val="231F20"/>
          <w:w w:val="105"/>
        </w:rPr>
        <w:t>mercado</w:t>
      </w:r>
      <w:r>
        <w:rPr>
          <w:color w:val="231F20"/>
          <w:spacing w:val="-19"/>
          <w:w w:val="105"/>
        </w:rPr>
        <w:t> </w:t>
      </w:r>
      <w:r>
        <w:rPr>
          <w:color w:val="231F20"/>
          <w:w w:val="105"/>
        </w:rPr>
        <w:t>local</w:t>
      </w:r>
      <w:r>
        <w:rPr>
          <w:color w:val="231F20"/>
          <w:spacing w:val="-19"/>
          <w:w w:val="105"/>
        </w:rPr>
        <w:t> </w:t>
      </w:r>
      <w:r>
        <w:rPr>
          <w:color w:val="231F20"/>
          <w:w w:val="105"/>
        </w:rPr>
        <w:t>del</w:t>
      </w:r>
      <w:r>
        <w:rPr>
          <w:color w:val="231F20"/>
          <w:spacing w:val="-19"/>
          <w:w w:val="105"/>
        </w:rPr>
        <w:t> </w:t>
      </w:r>
      <w:r>
        <w:rPr>
          <w:color w:val="231F20"/>
          <w:w w:val="105"/>
        </w:rPr>
        <w:t>mu- nicipio</w:t>
      </w:r>
      <w:r>
        <w:rPr>
          <w:color w:val="231F20"/>
          <w:spacing w:val="-14"/>
          <w:w w:val="105"/>
        </w:rPr>
        <w:t> </w:t>
      </w:r>
      <w:r>
        <w:rPr>
          <w:color w:val="231F20"/>
          <w:w w:val="105"/>
        </w:rPr>
        <w:t>de</w:t>
      </w:r>
      <w:r>
        <w:rPr>
          <w:color w:val="231F20"/>
          <w:spacing w:val="-19"/>
          <w:w w:val="105"/>
        </w:rPr>
        <w:t> </w:t>
      </w:r>
      <w:r>
        <w:rPr>
          <w:color w:val="231F20"/>
          <w:spacing w:val="-3"/>
          <w:w w:val="105"/>
        </w:rPr>
        <w:t>Tenancingo,</w:t>
      </w:r>
      <w:r>
        <w:rPr>
          <w:color w:val="231F20"/>
          <w:spacing w:val="-20"/>
          <w:w w:val="105"/>
        </w:rPr>
        <w:t> </w:t>
      </w:r>
      <w:r>
        <w:rPr>
          <w:color w:val="231F20"/>
          <w:w w:val="105"/>
        </w:rPr>
        <w:t>igualmente</w:t>
      </w:r>
      <w:r>
        <w:rPr>
          <w:color w:val="231F20"/>
          <w:spacing w:val="-14"/>
          <w:w w:val="105"/>
        </w:rPr>
        <w:t> </w:t>
      </w:r>
      <w:r>
        <w:rPr>
          <w:color w:val="231F20"/>
          <w:w w:val="105"/>
        </w:rPr>
        <w:t>hablaron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necesidad</w:t>
      </w:r>
      <w:r>
        <w:rPr>
          <w:color w:val="231F20"/>
          <w:spacing w:val="-14"/>
          <w:w w:val="105"/>
        </w:rPr>
        <w:t> </w:t>
      </w:r>
      <w:r>
        <w:rPr>
          <w:color w:val="231F20"/>
          <w:w w:val="105"/>
        </w:rPr>
        <w:t>de</w:t>
      </w:r>
      <w:r>
        <w:rPr>
          <w:color w:val="231F20"/>
          <w:spacing w:val="-14"/>
          <w:w w:val="105"/>
        </w:rPr>
        <w:t> </w:t>
      </w:r>
      <w:r>
        <w:rPr>
          <w:color w:val="231F20"/>
          <w:w w:val="105"/>
        </w:rPr>
        <w:t>construir mejores invernaderos y finalmente hablaron de construir una casa de muchos</w:t>
      </w:r>
      <w:r>
        <w:rPr>
          <w:color w:val="231F20"/>
          <w:spacing w:val="-9"/>
          <w:w w:val="105"/>
        </w:rPr>
        <w:t> </w:t>
      </w:r>
      <w:r>
        <w:rPr>
          <w:color w:val="231F20"/>
          <w:w w:val="105"/>
        </w:rPr>
        <w:t>colores.</w:t>
      </w:r>
      <w:r>
        <w:rPr>
          <w:color w:val="231F20"/>
          <w:spacing w:val="-15"/>
          <w:w w:val="105"/>
        </w:rPr>
        <w:t> </w:t>
      </w:r>
      <w:r>
        <w:rPr>
          <w:color w:val="231F20"/>
          <w:w w:val="105"/>
        </w:rPr>
        <w:t>En</w:t>
      </w:r>
      <w:r>
        <w:rPr>
          <w:color w:val="231F20"/>
          <w:spacing w:val="-9"/>
          <w:w w:val="105"/>
        </w:rPr>
        <w:t> </w:t>
      </w:r>
      <w:r>
        <w:rPr>
          <w:color w:val="231F20"/>
          <w:w w:val="105"/>
        </w:rPr>
        <w:t>muchos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casos,</w:t>
      </w:r>
      <w:r>
        <w:rPr>
          <w:color w:val="231F20"/>
          <w:spacing w:val="-15"/>
          <w:w w:val="105"/>
        </w:rPr>
        <w:t> </w:t>
      </w:r>
      <w:r>
        <w:rPr>
          <w:color w:val="231F20"/>
          <w:w w:val="105"/>
        </w:rPr>
        <w:t>tanto</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entrevistas</w:t>
      </w:r>
      <w:r>
        <w:rPr>
          <w:color w:val="231F20"/>
          <w:spacing w:val="-9"/>
          <w:w w:val="105"/>
        </w:rPr>
        <w:t> </w:t>
      </w:r>
      <w:r>
        <w:rPr>
          <w:color w:val="231F20"/>
          <w:w w:val="105"/>
        </w:rPr>
        <w:t>como en las ilustraciones, salió a la luz el deseo de migrar a Estados Unidos para obtener dinero y poder invertir en el negocio de la</w:t>
      </w:r>
      <w:r>
        <w:rPr>
          <w:color w:val="231F20"/>
          <w:spacing w:val="-24"/>
          <w:w w:val="105"/>
        </w:rPr>
        <w:t> </w:t>
      </w:r>
      <w:r>
        <w:rPr>
          <w:color w:val="231F20"/>
          <w:w w:val="105"/>
        </w:rPr>
        <w:t>floricultura.</w:t>
      </w:r>
    </w:p>
    <w:p>
      <w:pPr>
        <w:pStyle w:val="BodyText"/>
        <w:spacing w:line="261" w:lineRule="auto" w:before="1"/>
        <w:ind w:left="1837" w:right="1721" w:firstLine="567"/>
        <w:jc w:val="both"/>
      </w:pPr>
      <w:r>
        <w:rPr>
          <w:color w:val="231F20"/>
          <w:w w:val="105"/>
        </w:rPr>
        <w:t>En</w:t>
      </w:r>
      <w:r>
        <w:rPr>
          <w:color w:val="231F20"/>
          <w:spacing w:val="-8"/>
          <w:w w:val="105"/>
        </w:rPr>
        <w:t> </w:t>
      </w:r>
      <w:r>
        <w:rPr>
          <w:color w:val="231F20"/>
          <w:w w:val="105"/>
        </w:rPr>
        <w:t>esta</w:t>
      </w:r>
      <w:r>
        <w:rPr>
          <w:color w:val="231F20"/>
          <w:spacing w:val="-8"/>
          <w:w w:val="105"/>
        </w:rPr>
        <w:t> </w:t>
      </w:r>
      <w:r>
        <w:rPr>
          <w:color w:val="231F20"/>
          <w:w w:val="105"/>
        </w:rPr>
        <w:t>modalidad</w:t>
      </w:r>
      <w:r>
        <w:rPr>
          <w:color w:val="231F20"/>
          <w:spacing w:val="-8"/>
          <w:w w:val="105"/>
        </w:rPr>
        <w:t> </w:t>
      </w:r>
      <w:r>
        <w:rPr>
          <w:color w:val="231F20"/>
          <w:spacing w:val="-3"/>
          <w:w w:val="105"/>
        </w:rPr>
        <w:t>surge</w:t>
      </w:r>
      <w:r>
        <w:rPr>
          <w:color w:val="231F20"/>
          <w:spacing w:val="-8"/>
          <w:w w:val="105"/>
        </w:rPr>
        <w:t> </w:t>
      </w:r>
      <w:r>
        <w:rPr>
          <w:color w:val="231F20"/>
          <w:w w:val="105"/>
        </w:rPr>
        <w:t>la</w:t>
      </w:r>
      <w:r>
        <w:rPr>
          <w:color w:val="231F20"/>
          <w:spacing w:val="-8"/>
          <w:w w:val="105"/>
        </w:rPr>
        <w:t> </w:t>
      </w:r>
      <w:r>
        <w:rPr>
          <w:color w:val="231F20"/>
          <w:w w:val="105"/>
        </w:rPr>
        <w:t>migración</w:t>
      </w:r>
      <w:r>
        <w:rPr>
          <w:color w:val="231F20"/>
          <w:spacing w:val="-8"/>
          <w:w w:val="105"/>
        </w:rPr>
        <w:t> </w:t>
      </w:r>
      <w:r>
        <w:rPr>
          <w:color w:val="231F20"/>
          <w:w w:val="105"/>
        </w:rPr>
        <w:t>internacional</w:t>
      </w:r>
      <w:r>
        <w:rPr>
          <w:color w:val="231F20"/>
          <w:spacing w:val="-8"/>
          <w:w w:val="105"/>
        </w:rPr>
        <w:t> </w:t>
      </w:r>
      <w:r>
        <w:rPr>
          <w:color w:val="231F20"/>
          <w:w w:val="105"/>
        </w:rPr>
        <w:t>como</w:t>
      </w:r>
      <w:r>
        <w:rPr>
          <w:color w:val="231F20"/>
          <w:spacing w:val="-8"/>
          <w:w w:val="105"/>
        </w:rPr>
        <w:t> </w:t>
      </w:r>
      <w:r>
        <w:rPr>
          <w:color w:val="231F20"/>
          <w:w w:val="105"/>
        </w:rPr>
        <w:t>una</w:t>
      </w:r>
      <w:r>
        <w:rPr>
          <w:color w:val="231F20"/>
          <w:spacing w:val="-8"/>
          <w:w w:val="105"/>
        </w:rPr>
        <w:t> </w:t>
      </w:r>
      <w:r>
        <w:rPr>
          <w:color w:val="231F20"/>
          <w:w w:val="105"/>
        </w:rPr>
        <w:t>op- ción para el </w:t>
      </w:r>
      <w:r>
        <w:rPr>
          <w:color w:val="231F20"/>
          <w:spacing w:val="-3"/>
          <w:w w:val="105"/>
        </w:rPr>
        <w:t>futuro </w:t>
      </w:r>
      <w:r>
        <w:rPr>
          <w:color w:val="231F20"/>
          <w:w w:val="105"/>
        </w:rPr>
        <w:t>en el imaginario de los niños, bajo el entendido de que</w:t>
      </w:r>
      <w:r>
        <w:rPr>
          <w:color w:val="231F20"/>
          <w:spacing w:val="-15"/>
          <w:w w:val="105"/>
        </w:rPr>
        <w:t> </w:t>
      </w:r>
      <w:r>
        <w:rPr>
          <w:color w:val="231F20"/>
          <w:w w:val="105"/>
        </w:rPr>
        <w:t>para</w:t>
      </w:r>
      <w:r>
        <w:rPr>
          <w:color w:val="231F20"/>
          <w:spacing w:val="-15"/>
          <w:w w:val="105"/>
        </w:rPr>
        <w:t> </w:t>
      </w:r>
      <w:r>
        <w:rPr>
          <w:color w:val="231F20"/>
          <w:w w:val="105"/>
        </w:rPr>
        <w:t>poder</w:t>
      </w:r>
      <w:r>
        <w:rPr>
          <w:color w:val="231F20"/>
          <w:spacing w:val="-15"/>
          <w:w w:val="105"/>
        </w:rPr>
        <w:t> </w:t>
      </w:r>
      <w:r>
        <w:rPr>
          <w:color w:val="231F20"/>
          <w:w w:val="105"/>
        </w:rPr>
        <w:t>trabajar</w:t>
      </w:r>
      <w:r>
        <w:rPr>
          <w:color w:val="231F20"/>
          <w:spacing w:val="-15"/>
          <w:w w:val="105"/>
        </w:rPr>
        <w:t> </w:t>
      </w:r>
      <w:r>
        <w:rPr>
          <w:color w:val="231F20"/>
          <w:w w:val="105"/>
        </w:rPr>
        <w:t>en</w:t>
      </w:r>
      <w:r>
        <w:rPr>
          <w:color w:val="231F20"/>
          <w:spacing w:val="-15"/>
          <w:w w:val="105"/>
        </w:rPr>
        <w:t> </w:t>
      </w:r>
      <w:r>
        <w:rPr>
          <w:color w:val="231F20"/>
          <w:w w:val="105"/>
        </w:rPr>
        <w:t>Estados</w:t>
      </w:r>
      <w:r>
        <w:rPr>
          <w:color w:val="231F20"/>
          <w:spacing w:val="-15"/>
          <w:w w:val="105"/>
        </w:rPr>
        <w:t> </w:t>
      </w:r>
      <w:r>
        <w:rPr>
          <w:color w:val="231F20"/>
          <w:w w:val="105"/>
        </w:rPr>
        <w:t>Unidos</w:t>
      </w:r>
      <w:r>
        <w:rPr>
          <w:color w:val="231F20"/>
          <w:spacing w:val="-15"/>
          <w:w w:val="105"/>
        </w:rPr>
        <w:t> </w:t>
      </w:r>
      <w:r>
        <w:rPr>
          <w:color w:val="231F20"/>
          <w:w w:val="105"/>
        </w:rPr>
        <w:t>no</w:t>
      </w:r>
      <w:r>
        <w:rPr>
          <w:color w:val="231F20"/>
          <w:spacing w:val="-15"/>
          <w:w w:val="105"/>
        </w:rPr>
        <w:t> </w:t>
      </w:r>
      <w:r>
        <w:rPr>
          <w:color w:val="231F20"/>
          <w:w w:val="105"/>
        </w:rPr>
        <w:t>se</w:t>
      </w:r>
      <w:r>
        <w:rPr>
          <w:color w:val="231F20"/>
          <w:spacing w:val="-15"/>
          <w:w w:val="105"/>
        </w:rPr>
        <w:t> </w:t>
      </w:r>
      <w:r>
        <w:rPr>
          <w:color w:val="231F20"/>
          <w:spacing w:val="-3"/>
          <w:w w:val="105"/>
        </w:rPr>
        <w:t>requiere</w:t>
      </w:r>
      <w:r>
        <w:rPr>
          <w:color w:val="231F20"/>
          <w:spacing w:val="-15"/>
          <w:w w:val="105"/>
        </w:rPr>
        <w:t> </w:t>
      </w:r>
      <w:r>
        <w:rPr>
          <w:color w:val="231F20"/>
          <w:w w:val="105"/>
        </w:rPr>
        <w:t>seguir</w:t>
      </w:r>
      <w:r>
        <w:rPr>
          <w:color w:val="231F20"/>
          <w:spacing w:val="-15"/>
          <w:w w:val="105"/>
        </w:rPr>
        <w:t> </w:t>
      </w:r>
      <w:r>
        <w:rPr>
          <w:color w:val="231F20"/>
          <w:w w:val="105"/>
        </w:rPr>
        <w:t>con</w:t>
      </w:r>
      <w:r>
        <w:rPr>
          <w:color w:val="231F20"/>
          <w:spacing w:val="-15"/>
          <w:w w:val="105"/>
        </w:rPr>
        <w:t> </w:t>
      </w:r>
      <w:r>
        <w:rPr>
          <w:color w:val="231F20"/>
          <w:spacing w:val="-2"/>
          <w:w w:val="105"/>
        </w:rPr>
        <w:t>los </w:t>
      </w:r>
      <w:r>
        <w:rPr>
          <w:color w:val="231F20"/>
          <w:w w:val="105"/>
        </w:rPr>
        <w:t>estudios</w:t>
      </w:r>
      <w:r>
        <w:rPr>
          <w:color w:val="231F20"/>
          <w:spacing w:val="-27"/>
          <w:w w:val="105"/>
        </w:rPr>
        <w:t> </w:t>
      </w:r>
      <w:r>
        <w:rPr>
          <w:color w:val="231F20"/>
          <w:spacing w:val="-3"/>
          <w:w w:val="105"/>
        </w:rPr>
        <w:t>posteriores</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escuela</w:t>
      </w:r>
      <w:r>
        <w:rPr>
          <w:color w:val="231F20"/>
          <w:spacing w:val="-27"/>
          <w:w w:val="105"/>
        </w:rPr>
        <w:t> </w:t>
      </w:r>
      <w:r>
        <w:rPr>
          <w:color w:val="231F20"/>
          <w:w w:val="105"/>
        </w:rPr>
        <w:t>secundaria</w:t>
      </w:r>
      <w:r>
        <w:rPr>
          <w:color w:val="231F20"/>
          <w:spacing w:val="-27"/>
          <w:w w:val="105"/>
        </w:rPr>
        <w:t> </w:t>
      </w:r>
      <w:r>
        <w:rPr>
          <w:color w:val="231F20"/>
          <w:w w:val="105"/>
        </w:rPr>
        <w:t>e</w:t>
      </w:r>
      <w:r>
        <w:rPr>
          <w:color w:val="231F20"/>
          <w:spacing w:val="-27"/>
          <w:w w:val="105"/>
        </w:rPr>
        <w:t> </w:t>
      </w:r>
      <w:r>
        <w:rPr>
          <w:color w:val="231F20"/>
          <w:w w:val="105"/>
        </w:rPr>
        <w:t>incluso</w:t>
      </w:r>
      <w:r>
        <w:rPr>
          <w:color w:val="231F20"/>
          <w:spacing w:val="-27"/>
          <w:w w:val="105"/>
        </w:rPr>
        <w:t> </w:t>
      </w:r>
      <w:r>
        <w:rPr>
          <w:color w:val="231F20"/>
          <w:w w:val="105"/>
        </w:rPr>
        <w:t>la</w:t>
      </w:r>
      <w:r>
        <w:rPr>
          <w:color w:val="231F20"/>
          <w:spacing w:val="-27"/>
          <w:w w:val="105"/>
        </w:rPr>
        <w:t> </w:t>
      </w:r>
      <w:r>
        <w:rPr>
          <w:color w:val="231F20"/>
          <w:w w:val="105"/>
        </w:rPr>
        <w:t>escuela</w:t>
      </w:r>
      <w:r>
        <w:rPr>
          <w:color w:val="231F20"/>
          <w:spacing w:val="-27"/>
          <w:w w:val="105"/>
        </w:rPr>
        <w:t> </w:t>
      </w:r>
      <w:r>
        <w:rPr>
          <w:color w:val="231F20"/>
          <w:w w:val="105"/>
        </w:rPr>
        <w:t>primaria (véase</w:t>
      </w:r>
      <w:r>
        <w:rPr>
          <w:color w:val="231F20"/>
          <w:spacing w:val="-30"/>
          <w:w w:val="105"/>
        </w:rPr>
        <w:t> </w:t>
      </w:r>
      <w:r>
        <w:rPr>
          <w:color w:val="231F20"/>
          <w:w w:val="105"/>
        </w:rPr>
        <w:t>ilustración</w:t>
      </w:r>
      <w:r>
        <w:rPr>
          <w:color w:val="231F20"/>
          <w:spacing w:val="-30"/>
          <w:w w:val="105"/>
        </w:rPr>
        <w:t> </w:t>
      </w:r>
      <w:r>
        <w:rPr>
          <w:color w:val="231F20"/>
          <w:w w:val="105"/>
        </w:rPr>
        <w:t>2).</w:t>
      </w:r>
      <w:r>
        <w:rPr>
          <w:color w:val="231F20"/>
          <w:spacing w:val="-37"/>
          <w:w w:val="105"/>
        </w:rPr>
        <w:t> </w:t>
      </w:r>
      <w:r>
        <w:rPr>
          <w:color w:val="231F20"/>
          <w:w w:val="105"/>
        </w:rPr>
        <w:t>Algunos</w:t>
      </w:r>
      <w:r>
        <w:rPr>
          <w:color w:val="231F20"/>
          <w:spacing w:val="-30"/>
          <w:w w:val="105"/>
        </w:rPr>
        <w:t> </w:t>
      </w:r>
      <w:r>
        <w:rPr>
          <w:color w:val="231F20"/>
          <w:w w:val="105"/>
        </w:rPr>
        <w:t>de</w:t>
      </w:r>
      <w:r>
        <w:rPr>
          <w:color w:val="231F20"/>
          <w:spacing w:val="-30"/>
          <w:w w:val="105"/>
        </w:rPr>
        <w:t> </w:t>
      </w:r>
      <w:r>
        <w:rPr>
          <w:color w:val="231F20"/>
          <w:w w:val="105"/>
        </w:rPr>
        <w:t>ellos</w:t>
      </w:r>
      <w:r>
        <w:rPr>
          <w:color w:val="231F20"/>
          <w:spacing w:val="-30"/>
          <w:w w:val="105"/>
        </w:rPr>
        <w:t> </w:t>
      </w:r>
      <w:r>
        <w:rPr>
          <w:color w:val="231F20"/>
          <w:spacing w:val="-3"/>
          <w:w w:val="105"/>
        </w:rPr>
        <w:t>hablaron</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spacing w:val="-3"/>
          <w:w w:val="105"/>
        </w:rPr>
        <w:t>urgencia</w:t>
      </w:r>
      <w:r>
        <w:rPr>
          <w:color w:val="231F20"/>
          <w:spacing w:val="-30"/>
          <w:w w:val="105"/>
        </w:rPr>
        <w:t> </w:t>
      </w:r>
      <w:r>
        <w:rPr>
          <w:color w:val="231F20"/>
          <w:w w:val="105"/>
        </w:rPr>
        <w:t>que</w:t>
      </w:r>
      <w:r>
        <w:rPr>
          <w:color w:val="231F20"/>
          <w:spacing w:val="-30"/>
          <w:w w:val="105"/>
        </w:rPr>
        <w:t> </w:t>
      </w:r>
      <w:r>
        <w:rPr>
          <w:color w:val="231F20"/>
          <w:w w:val="105"/>
        </w:rPr>
        <w:t>sentían por</w:t>
      </w:r>
      <w:r>
        <w:rPr>
          <w:color w:val="231F20"/>
          <w:spacing w:val="-22"/>
          <w:w w:val="105"/>
        </w:rPr>
        <w:t> </w:t>
      </w:r>
      <w:r>
        <w:rPr>
          <w:color w:val="231F20"/>
          <w:w w:val="105"/>
        </w:rPr>
        <w:t>terminar</w:t>
      </w:r>
      <w:r>
        <w:rPr>
          <w:color w:val="231F20"/>
          <w:spacing w:val="-22"/>
          <w:w w:val="105"/>
        </w:rPr>
        <w:t> </w:t>
      </w:r>
      <w:r>
        <w:rPr>
          <w:color w:val="231F20"/>
          <w:w w:val="105"/>
        </w:rPr>
        <w:t>el</w:t>
      </w:r>
      <w:r>
        <w:rPr>
          <w:color w:val="231F20"/>
          <w:spacing w:val="-22"/>
          <w:w w:val="105"/>
        </w:rPr>
        <w:t> </w:t>
      </w:r>
      <w:r>
        <w:rPr>
          <w:color w:val="231F20"/>
          <w:w w:val="105"/>
        </w:rPr>
        <w:t>ciclo</w:t>
      </w:r>
      <w:r>
        <w:rPr>
          <w:color w:val="231F20"/>
          <w:spacing w:val="-22"/>
          <w:w w:val="105"/>
        </w:rPr>
        <w:t> </w:t>
      </w:r>
      <w:r>
        <w:rPr>
          <w:color w:val="231F20"/>
          <w:w w:val="105"/>
        </w:rPr>
        <w:t>escolar</w:t>
      </w:r>
      <w:r>
        <w:rPr>
          <w:color w:val="231F20"/>
          <w:spacing w:val="-22"/>
          <w:w w:val="105"/>
        </w:rPr>
        <w:t> </w:t>
      </w:r>
      <w:r>
        <w:rPr>
          <w:color w:val="231F20"/>
          <w:w w:val="105"/>
        </w:rPr>
        <w:t>para</w:t>
      </w:r>
      <w:r>
        <w:rPr>
          <w:color w:val="231F20"/>
          <w:spacing w:val="-22"/>
          <w:w w:val="105"/>
        </w:rPr>
        <w:t> </w:t>
      </w:r>
      <w:r>
        <w:rPr>
          <w:color w:val="231F20"/>
          <w:w w:val="105"/>
        </w:rPr>
        <w:t>poder</w:t>
      </w:r>
      <w:r>
        <w:rPr>
          <w:color w:val="231F20"/>
          <w:spacing w:val="-22"/>
          <w:w w:val="105"/>
        </w:rPr>
        <w:t> </w:t>
      </w:r>
      <w:r>
        <w:rPr>
          <w:color w:val="231F20"/>
          <w:w w:val="105"/>
        </w:rPr>
        <w:t>trabajar</w:t>
      </w:r>
      <w:r>
        <w:rPr>
          <w:color w:val="231F20"/>
          <w:spacing w:val="-22"/>
          <w:w w:val="105"/>
        </w:rPr>
        <w:t> </w:t>
      </w:r>
      <w:r>
        <w:rPr>
          <w:color w:val="231F20"/>
          <w:w w:val="105"/>
        </w:rPr>
        <w:t>y</w:t>
      </w:r>
      <w:r>
        <w:rPr>
          <w:color w:val="231F20"/>
          <w:spacing w:val="-22"/>
          <w:w w:val="105"/>
        </w:rPr>
        <w:t> </w:t>
      </w:r>
      <w:r>
        <w:rPr>
          <w:color w:val="231F20"/>
          <w:w w:val="105"/>
        </w:rPr>
        <w:t>ahorrar</w:t>
      </w:r>
      <w:r>
        <w:rPr>
          <w:color w:val="231F20"/>
          <w:spacing w:val="-22"/>
          <w:w w:val="105"/>
        </w:rPr>
        <w:t> </w:t>
      </w:r>
      <w:r>
        <w:rPr>
          <w:color w:val="231F20"/>
          <w:w w:val="105"/>
        </w:rPr>
        <w:t>para</w:t>
      </w:r>
      <w:r>
        <w:rPr>
          <w:color w:val="231F20"/>
          <w:spacing w:val="-22"/>
          <w:w w:val="105"/>
        </w:rPr>
        <w:t> </w:t>
      </w:r>
      <w:r>
        <w:rPr>
          <w:color w:val="231F20"/>
          <w:w w:val="105"/>
        </w:rPr>
        <w:t>su</w:t>
      </w:r>
      <w:r>
        <w:rPr>
          <w:color w:val="231F20"/>
          <w:spacing w:val="-22"/>
          <w:w w:val="105"/>
        </w:rPr>
        <w:t> </w:t>
      </w:r>
      <w:r>
        <w:rPr>
          <w:color w:val="231F20"/>
          <w:spacing w:val="-2"/>
          <w:w w:val="105"/>
        </w:rPr>
        <w:t>viaje.</w:t>
      </w:r>
    </w:p>
    <w:p>
      <w:pPr>
        <w:pStyle w:val="BodyText"/>
        <w:spacing w:before="4"/>
      </w:pPr>
    </w:p>
    <w:p>
      <w:pPr>
        <w:spacing w:before="0"/>
        <w:ind w:left="2917" w:right="2804" w:firstLine="0"/>
        <w:jc w:val="center"/>
        <w:rPr>
          <w:rFonts w:ascii="Arial" w:hAnsi="Arial"/>
          <w:sz w:val="18"/>
        </w:rPr>
      </w:pPr>
      <w:r>
        <w:rPr/>
        <w:drawing>
          <wp:anchor distT="0" distB="0" distL="0" distR="0" allowOverlap="1" layoutInCell="1" locked="0" behindDoc="0" simplePos="0" relativeHeight="10312">
            <wp:simplePos x="0" y="0"/>
            <wp:positionH relativeFrom="page">
              <wp:posOffset>2331135</wp:posOffset>
            </wp:positionH>
            <wp:positionV relativeFrom="paragraph">
              <wp:posOffset>216867</wp:posOffset>
            </wp:positionV>
            <wp:extent cx="2033856" cy="2876454"/>
            <wp:effectExtent l="0" t="0" r="0" b="0"/>
            <wp:wrapTopAndBottom/>
            <wp:docPr id="15" name="image15.png" descr=""/>
            <wp:cNvGraphicFramePr>
              <a:graphicFrameLocks noChangeAspect="1"/>
            </wp:cNvGraphicFramePr>
            <a:graphic>
              <a:graphicData uri="http://schemas.openxmlformats.org/drawingml/2006/picture">
                <pic:pic>
                  <pic:nvPicPr>
                    <pic:cNvPr id="16" name="image15.png"/>
                    <pic:cNvPicPr/>
                  </pic:nvPicPr>
                  <pic:blipFill>
                    <a:blip r:embed="rId89" cstate="print"/>
                    <a:stretch>
                      <a:fillRect/>
                    </a:stretch>
                  </pic:blipFill>
                  <pic:spPr>
                    <a:xfrm>
                      <a:off x="0" y="0"/>
                      <a:ext cx="2033856" cy="2876454"/>
                    </a:xfrm>
                    <a:prstGeom prst="rect">
                      <a:avLst/>
                    </a:prstGeom>
                  </pic:spPr>
                </pic:pic>
              </a:graphicData>
            </a:graphic>
          </wp:anchor>
        </w:drawing>
      </w:r>
      <w:r>
        <w:rPr>
          <w:rFonts w:ascii="Arial" w:hAnsi="Arial"/>
          <w:color w:val="231F20"/>
          <w:w w:val="105"/>
          <w:sz w:val="18"/>
        </w:rPr>
        <w:t>Ilustración 2</w:t>
      </w:r>
    </w:p>
    <w:p>
      <w:pPr>
        <w:pStyle w:val="BodyText"/>
        <w:spacing w:before="9"/>
        <w:rPr>
          <w:rFonts w:ascii="Arial"/>
          <w:sz w:val="17"/>
        </w:rPr>
      </w:pPr>
    </w:p>
    <w:p>
      <w:pPr>
        <w:spacing w:before="1"/>
        <w:ind w:left="1066" w:right="2804" w:firstLine="0"/>
        <w:jc w:val="center"/>
        <w:rPr>
          <w:sz w:val="16"/>
        </w:rPr>
      </w:pPr>
      <w:r>
        <w:rPr>
          <w:color w:val="231F20"/>
          <w:sz w:val="16"/>
        </w:rPr>
        <w:t>(Niño, 12 años)</w:t>
      </w:r>
    </w:p>
    <w:p>
      <w:pPr>
        <w:pStyle w:val="BodyText"/>
        <w:rPr>
          <w:sz w:val="16"/>
        </w:rPr>
      </w:pPr>
    </w:p>
    <w:p>
      <w:pPr>
        <w:pStyle w:val="BodyText"/>
        <w:spacing w:line="261" w:lineRule="auto" w:before="111"/>
        <w:ind w:left="1837" w:right="1716"/>
        <w:jc w:val="both"/>
      </w:pPr>
      <w:r>
        <w:rPr/>
        <w:pict>
          <v:line style="position:absolute;mso-position-horizontal-relative:page;mso-position-vertical-relative:paragraph;z-index:-479776" from="15pt,168.332291pt" to="0pt,168.332291pt" stroked="true" strokeweight=".25pt" strokecolor="#000000">
            <w10:wrap type="none"/>
          </v:line>
        </w:pict>
      </w:r>
      <w:r>
        <w:rPr/>
        <w:pict>
          <v:line style="position:absolute;mso-position-horizontal-relative:page;mso-position-vertical-relative:paragraph;z-index:10432" from="508.890015pt,168.332291pt" to="523.890015pt,168.332291pt" stroked="true" strokeweight=".25pt" strokecolor="#000000">
            <w10:wrap type="none"/>
          </v:line>
        </w:pic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trasfondo</w:t>
      </w:r>
      <w:r>
        <w:rPr>
          <w:color w:val="231F20"/>
          <w:spacing w:val="-28"/>
          <w:w w:val="105"/>
        </w:rPr>
        <w:t> </w:t>
      </w:r>
      <w:r>
        <w:rPr>
          <w:color w:val="231F20"/>
          <w:w w:val="105"/>
        </w:rPr>
        <w:t>de</w:t>
      </w:r>
      <w:r>
        <w:rPr>
          <w:color w:val="231F20"/>
          <w:spacing w:val="-28"/>
          <w:w w:val="105"/>
        </w:rPr>
        <w:t> </w:t>
      </w:r>
      <w:r>
        <w:rPr>
          <w:color w:val="231F20"/>
          <w:w w:val="105"/>
        </w:rPr>
        <w:t>esta</w:t>
      </w:r>
      <w:r>
        <w:rPr>
          <w:color w:val="231F20"/>
          <w:spacing w:val="-28"/>
          <w:w w:val="105"/>
        </w:rPr>
        <w:t> </w:t>
      </w:r>
      <w:r>
        <w:rPr>
          <w:color w:val="231F20"/>
          <w:w w:val="105"/>
        </w:rPr>
        <w:t>idea</w:t>
      </w:r>
      <w:r>
        <w:rPr>
          <w:color w:val="231F20"/>
          <w:spacing w:val="-28"/>
          <w:w w:val="105"/>
        </w:rPr>
        <w:t> </w:t>
      </w:r>
      <w:r>
        <w:rPr>
          <w:color w:val="231F20"/>
          <w:w w:val="105"/>
        </w:rPr>
        <w:t>se</w:t>
      </w:r>
      <w:r>
        <w:rPr>
          <w:color w:val="231F20"/>
          <w:spacing w:val="-28"/>
          <w:w w:val="105"/>
        </w:rPr>
        <w:t> </w:t>
      </w:r>
      <w:r>
        <w:rPr>
          <w:color w:val="231F20"/>
          <w:w w:val="105"/>
        </w:rPr>
        <w:t>encuentra</w:t>
      </w:r>
      <w:r>
        <w:rPr>
          <w:color w:val="231F20"/>
          <w:spacing w:val="-28"/>
          <w:w w:val="105"/>
        </w:rPr>
        <w:t> </w:t>
      </w:r>
      <w:r>
        <w:rPr>
          <w:color w:val="231F20"/>
          <w:w w:val="105"/>
        </w:rPr>
        <w:t>presente</w:t>
      </w:r>
      <w:r>
        <w:rPr>
          <w:color w:val="231F20"/>
          <w:spacing w:val="-28"/>
          <w:w w:val="105"/>
        </w:rPr>
        <w:t> </w:t>
      </w:r>
      <w:r>
        <w:rPr>
          <w:color w:val="231F20"/>
          <w:w w:val="105"/>
        </w:rPr>
        <w:t>el</w:t>
      </w:r>
      <w:r>
        <w:rPr>
          <w:color w:val="231F20"/>
          <w:spacing w:val="-28"/>
          <w:w w:val="105"/>
        </w:rPr>
        <w:t> </w:t>
      </w:r>
      <w:r>
        <w:rPr>
          <w:color w:val="231F20"/>
          <w:w w:val="105"/>
        </w:rPr>
        <w:t>imaginario</w:t>
      </w:r>
      <w:r>
        <w:rPr>
          <w:color w:val="231F20"/>
          <w:spacing w:val="-28"/>
          <w:w w:val="105"/>
        </w:rPr>
        <w:t> </w:t>
      </w:r>
      <w:r>
        <w:rPr>
          <w:color w:val="231F20"/>
          <w:w w:val="105"/>
        </w:rPr>
        <w:t>colectivo sobre el gran productor local exitoso, que obtiene grandes ganancias a través</w:t>
      </w:r>
      <w:r>
        <w:rPr>
          <w:color w:val="231F20"/>
          <w:spacing w:val="-17"/>
          <w:w w:val="105"/>
        </w:rPr>
        <w:t> </w:t>
      </w:r>
      <w:r>
        <w:rPr>
          <w:color w:val="231F20"/>
          <w:w w:val="105"/>
        </w:rPr>
        <w:t>del</w:t>
      </w:r>
      <w:r>
        <w:rPr>
          <w:color w:val="231F20"/>
          <w:spacing w:val="-17"/>
          <w:w w:val="105"/>
        </w:rPr>
        <w:t> </w:t>
      </w:r>
      <w:r>
        <w:rPr>
          <w:color w:val="231F20"/>
          <w:w w:val="105"/>
        </w:rPr>
        <w:t>contante</w:t>
      </w:r>
      <w:r>
        <w:rPr>
          <w:color w:val="231F20"/>
          <w:spacing w:val="-17"/>
          <w:w w:val="105"/>
        </w:rPr>
        <w:t> </w:t>
      </w:r>
      <w:r>
        <w:rPr>
          <w:color w:val="231F20"/>
          <w:w w:val="105"/>
        </w:rPr>
        <w:t>esfuerzo</w:t>
      </w:r>
      <w:r>
        <w:rPr>
          <w:color w:val="231F20"/>
          <w:spacing w:val="-17"/>
          <w:w w:val="105"/>
        </w:rPr>
        <w:t> </w:t>
      </w:r>
      <w:r>
        <w:rPr>
          <w:color w:val="231F20"/>
          <w:w w:val="105"/>
        </w:rPr>
        <w:t>individual.</w:t>
      </w:r>
      <w:r>
        <w:rPr>
          <w:color w:val="231F20"/>
          <w:spacing w:val="-22"/>
          <w:w w:val="105"/>
        </w:rPr>
        <w:t> </w:t>
      </w:r>
      <w:r>
        <w:rPr>
          <w:color w:val="231F20"/>
          <w:w w:val="105"/>
        </w:rPr>
        <w:t>Salir</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pobreza,</w:t>
      </w:r>
      <w:r>
        <w:rPr>
          <w:color w:val="231F20"/>
          <w:spacing w:val="-22"/>
          <w:w w:val="105"/>
        </w:rPr>
        <w:t> </w:t>
      </w:r>
      <w:r>
        <w:rPr>
          <w:color w:val="231F20"/>
          <w:w w:val="105"/>
        </w:rPr>
        <w:t>construir</w:t>
      </w:r>
      <w:r>
        <w:rPr>
          <w:color w:val="231F20"/>
          <w:spacing w:val="-17"/>
          <w:w w:val="105"/>
        </w:rPr>
        <w:t> </w:t>
      </w:r>
      <w:r>
        <w:rPr>
          <w:color w:val="231F20"/>
          <w:w w:val="105"/>
        </w:rPr>
        <w:t>una casa,</w:t>
      </w:r>
      <w:r>
        <w:rPr>
          <w:color w:val="231F20"/>
          <w:spacing w:val="-25"/>
          <w:w w:val="105"/>
        </w:rPr>
        <w:t> </w:t>
      </w:r>
      <w:r>
        <w:rPr>
          <w:color w:val="231F20"/>
          <w:w w:val="105"/>
        </w:rPr>
        <w:t>tener</w:t>
      </w:r>
      <w:r>
        <w:rPr>
          <w:color w:val="231F20"/>
          <w:spacing w:val="-21"/>
          <w:w w:val="105"/>
        </w:rPr>
        <w:t> </w:t>
      </w:r>
      <w:r>
        <w:rPr>
          <w:color w:val="231F20"/>
          <w:w w:val="105"/>
        </w:rPr>
        <w:t>un</w:t>
      </w:r>
      <w:r>
        <w:rPr>
          <w:color w:val="231F20"/>
          <w:spacing w:val="-21"/>
          <w:w w:val="105"/>
        </w:rPr>
        <w:t> </w:t>
      </w:r>
      <w:r>
        <w:rPr>
          <w:color w:val="231F20"/>
          <w:w w:val="105"/>
        </w:rPr>
        <w:t>importante</w:t>
      </w:r>
      <w:r>
        <w:rPr>
          <w:color w:val="231F20"/>
          <w:spacing w:val="-21"/>
          <w:w w:val="105"/>
        </w:rPr>
        <w:t> </w:t>
      </w:r>
      <w:r>
        <w:rPr>
          <w:color w:val="231F20"/>
          <w:w w:val="105"/>
        </w:rPr>
        <w:t>número</w:t>
      </w:r>
      <w:r>
        <w:rPr>
          <w:color w:val="231F20"/>
          <w:spacing w:val="-21"/>
          <w:w w:val="105"/>
        </w:rPr>
        <w:t> </w:t>
      </w:r>
      <w:r>
        <w:rPr>
          <w:color w:val="231F20"/>
          <w:w w:val="105"/>
        </w:rPr>
        <w:t>de</w:t>
      </w:r>
      <w:r>
        <w:rPr>
          <w:color w:val="231F20"/>
          <w:spacing w:val="-21"/>
          <w:w w:val="105"/>
        </w:rPr>
        <w:t> </w:t>
      </w:r>
      <w:r>
        <w:rPr>
          <w:color w:val="231F20"/>
          <w:w w:val="105"/>
        </w:rPr>
        <w:t>invernaderos</w:t>
      </w:r>
      <w:r>
        <w:rPr>
          <w:color w:val="231F20"/>
          <w:spacing w:val="-21"/>
          <w:w w:val="105"/>
        </w:rPr>
        <w:t> </w:t>
      </w:r>
      <w:r>
        <w:rPr>
          <w:color w:val="231F20"/>
          <w:w w:val="105"/>
        </w:rPr>
        <w:t>fueron</w:t>
      </w:r>
      <w:r>
        <w:rPr>
          <w:color w:val="231F20"/>
          <w:spacing w:val="-21"/>
          <w:w w:val="105"/>
        </w:rPr>
        <w:t> </w:t>
      </w:r>
      <w:r>
        <w:rPr>
          <w:color w:val="231F20"/>
          <w:w w:val="105"/>
        </w:rPr>
        <w:t>las</w:t>
      </w:r>
      <w:r>
        <w:rPr>
          <w:color w:val="231F20"/>
          <w:spacing w:val="-21"/>
          <w:w w:val="105"/>
        </w:rPr>
        <w:t> </w:t>
      </w:r>
      <w:r>
        <w:rPr>
          <w:color w:val="231F20"/>
          <w:w w:val="105"/>
        </w:rPr>
        <w:t>respuestas más</w:t>
      </w:r>
      <w:r>
        <w:rPr>
          <w:color w:val="231F20"/>
          <w:spacing w:val="-14"/>
          <w:w w:val="105"/>
        </w:rPr>
        <w:t> </w:t>
      </w:r>
      <w:r>
        <w:rPr>
          <w:color w:val="231F20"/>
          <w:w w:val="105"/>
        </w:rPr>
        <w:t>comunes</w:t>
      </w:r>
      <w:r>
        <w:rPr>
          <w:color w:val="231F20"/>
          <w:spacing w:val="-14"/>
          <w:w w:val="105"/>
        </w:rPr>
        <w:t> </w:t>
      </w:r>
      <w:r>
        <w:rPr>
          <w:color w:val="231F20"/>
          <w:w w:val="105"/>
        </w:rPr>
        <w:t>relacionadas</w:t>
      </w:r>
      <w:r>
        <w:rPr>
          <w:color w:val="231F20"/>
          <w:spacing w:val="-14"/>
          <w:w w:val="105"/>
        </w:rPr>
        <w:t> </w:t>
      </w:r>
      <w:r>
        <w:rPr>
          <w:color w:val="231F20"/>
          <w:w w:val="105"/>
        </w:rPr>
        <w:t>con</w:t>
      </w:r>
      <w:r>
        <w:rPr>
          <w:color w:val="231F20"/>
          <w:spacing w:val="-14"/>
          <w:w w:val="105"/>
        </w:rPr>
        <w:t> </w:t>
      </w:r>
      <w:r>
        <w:rPr>
          <w:color w:val="231F20"/>
          <w:w w:val="105"/>
        </w:rPr>
        <w:t>las</w:t>
      </w:r>
      <w:r>
        <w:rPr>
          <w:color w:val="231F20"/>
          <w:spacing w:val="-14"/>
          <w:w w:val="105"/>
        </w:rPr>
        <w:t> </w:t>
      </w:r>
      <w:r>
        <w:rPr>
          <w:color w:val="231F20"/>
          <w:w w:val="105"/>
        </w:rPr>
        <w:t>ventajas</w:t>
      </w:r>
      <w:r>
        <w:rPr>
          <w:color w:val="231F20"/>
          <w:spacing w:val="-14"/>
          <w:w w:val="105"/>
        </w:rPr>
        <w:t> </w:t>
      </w:r>
      <w:r>
        <w:rPr>
          <w:color w:val="231F20"/>
          <w:w w:val="105"/>
        </w:rPr>
        <w:t>de</w:t>
      </w:r>
      <w:r>
        <w:rPr>
          <w:color w:val="231F20"/>
          <w:spacing w:val="-14"/>
          <w:w w:val="105"/>
        </w:rPr>
        <w:t> </w:t>
      </w:r>
      <w:r>
        <w:rPr>
          <w:color w:val="231F20"/>
          <w:w w:val="105"/>
        </w:rPr>
        <w:t>viajar</w:t>
      </w:r>
      <w:r>
        <w:rPr>
          <w:color w:val="231F20"/>
          <w:spacing w:val="-14"/>
          <w:w w:val="105"/>
        </w:rPr>
        <w:t> </w:t>
      </w:r>
      <w:r>
        <w:rPr>
          <w:color w:val="231F20"/>
          <w:w w:val="105"/>
        </w:rPr>
        <w:t>a</w:t>
      </w:r>
      <w:r>
        <w:rPr>
          <w:color w:val="231F20"/>
          <w:spacing w:val="-14"/>
          <w:w w:val="105"/>
        </w:rPr>
        <w:t> </w:t>
      </w:r>
      <w:r>
        <w:rPr>
          <w:color w:val="231F20"/>
          <w:w w:val="105"/>
        </w:rPr>
        <w:t>Estados</w:t>
      </w:r>
      <w:r>
        <w:rPr>
          <w:color w:val="231F20"/>
          <w:spacing w:val="-14"/>
          <w:w w:val="105"/>
        </w:rPr>
        <w:t> </w:t>
      </w:r>
      <w:r>
        <w:rPr>
          <w:color w:val="231F20"/>
          <w:w w:val="105"/>
        </w:rPr>
        <w:t>Unidos. El</w:t>
      </w:r>
      <w:r>
        <w:rPr>
          <w:color w:val="231F20"/>
          <w:spacing w:val="-15"/>
          <w:w w:val="105"/>
        </w:rPr>
        <w:t> </w:t>
      </w:r>
      <w:r>
        <w:rPr>
          <w:color w:val="231F20"/>
          <w:w w:val="105"/>
        </w:rPr>
        <w:t>siguiente</w:t>
      </w:r>
      <w:r>
        <w:rPr>
          <w:color w:val="231F20"/>
          <w:spacing w:val="-15"/>
          <w:w w:val="105"/>
        </w:rPr>
        <w:t> </w:t>
      </w:r>
      <w:r>
        <w:rPr>
          <w:color w:val="231F20"/>
          <w:w w:val="105"/>
        </w:rPr>
        <w:t>fragmento</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entrevista</w:t>
      </w:r>
      <w:r>
        <w:rPr>
          <w:color w:val="231F20"/>
          <w:spacing w:val="-15"/>
          <w:w w:val="105"/>
        </w:rPr>
        <w:t> </w:t>
      </w:r>
      <w:r>
        <w:rPr>
          <w:color w:val="231F20"/>
          <w:w w:val="105"/>
        </w:rPr>
        <w:t>lo</w:t>
      </w:r>
      <w:r>
        <w:rPr>
          <w:color w:val="231F20"/>
          <w:spacing w:val="-15"/>
          <w:w w:val="105"/>
        </w:rPr>
        <w:t> </w:t>
      </w:r>
      <w:r>
        <w:rPr>
          <w:color w:val="231F20"/>
          <w:w w:val="105"/>
        </w:rPr>
        <w:t>muestra</w:t>
      </w:r>
      <w:r>
        <w:rPr>
          <w:color w:val="231F20"/>
          <w:spacing w:val="-15"/>
          <w:w w:val="105"/>
        </w:rPr>
        <w:t> </w:t>
      </w:r>
      <w:r>
        <w:rPr>
          <w:color w:val="231F20"/>
          <w:w w:val="105"/>
        </w:rPr>
        <w:t>con</w:t>
      </w:r>
      <w:r>
        <w:rPr>
          <w:color w:val="231F20"/>
          <w:spacing w:val="-15"/>
          <w:w w:val="105"/>
        </w:rPr>
        <w:t> </w:t>
      </w:r>
      <w:r>
        <w:rPr>
          <w:color w:val="231F20"/>
          <w:w w:val="105"/>
        </w:rPr>
        <w:t>mayor</w:t>
      </w:r>
      <w:r>
        <w:rPr>
          <w:color w:val="231F20"/>
          <w:spacing w:val="-15"/>
          <w:w w:val="105"/>
        </w:rPr>
        <w:t> </w:t>
      </w:r>
      <w:r>
        <w:rPr>
          <w:color w:val="231F20"/>
          <w:w w:val="105"/>
        </w:rPr>
        <w:t>claridad.</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line="254" w:lineRule="auto" w:before="0"/>
        <w:ind w:left="2857" w:right="1834" w:firstLine="0"/>
        <w:jc w:val="both"/>
        <w:rPr>
          <w:sz w:val="18"/>
        </w:rPr>
      </w:pPr>
      <w:r>
        <w:rPr/>
        <w:pict>
          <v:line style="position:absolute;mso-position-horizontal-relative:page;mso-position-vertical-relative:paragraph;z-index:10504" from="15pt,-71.424232pt" to="0pt,-71.424232pt" stroked="true" strokeweight=".25pt" strokecolor="#000000">
            <w10:wrap type="none"/>
          </v:line>
        </w:pict>
      </w:r>
      <w:r>
        <w:rPr/>
        <w:pict>
          <v:line style="position:absolute;mso-position-horizontal-relative:page;mso-position-vertical-relative:paragraph;z-index:10528" from="508.890015pt,-71.424232pt" to="523.890015pt,-71.424232pt" stroked="true" strokeweight=".25pt" strokecolor="#000000">
            <w10:wrap type="none"/>
          </v:line>
        </w:pict>
      </w:r>
      <w:r>
        <w:rPr>
          <w:rFonts w:ascii="Arial" w:hAnsi="Arial"/>
          <w:i/>
          <w:color w:val="231F20"/>
          <w:sz w:val="18"/>
        </w:rPr>
        <w:t>¿Y a qué te quieres dedicar cuando seas grande? </w:t>
      </w:r>
      <w:r>
        <w:rPr>
          <w:color w:val="231F20"/>
          <w:sz w:val="18"/>
        </w:rPr>
        <w:t>A floricultor, para ser rico</w:t>
      </w:r>
    </w:p>
    <w:p>
      <w:pPr>
        <w:spacing w:line="254" w:lineRule="auto" w:before="110"/>
        <w:ind w:left="2857" w:right="1829" w:firstLine="0"/>
        <w:jc w:val="both"/>
        <w:rPr>
          <w:sz w:val="18"/>
        </w:rPr>
      </w:pPr>
      <w:r>
        <w:rPr>
          <w:rFonts w:ascii="Arial" w:hAnsi="Arial"/>
          <w:i/>
          <w:color w:val="231F20"/>
          <w:w w:val="105"/>
          <w:sz w:val="18"/>
        </w:rPr>
        <w:t>¿Y</w:t>
      </w:r>
      <w:r>
        <w:rPr>
          <w:rFonts w:ascii="Arial" w:hAnsi="Arial"/>
          <w:i/>
          <w:color w:val="231F20"/>
          <w:spacing w:val="-20"/>
          <w:w w:val="105"/>
          <w:sz w:val="18"/>
        </w:rPr>
        <w:t> </w:t>
      </w:r>
      <w:r>
        <w:rPr>
          <w:rFonts w:ascii="Arial" w:hAnsi="Arial"/>
          <w:i/>
          <w:color w:val="231F20"/>
          <w:w w:val="105"/>
          <w:sz w:val="18"/>
        </w:rPr>
        <w:t>cómo</w:t>
      </w:r>
      <w:r>
        <w:rPr>
          <w:rFonts w:ascii="Arial" w:hAnsi="Arial"/>
          <w:i/>
          <w:color w:val="231F20"/>
          <w:spacing w:val="-17"/>
          <w:w w:val="105"/>
          <w:sz w:val="18"/>
        </w:rPr>
        <w:t> </w:t>
      </w:r>
      <w:r>
        <w:rPr>
          <w:rFonts w:ascii="Arial" w:hAnsi="Arial"/>
          <w:i/>
          <w:color w:val="231F20"/>
          <w:w w:val="105"/>
          <w:sz w:val="18"/>
        </w:rPr>
        <w:t>le</w:t>
      </w:r>
      <w:r>
        <w:rPr>
          <w:rFonts w:ascii="Arial" w:hAnsi="Arial"/>
          <w:i/>
          <w:color w:val="231F20"/>
          <w:spacing w:val="-17"/>
          <w:w w:val="105"/>
          <w:sz w:val="18"/>
        </w:rPr>
        <w:t> </w:t>
      </w:r>
      <w:r>
        <w:rPr>
          <w:rFonts w:ascii="Arial" w:hAnsi="Arial"/>
          <w:i/>
          <w:color w:val="231F20"/>
          <w:w w:val="105"/>
          <w:sz w:val="18"/>
        </w:rPr>
        <w:t>vas</w:t>
      </w:r>
      <w:r>
        <w:rPr>
          <w:rFonts w:ascii="Arial" w:hAnsi="Arial"/>
          <w:i/>
          <w:color w:val="231F20"/>
          <w:spacing w:val="-17"/>
          <w:w w:val="105"/>
          <w:sz w:val="18"/>
        </w:rPr>
        <w:t> </w:t>
      </w:r>
      <w:r>
        <w:rPr>
          <w:rFonts w:ascii="Arial" w:hAnsi="Arial"/>
          <w:i/>
          <w:color w:val="231F20"/>
          <w:w w:val="105"/>
          <w:sz w:val="18"/>
        </w:rPr>
        <w:t>a</w:t>
      </w:r>
      <w:r>
        <w:rPr>
          <w:rFonts w:ascii="Arial" w:hAnsi="Arial"/>
          <w:i/>
          <w:color w:val="231F20"/>
          <w:spacing w:val="-17"/>
          <w:w w:val="105"/>
          <w:sz w:val="18"/>
        </w:rPr>
        <w:t> </w:t>
      </w:r>
      <w:r>
        <w:rPr>
          <w:rFonts w:ascii="Arial" w:hAnsi="Arial"/>
          <w:i/>
          <w:color w:val="231F20"/>
          <w:w w:val="105"/>
          <w:sz w:val="18"/>
        </w:rPr>
        <w:t>hacer</w:t>
      </w:r>
      <w:r>
        <w:rPr>
          <w:rFonts w:ascii="Arial" w:hAnsi="Arial"/>
          <w:i/>
          <w:color w:val="231F20"/>
          <w:spacing w:val="-17"/>
          <w:w w:val="105"/>
          <w:sz w:val="18"/>
        </w:rPr>
        <w:t> </w:t>
      </w:r>
      <w:r>
        <w:rPr>
          <w:rFonts w:ascii="Arial" w:hAnsi="Arial"/>
          <w:i/>
          <w:color w:val="231F20"/>
          <w:w w:val="105"/>
          <w:sz w:val="18"/>
        </w:rPr>
        <w:t>para</w:t>
      </w:r>
      <w:r>
        <w:rPr>
          <w:rFonts w:ascii="Arial" w:hAnsi="Arial"/>
          <w:i/>
          <w:color w:val="231F20"/>
          <w:spacing w:val="-17"/>
          <w:w w:val="105"/>
          <w:sz w:val="18"/>
        </w:rPr>
        <w:t> </w:t>
      </w:r>
      <w:r>
        <w:rPr>
          <w:rFonts w:ascii="Arial" w:hAnsi="Arial"/>
          <w:i/>
          <w:color w:val="231F20"/>
          <w:w w:val="105"/>
          <w:sz w:val="18"/>
        </w:rPr>
        <w:t>ser</w:t>
      </w:r>
      <w:r>
        <w:rPr>
          <w:rFonts w:ascii="Arial" w:hAnsi="Arial"/>
          <w:i/>
          <w:color w:val="231F20"/>
          <w:spacing w:val="-17"/>
          <w:w w:val="105"/>
          <w:sz w:val="18"/>
        </w:rPr>
        <w:t> </w:t>
      </w:r>
      <w:r>
        <w:rPr>
          <w:rFonts w:ascii="Arial" w:hAnsi="Arial"/>
          <w:i/>
          <w:color w:val="231F20"/>
          <w:w w:val="105"/>
          <w:sz w:val="18"/>
        </w:rPr>
        <w:t>rico?</w:t>
      </w:r>
      <w:r>
        <w:rPr>
          <w:rFonts w:ascii="Arial" w:hAnsi="Arial"/>
          <w:i/>
          <w:color w:val="231F20"/>
          <w:spacing w:val="-17"/>
          <w:w w:val="105"/>
          <w:sz w:val="18"/>
        </w:rPr>
        <w:t> </w:t>
      </w:r>
      <w:r>
        <w:rPr>
          <w:color w:val="231F20"/>
          <w:w w:val="105"/>
          <w:sz w:val="18"/>
        </w:rPr>
        <w:t>Me</w:t>
      </w:r>
      <w:r>
        <w:rPr>
          <w:color w:val="231F20"/>
          <w:spacing w:val="-15"/>
          <w:w w:val="105"/>
          <w:sz w:val="18"/>
        </w:rPr>
        <w:t> </w:t>
      </w:r>
      <w:r>
        <w:rPr>
          <w:color w:val="231F20"/>
          <w:w w:val="105"/>
          <w:sz w:val="18"/>
        </w:rPr>
        <w:t>voy</w:t>
      </w:r>
      <w:r>
        <w:rPr>
          <w:color w:val="231F20"/>
          <w:spacing w:val="-15"/>
          <w:w w:val="105"/>
          <w:sz w:val="18"/>
        </w:rPr>
        <w:t> </w:t>
      </w:r>
      <w:r>
        <w:rPr>
          <w:color w:val="231F20"/>
          <w:w w:val="105"/>
          <w:sz w:val="18"/>
        </w:rPr>
        <w:t>para</w:t>
      </w:r>
      <w:r>
        <w:rPr>
          <w:color w:val="231F20"/>
          <w:spacing w:val="-15"/>
          <w:w w:val="105"/>
          <w:sz w:val="18"/>
        </w:rPr>
        <w:t> </w:t>
      </w:r>
      <w:r>
        <w:rPr>
          <w:color w:val="231F20"/>
          <w:w w:val="105"/>
          <w:sz w:val="18"/>
        </w:rPr>
        <w:t>el</w:t>
      </w:r>
      <w:r>
        <w:rPr>
          <w:color w:val="231F20"/>
          <w:spacing w:val="-15"/>
          <w:w w:val="105"/>
          <w:sz w:val="18"/>
        </w:rPr>
        <w:t> </w:t>
      </w:r>
      <w:r>
        <w:rPr>
          <w:color w:val="231F20"/>
          <w:w w:val="105"/>
          <w:sz w:val="18"/>
        </w:rPr>
        <w:t>norte,</w:t>
      </w:r>
      <w:r>
        <w:rPr>
          <w:color w:val="231F20"/>
          <w:spacing w:val="-19"/>
          <w:w w:val="105"/>
          <w:sz w:val="18"/>
        </w:rPr>
        <w:t> </w:t>
      </w:r>
      <w:r>
        <w:rPr>
          <w:color w:val="231F20"/>
          <w:w w:val="105"/>
          <w:sz w:val="18"/>
        </w:rPr>
        <w:t>como</w:t>
      </w:r>
      <w:r>
        <w:rPr>
          <w:color w:val="231F20"/>
          <w:spacing w:val="-15"/>
          <w:w w:val="105"/>
          <w:sz w:val="18"/>
        </w:rPr>
        <w:t> </w:t>
      </w:r>
      <w:r>
        <w:rPr>
          <w:color w:val="231F20"/>
          <w:w w:val="105"/>
          <w:sz w:val="18"/>
        </w:rPr>
        <w:t>mi</w:t>
      </w:r>
      <w:r>
        <w:rPr>
          <w:color w:val="231F20"/>
          <w:spacing w:val="-15"/>
          <w:w w:val="105"/>
          <w:sz w:val="18"/>
        </w:rPr>
        <w:t> </w:t>
      </w:r>
      <w:r>
        <w:rPr>
          <w:color w:val="231F20"/>
          <w:w w:val="105"/>
          <w:sz w:val="18"/>
        </w:rPr>
        <w:t>tío que</w:t>
      </w:r>
      <w:r>
        <w:rPr>
          <w:color w:val="231F20"/>
          <w:spacing w:val="-15"/>
          <w:w w:val="105"/>
          <w:sz w:val="18"/>
        </w:rPr>
        <w:t> </w:t>
      </w:r>
      <w:r>
        <w:rPr>
          <w:color w:val="231F20"/>
          <w:w w:val="105"/>
          <w:sz w:val="18"/>
        </w:rPr>
        <w:t>se</w:t>
      </w:r>
      <w:r>
        <w:rPr>
          <w:color w:val="231F20"/>
          <w:spacing w:val="-15"/>
          <w:w w:val="105"/>
          <w:sz w:val="18"/>
        </w:rPr>
        <w:t> </w:t>
      </w:r>
      <w:r>
        <w:rPr>
          <w:color w:val="231F20"/>
          <w:w w:val="105"/>
          <w:sz w:val="18"/>
        </w:rPr>
        <w:t>fue,</w:t>
      </w:r>
      <w:r>
        <w:rPr>
          <w:color w:val="231F20"/>
          <w:spacing w:val="-19"/>
          <w:w w:val="105"/>
          <w:sz w:val="18"/>
        </w:rPr>
        <w:t> </w:t>
      </w:r>
      <w:r>
        <w:rPr>
          <w:color w:val="231F20"/>
          <w:w w:val="105"/>
          <w:sz w:val="18"/>
        </w:rPr>
        <w:t>dice</w:t>
      </w:r>
      <w:r>
        <w:rPr>
          <w:color w:val="231F20"/>
          <w:spacing w:val="-15"/>
          <w:w w:val="105"/>
          <w:sz w:val="18"/>
        </w:rPr>
        <w:t> </w:t>
      </w:r>
      <w:r>
        <w:rPr>
          <w:color w:val="231F20"/>
          <w:w w:val="105"/>
          <w:sz w:val="18"/>
        </w:rPr>
        <w:t>mi</w:t>
      </w:r>
      <w:r>
        <w:rPr>
          <w:color w:val="231F20"/>
          <w:spacing w:val="-15"/>
          <w:w w:val="105"/>
          <w:sz w:val="18"/>
        </w:rPr>
        <w:t> </w:t>
      </w:r>
      <w:r>
        <w:rPr>
          <w:color w:val="231F20"/>
          <w:w w:val="105"/>
          <w:sz w:val="18"/>
        </w:rPr>
        <w:t>abuelita</w:t>
      </w:r>
      <w:r>
        <w:rPr>
          <w:color w:val="231F20"/>
          <w:spacing w:val="-15"/>
          <w:w w:val="105"/>
          <w:sz w:val="18"/>
        </w:rPr>
        <w:t> </w:t>
      </w:r>
      <w:r>
        <w:rPr>
          <w:color w:val="231F20"/>
          <w:w w:val="105"/>
          <w:sz w:val="18"/>
        </w:rPr>
        <w:t>que</w:t>
      </w:r>
      <w:r>
        <w:rPr>
          <w:color w:val="231F20"/>
          <w:spacing w:val="-15"/>
          <w:w w:val="105"/>
          <w:sz w:val="18"/>
        </w:rPr>
        <w:t> </w:t>
      </w:r>
      <w:r>
        <w:rPr>
          <w:color w:val="231F20"/>
          <w:w w:val="105"/>
          <w:sz w:val="18"/>
        </w:rPr>
        <w:t>ya</w:t>
      </w:r>
      <w:r>
        <w:rPr>
          <w:color w:val="231F20"/>
          <w:spacing w:val="-15"/>
          <w:w w:val="105"/>
          <w:sz w:val="18"/>
        </w:rPr>
        <w:t> </w:t>
      </w:r>
      <w:r>
        <w:rPr>
          <w:color w:val="231F20"/>
          <w:w w:val="105"/>
          <w:sz w:val="18"/>
        </w:rPr>
        <w:t>va</w:t>
      </w:r>
      <w:r>
        <w:rPr>
          <w:color w:val="231F20"/>
          <w:spacing w:val="-15"/>
          <w:w w:val="105"/>
          <w:sz w:val="18"/>
        </w:rPr>
        <w:t> </w:t>
      </w:r>
      <w:r>
        <w:rPr>
          <w:color w:val="231F20"/>
          <w:w w:val="105"/>
          <w:sz w:val="18"/>
        </w:rPr>
        <w:t>venir</w:t>
      </w:r>
      <w:r>
        <w:rPr>
          <w:color w:val="231F20"/>
          <w:spacing w:val="-15"/>
          <w:w w:val="105"/>
          <w:sz w:val="18"/>
        </w:rPr>
        <w:t> </w:t>
      </w:r>
      <w:r>
        <w:rPr>
          <w:color w:val="231F20"/>
          <w:w w:val="105"/>
          <w:sz w:val="18"/>
        </w:rPr>
        <w:t>a</w:t>
      </w:r>
      <w:r>
        <w:rPr>
          <w:color w:val="231F20"/>
          <w:spacing w:val="-15"/>
          <w:w w:val="105"/>
          <w:sz w:val="18"/>
        </w:rPr>
        <w:t> </w:t>
      </w:r>
      <w:r>
        <w:rPr>
          <w:color w:val="231F20"/>
          <w:w w:val="105"/>
          <w:sz w:val="18"/>
        </w:rPr>
        <w:t>poner</w:t>
      </w:r>
      <w:r>
        <w:rPr>
          <w:color w:val="231F20"/>
          <w:spacing w:val="-15"/>
          <w:w w:val="105"/>
          <w:sz w:val="18"/>
        </w:rPr>
        <w:t> </w:t>
      </w:r>
      <w:r>
        <w:rPr>
          <w:color w:val="231F20"/>
          <w:w w:val="105"/>
          <w:sz w:val="18"/>
        </w:rPr>
        <w:t>unos</w:t>
      </w:r>
      <w:r>
        <w:rPr>
          <w:color w:val="231F20"/>
          <w:spacing w:val="-15"/>
          <w:w w:val="105"/>
          <w:sz w:val="18"/>
        </w:rPr>
        <w:t> </w:t>
      </w:r>
      <w:r>
        <w:rPr>
          <w:color w:val="231F20"/>
          <w:w w:val="105"/>
          <w:sz w:val="18"/>
        </w:rPr>
        <w:t>invernaderos.</w:t>
      </w:r>
    </w:p>
    <w:p>
      <w:pPr>
        <w:spacing w:line="254" w:lineRule="auto" w:before="110"/>
        <w:ind w:left="2857" w:right="1834" w:firstLine="0"/>
        <w:jc w:val="both"/>
        <w:rPr>
          <w:sz w:val="18"/>
        </w:rPr>
      </w:pPr>
      <w:r>
        <w:rPr>
          <w:rFonts w:ascii="Arial" w:hAnsi="Arial"/>
          <w:i/>
          <w:color w:val="231F20"/>
          <w:w w:val="105"/>
          <w:sz w:val="18"/>
        </w:rPr>
        <w:t>¿Cuándo</w:t>
      </w:r>
      <w:r>
        <w:rPr>
          <w:rFonts w:ascii="Arial" w:hAnsi="Arial"/>
          <w:i/>
          <w:color w:val="231F20"/>
          <w:spacing w:val="-25"/>
          <w:w w:val="105"/>
          <w:sz w:val="18"/>
        </w:rPr>
        <w:t> </w:t>
      </w:r>
      <w:r>
        <w:rPr>
          <w:rFonts w:ascii="Arial" w:hAnsi="Arial"/>
          <w:i/>
          <w:color w:val="231F20"/>
          <w:w w:val="105"/>
          <w:sz w:val="18"/>
        </w:rPr>
        <w:t>te</w:t>
      </w:r>
      <w:r>
        <w:rPr>
          <w:rFonts w:ascii="Arial" w:hAnsi="Arial"/>
          <w:i/>
          <w:color w:val="231F20"/>
          <w:spacing w:val="-25"/>
          <w:w w:val="105"/>
          <w:sz w:val="18"/>
        </w:rPr>
        <w:t> </w:t>
      </w:r>
      <w:r>
        <w:rPr>
          <w:rFonts w:ascii="Arial" w:hAnsi="Arial"/>
          <w:i/>
          <w:color w:val="231F20"/>
          <w:w w:val="105"/>
          <w:sz w:val="18"/>
        </w:rPr>
        <w:t>quieres</w:t>
      </w:r>
      <w:r>
        <w:rPr>
          <w:rFonts w:ascii="Arial" w:hAnsi="Arial"/>
          <w:i/>
          <w:color w:val="231F20"/>
          <w:spacing w:val="-25"/>
          <w:w w:val="105"/>
          <w:sz w:val="18"/>
        </w:rPr>
        <w:t> </w:t>
      </w:r>
      <w:r>
        <w:rPr>
          <w:rFonts w:ascii="Arial" w:hAnsi="Arial"/>
          <w:i/>
          <w:color w:val="231F20"/>
          <w:w w:val="105"/>
          <w:sz w:val="18"/>
        </w:rPr>
        <w:t>ir</w:t>
      </w:r>
      <w:r>
        <w:rPr>
          <w:rFonts w:ascii="Arial" w:hAnsi="Arial"/>
          <w:i/>
          <w:color w:val="231F20"/>
          <w:spacing w:val="-25"/>
          <w:w w:val="105"/>
          <w:sz w:val="18"/>
        </w:rPr>
        <w:t> </w:t>
      </w:r>
      <w:r>
        <w:rPr>
          <w:rFonts w:ascii="Arial" w:hAnsi="Arial"/>
          <w:i/>
          <w:color w:val="231F20"/>
          <w:w w:val="105"/>
          <w:sz w:val="18"/>
        </w:rPr>
        <w:t>a</w:t>
      </w:r>
      <w:r>
        <w:rPr>
          <w:rFonts w:ascii="Arial" w:hAnsi="Arial"/>
          <w:i/>
          <w:color w:val="231F20"/>
          <w:spacing w:val="-25"/>
          <w:w w:val="105"/>
          <w:sz w:val="18"/>
        </w:rPr>
        <w:t> </w:t>
      </w:r>
      <w:r>
        <w:rPr>
          <w:rFonts w:ascii="Arial" w:hAnsi="Arial"/>
          <w:i/>
          <w:color w:val="231F20"/>
          <w:w w:val="105"/>
          <w:sz w:val="18"/>
        </w:rPr>
        <w:t>Estados</w:t>
      </w:r>
      <w:r>
        <w:rPr>
          <w:rFonts w:ascii="Arial" w:hAnsi="Arial"/>
          <w:i/>
          <w:color w:val="231F20"/>
          <w:spacing w:val="-25"/>
          <w:w w:val="105"/>
          <w:sz w:val="18"/>
        </w:rPr>
        <w:t> </w:t>
      </w:r>
      <w:r>
        <w:rPr>
          <w:rFonts w:ascii="Arial" w:hAnsi="Arial"/>
          <w:i/>
          <w:color w:val="231F20"/>
          <w:w w:val="105"/>
          <w:sz w:val="18"/>
        </w:rPr>
        <w:t>Unidos?</w:t>
      </w:r>
      <w:r>
        <w:rPr>
          <w:rFonts w:ascii="Arial" w:hAnsi="Arial"/>
          <w:i/>
          <w:color w:val="231F20"/>
          <w:spacing w:val="-25"/>
          <w:w w:val="105"/>
          <w:sz w:val="18"/>
        </w:rPr>
        <w:t> </w:t>
      </w:r>
      <w:r>
        <w:rPr>
          <w:color w:val="231F20"/>
          <w:w w:val="105"/>
          <w:sz w:val="18"/>
        </w:rPr>
        <w:t>Cuando</w:t>
      </w:r>
      <w:r>
        <w:rPr>
          <w:color w:val="231F20"/>
          <w:spacing w:val="-23"/>
          <w:w w:val="105"/>
          <w:sz w:val="18"/>
        </w:rPr>
        <w:t> </w:t>
      </w:r>
      <w:r>
        <w:rPr>
          <w:color w:val="231F20"/>
          <w:w w:val="105"/>
          <w:sz w:val="18"/>
        </w:rPr>
        <w:t>crezca</w:t>
      </w:r>
      <w:r>
        <w:rPr>
          <w:color w:val="231F20"/>
          <w:spacing w:val="-23"/>
          <w:w w:val="105"/>
          <w:sz w:val="18"/>
        </w:rPr>
        <w:t> </w:t>
      </w:r>
      <w:r>
        <w:rPr>
          <w:color w:val="231F20"/>
          <w:w w:val="105"/>
          <w:sz w:val="18"/>
        </w:rPr>
        <w:t>un</w:t>
      </w:r>
      <w:r>
        <w:rPr>
          <w:color w:val="231F20"/>
          <w:spacing w:val="-23"/>
          <w:w w:val="105"/>
          <w:sz w:val="18"/>
        </w:rPr>
        <w:t> </w:t>
      </w:r>
      <w:r>
        <w:rPr>
          <w:color w:val="231F20"/>
          <w:w w:val="105"/>
          <w:sz w:val="18"/>
        </w:rPr>
        <w:t>poco</w:t>
      </w:r>
      <w:r>
        <w:rPr>
          <w:color w:val="231F20"/>
          <w:spacing w:val="-23"/>
          <w:w w:val="105"/>
          <w:sz w:val="18"/>
        </w:rPr>
        <w:t> </w:t>
      </w:r>
      <w:r>
        <w:rPr>
          <w:color w:val="231F20"/>
          <w:w w:val="105"/>
          <w:sz w:val="18"/>
        </w:rPr>
        <w:t>más</w:t>
      </w:r>
      <w:r>
        <w:rPr>
          <w:color w:val="231F20"/>
          <w:spacing w:val="-23"/>
          <w:w w:val="105"/>
          <w:sz w:val="18"/>
        </w:rPr>
        <w:t> </w:t>
      </w:r>
      <w:r>
        <w:rPr>
          <w:color w:val="231F20"/>
          <w:w w:val="105"/>
          <w:sz w:val="18"/>
        </w:rPr>
        <w:t>o mejor</w:t>
      </w:r>
      <w:r>
        <w:rPr>
          <w:color w:val="231F20"/>
          <w:spacing w:val="-9"/>
          <w:w w:val="105"/>
          <w:sz w:val="18"/>
        </w:rPr>
        <w:t> </w:t>
      </w:r>
      <w:r>
        <w:rPr>
          <w:color w:val="231F20"/>
          <w:w w:val="105"/>
          <w:sz w:val="18"/>
        </w:rPr>
        <w:t>cuando</w:t>
      </w:r>
      <w:r>
        <w:rPr>
          <w:color w:val="231F20"/>
          <w:spacing w:val="-9"/>
          <w:w w:val="105"/>
          <w:sz w:val="18"/>
        </w:rPr>
        <w:t> </w:t>
      </w:r>
      <w:r>
        <w:rPr>
          <w:color w:val="231F20"/>
          <w:w w:val="105"/>
          <w:sz w:val="18"/>
        </w:rPr>
        <w:t>termine</w:t>
      </w:r>
      <w:r>
        <w:rPr>
          <w:color w:val="231F20"/>
          <w:spacing w:val="-9"/>
          <w:w w:val="105"/>
          <w:sz w:val="18"/>
        </w:rPr>
        <w:t> </w:t>
      </w:r>
      <w:r>
        <w:rPr>
          <w:color w:val="231F20"/>
          <w:w w:val="105"/>
          <w:sz w:val="18"/>
        </w:rPr>
        <w:t>sexto</w:t>
      </w:r>
      <w:r>
        <w:rPr>
          <w:color w:val="231F20"/>
          <w:spacing w:val="-9"/>
          <w:w w:val="105"/>
          <w:sz w:val="18"/>
        </w:rPr>
        <w:t> </w:t>
      </w:r>
      <w:r>
        <w:rPr>
          <w:color w:val="231F20"/>
          <w:w w:val="105"/>
          <w:sz w:val="18"/>
        </w:rPr>
        <w:t>año.</w:t>
      </w:r>
      <w:r>
        <w:rPr>
          <w:color w:val="231F20"/>
          <w:spacing w:val="-17"/>
          <w:w w:val="105"/>
          <w:sz w:val="18"/>
        </w:rPr>
        <w:t> </w:t>
      </w:r>
      <w:r>
        <w:rPr>
          <w:color w:val="231F20"/>
          <w:spacing w:val="-3"/>
          <w:w w:val="105"/>
          <w:sz w:val="18"/>
        </w:rPr>
        <w:t>Voy</w:t>
      </w:r>
      <w:r>
        <w:rPr>
          <w:color w:val="231F20"/>
          <w:spacing w:val="-9"/>
          <w:w w:val="105"/>
          <w:sz w:val="18"/>
        </w:rPr>
        <w:t> </w:t>
      </w:r>
      <w:r>
        <w:rPr>
          <w:color w:val="231F20"/>
          <w:w w:val="105"/>
          <w:sz w:val="18"/>
        </w:rPr>
        <w:t>a</w:t>
      </w:r>
      <w:r>
        <w:rPr>
          <w:color w:val="231F20"/>
          <w:spacing w:val="-9"/>
          <w:w w:val="105"/>
          <w:sz w:val="18"/>
        </w:rPr>
        <w:t> </w:t>
      </w:r>
      <w:r>
        <w:rPr>
          <w:color w:val="231F20"/>
          <w:w w:val="105"/>
          <w:sz w:val="18"/>
        </w:rPr>
        <w:t>mandar</w:t>
      </w:r>
      <w:r>
        <w:rPr>
          <w:color w:val="231F20"/>
          <w:spacing w:val="-9"/>
          <w:w w:val="105"/>
          <w:sz w:val="18"/>
        </w:rPr>
        <w:t> </w:t>
      </w:r>
      <w:r>
        <w:rPr>
          <w:color w:val="231F20"/>
          <w:w w:val="105"/>
          <w:sz w:val="18"/>
        </w:rPr>
        <w:t>el</w:t>
      </w:r>
      <w:r>
        <w:rPr>
          <w:color w:val="231F20"/>
          <w:spacing w:val="-9"/>
          <w:w w:val="105"/>
          <w:sz w:val="18"/>
        </w:rPr>
        <w:t> </w:t>
      </w:r>
      <w:r>
        <w:rPr>
          <w:color w:val="231F20"/>
          <w:w w:val="105"/>
          <w:sz w:val="18"/>
        </w:rPr>
        <w:t>dinero</w:t>
      </w:r>
      <w:r>
        <w:rPr>
          <w:color w:val="231F20"/>
          <w:spacing w:val="-9"/>
          <w:w w:val="105"/>
          <w:sz w:val="18"/>
        </w:rPr>
        <w:t> </w:t>
      </w:r>
      <w:r>
        <w:rPr>
          <w:color w:val="231F20"/>
          <w:w w:val="105"/>
          <w:sz w:val="18"/>
        </w:rPr>
        <w:t>y</w:t>
      </w:r>
      <w:r>
        <w:rPr>
          <w:color w:val="231F20"/>
          <w:spacing w:val="-9"/>
          <w:w w:val="105"/>
          <w:sz w:val="18"/>
        </w:rPr>
        <w:t> </w:t>
      </w:r>
      <w:r>
        <w:rPr>
          <w:color w:val="231F20"/>
          <w:w w:val="105"/>
          <w:sz w:val="18"/>
        </w:rPr>
        <w:t>voy</w:t>
      </w:r>
      <w:r>
        <w:rPr>
          <w:color w:val="231F20"/>
          <w:spacing w:val="-9"/>
          <w:w w:val="105"/>
          <w:sz w:val="18"/>
        </w:rPr>
        <w:t> </w:t>
      </w:r>
      <w:r>
        <w:rPr>
          <w:color w:val="231F20"/>
          <w:w w:val="105"/>
          <w:sz w:val="18"/>
        </w:rPr>
        <w:t>a</w:t>
      </w:r>
      <w:r>
        <w:rPr>
          <w:color w:val="231F20"/>
          <w:spacing w:val="-9"/>
          <w:w w:val="105"/>
          <w:sz w:val="18"/>
        </w:rPr>
        <w:t> </w:t>
      </w:r>
      <w:r>
        <w:rPr>
          <w:color w:val="231F20"/>
          <w:w w:val="105"/>
          <w:sz w:val="18"/>
        </w:rPr>
        <w:t>hacer una</w:t>
      </w:r>
      <w:r>
        <w:rPr>
          <w:color w:val="231F20"/>
          <w:spacing w:val="-22"/>
          <w:w w:val="105"/>
          <w:sz w:val="18"/>
        </w:rPr>
        <w:t> </w:t>
      </w:r>
      <w:r>
        <w:rPr>
          <w:color w:val="231F20"/>
          <w:w w:val="105"/>
          <w:sz w:val="18"/>
        </w:rPr>
        <w:t>casa,</w:t>
      </w:r>
      <w:r>
        <w:rPr>
          <w:color w:val="231F20"/>
          <w:spacing w:val="-26"/>
          <w:w w:val="105"/>
          <w:sz w:val="18"/>
        </w:rPr>
        <w:t> </w:t>
      </w:r>
      <w:r>
        <w:rPr>
          <w:color w:val="231F20"/>
          <w:w w:val="105"/>
          <w:sz w:val="18"/>
        </w:rPr>
        <w:t>de</w:t>
      </w:r>
      <w:r>
        <w:rPr>
          <w:color w:val="231F20"/>
          <w:spacing w:val="-22"/>
          <w:w w:val="105"/>
          <w:sz w:val="18"/>
        </w:rPr>
        <w:t> </w:t>
      </w:r>
      <w:r>
        <w:rPr>
          <w:color w:val="231F20"/>
          <w:w w:val="105"/>
          <w:sz w:val="18"/>
        </w:rPr>
        <w:t>muchos</w:t>
      </w:r>
      <w:r>
        <w:rPr>
          <w:color w:val="231F20"/>
          <w:spacing w:val="-22"/>
          <w:w w:val="105"/>
          <w:sz w:val="18"/>
        </w:rPr>
        <w:t> </w:t>
      </w:r>
      <w:r>
        <w:rPr>
          <w:color w:val="231F20"/>
          <w:w w:val="105"/>
          <w:sz w:val="18"/>
        </w:rPr>
        <w:t>colores”</w:t>
      </w:r>
      <w:r>
        <w:rPr>
          <w:color w:val="231F20"/>
          <w:spacing w:val="-22"/>
          <w:w w:val="105"/>
          <w:sz w:val="18"/>
        </w:rPr>
        <w:t> </w:t>
      </w:r>
      <w:r>
        <w:rPr>
          <w:color w:val="231F20"/>
          <w:w w:val="105"/>
          <w:sz w:val="18"/>
        </w:rPr>
        <w:t>(niño,</w:t>
      </w:r>
      <w:r>
        <w:rPr>
          <w:color w:val="231F20"/>
          <w:spacing w:val="-26"/>
          <w:w w:val="105"/>
          <w:sz w:val="18"/>
        </w:rPr>
        <w:t> </w:t>
      </w:r>
      <w:r>
        <w:rPr>
          <w:color w:val="231F20"/>
          <w:w w:val="105"/>
          <w:sz w:val="18"/>
        </w:rPr>
        <w:t>11</w:t>
      </w:r>
      <w:r>
        <w:rPr>
          <w:color w:val="231F20"/>
          <w:spacing w:val="-22"/>
          <w:w w:val="105"/>
          <w:sz w:val="18"/>
        </w:rPr>
        <w:t> </w:t>
      </w:r>
      <w:r>
        <w:rPr>
          <w:color w:val="231F20"/>
          <w:w w:val="105"/>
          <w:sz w:val="18"/>
        </w:rPr>
        <w:t>años).</w:t>
      </w:r>
    </w:p>
    <w:p>
      <w:pPr>
        <w:pStyle w:val="BodyText"/>
        <w:spacing w:before="5"/>
      </w:pPr>
    </w:p>
    <w:p>
      <w:pPr>
        <w:pStyle w:val="BodyText"/>
        <w:spacing w:line="261" w:lineRule="auto"/>
        <w:ind w:left="1723" w:right="1834"/>
        <w:jc w:val="both"/>
      </w:pPr>
      <w:r>
        <w:rPr>
          <w:color w:val="231F20"/>
          <w:w w:val="105"/>
        </w:rPr>
        <w:t>El</w:t>
      </w:r>
      <w:r>
        <w:rPr>
          <w:color w:val="231F20"/>
          <w:spacing w:val="-5"/>
          <w:w w:val="105"/>
        </w:rPr>
        <w:t> </w:t>
      </w:r>
      <w:r>
        <w:rPr>
          <w:color w:val="231F20"/>
          <w:w w:val="105"/>
        </w:rPr>
        <w:t>deseo</w:t>
      </w:r>
      <w:r>
        <w:rPr>
          <w:color w:val="231F20"/>
          <w:spacing w:val="-5"/>
          <w:w w:val="105"/>
        </w:rPr>
        <w:t> </w:t>
      </w:r>
      <w:r>
        <w:rPr>
          <w:color w:val="231F20"/>
          <w:w w:val="105"/>
        </w:rPr>
        <w:t>de</w:t>
      </w:r>
      <w:r>
        <w:rPr>
          <w:color w:val="231F20"/>
          <w:spacing w:val="-5"/>
          <w:w w:val="105"/>
        </w:rPr>
        <w:t> </w:t>
      </w:r>
      <w:r>
        <w:rPr>
          <w:color w:val="231F20"/>
          <w:w w:val="105"/>
        </w:rPr>
        <w:t>migrar,</w:t>
      </w:r>
      <w:r>
        <w:rPr>
          <w:color w:val="231F20"/>
          <w:spacing w:val="-10"/>
          <w:w w:val="105"/>
        </w:rPr>
        <w:t> </w:t>
      </w:r>
      <w:r>
        <w:rPr>
          <w:color w:val="231F20"/>
          <w:w w:val="105"/>
        </w:rPr>
        <w:t>ahorrar</w:t>
      </w:r>
      <w:r>
        <w:rPr>
          <w:color w:val="231F20"/>
          <w:spacing w:val="-5"/>
          <w:w w:val="105"/>
        </w:rPr>
        <w:t> </w:t>
      </w:r>
      <w:r>
        <w:rPr>
          <w:color w:val="231F20"/>
          <w:w w:val="105"/>
        </w:rPr>
        <w:t>y</w:t>
      </w:r>
      <w:r>
        <w:rPr>
          <w:color w:val="231F20"/>
          <w:spacing w:val="-5"/>
          <w:w w:val="105"/>
        </w:rPr>
        <w:t> </w:t>
      </w:r>
      <w:r>
        <w:rPr>
          <w:color w:val="231F20"/>
          <w:w w:val="105"/>
        </w:rPr>
        <w:t>construir</w:t>
      </w:r>
      <w:r>
        <w:rPr>
          <w:color w:val="231F20"/>
          <w:spacing w:val="-5"/>
          <w:w w:val="105"/>
        </w:rPr>
        <w:t> </w:t>
      </w:r>
      <w:r>
        <w:rPr>
          <w:color w:val="231F20"/>
          <w:w w:val="105"/>
        </w:rPr>
        <w:t>una</w:t>
      </w:r>
      <w:r>
        <w:rPr>
          <w:color w:val="231F20"/>
          <w:spacing w:val="-5"/>
          <w:w w:val="105"/>
        </w:rPr>
        <w:t> </w:t>
      </w:r>
      <w:r>
        <w:rPr>
          <w:color w:val="231F20"/>
          <w:w w:val="105"/>
        </w:rPr>
        <w:t>casa</w:t>
      </w:r>
      <w:r>
        <w:rPr>
          <w:color w:val="231F20"/>
          <w:spacing w:val="-5"/>
          <w:w w:val="105"/>
        </w:rPr>
        <w:t> </w:t>
      </w:r>
      <w:r>
        <w:rPr>
          <w:color w:val="231F20"/>
          <w:w w:val="105"/>
        </w:rPr>
        <w:t>de</w:t>
      </w:r>
      <w:r>
        <w:rPr>
          <w:color w:val="231F20"/>
          <w:spacing w:val="-5"/>
          <w:w w:val="105"/>
        </w:rPr>
        <w:t> </w:t>
      </w:r>
      <w:r>
        <w:rPr>
          <w:color w:val="231F20"/>
          <w:w w:val="105"/>
        </w:rPr>
        <w:t>muchos</w:t>
      </w:r>
      <w:r>
        <w:rPr>
          <w:color w:val="231F20"/>
          <w:spacing w:val="-5"/>
          <w:w w:val="105"/>
        </w:rPr>
        <w:t> </w:t>
      </w:r>
      <w:r>
        <w:rPr>
          <w:color w:val="231F20"/>
          <w:w w:val="105"/>
        </w:rPr>
        <w:t>colores</w:t>
      </w:r>
      <w:r>
        <w:rPr>
          <w:color w:val="231F20"/>
          <w:spacing w:val="-5"/>
          <w:w w:val="105"/>
        </w:rPr>
        <w:t> </w:t>
      </w:r>
      <w:r>
        <w:rPr>
          <w:color w:val="231F20"/>
          <w:w w:val="105"/>
        </w:rPr>
        <w:t>fue un</w:t>
      </w:r>
      <w:r>
        <w:rPr>
          <w:color w:val="231F20"/>
          <w:spacing w:val="-12"/>
          <w:w w:val="105"/>
        </w:rPr>
        <w:t> </w:t>
      </w:r>
      <w:r>
        <w:rPr>
          <w:color w:val="231F20"/>
          <w:w w:val="105"/>
        </w:rPr>
        <w:t>relato</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repitió</w:t>
      </w:r>
      <w:r>
        <w:rPr>
          <w:color w:val="231F20"/>
          <w:spacing w:val="-12"/>
          <w:w w:val="105"/>
        </w:rPr>
        <w:t> </w:t>
      </w:r>
      <w:r>
        <w:rPr>
          <w:color w:val="231F20"/>
          <w:w w:val="105"/>
        </w:rPr>
        <w:t>constantemente.</w:t>
      </w:r>
      <w:r>
        <w:rPr>
          <w:color w:val="231F20"/>
          <w:spacing w:val="-19"/>
          <w:w w:val="105"/>
        </w:rPr>
        <w:t> </w:t>
      </w:r>
      <w:r>
        <w:rPr>
          <w:color w:val="231F20"/>
          <w:w w:val="105"/>
        </w:rPr>
        <w:t>Este</w:t>
      </w:r>
      <w:r>
        <w:rPr>
          <w:color w:val="231F20"/>
          <w:spacing w:val="-12"/>
          <w:w w:val="105"/>
        </w:rPr>
        <w:t> </w:t>
      </w:r>
      <w:r>
        <w:rPr>
          <w:color w:val="231F20"/>
          <w:w w:val="105"/>
        </w:rPr>
        <w:t>discurso</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producto</w:t>
      </w:r>
      <w:r>
        <w:rPr>
          <w:color w:val="231F20"/>
          <w:spacing w:val="-12"/>
          <w:w w:val="105"/>
        </w:rPr>
        <w:t> </w:t>
      </w:r>
      <w:r>
        <w:rPr>
          <w:color w:val="231F20"/>
          <w:w w:val="105"/>
        </w:rPr>
        <w:t>de la noción que tiene la población sobre el éxito que logró uno de los</w:t>
      </w:r>
      <w:r>
        <w:rPr>
          <w:color w:val="231F20"/>
          <w:spacing w:val="-37"/>
          <w:w w:val="105"/>
        </w:rPr>
        <w:t> </w:t>
      </w:r>
      <w:r>
        <w:rPr>
          <w:color w:val="231F20"/>
          <w:w w:val="105"/>
        </w:rPr>
        <w:t>em- presarios</w:t>
      </w:r>
      <w:r>
        <w:rPr>
          <w:color w:val="231F20"/>
          <w:spacing w:val="-12"/>
          <w:w w:val="105"/>
        </w:rPr>
        <w:t> </w:t>
      </w:r>
      <w:r>
        <w:rPr>
          <w:color w:val="231F20"/>
          <w:w w:val="105"/>
        </w:rPr>
        <w:t>locales,</w:t>
      </w:r>
      <w:r>
        <w:rPr>
          <w:color w:val="231F20"/>
          <w:spacing w:val="-17"/>
          <w:w w:val="105"/>
        </w:rPr>
        <w:t> </w:t>
      </w:r>
      <w:r>
        <w:rPr>
          <w:color w:val="231F20"/>
          <w:w w:val="105"/>
        </w:rPr>
        <w:t>cuya</w:t>
      </w:r>
      <w:r>
        <w:rPr>
          <w:color w:val="231F20"/>
          <w:spacing w:val="-12"/>
          <w:w w:val="105"/>
        </w:rPr>
        <w:t> </w:t>
      </w:r>
      <w:r>
        <w:rPr>
          <w:color w:val="231F20"/>
          <w:w w:val="105"/>
        </w:rPr>
        <w:t>empresa</w:t>
      </w:r>
      <w:r>
        <w:rPr>
          <w:color w:val="231F20"/>
          <w:spacing w:val="-12"/>
          <w:w w:val="105"/>
        </w:rPr>
        <w:t> </w:t>
      </w:r>
      <w:r>
        <w:rPr>
          <w:color w:val="231F20"/>
          <w:w w:val="105"/>
        </w:rPr>
        <w:t>ha</w:t>
      </w:r>
      <w:r>
        <w:rPr>
          <w:color w:val="231F20"/>
          <w:spacing w:val="-12"/>
          <w:w w:val="105"/>
        </w:rPr>
        <w:t> </w:t>
      </w:r>
      <w:r>
        <w:rPr>
          <w:color w:val="231F20"/>
          <w:w w:val="105"/>
        </w:rPr>
        <w:t>sido</w:t>
      </w:r>
      <w:r>
        <w:rPr>
          <w:color w:val="231F20"/>
          <w:spacing w:val="-12"/>
          <w:w w:val="105"/>
        </w:rPr>
        <w:t> </w:t>
      </w:r>
      <w:r>
        <w:rPr>
          <w:color w:val="231F20"/>
          <w:w w:val="105"/>
        </w:rPr>
        <w:t>una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más</w:t>
      </w:r>
      <w:r>
        <w:rPr>
          <w:color w:val="231F20"/>
          <w:spacing w:val="-12"/>
          <w:w w:val="105"/>
        </w:rPr>
        <w:t> </w:t>
      </w:r>
      <w:r>
        <w:rPr>
          <w:color w:val="231F20"/>
          <w:w w:val="105"/>
        </w:rPr>
        <w:t>representativas para</w:t>
      </w:r>
      <w:r>
        <w:rPr>
          <w:color w:val="231F20"/>
          <w:spacing w:val="-25"/>
          <w:w w:val="105"/>
        </w:rPr>
        <w:t> </w:t>
      </w:r>
      <w:r>
        <w:rPr>
          <w:color w:val="231F20"/>
          <w:w w:val="105"/>
        </w:rPr>
        <w:t>abastecer</w:t>
      </w:r>
      <w:r>
        <w:rPr>
          <w:color w:val="231F20"/>
          <w:spacing w:val="-25"/>
          <w:w w:val="105"/>
        </w:rPr>
        <w:t> </w:t>
      </w:r>
      <w:r>
        <w:rPr>
          <w:color w:val="231F20"/>
          <w:w w:val="105"/>
        </w:rPr>
        <w:t>al</w:t>
      </w:r>
      <w:r>
        <w:rPr>
          <w:color w:val="231F20"/>
          <w:spacing w:val="-25"/>
          <w:w w:val="105"/>
        </w:rPr>
        <w:t> </w:t>
      </w:r>
      <w:r>
        <w:rPr>
          <w:color w:val="231F20"/>
          <w:w w:val="105"/>
        </w:rPr>
        <w:t>mercado</w:t>
      </w:r>
      <w:r>
        <w:rPr>
          <w:color w:val="231F20"/>
          <w:spacing w:val="-25"/>
          <w:w w:val="105"/>
        </w:rPr>
        <w:t> </w:t>
      </w:r>
      <w:r>
        <w:rPr>
          <w:color w:val="231F20"/>
          <w:w w:val="105"/>
        </w:rPr>
        <w:t>nacional.</w:t>
      </w:r>
      <w:r>
        <w:rPr>
          <w:color w:val="231F20"/>
          <w:spacing w:val="-29"/>
          <w:w w:val="105"/>
        </w:rPr>
        <w:t> </w:t>
      </w:r>
      <w:r>
        <w:rPr>
          <w:color w:val="231F20"/>
          <w:w w:val="105"/>
        </w:rPr>
        <w:t>Dicho</w:t>
      </w:r>
      <w:r>
        <w:rPr>
          <w:color w:val="231F20"/>
          <w:spacing w:val="-25"/>
          <w:w w:val="105"/>
        </w:rPr>
        <w:t> </w:t>
      </w:r>
      <w:r>
        <w:rPr>
          <w:color w:val="231F20"/>
          <w:w w:val="105"/>
        </w:rPr>
        <w:t>productor</w:t>
      </w:r>
      <w:r>
        <w:rPr>
          <w:color w:val="231F20"/>
          <w:spacing w:val="-25"/>
          <w:w w:val="105"/>
        </w:rPr>
        <w:t> </w:t>
      </w:r>
      <w:r>
        <w:rPr>
          <w:color w:val="231F20"/>
          <w:w w:val="105"/>
        </w:rPr>
        <w:t>construyó</w:t>
      </w:r>
      <w:r>
        <w:rPr>
          <w:color w:val="231F20"/>
          <w:spacing w:val="-25"/>
          <w:w w:val="105"/>
        </w:rPr>
        <w:t> </w:t>
      </w:r>
      <w:r>
        <w:rPr>
          <w:color w:val="231F20"/>
          <w:w w:val="105"/>
        </w:rPr>
        <w:t>una</w:t>
      </w:r>
      <w:r>
        <w:rPr>
          <w:color w:val="231F20"/>
          <w:spacing w:val="-25"/>
          <w:w w:val="105"/>
        </w:rPr>
        <w:t> </w:t>
      </w:r>
      <w:r>
        <w:rPr>
          <w:color w:val="231F20"/>
          <w:w w:val="105"/>
        </w:rPr>
        <w:t>casa habitación</w:t>
      </w:r>
      <w:r>
        <w:rPr>
          <w:color w:val="231F20"/>
          <w:spacing w:val="-23"/>
          <w:w w:val="105"/>
        </w:rPr>
        <w:t> </w:t>
      </w:r>
      <w:r>
        <w:rPr>
          <w:color w:val="231F20"/>
          <w:w w:val="105"/>
        </w:rPr>
        <w:t>que</w:t>
      </w:r>
      <w:r>
        <w:rPr>
          <w:color w:val="231F20"/>
          <w:spacing w:val="-23"/>
          <w:w w:val="105"/>
        </w:rPr>
        <w:t> </w:t>
      </w:r>
      <w:r>
        <w:rPr>
          <w:color w:val="231F20"/>
          <w:w w:val="105"/>
        </w:rPr>
        <w:t>alude</w:t>
      </w:r>
      <w:r>
        <w:rPr>
          <w:color w:val="231F20"/>
          <w:spacing w:val="-23"/>
          <w:w w:val="105"/>
        </w:rPr>
        <w:t> </w:t>
      </w:r>
      <w:r>
        <w:rPr>
          <w:color w:val="231F20"/>
          <w:w w:val="105"/>
        </w:rPr>
        <w:t>a</w:t>
      </w:r>
      <w:r>
        <w:rPr>
          <w:color w:val="231F20"/>
          <w:spacing w:val="-23"/>
          <w:w w:val="105"/>
        </w:rPr>
        <w:t> </w:t>
      </w:r>
      <w:r>
        <w:rPr>
          <w:color w:val="231F20"/>
          <w:w w:val="105"/>
        </w:rPr>
        <w:t>un</w:t>
      </w:r>
      <w:r>
        <w:rPr>
          <w:color w:val="231F20"/>
          <w:spacing w:val="-23"/>
          <w:w w:val="105"/>
        </w:rPr>
        <w:t> </w:t>
      </w:r>
      <w:r>
        <w:rPr>
          <w:color w:val="231F20"/>
          <w:w w:val="105"/>
        </w:rPr>
        <w:t>castillo</w:t>
      </w:r>
      <w:r>
        <w:rPr>
          <w:color w:val="231F20"/>
          <w:spacing w:val="-23"/>
          <w:w w:val="105"/>
        </w:rPr>
        <w:t> </w:t>
      </w:r>
      <w:r>
        <w:rPr>
          <w:color w:val="231F20"/>
          <w:w w:val="105"/>
        </w:rPr>
        <w:t>y</w:t>
      </w:r>
      <w:r>
        <w:rPr>
          <w:color w:val="231F20"/>
          <w:spacing w:val="-23"/>
          <w:w w:val="105"/>
        </w:rPr>
        <w:t> </w:t>
      </w:r>
      <w:r>
        <w:rPr>
          <w:color w:val="231F20"/>
          <w:w w:val="105"/>
        </w:rPr>
        <w:t>está</w:t>
      </w:r>
      <w:r>
        <w:rPr>
          <w:color w:val="231F20"/>
          <w:spacing w:val="-23"/>
          <w:w w:val="105"/>
        </w:rPr>
        <w:t> </w:t>
      </w:r>
      <w:r>
        <w:rPr>
          <w:color w:val="231F20"/>
          <w:w w:val="105"/>
        </w:rPr>
        <w:t>pintada</w:t>
      </w:r>
      <w:r>
        <w:rPr>
          <w:color w:val="231F20"/>
          <w:spacing w:val="-23"/>
          <w:w w:val="105"/>
        </w:rPr>
        <w:t> </w:t>
      </w:r>
      <w:r>
        <w:rPr>
          <w:color w:val="231F20"/>
          <w:w w:val="105"/>
        </w:rPr>
        <w:t>de</w:t>
      </w:r>
      <w:r>
        <w:rPr>
          <w:color w:val="231F20"/>
          <w:spacing w:val="-23"/>
          <w:w w:val="105"/>
        </w:rPr>
        <w:t> </w:t>
      </w:r>
      <w:r>
        <w:rPr>
          <w:color w:val="231F20"/>
          <w:w w:val="105"/>
        </w:rPr>
        <w:t>mucho</w:t>
      </w:r>
      <w:r>
        <w:rPr>
          <w:color w:val="231F20"/>
          <w:spacing w:val="-23"/>
          <w:w w:val="105"/>
        </w:rPr>
        <w:t> </w:t>
      </w:r>
      <w:r>
        <w:rPr>
          <w:color w:val="231F20"/>
          <w:w w:val="105"/>
        </w:rPr>
        <w:t>colores.</w:t>
      </w:r>
      <w:r>
        <w:rPr>
          <w:color w:val="231F20"/>
          <w:spacing w:val="-28"/>
          <w:w w:val="105"/>
        </w:rPr>
        <w:t> </w:t>
      </w:r>
      <w:r>
        <w:rPr>
          <w:color w:val="231F20"/>
          <w:w w:val="105"/>
        </w:rPr>
        <w:t>En</w:t>
      </w:r>
      <w:r>
        <w:rPr>
          <w:color w:val="231F20"/>
          <w:spacing w:val="-23"/>
          <w:w w:val="105"/>
        </w:rPr>
        <w:t> </w:t>
      </w:r>
      <w:r>
        <w:rPr>
          <w:color w:val="231F20"/>
          <w:w w:val="105"/>
        </w:rPr>
        <w:t>las ilustraciones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niños</w:t>
      </w:r>
      <w:r>
        <w:rPr>
          <w:color w:val="231F20"/>
          <w:spacing w:val="-18"/>
          <w:w w:val="105"/>
        </w:rPr>
        <w:t> </w:t>
      </w:r>
      <w:r>
        <w:rPr>
          <w:color w:val="231F20"/>
          <w:w w:val="105"/>
        </w:rPr>
        <w:t>salió</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luz</w:t>
      </w:r>
      <w:r>
        <w:rPr>
          <w:color w:val="231F20"/>
          <w:spacing w:val="-18"/>
          <w:w w:val="105"/>
        </w:rPr>
        <w:t> </w:t>
      </w:r>
      <w:r>
        <w:rPr>
          <w:color w:val="231F20"/>
          <w:w w:val="105"/>
        </w:rPr>
        <w:t>la</w:t>
      </w:r>
      <w:r>
        <w:rPr>
          <w:color w:val="231F20"/>
          <w:spacing w:val="-18"/>
          <w:w w:val="105"/>
        </w:rPr>
        <w:t> </w:t>
      </w:r>
      <w:r>
        <w:rPr>
          <w:color w:val="231F20"/>
          <w:w w:val="105"/>
        </w:rPr>
        <w:t>casa</w:t>
      </w:r>
      <w:r>
        <w:rPr>
          <w:color w:val="231F20"/>
          <w:spacing w:val="-18"/>
          <w:w w:val="105"/>
        </w:rPr>
        <w:t> </w:t>
      </w:r>
      <w:r>
        <w:rPr>
          <w:color w:val="231F20"/>
          <w:w w:val="105"/>
        </w:rPr>
        <w:t>con</w:t>
      </w:r>
      <w:r>
        <w:rPr>
          <w:color w:val="231F20"/>
          <w:spacing w:val="-18"/>
          <w:w w:val="105"/>
        </w:rPr>
        <w:t> </w:t>
      </w:r>
      <w:r>
        <w:rPr>
          <w:color w:val="231F20"/>
          <w:w w:val="105"/>
        </w:rPr>
        <w:t>forma</w:t>
      </w:r>
      <w:r>
        <w:rPr>
          <w:color w:val="231F20"/>
          <w:spacing w:val="-18"/>
          <w:w w:val="105"/>
        </w:rPr>
        <w:t> </w:t>
      </w:r>
      <w:r>
        <w:rPr>
          <w:color w:val="231F20"/>
          <w:w w:val="105"/>
        </w:rPr>
        <w:t>de</w:t>
      </w:r>
      <w:r>
        <w:rPr>
          <w:color w:val="231F20"/>
          <w:spacing w:val="-18"/>
          <w:w w:val="105"/>
        </w:rPr>
        <w:t> </w:t>
      </w:r>
      <w:r>
        <w:rPr>
          <w:color w:val="231F20"/>
          <w:w w:val="105"/>
        </w:rPr>
        <w:t>castillo</w:t>
      </w:r>
      <w:r>
        <w:rPr>
          <w:color w:val="231F20"/>
          <w:spacing w:val="-18"/>
          <w:w w:val="105"/>
        </w:rPr>
        <w:t> </w:t>
      </w:r>
      <w:r>
        <w:rPr>
          <w:color w:val="231F20"/>
          <w:w w:val="105"/>
        </w:rPr>
        <w:t>como un</w:t>
      </w:r>
      <w:r>
        <w:rPr>
          <w:color w:val="231F20"/>
          <w:spacing w:val="-19"/>
          <w:w w:val="105"/>
        </w:rPr>
        <w:t> </w:t>
      </w:r>
      <w:r>
        <w:rPr>
          <w:color w:val="231F20"/>
          <w:w w:val="105"/>
        </w:rPr>
        <w:t>importante</w:t>
      </w:r>
      <w:r>
        <w:rPr>
          <w:color w:val="231F20"/>
          <w:spacing w:val="-19"/>
          <w:w w:val="105"/>
        </w:rPr>
        <w:t> </w:t>
      </w:r>
      <w:r>
        <w:rPr>
          <w:color w:val="231F20"/>
          <w:w w:val="105"/>
        </w:rPr>
        <w:t>anhelo</w:t>
      </w:r>
      <w:r>
        <w:rPr>
          <w:color w:val="231F20"/>
          <w:spacing w:val="-19"/>
          <w:w w:val="105"/>
        </w:rPr>
        <w:t> </w:t>
      </w:r>
      <w:r>
        <w:rPr>
          <w:color w:val="231F20"/>
          <w:w w:val="105"/>
        </w:rPr>
        <w:t>a</w:t>
      </w:r>
      <w:r>
        <w:rPr>
          <w:color w:val="231F20"/>
          <w:spacing w:val="-19"/>
          <w:w w:val="105"/>
        </w:rPr>
        <w:t> </w:t>
      </w:r>
      <w:r>
        <w:rPr>
          <w:color w:val="231F20"/>
          <w:w w:val="105"/>
        </w:rPr>
        <w:t>futuro</w:t>
      </w:r>
      <w:r>
        <w:rPr>
          <w:color w:val="231F20"/>
          <w:spacing w:val="-19"/>
          <w:w w:val="105"/>
        </w:rPr>
        <w:t> </w:t>
      </w:r>
      <w:r>
        <w:rPr>
          <w:color w:val="231F20"/>
          <w:w w:val="105"/>
        </w:rPr>
        <w:t>(véase</w:t>
      </w:r>
      <w:r>
        <w:rPr>
          <w:color w:val="231F20"/>
          <w:spacing w:val="-19"/>
          <w:w w:val="105"/>
        </w:rPr>
        <w:t> </w:t>
      </w:r>
      <w:r>
        <w:rPr>
          <w:color w:val="231F20"/>
          <w:w w:val="105"/>
        </w:rPr>
        <w:t>ilustración</w:t>
      </w:r>
      <w:r>
        <w:rPr>
          <w:color w:val="231F20"/>
          <w:spacing w:val="-19"/>
          <w:w w:val="105"/>
        </w:rPr>
        <w:t> </w:t>
      </w:r>
      <w:r>
        <w:rPr>
          <w:color w:val="231F20"/>
          <w:w w:val="105"/>
        </w:rPr>
        <w:t>3).</w:t>
      </w:r>
    </w:p>
    <w:p>
      <w:pPr>
        <w:pStyle w:val="BodyText"/>
        <w:spacing w:before="4"/>
      </w:pPr>
    </w:p>
    <w:p>
      <w:pPr>
        <w:spacing w:before="0"/>
        <w:ind w:left="2693" w:right="2804" w:firstLine="0"/>
        <w:jc w:val="center"/>
        <w:rPr>
          <w:rFonts w:ascii="Arial" w:hAnsi="Arial"/>
          <w:sz w:val="18"/>
        </w:rPr>
      </w:pPr>
      <w:r>
        <w:rPr/>
        <w:drawing>
          <wp:anchor distT="0" distB="0" distL="0" distR="0" allowOverlap="1" layoutInCell="1" locked="0" behindDoc="0" simplePos="0" relativeHeight="10456">
            <wp:simplePos x="0" y="0"/>
            <wp:positionH relativeFrom="page">
              <wp:posOffset>1139699</wp:posOffset>
            </wp:positionH>
            <wp:positionV relativeFrom="paragraph">
              <wp:posOffset>219531</wp:posOffset>
            </wp:positionV>
            <wp:extent cx="4295774" cy="3333750"/>
            <wp:effectExtent l="0" t="0" r="0" b="0"/>
            <wp:wrapTopAndBottom/>
            <wp:docPr id="17" name="image16.png" descr=""/>
            <wp:cNvGraphicFramePr>
              <a:graphicFrameLocks noChangeAspect="1"/>
            </wp:cNvGraphicFramePr>
            <a:graphic>
              <a:graphicData uri="http://schemas.openxmlformats.org/drawingml/2006/picture">
                <pic:pic>
                  <pic:nvPicPr>
                    <pic:cNvPr id="18" name="image16.png"/>
                    <pic:cNvPicPr/>
                  </pic:nvPicPr>
                  <pic:blipFill>
                    <a:blip r:embed="rId90" cstate="print"/>
                    <a:stretch>
                      <a:fillRect/>
                    </a:stretch>
                  </pic:blipFill>
                  <pic:spPr>
                    <a:xfrm>
                      <a:off x="0" y="0"/>
                      <a:ext cx="4295774" cy="3333750"/>
                    </a:xfrm>
                    <a:prstGeom prst="rect">
                      <a:avLst/>
                    </a:prstGeom>
                  </pic:spPr>
                </pic:pic>
              </a:graphicData>
            </a:graphic>
          </wp:anchor>
        </w:drawing>
      </w:r>
      <w:r>
        <w:rPr>
          <w:rFonts w:ascii="Arial" w:hAnsi="Arial"/>
          <w:color w:val="231F20"/>
          <w:w w:val="105"/>
          <w:sz w:val="18"/>
        </w:rPr>
        <w:t>Ilustración 3</w:t>
      </w:r>
    </w:p>
    <w:p>
      <w:pPr>
        <w:spacing w:before="51"/>
        <w:ind w:left="1723" w:right="0" w:firstLine="0"/>
        <w:jc w:val="both"/>
        <w:rPr>
          <w:sz w:val="16"/>
        </w:rPr>
      </w:pPr>
      <w:r>
        <w:rPr>
          <w:color w:val="231F20"/>
          <w:sz w:val="16"/>
        </w:rPr>
        <w:t>(Niño, 9 años)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79704" from="131.551193pt,.203715pt" to="131.551193pt,36.006114pt" stroked="true" strokeweight=".35pt" strokecolor="#231f20">
            <w10:wrap type="none"/>
          </v:line>
        </w:pict>
      </w:r>
      <w:r>
        <w:rPr/>
        <w:pict>
          <v:line style="position:absolute;mso-position-horizontal-relative:page;mso-position-vertical-relative:paragraph;z-index:-479632" from="15pt,36.005917pt" to="0pt,36.005917pt" stroked="true" strokeweight=".25pt" strokecolor="#000000">
            <w10:wrap type="none"/>
          </v:line>
        </w:pict>
      </w:r>
      <w:r>
        <w:rPr/>
        <w:pict>
          <v:line style="position:absolute;mso-position-horizontal-relative:page;mso-position-vertical-relative:paragraph;z-index:10576" from="508.890015pt,36.005917pt" to="523.890015pt,36.005917pt" stroked="true" strokeweight=".25pt" strokecolor="#000000">
            <w10:wrap type="none"/>
          </v:line>
        </w:pict>
      </w:r>
      <w:r>
        <w:rPr>
          <w:rFonts w:ascii="Arial" w:hAnsi="Arial"/>
          <w:color w:val="414042"/>
          <w:position w:val="-5"/>
          <w:sz w:val="20"/>
        </w:rPr>
        <w:t>104</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755" w:right="0" w:firstLine="0"/>
        <w:jc w:val="left"/>
        <w:rPr>
          <w:rFonts w:ascii="Arial" w:hAnsi="Arial"/>
          <w:sz w:val="20"/>
        </w:rPr>
      </w:pPr>
      <w:r>
        <w:rPr/>
        <w:pict>
          <v:line style="position:absolute;mso-position-horizontal-relative:page;mso-position-vertical-relative:paragraph;z-index:-479584" from="405.061005pt,-18.554295pt" to="405.061005pt,16.311579pt" stroked="true" strokeweight=".35pt" strokecolor="#231f20">
            <w10:wrap type="none"/>
          </v:line>
        </w:pict>
      </w:r>
      <w:r>
        <w:rPr/>
        <w:pict>
          <v:line style="position:absolute;mso-position-horizontal-relative:page;mso-position-vertical-relative:paragraph;z-index:10624" from="15pt,-18.554522pt" to="0pt,-18.554522pt" stroked="true" strokeweight=".25pt" strokecolor="#000000">
            <w10:wrap type="none"/>
          </v:line>
        </w:pict>
      </w:r>
      <w:r>
        <w:rPr/>
        <w:pict>
          <v:line style="position:absolute;mso-position-horizontal-relative:page;mso-position-vertical-relative:paragraph;z-index:10648"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105</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rPr>
        <w:t>El siguiente testimonio da mayor claridad respecto a la necesidad de mi- grar y capitalizarse para ser exitoso en el futuro, frente a la forma en que se percibe la escuela:</w:t>
      </w:r>
    </w:p>
    <w:p>
      <w:pPr>
        <w:pStyle w:val="BodyText"/>
        <w:spacing w:before="4"/>
        <w:rPr>
          <w:sz w:val="18"/>
        </w:rPr>
      </w:pPr>
    </w:p>
    <w:p>
      <w:pPr>
        <w:spacing w:line="254" w:lineRule="auto" w:before="0"/>
        <w:ind w:left="2971" w:right="1720" w:firstLine="0"/>
        <w:jc w:val="both"/>
        <w:rPr>
          <w:sz w:val="18"/>
        </w:rPr>
      </w:pPr>
      <w:r>
        <w:rPr>
          <w:rFonts w:ascii="Arial" w:hAnsi="Arial"/>
          <w:i/>
          <w:color w:val="231F20"/>
          <w:w w:val="105"/>
          <w:sz w:val="18"/>
        </w:rPr>
        <w:t>¿Y</w:t>
      </w:r>
      <w:r>
        <w:rPr>
          <w:rFonts w:ascii="Arial" w:hAnsi="Arial"/>
          <w:i/>
          <w:color w:val="231F20"/>
          <w:spacing w:val="-15"/>
          <w:w w:val="105"/>
          <w:sz w:val="18"/>
        </w:rPr>
        <w:t> </w:t>
      </w:r>
      <w:r>
        <w:rPr>
          <w:rFonts w:ascii="Arial" w:hAnsi="Arial"/>
          <w:i/>
          <w:color w:val="231F20"/>
          <w:w w:val="105"/>
          <w:sz w:val="18"/>
        </w:rPr>
        <w:t>por</w:t>
      </w:r>
      <w:r>
        <w:rPr>
          <w:rFonts w:ascii="Arial" w:hAnsi="Arial"/>
          <w:i/>
          <w:color w:val="231F20"/>
          <w:spacing w:val="-12"/>
          <w:w w:val="105"/>
          <w:sz w:val="18"/>
        </w:rPr>
        <w:t> </w:t>
      </w:r>
      <w:r>
        <w:rPr>
          <w:rFonts w:ascii="Arial" w:hAnsi="Arial"/>
          <w:i/>
          <w:color w:val="231F20"/>
          <w:w w:val="105"/>
          <w:sz w:val="18"/>
        </w:rPr>
        <w:t>qué</w:t>
      </w:r>
      <w:r>
        <w:rPr>
          <w:rFonts w:ascii="Arial" w:hAnsi="Arial"/>
          <w:i/>
          <w:color w:val="231F20"/>
          <w:spacing w:val="-12"/>
          <w:w w:val="105"/>
          <w:sz w:val="18"/>
        </w:rPr>
        <w:t> </w:t>
      </w:r>
      <w:r>
        <w:rPr>
          <w:rFonts w:ascii="Arial" w:hAnsi="Arial"/>
          <w:i/>
          <w:color w:val="231F20"/>
          <w:w w:val="105"/>
          <w:sz w:val="18"/>
        </w:rPr>
        <w:t>dices</w:t>
      </w:r>
      <w:r>
        <w:rPr>
          <w:rFonts w:ascii="Arial" w:hAnsi="Arial"/>
          <w:i/>
          <w:color w:val="231F20"/>
          <w:spacing w:val="-12"/>
          <w:w w:val="105"/>
          <w:sz w:val="18"/>
        </w:rPr>
        <w:t> </w:t>
      </w:r>
      <w:r>
        <w:rPr>
          <w:rFonts w:ascii="Arial" w:hAnsi="Arial"/>
          <w:i/>
          <w:color w:val="231F20"/>
          <w:w w:val="105"/>
          <w:sz w:val="18"/>
        </w:rPr>
        <w:t>que</w:t>
      </w:r>
      <w:r>
        <w:rPr>
          <w:rFonts w:ascii="Arial" w:hAnsi="Arial"/>
          <w:i/>
          <w:color w:val="231F20"/>
          <w:spacing w:val="-12"/>
          <w:w w:val="105"/>
          <w:sz w:val="18"/>
        </w:rPr>
        <w:t> </w:t>
      </w:r>
      <w:r>
        <w:rPr>
          <w:rFonts w:ascii="Arial" w:hAnsi="Arial"/>
          <w:i/>
          <w:color w:val="231F20"/>
          <w:w w:val="105"/>
          <w:sz w:val="18"/>
        </w:rPr>
        <w:t>no</w:t>
      </w:r>
      <w:r>
        <w:rPr>
          <w:rFonts w:ascii="Arial" w:hAnsi="Arial"/>
          <w:i/>
          <w:color w:val="231F20"/>
          <w:spacing w:val="-12"/>
          <w:w w:val="105"/>
          <w:sz w:val="18"/>
        </w:rPr>
        <w:t> </w:t>
      </w:r>
      <w:r>
        <w:rPr>
          <w:rFonts w:ascii="Arial" w:hAnsi="Arial"/>
          <w:i/>
          <w:color w:val="231F20"/>
          <w:w w:val="105"/>
          <w:sz w:val="18"/>
        </w:rPr>
        <w:t>te</w:t>
      </w:r>
      <w:r>
        <w:rPr>
          <w:rFonts w:ascii="Arial" w:hAnsi="Arial"/>
          <w:i/>
          <w:color w:val="231F20"/>
          <w:spacing w:val="-12"/>
          <w:w w:val="105"/>
          <w:sz w:val="18"/>
        </w:rPr>
        <w:t> </w:t>
      </w:r>
      <w:r>
        <w:rPr>
          <w:rFonts w:ascii="Arial" w:hAnsi="Arial"/>
          <w:i/>
          <w:color w:val="231F20"/>
          <w:w w:val="105"/>
          <w:sz w:val="18"/>
        </w:rPr>
        <w:t>gusta</w:t>
      </w:r>
      <w:r>
        <w:rPr>
          <w:rFonts w:ascii="Arial" w:hAnsi="Arial"/>
          <w:i/>
          <w:color w:val="231F20"/>
          <w:spacing w:val="-12"/>
          <w:w w:val="105"/>
          <w:sz w:val="18"/>
        </w:rPr>
        <w:t> </w:t>
      </w:r>
      <w:r>
        <w:rPr>
          <w:rFonts w:ascii="Arial" w:hAnsi="Arial"/>
          <w:i/>
          <w:color w:val="231F20"/>
          <w:w w:val="105"/>
          <w:sz w:val="18"/>
        </w:rPr>
        <w:t>la</w:t>
      </w:r>
      <w:r>
        <w:rPr>
          <w:rFonts w:ascii="Arial" w:hAnsi="Arial"/>
          <w:i/>
          <w:color w:val="231F20"/>
          <w:spacing w:val="-12"/>
          <w:w w:val="105"/>
          <w:sz w:val="18"/>
        </w:rPr>
        <w:t> </w:t>
      </w:r>
      <w:r>
        <w:rPr>
          <w:rFonts w:ascii="Arial" w:hAnsi="Arial"/>
          <w:i/>
          <w:color w:val="231F20"/>
          <w:w w:val="105"/>
          <w:sz w:val="18"/>
        </w:rPr>
        <w:t>escuela?</w:t>
      </w:r>
      <w:r>
        <w:rPr>
          <w:rFonts w:ascii="Arial" w:hAnsi="Arial"/>
          <w:i/>
          <w:color w:val="231F20"/>
          <w:spacing w:val="-12"/>
          <w:w w:val="105"/>
          <w:sz w:val="18"/>
        </w:rPr>
        <w:t> </w:t>
      </w:r>
      <w:r>
        <w:rPr>
          <w:color w:val="231F20"/>
          <w:spacing w:val="-3"/>
          <w:w w:val="105"/>
          <w:sz w:val="18"/>
        </w:rPr>
        <w:t>Porque</w:t>
      </w:r>
      <w:r>
        <w:rPr>
          <w:color w:val="231F20"/>
          <w:spacing w:val="-10"/>
          <w:w w:val="105"/>
          <w:sz w:val="18"/>
        </w:rPr>
        <w:t> </w:t>
      </w:r>
      <w:r>
        <w:rPr>
          <w:color w:val="231F20"/>
          <w:w w:val="105"/>
          <w:sz w:val="18"/>
        </w:rPr>
        <w:t>no</w:t>
      </w:r>
      <w:r>
        <w:rPr>
          <w:color w:val="231F20"/>
          <w:spacing w:val="-10"/>
          <w:w w:val="105"/>
          <w:sz w:val="18"/>
        </w:rPr>
        <w:t> </w:t>
      </w:r>
      <w:r>
        <w:rPr>
          <w:color w:val="231F20"/>
          <w:w w:val="105"/>
          <w:sz w:val="18"/>
        </w:rPr>
        <w:t>me</w:t>
      </w:r>
      <w:r>
        <w:rPr>
          <w:color w:val="231F20"/>
          <w:spacing w:val="-10"/>
          <w:w w:val="105"/>
          <w:sz w:val="18"/>
        </w:rPr>
        <w:t> </w:t>
      </w:r>
      <w:r>
        <w:rPr>
          <w:color w:val="231F20"/>
          <w:w w:val="105"/>
          <w:sz w:val="18"/>
        </w:rPr>
        <w:t>gano</w:t>
      </w:r>
      <w:r>
        <w:rPr>
          <w:color w:val="231F20"/>
          <w:spacing w:val="-10"/>
          <w:w w:val="105"/>
          <w:sz w:val="18"/>
        </w:rPr>
        <w:t> </w:t>
      </w:r>
      <w:r>
        <w:rPr>
          <w:color w:val="231F20"/>
          <w:w w:val="105"/>
          <w:sz w:val="18"/>
        </w:rPr>
        <w:t>el</w:t>
      </w:r>
      <w:r>
        <w:rPr>
          <w:color w:val="231F20"/>
          <w:spacing w:val="-10"/>
          <w:w w:val="105"/>
          <w:sz w:val="18"/>
        </w:rPr>
        <w:t> </w:t>
      </w:r>
      <w:r>
        <w:rPr>
          <w:color w:val="231F20"/>
          <w:w w:val="105"/>
          <w:sz w:val="18"/>
        </w:rPr>
        <w:t>di- nero</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flor,</w:t>
      </w:r>
      <w:r>
        <w:rPr>
          <w:color w:val="231F20"/>
          <w:spacing w:val="-19"/>
          <w:w w:val="105"/>
          <w:sz w:val="18"/>
        </w:rPr>
        <w:t> </w:t>
      </w:r>
      <w:r>
        <w:rPr>
          <w:color w:val="231F20"/>
          <w:w w:val="105"/>
          <w:sz w:val="18"/>
        </w:rPr>
        <w:t>y</w:t>
      </w:r>
      <w:r>
        <w:rPr>
          <w:color w:val="231F20"/>
          <w:spacing w:val="-14"/>
          <w:w w:val="105"/>
          <w:sz w:val="18"/>
        </w:rPr>
        <w:t> </w:t>
      </w:r>
      <w:r>
        <w:rPr>
          <w:color w:val="231F20"/>
          <w:w w:val="105"/>
          <w:sz w:val="18"/>
        </w:rPr>
        <w:t>luego</w:t>
      </w:r>
      <w:r>
        <w:rPr>
          <w:color w:val="231F20"/>
          <w:spacing w:val="-14"/>
          <w:w w:val="105"/>
          <w:sz w:val="18"/>
        </w:rPr>
        <w:t> </w:t>
      </w:r>
      <w:r>
        <w:rPr>
          <w:color w:val="231F20"/>
          <w:w w:val="105"/>
          <w:sz w:val="18"/>
        </w:rPr>
        <w:t>imagínese</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me</w:t>
      </w:r>
      <w:r>
        <w:rPr>
          <w:color w:val="231F20"/>
          <w:spacing w:val="-14"/>
          <w:w w:val="105"/>
          <w:sz w:val="18"/>
        </w:rPr>
        <w:t> </w:t>
      </w:r>
      <w:r>
        <w:rPr>
          <w:color w:val="231F20"/>
          <w:w w:val="105"/>
          <w:sz w:val="18"/>
        </w:rPr>
        <w:t>paso</w:t>
      </w:r>
      <w:r>
        <w:rPr>
          <w:color w:val="231F20"/>
          <w:spacing w:val="-14"/>
          <w:w w:val="105"/>
          <w:sz w:val="18"/>
        </w:rPr>
        <w:t> </w:t>
      </w:r>
      <w:r>
        <w:rPr>
          <w:color w:val="231F20"/>
          <w:w w:val="105"/>
          <w:sz w:val="18"/>
        </w:rPr>
        <w:t>estudiando</w:t>
      </w:r>
      <w:r>
        <w:rPr>
          <w:color w:val="231F20"/>
          <w:spacing w:val="-14"/>
          <w:w w:val="105"/>
          <w:sz w:val="18"/>
        </w:rPr>
        <w:t> </w:t>
      </w:r>
      <w:r>
        <w:rPr>
          <w:color w:val="231F20"/>
          <w:w w:val="105"/>
          <w:sz w:val="18"/>
        </w:rPr>
        <w:t>hasta</w:t>
      </w:r>
      <w:r>
        <w:rPr>
          <w:color w:val="231F20"/>
          <w:spacing w:val="-14"/>
          <w:w w:val="105"/>
          <w:sz w:val="18"/>
        </w:rPr>
        <w:t> </w:t>
      </w:r>
      <w:r>
        <w:rPr>
          <w:color w:val="231F20"/>
          <w:w w:val="105"/>
          <w:sz w:val="18"/>
        </w:rPr>
        <w:t>los</w:t>
      </w:r>
      <w:r>
        <w:rPr>
          <w:color w:val="231F20"/>
          <w:spacing w:val="-14"/>
          <w:w w:val="105"/>
          <w:sz w:val="18"/>
        </w:rPr>
        <w:t> </w:t>
      </w:r>
      <w:r>
        <w:rPr>
          <w:color w:val="231F20"/>
          <w:w w:val="105"/>
          <w:sz w:val="18"/>
        </w:rPr>
        <w:t>20 y</w:t>
      </w:r>
      <w:r>
        <w:rPr>
          <w:color w:val="231F20"/>
          <w:spacing w:val="-8"/>
          <w:w w:val="105"/>
          <w:sz w:val="18"/>
        </w:rPr>
        <w:t> </w:t>
      </w:r>
      <w:r>
        <w:rPr>
          <w:color w:val="231F20"/>
          <w:w w:val="105"/>
          <w:sz w:val="18"/>
        </w:rPr>
        <w:t>no</w:t>
      </w:r>
      <w:r>
        <w:rPr>
          <w:color w:val="231F20"/>
          <w:spacing w:val="-8"/>
          <w:w w:val="105"/>
          <w:sz w:val="18"/>
        </w:rPr>
        <w:t> </w:t>
      </w:r>
      <w:r>
        <w:rPr>
          <w:color w:val="231F20"/>
          <w:w w:val="105"/>
          <w:sz w:val="18"/>
        </w:rPr>
        <w:t>puedo</w:t>
      </w:r>
      <w:r>
        <w:rPr>
          <w:color w:val="231F20"/>
          <w:spacing w:val="-8"/>
          <w:w w:val="105"/>
          <w:sz w:val="18"/>
        </w:rPr>
        <w:t> </w:t>
      </w:r>
      <w:r>
        <w:rPr>
          <w:color w:val="231F20"/>
          <w:w w:val="105"/>
          <w:sz w:val="18"/>
        </w:rPr>
        <w:t>ni</w:t>
      </w:r>
      <w:r>
        <w:rPr>
          <w:color w:val="231F20"/>
          <w:spacing w:val="-8"/>
          <w:w w:val="105"/>
          <w:sz w:val="18"/>
        </w:rPr>
        <w:t> </w:t>
      </w:r>
      <w:r>
        <w:rPr>
          <w:color w:val="231F20"/>
          <w:w w:val="105"/>
          <w:sz w:val="18"/>
        </w:rPr>
        <w:t>ahorrar.</w:t>
      </w:r>
      <w:r>
        <w:rPr>
          <w:color w:val="231F20"/>
          <w:spacing w:val="-13"/>
          <w:w w:val="105"/>
          <w:sz w:val="18"/>
        </w:rPr>
        <w:t> </w:t>
      </w:r>
      <w:r>
        <w:rPr>
          <w:color w:val="231F20"/>
          <w:w w:val="105"/>
          <w:sz w:val="18"/>
        </w:rPr>
        <w:t>No</w:t>
      </w:r>
      <w:r>
        <w:rPr>
          <w:color w:val="231F20"/>
          <w:spacing w:val="-8"/>
          <w:w w:val="105"/>
          <w:sz w:val="18"/>
        </w:rPr>
        <w:t> </w:t>
      </w:r>
      <w:r>
        <w:rPr>
          <w:color w:val="231F20"/>
          <w:w w:val="105"/>
          <w:sz w:val="18"/>
        </w:rPr>
        <w:t>voy</w:t>
      </w:r>
      <w:r>
        <w:rPr>
          <w:color w:val="231F20"/>
          <w:spacing w:val="-8"/>
          <w:w w:val="105"/>
          <w:sz w:val="18"/>
        </w:rPr>
        <w:t> </w:t>
      </w:r>
      <w:r>
        <w:rPr>
          <w:color w:val="231F20"/>
          <w:w w:val="105"/>
          <w:sz w:val="18"/>
        </w:rPr>
        <w:t>a</w:t>
      </w:r>
      <w:r>
        <w:rPr>
          <w:color w:val="231F20"/>
          <w:spacing w:val="-8"/>
          <w:w w:val="105"/>
          <w:sz w:val="18"/>
        </w:rPr>
        <w:t> </w:t>
      </w:r>
      <w:r>
        <w:rPr>
          <w:color w:val="231F20"/>
          <w:w w:val="105"/>
          <w:sz w:val="18"/>
        </w:rPr>
        <w:t>poder</w:t>
      </w:r>
      <w:r>
        <w:rPr>
          <w:color w:val="231F20"/>
          <w:spacing w:val="-8"/>
          <w:w w:val="105"/>
          <w:sz w:val="18"/>
        </w:rPr>
        <w:t> </w:t>
      </w:r>
      <w:r>
        <w:rPr>
          <w:color w:val="231F20"/>
          <w:w w:val="105"/>
          <w:sz w:val="18"/>
        </w:rPr>
        <w:t>hacer</w:t>
      </w:r>
      <w:r>
        <w:rPr>
          <w:color w:val="231F20"/>
          <w:spacing w:val="-8"/>
          <w:w w:val="105"/>
          <w:sz w:val="18"/>
        </w:rPr>
        <w:t> </w:t>
      </w:r>
      <w:r>
        <w:rPr>
          <w:color w:val="231F20"/>
          <w:w w:val="105"/>
          <w:sz w:val="18"/>
        </w:rPr>
        <w:t>mi</w:t>
      </w:r>
      <w:r>
        <w:rPr>
          <w:color w:val="231F20"/>
          <w:spacing w:val="-8"/>
          <w:w w:val="105"/>
          <w:sz w:val="18"/>
        </w:rPr>
        <w:t> </w:t>
      </w:r>
      <w:r>
        <w:rPr>
          <w:color w:val="231F20"/>
          <w:w w:val="105"/>
          <w:sz w:val="18"/>
        </w:rPr>
        <w:t>invernadero.</w:t>
      </w:r>
    </w:p>
    <w:p>
      <w:pPr>
        <w:spacing w:line="254" w:lineRule="auto" w:before="110"/>
        <w:ind w:left="2971" w:right="1716" w:firstLine="0"/>
        <w:jc w:val="both"/>
        <w:rPr>
          <w:sz w:val="18"/>
        </w:rPr>
      </w:pPr>
      <w:r>
        <w:rPr>
          <w:rFonts w:ascii="Arial" w:hAnsi="Arial"/>
          <w:i/>
          <w:color w:val="231F20"/>
          <w:w w:val="105"/>
          <w:sz w:val="18"/>
        </w:rPr>
        <w:t>¿Y</w:t>
      </w:r>
      <w:r>
        <w:rPr>
          <w:rFonts w:ascii="Arial" w:hAnsi="Arial"/>
          <w:i/>
          <w:color w:val="231F20"/>
          <w:spacing w:val="-25"/>
          <w:w w:val="105"/>
          <w:sz w:val="18"/>
        </w:rPr>
        <w:t> </w:t>
      </w:r>
      <w:r>
        <w:rPr>
          <w:rFonts w:ascii="Arial" w:hAnsi="Arial"/>
          <w:i/>
          <w:color w:val="231F20"/>
          <w:w w:val="105"/>
          <w:sz w:val="18"/>
        </w:rPr>
        <w:t>si</w:t>
      </w:r>
      <w:r>
        <w:rPr>
          <w:rFonts w:ascii="Arial" w:hAnsi="Arial"/>
          <w:i/>
          <w:color w:val="231F20"/>
          <w:spacing w:val="-22"/>
          <w:w w:val="105"/>
          <w:sz w:val="18"/>
        </w:rPr>
        <w:t> </w:t>
      </w:r>
      <w:r>
        <w:rPr>
          <w:rFonts w:ascii="Arial" w:hAnsi="Arial"/>
          <w:i/>
          <w:color w:val="231F20"/>
          <w:w w:val="105"/>
          <w:sz w:val="18"/>
        </w:rPr>
        <w:t>te</w:t>
      </w:r>
      <w:r>
        <w:rPr>
          <w:rFonts w:ascii="Arial" w:hAnsi="Arial"/>
          <w:i/>
          <w:color w:val="231F20"/>
          <w:spacing w:val="-22"/>
          <w:w w:val="105"/>
          <w:sz w:val="18"/>
        </w:rPr>
        <w:t> </w:t>
      </w:r>
      <w:r>
        <w:rPr>
          <w:rFonts w:ascii="Arial" w:hAnsi="Arial"/>
          <w:i/>
          <w:color w:val="231F20"/>
          <w:w w:val="105"/>
          <w:sz w:val="18"/>
        </w:rPr>
        <w:t>vas</w:t>
      </w:r>
      <w:r>
        <w:rPr>
          <w:rFonts w:ascii="Arial" w:hAnsi="Arial"/>
          <w:i/>
          <w:color w:val="231F20"/>
          <w:spacing w:val="-22"/>
          <w:w w:val="105"/>
          <w:sz w:val="18"/>
        </w:rPr>
        <w:t> </w:t>
      </w:r>
      <w:r>
        <w:rPr>
          <w:rFonts w:ascii="Arial" w:hAnsi="Arial"/>
          <w:i/>
          <w:color w:val="231F20"/>
          <w:w w:val="105"/>
          <w:sz w:val="18"/>
        </w:rPr>
        <w:t>para</w:t>
      </w:r>
      <w:r>
        <w:rPr>
          <w:rFonts w:ascii="Arial" w:hAnsi="Arial"/>
          <w:i/>
          <w:color w:val="231F20"/>
          <w:spacing w:val="-22"/>
          <w:w w:val="105"/>
          <w:sz w:val="18"/>
        </w:rPr>
        <w:t> </w:t>
      </w:r>
      <w:r>
        <w:rPr>
          <w:rFonts w:ascii="Arial" w:hAnsi="Arial"/>
          <w:i/>
          <w:color w:val="231F20"/>
          <w:w w:val="105"/>
          <w:sz w:val="18"/>
        </w:rPr>
        <w:t>el</w:t>
      </w:r>
      <w:r>
        <w:rPr>
          <w:rFonts w:ascii="Arial" w:hAnsi="Arial"/>
          <w:i/>
          <w:color w:val="231F20"/>
          <w:spacing w:val="-22"/>
          <w:w w:val="105"/>
          <w:sz w:val="18"/>
        </w:rPr>
        <w:t> </w:t>
      </w:r>
      <w:r>
        <w:rPr>
          <w:rFonts w:ascii="Arial" w:hAnsi="Arial"/>
          <w:i/>
          <w:color w:val="231F20"/>
          <w:w w:val="105"/>
          <w:sz w:val="18"/>
        </w:rPr>
        <w:t>otro</w:t>
      </w:r>
      <w:r>
        <w:rPr>
          <w:rFonts w:ascii="Arial" w:hAnsi="Arial"/>
          <w:i/>
          <w:color w:val="231F20"/>
          <w:spacing w:val="-22"/>
          <w:w w:val="105"/>
          <w:sz w:val="18"/>
        </w:rPr>
        <w:t> </w:t>
      </w:r>
      <w:r>
        <w:rPr>
          <w:rFonts w:ascii="Arial" w:hAnsi="Arial"/>
          <w:i/>
          <w:color w:val="231F20"/>
          <w:w w:val="105"/>
          <w:sz w:val="18"/>
        </w:rPr>
        <w:t>lado</w:t>
      </w:r>
      <w:r>
        <w:rPr>
          <w:rFonts w:ascii="Arial" w:hAnsi="Arial"/>
          <w:i/>
          <w:color w:val="231F20"/>
          <w:spacing w:val="-22"/>
          <w:w w:val="105"/>
          <w:sz w:val="18"/>
        </w:rPr>
        <w:t> </w:t>
      </w:r>
      <w:r>
        <w:rPr>
          <w:rFonts w:ascii="Arial" w:hAnsi="Arial"/>
          <w:i/>
          <w:color w:val="231F20"/>
          <w:w w:val="105"/>
          <w:sz w:val="18"/>
        </w:rPr>
        <w:t>cuándo</w:t>
      </w:r>
      <w:r>
        <w:rPr>
          <w:rFonts w:ascii="Arial" w:hAnsi="Arial"/>
          <w:i/>
          <w:color w:val="231F20"/>
          <w:spacing w:val="-22"/>
          <w:w w:val="105"/>
          <w:sz w:val="18"/>
        </w:rPr>
        <w:t> </w:t>
      </w:r>
      <w:r>
        <w:rPr>
          <w:rFonts w:ascii="Arial" w:hAnsi="Arial"/>
          <w:i/>
          <w:color w:val="231F20"/>
          <w:w w:val="105"/>
          <w:sz w:val="18"/>
        </w:rPr>
        <w:t>sería?</w:t>
      </w:r>
      <w:r>
        <w:rPr>
          <w:rFonts w:ascii="Arial" w:hAnsi="Arial"/>
          <w:i/>
          <w:color w:val="231F20"/>
          <w:spacing w:val="-22"/>
          <w:w w:val="105"/>
          <w:sz w:val="18"/>
        </w:rPr>
        <w:t> </w:t>
      </w:r>
      <w:r>
        <w:rPr>
          <w:color w:val="231F20"/>
          <w:spacing w:val="-3"/>
          <w:w w:val="105"/>
          <w:sz w:val="18"/>
        </w:rPr>
        <w:t>Todavía</w:t>
      </w:r>
      <w:r>
        <w:rPr>
          <w:color w:val="231F20"/>
          <w:spacing w:val="-19"/>
          <w:w w:val="105"/>
          <w:sz w:val="18"/>
        </w:rPr>
        <w:t> </w:t>
      </w:r>
      <w:r>
        <w:rPr>
          <w:color w:val="231F20"/>
          <w:w w:val="105"/>
          <w:sz w:val="18"/>
        </w:rPr>
        <w:t>no</w:t>
      </w:r>
      <w:r>
        <w:rPr>
          <w:color w:val="231F20"/>
          <w:spacing w:val="-19"/>
          <w:w w:val="105"/>
          <w:sz w:val="18"/>
        </w:rPr>
        <w:t> </w:t>
      </w:r>
      <w:r>
        <w:rPr>
          <w:color w:val="231F20"/>
          <w:w w:val="105"/>
          <w:sz w:val="18"/>
        </w:rPr>
        <w:t>sé,</w:t>
      </w:r>
      <w:r>
        <w:rPr>
          <w:color w:val="231F20"/>
          <w:spacing w:val="-23"/>
          <w:w w:val="105"/>
          <w:sz w:val="18"/>
        </w:rPr>
        <w:t> </w:t>
      </w:r>
      <w:r>
        <w:rPr>
          <w:color w:val="231F20"/>
          <w:w w:val="105"/>
          <w:sz w:val="18"/>
        </w:rPr>
        <w:t>depende</w:t>
      </w:r>
      <w:r>
        <w:rPr>
          <w:color w:val="231F20"/>
          <w:spacing w:val="-19"/>
          <w:w w:val="105"/>
          <w:sz w:val="18"/>
        </w:rPr>
        <w:t> </w:t>
      </w:r>
      <w:r>
        <w:rPr>
          <w:color w:val="231F20"/>
          <w:w w:val="105"/>
          <w:sz w:val="18"/>
        </w:rPr>
        <w:t>qué me diga mi mamá. Allá vive mi primo, se fue hace poquito a Chicago, dice</w:t>
      </w:r>
      <w:r>
        <w:rPr>
          <w:color w:val="231F20"/>
          <w:spacing w:val="-10"/>
          <w:w w:val="105"/>
          <w:sz w:val="18"/>
        </w:rPr>
        <w:t> </w:t>
      </w:r>
      <w:r>
        <w:rPr>
          <w:color w:val="231F20"/>
          <w:w w:val="105"/>
          <w:sz w:val="18"/>
        </w:rPr>
        <w:t>mi</w:t>
      </w:r>
      <w:r>
        <w:rPr>
          <w:color w:val="231F20"/>
          <w:spacing w:val="-10"/>
          <w:w w:val="105"/>
          <w:sz w:val="18"/>
        </w:rPr>
        <w:t> </w:t>
      </w:r>
      <w:r>
        <w:rPr>
          <w:color w:val="231F20"/>
          <w:w w:val="105"/>
          <w:sz w:val="18"/>
        </w:rPr>
        <w:t>mamá</w:t>
      </w:r>
      <w:r>
        <w:rPr>
          <w:color w:val="231F20"/>
          <w:spacing w:val="-10"/>
          <w:w w:val="105"/>
          <w:sz w:val="18"/>
        </w:rPr>
        <w:t> </w:t>
      </w:r>
      <w:r>
        <w:rPr>
          <w:color w:val="231F20"/>
          <w:w w:val="105"/>
          <w:sz w:val="18"/>
        </w:rPr>
        <w:t>que</w:t>
      </w:r>
      <w:r>
        <w:rPr>
          <w:color w:val="231F20"/>
          <w:spacing w:val="-10"/>
          <w:w w:val="105"/>
          <w:sz w:val="18"/>
        </w:rPr>
        <w:t> </w:t>
      </w:r>
      <w:r>
        <w:rPr>
          <w:color w:val="231F20"/>
          <w:w w:val="105"/>
          <w:sz w:val="18"/>
        </w:rPr>
        <w:t>mejor</w:t>
      </w:r>
      <w:r>
        <w:rPr>
          <w:color w:val="231F20"/>
          <w:spacing w:val="-10"/>
          <w:w w:val="105"/>
          <w:sz w:val="18"/>
        </w:rPr>
        <w:t> </w:t>
      </w:r>
      <w:r>
        <w:rPr>
          <w:color w:val="231F20"/>
          <w:w w:val="105"/>
          <w:sz w:val="18"/>
        </w:rPr>
        <w:t>me</w:t>
      </w:r>
      <w:r>
        <w:rPr>
          <w:color w:val="231F20"/>
          <w:spacing w:val="-10"/>
          <w:w w:val="105"/>
          <w:sz w:val="18"/>
        </w:rPr>
        <w:t> </w:t>
      </w:r>
      <w:r>
        <w:rPr>
          <w:color w:val="231F20"/>
          <w:w w:val="105"/>
          <w:sz w:val="18"/>
        </w:rPr>
        <w:t>espere</w:t>
      </w:r>
      <w:r>
        <w:rPr>
          <w:color w:val="231F20"/>
          <w:spacing w:val="-10"/>
          <w:w w:val="105"/>
          <w:sz w:val="18"/>
        </w:rPr>
        <w:t> </w:t>
      </w:r>
      <w:r>
        <w:rPr>
          <w:color w:val="231F20"/>
          <w:w w:val="105"/>
          <w:sz w:val="18"/>
        </w:rPr>
        <w:t>para</w:t>
      </w:r>
      <w:r>
        <w:rPr>
          <w:color w:val="231F20"/>
          <w:spacing w:val="-10"/>
          <w:w w:val="105"/>
          <w:sz w:val="18"/>
        </w:rPr>
        <w:t> </w:t>
      </w:r>
      <w:r>
        <w:rPr>
          <w:color w:val="231F20"/>
          <w:w w:val="105"/>
          <w:sz w:val="18"/>
        </w:rPr>
        <w:t>saber</w:t>
      </w:r>
      <w:r>
        <w:rPr>
          <w:color w:val="231F20"/>
          <w:spacing w:val="-10"/>
          <w:w w:val="105"/>
          <w:sz w:val="18"/>
        </w:rPr>
        <w:t> </w:t>
      </w:r>
      <w:r>
        <w:rPr>
          <w:color w:val="231F20"/>
          <w:w w:val="105"/>
          <w:sz w:val="18"/>
        </w:rPr>
        <w:t>si</w:t>
      </w:r>
      <w:r>
        <w:rPr>
          <w:color w:val="231F20"/>
          <w:spacing w:val="-10"/>
          <w:w w:val="105"/>
          <w:sz w:val="18"/>
        </w:rPr>
        <w:t> </w:t>
      </w:r>
      <w:r>
        <w:rPr>
          <w:color w:val="231F20"/>
          <w:w w:val="105"/>
          <w:sz w:val="18"/>
        </w:rPr>
        <w:t>a</w:t>
      </w:r>
      <w:r>
        <w:rPr>
          <w:color w:val="231F20"/>
          <w:spacing w:val="-10"/>
          <w:w w:val="105"/>
          <w:sz w:val="18"/>
        </w:rPr>
        <w:t> </w:t>
      </w:r>
      <w:r>
        <w:rPr>
          <w:color w:val="231F20"/>
          <w:w w:val="105"/>
          <w:sz w:val="18"/>
        </w:rPr>
        <w:t>él</w:t>
      </w:r>
      <w:r>
        <w:rPr>
          <w:color w:val="231F20"/>
          <w:spacing w:val="-10"/>
          <w:w w:val="105"/>
          <w:sz w:val="18"/>
        </w:rPr>
        <w:t> </w:t>
      </w:r>
      <w:r>
        <w:rPr>
          <w:color w:val="231F20"/>
          <w:w w:val="105"/>
          <w:sz w:val="18"/>
        </w:rPr>
        <w:t>le</w:t>
      </w:r>
      <w:r>
        <w:rPr>
          <w:color w:val="231F20"/>
          <w:spacing w:val="-10"/>
          <w:w w:val="105"/>
          <w:sz w:val="18"/>
        </w:rPr>
        <w:t> </w:t>
      </w:r>
      <w:r>
        <w:rPr>
          <w:color w:val="231F20"/>
          <w:w w:val="105"/>
          <w:sz w:val="18"/>
        </w:rPr>
        <w:t>fue</w:t>
      </w:r>
      <w:r>
        <w:rPr>
          <w:color w:val="231F20"/>
          <w:spacing w:val="-10"/>
          <w:w w:val="105"/>
          <w:sz w:val="18"/>
        </w:rPr>
        <w:t> </w:t>
      </w:r>
      <w:r>
        <w:rPr>
          <w:color w:val="231F20"/>
          <w:w w:val="105"/>
          <w:sz w:val="18"/>
        </w:rPr>
        <w:t>bien.</w:t>
      </w:r>
    </w:p>
    <w:p>
      <w:pPr>
        <w:spacing w:line="256" w:lineRule="auto" w:before="110"/>
        <w:ind w:left="2971" w:right="1721" w:firstLine="0"/>
        <w:jc w:val="both"/>
        <w:rPr>
          <w:sz w:val="20"/>
        </w:rPr>
      </w:pPr>
      <w:r>
        <w:rPr>
          <w:rFonts w:ascii="Arial" w:hAnsi="Arial"/>
          <w:i/>
          <w:color w:val="231F20"/>
          <w:sz w:val="18"/>
        </w:rPr>
        <w:t>¿Y</w:t>
      </w:r>
      <w:r>
        <w:rPr>
          <w:rFonts w:ascii="Arial" w:hAnsi="Arial"/>
          <w:i/>
          <w:color w:val="231F20"/>
          <w:spacing w:val="-14"/>
          <w:sz w:val="18"/>
        </w:rPr>
        <w:t> </w:t>
      </w:r>
      <w:r>
        <w:rPr>
          <w:rFonts w:ascii="Arial" w:hAnsi="Arial"/>
          <w:i/>
          <w:color w:val="231F20"/>
          <w:sz w:val="18"/>
        </w:rPr>
        <w:t>qué</w:t>
      </w:r>
      <w:r>
        <w:rPr>
          <w:rFonts w:ascii="Arial" w:hAnsi="Arial"/>
          <w:i/>
          <w:color w:val="231F20"/>
          <w:spacing w:val="-10"/>
          <w:sz w:val="18"/>
        </w:rPr>
        <w:t> </w:t>
      </w:r>
      <w:r>
        <w:rPr>
          <w:rFonts w:ascii="Arial" w:hAnsi="Arial"/>
          <w:i/>
          <w:color w:val="231F20"/>
          <w:sz w:val="18"/>
        </w:rPr>
        <w:t>vas</w:t>
      </w:r>
      <w:r>
        <w:rPr>
          <w:rFonts w:ascii="Arial" w:hAnsi="Arial"/>
          <w:i/>
          <w:color w:val="231F20"/>
          <w:spacing w:val="-10"/>
          <w:sz w:val="18"/>
        </w:rPr>
        <w:t> </w:t>
      </w:r>
      <w:r>
        <w:rPr>
          <w:rFonts w:ascii="Arial" w:hAnsi="Arial"/>
          <w:i/>
          <w:color w:val="231F20"/>
          <w:sz w:val="18"/>
        </w:rPr>
        <w:t>a</w:t>
      </w:r>
      <w:r>
        <w:rPr>
          <w:rFonts w:ascii="Arial" w:hAnsi="Arial"/>
          <w:i/>
          <w:color w:val="231F20"/>
          <w:spacing w:val="-10"/>
          <w:sz w:val="18"/>
        </w:rPr>
        <w:t> </w:t>
      </w:r>
      <w:r>
        <w:rPr>
          <w:rFonts w:ascii="Arial" w:hAnsi="Arial"/>
          <w:i/>
          <w:color w:val="231F20"/>
          <w:sz w:val="18"/>
        </w:rPr>
        <w:t>hacer</w:t>
      </w:r>
      <w:r>
        <w:rPr>
          <w:rFonts w:ascii="Arial" w:hAnsi="Arial"/>
          <w:i/>
          <w:color w:val="231F20"/>
          <w:spacing w:val="-10"/>
          <w:sz w:val="18"/>
        </w:rPr>
        <w:t> </w:t>
      </w:r>
      <w:r>
        <w:rPr>
          <w:rFonts w:ascii="Arial" w:hAnsi="Arial"/>
          <w:i/>
          <w:color w:val="231F20"/>
          <w:sz w:val="18"/>
        </w:rPr>
        <w:t>con</w:t>
      </w:r>
      <w:r>
        <w:rPr>
          <w:rFonts w:ascii="Arial" w:hAnsi="Arial"/>
          <w:i/>
          <w:color w:val="231F20"/>
          <w:spacing w:val="-10"/>
          <w:sz w:val="18"/>
        </w:rPr>
        <w:t> </w:t>
      </w:r>
      <w:r>
        <w:rPr>
          <w:rFonts w:ascii="Arial" w:hAnsi="Arial"/>
          <w:i/>
          <w:color w:val="231F20"/>
          <w:sz w:val="18"/>
        </w:rPr>
        <w:t>el</w:t>
      </w:r>
      <w:r>
        <w:rPr>
          <w:rFonts w:ascii="Arial" w:hAnsi="Arial"/>
          <w:i/>
          <w:color w:val="231F20"/>
          <w:spacing w:val="-10"/>
          <w:sz w:val="18"/>
        </w:rPr>
        <w:t> </w:t>
      </w:r>
      <w:r>
        <w:rPr>
          <w:rFonts w:ascii="Arial" w:hAnsi="Arial"/>
          <w:i/>
          <w:color w:val="231F20"/>
          <w:sz w:val="18"/>
        </w:rPr>
        <w:t>dinero</w:t>
      </w:r>
      <w:r>
        <w:rPr>
          <w:rFonts w:ascii="Arial" w:hAnsi="Arial"/>
          <w:i/>
          <w:color w:val="231F20"/>
          <w:spacing w:val="-10"/>
          <w:sz w:val="18"/>
        </w:rPr>
        <w:t> </w:t>
      </w:r>
      <w:r>
        <w:rPr>
          <w:rFonts w:ascii="Arial" w:hAnsi="Arial"/>
          <w:i/>
          <w:color w:val="231F20"/>
          <w:sz w:val="18"/>
        </w:rPr>
        <w:t>que</w:t>
      </w:r>
      <w:r>
        <w:rPr>
          <w:rFonts w:ascii="Arial" w:hAnsi="Arial"/>
          <w:i/>
          <w:color w:val="231F20"/>
          <w:spacing w:val="-10"/>
          <w:sz w:val="18"/>
        </w:rPr>
        <w:t> </w:t>
      </w:r>
      <w:r>
        <w:rPr>
          <w:rFonts w:ascii="Arial" w:hAnsi="Arial"/>
          <w:i/>
          <w:color w:val="231F20"/>
          <w:sz w:val="18"/>
        </w:rPr>
        <w:t>ganes</w:t>
      </w:r>
      <w:r>
        <w:rPr>
          <w:rFonts w:ascii="Arial" w:hAnsi="Arial"/>
          <w:i/>
          <w:color w:val="231F20"/>
          <w:spacing w:val="-10"/>
          <w:sz w:val="18"/>
        </w:rPr>
        <w:t> </w:t>
      </w:r>
      <w:r>
        <w:rPr>
          <w:rFonts w:ascii="Arial" w:hAnsi="Arial"/>
          <w:i/>
          <w:color w:val="231F20"/>
          <w:sz w:val="18"/>
        </w:rPr>
        <w:t>en</w:t>
      </w:r>
      <w:r>
        <w:rPr>
          <w:rFonts w:ascii="Arial" w:hAnsi="Arial"/>
          <w:i/>
          <w:color w:val="231F20"/>
          <w:spacing w:val="-10"/>
          <w:sz w:val="18"/>
        </w:rPr>
        <w:t> </w:t>
      </w:r>
      <w:r>
        <w:rPr>
          <w:rFonts w:ascii="Arial" w:hAnsi="Arial"/>
          <w:i/>
          <w:color w:val="231F20"/>
          <w:sz w:val="18"/>
        </w:rPr>
        <w:t>el</w:t>
      </w:r>
      <w:r>
        <w:rPr>
          <w:rFonts w:ascii="Arial" w:hAnsi="Arial"/>
          <w:i/>
          <w:color w:val="231F20"/>
          <w:spacing w:val="-10"/>
          <w:sz w:val="18"/>
        </w:rPr>
        <w:t> </w:t>
      </w:r>
      <w:r>
        <w:rPr>
          <w:rFonts w:ascii="Arial" w:hAnsi="Arial"/>
          <w:i/>
          <w:color w:val="231F20"/>
          <w:sz w:val="18"/>
        </w:rPr>
        <w:t>norte?</w:t>
      </w:r>
      <w:r>
        <w:rPr>
          <w:rFonts w:ascii="Arial" w:hAnsi="Arial"/>
          <w:i/>
          <w:color w:val="231F20"/>
          <w:spacing w:val="-10"/>
          <w:sz w:val="18"/>
        </w:rPr>
        <w:t> </w:t>
      </w:r>
      <w:r>
        <w:rPr>
          <w:color w:val="231F20"/>
          <w:sz w:val="18"/>
        </w:rPr>
        <w:t>Se</w:t>
      </w:r>
      <w:r>
        <w:rPr>
          <w:color w:val="231F20"/>
          <w:spacing w:val="-8"/>
          <w:sz w:val="18"/>
        </w:rPr>
        <w:t> </w:t>
      </w:r>
      <w:r>
        <w:rPr>
          <w:color w:val="231F20"/>
          <w:sz w:val="18"/>
        </w:rPr>
        <w:t>lo</w:t>
      </w:r>
      <w:r>
        <w:rPr>
          <w:color w:val="231F20"/>
          <w:spacing w:val="-8"/>
          <w:sz w:val="18"/>
        </w:rPr>
        <w:t> </w:t>
      </w:r>
      <w:r>
        <w:rPr>
          <w:color w:val="231F20"/>
          <w:sz w:val="18"/>
        </w:rPr>
        <w:t>voy</w:t>
      </w:r>
      <w:r>
        <w:rPr>
          <w:color w:val="231F20"/>
          <w:spacing w:val="-8"/>
          <w:sz w:val="18"/>
        </w:rPr>
        <w:t> </w:t>
      </w:r>
      <w:r>
        <w:rPr>
          <w:color w:val="231F20"/>
          <w:sz w:val="18"/>
        </w:rPr>
        <w:t>a</w:t>
      </w:r>
      <w:r>
        <w:rPr>
          <w:color w:val="231F20"/>
          <w:spacing w:val="-8"/>
          <w:sz w:val="18"/>
        </w:rPr>
        <w:t> </w:t>
      </w:r>
      <w:r>
        <w:rPr>
          <w:color w:val="231F20"/>
          <w:sz w:val="18"/>
        </w:rPr>
        <w:t>man- dar a mi mamá, ella lo va a guardar y luego voy a hacerme rico (risas)” (niño, 12</w:t>
      </w:r>
      <w:r>
        <w:rPr>
          <w:color w:val="231F20"/>
          <w:spacing w:val="-3"/>
          <w:sz w:val="18"/>
        </w:rPr>
        <w:t> </w:t>
      </w:r>
      <w:r>
        <w:rPr>
          <w:color w:val="231F20"/>
          <w:sz w:val="18"/>
        </w:rPr>
        <w:t>años)</w:t>
      </w:r>
      <w:r>
        <w:rPr>
          <w:color w:val="231F20"/>
          <w:sz w:val="20"/>
        </w:rPr>
        <w:t>.</w:t>
      </w:r>
    </w:p>
    <w:p>
      <w:pPr>
        <w:pStyle w:val="BodyText"/>
        <w:rPr>
          <w:sz w:val="20"/>
        </w:rPr>
      </w:pPr>
    </w:p>
    <w:p>
      <w:pPr>
        <w:pStyle w:val="BodyText"/>
        <w:spacing w:before="8"/>
        <w:rPr>
          <w:sz w:val="23"/>
        </w:rPr>
      </w:pPr>
    </w:p>
    <w:p>
      <w:pPr>
        <w:pStyle w:val="BodyText"/>
        <w:spacing w:line="261" w:lineRule="auto"/>
        <w:ind w:left="1837" w:right="1721"/>
        <w:jc w:val="both"/>
      </w:pPr>
      <w:r>
        <w:rPr>
          <w:color w:val="231F20"/>
          <w:w w:val="105"/>
        </w:rPr>
        <w:t>Evidentemente, el discurso de los niños está permeado por el discurso de los adultos. En las localidades que pertenecen al municipio de Villa Guerrero</w:t>
      </w:r>
      <w:r>
        <w:rPr>
          <w:color w:val="231F20"/>
          <w:spacing w:val="-9"/>
          <w:w w:val="105"/>
        </w:rPr>
        <w:t> </w:t>
      </w:r>
      <w:r>
        <w:rPr>
          <w:color w:val="231F20"/>
          <w:w w:val="105"/>
        </w:rPr>
        <w:t>es</w:t>
      </w:r>
      <w:r>
        <w:rPr>
          <w:color w:val="231F20"/>
          <w:spacing w:val="-9"/>
          <w:w w:val="105"/>
        </w:rPr>
        <w:t> </w:t>
      </w:r>
      <w:r>
        <w:rPr>
          <w:color w:val="231F20"/>
          <w:w w:val="105"/>
        </w:rPr>
        <w:t>común</w:t>
      </w:r>
      <w:r>
        <w:rPr>
          <w:color w:val="231F20"/>
          <w:spacing w:val="-9"/>
          <w:w w:val="105"/>
        </w:rPr>
        <w:t> </w:t>
      </w:r>
      <w:r>
        <w:rPr>
          <w:color w:val="231F20"/>
          <w:w w:val="105"/>
        </w:rPr>
        <w:t>encontrase</w:t>
      </w:r>
      <w:r>
        <w:rPr>
          <w:color w:val="231F20"/>
          <w:spacing w:val="-9"/>
          <w:w w:val="105"/>
        </w:rPr>
        <w:t> </w:t>
      </w:r>
      <w:r>
        <w:rPr>
          <w:color w:val="231F20"/>
          <w:w w:val="105"/>
        </w:rPr>
        <w:t>con</w:t>
      </w:r>
      <w:r>
        <w:rPr>
          <w:color w:val="231F20"/>
          <w:spacing w:val="-9"/>
          <w:w w:val="105"/>
        </w:rPr>
        <w:t> </w:t>
      </w:r>
      <w:r>
        <w:rPr>
          <w:color w:val="231F20"/>
          <w:w w:val="105"/>
        </w:rPr>
        <w:t>un</w:t>
      </w:r>
      <w:r>
        <w:rPr>
          <w:color w:val="231F20"/>
          <w:spacing w:val="-9"/>
          <w:w w:val="105"/>
        </w:rPr>
        <w:t> </w:t>
      </w:r>
      <w:r>
        <w:rPr>
          <w:color w:val="231F20"/>
          <w:w w:val="105"/>
        </w:rPr>
        <w:t>imaginario</w:t>
      </w:r>
      <w:r>
        <w:rPr>
          <w:color w:val="231F20"/>
          <w:spacing w:val="-9"/>
          <w:w w:val="105"/>
        </w:rPr>
        <w:t> </w:t>
      </w:r>
      <w:r>
        <w:rPr>
          <w:color w:val="231F20"/>
          <w:w w:val="105"/>
        </w:rPr>
        <w:t>social</w:t>
      </w:r>
      <w:r>
        <w:rPr>
          <w:color w:val="231F20"/>
          <w:spacing w:val="-9"/>
          <w:w w:val="105"/>
        </w:rPr>
        <w:t> </w:t>
      </w:r>
      <w:r>
        <w:rPr>
          <w:color w:val="231F20"/>
          <w:w w:val="105"/>
        </w:rPr>
        <w:t>de</w:t>
      </w:r>
      <w:r>
        <w:rPr>
          <w:color w:val="231F20"/>
          <w:spacing w:val="-9"/>
          <w:w w:val="105"/>
        </w:rPr>
        <w:t> </w:t>
      </w:r>
      <w:r>
        <w:rPr>
          <w:color w:val="231F20"/>
          <w:w w:val="105"/>
        </w:rPr>
        <w:t>progreso</w:t>
      </w:r>
      <w:r>
        <w:rPr>
          <w:color w:val="231F20"/>
          <w:spacing w:val="-9"/>
          <w:w w:val="105"/>
        </w:rPr>
        <w:t> </w:t>
      </w:r>
      <w:r>
        <w:rPr>
          <w:color w:val="231F20"/>
          <w:w w:val="105"/>
        </w:rPr>
        <w:t>en función de la floricultura. Los pequeños productores, que surten a los mercados locales, encuentran diversas dificultades para obtener un</w:t>
      </w:r>
      <w:r>
        <w:rPr>
          <w:color w:val="231F20"/>
          <w:spacing w:val="-11"/>
          <w:w w:val="105"/>
        </w:rPr>
        <w:t> </w:t>
      </w:r>
      <w:r>
        <w:rPr>
          <w:color w:val="231F20"/>
          <w:w w:val="105"/>
        </w:rPr>
        <w:t>re- torno de ganancias en cada cosecha, es decir, al no poder comprobar ingresos</w:t>
      </w:r>
      <w:r>
        <w:rPr>
          <w:color w:val="231F20"/>
          <w:spacing w:val="-22"/>
          <w:w w:val="105"/>
        </w:rPr>
        <w:t> </w:t>
      </w:r>
      <w:r>
        <w:rPr>
          <w:color w:val="231F20"/>
          <w:w w:val="105"/>
        </w:rPr>
        <w:t>no</w:t>
      </w:r>
      <w:r>
        <w:rPr>
          <w:color w:val="231F20"/>
          <w:spacing w:val="-22"/>
          <w:w w:val="105"/>
        </w:rPr>
        <w:t> </w:t>
      </w:r>
      <w:r>
        <w:rPr>
          <w:color w:val="231F20"/>
          <w:w w:val="105"/>
        </w:rPr>
        <w:t>tienen</w:t>
      </w:r>
      <w:r>
        <w:rPr>
          <w:color w:val="231F20"/>
          <w:spacing w:val="-22"/>
          <w:w w:val="105"/>
        </w:rPr>
        <w:t> </w:t>
      </w:r>
      <w:r>
        <w:rPr>
          <w:color w:val="231F20"/>
          <w:w w:val="105"/>
        </w:rPr>
        <w:t>acceso</w:t>
      </w:r>
      <w:r>
        <w:rPr>
          <w:color w:val="231F20"/>
          <w:spacing w:val="-22"/>
          <w:w w:val="105"/>
        </w:rPr>
        <w:t> </w:t>
      </w:r>
      <w:r>
        <w:rPr>
          <w:color w:val="231F20"/>
          <w:w w:val="105"/>
        </w:rPr>
        <w:t>al</w:t>
      </w:r>
      <w:r>
        <w:rPr>
          <w:color w:val="231F20"/>
          <w:spacing w:val="-22"/>
          <w:w w:val="105"/>
        </w:rPr>
        <w:t> </w:t>
      </w:r>
      <w:r>
        <w:rPr>
          <w:color w:val="231F20"/>
          <w:w w:val="105"/>
        </w:rPr>
        <w:t>crédito.</w:t>
      </w:r>
      <w:r>
        <w:rPr>
          <w:color w:val="231F20"/>
          <w:spacing w:val="-26"/>
          <w:w w:val="105"/>
        </w:rPr>
        <w:t> </w:t>
      </w:r>
      <w:r>
        <w:rPr>
          <w:color w:val="231F20"/>
          <w:w w:val="105"/>
        </w:rPr>
        <w:t>Las</w:t>
      </w:r>
      <w:r>
        <w:rPr>
          <w:color w:val="231F20"/>
          <w:spacing w:val="-22"/>
          <w:w w:val="105"/>
        </w:rPr>
        <w:t> </w:t>
      </w:r>
      <w:r>
        <w:rPr>
          <w:color w:val="231F20"/>
          <w:w w:val="105"/>
        </w:rPr>
        <w:t>opciones</w:t>
      </w:r>
      <w:r>
        <w:rPr>
          <w:color w:val="231F20"/>
          <w:spacing w:val="-22"/>
          <w:w w:val="105"/>
        </w:rPr>
        <w:t> </w:t>
      </w:r>
      <w:r>
        <w:rPr>
          <w:color w:val="231F20"/>
          <w:w w:val="105"/>
        </w:rPr>
        <w:t>para</w:t>
      </w:r>
      <w:r>
        <w:rPr>
          <w:color w:val="231F20"/>
          <w:spacing w:val="-22"/>
          <w:w w:val="105"/>
        </w:rPr>
        <w:t> </w:t>
      </w:r>
      <w:r>
        <w:rPr>
          <w:color w:val="231F20"/>
          <w:w w:val="105"/>
        </w:rPr>
        <w:t>capitalizarse</w:t>
      </w:r>
      <w:r>
        <w:rPr>
          <w:color w:val="231F20"/>
          <w:spacing w:val="-22"/>
          <w:w w:val="105"/>
        </w:rPr>
        <w:t> </w:t>
      </w:r>
      <w:r>
        <w:rPr>
          <w:color w:val="231F20"/>
          <w:w w:val="105"/>
        </w:rPr>
        <w:t>van desde emplearse en las ciudades más cercanas en empleo</w:t>
      </w:r>
      <w:r>
        <w:rPr>
          <w:color w:val="231F20"/>
          <w:spacing w:val="-30"/>
          <w:w w:val="105"/>
        </w:rPr>
        <w:t> </w:t>
      </w:r>
      <w:r>
        <w:rPr>
          <w:color w:val="231F20"/>
          <w:w w:val="105"/>
        </w:rPr>
        <w:t>temporales como</w:t>
      </w:r>
      <w:r>
        <w:rPr>
          <w:color w:val="231F20"/>
          <w:spacing w:val="-7"/>
          <w:w w:val="105"/>
        </w:rPr>
        <w:t> </w:t>
      </w:r>
      <w:r>
        <w:rPr>
          <w:color w:val="231F20"/>
          <w:w w:val="105"/>
        </w:rPr>
        <w:t>albañiles</w:t>
      </w:r>
      <w:r>
        <w:rPr>
          <w:color w:val="231F20"/>
          <w:spacing w:val="-7"/>
          <w:w w:val="105"/>
        </w:rPr>
        <w:t> </w:t>
      </w:r>
      <w:r>
        <w:rPr>
          <w:color w:val="231F20"/>
          <w:w w:val="105"/>
        </w:rPr>
        <w:t>y</w:t>
      </w:r>
      <w:r>
        <w:rPr>
          <w:color w:val="231F20"/>
          <w:spacing w:val="-7"/>
          <w:w w:val="105"/>
        </w:rPr>
        <w:t> </w:t>
      </w:r>
      <w:r>
        <w:rPr>
          <w:color w:val="231F20"/>
          <w:w w:val="105"/>
        </w:rPr>
        <w:t>peones;</w:t>
      </w:r>
      <w:r>
        <w:rPr>
          <w:color w:val="231F20"/>
          <w:spacing w:val="-7"/>
          <w:w w:val="105"/>
        </w:rPr>
        <w:t> </w:t>
      </w:r>
      <w:r>
        <w:rPr>
          <w:color w:val="231F20"/>
          <w:w w:val="105"/>
        </w:rPr>
        <w:t>emplearse</w:t>
      </w:r>
      <w:r>
        <w:rPr>
          <w:color w:val="231F20"/>
          <w:spacing w:val="-7"/>
          <w:w w:val="105"/>
        </w:rPr>
        <w:t> </w:t>
      </w:r>
      <w:r>
        <w:rPr>
          <w:color w:val="231F20"/>
          <w:w w:val="105"/>
        </w:rPr>
        <w:t>como</w:t>
      </w:r>
      <w:r>
        <w:rPr>
          <w:color w:val="231F20"/>
          <w:spacing w:val="-7"/>
          <w:w w:val="105"/>
        </w:rPr>
        <w:t> </w:t>
      </w:r>
      <w:r>
        <w:rPr>
          <w:color w:val="231F20"/>
          <w:w w:val="105"/>
        </w:rPr>
        <w:t>jornaleros</w:t>
      </w:r>
      <w:r>
        <w:rPr>
          <w:color w:val="231F20"/>
          <w:spacing w:val="-7"/>
          <w:w w:val="105"/>
        </w:rPr>
        <w:t> </w:t>
      </w:r>
      <w:r>
        <w:rPr>
          <w:color w:val="231F20"/>
          <w:w w:val="105"/>
        </w:rPr>
        <w:t>con</w:t>
      </w:r>
      <w:r>
        <w:rPr>
          <w:color w:val="231F20"/>
          <w:spacing w:val="-7"/>
          <w:w w:val="105"/>
        </w:rPr>
        <w:t> </w:t>
      </w:r>
      <w:r>
        <w:rPr>
          <w:color w:val="231F20"/>
          <w:w w:val="105"/>
        </w:rPr>
        <w:t>otros</w:t>
      </w:r>
      <w:r>
        <w:rPr>
          <w:color w:val="231F20"/>
          <w:spacing w:val="-7"/>
          <w:w w:val="105"/>
        </w:rPr>
        <w:t> </w:t>
      </w:r>
      <w:r>
        <w:rPr>
          <w:color w:val="231F20"/>
          <w:w w:val="105"/>
        </w:rPr>
        <w:t>produc- tores</w:t>
      </w:r>
      <w:r>
        <w:rPr>
          <w:color w:val="231F20"/>
          <w:spacing w:val="-5"/>
          <w:w w:val="105"/>
        </w:rPr>
        <w:t> </w:t>
      </w:r>
      <w:r>
        <w:rPr>
          <w:color w:val="231F20"/>
          <w:w w:val="105"/>
        </w:rPr>
        <w:t>de</w:t>
      </w:r>
      <w:r>
        <w:rPr>
          <w:color w:val="231F20"/>
          <w:spacing w:val="-5"/>
          <w:w w:val="105"/>
        </w:rPr>
        <w:t> </w:t>
      </w:r>
      <w:r>
        <w:rPr>
          <w:color w:val="231F20"/>
          <w:w w:val="105"/>
        </w:rPr>
        <w:t>mayor</w:t>
      </w:r>
      <w:r>
        <w:rPr>
          <w:color w:val="231F20"/>
          <w:spacing w:val="-5"/>
          <w:w w:val="105"/>
        </w:rPr>
        <w:t> </w:t>
      </w:r>
      <w:r>
        <w:rPr>
          <w:color w:val="231F20"/>
          <w:w w:val="105"/>
        </w:rPr>
        <w:t>capacidad</w:t>
      </w:r>
      <w:r>
        <w:rPr>
          <w:color w:val="231F20"/>
          <w:spacing w:val="-5"/>
          <w:w w:val="105"/>
        </w:rPr>
        <w:t> </w:t>
      </w:r>
      <w:r>
        <w:rPr>
          <w:color w:val="231F20"/>
          <w:w w:val="105"/>
        </w:rPr>
        <w:t>comercial</w:t>
      </w:r>
      <w:r>
        <w:rPr>
          <w:color w:val="231F20"/>
          <w:spacing w:val="-5"/>
          <w:w w:val="105"/>
        </w:rPr>
        <w:t> </w:t>
      </w:r>
      <w:r>
        <w:rPr>
          <w:color w:val="231F20"/>
          <w:w w:val="105"/>
        </w:rPr>
        <w:t>o</w:t>
      </w:r>
      <w:r>
        <w:rPr>
          <w:color w:val="231F20"/>
          <w:spacing w:val="-5"/>
          <w:w w:val="105"/>
        </w:rPr>
        <w:t> </w:t>
      </w:r>
      <w:r>
        <w:rPr>
          <w:color w:val="231F20"/>
          <w:w w:val="105"/>
        </w:rPr>
        <w:t>bien</w:t>
      </w:r>
      <w:r>
        <w:rPr>
          <w:color w:val="231F20"/>
          <w:spacing w:val="-5"/>
          <w:w w:val="105"/>
        </w:rPr>
        <w:t> </w:t>
      </w:r>
      <w:r>
        <w:rPr>
          <w:color w:val="231F20"/>
          <w:w w:val="105"/>
        </w:rPr>
        <w:t>migrar</w:t>
      </w:r>
      <w:r>
        <w:rPr>
          <w:color w:val="231F20"/>
          <w:spacing w:val="-5"/>
          <w:w w:val="105"/>
        </w:rPr>
        <w:t> </w:t>
      </w:r>
      <w:r>
        <w:rPr>
          <w:color w:val="231F20"/>
          <w:w w:val="105"/>
        </w:rPr>
        <w:t>temporalmente</w:t>
      </w:r>
      <w:r>
        <w:rPr>
          <w:color w:val="231F20"/>
          <w:spacing w:val="-5"/>
          <w:w w:val="105"/>
        </w:rPr>
        <w:t> </w:t>
      </w:r>
      <w:r>
        <w:rPr>
          <w:color w:val="231F20"/>
          <w:w w:val="105"/>
        </w:rPr>
        <w:t>y</w:t>
      </w:r>
      <w:r>
        <w:rPr>
          <w:color w:val="231F20"/>
          <w:spacing w:val="-5"/>
          <w:w w:val="105"/>
        </w:rPr>
        <w:t> </w:t>
      </w:r>
      <w:r>
        <w:rPr>
          <w:color w:val="231F20"/>
          <w:w w:val="105"/>
        </w:rPr>
        <w:t>en- viar</w:t>
      </w:r>
      <w:r>
        <w:rPr>
          <w:color w:val="231F20"/>
          <w:spacing w:val="-11"/>
          <w:w w:val="105"/>
        </w:rPr>
        <w:t> </w:t>
      </w:r>
      <w:r>
        <w:rPr>
          <w:color w:val="231F20"/>
          <w:w w:val="105"/>
        </w:rPr>
        <w:t>remesas</w:t>
      </w:r>
      <w:r>
        <w:rPr>
          <w:color w:val="231F20"/>
          <w:spacing w:val="-11"/>
          <w:w w:val="105"/>
        </w:rPr>
        <w:t> </w:t>
      </w:r>
      <w:r>
        <w:rPr>
          <w:color w:val="231F20"/>
          <w:w w:val="105"/>
        </w:rPr>
        <w:t>a</w:t>
      </w:r>
      <w:r>
        <w:rPr>
          <w:color w:val="231F20"/>
          <w:spacing w:val="-11"/>
          <w:w w:val="105"/>
        </w:rPr>
        <w:t> </w:t>
      </w:r>
      <w:r>
        <w:rPr>
          <w:color w:val="231F20"/>
          <w:w w:val="105"/>
        </w:rPr>
        <w:t>fin</w:t>
      </w:r>
      <w:r>
        <w:rPr>
          <w:color w:val="231F20"/>
          <w:spacing w:val="-11"/>
          <w:w w:val="105"/>
        </w:rPr>
        <w:t> </w:t>
      </w:r>
      <w:r>
        <w:rPr>
          <w:color w:val="231F20"/>
          <w:w w:val="105"/>
        </w:rPr>
        <w:t>de</w:t>
      </w:r>
      <w:r>
        <w:rPr>
          <w:color w:val="231F20"/>
          <w:spacing w:val="-11"/>
          <w:w w:val="105"/>
        </w:rPr>
        <w:t> </w:t>
      </w:r>
      <w:r>
        <w:rPr>
          <w:color w:val="231F20"/>
          <w:w w:val="105"/>
        </w:rPr>
        <w:t>invertirlas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producción</w:t>
      </w:r>
      <w:r>
        <w:rPr>
          <w:color w:val="231F20"/>
          <w:spacing w:val="-11"/>
          <w:w w:val="105"/>
        </w:rPr>
        <w:t> </w:t>
      </w:r>
      <w:r>
        <w:rPr>
          <w:color w:val="231F20"/>
          <w:w w:val="105"/>
        </w:rPr>
        <w:t>florícola.</w:t>
      </w:r>
      <w:r>
        <w:rPr>
          <w:color w:val="231F20"/>
          <w:spacing w:val="-19"/>
          <w:w w:val="105"/>
        </w:rPr>
        <w:t> </w:t>
      </w:r>
      <w:r>
        <w:rPr>
          <w:color w:val="231F20"/>
          <w:w w:val="105"/>
        </w:rPr>
        <w:t>Así</w:t>
      </w:r>
      <w:r>
        <w:rPr>
          <w:color w:val="231F20"/>
          <w:spacing w:val="-11"/>
          <w:w w:val="105"/>
        </w:rPr>
        <w:t> </w:t>
      </w:r>
      <w:r>
        <w:rPr>
          <w:color w:val="231F20"/>
          <w:w w:val="105"/>
        </w:rPr>
        <w:t>lo</w:t>
      </w:r>
      <w:r>
        <w:rPr>
          <w:color w:val="231F20"/>
          <w:spacing w:val="-11"/>
          <w:w w:val="105"/>
        </w:rPr>
        <w:t> </w:t>
      </w:r>
      <w:r>
        <w:rPr>
          <w:color w:val="231F20"/>
          <w:w w:val="105"/>
        </w:rPr>
        <w:t>expresa el siguiente pequeño</w:t>
      </w:r>
      <w:r>
        <w:rPr>
          <w:color w:val="231F20"/>
          <w:spacing w:val="21"/>
          <w:w w:val="105"/>
        </w:rPr>
        <w:t> </w:t>
      </w:r>
      <w:r>
        <w:rPr>
          <w:color w:val="231F20"/>
          <w:w w:val="105"/>
        </w:rPr>
        <w:t>floricultor:</w:t>
      </w:r>
    </w:p>
    <w:p>
      <w:pPr>
        <w:pStyle w:val="BodyText"/>
        <w:spacing w:before="4"/>
        <w:rPr>
          <w:sz w:val="18"/>
        </w:rPr>
      </w:pPr>
    </w:p>
    <w:p>
      <w:pPr>
        <w:spacing w:line="254" w:lineRule="auto" w:before="1"/>
        <w:ind w:left="2971" w:right="1715" w:firstLine="0"/>
        <w:jc w:val="both"/>
        <w:rPr>
          <w:sz w:val="18"/>
        </w:rPr>
      </w:pPr>
      <w:r>
        <w:rPr>
          <w:rFonts w:ascii="Arial" w:hAnsi="Arial"/>
          <w:i/>
          <w:color w:val="231F20"/>
          <w:sz w:val="18"/>
        </w:rPr>
        <w:t>¿Desde cuándo se dedica a la flor? </w:t>
      </w:r>
      <w:r>
        <w:rPr>
          <w:color w:val="231F20"/>
          <w:sz w:val="18"/>
        </w:rPr>
        <w:t>Desde hace unos cinco años, y to- dos los años es lo mismo, bajan y bajan las ventas, los materiales cada vez</w:t>
      </w:r>
      <w:r>
        <w:rPr>
          <w:color w:val="231F20"/>
          <w:spacing w:val="-7"/>
          <w:sz w:val="18"/>
        </w:rPr>
        <w:t> </w:t>
      </w:r>
      <w:r>
        <w:rPr>
          <w:color w:val="231F20"/>
          <w:sz w:val="18"/>
        </w:rPr>
        <w:t>están</w:t>
      </w:r>
      <w:r>
        <w:rPr>
          <w:color w:val="231F20"/>
          <w:spacing w:val="-7"/>
          <w:sz w:val="18"/>
        </w:rPr>
        <w:t> </w:t>
      </w:r>
      <w:r>
        <w:rPr>
          <w:color w:val="231F20"/>
          <w:sz w:val="18"/>
        </w:rPr>
        <w:t>más</w:t>
      </w:r>
      <w:r>
        <w:rPr>
          <w:color w:val="231F20"/>
          <w:spacing w:val="-7"/>
          <w:sz w:val="18"/>
        </w:rPr>
        <w:t> </w:t>
      </w:r>
      <w:r>
        <w:rPr>
          <w:color w:val="231F20"/>
          <w:sz w:val="18"/>
        </w:rPr>
        <w:t>caros,</w:t>
      </w:r>
      <w:r>
        <w:rPr>
          <w:color w:val="231F20"/>
          <w:spacing w:val="-12"/>
          <w:sz w:val="18"/>
        </w:rPr>
        <w:t> </w:t>
      </w:r>
      <w:r>
        <w:rPr>
          <w:color w:val="231F20"/>
          <w:sz w:val="18"/>
        </w:rPr>
        <w:t>no,</w:t>
      </w:r>
      <w:r>
        <w:rPr>
          <w:color w:val="231F20"/>
          <w:spacing w:val="-12"/>
          <w:sz w:val="18"/>
        </w:rPr>
        <w:t> </w:t>
      </w:r>
      <w:r>
        <w:rPr>
          <w:color w:val="231F20"/>
          <w:sz w:val="18"/>
        </w:rPr>
        <w:t>todos</w:t>
      </w:r>
      <w:r>
        <w:rPr>
          <w:color w:val="231F20"/>
          <w:spacing w:val="-7"/>
          <w:sz w:val="18"/>
        </w:rPr>
        <w:t> </w:t>
      </w:r>
      <w:r>
        <w:rPr>
          <w:color w:val="231F20"/>
          <w:sz w:val="18"/>
        </w:rPr>
        <w:t>los</w:t>
      </w:r>
      <w:r>
        <w:rPr>
          <w:color w:val="231F20"/>
          <w:spacing w:val="-7"/>
          <w:sz w:val="18"/>
        </w:rPr>
        <w:t> </w:t>
      </w:r>
      <w:r>
        <w:rPr>
          <w:color w:val="231F20"/>
          <w:sz w:val="18"/>
        </w:rPr>
        <w:t>años</w:t>
      </w:r>
      <w:r>
        <w:rPr>
          <w:color w:val="231F20"/>
          <w:spacing w:val="-7"/>
          <w:sz w:val="18"/>
        </w:rPr>
        <w:t> </w:t>
      </w:r>
      <w:r>
        <w:rPr>
          <w:color w:val="231F20"/>
          <w:sz w:val="18"/>
        </w:rPr>
        <w:t>es</w:t>
      </w:r>
      <w:r>
        <w:rPr>
          <w:color w:val="231F20"/>
          <w:spacing w:val="-7"/>
          <w:sz w:val="18"/>
        </w:rPr>
        <w:t> </w:t>
      </w:r>
      <w:r>
        <w:rPr>
          <w:color w:val="231F20"/>
          <w:sz w:val="18"/>
        </w:rPr>
        <w:t>lo</w:t>
      </w:r>
      <w:r>
        <w:rPr>
          <w:color w:val="231F20"/>
          <w:spacing w:val="-7"/>
          <w:sz w:val="18"/>
        </w:rPr>
        <w:t> </w:t>
      </w:r>
      <w:r>
        <w:rPr>
          <w:color w:val="231F20"/>
          <w:sz w:val="18"/>
        </w:rPr>
        <w:t>mismo,</w:t>
      </w:r>
      <w:r>
        <w:rPr>
          <w:color w:val="231F20"/>
          <w:spacing w:val="-12"/>
          <w:sz w:val="18"/>
        </w:rPr>
        <w:t> </w:t>
      </w:r>
      <w:r>
        <w:rPr>
          <w:color w:val="231F20"/>
          <w:sz w:val="18"/>
        </w:rPr>
        <w:t>yo</w:t>
      </w:r>
      <w:r>
        <w:rPr>
          <w:color w:val="231F20"/>
          <w:spacing w:val="-7"/>
          <w:sz w:val="18"/>
        </w:rPr>
        <w:t> </w:t>
      </w:r>
      <w:r>
        <w:rPr>
          <w:color w:val="231F20"/>
          <w:sz w:val="18"/>
        </w:rPr>
        <w:t>ya</w:t>
      </w:r>
      <w:r>
        <w:rPr>
          <w:color w:val="231F20"/>
          <w:spacing w:val="-7"/>
          <w:sz w:val="18"/>
        </w:rPr>
        <w:t> </w:t>
      </w:r>
      <w:r>
        <w:rPr>
          <w:color w:val="231F20"/>
          <w:sz w:val="18"/>
        </w:rPr>
        <w:t>no</w:t>
      </w:r>
      <w:r>
        <w:rPr>
          <w:color w:val="231F20"/>
          <w:spacing w:val="-7"/>
          <w:sz w:val="18"/>
        </w:rPr>
        <w:t> </w:t>
      </w:r>
      <w:r>
        <w:rPr>
          <w:color w:val="231F20"/>
          <w:sz w:val="18"/>
        </w:rPr>
        <w:t>veo</w:t>
      </w:r>
      <w:r>
        <w:rPr>
          <w:color w:val="231F20"/>
          <w:spacing w:val="-7"/>
          <w:sz w:val="18"/>
        </w:rPr>
        <w:t> </w:t>
      </w:r>
      <w:r>
        <w:rPr>
          <w:color w:val="231F20"/>
          <w:sz w:val="18"/>
        </w:rPr>
        <w:t>salida, cada</w:t>
      </w:r>
      <w:r>
        <w:rPr>
          <w:color w:val="231F20"/>
          <w:spacing w:val="14"/>
          <w:sz w:val="18"/>
        </w:rPr>
        <w:t> </w:t>
      </w:r>
      <w:r>
        <w:rPr>
          <w:color w:val="231F20"/>
          <w:sz w:val="18"/>
        </w:rPr>
        <w:t>año</w:t>
      </w:r>
      <w:r>
        <w:rPr>
          <w:color w:val="231F20"/>
          <w:spacing w:val="14"/>
          <w:sz w:val="18"/>
        </w:rPr>
        <w:t> </w:t>
      </w:r>
      <w:r>
        <w:rPr>
          <w:color w:val="231F20"/>
          <w:sz w:val="18"/>
        </w:rPr>
        <w:t>me</w:t>
      </w:r>
      <w:r>
        <w:rPr>
          <w:color w:val="231F20"/>
          <w:spacing w:val="14"/>
          <w:sz w:val="18"/>
        </w:rPr>
        <w:t> </w:t>
      </w:r>
      <w:r>
        <w:rPr>
          <w:color w:val="231F20"/>
          <w:sz w:val="18"/>
        </w:rPr>
        <w:t>voy</w:t>
      </w:r>
      <w:r>
        <w:rPr>
          <w:color w:val="231F20"/>
          <w:spacing w:val="14"/>
          <w:sz w:val="18"/>
        </w:rPr>
        <w:t> </w:t>
      </w:r>
      <w:r>
        <w:rPr>
          <w:color w:val="231F20"/>
          <w:sz w:val="18"/>
        </w:rPr>
        <w:t>y</w:t>
      </w:r>
      <w:r>
        <w:rPr>
          <w:color w:val="231F20"/>
          <w:spacing w:val="14"/>
          <w:sz w:val="18"/>
        </w:rPr>
        <w:t> </w:t>
      </w:r>
      <w:r>
        <w:rPr>
          <w:color w:val="231F20"/>
          <w:sz w:val="18"/>
        </w:rPr>
        <w:t>me</w:t>
      </w:r>
      <w:r>
        <w:rPr>
          <w:color w:val="231F20"/>
          <w:spacing w:val="14"/>
          <w:sz w:val="18"/>
        </w:rPr>
        <w:t> </w:t>
      </w:r>
      <w:r>
        <w:rPr>
          <w:color w:val="231F20"/>
          <w:sz w:val="18"/>
        </w:rPr>
        <w:t>tengo</w:t>
      </w:r>
      <w:r>
        <w:rPr>
          <w:color w:val="231F20"/>
          <w:spacing w:val="14"/>
          <w:sz w:val="18"/>
        </w:rPr>
        <w:t> </w:t>
      </w:r>
      <w:r>
        <w:rPr>
          <w:color w:val="231F20"/>
          <w:sz w:val="18"/>
        </w:rPr>
        <w:t>que</w:t>
      </w:r>
      <w:r>
        <w:rPr>
          <w:color w:val="231F20"/>
          <w:spacing w:val="14"/>
          <w:sz w:val="18"/>
        </w:rPr>
        <w:t> </w:t>
      </w:r>
      <w:r>
        <w:rPr>
          <w:color w:val="231F20"/>
          <w:sz w:val="18"/>
        </w:rPr>
        <w:t>endrogar</w:t>
      </w:r>
      <w:r>
        <w:rPr>
          <w:color w:val="231F20"/>
          <w:spacing w:val="14"/>
          <w:sz w:val="18"/>
        </w:rPr>
        <w:t> </w:t>
      </w:r>
      <w:r>
        <w:rPr>
          <w:color w:val="231F20"/>
          <w:sz w:val="18"/>
        </w:rPr>
        <w:t>ya</w:t>
      </w:r>
      <w:r>
        <w:rPr>
          <w:color w:val="231F20"/>
          <w:spacing w:val="14"/>
          <w:sz w:val="18"/>
        </w:rPr>
        <w:t> </w:t>
      </w:r>
      <w:r>
        <w:rPr>
          <w:color w:val="231F20"/>
          <w:sz w:val="18"/>
        </w:rPr>
        <w:t>qué</w:t>
      </w:r>
      <w:r>
        <w:rPr>
          <w:color w:val="231F20"/>
          <w:spacing w:val="14"/>
          <w:sz w:val="18"/>
        </w:rPr>
        <w:t> </w:t>
      </w:r>
      <w:r>
        <w:rPr>
          <w:color w:val="231F20"/>
          <w:sz w:val="18"/>
        </w:rPr>
        <w:t>me</w:t>
      </w:r>
      <w:r>
        <w:rPr>
          <w:color w:val="231F20"/>
          <w:spacing w:val="14"/>
          <w:sz w:val="18"/>
        </w:rPr>
        <w:t> </w:t>
      </w:r>
      <w:r>
        <w:rPr>
          <w:color w:val="231F20"/>
          <w:sz w:val="18"/>
        </w:rPr>
        <w:t>queda.</w:t>
      </w:r>
    </w:p>
    <w:p>
      <w:pPr>
        <w:spacing w:line="254" w:lineRule="auto" w:before="110"/>
        <w:ind w:left="2971" w:right="1718" w:firstLine="0"/>
        <w:jc w:val="both"/>
        <w:rPr>
          <w:sz w:val="18"/>
        </w:rPr>
      </w:pPr>
      <w:r>
        <w:rPr/>
        <w:pict>
          <v:line style="position:absolute;mso-position-horizontal-relative:page;mso-position-vertical-relative:paragraph;z-index:-479512" from="15pt,228.639389pt" to="0pt,228.639389pt" stroked="true" strokeweight=".25pt" strokecolor="#000000">
            <w10:wrap type="none"/>
          </v:line>
        </w:pict>
      </w:r>
      <w:r>
        <w:rPr/>
        <w:pict>
          <v:line style="position:absolute;mso-position-horizontal-relative:page;mso-position-vertical-relative:paragraph;z-index:10696" from="508.890015pt,228.639389pt" to="523.890015pt,228.639389pt" stroked="true" strokeweight=".25pt" strokecolor="#000000">
            <w10:wrap type="none"/>
          </v:line>
        </w:pict>
      </w:r>
      <w:r>
        <w:rPr>
          <w:rFonts w:ascii="Arial" w:hAnsi="Arial"/>
          <w:i/>
          <w:color w:val="231F20"/>
          <w:spacing w:val="-6"/>
          <w:w w:val="105"/>
          <w:sz w:val="18"/>
        </w:rPr>
        <w:t>¿Todo</w:t>
      </w:r>
      <w:r>
        <w:rPr>
          <w:rFonts w:ascii="Arial" w:hAnsi="Arial"/>
          <w:i/>
          <w:color w:val="231F20"/>
          <w:spacing w:val="-13"/>
          <w:w w:val="105"/>
          <w:sz w:val="18"/>
        </w:rPr>
        <w:t> </w:t>
      </w:r>
      <w:r>
        <w:rPr>
          <w:rFonts w:ascii="Arial" w:hAnsi="Arial"/>
          <w:i/>
          <w:color w:val="231F20"/>
          <w:w w:val="105"/>
          <w:sz w:val="18"/>
        </w:rPr>
        <w:t>el</w:t>
      </w:r>
      <w:r>
        <w:rPr>
          <w:rFonts w:ascii="Arial" w:hAnsi="Arial"/>
          <w:i/>
          <w:color w:val="231F20"/>
          <w:spacing w:val="-13"/>
          <w:w w:val="105"/>
          <w:sz w:val="18"/>
        </w:rPr>
        <w:t> </w:t>
      </w:r>
      <w:r>
        <w:rPr>
          <w:rFonts w:ascii="Arial" w:hAnsi="Arial"/>
          <w:i/>
          <w:color w:val="231F20"/>
          <w:w w:val="105"/>
          <w:sz w:val="18"/>
        </w:rPr>
        <w:t>año</w:t>
      </w:r>
      <w:r>
        <w:rPr>
          <w:rFonts w:ascii="Arial" w:hAnsi="Arial"/>
          <w:i/>
          <w:color w:val="231F20"/>
          <w:spacing w:val="-13"/>
          <w:w w:val="105"/>
          <w:sz w:val="18"/>
        </w:rPr>
        <w:t> </w:t>
      </w:r>
      <w:r>
        <w:rPr>
          <w:rFonts w:ascii="Arial" w:hAnsi="Arial"/>
          <w:i/>
          <w:color w:val="231F20"/>
          <w:spacing w:val="-3"/>
          <w:w w:val="105"/>
          <w:sz w:val="18"/>
        </w:rPr>
        <w:t>trabaja</w:t>
      </w:r>
      <w:r>
        <w:rPr>
          <w:rFonts w:ascii="Arial" w:hAnsi="Arial"/>
          <w:i/>
          <w:color w:val="231F20"/>
          <w:spacing w:val="-13"/>
          <w:w w:val="105"/>
          <w:sz w:val="18"/>
        </w:rPr>
        <w:t> </w:t>
      </w:r>
      <w:r>
        <w:rPr>
          <w:rFonts w:ascii="Arial" w:hAnsi="Arial"/>
          <w:i/>
          <w:color w:val="231F20"/>
          <w:w w:val="105"/>
          <w:sz w:val="18"/>
        </w:rPr>
        <w:t>con</w:t>
      </w:r>
      <w:r>
        <w:rPr>
          <w:rFonts w:ascii="Arial" w:hAnsi="Arial"/>
          <w:i/>
          <w:color w:val="231F20"/>
          <w:spacing w:val="-13"/>
          <w:w w:val="105"/>
          <w:sz w:val="18"/>
        </w:rPr>
        <w:t> </w:t>
      </w:r>
      <w:r>
        <w:rPr>
          <w:rFonts w:ascii="Arial" w:hAnsi="Arial"/>
          <w:i/>
          <w:color w:val="231F20"/>
          <w:w w:val="105"/>
          <w:sz w:val="18"/>
        </w:rPr>
        <w:t>lo</w:t>
      </w:r>
      <w:r>
        <w:rPr>
          <w:rFonts w:ascii="Arial" w:hAnsi="Arial"/>
          <w:i/>
          <w:color w:val="231F20"/>
          <w:spacing w:val="-13"/>
          <w:w w:val="105"/>
          <w:sz w:val="18"/>
        </w:rPr>
        <w:t> </w:t>
      </w:r>
      <w:r>
        <w:rPr>
          <w:rFonts w:ascii="Arial" w:hAnsi="Arial"/>
          <w:i/>
          <w:color w:val="231F20"/>
          <w:w w:val="105"/>
          <w:sz w:val="18"/>
        </w:rPr>
        <w:t>de</w:t>
      </w:r>
      <w:r>
        <w:rPr>
          <w:rFonts w:ascii="Arial" w:hAnsi="Arial"/>
          <w:i/>
          <w:color w:val="231F20"/>
          <w:spacing w:val="-13"/>
          <w:w w:val="105"/>
          <w:sz w:val="18"/>
        </w:rPr>
        <w:t> </w:t>
      </w:r>
      <w:r>
        <w:rPr>
          <w:rFonts w:ascii="Arial" w:hAnsi="Arial"/>
          <w:i/>
          <w:color w:val="231F20"/>
          <w:w w:val="105"/>
          <w:sz w:val="18"/>
        </w:rPr>
        <w:t>la</w:t>
      </w:r>
      <w:r>
        <w:rPr>
          <w:rFonts w:ascii="Arial" w:hAnsi="Arial"/>
          <w:i/>
          <w:color w:val="231F20"/>
          <w:spacing w:val="-13"/>
          <w:w w:val="105"/>
          <w:sz w:val="18"/>
        </w:rPr>
        <w:t> </w:t>
      </w:r>
      <w:r>
        <w:rPr>
          <w:rFonts w:ascii="Arial" w:hAnsi="Arial"/>
          <w:i/>
          <w:color w:val="231F20"/>
          <w:w w:val="105"/>
          <w:sz w:val="18"/>
        </w:rPr>
        <w:t>flor?</w:t>
      </w:r>
      <w:r>
        <w:rPr>
          <w:rFonts w:ascii="Arial" w:hAnsi="Arial"/>
          <w:i/>
          <w:color w:val="231F20"/>
          <w:spacing w:val="-13"/>
          <w:w w:val="105"/>
          <w:sz w:val="18"/>
        </w:rPr>
        <w:t> </w:t>
      </w:r>
      <w:r>
        <w:rPr>
          <w:color w:val="231F20"/>
          <w:spacing w:val="-3"/>
          <w:w w:val="105"/>
          <w:sz w:val="18"/>
        </w:rPr>
        <w:t>No,</w:t>
      </w:r>
      <w:r>
        <w:rPr>
          <w:color w:val="231F20"/>
          <w:spacing w:val="-16"/>
          <w:w w:val="105"/>
          <w:sz w:val="18"/>
        </w:rPr>
        <w:t> </w:t>
      </w:r>
      <w:r>
        <w:rPr>
          <w:color w:val="231F20"/>
          <w:w w:val="105"/>
          <w:sz w:val="18"/>
        </w:rPr>
        <w:t>no</w:t>
      </w:r>
      <w:r>
        <w:rPr>
          <w:color w:val="231F20"/>
          <w:spacing w:val="-11"/>
          <w:w w:val="105"/>
          <w:sz w:val="18"/>
        </w:rPr>
        <w:t> </w:t>
      </w:r>
      <w:r>
        <w:rPr>
          <w:color w:val="231F20"/>
          <w:spacing w:val="-3"/>
          <w:w w:val="105"/>
          <w:sz w:val="18"/>
        </w:rPr>
        <w:t>comeríamos</w:t>
      </w:r>
      <w:r>
        <w:rPr>
          <w:color w:val="231F20"/>
          <w:spacing w:val="-11"/>
          <w:w w:val="105"/>
          <w:sz w:val="18"/>
        </w:rPr>
        <w:t> </w:t>
      </w:r>
      <w:r>
        <w:rPr>
          <w:color w:val="231F20"/>
          <w:spacing w:val="-3"/>
          <w:w w:val="105"/>
          <w:sz w:val="18"/>
        </w:rPr>
        <w:t>(risas).</w:t>
      </w:r>
      <w:r>
        <w:rPr>
          <w:color w:val="231F20"/>
          <w:spacing w:val="-19"/>
          <w:w w:val="105"/>
          <w:sz w:val="18"/>
        </w:rPr>
        <w:t> </w:t>
      </w:r>
      <w:r>
        <w:rPr>
          <w:color w:val="231F20"/>
          <w:spacing w:val="-10"/>
          <w:w w:val="105"/>
          <w:sz w:val="18"/>
        </w:rPr>
        <w:t>Yo</w:t>
      </w:r>
      <w:r>
        <w:rPr>
          <w:color w:val="231F20"/>
          <w:spacing w:val="-11"/>
          <w:w w:val="105"/>
          <w:sz w:val="18"/>
        </w:rPr>
        <w:t> </w:t>
      </w:r>
      <w:r>
        <w:rPr>
          <w:color w:val="231F20"/>
          <w:spacing w:val="-3"/>
          <w:w w:val="105"/>
          <w:sz w:val="18"/>
        </w:rPr>
        <w:t>me </w:t>
      </w:r>
      <w:r>
        <w:rPr>
          <w:color w:val="231F20"/>
          <w:w w:val="105"/>
          <w:sz w:val="18"/>
        </w:rPr>
        <w:t>voy</w:t>
      </w:r>
      <w:r>
        <w:rPr>
          <w:color w:val="231F20"/>
          <w:spacing w:val="-17"/>
          <w:w w:val="105"/>
          <w:sz w:val="18"/>
        </w:rPr>
        <w:t> </w:t>
      </w:r>
      <w:r>
        <w:rPr>
          <w:color w:val="231F20"/>
          <w:w w:val="105"/>
          <w:sz w:val="18"/>
        </w:rPr>
        <w:t>con</w:t>
      </w:r>
      <w:r>
        <w:rPr>
          <w:color w:val="231F20"/>
          <w:spacing w:val="-17"/>
          <w:w w:val="105"/>
          <w:sz w:val="18"/>
        </w:rPr>
        <w:t> </w:t>
      </w:r>
      <w:r>
        <w:rPr>
          <w:color w:val="231F20"/>
          <w:w w:val="105"/>
          <w:sz w:val="18"/>
        </w:rPr>
        <w:t>un</w:t>
      </w:r>
      <w:r>
        <w:rPr>
          <w:color w:val="231F20"/>
          <w:spacing w:val="-17"/>
          <w:w w:val="105"/>
          <w:sz w:val="18"/>
        </w:rPr>
        <w:t> </w:t>
      </w:r>
      <w:r>
        <w:rPr>
          <w:color w:val="231F20"/>
          <w:spacing w:val="-3"/>
          <w:w w:val="105"/>
          <w:sz w:val="18"/>
        </w:rPr>
        <w:t>cuñado</w:t>
      </w:r>
      <w:r>
        <w:rPr>
          <w:color w:val="231F20"/>
          <w:spacing w:val="-17"/>
          <w:w w:val="105"/>
          <w:sz w:val="18"/>
        </w:rPr>
        <w:t> </w:t>
      </w:r>
      <w:r>
        <w:rPr>
          <w:color w:val="231F20"/>
          <w:w w:val="105"/>
          <w:sz w:val="18"/>
        </w:rPr>
        <w:t>a</w:t>
      </w:r>
      <w:r>
        <w:rPr>
          <w:color w:val="231F20"/>
          <w:spacing w:val="-20"/>
          <w:w w:val="105"/>
          <w:sz w:val="18"/>
        </w:rPr>
        <w:t> </w:t>
      </w:r>
      <w:r>
        <w:rPr>
          <w:color w:val="231F20"/>
          <w:spacing w:val="-6"/>
          <w:w w:val="105"/>
          <w:sz w:val="18"/>
        </w:rPr>
        <w:t>Toluca</w:t>
      </w:r>
      <w:r>
        <w:rPr>
          <w:color w:val="231F20"/>
          <w:spacing w:val="-17"/>
          <w:w w:val="105"/>
          <w:sz w:val="18"/>
        </w:rPr>
        <w:t> </w:t>
      </w:r>
      <w:r>
        <w:rPr>
          <w:color w:val="231F20"/>
          <w:w w:val="105"/>
          <w:sz w:val="18"/>
        </w:rPr>
        <w:t>o</w:t>
      </w:r>
      <w:r>
        <w:rPr>
          <w:color w:val="231F20"/>
          <w:spacing w:val="-17"/>
          <w:w w:val="105"/>
          <w:sz w:val="18"/>
        </w:rPr>
        <w:t> </w:t>
      </w:r>
      <w:r>
        <w:rPr>
          <w:color w:val="231F20"/>
          <w:w w:val="105"/>
          <w:sz w:val="18"/>
        </w:rPr>
        <w:t>a</w:t>
      </w:r>
      <w:r>
        <w:rPr>
          <w:color w:val="231F20"/>
          <w:spacing w:val="-20"/>
          <w:w w:val="105"/>
          <w:sz w:val="18"/>
        </w:rPr>
        <w:t> </w:t>
      </w:r>
      <w:r>
        <w:rPr>
          <w:color w:val="231F20"/>
          <w:spacing w:val="-5"/>
          <w:w w:val="105"/>
          <w:sz w:val="18"/>
        </w:rPr>
        <w:t>Tenango,</w:t>
      </w:r>
      <w:r>
        <w:rPr>
          <w:color w:val="231F20"/>
          <w:spacing w:val="-21"/>
          <w:w w:val="105"/>
          <w:sz w:val="18"/>
        </w:rPr>
        <w:t> </w:t>
      </w:r>
      <w:r>
        <w:rPr>
          <w:color w:val="231F20"/>
          <w:spacing w:val="-3"/>
          <w:w w:val="105"/>
          <w:sz w:val="18"/>
        </w:rPr>
        <w:t>allá</w:t>
      </w:r>
      <w:r>
        <w:rPr>
          <w:color w:val="231F20"/>
          <w:spacing w:val="-17"/>
          <w:w w:val="105"/>
          <w:sz w:val="18"/>
        </w:rPr>
        <w:t> </w:t>
      </w:r>
      <w:r>
        <w:rPr>
          <w:color w:val="231F20"/>
          <w:spacing w:val="-3"/>
          <w:w w:val="105"/>
          <w:sz w:val="18"/>
        </w:rPr>
        <w:t>hacemos</w:t>
      </w:r>
      <w:r>
        <w:rPr>
          <w:color w:val="231F20"/>
          <w:spacing w:val="-17"/>
          <w:w w:val="105"/>
          <w:sz w:val="18"/>
        </w:rPr>
        <w:t> </w:t>
      </w:r>
      <w:r>
        <w:rPr>
          <w:color w:val="231F20"/>
          <w:spacing w:val="-3"/>
          <w:w w:val="105"/>
          <w:sz w:val="18"/>
        </w:rPr>
        <w:t>algunos</w:t>
      </w:r>
      <w:r>
        <w:rPr>
          <w:color w:val="231F20"/>
          <w:spacing w:val="-17"/>
          <w:w w:val="105"/>
          <w:sz w:val="18"/>
        </w:rPr>
        <w:t> </w:t>
      </w:r>
      <w:r>
        <w:rPr>
          <w:color w:val="231F20"/>
          <w:spacing w:val="-4"/>
          <w:w w:val="105"/>
          <w:sz w:val="18"/>
        </w:rPr>
        <w:t>trabajos, </w:t>
      </w:r>
      <w:r>
        <w:rPr>
          <w:color w:val="231F20"/>
          <w:w w:val="105"/>
          <w:sz w:val="18"/>
        </w:rPr>
        <w:t>en</w:t>
      </w:r>
      <w:r>
        <w:rPr>
          <w:color w:val="231F20"/>
          <w:spacing w:val="-33"/>
          <w:w w:val="105"/>
          <w:sz w:val="18"/>
        </w:rPr>
        <w:t> </w:t>
      </w:r>
      <w:r>
        <w:rPr>
          <w:color w:val="231F20"/>
          <w:spacing w:val="-3"/>
          <w:w w:val="105"/>
          <w:sz w:val="18"/>
        </w:rPr>
        <w:t>veces</w:t>
      </w:r>
      <w:r>
        <w:rPr>
          <w:color w:val="231F20"/>
          <w:spacing w:val="-33"/>
          <w:w w:val="105"/>
          <w:sz w:val="18"/>
        </w:rPr>
        <w:t> </w:t>
      </w:r>
      <w:r>
        <w:rPr>
          <w:color w:val="231F20"/>
          <w:spacing w:val="-3"/>
          <w:w w:val="105"/>
          <w:sz w:val="18"/>
        </w:rPr>
        <w:t>hacemos</w:t>
      </w:r>
      <w:r>
        <w:rPr>
          <w:color w:val="231F20"/>
          <w:spacing w:val="-33"/>
          <w:w w:val="105"/>
          <w:sz w:val="18"/>
        </w:rPr>
        <w:t> </w:t>
      </w:r>
      <w:r>
        <w:rPr>
          <w:color w:val="231F20"/>
          <w:spacing w:val="-3"/>
          <w:w w:val="105"/>
          <w:sz w:val="18"/>
        </w:rPr>
        <w:t>chambitas,</w:t>
      </w:r>
      <w:r>
        <w:rPr>
          <w:color w:val="231F20"/>
          <w:spacing w:val="-36"/>
          <w:w w:val="105"/>
          <w:sz w:val="18"/>
        </w:rPr>
        <w:t> </w:t>
      </w:r>
      <w:r>
        <w:rPr>
          <w:color w:val="231F20"/>
          <w:w w:val="105"/>
          <w:sz w:val="18"/>
        </w:rPr>
        <w:t>en</w:t>
      </w:r>
      <w:r>
        <w:rPr>
          <w:color w:val="231F20"/>
          <w:spacing w:val="-33"/>
          <w:w w:val="105"/>
          <w:sz w:val="18"/>
        </w:rPr>
        <w:t> </w:t>
      </w:r>
      <w:r>
        <w:rPr>
          <w:color w:val="231F20"/>
          <w:spacing w:val="-3"/>
          <w:w w:val="105"/>
          <w:sz w:val="18"/>
        </w:rPr>
        <w:t>veces</w:t>
      </w:r>
      <w:r>
        <w:rPr>
          <w:color w:val="231F20"/>
          <w:spacing w:val="-33"/>
          <w:w w:val="105"/>
          <w:sz w:val="18"/>
        </w:rPr>
        <w:t> </w:t>
      </w:r>
      <w:r>
        <w:rPr>
          <w:color w:val="231F20"/>
          <w:spacing w:val="-3"/>
          <w:w w:val="105"/>
          <w:sz w:val="18"/>
        </w:rPr>
        <w:t>vamos</w:t>
      </w:r>
      <w:r>
        <w:rPr>
          <w:color w:val="231F20"/>
          <w:spacing w:val="-33"/>
          <w:w w:val="105"/>
          <w:sz w:val="18"/>
        </w:rPr>
        <w:t> </w:t>
      </w:r>
      <w:r>
        <w:rPr>
          <w:color w:val="231F20"/>
          <w:w w:val="105"/>
          <w:sz w:val="18"/>
        </w:rPr>
        <w:t>al</w:t>
      </w:r>
      <w:r>
        <w:rPr>
          <w:color w:val="231F20"/>
          <w:spacing w:val="-33"/>
          <w:w w:val="105"/>
          <w:sz w:val="18"/>
        </w:rPr>
        <w:t> </w:t>
      </w:r>
      <w:r>
        <w:rPr>
          <w:color w:val="231F20"/>
          <w:spacing w:val="-4"/>
          <w:w w:val="105"/>
          <w:sz w:val="18"/>
        </w:rPr>
        <w:t>chícharo,</w:t>
      </w:r>
      <w:r>
        <w:rPr>
          <w:color w:val="231F20"/>
          <w:spacing w:val="-36"/>
          <w:w w:val="105"/>
          <w:sz w:val="18"/>
        </w:rPr>
        <w:t> </w:t>
      </w:r>
      <w:r>
        <w:rPr>
          <w:color w:val="231F20"/>
          <w:spacing w:val="-3"/>
          <w:w w:val="105"/>
          <w:sz w:val="18"/>
        </w:rPr>
        <w:t>sólo</w:t>
      </w:r>
      <w:r>
        <w:rPr>
          <w:color w:val="231F20"/>
          <w:spacing w:val="-33"/>
          <w:w w:val="105"/>
          <w:sz w:val="18"/>
        </w:rPr>
        <w:t> </w:t>
      </w:r>
      <w:r>
        <w:rPr>
          <w:color w:val="231F20"/>
          <w:w w:val="105"/>
          <w:sz w:val="18"/>
        </w:rPr>
        <w:t>así</w:t>
      </w:r>
      <w:r>
        <w:rPr>
          <w:color w:val="231F20"/>
          <w:spacing w:val="-33"/>
          <w:w w:val="105"/>
          <w:sz w:val="18"/>
        </w:rPr>
        <w:t> </w:t>
      </w:r>
      <w:r>
        <w:rPr>
          <w:color w:val="231F20"/>
          <w:w w:val="105"/>
          <w:sz w:val="18"/>
        </w:rPr>
        <w:t>se</w:t>
      </w:r>
      <w:r>
        <w:rPr>
          <w:color w:val="231F20"/>
          <w:spacing w:val="-33"/>
          <w:w w:val="105"/>
          <w:sz w:val="18"/>
        </w:rPr>
        <w:t> </w:t>
      </w:r>
      <w:r>
        <w:rPr>
          <w:color w:val="231F20"/>
          <w:spacing w:val="-3"/>
          <w:w w:val="105"/>
          <w:sz w:val="18"/>
        </w:rPr>
        <w:t>pue- </w:t>
      </w:r>
      <w:r>
        <w:rPr>
          <w:color w:val="231F20"/>
          <w:w w:val="105"/>
          <w:sz w:val="18"/>
        </w:rPr>
        <w:t>de</w:t>
      </w:r>
      <w:r>
        <w:rPr>
          <w:color w:val="231F20"/>
          <w:spacing w:val="-13"/>
          <w:w w:val="105"/>
          <w:sz w:val="18"/>
        </w:rPr>
        <w:t> </w:t>
      </w:r>
      <w:r>
        <w:rPr>
          <w:color w:val="231F20"/>
          <w:spacing w:val="-3"/>
          <w:w w:val="105"/>
          <w:sz w:val="18"/>
        </w:rPr>
        <w:t>juntar</w:t>
      </w:r>
      <w:r>
        <w:rPr>
          <w:color w:val="231F20"/>
          <w:spacing w:val="-13"/>
          <w:w w:val="105"/>
          <w:sz w:val="18"/>
        </w:rPr>
        <w:t> </w:t>
      </w:r>
      <w:r>
        <w:rPr>
          <w:color w:val="231F20"/>
          <w:w w:val="105"/>
          <w:sz w:val="18"/>
        </w:rPr>
        <w:t>pa´</w:t>
      </w:r>
      <w:r>
        <w:rPr>
          <w:color w:val="231F20"/>
          <w:spacing w:val="-13"/>
          <w:w w:val="105"/>
          <w:sz w:val="18"/>
        </w:rPr>
        <w:t> </w:t>
      </w:r>
      <w:r>
        <w:rPr>
          <w:color w:val="231F20"/>
          <w:w w:val="105"/>
          <w:sz w:val="18"/>
        </w:rPr>
        <w:t>lo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la</w:t>
      </w:r>
      <w:r>
        <w:rPr>
          <w:color w:val="231F20"/>
          <w:spacing w:val="-13"/>
          <w:w w:val="105"/>
          <w:sz w:val="18"/>
        </w:rPr>
        <w:t> </w:t>
      </w:r>
      <w:r>
        <w:rPr>
          <w:color w:val="231F20"/>
          <w:spacing w:val="-4"/>
          <w:w w:val="105"/>
          <w:sz w:val="18"/>
        </w:rPr>
        <w:t>flor.</w:t>
      </w:r>
      <w:r>
        <w:rPr>
          <w:color w:val="231F20"/>
          <w:spacing w:val="-19"/>
          <w:w w:val="105"/>
          <w:sz w:val="18"/>
        </w:rPr>
        <w:t> </w:t>
      </w:r>
      <w:r>
        <w:rPr>
          <w:color w:val="231F20"/>
          <w:spacing w:val="-3"/>
          <w:w w:val="105"/>
          <w:sz w:val="18"/>
        </w:rPr>
        <w:t>Como</w:t>
      </w:r>
      <w:r>
        <w:rPr>
          <w:color w:val="231F20"/>
          <w:spacing w:val="-13"/>
          <w:w w:val="105"/>
          <w:sz w:val="18"/>
        </w:rPr>
        <w:t> </w:t>
      </w:r>
      <w:r>
        <w:rPr>
          <w:color w:val="231F20"/>
          <w:spacing w:val="-3"/>
          <w:w w:val="105"/>
          <w:sz w:val="18"/>
        </w:rPr>
        <w:t>ora</w:t>
      </w:r>
      <w:r>
        <w:rPr>
          <w:color w:val="231F20"/>
          <w:spacing w:val="-13"/>
          <w:w w:val="105"/>
          <w:sz w:val="18"/>
        </w:rPr>
        <w:t> </w:t>
      </w:r>
      <w:r>
        <w:rPr>
          <w:color w:val="231F20"/>
          <w:spacing w:val="-3"/>
          <w:w w:val="105"/>
          <w:sz w:val="18"/>
        </w:rPr>
        <w:t>mire,</w:t>
      </w:r>
      <w:r>
        <w:rPr>
          <w:color w:val="231F20"/>
          <w:spacing w:val="-19"/>
          <w:w w:val="105"/>
          <w:sz w:val="18"/>
        </w:rPr>
        <w:t> </w:t>
      </w:r>
      <w:r>
        <w:rPr>
          <w:color w:val="231F20"/>
          <w:w w:val="105"/>
          <w:sz w:val="18"/>
        </w:rPr>
        <w:t>yo</w:t>
      </w:r>
      <w:r>
        <w:rPr>
          <w:color w:val="231F20"/>
          <w:spacing w:val="-13"/>
          <w:w w:val="105"/>
          <w:sz w:val="18"/>
        </w:rPr>
        <w:t> </w:t>
      </w:r>
      <w:r>
        <w:rPr>
          <w:color w:val="231F20"/>
          <w:w w:val="105"/>
          <w:sz w:val="18"/>
        </w:rPr>
        <w:t>le</w:t>
      </w:r>
      <w:r>
        <w:rPr>
          <w:color w:val="231F20"/>
          <w:spacing w:val="-13"/>
          <w:w w:val="105"/>
          <w:sz w:val="18"/>
        </w:rPr>
        <w:t> </w:t>
      </w:r>
      <w:r>
        <w:rPr>
          <w:color w:val="231F20"/>
          <w:spacing w:val="-3"/>
          <w:w w:val="105"/>
          <w:sz w:val="18"/>
        </w:rPr>
        <w:t>digo</w:t>
      </w:r>
      <w:r>
        <w:rPr>
          <w:color w:val="231F20"/>
          <w:spacing w:val="-13"/>
          <w:w w:val="105"/>
          <w:sz w:val="18"/>
        </w:rPr>
        <w:t> </w:t>
      </w:r>
      <w:r>
        <w:rPr>
          <w:color w:val="231F20"/>
          <w:w w:val="105"/>
          <w:sz w:val="18"/>
        </w:rPr>
        <w:t>a</w:t>
      </w:r>
      <w:r>
        <w:rPr>
          <w:color w:val="231F20"/>
          <w:spacing w:val="-13"/>
          <w:w w:val="105"/>
          <w:sz w:val="18"/>
        </w:rPr>
        <w:t> </w:t>
      </w:r>
      <w:r>
        <w:rPr>
          <w:color w:val="231F20"/>
          <w:w w:val="105"/>
          <w:sz w:val="18"/>
        </w:rPr>
        <w:t>mi</w:t>
      </w:r>
      <w:r>
        <w:rPr>
          <w:color w:val="231F20"/>
          <w:spacing w:val="-13"/>
          <w:w w:val="105"/>
          <w:sz w:val="18"/>
        </w:rPr>
        <w:t> </w:t>
      </w:r>
      <w:r>
        <w:rPr>
          <w:color w:val="231F20"/>
          <w:spacing w:val="-3"/>
          <w:w w:val="105"/>
          <w:sz w:val="18"/>
        </w:rPr>
        <w:t>mujer</w:t>
      </w:r>
      <w:r>
        <w:rPr>
          <w:color w:val="231F20"/>
          <w:spacing w:val="-13"/>
          <w:w w:val="105"/>
          <w:sz w:val="18"/>
        </w:rPr>
        <w:t> </w:t>
      </w:r>
      <w:r>
        <w:rPr>
          <w:color w:val="231F20"/>
          <w:w w:val="105"/>
          <w:sz w:val="18"/>
        </w:rPr>
        <w:t>que</w:t>
      </w:r>
      <w:r>
        <w:rPr>
          <w:color w:val="231F20"/>
          <w:spacing w:val="-13"/>
          <w:w w:val="105"/>
          <w:sz w:val="18"/>
        </w:rPr>
        <w:t> </w:t>
      </w:r>
      <w:r>
        <w:rPr>
          <w:color w:val="231F20"/>
          <w:spacing w:val="-3"/>
          <w:w w:val="105"/>
          <w:sz w:val="18"/>
        </w:rPr>
        <w:t>mejor </w:t>
      </w:r>
      <w:r>
        <w:rPr>
          <w:color w:val="231F20"/>
          <w:w w:val="105"/>
          <w:sz w:val="18"/>
        </w:rPr>
        <w:t>me</w:t>
      </w:r>
      <w:r>
        <w:rPr>
          <w:color w:val="231F20"/>
          <w:spacing w:val="-14"/>
          <w:w w:val="105"/>
          <w:sz w:val="18"/>
        </w:rPr>
        <w:t> </w:t>
      </w:r>
      <w:r>
        <w:rPr>
          <w:color w:val="231F20"/>
          <w:w w:val="105"/>
          <w:sz w:val="18"/>
        </w:rPr>
        <w:t>voy</w:t>
      </w:r>
      <w:r>
        <w:rPr>
          <w:color w:val="231F20"/>
          <w:spacing w:val="-14"/>
          <w:w w:val="105"/>
          <w:sz w:val="18"/>
        </w:rPr>
        <w:t> </w:t>
      </w:r>
      <w:r>
        <w:rPr>
          <w:color w:val="231F20"/>
          <w:spacing w:val="-3"/>
          <w:w w:val="105"/>
          <w:sz w:val="18"/>
        </w:rPr>
        <w:t>pa´l</w:t>
      </w:r>
      <w:r>
        <w:rPr>
          <w:color w:val="231F20"/>
          <w:spacing w:val="-14"/>
          <w:w w:val="105"/>
          <w:sz w:val="18"/>
        </w:rPr>
        <w:t> </w:t>
      </w:r>
      <w:r>
        <w:rPr>
          <w:color w:val="231F20"/>
          <w:spacing w:val="-3"/>
          <w:w w:val="105"/>
          <w:sz w:val="18"/>
        </w:rPr>
        <w:t>otro</w:t>
      </w:r>
      <w:r>
        <w:rPr>
          <w:color w:val="231F20"/>
          <w:spacing w:val="-14"/>
          <w:w w:val="105"/>
          <w:sz w:val="18"/>
        </w:rPr>
        <w:t> </w:t>
      </w:r>
      <w:r>
        <w:rPr>
          <w:color w:val="231F20"/>
          <w:spacing w:val="-3"/>
          <w:w w:val="105"/>
          <w:sz w:val="18"/>
        </w:rPr>
        <w:t>lado,</w:t>
      </w:r>
      <w:r>
        <w:rPr>
          <w:color w:val="231F20"/>
          <w:spacing w:val="-18"/>
          <w:w w:val="105"/>
          <w:sz w:val="18"/>
        </w:rPr>
        <w:t> </w:t>
      </w:r>
      <w:r>
        <w:rPr>
          <w:color w:val="231F20"/>
          <w:w w:val="105"/>
          <w:sz w:val="18"/>
        </w:rPr>
        <w:t>uno</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sus</w:t>
      </w:r>
      <w:r>
        <w:rPr>
          <w:color w:val="231F20"/>
          <w:spacing w:val="-14"/>
          <w:w w:val="105"/>
          <w:sz w:val="18"/>
        </w:rPr>
        <w:t> </w:t>
      </w:r>
      <w:r>
        <w:rPr>
          <w:color w:val="231F20"/>
          <w:spacing w:val="-3"/>
          <w:w w:val="105"/>
          <w:sz w:val="18"/>
        </w:rPr>
        <w:t>hermanos</w:t>
      </w:r>
      <w:r>
        <w:rPr>
          <w:color w:val="231F20"/>
          <w:spacing w:val="-14"/>
          <w:w w:val="105"/>
          <w:sz w:val="18"/>
        </w:rPr>
        <w:t> </w:t>
      </w:r>
      <w:r>
        <w:rPr>
          <w:color w:val="231F20"/>
          <w:w w:val="105"/>
          <w:sz w:val="18"/>
        </w:rPr>
        <w:t>de</w:t>
      </w:r>
      <w:r>
        <w:rPr>
          <w:color w:val="231F20"/>
          <w:spacing w:val="-14"/>
          <w:w w:val="105"/>
          <w:sz w:val="18"/>
        </w:rPr>
        <w:t> </w:t>
      </w:r>
      <w:r>
        <w:rPr>
          <w:color w:val="231F20"/>
          <w:spacing w:val="-3"/>
          <w:w w:val="105"/>
          <w:sz w:val="18"/>
        </w:rPr>
        <w:t>ella</w:t>
      </w:r>
      <w:r>
        <w:rPr>
          <w:color w:val="231F20"/>
          <w:spacing w:val="-14"/>
          <w:w w:val="105"/>
          <w:sz w:val="18"/>
        </w:rPr>
        <w:t> </w:t>
      </w:r>
      <w:r>
        <w:rPr>
          <w:color w:val="231F20"/>
          <w:w w:val="105"/>
          <w:sz w:val="18"/>
        </w:rPr>
        <w:t>me</w:t>
      </w:r>
      <w:r>
        <w:rPr>
          <w:color w:val="231F20"/>
          <w:spacing w:val="-14"/>
          <w:w w:val="105"/>
          <w:sz w:val="18"/>
        </w:rPr>
        <w:t> </w:t>
      </w:r>
      <w:r>
        <w:rPr>
          <w:color w:val="231F20"/>
          <w:spacing w:val="-3"/>
          <w:w w:val="105"/>
          <w:sz w:val="18"/>
        </w:rPr>
        <w:t>invita</w:t>
      </w:r>
      <w:r>
        <w:rPr>
          <w:color w:val="231F20"/>
          <w:spacing w:val="-14"/>
          <w:w w:val="105"/>
          <w:sz w:val="18"/>
        </w:rPr>
        <w:t> </w:t>
      </w:r>
      <w:r>
        <w:rPr>
          <w:color w:val="231F20"/>
          <w:w w:val="105"/>
          <w:sz w:val="18"/>
        </w:rPr>
        <w:t>y</w:t>
      </w:r>
      <w:r>
        <w:rPr>
          <w:color w:val="231F20"/>
          <w:spacing w:val="-14"/>
          <w:w w:val="105"/>
          <w:sz w:val="18"/>
        </w:rPr>
        <w:t> </w:t>
      </w:r>
      <w:r>
        <w:rPr>
          <w:color w:val="231F20"/>
          <w:w w:val="105"/>
          <w:sz w:val="18"/>
        </w:rPr>
        <w:t>me</w:t>
      </w:r>
      <w:r>
        <w:rPr>
          <w:color w:val="231F20"/>
          <w:spacing w:val="-14"/>
          <w:w w:val="105"/>
          <w:sz w:val="18"/>
        </w:rPr>
        <w:t> </w:t>
      </w:r>
      <w:r>
        <w:rPr>
          <w:color w:val="231F20"/>
          <w:spacing w:val="-3"/>
          <w:w w:val="105"/>
          <w:sz w:val="18"/>
        </w:rPr>
        <w:t>invita, </w:t>
      </w:r>
      <w:r>
        <w:rPr>
          <w:color w:val="231F20"/>
          <w:w w:val="105"/>
          <w:sz w:val="18"/>
        </w:rPr>
        <w:t>así</w:t>
      </w:r>
      <w:r>
        <w:rPr>
          <w:color w:val="231F20"/>
          <w:spacing w:val="-15"/>
          <w:w w:val="105"/>
          <w:sz w:val="18"/>
        </w:rPr>
        <w:t> </w:t>
      </w:r>
      <w:r>
        <w:rPr>
          <w:color w:val="231F20"/>
          <w:w w:val="105"/>
          <w:sz w:val="18"/>
        </w:rPr>
        <w:t>me</w:t>
      </w:r>
      <w:r>
        <w:rPr>
          <w:color w:val="231F20"/>
          <w:spacing w:val="-15"/>
          <w:w w:val="105"/>
          <w:sz w:val="18"/>
        </w:rPr>
        <w:t> </w:t>
      </w:r>
      <w:r>
        <w:rPr>
          <w:color w:val="231F20"/>
          <w:spacing w:val="-3"/>
          <w:w w:val="105"/>
          <w:sz w:val="18"/>
        </w:rPr>
        <w:t>dice</w:t>
      </w:r>
      <w:r>
        <w:rPr>
          <w:color w:val="231F20"/>
          <w:spacing w:val="-15"/>
          <w:w w:val="105"/>
          <w:sz w:val="18"/>
        </w:rPr>
        <w:t> </w:t>
      </w:r>
      <w:r>
        <w:rPr>
          <w:color w:val="231F20"/>
          <w:w w:val="105"/>
          <w:sz w:val="18"/>
        </w:rPr>
        <w:t>que</w:t>
      </w:r>
      <w:r>
        <w:rPr>
          <w:color w:val="231F20"/>
          <w:spacing w:val="-15"/>
          <w:w w:val="105"/>
          <w:sz w:val="18"/>
        </w:rPr>
        <w:t> </w:t>
      </w:r>
      <w:r>
        <w:rPr>
          <w:color w:val="231F20"/>
          <w:w w:val="105"/>
          <w:sz w:val="18"/>
        </w:rPr>
        <w:t>me</w:t>
      </w:r>
      <w:r>
        <w:rPr>
          <w:color w:val="231F20"/>
          <w:spacing w:val="-15"/>
          <w:w w:val="105"/>
          <w:sz w:val="18"/>
        </w:rPr>
        <w:t> </w:t>
      </w:r>
      <w:r>
        <w:rPr>
          <w:color w:val="231F20"/>
          <w:spacing w:val="-3"/>
          <w:w w:val="105"/>
          <w:sz w:val="18"/>
        </w:rPr>
        <w:t>junto</w:t>
      </w:r>
      <w:r>
        <w:rPr>
          <w:color w:val="231F20"/>
          <w:spacing w:val="-15"/>
          <w:w w:val="105"/>
          <w:sz w:val="18"/>
        </w:rPr>
        <w:t> </w:t>
      </w:r>
      <w:r>
        <w:rPr>
          <w:color w:val="231F20"/>
          <w:w w:val="105"/>
          <w:sz w:val="18"/>
        </w:rPr>
        <w:t>un</w:t>
      </w:r>
      <w:r>
        <w:rPr>
          <w:color w:val="231F20"/>
          <w:spacing w:val="-15"/>
          <w:w w:val="105"/>
          <w:sz w:val="18"/>
        </w:rPr>
        <w:t> </w:t>
      </w:r>
      <w:r>
        <w:rPr>
          <w:color w:val="231F20"/>
          <w:spacing w:val="-3"/>
          <w:w w:val="105"/>
          <w:sz w:val="18"/>
        </w:rPr>
        <w:t>dinero</w:t>
      </w:r>
      <w:r>
        <w:rPr>
          <w:color w:val="231F20"/>
          <w:spacing w:val="-15"/>
          <w:w w:val="105"/>
          <w:sz w:val="18"/>
        </w:rPr>
        <w:t> </w:t>
      </w:r>
      <w:r>
        <w:rPr>
          <w:color w:val="231F20"/>
          <w:w w:val="105"/>
          <w:sz w:val="18"/>
        </w:rPr>
        <w:t>por</w:t>
      </w:r>
      <w:r>
        <w:rPr>
          <w:color w:val="231F20"/>
          <w:spacing w:val="-15"/>
          <w:w w:val="105"/>
          <w:sz w:val="18"/>
        </w:rPr>
        <w:t> </w:t>
      </w:r>
      <w:r>
        <w:rPr>
          <w:color w:val="231F20"/>
          <w:spacing w:val="-3"/>
          <w:w w:val="105"/>
          <w:sz w:val="18"/>
        </w:rPr>
        <w:t>allá,</w:t>
      </w:r>
      <w:r>
        <w:rPr>
          <w:color w:val="231F20"/>
          <w:spacing w:val="-20"/>
          <w:w w:val="105"/>
          <w:sz w:val="18"/>
        </w:rPr>
        <w:t> </w:t>
      </w:r>
      <w:r>
        <w:rPr>
          <w:color w:val="231F20"/>
          <w:w w:val="105"/>
          <w:sz w:val="18"/>
        </w:rPr>
        <w:t>me</w:t>
      </w:r>
      <w:r>
        <w:rPr>
          <w:color w:val="231F20"/>
          <w:spacing w:val="-15"/>
          <w:w w:val="105"/>
          <w:sz w:val="18"/>
        </w:rPr>
        <w:t> </w:t>
      </w:r>
      <w:r>
        <w:rPr>
          <w:color w:val="231F20"/>
          <w:spacing w:val="-3"/>
          <w:w w:val="105"/>
          <w:sz w:val="18"/>
        </w:rPr>
        <w:t>compró</w:t>
      </w:r>
      <w:r>
        <w:rPr>
          <w:color w:val="231F20"/>
          <w:spacing w:val="-15"/>
          <w:w w:val="105"/>
          <w:sz w:val="18"/>
        </w:rPr>
        <w:t> </w:t>
      </w:r>
      <w:r>
        <w:rPr>
          <w:color w:val="231F20"/>
          <w:w w:val="105"/>
          <w:sz w:val="18"/>
        </w:rPr>
        <w:t>una</w:t>
      </w:r>
      <w:r>
        <w:rPr>
          <w:color w:val="231F20"/>
          <w:spacing w:val="-15"/>
          <w:w w:val="105"/>
          <w:sz w:val="18"/>
        </w:rPr>
        <w:t> </w:t>
      </w:r>
      <w:r>
        <w:rPr>
          <w:color w:val="231F20"/>
          <w:spacing w:val="-3"/>
          <w:w w:val="105"/>
          <w:sz w:val="18"/>
        </w:rPr>
        <w:t>camioneta</w:t>
      </w:r>
      <w:r>
        <w:rPr>
          <w:color w:val="231F20"/>
          <w:spacing w:val="-15"/>
          <w:w w:val="105"/>
          <w:sz w:val="18"/>
        </w:rPr>
        <w:t> </w:t>
      </w:r>
      <w:r>
        <w:rPr>
          <w:color w:val="231F20"/>
          <w:w w:val="105"/>
          <w:sz w:val="18"/>
        </w:rPr>
        <w:t>y me</w:t>
      </w:r>
      <w:r>
        <w:rPr>
          <w:color w:val="231F20"/>
          <w:spacing w:val="-21"/>
          <w:w w:val="105"/>
          <w:sz w:val="18"/>
        </w:rPr>
        <w:t> </w:t>
      </w:r>
      <w:r>
        <w:rPr>
          <w:color w:val="231F20"/>
          <w:w w:val="105"/>
          <w:sz w:val="18"/>
        </w:rPr>
        <w:t>voy</w:t>
      </w:r>
      <w:r>
        <w:rPr>
          <w:color w:val="231F20"/>
          <w:spacing w:val="-21"/>
          <w:w w:val="105"/>
          <w:sz w:val="18"/>
        </w:rPr>
        <w:t> </w:t>
      </w:r>
      <w:r>
        <w:rPr>
          <w:color w:val="231F20"/>
          <w:spacing w:val="-3"/>
          <w:w w:val="105"/>
          <w:sz w:val="18"/>
        </w:rPr>
        <w:t>haciendo</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mis</w:t>
      </w:r>
      <w:r>
        <w:rPr>
          <w:color w:val="231F20"/>
          <w:spacing w:val="-21"/>
          <w:w w:val="105"/>
          <w:sz w:val="18"/>
        </w:rPr>
        <w:t> </w:t>
      </w:r>
      <w:r>
        <w:rPr>
          <w:color w:val="231F20"/>
          <w:spacing w:val="-3"/>
          <w:w w:val="105"/>
          <w:sz w:val="18"/>
        </w:rPr>
        <w:t>cosas.</w:t>
      </w:r>
      <w:r>
        <w:rPr>
          <w:color w:val="231F20"/>
          <w:spacing w:val="-25"/>
          <w:w w:val="105"/>
          <w:sz w:val="18"/>
        </w:rPr>
        <w:t> </w:t>
      </w:r>
      <w:r>
        <w:rPr>
          <w:color w:val="231F20"/>
          <w:w w:val="105"/>
          <w:sz w:val="18"/>
        </w:rPr>
        <w:t>Él</w:t>
      </w:r>
      <w:r>
        <w:rPr>
          <w:color w:val="231F20"/>
          <w:spacing w:val="-21"/>
          <w:w w:val="105"/>
          <w:sz w:val="18"/>
        </w:rPr>
        <w:t> </w:t>
      </w:r>
      <w:r>
        <w:rPr>
          <w:color w:val="231F20"/>
          <w:spacing w:val="-3"/>
          <w:w w:val="105"/>
          <w:sz w:val="18"/>
        </w:rPr>
        <w:t>manda</w:t>
      </w:r>
      <w:r>
        <w:rPr>
          <w:color w:val="231F20"/>
          <w:spacing w:val="-21"/>
          <w:w w:val="105"/>
          <w:sz w:val="18"/>
        </w:rPr>
        <w:t> </w:t>
      </w:r>
      <w:r>
        <w:rPr>
          <w:color w:val="231F20"/>
          <w:w w:val="105"/>
          <w:sz w:val="18"/>
        </w:rPr>
        <w:t>a</w:t>
      </w:r>
      <w:r>
        <w:rPr>
          <w:color w:val="231F20"/>
          <w:spacing w:val="-21"/>
          <w:w w:val="105"/>
          <w:sz w:val="18"/>
        </w:rPr>
        <w:t> </w:t>
      </w:r>
      <w:r>
        <w:rPr>
          <w:color w:val="231F20"/>
          <w:w w:val="105"/>
          <w:sz w:val="18"/>
        </w:rPr>
        <w:t>su</w:t>
      </w:r>
      <w:r>
        <w:rPr>
          <w:color w:val="231F20"/>
          <w:spacing w:val="-21"/>
          <w:w w:val="105"/>
          <w:sz w:val="18"/>
        </w:rPr>
        <w:t> </w:t>
      </w:r>
      <w:r>
        <w:rPr>
          <w:color w:val="231F20"/>
          <w:spacing w:val="-3"/>
          <w:w w:val="105"/>
          <w:sz w:val="18"/>
        </w:rPr>
        <w:t>esposa</w:t>
      </w:r>
      <w:r>
        <w:rPr>
          <w:color w:val="231F20"/>
          <w:spacing w:val="-21"/>
          <w:w w:val="105"/>
          <w:sz w:val="18"/>
        </w:rPr>
        <w:t> </w:t>
      </w:r>
      <w:r>
        <w:rPr>
          <w:color w:val="231F20"/>
          <w:w w:val="105"/>
          <w:sz w:val="18"/>
        </w:rPr>
        <w:t>y</w:t>
      </w:r>
      <w:r>
        <w:rPr>
          <w:color w:val="231F20"/>
          <w:spacing w:val="-21"/>
          <w:w w:val="105"/>
          <w:sz w:val="18"/>
        </w:rPr>
        <w:t> </w:t>
      </w:r>
      <w:r>
        <w:rPr>
          <w:color w:val="231F20"/>
          <w:w w:val="105"/>
          <w:sz w:val="18"/>
        </w:rPr>
        <w:t>lo</w:t>
      </w:r>
      <w:r>
        <w:rPr>
          <w:color w:val="231F20"/>
          <w:spacing w:val="-21"/>
          <w:w w:val="105"/>
          <w:sz w:val="18"/>
        </w:rPr>
        <w:t> </w:t>
      </w:r>
      <w:r>
        <w:rPr>
          <w:color w:val="231F20"/>
          <w:spacing w:val="-3"/>
          <w:w w:val="105"/>
          <w:sz w:val="18"/>
        </w:rPr>
        <w:t>están</w:t>
      </w:r>
      <w:r>
        <w:rPr>
          <w:color w:val="231F20"/>
          <w:spacing w:val="-21"/>
          <w:w w:val="105"/>
          <w:sz w:val="18"/>
        </w:rPr>
        <w:t> </w:t>
      </w:r>
      <w:r>
        <w:rPr>
          <w:color w:val="231F20"/>
          <w:spacing w:val="-3"/>
          <w:w w:val="105"/>
          <w:sz w:val="18"/>
        </w:rPr>
        <w:t>juntando pues,</w:t>
      </w:r>
      <w:r>
        <w:rPr>
          <w:color w:val="231F20"/>
          <w:spacing w:val="-21"/>
          <w:w w:val="105"/>
          <w:sz w:val="18"/>
        </w:rPr>
        <w:t> </w:t>
      </w:r>
      <w:r>
        <w:rPr>
          <w:color w:val="231F20"/>
          <w:w w:val="105"/>
          <w:sz w:val="18"/>
        </w:rPr>
        <w:t>y</w:t>
      </w:r>
      <w:r>
        <w:rPr>
          <w:color w:val="231F20"/>
          <w:spacing w:val="-16"/>
          <w:w w:val="105"/>
          <w:sz w:val="18"/>
        </w:rPr>
        <w:t> </w:t>
      </w:r>
      <w:r>
        <w:rPr>
          <w:color w:val="231F20"/>
          <w:w w:val="105"/>
          <w:sz w:val="18"/>
        </w:rPr>
        <w:t>yo</w:t>
      </w:r>
      <w:r>
        <w:rPr>
          <w:color w:val="231F20"/>
          <w:spacing w:val="-16"/>
          <w:w w:val="105"/>
          <w:sz w:val="18"/>
        </w:rPr>
        <w:t> </w:t>
      </w:r>
      <w:r>
        <w:rPr>
          <w:color w:val="231F20"/>
          <w:w w:val="105"/>
          <w:sz w:val="18"/>
        </w:rPr>
        <w:t>le</w:t>
      </w:r>
      <w:r>
        <w:rPr>
          <w:color w:val="231F20"/>
          <w:spacing w:val="-16"/>
          <w:w w:val="105"/>
          <w:sz w:val="18"/>
        </w:rPr>
        <w:t> </w:t>
      </w:r>
      <w:r>
        <w:rPr>
          <w:color w:val="231F20"/>
          <w:spacing w:val="-3"/>
          <w:w w:val="105"/>
          <w:sz w:val="18"/>
        </w:rPr>
        <w:t>pienso</w:t>
      </w:r>
      <w:r>
        <w:rPr>
          <w:color w:val="231F20"/>
          <w:spacing w:val="-16"/>
          <w:w w:val="105"/>
          <w:sz w:val="18"/>
        </w:rPr>
        <w:t> </w:t>
      </w:r>
      <w:r>
        <w:rPr>
          <w:color w:val="231F20"/>
          <w:w w:val="105"/>
          <w:sz w:val="18"/>
        </w:rPr>
        <w:t>que</w:t>
      </w:r>
      <w:r>
        <w:rPr>
          <w:color w:val="231F20"/>
          <w:spacing w:val="-16"/>
          <w:w w:val="105"/>
          <w:sz w:val="18"/>
        </w:rPr>
        <w:t> </w:t>
      </w:r>
      <w:r>
        <w:rPr>
          <w:color w:val="231F20"/>
          <w:w w:val="105"/>
          <w:sz w:val="18"/>
        </w:rPr>
        <w:t>me</w:t>
      </w:r>
      <w:r>
        <w:rPr>
          <w:color w:val="231F20"/>
          <w:spacing w:val="-16"/>
          <w:w w:val="105"/>
          <w:sz w:val="18"/>
        </w:rPr>
        <w:t> </w:t>
      </w:r>
      <w:r>
        <w:rPr>
          <w:color w:val="231F20"/>
          <w:w w:val="105"/>
          <w:sz w:val="18"/>
        </w:rPr>
        <w:t>voy</w:t>
      </w:r>
      <w:r>
        <w:rPr>
          <w:color w:val="231F20"/>
          <w:spacing w:val="-16"/>
          <w:w w:val="105"/>
          <w:sz w:val="18"/>
        </w:rPr>
        <w:t> </w:t>
      </w:r>
      <w:r>
        <w:rPr>
          <w:color w:val="231F20"/>
          <w:spacing w:val="-3"/>
          <w:w w:val="105"/>
          <w:sz w:val="18"/>
        </w:rPr>
        <w:t>pa´llá,</w:t>
      </w:r>
      <w:r>
        <w:rPr>
          <w:color w:val="231F20"/>
          <w:spacing w:val="-21"/>
          <w:w w:val="105"/>
          <w:sz w:val="18"/>
        </w:rPr>
        <w:t> </w:t>
      </w:r>
      <w:r>
        <w:rPr>
          <w:color w:val="231F20"/>
          <w:w w:val="105"/>
          <w:sz w:val="18"/>
        </w:rPr>
        <w:t>no</w:t>
      </w:r>
      <w:r>
        <w:rPr>
          <w:color w:val="231F20"/>
          <w:spacing w:val="-16"/>
          <w:w w:val="105"/>
          <w:sz w:val="18"/>
        </w:rPr>
        <w:t> </w:t>
      </w:r>
      <w:r>
        <w:rPr>
          <w:color w:val="231F20"/>
          <w:w w:val="105"/>
          <w:sz w:val="18"/>
        </w:rPr>
        <w:t>sé</w:t>
      </w:r>
      <w:r>
        <w:rPr>
          <w:color w:val="231F20"/>
          <w:spacing w:val="-16"/>
          <w:w w:val="105"/>
          <w:sz w:val="18"/>
        </w:rPr>
        <w:t> </w:t>
      </w:r>
      <w:r>
        <w:rPr>
          <w:color w:val="231F20"/>
          <w:w w:val="105"/>
          <w:sz w:val="18"/>
        </w:rPr>
        <w:t>si</w:t>
      </w:r>
      <w:r>
        <w:rPr>
          <w:color w:val="231F20"/>
          <w:spacing w:val="-16"/>
          <w:w w:val="105"/>
          <w:sz w:val="18"/>
        </w:rPr>
        <w:t> </w:t>
      </w:r>
      <w:r>
        <w:rPr>
          <w:color w:val="231F20"/>
          <w:spacing w:val="-3"/>
          <w:w w:val="105"/>
          <w:sz w:val="18"/>
        </w:rPr>
        <w:t>acuerda</w:t>
      </w:r>
      <w:r>
        <w:rPr>
          <w:color w:val="231F20"/>
          <w:spacing w:val="-16"/>
          <w:w w:val="105"/>
          <w:sz w:val="18"/>
        </w:rPr>
        <w:t> </w:t>
      </w:r>
      <w:r>
        <w:rPr>
          <w:color w:val="231F20"/>
          <w:spacing w:val="-3"/>
          <w:w w:val="105"/>
          <w:sz w:val="18"/>
        </w:rPr>
        <w:t>usted</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la</w:t>
      </w:r>
      <w:r>
        <w:rPr>
          <w:color w:val="231F20"/>
          <w:spacing w:val="-16"/>
          <w:w w:val="105"/>
          <w:sz w:val="18"/>
        </w:rPr>
        <w:t> </w:t>
      </w:r>
      <w:r>
        <w:rPr>
          <w:color w:val="231F20"/>
          <w:spacing w:val="-3"/>
          <w:w w:val="105"/>
          <w:sz w:val="18"/>
        </w:rPr>
        <w:t>men- tada</w:t>
      </w:r>
      <w:r>
        <w:rPr>
          <w:color w:val="231F20"/>
          <w:spacing w:val="-16"/>
          <w:w w:val="105"/>
          <w:sz w:val="18"/>
        </w:rPr>
        <w:t> </w:t>
      </w:r>
      <w:r>
        <w:rPr>
          <w:color w:val="231F20"/>
          <w:spacing w:val="-3"/>
          <w:w w:val="105"/>
          <w:sz w:val="18"/>
        </w:rPr>
        <w:t>gripa</w:t>
      </w:r>
      <w:r>
        <w:rPr>
          <w:color w:val="231F20"/>
          <w:spacing w:val="-16"/>
          <w:w w:val="105"/>
          <w:sz w:val="18"/>
        </w:rPr>
        <w:t> </w:t>
      </w:r>
      <w:r>
        <w:rPr>
          <w:color w:val="231F20"/>
          <w:spacing w:val="-3"/>
          <w:w w:val="105"/>
          <w:sz w:val="18"/>
        </w:rPr>
        <w:t>esa,</w:t>
      </w:r>
      <w:r>
        <w:rPr>
          <w:color w:val="231F20"/>
          <w:spacing w:val="-21"/>
          <w:w w:val="105"/>
          <w:sz w:val="18"/>
        </w:rPr>
        <w:t> </w:t>
      </w:r>
      <w:r>
        <w:rPr>
          <w:color w:val="231F20"/>
          <w:spacing w:val="-3"/>
          <w:w w:val="105"/>
          <w:sz w:val="18"/>
        </w:rPr>
        <w:t>nooo,</w:t>
      </w:r>
      <w:r>
        <w:rPr>
          <w:color w:val="231F20"/>
          <w:spacing w:val="-21"/>
          <w:w w:val="105"/>
          <w:sz w:val="18"/>
        </w:rPr>
        <w:t> </w:t>
      </w:r>
      <w:r>
        <w:rPr>
          <w:color w:val="231F20"/>
          <w:w w:val="105"/>
          <w:sz w:val="18"/>
        </w:rPr>
        <w:t>eso</w:t>
      </w:r>
      <w:r>
        <w:rPr>
          <w:color w:val="231F20"/>
          <w:spacing w:val="-16"/>
          <w:w w:val="105"/>
          <w:sz w:val="18"/>
        </w:rPr>
        <w:t> </w:t>
      </w:r>
      <w:r>
        <w:rPr>
          <w:color w:val="231F20"/>
          <w:w w:val="105"/>
          <w:sz w:val="18"/>
        </w:rPr>
        <w:t>nos</w:t>
      </w:r>
      <w:r>
        <w:rPr>
          <w:color w:val="231F20"/>
          <w:spacing w:val="-16"/>
          <w:w w:val="105"/>
          <w:sz w:val="18"/>
        </w:rPr>
        <w:t> </w:t>
      </w:r>
      <w:r>
        <w:rPr>
          <w:color w:val="231F20"/>
          <w:spacing w:val="-4"/>
          <w:w w:val="105"/>
          <w:sz w:val="18"/>
        </w:rPr>
        <w:t>mató,</w:t>
      </w:r>
      <w:r>
        <w:rPr>
          <w:color w:val="231F20"/>
          <w:spacing w:val="-21"/>
          <w:w w:val="105"/>
          <w:sz w:val="18"/>
        </w:rPr>
        <w:t> </w:t>
      </w:r>
      <w:r>
        <w:rPr>
          <w:color w:val="231F20"/>
          <w:w w:val="105"/>
          <w:sz w:val="18"/>
        </w:rPr>
        <w:t>no</w:t>
      </w:r>
      <w:r>
        <w:rPr>
          <w:color w:val="231F20"/>
          <w:spacing w:val="-16"/>
          <w:w w:val="105"/>
          <w:sz w:val="18"/>
        </w:rPr>
        <w:t> </w:t>
      </w:r>
      <w:r>
        <w:rPr>
          <w:color w:val="231F20"/>
          <w:w w:val="105"/>
          <w:sz w:val="18"/>
        </w:rPr>
        <w:t>se</w:t>
      </w:r>
      <w:r>
        <w:rPr>
          <w:color w:val="231F20"/>
          <w:spacing w:val="-16"/>
          <w:w w:val="105"/>
          <w:sz w:val="18"/>
        </w:rPr>
        <w:t> </w:t>
      </w:r>
      <w:r>
        <w:rPr>
          <w:color w:val="231F20"/>
          <w:spacing w:val="-3"/>
          <w:w w:val="105"/>
          <w:sz w:val="18"/>
        </w:rPr>
        <w:t>vendió</w:t>
      </w:r>
      <w:r>
        <w:rPr>
          <w:color w:val="231F20"/>
          <w:spacing w:val="-16"/>
          <w:w w:val="105"/>
          <w:sz w:val="18"/>
        </w:rPr>
        <w:t> </w:t>
      </w:r>
      <w:r>
        <w:rPr>
          <w:color w:val="231F20"/>
          <w:spacing w:val="-3"/>
          <w:w w:val="105"/>
          <w:sz w:val="18"/>
        </w:rPr>
        <w:t>nada,</w:t>
      </w:r>
      <w:r>
        <w:rPr>
          <w:color w:val="231F20"/>
          <w:spacing w:val="-21"/>
          <w:w w:val="105"/>
          <w:sz w:val="18"/>
        </w:rPr>
        <w:t> </w:t>
      </w:r>
      <w:r>
        <w:rPr>
          <w:color w:val="231F20"/>
          <w:w w:val="105"/>
          <w:sz w:val="18"/>
        </w:rPr>
        <w:t>y</w:t>
      </w:r>
      <w:r>
        <w:rPr>
          <w:color w:val="231F20"/>
          <w:spacing w:val="-16"/>
          <w:w w:val="105"/>
          <w:sz w:val="18"/>
        </w:rPr>
        <w:t> </w:t>
      </w:r>
      <w:r>
        <w:rPr>
          <w:color w:val="231F20"/>
          <w:spacing w:val="-3"/>
          <w:w w:val="105"/>
          <w:sz w:val="18"/>
        </w:rPr>
        <w:t>tiramos</w:t>
      </w:r>
      <w:r>
        <w:rPr>
          <w:color w:val="231F20"/>
          <w:spacing w:val="-16"/>
          <w:w w:val="105"/>
          <w:sz w:val="18"/>
        </w:rPr>
        <w:t> </w:t>
      </w:r>
      <w:r>
        <w:rPr>
          <w:color w:val="231F20"/>
          <w:w w:val="105"/>
          <w:sz w:val="18"/>
        </w:rPr>
        <w:t>la</w:t>
      </w:r>
      <w:r>
        <w:rPr>
          <w:color w:val="231F20"/>
          <w:spacing w:val="-16"/>
          <w:w w:val="105"/>
          <w:sz w:val="18"/>
        </w:rPr>
        <w:t> </w:t>
      </w:r>
      <w:r>
        <w:rPr>
          <w:color w:val="231F20"/>
          <w:spacing w:val="-4"/>
          <w:w w:val="105"/>
          <w:sz w:val="18"/>
        </w:rPr>
        <w:t>flor,</w:t>
      </w:r>
      <w:r>
        <w:rPr>
          <w:color w:val="231F20"/>
          <w:spacing w:val="-21"/>
          <w:w w:val="105"/>
          <w:sz w:val="18"/>
        </w:rPr>
        <w:t> </w:t>
      </w:r>
      <w:r>
        <w:rPr>
          <w:color w:val="231F20"/>
          <w:w w:val="105"/>
          <w:sz w:val="18"/>
        </w:rPr>
        <w:t>y de</w:t>
      </w:r>
      <w:r>
        <w:rPr>
          <w:color w:val="231F20"/>
          <w:spacing w:val="-18"/>
          <w:w w:val="105"/>
          <w:sz w:val="18"/>
        </w:rPr>
        <w:t> </w:t>
      </w:r>
      <w:r>
        <w:rPr>
          <w:color w:val="231F20"/>
          <w:w w:val="105"/>
          <w:sz w:val="18"/>
        </w:rPr>
        <w:t>ahí</w:t>
      </w:r>
      <w:r>
        <w:rPr>
          <w:color w:val="231F20"/>
          <w:spacing w:val="-18"/>
          <w:w w:val="105"/>
          <w:sz w:val="18"/>
        </w:rPr>
        <w:t> </w:t>
      </w:r>
      <w:r>
        <w:rPr>
          <w:color w:val="231F20"/>
          <w:w w:val="105"/>
          <w:sz w:val="18"/>
        </w:rPr>
        <w:t>se</w:t>
      </w:r>
      <w:r>
        <w:rPr>
          <w:color w:val="231F20"/>
          <w:spacing w:val="-18"/>
          <w:w w:val="105"/>
          <w:sz w:val="18"/>
        </w:rPr>
        <w:t> </w:t>
      </w:r>
      <w:r>
        <w:rPr>
          <w:color w:val="231F20"/>
          <w:w w:val="105"/>
          <w:sz w:val="18"/>
        </w:rPr>
        <w:t>fue</w:t>
      </w:r>
      <w:r>
        <w:rPr>
          <w:color w:val="231F20"/>
          <w:spacing w:val="-18"/>
          <w:w w:val="105"/>
          <w:sz w:val="18"/>
        </w:rPr>
        <w:t> </w:t>
      </w:r>
      <w:r>
        <w:rPr>
          <w:color w:val="231F20"/>
          <w:w w:val="105"/>
          <w:sz w:val="18"/>
        </w:rPr>
        <w:t>su</w:t>
      </w:r>
      <w:r>
        <w:rPr>
          <w:color w:val="231F20"/>
          <w:spacing w:val="-18"/>
          <w:w w:val="105"/>
          <w:sz w:val="18"/>
        </w:rPr>
        <w:t> </w:t>
      </w:r>
      <w:r>
        <w:rPr>
          <w:color w:val="231F20"/>
          <w:spacing w:val="-3"/>
          <w:w w:val="105"/>
          <w:sz w:val="18"/>
        </w:rPr>
        <w:t>hermano</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mi</w:t>
      </w:r>
      <w:r>
        <w:rPr>
          <w:color w:val="231F20"/>
          <w:spacing w:val="-18"/>
          <w:w w:val="105"/>
          <w:sz w:val="18"/>
        </w:rPr>
        <w:t> </w:t>
      </w:r>
      <w:r>
        <w:rPr>
          <w:color w:val="231F20"/>
          <w:spacing w:val="-4"/>
          <w:w w:val="105"/>
          <w:sz w:val="18"/>
        </w:rPr>
        <w:t>mujer.</w:t>
      </w:r>
      <w:r>
        <w:rPr>
          <w:color w:val="231F20"/>
          <w:spacing w:val="-26"/>
          <w:w w:val="105"/>
          <w:sz w:val="18"/>
        </w:rPr>
        <w:t> </w:t>
      </w:r>
      <w:r>
        <w:rPr>
          <w:color w:val="231F20"/>
          <w:spacing w:val="-10"/>
          <w:w w:val="105"/>
          <w:sz w:val="18"/>
        </w:rPr>
        <w:t>Ya</w:t>
      </w:r>
      <w:r>
        <w:rPr>
          <w:color w:val="231F20"/>
          <w:spacing w:val="-18"/>
          <w:w w:val="105"/>
          <w:sz w:val="18"/>
        </w:rPr>
        <w:t> </w:t>
      </w:r>
      <w:r>
        <w:rPr>
          <w:color w:val="231F20"/>
          <w:w w:val="105"/>
          <w:sz w:val="18"/>
        </w:rPr>
        <w:t>van</w:t>
      </w:r>
      <w:r>
        <w:rPr>
          <w:color w:val="231F20"/>
          <w:spacing w:val="-18"/>
          <w:w w:val="105"/>
          <w:sz w:val="18"/>
        </w:rPr>
        <w:t> </w:t>
      </w:r>
      <w:r>
        <w:rPr>
          <w:color w:val="231F20"/>
          <w:spacing w:val="-3"/>
          <w:w w:val="105"/>
          <w:sz w:val="18"/>
        </w:rPr>
        <w:t>ellos</w:t>
      </w:r>
      <w:r>
        <w:rPr>
          <w:color w:val="231F20"/>
          <w:spacing w:val="-18"/>
          <w:w w:val="105"/>
          <w:sz w:val="18"/>
        </w:rPr>
        <w:t> </w:t>
      </w:r>
      <w:r>
        <w:rPr>
          <w:color w:val="231F20"/>
          <w:w w:val="105"/>
          <w:sz w:val="18"/>
        </w:rPr>
        <w:t>a</w:t>
      </w:r>
      <w:r>
        <w:rPr>
          <w:color w:val="231F20"/>
          <w:spacing w:val="-18"/>
          <w:w w:val="105"/>
          <w:sz w:val="18"/>
        </w:rPr>
        <w:t> </w:t>
      </w:r>
      <w:r>
        <w:rPr>
          <w:color w:val="231F20"/>
          <w:spacing w:val="-3"/>
          <w:w w:val="105"/>
          <w:sz w:val="18"/>
        </w:rPr>
        <w:t>comprar</w:t>
      </w:r>
      <w:r>
        <w:rPr>
          <w:color w:val="231F20"/>
          <w:spacing w:val="-18"/>
          <w:w w:val="105"/>
          <w:sz w:val="18"/>
        </w:rPr>
        <w:t> </w:t>
      </w:r>
      <w:r>
        <w:rPr>
          <w:color w:val="231F20"/>
          <w:w w:val="105"/>
          <w:sz w:val="18"/>
        </w:rPr>
        <w:t>una</w:t>
      </w:r>
      <w:r>
        <w:rPr>
          <w:color w:val="231F20"/>
          <w:spacing w:val="-18"/>
          <w:w w:val="105"/>
          <w:sz w:val="18"/>
        </w:rPr>
        <w:t> </w:t>
      </w:r>
      <w:r>
        <w:rPr>
          <w:color w:val="231F20"/>
          <w:spacing w:val="-3"/>
          <w:w w:val="105"/>
          <w:sz w:val="18"/>
        </w:rPr>
        <w:t>camio- netita.</w:t>
      </w:r>
      <w:r>
        <w:rPr>
          <w:color w:val="231F20"/>
          <w:spacing w:val="-21"/>
          <w:w w:val="105"/>
          <w:sz w:val="18"/>
        </w:rPr>
        <w:t> </w:t>
      </w:r>
      <w:r>
        <w:rPr>
          <w:color w:val="231F20"/>
          <w:spacing w:val="-3"/>
          <w:w w:val="105"/>
          <w:sz w:val="18"/>
        </w:rPr>
        <w:t>Nomás</w:t>
      </w:r>
      <w:r>
        <w:rPr>
          <w:color w:val="231F20"/>
          <w:spacing w:val="-15"/>
          <w:w w:val="105"/>
          <w:sz w:val="18"/>
        </w:rPr>
        <w:t> </w:t>
      </w:r>
      <w:r>
        <w:rPr>
          <w:color w:val="231F20"/>
          <w:w w:val="105"/>
          <w:sz w:val="18"/>
        </w:rPr>
        <w:t>así</w:t>
      </w:r>
      <w:r>
        <w:rPr>
          <w:color w:val="231F20"/>
          <w:spacing w:val="-15"/>
          <w:w w:val="105"/>
          <w:sz w:val="18"/>
        </w:rPr>
        <w:t> </w:t>
      </w:r>
      <w:r>
        <w:rPr>
          <w:color w:val="231F20"/>
          <w:spacing w:val="-3"/>
          <w:w w:val="105"/>
          <w:sz w:val="18"/>
        </w:rPr>
        <w:t>pudieron</w:t>
      </w:r>
      <w:r>
        <w:rPr>
          <w:color w:val="231F20"/>
          <w:spacing w:val="-15"/>
          <w:w w:val="105"/>
          <w:sz w:val="18"/>
        </w:rPr>
        <w:t> </w:t>
      </w:r>
      <w:r>
        <w:rPr>
          <w:color w:val="231F20"/>
          <w:spacing w:val="-3"/>
          <w:w w:val="105"/>
          <w:sz w:val="18"/>
        </w:rPr>
        <w:t>hacer</w:t>
      </w:r>
      <w:r>
        <w:rPr>
          <w:color w:val="231F20"/>
          <w:spacing w:val="-15"/>
          <w:w w:val="105"/>
          <w:sz w:val="18"/>
        </w:rPr>
        <w:t> </w:t>
      </w:r>
      <w:r>
        <w:rPr>
          <w:color w:val="231F20"/>
          <w:w w:val="105"/>
          <w:sz w:val="18"/>
        </w:rPr>
        <w:t>el</w:t>
      </w:r>
      <w:r>
        <w:rPr>
          <w:color w:val="231F20"/>
          <w:spacing w:val="-15"/>
          <w:w w:val="105"/>
          <w:sz w:val="18"/>
        </w:rPr>
        <w:t> </w:t>
      </w:r>
      <w:r>
        <w:rPr>
          <w:color w:val="231F20"/>
          <w:spacing w:val="-4"/>
          <w:w w:val="105"/>
          <w:sz w:val="18"/>
        </w:rPr>
        <w:t>ahorro,</w:t>
      </w:r>
      <w:r>
        <w:rPr>
          <w:color w:val="231F20"/>
          <w:spacing w:val="-21"/>
          <w:w w:val="105"/>
          <w:sz w:val="18"/>
        </w:rPr>
        <w:t> </w:t>
      </w:r>
      <w:r>
        <w:rPr>
          <w:color w:val="231F20"/>
          <w:w w:val="105"/>
          <w:sz w:val="18"/>
        </w:rPr>
        <w:t>y</w:t>
      </w:r>
      <w:r>
        <w:rPr>
          <w:color w:val="231F20"/>
          <w:spacing w:val="-15"/>
          <w:w w:val="105"/>
          <w:sz w:val="18"/>
        </w:rPr>
        <w:t> </w:t>
      </w:r>
      <w:r>
        <w:rPr>
          <w:color w:val="231F20"/>
          <w:spacing w:val="-4"/>
          <w:w w:val="105"/>
          <w:sz w:val="18"/>
        </w:rPr>
        <w:t>pagar,</w:t>
      </w:r>
      <w:r>
        <w:rPr>
          <w:color w:val="231F20"/>
          <w:spacing w:val="-21"/>
          <w:w w:val="105"/>
          <w:sz w:val="18"/>
        </w:rPr>
        <w:t> </w:t>
      </w:r>
      <w:r>
        <w:rPr>
          <w:color w:val="231F20"/>
          <w:spacing w:val="-3"/>
          <w:w w:val="105"/>
          <w:sz w:val="18"/>
        </w:rPr>
        <w:t>porque</w:t>
      </w:r>
      <w:r>
        <w:rPr>
          <w:color w:val="231F20"/>
          <w:spacing w:val="-15"/>
          <w:w w:val="105"/>
          <w:sz w:val="18"/>
        </w:rPr>
        <w:t> </w:t>
      </w:r>
      <w:r>
        <w:rPr>
          <w:color w:val="231F20"/>
          <w:w w:val="105"/>
          <w:sz w:val="18"/>
        </w:rPr>
        <w:t>no</w:t>
      </w:r>
      <w:r>
        <w:rPr>
          <w:color w:val="231F20"/>
          <w:spacing w:val="-15"/>
          <w:w w:val="105"/>
          <w:sz w:val="18"/>
        </w:rPr>
        <w:t> </w:t>
      </w:r>
      <w:r>
        <w:rPr>
          <w:color w:val="231F20"/>
          <w:w w:val="105"/>
          <w:sz w:val="18"/>
        </w:rPr>
        <w:t>se</w:t>
      </w:r>
      <w:r>
        <w:rPr>
          <w:color w:val="231F20"/>
          <w:spacing w:val="-15"/>
          <w:w w:val="105"/>
          <w:sz w:val="18"/>
        </w:rPr>
        <w:t> </w:t>
      </w:r>
      <w:r>
        <w:rPr>
          <w:color w:val="231F20"/>
          <w:spacing w:val="-3"/>
          <w:w w:val="105"/>
          <w:sz w:val="18"/>
        </w:rPr>
        <w:t>puede, </w:t>
      </w:r>
      <w:r>
        <w:rPr>
          <w:color w:val="231F20"/>
          <w:w w:val="105"/>
          <w:sz w:val="18"/>
        </w:rPr>
        <w:t>de</w:t>
      </w:r>
      <w:r>
        <w:rPr>
          <w:color w:val="231F20"/>
          <w:spacing w:val="-12"/>
          <w:w w:val="105"/>
          <w:sz w:val="18"/>
        </w:rPr>
        <w:t> </w:t>
      </w:r>
      <w:r>
        <w:rPr>
          <w:color w:val="231F20"/>
          <w:spacing w:val="-3"/>
          <w:w w:val="105"/>
          <w:sz w:val="18"/>
        </w:rPr>
        <w:t>dónde</w:t>
      </w:r>
      <w:r>
        <w:rPr>
          <w:color w:val="231F20"/>
          <w:spacing w:val="-12"/>
          <w:w w:val="105"/>
          <w:sz w:val="18"/>
        </w:rPr>
        <w:t> </w:t>
      </w:r>
      <w:r>
        <w:rPr>
          <w:color w:val="231F20"/>
          <w:w w:val="105"/>
          <w:sz w:val="18"/>
        </w:rPr>
        <w:t>va</w:t>
      </w:r>
      <w:r>
        <w:rPr>
          <w:color w:val="231F20"/>
          <w:spacing w:val="-12"/>
          <w:w w:val="105"/>
          <w:sz w:val="18"/>
        </w:rPr>
        <w:t> </w:t>
      </w:r>
      <w:r>
        <w:rPr>
          <w:color w:val="231F20"/>
          <w:w w:val="105"/>
          <w:sz w:val="18"/>
        </w:rPr>
        <w:t>uno</w:t>
      </w:r>
      <w:r>
        <w:rPr>
          <w:color w:val="231F20"/>
          <w:spacing w:val="-12"/>
          <w:w w:val="105"/>
          <w:sz w:val="18"/>
        </w:rPr>
        <w:t> </w:t>
      </w:r>
      <w:r>
        <w:rPr>
          <w:color w:val="231F20"/>
          <w:w w:val="105"/>
          <w:sz w:val="18"/>
        </w:rPr>
        <w:t>a</w:t>
      </w:r>
      <w:r>
        <w:rPr>
          <w:color w:val="231F20"/>
          <w:spacing w:val="-12"/>
          <w:w w:val="105"/>
          <w:sz w:val="18"/>
        </w:rPr>
        <w:t> </w:t>
      </w:r>
      <w:r>
        <w:rPr>
          <w:color w:val="231F20"/>
          <w:w w:val="105"/>
          <w:sz w:val="18"/>
        </w:rPr>
        <w:t>comer”</w:t>
      </w:r>
      <w:r>
        <w:rPr>
          <w:color w:val="231F20"/>
          <w:spacing w:val="-12"/>
          <w:w w:val="105"/>
          <w:sz w:val="18"/>
        </w:rPr>
        <w:t> </w:t>
      </w:r>
      <w:r>
        <w:rPr>
          <w:color w:val="231F20"/>
          <w:spacing w:val="-3"/>
          <w:w w:val="105"/>
          <w:sz w:val="18"/>
        </w:rPr>
        <w:t>(pequeño</w:t>
      </w:r>
      <w:r>
        <w:rPr>
          <w:color w:val="231F20"/>
          <w:spacing w:val="-12"/>
          <w:w w:val="105"/>
          <w:sz w:val="18"/>
        </w:rPr>
        <w:t> </w:t>
      </w:r>
      <w:r>
        <w:rPr>
          <w:color w:val="231F20"/>
          <w:spacing w:val="-4"/>
          <w:w w:val="105"/>
          <w:sz w:val="18"/>
        </w:rPr>
        <w:t>productor,</w:t>
      </w:r>
      <w:r>
        <w:rPr>
          <w:color w:val="231F20"/>
          <w:spacing w:val="-17"/>
          <w:w w:val="105"/>
          <w:sz w:val="18"/>
        </w:rPr>
        <w:t> </w:t>
      </w:r>
      <w:r>
        <w:rPr>
          <w:color w:val="231F20"/>
          <w:w w:val="105"/>
          <w:sz w:val="18"/>
        </w:rPr>
        <w:t>31</w:t>
      </w:r>
      <w:r>
        <w:rPr>
          <w:color w:val="231F20"/>
          <w:spacing w:val="-12"/>
          <w:w w:val="105"/>
          <w:sz w:val="18"/>
        </w:rPr>
        <w:t> </w:t>
      </w:r>
      <w:r>
        <w:rPr>
          <w:color w:val="231F20"/>
          <w:spacing w:val="-3"/>
          <w:w w:val="105"/>
          <w:sz w:val="18"/>
        </w:rPr>
        <w:t>años).</w:t>
      </w:r>
    </w:p>
    <w:p>
      <w:pPr>
        <w:spacing w:after="0" w:line="254" w:lineRule="auto"/>
        <w:jc w:val="both"/>
        <w:rPr>
          <w:sz w:val="18"/>
        </w:rPr>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10744" from="15pt,-71.68644pt" to="0pt,-71.68644pt" stroked="true" strokeweight=".25pt" strokecolor="#000000">
            <w10:wrap type="none"/>
          </v:line>
        </w:pict>
      </w:r>
      <w:r>
        <w:rPr/>
        <w:pict>
          <v:line style="position:absolute;mso-position-horizontal-relative:page;mso-position-vertical-relative:paragraph;z-index:10768" from="508.890015pt,-71.68644pt" to="523.890015pt,-71.68644pt" stroked="true" strokeweight=".25pt" strokecolor="#000000">
            <w10:wrap type="none"/>
          </v:line>
        </w:pict>
      </w:r>
      <w:r>
        <w:rPr>
          <w:color w:val="231F20"/>
          <w:spacing w:val="-3"/>
          <w:w w:val="105"/>
        </w:rPr>
        <w:t>Analizando</w:t>
      </w:r>
      <w:r>
        <w:rPr>
          <w:color w:val="231F20"/>
          <w:spacing w:val="-9"/>
          <w:w w:val="105"/>
        </w:rPr>
        <w:t> </w:t>
      </w:r>
      <w:r>
        <w:rPr>
          <w:color w:val="231F20"/>
          <w:w w:val="105"/>
        </w:rPr>
        <w:t>el</w:t>
      </w:r>
      <w:r>
        <w:rPr>
          <w:color w:val="231F20"/>
          <w:spacing w:val="-9"/>
          <w:w w:val="105"/>
        </w:rPr>
        <w:t> </w:t>
      </w:r>
      <w:r>
        <w:rPr>
          <w:color w:val="231F20"/>
          <w:spacing w:val="-3"/>
          <w:w w:val="105"/>
        </w:rPr>
        <w:t>discurso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spacing w:val="-3"/>
          <w:w w:val="105"/>
        </w:rPr>
        <w:t>adultos</w:t>
      </w:r>
      <w:r>
        <w:rPr>
          <w:color w:val="231F20"/>
          <w:spacing w:val="-9"/>
          <w:w w:val="105"/>
        </w:rPr>
        <w:t> </w:t>
      </w:r>
      <w:r>
        <w:rPr>
          <w:color w:val="231F20"/>
          <w:spacing w:val="-3"/>
          <w:w w:val="105"/>
        </w:rPr>
        <w:t>frente</w:t>
      </w:r>
      <w:r>
        <w:rPr>
          <w:color w:val="231F20"/>
          <w:spacing w:val="-9"/>
          <w:w w:val="105"/>
        </w:rPr>
        <w:t> </w:t>
      </w:r>
      <w:r>
        <w:rPr>
          <w:color w:val="231F20"/>
          <w:w w:val="105"/>
        </w:rPr>
        <w:t>a</w:t>
      </w:r>
      <w:r>
        <w:rPr>
          <w:color w:val="231F20"/>
          <w:spacing w:val="-9"/>
          <w:w w:val="105"/>
        </w:rPr>
        <w:t> </w:t>
      </w:r>
      <w:r>
        <w:rPr>
          <w:color w:val="231F20"/>
          <w:w w:val="105"/>
        </w:rPr>
        <w:t>las</w:t>
      </w:r>
      <w:r>
        <w:rPr>
          <w:color w:val="231F20"/>
          <w:spacing w:val="-9"/>
          <w:w w:val="105"/>
        </w:rPr>
        <w:t> </w:t>
      </w:r>
      <w:r>
        <w:rPr>
          <w:color w:val="231F20"/>
          <w:spacing w:val="-3"/>
          <w:w w:val="105"/>
        </w:rPr>
        <w:t>dificultades</w:t>
      </w:r>
      <w:r>
        <w:rPr>
          <w:color w:val="231F20"/>
          <w:spacing w:val="-9"/>
          <w:w w:val="105"/>
        </w:rPr>
        <w:t> </w:t>
      </w:r>
      <w:r>
        <w:rPr>
          <w:color w:val="231F20"/>
          <w:w w:val="105"/>
        </w:rPr>
        <w:t>que</w:t>
      </w:r>
      <w:r>
        <w:rPr>
          <w:color w:val="231F20"/>
          <w:spacing w:val="-9"/>
          <w:w w:val="105"/>
        </w:rPr>
        <w:t> </w:t>
      </w:r>
      <w:r>
        <w:rPr>
          <w:color w:val="231F20"/>
          <w:spacing w:val="-3"/>
          <w:w w:val="105"/>
        </w:rPr>
        <w:t>enfren- </w:t>
      </w:r>
      <w:r>
        <w:rPr>
          <w:color w:val="231F20"/>
          <w:w w:val="105"/>
        </w:rPr>
        <w:t>tan</w:t>
      </w:r>
      <w:r>
        <w:rPr>
          <w:color w:val="231F20"/>
          <w:spacing w:val="-19"/>
          <w:w w:val="105"/>
        </w:rPr>
        <w:t> </w:t>
      </w:r>
      <w:r>
        <w:rPr>
          <w:color w:val="231F20"/>
          <w:w w:val="105"/>
        </w:rPr>
        <w:t>en</w:t>
      </w:r>
      <w:r>
        <w:rPr>
          <w:color w:val="231F20"/>
          <w:spacing w:val="-19"/>
          <w:w w:val="105"/>
        </w:rPr>
        <w:t> </w:t>
      </w:r>
      <w:r>
        <w:rPr>
          <w:color w:val="231F20"/>
          <w:spacing w:val="-3"/>
          <w:w w:val="105"/>
        </w:rPr>
        <w:t>materia</w:t>
      </w:r>
      <w:r>
        <w:rPr>
          <w:color w:val="231F20"/>
          <w:spacing w:val="-19"/>
          <w:w w:val="105"/>
        </w:rPr>
        <w:t> </w:t>
      </w:r>
      <w:r>
        <w:rPr>
          <w:color w:val="231F20"/>
          <w:w w:val="105"/>
        </w:rPr>
        <w:t>de</w:t>
      </w:r>
      <w:r>
        <w:rPr>
          <w:color w:val="231F20"/>
          <w:spacing w:val="-19"/>
          <w:w w:val="105"/>
        </w:rPr>
        <w:t> </w:t>
      </w:r>
      <w:r>
        <w:rPr>
          <w:color w:val="231F20"/>
          <w:spacing w:val="-3"/>
          <w:w w:val="105"/>
        </w:rPr>
        <w:t>producción,</w:t>
      </w:r>
      <w:r>
        <w:rPr>
          <w:color w:val="231F20"/>
          <w:spacing w:val="-25"/>
          <w:w w:val="105"/>
        </w:rPr>
        <w:t> </w:t>
      </w:r>
      <w:r>
        <w:rPr>
          <w:color w:val="231F20"/>
          <w:w w:val="105"/>
        </w:rPr>
        <w:t>es</w:t>
      </w:r>
      <w:r>
        <w:rPr>
          <w:color w:val="231F20"/>
          <w:spacing w:val="-19"/>
          <w:w w:val="105"/>
        </w:rPr>
        <w:t> </w:t>
      </w:r>
      <w:r>
        <w:rPr>
          <w:color w:val="231F20"/>
          <w:spacing w:val="-3"/>
          <w:w w:val="105"/>
        </w:rPr>
        <w:t>entendible</w:t>
      </w:r>
      <w:r>
        <w:rPr>
          <w:color w:val="231F20"/>
          <w:spacing w:val="-19"/>
          <w:w w:val="105"/>
        </w:rPr>
        <w:t> </w:t>
      </w:r>
      <w:r>
        <w:rPr>
          <w:color w:val="231F20"/>
          <w:spacing w:val="-3"/>
          <w:w w:val="105"/>
        </w:rPr>
        <w:t>cómo</w:t>
      </w:r>
      <w:r>
        <w:rPr>
          <w:color w:val="231F20"/>
          <w:spacing w:val="-19"/>
          <w:w w:val="105"/>
        </w:rPr>
        <w:t> </w:t>
      </w:r>
      <w:r>
        <w:rPr>
          <w:color w:val="231F20"/>
          <w:w w:val="105"/>
        </w:rPr>
        <w:t>los</w:t>
      </w:r>
      <w:r>
        <w:rPr>
          <w:color w:val="231F20"/>
          <w:spacing w:val="-19"/>
          <w:w w:val="105"/>
        </w:rPr>
        <w:t> </w:t>
      </w:r>
      <w:r>
        <w:rPr>
          <w:color w:val="231F20"/>
          <w:spacing w:val="-3"/>
          <w:w w:val="105"/>
        </w:rPr>
        <w:t>niños</w:t>
      </w:r>
      <w:r>
        <w:rPr>
          <w:color w:val="231F20"/>
          <w:spacing w:val="-19"/>
          <w:w w:val="105"/>
        </w:rPr>
        <w:t> </w:t>
      </w:r>
      <w:r>
        <w:rPr>
          <w:color w:val="231F20"/>
          <w:w w:val="105"/>
        </w:rPr>
        <w:t>han</w:t>
      </w:r>
      <w:r>
        <w:rPr>
          <w:color w:val="231F20"/>
          <w:spacing w:val="-19"/>
          <w:w w:val="105"/>
        </w:rPr>
        <w:t> </w:t>
      </w:r>
      <w:r>
        <w:rPr>
          <w:color w:val="231F20"/>
          <w:spacing w:val="-3"/>
          <w:w w:val="105"/>
        </w:rPr>
        <w:t>adoptado </w:t>
      </w:r>
      <w:r>
        <w:rPr>
          <w:color w:val="231F20"/>
          <w:w w:val="105"/>
        </w:rPr>
        <w:t>el</w:t>
      </w:r>
      <w:r>
        <w:rPr>
          <w:color w:val="231F20"/>
          <w:spacing w:val="-19"/>
          <w:w w:val="105"/>
        </w:rPr>
        <w:t> </w:t>
      </w:r>
      <w:r>
        <w:rPr>
          <w:color w:val="231F20"/>
          <w:spacing w:val="-3"/>
          <w:w w:val="105"/>
        </w:rPr>
        <w:t>imaginario</w:t>
      </w:r>
      <w:r>
        <w:rPr>
          <w:color w:val="231F20"/>
          <w:spacing w:val="-19"/>
          <w:w w:val="105"/>
        </w:rPr>
        <w:t> </w:t>
      </w:r>
      <w:r>
        <w:rPr>
          <w:color w:val="231F20"/>
          <w:spacing w:val="-4"/>
          <w:w w:val="105"/>
        </w:rPr>
        <w:t>migratorio</w:t>
      </w:r>
      <w:r>
        <w:rPr>
          <w:color w:val="231F20"/>
          <w:spacing w:val="-19"/>
          <w:w w:val="105"/>
        </w:rPr>
        <w:t> </w:t>
      </w:r>
      <w:r>
        <w:rPr>
          <w:color w:val="231F20"/>
          <w:w w:val="105"/>
        </w:rPr>
        <w:t>de</w:t>
      </w:r>
      <w:r>
        <w:rPr>
          <w:color w:val="231F20"/>
          <w:spacing w:val="-19"/>
          <w:w w:val="105"/>
        </w:rPr>
        <w:t> </w:t>
      </w:r>
      <w:r>
        <w:rPr>
          <w:color w:val="231F20"/>
          <w:spacing w:val="-4"/>
          <w:w w:val="105"/>
        </w:rPr>
        <w:t>progreso.</w:t>
      </w:r>
      <w:r>
        <w:rPr>
          <w:color w:val="231F20"/>
          <w:spacing w:val="-25"/>
          <w:w w:val="105"/>
        </w:rPr>
        <w:t> </w:t>
      </w:r>
      <w:r>
        <w:rPr>
          <w:color w:val="231F20"/>
          <w:spacing w:val="-3"/>
          <w:w w:val="105"/>
        </w:rPr>
        <w:t>Como</w:t>
      </w:r>
      <w:r>
        <w:rPr>
          <w:color w:val="231F20"/>
          <w:spacing w:val="-19"/>
          <w:w w:val="105"/>
        </w:rPr>
        <w:t> </w:t>
      </w:r>
      <w:r>
        <w:rPr>
          <w:color w:val="231F20"/>
          <w:w w:val="105"/>
        </w:rPr>
        <w:t>ya</w:t>
      </w:r>
      <w:r>
        <w:rPr>
          <w:color w:val="231F20"/>
          <w:spacing w:val="-19"/>
          <w:w w:val="105"/>
        </w:rPr>
        <w:t> </w:t>
      </w:r>
      <w:r>
        <w:rPr>
          <w:color w:val="231F20"/>
          <w:w w:val="105"/>
        </w:rPr>
        <w:t>se</w:t>
      </w:r>
      <w:r>
        <w:rPr>
          <w:color w:val="231F20"/>
          <w:spacing w:val="-19"/>
          <w:w w:val="105"/>
        </w:rPr>
        <w:t> </w:t>
      </w:r>
      <w:r>
        <w:rPr>
          <w:color w:val="231F20"/>
          <w:spacing w:val="-4"/>
          <w:w w:val="105"/>
        </w:rPr>
        <w:t>expresó</w:t>
      </w:r>
      <w:r>
        <w:rPr>
          <w:color w:val="231F20"/>
          <w:spacing w:val="-19"/>
          <w:w w:val="105"/>
        </w:rPr>
        <w:t> </w:t>
      </w:r>
      <w:r>
        <w:rPr>
          <w:color w:val="231F20"/>
          <w:spacing w:val="-3"/>
          <w:w w:val="105"/>
        </w:rPr>
        <w:t>líneas</w:t>
      </w:r>
      <w:r>
        <w:rPr>
          <w:color w:val="231F20"/>
          <w:spacing w:val="-19"/>
          <w:w w:val="105"/>
        </w:rPr>
        <w:t> </w:t>
      </w:r>
      <w:r>
        <w:rPr>
          <w:color w:val="231F20"/>
          <w:spacing w:val="-3"/>
          <w:w w:val="105"/>
        </w:rPr>
        <w:t>arriba,</w:t>
      </w:r>
      <w:r>
        <w:rPr>
          <w:color w:val="231F20"/>
          <w:spacing w:val="-25"/>
          <w:w w:val="105"/>
        </w:rPr>
        <w:t> </w:t>
      </w:r>
      <w:r>
        <w:rPr>
          <w:color w:val="231F20"/>
          <w:spacing w:val="-3"/>
          <w:w w:val="105"/>
        </w:rPr>
        <w:t>es aquí donde </w:t>
      </w:r>
      <w:r>
        <w:rPr>
          <w:color w:val="231F20"/>
          <w:w w:val="105"/>
        </w:rPr>
        <w:t>se </w:t>
      </w:r>
      <w:r>
        <w:rPr>
          <w:color w:val="231F20"/>
          <w:spacing w:val="-3"/>
          <w:w w:val="105"/>
        </w:rPr>
        <w:t>comprueba </w:t>
      </w:r>
      <w:r>
        <w:rPr>
          <w:color w:val="231F20"/>
          <w:w w:val="105"/>
        </w:rPr>
        <w:t>que </w:t>
      </w:r>
      <w:r>
        <w:rPr>
          <w:color w:val="231F20"/>
          <w:spacing w:val="-3"/>
          <w:w w:val="105"/>
        </w:rPr>
        <w:t>durante </w:t>
      </w:r>
      <w:r>
        <w:rPr>
          <w:color w:val="231F20"/>
          <w:w w:val="105"/>
        </w:rPr>
        <w:t>la </w:t>
      </w:r>
      <w:r>
        <w:rPr>
          <w:color w:val="231F20"/>
          <w:spacing w:val="-3"/>
          <w:w w:val="105"/>
        </w:rPr>
        <w:t>niñez </w:t>
      </w:r>
      <w:r>
        <w:rPr>
          <w:rFonts w:ascii="Arial" w:hAnsi="Arial"/>
          <w:i/>
          <w:color w:val="231F20"/>
          <w:w w:val="105"/>
        </w:rPr>
        <w:t>el </w:t>
      </w:r>
      <w:r>
        <w:rPr>
          <w:rFonts w:ascii="Arial" w:hAnsi="Arial"/>
          <w:i/>
          <w:color w:val="231F20"/>
          <w:spacing w:val="-3"/>
          <w:w w:val="105"/>
        </w:rPr>
        <w:t>habitus </w:t>
      </w:r>
      <w:r>
        <w:rPr>
          <w:color w:val="231F20"/>
          <w:w w:val="105"/>
        </w:rPr>
        <w:t>se va </w:t>
      </w:r>
      <w:r>
        <w:rPr>
          <w:color w:val="231F20"/>
          <w:spacing w:val="-3"/>
          <w:w w:val="105"/>
        </w:rPr>
        <w:t>constru- yendo</w:t>
      </w:r>
      <w:r>
        <w:rPr>
          <w:color w:val="231F20"/>
          <w:spacing w:val="-20"/>
          <w:w w:val="105"/>
        </w:rPr>
        <w:t> </w:t>
      </w:r>
      <w:r>
        <w:rPr>
          <w:color w:val="231F20"/>
          <w:w w:val="105"/>
        </w:rPr>
        <w:t>a</w:t>
      </w:r>
      <w:r>
        <w:rPr>
          <w:color w:val="231F20"/>
          <w:spacing w:val="-20"/>
          <w:w w:val="105"/>
        </w:rPr>
        <w:t> </w:t>
      </w:r>
      <w:r>
        <w:rPr>
          <w:color w:val="231F20"/>
          <w:spacing w:val="-3"/>
          <w:w w:val="105"/>
        </w:rPr>
        <w:t>partir</w:t>
      </w:r>
      <w:r>
        <w:rPr>
          <w:color w:val="231F20"/>
          <w:spacing w:val="-20"/>
          <w:w w:val="105"/>
        </w:rPr>
        <w:t> </w:t>
      </w:r>
      <w:r>
        <w:rPr>
          <w:color w:val="231F20"/>
          <w:w w:val="105"/>
        </w:rPr>
        <w:t>de</w:t>
      </w:r>
      <w:r>
        <w:rPr>
          <w:color w:val="231F20"/>
          <w:spacing w:val="-20"/>
          <w:w w:val="105"/>
        </w:rPr>
        <w:t> </w:t>
      </w:r>
      <w:r>
        <w:rPr>
          <w:color w:val="231F20"/>
          <w:w w:val="105"/>
        </w:rPr>
        <w:t>una</w:t>
      </w:r>
      <w:r>
        <w:rPr>
          <w:color w:val="231F20"/>
          <w:spacing w:val="-20"/>
          <w:w w:val="105"/>
        </w:rPr>
        <w:t> </w:t>
      </w:r>
      <w:r>
        <w:rPr>
          <w:color w:val="231F20"/>
          <w:spacing w:val="-3"/>
          <w:w w:val="105"/>
        </w:rPr>
        <w:t>apropiación</w:t>
      </w:r>
      <w:r>
        <w:rPr>
          <w:color w:val="231F20"/>
          <w:spacing w:val="-20"/>
          <w:w w:val="105"/>
        </w:rPr>
        <w:t> </w:t>
      </w:r>
      <w:r>
        <w:rPr>
          <w:color w:val="231F20"/>
          <w:spacing w:val="-3"/>
          <w:w w:val="105"/>
        </w:rPr>
        <w:t>singular</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spacing w:val="-4"/>
          <w:w w:val="105"/>
        </w:rPr>
        <w:t>referencias</w:t>
      </w:r>
      <w:r>
        <w:rPr>
          <w:color w:val="231F20"/>
          <w:spacing w:val="-20"/>
          <w:w w:val="105"/>
        </w:rPr>
        <w:t> </w:t>
      </w:r>
      <w:r>
        <w:rPr>
          <w:color w:val="231F20"/>
          <w:spacing w:val="-3"/>
          <w:w w:val="105"/>
        </w:rPr>
        <w:t>colectivas.</w:t>
      </w:r>
    </w:p>
    <w:p>
      <w:pPr>
        <w:pStyle w:val="BodyText"/>
        <w:spacing w:line="261" w:lineRule="auto" w:before="1"/>
        <w:ind w:left="1723" w:right="1835" w:firstLine="567"/>
        <w:jc w:val="both"/>
      </w:pPr>
      <w:r>
        <w:rPr>
          <w:color w:val="231F20"/>
          <w:w w:val="105"/>
        </w:rPr>
        <w:t>Cuando los niños escuchan y viven el día a día de la escases de recursos, la dificultad de encontrar ganancias a partir del negocio de la floricultura</w:t>
      </w:r>
      <w:r>
        <w:rPr>
          <w:color w:val="231F20"/>
          <w:spacing w:val="-16"/>
          <w:w w:val="105"/>
        </w:rPr>
        <w:t> </w:t>
      </w:r>
      <w:r>
        <w:rPr>
          <w:color w:val="231F20"/>
          <w:w w:val="105"/>
        </w:rPr>
        <w:t>y</w:t>
      </w:r>
      <w:r>
        <w:rPr>
          <w:color w:val="231F20"/>
          <w:spacing w:val="-16"/>
          <w:w w:val="105"/>
        </w:rPr>
        <w:t> </w:t>
      </w:r>
      <w:r>
        <w:rPr>
          <w:color w:val="231F20"/>
          <w:w w:val="105"/>
        </w:rPr>
        <w:t>las</w:t>
      </w:r>
      <w:r>
        <w:rPr>
          <w:color w:val="231F20"/>
          <w:spacing w:val="-16"/>
          <w:w w:val="105"/>
        </w:rPr>
        <w:t> </w:t>
      </w:r>
      <w:r>
        <w:rPr>
          <w:color w:val="231F20"/>
          <w:w w:val="105"/>
        </w:rPr>
        <w:t>escasas</w:t>
      </w:r>
      <w:r>
        <w:rPr>
          <w:color w:val="231F20"/>
          <w:spacing w:val="-16"/>
          <w:w w:val="105"/>
        </w:rPr>
        <w:t> </w:t>
      </w:r>
      <w:r>
        <w:rPr>
          <w:color w:val="231F20"/>
          <w:w w:val="105"/>
        </w:rPr>
        <w:t>opciones</w:t>
      </w:r>
      <w:r>
        <w:rPr>
          <w:color w:val="231F20"/>
          <w:spacing w:val="-16"/>
          <w:w w:val="105"/>
        </w:rPr>
        <w:t> </w:t>
      </w:r>
      <w:r>
        <w:rPr>
          <w:color w:val="231F20"/>
          <w:w w:val="105"/>
        </w:rPr>
        <w:t>de</w:t>
      </w:r>
      <w:r>
        <w:rPr>
          <w:color w:val="231F20"/>
          <w:spacing w:val="-16"/>
          <w:w w:val="105"/>
        </w:rPr>
        <w:t> </w:t>
      </w:r>
      <w:r>
        <w:rPr>
          <w:color w:val="231F20"/>
          <w:w w:val="105"/>
        </w:rPr>
        <w:t>empleo</w:t>
      </w:r>
      <w:r>
        <w:rPr>
          <w:color w:val="231F20"/>
          <w:spacing w:val="-16"/>
          <w:w w:val="105"/>
        </w:rPr>
        <w:t> </w:t>
      </w:r>
      <w:r>
        <w:rPr>
          <w:color w:val="231F20"/>
          <w:w w:val="105"/>
        </w:rPr>
        <w:t>ven</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migración</w:t>
      </w:r>
      <w:r>
        <w:rPr>
          <w:color w:val="231F20"/>
          <w:spacing w:val="-16"/>
          <w:w w:val="105"/>
        </w:rPr>
        <w:t> </w:t>
      </w:r>
      <w:r>
        <w:rPr>
          <w:color w:val="231F20"/>
          <w:w w:val="105"/>
        </w:rPr>
        <w:t>interna- cional como estrategia del mundo no sólo adulto, sino también de sus pares,</w:t>
      </w:r>
      <w:r>
        <w:rPr>
          <w:color w:val="231F20"/>
          <w:spacing w:val="-17"/>
          <w:w w:val="105"/>
        </w:rPr>
        <w:t> </w:t>
      </w:r>
      <w:r>
        <w:rPr>
          <w:color w:val="231F20"/>
          <w:w w:val="105"/>
        </w:rPr>
        <w:t>y</w:t>
      </w:r>
      <w:r>
        <w:rPr>
          <w:color w:val="231F20"/>
          <w:spacing w:val="-12"/>
          <w:w w:val="105"/>
        </w:rPr>
        <w:t> </w:t>
      </w:r>
      <w:r>
        <w:rPr>
          <w:color w:val="231F20"/>
          <w:w w:val="105"/>
        </w:rPr>
        <w:t>entonces</w:t>
      </w:r>
      <w:r>
        <w:rPr>
          <w:color w:val="231F20"/>
          <w:spacing w:val="-12"/>
          <w:w w:val="105"/>
        </w:rPr>
        <w:t> </w:t>
      </w:r>
      <w:r>
        <w:rPr>
          <w:color w:val="231F20"/>
          <w:w w:val="105"/>
        </w:rPr>
        <w:t>lo</w:t>
      </w:r>
      <w:r>
        <w:rPr>
          <w:color w:val="231F20"/>
          <w:spacing w:val="-12"/>
          <w:w w:val="105"/>
        </w:rPr>
        <w:t> </w:t>
      </w:r>
      <w:r>
        <w:rPr>
          <w:color w:val="231F20"/>
          <w:w w:val="105"/>
        </w:rPr>
        <w:t>interioriza</w:t>
      </w:r>
      <w:r>
        <w:rPr>
          <w:color w:val="231F20"/>
          <w:spacing w:val="-12"/>
          <w:w w:val="105"/>
        </w:rPr>
        <w:t> </w:t>
      </w:r>
      <w:r>
        <w:rPr>
          <w:color w:val="231F20"/>
          <w:w w:val="105"/>
        </w:rPr>
        <w:t>como</w:t>
      </w:r>
      <w:r>
        <w:rPr>
          <w:color w:val="231F20"/>
          <w:spacing w:val="-12"/>
          <w:w w:val="105"/>
        </w:rPr>
        <w:t> </w:t>
      </w:r>
      <w:r>
        <w:rPr>
          <w:color w:val="231F20"/>
          <w:w w:val="105"/>
        </w:rPr>
        <w:t>un</w:t>
      </w:r>
      <w:r>
        <w:rPr>
          <w:color w:val="231F20"/>
          <w:spacing w:val="-12"/>
          <w:w w:val="105"/>
        </w:rPr>
        <w:t> </w:t>
      </w:r>
      <w:r>
        <w:rPr>
          <w:color w:val="231F20"/>
          <w:w w:val="105"/>
        </w:rPr>
        <w:t>práctica</w:t>
      </w:r>
      <w:r>
        <w:rPr>
          <w:color w:val="231F20"/>
          <w:spacing w:val="-12"/>
          <w:w w:val="105"/>
        </w:rPr>
        <w:t> </w:t>
      </w:r>
      <w:r>
        <w:rPr>
          <w:color w:val="231F20"/>
          <w:w w:val="105"/>
        </w:rPr>
        <w:t>cotidiana</w:t>
      </w:r>
      <w:r>
        <w:rPr>
          <w:color w:val="231F20"/>
          <w:spacing w:val="-12"/>
          <w:w w:val="105"/>
        </w:rPr>
        <w:t> </w:t>
      </w:r>
      <w:r>
        <w:rPr>
          <w:color w:val="231F20"/>
          <w:w w:val="105"/>
        </w:rPr>
        <w:t>que</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larga reproducirá el orden</w:t>
      </w:r>
      <w:r>
        <w:rPr>
          <w:color w:val="231F20"/>
          <w:spacing w:val="-31"/>
          <w:w w:val="105"/>
        </w:rPr>
        <w:t> </w:t>
      </w:r>
      <w:r>
        <w:rPr>
          <w:color w:val="231F20"/>
          <w:w w:val="105"/>
        </w:rPr>
        <w:t>social.</w:t>
      </w:r>
    </w:p>
    <w:p>
      <w:pPr>
        <w:pStyle w:val="BodyText"/>
        <w:spacing w:line="261" w:lineRule="auto" w:before="1"/>
        <w:ind w:left="1723" w:right="1834" w:firstLine="567"/>
        <w:jc w:val="both"/>
      </w:pPr>
      <w:r>
        <w:rPr>
          <w:color w:val="231F20"/>
          <w:w w:val="105"/>
        </w:rPr>
        <w:t>En</w:t>
      </w:r>
      <w:r>
        <w:rPr>
          <w:color w:val="231F20"/>
          <w:spacing w:val="-11"/>
          <w:w w:val="105"/>
        </w:rPr>
        <w:t> </w:t>
      </w:r>
      <w:r>
        <w:rPr>
          <w:color w:val="231F20"/>
          <w:w w:val="105"/>
        </w:rPr>
        <w:t>este</w:t>
      </w:r>
      <w:r>
        <w:rPr>
          <w:color w:val="231F20"/>
          <w:spacing w:val="-11"/>
          <w:w w:val="105"/>
        </w:rPr>
        <w:t> </w:t>
      </w:r>
      <w:r>
        <w:rPr>
          <w:color w:val="231F20"/>
          <w:w w:val="105"/>
        </w:rPr>
        <w:t>sentido,</w:t>
      </w:r>
      <w:r>
        <w:rPr>
          <w:color w:val="231F20"/>
          <w:spacing w:val="-16"/>
          <w:w w:val="105"/>
        </w:rPr>
        <w:t> </w:t>
      </w:r>
      <w:r>
        <w:rPr>
          <w:color w:val="231F20"/>
          <w:w w:val="105"/>
        </w:rPr>
        <w:t>tanto</w:t>
      </w:r>
      <w:r>
        <w:rPr>
          <w:color w:val="231F20"/>
          <w:spacing w:val="-11"/>
          <w:w w:val="105"/>
        </w:rPr>
        <w:t> </w:t>
      </w:r>
      <w:r>
        <w:rPr>
          <w:color w:val="231F20"/>
          <w:w w:val="105"/>
        </w:rPr>
        <w:t>la</w:t>
      </w:r>
      <w:r>
        <w:rPr>
          <w:color w:val="231F20"/>
          <w:spacing w:val="-11"/>
          <w:w w:val="105"/>
        </w:rPr>
        <w:t> </w:t>
      </w:r>
      <w:r>
        <w:rPr>
          <w:color w:val="231F20"/>
          <w:w w:val="105"/>
        </w:rPr>
        <w:t>familia</w:t>
      </w:r>
      <w:r>
        <w:rPr>
          <w:color w:val="231F20"/>
          <w:spacing w:val="-11"/>
          <w:w w:val="105"/>
        </w:rPr>
        <w:t> </w:t>
      </w:r>
      <w:r>
        <w:rPr>
          <w:color w:val="231F20"/>
          <w:w w:val="105"/>
        </w:rPr>
        <w:t>como</w:t>
      </w:r>
      <w:r>
        <w:rPr>
          <w:color w:val="231F20"/>
          <w:spacing w:val="-11"/>
          <w:w w:val="105"/>
        </w:rPr>
        <w:t> </w:t>
      </w:r>
      <w:r>
        <w:rPr>
          <w:color w:val="231F20"/>
          <w:w w:val="105"/>
        </w:rPr>
        <w:t>los</w:t>
      </w:r>
      <w:r>
        <w:rPr>
          <w:color w:val="231F20"/>
          <w:spacing w:val="-11"/>
          <w:w w:val="105"/>
        </w:rPr>
        <w:t> </w:t>
      </w:r>
      <w:r>
        <w:rPr>
          <w:color w:val="231F20"/>
          <w:w w:val="105"/>
        </w:rPr>
        <w:t>lugares</w:t>
      </w:r>
      <w:r>
        <w:rPr>
          <w:color w:val="231F20"/>
          <w:spacing w:val="-11"/>
          <w:w w:val="105"/>
        </w:rPr>
        <w:t> </w:t>
      </w:r>
      <w:r>
        <w:rPr>
          <w:color w:val="231F20"/>
          <w:w w:val="105"/>
        </w:rPr>
        <w:t>de</w:t>
      </w:r>
      <w:r>
        <w:rPr>
          <w:color w:val="231F20"/>
          <w:spacing w:val="-11"/>
          <w:w w:val="105"/>
        </w:rPr>
        <w:t> </w:t>
      </w:r>
      <w:r>
        <w:rPr>
          <w:color w:val="231F20"/>
          <w:w w:val="105"/>
        </w:rPr>
        <w:t>trabajo</w:t>
      </w:r>
      <w:r>
        <w:rPr>
          <w:color w:val="231F20"/>
          <w:spacing w:val="-11"/>
          <w:w w:val="105"/>
        </w:rPr>
        <w:t> </w:t>
      </w:r>
      <w:r>
        <w:rPr>
          <w:color w:val="231F20"/>
          <w:w w:val="105"/>
        </w:rPr>
        <w:t>repre- sentan</w:t>
      </w:r>
      <w:r>
        <w:rPr>
          <w:color w:val="231F20"/>
          <w:spacing w:val="-19"/>
          <w:w w:val="105"/>
        </w:rPr>
        <w:t> </w:t>
      </w:r>
      <w:r>
        <w:rPr>
          <w:color w:val="231F20"/>
          <w:w w:val="105"/>
        </w:rPr>
        <w:t>contextos</w:t>
      </w:r>
      <w:r>
        <w:rPr>
          <w:color w:val="231F20"/>
          <w:spacing w:val="-19"/>
          <w:w w:val="105"/>
        </w:rPr>
        <w:t> </w:t>
      </w:r>
      <w:r>
        <w:rPr>
          <w:color w:val="231F20"/>
          <w:w w:val="105"/>
        </w:rPr>
        <w:t>donde</w:t>
      </w:r>
      <w:r>
        <w:rPr>
          <w:color w:val="231F20"/>
          <w:spacing w:val="-19"/>
          <w:w w:val="105"/>
        </w:rPr>
        <w:t> </w:t>
      </w:r>
      <w:r>
        <w:rPr>
          <w:color w:val="231F20"/>
          <w:w w:val="105"/>
        </w:rPr>
        <w:t>el</w:t>
      </w:r>
      <w:r>
        <w:rPr>
          <w:color w:val="231F20"/>
          <w:spacing w:val="-19"/>
          <w:w w:val="105"/>
        </w:rPr>
        <w:t> </w:t>
      </w:r>
      <w:r>
        <w:rPr>
          <w:color w:val="231F20"/>
          <w:w w:val="105"/>
        </w:rPr>
        <w:t>valor</w:t>
      </w:r>
      <w:r>
        <w:rPr>
          <w:color w:val="231F20"/>
          <w:spacing w:val="-19"/>
          <w:w w:val="105"/>
        </w:rPr>
        <w:t> </w:t>
      </w:r>
      <w:r>
        <w:rPr>
          <w:color w:val="231F20"/>
          <w:w w:val="105"/>
        </w:rPr>
        <w:t>del</w:t>
      </w:r>
      <w:r>
        <w:rPr>
          <w:color w:val="231F20"/>
          <w:spacing w:val="-19"/>
          <w:w w:val="105"/>
        </w:rPr>
        <w:t> </w:t>
      </w:r>
      <w:r>
        <w:rPr>
          <w:color w:val="231F20"/>
          <w:w w:val="105"/>
        </w:rPr>
        <w:t>esfuerzo</w:t>
      </w:r>
      <w:r>
        <w:rPr>
          <w:color w:val="231F20"/>
          <w:spacing w:val="-19"/>
          <w:w w:val="105"/>
        </w:rPr>
        <w:t> </w:t>
      </w:r>
      <w:r>
        <w:rPr>
          <w:color w:val="231F20"/>
          <w:w w:val="105"/>
        </w:rPr>
        <w:t>individual</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capacidad</w:t>
      </w:r>
      <w:r>
        <w:rPr>
          <w:color w:val="231F20"/>
          <w:spacing w:val="-19"/>
          <w:w w:val="105"/>
        </w:rPr>
        <w:t> </w:t>
      </w:r>
      <w:r>
        <w:rPr>
          <w:color w:val="231F20"/>
          <w:w w:val="105"/>
        </w:rPr>
        <w:t>de ahorrar,</w:t>
      </w:r>
      <w:r>
        <w:rPr>
          <w:color w:val="231F20"/>
          <w:spacing w:val="-37"/>
          <w:w w:val="105"/>
        </w:rPr>
        <w:t> </w:t>
      </w:r>
      <w:r>
        <w:rPr>
          <w:color w:val="231F20"/>
          <w:w w:val="105"/>
        </w:rPr>
        <w:t>vía</w:t>
      </w:r>
      <w:r>
        <w:rPr>
          <w:color w:val="231F20"/>
          <w:spacing w:val="-33"/>
          <w:w w:val="105"/>
        </w:rPr>
        <w:t> </w:t>
      </w:r>
      <w:r>
        <w:rPr>
          <w:color w:val="231F20"/>
          <w:w w:val="105"/>
        </w:rPr>
        <w:t>las</w:t>
      </w:r>
      <w:r>
        <w:rPr>
          <w:color w:val="231F20"/>
          <w:spacing w:val="-33"/>
          <w:w w:val="105"/>
        </w:rPr>
        <w:t> </w:t>
      </w:r>
      <w:r>
        <w:rPr>
          <w:color w:val="231F20"/>
          <w:w w:val="105"/>
        </w:rPr>
        <w:t>remesas,</w:t>
      </w:r>
      <w:r>
        <w:rPr>
          <w:color w:val="231F20"/>
          <w:spacing w:val="-37"/>
          <w:w w:val="105"/>
        </w:rPr>
        <w:t> </w:t>
      </w:r>
      <w:r>
        <w:rPr>
          <w:color w:val="231F20"/>
          <w:w w:val="105"/>
        </w:rPr>
        <w:t>serán</w:t>
      </w:r>
      <w:r>
        <w:rPr>
          <w:color w:val="231F20"/>
          <w:spacing w:val="-33"/>
          <w:w w:val="105"/>
        </w:rPr>
        <w:t> </w:t>
      </w:r>
      <w:r>
        <w:rPr>
          <w:color w:val="231F20"/>
          <w:w w:val="105"/>
        </w:rPr>
        <w:t>valores</w:t>
      </w:r>
      <w:r>
        <w:rPr>
          <w:color w:val="231F20"/>
          <w:spacing w:val="-33"/>
          <w:w w:val="105"/>
        </w:rPr>
        <w:t> </w:t>
      </w:r>
      <w:r>
        <w:rPr>
          <w:color w:val="231F20"/>
          <w:w w:val="105"/>
        </w:rPr>
        <w:t>interiorizados</w:t>
      </w:r>
      <w:r>
        <w:rPr>
          <w:color w:val="231F20"/>
          <w:spacing w:val="-33"/>
          <w:w w:val="105"/>
        </w:rPr>
        <w:t> </w:t>
      </w:r>
      <w:r>
        <w:rPr>
          <w:color w:val="231F20"/>
          <w:w w:val="105"/>
        </w:rPr>
        <w:t>que</w:t>
      </w:r>
      <w:r>
        <w:rPr>
          <w:color w:val="231F20"/>
          <w:spacing w:val="-33"/>
          <w:w w:val="105"/>
        </w:rPr>
        <w:t> </w:t>
      </w:r>
      <w:r>
        <w:rPr>
          <w:color w:val="231F20"/>
          <w:w w:val="105"/>
        </w:rPr>
        <w:t>se</w:t>
      </w:r>
      <w:r>
        <w:rPr>
          <w:color w:val="231F20"/>
          <w:spacing w:val="-33"/>
          <w:w w:val="105"/>
        </w:rPr>
        <w:t> </w:t>
      </w:r>
      <w:r>
        <w:rPr>
          <w:color w:val="231F20"/>
          <w:w w:val="105"/>
        </w:rPr>
        <w:t>aprenderán</w:t>
      </w:r>
      <w:r>
        <w:rPr>
          <w:color w:val="231F20"/>
          <w:spacing w:val="-33"/>
          <w:w w:val="105"/>
        </w:rPr>
        <w:t> </w:t>
      </w:r>
      <w:r>
        <w:rPr>
          <w:color w:val="231F20"/>
          <w:w w:val="105"/>
        </w:rPr>
        <w:t>y probablemente se</w:t>
      </w:r>
      <w:r>
        <w:rPr>
          <w:color w:val="231F20"/>
          <w:spacing w:val="-6"/>
          <w:w w:val="105"/>
        </w:rPr>
        <w:t> </w:t>
      </w:r>
      <w:r>
        <w:rPr>
          <w:color w:val="231F20"/>
          <w:w w:val="105"/>
        </w:rPr>
        <w:t>reproducirán.</w:t>
      </w:r>
    </w:p>
    <w:p>
      <w:pPr>
        <w:pStyle w:val="BodyText"/>
        <w:rPr>
          <w:sz w:val="20"/>
        </w:rPr>
      </w:pPr>
    </w:p>
    <w:p>
      <w:pPr>
        <w:pStyle w:val="BodyText"/>
        <w:spacing w:before="6"/>
        <w:rPr>
          <w:sz w:val="19"/>
        </w:rPr>
      </w:pPr>
    </w:p>
    <w:p>
      <w:pPr>
        <w:pStyle w:val="Heading3"/>
        <w:spacing w:before="1"/>
        <w:ind w:left="1723"/>
        <w:rPr>
          <w:rFonts w:ascii="Tahoma"/>
        </w:rPr>
      </w:pPr>
      <w:r>
        <w:rPr>
          <w:rFonts w:ascii="Tahoma"/>
          <w:color w:val="231F20"/>
          <w:w w:val="90"/>
        </w:rPr>
        <w:t>Reflexiones finales</w:t>
      </w:r>
    </w:p>
    <w:p>
      <w:pPr>
        <w:pStyle w:val="BodyText"/>
        <w:rPr>
          <w:rFonts w:ascii="Tahoma"/>
          <w:b/>
          <w:sz w:val="22"/>
        </w:rPr>
      </w:pPr>
    </w:p>
    <w:p>
      <w:pPr>
        <w:pStyle w:val="BodyText"/>
        <w:spacing w:line="261" w:lineRule="auto" w:before="152"/>
        <w:ind w:left="1723" w:right="1834"/>
        <w:jc w:val="both"/>
      </w:pPr>
      <w:r>
        <w:rPr>
          <w:color w:val="231F20"/>
        </w:rPr>
        <w:t>A lo largo de las líneas precedentes se ha intentado dar un contexto ma- crosocial a uno de los discursos recurrentes de los niños que trabajan     en la floricultura en el municipio de Villa Guerrero. Se ha descrito cómo    la estructura productiva que se ha configurado en el mercado local e in- ternacional ha puesto en desventaja a los pequeños productores. Se ha descrito también el imaginario social frente al </w:t>
      </w:r>
      <w:r>
        <w:rPr>
          <w:color w:val="231F20"/>
          <w:spacing w:val="-3"/>
        </w:rPr>
        <w:t>“gran </w:t>
      </w:r>
      <w:r>
        <w:rPr>
          <w:color w:val="231F20"/>
        </w:rPr>
        <w:t>productor local” que  se ha instalado en los niños y los</w:t>
      </w:r>
      <w:r>
        <w:rPr>
          <w:color w:val="231F20"/>
          <w:spacing w:val="46"/>
        </w:rPr>
        <w:t> </w:t>
      </w:r>
      <w:r>
        <w:rPr>
          <w:color w:val="231F20"/>
        </w:rPr>
        <w:t>adolescentes.</w:t>
      </w:r>
    </w:p>
    <w:p>
      <w:pPr>
        <w:pStyle w:val="BodyText"/>
        <w:spacing w:line="261" w:lineRule="auto" w:before="1"/>
        <w:ind w:left="1723" w:right="1828" w:firstLine="567"/>
        <w:jc w:val="both"/>
      </w:pPr>
      <w:r>
        <w:rPr>
          <w:color w:val="231F20"/>
          <w:w w:val="105"/>
        </w:rPr>
        <w:t>La conjugación de ambos factores encuentra en la migración</w:t>
      </w:r>
      <w:r>
        <w:rPr>
          <w:color w:val="231F20"/>
          <w:spacing w:val="-26"/>
          <w:w w:val="105"/>
        </w:rPr>
        <w:t> </w:t>
      </w:r>
      <w:r>
        <w:rPr>
          <w:color w:val="231F20"/>
          <w:w w:val="105"/>
        </w:rPr>
        <w:t>una opción para capitalizarse e invertir en la producción de flores. Así, en</w:t>
      </w:r>
      <w:r>
        <w:rPr>
          <w:color w:val="231F20"/>
          <w:spacing w:val="-32"/>
          <w:w w:val="105"/>
        </w:rPr>
        <w:t> </w:t>
      </w:r>
      <w:r>
        <w:rPr>
          <w:color w:val="231F20"/>
          <w:w w:val="105"/>
        </w:rPr>
        <w:t>el discurso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niños</w:t>
      </w:r>
      <w:r>
        <w:rPr>
          <w:color w:val="231F20"/>
          <w:spacing w:val="-20"/>
          <w:w w:val="105"/>
        </w:rPr>
        <w:t> </w:t>
      </w:r>
      <w:r>
        <w:rPr>
          <w:color w:val="231F20"/>
          <w:w w:val="105"/>
        </w:rPr>
        <w:t>se</w:t>
      </w:r>
      <w:r>
        <w:rPr>
          <w:color w:val="231F20"/>
          <w:spacing w:val="-20"/>
          <w:w w:val="105"/>
        </w:rPr>
        <w:t> </w:t>
      </w:r>
      <w:r>
        <w:rPr>
          <w:color w:val="231F20"/>
          <w:w w:val="105"/>
        </w:rPr>
        <w:t>observa</w:t>
      </w:r>
      <w:r>
        <w:rPr>
          <w:color w:val="231F20"/>
          <w:spacing w:val="-20"/>
          <w:w w:val="105"/>
        </w:rPr>
        <w:t> </w:t>
      </w:r>
      <w:r>
        <w:rPr>
          <w:color w:val="231F20"/>
          <w:w w:val="105"/>
        </w:rPr>
        <w:t>que,</w:t>
      </w:r>
      <w:r>
        <w:rPr>
          <w:color w:val="231F20"/>
          <w:spacing w:val="-26"/>
          <w:w w:val="105"/>
        </w:rPr>
        <w:t> </w:t>
      </w:r>
      <w:r>
        <w:rPr>
          <w:color w:val="231F20"/>
          <w:w w:val="105"/>
        </w:rPr>
        <w:t>tanto</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ámbito</w:t>
      </w:r>
      <w:r>
        <w:rPr>
          <w:color w:val="231F20"/>
          <w:spacing w:val="-20"/>
          <w:w w:val="105"/>
        </w:rPr>
        <w:t> </w:t>
      </w:r>
      <w:r>
        <w:rPr>
          <w:color w:val="231F20"/>
          <w:w w:val="105"/>
        </w:rPr>
        <w:t>del</w:t>
      </w:r>
      <w:r>
        <w:rPr>
          <w:color w:val="231F20"/>
          <w:spacing w:val="-20"/>
          <w:w w:val="105"/>
        </w:rPr>
        <w:t> </w:t>
      </w:r>
      <w:r>
        <w:rPr>
          <w:color w:val="231F20"/>
          <w:w w:val="105"/>
        </w:rPr>
        <w:t>trabajo</w:t>
      </w:r>
      <w:r>
        <w:rPr>
          <w:color w:val="231F20"/>
          <w:spacing w:val="-20"/>
          <w:w w:val="105"/>
        </w:rPr>
        <w:t> </w:t>
      </w:r>
      <w:r>
        <w:rPr>
          <w:color w:val="231F20"/>
          <w:w w:val="105"/>
        </w:rPr>
        <w:t>como en el de la migración, existe una forma preconcebida del modelo ideal, transmitido</w:t>
      </w:r>
      <w:r>
        <w:rPr>
          <w:color w:val="231F20"/>
          <w:spacing w:val="-15"/>
          <w:w w:val="105"/>
        </w:rPr>
        <w:t> </w:t>
      </w:r>
      <w:r>
        <w:rPr>
          <w:color w:val="231F20"/>
          <w:w w:val="105"/>
        </w:rPr>
        <w:t>generacionalmente</w:t>
      </w:r>
      <w:r>
        <w:rPr>
          <w:color w:val="231F20"/>
          <w:spacing w:val="-15"/>
          <w:w w:val="105"/>
        </w:rPr>
        <w:t> </w:t>
      </w:r>
      <w:r>
        <w:rPr>
          <w:color w:val="231F20"/>
          <w:w w:val="105"/>
        </w:rPr>
        <w:t>para</w:t>
      </w:r>
      <w:r>
        <w:rPr>
          <w:color w:val="231F20"/>
          <w:spacing w:val="-15"/>
          <w:w w:val="105"/>
        </w:rPr>
        <w:t> </w:t>
      </w:r>
      <w:r>
        <w:rPr>
          <w:color w:val="231F20"/>
          <w:w w:val="105"/>
        </w:rPr>
        <w:t>enfrentar</w:t>
      </w:r>
      <w:r>
        <w:rPr>
          <w:color w:val="231F20"/>
          <w:spacing w:val="-15"/>
          <w:w w:val="105"/>
        </w:rPr>
        <w:t> </w:t>
      </w:r>
      <w:r>
        <w:rPr>
          <w:color w:val="231F20"/>
          <w:w w:val="105"/>
        </w:rPr>
        <w:t>las</w:t>
      </w:r>
      <w:r>
        <w:rPr>
          <w:color w:val="231F20"/>
          <w:spacing w:val="-15"/>
          <w:w w:val="105"/>
        </w:rPr>
        <w:t> </w:t>
      </w:r>
      <w:r>
        <w:rPr>
          <w:color w:val="231F20"/>
          <w:w w:val="105"/>
        </w:rPr>
        <w:t>adversidades</w:t>
      </w:r>
      <w:r>
        <w:rPr>
          <w:color w:val="231F20"/>
          <w:spacing w:val="-15"/>
          <w:w w:val="105"/>
        </w:rPr>
        <w:t> </w:t>
      </w:r>
      <w:r>
        <w:rPr>
          <w:color w:val="231F20"/>
          <w:w w:val="105"/>
        </w:rPr>
        <w:t>que</w:t>
      </w:r>
      <w:r>
        <w:rPr>
          <w:color w:val="231F20"/>
          <w:spacing w:val="-15"/>
          <w:w w:val="105"/>
        </w:rPr>
        <w:t> </w:t>
      </w:r>
      <w:r>
        <w:rPr>
          <w:color w:val="231F20"/>
          <w:w w:val="105"/>
        </w:rPr>
        <w:t>exi- gen</w:t>
      </w:r>
      <w:r>
        <w:rPr>
          <w:color w:val="231F20"/>
          <w:spacing w:val="-13"/>
          <w:w w:val="105"/>
        </w:rPr>
        <w:t> </w:t>
      </w:r>
      <w:r>
        <w:rPr>
          <w:color w:val="231F20"/>
          <w:w w:val="105"/>
        </w:rPr>
        <w:t>las</w:t>
      </w:r>
      <w:r>
        <w:rPr>
          <w:color w:val="231F20"/>
          <w:spacing w:val="-13"/>
          <w:w w:val="105"/>
        </w:rPr>
        <w:t> </w:t>
      </w:r>
      <w:r>
        <w:rPr>
          <w:color w:val="231F20"/>
          <w:w w:val="105"/>
        </w:rPr>
        <w:t>condiciones</w:t>
      </w:r>
      <w:r>
        <w:rPr>
          <w:color w:val="231F20"/>
          <w:spacing w:val="-13"/>
          <w:w w:val="105"/>
        </w:rPr>
        <w:t> </w:t>
      </w:r>
      <w:r>
        <w:rPr>
          <w:color w:val="231F20"/>
          <w:w w:val="105"/>
        </w:rPr>
        <w:t>del</w:t>
      </w:r>
      <w:r>
        <w:rPr>
          <w:color w:val="231F20"/>
          <w:spacing w:val="-13"/>
          <w:w w:val="105"/>
        </w:rPr>
        <w:t> </w:t>
      </w:r>
      <w:r>
        <w:rPr>
          <w:color w:val="231F20"/>
          <w:w w:val="105"/>
        </w:rPr>
        <w:t>mercado.</w:t>
      </w:r>
    </w:p>
    <w:p>
      <w:pPr>
        <w:pStyle w:val="BodyText"/>
        <w:spacing w:line="261" w:lineRule="auto" w:before="1"/>
        <w:ind w:left="1723" w:right="1834" w:firstLine="567"/>
        <w:jc w:val="both"/>
      </w:pPr>
      <w:r>
        <w:rPr>
          <w:color w:val="231F20"/>
          <w:w w:val="105"/>
        </w:rPr>
        <w:t>El contexto económico y productivo en el que se ubica la pobla- ción</w:t>
      </w:r>
      <w:r>
        <w:rPr>
          <w:color w:val="231F20"/>
          <w:spacing w:val="-14"/>
          <w:w w:val="105"/>
        </w:rPr>
        <w:t> </w:t>
      </w:r>
      <w:r>
        <w:rPr>
          <w:color w:val="231F20"/>
          <w:w w:val="105"/>
        </w:rPr>
        <w:t>trabajadora</w:t>
      </w:r>
      <w:r>
        <w:rPr>
          <w:color w:val="231F20"/>
          <w:spacing w:val="-14"/>
          <w:w w:val="105"/>
        </w:rPr>
        <w:t> </w:t>
      </w:r>
      <w:r>
        <w:rPr>
          <w:color w:val="231F20"/>
          <w:w w:val="105"/>
        </w:rPr>
        <w:t>de</w:t>
      </w:r>
      <w:r>
        <w:rPr>
          <w:color w:val="231F20"/>
          <w:spacing w:val="-18"/>
          <w:w w:val="105"/>
        </w:rPr>
        <w:t> </w:t>
      </w:r>
      <w:r>
        <w:rPr>
          <w:color w:val="231F20"/>
          <w:w w:val="105"/>
        </w:rPr>
        <w:t>Villa</w:t>
      </w:r>
      <w:r>
        <w:rPr>
          <w:color w:val="231F20"/>
          <w:spacing w:val="-14"/>
          <w:w w:val="105"/>
        </w:rPr>
        <w:t> </w:t>
      </w:r>
      <w:r>
        <w:rPr>
          <w:color w:val="231F20"/>
          <w:w w:val="105"/>
        </w:rPr>
        <w:t>Guerrero</w:t>
      </w:r>
      <w:r>
        <w:rPr>
          <w:color w:val="231F20"/>
          <w:spacing w:val="-14"/>
          <w:w w:val="105"/>
        </w:rPr>
        <w:t> </w:t>
      </w:r>
      <w:r>
        <w:rPr>
          <w:color w:val="231F20"/>
          <w:w w:val="105"/>
        </w:rPr>
        <w:t>se</w:t>
      </w:r>
      <w:r>
        <w:rPr>
          <w:color w:val="231F20"/>
          <w:spacing w:val="-14"/>
          <w:w w:val="105"/>
        </w:rPr>
        <w:t> </w:t>
      </w:r>
      <w:r>
        <w:rPr>
          <w:color w:val="231F20"/>
          <w:w w:val="105"/>
        </w:rPr>
        <w:t>configura</w:t>
      </w:r>
      <w:r>
        <w:rPr>
          <w:color w:val="231F20"/>
          <w:spacing w:val="-14"/>
          <w:w w:val="105"/>
        </w:rPr>
        <w:t> </w:t>
      </w:r>
      <w:r>
        <w:rPr>
          <w:color w:val="231F20"/>
          <w:w w:val="105"/>
        </w:rPr>
        <w:t>a</w:t>
      </w:r>
      <w:r>
        <w:rPr>
          <w:color w:val="231F20"/>
          <w:spacing w:val="-14"/>
          <w:w w:val="105"/>
        </w:rPr>
        <w:t> </w:t>
      </w:r>
      <w:r>
        <w:rPr>
          <w:color w:val="231F20"/>
          <w:w w:val="105"/>
        </w:rPr>
        <w:t>partir</w:t>
      </w:r>
      <w:r>
        <w:rPr>
          <w:color w:val="231F20"/>
          <w:spacing w:val="-14"/>
          <w:w w:val="105"/>
        </w:rPr>
        <w:t> </w:t>
      </w:r>
      <w:r>
        <w:rPr>
          <w:color w:val="231F20"/>
          <w:w w:val="105"/>
        </w:rPr>
        <w:t>del</w:t>
      </w:r>
      <w:r>
        <w:rPr>
          <w:color w:val="231F20"/>
          <w:spacing w:val="-14"/>
          <w:w w:val="105"/>
        </w:rPr>
        <w:t> </w:t>
      </w:r>
      <w:r>
        <w:rPr>
          <w:color w:val="231F20"/>
          <w:w w:val="105"/>
        </w:rPr>
        <w:t>creciente</w:t>
      </w:r>
      <w:r>
        <w:rPr>
          <w:color w:val="231F20"/>
          <w:spacing w:val="-14"/>
          <w:w w:val="105"/>
        </w:rPr>
        <w:t> </w:t>
      </w:r>
      <w:r>
        <w:rPr>
          <w:color w:val="231F20"/>
          <w:w w:val="105"/>
        </w:rPr>
        <w:t>pro- ceso de integración a los mercados nacionales e internacionales para la comercialización de las flores de corte. Esta dinámica productiva ha incidido en las formas de producción y reproducción de las unidades domésticas</w:t>
      </w:r>
      <w:r>
        <w:rPr>
          <w:color w:val="231F20"/>
          <w:spacing w:val="-13"/>
          <w:w w:val="105"/>
        </w:rPr>
        <w:t> </w:t>
      </w:r>
      <w:r>
        <w:rPr>
          <w:color w:val="231F20"/>
          <w:w w:val="105"/>
        </w:rPr>
        <w:t>y</w:t>
      </w:r>
      <w:r>
        <w:rPr>
          <w:color w:val="231F20"/>
          <w:spacing w:val="-13"/>
          <w:w w:val="105"/>
        </w:rPr>
        <w:t> </w:t>
      </w:r>
      <w:r>
        <w:rPr>
          <w:color w:val="231F20"/>
          <w:w w:val="105"/>
        </w:rPr>
        <w:t>las</w:t>
      </w:r>
      <w:r>
        <w:rPr>
          <w:color w:val="231F20"/>
          <w:spacing w:val="-13"/>
          <w:w w:val="105"/>
        </w:rPr>
        <w:t> </w:t>
      </w:r>
      <w:r>
        <w:rPr>
          <w:color w:val="231F20"/>
          <w:w w:val="105"/>
        </w:rPr>
        <w:t>condiciones</w:t>
      </w:r>
      <w:r>
        <w:rPr>
          <w:color w:val="231F20"/>
          <w:spacing w:val="-13"/>
          <w:w w:val="105"/>
        </w:rPr>
        <w:t> </w:t>
      </w:r>
      <w:r>
        <w:rPr>
          <w:color w:val="231F20"/>
          <w:w w:val="105"/>
        </w:rPr>
        <w:t>de</w:t>
      </w:r>
      <w:r>
        <w:rPr>
          <w:color w:val="231F20"/>
          <w:spacing w:val="-13"/>
          <w:w w:val="105"/>
        </w:rPr>
        <w:t> </w:t>
      </w:r>
      <w:r>
        <w:rPr>
          <w:color w:val="231F20"/>
          <w:w w:val="105"/>
        </w:rPr>
        <w:t>vida</w:t>
      </w:r>
      <w:r>
        <w:rPr>
          <w:color w:val="231F20"/>
          <w:spacing w:val="-13"/>
          <w:w w:val="105"/>
        </w:rPr>
        <w:t> </w:t>
      </w:r>
      <w:r>
        <w:rPr>
          <w:color w:val="231F20"/>
          <w:w w:val="105"/>
        </w:rPr>
        <w:t>que</w:t>
      </w:r>
      <w:r>
        <w:rPr>
          <w:color w:val="231F20"/>
          <w:spacing w:val="-13"/>
          <w:w w:val="105"/>
        </w:rPr>
        <w:t> </w:t>
      </w:r>
      <w:r>
        <w:rPr>
          <w:color w:val="231F20"/>
          <w:w w:val="105"/>
        </w:rPr>
        <w:t>enfrentan</w:t>
      </w:r>
      <w:r>
        <w:rPr>
          <w:color w:val="231F20"/>
          <w:spacing w:val="-13"/>
          <w:w w:val="105"/>
        </w:rPr>
        <w:t> </w:t>
      </w:r>
      <w:r>
        <w:rPr>
          <w:color w:val="231F20"/>
          <w:w w:val="105"/>
        </w:rPr>
        <w:t>en</w:t>
      </w:r>
      <w:r>
        <w:rPr>
          <w:color w:val="231F20"/>
          <w:spacing w:val="-13"/>
          <w:w w:val="105"/>
        </w:rPr>
        <w:t> </w:t>
      </w:r>
      <w:r>
        <w:rPr>
          <w:color w:val="231F20"/>
          <w:w w:val="105"/>
        </w:rPr>
        <w:t>lo</w:t>
      </w:r>
      <w:r>
        <w:rPr>
          <w:color w:val="231F20"/>
          <w:spacing w:val="-13"/>
          <w:w w:val="105"/>
        </w:rPr>
        <w:t> </w:t>
      </w:r>
      <w:r>
        <w:rPr>
          <w:color w:val="231F20"/>
          <w:w w:val="105"/>
        </w:rPr>
        <w:t>cotidiano.</w:t>
      </w:r>
    </w:p>
    <w:p>
      <w:pPr>
        <w:pStyle w:val="BodyText"/>
        <w:spacing w:line="261" w:lineRule="auto" w:before="1"/>
        <w:ind w:left="1723" w:right="1834" w:firstLine="567"/>
        <w:jc w:val="both"/>
      </w:pPr>
      <w:r>
        <w:rPr>
          <w:color w:val="231F20"/>
          <w:w w:val="105"/>
        </w:rPr>
        <w:t>En medio de las transformaciones que se han derivado de la vin- culación</w:t>
      </w:r>
      <w:r>
        <w:rPr>
          <w:color w:val="231F20"/>
          <w:spacing w:val="-12"/>
          <w:w w:val="105"/>
        </w:rPr>
        <w:t> </w:t>
      </w:r>
      <w:r>
        <w:rPr>
          <w:color w:val="231F20"/>
          <w:w w:val="105"/>
        </w:rPr>
        <w:t>productiva</w:t>
      </w:r>
      <w:r>
        <w:rPr>
          <w:color w:val="231F20"/>
          <w:spacing w:val="-12"/>
          <w:w w:val="105"/>
        </w:rPr>
        <w:t> </w:t>
      </w:r>
      <w:r>
        <w:rPr>
          <w:color w:val="231F20"/>
          <w:w w:val="105"/>
        </w:rPr>
        <w:t>con</w:t>
      </w:r>
      <w:r>
        <w:rPr>
          <w:color w:val="231F20"/>
          <w:spacing w:val="-12"/>
          <w:w w:val="105"/>
        </w:rPr>
        <w:t> </w:t>
      </w:r>
      <w:r>
        <w:rPr>
          <w:color w:val="231F20"/>
          <w:w w:val="105"/>
        </w:rPr>
        <w:t>los</w:t>
      </w:r>
      <w:r>
        <w:rPr>
          <w:color w:val="231F20"/>
          <w:spacing w:val="-12"/>
          <w:w w:val="105"/>
        </w:rPr>
        <w:t> </w:t>
      </w:r>
      <w:r>
        <w:rPr>
          <w:color w:val="231F20"/>
          <w:w w:val="105"/>
        </w:rPr>
        <w:t>mercados</w:t>
      </w:r>
      <w:r>
        <w:rPr>
          <w:color w:val="231F20"/>
          <w:spacing w:val="-12"/>
          <w:w w:val="105"/>
        </w:rPr>
        <w:t> </w:t>
      </w:r>
      <w:r>
        <w:rPr>
          <w:color w:val="231F20"/>
          <w:w w:val="105"/>
        </w:rPr>
        <w:t>de</w:t>
      </w:r>
      <w:r>
        <w:rPr>
          <w:color w:val="231F20"/>
          <w:spacing w:val="-12"/>
          <w:w w:val="105"/>
        </w:rPr>
        <w:t> </w:t>
      </w:r>
      <w:r>
        <w:rPr>
          <w:color w:val="231F20"/>
          <w:w w:val="105"/>
        </w:rPr>
        <w:t>flores,</w:t>
      </w:r>
      <w:r>
        <w:rPr>
          <w:color w:val="231F20"/>
          <w:spacing w:val="-17"/>
          <w:w w:val="105"/>
        </w:rPr>
        <w:t> </w:t>
      </w:r>
      <w:r>
        <w:rPr>
          <w:color w:val="231F20"/>
          <w:w w:val="105"/>
        </w:rPr>
        <w:t>las</w:t>
      </w:r>
      <w:r>
        <w:rPr>
          <w:color w:val="231F20"/>
          <w:spacing w:val="-12"/>
          <w:w w:val="105"/>
        </w:rPr>
        <w:t> </w:t>
      </w:r>
      <w:r>
        <w:rPr>
          <w:color w:val="231F20"/>
          <w:w w:val="105"/>
        </w:rPr>
        <w:t>familias</w:t>
      </w:r>
      <w:r>
        <w:rPr>
          <w:color w:val="231F20"/>
          <w:spacing w:val="-12"/>
          <w:w w:val="105"/>
        </w:rPr>
        <w:t> </w:t>
      </w:r>
      <w:r>
        <w:rPr>
          <w:color w:val="231F20"/>
          <w:w w:val="105"/>
        </w:rPr>
        <w:t>campesinas están</w:t>
      </w:r>
      <w:r>
        <w:rPr>
          <w:color w:val="231F20"/>
          <w:spacing w:val="-11"/>
          <w:w w:val="105"/>
        </w:rPr>
        <w:t> </w:t>
      </w:r>
      <w:r>
        <w:rPr>
          <w:color w:val="231F20"/>
          <w:w w:val="105"/>
        </w:rPr>
        <w:t>ante</w:t>
      </w:r>
      <w:r>
        <w:rPr>
          <w:color w:val="231F20"/>
          <w:spacing w:val="-11"/>
          <w:w w:val="105"/>
        </w:rPr>
        <w:t> </w:t>
      </w:r>
      <w:r>
        <w:rPr>
          <w:color w:val="231F20"/>
          <w:w w:val="105"/>
        </w:rPr>
        <w:t>el</w:t>
      </w:r>
      <w:r>
        <w:rPr>
          <w:color w:val="231F20"/>
          <w:spacing w:val="-11"/>
          <w:w w:val="105"/>
        </w:rPr>
        <w:t> </w:t>
      </w:r>
      <w:r>
        <w:rPr>
          <w:color w:val="231F20"/>
          <w:w w:val="105"/>
        </w:rPr>
        <w:t>desafío</w:t>
      </w:r>
      <w:r>
        <w:rPr>
          <w:color w:val="231F20"/>
          <w:spacing w:val="-11"/>
          <w:w w:val="105"/>
        </w:rPr>
        <w:t> </w:t>
      </w:r>
      <w:r>
        <w:rPr>
          <w:color w:val="231F20"/>
          <w:w w:val="105"/>
        </w:rPr>
        <w:t>del</w:t>
      </w:r>
      <w:r>
        <w:rPr>
          <w:color w:val="231F20"/>
          <w:spacing w:val="-11"/>
          <w:w w:val="105"/>
        </w:rPr>
        <w:t> </w:t>
      </w:r>
      <w:r>
        <w:rPr>
          <w:color w:val="231F20"/>
          <w:w w:val="105"/>
        </w:rPr>
        <w:t>gradual</w:t>
      </w:r>
      <w:r>
        <w:rPr>
          <w:color w:val="231F20"/>
          <w:spacing w:val="-11"/>
          <w:w w:val="105"/>
        </w:rPr>
        <w:t> </w:t>
      </w:r>
      <w:r>
        <w:rPr>
          <w:color w:val="231F20"/>
          <w:w w:val="105"/>
        </w:rPr>
        <w:t>deterioro</w:t>
      </w:r>
      <w:r>
        <w:rPr>
          <w:color w:val="231F20"/>
          <w:spacing w:val="-11"/>
          <w:w w:val="105"/>
        </w:rPr>
        <w:t> </w:t>
      </w:r>
      <w:r>
        <w:rPr>
          <w:color w:val="231F20"/>
          <w:w w:val="105"/>
        </w:rPr>
        <w:t>de</w:t>
      </w:r>
      <w:r>
        <w:rPr>
          <w:color w:val="231F20"/>
          <w:spacing w:val="-11"/>
          <w:w w:val="105"/>
        </w:rPr>
        <w:t> </w:t>
      </w:r>
      <w:r>
        <w:rPr>
          <w:color w:val="231F20"/>
          <w:w w:val="105"/>
        </w:rPr>
        <w:t>sus</w:t>
      </w:r>
      <w:r>
        <w:rPr>
          <w:color w:val="231F20"/>
          <w:spacing w:val="-11"/>
          <w:w w:val="105"/>
        </w:rPr>
        <w:t> </w:t>
      </w:r>
      <w:r>
        <w:rPr>
          <w:color w:val="231F20"/>
          <w:w w:val="105"/>
        </w:rPr>
        <w:t>capacidades</w:t>
      </w:r>
      <w:r>
        <w:rPr>
          <w:color w:val="231F20"/>
          <w:spacing w:val="-11"/>
          <w:w w:val="105"/>
        </w:rPr>
        <w:t> </w:t>
      </w:r>
      <w:r>
        <w:rPr>
          <w:color w:val="231F20"/>
          <w:w w:val="105"/>
        </w:rPr>
        <w:t>competi- tivas,</w:t>
      </w:r>
      <w:r>
        <w:rPr>
          <w:color w:val="231F20"/>
          <w:spacing w:val="-32"/>
          <w:w w:val="105"/>
        </w:rPr>
        <w:t> </w:t>
      </w:r>
      <w:r>
        <w:rPr>
          <w:color w:val="231F20"/>
          <w:w w:val="105"/>
        </w:rPr>
        <w:t>pues</w:t>
      </w:r>
      <w:r>
        <w:rPr>
          <w:color w:val="231F20"/>
          <w:spacing w:val="-27"/>
          <w:w w:val="105"/>
        </w:rPr>
        <w:t> </w:t>
      </w:r>
      <w:r>
        <w:rPr>
          <w:color w:val="231F20"/>
          <w:w w:val="105"/>
        </w:rPr>
        <w:t>se</w:t>
      </w:r>
      <w:r>
        <w:rPr>
          <w:color w:val="231F20"/>
          <w:spacing w:val="-27"/>
          <w:w w:val="105"/>
        </w:rPr>
        <w:t> </w:t>
      </w:r>
      <w:r>
        <w:rPr>
          <w:color w:val="231F20"/>
          <w:w w:val="105"/>
        </w:rPr>
        <w:t>enfrentan</w:t>
      </w:r>
      <w:r>
        <w:rPr>
          <w:color w:val="231F20"/>
          <w:spacing w:val="-27"/>
          <w:w w:val="105"/>
        </w:rPr>
        <w:t> </w:t>
      </w:r>
      <w:r>
        <w:rPr>
          <w:color w:val="231F20"/>
          <w:w w:val="105"/>
        </w:rPr>
        <w:t>a</w:t>
      </w:r>
      <w:r>
        <w:rPr>
          <w:color w:val="231F20"/>
          <w:spacing w:val="-27"/>
          <w:w w:val="105"/>
        </w:rPr>
        <w:t> </w:t>
      </w:r>
      <w:r>
        <w:rPr>
          <w:color w:val="231F20"/>
          <w:w w:val="105"/>
        </w:rPr>
        <w:t>fenómenos</w:t>
      </w:r>
      <w:r>
        <w:rPr>
          <w:color w:val="231F20"/>
          <w:spacing w:val="-27"/>
          <w:w w:val="105"/>
        </w:rPr>
        <w:t> </w:t>
      </w:r>
      <w:r>
        <w:rPr>
          <w:color w:val="231F20"/>
          <w:w w:val="105"/>
        </w:rPr>
        <w:t>como</w:t>
      </w:r>
      <w:r>
        <w:rPr>
          <w:color w:val="231F20"/>
          <w:spacing w:val="-27"/>
          <w:w w:val="105"/>
        </w:rPr>
        <w:t> </w:t>
      </w:r>
      <w:r>
        <w:rPr>
          <w:color w:val="231F20"/>
          <w:w w:val="105"/>
        </w:rPr>
        <w:t>la</w:t>
      </w:r>
      <w:r>
        <w:rPr>
          <w:color w:val="231F20"/>
          <w:spacing w:val="-27"/>
          <w:w w:val="105"/>
        </w:rPr>
        <w:t> </w:t>
      </w:r>
      <w:r>
        <w:rPr>
          <w:color w:val="231F20"/>
          <w:w w:val="105"/>
        </w:rPr>
        <w:t>cancelación</w:t>
      </w:r>
      <w:r>
        <w:rPr>
          <w:color w:val="231F20"/>
          <w:spacing w:val="-27"/>
          <w:w w:val="105"/>
        </w:rPr>
        <w:t> </w:t>
      </w:r>
      <w:r>
        <w:rPr>
          <w:color w:val="231F20"/>
          <w:w w:val="105"/>
        </w:rPr>
        <w:t>del</w:t>
      </w:r>
      <w:r>
        <w:rPr>
          <w:color w:val="231F20"/>
          <w:spacing w:val="-27"/>
          <w:w w:val="105"/>
        </w:rPr>
        <w:t> </w:t>
      </w:r>
      <w:r>
        <w:rPr>
          <w:color w:val="231F20"/>
          <w:w w:val="105"/>
        </w:rPr>
        <w:t>acceso</w:t>
      </w:r>
      <w:r>
        <w:rPr>
          <w:color w:val="231F20"/>
          <w:spacing w:val="-27"/>
          <w:w w:val="105"/>
        </w:rPr>
        <w:t> </w:t>
      </w:r>
      <w:r>
        <w:rPr>
          <w:color w:val="231F20"/>
          <w:w w:val="105"/>
        </w:rPr>
        <w:t>a</w:t>
      </w:r>
      <w:r>
        <w:rPr>
          <w:color w:val="231F20"/>
          <w:spacing w:val="-27"/>
          <w:w w:val="105"/>
        </w:rPr>
        <w:t> </w:t>
      </w:r>
      <w:r>
        <w:rPr>
          <w:color w:val="231F20"/>
          <w:w w:val="105"/>
        </w:rPr>
        <w:t>la</w:t>
      </w:r>
    </w:p>
    <w:p>
      <w:pPr>
        <w:pStyle w:val="BodyText"/>
        <w:rPr>
          <w:sz w:val="20"/>
        </w:rPr>
      </w:pPr>
    </w:p>
    <w:p>
      <w:pPr>
        <w:pStyle w:val="BodyText"/>
        <w:rPr>
          <w:sz w:val="20"/>
        </w:rPr>
      </w:pPr>
    </w:p>
    <w:p>
      <w:pPr>
        <w:pStyle w:val="BodyText"/>
        <w:rPr>
          <w:sz w:val="1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9464" from="131.551193pt,3.703715pt" to="131.551193pt,39.506114pt" stroked="true" strokeweight=".35pt" strokecolor="#231f20">
            <w10:wrap type="none"/>
          </v:line>
        </w:pict>
      </w:r>
      <w:r>
        <w:rPr/>
        <w:pict>
          <v:line style="position:absolute;mso-position-horizontal-relative:page;mso-position-vertical-relative:paragraph;z-index:-479392" from="15pt,39.505917pt" to="0pt,39.505917pt" stroked="true" strokeweight=".25pt" strokecolor="#000000">
            <w10:wrap type="none"/>
          </v:line>
        </w:pict>
      </w:r>
      <w:r>
        <w:rPr/>
        <w:pict>
          <v:line style="position:absolute;mso-position-horizontal-relative:page;mso-position-vertical-relative:paragraph;z-index:10816" from="508.890015pt,39.505917pt" to="523.890015pt,39.505917pt" stroked="true" strokeweight=".25pt" strokecolor="#000000">
            <w10:wrap type="none"/>
          </v:line>
        </w:pict>
      </w:r>
      <w:r>
        <w:rPr>
          <w:rFonts w:ascii="Arial" w:hAnsi="Arial"/>
          <w:color w:val="414042"/>
          <w:position w:val="-5"/>
          <w:sz w:val="20"/>
        </w:rPr>
        <w:t>106</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755" w:right="0" w:firstLine="0"/>
        <w:jc w:val="left"/>
        <w:rPr>
          <w:rFonts w:ascii="Arial" w:hAnsi="Arial"/>
          <w:sz w:val="20"/>
        </w:rPr>
      </w:pPr>
      <w:r>
        <w:rPr/>
        <w:pict>
          <v:line style="position:absolute;mso-position-horizontal-relative:page;mso-position-vertical-relative:paragraph;z-index:-479344" from="405.061005pt,-18.554295pt" to="405.061005pt,16.311579pt" stroked="true" strokeweight=".35pt" strokecolor="#231f20">
            <w10:wrap type="none"/>
          </v:line>
        </w:pict>
      </w:r>
      <w:r>
        <w:rPr/>
        <w:pict>
          <v:line style="position:absolute;mso-position-horizontal-relative:page;mso-position-vertical-relative:paragraph;z-index:10864" from="15pt,-18.554522pt" to="0pt,-18.554522pt" stroked="true" strokeweight=".25pt" strokecolor="#000000">
            <w10:wrap type="none"/>
          </v:line>
        </w:pict>
      </w:r>
      <w:r>
        <w:rPr/>
        <w:pict>
          <v:line style="position:absolute;mso-position-horizontal-relative:page;mso-position-vertical-relative:paragraph;z-index:10888"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107</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tierra,</w:t>
      </w:r>
      <w:r>
        <w:rPr>
          <w:color w:val="231F20"/>
          <w:spacing w:val="-13"/>
          <w:w w:val="105"/>
        </w:rPr>
        <w:t> </w:t>
      </w:r>
      <w:r>
        <w:rPr>
          <w:color w:val="231F20"/>
          <w:w w:val="105"/>
        </w:rPr>
        <w:t>el</w:t>
      </w:r>
      <w:r>
        <w:rPr>
          <w:color w:val="231F20"/>
          <w:spacing w:val="-7"/>
          <w:w w:val="105"/>
        </w:rPr>
        <w:t> </w:t>
      </w:r>
      <w:r>
        <w:rPr>
          <w:color w:val="231F20"/>
          <w:w w:val="105"/>
        </w:rPr>
        <w:t>limitado</w:t>
      </w:r>
      <w:r>
        <w:rPr>
          <w:color w:val="231F20"/>
          <w:spacing w:val="-7"/>
          <w:w w:val="105"/>
        </w:rPr>
        <w:t> </w:t>
      </w:r>
      <w:r>
        <w:rPr>
          <w:color w:val="231F20"/>
          <w:w w:val="105"/>
        </w:rPr>
        <w:t>o</w:t>
      </w:r>
      <w:r>
        <w:rPr>
          <w:color w:val="231F20"/>
          <w:spacing w:val="-7"/>
          <w:w w:val="105"/>
        </w:rPr>
        <w:t> </w:t>
      </w:r>
      <w:r>
        <w:rPr>
          <w:color w:val="231F20"/>
          <w:w w:val="105"/>
        </w:rPr>
        <w:t>ausente</w:t>
      </w:r>
      <w:r>
        <w:rPr>
          <w:color w:val="231F20"/>
          <w:spacing w:val="-7"/>
          <w:w w:val="105"/>
        </w:rPr>
        <w:t> </w:t>
      </w:r>
      <w:r>
        <w:rPr>
          <w:color w:val="231F20"/>
          <w:w w:val="105"/>
        </w:rPr>
        <w:t>apoyo</w:t>
      </w:r>
      <w:r>
        <w:rPr>
          <w:color w:val="231F20"/>
          <w:spacing w:val="-7"/>
          <w:w w:val="105"/>
        </w:rPr>
        <w:t> </w:t>
      </w:r>
      <w:r>
        <w:rPr>
          <w:color w:val="231F20"/>
          <w:w w:val="105"/>
        </w:rPr>
        <w:t>productivo</w:t>
      </w:r>
      <w:r>
        <w:rPr>
          <w:color w:val="231F20"/>
          <w:spacing w:val="-7"/>
          <w:w w:val="105"/>
        </w:rPr>
        <w:t> </w:t>
      </w:r>
      <w:r>
        <w:rPr>
          <w:color w:val="231F20"/>
          <w:w w:val="105"/>
        </w:rPr>
        <w:t>por</w:t>
      </w:r>
      <w:r>
        <w:rPr>
          <w:color w:val="231F20"/>
          <w:spacing w:val="-7"/>
          <w:w w:val="105"/>
        </w:rPr>
        <w:t> </w:t>
      </w:r>
      <w:r>
        <w:rPr>
          <w:color w:val="231F20"/>
          <w:w w:val="105"/>
        </w:rPr>
        <w:t>parte</w:t>
      </w:r>
      <w:r>
        <w:rPr>
          <w:color w:val="231F20"/>
          <w:spacing w:val="-7"/>
          <w:w w:val="105"/>
        </w:rPr>
        <w:t> </w:t>
      </w:r>
      <w:r>
        <w:rPr>
          <w:color w:val="231F20"/>
          <w:w w:val="105"/>
        </w:rPr>
        <w:t>del</w:t>
      </w:r>
      <w:r>
        <w:rPr>
          <w:color w:val="231F20"/>
          <w:spacing w:val="-7"/>
          <w:w w:val="105"/>
        </w:rPr>
        <w:t> </w:t>
      </w:r>
      <w:r>
        <w:rPr>
          <w:color w:val="231F20"/>
          <w:w w:val="105"/>
        </w:rPr>
        <w:t>Estado</w:t>
      </w:r>
      <w:r>
        <w:rPr>
          <w:color w:val="231F20"/>
          <w:spacing w:val="-7"/>
          <w:w w:val="105"/>
        </w:rPr>
        <w:t> </w:t>
      </w:r>
      <w:r>
        <w:rPr>
          <w:color w:val="231F20"/>
          <w:w w:val="105"/>
        </w:rPr>
        <w:t>y</w:t>
      </w:r>
      <w:r>
        <w:rPr>
          <w:color w:val="231F20"/>
          <w:spacing w:val="-7"/>
          <w:w w:val="105"/>
        </w:rPr>
        <w:t> </w:t>
      </w:r>
      <w:r>
        <w:rPr>
          <w:color w:val="231F20"/>
          <w:w w:val="105"/>
        </w:rPr>
        <w:t>a</w:t>
      </w:r>
      <w:r>
        <w:rPr>
          <w:color w:val="231F20"/>
          <w:spacing w:val="-7"/>
          <w:w w:val="105"/>
        </w:rPr>
        <w:t> </w:t>
      </w:r>
      <w:r>
        <w:rPr>
          <w:color w:val="231F20"/>
          <w:w w:val="105"/>
        </w:rPr>
        <w:t>la baja rentabilidad de la agricultura en pequeña escala, sobre todo</w:t>
      </w:r>
      <w:r>
        <w:rPr>
          <w:color w:val="231F20"/>
          <w:spacing w:val="-24"/>
          <w:w w:val="105"/>
        </w:rPr>
        <w:t> </w:t>
      </w:r>
      <w:r>
        <w:rPr>
          <w:color w:val="231F20"/>
          <w:w w:val="105"/>
        </w:rPr>
        <w:t>cuan- do</w:t>
      </w:r>
      <w:r>
        <w:rPr>
          <w:color w:val="231F20"/>
          <w:spacing w:val="-8"/>
          <w:w w:val="105"/>
        </w:rPr>
        <w:t> </w:t>
      </w:r>
      <w:r>
        <w:rPr>
          <w:color w:val="231F20"/>
          <w:w w:val="105"/>
        </w:rPr>
        <w:t>este</w:t>
      </w:r>
      <w:r>
        <w:rPr>
          <w:color w:val="231F20"/>
          <w:spacing w:val="-8"/>
          <w:w w:val="105"/>
        </w:rPr>
        <w:t> </w:t>
      </w:r>
      <w:r>
        <w:rPr>
          <w:color w:val="231F20"/>
          <w:w w:val="105"/>
        </w:rPr>
        <w:t>tipo</w:t>
      </w:r>
      <w:r>
        <w:rPr>
          <w:color w:val="231F20"/>
          <w:spacing w:val="-8"/>
          <w:w w:val="105"/>
        </w:rPr>
        <w:t> </w:t>
      </w:r>
      <w:r>
        <w:rPr>
          <w:color w:val="231F20"/>
          <w:w w:val="105"/>
        </w:rPr>
        <w:t>de</w:t>
      </w:r>
      <w:r>
        <w:rPr>
          <w:color w:val="231F20"/>
          <w:spacing w:val="-8"/>
          <w:w w:val="105"/>
        </w:rPr>
        <w:t> </w:t>
      </w:r>
      <w:r>
        <w:rPr>
          <w:color w:val="231F20"/>
          <w:w w:val="105"/>
        </w:rPr>
        <w:t>agricultura</w:t>
      </w:r>
      <w:r>
        <w:rPr>
          <w:color w:val="231F20"/>
          <w:spacing w:val="-8"/>
          <w:w w:val="105"/>
        </w:rPr>
        <w:t> </w:t>
      </w:r>
      <w:r>
        <w:rPr>
          <w:color w:val="231F20"/>
          <w:w w:val="105"/>
        </w:rPr>
        <w:t>se</w:t>
      </w:r>
      <w:r>
        <w:rPr>
          <w:color w:val="231F20"/>
          <w:spacing w:val="-8"/>
          <w:w w:val="105"/>
        </w:rPr>
        <w:t> </w:t>
      </w:r>
      <w:r>
        <w:rPr>
          <w:color w:val="231F20"/>
          <w:w w:val="105"/>
        </w:rPr>
        <w:t>ha</w:t>
      </w:r>
      <w:r>
        <w:rPr>
          <w:color w:val="231F20"/>
          <w:spacing w:val="-8"/>
          <w:w w:val="105"/>
        </w:rPr>
        <w:t> </w:t>
      </w:r>
      <w:r>
        <w:rPr>
          <w:color w:val="231F20"/>
          <w:w w:val="105"/>
        </w:rPr>
        <w:t>visto</w:t>
      </w:r>
      <w:r>
        <w:rPr>
          <w:color w:val="231F20"/>
          <w:spacing w:val="-8"/>
          <w:w w:val="105"/>
        </w:rPr>
        <w:t> </w:t>
      </w:r>
      <w:r>
        <w:rPr>
          <w:color w:val="231F20"/>
          <w:w w:val="105"/>
        </w:rPr>
        <w:t>desplazada</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proliferación</w:t>
      </w:r>
      <w:r>
        <w:rPr>
          <w:color w:val="231F20"/>
          <w:spacing w:val="-8"/>
          <w:w w:val="105"/>
        </w:rPr>
        <w:t> </w:t>
      </w:r>
      <w:r>
        <w:rPr>
          <w:color w:val="231F20"/>
          <w:w w:val="105"/>
        </w:rPr>
        <w:t>de algún</w:t>
      </w:r>
      <w:r>
        <w:rPr>
          <w:color w:val="231F20"/>
          <w:spacing w:val="-9"/>
          <w:w w:val="105"/>
        </w:rPr>
        <w:t> </w:t>
      </w:r>
      <w:r>
        <w:rPr>
          <w:color w:val="231F20"/>
          <w:w w:val="105"/>
        </w:rPr>
        <w:t>cultivo</w:t>
      </w:r>
      <w:r>
        <w:rPr>
          <w:color w:val="231F20"/>
          <w:spacing w:val="-9"/>
          <w:w w:val="105"/>
        </w:rPr>
        <w:t> </w:t>
      </w:r>
      <w:r>
        <w:rPr>
          <w:color w:val="231F20"/>
          <w:w w:val="105"/>
        </w:rPr>
        <w:t>de</w:t>
      </w:r>
      <w:r>
        <w:rPr>
          <w:color w:val="231F20"/>
          <w:spacing w:val="-9"/>
          <w:w w:val="105"/>
        </w:rPr>
        <w:t> </w:t>
      </w:r>
      <w:r>
        <w:rPr>
          <w:color w:val="231F20"/>
          <w:w w:val="105"/>
        </w:rPr>
        <w:t>tipo</w:t>
      </w:r>
      <w:r>
        <w:rPr>
          <w:color w:val="231F20"/>
          <w:spacing w:val="-9"/>
          <w:w w:val="105"/>
        </w:rPr>
        <w:t> </w:t>
      </w:r>
      <w:r>
        <w:rPr>
          <w:color w:val="231F20"/>
          <w:w w:val="105"/>
        </w:rPr>
        <w:t>comercial</w:t>
      </w:r>
      <w:r>
        <w:rPr>
          <w:color w:val="231F20"/>
          <w:spacing w:val="-9"/>
          <w:w w:val="105"/>
        </w:rPr>
        <w:t> </w:t>
      </w:r>
      <w:r>
        <w:rPr>
          <w:color w:val="231F20"/>
          <w:w w:val="105"/>
        </w:rPr>
        <w:t>como</w:t>
      </w:r>
      <w:r>
        <w:rPr>
          <w:color w:val="231F20"/>
          <w:spacing w:val="-9"/>
          <w:w w:val="105"/>
        </w:rPr>
        <w:t> </w:t>
      </w:r>
      <w:r>
        <w:rPr>
          <w:color w:val="231F20"/>
          <w:w w:val="105"/>
        </w:rPr>
        <w:t>las</w:t>
      </w:r>
      <w:r>
        <w:rPr>
          <w:color w:val="231F20"/>
          <w:spacing w:val="-9"/>
          <w:w w:val="105"/>
        </w:rPr>
        <w:t> </w:t>
      </w:r>
      <w:r>
        <w:rPr>
          <w:color w:val="231F20"/>
          <w:w w:val="105"/>
        </w:rPr>
        <w:t>flores.</w:t>
      </w:r>
    </w:p>
    <w:p>
      <w:pPr>
        <w:pStyle w:val="BodyText"/>
        <w:spacing w:line="261" w:lineRule="auto" w:before="1"/>
        <w:ind w:left="1837" w:right="1721" w:firstLine="567"/>
        <w:jc w:val="both"/>
      </w:pPr>
      <w:r>
        <w:rPr>
          <w:color w:val="231F20"/>
          <w:w w:val="105"/>
        </w:rPr>
        <w:t>En</w:t>
      </w:r>
      <w:r>
        <w:rPr>
          <w:color w:val="231F20"/>
          <w:spacing w:val="-14"/>
          <w:w w:val="105"/>
        </w:rPr>
        <w:t> </w:t>
      </w:r>
      <w:r>
        <w:rPr>
          <w:color w:val="231F20"/>
          <w:w w:val="105"/>
        </w:rPr>
        <w:t>un</w:t>
      </w:r>
      <w:r>
        <w:rPr>
          <w:color w:val="231F20"/>
          <w:spacing w:val="-14"/>
          <w:w w:val="105"/>
        </w:rPr>
        <w:t> </w:t>
      </w:r>
      <w:r>
        <w:rPr>
          <w:color w:val="231F20"/>
          <w:w w:val="105"/>
        </w:rPr>
        <w:t>ambiente</w:t>
      </w:r>
      <w:r>
        <w:rPr>
          <w:color w:val="231F20"/>
          <w:spacing w:val="-14"/>
          <w:w w:val="105"/>
        </w:rPr>
        <w:t> </w:t>
      </w:r>
      <w:r>
        <w:rPr>
          <w:color w:val="231F20"/>
          <w:w w:val="105"/>
        </w:rPr>
        <w:t>de</w:t>
      </w:r>
      <w:r>
        <w:rPr>
          <w:color w:val="231F20"/>
          <w:spacing w:val="-14"/>
          <w:w w:val="105"/>
        </w:rPr>
        <w:t> </w:t>
      </w:r>
      <w:r>
        <w:rPr>
          <w:color w:val="231F20"/>
          <w:spacing w:val="-3"/>
          <w:w w:val="105"/>
        </w:rPr>
        <w:t>carencias</w:t>
      </w:r>
      <w:r>
        <w:rPr>
          <w:color w:val="231F20"/>
          <w:spacing w:val="-14"/>
          <w:w w:val="105"/>
        </w:rPr>
        <w:t> </w:t>
      </w:r>
      <w:r>
        <w:rPr>
          <w:color w:val="231F20"/>
          <w:w w:val="105"/>
        </w:rPr>
        <w:t>materiales,</w:t>
      </w:r>
      <w:r>
        <w:rPr>
          <w:color w:val="231F20"/>
          <w:spacing w:val="-18"/>
          <w:w w:val="105"/>
        </w:rPr>
        <w:t> </w:t>
      </w:r>
      <w:r>
        <w:rPr>
          <w:color w:val="231F20"/>
          <w:w w:val="105"/>
        </w:rPr>
        <w:t>las</w:t>
      </w:r>
      <w:r>
        <w:rPr>
          <w:color w:val="231F20"/>
          <w:spacing w:val="-14"/>
          <w:w w:val="105"/>
        </w:rPr>
        <w:t> </w:t>
      </w:r>
      <w:r>
        <w:rPr>
          <w:color w:val="231F20"/>
          <w:w w:val="105"/>
        </w:rPr>
        <w:t>unidades</w:t>
      </w:r>
      <w:r>
        <w:rPr>
          <w:color w:val="231F20"/>
          <w:spacing w:val="-14"/>
          <w:w w:val="105"/>
        </w:rPr>
        <w:t> </w:t>
      </w:r>
      <w:r>
        <w:rPr>
          <w:color w:val="231F20"/>
          <w:w w:val="105"/>
        </w:rPr>
        <w:t>domésticas </w:t>
      </w:r>
      <w:r>
        <w:rPr>
          <w:color w:val="231F20"/>
          <w:spacing w:val="-3"/>
          <w:w w:val="105"/>
        </w:rPr>
        <w:t>presentan</w:t>
      </w:r>
      <w:r>
        <w:rPr>
          <w:color w:val="231F20"/>
          <w:spacing w:val="-14"/>
          <w:w w:val="105"/>
        </w:rPr>
        <w:t> </w:t>
      </w:r>
      <w:r>
        <w:rPr>
          <w:color w:val="231F20"/>
          <w:w w:val="105"/>
        </w:rPr>
        <w:t>una</w:t>
      </w:r>
      <w:r>
        <w:rPr>
          <w:color w:val="231F20"/>
          <w:spacing w:val="-14"/>
          <w:w w:val="105"/>
        </w:rPr>
        <w:t> </w:t>
      </w:r>
      <w:r>
        <w:rPr>
          <w:color w:val="231F20"/>
          <w:spacing w:val="-3"/>
          <w:w w:val="105"/>
        </w:rPr>
        <w:t>organización</w:t>
      </w:r>
      <w:r>
        <w:rPr>
          <w:color w:val="231F20"/>
          <w:spacing w:val="-14"/>
          <w:w w:val="105"/>
        </w:rPr>
        <w:t> </w:t>
      </w:r>
      <w:r>
        <w:rPr>
          <w:color w:val="231F20"/>
          <w:w w:val="105"/>
        </w:rPr>
        <w:t>cuyos</w:t>
      </w:r>
      <w:r>
        <w:rPr>
          <w:color w:val="231F20"/>
          <w:spacing w:val="-14"/>
          <w:w w:val="105"/>
        </w:rPr>
        <w:t> </w:t>
      </w:r>
      <w:r>
        <w:rPr>
          <w:color w:val="231F20"/>
          <w:w w:val="105"/>
        </w:rPr>
        <w:t>ejes</w:t>
      </w:r>
      <w:r>
        <w:rPr>
          <w:color w:val="231F20"/>
          <w:spacing w:val="-14"/>
          <w:w w:val="105"/>
        </w:rPr>
        <w:t> </w:t>
      </w:r>
      <w:r>
        <w:rPr>
          <w:color w:val="231F20"/>
          <w:w w:val="105"/>
        </w:rPr>
        <w:t>descansan</w:t>
      </w:r>
      <w:r>
        <w:rPr>
          <w:color w:val="231F20"/>
          <w:spacing w:val="-14"/>
          <w:w w:val="105"/>
        </w:rPr>
        <w:t> </w:t>
      </w:r>
      <w:r>
        <w:rPr>
          <w:color w:val="231F20"/>
          <w:w w:val="105"/>
        </w:rPr>
        <w:t>en</w:t>
      </w:r>
      <w:r>
        <w:rPr>
          <w:color w:val="231F20"/>
          <w:spacing w:val="-14"/>
          <w:w w:val="105"/>
        </w:rPr>
        <w:t> </w:t>
      </w:r>
      <w:r>
        <w:rPr>
          <w:color w:val="231F20"/>
          <w:w w:val="105"/>
        </w:rPr>
        <w:t>todo</w:t>
      </w:r>
      <w:r>
        <w:rPr>
          <w:color w:val="231F20"/>
          <w:spacing w:val="-14"/>
          <w:w w:val="105"/>
        </w:rPr>
        <w:t> </w:t>
      </w:r>
      <w:r>
        <w:rPr>
          <w:color w:val="231F20"/>
          <w:w w:val="105"/>
        </w:rPr>
        <w:t>tipo</w:t>
      </w:r>
      <w:r>
        <w:rPr>
          <w:color w:val="231F20"/>
          <w:spacing w:val="-14"/>
          <w:w w:val="105"/>
        </w:rPr>
        <w:t> </w:t>
      </w:r>
      <w:r>
        <w:rPr>
          <w:color w:val="231F20"/>
          <w:w w:val="105"/>
        </w:rPr>
        <w:t>de</w:t>
      </w:r>
      <w:r>
        <w:rPr>
          <w:color w:val="231F20"/>
          <w:spacing w:val="-14"/>
          <w:w w:val="105"/>
        </w:rPr>
        <w:t> </w:t>
      </w:r>
      <w:r>
        <w:rPr>
          <w:color w:val="231F20"/>
          <w:w w:val="105"/>
        </w:rPr>
        <w:t>estra- tegias</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ponen</w:t>
      </w:r>
      <w:r>
        <w:rPr>
          <w:color w:val="231F20"/>
          <w:spacing w:val="-20"/>
          <w:w w:val="105"/>
        </w:rPr>
        <w:t> </w:t>
      </w:r>
      <w:r>
        <w:rPr>
          <w:color w:val="231F20"/>
          <w:w w:val="105"/>
        </w:rPr>
        <w:t>en</w:t>
      </w:r>
      <w:r>
        <w:rPr>
          <w:color w:val="231F20"/>
          <w:spacing w:val="-20"/>
          <w:w w:val="105"/>
        </w:rPr>
        <w:t> </w:t>
      </w:r>
      <w:r>
        <w:rPr>
          <w:color w:val="231F20"/>
          <w:spacing w:val="-3"/>
          <w:w w:val="105"/>
        </w:rPr>
        <w:t>marcha,</w:t>
      </w:r>
      <w:r>
        <w:rPr>
          <w:color w:val="231F20"/>
          <w:spacing w:val="-25"/>
          <w:w w:val="105"/>
        </w:rPr>
        <w:t> </w:t>
      </w:r>
      <w:r>
        <w:rPr>
          <w:color w:val="231F20"/>
          <w:w w:val="105"/>
        </w:rPr>
        <w:t>por</w:t>
      </w:r>
      <w:r>
        <w:rPr>
          <w:color w:val="231F20"/>
          <w:spacing w:val="-20"/>
          <w:w w:val="105"/>
        </w:rPr>
        <w:t> </w:t>
      </w:r>
      <w:r>
        <w:rPr>
          <w:color w:val="231F20"/>
          <w:w w:val="105"/>
        </w:rPr>
        <w:t>ejemplo,</w:t>
      </w:r>
      <w:r>
        <w:rPr>
          <w:color w:val="231F20"/>
          <w:spacing w:val="-25"/>
          <w:w w:val="105"/>
        </w:rPr>
        <w:t> </w:t>
      </w:r>
      <w:r>
        <w:rPr>
          <w:color w:val="231F20"/>
          <w:w w:val="105"/>
        </w:rPr>
        <w:t>el</w:t>
      </w:r>
      <w:r>
        <w:rPr>
          <w:color w:val="231F20"/>
          <w:spacing w:val="-20"/>
          <w:w w:val="105"/>
        </w:rPr>
        <w:t> </w:t>
      </w:r>
      <w:r>
        <w:rPr>
          <w:color w:val="231F20"/>
          <w:w w:val="105"/>
        </w:rPr>
        <w:t>trabajo</w:t>
      </w:r>
      <w:r>
        <w:rPr>
          <w:color w:val="231F20"/>
          <w:spacing w:val="-20"/>
          <w:w w:val="105"/>
        </w:rPr>
        <w:t> </w:t>
      </w:r>
      <w:r>
        <w:rPr>
          <w:color w:val="231F20"/>
          <w:w w:val="105"/>
        </w:rPr>
        <w:t>infantil</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migra- ción</w:t>
      </w:r>
      <w:r>
        <w:rPr>
          <w:color w:val="231F20"/>
          <w:spacing w:val="-12"/>
          <w:w w:val="105"/>
        </w:rPr>
        <w:t> </w:t>
      </w:r>
      <w:r>
        <w:rPr>
          <w:color w:val="231F20"/>
          <w:w w:val="105"/>
        </w:rPr>
        <w:t>internacional.</w:t>
      </w:r>
      <w:r>
        <w:rPr>
          <w:color w:val="231F20"/>
          <w:spacing w:val="-17"/>
          <w:w w:val="105"/>
        </w:rPr>
        <w:t> </w:t>
      </w:r>
      <w:r>
        <w:rPr>
          <w:color w:val="231F20"/>
          <w:w w:val="105"/>
        </w:rPr>
        <w:t>Uno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spacing w:val="-3"/>
          <w:w w:val="105"/>
        </w:rPr>
        <w:t>argumentos</w:t>
      </w:r>
      <w:r>
        <w:rPr>
          <w:color w:val="231F20"/>
          <w:spacing w:val="-12"/>
          <w:w w:val="105"/>
        </w:rPr>
        <w:t> </w:t>
      </w:r>
      <w:r>
        <w:rPr>
          <w:color w:val="231F20"/>
          <w:w w:val="105"/>
        </w:rPr>
        <w:t>más</w:t>
      </w:r>
      <w:r>
        <w:rPr>
          <w:color w:val="231F20"/>
          <w:spacing w:val="-12"/>
          <w:w w:val="105"/>
        </w:rPr>
        <w:t> </w:t>
      </w:r>
      <w:r>
        <w:rPr>
          <w:color w:val="231F20"/>
          <w:w w:val="105"/>
        </w:rPr>
        <w:t>comunes</w:t>
      </w:r>
      <w:r>
        <w:rPr>
          <w:color w:val="231F20"/>
          <w:spacing w:val="-12"/>
          <w:w w:val="105"/>
        </w:rPr>
        <w:t> </w:t>
      </w:r>
      <w:r>
        <w:rPr>
          <w:color w:val="231F20"/>
          <w:spacing w:val="-3"/>
          <w:w w:val="105"/>
        </w:rPr>
        <w:t>sobre</w:t>
      </w:r>
      <w:r>
        <w:rPr>
          <w:color w:val="231F20"/>
          <w:spacing w:val="-12"/>
          <w:w w:val="105"/>
        </w:rPr>
        <w:t> </w:t>
      </w:r>
      <w:r>
        <w:rPr>
          <w:color w:val="231F20"/>
          <w:w w:val="105"/>
        </w:rPr>
        <w:t>las</w:t>
      </w:r>
      <w:r>
        <w:rPr>
          <w:color w:val="231F20"/>
          <w:spacing w:val="-12"/>
          <w:w w:val="105"/>
        </w:rPr>
        <w:t> </w:t>
      </w:r>
      <w:r>
        <w:rPr>
          <w:color w:val="231F20"/>
          <w:w w:val="105"/>
        </w:rPr>
        <w:t>razo- nes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práctica</w:t>
      </w:r>
      <w:r>
        <w:rPr>
          <w:color w:val="231F20"/>
          <w:spacing w:val="-18"/>
          <w:w w:val="105"/>
        </w:rPr>
        <w:t> </w:t>
      </w:r>
      <w:r>
        <w:rPr>
          <w:color w:val="231F20"/>
          <w:w w:val="105"/>
        </w:rPr>
        <w:t>del</w:t>
      </w:r>
      <w:r>
        <w:rPr>
          <w:color w:val="231F20"/>
          <w:spacing w:val="-18"/>
          <w:w w:val="105"/>
        </w:rPr>
        <w:t> </w:t>
      </w:r>
      <w:r>
        <w:rPr>
          <w:color w:val="231F20"/>
          <w:w w:val="105"/>
        </w:rPr>
        <w:t>trabajo</w:t>
      </w:r>
      <w:r>
        <w:rPr>
          <w:color w:val="231F20"/>
          <w:spacing w:val="-18"/>
          <w:w w:val="105"/>
        </w:rPr>
        <w:t> </w:t>
      </w:r>
      <w:r>
        <w:rPr>
          <w:color w:val="231F20"/>
          <w:w w:val="105"/>
        </w:rPr>
        <w:t>infantil</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migración</w:t>
      </w:r>
      <w:r>
        <w:rPr>
          <w:color w:val="231F20"/>
          <w:spacing w:val="-18"/>
          <w:w w:val="105"/>
        </w:rPr>
        <w:t> </w:t>
      </w:r>
      <w:r>
        <w:rPr>
          <w:color w:val="231F20"/>
          <w:w w:val="105"/>
        </w:rPr>
        <w:t>internacional</w:t>
      </w:r>
      <w:r>
        <w:rPr>
          <w:color w:val="231F20"/>
          <w:spacing w:val="-18"/>
          <w:w w:val="105"/>
        </w:rPr>
        <w:t> </w:t>
      </w:r>
      <w:r>
        <w:rPr>
          <w:color w:val="231F20"/>
          <w:w w:val="105"/>
        </w:rPr>
        <w:t>tiene que</w:t>
      </w:r>
      <w:r>
        <w:rPr>
          <w:color w:val="231F20"/>
          <w:spacing w:val="-15"/>
          <w:w w:val="105"/>
        </w:rPr>
        <w:t> </w:t>
      </w:r>
      <w:r>
        <w:rPr>
          <w:color w:val="231F20"/>
          <w:w w:val="105"/>
        </w:rPr>
        <w:t>ver</w:t>
      </w:r>
      <w:r>
        <w:rPr>
          <w:color w:val="231F20"/>
          <w:spacing w:val="-15"/>
          <w:w w:val="105"/>
        </w:rPr>
        <w:t> </w:t>
      </w:r>
      <w:r>
        <w:rPr>
          <w:color w:val="231F20"/>
          <w:w w:val="105"/>
        </w:rPr>
        <w:t>en</w:t>
      </w:r>
      <w:r>
        <w:rPr>
          <w:color w:val="231F20"/>
          <w:spacing w:val="-15"/>
          <w:w w:val="105"/>
        </w:rPr>
        <w:t> </w:t>
      </w:r>
      <w:r>
        <w:rPr>
          <w:color w:val="231F20"/>
          <w:w w:val="105"/>
        </w:rPr>
        <w:t>definitiva</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despliegue</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mayor</w:t>
      </w:r>
      <w:r>
        <w:rPr>
          <w:color w:val="231F20"/>
          <w:spacing w:val="-15"/>
          <w:w w:val="105"/>
        </w:rPr>
        <w:t> </w:t>
      </w:r>
      <w:r>
        <w:rPr>
          <w:color w:val="231F20"/>
          <w:w w:val="105"/>
        </w:rPr>
        <w:t>uso</w:t>
      </w:r>
      <w:r>
        <w:rPr>
          <w:color w:val="231F20"/>
          <w:spacing w:val="-15"/>
          <w:w w:val="105"/>
        </w:rPr>
        <w:t> </w:t>
      </w:r>
      <w:r>
        <w:rPr>
          <w:color w:val="231F20"/>
          <w:w w:val="105"/>
        </w:rPr>
        <w:t>del</w:t>
      </w:r>
      <w:r>
        <w:rPr>
          <w:color w:val="231F20"/>
          <w:spacing w:val="-15"/>
          <w:w w:val="105"/>
        </w:rPr>
        <w:t> </w:t>
      </w:r>
      <w:r>
        <w:rPr>
          <w:color w:val="231F20"/>
          <w:spacing w:val="-3"/>
          <w:w w:val="105"/>
        </w:rPr>
        <w:t>recurso</w:t>
      </w:r>
      <w:r>
        <w:rPr>
          <w:color w:val="231F20"/>
          <w:spacing w:val="-15"/>
          <w:w w:val="105"/>
        </w:rPr>
        <w:t> </w:t>
      </w:r>
      <w:r>
        <w:rPr>
          <w:color w:val="231F20"/>
          <w:spacing w:val="-3"/>
          <w:w w:val="105"/>
        </w:rPr>
        <w:t>fuer- </w:t>
      </w:r>
      <w:r>
        <w:rPr>
          <w:color w:val="231F20"/>
          <w:w w:val="105"/>
        </w:rPr>
        <w:t>za</w:t>
      </w:r>
      <w:r>
        <w:rPr>
          <w:color w:val="231F20"/>
          <w:spacing w:val="-14"/>
          <w:w w:val="105"/>
        </w:rPr>
        <w:t> </w:t>
      </w:r>
      <w:r>
        <w:rPr>
          <w:color w:val="231F20"/>
          <w:w w:val="105"/>
        </w:rPr>
        <w:t>de</w:t>
      </w:r>
      <w:r>
        <w:rPr>
          <w:color w:val="231F20"/>
          <w:spacing w:val="-14"/>
          <w:w w:val="105"/>
        </w:rPr>
        <w:t> </w:t>
      </w:r>
      <w:r>
        <w:rPr>
          <w:color w:val="231F20"/>
          <w:spacing w:val="-3"/>
          <w:w w:val="105"/>
        </w:rPr>
        <w:t>trabajo,</w:t>
      </w:r>
      <w:r>
        <w:rPr>
          <w:color w:val="231F20"/>
          <w:spacing w:val="-19"/>
          <w:w w:val="105"/>
        </w:rPr>
        <w:t> </w:t>
      </w:r>
      <w:r>
        <w:rPr>
          <w:color w:val="231F20"/>
          <w:w w:val="105"/>
        </w:rPr>
        <w:t>disponible</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unidades</w:t>
      </w:r>
      <w:r>
        <w:rPr>
          <w:color w:val="231F20"/>
          <w:spacing w:val="-14"/>
          <w:w w:val="105"/>
        </w:rPr>
        <w:t> </w:t>
      </w:r>
      <w:r>
        <w:rPr>
          <w:color w:val="231F20"/>
          <w:w w:val="105"/>
        </w:rPr>
        <w:t>domésticas</w:t>
      </w:r>
      <w:r>
        <w:rPr>
          <w:color w:val="231F20"/>
          <w:spacing w:val="-14"/>
          <w:w w:val="105"/>
        </w:rPr>
        <w:t> </w:t>
      </w:r>
      <w:r>
        <w:rPr>
          <w:color w:val="231F20"/>
          <w:w w:val="105"/>
        </w:rPr>
        <w:t>para</w:t>
      </w:r>
      <w:r>
        <w:rPr>
          <w:color w:val="231F20"/>
          <w:spacing w:val="-14"/>
          <w:w w:val="105"/>
        </w:rPr>
        <w:t> </w:t>
      </w:r>
      <w:r>
        <w:rPr>
          <w:color w:val="231F20"/>
          <w:w w:val="105"/>
        </w:rPr>
        <w:t>hacer</w:t>
      </w:r>
      <w:r>
        <w:rPr>
          <w:color w:val="231F20"/>
          <w:spacing w:val="-14"/>
          <w:w w:val="105"/>
        </w:rPr>
        <w:t> </w:t>
      </w:r>
      <w:r>
        <w:rPr>
          <w:color w:val="231F20"/>
          <w:spacing w:val="-3"/>
          <w:w w:val="105"/>
        </w:rPr>
        <w:t>frente</w:t>
      </w:r>
      <w:r>
        <w:rPr>
          <w:color w:val="231F20"/>
          <w:spacing w:val="-14"/>
          <w:w w:val="105"/>
        </w:rPr>
        <w:t> </w:t>
      </w:r>
      <w:r>
        <w:rPr>
          <w:color w:val="231F20"/>
          <w:w w:val="105"/>
        </w:rPr>
        <w:t>a </w:t>
      </w:r>
      <w:r>
        <w:rPr>
          <w:color w:val="231F20"/>
        </w:rPr>
        <w:t>las</w:t>
      </w:r>
      <w:r>
        <w:rPr>
          <w:color w:val="231F20"/>
          <w:spacing w:val="-9"/>
        </w:rPr>
        <w:t> </w:t>
      </w:r>
      <w:r>
        <w:rPr>
          <w:color w:val="231F20"/>
        </w:rPr>
        <w:t>exigencias</w:t>
      </w:r>
      <w:r>
        <w:rPr>
          <w:color w:val="231F20"/>
          <w:spacing w:val="-9"/>
        </w:rPr>
        <w:t> </w:t>
      </w:r>
      <w:r>
        <w:rPr>
          <w:color w:val="231F20"/>
        </w:rPr>
        <w:t>y</w:t>
      </w:r>
      <w:r>
        <w:rPr>
          <w:color w:val="231F20"/>
          <w:spacing w:val="-9"/>
        </w:rPr>
        <w:t> </w:t>
      </w:r>
      <w:r>
        <w:rPr>
          <w:color w:val="231F20"/>
        </w:rPr>
        <w:t>necesidades</w:t>
      </w:r>
      <w:r>
        <w:rPr>
          <w:color w:val="231F20"/>
          <w:spacing w:val="-9"/>
        </w:rPr>
        <w:t> </w:t>
      </w:r>
      <w:r>
        <w:rPr>
          <w:color w:val="231F20"/>
        </w:rPr>
        <w:t>económicas</w:t>
      </w:r>
      <w:r>
        <w:rPr>
          <w:color w:val="231F20"/>
          <w:spacing w:val="-9"/>
        </w:rPr>
        <w:t> </w:t>
      </w:r>
      <w:r>
        <w:rPr>
          <w:color w:val="231F20"/>
        </w:rPr>
        <w:t>(González</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2"/>
        </w:rPr>
        <w:t>Rocha,</w:t>
      </w:r>
      <w:r>
        <w:rPr>
          <w:color w:val="231F20"/>
          <w:spacing w:val="-14"/>
        </w:rPr>
        <w:t> </w:t>
      </w:r>
      <w:r>
        <w:rPr>
          <w:color w:val="231F20"/>
          <w:spacing w:val="-2"/>
        </w:rPr>
        <w:t>2009).</w:t>
      </w:r>
    </w:p>
    <w:p>
      <w:pPr>
        <w:pStyle w:val="BodyText"/>
        <w:spacing w:line="261" w:lineRule="auto" w:before="1"/>
        <w:ind w:left="1837" w:right="1721" w:firstLine="567"/>
        <w:jc w:val="both"/>
      </w:pPr>
      <w:r>
        <w:rPr>
          <w:color w:val="231F20"/>
          <w:w w:val="105"/>
        </w:rPr>
        <w:t>El</w:t>
      </w:r>
      <w:r>
        <w:rPr>
          <w:color w:val="231F20"/>
          <w:spacing w:val="-6"/>
          <w:w w:val="105"/>
        </w:rPr>
        <w:t> </w:t>
      </w:r>
      <w:r>
        <w:rPr>
          <w:color w:val="231F20"/>
          <w:w w:val="105"/>
        </w:rPr>
        <w:t>imaginario</w:t>
      </w:r>
      <w:r>
        <w:rPr>
          <w:color w:val="231F20"/>
          <w:spacing w:val="-6"/>
          <w:w w:val="105"/>
        </w:rPr>
        <w:t> </w:t>
      </w:r>
      <w:r>
        <w:rPr>
          <w:color w:val="231F20"/>
          <w:w w:val="105"/>
        </w:rPr>
        <w:t>social</w:t>
      </w:r>
      <w:r>
        <w:rPr>
          <w:color w:val="231F20"/>
          <w:spacing w:val="-6"/>
          <w:w w:val="105"/>
        </w:rPr>
        <w:t> </w:t>
      </w:r>
      <w:r>
        <w:rPr>
          <w:color w:val="231F20"/>
          <w:w w:val="105"/>
        </w:rPr>
        <w:t>que</w:t>
      </w:r>
      <w:r>
        <w:rPr>
          <w:color w:val="231F20"/>
          <w:spacing w:val="-6"/>
          <w:w w:val="105"/>
        </w:rPr>
        <w:t> </w:t>
      </w:r>
      <w:r>
        <w:rPr>
          <w:color w:val="231F20"/>
          <w:w w:val="105"/>
        </w:rPr>
        <w:t>adoptan</w:t>
      </w:r>
      <w:r>
        <w:rPr>
          <w:color w:val="231F20"/>
          <w:spacing w:val="-6"/>
          <w:w w:val="105"/>
        </w:rPr>
        <w:t> </w:t>
      </w:r>
      <w:r>
        <w:rPr>
          <w:color w:val="231F20"/>
          <w:w w:val="105"/>
        </w:rPr>
        <w:t>los</w:t>
      </w:r>
      <w:r>
        <w:rPr>
          <w:color w:val="231F20"/>
          <w:spacing w:val="-6"/>
          <w:w w:val="105"/>
        </w:rPr>
        <w:t> </w:t>
      </w:r>
      <w:r>
        <w:rPr>
          <w:color w:val="231F20"/>
          <w:w w:val="105"/>
        </w:rPr>
        <w:t>niños</w:t>
      </w:r>
      <w:r>
        <w:rPr>
          <w:color w:val="231F20"/>
          <w:spacing w:val="-6"/>
          <w:w w:val="105"/>
        </w:rPr>
        <w:t> </w:t>
      </w:r>
      <w:r>
        <w:rPr>
          <w:color w:val="231F20"/>
          <w:w w:val="105"/>
        </w:rPr>
        <w:t>frente</w:t>
      </w:r>
      <w:r>
        <w:rPr>
          <w:color w:val="231F20"/>
          <w:spacing w:val="-6"/>
          <w:w w:val="105"/>
        </w:rPr>
        <w:t> </w:t>
      </w:r>
      <w:r>
        <w:rPr>
          <w:color w:val="231F20"/>
          <w:w w:val="105"/>
        </w:rPr>
        <w:t>al</w:t>
      </w:r>
      <w:r>
        <w:rPr>
          <w:color w:val="231F20"/>
          <w:spacing w:val="-6"/>
          <w:w w:val="105"/>
        </w:rPr>
        <w:t> </w:t>
      </w:r>
      <w:r>
        <w:rPr>
          <w:color w:val="231F20"/>
          <w:w w:val="105"/>
        </w:rPr>
        <w:t>trabajo</w:t>
      </w:r>
      <w:r>
        <w:rPr>
          <w:color w:val="231F20"/>
          <w:spacing w:val="-6"/>
          <w:w w:val="105"/>
        </w:rPr>
        <w:t> </w:t>
      </w:r>
      <w:r>
        <w:rPr>
          <w:color w:val="231F20"/>
          <w:w w:val="105"/>
        </w:rPr>
        <w:t>infantil y</w:t>
      </w:r>
      <w:r>
        <w:rPr>
          <w:color w:val="231F20"/>
          <w:spacing w:val="-6"/>
          <w:w w:val="105"/>
        </w:rPr>
        <w:t> </w:t>
      </w:r>
      <w:r>
        <w:rPr>
          <w:color w:val="231F20"/>
          <w:w w:val="105"/>
        </w:rPr>
        <w:t>la</w:t>
      </w:r>
      <w:r>
        <w:rPr>
          <w:color w:val="231F20"/>
          <w:spacing w:val="-6"/>
          <w:w w:val="105"/>
        </w:rPr>
        <w:t> </w:t>
      </w:r>
      <w:r>
        <w:rPr>
          <w:color w:val="231F20"/>
          <w:w w:val="105"/>
        </w:rPr>
        <w:t>migración</w:t>
      </w:r>
      <w:r>
        <w:rPr>
          <w:color w:val="231F20"/>
          <w:spacing w:val="-6"/>
          <w:w w:val="105"/>
        </w:rPr>
        <w:t> </w:t>
      </w:r>
      <w:r>
        <w:rPr>
          <w:color w:val="231F20"/>
          <w:w w:val="105"/>
        </w:rPr>
        <w:t>internacional</w:t>
      </w:r>
      <w:r>
        <w:rPr>
          <w:color w:val="231F20"/>
          <w:spacing w:val="-6"/>
          <w:w w:val="105"/>
        </w:rPr>
        <w:t> </w:t>
      </w:r>
      <w:r>
        <w:rPr>
          <w:color w:val="231F20"/>
          <w:w w:val="105"/>
        </w:rPr>
        <w:t>constituye</w:t>
      </w:r>
      <w:r>
        <w:rPr>
          <w:color w:val="231F20"/>
          <w:spacing w:val="-6"/>
          <w:w w:val="105"/>
        </w:rPr>
        <w:t> </w:t>
      </w:r>
      <w:r>
        <w:rPr>
          <w:color w:val="231F20"/>
          <w:w w:val="105"/>
        </w:rPr>
        <w:t>un</w:t>
      </w:r>
      <w:r>
        <w:rPr>
          <w:color w:val="231F20"/>
          <w:spacing w:val="-6"/>
          <w:w w:val="105"/>
        </w:rPr>
        <w:t> </w:t>
      </w:r>
      <w:r>
        <w:rPr>
          <w:color w:val="231F20"/>
          <w:w w:val="105"/>
        </w:rPr>
        <w:t>campo</w:t>
      </w:r>
      <w:r>
        <w:rPr>
          <w:color w:val="231F20"/>
          <w:spacing w:val="-6"/>
          <w:w w:val="105"/>
        </w:rPr>
        <w:t> </w:t>
      </w:r>
      <w:r>
        <w:rPr>
          <w:color w:val="231F20"/>
          <w:w w:val="105"/>
        </w:rPr>
        <w:t>de</w:t>
      </w:r>
      <w:r>
        <w:rPr>
          <w:color w:val="231F20"/>
          <w:spacing w:val="-6"/>
          <w:w w:val="105"/>
        </w:rPr>
        <w:t> </w:t>
      </w:r>
      <w:r>
        <w:rPr>
          <w:color w:val="231F20"/>
          <w:w w:val="105"/>
        </w:rPr>
        <w:t>acción</w:t>
      </w:r>
      <w:r>
        <w:rPr>
          <w:color w:val="231F20"/>
          <w:spacing w:val="-6"/>
          <w:w w:val="105"/>
        </w:rPr>
        <w:t> </w:t>
      </w:r>
      <w:r>
        <w:rPr>
          <w:color w:val="231F20"/>
          <w:w w:val="105"/>
        </w:rPr>
        <w:t>hasta</w:t>
      </w:r>
      <w:r>
        <w:rPr>
          <w:color w:val="231F20"/>
          <w:spacing w:val="-6"/>
          <w:w w:val="105"/>
        </w:rPr>
        <w:t> </w:t>
      </w:r>
      <w:r>
        <w:rPr>
          <w:color w:val="231F20"/>
          <w:w w:val="105"/>
        </w:rPr>
        <w:t>ahora desatendido por las políticas públicas enfocadas a los pequeños pro- ductores del campo mexicano. Como todos los fenómenos sociales es complejo y en el cotidiano de la vida forman parte de una amplia gama de</w:t>
      </w:r>
      <w:r>
        <w:rPr>
          <w:color w:val="231F20"/>
          <w:spacing w:val="-10"/>
          <w:w w:val="105"/>
        </w:rPr>
        <w:t> </w:t>
      </w:r>
      <w:r>
        <w:rPr>
          <w:color w:val="231F20"/>
          <w:w w:val="105"/>
        </w:rPr>
        <w:t>posibilidades</w:t>
      </w:r>
      <w:r>
        <w:rPr>
          <w:color w:val="231F20"/>
          <w:spacing w:val="-10"/>
          <w:w w:val="105"/>
        </w:rPr>
        <w:t> </w:t>
      </w:r>
      <w:r>
        <w:rPr>
          <w:color w:val="231F20"/>
          <w:w w:val="105"/>
        </w:rPr>
        <w:t>de</w:t>
      </w:r>
      <w:r>
        <w:rPr>
          <w:color w:val="231F20"/>
          <w:spacing w:val="-10"/>
          <w:w w:val="105"/>
        </w:rPr>
        <w:t> </w:t>
      </w:r>
      <w:r>
        <w:rPr>
          <w:color w:val="231F20"/>
          <w:w w:val="105"/>
        </w:rPr>
        <w:t>acción</w:t>
      </w:r>
      <w:r>
        <w:rPr>
          <w:color w:val="231F20"/>
          <w:spacing w:val="-10"/>
          <w:w w:val="105"/>
        </w:rPr>
        <w:t> </w:t>
      </w:r>
      <w:r>
        <w:rPr>
          <w:color w:val="231F20"/>
          <w:w w:val="105"/>
        </w:rPr>
        <w:t>frente</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diaria</w:t>
      </w:r>
      <w:r>
        <w:rPr>
          <w:color w:val="231F20"/>
          <w:spacing w:val="-10"/>
          <w:w w:val="105"/>
        </w:rPr>
        <w:t> </w:t>
      </w:r>
      <w:r>
        <w:rPr>
          <w:color w:val="231F20"/>
          <w:w w:val="105"/>
        </w:rPr>
        <w:t>tarea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subsistencia.</w:t>
      </w:r>
      <w:r>
        <w:rPr>
          <w:color w:val="231F20"/>
          <w:spacing w:val="-15"/>
          <w:w w:val="105"/>
        </w:rPr>
        <w:t> </w:t>
      </w:r>
      <w:r>
        <w:rPr>
          <w:color w:val="231F20"/>
          <w:w w:val="105"/>
        </w:rPr>
        <w:t>Sin embargo, en cierta medida están comprometiendo el futuro a largo</w:t>
      </w:r>
      <w:r>
        <w:rPr>
          <w:color w:val="231F20"/>
          <w:spacing w:val="-19"/>
          <w:w w:val="105"/>
        </w:rPr>
        <w:t> </w:t>
      </w:r>
      <w:r>
        <w:rPr>
          <w:color w:val="231F20"/>
          <w:w w:val="105"/>
        </w:rPr>
        <w:t>pla- zo</w:t>
      </w:r>
      <w:r>
        <w:rPr>
          <w:color w:val="231F20"/>
          <w:spacing w:val="-5"/>
          <w:w w:val="105"/>
        </w:rPr>
        <w:t> </w:t>
      </w:r>
      <w:r>
        <w:rPr>
          <w:color w:val="231F20"/>
          <w:w w:val="105"/>
        </w:rPr>
        <w:t>de</w:t>
      </w:r>
      <w:r>
        <w:rPr>
          <w:color w:val="231F20"/>
          <w:spacing w:val="-5"/>
          <w:w w:val="105"/>
        </w:rPr>
        <w:t> </w:t>
      </w:r>
      <w:r>
        <w:rPr>
          <w:color w:val="231F20"/>
          <w:w w:val="105"/>
        </w:rPr>
        <w:t>estos</w:t>
      </w:r>
      <w:r>
        <w:rPr>
          <w:color w:val="231F20"/>
          <w:spacing w:val="-5"/>
          <w:w w:val="105"/>
        </w:rPr>
        <w:t> </w:t>
      </w:r>
      <w:r>
        <w:rPr>
          <w:color w:val="231F20"/>
          <w:w w:val="105"/>
        </w:rPr>
        <w:t>niños.</w:t>
      </w:r>
      <w:r>
        <w:rPr>
          <w:color w:val="231F20"/>
          <w:spacing w:val="-15"/>
          <w:w w:val="105"/>
        </w:rPr>
        <w:t> </w:t>
      </w:r>
      <w:r>
        <w:rPr>
          <w:color w:val="231F20"/>
          <w:spacing w:val="-5"/>
          <w:w w:val="105"/>
        </w:rPr>
        <w:t>Tanto </w:t>
      </w:r>
      <w:r>
        <w:rPr>
          <w:color w:val="231F20"/>
          <w:w w:val="105"/>
        </w:rPr>
        <w:t>el</w:t>
      </w:r>
      <w:r>
        <w:rPr>
          <w:color w:val="231F20"/>
          <w:spacing w:val="-5"/>
          <w:w w:val="105"/>
        </w:rPr>
        <w:t> </w:t>
      </w:r>
      <w:r>
        <w:rPr>
          <w:color w:val="231F20"/>
          <w:w w:val="105"/>
        </w:rPr>
        <w:t>trabajo</w:t>
      </w:r>
      <w:r>
        <w:rPr>
          <w:color w:val="231F20"/>
          <w:spacing w:val="-5"/>
          <w:w w:val="105"/>
        </w:rPr>
        <w:t> </w:t>
      </w:r>
      <w:r>
        <w:rPr>
          <w:color w:val="231F20"/>
          <w:w w:val="105"/>
        </w:rPr>
        <w:t>infantil</w:t>
      </w:r>
      <w:r>
        <w:rPr>
          <w:color w:val="231F20"/>
          <w:spacing w:val="-5"/>
          <w:w w:val="105"/>
        </w:rPr>
        <w:t> </w:t>
      </w:r>
      <w:r>
        <w:rPr>
          <w:color w:val="231F20"/>
          <w:w w:val="105"/>
        </w:rPr>
        <w:t>como</w:t>
      </w:r>
      <w:r>
        <w:rPr>
          <w:color w:val="231F20"/>
          <w:spacing w:val="-5"/>
          <w:w w:val="105"/>
        </w:rPr>
        <w:t> </w:t>
      </w:r>
      <w:r>
        <w:rPr>
          <w:color w:val="231F20"/>
          <w:w w:val="105"/>
        </w:rPr>
        <w:t>la</w:t>
      </w:r>
      <w:r>
        <w:rPr>
          <w:color w:val="231F20"/>
          <w:spacing w:val="-5"/>
          <w:w w:val="105"/>
        </w:rPr>
        <w:t> </w:t>
      </w:r>
      <w:r>
        <w:rPr>
          <w:color w:val="231F20"/>
          <w:w w:val="105"/>
        </w:rPr>
        <w:t>migración</w:t>
      </w:r>
      <w:r>
        <w:rPr>
          <w:color w:val="231F20"/>
          <w:spacing w:val="-5"/>
          <w:w w:val="105"/>
        </w:rPr>
        <w:t> </w:t>
      </w:r>
      <w:r>
        <w:rPr>
          <w:color w:val="231F20"/>
          <w:w w:val="105"/>
        </w:rPr>
        <w:t>internacio- nal</w:t>
      </w:r>
      <w:r>
        <w:rPr>
          <w:color w:val="231F20"/>
          <w:spacing w:val="-27"/>
          <w:w w:val="105"/>
        </w:rPr>
        <w:t> </w:t>
      </w:r>
      <w:r>
        <w:rPr>
          <w:color w:val="231F20"/>
          <w:w w:val="105"/>
        </w:rPr>
        <w:t>interrumpen</w:t>
      </w:r>
      <w:r>
        <w:rPr>
          <w:color w:val="231F20"/>
          <w:spacing w:val="-27"/>
          <w:w w:val="105"/>
        </w:rPr>
        <w:t> </w:t>
      </w:r>
      <w:r>
        <w:rPr>
          <w:color w:val="231F20"/>
          <w:w w:val="105"/>
        </w:rPr>
        <w:t>las</w:t>
      </w:r>
      <w:r>
        <w:rPr>
          <w:color w:val="231F20"/>
          <w:spacing w:val="-27"/>
          <w:w w:val="105"/>
        </w:rPr>
        <w:t> </w:t>
      </w:r>
      <w:r>
        <w:rPr>
          <w:color w:val="231F20"/>
          <w:w w:val="105"/>
        </w:rPr>
        <w:t>trayectorias</w:t>
      </w:r>
      <w:r>
        <w:rPr>
          <w:color w:val="231F20"/>
          <w:spacing w:val="-27"/>
          <w:w w:val="105"/>
        </w:rPr>
        <w:t> </w:t>
      </w:r>
      <w:r>
        <w:rPr>
          <w:color w:val="231F20"/>
          <w:w w:val="105"/>
        </w:rPr>
        <w:t>educativas.</w:t>
      </w:r>
      <w:r>
        <w:rPr>
          <w:color w:val="231F20"/>
          <w:spacing w:val="-31"/>
          <w:w w:val="105"/>
        </w:rPr>
        <w:t> </w:t>
      </w:r>
      <w:r>
        <w:rPr>
          <w:color w:val="231F20"/>
          <w:w w:val="105"/>
        </w:rPr>
        <w:t>Son</w:t>
      </w:r>
      <w:r>
        <w:rPr>
          <w:color w:val="231F20"/>
          <w:spacing w:val="-27"/>
          <w:w w:val="105"/>
        </w:rPr>
        <w:t> </w:t>
      </w:r>
      <w:r>
        <w:rPr>
          <w:color w:val="231F20"/>
          <w:w w:val="105"/>
        </w:rPr>
        <w:t>estrategias</w:t>
      </w:r>
      <w:r>
        <w:rPr>
          <w:color w:val="231F20"/>
          <w:spacing w:val="-27"/>
          <w:w w:val="105"/>
        </w:rPr>
        <w:t> </w:t>
      </w:r>
      <w:r>
        <w:rPr>
          <w:color w:val="231F20"/>
          <w:w w:val="105"/>
        </w:rPr>
        <w:t>a</w:t>
      </w:r>
      <w:r>
        <w:rPr>
          <w:color w:val="231F20"/>
          <w:spacing w:val="-27"/>
          <w:w w:val="105"/>
        </w:rPr>
        <w:t> </w:t>
      </w:r>
      <w:r>
        <w:rPr>
          <w:color w:val="231F20"/>
          <w:w w:val="105"/>
        </w:rPr>
        <w:t>corto</w:t>
      </w:r>
      <w:r>
        <w:rPr>
          <w:color w:val="231F20"/>
          <w:spacing w:val="-27"/>
          <w:w w:val="105"/>
        </w:rPr>
        <w:t> </w:t>
      </w:r>
      <w:r>
        <w:rPr>
          <w:color w:val="231F20"/>
          <w:w w:val="105"/>
        </w:rPr>
        <w:t>plazo que pueden comprometer el desarrollo futuro de los niños. Sin contar con</w:t>
      </w:r>
      <w:r>
        <w:rPr>
          <w:color w:val="231F20"/>
          <w:spacing w:val="-6"/>
          <w:w w:val="105"/>
        </w:rPr>
        <w:t> </w:t>
      </w:r>
      <w:r>
        <w:rPr>
          <w:color w:val="231F20"/>
          <w:w w:val="105"/>
        </w:rPr>
        <w:t>los</w:t>
      </w:r>
      <w:r>
        <w:rPr>
          <w:color w:val="231F20"/>
          <w:spacing w:val="-6"/>
          <w:w w:val="105"/>
        </w:rPr>
        <w:t> </w:t>
      </w:r>
      <w:r>
        <w:rPr>
          <w:color w:val="231F20"/>
          <w:w w:val="105"/>
        </w:rPr>
        <w:t>riesgo</w:t>
      </w:r>
      <w:r>
        <w:rPr>
          <w:color w:val="231F20"/>
          <w:spacing w:val="-6"/>
          <w:w w:val="105"/>
        </w:rPr>
        <w:t> </w:t>
      </w:r>
      <w:r>
        <w:rPr>
          <w:color w:val="231F20"/>
          <w:w w:val="105"/>
        </w:rPr>
        <w:t>que</w:t>
      </w:r>
      <w:r>
        <w:rPr>
          <w:color w:val="231F20"/>
          <w:spacing w:val="-6"/>
          <w:w w:val="105"/>
        </w:rPr>
        <w:t> </w:t>
      </w:r>
      <w:r>
        <w:rPr>
          <w:color w:val="231F20"/>
          <w:w w:val="105"/>
        </w:rPr>
        <w:t>suponen</w:t>
      </w:r>
      <w:r>
        <w:rPr>
          <w:color w:val="231F20"/>
          <w:spacing w:val="-6"/>
          <w:w w:val="105"/>
        </w:rPr>
        <w:t> </w:t>
      </w:r>
      <w:r>
        <w:rPr>
          <w:color w:val="231F20"/>
          <w:w w:val="105"/>
        </w:rPr>
        <w:t>ser</w:t>
      </w:r>
      <w:r>
        <w:rPr>
          <w:color w:val="231F20"/>
          <w:spacing w:val="-6"/>
          <w:w w:val="105"/>
        </w:rPr>
        <w:t> </w:t>
      </w:r>
      <w:r>
        <w:rPr>
          <w:color w:val="231F20"/>
          <w:w w:val="105"/>
        </w:rPr>
        <w:t>un</w:t>
      </w:r>
      <w:r>
        <w:rPr>
          <w:color w:val="231F20"/>
          <w:spacing w:val="-6"/>
          <w:w w:val="105"/>
        </w:rPr>
        <w:t> </w:t>
      </w:r>
      <w:r>
        <w:rPr>
          <w:color w:val="231F20"/>
          <w:w w:val="105"/>
        </w:rPr>
        <w:t>niño</w:t>
      </w:r>
      <w:r>
        <w:rPr>
          <w:color w:val="231F20"/>
          <w:spacing w:val="-6"/>
          <w:w w:val="105"/>
        </w:rPr>
        <w:t> </w:t>
      </w:r>
      <w:r>
        <w:rPr>
          <w:color w:val="231F20"/>
          <w:w w:val="105"/>
        </w:rPr>
        <w:t>trabajador</w:t>
      </w:r>
      <w:r>
        <w:rPr>
          <w:color w:val="231F20"/>
          <w:spacing w:val="-6"/>
          <w:w w:val="105"/>
        </w:rPr>
        <w:t> </w:t>
      </w:r>
      <w:r>
        <w:rPr>
          <w:color w:val="231F20"/>
          <w:w w:val="105"/>
        </w:rPr>
        <w:t>y</w:t>
      </w:r>
      <w:r>
        <w:rPr>
          <w:color w:val="231F20"/>
          <w:spacing w:val="-6"/>
          <w:w w:val="105"/>
        </w:rPr>
        <w:t> </w:t>
      </w:r>
      <w:r>
        <w:rPr>
          <w:color w:val="231F20"/>
          <w:w w:val="105"/>
        </w:rPr>
        <w:t>un</w:t>
      </w:r>
      <w:r>
        <w:rPr>
          <w:color w:val="231F20"/>
          <w:spacing w:val="-6"/>
          <w:w w:val="105"/>
        </w:rPr>
        <w:t> </w:t>
      </w:r>
      <w:r>
        <w:rPr>
          <w:color w:val="231F20"/>
          <w:w w:val="105"/>
        </w:rPr>
        <w:t>adolescente</w:t>
      </w:r>
      <w:r>
        <w:rPr>
          <w:color w:val="231F20"/>
          <w:spacing w:val="-6"/>
          <w:w w:val="105"/>
        </w:rPr>
        <w:t> </w:t>
      </w:r>
      <w:r>
        <w:rPr>
          <w:color w:val="231F20"/>
          <w:w w:val="105"/>
        </w:rPr>
        <w:t>mi- grante. Este campo de acción representa un importante ámbito por ex- plorar</w:t>
      </w:r>
      <w:r>
        <w:rPr>
          <w:color w:val="231F20"/>
          <w:spacing w:val="-12"/>
          <w:w w:val="105"/>
        </w:rPr>
        <w:t> </w:t>
      </w:r>
      <w:r>
        <w:rPr>
          <w:color w:val="231F20"/>
          <w:w w:val="105"/>
        </w:rPr>
        <w:t>para</w:t>
      </w:r>
      <w:r>
        <w:rPr>
          <w:color w:val="231F20"/>
          <w:spacing w:val="-12"/>
          <w:w w:val="105"/>
        </w:rPr>
        <w:t> </w:t>
      </w:r>
      <w:r>
        <w:rPr>
          <w:color w:val="231F20"/>
          <w:w w:val="105"/>
        </w:rPr>
        <w:t>dar</w:t>
      </w:r>
      <w:r>
        <w:rPr>
          <w:color w:val="231F20"/>
          <w:spacing w:val="-12"/>
          <w:w w:val="105"/>
        </w:rPr>
        <w:t> </w:t>
      </w:r>
      <w:r>
        <w:rPr>
          <w:color w:val="231F20"/>
          <w:w w:val="105"/>
        </w:rPr>
        <w:t>mayor</w:t>
      </w:r>
      <w:r>
        <w:rPr>
          <w:color w:val="231F20"/>
          <w:spacing w:val="-12"/>
          <w:w w:val="105"/>
        </w:rPr>
        <w:t> </w:t>
      </w:r>
      <w:r>
        <w:rPr>
          <w:color w:val="231F20"/>
          <w:w w:val="105"/>
        </w:rPr>
        <w:t>relevancia</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políticas</w:t>
      </w:r>
      <w:r>
        <w:rPr>
          <w:color w:val="231F20"/>
          <w:spacing w:val="-12"/>
          <w:w w:val="105"/>
        </w:rPr>
        <w:t> </w:t>
      </w:r>
      <w:r>
        <w:rPr>
          <w:color w:val="231F20"/>
          <w:w w:val="105"/>
        </w:rPr>
        <w:t>de</w:t>
      </w:r>
      <w:r>
        <w:rPr>
          <w:color w:val="231F20"/>
          <w:spacing w:val="-12"/>
          <w:w w:val="105"/>
        </w:rPr>
        <w:t> </w:t>
      </w:r>
      <w:r>
        <w:rPr>
          <w:color w:val="231F20"/>
          <w:w w:val="105"/>
        </w:rPr>
        <w:t>infancia</w:t>
      </w:r>
      <w:r>
        <w:rPr>
          <w:color w:val="231F20"/>
          <w:spacing w:val="-12"/>
          <w:w w:val="105"/>
        </w:rPr>
        <w:t> </w:t>
      </w:r>
      <w:r>
        <w:rPr>
          <w:color w:val="231F20"/>
          <w:w w:val="105"/>
        </w:rPr>
        <w:t>y</w:t>
      </w:r>
      <w:r>
        <w:rPr>
          <w:color w:val="231F20"/>
          <w:spacing w:val="-12"/>
          <w:w w:val="105"/>
        </w:rPr>
        <w:t> </w:t>
      </w:r>
      <w:r>
        <w:rPr>
          <w:color w:val="231F20"/>
          <w:w w:val="105"/>
        </w:rPr>
        <w:t>juventud</w:t>
      </w:r>
      <w:r>
        <w:rPr>
          <w:color w:val="231F20"/>
          <w:spacing w:val="-12"/>
          <w:w w:val="105"/>
        </w:rPr>
        <w:t> </w:t>
      </w:r>
      <w:r>
        <w:rPr>
          <w:color w:val="231F20"/>
          <w:w w:val="105"/>
        </w:rPr>
        <w:t>en el México</w:t>
      </w:r>
      <w:r>
        <w:rPr>
          <w:color w:val="231F20"/>
          <w:spacing w:val="-36"/>
          <w:w w:val="105"/>
        </w:rPr>
        <w:t> </w:t>
      </w:r>
      <w:r>
        <w:rPr>
          <w:color w:val="231F20"/>
          <w:w w:val="105"/>
        </w:rPr>
        <w:t>rural.</w:t>
      </w:r>
    </w:p>
    <w:p>
      <w:pPr>
        <w:pStyle w:val="BodyText"/>
        <w:rPr>
          <w:sz w:val="20"/>
        </w:rPr>
      </w:pPr>
    </w:p>
    <w:p>
      <w:pPr>
        <w:pStyle w:val="BodyText"/>
        <w:spacing w:before="9"/>
        <w:rPr>
          <w:sz w:val="20"/>
        </w:rPr>
      </w:pPr>
    </w:p>
    <w:p>
      <w:pPr>
        <w:pStyle w:val="Heading3"/>
        <w:ind w:right="6753"/>
        <w:jc w:val="left"/>
      </w:pPr>
      <w:r>
        <w:rPr>
          <w:color w:val="231F20"/>
        </w:rPr>
        <w:t>Bibliografía</w:t>
      </w:r>
    </w:p>
    <w:p>
      <w:pPr>
        <w:pStyle w:val="BodyText"/>
        <w:rPr>
          <w:rFonts w:ascii="Arial"/>
          <w:b/>
          <w:sz w:val="22"/>
        </w:rPr>
      </w:pPr>
    </w:p>
    <w:p>
      <w:pPr>
        <w:spacing w:line="259" w:lineRule="auto" w:before="160"/>
        <w:ind w:left="2574" w:right="1721" w:hanging="738"/>
        <w:jc w:val="both"/>
        <w:rPr>
          <w:sz w:val="21"/>
        </w:rPr>
      </w:pPr>
      <w:r>
        <w:rPr>
          <w:color w:val="231F20"/>
          <w:spacing w:val="-3"/>
          <w:sz w:val="21"/>
        </w:rPr>
        <w:t>Aguado López, </w:t>
      </w:r>
      <w:r>
        <w:rPr>
          <w:color w:val="231F20"/>
          <w:spacing w:val="-4"/>
          <w:sz w:val="21"/>
        </w:rPr>
        <w:t>Eduardo, </w:t>
      </w:r>
      <w:r>
        <w:rPr>
          <w:color w:val="231F20"/>
          <w:spacing w:val="-3"/>
          <w:sz w:val="21"/>
        </w:rPr>
        <w:t>(1998), </w:t>
      </w:r>
      <w:r>
        <w:rPr>
          <w:rFonts w:ascii="Arial" w:hAnsi="Arial"/>
          <w:i/>
          <w:color w:val="231F20"/>
          <w:sz w:val="21"/>
        </w:rPr>
        <w:t>Una </w:t>
      </w:r>
      <w:r>
        <w:rPr>
          <w:rFonts w:ascii="Arial" w:hAnsi="Arial"/>
          <w:i/>
          <w:color w:val="231F20"/>
          <w:spacing w:val="-3"/>
          <w:sz w:val="21"/>
        </w:rPr>
        <w:t>mirada </w:t>
      </w:r>
      <w:r>
        <w:rPr>
          <w:rFonts w:ascii="Arial" w:hAnsi="Arial"/>
          <w:i/>
          <w:color w:val="231F20"/>
          <w:sz w:val="21"/>
        </w:rPr>
        <w:t>al </w:t>
      </w:r>
      <w:r>
        <w:rPr>
          <w:rFonts w:ascii="Arial" w:hAnsi="Arial"/>
          <w:i/>
          <w:color w:val="231F20"/>
          <w:spacing w:val="-4"/>
          <w:sz w:val="21"/>
        </w:rPr>
        <w:t>reparto </w:t>
      </w:r>
      <w:r>
        <w:rPr>
          <w:rFonts w:ascii="Arial" w:hAnsi="Arial"/>
          <w:i/>
          <w:color w:val="231F20"/>
          <w:spacing w:val="-3"/>
          <w:sz w:val="21"/>
        </w:rPr>
        <w:t>agrario </w:t>
      </w:r>
      <w:r>
        <w:rPr>
          <w:rFonts w:ascii="Arial" w:hAnsi="Arial"/>
          <w:i/>
          <w:color w:val="231F20"/>
          <w:sz w:val="21"/>
        </w:rPr>
        <w:t>en el </w:t>
      </w:r>
      <w:r>
        <w:rPr>
          <w:rFonts w:ascii="Arial" w:hAnsi="Arial"/>
          <w:i/>
          <w:color w:val="231F20"/>
          <w:spacing w:val="-3"/>
          <w:sz w:val="21"/>
        </w:rPr>
        <w:t>Estado </w:t>
      </w:r>
      <w:r>
        <w:rPr>
          <w:rFonts w:ascii="Arial" w:hAnsi="Arial"/>
          <w:i/>
          <w:color w:val="231F20"/>
          <w:sz w:val="21"/>
        </w:rPr>
        <w:t>de </w:t>
      </w:r>
      <w:r>
        <w:rPr>
          <w:rFonts w:ascii="Arial" w:hAnsi="Arial"/>
          <w:i/>
          <w:color w:val="231F20"/>
          <w:spacing w:val="-3"/>
          <w:sz w:val="21"/>
        </w:rPr>
        <w:t>México, 1915-1992: </w:t>
      </w:r>
      <w:r>
        <w:rPr>
          <w:rFonts w:ascii="Arial" w:hAnsi="Arial"/>
          <w:i/>
          <w:color w:val="231F20"/>
          <w:sz w:val="21"/>
        </w:rPr>
        <w:t>de la </w:t>
      </w:r>
      <w:r>
        <w:rPr>
          <w:rFonts w:ascii="Arial" w:hAnsi="Arial"/>
          <w:i/>
          <w:color w:val="231F20"/>
          <w:spacing w:val="-3"/>
          <w:sz w:val="21"/>
        </w:rPr>
        <w:t>dotación </w:t>
      </w:r>
      <w:r>
        <w:rPr>
          <w:rFonts w:ascii="Arial" w:hAnsi="Arial"/>
          <w:i/>
          <w:color w:val="231F20"/>
          <w:sz w:val="21"/>
        </w:rPr>
        <w:t>y </w:t>
      </w:r>
      <w:r>
        <w:rPr>
          <w:rFonts w:ascii="Arial" w:hAnsi="Arial"/>
          <w:i/>
          <w:color w:val="231F20"/>
          <w:spacing w:val="-3"/>
          <w:sz w:val="21"/>
        </w:rPr>
        <w:t>restitución </w:t>
      </w:r>
      <w:r>
        <w:rPr>
          <w:rFonts w:ascii="Arial" w:hAnsi="Arial"/>
          <w:i/>
          <w:color w:val="231F20"/>
          <w:sz w:val="21"/>
        </w:rPr>
        <w:t>a la </w:t>
      </w:r>
      <w:r>
        <w:rPr>
          <w:rFonts w:ascii="Arial" w:hAnsi="Arial"/>
          <w:i/>
          <w:color w:val="231F20"/>
          <w:spacing w:val="-4"/>
          <w:sz w:val="21"/>
        </w:rPr>
        <w:t>privatización </w:t>
      </w:r>
      <w:r>
        <w:rPr>
          <w:rFonts w:ascii="Arial" w:hAnsi="Arial"/>
          <w:i/>
          <w:color w:val="231F20"/>
          <w:sz w:val="21"/>
        </w:rPr>
        <w:t>de la </w:t>
      </w:r>
      <w:r>
        <w:rPr>
          <w:rFonts w:ascii="Arial" w:hAnsi="Arial"/>
          <w:i/>
          <w:color w:val="231F20"/>
          <w:spacing w:val="-3"/>
          <w:sz w:val="21"/>
        </w:rPr>
        <w:t>propiedad social, </w:t>
      </w:r>
      <w:r>
        <w:rPr>
          <w:color w:val="231F20"/>
          <w:spacing w:val="-3"/>
          <w:sz w:val="21"/>
        </w:rPr>
        <w:t>Zinacantepec, México: </w:t>
      </w:r>
      <w:r>
        <w:rPr>
          <w:color w:val="231F20"/>
          <w:sz w:val="21"/>
        </w:rPr>
        <w:t>El </w:t>
      </w:r>
      <w:r>
        <w:rPr>
          <w:color w:val="231F20"/>
          <w:spacing w:val="-3"/>
          <w:sz w:val="21"/>
        </w:rPr>
        <w:t>Colegio Mexi- quense.</w:t>
      </w:r>
    </w:p>
    <w:p>
      <w:pPr>
        <w:spacing w:line="261" w:lineRule="auto" w:before="3"/>
        <w:ind w:left="2574" w:right="1715" w:hanging="738"/>
        <w:jc w:val="both"/>
        <w:rPr>
          <w:sz w:val="21"/>
        </w:rPr>
      </w:pPr>
      <w:r>
        <w:rPr>
          <w:color w:val="231F20"/>
          <w:w w:val="105"/>
          <w:sz w:val="21"/>
        </w:rPr>
        <w:t>Barrón,</w:t>
      </w:r>
      <w:r>
        <w:rPr>
          <w:color w:val="231F20"/>
          <w:spacing w:val="-23"/>
          <w:w w:val="105"/>
          <w:sz w:val="21"/>
        </w:rPr>
        <w:t> </w:t>
      </w:r>
      <w:r>
        <w:rPr>
          <w:color w:val="231F20"/>
          <w:w w:val="105"/>
          <w:sz w:val="21"/>
        </w:rPr>
        <w:t>Antonieta,</w:t>
      </w:r>
      <w:r>
        <w:rPr>
          <w:color w:val="231F20"/>
          <w:spacing w:val="-21"/>
          <w:w w:val="105"/>
          <w:sz w:val="21"/>
        </w:rPr>
        <w:t> </w:t>
      </w:r>
      <w:r>
        <w:rPr>
          <w:color w:val="231F20"/>
          <w:w w:val="105"/>
          <w:sz w:val="21"/>
        </w:rPr>
        <w:t>(2013),</w:t>
      </w:r>
      <w:r>
        <w:rPr>
          <w:color w:val="231F20"/>
          <w:spacing w:val="-21"/>
          <w:w w:val="105"/>
          <w:sz w:val="21"/>
        </w:rPr>
        <w:t> </w:t>
      </w:r>
      <w:r>
        <w:rPr>
          <w:color w:val="231F20"/>
          <w:w w:val="105"/>
          <w:sz w:val="21"/>
        </w:rPr>
        <w:t>“Desempleo</w:t>
      </w:r>
      <w:r>
        <w:rPr>
          <w:color w:val="231F20"/>
          <w:spacing w:val="-15"/>
          <w:w w:val="105"/>
          <w:sz w:val="21"/>
        </w:rPr>
        <w:t> </w:t>
      </w:r>
      <w:r>
        <w:rPr>
          <w:color w:val="231F20"/>
          <w:w w:val="105"/>
          <w:sz w:val="21"/>
        </w:rPr>
        <w:t>entre</w:t>
      </w:r>
      <w:r>
        <w:rPr>
          <w:color w:val="231F20"/>
          <w:spacing w:val="-15"/>
          <w:w w:val="105"/>
          <w:sz w:val="21"/>
        </w:rPr>
        <w:t> </w:t>
      </w:r>
      <w:r>
        <w:rPr>
          <w:color w:val="231F20"/>
          <w:w w:val="105"/>
          <w:sz w:val="21"/>
        </w:rPr>
        <w:t>los</w:t>
      </w:r>
      <w:r>
        <w:rPr>
          <w:color w:val="231F20"/>
          <w:spacing w:val="-15"/>
          <w:w w:val="105"/>
          <w:sz w:val="21"/>
        </w:rPr>
        <w:t> </w:t>
      </w:r>
      <w:r>
        <w:rPr>
          <w:color w:val="231F20"/>
          <w:w w:val="105"/>
          <w:sz w:val="21"/>
        </w:rPr>
        <w:t>jornaleros</w:t>
      </w:r>
      <w:r>
        <w:rPr>
          <w:color w:val="231F20"/>
          <w:spacing w:val="-15"/>
          <w:w w:val="105"/>
          <w:sz w:val="21"/>
        </w:rPr>
        <w:t> </w:t>
      </w:r>
      <w:r>
        <w:rPr>
          <w:color w:val="231F20"/>
          <w:w w:val="105"/>
          <w:sz w:val="21"/>
        </w:rPr>
        <w:t>agrícolas.</w:t>
      </w:r>
      <w:r>
        <w:rPr>
          <w:color w:val="231F20"/>
          <w:spacing w:val="-21"/>
          <w:w w:val="105"/>
          <w:sz w:val="21"/>
        </w:rPr>
        <w:t> </w:t>
      </w:r>
      <w:r>
        <w:rPr>
          <w:color w:val="231F20"/>
          <w:w w:val="105"/>
          <w:sz w:val="21"/>
        </w:rPr>
        <w:t>Un fenómeno</w:t>
      </w:r>
      <w:r>
        <w:rPr>
          <w:color w:val="231F20"/>
          <w:spacing w:val="-22"/>
          <w:w w:val="105"/>
          <w:sz w:val="21"/>
        </w:rPr>
        <w:t> </w:t>
      </w:r>
      <w:r>
        <w:rPr>
          <w:color w:val="231F20"/>
          <w:spacing w:val="-3"/>
          <w:w w:val="105"/>
          <w:sz w:val="21"/>
        </w:rPr>
        <w:t>emergente”,</w:t>
      </w:r>
      <w:r>
        <w:rPr>
          <w:color w:val="231F20"/>
          <w:spacing w:val="-26"/>
          <w:w w:val="105"/>
          <w:sz w:val="21"/>
        </w:rPr>
        <w:t> </w:t>
      </w:r>
      <w:r>
        <w:rPr>
          <w:rFonts w:ascii="Arial" w:hAnsi="Arial"/>
          <w:i/>
          <w:color w:val="231F20"/>
          <w:w w:val="105"/>
          <w:sz w:val="21"/>
        </w:rPr>
        <w:t>Revista</w:t>
      </w:r>
      <w:r>
        <w:rPr>
          <w:rFonts w:ascii="Arial" w:hAnsi="Arial"/>
          <w:i/>
          <w:color w:val="231F20"/>
          <w:spacing w:val="-25"/>
          <w:w w:val="105"/>
          <w:sz w:val="21"/>
        </w:rPr>
        <w:t> </w:t>
      </w:r>
      <w:r>
        <w:rPr>
          <w:rFonts w:ascii="Arial" w:hAnsi="Arial"/>
          <w:i/>
          <w:color w:val="231F20"/>
          <w:w w:val="105"/>
          <w:sz w:val="21"/>
        </w:rPr>
        <w:t>Problemas</w:t>
      </w:r>
      <w:r>
        <w:rPr>
          <w:rFonts w:ascii="Arial" w:hAnsi="Arial"/>
          <w:i/>
          <w:color w:val="231F20"/>
          <w:spacing w:val="-25"/>
          <w:w w:val="105"/>
          <w:sz w:val="21"/>
        </w:rPr>
        <w:t> </w:t>
      </w:r>
      <w:r>
        <w:rPr>
          <w:rFonts w:ascii="Arial" w:hAnsi="Arial"/>
          <w:i/>
          <w:color w:val="231F20"/>
          <w:w w:val="105"/>
          <w:sz w:val="21"/>
        </w:rPr>
        <w:t>del</w:t>
      </w:r>
      <w:r>
        <w:rPr>
          <w:rFonts w:ascii="Arial" w:hAnsi="Arial"/>
          <w:i/>
          <w:color w:val="231F20"/>
          <w:spacing w:val="-25"/>
          <w:w w:val="105"/>
          <w:sz w:val="21"/>
        </w:rPr>
        <w:t> </w:t>
      </w:r>
      <w:r>
        <w:rPr>
          <w:rFonts w:ascii="Arial" w:hAnsi="Arial"/>
          <w:i/>
          <w:color w:val="231F20"/>
          <w:w w:val="105"/>
          <w:sz w:val="21"/>
        </w:rPr>
        <w:t>Desarrollo</w:t>
      </w:r>
      <w:r>
        <w:rPr>
          <w:color w:val="231F20"/>
          <w:w w:val="105"/>
          <w:sz w:val="21"/>
        </w:rPr>
        <w:t>,</w:t>
      </w:r>
      <w:r>
        <w:rPr>
          <w:color w:val="231F20"/>
          <w:spacing w:val="-26"/>
          <w:w w:val="105"/>
          <w:sz w:val="21"/>
        </w:rPr>
        <w:t> </w:t>
      </w:r>
      <w:r>
        <w:rPr>
          <w:color w:val="231F20"/>
          <w:w w:val="105"/>
          <w:sz w:val="21"/>
        </w:rPr>
        <w:t>vol.</w:t>
      </w:r>
      <w:r>
        <w:rPr>
          <w:color w:val="231F20"/>
          <w:spacing w:val="-26"/>
          <w:w w:val="105"/>
          <w:sz w:val="21"/>
        </w:rPr>
        <w:t> </w:t>
      </w:r>
      <w:r>
        <w:rPr>
          <w:color w:val="231F20"/>
          <w:w w:val="105"/>
          <w:sz w:val="21"/>
        </w:rPr>
        <w:t>44, núm.</w:t>
      </w:r>
      <w:r>
        <w:rPr>
          <w:color w:val="231F20"/>
          <w:spacing w:val="-29"/>
          <w:w w:val="105"/>
          <w:sz w:val="21"/>
        </w:rPr>
        <w:t> </w:t>
      </w:r>
      <w:r>
        <w:rPr>
          <w:color w:val="231F20"/>
          <w:w w:val="105"/>
          <w:sz w:val="21"/>
        </w:rPr>
        <w:t>175.</w:t>
      </w:r>
    </w:p>
    <w:p>
      <w:pPr>
        <w:spacing w:line="259" w:lineRule="auto" w:before="0"/>
        <w:ind w:left="2574" w:right="1722" w:hanging="737"/>
        <w:jc w:val="both"/>
        <w:rPr>
          <w:sz w:val="21"/>
        </w:rPr>
      </w:pPr>
      <w:r>
        <w:rPr>
          <w:color w:val="231F20"/>
          <w:sz w:val="21"/>
        </w:rPr>
        <w:t>Castón, </w:t>
      </w:r>
      <w:r>
        <w:rPr>
          <w:color w:val="231F20"/>
          <w:spacing w:val="-3"/>
          <w:sz w:val="21"/>
        </w:rPr>
        <w:t>Pablo, </w:t>
      </w:r>
      <w:r>
        <w:rPr>
          <w:color w:val="231F20"/>
          <w:sz w:val="21"/>
        </w:rPr>
        <w:t>(1996), “La sociología de Pierre </w:t>
      </w:r>
      <w:r>
        <w:rPr>
          <w:color w:val="231F20"/>
          <w:spacing w:val="-3"/>
          <w:sz w:val="21"/>
        </w:rPr>
        <w:t>Bourdieu”, </w:t>
      </w:r>
      <w:r>
        <w:rPr>
          <w:rFonts w:ascii="Arial" w:hAnsi="Arial"/>
          <w:i/>
          <w:color w:val="231F20"/>
          <w:sz w:val="21"/>
        </w:rPr>
        <w:t>Revista</w:t>
      </w:r>
      <w:r>
        <w:rPr>
          <w:rFonts w:ascii="Arial" w:hAnsi="Arial"/>
          <w:i/>
          <w:color w:val="231F20"/>
          <w:spacing w:val="-19"/>
          <w:sz w:val="21"/>
        </w:rPr>
        <w:t> </w:t>
      </w:r>
      <w:r>
        <w:rPr>
          <w:rFonts w:ascii="Arial" w:hAnsi="Arial"/>
          <w:i/>
          <w:color w:val="231F20"/>
          <w:sz w:val="21"/>
        </w:rPr>
        <w:t>Españo- </w:t>
      </w:r>
      <w:r>
        <w:rPr>
          <w:rFonts w:ascii="Arial" w:hAnsi="Arial"/>
          <w:i/>
          <w:color w:val="231F20"/>
          <w:sz w:val="21"/>
        </w:rPr>
        <w:t>la de Investigaciones Sociológicas, </w:t>
      </w:r>
      <w:r>
        <w:rPr>
          <w:color w:val="231F20"/>
          <w:sz w:val="21"/>
        </w:rPr>
        <w:t>núm.</w:t>
      </w:r>
      <w:r>
        <w:rPr>
          <w:color w:val="231F20"/>
          <w:spacing w:val="33"/>
          <w:sz w:val="21"/>
        </w:rPr>
        <w:t> </w:t>
      </w:r>
      <w:r>
        <w:rPr>
          <w:color w:val="231F20"/>
          <w:sz w:val="21"/>
        </w:rPr>
        <w:t>76.</w:t>
      </w:r>
    </w:p>
    <w:p>
      <w:pPr>
        <w:spacing w:line="261" w:lineRule="auto" w:before="0"/>
        <w:ind w:left="2574" w:right="1721" w:hanging="738"/>
        <w:jc w:val="both"/>
        <w:rPr>
          <w:sz w:val="21"/>
        </w:rPr>
      </w:pPr>
      <w:r>
        <w:rPr/>
        <w:pict>
          <v:line style="position:absolute;mso-position-horizontal-relative:page;mso-position-vertical-relative:paragraph;z-index:-479272" from="15pt,111.460075pt" to="0pt,111.460075pt" stroked="true" strokeweight=".25pt" strokecolor="#000000">
            <w10:wrap type="none"/>
          </v:line>
        </w:pict>
      </w:r>
      <w:r>
        <w:rPr/>
        <w:pict>
          <v:line style="position:absolute;mso-position-horizontal-relative:page;mso-position-vertical-relative:paragraph;z-index:10936" from="508.890015pt,111.460075pt" to="523.890015pt,111.460075pt" stroked="true" strokeweight=".25pt" strokecolor="#000000">
            <w10:wrap type="none"/>
          </v:line>
        </w:pict>
      </w:r>
      <w:r>
        <w:rPr>
          <w:color w:val="231F20"/>
          <w:w w:val="105"/>
          <w:sz w:val="21"/>
        </w:rPr>
        <w:t>Castro</w:t>
      </w:r>
      <w:r>
        <w:rPr>
          <w:color w:val="231F20"/>
          <w:spacing w:val="-29"/>
          <w:w w:val="105"/>
          <w:sz w:val="21"/>
        </w:rPr>
        <w:t> </w:t>
      </w:r>
      <w:r>
        <w:rPr>
          <w:color w:val="231F20"/>
          <w:w w:val="105"/>
          <w:sz w:val="21"/>
        </w:rPr>
        <w:t>Domingo,</w:t>
      </w:r>
      <w:r>
        <w:rPr>
          <w:color w:val="231F20"/>
          <w:spacing w:val="-32"/>
          <w:w w:val="105"/>
          <w:sz w:val="21"/>
        </w:rPr>
        <w:t> </w:t>
      </w:r>
      <w:r>
        <w:rPr>
          <w:color w:val="231F20"/>
          <w:spacing w:val="-3"/>
          <w:w w:val="105"/>
          <w:sz w:val="21"/>
        </w:rPr>
        <w:t>Pablo,</w:t>
      </w:r>
      <w:r>
        <w:rPr>
          <w:color w:val="231F20"/>
          <w:spacing w:val="-32"/>
          <w:w w:val="105"/>
          <w:sz w:val="21"/>
        </w:rPr>
        <w:t> </w:t>
      </w:r>
      <w:r>
        <w:rPr>
          <w:color w:val="231F20"/>
          <w:w w:val="105"/>
          <w:sz w:val="21"/>
        </w:rPr>
        <w:t>(2003),</w:t>
      </w:r>
      <w:r>
        <w:rPr>
          <w:color w:val="231F20"/>
          <w:spacing w:val="-32"/>
          <w:w w:val="105"/>
          <w:sz w:val="21"/>
        </w:rPr>
        <w:t> </w:t>
      </w:r>
      <w:r>
        <w:rPr>
          <w:rFonts w:ascii="Arial" w:hAnsi="Arial"/>
          <w:i/>
          <w:color w:val="231F20"/>
          <w:w w:val="105"/>
          <w:sz w:val="21"/>
        </w:rPr>
        <w:t>Chayotes,</w:t>
      </w:r>
      <w:r>
        <w:rPr>
          <w:rFonts w:ascii="Arial" w:hAnsi="Arial"/>
          <w:i/>
          <w:color w:val="231F20"/>
          <w:spacing w:val="-35"/>
          <w:w w:val="105"/>
          <w:sz w:val="21"/>
        </w:rPr>
        <w:t> </w:t>
      </w:r>
      <w:r>
        <w:rPr>
          <w:rFonts w:ascii="Arial" w:hAnsi="Arial"/>
          <w:i/>
          <w:color w:val="231F20"/>
          <w:w w:val="105"/>
          <w:sz w:val="21"/>
        </w:rPr>
        <w:t>burros</w:t>
      </w:r>
      <w:r>
        <w:rPr>
          <w:rFonts w:ascii="Arial" w:hAnsi="Arial"/>
          <w:i/>
          <w:color w:val="231F20"/>
          <w:spacing w:val="-32"/>
          <w:w w:val="105"/>
          <w:sz w:val="21"/>
        </w:rPr>
        <w:t> </w:t>
      </w:r>
      <w:r>
        <w:rPr>
          <w:rFonts w:ascii="Arial" w:hAnsi="Arial"/>
          <w:i/>
          <w:color w:val="231F20"/>
          <w:w w:val="105"/>
          <w:sz w:val="21"/>
        </w:rPr>
        <w:t>y</w:t>
      </w:r>
      <w:r>
        <w:rPr>
          <w:rFonts w:ascii="Arial" w:hAnsi="Arial"/>
          <w:i/>
          <w:color w:val="231F20"/>
          <w:spacing w:val="-32"/>
          <w:w w:val="105"/>
          <w:sz w:val="21"/>
        </w:rPr>
        <w:t> </w:t>
      </w:r>
      <w:r>
        <w:rPr>
          <w:rFonts w:ascii="Arial" w:hAnsi="Arial"/>
          <w:i/>
          <w:color w:val="231F20"/>
          <w:w w:val="105"/>
          <w:sz w:val="21"/>
        </w:rPr>
        <w:t>machetes</w:t>
      </w:r>
      <w:r>
        <w:rPr>
          <w:color w:val="231F20"/>
          <w:w w:val="105"/>
          <w:sz w:val="21"/>
        </w:rPr>
        <w:t>,</w:t>
      </w:r>
      <w:r>
        <w:rPr>
          <w:color w:val="231F20"/>
          <w:spacing w:val="-32"/>
          <w:w w:val="105"/>
          <w:sz w:val="21"/>
        </w:rPr>
        <w:t> </w:t>
      </w:r>
      <w:r>
        <w:rPr>
          <w:color w:val="231F20"/>
          <w:w w:val="105"/>
          <w:sz w:val="21"/>
        </w:rPr>
        <w:t>Zinacante- pec,</w:t>
      </w:r>
      <w:r>
        <w:rPr>
          <w:color w:val="231F20"/>
          <w:spacing w:val="-24"/>
          <w:w w:val="105"/>
          <w:sz w:val="21"/>
        </w:rPr>
        <w:t> </w:t>
      </w:r>
      <w:r>
        <w:rPr>
          <w:color w:val="231F20"/>
          <w:w w:val="105"/>
          <w:sz w:val="21"/>
        </w:rPr>
        <w:t>México:</w:t>
      </w:r>
      <w:r>
        <w:rPr>
          <w:color w:val="231F20"/>
          <w:spacing w:val="-19"/>
          <w:w w:val="105"/>
          <w:sz w:val="21"/>
        </w:rPr>
        <w:t> </w:t>
      </w:r>
      <w:r>
        <w:rPr>
          <w:color w:val="231F20"/>
          <w:w w:val="105"/>
          <w:sz w:val="21"/>
        </w:rPr>
        <w:t>El</w:t>
      </w:r>
      <w:r>
        <w:rPr>
          <w:color w:val="231F20"/>
          <w:spacing w:val="-19"/>
          <w:w w:val="105"/>
          <w:sz w:val="21"/>
        </w:rPr>
        <w:t> </w:t>
      </w:r>
      <w:r>
        <w:rPr>
          <w:color w:val="231F20"/>
          <w:w w:val="105"/>
          <w:sz w:val="21"/>
        </w:rPr>
        <w:t>Colegio</w:t>
      </w:r>
      <w:r>
        <w:rPr>
          <w:color w:val="231F20"/>
          <w:spacing w:val="-19"/>
          <w:w w:val="105"/>
          <w:sz w:val="21"/>
        </w:rPr>
        <w:t> </w:t>
      </w:r>
      <w:r>
        <w:rPr>
          <w:color w:val="231F20"/>
          <w:w w:val="105"/>
          <w:sz w:val="21"/>
        </w:rPr>
        <w:t>Mexiquense.</w:t>
      </w:r>
    </w:p>
    <w:p>
      <w:pPr>
        <w:spacing w:after="0" w:line="261" w:lineRule="auto"/>
        <w:jc w:val="both"/>
        <w:rPr>
          <w:sz w:val="21"/>
        </w:rPr>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line="259" w:lineRule="auto" w:before="0"/>
        <w:ind w:left="2390" w:right="1766" w:hanging="737"/>
        <w:jc w:val="both"/>
        <w:rPr>
          <w:sz w:val="21"/>
        </w:rPr>
      </w:pPr>
      <w:r>
        <w:rPr/>
        <w:pict>
          <v:line style="position:absolute;mso-position-horizontal-relative:page;mso-position-vertical-relative:paragraph;z-index:10984" from="15pt,-71.51725pt" to="0pt,-71.51725pt" stroked="true" strokeweight=".25pt" strokecolor="#000000">
            <w10:wrap type="none"/>
          </v:line>
        </w:pict>
      </w:r>
      <w:r>
        <w:rPr/>
        <w:pict>
          <v:line style="position:absolute;mso-position-horizontal-relative:page;mso-position-vertical-relative:paragraph;z-index:11008" from="508.890015pt,-71.51725pt" to="523.890015pt,-71.51725pt" stroked="true" strokeweight=".25pt" strokecolor="#000000">
            <w10:wrap type="none"/>
          </v:line>
        </w:pict>
      </w:r>
      <w:r>
        <w:rPr>
          <w:color w:val="231F20"/>
          <w:spacing w:val="-3"/>
          <w:w w:val="105"/>
          <w:sz w:val="21"/>
        </w:rPr>
        <w:t>Consejo Nacional </w:t>
      </w:r>
      <w:r>
        <w:rPr>
          <w:color w:val="231F20"/>
          <w:w w:val="105"/>
          <w:sz w:val="21"/>
        </w:rPr>
        <w:t>de </w:t>
      </w:r>
      <w:r>
        <w:rPr>
          <w:color w:val="231F20"/>
          <w:spacing w:val="-5"/>
          <w:w w:val="105"/>
          <w:sz w:val="21"/>
        </w:rPr>
        <w:t>Población </w:t>
      </w:r>
      <w:r>
        <w:rPr>
          <w:color w:val="231F20"/>
          <w:spacing w:val="-3"/>
          <w:w w:val="105"/>
          <w:sz w:val="21"/>
        </w:rPr>
        <w:t>(</w:t>
      </w:r>
      <w:r>
        <w:rPr>
          <w:color w:val="231F20"/>
          <w:spacing w:val="-3"/>
          <w:w w:val="105"/>
          <w:sz w:val="17"/>
        </w:rPr>
        <w:t>CONAPO</w:t>
      </w:r>
      <w:r>
        <w:rPr>
          <w:color w:val="231F20"/>
          <w:spacing w:val="-3"/>
          <w:w w:val="105"/>
          <w:sz w:val="21"/>
        </w:rPr>
        <w:t>), (2001), </w:t>
      </w:r>
      <w:r>
        <w:rPr>
          <w:rFonts w:ascii="Arial" w:hAnsi="Arial"/>
          <w:i/>
          <w:color w:val="231F20"/>
          <w:spacing w:val="-3"/>
          <w:w w:val="105"/>
          <w:sz w:val="21"/>
        </w:rPr>
        <w:t>Índice </w:t>
      </w:r>
      <w:r>
        <w:rPr>
          <w:rFonts w:ascii="Arial" w:hAnsi="Arial"/>
          <w:i/>
          <w:color w:val="231F20"/>
          <w:w w:val="105"/>
          <w:sz w:val="21"/>
        </w:rPr>
        <w:t>de </w:t>
      </w:r>
      <w:r>
        <w:rPr>
          <w:rFonts w:ascii="Arial" w:hAnsi="Arial"/>
          <w:i/>
          <w:color w:val="231F20"/>
          <w:spacing w:val="-4"/>
          <w:w w:val="105"/>
          <w:sz w:val="21"/>
        </w:rPr>
        <w:t>Marginación </w:t>
      </w:r>
      <w:r>
        <w:rPr>
          <w:rFonts w:ascii="Arial" w:hAnsi="Arial"/>
          <w:i/>
          <w:color w:val="231F20"/>
          <w:spacing w:val="-3"/>
          <w:w w:val="105"/>
          <w:sz w:val="21"/>
        </w:rPr>
        <w:t>Municipal</w:t>
      </w:r>
      <w:r>
        <w:rPr>
          <w:color w:val="231F20"/>
          <w:spacing w:val="-3"/>
          <w:w w:val="105"/>
          <w:sz w:val="21"/>
        </w:rPr>
        <w:t>, </w:t>
      </w:r>
      <w:r>
        <w:rPr>
          <w:color w:val="231F20"/>
          <w:spacing w:val="-4"/>
          <w:w w:val="105"/>
          <w:sz w:val="21"/>
        </w:rPr>
        <w:t>recuperado </w:t>
      </w:r>
      <w:r>
        <w:rPr>
          <w:color w:val="231F20"/>
          <w:w w:val="105"/>
          <w:sz w:val="21"/>
        </w:rPr>
        <w:t>de </w:t>
      </w:r>
      <w:r>
        <w:rPr>
          <w:color w:val="231F20"/>
          <w:spacing w:val="-3"/>
          <w:w w:val="105"/>
          <w:sz w:val="21"/>
        </w:rPr>
        <w:t>http:// </w:t>
      </w:r>
      <w:hyperlink r:id="rId91">
        <w:r>
          <w:rPr>
            <w:color w:val="231F20"/>
            <w:spacing w:val="-4"/>
            <w:w w:val="105"/>
            <w:sz w:val="21"/>
          </w:rPr>
          <w:t>www.conapo.gob.mx</w:t>
        </w:r>
      </w:hyperlink>
    </w:p>
    <w:p>
      <w:pPr>
        <w:pStyle w:val="BodyText"/>
        <w:tabs>
          <w:tab w:pos="2492" w:val="left" w:leader="none"/>
        </w:tabs>
        <w:spacing w:line="261" w:lineRule="auto" w:before="3"/>
        <w:ind w:left="2390" w:right="1764" w:hanging="738"/>
        <w:jc w:val="both"/>
      </w:pPr>
      <w:r>
        <w:rPr>
          <w:color w:val="231F20"/>
          <w:w w:val="94"/>
          <w:u w:val="single" w:color="221E1F"/>
        </w:rPr>
        <w:t> </w:t>
      </w:r>
      <w:r>
        <w:rPr>
          <w:color w:val="231F20"/>
          <w:u w:val="single" w:color="221E1F"/>
        </w:rPr>
        <w:tab/>
        <w:tab/>
      </w:r>
      <w:r>
        <w:rPr>
          <w:color w:val="231F20"/>
          <w:spacing w:val="13"/>
        </w:rPr>
        <w:t> </w:t>
      </w:r>
      <w:r>
        <w:rPr>
          <w:color w:val="231F20"/>
          <w:w w:val="105"/>
        </w:rPr>
        <w:t>(2011), Índice de Marginación Municipal, recuperado </w:t>
      </w:r>
      <w:r>
        <w:rPr>
          <w:color w:val="231F20"/>
          <w:spacing w:val="16"/>
          <w:w w:val="105"/>
        </w:rPr>
        <w:t> </w:t>
      </w:r>
      <w:r>
        <w:rPr>
          <w:color w:val="231F20"/>
          <w:w w:val="105"/>
        </w:rPr>
        <w:t>de</w:t>
      </w:r>
      <w:r>
        <w:rPr>
          <w:color w:val="231F20"/>
          <w:spacing w:val="14"/>
          <w:w w:val="105"/>
        </w:rPr>
        <w:t> </w:t>
      </w:r>
      <w:r>
        <w:rPr>
          <w:color w:val="231F20"/>
          <w:w w:val="105"/>
        </w:rPr>
        <w:t>http://</w:t>
      </w:r>
      <w:r>
        <w:rPr>
          <w:color w:val="231F20"/>
          <w:w w:val="119"/>
        </w:rPr>
        <w:t> </w:t>
      </w:r>
      <w:hyperlink r:id="rId91">
        <w:r>
          <w:rPr>
            <w:color w:val="231F20"/>
            <w:w w:val="105"/>
          </w:rPr>
          <w:t>www.conapo.gob.mx</w:t>
        </w:r>
      </w:hyperlink>
    </w:p>
    <w:p>
      <w:pPr>
        <w:pStyle w:val="BodyText"/>
        <w:spacing w:line="259" w:lineRule="auto" w:before="1"/>
        <w:ind w:left="2390" w:right="1763" w:hanging="738"/>
        <w:jc w:val="both"/>
      </w:pPr>
      <w:r>
        <w:rPr>
          <w:color w:val="231F20"/>
          <w:w w:val="105"/>
        </w:rPr>
        <w:t>De</w:t>
      </w:r>
      <w:r>
        <w:rPr>
          <w:color w:val="231F20"/>
          <w:spacing w:val="-11"/>
          <w:w w:val="105"/>
        </w:rPr>
        <w:t> </w:t>
      </w:r>
      <w:r>
        <w:rPr>
          <w:color w:val="231F20"/>
          <w:w w:val="105"/>
        </w:rPr>
        <w:t>Oliveira,</w:t>
      </w:r>
      <w:r>
        <w:rPr>
          <w:color w:val="231F20"/>
          <w:spacing w:val="-15"/>
          <w:w w:val="105"/>
        </w:rPr>
        <w:t> </w:t>
      </w:r>
      <w:r>
        <w:rPr>
          <w:color w:val="231F20"/>
          <w:w w:val="105"/>
        </w:rPr>
        <w:t>Orlandina</w:t>
      </w:r>
      <w:r>
        <w:rPr>
          <w:color w:val="231F20"/>
          <w:spacing w:val="-11"/>
          <w:w w:val="105"/>
        </w:rPr>
        <w:t> </w:t>
      </w:r>
      <w:r>
        <w:rPr>
          <w:color w:val="231F20"/>
          <w:w w:val="105"/>
        </w:rPr>
        <w:t>y</w:t>
      </w:r>
      <w:r>
        <w:rPr>
          <w:color w:val="231F20"/>
          <w:spacing w:val="-11"/>
          <w:w w:val="105"/>
        </w:rPr>
        <w:t> </w:t>
      </w:r>
      <w:r>
        <w:rPr>
          <w:color w:val="231F20"/>
          <w:w w:val="105"/>
        </w:rPr>
        <w:t>Salles,</w:t>
      </w:r>
      <w:r>
        <w:rPr>
          <w:color w:val="231F20"/>
          <w:spacing w:val="-17"/>
          <w:w w:val="105"/>
        </w:rPr>
        <w:t> </w:t>
      </w:r>
      <w:r>
        <w:rPr>
          <w:color w:val="231F20"/>
          <w:w w:val="105"/>
        </w:rPr>
        <w:t>Vania,</w:t>
      </w:r>
      <w:r>
        <w:rPr>
          <w:color w:val="231F20"/>
          <w:spacing w:val="-15"/>
          <w:w w:val="105"/>
        </w:rPr>
        <w:t> </w:t>
      </w:r>
      <w:r>
        <w:rPr>
          <w:color w:val="231F20"/>
          <w:w w:val="105"/>
        </w:rPr>
        <w:t>(2000),</w:t>
      </w:r>
      <w:r>
        <w:rPr>
          <w:color w:val="231F20"/>
          <w:spacing w:val="-15"/>
          <w:w w:val="105"/>
        </w:rPr>
        <w:t> </w:t>
      </w:r>
      <w:r>
        <w:rPr>
          <w:color w:val="231F20"/>
          <w:w w:val="105"/>
        </w:rPr>
        <w:t>“Reflexiones</w:t>
      </w:r>
      <w:r>
        <w:rPr>
          <w:color w:val="231F20"/>
          <w:spacing w:val="-14"/>
          <w:w w:val="105"/>
        </w:rPr>
        <w:t> </w:t>
      </w:r>
      <w:r>
        <w:rPr>
          <w:color w:val="231F20"/>
          <w:spacing w:val="-3"/>
          <w:w w:val="105"/>
        </w:rPr>
        <w:t>Teóricas</w:t>
      </w:r>
      <w:r>
        <w:rPr>
          <w:color w:val="231F20"/>
          <w:spacing w:val="-11"/>
          <w:w w:val="105"/>
        </w:rPr>
        <w:t> </w:t>
      </w:r>
      <w:r>
        <w:rPr>
          <w:color w:val="231F20"/>
          <w:w w:val="105"/>
        </w:rPr>
        <w:t>para el estudio de la reproducción de la fuerza de </w:t>
      </w:r>
      <w:r>
        <w:rPr>
          <w:color w:val="231F20"/>
          <w:spacing w:val="-6"/>
          <w:w w:val="105"/>
        </w:rPr>
        <w:t>Trabajo”, </w:t>
      </w:r>
      <w:r>
        <w:rPr>
          <w:color w:val="231F20"/>
          <w:w w:val="105"/>
        </w:rPr>
        <w:t>en</w:t>
      </w:r>
      <w:r>
        <w:rPr>
          <w:color w:val="231F20"/>
          <w:spacing w:val="-21"/>
          <w:w w:val="105"/>
        </w:rPr>
        <w:t> </w:t>
      </w:r>
      <w:r>
        <w:rPr>
          <w:color w:val="231F20"/>
          <w:w w:val="105"/>
        </w:rPr>
        <w:t>Enrique De la Garza, (coord.), </w:t>
      </w:r>
      <w:r>
        <w:rPr>
          <w:rFonts w:ascii="Arial" w:hAnsi="Arial"/>
          <w:i/>
          <w:color w:val="231F20"/>
          <w:spacing w:val="-4"/>
          <w:w w:val="105"/>
        </w:rPr>
        <w:t>Tratado </w:t>
      </w:r>
      <w:r>
        <w:rPr>
          <w:rFonts w:ascii="Arial" w:hAnsi="Arial"/>
          <w:i/>
          <w:color w:val="231F20"/>
          <w:w w:val="105"/>
        </w:rPr>
        <w:t>Latinoamericano de Sociología</w:t>
      </w:r>
      <w:r>
        <w:rPr>
          <w:rFonts w:ascii="Arial" w:hAnsi="Arial"/>
          <w:i/>
          <w:color w:val="231F20"/>
          <w:spacing w:val="-27"/>
          <w:w w:val="105"/>
        </w:rPr>
        <w:t> </w:t>
      </w:r>
      <w:r>
        <w:rPr>
          <w:rFonts w:ascii="Arial" w:hAnsi="Arial"/>
          <w:i/>
          <w:color w:val="231F20"/>
          <w:w w:val="105"/>
        </w:rPr>
        <w:t>del </w:t>
      </w:r>
      <w:r>
        <w:rPr>
          <w:rFonts w:ascii="Arial" w:hAnsi="Arial"/>
          <w:i/>
          <w:color w:val="231F20"/>
          <w:spacing w:val="-3"/>
          <w:w w:val="105"/>
        </w:rPr>
        <w:t>Trabajo</w:t>
      </w:r>
      <w:r>
        <w:rPr>
          <w:color w:val="231F20"/>
          <w:spacing w:val="-3"/>
          <w:w w:val="105"/>
        </w:rPr>
        <w:t>,</w:t>
      </w:r>
      <w:r>
        <w:rPr>
          <w:color w:val="231F20"/>
          <w:spacing w:val="-25"/>
          <w:w w:val="105"/>
        </w:rPr>
        <w:t> </w:t>
      </w:r>
      <w:r>
        <w:rPr>
          <w:color w:val="231F20"/>
          <w:w w:val="105"/>
        </w:rPr>
        <w:t>México:</w:t>
      </w:r>
      <w:r>
        <w:rPr>
          <w:color w:val="231F20"/>
          <w:spacing w:val="-21"/>
          <w:w w:val="105"/>
        </w:rPr>
        <w:t> </w:t>
      </w:r>
      <w:r>
        <w:rPr>
          <w:color w:val="231F20"/>
          <w:spacing w:val="-3"/>
          <w:w w:val="105"/>
        </w:rPr>
        <w:t>Fondo</w:t>
      </w:r>
      <w:r>
        <w:rPr>
          <w:color w:val="231F20"/>
          <w:spacing w:val="-21"/>
          <w:w w:val="105"/>
        </w:rPr>
        <w:t> </w:t>
      </w:r>
      <w:r>
        <w:rPr>
          <w:color w:val="231F20"/>
          <w:w w:val="105"/>
        </w:rPr>
        <w:t>de</w:t>
      </w:r>
      <w:r>
        <w:rPr>
          <w:color w:val="231F20"/>
          <w:spacing w:val="-21"/>
          <w:w w:val="105"/>
        </w:rPr>
        <w:t> </w:t>
      </w:r>
      <w:r>
        <w:rPr>
          <w:color w:val="231F20"/>
          <w:w w:val="105"/>
        </w:rPr>
        <w:t>Cultura</w:t>
      </w:r>
      <w:r>
        <w:rPr>
          <w:color w:val="231F20"/>
          <w:spacing w:val="-21"/>
          <w:w w:val="105"/>
        </w:rPr>
        <w:t> </w:t>
      </w:r>
      <w:r>
        <w:rPr>
          <w:color w:val="231F20"/>
          <w:w w:val="105"/>
        </w:rPr>
        <w:t>Económica.</w:t>
      </w:r>
    </w:p>
    <w:p>
      <w:pPr>
        <w:spacing w:line="259" w:lineRule="auto" w:before="0"/>
        <w:ind w:left="2390" w:right="1764" w:hanging="738"/>
        <w:jc w:val="both"/>
        <w:rPr>
          <w:sz w:val="21"/>
        </w:rPr>
      </w:pPr>
      <w:r>
        <w:rPr>
          <w:color w:val="231F20"/>
          <w:spacing w:val="-4"/>
          <w:sz w:val="21"/>
        </w:rPr>
        <w:t>Fenner, </w:t>
      </w:r>
      <w:r>
        <w:rPr>
          <w:color w:val="231F20"/>
          <w:sz w:val="21"/>
        </w:rPr>
        <w:t>Justus y Gebauer, Thomas, (1992), </w:t>
      </w:r>
      <w:r>
        <w:rPr>
          <w:rFonts w:ascii="Arial" w:hAnsi="Arial"/>
          <w:i/>
          <w:color w:val="231F20"/>
          <w:sz w:val="21"/>
        </w:rPr>
        <w:t>Las flores de la muerte. Ensayo </w:t>
      </w:r>
      <w:r>
        <w:rPr>
          <w:rFonts w:ascii="Arial" w:hAnsi="Arial"/>
          <w:i/>
          <w:color w:val="231F20"/>
          <w:sz w:val="21"/>
        </w:rPr>
        <w:t>sobre la floricultura mexicana, </w:t>
      </w:r>
      <w:r>
        <w:rPr>
          <w:color w:val="231F20"/>
          <w:sz w:val="21"/>
        </w:rPr>
        <w:t>México: Ediciones  </w:t>
      </w:r>
      <w:r>
        <w:rPr>
          <w:color w:val="231F20"/>
          <w:sz w:val="17"/>
        </w:rPr>
        <w:t>GEA</w:t>
      </w:r>
      <w:r>
        <w:rPr>
          <w:color w:val="231F20"/>
          <w:sz w:val="21"/>
        </w:rPr>
        <w:t>.</w:t>
      </w:r>
    </w:p>
    <w:p>
      <w:pPr>
        <w:spacing w:line="259" w:lineRule="auto" w:before="0"/>
        <w:ind w:left="2390" w:right="1764" w:hanging="738"/>
        <w:jc w:val="both"/>
        <w:rPr>
          <w:sz w:val="21"/>
        </w:rPr>
      </w:pPr>
      <w:r>
        <w:rPr>
          <w:color w:val="231F20"/>
          <w:sz w:val="21"/>
        </w:rPr>
        <w:t>Fideicomisos Instituidos en Relación con la Agricultura (</w:t>
      </w:r>
      <w:r>
        <w:rPr>
          <w:color w:val="231F20"/>
          <w:sz w:val="17"/>
        </w:rPr>
        <w:t>FIRA</w:t>
      </w:r>
      <w:r>
        <w:rPr>
          <w:color w:val="231F20"/>
          <w:sz w:val="21"/>
        </w:rPr>
        <w:t>), (1995), </w:t>
      </w:r>
      <w:r>
        <w:rPr>
          <w:rFonts w:ascii="Arial" w:hAnsi="Arial"/>
          <w:i/>
          <w:color w:val="231F20"/>
          <w:sz w:val="21"/>
        </w:rPr>
        <w:t>Ele- </w:t>
      </w:r>
      <w:r>
        <w:rPr>
          <w:rFonts w:ascii="Arial" w:hAnsi="Arial"/>
          <w:i/>
          <w:color w:val="231F20"/>
          <w:sz w:val="21"/>
        </w:rPr>
        <w:t>mentos de análisis de las cadenas productivas: Ornamentales </w:t>
      </w:r>
      <w:r>
        <w:rPr>
          <w:color w:val="231F20"/>
          <w:sz w:val="21"/>
        </w:rPr>
        <w:t>(Do- cumento Técnico), México: Banco de  México.</w:t>
      </w:r>
    </w:p>
    <w:p>
      <w:pPr>
        <w:spacing w:line="259" w:lineRule="auto" w:before="0"/>
        <w:ind w:left="2390" w:right="1763" w:hanging="738"/>
        <w:jc w:val="both"/>
        <w:rPr>
          <w:sz w:val="21"/>
        </w:rPr>
      </w:pPr>
      <w:r>
        <w:rPr>
          <w:color w:val="231F20"/>
          <w:w w:val="105"/>
          <w:sz w:val="21"/>
        </w:rPr>
        <w:t>González de la Rocha, Mercedes (coord.), (2009), </w:t>
      </w:r>
      <w:r>
        <w:rPr>
          <w:rFonts w:ascii="Arial" w:hAnsi="Arial"/>
          <w:i/>
          <w:color w:val="231F20"/>
          <w:w w:val="105"/>
          <w:sz w:val="21"/>
        </w:rPr>
        <w:t>Procesos domésticos </w:t>
      </w:r>
      <w:r>
        <w:rPr>
          <w:rFonts w:ascii="Arial" w:hAnsi="Arial"/>
          <w:i/>
          <w:color w:val="231F20"/>
          <w:w w:val="105"/>
          <w:sz w:val="21"/>
        </w:rPr>
        <w:t>y vulnerabilidad. Perspectivas antropológicas de los hogares</w:t>
      </w:r>
      <w:r>
        <w:rPr>
          <w:rFonts w:ascii="Arial" w:hAnsi="Arial"/>
          <w:i/>
          <w:color w:val="231F20"/>
          <w:spacing w:val="-19"/>
          <w:w w:val="105"/>
          <w:sz w:val="21"/>
        </w:rPr>
        <w:t> </w:t>
      </w:r>
      <w:r>
        <w:rPr>
          <w:rFonts w:ascii="Arial" w:hAnsi="Arial"/>
          <w:i/>
          <w:color w:val="231F20"/>
          <w:w w:val="105"/>
          <w:sz w:val="21"/>
        </w:rPr>
        <w:t>con </w:t>
      </w:r>
      <w:r>
        <w:rPr>
          <w:rFonts w:ascii="Arial" w:hAnsi="Arial"/>
          <w:i/>
          <w:color w:val="231F20"/>
          <w:sz w:val="21"/>
        </w:rPr>
        <w:t>Oportunidades. </w:t>
      </w:r>
      <w:r>
        <w:rPr>
          <w:color w:val="231F20"/>
          <w:sz w:val="21"/>
        </w:rPr>
        <w:t>México: Publicaciones de la Casa</w:t>
      </w:r>
      <w:r>
        <w:rPr>
          <w:color w:val="231F20"/>
          <w:spacing w:val="45"/>
          <w:sz w:val="21"/>
        </w:rPr>
        <w:t> </w:t>
      </w:r>
      <w:r>
        <w:rPr>
          <w:color w:val="231F20"/>
          <w:sz w:val="21"/>
        </w:rPr>
        <w:t>Chata/</w:t>
      </w:r>
      <w:r>
        <w:rPr>
          <w:color w:val="231F20"/>
          <w:sz w:val="17"/>
        </w:rPr>
        <w:t>CIESAS</w:t>
      </w:r>
      <w:r>
        <w:rPr>
          <w:color w:val="231F20"/>
          <w:sz w:val="21"/>
        </w:rPr>
        <w:t>.</w:t>
      </w:r>
    </w:p>
    <w:p>
      <w:pPr>
        <w:spacing w:line="259" w:lineRule="auto" w:before="0"/>
        <w:ind w:left="2390" w:right="1764" w:hanging="738"/>
        <w:jc w:val="both"/>
        <w:rPr>
          <w:sz w:val="21"/>
        </w:rPr>
      </w:pPr>
      <w:r>
        <w:rPr>
          <w:color w:val="231F20"/>
          <w:sz w:val="21"/>
        </w:rPr>
        <w:t>Instituto Nacional de Estadística y Geografía (</w:t>
      </w:r>
      <w:r>
        <w:rPr>
          <w:color w:val="231F20"/>
          <w:sz w:val="17"/>
        </w:rPr>
        <w:t>INEGI</w:t>
      </w:r>
      <w:r>
        <w:rPr>
          <w:color w:val="231F20"/>
          <w:sz w:val="21"/>
        </w:rPr>
        <w:t>), (2007), </w:t>
      </w:r>
      <w:r>
        <w:rPr>
          <w:rFonts w:ascii="Arial" w:hAnsi="Arial"/>
          <w:i/>
          <w:color w:val="231F20"/>
          <w:sz w:val="21"/>
        </w:rPr>
        <w:t>Censo Agríco- </w:t>
      </w:r>
      <w:r>
        <w:rPr>
          <w:rFonts w:ascii="Arial" w:hAnsi="Arial"/>
          <w:i/>
          <w:color w:val="231F20"/>
          <w:sz w:val="21"/>
        </w:rPr>
        <w:t>la, Ganadero y Forestal</w:t>
      </w:r>
      <w:r>
        <w:rPr>
          <w:color w:val="231F20"/>
          <w:sz w:val="21"/>
        </w:rPr>
        <w:t>. Aguascalientes, México: </w:t>
      </w:r>
      <w:r>
        <w:rPr>
          <w:color w:val="231F20"/>
          <w:sz w:val="17"/>
        </w:rPr>
        <w:t>INEGI</w:t>
      </w:r>
      <w:r>
        <w:rPr>
          <w:color w:val="231F20"/>
          <w:sz w:val="21"/>
        </w:rPr>
        <w:t>.</w:t>
      </w:r>
    </w:p>
    <w:p>
      <w:pPr>
        <w:tabs>
          <w:tab w:pos="2492" w:val="left" w:leader="none"/>
        </w:tabs>
        <w:spacing w:line="241" w:lineRule="exact" w:before="0"/>
        <w:ind w:left="1652" w:right="0" w:firstLine="0"/>
        <w:jc w:val="left"/>
        <w:rPr>
          <w:sz w:val="21"/>
        </w:rPr>
      </w:pPr>
      <w:r>
        <w:rPr>
          <w:color w:val="231F20"/>
          <w:w w:val="94"/>
          <w:sz w:val="21"/>
          <w:u w:val="single" w:color="221E1F"/>
        </w:rPr>
        <w:t> </w:t>
      </w:r>
      <w:r>
        <w:rPr>
          <w:color w:val="231F20"/>
          <w:sz w:val="21"/>
          <w:u w:val="single" w:color="221E1F"/>
        </w:rPr>
        <w:tab/>
      </w:r>
      <w:r>
        <w:rPr>
          <w:color w:val="231F20"/>
          <w:spacing w:val="-4"/>
          <w:sz w:val="21"/>
        </w:rPr>
        <w:t> </w:t>
      </w:r>
      <w:r>
        <w:rPr>
          <w:color w:val="231F20"/>
          <w:sz w:val="21"/>
        </w:rPr>
        <w:t>(1990), </w:t>
      </w:r>
      <w:r>
        <w:rPr>
          <w:rFonts w:ascii="Arial" w:hAnsi="Arial"/>
          <w:i/>
          <w:color w:val="231F20"/>
          <w:sz w:val="18"/>
        </w:rPr>
        <w:t>VII </w:t>
      </w:r>
      <w:r>
        <w:rPr>
          <w:rFonts w:ascii="Arial" w:hAnsi="Arial"/>
          <w:i/>
          <w:color w:val="231F20"/>
          <w:sz w:val="21"/>
        </w:rPr>
        <w:t>Censo Ejidal y Agropecuario</w:t>
      </w:r>
      <w:r>
        <w:rPr>
          <w:color w:val="231F20"/>
          <w:sz w:val="21"/>
        </w:rPr>
        <w:t>, México:</w:t>
      </w:r>
      <w:r>
        <w:rPr>
          <w:color w:val="231F20"/>
          <w:spacing w:val="19"/>
          <w:sz w:val="21"/>
        </w:rPr>
        <w:t> </w:t>
      </w:r>
      <w:r>
        <w:rPr>
          <w:color w:val="231F20"/>
          <w:sz w:val="17"/>
        </w:rPr>
        <w:t>INEGI</w:t>
      </w:r>
      <w:r>
        <w:rPr>
          <w:color w:val="231F20"/>
          <w:sz w:val="21"/>
        </w:rPr>
        <w:t>.</w:t>
      </w:r>
    </w:p>
    <w:p>
      <w:pPr>
        <w:tabs>
          <w:tab w:pos="2492" w:val="left" w:leader="none"/>
        </w:tabs>
        <w:spacing w:before="18"/>
        <w:ind w:left="1653" w:right="0" w:firstLine="0"/>
        <w:jc w:val="left"/>
        <w:rPr>
          <w:sz w:val="21"/>
        </w:rPr>
      </w:pPr>
      <w:r>
        <w:rPr>
          <w:color w:val="231F20"/>
          <w:w w:val="94"/>
          <w:sz w:val="21"/>
          <w:u w:val="single" w:color="221E1F"/>
        </w:rPr>
        <w:t> </w:t>
      </w:r>
      <w:r>
        <w:rPr>
          <w:color w:val="231F20"/>
          <w:sz w:val="21"/>
          <w:u w:val="single" w:color="221E1F"/>
        </w:rPr>
        <w:tab/>
      </w:r>
      <w:r>
        <w:rPr>
          <w:color w:val="231F20"/>
          <w:spacing w:val="-4"/>
          <w:sz w:val="21"/>
        </w:rPr>
        <w:t> </w:t>
      </w:r>
      <w:r>
        <w:rPr>
          <w:color w:val="231F20"/>
          <w:sz w:val="21"/>
        </w:rPr>
        <w:t>(1980), </w:t>
      </w:r>
      <w:r>
        <w:rPr>
          <w:rFonts w:ascii="Arial" w:hAnsi="Arial"/>
          <w:i/>
          <w:color w:val="231F20"/>
          <w:sz w:val="18"/>
        </w:rPr>
        <w:t>VI </w:t>
      </w:r>
      <w:r>
        <w:rPr>
          <w:rFonts w:ascii="Arial" w:hAnsi="Arial"/>
          <w:i/>
          <w:color w:val="231F20"/>
          <w:sz w:val="21"/>
        </w:rPr>
        <w:t>Censo Agrícola, Ganadero y Ejidal, </w:t>
      </w:r>
      <w:r>
        <w:rPr>
          <w:color w:val="231F20"/>
          <w:sz w:val="21"/>
        </w:rPr>
        <w:t>México:</w:t>
      </w:r>
      <w:r>
        <w:rPr>
          <w:color w:val="231F20"/>
          <w:spacing w:val="-15"/>
          <w:sz w:val="21"/>
        </w:rPr>
        <w:t> </w:t>
      </w:r>
      <w:r>
        <w:rPr>
          <w:color w:val="231F20"/>
          <w:sz w:val="17"/>
        </w:rPr>
        <w:t>INEGI</w:t>
      </w:r>
      <w:r>
        <w:rPr>
          <w:color w:val="231F20"/>
          <w:sz w:val="21"/>
        </w:rPr>
        <w:t>.</w:t>
      </w:r>
    </w:p>
    <w:p>
      <w:pPr>
        <w:spacing w:line="259" w:lineRule="auto" w:before="18"/>
        <w:ind w:left="2390" w:right="1764" w:hanging="738"/>
        <w:jc w:val="both"/>
        <w:rPr>
          <w:sz w:val="21"/>
        </w:rPr>
      </w:pPr>
      <w:r>
        <w:rPr>
          <w:color w:val="231F20"/>
          <w:sz w:val="21"/>
        </w:rPr>
        <w:t>Lara Flores, Sara María, (1998), </w:t>
      </w:r>
      <w:r>
        <w:rPr>
          <w:rFonts w:ascii="Arial" w:hAnsi="Arial"/>
          <w:i/>
          <w:color w:val="231F20"/>
          <w:sz w:val="21"/>
        </w:rPr>
        <w:t>Nuevas experiencias productivas y nuevas </w:t>
      </w:r>
      <w:r>
        <w:rPr>
          <w:rFonts w:ascii="Arial" w:hAnsi="Arial"/>
          <w:i/>
          <w:color w:val="231F20"/>
          <w:sz w:val="21"/>
        </w:rPr>
        <w:t>formas de </w:t>
      </w:r>
      <w:r>
        <w:rPr>
          <w:rFonts w:ascii="Arial" w:hAnsi="Arial"/>
          <w:i/>
          <w:color w:val="231F20"/>
          <w:spacing w:val="-3"/>
          <w:sz w:val="21"/>
        </w:rPr>
        <w:t>organización </w:t>
      </w:r>
      <w:r>
        <w:rPr>
          <w:rFonts w:ascii="Arial" w:hAnsi="Arial"/>
          <w:i/>
          <w:color w:val="231F20"/>
          <w:sz w:val="21"/>
        </w:rPr>
        <w:t>del </w:t>
      </w:r>
      <w:r>
        <w:rPr>
          <w:rFonts w:ascii="Arial" w:hAnsi="Arial"/>
          <w:i/>
          <w:color w:val="231F20"/>
          <w:spacing w:val="-3"/>
          <w:sz w:val="21"/>
        </w:rPr>
        <w:t>trabajo </w:t>
      </w:r>
      <w:r>
        <w:rPr>
          <w:rFonts w:ascii="Arial" w:hAnsi="Arial"/>
          <w:i/>
          <w:color w:val="231F20"/>
          <w:sz w:val="21"/>
        </w:rPr>
        <w:t>en la </w:t>
      </w:r>
      <w:r>
        <w:rPr>
          <w:rFonts w:ascii="Arial" w:hAnsi="Arial"/>
          <w:i/>
          <w:color w:val="231F20"/>
          <w:spacing w:val="-3"/>
          <w:sz w:val="21"/>
        </w:rPr>
        <w:t>agricultura mexicana</w:t>
      </w:r>
      <w:r>
        <w:rPr>
          <w:rFonts w:ascii="Times New Roman" w:hAnsi="Times New Roman"/>
          <w:i/>
          <w:color w:val="231F20"/>
          <w:spacing w:val="-3"/>
          <w:sz w:val="21"/>
        </w:rPr>
        <w:t>, </w:t>
      </w:r>
      <w:r>
        <w:rPr>
          <w:color w:val="231F20"/>
          <w:spacing w:val="-3"/>
          <w:sz w:val="21"/>
        </w:rPr>
        <w:t>Méxi- </w:t>
      </w:r>
      <w:r>
        <w:rPr>
          <w:color w:val="231F20"/>
          <w:sz w:val="21"/>
        </w:rPr>
        <w:t>co: Procuraduría Agraria.</w:t>
      </w:r>
    </w:p>
    <w:p>
      <w:pPr>
        <w:pStyle w:val="BodyText"/>
        <w:spacing w:line="259" w:lineRule="auto" w:before="3"/>
        <w:ind w:left="2390" w:right="1764" w:hanging="738"/>
        <w:jc w:val="both"/>
      </w:pPr>
      <w:r>
        <w:rPr>
          <w:color w:val="231F20"/>
          <w:w w:val="105"/>
        </w:rPr>
        <w:t>Martínez, Victoria, (2014), “Niñez, migración y derecho: aportes ara un abordaje antropológico”, </w:t>
      </w:r>
      <w:r>
        <w:rPr>
          <w:rFonts w:ascii="Arial" w:hAnsi="Arial"/>
          <w:i/>
          <w:color w:val="231F20"/>
          <w:w w:val="105"/>
        </w:rPr>
        <w:t>Revista Sociedad &amp; Equidad</w:t>
      </w:r>
      <w:r>
        <w:rPr>
          <w:color w:val="231F20"/>
          <w:w w:val="105"/>
        </w:rPr>
        <w:t>, núm. 6.</w:t>
      </w:r>
    </w:p>
    <w:p>
      <w:pPr>
        <w:spacing w:line="259" w:lineRule="auto" w:before="0"/>
        <w:ind w:left="2390" w:right="1764" w:hanging="738"/>
        <w:jc w:val="both"/>
        <w:rPr>
          <w:sz w:val="21"/>
        </w:rPr>
      </w:pPr>
      <w:r>
        <w:rPr>
          <w:color w:val="231F20"/>
          <w:sz w:val="21"/>
        </w:rPr>
        <w:t>Miranda, Saraí, (2012), </w:t>
      </w:r>
      <w:r>
        <w:rPr>
          <w:rFonts w:ascii="Arial" w:hAnsi="Arial"/>
          <w:i/>
          <w:color w:val="231F20"/>
          <w:sz w:val="21"/>
        </w:rPr>
        <w:t>Trabajo infantil y floricultura. Imbricaciones entre las </w:t>
      </w:r>
      <w:r>
        <w:rPr>
          <w:rFonts w:ascii="Arial" w:hAnsi="Arial"/>
          <w:i/>
          <w:color w:val="231F20"/>
          <w:sz w:val="21"/>
        </w:rPr>
        <w:t>necesidades de reproducción del capital y la supervivencia de las unidades domésticas. El caso de Villa Guerrero, Estado de México </w:t>
      </w:r>
      <w:r>
        <w:rPr>
          <w:color w:val="231F20"/>
          <w:sz w:val="21"/>
        </w:rPr>
        <w:t>(Tesis doctoral), </w:t>
      </w:r>
      <w:r>
        <w:rPr>
          <w:color w:val="231F20"/>
          <w:sz w:val="17"/>
        </w:rPr>
        <w:t>COLMEX</w:t>
      </w:r>
      <w:r>
        <w:rPr>
          <w:color w:val="231F20"/>
          <w:sz w:val="21"/>
        </w:rPr>
        <w:t>, México.</w:t>
      </w:r>
    </w:p>
    <w:p>
      <w:pPr>
        <w:spacing w:line="261" w:lineRule="auto" w:before="0"/>
        <w:ind w:left="2390" w:right="1757" w:hanging="737"/>
        <w:jc w:val="both"/>
        <w:rPr>
          <w:sz w:val="21"/>
        </w:rPr>
      </w:pPr>
      <w:r>
        <w:rPr>
          <w:color w:val="231F20"/>
          <w:w w:val="105"/>
          <w:sz w:val="21"/>
        </w:rPr>
        <w:t>Organización Internacional del Trabajo (</w:t>
      </w:r>
      <w:r>
        <w:rPr>
          <w:color w:val="231F20"/>
          <w:w w:val="105"/>
          <w:sz w:val="17"/>
        </w:rPr>
        <w:t>OIT</w:t>
      </w:r>
      <w:r>
        <w:rPr>
          <w:color w:val="231F20"/>
          <w:w w:val="105"/>
          <w:sz w:val="21"/>
        </w:rPr>
        <w:t>), (2013), </w:t>
      </w:r>
      <w:r>
        <w:rPr>
          <w:rFonts w:ascii="Arial" w:hAnsi="Arial"/>
          <w:i/>
          <w:color w:val="231F20"/>
          <w:w w:val="105"/>
          <w:sz w:val="21"/>
        </w:rPr>
        <w:t>Erradicar el trabajo </w:t>
      </w:r>
      <w:r>
        <w:rPr>
          <w:rFonts w:ascii="Arial" w:hAnsi="Arial"/>
          <w:i/>
          <w:color w:val="231F20"/>
          <w:w w:val="105"/>
          <w:sz w:val="21"/>
        </w:rPr>
        <w:t>infantil agrícola: una forma de romper el ciclo de la pobreza, </w:t>
      </w:r>
      <w:r>
        <w:rPr>
          <w:color w:val="231F20"/>
          <w:w w:val="105"/>
          <w:sz w:val="21"/>
        </w:rPr>
        <w:t>recuperado de </w:t>
      </w:r>
      <w:hyperlink r:id="rId92">
        <w:r>
          <w:rPr>
            <w:color w:val="231F20"/>
            <w:w w:val="105"/>
            <w:sz w:val="21"/>
          </w:rPr>
          <w:t>http://www.ilo.org/santiago/sala-de-prensa/</w:t>
        </w:r>
      </w:hyperlink>
      <w:r>
        <w:rPr>
          <w:color w:val="231F20"/>
          <w:w w:val="105"/>
          <w:sz w:val="21"/>
        </w:rPr>
        <w:t> WCMS_229079/lang--es/index.htm</w:t>
      </w:r>
    </w:p>
    <w:p>
      <w:pPr>
        <w:pStyle w:val="BodyText"/>
        <w:spacing w:line="259" w:lineRule="auto" w:before="1"/>
        <w:ind w:left="2390" w:right="1765" w:hanging="738"/>
        <w:jc w:val="both"/>
      </w:pPr>
      <w:r>
        <w:rPr>
          <w:color w:val="231F20"/>
          <w:w w:val="105"/>
        </w:rPr>
        <w:t>Orozco</w:t>
      </w:r>
      <w:r>
        <w:rPr>
          <w:color w:val="231F20"/>
          <w:spacing w:val="-10"/>
          <w:w w:val="105"/>
        </w:rPr>
        <w:t> </w:t>
      </w:r>
      <w:r>
        <w:rPr>
          <w:color w:val="231F20"/>
          <w:w w:val="105"/>
        </w:rPr>
        <w:t>Hernández,</w:t>
      </w:r>
      <w:r>
        <w:rPr>
          <w:color w:val="231F20"/>
          <w:spacing w:val="-15"/>
          <w:w w:val="105"/>
        </w:rPr>
        <w:t> </w:t>
      </w:r>
      <w:r>
        <w:rPr>
          <w:color w:val="231F20"/>
          <w:w w:val="105"/>
        </w:rPr>
        <w:t>María</w:t>
      </w:r>
      <w:r>
        <w:rPr>
          <w:color w:val="231F20"/>
          <w:spacing w:val="-10"/>
          <w:w w:val="105"/>
        </w:rPr>
        <w:t> </w:t>
      </w:r>
      <w:r>
        <w:rPr>
          <w:color w:val="231F20"/>
          <w:w w:val="105"/>
        </w:rPr>
        <w:t>Estela,</w:t>
      </w:r>
      <w:r>
        <w:rPr>
          <w:color w:val="231F20"/>
          <w:spacing w:val="-15"/>
          <w:w w:val="105"/>
        </w:rPr>
        <w:t> </w:t>
      </w:r>
      <w:r>
        <w:rPr>
          <w:color w:val="231F20"/>
          <w:w w:val="105"/>
        </w:rPr>
        <w:t>(2003),</w:t>
      </w:r>
      <w:r>
        <w:rPr>
          <w:color w:val="231F20"/>
          <w:spacing w:val="-15"/>
          <w:w w:val="105"/>
        </w:rPr>
        <w:t> </w:t>
      </w:r>
      <w:r>
        <w:rPr>
          <w:color w:val="231F20"/>
          <w:w w:val="105"/>
        </w:rPr>
        <w:t>“Competitividad</w:t>
      </w:r>
      <w:r>
        <w:rPr>
          <w:color w:val="231F20"/>
          <w:spacing w:val="-10"/>
          <w:w w:val="105"/>
        </w:rPr>
        <w:t> </w:t>
      </w:r>
      <w:r>
        <w:rPr>
          <w:color w:val="231F20"/>
          <w:w w:val="105"/>
        </w:rPr>
        <w:t>local</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agri- cultura</w:t>
      </w:r>
      <w:r>
        <w:rPr>
          <w:color w:val="231F20"/>
          <w:spacing w:val="-23"/>
          <w:w w:val="105"/>
        </w:rPr>
        <w:t> </w:t>
      </w:r>
      <w:r>
        <w:rPr>
          <w:color w:val="231F20"/>
          <w:w w:val="105"/>
        </w:rPr>
        <w:t>ornamental</w:t>
      </w:r>
      <w:r>
        <w:rPr>
          <w:color w:val="231F20"/>
          <w:spacing w:val="-23"/>
          <w:w w:val="105"/>
        </w:rPr>
        <w:t> </w:t>
      </w:r>
      <w:r>
        <w:rPr>
          <w:color w:val="231F20"/>
          <w:w w:val="105"/>
        </w:rPr>
        <w:t>en</w:t>
      </w:r>
      <w:r>
        <w:rPr>
          <w:color w:val="231F20"/>
          <w:spacing w:val="-23"/>
          <w:w w:val="105"/>
        </w:rPr>
        <w:t> </w:t>
      </w:r>
      <w:r>
        <w:rPr>
          <w:color w:val="231F20"/>
          <w:w w:val="105"/>
        </w:rPr>
        <w:t>México”</w:t>
      </w:r>
      <w:r>
        <w:rPr>
          <w:rFonts w:ascii="Arial" w:hAnsi="Arial"/>
          <w:i/>
          <w:color w:val="231F20"/>
          <w:w w:val="105"/>
        </w:rPr>
        <w:t>,</w:t>
      </w:r>
      <w:r>
        <w:rPr>
          <w:rFonts w:ascii="Arial" w:hAnsi="Arial"/>
          <w:i/>
          <w:color w:val="231F20"/>
          <w:spacing w:val="-26"/>
          <w:w w:val="105"/>
        </w:rPr>
        <w:t> </w:t>
      </w:r>
      <w:r>
        <w:rPr>
          <w:rFonts w:ascii="Arial" w:hAnsi="Arial"/>
          <w:i/>
          <w:color w:val="231F20"/>
          <w:w w:val="105"/>
        </w:rPr>
        <w:t>Ciencia</w:t>
      </w:r>
      <w:r>
        <w:rPr>
          <w:rFonts w:ascii="Arial" w:hAnsi="Arial"/>
          <w:i/>
          <w:color w:val="231F20"/>
          <w:spacing w:val="-26"/>
          <w:w w:val="105"/>
        </w:rPr>
        <w:t> </w:t>
      </w:r>
      <w:r>
        <w:rPr>
          <w:rFonts w:ascii="Arial" w:hAnsi="Arial"/>
          <w:i/>
          <w:color w:val="231F20"/>
          <w:w w:val="105"/>
        </w:rPr>
        <w:t>Ergo</w:t>
      </w:r>
      <w:r>
        <w:rPr>
          <w:rFonts w:ascii="Arial" w:hAnsi="Arial"/>
          <w:i/>
          <w:color w:val="231F20"/>
          <w:spacing w:val="-26"/>
          <w:w w:val="105"/>
        </w:rPr>
        <w:t> </w:t>
      </w:r>
      <w:r>
        <w:rPr>
          <w:rFonts w:ascii="Arial" w:hAnsi="Arial"/>
          <w:i/>
          <w:color w:val="231F20"/>
          <w:w w:val="105"/>
        </w:rPr>
        <w:t>Sum</w:t>
      </w:r>
      <w:r>
        <w:rPr>
          <w:color w:val="231F20"/>
          <w:w w:val="105"/>
        </w:rPr>
        <w:t>,</w:t>
      </w:r>
      <w:r>
        <w:rPr>
          <w:color w:val="231F20"/>
          <w:spacing w:val="-27"/>
          <w:w w:val="105"/>
        </w:rPr>
        <w:t> </w:t>
      </w:r>
      <w:r>
        <w:rPr>
          <w:color w:val="231F20"/>
          <w:w w:val="105"/>
        </w:rPr>
        <w:t>vol.</w:t>
      </w:r>
      <w:r>
        <w:rPr>
          <w:color w:val="231F20"/>
          <w:spacing w:val="-27"/>
          <w:w w:val="105"/>
        </w:rPr>
        <w:t> </w:t>
      </w:r>
      <w:r>
        <w:rPr>
          <w:color w:val="231F20"/>
          <w:w w:val="105"/>
        </w:rPr>
        <w:t>10-11.</w:t>
      </w:r>
    </w:p>
    <w:p>
      <w:pPr>
        <w:spacing w:line="259" w:lineRule="auto" w:before="0"/>
        <w:ind w:left="2390" w:right="1764" w:hanging="738"/>
        <w:jc w:val="both"/>
        <w:rPr>
          <w:sz w:val="21"/>
        </w:rPr>
      </w:pPr>
      <w:r>
        <w:rPr>
          <w:color w:val="231F20"/>
          <w:spacing w:val="-4"/>
          <w:sz w:val="21"/>
        </w:rPr>
        <w:t>Pérez </w:t>
      </w:r>
      <w:r>
        <w:rPr>
          <w:color w:val="231F20"/>
          <w:sz w:val="21"/>
        </w:rPr>
        <w:t>Archundia, Eduardo, (2005), </w:t>
      </w:r>
      <w:r>
        <w:rPr>
          <w:rFonts w:ascii="Arial" w:hAnsi="Arial"/>
          <w:i/>
          <w:color w:val="231F20"/>
          <w:sz w:val="21"/>
        </w:rPr>
        <w:t>Reclutamiento de migrantes en la región </w:t>
      </w:r>
      <w:r>
        <w:rPr>
          <w:rFonts w:ascii="Arial" w:hAnsi="Arial"/>
          <w:i/>
          <w:color w:val="231F20"/>
          <w:sz w:val="21"/>
        </w:rPr>
        <w:t>floricultora del sur del Estado de México</w:t>
      </w:r>
      <w:r>
        <w:rPr>
          <w:rFonts w:ascii="Arial" w:hAnsi="Arial"/>
          <w:i/>
          <w:color w:val="231F20"/>
          <w:spacing w:val="-40"/>
          <w:sz w:val="21"/>
        </w:rPr>
        <w:t> </w:t>
      </w:r>
      <w:r>
        <w:rPr>
          <w:color w:val="231F20"/>
          <w:spacing w:val="-4"/>
          <w:sz w:val="21"/>
        </w:rPr>
        <w:t>(Tesis </w:t>
      </w:r>
      <w:r>
        <w:rPr>
          <w:color w:val="231F20"/>
          <w:sz w:val="21"/>
        </w:rPr>
        <w:t>de maestría) El Cole- gio  Mexiquense, Zinacantepec,</w:t>
      </w:r>
      <w:r>
        <w:rPr>
          <w:color w:val="231F20"/>
          <w:spacing w:val="27"/>
          <w:sz w:val="21"/>
        </w:rPr>
        <w:t> </w:t>
      </w:r>
      <w:r>
        <w:rPr>
          <w:color w:val="231F20"/>
          <w:sz w:val="21"/>
        </w:rPr>
        <w:t>México.</w:t>
      </w:r>
    </w:p>
    <w:p>
      <w:pPr>
        <w:pStyle w:val="BodyText"/>
        <w:spacing w:line="261" w:lineRule="auto"/>
        <w:ind w:left="2390" w:right="1758" w:hanging="738"/>
        <w:jc w:val="both"/>
      </w:pPr>
      <w:r>
        <w:rPr>
          <w:color w:val="231F20"/>
        </w:rPr>
        <w:t>Secretaría de Desarrollo Agropecuario (</w:t>
      </w:r>
      <w:r>
        <w:rPr>
          <w:color w:val="231F20"/>
          <w:sz w:val="17"/>
        </w:rPr>
        <w:t>SEDAGRO</w:t>
      </w:r>
      <w:r>
        <w:rPr>
          <w:color w:val="231F20"/>
        </w:rPr>
        <w:t>), (2010), </w:t>
      </w:r>
      <w:r>
        <w:rPr>
          <w:rFonts w:ascii="Arial" w:hAnsi="Arial"/>
          <w:i/>
          <w:color w:val="231F20"/>
        </w:rPr>
        <w:t>Agroestadísticas</w:t>
      </w:r>
      <w:r>
        <w:rPr>
          <w:color w:val="231F20"/>
        </w:rPr>
        <w:t>, </w:t>
      </w:r>
      <w:r>
        <w:rPr>
          <w:color w:val="231F20"/>
          <w:w w:val="105"/>
        </w:rPr>
        <w:t>recuperado de </w:t>
      </w:r>
      <w:hyperlink r:id="rId93">
        <w:r>
          <w:rPr>
            <w:color w:val="231F20"/>
            <w:w w:val="105"/>
          </w:rPr>
          <w:t>http://sedagro.edomex.gob.mx/agroestadisticas</w:t>
        </w:r>
      </w:hyperlink>
    </w:p>
    <w:p>
      <w:pPr>
        <w:pStyle w:val="BodyText"/>
        <w:tabs>
          <w:tab w:pos="2492" w:val="left" w:leader="none"/>
        </w:tabs>
        <w:spacing w:line="261" w:lineRule="auto"/>
        <w:ind w:left="2390" w:right="1764" w:hanging="738"/>
        <w:jc w:val="both"/>
      </w:pPr>
      <w:r>
        <w:rPr>
          <w:color w:val="231F20"/>
          <w:w w:val="94"/>
          <w:u w:val="single" w:color="221E1F"/>
        </w:rPr>
        <w:t> </w:t>
      </w:r>
      <w:r>
        <w:rPr>
          <w:color w:val="231F20"/>
          <w:u w:val="single" w:color="221E1F"/>
        </w:rPr>
        <w:tab/>
        <w:tab/>
      </w:r>
      <w:r>
        <w:rPr>
          <w:color w:val="231F20"/>
          <w:spacing w:val="-2"/>
        </w:rPr>
        <w:t> </w:t>
      </w:r>
      <w:r>
        <w:rPr>
          <w:color w:val="231F20"/>
          <w:w w:val="105"/>
        </w:rPr>
        <w:t>(2007),</w:t>
      </w:r>
      <w:r>
        <w:rPr>
          <w:color w:val="231F20"/>
          <w:spacing w:val="-24"/>
          <w:w w:val="105"/>
        </w:rPr>
        <w:t> </w:t>
      </w:r>
      <w:r>
        <w:rPr>
          <w:rFonts w:ascii="Arial" w:hAnsi="Arial"/>
          <w:i/>
          <w:color w:val="231F20"/>
          <w:w w:val="105"/>
        </w:rPr>
        <w:t>Agroestadísticas,</w:t>
      </w:r>
      <w:r>
        <w:rPr>
          <w:rFonts w:ascii="Arial" w:hAnsi="Arial"/>
          <w:i/>
          <w:color w:val="231F20"/>
          <w:spacing w:val="-23"/>
          <w:w w:val="105"/>
        </w:rPr>
        <w:t> </w:t>
      </w:r>
      <w:r>
        <w:rPr>
          <w:color w:val="231F20"/>
          <w:w w:val="105"/>
        </w:rPr>
        <w:t>recuperado</w:t>
      </w:r>
      <w:r>
        <w:rPr>
          <w:color w:val="231F20"/>
          <w:spacing w:val="-20"/>
          <w:w w:val="105"/>
        </w:rPr>
        <w:t> </w:t>
      </w:r>
      <w:r>
        <w:rPr>
          <w:color w:val="231F20"/>
          <w:w w:val="105"/>
        </w:rPr>
        <w:t>de</w:t>
      </w:r>
      <w:r>
        <w:rPr>
          <w:color w:val="231F20"/>
          <w:spacing w:val="-20"/>
          <w:w w:val="105"/>
        </w:rPr>
        <w:t> </w:t>
      </w:r>
      <w:hyperlink r:id="rId94">
        <w:r>
          <w:rPr>
            <w:color w:val="231F20"/>
            <w:w w:val="105"/>
          </w:rPr>
          <w:t>http://sedagro.edomex.</w:t>
        </w:r>
      </w:hyperlink>
      <w:r>
        <w:rPr>
          <w:color w:val="231F20"/>
          <w:w w:val="95"/>
        </w:rPr>
        <w:t> </w:t>
      </w:r>
      <w:r>
        <w:rPr>
          <w:color w:val="231F20"/>
          <w:w w:val="105"/>
        </w:rPr>
        <w:t>gob.mx/agroestadisticas</w:t>
      </w:r>
    </w:p>
    <w:p>
      <w:pPr>
        <w:pStyle w:val="BodyText"/>
        <w:rPr>
          <w:sz w:val="20"/>
        </w:rPr>
      </w:pPr>
    </w:p>
    <w:p>
      <w:pPr>
        <w:pStyle w:val="BodyText"/>
        <w:rPr>
          <w:sz w:val="20"/>
        </w:rPr>
      </w:pPr>
    </w:p>
    <w:p>
      <w:pPr>
        <w:pStyle w:val="BodyText"/>
        <w:spacing w:before="10"/>
        <w:rPr>
          <w:sz w:val="25"/>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9224" from="131.551193pt,3.753715pt" to="131.551193pt,39.556114pt" stroked="true" strokeweight=".35pt" strokecolor="#231f20">
            <w10:wrap type="none"/>
          </v:line>
        </w:pict>
      </w:r>
      <w:r>
        <w:rPr/>
        <w:pict>
          <v:line style="position:absolute;mso-position-horizontal-relative:page;mso-position-vertical-relative:paragraph;z-index:-479152" from="15pt,39.555916pt" to="0pt,39.555916pt" stroked="true" strokeweight=".25pt" strokecolor="#000000">
            <w10:wrap type="none"/>
          </v:line>
        </w:pict>
      </w:r>
      <w:r>
        <w:rPr/>
        <w:pict>
          <v:line style="position:absolute;mso-position-horizontal-relative:page;mso-position-vertical-relative:paragraph;z-index:11056" from="508.890015pt,39.555916pt" to="523.890015pt,39.555916pt" stroked="true" strokeweight=".25pt" strokecolor="#000000">
            <w10:wrap type="none"/>
          </v:line>
        </w:pict>
      </w:r>
      <w:r>
        <w:rPr>
          <w:rFonts w:ascii="Arial" w:hAnsi="Arial"/>
          <w:color w:val="414042"/>
          <w:position w:val="-5"/>
          <w:sz w:val="20"/>
        </w:rPr>
        <w:t>108</w:t>
        <w:tab/>
      </w:r>
      <w:r>
        <w:rPr>
          <w:rFonts w:ascii="Calibri" w:hAnsi="Calibri"/>
          <w:color w:val="6D6E71"/>
          <w:sz w:val="15"/>
        </w:rPr>
        <w:t>Saraí Miranda</w:t>
      </w:r>
      <w:r>
        <w:rPr>
          <w:rFonts w:ascii="Calibri" w:hAnsi="Calibri"/>
          <w:color w:val="6D6E71"/>
          <w:spacing w:val="3"/>
          <w:sz w:val="15"/>
        </w:rPr>
        <w:t> </w:t>
      </w:r>
      <w:r>
        <w:rPr>
          <w:rFonts w:ascii="Calibri" w:hAnsi="Calibri"/>
          <w:color w:val="6D6E71"/>
          <w:sz w:val="15"/>
        </w:rPr>
        <w:t>Juárez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755" w:right="0" w:firstLine="0"/>
        <w:jc w:val="left"/>
        <w:rPr>
          <w:rFonts w:ascii="Arial" w:hAnsi="Arial"/>
          <w:sz w:val="20"/>
        </w:rPr>
      </w:pPr>
      <w:r>
        <w:rPr/>
        <w:pict>
          <v:line style="position:absolute;mso-position-horizontal-relative:page;mso-position-vertical-relative:paragraph;z-index:-479104" from="405.061005pt,-18.554295pt" to="405.061005pt,16.311579pt" stroked="true" strokeweight=".35pt" strokecolor="#231f20">
            <w10:wrap type="none"/>
          </v:line>
        </w:pict>
      </w:r>
      <w:r>
        <w:rPr/>
        <w:pict>
          <v:line style="position:absolute;mso-position-horizontal-relative:page;mso-position-vertical-relative:paragraph;z-index:11104" from="15pt,-18.554522pt" to="0pt,-18.554522pt" stroked="true" strokeweight=".25pt" strokecolor="#000000">
            <w10:wrap type="none"/>
          </v:line>
        </w:pict>
      </w:r>
      <w:r>
        <w:rPr/>
        <w:pict>
          <v:line style="position:absolute;mso-position-horizontal-relative:page;mso-position-vertical-relative:paragraph;z-index:11128" from="508.890015pt,-18.554522pt" to="523.890015pt,-18.554522pt" stroked="true" strokeweight=".25pt" strokecolor="#000000">
            <w10:wrap type="none"/>
          </v:line>
        </w:pict>
      </w:r>
      <w:r>
        <w:rPr>
          <w:rFonts w:ascii="Lucida Sans Unicode" w:hAnsi="Lucida Sans Unicode"/>
          <w:color w:val="6D6E71"/>
          <w:w w:val="90"/>
          <w:sz w:val="14"/>
        </w:rPr>
        <w:t>Im</w:t>
      </w:r>
      <w:r>
        <w:rPr>
          <w:rFonts w:ascii="Lucida Sans Unicode" w:hAnsi="Lucida Sans Unicode"/>
          <w:color w:val="6D6E71"/>
          <w:spacing w:val="-3"/>
          <w:w w:val="90"/>
          <w:sz w:val="14"/>
        </w:rPr>
        <w:t>a</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16"/>
          <w:sz w:val="14"/>
        </w:rPr>
        <w:t>nar</w:t>
      </w:r>
      <w:r>
        <w:rPr>
          <w:rFonts w:ascii="Lucida Sans Unicode" w:hAnsi="Lucida Sans Unicode"/>
          <w:color w:val="6D6E71"/>
          <w:w w:val="78"/>
          <w:sz w:val="14"/>
        </w:rPr>
        <w:t>I</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21"/>
          <w:sz w:val="14"/>
        </w:rPr>
        <w:t>futu</w:t>
      </w:r>
      <w:r>
        <w:rPr>
          <w:rFonts w:ascii="Lucida Sans Unicode" w:hAnsi="Lucida Sans Unicode"/>
          <w:color w:val="6D6E71"/>
          <w:spacing w:val="-1"/>
          <w:w w:val="121"/>
          <w:sz w:val="14"/>
        </w:rPr>
        <w:t>r</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105"/>
          <w:sz w:val="14"/>
        </w:rPr>
        <w:t>n</w:t>
      </w:r>
      <w:r>
        <w:rPr>
          <w:rFonts w:ascii="Lucida Sans Unicode" w:hAnsi="Lucida Sans Unicode"/>
          <w:color w:val="6D6E71"/>
          <w:w w:val="78"/>
          <w:sz w:val="14"/>
        </w:rPr>
        <w:t>I</w:t>
      </w:r>
      <w:r>
        <w:rPr>
          <w:rFonts w:ascii="Lucida Sans Unicode" w:hAnsi="Lucida Sans Unicode"/>
          <w:color w:val="6D6E71"/>
          <w:w w:val="106"/>
          <w:sz w:val="14"/>
        </w:rPr>
        <w:t>ños</w:t>
      </w:r>
      <w:r>
        <w:rPr>
          <w:rFonts w:ascii="Lucida Sans Unicode" w:hAnsi="Lucida Sans Unicode"/>
          <w:color w:val="6D6E71"/>
          <w:spacing w:val="-6"/>
          <w:sz w:val="14"/>
        </w:rPr>
        <w:t> </w:t>
      </w:r>
      <w:r>
        <w:rPr>
          <w:rFonts w:ascii="Lucida Sans Unicode" w:hAnsi="Lucida Sans Unicode"/>
          <w:color w:val="6D6E71"/>
          <w:w w:val="120"/>
          <w:sz w:val="14"/>
        </w:rPr>
        <w:t>jornale</w:t>
      </w:r>
      <w:r>
        <w:rPr>
          <w:rFonts w:ascii="Lucida Sans Unicode" w:hAnsi="Lucida Sans Unicode"/>
          <w:color w:val="6D6E71"/>
          <w:spacing w:val="-1"/>
          <w:w w:val="120"/>
          <w:sz w:val="14"/>
        </w:rPr>
        <w:t>r</w:t>
      </w:r>
      <w:r>
        <w:rPr>
          <w:rFonts w:ascii="Lucida Sans Unicode" w:hAnsi="Lucida Sans Unicode"/>
          <w:color w:val="6D6E71"/>
          <w:w w:val="106"/>
          <w:sz w:val="14"/>
        </w:rPr>
        <w:t>os</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92"/>
          <w:sz w:val="14"/>
        </w:rPr>
        <w:t>V</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spacing w:val="1"/>
          <w:w w:val="174"/>
          <w:sz w:val="14"/>
        </w:rPr>
        <w:t>l</w:t>
      </w:r>
      <w:r>
        <w:rPr>
          <w:rFonts w:ascii="Lucida Sans Unicode" w:hAnsi="Lucida Sans Unicode"/>
          <w:color w:val="6D6E71"/>
          <w:w w:val="109"/>
          <w:sz w:val="14"/>
        </w:rPr>
        <w:t>a</w:t>
      </w:r>
      <w:r>
        <w:rPr>
          <w:rFonts w:ascii="Lucida Sans Unicode" w:hAnsi="Lucida Sans Unicode"/>
          <w:color w:val="6D6E71"/>
          <w:spacing w:val="-6"/>
          <w:sz w:val="14"/>
        </w:rPr>
        <w:t> </w:t>
      </w:r>
      <w:r>
        <w:rPr>
          <w:rFonts w:ascii="Lucida Sans Unicode" w:hAnsi="Lucida Sans Unicode"/>
          <w:color w:val="6D6E71"/>
          <w:w w:val="101"/>
          <w:sz w:val="14"/>
        </w:rPr>
        <w:t>g</w:t>
      </w:r>
      <w:r>
        <w:rPr>
          <w:rFonts w:ascii="Lucida Sans Unicode" w:hAnsi="Lucida Sans Unicode"/>
          <w:color w:val="6D6E71"/>
          <w:w w:val="117"/>
          <w:sz w:val="14"/>
        </w:rPr>
        <w:t>uerre</w:t>
      </w:r>
      <w:r>
        <w:rPr>
          <w:rFonts w:ascii="Lucida Sans Unicode" w:hAnsi="Lucida Sans Unicode"/>
          <w:color w:val="6D6E71"/>
          <w:spacing w:val="-1"/>
          <w:w w:val="117"/>
          <w:sz w:val="14"/>
        </w:rPr>
        <w:t>r</w:t>
      </w:r>
      <w:r>
        <w:rPr>
          <w:rFonts w:ascii="Lucida Sans Unicode" w:hAnsi="Lucida Sans Unicode"/>
          <w:color w:val="6D6E71"/>
          <w:w w:val="109"/>
          <w:sz w:val="14"/>
        </w:rPr>
        <w:t>o</w:t>
      </w:r>
      <w:r>
        <w:rPr>
          <w:rFonts w:ascii="Arial" w:hAnsi="Arial"/>
          <w:color w:val="414042"/>
          <w:w w:val="100"/>
          <w:position w:val="-3"/>
          <w:sz w:val="20"/>
        </w:rPr>
        <w:t> </w:t>
      </w:r>
      <w:r>
        <w:rPr>
          <w:rFonts w:ascii="Arial" w:hAnsi="Arial"/>
          <w:color w:val="414042"/>
          <w:position w:val="-3"/>
          <w:sz w:val="20"/>
        </w:rPr>
        <w:tab/>
      </w:r>
      <w:r>
        <w:rPr>
          <w:rFonts w:ascii="Arial" w:hAnsi="Arial"/>
          <w:color w:val="414042"/>
          <w:w w:val="99"/>
          <w:position w:val="-3"/>
          <w:sz w:val="20"/>
        </w:rPr>
        <w:t>109</w:t>
      </w:r>
    </w:p>
    <w:p>
      <w:pPr>
        <w:pStyle w:val="BodyText"/>
        <w:rPr>
          <w:rFonts w:ascii="Arial"/>
          <w:sz w:val="20"/>
        </w:rPr>
      </w:pPr>
    </w:p>
    <w:p>
      <w:pPr>
        <w:pStyle w:val="BodyText"/>
        <w:rPr>
          <w:rFonts w:ascii="Arial"/>
          <w:sz w:val="20"/>
        </w:rPr>
      </w:pPr>
    </w:p>
    <w:p>
      <w:pPr>
        <w:spacing w:line="259" w:lineRule="auto" w:before="179"/>
        <w:ind w:left="2574" w:right="1715" w:hanging="738"/>
        <w:jc w:val="both"/>
        <w:rPr>
          <w:sz w:val="21"/>
        </w:rPr>
      </w:pPr>
      <w:r>
        <w:rPr>
          <w:color w:val="231F20"/>
          <w:w w:val="105"/>
          <w:sz w:val="21"/>
        </w:rPr>
        <w:t>Tijoux-Merino,</w:t>
      </w:r>
      <w:r>
        <w:rPr>
          <w:color w:val="231F20"/>
          <w:spacing w:val="-21"/>
          <w:w w:val="105"/>
          <w:sz w:val="21"/>
        </w:rPr>
        <w:t> </w:t>
      </w:r>
      <w:r>
        <w:rPr>
          <w:color w:val="231F20"/>
          <w:w w:val="105"/>
          <w:sz w:val="21"/>
        </w:rPr>
        <w:t>María</w:t>
      </w:r>
      <w:r>
        <w:rPr>
          <w:color w:val="231F20"/>
          <w:spacing w:val="-17"/>
          <w:w w:val="105"/>
          <w:sz w:val="21"/>
        </w:rPr>
        <w:t> </w:t>
      </w:r>
      <w:r>
        <w:rPr>
          <w:color w:val="231F20"/>
          <w:w w:val="105"/>
          <w:sz w:val="21"/>
        </w:rPr>
        <w:t>Emilia,</w:t>
      </w:r>
      <w:r>
        <w:rPr>
          <w:color w:val="231F20"/>
          <w:spacing w:val="-21"/>
          <w:w w:val="105"/>
          <w:sz w:val="21"/>
        </w:rPr>
        <w:t> </w:t>
      </w:r>
      <w:r>
        <w:rPr>
          <w:color w:val="231F20"/>
          <w:w w:val="105"/>
          <w:sz w:val="21"/>
        </w:rPr>
        <w:t>(2013),</w:t>
      </w:r>
      <w:r>
        <w:rPr>
          <w:color w:val="231F20"/>
          <w:spacing w:val="-21"/>
          <w:w w:val="105"/>
          <w:sz w:val="21"/>
        </w:rPr>
        <w:t> </w:t>
      </w:r>
      <w:r>
        <w:rPr>
          <w:color w:val="231F20"/>
          <w:w w:val="105"/>
          <w:sz w:val="21"/>
        </w:rPr>
        <w:t>“Niños(as)</w:t>
      </w:r>
      <w:r>
        <w:rPr>
          <w:color w:val="231F20"/>
          <w:spacing w:val="-17"/>
          <w:w w:val="105"/>
          <w:sz w:val="21"/>
        </w:rPr>
        <w:t> </w:t>
      </w:r>
      <w:r>
        <w:rPr>
          <w:color w:val="231F20"/>
          <w:w w:val="105"/>
          <w:sz w:val="21"/>
        </w:rPr>
        <w:t>marcados</w:t>
      </w:r>
      <w:r>
        <w:rPr>
          <w:color w:val="231F20"/>
          <w:spacing w:val="-17"/>
          <w:w w:val="105"/>
          <w:sz w:val="21"/>
        </w:rPr>
        <w:t> </w:t>
      </w:r>
      <w:r>
        <w:rPr>
          <w:color w:val="231F20"/>
          <w:w w:val="105"/>
          <w:sz w:val="21"/>
        </w:rPr>
        <w:t>por</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inmigra- ción</w:t>
      </w:r>
      <w:r>
        <w:rPr>
          <w:color w:val="231F20"/>
          <w:spacing w:val="-29"/>
          <w:w w:val="105"/>
          <w:sz w:val="21"/>
        </w:rPr>
        <w:t> </w:t>
      </w:r>
      <w:r>
        <w:rPr>
          <w:color w:val="231F20"/>
          <w:w w:val="105"/>
          <w:sz w:val="21"/>
        </w:rPr>
        <w:t>peruana:</w:t>
      </w:r>
      <w:r>
        <w:rPr>
          <w:color w:val="231F20"/>
          <w:spacing w:val="-29"/>
          <w:w w:val="105"/>
          <w:sz w:val="21"/>
        </w:rPr>
        <w:t> </w:t>
      </w:r>
      <w:r>
        <w:rPr>
          <w:color w:val="231F20"/>
          <w:w w:val="105"/>
          <w:sz w:val="21"/>
        </w:rPr>
        <w:t>estigma,</w:t>
      </w:r>
      <w:r>
        <w:rPr>
          <w:color w:val="231F20"/>
          <w:spacing w:val="-32"/>
          <w:w w:val="105"/>
          <w:sz w:val="21"/>
        </w:rPr>
        <w:t> </w:t>
      </w:r>
      <w:r>
        <w:rPr>
          <w:color w:val="231F20"/>
          <w:w w:val="105"/>
          <w:sz w:val="21"/>
        </w:rPr>
        <w:t>sufrimientos,</w:t>
      </w:r>
      <w:r>
        <w:rPr>
          <w:color w:val="231F20"/>
          <w:spacing w:val="-32"/>
          <w:w w:val="105"/>
          <w:sz w:val="21"/>
        </w:rPr>
        <w:t> </w:t>
      </w:r>
      <w:r>
        <w:rPr>
          <w:color w:val="231F20"/>
          <w:spacing w:val="-3"/>
          <w:w w:val="105"/>
          <w:sz w:val="21"/>
        </w:rPr>
        <w:t>resistencias”,</w:t>
      </w:r>
      <w:r>
        <w:rPr>
          <w:color w:val="231F20"/>
          <w:spacing w:val="-32"/>
          <w:w w:val="105"/>
          <w:sz w:val="21"/>
        </w:rPr>
        <w:t> </w:t>
      </w:r>
      <w:r>
        <w:rPr>
          <w:rFonts w:ascii="Arial" w:hAnsi="Arial"/>
          <w:i/>
          <w:color w:val="231F20"/>
          <w:w w:val="105"/>
          <w:sz w:val="21"/>
        </w:rPr>
        <w:t>Convergencia. </w:t>
      </w:r>
      <w:r>
        <w:rPr>
          <w:rFonts w:ascii="Arial" w:hAnsi="Arial"/>
          <w:i/>
          <w:color w:val="231F20"/>
          <w:w w:val="105"/>
          <w:sz w:val="21"/>
        </w:rPr>
        <w:t>Revista</w:t>
      </w:r>
      <w:r>
        <w:rPr>
          <w:rFonts w:ascii="Arial" w:hAnsi="Arial"/>
          <w:i/>
          <w:color w:val="231F20"/>
          <w:spacing w:val="-40"/>
          <w:w w:val="105"/>
          <w:sz w:val="21"/>
        </w:rPr>
        <w:t> </w:t>
      </w:r>
      <w:r>
        <w:rPr>
          <w:rFonts w:ascii="Arial" w:hAnsi="Arial"/>
          <w:i/>
          <w:color w:val="231F20"/>
          <w:w w:val="105"/>
          <w:sz w:val="21"/>
        </w:rPr>
        <w:t>de</w:t>
      </w:r>
      <w:r>
        <w:rPr>
          <w:rFonts w:ascii="Arial" w:hAnsi="Arial"/>
          <w:i/>
          <w:color w:val="231F20"/>
          <w:spacing w:val="-40"/>
          <w:w w:val="105"/>
          <w:sz w:val="21"/>
        </w:rPr>
        <w:t> </w:t>
      </w:r>
      <w:r>
        <w:rPr>
          <w:rFonts w:ascii="Arial" w:hAnsi="Arial"/>
          <w:i/>
          <w:color w:val="231F20"/>
          <w:w w:val="105"/>
          <w:sz w:val="21"/>
        </w:rPr>
        <w:t>Ciencias</w:t>
      </w:r>
      <w:r>
        <w:rPr>
          <w:rFonts w:ascii="Arial" w:hAnsi="Arial"/>
          <w:i/>
          <w:color w:val="231F20"/>
          <w:spacing w:val="-40"/>
          <w:w w:val="105"/>
          <w:sz w:val="21"/>
        </w:rPr>
        <w:t> </w:t>
      </w:r>
      <w:r>
        <w:rPr>
          <w:rFonts w:ascii="Arial" w:hAnsi="Arial"/>
          <w:i/>
          <w:color w:val="231F20"/>
          <w:w w:val="105"/>
          <w:sz w:val="21"/>
        </w:rPr>
        <w:t>Sociales</w:t>
      </w:r>
      <w:r>
        <w:rPr>
          <w:color w:val="231F20"/>
          <w:w w:val="105"/>
          <w:sz w:val="21"/>
        </w:rPr>
        <w:t>,</w:t>
      </w:r>
      <w:r>
        <w:rPr>
          <w:color w:val="231F20"/>
          <w:spacing w:val="-40"/>
          <w:w w:val="105"/>
          <w:sz w:val="21"/>
        </w:rPr>
        <w:t> </w:t>
      </w:r>
      <w:r>
        <w:rPr>
          <w:color w:val="231F20"/>
          <w:w w:val="105"/>
          <w:sz w:val="21"/>
        </w:rPr>
        <w:t>vol.</w:t>
      </w:r>
      <w:r>
        <w:rPr>
          <w:color w:val="231F20"/>
          <w:spacing w:val="-40"/>
          <w:w w:val="105"/>
          <w:sz w:val="21"/>
        </w:rPr>
        <w:t> </w:t>
      </w:r>
      <w:r>
        <w:rPr>
          <w:color w:val="231F20"/>
          <w:w w:val="105"/>
          <w:sz w:val="21"/>
        </w:rPr>
        <w:t>20,</w:t>
      </w:r>
      <w:r>
        <w:rPr>
          <w:color w:val="231F20"/>
          <w:spacing w:val="-40"/>
          <w:w w:val="105"/>
          <w:sz w:val="21"/>
        </w:rPr>
        <w:t> </w:t>
      </w:r>
      <w:r>
        <w:rPr>
          <w:color w:val="231F20"/>
          <w:w w:val="105"/>
          <w:sz w:val="21"/>
        </w:rPr>
        <w:t>núm.</w:t>
      </w:r>
      <w:r>
        <w:rPr>
          <w:color w:val="231F20"/>
          <w:spacing w:val="-40"/>
          <w:w w:val="105"/>
          <w:sz w:val="21"/>
        </w:rPr>
        <w:t> </w:t>
      </w:r>
      <w:r>
        <w:rPr>
          <w:color w:val="231F20"/>
          <w:w w:val="105"/>
          <w:sz w:val="21"/>
        </w:rPr>
        <w:t>61.</w:t>
      </w:r>
    </w:p>
    <w:p>
      <w:pPr>
        <w:spacing w:line="259" w:lineRule="auto" w:before="0"/>
        <w:ind w:left="2574" w:right="1722" w:hanging="738"/>
        <w:jc w:val="both"/>
        <w:rPr>
          <w:sz w:val="21"/>
        </w:rPr>
      </w:pPr>
      <w:r>
        <w:rPr>
          <w:color w:val="231F20"/>
          <w:sz w:val="21"/>
        </w:rPr>
        <w:t>Torres, Adrián, (1985), </w:t>
      </w:r>
      <w:r>
        <w:rPr>
          <w:rFonts w:ascii="Arial" w:hAnsi="Arial"/>
          <w:i/>
          <w:color w:val="231F20"/>
          <w:sz w:val="21"/>
        </w:rPr>
        <w:t>Familia, trabajo y reproducción social: campesinos </w:t>
      </w:r>
      <w:r>
        <w:rPr>
          <w:rFonts w:ascii="Arial" w:hAnsi="Arial"/>
          <w:i/>
          <w:color w:val="231F20"/>
          <w:sz w:val="21"/>
        </w:rPr>
        <w:t>en Honduras, </w:t>
      </w:r>
      <w:r>
        <w:rPr>
          <w:color w:val="231F20"/>
          <w:sz w:val="21"/>
        </w:rPr>
        <w:t>México: </w:t>
      </w:r>
      <w:r>
        <w:rPr>
          <w:color w:val="231F20"/>
          <w:sz w:val="17"/>
        </w:rPr>
        <w:t>PISPAL</w:t>
      </w:r>
      <w:r>
        <w:rPr>
          <w:color w:val="231F20"/>
          <w:sz w:val="21"/>
        </w:rPr>
        <w:t>/</w:t>
      </w:r>
      <w:r>
        <w:rPr>
          <w:color w:val="231F20"/>
          <w:sz w:val="17"/>
        </w:rPr>
        <w:t>COLMEX</w:t>
      </w:r>
      <w:r>
        <w:rPr>
          <w:color w:val="231F20"/>
          <w:sz w:val="21"/>
        </w:rPr>
        <w:t>.</w:t>
      </w:r>
    </w:p>
    <w:p>
      <w:pPr>
        <w:spacing w:line="261" w:lineRule="auto" w:before="3"/>
        <w:ind w:left="2574" w:right="1713" w:hanging="738"/>
        <w:jc w:val="both"/>
        <w:rPr>
          <w:sz w:val="21"/>
        </w:rPr>
      </w:pPr>
      <w:r>
        <w:rPr>
          <w:color w:val="231F20"/>
          <w:w w:val="105"/>
          <w:sz w:val="21"/>
        </w:rPr>
        <w:t>Vázquez García, Luis Miguel y Norman Mondragón, Thomas, (1993), </w:t>
      </w:r>
      <w:r>
        <w:rPr>
          <w:rFonts w:ascii="Arial" w:hAnsi="Arial"/>
          <w:i/>
          <w:color w:val="231F20"/>
          <w:w w:val="105"/>
          <w:sz w:val="21"/>
        </w:rPr>
        <w:t>Crónicas de la evolución de la floricultura en México</w:t>
      </w:r>
      <w:r>
        <w:rPr>
          <w:color w:val="231F20"/>
          <w:w w:val="105"/>
          <w:sz w:val="21"/>
        </w:rPr>
        <w:t>, Toluca, México: </w:t>
      </w:r>
      <w:r>
        <w:rPr>
          <w:color w:val="231F20"/>
          <w:w w:val="105"/>
          <w:sz w:val="17"/>
        </w:rPr>
        <w:t>UAEM</w:t>
      </w:r>
      <w:r>
        <w:rPr>
          <w:color w:val="231F20"/>
          <w:w w:val="105"/>
          <w:sz w:val="21"/>
        </w:rPr>
        <w:t>.</w:t>
      </w:r>
    </w:p>
    <w:p>
      <w:pPr>
        <w:spacing w:after="0" w:line="261" w:lineRule="auto"/>
        <w:jc w:val="both"/>
        <w:rPr>
          <w:sz w:val="21"/>
        </w:rPr>
        <w:sectPr>
          <w:footerReference w:type="default" r:id="rId95"/>
          <w:pgSz w:w="10480" w:h="14730"/>
          <w:pgMar w:footer="223" w:header="0" w:top="300" w:bottom="420" w:left="0" w:right="0"/>
        </w:sectPr>
      </w:pPr>
    </w:p>
    <w:p>
      <w:pPr>
        <w:pStyle w:val="BodyText"/>
        <w:spacing w:before="4"/>
        <w:rPr>
          <w:rFonts w:ascii="Times New Roman"/>
          <w:sz w:val="17"/>
        </w:rPr>
      </w:pPr>
    </w:p>
    <w:p>
      <w:pPr>
        <w:spacing w:after="0"/>
        <w:rPr>
          <w:rFonts w:ascii="Times New Roman"/>
          <w:sz w:val="17"/>
        </w:rPr>
        <w:sectPr>
          <w:headerReference w:type="default" r:id="rId96"/>
          <w:footerReference w:type="default" r:id="rId97"/>
          <w:pgSz w:w="10480" w:h="14730"/>
          <w:pgMar w:header="0" w:footer="223"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5"/>
        </w:rPr>
      </w:pPr>
    </w:p>
    <w:p>
      <w:pPr>
        <w:pStyle w:val="Heading1"/>
        <w:spacing w:line="249" w:lineRule="auto"/>
        <w:ind w:left="4152" w:right="1920" w:hanging="1981"/>
      </w:pPr>
      <w:r>
        <w:rPr/>
        <w:drawing>
          <wp:anchor distT="0" distB="0" distL="0" distR="0" allowOverlap="1" layoutInCell="1" locked="0" behindDoc="1" simplePos="0" relativeHeight="267956423">
            <wp:simplePos x="0" y="0"/>
            <wp:positionH relativeFrom="page">
              <wp:posOffset>266700</wp:posOffset>
            </wp:positionH>
            <wp:positionV relativeFrom="paragraph">
              <wp:posOffset>73879</wp:posOffset>
            </wp:positionV>
            <wp:extent cx="6120003" cy="4910399"/>
            <wp:effectExtent l="0" t="0" r="0" b="0"/>
            <wp:wrapNone/>
            <wp:docPr id="19" name="image17.png" descr=""/>
            <wp:cNvGraphicFramePr>
              <a:graphicFrameLocks noChangeAspect="1"/>
            </wp:cNvGraphicFramePr>
            <a:graphic>
              <a:graphicData uri="http://schemas.openxmlformats.org/drawingml/2006/picture">
                <pic:pic>
                  <pic:nvPicPr>
                    <pic:cNvPr id="20" name="image17.png"/>
                    <pic:cNvPicPr/>
                  </pic:nvPicPr>
                  <pic:blipFill>
                    <a:blip r:embed="rId98" cstate="print"/>
                    <a:stretch>
                      <a:fillRect/>
                    </a:stretch>
                  </pic:blipFill>
                  <pic:spPr>
                    <a:xfrm>
                      <a:off x="0" y="0"/>
                      <a:ext cx="6120003" cy="4910399"/>
                    </a:xfrm>
                    <a:prstGeom prst="rect">
                      <a:avLst/>
                    </a:prstGeom>
                  </pic:spPr>
                </pic:pic>
              </a:graphicData>
            </a:graphic>
          </wp:anchor>
        </w:drawing>
      </w:r>
      <w:r>
        <w:rPr>
          <w:color w:val="231F20"/>
          <w:spacing w:val="5"/>
        </w:rPr>
        <w:t>MIGRACIONES </w:t>
      </w:r>
      <w:r>
        <w:rPr>
          <w:color w:val="231F20"/>
          <w:spacing w:val="3"/>
        </w:rPr>
        <w:t>DE RETORNO. </w:t>
      </w:r>
      <w:r>
        <w:rPr>
          <w:color w:val="231F20"/>
          <w:spacing w:val="7"/>
        </w:rPr>
        <w:t>DIMENSIONES </w:t>
      </w:r>
      <w:r>
        <w:rPr>
          <w:color w:val="231F20"/>
        </w:rPr>
        <w:t>Y</w:t>
      </w:r>
      <w:r>
        <w:rPr>
          <w:color w:val="231F20"/>
          <w:spacing w:val="-51"/>
        </w:rPr>
        <w:t> </w:t>
      </w:r>
      <w:r>
        <w:rPr>
          <w:color w:val="231F20"/>
          <w:spacing w:val="7"/>
        </w:rPr>
        <w:t>EXPERIENCIAS</w:t>
      </w:r>
    </w:p>
    <w:p>
      <w:pPr>
        <w:spacing w:after="0" w:line="249" w:lineRule="auto"/>
        <w:sectPr>
          <w:pgSz w:w="10480" w:h="14730"/>
          <w:pgMar w:header="0" w:footer="223" w:top="420" w:bottom="420" w:left="0" w:right="0"/>
        </w:sectPr>
      </w:pPr>
    </w:p>
    <w:p>
      <w:pPr>
        <w:pStyle w:val="BodyText"/>
        <w:spacing w:before="4"/>
        <w:rPr>
          <w:rFonts w:ascii="Times New Roman"/>
          <w:sz w:val="17"/>
        </w:rPr>
      </w:pPr>
      <w:r>
        <w:rPr/>
        <w:pict>
          <v:line style="position:absolute;mso-position-horizontal-relative:page;mso-position-vertical-relative:page;z-index:11176" from="502.890015pt,20.999975pt" to="502.890015pt,715.487975pt" stroked="true" strokeweight="0pt" strokecolor="#77787b">
            <w10:wrap type="none"/>
          </v:line>
        </w:pict>
      </w:r>
    </w:p>
    <w:p>
      <w:pPr>
        <w:spacing w:after="0"/>
        <w:rPr>
          <w:rFonts w:ascii="Times New Roman"/>
          <w:sz w:val="17"/>
        </w:rPr>
        <w:sectPr>
          <w:pgSz w:w="10480" w:h="14730"/>
          <w:pgMar w:header="0" w:footer="223" w:top="420" w:bottom="420" w:left="0" w:right="0"/>
        </w:sectPr>
      </w:pPr>
    </w:p>
    <w:p>
      <w:pPr>
        <w:pStyle w:val="BodyText"/>
        <w:rPr>
          <w:rFonts w:ascii="Times New Roman"/>
          <w:sz w:val="20"/>
        </w:rPr>
      </w:pPr>
      <w:r>
        <w:rPr/>
        <w:pict>
          <v:group style="position:absolute;margin-left:21pt;margin-top:20.999975pt;width:481.9pt;height:694.5pt;mso-position-horizontal-relative:page;mso-position-vertical-relative:page;z-index:-478984" coordorigin="420,420" coordsize="9638,13890">
            <v:rect style="position:absolute;left:420;top:420;width:9638;height:13890" filled="true" fillcolor="#77787b" stroked="false">
              <v:fill type="solid"/>
            </v:rect>
            <v:shape style="position:absolute;left:420;top:6577;width:9638;height:7733" type="#_x0000_t75" stroked="false">
              <v:imagedata r:id="rId101"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3"/>
        </w:rPr>
      </w:pPr>
    </w:p>
    <w:p>
      <w:pPr>
        <w:pStyle w:val="Heading2"/>
        <w:spacing w:line="328" w:lineRule="exact" w:before="5"/>
        <w:ind w:left="2640"/>
      </w:pPr>
      <w:r>
        <w:rPr>
          <w:color w:val="FFFFFF"/>
          <w:w w:val="95"/>
        </w:rPr>
        <w:t>¿VOLVER A CASA?</w:t>
      </w:r>
    </w:p>
    <w:p>
      <w:pPr>
        <w:spacing w:line="187" w:lineRule="auto" w:before="17"/>
        <w:ind w:left="3042" w:right="4756" w:hanging="84"/>
        <w:jc w:val="left"/>
        <w:rPr>
          <w:rFonts w:ascii="Lucida Sans Unicode"/>
          <w:sz w:val="24"/>
        </w:rPr>
      </w:pPr>
      <w:r>
        <w:rPr>
          <w:rFonts w:ascii="Lucida Sans Unicode"/>
          <w:color w:val="FFFFFF"/>
          <w:sz w:val="24"/>
        </w:rPr>
        <w:t>Y RUTAS DIVERftENTES </w:t>
      </w:r>
      <w:r>
        <w:rPr>
          <w:rFonts w:ascii="Lucida Sans Unicode"/>
          <w:color w:val="FFFFFF"/>
          <w:w w:val="90"/>
          <w:sz w:val="24"/>
        </w:rPr>
        <w:t>MIftRANTES DE RETORNO</w:t>
      </w:r>
    </w:p>
    <w:p>
      <w:pPr>
        <w:pStyle w:val="Heading4"/>
        <w:spacing w:before="110"/>
        <w:ind w:left="5715"/>
        <w:rPr>
          <w:sz w:val="18"/>
        </w:rPr>
      </w:pPr>
      <w:r>
        <w:rPr>
          <w:color w:val="FFFFFF"/>
        </w:rPr>
        <w:t>Liliana Rivera Sánchez</w:t>
      </w:r>
      <w:r>
        <w:rPr>
          <w:color w:val="FFFFFF"/>
          <w:sz w:val="18"/>
        </w:rPr>
        <w:t>*</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
        <w:rPr>
          <w:rFonts w:ascii="Calibri"/>
          <w:sz w:val="28"/>
        </w:rPr>
      </w:pPr>
    </w:p>
    <w:p>
      <w:pPr>
        <w:spacing w:line="212" w:lineRule="exact" w:before="0"/>
        <w:ind w:left="2069" w:right="0" w:firstLine="0"/>
        <w:jc w:val="left"/>
        <w:rPr>
          <w:rFonts w:ascii="Calibri" w:hAnsi="Calibri"/>
          <w:sz w:val="15"/>
        </w:rPr>
      </w:pPr>
      <w:r>
        <w:rPr>
          <w:rFonts w:ascii="Calibri" w:hAnsi="Calibri"/>
          <w:color w:val="FFFFFF"/>
          <w:sz w:val="15"/>
        </w:rPr>
        <w:t>* Doctora en Sociología. </w:t>
      </w:r>
      <w:r>
        <w:rPr>
          <w:rFonts w:ascii="Calibri" w:hAnsi="Calibri"/>
          <w:color w:val="FFFFFF"/>
          <w:position w:val="1"/>
          <w:sz w:val="15"/>
        </w:rPr>
        <w:t>Profesora investigadora del Cen</w:t>
      </w:r>
      <w:r>
        <w:rPr>
          <w:rFonts w:ascii="Calibri" w:hAnsi="Calibri"/>
          <w:color w:val="FFFFFF"/>
          <w:position w:val="2"/>
          <w:sz w:val="15"/>
        </w:rPr>
        <w:t>tro de Estudios Sociológicos de El Col</w:t>
      </w:r>
      <w:r>
        <w:rPr>
          <w:rFonts w:ascii="Calibri" w:hAnsi="Calibri"/>
          <w:color w:val="FFFFFF"/>
          <w:position w:val="3"/>
          <w:sz w:val="15"/>
        </w:rPr>
        <w:t>egio de   México.</w:t>
      </w:r>
    </w:p>
    <w:p>
      <w:pPr>
        <w:spacing w:line="182" w:lineRule="exact" w:before="0"/>
        <w:ind w:left="2070" w:right="6753" w:firstLine="0"/>
        <w:jc w:val="left"/>
        <w:rPr>
          <w:rFonts w:ascii="Calibri"/>
          <w:i/>
          <w:sz w:val="15"/>
        </w:rPr>
      </w:pPr>
      <w:hyperlink r:id="rId102">
        <w:r>
          <w:rPr>
            <w:rFonts w:ascii="Calibri"/>
            <w:i/>
            <w:color w:val="FFFFFF"/>
            <w:sz w:val="15"/>
          </w:rPr>
          <w:t>rives</w:t>
        </w:r>
      </w:hyperlink>
      <w:hyperlink r:id="rId103">
        <w:r>
          <w:rPr>
            <w:rFonts w:ascii="Calibri"/>
            <w:i/>
            <w:color w:val="FFFFFF"/>
            <w:sz w:val="15"/>
          </w:rPr>
          <w:t>anl@colmex.mx</w:t>
        </w:r>
      </w:hyperlink>
    </w:p>
    <w:p>
      <w:pPr>
        <w:spacing w:after="0" w:line="182" w:lineRule="exact"/>
        <w:jc w:val="left"/>
        <w:rPr>
          <w:rFonts w:ascii="Calibri"/>
          <w:sz w:val="15"/>
        </w:rPr>
        <w:sectPr>
          <w:headerReference w:type="default" r:id="rId99"/>
          <w:footerReference w:type="default" r:id="rId100"/>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104"/>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15"/>
        <w:jc w:val="both"/>
      </w:pPr>
      <w:r>
        <w:rPr/>
        <w:pict>
          <v:shape style="position:absolute;margin-left:103.667099pt;margin-top:12.67192pt;width:31.2pt;height:51pt;mso-position-horizontal-relative:page;mso-position-vertical-relative:paragraph;z-index:11224"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w w:val="105"/>
        </w:rPr>
        <w:t>a crisis internacional de los mercados laborales e inmobilia- rios que inició en 2008 ha tenido consecuencias evidentes sobre las movilidades y las migraciones internacionales, así como</w:t>
      </w:r>
      <w:r>
        <w:rPr>
          <w:color w:val="231F20"/>
          <w:spacing w:val="-17"/>
          <w:w w:val="105"/>
        </w:rPr>
        <w:t> </w:t>
      </w:r>
      <w:r>
        <w:rPr>
          <w:color w:val="231F20"/>
          <w:w w:val="105"/>
        </w:rPr>
        <w:t>sobre</w:t>
      </w:r>
      <w:r>
        <w:rPr>
          <w:color w:val="231F20"/>
          <w:spacing w:val="-17"/>
          <w:w w:val="105"/>
        </w:rPr>
        <w:t> </w:t>
      </w:r>
      <w:r>
        <w:rPr>
          <w:color w:val="231F20"/>
          <w:w w:val="105"/>
        </w:rPr>
        <w:t>las</w:t>
      </w:r>
      <w:r>
        <w:rPr>
          <w:color w:val="231F20"/>
          <w:spacing w:val="-17"/>
          <w:w w:val="105"/>
        </w:rPr>
        <w:t> </w:t>
      </w:r>
      <w:r>
        <w:rPr>
          <w:color w:val="231F20"/>
          <w:w w:val="105"/>
        </w:rPr>
        <w:t>políticas</w:t>
      </w:r>
      <w:r>
        <w:rPr>
          <w:color w:val="231F20"/>
          <w:spacing w:val="-17"/>
          <w:w w:val="105"/>
        </w:rPr>
        <w:t> </w:t>
      </w:r>
      <w:r>
        <w:rPr>
          <w:color w:val="231F20"/>
          <w:w w:val="105"/>
        </w:rPr>
        <w:t>de</w:t>
      </w:r>
      <w:r>
        <w:rPr>
          <w:color w:val="231F20"/>
          <w:spacing w:val="-17"/>
          <w:w w:val="105"/>
        </w:rPr>
        <w:t> </w:t>
      </w:r>
      <w:r>
        <w:rPr>
          <w:color w:val="231F20"/>
          <w:w w:val="105"/>
        </w:rPr>
        <w:t>control</w:t>
      </w:r>
      <w:r>
        <w:rPr>
          <w:color w:val="231F20"/>
          <w:spacing w:val="-17"/>
          <w:w w:val="105"/>
        </w:rPr>
        <w:t> </w:t>
      </w:r>
      <w:r>
        <w:rPr>
          <w:color w:val="231F20"/>
          <w:w w:val="105"/>
        </w:rPr>
        <w:t>de</w:t>
      </w:r>
      <w:r>
        <w:rPr>
          <w:color w:val="231F20"/>
          <w:spacing w:val="-17"/>
          <w:w w:val="105"/>
        </w:rPr>
        <w:t> </w:t>
      </w:r>
      <w:r>
        <w:rPr>
          <w:color w:val="231F20"/>
          <w:w w:val="105"/>
        </w:rPr>
        <w:t>estos</w:t>
      </w:r>
      <w:r>
        <w:rPr>
          <w:color w:val="231F20"/>
          <w:spacing w:val="-17"/>
          <w:w w:val="105"/>
        </w:rPr>
        <w:t> </w:t>
      </w:r>
      <w:r>
        <w:rPr>
          <w:color w:val="231F20"/>
          <w:w w:val="105"/>
        </w:rPr>
        <w:t>procesos.</w:t>
      </w:r>
      <w:r>
        <w:rPr>
          <w:color w:val="231F20"/>
          <w:spacing w:val="-22"/>
          <w:w w:val="105"/>
        </w:rPr>
        <w:t> </w:t>
      </w:r>
      <w:r>
        <w:rPr>
          <w:color w:val="231F20"/>
          <w:w w:val="105"/>
        </w:rPr>
        <w:t>En</w:t>
      </w:r>
      <w:r>
        <w:rPr>
          <w:color w:val="231F20"/>
          <w:spacing w:val="-17"/>
          <w:w w:val="105"/>
        </w:rPr>
        <w:t> </w:t>
      </w:r>
      <w:r>
        <w:rPr>
          <w:color w:val="231F20"/>
          <w:w w:val="105"/>
        </w:rPr>
        <w:t>ese mismo</w:t>
      </w:r>
      <w:r>
        <w:rPr>
          <w:color w:val="231F20"/>
          <w:spacing w:val="-15"/>
          <w:w w:val="105"/>
        </w:rPr>
        <w:t> </w:t>
      </w:r>
      <w:r>
        <w:rPr>
          <w:color w:val="231F20"/>
          <w:w w:val="105"/>
        </w:rPr>
        <w:t>año,</w:t>
      </w:r>
      <w:r>
        <w:rPr>
          <w:color w:val="231F20"/>
          <w:spacing w:val="-20"/>
          <w:w w:val="105"/>
        </w:rPr>
        <w:t> </w:t>
      </w:r>
      <w:r>
        <w:rPr>
          <w:color w:val="231F20"/>
          <w:w w:val="105"/>
        </w:rPr>
        <w:t>aún</w:t>
      </w:r>
      <w:r>
        <w:rPr>
          <w:color w:val="231F20"/>
          <w:spacing w:val="-15"/>
          <w:w w:val="105"/>
        </w:rPr>
        <w:t> </w:t>
      </w:r>
      <w:r>
        <w:rPr>
          <w:color w:val="231F20"/>
          <w:w w:val="105"/>
        </w:rPr>
        <w:t>sin</w:t>
      </w:r>
      <w:r>
        <w:rPr>
          <w:color w:val="231F20"/>
          <w:spacing w:val="-15"/>
          <w:w w:val="105"/>
        </w:rPr>
        <w:t> </w:t>
      </w:r>
      <w:r>
        <w:rPr>
          <w:color w:val="231F20"/>
          <w:w w:val="105"/>
        </w:rPr>
        <w:t>saber</w:t>
      </w:r>
      <w:r>
        <w:rPr>
          <w:color w:val="231F20"/>
          <w:spacing w:val="-15"/>
          <w:w w:val="105"/>
        </w:rPr>
        <w:t> </w:t>
      </w:r>
      <w:r>
        <w:rPr>
          <w:color w:val="231F20"/>
          <w:w w:val="105"/>
        </w:rPr>
        <w:t>los</w:t>
      </w:r>
      <w:r>
        <w:rPr>
          <w:color w:val="231F20"/>
          <w:spacing w:val="-15"/>
          <w:w w:val="105"/>
        </w:rPr>
        <w:t> </w:t>
      </w:r>
      <w:r>
        <w:rPr>
          <w:color w:val="231F20"/>
          <w:w w:val="105"/>
        </w:rPr>
        <w:t>alcances</w:t>
      </w:r>
      <w:r>
        <w:rPr>
          <w:color w:val="231F20"/>
          <w:spacing w:val="-15"/>
          <w:w w:val="105"/>
        </w:rPr>
        <w:t> </w:t>
      </w:r>
      <w:r>
        <w:rPr>
          <w:color w:val="231F20"/>
          <w:w w:val="105"/>
        </w:rPr>
        <w:t>de</w:t>
      </w:r>
      <w:r>
        <w:rPr>
          <w:color w:val="231F20"/>
          <w:spacing w:val="-15"/>
          <w:w w:val="105"/>
        </w:rPr>
        <w:t> </w:t>
      </w:r>
      <w:r>
        <w:rPr>
          <w:color w:val="231F20"/>
          <w:w w:val="105"/>
        </w:rPr>
        <w:t>tal</w:t>
      </w:r>
      <w:r>
        <w:rPr>
          <w:color w:val="231F20"/>
          <w:spacing w:val="-15"/>
          <w:w w:val="105"/>
        </w:rPr>
        <w:t> </w:t>
      </w:r>
      <w:r>
        <w:rPr>
          <w:color w:val="231F20"/>
          <w:w w:val="105"/>
        </w:rPr>
        <w:t>acontecimiento,</w:t>
      </w:r>
    </w:p>
    <w:p>
      <w:pPr>
        <w:pStyle w:val="BodyText"/>
        <w:spacing w:line="261" w:lineRule="auto" w:before="1"/>
        <w:ind w:left="1837" w:right="1721"/>
        <w:jc w:val="both"/>
      </w:pPr>
      <w:r>
        <w:rPr>
          <w:color w:val="231F20"/>
          <w:w w:val="105"/>
        </w:rPr>
        <w:t>se</w:t>
      </w:r>
      <w:r>
        <w:rPr>
          <w:color w:val="231F20"/>
          <w:spacing w:val="-16"/>
          <w:w w:val="105"/>
        </w:rPr>
        <w:t> </w:t>
      </w:r>
      <w:r>
        <w:rPr>
          <w:color w:val="231F20"/>
          <w:w w:val="105"/>
        </w:rPr>
        <w:t>planeó</w:t>
      </w:r>
      <w:r>
        <w:rPr>
          <w:color w:val="231F20"/>
          <w:spacing w:val="-16"/>
          <w:w w:val="105"/>
        </w:rPr>
        <w:t> </w:t>
      </w:r>
      <w:r>
        <w:rPr>
          <w:color w:val="231F20"/>
          <w:w w:val="105"/>
        </w:rPr>
        <w:t>un</w:t>
      </w:r>
      <w:r>
        <w:rPr>
          <w:color w:val="231F20"/>
          <w:spacing w:val="-16"/>
          <w:w w:val="105"/>
        </w:rPr>
        <w:t> </w:t>
      </w:r>
      <w:r>
        <w:rPr>
          <w:color w:val="231F20"/>
          <w:w w:val="105"/>
        </w:rPr>
        <w:t>estudio</w:t>
      </w:r>
      <w:r>
        <w:rPr>
          <w:color w:val="231F20"/>
          <w:spacing w:val="-16"/>
          <w:w w:val="105"/>
        </w:rPr>
        <w:t> </w:t>
      </w:r>
      <w:r>
        <w:rPr>
          <w:color w:val="231F20"/>
          <w:w w:val="105"/>
        </w:rPr>
        <w:t>exploratorio</w:t>
      </w:r>
      <w:r>
        <w:rPr>
          <w:color w:val="231F20"/>
          <w:spacing w:val="-16"/>
          <w:w w:val="105"/>
        </w:rPr>
        <w:t> </w:t>
      </w:r>
      <w:r>
        <w:rPr>
          <w:color w:val="231F20"/>
          <w:w w:val="105"/>
        </w:rPr>
        <w:t>para</w:t>
      </w:r>
      <w:r>
        <w:rPr>
          <w:color w:val="231F20"/>
          <w:spacing w:val="-16"/>
          <w:w w:val="105"/>
        </w:rPr>
        <w:t> </w:t>
      </w:r>
      <w:r>
        <w:rPr>
          <w:color w:val="231F20"/>
          <w:w w:val="105"/>
        </w:rPr>
        <w:t>documentar</w:t>
      </w:r>
      <w:r>
        <w:rPr>
          <w:color w:val="231F20"/>
          <w:spacing w:val="-16"/>
          <w:w w:val="105"/>
        </w:rPr>
        <w:t> </w:t>
      </w:r>
      <w:r>
        <w:rPr>
          <w:color w:val="231F20"/>
          <w:w w:val="105"/>
        </w:rPr>
        <w:t>las</w:t>
      </w:r>
      <w:r>
        <w:rPr>
          <w:color w:val="231F20"/>
          <w:spacing w:val="-16"/>
          <w:w w:val="105"/>
        </w:rPr>
        <w:t> </w:t>
      </w:r>
      <w:r>
        <w:rPr>
          <w:color w:val="231F20"/>
          <w:w w:val="105"/>
        </w:rPr>
        <w:t>modalidades</w:t>
      </w:r>
      <w:r>
        <w:rPr>
          <w:color w:val="231F20"/>
          <w:spacing w:val="-16"/>
          <w:w w:val="105"/>
        </w:rPr>
        <w:t> </w:t>
      </w:r>
      <w:r>
        <w:rPr>
          <w:color w:val="231F20"/>
          <w:w w:val="105"/>
        </w:rPr>
        <w:t>que adoptaba</w:t>
      </w:r>
      <w:r>
        <w:rPr>
          <w:color w:val="231F20"/>
          <w:spacing w:val="-14"/>
          <w:w w:val="105"/>
        </w:rPr>
        <w:t> </w:t>
      </w:r>
      <w:r>
        <w:rPr>
          <w:color w:val="231F20"/>
          <w:w w:val="105"/>
        </w:rPr>
        <w:t>la</w:t>
      </w:r>
      <w:r>
        <w:rPr>
          <w:color w:val="231F20"/>
          <w:spacing w:val="-14"/>
          <w:w w:val="105"/>
        </w:rPr>
        <w:t> </w:t>
      </w:r>
      <w:r>
        <w:rPr>
          <w:color w:val="231F20"/>
          <w:w w:val="105"/>
        </w:rPr>
        <w:t>reinserción</w:t>
      </w:r>
      <w:r>
        <w:rPr>
          <w:color w:val="231F20"/>
          <w:spacing w:val="-14"/>
          <w:w w:val="105"/>
        </w:rPr>
        <w:t> </w:t>
      </w:r>
      <w:r>
        <w:rPr>
          <w:color w:val="231F20"/>
          <w:w w:val="105"/>
        </w:rPr>
        <w:t>laboral</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retornados</w:t>
      </w:r>
      <w:r>
        <w:rPr>
          <w:color w:val="231F20"/>
          <w:spacing w:val="-14"/>
          <w:w w:val="105"/>
        </w:rPr>
        <w:t> </w:t>
      </w:r>
      <w:r>
        <w:rPr>
          <w:color w:val="231F20"/>
          <w:w w:val="105"/>
        </w:rPr>
        <w:t>al</w:t>
      </w:r>
      <w:r>
        <w:rPr>
          <w:color w:val="231F20"/>
          <w:spacing w:val="-14"/>
          <w:w w:val="105"/>
        </w:rPr>
        <w:t> </w:t>
      </w:r>
      <w:r>
        <w:rPr>
          <w:color w:val="231F20"/>
          <w:w w:val="105"/>
        </w:rPr>
        <w:t>municipio metropolitano de Nezahualcóyotl en el Estado de México. El propósito fue comprender el tipo de empleo y ocupación, así como las modalida- des</w:t>
      </w:r>
      <w:r>
        <w:rPr>
          <w:color w:val="231F20"/>
          <w:spacing w:val="-16"/>
          <w:w w:val="105"/>
        </w:rPr>
        <w:t> </w:t>
      </w:r>
      <w:r>
        <w:rPr>
          <w:color w:val="231F20"/>
          <w:w w:val="105"/>
        </w:rPr>
        <w:t>que</w:t>
      </w:r>
      <w:r>
        <w:rPr>
          <w:color w:val="231F20"/>
          <w:spacing w:val="-16"/>
          <w:w w:val="105"/>
        </w:rPr>
        <w:t> </w:t>
      </w:r>
      <w:r>
        <w:rPr>
          <w:color w:val="231F20"/>
          <w:w w:val="105"/>
        </w:rPr>
        <w:t>adquieren</w:t>
      </w:r>
      <w:r>
        <w:rPr>
          <w:color w:val="231F20"/>
          <w:spacing w:val="-16"/>
          <w:w w:val="105"/>
        </w:rPr>
        <w:t> </w:t>
      </w:r>
      <w:r>
        <w:rPr>
          <w:color w:val="231F20"/>
          <w:w w:val="105"/>
        </w:rPr>
        <w:t>las</w:t>
      </w:r>
      <w:r>
        <w:rPr>
          <w:color w:val="231F20"/>
          <w:spacing w:val="-16"/>
          <w:w w:val="105"/>
        </w:rPr>
        <w:t> </w:t>
      </w:r>
      <w:r>
        <w:rPr>
          <w:color w:val="231F20"/>
          <w:w w:val="105"/>
        </w:rPr>
        <w:t>trayectorias</w:t>
      </w:r>
      <w:r>
        <w:rPr>
          <w:color w:val="231F20"/>
          <w:spacing w:val="-16"/>
          <w:w w:val="105"/>
        </w:rPr>
        <w:t> </w:t>
      </w:r>
      <w:r>
        <w:rPr>
          <w:color w:val="231F20"/>
          <w:w w:val="105"/>
        </w:rPr>
        <w:t>laborales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migrantes,</w:t>
      </w:r>
      <w:r>
        <w:rPr>
          <w:color w:val="231F20"/>
          <w:spacing w:val="-21"/>
          <w:w w:val="105"/>
        </w:rPr>
        <w:t> </w:t>
      </w:r>
      <w:r>
        <w:rPr>
          <w:color w:val="231F20"/>
          <w:w w:val="105"/>
        </w:rPr>
        <w:t>con</w:t>
      </w:r>
      <w:r>
        <w:rPr>
          <w:color w:val="231F20"/>
          <w:spacing w:val="-16"/>
          <w:w w:val="105"/>
        </w:rPr>
        <w:t> </w:t>
      </w:r>
      <w:r>
        <w:rPr>
          <w:color w:val="231F20"/>
          <w:w w:val="105"/>
        </w:rPr>
        <w:t>expe- riencia</w:t>
      </w:r>
      <w:r>
        <w:rPr>
          <w:color w:val="231F20"/>
          <w:spacing w:val="-8"/>
          <w:w w:val="105"/>
        </w:rPr>
        <w:t> </w:t>
      </w:r>
      <w:r>
        <w:rPr>
          <w:color w:val="231F20"/>
          <w:w w:val="105"/>
        </w:rPr>
        <w:t>en</w:t>
      </w:r>
      <w:r>
        <w:rPr>
          <w:color w:val="231F20"/>
          <w:spacing w:val="-8"/>
          <w:w w:val="105"/>
        </w:rPr>
        <w:t> </w:t>
      </w:r>
      <w:r>
        <w:rPr>
          <w:color w:val="231F20"/>
          <w:w w:val="105"/>
        </w:rPr>
        <w:t>Estados</w:t>
      </w:r>
      <w:r>
        <w:rPr>
          <w:color w:val="231F20"/>
          <w:spacing w:val="-8"/>
          <w:w w:val="105"/>
        </w:rPr>
        <w:t> </w:t>
      </w:r>
      <w:r>
        <w:rPr>
          <w:color w:val="231F20"/>
          <w:w w:val="105"/>
        </w:rPr>
        <w:t>Unidos,</w:t>
      </w:r>
      <w:r>
        <w:rPr>
          <w:color w:val="231F20"/>
          <w:spacing w:val="-14"/>
          <w:w w:val="105"/>
        </w:rPr>
        <w:t> </w:t>
      </w:r>
      <w:r>
        <w:rPr>
          <w:color w:val="231F20"/>
          <w:w w:val="105"/>
        </w:rPr>
        <w:t>respecto</w:t>
      </w:r>
      <w:r>
        <w:rPr>
          <w:color w:val="231F20"/>
          <w:spacing w:val="-8"/>
          <w:w w:val="105"/>
        </w:rPr>
        <w:t> </w:t>
      </w:r>
      <w:r>
        <w:rPr>
          <w:color w:val="231F20"/>
          <w:w w:val="105"/>
        </w:rPr>
        <w:t>de</w:t>
      </w:r>
      <w:r>
        <w:rPr>
          <w:color w:val="231F20"/>
          <w:spacing w:val="-8"/>
          <w:w w:val="105"/>
        </w:rPr>
        <w:t> </w:t>
      </w:r>
      <w:r>
        <w:rPr>
          <w:color w:val="231F20"/>
          <w:w w:val="105"/>
        </w:rPr>
        <w:t>quienes</w:t>
      </w:r>
      <w:r>
        <w:rPr>
          <w:color w:val="231F20"/>
          <w:spacing w:val="-8"/>
          <w:w w:val="105"/>
        </w:rPr>
        <w:t> </w:t>
      </w:r>
      <w:r>
        <w:rPr>
          <w:color w:val="231F20"/>
          <w:w w:val="105"/>
        </w:rPr>
        <w:t>no</w:t>
      </w:r>
      <w:r>
        <w:rPr>
          <w:color w:val="231F20"/>
          <w:spacing w:val="-8"/>
          <w:w w:val="105"/>
        </w:rPr>
        <w:t> </w:t>
      </w:r>
      <w:r>
        <w:rPr>
          <w:color w:val="231F20"/>
          <w:w w:val="105"/>
        </w:rPr>
        <w:t>han</w:t>
      </w:r>
      <w:r>
        <w:rPr>
          <w:color w:val="231F20"/>
          <w:spacing w:val="-8"/>
          <w:w w:val="105"/>
        </w:rPr>
        <w:t> </w:t>
      </w:r>
      <w:r>
        <w:rPr>
          <w:color w:val="231F20"/>
          <w:w w:val="105"/>
        </w:rPr>
        <w:t>salido</w:t>
      </w:r>
      <w:r>
        <w:rPr>
          <w:color w:val="231F20"/>
          <w:spacing w:val="-8"/>
          <w:w w:val="105"/>
        </w:rPr>
        <w:t> </w:t>
      </w:r>
      <w:r>
        <w:rPr>
          <w:color w:val="231F20"/>
          <w:w w:val="105"/>
        </w:rPr>
        <w:t>del</w:t>
      </w:r>
      <w:r>
        <w:rPr>
          <w:color w:val="231F20"/>
          <w:spacing w:val="-8"/>
          <w:w w:val="105"/>
        </w:rPr>
        <w:t> </w:t>
      </w:r>
      <w:r>
        <w:rPr>
          <w:color w:val="231F20"/>
          <w:w w:val="105"/>
        </w:rPr>
        <w:t>país</w:t>
      </w:r>
      <w:r>
        <w:rPr>
          <w:color w:val="231F20"/>
          <w:spacing w:val="-8"/>
          <w:w w:val="105"/>
        </w:rPr>
        <w:t> </w:t>
      </w:r>
      <w:r>
        <w:rPr>
          <w:color w:val="231F20"/>
          <w:w w:val="105"/>
        </w:rPr>
        <w:t>y viven</w:t>
      </w:r>
      <w:r>
        <w:rPr>
          <w:color w:val="231F20"/>
          <w:spacing w:val="-39"/>
          <w:w w:val="105"/>
        </w:rPr>
        <w:t> </w:t>
      </w:r>
      <w:r>
        <w:rPr>
          <w:color w:val="231F20"/>
          <w:w w:val="105"/>
        </w:rPr>
        <w:t>en</w:t>
      </w:r>
      <w:r>
        <w:rPr>
          <w:color w:val="231F20"/>
          <w:spacing w:val="-39"/>
          <w:w w:val="105"/>
        </w:rPr>
        <w:t> </w:t>
      </w:r>
      <w:r>
        <w:rPr>
          <w:color w:val="231F20"/>
          <w:w w:val="105"/>
        </w:rPr>
        <w:t>estos</w:t>
      </w:r>
      <w:r>
        <w:rPr>
          <w:color w:val="231F20"/>
          <w:spacing w:val="-39"/>
          <w:w w:val="105"/>
        </w:rPr>
        <w:t> </w:t>
      </w:r>
      <w:r>
        <w:rPr>
          <w:color w:val="231F20"/>
          <w:w w:val="105"/>
        </w:rPr>
        <w:t>contextos</w:t>
      </w:r>
      <w:r>
        <w:rPr>
          <w:color w:val="231F20"/>
          <w:spacing w:val="-39"/>
          <w:w w:val="105"/>
        </w:rPr>
        <w:t> </w:t>
      </w:r>
      <w:r>
        <w:rPr>
          <w:color w:val="231F20"/>
          <w:w w:val="105"/>
        </w:rPr>
        <w:t>urbanos</w:t>
      </w:r>
      <w:r>
        <w:rPr>
          <w:color w:val="231F20"/>
          <w:spacing w:val="-39"/>
          <w:w w:val="105"/>
        </w:rPr>
        <w:t> </w:t>
      </w:r>
      <w:r>
        <w:rPr>
          <w:color w:val="231F20"/>
          <w:w w:val="105"/>
        </w:rPr>
        <w:t>de</w:t>
      </w:r>
      <w:r>
        <w:rPr>
          <w:color w:val="231F20"/>
          <w:spacing w:val="-39"/>
          <w:w w:val="105"/>
        </w:rPr>
        <w:t> </w:t>
      </w:r>
      <w:r>
        <w:rPr>
          <w:color w:val="231F20"/>
          <w:w w:val="105"/>
        </w:rPr>
        <w:t>México;</w:t>
      </w:r>
      <w:r>
        <w:rPr>
          <w:color w:val="231F20"/>
          <w:spacing w:val="-39"/>
          <w:w w:val="105"/>
        </w:rPr>
        <w:t> </w:t>
      </w:r>
      <w:r>
        <w:rPr>
          <w:color w:val="231F20"/>
          <w:w w:val="105"/>
        </w:rPr>
        <w:t>esto</w:t>
      </w:r>
      <w:r>
        <w:rPr>
          <w:color w:val="231F20"/>
          <w:spacing w:val="-39"/>
          <w:w w:val="105"/>
        </w:rPr>
        <w:t> </w:t>
      </w:r>
      <w:r>
        <w:rPr>
          <w:color w:val="231F20"/>
          <w:w w:val="105"/>
        </w:rPr>
        <w:t>es,</w:t>
      </w:r>
      <w:r>
        <w:rPr>
          <w:color w:val="231F20"/>
          <w:spacing w:val="-43"/>
          <w:w w:val="105"/>
        </w:rPr>
        <w:t> </w:t>
      </w:r>
      <w:r>
        <w:rPr>
          <w:color w:val="231F20"/>
          <w:w w:val="105"/>
        </w:rPr>
        <w:t>cómo</w:t>
      </w:r>
      <w:r>
        <w:rPr>
          <w:color w:val="231F20"/>
          <w:spacing w:val="-39"/>
          <w:w w:val="105"/>
        </w:rPr>
        <w:t> </w:t>
      </w:r>
      <w:r>
        <w:rPr>
          <w:color w:val="231F20"/>
          <w:w w:val="105"/>
        </w:rPr>
        <w:t>tales</w:t>
      </w:r>
      <w:r>
        <w:rPr>
          <w:color w:val="231F20"/>
          <w:spacing w:val="-39"/>
          <w:w w:val="105"/>
        </w:rPr>
        <w:t> </w:t>
      </w:r>
      <w:r>
        <w:rPr>
          <w:color w:val="231F20"/>
          <w:w w:val="105"/>
        </w:rPr>
        <w:t>contextos delinean</w:t>
      </w:r>
      <w:r>
        <w:rPr>
          <w:color w:val="231F20"/>
          <w:spacing w:val="-20"/>
          <w:w w:val="105"/>
        </w:rPr>
        <w:t> </w:t>
      </w:r>
      <w:r>
        <w:rPr>
          <w:color w:val="231F20"/>
          <w:w w:val="105"/>
        </w:rPr>
        <w:t>las</w:t>
      </w:r>
      <w:r>
        <w:rPr>
          <w:color w:val="231F20"/>
          <w:spacing w:val="-20"/>
          <w:w w:val="105"/>
        </w:rPr>
        <w:t> </w:t>
      </w:r>
      <w:r>
        <w:rPr>
          <w:color w:val="231F20"/>
          <w:w w:val="105"/>
        </w:rPr>
        <w:t>experiencias</w:t>
      </w:r>
      <w:r>
        <w:rPr>
          <w:color w:val="231F20"/>
          <w:spacing w:val="-20"/>
          <w:w w:val="105"/>
        </w:rPr>
        <w:t> </w:t>
      </w:r>
      <w:r>
        <w:rPr>
          <w:color w:val="231F20"/>
          <w:w w:val="105"/>
        </w:rPr>
        <w:t>de</w:t>
      </w:r>
      <w:r>
        <w:rPr>
          <w:color w:val="231F20"/>
          <w:spacing w:val="-20"/>
          <w:w w:val="105"/>
        </w:rPr>
        <w:t> </w:t>
      </w:r>
      <w:r>
        <w:rPr>
          <w:color w:val="231F20"/>
          <w:w w:val="105"/>
        </w:rPr>
        <w:t>retorno</w:t>
      </w:r>
      <w:r>
        <w:rPr>
          <w:color w:val="231F20"/>
          <w:spacing w:val="-20"/>
          <w:w w:val="105"/>
        </w:rPr>
        <w:t> </w:t>
      </w:r>
      <w:r>
        <w:rPr>
          <w:color w:val="231F20"/>
          <w:w w:val="105"/>
        </w:rPr>
        <w:t>y</w:t>
      </w:r>
      <w:r>
        <w:rPr>
          <w:color w:val="231F20"/>
          <w:spacing w:val="-20"/>
          <w:w w:val="105"/>
        </w:rPr>
        <w:t> </w:t>
      </w:r>
      <w:r>
        <w:rPr>
          <w:color w:val="231F20"/>
          <w:w w:val="105"/>
        </w:rPr>
        <w:t>reinserción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migrantes</w:t>
      </w:r>
      <w:r>
        <w:rPr>
          <w:color w:val="231F20"/>
          <w:spacing w:val="-20"/>
          <w:w w:val="105"/>
        </w:rPr>
        <w:t> </w:t>
      </w:r>
      <w:r>
        <w:rPr>
          <w:color w:val="231F20"/>
          <w:w w:val="105"/>
        </w:rPr>
        <w:t>retor- nados</w:t>
      </w:r>
      <w:r>
        <w:rPr>
          <w:color w:val="231F20"/>
          <w:spacing w:val="-28"/>
          <w:w w:val="105"/>
        </w:rPr>
        <w:t> </w:t>
      </w:r>
      <w:r>
        <w:rPr>
          <w:color w:val="231F20"/>
          <w:w w:val="105"/>
        </w:rPr>
        <w:t>de</w:t>
      </w:r>
      <w:r>
        <w:rPr>
          <w:color w:val="231F20"/>
          <w:spacing w:val="-28"/>
          <w:w w:val="105"/>
        </w:rPr>
        <w:t> </w:t>
      </w:r>
      <w:r>
        <w:rPr>
          <w:color w:val="231F20"/>
          <w:w w:val="105"/>
        </w:rPr>
        <w:t>Estados</w:t>
      </w:r>
      <w:r>
        <w:rPr>
          <w:color w:val="231F20"/>
          <w:spacing w:val="-28"/>
          <w:w w:val="105"/>
        </w:rPr>
        <w:t> </w:t>
      </w:r>
      <w:r>
        <w:rPr>
          <w:color w:val="231F20"/>
          <w:w w:val="105"/>
        </w:rPr>
        <w:t>Unidos.</w:t>
      </w:r>
    </w:p>
    <w:p>
      <w:pPr>
        <w:pStyle w:val="BodyText"/>
        <w:spacing w:line="261" w:lineRule="auto" w:before="1"/>
        <w:ind w:left="1837" w:right="1721" w:firstLine="567"/>
        <w:jc w:val="both"/>
      </w:pPr>
      <w:r>
        <w:rPr>
          <w:color w:val="231F20"/>
          <w:w w:val="105"/>
        </w:rPr>
        <w:t>Hace</w:t>
      </w:r>
      <w:r>
        <w:rPr>
          <w:color w:val="231F20"/>
          <w:spacing w:val="-24"/>
          <w:w w:val="105"/>
        </w:rPr>
        <w:t> </w:t>
      </w:r>
      <w:r>
        <w:rPr>
          <w:color w:val="231F20"/>
          <w:w w:val="105"/>
        </w:rPr>
        <w:t>siete</w:t>
      </w:r>
      <w:r>
        <w:rPr>
          <w:color w:val="231F20"/>
          <w:spacing w:val="-24"/>
          <w:w w:val="105"/>
        </w:rPr>
        <w:t> </w:t>
      </w:r>
      <w:r>
        <w:rPr>
          <w:color w:val="231F20"/>
          <w:w w:val="105"/>
        </w:rPr>
        <w:t>años</w:t>
      </w:r>
      <w:r>
        <w:rPr>
          <w:color w:val="231F20"/>
          <w:spacing w:val="-24"/>
          <w:w w:val="105"/>
        </w:rPr>
        <w:t> </w:t>
      </w:r>
      <w:r>
        <w:rPr>
          <w:color w:val="231F20"/>
          <w:w w:val="105"/>
        </w:rPr>
        <w:t>dichos</w:t>
      </w:r>
      <w:r>
        <w:rPr>
          <w:color w:val="231F20"/>
          <w:spacing w:val="-24"/>
          <w:w w:val="105"/>
        </w:rPr>
        <w:t> </w:t>
      </w:r>
      <w:r>
        <w:rPr>
          <w:color w:val="231F20"/>
          <w:w w:val="105"/>
        </w:rPr>
        <w:t>temas</w:t>
      </w:r>
      <w:r>
        <w:rPr>
          <w:color w:val="231F20"/>
          <w:spacing w:val="-24"/>
          <w:w w:val="105"/>
        </w:rPr>
        <w:t> </w:t>
      </w:r>
      <w:r>
        <w:rPr>
          <w:color w:val="231F20"/>
          <w:w w:val="105"/>
        </w:rPr>
        <w:t>tenían</w:t>
      </w:r>
      <w:r>
        <w:rPr>
          <w:color w:val="231F20"/>
          <w:spacing w:val="-24"/>
          <w:w w:val="105"/>
        </w:rPr>
        <w:t> </w:t>
      </w:r>
      <w:r>
        <w:rPr>
          <w:color w:val="231F20"/>
          <w:w w:val="105"/>
        </w:rPr>
        <w:t>una</w:t>
      </w:r>
      <w:r>
        <w:rPr>
          <w:color w:val="231F20"/>
          <w:spacing w:val="-24"/>
          <w:w w:val="105"/>
        </w:rPr>
        <w:t> </w:t>
      </w:r>
      <w:r>
        <w:rPr>
          <w:color w:val="231F20"/>
          <w:w w:val="105"/>
        </w:rPr>
        <w:t>importancia</w:t>
      </w:r>
      <w:r>
        <w:rPr>
          <w:color w:val="231F20"/>
          <w:spacing w:val="-24"/>
          <w:w w:val="105"/>
        </w:rPr>
        <w:t> </w:t>
      </w:r>
      <w:r>
        <w:rPr>
          <w:color w:val="231F20"/>
          <w:w w:val="105"/>
        </w:rPr>
        <w:t>acotada</w:t>
      </w:r>
      <w:r>
        <w:rPr>
          <w:color w:val="231F20"/>
          <w:spacing w:val="-24"/>
          <w:w w:val="105"/>
        </w:rPr>
        <w:t> </w:t>
      </w:r>
      <w:r>
        <w:rPr>
          <w:color w:val="231F20"/>
          <w:w w:val="105"/>
        </w:rPr>
        <w:t>a</w:t>
      </w:r>
      <w:r>
        <w:rPr>
          <w:color w:val="231F20"/>
          <w:spacing w:val="-24"/>
          <w:w w:val="105"/>
        </w:rPr>
        <w:t> </w:t>
      </w:r>
      <w:r>
        <w:rPr>
          <w:color w:val="231F20"/>
          <w:w w:val="105"/>
        </w:rPr>
        <w:t>los estudiosos</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w w:val="105"/>
        </w:rPr>
        <w:t>migraciones,</w:t>
      </w:r>
      <w:r>
        <w:rPr>
          <w:color w:val="231F20"/>
          <w:spacing w:val="-36"/>
          <w:w w:val="105"/>
        </w:rPr>
        <w:t> </w:t>
      </w:r>
      <w:r>
        <w:rPr>
          <w:color w:val="231F20"/>
          <w:w w:val="105"/>
        </w:rPr>
        <w:t>mismos</w:t>
      </w:r>
      <w:r>
        <w:rPr>
          <w:color w:val="231F20"/>
          <w:spacing w:val="-31"/>
          <w:w w:val="105"/>
        </w:rPr>
        <w:t> </w:t>
      </w:r>
      <w:r>
        <w:rPr>
          <w:color w:val="231F20"/>
          <w:w w:val="105"/>
        </w:rPr>
        <w:t>que</w:t>
      </w:r>
      <w:r>
        <w:rPr>
          <w:color w:val="231F20"/>
          <w:spacing w:val="-31"/>
          <w:w w:val="105"/>
        </w:rPr>
        <w:t> </w:t>
      </w:r>
      <w:r>
        <w:rPr>
          <w:color w:val="231F20"/>
          <w:w w:val="105"/>
        </w:rPr>
        <w:t>oportunamente</w:t>
      </w:r>
      <w:r>
        <w:rPr>
          <w:color w:val="231F20"/>
          <w:spacing w:val="-31"/>
          <w:w w:val="105"/>
        </w:rPr>
        <w:t> </w:t>
      </w:r>
      <w:r>
        <w:rPr>
          <w:color w:val="231F20"/>
          <w:w w:val="105"/>
        </w:rPr>
        <w:t>contrastaban las</w:t>
      </w:r>
      <w:r>
        <w:rPr>
          <w:color w:val="231F20"/>
          <w:spacing w:val="-15"/>
          <w:w w:val="105"/>
        </w:rPr>
        <w:t> </w:t>
      </w:r>
      <w:r>
        <w:rPr>
          <w:color w:val="231F20"/>
          <w:w w:val="105"/>
        </w:rPr>
        <w:t>experiencias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retornados</w:t>
      </w:r>
      <w:r>
        <w:rPr>
          <w:color w:val="231F20"/>
          <w:spacing w:val="-15"/>
          <w:w w:val="105"/>
        </w:rPr>
        <w:t> </w:t>
      </w:r>
      <w:r>
        <w:rPr>
          <w:color w:val="231F20"/>
          <w:w w:val="105"/>
        </w:rPr>
        <w:t>a</w:t>
      </w:r>
      <w:r>
        <w:rPr>
          <w:color w:val="231F20"/>
          <w:spacing w:val="-15"/>
          <w:w w:val="105"/>
        </w:rPr>
        <w:t> </w:t>
      </w:r>
      <w:r>
        <w:rPr>
          <w:color w:val="231F20"/>
          <w:w w:val="105"/>
        </w:rPr>
        <w:t>localidades</w:t>
      </w:r>
      <w:r>
        <w:rPr>
          <w:color w:val="231F20"/>
          <w:spacing w:val="-15"/>
          <w:w w:val="105"/>
        </w:rPr>
        <w:t> </w:t>
      </w:r>
      <w:r>
        <w:rPr>
          <w:color w:val="231F20"/>
          <w:w w:val="105"/>
        </w:rPr>
        <w:t>urbanas</w:t>
      </w:r>
      <w:r>
        <w:rPr>
          <w:color w:val="231F20"/>
          <w:spacing w:val="-15"/>
          <w:w w:val="105"/>
        </w:rPr>
        <w:t> </w:t>
      </w:r>
      <w:r>
        <w:rPr>
          <w:color w:val="231F20"/>
          <w:w w:val="105"/>
        </w:rPr>
        <w:t>y</w:t>
      </w:r>
      <w:r>
        <w:rPr>
          <w:color w:val="231F20"/>
          <w:spacing w:val="-15"/>
          <w:w w:val="105"/>
        </w:rPr>
        <w:t> </w:t>
      </w:r>
      <w:r>
        <w:rPr>
          <w:color w:val="231F20"/>
          <w:w w:val="105"/>
        </w:rPr>
        <w:t>a</w:t>
      </w:r>
      <w:r>
        <w:rPr>
          <w:color w:val="231F20"/>
          <w:spacing w:val="-15"/>
          <w:w w:val="105"/>
        </w:rPr>
        <w:t> </w:t>
      </w:r>
      <w:r>
        <w:rPr>
          <w:color w:val="231F20"/>
          <w:w w:val="105"/>
        </w:rPr>
        <w:t>localidades rurales del país. Actualmente, el retorno migratorio y la inserción labo- ral</w:t>
      </w:r>
      <w:r>
        <w:rPr>
          <w:color w:val="231F20"/>
          <w:spacing w:val="-14"/>
          <w:w w:val="105"/>
        </w:rPr>
        <w:t> </w:t>
      </w:r>
      <w:r>
        <w:rPr>
          <w:color w:val="231F20"/>
          <w:w w:val="105"/>
        </w:rPr>
        <w:t>se</w:t>
      </w:r>
      <w:r>
        <w:rPr>
          <w:color w:val="231F20"/>
          <w:spacing w:val="-14"/>
          <w:w w:val="105"/>
        </w:rPr>
        <w:t> </w:t>
      </w:r>
      <w:r>
        <w:rPr>
          <w:color w:val="231F20"/>
          <w:w w:val="105"/>
        </w:rPr>
        <w:t>reconocen</w:t>
      </w:r>
      <w:r>
        <w:rPr>
          <w:color w:val="231F20"/>
          <w:spacing w:val="-14"/>
          <w:w w:val="105"/>
        </w:rPr>
        <w:t> </w:t>
      </w:r>
      <w:r>
        <w:rPr>
          <w:color w:val="231F20"/>
          <w:w w:val="105"/>
        </w:rPr>
        <w:t>como</w:t>
      </w:r>
      <w:r>
        <w:rPr>
          <w:color w:val="231F20"/>
          <w:spacing w:val="-14"/>
          <w:w w:val="105"/>
        </w:rPr>
        <w:t> </w:t>
      </w:r>
      <w:r>
        <w:rPr>
          <w:color w:val="231F20"/>
          <w:w w:val="105"/>
        </w:rPr>
        <w:t>temas</w:t>
      </w:r>
      <w:r>
        <w:rPr>
          <w:color w:val="231F20"/>
          <w:spacing w:val="-14"/>
          <w:w w:val="105"/>
        </w:rPr>
        <w:t> </w:t>
      </w:r>
      <w:r>
        <w:rPr>
          <w:color w:val="231F20"/>
          <w:w w:val="105"/>
        </w:rPr>
        <w:t>relevantes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agenda</w:t>
      </w:r>
      <w:r>
        <w:rPr>
          <w:color w:val="231F20"/>
          <w:spacing w:val="-14"/>
          <w:w w:val="105"/>
        </w:rPr>
        <w:t> </w:t>
      </w:r>
      <w:r>
        <w:rPr>
          <w:color w:val="231F20"/>
          <w:w w:val="105"/>
        </w:rPr>
        <w:t>académica</w:t>
      </w:r>
      <w:r>
        <w:rPr>
          <w:color w:val="231F20"/>
          <w:spacing w:val="-14"/>
          <w:w w:val="105"/>
        </w:rPr>
        <w:t> </w:t>
      </w:r>
      <w:r>
        <w:rPr>
          <w:color w:val="231F20"/>
          <w:w w:val="105"/>
        </w:rPr>
        <w:t>de</w:t>
      </w:r>
      <w:r>
        <w:rPr>
          <w:color w:val="231F20"/>
          <w:spacing w:val="-14"/>
          <w:w w:val="105"/>
        </w:rPr>
        <w:t> </w:t>
      </w:r>
      <w:r>
        <w:rPr>
          <w:color w:val="231F20"/>
          <w:w w:val="105"/>
        </w:rPr>
        <w:t>los estudios migratorios contemporáneos, por lo cual se han multiplicado las</w:t>
      </w:r>
      <w:r>
        <w:rPr>
          <w:color w:val="231F20"/>
          <w:spacing w:val="-25"/>
          <w:w w:val="105"/>
        </w:rPr>
        <w:t> </w:t>
      </w:r>
      <w:r>
        <w:rPr>
          <w:color w:val="231F20"/>
          <w:w w:val="105"/>
        </w:rPr>
        <w:t>investigaciones</w:t>
      </w:r>
      <w:r>
        <w:rPr>
          <w:color w:val="231F20"/>
          <w:spacing w:val="-25"/>
          <w:w w:val="105"/>
        </w:rPr>
        <w:t> </w:t>
      </w:r>
      <w:r>
        <w:rPr>
          <w:color w:val="231F20"/>
          <w:w w:val="105"/>
        </w:rPr>
        <w:t>en</w:t>
      </w:r>
      <w:r>
        <w:rPr>
          <w:color w:val="231F20"/>
          <w:spacing w:val="-25"/>
          <w:w w:val="105"/>
        </w:rPr>
        <w:t> </w:t>
      </w:r>
      <w:r>
        <w:rPr>
          <w:color w:val="231F20"/>
          <w:w w:val="105"/>
        </w:rPr>
        <w:t>diversas</w:t>
      </w:r>
      <w:r>
        <w:rPr>
          <w:color w:val="231F20"/>
          <w:spacing w:val="-25"/>
          <w:w w:val="105"/>
        </w:rPr>
        <w:t> </w:t>
      </w:r>
      <w:r>
        <w:rPr>
          <w:color w:val="231F20"/>
          <w:w w:val="105"/>
        </w:rPr>
        <w:t>regiones</w:t>
      </w:r>
      <w:r>
        <w:rPr>
          <w:color w:val="231F20"/>
          <w:spacing w:val="-25"/>
          <w:w w:val="105"/>
        </w:rPr>
        <w:t> </w:t>
      </w:r>
      <w:r>
        <w:rPr>
          <w:color w:val="231F20"/>
          <w:w w:val="105"/>
        </w:rPr>
        <w:t>de</w:t>
      </w:r>
      <w:r>
        <w:rPr>
          <w:color w:val="231F20"/>
          <w:spacing w:val="-25"/>
          <w:w w:val="105"/>
        </w:rPr>
        <w:t> </w:t>
      </w:r>
      <w:r>
        <w:rPr>
          <w:color w:val="231F20"/>
          <w:w w:val="105"/>
        </w:rPr>
        <w:t>México,</w:t>
      </w:r>
      <w:r>
        <w:rPr>
          <w:color w:val="231F20"/>
          <w:spacing w:val="-31"/>
          <w:w w:val="105"/>
        </w:rPr>
        <w:t> </w:t>
      </w:r>
      <w:r>
        <w:rPr>
          <w:color w:val="231F20"/>
          <w:w w:val="105"/>
        </w:rPr>
        <w:t>América</w:t>
      </w:r>
      <w:r>
        <w:rPr>
          <w:color w:val="231F20"/>
          <w:spacing w:val="-25"/>
          <w:w w:val="105"/>
        </w:rPr>
        <w:t> </w:t>
      </w:r>
      <w:r>
        <w:rPr>
          <w:color w:val="231F20"/>
          <w:w w:val="105"/>
        </w:rPr>
        <w:t>Latina,</w:t>
      </w:r>
      <w:r>
        <w:rPr>
          <w:color w:val="231F20"/>
          <w:spacing w:val="-31"/>
          <w:w w:val="105"/>
        </w:rPr>
        <w:t> </w:t>
      </w:r>
      <w:r>
        <w:rPr>
          <w:color w:val="231F20"/>
          <w:w w:val="105"/>
        </w:rPr>
        <w:t>Asia y</w:t>
      </w:r>
      <w:r>
        <w:rPr>
          <w:color w:val="231F20"/>
          <w:spacing w:val="-10"/>
          <w:w w:val="105"/>
        </w:rPr>
        <w:t> </w:t>
      </w:r>
      <w:r>
        <w:rPr>
          <w:color w:val="231F20"/>
          <w:w w:val="105"/>
        </w:rPr>
        <w:t>África</w:t>
      </w:r>
      <w:r>
        <w:rPr>
          <w:color w:val="231F20"/>
          <w:spacing w:val="-7"/>
          <w:w w:val="105"/>
        </w:rPr>
        <w:t> </w:t>
      </w:r>
      <w:r>
        <w:rPr>
          <w:color w:val="231F20"/>
          <w:w w:val="105"/>
        </w:rPr>
        <w:t>(Xiang,</w:t>
      </w:r>
      <w:r>
        <w:rPr>
          <w:color w:val="231F20"/>
          <w:spacing w:val="-13"/>
          <w:w w:val="105"/>
        </w:rPr>
        <w:t> </w:t>
      </w:r>
      <w:r>
        <w:rPr>
          <w:color w:val="231F20"/>
          <w:w w:val="105"/>
        </w:rPr>
        <w:t>2013</w:t>
      </w:r>
      <w:r>
        <w:rPr>
          <w:color w:val="231F20"/>
          <w:spacing w:val="-7"/>
          <w:w w:val="105"/>
        </w:rPr>
        <w:t> </w:t>
      </w:r>
      <w:r>
        <w:rPr>
          <w:color w:val="231F20"/>
          <w:w w:val="105"/>
        </w:rPr>
        <w:t>y</w:t>
      </w:r>
      <w:r>
        <w:rPr>
          <w:color w:val="231F20"/>
          <w:spacing w:val="-7"/>
          <w:w w:val="105"/>
        </w:rPr>
        <w:t> </w:t>
      </w:r>
      <w:r>
        <w:rPr>
          <w:color w:val="231F20"/>
          <w:w w:val="105"/>
        </w:rPr>
        <w:t>2014;</w:t>
      </w:r>
      <w:r>
        <w:rPr>
          <w:color w:val="231F20"/>
          <w:spacing w:val="-7"/>
          <w:w w:val="105"/>
        </w:rPr>
        <w:t> </w:t>
      </w:r>
      <w:r>
        <w:rPr>
          <w:color w:val="231F20"/>
          <w:w w:val="105"/>
        </w:rPr>
        <w:t>Mestries,</w:t>
      </w:r>
      <w:r>
        <w:rPr>
          <w:color w:val="231F20"/>
          <w:spacing w:val="-13"/>
          <w:w w:val="105"/>
        </w:rPr>
        <w:t> </w:t>
      </w:r>
      <w:r>
        <w:rPr>
          <w:color w:val="231F20"/>
          <w:w w:val="105"/>
        </w:rPr>
        <w:t>2013;</w:t>
      </w:r>
      <w:r>
        <w:rPr>
          <w:color w:val="231F20"/>
          <w:spacing w:val="-7"/>
          <w:w w:val="105"/>
        </w:rPr>
        <w:t> </w:t>
      </w:r>
      <w:r>
        <w:rPr>
          <w:color w:val="231F20"/>
          <w:w w:val="105"/>
        </w:rPr>
        <w:t>Herrera,</w:t>
      </w:r>
      <w:r>
        <w:rPr>
          <w:color w:val="231F20"/>
          <w:spacing w:val="-13"/>
          <w:w w:val="105"/>
        </w:rPr>
        <w:t> </w:t>
      </w:r>
      <w:r>
        <w:rPr>
          <w:color w:val="231F20"/>
          <w:w w:val="105"/>
        </w:rPr>
        <w:t>2013;</w:t>
      </w:r>
      <w:r>
        <w:rPr>
          <w:color w:val="231F20"/>
          <w:spacing w:val="-10"/>
          <w:w w:val="105"/>
        </w:rPr>
        <w:t> </w:t>
      </w:r>
      <w:r>
        <w:rPr>
          <w:color w:val="231F20"/>
          <w:w w:val="105"/>
        </w:rPr>
        <w:t>Villa,</w:t>
      </w:r>
      <w:r>
        <w:rPr>
          <w:color w:val="231F20"/>
          <w:spacing w:val="-13"/>
          <w:w w:val="105"/>
        </w:rPr>
        <w:t> </w:t>
      </w:r>
      <w:r>
        <w:rPr>
          <w:color w:val="231F20"/>
          <w:w w:val="105"/>
        </w:rPr>
        <w:t>2013; Zaiceva</w:t>
      </w:r>
      <w:r>
        <w:rPr>
          <w:color w:val="231F20"/>
          <w:spacing w:val="-6"/>
          <w:w w:val="105"/>
        </w:rPr>
        <w:t> </w:t>
      </w:r>
      <w:r>
        <w:rPr>
          <w:color w:val="231F20"/>
          <w:w w:val="105"/>
        </w:rPr>
        <w:t>y</w:t>
      </w:r>
      <w:r>
        <w:rPr>
          <w:color w:val="231F20"/>
          <w:spacing w:val="-6"/>
          <w:w w:val="105"/>
        </w:rPr>
        <w:t> </w:t>
      </w:r>
      <w:r>
        <w:rPr>
          <w:color w:val="231F20"/>
          <w:w w:val="105"/>
        </w:rPr>
        <w:t>Zimmermann,</w:t>
      </w:r>
      <w:r>
        <w:rPr>
          <w:color w:val="231F20"/>
          <w:spacing w:val="-10"/>
          <w:w w:val="105"/>
        </w:rPr>
        <w:t> </w:t>
      </w:r>
      <w:r>
        <w:rPr>
          <w:color w:val="231F20"/>
          <w:w w:val="105"/>
        </w:rPr>
        <w:t>2012).</w:t>
      </w:r>
      <w:r>
        <w:rPr>
          <w:color w:val="231F20"/>
          <w:spacing w:val="-10"/>
          <w:w w:val="105"/>
        </w:rPr>
        <w:t> </w:t>
      </w:r>
      <w:r>
        <w:rPr>
          <w:color w:val="231F20"/>
          <w:w w:val="105"/>
        </w:rPr>
        <w:t>De</w:t>
      </w:r>
      <w:r>
        <w:rPr>
          <w:color w:val="231F20"/>
          <w:spacing w:val="-6"/>
          <w:w w:val="105"/>
        </w:rPr>
        <w:t> </w:t>
      </w:r>
      <w:r>
        <w:rPr>
          <w:color w:val="231F20"/>
          <w:w w:val="105"/>
        </w:rPr>
        <w:t>manera</w:t>
      </w:r>
      <w:r>
        <w:rPr>
          <w:color w:val="231F20"/>
          <w:spacing w:val="-6"/>
          <w:w w:val="105"/>
        </w:rPr>
        <w:t> </w:t>
      </w:r>
      <w:r>
        <w:rPr>
          <w:color w:val="231F20"/>
          <w:w w:val="105"/>
        </w:rPr>
        <w:t>paralela,</w:t>
      </w:r>
      <w:r>
        <w:rPr>
          <w:color w:val="231F20"/>
          <w:spacing w:val="-10"/>
          <w:w w:val="105"/>
        </w:rPr>
        <w:t> </w:t>
      </w:r>
      <w:r>
        <w:rPr>
          <w:color w:val="231F20"/>
          <w:w w:val="105"/>
        </w:rPr>
        <w:t>ambos</w:t>
      </w:r>
      <w:r>
        <w:rPr>
          <w:color w:val="231F20"/>
          <w:spacing w:val="-6"/>
          <w:w w:val="105"/>
        </w:rPr>
        <w:t> </w:t>
      </w:r>
      <w:r>
        <w:rPr>
          <w:color w:val="231F20"/>
          <w:w w:val="105"/>
        </w:rPr>
        <w:t>fenómenos también son reconocidos como problemas que atraen la atención en- tre</w:t>
      </w:r>
      <w:r>
        <w:rPr>
          <w:color w:val="231F20"/>
          <w:spacing w:val="-17"/>
          <w:w w:val="105"/>
        </w:rPr>
        <w:t> </w:t>
      </w:r>
      <w:r>
        <w:rPr>
          <w:color w:val="231F20"/>
          <w:w w:val="105"/>
        </w:rPr>
        <w:t>los</w:t>
      </w:r>
      <w:r>
        <w:rPr>
          <w:color w:val="231F20"/>
          <w:spacing w:val="-17"/>
          <w:w w:val="105"/>
        </w:rPr>
        <w:t> </w:t>
      </w:r>
      <w:r>
        <w:rPr>
          <w:color w:val="231F20"/>
          <w:w w:val="105"/>
        </w:rPr>
        <w:t>diseñadores</w:t>
      </w:r>
      <w:r>
        <w:rPr>
          <w:color w:val="231F20"/>
          <w:spacing w:val="-17"/>
          <w:w w:val="105"/>
        </w:rPr>
        <w:t> </w:t>
      </w:r>
      <w:r>
        <w:rPr>
          <w:color w:val="231F20"/>
          <w:w w:val="105"/>
        </w:rPr>
        <w:t>de</w:t>
      </w:r>
      <w:r>
        <w:rPr>
          <w:color w:val="231F20"/>
          <w:spacing w:val="-17"/>
          <w:w w:val="105"/>
        </w:rPr>
        <w:t> </w:t>
      </w:r>
      <w:r>
        <w:rPr>
          <w:color w:val="231F20"/>
          <w:w w:val="105"/>
        </w:rPr>
        <w:t>política</w:t>
      </w:r>
      <w:r>
        <w:rPr>
          <w:color w:val="231F20"/>
          <w:spacing w:val="-17"/>
          <w:w w:val="105"/>
        </w:rPr>
        <w:t> </w:t>
      </w:r>
      <w:r>
        <w:rPr>
          <w:color w:val="231F20"/>
          <w:w w:val="105"/>
        </w:rPr>
        <w:t>y</w:t>
      </w:r>
      <w:r>
        <w:rPr>
          <w:color w:val="231F20"/>
          <w:spacing w:val="-17"/>
          <w:w w:val="105"/>
        </w:rPr>
        <w:t> </w:t>
      </w:r>
      <w:r>
        <w:rPr>
          <w:color w:val="231F20"/>
          <w:w w:val="105"/>
        </w:rPr>
        <w:t>los</w:t>
      </w:r>
      <w:r>
        <w:rPr>
          <w:color w:val="231F20"/>
          <w:spacing w:val="-17"/>
          <w:w w:val="105"/>
        </w:rPr>
        <w:t> </w:t>
      </w:r>
      <w:r>
        <w:rPr>
          <w:color w:val="231F20"/>
          <w:w w:val="105"/>
        </w:rPr>
        <w:t>organismos</w:t>
      </w:r>
      <w:r>
        <w:rPr>
          <w:color w:val="231F20"/>
          <w:spacing w:val="-17"/>
          <w:w w:val="105"/>
        </w:rPr>
        <w:t> </w:t>
      </w:r>
      <w:r>
        <w:rPr>
          <w:color w:val="231F20"/>
          <w:w w:val="105"/>
        </w:rPr>
        <w:t>internacionales,</w:t>
      </w:r>
      <w:r>
        <w:rPr>
          <w:color w:val="231F20"/>
          <w:spacing w:val="-22"/>
          <w:w w:val="105"/>
        </w:rPr>
        <w:t> </w:t>
      </w:r>
      <w:r>
        <w:rPr>
          <w:color w:val="231F20"/>
          <w:w w:val="105"/>
        </w:rPr>
        <w:t>quienes</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spacing w:line="261" w:lineRule="auto" w:before="1"/>
        <w:ind w:left="1723" w:right="1683"/>
      </w:pPr>
      <w:r>
        <w:rPr>
          <w:color w:val="231F20"/>
          <w:w w:val="105"/>
        </w:rPr>
        <w:t>preparan dispositivos para la atención de los migrantes que retornan a los países de origen (Cassarino, 2004 y 2013; Battistella, 2014).</w:t>
      </w:r>
    </w:p>
    <w:p>
      <w:pPr>
        <w:pStyle w:val="BodyText"/>
        <w:spacing w:line="261" w:lineRule="auto" w:before="1"/>
        <w:ind w:left="1723" w:right="1834" w:firstLine="567"/>
        <w:jc w:val="both"/>
      </w:pPr>
      <w:r>
        <w:rPr>
          <w:color w:val="231F20"/>
          <w:w w:val="105"/>
        </w:rPr>
        <w:t>El</w:t>
      </w:r>
      <w:r>
        <w:rPr>
          <w:color w:val="231F20"/>
          <w:spacing w:val="-6"/>
          <w:w w:val="105"/>
        </w:rPr>
        <w:t> </w:t>
      </w:r>
      <w:r>
        <w:rPr>
          <w:color w:val="231F20"/>
          <w:w w:val="105"/>
        </w:rPr>
        <w:t>estudio</w:t>
      </w:r>
      <w:r>
        <w:rPr>
          <w:color w:val="231F20"/>
          <w:spacing w:val="-6"/>
          <w:w w:val="105"/>
        </w:rPr>
        <w:t> </w:t>
      </w:r>
      <w:r>
        <w:rPr>
          <w:color w:val="231F20"/>
          <w:w w:val="105"/>
        </w:rPr>
        <w:t>realizado</w:t>
      </w:r>
      <w:r>
        <w:rPr>
          <w:color w:val="231F20"/>
          <w:spacing w:val="-6"/>
          <w:w w:val="105"/>
        </w:rPr>
        <w:t> </w:t>
      </w:r>
      <w:r>
        <w:rPr>
          <w:color w:val="231F20"/>
          <w:w w:val="105"/>
        </w:rPr>
        <w:t>en</w:t>
      </w:r>
      <w:r>
        <w:rPr>
          <w:color w:val="231F20"/>
          <w:spacing w:val="-6"/>
          <w:w w:val="105"/>
        </w:rPr>
        <w:t> </w:t>
      </w:r>
      <w:r>
        <w:rPr>
          <w:color w:val="231F20"/>
          <w:w w:val="105"/>
        </w:rPr>
        <w:t>Nezahualcóyotl,</w:t>
      </w:r>
      <w:r>
        <w:rPr>
          <w:color w:val="231F20"/>
          <w:spacing w:val="-12"/>
          <w:w w:val="105"/>
        </w:rPr>
        <w:t> </w:t>
      </w:r>
      <w:r>
        <w:rPr>
          <w:color w:val="231F20"/>
          <w:w w:val="105"/>
        </w:rPr>
        <w:t>Estado</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6"/>
          <w:w w:val="105"/>
        </w:rPr>
        <w:t> </w:t>
      </w:r>
      <w:r>
        <w:rPr>
          <w:color w:val="231F20"/>
          <w:w w:val="105"/>
        </w:rPr>
        <w:t>(princi- pios de 2011), develó hallazgos relevantes acerca de las</w:t>
      </w:r>
      <w:r>
        <w:rPr>
          <w:color w:val="231F20"/>
          <w:spacing w:val="-10"/>
          <w:w w:val="105"/>
        </w:rPr>
        <w:t> </w:t>
      </w:r>
      <w:r>
        <w:rPr>
          <w:color w:val="231F20"/>
          <w:w w:val="105"/>
        </w:rPr>
        <w:t>implicaciones personales,</w:t>
      </w:r>
      <w:r>
        <w:rPr>
          <w:color w:val="231F20"/>
          <w:spacing w:val="-12"/>
          <w:w w:val="105"/>
        </w:rPr>
        <w:t> </w:t>
      </w:r>
      <w:r>
        <w:rPr>
          <w:color w:val="231F20"/>
          <w:w w:val="105"/>
        </w:rPr>
        <w:t>familiares</w:t>
      </w:r>
      <w:r>
        <w:rPr>
          <w:color w:val="231F20"/>
          <w:spacing w:val="-8"/>
          <w:w w:val="105"/>
        </w:rPr>
        <w:t> </w:t>
      </w:r>
      <w:r>
        <w:rPr>
          <w:color w:val="231F20"/>
          <w:w w:val="105"/>
        </w:rPr>
        <w:t>y</w:t>
      </w:r>
      <w:r>
        <w:rPr>
          <w:color w:val="231F20"/>
          <w:spacing w:val="-8"/>
          <w:w w:val="105"/>
        </w:rPr>
        <w:t> </w:t>
      </w:r>
      <w:r>
        <w:rPr>
          <w:color w:val="231F20"/>
          <w:w w:val="105"/>
        </w:rPr>
        <w:t>sociales</w:t>
      </w:r>
      <w:r>
        <w:rPr>
          <w:color w:val="231F20"/>
          <w:spacing w:val="-8"/>
          <w:w w:val="105"/>
        </w:rPr>
        <w:t> </w:t>
      </w:r>
      <w:r>
        <w:rPr>
          <w:color w:val="231F20"/>
          <w:w w:val="105"/>
        </w:rPr>
        <w:t>de</w:t>
      </w:r>
      <w:r>
        <w:rPr>
          <w:color w:val="231F20"/>
          <w:spacing w:val="-8"/>
          <w:w w:val="105"/>
        </w:rPr>
        <w:t> </w:t>
      </w:r>
      <w:r>
        <w:rPr>
          <w:color w:val="231F20"/>
          <w:w w:val="105"/>
        </w:rPr>
        <w:t>regresar</w:t>
      </w:r>
      <w:r>
        <w:rPr>
          <w:color w:val="231F20"/>
          <w:spacing w:val="-8"/>
          <w:w w:val="105"/>
        </w:rPr>
        <w:t> </w:t>
      </w:r>
      <w:r>
        <w:rPr>
          <w:color w:val="231F20"/>
          <w:w w:val="105"/>
        </w:rPr>
        <w:t>a</w:t>
      </w:r>
      <w:r>
        <w:rPr>
          <w:color w:val="231F20"/>
          <w:spacing w:val="-8"/>
          <w:w w:val="105"/>
        </w:rPr>
        <w:t> </w:t>
      </w:r>
      <w:r>
        <w:rPr>
          <w:color w:val="231F20"/>
          <w:w w:val="105"/>
        </w:rPr>
        <w:t>México,</w:t>
      </w:r>
      <w:r>
        <w:rPr>
          <w:color w:val="231F20"/>
          <w:spacing w:val="-12"/>
          <w:w w:val="105"/>
        </w:rPr>
        <w:t> </w:t>
      </w:r>
      <w:r>
        <w:rPr>
          <w:color w:val="231F20"/>
          <w:w w:val="105"/>
        </w:rPr>
        <w:t>luego</w:t>
      </w:r>
      <w:r>
        <w:rPr>
          <w:color w:val="231F20"/>
          <w:spacing w:val="-8"/>
          <w:w w:val="105"/>
        </w:rPr>
        <w:t> </w:t>
      </w:r>
      <w:r>
        <w:rPr>
          <w:color w:val="231F20"/>
          <w:w w:val="105"/>
        </w:rPr>
        <w:t>de</w:t>
      </w:r>
      <w:r>
        <w:rPr>
          <w:color w:val="231F20"/>
          <w:spacing w:val="-8"/>
          <w:w w:val="105"/>
        </w:rPr>
        <w:t> </w:t>
      </w:r>
      <w:r>
        <w:rPr>
          <w:color w:val="231F20"/>
          <w:w w:val="105"/>
        </w:rPr>
        <w:t>experi- mentar</w:t>
      </w:r>
      <w:r>
        <w:rPr>
          <w:color w:val="231F20"/>
          <w:spacing w:val="-33"/>
          <w:w w:val="105"/>
        </w:rPr>
        <w:t> </w:t>
      </w:r>
      <w:r>
        <w:rPr>
          <w:color w:val="231F20"/>
          <w:w w:val="105"/>
        </w:rPr>
        <w:t>la</w:t>
      </w:r>
      <w:r>
        <w:rPr>
          <w:color w:val="231F20"/>
          <w:spacing w:val="-33"/>
          <w:w w:val="105"/>
        </w:rPr>
        <w:t> </w:t>
      </w:r>
      <w:r>
        <w:rPr>
          <w:color w:val="231F20"/>
          <w:w w:val="105"/>
        </w:rPr>
        <w:t>vida</w:t>
      </w:r>
      <w:r>
        <w:rPr>
          <w:color w:val="231F20"/>
          <w:spacing w:val="-33"/>
          <w:w w:val="105"/>
        </w:rPr>
        <w:t> </w:t>
      </w:r>
      <w:r>
        <w:rPr>
          <w:color w:val="231F20"/>
          <w:w w:val="105"/>
        </w:rPr>
        <w:t>y</w:t>
      </w:r>
      <w:r>
        <w:rPr>
          <w:color w:val="231F20"/>
          <w:spacing w:val="-33"/>
          <w:w w:val="105"/>
        </w:rPr>
        <w:t> </w:t>
      </w:r>
      <w:r>
        <w:rPr>
          <w:color w:val="231F20"/>
          <w:w w:val="105"/>
        </w:rPr>
        <w:t>el</w:t>
      </w:r>
      <w:r>
        <w:rPr>
          <w:color w:val="231F20"/>
          <w:spacing w:val="-33"/>
          <w:w w:val="105"/>
        </w:rPr>
        <w:t> </w:t>
      </w:r>
      <w:r>
        <w:rPr>
          <w:color w:val="231F20"/>
          <w:w w:val="105"/>
        </w:rPr>
        <w:t>trabajo</w:t>
      </w:r>
      <w:r>
        <w:rPr>
          <w:color w:val="231F20"/>
          <w:spacing w:val="-33"/>
          <w:w w:val="105"/>
        </w:rPr>
        <w:t> </w:t>
      </w:r>
      <w:r>
        <w:rPr>
          <w:color w:val="231F20"/>
          <w:w w:val="105"/>
        </w:rPr>
        <w:t>en</w:t>
      </w:r>
      <w:r>
        <w:rPr>
          <w:color w:val="231F20"/>
          <w:spacing w:val="-33"/>
          <w:w w:val="105"/>
        </w:rPr>
        <w:t> </w:t>
      </w:r>
      <w:r>
        <w:rPr>
          <w:color w:val="231F20"/>
          <w:w w:val="105"/>
        </w:rPr>
        <w:t>Estados</w:t>
      </w:r>
      <w:r>
        <w:rPr>
          <w:color w:val="231F20"/>
          <w:spacing w:val="-33"/>
          <w:w w:val="105"/>
        </w:rPr>
        <w:t> </w:t>
      </w:r>
      <w:r>
        <w:rPr>
          <w:color w:val="231F20"/>
          <w:w w:val="105"/>
        </w:rPr>
        <w:t>Unidos.</w:t>
      </w:r>
      <w:r>
        <w:rPr>
          <w:color w:val="231F20"/>
          <w:spacing w:val="-40"/>
          <w:w w:val="105"/>
        </w:rPr>
        <w:t> </w:t>
      </w:r>
      <w:r>
        <w:rPr>
          <w:color w:val="231F20"/>
          <w:w w:val="105"/>
        </w:rPr>
        <w:t>Asimismo,</w:t>
      </w:r>
      <w:r>
        <w:rPr>
          <w:color w:val="231F20"/>
          <w:spacing w:val="-37"/>
          <w:w w:val="105"/>
        </w:rPr>
        <w:t> </w:t>
      </w:r>
      <w:r>
        <w:rPr>
          <w:color w:val="231F20"/>
          <w:w w:val="105"/>
        </w:rPr>
        <w:t>ofreció</w:t>
      </w:r>
      <w:r>
        <w:rPr>
          <w:color w:val="231F20"/>
          <w:spacing w:val="-33"/>
          <w:w w:val="105"/>
        </w:rPr>
        <w:t> </w:t>
      </w:r>
      <w:r>
        <w:rPr>
          <w:color w:val="231F20"/>
          <w:w w:val="105"/>
        </w:rPr>
        <w:t>evidencia del peso que tiene la inserción social y no sólo la reinserción laboral</w:t>
      </w:r>
      <w:r>
        <w:rPr>
          <w:color w:val="231F20"/>
          <w:spacing w:val="-26"/>
          <w:w w:val="105"/>
        </w:rPr>
        <w:t> </w:t>
      </w:r>
      <w:r>
        <w:rPr>
          <w:color w:val="231F20"/>
          <w:w w:val="105"/>
        </w:rPr>
        <w:t>en la</w:t>
      </w:r>
      <w:r>
        <w:rPr>
          <w:color w:val="231F20"/>
          <w:spacing w:val="-10"/>
          <w:w w:val="105"/>
        </w:rPr>
        <w:t> </w:t>
      </w:r>
      <w:r>
        <w:rPr>
          <w:color w:val="231F20"/>
          <w:w w:val="105"/>
        </w:rPr>
        <w:t>toma</w:t>
      </w:r>
      <w:r>
        <w:rPr>
          <w:color w:val="231F20"/>
          <w:spacing w:val="-10"/>
          <w:w w:val="105"/>
        </w:rPr>
        <w:t> </w:t>
      </w:r>
      <w:r>
        <w:rPr>
          <w:color w:val="231F20"/>
          <w:w w:val="105"/>
        </w:rPr>
        <w:t>de</w:t>
      </w:r>
      <w:r>
        <w:rPr>
          <w:color w:val="231F20"/>
          <w:spacing w:val="-10"/>
          <w:w w:val="105"/>
        </w:rPr>
        <w:t> </w:t>
      </w:r>
      <w:r>
        <w:rPr>
          <w:color w:val="231F20"/>
          <w:w w:val="105"/>
        </w:rPr>
        <w:t>decisiones</w:t>
      </w:r>
      <w:r>
        <w:rPr>
          <w:color w:val="231F20"/>
          <w:spacing w:val="-10"/>
          <w:w w:val="105"/>
        </w:rPr>
        <w:t> </w:t>
      </w:r>
      <w:r>
        <w:rPr>
          <w:color w:val="231F20"/>
          <w:w w:val="105"/>
        </w:rPr>
        <w:t>respecto</w:t>
      </w:r>
      <w:r>
        <w:rPr>
          <w:color w:val="231F20"/>
          <w:spacing w:val="-10"/>
          <w:w w:val="105"/>
        </w:rPr>
        <w:t> </w:t>
      </w:r>
      <w:r>
        <w:rPr>
          <w:color w:val="231F20"/>
          <w:w w:val="105"/>
        </w:rPr>
        <w:t>a</w:t>
      </w:r>
      <w:r>
        <w:rPr>
          <w:color w:val="231F20"/>
          <w:spacing w:val="-10"/>
          <w:w w:val="105"/>
        </w:rPr>
        <w:t> </w:t>
      </w:r>
      <w:r>
        <w:rPr>
          <w:color w:val="231F20"/>
          <w:w w:val="105"/>
        </w:rPr>
        <w:t>establecerse,</w:t>
      </w:r>
      <w:r>
        <w:rPr>
          <w:color w:val="231F20"/>
          <w:spacing w:val="-15"/>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construc- ción</w:t>
      </w:r>
      <w:r>
        <w:rPr>
          <w:color w:val="231F20"/>
          <w:spacing w:val="-6"/>
          <w:w w:val="105"/>
        </w:rPr>
        <w:t> </w:t>
      </w:r>
      <w:r>
        <w:rPr>
          <w:color w:val="231F20"/>
          <w:w w:val="105"/>
        </w:rPr>
        <w:t>de</w:t>
      </w:r>
      <w:r>
        <w:rPr>
          <w:color w:val="231F20"/>
          <w:spacing w:val="-6"/>
          <w:w w:val="105"/>
        </w:rPr>
        <w:t> </w:t>
      </w:r>
      <w:r>
        <w:rPr>
          <w:color w:val="231F20"/>
          <w:w w:val="105"/>
        </w:rPr>
        <w:t>expectativas</w:t>
      </w:r>
      <w:r>
        <w:rPr>
          <w:color w:val="231F20"/>
          <w:spacing w:val="-6"/>
          <w:w w:val="105"/>
        </w:rPr>
        <w:t> </w:t>
      </w:r>
      <w:r>
        <w:rPr>
          <w:color w:val="231F20"/>
          <w:w w:val="105"/>
        </w:rPr>
        <w:t>de</w:t>
      </w:r>
      <w:r>
        <w:rPr>
          <w:color w:val="231F20"/>
          <w:spacing w:val="-6"/>
          <w:w w:val="105"/>
        </w:rPr>
        <w:t> </w:t>
      </w:r>
      <w:r>
        <w:rPr>
          <w:color w:val="231F20"/>
          <w:w w:val="105"/>
        </w:rPr>
        <w:t>reemigración</w:t>
      </w:r>
      <w:r>
        <w:rPr>
          <w:color w:val="231F20"/>
          <w:spacing w:val="-6"/>
          <w:w w:val="105"/>
        </w:rPr>
        <w:t> </w:t>
      </w:r>
      <w:r>
        <w:rPr>
          <w:color w:val="231F20"/>
          <w:w w:val="105"/>
        </w:rPr>
        <w:t>(Rivera,</w:t>
      </w:r>
      <w:r>
        <w:rPr>
          <w:color w:val="231F20"/>
          <w:spacing w:val="-11"/>
          <w:w w:val="105"/>
        </w:rPr>
        <w:t> </w:t>
      </w:r>
      <w:r>
        <w:rPr>
          <w:color w:val="231F20"/>
          <w:w w:val="105"/>
        </w:rPr>
        <w:t>2014</w:t>
      </w:r>
      <w:r>
        <w:rPr>
          <w:color w:val="231F20"/>
          <w:spacing w:val="-6"/>
          <w:w w:val="105"/>
        </w:rPr>
        <w:t> </w:t>
      </w:r>
      <w:r>
        <w:rPr>
          <w:color w:val="231F20"/>
          <w:w w:val="105"/>
        </w:rPr>
        <w:t>y</w:t>
      </w:r>
      <w:r>
        <w:rPr>
          <w:color w:val="231F20"/>
          <w:spacing w:val="-6"/>
          <w:w w:val="105"/>
        </w:rPr>
        <w:t> </w:t>
      </w:r>
      <w:r>
        <w:rPr>
          <w:color w:val="231F20"/>
          <w:w w:val="105"/>
        </w:rPr>
        <w:t>2015).</w:t>
      </w:r>
      <w:r>
        <w:rPr>
          <w:color w:val="231F20"/>
          <w:spacing w:val="-14"/>
          <w:w w:val="105"/>
        </w:rPr>
        <w:t> </w:t>
      </w:r>
      <w:r>
        <w:rPr>
          <w:color w:val="231F20"/>
          <w:w w:val="105"/>
        </w:rPr>
        <w:t>A</w:t>
      </w:r>
      <w:r>
        <w:rPr>
          <w:color w:val="231F20"/>
          <w:spacing w:val="-9"/>
          <w:w w:val="105"/>
        </w:rPr>
        <w:t> </w:t>
      </w:r>
      <w:r>
        <w:rPr>
          <w:color w:val="231F20"/>
          <w:w w:val="105"/>
        </w:rPr>
        <w:t>la</w:t>
      </w:r>
      <w:r>
        <w:rPr>
          <w:color w:val="231F20"/>
          <w:spacing w:val="-6"/>
          <w:w w:val="105"/>
        </w:rPr>
        <w:t> </w:t>
      </w:r>
      <w:r>
        <w:rPr>
          <w:color w:val="231F20"/>
          <w:w w:val="105"/>
        </w:rPr>
        <w:t>vez,</w:t>
      </w:r>
      <w:r>
        <w:rPr>
          <w:color w:val="231F20"/>
          <w:spacing w:val="-11"/>
          <w:w w:val="105"/>
        </w:rPr>
        <w:t> </w:t>
      </w:r>
      <w:r>
        <w:rPr>
          <w:color w:val="231F20"/>
          <w:w w:val="105"/>
        </w:rPr>
        <w:t>la complejidad de las movilidades que atraviesan por este municipio</w:t>
      </w:r>
      <w:r>
        <w:rPr>
          <w:color w:val="231F20"/>
          <w:spacing w:val="-39"/>
          <w:w w:val="105"/>
        </w:rPr>
        <w:t> </w:t>
      </w:r>
      <w:r>
        <w:rPr>
          <w:color w:val="231F20"/>
          <w:w w:val="105"/>
        </w:rPr>
        <w:t>abrió otras</w:t>
      </w:r>
      <w:r>
        <w:rPr>
          <w:color w:val="231F20"/>
          <w:spacing w:val="-17"/>
          <w:w w:val="105"/>
        </w:rPr>
        <w:t> </w:t>
      </w:r>
      <w:r>
        <w:rPr>
          <w:color w:val="231F20"/>
          <w:w w:val="105"/>
        </w:rPr>
        <w:t>vetas</w:t>
      </w:r>
      <w:r>
        <w:rPr>
          <w:color w:val="231F20"/>
          <w:spacing w:val="-17"/>
          <w:w w:val="105"/>
        </w:rPr>
        <w:t> </w:t>
      </w:r>
      <w:r>
        <w:rPr>
          <w:color w:val="231F20"/>
          <w:w w:val="105"/>
        </w:rPr>
        <w:t>de</w:t>
      </w:r>
      <w:r>
        <w:rPr>
          <w:color w:val="231F20"/>
          <w:spacing w:val="-17"/>
          <w:w w:val="105"/>
        </w:rPr>
        <w:t> </w:t>
      </w:r>
      <w:r>
        <w:rPr>
          <w:color w:val="231F20"/>
          <w:w w:val="105"/>
        </w:rPr>
        <w:t>investigación</w:t>
      </w:r>
      <w:r>
        <w:rPr>
          <w:color w:val="231F20"/>
          <w:spacing w:val="-17"/>
          <w:w w:val="105"/>
        </w:rPr>
        <w:t> </w:t>
      </w:r>
      <w:r>
        <w:rPr>
          <w:color w:val="231F20"/>
          <w:w w:val="105"/>
        </w:rPr>
        <w:t>para</w:t>
      </w:r>
      <w:r>
        <w:rPr>
          <w:color w:val="231F20"/>
          <w:spacing w:val="-17"/>
          <w:w w:val="105"/>
        </w:rPr>
        <w:t> </w:t>
      </w:r>
      <w:r>
        <w:rPr>
          <w:color w:val="231F20"/>
          <w:w w:val="105"/>
        </w:rPr>
        <w:t>continuar</w:t>
      </w:r>
      <w:r>
        <w:rPr>
          <w:color w:val="231F20"/>
          <w:spacing w:val="-17"/>
          <w:w w:val="105"/>
        </w:rPr>
        <w:t> </w:t>
      </w:r>
      <w:r>
        <w:rPr>
          <w:color w:val="231F20"/>
          <w:w w:val="105"/>
        </w:rPr>
        <w:t>explorando</w:t>
      </w:r>
      <w:r>
        <w:rPr>
          <w:color w:val="231F20"/>
          <w:spacing w:val="-17"/>
          <w:w w:val="105"/>
        </w:rPr>
        <w:t> </w:t>
      </w:r>
      <w:r>
        <w:rPr>
          <w:color w:val="231F20"/>
          <w:w w:val="105"/>
        </w:rPr>
        <w:t>la</w:t>
      </w:r>
      <w:r>
        <w:rPr>
          <w:color w:val="231F20"/>
          <w:spacing w:val="-17"/>
          <w:w w:val="105"/>
        </w:rPr>
        <w:t> </w:t>
      </w:r>
      <w:r>
        <w:rPr>
          <w:color w:val="231F20"/>
          <w:w w:val="105"/>
        </w:rPr>
        <w:t>experiencia</w:t>
      </w:r>
      <w:r>
        <w:rPr>
          <w:color w:val="231F20"/>
          <w:spacing w:val="-17"/>
          <w:w w:val="105"/>
        </w:rPr>
        <w:t> </w:t>
      </w:r>
      <w:r>
        <w:rPr>
          <w:color w:val="231F20"/>
          <w:w w:val="105"/>
        </w:rPr>
        <w:t>de circular entre este municipio, inserto en la zona metropolitana del valle México,</w:t>
      </w:r>
      <w:r>
        <w:rPr>
          <w:color w:val="231F20"/>
          <w:spacing w:val="-26"/>
          <w:w w:val="105"/>
        </w:rPr>
        <w:t> </w:t>
      </w:r>
      <w:r>
        <w:rPr>
          <w:color w:val="231F20"/>
          <w:w w:val="105"/>
        </w:rPr>
        <w:t>y</w:t>
      </w:r>
      <w:r>
        <w:rPr>
          <w:color w:val="231F20"/>
          <w:spacing w:val="-22"/>
          <w:w w:val="105"/>
        </w:rPr>
        <w:t> </w:t>
      </w:r>
      <w:r>
        <w:rPr>
          <w:color w:val="231F20"/>
          <w:w w:val="105"/>
        </w:rPr>
        <w:t>diversas</w:t>
      </w:r>
      <w:r>
        <w:rPr>
          <w:color w:val="231F20"/>
          <w:spacing w:val="-22"/>
          <w:w w:val="105"/>
        </w:rPr>
        <w:t> </w:t>
      </w:r>
      <w:r>
        <w:rPr>
          <w:color w:val="231F20"/>
          <w:w w:val="105"/>
        </w:rPr>
        <w:t>ciudades</w:t>
      </w:r>
      <w:r>
        <w:rPr>
          <w:color w:val="231F20"/>
          <w:spacing w:val="-22"/>
          <w:w w:val="105"/>
        </w:rPr>
        <w:t> </w:t>
      </w:r>
      <w:r>
        <w:rPr>
          <w:color w:val="231F20"/>
          <w:w w:val="105"/>
        </w:rPr>
        <w:t>tanto</w:t>
      </w:r>
      <w:r>
        <w:rPr>
          <w:color w:val="231F20"/>
          <w:spacing w:val="-22"/>
          <w:w w:val="105"/>
        </w:rPr>
        <w:t> </w:t>
      </w:r>
      <w:r>
        <w:rPr>
          <w:color w:val="231F20"/>
          <w:w w:val="105"/>
        </w:rPr>
        <w:t>en</w:t>
      </w:r>
      <w:r>
        <w:rPr>
          <w:color w:val="231F20"/>
          <w:spacing w:val="-22"/>
          <w:w w:val="105"/>
        </w:rPr>
        <w:t> </w:t>
      </w:r>
      <w:r>
        <w:rPr>
          <w:color w:val="231F20"/>
          <w:w w:val="105"/>
        </w:rPr>
        <w:t>Estados</w:t>
      </w:r>
      <w:r>
        <w:rPr>
          <w:color w:val="231F20"/>
          <w:spacing w:val="-22"/>
          <w:w w:val="105"/>
        </w:rPr>
        <w:t> </w:t>
      </w:r>
      <w:r>
        <w:rPr>
          <w:color w:val="231F20"/>
          <w:w w:val="105"/>
        </w:rPr>
        <w:t>Unidos</w:t>
      </w:r>
      <w:r>
        <w:rPr>
          <w:color w:val="231F20"/>
          <w:spacing w:val="-22"/>
          <w:w w:val="105"/>
        </w:rPr>
        <w:t> </w:t>
      </w:r>
      <w:r>
        <w:rPr>
          <w:color w:val="231F20"/>
          <w:w w:val="105"/>
        </w:rPr>
        <w:t>como</w:t>
      </w:r>
      <w:r>
        <w:rPr>
          <w:color w:val="231F20"/>
          <w:spacing w:val="-22"/>
          <w:w w:val="105"/>
        </w:rPr>
        <w:t> </w:t>
      </w:r>
      <w:r>
        <w:rPr>
          <w:color w:val="231F20"/>
          <w:w w:val="105"/>
        </w:rPr>
        <w:t>en</w:t>
      </w:r>
      <w:r>
        <w:rPr>
          <w:color w:val="231F20"/>
          <w:spacing w:val="-22"/>
          <w:w w:val="105"/>
        </w:rPr>
        <w:t> </w:t>
      </w:r>
      <w:r>
        <w:rPr>
          <w:color w:val="231F20"/>
          <w:w w:val="105"/>
        </w:rPr>
        <w:t>México.</w:t>
      </w:r>
    </w:p>
    <w:p>
      <w:pPr>
        <w:pStyle w:val="BodyText"/>
        <w:spacing w:line="261" w:lineRule="auto" w:before="1"/>
        <w:ind w:left="1723" w:right="1832" w:firstLine="567"/>
        <w:jc w:val="right"/>
      </w:pPr>
      <w:r>
        <w:rPr>
          <w:color w:val="231F20"/>
          <w:spacing w:val="-4"/>
          <w:w w:val="105"/>
        </w:rPr>
        <w:t>Estas</w:t>
      </w:r>
      <w:r>
        <w:rPr>
          <w:color w:val="231F20"/>
          <w:spacing w:val="-22"/>
          <w:w w:val="105"/>
        </w:rPr>
        <w:t> </w:t>
      </w:r>
      <w:r>
        <w:rPr>
          <w:color w:val="231F20"/>
          <w:spacing w:val="-4"/>
          <w:w w:val="105"/>
        </w:rPr>
        <w:t>aproximaciones</w:t>
      </w:r>
      <w:r>
        <w:rPr>
          <w:color w:val="231F20"/>
          <w:spacing w:val="-22"/>
          <w:w w:val="105"/>
        </w:rPr>
        <w:t> </w:t>
      </w:r>
      <w:r>
        <w:rPr>
          <w:color w:val="231F20"/>
          <w:spacing w:val="-4"/>
          <w:w w:val="105"/>
        </w:rPr>
        <w:t>previas</w:t>
      </w:r>
      <w:r>
        <w:rPr>
          <w:color w:val="231F20"/>
          <w:spacing w:val="-22"/>
          <w:w w:val="105"/>
        </w:rPr>
        <w:t> </w:t>
      </w:r>
      <w:r>
        <w:rPr>
          <w:color w:val="231F20"/>
          <w:spacing w:val="-4"/>
          <w:w w:val="105"/>
        </w:rPr>
        <w:t>condujeron</w:t>
      </w:r>
      <w:r>
        <w:rPr>
          <w:color w:val="231F20"/>
          <w:spacing w:val="-22"/>
          <w:w w:val="105"/>
        </w:rPr>
        <w:t> </w:t>
      </w:r>
      <w:r>
        <w:rPr>
          <w:color w:val="231F20"/>
          <w:w w:val="105"/>
        </w:rPr>
        <w:t>a</w:t>
      </w:r>
      <w:r>
        <w:rPr>
          <w:color w:val="231F20"/>
          <w:spacing w:val="-22"/>
          <w:w w:val="105"/>
        </w:rPr>
        <w:t> </w:t>
      </w:r>
      <w:r>
        <w:rPr>
          <w:color w:val="231F20"/>
          <w:spacing w:val="-4"/>
          <w:w w:val="105"/>
        </w:rPr>
        <w:t>construir</w:t>
      </w:r>
      <w:r>
        <w:rPr>
          <w:color w:val="231F20"/>
          <w:spacing w:val="-22"/>
          <w:w w:val="105"/>
        </w:rPr>
        <w:t> </w:t>
      </w:r>
      <w:r>
        <w:rPr>
          <w:color w:val="231F20"/>
          <w:w w:val="105"/>
        </w:rPr>
        <w:t>y</w:t>
      </w:r>
      <w:r>
        <w:rPr>
          <w:color w:val="231F20"/>
          <w:spacing w:val="-22"/>
          <w:w w:val="105"/>
        </w:rPr>
        <w:t> </w:t>
      </w:r>
      <w:r>
        <w:rPr>
          <w:color w:val="231F20"/>
          <w:spacing w:val="-4"/>
          <w:w w:val="105"/>
        </w:rPr>
        <w:t>tomar</w:t>
      </w:r>
      <w:r>
        <w:rPr>
          <w:color w:val="231F20"/>
          <w:spacing w:val="-22"/>
          <w:w w:val="105"/>
        </w:rPr>
        <w:t> </w:t>
      </w:r>
      <w:r>
        <w:rPr>
          <w:color w:val="231F20"/>
          <w:spacing w:val="-3"/>
          <w:w w:val="105"/>
        </w:rPr>
        <w:t>este</w:t>
      </w:r>
      <w:r>
        <w:rPr>
          <w:color w:val="231F20"/>
          <w:spacing w:val="-22"/>
          <w:w w:val="105"/>
        </w:rPr>
        <w:t> </w:t>
      </w:r>
      <w:r>
        <w:rPr>
          <w:color w:val="231F20"/>
          <w:spacing w:val="-3"/>
          <w:w w:val="105"/>
        </w:rPr>
        <w:t>si-</w:t>
      </w:r>
      <w:r>
        <w:rPr>
          <w:color w:val="231F20"/>
          <w:w w:val="96"/>
        </w:rPr>
        <w:t> </w:t>
      </w:r>
      <w:r>
        <w:rPr>
          <w:color w:val="231F20"/>
          <w:spacing w:val="-3"/>
          <w:w w:val="105"/>
        </w:rPr>
        <w:t>tio</w:t>
      </w:r>
      <w:r>
        <w:rPr>
          <w:color w:val="231F20"/>
          <w:spacing w:val="-32"/>
          <w:w w:val="105"/>
        </w:rPr>
        <w:t> </w:t>
      </w:r>
      <w:r>
        <w:rPr>
          <w:color w:val="231F20"/>
          <w:spacing w:val="-3"/>
          <w:w w:val="105"/>
        </w:rPr>
        <w:t>como</w:t>
      </w:r>
      <w:r>
        <w:rPr>
          <w:color w:val="231F20"/>
          <w:spacing w:val="-32"/>
          <w:w w:val="105"/>
        </w:rPr>
        <w:t> </w:t>
      </w:r>
      <w:r>
        <w:rPr>
          <w:color w:val="231F20"/>
          <w:spacing w:val="-4"/>
          <w:w w:val="105"/>
        </w:rPr>
        <w:t>atalaya</w:t>
      </w:r>
      <w:r>
        <w:rPr>
          <w:color w:val="231F20"/>
          <w:spacing w:val="-32"/>
          <w:w w:val="105"/>
        </w:rPr>
        <w:t> </w:t>
      </w:r>
      <w:r>
        <w:rPr>
          <w:color w:val="231F20"/>
          <w:spacing w:val="-4"/>
          <w:w w:val="105"/>
        </w:rPr>
        <w:t>estratégica</w:t>
      </w:r>
      <w:r>
        <w:rPr>
          <w:color w:val="231F20"/>
          <w:spacing w:val="-32"/>
          <w:w w:val="105"/>
        </w:rPr>
        <w:t> </w:t>
      </w:r>
      <w:r>
        <w:rPr>
          <w:color w:val="231F20"/>
          <w:spacing w:val="-4"/>
          <w:w w:val="105"/>
        </w:rPr>
        <w:t>para</w:t>
      </w:r>
      <w:r>
        <w:rPr>
          <w:color w:val="231F20"/>
          <w:spacing w:val="-32"/>
          <w:w w:val="105"/>
        </w:rPr>
        <w:t> </w:t>
      </w:r>
      <w:r>
        <w:rPr>
          <w:color w:val="231F20"/>
          <w:spacing w:val="-6"/>
          <w:w w:val="105"/>
        </w:rPr>
        <w:t>probar,</w:t>
      </w:r>
      <w:r>
        <w:rPr>
          <w:color w:val="231F20"/>
          <w:spacing w:val="-36"/>
          <w:w w:val="105"/>
        </w:rPr>
        <w:t> </w:t>
      </w:r>
      <w:r>
        <w:rPr>
          <w:color w:val="231F20"/>
          <w:spacing w:val="-4"/>
          <w:w w:val="105"/>
        </w:rPr>
        <w:t>heurísticamente,</w:t>
      </w:r>
      <w:r>
        <w:rPr>
          <w:color w:val="231F20"/>
          <w:spacing w:val="-36"/>
          <w:w w:val="105"/>
        </w:rPr>
        <w:t> </w:t>
      </w:r>
      <w:r>
        <w:rPr>
          <w:color w:val="231F20"/>
          <w:spacing w:val="-4"/>
          <w:w w:val="105"/>
        </w:rPr>
        <w:t>diversos</w:t>
      </w:r>
      <w:r>
        <w:rPr>
          <w:color w:val="231F20"/>
          <w:spacing w:val="-32"/>
          <w:w w:val="105"/>
        </w:rPr>
        <w:t> </w:t>
      </w:r>
      <w:r>
        <w:rPr>
          <w:color w:val="231F20"/>
          <w:spacing w:val="-4"/>
          <w:w w:val="105"/>
        </w:rPr>
        <w:t>supues-</w:t>
      </w:r>
      <w:r>
        <w:rPr>
          <w:color w:val="231F20"/>
          <w:w w:val="96"/>
        </w:rPr>
        <w:t> </w:t>
      </w:r>
      <w:r>
        <w:rPr>
          <w:color w:val="231F20"/>
          <w:spacing w:val="-3"/>
          <w:w w:val="105"/>
        </w:rPr>
        <w:t>tos,</w:t>
      </w:r>
      <w:r>
        <w:rPr>
          <w:color w:val="231F20"/>
          <w:spacing w:val="-31"/>
          <w:w w:val="105"/>
        </w:rPr>
        <w:t> </w:t>
      </w:r>
      <w:r>
        <w:rPr>
          <w:color w:val="231F20"/>
          <w:spacing w:val="-4"/>
          <w:w w:val="105"/>
        </w:rPr>
        <w:t>conceptos</w:t>
      </w:r>
      <w:r>
        <w:rPr>
          <w:color w:val="231F20"/>
          <w:spacing w:val="-26"/>
          <w:w w:val="105"/>
        </w:rPr>
        <w:t> </w:t>
      </w:r>
      <w:r>
        <w:rPr>
          <w:color w:val="231F20"/>
          <w:w w:val="105"/>
        </w:rPr>
        <w:t>y</w:t>
      </w:r>
      <w:r>
        <w:rPr>
          <w:color w:val="231F20"/>
          <w:spacing w:val="-26"/>
          <w:w w:val="105"/>
        </w:rPr>
        <w:t> </w:t>
      </w:r>
      <w:r>
        <w:rPr>
          <w:color w:val="231F20"/>
          <w:spacing w:val="-4"/>
          <w:w w:val="105"/>
        </w:rPr>
        <w:t>categorías</w:t>
      </w:r>
      <w:r>
        <w:rPr>
          <w:color w:val="231F20"/>
          <w:spacing w:val="-26"/>
          <w:w w:val="105"/>
        </w:rPr>
        <w:t> </w:t>
      </w:r>
      <w:r>
        <w:rPr>
          <w:color w:val="231F20"/>
          <w:spacing w:val="-4"/>
          <w:w w:val="105"/>
        </w:rPr>
        <w:t>ligadas</w:t>
      </w:r>
      <w:r>
        <w:rPr>
          <w:color w:val="231F20"/>
          <w:spacing w:val="-26"/>
          <w:w w:val="105"/>
        </w:rPr>
        <w:t> </w:t>
      </w:r>
      <w:r>
        <w:rPr>
          <w:color w:val="231F20"/>
          <w:w w:val="105"/>
        </w:rPr>
        <w:t>a</w:t>
      </w:r>
      <w:r>
        <w:rPr>
          <w:color w:val="231F20"/>
          <w:spacing w:val="-26"/>
          <w:w w:val="105"/>
        </w:rPr>
        <w:t> </w:t>
      </w:r>
      <w:r>
        <w:rPr>
          <w:color w:val="231F20"/>
          <w:spacing w:val="-3"/>
          <w:w w:val="105"/>
        </w:rPr>
        <w:t>los</w:t>
      </w:r>
      <w:r>
        <w:rPr>
          <w:color w:val="231F20"/>
          <w:spacing w:val="-26"/>
          <w:w w:val="105"/>
        </w:rPr>
        <w:t> </w:t>
      </w:r>
      <w:r>
        <w:rPr>
          <w:color w:val="231F20"/>
          <w:spacing w:val="-4"/>
          <w:w w:val="105"/>
        </w:rPr>
        <w:t>procesos</w:t>
      </w:r>
      <w:r>
        <w:rPr>
          <w:color w:val="231F20"/>
          <w:spacing w:val="-26"/>
          <w:w w:val="105"/>
        </w:rPr>
        <w:t> </w:t>
      </w:r>
      <w:r>
        <w:rPr>
          <w:color w:val="231F20"/>
          <w:spacing w:val="-4"/>
          <w:w w:val="105"/>
        </w:rPr>
        <w:t>migratorios</w:t>
      </w:r>
      <w:r>
        <w:rPr>
          <w:color w:val="231F20"/>
          <w:spacing w:val="-26"/>
          <w:w w:val="105"/>
        </w:rPr>
        <w:t> </w:t>
      </w:r>
      <w:r>
        <w:rPr>
          <w:color w:val="231F20"/>
          <w:spacing w:val="-4"/>
          <w:w w:val="105"/>
        </w:rPr>
        <w:t>contemporá-</w:t>
      </w:r>
      <w:r>
        <w:rPr>
          <w:color w:val="231F20"/>
          <w:w w:val="96"/>
        </w:rPr>
        <w:t> </w:t>
      </w:r>
      <w:r>
        <w:rPr>
          <w:color w:val="231F20"/>
          <w:spacing w:val="-4"/>
          <w:w w:val="105"/>
        </w:rPr>
        <w:t>neos,</w:t>
      </w:r>
      <w:r>
        <w:rPr>
          <w:color w:val="231F20"/>
          <w:spacing w:val="-24"/>
          <w:w w:val="105"/>
        </w:rPr>
        <w:t> </w:t>
      </w:r>
      <w:r>
        <w:rPr>
          <w:color w:val="231F20"/>
          <w:spacing w:val="-4"/>
          <w:w w:val="105"/>
        </w:rPr>
        <w:t>algunos</w:t>
      </w:r>
      <w:r>
        <w:rPr>
          <w:color w:val="231F20"/>
          <w:spacing w:val="-18"/>
          <w:w w:val="105"/>
        </w:rPr>
        <w:t> </w:t>
      </w:r>
      <w:r>
        <w:rPr>
          <w:color w:val="231F20"/>
          <w:spacing w:val="-4"/>
          <w:w w:val="105"/>
        </w:rPr>
        <w:t>devienen</w:t>
      </w:r>
      <w:r>
        <w:rPr>
          <w:color w:val="231F20"/>
          <w:spacing w:val="-18"/>
          <w:w w:val="105"/>
        </w:rPr>
        <w:t> </w:t>
      </w:r>
      <w:r>
        <w:rPr>
          <w:color w:val="231F20"/>
          <w:w w:val="105"/>
        </w:rPr>
        <w:t>de</w:t>
      </w:r>
      <w:r>
        <w:rPr>
          <w:color w:val="231F20"/>
          <w:spacing w:val="-18"/>
          <w:w w:val="105"/>
        </w:rPr>
        <w:t> </w:t>
      </w:r>
      <w:r>
        <w:rPr>
          <w:color w:val="231F20"/>
          <w:spacing w:val="-3"/>
          <w:w w:val="105"/>
        </w:rPr>
        <w:t>los</w:t>
      </w:r>
      <w:r>
        <w:rPr>
          <w:color w:val="231F20"/>
          <w:spacing w:val="-18"/>
          <w:w w:val="105"/>
        </w:rPr>
        <w:t> </w:t>
      </w:r>
      <w:r>
        <w:rPr>
          <w:color w:val="231F20"/>
          <w:spacing w:val="-4"/>
          <w:w w:val="105"/>
        </w:rPr>
        <w:t>paradigmas</w:t>
      </w:r>
      <w:r>
        <w:rPr>
          <w:color w:val="231F20"/>
          <w:spacing w:val="-18"/>
          <w:w w:val="105"/>
        </w:rPr>
        <w:t> </w:t>
      </w:r>
      <w:r>
        <w:rPr>
          <w:color w:val="231F20"/>
          <w:w w:val="105"/>
        </w:rPr>
        <w:t>de</w:t>
      </w:r>
      <w:r>
        <w:rPr>
          <w:color w:val="231F20"/>
          <w:spacing w:val="-18"/>
          <w:w w:val="105"/>
        </w:rPr>
        <w:t> </w:t>
      </w:r>
      <w:r>
        <w:rPr>
          <w:color w:val="231F20"/>
          <w:spacing w:val="-4"/>
          <w:w w:val="105"/>
        </w:rPr>
        <w:t>movilidad</w:t>
      </w:r>
      <w:r>
        <w:rPr>
          <w:color w:val="231F20"/>
          <w:spacing w:val="-18"/>
          <w:w w:val="105"/>
        </w:rPr>
        <w:t> </w:t>
      </w:r>
      <w:r>
        <w:rPr>
          <w:color w:val="231F20"/>
          <w:w w:val="105"/>
        </w:rPr>
        <w:t>y</w:t>
      </w:r>
      <w:r>
        <w:rPr>
          <w:color w:val="231F20"/>
          <w:spacing w:val="-18"/>
          <w:w w:val="105"/>
        </w:rPr>
        <w:t> </w:t>
      </w:r>
      <w:r>
        <w:rPr>
          <w:color w:val="231F20"/>
          <w:spacing w:val="-4"/>
          <w:w w:val="105"/>
        </w:rPr>
        <w:t>circulación,</w:t>
      </w:r>
      <w:r>
        <w:rPr>
          <w:color w:val="231F20"/>
          <w:spacing w:val="-24"/>
          <w:w w:val="105"/>
        </w:rPr>
        <w:t> </w:t>
      </w:r>
      <w:r>
        <w:rPr>
          <w:color w:val="231F20"/>
          <w:w w:val="105"/>
        </w:rPr>
        <w:t>y</w:t>
      </w:r>
      <w:r>
        <w:rPr>
          <w:color w:val="231F20"/>
          <w:spacing w:val="-18"/>
          <w:w w:val="105"/>
        </w:rPr>
        <w:t> </w:t>
      </w:r>
      <w:r>
        <w:rPr>
          <w:color w:val="231F20"/>
          <w:spacing w:val="-4"/>
          <w:w w:val="105"/>
        </w:rPr>
        <w:t>de</w:t>
      </w:r>
      <w:r>
        <w:rPr>
          <w:color w:val="231F20"/>
          <w:spacing w:val="-4"/>
          <w:w w:val="108"/>
        </w:rPr>
        <w:t> </w:t>
      </w:r>
      <w:r>
        <w:rPr>
          <w:color w:val="231F20"/>
          <w:spacing w:val="-4"/>
          <w:w w:val="105"/>
        </w:rPr>
        <w:t>ciertos</w:t>
      </w:r>
      <w:r>
        <w:rPr>
          <w:color w:val="231F20"/>
          <w:spacing w:val="-23"/>
          <w:w w:val="105"/>
        </w:rPr>
        <w:t> </w:t>
      </w:r>
      <w:r>
        <w:rPr>
          <w:color w:val="231F20"/>
          <w:spacing w:val="-4"/>
          <w:w w:val="105"/>
        </w:rPr>
        <w:t>presupuestos</w:t>
      </w:r>
      <w:r>
        <w:rPr>
          <w:color w:val="231F20"/>
          <w:spacing w:val="-23"/>
          <w:w w:val="105"/>
        </w:rPr>
        <w:t> </w:t>
      </w:r>
      <w:r>
        <w:rPr>
          <w:color w:val="231F20"/>
          <w:spacing w:val="-4"/>
          <w:w w:val="105"/>
        </w:rPr>
        <w:t>básicos</w:t>
      </w:r>
      <w:r>
        <w:rPr>
          <w:color w:val="231F20"/>
          <w:spacing w:val="-23"/>
          <w:w w:val="105"/>
        </w:rPr>
        <w:t> </w:t>
      </w:r>
      <w:r>
        <w:rPr>
          <w:color w:val="231F20"/>
          <w:spacing w:val="-4"/>
          <w:w w:val="105"/>
        </w:rPr>
        <w:t>acerca</w:t>
      </w:r>
      <w:r>
        <w:rPr>
          <w:color w:val="231F20"/>
          <w:spacing w:val="-23"/>
          <w:w w:val="105"/>
        </w:rPr>
        <w:t> </w:t>
      </w:r>
      <w:r>
        <w:rPr>
          <w:color w:val="231F20"/>
          <w:w w:val="105"/>
        </w:rPr>
        <w:t>de</w:t>
      </w:r>
      <w:r>
        <w:rPr>
          <w:color w:val="231F20"/>
          <w:spacing w:val="-23"/>
          <w:w w:val="105"/>
        </w:rPr>
        <w:t> </w:t>
      </w:r>
      <w:r>
        <w:rPr>
          <w:color w:val="231F20"/>
          <w:spacing w:val="-3"/>
          <w:w w:val="105"/>
        </w:rPr>
        <w:t>los</w:t>
      </w:r>
      <w:r>
        <w:rPr>
          <w:color w:val="231F20"/>
          <w:spacing w:val="-23"/>
          <w:w w:val="105"/>
        </w:rPr>
        <w:t> </w:t>
      </w:r>
      <w:r>
        <w:rPr>
          <w:color w:val="231F20"/>
          <w:spacing w:val="-4"/>
          <w:w w:val="105"/>
        </w:rPr>
        <w:t>efectos</w:t>
      </w:r>
      <w:r>
        <w:rPr>
          <w:color w:val="231F20"/>
          <w:spacing w:val="-23"/>
          <w:w w:val="105"/>
        </w:rPr>
        <w:t> </w:t>
      </w:r>
      <w:r>
        <w:rPr>
          <w:color w:val="231F20"/>
          <w:spacing w:val="-3"/>
          <w:w w:val="105"/>
        </w:rPr>
        <w:t>que</w:t>
      </w:r>
      <w:r>
        <w:rPr>
          <w:color w:val="231F20"/>
          <w:spacing w:val="-23"/>
          <w:w w:val="105"/>
        </w:rPr>
        <w:t> </w:t>
      </w:r>
      <w:r>
        <w:rPr>
          <w:color w:val="231F20"/>
          <w:spacing w:val="-4"/>
          <w:w w:val="105"/>
        </w:rPr>
        <w:t>produce</w:t>
      </w:r>
      <w:r>
        <w:rPr>
          <w:color w:val="231F20"/>
          <w:spacing w:val="-23"/>
          <w:w w:val="105"/>
        </w:rPr>
        <w:t> </w:t>
      </w:r>
      <w:r>
        <w:rPr>
          <w:color w:val="231F20"/>
          <w:w w:val="105"/>
        </w:rPr>
        <w:t>el</w:t>
      </w:r>
      <w:r>
        <w:rPr>
          <w:color w:val="231F20"/>
          <w:spacing w:val="-23"/>
          <w:w w:val="105"/>
        </w:rPr>
        <w:t> </w:t>
      </w:r>
      <w:r>
        <w:rPr>
          <w:color w:val="231F20"/>
          <w:spacing w:val="-5"/>
          <w:w w:val="105"/>
        </w:rPr>
        <w:t>proceso</w:t>
      </w:r>
      <w:r>
        <w:rPr>
          <w:color w:val="231F20"/>
          <w:spacing w:val="-4"/>
          <w:w w:val="102"/>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spacing w:val="-4"/>
          <w:w w:val="105"/>
        </w:rPr>
        <w:t>globalización</w:t>
      </w:r>
      <w:r>
        <w:rPr>
          <w:color w:val="231F20"/>
          <w:spacing w:val="-32"/>
          <w:w w:val="105"/>
        </w:rPr>
        <w:t> </w:t>
      </w:r>
      <w:r>
        <w:rPr>
          <w:color w:val="231F20"/>
          <w:spacing w:val="-4"/>
          <w:w w:val="105"/>
        </w:rPr>
        <w:t>sobre</w:t>
      </w:r>
      <w:r>
        <w:rPr>
          <w:color w:val="231F20"/>
          <w:spacing w:val="-32"/>
          <w:w w:val="105"/>
        </w:rPr>
        <w:t> </w:t>
      </w:r>
      <w:r>
        <w:rPr>
          <w:color w:val="231F20"/>
          <w:spacing w:val="-3"/>
          <w:w w:val="105"/>
        </w:rPr>
        <w:t>los</w:t>
      </w:r>
      <w:r>
        <w:rPr>
          <w:color w:val="231F20"/>
          <w:spacing w:val="-32"/>
          <w:w w:val="105"/>
        </w:rPr>
        <w:t> </w:t>
      </w:r>
      <w:r>
        <w:rPr>
          <w:color w:val="231F20"/>
          <w:spacing w:val="-4"/>
          <w:w w:val="105"/>
        </w:rPr>
        <w:t>espacios</w:t>
      </w:r>
      <w:r>
        <w:rPr>
          <w:color w:val="231F20"/>
          <w:spacing w:val="-32"/>
          <w:w w:val="105"/>
        </w:rPr>
        <w:t> </w:t>
      </w:r>
      <w:r>
        <w:rPr>
          <w:color w:val="231F20"/>
          <w:spacing w:val="-4"/>
          <w:w w:val="105"/>
        </w:rPr>
        <w:t>urbanos</w:t>
      </w:r>
      <w:r>
        <w:rPr>
          <w:color w:val="231F20"/>
          <w:spacing w:val="-32"/>
          <w:w w:val="105"/>
        </w:rPr>
        <w:t> </w:t>
      </w:r>
      <w:r>
        <w:rPr>
          <w:color w:val="231F20"/>
          <w:spacing w:val="-5"/>
          <w:w w:val="105"/>
        </w:rPr>
        <w:t>(Brenner,</w:t>
      </w:r>
      <w:r>
        <w:rPr>
          <w:color w:val="231F20"/>
          <w:spacing w:val="-37"/>
          <w:w w:val="105"/>
        </w:rPr>
        <w:t> </w:t>
      </w:r>
      <w:r>
        <w:rPr>
          <w:color w:val="231F20"/>
          <w:spacing w:val="-4"/>
          <w:w w:val="105"/>
        </w:rPr>
        <w:t>2011;</w:t>
      </w:r>
      <w:r>
        <w:rPr>
          <w:color w:val="231F20"/>
          <w:spacing w:val="-35"/>
          <w:w w:val="105"/>
        </w:rPr>
        <w:t> </w:t>
      </w:r>
      <w:r>
        <w:rPr>
          <w:color w:val="231F20"/>
          <w:spacing w:val="-4"/>
          <w:w w:val="105"/>
        </w:rPr>
        <w:t>Amin,</w:t>
      </w:r>
      <w:r>
        <w:rPr>
          <w:color w:val="231F20"/>
          <w:spacing w:val="-37"/>
          <w:w w:val="105"/>
        </w:rPr>
        <w:t> </w:t>
      </w:r>
      <w:r>
        <w:rPr>
          <w:color w:val="231F20"/>
          <w:spacing w:val="-4"/>
          <w:w w:val="105"/>
        </w:rPr>
        <w:t>2002).</w:t>
      </w:r>
    </w:p>
    <w:p>
      <w:pPr>
        <w:pStyle w:val="BodyText"/>
        <w:spacing w:line="261" w:lineRule="auto" w:before="1"/>
        <w:ind w:left="1723" w:right="1828" w:firstLine="567"/>
        <w:jc w:val="both"/>
      </w:pPr>
      <w:r>
        <w:rPr>
          <w:color w:val="231F20"/>
          <w:w w:val="105"/>
        </w:rPr>
        <w:t>En</w:t>
      </w:r>
      <w:r>
        <w:rPr>
          <w:color w:val="231F20"/>
          <w:spacing w:val="-18"/>
          <w:w w:val="105"/>
        </w:rPr>
        <w:t> </w:t>
      </w:r>
      <w:r>
        <w:rPr>
          <w:color w:val="231F20"/>
          <w:w w:val="105"/>
        </w:rPr>
        <w:t>suma,</w:t>
      </w:r>
      <w:r>
        <w:rPr>
          <w:color w:val="231F20"/>
          <w:spacing w:val="-22"/>
          <w:w w:val="105"/>
        </w:rPr>
        <w:t> </w:t>
      </w:r>
      <w:r>
        <w:rPr>
          <w:color w:val="231F20"/>
          <w:w w:val="105"/>
        </w:rPr>
        <w:t>en</w:t>
      </w:r>
      <w:r>
        <w:rPr>
          <w:color w:val="231F20"/>
          <w:spacing w:val="-18"/>
          <w:w w:val="105"/>
        </w:rPr>
        <w:t> </w:t>
      </w:r>
      <w:r>
        <w:rPr>
          <w:color w:val="231F20"/>
          <w:w w:val="105"/>
        </w:rPr>
        <w:t>este</w:t>
      </w:r>
      <w:r>
        <w:rPr>
          <w:color w:val="231F20"/>
          <w:spacing w:val="-18"/>
          <w:w w:val="105"/>
        </w:rPr>
        <w:t> </w:t>
      </w:r>
      <w:r>
        <w:rPr>
          <w:color w:val="231F20"/>
          <w:w w:val="105"/>
        </w:rPr>
        <w:t>capítulo</w:t>
      </w:r>
      <w:r>
        <w:rPr>
          <w:color w:val="231F20"/>
          <w:spacing w:val="-18"/>
          <w:w w:val="105"/>
        </w:rPr>
        <w:t> </w:t>
      </w:r>
      <w:r>
        <w:rPr>
          <w:color w:val="231F20"/>
          <w:w w:val="105"/>
        </w:rPr>
        <w:t>se</w:t>
      </w:r>
      <w:r>
        <w:rPr>
          <w:color w:val="231F20"/>
          <w:spacing w:val="-18"/>
          <w:w w:val="105"/>
        </w:rPr>
        <w:t> </w:t>
      </w:r>
      <w:r>
        <w:rPr>
          <w:color w:val="231F20"/>
          <w:w w:val="105"/>
        </w:rPr>
        <w:t>analizan,</w:t>
      </w:r>
      <w:r>
        <w:rPr>
          <w:color w:val="231F20"/>
          <w:spacing w:val="-22"/>
          <w:w w:val="105"/>
        </w:rPr>
        <w:t> </w:t>
      </w:r>
      <w:r>
        <w:rPr>
          <w:color w:val="231F20"/>
          <w:w w:val="105"/>
        </w:rPr>
        <w:t>a</w:t>
      </w:r>
      <w:r>
        <w:rPr>
          <w:color w:val="231F20"/>
          <w:spacing w:val="-18"/>
          <w:w w:val="105"/>
        </w:rPr>
        <w:t> </w:t>
      </w:r>
      <w:r>
        <w:rPr>
          <w:color w:val="231F20"/>
          <w:spacing w:val="-2"/>
          <w:w w:val="105"/>
        </w:rPr>
        <w:t>través</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spacing w:val="-3"/>
          <w:w w:val="105"/>
        </w:rPr>
        <w:t>narrativas</w:t>
      </w:r>
      <w:r>
        <w:rPr>
          <w:color w:val="231F20"/>
          <w:spacing w:val="-18"/>
          <w:w w:val="105"/>
        </w:rPr>
        <w:t> </w:t>
      </w:r>
      <w:r>
        <w:rPr>
          <w:color w:val="231F20"/>
          <w:w w:val="105"/>
        </w:rPr>
        <w:t>de los</w:t>
      </w:r>
      <w:r>
        <w:rPr>
          <w:color w:val="231F20"/>
          <w:spacing w:val="-36"/>
          <w:w w:val="105"/>
        </w:rPr>
        <w:t> </w:t>
      </w:r>
      <w:r>
        <w:rPr>
          <w:color w:val="231F20"/>
          <w:w w:val="105"/>
        </w:rPr>
        <w:t>migrantes,</w:t>
      </w:r>
      <w:r>
        <w:rPr>
          <w:color w:val="231F20"/>
          <w:spacing w:val="-39"/>
          <w:w w:val="105"/>
        </w:rPr>
        <w:t> </w:t>
      </w:r>
      <w:r>
        <w:rPr>
          <w:color w:val="231F20"/>
          <w:w w:val="105"/>
        </w:rPr>
        <w:t>algunas</w:t>
      </w:r>
      <w:r>
        <w:rPr>
          <w:color w:val="231F20"/>
          <w:spacing w:val="-36"/>
          <w:w w:val="105"/>
        </w:rPr>
        <w:t> </w:t>
      </w:r>
      <w:r>
        <w:rPr>
          <w:color w:val="231F20"/>
          <w:w w:val="105"/>
        </w:rPr>
        <w:t>implicaciones</w:t>
      </w:r>
      <w:r>
        <w:rPr>
          <w:color w:val="231F20"/>
          <w:spacing w:val="-36"/>
          <w:w w:val="105"/>
        </w:rPr>
        <w:t> </w:t>
      </w:r>
      <w:r>
        <w:rPr>
          <w:color w:val="231F20"/>
          <w:w w:val="105"/>
        </w:rPr>
        <w:t>de</w:t>
      </w:r>
      <w:r>
        <w:rPr>
          <w:color w:val="231F20"/>
          <w:spacing w:val="-36"/>
          <w:w w:val="105"/>
        </w:rPr>
        <w:t> </w:t>
      </w:r>
      <w:r>
        <w:rPr>
          <w:color w:val="231F20"/>
          <w:w w:val="105"/>
        </w:rPr>
        <w:t>la</w:t>
      </w:r>
      <w:r>
        <w:rPr>
          <w:color w:val="231F20"/>
          <w:spacing w:val="-36"/>
          <w:w w:val="105"/>
        </w:rPr>
        <w:t> </w:t>
      </w:r>
      <w:r>
        <w:rPr>
          <w:color w:val="231F20"/>
          <w:w w:val="105"/>
        </w:rPr>
        <w:t>experiencia</w:t>
      </w:r>
      <w:r>
        <w:rPr>
          <w:color w:val="231F20"/>
          <w:spacing w:val="-36"/>
          <w:w w:val="105"/>
        </w:rPr>
        <w:t> </w:t>
      </w:r>
      <w:r>
        <w:rPr>
          <w:color w:val="231F20"/>
          <w:spacing w:val="-3"/>
          <w:w w:val="105"/>
        </w:rPr>
        <w:t>contemporánea</w:t>
      </w:r>
      <w:r>
        <w:rPr>
          <w:color w:val="231F20"/>
          <w:spacing w:val="-36"/>
          <w:w w:val="105"/>
        </w:rPr>
        <w:t> </w:t>
      </w:r>
      <w:r>
        <w:rPr>
          <w:color w:val="231F20"/>
          <w:w w:val="105"/>
        </w:rPr>
        <w:t>de </w:t>
      </w:r>
      <w:r>
        <w:rPr>
          <w:color w:val="231F20"/>
          <w:spacing w:val="-3"/>
          <w:w w:val="105"/>
        </w:rPr>
        <w:t>retornar</w:t>
      </w:r>
      <w:r>
        <w:rPr>
          <w:color w:val="231F20"/>
          <w:spacing w:val="-25"/>
          <w:w w:val="105"/>
        </w:rPr>
        <w:t> </w:t>
      </w:r>
      <w:r>
        <w:rPr>
          <w:color w:val="231F20"/>
          <w:w w:val="105"/>
        </w:rPr>
        <w:t>de</w:t>
      </w:r>
      <w:r>
        <w:rPr>
          <w:color w:val="231F20"/>
          <w:spacing w:val="-25"/>
          <w:w w:val="105"/>
        </w:rPr>
        <w:t> </w:t>
      </w:r>
      <w:r>
        <w:rPr>
          <w:color w:val="231F20"/>
          <w:w w:val="105"/>
        </w:rPr>
        <w:t>Estados</w:t>
      </w:r>
      <w:r>
        <w:rPr>
          <w:color w:val="231F20"/>
          <w:spacing w:val="-25"/>
          <w:w w:val="105"/>
        </w:rPr>
        <w:t> </w:t>
      </w:r>
      <w:r>
        <w:rPr>
          <w:color w:val="231F20"/>
          <w:w w:val="105"/>
        </w:rPr>
        <w:t>Unidos</w:t>
      </w:r>
      <w:r>
        <w:rPr>
          <w:color w:val="231F20"/>
          <w:spacing w:val="-25"/>
          <w:w w:val="105"/>
        </w:rPr>
        <w:t> </w:t>
      </w:r>
      <w:r>
        <w:rPr>
          <w:color w:val="231F20"/>
          <w:w w:val="105"/>
        </w:rPr>
        <w:t>a</w:t>
      </w:r>
      <w:r>
        <w:rPr>
          <w:color w:val="231F20"/>
          <w:spacing w:val="-25"/>
          <w:w w:val="105"/>
        </w:rPr>
        <w:t> </w:t>
      </w:r>
      <w:r>
        <w:rPr>
          <w:color w:val="231F20"/>
          <w:w w:val="105"/>
        </w:rPr>
        <w:t>un</w:t>
      </w:r>
      <w:r>
        <w:rPr>
          <w:color w:val="231F20"/>
          <w:spacing w:val="-25"/>
          <w:w w:val="105"/>
        </w:rPr>
        <w:t> </w:t>
      </w:r>
      <w:r>
        <w:rPr>
          <w:color w:val="231F20"/>
          <w:w w:val="105"/>
        </w:rPr>
        <w:t>municipio</w:t>
      </w:r>
      <w:r>
        <w:rPr>
          <w:color w:val="231F20"/>
          <w:spacing w:val="-25"/>
          <w:w w:val="105"/>
        </w:rPr>
        <w:t> </w:t>
      </w:r>
      <w:r>
        <w:rPr>
          <w:color w:val="231F20"/>
          <w:w w:val="105"/>
        </w:rPr>
        <w:t>mexiquense</w:t>
      </w:r>
      <w:r>
        <w:rPr>
          <w:color w:val="231F20"/>
          <w:spacing w:val="-25"/>
          <w:w w:val="105"/>
        </w:rPr>
        <w:t> </w:t>
      </w:r>
      <w:r>
        <w:rPr>
          <w:color w:val="231F20"/>
          <w:w w:val="105"/>
        </w:rPr>
        <w:t>conurbado</w:t>
      </w:r>
      <w:r>
        <w:rPr>
          <w:color w:val="231F20"/>
          <w:spacing w:val="-25"/>
          <w:w w:val="105"/>
        </w:rPr>
        <w:t> </w:t>
      </w:r>
      <w:r>
        <w:rPr>
          <w:color w:val="231F20"/>
          <w:w w:val="105"/>
        </w:rPr>
        <w:t>con</w:t>
      </w:r>
      <w:r>
        <w:rPr>
          <w:color w:val="231F20"/>
          <w:spacing w:val="-25"/>
          <w:w w:val="105"/>
        </w:rPr>
        <w:t> </w:t>
      </w:r>
      <w:r>
        <w:rPr>
          <w:color w:val="231F20"/>
          <w:w w:val="105"/>
        </w:rPr>
        <w:t>el Distrito</w:t>
      </w:r>
      <w:r>
        <w:rPr>
          <w:color w:val="231F20"/>
          <w:spacing w:val="-15"/>
          <w:w w:val="105"/>
        </w:rPr>
        <w:t> </w:t>
      </w:r>
      <w:r>
        <w:rPr>
          <w:color w:val="231F20"/>
          <w:spacing w:val="-4"/>
          <w:w w:val="105"/>
        </w:rPr>
        <w:t>Federal,</w:t>
      </w:r>
      <w:r>
        <w:rPr>
          <w:color w:val="231F20"/>
          <w:spacing w:val="-20"/>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periodo</w:t>
      </w:r>
      <w:r>
        <w:rPr>
          <w:color w:val="231F20"/>
          <w:spacing w:val="-15"/>
          <w:w w:val="105"/>
        </w:rPr>
        <w:t> </w:t>
      </w:r>
      <w:r>
        <w:rPr>
          <w:color w:val="231F20"/>
          <w:w w:val="105"/>
        </w:rPr>
        <w:t>posterior</w:t>
      </w:r>
      <w:r>
        <w:rPr>
          <w:color w:val="231F20"/>
          <w:spacing w:val="-15"/>
          <w:w w:val="105"/>
        </w:rPr>
        <w:t> </w:t>
      </w:r>
      <w:r>
        <w:rPr>
          <w:color w:val="231F20"/>
          <w:w w:val="105"/>
        </w:rPr>
        <w:t>al</w:t>
      </w:r>
      <w:r>
        <w:rPr>
          <w:color w:val="231F20"/>
          <w:spacing w:val="-15"/>
          <w:w w:val="105"/>
        </w:rPr>
        <w:t> </w:t>
      </w:r>
      <w:r>
        <w:rPr>
          <w:color w:val="231F20"/>
          <w:w w:val="105"/>
        </w:rPr>
        <w:t>año</w:t>
      </w:r>
      <w:r>
        <w:rPr>
          <w:color w:val="231F20"/>
          <w:spacing w:val="-15"/>
          <w:w w:val="105"/>
        </w:rPr>
        <w:t> </w:t>
      </w:r>
      <w:r>
        <w:rPr>
          <w:color w:val="231F20"/>
          <w:w w:val="105"/>
        </w:rPr>
        <w:t>2008.</w:t>
      </w:r>
      <w:r>
        <w:rPr>
          <w:color w:val="231F20"/>
          <w:spacing w:val="-20"/>
          <w:w w:val="105"/>
        </w:rPr>
        <w:t> </w:t>
      </w:r>
      <w:r>
        <w:rPr>
          <w:color w:val="231F20"/>
          <w:w w:val="105"/>
        </w:rPr>
        <w:t>El</w:t>
      </w:r>
      <w:r>
        <w:rPr>
          <w:color w:val="231F20"/>
          <w:spacing w:val="-15"/>
          <w:w w:val="105"/>
        </w:rPr>
        <w:t> </w:t>
      </w:r>
      <w:r>
        <w:rPr>
          <w:color w:val="231F20"/>
          <w:w w:val="105"/>
        </w:rPr>
        <w:t>texto</w:t>
      </w:r>
      <w:r>
        <w:rPr>
          <w:color w:val="231F20"/>
          <w:spacing w:val="-15"/>
          <w:w w:val="105"/>
        </w:rPr>
        <w:t> </w:t>
      </w:r>
      <w:r>
        <w:rPr>
          <w:color w:val="231F20"/>
          <w:w w:val="105"/>
        </w:rPr>
        <w:t>se</w:t>
      </w:r>
      <w:r>
        <w:rPr>
          <w:color w:val="231F20"/>
          <w:spacing w:val="-15"/>
          <w:w w:val="105"/>
        </w:rPr>
        <w:t> </w:t>
      </w:r>
      <w:r>
        <w:rPr>
          <w:color w:val="231F20"/>
          <w:w w:val="105"/>
        </w:rPr>
        <w:t>divide</w:t>
      </w:r>
      <w:r>
        <w:rPr>
          <w:color w:val="231F20"/>
          <w:spacing w:val="-15"/>
          <w:w w:val="105"/>
        </w:rPr>
        <w:t> </w:t>
      </w:r>
      <w:r>
        <w:rPr>
          <w:color w:val="231F20"/>
          <w:w w:val="105"/>
        </w:rPr>
        <w:t>en </w:t>
      </w:r>
      <w:r>
        <w:rPr>
          <w:color w:val="231F20"/>
          <w:spacing w:val="-3"/>
          <w:w w:val="105"/>
        </w:rPr>
        <w:t>cuatro</w:t>
      </w:r>
      <w:r>
        <w:rPr>
          <w:color w:val="231F20"/>
          <w:spacing w:val="-8"/>
          <w:w w:val="105"/>
        </w:rPr>
        <w:t> </w:t>
      </w:r>
      <w:r>
        <w:rPr>
          <w:color w:val="231F20"/>
          <w:w w:val="105"/>
        </w:rPr>
        <w:t>partes,</w:t>
      </w:r>
      <w:r>
        <w:rPr>
          <w:color w:val="231F20"/>
          <w:spacing w:val="-13"/>
          <w:w w:val="105"/>
        </w:rPr>
        <w:t> </w:t>
      </w:r>
      <w:r>
        <w:rPr>
          <w:color w:val="231F20"/>
          <w:w w:val="105"/>
        </w:rPr>
        <w:t>más</w:t>
      </w:r>
      <w:r>
        <w:rPr>
          <w:color w:val="231F20"/>
          <w:spacing w:val="-8"/>
          <w:w w:val="105"/>
        </w:rPr>
        <w:t> </w:t>
      </w:r>
      <w:r>
        <w:rPr>
          <w:color w:val="231F20"/>
          <w:w w:val="105"/>
        </w:rPr>
        <w:t>un</w:t>
      </w:r>
      <w:r>
        <w:rPr>
          <w:color w:val="231F20"/>
          <w:spacing w:val="-8"/>
          <w:w w:val="105"/>
        </w:rPr>
        <w:t> </w:t>
      </w:r>
      <w:r>
        <w:rPr>
          <w:color w:val="231F20"/>
          <w:spacing w:val="-3"/>
          <w:w w:val="105"/>
        </w:rPr>
        <w:t>breve</w:t>
      </w:r>
      <w:r>
        <w:rPr>
          <w:color w:val="231F20"/>
          <w:spacing w:val="-8"/>
          <w:w w:val="105"/>
        </w:rPr>
        <w:t> </w:t>
      </w:r>
      <w:r>
        <w:rPr>
          <w:color w:val="231F20"/>
          <w:w w:val="105"/>
        </w:rPr>
        <w:t>apartado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spacing w:val="-3"/>
          <w:w w:val="105"/>
        </w:rPr>
        <w:t>ofrecen</w:t>
      </w:r>
      <w:r>
        <w:rPr>
          <w:color w:val="231F20"/>
          <w:spacing w:val="-8"/>
          <w:w w:val="105"/>
        </w:rPr>
        <w:t> </w:t>
      </w:r>
      <w:r>
        <w:rPr>
          <w:color w:val="231F20"/>
          <w:w w:val="105"/>
        </w:rPr>
        <w:t>algunas</w:t>
      </w:r>
      <w:r>
        <w:rPr>
          <w:color w:val="231F20"/>
          <w:spacing w:val="-8"/>
          <w:w w:val="105"/>
        </w:rPr>
        <w:t> </w:t>
      </w:r>
      <w:r>
        <w:rPr>
          <w:color w:val="231F20"/>
          <w:w w:val="105"/>
        </w:rPr>
        <w:t>con- clusiones</w:t>
      </w:r>
      <w:r>
        <w:rPr>
          <w:color w:val="231F20"/>
          <w:spacing w:val="-14"/>
          <w:w w:val="105"/>
        </w:rPr>
        <w:t> </w:t>
      </w:r>
      <w:r>
        <w:rPr>
          <w:color w:val="231F20"/>
          <w:spacing w:val="-3"/>
          <w:w w:val="105"/>
        </w:rPr>
        <w:t>preliminares,</w:t>
      </w:r>
      <w:r>
        <w:rPr>
          <w:color w:val="231F20"/>
          <w:spacing w:val="-19"/>
          <w:w w:val="105"/>
        </w:rPr>
        <w:t> </w:t>
      </w:r>
      <w:r>
        <w:rPr>
          <w:color w:val="231F20"/>
          <w:w w:val="105"/>
        </w:rPr>
        <w:t>dado</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investigación</w:t>
      </w:r>
      <w:r>
        <w:rPr>
          <w:color w:val="231F20"/>
          <w:spacing w:val="-14"/>
          <w:w w:val="105"/>
        </w:rPr>
        <w:t> </w:t>
      </w:r>
      <w:r>
        <w:rPr>
          <w:color w:val="231F20"/>
          <w:w w:val="105"/>
        </w:rPr>
        <w:t>se</w:t>
      </w:r>
      <w:r>
        <w:rPr>
          <w:color w:val="231F20"/>
          <w:spacing w:val="-14"/>
          <w:w w:val="105"/>
        </w:rPr>
        <w:t> </w:t>
      </w:r>
      <w:r>
        <w:rPr>
          <w:color w:val="231F20"/>
          <w:spacing w:val="-2"/>
          <w:w w:val="105"/>
        </w:rPr>
        <w:t>encuentra</w:t>
      </w:r>
      <w:r>
        <w:rPr>
          <w:color w:val="231F20"/>
          <w:spacing w:val="-14"/>
          <w:w w:val="105"/>
        </w:rPr>
        <w:t> </w:t>
      </w:r>
      <w:r>
        <w:rPr>
          <w:color w:val="231F20"/>
          <w:w w:val="105"/>
        </w:rPr>
        <w:t>en</w:t>
      </w:r>
      <w:r>
        <w:rPr>
          <w:color w:val="231F20"/>
          <w:spacing w:val="-14"/>
          <w:w w:val="105"/>
        </w:rPr>
        <w:t> </w:t>
      </w:r>
      <w:r>
        <w:rPr>
          <w:color w:val="231F20"/>
          <w:spacing w:val="-2"/>
          <w:w w:val="105"/>
        </w:rPr>
        <w:t>curso. </w:t>
      </w:r>
      <w:r>
        <w:rPr>
          <w:color w:val="231F20"/>
          <w:w w:val="105"/>
        </w:rPr>
        <w:t>En</w:t>
      </w:r>
      <w:r>
        <w:rPr>
          <w:color w:val="231F20"/>
          <w:spacing w:val="-39"/>
          <w:w w:val="105"/>
        </w:rPr>
        <w:t> </w:t>
      </w:r>
      <w:r>
        <w:rPr>
          <w:color w:val="231F20"/>
          <w:w w:val="105"/>
        </w:rPr>
        <w:t>la</w:t>
      </w:r>
      <w:r>
        <w:rPr>
          <w:color w:val="231F20"/>
          <w:spacing w:val="-39"/>
          <w:w w:val="105"/>
        </w:rPr>
        <w:t> </w:t>
      </w:r>
      <w:r>
        <w:rPr>
          <w:color w:val="231F20"/>
          <w:w w:val="105"/>
        </w:rPr>
        <w:t>primera</w:t>
      </w:r>
      <w:r>
        <w:rPr>
          <w:color w:val="231F20"/>
          <w:spacing w:val="-39"/>
          <w:w w:val="105"/>
        </w:rPr>
        <w:t> </w:t>
      </w:r>
      <w:r>
        <w:rPr>
          <w:color w:val="231F20"/>
          <w:w w:val="105"/>
        </w:rPr>
        <w:t>parte</w:t>
      </w:r>
      <w:r>
        <w:rPr>
          <w:color w:val="231F20"/>
          <w:spacing w:val="-39"/>
          <w:w w:val="105"/>
        </w:rPr>
        <w:t> </w:t>
      </w:r>
      <w:r>
        <w:rPr>
          <w:color w:val="231F20"/>
          <w:w w:val="105"/>
        </w:rPr>
        <w:t>se</w:t>
      </w:r>
      <w:r>
        <w:rPr>
          <w:color w:val="231F20"/>
          <w:spacing w:val="-39"/>
          <w:w w:val="105"/>
        </w:rPr>
        <w:t> </w:t>
      </w:r>
      <w:r>
        <w:rPr>
          <w:color w:val="231F20"/>
          <w:spacing w:val="-3"/>
          <w:w w:val="105"/>
        </w:rPr>
        <w:t>presentan</w:t>
      </w:r>
      <w:r>
        <w:rPr>
          <w:color w:val="231F20"/>
          <w:spacing w:val="-39"/>
          <w:w w:val="105"/>
        </w:rPr>
        <w:t> </w:t>
      </w:r>
      <w:r>
        <w:rPr>
          <w:color w:val="231F20"/>
          <w:w w:val="105"/>
        </w:rPr>
        <w:t>los</w:t>
      </w:r>
      <w:r>
        <w:rPr>
          <w:color w:val="231F20"/>
          <w:spacing w:val="-39"/>
          <w:w w:val="105"/>
        </w:rPr>
        <w:t> </w:t>
      </w:r>
      <w:r>
        <w:rPr>
          <w:color w:val="231F20"/>
          <w:w w:val="105"/>
        </w:rPr>
        <w:t>antecedentes</w:t>
      </w:r>
      <w:r>
        <w:rPr>
          <w:color w:val="231F20"/>
          <w:spacing w:val="-39"/>
          <w:w w:val="105"/>
        </w:rPr>
        <w:t> </w:t>
      </w:r>
      <w:r>
        <w:rPr>
          <w:color w:val="231F20"/>
          <w:w w:val="105"/>
        </w:rPr>
        <w:t>y</w:t>
      </w:r>
      <w:r>
        <w:rPr>
          <w:color w:val="231F20"/>
          <w:spacing w:val="-39"/>
          <w:w w:val="105"/>
        </w:rPr>
        <w:t> </w:t>
      </w:r>
      <w:r>
        <w:rPr>
          <w:color w:val="231F20"/>
          <w:w w:val="105"/>
        </w:rPr>
        <w:t>supuestos</w:t>
      </w:r>
      <w:r>
        <w:rPr>
          <w:color w:val="231F20"/>
          <w:spacing w:val="-39"/>
          <w:w w:val="105"/>
        </w:rPr>
        <w:t> </w:t>
      </w:r>
      <w:r>
        <w:rPr>
          <w:color w:val="231F20"/>
          <w:w w:val="105"/>
        </w:rPr>
        <w:t>básicos.</w:t>
      </w:r>
      <w:r>
        <w:rPr>
          <w:color w:val="231F20"/>
          <w:spacing w:val="-42"/>
          <w:w w:val="105"/>
        </w:rPr>
        <w:t> </w:t>
      </w:r>
      <w:r>
        <w:rPr>
          <w:color w:val="231F20"/>
          <w:w w:val="105"/>
        </w:rPr>
        <w:t>En el segundo apartado observamos las características </w:t>
      </w:r>
      <w:r>
        <w:rPr>
          <w:color w:val="231F20"/>
          <w:spacing w:val="-3"/>
          <w:w w:val="105"/>
        </w:rPr>
        <w:t>sociodemográficas </w:t>
      </w:r>
      <w:r>
        <w:rPr>
          <w:color w:val="231F20"/>
          <w:w w:val="105"/>
        </w:rPr>
        <w:t>del</w:t>
      </w:r>
      <w:r>
        <w:rPr>
          <w:color w:val="231F20"/>
          <w:spacing w:val="-15"/>
          <w:w w:val="105"/>
        </w:rPr>
        <w:t> </w:t>
      </w:r>
      <w:r>
        <w:rPr>
          <w:color w:val="231F20"/>
          <w:w w:val="105"/>
        </w:rPr>
        <w:t>sitio</w:t>
      </w:r>
      <w:r>
        <w:rPr>
          <w:color w:val="231F20"/>
          <w:spacing w:val="-15"/>
          <w:w w:val="105"/>
        </w:rPr>
        <w:t> </w:t>
      </w:r>
      <w:r>
        <w:rPr>
          <w:color w:val="231F20"/>
          <w:w w:val="105"/>
        </w:rPr>
        <w:t>de</w:t>
      </w:r>
      <w:r>
        <w:rPr>
          <w:color w:val="231F20"/>
          <w:spacing w:val="-15"/>
          <w:w w:val="105"/>
        </w:rPr>
        <w:t> </w:t>
      </w:r>
      <w:r>
        <w:rPr>
          <w:color w:val="231F20"/>
          <w:w w:val="105"/>
        </w:rPr>
        <w:t>investigación,</w:t>
      </w:r>
      <w:r>
        <w:rPr>
          <w:color w:val="231F20"/>
          <w:spacing w:val="-20"/>
          <w:w w:val="105"/>
        </w:rPr>
        <w:t> </w:t>
      </w:r>
      <w:r>
        <w:rPr>
          <w:color w:val="231F20"/>
          <w:w w:val="105"/>
        </w:rPr>
        <w:t>su</w:t>
      </w:r>
      <w:r>
        <w:rPr>
          <w:color w:val="231F20"/>
          <w:spacing w:val="-15"/>
          <w:w w:val="105"/>
        </w:rPr>
        <w:t> </w:t>
      </w:r>
      <w:r>
        <w:rPr>
          <w:color w:val="231F20"/>
          <w:spacing w:val="-2"/>
          <w:w w:val="105"/>
        </w:rPr>
        <w:t>configuración</w:t>
      </w:r>
      <w:r>
        <w:rPr>
          <w:color w:val="231F20"/>
          <w:spacing w:val="-15"/>
          <w:w w:val="105"/>
        </w:rPr>
        <w:t> </w:t>
      </w:r>
      <w:r>
        <w:rPr>
          <w:color w:val="231F20"/>
          <w:w w:val="105"/>
        </w:rPr>
        <w:t>como</w:t>
      </w:r>
      <w:r>
        <w:rPr>
          <w:color w:val="231F20"/>
          <w:spacing w:val="-15"/>
          <w:w w:val="105"/>
        </w:rPr>
        <w:t> </w:t>
      </w:r>
      <w:r>
        <w:rPr>
          <w:color w:val="231F20"/>
          <w:w w:val="105"/>
        </w:rPr>
        <w:t>un</w:t>
      </w:r>
      <w:r>
        <w:rPr>
          <w:color w:val="231F20"/>
          <w:spacing w:val="-15"/>
          <w:w w:val="105"/>
        </w:rPr>
        <w:t> </w:t>
      </w:r>
      <w:r>
        <w:rPr>
          <w:color w:val="231F20"/>
          <w:w w:val="105"/>
        </w:rPr>
        <w:t>municipio</w:t>
      </w:r>
      <w:r>
        <w:rPr>
          <w:color w:val="231F20"/>
          <w:spacing w:val="-15"/>
          <w:w w:val="105"/>
        </w:rPr>
        <w:t> </w:t>
      </w:r>
      <w:r>
        <w:rPr>
          <w:color w:val="231F20"/>
          <w:w w:val="105"/>
        </w:rPr>
        <w:t>urbano,</w:t>
      </w:r>
      <w:r>
        <w:rPr>
          <w:color w:val="231F20"/>
          <w:spacing w:val="-20"/>
          <w:w w:val="105"/>
        </w:rPr>
        <w:t> </w:t>
      </w:r>
      <w:r>
        <w:rPr>
          <w:color w:val="231F20"/>
          <w:w w:val="105"/>
        </w:rPr>
        <w:t>el contexto</w:t>
      </w:r>
      <w:r>
        <w:rPr>
          <w:color w:val="231F20"/>
          <w:spacing w:val="-15"/>
          <w:w w:val="105"/>
        </w:rPr>
        <w:t> </w:t>
      </w:r>
      <w:r>
        <w:rPr>
          <w:color w:val="231F20"/>
          <w:w w:val="105"/>
        </w:rPr>
        <w:t>general</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movilidades</w:t>
      </w:r>
      <w:r>
        <w:rPr>
          <w:color w:val="231F20"/>
          <w:spacing w:val="-15"/>
          <w:w w:val="105"/>
        </w:rPr>
        <w:t> </w:t>
      </w:r>
      <w:r>
        <w:rPr>
          <w:color w:val="231F20"/>
          <w:w w:val="105"/>
        </w:rPr>
        <w:t>en</w:t>
      </w:r>
      <w:r>
        <w:rPr>
          <w:color w:val="231F20"/>
          <w:spacing w:val="-15"/>
          <w:w w:val="105"/>
        </w:rPr>
        <w:t> </w:t>
      </w:r>
      <w:r>
        <w:rPr>
          <w:color w:val="231F20"/>
          <w:w w:val="105"/>
        </w:rPr>
        <w:t>intersección</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spacing w:val="-3"/>
          <w:w w:val="105"/>
        </w:rPr>
        <w:t>retorno</w:t>
      </w:r>
      <w:r>
        <w:rPr>
          <w:color w:val="231F20"/>
          <w:spacing w:val="-15"/>
          <w:w w:val="105"/>
        </w:rPr>
        <w:t> </w:t>
      </w:r>
      <w:r>
        <w:rPr>
          <w:color w:val="231F20"/>
          <w:w w:val="105"/>
        </w:rPr>
        <w:t>de</w:t>
      </w:r>
      <w:r>
        <w:rPr>
          <w:color w:val="231F20"/>
          <w:spacing w:val="-15"/>
          <w:w w:val="105"/>
        </w:rPr>
        <w:t> </w:t>
      </w:r>
      <w:r>
        <w:rPr>
          <w:color w:val="231F20"/>
          <w:w w:val="105"/>
        </w:rPr>
        <w:t>in- migrantes</w:t>
      </w:r>
      <w:r>
        <w:rPr>
          <w:color w:val="231F20"/>
          <w:spacing w:val="-16"/>
          <w:w w:val="105"/>
        </w:rPr>
        <w:t> </w:t>
      </w:r>
      <w:r>
        <w:rPr>
          <w:color w:val="231F20"/>
          <w:w w:val="105"/>
        </w:rPr>
        <w:t>internacionales,</w:t>
      </w:r>
      <w:r>
        <w:rPr>
          <w:color w:val="231F20"/>
          <w:spacing w:val="-21"/>
          <w:w w:val="105"/>
        </w:rPr>
        <w:t> </w:t>
      </w:r>
      <w:r>
        <w:rPr>
          <w:color w:val="231F20"/>
          <w:w w:val="105"/>
        </w:rPr>
        <w:t>y</w:t>
      </w:r>
      <w:r>
        <w:rPr>
          <w:color w:val="231F20"/>
          <w:spacing w:val="-16"/>
          <w:w w:val="105"/>
        </w:rPr>
        <w:t> </w:t>
      </w:r>
      <w:r>
        <w:rPr>
          <w:color w:val="231F20"/>
          <w:w w:val="105"/>
        </w:rPr>
        <w:t>se</w:t>
      </w:r>
      <w:r>
        <w:rPr>
          <w:color w:val="231F20"/>
          <w:spacing w:val="-16"/>
          <w:w w:val="105"/>
        </w:rPr>
        <w:t> </w:t>
      </w:r>
      <w:r>
        <w:rPr>
          <w:color w:val="231F20"/>
          <w:spacing w:val="-3"/>
          <w:w w:val="105"/>
        </w:rPr>
        <w:t>ofrece</w:t>
      </w:r>
      <w:r>
        <w:rPr>
          <w:color w:val="231F20"/>
          <w:spacing w:val="-16"/>
          <w:w w:val="105"/>
        </w:rPr>
        <w:t> </w:t>
      </w:r>
      <w:r>
        <w:rPr>
          <w:color w:val="231F20"/>
          <w:w w:val="105"/>
        </w:rPr>
        <w:t>un</w:t>
      </w:r>
      <w:r>
        <w:rPr>
          <w:color w:val="231F20"/>
          <w:spacing w:val="-16"/>
          <w:w w:val="105"/>
        </w:rPr>
        <w:t> </w:t>
      </w:r>
      <w:r>
        <w:rPr>
          <w:color w:val="231F20"/>
          <w:w w:val="105"/>
        </w:rPr>
        <w:t>perfil</w:t>
      </w:r>
      <w:r>
        <w:rPr>
          <w:color w:val="231F20"/>
          <w:spacing w:val="-16"/>
          <w:w w:val="105"/>
        </w:rPr>
        <w:t> </w:t>
      </w:r>
      <w:r>
        <w:rPr>
          <w:color w:val="231F20"/>
          <w:w w:val="105"/>
        </w:rPr>
        <w:t>demográfico</w:t>
      </w:r>
      <w:r>
        <w:rPr>
          <w:color w:val="231F20"/>
          <w:spacing w:val="-16"/>
          <w:w w:val="105"/>
        </w:rPr>
        <w:t> </w:t>
      </w:r>
      <w:r>
        <w:rPr>
          <w:color w:val="231F20"/>
          <w:w w:val="105"/>
        </w:rPr>
        <w:t>básico</w:t>
      </w:r>
      <w:r>
        <w:rPr>
          <w:color w:val="231F20"/>
          <w:spacing w:val="-16"/>
          <w:w w:val="105"/>
        </w:rPr>
        <w:t> </w:t>
      </w:r>
      <w:r>
        <w:rPr>
          <w:color w:val="231F20"/>
          <w:w w:val="105"/>
        </w:rPr>
        <w:t>de</w:t>
      </w:r>
      <w:r>
        <w:rPr>
          <w:color w:val="231F20"/>
          <w:spacing w:val="-16"/>
          <w:w w:val="105"/>
        </w:rPr>
        <w:t> </w:t>
      </w:r>
      <w:r>
        <w:rPr>
          <w:color w:val="231F20"/>
          <w:w w:val="105"/>
        </w:rPr>
        <w:t>la población</w:t>
      </w:r>
      <w:r>
        <w:rPr>
          <w:color w:val="231F20"/>
          <w:spacing w:val="-27"/>
          <w:w w:val="105"/>
        </w:rPr>
        <w:t> </w:t>
      </w:r>
      <w:r>
        <w:rPr>
          <w:color w:val="231F20"/>
          <w:spacing w:val="-3"/>
          <w:w w:val="105"/>
        </w:rPr>
        <w:t>circulante</w:t>
      </w:r>
      <w:r>
        <w:rPr>
          <w:color w:val="231F20"/>
          <w:spacing w:val="-27"/>
          <w:w w:val="105"/>
        </w:rPr>
        <w:t> </w:t>
      </w:r>
      <w:r>
        <w:rPr>
          <w:color w:val="231F20"/>
          <w:w w:val="105"/>
        </w:rPr>
        <w:t>por</w:t>
      </w:r>
      <w:r>
        <w:rPr>
          <w:color w:val="231F20"/>
          <w:spacing w:val="-27"/>
          <w:w w:val="105"/>
        </w:rPr>
        <w:t> </w:t>
      </w:r>
      <w:r>
        <w:rPr>
          <w:color w:val="231F20"/>
          <w:w w:val="105"/>
        </w:rPr>
        <w:t>este</w:t>
      </w:r>
      <w:r>
        <w:rPr>
          <w:color w:val="231F20"/>
          <w:spacing w:val="-27"/>
          <w:w w:val="105"/>
        </w:rPr>
        <w:t> </w:t>
      </w:r>
      <w:r>
        <w:rPr>
          <w:color w:val="231F20"/>
          <w:w w:val="105"/>
        </w:rPr>
        <w:t>espacio.</w:t>
      </w:r>
      <w:r>
        <w:rPr>
          <w:color w:val="231F20"/>
          <w:spacing w:val="-32"/>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spacing w:val="-3"/>
          <w:w w:val="105"/>
        </w:rPr>
        <w:t>tercera</w:t>
      </w:r>
      <w:r>
        <w:rPr>
          <w:color w:val="231F20"/>
          <w:spacing w:val="-27"/>
          <w:w w:val="105"/>
        </w:rPr>
        <w:t> </w:t>
      </w:r>
      <w:r>
        <w:rPr>
          <w:color w:val="231F20"/>
          <w:w w:val="105"/>
        </w:rPr>
        <w:t>sección</w:t>
      </w:r>
      <w:r>
        <w:rPr>
          <w:color w:val="231F20"/>
          <w:spacing w:val="-27"/>
          <w:w w:val="105"/>
        </w:rPr>
        <w:t> </w:t>
      </w:r>
      <w:r>
        <w:rPr>
          <w:color w:val="231F20"/>
          <w:w w:val="105"/>
        </w:rPr>
        <w:t>se</w:t>
      </w:r>
      <w:r>
        <w:rPr>
          <w:color w:val="231F20"/>
          <w:spacing w:val="-27"/>
          <w:w w:val="105"/>
        </w:rPr>
        <w:t> </w:t>
      </w:r>
      <w:r>
        <w:rPr>
          <w:color w:val="231F20"/>
          <w:spacing w:val="-3"/>
          <w:w w:val="105"/>
        </w:rPr>
        <w:t>desarrollan </w:t>
      </w:r>
      <w:r>
        <w:rPr>
          <w:color w:val="231F20"/>
          <w:w w:val="105"/>
        </w:rPr>
        <w:t>algunas</w:t>
      </w:r>
      <w:r>
        <w:rPr>
          <w:color w:val="231F20"/>
          <w:spacing w:val="-13"/>
          <w:w w:val="105"/>
        </w:rPr>
        <w:t> </w:t>
      </w:r>
      <w:r>
        <w:rPr>
          <w:color w:val="231F20"/>
          <w:w w:val="105"/>
        </w:rPr>
        <w:t>notas</w:t>
      </w:r>
      <w:r>
        <w:rPr>
          <w:color w:val="231F20"/>
          <w:spacing w:val="-13"/>
          <w:w w:val="105"/>
        </w:rPr>
        <w:t> </w:t>
      </w:r>
      <w:r>
        <w:rPr>
          <w:color w:val="231F20"/>
          <w:w w:val="105"/>
        </w:rPr>
        <w:t>metodológicas</w:t>
      </w:r>
      <w:r>
        <w:rPr>
          <w:color w:val="231F20"/>
          <w:spacing w:val="-13"/>
          <w:w w:val="105"/>
        </w:rPr>
        <w:t> </w:t>
      </w:r>
      <w:r>
        <w:rPr>
          <w:color w:val="231F20"/>
          <w:w w:val="105"/>
        </w:rPr>
        <w:t>en</w:t>
      </w:r>
      <w:r>
        <w:rPr>
          <w:color w:val="231F20"/>
          <w:spacing w:val="-13"/>
          <w:w w:val="105"/>
        </w:rPr>
        <w:t> </w:t>
      </w:r>
      <w:r>
        <w:rPr>
          <w:color w:val="231F20"/>
          <w:w w:val="105"/>
        </w:rPr>
        <w:t>torno</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w w:val="105"/>
        </w:rPr>
        <w:t>modalidades</w:t>
      </w:r>
      <w:r>
        <w:rPr>
          <w:color w:val="231F20"/>
          <w:spacing w:val="-13"/>
          <w:w w:val="105"/>
        </w:rPr>
        <w:t> </w:t>
      </w:r>
      <w:r>
        <w:rPr>
          <w:color w:val="231F20"/>
          <w:w w:val="105"/>
        </w:rPr>
        <w:t>seguidas</w:t>
      </w:r>
      <w:r>
        <w:rPr>
          <w:color w:val="231F20"/>
          <w:spacing w:val="-13"/>
          <w:w w:val="105"/>
        </w:rPr>
        <w:t> </w:t>
      </w:r>
      <w:r>
        <w:rPr>
          <w:color w:val="231F20"/>
          <w:w w:val="105"/>
        </w:rPr>
        <w:t>para construir</w:t>
      </w:r>
      <w:r>
        <w:rPr>
          <w:color w:val="231F20"/>
          <w:spacing w:val="-15"/>
          <w:w w:val="105"/>
        </w:rPr>
        <w:t> </w:t>
      </w:r>
      <w:r>
        <w:rPr>
          <w:color w:val="231F20"/>
          <w:w w:val="105"/>
        </w:rPr>
        <w:t>y</w:t>
      </w:r>
      <w:r>
        <w:rPr>
          <w:color w:val="231F20"/>
          <w:spacing w:val="-15"/>
          <w:w w:val="105"/>
        </w:rPr>
        <w:t> </w:t>
      </w:r>
      <w:r>
        <w:rPr>
          <w:color w:val="231F20"/>
          <w:w w:val="105"/>
        </w:rPr>
        <w:t>contrastar</w:t>
      </w:r>
      <w:r>
        <w:rPr>
          <w:color w:val="231F20"/>
          <w:spacing w:val="-15"/>
          <w:w w:val="105"/>
        </w:rPr>
        <w:t> </w:t>
      </w:r>
      <w:r>
        <w:rPr>
          <w:color w:val="231F20"/>
          <w:w w:val="105"/>
        </w:rPr>
        <w:t>los</w:t>
      </w:r>
      <w:r>
        <w:rPr>
          <w:color w:val="231F20"/>
          <w:spacing w:val="-15"/>
          <w:w w:val="105"/>
        </w:rPr>
        <w:t> </w:t>
      </w:r>
      <w:r>
        <w:rPr>
          <w:color w:val="231F20"/>
          <w:spacing w:val="-3"/>
          <w:w w:val="105"/>
        </w:rPr>
        <w:t>relatos</w:t>
      </w:r>
      <w:r>
        <w:rPr>
          <w:color w:val="231F20"/>
          <w:spacing w:val="-15"/>
          <w:w w:val="105"/>
        </w:rPr>
        <w:t> </w:t>
      </w:r>
      <w:r>
        <w:rPr>
          <w:color w:val="231F20"/>
          <w:w w:val="105"/>
        </w:rPr>
        <w:t>biográficos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spacing w:val="-2"/>
          <w:w w:val="105"/>
        </w:rPr>
        <w:t>encuentran</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últi- ma</w:t>
      </w:r>
      <w:r>
        <w:rPr>
          <w:color w:val="231F20"/>
          <w:spacing w:val="-20"/>
          <w:w w:val="105"/>
        </w:rPr>
        <w:t> </w:t>
      </w:r>
      <w:r>
        <w:rPr>
          <w:color w:val="231F20"/>
          <w:w w:val="105"/>
        </w:rPr>
        <w:t>parte</w:t>
      </w:r>
      <w:r>
        <w:rPr>
          <w:color w:val="231F20"/>
          <w:spacing w:val="-20"/>
          <w:w w:val="105"/>
        </w:rPr>
        <w:t> </w:t>
      </w:r>
      <w:r>
        <w:rPr>
          <w:color w:val="231F20"/>
          <w:w w:val="105"/>
        </w:rPr>
        <w:t>del</w:t>
      </w:r>
      <w:r>
        <w:rPr>
          <w:color w:val="231F20"/>
          <w:spacing w:val="-20"/>
          <w:w w:val="105"/>
        </w:rPr>
        <w:t> </w:t>
      </w:r>
      <w:r>
        <w:rPr>
          <w:color w:val="231F20"/>
          <w:spacing w:val="-3"/>
          <w:w w:val="105"/>
        </w:rPr>
        <w:t>artículo.</w:t>
      </w:r>
      <w:r>
        <w:rPr>
          <w:color w:val="231F20"/>
          <w:spacing w:val="-28"/>
          <w:w w:val="105"/>
        </w:rPr>
        <w:t> </w:t>
      </w:r>
      <w:r>
        <w:rPr>
          <w:color w:val="231F20"/>
          <w:w w:val="105"/>
        </w:rPr>
        <w:t>Así,</w:t>
      </w:r>
      <w:r>
        <w:rPr>
          <w:color w:val="231F20"/>
          <w:spacing w:val="-25"/>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parte</w:t>
      </w:r>
      <w:r>
        <w:rPr>
          <w:color w:val="231F20"/>
          <w:spacing w:val="-20"/>
          <w:w w:val="105"/>
        </w:rPr>
        <w:t> </w:t>
      </w:r>
      <w:r>
        <w:rPr>
          <w:color w:val="231F20"/>
          <w:w w:val="105"/>
        </w:rPr>
        <w:t>final</w:t>
      </w:r>
      <w:r>
        <w:rPr>
          <w:color w:val="231F20"/>
          <w:spacing w:val="-20"/>
          <w:w w:val="105"/>
        </w:rPr>
        <w:t> </w:t>
      </w:r>
      <w:r>
        <w:rPr>
          <w:color w:val="231F20"/>
          <w:w w:val="105"/>
        </w:rPr>
        <w:t>se</w:t>
      </w:r>
      <w:r>
        <w:rPr>
          <w:color w:val="231F20"/>
          <w:spacing w:val="-20"/>
          <w:w w:val="105"/>
        </w:rPr>
        <w:t> </w:t>
      </w:r>
      <w:r>
        <w:rPr>
          <w:color w:val="231F20"/>
          <w:spacing w:val="-3"/>
          <w:w w:val="105"/>
        </w:rPr>
        <w:t>presentan</w:t>
      </w:r>
      <w:r>
        <w:rPr>
          <w:color w:val="231F20"/>
          <w:spacing w:val="-20"/>
          <w:w w:val="105"/>
        </w:rPr>
        <w:t> </w:t>
      </w:r>
      <w:r>
        <w:rPr>
          <w:color w:val="231F20"/>
          <w:spacing w:val="-3"/>
          <w:w w:val="105"/>
        </w:rPr>
        <w:t>cuatro</w:t>
      </w:r>
      <w:r>
        <w:rPr>
          <w:color w:val="231F20"/>
          <w:spacing w:val="-20"/>
          <w:w w:val="105"/>
        </w:rPr>
        <w:t> </w:t>
      </w:r>
      <w:r>
        <w:rPr>
          <w:color w:val="231F20"/>
          <w:w w:val="105"/>
        </w:rPr>
        <w:t>viñetas</w:t>
      </w:r>
      <w:r>
        <w:rPr>
          <w:color w:val="231F20"/>
          <w:spacing w:val="-20"/>
          <w:w w:val="105"/>
        </w:rPr>
        <w:t> </w:t>
      </w:r>
      <w:r>
        <w:rPr>
          <w:color w:val="231F20"/>
          <w:spacing w:val="-2"/>
          <w:w w:val="105"/>
        </w:rPr>
        <w:t>con </w:t>
      </w:r>
      <w:r>
        <w:rPr>
          <w:color w:val="231F20"/>
          <w:w w:val="105"/>
        </w:rPr>
        <w:t>las</w:t>
      </w:r>
      <w:r>
        <w:rPr>
          <w:color w:val="231F20"/>
          <w:spacing w:val="-19"/>
          <w:w w:val="105"/>
        </w:rPr>
        <w:t> </w:t>
      </w:r>
      <w:r>
        <w:rPr>
          <w:color w:val="231F20"/>
          <w:spacing w:val="-3"/>
          <w:w w:val="105"/>
        </w:rPr>
        <w:t>narrativas</w:t>
      </w:r>
      <w:r>
        <w:rPr>
          <w:color w:val="231F20"/>
          <w:spacing w:val="-19"/>
          <w:w w:val="105"/>
        </w:rPr>
        <w:t> </w:t>
      </w:r>
      <w:r>
        <w:rPr>
          <w:color w:val="231F20"/>
          <w:w w:val="105"/>
        </w:rPr>
        <w:t>biográficas</w:t>
      </w:r>
      <w:r>
        <w:rPr>
          <w:color w:val="231F20"/>
          <w:spacing w:val="-19"/>
          <w:w w:val="105"/>
        </w:rPr>
        <w:t> </w:t>
      </w:r>
      <w:r>
        <w:rPr>
          <w:color w:val="231F20"/>
          <w:w w:val="105"/>
        </w:rPr>
        <w:t>(experiencia</w:t>
      </w:r>
      <w:r>
        <w:rPr>
          <w:color w:val="231F20"/>
          <w:spacing w:val="-19"/>
          <w:w w:val="105"/>
        </w:rPr>
        <w:t> </w:t>
      </w:r>
      <w:r>
        <w:rPr>
          <w:color w:val="231F20"/>
          <w:w w:val="105"/>
        </w:rPr>
        <w:t>de</w:t>
      </w:r>
      <w:r>
        <w:rPr>
          <w:color w:val="231F20"/>
          <w:spacing w:val="-19"/>
          <w:w w:val="105"/>
        </w:rPr>
        <w:t> </w:t>
      </w:r>
      <w:r>
        <w:rPr>
          <w:color w:val="231F20"/>
          <w:w w:val="105"/>
        </w:rPr>
        <w:t>vida</w:t>
      </w:r>
      <w:r>
        <w:rPr>
          <w:color w:val="231F20"/>
          <w:spacing w:val="-19"/>
          <w:w w:val="105"/>
        </w:rPr>
        <w:t> </w:t>
      </w:r>
      <w:r>
        <w:rPr>
          <w:color w:val="231F20"/>
          <w:w w:val="105"/>
        </w:rPr>
        <w:t>y</w:t>
      </w:r>
      <w:r>
        <w:rPr>
          <w:color w:val="231F20"/>
          <w:spacing w:val="-19"/>
          <w:w w:val="105"/>
        </w:rPr>
        <w:t> </w:t>
      </w:r>
      <w:r>
        <w:rPr>
          <w:color w:val="231F20"/>
          <w:w w:val="105"/>
        </w:rPr>
        <w:t>trabajo)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migrantes </w:t>
      </w:r>
      <w:r>
        <w:rPr>
          <w:color w:val="231F20"/>
          <w:w w:val="105"/>
        </w:rPr>
        <w:t>tanto</w:t>
      </w:r>
      <w:r>
        <w:rPr>
          <w:color w:val="231F20"/>
          <w:spacing w:val="-13"/>
          <w:w w:val="105"/>
        </w:rPr>
        <w:t> </w:t>
      </w:r>
      <w:r>
        <w:rPr>
          <w:color w:val="231F20"/>
          <w:w w:val="105"/>
        </w:rPr>
        <w:t>en</w:t>
      </w:r>
      <w:r>
        <w:rPr>
          <w:color w:val="231F20"/>
          <w:spacing w:val="-13"/>
          <w:w w:val="105"/>
        </w:rPr>
        <w:t> </w:t>
      </w:r>
      <w:r>
        <w:rPr>
          <w:color w:val="231F20"/>
          <w:w w:val="105"/>
        </w:rPr>
        <w:t>Estados</w:t>
      </w:r>
      <w:r>
        <w:rPr>
          <w:color w:val="231F20"/>
          <w:spacing w:val="-13"/>
          <w:w w:val="105"/>
        </w:rPr>
        <w:t> </w:t>
      </w:r>
      <w:r>
        <w:rPr>
          <w:color w:val="231F20"/>
          <w:w w:val="105"/>
        </w:rPr>
        <w:t>Unidos</w:t>
      </w:r>
      <w:r>
        <w:rPr>
          <w:color w:val="231F20"/>
          <w:spacing w:val="-13"/>
          <w:w w:val="105"/>
        </w:rPr>
        <w:t> </w:t>
      </w:r>
      <w:r>
        <w:rPr>
          <w:color w:val="231F20"/>
          <w:w w:val="105"/>
        </w:rPr>
        <w:t>como</w:t>
      </w:r>
      <w:r>
        <w:rPr>
          <w:color w:val="231F20"/>
          <w:spacing w:val="-13"/>
          <w:w w:val="105"/>
        </w:rPr>
        <w:t> </w:t>
      </w:r>
      <w:r>
        <w:rPr>
          <w:color w:val="231F20"/>
          <w:w w:val="105"/>
        </w:rPr>
        <w:t>en</w:t>
      </w:r>
      <w:r>
        <w:rPr>
          <w:color w:val="231F20"/>
          <w:spacing w:val="-13"/>
          <w:w w:val="105"/>
        </w:rPr>
        <w:t> </w:t>
      </w:r>
      <w:r>
        <w:rPr>
          <w:color w:val="231F20"/>
          <w:spacing w:val="-3"/>
          <w:w w:val="105"/>
        </w:rPr>
        <w:t>México,</w:t>
      </w:r>
      <w:r>
        <w:rPr>
          <w:color w:val="231F20"/>
          <w:spacing w:val="-18"/>
          <w:w w:val="105"/>
        </w:rPr>
        <w:t> </w:t>
      </w:r>
      <w:r>
        <w:rPr>
          <w:color w:val="231F20"/>
          <w:w w:val="105"/>
        </w:rPr>
        <w:t>dicha</w:t>
      </w:r>
      <w:r>
        <w:rPr>
          <w:color w:val="231F20"/>
          <w:spacing w:val="-13"/>
          <w:w w:val="105"/>
        </w:rPr>
        <w:t> </w:t>
      </w:r>
      <w:r>
        <w:rPr>
          <w:color w:val="231F20"/>
          <w:spacing w:val="-3"/>
          <w:w w:val="105"/>
        </w:rPr>
        <w:t>comparativa</w:t>
      </w:r>
      <w:r>
        <w:rPr>
          <w:color w:val="231F20"/>
          <w:spacing w:val="-13"/>
          <w:w w:val="105"/>
        </w:rPr>
        <w:t> </w:t>
      </w:r>
      <w:r>
        <w:rPr>
          <w:color w:val="231F20"/>
          <w:w w:val="105"/>
        </w:rPr>
        <w:t>permite</w:t>
      </w:r>
      <w:r>
        <w:rPr>
          <w:color w:val="231F20"/>
          <w:spacing w:val="-13"/>
          <w:w w:val="105"/>
        </w:rPr>
        <w:t> </w:t>
      </w:r>
      <w:r>
        <w:rPr>
          <w:color w:val="231F20"/>
          <w:w w:val="105"/>
        </w:rPr>
        <w:t>un </w:t>
      </w:r>
      <w:r>
        <w:rPr>
          <w:color w:val="231F20"/>
          <w:spacing w:val="-3"/>
          <w:w w:val="105"/>
        </w:rPr>
        <w:t>ejercicio </w:t>
      </w:r>
      <w:r>
        <w:rPr>
          <w:color w:val="231F20"/>
          <w:w w:val="105"/>
        </w:rPr>
        <w:t>de </w:t>
      </w:r>
      <w:r>
        <w:rPr>
          <w:color w:val="231F20"/>
          <w:spacing w:val="-3"/>
          <w:w w:val="105"/>
        </w:rPr>
        <w:t>interpretación sobre </w:t>
      </w:r>
      <w:r>
        <w:rPr>
          <w:color w:val="231F20"/>
          <w:w w:val="105"/>
        </w:rPr>
        <w:t>las condiciones y consecuencias de la </w:t>
      </w:r>
      <w:r>
        <w:rPr>
          <w:color w:val="231F20"/>
          <w:spacing w:val="-3"/>
          <w:w w:val="105"/>
        </w:rPr>
        <w:t>relación</w:t>
      </w:r>
      <w:r>
        <w:rPr>
          <w:color w:val="231F20"/>
          <w:spacing w:val="-15"/>
          <w:w w:val="105"/>
        </w:rPr>
        <w:t> </w:t>
      </w:r>
      <w:r>
        <w:rPr>
          <w:color w:val="231F20"/>
          <w:spacing w:val="-3"/>
          <w:w w:val="105"/>
        </w:rPr>
        <w:t>entre</w:t>
      </w:r>
      <w:r>
        <w:rPr>
          <w:color w:val="231F20"/>
          <w:spacing w:val="-15"/>
          <w:w w:val="105"/>
        </w:rPr>
        <w:t> </w:t>
      </w:r>
      <w:r>
        <w:rPr>
          <w:color w:val="231F20"/>
          <w:spacing w:val="-3"/>
          <w:w w:val="105"/>
        </w:rPr>
        <w:t>reinserción,</w:t>
      </w:r>
      <w:r>
        <w:rPr>
          <w:color w:val="231F20"/>
          <w:spacing w:val="-21"/>
          <w:w w:val="105"/>
        </w:rPr>
        <w:t> </w:t>
      </w:r>
      <w:r>
        <w:rPr>
          <w:color w:val="231F20"/>
          <w:spacing w:val="-3"/>
          <w:w w:val="105"/>
        </w:rPr>
        <w:t>reemigración</w:t>
      </w:r>
      <w:r>
        <w:rPr>
          <w:color w:val="231F20"/>
          <w:spacing w:val="-15"/>
          <w:w w:val="105"/>
        </w:rPr>
        <w:t> </w:t>
      </w:r>
      <w:r>
        <w:rPr>
          <w:color w:val="231F20"/>
          <w:w w:val="105"/>
        </w:rPr>
        <w:t>o</w:t>
      </w:r>
      <w:r>
        <w:rPr>
          <w:color w:val="231F20"/>
          <w:spacing w:val="-15"/>
          <w:w w:val="105"/>
        </w:rPr>
        <w:t> </w:t>
      </w:r>
      <w:r>
        <w:rPr>
          <w:color w:val="231F20"/>
          <w:w w:val="105"/>
        </w:rPr>
        <w:t>establecimiento.</w:t>
      </w:r>
    </w:p>
    <w:p>
      <w:pPr>
        <w:pStyle w:val="BodyText"/>
        <w:rPr>
          <w:sz w:val="20"/>
        </w:rPr>
      </w:pPr>
    </w:p>
    <w:p>
      <w:pPr>
        <w:pStyle w:val="Heading3"/>
        <w:spacing w:before="122"/>
        <w:ind w:left="1723"/>
        <w:jc w:val="left"/>
      </w:pPr>
      <w:r>
        <w:rPr>
          <w:color w:val="231F20"/>
          <w:w w:val="95"/>
        </w:rPr>
        <w:t>Antecedentes y supuestos</w:t>
      </w:r>
    </w:p>
    <w:p>
      <w:pPr>
        <w:pStyle w:val="BodyText"/>
        <w:spacing w:before="4"/>
        <w:rPr>
          <w:rFonts w:ascii="Arial"/>
          <w:b/>
          <w:sz w:val="26"/>
        </w:rPr>
      </w:pPr>
    </w:p>
    <w:p>
      <w:pPr>
        <w:pStyle w:val="BodyText"/>
        <w:ind w:left="1723"/>
      </w:pPr>
      <w:r>
        <w:rPr>
          <w:color w:val="231F20"/>
          <w:w w:val="105"/>
        </w:rPr>
        <w:t>En el municipio de Nezahualcóyotl se ha probado que el concepto   de</w:t>
      </w:r>
    </w:p>
    <w:p>
      <w:pPr>
        <w:pStyle w:val="BodyText"/>
        <w:spacing w:before="19"/>
        <w:ind w:left="1723"/>
      </w:pPr>
      <w:r>
        <w:rPr>
          <w:rFonts w:ascii="Arial" w:hAnsi="Arial"/>
          <w:i/>
          <w:color w:val="231F20"/>
          <w:w w:val="105"/>
        </w:rPr>
        <w:t>retorno </w:t>
      </w:r>
      <w:r>
        <w:rPr>
          <w:color w:val="231F20"/>
          <w:w w:val="105"/>
        </w:rPr>
        <w:t>–no obstante que aún es retomado en este texto– tiene una baja</w:t>
      </w:r>
    </w:p>
    <w:p>
      <w:pPr>
        <w:pStyle w:val="BodyText"/>
        <w:rPr>
          <w:sz w:val="20"/>
        </w:rPr>
      </w:pPr>
    </w:p>
    <w:p>
      <w:pPr>
        <w:pStyle w:val="BodyText"/>
        <w:spacing w:before="10"/>
        <w:rPr>
          <w:sz w:val="23"/>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8936" from="131.551193pt,3.753715pt" to="131.551193pt,39.556114pt" stroked="true" strokeweight=".35pt" strokecolor="#231f20">
            <w10:wrap type="none"/>
          </v:line>
        </w:pict>
      </w:r>
      <w:r>
        <w:rPr/>
        <w:pict>
          <v:line style="position:absolute;mso-position-horizontal-relative:page;mso-position-vertical-relative:paragraph;z-index:-478912" from="15pt,39.555916pt" to="0pt,39.555916pt" stroked="true" strokeweight=".25pt" strokecolor="#000000">
            <w10:wrap type="none"/>
          </v:line>
        </w:pict>
      </w:r>
      <w:r>
        <w:rPr/>
        <w:pict>
          <v:line style="position:absolute;mso-position-horizontal-relative:page;mso-position-vertical-relative:paragraph;z-index:11296" from="508.890015pt,39.555916pt" to="523.890015pt,39.555916pt" stroked="true" strokeweight=".25pt" strokecolor="#000000">
            <w10:wrap type="none"/>
          </v:line>
        </w:pict>
      </w:r>
      <w:r>
        <w:rPr>
          <w:rFonts w:ascii="Arial" w:hAnsi="Arial"/>
          <w:color w:val="414042"/>
          <w:position w:val="-5"/>
          <w:sz w:val="20"/>
        </w:rPr>
        <w:t>116</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footerReference w:type="default" r:id="rId105"/>
          <w:pgSz w:w="10480" w:h="14730"/>
          <w:pgMar w:footer="103" w:header="0" w:top="42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8864" from="405.061005pt,-18.554295pt" to="405.061005pt,16.311579pt" stroked="true" strokeweight=".35pt" strokecolor="#231f20">
            <w10:wrap type="none"/>
          </v:line>
        </w:pict>
      </w:r>
      <w:r>
        <w:rPr/>
        <w:pict>
          <v:line style="position:absolute;mso-position-horizontal-relative:page;mso-position-vertical-relative:paragraph;z-index:11344" from="15pt,-18.554522pt" to="0pt,-18.554522pt" stroked="true" strokeweight=".25pt" strokecolor="#000000">
            <w10:wrap type="none"/>
          </v:line>
        </w:pict>
      </w:r>
      <w:r>
        <w:rPr/>
        <w:pict>
          <v:line style="position:absolute;mso-position-horizontal-relative:page;mso-position-vertical-relative:paragraph;z-index:11368"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117</w:t>
      </w:r>
    </w:p>
    <w:p>
      <w:pPr>
        <w:pStyle w:val="BodyText"/>
        <w:rPr>
          <w:rFonts w:ascii="Arial"/>
          <w:sz w:val="20"/>
        </w:rPr>
      </w:pPr>
    </w:p>
    <w:p>
      <w:pPr>
        <w:pStyle w:val="BodyText"/>
        <w:rPr>
          <w:rFonts w:ascii="Arial"/>
          <w:sz w:val="20"/>
        </w:rPr>
      </w:pPr>
    </w:p>
    <w:p>
      <w:pPr>
        <w:pStyle w:val="BodyText"/>
        <w:spacing w:line="261" w:lineRule="auto" w:before="179"/>
        <w:ind w:left="1837" w:right="1714"/>
        <w:jc w:val="right"/>
      </w:pPr>
      <w:r>
        <w:rPr>
          <w:color w:val="231F20"/>
          <w:w w:val="105"/>
        </w:rPr>
        <w:t>capacidad</w:t>
      </w:r>
      <w:r>
        <w:rPr>
          <w:color w:val="231F20"/>
          <w:spacing w:val="-20"/>
          <w:w w:val="105"/>
        </w:rPr>
        <w:t> </w:t>
      </w:r>
      <w:r>
        <w:rPr>
          <w:color w:val="231F20"/>
          <w:w w:val="105"/>
        </w:rPr>
        <w:t>heurística</w:t>
      </w:r>
      <w:r>
        <w:rPr>
          <w:color w:val="231F20"/>
          <w:spacing w:val="-20"/>
          <w:w w:val="105"/>
        </w:rPr>
        <w:t> </w:t>
      </w:r>
      <w:r>
        <w:rPr>
          <w:color w:val="231F20"/>
          <w:w w:val="105"/>
        </w:rPr>
        <w:t>para</w:t>
      </w:r>
      <w:r>
        <w:rPr>
          <w:color w:val="231F20"/>
          <w:spacing w:val="-20"/>
          <w:w w:val="105"/>
        </w:rPr>
        <w:t> </w:t>
      </w:r>
      <w:r>
        <w:rPr>
          <w:color w:val="231F20"/>
          <w:w w:val="105"/>
        </w:rPr>
        <w:t>dar</w:t>
      </w:r>
      <w:r>
        <w:rPr>
          <w:color w:val="231F20"/>
          <w:spacing w:val="-20"/>
          <w:w w:val="105"/>
        </w:rPr>
        <w:t> </w:t>
      </w:r>
      <w:r>
        <w:rPr>
          <w:color w:val="231F20"/>
          <w:w w:val="105"/>
        </w:rPr>
        <w:t>cuenta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compleja</w:t>
      </w:r>
      <w:r>
        <w:rPr>
          <w:color w:val="231F20"/>
          <w:spacing w:val="-20"/>
          <w:w w:val="105"/>
        </w:rPr>
        <w:t> </w:t>
      </w:r>
      <w:r>
        <w:rPr>
          <w:color w:val="231F20"/>
          <w:w w:val="105"/>
        </w:rPr>
        <w:t>red</w:t>
      </w:r>
      <w:r>
        <w:rPr>
          <w:color w:val="231F20"/>
          <w:spacing w:val="-20"/>
          <w:w w:val="105"/>
        </w:rPr>
        <w:t> </w:t>
      </w:r>
      <w:r>
        <w:rPr>
          <w:color w:val="231F20"/>
          <w:w w:val="105"/>
        </w:rPr>
        <w:t>de</w:t>
      </w:r>
      <w:r>
        <w:rPr>
          <w:color w:val="231F20"/>
          <w:spacing w:val="-20"/>
          <w:w w:val="105"/>
        </w:rPr>
        <w:t> </w:t>
      </w:r>
      <w:r>
        <w:rPr>
          <w:color w:val="231F20"/>
          <w:w w:val="105"/>
        </w:rPr>
        <w:t>circulaciones</w:t>
      </w:r>
      <w:r>
        <w:rPr>
          <w:color w:val="231F20"/>
          <w:w w:val="101"/>
        </w:rPr>
        <w:t> </w:t>
      </w:r>
      <w:r>
        <w:rPr>
          <w:color w:val="231F20"/>
          <w:w w:val="105"/>
        </w:rPr>
        <w:t>y</w:t>
      </w:r>
      <w:r>
        <w:rPr>
          <w:color w:val="231F20"/>
          <w:spacing w:val="-11"/>
          <w:w w:val="105"/>
        </w:rPr>
        <w:t> </w:t>
      </w:r>
      <w:r>
        <w:rPr>
          <w:color w:val="231F20"/>
          <w:w w:val="105"/>
        </w:rPr>
        <w:t>desplazamientos</w:t>
      </w:r>
      <w:r>
        <w:rPr>
          <w:color w:val="231F20"/>
          <w:spacing w:val="-11"/>
          <w:w w:val="105"/>
        </w:rPr>
        <w:t> </w:t>
      </w:r>
      <w:r>
        <w:rPr>
          <w:color w:val="231F20"/>
          <w:w w:val="105"/>
        </w:rPr>
        <w:t>múltiples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migrantes</w:t>
      </w:r>
      <w:r>
        <w:rPr>
          <w:color w:val="231F20"/>
          <w:spacing w:val="-11"/>
          <w:w w:val="105"/>
        </w:rPr>
        <w:t> </w:t>
      </w:r>
      <w:r>
        <w:rPr>
          <w:color w:val="231F20"/>
          <w:w w:val="105"/>
        </w:rPr>
        <w:t>que</w:t>
      </w:r>
      <w:r>
        <w:rPr>
          <w:color w:val="231F20"/>
          <w:spacing w:val="-11"/>
          <w:w w:val="105"/>
        </w:rPr>
        <w:t> </w:t>
      </w:r>
      <w:r>
        <w:rPr>
          <w:color w:val="231F20"/>
          <w:w w:val="105"/>
        </w:rPr>
        <w:t>regresan;</w:t>
      </w:r>
      <w:r>
        <w:rPr>
          <w:color w:val="231F20"/>
          <w:spacing w:val="-11"/>
          <w:w w:val="105"/>
        </w:rPr>
        <w:t> </w:t>
      </w:r>
      <w:r>
        <w:rPr>
          <w:color w:val="231F20"/>
          <w:w w:val="105"/>
        </w:rPr>
        <w:t>por</w:t>
      </w:r>
      <w:r>
        <w:rPr>
          <w:color w:val="231F20"/>
          <w:spacing w:val="-11"/>
          <w:w w:val="105"/>
        </w:rPr>
        <w:t> </w:t>
      </w:r>
      <w:r>
        <w:rPr>
          <w:color w:val="231F20"/>
          <w:w w:val="105"/>
        </w:rPr>
        <w:t>lo</w:t>
      </w:r>
      <w:r>
        <w:rPr>
          <w:color w:val="231F20"/>
          <w:spacing w:val="-11"/>
          <w:w w:val="105"/>
        </w:rPr>
        <w:t> </w:t>
      </w:r>
      <w:r>
        <w:rPr>
          <w:color w:val="231F20"/>
          <w:w w:val="105"/>
        </w:rPr>
        <w:t>ante-</w:t>
      </w:r>
      <w:r>
        <w:rPr>
          <w:color w:val="231F20"/>
          <w:w w:val="96"/>
        </w:rPr>
        <w:t> </w:t>
      </w:r>
      <w:r>
        <w:rPr>
          <w:color w:val="231F20"/>
          <w:spacing w:val="-3"/>
          <w:w w:val="105"/>
        </w:rPr>
        <w:t>rior,</w:t>
      </w:r>
      <w:r>
        <w:rPr>
          <w:color w:val="231F20"/>
          <w:spacing w:val="-26"/>
          <w:w w:val="105"/>
        </w:rPr>
        <w:t> </w:t>
      </w:r>
      <w:r>
        <w:rPr>
          <w:rFonts w:ascii="Arial" w:hAnsi="Arial"/>
          <w:i/>
          <w:color w:val="231F20"/>
          <w:w w:val="105"/>
        </w:rPr>
        <w:t>regresar</w:t>
      </w:r>
      <w:r>
        <w:rPr>
          <w:rFonts w:ascii="Arial" w:hAnsi="Arial"/>
          <w:i/>
          <w:color w:val="231F20"/>
          <w:spacing w:val="-24"/>
          <w:w w:val="105"/>
        </w:rPr>
        <w:t> </w:t>
      </w:r>
      <w:r>
        <w:rPr>
          <w:rFonts w:ascii="Arial" w:hAnsi="Arial"/>
          <w:i/>
          <w:color w:val="231F20"/>
          <w:w w:val="105"/>
        </w:rPr>
        <w:t>a</w:t>
      </w:r>
      <w:r>
        <w:rPr>
          <w:rFonts w:ascii="Arial" w:hAnsi="Arial"/>
          <w:i/>
          <w:color w:val="231F20"/>
          <w:spacing w:val="-24"/>
          <w:w w:val="105"/>
        </w:rPr>
        <w:t> </w:t>
      </w:r>
      <w:r>
        <w:rPr>
          <w:rFonts w:ascii="Arial" w:hAnsi="Arial"/>
          <w:i/>
          <w:color w:val="231F20"/>
          <w:w w:val="105"/>
        </w:rPr>
        <w:t>casa,</w:t>
      </w:r>
      <w:r>
        <w:rPr>
          <w:rFonts w:ascii="Arial" w:hAnsi="Arial"/>
          <w:i/>
          <w:color w:val="231F20"/>
          <w:spacing w:val="-24"/>
          <w:w w:val="105"/>
        </w:rPr>
        <w:t> </w:t>
      </w:r>
      <w:r>
        <w:rPr>
          <w:color w:val="231F20"/>
          <w:w w:val="105"/>
        </w:rPr>
        <w:t>como</w:t>
      </w:r>
      <w:r>
        <w:rPr>
          <w:color w:val="231F20"/>
          <w:spacing w:val="-21"/>
          <w:w w:val="105"/>
        </w:rPr>
        <w:t> </w:t>
      </w:r>
      <w:r>
        <w:rPr>
          <w:color w:val="231F20"/>
          <w:w w:val="105"/>
        </w:rPr>
        <w:t>se</w:t>
      </w:r>
      <w:r>
        <w:rPr>
          <w:color w:val="231F20"/>
          <w:spacing w:val="-21"/>
          <w:w w:val="105"/>
        </w:rPr>
        <w:t> </w:t>
      </w:r>
      <w:r>
        <w:rPr>
          <w:color w:val="231F20"/>
          <w:w w:val="105"/>
        </w:rPr>
        <w:t>interpreta</w:t>
      </w:r>
      <w:r>
        <w:rPr>
          <w:color w:val="231F20"/>
          <w:spacing w:val="-21"/>
          <w:w w:val="105"/>
        </w:rPr>
        <w:t> </w:t>
      </w:r>
      <w:r>
        <w:rPr>
          <w:color w:val="231F20"/>
          <w:w w:val="105"/>
        </w:rPr>
        <w:t>habitualmente</w:t>
      </w:r>
      <w:r>
        <w:rPr>
          <w:color w:val="231F20"/>
          <w:spacing w:val="-21"/>
          <w:w w:val="105"/>
        </w:rPr>
        <w:t> </w:t>
      </w:r>
      <w:r>
        <w:rPr>
          <w:color w:val="231F20"/>
          <w:w w:val="105"/>
        </w:rPr>
        <w:t>el</w:t>
      </w:r>
      <w:r>
        <w:rPr>
          <w:color w:val="231F20"/>
          <w:spacing w:val="-21"/>
          <w:w w:val="105"/>
        </w:rPr>
        <w:t> </w:t>
      </w:r>
      <w:r>
        <w:rPr>
          <w:color w:val="231F20"/>
          <w:w w:val="105"/>
        </w:rPr>
        <w:t>retorno</w:t>
      </w:r>
      <w:r>
        <w:rPr>
          <w:color w:val="231F20"/>
          <w:spacing w:val="-21"/>
          <w:w w:val="105"/>
        </w:rPr>
        <w:t> </w:t>
      </w:r>
      <w:r>
        <w:rPr>
          <w:color w:val="231F20"/>
          <w:w w:val="105"/>
        </w:rPr>
        <w:t>(Bielsa,</w:t>
      </w:r>
      <w:r>
        <w:rPr>
          <w:color w:val="231F20"/>
          <w:w w:val="97"/>
        </w:rPr>
        <w:t> </w:t>
      </w:r>
      <w:r>
        <w:rPr>
          <w:color w:val="231F20"/>
          <w:w w:val="105"/>
        </w:rPr>
        <w:t>Casellas</w:t>
      </w:r>
      <w:r>
        <w:rPr>
          <w:color w:val="231F20"/>
          <w:spacing w:val="-25"/>
          <w:w w:val="105"/>
        </w:rPr>
        <w:t> </w:t>
      </w:r>
      <w:r>
        <w:rPr>
          <w:color w:val="231F20"/>
          <w:w w:val="105"/>
        </w:rPr>
        <w:t>y</w:t>
      </w:r>
      <w:r>
        <w:rPr>
          <w:color w:val="231F20"/>
          <w:spacing w:val="-27"/>
          <w:w w:val="105"/>
        </w:rPr>
        <w:t> </w:t>
      </w:r>
      <w:r>
        <w:rPr>
          <w:color w:val="231F20"/>
          <w:spacing w:val="-4"/>
          <w:w w:val="105"/>
        </w:rPr>
        <w:t>Verger,</w:t>
      </w:r>
      <w:r>
        <w:rPr>
          <w:color w:val="231F20"/>
          <w:spacing w:val="-29"/>
          <w:w w:val="105"/>
        </w:rPr>
        <w:t> </w:t>
      </w:r>
      <w:r>
        <w:rPr>
          <w:color w:val="231F20"/>
          <w:w w:val="105"/>
        </w:rPr>
        <w:t>2014),</w:t>
      </w:r>
      <w:r>
        <w:rPr>
          <w:color w:val="231F20"/>
          <w:spacing w:val="-29"/>
          <w:w w:val="105"/>
        </w:rPr>
        <w:t> </w:t>
      </w:r>
      <w:r>
        <w:rPr>
          <w:color w:val="231F20"/>
          <w:w w:val="105"/>
        </w:rPr>
        <w:t>no</w:t>
      </w:r>
      <w:r>
        <w:rPr>
          <w:color w:val="231F20"/>
          <w:spacing w:val="-25"/>
          <w:w w:val="105"/>
        </w:rPr>
        <w:t> </w:t>
      </w:r>
      <w:r>
        <w:rPr>
          <w:color w:val="231F20"/>
          <w:w w:val="105"/>
        </w:rPr>
        <w:t>necesariamente</w:t>
      </w:r>
      <w:r>
        <w:rPr>
          <w:color w:val="231F20"/>
          <w:spacing w:val="-25"/>
          <w:w w:val="105"/>
        </w:rPr>
        <w:t> </w:t>
      </w:r>
      <w:r>
        <w:rPr>
          <w:color w:val="231F20"/>
          <w:w w:val="105"/>
        </w:rPr>
        <w:t>implica</w:t>
      </w:r>
      <w:r>
        <w:rPr>
          <w:color w:val="231F20"/>
          <w:spacing w:val="-25"/>
          <w:w w:val="105"/>
        </w:rPr>
        <w:t> </w:t>
      </w:r>
      <w:r>
        <w:rPr>
          <w:color w:val="231F20"/>
          <w:w w:val="105"/>
        </w:rPr>
        <w:t>regresar</w:t>
      </w:r>
      <w:r>
        <w:rPr>
          <w:color w:val="231F20"/>
          <w:spacing w:val="-25"/>
          <w:w w:val="105"/>
        </w:rPr>
        <w:t> </w:t>
      </w:r>
      <w:r>
        <w:rPr>
          <w:color w:val="231F20"/>
          <w:w w:val="105"/>
        </w:rPr>
        <w:t>a</w:t>
      </w:r>
      <w:r>
        <w:rPr>
          <w:color w:val="231F20"/>
          <w:spacing w:val="-25"/>
          <w:w w:val="105"/>
        </w:rPr>
        <w:t> </w:t>
      </w:r>
      <w:r>
        <w:rPr>
          <w:color w:val="231F20"/>
          <w:w w:val="105"/>
        </w:rPr>
        <w:t>los</w:t>
      </w:r>
      <w:r>
        <w:rPr>
          <w:color w:val="231F20"/>
          <w:spacing w:val="-25"/>
          <w:w w:val="105"/>
        </w:rPr>
        <w:t> </w:t>
      </w:r>
      <w:r>
        <w:rPr>
          <w:color w:val="231F20"/>
          <w:w w:val="105"/>
        </w:rPr>
        <w:t>oríge-</w:t>
      </w:r>
      <w:r>
        <w:rPr>
          <w:color w:val="231F20"/>
          <w:w w:val="96"/>
        </w:rPr>
        <w:t> </w:t>
      </w:r>
      <w:r>
        <w:rPr>
          <w:color w:val="231F20"/>
          <w:w w:val="105"/>
        </w:rPr>
        <w:t>nes</w:t>
      </w:r>
      <w:r>
        <w:rPr>
          <w:color w:val="231F20"/>
          <w:spacing w:val="-24"/>
          <w:w w:val="105"/>
        </w:rPr>
        <w:t> </w:t>
      </w:r>
      <w:r>
        <w:rPr>
          <w:color w:val="231F20"/>
          <w:w w:val="105"/>
        </w:rPr>
        <w:t>familiares</w:t>
      </w:r>
      <w:r>
        <w:rPr>
          <w:color w:val="231F20"/>
          <w:spacing w:val="-24"/>
          <w:w w:val="105"/>
        </w:rPr>
        <w:t> </w:t>
      </w:r>
      <w:r>
        <w:rPr>
          <w:color w:val="231F20"/>
          <w:w w:val="105"/>
        </w:rPr>
        <w:t>y</w:t>
      </w:r>
      <w:r>
        <w:rPr>
          <w:color w:val="231F20"/>
          <w:spacing w:val="-24"/>
          <w:w w:val="105"/>
        </w:rPr>
        <w:t> </w:t>
      </w:r>
      <w:r>
        <w:rPr>
          <w:color w:val="231F20"/>
          <w:w w:val="105"/>
        </w:rPr>
        <w:t>al</w:t>
      </w:r>
      <w:r>
        <w:rPr>
          <w:color w:val="231F20"/>
          <w:spacing w:val="-24"/>
          <w:w w:val="105"/>
        </w:rPr>
        <w:t> </w:t>
      </w:r>
      <w:r>
        <w:rPr>
          <w:color w:val="231F20"/>
          <w:w w:val="105"/>
        </w:rPr>
        <w:t>lugar</w:t>
      </w:r>
      <w:r>
        <w:rPr>
          <w:color w:val="231F20"/>
          <w:spacing w:val="-24"/>
          <w:w w:val="105"/>
        </w:rPr>
        <w:t> </w:t>
      </w:r>
      <w:r>
        <w:rPr>
          <w:color w:val="231F20"/>
          <w:w w:val="105"/>
        </w:rPr>
        <w:t>natal,</w:t>
      </w:r>
      <w:r>
        <w:rPr>
          <w:color w:val="231F20"/>
          <w:spacing w:val="-28"/>
          <w:w w:val="105"/>
        </w:rPr>
        <w:t> </w:t>
      </w:r>
      <w:r>
        <w:rPr>
          <w:color w:val="231F20"/>
          <w:w w:val="105"/>
        </w:rPr>
        <w:t>sino</w:t>
      </w:r>
      <w:r>
        <w:rPr>
          <w:color w:val="231F20"/>
          <w:spacing w:val="-24"/>
          <w:w w:val="105"/>
        </w:rPr>
        <w:t> </w:t>
      </w:r>
      <w:r>
        <w:rPr>
          <w:color w:val="231F20"/>
          <w:w w:val="105"/>
        </w:rPr>
        <w:t>que</w:t>
      </w:r>
      <w:r>
        <w:rPr>
          <w:color w:val="231F20"/>
          <w:spacing w:val="-24"/>
          <w:w w:val="105"/>
        </w:rPr>
        <w:t> </w:t>
      </w:r>
      <w:r>
        <w:rPr>
          <w:color w:val="231F20"/>
          <w:w w:val="105"/>
        </w:rPr>
        <w:t>incluye</w:t>
      </w:r>
      <w:r>
        <w:rPr>
          <w:color w:val="231F20"/>
          <w:spacing w:val="-24"/>
          <w:w w:val="105"/>
        </w:rPr>
        <w:t> </w:t>
      </w:r>
      <w:r>
        <w:rPr>
          <w:color w:val="231F20"/>
          <w:w w:val="105"/>
        </w:rPr>
        <w:t>diversos</w:t>
      </w:r>
      <w:r>
        <w:rPr>
          <w:color w:val="231F20"/>
          <w:spacing w:val="-24"/>
          <w:w w:val="105"/>
        </w:rPr>
        <w:t> </w:t>
      </w:r>
      <w:r>
        <w:rPr>
          <w:color w:val="231F20"/>
          <w:w w:val="105"/>
        </w:rPr>
        <w:t>desplazamientos</w:t>
      </w:r>
      <w:r>
        <w:rPr>
          <w:color w:val="231F20"/>
          <w:w w:val="102"/>
        </w:rPr>
        <w:t> </w:t>
      </w:r>
      <w:r>
        <w:rPr>
          <w:color w:val="231F20"/>
          <w:w w:val="105"/>
        </w:rPr>
        <w:t>no</w:t>
      </w:r>
      <w:r>
        <w:rPr>
          <w:color w:val="231F20"/>
          <w:spacing w:val="-10"/>
          <w:w w:val="105"/>
        </w:rPr>
        <w:t> </w:t>
      </w:r>
      <w:r>
        <w:rPr>
          <w:color w:val="231F20"/>
          <w:w w:val="105"/>
        </w:rPr>
        <w:t>sólo</w:t>
      </w:r>
      <w:r>
        <w:rPr>
          <w:color w:val="231F20"/>
          <w:spacing w:val="-10"/>
          <w:w w:val="105"/>
        </w:rPr>
        <w:t> </w:t>
      </w:r>
      <w:r>
        <w:rPr>
          <w:color w:val="231F20"/>
          <w:w w:val="105"/>
        </w:rPr>
        <w:t>espaciales</w:t>
      </w:r>
      <w:r>
        <w:rPr>
          <w:color w:val="231F20"/>
          <w:spacing w:val="-10"/>
          <w:w w:val="105"/>
        </w:rPr>
        <w:t> </w:t>
      </w:r>
      <w:r>
        <w:rPr>
          <w:color w:val="231F20"/>
          <w:w w:val="105"/>
        </w:rPr>
        <w:t>y</w:t>
      </w:r>
      <w:r>
        <w:rPr>
          <w:color w:val="231F20"/>
          <w:spacing w:val="-10"/>
          <w:w w:val="105"/>
        </w:rPr>
        <w:t> </w:t>
      </w:r>
      <w:r>
        <w:rPr>
          <w:color w:val="231F20"/>
          <w:w w:val="105"/>
        </w:rPr>
        <w:t>territoriales,</w:t>
      </w:r>
      <w:r>
        <w:rPr>
          <w:color w:val="231F20"/>
          <w:spacing w:val="-15"/>
          <w:w w:val="105"/>
        </w:rPr>
        <w:t> </w:t>
      </w:r>
      <w:r>
        <w:rPr>
          <w:color w:val="231F20"/>
          <w:w w:val="105"/>
        </w:rPr>
        <w:t>sino</w:t>
      </w:r>
      <w:r>
        <w:rPr>
          <w:color w:val="231F20"/>
          <w:spacing w:val="-10"/>
          <w:w w:val="105"/>
        </w:rPr>
        <w:t> </w:t>
      </w:r>
      <w:r>
        <w:rPr>
          <w:color w:val="231F20"/>
          <w:w w:val="105"/>
        </w:rPr>
        <w:t>posicionales</w:t>
      </w:r>
      <w:r>
        <w:rPr>
          <w:color w:val="231F20"/>
          <w:spacing w:val="-10"/>
          <w:w w:val="105"/>
        </w:rPr>
        <w:t> </w:t>
      </w:r>
      <w:r>
        <w:rPr>
          <w:color w:val="231F20"/>
          <w:w w:val="105"/>
        </w:rPr>
        <w:t>y</w:t>
      </w:r>
      <w:r>
        <w:rPr>
          <w:color w:val="231F20"/>
          <w:spacing w:val="-10"/>
          <w:w w:val="105"/>
        </w:rPr>
        <w:t> </w:t>
      </w:r>
      <w:r>
        <w:rPr>
          <w:color w:val="231F20"/>
          <w:w w:val="105"/>
        </w:rPr>
        <w:t>fundamentalmente</w:t>
      </w:r>
      <w:r>
        <w:rPr>
          <w:color w:val="231F20"/>
          <w:w w:val="104"/>
        </w:rPr>
        <w:t> </w:t>
      </w:r>
      <w:r>
        <w:rPr>
          <w:color w:val="231F20"/>
          <w:w w:val="105"/>
        </w:rPr>
        <w:t>biográficos. Es decir, supone relocalización en el espacio social</w:t>
      </w:r>
      <w:r>
        <w:rPr>
          <w:color w:val="231F20"/>
          <w:spacing w:val="40"/>
          <w:w w:val="105"/>
        </w:rPr>
        <w:t> </w:t>
      </w:r>
      <w:r>
        <w:rPr>
          <w:color w:val="231F20"/>
          <w:w w:val="105"/>
        </w:rPr>
        <w:t>y</w:t>
      </w:r>
      <w:r>
        <w:rPr>
          <w:color w:val="231F20"/>
          <w:spacing w:val="5"/>
          <w:w w:val="105"/>
        </w:rPr>
        <w:t> </w:t>
      </w:r>
      <w:r>
        <w:rPr>
          <w:color w:val="231F20"/>
          <w:w w:val="105"/>
        </w:rPr>
        <w:t>des-</w:t>
      </w:r>
      <w:r>
        <w:rPr>
          <w:color w:val="231F20"/>
          <w:w w:val="96"/>
        </w:rPr>
        <w:t> </w:t>
      </w:r>
      <w:r>
        <w:rPr>
          <w:color w:val="231F20"/>
          <w:w w:val="105"/>
        </w:rPr>
        <w:t>plazamientos</w:t>
      </w:r>
      <w:r>
        <w:rPr>
          <w:color w:val="231F20"/>
          <w:spacing w:val="-8"/>
          <w:w w:val="105"/>
        </w:rPr>
        <w:t> </w:t>
      </w:r>
      <w:r>
        <w:rPr>
          <w:color w:val="231F20"/>
          <w:w w:val="105"/>
        </w:rPr>
        <w:t>más</w:t>
      </w:r>
      <w:r>
        <w:rPr>
          <w:color w:val="231F20"/>
          <w:spacing w:val="-8"/>
          <w:w w:val="105"/>
        </w:rPr>
        <w:t> </w:t>
      </w:r>
      <w:r>
        <w:rPr>
          <w:color w:val="231F20"/>
          <w:w w:val="105"/>
        </w:rPr>
        <w:t>allá</w:t>
      </w:r>
      <w:r>
        <w:rPr>
          <w:color w:val="231F20"/>
          <w:spacing w:val="-8"/>
          <w:w w:val="105"/>
        </w:rPr>
        <w:t> </w:t>
      </w:r>
      <w:r>
        <w:rPr>
          <w:color w:val="231F20"/>
          <w:w w:val="105"/>
        </w:rPr>
        <w:t>de</w:t>
      </w:r>
      <w:r>
        <w:rPr>
          <w:color w:val="231F20"/>
          <w:spacing w:val="-8"/>
          <w:w w:val="105"/>
        </w:rPr>
        <w:t> </w:t>
      </w:r>
      <w:r>
        <w:rPr>
          <w:color w:val="231F20"/>
          <w:w w:val="105"/>
        </w:rPr>
        <w:t>lo</w:t>
      </w:r>
      <w:r>
        <w:rPr>
          <w:color w:val="231F20"/>
          <w:spacing w:val="-8"/>
          <w:w w:val="105"/>
        </w:rPr>
        <w:t> </w:t>
      </w:r>
      <w:r>
        <w:rPr>
          <w:color w:val="231F20"/>
          <w:w w:val="105"/>
        </w:rPr>
        <w:t>habitual</w:t>
      </w:r>
      <w:r>
        <w:rPr>
          <w:color w:val="231F20"/>
          <w:spacing w:val="-8"/>
          <w:w w:val="105"/>
        </w:rPr>
        <w:t> </w:t>
      </w:r>
      <w:r>
        <w:rPr>
          <w:color w:val="231F20"/>
          <w:w w:val="105"/>
        </w:rPr>
        <w:t>(cf.</w:t>
      </w:r>
      <w:r>
        <w:rPr>
          <w:color w:val="231F20"/>
          <w:spacing w:val="-15"/>
          <w:w w:val="105"/>
        </w:rPr>
        <w:t> </w:t>
      </w:r>
      <w:r>
        <w:rPr>
          <w:color w:val="231F20"/>
          <w:w w:val="105"/>
        </w:rPr>
        <w:t>Xiang,</w:t>
      </w:r>
      <w:r>
        <w:rPr>
          <w:color w:val="231F20"/>
          <w:spacing w:val="-13"/>
          <w:w w:val="105"/>
        </w:rPr>
        <w:t> </w:t>
      </w:r>
      <w:r>
        <w:rPr>
          <w:color w:val="231F20"/>
          <w:w w:val="105"/>
        </w:rPr>
        <w:t>2014).</w:t>
      </w:r>
      <w:r>
        <w:rPr>
          <w:color w:val="231F20"/>
          <w:spacing w:val="-13"/>
          <w:w w:val="105"/>
        </w:rPr>
        <w:t> </w:t>
      </w:r>
      <w:r>
        <w:rPr>
          <w:color w:val="231F20"/>
          <w:w w:val="105"/>
        </w:rPr>
        <w:t>En</w:t>
      </w:r>
      <w:r>
        <w:rPr>
          <w:color w:val="231F20"/>
          <w:spacing w:val="-8"/>
          <w:w w:val="105"/>
        </w:rPr>
        <w:t> </w:t>
      </w:r>
      <w:r>
        <w:rPr>
          <w:color w:val="231F20"/>
          <w:w w:val="105"/>
        </w:rPr>
        <w:t>alguna</w:t>
      </w:r>
      <w:r>
        <w:rPr>
          <w:color w:val="231F20"/>
          <w:spacing w:val="-8"/>
          <w:w w:val="105"/>
        </w:rPr>
        <w:t> </w:t>
      </w:r>
      <w:r>
        <w:rPr>
          <w:color w:val="231F20"/>
          <w:w w:val="105"/>
        </w:rPr>
        <w:t>forma,</w:t>
      </w:r>
      <w:r>
        <w:rPr>
          <w:color w:val="231F20"/>
          <w:w w:val="103"/>
        </w:rPr>
        <w:t> </w:t>
      </w:r>
      <w:r>
        <w:rPr>
          <w:color w:val="231F20"/>
          <w:w w:val="105"/>
        </w:rPr>
        <w:t>volver</w:t>
      </w:r>
      <w:r>
        <w:rPr>
          <w:color w:val="231F20"/>
          <w:spacing w:val="-16"/>
          <w:w w:val="105"/>
        </w:rPr>
        <w:t> </w:t>
      </w:r>
      <w:r>
        <w:rPr>
          <w:color w:val="231F20"/>
          <w:w w:val="105"/>
        </w:rPr>
        <w:t>a</w:t>
      </w:r>
      <w:r>
        <w:rPr>
          <w:color w:val="231F20"/>
          <w:spacing w:val="-16"/>
          <w:w w:val="105"/>
        </w:rPr>
        <w:t> </w:t>
      </w:r>
      <w:r>
        <w:rPr>
          <w:color w:val="231F20"/>
          <w:w w:val="105"/>
        </w:rPr>
        <w:t>este</w:t>
      </w:r>
      <w:r>
        <w:rPr>
          <w:color w:val="231F20"/>
          <w:spacing w:val="-16"/>
          <w:w w:val="105"/>
        </w:rPr>
        <w:t> </w:t>
      </w:r>
      <w:r>
        <w:rPr>
          <w:color w:val="231F20"/>
          <w:w w:val="105"/>
        </w:rPr>
        <w:t>espacio</w:t>
      </w:r>
      <w:r>
        <w:rPr>
          <w:color w:val="231F20"/>
          <w:spacing w:val="-16"/>
          <w:w w:val="105"/>
        </w:rPr>
        <w:t> </w:t>
      </w:r>
      <w:r>
        <w:rPr>
          <w:color w:val="231F20"/>
          <w:w w:val="105"/>
        </w:rPr>
        <w:t>urbano</w:t>
      </w:r>
      <w:r>
        <w:rPr>
          <w:color w:val="231F20"/>
          <w:spacing w:val="-16"/>
          <w:w w:val="105"/>
        </w:rPr>
        <w:t> </w:t>
      </w:r>
      <w:r>
        <w:rPr>
          <w:color w:val="231F20"/>
          <w:w w:val="105"/>
        </w:rPr>
        <w:t>implica</w:t>
      </w:r>
      <w:r>
        <w:rPr>
          <w:color w:val="231F20"/>
          <w:spacing w:val="-16"/>
          <w:w w:val="105"/>
        </w:rPr>
        <w:t> </w:t>
      </w:r>
      <w:r>
        <w:rPr>
          <w:color w:val="231F20"/>
          <w:w w:val="105"/>
        </w:rPr>
        <w:t>reinsertarse</w:t>
      </w:r>
      <w:r>
        <w:rPr>
          <w:color w:val="231F20"/>
          <w:spacing w:val="-16"/>
          <w:w w:val="105"/>
        </w:rPr>
        <w:t> </w:t>
      </w:r>
      <w:r>
        <w:rPr>
          <w:color w:val="231F20"/>
          <w:w w:val="105"/>
        </w:rPr>
        <w:t>socialmente,</w:t>
      </w:r>
      <w:r>
        <w:rPr>
          <w:color w:val="231F20"/>
          <w:spacing w:val="-21"/>
          <w:w w:val="105"/>
        </w:rPr>
        <w:t> </w:t>
      </w:r>
      <w:r>
        <w:rPr>
          <w:color w:val="231F20"/>
          <w:w w:val="105"/>
        </w:rPr>
        <w:t>porque</w:t>
      </w:r>
      <w:r>
        <w:rPr>
          <w:color w:val="231F20"/>
          <w:spacing w:val="-16"/>
          <w:w w:val="105"/>
        </w:rPr>
        <w:t> </w:t>
      </w:r>
      <w:r>
        <w:rPr>
          <w:color w:val="231F20"/>
          <w:w w:val="105"/>
        </w:rPr>
        <w:t>al</w:t>
      </w:r>
      <w:r>
        <w:rPr>
          <w:color w:val="231F20"/>
          <w:w w:val="100"/>
        </w:rPr>
        <w:t> </w:t>
      </w:r>
      <w:r>
        <w:rPr>
          <w:color w:val="231F20"/>
          <w:w w:val="105"/>
        </w:rPr>
        <w:t>igual que al emigrar a un destino internacional, el migrante</w:t>
      </w:r>
      <w:r>
        <w:rPr>
          <w:color w:val="231F20"/>
          <w:spacing w:val="7"/>
          <w:w w:val="105"/>
        </w:rPr>
        <w:t> </w:t>
      </w:r>
      <w:r>
        <w:rPr>
          <w:color w:val="231F20"/>
          <w:w w:val="105"/>
        </w:rPr>
        <w:t>de</w:t>
      </w:r>
      <w:r>
        <w:rPr>
          <w:color w:val="231F20"/>
          <w:spacing w:val="13"/>
          <w:w w:val="105"/>
        </w:rPr>
        <w:t> </w:t>
      </w:r>
      <w:r>
        <w:rPr>
          <w:color w:val="231F20"/>
          <w:w w:val="105"/>
        </w:rPr>
        <w:t>retorno</w:t>
      </w:r>
      <w:r>
        <w:rPr>
          <w:color w:val="231F20"/>
          <w:w w:val="107"/>
        </w:rPr>
        <w:t> </w:t>
      </w:r>
      <w:r>
        <w:rPr>
          <w:color w:val="231F20"/>
          <w:w w:val="105"/>
        </w:rPr>
        <w:t>podría</w:t>
      </w:r>
      <w:r>
        <w:rPr>
          <w:color w:val="231F20"/>
          <w:spacing w:val="-14"/>
          <w:w w:val="105"/>
        </w:rPr>
        <w:t> </w:t>
      </w:r>
      <w:r>
        <w:rPr>
          <w:color w:val="231F20"/>
          <w:w w:val="105"/>
        </w:rPr>
        <w:t>ser</w:t>
      </w:r>
      <w:r>
        <w:rPr>
          <w:color w:val="231F20"/>
          <w:spacing w:val="-14"/>
          <w:w w:val="105"/>
        </w:rPr>
        <w:t> </w:t>
      </w:r>
      <w:r>
        <w:rPr>
          <w:rFonts w:ascii="Arial" w:hAnsi="Arial"/>
          <w:i/>
          <w:color w:val="231F20"/>
          <w:w w:val="105"/>
        </w:rPr>
        <w:t>un</w:t>
      </w:r>
      <w:r>
        <w:rPr>
          <w:rFonts w:ascii="Arial" w:hAnsi="Arial"/>
          <w:i/>
          <w:color w:val="231F20"/>
          <w:spacing w:val="-17"/>
          <w:w w:val="105"/>
        </w:rPr>
        <w:t> </w:t>
      </w:r>
      <w:r>
        <w:rPr>
          <w:rFonts w:ascii="Arial" w:hAnsi="Arial"/>
          <w:i/>
          <w:color w:val="231F20"/>
          <w:w w:val="105"/>
        </w:rPr>
        <w:t>extranjero</w:t>
      </w:r>
      <w:r>
        <w:rPr>
          <w:rFonts w:ascii="Arial" w:hAnsi="Arial"/>
          <w:i/>
          <w:color w:val="231F20"/>
          <w:spacing w:val="-17"/>
          <w:w w:val="105"/>
        </w:rPr>
        <w:t> </w:t>
      </w:r>
      <w:r>
        <w:rPr>
          <w:rFonts w:ascii="Arial" w:hAnsi="Arial"/>
          <w:i/>
          <w:color w:val="231F20"/>
          <w:w w:val="105"/>
        </w:rPr>
        <w:t>en</w:t>
      </w:r>
      <w:r>
        <w:rPr>
          <w:rFonts w:ascii="Arial" w:hAnsi="Arial"/>
          <w:i/>
          <w:color w:val="231F20"/>
          <w:spacing w:val="-17"/>
          <w:w w:val="105"/>
        </w:rPr>
        <w:t> </w:t>
      </w:r>
      <w:r>
        <w:rPr>
          <w:rFonts w:ascii="Arial" w:hAnsi="Arial"/>
          <w:i/>
          <w:color w:val="231F20"/>
          <w:w w:val="105"/>
        </w:rPr>
        <w:t>su</w:t>
      </w:r>
      <w:r>
        <w:rPr>
          <w:rFonts w:ascii="Arial" w:hAnsi="Arial"/>
          <w:i/>
          <w:color w:val="231F20"/>
          <w:spacing w:val="-17"/>
          <w:w w:val="105"/>
        </w:rPr>
        <w:t> </w:t>
      </w:r>
      <w:r>
        <w:rPr>
          <w:rFonts w:ascii="Arial" w:hAnsi="Arial"/>
          <w:i/>
          <w:color w:val="231F20"/>
          <w:w w:val="105"/>
        </w:rPr>
        <w:t>propia</w:t>
      </w:r>
      <w:r>
        <w:rPr>
          <w:rFonts w:ascii="Arial" w:hAnsi="Arial"/>
          <w:i/>
          <w:color w:val="231F20"/>
          <w:spacing w:val="-17"/>
          <w:w w:val="105"/>
        </w:rPr>
        <w:t> </w:t>
      </w:r>
      <w:r>
        <w:rPr>
          <w:rFonts w:ascii="Arial" w:hAnsi="Arial"/>
          <w:i/>
          <w:color w:val="231F20"/>
          <w:w w:val="105"/>
        </w:rPr>
        <w:t>tierra,</w:t>
      </w:r>
      <w:r>
        <w:rPr>
          <w:rFonts w:ascii="Arial" w:hAnsi="Arial"/>
          <w:i/>
          <w:color w:val="231F20"/>
          <w:spacing w:val="-22"/>
          <w:w w:val="105"/>
        </w:rPr>
        <w:t> </w:t>
      </w:r>
      <w:r>
        <w:rPr>
          <w:color w:val="231F20"/>
          <w:w w:val="105"/>
        </w:rPr>
        <w:t>o</w:t>
      </w:r>
      <w:r>
        <w:rPr>
          <w:color w:val="231F20"/>
          <w:spacing w:val="-14"/>
          <w:w w:val="105"/>
        </w:rPr>
        <w:t> </w:t>
      </w:r>
      <w:r>
        <w:rPr>
          <w:color w:val="231F20"/>
          <w:w w:val="105"/>
        </w:rPr>
        <w:t>un</w:t>
      </w:r>
      <w:r>
        <w:rPr>
          <w:color w:val="231F20"/>
          <w:spacing w:val="-14"/>
          <w:w w:val="105"/>
        </w:rPr>
        <w:t> </w:t>
      </w:r>
      <w:r>
        <w:rPr>
          <w:color w:val="231F20"/>
          <w:w w:val="105"/>
        </w:rPr>
        <w:t>extraño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sentido</w:t>
      </w:r>
      <w:r>
        <w:rPr>
          <w:color w:val="231F20"/>
          <w:spacing w:val="-14"/>
          <w:w w:val="105"/>
        </w:rPr>
        <w:t> </w:t>
      </w:r>
      <w:r>
        <w:rPr>
          <w:color w:val="231F20"/>
          <w:w w:val="105"/>
        </w:rPr>
        <w:t>de</w:t>
      </w:r>
      <w:r>
        <w:rPr>
          <w:color w:val="231F20"/>
          <w:w w:val="108"/>
        </w:rPr>
        <w:t> </w:t>
      </w:r>
      <w:r>
        <w:rPr>
          <w:color w:val="231F20"/>
          <w:w w:val="105"/>
        </w:rPr>
        <w:t>ser</w:t>
      </w:r>
      <w:r>
        <w:rPr>
          <w:color w:val="231F20"/>
          <w:spacing w:val="-23"/>
          <w:w w:val="105"/>
        </w:rPr>
        <w:t> </w:t>
      </w:r>
      <w:r>
        <w:rPr>
          <w:color w:val="231F20"/>
          <w:w w:val="105"/>
        </w:rPr>
        <w:t>necesario</w:t>
      </w:r>
      <w:r>
        <w:rPr>
          <w:color w:val="231F20"/>
          <w:spacing w:val="-23"/>
          <w:w w:val="105"/>
        </w:rPr>
        <w:t> </w:t>
      </w:r>
      <w:r>
        <w:rPr>
          <w:color w:val="231F20"/>
          <w:w w:val="105"/>
        </w:rPr>
        <w:t>un</w:t>
      </w:r>
      <w:r>
        <w:rPr>
          <w:color w:val="231F20"/>
          <w:spacing w:val="-23"/>
          <w:w w:val="105"/>
        </w:rPr>
        <w:t> </w:t>
      </w:r>
      <w:r>
        <w:rPr>
          <w:color w:val="231F20"/>
          <w:w w:val="105"/>
        </w:rPr>
        <w:t>proceso</w:t>
      </w:r>
      <w:r>
        <w:rPr>
          <w:color w:val="231F20"/>
          <w:spacing w:val="-23"/>
          <w:w w:val="105"/>
        </w:rPr>
        <w:t> </w:t>
      </w:r>
      <w:r>
        <w:rPr>
          <w:color w:val="231F20"/>
          <w:w w:val="105"/>
        </w:rPr>
        <w:t>de</w:t>
      </w:r>
      <w:r>
        <w:rPr>
          <w:color w:val="231F20"/>
          <w:spacing w:val="-23"/>
          <w:w w:val="105"/>
        </w:rPr>
        <w:t> </w:t>
      </w:r>
      <w:r>
        <w:rPr>
          <w:color w:val="231F20"/>
          <w:w w:val="105"/>
        </w:rPr>
        <w:t>readaptación-adaptación</w:t>
      </w:r>
      <w:r>
        <w:rPr>
          <w:color w:val="231F20"/>
          <w:spacing w:val="-23"/>
          <w:w w:val="105"/>
        </w:rPr>
        <w:t> </w:t>
      </w:r>
      <w:r>
        <w:rPr>
          <w:color w:val="231F20"/>
          <w:w w:val="105"/>
        </w:rPr>
        <w:t>en</w:t>
      </w:r>
      <w:r>
        <w:rPr>
          <w:color w:val="231F20"/>
          <w:spacing w:val="-23"/>
          <w:w w:val="105"/>
        </w:rPr>
        <w:t> </w:t>
      </w:r>
      <w:r>
        <w:rPr>
          <w:color w:val="231F20"/>
          <w:w w:val="105"/>
        </w:rPr>
        <w:t>ciertos</w:t>
      </w:r>
      <w:r>
        <w:rPr>
          <w:color w:val="231F20"/>
          <w:spacing w:val="-23"/>
          <w:w w:val="105"/>
        </w:rPr>
        <w:t> </w:t>
      </w:r>
      <w:r>
        <w:rPr>
          <w:color w:val="231F20"/>
          <w:w w:val="105"/>
        </w:rPr>
        <w:t>códigos</w:t>
      </w:r>
      <w:r>
        <w:rPr>
          <w:color w:val="231F20"/>
          <w:w w:val="106"/>
        </w:rPr>
        <w:t> </w:t>
      </w:r>
      <w:r>
        <w:rPr>
          <w:color w:val="231F20"/>
          <w:w w:val="105"/>
        </w:rPr>
        <w:t>relacionales,</w:t>
      </w:r>
      <w:r>
        <w:rPr>
          <w:color w:val="231F20"/>
          <w:spacing w:val="-21"/>
          <w:w w:val="105"/>
        </w:rPr>
        <w:t> </w:t>
      </w:r>
      <w:r>
        <w:rPr>
          <w:color w:val="231F20"/>
          <w:w w:val="105"/>
        </w:rPr>
        <w:t>acordes</w:t>
      </w:r>
      <w:r>
        <w:rPr>
          <w:color w:val="231F20"/>
          <w:spacing w:val="-16"/>
          <w:w w:val="105"/>
        </w:rPr>
        <w:t> </w:t>
      </w:r>
      <w:r>
        <w:rPr>
          <w:color w:val="231F20"/>
          <w:w w:val="105"/>
        </w:rPr>
        <w:t>al</w:t>
      </w:r>
      <w:r>
        <w:rPr>
          <w:color w:val="231F20"/>
          <w:spacing w:val="-16"/>
          <w:w w:val="105"/>
        </w:rPr>
        <w:t> </w:t>
      </w:r>
      <w:r>
        <w:rPr>
          <w:color w:val="231F20"/>
          <w:w w:val="105"/>
        </w:rPr>
        <w:t>ciclo</w:t>
      </w:r>
      <w:r>
        <w:rPr>
          <w:color w:val="231F20"/>
          <w:spacing w:val="-16"/>
          <w:w w:val="105"/>
        </w:rPr>
        <w:t> </w:t>
      </w:r>
      <w:r>
        <w:rPr>
          <w:color w:val="231F20"/>
          <w:w w:val="105"/>
        </w:rPr>
        <w:t>vital</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familia</w:t>
      </w:r>
      <w:r>
        <w:rPr>
          <w:color w:val="231F20"/>
          <w:spacing w:val="-16"/>
          <w:w w:val="105"/>
        </w:rPr>
        <w:t> </w:t>
      </w:r>
      <w:r>
        <w:rPr>
          <w:color w:val="231F20"/>
          <w:w w:val="105"/>
        </w:rPr>
        <w:t>y</w:t>
      </w:r>
      <w:r>
        <w:rPr>
          <w:color w:val="231F20"/>
          <w:spacing w:val="-16"/>
          <w:w w:val="105"/>
        </w:rPr>
        <w:t> </w:t>
      </w:r>
      <w:r>
        <w:rPr>
          <w:color w:val="231F20"/>
          <w:w w:val="105"/>
        </w:rPr>
        <w:t>los</w:t>
      </w:r>
      <w:r>
        <w:rPr>
          <w:color w:val="231F20"/>
          <w:spacing w:val="-16"/>
          <w:w w:val="105"/>
        </w:rPr>
        <w:t> </w:t>
      </w:r>
      <w:r>
        <w:rPr>
          <w:color w:val="231F20"/>
          <w:w w:val="105"/>
        </w:rPr>
        <w:t>grupos</w:t>
      </w:r>
      <w:r>
        <w:rPr>
          <w:color w:val="231F20"/>
          <w:spacing w:val="-16"/>
          <w:w w:val="105"/>
        </w:rPr>
        <w:t> </w:t>
      </w:r>
      <w:r>
        <w:rPr>
          <w:color w:val="231F20"/>
          <w:w w:val="105"/>
        </w:rPr>
        <w:t>de</w:t>
      </w:r>
      <w:r>
        <w:rPr>
          <w:color w:val="231F20"/>
          <w:spacing w:val="-16"/>
          <w:w w:val="105"/>
        </w:rPr>
        <w:t> </w:t>
      </w:r>
      <w:r>
        <w:rPr>
          <w:color w:val="231F20"/>
          <w:w w:val="105"/>
        </w:rPr>
        <w:t>referencia</w:t>
      </w:r>
      <w:r>
        <w:rPr>
          <w:color w:val="231F20"/>
          <w:w w:val="101"/>
        </w:rPr>
        <w:t> </w:t>
      </w:r>
      <w:r>
        <w:rPr>
          <w:color w:val="231F20"/>
          <w:w w:val="105"/>
        </w:rPr>
        <w:t>en</w:t>
      </w:r>
      <w:r>
        <w:rPr>
          <w:color w:val="231F20"/>
          <w:spacing w:val="-7"/>
          <w:w w:val="105"/>
        </w:rPr>
        <w:t> </w:t>
      </w:r>
      <w:r>
        <w:rPr>
          <w:color w:val="231F20"/>
          <w:w w:val="105"/>
        </w:rPr>
        <w:t>ese</w:t>
      </w:r>
      <w:r>
        <w:rPr>
          <w:color w:val="231F20"/>
          <w:spacing w:val="-7"/>
          <w:w w:val="105"/>
        </w:rPr>
        <w:t> </w:t>
      </w:r>
      <w:r>
        <w:rPr>
          <w:color w:val="231F20"/>
          <w:w w:val="105"/>
        </w:rPr>
        <w:t>momento</w:t>
      </w:r>
      <w:r>
        <w:rPr>
          <w:color w:val="231F20"/>
          <w:spacing w:val="-7"/>
          <w:w w:val="105"/>
        </w:rPr>
        <w:t> </w:t>
      </w:r>
      <w:r>
        <w:rPr>
          <w:color w:val="231F20"/>
          <w:w w:val="105"/>
        </w:rPr>
        <w:t>particular</w:t>
      </w:r>
      <w:r>
        <w:rPr>
          <w:color w:val="231F20"/>
          <w:spacing w:val="-7"/>
          <w:w w:val="105"/>
        </w:rPr>
        <w:t> </w:t>
      </w:r>
      <w:r>
        <w:rPr>
          <w:color w:val="231F20"/>
          <w:w w:val="105"/>
        </w:rPr>
        <w:t>(cf.</w:t>
      </w:r>
      <w:r>
        <w:rPr>
          <w:color w:val="231F20"/>
          <w:spacing w:val="-13"/>
          <w:w w:val="105"/>
        </w:rPr>
        <w:t> </w:t>
      </w:r>
      <w:r>
        <w:rPr>
          <w:color w:val="231F20"/>
          <w:w w:val="105"/>
        </w:rPr>
        <w:t>Simmel,</w:t>
      </w:r>
      <w:r>
        <w:rPr>
          <w:color w:val="231F20"/>
          <w:spacing w:val="-13"/>
          <w:w w:val="105"/>
        </w:rPr>
        <w:t> </w:t>
      </w:r>
      <w:r>
        <w:rPr>
          <w:color w:val="231F20"/>
          <w:w w:val="105"/>
        </w:rPr>
        <w:t>1971);</w:t>
      </w:r>
      <w:r>
        <w:rPr>
          <w:color w:val="231F20"/>
          <w:spacing w:val="-7"/>
          <w:w w:val="105"/>
        </w:rPr>
        <w:t> </w:t>
      </w:r>
      <w:r>
        <w:rPr>
          <w:color w:val="231F20"/>
          <w:w w:val="105"/>
        </w:rPr>
        <w:t>en</w:t>
      </w:r>
      <w:r>
        <w:rPr>
          <w:color w:val="231F20"/>
          <w:spacing w:val="-7"/>
          <w:w w:val="105"/>
        </w:rPr>
        <w:t> </w:t>
      </w:r>
      <w:r>
        <w:rPr>
          <w:color w:val="231F20"/>
          <w:w w:val="105"/>
        </w:rPr>
        <w:t>fin,</w:t>
      </w:r>
      <w:r>
        <w:rPr>
          <w:color w:val="231F20"/>
          <w:spacing w:val="-13"/>
          <w:w w:val="105"/>
        </w:rPr>
        <w:t> </w:t>
      </w:r>
      <w:r>
        <w:rPr>
          <w:color w:val="231F20"/>
          <w:w w:val="105"/>
        </w:rPr>
        <w:t>implica</w:t>
      </w:r>
      <w:r>
        <w:rPr>
          <w:color w:val="231F20"/>
          <w:spacing w:val="-7"/>
          <w:w w:val="105"/>
        </w:rPr>
        <w:t> </w:t>
      </w:r>
      <w:r>
        <w:rPr>
          <w:color w:val="231F20"/>
          <w:w w:val="105"/>
        </w:rPr>
        <w:t>realizar</w:t>
      </w:r>
      <w:r>
        <w:rPr>
          <w:color w:val="231F20"/>
          <w:spacing w:val="-7"/>
          <w:w w:val="105"/>
        </w:rPr>
        <w:t> </w:t>
      </w:r>
      <w:r>
        <w:rPr>
          <w:color w:val="231F20"/>
          <w:w w:val="105"/>
        </w:rPr>
        <w:t>un</w:t>
      </w:r>
      <w:r>
        <w:rPr>
          <w:color w:val="231F20"/>
          <w:w w:val="104"/>
        </w:rPr>
        <w:t> </w:t>
      </w:r>
      <w:r>
        <w:rPr>
          <w:color w:val="231F20"/>
          <w:w w:val="105"/>
        </w:rPr>
        <w:t>proceso</w:t>
      </w:r>
      <w:r>
        <w:rPr>
          <w:color w:val="231F20"/>
          <w:spacing w:val="-17"/>
          <w:w w:val="105"/>
        </w:rPr>
        <w:t> </w:t>
      </w:r>
      <w:r>
        <w:rPr>
          <w:color w:val="231F20"/>
          <w:w w:val="105"/>
        </w:rPr>
        <w:t>de</w:t>
      </w:r>
      <w:r>
        <w:rPr>
          <w:color w:val="231F20"/>
          <w:spacing w:val="-17"/>
          <w:w w:val="105"/>
        </w:rPr>
        <w:t> </w:t>
      </w:r>
      <w:r>
        <w:rPr>
          <w:rFonts w:ascii="Arial" w:hAnsi="Arial"/>
          <w:i/>
          <w:color w:val="231F20"/>
          <w:w w:val="105"/>
        </w:rPr>
        <w:t>extrañamiento</w:t>
      </w:r>
      <w:r>
        <w:rPr>
          <w:rFonts w:ascii="Arial" w:hAnsi="Arial"/>
          <w:i/>
          <w:color w:val="231F20"/>
          <w:spacing w:val="-20"/>
          <w:w w:val="105"/>
        </w:rPr>
        <w:t> </w:t>
      </w:r>
      <w:r>
        <w:rPr>
          <w:color w:val="231F20"/>
          <w:w w:val="105"/>
        </w:rPr>
        <w:t>que</w:t>
      </w:r>
      <w:r>
        <w:rPr>
          <w:color w:val="231F20"/>
          <w:spacing w:val="-17"/>
          <w:w w:val="105"/>
        </w:rPr>
        <w:t> </w:t>
      </w:r>
      <w:r>
        <w:rPr>
          <w:color w:val="231F20"/>
          <w:w w:val="105"/>
        </w:rPr>
        <w:t>a</w:t>
      </w:r>
      <w:r>
        <w:rPr>
          <w:color w:val="231F20"/>
          <w:spacing w:val="-17"/>
          <w:w w:val="105"/>
        </w:rPr>
        <w:t> </w:t>
      </w:r>
      <w:r>
        <w:rPr>
          <w:color w:val="231F20"/>
          <w:w w:val="105"/>
        </w:rPr>
        <w:t>su</w:t>
      </w:r>
      <w:r>
        <w:rPr>
          <w:color w:val="231F20"/>
          <w:spacing w:val="-17"/>
          <w:w w:val="105"/>
        </w:rPr>
        <w:t> </w:t>
      </w:r>
      <w:r>
        <w:rPr>
          <w:color w:val="231F20"/>
          <w:w w:val="105"/>
        </w:rPr>
        <w:t>vez</w:t>
      </w:r>
      <w:r>
        <w:rPr>
          <w:color w:val="231F20"/>
          <w:spacing w:val="-17"/>
          <w:w w:val="105"/>
        </w:rPr>
        <w:t> </w:t>
      </w:r>
      <w:r>
        <w:rPr>
          <w:color w:val="231F20"/>
          <w:w w:val="105"/>
        </w:rPr>
        <w:t>lleve</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persona</w:t>
      </w:r>
      <w:r>
        <w:rPr>
          <w:color w:val="231F20"/>
          <w:spacing w:val="-17"/>
          <w:w w:val="105"/>
        </w:rPr>
        <w:t> </w:t>
      </w:r>
      <w:r>
        <w:rPr>
          <w:color w:val="231F20"/>
          <w:w w:val="105"/>
        </w:rPr>
        <w:t>a</w:t>
      </w:r>
      <w:r>
        <w:rPr>
          <w:color w:val="231F20"/>
          <w:spacing w:val="-17"/>
          <w:w w:val="105"/>
        </w:rPr>
        <w:t> </w:t>
      </w:r>
      <w:r>
        <w:rPr>
          <w:color w:val="231F20"/>
          <w:w w:val="105"/>
        </w:rPr>
        <w:t>relocalizarse</w:t>
      </w:r>
      <w:r>
        <w:rPr>
          <w:color w:val="231F20"/>
          <w:w w:val="100"/>
        </w:rPr>
        <w:t> </w:t>
      </w:r>
      <w:r>
        <w:rPr>
          <w:color w:val="231F20"/>
          <w:w w:val="105"/>
        </w:rPr>
        <w:t>en ese espacio social, que también se ha transformado, al igual</w:t>
      </w:r>
      <w:r>
        <w:rPr>
          <w:color w:val="231F20"/>
          <w:spacing w:val="40"/>
          <w:w w:val="105"/>
        </w:rPr>
        <w:t> </w:t>
      </w:r>
      <w:r>
        <w:rPr>
          <w:color w:val="231F20"/>
          <w:w w:val="105"/>
        </w:rPr>
        <w:t>que</w:t>
      </w:r>
      <w:r>
        <w:rPr>
          <w:color w:val="231F20"/>
          <w:spacing w:val="4"/>
          <w:w w:val="105"/>
        </w:rPr>
        <w:t> </w:t>
      </w:r>
      <w:r>
        <w:rPr>
          <w:color w:val="231F20"/>
          <w:w w:val="105"/>
        </w:rPr>
        <w:t>el</w:t>
      </w:r>
      <w:r>
        <w:rPr>
          <w:color w:val="231F20"/>
          <w:w w:val="105"/>
        </w:rPr>
        <w:t> </w:t>
      </w:r>
      <w:r>
        <w:rPr>
          <w:color w:val="231F20"/>
          <w:w w:val="105"/>
        </w:rPr>
        <w:t>migrante</w:t>
      </w:r>
      <w:r>
        <w:rPr>
          <w:color w:val="231F20"/>
          <w:spacing w:val="-26"/>
          <w:w w:val="105"/>
        </w:rPr>
        <w:t> </w:t>
      </w:r>
      <w:r>
        <w:rPr>
          <w:color w:val="231F20"/>
          <w:w w:val="105"/>
        </w:rPr>
        <w:t>y</w:t>
      </w:r>
      <w:r>
        <w:rPr>
          <w:color w:val="231F20"/>
          <w:spacing w:val="-26"/>
          <w:w w:val="105"/>
        </w:rPr>
        <w:t> </w:t>
      </w:r>
      <w:r>
        <w:rPr>
          <w:color w:val="231F20"/>
          <w:w w:val="105"/>
        </w:rPr>
        <w:t>los</w:t>
      </w:r>
      <w:r>
        <w:rPr>
          <w:color w:val="231F20"/>
          <w:spacing w:val="-26"/>
          <w:w w:val="105"/>
        </w:rPr>
        <w:t> </w:t>
      </w:r>
      <w:r>
        <w:rPr>
          <w:color w:val="231F20"/>
          <w:w w:val="105"/>
        </w:rPr>
        <w:t>que</w:t>
      </w:r>
      <w:r>
        <w:rPr>
          <w:color w:val="231F20"/>
          <w:spacing w:val="-26"/>
          <w:w w:val="105"/>
        </w:rPr>
        <w:t> </w:t>
      </w:r>
      <w:r>
        <w:rPr>
          <w:color w:val="231F20"/>
          <w:w w:val="105"/>
        </w:rPr>
        <w:t>se</w:t>
      </w:r>
      <w:r>
        <w:rPr>
          <w:color w:val="231F20"/>
          <w:spacing w:val="-26"/>
          <w:w w:val="105"/>
        </w:rPr>
        <w:t> </w:t>
      </w:r>
      <w:r>
        <w:rPr>
          <w:color w:val="231F20"/>
          <w:w w:val="105"/>
        </w:rPr>
        <w:t>quedaron</w:t>
      </w:r>
      <w:r>
        <w:rPr>
          <w:color w:val="231F20"/>
          <w:spacing w:val="-26"/>
          <w:w w:val="105"/>
        </w:rPr>
        <w:t> </w:t>
      </w:r>
      <w:r>
        <w:rPr>
          <w:color w:val="231F20"/>
          <w:w w:val="105"/>
        </w:rPr>
        <w:t>en</w:t>
      </w:r>
      <w:r>
        <w:rPr>
          <w:color w:val="231F20"/>
          <w:spacing w:val="-26"/>
          <w:w w:val="105"/>
        </w:rPr>
        <w:t> </w:t>
      </w:r>
      <w:r>
        <w:rPr>
          <w:color w:val="231F20"/>
          <w:w w:val="105"/>
        </w:rPr>
        <w:t>esos</w:t>
      </w:r>
      <w:r>
        <w:rPr>
          <w:color w:val="231F20"/>
          <w:spacing w:val="-26"/>
          <w:w w:val="105"/>
        </w:rPr>
        <w:t> </w:t>
      </w:r>
      <w:r>
        <w:rPr>
          <w:color w:val="231F20"/>
          <w:w w:val="105"/>
        </w:rPr>
        <w:t>lugares</w:t>
      </w:r>
      <w:r>
        <w:rPr>
          <w:color w:val="231F20"/>
          <w:spacing w:val="-26"/>
          <w:w w:val="105"/>
        </w:rPr>
        <w:t> </w:t>
      </w:r>
      <w:r>
        <w:rPr>
          <w:color w:val="231F20"/>
          <w:w w:val="105"/>
        </w:rPr>
        <w:t>(cf.</w:t>
      </w:r>
      <w:r>
        <w:rPr>
          <w:color w:val="231F20"/>
          <w:spacing w:val="-30"/>
          <w:w w:val="105"/>
        </w:rPr>
        <w:t> </w:t>
      </w:r>
      <w:r>
        <w:rPr>
          <w:color w:val="231F20"/>
          <w:w w:val="105"/>
        </w:rPr>
        <w:t>Schutz,</w:t>
      </w:r>
      <w:r>
        <w:rPr>
          <w:color w:val="231F20"/>
          <w:spacing w:val="-30"/>
          <w:w w:val="105"/>
        </w:rPr>
        <w:t> </w:t>
      </w:r>
      <w:r>
        <w:rPr>
          <w:color w:val="231F20"/>
          <w:w w:val="105"/>
        </w:rPr>
        <w:t>1944</w:t>
      </w:r>
      <w:r>
        <w:rPr>
          <w:color w:val="231F20"/>
          <w:spacing w:val="-26"/>
          <w:w w:val="105"/>
        </w:rPr>
        <w:t> </w:t>
      </w:r>
      <w:r>
        <w:rPr>
          <w:color w:val="231F20"/>
          <w:w w:val="105"/>
        </w:rPr>
        <w:t>y</w:t>
      </w:r>
      <w:r>
        <w:rPr>
          <w:color w:val="231F20"/>
          <w:spacing w:val="-26"/>
          <w:w w:val="105"/>
        </w:rPr>
        <w:t> </w:t>
      </w:r>
      <w:r>
        <w:rPr>
          <w:color w:val="231F20"/>
          <w:w w:val="105"/>
        </w:rPr>
        <w:t>1945).</w:t>
      </w:r>
    </w:p>
    <w:p>
      <w:pPr>
        <w:pStyle w:val="BodyText"/>
        <w:spacing w:line="261" w:lineRule="auto" w:before="1"/>
        <w:ind w:left="1837" w:right="1717" w:firstLine="567"/>
        <w:jc w:val="both"/>
      </w:pPr>
      <w:r>
        <w:rPr>
          <w:color w:val="231F20"/>
          <w:w w:val="105"/>
        </w:rPr>
        <w:t>De</w:t>
      </w:r>
      <w:r>
        <w:rPr>
          <w:color w:val="231F20"/>
          <w:spacing w:val="-34"/>
          <w:w w:val="105"/>
        </w:rPr>
        <w:t> </w:t>
      </w:r>
      <w:r>
        <w:rPr>
          <w:color w:val="231F20"/>
          <w:w w:val="105"/>
        </w:rPr>
        <w:t>esta</w:t>
      </w:r>
      <w:r>
        <w:rPr>
          <w:color w:val="231F20"/>
          <w:spacing w:val="-34"/>
          <w:w w:val="105"/>
        </w:rPr>
        <w:t> </w:t>
      </w:r>
      <w:r>
        <w:rPr>
          <w:color w:val="231F20"/>
          <w:w w:val="105"/>
        </w:rPr>
        <w:t>forma,</w:t>
      </w:r>
      <w:r>
        <w:rPr>
          <w:color w:val="231F20"/>
          <w:spacing w:val="-38"/>
          <w:w w:val="105"/>
        </w:rPr>
        <w:t> </w:t>
      </w:r>
      <w:r>
        <w:rPr>
          <w:color w:val="231F20"/>
          <w:w w:val="105"/>
        </w:rPr>
        <w:t>el</w:t>
      </w:r>
      <w:r>
        <w:rPr>
          <w:color w:val="231F20"/>
          <w:spacing w:val="-34"/>
          <w:w w:val="105"/>
        </w:rPr>
        <w:t> </w:t>
      </w:r>
      <w:r>
        <w:rPr>
          <w:color w:val="231F20"/>
          <w:spacing w:val="-3"/>
          <w:w w:val="105"/>
        </w:rPr>
        <w:t>proceso</w:t>
      </w:r>
      <w:r>
        <w:rPr>
          <w:color w:val="231F20"/>
          <w:spacing w:val="-34"/>
          <w:w w:val="105"/>
        </w:rPr>
        <w:t> </w:t>
      </w:r>
      <w:r>
        <w:rPr>
          <w:color w:val="231F20"/>
          <w:w w:val="105"/>
        </w:rPr>
        <w:t>de</w:t>
      </w:r>
      <w:r>
        <w:rPr>
          <w:color w:val="231F20"/>
          <w:spacing w:val="-34"/>
          <w:w w:val="105"/>
        </w:rPr>
        <w:t> </w:t>
      </w:r>
      <w:r>
        <w:rPr>
          <w:color w:val="231F20"/>
          <w:w w:val="105"/>
        </w:rPr>
        <w:t>desestabilización</w:t>
      </w:r>
      <w:r>
        <w:rPr>
          <w:color w:val="231F20"/>
          <w:spacing w:val="-34"/>
          <w:w w:val="105"/>
        </w:rPr>
        <w:t> </w:t>
      </w:r>
      <w:r>
        <w:rPr>
          <w:color w:val="231F20"/>
          <w:w w:val="105"/>
        </w:rPr>
        <w:t>de</w:t>
      </w:r>
      <w:r>
        <w:rPr>
          <w:color w:val="231F20"/>
          <w:spacing w:val="-34"/>
          <w:w w:val="105"/>
        </w:rPr>
        <w:t> </w:t>
      </w:r>
      <w:r>
        <w:rPr>
          <w:color w:val="231F20"/>
          <w:w w:val="105"/>
        </w:rPr>
        <w:t>lo</w:t>
      </w:r>
      <w:r>
        <w:rPr>
          <w:color w:val="231F20"/>
          <w:spacing w:val="-34"/>
          <w:w w:val="105"/>
        </w:rPr>
        <w:t> </w:t>
      </w:r>
      <w:r>
        <w:rPr>
          <w:color w:val="231F20"/>
          <w:w w:val="105"/>
        </w:rPr>
        <w:t>habitual</w:t>
      </w:r>
      <w:r>
        <w:rPr>
          <w:color w:val="231F20"/>
          <w:spacing w:val="-34"/>
          <w:w w:val="105"/>
        </w:rPr>
        <w:t> </w:t>
      </w:r>
      <w:r>
        <w:rPr>
          <w:color w:val="231F20"/>
          <w:w w:val="105"/>
        </w:rPr>
        <w:t>incluye el</w:t>
      </w:r>
      <w:r>
        <w:rPr>
          <w:color w:val="231F20"/>
          <w:spacing w:val="-17"/>
          <w:w w:val="105"/>
        </w:rPr>
        <w:t> </w:t>
      </w:r>
      <w:r>
        <w:rPr>
          <w:color w:val="231F20"/>
          <w:spacing w:val="-3"/>
          <w:w w:val="105"/>
        </w:rPr>
        <w:t>regreso</w:t>
      </w:r>
      <w:r>
        <w:rPr>
          <w:color w:val="231F20"/>
          <w:spacing w:val="-17"/>
          <w:w w:val="105"/>
        </w:rPr>
        <w:t> </w:t>
      </w:r>
      <w:r>
        <w:rPr>
          <w:color w:val="231F20"/>
          <w:w w:val="105"/>
        </w:rPr>
        <w:t>del</w:t>
      </w:r>
      <w:r>
        <w:rPr>
          <w:color w:val="231F20"/>
          <w:spacing w:val="-17"/>
          <w:w w:val="105"/>
        </w:rPr>
        <w:t> </w:t>
      </w:r>
      <w:r>
        <w:rPr>
          <w:color w:val="231F20"/>
          <w:w w:val="105"/>
        </w:rPr>
        <w:t>migrante</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acogida</w:t>
      </w:r>
      <w:r>
        <w:rPr>
          <w:color w:val="231F20"/>
          <w:spacing w:val="-17"/>
          <w:w w:val="105"/>
        </w:rPr>
        <w:t> </w:t>
      </w:r>
      <w:r>
        <w:rPr>
          <w:color w:val="231F20"/>
          <w:w w:val="105"/>
        </w:rPr>
        <w:t>por</w:t>
      </w:r>
      <w:r>
        <w:rPr>
          <w:color w:val="231F20"/>
          <w:spacing w:val="-17"/>
          <w:w w:val="105"/>
        </w:rPr>
        <w:t> </w:t>
      </w:r>
      <w:r>
        <w:rPr>
          <w:color w:val="231F20"/>
          <w:w w:val="105"/>
        </w:rPr>
        <w:t>parte</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spacing w:val="-3"/>
          <w:w w:val="105"/>
        </w:rPr>
        <w:t>familiares</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spacing w:val="-3"/>
          <w:w w:val="105"/>
        </w:rPr>
        <w:t>re- </w:t>
      </w:r>
      <w:r>
        <w:rPr>
          <w:color w:val="231F20"/>
          <w:w w:val="105"/>
        </w:rPr>
        <w:t>ciben;</w:t>
      </w:r>
      <w:r>
        <w:rPr>
          <w:color w:val="231F20"/>
          <w:spacing w:val="-20"/>
          <w:w w:val="105"/>
        </w:rPr>
        <w:t> </w:t>
      </w:r>
      <w:r>
        <w:rPr>
          <w:color w:val="231F20"/>
          <w:w w:val="105"/>
        </w:rPr>
        <w:t>en</w:t>
      </w:r>
      <w:r>
        <w:rPr>
          <w:color w:val="231F20"/>
          <w:spacing w:val="-20"/>
          <w:w w:val="105"/>
        </w:rPr>
        <w:t> </w:t>
      </w:r>
      <w:r>
        <w:rPr>
          <w:color w:val="231F20"/>
          <w:w w:val="105"/>
        </w:rPr>
        <w:t>otras</w:t>
      </w:r>
      <w:r>
        <w:rPr>
          <w:color w:val="231F20"/>
          <w:spacing w:val="-20"/>
          <w:w w:val="105"/>
        </w:rPr>
        <w:t> </w:t>
      </w:r>
      <w:r>
        <w:rPr>
          <w:color w:val="231F20"/>
          <w:w w:val="105"/>
        </w:rPr>
        <w:t>palabras,</w:t>
      </w:r>
      <w:r>
        <w:rPr>
          <w:color w:val="231F20"/>
          <w:spacing w:val="-25"/>
          <w:w w:val="105"/>
        </w:rPr>
        <w:t> </w:t>
      </w:r>
      <w:r>
        <w:rPr>
          <w:color w:val="231F20"/>
          <w:spacing w:val="-3"/>
          <w:w w:val="105"/>
        </w:rPr>
        <w:t>representa</w:t>
      </w:r>
      <w:r>
        <w:rPr>
          <w:color w:val="231F20"/>
          <w:spacing w:val="-20"/>
          <w:w w:val="105"/>
        </w:rPr>
        <w:t> </w:t>
      </w:r>
      <w:r>
        <w:rPr>
          <w:color w:val="231F20"/>
          <w:w w:val="105"/>
        </w:rPr>
        <w:t>el</w:t>
      </w:r>
      <w:r>
        <w:rPr>
          <w:color w:val="231F20"/>
          <w:spacing w:val="-20"/>
          <w:w w:val="105"/>
        </w:rPr>
        <w:t> </w:t>
      </w:r>
      <w:r>
        <w:rPr>
          <w:color w:val="231F20"/>
          <w:w w:val="105"/>
        </w:rPr>
        <w:t>desplazamiento</w:t>
      </w:r>
      <w:r>
        <w:rPr>
          <w:color w:val="231F20"/>
          <w:spacing w:val="-20"/>
          <w:w w:val="105"/>
        </w:rPr>
        <w:t> </w:t>
      </w:r>
      <w:r>
        <w:rPr>
          <w:color w:val="231F20"/>
          <w:w w:val="105"/>
        </w:rPr>
        <w:t>de</w:t>
      </w:r>
      <w:r>
        <w:rPr>
          <w:color w:val="231F20"/>
          <w:spacing w:val="-20"/>
          <w:w w:val="105"/>
        </w:rPr>
        <w:t> </w:t>
      </w:r>
      <w:r>
        <w:rPr>
          <w:color w:val="231F20"/>
          <w:w w:val="105"/>
        </w:rPr>
        <w:t>lo</w:t>
      </w:r>
      <w:r>
        <w:rPr>
          <w:color w:val="231F20"/>
          <w:spacing w:val="-20"/>
          <w:w w:val="105"/>
        </w:rPr>
        <w:t> </w:t>
      </w:r>
      <w:r>
        <w:rPr>
          <w:color w:val="231F20"/>
          <w:w w:val="105"/>
        </w:rPr>
        <w:t>habitual</w:t>
      </w:r>
      <w:r>
        <w:rPr>
          <w:color w:val="231F20"/>
          <w:spacing w:val="-20"/>
          <w:w w:val="105"/>
        </w:rPr>
        <w:t> </w:t>
      </w:r>
      <w:r>
        <w:rPr>
          <w:color w:val="231F20"/>
          <w:w w:val="105"/>
        </w:rPr>
        <w:t>y</w:t>
      </w:r>
      <w:r>
        <w:rPr>
          <w:color w:val="231F20"/>
          <w:spacing w:val="-20"/>
          <w:w w:val="105"/>
        </w:rPr>
        <w:t> </w:t>
      </w:r>
      <w:r>
        <w:rPr>
          <w:color w:val="231F20"/>
          <w:w w:val="105"/>
        </w:rPr>
        <w:t>la deslocalización</w:t>
      </w:r>
      <w:r>
        <w:rPr>
          <w:color w:val="231F20"/>
          <w:spacing w:val="-25"/>
          <w:w w:val="105"/>
        </w:rPr>
        <w:t> </w:t>
      </w:r>
      <w:r>
        <w:rPr>
          <w:color w:val="231F20"/>
          <w:w w:val="105"/>
        </w:rPr>
        <w:t>de</w:t>
      </w:r>
      <w:r>
        <w:rPr>
          <w:color w:val="231F20"/>
          <w:spacing w:val="-25"/>
          <w:w w:val="105"/>
        </w:rPr>
        <w:t> </w:t>
      </w:r>
      <w:r>
        <w:rPr>
          <w:color w:val="231F20"/>
          <w:w w:val="105"/>
        </w:rPr>
        <w:t>todos</w:t>
      </w:r>
      <w:r>
        <w:rPr>
          <w:color w:val="231F20"/>
          <w:spacing w:val="-25"/>
          <w:w w:val="105"/>
        </w:rPr>
        <w:t> </w:t>
      </w:r>
      <w:r>
        <w:rPr>
          <w:color w:val="231F20"/>
          <w:w w:val="105"/>
        </w:rPr>
        <w:t>los</w:t>
      </w:r>
      <w:r>
        <w:rPr>
          <w:color w:val="231F20"/>
          <w:spacing w:val="-25"/>
          <w:w w:val="105"/>
        </w:rPr>
        <w:t> </w:t>
      </w:r>
      <w:r>
        <w:rPr>
          <w:color w:val="231F20"/>
          <w:spacing w:val="-2"/>
          <w:w w:val="105"/>
        </w:rPr>
        <w:t>involucrados</w:t>
      </w:r>
      <w:r>
        <w:rPr>
          <w:color w:val="231F20"/>
          <w:spacing w:val="-25"/>
          <w:w w:val="105"/>
        </w:rPr>
        <w:t> </w:t>
      </w:r>
      <w:r>
        <w:rPr>
          <w:color w:val="231F20"/>
          <w:w w:val="105"/>
        </w:rPr>
        <w:t>(cf.</w:t>
      </w:r>
      <w:r>
        <w:rPr>
          <w:color w:val="231F20"/>
          <w:spacing w:val="-29"/>
          <w:w w:val="105"/>
        </w:rPr>
        <w:t> </w:t>
      </w:r>
      <w:r>
        <w:rPr>
          <w:color w:val="231F20"/>
          <w:w w:val="105"/>
        </w:rPr>
        <w:t>Elias,</w:t>
      </w:r>
      <w:r>
        <w:rPr>
          <w:color w:val="231F20"/>
          <w:spacing w:val="-29"/>
          <w:w w:val="105"/>
        </w:rPr>
        <w:t> </w:t>
      </w:r>
      <w:r>
        <w:rPr>
          <w:color w:val="231F20"/>
          <w:w w:val="105"/>
        </w:rPr>
        <w:t>2012).</w:t>
      </w:r>
      <w:r>
        <w:rPr>
          <w:color w:val="231F20"/>
          <w:spacing w:val="-29"/>
          <w:w w:val="105"/>
        </w:rPr>
        <w:t> </w:t>
      </w:r>
      <w:r>
        <w:rPr>
          <w:color w:val="231F20"/>
          <w:w w:val="105"/>
        </w:rPr>
        <w:t>De</w:t>
      </w:r>
      <w:r>
        <w:rPr>
          <w:color w:val="231F20"/>
          <w:spacing w:val="-25"/>
          <w:w w:val="105"/>
        </w:rPr>
        <w:t> </w:t>
      </w:r>
      <w:r>
        <w:rPr>
          <w:color w:val="231F20"/>
          <w:w w:val="105"/>
        </w:rPr>
        <w:t>tal</w:t>
      </w:r>
      <w:r>
        <w:rPr>
          <w:color w:val="231F20"/>
          <w:spacing w:val="-25"/>
          <w:w w:val="105"/>
        </w:rPr>
        <w:t> </w:t>
      </w:r>
      <w:r>
        <w:rPr>
          <w:color w:val="231F20"/>
          <w:spacing w:val="-3"/>
          <w:w w:val="105"/>
        </w:rPr>
        <w:t>manera, </w:t>
      </w:r>
      <w:r>
        <w:rPr>
          <w:color w:val="231F20"/>
          <w:w w:val="105"/>
        </w:rPr>
        <w:t>ambos</w:t>
      </w:r>
      <w:r>
        <w:rPr>
          <w:color w:val="231F20"/>
          <w:spacing w:val="-24"/>
          <w:w w:val="105"/>
        </w:rPr>
        <w:t> </w:t>
      </w:r>
      <w:r>
        <w:rPr>
          <w:color w:val="231F20"/>
          <w:spacing w:val="-3"/>
          <w:w w:val="105"/>
        </w:rPr>
        <w:t>actores,</w:t>
      </w:r>
      <w:r>
        <w:rPr>
          <w:color w:val="231F20"/>
          <w:spacing w:val="-29"/>
          <w:w w:val="105"/>
        </w:rPr>
        <w:t> </w:t>
      </w:r>
      <w:r>
        <w:rPr>
          <w:color w:val="231F20"/>
          <w:w w:val="105"/>
        </w:rPr>
        <w:t>sujetos</w:t>
      </w:r>
      <w:r>
        <w:rPr>
          <w:color w:val="231F20"/>
          <w:spacing w:val="-24"/>
          <w:w w:val="105"/>
        </w:rPr>
        <w:t> </w:t>
      </w:r>
      <w:r>
        <w:rPr>
          <w:color w:val="231F20"/>
          <w:w w:val="105"/>
        </w:rPr>
        <w:t>de</w:t>
      </w:r>
      <w:r>
        <w:rPr>
          <w:color w:val="231F20"/>
          <w:spacing w:val="-24"/>
          <w:w w:val="105"/>
        </w:rPr>
        <w:t> </w:t>
      </w:r>
      <w:r>
        <w:rPr>
          <w:color w:val="231F20"/>
          <w:spacing w:val="-3"/>
          <w:w w:val="105"/>
        </w:rPr>
        <w:t>retorno</w:t>
      </w:r>
      <w:r>
        <w:rPr>
          <w:color w:val="231F20"/>
          <w:spacing w:val="-24"/>
          <w:w w:val="105"/>
        </w:rPr>
        <w:t> </w:t>
      </w:r>
      <w:r>
        <w:rPr>
          <w:color w:val="231F20"/>
          <w:w w:val="105"/>
        </w:rPr>
        <w:t>y</w:t>
      </w:r>
      <w:r>
        <w:rPr>
          <w:color w:val="231F20"/>
          <w:spacing w:val="-24"/>
          <w:w w:val="105"/>
        </w:rPr>
        <w:t> </w:t>
      </w:r>
      <w:r>
        <w:rPr>
          <w:color w:val="231F20"/>
          <w:spacing w:val="-3"/>
          <w:w w:val="105"/>
        </w:rPr>
        <w:t>familiares,</w:t>
      </w:r>
      <w:r>
        <w:rPr>
          <w:color w:val="231F20"/>
          <w:spacing w:val="-29"/>
          <w:w w:val="105"/>
        </w:rPr>
        <w:t> </w:t>
      </w:r>
      <w:r>
        <w:rPr>
          <w:color w:val="231F20"/>
          <w:w w:val="105"/>
        </w:rPr>
        <w:t>experimentan</w:t>
      </w:r>
      <w:r>
        <w:rPr>
          <w:color w:val="231F20"/>
          <w:spacing w:val="-24"/>
          <w:w w:val="105"/>
        </w:rPr>
        <w:t> </w:t>
      </w:r>
      <w:r>
        <w:rPr>
          <w:color w:val="231F20"/>
          <w:w w:val="105"/>
        </w:rPr>
        <w:t>una</w:t>
      </w:r>
      <w:r>
        <w:rPr>
          <w:color w:val="231F20"/>
          <w:spacing w:val="-24"/>
          <w:w w:val="105"/>
        </w:rPr>
        <w:t> </w:t>
      </w:r>
      <w:r>
        <w:rPr>
          <w:color w:val="231F20"/>
          <w:spacing w:val="-3"/>
          <w:w w:val="105"/>
        </w:rPr>
        <w:t>readap- </w:t>
      </w:r>
      <w:r>
        <w:rPr>
          <w:color w:val="231F20"/>
          <w:w w:val="105"/>
        </w:rPr>
        <w:t>tación</w:t>
      </w:r>
      <w:r>
        <w:rPr>
          <w:color w:val="231F20"/>
          <w:spacing w:val="-20"/>
          <w:w w:val="105"/>
        </w:rPr>
        <w:t> </w:t>
      </w:r>
      <w:r>
        <w:rPr>
          <w:color w:val="231F20"/>
          <w:w w:val="105"/>
        </w:rPr>
        <w:t>que</w:t>
      </w:r>
      <w:r>
        <w:rPr>
          <w:color w:val="231F20"/>
          <w:spacing w:val="-20"/>
          <w:w w:val="105"/>
        </w:rPr>
        <w:t> </w:t>
      </w:r>
      <w:r>
        <w:rPr>
          <w:color w:val="231F20"/>
          <w:w w:val="105"/>
        </w:rPr>
        <w:t>implica</w:t>
      </w:r>
      <w:r>
        <w:rPr>
          <w:color w:val="231F20"/>
          <w:spacing w:val="-20"/>
          <w:w w:val="105"/>
        </w:rPr>
        <w:t> </w:t>
      </w:r>
      <w:r>
        <w:rPr>
          <w:color w:val="231F20"/>
          <w:w w:val="105"/>
        </w:rPr>
        <w:t>rupturas,</w:t>
      </w:r>
      <w:r>
        <w:rPr>
          <w:color w:val="231F20"/>
          <w:spacing w:val="-24"/>
          <w:w w:val="105"/>
        </w:rPr>
        <w:t> </w:t>
      </w:r>
      <w:r>
        <w:rPr>
          <w:color w:val="231F20"/>
          <w:w w:val="105"/>
        </w:rPr>
        <w:t>conflictos,</w:t>
      </w:r>
      <w:r>
        <w:rPr>
          <w:color w:val="231F20"/>
          <w:spacing w:val="-24"/>
          <w:w w:val="105"/>
        </w:rPr>
        <w:t> </w:t>
      </w:r>
      <w:r>
        <w:rPr>
          <w:color w:val="231F20"/>
          <w:w w:val="105"/>
        </w:rPr>
        <w:t>negociaciones,</w:t>
      </w:r>
      <w:r>
        <w:rPr>
          <w:color w:val="231F20"/>
          <w:spacing w:val="-24"/>
          <w:w w:val="105"/>
        </w:rPr>
        <w:t> </w:t>
      </w:r>
      <w:r>
        <w:rPr>
          <w:color w:val="231F20"/>
          <w:spacing w:val="-3"/>
          <w:w w:val="105"/>
        </w:rPr>
        <w:t>reacomodos</w:t>
      </w:r>
      <w:r>
        <w:rPr>
          <w:color w:val="231F20"/>
          <w:spacing w:val="-20"/>
          <w:w w:val="105"/>
        </w:rPr>
        <w:t> </w:t>
      </w:r>
      <w:r>
        <w:rPr>
          <w:color w:val="231F20"/>
          <w:w w:val="105"/>
        </w:rPr>
        <w:t>en</w:t>
      </w:r>
      <w:r>
        <w:rPr>
          <w:color w:val="231F20"/>
          <w:spacing w:val="-20"/>
          <w:w w:val="105"/>
        </w:rPr>
        <w:t> </w:t>
      </w:r>
      <w:r>
        <w:rPr>
          <w:color w:val="231F20"/>
          <w:w w:val="105"/>
        </w:rPr>
        <w:t>el </w:t>
      </w:r>
      <w:r>
        <w:rPr>
          <w:color w:val="231F20"/>
          <w:spacing w:val="-3"/>
          <w:w w:val="105"/>
        </w:rPr>
        <w:t>círculo</w:t>
      </w:r>
      <w:r>
        <w:rPr>
          <w:color w:val="231F20"/>
          <w:spacing w:val="-24"/>
          <w:w w:val="105"/>
        </w:rPr>
        <w:t> </w:t>
      </w:r>
      <w:r>
        <w:rPr>
          <w:color w:val="231F20"/>
          <w:w w:val="105"/>
        </w:rPr>
        <w:t>familiar</w:t>
      </w:r>
      <w:r>
        <w:rPr>
          <w:color w:val="231F20"/>
          <w:spacing w:val="-24"/>
          <w:w w:val="105"/>
        </w:rPr>
        <w:t> </w:t>
      </w:r>
      <w:r>
        <w:rPr>
          <w:color w:val="231F20"/>
          <w:w w:val="105"/>
        </w:rPr>
        <w:t>y</w:t>
      </w:r>
      <w:r>
        <w:rPr>
          <w:color w:val="231F20"/>
          <w:spacing w:val="-24"/>
          <w:w w:val="105"/>
        </w:rPr>
        <w:t> </w:t>
      </w:r>
      <w:r>
        <w:rPr>
          <w:color w:val="231F20"/>
          <w:w w:val="105"/>
        </w:rPr>
        <w:t>en</w:t>
      </w:r>
      <w:r>
        <w:rPr>
          <w:color w:val="231F20"/>
          <w:spacing w:val="-24"/>
          <w:w w:val="105"/>
        </w:rPr>
        <w:t> </w:t>
      </w:r>
      <w:r>
        <w:rPr>
          <w:color w:val="231F20"/>
          <w:w w:val="105"/>
        </w:rPr>
        <w:t>un</w:t>
      </w:r>
      <w:r>
        <w:rPr>
          <w:color w:val="231F20"/>
          <w:spacing w:val="-24"/>
          <w:w w:val="105"/>
        </w:rPr>
        <w:t> </w:t>
      </w:r>
      <w:r>
        <w:rPr>
          <w:color w:val="231F20"/>
          <w:w w:val="105"/>
        </w:rPr>
        <w:t>espacio</w:t>
      </w:r>
      <w:r>
        <w:rPr>
          <w:color w:val="231F20"/>
          <w:spacing w:val="-24"/>
          <w:w w:val="105"/>
        </w:rPr>
        <w:t> </w:t>
      </w:r>
      <w:r>
        <w:rPr>
          <w:color w:val="231F20"/>
          <w:w w:val="105"/>
        </w:rPr>
        <w:t>social,</w:t>
      </w:r>
      <w:r>
        <w:rPr>
          <w:color w:val="231F20"/>
          <w:spacing w:val="-28"/>
          <w:w w:val="105"/>
        </w:rPr>
        <w:t> </w:t>
      </w:r>
      <w:r>
        <w:rPr>
          <w:color w:val="231F20"/>
          <w:w w:val="105"/>
        </w:rPr>
        <w:t>así</w:t>
      </w:r>
      <w:r>
        <w:rPr>
          <w:color w:val="231F20"/>
          <w:spacing w:val="-24"/>
          <w:w w:val="105"/>
        </w:rPr>
        <w:t> </w:t>
      </w:r>
      <w:r>
        <w:rPr>
          <w:color w:val="231F20"/>
          <w:w w:val="105"/>
        </w:rPr>
        <w:t>como</w:t>
      </w:r>
      <w:r>
        <w:rPr>
          <w:color w:val="231F20"/>
          <w:spacing w:val="-24"/>
          <w:w w:val="105"/>
        </w:rPr>
        <w:t> </w:t>
      </w:r>
      <w:r>
        <w:rPr>
          <w:color w:val="231F20"/>
          <w:spacing w:val="-3"/>
          <w:w w:val="105"/>
        </w:rPr>
        <w:t>re-aprehender</w:t>
      </w:r>
      <w:r>
        <w:rPr>
          <w:color w:val="231F20"/>
          <w:spacing w:val="-24"/>
          <w:w w:val="105"/>
        </w:rPr>
        <w:t> </w:t>
      </w:r>
      <w:r>
        <w:rPr>
          <w:color w:val="231F20"/>
          <w:w w:val="105"/>
        </w:rPr>
        <w:t>y</w:t>
      </w:r>
      <w:r>
        <w:rPr>
          <w:color w:val="231F20"/>
          <w:spacing w:val="-24"/>
          <w:w w:val="105"/>
        </w:rPr>
        <w:t> </w:t>
      </w:r>
      <w:r>
        <w:rPr>
          <w:color w:val="231F20"/>
          <w:spacing w:val="-3"/>
          <w:w w:val="105"/>
        </w:rPr>
        <w:t>re-signifi- </w:t>
      </w:r>
      <w:r>
        <w:rPr>
          <w:color w:val="231F20"/>
          <w:w w:val="105"/>
        </w:rPr>
        <w:t>car</w:t>
      </w:r>
      <w:r>
        <w:rPr>
          <w:color w:val="231F20"/>
          <w:spacing w:val="-17"/>
          <w:w w:val="105"/>
        </w:rPr>
        <w:t> </w:t>
      </w:r>
      <w:r>
        <w:rPr>
          <w:color w:val="231F20"/>
          <w:w w:val="105"/>
        </w:rPr>
        <w:t>los</w:t>
      </w:r>
      <w:r>
        <w:rPr>
          <w:color w:val="231F20"/>
          <w:spacing w:val="-17"/>
          <w:w w:val="105"/>
        </w:rPr>
        <w:t> </w:t>
      </w:r>
      <w:r>
        <w:rPr>
          <w:color w:val="231F20"/>
          <w:spacing w:val="-3"/>
          <w:w w:val="105"/>
        </w:rPr>
        <w:t>lugares</w:t>
      </w:r>
      <w:r>
        <w:rPr>
          <w:color w:val="231F20"/>
          <w:spacing w:val="-17"/>
          <w:w w:val="105"/>
        </w:rPr>
        <w:t> </w:t>
      </w:r>
      <w:r>
        <w:rPr>
          <w:color w:val="231F20"/>
          <w:w w:val="105"/>
        </w:rPr>
        <w:t>específicos</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spacing w:val="-3"/>
          <w:w w:val="105"/>
        </w:rPr>
        <w:t>ocurre</w:t>
      </w:r>
      <w:r>
        <w:rPr>
          <w:color w:val="231F20"/>
          <w:spacing w:val="-17"/>
          <w:w w:val="105"/>
        </w:rPr>
        <w:t> </w:t>
      </w:r>
      <w:r>
        <w:rPr>
          <w:color w:val="231F20"/>
          <w:w w:val="105"/>
        </w:rPr>
        <w:t>el</w:t>
      </w:r>
      <w:r>
        <w:rPr>
          <w:color w:val="231F20"/>
          <w:spacing w:val="-17"/>
          <w:w w:val="105"/>
        </w:rPr>
        <w:t> </w:t>
      </w:r>
      <w:r>
        <w:rPr>
          <w:color w:val="231F20"/>
          <w:spacing w:val="-3"/>
          <w:w w:val="105"/>
        </w:rPr>
        <w:t>regreso</w:t>
      </w:r>
      <w:r>
        <w:rPr>
          <w:color w:val="231F20"/>
          <w:spacing w:val="-17"/>
          <w:w w:val="105"/>
        </w:rPr>
        <w:t> </w:t>
      </w:r>
      <w:r>
        <w:rPr>
          <w:color w:val="231F20"/>
          <w:w w:val="105"/>
        </w:rPr>
        <w:t>del</w:t>
      </w:r>
      <w:r>
        <w:rPr>
          <w:color w:val="231F20"/>
          <w:spacing w:val="-17"/>
          <w:w w:val="105"/>
        </w:rPr>
        <w:t> </w:t>
      </w:r>
      <w:r>
        <w:rPr>
          <w:color w:val="231F20"/>
          <w:spacing w:val="-3"/>
          <w:w w:val="105"/>
        </w:rPr>
        <w:t>migrante.</w:t>
      </w:r>
    </w:p>
    <w:p>
      <w:pPr>
        <w:pStyle w:val="BodyText"/>
        <w:spacing w:line="261" w:lineRule="auto" w:before="1"/>
        <w:ind w:left="1837" w:right="1716" w:firstLine="567"/>
        <w:jc w:val="both"/>
      </w:pPr>
      <w:r>
        <w:rPr>
          <w:color w:val="231F20"/>
          <w:spacing w:val="-6"/>
          <w:w w:val="105"/>
        </w:rPr>
        <w:t>Por </w:t>
      </w:r>
      <w:r>
        <w:rPr>
          <w:color w:val="231F20"/>
          <w:w w:val="105"/>
        </w:rPr>
        <w:t>ello, aunque el migrante regrese al lugar de origen, o bien a uno distinto al país natal, vive la experiencia tanto del desplazamiento como los esfuerzos por la relocalización social. Es decir, el retorno no puede considerarse simplemente como el fin del trayecto de un</w:t>
      </w:r>
      <w:r>
        <w:rPr>
          <w:color w:val="231F20"/>
          <w:spacing w:val="-27"/>
          <w:w w:val="105"/>
        </w:rPr>
        <w:t> </w:t>
      </w:r>
      <w:r>
        <w:rPr>
          <w:color w:val="231F20"/>
          <w:w w:val="105"/>
        </w:rPr>
        <w:t>circuito migratorio, sino como una pieza adicional de la experiencia inmigrante en el propio lugar de origen, que también puede ser vivido como</w:t>
      </w:r>
      <w:r>
        <w:rPr>
          <w:color w:val="231F20"/>
          <w:spacing w:val="-12"/>
          <w:w w:val="105"/>
        </w:rPr>
        <w:t> </w:t>
      </w:r>
      <w:r>
        <w:rPr>
          <w:color w:val="231F20"/>
          <w:w w:val="105"/>
        </w:rPr>
        <w:t>ajeno. En otras palabras, el hecho de estar en México –ilusión que</w:t>
      </w:r>
      <w:r>
        <w:rPr>
          <w:color w:val="231F20"/>
          <w:spacing w:val="-23"/>
          <w:w w:val="105"/>
        </w:rPr>
        <w:t> </w:t>
      </w:r>
      <w:r>
        <w:rPr>
          <w:color w:val="231F20"/>
          <w:w w:val="105"/>
        </w:rPr>
        <w:t>permanece en la cabeza y el corazón de un inmigrante fuera de su terruño y que supone</w:t>
      </w:r>
      <w:r>
        <w:rPr>
          <w:color w:val="231F20"/>
          <w:spacing w:val="-14"/>
          <w:w w:val="105"/>
        </w:rPr>
        <w:t> </w:t>
      </w:r>
      <w:r>
        <w:rPr>
          <w:color w:val="231F20"/>
          <w:w w:val="105"/>
        </w:rPr>
        <w:t>añoranza</w:t>
      </w:r>
      <w:r>
        <w:rPr>
          <w:color w:val="231F20"/>
          <w:spacing w:val="-14"/>
          <w:w w:val="105"/>
        </w:rPr>
        <w:t> </w:t>
      </w:r>
      <w:r>
        <w:rPr>
          <w:color w:val="231F20"/>
          <w:w w:val="105"/>
        </w:rPr>
        <w:t>por</w:t>
      </w:r>
      <w:r>
        <w:rPr>
          <w:color w:val="231F20"/>
          <w:spacing w:val="-14"/>
          <w:w w:val="105"/>
        </w:rPr>
        <w:t> </w:t>
      </w:r>
      <w:r>
        <w:rPr>
          <w:color w:val="231F20"/>
          <w:w w:val="105"/>
        </w:rPr>
        <w:t>lo</w:t>
      </w:r>
      <w:r>
        <w:rPr>
          <w:color w:val="231F20"/>
          <w:spacing w:val="-14"/>
          <w:w w:val="105"/>
        </w:rPr>
        <w:t> </w:t>
      </w:r>
      <w:r>
        <w:rPr>
          <w:color w:val="231F20"/>
          <w:w w:val="105"/>
        </w:rPr>
        <w:t>propio–</w:t>
      </w:r>
      <w:r>
        <w:rPr>
          <w:color w:val="231F20"/>
          <w:spacing w:val="-14"/>
          <w:w w:val="105"/>
        </w:rPr>
        <w:t> </w:t>
      </w:r>
      <w:r>
        <w:rPr>
          <w:color w:val="231F20"/>
          <w:w w:val="105"/>
        </w:rPr>
        <w:t>puede</w:t>
      </w:r>
      <w:r>
        <w:rPr>
          <w:color w:val="231F20"/>
          <w:spacing w:val="-14"/>
          <w:w w:val="105"/>
        </w:rPr>
        <w:t> </w:t>
      </w:r>
      <w:r>
        <w:rPr>
          <w:color w:val="231F20"/>
          <w:w w:val="105"/>
        </w:rPr>
        <w:t>suponer</w:t>
      </w:r>
      <w:r>
        <w:rPr>
          <w:color w:val="231F20"/>
          <w:spacing w:val="-14"/>
          <w:w w:val="105"/>
        </w:rPr>
        <w:t> </w:t>
      </w:r>
      <w:r>
        <w:rPr>
          <w:color w:val="231F20"/>
          <w:w w:val="105"/>
        </w:rPr>
        <w:t>una</w:t>
      </w:r>
      <w:r>
        <w:rPr>
          <w:color w:val="231F20"/>
          <w:spacing w:val="-14"/>
          <w:w w:val="105"/>
        </w:rPr>
        <w:t> </w:t>
      </w:r>
      <w:r>
        <w:rPr>
          <w:color w:val="231F20"/>
          <w:w w:val="105"/>
        </w:rPr>
        <w:t>experiencia</w:t>
      </w:r>
      <w:r>
        <w:rPr>
          <w:color w:val="231F20"/>
          <w:spacing w:val="-14"/>
          <w:w w:val="105"/>
        </w:rPr>
        <w:t> </w:t>
      </w:r>
      <w:r>
        <w:rPr>
          <w:color w:val="231F20"/>
          <w:w w:val="105"/>
        </w:rPr>
        <w:t>ambiva- lente,</w:t>
      </w:r>
      <w:r>
        <w:rPr>
          <w:color w:val="231F20"/>
          <w:spacing w:val="-16"/>
          <w:w w:val="105"/>
        </w:rPr>
        <w:t> </w:t>
      </w:r>
      <w:r>
        <w:rPr>
          <w:color w:val="231F20"/>
          <w:w w:val="105"/>
        </w:rPr>
        <w:t>en</w:t>
      </w:r>
      <w:r>
        <w:rPr>
          <w:color w:val="231F20"/>
          <w:spacing w:val="-10"/>
          <w:w w:val="105"/>
        </w:rPr>
        <w:t> </w:t>
      </w:r>
      <w:r>
        <w:rPr>
          <w:color w:val="231F20"/>
          <w:w w:val="105"/>
        </w:rPr>
        <w:t>grado</w:t>
      </w:r>
      <w:r>
        <w:rPr>
          <w:color w:val="231F20"/>
          <w:spacing w:val="-10"/>
          <w:w w:val="105"/>
        </w:rPr>
        <w:t> </w:t>
      </w:r>
      <w:r>
        <w:rPr>
          <w:color w:val="231F20"/>
          <w:w w:val="105"/>
        </w:rPr>
        <w:t>similar</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vivida</w:t>
      </w:r>
      <w:r>
        <w:rPr>
          <w:color w:val="231F20"/>
          <w:spacing w:val="-10"/>
          <w:w w:val="105"/>
        </w:rPr>
        <w:t> </w:t>
      </w:r>
      <w:r>
        <w:rPr>
          <w:color w:val="231F20"/>
          <w:w w:val="105"/>
        </w:rPr>
        <w:t>al</w:t>
      </w:r>
      <w:r>
        <w:rPr>
          <w:color w:val="231F20"/>
          <w:spacing w:val="-10"/>
          <w:w w:val="105"/>
        </w:rPr>
        <w:t> </w:t>
      </w:r>
      <w:r>
        <w:rPr>
          <w:color w:val="231F20"/>
          <w:w w:val="105"/>
        </w:rPr>
        <w:t>arribar</w:t>
      </w:r>
      <w:r>
        <w:rPr>
          <w:color w:val="231F20"/>
          <w:spacing w:val="-10"/>
          <w:w w:val="105"/>
        </w:rPr>
        <w:t> </w:t>
      </w:r>
      <w:r>
        <w:rPr>
          <w:color w:val="231F20"/>
          <w:w w:val="105"/>
        </w:rPr>
        <w:t>a</w:t>
      </w:r>
      <w:r>
        <w:rPr>
          <w:color w:val="231F20"/>
          <w:spacing w:val="-10"/>
          <w:w w:val="105"/>
        </w:rPr>
        <w:t> </w:t>
      </w:r>
      <w:r>
        <w:rPr>
          <w:color w:val="231F20"/>
          <w:w w:val="105"/>
        </w:rPr>
        <w:t>un</w:t>
      </w:r>
      <w:r>
        <w:rPr>
          <w:color w:val="231F20"/>
          <w:spacing w:val="-10"/>
          <w:w w:val="105"/>
        </w:rPr>
        <w:t> </w:t>
      </w:r>
      <w:r>
        <w:rPr>
          <w:color w:val="231F20"/>
          <w:w w:val="105"/>
        </w:rPr>
        <w:t>lugar</w:t>
      </w:r>
      <w:r>
        <w:rPr>
          <w:color w:val="231F20"/>
          <w:spacing w:val="-10"/>
          <w:w w:val="105"/>
        </w:rPr>
        <w:t> </w:t>
      </w:r>
      <w:r>
        <w:rPr>
          <w:color w:val="231F20"/>
          <w:w w:val="105"/>
        </w:rPr>
        <w:t>de</w:t>
      </w:r>
      <w:r>
        <w:rPr>
          <w:color w:val="231F20"/>
          <w:spacing w:val="-10"/>
          <w:w w:val="105"/>
        </w:rPr>
        <w:t> </w:t>
      </w:r>
      <w:r>
        <w:rPr>
          <w:color w:val="231F20"/>
          <w:w w:val="105"/>
        </w:rPr>
        <w:t>destino</w:t>
      </w:r>
      <w:r>
        <w:rPr>
          <w:color w:val="231F20"/>
          <w:spacing w:val="-10"/>
          <w:w w:val="105"/>
        </w:rPr>
        <w:t> </w:t>
      </w:r>
      <w:r>
        <w:rPr>
          <w:color w:val="231F20"/>
          <w:w w:val="105"/>
        </w:rPr>
        <w:t>interna- </w:t>
      </w:r>
      <w:r>
        <w:rPr>
          <w:color w:val="231F20"/>
        </w:rPr>
        <w:t>cional (cf. Schutz,</w:t>
      </w:r>
      <w:r>
        <w:rPr>
          <w:color w:val="231F20"/>
          <w:spacing w:val="-19"/>
        </w:rPr>
        <w:t> </w:t>
      </w:r>
      <w:r>
        <w:rPr>
          <w:color w:val="231F20"/>
        </w:rPr>
        <w:t>1945).</w:t>
      </w:r>
    </w:p>
    <w:p>
      <w:pPr>
        <w:pStyle w:val="BodyText"/>
        <w:spacing w:line="261" w:lineRule="auto" w:before="1"/>
        <w:ind w:left="1837" w:right="1720" w:firstLine="567"/>
        <w:jc w:val="both"/>
      </w:pPr>
      <w:r>
        <w:rPr/>
        <w:pict>
          <v:line style="position:absolute;mso-position-horizontal-relative:page;mso-position-vertical-relative:paragraph;z-index:-478792" from="15pt,154.887589pt" to="0pt,154.887589pt" stroked="true" strokeweight=".25pt" strokecolor="#000000">
            <w10:wrap type="none"/>
          </v:line>
        </w:pict>
      </w:r>
      <w:r>
        <w:rPr/>
        <w:pict>
          <v:line style="position:absolute;mso-position-horizontal-relative:page;mso-position-vertical-relative:paragraph;z-index:11416" from="508.890015pt,154.887589pt" to="523.890015pt,154.887589pt" stroked="true" strokeweight=".25pt" strokecolor="#000000">
            <w10:wrap type="none"/>
          </v:line>
        </w:pict>
      </w:r>
      <w:r>
        <w:rPr>
          <w:color w:val="231F20"/>
          <w:spacing w:val="-6"/>
          <w:w w:val="105"/>
        </w:rPr>
        <w:t>Por</w:t>
      </w:r>
      <w:r>
        <w:rPr>
          <w:color w:val="231F20"/>
          <w:spacing w:val="-13"/>
          <w:w w:val="105"/>
        </w:rPr>
        <w:t> </w:t>
      </w:r>
      <w:r>
        <w:rPr>
          <w:color w:val="231F20"/>
          <w:w w:val="105"/>
        </w:rPr>
        <w:t>lo</w:t>
      </w:r>
      <w:r>
        <w:rPr>
          <w:color w:val="231F20"/>
          <w:spacing w:val="-13"/>
          <w:w w:val="105"/>
        </w:rPr>
        <w:t> </w:t>
      </w:r>
      <w:r>
        <w:rPr>
          <w:color w:val="231F20"/>
          <w:w w:val="105"/>
        </w:rPr>
        <w:t>anterior,</w:t>
      </w:r>
      <w:r>
        <w:rPr>
          <w:color w:val="231F20"/>
          <w:spacing w:val="-18"/>
          <w:w w:val="105"/>
        </w:rPr>
        <w:t> </w:t>
      </w:r>
      <w:r>
        <w:rPr>
          <w:color w:val="231F20"/>
          <w:w w:val="105"/>
        </w:rPr>
        <w:t>y</w:t>
      </w:r>
      <w:r>
        <w:rPr>
          <w:color w:val="231F20"/>
          <w:spacing w:val="-13"/>
          <w:w w:val="105"/>
        </w:rPr>
        <w:t> </w:t>
      </w:r>
      <w:r>
        <w:rPr>
          <w:color w:val="231F20"/>
          <w:w w:val="105"/>
        </w:rPr>
        <w:t>de</w:t>
      </w:r>
      <w:r>
        <w:rPr>
          <w:color w:val="231F20"/>
          <w:spacing w:val="-13"/>
          <w:w w:val="105"/>
        </w:rPr>
        <w:t> </w:t>
      </w:r>
      <w:r>
        <w:rPr>
          <w:color w:val="231F20"/>
          <w:w w:val="105"/>
        </w:rPr>
        <w:t>manera</w:t>
      </w:r>
      <w:r>
        <w:rPr>
          <w:color w:val="231F20"/>
          <w:spacing w:val="-13"/>
          <w:w w:val="105"/>
        </w:rPr>
        <w:t> </w:t>
      </w:r>
      <w:r>
        <w:rPr>
          <w:color w:val="231F20"/>
          <w:w w:val="105"/>
        </w:rPr>
        <w:t>provisional,</w:t>
      </w:r>
      <w:r>
        <w:rPr>
          <w:color w:val="231F20"/>
          <w:spacing w:val="-18"/>
          <w:w w:val="105"/>
        </w:rPr>
        <w:t> </w:t>
      </w:r>
      <w:r>
        <w:rPr>
          <w:color w:val="231F20"/>
          <w:w w:val="105"/>
        </w:rPr>
        <w:t>a</w:t>
      </w:r>
      <w:r>
        <w:rPr>
          <w:color w:val="231F20"/>
          <w:spacing w:val="-13"/>
          <w:w w:val="105"/>
        </w:rPr>
        <w:t> </w:t>
      </w:r>
      <w:r>
        <w:rPr>
          <w:color w:val="231F20"/>
          <w:w w:val="105"/>
        </w:rPr>
        <w:t>reserva</w:t>
      </w:r>
      <w:r>
        <w:rPr>
          <w:color w:val="231F20"/>
          <w:spacing w:val="-13"/>
          <w:w w:val="105"/>
        </w:rPr>
        <w:t> </w:t>
      </w:r>
      <w:r>
        <w:rPr>
          <w:color w:val="231F20"/>
          <w:w w:val="105"/>
        </w:rPr>
        <w:t>de</w:t>
      </w:r>
      <w:r>
        <w:rPr>
          <w:color w:val="231F20"/>
          <w:spacing w:val="-13"/>
          <w:w w:val="105"/>
        </w:rPr>
        <w:t> </w:t>
      </w:r>
      <w:r>
        <w:rPr>
          <w:color w:val="231F20"/>
          <w:w w:val="105"/>
        </w:rPr>
        <w:t>construir</w:t>
      </w:r>
      <w:r>
        <w:rPr>
          <w:color w:val="231F20"/>
          <w:spacing w:val="-13"/>
          <w:w w:val="105"/>
        </w:rPr>
        <w:t> </w:t>
      </w:r>
      <w:r>
        <w:rPr>
          <w:color w:val="231F20"/>
          <w:w w:val="105"/>
        </w:rPr>
        <w:t>una categoría</w:t>
      </w:r>
      <w:r>
        <w:rPr>
          <w:color w:val="231F20"/>
          <w:spacing w:val="-16"/>
          <w:w w:val="105"/>
        </w:rPr>
        <w:t> </w:t>
      </w:r>
      <w:r>
        <w:rPr>
          <w:color w:val="231F20"/>
          <w:w w:val="105"/>
        </w:rPr>
        <w:t>con</w:t>
      </w:r>
      <w:r>
        <w:rPr>
          <w:color w:val="231F20"/>
          <w:spacing w:val="-16"/>
          <w:w w:val="105"/>
        </w:rPr>
        <w:t> </w:t>
      </w:r>
      <w:r>
        <w:rPr>
          <w:color w:val="231F20"/>
          <w:w w:val="105"/>
        </w:rPr>
        <w:t>mayor</w:t>
      </w:r>
      <w:r>
        <w:rPr>
          <w:color w:val="231F20"/>
          <w:spacing w:val="-16"/>
          <w:w w:val="105"/>
        </w:rPr>
        <w:t> </w:t>
      </w:r>
      <w:r>
        <w:rPr>
          <w:color w:val="231F20"/>
          <w:w w:val="105"/>
        </w:rPr>
        <w:t>potencial</w:t>
      </w:r>
      <w:r>
        <w:rPr>
          <w:color w:val="231F20"/>
          <w:spacing w:val="-16"/>
          <w:w w:val="105"/>
        </w:rPr>
        <w:t> </w:t>
      </w:r>
      <w:r>
        <w:rPr>
          <w:color w:val="231F20"/>
          <w:w w:val="105"/>
        </w:rPr>
        <w:t>heurístico,</w:t>
      </w:r>
      <w:r>
        <w:rPr>
          <w:color w:val="231F20"/>
          <w:spacing w:val="-22"/>
          <w:w w:val="105"/>
        </w:rPr>
        <w:t> </w:t>
      </w:r>
      <w:r>
        <w:rPr>
          <w:color w:val="231F20"/>
          <w:w w:val="105"/>
        </w:rPr>
        <w:t>utilizaremos</w:t>
      </w:r>
      <w:r>
        <w:rPr>
          <w:color w:val="231F20"/>
          <w:spacing w:val="-16"/>
          <w:w w:val="105"/>
        </w:rPr>
        <w:t> </w:t>
      </w:r>
      <w:r>
        <w:rPr>
          <w:color w:val="231F20"/>
          <w:w w:val="105"/>
        </w:rPr>
        <w:t>el</w:t>
      </w:r>
      <w:r>
        <w:rPr>
          <w:color w:val="231F20"/>
          <w:spacing w:val="-16"/>
          <w:w w:val="105"/>
        </w:rPr>
        <w:t> </w:t>
      </w:r>
      <w:r>
        <w:rPr>
          <w:color w:val="231F20"/>
          <w:w w:val="105"/>
        </w:rPr>
        <w:t>concepto</w:t>
      </w:r>
      <w:r>
        <w:rPr>
          <w:color w:val="231F20"/>
          <w:spacing w:val="-16"/>
          <w:w w:val="105"/>
        </w:rPr>
        <w:t> </w:t>
      </w:r>
      <w:r>
        <w:rPr>
          <w:color w:val="231F20"/>
          <w:w w:val="105"/>
        </w:rPr>
        <w:t>de</w:t>
      </w:r>
      <w:r>
        <w:rPr>
          <w:color w:val="231F20"/>
          <w:spacing w:val="-16"/>
          <w:w w:val="105"/>
        </w:rPr>
        <w:t> </w:t>
      </w:r>
      <w:r>
        <w:rPr>
          <w:rFonts w:ascii="Arial" w:hAnsi="Arial"/>
          <w:i/>
          <w:color w:val="231F20"/>
          <w:w w:val="105"/>
        </w:rPr>
        <w:t>re- </w:t>
      </w:r>
      <w:r>
        <w:rPr>
          <w:rFonts w:ascii="Arial" w:hAnsi="Arial"/>
          <w:i/>
          <w:color w:val="231F20"/>
          <w:w w:val="105"/>
        </w:rPr>
        <w:t>inserción, </w:t>
      </w:r>
      <w:r>
        <w:rPr>
          <w:color w:val="231F20"/>
          <w:w w:val="105"/>
        </w:rPr>
        <w:t>aun cuando éste ha sido acuñado y utilizado para dar</w:t>
      </w:r>
      <w:r>
        <w:rPr>
          <w:color w:val="231F20"/>
          <w:spacing w:val="-29"/>
          <w:w w:val="105"/>
        </w:rPr>
        <w:t> </w:t>
      </w:r>
      <w:r>
        <w:rPr>
          <w:color w:val="231F20"/>
          <w:w w:val="105"/>
        </w:rPr>
        <w:t>cuenta de las modalidades de posicionamiento social o para incluirse parcial- mente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lugar</w:t>
      </w:r>
      <w:r>
        <w:rPr>
          <w:color w:val="231F20"/>
          <w:spacing w:val="-15"/>
          <w:w w:val="105"/>
        </w:rPr>
        <w:t> </w:t>
      </w:r>
      <w:r>
        <w:rPr>
          <w:color w:val="231F20"/>
          <w:w w:val="105"/>
        </w:rPr>
        <w:t>y</w:t>
      </w:r>
      <w:r>
        <w:rPr>
          <w:color w:val="231F20"/>
          <w:spacing w:val="-15"/>
          <w:w w:val="105"/>
        </w:rPr>
        <w:t> </w:t>
      </w:r>
      <w:r>
        <w:rPr>
          <w:color w:val="231F20"/>
          <w:w w:val="105"/>
        </w:rPr>
        <w:t>sociedad</w:t>
      </w:r>
      <w:r>
        <w:rPr>
          <w:color w:val="231F20"/>
          <w:spacing w:val="-15"/>
          <w:w w:val="105"/>
        </w:rPr>
        <w:t> </w:t>
      </w:r>
      <w:r>
        <w:rPr>
          <w:color w:val="231F20"/>
          <w:w w:val="105"/>
        </w:rPr>
        <w:t>de</w:t>
      </w:r>
      <w:r>
        <w:rPr>
          <w:color w:val="231F20"/>
          <w:spacing w:val="-15"/>
          <w:w w:val="105"/>
        </w:rPr>
        <w:t> </w:t>
      </w:r>
      <w:r>
        <w:rPr>
          <w:color w:val="231F20"/>
          <w:w w:val="105"/>
        </w:rPr>
        <w:t>destino.</w:t>
      </w:r>
      <w:r>
        <w:rPr>
          <w:color w:val="231F20"/>
          <w:spacing w:val="-20"/>
          <w:w w:val="105"/>
        </w:rPr>
        <w:t> </w:t>
      </w:r>
      <w:r>
        <w:rPr>
          <w:color w:val="231F20"/>
          <w:w w:val="105"/>
        </w:rPr>
        <w:t>Es</w:t>
      </w:r>
      <w:r>
        <w:rPr>
          <w:color w:val="231F20"/>
          <w:spacing w:val="-15"/>
          <w:w w:val="105"/>
        </w:rPr>
        <w:t> </w:t>
      </w:r>
      <w:r>
        <w:rPr>
          <w:color w:val="231F20"/>
          <w:w w:val="105"/>
        </w:rPr>
        <w:t>más,</w:t>
      </w:r>
      <w:r>
        <w:rPr>
          <w:color w:val="231F20"/>
          <w:spacing w:val="-20"/>
          <w:w w:val="105"/>
        </w:rPr>
        <w:t> </w:t>
      </w:r>
      <w:r>
        <w:rPr>
          <w:color w:val="231F20"/>
          <w:w w:val="105"/>
        </w:rPr>
        <w:t>pese</w:t>
      </w:r>
      <w:r>
        <w:rPr>
          <w:color w:val="231F20"/>
          <w:spacing w:val="-15"/>
          <w:w w:val="105"/>
        </w:rPr>
        <w:t> </w:t>
      </w:r>
      <w:r>
        <w:rPr>
          <w:color w:val="231F20"/>
          <w:w w:val="105"/>
        </w:rPr>
        <w:t>a</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concepto de</w:t>
      </w:r>
      <w:r>
        <w:rPr>
          <w:color w:val="231F20"/>
          <w:spacing w:val="-12"/>
          <w:w w:val="105"/>
        </w:rPr>
        <w:t> </w:t>
      </w:r>
      <w:r>
        <w:rPr>
          <w:color w:val="231F20"/>
          <w:w w:val="105"/>
        </w:rPr>
        <w:t>reinserción</w:t>
      </w:r>
      <w:r>
        <w:rPr>
          <w:color w:val="231F20"/>
          <w:spacing w:val="-12"/>
          <w:w w:val="105"/>
        </w:rPr>
        <w:t> </w:t>
      </w:r>
      <w:r>
        <w:rPr>
          <w:color w:val="231F20"/>
          <w:w w:val="105"/>
        </w:rPr>
        <w:t>exhibe</w:t>
      </w:r>
      <w:r>
        <w:rPr>
          <w:color w:val="231F20"/>
          <w:spacing w:val="-12"/>
          <w:w w:val="105"/>
        </w:rPr>
        <w:t> </w:t>
      </w:r>
      <w:r>
        <w:rPr>
          <w:color w:val="231F20"/>
          <w:w w:val="105"/>
        </w:rPr>
        <w:t>limitaciones</w:t>
      </w:r>
      <w:r>
        <w:rPr>
          <w:color w:val="231F20"/>
          <w:spacing w:val="-12"/>
          <w:w w:val="105"/>
        </w:rPr>
        <w:t> </w:t>
      </w:r>
      <w:r>
        <w:rPr>
          <w:color w:val="231F20"/>
          <w:w w:val="105"/>
        </w:rPr>
        <w:t>heurísticas</w:t>
      </w:r>
      <w:r>
        <w:rPr>
          <w:color w:val="231F20"/>
          <w:spacing w:val="-12"/>
          <w:w w:val="105"/>
        </w:rPr>
        <w:t> </w:t>
      </w:r>
      <w:r>
        <w:rPr>
          <w:color w:val="231F20"/>
          <w:w w:val="105"/>
        </w:rPr>
        <w:t>para</w:t>
      </w:r>
      <w:r>
        <w:rPr>
          <w:color w:val="231F20"/>
          <w:spacing w:val="-12"/>
          <w:w w:val="105"/>
        </w:rPr>
        <w:t> </w:t>
      </w:r>
      <w:r>
        <w:rPr>
          <w:color w:val="231F20"/>
          <w:w w:val="105"/>
        </w:rPr>
        <w:t>comprender</w:t>
      </w:r>
      <w:r>
        <w:rPr>
          <w:color w:val="231F20"/>
          <w:spacing w:val="-12"/>
          <w:w w:val="105"/>
        </w:rPr>
        <w:t> </w:t>
      </w:r>
      <w:r>
        <w:rPr>
          <w:color w:val="231F20"/>
          <w:w w:val="105"/>
        </w:rPr>
        <w:t>la</w:t>
      </w:r>
      <w:r>
        <w:rPr>
          <w:color w:val="231F20"/>
          <w:spacing w:val="-12"/>
          <w:w w:val="105"/>
        </w:rPr>
        <w:t> </w:t>
      </w:r>
      <w:r>
        <w:rPr>
          <w:color w:val="231F20"/>
          <w:w w:val="105"/>
        </w:rPr>
        <w:t>expe-</w:t>
      </w:r>
    </w:p>
    <w:p>
      <w:pPr>
        <w:spacing w:after="0" w:line="261" w:lineRule="auto"/>
        <w:jc w:val="both"/>
        <w:sectPr>
          <w:headerReference w:type="default" r:id="rId106"/>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11464" from="15pt,-71.68644pt" to="0pt,-71.68644pt" stroked="true" strokeweight=".25pt" strokecolor="#000000">
            <w10:wrap type="none"/>
          </v:line>
        </w:pict>
      </w:r>
      <w:r>
        <w:rPr/>
        <w:pict>
          <v:line style="position:absolute;mso-position-horizontal-relative:page;mso-position-vertical-relative:paragraph;z-index:11488" from="508.890015pt,-71.68644pt" to="523.890015pt,-71.68644pt" stroked="true" strokeweight=".25pt" strokecolor="#000000">
            <w10:wrap type="none"/>
          </v:line>
        </w:pict>
      </w:r>
      <w:r>
        <w:rPr>
          <w:color w:val="231F20"/>
          <w:w w:val="105"/>
        </w:rPr>
        <w:t>riencia de regresar a México, después de vivir en Estados Unidos y del encuentro con otros, se utiliza aquí para dar cuenta de cómo se</w:t>
      </w:r>
      <w:r>
        <w:rPr>
          <w:color w:val="231F20"/>
          <w:spacing w:val="-26"/>
          <w:w w:val="105"/>
        </w:rPr>
        <w:t> </w:t>
      </w:r>
      <w:r>
        <w:rPr>
          <w:color w:val="231F20"/>
          <w:w w:val="105"/>
        </w:rPr>
        <w:t>incluye e involucra el migrante de retorno en un lugar del país de origen como contraparte</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experiencia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país</w:t>
      </w:r>
      <w:r>
        <w:rPr>
          <w:color w:val="231F20"/>
          <w:spacing w:val="-15"/>
          <w:w w:val="105"/>
        </w:rPr>
        <w:t> </w:t>
      </w:r>
      <w:r>
        <w:rPr>
          <w:color w:val="231F20"/>
          <w:w w:val="105"/>
        </w:rPr>
        <w:t>de</w:t>
      </w:r>
      <w:r>
        <w:rPr>
          <w:color w:val="231F20"/>
          <w:spacing w:val="-15"/>
          <w:w w:val="105"/>
        </w:rPr>
        <w:t> </w:t>
      </w:r>
      <w:r>
        <w:rPr>
          <w:color w:val="231F20"/>
          <w:w w:val="105"/>
        </w:rPr>
        <w:t>destino</w:t>
      </w:r>
      <w:r>
        <w:rPr>
          <w:color w:val="231F20"/>
          <w:spacing w:val="-15"/>
          <w:w w:val="105"/>
        </w:rPr>
        <w:t> </w:t>
      </w:r>
      <w:r>
        <w:rPr>
          <w:color w:val="231F20"/>
          <w:w w:val="105"/>
        </w:rPr>
        <w:t>(Xiang,</w:t>
      </w:r>
      <w:r>
        <w:rPr>
          <w:color w:val="231F20"/>
          <w:spacing w:val="-20"/>
          <w:w w:val="105"/>
        </w:rPr>
        <w:t> </w:t>
      </w:r>
      <w:r>
        <w:rPr>
          <w:color w:val="231F20"/>
          <w:w w:val="105"/>
        </w:rPr>
        <w:t>2014).</w:t>
      </w:r>
    </w:p>
    <w:p>
      <w:pPr>
        <w:pStyle w:val="BodyText"/>
        <w:spacing w:line="261" w:lineRule="auto" w:before="1"/>
        <w:ind w:left="1723" w:right="1829" w:firstLine="567"/>
        <w:jc w:val="both"/>
      </w:pPr>
      <w:r>
        <w:rPr>
          <w:color w:val="231F20"/>
          <w:w w:val="105"/>
        </w:rPr>
        <w:t>Finalmente, en este documento la reinserción funciona más bien como</w:t>
      </w:r>
      <w:r>
        <w:rPr>
          <w:color w:val="231F20"/>
          <w:spacing w:val="-11"/>
          <w:w w:val="105"/>
        </w:rPr>
        <w:t> </w:t>
      </w:r>
      <w:r>
        <w:rPr>
          <w:color w:val="231F20"/>
          <w:w w:val="105"/>
        </w:rPr>
        <w:t>una</w:t>
      </w:r>
      <w:r>
        <w:rPr>
          <w:color w:val="231F20"/>
          <w:spacing w:val="-11"/>
          <w:w w:val="105"/>
        </w:rPr>
        <w:t> </w:t>
      </w:r>
      <w:r>
        <w:rPr>
          <w:color w:val="231F20"/>
          <w:w w:val="105"/>
        </w:rPr>
        <w:t>expectativa,</w:t>
      </w:r>
      <w:r>
        <w:rPr>
          <w:color w:val="231F20"/>
          <w:spacing w:val="-17"/>
          <w:w w:val="105"/>
        </w:rPr>
        <w:t> </w:t>
      </w:r>
      <w:r>
        <w:rPr>
          <w:color w:val="231F20"/>
          <w:w w:val="105"/>
        </w:rPr>
        <w:t>expectativa</w:t>
      </w:r>
      <w:r>
        <w:rPr>
          <w:color w:val="231F20"/>
          <w:spacing w:val="-11"/>
          <w:w w:val="105"/>
        </w:rPr>
        <w:t> </w:t>
      </w:r>
      <w:r>
        <w:rPr>
          <w:color w:val="231F20"/>
          <w:w w:val="105"/>
        </w:rPr>
        <w:t>de</w:t>
      </w:r>
      <w:r>
        <w:rPr>
          <w:color w:val="231F20"/>
          <w:spacing w:val="-11"/>
          <w:w w:val="105"/>
        </w:rPr>
        <w:t> </w:t>
      </w:r>
      <w:r>
        <w:rPr>
          <w:color w:val="231F20"/>
          <w:w w:val="105"/>
        </w:rPr>
        <w:t>ser</w:t>
      </w:r>
      <w:r>
        <w:rPr>
          <w:color w:val="231F20"/>
          <w:spacing w:val="-11"/>
          <w:w w:val="105"/>
        </w:rPr>
        <w:t> </w:t>
      </w:r>
      <w:r>
        <w:rPr>
          <w:color w:val="231F20"/>
          <w:w w:val="105"/>
        </w:rPr>
        <w:t>incluido,</w:t>
      </w:r>
      <w:r>
        <w:rPr>
          <w:color w:val="231F20"/>
          <w:spacing w:val="-17"/>
          <w:w w:val="105"/>
        </w:rPr>
        <w:t> </w:t>
      </w:r>
      <w:r>
        <w:rPr>
          <w:color w:val="231F20"/>
          <w:w w:val="105"/>
        </w:rPr>
        <w:t>aceptado</w:t>
      </w:r>
      <w:r>
        <w:rPr>
          <w:color w:val="231F20"/>
          <w:spacing w:val="-11"/>
          <w:w w:val="105"/>
        </w:rPr>
        <w:t> </w:t>
      </w:r>
      <w:r>
        <w:rPr>
          <w:color w:val="231F20"/>
          <w:w w:val="105"/>
        </w:rPr>
        <w:t>o</w:t>
      </w:r>
      <w:r>
        <w:rPr>
          <w:color w:val="231F20"/>
          <w:spacing w:val="-11"/>
          <w:w w:val="105"/>
        </w:rPr>
        <w:t> </w:t>
      </w:r>
      <w:r>
        <w:rPr>
          <w:color w:val="231F20"/>
          <w:w w:val="105"/>
        </w:rPr>
        <w:t>bienveni- do</w:t>
      </w:r>
      <w:r>
        <w:rPr>
          <w:color w:val="231F20"/>
          <w:spacing w:val="-4"/>
          <w:w w:val="105"/>
        </w:rPr>
        <w:t> </w:t>
      </w:r>
      <w:r>
        <w:rPr>
          <w:color w:val="231F20"/>
          <w:w w:val="105"/>
        </w:rPr>
        <w:t>socialmente,</w:t>
      </w:r>
      <w:r>
        <w:rPr>
          <w:color w:val="231F20"/>
          <w:spacing w:val="-9"/>
          <w:w w:val="105"/>
        </w:rPr>
        <w:t> </w:t>
      </w:r>
      <w:r>
        <w:rPr>
          <w:color w:val="231F20"/>
          <w:w w:val="105"/>
        </w:rPr>
        <w:t>situación</w:t>
      </w:r>
      <w:r>
        <w:rPr>
          <w:color w:val="231F20"/>
          <w:spacing w:val="-4"/>
          <w:w w:val="105"/>
        </w:rPr>
        <w:t> </w:t>
      </w:r>
      <w:r>
        <w:rPr>
          <w:color w:val="231F20"/>
          <w:w w:val="105"/>
        </w:rPr>
        <w:t>que</w:t>
      </w:r>
      <w:r>
        <w:rPr>
          <w:color w:val="231F20"/>
          <w:spacing w:val="-4"/>
          <w:w w:val="105"/>
        </w:rPr>
        <w:t> </w:t>
      </w:r>
      <w:r>
        <w:rPr>
          <w:color w:val="231F20"/>
          <w:w w:val="105"/>
        </w:rPr>
        <w:t>no</w:t>
      </w:r>
      <w:r>
        <w:rPr>
          <w:color w:val="231F20"/>
          <w:spacing w:val="-4"/>
          <w:w w:val="105"/>
        </w:rPr>
        <w:t> </w:t>
      </w:r>
      <w:r>
        <w:rPr>
          <w:color w:val="231F20"/>
          <w:w w:val="105"/>
        </w:rPr>
        <w:t>necesariamente</w:t>
      </w:r>
      <w:r>
        <w:rPr>
          <w:color w:val="231F20"/>
          <w:spacing w:val="-4"/>
          <w:w w:val="105"/>
        </w:rPr>
        <w:t> </w:t>
      </w:r>
      <w:r>
        <w:rPr>
          <w:color w:val="231F20"/>
          <w:w w:val="105"/>
        </w:rPr>
        <w:t>se</w:t>
      </w:r>
      <w:r>
        <w:rPr>
          <w:color w:val="231F20"/>
          <w:spacing w:val="-4"/>
          <w:w w:val="105"/>
        </w:rPr>
        <w:t> </w:t>
      </w:r>
      <w:r>
        <w:rPr>
          <w:color w:val="231F20"/>
          <w:w w:val="105"/>
        </w:rPr>
        <w:t>cumple</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caso de</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retornados</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zona</w:t>
      </w:r>
      <w:r>
        <w:rPr>
          <w:color w:val="231F20"/>
          <w:spacing w:val="-14"/>
          <w:w w:val="105"/>
        </w:rPr>
        <w:t> </w:t>
      </w:r>
      <w:r>
        <w:rPr>
          <w:color w:val="231F20"/>
          <w:w w:val="105"/>
        </w:rPr>
        <w:t>metropolitana</w:t>
      </w:r>
      <w:r>
        <w:rPr>
          <w:color w:val="231F20"/>
          <w:spacing w:val="-14"/>
          <w:w w:val="105"/>
        </w:rPr>
        <w:t> </w:t>
      </w:r>
      <w:r>
        <w:rPr>
          <w:color w:val="231F20"/>
          <w:w w:val="105"/>
        </w:rPr>
        <w:t>del</w:t>
      </w:r>
      <w:r>
        <w:rPr>
          <w:color w:val="231F20"/>
          <w:spacing w:val="-14"/>
          <w:w w:val="105"/>
        </w:rPr>
        <w:t> </w:t>
      </w:r>
      <w:r>
        <w:rPr>
          <w:color w:val="231F20"/>
          <w:w w:val="105"/>
        </w:rPr>
        <w:t>valle</w:t>
      </w:r>
      <w:r>
        <w:rPr>
          <w:color w:val="231F20"/>
          <w:spacing w:val="-14"/>
          <w:w w:val="105"/>
        </w:rPr>
        <w:t> </w:t>
      </w:r>
      <w:r>
        <w:rPr>
          <w:color w:val="231F20"/>
          <w:w w:val="105"/>
        </w:rPr>
        <w:t>de</w:t>
      </w:r>
      <w:r>
        <w:rPr>
          <w:color w:val="231F20"/>
          <w:spacing w:val="-14"/>
          <w:w w:val="105"/>
        </w:rPr>
        <w:t> </w:t>
      </w:r>
      <w:r>
        <w:rPr>
          <w:color w:val="231F20"/>
          <w:w w:val="105"/>
        </w:rPr>
        <w:t>México, zona</w:t>
      </w:r>
      <w:r>
        <w:rPr>
          <w:color w:val="231F20"/>
          <w:spacing w:val="-13"/>
          <w:w w:val="105"/>
        </w:rPr>
        <w:t> </w:t>
      </w:r>
      <w:r>
        <w:rPr>
          <w:color w:val="231F20"/>
          <w:w w:val="105"/>
        </w:rPr>
        <w:t>donde</w:t>
      </w:r>
      <w:r>
        <w:rPr>
          <w:color w:val="231F20"/>
          <w:spacing w:val="-13"/>
          <w:w w:val="105"/>
        </w:rPr>
        <w:t> </w:t>
      </w:r>
      <w:r>
        <w:rPr>
          <w:color w:val="231F20"/>
          <w:w w:val="105"/>
        </w:rPr>
        <w:t>el</w:t>
      </w:r>
      <w:r>
        <w:rPr>
          <w:color w:val="231F20"/>
          <w:spacing w:val="-13"/>
          <w:w w:val="105"/>
        </w:rPr>
        <w:t> </w:t>
      </w:r>
      <w:r>
        <w:rPr>
          <w:color w:val="231F20"/>
          <w:w w:val="105"/>
        </w:rPr>
        <w:t>retorno</w:t>
      </w:r>
      <w:r>
        <w:rPr>
          <w:color w:val="231F20"/>
          <w:spacing w:val="-13"/>
          <w:w w:val="105"/>
        </w:rPr>
        <w:t> </w:t>
      </w:r>
      <w:r>
        <w:rPr>
          <w:color w:val="231F20"/>
          <w:w w:val="105"/>
        </w:rPr>
        <w:t>no</w:t>
      </w:r>
      <w:r>
        <w:rPr>
          <w:color w:val="231F20"/>
          <w:spacing w:val="-13"/>
          <w:w w:val="105"/>
        </w:rPr>
        <w:t> </w:t>
      </w:r>
      <w:r>
        <w:rPr>
          <w:color w:val="231F20"/>
          <w:w w:val="105"/>
        </w:rPr>
        <w:t>en</w:t>
      </w:r>
      <w:r>
        <w:rPr>
          <w:color w:val="231F20"/>
          <w:spacing w:val="-13"/>
          <w:w w:val="105"/>
        </w:rPr>
        <w:t> </w:t>
      </w:r>
      <w:r>
        <w:rPr>
          <w:color w:val="231F20"/>
          <w:w w:val="105"/>
        </w:rPr>
        <w:t>todos</w:t>
      </w:r>
      <w:r>
        <w:rPr>
          <w:color w:val="231F20"/>
          <w:spacing w:val="-13"/>
          <w:w w:val="105"/>
        </w:rPr>
        <w:t> </w:t>
      </w:r>
      <w:r>
        <w:rPr>
          <w:color w:val="231F20"/>
          <w:w w:val="105"/>
        </w:rPr>
        <w:t>los</w:t>
      </w:r>
      <w:r>
        <w:rPr>
          <w:color w:val="231F20"/>
          <w:spacing w:val="-13"/>
          <w:w w:val="105"/>
        </w:rPr>
        <w:t> </w:t>
      </w:r>
      <w:r>
        <w:rPr>
          <w:color w:val="231F20"/>
          <w:w w:val="105"/>
        </w:rPr>
        <w:t>casos</w:t>
      </w:r>
      <w:r>
        <w:rPr>
          <w:color w:val="231F20"/>
          <w:spacing w:val="-13"/>
          <w:w w:val="105"/>
        </w:rPr>
        <w:t> </w:t>
      </w:r>
      <w:r>
        <w:rPr>
          <w:color w:val="231F20"/>
          <w:w w:val="105"/>
        </w:rPr>
        <w:t>es</w:t>
      </w:r>
      <w:r>
        <w:rPr>
          <w:color w:val="231F20"/>
          <w:spacing w:val="-13"/>
          <w:w w:val="105"/>
        </w:rPr>
        <w:t> </w:t>
      </w:r>
      <w:r>
        <w:rPr>
          <w:color w:val="231F20"/>
          <w:w w:val="105"/>
        </w:rPr>
        <w:t>al</w:t>
      </w:r>
      <w:r>
        <w:rPr>
          <w:color w:val="231F20"/>
          <w:spacing w:val="-13"/>
          <w:w w:val="105"/>
        </w:rPr>
        <w:t> </w:t>
      </w:r>
      <w:r>
        <w:rPr>
          <w:color w:val="231F20"/>
          <w:w w:val="105"/>
        </w:rPr>
        <w:t>lugar</w:t>
      </w:r>
      <w:r>
        <w:rPr>
          <w:color w:val="231F20"/>
          <w:spacing w:val="-13"/>
          <w:w w:val="105"/>
        </w:rPr>
        <w:t> </w:t>
      </w:r>
      <w:r>
        <w:rPr>
          <w:color w:val="231F20"/>
          <w:w w:val="105"/>
        </w:rPr>
        <w:t>de</w:t>
      </w:r>
      <w:r>
        <w:rPr>
          <w:color w:val="231F20"/>
          <w:spacing w:val="-13"/>
          <w:w w:val="105"/>
        </w:rPr>
        <w:t> </w:t>
      </w:r>
      <w:r>
        <w:rPr>
          <w:color w:val="231F20"/>
          <w:w w:val="105"/>
        </w:rPr>
        <w:t>origen,</w:t>
      </w:r>
      <w:r>
        <w:rPr>
          <w:color w:val="231F20"/>
          <w:spacing w:val="-19"/>
          <w:w w:val="105"/>
        </w:rPr>
        <w:t> </w:t>
      </w:r>
      <w:r>
        <w:rPr>
          <w:color w:val="231F20"/>
          <w:w w:val="105"/>
        </w:rPr>
        <w:t>y</w:t>
      </w:r>
      <w:r>
        <w:rPr>
          <w:color w:val="231F20"/>
          <w:spacing w:val="-13"/>
          <w:w w:val="105"/>
        </w:rPr>
        <w:t> </w:t>
      </w:r>
      <w:r>
        <w:rPr>
          <w:color w:val="231F20"/>
          <w:w w:val="105"/>
        </w:rPr>
        <w:t>don- de</w:t>
      </w:r>
      <w:r>
        <w:rPr>
          <w:color w:val="231F20"/>
          <w:spacing w:val="-16"/>
          <w:w w:val="105"/>
        </w:rPr>
        <w:t> </w:t>
      </w:r>
      <w:r>
        <w:rPr>
          <w:color w:val="231F20"/>
          <w:w w:val="105"/>
        </w:rPr>
        <w:t>la</w:t>
      </w:r>
      <w:r>
        <w:rPr>
          <w:color w:val="231F20"/>
          <w:spacing w:val="-16"/>
          <w:w w:val="105"/>
        </w:rPr>
        <w:t> </w:t>
      </w:r>
      <w:r>
        <w:rPr>
          <w:color w:val="231F20"/>
          <w:w w:val="105"/>
        </w:rPr>
        <w:t>experiencia</w:t>
      </w:r>
      <w:r>
        <w:rPr>
          <w:color w:val="231F20"/>
          <w:spacing w:val="-16"/>
          <w:w w:val="105"/>
        </w:rPr>
        <w:t> </w:t>
      </w:r>
      <w:r>
        <w:rPr>
          <w:color w:val="231F20"/>
          <w:w w:val="105"/>
        </w:rPr>
        <w:t>de</w:t>
      </w:r>
      <w:r>
        <w:rPr>
          <w:color w:val="231F20"/>
          <w:spacing w:val="-16"/>
          <w:w w:val="105"/>
        </w:rPr>
        <w:t> </w:t>
      </w:r>
      <w:r>
        <w:rPr>
          <w:color w:val="231F20"/>
          <w:w w:val="105"/>
        </w:rPr>
        <w:t>retorno</w:t>
      </w:r>
      <w:r>
        <w:rPr>
          <w:color w:val="231F20"/>
          <w:spacing w:val="-16"/>
          <w:w w:val="105"/>
        </w:rPr>
        <w:t> </w:t>
      </w:r>
      <w:r>
        <w:rPr>
          <w:color w:val="231F20"/>
          <w:w w:val="105"/>
        </w:rPr>
        <w:t>no</w:t>
      </w:r>
      <w:r>
        <w:rPr>
          <w:color w:val="231F20"/>
          <w:spacing w:val="-16"/>
          <w:w w:val="105"/>
        </w:rPr>
        <w:t> </w:t>
      </w:r>
      <w:r>
        <w:rPr>
          <w:color w:val="231F20"/>
          <w:w w:val="105"/>
        </w:rPr>
        <w:t>incluye</w:t>
      </w:r>
      <w:r>
        <w:rPr>
          <w:color w:val="231F20"/>
          <w:spacing w:val="-16"/>
          <w:w w:val="105"/>
        </w:rPr>
        <w:t> </w:t>
      </w:r>
      <w:r>
        <w:rPr>
          <w:color w:val="231F20"/>
          <w:w w:val="105"/>
        </w:rPr>
        <w:t>la</w:t>
      </w:r>
      <w:r>
        <w:rPr>
          <w:color w:val="231F20"/>
          <w:spacing w:val="-16"/>
          <w:w w:val="105"/>
        </w:rPr>
        <w:t> </w:t>
      </w:r>
      <w:r>
        <w:rPr>
          <w:color w:val="231F20"/>
          <w:w w:val="105"/>
        </w:rPr>
        <w:t>inserción</w:t>
      </w:r>
      <w:r>
        <w:rPr>
          <w:color w:val="231F20"/>
          <w:spacing w:val="-16"/>
          <w:w w:val="105"/>
        </w:rPr>
        <w:t> </w:t>
      </w:r>
      <w:r>
        <w:rPr>
          <w:rFonts w:ascii="Arial" w:hAnsi="Arial"/>
          <w:i/>
          <w:color w:val="231F20"/>
          <w:w w:val="105"/>
        </w:rPr>
        <w:t>sine</w:t>
      </w:r>
      <w:r>
        <w:rPr>
          <w:rFonts w:ascii="Arial" w:hAnsi="Arial"/>
          <w:i/>
          <w:color w:val="231F20"/>
          <w:spacing w:val="-18"/>
          <w:w w:val="105"/>
        </w:rPr>
        <w:t> </w:t>
      </w:r>
      <w:r>
        <w:rPr>
          <w:rFonts w:ascii="Arial" w:hAnsi="Arial"/>
          <w:i/>
          <w:color w:val="231F20"/>
          <w:w w:val="105"/>
        </w:rPr>
        <w:t>qua</w:t>
      </w:r>
      <w:r>
        <w:rPr>
          <w:rFonts w:ascii="Arial" w:hAnsi="Arial"/>
          <w:i/>
          <w:color w:val="231F20"/>
          <w:spacing w:val="-18"/>
          <w:w w:val="105"/>
        </w:rPr>
        <w:t> </w:t>
      </w:r>
      <w:r>
        <w:rPr>
          <w:rFonts w:ascii="Arial" w:hAnsi="Arial"/>
          <w:i/>
          <w:color w:val="231F20"/>
          <w:w w:val="105"/>
        </w:rPr>
        <w:t>non</w:t>
      </w:r>
      <w:r>
        <w:rPr>
          <w:rFonts w:ascii="Arial" w:hAnsi="Arial"/>
          <w:i/>
          <w:color w:val="231F20"/>
          <w:spacing w:val="-18"/>
          <w:w w:val="105"/>
        </w:rPr>
        <w:t> </w:t>
      </w:r>
      <w:r>
        <w:rPr>
          <w:color w:val="231F20"/>
          <w:w w:val="105"/>
        </w:rPr>
        <w:t>(Rivera, 2014),</w:t>
      </w:r>
      <w:r>
        <w:rPr>
          <w:color w:val="231F20"/>
          <w:spacing w:val="-28"/>
          <w:w w:val="105"/>
        </w:rPr>
        <w:t> </w:t>
      </w:r>
      <w:r>
        <w:rPr>
          <w:color w:val="231F20"/>
          <w:w w:val="105"/>
        </w:rPr>
        <w:t>como</w:t>
      </w:r>
      <w:r>
        <w:rPr>
          <w:color w:val="231F20"/>
          <w:spacing w:val="-24"/>
          <w:w w:val="105"/>
        </w:rPr>
        <w:t> </w:t>
      </w:r>
      <w:r>
        <w:rPr>
          <w:color w:val="231F20"/>
          <w:w w:val="105"/>
        </w:rPr>
        <w:t>se</w:t>
      </w:r>
      <w:r>
        <w:rPr>
          <w:color w:val="231F20"/>
          <w:spacing w:val="-24"/>
          <w:w w:val="105"/>
        </w:rPr>
        <w:t> </w:t>
      </w:r>
      <w:r>
        <w:rPr>
          <w:color w:val="231F20"/>
          <w:w w:val="105"/>
        </w:rPr>
        <w:t>observará</w:t>
      </w:r>
      <w:r>
        <w:rPr>
          <w:color w:val="231F20"/>
          <w:spacing w:val="-24"/>
          <w:w w:val="105"/>
        </w:rPr>
        <w:t> </w:t>
      </w:r>
      <w:r>
        <w:rPr>
          <w:color w:val="231F20"/>
          <w:w w:val="105"/>
        </w:rPr>
        <w:t>en</w:t>
      </w:r>
      <w:r>
        <w:rPr>
          <w:color w:val="231F20"/>
          <w:spacing w:val="-24"/>
          <w:w w:val="105"/>
        </w:rPr>
        <w:t> </w:t>
      </w:r>
      <w:r>
        <w:rPr>
          <w:color w:val="231F20"/>
          <w:w w:val="105"/>
        </w:rPr>
        <w:t>las</w:t>
      </w:r>
      <w:r>
        <w:rPr>
          <w:color w:val="231F20"/>
          <w:spacing w:val="-24"/>
          <w:w w:val="105"/>
        </w:rPr>
        <w:t> </w:t>
      </w:r>
      <w:r>
        <w:rPr>
          <w:color w:val="231F20"/>
          <w:w w:val="105"/>
        </w:rPr>
        <w:t>narrativas</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retornados.</w:t>
      </w:r>
    </w:p>
    <w:p>
      <w:pPr>
        <w:pStyle w:val="BodyText"/>
        <w:rPr>
          <w:sz w:val="20"/>
        </w:rPr>
      </w:pPr>
    </w:p>
    <w:p>
      <w:pPr>
        <w:pStyle w:val="BodyText"/>
        <w:spacing w:before="9"/>
        <w:rPr>
          <w:sz w:val="20"/>
        </w:rPr>
      </w:pPr>
    </w:p>
    <w:p>
      <w:pPr>
        <w:pStyle w:val="Heading3"/>
        <w:ind w:left="1723"/>
      </w:pPr>
      <w:r>
        <w:rPr>
          <w:color w:val="231F20"/>
        </w:rPr>
        <w:t>Nezahualcóyotl. Un nodo articulador de movilidades</w:t>
      </w:r>
    </w:p>
    <w:p>
      <w:pPr>
        <w:pStyle w:val="BodyText"/>
        <w:rPr>
          <w:rFonts w:ascii="Arial"/>
          <w:b/>
          <w:sz w:val="22"/>
        </w:rPr>
      </w:pPr>
    </w:p>
    <w:p>
      <w:pPr>
        <w:spacing w:before="160"/>
        <w:ind w:left="1723" w:right="0" w:firstLine="0"/>
        <w:jc w:val="both"/>
        <w:rPr>
          <w:rFonts w:ascii="Arial" w:hAnsi="Arial"/>
          <w:i/>
          <w:sz w:val="21"/>
        </w:rPr>
      </w:pPr>
      <w:r>
        <w:rPr>
          <w:rFonts w:ascii="Arial" w:hAnsi="Arial"/>
          <w:i/>
          <w:color w:val="231F20"/>
          <w:w w:val="105"/>
          <w:sz w:val="21"/>
        </w:rPr>
        <w:t>La configuración del municipio en la metrópoli</w:t>
      </w:r>
    </w:p>
    <w:p>
      <w:pPr>
        <w:pStyle w:val="BodyText"/>
        <w:spacing w:before="5"/>
        <w:rPr>
          <w:rFonts w:ascii="Arial"/>
          <w:i/>
          <w:sz w:val="24"/>
        </w:rPr>
      </w:pPr>
    </w:p>
    <w:p>
      <w:pPr>
        <w:pStyle w:val="BodyText"/>
        <w:spacing w:line="261" w:lineRule="auto" w:before="1"/>
        <w:ind w:left="1723" w:right="1828"/>
        <w:jc w:val="both"/>
      </w:pPr>
      <w:r>
        <w:rPr>
          <w:color w:val="231F20"/>
          <w:w w:val="105"/>
        </w:rPr>
        <w:t>Nezahualcóyotl es un municipio del Estado de México, se localiza en</w:t>
      </w:r>
      <w:r>
        <w:rPr>
          <w:color w:val="231F20"/>
          <w:spacing w:val="-34"/>
          <w:w w:val="105"/>
        </w:rPr>
        <w:t> </w:t>
      </w:r>
      <w:r>
        <w:rPr>
          <w:color w:val="231F20"/>
          <w:w w:val="105"/>
        </w:rPr>
        <w:t>la zona metropolitana del valle de México. Solamente una calle lo separa del</w:t>
      </w:r>
      <w:r>
        <w:rPr>
          <w:color w:val="231F20"/>
          <w:spacing w:val="-20"/>
          <w:w w:val="105"/>
        </w:rPr>
        <w:t> </w:t>
      </w:r>
      <w:r>
        <w:rPr>
          <w:color w:val="231F20"/>
          <w:w w:val="105"/>
        </w:rPr>
        <w:t>Distrito</w:t>
      </w:r>
      <w:r>
        <w:rPr>
          <w:color w:val="231F20"/>
          <w:spacing w:val="-20"/>
          <w:w w:val="105"/>
        </w:rPr>
        <w:t> </w:t>
      </w:r>
      <w:r>
        <w:rPr>
          <w:color w:val="231F20"/>
          <w:w w:val="105"/>
        </w:rPr>
        <w:t>Federal.</w:t>
      </w:r>
      <w:r>
        <w:rPr>
          <w:color w:val="231F20"/>
          <w:spacing w:val="-25"/>
          <w:w w:val="105"/>
        </w:rPr>
        <w:t> </w:t>
      </w:r>
      <w:r>
        <w:rPr>
          <w:color w:val="231F20"/>
          <w:w w:val="105"/>
        </w:rPr>
        <w:t>Sus</w:t>
      </w:r>
      <w:r>
        <w:rPr>
          <w:color w:val="231F20"/>
          <w:spacing w:val="-20"/>
          <w:w w:val="105"/>
        </w:rPr>
        <w:t> </w:t>
      </w:r>
      <w:r>
        <w:rPr>
          <w:color w:val="231F20"/>
          <w:w w:val="105"/>
        </w:rPr>
        <w:t>límites</w:t>
      </w:r>
      <w:r>
        <w:rPr>
          <w:color w:val="231F20"/>
          <w:spacing w:val="-20"/>
          <w:w w:val="105"/>
        </w:rPr>
        <w:t> </w:t>
      </w:r>
      <w:r>
        <w:rPr>
          <w:color w:val="231F20"/>
          <w:w w:val="105"/>
        </w:rPr>
        <w:t>son</w:t>
      </w:r>
      <w:r>
        <w:rPr>
          <w:color w:val="231F20"/>
          <w:spacing w:val="-20"/>
          <w:w w:val="105"/>
        </w:rPr>
        <w:t> </w:t>
      </w:r>
      <w:r>
        <w:rPr>
          <w:color w:val="231F20"/>
          <w:w w:val="105"/>
        </w:rPr>
        <w:t>difusos</w:t>
      </w:r>
      <w:r>
        <w:rPr>
          <w:color w:val="231F20"/>
          <w:spacing w:val="-20"/>
          <w:w w:val="105"/>
        </w:rPr>
        <w:t> </w:t>
      </w:r>
      <w:r>
        <w:rPr>
          <w:color w:val="231F20"/>
          <w:w w:val="105"/>
        </w:rPr>
        <w:t>para</w:t>
      </w:r>
      <w:r>
        <w:rPr>
          <w:color w:val="231F20"/>
          <w:spacing w:val="-20"/>
          <w:w w:val="105"/>
        </w:rPr>
        <w:t> </w:t>
      </w:r>
      <w:r>
        <w:rPr>
          <w:color w:val="231F20"/>
          <w:w w:val="105"/>
        </w:rPr>
        <w:t>un</w:t>
      </w:r>
      <w:r>
        <w:rPr>
          <w:color w:val="231F20"/>
          <w:spacing w:val="-20"/>
          <w:w w:val="105"/>
        </w:rPr>
        <w:t> </w:t>
      </w:r>
      <w:r>
        <w:rPr>
          <w:color w:val="231F20"/>
          <w:w w:val="105"/>
        </w:rPr>
        <w:t>transeúnte</w:t>
      </w:r>
      <w:r>
        <w:rPr>
          <w:color w:val="231F20"/>
          <w:spacing w:val="-20"/>
          <w:w w:val="105"/>
        </w:rPr>
        <w:t> </w:t>
      </w:r>
      <w:r>
        <w:rPr>
          <w:color w:val="231F20"/>
          <w:w w:val="105"/>
        </w:rPr>
        <w:t>cotidiano, pues</w:t>
      </w:r>
      <w:r>
        <w:rPr>
          <w:color w:val="231F20"/>
          <w:spacing w:val="-6"/>
          <w:w w:val="105"/>
        </w:rPr>
        <w:t> </w:t>
      </w:r>
      <w:r>
        <w:rPr>
          <w:color w:val="231F20"/>
          <w:w w:val="105"/>
        </w:rPr>
        <w:t>el</w:t>
      </w:r>
      <w:r>
        <w:rPr>
          <w:color w:val="231F20"/>
          <w:spacing w:val="-6"/>
          <w:w w:val="105"/>
        </w:rPr>
        <w:t> </w:t>
      </w:r>
      <w:r>
        <w:rPr>
          <w:color w:val="231F20"/>
          <w:w w:val="105"/>
        </w:rPr>
        <w:t>área</w:t>
      </w:r>
      <w:r>
        <w:rPr>
          <w:color w:val="231F20"/>
          <w:spacing w:val="-6"/>
          <w:w w:val="105"/>
        </w:rPr>
        <w:t> </w:t>
      </w:r>
      <w:r>
        <w:rPr>
          <w:color w:val="231F20"/>
          <w:w w:val="105"/>
        </w:rPr>
        <w:t>metropolitana</w:t>
      </w:r>
      <w:r>
        <w:rPr>
          <w:color w:val="231F20"/>
          <w:spacing w:val="-6"/>
          <w:w w:val="105"/>
        </w:rPr>
        <w:t> </w:t>
      </w:r>
      <w:r>
        <w:rPr>
          <w:color w:val="231F20"/>
          <w:w w:val="105"/>
        </w:rPr>
        <w:t>es</w:t>
      </w:r>
      <w:r>
        <w:rPr>
          <w:color w:val="231F20"/>
          <w:spacing w:val="-6"/>
          <w:w w:val="105"/>
        </w:rPr>
        <w:t> </w:t>
      </w:r>
      <w:r>
        <w:rPr>
          <w:color w:val="231F20"/>
          <w:w w:val="105"/>
        </w:rPr>
        <w:t>una</w:t>
      </w:r>
      <w:r>
        <w:rPr>
          <w:color w:val="231F20"/>
          <w:spacing w:val="-6"/>
          <w:w w:val="105"/>
        </w:rPr>
        <w:t> </w:t>
      </w:r>
      <w:r>
        <w:rPr>
          <w:color w:val="231F20"/>
          <w:w w:val="105"/>
        </w:rPr>
        <w:t>enorme</w:t>
      </w:r>
      <w:r>
        <w:rPr>
          <w:color w:val="231F20"/>
          <w:spacing w:val="-6"/>
          <w:w w:val="105"/>
        </w:rPr>
        <w:t> </w:t>
      </w:r>
      <w:r>
        <w:rPr>
          <w:color w:val="231F20"/>
          <w:w w:val="105"/>
        </w:rPr>
        <w:t>extensión</w:t>
      </w:r>
      <w:r>
        <w:rPr>
          <w:color w:val="231F20"/>
          <w:spacing w:val="-6"/>
          <w:w w:val="105"/>
        </w:rPr>
        <w:t> </w:t>
      </w:r>
      <w:r>
        <w:rPr>
          <w:color w:val="231F20"/>
          <w:w w:val="105"/>
        </w:rPr>
        <w:t>territorial</w:t>
      </w:r>
      <w:r>
        <w:rPr>
          <w:color w:val="231F20"/>
          <w:spacing w:val="-6"/>
          <w:w w:val="105"/>
        </w:rPr>
        <w:t> </w:t>
      </w:r>
      <w:r>
        <w:rPr>
          <w:color w:val="231F20"/>
          <w:w w:val="105"/>
        </w:rPr>
        <w:t>que</w:t>
      </w:r>
      <w:r>
        <w:rPr>
          <w:color w:val="231F20"/>
          <w:spacing w:val="-6"/>
          <w:w w:val="105"/>
        </w:rPr>
        <w:t> </w:t>
      </w:r>
      <w:r>
        <w:rPr>
          <w:color w:val="231F20"/>
          <w:w w:val="105"/>
        </w:rPr>
        <w:t>con- densa</w:t>
      </w:r>
      <w:r>
        <w:rPr>
          <w:color w:val="231F20"/>
          <w:spacing w:val="-29"/>
          <w:w w:val="105"/>
        </w:rPr>
        <w:t> </w:t>
      </w:r>
      <w:r>
        <w:rPr>
          <w:color w:val="231F20"/>
          <w:w w:val="105"/>
        </w:rPr>
        <w:t>variadas</w:t>
      </w:r>
      <w:r>
        <w:rPr>
          <w:color w:val="231F20"/>
          <w:spacing w:val="-29"/>
          <w:w w:val="105"/>
        </w:rPr>
        <w:t> </w:t>
      </w:r>
      <w:r>
        <w:rPr>
          <w:color w:val="231F20"/>
          <w:w w:val="105"/>
        </w:rPr>
        <w:t>movilidades</w:t>
      </w:r>
      <w:r>
        <w:rPr>
          <w:color w:val="231F20"/>
          <w:spacing w:val="-29"/>
          <w:w w:val="105"/>
        </w:rPr>
        <w:t> </w:t>
      </w:r>
      <w:r>
        <w:rPr>
          <w:color w:val="231F20"/>
          <w:w w:val="105"/>
        </w:rPr>
        <w:t>intraurbanas,</w:t>
      </w:r>
      <w:r>
        <w:rPr>
          <w:color w:val="231F20"/>
          <w:spacing w:val="-32"/>
          <w:w w:val="105"/>
        </w:rPr>
        <w:t> </w:t>
      </w:r>
      <w:r>
        <w:rPr>
          <w:color w:val="231F20"/>
          <w:w w:val="105"/>
        </w:rPr>
        <w:t>entre</w:t>
      </w:r>
      <w:r>
        <w:rPr>
          <w:color w:val="231F20"/>
          <w:spacing w:val="-29"/>
          <w:w w:val="105"/>
        </w:rPr>
        <w:t> </w:t>
      </w:r>
      <w:r>
        <w:rPr>
          <w:color w:val="231F20"/>
          <w:w w:val="105"/>
        </w:rPr>
        <w:t>municipios</w:t>
      </w:r>
      <w:r>
        <w:rPr>
          <w:color w:val="231F20"/>
          <w:spacing w:val="-29"/>
          <w:w w:val="105"/>
        </w:rPr>
        <w:t> </w:t>
      </w:r>
      <w:r>
        <w:rPr>
          <w:color w:val="231F20"/>
          <w:w w:val="105"/>
        </w:rPr>
        <w:t>mexiquenses y el Distrito Federal. </w:t>
      </w:r>
      <w:r>
        <w:rPr>
          <w:color w:val="231F20"/>
          <w:spacing w:val="-3"/>
          <w:w w:val="105"/>
        </w:rPr>
        <w:t>Fue </w:t>
      </w:r>
      <w:r>
        <w:rPr>
          <w:color w:val="231F20"/>
          <w:w w:val="105"/>
        </w:rPr>
        <w:t>creado en 1963 en una porción de lo que his- tóricamente fue el Lago de </w:t>
      </w:r>
      <w:r>
        <w:rPr>
          <w:color w:val="231F20"/>
          <w:spacing w:val="-4"/>
          <w:w w:val="105"/>
        </w:rPr>
        <w:t>Texcoco, </w:t>
      </w:r>
      <w:r>
        <w:rPr>
          <w:color w:val="231F20"/>
          <w:w w:val="105"/>
        </w:rPr>
        <w:t>desecado entre 1912 y 1932 (Se- cretaría de Gobernación, 1999). A partir de la década de los cuarenta, con</w:t>
      </w:r>
      <w:r>
        <w:rPr>
          <w:color w:val="231F20"/>
          <w:spacing w:val="-5"/>
          <w:w w:val="105"/>
        </w:rPr>
        <w:t> </w:t>
      </w:r>
      <w:r>
        <w:rPr>
          <w:color w:val="231F20"/>
          <w:w w:val="105"/>
        </w:rPr>
        <w:t>la</w:t>
      </w:r>
      <w:r>
        <w:rPr>
          <w:color w:val="231F20"/>
          <w:spacing w:val="-5"/>
          <w:w w:val="105"/>
        </w:rPr>
        <w:t> </w:t>
      </w:r>
      <w:r>
        <w:rPr>
          <w:color w:val="231F20"/>
          <w:w w:val="105"/>
        </w:rPr>
        <w:t>construcción</w:t>
      </w:r>
      <w:r>
        <w:rPr>
          <w:color w:val="231F20"/>
          <w:spacing w:val="-5"/>
          <w:w w:val="105"/>
        </w:rPr>
        <w:t> </w:t>
      </w:r>
      <w:r>
        <w:rPr>
          <w:color w:val="231F20"/>
          <w:w w:val="105"/>
        </w:rPr>
        <w:t>del</w:t>
      </w:r>
      <w:r>
        <w:rPr>
          <w:color w:val="231F20"/>
          <w:spacing w:val="-5"/>
          <w:w w:val="105"/>
        </w:rPr>
        <w:t> </w:t>
      </w:r>
      <w:r>
        <w:rPr>
          <w:color w:val="231F20"/>
          <w:w w:val="105"/>
        </w:rPr>
        <w:t>bordo</w:t>
      </w:r>
      <w:r>
        <w:rPr>
          <w:color w:val="231F20"/>
          <w:spacing w:val="-5"/>
          <w:w w:val="105"/>
        </w:rPr>
        <w:t> </w:t>
      </w:r>
      <w:r>
        <w:rPr>
          <w:color w:val="231F20"/>
          <w:w w:val="105"/>
        </w:rPr>
        <w:t>de</w:t>
      </w:r>
      <w:r>
        <w:rPr>
          <w:color w:val="231F20"/>
          <w:spacing w:val="-7"/>
          <w:w w:val="105"/>
        </w:rPr>
        <w:t> </w:t>
      </w:r>
      <w:r>
        <w:rPr>
          <w:color w:val="231F20"/>
          <w:w w:val="105"/>
        </w:rPr>
        <w:t>Xochiaca</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túnel</w:t>
      </w:r>
      <w:r>
        <w:rPr>
          <w:color w:val="231F20"/>
          <w:spacing w:val="-5"/>
          <w:w w:val="105"/>
        </w:rPr>
        <w:t> </w:t>
      </w:r>
      <w:r>
        <w:rPr>
          <w:color w:val="231F20"/>
          <w:w w:val="105"/>
        </w:rPr>
        <w:t>de</w:t>
      </w:r>
      <w:r>
        <w:rPr>
          <w:color w:val="231F20"/>
          <w:spacing w:val="-10"/>
          <w:w w:val="105"/>
        </w:rPr>
        <w:t> </w:t>
      </w:r>
      <w:r>
        <w:rPr>
          <w:color w:val="231F20"/>
          <w:w w:val="105"/>
        </w:rPr>
        <w:t>Tequixquiac,</w:t>
      </w:r>
      <w:r>
        <w:rPr>
          <w:color w:val="231F20"/>
          <w:spacing w:val="-10"/>
          <w:w w:val="105"/>
        </w:rPr>
        <w:t> </w:t>
      </w:r>
      <w:r>
        <w:rPr>
          <w:color w:val="231F20"/>
          <w:w w:val="105"/>
        </w:rPr>
        <w:t>se generó</w:t>
      </w:r>
      <w:r>
        <w:rPr>
          <w:color w:val="231F20"/>
          <w:spacing w:val="-10"/>
          <w:w w:val="105"/>
        </w:rPr>
        <w:t> </w:t>
      </w:r>
      <w:r>
        <w:rPr>
          <w:color w:val="231F20"/>
          <w:w w:val="105"/>
        </w:rPr>
        <w:t>una</w:t>
      </w:r>
      <w:r>
        <w:rPr>
          <w:color w:val="231F20"/>
          <w:spacing w:val="-10"/>
          <w:w w:val="105"/>
        </w:rPr>
        <w:t> </w:t>
      </w:r>
      <w:r>
        <w:rPr>
          <w:color w:val="231F20"/>
          <w:w w:val="105"/>
        </w:rPr>
        <w:t>afluencia</w:t>
      </w:r>
      <w:r>
        <w:rPr>
          <w:color w:val="231F20"/>
          <w:spacing w:val="-10"/>
          <w:w w:val="105"/>
        </w:rPr>
        <w:t> </w:t>
      </w:r>
      <w:r>
        <w:rPr>
          <w:color w:val="231F20"/>
          <w:w w:val="105"/>
        </w:rPr>
        <w:t>masiva</w:t>
      </w:r>
      <w:r>
        <w:rPr>
          <w:color w:val="231F20"/>
          <w:spacing w:val="-10"/>
          <w:w w:val="105"/>
        </w:rPr>
        <w:t> </w:t>
      </w:r>
      <w:r>
        <w:rPr>
          <w:color w:val="231F20"/>
          <w:w w:val="105"/>
        </w:rPr>
        <w:t>de</w:t>
      </w:r>
      <w:r>
        <w:rPr>
          <w:color w:val="231F20"/>
          <w:spacing w:val="-10"/>
          <w:w w:val="105"/>
        </w:rPr>
        <w:t> </w:t>
      </w:r>
      <w:r>
        <w:rPr>
          <w:color w:val="231F20"/>
          <w:w w:val="105"/>
        </w:rPr>
        <w:t>habitantes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Ciudad</w:t>
      </w:r>
      <w:r>
        <w:rPr>
          <w:color w:val="231F20"/>
          <w:spacing w:val="-10"/>
          <w:w w:val="105"/>
        </w:rPr>
        <w:t> </w:t>
      </w:r>
      <w:r>
        <w:rPr>
          <w:color w:val="231F20"/>
          <w:w w:val="105"/>
        </w:rPr>
        <w:t>de</w:t>
      </w:r>
      <w:r>
        <w:rPr>
          <w:color w:val="231F20"/>
          <w:spacing w:val="-10"/>
          <w:w w:val="105"/>
        </w:rPr>
        <w:t> </w:t>
      </w:r>
      <w:r>
        <w:rPr>
          <w:color w:val="231F20"/>
          <w:w w:val="105"/>
        </w:rPr>
        <w:t>México</w:t>
      </w:r>
      <w:r>
        <w:rPr>
          <w:color w:val="231F20"/>
          <w:spacing w:val="-10"/>
          <w:w w:val="105"/>
        </w:rPr>
        <w:t> </w:t>
      </w:r>
      <w:r>
        <w:rPr>
          <w:color w:val="231F20"/>
          <w:w w:val="105"/>
        </w:rPr>
        <w:t>y</w:t>
      </w:r>
      <w:r>
        <w:rPr>
          <w:color w:val="231F20"/>
          <w:spacing w:val="-10"/>
          <w:w w:val="105"/>
        </w:rPr>
        <w:t> </w:t>
      </w:r>
      <w:r>
        <w:rPr>
          <w:color w:val="231F20"/>
          <w:w w:val="105"/>
        </w:rPr>
        <w:t>de los</w:t>
      </w:r>
      <w:r>
        <w:rPr>
          <w:color w:val="231F20"/>
          <w:spacing w:val="-9"/>
          <w:w w:val="105"/>
        </w:rPr>
        <w:t> </w:t>
      </w:r>
      <w:r>
        <w:rPr>
          <w:color w:val="231F20"/>
          <w:w w:val="105"/>
        </w:rPr>
        <w:t>municipios</w:t>
      </w:r>
      <w:r>
        <w:rPr>
          <w:color w:val="231F20"/>
          <w:spacing w:val="-9"/>
          <w:w w:val="105"/>
        </w:rPr>
        <w:t> </w:t>
      </w:r>
      <w:r>
        <w:rPr>
          <w:color w:val="231F20"/>
          <w:w w:val="105"/>
        </w:rPr>
        <w:t>metropolitanos,</w:t>
      </w:r>
      <w:r>
        <w:rPr>
          <w:color w:val="231F20"/>
          <w:spacing w:val="-14"/>
          <w:w w:val="105"/>
        </w:rPr>
        <w:t> </w:t>
      </w:r>
      <w:r>
        <w:rPr>
          <w:color w:val="231F20"/>
          <w:w w:val="105"/>
        </w:rPr>
        <w:t>así</w:t>
      </w:r>
      <w:r>
        <w:rPr>
          <w:color w:val="231F20"/>
          <w:spacing w:val="-9"/>
          <w:w w:val="105"/>
        </w:rPr>
        <w:t> </w:t>
      </w:r>
      <w:r>
        <w:rPr>
          <w:color w:val="231F20"/>
          <w:w w:val="105"/>
        </w:rPr>
        <w:t>como</w:t>
      </w:r>
      <w:r>
        <w:rPr>
          <w:color w:val="231F20"/>
          <w:spacing w:val="-9"/>
          <w:w w:val="105"/>
        </w:rPr>
        <w:t> </w:t>
      </w:r>
      <w:r>
        <w:rPr>
          <w:color w:val="231F20"/>
          <w:w w:val="105"/>
        </w:rPr>
        <w:t>desde</w:t>
      </w:r>
      <w:r>
        <w:rPr>
          <w:color w:val="231F20"/>
          <w:spacing w:val="-9"/>
          <w:w w:val="105"/>
        </w:rPr>
        <w:t> </w:t>
      </w:r>
      <w:r>
        <w:rPr>
          <w:color w:val="231F20"/>
          <w:w w:val="105"/>
        </w:rPr>
        <w:t>otras</w:t>
      </w:r>
      <w:r>
        <w:rPr>
          <w:color w:val="231F20"/>
          <w:spacing w:val="-9"/>
          <w:w w:val="105"/>
        </w:rPr>
        <w:t> </w:t>
      </w:r>
      <w:r>
        <w:rPr>
          <w:color w:val="231F20"/>
          <w:w w:val="105"/>
        </w:rPr>
        <w:t>entidades</w:t>
      </w:r>
      <w:r>
        <w:rPr>
          <w:color w:val="231F20"/>
          <w:spacing w:val="-9"/>
          <w:w w:val="105"/>
        </w:rPr>
        <w:t> </w:t>
      </w:r>
      <w:r>
        <w:rPr>
          <w:color w:val="231F20"/>
          <w:w w:val="105"/>
        </w:rPr>
        <w:t>del</w:t>
      </w:r>
      <w:r>
        <w:rPr>
          <w:color w:val="231F20"/>
          <w:spacing w:val="-9"/>
          <w:w w:val="105"/>
        </w:rPr>
        <w:t> </w:t>
      </w:r>
      <w:r>
        <w:rPr>
          <w:color w:val="231F20"/>
          <w:w w:val="105"/>
        </w:rPr>
        <w:t>país, quienes se asentaron en esta porción de la zona metropolitana con la expectativa</w:t>
      </w:r>
      <w:r>
        <w:rPr>
          <w:color w:val="231F20"/>
          <w:spacing w:val="-16"/>
          <w:w w:val="105"/>
        </w:rPr>
        <w:t> </w:t>
      </w:r>
      <w:r>
        <w:rPr>
          <w:color w:val="231F20"/>
          <w:w w:val="105"/>
        </w:rPr>
        <w:t>de</w:t>
      </w:r>
      <w:r>
        <w:rPr>
          <w:color w:val="231F20"/>
          <w:spacing w:val="-16"/>
          <w:w w:val="105"/>
        </w:rPr>
        <w:t> </w:t>
      </w:r>
      <w:r>
        <w:rPr>
          <w:color w:val="231F20"/>
          <w:w w:val="105"/>
        </w:rPr>
        <w:t>conseguir</w:t>
      </w:r>
      <w:r>
        <w:rPr>
          <w:color w:val="231F20"/>
          <w:spacing w:val="-16"/>
          <w:w w:val="105"/>
        </w:rPr>
        <w:t> </w:t>
      </w:r>
      <w:r>
        <w:rPr>
          <w:color w:val="231F20"/>
          <w:w w:val="105"/>
        </w:rPr>
        <w:t>un</w:t>
      </w:r>
      <w:r>
        <w:rPr>
          <w:color w:val="231F20"/>
          <w:spacing w:val="-16"/>
          <w:w w:val="105"/>
        </w:rPr>
        <w:t> </w:t>
      </w:r>
      <w:r>
        <w:rPr>
          <w:color w:val="231F20"/>
          <w:w w:val="105"/>
        </w:rPr>
        <w:t>empleo</w:t>
      </w:r>
      <w:r>
        <w:rPr>
          <w:color w:val="231F20"/>
          <w:spacing w:val="-16"/>
          <w:w w:val="105"/>
        </w:rPr>
        <w:t> </w:t>
      </w:r>
      <w:r>
        <w:rPr>
          <w:color w:val="231F20"/>
          <w:w w:val="105"/>
        </w:rPr>
        <w:t>urbano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ciudad,</w:t>
      </w:r>
      <w:r>
        <w:rPr>
          <w:color w:val="231F20"/>
          <w:spacing w:val="-22"/>
          <w:w w:val="105"/>
        </w:rPr>
        <w:t> </w:t>
      </w:r>
      <w:r>
        <w:rPr>
          <w:color w:val="231F20"/>
          <w:w w:val="105"/>
        </w:rPr>
        <w:t>en</w:t>
      </w:r>
      <w:r>
        <w:rPr>
          <w:color w:val="231F20"/>
          <w:spacing w:val="-16"/>
          <w:w w:val="105"/>
        </w:rPr>
        <w:t> </w:t>
      </w:r>
      <w:r>
        <w:rPr>
          <w:color w:val="231F20"/>
          <w:w w:val="105"/>
        </w:rPr>
        <w:t>pleno</w:t>
      </w:r>
      <w:r>
        <w:rPr>
          <w:color w:val="231F20"/>
          <w:spacing w:val="-16"/>
          <w:w w:val="105"/>
        </w:rPr>
        <w:t> </w:t>
      </w:r>
      <w:r>
        <w:rPr>
          <w:color w:val="231F20"/>
          <w:w w:val="105"/>
        </w:rPr>
        <w:t>desa- rrollo</w:t>
      </w:r>
      <w:r>
        <w:rPr>
          <w:color w:val="231F20"/>
          <w:spacing w:val="-28"/>
          <w:w w:val="105"/>
        </w:rPr>
        <w:t> </w:t>
      </w:r>
      <w:r>
        <w:rPr>
          <w:color w:val="231F20"/>
          <w:w w:val="105"/>
        </w:rPr>
        <w:t>industrial</w:t>
      </w:r>
      <w:r>
        <w:rPr>
          <w:color w:val="231F20"/>
          <w:spacing w:val="-28"/>
          <w:w w:val="105"/>
        </w:rPr>
        <w:t> </w:t>
      </w:r>
      <w:r>
        <w:rPr>
          <w:color w:val="231F20"/>
          <w:w w:val="105"/>
        </w:rPr>
        <w:t>y</w:t>
      </w:r>
      <w:r>
        <w:rPr>
          <w:color w:val="231F20"/>
          <w:spacing w:val="-28"/>
          <w:w w:val="105"/>
        </w:rPr>
        <w:t> </w:t>
      </w:r>
      <w:r>
        <w:rPr>
          <w:color w:val="231F20"/>
          <w:w w:val="105"/>
        </w:rPr>
        <w:t>de</w:t>
      </w:r>
      <w:r>
        <w:rPr>
          <w:color w:val="231F20"/>
          <w:spacing w:val="-28"/>
          <w:w w:val="105"/>
        </w:rPr>
        <w:t> </w:t>
      </w:r>
      <w:r>
        <w:rPr>
          <w:color w:val="231F20"/>
          <w:w w:val="105"/>
        </w:rPr>
        <w:t>servicios.</w:t>
      </w:r>
      <w:r>
        <w:rPr>
          <w:color w:val="231F20"/>
          <w:spacing w:val="-32"/>
          <w:w w:val="105"/>
        </w:rPr>
        <w:t> </w:t>
      </w:r>
      <w:r>
        <w:rPr>
          <w:color w:val="231F20"/>
          <w:w w:val="105"/>
        </w:rPr>
        <w:t>En</w:t>
      </w:r>
      <w:r>
        <w:rPr>
          <w:color w:val="231F20"/>
          <w:spacing w:val="-28"/>
          <w:w w:val="105"/>
        </w:rPr>
        <w:t> </w:t>
      </w:r>
      <w:r>
        <w:rPr>
          <w:color w:val="231F20"/>
          <w:w w:val="105"/>
        </w:rPr>
        <w:t>ese</w:t>
      </w:r>
      <w:r>
        <w:rPr>
          <w:color w:val="231F20"/>
          <w:spacing w:val="-28"/>
          <w:w w:val="105"/>
        </w:rPr>
        <w:t> </w:t>
      </w:r>
      <w:r>
        <w:rPr>
          <w:color w:val="231F20"/>
          <w:w w:val="105"/>
        </w:rPr>
        <w:t>momento,</w:t>
      </w:r>
      <w:r>
        <w:rPr>
          <w:color w:val="231F20"/>
          <w:spacing w:val="-32"/>
          <w:w w:val="105"/>
        </w:rPr>
        <w:t> </w:t>
      </w:r>
      <w:r>
        <w:rPr>
          <w:color w:val="231F20"/>
          <w:w w:val="105"/>
        </w:rPr>
        <w:t>la</w:t>
      </w:r>
      <w:r>
        <w:rPr>
          <w:color w:val="231F20"/>
          <w:spacing w:val="-28"/>
          <w:w w:val="105"/>
        </w:rPr>
        <w:t> </w:t>
      </w:r>
      <w:r>
        <w:rPr>
          <w:color w:val="231F20"/>
          <w:w w:val="105"/>
        </w:rPr>
        <w:t>localización</w:t>
      </w:r>
      <w:r>
        <w:rPr>
          <w:color w:val="231F20"/>
          <w:spacing w:val="-28"/>
          <w:w w:val="105"/>
        </w:rPr>
        <w:t> </w:t>
      </w:r>
      <w:r>
        <w:rPr>
          <w:color w:val="231F20"/>
          <w:w w:val="105"/>
        </w:rPr>
        <w:t>geográfica de Nezahualcóyotl era una ubicación considerada como periférica a la gran</w:t>
      </w:r>
      <w:r>
        <w:rPr>
          <w:color w:val="231F20"/>
          <w:spacing w:val="-12"/>
          <w:w w:val="105"/>
        </w:rPr>
        <w:t> </w:t>
      </w:r>
      <w:r>
        <w:rPr>
          <w:color w:val="231F20"/>
          <w:w w:val="105"/>
        </w:rPr>
        <w:t>ciudad,</w:t>
      </w:r>
      <w:r>
        <w:rPr>
          <w:color w:val="231F20"/>
          <w:spacing w:val="-17"/>
          <w:w w:val="105"/>
        </w:rPr>
        <w:t> </w:t>
      </w:r>
      <w:r>
        <w:rPr>
          <w:color w:val="231F20"/>
          <w:w w:val="105"/>
        </w:rPr>
        <w:t>hoy</w:t>
      </w:r>
      <w:r>
        <w:rPr>
          <w:color w:val="231F20"/>
          <w:spacing w:val="-12"/>
          <w:w w:val="105"/>
        </w:rPr>
        <w:t> </w:t>
      </w:r>
      <w:r>
        <w:rPr>
          <w:color w:val="231F20"/>
          <w:w w:val="105"/>
        </w:rPr>
        <w:t>se</w:t>
      </w:r>
      <w:r>
        <w:rPr>
          <w:color w:val="231F20"/>
          <w:spacing w:val="-12"/>
          <w:w w:val="105"/>
        </w:rPr>
        <w:t> </w:t>
      </w:r>
      <w:r>
        <w:rPr>
          <w:color w:val="231F20"/>
          <w:w w:val="105"/>
        </w:rPr>
        <w:t>encuentra</w:t>
      </w:r>
      <w:r>
        <w:rPr>
          <w:color w:val="231F20"/>
          <w:spacing w:val="-12"/>
          <w:w w:val="105"/>
        </w:rPr>
        <w:t> </w:t>
      </w:r>
      <w:r>
        <w:rPr>
          <w:color w:val="231F20"/>
          <w:w w:val="105"/>
        </w:rPr>
        <w:t>insertada</w:t>
      </w:r>
      <w:r>
        <w:rPr>
          <w:color w:val="231F20"/>
          <w:spacing w:val="-12"/>
          <w:w w:val="105"/>
        </w:rPr>
        <w:t> </w:t>
      </w:r>
      <w:r>
        <w:rPr>
          <w:color w:val="231F20"/>
          <w:w w:val="105"/>
        </w:rPr>
        <w:t>totalmente</w:t>
      </w:r>
      <w:r>
        <w:rPr>
          <w:color w:val="231F20"/>
          <w:spacing w:val="-12"/>
          <w:w w:val="105"/>
        </w:rPr>
        <w:t> </w:t>
      </w:r>
      <w:r>
        <w:rPr>
          <w:color w:val="231F20"/>
          <w:w w:val="105"/>
        </w:rPr>
        <w:t>en</w:t>
      </w:r>
      <w:r>
        <w:rPr>
          <w:color w:val="231F20"/>
          <w:spacing w:val="-12"/>
          <w:w w:val="105"/>
        </w:rPr>
        <w:t> </w:t>
      </w:r>
      <w:r>
        <w:rPr>
          <w:color w:val="231F20"/>
          <w:w w:val="105"/>
        </w:rPr>
        <w:t>ella,</w:t>
      </w:r>
      <w:r>
        <w:rPr>
          <w:color w:val="231F20"/>
          <w:spacing w:val="-17"/>
          <w:w w:val="105"/>
        </w:rPr>
        <w:t> </w:t>
      </w:r>
      <w:r>
        <w:rPr>
          <w:color w:val="231F20"/>
          <w:w w:val="105"/>
        </w:rPr>
        <w:t>pues</w:t>
      </w:r>
      <w:r>
        <w:rPr>
          <w:color w:val="231F20"/>
          <w:spacing w:val="-12"/>
          <w:w w:val="105"/>
        </w:rPr>
        <w:t> </w:t>
      </w:r>
      <w:r>
        <w:rPr>
          <w:color w:val="231F20"/>
          <w:w w:val="105"/>
        </w:rPr>
        <w:t>la</w:t>
      </w:r>
      <w:r>
        <w:rPr>
          <w:color w:val="231F20"/>
          <w:spacing w:val="-12"/>
          <w:w w:val="105"/>
        </w:rPr>
        <w:t> </w:t>
      </w:r>
      <w:r>
        <w:rPr>
          <w:color w:val="231F20"/>
          <w:w w:val="105"/>
        </w:rPr>
        <w:t>urbe ha</w:t>
      </w:r>
      <w:r>
        <w:rPr>
          <w:color w:val="231F20"/>
          <w:spacing w:val="-20"/>
          <w:w w:val="105"/>
        </w:rPr>
        <w:t> </w:t>
      </w:r>
      <w:r>
        <w:rPr>
          <w:color w:val="231F20"/>
          <w:w w:val="105"/>
        </w:rPr>
        <w:t>crecido</w:t>
      </w:r>
      <w:r>
        <w:rPr>
          <w:color w:val="231F20"/>
          <w:spacing w:val="-20"/>
          <w:w w:val="105"/>
        </w:rPr>
        <w:t> </w:t>
      </w:r>
      <w:r>
        <w:rPr>
          <w:color w:val="231F20"/>
          <w:w w:val="105"/>
        </w:rPr>
        <w:t>concéntricamente</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periferia</w:t>
      </w:r>
      <w:r>
        <w:rPr>
          <w:color w:val="231F20"/>
          <w:spacing w:val="-20"/>
          <w:w w:val="105"/>
        </w:rPr>
        <w:t> </w:t>
      </w:r>
      <w:r>
        <w:rPr>
          <w:color w:val="231F20"/>
          <w:w w:val="105"/>
        </w:rPr>
        <w:t>se</w:t>
      </w:r>
      <w:r>
        <w:rPr>
          <w:color w:val="231F20"/>
          <w:spacing w:val="-20"/>
          <w:w w:val="105"/>
        </w:rPr>
        <w:t> </w:t>
      </w:r>
      <w:r>
        <w:rPr>
          <w:color w:val="231F20"/>
          <w:w w:val="105"/>
        </w:rPr>
        <w:t>ha</w:t>
      </w:r>
      <w:r>
        <w:rPr>
          <w:color w:val="231F20"/>
          <w:spacing w:val="-20"/>
          <w:w w:val="105"/>
        </w:rPr>
        <w:t> </w:t>
      </w:r>
      <w:r>
        <w:rPr>
          <w:color w:val="231F20"/>
          <w:w w:val="105"/>
        </w:rPr>
        <w:t>desbordado,</w:t>
      </w:r>
      <w:r>
        <w:rPr>
          <w:color w:val="231F20"/>
          <w:spacing w:val="-25"/>
          <w:w w:val="105"/>
        </w:rPr>
        <w:t> </w:t>
      </w:r>
      <w:r>
        <w:rPr>
          <w:color w:val="231F20"/>
          <w:w w:val="105"/>
        </w:rPr>
        <w:t>desplazan- do sus límites hacia el enorme valle de Chalco, a varios kilómetros de distancia</w:t>
      </w:r>
      <w:r>
        <w:rPr>
          <w:color w:val="231F20"/>
          <w:spacing w:val="-34"/>
          <w:w w:val="105"/>
        </w:rPr>
        <w:t> </w:t>
      </w:r>
      <w:r>
        <w:rPr>
          <w:color w:val="231F20"/>
          <w:w w:val="105"/>
        </w:rPr>
        <w:t>de</w:t>
      </w:r>
      <w:r>
        <w:rPr>
          <w:color w:val="231F20"/>
          <w:spacing w:val="-34"/>
          <w:w w:val="105"/>
        </w:rPr>
        <w:t> </w:t>
      </w:r>
      <w:r>
        <w:rPr>
          <w:color w:val="231F20"/>
          <w:w w:val="105"/>
        </w:rPr>
        <w:t>Nezahualcóyotl.</w:t>
      </w:r>
    </w:p>
    <w:p>
      <w:pPr>
        <w:pStyle w:val="BodyText"/>
        <w:spacing w:line="261" w:lineRule="auto" w:before="1"/>
        <w:ind w:left="1723" w:right="1835" w:firstLine="567"/>
        <w:jc w:val="both"/>
      </w:pPr>
      <w:r>
        <w:rPr>
          <w:color w:val="231F20"/>
          <w:w w:val="105"/>
        </w:rPr>
        <w:t>La </w:t>
      </w:r>
      <w:r>
        <w:rPr>
          <w:color w:val="231F20"/>
          <w:spacing w:val="-3"/>
          <w:w w:val="105"/>
        </w:rPr>
        <w:t>explosión demográfica, </w:t>
      </w:r>
      <w:r>
        <w:rPr>
          <w:color w:val="231F20"/>
          <w:w w:val="105"/>
        </w:rPr>
        <w:t>la </w:t>
      </w:r>
      <w:r>
        <w:rPr>
          <w:color w:val="231F20"/>
          <w:spacing w:val="-4"/>
          <w:w w:val="105"/>
        </w:rPr>
        <w:t>saturación </w:t>
      </w:r>
      <w:r>
        <w:rPr>
          <w:color w:val="231F20"/>
          <w:w w:val="105"/>
        </w:rPr>
        <w:t>de la </w:t>
      </w:r>
      <w:r>
        <w:rPr>
          <w:color w:val="231F20"/>
          <w:spacing w:val="-3"/>
          <w:w w:val="105"/>
        </w:rPr>
        <w:t>zona metropolitana </w:t>
      </w:r>
      <w:r>
        <w:rPr>
          <w:color w:val="231F20"/>
          <w:w w:val="105"/>
        </w:rPr>
        <w:t>y la</w:t>
      </w:r>
      <w:r>
        <w:rPr>
          <w:color w:val="231F20"/>
          <w:spacing w:val="-31"/>
          <w:w w:val="105"/>
        </w:rPr>
        <w:t> </w:t>
      </w:r>
      <w:r>
        <w:rPr>
          <w:color w:val="231F20"/>
          <w:spacing w:val="-3"/>
          <w:w w:val="105"/>
        </w:rPr>
        <w:t>carencia</w:t>
      </w:r>
      <w:r>
        <w:rPr>
          <w:color w:val="231F20"/>
          <w:spacing w:val="-31"/>
          <w:w w:val="105"/>
        </w:rPr>
        <w:t> </w:t>
      </w:r>
      <w:r>
        <w:rPr>
          <w:color w:val="231F20"/>
          <w:w w:val="105"/>
        </w:rPr>
        <w:t>de</w:t>
      </w:r>
      <w:r>
        <w:rPr>
          <w:color w:val="231F20"/>
          <w:spacing w:val="-31"/>
          <w:w w:val="105"/>
        </w:rPr>
        <w:t> </w:t>
      </w:r>
      <w:r>
        <w:rPr>
          <w:color w:val="231F20"/>
          <w:spacing w:val="-4"/>
          <w:w w:val="105"/>
        </w:rPr>
        <w:t>infraestructura</w:t>
      </w:r>
      <w:r>
        <w:rPr>
          <w:color w:val="231F20"/>
          <w:spacing w:val="-31"/>
          <w:w w:val="105"/>
        </w:rPr>
        <w:t> </w:t>
      </w:r>
      <w:r>
        <w:rPr>
          <w:color w:val="231F20"/>
          <w:w w:val="105"/>
        </w:rPr>
        <w:t>y</w:t>
      </w:r>
      <w:r>
        <w:rPr>
          <w:color w:val="231F20"/>
          <w:spacing w:val="-31"/>
          <w:w w:val="105"/>
        </w:rPr>
        <w:t> </w:t>
      </w:r>
      <w:r>
        <w:rPr>
          <w:color w:val="231F20"/>
          <w:spacing w:val="-3"/>
          <w:w w:val="105"/>
        </w:rPr>
        <w:t>servicios,</w:t>
      </w:r>
      <w:r>
        <w:rPr>
          <w:color w:val="231F20"/>
          <w:spacing w:val="-35"/>
          <w:w w:val="105"/>
        </w:rPr>
        <w:t> </w:t>
      </w:r>
      <w:r>
        <w:rPr>
          <w:color w:val="231F20"/>
          <w:spacing w:val="-3"/>
          <w:w w:val="105"/>
        </w:rPr>
        <w:t>características</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spacing w:val="-3"/>
          <w:w w:val="105"/>
        </w:rPr>
        <w:t>periferias</w:t>
      </w:r>
      <w:r>
        <w:rPr>
          <w:color w:val="231F20"/>
          <w:spacing w:val="-31"/>
          <w:w w:val="105"/>
        </w:rPr>
        <w:t> </w:t>
      </w:r>
      <w:r>
        <w:rPr>
          <w:color w:val="231F20"/>
          <w:spacing w:val="-4"/>
          <w:w w:val="105"/>
        </w:rPr>
        <w:t>ur- </w:t>
      </w:r>
      <w:r>
        <w:rPr>
          <w:color w:val="231F20"/>
          <w:spacing w:val="-3"/>
          <w:w w:val="105"/>
        </w:rPr>
        <w:t>banas </w:t>
      </w:r>
      <w:r>
        <w:rPr>
          <w:color w:val="231F20"/>
          <w:w w:val="105"/>
        </w:rPr>
        <w:t>en las </w:t>
      </w:r>
      <w:r>
        <w:rPr>
          <w:color w:val="231F20"/>
          <w:spacing w:val="-3"/>
          <w:w w:val="105"/>
        </w:rPr>
        <w:t>grandes ciudades, conformaron </w:t>
      </w:r>
      <w:r>
        <w:rPr>
          <w:color w:val="231F20"/>
          <w:w w:val="105"/>
        </w:rPr>
        <w:t>a </w:t>
      </w:r>
      <w:r>
        <w:rPr>
          <w:color w:val="231F20"/>
          <w:spacing w:val="-3"/>
          <w:w w:val="105"/>
        </w:rPr>
        <w:t>Nezahualcóyotl como un municipio</w:t>
      </w:r>
      <w:r>
        <w:rPr>
          <w:color w:val="231F20"/>
          <w:spacing w:val="-10"/>
          <w:w w:val="105"/>
        </w:rPr>
        <w:t> </w:t>
      </w:r>
      <w:r>
        <w:rPr>
          <w:color w:val="231F20"/>
          <w:spacing w:val="-3"/>
          <w:w w:val="105"/>
        </w:rPr>
        <w:t>independiente,</w:t>
      </w:r>
      <w:r>
        <w:rPr>
          <w:color w:val="231F20"/>
          <w:spacing w:val="-17"/>
          <w:w w:val="105"/>
        </w:rPr>
        <w:t> </w:t>
      </w:r>
      <w:r>
        <w:rPr>
          <w:color w:val="231F20"/>
          <w:w w:val="105"/>
        </w:rPr>
        <w:t>y</w:t>
      </w:r>
      <w:r>
        <w:rPr>
          <w:color w:val="231F20"/>
          <w:spacing w:val="-10"/>
          <w:w w:val="105"/>
        </w:rPr>
        <w:t> </w:t>
      </w:r>
      <w:r>
        <w:rPr>
          <w:color w:val="231F20"/>
          <w:w w:val="105"/>
        </w:rPr>
        <w:t>al</w:t>
      </w:r>
      <w:r>
        <w:rPr>
          <w:color w:val="231F20"/>
          <w:spacing w:val="-10"/>
          <w:w w:val="105"/>
        </w:rPr>
        <w:t> </w:t>
      </w:r>
      <w:r>
        <w:rPr>
          <w:color w:val="231F20"/>
          <w:spacing w:val="-3"/>
          <w:w w:val="105"/>
        </w:rPr>
        <w:t>subsecuente</w:t>
      </w:r>
      <w:r>
        <w:rPr>
          <w:color w:val="231F20"/>
          <w:spacing w:val="-10"/>
          <w:w w:val="105"/>
        </w:rPr>
        <w:t> </w:t>
      </w:r>
      <w:r>
        <w:rPr>
          <w:color w:val="231F20"/>
          <w:spacing w:val="-3"/>
          <w:w w:val="105"/>
        </w:rPr>
        <w:t>proceso</w:t>
      </w:r>
      <w:r>
        <w:rPr>
          <w:color w:val="231F20"/>
          <w:spacing w:val="-10"/>
          <w:w w:val="105"/>
        </w:rPr>
        <w:t> </w:t>
      </w:r>
      <w:r>
        <w:rPr>
          <w:color w:val="231F20"/>
          <w:w w:val="105"/>
        </w:rPr>
        <w:t>de</w:t>
      </w:r>
      <w:r>
        <w:rPr>
          <w:color w:val="231F20"/>
          <w:spacing w:val="-10"/>
          <w:w w:val="105"/>
        </w:rPr>
        <w:t> </w:t>
      </w:r>
      <w:r>
        <w:rPr>
          <w:color w:val="231F20"/>
          <w:spacing w:val="-3"/>
          <w:w w:val="105"/>
        </w:rPr>
        <w:t>lotificación</w:t>
      </w:r>
      <w:r>
        <w:rPr>
          <w:color w:val="231F20"/>
          <w:spacing w:val="-10"/>
          <w:w w:val="105"/>
        </w:rPr>
        <w:t> </w:t>
      </w:r>
      <w:r>
        <w:rPr>
          <w:color w:val="231F20"/>
          <w:w w:val="105"/>
        </w:rPr>
        <w:t>y</w:t>
      </w:r>
      <w:r>
        <w:rPr>
          <w:color w:val="231F20"/>
          <w:spacing w:val="-10"/>
          <w:w w:val="105"/>
        </w:rPr>
        <w:t> </w:t>
      </w:r>
      <w:r>
        <w:rPr>
          <w:color w:val="231F20"/>
          <w:spacing w:val="-3"/>
          <w:w w:val="105"/>
        </w:rPr>
        <w:t>regu- larización </w:t>
      </w:r>
      <w:r>
        <w:rPr>
          <w:color w:val="231F20"/>
          <w:w w:val="105"/>
        </w:rPr>
        <w:t>de los </w:t>
      </w:r>
      <w:r>
        <w:rPr>
          <w:color w:val="231F20"/>
          <w:spacing w:val="-3"/>
          <w:w w:val="105"/>
        </w:rPr>
        <w:t>terrenos </w:t>
      </w:r>
      <w:r>
        <w:rPr>
          <w:color w:val="231F20"/>
          <w:w w:val="105"/>
        </w:rPr>
        <w:t>en </w:t>
      </w:r>
      <w:r>
        <w:rPr>
          <w:color w:val="231F20"/>
          <w:spacing w:val="-3"/>
          <w:w w:val="105"/>
        </w:rPr>
        <w:t>propiedad urbana; </w:t>
      </w:r>
      <w:r>
        <w:rPr>
          <w:color w:val="231F20"/>
          <w:w w:val="105"/>
        </w:rPr>
        <w:t>no </w:t>
      </w:r>
      <w:r>
        <w:rPr>
          <w:color w:val="231F20"/>
          <w:spacing w:val="-3"/>
          <w:w w:val="105"/>
        </w:rPr>
        <w:t>obstante, </w:t>
      </w:r>
      <w:r>
        <w:rPr>
          <w:color w:val="231F20"/>
          <w:w w:val="105"/>
        </w:rPr>
        <w:t>la </w:t>
      </w:r>
      <w:r>
        <w:rPr>
          <w:color w:val="231F20"/>
          <w:spacing w:val="-3"/>
          <w:w w:val="105"/>
        </w:rPr>
        <w:t>tenencia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tierra,</w:t>
      </w:r>
      <w:r>
        <w:rPr>
          <w:color w:val="231F20"/>
          <w:spacing w:val="-24"/>
          <w:w w:val="105"/>
        </w:rPr>
        <w:t> </w:t>
      </w:r>
      <w:r>
        <w:rPr>
          <w:color w:val="231F20"/>
          <w:w w:val="105"/>
        </w:rPr>
        <w:t>el</w:t>
      </w:r>
      <w:r>
        <w:rPr>
          <w:color w:val="231F20"/>
          <w:spacing w:val="-18"/>
          <w:w w:val="105"/>
        </w:rPr>
        <w:t> </w:t>
      </w:r>
      <w:r>
        <w:rPr>
          <w:color w:val="231F20"/>
          <w:w w:val="105"/>
        </w:rPr>
        <w:t>uso</w:t>
      </w:r>
      <w:r>
        <w:rPr>
          <w:color w:val="231F20"/>
          <w:spacing w:val="-18"/>
          <w:w w:val="105"/>
        </w:rPr>
        <w:t> </w:t>
      </w:r>
      <w:r>
        <w:rPr>
          <w:color w:val="231F20"/>
          <w:w w:val="105"/>
        </w:rPr>
        <w:t>del</w:t>
      </w:r>
      <w:r>
        <w:rPr>
          <w:color w:val="231F20"/>
          <w:spacing w:val="-18"/>
          <w:w w:val="105"/>
        </w:rPr>
        <w:t> </w:t>
      </w:r>
      <w:r>
        <w:rPr>
          <w:color w:val="231F20"/>
          <w:spacing w:val="-3"/>
          <w:w w:val="105"/>
        </w:rPr>
        <w:t>suelo</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spacing w:val="-3"/>
          <w:w w:val="105"/>
        </w:rPr>
        <w:t>dotación</w:t>
      </w:r>
      <w:r>
        <w:rPr>
          <w:color w:val="231F20"/>
          <w:spacing w:val="-18"/>
          <w:w w:val="105"/>
        </w:rPr>
        <w:t> </w:t>
      </w:r>
      <w:r>
        <w:rPr>
          <w:color w:val="231F20"/>
          <w:w w:val="105"/>
        </w:rPr>
        <w:t>de</w:t>
      </w:r>
      <w:r>
        <w:rPr>
          <w:color w:val="231F20"/>
          <w:spacing w:val="-18"/>
          <w:w w:val="105"/>
        </w:rPr>
        <w:t> </w:t>
      </w:r>
      <w:r>
        <w:rPr>
          <w:color w:val="231F20"/>
          <w:spacing w:val="-3"/>
          <w:w w:val="105"/>
        </w:rPr>
        <w:t>servicios</w:t>
      </w:r>
      <w:r>
        <w:rPr>
          <w:color w:val="231F20"/>
          <w:spacing w:val="-18"/>
          <w:w w:val="105"/>
        </w:rPr>
        <w:t> </w:t>
      </w:r>
      <w:r>
        <w:rPr>
          <w:color w:val="231F20"/>
          <w:spacing w:val="-3"/>
          <w:w w:val="105"/>
        </w:rPr>
        <w:t>públicos</w:t>
      </w:r>
      <w:r>
        <w:rPr>
          <w:color w:val="231F20"/>
          <w:spacing w:val="-18"/>
          <w:w w:val="105"/>
        </w:rPr>
        <w:t> </w:t>
      </w:r>
      <w:r>
        <w:rPr>
          <w:color w:val="231F20"/>
          <w:w w:val="105"/>
        </w:rPr>
        <w:t>ha</w:t>
      </w:r>
      <w:r>
        <w:rPr>
          <w:color w:val="231F20"/>
          <w:spacing w:val="-18"/>
          <w:w w:val="105"/>
        </w:rPr>
        <w:t> </w:t>
      </w:r>
      <w:r>
        <w:rPr>
          <w:color w:val="231F20"/>
          <w:spacing w:val="-3"/>
          <w:w w:val="105"/>
        </w:rPr>
        <w:t>sido</w:t>
      </w:r>
      <w:r>
        <w:rPr>
          <w:color w:val="231F20"/>
          <w:spacing w:val="-18"/>
          <w:w w:val="105"/>
        </w:rPr>
        <w:t> </w:t>
      </w:r>
      <w:r>
        <w:rPr>
          <w:color w:val="231F20"/>
          <w:spacing w:val="-3"/>
          <w:w w:val="105"/>
        </w:rPr>
        <w:t>una</w:t>
      </w:r>
    </w:p>
    <w:p>
      <w:pPr>
        <w:pStyle w:val="BodyText"/>
        <w:rPr>
          <w:sz w:val="20"/>
        </w:rPr>
      </w:pPr>
    </w:p>
    <w:p>
      <w:pPr>
        <w:pStyle w:val="BodyText"/>
        <w:rPr>
          <w:sz w:val="20"/>
        </w:rPr>
      </w:pPr>
    </w:p>
    <w:p>
      <w:pPr>
        <w:pStyle w:val="BodyText"/>
        <w:rPr>
          <w:sz w:val="1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8744" from="131.551193pt,3.703715pt" to="131.551193pt,39.506114pt" stroked="true" strokeweight=".35pt" strokecolor="#231f20">
            <w10:wrap type="none"/>
          </v:line>
        </w:pict>
      </w:r>
      <w:r>
        <w:rPr/>
        <w:pict>
          <v:line style="position:absolute;mso-position-horizontal-relative:page;mso-position-vertical-relative:paragraph;z-index:-478672" from="15pt,39.505917pt" to="0pt,39.505917pt" stroked="true" strokeweight=".25pt" strokecolor="#000000">
            <w10:wrap type="none"/>
          </v:line>
        </w:pict>
      </w:r>
      <w:r>
        <w:rPr/>
        <w:pict>
          <v:line style="position:absolute;mso-position-horizontal-relative:page;mso-position-vertical-relative:paragraph;z-index:11536" from="508.890015pt,39.505917pt" to="523.890015pt,39.505917pt" stroked="true" strokeweight=".25pt" strokecolor="#000000">
            <w10:wrap type="none"/>
          </v:line>
        </w:pict>
      </w:r>
      <w:r>
        <w:rPr>
          <w:rFonts w:ascii="Arial" w:hAnsi="Arial"/>
          <w:color w:val="414042"/>
          <w:position w:val="-5"/>
          <w:sz w:val="20"/>
        </w:rPr>
        <w:t>118</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8624" from="405.061005pt,-18.554295pt" to="405.061005pt,16.311579pt" stroked="true" strokeweight=".35pt" strokecolor="#231f20">
            <w10:wrap type="none"/>
          </v:line>
        </w:pict>
      </w:r>
      <w:r>
        <w:rPr/>
        <w:pict>
          <v:line style="position:absolute;mso-position-horizontal-relative:page;mso-position-vertical-relative:paragraph;z-index:11584" from="15pt,-18.554522pt" to="0pt,-18.554522pt" stroked="true" strokeweight=".25pt" strokecolor="#000000">
            <w10:wrap type="none"/>
          </v:line>
        </w:pict>
      </w:r>
      <w:r>
        <w:rPr/>
        <w:pict>
          <v:line style="position:absolute;mso-position-horizontal-relative:page;mso-position-vertical-relative:paragraph;z-index:11608"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119</w:t>
      </w:r>
    </w:p>
    <w:p>
      <w:pPr>
        <w:pStyle w:val="BodyText"/>
        <w:rPr>
          <w:rFonts w:ascii="Arial"/>
          <w:sz w:val="20"/>
        </w:rPr>
      </w:pPr>
    </w:p>
    <w:p>
      <w:pPr>
        <w:pStyle w:val="BodyText"/>
        <w:rPr>
          <w:rFonts w:ascii="Arial"/>
          <w:sz w:val="20"/>
        </w:rPr>
      </w:pPr>
    </w:p>
    <w:p>
      <w:pPr>
        <w:pStyle w:val="BodyText"/>
        <w:spacing w:line="261" w:lineRule="auto" w:before="179"/>
        <w:ind w:left="1516" w:right="1718"/>
        <w:jc w:val="right"/>
      </w:pPr>
      <w:r>
        <w:rPr>
          <w:color w:val="231F20"/>
          <w:spacing w:val="-3"/>
          <w:w w:val="105"/>
        </w:rPr>
        <w:t>demanda</w:t>
      </w:r>
      <w:r>
        <w:rPr>
          <w:color w:val="231F20"/>
          <w:spacing w:val="-9"/>
          <w:w w:val="105"/>
        </w:rPr>
        <w:t> </w:t>
      </w:r>
      <w:r>
        <w:rPr>
          <w:color w:val="231F20"/>
          <w:spacing w:val="-3"/>
          <w:w w:val="105"/>
        </w:rPr>
        <w:t>constante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3"/>
          <w:w w:val="105"/>
        </w:rPr>
        <w:t>población</w:t>
      </w:r>
      <w:r>
        <w:rPr>
          <w:color w:val="231F20"/>
          <w:spacing w:val="-9"/>
          <w:w w:val="105"/>
        </w:rPr>
        <w:t> </w:t>
      </w:r>
      <w:r>
        <w:rPr>
          <w:color w:val="231F20"/>
          <w:w w:val="105"/>
        </w:rPr>
        <w:t>del</w:t>
      </w:r>
      <w:r>
        <w:rPr>
          <w:color w:val="231F20"/>
          <w:spacing w:val="-9"/>
          <w:w w:val="105"/>
        </w:rPr>
        <w:t> </w:t>
      </w:r>
      <w:r>
        <w:rPr>
          <w:color w:val="231F20"/>
          <w:spacing w:val="-3"/>
          <w:w w:val="105"/>
        </w:rPr>
        <w:t>municipio,</w:t>
      </w:r>
      <w:r>
        <w:rPr>
          <w:color w:val="231F20"/>
          <w:spacing w:val="-15"/>
          <w:w w:val="105"/>
        </w:rPr>
        <w:t> </w:t>
      </w:r>
      <w:r>
        <w:rPr>
          <w:color w:val="231F20"/>
          <w:w w:val="105"/>
        </w:rPr>
        <w:t>lo</w:t>
      </w:r>
      <w:r>
        <w:rPr>
          <w:color w:val="231F20"/>
          <w:spacing w:val="-9"/>
          <w:w w:val="105"/>
        </w:rPr>
        <w:t> </w:t>
      </w:r>
      <w:r>
        <w:rPr>
          <w:color w:val="231F20"/>
          <w:spacing w:val="-3"/>
          <w:w w:val="105"/>
        </w:rPr>
        <w:t>mismo</w:t>
      </w:r>
      <w:r>
        <w:rPr>
          <w:color w:val="231F20"/>
          <w:spacing w:val="-9"/>
          <w:w w:val="105"/>
        </w:rPr>
        <w:t> </w:t>
      </w:r>
      <w:r>
        <w:rPr>
          <w:color w:val="231F20"/>
          <w:w w:val="105"/>
        </w:rPr>
        <w:t>que</w:t>
      </w:r>
      <w:r>
        <w:rPr>
          <w:color w:val="231F20"/>
          <w:spacing w:val="-9"/>
          <w:w w:val="105"/>
        </w:rPr>
        <w:t> </w:t>
      </w:r>
      <w:r>
        <w:rPr>
          <w:color w:val="231F20"/>
          <w:w w:val="105"/>
        </w:rPr>
        <w:t>sus</w:t>
      </w:r>
      <w:r>
        <w:rPr>
          <w:color w:val="231F20"/>
          <w:spacing w:val="-9"/>
          <w:w w:val="105"/>
        </w:rPr>
        <w:t> </w:t>
      </w:r>
      <w:r>
        <w:rPr>
          <w:color w:val="231F20"/>
          <w:spacing w:val="-3"/>
          <w:w w:val="105"/>
        </w:rPr>
        <w:t>pro-</w:t>
      </w:r>
      <w:r>
        <w:rPr>
          <w:color w:val="231F20"/>
          <w:w w:val="96"/>
        </w:rPr>
        <w:t> </w:t>
      </w:r>
      <w:r>
        <w:rPr>
          <w:color w:val="231F20"/>
          <w:spacing w:val="-3"/>
          <w:w w:val="105"/>
        </w:rPr>
        <w:t>cesos</w:t>
      </w:r>
      <w:r>
        <w:rPr>
          <w:color w:val="231F20"/>
          <w:spacing w:val="-29"/>
          <w:w w:val="105"/>
        </w:rPr>
        <w:t> </w:t>
      </w:r>
      <w:r>
        <w:rPr>
          <w:color w:val="231F20"/>
          <w:spacing w:val="-4"/>
          <w:w w:val="105"/>
        </w:rPr>
        <w:t>organizativos</w:t>
      </w:r>
      <w:r>
        <w:rPr>
          <w:color w:val="231F20"/>
          <w:spacing w:val="-29"/>
          <w:w w:val="105"/>
        </w:rPr>
        <w:t> </w:t>
      </w:r>
      <w:r>
        <w:rPr>
          <w:color w:val="231F20"/>
          <w:w w:val="105"/>
        </w:rPr>
        <w:t>y</w:t>
      </w:r>
      <w:r>
        <w:rPr>
          <w:color w:val="231F20"/>
          <w:spacing w:val="-29"/>
          <w:w w:val="105"/>
        </w:rPr>
        <w:t> </w:t>
      </w:r>
      <w:r>
        <w:rPr>
          <w:color w:val="231F20"/>
          <w:spacing w:val="-3"/>
          <w:w w:val="105"/>
        </w:rPr>
        <w:t>movilizaciones</w:t>
      </w:r>
      <w:r>
        <w:rPr>
          <w:color w:val="231F20"/>
          <w:spacing w:val="-29"/>
          <w:w w:val="105"/>
        </w:rPr>
        <w:t> </w:t>
      </w:r>
      <w:r>
        <w:rPr>
          <w:color w:val="231F20"/>
          <w:w w:val="105"/>
        </w:rPr>
        <w:t>en</w:t>
      </w:r>
      <w:r>
        <w:rPr>
          <w:color w:val="231F20"/>
          <w:spacing w:val="-29"/>
          <w:w w:val="105"/>
        </w:rPr>
        <w:t> </w:t>
      </w:r>
      <w:r>
        <w:rPr>
          <w:color w:val="231F20"/>
          <w:spacing w:val="-3"/>
          <w:w w:val="105"/>
        </w:rPr>
        <w:t>pro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atención</w:t>
      </w:r>
      <w:r>
        <w:rPr>
          <w:color w:val="231F20"/>
          <w:spacing w:val="-29"/>
          <w:w w:val="105"/>
        </w:rPr>
        <w:t> </w:t>
      </w:r>
      <w:r>
        <w:rPr>
          <w:color w:val="231F20"/>
          <w:spacing w:val="-3"/>
          <w:w w:val="105"/>
        </w:rPr>
        <w:t>gubernamental.</w:t>
      </w:r>
    </w:p>
    <w:p>
      <w:pPr>
        <w:pStyle w:val="BodyText"/>
        <w:spacing w:line="261" w:lineRule="auto" w:before="1"/>
        <w:ind w:left="1837" w:right="1715" w:firstLine="567"/>
        <w:jc w:val="both"/>
      </w:pPr>
      <w:r>
        <w:rPr>
          <w:color w:val="231F20"/>
          <w:w w:val="105"/>
        </w:rPr>
        <w:t>En suma, el municipio se encuentra inserto en la zona</w:t>
      </w:r>
      <w:r>
        <w:rPr>
          <w:color w:val="231F20"/>
          <w:spacing w:val="-36"/>
          <w:w w:val="105"/>
        </w:rPr>
        <w:t> </w:t>
      </w:r>
      <w:r>
        <w:rPr>
          <w:color w:val="231F20"/>
          <w:w w:val="105"/>
        </w:rPr>
        <w:t>conurbada de</w:t>
      </w:r>
      <w:r>
        <w:rPr>
          <w:color w:val="231F20"/>
          <w:spacing w:val="-13"/>
          <w:w w:val="105"/>
        </w:rPr>
        <w:t> </w:t>
      </w:r>
      <w:r>
        <w:rPr>
          <w:color w:val="231F20"/>
          <w:w w:val="105"/>
        </w:rPr>
        <w:t>la</w:t>
      </w:r>
      <w:r>
        <w:rPr>
          <w:color w:val="231F20"/>
          <w:spacing w:val="-13"/>
          <w:w w:val="105"/>
        </w:rPr>
        <w:t> </w:t>
      </w:r>
      <w:r>
        <w:rPr>
          <w:color w:val="231F20"/>
          <w:w w:val="105"/>
        </w:rPr>
        <w:t>Ciudad</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9"/>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porción</w:t>
      </w:r>
      <w:r>
        <w:rPr>
          <w:color w:val="231F20"/>
          <w:spacing w:val="-13"/>
          <w:w w:val="105"/>
        </w:rPr>
        <w:t> </w:t>
      </w:r>
      <w:r>
        <w:rPr>
          <w:color w:val="231F20"/>
          <w:w w:val="105"/>
        </w:rPr>
        <w:t>oriental</w:t>
      </w:r>
      <w:r>
        <w:rPr>
          <w:color w:val="231F20"/>
          <w:spacing w:val="-13"/>
          <w:w w:val="105"/>
        </w:rPr>
        <w:t> </w:t>
      </w:r>
      <w:r>
        <w:rPr>
          <w:color w:val="231F20"/>
          <w:w w:val="105"/>
        </w:rPr>
        <w:t>del</w:t>
      </w:r>
      <w:r>
        <w:rPr>
          <w:color w:val="231F20"/>
          <w:spacing w:val="-13"/>
          <w:w w:val="105"/>
        </w:rPr>
        <w:t> </w:t>
      </w:r>
      <w:r>
        <w:rPr>
          <w:color w:val="231F20"/>
          <w:w w:val="105"/>
        </w:rPr>
        <w:t>valle</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9"/>
          <w:w w:val="105"/>
        </w:rPr>
        <w:t> </w:t>
      </w:r>
      <w:r>
        <w:rPr>
          <w:color w:val="231F20"/>
          <w:w w:val="105"/>
        </w:rPr>
        <w:t>y</w:t>
      </w:r>
      <w:r>
        <w:rPr>
          <w:color w:val="231F20"/>
          <w:spacing w:val="-13"/>
          <w:w w:val="105"/>
        </w:rPr>
        <w:t> </w:t>
      </w:r>
      <w:r>
        <w:rPr>
          <w:color w:val="231F20"/>
          <w:w w:val="105"/>
        </w:rPr>
        <w:t>está compuesto por dos localidades, la más importante es la cabecera mu- nicipal, mejor conocida como Ciudad Nezahualcóyotl, pues concentra  a la mayoría de la población (99.9%), distribuida a lo largo de 86 colo- nias</w:t>
      </w:r>
      <w:r>
        <w:rPr>
          <w:color w:val="231F20"/>
          <w:spacing w:val="-11"/>
          <w:w w:val="105"/>
        </w:rPr>
        <w:t> </w:t>
      </w:r>
      <w:r>
        <w:rPr>
          <w:color w:val="231F20"/>
          <w:w w:val="105"/>
        </w:rPr>
        <w:t>urbanas,</w:t>
      </w:r>
      <w:r>
        <w:rPr>
          <w:color w:val="231F20"/>
          <w:spacing w:val="-16"/>
          <w:w w:val="105"/>
        </w:rPr>
        <w:t> </w:t>
      </w:r>
      <w:r>
        <w:rPr>
          <w:color w:val="231F20"/>
          <w:w w:val="105"/>
        </w:rPr>
        <w:t>sumamente</w:t>
      </w:r>
      <w:r>
        <w:rPr>
          <w:color w:val="231F20"/>
          <w:spacing w:val="-11"/>
          <w:w w:val="105"/>
        </w:rPr>
        <w:t> </w:t>
      </w:r>
      <w:r>
        <w:rPr>
          <w:color w:val="231F20"/>
          <w:w w:val="105"/>
        </w:rPr>
        <w:t>pobladas.</w:t>
      </w:r>
      <w:r>
        <w:rPr>
          <w:color w:val="231F20"/>
          <w:spacing w:val="-16"/>
          <w:w w:val="105"/>
        </w:rPr>
        <w:t> </w:t>
      </w:r>
      <w:r>
        <w:rPr>
          <w:color w:val="231F20"/>
          <w:w w:val="105"/>
        </w:rPr>
        <w:t>El</w:t>
      </w:r>
      <w:r>
        <w:rPr>
          <w:color w:val="231F20"/>
          <w:spacing w:val="-11"/>
          <w:w w:val="105"/>
        </w:rPr>
        <w:t> </w:t>
      </w:r>
      <w:r>
        <w:rPr>
          <w:color w:val="231F20"/>
          <w:w w:val="105"/>
        </w:rPr>
        <w:t>total</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en</w:t>
      </w:r>
      <w:r>
        <w:rPr>
          <w:color w:val="231F20"/>
          <w:spacing w:val="-11"/>
          <w:w w:val="105"/>
        </w:rPr>
        <w:t> </w:t>
      </w:r>
      <w:r>
        <w:rPr>
          <w:color w:val="231F20"/>
          <w:w w:val="105"/>
        </w:rPr>
        <w:t>2010</w:t>
      </w:r>
      <w:r>
        <w:rPr>
          <w:color w:val="231F20"/>
          <w:spacing w:val="-11"/>
          <w:w w:val="105"/>
        </w:rPr>
        <w:t> </w:t>
      </w:r>
      <w:r>
        <w:rPr>
          <w:color w:val="231F20"/>
          <w:w w:val="105"/>
        </w:rPr>
        <w:t>fue de</w:t>
      </w:r>
      <w:r>
        <w:rPr>
          <w:color w:val="231F20"/>
          <w:spacing w:val="-18"/>
          <w:w w:val="105"/>
        </w:rPr>
        <w:t> </w:t>
      </w:r>
      <w:r>
        <w:rPr>
          <w:color w:val="231F20"/>
          <w:w w:val="105"/>
        </w:rPr>
        <w:t>1,107,931</w:t>
      </w:r>
      <w:r>
        <w:rPr>
          <w:color w:val="231F20"/>
          <w:spacing w:val="-18"/>
          <w:w w:val="105"/>
        </w:rPr>
        <w:t> </w:t>
      </w:r>
      <w:r>
        <w:rPr>
          <w:color w:val="231F20"/>
          <w:w w:val="105"/>
        </w:rPr>
        <w:t>habitantes,</w:t>
      </w:r>
      <w:r>
        <w:rPr>
          <w:color w:val="231F20"/>
          <w:spacing w:val="-22"/>
          <w:w w:val="105"/>
        </w:rPr>
        <w:t> </w:t>
      </w:r>
      <w:r>
        <w:rPr>
          <w:color w:val="231F20"/>
          <w:w w:val="105"/>
        </w:rPr>
        <w:t>según</w:t>
      </w:r>
      <w:r>
        <w:rPr>
          <w:color w:val="231F20"/>
          <w:spacing w:val="-18"/>
          <w:w w:val="105"/>
        </w:rPr>
        <w:t> </w:t>
      </w:r>
      <w:r>
        <w:rPr>
          <w:color w:val="231F20"/>
          <w:w w:val="105"/>
        </w:rPr>
        <w:t>el</w:t>
      </w:r>
      <w:r>
        <w:rPr>
          <w:color w:val="231F20"/>
          <w:spacing w:val="-18"/>
          <w:w w:val="105"/>
        </w:rPr>
        <w:t> </w:t>
      </w:r>
      <w:r>
        <w:rPr>
          <w:color w:val="231F20"/>
          <w:w w:val="105"/>
        </w:rPr>
        <w:t>Censo</w:t>
      </w:r>
      <w:r>
        <w:rPr>
          <w:color w:val="231F20"/>
          <w:spacing w:val="-18"/>
          <w:w w:val="105"/>
        </w:rPr>
        <w:t> </w:t>
      </w:r>
      <w:r>
        <w:rPr>
          <w:color w:val="231F20"/>
          <w:w w:val="105"/>
        </w:rPr>
        <w:t>de</w:t>
      </w:r>
      <w:r>
        <w:rPr>
          <w:color w:val="231F20"/>
          <w:spacing w:val="-18"/>
          <w:w w:val="105"/>
        </w:rPr>
        <w:t> </w:t>
      </w:r>
      <w:r>
        <w:rPr>
          <w:color w:val="231F20"/>
          <w:w w:val="105"/>
        </w:rPr>
        <w:t>Población</w:t>
      </w:r>
      <w:r>
        <w:rPr>
          <w:color w:val="231F20"/>
          <w:spacing w:val="-18"/>
          <w:w w:val="105"/>
        </w:rPr>
        <w:t> </w:t>
      </w:r>
      <w:r>
        <w:rPr>
          <w:color w:val="231F20"/>
          <w:w w:val="105"/>
        </w:rPr>
        <w:t>y</w:t>
      </w:r>
      <w:r>
        <w:rPr>
          <w:color w:val="231F20"/>
          <w:spacing w:val="-20"/>
          <w:w w:val="105"/>
        </w:rPr>
        <w:t> </w:t>
      </w:r>
      <w:r>
        <w:rPr>
          <w:color w:val="231F20"/>
          <w:w w:val="105"/>
        </w:rPr>
        <w:t>Vivienda</w:t>
      </w:r>
      <w:r>
        <w:rPr>
          <w:color w:val="231F20"/>
          <w:spacing w:val="-18"/>
          <w:w w:val="105"/>
        </w:rPr>
        <w:t> </w:t>
      </w:r>
      <w:r>
        <w:rPr>
          <w:color w:val="231F20"/>
          <w:w w:val="105"/>
        </w:rPr>
        <w:t>(</w:t>
      </w:r>
      <w:r>
        <w:rPr>
          <w:color w:val="231F20"/>
          <w:w w:val="105"/>
          <w:sz w:val="17"/>
        </w:rPr>
        <w:t>INEGI</w:t>
      </w:r>
      <w:r>
        <w:rPr>
          <w:color w:val="231F20"/>
          <w:w w:val="105"/>
        </w:rPr>
        <w:t>, 2010). </w:t>
      </w:r>
      <w:r>
        <w:rPr>
          <w:color w:val="231F20"/>
          <w:spacing w:val="-6"/>
          <w:w w:val="105"/>
        </w:rPr>
        <w:t>Por </w:t>
      </w:r>
      <w:r>
        <w:rPr>
          <w:color w:val="231F20"/>
          <w:w w:val="105"/>
        </w:rPr>
        <w:t>su ubicación en la zona metropolitana y su configuración re- ciente, los habitantes proceden de casi todos los estados del país; es decir, el municipio se conformó por un desprendimiento o separación de</w:t>
      </w:r>
      <w:r>
        <w:rPr>
          <w:color w:val="231F20"/>
          <w:spacing w:val="-19"/>
          <w:w w:val="105"/>
        </w:rPr>
        <w:t> </w:t>
      </w:r>
      <w:r>
        <w:rPr>
          <w:color w:val="231F20"/>
          <w:w w:val="105"/>
        </w:rPr>
        <w:t>colonias</w:t>
      </w:r>
      <w:r>
        <w:rPr>
          <w:color w:val="231F20"/>
          <w:spacing w:val="-19"/>
          <w:w w:val="105"/>
        </w:rPr>
        <w:t> </w:t>
      </w:r>
      <w:r>
        <w:rPr>
          <w:color w:val="231F20"/>
          <w:w w:val="105"/>
        </w:rPr>
        <w:t>y</w:t>
      </w:r>
      <w:r>
        <w:rPr>
          <w:color w:val="231F20"/>
          <w:spacing w:val="-19"/>
          <w:w w:val="105"/>
        </w:rPr>
        <w:t> </w:t>
      </w:r>
      <w:r>
        <w:rPr>
          <w:color w:val="231F20"/>
          <w:w w:val="105"/>
        </w:rPr>
        <w:t>zonas</w:t>
      </w:r>
      <w:r>
        <w:rPr>
          <w:color w:val="231F20"/>
          <w:spacing w:val="-19"/>
          <w:w w:val="105"/>
        </w:rPr>
        <w:t> </w:t>
      </w:r>
      <w:r>
        <w:rPr>
          <w:color w:val="231F20"/>
          <w:w w:val="105"/>
        </w:rPr>
        <w:t>habitacionales</w:t>
      </w:r>
      <w:r>
        <w:rPr>
          <w:color w:val="231F20"/>
          <w:spacing w:val="-19"/>
          <w:w w:val="105"/>
        </w:rPr>
        <w:t> </w:t>
      </w:r>
      <w:r>
        <w:rPr>
          <w:color w:val="231F20"/>
          <w:w w:val="105"/>
        </w:rPr>
        <w:t>del</w:t>
      </w:r>
      <w:r>
        <w:rPr>
          <w:color w:val="231F20"/>
          <w:spacing w:val="-19"/>
          <w:w w:val="105"/>
        </w:rPr>
        <w:t> </w:t>
      </w:r>
      <w:r>
        <w:rPr>
          <w:color w:val="231F20"/>
          <w:w w:val="105"/>
        </w:rPr>
        <w:t>municipio</w:t>
      </w:r>
      <w:r>
        <w:rPr>
          <w:color w:val="231F20"/>
          <w:spacing w:val="-19"/>
          <w:w w:val="105"/>
        </w:rPr>
        <w:t> </w:t>
      </w:r>
      <w:r>
        <w:rPr>
          <w:color w:val="231F20"/>
          <w:w w:val="105"/>
        </w:rPr>
        <w:t>de</w:t>
      </w:r>
      <w:r>
        <w:rPr>
          <w:color w:val="231F20"/>
          <w:spacing w:val="-19"/>
          <w:w w:val="105"/>
        </w:rPr>
        <w:t> </w:t>
      </w:r>
      <w:r>
        <w:rPr>
          <w:color w:val="231F20"/>
          <w:w w:val="105"/>
        </w:rPr>
        <w:t>Chimalhuacán,</w:t>
      </w:r>
      <w:r>
        <w:rPr>
          <w:color w:val="231F20"/>
          <w:spacing w:val="-24"/>
          <w:w w:val="105"/>
        </w:rPr>
        <w:t> </w:t>
      </w:r>
      <w:r>
        <w:rPr>
          <w:color w:val="231F20"/>
          <w:w w:val="105"/>
        </w:rPr>
        <w:t>pero también es producto, por un lado, de la migración interna (del campo a la</w:t>
      </w:r>
      <w:r>
        <w:rPr>
          <w:color w:val="231F20"/>
          <w:spacing w:val="-4"/>
          <w:w w:val="105"/>
        </w:rPr>
        <w:t> </w:t>
      </w:r>
      <w:r>
        <w:rPr>
          <w:color w:val="231F20"/>
          <w:w w:val="105"/>
        </w:rPr>
        <w:t>ciudad)</w:t>
      </w:r>
      <w:r>
        <w:rPr>
          <w:color w:val="231F20"/>
          <w:spacing w:val="-4"/>
          <w:w w:val="105"/>
        </w:rPr>
        <w:t> </w:t>
      </w:r>
      <w:r>
        <w:rPr>
          <w:color w:val="231F20"/>
          <w:w w:val="105"/>
        </w:rPr>
        <w:t>hacia</w:t>
      </w:r>
      <w:r>
        <w:rPr>
          <w:color w:val="231F20"/>
          <w:spacing w:val="-4"/>
          <w:w w:val="105"/>
        </w:rPr>
        <w:t> </w:t>
      </w:r>
      <w:r>
        <w:rPr>
          <w:color w:val="231F20"/>
          <w:w w:val="105"/>
        </w:rPr>
        <w:t>la</w:t>
      </w:r>
      <w:r>
        <w:rPr>
          <w:color w:val="231F20"/>
          <w:spacing w:val="-4"/>
          <w:w w:val="105"/>
        </w:rPr>
        <w:t> </w:t>
      </w:r>
      <w:r>
        <w:rPr>
          <w:color w:val="231F20"/>
          <w:w w:val="105"/>
        </w:rPr>
        <w:t>zona</w:t>
      </w:r>
      <w:r>
        <w:rPr>
          <w:color w:val="231F20"/>
          <w:spacing w:val="-4"/>
          <w:w w:val="105"/>
        </w:rPr>
        <w:t> </w:t>
      </w:r>
      <w:r>
        <w:rPr>
          <w:color w:val="231F20"/>
          <w:w w:val="105"/>
        </w:rPr>
        <w:t>metropolitana</w:t>
      </w:r>
      <w:r>
        <w:rPr>
          <w:color w:val="231F20"/>
          <w:spacing w:val="-4"/>
          <w:w w:val="105"/>
        </w:rPr>
        <w:t> </w:t>
      </w:r>
      <w:r>
        <w:rPr>
          <w:color w:val="231F20"/>
          <w:w w:val="105"/>
        </w:rPr>
        <w:t>del</w:t>
      </w:r>
      <w:r>
        <w:rPr>
          <w:color w:val="231F20"/>
          <w:spacing w:val="-4"/>
          <w:w w:val="105"/>
        </w:rPr>
        <w:t> </w:t>
      </w:r>
      <w:r>
        <w:rPr>
          <w:color w:val="231F20"/>
          <w:w w:val="105"/>
        </w:rPr>
        <w:t>valle</w:t>
      </w:r>
      <w:r>
        <w:rPr>
          <w:color w:val="231F20"/>
          <w:spacing w:val="-4"/>
          <w:w w:val="105"/>
        </w:rPr>
        <w:t> </w:t>
      </w:r>
      <w:r>
        <w:rPr>
          <w:color w:val="231F20"/>
          <w:w w:val="105"/>
        </w:rPr>
        <w:t>de</w:t>
      </w:r>
      <w:r>
        <w:rPr>
          <w:color w:val="231F20"/>
          <w:spacing w:val="-4"/>
          <w:w w:val="105"/>
        </w:rPr>
        <w:t> </w:t>
      </w:r>
      <w:r>
        <w:rPr>
          <w:color w:val="231F20"/>
          <w:w w:val="105"/>
        </w:rPr>
        <w:t>México</w:t>
      </w:r>
      <w:r>
        <w:rPr>
          <w:color w:val="231F20"/>
          <w:spacing w:val="-4"/>
          <w:w w:val="105"/>
        </w:rPr>
        <w:t> y,</w:t>
      </w:r>
      <w:r>
        <w:rPr>
          <w:color w:val="231F20"/>
          <w:spacing w:val="-10"/>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otro, de cierto proceso de precarización de los habitantes de la Ciudad de México</w:t>
      </w:r>
      <w:r>
        <w:rPr>
          <w:color w:val="231F20"/>
          <w:spacing w:val="-14"/>
          <w:w w:val="105"/>
        </w:rPr>
        <w:t> </w:t>
      </w:r>
      <w:r>
        <w:rPr>
          <w:color w:val="231F20"/>
          <w:w w:val="105"/>
        </w:rPr>
        <w:t>y</w:t>
      </w:r>
      <w:r>
        <w:rPr>
          <w:color w:val="231F20"/>
          <w:spacing w:val="-14"/>
          <w:w w:val="105"/>
        </w:rPr>
        <w:t> </w:t>
      </w:r>
      <w:r>
        <w:rPr>
          <w:color w:val="231F20"/>
          <w:w w:val="105"/>
        </w:rPr>
        <w:t>otros</w:t>
      </w:r>
      <w:r>
        <w:rPr>
          <w:color w:val="231F20"/>
          <w:spacing w:val="-14"/>
          <w:w w:val="105"/>
        </w:rPr>
        <w:t> </w:t>
      </w:r>
      <w:r>
        <w:rPr>
          <w:color w:val="231F20"/>
          <w:w w:val="105"/>
        </w:rPr>
        <w:t>municipios</w:t>
      </w:r>
      <w:r>
        <w:rPr>
          <w:color w:val="231F20"/>
          <w:spacing w:val="-14"/>
          <w:w w:val="105"/>
        </w:rPr>
        <w:t> </w:t>
      </w:r>
      <w:r>
        <w:rPr>
          <w:color w:val="231F20"/>
          <w:w w:val="105"/>
        </w:rPr>
        <w:t>metropolitanos</w:t>
      </w:r>
      <w:r>
        <w:rPr>
          <w:color w:val="231F20"/>
          <w:spacing w:val="-14"/>
          <w:w w:val="105"/>
        </w:rPr>
        <w:t> </w:t>
      </w:r>
      <w:r>
        <w:rPr>
          <w:color w:val="231F20"/>
          <w:w w:val="105"/>
        </w:rPr>
        <w:t>del</w:t>
      </w:r>
      <w:r>
        <w:rPr>
          <w:color w:val="231F20"/>
          <w:spacing w:val="-14"/>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México</w:t>
      </w:r>
      <w:r>
        <w:rPr>
          <w:color w:val="231F20"/>
          <w:spacing w:val="-14"/>
          <w:w w:val="105"/>
        </w:rPr>
        <w:t> </w:t>
      </w:r>
      <w:r>
        <w:rPr>
          <w:color w:val="231F20"/>
          <w:w w:val="105"/>
        </w:rPr>
        <w:t>que,</w:t>
      </w:r>
      <w:r>
        <w:rPr>
          <w:color w:val="231F20"/>
          <w:spacing w:val="-20"/>
          <w:w w:val="105"/>
        </w:rPr>
        <w:t> </w:t>
      </w:r>
      <w:r>
        <w:rPr>
          <w:color w:val="231F20"/>
          <w:w w:val="105"/>
        </w:rPr>
        <w:t>en- tre 1970 y 1980, se desplazaron hacia la periferia, debido a un proceso de</w:t>
      </w:r>
      <w:r>
        <w:rPr>
          <w:color w:val="231F20"/>
          <w:spacing w:val="-21"/>
          <w:w w:val="105"/>
        </w:rPr>
        <w:t> </w:t>
      </w:r>
      <w:r>
        <w:rPr>
          <w:color w:val="231F20"/>
          <w:w w:val="105"/>
        </w:rPr>
        <w:t>suburbanización</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consecuente</w:t>
      </w:r>
      <w:r>
        <w:rPr>
          <w:color w:val="231F20"/>
          <w:spacing w:val="-21"/>
          <w:w w:val="105"/>
        </w:rPr>
        <w:t> </w:t>
      </w:r>
      <w:r>
        <w:rPr>
          <w:color w:val="231F20"/>
          <w:w w:val="105"/>
        </w:rPr>
        <w:t>movilidad</w:t>
      </w:r>
      <w:r>
        <w:rPr>
          <w:color w:val="231F20"/>
          <w:spacing w:val="-21"/>
          <w:w w:val="105"/>
        </w:rPr>
        <w:t> </w:t>
      </w:r>
      <w:r>
        <w:rPr>
          <w:color w:val="231F20"/>
          <w:w w:val="105"/>
        </w:rPr>
        <w:t>económica</w:t>
      </w:r>
      <w:r>
        <w:rPr>
          <w:color w:val="231F20"/>
          <w:spacing w:val="-21"/>
          <w:w w:val="105"/>
        </w:rPr>
        <w:t> </w:t>
      </w:r>
      <w:r>
        <w:rPr>
          <w:color w:val="231F20"/>
          <w:w w:val="105"/>
        </w:rPr>
        <w:t>descendente (Lindón,</w:t>
      </w:r>
      <w:r>
        <w:rPr>
          <w:color w:val="231F20"/>
          <w:spacing w:val="-20"/>
          <w:w w:val="105"/>
        </w:rPr>
        <w:t> </w:t>
      </w:r>
      <w:r>
        <w:rPr>
          <w:color w:val="231F20"/>
          <w:w w:val="105"/>
        </w:rPr>
        <w:t>1999).</w:t>
      </w:r>
      <w:r>
        <w:rPr>
          <w:color w:val="231F20"/>
          <w:spacing w:val="-20"/>
          <w:w w:val="105"/>
        </w:rPr>
        <w:t> </w:t>
      </w:r>
      <w:r>
        <w:rPr>
          <w:color w:val="231F20"/>
          <w:w w:val="105"/>
        </w:rPr>
        <w:t>Entre</w:t>
      </w:r>
      <w:r>
        <w:rPr>
          <w:color w:val="231F20"/>
          <w:spacing w:val="-15"/>
          <w:w w:val="105"/>
        </w:rPr>
        <w:t> </w:t>
      </w:r>
      <w:r>
        <w:rPr>
          <w:color w:val="231F20"/>
          <w:w w:val="105"/>
        </w:rPr>
        <w:t>1970</w:t>
      </w:r>
      <w:r>
        <w:rPr>
          <w:color w:val="231F20"/>
          <w:spacing w:val="-15"/>
          <w:w w:val="105"/>
        </w:rPr>
        <w:t> </w:t>
      </w:r>
      <w:r>
        <w:rPr>
          <w:color w:val="231F20"/>
          <w:w w:val="105"/>
        </w:rPr>
        <w:t>y</w:t>
      </w:r>
      <w:r>
        <w:rPr>
          <w:color w:val="231F20"/>
          <w:spacing w:val="-15"/>
          <w:w w:val="105"/>
        </w:rPr>
        <w:t> </w:t>
      </w:r>
      <w:r>
        <w:rPr>
          <w:color w:val="231F20"/>
          <w:w w:val="105"/>
        </w:rPr>
        <w:t>1980</w:t>
      </w:r>
      <w:r>
        <w:rPr>
          <w:color w:val="231F20"/>
          <w:spacing w:val="-15"/>
          <w:w w:val="105"/>
        </w:rPr>
        <w:t> </w:t>
      </w:r>
      <w:r>
        <w:rPr>
          <w:color w:val="231F20"/>
          <w:w w:val="105"/>
        </w:rPr>
        <w:t>la</w:t>
      </w:r>
      <w:r>
        <w:rPr>
          <w:color w:val="231F20"/>
          <w:spacing w:val="-15"/>
          <w:w w:val="105"/>
        </w:rPr>
        <w:t> </w:t>
      </w:r>
      <w:r>
        <w:rPr>
          <w:color w:val="231F20"/>
          <w:w w:val="105"/>
        </w:rPr>
        <w:t>tasa</w:t>
      </w:r>
      <w:r>
        <w:rPr>
          <w:color w:val="231F20"/>
          <w:spacing w:val="-15"/>
          <w:w w:val="105"/>
        </w:rPr>
        <w:t> </w:t>
      </w:r>
      <w:r>
        <w:rPr>
          <w:color w:val="231F20"/>
          <w:w w:val="105"/>
        </w:rPr>
        <w:t>de</w:t>
      </w:r>
      <w:r>
        <w:rPr>
          <w:color w:val="231F20"/>
          <w:spacing w:val="-15"/>
          <w:w w:val="105"/>
        </w:rPr>
        <w:t> </w:t>
      </w:r>
      <w:r>
        <w:rPr>
          <w:color w:val="231F20"/>
          <w:w w:val="105"/>
        </w:rPr>
        <w:t>crecimiento</w:t>
      </w:r>
      <w:r>
        <w:rPr>
          <w:color w:val="231F20"/>
          <w:spacing w:val="-15"/>
          <w:w w:val="105"/>
        </w:rPr>
        <w:t> </w:t>
      </w:r>
      <w:r>
        <w:rPr>
          <w:color w:val="231F20"/>
          <w:w w:val="105"/>
        </w:rPr>
        <w:t>poblacional</w:t>
      </w:r>
      <w:r>
        <w:rPr>
          <w:color w:val="231F20"/>
          <w:spacing w:val="-15"/>
          <w:w w:val="105"/>
        </w:rPr>
        <w:t> </w:t>
      </w:r>
      <w:r>
        <w:rPr>
          <w:color w:val="231F20"/>
          <w:w w:val="105"/>
        </w:rPr>
        <w:t>fue de 8.7%, doblando prácticamente el promedio de crecimiento estatal. Sin embargo, a partir de la década de los ochenta el decrecimiento ha sido</w:t>
      </w:r>
      <w:r>
        <w:rPr>
          <w:color w:val="231F20"/>
          <w:spacing w:val="-30"/>
          <w:w w:val="105"/>
        </w:rPr>
        <w:t> </w:t>
      </w:r>
      <w:r>
        <w:rPr>
          <w:color w:val="231F20"/>
          <w:w w:val="105"/>
        </w:rPr>
        <w:t>una</w:t>
      </w:r>
      <w:r>
        <w:rPr>
          <w:color w:val="231F20"/>
          <w:spacing w:val="-30"/>
          <w:w w:val="105"/>
        </w:rPr>
        <w:t> </w:t>
      </w:r>
      <w:r>
        <w:rPr>
          <w:color w:val="231F20"/>
          <w:w w:val="105"/>
        </w:rPr>
        <w:t>constante</w:t>
      </w:r>
      <w:r>
        <w:rPr>
          <w:color w:val="231F20"/>
          <w:spacing w:val="-30"/>
          <w:w w:val="105"/>
        </w:rPr>
        <w:t> </w:t>
      </w:r>
      <w:r>
        <w:rPr>
          <w:color w:val="231F20"/>
          <w:w w:val="105"/>
        </w:rPr>
        <w:t>(</w:t>
      </w:r>
      <w:r>
        <w:rPr>
          <w:color w:val="231F20"/>
          <w:w w:val="105"/>
          <w:sz w:val="17"/>
        </w:rPr>
        <w:t>INEGI</w:t>
      </w:r>
      <w:r>
        <w:rPr>
          <w:color w:val="231F20"/>
          <w:w w:val="105"/>
        </w:rPr>
        <w:t>,</w:t>
      </w:r>
      <w:r>
        <w:rPr>
          <w:color w:val="231F20"/>
          <w:spacing w:val="-33"/>
          <w:w w:val="105"/>
        </w:rPr>
        <w:t> </w:t>
      </w:r>
      <w:r>
        <w:rPr>
          <w:color w:val="231F20"/>
          <w:w w:val="105"/>
        </w:rPr>
        <w:t>2000</w:t>
      </w:r>
      <w:r>
        <w:rPr>
          <w:color w:val="231F20"/>
          <w:spacing w:val="-30"/>
          <w:w w:val="105"/>
        </w:rPr>
        <w:t> </w:t>
      </w:r>
      <w:r>
        <w:rPr>
          <w:color w:val="231F20"/>
          <w:w w:val="105"/>
        </w:rPr>
        <w:t>y</w:t>
      </w:r>
      <w:r>
        <w:rPr>
          <w:color w:val="231F20"/>
          <w:spacing w:val="-30"/>
          <w:w w:val="105"/>
        </w:rPr>
        <w:t> </w:t>
      </w:r>
      <w:r>
        <w:rPr>
          <w:color w:val="231F20"/>
          <w:w w:val="105"/>
        </w:rPr>
        <w:t>2010;</w:t>
      </w:r>
      <w:r>
        <w:rPr>
          <w:color w:val="231F20"/>
          <w:spacing w:val="-30"/>
          <w:w w:val="105"/>
        </w:rPr>
        <w:t> </w:t>
      </w:r>
      <w:r>
        <w:rPr>
          <w:color w:val="231F20"/>
          <w:w w:val="105"/>
        </w:rPr>
        <w:t>Rivera,</w:t>
      </w:r>
      <w:r>
        <w:rPr>
          <w:color w:val="231F20"/>
          <w:spacing w:val="-33"/>
          <w:w w:val="105"/>
        </w:rPr>
        <w:t> </w:t>
      </w:r>
      <w:r>
        <w:rPr>
          <w:color w:val="231F20"/>
          <w:w w:val="105"/>
        </w:rPr>
        <w:t>2012).</w:t>
      </w:r>
    </w:p>
    <w:p>
      <w:pPr>
        <w:pStyle w:val="BodyText"/>
        <w:spacing w:line="261" w:lineRule="auto" w:before="1"/>
        <w:ind w:left="1837" w:right="1721" w:firstLine="567"/>
        <w:jc w:val="both"/>
      </w:pPr>
      <w:r>
        <w:rPr>
          <w:color w:val="231F20"/>
          <w:w w:val="105"/>
        </w:rPr>
        <w:t>Con base en información demográfica, en la siguiente sección trazaremos algunas de las movilidades que atraviesan este sitio y que lo hacen </w:t>
      </w:r>
      <w:r>
        <w:rPr>
          <w:rFonts w:ascii="Arial" w:hAnsi="Arial"/>
          <w:i/>
          <w:color w:val="231F20"/>
          <w:w w:val="105"/>
        </w:rPr>
        <w:t>un nodo </w:t>
      </w:r>
      <w:r>
        <w:rPr>
          <w:color w:val="231F20"/>
          <w:w w:val="105"/>
        </w:rPr>
        <w:t>desde el cual es posible divisar las movilidades y su complejidad, con el fin de localizar analíticamente el retorno migratorio contemporáneo,</w:t>
      </w:r>
      <w:r>
        <w:rPr>
          <w:color w:val="231F20"/>
          <w:spacing w:val="-15"/>
          <w:w w:val="105"/>
        </w:rPr>
        <w:t> </w:t>
      </w:r>
      <w:r>
        <w:rPr>
          <w:color w:val="231F20"/>
          <w:w w:val="105"/>
        </w:rPr>
        <w:t>como</w:t>
      </w:r>
      <w:r>
        <w:rPr>
          <w:color w:val="231F20"/>
          <w:spacing w:val="-9"/>
          <w:w w:val="105"/>
        </w:rPr>
        <w:t> </w:t>
      </w:r>
      <w:r>
        <w:rPr>
          <w:color w:val="231F20"/>
          <w:w w:val="105"/>
        </w:rPr>
        <w:t>una</w:t>
      </w:r>
      <w:r>
        <w:rPr>
          <w:color w:val="231F20"/>
          <w:spacing w:val="-9"/>
          <w:w w:val="105"/>
        </w:rPr>
        <w:t> </w:t>
      </w:r>
      <w:r>
        <w:rPr>
          <w:color w:val="231F20"/>
          <w:w w:val="105"/>
        </w:rPr>
        <w:t>forma</w:t>
      </w:r>
      <w:r>
        <w:rPr>
          <w:color w:val="231F20"/>
          <w:spacing w:val="-9"/>
          <w:w w:val="105"/>
        </w:rPr>
        <w:t> </w:t>
      </w:r>
      <w:r>
        <w:rPr>
          <w:color w:val="231F20"/>
          <w:w w:val="105"/>
        </w:rPr>
        <w:t>de</w:t>
      </w:r>
      <w:r>
        <w:rPr>
          <w:color w:val="231F20"/>
          <w:spacing w:val="-9"/>
          <w:w w:val="105"/>
        </w:rPr>
        <w:t> </w:t>
      </w:r>
      <w:r>
        <w:rPr>
          <w:color w:val="231F20"/>
          <w:w w:val="105"/>
        </w:rPr>
        <w:t>movilidad</w:t>
      </w:r>
      <w:r>
        <w:rPr>
          <w:color w:val="231F20"/>
          <w:spacing w:val="-9"/>
          <w:w w:val="105"/>
        </w:rPr>
        <w:t> </w:t>
      </w:r>
      <w:r>
        <w:rPr>
          <w:color w:val="231F20"/>
          <w:w w:val="105"/>
        </w:rPr>
        <w:t>en</w:t>
      </w:r>
      <w:r>
        <w:rPr>
          <w:color w:val="231F20"/>
          <w:spacing w:val="-9"/>
          <w:w w:val="105"/>
        </w:rPr>
        <w:t> </w:t>
      </w:r>
      <w:r>
        <w:rPr>
          <w:color w:val="231F20"/>
          <w:w w:val="105"/>
        </w:rPr>
        <w:t>este</w:t>
      </w:r>
      <w:r>
        <w:rPr>
          <w:color w:val="231F20"/>
          <w:spacing w:val="-9"/>
          <w:w w:val="105"/>
        </w:rPr>
        <w:t> </w:t>
      </w:r>
      <w:r>
        <w:rPr>
          <w:color w:val="231F20"/>
          <w:w w:val="105"/>
        </w:rPr>
        <w:t>espacio</w:t>
      </w:r>
      <w:r>
        <w:rPr>
          <w:color w:val="231F20"/>
          <w:spacing w:val="-9"/>
          <w:w w:val="105"/>
        </w:rPr>
        <w:t> </w:t>
      </w:r>
      <w:r>
        <w:rPr>
          <w:color w:val="231F20"/>
          <w:w w:val="105"/>
        </w:rPr>
        <w:t>urbano.</w:t>
      </w:r>
    </w:p>
    <w:p>
      <w:pPr>
        <w:pStyle w:val="BodyText"/>
        <w:spacing w:before="8"/>
        <w:rPr>
          <w:sz w:val="22"/>
        </w:rPr>
      </w:pPr>
    </w:p>
    <w:p>
      <w:pPr>
        <w:spacing w:before="0"/>
        <w:ind w:left="1837" w:right="0" w:firstLine="0"/>
        <w:jc w:val="both"/>
        <w:rPr>
          <w:rFonts w:ascii="Arial" w:hAnsi="Arial"/>
          <w:i/>
          <w:sz w:val="21"/>
        </w:rPr>
      </w:pPr>
      <w:r>
        <w:rPr>
          <w:rFonts w:ascii="Arial" w:hAnsi="Arial"/>
          <w:i/>
          <w:color w:val="231F20"/>
          <w:w w:val="105"/>
          <w:sz w:val="21"/>
        </w:rPr>
        <w:t>El contexto de las movilidades en intersección con el retorno</w:t>
      </w:r>
    </w:p>
    <w:p>
      <w:pPr>
        <w:pStyle w:val="BodyText"/>
        <w:spacing w:before="5"/>
        <w:rPr>
          <w:rFonts w:ascii="Arial"/>
          <w:i/>
          <w:sz w:val="24"/>
        </w:rPr>
      </w:pPr>
    </w:p>
    <w:p>
      <w:pPr>
        <w:pStyle w:val="BodyText"/>
        <w:spacing w:line="261" w:lineRule="auto" w:before="1"/>
        <w:ind w:left="1837" w:right="1721"/>
        <w:jc w:val="both"/>
      </w:pPr>
      <w:r>
        <w:rPr>
          <w:color w:val="231F20"/>
          <w:spacing w:val="-4"/>
          <w:w w:val="105"/>
        </w:rPr>
        <w:t>Para</w:t>
      </w:r>
      <w:r>
        <w:rPr>
          <w:color w:val="231F20"/>
          <w:spacing w:val="-21"/>
          <w:w w:val="105"/>
        </w:rPr>
        <w:t> </w:t>
      </w:r>
      <w:r>
        <w:rPr>
          <w:color w:val="231F20"/>
          <w:w w:val="105"/>
        </w:rPr>
        <w:t>comprender</w:t>
      </w:r>
      <w:r>
        <w:rPr>
          <w:color w:val="231F20"/>
          <w:spacing w:val="-21"/>
          <w:w w:val="105"/>
        </w:rPr>
        <w:t> </w:t>
      </w:r>
      <w:r>
        <w:rPr>
          <w:color w:val="231F20"/>
          <w:w w:val="105"/>
        </w:rPr>
        <w:t>la</w:t>
      </w:r>
      <w:r>
        <w:rPr>
          <w:color w:val="231F20"/>
          <w:spacing w:val="-21"/>
          <w:w w:val="105"/>
        </w:rPr>
        <w:t> </w:t>
      </w:r>
      <w:r>
        <w:rPr>
          <w:color w:val="231F20"/>
          <w:w w:val="105"/>
        </w:rPr>
        <w:t>compleja</w:t>
      </w:r>
      <w:r>
        <w:rPr>
          <w:color w:val="231F20"/>
          <w:spacing w:val="-21"/>
          <w:w w:val="105"/>
        </w:rPr>
        <w:t> </w:t>
      </w:r>
      <w:r>
        <w:rPr>
          <w:color w:val="231F20"/>
          <w:w w:val="105"/>
        </w:rPr>
        <w:t>dinámica</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movilidades</w:t>
      </w:r>
      <w:r>
        <w:rPr>
          <w:color w:val="231F20"/>
          <w:spacing w:val="-21"/>
          <w:w w:val="105"/>
        </w:rPr>
        <w:t> </w:t>
      </w:r>
      <w:r>
        <w:rPr>
          <w:color w:val="231F20"/>
          <w:w w:val="105"/>
        </w:rPr>
        <w:t>y</w:t>
      </w:r>
      <w:r>
        <w:rPr>
          <w:color w:val="231F20"/>
          <w:spacing w:val="-21"/>
          <w:w w:val="105"/>
        </w:rPr>
        <w:t> </w:t>
      </w:r>
      <w:r>
        <w:rPr>
          <w:color w:val="231F20"/>
          <w:w w:val="105"/>
        </w:rPr>
        <w:t>los</w:t>
      </w:r>
      <w:r>
        <w:rPr>
          <w:color w:val="231F20"/>
          <w:spacing w:val="-21"/>
          <w:w w:val="105"/>
        </w:rPr>
        <w:t> </w:t>
      </w:r>
      <w:r>
        <w:rPr>
          <w:color w:val="231F20"/>
          <w:w w:val="105"/>
        </w:rPr>
        <w:t>espacios en</w:t>
      </w:r>
      <w:r>
        <w:rPr>
          <w:color w:val="231F20"/>
          <w:spacing w:val="-19"/>
          <w:w w:val="105"/>
        </w:rPr>
        <w:t> </w:t>
      </w:r>
      <w:r>
        <w:rPr>
          <w:color w:val="231F20"/>
          <w:w w:val="105"/>
        </w:rPr>
        <w:t>Nezahualcóyotl</w:t>
      </w:r>
      <w:r>
        <w:rPr>
          <w:color w:val="231F20"/>
          <w:spacing w:val="-19"/>
          <w:w w:val="105"/>
        </w:rPr>
        <w:t> </w:t>
      </w:r>
      <w:r>
        <w:rPr>
          <w:color w:val="231F20"/>
          <w:w w:val="105"/>
        </w:rPr>
        <w:t>es</w:t>
      </w:r>
      <w:r>
        <w:rPr>
          <w:color w:val="231F20"/>
          <w:spacing w:val="-19"/>
          <w:w w:val="105"/>
        </w:rPr>
        <w:t> </w:t>
      </w:r>
      <w:r>
        <w:rPr>
          <w:color w:val="231F20"/>
          <w:w w:val="105"/>
        </w:rPr>
        <w:t>relevante</w:t>
      </w:r>
      <w:r>
        <w:rPr>
          <w:color w:val="231F20"/>
          <w:spacing w:val="-19"/>
          <w:w w:val="105"/>
        </w:rPr>
        <w:t> </w:t>
      </w:r>
      <w:r>
        <w:rPr>
          <w:color w:val="231F20"/>
          <w:w w:val="105"/>
        </w:rPr>
        <w:t>tomar</w:t>
      </w:r>
      <w:r>
        <w:rPr>
          <w:color w:val="231F20"/>
          <w:spacing w:val="-19"/>
          <w:w w:val="105"/>
        </w:rPr>
        <w:t> </w:t>
      </w:r>
      <w:r>
        <w:rPr>
          <w:color w:val="231F20"/>
          <w:w w:val="105"/>
        </w:rPr>
        <w:t>en</w:t>
      </w:r>
      <w:r>
        <w:rPr>
          <w:color w:val="231F20"/>
          <w:spacing w:val="-19"/>
          <w:w w:val="105"/>
        </w:rPr>
        <w:t> </w:t>
      </w:r>
      <w:r>
        <w:rPr>
          <w:color w:val="231F20"/>
          <w:w w:val="105"/>
        </w:rPr>
        <w:t>cuenta</w:t>
      </w:r>
      <w:r>
        <w:rPr>
          <w:color w:val="231F20"/>
          <w:spacing w:val="-19"/>
          <w:w w:val="105"/>
        </w:rPr>
        <w:t> </w:t>
      </w:r>
      <w:r>
        <w:rPr>
          <w:color w:val="231F20"/>
          <w:w w:val="105"/>
        </w:rPr>
        <w:t>no</w:t>
      </w:r>
      <w:r>
        <w:rPr>
          <w:color w:val="231F20"/>
          <w:spacing w:val="-19"/>
          <w:w w:val="105"/>
        </w:rPr>
        <w:t> </w:t>
      </w:r>
      <w:r>
        <w:rPr>
          <w:color w:val="231F20"/>
          <w:w w:val="105"/>
        </w:rPr>
        <w:t>sólo</w:t>
      </w:r>
      <w:r>
        <w:rPr>
          <w:color w:val="231F20"/>
          <w:spacing w:val="-19"/>
          <w:w w:val="105"/>
        </w:rPr>
        <w:t> </w:t>
      </w:r>
      <w:r>
        <w:rPr>
          <w:color w:val="231F20"/>
          <w:w w:val="105"/>
        </w:rPr>
        <w:t>la</w:t>
      </w:r>
      <w:r>
        <w:rPr>
          <w:color w:val="231F20"/>
          <w:spacing w:val="-19"/>
          <w:w w:val="105"/>
        </w:rPr>
        <w:t> </w:t>
      </w:r>
      <w:r>
        <w:rPr>
          <w:color w:val="231F20"/>
          <w:w w:val="105"/>
        </w:rPr>
        <w:t>historia</w:t>
      </w:r>
      <w:r>
        <w:rPr>
          <w:color w:val="231F20"/>
          <w:spacing w:val="-19"/>
          <w:w w:val="105"/>
        </w:rPr>
        <w:t> </w:t>
      </w:r>
      <w:r>
        <w:rPr>
          <w:color w:val="231F20"/>
          <w:w w:val="105"/>
        </w:rPr>
        <w:t>de</w:t>
      </w:r>
      <w:r>
        <w:rPr>
          <w:color w:val="231F20"/>
          <w:spacing w:val="-19"/>
          <w:w w:val="105"/>
        </w:rPr>
        <w:t> </w:t>
      </w:r>
      <w:r>
        <w:rPr>
          <w:color w:val="231F20"/>
          <w:w w:val="105"/>
        </w:rPr>
        <w:t>las migraciones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configuración</w:t>
      </w:r>
      <w:r>
        <w:rPr>
          <w:color w:val="231F20"/>
          <w:spacing w:val="-14"/>
          <w:w w:val="105"/>
        </w:rPr>
        <w:t> </w:t>
      </w:r>
      <w:r>
        <w:rPr>
          <w:color w:val="231F20"/>
          <w:w w:val="105"/>
        </w:rPr>
        <w:t>del</w:t>
      </w:r>
      <w:r>
        <w:rPr>
          <w:color w:val="231F20"/>
          <w:spacing w:val="-14"/>
          <w:w w:val="105"/>
        </w:rPr>
        <w:t> </w:t>
      </w:r>
      <w:r>
        <w:rPr>
          <w:color w:val="231F20"/>
          <w:w w:val="105"/>
        </w:rPr>
        <w:t>espacio</w:t>
      </w:r>
      <w:r>
        <w:rPr>
          <w:color w:val="231F20"/>
          <w:spacing w:val="-14"/>
          <w:w w:val="105"/>
        </w:rPr>
        <w:t> </w:t>
      </w:r>
      <w:r>
        <w:rPr>
          <w:color w:val="231F20"/>
          <w:w w:val="105"/>
        </w:rPr>
        <w:t>municipal,</w:t>
      </w:r>
      <w:r>
        <w:rPr>
          <w:color w:val="231F20"/>
          <w:spacing w:val="-20"/>
          <w:w w:val="105"/>
        </w:rPr>
        <w:t> </w:t>
      </w:r>
      <w:r>
        <w:rPr>
          <w:color w:val="231F20"/>
          <w:w w:val="105"/>
        </w:rPr>
        <w:t>sino</w:t>
      </w:r>
      <w:r>
        <w:rPr>
          <w:color w:val="231F20"/>
          <w:spacing w:val="-14"/>
          <w:w w:val="105"/>
        </w:rPr>
        <w:t> </w:t>
      </w:r>
      <w:r>
        <w:rPr>
          <w:color w:val="231F20"/>
          <w:w w:val="105"/>
        </w:rPr>
        <w:t>la</w:t>
      </w:r>
      <w:r>
        <w:rPr>
          <w:color w:val="231F20"/>
          <w:spacing w:val="-14"/>
          <w:w w:val="105"/>
        </w:rPr>
        <w:t> </w:t>
      </w:r>
      <w:r>
        <w:rPr>
          <w:color w:val="231F20"/>
          <w:w w:val="105"/>
        </w:rPr>
        <w:t>migración interna</w:t>
      </w:r>
      <w:r>
        <w:rPr>
          <w:color w:val="231F20"/>
          <w:spacing w:val="-20"/>
          <w:w w:val="105"/>
        </w:rPr>
        <w:t> </w:t>
      </w:r>
      <w:r>
        <w:rPr>
          <w:color w:val="231F20"/>
          <w:w w:val="105"/>
        </w:rPr>
        <w:t>como</w:t>
      </w:r>
      <w:r>
        <w:rPr>
          <w:color w:val="231F20"/>
          <w:spacing w:val="-20"/>
          <w:w w:val="105"/>
        </w:rPr>
        <w:t> </w:t>
      </w:r>
      <w:r>
        <w:rPr>
          <w:color w:val="231F20"/>
          <w:w w:val="105"/>
        </w:rPr>
        <w:t>un</w:t>
      </w:r>
      <w:r>
        <w:rPr>
          <w:color w:val="231F20"/>
          <w:spacing w:val="-20"/>
          <w:w w:val="105"/>
        </w:rPr>
        <w:t> </w:t>
      </w:r>
      <w:r>
        <w:rPr>
          <w:color w:val="231F20"/>
          <w:w w:val="105"/>
        </w:rPr>
        <w:t>proceso</w:t>
      </w:r>
      <w:r>
        <w:rPr>
          <w:color w:val="231F20"/>
          <w:spacing w:val="-20"/>
          <w:w w:val="105"/>
        </w:rPr>
        <w:t> </w:t>
      </w:r>
      <w:r>
        <w:rPr>
          <w:color w:val="231F20"/>
          <w:w w:val="105"/>
        </w:rPr>
        <w:t>contemporáneo,</w:t>
      </w:r>
      <w:r>
        <w:rPr>
          <w:color w:val="231F20"/>
          <w:spacing w:val="-26"/>
          <w:w w:val="105"/>
        </w:rPr>
        <w:t> </w:t>
      </w:r>
      <w:r>
        <w:rPr>
          <w:color w:val="231F20"/>
          <w:w w:val="105"/>
        </w:rPr>
        <w:t>con</w:t>
      </w:r>
      <w:r>
        <w:rPr>
          <w:color w:val="231F20"/>
          <w:spacing w:val="-20"/>
          <w:w w:val="105"/>
        </w:rPr>
        <w:t> </w:t>
      </w:r>
      <w:r>
        <w:rPr>
          <w:color w:val="231F20"/>
          <w:w w:val="105"/>
        </w:rPr>
        <w:t>flujos</w:t>
      </w:r>
      <w:r>
        <w:rPr>
          <w:color w:val="231F20"/>
          <w:spacing w:val="-20"/>
          <w:w w:val="105"/>
        </w:rPr>
        <w:t> </w:t>
      </w:r>
      <w:r>
        <w:rPr>
          <w:color w:val="231F20"/>
          <w:w w:val="105"/>
        </w:rPr>
        <w:t>constantes,</w:t>
      </w:r>
      <w:r>
        <w:rPr>
          <w:color w:val="231F20"/>
          <w:spacing w:val="-26"/>
          <w:w w:val="105"/>
        </w:rPr>
        <w:t> </w:t>
      </w:r>
      <w:r>
        <w:rPr>
          <w:color w:val="231F20"/>
          <w:w w:val="105"/>
        </w:rPr>
        <w:t>tanto</w:t>
      </w:r>
      <w:r>
        <w:rPr>
          <w:color w:val="231F20"/>
          <w:spacing w:val="-20"/>
          <w:w w:val="105"/>
        </w:rPr>
        <w:t> </w:t>
      </w:r>
      <w:r>
        <w:rPr>
          <w:color w:val="231F20"/>
          <w:w w:val="105"/>
        </w:rPr>
        <w:t>de emigración</w:t>
      </w:r>
      <w:r>
        <w:rPr>
          <w:color w:val="231F20"/>
          <w:spacing w:val="-18"/>
          <w:w w:val="105"/>
        </w:rPr>
        <w:t> </w:t>
      </w:r>
      <w:r>
        <w:rPr>
          <w:color w:val="231F20"/>
          <w:w w:val="105"/>
        </w:rPr>
        <w:t>como</w:t>
      </w:r>
      <w:r>
        <w:rPr>
          <w:color w:val="231F20"/>
          <w:spacing w:val="-18"/>
          <w:w w:val="105"/>
        </w:rPr>
        <w:t> </w:t>
      </w:r>
      <w:r>
        <w:rPr>
          <w:color w:val="231F20"/>
          <w:w w:val="105"/>
        </w:rPr>
        <w:t>de</w:t>
      </w:r>
      <w:r>
        <w:rPr>
          <w:color w:val="231F20"/>
          <w:spacing w:val="-18"/>
          <w:w w:val="105"/>
        </w:rPr>
        <w:t> </w:t>
      </w:r>
      <w:r>
        <w:rPr>
          <w:color w:val="231F20"/>
          <w:w w:val="105"/>
        </w:rPr>
        <w:t>inmigración,</w:t>
      </w:r>
      <w:r>
        <w:rPr>
          <w:color w:val="231F20"/>
          <w:spacing w:val="-23"/>
          <w:w w:val="105"/>
        </w:rPr>
        <w:t> </w:t>
      </w:r>
      <w:r>
        <w:rPr>
          <w:color w:val="231F20"/>
          <w:w w:val="105"/>
        </w:rPr>
        <w:t>que</w:t>
      </w:r>
      <w:r>
        <w:rPr>
          <w:color w:val="231F20"/>
          <w:spacing w:val="-18"/>
          <w:w w:val="105"/>
        </w:rPr>
        <w:t> </w:t>
      </w:r>
      <w:r>
        <w:rPr>
          <w:color w:val="231F20"/>
          <w:w w:val="105"/>
        </w:rPr>
        <w:t>actualizan</w:t>
      </w:r>
      <w:r>
        <w:rPr>
          <w:color w:val="231F20"/>
          <w:spacing w:val="-18"/>
          <w:w w:val="105"/>
        </w:rPr>
        <w:t> </w:t>
      </w:r>
      <w:r>
        <w:rPr>
          <w:color w:val="231F20"/>
          <w:w w:val="105"/>
        </w:rPr>
        <w:t>la</w:t>
      </w:r>
      <w:r>
        <w:rPr>
          <w:color w:val="231F20"/>
          <w:spacing w:val="-18"/>
          <w:w w:val="105"/>
        </w:rPr>
        <w:t> </w:t>
      </w:r>
      <w:r>
        <w:rPr>
          <w:color w:val="231F20"/>
          <w:w w:val="105"/>
        </w:rPr>
        <w:t>presencia</w:t>
      </w:r>
      <w:r>
        <w:rPr>
          <w:color w:val="231F20"/>
          <w:spacing w:val="-18"/>
          <w:w w:val="105"/>
        </w:rPr>
        <w:t> </w:t>
      </w:r>
      <w:r>
        <w:rPr>
          <w:color w:val="231F20"/>
          <w:w w:val="105"/>
        </w:rPr>
        <w:t>de</w:t>
      </w:r>
      <w:r>
        <w:rPr>
          <w:color w:val="231F20"/>
          <w:spacing w:val="-18"/>
          <w:w w:val="105"/>
        </w:rPr>
        <w:t> </w:t>
      </w:r>
      <w:r>
        <w:rPr>
          <w:color w:val="231F20"/>
          <w:w w:val="105"/>
        </w:rPr>
        <w:t>migran- tes procedentes de otras regiones del país en los municipios</w:t>
      </w:r>
      <w:r>
        <w:rPr>
          <w:color w:val="231F20"/>
          <w:spacing w:val="-27"/>
          <w:w w:val="105"/>
        </w:rPr>
        <w:t> </w:t>
      </w:r>
      <w:r>
        <w:rPr>
          <w:color w:val="231F20"/>
          <w:w w:val="105"/>
        </w:rPr>
        <w:t>metropoli- tanos</w:t>
      </w:r>
      <w:r>
        <w:rPr>
          <w:color w:val="231F20"/>
          <w:spacing w:val="-25"/>
          <w:w w:val="105"/>
        </w:rPr>
        <w:t> </w:t>
      </w:r>
      <w:r>
        <w:rPr>
          <w:color w:val="231F20"/>
          <w:w w:val="105"/>
        </w:rPr>
        <w:t>y</w:t>
      </w:r>
      <w:r>
        <w:rPr>
          <w:color w:val="231F20"/>
          <w:spacing w:val="-25"/>
          <w:w w:val="105"/>
        </w:rPr>
        <w:t> </w:t>
      </w:r>
      <w:r>
        <w:rPr>
          <w:color w:val="231F20"/>
          <w:w w:val="105"/>
        </w:rPr>
        <w:t>particularmente</w:t>
      </w:r>
      <w:r>
        <w:rPr>
          <w:color w:val="231F20"/>
          <w:spacing w:val="-25"/>
          <w:w w:val="105"/>
        </w:rPr>
        <w:t> </w:t>
      </w:r>
      <w:r>
        <w:rPr>
          <w:color w:val="231F20"/>
          <w:w w:val="105"/>
        </w:rPr>
        <w:t>en</w:t>
      </w:r>
      <w:r>
        <w:rPr>
          <w:color w:val="231F20"/>
          <w:spacing w:val="-25"/>
          <w:w w:val="105"/>
        </w:rPr>
        <w:t> </w:t>
      </w:r>
      <w:r>
        <w:rPr>
          <w:color w:val="231F20"/>
          <w:w w:val="105"/>
        </w:rPr>
        <w:t>Nezahualcóyotl.</w:t>
      </w:r>
    </w:p>
    <w:p>
      <w:pPr>
        <w:pStyle w:val="BodyText"/>
        <w:spacing w:line="261" w:lineRule="auto" w:before="1"/>
        <w:ind w:left="1837" w:right="1721" w:firstLine="567"/>
        <w:jc w:val="both"/>
      </w:pPr>
      <w:r>
        <w:rPr/>
        <w:pict>
          <v:line style="position:absolute;mso-position-horizontal-relative:page;mso-position-vertical-relative:paragraph;z-index:-478552" from="15pt,128.867599pt" to="0pt,128.867599pt" stroked="true" strokeweight=".25pt" strokecolor="#000000">
            <w10:wrap type="none"/>
          </v:line>
        </w:pict>
      </w:r>
      <w:r>
        <w:rPr/>
        <w:pict>
          <v:line style="position:absolute;mso-position-horizontal-relative:page;mso-position-vertical-relative:paragraph;z-index:11656" from="508.890015pt,128.867599pt" to="523.890015pt,128.867599pt" stroked="true" strokeweight=".25pt" strokecolor="#000000">
            <w10:wrap type="none"/>
          </v:line>
        </w:pict>
      </w:r>
      <w:r>
        <w:rPr>
          <w:color w:val="231F20"/>
          <w:w w:val="105"/>
        </w:rPr>
        <w:t>Reconocer</w:t>
      </w:r>
      <w:r>
        <w:rPr>
          <w:color w:val="231F20"/>
          <w:spacing w:val="-23"/>
          <w:w w:val="105"/>
        </w:rPr>
        <w:t> </w:t>
      </w:r>
      <w:r>
        <w:rPr>
          <w:color w:val="231F20"/>
          <w:w w:val="105"/>
        </w:rPr>
        <w:t>la</w:t>
      </w:r>
      <w:r>
        <w:rPr>
          <w:color w:val="231F20"/>
          <w:spacing w:val="-23"/>
          <w:w w:val="105"/>
        </w:rPr>
        <w:t> </w:t>
      </w:r>
      <w:r>
        <w:rPr>
          <w:color w:val="231F20"/>
          <w:w w:val="105"/>
        </w:rPr>
        <w:t>relevancia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migración</w:t>
      </w:r>
      <w:r>
        <w:rPr>
          <w:color w:val="231F20"/>
          <w:spacing w:val="-23"/>
          <w:w w:val="105"/>
        </w:rPr>
        <w:t> </w:t>
      </w:r>
      <w:r>
        <w:rPr>
          <w:color w:val="231F20"/>
          <w:w w:val="105"/>
        </w:rPr>
        <w:t>interna</w:t>
      </w:r>
      <w:r>
        <w:rPr>
          <w:color w:val="231F20"/>
          <w:spacing w:val="-23"/>
          <w:w w:val="105"/>
        </w:rPr>
        <w:t> </w:t>
      </w:r>
      <w:r>
        <w:rPr>
          <w:color w:val="231F20"/>
          <w:w w:val="105"/>
        </w:rPr>
        <w:t>en</w:t>
      </w:r>
      <w:r>
        <w:rPr>
          <w:color w:val="231F20"/>
          <w:spacing w:val="-23"/>
          <w:w w:val="105"/>
        </w:rPr>
        <w:t> </w:t>
      </w:r>
      <w:r>
        <w:rPr>
          <w:color w:val="231F20"/>
          <w:w w:val="105"/>
        </w:rPr>
        <w:t>Nezahualcóyotl resulta vital debido a que el origen estatal de los inmigrantes en este municipio</w:t>
      </w:r>
      <w:r>
        <w:rPr>
          <w:color w:val="231F20"/>
          <w:spacing w:val="-11"/>
          <w:w w:val="105"/>
        </w:rPr>
        <w:t> </w:t>
      </w:r>
      <w:r>
        <w:rPr>
          <w:color w:val="231F20"/>
          <w:w w:val="105"/>
        </w:rPr>
        <w:t>permite,</w:t>
      </w:r>
      <w:r>
        <w:rPr>
          <w:color w:val="231F20"/>
          <w:spacing w:val="-17"/>
          <w:w w:val="105"/>
        </w:rPr>
        <w:t> </w:t>
      </w:r>
      <w:r>
        <w:rPr>
          <w:color w:val="231F20"/>
          <w:w w:val="105"/>
        </w:rPr>
        <w:t>en</w:t>
      </w:r>
      <w:r>
        <w:rPr>
          <w:color w:val="231F20"/>
          <w:spacing w:val="-11"/>
          <w:w w:val="105"/>
        </w:rPr>
        <w:t> </w:t>
      </w:r>
      <w:r>
        <w:rPr>
          <w:color w:val="231F20"/>
          <w:w w:val="105"/>
        </w:rPr>
        <w:t>algunos</w:t>
      </w:r>
      <w:r>
        <w:rPr>
          <w:color w:val="231F20"/>
          <w:spacing w:val="-11"/>
          <w:w w:val="105"/>
        </w:rPr>
        <w:t> </w:t>
      </w:r>
      <w:r>
        <w:rPr>
          <w:color w:val="231F20"/>
          <w:w w:val="105"/>
        </w:rPr>
        <w:t>casos,</w:t>
      </w:r>
      <w:r>
        <w:rPr>
          <w:color w:val="231F20"/>
          <w:spacing w:val="-17"/>
          <w:w w:val="105"/>
        </w:rPr>
        <w:t> </w:t>
      </w:r>
      <w:r>
        <w:rPr>
          <w:color w:val="231F20"/>
          <w:w w:val="105"/>
        </w:rPr>
        <w:t>entender</w:t>
      </w:r>
      <w:r>
        <w:rPr>
          <w:color w:val="231F20"/>
          <w:spacing w:val="-11"/>
          <w:w w:val="105"/>
        </w:rPr>
        <w:t> </w:t>
      </w:r>
      <w:r>
        <w:rPr>
          <w:color w:val="231F20"/>
          <w:w w:val="105"/>
        </w:rPr>
        <w:t>ciertas</w:t>
      </w:r>
      <w:r>
        <w:rPr>
          <w:color w:val="231F20"/>
          <w:spacing w:val="-11"/>
          <w:w w:val="105"/>
        </w:rPr>
        <w:t> </w:t>
      </w:r>
      <w:r>
        <w:rPr>
          <w:color w:val="231F20"/>
          <w:w w:val="105"/>
        </w:rPr>
        <w:t>lógicas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emi- gración</w:t>
      </w:r>
      <w:r>
        <w:rPr>
          <w:color w:val="231F20"/>
          <w:spacing w:val="-7"/>
          <w:w w:val="105"/>
        </w:rPr>
        <w:t> </w:t>
      </w:r>
      <w:r>
        <w:rPr>
          <w:color w:val="231F20"/>
          <w:w w:val="105"/>
        </w:rPr>
        <w:t>a</w:t>
      </w:r>
      <w:r>
        <w:rPr>
          <w:color w:val="231F20"/>
          <w:spacing w:val="-7"/>
          <w:w w:val="105"/>
        </w:rPr>
        <w:t> </w:t>
      </w:r>
      <w:r>
        <w:rPr>
          <w:color w:val="231F20"/>
          <w:w w:val="105"/>
        </w:rPr>
        <w:t>Estados</w:t>
      </w:r>
      <w:r>
        <w:rPr>
          <w:color w:val="231F20"/>
          <w:spacing w:val="-7"/>
          <w:w w:val="105"/>
        </w:rPr>
        <w:t> </w:t>
      </w:r>
      <w:r>
        <w:rPr>
          <w:color w:val="231F20"/>
          <w:w w:val="105"/>
        </w:rPr>
        <w:t>Unidos,</w:t>
      </w:r>
      <w:r>
        <w:rPr>
          <w:color w:val="231F20"/>
          <w:spacing w:val="-12"/>
          <w:w w:val="105"/>
        </w:rPr>
        <w:t> </w:t>
      </w:r>
      <w:r>
        <w:rPr>
          <w:color w:val="231F20"/>
          <w:w w:val="105"/>
        </w:rPr>
        <w:t>darle</w:t>
      </w:r>
      <w:r>
        <w:rPr>
          <w:color w:val="231F20"/>
          <w:spacing w:val="-7"/>
          <w:w w:val="105"/>
        </w:rPr>
        <w:t> </w:t>
      </w:r>
      <w:r>
        <w:rPr>
          <w:color w:val="231F20"/>
          <w:w w:val="105"/>
        </w:rPr>
        <w:t>seguimiento</w:t>
      </w:r>
      <w:r>
        <w:rPr>
          <w:color w:val="231F20"/>
          <w:spacing w:val="-7"/>
          <w:w w:val="105"/>
        </w:rPr>
        <w:t> </w:t>
      </w:r>
      <w:r>
        <w:rPr>
          <w:color w:val="231F20"/>
          <w:w w:val="105"/>
        </w:rPr>
        <w:t>a</w:t>
      </w:r>
      <w:r>
        <w:rPr>
          <w:color w:val="231F20"/>
          <w:spacing w:val="-7"/>
          <w:w w:val="105"/>
        </w:rPr>
        <w:t> </w:t>
      </w:r>
      <w:r>
        <w:rPr>
          <w:color w:val="231F20"/>
          <w:w w:val="105"/>
        </w:rPr>
        <w:t>algunas</w:t>
      </w:r>
      <w:r>
        <w:rPr>
          <w:color w:val="231F20"/>
          <w:spacing w:val="-7"/>
          <w:w w:val="105"/>
        </w:rPr>
        <w:t> </w:t>
      </w:r>
      <w:r>
        <w:rPr>
          <w:color w:val="231F20"/>
          <w:w w:val="105"/>
        </w:rPr>
        <w:t>rutas</w:t>
      </w:r>
      <w:r>
        <w:rPr>
          <w:color w:val="231F20"/>
          <w:spacing w:val="-7"/>
          <w:w w:val="105"/>
        </w:rPr>
        <w:t> </w:t>
      </w:r>
      <w:r>
        <w:rPr>
          <w:color w:val="231F20"/>
          <w:w w:val="105"/>
        </w:rPr>
        <w:t>y</w:t>
      </w:r>
      <w:r>
        <w:rPr>
          <w:color w:val="231F20"/>
          <w:spacing w:val="-7"/>
          <w:w w:val="105"/>
        </w:rPr>
        <w:t> </w:t>
      </w:r>
      <w:r>
        <w:rPr>
          <w:color w:val="231F20"/>
          <w:w w:val="105"/>
        </w:rPr>
        <w:t>destinos</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11728" from="15pt,-71.68644pt" to="0pt,-71.68644pt" stroked="true" strokeweight=".25pt" strokecolor="#000000">
            <w10:wrap type="none"/>
          </v:line>
        </w:pict>
      </w:r>
      <w:r>
        <w:rPr/>
        <w:pict>
          <v:line style="position:absolute;mso-position-horizontal-relative:page;mso-position-vertical-relative:paragraph;z-index:11752" from="508.890015pt,-71.68644pt" to="523.890015pt,-71.68644pt" stroked="true" strokeweight=".25pt" strokecolor="#000000">
            <w10:wrap type="none"/>
          </v:line>
        </w:pict>
      </w:r>
      <w:r>
        <w:rPr>
          <w:color w:val="231F20"/>
          <w:w w:val="105"/>
        </w:rPr>
        <w:t>migratorios recurrentes entre la población municipal e incluso observar cómo</w:t>
      </w:r>
      <w:r>
        <w:rPr>
          <w:color w:val="231F20"/>
          <w:spacing w:val="-21"/>
          <w:w w:val="105"/>
        </w:rPr>
        <w:t> </w:t>
      </w:r>
      <w:r>
        <w:rPr>
          <w:color w:val="231F20"/>
          <w:w w:val="105"/>
        </w:rPr>
        <w:t>la</w:t>
      </w:r>
      <w:r>
        <w:rPr>
          <w:color w:val="231F20"/>
          <w:spacing w:val="-21"/>
          <w:w w:val="105"/>
        </w:rPr>
        <w:t> </w:t>
      </w:r>
      <w:r>
        <w:rPr>
          <w:color w:val="231F20"/>
          <w:w w:val="105"/>
        </w:rPr>
        <w:t>dinámica</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redes</w:t>
      </w:r>
      <w:r>
        <w:rPr>
          <w:color w:val="231F20"/>
          <w:spacing w:val="-21"/>
          <w:w w:val="105"/>
        </w:rPr>
        <w:t> </w:t>
      </w:r>
      <w:r>
        <w:rPr>
          <w:color w:val="231F20"/>
          <w:w w:val="105"/>
        </w:rPr>
        <w:t>sociales</w:t>
      </w:r>
      <w:r>
        <w:rPr>
          <w:color w:val="231F20"/>
          <w:spacing w:val="-21"/>
          <w:w w:val="105"/>
        </w:rPr>
        <w:t> </w:t>
      </w:r>
      <w:r>
        <w:rPr>
          <w:color w:val="231F20"/>
          <w:w w:val="105"/>
        </w:rPr>
        <w:t>(algunas</w:t>
      </w:r>
      <w:r>
        <w:rPr>
          <w:color w:val="231F20"/>
          <w:spacing w:val="-21"/>
          <w:w w:val="105"/>
        </w:rPr>
        <w:t> </w:t>
      </w:r>
      <w:r>
        <w:rPr>
          <w:color w:val="231F20"/>
          <w:w w:val="105"/>
        </w:rPr>
        <w:t>de</w:t>
      </w:r>
      <w:r>
        <w:rPr>
          <w:color w:val="231F20"/>
          <w:spacing w:val="-21"/>
          <w:w w:val="105"/>
        </w:rPr>
        <w:t> </w:t>
      </w:r>
      <w:r>
        <w:rPr>
          <w:color w:val="231F20"/>
          <w:w w:val="105"/>
        </w:rPr>
        <w:t>ellas</w:t>
      </w:r>
      <w:r>
        <w:rPr>
          <w:color w:val="231F20"/>
          <w:spacing w:val="-21"/>
          <w:w w:val="105"/>
        </w:rPr>
        <w:t> </w:t>
      </w:r>
      <w:r>
        <w:rPr>
          <w:color w:val="231F20"/>
          <w:w w:val="105"/>
        </w:rPr>
        <w:t>ligadas</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pro- cedencia estatal o al paisanaje local) influye en las lógicas del retorno (cuando este es voluntario); por ejemplo, en la elección del lugar para volver</w:t>
      </w:r>
      <w:r>
        <w:rPr>
          <w:color w:val="231F20"/>
          <w:spacing w:val="-7"/>
          <w:w w:val="105"/>
        </w:rPr>
        <w:t> </w:t>
      </w:r>
      <w:r>
        <w:rPr>
          <w:color w:val="231F20"/>
          <w:w w:val="105"/>
        </w:rPr>
        <w:t>al</w:t>
      </w:r>
      <w:r>
        <w:rPr>
          <w:color w:val="231F20"/>
          <w:spacing w:val="-7"/>
          <w:w w:val="105"/>
        </w:rPr>
        <w:t> </w:t>
      </w:r>
      <w:r>
        <w:rPr>
          <w:color w:val="231F20"/>
          <w:w w:val="105"/>
        </w:rPr>
        <w:t>país</w:t>
      </w:r>
      <w:r>
        <w:rPr>
          <w:color w:val="231F20"/>
          <w:spacing w:val="-7"/>
          <w:w w:val="105"/>
        </w:rPr>
        <w:t> </w:t>
      </w:r>
      <w:r>
        <w:rPr>
          <w:color w:val="231F20"/>
          <w:w w:val="105"/>
        </w:rPr>
        <w:t>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elección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colonia</w:t>
      </w:r>
      <w:r>
        <w:rPr>
          <w:color w:val="231F20"/>
          <w:spacing w:val="-7"/>
          <w:w w:val="105"/>
        </w:rPr>
        <w:t> </w:t>
      </w:r>
      <w:r>
        <w:rPr>
          <w:color w:val="231F20"/>
          <w:w w:val="105"/>
        </w:rPr>
        <w:t>para</w:t>
      </w:r>
      <w:r>
        <w:rPr>
          <w:color w:val="231F20"/>
          <w:spacing w:val="-7"/>
          <w:w w:val="105"/>
        </w:rPr>
        <w:t> </w:t>
      </w:r>
      <w:r>
        <w:rPr>
          <w:color w:val="231F20"/>
          <w:w w:val="105"/>
        </w:rPr>
        <w:t>asentarse</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munici- pio</w:t>
      </w:r>
      <w:r>
        <w:rPr>
          <w:color w:val="231F20"/>
          <w:spacing w:val="-17"/>
          <w:w w:val="105"/>
        </w:rPr>
        <w:t> </w:t>
      </w:r>
      <w:r>
        <w:rPr>
          <w:color w:val="231F20"/>
          <w:w w:val="105"/>
        </w:rPr>
        <w:t>de</w:t>
      </w:r>
      <w:r>
        <w:rPr>
          <w:color w:val="231F20"/>
          <w:spacing w:val="-17"/>
          <w:w w:val="105"/>
        </w:rPr>
        <w:t> </w:t>
      </w:r>
      <w:r>
        <w:rPr>
          <w:color w:val="231F20"/>
          <w:w w:val="105"/>
        </w:rPr>
        <w:t>Nezahualcóyotl,</w:t>
      </w:r>
      <w:r>
        <w:rPr>
          <w:color w:val="231F20"/>
          <w:spacing w:val="-23"/>
          <w:w w:val="105"/>
        </w:rPr>
        <w:t> </w:t>
      </w:r>
      <w:r>
        <w:rPr>
          <w:color w:val="231F20"/>
          <w:w w:val="105"/>
        </w:rPr>
        <w:t>donde</w:t>
      </w:r>
      <w:r>
        <w:rPr>
          <w:color w:val="231F20"/>
          <w:spacing w:val="-17"/>
          <w:w w:val="105"/>
        </w:rPr>
        <w:t> </w:t>
      </w:r>
      <w:r>
        <w:rPr>
          <w:color w:val="231F20"/>
          <w:w w:val="105"/>
        </w:rPr>
        <w:t>la</w:t>
      </w:r>
      <w:r>
        <w:rPr>
          <w:color w:val="231F20"/>
          <w:spacing w:val="-17"/>
          <w:w w:val="105"/>
        </w:rPr>
        <w:t> </w:t>
      </w:r>
      <w:r>
        <w:rPr>
          <w:color w:val="231F20"/>
          <w:w w:val="105"/>
        </w:rPr>
        <w:t>población</w:t>
      </w:r>
      <w:r>
        <w:rPr>
          <w:color w:val="231F20"/>
          <w:spacing w:val="-17"/>
          <w:w w:val="105"/>
        </w:rPr>
        <w:t> </w:t>
      </w:r>
      <w:r>
        <w:rPr>
          <w:color w:val="231F20"/>
          <w:w w:val="105"/>
        </w:rPr>
        <w:t>se</w:t>
      </w:r>
      <w:r>
        <w:rPr>
          <w:color w:val="231F20"/>
          <w:spacing w:val="-17"/>
          <w:w w:val="105"/>
        </w:rPr>
        <w:t> </w:t>
      </w:r>
      <w:r>
        <w:rPr>
          <w:color w:val="231F20"/>
          <w:w w:val="105"/>
        </w:rPr>
        <w:t>ha</w:t>
      </w:r>
      <w:r>
        <w:rPr>
          <w:color w:val="231F20"/>
          <w:spacing w:val="-17"/>
          <w:w w:val="105"/>
        </w:rPr>
        <w:t> </w:t>
      </w:r>
      <w:r>
        <w:rPr>
          <w:color w:val="231F20"/>
          <w:w w:val="105"/>
        </w:rPr>
        <w:t>acomodado</w:t>
      </w:r>
      <w:r>
        <w:rPr>
          <w:color w:val="231F20"/>
          <w:spacing w:val="-17"/>
          <w:w w:val="105"/>
        </w:rPr>
        <w:t> </w:t>
      </w:r>
      <w:r>
        <w:rPr>
          <w:color w:val="231F20"/>
          <w:w w:val="105"/>
        </w:rPr>
        <w:t>en</w:t>
      </w:r>
      <w:r>
        <w:rPr>
          <w:color w:val="231F20"/>
          <w:spacing w:val="-17"/>
          <w:w w:val="105"/>
        </w:rPr>
        <w:t> </w:t>
      </w:r>
      <w:r>
        <w:rPr>
          <w:color w:val="231F20"/>
          <w:w w:val="105"/>
        </w:rPr>
        <w:t>algunas colonias</w:t>
      </w:r>
      <w:r>
        <w:rPr>
          <w:color w:val="231F20"/>
          <w:spacing w:val="-15"/>
          <w:w w:val="105"/>
        </w:rPr>
        <w:t> </w:t>
      </w:r>
      <w:r>
        <w:rPr>
          <w:color w:val="231F20"/>
          <w:w w:val="105"/>
        </w:rPr>
        <w:t>o</w:t>
      </w:r>
      <w:r>
        <w:rPr>
          <w:color w:val="231F20"/>
          <w:spacing w:val="-15"/>
          <w:w w:val="105"/>
        </w:rPr>
        <w:t> </w:t>
      </w:r>
      <w:r>
        <w:rPr>
          <w:color w:val="231F20"/>
          <w:w w:val="105"/>
        </w:rPr>
        <w:t>barrios</w:t>
      </w:r>
      <w:r>
        <w:rPr>
          <w:color w:val="231F20"/>
          <w:spacing w:val="-15"/>
          <w:w w:val="105"/>
        </w:rPr>
        <w:t> </w:t>
      </w:r>
      <w:r>
        <w:rPr>
          <w:color w:val="231F20"/>
          <w:w w:val="105"/>
        </w:rPr>
        <w:t>por</w:t>
      </w:r>
      <w:r>
        <w:rPr>
          <w:color w:val="231F20"/>
          <w:spacing w:val="-15"/>
          <w:w w:val="105"/>
        </w:rPr>
        <w:t> </w:t>
      </w:r>
      <w:r>
        <w:rPr>
          <w:color w:val="231F20"/>
          <w:w w:val="105"/>
        </w:rPr>
        <w:t>proceder</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mismo</w:t>
      </w:r>
      <w:r>
        <w:rPr>
          <w:color w:val="231F20"/>
          <w:spacing w:val="-15"/>
          <w:w w:val="105"/>
        </w:rPr>
        <w:t> </w:t>
      </w:r>
      <w:r>
        <w:rPr>
          <w:color w:val="231F20"/>
          <w:w w:val="105"/>
        </w:rPr>
        <w:t>lugar,</w:t>
      </w:r>
      <w:r>
        <w:rPr>
          <w:color w:val="231F20"/>
          <w:spacing w:val="-20"/>
          <w:w w:val="105"/>
        </w:rPr>
        <w:t> </w:t>
      </w:r>
      <w:r>
        <w:rPr>
          <w:color w:val="231F20"/>
          <w:w w:val="105"/>
        </w:rPr>
        <w:t>sea</w:t>
      </w:r>
      <w:r>
        <w:rPr>
          <w:color w:val="231F20"/>
          <w:spacing w:val="-15"/>
          <w:w w:val="105"/>
        </w:rPr>
        <w:t> </w:t>
      </w:r>
      <w:r>
        <w:rPr>
          <w:color w:val="231F20"/>
          <w:w w:val="105"/>
        </w:rPr>
        <w:t>la</w:t>
      </w:r>
      <w:r>
        <w:rPr>
          <w:color w:val="231F20"/>
          <w:spacing w:val="-15"/>
          <w:w w:val="105"/>
        </w:rPr>
        <w:t> </w:t>
      </w:r>
      <w:r>
        <w:rPr>
          <w:color w:val="231F20"/>
          <w:w w:val="105"/>
        </w:rPr>
        <w:t>región,</w:t>
      </w:r>
      <w:r>
        <w:rPr>
          <w:color w:val="231F20"/>
          <w:spacing w:val="-20"/>
          <w:w w:val="105"/>
        </w:rPr>
        <w:t> </w:t>
      </w:r>
      <w:r>
        <w:rPr>
          <w:color w:val="231F20"/>
          <w:w w:val="105"/>
        </w:rPr>
        <w:t>la</w:t>
      </w:r>
      <w:r>
        <w:rPr>
          <w:color w:val="231F20"/>
          <w:spacing w:val="-15"/>
          <w:w w:val="105"/>
        </w:rPr>
        <w:t> </w:t>
      </w:r>
      <w:r>
        <w:rPr>
          <w:color w:val="231F20"/>
          <w:w w:val="105"/>
        </w:rPr>
        <w:t>loca- lidad</w:t>
      </w:r>
      <w:r>
        <w:rPr>
          <w:color w:val="231F20"/>
          <w:spacing w:val="-10"/>
          <w:w w:val="105"/>
        </w:rPr>
        <w:t> </w:t>
      </w:r>
      <w:r>
        <w:rPr>
          <w:color w:val="231F20"/>
          <w:w w:val="105"/>
        </w:rPr>
        <w:t>o</w:t>
      </w:r>
      <w:r>
        <w:rPr>
          <w:color w:val="231F20"/>
          <w:spacing w:val="-10"/>
          <w:w w:val="105"/>
        </w:rPr>
        <w:t> </w:t>
      </w:r>
      <w:r>
        <w:rPr>
          <w:color w:val="231F20"/>
          <w:w w:val="105"/>
        </w:rPr>
        <w:t>la</w:t>
      </w:r>
      <w:r>
        <w:rPr>
          <w:color w:val="231F20"/>
          <w:spacing w:val="-10"/>
          <w:w w:val="105"/>
        </w:rPr>
        <w:t> </w:t>
      </w:r>
      <w:r>
        <w:rPr>
          <w:color w:val="231F20"/>
          <w:w w:val="105"/>
        </w:rPr>
        <w:t>entidad</w:t>
      </w:r>
      <w:r>
        <w:rPr>
          <w:color w:val="231F20"/>
          <w:spacing w:val="-10"/>
          <w:w w:val="105"/>
        </w:rPr>
        <w:t> </w:t>
      </w:r>
      <w:r>
        <w:rPr>
          <w:color w:val="231F20"/>
          <w:w w:val="105"/>
        </w:rPr>
        <w:t>federativa.</w:t>
      </w:r>
      <w:r>
        <w:rPr>
          <w:color w:val="231F20"/>
          <w:spacing w:val="-15"/>
          <w:w w:val="105"/>
        </w:rPr>
        <w:t> </w:t>
      </w:r>
      <w:r>
        <w:rPr>
          <w:color w:val="231F20"/>
          <w:w w:val="105"/>
        </w:rPr>
        <w:t>En</w:t>
      </w:r>
      <w:r>
        <w:rPr>
          <w:color w:val="231F20"/>
          <w:spacing w:val="-10"/>
          <w:w w:val="105"/>
        </w:rPr>
        <w:t> </w:t>
      </w:r>
      <w:r>
        <w:rPr>
          <w:color w:val="231F20"/>
          <w:w w:val="105"/>
        </w:rPr>
        <w:t>suma,</w:t>
      </w:r>
      <w:r>
        <w:rPr>
          <w:color w:val="231F20"/>
          <w:spacing w:val="-15"/>
          <w:w w:val="105"/>
        </w:rPr>
        <w:t> </w:t>
      </w:r>
      <w:r>
        <w:rPr>
          <w:color w:val="231F20"/>
          <w:w w:val="105"/>
        </w:rPr>
        <w:t>la</w:t>
      </w:r>
      <w:r>
        <w:rPr>
          <w:color w:val="231F20"/>
          <w:spacing w:val="-10"/>
          <w:w w:val="105"/>
        </w:rPr>
        <w:t> </w:t>
      </w:r>
      <w:r>
        <w:rPr>
          <w:color w:val="231F20"/>
          <w:w w:val="105"/>
        </w:rPr>
        <w:t>dinámica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migración</w:t>
      </w:r>
      <w:r>
        <w:rPr>
          <w:color w:val="231F20"/>
          <w:spacing w:val="-10"/>
          <w:w w:val="105"/>
        </w:rPr>
        <w:t> </w:t>
      </w:r>
      <w:r>
        <w:rPr>
          <w:color w:val="231F20"/>
          <w:w w:val="105"/>
        </w:rPr>
        <w:t>inter- na</w:t>
      </w:r>
      <w:r>
        <w:rPr>
          <w:color w:val="231F20"/>
          <w:spacing w:val="-6"/>
          <w:w w:val="105"/>
        </w:rPr>
        <w:t> </w:t>
      </w:r>
      <w:r>
        <w:rPr>
          <w:color w:val="231F20"/>
          <w:w w:val="105"/>
        </w:rPr>
        <w:t>se</w:t>
      </w:r>
      <w:r>
        <w:rPr>
          <w:color w:val="231F20"/>
          <w:spacing w:val="-6"/>
          <w:w w:val="105"/>
        </w:rPr>
        <w:t> </w:t>
      </w:r>
      <w:r>
        <w:rPr>
          <w:color w:val="231F20"/>
          <w:w w:val="105"/>
        </w:rPr>
        <w:t>ha</w:t>
      </w:r>
      <w:r>
        <w:rPr>
          <w:color w:val="231F20"/>
          <w:spacing w:val="-6"/>
          <w:w w:val="105"/>
        </w:rPr>
        <w:t> </w:t>
      </w:r>
      <w:r>
        <w:rPr>
          <w:color w:val="231F20"/>
          <w:w w:val="105"/>
        </w:rPr>
        <w:t>entrelazado</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migración</w:t>
      </w:r>
      <w:r>
        <w:rPr>
          <w:color w:val="231F20"/>
          <w:spacing w:val="-6"/>
          <w:w w:val="105"/>
        </w:rPr>
        <w:t> </w:t>
      </w:r>
      <w:r>
        <w:rPr>
          <w:color w:val="231F20"/>
          <w:w w:val="105"/>
        </w:rPr>
        <w:t>internacional</w:t>
      </w:r>
      <w:r>
        <w:rPr>
          <w:color w:val="231F20"/>
          <w:spacing w:val="-6"/>
          <w:w w:val="105"/>
        </w:rPr>
        <w:t> </w:t>
      </w:r>
      <w:r>
        <w:rPr>
          <w:color w:val="231F20"/>
          <w:w w:val="105"/>
        </w:rPr>
        <w:t>y</w:t>
      </w:r>
      <w:r>
        <w:rPr>
          <w:color w:val="231F20"/>
          <w:spacing w:val="-6"/>
          <w:w w:val="105"/>
        </w:rPr>
        <w:t> </w:t>
      </w:r>
      <w:r>
        <w:rPr>
          <w:color w:val="231F20"/>
          <w:w w:val="105"/>
        </w:rPr>
        <w:t>otras</w:t>
      </w:r>
      <w:r>
        <w:rPr>
          <w:color w:val="231F20"/>
          <w:spacing w:val="-6"/>
          <w:w w:val="105"/>
        </w:rPr>
        <w:t> </w:t>
      </w:r>
      <w:r>
        <w:rPr>
          <w:color w:val="231F20"/>
          <w:w w:val="105"/>
        </w:rPr>
        <w:t>movilidades intraurbanas</w:t>
      </w:r>
      <w:r>
        <w:rPr>
          <w:color w:val="231F20"/>
          <w:spacing w:val="-17"/>
          <w:w w:val="105"/>
        </w:rPr>
        <w:t> </w:t>
      </w:r>
      <w:r>
        <w:rPr>
          <w:color w:val="231F20"/>
          <w:w w:val="105"/>
        </w:rPr>
        <w:t>que</w:t>
      </w:r>
      <w:r>
        <w:rPr>
          <w:color w:val="231F20"/>
          <w:spacing w:val="-17"/>
          <w:w w:val="105"/>
        </w:rPr>
        <w:t> </w:t>
      </w:r>
      <w:r>
        <w:rPr>
          <w:color w:val="231F20"/>
          <w:w w:val="105"/>
        </w:rPr>
        <w:t>atraviesan</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municipio.</w:t>
      </w:r>
    </w:p>
    <w:p>
      <w:pPr>
        <w:pStyle w:val="BodyText"/>
        <w:spacing w:line="261" w:lineRule="auto" w:before="1"/>
        <w:ind w:left="1723" w:right="1834" w:firstLine="567"/>
        <w:jc w:val="both"/>
      </w:pPr>
      <w:r>
        <w:rPr>
          <w:color w:val="231F20"/>
          <w:w w:val="105"/>
        </w:rPr>
        <w:t>Así, Nezahualcóyotl se constituye como un nodo de movilidades diversas en la zona metropolitana, al contar con inmigrantes radicados que proceden de todas las entidades federativas del país, como se ha señalado previamente. No está demás mencionar que algunos de los pioneros de este municipio fueron migrantes retornados del </w:t>
      </w:r>
      <w:r>
        <w:rPr>
          <w:color w:val="231F20"/>
          <w:spacing w:val="-3"/>
          <w:w w:val="105"/>
        </w:rPr>
        <w:t>Programa </w:t>
      </w:r>
      <w:r>
        <w:rPr>
          <w:color w:val="231F20"/>
          <w:w w:val="105"/>
        </w:rPr>
        <w:t>Bracero,</w:t>
      </w:r>
      <w:r>
        <w:rPr>
          <w:color w:val="231F20"/>
          <w:w w:val="105"/>
          <w:position w:val="7"/>
          <w:sz w:val="12"/>
        </w:rPr>
        <w:t>1</w:t>
      </w:r>
      <w:r>
        <w:rPr>
          <w:color w:val="231F20"/>
          <w:spacing w:val="16"/>
          <w:w w:val="105"/>
          <w:position w:val="7"/>
          <w:sz w:val="12"/>
        </w:rPr>
        <w:t> </w:t>
      </w:r>
      <w:r>
        <w:rPr>
          <w:color w:val="231F20"/>
          <w:w w:val="105"/>
        </w:rPr>
        <w:t>que</w:t>
      </w:r>
      <w:r>
        <w:rPr>
          <w:color w:val="231F20"/>
          <w:spacing w:val="-9"/>
          <w:w w:val="105"/>
        </w:rPr>
        <w:t> </w:t>
      </w:r>
      <w:r>
        <w:rPr>
          <w:color w:val="231F20"/>
          <w:w w:val="105"/>
        </w:rPr>
        <w:t>participaron</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segunda</w:t>
      </w:r>
      <w:r>
        <w:rPr>
          <w:color w:val="231F20"/>
          <w:spacing w:val="-9"/>
          <w:w w:val="105"/>
        </w:rPr>
        <w:t> </w:t>
      </w:r>
      <w:r>
        <w:rPr>
          <w:color w:val="231F20"/>
          <w:w w:val="105"/>
        </w:rPr>
        <w:t>etapa</w:t>
      </w:r>
      <w:r>
        <w:rPr>
          <w:color w:val="231F20"/>
          <w:spacing w:val="-9"/>
          <w:w w:val="105"/>
        </w:rPr>
        <w:t> </w:t>
      </w:r>
      <w:r>
        <w:rPr>
          <w:color w:val="231F20"/>
          <w:w w:val="105"/>
        </w:rPr>
        <w:t>del</w:t>
      </w:r>
      <w:r>
        <w:rPr>
          <w:color w:val="231F20"/>
          <w:spacing w:val="-9"/>
          <w:w w:val="105"/>
        </w:rPr>
        <w:t> </w:t>
      </w:r>
      <w:r>
        <w:rPr>
          <w:color w:val="231F20"/>
          <w:w w:val="105"/>
        </w:rPr>
        <w:t>programa</w:t>
      </w:r>
      <w:r>
        <w:rPr>
          <w:color w:val="231F20"/>
          <w:spacing w:val="-9"/>
          <w:w w:val="105"/>
        </w:rPr>
        <w:t> </w:t>
      </w:r>
      <w:r>
        <w:rPr>
          <w:color w:val="231F20"/>
          <w:w w:val="105"/>
        </w:rPr>
        <w:t>(personas de origen guerrerense, oaxaqueño, poblano y michoacano, principal- mente), el cual concluyó hacia finales de la década de los sesenta. No obstante, en Nezahualcóyotl estos migrantes aún son reconocidos por construir las primeras casas de ladrillo y cemento en el área del centro urbano</w:t>
      </w:r>
      <w:r>
        <w:rPr>
          <w:color w:val="231F20"/>
          <w:spacing w:val="-18"/>
          <w:w w:val="105"/>
        </w:rPr>
        <w:t> </w:t>
      </w:r>
      <w:r>
        <w:rPr>
          <w:color w:val="231F20"/>
          <w:w w:val="105"/>
        </w:rPr>
        <w:t>y</w:t>
      </w:r>
      <w:r>
        <w:rPr>
          <w:color w:val="231F20"/>
          <w:spacing w:val="-18"/>
          <w:w w:val="105"/>
        </w:rPr>
        <w:t> </w:t>
      </w:r>
      <w:r>
        <w:rPr>
          <w:color w:val="231F20"/>
          <w:w w:val="105"/>
        </w:rPr>
        <w:t>comercial</w:t>
      </w:r>
      <w:r>
        <w:rPr>
          <w:color w:val="231F20"/>
          <w:spacing w:val="-18"/>
          <w:w w:val="105"/>
        </w:rPr>
        <w:t> </w:t>
      </w:r>
      <w:r>
        <w:rPr>
          <w:color w:val="231F20"/>
          <w:w w:val="105"/>
        </w:rPr>
        <w:t>del</w:t>
      </w:r>
      <w:r>
        <w:rPr>
          <w:color w:val="231F20"/>
          <w:spacing w:val="-18"/>
          <w:w w:val="105"/>
        </w:rPr>
        <w:t> </w:t>
      </w:r>
      <w:r>
        <w:rPr>
          <w:color w:val="231F20"/>
          <w:w w:val="105"/>
        </w:rPr>
        <w:t>municipio</w:t>
      </w:r>
      <w:r>
        <w:rPr>
          <w:color w:val="231F20"/>
          <w:spacing w:val="-18"/>
          <w:w w:val="105"/>
        </w:rPr>
        <w:t> </w:t>
      </w:r>
      <w:r>
        <w:rPr>
          <w:color w:val="231F20"/>
          <w:w w:val="105"/>
        </w:rPr>
        <w:t>(cf.</w:t>
      </w:r>
      <w:r>
        <w:rPr>
          <w:color w:val="231F20"/>
          <w:spacing w:val="-23"/>
          <w:w w:val="105"/>
        </w:rPr>
        <w:t> </w:t>
      </w:r>
      <w:r>
        <w:rPr>
          <w:color w:val="231F20"/>
          <w:w w:val="105"/>
        </w:rPr>
        <w:t>Rivera,</w:t>
      </w:r>
      <w:r>
        <w:rPr>
          <w:color w:val="231F20"/>
          <w:spacing w:val="-23"/>
          <w:w w:val="105"/>
        </w:rPr>
        <w:t> </w:t>
      </w:r>
      <w:r>
        <w:rPr>
          <w:color w:val="231F20"/>
          <w:w w:val="105"/>
        </w:rPr>
        <w:t>2008</w:t>
      </w:r>
      <w:r>
        <w:rPr>
          <w:color w:val="231F20"/>
          <w:spacing w:val="-18"/>
          <w:w w:val="105"/>
        </w:rPr>
        <w:t> </w:t>
      </w:r>
      <w:r>
        <w:rPr>
          <w:color w:val="231F20"/>
          <w:w w:val="105"/>
        </w:rPr>
        <w:t>y</w:t>
      </w:r>
      <w:r>
        <w:rPr>
          <w:color w:val="231F20"/>
          <w:spacing w:val="-18"/>
          <w:w w:val="105"/>
        </w:rPr>
        <w:t> </w:t>
      </w:r>
      <w:r>
        <w:rPr>
          <w:color w:val="231F20"/>
          <w:w w:val="105"/>
        </w:rPr>
        <w:t>2012).</w:t>
      </w:r>
    </w:p>
    <w:p>
      <w:pPr>
        <w:pStyle w:val="BodyText"/>
        <w:spacing w:line="261" w:lineRule="auto" w:before="1"/>
        <w:ind w:left="1723" w:right="1829" w:firstLine="567"/>
        <w:jc w:val="both"/>
      </w:pPr>
      <w:r>
        <w:rPr>
          <w:color w:val="231F20"/>
          <w:w w:val="105"/>
        </w:rPr>
        <w:t>De</w:t>
      </w:r>
      <w:r>
        <w:rPr>
          <w:color w:val="231F20"/>
          <w:spacing w:val="-25"/>
          <w:w w:val="105"/>
        </w:rPr>
        <w:t> </w:t>
      </w:r>
      <w:r>
        <w:rPr>
          <w:color w:val="231F20"/>
          <w:w w:val="105"/>
        </w:rPr>
        <w:t>manera</w:t>
      </w:r>
      <w:r>
        <w:rPr>
          <w:color w:val="231F20"/>
          <w:spacing w:val="-25"/>
          <w:w w:val="105"/>
        </w:rPr>
        <w:t> </w:t>
      </w:r>
      <w:r>
        <w:rPr>
          <w:color w:val="231F20"/>
          <w:w w:val="105"/>
        </w:rPr>
        <w:t>simultánea</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migración</w:t>
      </w:r>
      <w:r>
        <w:rPr>
          <w:color w:val="231F20"/>
          <w:spacing w:val="-25"/>
          <w:w w:val="105"/>
        </w:rPr>
        <w:t> </w:t>
      </w:r>
      <w:r>
        <w:rPr>
          <w:color w:val="231F20"/>
          <w:w w:val="105"/>
        </w:rPr>
        <w:t>interna,</w:t>
      </w:r>
      <w:r>
        <w:rPr>
          <w:color w:val="231F20"/>
          <w:spacing w:val="-30"/>
          <w:w w:val="105"/>
        </w:rPr>
        <w:t> </w:t>
      </w:r>
      <w:r>
        <w:rPr>
          <w:color w:val="231F20"/>
          <w:w w:val="105"/>
        </w:rPr>
        <w:t>el</w:t>
      </w:r>
      <w:r>
        <w:rPr>
          <w:color w:val="231F20"/>
          <w:spacing w:val="-25"/>
          <w:w w:val="105"/>
        </w:rPr>
        <w:t> </w:t>
      </w:r>
      <w:r>
        <w:rPr>
          <w:color w:val="231F20"/>
          <w:w w:val="105"/>
        </w:rPr>
        <w:t>número</w:t>
      </w:r>
      <w:r>
        <w:rPr>
          <w:color w:val="231F20"/>
          <w:spacing w:val="-25"/>
          <w:w w:val="105"/>
        </w:rPr>
        <w:t> </w:t>
      </w:r>
      <w:r>
        <w:rPr>
          <w:color w:val="231F20"/>
          <w:w w:val="105"/>
        </w:rPr>
        <w:t>de</w:t>
      </w:r>
      <w:r>
        <w:rPr>
          <w:color w:val="231F20"/>
          <w:spacing w:val="-25"/>
          <w:w w:val="105"/>
        </w:rPr>
        <w:t> </w:t>
      </w:r>
      <w:r>
        <w:rPr>
          <w:color w:val="231F20"/>
          <w:w w:val="105"/>
        </w:rPr>
        <w:t>migran- tes a Estados Unidos que sale de Nezahualcóyotl tuvo un crecimiento sostenido por varias décadas, hasta el año 2010. La misma tendencia exhibió la población que retorna de Estados Unidos a este municipio. Sin embargo, en las últimas tres décadas</w:t>
      </w:r>
      <w:r>
        <w:rPr>
          <w:color w:val="231F20"/>
          <w:w w:val="105"/>
          <w:position w:val="7"/>
          <w:sz w:val="12"/>
        </w:rPr>
        <w:t>2 </w:t>
      </w:r>
      <w:r>
        <w:rPr>
          <w:color w:val="231F20"/>
          <w:w w:val="105"/>
        </w:rPr>
        <w:t>la población que reside en Nezahualcóyotl</w:t>
      </w:r>
      <w:r>
        <w:rPr>
          <w:color w:val="231F20"/>
          <w:spacing w:val="-12"/>
          <w:w w:val="105"/>
        </w:rPr>
        <w:t> </w:t>
      </w:r>
      <w:r>
        <w:rPr>
          <w:color w:val="231F20"/>
          <w:w w:val="105"/>
        </w:rPr>
        <w:t>ha</w:t>
      </w:r>
      <w:r>
        <w:rPr>
          <w:color w:val="231F20"/>
          <w:spacing w:val="-12"/>
          <w:w w:val="105"/>
        </w:rPr>
        <w:t> </w:t>
      </w:r>
      <w:r>
        <w:rPr>
          <w:color w:val="231F20"/>
          <w:w w:val="105"/>
        </w:rPr>
        <w:t>descendido,</w:t>
      </w:r>
      <w:r>
        <w:rPr>
          <w:color w:val="231F20"/>
          <w:spacing w:val="-16"/>
          <w:w w:val="105"/>
        </w:rPr>
        <w:t> </w:t>
      </w:r>
      <w:r>
        <w:rPr>
          <w:color w:val="231F20"/>
          <w:w w:val="105"/>
        </w:rPr>
        <w:t>como</w:t>
      </w:r>
      <w:r>
        <w:rPr>
          <w:color w:val="231F20"/>
          <w:spacing w:val="-12"/>
          <w:w w:val="105"/>
        </w:rPr>
        <w:t> </w:t>
      </w:r>
      <w:r>
        <w:rPr>
          <w:color w:val="231F20"/>
          <w:w w:val="105"/>
        </w:rPr>
        <w:t>consecuencia</w:t>
      </w:r>
      <w:r>
        <w:rPr>
          <w:color w:val="231F20"/>
          <w:spacing w:val="-12"/>
          <w:w w:val="105"/>
        </w:rPr>
        <w:t> </w:t>
      </w:r>
      <w:r>
        <w:rPr>
          <w:color w:val="231F20"/>
          <w:w w:val="105"/>
        </w:rPr>
        <w:t>del</w:t>
      </w:r>
      <w:r>
        <w:rPr>
          <w:color w:val="231F20"/>
          <w:spacing w:val="-12"/>
          <w:w w:val="105"/>
        </w:rPr>
        <w:t> </w:t>
      </w:r>
      <w:r>
        <w:rPr>
          <w:color w:val="231F20"/>
          <w:w w:val="105"/>
        </w:rPr>
        <w:t>ensanchamien- to del área metropolitana y luego de un proceso de reacomodo en la zona conurbada con el Distrito Federal –al cual se ha hecho referencia en párrafos previos. Esta movilidad y reacomodo ha implicado despla- zamientos poblacionales también de Nezahualcóyotl hacia </w:t>
      </w:r>
      <w:r>
        <w:rPr>
          <w:color w:val="231F20"/>
          <w:spacing w:val="31"/>
          <w:w w:val="105"/>
        </w:rPr>
        <w:t> </w:t>
      </w:r>
      <w:r>
        <w:rPr>
          <w:color w:val="231F20"/>
          <w:w w:val="105"/>
        </w:rPr>
        <w:t>municipios</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11680;mso-wrap-distance-left:0;mso-wrap-distance-right:0" from="86.196899pt,11.150012pt" to="199.582899pt,11.150012pt" stroked="true" strokeweight=".25pt" strokecolor="#231f20">
            <w10:wrap type="topAndBottom"/>
          </v:line>
        </w:pict>
      </w:r>
    </w:p>
    <w:p>
      <w:pPr>
        <w:spacing w:line="192" w:lineRule="exact" w:before="7"/>
        <w:ind w:left="1723" w:right="1834" w:hanging="1"/>
        <w:jc w:val="both"/>
        <w:rPr>
          <w:rFonts w:ascii="Calibri" w:hAnsi="Calibri"/>
          <w:sz w:val="16"/>
        </w:rPr>
      </w:pPr>
      <w:r>
        <w:rPr>
          <w:rFonts w:ascii="Calibri" w:hAnsi="Calibri"/>
          <w:color w:val="414042"/>
          <w:position w:val="5"/>
          <w:sz w:val="9"/>
        </w:rPr>
        <w:t>1 </w:t>
      </w:r>
      <w:r>
        <w:rPr>
          <w:rFonts w:ascii="Calibri" w:hAnsi="Calibri"/>
          <w:color w:val="414042"/>
          <w:sz w:val="16"/>
        </w:rPr>
        <w:t>El </w:t>
      </w:r>
      <w:r>
        <w:rPr>
          <w:rFonts w:ascii="Calibri" w:hAnsi="Calibri"/>
          <w:i/>
          <w:color w:val="414042"/>
          <w:sz w:val="16"/>
        </w:rPr>
        <w:t>Programa Bracero </w:t>
      </w:r>
      <w:r>
        <w:rPr>
          <w:rFonts w:ascii="Calibri" w:hAnsi="Calibri"/>
          <w:color w:val="414042"/>
          <w:sz w:val="16"/>
        </w:rPr>
        <w:t>fue un programa binacional de trabajadores huéspedes firmado entre México y Estados Unidos en 1942. El objetivo del programa fue solventar el abandono de los campos agrícolas estadounidenses como consecuencia de la Segunda Guerra Mundial. Se desarrolló en dos etapas, la pri- mera</w:t>
      </w:r>
      <w:r>
        <w:rPr>
          <w:rFonts w:ascii="Calibri" w:hAnsi="Calibri"/>
          <w:color w:val="414042"/>
          <w:spacing w:val="-4"/>
          <w:sz w:val="16"/>
        </w:rPr>
        <w:t> </w:t>
      </w:r>
      <w:r>
        <w:rPr>
          <w:rFonts w:ascii="Calibri" w:hAnsi="Calibri"/>
          <w:color w:val="414042"/>
          <w:sz w:val="16"/>
        </w:rPr>
        <w:t>de</w:t>
      </w:r>
      <w:r>
        <w:rPr>
          <w:rFonts w:ascii="Calibri" w:hAnsi="Calibri"/>
          <w:color w:val="414042"/>
          <w:spacing w:val="-4"/>
          <w:sz w:val="16"/>
        </w:rPr>
        <w:t> </w:t>
      </w:r>
      <w:r>
        <w:rPr>
          <w:rFonts w:ascii="Calibri" w:hAnsi="Calibri"/>
          <w:color w:val="414042"/>
          <w:sz w:val="16"/>
        </w:rPr>
        <w:t>1942</w:t>
      </w:r>
      <w:r>
        <w:rPr>
          <w:rFonts w:ascii="Calibri" w:hAnsi="Calibri"/>
          <w:color w:val="414042"/>
          <w:spacing w:val="-4"/>
          <w:sz w:val="16"/>
        </w:rPr>
        <w:t> </w:t>
      </w:r>
      <w:r>
        <w:rPr>
          <w:rFonts w:ascii="Calibri" w:hAnsi="Calibri"/>
          <w:color w:val="414042"/>
          <w:sz w:val="16"/>
        </w:rPr>
        <w:t>a</w:t>
      </w:r>
      <w:r>
        <w:rPr>
          <w:rFonts w:ascii="Calibri" w:hAnsi="Calibri"/>
          <w:color w:val="414042"/>
          <w:spacing w:val="-4"/>
          <w:sz w:val="16"/>
        </w:rPr>
        <w:t> </w:t>
      </w:r>
      <w:r>
        <w:rPr>
          <w:rFonts w:ascii="Calibri" w:hAnsi="Calibri"/>
          <w:color w:val="414042"/>
          <w:sz w:val="16"/>
        </w:rPr>
        <w:t>1947</w:t>
      </w:r>
      <w:r>
        <w:rPr>
          <w:rFonts w:ascii="Calibri" w:hAnsi="Calibri"/>
          <w:color w:val="414042"/>
          <w:spacing w:val="-5"/>
          <w:sz w:val="16"/>
        </w:rPr>
        <w:t> </w:t>
      </w:r>
      <w:r>
        <w:rPr>
          <w:rFonts w:ascii="Calibri" w:hAnsi="Calibri"/>
          <w:color w:val="414042"/>
          <w:sz w:val="16"/>
        </w:rPr>
        <w:t>y</w:t>
      </w:r>
      <w:r>
        <w:rPr>
          <w:rFonts w:ascii="Calibri" w:hAnsi="Calibri"/>
          <w:color w:val="414042"/>
          <w:spacing w:val="-4"/>
          <w:sz w:val="16"/>
        </w:rPr>
        <w:t> </w:t>
      </w:r>
      <w:r>
        <w:rPr>
          <w:rFonts w:ascii="Calibri" w:hAnsi="Calibri"/>
          <w:color w:val="414042"/>
          <w:sz w:val="16"/>
        </w:rPr>
        <w:t>la</w:t>
      </w:r>
      <w:r>
        <w:rPr>
          <w:rFonts w:ascii="Calibri" w:hAnsi="Calibri"/>
          <w:color w:val="414042"/>
          <w:spacing w:val="-4"/>
          <w:sz w:val="16"/>
        </w:rPr>
        <w:t> </w:t>
      </w:r>
      <w:r>
        <w:rPr>
          <w:rFonts w:ascii="Calibri" w:hAnsi="Calibri"/>
          <w:color w:val="414042"/>
          <w:sz w:val="16"/>
        </w:rPr>
        <w:t>segunda</w:t>
      </w:r>
      <w:r>
        <w:rPr>
          <w:rFonts w:ascii="Calibri" w:hAnsi="Calibri"/>
          <w:color w:val="414042"/>
          <w:spacing w:val="-4"/>
          <w:sz w:val="16"/>
        </w:rPr>
        <w:t> </w:t>
      </w:r>
      <w:r>
        <w:rPr>
          <w:rFonts w:ascii="Calibri" w:hAnsi="Calibri"/>
          <w:color w:val="414042"/>
          <w:sz w:val="16"/>
        </w:rPr>
        <w:t>etapa</w:t>
      </w:r>
      <w:r>
        <w:rPr>
          <w:rFonts w:ascii="Calibri" w:hAnsi="Calibri"/>
          <w:color w:val="414042"/>
          <w:spacing w:val="-4"/>
          <w:sz w:val="16"/>
        </w:rPr>
        <w:t> </w:t>
      </w:r>
      <w:r>
        <w:rPr>
          <w:rFonts w:ascii="Calibri" w:hAnsi="Calibri"/>
          <w:color w:val="414042"/>
          <w:sz w:val="16"/>
        </w:rPr>
        <w:t>de</w:t>
      </w:r>
      <w:r>
        <w:rPr>
          <w:rFonts w:ascii="Calibri" w:hAnsi="Calibri"/>
          <w:color w:val="414042"/>
          <w:spacing w:val="-4"/>
          <w:sz w:val="16"/>
        </w:rPr>
        <w:t> </w:t>
      </w:r>
      <w:r>
        <w:rPr>
          <w:rFonts w:ascii="Calibri" w:hAnsi="Calibri"/>
          <w:color w:val="414042"/>
          <w:sz w:val="16"/>
        </w:rPr>
        <w:t>1951</w:t>
      </w:r>
      <w:r>
        <w:rPr>
          <w:rFonts w:ascii="Calibri" w:hAnsi="Calibri"/>
          <w:color w:val="414042"/>
          <w:spacing w:val="-4"/>
          <w:sz w:val="16"/>
        </w:rPr>
        <w:t> </w:t>
      </w:r>
      <w:r>
        <w:rPr>
          <w:rFonts w:ascii="Calibri" w:hAnsi="Calibri"/>
          <w:color w:val="414042"/>
          <w:sz w:val="16"/>
        </w:rPr>
        <w:t>a</w:t>
      </w:r>
      <w:r>
        <w:rPr>
          <w:rFonts w:ascii="Calibri" w:hAnsi="Calibri"/>
          <w:color w:val="414042"/>
          <w:spacing w:val="-4"/>
          <w:sz w:val="16"/>
        </w:rPr>
        <w:t> </w:t>
      </w:r>
      <w:r>
        <w:rPr>
          <w:rFonts w:ascii="Calibri" w:hAnsi="Calibri"/>
          <w:color w:val="414042"/>
          <w:sz w:val="16"/>
        </w:rPr>
        <w:t>1964.</w:t>
      </w:r>
      <w:r>
        <w:rPr>
          <w:rFonts w:ascii="Calibri" w:hAnsi="Calibri"/>
          <w:color w:val="414042"/>
          <w:spacing w:val="-4"/>
          <w:sz w:val="16"/>
        </w:rPr>
        <w:t> </w:t>
      </w:r>
      <w:r>
        <w:rPr>
          <w:rFonts w:ascii="Calibri" w:hAnsi="Calibri"/>
          <w:color w:val="414042"/>
          <w:sz w:val="16"/>
        </w:rPr>
        <w:t>Durante</w:t>
      </w:r>
      <w:r>
        <w:rPr>
          <w:rFonts w:ascii="Calibri" w:hAnsi="Calibri"/>
          <w:color w:val="414042"/>
          <w:spacing w:val="-4"/>
          <w:sz w:val="16"/>
        </w:rPr>
        <w:t> </w:t>
      </w:r>
      <w:r>
        <w:rPr>
          <w:rFonts w:ascii="Calibri" w:hAnsi="Calibri"/>
          <w:color w:val="414042"/>
          <w:sz w:val="16"/>
        </w:rPr>
        <w:t>el</w:t>
      </w:r>
      <w:r>
        <w:rPr>
          <w:rFonts w:ascii="Calibri" w:hAnsi="Calibri"/>
          <w:color w:val="414042"/>
          <w:spacing w:val="-4"/>
          <w:sz w:val="16"/>
        </w:rPr>
        <w:t> </w:t>
      </w:r>
      <w:r>
        <w:rPr>
          <w:rFonts w:ascii="Calibri" w:hAnsi="Calibri"/>
          <w:color w:val="414042"/>
          <w:sz w:val="16"/>
        </w:rPr>
        <w:t>periodo</w:t>
      </w:r>
      <w:r>
        <w:rPr>
          <w:rFonts w:ascii="Calibri" w:hAnsi="Calibri"/>
          <w:color w:val="414042"/>
          <w:spacing w:val="-4"/>
          <w:sz w:val="16"/>
        </w:rPr>
        <w:t> </w:t>
      </w:r>
      <w:r>
        <w:rPr>
          <w:rFonts w:ascii="Calibri" w:hAnsi="Calibri"/>
          <w:color w:val="414042"/>
          <w:sz w:val="16"/>
        </w:rPr>
        <w:t>de</w:t>
      </w:r>
      <w:r>
        <w:rPr>
          <w:rFonts w:ascii="Calibri" w:hAnsi="Calibri"/>
          <w:color w:val="414042"/>
          <w:spacing w:val="-4"/>
          <w:sz w:val="16"/>
        </w:rPr>
        <w:t> </w:t>
      </w:r>
      <w:r>
        <w:rPr>
          <w:rFonts w:ascii="Calibri" w:hAnsi="Calibri"/>
          <w:color w:val="414042"/>
          <w:sz w:val="16"/>
        </w:rPr>
        <w:t>la</w:t>
      </w:r>
      <w:r>
        <w:rPr>
          <w:rFonts w:ascii="Calibri" w:hAnsi="Calibri"/>
          <w:color w:val="414042"/>
          <w:spacing w:val="-4"/>
          <w:sz w:val="16"/>
        </w:rPr>
        <w:t> </w:t>
      </w:r>
      <w:r>
        <w:rPr>
          <w:rFonts w:ascii="Calibri" w:hAnsi="Calibri"/>
          <w:color w:val="414042"/>
          <w:sz w:val="16"/>
        </w:rPr>
        <w:t>Segunda</w:t>
      </w:r>
      <w:r>
        <w:rPr>
          <w:rFonts w:ascii="Calibri" w:hAnsi="Calibri"/>
          <w:color w:val="414042"/>
          <w:spacing w:val="-4"/>
          <w:sz w:val="16"/>
        </w:rPr>
        <w:t> </w:t>
      </w:r>
      <w:r>
        <w:rPr>
          <w:rFonts w:ascii="Calibri" w:hAnsi="Calibri"/>
          <w:color w:val="414042"/>
          <w:sz w:val="16"/>
        </w:rPr>
        <w:t>Guerra</w:t>
      </w:r>
      <w:r>
        <w:rPr>
          <w:rFonts w:ascii="Calibri" w:hAnsi="Calibri"/>
          <w:color w:val="414042"/>
          <w:spacing w:val="-4"/>
          <w:sz w:val="16"/>
        </w:rPr>
        <w:t> </w:t>
      </w:r>
      <w:r>
        <w:rPr>
          <w:rFonts w:ascii="Calibri" w:hAnsi="Calibri"/>
          <w:color w:val="414042"/>
          <w:sz w:val="16"/>
        </w:rPr>
        <w:t>Mundial se permitió que los trabajadores contratados se emplearan en la industria ferrocarrilera, pero solamente en ese periodo excepcional, su contrato estaba restringido exclusivamente al trabajo agrícola, funda- mentalmente en la región suroeste de Estados Unidos. Al principio se concentró fundamentalmente en  los campos de California, a partir de la década de los cincuenta también se extendió de manera intensiva hacia el estado de </w:t>
      </w:r>
      <w:r>
        <w:rPr>
          <w:rFonts w:ascii="Calibri" w:hAnsi="Calibri"/>
          <w:color w:val="414042"/>
          <w:spacing w:val="-3"/>
          <w:sz w:val="16"/>
        </w:rPr>
        <w:t>Texas (cf. </w:t>
      </w:r>
      <w:r>
        <w:rPr>
          <w:rFonts w:ascii="Calibri" w:hAnsi="Calibri"/>
          <w:color w:val="414042"/>
          <w:sz w:val="16"/>
        </w:rPr>
        <w:t>Gonzáles, </w:t>
      </w:r>
      <w:r>
        <w:rPr>
          <w:rFonts w:ascii="Calibri" w:hAnsi="Calibri"/>
          <w:color w:val="414042"/>
          <w:spacing w:val="30"/>
          <w:sz w:val="16"/>
        </w:rPr>
        <w:t> </w:t>
      </w:r>
      <w:r>
        <w:rPr>
          <w:rFonts w:ascii="Calibri" w:hAnsi="Calibri"/>
          <w:color w:val="414042"/>
          <w:sz w:val="16"/>
        </w:rPr>
        <w:t>1999).</w:t>
      </w:r>
    </w:p>
    <w:p>
      <w:pPr>
        <w:spacing w:line="192" w:lineRule="exact" w:before="0"/>
        <w:ind w:left="1723" w:right="1835" w:firstLine="0"/>
        <w:jc w:val="both"/>
        <w:rPr>
          <w:rFonts w:ascii="Calibri" w:hAnsi="Calibri"/>
          <w:sz w:val="16"/>
        </w:rPr>
      </w:pPr>
      <w:r>
        <w:rPr>
          <w:rFonts w:ascii="Calibri" w:hAnsi="Calibri"/>
          <w:color w:val="414042"/>
          <w:w w:val="105"/>
          <w:position w:val="5"/>
          <w:sz w:val="9"/>
        </w:rPr>
        <w:t>2</w:t>
      </w:r>
      <w:r>
        <w:rPr>
          <w:rFonts w:ascii="Calibri" w:hAnsi="Calibri"/>
          <w:color w:val="414042"/>
          <w:spacing w:val="-5"/>
          <w:w w:val="105"/>
          <w:position w:val="5"/>
          <w:sz w:val="9"/>
        </w:rPr>
        <w:t> </w:t>
      </w:r>
      <w:r>
        <w:rPr>
          <w:rFonts w:ascii="Calibri" w:hAnsi="Calibri"/>
          <w:color w:val="414042"/>
          <w:w w:val="105"/>
          <w:sz w:val="16"/>
        </w:rPr>
        <w:t>En</w:t>
      </w:r>
      <w:r>
        <w:rPr>
          <w:rFonts w:ascii="Calibri" w:hAnsi="Calibri"/>
          <w:color w:val="414042"/>
          <w:spacing w:val="-21"/>
          <w:w w:val="105"/>
          <w:sz w:val="16"/>
        </w:rPr>
        <w:t> </w:t>
      </w:r>
      <w:r>
        <w:rPr>
          <w:rFonts w:ascii="Calibri" w:hAnsi="Calibri"/>
          <w:color w:val="414042"/>
          <w:w w:val="105"/>
          <w:sz w:val="16"/>
        </w:rPr>
        <w:t>el</w:t>
      </w:r>
      <w:r>
        <w:rPr>
          <w:rFonts w:ascii="Calibri" w:hAnsi="Calibri"/>
          <w:color w:val="414042"/>
          <w:spacing w:val="-21"/>
          <w:w w:val="105"/>
          <w:sz w:val="16"/>
        </w:rPr>
        <w:t> </w:t>
      </w:r>
      <w:r>
        <w:rPr>
          <w:rFonts w:ascii="Calibri" w:hAnsi="Calibri"/>
          <w:color w:val="414042"/>
          <w:w w:val="105"/>
          <w:sz w:val="16"/>
        </w:rPr>
        <w:t>año</w:t>
      </w:r>
      <w:r>
        <w:rPr>
          <w:rFonts w:ascii="Calibri" w:hAnsi="Calibri"/>
          <w:color w:val="414042"/>
          <w:spacing w:val="-21"/>
          <w:w w:val="105"/>
          <w:sz w:val="16"/>
        </w:rPr>
        <w:t> </w:t>
      </w:r>
      <w:r>
        <w:rPr>
          <w:rFonts w:ascii="Calibri" w:hAnsi="Calibri"/>
          <w:color w:val="414042"/>
          <w:w w:val="105"/>
          <w:sz w:val="16"/>
        </w:rPr>
        <w:t>2010</w:t>
      </w:r>
      <w:r>
        <w:rPr>
          <w:rFonts w:ascii="Calibri" w:hAnsi="Calibri"/>
          <w:color w:val="414042"/>
          <w:spacing w:val="-21"/>
          <w:w w:val="105"/>
          <w:sz w:val="16"/>
        </w:rPr>
        <w:t> </w:t>
      </w:r>
      <w:r>
        <w:rPr>
          <w:rFonts w:ascii="Calibri" w:hAnsi="Calibri"/>
          <w:color w:val="414042"/>
          <w:w w:val="105"/>
          <w:sz w:val="16"/>
        </w:rPr>
        <w:t>el</w:t>
      </w:r>
      <w:r>
        <w:rPr>
          <w:rFonts w:ascii="Calibri" w:hAnsi="Calibri"/>
          <w:color w:val="414042"/>
          <w:spacing w:val="-21"/>
          <w:w w:val="105"/>
          <w:sz w:val="16"/>
        </w:rPr>
        <w:t> </w:t>
      </w:r>
      <w:r>
        <w:rPr>
          <w:rFonts w:ascii="Calibri" w:hAnsi="Calibri"/>
          <w:color w:val="414042"/>
          <w:w w:val="105"/>
          <w:sz w:val="16"/>
        </w:rPr>
        <w:t>municipio</w:t>
      </w:r>
      <w:r>
        <w:rPr>
          <w:rFonts w:ascii="Calibri" w:hAnsi="Calibri"/>
          <w:color w:val="414042"/>
          <w:spacing w:val="-21"/>
          <w:w w:val="105"/>
          <w:sz w:val="16"/>
        </w:rPr>
        <w:t> </w:t>
      </w:r>
      <w:r>
        <w:rPr>
          <w:rFonts w:ascii="Calibri" w:hAnsi="Calibri"/>
          <w:color w:val="414042"/>
          <w:w w:val="105"/>
          <w:sz w:val="16"/>
        </w:rPr>
        <w:t>de</w:t>
      </w:r>
      <w:r>
        <w:rPr>
          <w:rFonts w:ascii="Calibri" w:hAnsi="Calibri"/>
          <w:color w:val="414042"/>
          <w:spacing w:val="-21"/>
          <w:w w:val="105"/>
          <w:sz w:val="16"/>
        </w:rPr>
        <w:t> </w:t>
      </w:r>
      <w:r>
        <w:rPr>
          <w:rFonts w:ascii="Calibri" w:hAnsi="Calibri"/>
          <w:color w:val="414042"/>
          <w:w w:val="105"/>
          <w:sz w:val="16"/>
        </w:rPr>
        <w:t>Nezahualcóyotl</w:t>
      </w:r>
      <w:r>
        <w:rPr>
          <w:rFonts w:ascii="Calibri" w:hAnsi="Calibri"/>
          <w:color w:val="414042"/>
          <w:spacing w:val="-4"/>
          <w:w w:val="105"/>
          <w:sz w:val="16"/>
        </w:rPr>
        <w:t> </w:t>
      </w:r>
      <w:r>
        <w:rPr>
          <w:rFonts w:ascii="Calibri" w:hAnsi="Calibri"/>
          <w:color w:val="414042"/>
          <w:w w:val="105"/>
          <w:sz w:val="16"/>
        </w:rPr>
        <w:t>registró</w:t>
      </w:r>
      <w:r>
        <w:rPr>
          <w:rFonts w:ascii="Calibri" w:hAnsi="Calibri"/>
          <w:color w:val="414042"/>
          <w:spacing w:val="-21"/>
          <w:w w:val="105"/>
          <w:sz w:val="16"/>
        </w:rPr>
        <w:t> </w:t>
      </w:r>
      <w:r>
        <w:rPr>
          <w:rFonts w:ascii="Calibri" w:hAnsi="Calibri"/>
          <w:color w:val="414042"/>
          <w:w w:val="105"/>
          <w:sz w:val="16"/>
        </w:rPr>
        <w:t>una</w:t>
      </w:r>
      <w:r>
        <w:rPr>
          <w:rFonts w:ascii="Calibri" w:hAnsi="Calibri"/>
          <w:color w:val="414042"/>
          <w:spacing w:val="-21"/>
          <w:w w:val="105"/>
          <w:sz w:val="16"/>
        </w:rPr>
        <w:t> </w:t>
      </w:r>
      <w:r>
        <w:rPr>
          <w:rFonts w:ascii="Calibri" w:hAnsi="Calibri"/>
          <w:color w:val="414042"/>
          <w:w w:val="105"/>
          <w:sz w:val="16"/>
        </w:rPr>
        <w:t>población</w:t>
      </w:r>
      <w:r>
        <w:rPr>
          <w:rFonts w:ascii="Calibri" w:hAnsi="Calibri"/>
          <w:color w:val="414042"/>
          <w:spacing w:val="-21"/>
          <w:w w:val="105"/>
          <w:sz w:val="16"/>
        </w:rPr>
        <w:t> </w:t>
      </w:r>
      <w:r>
        <w:rPr>
          <w:rFonts w:ascii="Calibri" w:hAnsi="Calibri"/>
          <w:color w:val="414042"/>
          <w:w w:val="105"/>
          <w:sz w:val="16"/>
        </w:rPr>
        <w:t>total</w:t>
      </w:r>
      <w:r>
        <w:rPr>
          <w:rFonts w:ascii="Calibri" w:hAnsi="Calibri"/>
          <w:color w:val="414042"/>
          <w:spacing w:val="-21"/>
          <w:w w:val="105"/>
          <w:sz w:val="16"/>
        </w:rPr>
        <w:t> </w:t>
      </w:r>
      <w:r>
        <w:rPr>
          <w:rFonts w:ascii="Calibri" w:hAnsi="Calibri"/>
          <w:color w:val="414042"/>
          <w:w w:val="105"/>
          <w:sz w:val="16"/>
        </w:rPr>
        <w:t>de</w:t>
      </w:r>
      <w:r>
        <w:rPr>
          <w:rFonts w:ascii="Calibri" w:hAnsi="Calibri"/>
          <w:color w:val="414042"/>
          <w:spacing w:val="-21"/>
          <w:w w:val="105"/>
          <w:sz w:val="16"/>
        </w:rPr>
        <w:t> </w:t>
      </w:r>
      <w:r>
        <w:rPr>
          <w:rFonts w:ascii="Calibri" w:hAnsi="Calibri"/>
          <w:color w:val="414042"/>
          <w:w w:val="105"/>
          <w:sz w:val="16"/>
        </w:rPr>
        <w:t>1,107,931</w:t>
      </w:r>
      <w:r>
        <w:rPr>
          <w:rFonts w:ascii="Calibri" w:hAnsi="Calibri"/>
          <w:color w:val="414042"/>
          <w:spacing w:val="-21"/>
          <w:w w:val="105"/>
          <w:sz w:val="16"/>
        </w:rPr>
        <w:t> </w:t>
      </w:r>
      <w:r>
        <w:rPr>
          <w:rFonts w:ascii="Calibri" w:hAnsi="Calibri"/>
          <w:color w:val="414042"/>
          <w:w w:val="105"/>
          <w:sz w:val="16"/>
        </w:rPr>
        <w:t>habitantes,</w:t>
      </w:r>
      <w:r>
        <w:rPr>
          <w:rFonts w:ascii="Calibri" w:hAnsi="Calibri"/>
          <w:color w:val="414042"/>
          <w:spacing w:val="-22"/>
          <w:w w:val="105"/>
          <w:sz w:val="16"/>
        </w:rPr>
        <w:t> </w:t>
      </w:r>
      <w:r>
        <w:rPr>
          <w:rFonts w:ascii="Calibri" w:hAnsi="Calibri"/>
          <w:color w:val="414042"/>
          <w:w w:val="105"/>
          <w:sz w:val="16"/>
        </w:rPr>
        <w:t>y</w:t>
      </w:r>
      <w:r>
        <w:rPr>
          <w:rFonts w:ascii="Calibri" w:hAnsi="Calibri"/>
          <w:color w:val="414042"/>
          <w:spacing w:val="-21"/>
          <w:w w:val="105"/>
          <w:sz w:val="16"/>
        </w:rPr>
        <w:t> </w:t>
      </w:r>
      <w:r>
        <w:rPr>
          <w:rFonts w:ascii="Calibri" w:hAnsi="Calibri"/>
          <w:color w:val="414042"/>
          <w:w w:val="105"/>
          <w:sz w:val="16"/>
        </w:rPr>
        <w:t>en el</w:t>
      </w:r>
      <w:r>
        <w:rPr>
          <w:rFonts w:ascii="Calibri" w:hAnsi="Calibri"/>
          <w:color w:val="414042"/>
          <w:spacing w:val="-24"/>
          <w:w w:val="105"/>
          <w:sz w:val="16"/>
        </w:rPr>
        <w:t> </w:t>
      </w:r>
      <w:r>
        <w:rPr>
          <w:rFonts w:ascii="Calibri" w:hAnsi="Calibri"/>
          <w:color w:val="414042"/>
          <w:w w:val="105"/>
          <w:sz w:val="16"/>
        </w:rPr>
        <w:t>año</w:t>
      </w:r>
      <w:r>
        <w:rPr>
          <w:rFonts w:ascii="Calibri" w:hAnsi="Calibri"/>
          <w:color w:val="414042"/>
          <w:spacing w:val="-24"/>
          <w:w w:val="105"/>
          <w:sz w:val="16"/>
        </w:rPr>
        <w:t> </w:t>
      </w:r>
      <w:r>
        <w:rPr>
          <w:rFonts w:ascii="Calibri" w:hAnsi="Calibri"/>
          <w:color w:val="414042"/>
          <w:w w:val="105"/>
          <w:sz w:val="16"/>
        </w:rPr>
        <w:t>2000</w:t>
      </w:r>
      <w:r>
        <w:rPr>
          <w:rFonts w:ascii="Calibri" w:hAnsi="Calibri"/>
          <w:color w:val="414042"/>
          <w:spacing w:val="-24"/>
          <w:w w:val="105"/>
          <w:sz w:val="16"/>
        </w:rPr>
        <w:t> </w:t>
      </w:r>
      <w:r>
        <w:rPr>
          <w:rFonts w:ascii="Calibri" w:hAnsi="Calibri"/>
          <w:color w:val="414042"/>
          <w:w w:val="105"/>
          <w:sz w:val="16"/>
        </w:rPr>
        <w:t>había</w:t>
      </w:r>
      <w:r>
        <w:rPr>
          <w:rFonts w:ascii="Calibri" w:hAnsi="Calibri"/>
          <w:color w:val="414042"/>
          <w:spacing w:val="-24"/>
          <w:w w:val="105"/>
          <w:sz w:val="16"/>
        </w:rPr>
        <w:t> </w:t>
      </w:r>
      <w:r>
        <w:rPr>
          <w:rFonts w:ascii="Calibri" w:hAnsi="Calibri"/>
          <w:color w:val="414042"/>
          <w:w w:val="105"/>
          <w:sz w:val="16"/>
        </w:rPr>
        <w:t>registrado</w:t>
      </w:r>
      <w:r>
        <w:rPr>
          <w:rFonts w:ascii="Calibri" w:hAnsi="Calibri"/>
          <w:color w:val="414042"/>
          <w:spacing w:val="-24"/>
          <w:w w:val="105"/>
          <w:sz w:val="16"/>
        </w:rPr>
        <w:t> </w:t>
      </w:r>
      <w:r>
        <w:rPr>
          <w:rFonts w:ascii="Calibri" w:hAnsi="Calibri"/>
          <w:color w:val="414042"/>
          <w:w w:val="105"/>
          <w:sz w:val="16"/>
        </w:rPr>
        <w:t>1,225,972</w:t>
      </w:r>
      <w:r>
        <w:rPr>
          <w:rFonts w:ascii="Calibri" w:hAnsi="Calibri"/>
          <w:color w:val="414042"/>
          <w:spacing w:val="-24"/>
          <w:w w:val="105"/>
          <w:sz w:val="16"/>
        </w:rPr>
        <w:t> </w:t>
      </w:r>
      <w:r>
        <w:rPr>
          <w:rFonts w:ascii="Calibri" w:hAnsi="Calibri"/>
          <w:color w:val="414042"/>
          <w:w w:val="105"/>
          <w:sz w:val="16"/>
        </w:rPr>
        <w:t>habitantes,</w:t>
      </w:r>
      <w:r>
        <w:rPr>
          <w:rFonts w:ascii="Calibri" w:hAnsi="Calibri"/>
          <w:color w:val="414042"/>
          <w:spacing w:val="-24"/>
          <w:w w:val="105"/>
          <w:sz w:val="16"/>
        </w:rPr>
        <w:t> </w:t>
      </w:r>
      <w:r>
        <w:rPr>
          <w:rFonts w:ascii="Calibri" w:hAnsi="Calibri"/>
          <w:color w:val="414042"/>
          <w:w w:val="105"/>
          <w:sz w:val="16"/>
        </w:rPr>
        <w:t>es</w:t>
      </w:r>
      <w:r>
        <w:rPr>
          <w:rFonts w:ascii="Calibri" w:hAnsi="Calibri"/>
          <w:color w:val="414042"/>
          <w:spacing w:val="-24"/>
          <w:w w:val="105"/>
          <w:sz w:val="16"/>
        </w:rPr>
        <w:t> </w:t>
      </w:r>
      <w:r>
        <w:rPr>
          <w:rFonts w:ascii="Calibri" w:hAnsi="Calibri"/>
          <w:color w:val="414042"/>
          <w:w w:val="105"/>
          <w:sz w:val="16"/>
        </w:rPr>
        <w:t>decir,</w:t>
      </w:r>
      <w:r>
        <w:rPr>
          <w:rFonts w:ascii="Calibri" w:hAnsi="Calibri"/>
          <w:color w:val="414042"/>
          <w:spacing w:val="-24"/>
          <w:w w:val="105"/>
          <w:sz w:val="16"/>
        </w:rPr>
        <w:t> </w:t>
      </w:r>
      <w:r>
        <w:rPr>
          <w:rFonts w:ascii="Calibri" w:hAnsi="Calibri"/>
          <w:color w:val="414042"/>
          <w:w w:val="105"/>
          <w:sz w:val="16"/>
        </w:rPr>
        <w:t>tuvo</w:t>
      </w:r>
      <w:r>
        <w:rPr>
          <w:rFonts w:ascii="Calibri" w:hAnsi="Calibri"/>
          <w:color w:val="414042"/>
          <w:spacing w:val="-24"/>
          <w:w w:val="105"/>
          <w:sz w:val="16"/>
        </w:rPr>
        <w:t> </w:t>
      </w:r>
      <w:r>
        <w:rPr>
          <w:rFonts w:ascii="Calibri" w:hAnsi="Calibri"/>
          <w:color w:val="414042"/>
          <w:w w:val="105"/>
          <w:sz w:val="16"/>
        </w:rPr>
        <w:t>un</w:t>
      </w:r>
      <w:r>
        <w:rPr>
          <w:rFonts w:ascii="Calibri" w:hAnsi="Calibri"/>
          <w:color w:val="414042"/>
          <w:spacing w:val="-24"/>
          <w:w w:val="105"/>
          <w:sz w:val="16"/>
        </w:rPr>
        <w:t> </w:t>
      </w:r>
      <w:r>
        <w:rPr>
          <w:rFonts w:ascii="Calibri" w:hAnsi="Calibri"/>
          <w:color w:val="414042"/>
          <w:w w:val="105"/>
          <w:sz w:val="16"/>
        </w:rPr>
        <w:t>decremento</w:t>
      </w:r>
      <w:r>
        <w:rPr>
          <w:rFonts w:ascii="Calibri" w:hAnsi="Calibri"/>
          <w:color w:val="414042"/>
          <w:spacing w:val="-24"/>
          <w:w w:val="105"/>
          <w:sz w:val="16"/>
        </w:rPr>
        <w:t> </w:t>
      </w:r>
      <w:r>
        <w:rPr>
          <w:rFonts w:ascii="Calibri" w:hAnsi="Calibri"/>
          <w:color w:val="414042"/>
          <w:w w:val="105"/>
          <w:sz w:val="16"/>
        </w:rPr>
        <w:t>de</w:t>
      </w:r>
      <w:r>
        <w:rPr>
          <w:rFonts w:ascii="Calibri" w:hAnsi="Calibri"/>
          <w:color w:val="414042"/>
          <w:spacing w:val="-24"/>
          <w:w w:val="105"/>
          <w:sz w:val="16"/>
        </w:rPr>
        <w:t> </w:t>
      </w:r>
      <w:r>
        <w:rPr>
          <w:rFonts w:ascii="Calibri" w:hAnsi="Calibri"/>
          <w:color w:val="414042"/>
          <w:w w:val="105"/>
          <w:sz w:val="16"/>
        </w:rPr>
        <w:t>nueve</w:t>
      </w:r>
      <w:r>
        <w:rPr>
          <w:rFonts w:ascii="Calibri" w:hAnsi="Calibri"/>
          <w:color w:val="414042"/>
          <w:spacing w:val="-24"/>
          <w:w w:val="105"/>
          <w:sz w:val="16"/>
        </w:rPr>
        <w:t> </w:t>
      </w:r>
      <w:r>
        <w:rPr>
          <w:rFonts w:ascii="Calibri" w:hAnsi="Calibri"/>
          <w:color w:val="414042"/>
          <w:w w:val="105"/>
          <w:sz w:val="16"/>
        </w:rPr>
        <w:t>puntos</w:t>
      </w:r>
      <w:r>
        <w:rPr>
          <w:rFonts w:ascii="Calibri" w:hAnsi="Calibri"/>
          <w:color w:val="414042"/>
          <w:spacing w:val="-24"/>
          <w:w w:val="105"/>
          <w:sz w:val="16"/>
        </w:rPr>
        <w:t> </w:t>
      </w:r>
      <w:r>
        <w:rPr>
          <w:rFonts w:ascii="Calibri" w:hAnsi="Calibri"/>
          <w:color w:val="414042"/>
          <w:w w:val="105"/>
          <w:sz w:val="16"/>
        </w:rPr>
        <w:t>porcen- tuales</w:t>
      </w:r>
      <w:r>
        <w:rPr>
          <w:rFonts w:ascii="Calibri" w:hAnsi="Calibri"/>
          <w:color w:val="414042"/>
          <w:spacing w:val="-12"/>
          <w:w w:val="105"/>
          <w:sz w:val="16"/>
        </w:rPr>
        <w:t> </w:t>
      </w:r>
      <w:r>
        <w:rPr>
          <w:rFonts w:ascii="Calibri" w:hAnsi="Calibri"/>
          <w:color w:val="414042"/>
          <w:w w:val="105"/>
          <w:sz w:val="16"/>
        </w:rPr>
        <w:t>en</w:t>
      </w:r>
      <w:r>
        <w:rPr>
          <w:rFonts w:ascii="Calibri" w:hAnsi="Calibri"/>
          <w:color w:val="414042"/>
          <w:spacing w:val="-12"/>
          <w:w w:val="105"/>
          <w:sz w:val="16"/>
        </w:rPr>
        <w:t> </w:t>
      </w:r>
      <w:r>
        <w:rPr>
          <w:rFonts w:ascii="Calibri" w:hAnsi="Calibri"/>
          <w:color w:val="414042"/>
          <w:w w:val="105"/>
          <w:sz w:val="16"/>
        </w:rPr>
        <w:t>una</w:t>
      </w:r>
      <w:r>
        <w:rPr>
          <w:rFonts w:ascii="Calibri" w:hAnsi="Calibri"/>
          <w:color w:val="414042"/>
          <w:spacing w:val="-12"/>
          <w:w w:val="105"/>
          <w:sz w:val="16"/>
        </w:rPr>
        <w:t> </w:t>
      </w:r>
      <w:r>
        <w:rPr>
          <w:rFonts w:ascii="Calibri" w:hAnsi="Calibri"/>
          <w:color w:val="414042"/>
          <w:w w:val="105"/>
          <w:sz w:val="16"/>
        </w:rPr>
        <w:t>década</w:t>
      </w:r>
      <w:r>
        <w:rPr>
          <w:rFonts w:ascii="Calibri" w:hAnsi="Calibri"/>
          <w:color w:val="414042"/>
          <w:spacing w:val="-12"/>
          <w:w w:val="105"/>
          <w:sz w:val="16"/>
        </w:rPr>
        <w:t> </w:t>
      </w:r>
      <w:r>
        <w:rPr>
          <w:rFonts w:ascii="Calibri" w:hAnsi="Calibri"/>
          <w:color w:val="414042"/>
          <w:w w:val="105"/>
          <w:sz w:val="16"/>
        </w:rPr>
        <w:t>(</w:t>
      </w:r>
      <w:r>
        <w:rPr>
          <w:rFonts w:ascii="Calibri" w:hAnsi="Calibri"/>
          <w:color w:val="414042"/>
          <w:w w:val="105"/>
          <w:sz w:val="13"/>
        </w:rPr>
        <w:t>INEGI</w:t>
      </w:r>
      <w:r>
        <w:rPr>
          <w:rFonts w:ascii="Calibri" w:hAnsi="Calibri"/>
          <w:color w:val="414042"/>
          <w:w w:val="105"/>
          <w:sz w:val="16"/>
        </w:rPr>
        <w:t>,</w:t>
      </w:r>
      <w:r>
        <w:rPr>
          <w:rFonts w:ascii="Calibri" w:hAnsi="Calibri"/>
          <w:color w:val="414042"/>
          <w:spacing w:val="-12"/>
          <w:w w:val="105"/>
          <w:sz w:val="16"/>
        </w:rPr>
        <w:t> </w:t>
      </w:r>
      <w:r>
        <w:rPr>
          <w:rFonts w:ascii="Calibri" w:hAnsi="Calibri"/>
          <w:color w:val="414042"/>
          <w:w w:val="105"/>
          <w:sz w:val="16"/>
        </w:rPr>
        <w:t>2000</w:t>
      </w:r>
      <w:r>
        <w:rPr>
          <w:rFonts w:ascii="Calibri" w:hAnsi="Calibri"/>
          <w:color w:val="414042"/>
          <w:spacing w:val="-14"/>
          <w:w w:val="105"/>
          <w:sz w:val="16"/>
        </w:rPr>
        <w:t> </w:t>
      </w:r>
      <w:r>
        <w:rPr>
          <w:rFonts w:ascii="Calibri" w:hAnsi="Calibri"/>
          <w:color w:val="414042"/>
          <w:w w:val="105"/>
          <w:sz w:val="16"/>
        </w:rPr>
        <w:t>y</w:t>
      </w:r>
      <w:r>
        <w:rPr>
          <w:rFonts w:ascii="Calibri" w:hAnsi="Calibri"/>
          <w:color w:val="414042"/>
          <w:spacing w:val="-12"/>
          <w:w w:val="105"/>
          <w:sz w:val="16"/>
        </w:rPr>
        <w:t> </w:t>
      </w:r>
      <w:r>
        <w:rPr>
          <w:rFonts w:ascii="Calibri" w:hAnsi="Calibri"/>
          <w:color w:val="414042"/>
          <w:w w:val="105"/>
          <w:sz w:val="16"/>
        </w:rPr>
        <w:t>2010).</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8480" from="131.551193pt,3.753715pt" to="131.551193pt,39.556114pt" stroked="true" strokeweight=".35pt" strokecolor="#231f20">
            <w10:wrap type="none"/>
          </v:line>
        </w:pict>
      </w:r>
      <w:r>
        <w:rPr/>
        <w:pict>
          <v:line style="position:absolute;mso-position-horizontal-relative:page;mso-position-vertical-relative:paragraph;z-index:-478408" from="15pt,39.555916pt" to="0pt,39.555916pt" stroked="true" strokeweight=".25pt" strokecolor="#000000">
            <w10:wrap type="none"/>
          </v:line>
        </w:pict>
      </w:r>
      <w:r>
        <w:rPr/>
        <w:pict>
          <v:line style="position:absolute;mso-position-horizontal-relative:page;mso-position-vertical-relative:paragraph;z-index:11800" from="508.890015pt,39.555916pt" to="523.890015pt,39.555916pt" stroked="true" strokeweight=".25pt" strokecolor="#000000">
            <w10:wrap type="none"/>
          </v:line>
        </w:pict>
      </w:r>
      <w:r>
        <w:rPr>
          <w:rFonts w:ascii="Arial" w:hAnsi="Arial"/>
          <w:color w:val="414042"/>
          <w:position w:val="-5"/>
          <w:sz w:val="20"/>
        </w:rPr>
        <w:t>120</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78264" from="15pt,715.487793pt" to="0pt,715.487793pt" stroked="true" strokeweight=".25pt" strokecolor="#000000">
            <w10:wrap type="none"/>
          </v:line>
        </w:pict>
      </w:r>
      <w:r>
        <w:rPr/>
        <w:pict>
          <v:line style="position:absolute;mso-position-horizontal-relative:page;mso-position-vertical-relative:page;z-index:11944"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8336" from="405.061005pt,-18.554295pt" to="405.061005pt,16.311579pt" stroked="true" strokeweight=".35pt" strokecolor="#231f20">
            <w10:wrap type="none"/>
          </v:line>
        </w:pict>
      </w:r>
      <w:r>
        <w:rPr/>
        <w:pict>
          <v:line style="position:absolute;mso-position-horizontal-relative:page;mso-position-vertical-relative:paragraph;z-index:11872" from="15pt,-18.554522pt" to="0pt,-18.554522pt" stroked="true" strokeweight=".25pt" strokecolor="#000000">
            <w10:wrap type="none"/>
          </v:line>
        </w:pict>
      </w:r>
      <w:r>
        <w:rPr/>
        <w:pict>
          <v:line style="position:absolute;mso-position-horizontal-relative:page;mso-position-vertical-relative:paragraph;z-index:11896"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121</w:t>
      </w:r>
    </w:p>
    <w:p>
      <w:pPr>
        <w:pStyle w:val="BodyText"/>
        <w:rPr>
          <w:rFonts w:ascii="Arial"/>
          <w:sz w:val="20"/>
        </w:rPr>
      </w:pPr>
    </w:p>
    <w:p>
      <w:pPr>
        <w:pStyle w:val="BodyText"/>
        <w:rPr>
          <w:rFonts w:ascii="Arial"/>
          <w:sz w:val="20"/>
        </w:rPr>
      </w:pPr>
    </w:p>
    <w:p>
      <w:pPr>
        <w:pStyle w:val="BodyText"/>
        <w:spacing w:line="261" w:lineRule="auto" w:before="179"/>
        <w:ind w:left="1837" w:right="1683"/>
      </w:pPr>
      <w:r>
        <w:rPr>
          <w:color w:val="231F20"/>
        </w:rPr>
        <w:t>aledaños, por ejemplo, Chimalhuacán, Ixtapaluca, Los Reyes, </w:t>
      </w:r>
      <w:r>
        <w:rPr>
          <w:color w:val="231F20"/>
          <w:spacing w:val="-4"/>
        </w:rPr>
        <w:t>Texcoco </w:t>
      </w:r>
      <w:r>
        <w:rPr>
          <w:color w:val="231F20"/>
        </w:rPr>
        <w:t>y Chalco Solidaridad, en el Estado de México (cf. Mendoza, </w:t>
      </w:r>
      <w:r>
        <w:rPr>
          <w:color w:val="231F20"/>
          <w:spacing w:val="51"/>
        </w:rPr>
        <w:t> </w:t>
      </w:r>
      <w:r>
        <w:rPr>
          <w:color w:val="231F20"/>
        </w:rPr>
        <w:t>2009).</w:t>
      </w:r>
    </w:p>
    <w:p>
      <w:pPr>
        <w:pStyle w:val="BodyText"/>
        <w:spacing w:line="261" w:lineRule="auto" w:before="1"/>
        <w:ind w:left="1837" w:right="1714" w:firstLine="567"/>
        <w:jc w:val="both"/>
      </w:pPr>
      <w:r>
        <w:rPr>
          <w:color w:val="231F20"/>
          <w:spacing w:val="-6"/>
          <w:w w:val="105"/>
        </w:rPr>
        <w:t>Por</w:t>
      </w:r>
      <w:r>
        <w:rPr>
          <w:color w:val="231F20"/>
          <w:spacing w:val="-11"/>
          <w:w w:val="105"/>
        </w:rPr>
        <w:t> </w:t>
      </w:r>
      <w:r>
        <w:rPr>
          <w:color w:val="231F20"/>
          <w:w w:val="105"/>
        </w:rPr>
        <w:t>lo</w:t>
      </w:r>
      <w:r>
        <w:rPr>
          <w:color w:val="231F20"/>
          <w:spacing w:val="-11"/>
          <w:w w:val="105"/>
        </w:rPr>
        <w:t> </w:t>
      </w:r>
      <w:r>
        <w:rPr>
          <w:color w:val="231F20"/>
          <w:w w:val="105"/>
        </w:rPr>
        <w:t>tanto,</w:t>
      </w:r>
      <w:r>
        <w:rPr>
          <w:color w:val="231F20"/>
          <w:spacing w:val="-16"/>
          <w:w w:val="105"/>
        </w:rPr>
        <w:t> </w:t>
      </w:r>
      <w:r>
        <w:rPr>
          <w:color w:val="231F20"/>
          <w:w w:val="105"/>
        </w:rPr>
        <w:t>un</w:t>
      </w:r>
      <w:r>
        <w:rPr>
          <w:color w:val="231F20"/>
          <w:spacing w:val="-11"/>
          <w:w w:val="105"/>
        </w:rPr>
        <w:t> </w:t>
      </w:r>
      <w:r>
        <w:rPr>
          <w:color w:val="231F20"/>
          <w:w w:val="105"/>
        </w:rPr>
        <w:t>dato</w:t>
      </w:r>
      <w:r>
        <w:rPr>
          <w:color w:val="231F20"/>
          <w:spacing w:val="-11"/>
          <w:w w:val="105"/>
        </w:rPr>
        <w:t> </w:t>
      </w:r>
      <w:r>
        <w:rPr>
          <w:color w:val="231F20"/>
          <w:w w:val="105"/>
        </w:rPr>
        <w:t>relevante</w:t>
      </w:r>
      <w:r>
        <w:rPr>
          <w:color w:val="231F20"/>
          <w:spacing w:val="-11"/>
          <w:w w:val="105"/>
        </w:rPr>
        <w:t> </w:t>
      </w:r>
      <w:r>
        <w:rPr>
          <w:color w:val="231F20"/>
          <w:w w:val="105"/>
        </w:rPr>
        <w:t>para</w:t>
      </w:r>
      <w:r>
        <w:rPr>
          <w:color w:val="231F20"/>
          <w:spacing w:val="-11"/>
          <w:w w:val="105"/>
        </w:rPr>
        <w:t> </w:t>
      </w:r>
      <w:r>
        <w:rPr>
          <w:color w:val="231F20"/>
          <w:w w:val="105"/>
        </w:rPr>
        <w:t>ilustrar</w:t>
      </w:r>
      <w:r>
        <w:rPr>
          <w:color w:val="231F20"/>
          <w:spacing w:val="-11"/>
          <w:w w:val="105"/>
        </w:rPr>
        <w:t> </w:t>
      </w:r>
      <w:r>
        <w:rPr>
          <w:color w:val="231F20"/>
          <w:w w:val="105"/>
        </w:rPr>
        <w:t>la</w:t>
      </w:r>
      <w:r>
        <w:rPr>
          <w:color w:val="231F20"/>
          <w:spacing w:val="-11"/>
          <w:w w:val="105"/>
        </w:rPr>
        <w:t> </w:t>
      </w:r>
      <w:r>
        <w:rPr>
          <w:color w:val="231F20"/>
          <w:w w:val="105"/>
        </w:rPr>
        <w:t>alta</w:t>
      </w:r>
      <w:r>
        <w:rPr>
          <w:color w:val="231F20"/>
          <w:spacing w:val="-11"/>
          <w:w w:val="105"/>
        </w:rPr>
        <w:t> </w:t>
      </w:r>
      <w:r>
        <w:rPr>
          <w:color w:val="231F20"/>
          <w:w w:val="105"/>
        </w:rPr>
        <w:t>movilidad</w:t>
      </w:r>
      <w:r>
        <w:rPr>
          <w:color w:val="231F20"/>
          <w:spacing w:val="-11"/>
          <w:w w:val="105"/>
        </w:rPr>
        <w:t> </w:t>
      </w:r>
      <w:r>
        <w:rPr>
          <w:color w:val="231F20"/>
          <w:w w:val="105"/>
        </w:rPr>
        <w:t>pobla- cional de este municipio metropolitano se observa en 2010 cuando se mostró que el 60% del total de su población residente no era originaria del</w:t>
      </w:r>
      <w:r>
        <w:rPr>
          <w:color w:val="231F20"/>
          <w:spacing w:val="-23"/>
          <w:w w:val="105"/>
        </w:rPr>
        <w:t> </w:t>
      </w:r>
      <w:r>
        <w:rPr>
          <w:color w:val="231F20"/>
          <w:w w:val="105"/>
        </w:rPr>
        <w:t>Estado</w:t>
      </w:r>
      <w:r>
        <w:rPr>
          <w:color w:val="231F20"/>
          <w:spacing w:val="-23"/>
          <w:w w:val="105"/>
        </w:rPr>
        <w:t> </w:t>
      </w:r>
      <w:r>
        <w:rPr>
          <w:color w:val="231F20"/>
          <w:w w:val="105"/>
        </w:rPr>
        <w:t>de</w:t>
      </w:r>
      <w:r>
        <w:rPr>
          <w:color w:val="231F20"/>
          <w:spacing w:val="-23"/>
          <w:w w:val="105"/>
        </w:rPr>
        <w:t> </w:t>
      </w:r>
      <w:r>
        <w:rPr>
          <w:color w:val="231F20"/>
          <w:w w:val="105"/>
        </w:rPr>
        <w:t>México,</w:t>
      </w:r>
      <w:r>
        <w:rPr>
          <w:color w:val="231F20"/>
          <w:spacing w:val="-30"/>
          <w:w w:val="105"/>
        </w:rPr>
        <w:t> </w:t>
      </w:r>
      <w:r>
        <w:rPr>
          <w:color w:val="231F20"/>
          <w:w w:val="105"/>
        </w:rPr>
        <w:t>entidad</w:t>
      </w:r>
      <w:r>
        <w:rPr>
          <w:color w:val="231F20"/>
          <w:spacing w:val="-23"/>
          <w:w w:val="105"/>
        </w:rPr>
        <w:t> </w:t>
      </w:r>
      <w:r>
        <w:rPr>
          <w:color w:val="231F20"/>
          <w:w w:val="105"/>
        </w:rPr>
        <w:t>donde</w:t>
      </w:r>
      <w:r>
        <w:rPr>
          <w:color w:val="231F20"/>
          <w:spacing w:val="-23"/>
          <w:w w:val="105"/>
        </w:rPr>
        <w:t> </w:t>
      </w:r>
      <w:r>
        <w:rPr>
          <w:color w:val="231F20"/>
          <w:w w:val="105"/>
        </w:rPr>
        <w:t>se</w:t>
      </w:r>
      <w:r>
        <w:rPr>
          <w:color w:val="231F20"/>
          <w:spacing w:val="-23"/>
          <w:w w:val="105"/>
        </w:rPr>
        <w:t> </w:t>
      </w:r>
      <w:r>
        <w:rPr>
          <w:color w:val="231F20"/>
          <w:w w:val="105"/>
        </w:rPr>
        <w:t>localiza</w:t>
      </w:r>
      <w:r>
        <w:rPr>
          <w:color w:val="231F20"/>
          <w:spacing w:val="-23"/>
          <w:w w:val="105"/>
        </w:rPr>
        <w:t> </w:t>
      </w:r>
      <w:r>
        <w:rPr>
          <w:color w:val="231F20"/>
          <w:w w:val="105"/>
        </w:rPr>
        <w:t>este</w:t>
      </w:r>
      <w:r>
        <w:rPr>
          <w:color w:val="231F20"/>
          <w:spacing w:val="-23"/>
          <w:w w:val="105"/>
        </w:rPr>
        <w:t> </w:t>
      </w:r>
      <w:r>
        <w:rPr>
          <w:color w:val="231F20"/>
          <w:w w:val="105"/>
        </w:rPr>
        <w:t>municipio.</w:t>
      </w:r>
      <w:r>
        <w:rPr>
          <w:color w:val="231F20"/>
          <w:spacing w:val="-30"/>
          <w:w w:val="105"/>
        </w:rPr>
        <w:t> </w:t>
      </w:r>
      <w:r>
        <w:rPr>
          <w:color w:val="231F20"/>
          <w:w w:val="105"/>
        </w:rPr>
        <w:t>El</w:t>
      </w:r>
      <w:r>
        <w:rPr>
          <w:color w:val="231F20"/>
          <w:spacing w:val="-23"/>
          <w:w w:val="105"/>
        </w:rPr>
        <w:t> </w:t>
      </w:r>
      <w:r>
        <w:rPr>
          <w:color w:val="231F20"/>
          <w:w w:val="105"/>
        </w:rPr>
        <w:t>primer grupo</w:t>
      </w:r>
      <w:r>
        <w:rPr>
          <w:color w:val="231F20"/>
          <w:spacing w:val="-9"/>
          <w:w w:val="105"/>
        </w:rPr>
        <w:t> </w:t>
      </w:r>
      <w:r>
        <w:rPr>
          <w:color w:val="231F20"/>
          <w:w w:val="105"/>
        </w:rPr>
        <w:t>de</w:t>
      </w:r>
      <w:r>
        <w:rPr>
          <w:color w:val="231F20"/>
          <w:spacing w:val="-9"/>
          <w:w w:val="105"/>
        </w:rPr>
        <w:t> </w:t>
      </w:r>
      <w:r>
        <w:rPr>
          <w:color w:val="231F20"/>
          <w:w w:val="105"/>
        </w:rPr>
        <w:t>personas</w:t>
      </w:r>
      <w:r>
        <w:rPr>
          <w:color w:val="231F20"/>
          <w:spacing w:val="-9"/>
          <w:w w:val="105"/>
        </w:rPr>
        <w:t> </w:t>
      </w:r>
      <w:r>
        <w:rPr>
          <w:color w:val="231F20"/>
          <w:w w:val="105"/>
        </w:rPr>
        <w:t>no</w:t>
      </w:r>
      <w:r>
        <w:rPr>
          <w:color w:val="231F20"/>
          <w:spacing w:val="-9"/>
          <w:w w:val="105"/>
        </w:rPr>
        <w:t> </w:t>
      </w:r>
      <w:r>
        <w:rPr>
          <w:color w:val="231F20"/>
          <w:w w:val="105"/>
        </w:rPr>
        <w:t>nacidas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Estado</w:t>
      </w:r>
      <w:r>
        <w:rPr>
          <w:color w:val="231F20"/>
          <w:spacing w:val="-9"/>
          <w:w w:val="105"/>
        </w:rPr>
        <w:t> </w:t>
      </w:r>
      <w:r>
        <w:rPr>
          <w:color w:val="231F20"/>
          <w:w w:val="105"/>
        </w:rPr>
        <w:t>de</w:t>
      </w:r>
      <w:r>
        <w:rPr>
          <w:color w:val="231F20"/>
          <w:spacing w:val="-9"/>
          <w:w w:val="105"/>
        </w:rPr>
        <w:t> </w:t>
      </w:r>
      <w:r>
        <w:rPr>
          <w:color w:val="231F20"/>
          <w:w w:val="105"/>
        </w:rPr>
        <w:t>México</w:t>
      </w:r>
      <w:r>
        <w:rPr>
          <w:color w:val="231F20"/>
          <w:spacing w:val="-9"/>
          <w:w w:val="105"/>
        </w:rPr>
        <w:t> </w:t>
      </w:r>
      <w:r>
        <w:rPr>
          <w:color w:val="231F20"/>
          <w:w w:val="105"/>
        </w:rPr>
        <w:t>estaba</w:t>
      </w:r>
      <w:r>
        <w:rPr>
          <w:color w:val="231F20"/>
          <w:spacing w:val="-9"/>
          <w:w w:val="105"/>
        </w:rPr>
        <w:t> </w:t>
      </w:r>
      <w:r>
        <w:rPr>
          <w:color w:val="231F20"/>
          <w:w w:val="105"/>
        </w:rPr>
        <w:t>integrado por</w:t>
      </w:r>
      <w:r>
        <w:rPr>
          <w:color w:val="231F20"/>
          <w:spacing w:val="-8"/>
          <w:w w:val="105"/>
        </w:rPr>
        <w:t> </w:t>
      </w:r>
      <w:r>
        <w:rPr>
          <w:color w:val="231F20"/>
          <w:w w:val="105"/>
        </w:rPr>
        <w:t>originarios</w:t>
      </w:r>
      <w:r>
        <w:rPr>
          <w:color w:val="231F20"/>
          <w:spacing w:val="-8"/>
          <w:w w:val="105"/>
        </w:rPr>
        <w:t> </w:t>
      </w:r>
      <w:r>
        <w:rPr>
          <w:color w:val="231F20"/>
          <w:w w:val="105"/>
        </w:rPr>
        <w:t>del</w:t>
      </w:r>
      <w:r>
        <w:rPr>
          <w:color w:val="231F20"/>
          <w:spacing w:val="-8"/>
          <w:w w:val="105"/>
        </w:rPr>
        <w:t> </w:t>
      </w:r>
      <w:r>
        <w:rPr>
          <w:color w:val="231F20"/>
          <w:w w:val="105"/>
        </w:rPr>
        <w:t>Distrito</w:t>
      </w:r>
      <w:r>
        <w:rPr>
          <w:color w:val="231F20"/>
          <w:spacing w:val="-8"/>
          <w:w w:val="105"/>
        </w:rPr>
        <w:t> </w:t>
      </w:r>
      <w:r>
        <w:rPr>
          <w:color w:val="231F20"/>
          <w:w w:val="105"/>
        </w:rPr>
        <w:t>Federal,</w:t>
      </w:r>
      <w:r>
        <w:rPr>
          <w:color w:val="231F20"/>
          <w:spacing w:val="-14"/>
          <w:w w:val="105"/>
        </w:rPr>
        <w:t> </w:t>
      </w:r>
      <w:r>
        <w:rPr>
          <w:color w:val="231F20"/>
          <w:w w:val="105"/>
        </w:rPr>
        <w:t>quienes</w:t>
      </w:r>
      <w:r>
        <w:rPr>
          <w:color w:val="231F20"/>
          <w:spacing w:val="-8"/>
          <w:w w:val="105"/>
        </w:rPr>
        <w:t> </w:t>
      </w:r>
      <w:r>
        <w:rPr>
          <w:color w:val="231F20"/>
          <w:w w:val="105"/>
        </w:rPr>
        <w:t>en</w:t>
      </w:r>
      <w:r>
        <w:rPr>
          <w:color w:val="231F20"/>
          <w:spacing w:val="-8"/>
          <w:w w:val="105"/>
        </w:rPr>
        <w:t> </w:t>
      </w:r>
      <w:r>
        <w:rPr>
          <w:color w:val="231F20"/>
          <w:w w:val="105"/>
        </w:rPr>
        <w:t>2010</w:t>
      </w:r>
      <w:r>
        <w:rPr>
          <w:color w:val="231F20"/>
          <w:spacing w:val="-8"/>
          <w:w w:val="105"/>
        </w:rPr>
        <w:t> </w:t>
      </w:r>
      <w:r>
        <w:rPr>
          <w:color w:val="231F20"/>
          <w:w w:val="105"/>
        </w:rPr>
        <w:t>representaron</w:t>
      </w:r>
      <w:r>
        <w:rPr>
          <w:color w:val="231F20"/>
          <w:spacing w:val="-8"/>
          <w:w w:val="105"/>
        </w:rPr>
        <w:t> </w:t>
      </w:r>
      <w:r>
        <w:rPr>
          <w:color w:val="231F20"/>
          <w:w w:val="105"/>
        </w:rPr>
        <w:t>40% del</w:t>
      </w:r>
      <w:r>
        <w:rPr>
          <w:color w:val="231F20"/>
          <w:spacing w:val="-13"/>
          <w:w w:val="105"/>
        </w:rPr>
        <w:t> </w:t>
      </w:r>
      <w:r>
        <w:rPr>
          <w:color w:val="231F20"/>
          <w:w w:val="105"/>
        </w:rPr>
        <w:t>total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población,</w:t>
      </w:r>
      <w:r>
        <w:rPr>
          <w:color w:val="231F20"/>
          <w:spacing w:val="-18"/>
          <w:w w:val="105"/>
        </w:rPr>
        <w:t> </w:t>
      </w:r>
      <w:r>
        <w:rPr>
          <w:color w:val="231F20"/>
          <w:w w:val="105"/>
        </w:rPr>
        <w:t>un</w:t>
      </w:r>
      <w:r>
        <w:rPr>
          <w:color w:val="231F20"/>
          <w:spacing w:val="-13"/>
          <w:w w:val="105"/>
        </w:rPr>
        <w:t> </w:t>
      </w:r>
      <w:r>
        <w:rPr>
          <w:color w:val="231F20"/>
          <w:w w:val="105"/>
        </w:rPr>
        <w:t>porcentaje</w:t>
      </w:r>
      <w:r>
        <w:rPr>
          <w:color w:val="231F20"/>
          <w:spacing w:val="-13"/>
          <w:w w:val="105"/>
        </w:rPr>
        <w:t> </w:t>
      </w:r>
      <w:r>
        <w:rPr>
          <w:color w:val="231F20"/>
          <w:w w:val="105"/>
        </w:rPr>
        <w:t>similar</w:t>
      </w:r>
      <w:r>
        <w:rPr>
          <w:color w:val="231F20"/>
          <w:spacing w:val="-13"/>
          <w:w w:val="105"/>
        </w:rPr>
        <w:t> </w:t>
      </w:r>
      <w:r>
        <w:rPr>
          <w:color w:val="231F20"/>
          <w:w w:val="105"/>
        </w:rPr>
        <w:t>al</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nacidos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Es- tado</w:t>
      </w:r>
      <w:r>
        <w:rPr>
          <w:color w:val="231F20"/>
          <w:spacing w:val="-14"/>
          <w:w w:val="105"/>
        </w:rPr>
        <w:t> </w:t>
      </w:r>
      <w:r>
        <w:rPr>
          <w:color w:val="231F20"/>
          <w:w w:val="105"/>
        </w:rPr>
        <w:t>de</w:t>
      </w:r>
      <w:r>
        <w:rPr>
          <w:color w:val="231F20"/>
          <w:spacing w:val="-14"/>
          <w:w w:val="105"/>
        </w:rPr>
        <w:t> </w:t>
      </w:r>
      <w:r>
        <w:rPr>
          <w:color w:val="231F20"/>
          <w:w w:val="105"/>
        </w:rPr>
        <w:t>México.</w:t>
      </w:r>
      <w:r>
        <w:rPr>
          <w:color w:val="231F20"/>
          <w:spacing w:val="-19"/>
          <w:w w:val="105"/>
        </w:rPr>
        <w:t> </w:t>
      </w:r>
      <w:r>
        <w:rPr>
          <w:color w:val="231F20"/>
          <w:w w:val="105"/>
        </w:rPr>
        <w:t>El</w:t>
      </w:r>
      <w:r>
        <w:rPr>
          <w:color w:val="231F20"/>
          <w:spacing w:val="-14"/>
          <w:w w:val="105"/>
        </w:rPr>
        <w:t> </w:t>
      </w:r>
      <w:r>
        <w:rPr>
          <w:color w:val="231F20"/>
          <w:w w:val="105"/>
        </w:rPr>
        <w:t>20%</w:t>
      </w:r>
      <w:r>
        <w:rPr>
          <w:color w:val="231F20"/>
          <w:spacing w:val="-14"/>
          <w:w w:val="105"/>
        </w:rPr>
        <w:t> </w:t>
      </w:r>
      <w:r>
        <w:rPr>
          <w:color w:val="231F20"/>
          <w:w w:val="105"/>
        </w:rPr>
        <w:t>restante</w:t>
      </w:r>
      <w:r>
        <w:rPr>
          <w:color w:val="231F20"/>
          <w:spacing w:val="-14"/>
          <w:w w:val="105"/>
        </w:rPr>
        <w:t> </w:t>
      </w:r>
      <w:r>
        <w:rPr>
          <w:color w:val="231F20"/>
          <w:w w:val="105"/>
        </w:rPr>
        <w:t>se</w:t>
      </w:r>
      <w:r>
        <w:rPr>
          <w:color w:val="231F20"/>
          <w:spacing w:val="-14"/>
          <w:w w:val="105"/>
        </w:rPr>
        <w:t> </w:t>
      </w:r>
      <w:r>
        <w:rPr>
          <w:color w:val="231F20"/>
          <w:w w:val="105"/>
        </w:rPr>
        <w:t>distribuyó</w:t>
      </w:r>
      <w:r>
        <w:rPr>
          <w:color w:val="231F20"/>
          <w:spacing w:val="-14"/>
          <w:w w:val="105"/>
        </w:rPr>
        <w:t> </w:t>
      </w:r>
      <w:r>
        <w:rPr>
          <w:color w:val="231F20"/>
          <w:w w:val="105"/>
        </w:rPr>
        <w:t>entre</w:t>
      </w:r>
      <w:r>
        <w:rPr>
          <w:color w:val="231F20"/>
          <w:spacing w:val="-14"/>
          <w:w w:val="105"/>
        </w:rPr>
        <w:t> </w:t>
      </w:r>
      <w:r>
        <w:rPr>
          <w:color w:val="231F20"/>
          <w:w w:val="105"/>
        </w:rPr>
        <w:t>quienes</w:t>
      </w:r>
      <w:r>
        <w:rPr>
          <w:color w:val="231F20"/>
          <w:spacing w:val="-14"/>
          <w:w w:val="105"/>
        </w:rPr>
        <w:t> </w:t>
      </w:r>
      <w:r>
        <w:rPr>
          <w:color w:val="231F20"/>
          <w:w w:val="105"/>
        </w:rPr>
        <w:t>nacieron</w:t>
      </w:r>
      <w:r>
        <w:rPr>
          <w:color w:val="231F20"/>
          <w:spacing w:val="-14"/>
          <w:w w:val="105"/>
        </w:rPr>
        <w:t> </w:t>
      </w:r>
      <w:r>
        <w:rPr>
          <w:color w:val="231F20"/>
          <w:w w:val="105"/>
        </w:rPr>
        <w:t>en otras</w:t>
      </w:r>
      <w:r>
        <w:rPr>
          <w:color w:val="231F20"/>
          <w:spacing w:val="-8"/>
          <w:w w:val="105"/>
        </w:rPr>
        <w:t> </w:t>
      </w:r>
      <w:r>
        <w:rPr>
          <w:color w:val="231F20"/>
          <w:w w:val="105"/>
        </w:rPr>
        <w:t>entidades</w:t>
      </w:r>
      <w:r>
        <w:rPr>
          <w:color w:val="231F20"/>
          <w:spacing w:val="-8"/>
          <w:w w:val="105"/>
        </w:rPr>
        <w:t> </w:t>
      </w:r>
      <w:r>
        <w:rPr>
          <w:color w:val="231F20"/>
          <w:w w:val="105"/>
        </w:rPr>
        <w:t>del</w:t>
      </w:r>
      <w:r>
        <w:rPr>
          <w:color w:val="231F20"/>
          <w:spacing w:val="-8"/>
          <w:w w:val="105"/>
        </w:rPr>
        <w:t> </w:t>
      </w:r>
      <w:r>
        <w:rPr>
          <w:color w:val="231F20"/>
          <w:w w:val="105"/>
        </w:rPr>
        <w:t>país.</w:t>
      </w:r>
      <w:r>
        <w:rPr>
          <w:color w:val="231F20"/>
          <w:spacing w:val="-13"/>
          <w:w w:val="105"/>
        </w:rPr>
        <w:t> </w:t>
      </w:r>
      <w:r>
        <w:rPr>
          <w:color w:val="231F20"/>
          <w:w w:val="105"/>
        </w:rPr>
        <w:t>En</w:t>
      </w:r>
      <w:r>
        <w:rPr>
          <w:color w:val="231F20"/>
          <w:spacing w:val="-8"/>
          <w:w w:val="105"/>
        </w:rPr>
        <w:t> </w:t>
      </w:r>
      <w:r>
        <w:rPr>
          <w:color w:val="231F20"/>
          <w:w w:val="105"/>
        </w:rPr>
        <w:t>orden</w:t>
      </w:r>
      <w:r>
        <w:rPr>
          <w:color w:val="231F20"/>
          <w:spacing w:val="-8"/>
          <w:w w:val="105"/>
        </w:rPr>
        <w:t> </w:t>
      </w:r>
      <w:r>
        <w:rPr>
          <w:color w:val="231F20"/>
          <w:w w:val="105"/>
        </w:rPr>
        <w:t>de</w:t>
      </w:r>
      <w:r>
        <w:rPr>
          <w:color w:val="231F20"/>
          <w:spacing w:val="-8"/>
          <w:w w:val="105"/>
        </w:rPr>
        <w:t> </w:t>
      </w:r>
      <w:r>
        <w:rPr>
          <w:color w:val="231F20"/>
          <w:w w:val="105"/>
        </w:rPr>
        <w:t>relevancia</w:t>
      </w:r>
      <w:r>
        <w:rPr>
          <w:color w:val="231F20"/>
          <w:spacing w:val="-8"/>
          <w:w w:val="105"/>
        </w:rPr>
        <w:t> </w:t>
      </w:r>
      <w:r>
        <w:rPr>
          <w:color w:val="231F20"/>
          <w:w w:val="105"/>
        </w:rPr>
        <w:t>se</w:t>
      </w:r>
      <w:r>
        <w:rPr>
          <w:color w:val="231F20"/>
          <w:spacing w:val="-8"/>
          <w:w w:val="105"/>
        </w:rPr>
        <w:t> </w:t>
      </w:r>
      <w:r>
        <w:rPr>
          <w:color w:val="231F20"/>
          <w:w w:val="105"/>
        </w:rPr>
        <w:t>encuentran</w:t>
      </w:r>
      <w:r>
        <w:rPr>
          <w:color w:val="231F20"/>
          <w:spacing w:val="-8"/>
          <w:w w:val="105"/>
        </w:rPr>
        <w:t> </w:t>
      </w:r>
      <w:r>
        <w:rPr>
          <w:color w:val="231F20"/>
          <w:w w:val="105"/>
        </w:rPr>
        <w:t>quienes nacieron</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estado</w:t>
      </w:r>
      <w:r>
        <w:rPr>
          <w:color w:val="231F20"/>
          <w:spacing w:val="-25"/>
          <w:w w:val="105"/>
        </w:rPr>
        <w:t> </w:t>
      </w:r>
      <w:r>
        <w:rPr>
          <w:color w:val="231F20"/>
          <w:w w:val="105"/>
        </w:rPr>
        <w:t>de</w:t>
      </w:r>
      <w:r>
        <w:rPr>
          <w:color w:val="231F20"/>
          <w:spacing w:val="-25"/>
          <w:w w:val="105"/>
        </w:rPr>
        <w:t> </w:t>
      </w:r>
      <w:r>
        <w:rPr>
          <w:color w:val="231F20"/>
          <w:w w:val="105"/>
        </w:rPr>
        <w:t>Puebla,</w:t>
      </w:r>
      <w:r>
        <w:rPr>
          <w:color w:val="231F20"/>
          <w:spacing w:val="-30"/>
          <w:w w:val="105"/>
        </w:rPr>
        <w:t> </w:t>
      </w:r>
      <w:r>
        <w:rPr>
          <w:color w:val="231F20"/>
          <w:w w:val="105"/>
        </w:rPr>
        <w:t>luego</w:t>
      </w:r>
      <w:r>
        <w:rPr>
          <w:color w:val="231F20"/>
          <w:spacing w:val="-25"/>
          <w:w w:val="105"/>
        </w:rPr>
        <w:t> </w:t>
      </w:r>
      <w:r>
        <w:rPr>
          <w:color w:val="231F20"/>
          <w:w w:val="105"/>
        </w:rPr>
        <w:t>le</w:t>
      </w:r>
      <w:r>
        <w:rPr>
          <w:color w:val="231F20"/>
          <w:spacing w:val="-25"/>
          <w:w w:val="105"/>
        </w:rPr>
        <w:t> </w:t>
      </w:r>
      <w:r>
        <w:rPr>
          <w:color w:val="231F20"/>
          <w:w w:val="105"/>
        </w:rPr>
        <w:t>siguen</w:t>
      </w:r>
      <w:r>
        <w:rPr>
          <w:color w:val="231F20"/>
          <w:spacing w:val="-25"/>
          <w:w w:val="105"/>
        </w:rPr>
        <w:t> </w:t>
      </w:r>
      <w:r>
        <w:rPr>
          <w:color w:val="231F20"/>
          <w:w w:val="105"/>
        </w:rPr>
        <w:t>los</w:t>
      </w:r>
      <w:r>
        <w:rPr>
          <w:color w:val="231F20"/>
          <w:spacing w:val="-25"/>
          <w:w w:val="105"/>
        </w:rPr>
        <w:t> </w:t>
      </w:r>
      <w:r>
        <w:rPr>
          <w:color w:val="231F20"/>
          <w:w w:val="105"/>
        </w:rPr>
        <w:t>nacidos</w:t>
      </w:r>
      <w:r>
        <w:rPr>
          <w:color w:val="231F20"/>
          <w:spacing w:val="-25"/>
          <w:w w:val="105"/>
        </w:rPr>
        <w:t> </w:t>
      </w:r>
      <w:r>
        <w:rPr>
          <w:color w:val="231F20"/>
          <w:w w:val="105"/>
        </w:rPr>
        <w:t>en</w:t>
      </w:r>
      <w:r>
        <w:rPr>
          <w:color w:val="231F20"/>
          <w:spacing w:val="-28"/>
          <w:w w:val="105"/>
        </w:rPr>
        <w:t> </w:t>
      </w:r>
      <w:r>
        <w:rPr>
          <w:color w:val="231F20"/>
          <w:w w:val="105"/>
        </w:rPr>
        <w:t>Veracruz, Oaxaca</w:t>
      </w:r>
      <w:r>
        <w:rPr>
          <w:color w:val="231F20"/>
          <w:spacing w:val="-23"/>
          <w:w w:val="105"/>
        </w:rPr>
        <w:t> </w:t>
      </w:r>
      <w:r>
        <w:rPr>
          <w:color w:val="231F20"/>
          <w:w w:val="105"/>
        </w:rPr>
        <w:t>y</w:t>
      </w:r>
      <w:r>
        <w:rPr>
          <w:color w:val="231F20"/>
          <w:spacing w:val="-23"/>
          <w:w w:val="105"/>
        </w:rPr>
        <w:t> </w:t>
      </w:r>
      <w:r>
        <w:rPr>
          <w:color w:val="231F20"/>
          <w:w w:val="105"/>
        </w:rPr>
        <w:t>Michoacán</w:t>
      </w:r>
      <w:r>
        <w:rPr>
          <w:color w:val="231F20"/>
          <w:spacing w:val="-23"/>
          <w:w w:val="105"/>
        </w:rPr>
        <w:t> </w:t>
      </w:r>
      <w:r>
        <w:rPr>
          <w:color w:val="231F20"/>
          <w:w w:val="105"/>
        </w:rPr>
        <w:t>(por</w:t>
      </w:r>
      <w:r>
        <w:rPr>
          <w:color w:val="231F20"/>
          <w:spacing w:val="-23"/>
          <w:w w:val="105"/>
        </w:rPr>
        <w:t> </w:t>
      </w:r>
      <w:r>
        <w:rPr>
          <w:color w:val="231F20"/>
          <w:w w:val="105"/>
        </w:rPr>
        <w:t>mencionar</w:t>
      </w:r>
      <w:r>
        <w:rPr>
          <w:color w:val="231F20"/>
          <w:spacing w:val="-23"/>
          <w:w w:val="105"/>
        </w:rPr>
        <w:t> </w:t>
      </w:r>
      <w:r>
        <w:rPr>
          <w:color w:val="231F20"/>
          <w:w w:val="105"/>
        </w:rPr>
        <w:t>los</w:t>
      </w:r>
      <w:r>
        <w:rPr>
          <w:color w:val="231F20"/>
          <w:spacing w:val="-23"/>
          <w:w w:val="105"/>
        </w:rPr>
        <w:t> </w:t>
      </w:r>
      <w:r>
        <w:rPr>
          <w:color w:val="231F20"/>
          <w:w w:val="105"/>
        </w:rPr>
        <w:t>principales),</w:t>
      </w:r>
      <w:r>
        <w:rPr>
          <w:color w:val="231F20"/>
          <w:spacing w:val="-27"/>
          <w:w w:val="105"/>
        </w:rPr>
        <w:t> </w:t>
      </w:r>
      <w:r>
        <w:rPr>
          <w:color w:val="231F20"/>
          <w:w w:val="105"/>
        </w:rPr>
        <w:t>todos</w:t>
      </w:r>
      <w:r>
        <w:rPr>
          <w:color w:val="231F20"/>
          <w:spacing w:val="-23"/>
          <w:w w:val="105"/>
        </w:rPr>
        <w:t> </w:t>
      </w:r>
      <w:r>
        <w:rPr>
          <w:color w:val="231F20"/>
          <w:w w:val="105"/>
        </w:rPr>
        <w:t>ellos</w:t>
      </w:r>
      <w:r>
        <w:rPr>
          <w:color w:val="231F20"/>
          <w:spacing w:val="-23"/>
          <w:w w:val="105"/>
        </w:rPr>
        <w:t> </w:t>
      </w:r>
      <w:r>
        <w:rPr>
          <w:color w:val="231F20"/>
          <w:w w:val="105"/>
        </w:rPr>
        <w:t>con</w:t>
      </w:r>
      <w:r>
        <w:rPr>
          <w:color w:val="231F20"/>
          <w:spacing w:val="-23"/>
          <w:w w:val="105"/>
        </w:rPr>
        <w:t> </w:t>
      </w:r>
      <w:r>
        <w:rPr>
          <w:color w:val="231F20"/>
          <w:w w:val="105"/>
        </w:rPr>
        <w:t>una representación porcentual menor al 5% respecto del total de la pobla- </w:t>
      </w:r>
      <w:r>
        <w:rPr>
          <w:color w:val="231F20"/>
        </w:rPr>
        <w:t>ción (</w:t>
      </w:r>
      <w:r>
        <w:rPr>
          <w:color w:val="231F20"/>
          <w:sz w:val="17"/>
        </w:rPr>
        <w:t>INEGI</w:t>
      </w:r>
      <w:r>
        <w:rPr>
          <w:color w:val="231F20"/>
        </w:rPr>
        <w:t>,</w:t>
      </w:r>
      <w:r>
        <w:rPr>
          <w:color w:val="231F20"/>
          <w:spacing w:val="-6"/>
        </w:rPr>
        <w:t> </w:t>
      </w:r>
      <w:r>
        <w:rPr>
          <w:color w:val="231F20"/>
        </w:rPr>
        <w:t>2010).</w:t>
      </w:r>
    </w:p>
    <w:p>
      <w:pPr>
        <w:pStyle w:val="BodyText"/>
        <w:spacing w:line="261" w:lineRule="auto" w:before="1"/>
        <w:ind w:left="1837" w:right="1721" w:firstLine="567"/>
        <w:jc w:val="both"/>
      </w:pPr>
      <w:r>
        <w:rPr>
          <w:color w:val="231F20"/>
          <w:w w:val="105"/>
        </w:rPr>
        <w:t>En resumen, el municipio de Nezahualcóyotl experimenta una in- tensa movilidad poblacional en diversas modalidades, direcciones y de forma</w:t>
      </w:r>
      <w:r>
        <w:rPr>
          <w:color w:val="231F20"/>
          <w:spacing w:val="-18"/>
          <w:w w:val="105"/>
        </w:rPr>
        <w:t> </w:t>
      </w:r>
      <w:r>
        <w:rPr>
          <w:color w:val="231F20"/>
          <w:w w:val="105"/>
        </w:rPr>
        <w:t>simultánea,</w:t>
      </w:r>
      <w:r>
        <w:rPr>
          <w:color w:val="231F20"/>
          <w:spacing w:val="-22"/>
          <w:w w:val="105"/>
        </w:rPr>
        <w:t> </w:t>
      </w:r>
      <w:r>
        <w:rPr>
          <w:color w:val="231F20"/>
          <w:w w:val="105"/>
        </w:rPr>
        <w:t>es</w:t>
      </w:r>
      <w:r>
        <w:rPr>
          <w:color w:val="231F20"/>
          <w:spacing w:val="-18"/>
          <w:w w:val="105"/>
        </w:rPr>
        <w:t> </w:t>
      </w:r>
      <w:r>
        <w:rPr>
          <w:color w:val="231F20"/>
          <w:w w:val="105"/>
        </w:rPr>
        <w:t>decir,</w:t>
      </w:r>
      <w:r>
        <w:rPr>
          <w:color w:val="231F20"/>
          <w:spacing w:val="-22"/>
          <w:w w:val="105"/>
        </w:rPr>
        <w:t> </w:t>
      </w:r>
      <w:r>
        <w:rPr>
          <w:color w:val="231F20"/>
          <w:w w:val="105"/>
        </w:rPr>
        <w:t>emigración</w:t>
      </w:r>
      <w:r>
        <w:rPr>
          <w:color w:val="231F20"/>
          <w:spacing w:val="-18"/>
          <w:w w:val="105"/>
        </w:rPr>
        <w:t> </w:t>
      </w:r>
      <w:r>
        <w:rPr>
          <w:color w:val="231F20"/>
          <w:w w:val="105"/>
        </w:rPr>
        <w:t>hacia</w:t>
      </w:r>
      <w:r>
        <w:rPr>
          <w:color w:val="231F20"/>
          <w:spacing w:val="-18"/>
          <w:w w:val="105"/>
        </w:rPr>
        <w:t> </w:t>
      </w:r>
      <w:r>
        <w:rPr>
          <w:color w:val="231F20"/>
          <w:w w:val="105"/>
        </w:rPr>
        <w:t>otros</w:t>
      </w:r>
      <w:r>
        <w:rPr>
          <w:color w:val="231F20"/>
          <w:spacing w:val="-18"/>
          <w:w w:val="105"/>
        </w:rPr>
        <w:t> </w:t>
      </w:r>
      <w:r>
        <w:rPr>
          <w:color w:val="231F20"/>
          <w:w w:val="105"/>
        </w:rPr>
        <w:t>municipios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zona metropolitana y el Distrito Federal, principalmente, pero también emi- gración</w:t>
      </w:r>
      <w:r>
        <w:rPr>
          <w:color w:val="231F20"/>
          <w:spacing w:val="-35"/>
          <w:w w:val="105"/>
        </w:rPr>
        <w:t> </w:t>
      </w:r>
      <w:r>
        <w:rPr>
          <w:color w:val="231F20"/>
          <w:w w:val="105"/>
        </w:rPr>
        <w:t>internacional</w:t>
      </w:r>
      <w:r>
        <w:rPr>
          <w:color w:val="231F20"/>
          <w:spacing w:val="-35"/>
          <w:w w:val="105"/>
        </w:rPr>
        <w:t> </w:t>
      </w:r>
      <w:r>
        <w:rPr>
          <w:color w:val="231F20"/>
          <w:w w:val="105"/>
        </w:rPr>
        <w:t>(fundamentalmente</w:t>
      </w:r>
      <w:r>
        <w:rPr>
          <w:color w:val="231F20"/>
          <w:spacing w:val="-35"/>
          <w:w w:val="105"/>
        </w:rPr>
        <w:t> </w:t>
      </w:r>
      <w:r>
        <w:rPr>
          <w:color w:val="231F20"/>
          <w:w w:val="105"/>
        </w:rPr>
        <w:t>Estados</w:t>
      </w:r>
      <w:r>
        <w:rPr>
          <w:color w:val="231F20"/>
          <w:spacing w:val="-35"/>
          <w:w w:val="105"/>
        </w:rPr>
        <w:t> </w:t>
      </w:r>
      <w:r>
        <w:rPr>
          <w:color w:val="231F20"/>
          <w:w w:val="105"/>
        </w:rPr>
        <w:t>Unidos).</w:t>
      </w:r>
      <w:r>
        <w:rPr>
          <w:color w:val="231F20"/>
          <w:spacing w:val="-38"/>
          <w:w w:val="105"/>
        </w:rPr>
        <w:t> </w:t>
      </w:r>
      <w:r>
        <w:rPr>
          <w:color w:val="231F20"/>
          <w:w w:val="105"/>
        </w:rPr>
        <w:t>En</w:t>
      </w:r>
      <w:r>
        <w:rPr>
          <w:color w:val="231F20"/>
          <w:spacing w:val="-35"/>
          <w:w w:val="105"/>
        </w:rPr>
        <w:t> </w:t>
      </w:r>
      <w:r>
        <w:rPr>
          <w:color w:val="231F20"/>
          <w:w w:val="105"/>
        </w:rPr>
        <w:t>otras</w:t>
      </w:r>
      <w:r>
        <w:rPr>
          <w:color w:val="231F20"/>
          <w:spacing w:val="-35"/>
          <w:w w:val="105"/>
        </w:rPr>
        <w:t> </w:t>
      </w:r>
      <w:r>
        <w:rPr>
          <w:color w:val="231F20"/>
          <w:w w:val="105"/>
        </w:rPr>
        <w:t>pala- bras,</w:t>
      </w:r>
      <w:r>
        <w:rPr>
          <w:color w:val="231F20"/>
          <w:spacing w:val="-18"/>
          <w:w w:val="105"/>
        </w:rPr>
        <w:t> </w:t>
      </w:r>
      <w:r>
        <w:rPr>
          <w:color w:val="231F20"/>
          <w:w w:val="105"/>
        </w:rPr>
        <w:t>mantiene</w:t>
      </w:r>
      <w:r>
        <w:rPr>
          <w:color w:val="231F20"/>
          <w:spacing w:val="-13"/>
          <w:w w:val="105"/>
        </w:rPr>
        <w:t> </w:t>
      </w:r>
      <w:r>
        <w:rPr>
          <w:color w:val="231F20"/>
          <w:w w:val="105"/>
        </w:rPr>
        <w:t>una</w:t>
      </w:r>
      <w:r>
        <w:rPr>
          <w:color w:val="231F20"/>
          <w:spacing w:val="-13"/>
          <w:w w:val="105"/>
        </w:rPr>
        <w:t> </w:t>
      </w:r>
      <w:r>
        <w:rPr>
          <w:color w:val="231F20"/>
          <w:w w:val="105"/>
        </w:rPr>
        <w:t>dinámica</w:t>
      </w:r>
      <w:r>
        <w:rPr>
          <w:color w:val="231F20"/>
          <w:spacing w:val="-13"/>
          <w:w w:val="105"/>
        </w:rPr>
        <w:t> </w:t>
      </w:r>
      <w:r>
        <w:rPr>
          <w:color w:val="231F20"/>
          <w:w w:val="105"/>
        </w:rPr>
        <w:t>de</w:t>
      </w:r>
      <w:r>
        <w:rPr>
          <w:color w:val="231F20"/>
          <w:spacing w:val="-13"/>
          <w:w w:val="105"/>
        </w:rPr>
        <w:t> </w:t>
      </w:r>
      <w:r>
        <w:rPr>
          <w:color w:val="231F20"/>
          <w:w w:val="105"/>
        </w:rPr>
        <w:t>inmigración</w:t>
      </w:r>
      <w:r>
        <w:rPr>
          <w:color w:val="231F20"/>
          <w:spacing w:val="-13"/>
          <w:w w:val="105"/>
        </w:rPr>
        <w:t> </w:t>
      </w:r>
      <w:r>
        <w:rPr>
          <w:color w:val="231F20"/>
          <w:w w:val="105"/>
        </w:rPr>
        <w:t>constante</w:t>
      </w:r>
      <w:r>
        <w:rPr>
          <w:color w:val="231F20"/>
          <w:spacing w:val="-13"/>
          <w:w w:val="105"/>
        </w:rPr>
        <w:t> </w:t>
      </w:r>
      <w:r>
        <w:rPr>
          <w:color w:val="231F20"/>
          <w:w w:val="105"/>
        </w:rPr>
        <w:t>al</w:t>
      </w:r>
      <w:r>
        <w:rPr>
          <w:color w:val="231F20"/>
          <w:spacing w:val="-13"/>
          <w:w w:val="105"/>
        </w:rPr>
        <w:t> </w:t>
      </w:r>
      <w:r>
        <w:rPr>
          <w:color w:val="231F20"/>
          <w:w w:val="105"/>
        </w:rPr>
        <w:t>aceptar</w:t>
      </w:r>
      <w:r>
        <w:rPr>
          <w:color w:val="231F20"/>
          <w:spacing w:val="-13"/>
          <w:w w:val="105"/>
        </w:rPr>
        <w:t> </w:t>
      </w:r>
      <w:r>
        <w:rPr>
          <w:color w:val="231F20"/>
          <w:w w:val="105"/>
        </w:rPr>
        <w:t>pobla- dores</w:t>
      </w:r>
      <w:r>
        <w:rPr>
          <w:color w:val="231F20"/>
          <w:spacing w:val="-9"/>
          <w:w w:val="105"/>
        </w:rPr>
        <w:t> </w:t>
      </w:r>
      <w:r>
        <w:rPr>
          <w:color w:val="231F20"/>
          <w:w w:val="105"/>
        </w:rPr>
        <w:t>procedentes</w:t>
      </w:r>
      <w:r>
        <w:rPr>
          <w:color w:val="231F20"/>
          <w:spacing w:val="-9"/>
          <w:w w:val="105"/>
        </w:rPr>
        <w:t> </w:t>
      </w:r>
      <w:r>
        <w:rPr>
          <w:color w:val="231F20"/>
          <w:w w:val="105"/>
        </w:rPr>
        <w:t>de</w:t>
      </w:r>
      <w:r>
        <w:rPr>
          <w:color w:val="231F20"/>
          <w:spacing w:val="-9"/>
          <w:w w:val="105"/>
        </w:rPr>
        <w:t> </w:t>
      </w:r>
      <w:r>
        <w:rPr>
          <w:color w:val="231F20"/>
          <w:w w:val="105"/>
        </w:rPr>
        <w:t>diversas</w:t>
      </w:r>
      <w:r>
        <w:rPr>
          <w:color w:val="231F20"/>
          <w:spacing w:val="-9"/>
          <w:w w:val="105"/>
        </w:rPr>
        <w:t> </w:t>
      </w:r>
      <w:r>
        <w:rPr>
          <w:color w:val="231F20"/>
          <w:w w:val="105"/>
        </w:rPr>
        <w:t>entidades</w:t>
      </w:r>
      <w:r>
        <w:rPr>
          <w:color w:val="231F20"/>
          <w:spacing w:val="-9"/>
          <w:w w:val="105"/>
        </w:rPr>
        <w:t> </w:t>
      </w:r>
      <w:r>
        <w:rPr>
          <w:color w:val="231F20"/>
          <w:w w:val="105"/>
        </w:rPr>
        <w:t>del</w:t>
      </w:r>
      <w:r>
        <w:rPr>
          <w:color w:val="231F20"/>
          <w:spacing w:val="-9"/>
          <w:w w:val="105"/>
        </w:rPr>
        <w:t> </w:t>
      </w:r>
      <w:r>
        <w:rPr>
          <w:color w:val="231F20"/>
          <w:w w:val="105"/>
        </w:rPr>
        <w:t>país</w:t>
      </w:r>
      <w:r>
        <w:rPr>
          <w:color w:val="231F20"/>
          <w:w w:val="105"/>
          <w:position w:val="7"/>
          <w:sz w:val="12"/>
        </w:rPr>
        <w:t>3</w:t>
      </w:r>
      <w:r>
        <w:rPr>
          <w:color w:val="231F20"/>
          <w:spacing w:val="16"/>
          <w:w w:val="105"/>
          <w:position w:val="7"/>
          <w:sz w:val="12"/>
        </w:rPr>
        <w:t> </w:t>
      </w:r>
      <w:r>
        <w:rPr>
          <w:color w:val="231F20"/>
          <w:w w:val="105"/>
        </w:rPr>
        <w:t>y</w:t>
      </w:r>
      <w:r>
        <w:rPr>
          <w:color w:val="231F20"/>
          <w:spacing w:val="-9"/>
          <w:w w:val="105"/>
        </w:rPr>
        <w:t> </w:t>
      </w:r>
      <w:r>
        <w:rPr>
          <w:color w:val="231F20"/>
          <w:w w:val="105"/>
        </w:rPr>
        <w:t>al</w:t>
      </w:r>
      <w:r>
        <w:rPr>
          <w:color w:val="231F20"/>
          <w:spacing w:val="-9"/>
          <w:w w:val="105"/>
        </w:rPr>
        <w:t> </w:t>
      </w:r>
      <w:r>
        <w:rPr>
          <w:color w:val="231F20"/>
          <w:w w:val="105"/>
        </w:rPr>
        <w:t>recibir</w:t>
      </w:r>
      <w:r>
        <w:rPr>
          <w:color w:val="231F20"/>
          <w:spacing w:val="-9"/>
          <w:w w:val="105"/>
        </w:rPr>
        <w:t> </w:t>
      </w:r>
      <w:r>
        <w:rPr>
          <w:color w:val="231F20"/>
          <w:w w:val="105"/>
        </w:rPr>
        <w:t>migrantes de retorno</w:t>
      </w:r>
      <w:r>
        <w:rPr>
          <w:color w:val="231F20"/>
          <w:spacing w:val="-9"/>
          <w:w w:val="105"/>
        </w:rPr>
        <w:t> </w:t>
      </w:r>
      <w:r>
        <w:rPr>
          <w:color w:val="231F20"/>
          <w:w w:val="105"/>
        </w:rPr>
        <w:t>internacional.</w:t>
      </w:r>
    </w:p>
    <w:p>
      <w:pPr>
        <w:pStyle w:val="BodyText"/>
        <w:spacing w:line="261" w:lineRule="auto" w:before="1"/>
        <w:ind w:left="1837" w:right="1718" w:firstLine="567"/>
        <w:jc w:val="both"/>
      </w:pPr>
      <w:r>
        <w:rPr>
          <w:color w:val="231F20"/>
          <w:w w:val="105"/>
        </w:rPr>
        <w:t>En </w:t>
      </w:r>
      <w:r>
        <w:rPr>
          <w:color w:val="231F20"/>
          <w:spacing w:val="-3"/>
          <w:w w:val="105"/>
        </w:rPr>
        <w:t>relación </w:t>
      </w:r>
      <w:r>
        <w:rPr>
          <w:color w:val="231F20"/>
          <w:w w:val="105"/>
        </w:rPr>
        <w:t>con los </w:t>
      </w:r>
      <w:r>
        <w:rPr>
          <w:color w:val="231F20"/>
          <w:spacing w:val="-3"/>
          <w:w w:val="105"/>
        </w:rPr>
        <w:t>emigrantes </w:t>
      </w:r>
      <w:r>
        <w:rPr>
          <w:color w:val="231F20"/>
          <w:w w:val="105"/>
        </w:rPr>
        <w:t>que </w:t>
      </w:r>
      <w:r>
        <w:rPr>
          <w:color w:val="231F20"/>
          <w:spacing w:val="-3"/>
          <w:w w:val="105"/>
        </w:rPr>
        <w:t>salieron directamente </w:t>
      </w:r>
      <w:r>
        <w:rPr>
          <w:color w:val="231F20"/>
          <w:w w:val="105"/>
        </w:rPr>
        <w:t>de Ne- </w:t>
      </w:r>
      <w:r>
        <w:rPr>
          <w:color w:val="231F20"/>
          <w:spacing w:val="-3"/>
          <w:w w:val="105"/>
        </w:rPr>
        <w:t>zahualcóyotl </w:t>
      </w:r>
      <w:r>
        <w:rPr>
          <w:color w:val="231F20"/>
          <w:w w:val="105"/>
        </w:rPr>
        <w:t>a </w:t>
      </w:r>
      <w:r>
        <w:rPr>
          <w:color w:val="231F20"/>
          <w:spacing w:val="-3"/>
          <w:w w:val="105"/>
        </w:rPr>
        <w:t>Estados Unidos, </w:t>
      </w:r>
      <w:r>
        <w:rPr>
          <w:color w:val="231F20"/>
          <w:w w:val="105"/>
        </w:rPr>
        <w:t>en la </w:t>
      </w:r>
      <w:r>
        <w:rPr>
          <w:color w:val="231F20"/>
          <w:spacing w:val="-3"/>
          <w:w w:val="105"/>
        </w:rPr>
        <w:t>última década </w:t>
      </w:r>
      <w:r>
        <w:rPr>
          <w:color w:val="231F20"/>
          <w:w w:val="105"/>
        </w:rPr>
        <w:t>se </w:t>
      </w:r>
      <w:r>
        <w:rPr>
          <w:color w:val="231F20"/>
          <w:spacing w:val="-3"/>
          <w:w w:val="105"/>
        </w:rPr>
        <w:t>reconoce </w:t>
      </w:r>
      <w:r>
        <w:rPr>
          <w:color w:val="231F20"/>
          <w:w w:val="105"/>
        </w:rPr>
        <w:t>un </w:t>
      </w:r>
      <w:r>
        <w:rPr>
          <w:color w:val="231F20"/>
          <w:spacing w:val="-3"/>
          <w:w w:val="105"/>
        </w:rPr>
        <w:t>des- censo, </w:t>
      </w:r>
      <w:r>
        <w:rPr>
          <w:color w:val="231F20"/>
          <w:spacing w:val="-4"/>
          <w:w w:val="105"/>
        </w:rPr>
        <w:t>registrado </w:t>
      </w:r>
      <w:r>
        <w:rPr>
          <w:color w:val="231F20"/>
          <w:w w:val="105"/>
        </w:rPr>
        <w:t>en el </w:t>
      </w:r>
      <w:r>
        <w:rPr>
          <w:color w:val="231F20"/>
          <w:spacing w:val="-3"/>
          <w:w w:val="105"/>
        </w:rPr>
        <w:t>censo </w:t>
      </w:r>
      <w:r>
        <w:rPr>
          <w:color w:val="231F20"/>
          <w:w w:val="105"/>
        </w:rPr>
        <w:t>de </w:t>
      </w:r>
      <w:r>
        <w:rPr>
          <w:color w:val="231F20"/>
          <w:spacing w:val="-3"/>
          <w:w w:val="105"/>
        </w:rPr>
        <w:t>población entre </w:t>
      </w:r>
      <w:r>
        <w:rPr>
          <w:color w:val="231F20"/>
          <w:w w:val="105"/>
        </w:rPr>
        <w:t>los </w:t>
      </w:r>
      <w:r>
        <w:rPr>
          <w:color w:val="231F20"/>
          <w:spacing w:val="-3"/>
          <w:w w:val="105"/>
        </w:rPr>
        <w:t>años 2000 </w:t>
      </w:r>
      <w:r>
        <w:rPr>
          <w:color w:val="231F20"/>
          <w:w w:val="105"/>
        </w:rPr>
        <w:t>y </w:t>
      </w:r>
      <w:r>
        <w:rPr>
          <w:color w:val="231F20"/>
          <w:spacing w:val="-3"/>
          <w:w w:val="105"/>
        </w:rPr>
        <w:t>2010. Entre 2005 </w:t>
      </w:r>
      <w:r>
        <w:rPr>
          <w:color w:val="231F20"/>
          <w:w w:val="105"/>
        </w:rPr>
        <w:t>y </w:t>
      </w:r>
      <w:r>
        <w:rPr>
          <w:color w:val="231F20"/>
          <w:spacing w:val="-3"/>
          <w:w w:val="105"/>
        </w:rPr>
        <w:t>2010 salieron </w:t>
      </w:r>
      <w:r>
        <w:rPr>
          <w:color w:val="231F20"/>
          <w:w w:val="105"/>
        </w:rPr>
        <w:t>63% </w:t>
      </w:r>
      <w:r>
        <w:rPr>
          <w:color w:val="231F20"/>
          <w:spacing w:val="-3"/>
          <w:w w:val="105"/>
        </w:rPr>
        <w:t>menos personas </w:t>
      </w:r>
      <w:r>
        <w:rPr>
          <w:color w:val="231F20"/>
          <w:w w:val="105"/>
        </w:rPr>
        <w:t>con </w:t>
      </w:r>
      <w:r>
        <w:rPr>
          <w:color w:val="231F20"/>
          <w:spacing w:val="-3"/>
          <w:w w:val="105"/>
        </w:rPr>
        <w:t>destino </w:t>
      </w:r>
      <w:r>
        <w:rPr>
          <w:color w:val="231F20"/>
          <w:w w:val="105"/>
        </w:rPr>
        <w:t>a </w:t>
      </w:r>
      <w:r>
        <w:rPr>
          <w:color w:val="231F20"/>
          <w:spacing w:val="-3"/>
          <w:w w:val="105"/>
        </w:rPr>
        <w:t>Estados Unidos</w:t>
      </w:r>
      <w:r>
        <w:rPr>
          <w:color w:val="231F20"/>
          <w:spacing w:val="-18"/>
          <w:w w:val="105"/>
        </w:rPr>
        <w:t> </w:t>
      </w:r>
      <w:r>
        <w:rPr>
          <w:color w:val="231F20"/>
          <w:w w:val="105"/>
        </w:rPr>
        <w:t>que</w:t>
      </w:r>
      <w:r>
        <w:rPr>
          <w:color w:val="231F20"/>
          <w:spacing w:val="-18"/>
          <w:w w:val="105"/>
        </w:rPr>
        <w:t> </w:t>
      </w:r>
      <w:r>
        <w:rPr>
          <w:color w:val="231F20"/>
          <w:spacing w:val="-3"/>
          <w:w w:val="105"/>
        </w:rPr>
        <w:t>quienes</w:t>
      </w:r>
      <w:r>
        <w:rPr>
          <w:color w:val="231F20"/>
          <w:spacing w:val="-18"/>
          <w:w w:val="105"/>
        </w:rPr>
        <w:t> </w:t>
      </w:r>
      <w:r>
        <w:rPr>
          <w:color w:val="231F20"/>
          <w:spacing w:val="-3"/>
          <w:w w:val="105"/>
        </w:rPr>
        <w:t>salieron</w:t>
      </w:r>
      <w:r>
        <w:rPr>
          <w:color w:val="231F20"/>
          <w:spacing w:val="-18"/>
          <w:w w:val="105"/>
        </w:rPr>
        <w:t> </w:t>
      </w:r>
      <w:r>
        <w:rPr>
          <w:color w:val="231F20"/>
          <w:spacing w:val="-3"/>
          <w:w w:val="105"/>
        </w:rPr>
        <w:t>entre</w:t>
      </w:r>
      <w:r>
        <w:rPr>
          <w:color w:val="231F20"/>
          <w:spacing w:val="-18"/>
          <w:w w:val="105"/>
        </w:rPr>
        <w:t> </w:t>
      </w:r>
      <w:r>
        <w:rPr>
          <w:color w:val="231F20"/>
          <w:spacing w:val="-3"/>
          <w:w w:val="105"/>
        </w:rPr>
        <w:t>1995</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año</w:t>
      </w:r>
      <w:r>
        <w:rPr>
          <w:color w:val="231F20"/>
          <w:spacing w:val="-18"/>
          <w:w w:val="105"/>
        </w:rPr>
        <w:t> </w:t>
      </w:r>
      <w:r>
        <w:rPr>
          <w:color w:val="231F20"/>
          <w:spacing w:val="-3"/>
          <w:w w:val="105"/>
        </w:rPr>
        <w:t>2000.</w:t>
      </w:r>
      <w:r>
        <w:rPr>
          <w:color w:val="231F20"/>
          <w:spacing w:val="-23"/>
          <w:w w:val="105"/>
        </w:rPr>
        <w:t> </w:t>
      </w:r>
      <w:r>
        <w:rPr>
          <w:color w:val="231F20"/>
          <w:spacing w:val="-7"/>
          <w:w w:val="105"/>
        </w:rPr>
        <w:t>Por</w:t>
      </w:r>
      <w:r>
        <w:rPr>
          <w:color w:val="231F20"/>
          <w:spacing w:val="-18"/>
          <w:w w:val="105"/>
        </w:rPr>
        <w:t> </w:t>
      </w:r>
      <w:r>
        <w:rPr>
          <w:color w:val="231F20"/>
          <w:w w:val="105"/>
        </w:rPr>
        <w:t>el</w:t>
      </w:r>
      <w:r>
        <w:rPr>
          <w:color w:val="231F20"/>
          <w:spacing w:val="-18"/>
          <w:w w:val="105"/>
        </w:rPr>
        <w:t> </w:t>
      </w:r>
      <w:r>
        <w:rPr>
          <w:color w:val="231F20"/>
          <w:spacing w:val="-4"/>
          <w:w w:val="105"/>
        </w:rPr>
        <w:t>contrario,</w:t>
      </w:r>
      <w:r>
        <w:rPr>
          <w:color w:val="231F20"/>
          <w:spacing w:val="-23"/>
          <w:w w:val="105"/>
        </w:rPr>
        <w:t> </w:t>
      </w:r>
      <w:r>
        <w:rPr>
          <w:color w:val="231F20"/>
          <w:spacing w:val="-3"/>
          <w:w w:val="105"/>
        </w:rPr>
        <w:t>los migrantes</w:t>
      </w:r>
      <w:r>
        <w:rPr>
          <w:color w:val="231F20"/>
          <w:spacing w:val="-14"/>
          <w:w w:val="105"/>
        </w:rPr>
        <w:t> </w:t>
      </w:r>
      <w:r>
        <w:rPr>
          <w:color w:val="231F20"/>
          <w:w w:val="105"/>
        </w:rPr>
        <w:t>de</w:t>
      </w:r>
      <w:r>
        <w:rPr>
          <w:color w:val="231F20"/>
          <w:spacing w:val="-14"/>
          <w:w w:val="105"/>
        </w:rPr>
        <w:t> </w:t>
      </w:r>
      <w:r>
        <w:rPr>
          <w:color w:val="231F20"/>
          <w:spacing w:val="-3"/>
          <w:w w:val="105"/>
        </w:rPr>
        <w:t>retorno</w:t>
      </w:r>
      <w:r>
        <w:rPr>
          <w:color w:val="231F20"/>
          <w:spacing w:val="-14"/>
          <w:w w:val="105"/>
        </w:rPr>
        <w:t> </w:t>
      </w:r>
      <w:r>
        <w:rPr>
          <w:color w:val="231F20"/>
          <w:spacing w:val="-4"/>
          <w:w w:val="105"/>
        </w:rPr>
        <w:t>registrados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quinquenio</w:t>
      </w:r>
      <w:r>
        <w:rPr>
          <w:color w:val="231F20"/>
          <w:spacing w:val="-14"/>
          <w:w w:val="105"/>
        </w:rPr>
        <w:t> </w:t>
      </w:r>
      <w:r>
        <w:rPr>
          <w:color w:val="231F20"/>
          <w:spacing w:val="-3"/>
          <w:w w:val="105"/>
        </w:rPr>
        <w:t>1995-2000</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spacing w:val="-3"/>
          <w:w w:val="105"/>
        </w:rPr>
        <w:t>periodo siguiente (2005-2010) tuvieron </w:t>
      </w:r>
      <w:r>
        <w:rPr>
          <w:color w:val="231F20"/>
          <w:w w:val="105"/>
        </w:rPr>
        <w:t>un </w:t>
      </w:r>
      <w:r>
        <w:rPr>
          <w:color w:val="231F20"/>
          <w:spacing w:val="-3"/>
          <w:w w:val="105"/>
        </w:rPr>
        <w:t>importante </w:t>
      </w:r>
      <w:r>
        <w:rPr>
          <w:color w:val="231F20"/>
          <w:spacing w:val="-4"/>
          <w:w w:val="105"/>
        </w:rPr>
        <w:t>incremento, </w:t>
      </w:r>
      <w:r>
        <w:rPr>
          <w:color w:val="231F20"/>
          <w:w w:val="105"/>
        </w:rPr>
        <w:t>los </w:t>
      </w:r>
      <w:r>
        <w:rPr>
          <w:color w:val="231F20"/>
          <w:spacing w:val="-4"/>
          <w:w w:val="105"/>
        </w:rPr>
        <w:t>retornados </w:t>
      </w:r>
      <w:r>
        <w:rPr>
          <w:color w:val="231F20"/>
          <w:w w:val="105"/>
        </w:rPr>
        <w:t>en</w:t>
      </w:r>
      <w:r>
        <w:rPr>
          <w:color w:val="231F20"/>
          <w:spacing w:val="-24"/>
          <w:w w:val="105"/>
        </w:rPr>
        <w:t> </w:t>
      </w:r>
      <w:r>
        <w:rPr>
          <w:color w:val="231F20"/>
          <w:spacing w:val="-3"/>
          <w:w w:val="105"/>
        </w:rPr>
        <w:t>este</w:t>
      </w:r>
      <w:r>
        <w:rPr>
          <w:color w:val="231F20"/>
          <w:spacing w:val="-24"/>
          <w:w w:val="105"/>
        </w:rPr>
        <w:t> </w:t>
      </w:r>
      <w:r>
        <w:rPr>
          <w:color w:val="231F20"/>
          <w:spacing w:val="-3"/>
          <w:w w:val="105"/>
        </w:rPr>
        <w:t>último</w:t>
      </w:r>
      <w:r>
        <w:rPr>
          <w:color w:val="231F20"/>
          <w:spacing w:val="-24"/>
          <w:w w:val="105"/>
        </w:rPr>
        <w:t> </w:t>
      </w:r>
      <w:r>
        <w:rPr>
          <w:color w:val="231F20"/>
          <w:spacing w:val="-3"/>
          <w:w w:val="105"/>
        </w:rPr>
        <w:t>quinquenio</w:t>
      </w:r>
      <w:r>
        <w:rPr>
          <w:color w:val="231F20"/>
          <w:spacing w:val="-24"/>
          <w:w w:val="105"/>
        </w:rPr>
        <w:t> </w:t>
      </w:r>
      <w:r>
        <w:rPr>
          <w:color w:val="231F20"/>
          <w:spacing w:val="-4"/>
          <w:w w:val="105"/>
        </w:rPr>
        <w:t>representaron</w:t>
      </w:r>
      <w:r>
        <w:rPr>
          <w:color w:val="231F20"/>
          <w:spacing w:val="-24"/>
          <w:w w:val="105"/>
        </w:rPr>
        <w:t> </w:t>
      </w:r>
      <w:r>
        <w:rPr>
          <w:color w:val="231F20"/>
          <w:w w:val="105"/>
        </w:rPr>
        <w:t>40%</w:t>
      </w:r>
      <w:r>
        <w:rPr>
          <w:color w:val="231F20"/>
          <w:spacing w:val="-24"/>
          <w:w w:val="105"/>
        </w:rPr>
        <w:t> </w:t>
      </w:r>
      <w:r>
        <w:rPr>
          <w:color w:val="231F20"/>
          <w:w w:val="105"/>
        </w:rPr>
        <w:t>más</w:t>
      </w:r>
      <w:r>
        <w:rPr>
          <w:color w:val="231F20"/>
          <w:spacing w:val="-24"/>
          <w:w w:val="105"/>
        </w:rPr>
        <w:t> </w:t>
      </w:r>
      <w:r>
        <w:rPr>
          <w:color w:val="231F20"/>
          <w:w w:val="105"/>
        </w:rPr>
        <w:t>que</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spacing w:val="-3"/>
          <w:w w:val="105"/>
        </w:rPr>
        <w:t>inmediato</w:t>
      </w:r>
      <w:r>
        <w:rPr>
          <w:color w:val="231F20"/>
          <w:spacing w:val="-24"/>
          <w:w w:val="105"/>
        </w:rPr>
        <w:t> </w:t>
      </w:r>
      <w:r>
        <w:rPr>
          <w:color w:val="231F20"/>
          <w:w w:val="105"/>
        </w:rPr>
        <w:t>an- </w:t>
      </w:r>
      <w:r>
        <w:rPr>
          <w:color w:val="231F20"/>
          <w:spacing w:val="-4"/>
          <w:w w:val="105"/>
        </w:rPr>
        <w:t>terior.</w:t>
      </w:r>
      <w:r>
        <w:rPr>
          <w:color w:val="231F20"/>
          <w:spacing w:val="-19"/>
          <w:w w:val="105"/>
        </w:rPr>
        <w:t> </w:t>
      </w:r>
      <w:r>
        <w:rPr>
          <w:color w:val="231F20"/>
          <w:w w:val="105"/>
        </w:rPr>
        <w:t>Sin</w:t>
      </w:r>
      <w:r>
        <w:rPr>
          <w:color w:val="231F20"/>
          <w:spacing w:val="-13"/>
          <w:w w:val="105"/>
        </w:rPr>
        <w:t> </w:t>
      </w:r>
      <w:r>
        <w:rPr>
          <w:color w:val="231F20"/>
          <w:spacing w:val="-3"/>
          <w:w w:val="105"/>
        </w:rPr>
        <w:t>duda,</w:t>
      </w:r>
      <w:r>
        <w:rPr>
          <w:color w:val="231F20"/>
          <w:spacing w:val="-19"/>
          <w:w w:val="105"/>
        </w:rPr>
        <w:t> </w:t>
      </w:r>
      <w:r>
        <w:rPr>
          <w:color w:val="231F20"/>
          <w:w w:val="105"/>
        </w:rPr>
        <w:t>el</w:t>
      </w:r>
      <w:r>
        <w:rPr>
          <w:color w:val="231F20"/>
          <w:spacing w:val="-13"/>
          <w:w w:val="105"/>
        </w:rPr>
        <w:t> </w:t>
      </w:r>
      <w:r>
        <w:rPr>
          <w:color w:val="231F20"/>
          <w:spacing w:val="-3"/>
          <w:w w:val="105"/>
        </w:rPr>
        <w:t>incremento</w:t>
      </w:r>
      <w:r>
        <w:rPr>
          <w:color w:val="231F20"/>
          <w:spacing w:val="-13"/>
          <w:w w:val="105"/>
        </w:rPr>
        <w:t> </w:t>
      </w:r>
      <w:r>
        <w:rPr>
          <w:color w:val="231F20"/>
          <w:w w:val="105"/>
        </w:rPr>
        <w:t>más</w:t>
      </w:r>
      <w:r>
        <w:rPr>
          <w:color w:val="231F20"/>
          <w:spacing w:val="-13"/>
          <w:w w:val="105"/>
        </w:rPr>
        <w:t> </w:t>
      </w:r>
      <w:r>
        <w:rPr>
          <w:color w:val="231F20"/>
          <w:spacing w:val="-3"/>
          <w:w w:val="105"/>
        </w:rPr>
        <w:t>significativo</w:t>
      </w:r>
      <w:r>
        <w:rPr>
          <w:color w:val="231F20"/>
          <w:spacing w:val="-13"/>
          <w:w w:val="105"/>
        </w:rPr>
        <w:t> </w:t>
      </w:r>
      <w:r>
        <w:rPr>
          <w:color w:val="231F20"/>
          <w:w w:val="105"/>
        </w:rPr>
        <w:t>es</w:t>
      </w:r>
      <w:r>
        <w:rPr>
          <w:color w:val="231F20"/>
          <w:spacing w:val="-13"/>
          <w:w w:val="105"/>
        </w:rPr>
        <w:t> </w:t>
      </w:r>
      <w:r>
        <w:rPr>
          <w:color w:val="231F20"/>
          <w:w w:val="105"/>
        </w:rPr>
        <w:t>el</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spacing w:val="-4"/>
          <w:w w:val="105"/>
        </w:rPr>
        <w:t>registra</w:t>
      </w:r>
      <w:r>
        <w:rPr>
          <w:color w:val="231F20"/>
          <w:spacing w:val="-13"/>
          <w:w w:val="105"/>
        </w:rPr>
        <w:t> </w:t>
      </w:r>
      <w:r>
        <w:rPr>
          <w:color w:val="231F20"/>
          <w:spacing w:val="-3"/>
          <w:w w:val="105"/>
        </w:rPr>
        <w:t>com- parando</w:t>
      </w:r>
      <w:r>
        <w:rPr>
          <w:color w:val="231F20"/>
          <w:spacing w:val="-13"/>
          <w:w w:val="105"/>
        </w:rPr>
        <w:t> </w:t>
      </w:r>
      <w:r>
        <w:rPr>
          <w:color w:val="231F20"/>
          <w:w w:val="105"/>
        </w:rPr>
        <w:t>el</w:t>
      </w:r>
      <w:r>
        <w:rPr>
          <w:color w:val="231F20"/>
          <w:spacing w:val="-13"/>
          <w:w w:val="105"/>
        </w:rPr>
        <w:t> </w:t>
      </w:r>
      <w:r>
        <w:rPr>
          <w:color w:val="231F20"/>
          <w:spacing w:val="-3"/>
          <w:w w:val="105"/>
        </w:rPr>
        <w:t>número</w:t>
      </w:r>
      <w:r>
        <w:rPr>
          <w:color w:val="231F20"/>
          <w:spacing w:val="-13"/>
          <w:w w:val="105"/>
        </w:rPr>
        <w:t> </w:t>
      </w:r>
      <w:r>
        <w:rPr>
          <w:color w:val="231F20"/>
          <w:w w:val="105"/>
        </w:rPr>
        <w:t>de</w:t>
      </w:r>
      <w:r>
        <w:rPr>
          <w:color w:val="231F20"/>
          <w:spacing w:val="-13"/>
          <w:w w:val="105"/>
        </w:rPr>
        <w:t> </w:t>
      </w:r>
      <w:r>
        <w:rPr>
          <w:color w:val="231F20"/>
          <w:spacing w:val="-3"/>
          <w:w w:val="105"/>
        </w:rPr>
        <w:t>personas</w:t>
      </w:r>
      <w:r>
        <w:rPr>
          <w:color w:val="231F20"/>
          <w:spacing w:val="-13"/>
          <w:w w:val="105"/>
        </w:rPr>
        <w:t> </w:t>
      </w:r>
      <w:r>
        <w:rPr>
          <w:color w:val="231F20"/>
          <w:spacing w:val="-3"/>
          <w:w w:val="105"/>
        </w:rPr>
        <w:t>retornadas</w:t>
      </w:r>
      <w:r>
        <w:rPr>
          <w:color w:val="231F20"/>
          <w:spacing w:val="-13"/>
          <w:w w:val="105"/>
        </w:rPr>
        <w:t> </w:t>
      </w:r>
      <w:r>
        <w:rPr>
          <w:color w:val="231F20"/>
          <w:spacing w:val="-3"/>
          <w:w w:val="105"/>
        </w:rPr>
        <w:t>entre</w:t>
      </w:r>
      <w:r>
        <w:rPr>
          <w:color w:val="231F20"/>
          <w:spacing w:val="-13"/>
          <w:w w:val="105"/>
        </w:rPr>
        <w:t> </w:t>
      </w:r>
      <w:r>
        <w:rPr>
          <w:color w:val="231F20"/>
          <w:spacing w:val="-3"/>
          <w:w w:val="105"/>
        </w:rPr>
        <w:t>2000</w:t>
      </w:r>
      <w:r>
        <w:rPr>
          <w:color w:val="231F20"/>
          <w:spacing w:val="-13"/>
          <w:w w:val="105"/>
        </w:rPr>
        <w:t> </w:t>
      </w:r>
      <w:r>
        <w:rPr>
          <w:color w:val="231F20"/>
          <w:w w:val="105"/>
        </w:rPr>
        <w:t>y</w:t>
      </w:r>
      <w:r>
        <w:rPr>
          <w:color w:val="231F20"/>
          <w:spacing w:val="-13"/>
          <w:w w:val="105"/>
        </w:rPr>
        <w:t> </w:t>
      </w:r>
      <w:r>
        <w:rPr>
          <w:color w:val="231F20"/>
          <w:spacing w:val="-3"/>
          <w:w w:val="105"/>
        </w:rPr>
        <w:t>2005,</w:t>
      </w:r>
      <w:r>
        <w:rPr>
          <w:color w:val="231F20"/>
          <w:spacing w:val="-18"/>
          <w:w w:val="105"/>
        </w:rPr>
        <w:t> </w:t>
      </w:r>
      <w:r>
        <w:rPr>
          <w:color w:val="231F20"/>
          <w:w w:val="105"/>
        </w:rPr>
        <w:t>y</w:t>
      </w:r>
      <w:r>
        <w:rPr>
          <w:color w:val="231F20"/>
          <w:spacing w:val="-13"/>
          <w:w w:val="105"/>
        </w:rPr>
        <w:t> </w:t>
      </w:r>
      <w:r>
        <w:rPr>
          <w:color w:val="231F20"/>
          <w:spacing w:val="-3"/>
          <w:w w:val="105"/>
        </w:rPr>
        <w:t>aquellos </w:t>
      </w:r>
      <w:r>
        <w:rPr>
          <w:color w:val="231F20"/>
          <w:w w:val="105"/>
        </w:rPr>
        <w:t>que</w:t>
      </w:r>
      <w:r>
        <w:rPr>
          <w:color w:val="231F20"/>
          <w:spacing w:val="-7"/>
          <w:w w:val="105"/>
        </w:rPr>
        <w:t> </w:t>
      </w:r>
      <w:r>
        <w:rPr>
          <w:color w:val="231F20"/>
          <w:spacing w:val="-3"/>
          <w:w w:val="105"/>
        </w:rPr>
        <w:t>volvieron</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spacing w:val="-3"/>
          <w:w w:val="105"/>
        </w:rPr>
        <w:t>quinquenio</w:t>
      </w:r>
      <w:r>
        <w:rPr>
          <w:color w:val="231F20"/>
          <w:spacing w:val="-7"/>
          <w:w w:val="105"/>
        </w:rPr>
        <w:t> </w:t>
      </w:r>
      <w:r>
        <w:rPr>
          <w:color w:val="231F20"/>
          <w:spacing w:val="-3"/>
          <w:w w:val="105"/>
        </w:rPr>
        <w:t>siguiente</w:t>
      </w:r>
      <w:r>
        <w:rPr>
          <w:color w:val="231F20"/>
          <w:spacing w:val="-7"/>
          <w:w w:val="105"/>
        </w:rPr>
        <w:t> </w:t>
      </w:r>
      <w:r>
        <w:rPr>
          <w:color w:val="231F20"/>
          <w:spacing w:val="-3"/>
          <w:w w:val="105"/>
        </w:rPr>
        <w:t>(2005-2010):</w:t>
      </w:r>
      <w:r>
        <w:rPr>
          <w:color w:val="231F20"/>
          <w:spacing w:val="-7"/>
          <w:w w:val="105"/>
        </w:rPr>
        <w:t> </w:t>
      </w:r>
      <w:r>
        <w:rPr>
          <w:color w:val="231F20"/>
          <w:w w:val="105"/>
        </w:rPr>
        <w:t>la</w:t>
      </w:r>
      <w:r>
        <w:rPr>
          <w:color w:val="231F20"/>
          <w:spacing w:val="-7"/>
          <w:w w:val="105"/>
        </w:rPr>
        <w:t> </w:t>
      </w:r>
      <w:r>
        <w:rPr>
          <w:color w:val="231F20"/>
          <w:spacing w:val="-3"/>
          <w:w w:val="105"/>
        </w:rPr>
        <w:t>diferencia</w:t>
      </w:r>
      <w:r>
        <w:rPr>
          <w:color w:val="231F20"/>
          <w:spacing w:val="-7"/>
          <w:w w:val="105"/>
        </w:rPr>
        <w:t> </w:t>
      </w:r>
      <w:r>
        <w:rPr>
          <w:color w:val="231F20"/>
          <w:w w:val="105"/>
        </w:rPr>
        <w:t>es</w:t>
      </w:r>
      <w:r>
        <w:rPr>
          <w:color w:val="231F20"/>
          <w:spacing w:val="-7"/>
          <w:w w:val="105"/>
        </w:rPr>
        <w:t> </w:t>
      </w:r>
      <w:r>
        <w:rPr>
          <w:color w:val="231F20"/>
          <w:spacing w:val="-3"/>
          <w:w w:val="105"/>
        </w:rPr>
        <w:t>de </w:t>
      </w:r>
      <w:r>
        <w:rPr>
          <w:color w:val="231F20"/>
          <w:w w:val="105"/>
        </w:rPr>
        <w:t>66</w:t>
      </w:r>
      <w:r>
        <w:rPr>
          <w:color w:val="231F20"/>
          <w:spacing w:val="-23"/>
          <w:w w:val="105"/>
        </w:rPr>
        <w:t> </w:t>
      </w:r>
      <w:r>
        <w:rPr>
          <w:color w:val="231F20"/>
          <w:w w:val="105"/>
        </w:rPr>
        <w:t>%</w:t>
      </w:r>
      <w:r>
        <w:rPr>
          <w:color w:val="231F20"/>
          <w:spacing w:val="-23"/>
          <w:w w:val="105"/>
        </w:rPr>
        <w:t> </w:t>
      </w:r>
      <w:r>
        <w:rPr>
          <w:color w:val="231F20"/>
          <w:w w:val="105"/>
        </w:rPr>
        <w:t>más</w:t>
      </w:r>
      <w:r>
        <w:rPr>
          <w:color w:val="231F20"/>
          <w:spacing w:val="-23"/>
          <w:w w:val="105"/>
        </w:rPr>
        <w:t> </w:t>
      </w:r>
      <w:r>
        <w:rPr>
          <w:color w:val="231F20"/>
          <w:spacing w:val="-3"/>
          <w:w w:val="105"/>
        </w:rPr>
        <w:t>retornados</w:t>
      </w:r>
      <w:r>
        <w:rPr>
          <w:color w:val="231F20"/>
          <w:spacing w:val="-23"/>
          <w:w w:val="105"/>
        </w:rPr>
        <w:t> </w:t>
      </w:r>
      <w:r>
        <w:rPr>
          <w:color w:val="231F20"/>
          <w:w w:val="105"/>
        </w:rPr>
        <w:t>en</w:t>
      </w:r>
      <w:r>
        <w:rPr>
          <w:color w:val="231F20"/>
          <w:spacing w:val="-23"/>
          <w:w w:val="105"/>
        </w:rPr>
        <w:t> </w:t>
      </w:r>
      <w:r>
        <w:rPr>
          <w:color w:val="231F20"/>
          <w:spacing w:val="-3"/>
          <w:w w:val="105"/>
        </w:rPr>
        <w:t>éste</w:t>
      </w:r>
      <w:r>
        <w:rPr>
          <w:color w:val="231F20"/>
          <w:spacing w:val="-23"/>
          <w:w w:val="105"/>
        </w:rPr>
        <w:t> </w:t>
      </w:r>
      <w:r>
        <w:rPr>
          <w:color w:val="231F20"/>
          <w:spacing w:val="-3"/>
          <w:w w:val="105"/>
        </w:rPr>
        <w:t>último</w:t>
      </w:r>
      <w:r>
        <w:rPr>
          <w:color w:val="231F20"/>
          <w:spacing w:val="-23"/>
          <w:w w:val="105"/>
        </w:rPr>
        <w:t> </w:t>
      </w:r>
      <w:r>
        <w:rPr>
          <w:color w:val="231F20"/>
          <w:spacing w:val="-3"/>
          <w:w w:val="105"/>
        </w:rPr>
        <w:t>periodo</w:t>
      </w:r>
      <w:r>
        <w:rPr>
          <w:color w:val="231F20"/>
          <w:spacing w:val="-23"/>
          <w:w w:val="105"/>
        </w:rPr>
        <w:t> </w:t>
      </w:r>
      <w:r>
        <w:rPr>
          <w:color w:val="231F20"/>
          <w:w w:val="105"/>
        </w:rPr>
        <w:t>(</w:t>
      </w:r>
      <w:r>
        <w:rPr>
          <w:color w:val="231F20"/>
          <w:w w:val="105"/>
          <w:sz w:val="17"/>
        </w:rPr>
        <w:t>INEGI</w:t>
      </w:r>
      <w:r>
        <w:rPr>
          <w:color w:val="231F20"/>
          <w:w w:val="105"/>
        </w:rPr>
        <w:t>,</w:t>
      </w:r>
      <w:r>
        <w:rPr>
          <w:color w:val="231F20"/>
          <w:spacing w:val="-27"/>
          <w:w w:val="105"/>
        </w:rPr>
        <w:t> </w:t>
      </w:r>
      <w:r>
        <w:rPr>
          <w:color w:val="231F20"/>
          <w:spacing w:val="-3"/>
          <w:w w:val="105"/>
        </w:rPr>
        <w:t>2010).</w:t>
      </w:r>
    </w:p>
    <w:p>
      <w:pPr>
        <w:pStyle w:val="BodyText"/>
        <w:spacing w:line="261" w:lineRule="auto" w:before="1"/>
        <w:ind w:left="1837" w:right="1721" w:firstLine="567"/>
        <w:jc w:val="both"/>
      </w:pPr>
      <w:r>
        <w:rPr>
          <w:color w:val="231F20"/>
          <w:w w:val="105"/>
        </w:rPr>
        <w:t>La información demográfica muestra que el retorno migratorio a Nezahualcóyotl</w:t>
      </w:r>
      <w:r>
        <w:rPr>
          <w:color w:val="231F20"/>
          <w:spacing w:val="-9"/>
          <w:w w:val="105"/>
        </w:rPr>
        <w:t> </w:t>
      </w:r>
      <w:r>
        <w:rPr>
          <w:color w:val="231F20"/>
          <w:w w:val="105"/>
        </w:rPr>
        <w:t>se</w:t>
      </w:r>
      <w:r>
        <w:rPr>
          <w:color w:val="231F20"/>
          <w:spacing w:val="-9"/>
          <w:w w:val="105"/>
        </w:rPr>
        <w:t> </w:t>
      </w:r>
      <w:r>
        <w:rPr>
          <w:color w:val="231F20"/>
          <w:w w:val="105"/>
        </w:rPr>
        <w:t>ha</w:t>
      </w:r>
      <w:r>
        <w:rPr>
          <w:color w:val="231F20"/>
          <w:spacing w:val="-9"/>
          <w:w w:val="105"/>
        </w:rPr>
        <w:t> </w:t>
      </w:r>
      <w:r>
        <w:rPr>
          <w:color w:val="231F20"/>
          <w:w w:val="105"/>
        </w:rPr>
        <w:t>incrementado</w:t>
      </w:r>
      <w:r>
        <w:rPr>
          <w:color w:val="231F20"/>
          <w:spacing w:val="-9"/>
          <w:w w:val="105"/>
        </w:rPr>
        <w:t> </w:t>
      </w:r>
      <w:r>
        <w:rPr>
          <w:color w:val="231F20"/>
          <w:w w:val="105"/>
        </w:rPr>
        <w:t>durante</w:t>
      </w:r>
      <w:r>
        <w:rPr>
          <w:color w:val="231F20"/>
          <w:spacing w:val="-9"/>
          <w:w w:val="105"/>
        </w:rPr>
        <w:t> </w:t>
      </w:r>
      <w:r>
        <w:rPr>
          <w:color w:val="231F20"/>
          <w:w w:val="105"/>
        </w:rPr>
        <w:t>la</w:t>
      </w:r>
      <w:r>
        <w:rPr>
          <w:color w:val="231F20"/>
          <w:spacing w:val="-9"/>
          <w:w w:val="105"/>
        </w:rPr>
        <w:t> </w:t>
      </w:r>
      <w:r>
        <w:rPr>
          <w:color w:val="231F20"/>
          <w:w w:val="105"/>
        </w:rPr>
        <w:t>última</w:t>
      </w:r>
      <w:r>
        <w:rPr>
          <w:color w:val="231F20"/>
          <w:spacing w:val="-9"/>
          <w:w w:val="105"/>
        </w:rPr>
        <w:t> </w:t>
      </w:r>
      <w:r>
        <w:rPr>
          <w:color w:val="231F20"/>
          <w:w w:val="105"/>
        </w:rPr>
        <w:t>década</w:t>
      </w:r>
      <w:r>
        <w:rPr>
          <w:color w:val="231F20"/>
          <w:spacing w:val="-9"/>
          <w:w w:val="105"/>
        </w:rPr>
        <w:t> </w:t>
      </w:r>
      <w:r>
        <w:rPr>
          <w:color w:val="231F20"/>
          <w:w w:val="105"/>
        </w:rPr>
        <w:t>y</w:t>
      </w:r>
      <w:r>
        <w:rPr>
          <w:color w:val="231F20"/>
          <w:spacing w:val="-9"/>
          <w:w w:val="105"/>
        </w:rPr>
        <w:t> </w:t>
      </w:r>
      <w:r>
        <w:rPr>
          <w:color w:val="231F20"/>
          <w:w w:val="105"/>
        </w:rPr>
        <w:t>con</w:t>
      </w:r>
      <w:r>
        <w:rPr>
          <w:color w:val="231F20"/>
          <w:spacing w:val="-9"/>
          <w:w w:val="105"/>
        </w:rPr>
        <w:t> </w:t>
      </w:r>
      <w:r>
        <w:rPr>
          <w:color w:val="231F20"/>
          <w:w w:val="105"/>
        </w:rPr>
        <w:t>ma- yor énfasis entre 2005-2010, periodo que coincide con la  </w:t>
      </w:r>
      <w:r>
        <w:rPr>
          <w:color w:val="231F20"/>
          <w:spacing w:val="19"/>
          <w:w w:val="105"/>
        </w:rPr>
        <w:t> </w:t>
      </w:r>
      <w:r>
        <w:rPr>
          <w:color w:val="231F20"/>
          <w:w w:val="105"/>
        </w:rPr>
        <w:t>agudización</w:t>
      </w:r>
    </w:p>
    <w:p>
      <w:pPr>
        <w:pStyle w:val="BodyText"/>
        <w:rPr>
          <w:sz w:val="20"/>
        </w:rPr>
      </w:pPr>
    </w:p>
    <w:p>
      <w:pPr>
        <w:pStyle w:val="BodyText"/>
        <w:spacing w:before="10"/>
        <w:rPr>
          <w:sz w:val="10"/>
        </w:rPr>
      </w:pPr>
      <w:r>
        <w:rPr/>
        <w:pict>
          <v:line style="position:absolute;mso-position-horizontal-relative:page;mso-position-vertical-relative:paragraph;z-index:11824;mso-wrap-distance-left:0;mso-wrap-distance-right:0" from="91.866096pt,8.266373pt" to="205.252096pt,8.266373pt" stroked="true" strokeweight=".25pt" strokecolor="#231f20">
            <w10:wrap type="topAndBottom"/>
          </v:line>
        </w:pict>
      </w:r>
    </w:p>
    <w:p>
      <w:pPr>
        <w:spacing w:line="192" w:lineRule="exact" w:before="7"/>
        <w:ind w:left="1837" w:right="1721" w:firstLine="0"/>
        <w:jc w:val="both"/>
        <w:rPr>
          <w:rFonts w:ascii="Calibri" w:hAnsi="Calibri"/>
          <w:sz w:val="16"/>
        </w:rPr>
      </w:pPr>
      <w:r>
        <w:rPr>
          <w:rFonts w:ascii="Calibri" w:hAnsi="Calibri"/>
          <w:color w:val="414042"/>
          <w:w w:val="105"/>
          <w:position w:val="5"/>
          <w:sz w:val="9"/>
        </w:rPr>
        <w:t>3 </w:t>
      </w:r>
      <w:r>
        <w:rPr>
          <w:rFonts w:ascii="Calibri" w:hAnsi="Calibri"/>
          <w:color w:val="414042"/>
          <w:w w:val="105"/>
          <w:sz w:val="16"/>
        </w:rPr>
        <w:t>Destacan los inmigrantes llegados en los últimos cinco años procedentes de otros municipios metro- politanos</w:t>
      </w:r>
      <w:r>
        <w:rPr>
          <w:rFonts w:ascii="Calibri" w:hAnsi="Calibri"/>
          <w:color w:val="414042"/>
          <w:spacing w:val="-6"/>
          <w:w w:val="105"/>
          <w:sz w:val="16"/>
        </w:rPr>
        <w:t> </w:t>
      </w:r>
      <w:r>
        <w:rPr>
          <w:rFonts w:ascii="Calibri" w:hAnsi="Calibri"/>
          <w:color w:val="414042"/>
          <w:w w:val="105"/>
          <w:sz w:val="16"/>
        </w:rPr>
        <w:t>del</w:t>
      </w:r>
      <w:r>
        <w:rPr>
          <w:rFonts w:ascii="Calibri" w:hAnsi="Calibri"/>
          <w:color w:val="414042"/>
          <w:spacing w:val="-8"/>
          <w:w w:val="105"/>
          <w:sz w:val="16"/>
        </w:rPr>
        <w:t> </w:t>
      </w:r>
      <w:r>
        <w:rPr>
          <w:rFonts w:ascii="Calibri" w:hAnsi="Calibri"/>
          <w:color w:val="414042"/>
          <w:w w:val="105"/>
          <w:sz w:val="16"/>
        </w:rPr>
        <w:t>valle</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México:</w:t>
      </w:r>
      <w:r>
        <w:rPr>
          <w:rFonts w:ascii="Calibri" w:hAnsi="Calibri"/>
          <w:color w:val="414042"/>
          <w:spacing w:val="-6"/>
          <w:w w:val="105"/>
          <w:sz w:val="16"/>
        </w:rPr>
        <w:t> </w:t>
      </w:r>
      <w:r>
        <w:rPr>
          <w:rFonts w:ascii="Calibri" w:hAnsi="Calibri"/>
          <w:color w:val="414042"/>
          <w:w w:val="105"/>
          <w:sz w:val="16"/>
        </w:rPr>
        <w:t>Ecatepec</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Morelos,</w:t>
      </w:r>
      <w:r>
        <w:rPr>
          <w:rFonts w:ascii="Calibri" w:hAnsi="Calibri"/>
          <w:color w:val="414042"/>
          <w:spacing w:val="-6"/>
          <w:w w:val="105"/>
          <w:sz w:val="16"/>
        </w:rPr>
        <w:t> </w:t>
      </w:r>
      <w:r>
        <w:rPr>
          <w:rFonts w:ascii="Calibri" w:hAnsi="Calibri"/>
          <w:color w:val="414042"/>
          <w:w w:val="105"/>
          <w:sz w:val="16"/>
        </w:rPr>
        <w:t>Chimalhuacán,</w:t>
      </w:r>
      <w:r>
        <w:rPr>
          <w:rFonts w:ascii="Calibri" w:hAnsi="Calibri"/>
          <w:color w:val="414042"/>
          <w:spacing w:val="-6"/>
          <w:w w:val="105"/>
          <w:sz w:val="16"/>
        </w:rPr>
        <w:t> </w:t>
      </w:r>
      <w:r>
        <w:rPr>
          <w:rFonts w:ascii="Calibri" w:hAnsi="Calibri"/>
          <w:color w:val="414042"/>
          <w:w w:val="105"/>
          <w:sz w:val="16"/>
        </w:rPr>
        <w:t>Ixtapaluca,</w:t>
      </w:r>
      <w:r>
        <w:rPr>
          <w:rFonts w:ascii="Calibri" w:hAnsi="Calibri"/>
          <w:color w:val="414042"/>
          <w:spacing w:val="-7"/>
          <w:w w:val="105"/>
          <w:sz w:val="16"/>
        </w:rPr>
        <w:t> </w:t>
      </w:r>
      <w:r>
        <w:rPr>
          <w:rFonts w:ascii="Calibri" w:hAnsi="Calibri"/>
          <w:color w:val="414042"/>
          <w:w w:val="105"/>
          <w:sz w:val="16"/>
        </w:rPr>
        <w:t>y</w:t>
      </w:r>
      <w:r>
        <w:rPr>
          <w:rFonts w:ascii="Calibri" w:hAnsi="Calibri"/>
          <w:color w:val="414042"/>
          <w:spacing w:val="-6"/>
          <w:w w:val="105"/>
          <w:sz w:val="16"/>
        </w:rPr>
        <w:t> </w:t>
      </w:r>
      <w:r>
        <w:rPr>
          <w:rFonts w:ascii="Calibri" w:hAnsi="Calibri"/>
          <w:color w:val="414042"/>
          <w:w w:val="105"/>
          <w:sz w:val="16"/>
        </w:rPr>
        <w:t>Chalco</w:t>
      </w:r>
      <w:r>
        <w:rPr>
          <w:rFonts w:ascii="Calibri" w:hAnsi="Calibri"/>
          <w:color w:val="414042"/>
          <w:spacing w:val="-6"/>
          <w:w w:val="105"/>
          <w:sz w:val="16"/>
        </w:rPr>
        <w:t> </w:t>
      </w:r>
      <w:r>
        <w:rPr>
          <w:rFonts w:ascii="Calibri" w:hAnsi="Calibri"/>
          <w:color w:val="414042"/>
          <w:w w:val="105"/>
          <w:sz w:val="16"/>
        </w:rPr>
        <w:t>del</w:t>
      </w:r>
      <w:r>
        <w:rPr>
          <w:rFonts w:ascii="Calibri" w:hAnsi="Calibri"/>
          <w:color w:val="414042"/>
          <w:spacing w:val="-6"/>
          <w:w w:val="105"/>
          <w:sz w:val="16"/>
        </w:rPr>
        <w:t> </w:t>
      </w:r>
      <w:r>
        <w:rPr>
          <w:rFonts w:ascii="Calibri" w:hAnsi="Calibri"/>
          <w:color w:val="414042"/>
          <w:w w:val="105"/>
          <w:sz w:val="16"/>
        </w:rPr>
        <w:t>Estado,</w:t>
      </w:r>
      <w:r>
        <w:rPr>
          <w:rFonts w:ascii="Calibri" w:hAnsi="Calibri"/>
          <w:color w:val="414042"/>
          <w:spacing w:val="-6"/>
          <w:w w:val="105"/>
          <w:sz w:val="16"/>
        </w:rPr>
        <w:t> </w:t>
      </w:r>
      <w:r>
        <w:rPr>
          <w:rFonts w:ascii="Calibri" w:hAnsi="Calibri"/>
          <w:color w:val="414042"/>
          <w:w w:val="105"/>
          <w:sz w:val="16"/>
        </w:rPr>
        <w:t>así como de las delegaciones Iztapalapa, Gustavo A. Madero y Venustiano Carranza del Distrito Federal </w:t>
      </w:r>
      <w:r>
        <w:rPr>
          <w:rFonts w:ascii="Calibri" w:hAnsi="Calibri"/>
          <w:color w:val="414042"/>
          <w:sz w:val="16"/>
        </w:rPr>
        <w:t>(</w:t>
      </w:r>
      <w:r>
        <w:rPr>
          <w:rFonts w:ascii="Calibri" w:hAnsi="Calibri"/>
          <w:color w:val="414042"/>
          <w:sz w:val="13"/>
        </w:rPr>
        <w:t>INEGI</w:t>
      </w:r>
      <w:r>
        <w:rPr>
          <w:rFonts w:ascii="Calibri" w:hAnsi="Calibri"/>
          <w:color w:val="414042"/>
          <w:sz w:val="16"/>
        </w:rPr>
        <w:t>,</w:t>
      </w:r>
      <w:r>
        <w:rPr>
          <w:rFonts w:ascii="Calibri" w:hAnsi="Calibri"/>
          <w:color w:val="414042"/>
          <w:spacing w:val="5"/>
          <w:sz w:val="16"/>
        </w:rPr>
        <w:t> </w:t>
      </w:r>
      <w:r>
        <w:rPr>
          <w:rFonts w:ascii="Calibri" w:hAnsi="Calibri"/>
          <w:color w:val="414042"/>
          <w:sz w:val="16"/>
        </w:rPr>
        <w:t>2010).</w:t>
      </w:r>
    </w:p>
    <w:p>
      <w:pPr>
        <w:spacing w:after="0" w:line="192" w:lineRule="exact"/>
        <w:jc w:val="both"/>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34"/>
        <w:jc w:val="both"/>
      </w:pPr>
      <w:r>
        <w:rPr/>
        <w:pict>
          <v:line style="position:absolute;mso-position-horizontal-relative:page;mso-position-vertical-relative:paragraph;z-index:12016" from="15pt,-68.636444pt" to="0pt,-68.636444pt" stroked="true" strokeweight=".25pt" strokecolor="#000000">
            <w10:wrap type="none"/>
          </v:line>
        </w:pict>
      </w:r>
      <w:r>
        <w:rPr/>
        <w:pict>
          <v:line style="position:absolute;mso-position-horizontal-relative:page;mso-position-vertical-relative:paragraph;z-index:12040" from="508.890015pt,-68.636444pt" to="523.890015pt,-68.636444pt" stroked="true" strokeweight=".25pt" strokecolor="#000000">
            <w10:wrap type="none"/>
          </v:line>
        </w:pic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crisis</w:t>
      </w:r>
      <w:r>
        <w:rPr>
          <w:color w:val="231F20"/>
          <w:spacing w:val="-10"/>
          <w:w w:val="105"/>
        </w:rPr>
        <w:t> </w:t>
      </w:r>
      <w:r>
        <w:rPr>
          <w:color w:val="231F20"/>
          <w:w w:val="105"/>
        </w:rPr>
        <w:t>económica</w:t>
      </w:r>
      <w:r>
        <w:rPr>
          <w:color w:val="231F20"/>
          <w:spacing w:val="-10"/>
          <w:w w:val="105"/>
        </w:rPr>
        <w:t> </w:t>
      </w:r>
      <w:r>
        <w:rPr>
          <w:color w:val="231F20"/>
          <w:w w:val="105"/>
        </w:rPr>
        <w:t>internacional</w:t>
      </w:r>
      <w:r>
        <w:rPr>
          <w:color w:val="231F20"/>
          <w:spacing w:val="-10"/>
          <w:w w:val="105"/>
        </w:rPr>
        <w:t> </w:t>
      </w:r>
      <w:r>
        <w:rPr>
          <w:color w:val="231F20"/>
          <w:w w:val="105"/>
        </w:rPr>
        <w:t>y</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evidente</w:t>
      </w:r>
      <w:r>
        <w:rPr>
          <w:color w:val="231F20"/>
          <w:spacing w:val="-10"/>
          <w:w w:val="105"/>
        </w:rPr>
        <w:t> </w:t>
      </w:r>
      <w:r>
        <w:rPr>
          <w:color w:val="231F20"/>
          <w:w w:val="105"/>
        </w:rPr>
        <w:t>contracción</w:t>
      </w:r>
      <w:r>
        <w:rPr>
          <w:color w:val="231F20"/>
          <w:spacing w:val="-10"/>
          <w:w w:val="105"/>
        </w:rPr>
        <w:t> </w:t>
      </w:r>
      <w:r>
        <w:rPr>
          <w:color w:val="231F20"/>
          <w:w w:val="105"/>
        </w:rPr>
        <w:t>de</w:t>
      </w:r>
      <w:r>
        <w:rPr>
          <w:color w:val="231F20"/>
          <w:spacing w:val="-10"/>
          <w:w w:val="105"/>
        </w:rPr>
        <w:t> </w:t>
      </w:r>
      <w:r>
        <w:rPr>
          <w:color w:val="231F20"/>
          <w:w w:val="105"/>
        </w:rPr>
        <w:t>los mercados de trabajo, sobre todo de los mercados de trabajo no espe- cializados</w:t>
      </w:r>
      <w:r>
        <w:rPr>
          <w:color w:val="231F20"/>
          <w:spacing w:val="-11"/>
          <w:w w:val="105"/>
        </w:rPr>
        <w:t> </w:t>
      </w:r>
      <w:r>
        <w:rPr>
          <w:color w:val="231F20"/>
          <w:w w:val="105"/>
        </w:rPr>
        <w:t>donde</w:t>
      </w:r>
      <w:r>
        <w:rPr>
          <w:color w:val="231F20"/>
          <w:spacing w:val="-11"/>
          <w:w w:val="105"/>
        </w:rPr>
        <w:t> </w:t>
      </w:r>
      <w:r>
        <w:rPr>
          <w:color w:val="231F20"/>
          <w:w w:val="105"/>
        </w:rPr>
        <w:t>se</w:t>
      </w:r>
      <w:r>
        <w:rPr>
          <w:color w:val="231F20"/>
          <w:spacing w:val="-11"/>
          <w:w w:val="105"/>
        </w:rPr>
        <w:t> </w:t>
      </w:r>
      <w:r>
        <w:rPr>
          <w:color w:val="231F20"/>
          <w:w w:val="105"/>
        </w:rPr>
        <w:t>insertan</w:t>
      </w:r>
      <w:r>
        <w:rPr>
          <w:color w:val="231F20"/>
          <w:spacing w:val="-11"/>
          <w:w w:val="105"/>
        </w:rPr>
        <w:t> </w:t>
      </w:r>
      <w:r>
        <w:rPr>
          <w:color w:val="231F20"/>
          <w:w w:val="105"/>
        </w:rPr>
        <w:t>los</w:t>
      </w:r>
      <w:r>
        <w:rPr>
          <w:color w:val="231F20"/>
          <w:spacing w:val="-11"/>
          <w:w w:val="105"/>
        </w:rPr>
        <w:t> </w:t>
      </w:r>
      <w:r>
        <w:rPr>
          <w:color w:val="231F20"/>
          <w:w w:val="105"/>
        </w:rPr>
        <w:t>inmigrantes</w:t>
      </w:r>
      <w:r>
        <w:rPr>
          <w:color w:val="231F20"/>
          <w:spacing w:val="-11"/>
          <w:w w:val="105"/>
        </w:rPr>
        <w:t> </w:t>
      </w:r>
      <w:r>
        <w:rPr>
          <w:color w:val="231F20"/>
          <w:w w:val="105"/>
        </w:rPr>
        <w:t>indocumentados</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so- ciedades receptoras de mano de obra internacional, como en Estados Unidos</w:t>
      </w:r>
      <w:r>
        <w:rPr>
          <w:color w:val="231F20"/>
          <w:spacing w:val="-26"/>
          <w:w w:val="105"/>
        </w:rPr>
        <w:t> </w:t>
      </w:r>
      <w:r>
        <w:rPr>
          <w:color w:val="231F20"/>
          <w:w w:val="105"/>
        </w:rPr>
        <w:t>y</w:t>
      </w:r>
      <w:r>
        <w:rPr>
          <w:color w:val="231F20"/>
          <w:spacing w:val="-26"/>
          <w:w w:val="105"/>
        </w:rPr>
        <w:t> </w:t>
      </w:r>
      <w:r>
        <w:rPr>
          <w:color w:val="231F20"/>
          <w:w w:val="105"/>
        </w:rPr>
        <w:t>algunos</w:t>
      </w:r>
      <w:r>
        <w:rPr>
          <w:color w:val="231F20"/>
          <w:spacing w:val="-26"/>
          <w:w w:val="105"/>
        </w:rPr>
        <w:t> </w:t>
      </w:r>
      <w:r>
        <w:rPr>
          <w:color w:val="231F20"/>
          <w:w w:val="105"/>
        </w:rPr>
        <w:t>países</w:t>
      </w:r>
      <w:r>
        <w:rPr>
          <w:color w:val="231F20"/>
          <w:spacing w:val="-26"/>
          <w:w w:val="105"/>
        </w:rPr>
        <w:t> </w:t>
      </w:r>
      <w:r>
        <w:rPr>
          <w:color w:val="231F20"/>
          <w:w w:val="105"/>
        </w:rPr>
        <w:t>europeos</w:t>
      </w:r>
      <w:r>
        <w:rPr>
          <w:color w:val="231F20"/>
          <w:spacing w:val="-26"/>
          <w:w w:val="105"/>
        </w:rPr>
        <w:t> </w:t>
      </w:r>
      <w:r>
        <w:rPr>
          <w:color w:val="231F20"/>
          <w:w w:val="105"/>
        </w:rPr>
        <w:t>(Alarcón,</w:t>
      </w:r>
      <w:r>
        <w:rPr>
          <w:color w:val="231F20"/>
          <w:spacing w:val="-30"/>
          <w:w w:val="105"/>
        </w:rPr>
        <w:t> </w:t>
      </w:r>
      <w:r>
        <w:rPr>
          <w:color w:val="231F20"/>
          <w:w w:val="105"/>
        </w:rPr>
        <w:t>2008).</w:t>
      </w:r>
    </w:p>
    <w:p>
      <w:pPr>
        <w:pStyle w:val="BodyText"/>
        <w:spacing w:line="261" w:lineRule="auto" w:before="1"/>
        <w:ind w:left="1723" w:right="1830" w:firstLine="567"/>
        <w:jc w:val="both"/>
      </w:pPr>
      <w:r>
        <w:rPr>
          <w:color w:val="231F20"/>
          <w:spacing w:val="-3"/>
          <w:w w:val="105"/>
        </w:rPr>
        <w:t>Asimismo, este incremento </w:t>
      </w:r>
      <w:r>
        <w:rPr>
          <w:color w:val="231F20"/>
          <w:w w:val="105"/>
        </w:rPr>
        <w:t>en el </w:t>
      </w:r>
      <w:r>
        <w:rPr>
          <w:color w:val="231F20"/>
          <w:spacing w:val="-3"/>
          <w:w w:val="105"/>
        </w:rPr>
        <w:t>volumen </w:t>
      </w:r>
      <w:r>
        <w:rPr>
          <w:color w:val="231F20"/>
          <w:w w:val="105"/>
        </w:rPr>
        <w:t>de </w:t>
      </w:r>
      <w:r>
        <w:rPr>
          <w:color w:val="231F20"/>
          <w:spacing w:val="-3"/>
          <w:w w:val="105"/>
        </w:rPr>
        <w:t>retornados podría re- flejar</w:t>
      </w:r>
      <w:r>
        <w:rPr>
          <w:color w:val="231F20"/>
          <w:spacing w:val="-15"/>
          <w:w w:val="105"/>
        </w:rPr>
        <w:t> </w:t>
      </w:r>
      <w:r>
        <w:rPr>
          <w:color w:val="231F20"/>
          <w:w w:val="105"/>
        </w:rPr>
        <w:t>el</w:t>
      </w:r>
      <w:r>
        <w:rPr>
          <w:color w:val="231F20"/>
          <w:spacing w:val="-15"/>
          <w:w w:val="105"/>
        </w:rPr>
        <w:t> </w:t>
      </w:r>
      <w:r>
        <w:rPr>
          <w:color w:val="231F20"/>
          <w:spacing w:val="-3"/>
          <w:w w:val="105"/>
        </w:rPr>
        <w:t>efecto</w:t>
      </w:r>
      <w:r>
        <w:rPr>
          <w:color w:val="231F20"/>
          <w:spacing w:val="-15"/>
          <w:w w:val="105"/>
        </w:rPr>
        <w:t> </w:t>
      </w:r>
      <w:r>
        <w:rPr>
          <w:color w:val="231F20"/>
          <w:w w:val="105"/>
        </w:rPr>
        <w:t>que</w:t>
      </w:r>
      <w:r>
        <w:rPr>
          <w:color w:val="231F20"/>
          <w:spacing w:val="-15"/>
          <w:w w:val="105"/>
        </w:rPr>
        <w:t> </w:t>
      </w:r>
      <w:r>
        <w:rPr>
          <w:color w:val="231F20"/>
          <w:spacing w:val="-3"/>
          <w:w w:val="105"/>
        </w:rPr>
        <w:t>tienen</w:t>
      </w:r>
      <w:r>
        <w:rPr>
          <w:color w:val="231F20"/>
          <w:spacing w:val="-15"/>
          <w:w w:val="105"/>
        </w:rPr>
        <w:t> </w:t>
      </w:r>
      <w:r>
        <w:rPr>
          <w:color w:val="231F20"/>
          <w:spacing w:val="-3"/>
          <w:w w:val="105"/>
        </w:rPr>
        <w:t>sobre</w:t>
      </w:r>
      <w:r>
        <w:rPr>
          <w:color w:val="231F20"/>
          <w:spacing w:val="-15"/>
          <w:w w:val="105"/>
        </w:rPr>
        <w:t> </w:t>
      </w:r>
      <w:r>
        <w:rPr>
          <w:color w:val="231F20"/>
          <w:w w:val="105"/>
        </w:rPr>
        <w:t>la</w:t>
      </w:r>
      <w:r>
        <w:rPr>
          <w:color w:val="231F20"/>
          <w:spacing w:val="-15"/>
          <w:w w:val="105"/>
        </w:rPr>
        <w:t> </w:t>
      </w:r>
      <w:r>
        <w:rPr>
          <w:color w:val="231F20"/>
          <w:spacing w:val="-3"/>
          <w:w w:val="105"/>
        </w:rPr>
        <w:t>dinámica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spacing w:val="-3"/>
          <w:w w:val="105"/>
        </w:rPr>
        <w:t>flujos</w:t>
      </w:r>
      <w:r>
        <w:rPr>
          <w:color w:val="231F20"/>
          <w:spacing w:val="-15"/>
          <w:w w:val="105"/>
        </w:rPr>
        <w:t> </w:t>
      </w:r>
      <w:r>
        <w:rPr>
          <w:color w:val="231F20"/>
          <w:spacing w:val="-4"/>
          <w:w w:val="105"/>
        </w:rPr>
        <w:t>migratorios</w:t>
      </w:r>
      <w:r>
        <w:rPr>
          <w:color w:val="231F20"/>
          <w:spacing w:val="-15"/>
          <w:w w:val="105"/>
        </w:rPr>
        <w:t> </w:t>
      </w:r>
      <w:r>
        <w:rPr>
          <w:color w:val="231F20"/>
          <w:w w:val="105"/>
        </w:rPr>
        <w:t>la</w:t>
      </w:r>
      <w:r>
        <w:rPr>
          <w:color w:val="231F20"/>
          <w:spacing w:val="-15"/>
          <w:w w:val="105"/>
        </w:rPr>
        <w:t> </w:t>
      </w:r>
      <w:r>
        <w:rPr>
          <w:color w:val="231F20"/>
          <w:w w:val="105"/>
        </w:rPr>
        <w:t>im- </w:t>
      </w:r>
      <w:r>
        <w:rPr>
          <w:color w:val="231F20"/>
          <w:spacing w:val="-3"/>
          <w:w w:val="105"/>
        </w:rPr>
        <w:t>plementación </w:t>
      </w:r>
      <w:r>
        <w:rPr>
          <w:color w:val="231F20"/>
          <w:w w:val="105"/>
        </w:rPr>
        <w:t>de </w:t>
      </w:r>
      <w:r>
        <w:rPr>
          <w:color w:val="231F20"/>
          <w:spacing w:val="-3"/>
          <w:w w:val="105"/>
        </w:rPr>
        <w:t>ciertos dispositivos </w:t>
      </w:r>
      <w:r>
        <w:rPr>
          <w:color w:val="231F20"/>
          <w:w w:val="105"/>
        </w:rPr>
        <w:t>de una </w:t>
      </w:r>
      <w:r>
        <w:rPr>
          <w:color w:val="231F20"/>
          <w:spacing w:val="-3"/>
          <w:w w:val="105"/>
        </w:rPr>
        <w:t>política </w:t>
      </w:r>
      <w:r>
        <w:rPr>
          <w:color w:val="231F20"/>
          <w:spacing w:val="-4"/>
          <w:w w:val="105"/>
        </w:rPr>
        <w:t>migratoria restrictiva, </w:t>
      </w:r>
      <w:r>
        <w:rPr>
          <w:color w:val="231F20"/>
          <w:spacing w:val="-3"/>
          <w:w w:val="105"/>
        </w:rPr>
        <w:t>manifiesta,</w:t>
      </w:r>
      <w:r>
        <w:rPr>
          <w:color w:val="231F20"/>
          <w:spacing w:val="-17"/>
          <w:w w:val="105"/>
        </w:rPr>
        <w:t> </w:t>
      </w:r>
      <w:r>
        <w:rPr>
          <w:color w:val="231F20"/>
          <w:w w:val="105"/>
        </w:rPr>
        <w:t>por</w:t>
      </w:r>
      <w:r>
        <w:rPr>
          <w:color w:val="231F20"/>
          <w:spacing w:val="-11"/>
          <w:w w:val="105"/>
        </w:rPr>
        <w:t> </w:t>
      </w:r>
      <w:r>
        <w:rPr>
          <w:color w:val="231F20"/>
          <w:spacing w:val="-3"/>
          <w:w w:val="105"/>
        </w:rPr>
        <w:t>ejemplo,</w:t>
      </w:r>
      <w:r>
        <w:rPr>
          <w:color w:val="231F20"/>
          <w:spacing w:val="-17"/>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spacing w:val="-4"/>
          <w:w w:val="105"/>
        </w:rPr>
        <w:t>frontera</w:t>
      </w:r>
      <w:r>
        <w:rPr>
          <w:color w:val="231F20"/>
          <w:spacing w:val="-11"/>
          <w:w w:val="105"/>
        </w:rPr>
        <w:t> </w:t>
      </w:r>
      <w:r>
        <w:rPr>
          <w:color w:val="231F20"/>
          <w:spacing w:val="-3"/>
          <w:w w:val="105"/>
        </w:rPr>
        <w:t>norte</w:t>
      </w:r>
      <w:r>
        <w:rPr>
          <w:color w:val="231F20"/>
          <w:spacing w:val="-11"/>
          <w:w w:val="105"/>
        </w:rPr>
        <w:t> </w:t>
      </w:r>
      <w:r>
        <w:rPr>
          <w:color w:val="231F20"/>
          <w:w w:val="105"/>
        </w:rPr>
        <w:t>de</w:t>
      </w:r>
      <w:r>
        <w:rPr>
          <w:color w:val="231F20"/>
          <w:spacing w:val="-11"/>
          <w:w w:val="105"/>
        </w:rPr>
        <w:t> </w:t>
      </w:r>
      <w:r>
        <w:rPr>
          <w:color w:val="231F20"/>
          <w:spacing w:val="-3"/>
          <w:w w:val="105"/>
        </w:rPr>
        <w:t>México,</w:t>
      </w:r>
      <w:r>
        <w:rPr>
          <w:color w:val="231F20"/>
          <w:spacing w:val="-17"/>
          <w:w w:val="105"/>
        </w:rPr>
        <w:t> </w:t>
      </w:r>
      <w:r>
        <w:rPr>
          <w:color w:val="231F20"/>
          <w:spacing w:val="-3"/>
          <w:w w:val="105"/>
        </w:rPr>
        <w:t>cuya</w:t>
      </w:r>
      <w:r>
        <w:rPr>
          <w:color w:val="231F20"/>
          <w:spacing w:val="-11"/>
          <w:w w:val="105"/>
        </w:rPr>
        <w:t> </w:t>
      </w:r>
      <w:r>
        <w:rPr>
          <w:color w:val="231F20"/>
          <w:spacing w:val="-3"/>
          <w:w w:val="105"/>
        </w:rPr>
        <w:t>vigilancia</w:t>
      </w:r>
      <w:r>
        <w:rPr>
          <w:color w:val="231F20"/>
          <w:spacing w:val="-11"/>
          <w:w w:val="105"/>
        </w:rPr>
        <w:t> </w:t>
      </w:r>
      <w:r>
        <w:rPr>
          <w:color w:val="231F20"/>
          <w:spacing w:val="-3"/>
          <w:w w:val="105"/>
        </w:rPr>
        <w:t>ha sido</w:t>
      </w:r>
      <w:r>
        <w:rPr>
          <w:color w:val="231F20"/>
          <w:spacing w:val="-21"/>
          <w:w w:val="105"/>
        </w:rPr>
        <w:t> </w:t>
      </w:r>
      <w:r>
        <w:rPr>
          <w:color w:val="231F20"/>
          <w:spacing w:val="-3"/>
          <w:w w:val="105"/>
        </w:rPr>
        <w:t>redoblada</w:t>
      </w:r>
      <w:r>
        <w:rPr>
          <w:color w:val="231F20"/>
          <w:spacing w:val="-21"/>
          <w:w w:val="105"/>
        </w:rPr>
        <w:t> </w:t>
      </w:r>
      <w:r>
        <w:rPr>
          <w:color w:val="231F20"/>
          <w:w w:val="105"/>
        </w:rPr>
        <w:t>por</w:t>
      </w:r>
      <w:r>
        <w:rPr>
          <w:color w:val="231F20"/>
          <w:spacing w:val="-21"/>
          <w:w w:val="105"/>
        </w:rPr>
        <w:t> </w:t>
      </w:r>
      <w:r>
        <w:rPr>
          <w:color w:val="231F20"/>
          <w:spacing w:val="-3"/>
          <w:w w:val="105"/>
        </w:rPr>
        <w:t>Estados</w:t>
      </w:r>
      <w:r>
        <w:rPr>
          <w:color w:val="231F20"/>
          <w:spacing w:val="-21"/>
          <w:w w:val="105"/>
        </w:rPr>
        <w:t> </w:t>
      </w:r>
      <w:r>
        <w:rPr>
          <w:color w:val="231F20"/>
          <w:spacing w:val="-3"/>
          <w:w w:val="105"/>
        </w:rPr>
        <w:t>Unidos</w:t>
      </w:r>
      <w:r>
        <w:rPr>
          <w:color w:val="231F20"/>
          <w:spacing w:val="-21"/>
          <w:w w:val="105"/>
        </w:rPr>
        <w:t> </w:t>
      </w:r>
      <w:r>
        <w:rPr>
          <w:color w:val="231F20"/>
          <w:spacing w:val="-3"/>
          <w:w w:val="105"/>
        </w:rPr>
        <w:t>como</w:t>
      </w:r>
      <w:r>
        <w:rPr>
          <w:color w:val="231F20"/>
          <w:spacing w:val="-21"/>
          <w:w w:val="105"/>
        </w:rPr>
        <w:t> </w:t>
      </w:r>
      <w:r>
        <w:rPr>
          <w:color w:val="231F20"/>
          <w:spacing w:val="-3"/>
          <w:w w:val="105"/>
        </w:rPr>
        <w:t>parte</w:t>
      </w:r>
      <w:r>
        <w:rPr>
          <w:color w:val="231F20"/>
          <w:spacing w:val="-21"/>
          <w:w w:val="105"/>
        </w:rPr>
        <w:t> </w:t>
      </w:r>
      <w:r>
        <w:rPr>
          <w:color w:val="231F20"/>
          <w:w w:val="105"/>
        </w:rPr>
        <w:t>del</w:t>
      </w:r>
      <w:r>
        <w:rPr>
          <w:color w:val="231F20"/>
          <w:spacing w:val="-21"/>
          <w:w w:val="105"/>
        </w:rPr>
        <w:t> </w:t>
      </w:r>
      <w:r>
        <w:rPr>
          <w:color w:val="231F20"/>
          <w:spacing w:val="-4"/>
          <w:w w:val="105"/>
        </w:rPr>
        <w:t>programa</w:t>
      </w:r>
      <w:r>
        <w:rPr>
          <w:color w:val="231F20"/>
          <w:spacing w:val="-21"/>
          <w:w w:val="105"/>
        </w:rPr>
        <w:t> </w:t>
      </w:r>
      <w:r>
        <w:rPr>
          <w:color w:val="231F20"/>
          <w:spacing w:val="-3"/>
          <w:w w:val="105"/>
        </w:rPr>
        <w:t>denominado </w:t>
      </w:r>
      <w:r>
        <w:rPr>
          <w:rFonts w:ascii="Arial" w:hAnsi="Arial"/>
          <w:i/>
          <w:color w:val="231F20"/>
          <w:spacing w:val="-3"/>
          <w:w w:val="105"/>
        </w:rPr>
        <w:t>Comunidades</w:t>
      </w:r>
      <w:r>
        <w:rPr>
          <w:rFonts w:ascii="Arial" w:hAnsi="Arial"/>
          <w:i/>
          <w:color w:val="231F20"/>
          <w:spacing w:val="-21"/>
          <w:w w:val="105"/>
        </w:rPr>
        <w:t> </w:t>
      </w:r>
      <w:r>
        <w:rPr>
          <w:rFonts w:ascii="Arial" w:hAnsi="Arial"/>
          <w:i/>
          <w:color w:val="231F20"/>
          <w:spacing w:val="-3"/>
          <w:w w:val="105"/>
        </w:rPr>
        <w:t>Seguras</w:t>
      </w:r>
      <w:r>
        <w:rPr>
          <w:color w:val="231F20"/>
          <w:spacing w:val="-3"/>
          <w:w w:val="105"/>
        </w:rPr>
        <w:t>.</w:t>
      </w:r>
      <w:r>
        <w:rPr>
          <w:color w:val="231F20"/>
          <w:spacing w:val="-24"/>
          <w:w w:val="105"/>
        </w:rPr>
        <w:t> </w:t>
      </w:r>
      <w:r>
        <w:rPr>
          <w:color w:val="231F20"/>
          <w:w w:val="105"/>
        </w:rPr>
        <w:t>Se</w:t>
      </w:r>
      <w:r>
        <w:rPr>
          <w:color w:val="231F20"/>
          <w:spacing w:val="-18"/>
          <w:w w:val="105"/>
        </w:rPr>
        <w:t> </w:t>
      </w:r>
      <w:r>
        <w:rPr>
          <w:color w:val="231F20"/>
          <w:spacing w:val="-4"/>
          <w:w w:val="105"/>
        </w:rPr>
        <w:t>trata</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implementación</w:t>
      </w:r>
      <w:r>
        <w:rPr>
          <w:color w:val="231F20"/>
          <w:spacing w:val="-18"/>
          <w:w w:val="105"/>
        </w:rPr>
        <w:t> </w:t>
      </w:r>
      <w:r>
        <w:rPr>
          <w:color w:val="231F20"/>
          <w:w w:val="105"/>
        </w:rPr>
        <w:t>de</w:t>
      </w:r>
      <w:r>
        <w:rPr>
          <w:color w:val="231F20"/>
          <w:spacing w:val="-18"/>
          <w:w w:val="105"/>
        </w:rPr>
        <w:t> </w:t>
      </w:r>
      <w:r>
        <w:rPr>
          <w:color w:val="231F20"/>
          <w:spacing w:val="-3"/>
          <w:w w:val="105"/>
        </w:rPr>
        <w:t>políticas</w:t>
      </w:r>
      <w:r>
        <w:rPr>
          <w:color w:val="231F20"/>
          <w:spacing w:val="-18"/>
          <w:w w:val="105"/>
        </w:rPr>
        <w:t> </w:t>
      </w:r>
      <w:r>
        <w:rPr>
          <w:color w:val="231F20"/>
          <w:w w:val="105"/>
        </w:rPr>
        <w:t>de</w:t>
      </w:r>
      <w:r>
        <w:rPr>
          <w:color w:val="231F20"/>
          <w:spacing w:val="-18"/>
          <w:w w:val="105"/>
        </w:rPr>
        <w:t> </w:t>
      </w:r>
      <w:r>
        <w:rPr>
          <w:color w:val="231F20"/>
          <w:spacing w:val="-3"/>
          <w:w w:val="105"/>
        </w:rPr>
        <w:t>con- trol</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spacing w:val="-3"/>
          <w:w w:val="105"/>
        </w:rPr>
        <w:t>movilidad,</w:t>
      </w:r>
      <w:r>
        <w:rPr>
          <w:color w:val="231F20"/>
          <w:spacing w:val="-17"/>
          <w:w w:val="105"/>
        </w:rPr>
        <w:t> </w:t>
      </w:r>
      <w:r>
        <w:rPr>
          <w:color w:val="231F20"/>
          <w:spacing w:val="-3"/>
          <w:w w:val="105"/>
        </w:rPr>
        <w:t>mediante</w:t>
      </w:r>
      <w:r>
        <w:rPr>
          <w:color w:val="231F20"/>
          <w:spacing w:val="-10"/>
          <w:w w:val="105"/>
        </w:rPr>
        <w:t> </w:t>
      </w:r>
      <w:r>
        <w:rPr>
          <w:color w:val="231F20"/>
          <w:spacing w:val="-4"/>
          <w:w w:val="105"/>
        </w:rPr>
        <w:t>estrategias</w:t>
      </w:r>
      <w:r>
        <w:rPr>
          <w:color w:val="231F20"/>
          <w:spacing w:val="-10"/>
          <w:w w:val="105"/>
        </w:rPr>
        <w:t> </w:t>
      </w:r>
      <w:r>
        <w:rPr>
          <w:color w:val="231F20"/>
          <w:spacing w:val="-3"/>
          <w:w w:val="105"/>
        </w:rPr>
        <w:t>militarizadas,</w:t>
      </w:r>
      <w:r>
        <w:rPr>
          <w:color w:val="231F20"/>
          <w:spacing w:val="-17"/>
          <w:w w:val="105"/>
        </w:rPr>
        <w:t> </w:t>
      </w:r>
      <w:r>
        <w:rPr>
          <w:color w:val="231F20"/>
          <w:w w:val="105"/>
        </w:rPr>
        <w:t>no</w:t>
      </w:r>
      <w:r>
        <w:rPr>
          <w:color w:val="231F20"/>
          <w:spacing w:val="-10"/>
          <w:w w:val="105"/>
        </w:rPr>
        <w:t> </w:t>
      </w:r>
      <w:r>
        <w:rPr>
          <w:color w:val="231F20"/>
          <w:spacing w:val="-3"/>
          <w:w w:val="105"/>
        </w:rPr>
        <w:t>sólo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spacing w:val="-3"/>
          <w:w w:val="105"/>
        </w:rPr>
        <w:t>fron- tera, sino también implementadas </w:t>
      </w:r>
      <w:r>
        <w:rPr>
          <w:color w:val="231F20"/>
          <w:w w:val="105"/>
        </w:rPr>
        <w:t>en los </w:t>
      </w:r>
      <w:r>
        <w:rPr>
          <w:color w:val="231F20"/>
          <w:spacing w:val="-3"/>
          <w:w w:val="105"/>
        </w:rPr>
        <w:t>lugares donde viven </w:t>
      </w:r>
      <w:r>
        <w:rPr>
          <w:color w:val="231F20"/>
          <w:w w:val="105"/>
        </w:rPr>
        <w:t>y </w:t>
      </w:r>
      <w:r>
        <w:rPr>
          <w:color w:val="231F20"/>
          <w:spacing w:val="-4"/>
          <w:w w:val="105"/>
        </w:rPr>
        <w:t>trabajan </w:t>
      </w:r>
      <w:r>
        <w:rPr>
          <w:color w:val="231F20"/>
          <w:w w:val="105"/>
        </w:rPr>
        <w:t>los</w:t>
      </w:r>
      <w:r>
        <w:rPr>
          <w:color w:val="231F20"/>
          <w:spacing w:val="-10"/>
          <w:w w:val="105"/>
        </w:rPr>
        <w:t> </w:t>
      </w:r>
      <w:r>
        <w:rPr>
          <w:color w:val="231F20"/>
          <w:spacing w:val="-3"/>
          <w:w w:val="105"/>
        </w:rPr>
        <w:t>inmigrantes</w:t>
      </w:r>
      <w:r>
        <w:rPr>
          <w:color w:val="231F20"/>
          <w:spacing w:val="-10"/>
          <w:w w:val="105"/>
        </w:rPr>
        <w:t> </w:t>
      </w:r>
      <w:r>
        <w:rPr>
          <w:color w:val="231F20"/>
          <w:spacing w:val="-3"/>
          <w:w w:val="105"/>
        </w:rPr>
        <w:t>indocumentados,</w:t>
      </w:r>
      <w:r>
        <w:rPr>
          <w:color w:val="231F20"/>
          <w:spacing w:val="-15"/>
          <w:w w:val="105"/>
        </w:rPr>
        <w:t> </w:t>
      </w:r>
      <w:r>
        <w:rPr>
          <w:color w:val="231F20"/>
          <w:spacing w:val="-3"/>
          <w:w w:val="105"/>
        </w:rPr>
        <w:t>situación</w:t>
      </w:r>
      <w:r>
        <w:rPr>
          <w:color w:val="231F20"/>
          <w:spacing w:val="-10"/>
          <w:w w:val="105"/>
        </w:rPr>
        <w:t> </w:t>
      </w:r>
      <w:r>
        <w:rPr>
          <w:color w:val="231F20"/>
          <w:w w:val="105"/>
        </w:rPr>
        <w:t>que</w:t>
      </w:r>
      <w:r>
        <w:rPr>
          <w:color w:val="231F20"/>
          <w:spacing w:val="-10"/>
          <w:w w:val="105"/>
        </w:rPr>
        <w:t> </w:t>
      </w:r>
      <w:r>
        <w:rPr>
          <w:color w:val="231F20"/>
          <w:w w:val="105"/>
        </w:rPr>
        <w:t>ha</w:t>
      </w:r>
      <w:r>
        <w:rPr>
          <w:color w:val="231F20"/>
          <w:spacing w:val="-10"/>
          <w:w w:val="105"/>
        </w:rPr>
        <w:t> </w:t>
      </w:r>
      <w:r>
        <w:rPr>
          <w:color w:val="231F20"/>
          <w:spacing w:val="-3"/>
          <w:w w:val="105"/>
        </w:rPr>
        <w:t>generado</w:t>
      </w:r>
      <w:r>
        <w:rPr>
          <w:color w:val="231F20"/>
          <w:spacing w:val="-10"/>
          <w:w w:val="105"/>
        </w:rPr>
        <w:t> </w:t>
      </w:r>
      <w:r>
        <w:rPr>
          <w:color w:val="231F20"/>
          <w:spacing w:val="-3"/>
          <w:w w:val="105"/>
        </w:rPr>
        <w:t>condiciones adversas</w:t>
      </w:r>
      <w:r>
        <w:rPr>
          <w:color w:val="231F20"/>
          <w:spacing w:val="-19"/>
          <w:w w:val="105"/>
        </w:rPr>
        <w:t> </w:t>
      </w:r>
      <w:r>
        <w:rPr>
          <w:color w:val="231F20"/>
          <w:w w:val="105"/>
        </w:rPr>
        <w:t>y</w:t>
      </w:r>
      <w:r>
        <w:rPr>
          <w:color w:val="231F20"/>
          <w:spacing w:val="-19"/>
          <w:w w:val="105"/>
        </w:rPr>
        <w:t> </w:t>
      </w:r>
      <w:r>
        <w:rPr>
          <w:color w:val="231F20"/>
          <w:w w:val="105"/>
        </w:rPr>
        <w:t>de</w:t>
      </w:r>
      <w:r>
        <w:rPr>
          <w:color w:val="231F20"/>
          <w:spacing w:val="-19"/>
          <w:w w:val="105"/>
        </w:rPr>
        <w:t> </w:t>
      </w:r>
      <w:r>
        <w:rPr>
          <w:color w:val="231F20"/>
          <w:spacing w:val="-3"/>
          <w:w w:val="105"/>
        </w:rPr>
        <w:t>alta</w:t>
      </w:r>
      <w:r>
        <w:rPr>
          <w:color w:val="231F20"/>
          <w:spacing w:val="-19"/>
          <w:w w:val="105"/>
        </w:rPr>
        <w:t> </w:t>
      </w:r>
      <w:r>
        <w:rPr>
          <w:color w:val="231F20"/>
          <w:spacing w:val="-4"/>
          <w:w w:val="105"/>
        </w:rPr>
        <w:t>incertidumbre</w:t>
      </w:r>
      <w:r>
        <w:rPr>
          <w:color w:val="231F20"/>
          <w:spacing w:val="-19"/>
          <w:w w:val="105"/>
        </w:rPr>
        <w:t> </w:t>
      </w:r>
      <w:r>
        <w:rPr>
          <w:color w:val="231F20"/>
          <w:spacing w:val="-3"/>
          <w:w w:val="105"/>
        </w:rPr>
        <w:t>para</w:t>
      </w:r>
      <w:r>
        <w:rPr>
          <w:color w:val="231F20"/>
          <w:spacing w:val="-19"/>
          <w:w w:val="105"/>
        </w:rPr>
        <w:t> </w:t>
      </w:r>
      <w:r>
        <w:rPr>
          <w:color w:val="231F20"/>
          <w:w w:val="105"/>
        </w:rPr>
        <w:t>la</w:t>
      </w:r>
      <w:r>
        <w:rPr>
          <w:color w:val="231F20"/>
          <w:spacing w:val="-19"/>
          <w:w w:val="105"/>
        </w:rPr>
        <w:t> </w:t>
      </w:r>
      <w:r>
        <w:rPr>
          <w:color w:val="231F20"/>
          <w:spacing w:val="-3"/>
          <w:w w:val="105"/>
        </w:rPr>
        <w:t>población</w:t>
      </w:r>
      <w:r>
        <w:rPr>
          <w:color w:val="231F20"/>
          <w:spacing w:val="-19"/>
          <w:w w:val="105"/>
        </w:rPr>
        <w:t> </w:t>
      </w:r>
      <w:r>
        <w:rPr>
          <w:color w:val="231F20"/>
          <w:spacing w:val="-3"/>
          <w:w w:val="105"/>
        </w:rPr>
        <w:t>inmigrante</w:t>
      </w:r>
      <w:r>
        <w:rPr>
          <w:color w:val="231F20"/>
          <w:spacing w:val="-19"/>
          <w:w w:val="105"/>
        </w:rPr>
        <w:t> </w:t>
      </w:r>
      <w:r>
        <w:rPr>
          <w:color w:val="231F20"/>
          <w:spacing w:val="-3"/>
          <w:w w:val="105"/>
        </w:rPr>
        <w:t>indocumen- tada</w:t>
      </w:r>
      <w:r>
        <w:rPr>
          <w:color w:val="231F20"/>
          <w:spacing w:val="-18"/>
          <w:w w:val="105"/>
        </w:rPr>
        <w:t> </w:t>
      </w:r>
      <w:r>
        <w:rPr>
          <w:color w:val="231F20"/>
          <w:w w:val="105"/>
        </w:rPr>
        <w:t>en</w:t>
      </w:r>
      <w:r>
        <w:rPr>
          <w:color w:val="231F20"/>
          <w:spacing w:val="-18"/>
          <w:w w:val="105"/>
        </w:rPr>
        <w:t> </w:t>
      </w:r>
      <w:r>
        <w:rPr>
          <w:color w:val="231F20"/>
          <w:spacing w:val="-3"/>
          <w:w w:val="105"/>
        </w:rPr>
        <w:t>aquél</w:t>
      </w:r>
      <w:r>
        <w:rPr>
          <w:color w:val="231F20"/>
          <w:spacing w:val="-18"/>
          <w:w w:val="105"/>
        </w:rPr>
        <w:t> </w:t>
      </w:r>
      <w:r>
        <w:rPr>
          <w:color w:val="231F20"/>
          <w:spacing w:val="-3"/>
          <w:w w:val="105"/>
        </w:rPr>
        <w:t>país,</w:t>
      </w:r>
      <w:r>
        <w:rPr>
          <w:color w:val="231F20"/>
          <w:spacing w:val="-24"/>
          <w:w w:val="105"/>
        </w:rPr>
        <w:t> </w:t>
      </w:r>
      <w:r>
        <w:rPr>
          <w:color w:val="231F20"/>
          <w:spacing w:val="-3"/>
          <w:w w:val="105"/>
        </w:rPr>
        <w:t>independientemente</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spacing w:val="-3"/>
          <w:w w:val="105"/>
        </w:rPr>
        <w:t>años</w:t>
      </w:r>
      <w:r>
        <w:rPr>
          <w:color w:val="231F20"/>
          <w:spacing w:val="-18"/>
          <w:w w:val="105"/>
        </w:rPr>
        <w:t> </w:t>
      </w:r>
      <w:r>
        <w:rPr>
          <w:color w:val="231F20"/>
          <w:w w:val="105"/>
        </w:rPr>
        <w:t>de</w:t>
      </w:r>
      <w:r>
        <w:rPr>
          <w:color w:val="231F20"/>
          <w:spacing w:val="-18"/>
          <w:w w:val="105"/>
        </w:rPr>
        <w:t> </w:t>
      </w:r>
      <w:r>
        <w:rPr>
          <w:color w:val="231F20"/>
          <w:spacing w:val="-3"/>
          <w:w w:val="105"/>
        </w:rPr>
        <w:t>estadía</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ex- periencia</w:t>
      </w:r>
      <w:r>
        <w:rPr>
          <w:color w:val="231F20"/>
          <w:spacing w:val="-16"/>
          <w:w w:val="105"/>
        </w:rPr>
        <w:t> </w:t>
      </w:r>
      <w:r>
        <w:rPr>
          <w:color w:val="231F20"/>
          <w:spacing w:val="-3"/>
          <w:w w:val="105"/>
        </w:rPr>
        <w:t>laboral</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spacing w:val="-3"/>
          <w:w w:val="105"/>
        </w:rPr>
        <w:t>migrantes.</w:t>
      </w:r>
      <w:r>
        <w:rPr>
          <w:color w:val="231F20"/>
          <w:spacing w:val="-21"/>
          <w:w w:val="105"/>
        </w:rPr>
        <w:t> </w:t>
      </w:r>
      <w:r>
        <w:rPr>
          <w:color w:val="231F20"/>
          <w:w w:val="105"/>
        </w:rPr>
        <w:t>Hoy</w:t>
      </w:r>
      <w:r>
        <w:rPr>
          <w:color w:val="231F20"/>
          <w:spacing w:val="-16"/>
          <w:w w:val="105"/>
        </w:rPr>
        <w:t> </w:t>
      </w:r>
      <w:r>
        <w:rPr>
          <w:color w:val="231F20"/>
          <w:w w:val="105"/>
        </w:rPr>
        <w:t>se</w:t>
      </w:r>
      <w:r>
        <w:rPr>
          <w:color w:val="231F20"/>
          <w:spacing w:val="-16"/>
          <w:w w:val="105"/>
        </w:rPr>
        <w:t> </w:t>
      </w:r>
      <w:r>
        <w:rPr>
          <w:color w:val="231F20"/>
          <w:spacing w:val="-4"/>
          <w:w w:val="105"/>
        </w:rPr>
        <w:t>realizan</w:t>
      </w:r>
      <w:r>
        <w:rPr>
          <w:color w:val="231F20"/>
          <w:spacing w:val="-16"/>
          <w:w w:val="105"/>
        </w:rPr>
        <w:t> </w:t>
      </w:r>
      <w:r>
        <w:rPr>
          <w:color w:val="231F20"/>
          <w:w w:val="105"/>
        </w:rPr>
        <w:t>no</w:t>
      </w:r>
      <w:r>
        <w:rPr>
          <w:color w:val="231F20"/>
          <w:spacing w:val="-16"/>
          <w:w w:val="105"/>
        </w:rPr>
        <w:t> </w:t>
      </w:r>
      <w:r>
        <w:rPr>
          <w:color w:val="231F20"/>
          <w:spacing w:val="-3"/>
          <w:w w:val="105"/>
        </w:rPr>
        <w:t>sólo</w:t>
      </w:r>
      <w:r>
        <w:rPr>
          <w:color w:val="231F20"/>
          <w:spacing w:val="-16"/>
          <w:w w:val="105"/>
        </w:rPr>
        <w:t> </w:t>
      </w:r>
      <w:r>
        <w:rPr>
          <w:color w:val="231F20"/>
          <w:spacing w:val="-4"/>
          <w:w w:val="105"/>
        </w:rPr>
        <w:t>aprehensiones </w:t>
      </w:r>
      <w:r>
        <w:rPr>
          <w:color w:val="231F20"/>
          <w:w w:val="105"/>
        </w:rPr>
        <w:t>en</w:t>
      </w:r>
      <w:r>
        <w:rPr>
          <w:color w:val="231F20"/>
          <w:spacing w:val="-12"/>
          <w:w w:val="105"/>
        </w:rPr>
        <w:t> </w:t>
      </w:r>
      <w:r>
        <w:rPr>
          <w:color w:val="231F20"/>
          <w:w w:val="105"/>
        </w:rPr>
        <w:t>la</w:t>
      </w:r>
      <w:r>
        <w:rPr>
          <w:color w:val="231F20"/>
          <w:spacing w:val="-11"/>
          <w:w w:val="105"/>
        </w:rPr>
        <w:t> </w:t>
      </w:r>
      <w:r>
        <w:rPr>
          <w:color w:val="231F20"/>
          <w:spacing w:val="-4"/>
          <w:w w:val="105"/>
        </w:rPr>
        <w:t>frontera,</w:t>
      </w:r>
      <w:r>
        <w:rPr>
          <w:color w:val="231F20"/>
          <w:spacing w:val="-17"/>
          <w:w w:val="105"/>
        </w:rPr>
        <w:t> </w:t>
      </w:r>
      <w:r>
        <w:rPr>
          <w:color w:val="231F20"/>
          <w:spacing w:val="-3"/>
          <w:w w:val="105"/>
        </w:rPr>
        <w:t>sino</w:t>
      </w:r>
      <w:r>
        <w:rPr>
          <w:color w:val="231F20"/>
          <w:spacing w:val="-11"/>
          <w:w w:val="105"/>
        </w:rPr>
        <w:t> </w:t>
      </w:r>
      <w:r>
        <w:rPr>
          <w:color w:val="231F20"/>
          <w:spacing w:val="-3"/>
          <w:w w:val="105"/>
        </w:rPr>
        <w:t>redadas</w:t>
      </w:r>
      <w:r>
        <w:rPr>
          <w:color w:val="231F20"/>
          <w:spacing w:val="-11"/>
          <w:w w:val="105"/>
        </w:rPr>
        <w:t> </w:t>
      </w:r>
      <w:r>
        <w:rPr>
          <w:color w:val="231F20"/>
          <w:spacing w:val="-3"/>
          <w:w w:val="105"/>
        </w:rPr>
        <w:t>frecuentes</w:t>
      </w:r>
      <w:r>
        <w:rPr>
          <w:color w:val="231F20"/>
          <w:spacing w:val="-11"/>
          <w:w w:val="105"/>
        </w:rPr>
        <w:t> </w:t>
      </w:r>
      <w:r>
        <w:rPr>
          <w:color w:val="231F20"/>
          <w:w w:val="105"/>
        </w:rPr>
        <w:t>en</w:t>
      </w:r>
      <w:r>
        <w:rPr>
          <w:color w:val="231F20"/>
          <w:spacing w:val="-11"/>
          <w:w w:val="105"/>
        </w:rPr>
        <w:t> </w:t>
      </w:r>
      <w:r>
        <w:rPr>
          <w:color w:val="231F20"/>
          <w:spacing w:val="-3"/>
          <w:w w:val="105"/>
        </w:rPr>
        <w:t>espacios</w:t>
      </w:r>
      <w:r>
        <w:rPr>
          <w:color w:val="231F20"/>
          <w:spacing w:val="-11"/>
          <w:w w:val="105"/>
        </w:rPr>
        <w:t> </w:t>
      </w:r>
      <w:r>
        <w:rPr>
          <w:color w:val="231F20"/>
          <w:spacing w:val="-3"/>
          <w:w w:val="105"/>
        </w:rPr>
        <w:t>laborales</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2"/>
          <w:w w:val="105"/>
        </w:rPr>
        <w:t> </w:t>
      </w:r>
      <w:r>
        <w:rPr>
          <w:color w:val="231F20"/>
          <w:spacing w:val="-3"/>
          <w:w w:val="105"/>
        </w:rPr>
        <w:t>espacio público, </w:t>
      </w:r>
      <w:r>
        <w:rPr>
          <w:color w:val="231F20"/>
          <w:w w:val="105"/>
        </w:rPr>
        <w:t>así </w:t>
      </w:r>
      <w:r>
        <w:rPr>
          <w:color w:val="231F20"/>
          <w:spacing w:val="-3"/>
          <w:w w:val="105"/>
        </w:rPr>
        <w:t>como deportaciones </w:t>
      </w:r>
      <w:r>
        <w:rPr>
          <w:color w:val="231F20"/>
          <w:w w:val="105"/>
        </w:rPr>
        <w:t>y </w:t>
      </w:r>
      <w:r>
        <w:rPr>
          <w:color w:val="231F20"/>
          <w:spacing w:val="-4"/>
          <w:w w:val="105"/>
        </w:rPr>
        <w:t>repatriaciones </w:t>
      </w:r>
      <w:r>
        <w:rPr>
          <w:color w:val="231F20"/>
          <w:spacing w:val="-3"/>
          <w:w w:val="105"/>
        </w:rPr>
        <w:t>desde cualquier punto </w:t>
      </w:r>
      <w:r>
        <w:rPr>
          <w:color w:val="231F20"/>
          <w:w w:val="105"/>
        </w:rPr>
        <w:t>del</w:t>
      </w:r>
      <w:r>
        <w:rPr>
          <w:color w:val="231F20"/>
          <w:spacing w:val="-16"/>
          <w:w w:val="105"/>
        </w:rPr>
        <w:t> </w:t>
      </w:r>
      <w:r>
        <w:rPr>
          <w:color w:val="231F20"/>
          <w:spacing w:val="-3"/>
          <w:w w:val="105"/>
        </w:rPr>
        <w:t>país.</w:t>
      </w:r>
      <w:r>
        <w:rPr>
          <w:color w:val="231F20"/>
          <w:spacing w:val="-21"/>
          <w:w w:val="105"/>
        </w:rPr>
        <w:t> </w:t>
      </w:r>
      <w:r>
        <w:rPr>
          <w:color w:val="231F20"/>
          <w:w w:val="105"/>
        </w:rPr>
        <w:t>De</w:t>
      </w:r>
      <w:r>
        <w:rPr>
          <w:color w:val="231F20"/>
          <w:spacing w:val="-16"/>
          <w:w w:val="105"/>
        </w:rPr>
        <w:t> </w:t>
      </w:r>
      <w:r>
        <w:rPr>
          <w:color w:val="231F20"/>
          <w:spacing w:val="-3"/>
          <w:w w:val="105"/>
        </w:rPr>
        <w:t>forma</w:t>
      </w:r>
      <w:r>
        <w:rPr>
          <w:color w:val="231F20"/>
          <w:spacing w:val="-16"/>
          <w:w w:val="105"/>
        </w:rPr>
        <w:t> </w:t>
      </w:r>
      <w:r>
        <w:rPr>
          <w:color w:val="231F20"/>
          <w:spacing w:val="-4"/>
          <w:w w:val="105"/>
        </w:rPr>
        <w:t>similar,</w:t>
      </w:r>
      <w:r>
        <w:rPr>
          <w:color w:val="231F20"/>
          <w:spacing w:val="-21"/>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spacing w:val="-3"/>
          <w:w w:val="105"/>
        </w:rPr>
        <w:t>últimos</w:t>
      </w:r>
      <w:r>
        <w:rPr>
          <w:color w:val="231F20"/>
          <w:spacing w:val="-16"/>
          <w:w w:val="105"/>
        </w:rPr>
        <w:t> </w:t>
      </w:r>
      <w:r>
        <w:rPr>
          <w:color w:val="231F20"/>
          <w:spacing w:val="-3"/>
          <w:w w:val="105"/>
        </w:rPr>
        <w:t>años</w:t>
      </w:r>
      <w:r>
        <w:rPr>
          <w:color w:val="231F20"/>
          <w:spacing w:val="-16"/>
          <w:w w:val="105"/>
        </w:rPr>
        <w:t> </w:t>
      </w:r>
      <w:r>
        <w:rPr>
          <w:color w:val="231F20"/>
          <w:w w:val="105"/>
        </w:rPr>
        <w:t>se</w:t>
      </w:r>
      <w:r>
        <w:rPr>
          <w:color w:val="231F20"/>
          <w:spacing w:val="-16"/>
          <w:w w:val="105"/>
        </w:rPr>
        <w:t> </w:t>
      </w:r>
      <w:r>
        <w:rPr>
          <w:color w:val="231F20"/>
          <w:spacing w:val="-3"/>
          <w:w w:val="105"/>
        </w:rPr>
        <w:t>identifican</w:t>
      </w:r>
      <w:r>
        <w:rPr>
          <w:color w:val="231F20"/>
          <w:spacing w:val="-16"/>
          <w:w w:val="105"/>
        </w:rPr>
        <w:t> </w:t>
      </w:r>
      <w:r>
        <w:rPr>
          <w:color w:val="231F20"/>
          <w:spacing w:val="-3"/>
          <w:w w:val="105"/>
        </w:rPr>
        <w:t>disposiciones legales </w:t>
      </w:r>
      <w:r>
        <w:rPr>
          <w:color w:val="231F20"/>
          <w:w w:val="105"/>
        </w:rPr>
        <w:t>que se </w:t>
      </w:r>
      <w:r>
        <w:rPr>
          <w:color w:val="231F20"/>
          <w:spacing w:val="-3"/>
          <w:w w:val="105"/>
        </w:rPr>
        <w:t>implementan, </w:t>
      </w:r>
      <w:r>
        <w:rPr>
          <w:color w:val="231F20"/>
          <w:w w:val="105"/>
        </w:rPr>
        <w:t>a </w:t>
      </w:r>
      <w:r>
        <w:rPr>
          <w:color w:val="231F20"/>
          <w:spacing w:val="-3"/>
          <w:w w:val="105"/>
        </w:rPr>
        <w:t>nivel local </w:t>
      </w:r>
      <w:r>
        <w:rPr>
          <w:color w:val="231F20"/>
          <w:w w:val="105"/>
        </w:rPr>
        <w:t>o </w:t>
      </w:r>
      <w:r>
        <w:rPr>
          <w:color w:val="231F20"/>
          <w:spacing w:val="-3"/>
          <w:w w:val="105"/>
        </w:rPr>
        <w:t>estatal, para limitar algunos derechos sociales básicos </w:t>
      </w:r>
      <w:r>
        <w:rPr>
          <w:color w:val="231F20"/>
          <w:w w:val="105"/>
        </w:rPr>
        <w:t>de las </w:t>
      </w:r>
      <w:r>
        <w:rPr>
          <w:color w:val="231F20"/>
          <w:spacing w:val="-3"/>
          <w:w w:val="105"/>
        </w:rPr>
        <w:t>personas </w:t>
      </w:r>
      <w:r>
        <w:rPr>
          <w:color w:val="231F20"/>
          <w:w w:val="105"/>
        </w:rPr>
        <w:t>sin </w:t>
      </w:r>
      <w:r>
        <w:rPr>
          <w:color w:val="231F20"/>
          <w:spacing w:val="-3"/>
          <w:w w:val="105"/>
        </w:rPr>
        <w:t>documentos </w:t>
      </w:r>
      <w:r>
        <w:rPr>
          <w:color w:val="231F20"/>
          <w:w w:val="105"/>
        </w:rPr>
        <w:t>de </w:t>
      </w:r>
      <w:r>
        <w:rPr>
          <w:color w:val="231F20"/>
          <w:spacing w:val="-3"/>
          <w:w w:val="105"/>
        </w:rPr>
        <w:t>identidad (cf.</w:t>
      </w:r>
      <w:r>
        <w:rPr>
          <w:color w:val="231F20"/>
          <w:spacing w:val="-41"/>
          <w:w w:val="105"/>
        </w:rPr>
        <w:t> </w:t>
      </w:r>
      <w:r>
        <w:rPr>
          <w:color w:val="231F20"/>
          <w:spacing w:val="-3"/>
          <w:w w:val="105"/>
        </w:rPr>
        <w:t>Alarcón,</w:t>
      </w:r>
      <w:r>
        <w:rPr>
          <w:color w:val="231F20"/>
          <w:spacing w:val="-39"/>
          <w:w w:val="105"/>
        </w:rPr>
        <w:t> </w:t>
      </w:r>
      <w:r>
        <w:rPr>
          <w:color w:val="231F20"/>
          <w:spacing w:val="-3"/>
          <w:w w:val="105"/>
        </w:rPr>
        <w:t>Escala</w:t>
      </w:r>
      <w:r>
        <w:rPr>
          <w:color w:val="231F20"/>
          <w:spacing w:val="-36"/>
          <w:w w:val="105"/>
        </w:rPr>
        <w:t> </w:t>
      </w:r>
      <w:r>
        <w:rPr>
          <w:color w:val="231F20"/>
          <w:w w:val="105"/>
        </w:rPr>
        <w:t>y</w:t>
      </w:r>
      <w:r>
        <w:rPr>
          <w:color w:val="231F20"/>
          <w:spacing w:val="-36"/>
          <w:w w:val="105"/>
        </w:rPr>
        <w:t> </w:t>
      </w:r>
      <w:r>
        <w:rPr>
          <w:color w:val="231F20"/>
          <w:spacing w:val="-3"/>
          <w:w w:val="105"/>
        </w:rPr>
        <w:t>Odgers,</w:t>
      </w:r>
      <w:r>
        <w:rPr>
          <w:color w:val="231F20"/>
          <w:spacing w:val="-39"/>
          <w:w w:val="105"/>
        </w:rPr>
        <w:t> </w:t>
      </w:r>
      <w:r>
        <w:rPr>
          <w:color w:val="231F20"/>
          <w:spacing w:val="-3"/>
          <w:w w:val="105"/>
        </w:rPr>
        <w:t>2012).</w:t>
      </w:r>
    </w:p>
    <w:p>
      <w:pPr>
        <w:pStyle w:val="BodyText"/>
        <w:spacing w:line="261" w:lineRule="auto" w:before="1"/>
        <w:ind w:left="1723" w:right="1834" w:firstLine="567"/>
        <w:jc w:val="both"/>
        <w:rPr>
          <w:sz w:val="12"/>
        </w:rPr>
      </w:pPr>
      <w:r>
        <w:rPr>
          <w:color w:val="231F20"/>
          <w:w w:val="105"/>
        </w:rPr>
        <w:t>Este</w:t>
      </w:r>
      <w:r>
        <w:rPr>
          <w:color w:val="231F20"/>
          <w:spacing w:val="-23"/>
          <w:w w:val="105"/>
        </w:rPr>
        <w:t> </w:t>
      </w:r>
      <w:r>
        <w:rPr>
          <w:color w:val="231F20"/>
          <w:w w:val="105"/>
        </w:rPr>
        <w:t>nuevo</w:t>
      </w:r>
      <w:r>
        <w:rPr>
          <w:color w:val="231F20"/>
          <w:spacing w:val="-23"/>
          <w:w w:val="105"/>
        </w:rPr>
        <w:t> </w:t>
      </w:r>
      <w:r>
        <w:rPr>
          <w:color w:val="231F20"/>
          <w:w w:val="105"/>
        </w:rPr>
        <w:t>régimen</w:t>
      </w:r>
      <w:r>
        <w:rPr>
          <w:color w:val="231F20"/>
          <w:spacing w:val="-23"/>
          <w:w w:val="105"/>
        </w:rPr>
        <w:t> </w:t>
      </w:r>
      <w:r>
        <w:rPr>
          <w:color w:val="231F20"/>
          <w:w w:val="105"/>
        </w:rPr>
        <w:t>de</w:t>
      </w:r>
      <w:r>
        <w:rPr>
          <w:color w:val="231F20"/>
          <w:spacing w:val="-23"/>
          <w:w w:val="105"/>
        </w:rPr>
        <w:t> </w:t>
      </w:r>
      <w:r>
        <w:rPr>
          <w:color w:val="231F20"/>
          <w:w w:val="105"/>
        </w:rPr>
        <w:t>deportaciones</w:t>
      </w:r>
      <w:r>
        <w:rPr>
          <w:color w:val="231F20"/>
          <w:spacing w:val="-23"/>
          <w:w w:val="105"/>
        </w:rPr>
        <w:t> </w:t>
      </w:r>
      <w:r>
        <w:rPr>
          <w:color w:val="231F20"/>
          <w:w w:val="105"/>
        </w:rPr>
        <w:t>(De</w:t>
      </w:r>
      <w:r>
        <w:rPr>
          <w:color w:val="231F20"/>
          <w:spacing w:val="-23"/>
          <w:w w:val="105"/>
        </w:rPr>
        <w:t> </w:t>
      </w:r>
      <w:r>
        <w:rPr>
          <w:color w:val="231F20"/>
          <w:w w:val="105"/>
        </w:rPr>
        <w:t>Genova,</w:t>
      </w:r>
      <w:r>
        <w:rPr>
          <w:color w:val="231F20"/>
          <w:spacing w:val="-28"/>
          <w:w w:val="105"/>
        </w:rPr>
        <w:t> </w:t>
      </w:r>
      <w:r>
        <w:rPr>
          <w:color w:val="231F20"/>
          <w:w w:val="105"/>
        </w:rPr>
        <w:t>2010),</w:t>
      </w:r>
      <w:r>
        <w:rPr>
          <w:color w:val="231F20"/>
          <w:spacing w:val="-28"/>
          <w:w w:val="105"/>
        </w:rPr>
        <w:t> </w:t>
      </w:r>
      <w:r>
        <w:rPr>
          <w:color w:val="231F20"/>
          <w:w w:val="105"/>
        </w:rPr>
        <w:t>sumado a</w:t>
      </w:r>
      <w:r>
        <w:rPr>
          <w:color w:val="231F20"/>
          <w:spacing w:val="-17"/>
          <w:w w:val="105"/>
        </w:rPr>
        <w:t> </w:t>
      </w:r>
      <w:r>
        <w:rPr>
          <w:color w:val="231F20"/>
          <w:w w:val="105"/>
        </w:rPr>
        <w:t>la</w:t>
      </w:r>
      <w:r>
        <w:rPr>
          <w:color w:val="231F20"/>
          <w:spacing w:val="-17"/>
          <w:w w:val="105"/>
        </w:rPr>
        <w:t> </w:t>
      </w:r>
      <w:r>
        <w:rPr>
          <w:color w:val="231F20"/>
          <w:w w:val="105"/>
        </w:rPr>
        <w:t>crisis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mercados</w:t>
      </w:r>
      <w:r>
        <w:rPr>
          <w:color w:val="231F20"/>
          <w:spacing w:val="-17"/>
          <w:w w:val="105"/>
        </w:rPr>
        <w:t> </w:t>
      </w:r>
      <w:r>
        <w:rPr>
          <w:color w:val="231F20"/>
          <w:w w:val="105"/>
        </w:rPr>
        <w:t>laborales</w:t>
      </w:r>
      <w:r>
        <w:rPr>
          <w:color w:val="231F20"/>
          <w:spacing w:val="-17"/>
          <w:w w:val="105"/>
        </w:rPr>
        <w:t> </w:t>
      </w:r>
      <w:r>
        <w:rPr>
          <w:color w:val="231F20"/>
          <w:w w:val="105"/>
        </w:rPr>
        <w:t>internacionales,</w:t>
      </w:r>
      <w:r>
        <w:rPr>
          <w:color w:val="231F20"/>
          <w:spacing w:val="-22"/>
          <w:w w:val="105"/>
        </w:rPr>
        <w:t> </w:t>
      </w:r>
      <w:r>
        <w:rPr>
          <w:color w:val="231F20"/>
          <w:w w:val="105"/>
        </w:rPr>
        <w:t>ha</w:t>
      </w:r>
      <w:r>
        <w:rPr>
          <w:color w:val="231F20"/>
          <w:spacing w:val="-17"/>
          <w:w w:val="105"/>
        </w:rPr>
        <w:t> </w:t>
      </w:r>
      <w:r>
        <w:rPr>
          <w:color w:val="231F20"/>
          <w:w w:val="105"/>
        </w:rPr>
        <w:t>incrementado</w:t>
      </w:r>
      <w:r>
        <w:rPr>
          <w:color w:val="231F20"/>
          <w:spacing w:val="-17"/>
          <w:w w:val="105"/>
        </w:rPr>
        <w:t> </w:t>
      </w:r>
      <w:r>
        <w:rPr>
          <w:color w:val="231F20"/>
          <w:w w:val="105"/>
        </w:rPr>
        <w:t>el flujo de retorno de los migrantes mexicanos, quienes diariamente son deportados</w:t>
      </w:r>
      <w:r>
        <w:rPr>
          <w:color w:val="231F20"/>
          <w:spacing w:val="-24"/>
          <w:w w:val="105"/>
        </w:rPr>
        <w:t> </w:t>
      </w:r>
      <w:r>
        <w:rPr>
          <w:color w:val="231F20"/>
          <w:w w:val="105"/>
        </w:rPr>
        <w:t>por</w:t>
      </w:r>
      <w:r>
        <w:rPr>
          <w:color w:val="231F20"/>
          <w:spacing w:val="-24"/>
          <w:w w:val="105"/>
        </w:rPr>
        <w:t> </w:t>
      </w:r>
      <w:r>
        <w:rPr>
          <w:color w:val="231F20"/>
          <w:w w:val="105"/>
        </w:rPr>
        <w:t>diversas</w:t>
      </w:r>
      <w:r>
        <w:rPr>
          <w:color w:val="231F20"/>
          <w:spacing w:val="-24"/>
          <w:w w:val="105"/>
        </w:rPr>
        <w:t> </w:t>
      </w:r>
      <w:r>
        <w:rPr>
          <w:color w:val="231F20"/>
          <w:w w:val="105"/>
        </w:rPr>
        <w:t>ciudades</w:t>
      </w:r>
      <w:r>
        <w:rPr>
          <w:color w:val="231F20"/>
          <w:spacing w:val="-24"/>
          <w:w w:val="105"/>
        </w:rPr>
        <w:t> </w:t>
      </w:r>
      <w:r>
        <w:rPr>
          <w:color w:val="231F20"/>
          <w:w w:val="105"/>
        </w:rPr>
        <w:t>fronterizas.</w:t>
      </w:r>
      <w:r>
        <w:rPr>
          <w:color w:val="231F20"/>
          <w:spacing w:val="-28"/>
          <w:w w:val="105"/>
        </w:rPr>
        <w:t> </w:t>
      </w:r>
      <w:r>
        <w:rPr>
          <w:color w:val="231F20"/>
          <w:w w:val="105"/>
        </w:rPr>
        <w:t>Esta</w:t>
      </w:r>
      <w:r>
        <w:rPr>
          <w:color w:val="231F20"/>
          <w:spacing w:val="-24"/>
          <w:w w:val="105"/>
        </w:rPr>
        <w:t> </w:t>
      </w:r>
      <w:r>
        <w:rPr>
          <w:color w:val="231F20"/>
          <w:w w:val="105"/>
        </w:rPr>
        <w:t>acción</w:t>
      </w:r>
      <w:r>
        <w:rPr>
          <w:color w:val="231F20"/>
          <w:spacing w:val="-24"/>
          <w:w w:val="105"/>
        </w:rPr>
        <w:t> </w:t>
      </w:r>
      <w:r>
        <w:rPr>
          <w:color w:val="231F20"/>
          <w:w w:val="105"/>
        </w:rPr>
        <w:t>convierte</w:t>
      </w:r>
      <w:r>
        <w:rPr>
          <w:color w:val="231F20"/>
          <w:spacing w:val="-24"/>
          <w:w w:val="105"/>
        </w:rPr>
        <w:t> </w:t>
      </w:r>
      <w:r>
        <w:rPr>
          <w:color w:val="231F20"/>
          <w:w w:val="105"/>
        </w:rPr>
        <w:t>a</w:t>
      </w:r>
      <w:r>
        <w:rPr>
          <w:color w:val="231F20"/>
          <w:spacing w:val="-24"/>
          <w:w w:val="105"/>
        </w:rPr>
        <w:t> </w:t>
      </w:r>
      <w:r>
        <w:rPr>
          <w:color w:val="231F20"/>
          <w:w w:val="105"/>
        </w:rPr>
        <w:t>los migrantes</w:t>
      </w:r>
      <w:r>
        <w:rPr>
          <w:color w:val="231F20"/>
          <w:spacing w:val="-15"/>
          <w:w w:val="105"/>
        </w:rPr>
        <w:t> </w:t>
      </w:r>
      <w:r>
        <w:rPr>
          <w:color w:val="231F20"/>
          <w:w w:val="105"/>
        </w:rPr>
        <w:t>en</w:t>
      </w:r>
      <w:r>
        <w:rPr>
          <w:color w:val="231F20"/>
          <w:spacing w:val="-15"/>
          <w:w w:val="105"/>
        </w:rPr>
        <w:t> </w:t>
      </w:r>
      <w:r>
        <w:rPr>
          <w:color w:val="231F20"/>
          <w:w w:val="105"/>
        </w:rPr>
        <w:t>presa</w:t>
      </w:r>
      <w:r>
        <w:rPr>
          <w:color w:val="231F20"/>
          <w:spacing w:val="-15"/>
          <w:w w:val="105"/>
        </w:rPr>
        <w:t> </w:t>
      </w:r>
      <w:r>
        <w:rPr>
          <w:color w:val="231F20"/>
          <w:w w:val="105"/>
        </w:rPr>
        <w:t>fácil</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grupos</w:t>
      </w:r>
      <w:r>
        <w:rPr>
          <w:color w:val="231F20"/>
          <w:spacing w:val="-15"/>
          <w:w w:val="105"/>
        </w:rPr>
        <w:t> </w:t>
      </w:r>
      <w:r>
        <w:rPr>
          <w:color w:val="231F20"/>
          <w:w w:val="105"/>
        </w:rPr>
        <w:t>criminales</w:t>
      </w:r>
      <w:r>
        <w:rPr>
          <w:color w:val="231F20"/>
          <w:spacing w:val="-15"/>
          <w:w w:val="105"/>
        </w:rPr>
        <w:t> </w:t>
      </w:r>
      <w:r>
        <w:rPr>
          <w:color w:val="231F20"/>
          <w:w w:val="105"/>
        </w:rPr>
        <w:t>apostados</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fronte- ra,</w:t>
      </w:r>
      <w:r>
        <w:rPr>
          <w:color w:val="231F20"/>
          <w:spacing w:val="-22"/>
          <w:w w:val="105"/>
        </w:rPr>
        <w:t> </w:t>
      </w:r>
      <w:r>
        <w:rPr>
          <w:color w:val="231F20"/>
          <w:w w:val="105"/>
        </w:rPr>
        <w:t>sobre</w:t>
      </w:r>
      <w:r>
        <w:rPr>
          <w:color w:val="231F20"/>
          <w:spacing w:val="-16"/>
          <w:w w:val="105"/>
        </w:rPr>
        <w:t> </w:t>
      </w:r>
      <w:r>
        <w:rPr>
          <w:color w:val="231F20"/>
          <w:w w:val="105"/>
        </w:rPr>
        <w:t>todo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frontera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estados</w:t>
      </w:r>
      <w:r>
        <w:rPr>
          <w:color w:val="231F20"/>
          <w:spacing w:val="-16"/>
          <w:w w:val="105"/>
        </w:rPr>
        <w:t> </w:t>
      </w:r>
      <w:r>
        <w:rPr>
          <w:color w:val="231F20"/>
          <w:w w:val="105"/>
        </w:rPr>
        <w:t>de</w:t>
      </w:r>
      <w:r>
        <w:rPr>
          <w:color w:val="231F20"/>
          <w:spacing w:val="-21"/>
          <w:w w:val="105"/>
        </w:rPr>
        <w:t> </w:t>
      </w:r>
      <w:r>
        <w:rPr>
          <w:color w:val="231F20"/>
          <w:spacing w:val="-3"/>
          <w:w w:val="105"/>
        </w:rPr>
        <w:t>Tamaulipas</w:t>
      </w:r>
      <w:r>
        <w:rPr>
          <w:color w:val="231F20"/>
          <w:spacing w:val="-16"/>
          <w:w w:val="105"/>
        </w:rPr>
        <w:t> </w:t>
      </w:r>
      <w:r>
        <w:rPr>
          <w:color w:val="231F20"/>
          <w:w w:val="105"/>
        </w:rPr>
        <w:t>y</w:t>
      </w:r>
      <w:r>
        <w:rPr>
          <w:color w:val="231F20"/>
          <w:spacing w:val="-16"/>
          <w:w w:val="105"/>
        </w:rPr>
        <w:t> </w:t>
      </w:r>
      <w:r>
        <w:rPr>
          <w:color w:val="231F20"/>
          <w:w w:val="105"/>
        </w:rPr>
        <w:t>Coahuila</w:t>
      </w:r>
      <w:r>
        <w:rPr>
          <w:color w:val="231F20"/>
          <w:spacing w:val="-16"/>
          <w:w w:val="105"/>
        </w:rPr>
        <w:t> </w:t>
      </w:r>
      <w:r>
        <w:rPr>
          <w:color w:val="231F20"/>
          <w:w w:val="105"/>
        </w:rPr>
        <w:t>–en el</w:t>
      </w:r>
      <w:r>
        <w:rPr>
          <w:color w:val="231F20"/>
          <w:spacing w:val="-7"/>
          <w:w w:val="105"/>
        </w:rPr>
        <w:t> </w:t>
      </w:r>
      <w:r>
        <w:rPr>
          <w:color w:val="231F20"/>
          <w:w w:val="105"/>
        </w:rPr>
        <w:t>noreste</w:t>
      </w:r>
      <w:r>
        <w:rPr>
          <w:color w:val="231F20"/>
          <w:spacing w:val="-7"/>
          <w:w w:val="105"/>
        </w:rPr>
        <w:t> </w:t>
      </w:r>
      <w:r>
        <w:rPr>
          <w:color w:val="231F20"/>
          <w:w w:val="105"/>
        </w:rPr>
        <w:t>del</w:t>
      </w:r>
      <w:r>
        <w:rPr>
          <w:color w:val="231F20"/>
          <w:spacing w:val="-7"/>
          <w:w w:val="105"/>
        </w:rPr>
        <w:t> </w:t>
      </w:r>
      <w:r>
        <w:rPr>
          <w:color w:val="231F20"/>
          <w:w w:val="105"/>
        </w:rPr>
        <w:t>país–,</w:t>
      </w:r>
      <w:r>
        <w:rPr>
          <w:color w:val="231F20"/>
          <w:spacing w:val="-13"/>
          <w:w w:val="105"/>
        </w:rPr>
        <w:t> </w:t>
      </w:r>
      <w:r>
        <w:rPr>
          <w:color w:val="231F20"/>
          <w:w w:val="105"/>
        </w:rPr>
        <w:t>donde</w:t>
      </w:r>
      <w:r>
        <w:rPr>
          <w:color w:val="231F20"/>
          <w:spacing w:val="-7"/>
          <w:w w:val="105"/>
        </w:rPr>
        <w:t> </w:t>
      </w:r>
      <w:r>
        <w:rPr>
          <w:color w:val="231F20"/>
          <w:w w:val="105"/>
        </w:rPr>
        <w:t>frecuentemente</w:t>
      </w:r>
      <w:r>
        <w:rPr>
          <w:color w:val="231F20"/>
          <w:spacing w:val="-7"/>
          <w:w w:val="105"/>
        </w:rPr>
        <w:t> </w:t>
      </w:r>
      <w:r>
        <w:rPr>
          <w:color w:val="231F20"/>
          <w:w w:val="105"/>
        </w:rPr>
        <w:t>se</w:t>
      </w:r>
      <w:r>
        <w:rPr>
          <w:color w:val="231F20"/>
          <w:spacing w:val="-7"/>
          <w:w w:val="105"/>
        </w:rPr>
        <w:t> </w:t>
      </w:r>
      <w:r>
        <w:rPr>
          <w:color w:val="231F20"/>
          <w:w w:val="105"/>
        </w:rPr>
        <w:t>registra</w:t>
      </w:r>
      <w:r>
        <w:rPr>
          <w:color w:val="231F20"/>
          <w:spacing w:val="-7"/>
          <w:w w:val="105"/>
        </w:rPr>
        <w:t> </w:t>
      </w:r>
      <w:r>
        <w:rPr>
          <w:color w:val="231F20"/>
          <w:w w:val="105"/>
        </w:rPr>
        <w:t>por</w:t>
      </w:r>
      <w:r>
        <w:rPr>
          <w:color w:val="231F20"/>
          <w:spacing w:val="-7"/>
          <w:w w:val="105"/>
        </w:rPr>
        <w:t> </w:t>
      </w:r>
      <w:r>
        <w:rPr>
          <w:color w:val="231F20"/>
          <w:w w:val="105"/>
        </w:rPr>
        <w:t>la</w:t>
      </w:r>
      <w:r>
        <w:rPr>
          <w:color w:val="231F20"/>
          <w:spacing w:val="-7"/>
          <w:w w:val="105"/>
        </w:rPr>
        <w:t> </w:t>
      </w:r>
      <w:r>
        <w:rPr>
          <w:color w:val="231F20"/>
          <w:w w:val="105"/>
        </w:rPr>
        <w:t>policía</w:t>
      </w:r>
      <w:r>
        <w:rPr>
          <w:color w:val="231F20"/>
          <w:spacing w:val="-7"/>
          <w:w w:val="105"/>
        </w:rPr>
        <w:t> </w:t>
      </w:r>
      <w:r>
        <w:rPr>
          <w:color w:val="231F20"/>
          <w:w w:val="105"/>
        </w:rPr>
        <w:t>que jóvenes migrantes, casi adolescentes, son reclutados por estos grupos delictivos</w:t>
      </w:r>
      <w:r>
        <w:rPr>
          <w:color w:val="231F20"/>
          <w:spacing w:val="-28"/>
          <w:w w:val="105"/>
        </w:rPr>
        <w:t> </w:t>
      </w:r>
      <w:r>
        <w:rPr>
          <w:color w:val="231F20"/>
          <w:w w:val="105"/>
        </w:rPr>
        <w:t>para</w:t>
      </w:r>
      <w:r>
        <w:rPr>
          <w:color w:val="231F20"/>
          <w:spacing w:val="-28"/>
          <w:w w:val="105"/>
        </w:rPr>
        <w:t> </w:t>
      </w:r>
      <w:r>
        <w:rPr>
          <w:color w:val="231F20"/>
          <w:w w:val="105"/>
        </w:rPr>
        <w:t>realizar</w:t>
      </w:r>
      <w:r>
        <w:rPr>
          <w:color w:val="231F20"/>
          <w:spacing w:val="-28"/>
          <w:w w:val="105"/>
        </w:rPr>
        <w:t> </w:t>
      </w:r>
      <w:r>
        <w:rPr>
          <w:color w:val="231F20"/>
          <w:w w:val="105"/>
        </w:rPr>
        <w:t>variadas</w:t>
      </w:r>
      <w:r>
        <w:rPr>
          <w:color w:val="231F20"/>
          <w:spacing w:val="-28"/>
          <w:w w:val="105"/>
        </w:rPr>
        <w:t> </w:t>
      </w:r>
      <w:r>
        <w:rPr>
          <w:color w:val="231F20"/>
          <w:w w:val="105"/>
        </w:rPr>
        <w:t>actividades</w:t>
      </w:r>
      <w:r>
        <w:rPr>
          <w:color w:val="231F20"/>
          <w:spacing w:val="-28"/>
          <w:w w:val="105"/>
        </w:rPr>
        <w:t> </w:t>
      </w:r>
      <w:r>
        <w:rPr>
          <w:color w:val="231F20"/>
          <w:w w:val="105"/>
        </w:rPr>
        <w:t>ilícitas.</w:t>
      </w:r>
      <w:r>
        <w:rPr>
          <w:color w:val="231F20"/>
          <w:spacing w:val="-32"/>
          <w:w w:val="105"/>
        </w:rPr>
        <w:t> </w:t>
      </w:r>
      <w:r>
        <w:rPr>
          <w:color w:val="231F20"/>
          <w:w w:val="105"/>
        </w:rPr>
        <w:t>En</w:t>
      </w:r>
      <w:r>
        <w:rPr>
          <w:color w:val="231F20"/>
          <w:spacing w:val="-28"/>
          <w:w w:val="105"/>
        </w:rPr>
        <w:t> </w:t>
      </w:r>
      <w:r>
        <w:rPr>
          <w:color w:val="231F20"/>
          <w:w w:val="105"/>
        </w:rPr>
        <w:t>algunos</w:t>
      </w:r>
      <w:r>
        <w:rPr>
          <w:color w:val="231F20"/>
          <w:spacing w:val="-28"/>
          <w:w w:val="105"/>
        </w:rPr>
        <w:t> </w:t>
      </w:r>
      <w:r>
        <w:rPr>
          <w:color w:val="231F20"/>
          <w:w w:val="105"/>
        </w:rPr>
        <w:t>casos,</w:t>
      </w:r>
      <w:r>
        <w:rPr>
          <w:color w:val="231F20"/>
          <w:spacing w:val="-32"/>
          <w:w w:val="105"/>
        </w:rPr>
        <w:t> </w:t>
      </w:r>
      <w:r>
        <w:rPr>
          <w:color w:val="231F20"/>
          <w:w w:val="105"/>
        </w:rPr>
        <w:t>los jóvenes</w:t>
      </w:r>
      <w:r>
        <w:rPr>
          <w:color w:val="231F20"/>
          <w:spacing w:val="-22"/>
          <w:w w:val="105"/>
        </w:rPr>
        <w:t> </w:t>
      </w:r>
      <w:r>
        <w:rPr>
          <w:color w:val="231F20"/>
          <w:w w:val="105"/>
        </w:rPr>
        <w:t>han</w:t>
      </w:r>
      <w:r>
        <w:rPr>
          <w:color w:val="231F20"/>
          <w:spacing w:val="-22"/>
          <w:w w:val="105"/>
        </w:rPr>
        <w:t> </w:t>
      </w:r>
      <w:r>
        <w:rPr>
          <w:color w:val="231F20"/>
          <w:w w:val="105"/>
        </w:rPr>
        <w:t>manifestado</w:t>
      </w:r>
      <w:r>
        <w:rPr>
          <w:color w:val="231F20"/>
          <w:spacing w:val="-22"/>
          <w:w w:val="105"/>
        </w:rPr>
        <w:t> </w:t>
      </w:r>
      <w:r>
        <w:rPr>
          <w:color w:val="231F20"/>
          <w:w w:val="105"/>
        </w:rPr>
        <w:t>que</w:t>
      </w:r>
      <w:r>
        <w:rPr>
          <w:color w:val="231F20"/>
          <w:spacing w:val="-22"/>
          <w:w w:val="105"/>
        </w:rPr>
        <w:t> </w:t>
      </w:r>
      <w:r>
        <w:rPr>
          <w:color w:val="231F20"/>
          <w:w w:val="105"/>
        </w:rPr>
        <w:t>su</w:t>
      </w:r>
      <w:r>
        <w:rPr>
          <w:color w:val="231F20"/>
          <w:spacing w:val="-22"/>
          <w:w w:val="105"/>
        </w:rPr>
        <w:t> </w:t>
      </w:r>
      <w:r>
        <w:rPr>
          <w:color w:val="231F20"/>
          <w:w w:val="105"/>
        </w:rPr>
        <w:t>participación</w:t>
      </w:r>
      <w:r>
        <w:rPr>
          <w:color w:val="231F20"/>
          <w:spacing w:val="-22"/>
          <w:w w:val="105"/>
        </w:rPr>
        <w:t> </w:t>
      </w:r>
      <w:r>
        <w:rPr>
          <w:color w:val="231F20"/>
          <w:w w:val="105"/>
        </w:rPr>
        <w:t>en</w:t>
      </w:r>
      <w:r>
        <w:rPr>
          <w:color w:val="231F20"/>
          <w:spacing w:val="-22"/>
          <w:w w:val="105"/>
        </w:rPr>
        <w:t> </w:t>
      </w:r>
      <w:r>
        <w:rPr>
          <w:color w:val="231F20"/>
          <w:w w:val="105"/>
        </w:rPr>
        <w:t>estos</w:t>
      </w:r>
      <w:r>
        <w:rPr>
          <w:color w:val="231F20"/>
          <w:spacing w:val="-22"/>
          <w:w w:val="105"/>
        </w:rPr>
        <w:t> </w:t>
      </w:r>
      <w:r>
        <w:rPr>
          <w:color w:val="231F20"/>
          <w:w w:val="105"/>
        </w:rPr>
        <w:t>grupos</w:t>
      </w:r>
      <w:r>
        <w:rPr>
          <w:color w:val="231F20"/>
          <w:spacing w:val="-22"/>
          <w:w w:val="105"/>
        </w:rPr>
        <w:t> </w:t>
      </w:r>
      <w:r>
        <w:rPr>
          <w:color w:val="231F20"/>
          <w:w w:val="105"/>
        </w:rPr>
        <w:t>es</w:t>
      </w:r>
      <w:r>
        <w:rPr>
          <w:color w:val="231F20"/>
          <w:spacing w:val="-22"/>
          <w:w w:val="105"/>
        </w:rPr>
        <w:t> </w:t>
      </w:r>
      <w:r>
        <w:rPr>
          <w:color w:val="231F20"/>
          <w:w w:val="105"/>
        </w:rPr>
        <w:t>tempo- ral, y que el fin último es conseguir recursos para, eventualmente, rein- gresar</w:t>
      </w:r>
      <w:r>
        <w:rPr>
          <w:color w:val="231F20"/>
          <w:spacing w:val="-37"/>
          <w:w w:val="105"/>
        </w:rPr>
        <w:t> </w:t>
      </w:r>
      <w:r>
        <w:rPr>
          <w:color w:val="231F20"/>
          <w:w w:val="105"/>
        </w:rPr>
        <w:t>a</w:t>
      </w:r>
      <w:r>
        <w:rPr>
          <w:color w:val="231F20"/>
          <w:spacing w:val="-37"/>
          <w:w w:val="105"/>
        </w:rPr>
        <w:t> </w:t>
      </w:r>
      <w:r>
        <w:rPr>
          <w:color w:val="231F20"/>
          <w:w w:val="105"/>
        </w:rPr>
        <w:t>Estados</w:t>
      </w:r>
      <w:r>
        <w:rPr>
          <w:color w:val="231F20"/>
          <w:spacing w:val="-37"/>
          <w:w w:val="105"/>
        </w:rPr>
        <w:t> </w:t>
      </w:r>
      <w:r>
        <w:rPr>
          <w:color w:val="231F20"/>
          <w:w w:val="105"/>
        </w:rPr>
        <w:t>Unidos.</w:t>
      </w:r>
      <w:r>
        <w:rPr>
          <w:color w:val="231F20"/>
          <w:w w:val="105"/>
          <w:position w:val="7"/>
          <w:sz w:val="12"/>
        </w:rPr>
        <w:t>4</w:t>
      </w:r>
    </w:p>
    <w:p>
      <w:pPr>
        <w:pStyle w:val="BodyText"/>
        <w:spacing w:before="9"/>
        <w:rPr>
          <w:sz w:val="22"/>
        </w:rPr>
      </w:pPr>
    </w:p>
    <w:p>
      <w:pPr>
        <w:spacing w:before="0"/>
        <w:ind w:left="1723" w:right="0" w:firstLine="0"/>
        <w:jc w:val="both"/>
        <w:rPr>
          <w:rFonts w:ascii="Arial"/>
          <w:i/>
          <w:sz w:val="21"/>
        </w:rPr>
      </w:pPr>
      <w:r>
        <w:rPr>
          <w:rFonts w:ascii="Arial"/>
          <w:i/>
          <w:color w:val="231F20"/>
          <w:sz w:val="21"/>
        </w:rPr>
        <w:t>Los retornados a la ciudad, un esbozo</w:t>
      </w:r>
    </w:p>
    <w:p>
      <w:pPr>
        <w:pStyle w:val="BodyText"/>
        <w:spacing w:before="5"/>
        <w:rPr>
          <w:rFonts w:ascii="Arial"/>
          <w:i/>
          <w:sz w:val="24"/>
        </w:rPr>
      </w:pPr>
    </w:p>
    <w:p>
      <w:pPr>
        <w:pStyle w:val="BodyText"/>
        <w:spacing w:line="261" w:lineRule="auto" w:before="1"/>
        <w:ind w:left="1723" w:right="1834" w:hanging="1"/>
        <w:jc w:val="both"/>
      </w:pPr>
      <w:r>
        <w:rPr>
          <w:color w:val="231F20"/>
          <w:w w:val="105"/>
        </w:rPr>
        <w:t>El</w:t>
      </w:r>
      <w:r>
        <w:rPr>
          <w:color w:val="231F20"/>
          <w:spacing w:val="-13"/>
          <w:w w:val="105"/>
        </w:rPr>
        <w:t> </w:t>
      </w:r>
      <w:r>
        <w:rPr>
          <w:color w:val="231F20"/>
          <w:w w:val="105"/>
        </w:rPr>
        <w:t>Instituto</w:t>
      </w:r>
      <w:r>
        <w:rPr>
          <w:color w:val="231F20"/>
          <w:spacing w:val="-13"/>
          <w:w w:val="105"/>
        </w:rPr>
        <w:t> </w:t>
      </w:r>
      <w:r>
        <w:rPr>
          <w:color w:val="231F20"/>
          <w:w w:val="105"/>
        </w:rPr>
        <w:t>Nacional</w:t>
      </w:r>
      <w:r>
        <w:rPr>
          <w:color w:val="231F20"/>
          <w:spacing w:val="-13"/>
          <w:w w:val="105"/>
        </w:rPr>
        <w:t> </w:t>
      </w:r>
      <w:r>
        <w:rPr>
          <w:color w:val="231F20"/>
          <w:w w:val="105"/>
        </w:rPr>
        <w:t>de</w:t>
      </w:r>
      <w:r>
        <w:rPr>
          <w:color w:val="231F20"/>
          <w:spacing w:val="-13"/>
          <w:w w:val="105"/>
        </w:rPr>
        <w:t> </w:t>
      </w:r>
      <w:r>
        <w:rPr>
          <w:color w:val="231F20"/>
          <w:w w:val="105"/>
        </w:rPr>
        <w:t>Estadística</w:t>
      </w:r>
      <w:r>
        <w:rPr>
          <w:color w:val="231F20"/>
          <w:spacing w:val="-13"/>
          <w:w w:val="105"/>
        </w:rPr>
        <w:t> </w:t>
      </w:r>
      <w:r>
        <w:rPr>
          <w:color w:val="231F20"/>
          <w:w w:val="105"/>
        </w:rPr>
        <w:t>y</w:t>
      </w:r>
      <w:r>
        <w:rPr>
          <w:color w:val="231F20"/>
          <w:spacing w:val="-13"/>
          <w:w w:val="105"/>
        </w:rPr>
        <w:t> </w:t>
      </w:r>
      <w:r>
        <w:rPr>
          <w:color w:val="231F20"/>
          <w:w w:val="105"/>
        </w:rPr>
        <w:t>Geografía</w:t>
      </w:r>
      <w:r>
        <w:rPr>
          <w:color w:val="231F20"/>
          <w:spacing w:val="-13"/>
          <w:w w:val="105"/>
        </w:rPr>
        <w:t> </w:t>
      </w:r>
      <w:r>
        <w:rPr>
          <w:color w:val="231F20"/>
          <w:w w:val="105"/>
        </w:rPr>
        <w:t>(</w:t>
      </w:r>
      <w:r>
        <w:rPr>
          <w:color w:val="231F20"/>
          <w:w w:val="105"/>
          <w:sz w:val="17"/>
        </w:rPr>
        <w:t>INEGI</w:t>
      </w:r>
      <w:r>
        <w:rPr>
          <w:color w:val="231F20"/>
          <w:w w:val="105"/>
        </w:rPr>
        <w:t>),</w:t>
      </w:r>
      <w:r>
        <w:rPr>
          <w:color w:val="231F20"/>
          <w:spacing w:val="-18"/>
          <w:w w:val="105"/>
        </w:rPr>
        <w:t> </w:t>
      </w:r>
      <w:r>
        <w:rPr>
          <w:color w:val="231F20"/>
          <w:w w:val="105"/>
        </w:rPr>
        <w:t>a</w:t>
      </w:r>
      <w:r>
        <w:rPr>
          <w:color w:val="231F20"/>
          <w:spacing w:val="-13"/>
          <w:w w:val="105"/>
        </w:rPr>
        <w:t> </w:t>
      </w:r>
      <w:r>
        <w:rPr>
          <w:color w:val="231F20"/>
          <w:w w:val="105"/>
        </w:rPr>
        <w:t>través</w:t>
      </w:r>
      <w:r>
        <w:rPr>
          <w:color w:val="231F20"/>
          <w:spacing w:val="-13"/>
          <w:w w:val="105"/>
        </w:rPr>
        <w:t> </w:t>
      </w:r>
      <w:r>
        <w:rPr>
          <w:color w:val="231F20"/>
          <w:w w:val="105"/>
        </w:rPr>
        <w:t>del</w:t>
      </w:r>
      <w:r>
        <w:rPr>
          <w:color w:val="231F20"/>
          <w:spacing w:val="-13"/>
          <w:w w:val="105"/>
        </w:rPr>
        <w:t> </w:t>
      </w:r>
      <w:r>
        <w:rPr>
          <w:color w:val="231F20"/>
          <w:w w:val="105"/>
        </w:rPr>
        <w:t>Cen- so de Población y Vivienda en México, registra quinquenalmente a </w:t>
      </w:r>
      <w:r>
        <w:rPr>
          <w:color w:val="231F20"/>
          <w:spacing w:val="13"/>
          <w:w w:val="105"/>
        </w:rPr>
        <w:t> </w:t>
      </w:r>
      <w:r>
        <w:rPr>
          <w:color w:val="231F20"/>
          <w:w w:val="105"/>
        </w:rPr>
        <w:t>los</w:t>
      </w:r>
    </w:p>
    <w:p>
      <w:pPr>
        <w:pStyle w:val="BodyText"/>
        <w:spacing w:before="10"/>
        <w:rPr>
          <w:sz w:val="18"/>
        </w:rPr>
      </w:pPr>
      <w:r>
        <w:rPr/>
        <w:pict>
          <v:line style="position:absolute;mso-position-horizontal-relative:page;mso-position-vertical-relative:paragraph;z-index:11968;mso-wrap-distance-left:0;mso-wrap-distance-right:0" from="86.196899pt,12.782825pt" to="199.582899pt,12.782825pt" stroked="true" strokeweight=".25pt" strokecolor="#231f20">
            <w10:wrap type="topAndBottom"/>
          </v:line>
        </w:pict>
      </w:r>
    </w:p>
    <w:p>
      <w:pPr>
        <w:spacing w:line="192" w:lineRule="exact" w:before="7"/>
        <w:ind w:left="1723" w:right="1683" w:firstLine="0"/>
        <w:jc w:val="left"/>
        <w:rPr>
          <w:rFonts w:ascii="Calibri" w:hAnsi="Calibri"/>
          <w:sz w:val="16"/>
        </w:rPr>
      </w:pPr>
      <w:r>
        <w:rPr>
          <w:rFonts w:ascii="Calibri" w:hAnsi="Calibri"/>
          <w:color w:val="414042"/>
          <w:w w:val="105"/>
          <w:position w:val="5"/>
          <w:sz w:val="9"/>
        </w:rPr>
        <w:t>4 </w:t>
      </w:r>
      <w:r>
        <w:rPr>
          <w:rFonts w:ascii="Calibri" w:hAnsi="Calibri"/>
          <w:color w:val="414042"/>
          <w:w w:val="105"/>
          <w:sz w:val="16"/>
        </w:rPr>
        <w:t>Información obtenida por la autora a partir de entrevistas realizadas en julio de 2013 en la central de autobuses de Tampico, Tamaulipas.</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8192" from="131.551193pt,3.753715pt" to="131.551193pt,39.556114pt" stroked="true" strokeweight=".35pt" strokecolor="#231f20">
            <w10:wrap type="none"/>
          </v:line>
        </w:pict>
      </w:r>
      <w:r>
        <w:rPr/>
        <w:pict>
          <v:line style="position:absolute;mso-position-horizontal-relative:page;mso-position-vertical-relative:paragraph;z-index:-478120" from="15pt,39.555916pt" to="0pt,39.555916pt" stroked="true" strokeweight=".25pt" strokecolor="#000000">
            <w10:wrap type="none"/>
          </v:line>
        </w:pict>
      </w:r>
      <w:r>
        <w:rPr/>
        <w:pict>
          <v:line style="position:absolute;mso-position-horizontal-relative:page;mso-position-vertical-relative:paragraph;z-index:12088" from="508.890015pt,39.555916pt" to="523.890015pt,39.555916pt" stroked="true" strokeweight=".25pt" strokecolor="#000000">
            <w10:wrap type="none"/>
          </v:line>
        </w:pict>
      </w:r>
      <w:r>
        <w:rPr>
          <w:rFonts w:ascii="Arial" w:hAnsi="Arial"/>
          <w:color w:val="414042"/>
          <w:position w:val="-5"/>
          <w:sz w:val="20"/>
        </w:rPr>
        <w:t>122</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77976" from="15pt,715.487793pt" to="0pt,715.487793pt" stroked="true" strokeweight=".25pt" strokecolor="#000000">
            <w10:wrap type="none"/>
          </v:line>
        </w:pict>
      </w:r>
      <w:r>
        <w:rPr/>
        <w:pict>
          <v:line style="position:absolute;mso-position-horizontal-relative:page;mso-position-vertical-relative:page;z-index:12232"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8048" from="405.061005pt,-18.554295pt" to="405.061005pt,16.311579pt" stroked="true" strokeweight=".35pt" strokecolor="#231f20">
            <w10:wrap type="none"/>
          </v:line>
        </w:pict>
      </w:r>
      <w:r>
        <w:rPr/>
        <w:pict>
          <v:line style="position:absolute;mso-position-horizontal-relative:page;mso-position-vertical-relative:paragraph;z-index:12160" from="15pt,-18.554522pt" to="0pt,-18.554522pt" stroked="true" strokeweight=".25pt" strokecolor="#000000">
            <w10:wrap type="none"/>
          </v:line>
        </w:pict>
      </w:r>
      <w:r>
        <w:rPr/>
        <w:pict>
          <v:line style="position:absolute;mso-position-horizontal-relative:page;mso-position-vertical-relative:paragraph;z-index:12184"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123</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retornados, es decir, a las personas con experiencia migratoria que en ese periodo decidieron volver a México porque cumplieron su proyecto migratorio o alcanzaron las metas que se impusieron al emigrar, pero también a todos aquellos que en los últimos cinco años regresaron al país.</w:t>
      </w:r>
      <w:r>
        <w:rPr>
          <w:color w:val="231F20"/>
          <w:spacing w:val="-28"/>
          <w:w w:val="105"/>
        </w:rPr>
        <w:t> </w:t>
      </w:r>
      <w:r>
        <w:rPr>
          <w:color w:val="231F20"/>
          <w:w w:val="105"/>
        </w:rPr>
        <w:t>En</w:t>
      </w:r>
      <w:r>
        <w:rPr>
          <w:color w:val="231F20"/>
          <w:spacing w:val="-24"/>
          <w:w w:val="105"/>
        </w:rPr>
        <w:t> </w:t>
      </w:r>
      <w:r>
        <w:rPr>
          <w:color w:val="231F20"/>
          <w:w w:val="105"/>
        </w:rPr>
        <w:t>otras</w:t>
      </w:r>
      <w:r>
        <w:rPr>
          <w:color w:val="231F20"/>
          <w:spacing w:val="-24"/>
          <w:w w:val="105"/>
        </w:rPr>
        <w:t> </w:t>
      </w:r>
      <w:r>
        <w:rPr>
          <w:color w:val="231F20"/>
          <w:w w:val="105"/>
        </w:rPr>
        <w:t>palabras,</w:t>
      </w:r>
      <w:r>
        <w:rPr>
          <w:color w:val="231F20"/>
          <w:spacing w:val="-28"/>
          <w:w w:val="105"/>
        </w:rPr>
        <w:t> </w:t>
      </w:r>
      <w:r>
        <w:rPr>
          <w:color w:val="231F20"/>
          <w:w w:val="105"/>
        </w:rPr>
        <w:t>se</w:t>
      </w:r>
      <w:r>
        <w:rPr>
          <w:color w:val="231F20"/>
          <w:spacing w:val="-24"/>
          <w:w w:val="105"/>
        </w:rPr>
        <w:t> </w:t>
      </w:r>
      <w:r>
        <w:rPr>
          <w:color w:val="231F20"/>
          <w:w w:val="105"/>
        </w:rPr>
        <w:t>contabilizan</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misma</w:t>
      </w:r>
      <w:r>
        <w:rPr>
          <w:color w:val="231F20"/>
          <w:spacing w:val="-24"/>
          <w:w w:val="105"/>
        </w:rPr>
        <w:t> </w:t>
      </w:r>
      <w:r>
        <w:rPr>
          <w:color w:val="231F20"/>
          <w:w w:val="105"/>
        </w:rPr>
        <w:t>categoría</w:t>
      </w:r>
      <w:r>
        <w:rPr>
          <w:color w:val="231F20"/>
          <w:spacing w:val="-24"/>
          <w:w w:val="105"/>
        </w:rPr>
        <w:t> </w:t>
      </w:r>
      <w:r>
        <w:rPr>
          <w:color w:val="231F20"/>
          <w:w w:val="105"/>
        </w:rPr>
        <w:t>censal</w:t>
      </w:r>
      <w:r>
        <w:rPr>
          <w:color w:val="231F20"/>
          <w:spacing w:val="-24"/>
          <w:w w:val="105"/>
        </w:rPr>
        <w:t> </w:t>
      </w:r>
      <w:r>
        <w:rPr>
          <w:color w:val="231F20"/>
          <w:w w:val="105"/>
        </w:rPr>
        <w:t>tan- to a quienes fueron deportados y a quienes decidieron</w:t>
      </w:r>
      <w:r>
        <w:rPr>
          <w:color w:val="231F20"/>
          <w:spacing w:val="-26"/>
          <w:w w:val="105"/>
        </w:rPr>
        <w:t> </w:t>
      </w:r>
      <w:r>
        <w:rPr>
          <w:color w:val="231F20"/>
          <w:w w:val="105"/>
        </w:rPr>
        <w:t>voluntariamente regresar al país. </w:t>
      </w:r>
      <w:r>
        <w:rPr>
          <w:color w:val="231F20"/>
          <w:spacing w:val="-6"/>
          <w:w w:val="105"/>
        </w:rPr>
        <w:t>Por </w:t>
      </w:r>
      <w:r>
        <w:rPr>
          <w:color w:val="231F20"/>
          <w:w w:val="105"/>
        </w:rPr>
        <w:t>lo anterior, no es posible distinguir, a través de las bases</w:t>
      </w:r>
      <w:r>
        <w:rPr>
          <w:color w:val="231F20"/>
          <w:spacing w:val="-26"/>
          <w:w w:val="105"/>
        </w:rPr>
        <w:t> </w:t>
      </w:r>
      <w:r>
        <w:rPr>
          <w:color w:val="231F20"/>
          <w:w w:val="105"/>
        </w:rPr>
        <w:t>de</w:t>
      </w:r>
      <w:r>
        <w:rPr>
          <w:color w:val="231F20"/>
          <w:spacing w:val="-26"/>
          <w:w w:val="105"/>
        </w:rPr>
        <w:t> </w:t>
      </w:r>
      <w:r>
        <w:rPr>
          <w:color w:val="231F20"/>
          <w:w w:val="105"/>
        </w:rPr>
        <w:t>datos</w:t>
      </w:r>
      <w:r>
        <w:rPr>
          <w:color w:val="231F20"/>
          <w:spacing w:val="-26"/>
          <w:w w:val="105"/>
        </w:rPr>
        <w:t> </w:t>
      </w:r>
      <w:r>
        <w:rPr>
          <w:color w:val="231F20"/>
          <w:w w:val="105"/>
        </w:rPr>
        <w:t>censales,</w:t>
      </w:r>
      <w:r>
        <w:rPr>
          <w:color w:val="231F20"/>
          <w:spacing w:val="-30"/>
          <w:w w:val="105"/>
        </w:rPr>
        <w:t> </w:t>
      </w:r>
      <w:r>
        <w:rPr>
          <w:color w:val="231F20"/>
          <w:w w:val="105"/>
        </w:rPr>
        <w:t>las</w:t>
      </w:r>
      <w:r>
        <w:rPr>
          <w:color w:val="231F20"/>
          <w:spacing w:val="-26"/>
          <w:w w:val="105"/>
        </w:rPr>
        <w:t> </w:t>
      </w:r>
      <w:r>
        <w:rPr>
          <w:color w:val="231F20"/>
          <w:w w:val="105"/>
        </w:rPr>
        <w:t>razones</w:t>
      </w:r>
      <w:r>
        <w:rPr>
          <w:color w:val="231F20"/>
          <w:spacing w:val="-26"/>
          <w:w w:val="105"/>
        </w:rPr>
        <w:t> </w:t>
      </w:r>
      <w:r>
        <w:rPr>
          <w:color w:val="231F20"/>
          <w:w w:val="105"/>
        </w:rPr>
        <w:t>que</w:t>
      </w:r>
      <w:r>
        <w:rPr>
          <w:color w:val="231F20"/>
          <w:spacing w:val="-26"/>
          <w:w w:val="105"/>
        </w:rPr>
        <w:t> </w:t>
      </w:r>
      <w:r>
        <w:rPr>
          <w:color w:val="231F20"/>
          <w:w w:val="105"/>
        </w:rPr>
        <w:t>mediaron</w:t>
      </w:r>
      <w:r>
        <w:rPr>
          <w:color w:val="231F20"/>
          <w:spacing w:val="-26"/>
          <w:w w:val="105"/>
        </w:rPr>
        <w:t> </w:t>
      </w:r>
      <w:r>
        <w:rPr>
          <w:color w:val="231F20"/>
          <w:w w:val="105"/>
        </w:rPr>
        <w:t>el</w:t>
      </w:r>
      <w:r>
        <w:rPr>
          <w:color w:val="231F20"/>
          <w:spacing w:val="-26"/>
          <w:w w:val="105"/>
        </w:rPr>
        <w:t> </w:t>
      </w:r>
      <w:r>
        <w:rPr>
          <w:color w:val="231F20"/>
          <w:w w:val="105"/>
        </w:rPr>
        <w:t>regreso.</w:t>
      </w:r>
    </w:p>
    <w:p>
      <w:pPr>
        <w:pStyle w:val="BodyText"/>
        <w:spacing w:line="261" w:lineRule="auto" w:before="1"/>
        <w:ind w:left="1837" w:right="1716" w:firstLine="567"/>
        <w:jc w:val="right"/>
      </w:pPr>
      <w:r>
        <w:rPr>
          <w:color w:val="231F20"/>
        </w:rPr>
        <w:t>En este sentido, la evidencia recabada a través de entrevistas y tra-</w:t>
      </w:r>
      <w:r>
        <w:rPr>
          <w:color w:val="231F20"/>
          <w:w w:val="96"/>
        </w:rPr>
        <w:t> </w:t>
      </w:r>
      <w:r>
        <w:rPr>
          <w:color w:val="231F20"/>
        </w:rPr>
        <w:t>bajo etnográfico muestra la existencia un importante número de perso-</w:t>
      </w:r>
      <w:r>
        <w:rPr>
          <w:color w:val="231F20"/>
          <w:w w:val="96"/>
        </w:rPr>
        <w:t> </w:t>
      </w:r>
      <w:r>
        <w:rPr>
          <w:color w:val="231F20"/>
        </w:rPr>
        <w:t>nas que regresaron a México como “devueltos”; esto es, personas que</w:t>
      </w:r>
      <w:r>
        <w:rPr>
          <w:color w:val="231F20"/>
          <w:w w:val="107"/>
        </w:rPr>
        <w:t> </w:t>
      </w:r>
      <w:r>
        <w:rPr>
          <w:color w:val="231F20"/>
        </w:rPr>
        <w:t>por cometer una falta administrativa menor fueron aprehendidas inme-</w:t>
      </w:r>
      <w:r>
        <w:rPr>
          <w:color w:val="231F20"/>
          <w:w w:val="96"/>
        </w:rPr>
        <w:t> </w:t>
      </w:r>
      <w:r>
        <w:rPr>
          <w:color w:val="231F20"/>
        </w:rPr>
        <w:t>diatamente por la policía, y luego entregados a las autoridades migrato-</w:t>
      </w:r>
      <w:r>
        <w:rPr>
          <w:color w:val="231F20"/>
          <w:w w:val="96"/>
        </w:rPr>
        <w:t> </w:t>
      </w:r>
      <w:r>
        <w:rPr>
          <w:color w:val="231F20"/>
        </w:rPr>
        <w:t>rias para ser devueltos a México, a través de alguna ciudad fronteriza, sin</w:t>
      </w:r>
      <w:r>
        <w:rPr>
          <w:color w:val="231F20"/>
          <w:w w:val="99"/>
        </w:rPr>
        <w:t> </w:t>
      </w:r>
      <w:r>
        <w:rPr>
          <w:color w:val="231F20"/>
        </w:rPr>
        <w:t>mediar, en la mayor parte de los casos, un procedimiento de deportación.</w:t>
      </w:r>
      <w:r>
        <w:rPr>
          <w:color w:val="231F20"/>
          <w:w w:val="103"/>
        </w:rPr>
        <w:t> </w:t>
      </w:r>
      <w:r>
        <w:rPr>
          <w:color w:val="231F20"/>
        </w:rPr>
        <w:t>Una de estas faltas administrativas, registrada a lo largo del trabajo</w:t>
      </w:r>
      <w:r>
        <w:rPr>
          <w:color w:val="231F20"/>
          <w:w w:val="104"/>
        </w:rPr>
        <w:t> </w:t>
      </w:r>
      <w:r>
        <w:rPr>
          <w:color w:val="231F20"/>
        </w:rPr>
        <w:t>etnográfico realizado en diversos municipios del país, incluido el munici-</w:t>
      </w:r>
      <w:r>
        <w:rPr>
          <w:color w:val="231F20"/>
          <w:w w:val="96"/>
        </w:rPr>
        <w:t> </w:t>
      </w:r>
      <w:r>
        <w:rPr>
          <w:color w:val="231F20"/>
        </w:rPr>
        <w:t>pio de Nezahualcóyotl, señala que cruzar una calle o avenida cuando el</w:t>
      </w:r>
      <w:r>
        <w:rPr>
          <w:color w:val="231F20"/>
          <w:w w:val="105"/>
        </w:rPr>
        <w:t> </w:t>
      </w:r>
      <w:r>
        <w:rPr>
          <w:color w:val="231F20"/>
        </w:rPr>
        <w:t>semáforo indica hacer un alto es falta suficiente para aprender a los mi-</w:t>
      </w:r>
      <w:r>
        <w:rPr>
          <w:color w:val="231F20"/>
          <w:w w:val="96"/>
        </w:rPr>
        <w:t> </w:t>
      </w:r>
      <w:r>
        <w:rPr>
          <w:color w:val="231F20"/>
        </w:rPr>
        <w:t>grantes. El caso de un inmigrante originario del estado de Puebla, quien</w:t>
      </w:r>
      <w:r>
        <w:rPr>
          <w:color w:val="231F20"/>
          <w:w w:val="106"/>
        </w:rPr>
        <w:t> </w:t>
      </w:r>
      <w:r>
        <w:rPr>
          <w:color w:val="231F20"/>
        </w:rPr>
        <w:t>radicó en Nueva Jersey por doce años, permite ilustrar como esta falta se</w:t>
      </w:r>
      <w:r>
        <w:rPr>
          <w:color w:val="231F20"/>
          <w:w w:val="96"/>
        </w:rPr>
        <w:t> </w:t>
      </w:r>
      <w:r>
        <w:rPr>
          <w:color w:val="231F20"/>
        </w:rPr>
        <w:t>ha vuelto una constante para aprehender migrantes en los últimos cinco</w:t>
      </w:r>
      <w:r>
        <w:rPr>
          <w:color w:val="231F20"/>
          <w:w w:val="104"/>
        </w:rPr>
        <w:t> </w:t>
      </w:r>
      <w:r>
        <w:rPr>
          <w:color w:val="231F20"/>
        </w:rPr>
        <w:t>años. Durante los doce años que este hombre, a quien llamaremos Juan,</w:t>
      </w:r>
      <w:r>
        <w:rPr>
          <w:color w:val="231F20"/>
          <w:w w:val="100"/>
        </w:rPr>
        <w:t> </w:t>
      </w:r>
      <w:r>
        <w:rPr>
          <w:color w:val="231F20"/>
        </w:rPr>
        <w:t>radicó en Jersey no realizó ningún viaje de visita al país hasta que fue</w:t>
      </w:r>
      <w:r>
        <w:rPr>
          <w:color w:val="231F20"/>
          <w:w w:val="104"/>
        </w:rPr>
        <w:t> </w:t>
      </w:r>
      <w:r>
        <w:rPr>
          <w:color w:val="231F20"/>
        </w:rPr>
        <w:t>devuelto a México por la ciudad fronteriza de Reynosa, en Tamaulipas,</w:t>
      </w:r>
      <w:r>
        <w:rPr>
          <w:color w:val="231F20"/>
          <w:w w:val="101"/>
        </w:rPr>
        <w:t> </w:t>
      </w:r>
      <w:r>
        <w:rPr>
          <w:color w:val="231F20"/>
        </w:rPr>
        <w:t>precisamente por haber atravesado una calle durante la noche, cuando</w:t>
      </w:r>
      <w:r>
        <w:rPr>
          <w:color w:val="231F20"/>
          <w:w w:val="104"/>
        </w:rPr>
        <w:t> </w:t>
      </w:r>
      <w:r>
        <w:rPr>
          <w:color w:val="231F20"/>
        </w:rPr>
        <w:t>el semáforo le indicaba detenerse. Juan fue devuelto a México y luego</w:t>
      </w:r>
      <w:r>
        <w:rPr>
          <w:color w:val="231F20"/>
          <w:w w:val="107"/>
        </w:rPr>
        <w:t> </w:t>
      </w:r>
      <w:r>
        <w:rPr>
          <w:color w:val="231F20"/>
        </w:rPr>
        <w:t>de intentar en dos ocasiones volver a ingresar a Estados Unidos, sin éxi-</w:t>
      </w:r>
      <w:r>
        <w:rPr>
          <w:color w:val="231F20"/>
          <w:w w:val="96"/>
        </w:rPr>
        <w:t> </w:t>
      </w:r>
      <w:r>
        <w:rPr>
          <w:color w:val="231F20"/>
        </w:rPr>
        <w:t>to alguno, decidió desplazarse a Nezahualcóyotl –aunque originalmente</w:t>
      </w:r>
      <w:r>
        <w:rPr>
          <w:color w:val="231F20"/>
          <w:w w:val="106"/>
        </w:rPr>
        <w:t> </w:t>
      </w:r>
      <w:r>
        <w:rPr>
          <w:color w:val="231F20"/>
        </w:rPr>
        <w:t>emigró desde un municipio al sur del estado de Puebla– debido a que</w:t>
      </w:r>
    </w:p>
    <w:p>
      <w:pPr>
        <w:pStyle w:val="BodyText"/>
        <w:spacing w:before="1"/>
        <w:ind w:left="1837"/>
        <w:jc w:val="both"/>
        <w:rPr>
          <w:sz w:val="12"/>
        </w:rPr>
      </w:pPr>
      <w:r>
        <w:rPr>
          <w:color w:val="231F20"/>
          <w:w w:val="105"/>
        </w:rPr>
        <w:t>uno de sus hermanos radicaba en esta ciudad.</w:t>
      </w:r>
      <w:r>
        <w:rPr>
          <w:color w:val="231F20"/>
          <w:w w:val="105"/>
          <w:position w:val="7"/>
          <w:sz w:val="12"/>
        </w:rPr>
        <w:t>5</w:t>
      </w:r>
    </w:p>
    <w:p>
      <w:pPr>
        <w:pStyle w:val="BodyText"/>
        <w:spacing w:line="261" w:lineRule="auto" w:before="23"/>
        <w:ind w:left="1837" w:right="1720" w:firstLine="567"/>
        <w:jc w:val="both"/>
      </w:pPr>
      <w:r>
        <w:rPr>
          <w:color w:val="231F20"/>
          <w:w w:val="105"/>
        </w:rPr>
        <w:t>Ahora</w:t>
      </w:r>
      <w:r>
        <w:rPr>
          <w:color w:val="231F20"/>
          <w:spacing w:val="-7"/>
          <w:w w:val="105"/>
        </w:rPr>
        <w:t> </w:t>
      </w:r>
      <w:r>
        <w:rPr>
          <w:color w:val="231F20"/>
          <w:w w:val="105"/>
        </w:rPr>
        <w:t>bien,</w:t>
      </w:r>
      <w:r>
        <w:rPr>
          <w:color w:val="231F20"/>
          <w:spacing w:val="-12"/>
          <w:w w:val="105"/>
        </w:rPr>
        <w:t> </w:t>
      </w:r>
      <w:r>
        <w:rPr>
          <w:color w:val="231F20"/>
          <w:w w:val="105"/>
        </w:rPr>
        <w:t>si</w:t>
      </w:r>
      <w:r>
        <w:rPr>
          <w:color w:val="231F20"/>
          <w:spacing w:val="-7"/>
          <w:w w:val="105"/>
        </w:rPr>
        <w:t> </w:t>
      </w:r>
      <w:r>
        <w:rPr>
          <w:color w:val="231F20"/>
          <w:w w:val="105"/>
        </w:rPr>
        <w:t>volvemos</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datos</w:t>
      </w:r>
      <w:r>
        <w:rPr>
          <w:color w:val="231F20"/>
          <w:spacing w:val="-7"/>
          <w:w w:val="105"/>
        </w:rPr>
        <w:t> </w:t>
      </w:r>
      <w:r>
        <w:rPr>
          <w:color w:val="231F20"/>
          <w:w w:val="105"/>
        </w:rPr>
        <w:t>censales</w:t>
      </w:r>
      <w:r>
        <w:rPr>
          <w:color w:val="231F20"/>
          <w:spacing w:val="-7"/>
          <w:w w:val="105"/>
        </w:rPr>
        <w:t> </w:t>
      </w:r>
      <w:r>
        <w:rPr>
          <w:color w:val="231F20"/>
          <w:w w:val="105"/>
        </w:rPr>
        <w:t>sobre</w:t>
      </w:r>
      <w:r>
        <w:rPr>
          <w:color w:val="231F20"/>
          <w:spacing w:val="-7"/>
          <w:w w:val="105"/>
        </w:rPr>
        <w:t> </w:t>
      </w:r>
      <w:r>
        <w:rPr>
          <w:color w:val="231F20"/>
          <w:w w:val="105"/>
        </w:rPr>
        <w:t>retorno</w:t>
      </w:r>
      <w:r>
        <w:rPr>
          <w:color w:val="231F20"/>
          <w:spacing w:val="-7"/>
          <w:w w:val="105"/>
        </w:rPr>
        <w:t> </w:t>
      </w:r>
      <w:r>
        <w:rPr>
          <w:color w:val="231F20"/>
          <w:w w:val="105"/>
        </w:rPr>
        <w:t>y</w:t>
      </w:r>
      <w:r>
        <w:rPr>
          <w:color w:val="231F20"/>
          <w:spacing w:val="-7"/>
          <w:w w:val="105"/>
        </w:rPr>
        <w:t> </w:t>
      </w:r>
      <w:r>
        <w:rPr>
          <w:color w:val="231F20"/>
          <w:w w:val="105"/>
        </w:rPr>
        <w:t>ana- lizamos comparativamente el perfil de los retornados en el quinquenio que</w:t>
      </w:r>
      <w:r>
        <w:rPr>
          <w:color w:val="231F20"/>
          <w:spacing w:val="-16"/>
          <w:w w:val="105"/>
        </w:rPr>
        <w:t> </w:t>
      </w:r>
      <w:r>
        <w:rPr>
          <w:color w:val="231F20"/>
          <w:w w:val="105"/>
        </w:rPr>
        <w:t>va</w:t>
      </w:r>
      <w:r>
        <w:rPr>
          <w:color w:val="231F20"/>
          <w:spacing w:val="-16"/>
          <w:w w:val="105"/>
        </w:rPr>
        <w:t> </w:t>
      </w:r>
      <w:r>
        <w:rPr>
          <w:color w:val="231F20"/>
          <w:w w:val="105"/>
        </w:rPr>
        <w:t>de</w:t>
      </w:r>
      <w:r>
        <w:rPr>
          <w:color w:val="231F20"/>
          <w:spacing w:val="-16"/>
          <w:w w:val="105"/>
        </w:rPr>
        <w:t> </w:t>
      </w:r>
      <w:r>
        <w:rPr>
          <w:color w:val="231F20"/>
          <w:w w:val="105"/>
        </w:rPr>
        <w:t>1995</w:t>
      </w:r>
      <w:r>
        <w:rPr>
          <w:color w:val="231F20"/>
          <w:spacing w:val="-16"/>
          <w:w w:val="105"/>
        </w:rPr>
        <w:t> </w:t>
      </w:r>
      <w:r>
        <w:rPr>
          <w:color w:val="231F20"/>
          <w:w w:val="105"/>
        </w:rPr>
        <w:t>al</w:t>
      </w:r>
      <w:r>
        <w:rPr>
          <w:color w:val="231F20"/>
          <w:spacing w:val="27"/>
          <w:w w:val="105"/>
        </w:rPr>
        <w:t> </w:t>
      </w:r>
      <w:r>
        <w:rPr>
          <w:color w:val="231F20"/>
          <w:w w:val="105"/>
        </w:rPr>
        <w:t>año</w:t>
      </w:r>
      <w:r>
        <w:rPr>
          <w:color w:val="231F20"/>
          <w:spacing w:val="-16"/>
          <w:w w:val="105"/>
        </w:rPr>
        <w:t> </w:t>
      </w:r>
      <w:r>
        <w:rPr>
          <w:color w:val="231F20"/>
          <w:w w:val="105"/>
        </w:rPr>
        <w:t>2000,</w:t>
      </w:r>
      <w:r>
        <w:rPr>
          <w:color w:val="231F20"/>
          <w:spacing w:val="-22"/>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de</w:t>
      </w:r>
      <w:r>
        <w:rPr>
          <w:color w:val="231F20"/>
          <w:spacing w:val="-16"/>
          <w:w w:val="105"/>
        </w:rPr>
        <w:t> </w:t>
      </w:r>
      <w:r>
        <w:rPr>
          <w:color w:val="231F20"/>
          <w:w w:val="105"/>
        </w:rPr>
        <w:t>aquellos</w:t>
      </w:r>
      <w:r>
        <w:rPr>
          <w:color w:val="231F20"/>
          <w:spacing w:val="-16"/>
          <w:w w:val="105"/>
        </w:rPr>
        <w:t> </w:t>
      </w:r>
      <w:r>
        <w:rPr>
          <w:color w:val="231F20"/>
          <w:w w:val="105"/>
        </w:rPr>
        <w:t>que</w:t>
      </w:r>
      <w:r>
        <w:rPr>
          <w:color w:val="231F20"/>
          <w:spacing w:val="-16"/>
          <w:w w:val="105"/>
        </w:rPr>
        <w:t> </w:t>
      </w:r>
      <w:r>
        <w:rPr>
          <w:color w:val="231F20"/>
          <w:w w:val="105"/>
        </w:rPr>
        <w:t>volvieron</w:t>
      </w:r>
      <w:r>
        <w:rPr>
          <w:color w:val="231F20"/>
          <w:spacing w:val="-16"/>
          <w:w w:val="105"/>
        </w:rPr>
        <w:t> </w:t>
      </w:r>
      <w:r>
        <w:rPr>
          <w:color w:val="231F20"/>
          <w:w w:val="105"/>
        </w:rPr>
        <w:t>entre</w:t>
      </w:r>
      <w:r>
        <w:rPr>
          <w:color w:val="231F20"/>
          <w:spacing w:val="-16"/>
          <w:w w:val="105"/>
        </w:rPr>
        <w:t> </w:t>
      </w:r>
      <w:r>
        <w:rPr>
          <w:color w:val="231F20"/>
          <w:w w:val="105"/>
        </w:rPr>
        <w:t>2005 y</w:t>
      </w:r>
      <w:r>
        <w:rPr>
          <w:color w:val="231F20"/>
          <w:spacing w:val="-4"/>
          <w:w w:val="105"/>
        </w:rPr>
        <w:t> </w:t>
      </w:r>
      <w:r>
        <w:rPr>
          <w:color w:val="231F20"/>
          <w:w w:val="105"/>
        </w:rPr>
        <w:t>2010,</w:t>
      </w:r>
      <w:r>
        <w:rPr>
          <w:color w:val="231F20"/>
          <w:spacing w:val="-9"/>
          <w:w w:val="105"/>
        </w:rPr>
        <w:t> </w:t>
      </w:r>
      <w:r>
        <w:rPr>
          <w:color w:val="231F20"/>
          <w:w w:val="105"/>
        </w:rPr>
        <w:t>destaca</w:t>
      </w:r>
      <w:r>
        <w:rPr>
          <w:color w:val="231F20"/>
          <w:spacing w:val="-4"/>
          <w:w w:val="105"/>
        </w:rPr>
        <w:t> </w:t>
      </w:r>
      <w:r>
        <w:rPr>
          <w:color w:val="231F20"/>
          <w:w w:val="105"/>
        </w:rPr>
        <w:t>lo</w:t>
      </w:r>
      <w:r>
        <w:rPr>
          <w:color w:val="231F20"/>
          <w:spacing w:val="-4"/>
          <w:w w:val="105"/>
        </w:rPr>
        <w:t> </w:t>
      </w:r>
      <w:r>
        <w:rPr>
          <w:color w:val="231F20"/>
          <w:w w:val="105"/>
        </w:rPr>
        <w:t>siguiente:</w:t>
      </w:r>
      <w:r>
        <w:rPr>
          <w:color w:val="231F20"/>
          <w:spacing w:val="-4"/>
          <w:w w:val="105"/>
        </w:rPr>
        <w:t> </w:t>
      </w:r>
      <w:r>
        <w:rPr>
          <w:color w:val="231F20"/>
          <w:w w:val="105"/>
        </w:rPr>
        <w:t>en</w:t>
      </w:r>
      <w:r>
        <w:rPr>
          <w:color w:val="231F20"/>
          <w:spacing w:val="-4"/>
          <w:w w:val="105"/>
        </w:rPr>
        <w:t> </w:t>
      </w:r>
      <w:r>
        <w:rPr>
          <w:color w:val="231F20"/>
          <w:w w:val="105"/>
        </w:rPr>
        <w:t>2010</w:t>
      </w:r>
      <w:r>
        <w:rPr>
          <w:color w:val="231F20"/>
          <w:spacing w:val="-4"/>
          <w:w w:val="105"/>
        </w:rPr>
        <w:t> </w:t>
      </w:r>
      <w:r>
        <w:rPr>
          <w:color w:val="231F20"/>
          <w:w w:val="105"/>
        </w:rPr>
        <w:t>se</w:t>
      </w:r>
      <w:r>
        <w:rPr>
          <w:color w:val="231F20"/>
          <w:spacing w:val="-4"/>
          <w:w w:val="105"/>
        </w:rPr>
        <w:t> </w:t>
      </w:r>
      <w:r>
        <w:rPr>
          <w:color w:val="231F20"/>
          <w:w w:val="105"/>
        </w:rPr>
        <w:t>concentraron</w:t>
      </w:r>
      <w:r>
        <w:rPr>
          <w:color w:val="231F20"/>
          <w:spacing w:val="-4"/>
          <w:w w:val="105"/>
        </w:rPr>
        <w:t> </w:t>
      </w:r>
      <w:r>
        <w:rPr>
          <w:color w:val="231F20"/>
          <w:w w:val="105"/>
        </w:rPr>
        <w:t>entre</w:t>
      </w:r>
      <w:r>
        <w:rPr>
          <w:color w:val="231F20"/>
          <w:spacing w:val="-4"/>
          <w:w w:val="105"/>
        </w:rPr>
        <w:t> </w:t>
      </w:r>
      <w:r>
        <w:rPr>
          <w:color w:val="231F20"/>
          <w:w w:val="105"/>
        </w:rPr>
        <w:t>los</w:t>
      </w:r>
      <w:r>
        <w:rPr>
          <w:color w:val="231F20"/>
          <w:spacing w:val="-4"/>
          <w:w w:val="105"/>
        </w:rPr>
        <w:t> </w:t>
      </w:r>
      <w:r>
        <w:rPr>
          <w:color w:val="231F20"/>
          <w:w w:val="105"/>
        </w:rPr>
        <w:t>25</w:t>
      </w:r>
      <w:r>
        <w:rPr>
          <w:color w:val="231F20"/>
          <w:spacing w:val="-4"/>
          <w:w w:val="105"/>
        </w:rPr>
        <w:t> </w:t>
      </w:r>
      <w:r>
        <w:rPr>
          <w:color w:val="231F20"/>
          <w:w w:val="105"/>
        </w:rPr>
        <w:t>y</w:t>
      </w:r>
      <w:r>
        <w:rPr>
          <w:color w:val="231F20"/>
          <w:spacing w:val="-4"/>
          <w:w w:val="105"/>
        </w:rPr>
        <w:t> </w:t>
      </w:r>
      <w:r>
        <w:rPr>
          <w:color w:val="231F20"/>
          <w:w w:val="105"/>
        </w:rPr>
        <w:t>39 años</w:t>
      </w:r>
      <w:r>
        <w:rPr>
          <w:color w:val="231F20"/>
          <w:spacing w:val="-14"/>
          <w:w w:val="105"/>
        </w:rPr>
        <w:t> </w:t>
      </w:r>
      <w:r>
        <w:rPr>
          <w:color w:val="231F20"/>
          <w:w w:val="105"/>
        </w:rPr>
        <w:t>de</w:t>
      </w:r>
      <w:r>
        <w:rPr>
          <w:color w:val="231F20"/>
          <w:spacing w:val="-14"/>
          <w:w w:val="105"/>
        </w:rPr>
        <w:t> </w:t>
      </w:r>
      <w:r>
        <w:rPr>
          <w:color w:val="231F20"/>
          <w:w w:val="105"/>
        </w:rPr>
        <w:t>edad,</w:t>
      </w:r>
      <w:r>
        <w:rPr>
          <w:color w:val="231F20"/>
          <w:spacing w:val="-20"/>
          <w:w w:val="105"/>
        </w:rPr>
        <w:t> </w:t>
      </w:r>
      <w:r>
        <w:rPr>
          <w:color w:val="231F20"/>
          <w:w w:val="105"/>
        </w:rPr>
        <w:t>mientras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año</w:t>
      </w:r>
      <w:r>
        <w:rPr>
          <w:color w:val="231F20"/>
          <w:spacing w:val="-14"/>
          <w:w w:val="105"/>
        </w:rPr>
        <w:t> </w:t>
      </w:r>
      <w:r>
        <w:rPr>
          <w:color w:val="231F20"/>
          <w:w w:val="105"/>
        </w:rPr>
        <w:t>2000</w:t>
      </w:r>
      <w:r>
        <w:rPr>
          <w:color w:val="231F20"/>
          <w:spacing w:val="-14"/>
          <w:w w:val="105"/>
        </w:rPr>
        <w:t> </w:t>
      </w:r>
      <w:r>
        <w:rPr>
          <w:color w:val="231F20"/>
          <w:w w:val="105"/>
        </w:rPr>
        <w:t>se</w:t>
      </w:r>
      <w:r>
        <w:rPr>
          <w:color w:val="231F20"/>
          <w:spacing w:val="-14"/>
          <w:w w:val="105"/>
        </w:rPr>
        <w:t> </w:t>
      </w:r>
      <w:r>
        <w:rPr>
          <w:color w:val="231F20"/>
          <w:w w:val="105"/>
        </w:rPr>
        <w:t>mantenía</w:t>
      </w:r>
      <w:r>
        <w:rPr>
          <w:color w:val="231F20"/>
          <w:spacing w:val="-14"/>
          <w:w w:val="105"/>
        </w:rPr>
        <w:t> </w:t>
      </w:r>
      <w:r>
        <w:rPr>
          <w:color w:val="231F20"/>
          <w:w w:val="105"/>
        </w:rPr>
        <w:t>una</w:t>
      </w:r>
      <w:r>
        <w:rPr>
          <w:color w:val="231F20"/>
          <w:spacing w:val="-14"/>
          <w:w w:val="105"/>
        </w:rPr>
        <w:t> </w:t>
      </w:r>
      <w:r>
        <w:rPr>
          <w:color w:val="231F20"/>
          <w:w w:val="105"/>
        </w:rPr>
        <w:t>fuerte</w:t>
      </w:r>
      <w:r>
        <w:rPr>
          <w:color w:val="231F20"/>
          <w:spacing w:val="-14"/>
          <w:w w:val="105"/>
        </w:rPr>
        <w:t> </w:t>
      </w:r>
      <w:r>
        <w:rPr>
          <w:color w:val="231F20"/>
          <w:w w:val="105"/>
        </w:rPr>
        <w:t>participa- ción</w:t>
      </w:r>
      <w:r>
        <w:rPr>
          <w:color w:val="231F20"/>
          <w:spacing w:val="-22"/>
          <w:w w:val="105"/>
        </w:rPr>
        <w:t> </w:t>
      </w:r>
      <w:r>
        <w:rPr>
          <w:color w:val="231F20"/>
          <w:w w:val="105"/>
        </w:rPr>
        <w:t>entre</w:t>
      </w:r>
      <w:r>
        <w:rPr>
          <w:color w:val="231F20"/>
          <w:spacing w:val="-22"/>
          <w:w w:val="105"/>
        </w:rPr>
        <w:t> </w:t>
      </w:r>
      <w:r>
        <w:rPr>
          <w:color w:val="231F20"/>
          <w:w w:val="105"/>
        </w:rPr>
        <w:t>los</w:t>
      </w:r>
      <w:r>
        <w:rPr>
          <w:color w:val="231F20"/>
          <w:spacing w:val="-22"/>
          <w:w w:val="105"/>
        </w:rPr>
        <w:t> </w:t>
      </w:r>
      <w:r>
        <w:rPr>
          <w:color w:val="231F20"/>
          <w:w w:val="105"/>
        </w:rPr>
        <w:t>20</w:t>
      </w:r>
      <w:r>
        <w:rPr>
          <w:color w:val="231F20"/>
          <w:spacing w:val="-22"/>
          <w:w w:val="105"/>
        </w:rPr>
        <w:t> </w:t>
      </w:r>
      <w:r>
        <w:rPr>
          <w:color w:val="231F20"/>
          <w:w w:val="105"/>
        </w:rPr>
        <w:t>y</w:t>
      </w:r>
      <w:r>
        <w:rPr>
          <w:color w:val="231F20"/>
          <w:spacing w:val="-22"/>
          <w:w w:val="105"/>
        </w:rPr>
        <w:t> </w:t>
      </w:r>
      <w:r>
        <w:rPr>
          <w:color w:val="231F20"/>
          <w:w w:val="105"/>
        </w:rPr>
        <w:t>24</w:t>
      </w:r>
      <w:r>
        <w:rPr>
          <w:color w:val="231F20"/>
          <w:spacing w:val="-22"/>
          <w:w w:val="105"/>
        </w:rPr>
        <w:t> </w:t>
      </w:r>
      <w:r>
        <w:rPr>
          <w:color w:val="231F20"/>
          <w:w w:val="105"/>
        </w:rPr>
        <w:t>años.</w:t>
      </w:r>
      <w:r>
        <w:rPr>
          <w:color w:val="231F20"/>
          <w:spacing w:val="-27"/>
          <w:w w:val="105"/>
        </w:rPr>
        <w:t> </w:t>
      </w:r>
      <w:r>
        <w:rPr>
          <w:color w:val="231F20"/>
          <w:w w:val="105"/>
        </w:rPr>
        <w:t>Comparativamente,</w:t>
      </w:r>
      <w:r>
        <w:rPr>
          <w:color w:val="231F20"/>
          <w:spacing w:val="-27"/>
          <w:w w:val="105"/>
        </w:rPr>
        <w:t> </w:t>
      </w:r>
      <w:r>
        <w:rPr>
          <w:color w:val="231F20"/>
          <w:w w:val="105"/>
        </w:rPr>
        <w:t>en</w:t>
      </w:r>
      <w:r>
        <w:rPr>
          <w:color w:val="231F20"/>
          <w:spacing w:val="-22"/>
          <w:w w:val="105"/>
        </w:rPr>
        <w:t> </w:t>
      </w:r>
      <w:r>
        <w:rPr>
          <w:color w:val="231F20"/>
          <w:w w:val="105"/>
        </w:rPr>
        <w:t>2010</w:t>
      </w:r>
      <w:r>
        <w:rPr>
          <w:color w:val="231F20"/>
          <w:spacing w:val="-22"/>
          <w:w w:val="105"/>
        </w:rPr>
        <w:t> </w:t>
      </w:r>
      <w:r>
        <w:rPr>
          <w:color w:val="231F20"/>
          <w:w w:val="105"/>
        </w:rPr>
        <w:t>se</w:t>
      </w:r>
      <w:r>
        <w:rPr>
          <w:color w:val="231F20"/>
          <w:spacing w:val="-22"/>
          <w:w w:val="105"/>
        </w:rPr>
        <w:t> </w:t>
      </w:r>
      <w:r>
        <w:rPr>
          <w:color w:val="231F20"/>
          <w:w w:val="105"/>
        </w:rPr>
        <w:t>concentraron en el rango inmediato superior, pero sobre todo se distribuyeron en los segmentos de edad de 25 a 29 años y de 35 a 39 años, tanto hombres como</w:t>
      </w:r>
      <w:r>
        <w:rPr>
          <w:color w:val="231F20"/>
          <w:spacing w:val="-26"/>
          <w:w w:val="105"/>
        </w:rPr>
        <w:t> </w:t>
      </w:r>
      <w:r>
        <w:rPr>
          <w:color w:val="231F20"/>
          <w:w w:val="105"/>
        </w:rPr>
        <w:t>mujeres.</w:t>
      </w:r>
      <w:r>
        <w:rPr>
          <w:color w:val="231F20"/>
          <w:spacing w:val="-31"/>
          <w:w w:val="105"/>
        </w:rPr>
        <w:t> </w:t>
      </w:r>
      <w:r>
        <w:rPr>
          <w:color w:val="231F20"/>
          <w:w w:val="105"/>
        </w:rPr>
        <w:t>En</w:t>
      </w:r>
      <w:r>
        <w:rPr>
          <w:color w:val="231F20"/>
          <w:spacing w:val="-26"/>
          <w:w w:val="105"/>
        </w:rPr>
        <w:t> </w:t>
      </w:r>
      <w:r>
        <w:rPr>
          <w:color w:val="231F20"/>
          <w:w w:val="105"/>
        </w:rPr>
        <w:t>síntesis,</w:t>
      </w:r>
      <w:r>
        <w:rPr>
          <w:color w:val="231F20"/>
          <w:spacing w:val="-31"/>
          <w:w w:val="105"/>
        </w:rPr>
        <w:t> </w:t>
      </w:r>
      <w:r>
        <w:rPr>
          <w:color w:val="231F20"/>
          <w:w w:val="105"/>
        </w:rPr>
        <w:t>se</w:t>
      </w:r>
      <w:r>
        <w:rPr>
          <w:color w:val="231F20"/>
          <w:spacing w:val="-26"/>
          <w:w w:val="105"/>
        </w:rPr>
        <w:t> </w:t>
      </w:r>
      <w:r>
        <w:rPr>
          <w:color w:val="231F20"/>
          <w:w w:val="105"/>
        </w:rPr>
        <w:t>puede</w:t>
      </w:r>
      <w:r>
        <w:rPr>
          <w:color w:val="231F20"/>
          <w:spacing w:val="-26"/>
          <w:w w:val="105"/>
        </w:rPr>
        <w:t> </w:t>
      </w:r>
      <w:r>
        <w:rPr>
          <w:color w:val="231F20"/>
          <w:w w:val="105"/>
        </w:rPr>
        <w:t>afirmar</w:t>
      </w:r>
      <w:r>
        <w:rPr>
          <w:color w:val="231F20"/>
          <w:spacing w:val="-26"/>
          <w:w w:val="105"/>
        </w:rPr>
        <w:t> </w:t>
      </w:r>
      <w:r>
        <w:rPr>
          <w:color w:val="231F20"/>
          <w:w w:val="105"/>
        </w:rPr>
        <w:t>que</w:t>
      </w:r>
      <w:r>
        <w:rPr>
          <w:color w:val="231F20"/>
          <w:spacing w:val="-26"/>
          <w:w w:val="105"/>
        </w:rPr>
        <w:t> </w:t>
      </w:r>
      <w:r>
        <w:rPr>
          <w:color w:val="231F20"/>
          <w:w w:val="105"/>
        </w:rPr>
        <w:t>no</w:t>
      </w:r>
      <w:r>
        <w:rPr>
          <w:color w:val="231F20"/>
          <w:spacing w:val="-26"/>
          <w:w w:val="105"/>
        </w:rPr>
        <w:t> </w:t>
      </w:r>
      <w:r>
        <w:rPr>
          <w:color w:val="231F20"/>
          <w:w w:val="105"/>
        </w:rPr>
        <w:t>ha</w:t>
      </w:r>
      <w:r>
        <w:rPr>
          <w:color w:val="231F20"/>
          <w:spacing w:val="-26"/>
          <w:w w:val="105"/>
        </w:rPr>
        <w:t> </w:t>
      </w:r>
      <w:r>
        <w:rPr>
          <w:color w:val="231F20"/>
          <w:w w:val="105"/>
        </w:rPr>
        <w:t>variado</w:t>
      </w:r>
      <w:r>
        <w:rPr>
          <w:color w:val="231F20"/>
          <w:spacing w:val="-26"/>
          <w:w w:val="105"/>
        </w:rPr>
        <w:t> </w:t>
      </w:r>
      <w:r>
        <w:rPr>
          <w:color w:val="231F20"/>
          <w:w w:val="105"/>
        </w:rPr>
        <w:t>significati-</w:t>
      </w:r>
    </w:p>
    <w:p>
      <w:pPr>
        <w:pStyle w:val="BodyText"/>
        <w:spacing w:before="10"/>
        <w:rPr>
          <w:sz w:val="18"/>
        </w:rPr>
      </w:pPr>
      <w:r>
        <w:rPr/>
        <w:pict>
          <v:line style="position:absolute;mso-position-horizontal-relative:page;mso-position-vertical-relative:paragraph;z-index:12112;mso-wrap-distance-left:0;mso-wrap-distance-right:0" from="91.866096pt,12.790829pt" to="205.252096pt,12.790829pt" stroked="true" strokeweight=".25pt" strokecolor="#231f20">
            <w10:wrap type="topAndBottom"/>
          </v:line>
        </w:pict>
      </w:r>
    </w:p>
    <w:p>
      <w:pPr>
        <w:spacing w:line="192" w:lineRule="exact" w:before="7"/>
        <w:ind w:left="1837" w:right="1486" w:hanging="1"/>
        <w:jc w:val="left"/>
        <w:rPr>
          <w:rFonts w:ascii="Calibri" w:hAnsi="Calibri"/>
          <w:sz w:val="16"/>
        </w:rPr>
      </w:pPr>
      <w:r>
        <w:rPr>
          <w:rFonts w:ascii="Calibri" w:hAnsi="Calibri"/>
          <w:color w:val="414042"/>
          <w:w w:val="105"/>
          <w:position w:val="5"/>
          <w:sz w:val="9"/>
        </w:rPr>
        <w:t>5 </w:t>
      </w:r>
      <w:r>
        <w:rPr>
          <w:rFonts w:ascii="Calibri" w:hAnsi="Calibri"/>
          <w:color w:val="414042"/>
          <w:w w:val="105"/>
          <w:sz w:val="16"/>
        </w:rPr>
        <w:t>Información obtenida por la autora a partir de entrevistas realizadas en marzo de 2014 en Nezahual- cóyotl, Estado de México.</w:t>
      </w:r>
    </w:p>
    <w:p>
      <w:pPr>
        <w:spacing w:after="0" w:line="192" w:lineRule="exact"/>
        <w:jc w:val="left"/>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29"/>
        <w:jc w:val="right"/>
      </w:pPr>
      <w:r>
        <w:rPr/>
        <w:pict>
          <v:line style="position:absolute;mso-position-horizontal-relative:page;mso-position-vertical-relative:paragraph;z-index:12280" from="15pt,-68.636444pt" to="0pt,-68.636444pt" stroked="true" strokeweight=".25pt" strokecolor="#000000">
            <w10:wrap type="none"/>
          </v:line>
        </w:pict>
      </w:r>
      <w:r>
        <w:rPr/>
        <w:pict>
          <v:line style="position:absolute;mso-position-horizontal-relative:page;mso-position-vertical-relative:paragraph;z-index:12304" from="508.890015pt,-68.636444pt" to="523.890015pt,-68.636444pt" stroked="true" strokeweight=".25pt" strokecolor="#000000">
            <w10:wrap type="none"/>
          </v:line>
        </w:pict>
      </w:r>
      <w:r>
        <w:rPr>
          <w:color w:val="231F20"/>
          <w:w w:val="105"/>
        </w:rPr>
        <w:t>vamente</w:t>
      </w:r>
      <w:r>
        <w:rPr>
          <w:color w:val="231F20"/>
          <w:spacing w:val="-17"/>
          <w:w w:val="105"/>
        </w:rPr>
        <w:t> </w:t>
      </w:r>
      <w:r>
        <w:rPr>
          <w:color w:val="231F20"/>
          <w:w w:val="105"/>
        </w:rPr>
        <w:t>el</w:t>
      </w:r>
      <w:r>
        <w:rPr>
          <w:color w:val="231F20"/>
          <w:spacing w:val="-17"/>
          <w:w w:val="105"/>
        </w:rPr>
        <w:t> </w:t>
      </w:r>
      <w:r>
        <w:rPr>
          <w:color w:val="231F20"/>
          <w:w w:val="105"/>
        </w:rPr>
        <w:t>perfil</w:t>
      </w:r>
      <w:r>
        <w:rPr>
          <w:color w:val="231F20"/>
          <w:spacing w:val="-17"/>
          <w:w w:val="105"/>
        </w:rPr>
        <w:t> </w:t>
      </w:r>
      <w:r>
        <w:rPr>
          <w:color w:val="231F20"/>
          <w:w w:val="105"/>
        </w:rPr>
        <w:t>de</w:t>
      </w:r>
      <w:r>
        <w:rPr>
          <w:color w:val="231F20"/>
          <w:spacing w:val="-17"/>
          <w:w w:val="105"/>
        </w:rPr>
        <w:t> </w:t>
      </w:r>
      <w:r>
        <w:rPr>
          <w:color w:val="231F20"/>
          <w:w w:val="105"/>
        </w:rPr>
        <w:t>edad</w:t>
      </w:r>
      <w:r>
        <w:rPr>
          <w:color w:val="231F20"/>
          <w:spacing w:val="-17"/>
          <w:w w:val="105"/>
        </w:rPr>
        <w:t> </w:t>
      </w:r>
      <w:r>
        <w:rPr>
          <w:color w:val="231F20"/>
          <w:w w:val="105"/>
        </w:rPr>
        <w:t>y</w:t>
      </w:r>
      <w:r>
        <w:rPr>
          <w:color w:val="231F20"/>
          <w:spacing w:val="-17"/>
          <w:w w:val="105"/>
        </w:rPr>
        <w:t> </w:t>
      </w:r>
      <w:r>
        <w:rPr>
          <w:color w:val="231F20"/>
          <w:w w:val="105"/>
        </w:rPr>
        <w:t>sexo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población</w:t>
      </w:r>
      <w:r>
        <w:rPr>
          <w:color w:val="231F20"/>
          <w:spacing w:val="-17"/>
          <w:w w:val="105"/>
        </w:rPr>
        <w:t> </w:t>
      </w:r>
      <w:r>
        <w:rPr>
          <w:color w:val="231F20"/>
          <w:w w:val="105"/>
        </w:rPr>
        <w:t>que</w:t>
      </w:r>
      <w:r>
        <w:rPr>
          <w:color w:val="231F20"/>
          <w:spacing w:val="-17"/>
          <w:w w:val="105"/>
        </w:rPr>
        <w:t> </w:t>
      </w:r>
      <w:r>
        <w:rPr>
          <w:color w:val="231F20"/>
          <w:w w:val="105"/>
        </w:rPr>
        <w:t>retorno</w:t>
      </w:r>
      <w:r>
        <w:rPr>
          <w:color w:val="231F20"/>
          <w:spacing w:val="-17"/>
          <w:w w:val="105"/>
        </w:rPr>
        <w:t> </w:t>
      </w:r>
      <w:r>
        <w:rPr>
          <w:color w:val="231F20"/>
          <w:w w:val="105"/>
        </w:rPr>
        <w:t>a</w:t>
      </w:r>
      <w:r>
        <w:rPr>
          <w:color w:val="231F20"/>
          <w:spacing w:val="-17"/>
          <w:w w:val="105"/>
        </w:rPr>
        <w:t> </w:t>
      </w:r>
      <w:r>
        <w:rPr>
          <w:color w:val="231F20"/>
          <w:w w:val="105"/>
        </w:rPr>
        <w:t>Nezahual-</w:t>
      </w:r>
      <w:r>
        <w:rPr>
          <w:color w:val="231F20"/>
          <w:w w:val="96"/>
        </w:rPr>
        <w:t> </w:t>
      </w:r>
      <w:r>
        <w:rPr>
          <w:color w:val="231F20"/>
          <w:w w:val="105"/>
        </w:rPr>
        <w:t>cóyotl</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últimos</w:t>
      </w:r>
      <w:r>
        <w:rPr>
          <w:color w:val="231F20"/>
          <w:spacing w:val="-9"/>
          <w:w w:val="105"/>
        </w:rPr>
        <w:t> </w:t>
      </w:r>
      <w:r>
        <w:rPr>
          <w:color w:val="231F20"/>
          <w:w w:val="105"/>
        </w:rPr>
        <w:t>quince</w:t>
      </w:r>
      <w:r>
        <w:rPr>
          <w:color w:val="231F20"/>
          <w:spacing w:val="-9"/>
          <w:w w:val="105"/>
        </w:rPr>
        <w:t> </w:t>
      </w:r>
      <w:r>
        <w:rPr>
          <w:color w:val="231F20"/>
          <w:w w:val="105"/>
        </w:rPr>
        <w:t>años,</w:t>
      </w:r>
      <w:r>
        <w:rPr>
          <w:color w:val="231F20"/>
          <w:spacing w:val="-14"/>
          <w:w w:val="105"/>
        </w:rPr>
        <w:t> </w:t>
      </w:r>
      <w:r>
        <w:rPr>
          <w:color w:val="231F20"/>
          <w:w w:val="105"/>
        </w:rPr>
        <w:t>es</w:t>
      </w:r>
      <w:r>
        <w:rPr>
          <w:color w:val="231F20"/>
          <w:spacing w:val="-9"/>
          <w:w w:val="105"/>
        </w:rPr>
        <w:t> </w:t>
      </w:r>
      <w:r>
        <w:rPr>
          <w:color w:val="231F20"/>
          <w:w w:val="105"/>
        </w:rPr>
        <w:t>decir,</w:t>
      </w:r>
      <w:r>
        <w:rPr>
          <w:color w:val="231F20"/>
          <w:spacing w:val="-14"/>
          <w:w w:val="105"/>
        </w:rPr>
        <w:t> </w:t>
      </w:r>
      <w:r>
        <w:rPr>
          <w:color w:val="231F20"/>
          <w:w w:val="105"/>
        </w:rPr>
        <w:t>continúa</w:t>
      </w:r>
      <w:r>
        <w:rPr>
          <w:color w:val="231F20"/>
          <w:spacing w:val="-9"/>
          <w:w w:val="105"/>
        </w:rPr>
        <w:t> </w:t>
      </w:r>
      <w:r>
        <w:rPr>
          <w:color w:val="231F20"/>
          <w:w w:val="105"/>
        </w:rPr>
        <w:t>concentrándose</w:t>
      </w:r>
      <w:r>
        <w:rPr>
          <w:color w:val="231F20"/>
          <w:spacing w:val="-9"/>
          <w:w w:val="105"/>
        </w:rPr>
        <w:t> </w:t>
      </w:r>
      <w:r>
        <w:rPr>
          <w:color w:val="231F20"/>
          <w:w w:val="105"/>
        </w:rPr>
        <w:t>en</w:t>
      </w:r>
      <w:r>
        <w:rPr>
          <w:color w:val="231F20"/>
          <w:w w:val="103"/>
        </w:rPr>
        <w:t> </w:t>
      </w:r>
      <w:r>
        <w:rPr>
          <w:color w:val="231F20"/>
          <w:w w:val="105"/>
        </w:rPr>
        <w:t>los rangos de edad productiva, incluyendo uno de los</w:t>
      </w:r>
      <w:r>
        <w:rPr>
          <w:color w:val="231F20"/>
          <w:spacing w:val="20"/>
          <w:w w:val="105"/>
        </w:rPr>
        <w:t> </w:t>
      </w:r>
      <w:r>
        <w:rPr>
          <w:color w:val="231F20"/>
          <w:w w:val="105"/>
        </w:rPr>
        <w:t>segmentos</w:t>
      </w:r>
      <w:r>
        <w:rPr>
          <w:color w:val="231F20"/>
          <w:spacing w:val="15"/>
          <w:w w:val="105"/>
        </w:rPr>
        <w:t> </w:t>
      </w:r>
      <w:r>
        <w:rPr>
          <w:color w:val="231F20"/>
          <w:w w:val="105"/>
        </w:rPr>
        <w:t>que</w:t>
      </w:r>
      <w:r>
        <w:rPr>
          <w:color w:val="231F20"/>
          <w:w w:val="107"/>
        </w:rPr>
        <w:t> </w:t>
      </w:r>
      <w:r>
        <w:rPr>
          <w:color w:val="231F20"/>
          <w:w w:val="105"/>
        </w:rPr>
        <w:t>caracteriza a la población considerada como joven (25-29</w:t>
      </w:r>
      <w:r>
        <w:rPr>
          <w:color w:val="231F20"/>
          <w:spacing w:val="58"/>
          <w:w w:val="105"/>
        </w:rPr>
        <w:t> </w:t>
      </w:r>
      <w:r>
        <w:rPr>
          <w:color w:val="231F20"/>
          <w:w w:val="105"/>
        </w:rPr>
        <w:t>años).</w:t>
      </w:r>
      <w:r>
        <w:rPr>
          <w:color w:val="231F20"/>
          <w:spacing w:val="23"/>
          <w:w w:val="105"/>
        </w:rPr>
        <w:t> </w:t>
      </w:r>
      <w:r>
        <w:rPr>
          <w:color w:val="231F20"/>
          <w:w w:val="105"/>
        </w:rPr>
        <w:t>No</w:t>
      </w:r>
      <w:r>
        <w:rPr>
          <w:color w:val="231F20"/>
          <w:w w:val="107"/>
        </w:rPr>
        <w:t> </w:t>
      </w:r>
      <w:r>
        <w:rPr>
          <w:color w:val="231F20"/>
          <w:w w:val="105"/>
        </w:rPr>
        <w:t>obstante, en 2010 se observó una tendencia de edad</w:t>
      </w:r>
      <w:r>
        <w:rPr>
          <w:color w:val="231F20"/>
          <w:spacing w:val="11"/>
          <w:w w:val="105"/>
        </w:rPr>
        <w:t> </w:t>
      </w:r>
      <w:r>
        <w:rPr>
          <w:color w:val="231F20"/>
          <w:w w:val="105"/>
        </w:rPr>
        <w:t>concentrada</w:t>
      </w:r>
      <w:r>
        <w:rPr>
          <w:color w:val="231F20"/>
          <w:spacing w:val="14"/>
          <w:w w:val="105"/>
        </w:rPr>
        <w:t> </w:t>
      </w:r>
      <w:r>
        <w:rPr>
          <w:color w:val="231F20"/>
          <w:w w:val="105"/>
        </w:rPr>
        <w:t>en</w:t>
      </w:r>
      <w:r>
        <w:rPr>
          <w:color w:val="231F20"/>
          <w:w w:val="103"/>
        </w:rPr>
        <w:t> </w:t>
      </w:r>
      <w:r>
        <w:rPr>
          <w:color w:val="231F20"/>
          <w:w w:val="105"/>
        </w:rPr>
        <w:t>los</w:t>
      </w:r>
      <w:r>
        <w:rPr>
          <w:color w:val="231F20"/>
          <w:spacing w:val="-21"/>
          <w:w w:val="105"/>
        </w:rPr>
        <w:t> </w:t>
      </w:r>
      <w:r>
        <w:rPr>
          <w:color w:val="231F20"/>
          <w:w w:val="105"/>
        </w:rPr>
        <w:t>rangos</w:t>
      </w:r>
      <w:r>
        <w:rPr>
          <w:color w:val="231F20"/>
          <w:spacing w:val="-21"/>
          <w:w w:val="105"/>
        </w:rPr>
        <w:t> </w:t>
      </w:r>
      <w:r>
        <w:rPr>
          <w:color w:val="231F20"/>
          <w:w w:val="105"/>
        </w:rPr>
        <w:t>subsecuentes.</w:t>
      </w:r>
      <w:r>
        <w:rPr>
          <w:color w:val="231F20"/>
          <w:spacing w:val="-27"/>
          <w:w w:val="105"/>
        </w:rPr>
        <w:t> </w:t>
      </w:r>
      <w:r>
        <w:rPr>
          <w:color w:val="231F20"/>
          <w:w w:val="105"/>
        </w:rPr>
        <w:t>Asimismo,</w:t>
      </w:r>
      <w:r>
        <w:rPr>
          <w:color w:val="231F20"/>
          <w:spacing w:val="-25"/>
          <w:w w:val="105"/>
        </w:rPr>
        <w:t> </w:t>
      </w:r>
      <w:r>
        <w:rPr>
          <w:color w:val="231F20"/>
          <w:w w:val="105"/>
        </w:rPr>
        <w:t>cabe</w:t>
      </w:r>
      <w:r>
        <w:rPr>
          <w:color w:val="231F20"/>
          <w:spacing w:val="-21"/>
          <w:w w:val="105"/>
        </w:rPr>
        <w:t> </w:t>
      </w:r>
      <w:r>
        <w:rPr>
          <w:color w:val="231F20"/>
          <w:w w:val="105"/>
        </w:rPr>
        <w:t>señalar</w:t>
      </w:r>
      <w:r>
        <w:rPr>
          <w:color w:val="231F20"/>
          <w:spacing w:val="-21"/>
          <w:w w:val="105"/>
        </w:rPr>
        <w:t> </w:t>
      </w:r>
      <w:r>
        <w:rPr>
          <w:color w:val="231F20"/>
          <w:w w:val="105"/>
        </w:rPr>
        <w:t>que</w:t>
      </w:r>
      <w:r>
        <w:rPr>
          <w:color w:val="231F20"/>
          <w:spacing w:val="-21"/>
          <w:w w:val="105"/>
        </w:rPr>
        <w:t> </w:t>
      </w:r>
      <w:r>
        <w:rPr>
          <w:color w:val="231F20"/>
          <w:w w:val="105"/>
        </w:rPr>
        <w:t>los</w:t>
      </w:r>
      <w:r>
        <w:rPr>
          <w:color w:val="231F20"/>
          <w:spacing w:val="-21"/>
          <w:w w:val="105"/>
        </w:rPr>
        <w:t> </w:t>
      </w:r>
      <w:r>
        <w:rPr>
          <w:color w:val="231F20"/>
          <w:w w:val="105"/>
        </w:rPr>
        <w:t>segmentos</w:t>
      </w:r>
      <w:r>
        <w:rPr>
          <w:color w:val="231F20"/>
          <w:spacing w:val="-21"/>
          <w:w w:val="105"/>
        </w:rPr>
        <w:t> </w:t>
      </w:r>
      <w:r>
        <w:rPr>
          <w:color w:val="231F20"/>
          <w:w w:val="105"/>
        </w:rPr>
        <w:t>de</w:t>
      </w:r>
      <w:r>
        <w:rPr>
          <w:color w:val="231F20"/>
          <w:w w:val="108"/>
        </w:rPr>
        <w:t> </w:t>
      </w:r>
      <w:r>
        <w:rPr>
          <w:color w:val="231F20"/>
          <w:w w:val="105"/>
        </w:rPr>
        <w:t>edad en los que fueron más las mujeres que retornaron son</w:t>
      </w:r>
      <w:r>
        <w:rPr>
          <w:color w:val="231F20"/>
          <w:spacing w:val="7"/>
          <w:w w:val="105"/>
        </w:rPr>
        <w:t> </w:t>
      </w:r>
      <w:r>
        <w:rPr>
          <w:color w:val="231F20"/>
          <w:w w:val="105"/>
        </w:rPr>
        <w:t>los rangos</w:t>
      </w:r>
      <w:r>
        <w:rPr>
          <w:color w:val="231F20"/>
          <w:w w:val="102"/>
        </w:rPr>
        <w:t> </w:t>
      </w:r>
      <w:r>
        <w:rPr>
          <w:color w:val="231F20"/>
          <w:w w:val="105"/>
        </w:rPr>
        <w:t>entre</w:t>
      </w:r>
      <w:r>
        <w:rPr>
          <w:color w:val="231F20"/>
          <w:spacing w:val="-20"/>
          <w:w w:val="105"/>
        </w:rPr>
        <w:t> </w:t>
      </w:r>
      <w:r>
        <w:rPr>
          <w:color w:val="231F20"/>
          <w:w w:val="105"/>
        </w:rPr>
        <w:t>40</w:t>
      </w:r>
      <w:r>
        <w:rPr>
          <w:color w:val="231F20"/>
          <w:spacing w:val="-20"/>
          <w:w w:val="105"/>
        </w:rPr>
        <w:t> </w:t>
      </w:r>
      <w:r>
        <w:rPr>
          <w:color w:val="231F20"/>
          <w:w w:val="105"/>
        </w:rPr>
        <w:t>y</w:t>
      </w:r>
      <w:r>
        <w:rPr>
          <w:color w:val="231F20"/>
          <w:spacing w:val="-20"/>
          <w:w w:val="105"/>
        </w:rPr>
        <w:t> </w:t>
      </w:r>
      <w:r>
        <w:rPr>
          <w:color w:val="231F20"/>
          <w:w w:val="105"/>
        </w:rPr>
        <w:t>44</w:t>
      </w:r>
      <w:r>
        <w:rPr>
          <w:color w:val="231F20"/>
          <w:spacing w:val="-20"/>
          <w:w w:val="105"/>
        </w:rPr>
        <w:t> </w:t>
      </w:r>
      <w:r>
        <w:rPr>
          <w:color w:val="231F20"/>
          <w:w w:val="105"/>
        </w:rPr>
        <w:t>años</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segmento</w:t>
      </w:r>
      <w:r>
        <w:rPr>
          <w:color w:val="231F20"/>
          <w:spacing w:val="-20"/>
          <w:w w:val="105"/>
        </w:rPr>
        <w:t> </w:t>
      </w:r>
      <w:r>
        <w:rPr>
          <w:color w:val="231F20"/>
          <w:w w:val="105"/>
        </w:rPr>
        <w:t>entre</w:t>
      </w:r>
      <w:r>
        <w:rPr>
          <w:color w:val="231F20"/>
          <w:spacing w:val="-20"/>
          <w:w w:val="105"/>
        </w:rPr>
        <w:t> </w:t>
      </w:r>
      <w:r>
        <w:rPr>
          <w:color w:val="231F20"/>
          <w:w w:val="105"/>
        </w:rPr>
        <w:t>10</w:t>
      </w:r>
      <w:r>
        <w:rPr>
          <w:color w:val="231F20"/>
          <w:spacing w:val="-20"/>
          <w:w w:val="105"/>
        </w:rPr>
        <w:t> </w:t>
      </w:r>
      <w:r>
        <w:rPr>
          <w:color w:val="231F20"/>
          <w:w w:val="105"/>
        </w:rPr>
        <w:t>y</w:t>
      </w:r>
      <w:r>
        <w:rPr>
          <w:color w:val="231F20"/>
          <w:spacing w:val="-20"/>
          <w:w w:val="105"/>
        </w:rPr>
        <w:t> </w:t>
      </w:r>
      <w:r>
        <w:rPr>
          <w:color w:val="231F20"/>
          <w:w w:val="105"/>
        </w:rPr>
        <w:t>14</w:t>
      </w:r>
      <w:r>
        <w:rPr>
          <w:color w:val="231F20"/>
          <w:spacing w:val="-20"/>
          <w:w w:val="105"/>
        </w:rPr>
        <w:t> </w:t>
      </w:r>
      <w:r>
        <w:rPr>
          <w:color w:val="231F20"/>
          <w:w w:val="105"/>
        </w:rPr>
        <w:t>años.</w:t>
      </w:r>
      <w:r>
        <w:rPr>
          <w:color w:val="231F20"/>
          <w:spacing w:val="15"/>
          <w:w w:val="105"/>
        </w:rPr>
        <w:t> </w:t>
      </w:r>
      <w:r>
        <w:rPr>
          <w:color w:val="231F20"/>
          <w:w w:val="105"/>
        </w:rPr>
        <w:t>Finalmente,</w:t>
      </w:r>
      <w:r>
        <w:rPr>
          <w:color w:val="231F20"/>
          <w:spacing w:val="-26"/>
          <w:w w:val="105"/>
        </w:rPr>
        <w:t> </w:t>
      </w:r>
      <w:r>
        <w:rPr>
          <w:color w:val="231F20"/>
          <w:w w:val="105"/>
        </w:rPr>
        <w:t>la</w:t>
      </w:r>
      <w:r>
        <w:rPr>
          <w:color w:val="231F20"/>
          <w:spacing w:val="-20"/>
          <w:w w:val="105"/>
        </w:rPr>
        <w:t> </w:t>
      </w:r>
      <w:r>
        <w:rPr>
          <w:color w:val="231F20"/>
          <w:w w:val="105"/>
        </w:rPr>
        <w:t>edad</w:t>
      </w:r>
      <w:r>
        <w:rPr>
          <w:color w:val="231F20"/>
          <w:w w:val="106"/>
        </w:rPr>
        <w:t> </w:t>
      </w:r>
      <w:r>
        <w:rPr>
          <w:color w:val="231F20"/>
          <w:w w:val="105"/>
        </w:rPr>
        <w:t>mediana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retornada</w:t>
      </w:r>
      <w:r>
        <w:rPr>
          <w:color w:val="231F20"/>
          <w:spacing w:val="-16"/>
          <w:w w:val="105"/>
        </w:rPr>
        <w:t> </w:t>
      </w:r>
      <w:r>
        <w:rPr>
          <w:color w:val="231F20"/>
          <w:w w:val="105"/>
        </w:rPr>
        <w:t>fue</w:t>
      </w:r>
      <w:r>
        <w:rPr>
          <w:color w:val="231F20"/>
          <w:spacing w:val="-16"/>
          <w:w w:val="105"/>
        </w:rPr>
        <w:t> </w:t>
      </w:r>
      <w:r>
        <w:rPr>
          <w:color w:val="231F20"/>
          <w:w w:val="105"/>
        </w:rPr>
        <w:t>de</w:t>
      </w:r>
      <w:r>
        <w:rPr>
          <w:color w:val="231F20"/>
          <w:spacing w:val="-16"/>
          <w:w w:val="105"/>
        </w:rPr>
        <w:t> </w:t>
      </w:r>
      <w:r>
        <w:rPr>
          <w:color w:val="231F20"/>
          <w:w w:val="105"/>
        </w:rPr>
        <w:t>30</w:t>
      </w:r>
      <w:r>
        <w:rPr>
          <w:color w:val="231F20"/>
          <w:spacing w:val="-16"/>
          <w:w w:val="105"/>
        </w:rPr>
        <w:t> </w:t>
      </w:r>
      <w:r>
        <w:rPr>
          <w:color w:val="231F20"/>
          <w:w w:val="105"/>
        </w:rPr>
        <w:t>años</w:t>
      </w:r>
      <w:r>
        <w:rPr>
          <w:color w:val="231F20"/>
          <w:spacing w:val="-16"/>
          <w:w w:val="105"/>
        </w:rPr>
        <w:t> </w:t>
      </w:r>
      <w:r>
        <w:rPr>
          <w:color w:val="231F20"/>
          <w:w w:val="105"/>
        </w:rPr>
        <w:t>en</w:t>
      </w:r>
      <w:r>
        <w:rPr>
          <w:color w:val="231F20"/>
          <w:spacing w:val="-16"/>
          <w:w w:val="105"/>
        </w:rPr>
        <w:t> </w:t>
      </w:r>
      <w:r>
        <w:rPr>
          <w:color w:val="231F20"/>
          <w:w w:val="105"/>
        </w:rPr>
        <w:t>2010</w:t>
      </w:r>
      <w:r>
        <w:rPr>
          <w:color w:val="231F20"/>
          <w:spacing w:val="-16"/>
          <w:w w:val="105"/>
        </w:rPr>
        <w:t> </w:t>
      </w:r>
      <w:r>
        <w:rPr>
          <w:color w:val="231F20"/>
          <w:w w:val="105"/>
        </w:rPr>
        <w:t>(</w:t>
      </w:r>
      <w:r>
        <w:rPr>
          <w:color w:val="231F20"/>
          <w:w w:val="105"/>
          <w:sz w:val="17"/>
        </w:rPr>
        <w:t>INEGI</w:t>
      </w:r>
      <w:r>
        <w:rPr>
          <w:color w:val="231F20"/>
          <w:w w:val="105"/>
        </w:rPr>
        <w:t>,</w:t>
      </w:r>
      <w:r>
        <w:rPr>
          <w:color w:val="231F20"/>
          <w:spacing w:val="-22"/>
          <w:w w:val="105"/>
        </w:rPr>
        <w:t> </w:t>
      </w:r>
      <w:r>
        <w:rPr>
          <w:color w:val="231F20"/>
          <w:w w:val="105"/>
        </w:rPr>
        <w:t>2010).</w:t>
      </w:r>
    </w:p>
    <w:p>
      <w:pPr>
        <w:pStyle w:val="BodyText"/>
        <w:spacing w:line="261" w:lineRule="auto" w:before="1"/>
        <w:ind w:left="1723" w:right="1828" w:firstLine="567"/>
        <w:jc w:val="both"/>
      </w:pPr>
      <w:r>
        <w:rPr>
          <w:color w:val="231F20"/>
          <w:w w:val="105"/>
        </w:rPr>
        <w:t>Asimismo,</w:t>
      </w:r>
      <w:r>
        <w:rPr>
          <w:color w:val="231F20"/>
          <w:spacing w:val="-22"/>
          <w:w w:val="105"/>
        </w:rPr>
        <w:t> </w:t>
      </w:r>
      <w:r>
        <w:rPr>
          <w:color w:val="231F20"/>
          <w:w w:val="105"/>
        </w:rPr>
        <w:t>para</w:t>
      </w:r>
      <w:r>
        <w:rPr>
          <w:color w:val="231F20"/>
          <w:spacing w:val="-18"/>
          <w:w w:val="105"/>
        </w:rPr>
        <w:t> </w:t>
      </w:r>
      <w:r>
        <w:rPr>
          <w:color w:val="231F20"/>
          <w:w w:val="105"/>
        </w:rPr>
        <w:t>cruzar</w:t>
      </w:r>
      <w:r>
        <w:rPr>
          <w:color w:val="231F20"/>
          <w:spacing w:val="-18"/>
          <w:w w:val="105"/>
        </w:rPr>
        <w:t> </w:t>
      </w:r>
      <w:r>
        <w:rPr>
          <w:color w:val="231F20"/>
          <w:w w:val="105"/>
        </w:rPr>
        <w:t>esta</w:t>
      </w:r>
      <w:r>
        <w:rPr>
          <w:color w:val="231F20"/>
          <w:spacing w:val="-18"/>
          <w:w w:val="105"/>
        </w:rPr>
        <w:t> </w:t>
      </w:r>
      <w:r>
        <w:rPr>
          <w:color w:val="231F20"/>
          <w:w w:val="105"/>
        </w:rPr>
        <w:t>información</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referencia</w:t>
      </w:r>
      <w:r>
        <w:rPr>
          <w:color w:val="231F20"/>
          <w:spacing w:val="-18"/>
          <w:w w:val="105"/>
        </w:rPr>
        <w:t> </w:t>
      </w:r>
      <w:r>
        <w:rPr>
          <w:color w:val="231F20"/>
          <w:w w:val="105"/>
        </w:rPr>
        <w:t>relativa</w:t>
      </w:r>
      <w:r>
        <w:rPr>
          <w:color w:val="231F20"/>
          <w:spacing w:val="-18"/>
          <w:w w:val="105"/>
        </w:rPr>
        <w:t> </w:t>
      </w:r>
      <w:r>
        <w:rPr>
          <w:color w:val="231F20"/>
          <w:w w:val="105"/>
        </w:rPr>
        <w:t>a los</w:t>
      </w:r>
      <w:r>
        <w:rPr>
          <w:color w:val="231F20"/>
          <w:spacing w:val="-11"/>
          <w:w w:val="105"/>
        </w:rPr>
        <w:t> </w:t>
      </w:r>
      <w:r>
        <w:rPr>
          <w:color w:val="231F20"/>
          <w:w w:val="105"/>
        </w:rPr>
        <w:t>estados</w:t>
      </w:r>
      <w:r>
        <w:rPr>
          <w:color w:val="231F20"/>
          <w:spacing w:val="-11"/>
          <w:w w:val="105"/>
        </w:rPr>
        <w:t> </w:t>
      </w:r>
      <w:r>
        <w:rPr>
          <w:color w:val="231F20"/>
          <w:w w:val="105"/>
        </w:rPr>
        <w:t>de</w:t>
      </w:r>
      <w:r>
        <w:rPr>
          <w:color w:val="231F20"/>
          <w:spacing w:val="-11"/>
          <w:w w:val="105"/>
        </w:rPr>
        <w:t> </w:t>
      </w:r>
      <w:r>
        <w:rPr>
          <w:color w:val="231F20"/>
          <w:w w:val="105"/>
        </w:rPr>
        <w:t>procedencia</w:t>
      </w:r>
      <w:r>
        <w:rPr>
          <w:color w:val="231F20"/>
          <w:spacing w:val="-11"/>
          <w:w w:val="105"/>
        </w:rPr>
        <w:t> </w:t>
      </w:r>
      <w:r>
        <w:rPr>
          <w:color w:val="231F20"/>
          <w:w w:val="105"/>
        </w:rPr>
        <w:t>(por</w:t>
      </w:r>
      <w:r>
        <w:rPr>
          <w:color w:val="231F20"/>
          <w:spacing w:val="-11"/>
          <w:w w:val="105"/>
        </w:rPr>
        <w:t> </w:t>
      </w:r>
      <w:r>
        <w:rPr>
          <w:color w:val="231F20"/>
          <w:w w:val="105"/>
        </w:rPr>
        <w:t>migración</w:t>
      </w:r>
      <w:r>
        <w:rPr>
          <w:color w:val="231F20"/>
          <w:spacing w:val="-11"/>
          <w:w w:val="105"/>
        </w:rPr>
        <w:t> </w:t>
      </w:r>
      <w:r>
        <w:rPr>
          <w:color w:val="231F20"/>
          <w:w w:val="105"/>
        </w:rPr>
        <w:t>interna),</w:t>
      </w:r>
      <w:r>
        <w:rPr>
          <w:color w:val="231F20"/>
          <w:spacing w:val="-17"/>
          <w:w w:val="105"/>
        </w:rPr>
        <w:t> </w:t>
      </w:r>
      <w:r>
        <w:rPr>
          <w:color w:val="231F20"/>
          <w:w w:val="105"/>
        </w:rPr>
        <w:t>se</w:t>
      </w:r>
      <w:r>
        <w:rPr>
          <w:color w:val="231F20"/>
          <w:spacing w:val="-11"/>
          <w:w w:val="105"/>
        </w:rPr>
        <w:t> </w:t>
      </w:r>
      <w:r>
        <w:rPr>
          <w:color w:val="231F20"/>
          <w:w w:val="105"/>
        </w:rPr>
        <w:t>anotará</w:t>
      </w:r>
      <w:r>
        <w:rPr>
          <w:color w:val="231F20"/>
          <w:spacing w:val="-11"/>
          <w:w w:val="105"/>
        </w:rPr>
        <w:t> </w:t>
      </w:r>
      <w:r>
        <w:rPr>
          <w:color w:val="231F20"/>
          <w:w w:val="105"/>
        </w:rPr>
        <w:t>en</w:t>
      </w:r>
      <w:r>
        <w:rPr>
          <w:color w:val="231F20"/>
          <w:spacing w:val="-11"/>
          <w:w w:val="105"/>
        </w:rPr>
        <w:t> </w:t>
      </w:r>
      <w:r>
        <w:rPr>
          <w:color w:val="231F20"/>
          <w:w w:val="105"/>
        </w:rPr>
        <w:t>breve que</w:t>
      </w:r>
      <w:r>
        <w:rPr>
          <w:color w:val="231F20"/>
          <w:spacing w:val="-26"/>
          <w:w w:val="105"/>
        </w:rPr>
        <w:t> </w:t>
      </w:r>
      <w:r>
        <w:rPr>
          <w:color w:val="231F20"/>
          <w:w w:val="105"/>
        </w:rPr>
        <w:t>casi</w:t>
      </w:r>
      <w:r>
        <w:rPr>
          <w:color w:val="231F20"/>
          <w:spacing w:val="-26"/>
          <w:w w:val="105"/>
        </w:rPr>
        <w:t> </w:t>
      </w:r>
      <w:r>
        <w:rPr>
          <w:color w:val="231F20"/>
          <w:w w:val="105"/>
        </w:rPr>
        <w:t>40%</w:t>
      </w:r>
      <w:r>
        <w:rPr>
          <w:color w:val="231F20"/>
          <w:spacing w:val="-26"/>
          <w:w w:val="105"/>
        </w:rPr>
        <w:t> </w:t>
      </w:r>
      <w:r>
        <w:rPr>
          <w:color w:val="231F20"/>
          <w:w w:val="105"/>
        </w:rPr>
        <w:t>del</w:t>
      </w:r>
      <w:r>
        <w:rPr>
          <w:color w:val="231F20"/>
          <w:spacing w:val="-26"/>
          <w:w w:val="105"/>
        </w:rPr>
        <w:t> </w:t>
      </w:r>
      <w:r>
        <w:rPr>
          <w:color w:val="231F20"/>
          <w:w w:val="105"/>
        </w:rPr>
        <w:t>total</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personas</w:t>
      </w:r>
      <w:r>
        <w:rPr>
          <w:color w:val="231F20"/>
          <w:spacing w:val="-26"/>
          <w:w w:val="105"/>
        </w:rPr>
        <w:t> </w:t>
      </w:r>
      <w:r>
        <w:rPr>
          <w:color w:val="231F20"/>
          <w:w w:val="105"/>
        </w:rPr>
        <w:t>que</w:t>
      </w:r>
      <w:r>
        <w:rPr>
          <w:color w:val="231F20"/>
          <w:spacing w:val="-26"/>
          <w:w w:val="105"/>
        </w:rPr>
        <w:t> </w:t>
      </w:r>
      <w:r>
        <w:rPr>
          <w:color w:val="231F20"/>
          <w:w w:val="105"/>
        </w:rPr>
        <w:t>regresaron</w:t>
      </w:r>
      <w:r>
        <w:rPr>
          <w:color w:val="231F20"/>
          <w:spacing w:val="-26"/>
          <w:w w:val="105"/>
        </w:rPr>
        <w:t> </w:t>
      </w:r>
      <w:r>
        <w:rPr>
          <w:color w:val="231F20"/>
          <w:w w:val="105"/>
        </w:rPr>
        <w:t>de</w:t>
      </w:r>
      <w:r>
        <w:rPr>
          <w:color w:val="231F20"/>
          <w:spacing w:val="-26"/>
          <w:w w:val="105"/>
        </w:rPr>
        <w:t> </w:t>
      </w:r>
      <w:r>
        <w:rPr>
          <w:color w:val="231F20"/>
          <w:w w:val="105"/>
        </w:rPr>
        <w:t>Estados</w:t>
      </w:r>
      <w:r>
        <w:rPr>
          <w:color w:val="231F20"/>
          <w:spacing w:val="-26"/>
          <w:w w:val="105"/>
        </w:rPr>
        <w:t> </w:t>
      </w:r>
      <w:r>
        <w:rPr>
          <w:color w:val="231F20"/>
          <w:w w:val="105"/>
        </w:rPr>
        <w:t>Unidos a</w:t>
      </w:r>
      <w:r>
        <w:rPr>
          <w:color w:val="231F20"/>
          <w:spacing w:val="-18"/>
          <w:w w:val="105"/>
        </w:rPr>
        <w:t> </w:t>
      </w:r>
      <w:r>
        <w:rPr>
          <w:color w:val="231F20"/>
          <w:w w:val="105"/>
        </w:rPr>
        <w:t>Nezahualcóyotl,</w:t>
      </w:r>
      <w:r>
        <w:rPr>
          <w:color w:val="231F20"/>
          <w:spacing w:val="-24"/>
          <w:w w:val="105"/>
        </w:rPr>
        <w:t> </w:t>
      </w:r>
      <w:r>
        <w:rPr>
          <w:color w:val="231F20"/>
          <w:w w:val="105"/>
        </w:rPr>
        <w:t>durante</w:t>
      </w:r>
      <w:r>
        <w:rPr>
          <w:color w:val="231F20"/>
          <w:spacing w:val="-18"/>
          <w:w w:val="105"/>
        </w:rPr>
        <w:t> </w:t>
      </w:r>
      <w:r>
        <w:rPr>
          <w:color w:val="231F20"/>
          <w:w w:val="105"/>
        </w:rPr>
        <w:t>el</w:t>
      </w:r>
      <w:r>
        <w:rPr>
          <w:color w:val="231F20"/>
          <w:spacing w:val="-18"/>
          <w:w w:val="105"/>
        </w:rPr>
        <w:t> </w:t>
      </w:r>
      <w:r>
        <w:rPr>
          <w:color w:val="231F20"/>
          <w:w w:val="105"/>
        </w:rPr>
        <w:t>periodo</w:t>
      </w:r>
      <w:r>
        <w:rPr>
          <w:color w:val="231F20"/>
          <w:spacing w:val="-18"/>
          <w:w w:val="105"/>
        </w:rPr>
        <w:t> </w:t>
      </w:r>
      <w:r>
        <w:rPr>
          <w:color w:val="231F20"/>
          <w:w w:val="105"/>
        </w:rPr>
        <w:t>2005-2010,</w:t>
      </w:r>
      <w:r>
        <w:rPr>
          <w:color w:val="231F20"/>
          <w:spacing w:val="-24"/>
          <w:w w:val="105"/>
        </w:rPr>
        <w:t> </w:t>
      </w:r>
      <w:r>
        <w:rPr>
          <w:color w:val="231F20"/>
          <w:w w:val="105"/>
        </w:rPr>
        <w:t>eran</w:t>
      </w:r>
      <w:r>
        <w:rPr>
          <w:color w:val="231F20"/>
          <w:spacing w:val="-18"/>
          <w:w w:val="105"/>
        </w:rPr>
        <w:t> </w:t>
      </w:r>
      <w:r>
        <w:rPr>
          <w:color w:val="231F20"/>
          <w:w w:val="105"/>
        </w:rPr>
        <w:t>originarios</w:t>
      </w:r>
      <w:r>
        <w:rPr>
          <w:color w:val="231F20"/>
          <w:spacing w:val="-18"/>
          <w:w w:val="105"/>
        </w:rPr>
        <w:t> </w:t>
      </w:r>
      <w:r>
        <w:rPr>
          <w:color w:val="231F20"/>
          <w:w w:val="105"/>
        </w:rPr>
        <w:t>del</w:t>
      </w:r>
      <w:r>
        <w:rPr>
          <w:color w:val="231F20"/>
          <w:spacing w:val="-18"/>
          <w:w w:val="105"/>
        </w:rPr>
        <w:t> </w:t>
      </w:r>
      <w:r>
        <w:rPr>
          <w:color w:val="231F20"/>
          <w:w w:val="105"/>
        </w:rPr>
        <w:t>Es- tado de México (entidad federativa donde se ubica el municipio de Ne- zahualcóyotl),</w:t>
      </w:r>
      <w:r>
        <w:rPr>
          <w:color w:val="231F20"/>
          <w:spacing w:val="-14"/>
          <w:w w:val="105"/>
        </w:rPr>
        <w:t> </w:t>
      </w:r>
      <w:r>
        <w:rPr>
          <w:color w:val="231F20"/>
          <w:w w:val="105"/>
        </w:rPr>
        <w:t>y</w:t>
      </w:r>
      <w:r>
        <w:rPr>
          <w:color w:val="231F20"/>
          <w:spacing w:val="-10"/>
          <w:w w:val="105"/>
        </w:rPr>
        <w:t> </w:t>
      </w:r>
      <w:r>
        <w:rPr>
          <w:color w:val="231F20"/>
          <w:w w:val="105"/>
        </w:rPr>
        <w:t>38%</w:t>
      </w:r>
      <w:r>
        <w:rPr>
          <w:color w:val="231F20"/>
          <w:spacing w:val="39"/>
          <w:w w:val="105"/>
        </w:rPr>
        <w:t> </w:t>
      </w:r>
      <w:r>
        <w:rPr>
          <w:color w:val="231F20"/>
          <w:w w:val="105"/>
        </w:rPr>
        <w:t>eran</w:t>
      </w:r>
      <w:r>
        <w:rPr>
          <w:color w:val="231F20"/>
          <w:spacing w:val="-10"/>
          <w:w w:val="105"/>
        </w:rPr>
        <w:t> </w:t>
      </w:r>
      <w:r>
        <w:rPr>
          <w:color w:val="231F20"/>
          <w:w w:val="105"/>
        </w:rPr>
        <w:t>originarios</w:t>
      </w:r>
      <w:r>
        <w:rPr>
          <w:color w:val="231F20"/>
          <w:spacing w:val="-10"/>
          <w:w w:val="105"/>
        </w:rPr>
        <w:t> </w:t>
      </w:r>
      <w:r>
        <w:rPr>
          <w:color w:val="231F20"/>
          <w:w w:val="105"/>
        </w:rPr>
        <w:t>del</w:t>
      </w:r>
      <w:r>
        <w:rPr>
          <w:color w:val="231F20"/>
          <w:spacing w:val="-10"/>
          <w:w w:val="105"/>
        </w:rPr>
        <w:t> </w:t>
      </w:r>
      <w:r>
        <w:rPr>
          <w:color w:val="231F20"/>
          <w:w w:val="105"/>
        </w:rPr>
        <w:t>Distrito</w:t>
      </w:r>
      <w:r>
        <w:rPr>
          <w:color w:val="231F20"/>
          <w:spacing w:val="-10"/>
          <w:w w:val="105"/>
        </w:rPr>
        <w:t> </w:t>
      </w:r>
      <w:r>
        <w:rPr>
          <w:color w:val="231F20"/>
          <w:w w:val="105"/>
        </w:rPr>
        <w:t>Federal,</w:t>
      </w:r>
      <w:r>
        <w:rPr>
          <w:color w:val="231F20"/>
          <w:spacing w:val="-14"/>
          <w:w w:val="105"/>
        </w:rPr>
        <w:t> </w:t>
      </w:r>
      <w:r>
        <w:rPr>
          <w:color w:val="231F20"/>
          <w:w w:val="105"/>
        </w:rPr>
        <w:t>es</w:t>
      </w:r>
      <w:r>
        <w:rPr>
          <w:color w:val="231F20"/>
          <w:spacing w:val="-10"/>
          <w:w w:val="105"/>
        </w:rPr>
        <w:t> </w:t>
      </w:r>
      <w:r>
        <w:rPr>
          <w:color w:val="231F20"/>
          <w:w w:val="105"/>
        </w:rPr>
        <w:t>decir,</w:t>
      </w:r>
      <w:r>
        <w:rPr>
          <w:color w:val="231F20"/>
          <w:spacing w:val="-14"/>
          <w:w w:val="105"/>
        </w:rPr>
        <w:t> </w:t>
      </w:r>
      <w:r>
        <w:rPr>
          <w:color w:val="231F20"/>
          <w:w w:val="105"/>
        </w:rPr>
        <w:t>77% de los retornados eran originarios de municipios metropolitanos funda- mentalmente, y 23% provenía de otras entidades del país, destacando en</w:t>
      </w:r>
      <w:r>
        <w:rPr>
          <w:color w:val="231F20"/>
          <w:spacing w:val="-7"/>
          <w:w w:val="105"/>
        </w:rPr>
        <w:t> </w:t>
      </w:r>
      <w:r>
        <w:rPr>
          <w:color w:val="231F20"/>
          <w:w w:val="105"/>
        </w:rPr>
        <w:t>orden</w:t>
      </w:r>
      <w:r>
        <w:rPr>
          <w:color w:val="231F20"/>
          <w:spacing w:val="-7"/>
          <w:w w:val="105"/>
        </w:rPr>
        <w:t> </w:t>
      </w:r>
      <w:r>
        <w:rPr>
          <w:color w:val="231F20"/>
          <w:w w:val="105"/>
        </w:rPr>
        <w:t>descendente</w:t>
      </w:r>
      <w:r>
        <w:rPr>
          <w:color w:val="231F20"/>
          <w:spacing w:val="-7"/>
          <w:w w:val="105"/>
        </w:rPr>
        <w:t> </w:t>
      </w:r>
      <w:r>
        <w:rPr>
          <w:color w:val="231F20"/>
          <w:w w:val="105"/>
        </w:rPr>
        <w:t>los</w:t>
      </w:r>
      <w:r>
        <w:rPr>
          <w:color w:val="231F20"/>
          <w:spacing w:val="-7"/>
          <w:w w:val="105"/>
        </w:rPr>
        <w:t> </w:t>
      </w:r>
      <w:r>
        <w:rPr>
          <w:color w:val="231F20"/>
          <w:w w:val="105"/>
        </w:rPr>
        <w:t>originarios</w:t>
      </w:r>
      <w:r>
        <w:rPr>
          <w:color w:val="231F20"/>
          <w:spacing w:val="-7"/>
          <w:w w:val="105"/>
        </w:rPr>
        <w:t> </w:t>
      </w:r>
      <w:r>
        <w:rPr>
          <w:color w:val="231F20"/>
          <w:w w:val="105"/>
        </w:rPr>
        <w:t>de</w:t>
      </w:r>
      <w:r>
        <w:rPr>
          <w:color w:val="231F20"/>
          <w:spacing w:val="-7"/>
          <w:w w:val="105"/>
        </w:rPr>
        <w:t> </w:t>
      </w:r>
      <w:r>
        <w:rPr>
          <w:color w:val="231F20"/>
          <w:w w:val="105"/>
        </w:rPr>
        <w:t>Michoacán,</w:t>
      </w:r>
      <w:r>
        <w:rPr>
          <w:color w:val="231F20"/>
          <w:spacing w:val="-12"/>
          <w:w w:val="105"/>
        </w:rPr>
        <w:t> </w:t>
      </w:r>
      <w:r>
        <w:rPr>
          <w:color w:val="231F20"/>
          <w:w w:val="105"/>
        </w:rPr>
        <w:t>Guerrero,</w:t>
      </w:r>
      <w:r>
        <w:rPr>
          <w:color w:val="231F20"/>
          <w:spacing w:val="-12"/>
          <w:w w:val="105"/>
        </w:rPr>
        <w:t> </w:t>
      </w:r>
      <w:r>
        <w:rPr>
          <w:color w:val="231F20"/>
          <w:w w:val="105"/>
        </w:rPr>
        <w:t>Oaxaca, </w:t>
      </w:r>
      <w:r>
        <w:rPr>
          <w:color w:val="231F20"/>
        </w:rPr>
        <w:t>Puebla</w:t>
      </w:r>
      <w:r>
        <w:rPr>
          <w:color w:val="231F20"/>
          <w:spacing w:val="-10"/>
        </w:rPr>
        <w:t> </w:t>
      </w:r>
      <w:r>
        <w:rPr>
          <w:color w:val="231F20"/>
        </w:rPr>
        <w:t>y</w:t>
      </w:r>
      <w:r>
        <w:rPr>
          <w:color w:val="231F20"/>
          <w:spacing w:val="-15"/>
        </w:rPr>
        <w:t> </w:t>
      </w:r>
      <w:r>
        <w:rPr>
          <w:color w:val="231F20"/>
          <w:spacing w:val="-3"/>
        </w:rPr>
        <w:t>Yucatán</w:t>
      </w:r>
      <w:r>
        <w:rPr>
          <w:color w:val="231F20"/>
          <w:spacing w:val="-10"/>
        </w:rPr>
        <w:t> </w:t>
      </w:r>
      <w:r>
        <w:rPr>
          <w:color w:val="231F20"/>
        </w:rPr>
        <w:t>(</w:t>
      </w:r>
      <w:r>
        <w:rPr>
          <w:color w:val="231F20"/>
          <w:sz w:val="17"/>
        </w:rPr>
        <w:t>INEGI</w:t>
      </w:r>
      <w:r>
        <w:rPr>
          <w:color w:val="231F20"/>
        </w:rPr>
        <w:t>,</w:t>
      </w:r>
      <w:r>
        <w:rPr>
          <w:color w:val="231F20"/>
          <w:spacing w:val="-16"/>
        </w:rPr>
        <w:t> </w:t>
      </w:r>
      <w:r>
        <w:rPr>
          <w:color w:val="231F20"/>
        </w:rPr>
        <w:t>2010).</w:t>
      </w:r>
    </w:p>
    <w:p>
      <w:pPr>
        <w:pStyle w:val="BodyText"/>
        <w:spacing w:line="261" w:lineRule="auto" w:before="1"/>
        <w:ind w:left="1723" w:right="1828" w:firstLine="567"/>
        <w:jc w:val="both"/>
      </w:pPr>
      <w:r>
        <w:rPr>
          <w:color w:val="231F20"/>
          <w:w w:val="105"/>
        </w:rPr>
        <w:t>Sin profundizar en la información sociodemográfica relativa a las movilidades</w:t>
      </w:r>
      <w:r>
        <w:rPr>
          <w:color w:val="231F20"/>
          <w:spacing w:val="-14"/>
          <w:w w:val="105"/>
        </w:rPr>
        <w:t> </w:t>
      </w:r>
      <w:r>
        <w:rPr>
          <w:color w:val="231F20"/>
          <w:w w:val="105"/>
        </w:rPr>
        <w:t>poblacionales</w:t>
      </w:r>
      <w:r>
        <w:rPr>
          <w:color w:val="231F20"/>
          <w:spacing w:val="-14"/>
          <w:w w:val="105"/>
        </w:rPr>
        <w:t> </w:t>
      </w:r>
      <w:r>
        <w:rPr>
          <w:color w:val="231F20"/>
          <w:w w:val="105"/>
        </w:rPr>
        <w:t>que</w:t>
      </w:r>
      <w:r>
        <w:rPr>
          <w:color w:val="231F20"/>
          <w:spacing w:val="-14"/>
          <w:w w:val="105"/>
        </w:rPr>
        <w:t> </w:t>
      </w:r>
      <w:r>
        <w:rPr>
          <w:color w:val="231F20"/>
          <w:w w:val="105"/>
        </w:rPr>
        <w:t>cruzan</w:t>
      </w:r>
      <w:r>
        <w:rPr>
          <w:color w:val="231F20"/>
          <w:spacing w:val="-14"/>
          <w:w w:val="105"/>
        </w:rPr>
        <w:t> </w:t>
      </w:r>
      <w:r>
        <w:rPr>
          <w:color w:val="231F20"/>
          <w:w w:val="105"/>
        </w:rPr>
        <w:t>por</w:t>
      </w:r>
      <w:r>
        <w:rPr>
          <w:color w:val="231F20"/>
          <w:spacing w:val="-14"/>
          <w:w w:val="105"/>
        </w:rPr>
        <w:t> </w:t>
      </w:r>
      <w:r>
        <w:rPr>
          <w:color w:val="231F20"/>
          <w:w w:val="105"/>
        </w:rPr>
        <w:t>Nezahualcóyotl</w:t>
      </w:r>
      <w:r>
        <w:rPr>
          <w:color w:val="231F20"/>
          <w:spacing w:val="-14"/>
          <w:w w:val="105"/>
        </w:rPr>
        <w:t> </w:t>
      </w:r>
      <w:r>
        <w:rPr>
          <w:color w:val="231F20"/>
          <w:w w:val="105"/>
        </w:rPr>
        <w:t>–dado</w:t>
      </w:r>
      <w:r>
        <w:rPr>
          <w:color w:val="231F20"/>
          <w:spacing w:val="-14"/>
          <w:w w:val="105"/>
        </w:rPr>
        <w:t> </w:t>
      </w:r>
      <w:r>
        <w:rPr>
          <w:color w:val="231F20"/>
          <w:w w:val="105"/>
        </w:rPr>
        <w:t>que</w:t>
      </w:r>
      <w:r>
        <w:rPr>
          <w:color w:val="231F20"/>
          <w:spacing w:val="-14"/>
          <w:w w:val="105"/>
        </w:rPr>
        <w:t> </w:t>
      </w:r>
      <w:r>
        <w:rPr>
          <w:color w:val="231F20"/>
          <w:w w:val="105"/>
        </w:rPr>
        <w:t>no es el objetivo central de este trabajo–, se dejará anotado, como parte de la configuración y dinámica del sitio de investigación, que al menos 61%</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población</w:t>
      </w:r>
      <w:r>
        <w:rPr>
          <w:color w:val="231F20"/>
          <w:spacing w:val="-23"/>
          <w:w w:val="105"/>
        </w:rPr>
        <w:t> </w:t>
      </w:r>
      <w:r>
        <w:rPr>
          <w:color w:val="231F20"/>
          <w:w w:val="105"/>
        </w:rPr>
        <w:t>retornada</w:t>
      </w:r>
      <w:r>
        <w:rPr>
          <w:color w:val="231F20"/>
          <w:spacing w:val="-23"/>
          <w:w w:val="105"/>
        </w:rPr>
        <w:t> </w:t>
      </w:r>
      <w:r>
        <w:rPr>
          <w:color w:val="231F20"/>
          <w:w w:val="105"/>
        </w:rPr>
        <w:t>de</w:t>
      </w:r>
      <w:r>
        <w:rPr>
          <w:color w:val="231F20"/>
          <w:spacing w:val="-23"/>
          <w:w w:val="105"/>
        </w:rPr>
        <w:t> </w:t>
      </w:r>
      <w:r>
        <w:rPr>
          <w:color w:val="231F20"/>
          <w:w w:val="105"/>
        </w:rPr>
        <w:t>Estados</w:t>
      </w:r>
      <w:r>
        <w:rPr>
          <w:color w:val="231F20"/>
          <w:spacing w:val="-23"/>
          <w:w w:val="105"/>
        </w:rPr>
        <w:t> </w:t>
      </w:r>
      <w:r>
        <w:rPr>
          <w:color w:val="231F20"/>
          <w:w w:val="105"/>
        </w:rPr>
        <w:t>Unidos</w:t>
      </w:r>
      <w:r>
        <w:rPr>
          <w:color w:val="231F20"/>
          <w:spacing w:val="-23"/>
          <w:w w:val="105"/>
        </w:rPr>
        <w:t> </w:t>
      </w:r>
      <w:r>
        <w:rPr>
          <w:color w:val="231F20"/>
          <w:w w:val="105"/>
        </w:rPr>
        <w:t>a</w:t>
      </w:r>
      <w:r>
        <w:rPr>
          <w:color w:val="231F20"/>
          <w:spacing w:val="-23"/>
          <w:w w:val="105"/>
        </w:rPr>
        <w:t> </w:t>
      </w:r>
      <w:r>
        <w:rPr>
          <w:color w:val="231F20"/>
          <w:w w:val="105"/>
        </w:rPr>
        <w:t>Nezahualcóyotl</w:t>
      </w:r>
      <w:r>
        <w:rPr>
          <w:color w:val="231F20"/>
          <w:spacing w:val="-23"/>
          <w:w w:val="105"/>
        </w:rPr>
        <w:t> </w:t>
      </w:r>
      <w:r>
        <w:rPr>
          <w:color w:val="231F20"/>
          <w:w w:val="105"/>
        </w:rPr>
        <w:t>(que regresó entre 2005-2010) tiene también experiencia migratoria interna. Lo anterior significa que seis de cada diez retornados han realizado al menos dos viajes migratorios, uno nacional al mudarse de otra entidad a</w:t>
      </w:r>
      <w:r>
        <w:rPr>
          <w:color w:val="231F20"/>
          <w:spacing w:val="-11"/>
          <w:w w:val="105"/>
        </w:rPr>
        <w:t> </w:t>
      </w:r>
      <w:r>
        <w:rPr>
          <w:color w:val="231F20"/>
          <w:w w:val="105"/>
        </w:rPr>
        <w:t>Nezahualcóyotl,</w:t>
      </w:r>
      <w:r>
        <w:rPr>
          <w:color w:val="231F20"/>
          <w:spacing w:val="-16"/>
          <w:w w:val="105"/>
        </w:rPr>
        <w:t> </w:t>
      </w:r>
      <w:r>
        <w:rPr>
          <w:color w:val="231F20"/>
          <w:w w:val="105"/>
        </w:rPr>
        <w:t>y</w:t>
      </w:r>
      <w:r>
        <w:rPr>
          <w:color w:val="231F20"/>
          <w:spacing w:val="-11"/>
          <w:w w:val="105"/>
        </w:rPr>
        <w:t> </w:t>
      </w:r>
      <w:r>
        <w:rPr>
          <w:color w:val="231F20"/>
          <w:w w:val="105"/>
        </w:rPr>
        <w:t>por</w:t>
      </w:r>
      <w:r>
        <w:rPr>
          <w:color w:val="231F20"/>
          <w:spacing w:val="-11"/>
          <w:w w:val="105"/>
        </w:rPr>
        <w:t> </w:t>
      </w:r>
      <w:r>
        <w:rPr>
          <w:color w:val="231F20"/>
          <w:w w:val="105"/>
        </w:rPr>
        <w:t>lo</w:t>
      </w:r>
      <w:r>
        <w:rPr>
          <w:color w:val="231F20"/>
          <w:spacing w:val="-11"/>
          <w:w w:val="105"/>
        </w:rPr>
        <w:t> </w:t>
      </w:r>
      <w:r>
        <w:rPr>
          <w:color w:val="231F20"/>
          <w:w w:val="105"/>
        </w:rPr>
        <w:t>menos</w:t>
      </w:r>
      <w:r>
        <w:rPr>
          <w:color w:val="231F20"/>
          <w:spacing w:val="-11"/>
          <w:w w:val="105"/>
        </w:rPr>
        <w:t> </w:t>
      </w:r>
      <w:r>
        <w:rPr>
          <w:color w:val="231F20"/>
          <w:w w:val="105"/>
        </w:rPr>
        <w:t>otro</w:t>
      </w:r>
      <w:r>
        <w:rPr>
          <w:color w:val="231F20"/>
          <w:spacing w:val="-11"/>
          <w:w w:val="105"/>
        </w:rPr>
        <w:t> </w:t>
      </w:r>
      <w:r>
        <w:rPr>
          <w:color w:val="231F20"/>
          <w:w w:val="105"/>
        </w:rPr>
        <w:t>internacional</w:t>
      </w:r>
      <w:r>
        <w:rPr>
          <w:color w:val="231F20"/>
          <w:spacing w:val="-11"/>
          <w:w w:val="105"/>
        </w:rPr>
        <w:t> </w:t>
      </w:r>
      <w:r>
        <w:rPr>
          <w:color w:val="231F20"/>
          <w:w w:val="105"/>
        </w:rPr>
        <w:t>cuando</w:t>
      </w:r>
      <w:r>
        <w:rPr>
          <w:color w:val="231F20"/>
          <w:spacing w:val="-11"/>
          <w:w w:val="105"/>
        </w:rPr>
        <w:t> </w:t>
      </w:r>
      <w:r>
        <w:rPr>
          <w:color w:val="231F20"/>
          <w:w w:val="105"/>
        </w:rPr>
        <w:t>emigraron</w:t>
      </w:r>
      <w:r>
        <w:rPr>
          <w:color w:val="231F20"/>
          <w:spacing w:val="-11"/>
          <w:w w:val="105"/>
        </w:rPr>
        <w:t> </w:t>
      </w:r>
      <w:r>
        <w:rPr>
          <w:color w:val="231F20"/>
          <w:w w:val="105"/>
        </w:rPr>
        <w:t>a Estados</w:t>
      </w:r>
      <w:r>
        <w:rPr>
          <w:color w:val="231F20"/>
          <w:spacing w:val="-11"/>
          <w:w w:val="105"/>
        </w:rPr>
        <w:t> </w:t>
      </w:r>
      <w:r>
        <w:rPr>
          <w:color w:val="231F20"/>
          <w:w w:val="105"/>
        </w:rPr>
        <w:t>Unidos.</w:t>
      </w:r>
      <w:r>
        <w:rPr>
          <w:color w:val="231F20"/>
          <w:spacing w:val="-15"/>
          <w:w w:val="105"/>
        </w:rPr>
        <w:t> </w:t>
      </w:r>
      <w:r>
        <w:rPr>
          <w:color w:val="231F20"/>
          <w:w w:val="105"/>
        </w:rPr>
        <w:t>Esta</w:t>
      </w:r>
      <w:r>
        <w:rPr>
          <w:color w:val="231F20"/>
          <w:spacing w:val="-11"/>
          <w:w w:val="105"/>
        </w:rPr>
        <w:t> </w:t>
      </w:r>
      <w:r>
        <w:rPr>
          <w:color w:val="231F20"/>
          <w:w w:val="105"/>
        </w:rPr>
        <w:t>experiencia</w:t>
      </w:r>
      <w:r>
        <w:rPr>
          <w:color w:val="231F20"/>
          <w:spacing w:val="-11"/>
          <w:w w:val="105"/>
        </w:rPr>
        <w:t> </w:t>
      </w:r>
      <w:r>
        <w:rPr>
          <w:color w:val="231F20"/>
          <w:w w:val="105"/>
        </w:rPr>
        <w:t>migratoria</w:t>
      </w:r>
      <w:r>
        <w:rPr>
          <w:color w:val="231F20"/>
          <w:spacing w:val="-11"/>
          <w:w w:val="105"/>
        </w:rPr>
        <w:t> </w:t>
      </w:r>
      <w:r>
        <w:rPr>
          <w:color w:val="231F20"/>
          <w:w w:val="105"/>
        </w:rPr>
        <w:t>podría</w:t>
      </w:r>
      <w:r>
        <w:rPr>
          <w:color w:val="231F20"/>
          <w:spacing w:val="-11"/>
          <w:w w:val="105"/>
        </w:rPr>
        <w:t> </w:t>
      </w:r>
      <w:r>
        <w:rPr>
          <w:color w:val="231F20"/>
          <w:w w:val="105"/>
        </w:rPr>
        <w:t>convertirse</w:t>
      </w:r>
      <w:r>
        <w:rPr>
          <w:color w:val="231F20"/>
          <w:spacing w:val="-11"/>
          <w:w w:val="105"/>
        </w:rPr>
        <w:t> </w:t>
      </w:r>
      <w:r>
        <w:rPr>
          <w:color w:val="231F20"/>
          <w:w w:val="105"/>
        </w:rPr>
        <w:t>también en</w:t>
      </w:r>
      <w:r>
        <w:rPr>
          <w:color w:val="231F20"/>
          <w:spacing w:val="-21"/>
          <w:w w:val="105"/>
        </w:rPr>
        <w:t> </w:t>
      </w:r>
      <w:r>
        <w:rPr>
          <w:color w:val="231F20"/>
          <w:w w:val="105"/>
        </w:rPr>
        <w:t>un</w:t>
      </w:r>
      <w:r>
        <w:rPr>
          <w:color w:val="231F20"/>
          <w:spacing w:val="-21"/>
          <w:w w:val="105"/>
        </w:rPr>
        <w:t> </w:t>
      </w:r>
      <w:r>
        <w:rPr>
          <w:color w:val="231F20"/>
          <w:w w:val="105"/>
        </w:rPr>
        <w:t>factor</w:t>
      </w:r>
      <w:r>
        <w:rPr>
          <w:color w:val="231F20"/>
          <w:spacing w:val="-21"/>
          <w:w w:val="105"/>
        </w:rPr>
        <w:t> </w:t>
      </w:r>
      <w:r>
        <w:rPr>
          <w:color w:val="231F20"/>
          <w:w w:val="105"/>
        </w:rPr>
        <w:t>relevante</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configuración</w:t>
      </w:r>
      <w:r>
        <w:rPr>
          <w:color w:val="231F20"/>
          <w:spacing w:val="-21"/>
          <w:w w:val="105"/>
        </w:rPr>
        <w:t> </w:t>
      </w:r>
      <w:r>
        <w:rPr>
          <w:color w:val="231F20"/>
          <w:w w:val="105"/>
        </w:rPr>
        <w:t>relacional</w:t>
      </w:r>
      <w:r>
        <w:rPr>
          <w:color w:val="231F20"/>
          <w:spacing w:val="-21"/>
          <w:w w:val="105"/>
        </w:rPr>
        <w:t> </w:t>
      </w:r>
      <w:r>
        <w:rPr>
          <w:color w:val="231F20"/>
          <w:w w:val="105"/>
        </w:rPr>
        <w:t>de</w:t>
      </w:r>
      <w:r>
        <w:rPr>
          <w:color w:val="231F20"/>
          <w:spacing w:val="-21"/>
          <w:w w:val="105"/>
        </w:rPr>
        <w:t> </w:t>
      </w:r>
      <w:r>
        <w:rPr>
          <w:color w:val="231F20"/>
          <w:w w:val="105"/>
        </w:rPr>
        <w:t>cierto</w:t>
      </w:r>
      <w:r>
        <w:rPr>
          <w:color w:val="231F20"/>
          <w:spacing w:val="-21"/>
          <w:w w:val="105"/>
        </w:rPr>
        <w:t> </w:t>
      </w:r>
      <w:r>
        <w:rPr>
          <w:color w:val="231F20"/>
          <w:w w:val="105"/>
        </w:rPr>
        <w:t>capital</w:t>
      </w:r>
      <w:r>
        <w:rPr>
          <w:color w:val="231F20"/>
          <w:spacing w:val="-21"/>
          <w:w w:val="105"/>
        </w:rPr>
        <w:t> </w:t>
      </w:r>
      <w:r>
        <w:rPr>
          <w:color w:val="231F20"/>
          <w:w w:val="105"/>
        </w:rPr>
        <w:t>para la</w:t>
      </w:r>
      <w:r>
        <w:rPr>
          <w:color w:val="231F20"/>
          <w:spacing w:val="-12"/>
          <w:w w:val="105"/>
        </w:rPr>
        <w:t> </w:t>
      </w:r>
      <w:r>
        <w:rPr>
          <w:color w:val="231F20"/>
          <w:w w:val="105"/>
        </w:rPr>
        <w:t>consecución</w:t>
      </w:r>
      <w:r>
        <w:rPr>
          <w:color w:val="231F20"/>
          <w:spacing w:val="-12"/>
          <w:w w:val="105"/>
        </w:rPr>
        <w:t> </w:t>
      </w:r>
      <w:r>
        <w:rPr>
          <w:color w:val="231F20"/>
          <w:w w:val="105"/>
        </w:rPr>
        <w:t>de</w:t>
      </w:r>
      <w:r>
        <w:rPr>
          <w:color w:val="231F20"/>
          <w:spacing w:val="-12"/>
          <w:w w:val="105"/>
        </w:rPr>
        <w:t> </w:t>
      </w:r>
      <w:r>
        <w:rPr>
          <w:color w:val="231F20"/>
          <w:w w:val="105"/>
        </w:rPr>
        <w:t>un</w:t>
      </w:r>
      <w:r>
        <w:rPr>
          <w:color w:val="231F20"/>
          <w:spacing w:val="-12"/>
          <w:w w:val="105"/>
        </w:rPr>
        <w:t> </w:t>
      </w:r>
      <w:r>
        <w:rPr>
          <w:color w:val="231F20"/>
          <w:w w:val="105"/>
        </w:rPr>
        <w:t>empleo.</w:t>
      </w:r>
    </w:p>
    <w:p>
      <w:pPr>
        <w:pStyle w:val="BodyText"/>
        <w:spacing w:line="261" w:lineRule="auto" w:before="1"/>
        <w:ind w:left="1723" w:right="1834" w:firstLine="646"/>
        <w:jc w:val="both"/>
      </w:pPr>
      <w:r>
        <w:rPr>
          <w:color w:val="231F20"/>
          <w:w w:val="105"/>
        </w:rPr>
        <w:t>Una parte de la compleja dinámica de las movilidades y migra- ciones</w:t>
      </w:r>
      <w:r>
        <w:rPr>
          <w:color w:val="231F20"/>
          <w:spacing w:val="-7"/>
          <w:w w:val="105"/>
        </w:rPr>
        <w:t> </w:t>
      </w:r>
      <w:r>
        <w:rPr>
          <w:color w:val="231F20"/>
          <w:w w:val="105"/>
        </w:rPr>
        <w:t>que</w:t>
      </w:r>
      <w:r>
        <w:rPr>
          <w:color w:val="231F20"/>
          <w:spacing w:val="-7"/>
          <w:w w:val="105"/>
        </w:rPr>
        <w:t> </w:t>
      </w:r>
      <w:r>
        <w:rPr>
          <w:color w:val="231F20"/>
          <w:w w:val="105"/>
        </w:rPr>
        <w:t>atraviesan</w:t>
      </w:r>
      <w:r>
        <w:rPr>
          <w:color w:val="231F20"/>
          <w:spacing w:val="-7"/>
          <w:w w:val="105"/>
        </w:rPr>
        <w:t> </w:t>
      </w:r>
      <w:r>
        <w:rPr>
          <w:color w:val="231F20"/>
          <w:w w:val="105"/>
        </w:rPr>
        <w:t>por</w:t>
      </w:r>
      <w:r>
        <w:rPr>
          <w:color w:val="231F20"/>
          <w:spacing w:val="-7"/>
          <w:w w:val="105"/>
        </w:rPr>
        <w:t> </w:t>
      </w:r>
      <w:r>
        <w:rPr>
          <w:color w:val="231F20"/>
          <w:w w:val="105"/>
        </w:rPr>
        <w:t>Nezahualcóyotl</w:t>
      </w:r>
      <w:r>
        <w:rPr>
          <w:color w:val="231F20"/>
          <w:spacing w:val="-7"/>
          <w:w w:val="105"/>
        </w:rPr>
        <w:t> </w:t>
      </w:r>
      <w:r>
        <w:rPr>
          <w:color w:val="231F20"/>
          <w:w w:val="105"/>
        </w:rPr>
        <w:t>ha</w:t>
      </w:r>
      <w:r>
        <w:rPr>
          <w:color w:val="231F20"/>
          <w:spacing w:val="-7"/>
          <w:w w:val="105"/>
        </w:rPr>
        <w:t> </w:t>
      </w:r>
      <w:r>
        <w:rPr>
          <w:color w:val="231F20"/>
          <w:w w:val="105"/>
        </w:rPr>
        <w:t>sido</w:t>
      </w:r>
      <w:r>
        <w:rPr>
          <w:color w:val="231F20"/>
          <w:spacing w:val="-7"/>
          <w:w w:val="105"/>
        </w:rPr>
        <w:t> </w:t>
      </w:r>
      <w:r>
        <w:rPr>
          <w:color w:val="231F20"/>
          <w:w w:val="105"/>
        </w:rPr>
        <w:t>descrita</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párra- fos previos con el propósito de ofrecer cierta evidencia de la dinámica poblacional, y brindar así elementos para comprender la combinación  y</w:t>
      </w:r>
      <w:r>
        <w:rPr>
          <w:color w:val="231F20"/>
          <w:spacing w:val="-9"/>
          <w:w w:val="105"/>
        </w:rPr>
        <w:t> </w:t>
      </w:r>
      <w:r>
        <w:rPr>
          <w:color w:val="231F20"/>
          <w:w w:val="105"/>
        </w:rPr>
        <w:t>multiplicidad</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rutas,</w:t>
      </w:r>
      <w:r>
        <w:rPr>
          <w:color w:val="231F20"/>
          <w:spacing w:val="-15"/>
          <w:w w:val="105"/>
        </w:rPr>
        <w:t> </w:t>
      </w:r>
      <w:r>
        <w:rPr>
          <w:color w:val="231F20"/>
          <w:w w:val="105"/>
        </w:rPr>
        <w:t>trayectos</w:t>
      </w:r>
      <w:r>
        <w:rPr>
          <w:color w:val="231F20"/>
          <w:spacing w:val="-9"/>
          <w:w w:val="105"/>
        </w:rPr>
        <w:t> </w:t>
      </w:r>
      <w:r>
        <w:rPr>
          <w:color w:val="231F20"/>
          <w:w w:val="105"/>
        </w:rPr>
        <w:t>y</w:t>
      </w:r>
      <w:r>
        <w:rPr>
          <w:color w:val="231F20"/>
          <w:spacing w:val="-9"/>
          <w:w w:val="105"/>
        </w:rPr>
        <w:t> </w:t>
      </w:r>
      <w:r>
        <w:rPr>
          <w:color w:val="231F20"/>
          <w:w w:val="105"/>
        </w:rPr>
        <w:t>experiencias</w:t>
      </w:r>
      <w:r>
        <w:rPr>
          <w:color w:val="231F20"/>
          <w:spacing w:val="-9"/>
          <w:w w:val="105"/>
        </w:rPr>
        <w:t> </w:t>
      </w:r>
      <w:r>
        <w:rPr>
          <w:color w:val="231F20"/>
          <w:w w:val="105"/>
        </w:rPr>
        <w:t>de</w:t>
      </w:r>
      <w:r>
        <w:rPr>
          <w:color w:val="231F20"/>
          <w:spacing w:val="-9"/>
          <w:w w:val="105"/>
        </w:rPr>
        <w:t> </w:t>
      </w:r>
      <w:r>
        <w:rPr>
          <w:color w:val="231F20"/>
          <w:w w:val="105"/>
        </w:rPr>
        <w:t>movilidad</w:t>
      </w:r>
      <w:r>
        <w:rPr>
          <w:color w:val="231F20"/>
          <w:spacing w:val="-9"/>
          <w:w w:val="105"/>
        </w:rPr>
        <w:t> </w:t>
      </w:r>
      <w:r>
        <w:rPr>
          <w:color w:val="231F20"/>
          <w:w w:val="105"/>
        </w:rPr>
        <w:t>de</w:t>
      </w:r>
      <w:r>
        <w:rPr>
          <w:color w:val="231F20"/>
          <w:spacing w:val="-9"/>
          <w:w w:val="105"/>
        </w:rPr>
        <w:t> </w:t>
      </w:r>
      <w:r>
        <w:rPr>
          <w:color w:val="231F20"/>
          <w:w w:val="105"/>
        </w:rPr>
        <w:t>los sujetos que se desplazan en y desde la zona metropolitana,</w:t>
      </w:r>
      <w:r>
        <w:rPr>
          <w:color w:val="231F20"/>
          <w:spacing w:val="-42"/>
          <w:w w:val="105"/>
        </w:rPr>
        <w:t> </w:t>
      </w:r>
      <w:r>
        <w:rPr>
          <w:color w:val="231F20"/>
          <w:w w:val="105"/>
        </w:rPr>
        <w:t>específica- mente</w:t>
      </w:r>
      <w:r>
        <w:rPr>
          <w:color w:val="231F20"/>
          <w:spacing w:val="-12"/>
          <w:w w:val="105"/>
        </w:rPr>
        <w:t> </w:t>
      </w:r>
      <w:r>
        <w:rPr>
          <w:color w:val="231F20"/>
          <w:w w:val="105"/>
        </w:rPr>
        <w:t>por</w:t>
      </w:r>
      <w:r>
        <w:rPr>
          <w:color w:val="231F20"/>
          <w:spacing w:val="-12"/>
          <w:w w:val="105"/>
        </w:rPr>
        <w:t> </w:t>
      </w:r>
      <w:r>
        <w:rPr>
          <w:color w:val="231F20"/>
          <w:w w:val="105"/>
        </w:rPr>
        <w:t>y</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w:t>
      </w:r>
      <w:r>
        <w:rPr>
          <w:color w:val="231F20"/>
          <w:spacing w:val="-12"/>
          <w:w w:val="105"/>
        </w:rPr>
        <w:t> </w:t>
      </w:r>
      <w:r>
        <w:rPr>
          <w:color w:val="231F20"/>
          <w:w w:val="105"/>
        </w:rPr>
        <w:t>este</w:t>
      </w:r>
      <w:r>
        <w:rPr>
          <w:color w:val="231F20"/>
          <w:spacing w:val="-12"/>
          <w:w w:val="105"/>
        </w:rPr>
        <w:t> </w:t>
      </w:r>
      <w:r>
        <w:rPr>
          <w:color w:val="231F20"/>
          <w:w w:val="105"/>
        </w:rPr>
        <w:t>municipio.</w:t>
      </w:r>
    </w:p>
    <w:p>
      <w:pPr>
        <w:pStyle w:val="BodyText"/>
        <w:spacing w:line="261" w:lineRule="auto" w:before="1"/>
        <w:ind w:left="1723" w:right="1835" w:firstLine="567"/>
        <w:jc w:val="both"/>
      </w:pPr>
      <w:r>
        <w:rPr>
          <w:color w:val="231F20"/>
          <w:w w:val="105"/>
        </w:rPr>
        <w:t>A</w:t>
      </w:r>
      <w:r>
        <w:rPr>
          <w:color w:val="231F20"/>
          <w:spacing w:val="-12"/>
          <w:w w:val="105"/>
        </w:rPr>
        <w:t> </w:t>
      </w:r>
      <w:r>
        <w:rPr>
          <w:color w:val="231F20"/>
          <w:w w:val="105"/>
        </w:rPr>
        <w:t>continuación,</w:t>
      </w:r>
      <w:r>
        <w:rPr>
          <w:color w:val="231F20"/>
          <w:spacing w:val="-14"/>
          <w:w w:val="105"/>
        </w:rPr>
        <w:t> </w:t>
      </w:r>
      <w:r>
        <w:rPr>
          <w:color w:val="231F20"/>
          <w:w w:val="105"/>
        </w:rPr>
        <w:t>antes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presentación</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narrativas</w:t>
      </w:r>
      <w:r>
        <w:rPr>
          <w:color w:val="231F20"/>
          <w:spacing w:val="-9"/>
          <w:w w:val="105"/>
        </w:rPr>
        <w:t> </w:t>
      </w:r>
      <w:r>
        <w:rPr>
          <w:color w:val="231F20"/>
          <w:w w:val="105"/>
        </w:rPr>
        <w:t>se</w:t>
      </w:r>
      <w:r>
        <w:rPr>
          <w:color w:val="231F20"/>
          <w:spacing w:val="-9"/>
          <w:w w:val="105"/>
        </w:rPr>
        <w:t> </w:t>
      </w:r>
      <w:r>
        <w:rPr>
          <w:color w:val="231F20"/>
          <w:w w:val="105"/>
        </w:rPr>
        <w:t>ofre- cerá</w:t>
      </w:r>
      <w:r>
        <w:rPr>
          <w:color w:val="231F20"/>
          <w:spacing w:val="-7"/>
          <w:w w:val="105"/>
        </w:rPr>
        <w:t> </w:t>
      </w:r>
      <w:r>
        <w:rPr>
          <w:color w:val="231F20"/>
          <w:w w:val="105"/>
        </w:rPr>
        <w:t>una</w:t>
      </w:r>
      <w:r>
        <w:rPr>
          <w:color w:val="231F20"/>
          <w:spacing w:val="-7"/>
          <w:w w:val="105"/>
        </w:rPr>
        <w:t> </w:t>
      </w:r>
      <w:r>
        <w:rPr>
          <w:color w:val="231F20"/>
          <w:w w:val="105"/>
        </w:rPr>
        <w:t>breve</w:t>
      </w:r>
      <w:r>
        <w:rPr>
          <w:color w:val="231F20"/>
          <w:spacing w:val="-7"/>
          <w:w w:val="105"/>
        </w:rPr>
        <w:t> </w:t>
      </w:r>
      <w:r>
        <w:rPr>
          <w:color w:val="231F20"/>
          <w:w w:val="105"/>
        </w:rPr>
        <w:t>nota</w:t>
      </w:r>
      <w:r>
        <w:rPr>
          <w:color w:val="231F20"/>
          <w:spacing w:val="-7"/>
          <w:w w:val="105"/>
        </w:rPr>
        <w:t> </w:t>
      </w:r>
      <w:r>
        <w:rPr>
          <w:color w:val="231F20"/>
          <w:w w:val="105"/>
        </w:rPr>
        <w:t>acerca</w:t>
      </w:r>
      <w:r>
        <w:rPr>
          <w:color w:val="231F20"/>
          <w:spacing w:val="-7"/>
          <w:w w:val="105"/>
        </w:rPr>
        <w:t> </w:t>
      </w:r>
      <w:r>
        <w:rPr>
          <w:color w:val="231F20"/>
          <w:w w:val="105"/>
        </w:rPr>
        <w:t>del</w:t>
      </w:r>
      <w:r>
        <w:rPr>
          <w:color w:val="231F20"/>
          <w:spacing w:val="-7"/>
          <w:w w:val="105"/>
        </w:rPr>
        <w:t> </w:t>
      </w:r>
      <w:r>
        <w:rPr>
          <w:color w:val="231F20"/>
          <w:w w:val="105"/>
        </w:rPr>
        <w:t>proceso</w:t>
      </w:r>
      <w:r>
        <w:rPr>
          <w:color w:val="231F20"/>
          <w:spacing w:val="-7"/>
          <w:w w:val="105"/>
        </w:rPr>
        <w:t> </w:t>
      </w:r>
      <w:r>
        <w:rPr>
          <w:color w:val="231F20"/>
          <w:w w:val="105"/>
        </w:rPr>
        <w:t>metodológico</w:t>
      </w:r>
      <w:r>
        <w:rPr>
          <w:color w:val="231F20"/>
          <w:spacing w:val="-7"/>
          <w:w w:val="105"/>
        </w:rPr>
        <w:t> </w:t>
      </w:r>
      <w:r>
        <w:rPr>
          <w:color w:val="231F20"/>
          <w:w w:val="105"/>
        </w:rPr>
        <w:t>detrás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elec- ción</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diseño</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narrativas.</w:t>
      </w:r>
    </w:p>
    <w:p>
      <w:pPr>
        <w:pStyle w:val="BodyText"/>
        <w:rPr>
          <w:sz w:val="20"/>
        </w:rPr>
      </w:pPr>
    </w:p>
    <w:p>
      <w:pPr>
        <w:pStyle w:val="BodyText"/>
        <w:rPr>
          <w:sz w:val="20"/>
        </w:rPr>
      </w:pPr>
    </w:p>
    <w:p>
      <w:pPr>
        <w:pStyle w:val="BodyText"/>
        <w:rPr>
          <w:sz w:val="20"/>
        </w:rPr>
      </w:pPr>
    </w:p>
    <w:p>
      <w:pPr>
        <w:pStyle w:val="BodyText"/>
        <w:spacing w:before="11"/>
        <w:rPr>
          <w:sz w:val="2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7928" from="131.551193pt,3.703715pt" to="131.551193pt,39.506114pt" stroked="true" strokeweight=".35pt" strokecolor="#231f20">
            <w10:wrap type="none"/>
          </v:line>
        </w:pict>
      </w:r>
      <w:r>
        <w:rPr/>
        <w:pict>
          <v:line style="position:absolute;mso-position-horizontal-relative:page;mso-position-vertical-relative:paragraph;z-index:-477856" from="15pt,39.505917pt" to="0pt,39.505917pt" stroked="true" strokeweight=".25pt" strokecolor="#000000">
            <w10:wrap type="none"/>
          </v:line>
        </w:pict>
      </w:r>
      <w:r>
        <w:rPr/>
        <w:pict>
          <v:line style="position:absolute;mso-position-horizontal-relative:page;mso-position-vertical-relative:paragraph;z-index:12352" from="508.890015pt,39.505917pt" to="523.890015pt,39.505917pt" stroked="true" strokeweight=".25pt" strokecolor="#000000">
            <w10:wrap type="none"/>
          </v:line>
        </w:pict>
      </w:r>
      <w:r>
        <w:rPr>
          <w:rFonts w:ascii="Arial" w:hAnsi="Arial"/>
          <w:color w:val="414042"/>
          <w:position w:val="-5"/>
          <w:sz w:val="20"/>
        </w:rPr>
        <w:t>124</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7808" from="405.061005pt,-18.554295pt" to="405.061005pt,16.311579pt" stroked="true" strokeweight=".35pt" strokecolor="#231f20">
            <w10:wrap type="none"/>
          </v:line>
        </w:pict>
      </w:r>
      <w:r>
        <w:rPr/>
        <w:pict>
          <v:line style="position:absolute;mso-position-horizontal-relative:page;mso-position-vertical-relative:paragraph;z-index:12400" from="15pt,-18.554522pt" to="0pt,-18.554522pt" stroked="true" strokeweight=".25pt" strokecolor="#000000">
            <w10:wrap type="none"/>
          </v:line>
        </w:pict>
      </w:r>
      <w:r>
        <w:rPr/>
        <w:pict>
          <v:line style="position:absolute;mso-position-horizontal-relative:page;mso-position-vertical-relative:paragraph;z-index:12424"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125</w:t>
      </w:r>
    </w:p>
    <w:p>
      <w:pPr>
        <w:pStyle w:val="BodyText"/>
        <w:rPr>
          <w:rFonts w:ascii="Arial"/>
          <w:sz w:val="22"/>
        </w:rPr>
      </w:pPr>
    </w:p>
    <w:p>
      <w:pPr>
        <w:pStyle w:val="BodyText"/>
        <w:rPr>
          <w:rFonts w:ascii="Arial"/>
          <w:sz w:val="22"/>
        </w:rPr>
      </w:pPr>
    </w:p>
    <w:p>
      <w:pPr>
        <w:pStyle w:val="Heading3"/>
        <w:spacing w:line="266" w:lineRule="auto" w:before="131"/>
        <w:ind w:right="3461"/>
        <w:jc w:val="left"/>
      </w:pPr>
      <w:r>
        <w:rPr>
          <w:color w:val="231F20"/>
        </w:rPr>
        <w:t>Notas</w:t>
      </w:r>
      <w:r>
        <w:rPr>
          <w:color w:val="231F20"/>
          <w:spacing w:val="-22"/>
        </w:rPr>
        <w:t> </w:t>
      </w:r>
      <w:r>
        <w:rPr>
          <w:color w:val="231F20"/>
        </w:rPr>
        <w:t>metodológicas</w:t>
      </w:r>
      <w:r>
        <w:rPr>
          <w:color w:val="231F20"/>
          <w:spacing w:val="-22"/>
        </w:rPr>
        <w:t> </w:t>
      </w:r>
      <w:r>
        <w:rPr>
          <w:color w:val="231F20"/>
        </w:rPr>
        <w:t>para</w:t>
      </w:r>
      <w:r>
        <w:rPr>
          <w:color w:val="231F20"/>
          <w:spacing w:val="-22"/>
        </w:rPr>
        <w:t> </w:t>
      </w:r>
      <w:r>
        <w:rPr>
          <w:color w:val="231F20"/>
        </w:rPr>
        <w:t>una</w:t>
      </w:r>
      <w:r>
        <w:rPr>
          <w:color w:val="231F20"/>
          <w:spacing w:val="-22"/>
        </w:rPr>
        <w:t> </w:t>
      </w:r>
      <w:r>
        <w:rPr>
          <w:color w:val="231F20"/>
        </w:rPr>
        <w:t>interpretación</w:t>
      </w:r>
      <w:r>
        <w:rPr>
          <w:color w:val="231F20"/>
          <w:spacing w:val="-22"/>
        </w:rPr>
        <w:t> </w:t>
      </w:r>
      <w:r>
        <w:rPr>
          <w:color w:val="231F20"/>
        </w:rPr>
        <w:t>de</w:t>
      </w:r>
      <w:r>
        <w:rPr>
          <w:color w:val="231F20"/>
          <w:spacing w:val="-22"/>
        </w:rPr>
        <w:t> </w:t>
      </w:r>
      <w:r>
        <w:rPr>
          <w:color w:val="231F20"/>
        </w:rPr>
        <w:t>la experiencia de</w:t>
      </w:r>
      <w:r>
        <w:rPr>
          <w:color w:val="231F20"/>
          <w:spacing w:val="-45"/>
        </w:rPr>
        <w:t> </w:t>
      </w:r>
      <w:r>
        <w:rPr>
          <w:color w:val="231F20"/>
        </w:rPr>
        <w:t>retorno</w:t>
      </w:r>
    </w:p>
    <w:p>
      <w:pPr>
        <w:pStyle w:val="BodyText"/>
        <w:rPr>
          <w:rFonts w:ascii="Arial"/>
          <w:b/>
          <w:sz w:val="22"/>
        </w:rPr>
      </w:pPr>
    </w:p>
    <w:p>
      <w:pPr>
        <w:pStyle w:val="BodyText"/>
        <w:spacing w:line="261" w:lineRule="auto" w:before="136"/>
        <w:ind w:left="1837" w:right="1716"/>
        <w:jc w:val="both"/>
      </w:pPr>
      <w:r>
        <w:rPr>
          <w:color w:val="231F20"/>
          <w:w w:val="105"/>
        </w:rPr>
        <w:t>Las</w:t>
      </w:r>
      <w:r>
        <w:rPr>
          <w:color w:val="231F20"/>
          <w:spacing w:val="-24"/>
          <w:w w:val="105"/>
        </w:rPr>
        <w:t> </w:t>
      </w:r>
      <w:r>
        <w:rPr>
          <w:color w:val="231F20"/>
          <w:w w:val="105"/>
        </w:rPr>
        <w:t>narrativas</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esbozan</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siguiente</w:t>
      </w:r>
      <w:r>
        <w:rPr>
          <w:color w:val="231F20"/>
          <w:spacing w:val="-24"/>
          <w:w w:val="105"/>
        </w:rPr>
        <w:t> </w:t>
      </w:r>
      <w:r>
        <w:rPr>
          <w:color w:val="231F20"/>
          <w:w w:val="105"/>
        </w:rPr>
        <w:t>sección</w:t>
      </w:r>
      <w:r>
        <w:rPr>
          <w:color w:val="231F20"/>
          <w:spacing w:val="-24"/>
          <w:w w:val="105"/>
        </w:rPr>
        <w:t> </w:t>
      </w:r>
      <w:r>
        <w:rPr>
          <w:color w:val="231F20"/>
          <w:w w:val="105"/>
        </w:rPr>
        <w:t>fueron</w:t>
      </w:r>
      <w:r>
        <w:rPr>
          <w:color w:val="231F20"/>
          <w:spacing w:val="-24"/>
          <w:w w:val="105"/>
        </w:rPr>
        <w:t> </w:t>
      </w:r>
      <w:r>
        <w:rPr>
          <w:color w:val="231F20"/>
          <w:w w:val="105"/>
        </w:rPr>
        <w:t>construidas a partir del análisis e interpretación de entrevistas de corte biográfico realizadas</w:t>
      </w:r>
      <w:r>
        <w:rPr>
          <w:color w:val="231F20"/>
          <w:spacing w:val="-9"/>
          <w:w w:val="105"/>
        </w:rPr>
        <w:t> </w:t>
      </w:r>
      <w:r>
        <w:rPr>
          <w:color w:val="231F20"/>
          <w:w w:val="105"/>
        </w:rPr>
        <w:t>a</w:t>
      </w:r>
      <w:r>
        <w:rPr>
          <w:color w:val="231F20"/>
          <w:spacing w:val="-9"/>
          <w:w w:val="105"/>
        </w:rPr>
        <w:t> </w:t>
      </w:r>
      <w:r>
        <w:rPr>
          <w:color w:val="231F20"/>
          <w:w w:val="105"/>
        </w:rPr>
        <w:t>migrantes</w:t>
      </w:r>
      <w:r>
        <w:rPr>
          <w:color w:val="231F20"/>
          <w:spacing w:val="-9"/>
          <w:w w:val="105"/>
        </w:rPr>
        <w:t> </w:t>
      </w:r>
      <w:r>
        <w:rPr>
          <w:color w:val="231F20"/>
          <w:w w:val="105"/>
        </w:rPr>
        <w:t>de</w:t>
      </w:r>
      <w:r>
        <w:rPr>
          <w:color w:val="231F20"/>
          <w:spacing w:val="-9"/>
          <w:w w:val="105"/>
        </w:rPr>
        <w:t> </w:t>
      </w:r>
      <w:r>
        <w:rPr>
          <w:color w:val="231F20"/>
          <w:w w:val="105"/>
        </w:rPr>
        <w:t>retorno</w:t>
      </w:r>
      <w:r>
        <w:rPr>
          <w:color w:val="231F20"/>
          <w:spacing w:val="-9"/>
          <w:w w:val="105"/>
        </w:rPr>
        <w:t> </w:t>
      </w:r>
      <w:r>
        <w:rPr>
          <w:color w:val="231F20"/>
          <w:w w:val="105"/>
        </w:rPr>
        <w:t>de</w:t>
      </w:r>
      <w:r>
        <w:rPr>
          <w:color w:val="231F20"/>
          <w:spacing w:val="-9"/>
          <w:w w:val="105"/>
        </w:rPr>
        <w:t> </w:t>
      </w:r>
      <w:r>
        <w:rPr>
          <w:color w:val="231F20"/>
          <w:w w:val="105"/>
        </w:rPr>
        <w:t>Estados</w:t>
      </w:r>
      <w:r>
        <w:rPr>
          <w:color w:val="231F20"/>
          <w:spacing w:val="-9"/>
          <w:w w:val="105"/>
        </w:rPr>
        <w:t> </w:t>
      </w:r>
      <w:r>
        <w:rPr>
          <w:color w:val="231F20"/>
          <w:w w:val="105"/>
        </w:rPr>
        <w:t>Unidos</w:t>
      </w:r>
      <w:r>
        <w:rPr>
          <w:color w:val="231F20"/>
          <w:spacing w:val="-9"/>
          <w:w w:val="105"/>
        </w:rPr>
        <w:t> </w:t>
      </w:r>
      <w:r>
        <w:rPr>
          <w:color w:val="231F20"/>
          <w:w w:val="105"/>
        </w:rPr>
        <w:t>a</w:t>
      </w:r>
      <w:r>
        <w:rPr>
          <w:color w:val="231F20"/>
          <w:spacing w:val="-9"/>
          <w:w w:val="105"/>
        </w:rPr>
        <w:t> </w:t>
      </w:r>
      <w:r>
        <w:rPr>
          <w:color w:val="231F20"/>
          <w:w w:val="105"/>
        </w:rPr>
        <w:t>Nezahualcóyotl, durante</w:t>
      </w:r>
      <w:r>
        <w:rPr>
          <w:color w:val="231F20"/>
          <w:spacing w:val="-16"/>
          <w:w w:val="105"/>
        </w:rPr>
        <w:t> </w:t>
      </w:r>
      <w:r>
        <w:rPr>
          <w:color w:val="231F20"/>
          <w:w w:val="105"/>
        </w:rPr>
        <w:t>los</w:t>
      </w:r>
      <w:r>
        <w:rPr>
          <w:color w:val="231F20"/>
          <w:spacing w:val="-16"/>
          <w:w w:val="105"/>
        </w:rPr>
        <w:t> </w:t>
      </w:r>
      <w:r>
        <w:rPr>
          <w:color w:val="231F20"/>
          <w:w w:val="105"/>
        </w:rPr>
        <w:t>años</w:t>
      </w:r>
      <w:r>
        <w:rPr>
          <w:color w:val="231F20"/>
          <w:spacing w:val="-16"/>
          <w:w w:val="105"/>
        </w:rPr>
        <w:t> </w:t>
      </w:r>
      <w:r>
        <w:rPr>
          <w:color w:val="231F20"/>
          <w:w w:val="105"/>
        </w:rPr>
        <w:t>2011-2015.</w:t>
      </w:r>
      <w:r>
        <w:rPr>
          <w:color w:val="231F20"/>
          <w:spacing w:val="-24"/>
          <w:w w:val="105"/>
        </w:rPr>
        <w:t> </w:t>
      </w:r>
      <w:r>
        <w:rPr>
          <w:color w:val="231F20"/>
          <w:w w:val="105"/>
        </w:rPr>
        <w:t>A</w:t>
      </w:r>
      <w:r>
        <w:rPr>
          <w:color w:val="231F20"/>
          <w:spacing w:val="-19"/>
          <w:w w:val="105"/>
        </w:rPr>
        <w:t> </w:t>
      </w:r>
      <w:r>
        <w:rPr>
          <w:color w:val="231F20"/>
          <w:w w:val="105"/>
        </w:rPr>
        <w:t>partir</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relatos</w:t>
      </w:r>
      <w:r>
        <w:rPr>
          <w:color w:val="231F20"/>
          <w:spacing w:val="-16"/>
          <w:w w:val="105"/>
        </w:rPr>
        <w:t> </w:t>
      </w:r>
      <w:r>
        <w:rPr>
          <w:color w:val="231F20"/>
          <w:w w:val="105"/>
        </w:rPr>
        <w:t>recabados</w:t>
      </w:r>
      <w:r>
        <w:rPr>
          <w:color w:val="231F20"/>
          <w:spacing w:val="-16"/>
          <w:w w:val="105"/>
        </w:rPr>
        <w:t> </w:t>
      </w:r>
      <w:r>
        <w:rPr>
          <w:color w:val="231F20"/>
          <w:w w:val="105"/>
        </w:rPr>
        <w:t>se</w:t>
      </w:r>
      <w:r>
        <w:rPr>
          <w:color w:val="231F20"/>
          <w:spacing w:val="-16"/>
          <w:w w:val="105"/>
        </w:rPr>
        <w:t> </w:t>
      </w:r>
      <w:r>
        <w:rPr>
          <w:color w:val="231F20"/>
          <w:w w:val="105"/>
        </w:rPr>
        <w:t>han</w:t>
      </w:r>
      <w:r>
        <w:rPr>
          <w:color w:val="231F20"/>
          <w:spacing w:val="-16"/>
          <w:w w:val="105"/>
        </w:rPr>
        <w:t> </w:t>
      </w:r>
      <w:r>
        <w:rPr>
          <w:color w:val="231F20"/>
          <w:w w:val="105"/>
        </w:rPr>
        <w:t>im- plementado</w:t>
      </w:r>
      <w:r>
        <w:rPr>
          <w:color w:val="231F20"/>
          <w:spacing w:val="-13"/>
          <w:w w:val="105"/>
        </w:rPr>
        <w:t> </w:t>
      </w:r>
      <w:r>
        <w:rPr>
          <w:color w:val="231F20"/>
          <w:w w:val="105"/>
        </w:rPr>
        <w:t>variadas</w:t>
      </w:r>
      <w:r>
        <w:rPr>
          <w:color w:val="231F20"/>
          <w:spacing w:val="-13"/>
          <w:w w:val="105"/>
        </w:rPr>
        <w:t> </w:t>
      </w:r>
      <w:r>
        <w:rPr>
          <w:color w:val="231F20"/>
          <w:w w:val="105"/>
        </w:rPr>
        <w:t>estrategias</w:t>
      </w:r>
      <w:r>
        <w:rPr>
          <w:color w:val="231F20"/>
          <w:spacing w:val="-13"/>
          <w:w w:val="105"/>
        </w:rPr>
        <w:t> </w:t>
      </w:r>
      <w:r>
        <w:rPr>
          <w:color w:val="231F20"/>
          <w:w w:val="105"/>
        </w:rPr>
        <w:t>de</w:t>
      </w:r>
      <w:r>
        <w:rPr>
          <w:color w:val="231F20"/>
          <w:spacing w:val="-13"/>
          <w:w w:val="105"/>
        </w:rPr>
        <w:t> </w:t>
      </w:r>
      <w:r>
        <w:rPr>
          <w:color w:val="231F20"/>
          <w:w w:val="105"/>
        </w:rPr>
        <w:t>análisis</w:t>
      </w:r>
      <w:r>
        <w:rPr>
          <w:color w:val="231F20"/>
          <w:spacing w:val="-13"/>
          <w:w w:val="105"/>
        </w:rPr>
        <w:t> </w:t>
      </w:r>
      <w:r>
        <w:rPr>
          <w:color w:val="231F20"/>
          <w:w w:val="105"/>
        </w:rPr>
        <w:t>para</w:t>
      </w:r>
      <w:r>
        <w:rPr>
          <w:color w:val="231F20"/>
          <w:spacing w:val="-13"/>
          <w:w w:val="105"/>
        </w:rPr>
        <w:t> </w:t>
      </w:r>
      <w:r>
        <w:rPr>
          <w:color w:val="231F20"/>
          <w:w w:val="105"/>
        </w:rPr>
        <w:t>describir</w:t>
      </w:r>
      <w:r>
        <w:rPr>
          <w:color w:val="231F20"/>
          <w:spacing w:val="-13"/>
          <w:w w:val="105"/>
        </w:rPr>
        <w:t> </w:t>
      </w:r>
      <w:r>
        <w:rPr>
          <w:color w:val="231F20"/>
          <w:w w:val="105"/>
        </w:rPr>
        <w:t>y</w:t>
      </w:r>
      <w:r>
        <w:rPr>
          <w:color w:val="231F20"/>
          <w:spacing w:val="-13"/>
          <w:w w:val="105"/>
        </w:rPr>
        <w:t> </w:t>
      </w:r>
      <w:r>
        <w:rPr>
          <w:color w:val="231F20"/>
          <w:w w:val="105"/>
        </w:rPr>
        <w:t>analizar</w:t>
      </w:r>
      <w:r>
        <w:rPr>
          <w:color w:val="231F20"/>
          <w:spacing w:val="-13"/>
          <w:w w:val="105"/>
        </w:rPr>
        <w:t> </w:t>
      </w:r>
      <w:r>
        <w:rPr>
          <w:color w:val="231F20"/>
          <w:w w:val="105"/>
        </w:rPr>
        <w:t>las diversas</w:t>
      </w:r>
      <w:r>
        <w:rPr>
          <w:color w:val="231F20"/>
          <w:spacing w:val="-35"/>
          <w:w w:val="105"/>
        </w:rPr>
        <w:t> </w:t>
      </w:r>
      <w:r>
        <w:rPr>
          <w:color w:val="231F20"/>
          <w:w w:val="105"/>
        </w:rPr>
        <w:t>facetas</w:t>
      </w:r>
      <w:r>
        <w:rPr>
          <w:color w:val="231F20"/>
          <w:spacing w:val="-35"/>
          <w:w w:val="105"/>
        </w:rPr>
        <w:t> </w:t>
      </w:r>
      <w:r>
        <w:rPr>
          <w:color w:val="231F20"/>
          <w:w w:val="105"/>
        </w:rPr>
        <w:t>asociadas</w:t>
      </w:r>
      <w:r>
        <w:rPr>
          <w:color w:val="231F20"/>
          <w:spacing w:val="-35"/>
          <w:w w:val="105"/>
        </w:rPr>
        <w:t> </w:t>
      </w:r>
      <w:r>
        <w:rPr>
          <w:color w:val="231F20"/>
          <w:w w:val="105"/>
        </w:rPr>
        <w:t>a</w:t>
      </w:r>
      <w:r>
        <w:rPr>
          <w:color w:val="231F20"/>
          <w:spacing w:val="-35"/>
          <w:w w:val="105"/>
        </w:rPr>
        <w:t> </w:t>
      </w:r>
      <w:r>
        <w:rPr>
          <w:color w:val="231F20"/>
          <w:w w:val="105"/>
        </w:rPr>
        <w:t>la</w:t>
      </w:r>
      <w:r>
        <w:rPr>
          <w:color w:val="231F20"/>
          <w:spacing w:val="-35"/>
          <w:w w:val="105"/>
        </w:rPr>
        <w:t> </w:t>
      </w:r>
      <w:r>
        <w:rPr>
          <w:color w:val="231F20"/>
          <w:w w:val="105"/>
        </w:rPr>
        <w:t>experiencia</w:t>
      </w:r>
      <w:r>
        <w:rPr>
          <w:color w:val="231F20"/>
          <w:spacing w:val="-35"/>
          <w:w w:val="105"/>
        </w:rPr>
        <w:t> </w:t>
      </w:r>
      <w:r>
        <w:rPr>
          <w:color w:val="231F20"/>
          <w:w w:val="105"/>
        </w:rPr>
        <w:t>de</w:t>
      </w:r>
      <w:r>
        <w:rPr>
          <w:color w:val="231F20"/>
          <w:spacing w:val="-35"/>
          <w:w w:val="105"/>
        </w:rPr>
        <w:t> </w:t>
      </w:r>
      <w:r>
        <w:rPr>
          <w:color w:val="231F20"/>
          <w:w w:val="105"/>
        </w:rPr>
        <w:t>regresar</w:t>
      </w:r>
      <w:r>
        <w:rPr>
          <w:color w:val="231F20"/>
          <w:spacing w:val="-35"/>
          <w:w w:val="105"/>
        </w:rPr>
        <w:t> </w:t>
      </w:r>
      <w:r>
        <w:rPr>
          <w:color w:val="231F20"/>
          <w:w w:val="105"/>
        </w:rPr>
        <w:t>a</w:t>
      </w:r>
      <w:r>
        <w:rPr>
          <w:color w:val="231F20"/>
          <w:spacing w:val="-35"/>
          <w:w w:val="105"/>
        </w:rPr>
        <w:t> </w:t>
      </w:r>
      <w:r>
        <w:rPr>
          <w:color w:val="231F20"/>
          <w:w w:val="105"/>
        </w:rPr>
        <w:t>México.</w:t>
      </w:r>
      <w:r>
        <w:rPr>
          <w:color w:val="231F20"/>
          <w:spacing w:val="-38"/>
          <w:w w:val="105"/>
        </w:rPr>
        <w:t> </w:t>
      </w:r>
      <w:r>
        <w:rPr>
          <w:color w:val="231F20"/>
          <w:w w:val="105"/>
        </w:rPr>
        <w:t>De</w:t>
      </w:r>
      <w:r>
        <w:rPr>
          <w:color w:val="231F20"/>
          <w:spacing w:val="-35"/>
          <w:w w:val="105"/>
        </w:rPr>
        <w:t> </w:t>
      </w:r>
      <w:r>
        <w:rPr>
          <w:color w:val="231F20"/>
          <w:w w:val="105"/>
        </w:rPr>
        <w:t>igual manera,</w:t>
      </w:r>
      <w:r>
        <w:rPr>
          <w:color w:val="231F20"/>
          <w:spacing w:val="-21"/>
          <w:w w:val="105"/>
        </w:rPr>
        <w:t> </w:t>
      </w:r>
      <w:r>
        <w:rPr>
          <w:color w:val="231F20"/>
          <w:w w:val="105"/>
        </w:rPr>
        <w:t>se</w:t>
      </w:r>
      <w:r>
        <w:rPr>
          <w:color w:val="231F20"/>
          <w:spacing w:val="-15"/>
          <w:w w:val="105"/>
        </w:rPr>
        <w:t> </w:t>
      </w:r>
      <w:r>
        <w:rPr>
          <w:color w:val="231F20"/>
          <w:w w:val="105"/>
        </w:rPr>
        <w:t>han</w:t>
      </w:r>
      <w:r>
        <w:rPr>
          <w:color w:val="231F20"/>
          <w:spacing w:val="-15"/>
          <w:w w:val="105"/>
        </w:rPr>
        <w:t> </w:t>
      </w:r>
      <w:r>
        <w:rPr>
          <w:color w:val="231F20"/>
          <w:w w:val="105"/>
        </w:rPr>
        <w:t>realizado</w:t>
      </w:r>
      <w:r>
        <w:rPr>
          <w:color w:val="231F20"/>
          <w:spacing w:val="-15"/>
          <w:w w:val="105"/>
        </w:rPr>
        <w:t> </w:t>
      </w:r>
      <w:r>
        <w:rPr>
          <w:color w:val="231F20"/>
          <w:w w:val="105"/>
        </w:rPr>
        <w:t>interpretaciones</w:t>
      </w:r>
      <w:r>
        <w:rPr>
          <w:color w:val="231F20"/>
          <w:spacing w:val="-15"/>
          <w:w w:val="105"/>
        </w:rPr>
        <w:t> </w:t>
      </w:r>
      <w:r>
        <w:rPr>
          <w:color w:val="231F20"/>
          <w:w w:val="105"/>
        </w:rPr>
        <w:t>a</w:t>
      </w:r>
      <w:r>
        <w:rPr>
          <w:color w:val="231F20"/>
          <w:spacing w:val="-15"/>
          <w:w w:val="105"/>
        </w:rPr>
        <w:t> </w:t>
      </w:r>
      <w:r>
        <w:rPr>
          <w:color w:val="231F20"/>
          <w:w w:val="105"/>
        </w:rPr>
        <w:t>partir</w:t>
      </w:r>
      <w:r>
        <w:rPr>
          <w:color w:val="231F20"/>
          <w:spacing w:val="-15"/>
          <w:w w:val="105"/>
        </w:rPr>
        <w:t> </w:t>
      </w:r>
      <w:r>
        <w:rPr>
          <w:color w:val="231F20"/>
          <w:w w:val="105"/>
        </w:rPr>
        <w:t>de</w:t>
      </w:r>
      <w:r>
        <w:rPr>
          <w:color w:val="231F20"/>
          <w:spacing w:val="-15"/>
          <w:w w:val="105"/>
        </w:rPr>
        <w:t> </w:t>
      </w:r>
      <w:r>
        <w:rPr>
          <w:color w:val="231F20"/>
          <w:w w:val="105"/>
        </w:rPr>
        <w:t>casos</w:t>
      </w:r>
      <w:r>
        <w:rPr>
          <w:color w:val="231F20"/>
          <w:spacing w:val="-15"/>
          <w:w w:val="105"/>
        </w:rPr>
        <w:t> </w:t>
      </w:r>
      <w:r>
        <w:rPr>
          <w:color w:val="231F20"/>
          <w:w w:val="105"/>
        </w:rPr>
        <w:t>tipológicos</w:t>
      </w:r>
      <w:r>
        <w:rPr>
          <w:color w:val="231F20"/>
          <w:spacing w:val="-15"/>
          <w:w w:val="105"/>
        </w:rPr>
        <w:t> </w:t>
      </w:r>
      <w:r>
        <w:rPr>
          <w:color w:val="231F20"/>
          <w:w w:val="105"/>
        </w:rPr>
        <w:t>y del análisis de trayectorias de reinserción tanto laboral como social en Nezahualcóyotl</w:t>
      </w:r>
      <w:r>
        <w:rPr>
          <w:color w:val="231F20"/>
          <w:spacing w:val="-38"/>
          <w:w w:val="105"/>
        </w:rPr>
        <w:t> </w:t>
      </w:r>
      <w:r>
        <w:rPr>
          <w:color w:val="231F20"/>
          <w:w w:val="105"/>
        </w:rPr>
        <w:t>(cf.</w:t>
      </w:r>
      <w:r>
        <w:rPr>
          <w:color w:val="231F20"/>
          <w:spacing w:val="-40"/>
          <w:w w:val="105"/>
        </w:rPr>
        <w:t> </w:t>
      </w:r>
      <w:r>
        <w:rPr>
          <w:color w:val="231F20"/>
          <w:w w:val="105"/>
        </w:rPr>
        <w:t>Rivera,</w:t>
      </w:r>
      <w:r>
        <w:rPr>
          <w:color w:val="231F20"/>
          <w:spacing w:val="-40"/>
          <w:w w:val="105"/>
        </w:rPr>
        <w:t> </w:t>
      </w:r>
      <w:r>
        <w:rPr>
          <w:color w:val="231F20"/>
          <w:w w:val="105"/>
        </w:rPr>
        <w:t>2014</w:t>
      </w:r>
      <w:r>
        <w:rPr>
          <w:color w:val="231F20"/>
          <w:spacing w:val="-38"/>
          <w:w w:val="105"/>
        </w:rPr>
        <w:t> </w:t>
      </w:r>
      <w:r>
        <w:rPr>
          <w:color w:val="231F20"/>
          <w:w w:val="105"/>
        </w:rPr>
        <w:t>y</w:t>
      </w:r>
      <w:r>
        <w:rPr>
          <w:color w:val="231F20"/>
          <w:spacing w:val="-38"/>
          <w:w w:val="105"/>
        </w:rPr>
        <w:t> </w:t>
      </w:r>
      <w:r>
        <w:rPr>
          <w:color w:val="231F20"/>
          <w:w w:val="105"/>
        </w:rPr>
        <w:t>2015).</w:t>
      </w:r>
    </w:p>
    <w:p>
      <w:pPr>
        <w:pStyle w:val="BodyText"/>
        <w:spacing w:line="261" w:lineRule="auto" w:before="1"/>
        <w:ind w:left="1837" w:right="1721" w:firstLine="567"/>
        <w:jc w:val="both"/>
      </w:pP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capítulo</w:t>
      </w:r>
      <w:r>
        <w:rPr>
          <w:color w:val="231F20"/>
          <w:spacing w:val="-12"/>
          <w:w w:val="105"/>
        </w:rPr>
        <w:t> </w:t>
      </w:r>
      <w:r>
        <w:rPr>
          <w:color w:val="231F20"/>
          <w:w w:val="105"/>
        </w:rPr>
        <w:t>se</w:t>
      </w:r>
      <w:r>
        <w:rPr>
          <w:color w:val="231F20"/>
          <w:spacing w:val="-12"/>
          <w:w w:val="105"/>
        </w:rPr>
        <w:t> </w:t>
      </w:r>
      <w:r>
        <w:rPr>
          <w:color w:val="231F20"/>
          <w:w w:val="105"/>
        </w:rPr>
        <w:t>ha</w:t>
      </w:r>
      <w:r>
        <w:rPr>
          <w:color w:val="231F20"/>
          <w:spacing w:val="-12"/>
          <w:w w:val="105"/>
        </w:rPr>
        <w:t> </w:t>
      </w:r>
      <w:r>
        <w:rPr>
          <w:color w:val="231F20"/>
          <w:w w:val="105"/>
        </w:rPr>
        <w:t>optado</w:t>
      </w:r>
      <w:r>
        <w:rPr>
          <w:color w:val="231F20"/>
          <w:spacing w:val="-12"/>
          <w:w w:val="105"/>
        </w:rPr>
        <w:t> </w:t>
      </w:r>
      <w:r>
        <w:rPr>
          <w:color w:val="231F20"/>
          <w:w w:val="105"/>
        </w:rPr>
        <w:t>por</w:t>
      </w:r>
      <w:r>
        <w:rPr>
          <w:color w:val="231F20"/>
          <w:spacing w:val="-12"/>
          <w:w w:val="105"/>
        </w:rPr>
        <w:t> </w:t>
      </w:r>
      <w:r>
        <w:rPr>
          <w:color w:val="231F20"/>
          <w:w w:val="105"/>
        </w:rPr>
        <w:t>realizar</w:t>
      </w:r>
      <w:r>
        <w:rPr>
          <w:color w:val="231F20"/>
          <w:spacing w:val="-12"/>
          <w:w w:val="105"/>
        </w:rPr>
        <w:t> </w:t>
      </w:r>
      <w:r>
        <w:rPr>
          <w:color w:val="231F20"/>
          <w:w w:val="105"/>
        </w:rPr>
        <w:t>un</w:t>
      </w:r>
      <w:r>
        <w:rPr>
          <w:color w:val="231F20"/>
          <w:spacing w:val="-12"/>
          <w:w w:val="105"/>
        </w:rPr>
        <w:t> </w:t>
      </w:r>
      <w:r>
        <w:rPr>
          <w:color w:val="231F20"/>
          <w:w w:val="105"/>
        </w:rPr>
        <w:t>análisis</w:t>
      </w:r>
      <w:r>
        <w:rPr>
          <w:color w:val="231F20"/>
          <w:spacing w:val="-12"/>
          <w:w w:val="105"/>
        </w:rPr>
        <w:t> </w:t>
      </w:r>
      <w:r>
        <w:rPr>
          <w:color w:val="231F20"/>
          <w:w w:val="105"/>
        </w:rPr>
        <w:t>para</w:t>
      </w:r>
      <w:r>
        <w:rPr>
          <w:color w:val="231F20"/>
          <w:spacing w:val="-12"/>
          <w:w w:val="105"/>
        </w:rPr>
        <w:t> </w:t>
      </w:r>
      <w:r>
        <w:rPr>
          <w:color w:val="231F20"/>
          <w:w w:val="105"/>
        </w:rPr>
        <w:t>la</w:t>
      </w:r>
      <w:r>
        <w:rPr>
          <w:color w:val="231F20"/>
          <w:spacing w:val="-12"/>
          <w:w w:val="105"/>
        </w:rPr>
        <w:t> </w:t>
      </w:r>
      <w:r>
        <w:rPr>
          <w:color w:val="231F20"/>
          <w:w w:val="105"/>
        </w:rPr>
        <w:t>cons- trucción de viñetas, a partir de una estrategia descriptiva basada en la construcción de relatos biográficos cortos. El objetivo es hacer un se- guimiento sistemático de la relación entre espacio y experiencia,</w:t>
      </w:r>
      <w:r>
        <w:rPr>
          <w:color w:val="231F20"/>
          <w:spacing w:val="-37"/>
          <w:w w:val="105"/>
        </w:rPr>
        <w:t> </w:t>
      </w:r>
      <w:r>
        <w:rPr>
          <w:color w:val="231F20"/>
          <w:w w:val="105"/>
        </w:rPr>
        <w:t>desde la localidad de retorno y reinserción, en este caso el municipio de Ne- zahualcóyotl,</w:t>
      </w:r>
      <w:r>
        <w:rPr>
          <w:color w:val="231F20"/>
          <w:spacing w:val="-35"/>
          <w:w w:val="105"/>
        </w:rPr>
        <w:t> </w:t>
      </w:r>
      <w:r>
        <w:rPr>
          <w:color w:val="231F20"/>
          <w:w w:val="105"/>
        </w:rPr>
        <w:t>ordenado</w:t>
      </w:r>
      <w:r>
        <w:rPr>
          <w:color w:val="231F20"/>
          <w:spacing w:val="-32"/>
          <w:w w:val="105"/>
        </w:rPr>
        <w:t> </w:t>
      </w:r>
      <w:r>
        <w:rPr>
          <w:color w:val="231F20"/>
          <w:w w:val="105"/>
        </w:rPr>
        <w:t>descriptivamente,</w:t>
      </w:r>
      <w:r>
        <w:rPr>
          <w:color w:val="231F20"/>
          <w:spacing w:val="-35"/>
          <w:w w:val="105"/>
        </w:rPr>
        <w:t> </w:t>
      </w:r>
      <w:r>
        <w:rPr>
          <w:color w:val="231F20"/>
          <w:w w:val="105"/>
        </w:rPr>
        <w:t>para</w:t>
      </w:r>
      <w:r>
        <w:rPr>
          <w:color w:val="231F20"/>
          <w:spacing w:val="-32"/>
          <w:w w:val="105"/>
        </w:rPr>
        <w:t> </w:t>
      </w:r>
      <w:r>
        <w:rPr>
          <w:color w:val="231F20"/>
          <w:w w:val="105"/>
        </w:rPr>
        <w:t>analizar</w:t>
      </w:r>
      <w:r>
        <w:rPr>
          <w:color w:val="231F20"/>
          <w:spacing w:val="-32"/>
          <w:w w:val="105"/>
        </w:rPr>
        <w:t> </w:t>
      </w:r>
      <w:r>
        <w:rPr>
          <w:color w:val="231F20"/>
          <w:w w:val="105"/>
        </w:rPr>
        <w:t>las</w:t>
      </w:r>
      <w:r>
        <w:rPr>
          <w:color w:val="231F20"/>
          <w:spacing w:val="-32"/>
          <w:w w:val="105"/>
        </w:rPr>
        <w:t> </w:t>
      </w:r>
      <w:r>
        <w:rPr>
          <w:color w:val="231F20"/>
          <w:w w:val="105"/>
        </w:rPr>
        <w:t>movilidades</w:t>
      </w:r>
      <w:r>
        <w:rPr>
          <w:color w:val="231F20"/>
          <w:spacing w:val="-32"/>
          <w:w w:val="105"/>
        </w:rPr>
        <w:t> </w:t>
      </w:r>
      <w:r>
        <w:rPr>
          <w:color w:val="231F20"/>
          <w:w w:val="105"/>
        </w:rPr>
        <w:t>y los</w:t>
      </w:r>
      <w:r>
        <w:rPr>
          <w:color w:val="231F20"/>
          <w:spacing w:val="-9"/>
          <w:w w:val="105"/>
        </w:rPr>
        <w:t> </w:t>
      </w:r>
      <w:r>
        <w:rPr>
          <w:color w:val="231F20"/>
          <w:w w:val="105"/>
        </w:rPr>
        <w:t>desplazamientos</w:t>
      </w:r>
      <w:r>
        <w:rPr>
          <w:color w:val="231F20"/>
          <w:spacing w:val="-9"/>
          <w:w w:val="105"/>
        </w:rPr>
        <w:t> </w:t>
      </w:r>
      <w:r>
        <w:rPr>
          <w:color w:val="231F20"/>
          <w:w w:val="105"/>
        </w:rPr>
        <w:t>múltiples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sujetos</w:t>
      </w:r>
      <w:r>
        <w:rPr>
          <w:color w:val="231F20"/>
          <w:spacing w:val="-9"/>
          <w:w w:val="105"/>
        </w:rPr>
        <w:t> </w:t>
      </w:r>
      <w:r>
        <w:rPr>
          <w:color w:val="231F20"/>
          <w:w w:val="105"/>
        </w:rPr>
        <w:t>con</w:t>
      </w:r>
      <w:r>
        <w:rPr>
          <w:color w:val="231F20"/>
          <w:spacing w:val="-9"/>
          <w:w w:val="105"/>
        </w:rPr>
        <w:t> </w:t>
      </w:r>
      <w:r>
        <w:rPr>
          <w:color w:val="231F20"/>
          <w:w w:val="105"/>
        </w:rPr>
        <w:t>experiencia</w:t>
      </w:r>
      <w:r>
        <w:rPr>
          <w:color w:val="231F20"/>
          <w:spacing w:val="-9"/>
          <w:w w:val="105"/>
        </w:rPr>
        <w:t> </w:t>
      </w:r>
      <w:r>
        <w:rPr>
          <w:color w:val="231F20"/>
          <w:w w:val="105"/>
        </w:rPr>
        <w:t>migratoria en</w:t>
      </w:r>
      <w:r>
        <w:rPr>
          <w:color w:val="231F20"/>
          <w:spacing w:val="-39"/>
          <w:w w:val="105"/>
        </w:rPr>
        <w:t> </w:t>
      </w:r>
      <w:r>
        <w:rPr>
          <w:color w:val="231F20"/>
          <w:w w:val="105"/>
        </w:rPr>
        <w:t>Estados</w:t>
      </w:r>
      <w:r>
        <w:rPr>
          <w:color w:val="231F20"/>
          <w:spacing w:val="-39"/>
          <w:w w:val="105"/>
        </w:rPr>
        <w:t> </w:t>
      </w:r>
      <w:r>
        <w:rPr>
          <w:color w:val="231F20"/>
          <w:w w:val="105"/>
        </w:rPr>
        <w:t>Unidos.</w:t>
      </w:r>
    </w:p>
    <w:p>
      <w:pPr>
        <w:pStyle w:val="BodyText"/>
        <w:spacing w:line="261" w:lineRule="auto" w:before="1"/>
        <w:ind w:left="1837" w:right="1714" w:firstLine="567"/>
        <w:jc w:val="both"/>
      </w:pPr>
      <w:r>
        <w:rPr>
          <w:color w:val="231F20"/>
        </w:rPr>
        <w:t>Se adopta entonces una estrategia metodológica basada en méto- dos narrativos, inscrita en la tradición de la sociología descriptiva, la cual enfatiza la relacionalidad de los procesos, las prácticas y las experiencias, mediante el rastreo de espacialidades, flujos y contingencia a partir del desarrollo de entrevistas y trabajo etnográfico (cf. Latour, 2008; Amin, 2002). La finalidad es desentrañar los mecanismos y los engranajes de    lo social, a través de la observación, la identificación de procesos y even- tos para, finalmente, poder describir relaciones potenciales (Emirbayer, 1997;  Abbott, 1995b;  Thompson,</w:t>
      </w:r>
      <w:r>
        <w:rPr>
          <w:color w:val="231F20"/>
          <w:spacing w:val="22"/>
        </w:rPr>
        <w:t> </w:t>
      </w:r>
      <w:r>
        <w:rPr>
          <w:color w:val="231F20"/>
        </w:rPr>
        <w:t>1966).</w:t>
      </w:r>
    </w:p>
    <w:p>
      <w:pPr>
        <w:pStyle w:val="BodyText"/>
        <w:spacing w:line="261" w:lineRule="auto" w:before="1"/>
        <w:ind w:left="1837" w:right="1715" w:firstLine="567"/>
        <w:jc w:val="both"/>
      </w:pPr>
      <w:r>
        <w:rPr/>
        <w:pict>
          <v:line style="position:absolute;mso-position-horizontal-relative:page;mso-position-vertical-relative:paragraph;z-index:-477736" from="15pt,237.534988pt" to="0pt,237.534988pt" stroked="true" strokeweight=".25pt" strokecolor="#000000">
            <w10:wrap type="none"/>
          </v:line>
        </w:pict>
      </w:r>
      <w:r>
        <w:rPr/>
        <w:pict>
          <v:line style="position:absolute;mso-position-horizontal-relative:page;mso-position-vertical-relative:paragraph;z-index:12472" from="508.890015pt,237.534988pt" to="523.890015pt,237.534988pt" stroked="true" strokeweight=".25pt" strokecolor="#000000">
            <w10:wrap type="none"/>
          </v:line>
        </w:pict>
      </w:r>
      <w:r>
        <w:rPr>
          <w:color w:val="231F20"/>
          <w:w w:val="105"/>
        </w:rPr>
        <w:t>Así,</w:t>
      </w:r>
      <w:r>
        <w:rPr>
          <w:color w:val="231F20"/>
          <w:spacing w:val="-21"/>
          <w:w w:val="105"/>
        </w:rPr>
        <w:t> </w:t>
      </w:r>
      <w:r>
        <w:rPr>
          <w:color w:val="231F20"/>
          <w:w w:val="105"/>
        </w:rPr>
        <w:t>a</w:t>
      </w:r>
      <w:r>
        <w:rPr>
          <w:color w:val="231F20"/>
          <w:spacing w:val="-17"/>
          <w:w w:val="105"/>
        </w:rPr>
        <w:t> </w:t>
      </w:r>
      <w:r>
        <w:rPr>
          <w:color w:val="231F20"/>
          <w:w w:val="105"/>
        </w:rPr>
        <w:t>través</w:t>
      </w:r>
      <w:r>
        <w:rPr>
          <w:color w:val="231F20"/>
          <w:spacing w:val="-17"/>
          <w:w w:val="105"/>
        </w:rPr>
        <w:t> </w:t>
      </w:r>
      <w:r>
        <w:rPr>
          <w:color w:val="231F20"/>
          <w:w w:val="105"/>
        </w:rPr>
        <w:t>de</w:t>
      </w:r>
      <w:r>
        <w:rPr>
          <w:color w:val="231F20"/>
          <w:spacing w:val="-17"/>
          <w:w w:val="105"/>
        </w:rPr>
        <w:t> </w:t>
      </w:r>
      <w:r>
        <w:rPr>
          <w:color w:val="231F20"/>
          <w:w w:val="105"/>
        </w:rPr>
        <w:t>ensamblajes</w:t>
      </w:r>
      <w:r>
        <w:rPr>
          <w:color w:val="231F20"/>
          <w:spacing w:val="-17"/>
          <w:w w:val="105"/>
        </w:rPr>
        <w:t> </w:t>
      </w:r>
      <w:r>
        <w:rPr>
          <w:color w:val="231F20"/>
          <w:w w:val="105"/>
        </w:rPr>
        <w:t>descriptivos</w:t>
      </w:r>
      <w:r>
        <w:rPr>
          <w:color w:val="231F20"/>
          <w:spacing w:val="-17"/>
          <w:w w:val="105"/>
        </w:rPr>
        <w:t> </w:t>
      </w:r>
      <w:r>
        <w:rPr>
          <w:color w:val="231F20"/>
          <w:w w:val="105"/>
        </w:rPr>
        <w:t>de</w:t>
      </w:r>
      <w:r>
        <w:rPr>
          <w:color w:val="231F20"/>
          <w:spacing w:val="-17"/>
          <w:w w:val="105"/>
        </w:rPr>
        <w:t> </w:t>
      </w:r>
      <w:r>
        <w:rPr>
          <w:color w:val="231F20"/>
          <w:w w:val="105"/>
        </w:rPr>
        <w:t>relaciones,</w:t>
      </w:r>
      <w:r>
        <w:rPr>
          <w:color w:val="231F20"/>
          <w:spacing w:val="-21"/>
          <w:w w:val="105"/>
        </w:rPr>
        <w:t> </w:t>
      </w:r>
      <w:r>
        <w:rPr>
          <w:color w:val="231F20"/>
          <w:w w:val="105"/>
        </w:rPr>
        <w:t>los</w:t>
      </w:r>
      <w:r>
        <w:rPr>
          <w:color w:val="231F20"/>
          <w:spacing w:val="-17"/>
          <w:w w:val="105"/>
        </w:rPr>
        <w:t> </w:t>
      </w:r>
      <w:r>
        <w:rPr>
          <w:color w:val="231F20"/>
          <w:w w:val="105"/>
        </w:rPr>
        <w:t>cuales dan cuenta de espacios sociales complejos, se identifican tipos</w:t>
      </w:r>
      <w:r>
        <w:rPr>
          <w:color w:val="231F20"/>
          <w:spacing w:val="-24"/>
          <w:w w:val="105"/>
        </w:rPr>
        <w:t> </w:t>
      </w:r>
      <w:r>
        <w:rPr>
          <w:color w:val="231F20"/>
          <w:w w:val="105"/>
        </w:rPr>
        <w:t>especí- ficos de arreglos e interconexiones entre lugares, procesos y</w:t>
      </w:r>
      <w:r>
        <w:rPr>
          <w:color w:val="231F20"/>
          <w:spacing w:val="-39"/>
          <w:w w:val="105"/>
        </w:rPr>
        <w:t> </w:t>
      </w:r>
      <w:r>
        <w:rPr>
          <w:color w:val="231F20"/>
          <w:w w:val="105"/>
        </w:rPr>
        <w:t>personas, con</w:t>
      </w:r>
      <w:r>
        <w:rPr>
          <w:color w:val="231F20"/>
          <w:spacing w:val="-11"/>
          <w:w w:val="105"/>
        </w:rPr>
        <w:t> </w:t>
      </w:r>
      <w:r>
        <w:rPr>
          <w:color w:val="231F20"/>
          <w:w w:val="105"/>
        </w:rPr>
        <w:t>el</w:t>
      </w:r>
      <w:r>
        <w:rPr>
          <w:color w:val="231F20"/>
          <w:spacing w:val="-11"/>
          <w:w w:val="105"/>
        </w:rPr>
        <w:t> </w:t>
      </w:r>
      <w:r>
        <w:rPr>
          <w:color w:val="231F20"/>
          <w:w w:val="105"/>
        </w:rPr>
        <w:t>objetivo</w:t>
      </w:r>
      <w:r>
        <w:rPr>
          <w:color w:val="231F20"/>
          <w:spacing w:val="-11"/>
          <w:w w:val="105"/>
        </w:rPr>
        <w:t> </w:t>
      </w:r>
      <w:r>
        <w:rPr>
          <w:color w:val="231F20"/>
          <w:w w:val="105"/>
        </w:rPr>
        <w:t>de</w:t>
      </w:r>
      <w:r>
        <w:rPr>
          <w:color w:val="231F20"/>
          <w:spacing w:val="-11"/>
          <w:w w:val="105"/>
        </w:rPr>
        <w:t> </w:t>
      </w:r>
      <w:r>
        <w:rPr>
          <w:color w:val="231F20"/>
          <w:w w:val="105"/>
        </w:rPr>
        <w:t>comprender</w:t>
      </w:r>
      <w:r>
        <w:rPr>
          <w:color w:val="231F20"/>
          <w:spacing w:val="-11"/>
          <w:w w:val="105"/>
        </w:rPr>
        <w:t> </w:t>
      </w:r>
      <w:r>
        <w:rPr>
          <w:color w:val="231F20"/>
          <w:w w:val="105"/>
        </w:rPr>
        <w:t>desde</w:t>
      </w:r>
      <w:r>
        <w:rPr>
          <w:color w:val="231F20"/>
          <w:spacing w:val="-11"/>
          <w:w w:val="105"/>
        </w:rPr>
        <w:t> </w:t>
      </w:r>
      <w:r>
        <w:rPr>
          <w:color w:val="231F20"/>
          <w:w w:val="105"/>
        </w:rPr>
        <w:t>allí</w:t>
      </w:r>
      <w:r>
        <w:rPr>
          <w:color w:val="231F20"/>
          <w:spacing w:val="-11"/>
          <w:w w:val="105"/>
        </w:rPr>
        <w:t> </w:t>
      </w:r>
      <w:r>
        <w:rPr>
          <w:color w:val="231F20"/>
          <w:w w:val="105"/>
        </w:rPr>
        <w:t>las</w:t>
      </w:r>
      <w:r>
        <w:rPr>
          <w:color w:val="231F20"/>
          <w:spacing w:val="-11"/>
          <w:w w:val="105"/>
        </w:rPr>
        <w:t> </w:t>
      </w:r>
      <w:r>
        <w:rPr>
          <w:color w:val="231F20"/>
          <w:w w:val="105"/>
        </w:rPr>
        <w:t>prácticas</w:t>
      </w:r>
      <w:r>
        <w:rPr>
          <w:color w:val="231F20"/>
          <w:spacing w:val="-11"/>
          <w:w w:val="105"/>
        </w:rPr>
        <w:t> </w:t>
      </w:r>
      <w:r>
        <w:rPr>
          <w:color w:val="231F20"/>
          <w:w w:val="105"/>
        </w:rPr>
        <w:t>de</w:t>
      </w:r>
      <w:r>
        <w:rPr>
          <w:color w:val="231F20"/>
          <w:spacing w:val="-11"/>
          <w:w w:val="105"/>
        </w:rPr>
        <w:t> </w:t>
      </w:r>
      <w:r>
        <w:rPr>
          <w:color w:val="231F20"/>
          <w:w w:val="105"/>
        </w:rPr>
        <w:t>involucramien- to</w:t>
      </w:r>
      <w:r>
        <w:rPr>
          <w:color w:val="231F20"/>
          <w:spacing w:val="-6"/>
          <w:w w:val="105"/>
        </w:rPr>
        <w:t> </w:t>
      </w:r>
      <w:r>
        <w:rPr>
          <w:color w:val="231F20"/>
          <w:w w:val="105"/>
        </w:rPr>
        <w:t>y</w:t>
      </w:r>
      <w:r>
        <w:rPr>
          <w:color w:val="231F20"/>
          <w:spacing w:val="-6"/>
          <w:w w:val="105"/>
        </w:rPr>
        <w:t> </w:t>
      </w:r>
      <w:r>
        <w:rPr>
          <w:color w:val="231F20"/>
          <w:w w:val="105"/>
        </w:rPr>
        <w:t>vinculación</w:t>
      </w:r>
      <w:r>
        <w:rPr>
          <w:color w:val="231F20"/>
          <w:spacing w:val="-6"/>
          <w:w w:val="105"/>
        </w:rPr>
        <w:t> </w:t>
      </w:r>
      <w:r>
        <w:rPr>
          <w:color w:val="231F20"/>
          <w:w w:val="105"/>
        </w:rPr>
        <w:t>social</w:t>
      </w:r>
      <w:r>
        <w:rPr>
          <w:color w:val="231F20"/>
          <w:spacing w:val="-6"/>
          <w:w w:val="105"/>
        </w:rPr>
        <w:t> </w:t>
      </w:r>
      <w:r>
        <w:rPr>
          <w:color w:val="231F20"/>
          <w:w w:val="105"/>
        </w:rPr>
        <w:t>(cf.</w:t>
      </w:r>
      <w:r>
        <w:rPr>
          <w:color w:val="231F20"/>
          <w:spacing w:val="-11"/>
          <w:w w:val="105"/>
        </w:rPr>
        <w:t> </w:t>
      </w:r>
      <w:r>
        <w:rPr>
          <w:color w:val="231F20"/>
          <w:w w:val="105"/>
        </w:rPr>
        <w:t>Savage,</w:t>
      </w:r>
      <w:r>
        <w:rPr>
          <w:color w:val="231F20"/>
          <w:spacing w:val="-11"/>
          <w:w w:val="105"/>
        </w:rPr>
        <w:t> </w:t>
      </w:r>
      <w:r>
        <w:rPr>
          <w:color w:val="231F20"/>
          <w:w w:val="105"/>
        </w:rPr>
        <w:t>2009;</w:t>
      </w:r>
      <w:r>
        <w:rPr>
          <w:color w:val="231F20"/>
          <w:spacing w:val="-6"/>
          <w:w w:val="105"/>
        </w:rPr>
        <w:t> </w:t>
      </w:r>
      <w:r>
        <w:rPr>
          <w:color w:val="231F20"/>
          <w:w w:val="105"/>
        </w:rPr>
        <w:t>Mather,</w:t>
      </w:r>
      <w:r>
        <w:rPr>
          <w:color w:val="231F20"/>
          <w:spacing w:val="-11"/>
          <w:w w:val="105"/>
        </w:rPr>
        <w:t> </w:t>
      </w:r>
      <w:r>
        <w:rPr>
          <w:color w:val="231F20"/>
          <w:w w:val="105"/>
        </w:rPr>
        <w:t>2011).</w:t>
      </w:r>
      <w:r>
        <w:rPr>
          <w:color w:val="231F20"/>
          <w:spacing w:val="-11"/>
          <w:w w:val="105"/>
        </w:rPr>
        <w:t> </w:t>
      </w:r>
      <w:r>
        <w:rPr>
          <w:color w:val="231F20"/>
          <w:w w:val="105"/>
        </w:rPr>
        <w:t>Esta</w:t>
      </w:r>
      <w:r>
        <w:rPr>
          <w:color w:val="231F20"/>
          <w:spacing w:val="-6"/>
          <w:w w:val="105"/>
        </w:rPr>
        <w:t> </w:t>
      </w:r>
      <w:r>
        <w:rPr>
          <w:color w:val="231F20"/>
          <w:w w:val="105"/>
        </w:rPr>
        <w:t>estrategia ofrece</w:t>
      </w:r>
      <w:r>
        <w:rPr>
          <w:color w:val="231F20"/>
          <w:spacing w:val="-13"/>
          <w:w w:val="105"/>
        </w:rPr>
        <w:t> </w:t>
      </w:r>
      <w:r>
        <w:rPr>
          <w:color w:val="231F20"/>
          <w:w w:val="105"/>
        </w:rPr>
        <w:t>una</w:t>
      </w:r>
      <w:r>
        <w:rPr>
          <w:color w:val="231F20"/>
          <w:spacing w:val="-13"/>
          <w:w w:val="105"/>
        </w:rPr>
        <w:t> </w:t>
      </w:r>
      <w:r>
        <w:rPr>
          <w:color w:val="231F20"/>
          <w:w w:val="105"/>
        </w:rPr>
        <w:t>descripción,</w:t>
      </w:r>
      <w:r>
        <w:rPr>
          <w:color w:val="231F20"/>
          <w:spacing w:val="-20"/>
          <w:w w:val="105"/>
        </w:rPr>
        <w:t> </w:t>
      </w:r>
      <w:r>
        <w:rPr>
          <w:color w:val="231F20"/>
          <w:w w:val="105"/>
        </w:rPr>
        <w:t>ordenada</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coordenadas</w:t>
      </w:r>
      <w:r>
        <w:rPr>
          <w:color w:val="231F20"/>
          <w:spacing w:val="-13"/>
          <w:w w:val="105"/>
        </w:rPr>
        <w:t> </w:t>
      </w:r>
      <w:r>
        <w:rPr>
          <w:color w:val="231F20"/>
          <w:w w:val="105"/>
        </w:rPr>
        <w:t>de</w:t>
      </w:r>
      <w:r>
        <w:rPr>
          <w:color w:val="231F20"/>
          <w:spacing w:val="-13"/>
          <w:w w:val="105"/>
        </w:rPr>
        <w:t> </w:t>
      </w:r>
      <w:r>
        <w:rPr>
          <w:color w:val="231F20"/>
          <w:w w:val="105"/>
        </w:rPr>
        <w:t>tiempo</w:t>
      </w:r>
      <w:r>
        <w:rPr>
          <w:color w:val="231F20"/>
          <w:spacing w:val="-13"/>
          <w:w w:val="105"/>
        </w:rPr>
        <w:t> </w:t>
      </w:r>
      <w:r>
        <w:rPr>
          <w:color w:val="231F20"/>
          <w:w w:val="105"/>
        </w:rPr>
        <w:t>y</w:t>
      </w:r>
      <w:r>
        <w:rPr>
          <w:color w:val="231F20"/>
          <w:spacing w:val="-13"/>
          <w:w w:val="105"/>
        </w:rPr>
        <w:t> </w:t>
      </w:r>
      <w:r>
        <w:rPr>
          <w:color w:val="231F20"/>
          <w:w w:val="105"/>
        </w:rPr>
        <w:t>espa- cio,</w:t>
      </w:r>
      <w:r>
        <w:rPr>
          <w:color w:val="231F20"/>
          <w:spacing w:val="-16"/>
          <w:w w:val="105"/>
        </w:rPr>
        <w:t> </w:t>
      </w:r>
      <w:r>
        <w:rPr>
          <w:color w:val="231F20"/>
          <w:w w:val="105"/>
        </w:rPr>
        <w:t>acerca</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prácticas</w:t>
      </w:r>
      <w:r>
        <w:rPr>
          <w:color w:val="231F20"/>
          <w:spacing w:val="-11"/>
          <w:w w:val="105"/>
        </w:rPr>
        <w:t> </w:t>
      </w:r>
      <w:r>
        <w:rPr>
          <w:color w:val="231F20"/>
          <w:w w:val="105"/>
        </w:rPr>
        <w:t>desplegadas</w:t>
      </w:r>
      <w:r>
        <w:rPr>
          <w:color w:val="231F20"/>
          <w:spacing w:val="-11"/>
          <w:w w:val="105"/>
        </w:rPr>
        <w:t> </w:t>
      </w:r>
      <w:r>
        <w:rPr>
          <w:color w:val="231F20"/>
          <w:w w:val="105"/>
        </w:rPr>
        <w:t>por</w:t>
      </w:r>
      <w:r>
        <w:rPr>
          <w:color w:val="231F20"/>
          <w:spacing w:val="-11"/>
          <w:w w:val="105"/>
        </w:rPr>
        <w:t> </w:t>
      </w:r>
      <w:r>
        <w:rPr>
          <w:color w:val="231F20"/>
          <w:w w:val="105"/>
        </w:rPr>
        <w:t>los</w:t>
      </w:r>
      <w:r>
        <w:rPr>
          <w:color w:val="231F20"/>
          <w:spacing w:val="-11"/>
          <w:w w:val="105"/>
        </w:rPr>
        <w:t> </w:t>
      </w:r>
      <w:r>
        <w:rPr>
          <w:color w:val="231F20"/>
          <w:w w:val="105"/>
        </w:rPr>
        <w:t>retornados,</w:t>
      </w:r>
      <w:r>
        <w:rPr>
          <w:color w:val="231F20"/>
          <w:spacing w:val="-16"/>
          <w:w w:val="105"/>
        </w:rPr>
        <w:t> </w:t>
      </w:r>
      <w:r>
        <w:rPr>
          <w:color w:val="231F20"/>
          <w:w w:val="105"/>
        </w:rPr>
        <w:t>pero</w:t>
      </w:r>
      <w:r>
        <w:rPr>
          <w:color w:val="231F20"/>
          <w:spacing w:val="-11"/>
          <w:w w:val="105"/>
        </w:rPr>
        <w:t> </w:t>
      </w:r>
      <w:r>
        <w:rPr>
          <w:color w:val="231F20"/>
          <w:w w:val="105"/>
        </w:rPr>
        <w:t>no</w:t>
      </w:r>
      <w:r>
        <w:rPr>
          <w:color w:val="231F20"/>
          <w:spacing w:val="-11"/>
          <w:w w:val="105"/>
        </w:rPr>
        <w:t> </w:t>
      </w:r>
      <w:r>
        <w:rPr>
          <w:color w:val="231F20"/>
          <w:w w:val="105"/>
        </w:rPr>
        <w:t>ob- servadas</w:t>
      </w:r>
      <w:r>
        <w:rPr>
          <w:color w:val="231F20"/>
          <w:spacing w:val="-9"/>
          <w:w w:val="105"/>
        </w:rPr>
        <w:t> </w:t>
      </w:r>
      <w:r>
        <w:rPr>
          <w:color w:val="231F20"/>
          <w:w w:val="105"/>
        </w:rPr>
        <w:t>ni</w:t>
      </w:r>
      <w:r>
        <w:rPr>
          <w:color w:val="231F20"/>
          <w:spacing w:val="-9"/>
          <w:w w:val="105"/>
        </w:rPr>
        <w:t> </w:t>
      </w:r>
      <w:r>
        <w:rPr>
          <w:color w:val="231F20"/>
          <w:w w:val="105"/>
        </w:rPr>
        <w:t>interpretadas</w:t>
      </w:r>
      <w:r>
        <w:rPr>
          <w:color w:val="231F20"/>
          <w:spacing w:val="-9"/>
          <w:w w:val="105"/>
        </w:rPr>
        <w:t> </w:t>
      </w:r>
      <w:r>
        <w:rPr>
          <w:color w:val="231F20"/>
          <w:w w:val="105"/>
        </w:rPr>
        <w:t>sólo</w:t>
      </w:r>
      <w:r>
        <w:rPr>
          <w:color w:val="231F20"/>
          <w:spacing w:val="-9"/>
          <w:w w:val="105"/>
        </w:rPr>
        <w:t> </w:t>
      </w:r>
      <w:r>
        <w:rPr>
          <w:color w:val="231F20"/>
          <w:w w:val="105"/>
        </w:rPr>
        <w:t>como</w:t>
      </w:r>
      <w:r>
        <w:rPr>
          <w:color w:val="231F20"/>
          <w:spacing w:val="-9"/>
          <w:w w:val="105"/>
        </w:rPr>
        <w:t> </w:t>
      </w:r>
      <w:r>
        <w:rPr>
          <w:color w:val="231F20"/>
          <w:w w:val="105"/>
        </w:rPr>
        <w:t>prácticas</w:t>
      </w:r>
      <w:r>
        <w:rPr>
          <w:color w:val="231F20"/>
          <w:spacing w:val="-9"/>
          <w:w w:val="105"/>
        </w:rPr>
        <w:t> </w:t>
      </w:r>
      <w:r>
        <w:rPr>
          <w:color w:val="231F20"/>
          <w:w w:val="105"/>
        </w:rPr>
        <w:t>locales</w:t>
      </w:r>
      <w:r>
        <w:rPr>
          <w:color w:val="231F20"/>
          <w:spacing w:val="-9"/>
          <w:w w:val="105"/>
        </w:rPr>
        <w:t> </w:t>
      </w:r>
      <w:r>
        <w:rPr>
          <w:color w:val="231F20"/>
          <w:w w:val="105"/>
        </w:rPr>
        <w:t>de</w:t>
      </w:r>
      <w:r>
        <w:rPr>
          <w:color w:val="231F20"/>
          <w:spacing w:val="-9"/>
          <w:w w:val="105"/>
        </w:rPr>
        <w:t> </w:t>
      </w:r>
      <w:r>
        <w:rPr>
          <w:color w:val="231F20"/>
          <w:w w:val="105"/>
        </w:rPr>
        <w:t>inserción,</w:t>
      </w:r>
      <w:r>
        <w:rPr>
          <w:color w:val="231F20"/>
          <w:spacing w:val="-14"/>
          <w:w w:val="105"/>
        </w:rPr>
        <w:t> </w:t>
      </w:r>
      <w:r>
        <w:rPr>
          <w:color w:val="231F20"/>
          <w:w w:val="105"/>
        </w:rPr>
        <w:t>sino como</w:t>
      </w:r>
      <w:r>
        <w:rPr>
          <w:color w:val="231F20"/>
          <w:spacing w:val="-5"/>
          <w:w w:val="105"/>
        </w:rPr>
        <w:t> </w:t>
      </w:r>
      <w:r>
        <w:rPr>
          <w:color w:val="231F20"/>
          <w:w w:val="105"/>
        </w:rPr>
        <w:t>estrategias</w:t>
      </w:r>
      <w:r>
        <w:rPr>
          <w:color w:val="231F20"/>
          <w:spacing w:val="-5"/>
          <w:w w:val="105"/>
        </w:rPr>
        <w:t> </w:t>
      </w:r>
      <w:r>
        <w:rPr>
          <w:color w:val="231F20"/>
          <w:w w:val="105"/>
        </w:rPr>
        <w:t>de</w:t>
      </w:r>
      <w:r>
        <w:rPr>
          <w:color w:val="231F20"/>
          <w:spacing w:val="-5"/>
          <w:w w:val="105"/>
        </w:rPr>
        <w:t> </w:t>
      </w:r>
      <w:r>
        <w:rPr>
          <w:color w:val="231F20"/>
          <w:w w:val="105"/>
        </w:rPr>
        <w:t>vinculación</w:t>
      </w:r>
      <w:r>
        <w:rPr>
          <w:color w:val="231F20"/>
          <w:spacing w:val="-5"/>
          <w:w w:val="105"/>
        </w:rPr>
        <w:t> </w:t>
      </w:r>
      <w:r>
        <w:rPr>
          <w:color w:val="231F20"/>
          <w:w w:val="105"/>
        </w:rPr>
        <w:t>que</w:t>
      </w:r>
      <w:r>
        <w:rPr>
          <w:color w:val="231F20"/>
          <w:spacing w:val="-5"/>
          <w:w w:val="105"/>
        </w:rPr>
        <w:t> </w:t>
      </w:r>
      <w:r>
        <w:rPr>
          <w:color w:val="231F20"/>
          <w:w w:val="105"/>
        </w:rPr>
        <w:t>dan</w:t>
      </w:r>
      <w:r>
        <w:rPr>
          <w:color w:val="231F20"/>
          <w:spacing w:val="-5"/>
          <w:w w:val="105"/>
        </w:rPr>
        <w:t> </w:t>
      </w:r>
      <w:r>
        <w:rPr>
          <w:color w:val="231F20"/>
          <w:w w:val="105"/>
        </w:rPr>
        <w:t>cuenta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conectividad</w:t>
      </w:r>
      <w:r>
        <w:rPr>
          <w:color w:val="231F20"/>
          <w:spacing w:val="-5"/>
          <w:w w:val="105"/>
        </w:rPr>
        <w:t> </w:t>
      </w:r>
      <w:r>
        <w:rPr>
          <w:color w:val="231F20"/>
          <w:w w:val="105"/>
        </w:rPr>
        <w:t>que caracteriza a los espacios urbanos en esta etapa del proceso de</w:t>
      </w:r>
      <w:r>
        <w:rPr>
          <w:color w:val="231F20"/>
          <w:spacing w:val="-41"/>
          <w:w w:val="105"/>
        </w:rPr>
        <w:t> </w:t>
      </w:r>
      <w:r>
        <w:rPr>
          <w:color w:val="231F20"/>
          <w:w w:val="105"/>
        </w:rPr>
        <w:t>globa- lización, y particularmente en este régimen de las movilidades</w:t>
      </w:r>
      <w:r>
        <w:rPr>
          <w:color w:val="231F20"/>
          <w:spacing w:val="-26"/>
          <w:w w:val="105"/>
        </w:rPr>
        <w:t> </w:t>
      </w:r>
      <w:r>
        <w:rPr>
          <w:color w:val="231F20"/>
          <w:w w:val="105"/>
        </w:rPr>
        <w:t>globales (Brenner</w:t>
      </w:r>
      <w:r>
        <w:rPr>
          <w:color w:val="231F20"/>
          <w:spacing w:val="-34"/>
          <w:w w:val="105"/>
        </w:rPr>
        <w:t> </w:t>
      </w:r>
      <w:r>
        <w:rPr>
          <w:color w:val="231F20"/>
          <w:w w:val="105"/>
        </w:rPr>
        <w:t>y</w:t>
      </w:r>
      <w:r>
        <w:rPr>
          <w:color w:val="231F20"/>
          <w:spacing w:val="-34"/>
          <w:w w:val="105"/>
        </w:rPr>
        <w:t> </w:t>
      </w:r>
      <w:r>
        <w:rPr>
          <w:color w:val="231F20"/>
          <w:w w:val="105"/>
        </w:rPr>
        <w:t>Schmid,</w:t>
      </w:r>
      <w:r>
        <w:rPr>
          <w:color w:val="231F20"/>
          <w:spacing w:val="-37"/>
          <w:w w:val="105"/>
        </w:rPr>
        <w:t> </w:t>
      </w:r>
      <w:r>
        <w:rPr>
          <w:color w:val="231F20"/>
          <w:w w:val="105"/>
        </w:rPr>
        <w:t>2014;</w:t>
      </w:r>
      <w:r>
        <w:rPr>
          <w:color w:val="231F20"/>
          <w:spacing w:val="-34"/>
          <w:w w:val="105"/>
        </w:rPr>
        <w:t> </w:t>
      </w:r>
      <w:r>
        <w:rPr>
          <w:color w:val="231F20"/>
          <w:w w:val="105"/>
        </w:rPr>
        <w:t>Glick</w:t>
      </w:r>
      <w:r>
        <w:rPr>
          <w:color w:val="231F20"/>
          <w:spacing w:val="-34"/>
          <w:w w:val="105"/>
        </w:rPr>
        <w:t> </w:t>
      </w:r>
      <w:r>
        <w:rPr>
          <w:color w:val="231F20"/>
          <w:w w:val="105"/>
        </w:rPr>
        <w:t>Schiller</w:t>
      </w:r>
      <w:r>
        <w:rPr>
          <w:color w:val="231F20"/>
          <w:spacing w:val="-34"/>
          <w:w w:val="105"/>
        </w:rPr>
        <w:t> </w:t>
      </w:r>
      <w:r>
        <w:rPr>
          <w:color w:val="231F20"/>
          <w:w w:val="105"/>
        </w:rPr>
        <w:t>y</w:t>
      </w:r>
      <w:r>
        <w:rPr>
          <w:color w:val="231F20"/>
          <w:spacing w:val="-34"/>
          <w:w w:val="105"/>
        </w:rPr>
        <w:t> </w:t>
      </w:r>
      <w:r>
        <w:rPr>
          <w:color w:val="231F20"/>
          <w:w w:val="105"/>
        </w:rPr>
        <w:t>Salazar,</w:t>
      </w:r>
      <w:r>
        <w:rPr>
          <w:color w:val="231F20"/>
          <w:spacing w:val="-37"/>
          <w:w w:val="105"/>
        </w:rPr>
        <w:t> </w:t>
      </w:r>
      <w:r>
        <w:rPr>
          <w:color w:val="231F20"/>
          <w:w w:val="105"/>
        </w:rPr>
        <w:t>2013;</w:t>
      </w:r>
      <w:r>
        <w:rPr>
          <w:color w:val="231F20"/>
          <w:spacing w:val="-34"/>
          <w:w w:val="105"/>
        </w:rPr>
        <w:t> </w:t>
      </w:r>
      <w:r>
        <w:rPr>
          <w:color w:val="231F20"/>
          <w:w w:val="105"/>
        </w:rPr>
        <w:t>Brenner,</w:t>
      </w:r>
      <w:r>
        <w:rPr>
          <w:color w:val="231F20"/>
          <w:spacing w:val="-37"/>
          <w:w w:val="105"/>
        </w:rPr>
        <w:t> </w:t>
      </w:r>
      <w:r>
        <w:rPr>
          <w:color w:val="231F20"/>
          <w:w w:val="105"/>
        </w:rPr>
        <w:t>2011).</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12520" from="15pt,-71.68644pt" to="0pt,-71.68644pt" stroked="true" strokeweight=".25pt" strokecolor="#000000">
            <w10:wrap type="none"/>
          </v:line>
        </w:pict>
      </w:r>
      <w:r>
        <w:rPr/>
        <w:pict>
          <v:line style="position:absolute;mso-position-horizontal-relative:page;mso-position-vertical-relative:paragraph;z-index:12544" from="508.890015pt,-71.68644pt" to="523.890015pt,-71.68644pt" stroked="true" strokeweight=".25pt" strokecolor="#000000">
            <w10:wrap type="none"/>
          </v:line>
        </w:pict>
      </w:r>
      <w:r>
        <w:rPr>
          <w:color w:val="231F20"/>
          <w:w w:val="105"/>
        </w:rPr>
        <w:t>De tal forma, las prácticas de involucramiento local, desplegadas para la</w:t>
      </w:r>
      <w:r>
        <w:rPr>
          <w:color w:val="231F20"/>
          <w:spacing w:val="-12"/>
          <w:w w:val="105"/>
        </w:rPr>
        <w:t> </w:t>
      </w:r>
      <w:r>
        <w:rPr>
          <w:color w:val="231F20"/>
          <w:w w:val="105"/>
        </w:rPr>
        <w:t>inserción,</w:t>
      </w:r>
      <w:r>
        <w:rPr>
          <w:color w:val="231F20"/>
          <w:spacing w:val="-17"/>
          <w:w w:val="105"/>
        </w:rPr>
        <w:t> </w:t>
      </w:r>
      <w:r>
        <w:rPr>
          <w:color w:val="231F20"/>
          <w:w w:val="105"/>
        </w:rPr>
        <w:t>son</w:t>
      </w:r>
      <w:r>
        <w:rPr>
          <w:color w:val="231F20"/>
          <w:spacing w:val="-12"/>
          <w:w w:val="105"/>
        </w:rPr>
        <w:t> </w:t>
      </w:r>
      <w:r>
        <w:rPr>
          <w:color w:val="231F20"/>
          <w:w w:val="105"/>
        </w:rPr>
        <w:t>interpretadas</w:t>
      </w:r>
      <w:r>
        <w:rPr>
          <w:color w:val="231F20"/>
          <w:spacing w:val="-12"/>
          <w:w w:val="105"/>
        </w:rPr>
        <w:t> </w:t>
      </w:r>
      <w:r>
        <w:rPr>
          <w:color w:val="231F20"/>
          <w:w w:val="105"/>
        </w:rPr>
        <w:t>como</w:t>
      </w:r>
      <w:r>
        <w:rPr>
          <w:color w:val="231F20"/>
          <w:spacing w:val="-12"/>
          <w:w w:val="105"/>
        </w:rPr>
        <w:t> </w:t>
      </w:r>
      <w:r>
        <w:rPr>
          <w:color w:val="231F20"/>
          <w:w w:val="105"/>
        </w:rPr>
        <w:t>expresiones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yuxtaposición</w:t>
      </w:r>
      <w:r>
        <w:rPr>
          <w:color w:val="231F20"/>
          <w:spacing w:val="-12"/>
          <w:w w:val="105"/>
        </w:rPr>
        <w:t> </w:t>
      </w:r>
      <w:r>
        <w:rPr>
          <w:color w:val="231F20"/>
          <w:w w:val="105"/>
        </w:rPr>
        <w:t>de una</w:t>
      </w:r>
      <w:r>
        <w:rPr>
          <w:color w:val="231F20"/>
          <w:spacing w:val="-24"/>
          <w:w w:val="105"/>
        </w:rPr>
        <w:t> </w:t>
      </w:r>
      <w:r>
        <w:rPr>
          <w:color w:val="231F20"/>
          <w:w w:val="105"/>
        </w:rPr>
        <w:t>variedad</w:t>
      </w:r>
      <w:r>
        <w:rPr>
          <w:color w:val="231F20"/>
          <w:spacing w:val="-24"/>
          <w:w w:val="105"/>
        </w:rPr>
        <w:t> </w:t>
      </w:r>
      <w:r>
        <w:rPr>
          <w:color w:val="231F20"/>
          <w:w w:val="105"/>
        </w:rPr>
        <w:t>de</w:t>
      </w:r>
      <w:r>
        <w:rPr>
          <w:color w:val="231F20"/>
          <w:spacing w:val="-24"/>
          <w:w w:val="105"/>
        </w:rPr>
        <w:t> </w:t>
      </w:r>
      <w:r>
        <w:rPr>
          <w:color w:val="231F20"/>
          <w:w w:val="105"/>
        </w:rPr>
        <w:t>experiencias</w:t>
      </w:r>
      <w:r>
        <w:rPr>
          <w:color w:val="231F20"/>
          <w:spacing w:val="-24"/>
          <w:w w:val="105"/>
        </w:rPr>
        <w:t> </w:t>
      </w:r>
      <w:r>
        <w:rPr>
          <w:color w:val="231F20"/>
          <w:w w:val="105"/>
        </w:rPr>
        <w:t>y</w:t>
      </w:r>
      <w:r>
        <w:rPr>
          <w:color w:val="231F20"/>
          <w:spacing w:val="-24"/>
          <w:w w:val="105"/>
        </w:rPr>
        <w:t> </w:t>
      </w:r>
      <w:r>
        <w:rPr>
          <w:color w:val="231F20"/>
          <w:w w:val="105"/>
        </w:rPr>
        <w:t>acciones</w:t>
      </w:r>
      <w:r>
        <w:rPr>
          <w:color w:val="231F20"/>
          <w:spacing w:val="-24"/>
          <w:w w:val="105"/>
        </w:rPr>
        <w:t> </w:t>
      </w:r>
      <w:r>
        <w:rPr>
          <w:color w:val="231F20"/>
          <w:w w:val="105"/>
        </w:rPr>
        <w:t>con</w:t>
      </w:r>
      <w:r>
        <w:rPr>
          <w:color w:val="231F20"/>
          <w:spacing w:val="-24"/>
          <w:w w:val="105"/>
        </w:rPr>
        <w:t> </w:t>
      </w:r>
      <w:r>
        <w:rPr>
          <w:color w:val="231F20"/>
          <w:w w:val="105"/>
        </w:rPr>
        <w:t>orientación</w:t>
      </w:r>
      <w:r>
        <w:rPr>
          <w:color w:val="231F20"/>
          <w:spacing w:val="-24"/>
          <w:w w:val="105"/>
        </w:rPr>
        <w:t> </w:t>
      </w:r>
      <w:r>
        <w:rPr>
          <w:color w:val="231F20"/>
          <w:w w:val="105"/>
        </w:rPr>
        <w:t>local,</w:t>
      </w:r>
      <w:r>
        <w:rPr>
          <w:color w:val="231F20"/>
          <w:spacing w:val="-29"/>
          <w:w w:val="105"/>
        </w:rPr>
        <w:t> </w:t>
      </w:r>
      <w:r>
        <w:rPr>
          <w:color w:val="231F20"/>
          <w:w w:val="105"/>
        </w:rPr>
        <w:t>nacional</w:t>
      </w:r>
      <w:r>
        <w:rPr>
          <w:color w:val="231F20"/>
          <w:spacing w:val="-24"/>
          <w:w w:val="105"/>
        </w:rPr>
        <w:t> </w:t>
      </w:r>
      <w:r>
        <w:rPr>
          <w:color w:val="231F20"/>
          <w:w w:val="105"/>
        </w:rPr>
        <w:t>y transnacional–en</w:t>
      </w:r>
      <w:r>
        <w:rPr>
          <w:color w:val="231F20"/>
          <w:spacing w:val="-18"/>
          <w:w w:val="105"/>
        </w:rPr>
        <w:t> </w:t>
      </w:r>
      <w:r>
        <w:rPr>
          <w:color w:val="231F20"/>
          <w:w w:val="105"/>
        </w:rPr>
        <w:t>algunos</w:t>
      </w:r>
      <w:r>
        <w:rPr>
          <w:color w:val="231F20"/>
          <w:spacing w:val="-18"/>
          <w:w w:val="105"/>
        </w:rPr>
        <w:t> </w:t>
      </w:r>
      <w:r>
        <w:rPr>
          <w:color w:val="231F20"/>
          <w:w w:val="105"/>
        </w:rPr>
        <w:t>casos–.</w:t>
      </w:r>
      <w:r>
        <w:rPr>
          <w:color w:val="231F20"/>
          <w:spacing w:val="-23"/>
          <w:w w:val="105"/>
        </w:rPr>
        <w:t> </w:t>
      </w:r>
      <w:r>
        <w:rPr>
          <w:color w:val="231F20"/>
          <w:w w:val="105"/>
        </w:rPr>
        <w:t>Es</w:t>
      </w:r>
      <w:r>
        <w:rPr>
          <w:color w:val="231F20"/>
          <w:spacing w:val="-18"/>
          <w:w w:val="105"/>
        </w:rPr>
        <w:t> </w:t>
      </w:r>
      <w:r>
        <w:rPr>
          <w:color w:val="231F20"/>
          <w:w w:val="105"/>
        </w:rPr>
        <w:t>decir,</w:t>
      </w:r>
      <w:r>
        <w:rPr>
          <w:color w:val="231F20"/>
          <w:spacing w:val="18"/>
          <w:w w:val="105"/>
        </w:rPr>
        <w:t> </w:t>
      </w:r>
      <w:r>
        <w:rPr>
          <w:color w:val="231F20"/>
          <w:w w:val="105"/>
        </w:rPr>
        <w:t>evidencian</w:t>
      </w:r>
      <w:r>
        <w:rPr>
          <w:color w:val="231F20"/>
          <w:spacing w:val="-18"/>
          <w:w w:val="105"/>
        </w:rPr>
        <w:t> </w:t>
      </w:r>
      <w:r>
        <w:rPr>
          <w:color w:val="231F20"/>
          <w:w w:val="105"/>
        </w:rPr>
        <w:t>la</w:t>
      </w:r>
      <w:r>
        <w:rPr>
          <w:color w:val="231F20"/>
          <w:spacing w:val="-18"/>
          <w:w w:val="105"/>
        </w:rPr>
        <w:t> </w:t>
      </w:r>
      <w:r>
        <w:rPr>
          <w:color w:val="231F20"/>
          <w:w w:val="105"/>
        </w:rPr>
        <w:t>localidad</w:t>
      </w:r>
      <w:r>
        <w:rPr>
          <w:color w:val="231F20"/>
          <w:spacing w:val="-18"/>
          <w:w w:val="105"/>
        </w:rPr>
        <w:t> </w:t>
      </w:r>
      <w:r>
        <w:rPr>
          <w:color w:val="231F20"/>
          <w:w w:val="105"/>
        </w:rPr>
        <w:t>de</w:t>
      </w:r>
      <w:r>
        <w:rPr>
          <w:color w:val="231F20"/>
          <w:spacing w:val="-18"/>
          <w:w w:val="105"/>
        </w:rPr>
        <w:t> </w:t>
      </w:r>
      <w:r>
        <w:rPr>
          <w:color w:val="231F20"/>
          <w:w w:val="105"/>
        </w:rPr>
        <w:t>re- torno</w:t>
      </w:r>
      <w:r>
        <w:rPr>
          <w:color w:val="231F20"/>
          <w:spacing w:val="-6"/>
          <w:w w:val="105"/>
        </w:rPr>
        <w:t> </w:t>
      </w:r>
      <w:r>
        <w:rPr>
          <w:color w:val="231F20"/>
          <w:w w:val="105"/>
        </w:rPr>
        <w:t>como</w:t>
      </w:r>
      <w:r>
        <w:rPr>
          <w:color w:val="231F20"/>
          <w:spacing w:val="-6"/>
          <w:w w:val="105"/>
        </w:rPr>
        <w:t> </w:t>
      </w:r>
      <w:r>
        <w:rPr>
          <w:color w:val="231F20"/>
          <w:w w:val="105"/>
        </w:rPr>
        <w:t>sitio</w:t>
      </w:r>
      <w:r>
        <w:rPr>
          <w:color w:val="231F20"/>
          <w:spacing w:val="-6"/>
          <w:w w:val="105"/>
        </w:rPr>
        <w:t> </w:t>
      </w:r>
      <w:r>
        <w:rPr>
          <w:color w:val="231F20"/>
          <w:w w:val="105"/>
        </w:rPr>
        <w:t>de</w:t>
      </w:r>
      <w:r>
        <w:rPr>
          <w:color w:val="231F20"/>
          <w:spacing w:val="-6"/>
          <w:w w:val="105"/>
        </w:rPr>
        <w:t> </w:t>
      </w:r>
      <w:r>
        <w:rPr>
          <w:color w:val="231F20"/>
          <w:w w:val="105"/>
        </w:rPr>
        <w:t>vinculación</w:t>
      </w:r>
      <w:r>
        <w:rPr>
          <w:color w:val="231F20"/>
          <w:spacing w:val="-6"/>
          <w:w w:val="105"/>
        </w:rPr>
        <w:t> </w:t>
      </w:r>
      <w:r>
        <w:rPr>
          <w:color w:val="231F20"/>
          <w:w w:val="105"/>
        </w:rPr>
        <w:t>que</w:t>
      </w:r>
      <w:r>
        <w:rPr>
          <w:color w:val="231F20"/>
          <w:spacing w:val="-6"/>
          <w:w w:val="105"/>
        </w:rPr>
        <w:t> </w:t>
      </w:r>
      <w:r>
        <w:rPr>
          <w:color w:val="231F20"/>
          <w:w w:val="105"/>
        </w:rPr>
        <w:t>condensa</w:t>
      </w:r>
      <w:r>
        <w:rPr>
          <w:color w:val="231F20"/>
          <w:spacing w:val="-6"/>
          <w:w w:val="105"/>
        </w:rPr>
        <w:t> </w:t>
      </w:r>
      <w:r>
        <w:rPr>
          <w:color w:val="231F20"/>
          <w:w w:val="105"/>
        </w:rPr>
        <w:t>múltiples</w:t>
      </w:r>
      <w:r>
        <w:rPr>
          <w:color w:val="231F20"/>
          <w:spacing w:val="-6"/>
          <w:w w:val="105"/>
        </w:rPr>
        <w:t> </w:t>
      </w:r>
      <w:r>
        <w:rPr>
          <w:color w:val="231F20"/>
          <w:w w:val="105"/>
        </w:rPr>
        <w:t>espacialidades. En</w:t>
      </w:r>
      <w:r>
        <w:rPr>
          <w:color w:val="231F20"/>
          <w:spacing w:val="-19"/>
          <w:w w:val="105"/>
        </w:rPr>
        <w:t> </w:t>
      </w:r>
      <w:r>
        <w:rPr>
          <w:color w:val="231F20"/>
          <w:w w:val="105"/>
        </w:rPr>
        <w:t>este</w:t>
      </w:r>
      <w:r>
        <w:rPr>
          <w:color w:val="231F20"/>
          <w:spacing w:val="-19"/>
          <w:w w:val="105"/>
        </w:rPr>
        <w:t> </w:t>
      </w:r>
      <w:r>
        <w:rPr>
          <w:color w:val="231F20"/>
          <w:w w:val="105"/>
        </w:rPr>
        <w:t>orden,</w:t>
      </w:r>
      <w:r>
        <w:rPr>
          <w:color w:val="231F20"/>
          <w:spacing w:val="-24"/>
          <w:w w:val="105"/>
        </w:rPr>
        <w:t> </w:t>
      </w:r>
      <w:r>
        <w:rPr>
          <w:color w:val="231F20"/>
          <w:w w:val="105"/>
        </w:rPr>
        <w:t>las</w:t>
      </w:r>
      <w:r>
        <w:rPr>
          <w:color w:val="231F20"/>
          <w:spacing w:val="-19"/>
          <w:w w:val="105"/>
        </w:rPr>
        <w:t> </w:t>
      </w:r>
      <w:r>
        <w:rPr>
          <w:color w:val="231F20"/>
          <w:w w:val="105"/>
        </w:rPr>
        <w:t>estrategias</w:t>
      </w:r>
      <w:r>
        <w:rPr>
          <w:color w:val="231F20"/>
          <w:spacing w:val="-19"/>
          <w:w w:val="105"/>
        </w:rPr>
        <w:t> </w:t>
      </w:r>
      <w:r>
        <w:rPr>
          <w:color w:val="231F20"/>
          <w:w w:val="105"/>
        </w:rPr>
        <w:t>de</w:t>
      </w:r>
      <w:r>
        <w:rPr>
          <w:color w:val="231F20"/>
          <w:spacing w:val="-19"/>
          <w:w w:val="105"/>
        </w:rPr>
        <w:t> </w:t>
      </w:r>
      <w:r>
        <w:rPr>
          <w:color w:val="231F20"/>
          <w:w w:val="105"/>
        </w:rPr>
        <w:t>inserción</w:t>
      </w:r>
      <w:r>
        <w:rPr>
          <w:color w:val="231F20"/>
          <w:spacing w:val="-19"/>
          <w:w w:val="105"/>
        </w:rPr>
        <w:t> </w:t>
      </w:r>
      <w:r>
        <w:rPr>
          <w:color w:val="231F20"/>
          <w:w w:val="105"/>
        </w:rPr>
        <w:t>son</w:t>
      </w:r>
      <w:r>
        <w:rPr>
          <w:color w:val="231F20"/>
          <w:spacing w:val="-19"/>
          <w:w w:val="105"/>
        </w:rPr>
        <w:t> </w:t>
      </w:r>
      <w:r>
        <w:rPr>
          <w:color w:val="231F20"/>
          <w:w w:val="105"/>
        </w:rPr>
        <w:t>producto</w:t>
      </w:r>
      <w:r>
        <w:rPr>
          <w:color w:val="231F20"/>
          <w:spacing w:val="-19"/>
          <w:w w:val="105"/>
        </w:rPr>
        <w:t> </w:t>
      </w:r>
      <w:r>
        <w:rPr>
          <w:color w:val="231F20"/>
          <w:w w:val="105"/>
        </w:rPr>
        <w:t>de</w:t>
      </w:r>
      <w:r>
        <w:rPr>
          <w:color w:val="231F20"/>
          <w:spacing w:val="-19"/>
          <w:w w:val="105"/>
        </w:rPr>
        <w:t> </w:t>
      </w:r>
      <w:r>
        <w:rPr>
          <w:color w:val="231F20"/>
          <w:w w:val="105"/>
        </w:rPr>
        <w:t>una</w:t>
      </w:r>
      <w:r>
        <w:rPr>
          <w:color w:val="231F20"/>
          <w:spacing w:val="-19"/>
          <w:w w:val="105"/>
        </w:rPr>
        <w:t> </w:t>
      </w:r>
      <w:r>
        <w:rPr>
          <w:color w:val="231F20"/>
          <w:w w:val="105"/>
        </w:rPr>
        <w:t>variedad de</w:t>
      </w:r>
      <w:r>
        <w:rPr>
          <w:color w:val="231F20"/>
          <w:spacing w:val="-6"/>
          <w:w w:val="105"/>
        </w:rPr>
        <w:t> </w:t>
      </w:r>
      <w:r>
        <w:rPr>
          <w:color w:val="231F20"/>
          <w:w w:val="105"/>
        </w:rPr>
        <w:t>prácticas</w:t>
      </w:r>
      <w:r>
        <w:rPr>
          <w:color w:val="231F20"/>
          <w:spacing w:val="-6"/>
          <w:w w:val="105"/>
        </w:rPr>
        <w:t> </w:t>
      </w:r>
      <w:r>
        <w:rPr>
          <w:color w:val="231F20"/>
          <w:w w:val="105"/>
        </w:rPr>
        <w:t>espaciales</w:t>
      </w:r>
      <w:r>
        <w:rPr>
          <w:color w:val="231F20"/>
          <w:spacing w:val="-6"/>
          <w:w w:val="105"/>
        </w:rPr>
        <w:t> </w:t>
      </w:r>
      <w:r>
        <w:rPr>
          <w:color w:val="231F20"/>
          <w:w w:val="105"/>
        </w:rPr>
        <w:t>(cf.</w:t>
      </w:r>
      <w:r>
        <w:rPr>
          <w:color w:val="231F20"/>
          <w:spacing w:val="-14"/>
          <w:w w:val="105"/>
        </w:rPr>
        <w:t> </w:t>
      </w:r>
      <w:r>
        <w:rPr>
          <w:color w:val="231F20"/>
          <w:w w:val="105"/>
        </w:rPr>
        <w:t>Amin,</w:t>
      </w:r>
      <w:r>
        <w:rPr>
          <w:color w:val="231F20"/>
          <w:spacing w:val="-11"/>
          <w:w w:val="105"/>
        </w:rPr>
        <w:t> </w:t>
      </w:r>
      <w:r>
        <w:rPr>
          <w:color w:val="231F20"/>
          <w:w w:val="105"/>
        </w:rPr>
        <w:t>2002;</w:t>
      </w:r>
      <w:r>
        <w:rPr>
          <w:color w:val="231F20"/>
          <w:spacing w:val="-6"/>
          <w:w w:val="105"/>
        </w:rPr>
        <w:t> </w:t>
      </w:r>
      <w:r>
        <w:rPr>
          <w:color w:val="231F20"/>
          <w:spacing w:val="-3"/>
          <w:w w:val="105"/>
        </w:rPr>
        <w:t>Kalir,</w:t>
      </w:r>
      <w:r>
        <w:rPr>
          <w:color w:val="231F20"/>
          <w:spacing w:val="-11"/>
          <w:w w:val="105"/>
        </w:rPr>
        <w:t> </w:t>
      </w:r>
      <w:r>
        <w:rPr>
          <w:color w:val="231F20"/>
          <w:w w:val="105"/>
        </w:rPr>
        <w:t>2013),</w:t>
      </w:r>
      <w:r>
        <w:rPr>
          <w:color w:val="231F20"/>
          <w:spacing w:val="-11"/>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ha</w:t>
      </w:r>
      <w:r>
        <w:rPr>
          <w:color w:val="231F20"/>
          <w:spacing w:val="-6"/>
          <w:w w:val="105"/>
        </w:rPr>
        <w:t> </w:t>
      </w:r>
      <w:r>
        <w:rPr>
          <w:color w:val="231F20"/>
          <w:w w:val="105"/>
        </w:rPr>
        <w:t>deno- minado</w:t>
      </w:r>
      <w:r>
        <w:rPr>
          <w:color w:val="231F20"/>
          <w:spacing w:val="-7"/>
          <w:w w:val="105"/>
        </w:rPr>
        <w:t> </w:t>
      </w:r>
      <w:r>
        <w:rPr>
          <w:color w:val="231F20"/>
          <w:w w:val="105"/>
        </w:rPr>
        <w:t>en</w:t>
      </w:r>
      <w:r>
        <w:rPr>
          <w:color w:val="231F20"/>
          <w:spacing w:val="-7"/>
          <w:w w:val="105"/>
        </w:rPr>
        <w:t> </w:t>
      </w:r>
      <w:r>
        <w:rPr>
          <w:color w:val="231F20"/>
          <w:w w:val="105"/>
        </w:rPr>
        <w:t>este</w:t>
      </w:r>
      <w:r>
        <w:rPr>
          <w:color w:val="231F20"/>
          <w:spacing w:val="-7"/>
          <w:w w:val="105"/>
        </w:rPr>
        <w:t> </w:t>
      </w:r>
      <w:r>
        <w:rPr>
          <w:color w:val="231F20"/>
          <w:w w:val="105"/>
        </w:rPr>
        <w:t>texto</w:t>
      </w:r>
      <w:r>
        <w:rPr>
          <w:color w:val="231F20"/>
          <w:spacing w:val="-7"/>
          <w:w w:val="105"/>
        </w:rPr>
        <w:t> </w:t>
      </w:r>
      <w:r>
        <w:rPr>
          <w:rFonts w:ascii="Arial" w:hAnsi="Arial"/>
          <w:i/>
          <w:color w:val="231F20"/>
          <w:w w:val="105"/>
        </w:rPr>
        <w:t>prácticas</w:t>
      </w:r>
      <w:r>
        <w:rPr>
          <w:rFonts w:ascii="Arial" w:hAnsi="Arial"/>
          <w:i/>
          <w:color w:val="231F20"/>
          <w:spacing w:val="-10"/>
          <w:w w:val="105"/>
        </w:rPr>
        <w:t> </w:t>
      </w:r>
      <w:r>
        <w:rPr>
          <w:rFonts w:ascii="Arial" w:hAnsi="Arial"/>
          <w:i/>
          <w:color w:val="231F20"/>
          <w:w w:val="105"/>
        </w:rPr>
        <w:t>de</w:t>
      </w:r>
      <w:r>
        <w:rPr>
          <w:rFonts w:ascii="Arial" w:hAnsi="Arial"/>
          <w:i/>
          <w:color w:val="231F20"/>
          <w:spacing w:val="-10"/>
          <w:w w:val="105"/>
        </w:rPr>
        <w:t> </w:t>
      </w:r>
      <w:r>
        <w:rPr>
          <w:rFonts w:ascii="Arial" w:hAnsi="Arial"/>
          <w:i/>
          <w:color w:val="231F20"/>
          <w:w w:val="105"/>
        </w:rPr>
        <w:t>involucramiento</w:t>
      </w:r>
      <w:r>
        <w:rPr>
          <w:rFonts w:ascii="Arial" w:hAnsi="Arial"/>
          <w:i/>
          <w:color w:val="231F20"/>
          <w:spacing w:val="-10"/>
          <w:w w:val="105"/>
        </w:rPr>
        <w:t> </w:t>
      </w:r>
      <w:r>
        <w:rPr>
          <w:rFonts w:ascii="Arial" w:hAnsi="Arial"/>
          <w:i/>
          <w:color w:val="231F20"/>
          <w:w w:val="105"/>
        </w:rPr>
        <w:t>en</w:t>
      </w:r>
      <w:r>
        <w:rPr>
          <w:rFonts w:ascii="Arial" w:hAnsi="Arial"/>
          <w:i/>
          <w:color w:val="231F20"/>
          <w:spacing w:val="-10"/>
          <w:w w:val="105"/>
        </w:rPr>
        <w:t> </w:t>
      </w:r>
      <w:r>
        <w:rPr>
          <w:rFonts w:ascii="Arial" w:hAnsi="Arial"/>
          <w:i/>
          <w:color w:val="231F20"/>
          <w:w w:val="105"/>
        </w:rPr>
        <w:t>la</w:t>
      </w:r>
      <w:r>
        <w:rPr>
          <w:rFonts w:ascii="Arial" w:hAnsi="Arial"/>
          <w:i/>
          <w:color w:val="231F20"/>
          <w:spacing w:val="-10"/>
          <w:w w:val="105"/>
        </w:rPr>
        <w:t> </w:t>
      </w:r>
      <w:r>
        <w:rPr>
          <w:rFonts w:ascii="Arial" w:hAnsi="Arial"/>
          <w:i/>
          <w:color w:val="231F20"/>
          <w:w w:val="105"/>
        </w:rPr>
        <w:t>localidad</w:t>
      </w:r>
      <w:r>
        <w:rPr>
          <w:rFonts w:ascii="Arial" w:hAnsi="Arial"/>
          <w:i/>
          <w:color w:val="231F20"/>
          <w:spacing w:val="-10"/>
          <w:w w:val="105"/>
        </w:rPr>
        <w:t> </w:t>
      </w:r>
      <w:r>
        <w:rPr>
          <w:rFonts w:ascii="Arial" w:hAnsi="Arial"/>
          <w:i/>
          <w:color w:val="231F20"/>
          <w:w w:val="105"/>
        </w:rPr>
        <w:t>de</w:t>
      </w:r>
      <w:r>
        <w:rPr>
          <w:rFonts w:ascii="Arial" w:hAnsi="Arial"/>
          <w:i/>
          <w:color w:val="231F20"/>
          <w:spacing w:val="-10"/>
          <w:w w:val="105"/>
        </w:rPr>
        <w:t> </w:t>
      </w:r>
      <w:r>
        <w:rPr>
          <w:rFonts w:ascii="Arial" w:hAnsi="Arial"/>
          <w:i/>
          <w:color w:val="231F20"/>
          <w:w w:val="105"/>
        </w:rPr>
        <w:t>re- </w:t>
      </w:r>
      <w:r>
        <w:rPr>
          <w:rFonts w:ascii="Arial" w:hAnsi="Arial"/>
          <w:i/>
          <w:color w:val="231F20"/>
          <w:w w:val="105"/>
        </w:rPr>
        <w:t>torno, </w:t>
      </w:r>
      <w:r>
        <w:rPr>
          <w:color w:val="231F20"/>
          <w:w w:val="105"/>
        </w:rPr>
        <w:t>en donde el contexto histórico específico no es supeditado en el análisis, por el contrario, es resignificado al analizar las condiciones de posibilidad</w:t>
      </w:r>
      <w:r>
        <w:rPr>
          <w:color w:val="231F20"/>
          <w:spacing w:val="-20"/>
          <w:w w:val="105"/>
        </w:rPr>
        <w:t> </w:t>
      </w:r>
      <w:r>
        <w:rPr>
          <w:color w:val="231F20"/>
          <w:w w:val="105"/>
        </w:rPr>
        <w:t>que</w:t>
      </w:r>
      <w:r>
        <w:rPr>
          <w:color w:val="231F20"/>
          <w:spacing w:val="-20"/>
          <w:w w:val="105"/>
        </w:rPr>
        <w:t> </w:t>
      </w:r>
      <w:r>
        <w:rPr>
          <w:color w:val="231F20"/>
          <w:w w:val="105"/>
        </w:rPr>
        <w:t>tienen</w:t>
      </w:r>
      <w:r>
        <w:rPr>
          <w:color w:val="231F20"/>
          <w:spacing w:val="-20"/>
          <w:w w:val="105"/>
        </w:rPr>
        <w:t> </w:t>
      </w:r>
      <w:r>
        <w:rPr>
          <w:color w:val="231F20"/>
          <w:w w:val="105"/>
        </w:rPr>
        <w:t>los</w:t>
      </w:r>
      <w:r>
        <w:rPr>
          <w:color w:val="231F20"/>
          <w:spacing w:val="-20"/>
          <w:w w:val="105"/>
        </w:rPr>
        <w:t> </w:t>
      </w:r>
      <w:r>
        <w:rPr>
          <w:color w:val="231F20"/>
          <w:w w:val="105"/>
        </w:rPr>
        <w:t>actores</w:t>
      </w:r>
      <w:r>
        <w:rPr>
          <w:color w:val="231F20"/>
          <w:spacing w:val="-20"/>
          <w:w w:val="105"/>
        </w:rPr>
        <w:t> </w:t>
      </w:r>
      <w:r>
        <w:rPr>
          <w:color w:val="231F20"/>
          <w:w w:val="105"/>
        </w:rPr>
        <w:t>en</w:t>
      </w:r>
      <w:r>
        <w:rPr>
          <w:color w:val="231F20"/>
          <w:spacing w:val="-20"/>
          <w:w w:val="105"/>
        </w:rPr>
        <w:t> </w:t>
      </w:r>
      <w:r>
        <w:rPr>
          <w:color w:val="231F20"/>
          <w:w w:val="105"/>
        </w:rPr>
        <w:t>y</w:t>
      </w:r>
      <w:r>
        <w:rPr>
          <w:color w:val="231F20"/>
          <w:spacing w:val="-20"/>
          <w:w w:val="105"/>
        </w:rPr>
        <w:t> </w:t>
      </w:r>
      <w:r>
        <w:rPr>
          <w:color w:val="231F20"/>
          <w:w w:val="105"/>
        </w:rPr>
        <w:t>desde</w:t>
      </w:r>
      <w:r>
        <w:rPr>
          <w:color w:val="231F20"/>
          <w:spacing w:val="-20"/>
          <w:w w:val="105"/>
        </w:rPr>
        <w:t> </w:t>
      </w:r>
      <w:r>
        <w:rPr>
          <w:color w:val="231F20"/>
          <w:w w:val="105"/>
        </w:rPr>
        <w:t>este</w:t>
      </w:r>
      <w:r>
        <w:rPr>
          <w:color w:val="231F20"/>
          <w:spacing w:val="-20"/>
          <w:w w:val="105"/>
        </w:rPr>
        <w:t> </w:t>
      </w:r>
      <w:r>
        <w:rPr>
          <w:color w:val="231F20"/>
          <w:w w:val="105"/>
        </w:rPr>
        <w:t>sitio,</w:t>
      </w:r>
      <w:r>
        <w:rPr>
          <w:color w:val="231F20"/>
          <w:spacing w:val="-25"/>
          <w:w w:val="105"/>
        </w:rPr>
        <w:t> </w:t>
      </w:r>
      <w:r>
        <w:rPr>
          <w:color w:val="231F20"/>
          <w:w w:val="105"/>
        </w:rPr>
        <w:t>para</w:t>
      </w:r>
      <w:r>
        <w:rPr>
          <w:color w:val="231F20"/>
          <w:spacing w:val="-20"/>
          <w:w w:val="105"/>
        </w:rPr>
        <w:t> </w:t>
      </w:r>
      <w:r>
        <w:rPr>
          <w:color w:val="231F20"/>
          <w:w w:val="105"/>
        </w:rPr>
        <w:t>realizar</w:t>
      </w:r>
      <w:r>
        <w:rPr>
          <w:color w:val="231F20"/>
          <w:spacing w:val="-20"/>
          <w:w w:val="105"/>
        </w:rPr>
        <w:t> </w:t>
      </w:r>
      <w:r>
        <w:rPr>
          <w:color w:val="231F20"/>
          <w:w w:val="105"/>
        </w:rPr>
        <w:t>des- plazamientos</w:t>
      </w:r>
      <w:r>
        <w:rPr>
          <w:color w:val="231F20"/>
          <w:spacing w:val="-22"/>
          <w:w w:val="105"/>
        </w:rPr>
        <w:t> </w:t>
      </w:r>
      <w:r>
        <w:rPr>
          <w:color w:val="231F20"/>
          <w:w w:val="105"/>
        </w:rPr>
        <w:t>y</w:t>
      </w:r>
      <w:r>
        <w:rPr>
          <w:color w:val="231F20"/>
          <w:spacing w:val="-22"/>
          <w:w w:val="105"/>
        </w:rPr>
        <w:t> </w:t>
      </w:r>
      <w:r>
        <w:rPr>
          <w:color w:val="231F20"/>
          <w:w w:val="105"/>
        </w:rPr>
        <w:t>movilidades</w:t>
      </w:r>
      <w:r>
        <w:rPr>
          <w:color w:val="231F20"/>
          <w:spacing w:val="-22"/>
          <w:w w:val="105"/>
        </w:rPr>
        <w:t> </w:t>
      </w:r>
      <w:r>
        <w:rPr>
          <w:color w:val="231F20"/>
          <w:w w:val="105"/>
        </w:rPr>
        <w:t>que</w:t>
      </w:r>
      <w:r>
        <w:rPr>
          <w:color w:val="231F20"/>
          <w:spacing w:val="-22"/>
          <w:w w:val="105"/>
        </w:rPr>
        <w:t> </w:t>
      </w:r>
      <w:r>
        <w:rPr>
          <w:color w:val="231F20"/>
          <w:w w:val="105"/>
        </w:rPr>
        <w:t>redefinen</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vez</w:t>
      </w:r>
      <w:r>
        <w:rPr>
          <w:color w:val="231F20"/>
          <w:spacing w:val="-22"/>
          <w:w w:val="105"/>
        </w:rPr>
        <w:t> </w:t>
      </w:r>
      <w:r>
        <w:rPr>
          <w:color w:val="231F20"/>
          <w:w w:val="105"/>
        </w:rPr>
        <w:t>las</w:t>
      </w:r>
      <w:r>
        <w:rPr>
          <w:color w:val="231F20"/>
          <w:spacing w:val="-22"/>
          <w:w w:val="105"/>
        </w:rPr>
        <w:t> </w:t>
      </w:r>
      <w:r>
        <w:rPr>
          <w:color w:val="231F20"/>
          <w:w w:val="105"/>
        </w:rPr>
        <w:t>redes</w:t>
      </w:r>
      <w:r>
        <w:rPr>
          <w:color w:val="231F20"/>
          <w:spacing w:val="-22"/>
          <w:w w:val="105"/>
        </w:rPr>
        <w:t> </w:t>
      </w:r>
      <w:r>
        <w:rPr>
          <w:color w:val="231F20"/>
          <w:w w:val="105"/>
        </w:rPr>
        <w:t>de</w:t>
      </w:r>
      <w:r>
        <w:rPr>
          <w:color w:val="231F20"/>
          <w:spacing w:val="-22"/>
          <w:w w:val="105"/>
        </w:rPr>
        <w:t> </w:t>
      </w:r>
      <w:r>
        <w:rPr>
          <w:color w:val="231F20"/>
          <w:w w:val="105"/>
        </w:rPr>
        <w:t>afiliación, de</w:t>
      </w:r>
      <w:r>
        <w:rPr>
          <w:color w:val="231F20"/>
          <w:spacing w:val="-15"/>
          <w:w w:val="105"/>
        </w:rPr>
        <w:t> </w:t>
      </w:r>
      <w:r>
        <w:rPr>
          <w:color w:val="231F20"/>
          <w:w w:val="105"/>
        </w:rPr>
        <w:t>interacción</w:t>
      </w:r>
      <w:r>
        <w:rPr>
          <w:color w:val="231F20"/>
          <w:spacing w:val="-15"/>
          <w:w w:val="105"/>
        </w:rPr>
        <w:t> </w:t>
      </w:r>
      <w:r>
        <w:rPr>
          <w:color w:val="231F20"/>
          <w:w w:val="105"/>
        </w:rPr>
        <w:t>y</w:t>
      </w:r>
      <w:r>
        <w:rPr>
          <w:color w:val="231F20"/>
          <w:spacing w:val="-15"/>
          <w:w w:val="105"/>
        </w:rPr>
        <w:t> </w:t>
      </w:r>
      <w:r>
        <w:rPr>
          <w:color w:val="231F20"/>
          <w:w w:val="105"/>
        </w:rPr>
        <w:t>sus</w:t>
      </w:r>
      <w:r>
        <w:rPr>
          <w:color w:val="231F20"/>
          <w:spacing w:val="-15"/>
          <w:w w:val="105"/>
        </w:rPr>
        <w:t> </w:t>
      </w:r>
      <w:r>
        <w:rPr>
          <w:color w:val="231F20"/>
          <w:w w:val="105"/>
        </w:rPr>
        <w:t>capitales,</w:t>
      </w:r>
      <w:r>
        <w:rPr>
          <w:color w:val="231F20"/>
          <w:spacing w:val="-21"/>
          <w:w w:val="105"/>
        </w:rPr>
        <w:t> </w:t>
      </w:r>
      <w:r>
        <w:rPr>
          <w:color w:val="231F20"/>
          <w:w w:val="105"/>
        </w:rPr>
        <w:t>revelando</w:t>
      </w:r>
      <w:r>
        <w:rPr>
          <w:color w:val="231F20"/>
          <w:spacing w:val="-15"/>
          <w:w w:val="105"/>
        </w:rPr>
        <w:t> </w:t>
      </w:r>
      <w:r>
        <w:rPr>
          <w:color w:val="231F20"/>
          <w:w w:val="105"/>
        </w:rPr>
        <w:t>el</w:t>
      </w:r>
      <w:r>
        <w:rPr>
          <w:color w:val="231F20"/>
          <w:spacing w:val="-15"/>
          <w:w w:val="105"/>
        </w:rPr>
        <w:t> </w:t>
      </w:r>
      <w:r>
        <w:rPr>
          <w:color w:val="231F20"/>
          <w:w w:val="105"/>
        </w:rPr>
        <w:t>proceso</w:t>
      </w:r>
      <w:r>
        <w:rPr>
          <w:color w:val="231F20"/>
          <w:spacing w:val="-15"/>
          <w:w w:val="105"/>
        </w:rPr>
        <w:t> </w:t>
      </w:r>
      <w:r>
        <w:rPr>
          <w:color w:val="231F20"/>
          <w:w w:val="105"/>
        </w:rPr>
        <w:t>de</w:t>
      </w:r>
      <w:r>
        <w:rPr>
          <w:color w:val="231F20"/>
          <w:spacing w:val="-15"/>
          <w:w w:val="105"/>
        </w:rPr>
        <w:t> </w:t>
      </w:r>
      <w:r>
        <w:rPr>
          <w:color w:val="231F20"/>
          <w:w w:val="105"/>
        </w:rPr>
        <w:t>deslocalización</w:t>
      </w:r>
      <w:r>
        <w:rPr>
          <w:color w:val="231F20"/>
          <w:spacing w:val="-15"/>
          <w:w w:val="105"/>
        </w:rPr>
        <w:t> </w:t>
      </w:r>
      <w:r>
        <w:rPr>
          <w:color w:val="231F20"/>
          <w:w w:val="105"/>
        </w:rPr>
        <w:t>y relocalización</w:t>
      </w:r>
      <w:r>
        <w:rPr>
          <w:color w:val="231F20"/>
          <w:spacing w:val="-26"/>
          <w:w w:val="105"/>
        </w:rPr>
        <w:t> </w:t>
      </w:r>
      <w:r>
        <w:rPr>
          <w:color w:val="231F20"/>
          <w:w w:val="105"/>
        </w:rPr>
        <w:t>socioespacial</w:t>
      </w:r>
      <w:r>
        <w:rPr>
          <w:color w:val="231F20"/>
          <w:spacing w:val="-26"/>
          <w:w w:val="105"/>
        </w:rPr>
        <w:t> </w:t>
      </w:r>
      <w:r>
        <w:rPr>
          <w:color w:val="231F20"/>
          <w:w w:val="105"/>
        </w:rPr>
        <w:t>(cf.</w:t>
      </w:r>
      <w:r>
        <w:rPr>
          <w:color w:val="231F20"/>
          <w:spacing w:val="-32"/>
          <w:w w:val="105"/>
        </w:rPr>
        <w:t> </w:t>
      </w:r>
      <w:r>
        <w:rPr>
          <w:color w:val="231F20"/>
          <w:w w:val="105"/>
        </w:rPr>
        <w:t>Amin</w:t>
      </w:r>
      <w:r>
        <w:rPr>
          <w:color w:val="231F20"/>
          <w:spacing w:val="-26"/>
          <w:w w:val="105"/>
        </w:rPr>
        <w:t> </w:t>
      </w:r>
      <w:r>
        <w:rPr>
          <w:color w:val="231F20"/>
          <w:w w:val="105"/>
        </w:rPr>
        <w:t>y</w:t>
      </w:r>
      <w:r>
        <w:rPr>
          <w:color w:val="231F20"/>
          <w:spacing w:val="-29"/>
          <w:w w:val="105"/>
        </w:rPr>
        <w:t> </w:t>
      </w:r>
      <w:r>
        <w:rPr>
          <w:color w:val="231F20"/>
          <w:w w:val="105"/>
        </w:rPr>
        <w:t>Thrift,</w:t>
      </w:r>
      <w:r>
        <w:rPr>
          <w:color w:val="231F20"/>
          <w:spacing w:val="-29"/>
          <w:w w:val="105"/>
        </w:rPr>
        <w:t> </w:t>
      </w:r>
      <w:r>
        <w:rPr>
          <w:color w:val="231F20"/>
          <w:w w:val="105"/>
        </w:rPr>
        <w:t>2002;</w:t>
      </w:r>
      <w:r>
        <w:rPr>
          <w:color w:val="231F20"/>
          <w:spacing w:val="-26"/>
          <w:w w:val="105"/>
        </w:rPr>
        <w:t> </w:t>
      </w:r>
      <w:r>
        <w:rPr>
          <w:color w:val="231F20"/>
          <w:w w:val="105"/>
        </w:rPr>
        <w:t>Fincham,</w:t>
      </w:r>
      <w:r>
        <w:rPr>
          <w:color w:val="231F20"/>
          <w:spacing w:val="-29"/>
          <w:w w:val="105"/>
        </w:rPr>
        <w:t> </w:t>
      </w:r>
      <w:r>
        <w:rPr>
          <w:color w:val="231F20"/>
          <w:w w:val="105"/>
        </w:rPr>
        <w:t>Mcguiness y</w:t>
      </w:r>
      <w:r>
        <w:rPr>
          <w:color w:val="231F20"/>
          <w:spacing w:val="-35"/>
          <w:w w:val="105"/>
        </w:rPr>
        <w:t> </w:t>
      </w:r>
      <w:r>
        <w:rPr>
          <w:color w:val="231F20"/>
          <w:w w:val="105"/>
        </w:rPr>
        <w:t>Murray,</w:t>
      </w:r>
      <w:r>
        <w:rPr>
          <w:color w:val="231F20"/>
          <w:spacing w:val="-38"/>
          <w:w w:val="105"/>
        </w:rPr>
        <w:t> </w:t>
      </w:r>
      <w:r>
        <w:rPr>
          <w:color w:val="231F20"/>
          <w:w w:val="105"/>
        </w:rPr>
        <w:t>2010;</w:t>
      </w:r>
      <w:r>
        <w:rPr>
          <w:color w:val="231F20"/>
          <w:spacing w:val="-35"/>
          <w:w w:val="105"/>
        </w:rPr>
        <w:t> </w:t>
      </w:r>
      <w:r>
        <w:rPr>
          <w:color w:val="231F20"/>
          <w:w w:val="105"/>
        </w:rPr>
        <w:t>Kaufmann,</w:t>
      </w:r>
      <w:r>
        <w:rPr>
          <w:color w:val="231F20"/>
          <w:spacing w:val="-38"/>
          <w:w w:val="105"/>
        </w:rPr>
        <w:t> </w:t>
      </w:r>
      <w:r>
        <w:rPr>
          <w:color w:val="231F20"/>
          <w:w w:val="105"/>
        </w:rPr>
        <w:t>2011).</w:t>
      </w:r>
    </w:p>
    <w:p>
      <w:pPr>
        <w:pStyle w:val="BodyText"/>
        <w:spacing w:line="261" w:lineRule="auto" w:before="1"/>
        <w:ind w:left="1723" w:right="1833" w:firstLine="567"/>
        <w:jc w:val="both"/>
      </w:pPr>
      <w:r>
        <w:rPr>
          <w:color w:val="231F20"/>
          <w:w w:val="105"/>
        </w:rPr>
        <w:t>La</w:t>
      </w:r>
      <w:r>
        <w:rPr>
          <w:color w:val="231F20"/>
          <w:spacing w:val="-10"/>
          <w:w w:val="105"/>
        </w:rPr>
        <w:t> </w:t>
      </w:r>
      <w:r>
        <w:rPr>
          <w:color w:val="231F20"/>
          <w:w w:val="105"/>
        </w:rPr>
        <w:t>investigación</w:t>
      </w:r>
      <w:r>
        <w:rPr>
          <w:color w:val="231F20"/>
          <w:spacing w:val="-10"/>
          <w:w w:val="105"/>
        </w:rPr>
        <w:t> </w:t>
      </w:r>
      <w:r>
        <w:rPr>
          <w:color w:val="231F20"/>
          <w:w w:val="105"/>
        </w:rPr>
        <w:t>en</w:t>
      </w:r>
      <w:r>
        <w:rPr>
          <w:color w:val="231F20"/>
          <w:spacing w:val="-10"/>
          <w:w w:val="105"/>
        </w:rPr>
        <w:t> </w:t>
      </w:r>
      <w:r>
        <w:rPr>
          <w:color w:val="231F20"/>
          <w:w w:val="105"/>
        </w:rPr>
        <w:t>Nezahualcóyotl</w:t>
      </w:r>
      <w:r>
        <w:rPr>
          <w:color w:val="231F20"/>
          <w:spacing w:val="-10"/>
          <w:w w:val="105"/>
        </w:rPr>
        <w:t> </w:t>
      </w:r>
      <w:r>
        <w:rPr>
          <w:color w:val="231F20"/>
          <w:w w:val="105"/>
        </w:rPr>
        <w:t>aún</w:t>
      </w:r>
      <w:r>
        <w:rPr>
          <w:color w:val="231F20"/>
          <w:spacing w:val="-10"/>
          <w:w w:val="105"/>
        </w:rPr>
        <w:t> </w:t>
      </w:r>
      <w:r>
        <w:rPr>
          <w:color w:val="231F20"/>
          <w:w w:val="105"/>
        </w:rPr>
        <w:t>no</w:t>
      </w:r>
      <w:r>
        <w:rPr>
          <w:color w:val="231F20"/>
          <w:spacing w:val="-10"/>
          <w:w w:val="105"/>
        </w:rPr>
        <w:t> </w:t>
      </w:r>
      <w:r>
        <w:rPr>
          <w:color w:val="231F20"/>
          <w:w w:val="105"/>
        </w:rPr>
        <w:t>concluye.</w:t>
      </w:r>
      <w:r>
        <w:rPr>
          <w:color w:val="231F20"/>
          <w:spacing w:val="-15"/>
          <w:w w:val="105"/>
        </w:rPr>
        <w:t> </w:t>
      </w:r>
      <w:r>
        <w:rPr>
          <w:color w:val="231F20"/>
          <w:w w:val="105"/>
        </w:rPr>
        <w:t>Hasta</w:t>
      </w:r>
      <w:r>
        <w:rPr>
          <w:color w:val="231F20"/>
          <w:spacing w:val="-10"/>
          <w:w w:val="105"/>
        </w:rPr>
        <w:t> </w:t>
      </w:r>
      <w:r>
        <w:rPr>
          <w:color w:val="231F20"/>
          <w:w w:val="105"/>
        </w:rPr>
        <w:t>ahora se han realizado 45 entrevistas a migrantes de retorno de Estados</w:t>
      </w:r>
      <w:r>
        <w:rPr>
          <w:color w:val="231F20"/>
          <w:spacing w:val="-28"/>
          <w:w w:val="105"/>
        </w:rPr>
        <w:t> </w:t>
      </w:r>
      <w:r>
        <w:rPr>
          <w:color w:val="231F20"/>
          <w:w w:val="105"/>
        </w:rPr>
        <w:t>Uni- dos.</w:t>
      </w:r>
      <w:r>
        <w:rPr>
          <w:color w:val="231F20"/>
          <w:spacing w:val="-18"/>
          <w:w w:val="105"/>
        </w:rPr>
        <w:t> </w:t>
      </w:r>
      <w:r>
        <w:rPr>
          <w:color w:val="231F20"/>
          <w:spacing w:val="-5"/>
          <w:w w:val="105"/>
        </w:rPr>
        <w:t>Todos</w:t>
      </w:r>
      <w:r>
        <w:rPr>
          <w:color w:val="231F20"/>
          <w:spacing w:val="-9"/>
          <w:w w:val="105"/>
        </w:rPr>
        <w:t> </w:t>
      </w:r>
      <w:r>
        <w:rPr>
          <w:color w:val="231F20"/>
          <w:w w:val="105"/>
        </w:rPr>
        <w:t>los</w:t>
      </w:r>
      <w:r>
        <w:rPr>
          <w:color w:val="231F20"/>
          <w:spacing w:val="-9"/>
          <w:w w:val="105"/>
        </w:rPr>
        <w:t> </w:t>
      </w:r>
      <w:r>
        <w:rPr>
          <w:color w:val="231F20"/>
          <w:w w:val="105"/>
        </w:rPr>
        <w:t>entrevistados</w:t>
      </w:r>
      <w:r>
        <w:rPr>
          <w:color w:val="231F20"/>
          <w:spacing w:val="-9"/>
          <w:w w:val="105"/>
        </w:rPr>
        <w:t> </w:t>
      </w:r>
      <w:r>
        <w:rPr>
          <w:color w:val="231F20"/>
          <w:w w:val="105"/>
        </w:rPr>
        <w:t>han</w:t>
      </w:r>
      <w:r>
        <w:rPr>
          <w:color w:val="231F20"/>
          <w:spacing w:val="-9"/>
          <w:w w:val="105"/>
        </w:rPr>
        <w:t> </w:t>
      </w:r>
      <w:r>
        <w:rPr>
          <w:color w:val="231F20"/>
          <w:w w:val="105"/>
        </w:rPr>
        <w:t>regresado</w:t>
      </w:r>
      <w:r>
        <w:rPr>
          <w:color w:val="231F20"/>
          <w:spacing w:val="-9"/>
          <w:w w:val="105"/>
        </w:rPr>
        <w:t> </w:t>
      </w:r>
      <w:r>
        <w:rPr>
          <w:color w:val="231F20"/>
          <w:w w:val="105"/>
        </w:rPr>
        <w:t>después</w:t>
      </w:r>
      <w:r>
        <w:rPr>
          <w:color w:val="231F20"/>
          <w:spacing w:val="-9"/>
          <w:w w:val="105"/>
        </w:rPr>
        <w:t> </w:t>
      </w:r>
      <w:r>
        <w:rPr>
          <w:color w:val="231F20"/>
          <w:w w:val="105"/>
        </w:rPr>
        <w:t>de</w:t>
      </w:r>
      <w:r>
        <w:rPr>
          <w:color w:val="231F20"/>
          <w:spacing w:val="-9"/>
          <w:w w:val="105"/>
        </w:rPr>
        <w:t> </w:t>
      </w:r>
      <w:r>
        <w:rPr>
          <w:color w:val="231F20"/>
          <w:w w:val="105"/>
        </w:rPr>
        <w:t>2008</w:t>
      </w:r>
      <w:r>
        <w:rPr>
          <w:color w:val="231F20"/>
          <w:spacing w:val="-9"/>
          <w:w w:val="105"/>
        </w:rPr>
        <w:t> </w:t>
      </w:r>
      <w:r>
        <w:rPr>
          <w:color w:val="231F20"/>
          <w:w w:val="105"/>
        </w:rPr>
        <w:t>y</w:t>
      </w:r>
      <w:r>
        <w:rPr>
          <w:color w:val="231F20"/>
          <w:spacing w:val="-9"/>
          <w:w w:val="105"/>
        </w:rPr>
        <w:t> </w:t>
      </w:r>
      <w:r>
        <w:rPr>
          <w:color w:val="231F20"/>
          <w:w w:val="105"/>
        </w:rPr>
        <w:t>su</w:t>
      </w:r>
      <w:r>
        <w:rPr>
          <w:color w:val="231F20"/>
          <w:spacing w:val="-9"/>
          <w:w w:val="105"/>
        </w:rPr>
        <w:t> </w:t>
      </w:r>
      <w:r>
        <w:rPr>
          <w:color w:val="231F20"/>
          <w:w w:val="105"/>
        </w:rPr>
        <w:t>lugar de residencia se distribuye espacialmente en al menos 12 colonias de este</w:t>
      </w:r>
      <w:r>
        <w:rPr>
          <w:color w:val="231F20"/>
          <w:spacing w:val="-9"/>
          <w:w w:val="105"/>
        </w:rPr>
        <w:t> </w:t>
      </w:r>
      <w:r>
        <w:rPr>
          <w:color w:val="231F20"/>
          <w:w w:val="105"/>
        </w:rPr>
        <w:t>municipio.</w:t>
      </w:r>
      <w:r>
        <w:rPr>
          <w:color w:val="231F20"/>
          <w:spacing w:val="-15"/>
          <w:w w:val="105"/>
        </w:rPr>
        <w:t> </w:t>
      </w:r>
      <w:r>
        <w:rPr>
          <w:color w:val="231F20"/>
          <w:w w:val="105"/>
        </w:rPr>
        <w:t>Se</w:t>
      </w:r>
      <w:r>
        <w:rPr>
          <w:color w:val="231F20"/>
          <w:spacing w:val="-7"/>
          <w:w w:val="105"/>
        </w:rPr>
        <w:t> </w:t>
      </w:r>
      <w:r>
        <w:rPr>
          <w:color w:val="231F20"/>
          <w:w w:val="105"/>
        </w:rPr>
        <w:t>ha</w:t>
      </w:r>
      <w:r>
        <w:rPr>
          <w:color w:val="231F20"/>
          <w:spacing w:val="-7"/>
          <w:w w:val="105"/>
        </w:rPr>
        <w:t> </w:t>
      </w:r>
      <w:r>
        <w:rPr>
          <w:color w:val="231F20"/>
          <w:w w:val="105"/>
        </w:rPr>
        <w:t>buscado</w:t>
      </w:r>
      <w:r>
        <w:rPr>
          <w:color w:val="231F20"/>
          <w:spacing w:val="-7"/>
          <w:w w:val="105"/>
        </w:rPr>
        <w:t> </w:t>
      </w:r>
      <w:r>
        <w:rPr>
          <w:color w:val="231F20"/>
          <w:w w:val="105"/>
        </w:rPr>
        <w:t>incluir</w:t>
      </w:r>
      <w:r>
        <w:rPr>
          <w:color w:val="231F20"/>
          <w:spacing w:val="-7"/>
          <w:w w:val="105"/>
        </w:rPr>
        <w:t> </w:t>
      </w:r>
      <w:r>
        <w:rPr>
          <w:color w:val="231F20"/>
          <w:w w:val="105"/>
        </w:rPr>
        <w:t>diversidad</w:t>
      </w:r>
      <w:r>
        <w:rPr>
          <w:color w:val="231F20"/>
          <w:spacing w:val="-7"/>
          <w:w w:val="105"/>
        </w:rPr>
        <w:t> </w:t>
      </w:r>
      <w:r>
        <w:rPr>
          <w:color w:val="231F20"/>
          <w:w w:val="105"/>
        </w:rPr>
        <w:t>tanto</w:t>
      </w:r>
      <w:r>
        <w:rPr>
          <w:color w:val="231F20"/>
          <w:spacing w:val="-7"/>
          <w:w w:val="105"/>
        </w:rPr>
        <w:t> </w:t>
      </w:r>
      <w:r>
        <w:rPr>
          <w:color w:val="231F20"/>
          <w:w w:val="105"/>
        </w:rPr>
        <w:t>en</w:t>
      </w:r>
      <w:r>
        <w:rPr>
          <w:color w:val="231F20"/>
          <w:spacing w:val="-7"/>
          <w:w w:val="105"/>
        </w:rPr>
        <w:t> </w:t>
      </w:r>
      <w:r>
        <w:rPr>
          <w:color w:val="231F20"/>
          <w:w w:val="105"/>
        </w:rPr>
        <w:t>términos</w:t>
      </w:r>
      <w:r>
        <w:rPr>
          <w:color w:val="231F20"/>
          <w:spacing w:val="-7"/>
          <w:w w:val="105"/>
        </w:rPr>
        <w:t> </w:t>
      </w:r>
      <w:r>
        <w:rPr>
          <w:color w:val="231F20"/>
          <w:w w:val="105"/>
        </w:rPr>
        <w:t>de</w:t>
      </w:r>
      <w:r>
        <w:rPr>
          <w:color w:val="231F20"/>
          <w:spacing w:val="-7"/>
          <w:w w:val="105"/>
        </w:rPr>
        <w:t> </w:t>
      </w:r>
      <w:r>
        <w:rPr>
          <w:color w:val="231F20"/>
          <w:w w:val="105"/>
        </w:rPr>
        <w:t>la colonia de residencia, como en el origen estatal de los migrantes,</w:t>
      </w:r>
      <w:r>
        <w:rPr>
          <w:color w:val="231F20"/>
          <w:spacing w:val="-29"/>
          <w:w w:val="105"/>
        </w:rPr>
        <w:t> </w:t>
      </w:r>
      <w:r>
        <w:rPr>
          <w:color w:val="231F20"/>
          <w:w w:val="105"/>
        </w:rPr>
        <w:t>debi- do a que su localización en el municipio podría dar cuenta de la forma- ción</w:t>
      </w:r>
      <w:r>
        <w:rPr>
          <w:color w:val="231F20"/>
          <w:spacing w:val="-13"/>
          <w:w w:val="105"/>
        </w:rPr>
        <w:t> </w:t>
      </w:r>
      <w:r>
        <w:rPr>
          <w:color w:val="231F20"/>
          <w:w w:val="105"/>
        </w:rPr>
        <w:t>de</w:t>
      </w:r>
      <w:r>
        <w:rPr>
          <w:color w:val="231F20"/>
          <w:spacing w:val="-13"/>
          <w:w w:val="105"/>
        </w:rPr>
        <w:t> </w:t>
      </w:r>
      <w:r>
        <w:rPr>
          <w:color w:val="231F20"/>
          <w:w w:val="105"/>
        </w:rPr>
        <w:t>ciertas</w:t>
      </w:r>
      <w:r>
        <w:rPr>
          <w:color w:val="231F20"/>
          <w:spacing w:val="-13"/>
          <w:w w:val="105"/>
        </w:rPr>
        <w:t> </w:t>
      </w:r>
      <w:r>
        <w:rPr>
          <w:color w:val="231F20"/>
          <w:w w:val="105"/>
        </w:rPr>
        <w:t>redes</w:t>
      </w:r>
      <w:r>
        <w:rPr>
          <w:color w:val="231F20"/>
          <w:spacing w:val="-13"/>
          <w:w w:val="105"/>
        </w:rPr>
        <w:t> </w:t>
      </w:r>
      <w:r>
        <w:rPr>
          <w:color w:val="231F20"/>
          <w:w w:val="105"/>
        </w:rPr>
        <w:t>de</w:t>
      </w:r>
      <w:r>
        <w:rPr>
          <w:color w:val="231F20"/>
          <w:spacing w:val="-13"/>
          <w:w w:val="105"/>
        </w:rPr>
        <w:t> </w:t>
      </w:r>
      <w:r>
        <w:rPr>
          <w:color w:val="231F20"/>
          <w:w w:val="105"/>
        </w:rPr>
        <w:t>paisaje</w:t>
      </w:r>
      <w:r>
        <w:rPr>
          <w:color w:val="231F20"/>
          <w:spacing w:val="-13"/>
          <w:w w:val="105"/>
        </w:rPr>
        <w:t> </w:t>
      </w:r>
      <w:r>
        <w:rPr>
          <w:color w:val="231F20"/>
          <w:w w:val="105"/>
        </w:rPr>
        <w:t>local-estatal</w:t>
      </w:r>
      <w:r>
        <w:rPr>
          <w:color w:val="231F20"/>
          <w:spacing w:val="-13"/>
          <w:w w:val="105"/>
        </w:rPr>
        <w:t> </w:t>
      </w:r>
      <w:r>
        <w:rPr>
          <w:color w:val="231F20"/>
          <w:w w:val="105"/>
        </w:rPr>
        <w:t>en</w:t>
      </w:r>
      <w:r>
        <w:rPr>
          <w:color w:val="231F20"/>
          <w:spacing w:val="-13"/>
          <w:w w:val="105"/>
        </w:rPr>
        <w:t> </w:t>
      </w:r>
      <w:r>
        <w:rPr>
          <w:color w:val="231F20"/>
          <w:w w:val="105"/>
        </w:rPr>
        <w:t>algunas</w:t>
      </w:r>
      <w:r>
        <w:rPr>
          <w:color w:val="231F20"/>
          <w:spacing w:val="-13"/>
          <w:w w:val="105"/>
        </w:rPr>
        <w:t> </w:t>
      </w:r>
      <w:r>
        <w:rPr>
          <w:color w:val="231F20"/>
          <w:w w:val="105"/>
        </w:rPr>
        <w:t>demarcaciones espaciales</w:t>
      </w:r>
      <w:r>
        <w:rPr>
          <w:color w:val="231F20"/>
          <w:spacing w:val="-21"/>
          <w:w w:val="105"/>
        </w:rPr>
        <w:t> </w:t>
      </w:r>
      <w:r>
        <w:rPr>
          <w:color w:val="231F20"/>
          <w:w w:val="105"/>
        </w:rPr>
        <w:t>donde</w:t>
      </w:r>
      <w:r>
        <w:rPr>
          <w:color w:val="231F20"/>
          <w:spacing w:val="-21"/>
          <w:w w:val="105"/>
        </w:rPr>
        <w:t> </w:t>
      </w:r>
      <w:r>
        <w:rPr>
          <w:color w:val="231F20"/>
          <w:w w:val="105"/>
        </w:rPr>
        <w:t>existe</w:t>
      </w:r>
      <w:r>
        <w:rPr>
          <w:color w:val="231F20"/>
          <w:spacing w:val="-21"/>
          <w:w w:val="105"/>
        </w:rPr>
        <w:t> </w:t>
      </w:r>
      <w:r>
        <w:rPr>
          <w:color w:val="231F20"/>
          <w:w w:val="105"/>
        </w:rPr>
        <w:t>una</w:t>
      </w:r>
      <w:r>
        <w:rPr>
          <w:color w:val="231F20"/>
          <w:spacing w:val="-21"/>
          <w:w w:val="105"/>
        </w:rPr>
        <w:t> </w:t>
      </w:r>
      <w:r>
        <w:rPr>
          <w:color w:val="231F20"/>
          <w:w w:val="105"/>
        </w:rPr>
        <w:t>alta</w:t>
      </w:r>
      <w:r>
        <w:rPr>
          <w:color w:val="231F20"/>
          <w:spacing w:val="-21"/>
          <w:w w:val="105"/>
        </w:rPr>
        <w:t> </w:t>
      </w:r>
      <w:r>
        <w:rPr>
          <w:color w:val="231F20"/>
          <w:w w:val="105"/>
        </w:rPr>
        <w:t>convergencia</w:t>
      </w:r>
      <w:r>
        <w:rPr>
          <w:color w:val="231F20"/>
          <w:spacing w:val="-21"/>
          <w:w w:val="105"/>
        </w:rPr>
        <w:t> </w:t>
      </w:r>
      <w:r>
        <w:rPr>
          <w:color w:val="231F20"/>
          <w:w w:val="105"/>
        </w:rPr>
        <w:t>de</w:t>
      </w:r>
      <w:r>
        <w:rPr>
          <w:color w:val="231F20"/>
          <w:spacing w:val="-21"/>
          <w:w w:val="105"/>
        </w:rPr>
        <w:t> </w:t>
      </w:r>
      <w:r>
        <w:rPr>
          <w:color w:val="231F20"/>
          <w:w w:val="105"/>
        </w:rPr>
        <w:t>migrantes</w:t>
      </w:r>
      <w:r>
        <w:rPr>
          <w:color w:val="231F20"/>
          <w:spacing w:val="-21"/>
          <w:w w:val="105"/>
        </w:rPr>
        <w:t> </w:t>
      </w:r>
      <w:r>
        <w:rPr>
          <w:color w:val="231F20"/>
          <w:w w:val="105"/>
        </w:rPr>
        <w:t>internos</w:t>
      </w:r>
      <w:r>
        <w:rPr>
          <w:color w:val="231F20"/>
          <w:spacing w:val="-21"/>
          <w:w w:val="105"/>
        </w:rPr>
        <w:t> </w:t>
      </w:r>
      <w:r>
        <w:rPr>
          <w:color w:val="231F20"/>
          <w:w w:val="105"/>
        </w:rPr>
        <w:t>del mismo</w:t>
      </w:r>
      <w:r>
        <w:rPr>
          <w:color w:val="231F20"/>
          <w:spacing w:val="-12"/>
          <w:w w:val="105"/>
        </w:rPr>
        <w:t> </w:t>
      </w:r>
      <w:r>
        <w:rPr>
          <w:color w:val="231F20"/>
          <w:w w:val="105"/>
        </w:rPr>
        <w:t>origen</w:t>
      </w:r>
      <w:r>
        <w:rPr>
          <w:color w:val="231F20"/>
          <w:spacing w:val="-12"/>
          <w:w w:val="105"/>
        </w:rPr>
        <w:t> </w:t>
      </w:r>
      <w:r>
        <w:rPr>
          <w:color w:val="231F20"/>
          <w:w w:val="105"/>
        </w:rPr>
        <w:t>estatal.</w:t>
      </w:r>
      <w:r>
        <w:rPr>
          <w:color w:val="231F20"/>
          <w:spacing w:val="-22"/>
          <w:w w:val="105"/>
        </w:rPr>
        <w:t> </w:t>
      </w:r>
      <w:r>
        <w:rPr>
          <w:color w:val="231F20"/>
          <w:w w:val="105"/>
        </w:rPr>
        <w:t>Así,</w:t>
      </w:r>
      <w:r>
        <w:rPr>
          <w:color w:val="231F20"/>
          <w:spacing w:val="-19"/>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fin</w:t>
      </w:r>
      <w:r>
        <w:rPr>
          <w:color w:val="231F20"/>
          <w:spacing w:val="-12"/>
          <w:w w:val="105"/>
        </w:rPr>
        <w:t> </w:t>
      </w:r>
      <w:r>
        <w:rPr>
          <w:color w:val="231F20"/>
          <w:w w:val="105"/>
        </w:rPr>
        <w:t>de</w:t>
      </w:r>
      <w:r>
        <w:rPr>
          <w:color w:val="231F20"/>
          <w:spacing w:val="-12"/>
          <w:w w:val="105"/>
        </w:rPr>
        <w:t> </w:t>
      </w:r>
      <w:r>
        <w:rPr>
          <w:color w:val="231F20"/>
          <w:w w:val="105"/>
        </w:rPr>
        <w:t>no</w:t>
      </w:r>
      <w:r>
        <w:rPr>
          <w:color w:val="231F20"/>
          <w:spacing w:val="-12"/>
          <w:w w:val="105"/>
        </w:rPr>
        <w:t> </w:t>
      </w:r>
      <w:r>
        <w:rPr>
          <w:color w:val="231F20"/>
          <w:w w:val="105"/>
        </w:rPr>
        <w:t>concentrar</w:t>
      </w:r>
      <w:r>
        <w:rPr>
          <w:color w:val="231F20"/>
          <w:spacing w:val="-12"/>
          <w:w w:val="105"/>
        </w:rPr>
        <w:t> </w:t>
      </w:r>
      <w:r>
        <w:rPr>
          <w:color w:val="231F20"/>
          <w:w w:val="105"/>
        </w:rPr>
        <w:t>un</w:t>
      </w:r>
      <w:r>
        <w:rPr>
          <w:color w:val="231F20"/>
          <w:spacing w:val="-12"/>
          <w:w w:val="105"/>
        </w:rPr>
        <w:t> </w:t>
      </w:r>
      <w:r>
        <w:rPr>
          <w:color w:val="231F20"/>
          <w:w w:val="105"/>
        </w:rPr>
        <w:t>gran</w:t>
      </w:r>
      <w:r>
        <w:rPr>
          <w:color w:val="231F20"/>
          <w:spacing w:val="-12"/>
          <w:w w:val="105"/>
        </w:rPr>
        <w:t> </w:t>
      </w:r>
      <w:r>
        <w:rPr>
          <w:color w:val="231F20"/>
          <w:w w:val="105"/>
        </w:rPr>
        <w:t>número</w:t>
      </w:r>
      <w:r>
        <w:rPr>
          <w:color w:val="231F20"/>
          <w:spacing w:val="-12"/>
          <w:w w:val="105"/>
        </w:rPr>
        <w:t> </w:t>
      </w:r>
      <w:r>
        <w:rPr>
          <w:color w:val="231F20"/>
          <w:w w:val="105"/>
        </w:rPr>
        <w:t>de entrevistas</w:t>
      </w:r>
      <w:r>
        <w:rPr>
          <w:color w:val="231F20"/>
          <w:spacing w:val="-12"/>
          <w:w w:val="105"/>
        </w:rPr>
        <w:t> </w:t>
      </w:r>
      <w:r>
        <w:rPr>
          <w:color w:val="231F20"/>
          <w:w w:val="105"/>
        </w:rPr>
        <w:t>en</w:t>
      </w:r>
      <w:r>
        <w:rPr>
          <w:color w:val="231F20"/>
          <w:spacing w:val="-12"/>
          <w:w w:val="105"/>
        </w:rPr>
        <w:t> </w:t>
      </w:r>
      <w:r>
        <w:rPr>
          <w:color w:val="231F20"/>
          <w:w w:val="105"/>
        </w:rPr>
        <w:t>las</w:t>
      </w:r>
      <w:r>
        <w:rPr>
          <w:color w:val="231F20"/>
          <w:spacing w:val="-12"/>
          <w:w w:val="105"/>
        </w:rPr>
        <w:t> </w:t>
      </w:r>
      <w:r>
        <w:rPr>
          <w:color w:val="231F20"/>
          <w:w w:val="105"/>
        </w:rPr>
        <w:t>mismas</w:t>
      </w:r>
      <w:r>
        <w:rPr>
          <w:color w:val="231F20"/>
          <w:spacing w:val="-12"/>
          <w:w w:val="105"/>
        </w:rPr>
        <w:t> </w:t>
      </w:r>
      <w:r>
        <w:rPr>
          <w:color w:val="231F20"/>
          <w:w w:val="105"/>
        </w:rPr>
        <w:t>redes</w:t>
      </w:r>
      <w:r>
        <w:rPr>
          <w:color w:val="231F20"/>
          <w:spacing w:val="-12"/>
          <w:w w:val="105"/>
        </w:rPr>
        <w:t> </w:t>
      </w:r>
      <w:r>
        <w:rPr>
          <w:color w:val="231F20"/>
          <w:w w:val="105"/>
        </w:rPr>
        <w:t>de</w:t>
      </w:r>
      <w:r>
        <w:rPr>
          <w:color w:val="231F20"/>
          <w:spacing w:val="-12"/>
          <w:w w:val="105"/>
        </w:rPr>
        <w:t> </w:t>
      </w:r>
      <w:r>
        <w:rPr>
          <w:color w:val="231F20"/>
          <w:w w:val="105"/>
        </w:rPr>
        <w:t>migrantes,</w:t>
      </w:r>
      <w:r>
        <w:rPr>
          <w:color w:val="231F20"/>
          <w:spacing w:val="-17"/>
          <w:w w:val="105"/>
        </w:rPr>
        <w:t> </w:t>
      </w:r>
      <w:r>
        <w:rPr>
          <w:color w:val="231F20"/>
          <w:w w:val="105"/>
        </w:rPr>
        <w:t>se</w:t>
      </w:r>
      <w:r>
        <w:rPr>
          <w:color w:val="231F20"/>
          <w:spacing w:val="-12"/>
          <w:w w:val="105"/>
        </w:rPr>
        <w:t> </w:t>
      </w:r>
      <w:r>
        <w:rPr>
          <w:color w:val="231F20"/>
          <w:w w:val="105"/>
        </w:rPr>
        <w:t>ha</w:t>
      </w:r>
      <w:r>
        <w:rPr>
          <w:color w:val="231F20"/>
          <w:spacing w:val="-12"/>
          <w:w w:val="105"/>
        </w:rPr>
        <w:t> </w:t>
      </w:r>
      <w:r>
        <w:rPr>
          <w:color w:val="231F20"/>
          <w:w w:val="105"/>
        </w:rPr>
        <w:t>roto</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secuen- cia de la </w:t>
      </w:r>
      <w:r>
        <w:rPr>
          <w:rFonts w:ascii="Arial" w:hAnsi="Arial"/>
          <w:i/>
          <w:color w:val="231F20"/>
          <w:w w:val="105"/>
        </w:rPr>
        <w:t>bola de nieve </w:t>
      </w:r>
      <w:r>
        <w:rPr>
          <w:color w:val="231F20"/>
          <w:w w:val="105"/>
        </w:rPr>
        <w:t>al alcanzar el punto de saturación respecto de los</w:t>
      </w:r>
      <w:r>
        <w:rPr>
          <w:color w:val="231F20"/>
          <w:spacing w:val="-6"/>
          <w:w w:val="105"/>
        </w:rPr>
        <w:t> </w:t>
      </w:r>
      <w:r>
        <w:rPr>
          <w:color w:val="231F20"/>
          <w:w w:val="105"/>
        </w:rPr>
        <w:t>lugares</w:t>
      </w:r>
      <w:r>
        <w:rPr>
          <w:color w:val="231F20"/>
          <w:spacing w:val="-6"/>
          <w:w w:val="105"/>
        </w:rPr>
        <w:t> </w:t>
      </w:r>
      <w:r>
        <w:rPr>
          <w:color w:val="231F20"/>
          <w:w w:val="105"/>
        </w:rPr>
        <w:t>de</w:t>
      </w:r>
      <w:r>
        <w:rPr>
          <w:color w:val="231F20"/>
          <w:spacing w:val="-6"/>
          <w:w w:val="105"/>
        </w:rPr>
        <w:t> </w:t>
      </w:r>
      <w:r>
        <w:rPr>
          <w:color w:val="231F20"/>
          <w:w w:val="105"/>
        </w:rPr>
        <w:t>destino</w:t>
      </w:r>
      <w:r>
        <w:rPr>
          <w:color w:val="231F20"/>
          <w:spacing w:val="-6"/>
          <w:w w:val="105"/>
        </w:rPr>
        <w:t> </w:t>
      </w:r>
      <w:r>
        <w:rPr>
          <w:color w:val="231F20"/>
          <w:w w:val="105"/>
        </w:rPr>
        <w:t>internacional,</w:t>
      </w:r>
      <w:r>
        <w:rPr>
          <w:color w:val="231F20"/>
          <w:spacing w:val="-11"/>
          <w:w w:val="105"/>
        </w:rPr>
        <w:t> </w:t>
      </w:r>
      <w:r>
        <w:rPr>
          <w:color w:val="231F20"/>
          <w:w w:val="105"/>
        </w:rPr>
        <w:t>lugares</w:t>
      </w:r>
      <w:r>
        <w:rPr>
          <w:color w:val="231F20"/>
          <w:spacing w:val="-6"/>
          <w:w w:val="105"/>
        </w:rPr>
        <w:t> </w:t>
      </w:r>
      <w:r>
        <w:rPr>
          <w:color w:val="231F20"/>
          <w:w w:val="105"/>
        </w:rPr>
        <w:t>de</w:t>
      </w:r>
      <w:r>
        <w:rPr>
          <w:color w:val="231F20"/>
          <w:spacing w:val="-6"/>
          <w:w w:val="105"/>
        </w:rPr>
        <w:t> </w:t>
      </w:r>
      <w:r>
        <w:rPr>
          <w:color w:val="231F20"/>
          <w:w w:val="105"/>
        </w:rPr>
        <w:t>procedencia</w:t>
      </w:r>
      <w:r>
        <w:rPr>
          <w:color w:val="231F20"/>
          <w:spacing w:val="-6"/>
          <w:w w:val="105"/>
        </w:rPr>
        <w:t> </w:t>
      </w:r>
      <w:r>
        <w:rPr>
          <w:color w:val="231F20"/>
          <w:w w:val="105"/>
        </w:rPr>
        <w:t>estatal</w:t>
      </w:r>
      <w:r>
        <w:rPr>
          <w:color w:val="231F20"/>
          <w:spacing w:val="-6"/>
          <w:w w:val="105"/>
        </w:rPr>
        <w:t> </w:t>
      </w:r>
      <w:r>
        <w:rPr>
          <w:color w:val="231F20"/>
          <w:w w:val="105"/>
        </w:rPr>
        <w:t>y</w:t>
      </w:r>
      <w:r>
        <w:rPr>
          <w:color w:val="231F20"/>
          <w:spacing w:val="-6"/>
          <w:w w:val="105"/>
        </w:rPr>
        <w:t> </w:t>
      </w:r>
      <w:r>
        <w:rPr>
          <w:color w:val="231F20"/>
          <w:w w:val="105"/>
        </w:rPr>
        <w:t>la experiencia</w:t>
      </w:r>
      <w:r>
        <w:rPr>
          <w:color w:val="231F20"/>
          <w:spacing w:val="-12"/>
          <w:w w:val="105"/>
        </w:rPr>
        <w:t> </w:t>
      </w:r>
      <w:r>
        <w:rPr>
          <w:color w:val="231F20"/>
          <w:w w:val="105"/>
        </w:rPr>
        <w:t>laboral-migratoria</w:t>
      </w:r>
      <w:r>
        <w:rPr>
          <w:color w:val="231F20"/>
          <w:spacing w:val="-12"/>
          <w:w w:val="105"/>
        </w:rPr>
        <w:t> </w:t>
      </w:r>
      <w:r>
        <w:rPr>
          <w:color w:val="231F20"/>
          <w:w w:val="105"/>
        </w:rPr>
        <w:t>(Denzin,</w:t>
      </w:r>
      <w:r>
        <w:rPr>
          <w:color w:val="231F20"/>
          <w:spacing w:val="-17"/>
          <w:w w:val="105"/>
        </w:rPr>
        <w:t> </w:t>
      </w:r>
      <w:r>
        <w:rPr>
          <w:color w:val="231F20"/>
          <w:w w:val="105"/>
        </w:rPr>
        <w:t>1989).</w:t>
      </w:r>
      <w:r>
        <w:rPr>
          <w:color w:val="231F20"/>
          <w:spacing w:val="-17"/>
          <w:w w:val="105"/>
        </w:rPr>
        <w:t> </w:t>
      </w:r>
      <w:r>
        <w:rPr>
          <w:color w:val="231F20"/>
          <w:w w:val="105"/>
        </w:rPr>
        <w:t>Esto</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1"/>
          <w:w w:val="105"/>
        </w:rPr>
        <w:t> </w:t>
      </w:r>
      <w:r>
        <w:rPr>
          <w:color w:val="231F20"/>
          <w:w w:val="105"/>
        </w:rPr>
        <w:t>fin</w:t>
      </w:r>
      <w:r>
        <w:rPr>
          <w:color w:val="231F20"/>
          <w:spacing w:val="-11"/>
          <w:w w:val="105"/>
        </w:rPr>
        <w:t> </w:t>
      </w:r>
      <w:r>
        <w:rPr>
          <w:color w:val="231F20"/>
          <w:w w:val="105"/>
        </w:rPr>
        <w:t>de</w:t>
      </w:r>
      <w:r>
        <w:rPr>
          <w:color w:val="231F20"/>
          <w:spacing w:val="-12"/>
          <w:w w:val="105"/>
        </w:rPr>
        <w:t> </w:t>
      </w:r>
      <w:r>
        <w:rPr>
          <w:color w:val="231F20"/>
          <w:w w:val="105"/>
        </w:rPr>
        <w:t>incluir</w:t>
      </w:r>
      <w:r>
        <w:rPr>
          <w:color w:val="231F20"/>
          <w:spacing w:val="-12"/>
          <w:w w:val="105"/>
        </w:rPr>
        <w:t> </w:t>
      </w:r>
      <w:r>
        <w:rPr>
          <w:color w:val="231F20"/>
          <w:w w:val="105"/>
        </w:rPr>
        <w:t>a inmigrantes procedentes de diversos sitios en Estados Unidos y de orí- </w:t>
      </w:r>
      <w:r>
        <w:rPr>
          <w:color w:val="231F20"/>
        </w:rPr>
        <w:t>genes estatales</w:t>
      </w:r>
      <w:r>
        <w:rPr>
          <w:color w:val="231F20"/>
          <w:spacing w:val="11"/>
        </w:rPr>
        <w:t> </w:t>
      </w:r>
      <w:r>
        <w:rPr>
          <w:color w:val="231F20"/>
        </w:rPr>
        <w:t>variados.</w:t>
      </w:r>
    </w:p>
    <w:p>
      <w:pPr>
        <w:pStyle w:val="BodyText"/>
        <w:spacing w:line="261" w:lineRule="auto" w:before="1"/>
        <w:ind w:left="1723" w:right="1828" w:firstLine="567"/>
        <w:jc w:val="both"/>
      </w:pP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siguiente</w:t>
      </w:r>
      <w:r>
        <w:rPr>
          <w:color w:val="231F20"/>
          <w:spacing w:val="-32"/>
          <w:w w:val="105"/>
        </w:rPr>
        <w:t> </w:t>
      </w:r>
      <w:r>
        <w:rPr>
          <w:color w:val="231F20"/>
          <w:w w:val="105"/>
        </w:rPr>
        <w:t>apartado</w:t>
      </w:r>
      <w:r>
        <w:rPr>
          <w:color w:val="231F20"/>
          <w:spacing w:val="-32"/>
          <w:w w:val="105"/>
        </w:rPr>
        <w:t> </w:t>
      </w:r>
      <w:r>
        <w:rPr>
          <w:color w:val="231F20"/>
          <w:w w:val="105"/>
        </w:rPr>
        <w:t>se</w:t>
      </w:r>
      <w:r>
        <w:rPr>
          <w:color w:val="231F20"/>
          <w:spacing w:val="-32"/>
          <w:w w:val="105"/>
        </w:rPr>
        <w:t> </w:t>
      </w:r>
      <w:r>
        <w:rPr>
          <w:color w:val="231F20"/>
          <w:w w:val="105"/>
        </w:rPr>
        <w:t>presentan</w:t>
      </w:r>
      <w:r>
        <w:rPr>
          <w:color w:val="231F20"/>
          <w:spacing w:val="-32"/>
          <w:w w:val="105"/>
        </w:rPr>
        <w:t> </w:t>
      </w:r>
      <w:r>
        <w:rPr>
          <w:color w:val="231F20"/>
          <w:w w:val="105"/>
        </w:rPr>
        <w:t>las</w:t>
      </w:r>
      <w:r>
        <w:rPr>
          <w:color w:val="231F20"/>
          <w:spacing w:val="-32"/>
          <w:w w:val="105"/>
        </w:rPr>
        <w:t> </w:t>
      </w:r>
      <w:r>
        <w:rPr>
          <w:color w:val="231F20"/>
          <w:w w:val="105"/>
        </w:rPr>
        <w:t>construcciones</w:t>
      </w:r>
      <w:r>
        <w:rPr>
          <w:color w:val="231F20"/>
          <w:spacing w:val="-32"/>
          <w:w w:val="105"/>
        </w:rPr>
        <w:t> </w:t>
      </w:r>
      <w:r>
        <w:rPr>
          <w:color w:val="231F20"/>
          <w:w w:val="105"/>
        </w:rPr>
        <w:t>narrativas de corte biográfico a manera de viñetas. Cabe señalar que se</w:t>
      </w:r>
      <w:r>
        <w:rPr>
          <w:color w:val="231F20"/>
          <w:spacing w:val="-39"/>
          <w:w w:val="105"/>
        </w:rPr>
        <w:t> </w:t>
      </w:r>
      <w:r>
        <w:rPr>
          <w:color w:val="231F20"/>
          <w:w w:val="105"/>
        </w:rPr>
        <w:t>utilizaron diversos</w:t>
      </w:r>
      <w:r>
        <w:rPr>
          <w:color w:val="231F20"/>
          <w:spacing w:val="-19"/>
          <w:w w:val="105"/>
        </w:rPr>
        <w:t> </w:t>
      </w:r>
      <w:r>
        <w:rPr>
          <w:color w:val="231F20"/>
          <w:w w:val="105"/>
        </w:rPr>
        <w:t>procedimientos</w:t>
      </w:r>
      <w:r>
        <w:rPr>
          <w:color w:val="231F20"/>
          <w:spacing w:val="-19"/>
          <w:w w:val="105"/>
        </w:rPr>
        <w:t> </w:t>
      </w:r>
      <w:r>
        <w:rPr>
          <w:color w:val="231F20"/>
          <w:w w:val="105"/>
        </w:rPr>
        <w:t>analíticos</w:t>
      </w:r>
      <w:r>
        <w:rPr>
          <w:color w:val="231F20"/>
          <w:spacing w:val="-19"/>
          <w:w w:val="105"/>
        </w:rPr>
        <w:t> </w:t>
      </w:r>
      <w:r>
        <w:rPr>
          <w:color w:val="231F20"/>
          <w:w w:val="105"/>
        </w:rPr>
        <w:t>para</w:t>
      </w:r>
      <w:r>
        <w:rPr>
          <w:color w:val="231F20"/>
          <w:spacing w:val="-19"/>
          <w:w w:val="105"/>
        </w:rPr>
        <w:t> </w:t>
      </w:r>
      <w:r>
        <w:rPr>
          <w:color w:val="231F20"/>
          <w:w w:val="105"/>
        </w:rPr>
        <w:t>la</w:t>
      </w:r>
      <w:r>
        <w:rPr>
          <w:color w:val="231F20"/>
          <w:spacing w:val="-19"/>
          <w:w w:val="105"/>
        </w:rPr>
        <w:t> </w:t>
      </w:r>
      <w:r>
        <w:rPr>
          <w:color w:val="231F20"/>
          <w:w w:val="105"/>
        </w:rPr>
        <w:t>construcción</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narrativas biográficas.</w:t>
      </w:r>
      <w:r>
        <w:rPr>
          <w:color w:val="231F20"/>
          <w:spacing w:val="-32"/>
          <w:w w:val="105"/>
        </w:rPr>
        <w:t> </w:t>
      </w:r>
      <w:r>
        <w:rPr>
          <w:color w:val="231F20"/>
          <w:spacing w:val="-3"/>
          <w:w w:val="105"/>
        </w:rPr>
        <w:t>Primero,</w:t>
      </w:r>
      <w:r>
        <w:rPr>
          <w:color w:val="231F20"/>
          <w:spacing w:val="-32"/>
          <w:w w:val="105"/>
        </w:rPr>
        <w:t> </w:t>
      </w:r>
      <w:r>
        <w:rPr>
          <w:color w:val="231F20"/>
          <w:w w:val="105"/>
        </w:rPr>
        <w:t>se</w:t>
      </w:r>
      <w:r>
        <w:rPr>
          <w:color w:val="231F20"/>
          <w:spacing w:val="-28"/>
          <w:w w:val="105"/>
        </w:rPr>
        <w:t> </w:t>
      </w:r>
      <w:r>
        <w:rPr>
          <w:color w:val="231F20"/>
          <w:w w:val="105"/>
        </w:rPr>
        <w:t>desarrolló</w:t>
      </w:r>
      <w:r>
        <w:rPr>
          <w:color w:val="231F20"/>
          <w:spacing w:val="-28"/>
          <w:w w:val="105"/>
        </w:rPr>
        <w:t> </w:t>
      </w:r>
      <w:r>
        <w:rPr>
          <w:color w:val="231F20"/>
          <w:w w:val="105"/>
        </w:rPr>
        <w:t>un</w:t>
      </w:r>
      <w:r>
        <w:rPr>
          <w:color w:val="231F20"/>
          <w:spacing w:val="-28"/>
          <w:w w:val="105"/>
        </w:rPr>
        <w:t> </w:t>
      </w:r>
      <w:r>
        <w:rPr>
          <w:color w:val="231F20"/>
          <w:w w:val="105"/>
        </w:rPr>
        <w:t>análisis</w:t>
      </w:r>
      <w:r>
        <w:rPr>
          <w:color w:val="231F20"/>
          <w:spacing w:val="-28"/>
          <w:w w:val="105"/>
        </w:rPr>
        <w:t> </w:t>
      </w:r>
      <w:r>
        <w:rPr>
          <w:color w:val="231F20"/>
          <w:w w:val="105"/>
        </w:rPr>
        <w:t>básico</w:t>
      </w:r>
      <w:r>
        <w:rPr>
          <w:color w:val="231F20"/>
          <w:spacing w:val="-28"/>
          <w:w w:val="105"/>
        </w:rPr>
        <w:t> </w:t>
      </w:r>
      <w:r>
        <w:rPr>
          <w:color w:val="231F20"/>
          <w:w w:val="105"/>
        </w:rPr>
        <w:t>de</w:t>
      </w:r>
      <w:r>
        <w:rPr>
          <w:color w:val="231F20"/>
          <w:spacing w:val="-28"/>
          <w:w w:val="105"/>
        </w:rPr>
        <w:t> </w:t>
      </w:r>
      <w:r>
        <w:rPr>
          <w:color w:val="231F20"/>
          <w:w w:val="105"/>
        </w:rPr>
        <w:t>trayectorias</w:t>
      </w:r>
      <w:r>
        <w:rPr>
          <w:color w:val="231F20"/>
          <w:spacing w:val="-28"/>
          <w:w w:val="105"/>
        </w:rPr>
        <w:t> </w:t>
      </w:r>
      <w:r>
        <w:rPr>
          <w:color w:val="231F20"/>
          <w:w w:val="105"/>
        </w:rPr>
        <w:t>labo- rales</w:t>
      </w:r>
      <w:r>
        <w:rPr>
          <w:color w:val="231F20"/>
          <w:spacing w:val="-7"/>
          <w:w w:val="105"/>
        </w:rPr>
        <w:t> </w:t>
      </w:r>
      <w:r>
        <w:rPr>
          <w:color w:val="231F20"/>
          <w:w w:val="105"/>
        </w:rPr>
        <w:t>y</w:t>
      </w:r>
      <w:r>
        <w:rPr>
          <w:color w:val="231F20"/>
          <w:spacing w:val="-7"/>
          <w:w w:val="105"/>
        </w:rPr>
        <w:t> </w:t>
      </w:r>
      <w:r>
        <w:rPr>
          <w:color w:val="231F20"/>
          <w:w w:val="105"/>
        </w:rPr>
        <w:t>migratorias</w:t>
      </w:r>
      <w:r>
        <w:rPr>
          <w:color w:val="231F20"/>
          <w:spacing w:val="-7"/>
          <w:w w:val="105"/>
        </w:rPr>
        <w:t> </w:t>
      </w:r>
      <w:r>
        <w:rPr>
          <w:color w:val="231F20"/>
          <w:w w:val="105"/>
        </w:rPr>
        <w:t>que</w:t>
      </w:r>
      <w:r>
        <w:rPr>
          <w:color w:val="231F20"/>
          <w:spacing w:val="-7"/>
          <w:w w:val="105"/>
        </w:rPr>
        <w:t> </w:t>
      </w:r>
      <w:r>
        <w:rPr>
          <w:color w:val="231F20"/>
          <w:w w:val="105"/>
        </w:rPr>
        <w:t>requirió</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amplio</w:t>
      </w:r>
      <w:r>
        <w:rPr>
          <w:color w:val="231F20"/>
          <w:spacing w:val="-7"/>
          <w:w w:val="105"/>
        </w:rPr>
        <w:t> </w:t>
      </w:r>
      <w:r>
        <w:rPr>
          <w:color w:val="231F20"/>
          <w:w w:val="105"/>
        </w:rPr>
        <w:t>trabajo</w:t>
      </w:r>
      <w:r>
        <w:rPr>
          <w:color w:val="231F20"/>
          <w:spacing w:val="-7"/>
          <w:w w:val="105"/>
        </w:rPr>
        <w:t> </w:t>
      </w:r>
      <w:r>
        <w:rPr>
          <w:color w:val="231F20"/>
          <w:w w:val="105"/>
        </w:rPr>
        <w:t>descriptivo.</w:t>
      </w:r>
      <w:r>
        <w:rPr>
          <w:color w:val="231F20"/>
          <w:spacing w:val="-13"/>
          <w:w w:val="105"/>
        </w:rPr>
        <w:t> </w:t>
      </w:r>
      <w:r>
        <w:rPr>
          <w:color w:val="231F20"/>
          <w:w w:val="105"/>
        </w:rPr>
        <w:t>Luego, se</w:t>
      </w:r>
      <w:r>
        <w:rPr>
          <w:color w:val="231F20"/>
          <w:spacing w:val="-17"/>
          <w:w w:val="105"/>
        </w:rPr>
        <w:t> </w:t>
      </w:r>
      <w:r>
        <w:rPr>
          <w:color w:val="231F20"/>
          <w:w w:val="105"/>
        </w:rPr>
        <w:t>ensayó</w:t>
      </w:r>
      <w:r>
        <w:rPr>
          <w:color w:val="231F20"/>
          <w:spacing w:val="-17"/>
          <w:w w:val="105"/>
        </w:rPr>
        <w:t> </w:t>
      </w:r>
      <w:r>
        <w:rPr>
          <w:color w:val="231F20"/>
          <w:w w:val="105"/>
        </w:rPr>
        <w:t>un</w:t>
      </w:r>
      <w:r>
        <w:rPr>
          <w:color w:val="231F20"/>
          <w:spacing w:val="-17"/>
          <w:w w:val="105"/>
        </w:rPr>
        <w:t> </w:t>
      </w:r>
      <w:r>
        <w:rPr>
          <w:color w:val="231F20"/>
          <w:w w:val="105"/>
        </w:rPr>
        <w:t>modelo</w:t>
      </w:r>
      <w:r>
        <w:rPr>
          <w:color w:val="231F20"/>
          <w:spacing w:val="-17"/>
          <w:w w:val="105"/>
        </w:rPr>
        <w:t> </w:t>
      </w:r>
      <w:r>
        <w:rPr>
          <w:color w:val="231F20"/>
          <w:w w:val="105"/>
        </w:rPr>
        <w:t>prototípico</w:t>
      </w:r>
      <w:r>
        <w:rPr>
          <w:color w:val="231F20"/>
          <w:spacing w:val="-17"/>
          <w:w w:val="105"/>
        </w:rPr>
        <w:t> </w:t>
      </w:r>
      <w:r>
        <w:rPr>
          <w:color w:val="231F20"/>
          <w:w w:val="105"/>
        </w:rPr>
        <w:t>a</w:t>
      </w:r>
      <w:r>
        <w:rPr>
          <w:color w:val="231F20"/>
          <w:spacing w:val="-17"/>
          <w:w w:val="105"/>
        </w:rPr>
        <w:t> </w:t>
      </w:r>
      <w:r>
        <w:rPr>
          <w:color w:val="231F20"/>
          <w:w w:val="105"/>
        </w:rPr>
        <w:t>partir</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construcción</w:t>
      </w:r>
      <w:r>
        <w:rPr>
          <w:color w:val="231F20"/>
          <w:spacing w:val="-17"/>
          <w:w w:val="105"/>
        </w:rPr>
        <w:t> </w:t>
      </w:r>
      <w:r>
        <w:rPr>
          <w:color w:val="231F20"/>
          <w:w w:val="105"/>
        </w:rPr>
        <w:t>de</w:t>
      </w:r>
      <w:r>
        <w:rPr>
          <w:color w:val="231F20"/>
          <w:spacing w:val="-17"/>
          <w:w w:val="105"/>
        </w:rPr>
        <w:t> </w:t>
      </w:r>
      <w:r>
        <w:rPr>
          <w:color w:val="231F20"/>
          <w:w w:val="105"/>
        </w:rPr>
        <w:t>casos</w:t>
      </w:r>
      <w:r>
        <w:rPr>
          <w:color w:val="231F20"/>
          <w:spacing w:val="-17"/>
          <w:w w:val="105"/>
        </w:rPr>
        <w:t> </w:t>
      </w:r>
      <w:r>
        <w:rPr>
          <w:color w:val="231F20"/>
          <w:w w:val="105"/>
        </w:rPr>
        <w:t>típi- co-ideales,</w:t>
      </w:r>
      <w:r>
        <w:rPr>
          <w:color w:val="231F20"/>
          <w:spacing w:val="-31"/>
          <w:w w:val="105"/>
        </w:rPr>
        <w:t> </w:t>
      </w:r>
      <w:r>
        <w:rPr>
          <w:color w:val="231F20"/>
          <w:w w:val="105"/>
        </w:rPr>
        <w:t>en</w:t>
      </w:r>
      <w:r>
        <w:rPr>
          <w:color w:val="231F20"/>
          <w:spacing w:val="-27"/>
          <w:w w:val="105"/>
        </w:rPr>
        <w:t> </w:t>
      </w:r>
      <w:r>
        <w:rPr>
          <w:color w:val="231F20"/>
          <w:w w:val="105"/>
        </w:rPr>
        <w:t>dos</w:t>
      </w:r>
      <w:r>
        <w:rPr>
          <w:color w:val="231F20"/>
          <w:spacing w:val="-27"/>
          <w:w w:val="105"/>
        </w:rPr>
        <w:t> </w:t>
      </w:r>
      <w:r>
        <w:rPr>
          <w:color w:val="231F20"/>
          <w:w w:val="105"/>
        </w:rPr>
        <w:t>coordenadas</w:t>
      </w:r>
      <w:r>
        <w:rPr>
          <w:color w:val="231F20"/>
          <w:spacing w:val="-27"/>
          <w:w w:val="105"/>
        </w:rPr>
        <w:t> </w:t>
      </w:r>
      <w:r>
        <w:rPr>
          <w:color w:val="231F20"/>
          <w:w w:val="105"/>
        </w:rPr>
        <w:t>analíticas:</w:t>
      </w:r>
      <w:r>
        <w:rPr>
          <w:color w:val="231F20"/>
          <w:spacing w:val="-27"/>
          <w:w w:val="105"/>
        </w:rPr>
        <w:t> </w:t>
      </w:r>
      <w:r>
        <w:rPr>
          <w:color w:val="231F20"/>
          <w:w w:val="105"/>
        </w:rPr>
        <w:t>inserción/emigración</w:t>
      </w:r>
      <w:r>
        <w:rPr>
          <w:color w:val="231F20"/>
          <w:spacing w:val="-27"/>
          <w:w w:val="105"/>
        </w:rPr>
        <w:t> </w:t>
      </w:r>
      <w:r>
        <w:rPr>
          <w:color w:val="231F20"/>
          <w:w w:val="105"/>
        </w:rPr>
        <w:t>en</w:t>
      </w:r>
      <w:r>
        <w:rPr>
          <w:color w:val="231F20"/>
          <w:spacing w:val="-27"/>
          <w:w w:val="105"/>
        </w:rPr>
        <w:t> </w:t>
      </w:r>
      <w:r>
        <w:rPr>
          <w:color w:val="231F20"/>
          <w:w w:val="105"/>
        </w:rPr>
        <w:t>tiem- po/espacio</w:t>
      </w:r>
      <w:r>
        <w:rPr>
          <w:color w:val="231F20"/>
          <w:spacing w:val="-26"/>
          <w:w w:val="105"/>
        </w:rPr>
        <w:t> </w:t>
      </w:r>
      <w:r>
        <w:rPr>
          <w:color w:val="231F20"/>
          <w:spacing w:val="-3"/>
          <w:w w:val="105"/>
        </w:rPr>
        <w:t>(Pedreño,</w:t>
      </w:r>
      <w:r>
        <w:rPr>
          <w:color w:val="231F20"/>
          <w:spacing w:val="-31"/>
          <w:w w:val="105"/>
        </w:rPr>
        <w:t> </w:t>
      </w:r>
      <w:r>
        <w:rPr>
          <w:color w:val="231F20"/>
          <w:w w:val="105"/>
        </w:rPr>
        <w:t>2010;</w:t>
      </w:r>
      <w:r>
        <w:rPr>
          <w:color w:val="231F20"/>
          <w:spacing w:val="-26"/>
          <w:w w:val="105"/>
        </w:rPr>
        <w:t> </w:t>
      </w:r>
      <w:r>
        <w:rPr>
          <w:color w:val="231F20"/>
          <w:w w:val="105"/>
        </w:rPr>
        <w:t>Rivera,</w:t>
      </w:r>
      <w:r>
        <w:rPr>
          <w:color w:val="231F20"/>
          <w:spacing w:val="-31"/>
          <w:w w:val="105"/>
        </w:rPr>
        <w:t> </w:t>
      </w:r>
      <w:r>
        <w:rPr>
          <w:color w:val="231F20"/>
          <w:w w:val="105"/>
        </w:rPr>
        <w:t>2012).</w:t>
      </w:r>
      <w:r>
        <w:rPr>
          <w:color w:val="231F20"/>
          <w:spacing w:val="-31"/>
          <w:w w:val="105"/>
        </w:rPr>
        <w:t> </w:t>
      </w:r>
      <w:r>
        <w:rPr>
          <w:color w:val="231F20"/>
          <w:w w:val="105"/>
        </w:rPr>
        <w:t>Más</w:t>
      </w:r>
      <w:r>
        <w:rPr>
          <w:color w:val="231F20"/>
          <w:spacing w:val="-26"/>
          <w:w w:val="105"/>
        </w:rPr>
        <w:t> </w:t>
      </w:r>
      <w:r>
        <w:rPr>
          <w:color w:val="231F20"/>
          <w:w w:val="105"/>
        </w:rPr>
        <w:t>tarde,</w:t>
      </w:r>
      <w:r>
        <w:rPr>
          <w:color w:val="231F20"/>
          <w:spacing w:val="-31"/>
          <w:w w:val="105"/>
        </w:rPr>
        <w:t> </w:t>
      </w:r>
      <w:r>
        <w:rPr>
          <w:color w:val="231F20"/>
          <w:w w:val="105"/>
        </w:rPr>
        <w:t>este</w:t>
      </w:r>
      <w:r>
        <w:rPr>
          <w:color w:val="231F20"/>
          <w:spacing w:val="-26"/>
          <w:w w:val="105"/>
        </w:rPr>
        <w:t> </w:t>
      </w:r>
      <w:r>
        <w:rPr>
          <w:color w:val="231F20"/>
          <w:w w:val="105"/>
        </w:rPr>
        <w:t>primer</w:t>
      </w:r>
      <w:r>
        <w:rPr>
          <w:color w:val="231F20"/>
          <w:spacing w:val="-26"/>
          <w:w w:val="105"/>
        </w:rPr>
        <w:t> </w:t>
      </w:r>
      <w:r>
        <w:rPr>
          <w:color w:val="231F20"/>
          <w:w w:val="105"/>
        </w:rPr>
        <w:t>modelo prototípico, construido con información teórico-empírica, se convirtió</w:t>
      </w:r>
      <w:r>
        <w:rPr>
          <w:color w:val="231F20"/>
          <w:spacing w:val="-35"/>
          <w:w w:val="105"/>
        </w:rPr>
        <w:t> </w:t>
      </w:r>
      <w:r>
        <w:rPr>
          <w:color w:val="231F20"/>
          <w:w w:val="105"/>
        </w:rPr>
        <w:t>en un modelo analítico para explorar, a lo largo de todas las trayectorias, los</w:t>
      </w:r>
      <w:r>
        <w:rPr>
          <w:color w:val="231F20"/>
          <w:spacing w:val="-19"/>
          <w:w w:val="105"/>
        </w:rPr>
        <w:t> </w:t>
      </w:r>
      <w:r>
        <w:rPr>
          <w:color w:val="231F20"/>
          <w:w w:val="105"/>
        </w:rPr>
        <w:t>dos</w:t>
      </w:r>
      <w:r>
        <w:rPr>
          <w:color w:val="231F20"/>
          <w:spacing w:val="-19"/>
          <w:w w:val="105"/>
        </w:rPr>
        <w:t> </w:t>
      </w:r>
      <w:r>
        <w:rPr>
          <w:color w:val="231F20"/>
          <w:w w:val="105"/>
        </w:rPr>
        <w:t>tipos</w:t>
      </w:r>
      <w:r>
        <w:rPr>
          <w:color w:val="231F20"/>
          <w:spacing w:val="-19"/>
          <w:w w:val="105"/>
        </w:rPr>
        <w:t> </w:t>
      </w:r>
      <w:r>
        <w:rPr>
          <w:color w:val="231F20"/>
          <w:w w:val="105"/>
        </w:rPr>
        <w:t>extremos:</w:t>
      </w:r>
      <w:r>
        <w:rPr>
          <w:color w:val="231F20"/>
          <w:spacing w:val="-19"/>
          <w:w w:val="105"/>
        </w:rPr>
        <w:t> </w:t>
      </w:r>
      <w:r>
        <w:rPr>
          <w:color w:val="231F20"/>
          <w:w w:val="105"/>
        </w:rPr>
        <w:t>“reinserción</w:t>
      </w:r>
      <w:r>
        <w:rPr>
          <w:color w:val="231F20"/>
          <w:spacing w:val="-19"/>
          <w:w w:val="105"/>
        </w:rPr>
        <w:t> </w:t>
      </w:r>
      <w:r>
        <w:rPr>
          <w:color w:val="231F20"/>
          <w:w w:val="105"/>
        </w:rPr>
        <w:t>con</w:t>
      </w:r>
      <w:r>
        <w:rPr>
          <w:color w:val="231F20"/>
          <w:spacing w:val="-19"/>
          <w:w w:val="105"/>
        </w:rPr>
        <w:t> </w:t>
      </w:r>
      <w:r>
        <w:rPr>
          <w:color w:val="231F20"/>
          <w:w w:val="105"/>
        </w:rPr>
        <w:t>reemigración”</w:t>
      </w:r>
      <w:r>
        <w:rPr>
          <w:color w:val="231F20"/>
          <w:spacing w:val="-19"/>
          <w:w w:val="105"/>
        </w:rPr>
        <w:t> </w:t>
      </w:r>
      <w:r>
        <w:rPr>
          <w:color w:val="231F20"/>
          <w:w w:val="105"/>
        </w:rPr>
        <w:t>y</w:t>
      </w:r>
      <w:r>
        <w:rPr>
          <w:color w:val="231F20"/>
          <w:spacing w:val="-19"/>
          <w:w w:val="105"/>
        </w:rPr>
        <w:t> </w:t>
      </w:r>
      <w:r>
        <w:rPr>
          <w:color w:val="231F20"/>
          <w:w w:val="105"/>
        </w:rPr>
        <w:t>“reinserción</w:t>
      </w:r>
      <w:r>
        <w:rPr>
          <w:color w:val="231F20"/>
          <w:spacing w:val="-19"/>
          <w:w w:val="105"/>
        </w:rPr>
        <w:t> </w:t>
      </w:r>
      <w:r>
        <w:rPr>
          <w:color w:val="231F20"/>
          <w:w w:val="105"/>
        </w:rPr>
        <w:t>con</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7688" from="131.551193pt,3.703715pt" to="131.551193pt,39.506114pt" stroked="true" strokeweight=".35pt" strokecolor="#231f20">
            <w10:wrap type="none"/>
          </v:line>
        </w:pict>
      </w:r>
      <w:r>
        <w:rPr/>
        <w:pict>
          <v:line style="position:absolute;mso-position-horizontal-relative:page;mso-position-vertical-relative:paragraph;z-index:-477616" from="15pt,39.505917pt" to="0pt,39.505917pt" stroked="true" strokeweight=".25pt" strokecolor="#000000">
            <w10:wrap type="none"/>
          </v:line>
        </w:pict>
      </w:r>
      <w:r>
        <w:rPr/>
        <w:pict>
          <v:line style="position:absolute;mso-position-horizontal-relative:page;mso-position-vertical-relative:paragraph;z-index:12592" from="508.890015pt,39.505917pt" to="523.890015pt,39.505917pt" stroked="true" strokeweight=".25pt" strokecolor="#000000">
            <w10:wrap type="none"/>
          </v:line>
        </w:pict>
      </w:r>
      <w:r>
        <w:rPr>
          <w:rFonts w:ascii="Arial" w:hAnsi="Arial"/>
          <w:color w:val="414042"/>
          <w:position w:val="-5"/>
          <w:sz w:val="20"/>
        </w:rPr>
        <w:t>126</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77472" from="15pt,715.487793pt" to="0pt,715.487793pt" stroked="true" strokeweight=".25pt" strokecolor="#000000">
            <w10:wrap type="none"/>
          </v:line>
        </w:pict>
      </w:r>
      <w:r>
        <w:rPr/>
        <w:pict>
          <v:line style="position:absolute;mso-position-horizontal-relative:page;mso-position-vertical-relative:page;z-index:12736"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7544" from="405.061005pt,-18.554295pt" to="405.061005pt,16.311579pt" stroked="true" strokeweight=".35pt" strokecolor="#231f20">
            <w10:wrap type="none"/>
          </v:line>
        </w:pict>
      </w:r>
      <w:r>
        <w:rPr/>
        <w:pict>
          <v:line style="position:absolute;mso-position-horizontal-relative:page;mso-position-vertical-relative:paragraph;z-index:12664" from="15pt,-18.554522pt" to="0pt,-18.554522pt" stroked="true" strokeweight=".25pt" strokecolor="#000000">
            <w10:wrap type="none"/>
          </v:line>
        </w:pict>
      </w:r>
      <w:r>
        <w:rPr/>
        <w:pict>
          <v:line style="position:absolute;mso-position-horizontal-relative:page;mso-position-vertical-relative:paragraph;z-index:12688"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127</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establecimiento”,</w:t>
      </w:r>
      <w:r>
        <w:rPr>
          <w:color w:val="231F20"/>
          <w:spacing w:val="-26"/>
          <w:w w:val="105"/>
        </w:rPr>
        <w:t> </w:t>
      </w:r>
      <w:r>
        <w:rPr>
          <w:color w:val="231F20"/>
          <w:w w:val="105"/>
        </w:rPr>
        <w:t>e</w:t>
      </w:r>
      <w:r>
        <w:rPr>
          <w:color w:val="231F20"/>
          <w:spacing w:val="-22"/>
          <w:w w:val="105"/>
        </w:rPr>
        <w:t> </w:t>
      </w:r>
      <w:r>
        <w:rPr>
          <w:color w:val="231F20"/>
          <w:w w:val="105"/>
        </w:rPr>
        <w:t>identificar</w:t>
      </w:r>
      <w:r>
        <w:rPr>
          <w:color w:val="231F20"/>
          <w:spacing w:val="-22"/>
          <w:w w:val="105"/>
        </w:rPr>
        <w:t> </w:t>
      </w:r>
      <w:r>
        <w:rPr>
          <w:color w:val="231F20"/>
          <w:w w:val="105"/>
        </w:rPr>
        <w:t>así</w:t>
      </w:r>
      <w:r>
        <w:rPr>
          <w:color w:val="231F20"/>
          <w:spacing w:val="-22"/>
          <w:w w:val="105"/>
        </w:rPr>
        <w:t> </w:t>
      </w:r>
      <w:r>
        <w:rPr>
          <w:color w:val="231F20"/>
          <w:w w:val="105"/>
        </w:rPr>
        <w:t>la</w:t>
      </w:r>
      <w:r>
        <w:rPr>
          <w:color w:val="231F20"/>
          <w:spacing w:val="-22"/>
          <w:w w:val="105"/>
        </w:rPr>
        <w:t> </w:t>
      </w:r>
      <w:r>
        <w:rPr>
          <w:color w:val="231F20"/>
          <w:w w:val="105"/>
        </w:rPr>
        <w:t>diversidad</w:t>
      </w:r>
      <w:r>
        <w:rPr>
          <w:color w:val="231F20"/>
          <w:spacing w:val="-22"/>
          <w:w w:val="105"/>
        </w:rPr>
        <w:t> </w:t>
      </w:r>
      <w:r>
        <w:rPr>
          <w:color w:val="231F20"/>
          <w:w w:val="105"/>
        </w:rPr>
        <w:t>de</w:t>
      </w:r>
      <w:r>
        <w:rPr>
          <w:color w:val="231F20"/>
          <w:spacing w:val="-22"/>
          <w:w w:val="105"/>
        </w:rPr>
        <w:t> </w:t>
      </w:r>
      <w:r>
        <w:rPr>
          <w:color w:val="231F20"/>
          <w:w w:val="105"/>
        </w:rPr>
        <w:t>experiencias</w:t>
      </w:r>
      <w:r>
        <w:rPr>
          <w:color w:val="231F20"/>
          <w:spacing w:val="-22"/>
          <w:w w:val="105"/>
        </w:rPr>
        <w:t> </w:t>
      </w:r>
      <w:r>
        <w:rPr>
          <w:color w:val="231F20"/>
          <w:w w:val="105"/>
        </w:rPr>
        <w:t>y</w:t>
      </w:r>
      <w:r>
        <w:rPr>
          <w:color w:val="231F20"/>
          <w:spacing w:val="-22"/>
          <w:w w:val="105"/>
        </w:rPr>
        <w:t> </w:t>
      </w:r>
      <w:r>
        <w:rPr>
          <w:color w:val="231F20"/>
          <w:w w:val="105"/>
        </w:rPr>
        <w:t>factores que intervinieron al regresar a México e intentar la reinserción en Ne- </w:t>
      </w:r>
      <w:r>
        <w:rPr>
          <w:color w:val="231F20"/>
        </w:rPr>
        <w:t>zahualcóyotl (Rivera,</w:t>
      </w:r>
      <w:r>
        <w:rPr>
          <w:color w:val="231F20"/>
          <w:spacing w:val="-10"/>
        </w:rPr>
        <w:t> </w:t>
      </w:r>
      <w:r>
        <w:rPr>
          <w:color w:val="231F20"/>
        </w:rPr>
        <w:t>2014).</w:t>
      </w:r>
    </w:p>
    <w:p>
      <w:pPr>
        <w:pStyle w:val="BodyText"/>
        <w:spacing w:line="261" w:lineRule="auto" w:before="1"/>
        <w:ind w:left="1837" w:right="1713" w:firstLine="567"/>
        <w:jc w:val="both"/>
      </w:pPr>
      <w:r>
        <w:rPr>
          <w:color w:val="231F20"/>
          <w:w w:val="105"/>
        </w:rPr>
        <w:t>En suma,</w:t>
      </w:r>
      <w:r>
        <w:rPr>
          <w:color w:val="231F20"/>
          <w:spacing w:val="-42"/>
          <w:w w:val="105"/>
        </w:rPr>
        <w:t> </w:t>
      </w:r>
      <w:r>
        <w:rPr>
          <w:color w:val="231F20"/>
          <w:w w:val="105"/>
        </w:rPr>
        <w:t>en la siguiente sección se presentan cuatro viñetas con los</w:t>
      </w:r>
      <w:r>
        <w:rPr>
          <w:color w:val="231F20"/>
          <w:spacing w:val="-15"/>
          <w:w w:val="105"/>
        </w:rPr>
        <w:t> </w:t>
      </w:r>
      <w:r>
        <w:rPr>
          <w:color w:val="231F20"/>
          <w:w w:val="105"/>
        </w:rPr>
        <w:t>relatos</w:t>
      </w:r>
      <w:r>
        <w:rPr>
          <w:color w:val="231F20"/>
          <w:spacing w:val="-15"/>
          <w:w w:val="105"/>
        </w:rPr>
        <w:t> </w:t>
      </w:r>
      <w:r>
        <w:rPr>
          <w:color w:val="231F20"/>
          <w:w w:val="105"/>
        </w:rPr>
        <w:t>construidos</w:t>
      </w:r>
      <w:r>
        <w:rPr>
          <w:color w:val="231F20"/>
          <w:spacing w:val="-15"/>
          <w:w w:val="105"/>
        </w:rPr>
        <w:t> </w:t>
      </w:r>
      <w:r>
        <w:rPr>
          <w:color w:val="231F20"/>
          <w:w w:val="105"/>
        </w:rPr>
        <w:t>a</w:t>
      </w:r>
      <w:r>
        <w:rPr>
          <w:color w:val="231F20"/>
          <w:spacing w:val="-15"/>
          <w:w w:val="105"/>
        </w:rPr>
        <w:t> </w:t>
      </w:r>
      <w:r>
        <w:rPr>
          <w:color w:val="231F20"/>
          <w:w w:val="105"/>
        </w:rPr>
        <w:t>partir</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estrategia</w:t>
      </w:r>
      <w:r>
        <w:rPr>
          <w:color w:val="231F20"/>
          <w:spacing w:val="-15"/>
          <w:w w:val="105"/>
        </w:rPr>
        <w:t> </w:t>
      </w:r>
      <w:r>
        <w:rPr>
          <w:color w:val="231F20"/>
          <w:w w:val="105"/>
        </w:rPr>
        <w:t>descriptiva</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expe- riencias y las condiciones de circulación por diversos sitios localizados en la geografía nacional y en Estados Unidos, particularmente</w:t>
      </w:r>
      <w:r>
        <w:rPr>
          <w:color w:val="231F20"/>
          <w:spacing w:val="-23"/>
          <w:w w:val="105"/>
        </w:rPr>
        <w:t> </w:t>
      </w:r>
      <w:r>
        <w:rPr>
          <w:color w:val="231F20"/>
          <w:w w:val="105"/>
        </w:rPr>
        <w:t>aquellos identificados como trayecto de </w:t>
      </w:r>
      <w:r>
        <w:rPr>
          <w:color w:val="231F20"/>
          <w:spacing w:val="-3"/>
          <w:w w:val="105"/>
        </w:rPr>
        <w:t>“retorno”. </w:t>
      </w:r>
      <w:r>
        <w:rPr>
          <w:color w:val="231F20"/>
          <w:w w:val="105"/>
        </w:rPr>
        <w:t>El criterio de selección de los casos incluidos en este ensayo analítico fue la diversidad de experien- cias</w:t>
      </w:r>
      <w:r>
        <w:rPr>
          <w:color w:val="231F20"/>
          <w:spacing w:val="-19"/>
          <w:w w:val="105"/>
        </w:rPr>
        <w:t> </w:t>
      </w:r>
      <w:r>
        <w:rPr>
          <w:color w:val="231F20"/>
          <w:w w:val="105"/>
        </w:rPr>
        <w:t>tanto</w:t>
      </w:r>
      <w:r>
        <w:rPr>
          <w:color w:val="231F20"/>
          <w:spacing w:val="-19"/>
          <w:w w:val="105"/>
        </w:rPr>
        <w:t> </w:t>
      </w:r>
      <w:r>
        <w:rPr>
          <w:color w:val="231F20"/>
          <w:w w:val="105"/>
        </w:rPr>
        <w:t>laborales</w:t>
      </w:r>
      <w:r>
        <w:rPr>
          <w:color w:val="231F20"/>
          <w:spacing w:val="-19"/>
          <w:w w:val="105"/>
        </w:rPr>
        <w:t> </w:t>
      </w:r>
      <w:r>
        <w:rPr>
          <w:color w:val="231F20"/>
          <w:w w:val="105"/>
        </w:rPr>
        <w:t>como</w:t>
      </w:r>
      <w:r>
        <w:rPr>
          <w:color w:val="231F20"/>
          <w:spacing w:val="-19"/>
          <w:w w:val="105"/>
        </w:rPr>
        <w:t> </w:t>
      </w:r>
      <w:r>
        <w:rPr>
          <w:color w:val="231F20"/>
          <w:w w:val="105"/>
        </w:rPr>
        <w:t>sociales,</w:t>
      </w:r>
      <w:r>
        <w:rPr>
          <w:color w:val="231F20"/>
          <w:spacing w:val="-24"/>
          <w:w w:val="105"/>
        </w:rPr>
        <w:t> </w:t>
      </w:r>
      <w:r>
        <w:rPr>
          <w:color w:val="231F20"/>
          <w:w w:val="105"/>
        </w:rPr>
        <w:t>lo</w:t>
      </w:r>
      <w:r>
        <w:rPr>
          <w:color w:val="231F20"/>
          <w:spacing w:val="-19"/>
          <w:w w:val="105"/>
        </w:rPr>
        <w:t> </w:t>
      </w:r>
      <w:r>
        <w:rPr>
          <w:color w:val="231F20"/>
          <w:w w:val="105"/>
        </w:rPr>
        <w:t>mismo</w:t>
      </w:r>
      <w:r>
        <w:rPr>
          <w:color w:val="231F20"/>
          <w:spacing w:val="-19"/>
          <w:w w:val="105"/>
        </w:rPr>
        <w:t> </w:t>
      </w:r>
      <w:r>
        <w:rPr>
          <w:color w:val="231F20"/>
          <w:w w:val="105"/>
        </w:rPr>
        <w:t>en</w:t>
      </w:r>
      <w:r>
        <w:rPr>
          <w:color w:val="231F20"/>
          <w:spacing w:val="-19"/>
          <w:w w:val="105"/>
        </w:rPr>
        <w:t> </w:t>
      </w:r>
      <w:r>
        <w:rPr>
          <w:color w:val="231F20"/>
          <w:w w:val="105"/>
        </w:rPr>
        <w:t>relación</w:t>
      </w:r>
      <w:r>
        <w:rPr>
          <w:color w:val="231F20"/>
          <w:spacing w:val="-19"/>
          <w:w w:val="105"/>
        </w:rPr>
        <w:t> </w:t>
      </w:r>
      <w:r>
        <w:rPr>
          <w:color w:val="231F20"/>
          <w:w w:val="105"/>
        </w:rPr>
        <w:t>al</w:t>
      </w:r>
      <w:r>
        <w:rPr>
          <w:color w:val="231F20"/>
          <w:spacing w:val="-19"/>
          <w:w w:val="105"/>
        </w:rPr>
        <w:t> </w:t>
      </w:r>
      <w:r>
        <w:rPr>
          <w:color w:val="231F20"/>
          <w:w w:val="105"/>
        </w:rPr>
        <w:t>sexo,</w:t>
      </w:r>
      <w:r>
        <w:rPr>
          <w:color w:val="231F20"/>
          <w:spacing w:val="-24"/>
          <w:w w:val="105"/>
        </w:rPr>
        <w:t> </w:t>
      </w:r>
      <w:r>
        <w:rPr>
          <w:color w:val="231F20"/>
          <w:w w:val="105"/>
        </w:rPr>
        <w:t>la</w:t>
      </w:r>
      <w:r>
        <w:rPr>
          <w:color w:val="231F20"/>
          <w:spacing w:val="-19"/>
          <w:w w:val="105"/>
        </w:rPr>
        <w:t> </w:t>
      </w:r>
      <w:r>
        <w:rPr>
          <w:color w:val="231F20"/>
          <w:w w:val="105"/>
        </w:rPr>
        <w:t>edad, el lugar de procedencia en Estados Unidos, el lugar de origen, y las variaciones en términos de la experiencia de inserción. Los casos que se ofrecen en forma de viñetas corresponden a migrantes de retorno que comparten las siguientes características: a) regresaron de</w:t>
      </w:r>
      <w:r>
        <w:rPr>
          <w:color w:val="231F20"/>
          <w:spacing w:val="-24"/>
          <w:w w:val="105"/>
        </w:rPr>
        <w:t> </w:t>
      </w:r>
      <w:r>
        <w:rPr>
          <w:color w:val="231F20"/>
          <w:w w:val="105"/>
        </w:rPr>
        <w:t>Estados Unidos a Nezahualcóyotl en el mismo periodo (posterior al año </w:t>
      </w:r>
      <w:r>
        <w:rPr>
          <w:color w:val="231F20"/>
          <w:spacing w:val="47"/>
          <w:w w:val="105"/>
        </w:rPr>
        <w:t> </w:t>
      </w:r>
      <w:r>
        <w:rPr>
          <w:color w:val="231F20"/>
          <w:w w:val="105"/>
        </w:rPr>
        <w:t>2008),</w:t>
      </w:r>
    </w:p>
    <w:p>
      <w:pPr>
        <w:pStyle w:val="BodyText"/>
        <w:spacing w:line="261" w:lineRule="auto" w:before="1"/>
        <w:ind w:left="1837" w:right="1721"/>
        <w:jc w:val="both"/>
      </w:pPr>
      <w:r>
        <w:rPr>
          <w:color w:val="231F20"/>
        </w:rPr>
        <w:t>b) cuentan con experiencia migratoria en Estados Unidos mayor a dos años y c) registran al menos dos años de haber vuelto a México, especí- ficamente  a Nezahualcóyotl.</w:t>
      </w:r>
    </w:p>
    <w:p>
      <w:pPr>
        <w:pStyle w:val="BodyText"/>
        <w:rPr>
          <w:sz w:val="20"/>
        </w:rPr>
      </w:pPr>
    </w:p>
    <w:p>
      <w:pPr>
        <w:pStyle w:val="Heading3"/>
        <w:spacing w:line="266" w:lineRule="auto" w:before="122"/>
        <w:ind w:right="1722"/>
      </w:pPr>
      <w:r>
        <w:rPr>
          <w:color w:val="231F20"/>
        </w:rPr>
        <w:t>El</w:t>
      </w:r>
      <w:r>
        <w:rPr>
          <w:color w:val="231F20"/>
          <w:spacing w:val="-38"/>
        </w:rPr>
        <w:t> </w:t>
      </w:r>
      <w:r>
        <w:rPr>
          <w:color w:val="231F20"/>
        </w:rPr>
        <w:t>regreso</w:t>
      </w:r>
      <w:r>
        <w:rPr>
          <w:color w:val="231F20"/>
          <w:spacing w:val="-38"/>
        </w:rPr>
        <w:t> </w:t>
      </w:r>
      <w:r>
        <w:rPr>
          <w:color w:val="231F20"/>
        </w:rPr>
        <w:t>de</w:t>
      </w:r>
      <w:r>
        <w:rPr>
          <w:color w:val="231F20"/>
          <w:spacing w:val="-38"/>
        </w:rPr>
        <w:t> </w:t>
      </w:r>
      <w:r>
        <w:rPr>
          <w:color w:val="231F20"/>
        </w:rPr>
        <w:t>migrantes</w:t>
      </w:r>
      <w:r>
        <w:rPr>
          <w:color w:val="231F20"/>
          <w:spacing w:val="-38"/>
        </w:rPr>
        <w:t> </w:t>
      </w:r>
      <w:r>
        <w:rPr>
          <w:color w:val="231F20"/>
        </w:rPr>
        <w:t>de</w:t>
      </w:r>
      <w:r>
        <w:rPr>
          <w:color w:val="231F20"/>
          <w:spacing w:val="-38"/>
        </w:rPr>
        <w:t> </w:t>
      </w:r>
      <w:r>
        <w:rPr>
          <w:color w:val="231F20"/>
        </w:rPr>
        <w:t>Estados</w:t>
      </w:r>
      <w:r>
        <w:rPr>
          <w:color w:val="231F20"/>
          <w:spacing w:val="-38"/>
        </w:rPr>
        <w:t> </w:t>
      </w:r>
      <w:r>
        <w:rPr>
          <w:color w:val="231F20"/>
        </w:rPr>
        <w:t>Unidos</w:t>
      </w:r>
      <w:r>
        <w:rPr>
          <w:color w:val="231F20"/>
          <w:spacing w:val="-38"/>
        </w:rPr>
        <w:t> </w:t>
      </w:r>
      <w:r>
        <w:rPr>
          <w:color w:val="231F20"/>
        </w:rPr>
        <w:t>a</w:t>
      </w:r>
      <w:r>
        <w:rPr>
          <w:color w:val="231F20"/>
          <w:spacing w:val="-38"/>
        </w:rPr>
        <w:t> </w:t>
      </w:r>
      <w:r>
        <w:rPr>
          <w:color w:val="231F20"/>
        </w:rPr>
        <w:t>Nezahualcóyotl,</w:t>
      </w:r>
      <w:r>
        <w:rPr>
          <w:color w:val="231F20"/>
          <w:spacing w:val="-42"/>
        </w:rPr>
        <w:t> </w:t>
      </w:r>
      <w:r>
        <w:rPr>
          <w:color w:val="231F20"/>
        </w:rPr>
        <w:t>Estado de México</w:t>
      </w:r>
    </w:p>
    <w:p>
      <w:pPr>
        <w:pStyle w:val="BodyText"/>
        <w:spacing w:before="7"/>
        <w:rPr>
          <w:rFonts w:ascii="Arial"/>
          <w:b/>
          <w:sz w:val="28"/>
        </w:rPr>
      </w:pPr>
    </w:p>
    <w:p>
      <w:pPr>
        <w:pStyle w:val="BodyText"/>
        <w:spacing w:line="261" w:lineRule="auto"/>
        <w:ind w:left="1837" w:right="1721"/>
        <w:jc w:val="both"/>
      </w:pPr>
      <w:r>
        <w:rPr>
          <w:color w:val="231F20"/>
          <w:w w:val="105"/>
        </w:rPr>
        <w:t>Los relatos biográficos fueron construidos a partir de una </w:t>
      </w:r>
      <w:r>
        <w:rPr>
          <w:rFonts w:ascii="Arial" w:hAnsi="Arial"/>
          <w:i/>
          <w:color w:val="231F20"/>
          <w:w w:val="105"/>
        </w:rPr>
        <w:t>descripción </w:t>
      </w:r>
      <w:r>
        <w:rPr>
          <w:rFonts w:ascii="Arial" w:hAnsi="Arial"/>
          <w:i/>
          <w:color w:val="231F20"/>
          <w:w w:val="105"/>
        </w:rPr>
        <w:t>densa </w:t>
      </w:r>
      <w:r>
        <w:rPr>
          <w:color w:val="231F20"/>
          <w:w w:val="105"/>
        </w:rPr>
        <w:t>por caso, no obstante, aquí se resume y ordena cada caso con fines</w:t>
      </w:r>
      <w:r>
        <w:rPr>
          <w:color w:val="231F20"/>
          <w:spacing w:val="-15"/>
          <w:w w:val="105"/>
        </w:rPr>
        <w:t> </w:t>
      </w:r>
      <w:r>
        <w:rPr>
          <w:color w:val="231F20"/>
          <w:w w:val="105"/>
        </w:rPr>
        <w:t>analíticos,</w:t>
      </w:r>
      <w:r>
        <w:rPr>
          <w:color w:val="231F20"/>
          <w:spacing w:val="-20"/>
          <w:w w:val="105"/>
        </w:rPr>
        <w:t> </w:t>
      </w:r>
      <w:r>
        <w:rPr>
          <w:color w:val="231F20"/>
          <w:w w:val="105"/>
        </w:rPr>
        <w:t>para</w:t>
      </w:r>
      <w:r>
        <w:rPr>
          <w:color w:val="231F20"/>
          <w:spacing w:val="-14"/>
          <w:w w:val="105"/>
        </w:rPr>
        <w:t> </w:t>
      </w:r>
      <w:r>
        <w:rPr>
          <w:color w:val="231F20"/>
          <w:w w:val="105"/>
        </w:rPr>
        <w:t>luego</w:t>
      </w:r>
      <w:r>
        <w:rPr>
          <w:color w:val="231F20"/>
          <w:spacing w:val="-15"/>
          <w:w w:val="105"/>
        </w:rPr>
        <w:t> </w:t>
      </w:r>
      <w:r>
        <w:rPr>
          <w:color w:val="231F20"/>
          <w:w w:val="105"/>
        </w:rPr>
        <w:t>hacer</w:t>
      </w:r>
      <w:r>
        <w:rPr>
          <w:color w:val="231F20"/>
          <w:spacing w:val="-15"/>
          <w:w w:val="105"/>
        </w:rPr>
        <w:t> </w:t>
      </w:r>
      <w:r>
        <w:rPr>
          <w:color w:val="231F20"/>
          <w:w w:val="105"/>
        </w:rPr>
        <w:t>factible</w:t>
      </w:r>
      <w:r>
        <w:rPr>
          <w:color w:val="231F20"/>
          <w:spacing w:val="-15"/>
          <w:w w:val="105"/>
        </w:rPr>
        <w:t> </w:t>
      </w:r>
      <w:r>
        <w:rPr>
          <w:color w:val="231F20"/>
          <w:w w:val="105"/>
        </w:rPr>
        <w:t>el</w:t>
      </w:r>
      <w:r>
        <w:rPr>
          <w:color w:val="231F20"/>
          <w:spacing w:val="-15"/>
          <w:w w:val="105"/>
        </w:rPr>
        <w:t> </w:t>
      </w:r>
      <w:r>
        <w:rPr>
          <w:color w:val="231F20"/>
          <w:w w:val="105"/>
        </w:rPr>
        <w:t>contraste</w:t>
      </w:r>
      <w:r>
        <w:rPr>
          <w:color w:val="231F20"/>
          <w:spacing w:val="-15"/>
          <w:w w:val="105"/>
        </w:rPr>
        <w:t> </w:t>
      </w:r>
      <w:r>
        <w:rPr>
          <w:color w:val="231F20"/>
          <w:w w:val="105"/>
        </w:rPr>
        <w:t>y</w:t>
      </w:r>
      <w:r>
        <w:rPr>
          <w:color w:val="231F20"/>
          <w:spacing w:val="-14"/>
          <w:w w:val="105"/>
        </w:rPr>
        <w:t> </w:t>
      </w:r>
      <w:r>
        <w:rPr>
          <w:color w:val="231F20"/>
          <w:w w:val="105"/>
        </w:rPr>
        <w:t>posterior</w:t>
      </w:r>
      <w:r>
        <w:rPr>
          <w:color w:val="231F20"/>
          <w:spacing w:val="-15"/>
          <w:w w:val="105"/>
        </w:rPr>
        <w:t> </w:t>
      </w:r>
      <w:r>
        <w:rPr>
          <w:color w:val="231F20"/>
          <w:w w:val="105"/>
        </w:rPr>
        <w:t>análisis (cf.</w:t>
      </w:r>
      <w:r>
        <w:rPr>
          <w:color w:val="231F20"/>
          <w:spacing w:val="-30"/>
          <w:w w:val="105"/>
        </w:rPr>
        <w:t> </w:t>
      </w:r>
      <w:r>
        <w:rPr>
          <w:color w:val="231F20"/>
          <w:spacing w:val="-3"/>
          <w:w w:val="105"/>
        </w:rPr>
        <w:t>Pedreño,</w:t>
      </w:r>
      <w:r>
        <w:rPr>
          <w:color w:val="231F20"/>
          <w:spacing w:val="-30"/>
          <w:w w:val="105"/>
        </w:rPr>
        <w:t> </w:t>
      </w:r>
      <w:r>
        <w:rPr>
          <w:color w:val="231F20"/>
          <w:w w:val="105"/>
        </w:rPr>
        <w:t>2010).</w:t>
      </w:r>
      <w:r>
        <w:rPr>
          <w:color w:val="231F20"/>
          <w:spacing w:val="-30"/>
          <w:w w:val="105"/>
        </w:rPr>
        <w:t> </w:t>
      </w:r>
      <w:r>
        <w:rPr>
          <w:color w:val="231F20"/>
          <w:w w:val="105"/>
        </w:rPr>
        <w:t>Se</w:t>
      </w:r>
      <w:r>
        <w:rPr>
          <w:color w:val="231F20"/>
          <w:spacing w:val="-26"/>
          <w:w w:val="105"/>
        </w:rPr>
        <w:t> </w:t>
      </w:r>
      <w:r>
        <w:rPr>
          <w:color w:val="231F20"/>
          <w:w w:val="105"/>
        </w:rPr>
        <w:t>han</w:t>
      </w:r>
      <w:r>
        <w:rPr>
          <w:color w:val="231F20"/>
          <w:spacing w:val="-26"/>
          <w:w w:val="105"/>
        </w:rPr>
        <w:t> </w:t>
      </w:r>
      <w:r>
        <w:rPr>
          <w:color w:val="231F20"/>
          <w:w w:val="105"/>
        </w:rPr>
        <w:t>seleccionado</w:t>
      </w:r>
      <w:r>
        <w:rPr>
          <w:color w:val="231F20"/>
          <w:spacing w:val="-26"/>
          <w:w w:val="105"/>
        </w:rPr>
        <w:t> </w:t>
      </w:r>
      <w:r>
        <w:rPr>
          <w:color w:val="231F20"/>
          <w:w w:val="105"/>
        </w:rPr>
        <w:t>y</w:t>
      </w:r>
      <w:r>
        <w:rPr>
          <w:color w:val="231F20"/>
          <w:spacing w:val="-26"/>
          <w:w w:val="105"/>
        </w:rPr>
        <w:t> </w:t>
      </w:r>
      <w:r>
        <w:rPr>
          <w:color w:val="231F20"/>
          <w:w w:val="105"/>
        </w:rPr>
        <w:t>construido</w:t>
      </w:r>
      <w:r>
        <w:rPr>
          <w:color w:val="231F20"/>
          <w:spacing w:val="-26"/>
          <w:w w:val="105"/>
        </w:rPr>
        <w:t> </w:t>
      </w:r>
      <w:r>
        <w:rPr>
          <w:color w:val="231F20"/>
          <w:w w:val="105"/>
        </w:rPr>
        <w:t>cuatro</w:t>
      </w:r>
      <w:r>
        <w:rPr>
          <w:color w:val="231F20"/>
          <w:spacing w:val="-26"/>
          <w:w w:val="105"/>
        </w:rPr>
        <w:t> </w:t>
      </w:r>
      <w:r>
        <w:rPr>
          <w:color w:val="231F20"/>
          <w:w w:val="105"/>
        </w:rPr>
        <w:t>casos,</w:t>
      </w:r>
      <w:r>
        <w:rPr>
          <w:color w:val="231F20"/>
          <w:spacing w:val="-30"/>
          <w:w w:val="105"/>
        </w:rPr>
        <w:t> </w:t>
      </w:r>
      <w:r>
        <w:rPr>
          <w:color w:val="231F20"/>
          <w:w w:val="105"/>
        </w:rPr>
        <w:t>a</w:t>
      </w:r>
      <w:r>
        <w:rPr>
          <w:color w:val="231F20"/>
          <w:spacing w:val="-26"/>
          <w:w w:val="105"/>
        </w:rPr>
        <w:t> </w:t>
      </w:r>
      <w:r>
        <w:rPr>
          <w:color w:val="231F20"/>
          <w:w w:val="105"/>
        </w:rPr>
        <w:t>tra- vés</w:t>
      </w:r>
      <w:r>
        <w:rPr>
          <w:color w:val="231F20"/>
          <w:spacing w:val="-7"/>
          <w:w w:val="105"/>
        </w:rPr>
        <w:t> </w:t>
      </w:r>
      <w:r>
        <w:rPr>
          <w:color w:val="231F20"/>
          <w:w w:val="105"/>
        </w:rPr>
        <w:t>de</w:t>
      </w:r>
      <w:r>
        <w:rPr>
          <w:color w:val="231F20"/>
          <w:spacing w:val="-7"/>
          <w:w w:val="105"/>
        </w:rPr>
        <w:t> </w:t>
      </w:r>
      <w:r>
        <w:rPr>
          <w:color w:val="231F20"/>
          <w:w w:val="105"/>
        </w:rPr>
        <w:t>ellos</w:t>
      </w:r>
      <w:r>
        <w:rPr>
          <w:color w:val="231F20"/>
          <w:spacing w:val="-7"/>
          <w:w w:val="105"/>
        </w:rPr>
        <w:t> </w:t>
      </w:r>
      <w:r>
        <w:rPr>
          <w:color w:val="231F20"/>
          <w:w w:val="105"/>
        </w:rPr>
        <w:t>se</w:t>
      </w:r>
      <w:r>
        <w:rPr>
          <w:color w:val="231F20"/>
          <w:spacing w:val="-7"/>
          <w:w w:val="105"/>
        </w:rPr>
        <w:t> </w:t>
      </w:r>
      <w:r>
        <w:rPr>
          <w:color w:val="231F20"/>
          <w:w w:val="105"/>
        </w:rPr>
        <w:t>muestra</w:t>
      </w:r>
      <w:r>
        <w:rPr>
          <w:color w:val="231F20"/>
          <w:spacing w:val="-7"/>
          <w:w w:val="105"/>
        </w:rPr>
        <w:t> </w:t>
      </w:r>
      <w:r>
        <w:rPr>
          <w:color w:val="231F20"/>
          <w:w w:val="105"/>
        </w:rPr>
        <w:t>la</w:t>
      </w:r>
      <w:r>
        <w:rPr>
          <w:color w:val="231F20"/>
          <w:spacing w:val="-7"/>
          <w:w w:val="105"/>
        </w:rPr>
        <w:t> </w:t>
      </w:r>
      <w:r>
        <w:rPr>
          <w:color w:val="231F20"/>
          <w:w w:val="105"/>
        </w:rPr>
        <w:t>constelación</w:t>
      </w:r>
      <w:r>
        <w:rPr>
          <w:color w:val="231F20"/>
          <w:spacing w:val="-7"/>
          <w:w w:val="105"/>
        </w:rPr>
        <w:t> </w:t>
      </w:r>
      <w:r>
        <w:rPr>
          <w:color w:val="231F20"/>
          <w:w w:val="105"/>
        </w:rPr>
        <w:t>de</w:t>
      </w:r>
      <w:r>
        <w:rPr>
          <w:color w:val="231F20"/>
          <w:spacing w:val="-7"/>
          <w:w w:val="105"/>
        </w:rPr>
        <w:t> </w:t>
      </w:r>
      <w:r>
        <w:rPr>
          <w:color w:val="231F20"/>
          <w:w w:val="105"/>
        </w:rPr>
        <w:t>factores</w:t>
      </w:r>
      <w:r>
        <w:rPr>
          <w:color w:val="231F20"/>
          <w:spacing w:val="-7"/>
          <w:w w:val="105"/>
        </w:rPr>
        <w:t> </w:t>
      </w:r>
      <w:r>
        <w:rPr>
          <w:color w:val="231F20"/>
          <w:w w:val="105"/>
        </w:rPr>
        <w:t>intervinientes</w:t>
      </w:r>
      <w:r>
        <w:rPr>
          <w:color w:val="231F20"/>
          <w:spacing w:val="-7"/>
          <w:w w:val="105"/>
        </w:rPr>
        <w:t> </w:t>
      </w:r>
      <w:r>
        <w:rPr>
          <w:color w:val="231F20"/>
          <w:w w:val="105"/>
        </w:rPr>
        <w:t>en</w:t>
      </w:r>
      <w:r>
        <w:rPr>
          <w:color w:val="231F20"/>
          <w:spacing w:val="-7"/>
          <w:w w:val="105"/>
        </w:rPr>
        <w:t> </w:t>
      </w:r>
      <w:r>
        <w:rPr>
          <w:color w:val="231F20"/>
          <w:w w:val="105"/>
        </w:rPr>
        <w:t>los resultados</w:t>
      </w:r>
      <w:r>
        <w:rPr>
          <w:color w:val="231F20"/>
          <w:spacing w:val="-8"/>
          <w:w w:val="105"/>
        </w:rPr>
        <w:t> </w:t>
      </w:r>
      <w:r>
        <w:rPr>
          <w:color w:val="231F20"/>
          <w:w w:val="105"/>
        </w:rPr>
        <w:t>entre</w:t>
      </w:r>
      <w:r>
        <w:rPr>
          <w:color w:val="231F20"/>
          <w:spacing w:val="-8"/>
          <w:w w:val="105"/>
        </w:rPr>
        <w:t> </w:t>
      </w:r>
      <w:r>
        <w:rPr>
          <w:color w:val="231F20"/>
          <w:w w:val="105"/>
        </w:rPr>
        <w:t>retorno-reinserción,</w:t>
      </w:r>
      <w:r>
        <w:rPr>
          <w:color w:val="231F20"/>
          <w:spacing w:val="-14"/>
          <w:w w:val="105"/>
        </w:rPr>
        <w:t> </w:t>
      </w:r>
      <w:r>
        <w:rPr>
          <w:color w:val="231F20"/>
          <w:w w:val="105"/>
        </w:rPr>
        <w:t>y</w:t>
      </w:r>
      <w:r>
        <w:rPr>
          <w:color w:val="231F20"/>
          <w:spacing w:val="-8"/>
          <w:w w:val="105"/>
        </w:rPr>
        <w:t> </w:t>
      </w:r>
      <w:r>
        <w:rPr>
          <w:color w:val="231F20"/>
          <w:w w:val="105"/>
        </w:rPr>
        <w:t>cómo</w:t>
      </w:r>
      <w:r>
        <w:rPr>
          <w:color w:val="231F20"/>
          <w:spacing w:val="-8"/>
          <w:w w:val="105"/>
        </w:rPr>
        <w:t> </w:t>
      </w:r>
      <w:r>
        <w:rPr>
          <w:color w:val="231F20"/>
          <w:w w:val="105"/>
        </w:rPr>
        <w:t>estos</w:t>
      </w:r>
      <w:r>
        <w:rPr>
          <w:color w:val="231F20"/>
          <w:spacing w:val="-8"/>
          <w:w w:val="105"/>
        </w:rPr>
        <w:t> </w:t>
      </w:r>
      <w:r>
        <w:rPr>
          <w:color w:val="231F20"/>
          <w:w w:val="105"/>
        </w:rPr>
        <w:t>son</w:t>
      </w:r>
      <w:r>
        <w:rPr>
          <w:color w:val="231F20"/>
          <w:spacing w:val="-8"/>
          <w:w w:val="105"/>
        </w:rPr>
        <w:t> </w:t>
      </w:r>
      <w:r>
        <w:rPr>
          <w:color w:val="231F20"/>
          <w:w w:val="105"/>
        </w:rPr>
        <w:t>contingentes;</w:t>
      </w:r>
      <w:r>
        <w:rPr>
          <w:color w:val="231F20"/>
          <w:spacing w:val="-8"/>
          <w:w w:val="105"/>
        </w:rPr>
        <w:t> </w:t>
      </w:r>
      <w:r>
        <w:rPr>
          <w:color w:val="231F20"/>
          <w:w w:val="105"/>
        </w:rPr>
        <w:t>es decir,</w:t>
      </w:r>
      <w:r>
        <w:rPr>
          <w:color w:val="231F20"/>
          <w:spacing w:val="-18"/>
          <w:w w:val="105"/>
        </w:rPr>
        <w:t> </w:t>
      </w:r>
      <w:r>
        <w:rPr>
          <w:color w:val="231F20"/>
          <w:w w:val="105"/>
        </w:rPr>
        <w:t>se</w:t>
      </w:r>
      <w:r>
        <w:rPr>
          <w:color w:val="231F20"/>
          <w:spacing w:val="-12"/>
          <w:w w:val="105"/>
        </w:rPr>
        <w:t> </w:t>
      </w:r>
      <w:r>
        <w:rPr>
          <w:color w:val="231F20"/>
          <w:w w:val="105"/>
        </w:rPr>
        <w:t>acomodan</w:t>
      </w:r>
      <w:r>
        <w:rPr>
          <w:color w:val="231F20"/>
          <w:spacing w:val="-12"/>
          <w:w w:val="105"/>
        </w:rPr>
        <w:t> </w:t>
      </w:r>
      <w:r>
        <w:rPr>
          <w:color w:val="231F20"/>
          <w:w w:val="105"/>
        </w:rPr>
        <w:t>particularmente</w:t>
      </w:r>
      <w:r>
        <w:rPr>
          <w:color w:val="231F20"/>
          <w:spacing w:val="-12"/>
          <w:w w:val="105"/>
        </w:rPr>
        <w:t> </w:t>
      </w:r>
      <w:r>
        <w:rPr>
          <w:color w:val="231F20"/>
          <w:w w:val="105"/>
        </w:rPr>
        <w:t>según</w:t>
      </w:r>
      <w:r>
        <w:rPr>
          <w:color w:val="231F20"/>
          <w:spacing w:val="-12"/>
          <w:w w:val="105"/>
        </w:rPr>
        <w:t> </w:t>
      </w:r>
      <w:r>
        <w:rPr>
          <w:color w:val="231F20"/>
          <w:w w:val="105"/>
        </w:rPr>
        <w:t>la</w:t>
      </w:r>
      <w:r>
        <w:rPr>
          <w:color w:val="231F20"/>
          <w:spacing w:val="-12"/>
          <w:w w:val="105"/>
        </w:rPr>
        <w:t> </w:t>
      </w:r>
      <w:r>
        <w:rPr>
          <w:color w:val="231F20"/>
          <w:w w:val="105"/>
        </w:rPr>
        <w:t>interconexión</w:t>
      </w:r>
      <w:r>
        <w:rPr>
          <w:color w:val="231F20"/>
          <w:spacing w:val="-12"/>
          <w:w w:val="105"/>
        </w:rPr>
        <w:t> </w:t>
      </w:r>
      <w:r>
        <w:rPr>
          <w:color w:val="231F20"/>
          <w:w w:val="105"/>
        </w:rPr>
        <w:t>entre</w:t>
      </w:r>
      <w:r>
        <w:rPr>
          <w:color w:val="231F20"/>
          <w:spacing w:val="-12"/>
          <w:w w:val="105"/>
        </w:rPr>
        <w:t> </w:t>
      </w:r>
      <w:r>
        <w:rPr>
          <w:color w:val="231F20"/>
          <w:w w:val="105"/>
        </w:rPr>
        <w:t>perso- nas,</w:t>
      </w:r>
      <w:r>
        <w:rPr>
          <w:color w:val="231F20"/>
          <w:spacing w:val="-31"/>
          <w:w w:val="105"/>
        </w:rPr>
        <w:t> </w:t>
      </w:r>
      <w:r>
        <w:rPr>
          <w:color w:val="231F20"/>
          <w:w w:val="105"/>
        </w:rPr>
        <w:t>lugares</w:t>
      </w:r>
      <w:r>
        <w:rPr>
          <w:color w:val="231F20"/>
          <w:spacing w:val="-27"/>
          <w:w w:val="105"/>
        </w:rPr>
        <w:t> </w:t>
      </w:r>
      <w:r>
        <w:rPr>
          <w:color w:val="231F20"/>
          <w:w w:val="105"/>
        </w:rPr>
        <w:t>y</w:t>
      </w:r>
      <w:r>
        <w:rPr>
          <w:color w:val="231F20"/>
          <w:spacing w:val="-27"/>
          <w:w w:val="105"/>
        </w:rPr>
        <w:t> </w:t>
      </w:r>
      <w:r>
        <w:rPr>
          <w:color w:val="231F20"/>
          <w:w w:val="105"/>
        </w:rPr>
        <w:t>procesos</w:t>
      </w:r>
      <w:r>
        <w:rPr>
          <w:color w:val="231F20"/>
          <w:spacing w:val="-27"/>
          <w:w w:val="105"/>
        </w:rPr>
        <w:t> </w:t>
      </w:r>
      <w:r>
        <w:rPr>
          <w:color w:val="231F20"/>
          <w:w w:val="105"/>
        </w:rPr>
        <w:t>(Abbott,</w:t>
      </w:r>
      <w:r>
        <w:rPr>
          <w:color w:val="231F20"/>
          <w:spacing w:val="-31"/>
          <w:w w:val="105"/>
        </w:rPr>
        <w:t> </w:t>
      </w:r>
      <w:r>
        <w:rPr>
          <w:color w:val="231F20"/>
          <w:w w:val="105"/>
        </w:rPr>
        <w:t>1995a).</w:t>
      </w:r>
    </w:p>
    <w:p>
      <w:pPr>
        <w:pStyle w:val="BodyText"/>
        <w:spacing w:line="261" w:lineRule="auto" w:before="1"/>
        <w:ind w:left="1837" w:right="1716" w:firstLine="567"/>
        <w:jc w:val="both"/>
      </w:pPr>
      <w:r>
        <w:rPr>
          <w:color w:val="231F20"/>
          <w:w w:val="105"/>
        </w:rPr>
        <w:t>A</w:t>
      </w:r>
      <w:r>
        <w:rPr>
          <w:color w:val="231F20"/>
          <w:spacing w:val="-20"/>
          <w:w w:val="105"/>
        </w:rPr>
        <w:t> </w:t>
      </w:r>
      <w:r>
        <w:rPr>
          <w:color w:val="231F20"/>
          <w:w w:val="105"/>
        </w:rPr>
        <w:t>partir</w:t>
      </w:r>
      <w:r>
        <w:rPr>
          <w:color w:val="231F20"/>
          <w:spacing w:val="-16"/>
          <w:w w:val="105"/>
        </w:rPr>
        <w:t> </w:t>
      </w:r>
      <w:r>
        <w:rPr>
          <w:color w:val="231F20"/>
          <w:w w:val="105"/>
        </w:rPr>
        <w:t>de</w:t>
      </w:r>
      <w:r>
        <w:rPr>
          <w:color w:val="231F20"/>
          <w:spacing w:val="-16"/>
          <w:w w:val="105"/>
        </w:rPr>
        <w:t> </w:t>
      </w:r>
      <w:r>
        <w:rPr>
          <w:color w:val="231F20"/>
          <w:w w:val="105"/>
        </w:rPr>
        <w:t>implementar</w:t>
      </w:r>
      <w:r>
        <w:rPr>
          <w:color w:val="231F20"/>
          <w:spacing w:val="-16"/>
          <w:w w:val="105"/>
        </w:rPr>
        <w:t> </w:t>
      </w:r>
      <w:r>
        <w:rPr>
          <w:color w:val="231F20"/>
          <w:w w:val="105"/>
        </w:rPr>
        <w:t>esta</w:t>
      </w:r>
      <w:r>
        <w:rPr>
          <w:color w:val="231F20"/>
          <w:spacing w:val="-16"/>
          <w:w w:val="105"/>
        </w:rPr>
        <w:t> </w:t>
      </w:r>
      <w:r>
        <w:rPr>
          <w:color w:val="231F20"/>
          <w:w w:val="105"/>
        </w:rPr>
        <w:t>estrategia</w:t>
      </w:r>
      <w:r>
        <w:rPr>
          <w:color w:val="231F20"/>
          <w:spacing w:val="-16"/>
          <w:w w:val="105"/>
        </w:rPr>
        <w:t> </w:t>
      </w:r>
      <w:r>
        <w:rPr>
          <w:color w:val="231F20"/>
          <w:w w:val="105"/>
        </w:rPr>
        <w:t>de</w:t>
      </w:r>
      <w:r>
        <w:rPr>
          <w:color w:val="231F20"/>
          <w:spacing w:val="-16"/>
          <w:w w:val="105"/>
        </w:rPr>
        <w:t> </w:t>
      </w:r>
      <w:r>
        <w:rPr>
          <w:color w:val="231F20"/>
          <w:w w:val="105"/>
        </w:rPr>
        <w:t>ordenamiento</w:t>
      </w:r>
      <w:r>
        <w:rPr>
          <w:color w:val="231F20"/>
          <w:spacing w:val="-16"/>
          <w:w w:val="105"/>
        </w:rPr>
        <w:t> </w:t>
      </w:r>
      <w:r>
        <w:rPr>
          <w:color w:val="231F20"/>
          <w:w w:val="105"/>
        </w:rPr>
        <w:t>narrativo, se</w:t>
      </w:r>
      <w:r>
        <w:rPr>
          <w:color w:val="231F20"/>
          <w:spacing w:val="-24"/>
          <w:w w:val="105"/>
        </w:rPr>
        <w:t> </w:t>
      </w:r>
      <w:r>
        <w:rPr>
          <w:color w:val="231F20"/>
          <w:w w:val="105"/>
        </w:rPr>
        <w:t>hace</w:t>
      </w:r>
      <w:r>
        <w:rPr>
          <w:color w:val="231F20"/>
          <w:spacing w:val="-24"/>
          <w:w w:val="105"/>
        </w:rPr>
        <w:t> </w:t>
      </w:r>
      <w:r>
        <w:rPr>
          <w:color w:val="231F20"/>
          <w:w w:val="105"/>
        </w:rPr>
        <w:t>una</w:t>
      </w:r>
      <w:r>
        <w:rPr>
          <w:color w:val="231F20"/>
          <w:spacing w:val="-24"/>
          <w:w w:val="105"/>
        </w:rPr>
        <w:t> </w:t>
      </w:r>
      <w:r>
        <w:rPr>
          <w:color w:val="231F20"/>
          <w:w w:val="105"/>
        </w:rPr>
        <w:t>lectura</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experiencias</w:t>
      </w:r>
      <w:r>
        <w:rPr>
          <w:color w:val="231F20"/>
          <w:spacing w:val="-24"/>
          <w:w w:val="105"/>
        </w:rPr>
        <w:t> </w:t>
      </w:r>
      <w:r>
        <w:rPr>
          <w:color w:val="231F20"/>
          <w:w w:val="105"/>
        </w:rPr>
        <w:t>de</w:t>
      </w:r>
      <w:r>
        <w:rPr>
          <w:color w:val="231F20"/>
          <w:spacing w:val="-24"/>
          <w:w w:val="105"/>
        </w:rPr>
        <w:t> </w:t>
      </w:r>
      <w:r>
        <w:rPr>
          <w:color w:val="231F20"/>
          <w:w w:val="105"/>
        </w:rPr>
        <w:t>retorno-reinserción,</w:t>
      </w:r>
      <w:r>
        <w:rPr>
          <w:color w:val="231F20"/>
          <w:spacing w:val="-29"/>
          <w:w w:val="105"/>
        </w:rPr>
        <w:t> </w:t>
      </w:r>
      <w:r>
        <w:rPr>
          <w:color w:val="231F20"/>
          <w:w w:val="105"/>
        </w:rPr>
        <w:t>por</w:t>
      </w:r>
      <w:r>
        <w:rPr>
          <w:color w:val="231F20"/>
          <w:spacing w:val="-24"/>
          <w:w w:val="105"/>
        </w:rPr>
        <w:t> </w:t>
      </w:r>
      <w:r>
        <w:rPr>
          <w:color w:val="231F20"/>
          <w:w w:val="105"/>
        </w:rPr>
        <w:t>lo</w:t>
      </w:r>
      <w:r>
        <w:rPr>
          <w:color w:val="231F20"/>
          <w:spacing w:val="-24"/>
          <w:w w:val="105"/>
        </w:rPr>
        <w:t> </w:t>
      </w:r>
      <w:r>
        <w:rPr>
          <w:color w:val="231F20"/>
          <w:w w:val="105"/>
        </w:rPr>
        <w:t>que las</w:t>
      </w:r>
      <w:r>
        <w:rPr>
          <w:color w:val="231F20"/>
          <w:spacing w:val="-26"/>
          <w:w w:val="105"/>
        </w:rPr>
        <w:t> </w:t>
      </w:r>
      <w:r>
        <w:rPr>
          <w:color w:val="231F20"/>
          <w:w w:val="105"/>
        </w:rPr>
        <w:t>viñetas</w:t>
      </w:r>
      <w:r>
        <w:rPr>
          <w:color w:val="231F20"/>
          <w:spacing w:val="-26"/>
          <w:w w:val="105"/>
        </w:rPr>
        <w:t> </w:t>
      </w:r>
      <w:r>
        <w:rPr>
          <w:color w:val="231F20"/>
          <w:w w:val="105"/>
        </w:rPr>
        <w:t>no</w:t>
      </w:r>
      <w:r>
        <w:rPr>
          <w:color w:val="231F20"/>
          <w:spacing w:val="-26"/>
          <w:w w:val="105"/>
        </w:rPr>
        <w:t> </w:t>
      </w:r>
      <w:r>
        <w:rPr>
          <w:color w:val="231F20"/>
          <w:w w:val="105"/>
        </w:rPr>
        <w:t>constituyen</w:t>
      </w:r>
      <w:r>
        <w:rPr>
          <w:color w:val="231F20"/>
          <w:spacing w:val="-26"/>
          <w:w w:val="105"/>
        </w:rPr>
        <w:t> </w:t>
      </w:r>
      <w:r>
        <w:rPr>
          <w:color w:val="231F20"/>
          <w:w w:val="105"/>
        </w:rPr>
        <w:t>el</w:t>
      </w:r>
      <w:r>
        <w:rPr>
          <w:color w:val="231F20"/>
          <w:spacing w:val="-26"/>
          <w:w w:val="105"/>
        </w:rPr>
        <w:t> </w:t>
      </w:r>
      <w:r>
        <w:rPr>
          <w:color w:val="231F20"/>
          <w:w w:val="105"/>
        </w:rPr>
        <w:t>análisis</w:t>
      </w:r>
      <w:r>
        <w:rPr>
          <w:color w:val="231F20"/>
          <w:spacing w:val="-26"/>
          <w:w w:val="105"/>
        </w:rPr>
        <w:t> </w:t>
      </w:r>
      <w:r>
        <w:rPr>
          <w:color w:val="231F20"/>
          <w:w w:val="105"/>
        </w:rPr>
        <w:t>de</w:t>
      </w:r>
      <w:r>
        <w:rPr>
          <w:color w:val="231F20"/>
          <w:spacing w:val="-26"/>
          <w:w w:val="105"/>
        </w:rPr>
        <w:t> </w:t>
      </w:r>
      <w:r>
        <w:rPr>
          <w:color w:val="231F20"/>
          <w:w w:val="105"/>
        </w:rPr>
        <w:t>trayectorias,</w:t>
      </w:r>
      <w:r>
        <w:rPr>
          <w:color w:val="231F20"/>
          <w:spacing w:val="-30"/>
          <w:w w:val="105"/>
        </w:rPr>
        <w:t> </w:t>
      </w:r>
      <w:r>
        <w:rPr>
          <w:color w:val="231F20"/>
          <w:w w:val="105"/>
        </w:rPr>
        <w:t>sino</w:t>
      </w:r>
      <w:r>
        <w:rPr>
          <w:color w:val="231F20"/>
          <w:spacing w:val="-26"/>
          <w:w w:val="105"/>
        </w:rPr>
        <w:t> </w:t>
      </w:r>
      <w:r>
        <w:rPr>
          <w:rFonts w:ascii="Arial" w:hAnsi="Arial"/>
          <w:i/>
          <w:color w:val="231F20"/>
          <w:w w:val="105"/>
        </w:rPr>
        <w:t>una</w:t>
      </w:r>
      <w:r>
        <w:rPr>
          <w:rFonts w:ascii="Arial" w:hAnsi="Arial"/>
          <w:i/>
          <w:color w:val="231F20"/>
          <w:spacing w:val="-29"/>
          <w:w w:val="105"/>
        </w:rPr>
        <w:t> </w:t>
      </w:r>
      <w:r>
        <w:rPr>
          <w:rFonts w:ascii="Arial" w:hAnsi="Arial"/>
          <w:i/>
          <w:color w:val="231F20"/>
          <w:w w:val="105"/>
        </w:rPr>
        <w:t>descripción </w:t>
      </w:r>
      <w:r>
        <w:rPr>
          <w:rFonts w:ascii="Arial" w:hAnsi="Arial"/>
          <w:i/>
          <w:color w:val="231F20"/>
          <w:w w:val="105"/>
        </w:rPr>
        <w:t>del</w:t>
      </w:r>
      <w:r>
        <w:rPr>
          <w:rFonts w:ascii="Arial" w:hAnsi="Arial"/>
          <w:i/>
          <w:color w:val="231F20"/>
          <w:spacing w:val="-8"/>
          <w:w w:val="105"/>
        </w:rPr>
        <w:t> </w:t>
      </w:r>
      <w:r>
        <w:rPr>
          <w:rFonts w:ascii="Arial" w:hAnsi="Arial"/>
          <w:i/>
          <w:color w:val="231F20"/>
          <w:w w:val="105"/>
        </w:rPr>
        <w:t>ensamblaje</w:t>
      </w:r>
      <w:r>
        <w:rPr>
          <w:rFonts w:ascii="Arial" w:hAnsi="Arial"/>
          <w:i/>
          <w:color w:val="231F20"/>
          <w:spacing w:val="-8"/>
          <w:w w:val="105"/>
        </w:rPr>
        <w:t> </w:t>
      </w:r>
      <w:r>
        <w:rPr>
          <w:rFonts w:ascii="Arial" w:hAnsi="Arial"/>
          <w:i/>
          <w:color w:val="231F20"/>
          <w:w w:val="105"/>
        </w:rPr>
        <w:t>de</w:t>
      </w:r>
      <w:r>
        <w:rPr>
          <w:rFonts w:ascii="Arial" w:hAnsi="Arial"/>
          <w:i/>
          <w:color w:val="231F20"/>
          <w:spacing w:val="-8"/>
          <w:w w:val="105"/>
        </w:rPr>
        <w:t> </w:t>
      </w:r>
      <w:r>
        <w:rPr>
          <w:rFonts w:ascii="Arial" w:hAnsi="Arial"/>
          <w:i/>
          <w:color w:val="231F20"/>
          <w:w w:val="105"/>
        </w:rPr>
        <w:t>movilidades</w:t>
      </w:r>
      <w:r>
        <w:rPr>
          <w:rFonts w:ascii="Arial" w:hAnsi="Arial"/>
          <w:i/>
          <w:color w:val="231F20"/>
          <w:spacing w:val="-8"/>
          <w:w w:val="105"/>
        </w:rPr>
        <w:t> </w:t>
      </w:r>
      <w:r>
        <w:rPr>
          <w:color w:val="231F20"/>
          <w:w w:val="105"/>
        </w:rPr>
        <w:t>(Adey,</w:t>
      </w:r>
      <w:r>
        <w:rPr>
          <w:color w:val="231F20"/>
          <w:spacing w:val="-9"/>
          <w:w w:val="105"/>
        </w:rPr>
        <w:t> </w:t>
      </w:r>
      <w:r>
        <w:rPr>
          <w:color w:val="231F20"/>
          <w:w w:val="105"/>
        </w:rPr>
        <w:t>2010;</w:t>
      </w:r>
      <w:r>
        <w:rPr>
          <w:color w:val="231F20"/>
          <w:spacing w:val="-5"/>
          <w:w w:val="105"/>
        </w:rPr>
        <w:t> </w:t>
      </w:r>
      <w:r>
        <w:rPr>
          <w:color w:val="231F20"/>
          <w:w w:val="105"/>
        </w:rPr>
        <w:t>Savage,</w:t>
      </w:r>
      <w:r>
        <w:rPr>
          <w:color w:val="231F20"/>
          <w:spacing w:val="-9"/>
          <w:w w:val="105"/>
        </w:rPr>
        <w:t> </w:t>
      </w:r>
      <w:r>
        <w:rPr>
          <w:color w:val="231F20"/>
          <w:w w:val="105"/>
        </w:rPr>
        <w:t>2009),</w:t>
      </w:r>
      <w:r>
        <w:rPr>
          <w:color w:val="231F20"/>
          <w:spacing w:val="-9"/>
          <w:w w:val="105"/>
        </w:rPr>
        <w:t> </w:t>
      </w:r>
      <w:r>
        <w:rPr>
          <w:color w:val="231F20"/>
          <w:w w:val="105"/>
        </w:rPr>
        <w:t>ordenadas por el relato de la experiencia vivida desde una misma localidad de re- torno, con el propósito de explorar las implicaciones subjetivas –a nivel tanto</w:t>
      </w:r>
      <w:r>
        <w:rPr>
          <w:color w:val="231F20"/>
          <w:spacing w:val="-11"/>
          <w:w w:val="105"/>
        </w:rPr>
        <w:t> </w:t>
      </w:r>
      <w:r>
        <w:rPr>
          <w:color w:val="231F20"/>
          <w:w w:val="105"/>
        </w:rPr>
        <w:t>individual</w:t>
      </w:r>
      <w:r>
        <w:rPr>
          <w:color w:val="231F20"/>
          <w:spacing w:val="-11"/>
          <w:w w:val="105"/>
        </w:rPr>
        <w:t> </w:t>
      </w:r>
      <w:r>
        <w:rPr>
          <w:color w:val="231F20"/>
          <w:w w:val="105"/>
        </w:rPr>
        <w:t>como</w:t>
      </w:r>
      <w:r>
        <w:rPr>
          <w:color w:val="231F20"/>
          <w:spacing w:val="-11"/>
          <w:w w:val="105"/>
        </w:rPr>
        <w:t> </w:t>
      </w:r>
      <w:r>
        <w:rPr>
          <w:color w:val="231F20"/>
          <w:w w:val="105"/>
        </w:rPr>
        <w:t>social–</w:t>
      </w:r>
      <w:r>
        <w:rPr>
          <w:color w:val="231F20"/>
          <w:spacing w:val="-11"/>
          <w:w w:val="105"/>
        </w:rPr>
        <w:t> </w:t>
      </w:r>
      <w:r>
        <w:rPr>
          <w:color w:val="231F20"/>
          <w:w w:val="105"/>
        </w:rPr>
        <w:t>que</w:t>
      </w:r>
      <w:r>
        <w:rPr>
          <w:color w:val="231F20"/>
          <w:spacing w:val="-11"/>
          <w:w w:val="105"/>
        </w:rPr>
        <w:t> </w:t>
      </w:r>
      <w:r>
        <w:rPr>
          <w:color w:val="231F20"/>
          <w:w w:val="105"/>
        </w:rPr>
        <w:t>tienen</w:t>
      </w:r>
      <w:r>
        <w:rPr>
          <w:color w:val="231F20"/>
          <w:spacing w:val="-11"/>
          <w:w w:val="105"/>
        </w:rPr>
        <w:t> </w:t>
      </w:r>
      <w:r>
        <w:rPr>
          <w:color w:val="231F20"/>
          <w:w w:val="105"/>
        </w:rPr>
        <w:t>las</w:t>
      </w:r>
      <w:r>
        <w:rPr>
          <w:color w:val="231F20"/>
          <w:spacing w:val="-11"/>
          <w:w w:val="105"/>
        </w:rPr>
        <w:t> </w:t>
      </w:r>
      <w:r>
        <w:rPr>
          <w:color w:val="231F20"/>
          <w:w w:val="105"/>
        </w:rPr>
        <w:t>experiencias</w:t>
      </w:r>
      <w:r>
        <w:rPr>
          <w:color w:val="231F20"/>
          <w:spacing w:val="-11"/>
          <w:w w:val="105"/>
        </w:rPr>
        <w:t> </w:t>
      </w:r>
      <w:r>
        <w:rPr>
          <w:color w:val="231F20"/>
          <w:w w:val="105"/>
        </w:rPr>
        <w:t>de</w:t>
      </w:r>
      <w:r>
        <w:rPr>
          <w:color w:val="231F20"/>
          <w:spacing w:val="-11"/>
          <w:w w:val="105"/>
        </w:rPr>
        <w:t> </w:t>
      </w:r>
      <w:r>
        <w:rPr>
          <w:color w:val="231F20"/>
          <w:w w:val="105"/>
        </w:rPr>
        <w:t>retorno</w:t>
      </w:r>
      <w:r>
        <w:rPr>
          <w:color w:val="231F20"/>
          <w:spacing w:val="-11"/>
          <w:w w:val="105"/>
        </w:rPr>
        <w:t> </w:t>
      </w:r>
      <w:r>
        <w:rPr>
          <w:color w:val="231F20"/>
          <w:w w:val="105"/>
        </w:rPr>
        <w:t>y</w:t>
      </w:r>
      <w:r>
        <w:rPr>
          <w:color w:val="231F20"/>
          <w:spacing w:val="-11"/>
          <w:w w:val="105"/>
        </w:rPr>
        <w:t> </w:t>
      </w:r>
      <w:r>
        <w:rPr>
          <w:color w:val="231F20"/>
          <w:w w:val="105"/>
        </w:rPr>
        <w:t>de reinserción</w:t>
      </w:r>
      <w:r>
        <w:rPr>
          <w:color w:val="231F20"/>
          <w:spacing w:val="-18"/>
          <w:w w:val="105"/>
        </w:rPr>
        <w:t> </w:t>
      </w:r>
      <w:r>
        <w:rPr>
          <w:color w:val="231F20"/>
          <w:w w:val="105"/>
        </w:rPr>
        <w:t>en</w:t>
      </w:r>
      <w:r>
        <w:rPr>
          <w:color w:val="231F20"/>
          <w:spacing w:val="-18"/>
          <w:w w:val="105"/>
        </w:rPr>
        <w:t> </w:t>
      </w:r>
      <w:r>
        <w:rPr>
          <w:color w:val="231F20"/>
          <w:w w:val="105"/>
        </w:rPr>
        <w:t>esta</w:t>
      </w:r>
      <w:r>
        <w:rPr>
          <w:color w:val="231F20"/>
          <w:spacing w:val="-18"/>
          <w:w w:val="105"/>
        </w:rPr>
        <w:t> </w:t>
      </w:r>
      <w:r>
        <w:rPr>
          <w:color w:val="231F20"/>
          <w:w w:val="105"/>
        </w:rPr>
        <w:t>localidad</w:t>
      </w:r>
      <w:r>
        <w:rPr>
          <w:color w:val="231F20"/>
          <w:spacing w:val="-18"/>
          <w:w w:val="105"/>
        </w:rPr>
        <w:t> </w:t>
      </w:r>
      <w:r>
        <w:rPr>
          <w:color w:val="231F20"/>
          <w:w w:val="105"/>
        </w:rPr>
        <w:t>urbana,</w:t>
      </w:r>
      <w:r>
        <w:rPr>
          <w:color w:val="231F20"/>
          <w:spacing w:val="-23"/>
          <w:w w:val="105"/>
        </w:rPr>
        <w:t> </w:t>
      </w:r>
      <w:r>
        <w:rPr>
          <w:color w:val="231F20"/>
          <w:w w:val="105"/>
        </w:rPr>
        <w:t>luego</w:t>
      </w:r>
      <w:r>
        <w:rPr>
          <w:color w:val="231F20"/>
          <w:spacing w:val="-18"/>
          <w:w w:val="105"/>
        </w:rPr>
        <w:t> </w:t>
      </w:r>
      <w:r>
        <w:rPr>
          <w:color w:val="231F20"/>
          <w:w w:val="105"/>
        </w:rPr>
        <w:t>de</w:t>
      </w:r>
      <w:r>
        <w:rPr>
          <w:color w:val="231F20"/>
          <w:spacing w:val="-18"/>
          <w:w w:val="105"/>
        </w:rPr>
        <w:t> </w:t>
      </w:r>
      <w:r>
        <w:rPr>
          <w:color w:val="231F20"/>
          <w:w w:val="105"/>
        </w:rPr>
        <w:t>vivir</w:t>
      </w:r>
      <w:r>
        <w:rPr>
          <w:color w:val="231F20"/>
          <w:spacing w:val="-18"/>
          <w:w w:val="105"/>
        </w:rPr>
        <w:t> </w:t>
      </w:r>
      <w:r>
        <w:rPr>
          <w:color w:val="231F20"/>
          <w:w w:val="105"/>
        </w:rPr>
        <w:t>en</w:t>
      </w:r>
      <w:r>
        <w:rPr>
          <w:color w:val="231F20"/>
          <w:spacing w:val="-18"/>
          <w:w w:val="105"/>
        </w:rPr>
        <w:t> </w:t>
      </w:r>
      <w:r>
        <w:rPr>
          <w:color w:val="231F20"/>
          <w:w w:val="105"/>
        </w:rPr>
        <w:t>Estados</w:t>
      </w:r>
      <w:r>
        <w:rPr>
          <w:color w:val="231F20"/>
          <w:spacing w:val="-18"/>
          <w:w w:val="105"/>
        </w:rPr>
        <w:t> </w:t>
      </w:r>
      <w:r>
        <w:rPr>
          <w:color w:val="231F20"/>
          <w:w w:val="105"/>
        </w:rPr>
        <w:t>Unidos.</w:t>
      </w:r>
    </w:p>
    <w:p>
      <w:pPr>
        <w:pStyle w:val="BodyText"/>
        <w:spacing w:line="261" w:lineRule="auto"/>
        <w:ind w:left="1837" w:right="1721" w:firstLine="566"/>
        <w:jc w:val="both"/>
      </w:pPr>
      <w:r>
        <w:rPr>
          <w:rFonts w:ascii="Arial" w:hAnsi="Arial"/>
          <w:color w:val="231F20"/>
          <w:w w:val="105"/>
        </w:rPr>
        <w:t>Luis</w:t>
      </w:r>
      <w:r>
        <w:rPr>
          <w:rFonts w:ascii="Arial" w:hAnsi="Arial"/>
          <w:color w:val="231F20"/>
          <w:w w:val="105"/>
          <w:position w:val="7"/>
          <w:sz w:val="12"/>
        </w:rPr>
        <w:t>6</w:t>
      </w:r>
      <w:r>
        <w:rPr>
          <w:color w:val="231F20"/>
          <w:w w:val="105"/>
        </w:rPr>
        <w:t>: 35 años, soltero, retornado de Estados Unidos a finales de 2008.</w:t>
      </w:r>
      <w:r>
        <w:rPr>
          <w:color w:val="231F20"/>
          <w:spacing w:val="-30"/>
          <w:w w:val="105"/>
        </w:rPr>
        <w:t> </w:t>
      </w:r>
      <w:r>
        <w:rPr>
          <w:color w:val="231F20"/>
          <w:w w:val="105"/>
        </w:rPr>
        <w:t>Originario</w:t>
      </w:r>
      <w:r>
        <w:rPr>
          <w:color w:val="231F20"/>
          <w:spacing w:val="-25"/>
          <w:w w:val="105"/>
        </w:rPr>
        <w:t> </w:t>
      </w:r>
      <w:r>
        <w:rPr>
          <w:color w:val="231F20"/>
          <w:w w:val="105"/>
        </w:rPr>
        <w:t>de</w:t>
      </w:r>
      <w:r>
        <w:rPr>
          <w:color w:val="231F20"/>
          <w:spacing w:val="-25"/>
          <w:w w:val="105"/>
        </w:rPr>
        <w:t> </w:t>
      </w:r>
      <w:r>
        <w:rPr>
          <w:color w:val="231F20"/>
          <w:w w:val="105"/>
        </w:rPr>
        <w:t>Michoacán,</w:t>
      </w:r>
      <w:r>
        <w:rPr>
          <w:color w:val="231F20"/>
          <w:spacing w:val="-30"/>
          <w:w w:val="105"/>
        </w:rPr>
        <w:t> </w:t>
      </w:r>
      <w:r>
        <w:rPr>
          <w:color w:val="231F20"/>
          <w:w w:val="105"/>
        </w:rPr>
        <w:t>es</w:t>
      </w:r>
      <w:r>
        <w:rPr>
          <w:color w:val="231F20"/>
          <w:spacing w:val="-25"/>
          <w:w w:val="105"/>
        </w:rPr>
        <w:t> </w:t>
      </w:r>
      <w:r>
        <w:rPr>
          <w:color w:val="231F20"/>
          <w:w w:val="105"/>
        </w:rPr>
        <w:t>inmigrante</w:t>
      </w:r>
      <w:r>
        <w:rPr>
          <w:color w:val="231F20"/>
          <w:spacing w:val="-25"/>
          <w:w w:val="105"/>
        </w:rPr>
        <w:t> </w:t>
      </w:r>
      <w:r>
        <w:rPr>
          <w:color w:val="231F20"/>
          <w:w w:val="105"/>
        </w:rPr>
        <w:t>en</w:t>
      </w:r>
      <w:r>
        <w:rPr>
          <w:color w:val="231F20"/>
          <w:spacing w:val="-25"/>
          <w:w w:val="105"/>
        </w:rPr>
        <w:t> </w:t>
      </w:r>
      <w:r>
        <w:rPr>
          <w:color w:val="231F20"/>
          <w:w w:val="105"/>
        </w:rPr>
        <w:t>Nezahualcóyotl,</w:t>
      </w:r>
      <w:r>
        <w:rPr>
          <w:color w:val="231F20"/>
          <w:spacing w:val="-30"/>
          <w:w w:val="105"/>
        </w:rPr>
        <w:t> </w:t>
      </w:r>
      <w:r>
        <w:rPr>
          <w:color w:val="231F20"/>
          <w:w w:val="105"/>
        </w:rPr>
        <w:t>Estado</w:t>
      </w:r>
    </w:p>
    <w:p>
      <w:pPr>
        <w:pStyle w:val="BodyText"/>
        <w:spacing w:before="2"/>
        <w:rPr>
          <w:sz w:val="18"/>
        </w:rPr>
      </w:pPr>
      <w:r>
        <w:rPr/>
        <w:pict>
          <v:line style="position:absolute;mso-position-horizontal-relative:page;mso-position-vertical-relative:paragraph;z-index:12616;mso-wrap-distance-left:0;mso-wrap-distance-right:0" from="91.866096pt,12.366925pt" to="205.252096pt,12.366925pt" stroked="true" strokeweight=".25pt" strokecolor="#231f20">
            <w10:wrap type="topAndBottom"/>
          </v:line>
        </w:pict>
      </w:r>
    </w:p>
    <w:p>
      <w:pPr>
        <w:spacing w:before="8"/>
        <w:ind w:left="1837" w:right="0" w:firstLine="0"/>
        <w:jc w:val="left"/>
        <w:rPr>
          <w:rFonts w:ascii="Calibri" w:hAnsi="Calibri"/>
          <w:sz w:val="16"/>
        </w:rPr>
      </w:pPr>
      <w:r>
        <w:rPr>
          <w:rFonts w:ascii="Calibri" w:hAnsi="Calibri"/>
          <w:color w:val="414042"/>
          <w:w w:val="105"/>
          <w:position w:val="5"/>
          <w:sz w:val="9"/>
        </w:rPr>
        <w:t>6 </w:t>
      </w:r>
      <w:r>
        <w:rPr>
          <w:rFonts w:ascii="Calibri" w:hAnsi="Calibri"/>
          <w:color w:val="414042"/>
          <w:w w:val="105"/>
          <w:sz w:val="16"/>
        </w:rPr>
        <w:t>Entrevista realizada en febrero 2011, en Nezahualcóyotl, Estado de México.</w:t>
      </w:r>
    </w:p>
    <w:p>
      <w:pPr>
        <w:spacing w:after="0"/>
        <w:jc w:val="left"/>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28"/>
        <w:jc w:val="both"/>
      </w:pPr>
      <w:r>
        <w:rPr/>
        <w:pict>
          <v:line style="position:absolute;mso-position-horizontal-relative:page;mso-position-vertical-relative:paragraph;z-index:12784" from="15pt,-68.636444pt" to="0pt,-68.636444pt" stroked="true" strokeweight=".25pt" strokecolor="#000000">
            <w10:wrap type="none"/>
          </v:line>
        </w:pict>
      </w:r>
      <w:r>
        <w:rPr/>
        <w:pict>
          <v:line style="position:absolute;mso-position-horizontal-relative:page;mso-position-vertical-relative:paragraph;z-index:12808" from="508.890015pt,-68.636444pt" to="523.890015pt,-68.636444pt" stroked="true" strokeweight=".25pt" strokecolor="#000000">
            <w10:wrap type="none"/>
          </v:line>
        </w:pict>
      </w:r>
      <w:r>
        <w:rPr>
          <w:color w:val="231F20"/>
          <w:w w:val="105"/>
        </w:rPr>
        <w:t>de</w:t>
      </w:r>
      <w:r>
        <w:rPr>
          <w:color w:val="231F20"/>
          <w:spacing w:val="-16"/>
          <w:w w:val="105"/>
        </w:rPr>
        <w:t> </w:t>
      </w:r>
      <w:r>
        <w:rPr>
          <w:color w:val="231F20"/>
          <w:w w:val="105"/>
        </w:rPr>
        <w:t>México,</w:t>
      </w:r>
      <w:r>
        <w:rPr>
          <w:color w:val="231F20"/>
          <w:spacing w:val="-22"/>
          <w:w w:val="105"/>
        </w:rPr>
        <w:t> </w:t>
      </w:r>
      <w:r>
        <w:rPr>
          <w:color w:val="231F20"/>
          <w:w w:val="105"/>
        </w:rPr>
        <w:t>desde</w:t>
      </w:r>
      <w:r>
        <w:rPr>
          <w:color w:val="231F20"/>
          <w:spacing w:val="-16"/>
          <w:w w:val="105"/>
        </w:rPr>
        <w:t> </w:t>
      </w:r>
      <w:r>
        <w:rPr>
          <w:color w:val="231F20"/>
          <w:w w:val="105"/>
        </w:rPr>
        <w:t>los</w:t>
      </w:r>
      <w:r>
        <w:rPr>
          <w:color w:val="231F20"/>
          <w:spacing w:val="-16"/>
          <w:w w:val="105"/>
        </w:rPr>
        <w:t> </w:t>
      </w:r>
      <w:r>
        <w:rPr>
          <w:color w:val="231F20"/>
          <w:w w:val="105"/>
        </w:rPr>
        <w:t>cuatro</w:t>
      </w:r>
      <w:r>
        <w:rPr>
          <w:color w:val="231F20"/>
          <w:spacing w:val="-16"/>
          <w:w w:val="105"/>
        </w:rPr>
        <w:t> </w:t>
      </w:r>
      <w:r>
        <w:rPr>
          <w:color w:val="231F20"/>
          <w:w w:val="105"/>
        </w:rPr>
        <w:t>años.</w:t>
      </w:r>
      <w:r>
        <w:rPr>
          <w:color w:val="231F20"/>
          <w:spacing w:val="-25"/>
          <w:w w:val="105"/>
        </w:rPr>
        <w:t> </w:t>
      </w:r>
      <w:r>
        <w:rPr>
          <w:color w:val="231F20"/>
          <w:w w:val="105"/>
        </w:rPr>
        <w:t>Al</w:t>
      </w:r>
      <w:r>
        <w:rPr>
          <w:color w:val="231F20"/>
          <w:spacing w:val="-16"/>
          <w:w w:val="105"/>
        </w:rPr>
        <w:t> </w:t>
      </w:r>
      <w:r>
        <w:rPr>
          <w:color w:val="231F20"/>
          <w:w w:val="105"/>
        </w:rPr>
        <w:t>partir</w:t>
      </w:r>
      <w:r>
        <w:rPr>
          <w:color w:val="231F20"/>
          <w:spacing w:val="-16"/>
          <w:w w:val="105"/>
        </w:rPr>
        <w:t> </w:t>
      </w:r>
      <w:r>
        <w:rPr>
          <w:color w:val="231F20"/>
          <w:w w:val="105"/>
        </w:rPr>
        <w:t>de</w:t>
      </w:r>
      <w:r>
        <w:rPr>
          <w:color w:val="231F20"/>
          <w:spacing w:val="-16"/>
          <w:w w:val="105"/>
        </w:rPr>
        <w:t> </w:t>
      </w:r>
      <w:r>
        <w:rPr>
          <w:color w:val="231F20"/>
          <w:w w:val="105"/>
        </w:rPr>
        <w:t>este</w:t>
      </w:r>
      <w:r>
        <w:rPr>
          <w:color w:val="231F20"/>
          <w:spacing w:val="-16"/>
          <w:w w:val="105"/>
        </w:rPr>
        <w:t> </w:t>
      </w:r>
      <w:r>
        <w:rPr>
          <w:color w:val="231F20"/>
          <w:w w:val="105"/>
        </w:rPr>
        <w:t>municipio</w:t>
      </w:r>
      <w:r>
        <w:rPr>
          <w:color w:val="231F20"/>
          <w:spacing w:val="-16"/>
          <w:w w:val="105"/>
        </w:rPr>
        <w:t> </w:t>
      </w:r>
      <w:r>
        <w:rPr>
          <w:color w:val="231F20"/>
          <w:w w:val="105"/>
        </w:rPr>
        <w:t>con</w:t>
      </w:r>
      <w:r>
        <w:rPr>
          <w:color w:val="231F20"/>
          <w:spacing w:val="-16"/>
          <w:w w:val="105"/>
        </w:rPr>
        <w:t> </w:t>
      </w:r>
      <w:r>
        <w:rPr>
          <w:color w:val="231F20"/>
          <w:w w:val="105"/>
        </w:rPr>
        <w:t>destino a Nueva </w:t>
      </w:r>
      <w:r>
        <w:rPr>
          <w:color w:val="231F20"/>
          <w:spacing w:val="-4"/>
          <w:w w:val="105"/>
        </w:rPr>
        <w:t>York, </w:t>
      </w:r>
      <w:r>
        <w:rPr>
          <w:color w:val="231F20"/>
          <w:w w:val="105"/>
        </w:rPr>
        <w:t>en enero de 2002, tenía 27 años y aún vivía en el</w:t>
      </w:r>
      <w:r>
        <w:rPr>
          <w:color w:val="231F20"/>
          <w:spacing w:val="-22"/>
          <w:w w:val="105"/>
        </w:rPr>
        <w:t> </w:t>
      </w:r>
      <w:r>
        <w:rPr>
          <w:color w:val="231F20"/>
          <w:w w:val="105"/>
        </w:rPr>
        <w:t>mismo hogar</w:t>
      </w:r>
      <w:r>
        <w:rPr>
          <w:color w:val="231F20"/>
          <w:spacing w:val="-17"/>
          <w:w w:val="105"/>
        </w:rPr>
        <w:t> </w:t>
      </w:r>
      <w:r>
        <w:rPr>
          <w:color w:val="231F20"/>
          <w:w w:val="105"/>
        </w:rPr>
        <w:t>que</w:t>
      </w:r>
      <w:r>
        <w:rPr>
          <w:color w:val="231F20"/>
          <w:spacing w:val="-17"/>
          <w:w w:val="105"/>
        </w:rPr>
        <w:t> </w:t>
      </w:r>
      <w:r>
        <w:rPr>
          <w:color w:val="231F20"/>
          <w:w w:val="105"/>
        </w:rPr>
        <w:t>sus</w:t>
      </w:r>
      <w:r>
        <w:rPr>
          <w:color w:val="231F20"/>
          <w:spacing w:val="-17"/>
          <w:w w:val="105"/>
        </w:rPr>
        <w:t> </w:t>
      </w:r>
      <w:r>
        <w:rPr>
          <w:color w:val="231F20"/>
          <w:w w:val="105"/>
        </w:rPr>
        <w:t>padres</w:t>
      </w:r>
      <w:r>
        <w:rPr>
          <w:color w:val="231F20"/>
          <w:spacing w:val="-17"/>
          <w:w w:val="105"/>
        </w:rPr>
        <w:t> </w:t>
      </w:r>
      <w:r>
        <w:rPr>
          <w:color w:val="231F20"/>
          <w:w w:val="105"/>
        </w:rPr>
        <w:t>y</w:t>
      </w:r>
      <w:r>
        <w:rPr>
          <w:color w:val="231F20"/>
          <w:spacing w:val="-17"/>
          <w:w w:val="105"/>
        </w:rPr>
        <w:t> </w:t>
      </w:r>
      <w:r>
        <w:rPr>
          <w:color w:val="231F20"/>
          <w:w w:val="105"/>
        </w:rPr>
        <w:t>una</w:t>
      </w:r>
      <w:r>
        <w:rPr>
          <w:color w:val="231F20"/>
          <w:spacing w:val="-17"/>
          <w:w w:val="105"/>
        </w:rPr>
        <w:t> </w:t>
      </w:r>
      <w:r>
        <w:rPr>
          <w:color w:val="231F20"/>
          <w:w w:val="105"/>
        </w:rPr>
        <w:t>hermana</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Colonia</w:t>
      </w:r>
      <w:r>
        <w:rPr>
          <w:color w:val="231F20"/>
          <w:spacing w:val="-17"/>
          <w:w w:val="105"/>
        </w:rPr>
        <w:t> </w:t>
      </w:r>
      <w:r>
        <w:rPr>
          <w:color w:val="231F20"/>
          <w:w w:val="105"/>
        </w:rPr>
        <w:t>San</w:t>
      </w:r>
      <w:r>
        <w:rPr>
          <w:color w:val="231F20"/>
          <w:spacing w:val="-20"/>
          <w:w w:val="105"/>
        </w:rPr>
        <w:t> </w:t>
      </w:r>
      <w:r>
        <w:rPr>
          <w:color w:val="231F20"/>
          <w:w w:val="105"/>
        </w:rPr>
        <w:t>Agustín.</w:t>
      </w:r>
      <w:r>
        <w:rPr>
          <w:color w:val="231F20"/>
          <w:spacing w:val="-25"/>
          <w:w w:val="105"/>
        </w:rPr>
        <w:t> </w:t>
      </w:r>
      <w:r>
        <w:rPr>
          <w:color w:val="231F20"/>
          <w:w w:val="105"/>
        </w:rPr>
        <w:t>Aunque es</w:t>
      </w:r>
      <w:r>
        <w:rPr>
          <w:color w:val="231F20"/>
          <w:spacing w:val="-14"/>
          <w:w w:val="105"/>
        </w:rPr>
        <w:t> </w:t>
      </w:r>
      <w:r>
        <w:rPr>
          <w:color w:val="231F20"/>
          <w:w w:val="105"/>
        </w:rPr>
        <w:t>el</w:t>
      </w:r>
      <w:r>
        <w:rPr>
          <w:color w:val="231F20"/>
          <w:spacing w:val="-14"/>
          <w:w w:val="105"/>
        </w:rPr>
        <w:t> </w:t>
      </w:r>
      <w:r>
        <w:rPr>
          <w:color w:val="231F20"/>
          <w:w w:val="105"/>
        </w:rPr>
        <w:t>mayor</w:t>
      </w:r>
      <w:r>
        <w:rPr>
          <w:color w:val="231F20"/>
          <w:spacing w:val="-14"/>
          <w:w w:val="105"/>
        </w:rPr>
        <w:t> </w:t>
      </w:r>
      <w:r>
        <w:rPr>
          <w:color w:val="231F20"/>
          <w:w w:val="105"/>
        </w:rPr>
        <w:t>de</w:t>
      </w:r>
      <w:r>
        <w:rPr>
          <w:color w:val="231F20"/>
          <w:spacing w:val="-14"/>
          <w:w w:val="105"/>
        </w:rPr>
        <w:t> </w:t>
      </w:r>
      <w:r>
        <w:rPr>
          <w:color w:val="231F20"/>
          <w:w w:val="105"/>
        </w:rPr>
        <w:t>tres</w:t>
      </w:r>
      <w:r>
        <w:rPr>
          <w:color w:val="231F20"/>
          <w:spacing w:val="-14"/>
          <w:w w:val="105"/>
        </w:rPr>
        <w:t> </w:t>
      </w:r>
      <w:r>
        <w:rPr>
          <w:color w:val="231F20"/>
          <w:w w:val="105"/>
        </w:rPr>
        <w:t>hermanos,</w:t>
      </w:r>
      <w:r>
        <w:rPr>
          <w:color w:val="231F20"/>
          <w:spacing w:val="-19"/>
          <w:w w:val="105"/>
        </w:rPr>
        <w:t> </w:t>
      </w:r>
      <w:r>
        <w:rPr>
          <w:color w:val="231F20"/>
          <w:w w:val="105"/>
        </w:rPr>
        <w:t>uno</w:t>
      </w:r>
      <w:r>
        <w:rPr>
          <w:color w:val="231F20"/>
          <w:spacing w:val="-14"/>
          <w:w w:val="105"/>
        </w:rPr>
        <w:t> </w:t>
      </w:r>
      <w:r>
        <w:rPr>
          <w:color w:val="231F20"/>
          <w:w w:val="105"/>
        </w:rPr>
        <w:t>de</w:t>
      </w:r>
      <w:r>
        <w:rPr>
          <w:color w:val="231F20"/>
          <w:spacing w:val="-14"/>
          <w:w w:val="105"/>
        </w:rPr>
        <w:t> </w:t>
      </w:r>
      <w:r>
        <w:rPr>
          <w:color w:val="231F20"/>
          <w:w w:val="105"/>
        </w:rPr>
        <w:t>ellos</w:t>
      </w:r>
      <w:r>
        <w:rPr>
          <w:color w:val="231F20"/>
          <w:spacing w:val="-14"/>
          <w:w w:val="105"/>
        </w:rPr>
        <w:t> </w:t>
      </w:r>
      <w:r>
        <w:rPr>
          <w:color w:val="231F20"/>
          <w:w w:val="105"/>
        </w:rPr>
        <w:t>radicaba</w:t>
      </w:r>
      <w:r>
        <w:rPr>
          <w:color w:val="231F20"/>
          <w:spacing w:val="-14"/>
          <w:w w:val="105"/>
        </w:rPr>
        <w:t> </w:t>
      </w:r>
      <w:r>
        <w:rPr>
          <w:color w:val="231F20"/>
          <w:w w:val="105"/>
        </w:rPr>
        <w:t>en</w:t>
      </w:r>
      <w:r>
        <w:rPr>
          <w:color w:val="231F20"/>
          <w:spacing w:val="-14"/>
          <w:w w:val="105"/>
        </w:rPr>
        <w:t> </w:t>
      </w:r>
      <w:r>
        <w:rPr>
          <w:color w:val="231F20"/>
          <w:w w:val="105"/>
        </w:rPr>
        <w:t>Estados</w:t>
      </w:r>
      <w:r>
        <w:rPr>
          <w:color w:val="231F20"/>
          <w:spacing w:val="-14"/>
          <w:w w:val="105"/>
        </w:rPr>
        <w:t> </w:t>
      </w:r>
      <w:r>
        <w:rPr>
          <w:color w:val="231F20"/>
          <w:w w:val="105"/>
        </w:rPr>
        <w:t>Unidos, tenía</w:t>
      </w:r>
      <w:r>
        <w:rPr>
          <w:color w:val="231F20"/>
          <w:spacing w:val="-7"/>
          <w:w w:val="105"/>
        </w:rPr>
        <w:t> </w:t>
      </w:r>
      <w:r>
        <w:rPr>
          <w:color w:val="231F20"/>
          <w:w w:val="105"/>
        </w:rPr>
        <w:t>cuatro</w:t>
      </w:r>
      <w:r>
        <w:rPr>
          <w:color w:val="231F20"/>
          <w:spacing w:val="-7"/>
          <w:w w:val="105"/>
        </w:rPr>
        <w:t> </w:t>
      </w:r>
      <w:r>
        <w:rPr>
          <w:color w:val="231F20"/>
          <w:w w:val="105"/>
        </w:rPr>
        <w:t>años</w:t>
      </w:r>
      <w:r>
        <w:rPr>
          <w:color w:val="231F20"/>
          <w:spacing w:val="-7"/>
          <w:w w:val="105"/>
        </w:rPr>
        <w:t> </w:t>
      </w:r>
      <w:r>
        <w:rPr>
          <w:color w:val="231F20"/>
          <w:w w:val="105"/>
        </w:rPr>
        <w:t>de</w:t>
      </w:r>
      <w:r>
        <w:rPr>
          <w:color w:val="231F20"/>
          <w:spacing w:val="-7"/>
          <w:w w:val="105"/>
        </w:rPr>
        <w:t> </w:t>
      </w:r>
      <w:r>
        <w:rPr>
          <w:color w:val="231F20"/>
          <w:w w:val="105"/>
        </w:rPr>
        <w:t>experiencia</w:t>
      </w:r>
      <w:r>
        <w:rPr>
          <w:color w:val="231F20"/>
          <w:spacing w:val="-7"/>
          <w:w w:val="105"/>
        </w:rPr>
        <w:t> </w:t>
      </w:r>
      <w:r>
        <w:rPr>
          <w:color w:val="231F20"/>
          <w:w w:val="105"/>
        </w:rPr>
        <w:t>migrante</w:t>
      </w:r>
      <w:r>
        <w:rPr>
          <w:color w:val="231F20"/>
          <w:spacing w:val="-7"/>
          <w:w w:val="105"/>
        </w:rPr>
        <w:t> </w:t>
      </w:r>
      <w:r>
        <w:rPr>
          <w:color w:val="231F20"/>
          <w:w w:val="105"/>
        </w:rPr>
        <w:t>cuando</w:t>
      </w:r>
      <w:r>
        <w:rPr>
          <w:color w:val="231F20"/>
          <w:spacing w:val="-7"/>
          <w:w w:val="105"/>
        </w:rPr>
        <w:t> </w:t>
      </w:r>
      <w:r>
        <w:rPr>
          <w:color w:val="231F20"/>
          <w:w w:val="105"/>
        </w:rPr>
        <w:t>Luis</w:t>
      </w:r>
      <w:r>
        <w:rPr>
          <w:color w:val="231F20"/>
          <w:spacing w:val="-7"/>
          <w:w w:val="105"/>
        </w:rPr>
        <w:t> </w:t>
      </w:r>
      <w:r>
        <w:rPr>
          <w:color w:val="231F20"/>
          <w:w w:val="105"/>
        </w:rPr>
        <w:t>decidió</w:t>
      </w:r>
      <w:r>
        <w:rPr>
          <w:color w:val="231F20"/>
          <w:spacing w:val="-7"/>
          <w:w w:val="105"/>
        </w:rPr>
        <w:t> </w:t>
      </w:r>
      <w:r>
        <w:rPr>
          <w:color w:val="231F20"/>
          <w:w w:val="105"/>
        </w:rPr>
        <w:t>emigrar. A pesar de ser hijo de inmigrantes internos, procedentes del estado de Michoacán,</w:t>
      </w:r>
      <w:r>
        <w:rPr>
          <w:color w:val="231F20"/>
          <w:spacing w:val="-15"/>
          <w:w w:val="105"/>
        </w:rPr>
        <w:t> </w:t>
      </w:r>
      <w:r>
        <w:rPr>
          <w:color w:val="231F20"/>
          <w:w w:val="105"/>
        </w:rPr>
        <w:t>no</w:t>
      </w:r>
      <w:r>
        <w:rPr>
          <w:color w:val="231F20"/>
          <w:spacing w:val="-9"/>
          <w:w w:val="105"/>
        </w:rPr>
        <w:t> </w:t>
      </w:r>
      <w:r>
        <w:rPr>
          <w:color w:val="231F20"/>
          <w:w w:val="105"/>
        </w:rPr>
        <w:t>contaba</w:t>
      </w:r>
      <w:r>
        <w:rPr>
          <w:color w:val="231F20"/>
          <w:spacing w:val="-9"/>
          <w:w w:val="105"/>
        </w:rPr>
        <w:t> </w:t>
      </w:r>
      <w:r>
        <w:rPr>
          <w:color w:val="231F20"/>
          <w:w w:val="105"/>
        </w:rPr>
        <w:t>con</w:t>
      </w:r>
      <w:r>
        <w:rPr>
          <w:color w:val="231F20"/>
          <w:spacing w:val="-9"/>
          <w:w w:val="105"/>
        </w:rPr>
        <w:t> </w:t>
      </w:r>
      <w:r>
        <w:rPr>
          <w:color w:val="231F20"/>
          <w:w w:val="105"/>
        </w:rPr>
        <w:t>experiencia</w:t>
      </w:r>
      <w:r>
        <w:rPr>
          <w:color w:val="231F20"/>
          <w:spacing w:val="-9"/>
          <w:w w:val="105"/>
        </w:rPr>
        <w:t> </w:t>
      </w:r>
      <w:r>
        <w:rPr>
          <w:color w:val="231F20"/>
          <w:w w:val="105"/>
        </w:rPr>
        <w:t>migratoria</w:t>
      </w:r>
      <w:r>
        <w:rPr>
          <w:color w:val="231F20"/>
          <w:spacing w:val="-9"/>
          <w:w w:val="105"/>
        </w:rPr>
        <w:t> </w:t>
      </w:r>
      <w:r>
        <w:rPr>
          <w:color w:val="231F20"/>
          <w:w w:val="105"/>
        </w:rPr>
        <w:t>internacional</w:t>
      </w:r>
      <w:r>
        <w:rPr>
          <w:color w:val="231F20"/>
          <w:spacing w:val="-9"/>
          <w:w w:val="105"/>
        </w:rPr>
        <w:t> </w:t>
      </w:r>
      <w:r>
        <w:rPr>
          <w:color w:val="231F20"/>
          <w:w w:val="105"/>
        </w:rPr>
        <w:t>y</w:t>
      </w:r>
      <w:r>
        <w:rPr>
          <w:color w:val="231F20"/>
          <w:spacing w:val="-9"/>
          <w:w w:val="105"/>
        </w:rPr>
        <w:t> </w:t>
      </w:r>
      <w:r>
        <w:rPr>
          <w:color w:val="231F20"/>
          <w:w w:val="105"/>
        </w:rPr>
        <w:t>su</w:t>
      </w:r>
      <w:r>
        <w:rPr>
          <w:color w:val="231F20"/>
          <w:spacing w:val="-9"/>
          <w:w w:val="105"/>
        </w:rPr>
        <w:t> </w:t>
      </w:r>
      <w:r>
        <w:rPr>
          <w:color w:val="231F20"/>
          <w:w w:val="105"/>
        </w:rPr>
        <w:t>ni- vel</w:t>
      </w:r>
      <w:r>
        <w:rPr>
          <w:color w:val="231F20"/>
          <w:spacing w:val="-26"/>
          <w:w w:val="105"/>
        </w:rPr>
        <w:t> </w:t>
      </w:r>
      <w:r>
        <w:rPr>
          <w:color w:val="231F20"/>
          <w:w w:val="105"/>
        </w:rPr>
        <w:t>máximo</w:t>
      </w:r>
      <w:r>
        <w:rPr>
          <w:color w:val="231F20"/>
          <w:spacing w:val="-26"/>
          <w:w w:val="105"/>
        </w:rPr>
        <w:t> </w:t>
      </w:r>
      <w:r>
        <w:rPr>
          <w:color w:val="231F20"/>
          <w:w w:val="105"/>
        </w:rPr>
        <w:t>de</w:t>
      </w:r>
      <w:r>
        <w:rPr>
          <w:color w:val="231F20"/>
          <w:spacing w:val="-26"/>
          <w:w w:val="105"/>
        </w:rPr>
        <w:t> </w:t>
      </w:r>
      <w:r>
        <w:rPr>
          <w:color w:val="231F20"/>
          <w:w w:val="105"/>
        </w:rPr>
        <w:t>estudios</w:t>
      </w:r>
      <w:r>
        <w:rPr>
          <w:color w:val="231F20"/>
          <w:spacing w:val="-26"/>
          <w:w w:val="105"/>
        </w:rPr>
        <w:t> </w:t>
      </w:r>
      <w:r>
        <w:rPr>
          <w:color w:val="231F20"/>
          <w:w w:val="105"/>
        </w:rPr>
        <w:t>era</w:t>
      </w:r>
      <w:r>
        <w:rPr>
          <w:color w:val="231F20"/>
          <w:spacing w:val="-26"/>
          <w:w w:val="105"/>
        </w:rPr>
        <w:t> </w:t>
      </w:r>
      <w:r>
        <w:rPr>
          <w:color w:val="231F20"/>
          <w:w w:val="105"/>
        </w:rPr>
        <w:t>el</w:t>
      </w:r>
      <w:r>
        <w:rPr>
          <w:color w:val="231F20"/>
          <w:spacing w:val="-26"/>
          <w:w w:val="105"/>
        </w:rPr>
        <w:t> </w:t>
      </w:r>
      <w:r>
        <w:rPr>
          <w:color w:val="231F20"/>
          <w:w w:val="105"/>
        </w:rPr>
        <w:t>segundo</w:t>
      </w:r>
      <w:r>
        <w:rPr>
          <w:color w:val="231F20"/>
          <w:spacing w:val="-26"/>
          <w:w w:val="105"/>
        </w:rPr>
        <w:t> </w:t>
      </w:r>
      <w:r>
        <w:rPr>
          <w:color w:val="231F20"/>
          <w:w w:val="105"/>
        </w:rPr>
        <w:t>año</w:t>
      </w:r>
      <w:r>
        <w:rPr>
          <w:color w:val="231F20"/>
          <w:spacing w:val="-26"/>
          <w:w w:val="105"/>
        </w:rPr>
        <w:t> </w:t>
      </w:r>
      <w:r>
        <w:rPr>
          <w:color w:val="231F20"/>
          <w:w w:val="105"/>
        </w:rPr>
        <w:t>de</w:t>
      </w:r>
      <w:r>
        <w:rPr>
          <w:color w:val="231F20"/>
          <w:spacing w:val="-26"/>
          <w:w w:val="105"/>
        </w:rPr>
        <w:t> </w:t>
      </w:r>
      <w:r>
        <w:rPr>
          <w:color w:val="231F20"/>
          <w:w w:val="105"/>
        </w:rPr>
        <w:t>secundaria,</w:t>
      </w:r>
      <w:r>
        <w:rPr>
          <w:color w:val="231F20"/>
          <w:spacing w:val="-31"/>
          <w:w w:val="105"/>
        </w:rPr>
        <w:t> </w:t>
      </w:r>
      <w:r>
        <w:rPr>
          <w:color w:val="231F20"/>
          <w:w w:val="105"/>
        </w:rPr>
        <w:t>es</w:t>
      </w:r>
      <w:r>
        <w:rPr>
          <w:color w:val="231F20"/>
          <w:spacing w:val="-26"/>
          <w:w w:val="105"/>
        </w:rPr>
        <w:t> </w:t>
      </w:r>
      <w:r>
        <w:rPr>
          <w:color w:val="231F20"/>
          <w:w w:val="105"/>
        </w:rPr>
        <w:t>decir,</w:t>
      </w:r>
      <w:r>
        <w:rPr>
          <w:color w:val="231F20"/>
          <w:spacing w:val="-31"/>
          <w:w w:val="105"/>
        </w:rPr>
        <w:t> </w:t>
      </w:r>
      <w:r>
        <w:rPr>
          <w:color w:val="231F20"/>
          <w:w w:val="105"/>
        </w:rPr>
        <w:t>cursó y</w:t>
      </w:r>
      <w:r>
        <w:rPr>
          <w:color w:val="231F20"/>
          <w:spacing w:val="-22"/>
          <w:w w:val="105"/>
        </w:rPr>
        <w:t> </w:t>
      </w:r>
      <w:r>
        <w:rPr>
          <w:color w:val="231F20"/>
          <w:w w:val="105"/>
        </w:rPr>
        <w:t>aprobó</w:t>
      </w:r>
      <w:r>
        <w:rPr>
          <w:color w:val="231F20"/>
          <w:spacing w:val="-22"/>
          <w:w w:val="105"/>
        </w:rPr>
        <w:t> </w:t>
      </w:r>
      <w:r>
        <w:rPr>
          <w:color w:val="231F20"/>
          <w:w w:val="105"/>
        </w:rPr>
        <w:t>ocho</w:t>
      </w:r>
      <w:r>
        <w:rPr>
          <w:color w:val="231F20"/>
          <w:spacing w:val="-22"/>
          <w:w w:val="105"/>
        </w:rPr>
        <w:t> </w:t>
      </w:r>
      <w:r>
        <w:rPr>
          <w:color w:val="231F20"/>
          <w:w w:val="105"/>
        </w:rPr>
        <w:t>años</w:t>
      </w:r>
      <w:r>
        <w:rPr>
          <w:color w:val="231F20"/>
          <w:spacing w:val="-22"/>
          <w:w w:val="105"/>
        </w:rPr>
        <w:t> </w:t>
      </w:r>
      <w:r>
        <w:rPr>
          <w:color w:val="231F20"/>
          <w:w w:val="105"/>
        </w:rPr>
        <w:t>escolares.</w:t>
      </w:r>
    </w:p>
    <w:p>
      <w:pPr>
        <w:pStyle w:val="BodyText"/>
        <w:spacing w:line="261" w:lineRule="auto" w:before="1"/>
        <w:ind w:left="1723" w:right="1834" w:firstLine="567"/>
        <w:jc w:val="both"/>
      </w:pPr>
      <w:r>
        <w:rPr>
          <w:color w:val="231F20"/>
          <w:w w:val="105"/>
        </w:rPr>
        <w:t>Luis cruzó la frontera en Nogales, Sonora, y desde Arizona viajó en</w:t>
      </w:r>
      <w:r>
        <w:rPr>
          <w:color w:val="231F20"/>
          <w:spacing w:val="-3"/>
          <w:w w:val="105"/>
        </w:rPr>
        <w:t> </w:t>
      </w:r>
      <w:r>
        <w:rPr>
          <w:color w:val="231F20"/>
          <w:w w:val="105"/>
        </w:rPr>
        <w:t>avión</w:t>
      </w:r>
      <w:r>
        <w:rPr>
          <w:color w:val="231F20"/>
          <w:spacing w:val="-3"/>
          <w:w w:val="105"/>
        </w:rPr>
        <w:t> </w:t>
      </w:r>
      <w:r>
        <w:rPr>
          <w:color w:val="231F20"/>
          <w:w w:val="105"/>
        </w:rPr>
        <w:t>directamente</w:t>
      </w:r>
      <w:r>
        <w:rPr>
          <w:color w:val="231F20"/>
          <w:spacing w:val="-3"/>
          <w:w w:val="105"/>
        </w:rPr>
        <w:t> </w:t>
      </w:r>
      <w:r>
        <w:rPr>
          <w:color w:val="231F20"/>
          <w:w w:val="105"/>
        </w:rPr>
        <w:t>a</w:t>
      </w:r>
      <w:r>
        <w:rPr>
          <w:color w:val="231F20"/>
          <w:spacing w:val="-3"/>
          <w:w w:val="105"/>
        </w:rPr>
        <w:t> </w:t>
      </w:r>
      <w:r>
        <w:rPr>
          <w:color w:val="231F20"/>
          <w:w w:val="105"/>
        </w:rPr>
        <w:t>la</w:t>
      </w:r>
      <w:r>
        <w:rPr>
          <w:color w:val="231F20"/>
          <w:spacing w:val="-3"/>
          <w:w w:val="105"/>
        </w:rPr>
        <w:t> </w:t>
      </w:r>
      <w:r>
        <w:rPr>
          <w:color w:val="231F20"/>
          <w:w w:val="105"/>
        </w:rPr>
        <w:t>ciudad</w:t>
      </w:r>
      <w:r>
        <w:rPr>
          <w:color w:val="231F20"/>
          <w:spacing w:val="-3"/>
          <w:w w:val="105"/>
        </w:rPr>
        <w:t> </w:t>
      </w:r>
      <w:r>
        <w:rPr>
          <w:color w:val="231F20"/>
          <w:w w:val="105"/>
        </w:rPr>
        <w:t>de</w:t>
      </w:r>
      <w:r>
        <w:rPr>
          <w:color w:val="231F20"/>
          <w:spacing w:val="-3"/>
          <w:w w:val="105"/>
        </w:rPr>
        <w:t> </w:t>
      </w:r>
      <w:r>
        <w:rPr>
          <w:color w:val="231F20"/>
          <w:w w:val="105"/>
        </w:rPr>
        <w:t>Nueva</w:t>
      </w:r>
      <w:r>
        <w:rPr>
          <w:color w:val="231F20"/>
          <w:spacing w:val="-8"/>
          <w:w w:val="105"/>
        </w:rPr>
        <w:t> </w:t>
      </w:r>
      <w:r>
        <w:rPr>
          <w:color w:val="231F20"/>
          <w:spacing w:val="-4"/>
          <w:w w:val="105"/>
        </w:rPr>
        <w:t>York,</w:t>
      </w:r>
      <w:r>
        <w:rPr>
          <w:color w:val="231F20"/>
          <w:spacing w:val="-9"/>
          <w:w w:val="105"/>
        </w:rPr>
        <w:t> </w:t>
      </w:r>
      <w:r>
        <w:rPr>
          <w:color w:val="231F20"/>
          <w:w w:val="105"/>
        </w:rPr>
        <w:t>destino</w:t>
      </w:r>
      <w:r>
        <w:rPr>
          <w:color w:val="231F20"/>
          <w:spacing w:val="-3"/>
          <w:w w:val="105"/>
        </w:rPr>
        <w:t> </w:t>
      </w:r>
      <w:r>
        <w:rPr>
          <w:color w:val="231F20"/>
          <w:w w:val="105"/>
        </w:rPr>
        <w:t>en</w:t>
      </w:r>
      <w:r>
        <w:rPr>
          <w:color w:val="231F20"/>
          <w:spacing w:val="-3"/>
          <w:w w:val="105"/>
        </w:rPr>
        <w:t> </w:t>
      </w:r>
      <w:r>
        <w:rPr>
          <w:color w:val="231F20"/>
          <w:w w:val="105"/>
        </w:rPr>
        <w:t>el</w:t>
      </w:r>
      <w:r>
        <w:rPr>
          <w:color w:val="231F20"/>
          <w:spacing w:val="-3"/>
          <w:w w:val="105"/>
        </w:rPr>
        <w:t> </w:t>
      </w:r>
      <w:r>
        <w:rPr>
          <w:color w:val="231F20"/>
          <w:w w:val="105"/>
        </w:rPr>
        <w:t>que</w:t>
      </w:r>
      <w:r>
        <w:rPr>
          <w:color w:val="231F20"/>
          <w:spacing w:val="-3"/>
          <w:w w:val="105"/>
        </w:rPr>
        <w:t> </w:t>
      </w:r>
      <w:r>
        <w:rPr>
          <w:color w:val="231F20"/>
          <w:w w:val="105"/>
        </w:rPr>
        <w:t>ha- bitaba su hermano. El plan original era permanecer por dos años para contribuir</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construcción</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casa</w:t>
      </w:r>
      <w:r>
        <w:rPr>
          <w:color w:val="231F20"/>
          <w:spacing w:val="-22"/>
          <w:w w:val="105"/>
        </w:rPr>
        <w:t> </w:t>
      </w:r>
      <w:r>
        <w:rPr>
          <w:color w:val="231F20"/>
          <w:w w:val="105"/>
        </w:rPr>
        <w:t>paterna</w:t>
      </w:r>
      <w:r>
        <w:rPr>
          <w:color w:val="231F20"/>
          <w:spacing w:val="-22"/>
          <w:w w:val="105"/>
        </w:rPr>
        <w:t> </w:t>
      </w:r>
      <w:r>
        <w:rPr>
          <w:color w:val="231F20"/>
          <w:w w:val="105"/>
        </w:rPr>
        <w:t>y</w:t>
      </w:r>
      <w:r>
        <w:rPr>
          <w:color w:val="231F20"/>
          <w:spacing w:val="-22"/>
          <w:w w:val="105"/>
        </w:rPr>
        <w:t> </w:t>
      </w:r>
      <w:r>
        <w:rPr>
          <w:color w:val="231F20"/>
          <w:w w:val="105"/>
        </w:rPr>
        <w:t>solventar</w:t>
      </w:r>
      <w:r>
        <w:rPr>
          <w:color w:val="231F20"/>
          <w:spacing w:val="-22"/>
          <w:w w:val="105"/>
        </w:rPr>
        <w:t> </w:t>
      </w:r>
      <w:r>
        <w:rPr>
          <w:color w:val="231F20"/>
          <w:w w:val="105"/>
        </w:rPr>
        <w:t>los</w:t>
      </w:r>
      <w:r>
        <w:rPr>
          <w:color w:val="231F20"/>
          <w:spacing w:val="-22"/>
          <w:w w:val="105"/>
        </w:rPr>
        <w:t> </w:t>
      </w:r>
      <w:r>
        <w:rPr>
          <w:color w:val="231F20"/>
          <w:w w:val="105"/>
        </w:rPr>
        <w:t>gastos</w:t>
      </w:r>
      <w:r>
        <w:rPr>
          <w:color w:val="231F20"/>
          <w:spacing w:val="-22"/>
          <w:w w:val="105"/>
        </w:rPr>
        <w:t> </w:t>
      </w:r>
      <w:r>
        <w:rPr>
          <w:color w:val="231F20"/>
          <w:w w:val="105"/>
        </w:rPr>
        <w:t>de</w:t>
      </w:r>
      <w:r>
        <w:rPr>
          <w:color w:val="231F20"/>
          <w:spacing w:val="-22"/>
          <w:w w:val="105"/>
        </w:rPr>
        <w:t> </w:t>
      </w:r>
      <w:r>
        <w:rPr>
          <w:color w:val="231F20"/>
          <w:w w:val="105"/>
        </w:rPr>
        <w:t>la familia;</w:t>
      </w:r>
      <w:r>
        <w:rPr>
          <w:color w:val="231F20"/>
          <w:spacing w:val="-27"/>
          <w:w w:val="105"/>
        </w:rPr>
        <w:t> </w:t>
      </w:r>
      <w:r>
        <w:rPr>
          <w:color w:val="231F20"/>
          <w:w w:val="105"/>
        </w:rPr>
        <w:t>no</w:t>
      </w:r>
      <w:r>
        <w:rPr>
          <w:color w:val="231F20"/>
          <w:spacing w:val="-27"/>
          <w:w w:val="105"/>
        </w:rPr>
        <w:t> </w:t>
      </w:r>
      <w:r>
        <w:rPr>
          <w:color w:val="231F20"/>
          <w:w w:val="105"/>
        </w:rPr>
        <w:t>obstante,</w:t>
      </w:r>
      <w:r>
        <w:rPr>
          <w:color w:val="231F20"/>
          <w:spacing w:val="-31"/>
          <w:w w:val="105"/>
        </w:rPr>
        <w:t> </w:t>
      </w:r>
      <w:r>
        <w:rPr>
          <w:color w:val="231F20"/>
          <w:w w:val="105"/>
        </w:rPr>
        <w:t>tuvo</w:t>
      </w:r>
      <w:r>
        <w:rPr>
          <w:color w:val="231F20"/>
          <w:spacing w:val="-27"/>
          <w:w w:val="105"/>
        </w:rPr>
        <w:t> </w:t>
      </w:r>
      <w:r>
        <w:rPr>
          <w:color w:val="231F20"/>
          <w:w w:val="105"/>
        </w:rPr>
        <w:t>una</w:t>
      </w:r>
      <w:r>
        <w:rPr>
          <w:color w:val="231F20"/>
          <w:spacing w:val="-27"/>
          <w:w w:val="105"/>
        </w:rPr>
        <w:t> </w:t>
      </w:r>
      <w:r>
        <w:rPr>
          <w:color w:val="231F20"/>
          <w:w w:val="105"/>
        </w:rPr>
        <w:t>estancia</w:t>
      </w:r>
      <w:r>
        <w:rPr>
          <w:color w:val="231F20"/>
          <w:spacing w:val="-27"/>
          <w:w w:val="105"/>
        </w:rPr>
        <w:t> </w:t>
      </w:r>
      <w:r>
        <w:rPr>
          <w:color w:val="231F20"/>
          <w:w w:val="105"/>
        </w:rPr>
        <w:t>de</w:t>
      </w:r>
      <w:r>
        <w:rPr>
          <w:color w:val="231F20"/>
          <w:spacing w:val="-27"/>
          <w:w w:val="105"/>
        </w:rPr>
        <w:t> </w:t>
      </w:r>
      <w:r>
        <w:rPr>
          <w:color w:val="231F20"/>
          <w:w w:val="105"/>
        </w:rPr>
        <w:t>seis</w:t>
      </w:r>
      <w:r>
        <w:rPr>
          <w:color w:val="231F20"/>
          <w:spacing w:val="-27"/>
          <w:w w:val="105"/>
        </w:rPr>
        <w:t> </w:t>
      </w:r>
      <w:r>
        <w:rPr>
          <w:color w:val="231F20"/>
          <w:w w:val="105"/>
        </w:rPr>
        <w:t>años</w:t>
      </w:r>
      <w:r>
        <w:rPr>
          <w:color w:val="231F20"/>
          <w:spacing w:val="-27"/>
          <w:w w:val="105"/>
        </w:rPr>
        <w:t> </w:t>
      </w:r>
      <w:r>
        <w:rPr>
          <w:color w:val="231F20"/>
          <w:w w:val="105"/>
        </w:rPr>
        <w:t>continuos</w:t>
      </w:r>
      <w:r>
        <w:rPr>
          <w:color w:val="231F20"/>
          <w:spacing w:val="-27"/>
          <w:w w:val="105"/>
        </w:rPr>
        <w:t> </w:t>
      </w:r>
      <w:r>
        <w:rPr>
          <w:color w:val="231F20"/>
          <w:w w:val="105"/>
        </w:rPr>
        <w:t>en</w:t>
      </w:r>
      <w:r>
        <w:rPr>
          <w:color w:val="231F20"/>
          <w:spacing w:val="-27"/>
          <w:w w:val="105"/>
        </w:rPr>
        <w:t> </w:t>
      </w:r>
      <w:r>
        <w:rPr>
          <w:color w:val="231F20"/>
          <w:w w:val="105"/>
        </w:rPr>
        <w:t>Estados Unidos,</w:t>
      </w:r>
      <w:r>
        <w:rPr>
          <w:color w:val="231F20"/>
          <w:spacing w:val="-28"/>
          <w:w w:val="105"/>
        </w:rPr>
        <w:t> </w:t>
      </w:r>
      <w:r>
        <w:rPr>
          <w:color w:val="231F20"/>
          <w:w w:val="105"/>
        </w:rPr>
        <w:t>es</w:t>
      </w:r>
      <w:r>
        <w:rPr>
          <w:color w:val="231F20"/>
          <w:spacing w:val="-24"/>
          <w:w w:val="105"/>
        </w:rPr>
        <w:t> </w:t>
      </w:r>
      <w:r>
        <w:rPr>
          <w:color w:val="231F20"/>
          <w:w w:val="105"/>
        </w:rPr>
        <w:t>decir,</w:t>
      </w:r>
      <w:r>
        <w:rPr>
          <w:color w:val="231F20"/>
          <w:spacing w:val="-28"/>
          <w:w w:val="105"/>
        </w:rPr>
        <w:t> </w:t>
      </w:r>
      <w:r>
        <w:rPr>
          <w:color w:val="231F20"/>
          <w:w w:val="105"/>
        </w:rPr>
        <w:t>realizó</w:t>
      </w:r>
      <w:r>
        <w:rPr>
          <w:color w:val="231F20"/>
          <w:spacing w:val="-24"/>
          <w:w w:val="105"/>
        </w:rPr>
        <w:t> </w:t>
      </w:r>
      <w:r>
        <w:rPr>
          <w:color w:val="231F20"/>
          <w:w w:val="105"/>
        </w:rPr>
        <w:t>un</w:t>
      </w:r>
      <w:r>
        <w:rPr>
          <w:color w:val="231F20"/>
          <w:spacing w:val="-24"/>
          <w:w w:val="105"/>
        </w:rPr>
        <w:t> </w:t>
      </w:r>
      <w:r>
        <w:rPr>
          <w:color w:val="231F20"/>
          <w:w w:val="105"/>
        </w:rPr>
        <w:t>solo</w:t>
      </w:r>
      <w:r>
        <w:rPr>
          <w:color w:val="231F20"/>
          <w:spacing w:val="-24"/>
          <w:w w:val="105"/>
        </w:rPr>
        <w:t> </w:t>
      </w:r>
      <w:r>
        <w:rPr>
          <w:color w:val="231F20"/>
          <w:w w:val="105"/>
        </w:rPr>
        <w:t>viaje</w:t>
      </w:r>
      <w:r>
        <w:rPr>
          <w:color w:val="231F20"/>
          <w:spacing w:val="-24"/>
          <w:w w:val="105"/>
        </w:rPr>
        <w:t> </w:t>
      </w:r>
      <w:r>
        <w:rPr>
          <w:color w:val="231F20"/>
          <w:w w:val="105"/>
        </w:rPr>
        <w:t>internacional.</w:t>
      </w:r>
      <w:r>
        <w:rPr>
          <w:color w:val="231F20"/>
          <w:spacing w:val="-28"/>
          <w:w w:val="105"/>
        </w:rPr>
        <w:t> </w:t>
      </w:r>
      <w:r>
        <w:rPr>
          <w:color w:val="231F20"/>
          <w:w w:val="105"/>
        </w:rPr>
        <w:t>Durante</w:t>
      </w:r>
      <w:r>
        <w:rPr>
          <w:color w:val="231F20"/>
          <w:spacing w:val="-24"/>
          <w:w w:val="105"/>
        </w:rPr>
        <w:t> </w:t>
      </w:r>
      <w:r>
        <w:rPr>
          <w:color w:val="231F20"/>
          <w:w w:val="105"/>
        </w:rPr>
        <w:t>los</w:t>
      </w:r>
      <w:r>
        <w:rPr>
          <w:color w:val="231F20"/>
          <w:spacing w:val="-24"/>
          <w:w w:val="105"/>
        </w:rPr>
        <w:t> </w:t>
      </w:r>
      <w:r>
        <w:rPr>
          <w:color w:val="231F20"/>
          <w:w w:val="105"/>
        </w:rPr>
        <w:t>seis</w:t>
      </w:r>
      <w:r>
        <w:rPr>
          <w:color w:val="231F20"/>
          <w:spacing w:val="-24"/>
          <w:w w:val="105"/>
        </w:rPr>
        <w:t> </w:t>
      </w:r>
      <w:r>
        <w:rPr>
          <w:color w:val="231F20"/>
          <w:w w:val="105"/>
        </w:rPr>
        <w:t>años en</w:t>
      </w:r>
      <w:r>
        <w:rPr>
          <w:color w:val="231F20"/>
          <w:spacing w:val="-4"/>
          <w:w w:val="105"/>
        </w:rPr>
        <w:t> </w:t>
      </w:r>
      <w:r>
        <w:rPr>
          <w:color w:val="231F20"/>
          <w:w w:val="105"/>
        </w:rPr>
        <w:t>Estados</w:t>
      </w:r>
      <w:r>
        <w:rPr>
          <w:color w:val="231F20"/>
          <w:spacing w:val="-4"/>
          <w:w w:val="105"/>
        </w:rPr>
        <w:t> </w:t>
      </w:r>
      <w:r>
        <w:rPr>
          <w:color w:val="231F20"/>
          <w:w w:val="105"/>
        </w:rPr>
        <w:t>Unidos</w:t>
      </w:r>
      <w:r>
        <w:rPr>
          <w:color w:val="231F20"/>
          <w:spacing w:val="-4"/>
          <w:w w:val="105"/>
        </w:rPr>
        <w:t> </w:t>
      </w:r>
      <w:r>
        <w:rPr>
          <w:color w:val="231F20"/>
          <w:w w:val="105"/>
        </w:rPr>
        <w:t>vivió</w:t>
      </w:r>
      <w:r>
        <w:rPr>
          <w:color w:val="231F20"/>
          <w:spacing w:val="-4"/>
          <w:w w:val="105"/>
        </w:rPr>
        <w:t> </w:t>
      </w:r>
      <w:r>
        <w:rPr>
          <w:color w:val="231F20"/>
          <w:w w:val="105"/>
        </w:rPr>
        <w:t>cinco</w:t>
      </w:r>
      <w:r>
        <w:rPr>
          <w:color w:val="231F20"/>
          <w:spacing w:val="-4"/>
          <w:w w:val="105"/>
        </w:rPr>
        <w:t> </w:t>
      </w:r>
      <w:r>
        <w:rPr>
          <w:color w:val="231F20"/>
          <w:w w:val="105"/>
        </w:rPr>
        <w:t>años</w:t>
      </w:r>
      <w:r>
        <w:rPr>
          <w:color w:val="231F20"/>
          <w:spacing w:val="-4"/>
          <w:w w:val="105"/>
        </w:rPr>
        <w:t> </w:t>
      </w:r>
      <w:r>
        <w:rPr>
          <w:color w:val="231F20"/>
          <w:w w:val="105"/>
        </w:rPr>
        <w:t>y</w:t>
      </w:r>
      <w:r>
        <w:rPr>
          <w:color w:val="231F20"/>
          <w:spacing w:val="-4"/>
          <w:w w:val="105"/>
        </w:rPr>
        <w:t> </w:t>
      </w:r>
      <w:r>
        <w:rPr>
          <w:color w:val="231F20"/>
          <w:w w:val="105"/>
        </w:rPr>
        <w:t>nueve</w:t>
      </w:r>
      <w:r>
        <w:rPr>
          <w:color w:val="231F20"/>
          <w:spacing w:val="-4"/>
          <w:w w:val="105"/>
        </w:rPr>
        <w:t> </w:t>
      </w:r>
      <w:r>
        <w:rPr>
          <w:color w:val="231F20"/>
          <w:w w:val="105"/>
        </w:rPr>
        <w:t>meses</w:t>
      </w:r>
      <w:r>
        <w:rPr>
          <w:color w:val="231F20"/>
          <w:spacing w:val="-4"/>
          <w:w w:val="105"/>
        </w:rPr>
        <w:t> </w:t>
      </w:r>
      <w:r>
        <w:rPr>
          <w:color w:val="231F20"/>
          <w:w w:val="105"/>
        </w:rPr>
        <w:t>en</w:t>
      </w:r>
      <w:r>
        <w:rPr>
          <w:color w:val="231F20"/>
          <w:spacing w:val="-4"/>
          <w:w w:val="105"/>
        </w:rPr>
        <w:t> </w:t>
      </w:r>
      <w:r>
        <w:rPr>
          <w:color w:val="231F20"/>
          <w:w w:val="105"/>
        </w:rPr>
        <w:t>Nueva</w:t>
      </w:r>
      <w:r>
        <w:rPr>
          <w:color w:val="231F20"/>
          <w:spacing w:val="-8"/>
          <w:w w:val="105"/>
        </w:rPr>
        <w:t> </w:t>
      </w:r>
      <w:r>
        <w:rPr>
          <w:color w:val="231F20"/>
          <w:spacing w:val="-4"/>
          <w:w w:val="105"/>
        </w:rPr>
        <w:t>York,</w:t>
      </w:r>
      <w:r>
        <w:rPr>
          <w:color w:val="231F20"/>
          <w:spacing w:val="-9"/>
          <w:w w:val="105"/>
        </w:rPr>
        <w:t> </w:t>
      </w:r>
      <w:r>
        <w:rPr>
          <w:color w:val="231F20"/>
          <w:w w:val="105"/>
        </w:rPr>
        <w:t>dos meses</w:t>
      </w:r>
      <w:r>
        <w:rPr>
          <w:color w:val="231F20"/>
          <w:spacing w:val="-33"/>
          <w:w w:val="105"/>
        </w:rPr>
        <w:t> </w:t>
      </w:r>
      <w:r>
        <w:rPr>
          <w:color w:val="231F20"/>
          <w:w w:val="105"/>
        </w:rPr>
        <w:t>en</w:t>
      </w:r>
      <w:r>
        <w:rPr>
          <w:color w:val="231F20"/>
          <w:spacing w:val="-35"/>
          <w:w w:val="105"/>
        </w:rPr>
        <w:t> </w:t>
      </w:r>
      <w:r>
        <w:rPr>
          <w:color w:val="231F20"/>
          <w:w w:val="105"/>
        </w:rPr>
        <w:t>Atlanctic</w:t>
      </w:r>
      <w:r>
        <w:rPr>
          <w:color w:val="231F20"/>
          <w:spacing w:val="-33"/>
          <w:w w:val="105"/>
        </w:rPr>
        <w:t> </w:t>
      </w:r>
      <w:r>
        <w:rPr>
          <w:color w:val="231F20"/>
          <w:w w:val="105"/>
        </w:rPr>
        <w:t>City</w:t>
      </w:r>
      <w:r>
        <w:rPr>
          <w:color w:val="231F20"/>
          <w:spacing w:val="-33"/>
          <w:w w:val="105"/>
        </w:rPr>
        <w:t> </w:t>
      </w:r>
      <w:r>
        <w:rPr>
          <w:color w:val="231F20"/>
          <w:w w:val="105"/>
        </w:rPr>
        <w:t>y</w:t>
      </w:r>
      <w:r>
        <w:rPr>
          <w:color w:val="231F20"/>
          <w:spacing w:val="-33"/>
          <w:w w:val="105"/>
        </w:rPr>
        <w:t> </w:t>
      </w:r>
      <w:r>
        <w:rPr>
          <w:color w:val="231F20"/>
          <w:w w:val="105"/>
        </w:rPr>
        <w:t>uno</w:t>
      </w:r>
      <w:r>
        <w:rPr>
          <w:color w:val="231F20"/>
          <w:spacing w:val="-33"/>
          <w:w w:val="105"/>
        </w:rPr>
        <w:t> </w:t>
      </w:r>
      <w:r>
        <w:rPr>
          <w:color w:val="231F20"/>
          <w:w w:val="105"/>
        </w:rPr>
        <w:t>más</w:t>
      </w:r>
      <w:r>
        <w:rPr>
          <w:color w:val="231F20"/>
          <w:spacing w:val="-33"/>
          <w:w w:val="105"/>
        </w:rPr>
        <w:t> </w:t>
      </w:r>
      <w:r>
        <w:rPr>
          <w:color w:val="231F20"/>
          <w:w w:val="105"/>
        </w:rPr>
        <w:t>en</w:t>
      </w:r>
      <w:r>
        <w:rPr>
          <w:color w:val="231F20"/>
          <w:spacing w:val="-33"/>
          <w:w w:val="105"/>
        </w:rPr>
        <w:t> </w:t>
      </w:r>
      <w:r>
        <w:rPr>
          <w:color w:val="231F20"/>
          <w:w w:val="105"/>
        </w:rPr>
        <w:t>Penssylvania.</w:t>
      </w:r>
    </w:p>
    <w:p>
      <w:pPr>
        <w:pStyle w:val="BodyText"/>
        <w:spacing w:line="261" w:lineRule="auto" w:before="1"/>
        <w:ind w:left="1723" w:right="1828" w:firstLine="567"/>
        <w:jc w:val="both"/>
      </w:pPr>
      <w:r>
        <w:rPr>
          <w:color w:val="231F20"/>
        </w:rPr>
        <w:t>Cuando Luis decidió emigrar a Nueva </w:t>
      </w:r>
      <w:r>
        <w:rPr>
          <w:color w:val="231F20"/>
          <w:spacing w:val="-6"/>
        </w:rPr>
        <w:t>York </w:t>
      </w:r>
      <w:r>
        <w:rPr>
          <w:color w:val="231F20"/>
          <w:spacing w:val="-2"/>
        </w:rPr>
        <w:t>trabajaba </w:t>
      </w:r>
      <w:r>
        <w:rPr>
          <w:color w:val="231F20"/>
        </w:rPr>
        <w:t>como emplea- do en una fábrica de embutidos en Nezahualcóyotl, donde se desempe- ñaba como </w:t>
      </w:r>
      <w:r>
        <w:rPr>
          <w:color w:val="231F20"/>
          <w:spacing w:val="-3"/>
        </w:rPr>
        <w:t>obrero </w:t>
      </w:r>
      <w:r>
        <w:rPr>
          <w:color w:val="231F20"/>
        </w:rPr>
        <w:t>general y contaba con seguridad social (aguinaldo, </w:t>
      </w:r>
      <w:r>
        <w:rPr>
          <w:color w:val="231F20"/>
          <w:spacing w:val="-3"/>
        </w:rPr>
        <w:t>seguro </w:t>
      </w:r>
      <w:r>
        <w:rPr>
          <w:color w:val="231F20"/>
        </w:rPr>
        <w:t>médico, vacaciones): ganaba poco más del salario mínimo esta- blecido en la zona </w:t>
      </w:r>
      <w:r>
        <w:rPr>
          <w:color w:val="231F20"/>
          <w:spacing w:val="-3"/>
        </w:rPr>
        <w:t>metropolitana. Emigró </w:t>
      </w:r>
      <w:r>
        <w:rPr>
          <w:color w:val="231F20"/>
        </w:rPr>
        <w:t>solo y bajo la orientación de su hermano que estaba en Nueva </w:t>
      </w:r>
      <w:r>
        <w:rPr>
          <w:color w:val="231F20"/>
          <w:spacing w:val="-6"/>
        </w:rPr>
        <w:t>York, </w:t>
      </w:r>
      <w:r>
        <w:rPr>
          <w:color w:val="231F20"/>
        </w:rPr>
        <w:t>quien además le </w:t>
      </w:r>
      <w:r>
        <w:rPr>
          <w:color w:val="231F20"/>
          <w:spacing w:val="-3"/>
        </w:rPr>
        <w:t>prestó dinero </w:t>
      </w:r>
      <w:r>
        <w:rPr>
          <w:color w:val="231F20"/>
        </w:rPr>
        <w:t>para hacer el viaje. </w:t>
      </w:r>
      <w:r>
        <w:rPr>
          <w:color w:val="231F20"/>
          <w:spacing w:val="-4"/>
        </w:rPr>
        <w:t>Préstamo </w:t>
      </w:r>
      <w:r>
        <w:rPr>
          <w:color w:val="231F20"/>
        </w:rPr>
        <w:t>que </w:t>
      </w:r>
      <w:r>
        <w:rPr>
          <w:color w:val="231F20"/>
          <w:spacing w:val="-3"/>
        </w:rPr>
        <w:t>rembolsó </w:t>
      </w:r>
      <w:r>
        <w:rPr>
          <w:color w:val="231F20"/>
        </w:rPr>
        <w:t>en año y </w:t>
      </w:r>
      <w:r>
        <w:rPr>
          <w:color w:val="231F20"/>
          <w:spacing w:val="-2"/>
        </w:rPr>
        <w:t>medio. </w:t>
      </w:r>
      <w:r>
        <w:rPr>
          <w:color w:val="231F20"/>
          <w:spacing w:val="-3"/>
        </w:rPr>
        <w:t>Los primeros </w:t>
      </w:r>
      <w:r>
        <w:rPr>
          <w:color w:val="231F20"/>
        </w:rPr>
        <w:t>18 meses de estancia en Estados Unidos Luis no envió </w:t>
      </w:r>
      <w:r>
        <w:rPr>
          <w:color w:val="231F20"/>
          <w:spacing w:val="-3"/>
        </w:rPr>
        <w:t>remesas </w:t>
      </w:r>
      <w:r>
        <w:rPr>
          <w:color w:val="231F20"/>
        </w:rPr>
        <w:t>a su familia en Nezahualcóyotl, sólo consiguió financiar su estancia y cubrir el </w:t>
      </w:r>
      <w:r>
        <w:rPr>
          <w:color w:val="231F20"/>
          <w:spacing w:val="-3"/>
        </w:rPr>
        <w:t>présta- </w:t>
      </w:r>
      <w:r>
        <w:rPr>
          <w:color w:val="231F20"/>
        </w:rPr>
        <w:t>mo </w:t>
      </w:r>
      <w:r>
        <w:rPr>
          <w:color w:val="231F20"/>
          <w:spacing w:val="-3"/>
        </w:rPr>
        <w:t>recibido </w:t>
      </w:r>
      <w:r>
        <w:rPr>
          <w:color w:val="231F20"/>
        </w:rPr>
        <w:t>para su viaje (28 mil pesos mexicanos que </w:t>
      </w:r>
      <w:r>
        <w:rPr>
          <w:color w:val="231F20"/>
          <w:spacing w:val="-3"/>
        </w:rPr>
        <w:t>incluyeron </w:t>
      </w:r>
      <w:r>
        <w:rPr>
          <w:color w:val="231F20"/>
        </w:rPr>
        <w:t>el cru- ce y viaje por avión hasta Nueva </w:t>
      </w:r>
      <w:r>
        <w:rPr>
          <w:color w:val="231F20"/>
          <w:spacing w:val="-5"/>
        </w:rPr>
        <w:t>York). </w:t>
      </w:r>
      <w:r>
        <w:rPr>
          <w:color w:val="231F20"/>
          <w:spacing w:val="-3"/>
        </w:rPr>
        <w:t>Los </w:t>
      </w:r>
      <w:r>
        <w:rPr>
          <w:color w:val="231F20"/>
        </w:rPr>
        <w:t>siguientes </w:t>
      </w:r>
      <w:r>
        <w:rPr>
          <w:color w:val="231F20"/>
          <w:spacing w:val="-3"/>
        </w:rPr>
        <w:t>cuatro </w:t>
      </w:r>
      <w:r>
        <w:rPr>
          <w:color w:val="231F20"/>
        </w:rPr>
        <w:t>años y medio Luis</w:t>
      </w:r>
      <w:r>
        <w:rPr>
          <w:color w:val="231F20"/>
          <w:spacing w:val="-9"/>
        </w:rPr>
        <w:t> </w:t>
      </w:r>
      <w:r>
        <w:rPr>
          <w:color w:val="231F20"/>
        </w:rPr>
        <w:t>envió</w:t>
      </w:r>
      <w:r>
        <w:rPr>
          <w:color w:val="231F20"/>
          <w:spacing w:val="-9"/>
        </w:rPr>
        <w:t> </w:t>
      </w:r>
      <w:r>
        <w:rPr>
          <w:color w:val="231F20"/>
          <w:spacing w:val="-3"/>
        </w:rPr>
        <w:t>remesas</w:t>
      </w:r>
      <w:r>
        <w:rPr>
          <w:color w:val="231F20"/>
          <w:spacing w:val="-9"/>
        </w:rPr>
        <w:t> </w:t>
      </w:r>
      <w:r>
        <w:rPr>
          <w:color w:val="231F20"/>
        </w:rPr>
        <w:t>mensuales</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familia</w:t>
      </w:r>
      <w:r>
        <w:rPr>
          <w:color w:val="231F20"/>
          <w:spacing w:val="-9"/>
        </w:rPr>
        <w:t> </w:t>
      </w:r>
      <w:r>
        <w:rPr>
          <w:color w:val="231F20"/>
        </w:rPr>
        <w:t>establecida</w:t>
      </w:r>
      <w:r>
        <w:rPr>
          <w:color w:val="231F20"/>
          <w:spacing w:val="-9"/>
        </w:rPr>
        <w:t> </w:t>
      </w:r>
      <w:r>
        <w:rPr>
          <w:color w:val="231F20"/>
        </w:rPr>
        <w:t>en</w:t>
      </w:r>
      <w:r>
        <w:rPr>
          <w:color w:val="231F20"/>
          <w:spacing w:val="-9"/>
        </w:rPr>
        <w:t> </w:t>
      </w:r>
      <w:r>
        <w:rPr>
          <w:color w:val="231F20"/>
        </w:rPr>
        <w:t>Nezahualcóyotl, quienes ya contaban con un </w:t>
      </w:r>
      <w:r>
        <w:rPr>
          <w:color w:val="231F20"/>
          <w:spacing w:val="-3"/>
        </w:rPr>
        <w:t>terreno, </w:t>
      </w:r>
      <w:r>
        <w:rPr>
          <w:color w:val="231F20"/>
        </w:rPr>
        <w:t>adquirido </w:t>
      </w:r>
      <w:r>
        <w:rPr>
          <w:color w:val="231F20"/>
          <w:spacing w:val="-3"/>
        </w:rPr>
        <w:t>previamente, </w:t>
      </w:r>
      <w:r>
        <w:rPr>
          <w:color w:val="231F20"/>
        </w:rPr>
        <w:t>lo que </w:t>
      </w:r>
      <w:r>
        <w:rPr>
          <w:color w:val="231F20"/>
          <w:spacing w:val="-3"/>
        </w:rPr>
        <w:t>per- </w:t>
      </w:r>
      <w:r>
        <w:rPr>
          <w:color w:val="231F20"/>
        </w:rPr>
        <w:t>mitió construir la casa paterna y avanzar en la construcción de un </w:t>
      </w:r>
      <w:r>
        <w:rPr>
          <w:color w:val="231F20"/>
          <w:spacing w:val="-3"/>
        </w:rPr>
        <w:t>cuarto </w:t>
      </w:r>
      <w:r>
        <w:rPr>
          <w:color w:val="231F20"/>
        </w:rPr>
        <w:t>anexo donde él planea vivir una vez concluya su experiencia </w:t>
      </w:r>
      <w:r>
        <w:rPr>
          <w:color w:val="231F20"/>
          <w:spacing w:val="12"/>
        </w:rPr>
        <w:t> </w:t>
      </w:r>
      <w:r>
        <w:rPr>
          <w:color w:val="231F20"/>
          <w:spacing w:val="-3"/>
        </w:rPr>
        <w:t>migratoria.</w:t>
      </w:r>
    </w:p>
    <w:p>
      <w:pPr>
        <w:pStyle w:val="BodyText"/>
        <w:spacing w:line="261" w:lineRule="auto" w:before="1"/>
        <w:ind w:left="1723" w:right="1834" w:firstLine="567"/>
        <w:jc w:val="both"/>
      </w:pPr>
      <w:r>
        <w:rPr>
          <w:color w:val="231F20"/>
          <w:w w:val="105"/>
        </w:rPr>
        <w:t>La</w:t>
      </w:r>
      <w:r>
        <w:rPr>
          <w:color w:val="231F20"/>
          <w:spacing w:val="-11"/>
          <w:w w:val="105"/>
        </w:rPr>
        <w:t> </w:t>
      </w:r>
      <w:r>
        <w:rPr>
          <w:color w:val="231F20"/>
          <w:w w:val="105"/>
        </w:rPr>
        <w:t>historia</w:t>
      </w:r>
      <w:r>
        <w:rPr>
          <w:color w:val="231F20"/>
          <w:spacing w:val="-11"/>
          <w:w w:val="105"/>
        </w:rPr>
        <w:t> </w:t>
      </w:r>
      <w:r>
        <w:rPr>
          <w:color w:val="231F20"/>
          <w:w w:val="105"/>
        </w:rPr>
        <w:t>laboral</w:t>
      </w:r>
      <w:r>
        <w:rPr>
          <w:color w:val="231F20"/>
          <w:spacing w:val="-11"/>
          <w:w w:val="105"/>
        </w:rPr>
        <w:t> </w:t>
      </w:r>
      <w:r>
        <w:rPr>
          <w:color w:val="231F20"/>
          <w:w w:val="105"/>
        </w:rPr>
        <w:t>de</w:t>
      </w:r>
      <w:r>
        <w:rPr>
          <w:color w:val="231F20"/>
          <w:spacing w:val="-11"/>
          <w:w w:val="105"/>
        </w:rPr>
        <w:t> </w:t>
      </w:r>
      <w:r>
        <w:rPr>
          <w:color w:val="231F20"/>
          <w:w w:val="105"/>
        </w:rPr>
        <w:t>Luis</w:t>
      </w:r>
      <w:r>
        <w:rPr>
          <w:color w:val="231F20"/>
          <w:spacing w:val="-11"/>
          <w:w w:val="105"/>
        </w:rPr>
        <w:t> </w:t>
      </w:r>
      <w:r>
        <w:rPr>
          <w:color w:val="231F20"/>
          <w:w w:val="105"/>
        </w:rPr>
        <w:t>inicia</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edad</w:t>
      </w:r>
      <w:r>
        <w:rPr>
          <w:color w:val="231F20"/>
          <w:spacing w:val="-11"/>
          <w:w w:val="105"/>
        </w:rPr>
        <w:t> </w:t>
      </w:r>
      <w:r>
        <w:rPr>
          <w:color w:val="231F20"/>
          <w:w w:val="105"/>
        </w:rPr>
        <w:t>de</w:t>
      </w:r>
      <w:r>
        <w:rPr>
          <w:color w:val="231F20"/>
          <w:spacing w:val="-11"/>
          <w:w w:val="105"/>
        </w:rPr>
        <w:t> </w:t>
      </w:r>
      <w:r>
        <w:rPr>
          <w:color w:val="231F20"/>
          <w:w w:val="105"/>
        </w:rPr>
        <w:t>14</w:t>
      </w:r>
      <w:r>
        <w:rPr>
          <w:color w:val="231F20"/>
          <w:spacing w:val="-11"/>
          <w:w w:val="105"/>
        </w:rPr>
        <w:t> </w:t>
      </w:r>
      <w:r>
        <w:rPr>
          <w:color w:val="231F20"/>
          <w:w w:val="105"/>
        </w:rPr>
        <w:t>años</w:t>
      </w:r>
      <w:r>
        <w:rPr>
          <w:color w:val="231F20"/>
          <w:spacing w:val="-11"/>
          <w:w w:val="105"/>
        </w:rPr>
        <w:t> </w:t>
      </w:r>
      <w:r>
        <w:rPr>
          <w:color w:val="231F20"/>
          <w:w w:val="105"/>
        </w:rPr>
        <w:t>como</w:t>
      </w:r>
      <w:r>
        <w:rPr>
          <w:color w:val="231F20"/>
          <w:spacing w:val="-11"/>
          <w:w w:val="105"/>
        </w:rPr>
        <w:t> </w:t>
      </w:r>
      <w:r>
        <w:rPr>
          <w:color w:val="231F20"/>
          <w:w w:val="105"/>
        </w:rPr>
        <w:t>obrero eventual en fábricas en la zona metropolitana o trabajando como peón de albañil junto a su padre, quien era maestro albañil. A la edad de 27 años</w:t>
      </w:r>
      <w:r>
        <w:rPr>
          <w:color w:val="231F20"/>
          <w:spacing w:val="-22"/>
          <w:w w:val="105"/>
        </w:rPr>
        <w:t> </w:t>
      </w:r>
      <w:r>
        <w:rPr>
          <w:color w:val="231F20"/>
          <w:w w:val="105"/>
        </w:rPr>
        <w:t>llega</w:t>
      </w:r>
      <w:r>
        <w:rPr>
          <w:color w:val="231F20"/>
          <w:spacing w:val="-22"/>
          <w:w w:val="105"/>
        </w:rPr>
        <w:t> </w:t>
      </w:r>
      <w:r>
        <w:rPr>
          <w:color w:val="231F20"/>
          <w:w w:val="105"/>
        </w:rPr>
        <w:t>a</w:t>
      </w:r>
      <w:r>
        <w:rPr>
          <w:color w:val="231F20"/>
          <w:spacing w:val="-22"/>
          <w:w w:val="105"/>
        </w:rPr>
        <w:t> </w:t>
      </w:r>
      <w:r>
        <w:rPr>
          <w:color w:val="231F20"/>
          <w:w w:val="105"/>
        </w:rPr>
        <w:t>Nueva</w:t>
      </w:r>
      <w:r>
        <w:rPr>
          <w:color w:val="231F20"/>
          <w:spacing w:val="-26"/>
          <w:w w:val="105"/>
        </w:rPr>
        <w:t> </w:t>
      </w:r>
      <w:r>
        <w:rPr>
          <w:color w:val="231F20"/>
          <w:spacing w:val="-5"/>
          <w:w w:val="105"/>
        </w:rPr>
        <w:t>York</w:t>
      </w:r>
      <w:r>
        <w:rPr>
          <w:color w:val="231F20"/>
          <w:spacing w:val="-22"/>
          <w:w w:val="105"/>
        </w:rPr>
        <w:t> </w:t>
      </w:r>
      <w:r>
        <w:rPr>
          <w:color w:val="231F20"/>
          <w:w w:val="105"/>
        </w:rPr>
        <w:t>y</w:t>
      </w:r>
      <w:r>
        <w:rPr>
          <w:color w:val="231F20"/>
          <w:spacing w:val="-22"/>
          <w:w w:val="105"/>
        </w:rPr>
        <w:t> </w:t>
      </w:r>
      <w:r>
        <w:rPr>
          <w:color w:val="231F20"/>
          <w:w w:val="105"/>
        </w:rPr>
        <w:t>se</w:t>
      </w:r>
      <w:r>
        <w:rPr>
          <w:color w:val="231F20"/>
          <w:spacing w:val="-22"/>
          <w:w w:val="105"/>
        </w:rPr>
        <w:t> </w:t>
      </w:r>
      <w:r>
        <w:rPr>
          <w:color w:val="231F20"/>
          <w:w w:val="105"/>
        </w:rPr>
        <w:t>emplea</w:t>
      </w:r>
      <w:r>
        <w:rPr>
          <w:color w:val="231F20"/>
          <w:spacing w:val="-22"/>
          <w:w w:val="105"/>
        </w:rPr>
        <w:t> </w:t>
      </w:r>
      <w:r>
        <w:rPr>
          <w:color w:val="231F20"/>
          <w:w w:val="105"/>
        </w:rPr>
        <w:t>de</w:t>
      </w:r>
      <w:r>
        <w:rPr>
          <w:color w:val="231F20"/>
          <w:spacing w:val="-22"/>
          <w:w w:val="105"/>
        </w:rPr>
        <w:t> </w:t>
      </w:r>
      <w:r>
        <w:rPr>
          <w:color w:val="231F20"/>
          <w:w w:val="105"/>
        </w:rPr>
        <w:t>inmediato</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misma</w:t>
      </w:r>
      <w:r>
        <w:rPr>
          <w:color w:val="231F20"/>
          <w:spacing w:val="-22"/>
          <w:w w:val="105"/>
        </w:rPr>
        <w:t> </w:t>
      </w:r>
      <w:r>
        <w:rPr>
          <w:color w:val="231F20"/>
          <w:w w:val="105"/>
        </w:rPr>
        <w:t>compañía en</w:t>
      </w:r>
      <w:r>
        <w:rPr>
          <w:color w:val="231F20"/>
          <w:spacing w:val="-5"/>
          <w:w w:val="105"/>
        </w:rPr>
        <w:t> </w:t>
      </w:r>
      <w:r>
        <w:rPr>
          <w:color w:val="231F20"/>
          <w:w w:val="105"/>
        </w:rPr>
        <w:t>la</w:t>
      </w:r>
      <w:r>
        <w:rPr>
          <w:color w:val="231F20"/>
          <w:spacing w:val="-5"/>
          <w:w w:val="105"/>
        </w:rPr>
        <w:t> </w:t>
      </w:r>
      <w:r>
        <w:rPr>
          <w:color w:val="231F20"/>
          <w:w w:val="105"/>
        </w:rPr>
        <w:t>que</w:t>
      </w:r>
      <w:r>
        <w:rPr>
          <w:color w:val="231F20"/>
          <w:spacing w:val="-5"/>
          <w:w w:val="105"/>
        </w:rPr>
        <w:t> </w:t>
      </w:r>
      <w:r>
        <w:rPr>
          <w:color w:val="231F20"/>
          <w:w w:val="105"/>
        </w:rPr>
        <w:t>trabajaba</w:t>
      </w:r>
      <w:r>
        <w:rPr>
          <w:color w:val="231F20"/>
          <w:spacing w:val="-5"/>
          <w:w w:val="105"/>
        </w:rPr>
        <w:t> </w:t>
      </w:r>
      <w:r>
        <w:rPr>
          <w:color w:val="231F20"/>
          <w:w w:val="105"/>
        </w:rPr>
        <w:t>su</w:t>
      </w:r>
      <w:r>
        <w:rPr>
          <w:color w:val="231F20"/>
          <w:spacing w:val="-5"/>
          <w:w w:val="105"/>
        </w:rPr>
        <w:t> </w:t>
      </w:r>
      <w:r>
        <w:rPr>
          <w:color w:val="231F20"/>
          <w:w w:val="105"/>
        </w:rPr>
        <w:t>hermano,</w:t>
      </w:r>
      <w:r>
        <w:rPr>
          <w:color w:val="231F20"/>
          <w:spacing w:val="-11"/>
          <w:w w:val="105"/>
        </w:rPr>
        <w:t> </w:t>
      </w:r>
      <w:r>
        <w:rPr>
          <w:color w:val="231F20"/>
          <w:w w:val="105"/>
        </w:rPr>
        <w:t>como</w:t>
      </w:r>
      <w:r>
        <w:rPr>
          <w:color w:val="231F20"/>
          <w:spacing w:val="-5"/>
          <w:w w:val="105"/>
        </w:rPr>
        <w:t> </w:t>
      </w:r>
      <w:r>
        <w:rPr>
          <w:color w:val="231F20"/>
          <w:w w:val="105"/>
        </w:rPr>
        <w:t>ayudante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manejo</w:t>
      </w:r>
      <w:r>
        <w:rPr>
          <w:color w:val="231F20"/>
          <w:spacing w:val="-5"/>
          <w:w w:val="105"/>
        </w:rPr>
        <w:t> </w:t>
      </w:r>
      <w:r>
        <w:rPr>
          <w:color w:val="231F20"/>
          <w:w w:val="105"/>
        </w:rPr>
        <w:t>de</w:t>
      </w:r>
      <w:r>
        <w:rPr>
          <w:color w:val="231F20"/>
          <w:spacing w:val="-5"/>
          <w:w w:val="105"/>
        </w:rPr>
        <w:t> </w:t>
      </w:r>
      <w:r>
        <w:rPr>
          <w:color w:val="231F20"/>
          <w:w w:val="105"/>
        </w:rPr>
        <w:t>mate- riales</w:t>
      </w:r>
      <w:r>
        <w:rPr>
          <w:color w:val="231F20"/>
          <w:spacing w:val="-6"/>
          <w:w w:val="105"/>
        </w:rPr>
        <w:t> </w:t>
      </w:r>
      <w:r>
        <w:rPr>
          <w:color w:val="231F20"/>
          <w:w w:val="105"/>
        </w:rPr>
        <w:t>para</w:t>
      </w:r>
      <w:r>
        <w:rPr>
          <w:color w:val="231F20"/>
          <w:spacing w:val="-6"/>
          <w:w w:val="105"/>
        </w:rPr>
        <w:t> </w:t>
      </w:r>
      <w:r>
        <w:rPr>
          <w:color w:val="231F20"/>
          <w:w w:val="105"/>
        </w:rPr>
        <w:t>la</w:t>
      </w:r>
      <w:r>
        <w:rPr>
          <w:color w:val="231F20"/>
          <w:spacing w:val="-6"/>
          <w:w w:val="105"/>
        </w:rPr>
        <w:t> </w:t>
      </w:r>
      <w:r>
        <w:rPr>
          <w:color w:val="231F20"/>
          <w:w w:val="105"/>
        </w:rPr>
        <w:t>construcción</w:t>
      </w:r>
      <w:r>
        <w:rPr>
          <w:color w:val="231F20"/>
          <w:spacing w:val="-6"/>
          <w:w w:val="105"/>
        </w:rPr>
        <w:t> </w:t>
      </w:r>
      <w:r>
        <w:rPr>
          <w:color w:val="231F20"/>
          <w:w w:val="105"/>
        </w:rPr>
        <w:t>de</w:t>
      </w:r>
      <w:r>
        <w:rPr>
          <w:color w:val="231F20"/>
          <w:spacing w:val="-6"/>
          <w:w w:val="105"/>
        </w:rPr>
        <w:t> </w:t>
      </w:r>
      <w:r>
        <w:rPr>
          <w:color w:val="231F20"/>
          <w:w w:val="105"/>
        </w:rPr>
        <w:t>casas</w:t>
      </w:r>
      <w:r>
        <w:rPr>
          <w:color w:val="231F20"/>
          <w:spacing w:val="-6"/>
          <w:w w:val="105"/>
        </w:rPr>
        <w:t> </w:t>
      </w:r>
      <w:r>
        <w:rPr>
          <w:color w:val="231F20"/>
          <w:w w:val="105"/>
        </w:rPr>
        <w:t>por</w:t>
      </w:r>
      <w:r>
        <w:rPr>
          <w:color w:val="231F20"/>
          <w:spacing w:val="-6"/>
          <w:w w:val="105"/>
        </w:rPr>
        <w:t> </w:t>
      </w:r>
      <w:r>
        <w:rPr>
          <w:color w:val="231F20"/>
          <w:w w:val="105"/>
        </w:rPr>
        <w:t>un</w:t>
      </w:r>
      <w:r>
        <w:rPr>
          <w:color w:val="231F20"/>
          <w:spacing w:val="-6"/>
          <w:w w:val="105"/>
        </w:rPr>
        <w:t> </w:t>
      </w:r>
      <w:r>
        <w:rPr>
          <w:color w:val="231F20"/>
          <w:w w:val="105"/>
        </w:rPr>
        <w:t>periodo</w:t>
      </w:r>
      <w:r>
        <w:rPr>
          <w:color w:val="231F20"/>
          <w:spacing w:val="-6"/>
          <w:w w:val="105"/>
        </w:rPr>
        <w:t> </w:t>
      </w:r>
      <w:r>
        <w:rPr>
          <w:color w:val="231F20"/>
          <w:w w:val="105"/>
        </w:rPr>
        <w:t>de</w:t>
      </w:r>
      <w:r>
        <w:rPr>
          <w:color w:val="231F20"/>
          <w:spacing w:val="-6"/>
          <w:w w:val="105"/>
        </w:rPr>
        <w:t> </w:t>
      </w:r>
      <w:r>
        <w:rPr>
          <w:color w:val="231F20"/>
          <w:w w:val="105"/>
        </w:rPr>
        <w:t>tres</w:t>
      </w:r>
      <w:r>
        <w:rPr>
          <w:color w:val="231F20"/>
          <w:spacing w:val="-6"/>
          <w:w w:val="105"/>
        </w:rPr>
        <w:t> </w:t>
      </w:r>
      <w:r>
        <w:rPr>
          <w:color w:val="231F20"/>
          <w:w w:val="105"/>
        </w:rPr>
        <w:t>años.</w:t>
      </w:r>
      <w:r>
        <w:rPr>
          <w:color w:val="231F20"/>
          <w:spacing w:val="-11"/>
          <w:w w:val="105"/>
        </w:rPr>
        <w:t> </w:t>
      </w:r>
      <w:r>
        <w:rPr>
          <w:color w:val="231F20"/>
          <w:w w:val="105"/>
        </w:rPr>
        <w:t>Su</w:t>
      </w:r>
      <w:r>
        <w:rPr>
          <w:color w:val="231F20"/>
          <w:spacing w:val="-6"/>
          <w:w w:val="105"/>
        </w:rPr>
        <w:t> </w:t>
      </w:r>
      <w:r>
        <w:rPr>
          <w:color w:val="231F20"/>
          <w:w w:val="105"/>
        </w:rPr>
        <w:t>se- gundo empleo fue en un restaurant, el cual consiguió sin el contacto</w:t>
      </w:r>
      <w:r>
        <w:rPr>
          <w:color w:val="231F20"/>
          <w:spacing w:val="-28"/>
          <w:w w:val="105"/>
        </w:rPr>
        <w:t> </w:t>
      </w:r>
      <w:r>
        <w:rPr>
          <w:color w:val="231F20"/>
          <w:w w:val="105"/>
        </w:rPr>
        <w:t>de su hermano, como ayudante de cocina, pero conservó adicionalmente un</w:t>
      </w:r>
      <w:r>
        <w:rPr>
          <w:color w:val="231F20"/>
          <w:spacing w:val="-22"/>
          <w:w w:val="105"/>
        </w:rPr>
        <w:t> </w:t>
      </w:r>
      <w:r>
        <w:rPr>
          <w:color w:val="231F20"/>
          <w:w w:val="105"/>
        </w:rPr>
        <w:t>empleo</w:t>
      </w:r>
      <w:r>
        <w:rPr>
          <w:color w:val="231F20"/>
          <w:spacing w:val="-22"/>
          <w:w w:val="105"/>
        </w:rPr>
        <w:t> </w:t>
      </w:r>
      <w:r>
        <w:rPr>
          <w:color w:val="231F20"/>
          <w:w w:val="105"/>
        </w:rPr>
        <w:t>como</w:t>
      </w:r>
      <w:r>
        <w:rPr>
          <w:color w:val="231F20"/>
          <w:spacing w:val="-22"/>
          <w:w w:val="105"/>
        </w:rPr>
        <w:t> </w:t>
      </w:r>
      <w:r>
        <w:rPr>
          <w:color w:val="231F20"/>
          <w:w w:val="105"/>
        </w:rPr>
        <w:t>ayudante</w:t>
      </w:r>
      <w:r>
        <w:rPr>
          <w:color w:val="231F20"/>
          <w:spacing w:val="-22"/>
          <w:w w:val="105"/>
        </w:rPr>
        <w:t> </w:t>
      </w:r>
      <w:r>
        <w:rPr>
          <w:color w:val="231F20"/>
          <w:w w:val="105"/>
        </w:rPr>
        <w:t>de</w:t>
      </w:r>
      <w:r>
        <w:rPr>
          <w:color w:val="231F20"/>
          <w:spacing w:val="-22"/>
          <w:w w:val="105"/>
        </w:rPr>
        <w:t> </w:t>
      </w:r>
      <w:r>
        <w:rPr>
          <w:color w:val="231F20"/>
          <w:w w:val="105"/>
        </w:rPr>
        <w:t>especialistas</w:t>
      </w:r>
      <w:r>
        <w:rPr>
          <w:color w:val="231F20"/>
          <w:spacing w:val="-22"/>
          <w:w w:val="105"/>
        </w:rPr>
        <w:t> </w:t>
      </w:r>
      <w:r>
        <w:rPr>
          <w:color w:val="231F20"/>
          <w:w w:val="105"/>
        </w:rPr>
        <w:t>en</w:t>
      </w:r>
      <w:r>
        <w:rPr>
          <w:color w:val="231F20"/>
          <w:spacing w:val="-22"/>
          <w:w w:val="105"/>
        </w:rPr>
        <w:t> </w:t>
      </w:r>
      <w:r>
        <w:rPr>
          <w:color w:val="231F20"/>
          <w:w w:val="105"/>
        </w:rPr>
        <w:t>pegar</w:t>
      </w:r>
      <w:r>
        <w:rPr>
          <w:color w:val="231F20"/>
          <w:spacing w:val="-22"/>
          <w:w w:val="105"/>
        </w:rPr>
        <w:t> </w:t>
      </w:r>
      <w:r>
        <w:rPr>
          <w:color w:val="231F20"/>
          <w:w w:val="105"/>
        </w:rPr>
        <w:t>azulejo</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w w:val="105"/>
        </w:rPr>
        <w:t>cons- trucciones</w:t>
      </w:r>
      <w:r>
        <w:rPr>
          <w:color w:val="231F20"/>
          <w:spacing w:val="-21"/>
          <w:w w:val="105"/>
        </w:rPr>
        <w:t> </w:t>
      </w:r>
      <w:r>
        <w:rPr>
          <w:color w:val="231F20"/>
          <w:w w:val="105"/>
        </w:rPr>
        <w:t>de</w:t>
      </w:r>
      <w:r>
        <w:rPr>
          <w:color w:val="231F20"/>
          <w:spacing w:val="-21"/>
          <w:w w:val="105"/>
        </w:rPr>
        <w:t> </w:t>
      </w:r>
      <w:r>
        <w:rPr>
          <w:color w:val="231F20"/>
          <w:w w:val="105"/>
        </w:rPr>
        <w:t>casas</w:t>
      </w:r>
      <w:r>
        <w:rPr>
          <w:color w:val="231F20"/>
          <w:spacing w:val="-21"/>
          <w:w w:val="105"/>
        </w:rPr>
        <w:t> </w:t>
      </w:r>
      <w:r>
        <w:rPr>
          <w:color w:val="231F20"/>
          <w:w w:val="105"/>
        </w:rPr>
        <w:t>y</w:t>
      </w:r>
      <w:r>
        <w:rPr>
          <w:color w:val="231F20"/>
          <w:spacing w:val="-21"/>
          <w:w w:val="105"/>
        </w:rPr>
        <w:t> </w:t>
      </w:r>
      <w:r>
        <w:rPr>
          <w:color w:val="231F20"/>
          <w:w w:val="105"/>
        </w:rPr>
        <w:t>edificios.</w:t>
      </w:r>
      <w:r>
        <w:rPr>
          <w:color w:val="231F20"/>
          <w:spacing w:val="-27"/>
          <w:w w:val="105"/>
        </w:rPr>
        <w:t> </w:t>
      </w:r>
      <w:r>
        <w:rPr>
          <w:color w:val="231F20"/>
          <w:w w:val="105"/>
        </w:rPr>
        <w:t>Es</w:t>
      </w:r>
      <w:r>
        <w:rPr>
          <w:color w:val="231F20"/>
          <w:spacing w:val="-21"/>
          <w:w w:val="105"/>
        </w:rPr>
        <w:t> </w:t>
      </w:r>
      <w:r>
        <w:rPr>
          <w:color w:val="231F20"/>
          <w:w w:val="105"/>
        </w:rPr>
        <w:t>decir,</w:t>
      </w:r>
      <w:r>
        <w:rPr>
          <w:color w:val="231F20"/>
          <w:spacing w:val="-27"/>
          <w:w w:val="105"/>
        </w:rPr>
        <w:t> </w:t>
      </w:r>
      <w:r>
        <w:rPr>
          <w:color w:val="231F20"/>
          <w:w w:val="105"/>
        </w:rPr>
        <w:t>tomar</w:t>
      </w:r>
      <w:r>
        <w:rPr>
          <w:color w:val="231F20"/>
          <w:spacing w:val="-21"/>
          <w:w w:val="105"/>
        </w:rPr>
        <w:t> </w:t>
      </w:r>
      <w:r>
        <w:rPr>
          <w:color w:val="231F20"/>
          <w:w w:val="105"/>
        </w:rPr>
        <w:t>un</w:t>
      </w:r>
      <w:r>
        <w:rPr>
          <w:color w:val="231F20"/>
          <w:spacing w:val="-21"/>
          <w:w w:val="105"/>
        </w:rPr>
        <w:t> </w:t>
      </w:r>
      <w:r>
        <w:rPr>
          <w:color w:val="231F20"/>
          <w:w w:val="105"/>
        </w:rPr>
        <w:t>segundo</w:t>
      </w:r>
      <w:r>
        <w:rPr>
          <w:color w:val="231F20"/>
          <w:spacing w:val="-21"/>
          <w:w w:val="105"/>
        </w:rPr>
        <w:t> </w:t>
      </w:r>
      <w:r>
        <w:rPr>
          <w:color w:val="231F20"/>
          <w:w w:val="105"/>
        </w:rPr>
        <w:t>empleo</w:t>
      </w:r>
      <w:r>
        <w:rPr>
          <w:color w:val="231F20"/>
          <w:spacing w:val="-21"/>
          <w:w w:val="105"/>
        </w:rPr>
        <w:t> </w:t>
      </w:r>
      <w:r>
        <w:rPr>
          <w:color w:val="231F20"/>
          <w:w w:val="105"/>
        </w:rPr>
        <w:t>impli-</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7424" from="131.551193pt,3.703715pt" to="131.551193pt,39.506114pt" stroked="true" strokeweight=".35pt" strokecolor="#231f20">
            <w10:wrap type="none"/>
          </v:line>
        </w:pict>
      </w:r>
      <w:r>
        <w:rPr/>
        <w:pict>
          <v:line style="position:absolute;mso-position-horizontal-relative:page;mso-position-vertical-relative:paragraph;z-index:-477352" from="15pt,39.505917pt" to="0pt,39.505917pt" stroked="true" strokeweight=".25pt" strokecolor="#000000">
            <w10:wrap type="none"/>
          </v:line>
        </w:pict>
      </w:r>
      <w:r>
        <w:rPr/>
        <w:pict>
          <v:line style="position:absolute;mso-position-horizontal-relative:page;mso-position-vertical-relative:paragraph;z-index:12856" from="508.890015pt,39.505917pt" to="523.890015pt,39.505917pt" stroked="true" strokeweight=".25pt" strokecolor="#000000">
            <w10:wrap type="none"/>
          </v:line>
        </w:pict>
      </w:r>
      <w:r>
        <w:rPr>
          <w:rFonts w:ascii="Arial" w:hAnsi="Arial"/>
          <w:color w:val="414042"/>
          <w:position w:val="-5"/>
          <w:sz w:val="20"/>
        </w:rPr>
        <w:t>128</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7304" from="405.061005pt,-18.554295pt" to="405.061005pt,16.311579pt" stroked="true" strokeweight=".35pt" strokecolor="#231f20">
            <w10:wrap type="none"/>
          </v:line>
        </w:pict>
      </w:r>
      <w:r>
        <w:rPr/>
        <w:pict>
          <v:line style="position:absolute;mso-position-horizontal-relative:page;mso-position-vertical-relative:paragraph;z-index:12904" from="15pt,-18.554522pt" to="0pt,-18.554522pt" stroked="true" strokeweight=".25pt" strokecolor="#000000">
            <w10:wrap type="none"/>
          </v:line>
        </w:pict>
      </w:r>
      <w:r>
        <w:rPr/>
        <w:pict>
          <v:line style="position:absolute;mso-position-horizontal-relative:page;mso-position-vertical-relative:paragraph;z-index:12928"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129</w:t>
      </w:r>
    </w:p>
    <w:p>
      <w:pPr>
        <w:pStyle w:val="BodyText"/>
        <w:rPr>
          <w:rFonts w:ascii="Arial"/>
          <w:sz w:val="20"/>
        </w:rPr>
      </w:pPr>
    </w:p>
    <w:p>
      <w:pPr>
        <w:pStyle w:val="BodyText"/>
        <w:rPr>
          <w:rFonts w:ascii="Arial"/>
          <w:sz w:val="20"/>
        </w:rPr>
      </w:pPr>
    </w:p>
    <w:p>
      <w:pPr>
        <w:pStyle w:val="BodyText"/>
        <w:spacing w:line="261" w:lineRule="auto" w:before="179"/>
        <w:ind w:left="1837" w:right="1720"/>
        <w:jc w:val="both"/>
      </w:pPr>
      <w:r>
        <w:rPr>
          <w:color w:val="231F20"/>
          <w:w w:val="105"/>
        </w:rPr>
        <w:t>caba</w:t>
      </w:r>
      <w:r>
        <w:rPr>
          <w:color w:val="231F20"/>
          <w:spacing w:val="-22"/>
          <w:w w:val="105"/>
        </w:rPr>
        <w:t> </w:t>
      </w:r>
      <w:r>
        <w:rPr>
          <w:color w:val="231F20"/>
          <w:w w:val="105"/>
        </w:rPr>
        <w:t>para</w:t>
      </w:r>
      <w:r>
        <w:rPr>
          <w:color w:val="231F20"/>
          <w:spacing w:val="-22"/>
          <w:w w:val="105"/>
        </w:rPr>
        <w:t> </w:t>
      </w:r>
      <w:r>
        <w:rPr>
          <w:color w:val="231F20"/>
          <w:w w:val="105"/>
        </w:rPr>
        <w:t>Luis</w:t>
      </w:r>
      <w:r>
        <w:rPr>
          <w:color w:val="231F20"/>
          <w:spacing w:val="-22"/>
          <w:w w:val="105"/>
        </w:rPr>
        <w:t> </w:t>
      </w:r>
      <w:r>
        <w:rPr>
          <w:color w:val="231F20"/>
          <w:w w:val="105"/>
        </w:rPr>
        <w:t>tener</w:t>
      </w:r>
      <w:r>
        <w:rPr>
          <w:color w:val="231F20"/>
          <w:spacing w:val="-23"/>
          <w:w w:val="105"/>
        </w:rPr>
        <w:t> </w:t>
      </w:r>
      <w:r>
        <w:rPr>
          <w:color w:val="231F20"/>
          <w:w w:val="105"/>
        </w:rPr>
        <w:t>una</w:t>
      </w:r>
      <w:r>
        <w:rPr>
          <w:color w:val="231F20"/>
          <w:spacing w:val="-22"/>
          <w:w w:val="105"/>
        </w:rPr>
        <w:t> </w:t>
      </w:r>
      <w:r>
        <w:rPr>
          <w:color w:val="231F20"/>
          <w:w w:val="105"/>
        </w:rPr>
        <w:t>doble</w:t>
      </w:r>
      <w:r>
        <w:rPr>
          <w:color w:val="231F20"/>
          <w:spacing w:val="-22"/>
          <w:w w:val="105"/>
        </w:rPr>
        <w:t> </w:t>
      </w:r>
      <w:r>
        <w:rPr>
          <w:color w:val="231F20"/>
          <w:w w:val="105"/>
        </w:rPr>
        <w:t>jornada,</w:t>
      </w:r>
      <w:r>
        <w:rPr>
          <w:color w:val="231F20"/>
          <w:spacing w:val="-28"/>
          <w:w w:val="105"/>
        </w:rPr>
        <w:t> </w:t>
      </w:r>
      <w:r>
        <w:rPr>
          <w:color w:val="231F20"/>
          <w:w w:val="105"/>
        </w:rPr>
        <w:t>por</w:t>
      </w:r>
      <w:r>
        <w:rPr>
          <w:color w:val="231F20"/>
          <w:spacing w:val="-22"/>
          <w:w w:val="105"/>
        </w:rPr>
        <w:t> </w:t>
      </w:r>
      <w:r>
        <w:rPr>
          <w:color w:val="231F20"/>
          <w:w w:val="105"/>
        </w:rPr>
        <w:t>la</w:t>
      </w:r>
      <w:r>
        <w:rPr>
          <w:color w:val="231F20"/>
          <w:spacing w:val="-22"/>
          <w:w w:val="105"/>
        </w:rPr>
        <w:t> </w:t>
      </w:r>
      <w:r>
        <w:rPr>
          <w:color w:val="231F20"/>
          <w:w w:val="105"/>
        </w:rPr>
        <w:t>mañana</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compañía</w:t>
      </w:r>
      <w:r>
        <w:rPr>
          <w:color w:val="231F20"/>
          <w:spacing w:val="-22"/>
          <w:w w:val="105"/>
        </w:rPr>
        <w:t> </w:t>
      </w:r>
      <w:r>
        <w:rPr>
          <w:color w:val="231F20"/>
          <w:w w:val="105"/>
        </w:rPr>
        <w:t>de materiales</w:t>
      </w:r>
      <w:r>
        <w:rPr>
          <w:color w:val="231F20"/>
          <w:spacing w:val="-10"/>
          <w:w w:val="105"/>
        </w:rPr>
        <w:t> </w:t>
      </w:r>
      <w:r>
        <w:rPr>
          <w:color w:val="231F20"/>
          <w:w w:val="105"/>
        </w:rPr>
        <w:t>de</w:t>
      </w:r>
      <w:r>
        <w:rPr>
          <w:color w:val="231F20"/>
          <w:spacing w:val="-10"/>
          <w:w w:val="105"/>
        </w:rPr>
        <w:t> </w:t>
      </w:r>
      <w:r>
        <w:rPr>
          <w:color w:val="231F20"/>
          <w:w w:val="105"/>
        </w:rPr>
        <w:t>construcción</w:t>
      </w:r>
      <w:r>
        <w:rPr>
          <w:color w:val="231F20"/>
          <w:spacing w:val="-10"/>
          <w:w w:val="105"/>
        </w:rPr>
        <w:t> </w:t>
      </w:r>
      <w:r>
        <w:rPr>
          <w:color w:val="231F20"/>
          <w:w w:val="105"/>
        </w:rPr>
        <w:t>y</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tarde</w:t>
      </w:r>
      <w:r>
        <w:rPr>
          <w:color w:val="231F20"/>
          <w:spacing w:val="-10"/>
          <w:w w:val="105"/>
        </w:rPr>
        <w:t> </w:t>
      </w:r>
      <w:r>
        <w:rPr>
          <w:color w:val="231F20"/>
          <w:w w:val="105"/>
        </w:rPr>
        <w:t>y</w:t>
      </w:r>
      <w:r>
        <w:rPr>
          <w:color w:val="231F20"/>
          <w:spacing w:val="-10"/>
          <w:w w:val="105"/>
        </w:rPr>
        <w:t> </w:t>
      </w:r>
      <w:r>
        <w:rPr>
          <w:color w:val="231F20"/>
          <w:w w:val="105"/>
        </w:rPr>
        <w:t>noche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restaurant,</w:t>
      </w:r>
      <w:r>
        <w:rPr>
          <w:color w:val="231F20"/>
          <w:spacing w:val="-15"/>
          <w:w w:val="105"/>
        </w:rPr>
        <w:t> </w:t>
      </w:r>
      <w:r>
        <w:rPr>
          <w:color w:val="231F20"/>
          <w:w w:val="105"/>
        </w:rPr>
        <w:t>donde aprendió a cocinar comida rápida. Posteriormente, después de 18 me- ses</w:t>
      </w:r>
      <w:r>
        <w:rPr>
          <w:color w:val="231F20"/>
          <w:spacing w:val="-5"/>
          <w:w w:val="105"/>
        </w:rPr>
        <w:t> </w:t>
      </w:r>
      <w:r>
        <w:rPr>
          <w:color w:val="231F20"/>
          <w:w w:val="105"/>
        </w:rPr>
        <w:t>de</w:t>
      </w:r>
      <w:r>
        <w:rPr>
          <w:color w:val="231F20"/>
          <w:spacing w:val="-5"/>
          <w:w w:val="105"/>
        </w:rPr>
        <w:t> </w:t>
      </w:r>
      <w:r>
        <w:rPr>
          <w:color w:val="231F20"/>
          <w:w w:val="105"/>
        </w:rPr>
        <w:t>desempeñarse</w:t>
      </w:r>
      <w:r>
        <w:rPr>
          <w:color w:val="231F20"/>
          <w:spacing w:val="-5"/>
          <w:w w:val="105"/>
        </w:rPr>
        <w:t> </w:t>
      </w:r>
      <w:r>
        <w:rPr>
          <w:color w:val="231F20"/>
          <w:w w:val="105"/>
        </w:rPr>
        <w:t>en</w:t>
      </w:r>
      <w:r>
        <w:rPr>
          <w:color w:val="231F20"/>
          <w:spacing w:val="-5"/>
          <w:w w:val="105"/>
        </w:rPr>
        <w:t> </w:t>
      </w:r>
      <w:r>
        <w:rPr>
          <w:color w:val="231F20"/>
          <w:w w:val="105"/>
        </w:rPr>
        <w:t>ambos</w:t>
      </w:r>
      <w:r>
        <w:rPr>
          <w:color w:val="231F20"/>
          <w:spacing w:val="-5"/>
          <w:w w:val="105"/>
        </w:rPr>
        <w:t> </w:t>
      </w:r>
      <w:r>
        <w:rPr>
          <w:color w:val="231F20"/>
          <w:w w:val="105"/>
        </w:rPr>
        <w:t>empleos,</w:t>
      </w:r>
      <w:r>
        <w:rPr>
          <w:color w:val="231F20"/>
          <w:spacing w:val="-10"/>
          <w:w w:val="105"/>
        </w:rPr>
        <w:t> </w:t>
      </w:r>
      <w:r>
        <w:rPr>
          <w:color w:val="231F20"/>
          <w:w w:val="105"/>
        </w:rPr>
        <w:t>el</w:t>
      </w:r>
      <w:r>
        <w:rPr>
          <w:color w:val="231F20"/>
          <w:spacing w:val="-5"/>
          <w:w w:val="105"/>
        </w:rPr>
        <w:t> </w:t>
      </w:r>
      <w:r>
        <w:rPr>
          <w:color w:val="231F20"/>
          <w:w w:val="105"/>
        </w:rPr>
        <w:t>restaurant</w:t>
      </w:r>
      <w:r>
        <w:rPr>
          <w:color w:val="231F20"/>
          <w:spacing w:val="-5"/>
          <w:w w:val="105"/>
        </w:rPr>
        <w:t> </w:t>
      </w:r>
      <w:r>
        <w:rPr>
          <w:color w:val="231F20"/>
          <w:w w:val="105"/>
        </w:rPr>
        <w:t>cerró</w:t>
      </w:r>
      <w:r>
        <w:rPr>
          <w:color w:val="231F20"/>
          <w:spacing w:val="-5"/>
          <w:w w:val="105"/>
        </w:rPr>
        <w:t> </w:t>
      </w:r>
      <w:r>
        <w:rPr>
          <w:color w:val="231F20"/>
          <w:w w:val="105"/>
        </w:rPr>
        <w:t>sus</w:t>
      </w:r>
      <w:r>
        <w:rPr>
          <w:color w:val="231F20"/>
          <w:spacing w:val="-5"/>
          <w:w w:val="105"/>
        </w:rPr>
        <w:t> </w:t>
      </w:r>
      <w:r>
        <w:rPr>
          <w:color w:val="231F20"/>
          <w:w w:val="105"/>
        </w:rPr>
        <w:t>puer- tas y se quedó laborando en un solo empleo, pero de manera paralela tomaba</w:t>
      </w:r>
      <w:r>
        <w:rPr>
          <w:color w:val="231F20"/>
          <w:spacing w:val="-7"/>
          <w:w w:val="105"/>
        </w:rPr>
        <w:t> </w:t>
      </w:r>
      <w:r>
        <w:rPr>
          <w:color w:val="231F20"/>
          <w:w w:val="105"/>
        </w:rPr>
        <w:t>trabajos</w:t>
      </w:r>
      <w:r>
        <w:rPr>
          <w:color w:val="231F20"/>
          <w:spacing w:val="-7"/>
          <w:w w:val="105"/>
        </w:rPr>
        <w:t> </w:t>
      </w:r>
      <w:r>
        <w:rPr>
          <w:color w:val="231F20"/>
          <w:w w:val="105"/>
        </w:rPr>
        <w:t>temporales</w:t>
      </w:r>
      <w:r>
        <w:rPr>
          <w:color w:val="231F20"/>
          <w:spacing w:val="-7"/>
          <w:w w:val="105"/>
        </w:rPr>
        <w:t> </w:t>
      </w:r>
      <w:r>
        <w:rPr>
          <w:color w:val="231F20"/>
          <w:w w:val="105"/>
        </w:rPr>
        <w:t>por</w:t>
      </w:r>
      <w:r>
        <w:rPr>
          <w:color w:val="231F20"/>
          <w:spacing w:val="-7"/>
          <w:w w:val="105"/>
        </w:rPr>
        <w:t> </w:t>
      </w:r>
      <w:r>
        <w:rPr>
          <w:color w:val="231F20"/>
          <w:w w:val="105"/>
        </w:rPr>
        <w:t>una</w:t>
      </w:r>
      <w:r>
        <w:rPr>
          <w:color w:val="231F20"/>
          <w:spacing w:val="-7"/>
          <w:w w:val="105"/>
        </w:rPr>
        <w:t> </w:t>
      </w:r>
      <w:r>
        <w:rPr>
          <w:color w:val="231F20"/>
          <w:w w:val="105"/>
        </w:rPr>
        <w:t>jornada</w:t>
      </w:r>
      <w:r>
        <w:rPr>
          <w:color w:val="231F20"/>
          <w:spacing w:val="-7"/>
          <w:w w:val="105"/>
        </w:rPr>
        <w:t> </w:t>
      </w:r>
      <w:r>
        <w:rPr>
          <w:color w:val="231F20"/>
          <w:w w:val="105"/>
        </w:rPr>
        <w:t>o</w:t>
      </w:r>
      <w:r>
        <w:rPr>
          <w:color w:val="231F20"/>
          <w:spacing w:val="-7"/>
          <w:w w:val="105"/>
        </w:rPr>
        <w:t> </w:t>
      </w:r>
      <w:r>
        <w:rPr>
          <w:color w:val="231F20"/>
          <w:w w:val="105"/>
        </w:rPr>
        <w:t>una</w:t>
      </w:r>
      <w:r>
        <w:rPr>
          <w:color w:val="231F20"/>
          <w:spacing w:val="-7"/>
          <w:w w:val="105"/>
        </w:rPr>
        <w:t> </w:t>
      </w:r>
      <w:r>
        <w:rPr>
          <w:color w:val="231F20"/>
          <w:w w:val="105"/>
        </w:rPr>
        <w:t>semana,</w:t>
      </w:r>
      <w:r>
        <w:rPr>
          <w:color w:val="231F20"/>
          <w:spacing w:val="-12"/>
          <w:w w:val="105"/>
        </w:rPr>
        <w:t> </w:t>
      </w:r>
      <w:r>
        <w:rPr>
          <w:color w:val="231F20"/>
          <w:w w:val="105"/>
        </w:rPr>
        <w:t>y</w:t>
      </w:r>
      <w:r>
        <w:rPr>
          <w:color w:val="231F20"/>
          <w:spacing w:val="-7"/>
          <w:w w:val="105"/>
        </w:rPr>
        <w:t> </w:t>
      </w:r>
      <w:r>
        <w:rPr>
          <w:color w:val="231F20"/>
          <w:w w:val="105"/>
        </w:rPr>
        <w:t>mantenía el</w:t>
      </w:r>
      <w:r>
        <w:rPr>
          <w:color w:val="231F20"/>
          <w:spacing w:val="-12"/>
          <w:w w:val="105"/>
        </w:rPr>
        <w:t> </w:t>
      </w:r>
      <w:r>
        <w:rPr>
          <w:color w:val="231F20"/>
          <w:w w:val="105"/>
        </w:rPr>
        <w:t>empleo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compañía.</w:t>
      </w:r>
      <w:r>
        <w:rPr>
          <w:color w:val="231F20"/>
          <w:spacing w:val="-17"/>
          <w:w w:val="105"/>
        </w:rPr>
        <w:t> </w:t>
      </w:r>
      <w:r>
        <w:rPr>
          <w:color w:val="231F20"/>
          <w:w w:val="105"/>
        </w:rPr>
        <w:t>Los</w:t>
      </w:r>
      <w:r>
        <w:rPr>
          <w:color w:val="231F20"/>
          <w:spacing w:val="-12"/>
          <w:w w:val="105"/>
        </w:rPr>
        <w:t> </w:t>
      </w:r>
      <w:r>
        <w:rPr>
          <w:color w:val="231F20"/>
          <w:w w:val="105"/>
        </w:rPr>
        <w:t>últimos</w:t>
      </w:r>
      <w:r>
        <w:rPr>
          <w:color w:val="231F20"/>
          <w:spacing w:val="-12"/>
          <w:w w:val="105"/>
        </w:rPr>
        <w:t> </w:t>
      </w:r>
      <w:r>
        <w:rPr>
          <w:color w:val="231F20"/>
          <w:w w:val="105"/>
        </w:rPr>
        <w:t>8</w:t>
      </w:r>
      <w:r>
        <w:rPr>
          <w:color w:val="231F20"/>
          <w:spacing w:val="-12"/>
          <w:w w:val="105"/>
        </w:rPr>
        <w:t> </w:t>
      </w:r>
      <w:r>
        <w:rPr>
          <w:color w:val="231F20"/>
          <w:w w:val="105"/>
        </w:rPr>
        <w:t>meses</w:t>
      </w:r>
      <w:r>
        <w:rPr>
          <w:color w:val="231F20"/>
          <w:spacing w:val="-12"/>
          <w:w w:val="105"/>
        </w:rPr>
        <w:t> </w:t>
      </w:r>
      <w:r>
        <w:rPr>
          <w:color w:val="231F20"/>
          <w:w w:val="105"/>
        </w:rPr>
        <w:t>trabajó</w:t>
      </w:r>
      <w:r>
        <w:rPr>
          <w:color w:val="231F20"/>
          <w:spacing w:val="37"/>
          <w:w w:val="105"/>
        </w:rPr>
        <w:t> </w:t>
      </w:r>
      <w:r>
        <w:rPr>
          <w:color w:val="231F20"/>
          <w:w w:val="105"/>
        </w:rPr>
        <w:t>como</w:t>
      </w:r>
      <w:r>
        <w:rPr>
          <w:color w:val="231F20"/>
          <w:spacing w:val="-12"/>
          <w:w w:val="105"/>
        </w:rPr>
        <w:t> </w:t>
      </w:r>
      <w:r>
        <w:rPr>
          <w:color w:val="231F20"/>
          <w:w w:val="105"/>
        </w:rPr>
        <w:t>empleado en</w:t>
      </w:r>
      <w:r>
        <w:rPr>
          <w:color w:val="231F20"/>
          <w:spacing w:val="-19"/>
          <w:w w:val="105"/>
        </w:rPr>
        <w:t> </w:t>
      </w:r>
      <w:r>
        <w:rPr>
          <w:color w:val="231F20"/>
          <w:w w:val="105"/>
        </w:rPr>
        <w:t>una</w:t>
      </w:r>
      <w:r>
        <w:rPr>
          <w:color w:val="231F20"/>
          <w:spacing w:val="-19"/>
          <w:w w:val="105"/>
        </w:rPr>
        <w:t> </w:t>
      </w:r>
      <w:r>
        <w:rPr>
          <w:color w:val="231F20"/>
          <w:w w:val="105"/>
        </w:rPr>
        <w:t>compañía</w:t>
      </w:r>
      <w:r>
        <w:rPr>
          <w:color w:val="231F20"/>
          <w:spacing w:val="-19"/>
          <w:w w:val="105"/>
        </w:rPr>
        <w:t> </w:t>
      </w:r>
      <w:r>
        <w:rPr>
          <w:color w:val="231F20"/>
          <w:w w:val="105"/>
        </w:rPr>
        <w:t>que</w:t>
      </w:r>
      <w:r>
        <w:rPr>
          <w:color w:val="231F20"/>
          <w:spacing w:val="-19"/>
          <w:w w:val="105"/>
        </w:rPr>
        <w:t> </w:t>
      </w:r>
      <w:r>
        <w:rPr>
          <w:color w:val="231F20"/>
          <w:w w:val="105"/>
        </w:rPr>
        <w:t>realizaba</w:t>
      </w:r>
      <w:r>
        <w:rPr>
          <w:color w:val="231F20"/>
          <w:spacing w:val="-19"/>
          <w:w w:val="105"/>
        </w:rPr>
        <w:t> </w:t>
      </w:r>
      <w:r>
        <w:rPr>
          <w:color w:val="231F20"/>
          <w:w w:val="105"/>
        </w:rPr>
        <w:t>reparaciones</w:t>
      </w:r>
      <w:r>
        <w:rPr>
          <w:color w:val="231F20"/>
          <w:spacing w:val="-19"/>
          <w:w w:val="105"/>
        </w:rPr>
        <w:t> </w:t>
      </w:r>
      <w:r>
        <w:rPr>
          <w:color w:val="231F20"/>
          <w:w w:val="105"/>
        </w:rPr>
        <w:t>de</w:t>
      </w:r>
      <w:r>
        <w:rPr>
          <w:color w:val="231F20"/>
          <w:spacing w:val="-19"/>
          <w:w w:val="105"/>
        </w:rPr>
        <w:t> </w:t>
      </w:r>
      <w:r>
        <w:rPr>
          <w:color w:val="231F20"/>
          <w:w w:val="105"/>
        </w:rPr>
        <w:t>casas</w:t>
      </w:r>
      <w:r>
        <w:rPr>
          <w:color w:val="231F20"/>
          <w:spacing w:val="-19"/>
          <w:w w:val="105"/>
        </w:rPr>
        <w:t> </w:t>
      </w:r>
      <w:r>
        <w:rPr>
          <w:color w:val="231F20"/>
          <w:w w:val="105"/>
        </w:rPr>
        <w:t>y</w:t>
      </w:r>
      <w:r>
        <w:rPr>
          <w:color w:val="231F20"/>
          <w:spacing w:val="-19"/>
          <w:w w:val="105"/>
        </w:rPr>
        <w:t> </w:t>
      </w:r>
      <w:r>
        <w:rPr>
          <w:color w:val="231F20"/>
          <w:w w:val="105"/>
        </w:rPr>
        <w:t>edificios,</w:t>
      </w:r>
      <w:r>
        <w:rPr>
          <w:color w:val="231F20"/>
          <w:spacing w:val="-23"/>
          <w:w w:val="105"/>
        </w:rPr>
        <w:t> </w:t>
      </w:r>
      <w:r>
        <w:rPr>
          <w:color w:val="231F20"/>
          <w:w w:val="105"/>
        </w:rPr>
        <w:t>donde previamente</w:t>
      </w:r>
      <w:r>
        <w:rPr>
          <w:color w:val="231F20"/>
          <w:spacing w:val="-17"/>
          <w:w w:val="105"/>
        </w:rPr>
        <w:t> </w:t>
      </w:r>
      <w:r>
        <w:rPr>
          <w:color w:val="231F20"/>
          <w:w w:val="105"/>
        </w:rPr>
        <w:t>ya</w:t>
      </w:r>
      <w:r>
        <w:rPr>
          <w:color w:val="231F20"/>
          <w:spacing w:val="-17"/>
          <w:w w:val="105"/>
        </w:rPr>
        <w:t> </w:t>
      </w:r>
      <w:r>
        <w:rPr>
          <w:color w:val="231F20"/>
          <w:w w:val="105"/>
        </w:rPr>
        <w:t>había</w:t>
      </w:r>
      <w:r>
        <w:rPr>
          <w:color w:val="231F20"/>
          <w:spacing w:val="-17"/>
          <w:w w:val="105"/>
        </w:rPr>
        <w:t> </w:t>
      </w:r>
      <w:r>
        <w:rPr>
          <w:color w:val="231F20"/>
          <w:w w:val="105"/>
        </w:rPr>
        <w:t>trabajado,</w:t>
      </w:r>
      <w:r>
        <w:rPr>
          <w:color w:val="231F20"/>
          <w:spacing w:val="-22"/>
          <w:w w:val="105"/>
        </w:rPr>
        <w:t> </w:t>
      </w:r>
      <w:r>
        <w:rPr>
          <w:color w:val="231F20"/>
          <w:w w:val="105"/>
        </w:rPr>
        <w:t>antes</w:t>
      </w:r>
      <w:r>
        <w:rPr>
          <w:color w:val="231F20"/>
          <w:spacing w:val="-17"/>
          <w:w w:val="105"/>
        </w:rPr>
        <w:t> </w:t>
      </w:r>
      <w:r>
        <w:rPr>
          <w:color w:val="231F20"/>
          <w:w w:val="105"/>
        </w:rPr>
        <w:t>de</w:t>
      </w:r>
      <w:r>
        <w:rPr>
          <w:color w:val="231F20"/>
          <w:spacing w:val="-17"/>
          <w:w w:val="105"/>
        </w:rPr>
        <w:t> </w:t>
      </w:r>
      <w:r>
        <w:rPr>
          <w:color w:val="231F20"/>
          <w:w w:val="105"/>
        </w:rPr>
        <w:t>ir</w:t>
      </w:r>
      <w:r>
        <w:rPr>
          <w:color w:val="231F20"/>
          <w:spacing w:val="-17"/>
          <w:w w:val="105"/>
        </w:rPr>
        <w:t> </w:t>
      </w:r>
      <w:r>
        <w:rPr>
          <w:color w:val="231F20"/>
          <w:w w:val="105"/>
        </w:rPr>
        <w:t>a</w:t>
      </w:r>
      <w:r>
        <w:rPr>
          <w:color w:val="231F20"/>
          <w:spacing w:val="-20"/>
          <w:w w:val="105"/>
        </w:rPr>
        <w:t> </w:t>
      </w:r>
      <w:r>
        <w:rPr>
          <w:color w:val="231F20"/>
          <w:w w:val="105"/>
        </w:rPr>
        <w:t>Atlantic</w:t>
      </w:r>
      <w:r>
        <w:rPr>
          <w:color w:val="231F20"/>
          <w:spacing w:val="-17"/>
          <w:w w:val="105"/>
        </w:rPr>
        <w:t> </w:t>
      </w:r>
      <w:r>
        <w:rPr>
          <w:color w:val="231F20"/>
          <w:w w:val="105"/>
        </w:rPr>
        <w:t>City.</w:t>
      </w:r>
    </w:p>
    <w:p>
      <w:pPr>
        <w:pStyle w:val="BodyText"/>
        <w:spacing w:line="261" w:lineRule="auto" w:before="1"/>
        <w:ind w:left="1837" w:right="1721" w:firstLine="567"/>
        <w:jc w:val="both"/>
      </w:pPr>
      <w:r>
        <w:rPr>
          <w:color w:val="231F20"/>
          <w:w w:val="105"/>
        </w:rPr>
        <w:t>Durante</w:t>
      </w:r>
      <w:r>
        <w:rPr>
          <w:color w:val="231F20"/>
          <w:spacing w:val="-16"/>
          <w:w w:val="105"/>
        </w:rPr>
        <w:t> </w:t>
      </w:r>
      <w:r>
        <w:rPr>
          <w:color w:val="231F20"/>
          <w:w w:val="105"/>
        </w:rPr>
        <w:t>la</w:t>
      </w:r>
      <w:r>
        <w:rPr>
          <w:color w:val="231F20"/>
          <w:spacing w:val="-16"/>
          <w:w w:val="105"/>
        </w:rPr>
        <w:t> </w:t>
      </w:r>
      <w:r>
        <w:rPr>
          <w:color w:val="231F20"/>
          <w:w w:val="105"/>
        </w:rPr>
        <w:t>estancia</w:t>
      </w:r>
      <w:r>
        <w:rPr>
          <w:color w:val="231F20"/>
          <w:spacing w:val="-16"/>
          <w:w w:val="105"/>
        </w:rPr>
        <w:t> </w:t>
      </w:r>
      <w:r>
        <w:rPr>
          <w:color w:val="231F20"/>
          <w:w w:val="105"/>
        </w:rPr>
        <w:t>de</w:t>
      </w:r>
      <w:r>
        <w:rPr>
          <w:color w:val="231F20"/>
          <w:spacing w:val="-16"/>
          <w:w w:val="105"/>
        </w:rPr>
        <w:t> </w:t>
      </w:r>
      <w:r>
        <w:rPr>
          <w:color w:val="231F20"/>
          <w:w w:val="105"/>
        </w:rPr>
        <w:t>seis</w:t>
      </w:r>
      <w:r>
        <w:rPr>
          <w:color w:val="231F20"/>
          <w:spacing w:val="-16"/>
          <w:w w:val="105"/>
        </w:rPr>
        <w:t> </w:t>
      </w:r>
      <w:r>
        <w:rPr>
          <w:color w:val="231F20"/>
          <w:w w:val="105"/>
        </w:rPr>
        <w:t>años</w:t>
      </w:r>
      <w:r>
        <w:rPr>
          <w:color w:val="231F20"/>
          <w:spacing w:val="-16"/>
          <w:w w:val="105"/>
        </w:rPr>
        <w:t> </w:t>
      </w:r>
      <w:r>
        <w:rPr>
          <w:color w:val="231F20"/>
          <w:w w:val="105"/>
        </w:rPr>
        <w:t>en</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20"/>
          <w:w w:val="105"/>
        </w:rPr>
        <w:t> </w:t>
      </w:r>
      <w:r>
        <w:rPr>
          <w:color w:val="231F20"/>
          <w:w w:val="105"/>
        </w:rPr>
        <w:t>Luis</w:t>
      </w:r>
      <w:r>
        <w:rPr>
          <w:color w:val="231F20"/>
          <w:spacing w:val="-16"/>
          <w:w w:val="105"/>
        </w:rPr>
        <w:t> </w:t>
      </w:r>
      <w:r>
        <w:rPr>
          <w:color w:val="231F20"/>
          <w:w w:val="105"/>
        </w:rPr>
        <w:t>tuvo</w:t>
      </w:r>
      <w:r>
        <w:rPr>
          <w:color w:val="231F20"/>
          <w:spacing w:val="-16"/>
          <w:w w:val="105"/>
        </w:rPr>
        <w:t> </w:t>
      </w:r>
      <w:r>
        <w:rPr>
          <w:color w:val="231F20"/>
          <w:w w:val="105"/>
        </w:rPr>
        <w:t>una incursión por dos meses y medio en Atlantic City, donde trabajó por un mes</w:t>
      </w:r>
      <w:r>
        <w:rPr>
          <w:color w:val="231F20"/>
          <w:spacing w:val="-19"/>
          <w:w w:val="105"/>
        </w:rPr>
        <w:t> </w:t>
      </w:r>
      <w:r>
        <w:rPr>
          <w:color w:val="231F20"/>
          <w:w w:val="105"/>
        </w:rPr>
        <w:t>en</w:t>
      </w:r>
      <w:r>
        <w:rPr>
          <w:color w:val="231F20"/>
          <w:spacing w:val="-19"/>
          <w:w w:val="105"/>
        </w:rPr>
        <w:t> </w:t>
      </w:r>
      <w:r>
        <w:rPr>
          <w:color w:val="231F20"/>
          <w:w w:val="105"/>
        </w:rPr>
        <w:t>un</w:t>
      </w:r>
      <w:r>
        <w:rPr>
          <w:color w:val="231F20"/>
          <w:spacing w:val="-19"/>
          <w:w w:val="105"/>
        </w:rPr>
        <w:t> </w:t>
      </w:r>
      <w:r>
        <w:rPr>
          <w:color w:val="231F20"/>
          <w:w w:val="105"/>
        </w:rPr>
        <w:t>restaurant</w:t>
      </w:r>
      <w:r>
        <w:rPr>
          <w:color w:val="231F20"/>
          <w:spacing w:val="-19"/>
          <w:w w:val="105"/>
        </w:rPr>
        <w:t> </w:t>
      </w:r>
      <w:r>
        <w:rPr>
          <w:color w:val="231F20"/>
          <w:w w:val="105"/>
        </w:rPr>
        <w:t>chino</w:t>
      </w:r>
      <w:r>
        <w:rPr>
          <w:color w:val="231F20"/>
          <w:spacing w:val="-19"/>
          <w:w w:val="105"/>
        </w:rPr>
        <w:t> </w:t>
      </w:r>
      <w:r>
        <w:rPr>
          <w:color w:val="231F20"/>
          <w:w w:val="105"/>
        </w:rPr>
        <w:t>(como</w:t>
      </w:r>
      <w:r>
        <w:rPr>
          <w:color w:val="231F20"/>
          <w:spacing w:val="-19"/>
          <w:w w:val="105"/>
        </w:rPr>
        <w:t> </w:t>
      </w:r>
      <w:r>
        <w:rPr>
          <w:color w:val="231F20"/>
          <w:w w:val="105"/>
        </w:rPr>
        <w:t>ayudante</w:t>
      </w:r>
      <w:r>
        <w:rPr>
          <w:color w:val="231F20"/>
          <w:spacing w:val="-19"/>
          <w:w w:val="105"/>
        </w:rPr>
        <w:t> </w:t>
      </w:r>
      <w:r>
        <w:rPr>
          <w:color w:val="231F20"/>
          <w:w w:val="105"/>
        </w:rPr>
        <w:t>de</w:t>
      </w:r>
      <w:r>
        <w:rPr>
          <w:color w:val="231F20"/>
          <w:spacing w:val="-19"/>
          <w:w w:val="105"/>
        </w:rPr>
        <w:t> </w:t>
      </w:r>
      <w:r>
        <w:rPr>
          <w:color w:val="231F20"/>
          <w:w w:val="105"/>
        </w:rPr>
        <w:t>cocina)</w:t>
      </w:r>
      <w:r>
        <w:rPr>
          <w:color w:val="231F20"/>
          <w:spacing w:val="-19"/>
          <w:w w:val="105"/>
        </w:rPr>
        <w:t> </w:t>
      </w:r>
      <w:r>
        <w:rPr>
          <w:color w:val="231F20"/>
          <w:w w:val="105"/>
        </w:rPr>
        <w:t>y</w:t>
      </w:r>
      <w:r>
        <w:rPr>
          <w:color w:val="231F20"/>
          <w:spacing w:val="-19"/>
          <w:w w:val="105"/>
        </w:rPr>
        <w:t> </w:t>
      </w:r>
      <w:r>
        <w:rPr>
          <w:color w:val="231F20"/>
          <w:w w:val="105"/>
        </w:rPr>
        <w:t>un</w:t>
      </w:r>
      <w:r>
        <w:rPr>
          <w:color w:val="231F20"/>
          <w:spacing w:val="-19"/>
          <w:w w:val="105"/>
        </w:rPr>
        <w:t> </w:t>
      </w:r>
      <w:r>
        <w:rPr>
          <w:color w:val="231F20"/>
          <w:w w:val="105"/>
        </w:rPr>
        <w:t>mes</w:t>
      </w:r>
      <w:r>
        <w:rPr>
          <w:color w:val="231F20"/>
          <w:spacing w:val="-19"/>
          <w:w w:val="105"/>
        </w:rPr>
        <w:t> </w:t>
      </w:r>
      <w:r>
        <w:rPr>
          <w:color w:val="231F20"/>
          <w:w w:val="105"/>
        </w:rPr>
        <w:t>y</w:t>
      </w:r>
      <w:r>
        <w:rPr>
          <w:color w:val="231F20"/>
          <w:spacing w:val="-19"/>
          <w:w w:val="105"/>
        </w:rPr>
        <w:t> </w:t>
      </w:r>
      <w:r>
        <w:rPr>
          <w:color w:val="231F20"/>
          <w:w w:val="105"/>
        </w:rPr>
        <w:t>medio como</w:t>
      </w:r>
      <w:r>
        <w:rPr>
          <w:color w:val="231F20"/>
          <w:spacing w:val="-21"/>
          <w:w w:val="105"/>
        </w:rPr>
        <w:t> </w:t>
      </w:r>
      <w:r>
        <w:rPr>
          <w:color w:val="231F20"/>
          <w:w w:val="105"/>
        </w:rPr>
        <w:t>empleado</w:t>
      </w:r>
      <w:r>
        <w:rPr>
          <w:color w:val="231F20"/>
          <w:spacing w:val="-21"/>
          <w:w w:val="105"/>
        </w:rPr>
        <w:t> </w:t>
      </w:r>
      <w:r>
        <w:rPr>
          <w:color w:val="231F20"/>
          <w:w w:val="105"/>
        </w:rPr>
        <w:t>general</w:t>
      </w:r>
      <w:r>
        <w:rPr>
          <w:color w:val="231F20"/>
          <w:spacing w:val="-21"/>
          <w:w w:val="105"/>
        </w:rPr>
        <w:t> </w:t>
      </w:r>
      <w:r>
        <w:rPr>
          <w:color w:val="231F20"/>
          <w:w w:val="105"/>
        </w:rPr>
        <w:t>en</w:t>
      </w:r>
      <w:r>
        <w:rPr>
          <w:color w:val="231F20"/>
          <w:spacing w:val="-21"/>
          <w:w w:val="105"/>
        </w:rPr>
        <w:t> </w:t>
      </w:r>
      <w:r>
        <w:rPr>
          <w:color w:val="231F20"/>
          <w:w w:val="105"/>
        </w:rPr>
        <w:t>una</w:t>
      </w:r>
      <w:r>
        <w:rPr>
          <w:color w:val="231F20"/>
          <w:spacing w:val="-21"/>
          <w:w w:val="105"/>
        </w:rPr>
        <w:t> </w:t>
      </w:r>
      <w:r>
        <w:rPr>
          <w:color w:val="231F20"/>
          <w:w w:val="105"/>
        </w:rPr>
        <w:t>compañía</w:t>
      </w:r>
      <w:r>
        <w:rPr>
          <w:color w:val="231F20"/>
          <w:spacing w:val="-21"/>
          <w:w w:val="105"/>
        </w:rPr>
        <w:t> </w:t>
      </w:r>
      <w:r>
        <w:rPr>
          <w:color w:val="231F20"/>
          <w:w w:val="105"/>
        </w:rPr>
        <w:t>de</w:t>
      </w:r>
      <w:r>
        <w:rPr>
          <w:color w:val="231F20"/>
          <w:spacing w:val="-21"/>
          <w:w w:val="105"/>
        </w:rPr>
        <w:t> </w:t>
      </w:r>
      <w:r>
        <w:rPr>
          <w:color w:val="231F20"/>
          <w:w w:val="105"/>
        </w:rPr>
        <w:t>instalación</w:t>
      </w:r>
      <w:r>
        <w:rPr>
          <w:color w:val="231F20"/>
          <w:spacing w:val="-21"/>
          <w:w w:val="105"/>
        </w:rPr>
        <w:t> </w:t>
      </w:r>
      <w:r>
        <w:rPr>
          <w:color w:val="231F20"/>
          <w:w w:val="105"/>
        </w:rPr>
        <w:t>de</w:t>
      </w:r>
      <w:r>
        <w:rPr>
          <w:color w:val="231F20"/>
          <w:spacing w:val="-21"/>
          <w:w w:val="105"/>
        </w:rPr>
        <w:t> </w:t>
      </w:r>
      <w:r>
        <w:rPr>
          <w:color w:val="231F20"/>
          <w:w w:val="105"/>
        </w:rPr>
        <w:t>cocinas</w:t>
      </w:r>
      <w:r>
        <w:rPr>
          <w:color w:val="231F20"/>
          <w:spacing w:val="-21"/>
          <w:w w:val="105"/>
        </w:rPr>
        <w:t> </w:t>
      </w:r>
      <w:r>
        <w:rPr>
          <w:color w:val="231F20"/>
          <w:w w:val="105"/>
        </w:rPr>
        <w:t>inte- grales.</w:t>
      </w:r>
      <w:r>
        <w:rPr>
          <w:color w:val="231F20"/>
          <w:spacing w:val="-27"/>
          <w:w w:val="105"/>
        </w:rPr>
        <w:t> </w:t>
      </w:r>
      <w:r>
        <w:rPr>
          <w:color w:val="231F20"/>
          <w:w w:val="105"/>
        </w:rPr>
        <w:t>Este</w:t>
      </w:r>
      <w:r>
        <w:rPr>
          <w:color w:val="231F20"/>
          <w:spacing w:val="-23"/>
          <w:w w:val="105"/>
        </w:rPr>
        <w:t> </w:t>
      </w:r>
      <w:r>
        <w:rPr>
          <w:color w:val="231F20"/>
          <w:w w:val="105"/>
        </w:rPr>
        <w:t>viaje</w:t>
      </w:r>
      <w:r>
        <w:rPr>
          <w:color w:val="231F20"/>
          <w:spacing w:val="-23"/>
          <w:w w:val="105"/>
        </w:rPr>
        <w:t> </w:t>
      </w:r>
      <w:r>
        <w:rPr>
          <w:color w:val="231F20"/>
          <w:w w:val="105"/>
        </w:rPr>
        <w:t>lo</w:t>
      </w:r>
      <w:r>
        <w:rPr>
          <w:color w:val="231F20"/>
          <w:spacing w:val="-23"/>
          <w:w w:val="105"/>
        </w:rPr>
        <w:t> </w:t>
      </w:r>
      <w:r>
        <w:rPr>
          <w:color w:val="231F20"/>
          <w:w w:val="105"/>
        </w:rPr>
        <w:t>realizó</w:t>
      </w:r>
      <w:r>
        <w:rPr>
          <w:color w:val="231F20"/>
          <w:spacing w:val="-23"/>
          <w:w w:val="105"/>
        </w:rPr>
        <w:t> </w:t>
      </w:r>
      <w:r>
        <w:rPr>
          <w:color w:val="231F20"/>
          <w:w w:val="105"/>
        </w:rPr>
        <w:t>cuando</w:t>
      </w:r>
      <w:r>
        <w:rPr>
          <w:color w:val="231F20"/>
          <w:spacing w:val="-23"/>
          <w:w w:val="105"/>
        </w:rPr>
        <w:t> </w:t>
      </w:r>
      <w:r>
        <w:rPr>
          <w:color w:val="231F20"/>
          <w:w w:val="105"/>
        </w:rPr>
        <w:t>tenía</w:t>
      </w:r>
      <w:r>
        <w:rPr>
          <w:color w:val="231F20"/>
          <w:spacing w:val="-23"/>
          <w:w w:val="105"/>
        </w:rPr>
        <w:t> </w:t>
      </w:r>
      <w:r>
        <w:rPr>
          <w:color w:val="231F20"/>
          <w:w w:val="105"/>
        </w:rPr>
        <w:t>cinco</w:t>
      </w:r>
      <w:r>
        <w:rPr>
          <w:color w:val="231F20"/>
          <w:spacing w:val="13"/>
          <w:w w:val="105"/>
        </w:rPr>
        <w:t> </w:t>
      </w:r>
      <w:r>
        <w:rPr>
          <w:color w:val="231F20"/>
          <w:w w:val="105"/>
        </w:rPr>
        <w:t>años</w:t>
      </w:r>
      <w:r>
        <w:rPr>
          <w:color w:val="231F20"/>
          <w:spacing w:val="-23"/>
          <w:w w:val="105"/>
        </w:rPr>
        <w:t> </w:t>
      </w:r>
      <w:r>
        <w:rPr>
          <w:color w:val="231F20"/>
          <w:w w:val="105"/>
        </w:rPr>
        <w:t>residiendo</w:t>
      </w:r>
      <w:r>
        <w:rPr>
          <w:color w:val="231F20"/>
          <w:spacing w:val="-23"/>
          <w:w w:val="105"/>
        </w:rPr>
        <w:t> </w:t>
      </w:r>
      <w:r>
        <w:rPr>
          <w:color w:val="231F20"/>
          <w:w w:val="105"/>
        </w:rPr>
        <w:t>en</w:t>
      </w:r>
      <w:r>
        <w:rPr>
          <w:color w:val="231F20"/>
          <w:spacing w:val="-23"/>
          <w:w w:val="105"/>
        </w:rPr>
        <w:t> </w:t>
      </w:r>
      <w:r>
        <w:rPr>
          <w:color w:val="231F20"/>
          <w:w w:val="105"/>
        </w:rPr>
        <w:t>Nueva </w:t>
      </w:r>
      <w:r>
        <w:rPr>
          <w:color w:val="231F20"/>
          <w:spacing w:val="-4"/>
          <w:w w:val="105"/>
        </w:rPr>
        <w:t>York,</w:t>
      </w:r>
      <w:r>
        <w:rPr>
          <w:color w:val="231F20"/>
          <w:spacing w:val="-16"/>
          <w:w w:val="105"/>
        </w:rPr>
        <w:t> </w:t>
      </w:r>
      <w:r>
        <w:rPr>
          <w:color w:val="231F20"/>
          <w:w w:val="105"/>
        </w:rPr>
        <w:t>entonces</w:t>
      </w:r>
      <w:r>
        <w:rPr>
          <w:color w:val="231F20"/>
          <w:spacing w:val="-10"/>
          <w:w w:val="105"/>
        </w:rPr>
        <w:t> </w:t>
      </w:r>
      <w:r>
        <w:rPr>
          <w:color w:val="231F20"/>
          <w:w w:val="105"/>
        </w:rPr>
        <w:t>decidió</w:t>
      </w:r>
      <w:r>
        <w:rPr>
          <w:color w:val="231F20"/>
          <w:spacing w:val="-10"/>
          <w:w w:val="105"/>
        </w:rPr>
        <w:t> </w:t>
      </w:r>
      <w:r>
        <w:rPr>
          <w:color w:val="231F20"/>
          <w:w w:val="105"/>
        </w:rPr>
        <w:t>probar</w:t>
      </w:r>
      <w:r>
        <w:rPr>
          <w:color w:val="231F20"/>
          <w:spacing w:val="-10"/>
          <w:w w:val="105"/>
        </w:rPr>
        <w:t> </w:t>
      </w:r>
      <w:r>
        <w:rPr>
          <w:color w:val="231F20"/>
          <w:w w:val="105"/>
        </w:rPr>
        <w:t>suerte</w:t>
      </w:r>
      <w:r>
        <w:rPr>
          <w:color w:val="231F20"/>
          <w:spacing w:val="-10"/>
          <w:w w:val="105"/>
        </w:rPr>
        <w:t> </w:t>
      </w:r>
      <w:r>
        <w:rPr>
          <w:color w:val="231F20"/>
          <w:w w:val="105"/>
        </w:rPr>
        <w:t>en</w:t>
      </w:r>
      <w:r>
        <w:rPr>
          <w:color w:val="231F20"/>
          <w:spacing w:val="-10"/>
          <w:w w:val="105"/>
        </w:rPr>
        <w:t> </w:t>
      </w:r>
      <w:r>
        <w:rPr>
          <w:color w:val="231F20"/>
          <w:w w:val="105"/>
        </w:rPr>
        <w:t>otro</w:t>
      </w:r>
      <w:r>
        <w:rPr>
          <w:color w:val="231F20"/>
          <w:spacing w:val="-10"/>
          <w:w w:val="105"/>
        </w:rPr>
        <w:t> </w:t>
      </w:r>
      <w:r>
        <w:rPr>
          <w:color w:val="231F20"/>
          <w:w w:val="105"/>
        </w:rPr>
        <w:t>lugar.</w:t>
      </w:r>
    </w:p>
    <w:p>
      <w:pPr>
        <w:pStyle w:val="BodyText"/>
        <w:spacing w:line="261" w:lineRule="auto" w:before="1"/>
        <w:ind w:left="1837" w:right="1721" w:firstLine="567"/>
        <w:jc w:val="both"/>
      </w:pPr>
      <w:r>
        <w:rPr>
          <w:color w:val="231F20"/>
          <w:spacing w:val="-3"/>
          <w:w w:val="105"/>
        </w:rPr>
        <w:t>Finalmente,</w:t>
      </w:r>
      <w:r>
        <w:rPr>
          <w:color w:val="231F20"/>
          <w:spacing w:val="-12"/>
          <w:w w:val="105"/>
        </w:rPr>
        <w:t> </w:t>
      </w:r>
      <w:r>
        <w:rPr>
          <w:color w:val="231F20"/>
          <w:w w:val="105"/>
        </w:rPr>
        <w:t>después</w:t>
      </w:r>
      <w:r>
        <w:rPr>
          <w:color w:val="231F20"/>
          <w:spacing w:val="-6"/>
          <w:w w:val="105"/>
        </w:rPr>
        <w:t> </w:t>
      </w:r>
      <w:r>
        <w:rPr>
          <w:color w:val="231F20"/>
          <w:w w:val="105"/>
        </w:rPr>
        <w:t>de</w:t>
      </w:r>
      <w:r>
        <w:rPr>
          <w:color w:val="231F20"/>
          <w:spacing w:val="-6"/>
          <w:w w:val="105"/>
        </w:rPr>
        <w:t> </w:t>
      </w:r>
      <w:r>
        <w:rPr>
          <w:color w:val="231F20"/>
          <w:w w:val="105"/>
        </w:rPr>
        <w:t>dos</w:t>
      </w:r>
      <w:r>
        <w:rPr>
          <w:color w:val="231F20"/>
          <w:spacing w:val="-6"/>
          <w:w w:val="105"/>
        </w:rPr>
        <w:t> </w:t>
      </w:r>
      <w:r>
        <w:rPr>
          <w:color w:val="231F20"/>
          <w:w w:val="105"/>
        </w:rPr>
        <w:t>meses</w:t>
      </w:r>
      <w:r>
        <w:rPr>
          <w:color w:val="231F20"/>
          <w:spacing w:val="-6"/>
          <w:w w:val="105"/>
        </w:rPr>
        <w:t> </w:t>
      </w:r>
      <w:r>
        <w:rPr>
          <w:color w:val="231F20"/>
          <w:w w:val="105"/>
        </w:rPr>
        <w:t>y</w:t>
      </w:r>
      <w:r>
        <w:rPr>
          <w:color w:val="231F20"/>
          <w:spacing w:val="-6"/>
          <w:w w:val="105"/>
        </w:rPr>
        <w:t> </w:t>
      </w:r>
      <w:r>
        <w:rPr>
          <w:color w:val="231F20"/>
          <w:w w:val="105"/>
        </w:rPr>
        <w:t>medio</w:t>
      </w:r>
      <w:r>
        <w:rPr>
          <w:color w:val="231F20"/>
          <w:spacing w:val="-6"/>
          <w:w w:val="105"/>
        </w:rPr>
        <w:t> </w:t>
      </w:r>
      <w:r>
        <w:rPr>
          <w:color w:val="231F20"/>
          <w:w w:val="105"/>
        </w:rPr>
        <w:t>fuera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ciudad</w:t>
      </w:r>
      <w:r>
        <w:rPr>
          <w:color w:val="231F20"/>
          <w:spacing w:val="-6"/>
          <w:w w:val="105"/>
        </w:rPr>
        <w:t> </w:t>
      </w:r>
      <w:r>
        <w:rPr>
          <w:color w:val="231F20"/>
          <w:w w:val="105"/>
        </w:rPr>
        <w:t>de Nueva</w:t>
      </w:r>
      <w:r>
        <w:rPr>
          <w:color w:val="231F20"/>
          <w:spacing w:val="-21"/>
          <w:w w:val="105"/>
        </w:rPr>
        <w:t> </w:t>
      </w:r>
      <w:r>
        <w:rPr>
          <w:color w:val="231F20"/>
          <w:spacing w:val="-6"/>
          <w:w w:val="105"/>
        </w:rPr>
        <w:t>York,</w:t>
      </w:r>
      <w:r>
        <w:rPr>
          <w:color w:val="231F20"/>
          <w:spacing w:val="-22"/>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constatar</w:t>
      </w:r>
      <w:r>
        <w:rPr>
          <w:color w:val="231F20"/>
          <w:spacing w:val="-17"/>
          <w:w w:val="105"/>
        </w:rPr>
        <w:t> </w:t>
      </w:r>
      <w:r>
        <w:rPr>
          <w:color w:val="231F20"/>
          <w:w w:val="105"/>
        </w:rPr>
        <w:t>que</w:t>
      </w:r>
      <w:r>
        <w:rPr>
          <w:color w:val="231F20"/>
          <w:spacing w:val="-17"/>
          <w:w w:val="105"/>
        </w:rPr>
        <w:t> </w:t>
      </w:r>
      <w:r>
        <w:rPr>
          <w:color w:val="231F20"/>
          <w:spacing w:val="-3"/>
          <w:w w:val="105"/>
        </w:rPr>
        <w:t>percibía</w:t>
      </w:r>
      <w:r>
        <w:rPr>
          <w:color w:val="231F20"/>
          <w:spacing w:val="-17"/>
          <w:w w:val="105"/>
        </w:rPr>
        <w:t> </w:t>
      </w:r>
      <w:r>
        <w:rPr>
          <w:color w:val="231F20"/>
          <w:w w:val="105"/>
        </w:rPr>
        <w:t>un</w:t>
      </w:r>
      <w:r>
        <w:rPr>
          <w:color w:val="231F20"/>
          <w:spacing w:val="-17"/>
          <w:w w:val="105"/>
        </w:rPr>
        <w:t> </w:t>
      </w:r>
      <w:r>
        <w:rPr>
          <w:color w:val="231F20"/>
          <w:w w:val="105"/>
        </w:rPr>
        <w:t>sueldo</w:t>
      </w:r>
      <w:r>
        <w:rPr>
          <w:color w:val="231F20"/>
          <w:spacing w:val="-17"/>
          <w:w w:val="105"/>
        </w:rPr>
        <w:t> </w:t>
      </w:r>
      <w:r>
        <w:rPr>
          <w:color w:val="231F20"/>
          <w:w w:val="105"/>
        </w:rPr>
        <w:t>menor</w:t>
      </w:r>
      <w:r>
        <w:rPr>
          <w:color w:val="231F20"/>
          <w:spacing w:val="-17"/>
          <w:w w:val="105"/>
        </w:rPr>
        <w:t> </w:t>
      </w:r>
      <w:r>
        <w:rPr>
          <w:color w:val="231F20"/>
          <w:w w:val="105"/>
        </w:rPr>
        <w:t>en</w:t>
      </w:r>
      <w:r>
        <w:rPr>
          <w:color w:val="231F20"/>
          <w:spacing w:val="-19"/>
          <w:w w:val="105"/>
        </w:rPr>
        <w:t> </w:t>
      </w:r>
      <w:r>
        <w:rPr>
          <w:color w:val="231F20"/>
          <w:w w:val="105"/>
        </w:rPr>
        <w:t>Atlantic</w:t>
      </w:r>
      <w:r>
        <w:rPr>
          <w:color w:val="231F20"/>
          <w:spacing w:val="-17"/>
          <w:w w:val="105"/>
        </w:rPr>
        <w:t> </w:t>
      </w:r>
      <w:r>
        <w:rPr>
          <w:color w:val="231F20"/>
          <w:w w:val="105"/>
        </w:rPr>
        <w:t>City </w:t>
      </w:r>
      <w:r>
        <w:rPr>
          <w:color w:val="231F20"/>
          <w:spacing w:val="-3"/>
          <w:w w:val="105"/>
        </w:rPr>
        <w:t>(aproximadamente </w:t>
      </w:r>
      <w:r>
        <w:rPr>
          <w:color w:val="231F20"/>
          <w:w w:val="105"/>
        </w:rPr>
        <w:t>40%), decidió </w:t>
      </w:r>
      <w:r>
        <w:rPr>
          <w:color w:val="231F20"/>
          <w:spacing w:val="-4"/>
          <w:w w:val="105"/>
        </w:rPr>
        <w:t>volver. </w:t>
      </w:r>
      <w:r>
        <w:rPr>
          <w:color w:val="231F20"/>
          <w:w w:val="105"/>
        </w:rPr>
        <w:t>Allí se empleó por ocho meses con un </w:t>
      </w:r>
      <w:r>
        <w:rPr>
          <w:color w:val="231F20"/>
          <w:spacing w:val="-3"/>
          <w:w w:val="105"/>
        </w:rPr>
        <w:t>patrón puertorriqueño, </w:t>
      </w:r>
      <w:r>
        <w:rPr>
          <w:color w:val="231F20"/>
          <w:w w:val="105"/>
        </w:rPr>
        <w:t>con quien ya había </w:t>
      </w:r>
      <w:r>
        <w:rPr>
          <w:color w:val="231F20"/>
          <w:spacing w:val="-3"/>
          <w:w w:val="105"/>
        </w:rPr>
        <w:t>trabajado, </w:t>
      </w:r>
      <w:r>
        <w:rPr>
          <w:color w:val="231F20"/>
          <w:w w:val="105"/>
        </w:rPr>
        <w:t>y </w:t>
      </w:r>
      <w:r>
        <w:rPr>
          <w:color w:val="231F20"/>
          <w:spacing w:val="-2"/>
          <w:w w:val="105"/>
        </w:rPr>
        <w:t>estuvo </w:t>
      </w:r>
      <w:r>
        <w:rPr>
          <w:color w:val="231F20"/>
          <w:w w:val="105"/>
        </w:rPr>
        <w:t>como</w:t>
      </w:r>
      <w:r>
        <w:rPr>
          <w:color w:val="231F20"/>
          <w:spacing w:val="-12"/>
          <w:w w:val="105"/>
        </w:rPr>
        <w:t> </w:t>
      </w:r>
      <w:r>
        <w:rPr>
          <w:color w:val="231F20"/>
          <w:w w:val="105"/>
        </w:rPr>
        <w:t>empleado</w:t>
      </w:r>
      <w:r>
        <w:rPr>
          <w:color w:val="231F20"/>
          <w:spacing w:val="-12"/>
          <w:w w:val="105"/>
        </w:rPr>
        <w:t> </w:t>
      </w:r>
      <w:r>
        <w:rPr>
          <w:color w:val="231F20"/>
          <w:w w:val="105"/>
        </w:rPr>
        <w:t>hasta</w:t>
      </w:r>
      <w:r>
        <w:rPr>
          <w:color w:val="231F20"/>
          <w:spacing w:val="-12"/>
          <w:w w:val="105"/>
        </w:rPr>
        <w:t> </w:t>
      </w:r>
      <w:r>
        <w:rPr>
          <w:color w:val="231F20"/>
          <w:w w:val="105"/>
        </w:rPr>
        <w:t>que</w:t>
      </w:r>
      <w:r>
        <w:rPr>
          <w:color w:val="231F20"/>
          <w:spacing w:val="-12"/>
          <w:w w:val="105"/>
        </w:rPr>
        <w:t> </w:t>
      </w:r>
      <w:r>
        <w:rPr>
          <w:color w:val="231F20"/>
          <w:w w:val="105"/>
        </w:rPr>
        <w:t>decidió</w:t>
      </w:r>
      <w:r>
        <w:rPr>
          <w:color w:val="231F20"/>
          <w:spacing w:val="-12"/>
          <w:w w:val="105"/>
        </w:rPr>
        <w:t> </w:t>
      </w:r>
      <w:r>
        <w:rPr>
          <w:color w:val="231F20"/>
          <w:w w:val="105"/>
        </w:rPr>
        <w:t>volver</w:t>
      </w:r>
      <w:r>
        <w:rPr>
          <w:color w:val="231F20"/>
          <w:spacing w:val="-12"/>
          <w:w w:val="105"/>
        </w:rPr>
        <w:t> </w:t>
      </w:r>
      <w:r>
        <w:rPr>
          <w:color w:val="231F20"/>
          <w:w w:val="105"/>
        </w:rPr>
        <w:t>a</w:t>
      </w:r>
      <w:r>
        <w:rPr>
          <w:color w:val="231F20"/>
          <w:spacing w:val="-12"/>
          <w:w w:val="105"/>
        </w:rPr>
        <w:t> </w:t>
      </w:r>
      <w:r>
        <w:rPr>
          <w:color w:val="231F20"/>
          <w:w w:val="105"/>
        </w:rPr>
        <w:t>Nezahualcóyotl.</w:t>
      </w:r>
      <w:r>
        <w:rPr>
          <w:color w:val="231F20"/>
          <w:spacing w:val="-16"/>
          <w:w w:val="105"/>
        </w:rPr>
        <w:t> </w:t>
      </w:r>
      <w:r>
        <w:rPr>
          <w:color w:val="231F20"/>
          <w:w w:val="105"/>
        </w:rPr>
        <w:t>La</w:t>
      </w:r>
      <w:r>
        <w:rPr>
          <w:color w:val="231F20"/>
          <w:spacing w:val="-12"/>
          <w:w w:val="105"/>
        </w:rPr>
        <w:t> </w:t>
      </w:r>
      <w:r>
        <w:rPr>
          <w:color w:val="231F20"/>
          <w:w w:val="105"/>
        </w:rPr>
        <w:t>decisión de</w:t>
      </w:r>
      <w:r>
        <w:rPr>
          <w:color w:val="231F20"/>
          <w:spacing w:val="-6"/>
          <w:w w:val="105"/>
        </w:rPr>
        <w:t> </w:t>
      </w:r>
      <w:r>
        <w:rPr>
          <w:color w:val="231F20"/>
          <w:spacing w:val="-3"/>
          <w:w w:val="105"/>
        </w:rPr>
        <w:t>regresar</w:t>
      </w:r>
      <w:r>
        <w:rPr>
          <w:color w:val="231F20"/>
          <w:spacing w:val="-6"/>
          <w:w w:val="105"/>
        </w:rPr>
        <w:t> </w:t>
      </w:r>
      <w:r>
        <w:rPr>
          <w:color w:val="231F20"/>
          <w:w w:val="105"/>
        </w:rPr>
        <w:t>la</w:t>
      </w:r>
      <w:r>
        <w:rPr>
          <w:color w:val="231F20"/>
          <w:spacing w:val="-6"/>
          <w:w w:val="105"/>
        </w:rPr>
        <w:t> </w:t>
      </w:r>
      <w:r>
        <w:rPr>
          <w:color w:val="231F20"/>
          <w:w w:val="105"/>
        </w:rPr>
        <w:t>tomó</w:t>
      </w:r>
      <w:r>
        <w:rPr>
          <w:color w:val="231F20"/>
          <w:spacing w:val="-6"/>
          <w:w w:val="105"/>
        </w:rPr>
        <w:t> </w:t>
      </w:r>
      <w:r>
        <w:rPr>
          <w:color w:val="231F20"/>
          <w:w w:val="105"/>
        </w:rPr>
        <w:t>a</w:t>
      </w:r>
      <w:r>
        <w:rPr>
          <w:color w:val="231F20"/>
          <w:spacing w:val="-6"/>
          <w:w w:val="105"/>
        </w:rPr>
        <w:t> </w:t>
      </w:r>
      <w:r>
        <w:rPr>
          <w:color w:val="231F20"/>
          <w:w w:val="105"/>
        </w:rPr>
        <w:t>finales</w:t>
      </w:r>
      <w:r>
        <w:rPr>
          <w:color w:val="231F20"/>
          <w:spacing w:val="-6"/>
          <w:w w:val="105"/>
        </w:rPr>
        <w:t> </w:t>
      </w:r>
      <w:r>
        <w:rPr>
          <w:color w:val="231F20"/>
          <w:w w:val="105"/>
        </w:rPr>
        <w:t>del</w:t>
      </w:r>
      <w:r>
        <w:rPr>
          <w:color w:val="231F20"/>
          <w:spacing w:val="-6"/>
          <w:w w:val="105"/>
        </w:rPr>
        <w:t> </w:t>
      </w:r>
      <w:r>
        <w:rPr>
          <w:color w:val="231F20"/>
          <w:w w:val="105"/>
        </w:rPr>
        <w:t>año</w:t>
      </w:r>
      <w:r>
        <w:rPr>
          <w:color w:val="231F20"/>
          <w:spacing w:val="-6"/>
          <w:w w:val="105"/>
        </w:rPr>
        <w:t> </w:t>
      </w:r>
      <w:r>
        <w:rPr>
          <w:color w:val="231F20"/>
          <w:w w:val="105"/>
        </w:rPr>
        <w:t>2008,</w:t>
      </w:r>
      <w:r>
        <w:rPr>
          <w:color w:val="231F20"/>
          <w:spacing w:val="-13"/>
          <w:w w:val="105"/>
        </w:rPr>
        <w:t> </w:t>
      </w:r>
      <w:r>
        <w:rPr>
          <w:color w:val="231F20"/>
          <w:spacing w:val="-3"/>
          <w:w w:val="105"/>
        </w:rPr>
        <w:t>porque</w:t>
      </w:r>
      <w:r>
        <w:rPr>
          <w:color w:val="231F20"/>
          <w:spacing w:val="-6"/>
          <w:w w:val="105"/>
        </w:rPr>
        <w:t> </w:t>
      </w:r>
      <w:r>
        <w:rPr>
          <w:color w:val="231F20"/>
          <w:spacing w:val="-3"/>
          <w:w w:val="105"/>
        </w:rPr>
        <w:t>recibió</w:t>
      </w:r>
      <w:r>
        <w:rPr>
          <w:color w:val="231F20"/>
          <w:spacing w:val="-6"/>
          <w:w w:val="105"/>
        </w:rPr>
        <w:t> </w:t>
      </w:r>
      <w:r>
        <w:rPr>
          <w:color w:val="231F20"/>
          <w:w w:val="105"/>
        </w:rPr>
        <w:t>un</w:t>
      </w:r>
      <w:r>
        <w:rPr>
          <w:color w:val="231F20"/>
          <w:spacing w:val="-6"/>
          <w:w w:val="105"/>
        </w:rPr>
        <w:t> </w:t>
      </w:r>
      <w:r>
        <w:rPr>
          <w:color w:val="231F20"/>
          <w:w w:val="105"/>
        </w:rPr>
        <w:t>video</w:t>
      </w:r>
      <w:r>
        <w:rPr>
          <w:color w:val="231F20"/>
          <w:spacing w:val="-6"/>
          <w:w w:val="105"/>
        </w:rPr>
        <w:t> </w:t>
      </w:r>
      <w:r>
        <w:rPr>
          <w:color w:val="231F20"/>
          <w:w w:val="105"/>
        </w:rPr>
        <w:t>don- de</w:t>
      </w:r>
      <w:r>
        <w:rPr>
          <w:color w:val="231F20"/>
          <w:spacing w:val="-31"/>
          <w:w w:val="105"/>
        </w:rPr>
        <w:t> </w:t>
      </w:r>
      <w:r>
        <w:rPr>
          <w:color w:val="231F20"/>
          <w:w w:val="105"/>
        </w:rPr>
        <w:t>sus</w:t>
      </w:r>
      <w:r>
        <w:rPr>
          <w:color w:val="231F20"/>
          <w:spacing w:val="-31"/>
          <w:w w:val="105"/>
        </w:rPr>
        <w:t> </w:t>
      </w:r>
      <w:r>
        <w:rPr>
          <w:color w:val="231F20"/>
          <w:spacing w:val="-3"/>
          <w:w w:val="105"/>
        </w:rPr>
        <w:t>padres</w:t>
      </w:r>
      <w:r>
        <w:rPr>
          <w:color w:val="231F20"/>
          <w:spacing w:val="-31"/>
          <w:w w:val="105"/>
        </w:rPr>
        <w:t> </w:t>
      </w:r>
      <w:r>
        <w:rPr>
          <w:color w:val="231F20"/>
          <w:w w:val="105"/>
        </w:rPr>
        <w:t>le</w:t>
      </w:r>
      <w:r>
        <w:rPr>
          <w:color w:val="231F20"/>
          <w:spacing w:val="-31"/>
          <w:w w:val="105"/>
        </w:rPr>
        <w:t> </w:t>
      </w:r>
      <w:r>
        <w:rPr>
          <w:color w:val="231F20"/>
          <w:spacing w:val="-3"/>
          <w:w w:val="105"/>
        </w:rPr>
        <w:t>mostraron</w:t>
      </w:r>
      <w:r>
        <w:rPr>
          <w:color w:val="231F20"/>
          <w:spacing w:val="-31"/>
          <w:w w:val="105"/>
        </w:rPr>
        <w:t> </w:t>
      </w:r>
      <w:r>
        <w:rPr>
          <w:color w:val="231F20"/>
          <w:w w:val="105"/>
        </w:rPr>
        <w:t>la</w:t>
      </w:r>
      <w:r>
        <w:rPr>
          <w:color w:val="231F20"/>
          <w:spacing w:val="-31"/>
          <w:w w:val="105"/>
        </w:rPr>
        <w:t> </w:t>
      </w:r>
      <w:r>
        <w:rPr>
          <w:color w:val="231F20"/>
          <w:w w:val="105"/>
        </w:rPr>
        <w:t>casa</w:t>
      </w:r>
      <w:r>
        <w:rPr>
          <w:color w:val="231F20"/>
          <w:spacing w:val="-31"/>
          <w:w w:val="105"/>
        </w:rPr>
        <w:t> </w:t>
      </w:r>
      <w:r>
        <w:rPr>
          <w:color w:val="231F20"/>
          <w:w w:val="105"/>
        </w:rPr>
        <w:t>casi</w:t>
      </w:r>
      <w:r>
        <w:rPr>
          <w:color w:val="231F20"/>
          <w:spacing w:val="-31"/>
          <w:w w:val="105"/>
        </w:rPr>
        <w:t> </w:t>
      </w:r>
      <w:r>
        <w:rPr>
          <w:color w:val="231F20"/>
          <w:w w:val="105"/>
        </w:rPr>
        <w:t>concluida</w:t>
      </w:r>
      <w:r>
        <w:rPr>
          <w:color w:val="231F20"/>
          <w:spacing w:val="-31"/>
          <w:w w:val="105"/>
        </w:rPr>
        <w:t> </w:t>
      </w:r>
      <w:r>
        <w:rPr>
          <w:color w:val="231F20"/>
          <w:w w:val="105"/>
        </w:rPr>
        <w:t>y</w:t>
      </w:r>
      <w:r>
        <w:rPr>
          <w:color w:val="231F20"/>
          <w:spacing w:val="-31"/>
          <w:w w:val="105"/>
        </w:rPr>
        <w:t> </w:t>
      </w:r>
      <w:r>
        <w:rPr>
          <w:color w:val="231F20"/>
          <w:w w:val="105"/>
        </w:rPr>
        <w:t>entonces</w:t>
      </w:r>
      <w:r>
        <w:rPr>
          <w:color w:val="231F20"/>
          <w:spacing w:val="-31"/>
          <w:w w:val="105"/>
        </w:rPr>
        <w:t> </w:t>
      </w:r>
      <w:r>
        <w:rPr>
          <w:color w:val="231F20"/>
          <w:w w:val="105"/>
        </w:rPr>
        <w:t>eso</w:t>
      </w:r>
      <w:r>
        <w:rPr>
          <w:color w:val="231F20"/>
          <w:spacing w:val="-31"/>
          <w:w w:val="105"/>
        </w:rPr>
        <w:t> </w:t>
      </w:r>
      <w:r>
        <w:rPr>
          <w:color w:val="231F20"/>
          <w:w w:val="105"/>
        </w:rPr>
        <w:t>lo</w:t>
      </w:r>
      <w:r>
        <w:rPr>
          <w:color w:val="231F20"/>
          <w:spacing w:val="-31"/>
          <w:w w:val="105"/>
        </w:rPr>
        <w:t> </w:t>
      </w:r>
      <w:r>
        <w:rPr>
          <w:color w:val="231F20"/>
          <w:spacing w:val="-2"/>
          <w:w w:val="105"/>
        </w:rPr>
        <w:t>motivó </w:t>
      </w:r>
      <w:r>
        <w:rPr>
          <w:color w:val="231F20"/>
          <w:w w:val="105"/>
        </w:rPr>
        <w:t>a</w:t>
      </w:r>
      <w:r>
        <w:rPr>
          <w:color w:val="231F20"/>
          <w:spacing w:val="-6"/>
          <w:w w:val="105"/>
        </w:rPr>
        <w:t> </w:t>
      </w:r>
      <w:r>
        <w:rPr>
          <w:color w:val="231F20"/>
          <w:spacing w:val="-4"/>
          <w:w w:val="105"/>
        </w:rPr>
        <w:t>volver,</w:t>
      </w:r>
      <w:r>
        <w:rPr>
          <w:color w:val="231F20"/>
          <w:spacing w:val="-11"/>
          <w:w w:val="105"/>
        </w:rPr>
        <w:t> </w:t>
      </w:r>
      <w:r>
        <w:rPr>
          <w:color w:val="231F20"/>
          <w:w w:val="105"/>
        </w:rPr>
        <w:t>pues</w:t>
      </w:r>
      <w:r>
        <w:rPr>
          <w:color w:val="231F20"/>
          <w:spacing w:val="-6"/>
          <w:w w:val="105"/>
        </w:rPr>
        <w:t> </w:t>
      </w:r>
      <w:r>
        <w:rPr>
          <w:color w:val="231F20"/>
          <w:w w:val="105"/>
        </w:rPr>
        <w:t>había</w:t>
      </w:r>
      <w:r>
        <w:rPr>
          <w:color w:val="231F20"/>
          <w:spacing w:val="-6"/>
          <w:w w:val="105"/>
        </w:rPr>
        <w:t> </w:t>
      </w:r>
      <w:r>
        <w:rPr>
          <w:color w:val="231F20"/>
          <w:w w:val="105"/>
        </w:rPr>
        <w:t>alcanzado</w:t>
      </w:r>
      <w:r>
        <w:rPr>
          <w:color w:val="231F20"/>
          <w:spacing w:val="-6"/>
          <w:w w:val="105"/>
        </w:rPr>
        <w:t> </w:t>
      </w:r>
      <w:r>
        <w:rPr>
          <w:color w:val="231F20"/>
          <w:w w:val="105"/>
        </w:rPr>
        <w:t>la</w:t>
      </w:r>
      <w:r>
        <w:rPr>
          <w:color w:val="231F20"/>
          <w:spacing w:val="-6"/>
          <w:w w:val="105"/>
        </w:rPr>
        <w:t> </w:t>
      </w:r>
      <w:r>
        <w:rPr>
          <w:color w:val="231F20"/>
          <w:w w:val="105"/>
        </w:rPr>
        <w:t>meta</w:t>
      </w:r>
      <w:r>
        <w:rPr>
          <w:color w:val="231F20"/>
          <w:spacing w:val="-6"/>
          <w:w w:val="105"/>
        </w:rPr>
        <w:t> </w:t>
      </w:r>
      <w:r>
        <w:rPr>
          <w:color w:val="231F20"/>
          <w:spacing w:val="-3"/>
          <w:w w:val="105"/>
        </w:rPr>
        <w:t>propuesta.</w:t>
      </w:r>
      <w:r>
        <w:rPr>
          <w:color w:val="231F20"/>
          <w:spacing w:val="-11"/>
          <w:w w:val="105"/>
        </w:rPr>
        <w:t> </w:t>
      </w:r>
      <w:r>
        <w:rPr>
          <w:color w:val="231F20"/>
          <w:w w:val="105"/>
        </w:rPr>
        <w:t>De</w:t>
      </w:r>
      <w:r>
        <w:rPr>
          <w:color w:val="231F20"/>
          <w:spacing w:val="-6"/>
          <w:w w:val="105"/>
        </w:rPr>
        <w:t> </w:t>
      </w:r>
      <w:r>
        <w:rPr>
          <w:color w:val="231F20"/>
          <w:w w:val="105"/>
        </w:rPr>
        <w:t>forma</w:t>
      </w:r>
      <w:r>
        <w:rPr>
          <w:color w:val="231F20"/>
          <w:spacing w:val="-6"/>
          <w:w w:val="105"/>
        </w:rPr>
        <w:t> </w:t>
      </w:r>
      <w:r>
        <w:rPr>
          <w:color w:val="231F20"/>
          <w:w w:val="105"/>
        </w:rPr>
        <w:t>paralela,</w:t>
      </w:r>
      <w:r>
        <w:rPr>
          <w:color w:val="231F20"/>
          <w:spacing w:val="-11"/>
          <w:w w:val="105"/>
        </w:rPr>
        <w:t> </w:t>
      </w:r>
      <w:r>
        <w:rPr>
          <w:color w:val="231F20"/>
          <w:w w:val="105"/>
        </w:rPr>
        <w:t>la muerte</w:t>
      </w:r>
      <w:r>
        <w:rPr>
          <w:color w:val="231F20"/>
          <w:spacing w:val="-22"/>
          <w:w w:val="105"/>
        </w:rPr>
        <w:t> </w:t>
      </w:r>
      <w:r>
        <w:rPr>
          <w:color w:val="231F20"/>
          <w:w w:val="105"/>
        </w:rPr>
        <w:t>de</w:t>
      </w:r>
      <w:r>
        <w:rPr>
          <w:color w:val="231F20"/>
          <w:spacing w:val="-22"/>
          <w:w w:val="105"/>
        </w:rPr>
        <w:t> </w:t>
      </w:r>
      <w:r>
        <w:rPr>
          <w:color w:val="231F20"/>
          <w:w w:val="105"/>
        </w:rPr>
        <w:t>una</w:t>
      </w:r>
      <w:r>
        <w:rPr>
          <w:color w:val="231F20"/>
          <w:spacing w:val="-22"/>
          <w:w w:val="105"/>
        </w:rPr>
        <w:t> </w:t>
      </w:r>
      <w:r>
        <w:rPr>
          <w:color w:val="231F20"/>
          <w:w w:val="105"/>
        </w:rPr>
        <w:t>sobrina</w:t>
      </w:r>
      <w:r>
        <w:rPr>
          <w:color w:val="231F20"/>
          <w:spacing w:val="-22"/>
          <w:w w:val="105"/>
        </w:rPr>
        <w:t> </w:t>
      </w:r>
      <w:r>
        <w:rPr>
          <w:color w:val="231F20"/>
          <w:w w:val="105"/>
        </w:rPr>
        <w:t>en</w:t>
      </w:r>
      <w:r>
        <w:rPr>
          <w:color w:val="231F20"/>
          <w:spacing w:val="-22"/>
          <w:w w:val="105"/>
        </w:rPr>
        <w:t> </w:t>
      </w:r>
      <w:r>
        <w:rPr>
          <w:color w:val="231F20"/>
          <w:w w:val="105"/>
        </w:rPr>
        <w:t>Nueva</w:t>
      </w:r>
      <w:r>
        <w:rPr>
          <w:color w:val="231F20"/>
          <w:spacing w:val="-26"/>
          <w:w w:val="105"/>
        </w:rPr>
        <w:t> </w:t>
      </w:r>
      <w:r>
        <w:rPr>
          <w:color w:val="231F20"/>
          <w:spacing w:val="-6"/>
          <w:w w:val="105"/>
        </w:rPr>
        <w:t>York</w:t>
      </w:r>
      <w:r>
        <w:rPr>
          <w:color w:val="231F20"/>
          <w:spacing w:val="-22"/>
          <w:w w:val="105"/>
        </w:rPr>
        <w:t> </w:t>
      </w:r>
      <w:r>
        <w:rPr>
          <w:color w:val="231F20"/>
          <w:w w:val="105"/>
        </w:rPr>
        <w:t>le</w:t>
      </w:r>
      <w:r>
        <w:rPr>
          <w:color w:val="231F20"/>
          <w:spacing w:val="-22"/>
          <w:w w:val="105"/>
        </w:rPr>
        <w:t> </w:t>
      </w:r>
      <w:r>
        <w:rPr>
          <w:color w:val="231F20"/>
          <w:w w:val="105"/>
        </w:rPr>
        <w:t>hizo</w:t>
      </w:r>
      <w:r>
        <w:rPr>
          <w:color w:val="231F20"/>
          <w:spacing w:val="-22"/>
          <w:w w:val="105"/>
        </w:rPr>
        <w:t> </w:t>
      </w:r>
      <w:r>
        <w:rPr>
          <w:color w:val="231F20"/>
          <w:spacing w:val="-3"/>
          <w:w w:val="105"/>
        </w:rPr>
        <w:t>reflexionar</w:t>
      </w:r>
      <w:r>
        <w:rPr>
          <w:color w:val="231F20"/>
          <w:spacing w:val="-22"/>
          <w:w w:val="105"/>
        </w:rPr>
        <w:t> </w:t>
      </w:r>
      <w:r>
        <w:rPr>
          <w:color w:val="231F20"/>
          <w:spacing w:val="-3"/>
          <w:w w:val="105"/>
        </w:rPr>
        <w:t>sobre</w:t>
      </w:r>
      <w:r>
        <w:rPr>
          <w:color w:val="231F20"/>
          <w:spacing w:val="-22"/>
          <w:w w:val="105"/>
        </w:rPr>
        <w:t> </w:t>
      </w:r>
      <w:r>
        <w:rPr>
          <w:color w:val="231F20"/>
          <w:w w:val="105"/>
        </w:rPr>
        <w:t>el</w:t>
      </w:r>
      <w:r>
        <w:rPr>
          <w:color w:val="231F20"/>
          <w:spacing w:val="-22"/>
          <w:w w:val="105"/>
        </w:rPr>
        <w:t> </w:t>
      </w:r>
      <w:r>
        <w:rPr>
          <w:color w:val="231F20"/>
          <w:w w:val="105"/>
        </w:rPr>
        <w:t>momen- to</w:t>
      </w:r>
      <w:r>
        <w:rPr>
          <w:color w:val="231F20"/>
          <w:spacing w:val="-22"/>
          <w:w w:val="105"/>
        </w:rPr>
        <w:t> </w:t>
      </w:r>
      <w:r>
        <w:rPr>
          <w:color w:val="231F20"/>
          <w:w w:val="105"/>
        </w:rPr>
        <w:t>de</w:t>
      </w:r>
      <w:r>
        <w:rPr>
          <w:color w:val="231F20"/>
          <w:spacing w:val="-22"/>
          <w:w w:val="105"/>
        </w:rPr>
        <w:t> </w:t>
      </w:r>
      <w:r>
        <w:rPr>
          <w:color w:val="231F20"/>
          <w:w w:val="105"/>
        </w:rPr>
        <w:t>su</w:t>
      </w:r>
      <w:r>
        <w:rPr>
          <w:color w:val="231F20"/>
          <w:spacing w:val="-22"/>
          <w:w w:val="105"/>
        </w:rPr>
        <w:t> </w:t>
      </w:r>
      <w:r>
        <w:rPr>
          <w:color w:val="231F20"/>
          <w:spacing w:val="-3"/>
          <w:w w:val="105"/>
        </w:rPr>
        <w:t>regreso.</w:t>
      </w:r>
      <w:r>
        <w:rPr>
          <w:color w:val="231F20"/>
          <w:spacing w:val="-31"/>
          <w:w w:val="105"/>
        </w:rPr>
        <w:t> </w:t>
      </w:r>
      <w:r>
        <w:rPr>
          <w:color w:val="231F20"/>
          <w:w w:val="105"/>
        </w:rPr>
        <w:t>Así</w:t>
      </w:r>
      <w:r>
        <w:rPr>
          <w:color w:val="231F20"/>
          <w:spacing w:val="-22"/>
          <w:w w:val="105"/>
        </w:rPr>
        <w:t> </w:t>
      </w:r>
      <w:r>
        <w:rPr>
          <w:color w:val="231F20"/>
          <w:w w:val="105"/>
        </w:rPr>
        <w:t>tomó</w:t>
      </w:r>
      <w:r>
        <w:rPr>
          <w:color w:val="231F20"/>
          <w:spacing w:val="-22"/>
          <w:w w:val="105"/>
        </w:rPr>
        <w:t> </w:t>
      </w:r>
      <w:r>
        <w:rPr>
          <w:color w:val="231F20"/>
          <w:w w:val="105"/>
        </w:rPr>
        <w:t>la</w:t>
      </w:r>
      <w:r>
        <w:rPr>
          <w:color w:val="231F20"/>
          <w:spacing w:val="-22"/>
          <w:w w:val="105"/>
        </w:rPr>
        <w:t> </w:t>
      </w:r>
      <w:r>
        <w:rPr>
          <w:color w:val="231F20"/>
          <w:w w:val="105"/>
        </w:rPr>
        <w:t>decisión</w:t>
      </w:r>
      <w:r>
        <w:rPr>
          <w:color w:val="231F20"/>
          <w:spacing w:val="-22"/>
          <w:w w:val="105"/>
        </w:rPr>
        <w:t> </w:t>
      </w:r>
      <w:r>
        <w:rPr>
          <w:color w:val="231F20"/>
          <w:w w:val="105"/>
        </w:rPr>
        <w:t>de</w:t>
      </w:r>
      <w:r>
        <w:rPr>
          <w:color w:val="231F20"/>
          <w:spacing w:val="-22"/>
          <w:w w:val="105"/>
        </w:rPr>
        <w:t> </w:t>
      </w:r>
      <w:r>
        <w:rPr>
          <w:color w:val="231F20"/>
          <w:spacing w:val="-4"/>
          <w:w w:val="105"/>
        </w:rPr>
        <w:t>volver,</w:t>
      </w:r>
      <w:r>
        <w:rPr>
          <w:color w:val="231F20"/>
          <w:spacing w:val="-27"/>
          <w:w w:val="105"/>
        </w:rPr>
        <w:t> </w:t>
      </w:r>
      <w:r>
        <w:rPr>
          <w:color w:val="231F20"/>
          <w:w w:val="105"/>
        </w:rPr>
        <w:t>trayendo</w:t>
      </w:r>
      <w:r>
        <w:rPr>
          <w:color w:val="231F20"/>
          <w:spacing w:val="-22"/>
          <w:w w:val="105"/>
        </w:rPr>
        <w:t> </w:t>
      </w:r>
      <w:r>
        <w:rPr>
          <w:color w:val="231F20"/>
          <w:w w:val="105"/>
        </w:rPr>
        <w:t>consigo</w:t>
      </w:r>
      <w:r>
        <w:rPr>
          <w:color w:val="231F20"/>
          <w:spacing w:val="-22"/>
          <w:w w:val="105"/>
        </w:rPr>
        <w:t> </w:t>
      </w:r>
      <w:r>
        <w:rPr>
          <w:color w:val="231F20"/>
          <w:spacing w:val="-3"/>
          <w:w w:val="105"/>
        </w:rPr>
        <w:t>ahorros </w:t>
      </w:r>
      <w:r>
        <w:rPr>
          <w:color w:val="231F20"/>
          <w:w w:val="105"/>
        </w:rPr>
        <w:t>y el plan de establecer un negocio. </w:t>
      </w:r>
      <w:r>
        <w:rPr>
          <w:color w:val="231F20"/>
          <w:spacing w:val="-3"/>
          <w:w w:val="105"/>
        </w:rPr>
        <w:t>Regresó </w:t>
      </w:r>
      <w:r>
        <w:rPr>
          <w:color w:val="231F20"/>
          <w:w w:val="105"/>
        </w:rPr>
        <w:t>a Nezahualcóyotl a princi- pios</w:t>
      </w:r>
      <w:r>
        <w:rPr>
          <w:color w:val="231F20"/>
          <w:spacing w:val="-14"/>
          <w:w w:val="105"/>
        </w:rPr>
        <w:t> </w:t>
      </w:r>
      <w:r>
        <w:rPr>
          <w:color w:val="231F20"/>
          <w:w w:val="105"/>
        </w:rPr>
        <w:t>del</w:t>
      </w:r>
      <w:r>
        <w:rPr>
          <w:color w:val="231F20"/>
          <w:spacing w:val="-14"/>
          <w:w w:val="105"/>
        </w:rPr>
        <w:t> </w:t>
      </w:r>
      <w:r>
        <w:rPr>
          <w:color w:val="231F20"/>
          <w:w w:val="105"/>
        </w:rPr>
        <w:t>mes</w:t>
      </w:r>
      <w:r>
        <w:rPr>
          <w:color w:val="231F20"/>
          <w:spacing w:val="-14"/>
          <w:w w:val="105"/>
        </w:rPr>
        <w:t> </w:t>
      </w:r>
      <w:r>
        <w:rPr>
          <w:color w:val="231F20"/>
          <w:w w:val="105"/>
        </w:rPr>
        <w:t>de</w:t>
      </w:r>
      <w:r>
        <w:rPr>
          <w:color w:val="231F20"/>
          <w:spacing w:val="-14"/>
          <w:w w:val="105"/>
        </w:rPr>
        <w:t> </w:t>
      </w:r>
      <w:r>
        <w:rPr>
          <w:color w:val="231F20"/>
          <w:spacing w:val="-3"/>
          <w:w w:val="105"/>
        </w:rPr>
        <w:t>enero</w:t>
      </w:r>
      <w:r>
        <w:rPr>
          <w:color w:val="231F20"/>
          <w:spacing w:val="-14"/>
          <w:w w:val="105"/>
        </w:rPr>
        <w:t> </w:t>
      </w:r>
      <w:r>
        <w:rPr>
          <w:color w:val="231F20"/>
          <w:w w:val="105"/>
        </w:rPr>
        <w:t>de</w:t>
      </w:r>
      <w:r>
        <w:rPr>
          <w:color w:val="231F20"/>
          <w:spacing w:val="-14"/>
          <w:w w:val="105"/>
        </w:rPr>
        <w:t> </w:t>
      </w:r>
      <w:r>
        <w:rPr>
          <w:color w:val="231F20"/>
          <w:w w:val="105"/>
        </w:rPr>
        <w:t>2009</w:t>
      </w:r>
      <w:r>
        <w:rPr>
          <w:color w:val="231F20"/>
          <w:spacing w:val="-14"/>
          <w:w w:val="105"/>
        </w:rPr>
        <w:t> </w:t>
      </w:r>
      <w:r>
        <w:rPr>
          <w:color w:val="231F20"/>
          <w:w w:val="105"/>
        </w:rPr>
        <w:t>y</w:t>
      </w:r>
      <w:r>
        <w:rPr>
          <w:color w:val="231F20"/>
          <w:spacing w:val="-14"/>
          <w:w w:val="105"/>
        </w:rPr>
        <w:t> </w:t>
      </w:r>
      <w:r>
        <w:rPr>
          <w:color w:val="231F20"/>
          <w:w w:val="105"/>
        </w:rPr>
        <w:t>estuvo</w:t>
      </w:r>
      <w:r>
        <w:rPr>
          <w:color w:val="231F20"/>
          <w:spacing w:val="-14"/>
          <w:w w:val="105"/>
        </w:rPr>
        <w:t> </w:t>
      </w:r>
      <w:r>
        <w:rPr>
          <w:color w:val="231F20"/>
          <w:w w:val="105"/>
        </w:rPr>
        <w:t>un</w:t>
      </w:r>
      <w:r>
        <w:rPr>
          <w:color w:val="231F20"/>
          <w:spacing w:val="-14"/>
          <w:w w:val="105"/>
        </w:rPr>
        <w:t> </w:t>
      </w:r>
      <w:r>
        <w:rPr>
          <w:color w:val="231F20"/>
          <w:w w:val="105"/>
        </w:rPr>
        <w:t>mes</w:t>
      </w:r>
      <w:r>
        <w:rPr>
          <w:color w:val="231F20"/>
          <w:spacing w:val="-14"/>
          <w:w w:val="105"/>
        </w:rPr>
        <w:t> </w:t>
      </w:r>
      <w:r>
        <w:rPr>
          <w:color w:val="231F20"/>
          <w:w w:val="105"/>
        </w:rPr>
        <w:t>y</w:t>
      </w:r>
      <w:r>
        <w:rPr>
          <w:color w:val="231F20"/>
          <w:spacing w:val="-14"/>
          <w:w w:val="105"/>
        </w:rPr>
        <w:t> </w:t>
      </w:r>
      <w:r>
        <w:rPr>
          <w:color w:val="231F20"/>
          <w:w w:val="105"/>
        </w:rPr>
        <w:t>medio</w:t>
      </w:r>
      <w:r>
        <w:rPr>
          <w:color w:val="231F20"/>
          <w:spacing w:val="-14"/>
          <w:w w:val="105"/>
        </w:rPr>
        <w:t> </w:t>
      </w:r>
      <w:r>
        <w:rPr>
          <w:color w:val="231F20"/>
          <w:w w:val="105"/>
        </w:rPr>
        <w:t>sin</w:t>
      </w:r>
      <w:r>
        <w:rPr>
          <w:color w:val="231F20"/>
          <w:spacing w:val="-14"/>
          <w:w w:val="105"/>
        </w:rPr>
        <w:t> </w:t>
      </w:r>
      <w:r>
        <w:rPr>
          <w:color w:val="231F20"/>
          <w:w w:val="105"/>
        </w:rPr>
        <w:t>trabajar</w:t>
      </w:r>
      <w:r>
        <w:rPr>
          <w:color w:val="231F20"/>
          <w:spacing w:val="-14"/>
          <w:w w:val="105"/>
        </w:rPr>
        <w:t> </w:t>
      </w:r>
      <w:r>
        <w:rPr>
          <w:color w:val="231F20"/>
          <w:w w:val="105"/>
        </w:rPr>
        <w:t>(por decisión </w:t>
      </w:r>
      <w:r>
        <w:rPr>
          <w:color w:val="231F20"/>
          <w:spacing w:val="-3"/>
          <w:w w:val="105"/>
        </w:rPr>
        <w:t>propia) </w:t>
      </w:r>
      <w:r>
        <w:rPr>
          <w:color w:val="231F20"/>
          <w:w w:val="105"/>
        </w:rPr>
        <w:t>hasta que finalmente </w:t>
      </w:r>
      <w:r>
        <w:rPr>
          <w:color w:val="231F20"/>
          <w:spacing w:val="-3"/>
          <w:w w:val="105"/>
        </w:rPr>
        <w:t>ingresó </w:t>
      </w:r>
      <w:r>
        <w:rPr>
          <w:color w:val="231F20"/>
          <w:w w:val="105"/>
        </w:rPr>
        <w:t>a la misma compañía de embutidos,</w:t>
      </w:r>
      <w:r>
        <w:rPr>
          <w:color w:val="231F20"/>
          <w:spacing w:val="-27"/>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puesto</w:t>
      </w:r>
      <w:r>
        <w:rPr>
          <w:color w:val="231F20"/>
          <w:spacing w:val="-22"/>
          <w:w w:val="105"/>
        </w:rPr>
        <w:t> </w:t>
      </w:r>
      <w:r>
        <w:rPr>
          <w:color w:val="231F20"/>
          <w:w w:val="105"/>
        </w:rPr>
        <w:t>de</w:t>
      </w:r>
      <w:r>
        <w:rPr>
          <w:color w:val="231F20"/>
          <w:spacing w:val="-22"/>
          <w:w w:val="105"/>
        </w:rPr>
        <w:t> </w:t>
      </w:r>
      <w:r>
        <w:rPr>
          <w:color w:val="231F20"/>
          <w:spacing w:val="-3"/>
          <w:w w:val="105"/>
        </w:rPr>
        <w:t>obrero</w:t>
      </w:r>
      <w:r>
        <w:rPr>
          <w:color w:val="231F20"/>
          <w:spacing w:val="-22"/>
          <w:w w:val="105"/>
        </w:rPr>
        <w:t> </w:t>
      </w:r>
      <w:r>
        <w:rPr>
          <w:color w:val="231F20"/>
          <w:w w:val="105"/>
        </w:rPr>
        <w:t>general,</w:t>
      </w:r>
      <w:r>
        <w:rPr>
          <w:color w:val="231F20"/>
          <w:spacing w:val="-27"/>
          <w:w w:val="105"/>
        </w:rPr>
        <w:t> </w:t>
      </w:r>
      <w:r>
        <w:rPr>
          <w:color w:val="231F20"/>
          <w:w w:val="105"/>
        </w:rPr>
        <w:t>el</w:t>
      </w:r>
      <w:r>
        <w:rPr>
          <w:color w:val="231F20"/>
          <w:spacing w:val="-22"/>
          <w:w w:val="105"/>
        </w:rPr>
        <w:t> </w:t>
      </w:r>
      <w:r>
        <w:rPr>
          <w:color w:val="231F20"/>
          <w:w w:val="105"/>
        </w:rPr>
        <w:t>mismo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desem- peñaba</w:t>
      </w:r>
      <w:r>
        <w:rPr>
          <w:color w:val="231F20"/>
          <w:spacing w:val="-31"/>
          <w:w w:val="105"/>
        </w:rPr>
        <w:t> </w:t>
      </w:r>
      <w:r>
        <w:rPr>
          <w:color w:val="231F20"/>
          <w:w w:val="105"/>
        </w:rPr>
        <w:t>antes</w:t>
      </w:r>
      <w:r>
        <w:rPr>
          <w:color w:val="231F20"/>
          <w:spacing w:val="-31"/>
          <w:w w:val="105"/>
        </w:rPr>
        <w:t> </w:t>
      </w:r>
      <w:r>
        <w:rPr>
          <w:color w:val="231F20"/>
          <w:w w:val="105"/>
        </w:rPr>
        <w:t>de</w:t>
      </w:r>
      <w:r>
        <w:rPr>
          <w:color w:val="231F20"/>
          <w:spacing w:val="-31"/>
          <w:w w:val="105"/>
        </w:rPr>
        <w:t> </w:t>
      </w:r>
      <w:r>
        <w:rPr>
          <w:color w:val="231F20"/>
          <w:w w:val="105"/>
        </w:rPr>
        <w:t>viajar</w:t>
      </w:r>
      <w:r>
        <w:rPr>
          <w:color w:val="231F20"/>
          <w:spacing w:val="-31"/>
          <w:w w:val="105"/>
        </w:rPr>
        <w:t> </w:t>
      </w:r>
      <w:r>
        <w:rPr>
          <w:color w:val="231F20"/>
          <w:w w:val="105"/>
        </w:rPr>
        <w:t>a</w:t>
      </w:r>
      <w:r>
        <w:rPr>
          <w:color w:val="231F20"/>
          <w:spacing w:val="-31"/>
          <w:w w:val="105"/>
        </w:rPr>
        <w:t> </w:t>
      </w:r>
      <w:r>
        <w:rPr>
          <w:color w:val="231F20"/>
          <w:w w:val="105"/>
        </w:rPr>
        <w:t>Nueva</w:t>
      </w:r>
      <w:r>
        <w:rPr>
          <w:color w:val="231F20"/>
          <w:spacing w:val="-34"/>
          <w:w w:val="105"/>
        </w:rPr>
        <w:t> </w:t>
      </w:r>
      <w:r>
        <w:rPr>
          <w:color w:val="231F20"/>
          <w:spacing w:val="-6"/>
          <w:w w:val="105"/>
        </w:rPr>
        <w:t>York.</w:t>
      </w:r>
    </w:p>
    <w:p>
      <w:pPr>
        <w:pStyle w:val="BodyText"/>
        <w:spacing w:line="261" w:lineRule="auto" w:before="1"/>
        <w:ind w:left="1837" w:right="1721" w:firstLine="567"/>
        <w:jc w:val="both"/>
      </w:pPr>
      <w:r>
        <w:rPr>
          <w:color w:val="231F20"/>
          <w:w w:val="105"/>
        </w:rPr>
        <w:t>Luis</w:t>
      </w:r>
      <w:r>
        <w:rPr>
          <w:color w:val="231F20"/>
          <w:spacing w:val="-15"/>
          <w:w w:val="105"/>
        </w:rPr>
        <w:t> </w:t>
      </w:r>
      <w:r>
        <w:rPr>
          <w:color w:val="231F20"/>
          <w:w w:val="105"/>
        </w:rPr>
        <w:t>fue</w:t>
      </w:r>
      <w:r>
        <w:rPr>
          <w:color w:val="231F20"/>
          <w:spacing w:val="-15"/>
          <w:w w:val="105"/>
        </w:rPr>
        <w:t> </w:t>
      </w:r>
      <w:r>
        <w:rPr>
          <w:color w:val="231F20"/>
          <w:w w:val="105"/>
        </w:rPr>
        <w:t>entrevistado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mes</w:t>
      </w:r>
      <w:r>
        <w:rPr>
          <w:color w:val="231F20"/>
          <w:spacing w:val="-15"/>
          <w:w w:val="105"/>
        </w:rPr>
        <w:t> </w:t>
      </w:r>
      <w:r>
        <w:rPr>
          <w:color w:val="231F20"/>
          <w:w w:val="105"/>
        </w:rPr>
        <w:t>de</w:t>
      </w:r>
      <w:r>
        <w:rPr>
          <w:color w:val="231F20"/>
          <w:spacing w:val="-15"/>
          <w:w w:val="105"/>
        </w:rPr>
        <w:t> </w:t>
      </w:r>
      <w:r>
        <w:rPr>
          <w:color w:val="231F20"/>
          <w:w w:val="105"/>
        </w:rPr>
        <w:t>febrero</w:t>
      </w:r>
      <w:r>
        <w:rPr>
          <w:color w:val="231F20"/>
          <w:spacing w:val="-15"/>
          <w:w w:val="105"/>
        </w:rPr>
        <w:t> </w:t>
      </w:r>
      <w:r>
        <w:rPr>
          <w:color w:val="231F20"/>
          <w:w w:val="105"/>
        </w:rPr>
        <w:t>de</w:t>
      </w:r>
      <w:r>
        <w:rPr>
          <w:color w:val="231F20"/>
          <w:spacing w:val="-15"/>
          <w:w w:val="105"/>
        </w:rPr>
        <w:t> </w:t>
      </w:r>
      <w:r>
        <w:rPr>
          <w:color w:val="231F20"/>
          <w:w w:val="105"/>
        </w:rPr>
        <w:t>2011,</w:t>
      </w:r>
      <w:r>
        <w:rPr>
          <w:color w:val="231F20"/>
          <w:spacing w:val="-20"/>
          <w:w w:val="105"/>
        </w:rPr>
        <w:t> </w:t>
      </w:r>
      <w:r>
        <w:rPr>
          <w:color w:val="231F20"/>
          <w:w w:val="105"/>
        </w:rPr>
        <w:t>entonces</w:t>
      </w:r>
      <w:r>
        <w:rPr>
          <w:color w:val="231F20"/>
          <w:spacing w:val="-15"/>
          <w:w w:val="105"/>
        </w:rPr>
        <w:t> </w:t>
      </w:r>
      <w:r>
        <w:rPr>
          <w:color w:val="231F20"/>
          <w:w w:val="105"/>
        </w:rPr>
        <w:t>tenía dos años y un mes de haber retornado a Nezahualcóyotl, y estaba ha- ciendo</w:t>
      </w:r>
      <w:r>
        <w:rPr>
          <w:color w:val="231F20"/>
          <w:spacing w:val="-7"/>
          <w:w w:val="105"/>
        </w:rPr>
        <w:t> </w:t>
      </w:r>
      <w:r>
        <w:rPr>
          <w:color w:val="231F20"/>
          <w:w w:val="105"/>
        </w:rPr>
        <w:t>planes</w:t>
      </w:r>
      <w:r>
        <w:rPr>
          <w:color w:val="231F20"/>
          <w:spacing w:val="-7"/>
          <w:w w:val="105"/>
        </w:rPr>
        <w:t> </w:t>
      </w:r>
      <w:r>
        <w:rPr>
          <w:color w:val="231F20"/>
          <w:w w:val="105"/>
        </w:rPr>
        <w:t>para</w:t>
      </w:r>
      <w:r>
        <w:rPr>
          <w:color w:val="231F20"/>
          <w:spacing w:val="-7"/>
          <w:w w:val="105"/>
        </w:rPr>
        <w:t> </w:t>
      </w:r>
      <w:r>
        <w:rPr>
          <w:color w:val="231F20"/>
          <w:w w:val="105"/>
        </w:rPr>
        <w:t>reemigrar</w:t>
      </w:r>
      <w:r>
        <w:rPr>
          <w:color w:val="231F20"/>
          <w:spacing w:val="-7"/>
          <w:w w:val="105"/>
        </w:rPr>
        <w:t> </w:t>
      </w:r>
      <w:r>
        <w:rPr>
          <w:color w:val="231F20"/>
          <w:w w:val="105"/>
        </w:rPr>
        <w:t>a</w:t>
      </w:r>
      <w:r>
        <w:rPr>
          <w:color w:val="231F20"/>
          <w:spacing w:val="-7"/>
          <w:w w:val="105"/>
        </w:rPr>
        <w:t> </w:t>
      </w:r>
      <w:r>
        <w:rPr>
          <w:color w:val="231F20"/>
          <w:w w:val="105"/>
        </w:rPr>
        <w:t>Estados</w:t>
      </w:r>
      <w:r>
        <w:rPr>
          <w:color w:val="231F20"/>
          <w:spacing w:val="-7"/>
          <w:w w:val="105"/>
        </w:rPr>
        <w:t> </w:t>
      </w:r>
      <w:r>
        <w:rPr>
          <w:color w:val="231F20"/>
          <w:w w:val="105"/>
        </w:rPr>
        <w:t>Unidos,</w:t>
      </w:r>
      <w:r>
        <w:rPr>
          <w:color w:val="231F20"/>
          <w:spacing w:val="-13"/>
          <w:w w:val="105"/>
        </w:rPr>
        <w:t> </w:t>
      </w:r>
      <w:r>
        <w:rPr>
          <w:color w:val="231F20"/>
          <w:w w:val="105"/>
        </w:rPr>
        <w:t>un</w:t>
      </w:r>
      <w:r>
        <w:rPr>
          <w:color w:val="231F20"/>
          <w:spacing w:val="-7"/>
          <w:w w:val="105"/>
        </w:rPr>
        <w:t> </w:t>
      </w:r>
      <w:r>
        <w:rPr>
          <w:color w:val="231F20"/>
          <w:w w:val="105"/>
        </w:rPr>
        <w:t>mes</w:t>
      </w:r>
      <w:r>
        <w:rPr>
          <w:color w:val="231F20"/>
          <w:spacing w:val="-7"/>
          <w:w w:val="105"/>
        </w:rPr>
        <w:t> </w:t>
      </w:r>
      <w:r>
        <w:rPr>
          <w:color w:val="231F20"/>
          <w:w w:val="105"/>
        </w:rPr>
        <w:t>más</w:t>
      </w:r>
      <w:r>
        <w:rPr>
          <w:color w:val="231F20"/>
          <w:spacing w:val="-7"/>
          <w:w w:val="105"/>
        </w:rPr>
        <w:t> </w:t>
      </w:r>
      <w:r>
        <w:rPr>
          <w:color w:val="231F20"/>
          <w:w w:val="105"/>
        </w:rPr>
        <w:t>tarde,</w:t>
      </w:r>
      <w:r>
        <w:rPr>
          <w:color w:val="231F20"/>
          <w:spacing w:val="-13"/>
          <w:w w:val="105"/>
        </w:rPr>
        <w:t> </w:t>
      </w:r>
      <w:r>
        <w:rPr>
          <w:color w:val="231F20"/>
          <w:w w:val="105"/>
        </w:rPr>
        <w:t>con el</w:t>
      </w:r>
      <w:r>
        <w:rPr>
          <w:color w:val="231F20"/>
          <w:spacing w:val="-13"/>
          <w:w w:val="105"/>
        </w:rPr>
        <w:t> </w:t>
      </w:r>
      <w:r>
        <w:rPr>
          <w:color w:val="231F20"/>
          <w:w w:val="105"/>
        </w:rPr>
        <w:t>objetivo</w:t>
      </w:r>
      <w:r>
        <w:rPr>
          <w:color w:val="231F20"/>
          <w:spacing w:val="-13"/>
          <w:w w:val="105"/>
        </w:rPr>
        <w:t> </w:t>
      </w:r>
      <w:r>
        <w:rPr>
          <w:color w:val="231F20"/>
          <w:w w:val="105"/>
        </w:rPr>
        <w:t>de</w:t>
      </w:r>
      <w:r>
        <w:rPr>
          <w:color w:val="231F20"/>
          <w:spacing w:val="-13"/>
          <w:w w:val="105"/>
        </w:rPr>
        <w:t> </w:t>
      </w:r>
      <w:r>
        <w:rPr>
          <w:color w:val="231F20"/>
          <w:w w:val="105"/>
        </w:rPr>
        <w:t>trabajar</w:t>
      </w:r>
      <w:r>
        <w:rPr>
          <w:color w:val="231F20"/>
          <w:spacing w:val="-13"/>
          <w:w w:val="105"/>
        </w:rPr>
        <w:t> </w:t>
      </w:r>
      <w:r>
        <w:rPr>
          <w:color w:val="231F20"/>
          <w:w w:val="105"/>
        </w:rPr>
        <w:t>por</w:t>
      </w:r>
      <w:r>
        <w:rPr>
          <w:color w:val="231F20"/>
          <w:spacing w:val="-13"/>
          <w:w w:val="105"/>
        </w:rPr>
        <w:t> </w:t>
      </w:r>
      <w:r>
        <w:rPr>
          <w:color w:val="231F20"/>
          <w:w w:val="105"/>
        </w:rPr>
        <w:t>dos</w:t>
      </w:r>
      <w:r>
        <w:rPr>
          <w:color w:val="231F20"/>
          <w:spacing w:val="-13"/>
          <w:w w:val="105"/>
        </w:rPr>
        <w:t> </w:t>
      </w:r>
      <w:r>
        <w:rPr>
          <w:color w:val="231F20"/>
          <w:w w:val="105"/>
        </w:rPr>
        <w:t>años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ciudad</w:t>
      </w:r>
      <w:r>
        <w:rPr>
          <w:color w:val="231F20"/>
          <w:spacing w:val="-13"/>
          <w:w w:val="105"/>
        </w:rPr>
        <w:t> </w:t>
      </w:r>
      <w:r>
        <w:rPr>
          <w:color w:val="231F20"/>
          <w:w w:val="105"/>
        </w:rPr>
        <w:t>de</w:t>
      </w:r>
      <w:r>
        <w:rPr>
          <w:color w:val="231F20"/>
          <w:spacing w:val="-13"/>
          <w:w w:val="105"/>
        </w:rPr>
        <w:t> </w:t>
      </w:r>
      <w:r>
        <w:rPr>
          <w:color w:val="231F20"/>
          <w:w w:val="105"/>
        </w:rPr>
        <w:t>Nueva</w:t>
      </w:r>
      <w:r>
        <w:rPr>
          <w:color w:val="231F20"/>
          <w:spacing w:val="-18"/>
          <w:w w:val="105"/>
        </w:rPr>
        <w:t> </w:t>
      </w:r>
      <w:r>
        <w:rPr>
          <w:color w:val="231F20"/>
          <w:spacing w:val="-5"/>
          <w:w w:val="105"/>
        </w:rPr>
        <w:t>York</w:t>
      </w:r>
      <w:r>
        <w:rPr>
          <w:color w:val="231F20"/>
          <w:spacing w:val="-13"/>
          <w:w w:val="105"/>
        </w:rPr>
        <w:t> </w:t>
      </w:r>
      <w:r>
        <w:rPr>
          <w:color w:val="231F20"/>
          <w:w w:val="105"/>
        </w:rPr>
        <w:t>para</w:t>
      </w:r>
      <w:r>
        <w:rPr>
          <w:color w:val="231F20"/>
          <w:spacing w:val="-13"/>
          <w:w w:val="105"/>
        </w:rPr>
        <w:t> </w:t>
      </w:r>
      <w:r>
        <w:rPr>
          <w:color w:val="231F20"/>
          <w:w w:val="105"/>
        </w:rPr>
        <w:t>lue- go</w:t>
      </w:r>
      <w:r>
        <w:rPr>
          <w:color w:val="231F20"/>
          <w:spacing w:val="-13"/>
          <w:w w:val="105"/>
        </w:rPr>
        <w:t> </w:t>
      </w:r>
      <w:r>
        <w:rPr>
          <w:color w:val="231F20"/>
          <w:w w:val="105"/>
        </w:rPr>
        <w:t>volver</w:t>
      </w:r>
      <w:r>
        <w:rPr>
          <w:color w:val="231F20"/>
          <w:spacing w:val="-13"/>
          <w:w w:val="105"/>
        </w:rPr>
        <w:t> </w:t>
      </w:r>
      <w:r>
        <w:rPr>
          <w:color w:val="231F20"/>
          <w:w w:val="105"/>
        </w:rPr>
        <w:t>a</w:t>
      </w:r>
      <w:r>
        <w:rPr>
          <w:color w:val="231F20"/>
          <w:spacing w:val="-13"/>
          <w:w w:val="105"/>
        </w:rPr>
        <w:t> </w:t>
      </w:r>
      <w:r>
        <w:rPr>
          <w:color w:val="231F20"/>
          <w:w w:val="105"/>
        </w:rPr>
        <w:t>Nezahualcóyotl,</w:t>
      </w:r>
      <w:r>
        <w:rPr>
          <w:color w:val="231F20"/>
          <w:spacing w:val="-18"/>
          <w:w w:val="105"/>
        </w:rPr>
        <w:t> </w:t>
      </w:r>
      <w:r>
        <w:rPr>
          <w:color w:val="231F20"/>
          <w:w w:val="105"/>
        </w:rPr>
        <w:t>una</w:t>
      </w:r>
      <w:r>
        <w:rPr>
          <w:color w:val="231F20"/>
          <w:spacing w:val="-13"/>
          <w:w w:val="105"/>
        </w:rPr>
        <w:t> </w:t>
      </w:r>
      <w:r>
        <w:rPr>
          <w:color w:val="231F20"/>
          <w:w w:val="105"/>
        </w:rPr>
        <w:t>vez</w:t>
      </w:r>
      <w:r>
        <w:rPr>
          <w:color w:val="231F20"/>
          <w:spacing w:val="-13"/>
          <w:w w:val="105"/>
        </w:rPr>
        <w:t> </w:t>
      </w:r>
      <w:r>
        <w:rPr>
          <w:color w:val="231F20"/>
          <w:w w:val="105"/>
        </w:rPr>
        <w:t>construida</w:t>
      </w:r>
      <w:r>
        <w:rPr>
          <w:color w:val="231F20"/>
          <w:spacing w:val="-13"/>
          <w:w w:val="105"/>
        </w:rPr>
        <w:t> </w:t>
      </w:r>
      <w:r>
        <w:rPr>
          <w:color w:val="231F20"/>
          <w:w w:val="105"/>
        </w:rPr>
        <w:t>su</w:t>
      </w:r>
      <w:r>
        <w:rPr>
          <w:color w:val="231F20"/>
          <w:spacing w:val="-13"/>
          <w:w w:val="105"/>
        </w:rPr>
        <w:t> </w:t>
      </w:r>
      <w:r>
        <w:rPr>
          <w:color w:val="231F20"/>
          <w:w w:val="105"/>
        </w:rPr>
        <w:t>propia</w:t>
      </w:r>
      <w:r>
        <w:rPr>
          <w:color w:val="231F20"/>
          <w:spacing w:val="-13"/>
          <w:w w:val="105"/>
        </w:rPr>
        <w:t> </w:t>
      </w:r>
      <w:r>
        <w:rPr>
          <w:color w:val="231F20"/>
          <w:w w:val="105"/>
        </w:rPr>
        <w:t>casa.</w:t>
      </w:r>
      <w:r>
        <w:rPr>
          <w:color w:val="231F20"/>
          <w:spacing w:val="-18"/>
          <w:w w:val="105"/>
        </w:rPr>
        <w:t> </w:t>
      </w:r>
      <w:r>
        <w:rPr>
          <w:color w:val="231F20"/>
          <w:w w:val="105"/>
        </w:rPr>
        <w:t>Contaba con</w:t>
      </w:r>
      <w:r>
        <w:rPr>
          <w:color w:val="231F20"/>
          <w:spacing w:val="-16"/>
          <w:w w:val="105"/>
        </w:rPr>
        <w:t> </w:t>
      </w:r>
      <w:r>
        <w:rPr>
          <w:color w:val="231F20"/>
          <w:w w:val="105"/>
        </w:rPr>
        <w:t>los</w:t>
      </w:r>
      <w:r>
        <w:rPr>
          <w:color w:val="231F20"/>
          <w:spacing w:val="-16"/>
          <w:w w:val="105"/>
        </w:rPr>
        <w:t> </w:t>
      </w:r>
      <w:r>
        <w:rPr>
          <w:color w:val="231F20"/>
          <w:w w:val="105"/>
        </w:rPr>
        <w:t>recursos</w:t>
      </w:r>
      <w:r>
        <w:rPr>
          <w:color w:val="231F20"/>
          <w:spacing w:val="-16"/>
          <w:w w:val="105"/>
        </w:rPr>
        <w:t> </w:t>
      </w:r>
      <w:r>
        <w:rPr>
          <w:color w:val="231F20"/>
          <w:w w:val="105"/>
        </w:rPr>
        <w:t>económicos</w:t>
      </w:r>
      <w:r>
        <w:rPr>
          <w:color w:val="231F20"/>
          <w:spacing w:val="-16"/>
          <w:w w:val="105"/>
        </w:rPr>
        <w:t> </w:t>
      </w:r>
      <w:r>
        <w:rPr>
          <w:color w:val="231F20"/>
          <w:w w:val="105"/>
        </w:rPr>
        <w:t>para</w:t>
      </w:r>
      <w:r>
        <w:rPr>
          <w:color w:val="231F20"/>
          <w:spacing w:val="-16"/>
          <w:w w:val="105"/>
        </w:rPr>
        <w:t> </w:t>
      </w:r>
      <w:r>
        <w:rPr>
          <w:color w:val="231F20"/>
          <w:w w:val="105"/>
        </w:rPr>
        <w:t>financiar</w:t>
      </w:r>
      <w:r>
        <w:rPr>
          <w:color w:val="231F20"/>
          <w:spacing w:val="-16"/>
          <w:w w:val="105"/>
        </w:rPr>
        <w:t> </w:t>
      </w:r>
      <w:r>
        <w:rPr>
          <w:color w:val="231F20"/>
          <w:w w:val="105"/>
        </w:rPr>
        <w:t>el</w:t>
      </w:r>
      <w:r>
        <w:rPr>
          <w:color w:val="231F20"/>
          <w:spacing w:val="-16"/>
          <w:w w:val="105"/>
        </w:rPr>
        <w:t> </w:t>
      </w:r>
      <w:r>
        <w:rPr>
          <w:color w:val="231F20"/>
          <w:w w:val="105"/>
        </w:rPr>
        <w:t>viaje</w:t>
      </w:r>
      <w:r>
        <w:rPr>
          <w:color w:val="231F20"/>
          <w:spacing w:val="-16"/>
          <w:w w:val="105"/>
        </w:rPr>
        <w:t> </w:t>
      </w:r>
      <w:r>
        <w:rPr>
          <w:color w:val="231F20"/>
          <w:w w:val="105"/>
        </w:rPr>
        <w:t>y</w:t>
      </w:r>
      <w:r>
        <w:rPr>
          <w:color w:val="231F20"/>
          <w:spacing w:val="-16"/>
          <w:w w:val="105"/>
        </w:rPr>
        <w:t> </w:t>
      </w:r>
      <w:r>
        <w:rPr>
          <w:color w:val="231F20"/>
          <w:w w:val="105"/>
        </w:rPr>
        <w:t>planeaba</w:t>
      </w:r>
      <w:r>
        <w:rPr>
          <w:color w:val="231F20"/>
          <w:spacing w:val="-16"/>
          <w:w w:val="105"/>
        </w:rPr>
        <w:t> </w:t>
      </w:r>
      <w:r>
        <w:rPr>
          <w:color w:val="231F20"/>
          <w:w w:val="105"/>
        </w:rPr>
        <w:t>realizarlo llevando</w:t>
      </w:r>
      <w:r>
        <w:rPr>
          <w:color w:val="231F20"/>
          <w:spacing w:val="-12"/>
          <w:w w:val="105"/>
        </w:rPr>
        <w:t> </w:t>
      </w:r>
      <w:r>
        <w:rPr>
          <w:color w:val="231F20"/>
          <w:w w:val="105"/>
        </w:rPr>
        <w:t>a</w:t>
      </w:r>
      <w:r>
        <w:rPr>
          <w:color w:val="231F20"/>
          <w:spacing w:val="-12"/>
          <w:w w:val="105"/>
        </w:rPr>
        <w:t> </w:t>
      </w:r>
      <w:r>
        <w:rPr>
          <w:color w:val="231F20"/>
          <w:w w:val="105"/>
        </w:rPr>
        <w:t>un</w:t>
      </w:r>
      <w:r>
        <w:rPr>
          <w:color w:val="231F20"/>
          <w:spacing w:val="-12"/>
          <w:w w:val="105"/>
        </w:rPr>
        <w:t> </w:t>
      </w:r>
      <w:r>
        <w:rPr>
          <w:color w:val="231F20"/>
          <w:w w:val="105"/>
        </w:rPr>
        <w:t>amigo</w:t>
      </w:r>
      <w:r>
        <w:rPr>
          <w:color w:val="231F20"/>
          <w:spacing w:val="-12"/>
          <w:w w:val="105"/>
        </w:rPr>
        <w:t> </w:t>
      </w:r>
      <w:r>
        <w:rPr>
          <w:color w:val="231F20"/>
          <w:w w:val="105"/>
        </w:rPr>
        <w:t>primerizo</w:t>
      </w:r>
      <w:r>
        <w:rPr>
          <w:color w:val="231F20"/>
          <w:spacing w:val="-12"/>
          <w:w w:val="105"/>
        </w:rPr>
        <w:t> </w:t>
      </w:r>
      <w:r>
        <w:rPr>
          <w:color w:val="231F20"/>
          <w:w w:val="105"/>
        </w:rPr>
        <w:t>(primer</w:t>
      </w:r>
      <w:r>
        <w:rPr>
          <w:color w:val="231F20"/>
          <w:spacing w:val="-12"/>
          <w:w w:val="105"/>
        </w:rPr>
        <w:t> </w:t>
      </w:r>
      <w:r>
        <w:rPr>
          <w:color w:val="231F20"/>
          <w:w w:val="105"/>
        </w:rPr>
        <w:t>viaje</w:t>
      </w:r>
      <w:r>
        <w:rPr>
          <w:color w:val="231F20"/>
          <w:spacing w:val="-12"/>
          <w:w w:val="105"/>
        </w:rPr>
        <w:t> </w:t>
      </w:r>
      <w:r>
        <w:rPr>
          <w:color w:val="231F20"/>
          <w:w w:val="105"/>
        </w:rPr>
        <w:t>a</w:t>
      </w:r>
      <w:r>
        <w:rPr>
          <w:color w:val="231F20"/>
          <w:spacing w:val="-12"/>
          <w:w w:val="105"/>
        </w:rPr>
        <w:t> </w:t>
      </w:r>
      <w:r>
        <w:rPr>
          <w:color w:val="231F20"/>
          <w:w w:val="105"/>
        </w:rPr>
        <w:t>Estados</w:t>
      </w:r>
      <w:r>
        <w:rPr>
          <w:color w:val="231F20"/>
          <w:spacing w:val="-12"/>
          <w:w w:val="105"/>
        </w:rPr>
        <w:t> </w:t>
      </w:r>
      <w:r>
        <w:rPr>
          <w:color w:val="231F20"/>
          <w:w w:val="105"/>
        </w:rPr>
        <w:t>Unidos)</w:t>
      </w:r>
      <w:r>
        <w:rPr>
          <w:color w:val="231F20"/>
          <w:spacing w:val="-12"/>
          <w:w w:val="105"/>
        </w:rPr>
        <w:t> </w:t>
      </w:r>
      <w:r>
        <w:rPr>
          <w:color w:val="231F20"/>
          <w:w w:val="105"/>
        </w:rPr>
        <w:t>del</w:t>
      </w:r>
      <w:r>
        <w:rPr>
          <w:color w:val="231F20"/>
          <w:spacing w:val="-12"/>
          <w:w w:val="105"/>
        </w:rPr>
        <w:t> </w:t>
      </w:r>
      <w:r>
        <w:rPr>
          <w:color w:val="231F20"/>
          <w:w w:val="105"/>
        </w:rPr>
        <w:t>muni- cipio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Reyes</w:t>
      </w:r>
      <w:r>
        <w:rPr>
          <w:color w:val="231F20"/>
          <w:spacing w:val="-20"/>
          <w:w w:val="105"/>
        </w:rPr>
        <w:t> </w:t>
      </w:r>
      <w:r>
        <w:rPr>
          <w:color w:val="231F20"/>
          <w:w w:val="105"/>
        </w:rPr>
        <w:t>La</w:t>
      </w:r>
      <w:r>
        <w:rPr>
          <w:color w:val="231F20"/>
          <w:spacing w:val="-20"/>
          <w:w w:val="105"/>
        </w:rPr>
        <w:t> </w:t>
      </w:r>
      <w:r>
        <w:rPr>
          <w:color w:val="231F20"/>
          <w:spacing w:val="-4"/>
          <w:w w:val="105"/>
        </w:rPr>
        <w:t>Paz,</w:t>
      </w:r>
      <w:r>
        <w:rPr>
          <w:color w:val="231F20"/>
          <w:spacing w:val="-24"/>
          <w:w w:val="105"/>
        </w:rPr>
        <w:t> </w:t>
      </w:r>
      <w:r>
        <w:rPr>
          <w:color w:val="231F20"/>
          <w:w w:val="105"/>
        </w:rPr>
        <w:t>un</w:t>
      </w:r>
      <w:r>
        <w:rPr>
          <w:color w:val="231F20"/>
          <w:spacing w:val="-20"/>
          <w:w w:val="105"/>
        </w:rPr>
        <w:t> </w:t>
      </w:r>
      <w:r>
        <w:rPr>
          <w:color w:val="231F20"/>
          <w:w w:val="105"/>
        </w:rPr>
        <w:t>municipio</w:t>
      </w:r>
      <w:r>
        <w:rPr>
          <w:color w:val="231F20"/>
          <w:spacing w:val="-20"/>
          <w:w w:val="105"/>
        </w:rPr>
        <w:t> </w:t>
      </w:r>
      <w:r>
        <w:rPr>
          <w:color w:val="231F20"/>
          <w:w w:val="105"/>
        </w:rPr>
        <w:t>vecino</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zona</w:t>
      </w:r>
      <w:r>
        <w:rPr>
          <w:color w:val="231F20"/>
          <w:spacing w:val="-20"/>
          <w:w w:val="105"/>
        </w:rPr>
        <w:t> </w:t>
      </w:r>
      <w:r>
        <w:rPr>
          <w:color w:val="231F20"/>
          <w:w w:val="105"/>
        </w:rPr>
        <w:t>conurbada</w:t>
      </w:r>
      <w:r>
        <w:rPr>
          <w:color w:val="231F20"/>
          <w:spacing w:val="-20"/>
          <w:w w:val="105"/>
        </w:rPr>
        <w:t> </w:t>
      </w:r>
      <w:r>
        <w:rPr>
          <w:color w:val="231F20"/>
          <w:w w:val="105"/>
        </w:rPr>
        <w:t>del Distrito</w:t>
      </w:r>
      <w:r>
        <w:rPr>
          <w:color w:val="231F20"/>
          <w:spacing w:val="-39"/>
          <w:w w:val="105"/>
        </w:rPr>
        <w:t> </w:t>
      </w:r>
      <w:r>
        <w:rPr>
          <w:color w:val="231F20"/>
          <w:w w:val="105"/>
        </w:rPr>
        <w:t>Federal.</w:t>
      </w:r>
    </w:p>
    <w:p>
      <w:pPr>
        <w:pStyle w:val="BodyText"/>
        <w:spacing w:line="261" w:lineRule="auto" w:before="1"/>
        <w:ind w:left="1837" w:right="1720" w:firstLine="567"/>
        <w:jc w:val="both"/>
      </w:pPr>
      <w:r>
        <w:rPr/>
        <w:pict>
          <v:line style="position:absolute;mso-position-horizontal-relative:page;mso-position-vertical-relative:paragraph;z-index:-477232" from="15pt,115.890587pt" to="0pt,115.890587pt" stroked="true" strokeweight=".25pt" strokecolor="#000000">
            <w10:wrap type="none"/>
          </v:line>
        </w:pict>
      </w:r>
      <w:r>
        <w:rPr/>
        <w:pict>
          <v:line style="position:absolute;mso-position-horizontal-relative:page;mso-position-vertical-relative:paragraph;z-index:12976" from="508.890015pt,115.890587pt" to="523.890015pt,115.890587pt" stroked="true" strokeweight=".25pt" strokecolor="#000000">
            <w10:wrap type="none"/>
          </v:line>
        </w:pict>
      </w:r>
      <w:r>
        <w:rPr>
          <w:color w:val="231F20"/>
        </w:rPr>
        <w:t>Dos años después de la entrevista, en el mes de marzo de 2013, el padre de Luis confirmó que su hijo había emigrado a Nueva </w:t>
      </w:r>
      <w:r>
        <w:rPr>
          <w:color w:val="231F20"/>
          <w:spacing w:val="-5"/>
        </w:rPr>
        <w:t>York </w:t>
      </w:r>
      <w:r>
        <w:rPr>
          <w:color w:val="231F20"/>
        </w:rPr>
        <w:t>en el  mes de agosto de 2011 (seis meses después de la primera  </w:t>
      </w:r>
      <w:r>
        <w:rPr>
          <w:color w:val="231F20"/>
          <w:spacing w:val="54"/>
        </w:rPr>
        <w:t> </w:t>
      </w:r>
      <w:r>
        <w:rPr>
          <w:color w:val="231F20"/>
        </w:rPr>
        <w:t>entrevista), y</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13048" from="15pt,-71.68644pt" to="0pt,-71.68644pt" stroked="true" strokeweight=".25pt" strokecolor="#000000">
            <w10:wrap type="none"/>
          </v:line>
        </w:pict>
      </w:r>
      <w:r>
        <w:rPr/>
        <w:pict>
          <v:line style="position:absolute;mso-position-horizontal-relative:page;mso-position-vertical-relative:paragraph;z-index:13072" from="508.890015pt,-71.68644pt" to="523.890015pt,-71.68644pt" stroked="true" strokeweight=".25pt" strokecolor="#000000">
            <w10:wrap type="none"/>
          </v:line>
        </w:pict>
      </w:r>
      <w:r>
        <w:rPr>
          <w:color w:val="231F20"/>
          <w:w w:val="105"/>
        </w:rPr>
        <w:t>que había tenido dificultades para cruzar la frontera. Luis intentó</w:t>
      </w:r>
      <w:r>
        <w:rPr>
          <w:color w:val="231F20"/>
          <w:spacing w:val="-20"/>
          <w:w w:val="105"/>
        </w:rPr>
        <w:t> </w:t>
      </w:r>
      <w:r>
        <w:rPr>
          <w:color w:val="231F20"/>
          <w:w w:val="105"/>
        </w:rPr>
        <w:t>cruzar en</w:t>
      </w:r>
      <w:r>
        <w:rPr>
          <w:color w:val="231F20"/>
          <w:spacing w:val="-26"/>
          <w:w w:val="105"/>
        </w:rPr>
        <w:t> </w:t>
      </w:r>
      <w:r>
        <w:rPr>
          <w:color w:val="231F20"/>
          <w:w w:val="105"/>
        </w:rPr>
        <w:t>repetidas</w:t>
      </w:r>
      <w:r>
        <w:rPr>
          <w:color w:val="231F20"/>
          <w:spacing w:val="-26"/>
          <w:w w:val="105"/>
        </w:rPr>
        <w:t> </w:t>
      </w:r>
      <w:r>
        <w:rPr>
          <w:color w:val="231F20"/>
          <w:w w:val="105"/>
        </w:rPr>
        <w:t>ocasiones</w:t>
      </w:r>
      <w:r>
        <w:rPr>
          <w:color w:val="231F20"/>
          <w:spacing w:val="-26"/>
          <w:w w:val="105"/>
        </w:rPr>
        <w:t> </w:t>
      </w:r>
      <w:r>
        <w:rPr>
          <w:color w:val="231F20"/>
          <w:w w:val="105"/>
        </w:rPr>
        <w:t>durante</w:t>
      </w:r>
      <w:r>
        <w:rPr>
          <w:color w:val="231F20"/>
          <w:spacing w:val="-26"/>
          <w:w w:val="105"/>
        </w:rPr>
        <w:t> </w:t>
      </w:r>
      <w:r>
        <w:rPr>
          <w:color w:val="231F20"/>
          <w:w w:val="105"/>
        </w:rPr>
        <w:t>dos</w:t>
      </w:r>
      <w:r>
        <w:rPr>
          <w:color w:val="231F20"/>
          <w:spacing w:val="-26"/>
          <w:w w:val="105"/>
        </w:rPr>
        <w:t> </w:t>
      </w:r>
      <w:r>
        <w:rPr>
          <w:color w:val="231F20"/>
          <w:w w:val="105"/>
        </w:rPr>
        <w:t>meses,</w:t>
      </w:r>
      <w:r>
        <w:rPr>
          <w:color w:val="231F20"/>
          <w:spacing w:val="-30"/>
          <w:w w:val="105"/>
        </w:rPr>
        <w:t> </w:t>
      </w:r>
      <w:r>
        <w:rPr>
          <w:color w:val="231F20"/>
          <w:w w:val="105"/>
        </w:rPr>
        <w:t>los</w:t>
      </w:r>
      <w:r>
        <w:rPr>
          <w:color w:val="231F20"/>
          <w:spacing w:val="-26"/>
          <w:w w:val="105"/>
        </w:rPr>
        <w:t> </w:t>
      </w:r>
      <w:r>
        <w:rPr>
          <w:color w:val="231F20"/>
          <w:w w:val="105"/>
        </w:rPr>
        <w:t>mismos</w:t>
      </w:r>
      <w:r>
        <w:rPr>
          <w:color w:val="231F20"/>
          <w:spacing w:val="-26"/>
          <w:w w:val="105"/>
        </w:rPr>
        <w:t> </w:t>
      </w:r>
      <w:r>
        <w:rPr>
          <w:color w:val="231F20"/>
          <w:w w:val="105"/>
        </w:rPr>
        <w:t>en</w:t>
      </w:r>
      <w:r>
        <w:rPr>
          <w:color w:val="231F20"/>
          <w:spacing w:val="-26"/>
          <w:w w:val="105"/>
        </w:rPr>
        <w:t> </w:t>
      </w:r>
      <w:r>
        <w:rPr>
          <w:color w:val="231F20"/>
          <w:w w:val="105"/>
        </w:rPr>
        <w:t>los</w:t>
      </w:r>
      <w:r>
        <w:rPr>
          <w:color w:val="231F20"/>
          <w:spacing w:val="-26"/>
          <w:w w:val="105"/>
        </w:rPr>
        <w:t> </w:t>
      </w:r>
      <w:r>
        <w:rPr>
          <w:color w:val="231F20"/>
          <w:w w:val="105"/>
        </w:rPr>
        <w:t>que</w:t>
      </w:r>
      <w:r>
        <w:rPr>
          <w:color w:val="231F20"/>
          <w:spacing w:val="-26"/>
          <w:w w:val="105"/>
        </w:rPr>
        <w:t> </w:t>
      </w:r>
      <w:r>
        <w:rPr>
          <w:color w:val="231F20"/>
          <w:w w:val="105"/>
        </w:rPr>
        <w:t>estuvo trabajando eventualmente en alguna ciudad de la frontera (al parecer en Piedras Negras, Coahuila). Finalmente arribó a la ciudad de Nueva </w:t>
      </w:r>
      <w:r>
        <w:rPr>
          <w:color w:val="231F20"/>
          <w:spacing w:val="-5"/>
          <w:w w:val="105"/>
        </w:rPr>
        <w:t>York</w:t>
      </w:r>
      <w:r>
        <w:rPr>
          <w:color w:val="231F20"/>
          <w:spacing w:val="-22"/>
          <w:w w:val="105"/>
        </w:rPr>
        <w:t> </w:t>
      </w:r>
      <w:r>
        <w:rPr>
          <w:color w:val="231F20"/>
          <w:w w:val="105"/>
        </w:rPr>
        <w:t>hacia</w:t>
      </w:r>
      <w:r>
        <w:rPr>
          <w:color w:val="231F20"/>
          <w:spacing w:val="-22"/>
          <w:w w:val="105"/>
        </w:rPr>
        <w:t> </w:t>
      </w:r>
      <w:r>
        <w:rPr>
          <w:color w:val="231F20"/>
          <w:w w:val="105"/>
        </w:rPr>
        <w:t>finales</w:t>
      </w:r>
      <w:r>
        <w:rPr>
          <w:color w:val="231F20"/>
          <w:spacing w:val="-22"/>
          <w:w w:val="105"/>
        </w:rPr>
        <w:t> </w:t>
      </w:r>
      <w:r>
        <w:rPr>
          <w:color w:val="231F20"/>
          <w:w w:val="105"/>
        </w:rPr>
        <w:t>de</w:t>
      </w:r>
      <w:r>
        <w:rPr>
          <w:color w:val="231F20"/>
          <w:spacing w:val="-22"/>
          <w:w w:val="105"/>
        </w:rPr>
        <w:t> </w:t>
      </w:r>
      <w:r>
        <w:rPr>
          <w:color w:val="231F20"/>
          <w:w w:val="105"/>
        </w:rPr>
        <w:t>2011</w:t>
      </w:r>
      <w:r>
        <w:rPr>
          <w:color w:val="231F20"/>
          <w:spacing w:val="-22"/>
          <w:w w:val="105"/>
        </w:rPr>
        <w:t> </w:t>
      </w:r>
      <w:r>
        <w:rPr>
          <w:color w:val="231F20"/>
          <w:w w:val="105"/>
        </w:rPr>
        <w:t>y</w:t>
      </w:r>
      <w:r>
        <w:rPr>
          <w:color w:val="231F20"/>
          <w:spacing w:val="-22"/>
          <w:w w:val="105"/>
        </w:rPr>
        <w:t> </w:t>
      </w:r>
      <w:r>
        <w:rPr>
          <w:color w:val="231F20"/>
          <w:w w:val="105"/>
        </w:rPr>
        <w:t>desde</w:t>
      </w:r>
      <w:r>
        <w:rPr>
          <w:color w:val="231F20"/>
          <w:spacing w:val="-22"/>
          <w:w w:val="105"/>
        </w:rPr>
        <w:t> </w:t>
      </w:r>
      <w:r>
        <w:rPr>
          <w:color w:val="231F20"/>
          <w:w w:val="105"/>
        </w:rPr>
        <w:t>entonces</w:t>
      </w:r>
      <w:r>
        <w:rPr>
          <w:color w:val="231F20"/>
          <w:spacing w:val="-22"/>
          <w:w w:val="105"/>
        </w:rPr>
        <w:t> </w:t>
      </w:r>
      <w:r>
        <w:rPr>
          <w:color w:val="231F20"/>
          <w:w w:val="105"/>
        </w:rPr>
        <w:t>se</w:t>
      </w:r>
      <w:r>
        <w:rPr>
          <w:color w:val="231F20"/>
          <w:spacing w:val="-22"/>
          <w:w w:val="105"/>
        </w:rPr>
        <w:t> </w:t>
      </w:r>
      <w:r>
        <w:rPr>
          <w:color w:val="231F20"/>
          <w:w w:val="105"/>
        </w:rPr>
        <w:t>encuentra</w:t>
      </w:r>
      <w:r>
        <w:rPr>
          <w:color w:val="231F20"/>
          <w:spacing w:val="-22"/>
          <w:w w:val="105"/>
        </w:rPr>
        <w:t> </w:t>
      </w:r>
      <w:r>
        <w:rPr>
          <w:color w:val="231F20"/>
          <w:w w:val="105"/>
        </w:rPr>
        <w:t>en</w:t>
      </w:r>
      <w:r>
        <w:rPr>
          <w:color w:val="231F20"/>
          <w:spacing w:val="-22"/>
          <w:w w:val="105"/>
        </w:rPr>
        <w:t> </w:t>
      </w:r>
      <w:r>
        <w:rPr>
          <w:color w:val="231F20"/>
          <w:w w:val="105"/>
        </w:rPr>
        <w:t>esa</w:t>
      </w:r>
      <w:r>
        <w:rPr>
          <w:color w:val="231F20"/>
          <w:spacing w:val="-22"/>
          <w:w w:val="105"/>
        </w:rPr>
        <w:t> </w:t>
      </w:r>
      <w:r>
        <w:rPr>
          <w:color w:val="231F20"/>
          <w:w w:val="105"/>
        </w:rPr>
        <w:t>ciudad, donde</w:t>
      </w:r>
      <w:r>
        <w:rPr>
          <w:color w:val="231F20"/>
          <w:spacing w:val="-9"/>
          <w:w w:val="105"/>
        </w:rPr>
        <w:t> </w:t>
      </w:r>
      <w:r>
        <w:rPr>
          <w:color w:val="231F20"/>
          <w:w w:val="105"/>
        </w:rPr>
        <w:t>encontró</w:t>
      </w:r>
      <w:r>
        <w:rPr>
          <w:color w:val="231F20"/>
          <w:spacing w:val="-9"/>
          <w:w w:val="105"/>
        </w:rPr>
        <w:t> </w:t>
      </w:r>
      <w:r>
        <w:rPr>
          <w:color w:val="231F20"/>
          <w:w w:val="105"/>
        </w:rPr>
        <w:t>un</w:t>
      </w:r>
      <w:r>
        <w:rPr>
          <w:color w:val="231F20"/>
          <w:spacing w:val="-9"/>
          <w:w w:val="105"/>
        </w:rPr>
        <w:t> </w:t>
      </w:r>
      <w:r>
        <w:rPr>
          <w:color w:val="231F20"/>
          <w:w w:val="105"/>
        </w:rPr>
        <w:t>empleo</w:t>
      </w:r>
      <w:r>
        <w:rPr>
          <w:color w:val="231F20"/>
          <w:spacing w:val="-9"/>
          <w:w w:val="105"/>
        </w:rPr>
        <w:t> </w:t>
      </w:r>
      <w:r>
        <w:rPr>
          <w:color w:val="231F20"/>
          <w:w w:val="105"/>
        </w:rPr>
        <w:t>en</w:t>
      </w:r>
      <w:r>
        <w:rPr>
          <w:color w:val="231F20"/>
          <w:spacing w:val="-9"/>
          <w:w w:val="105"/>
        </w:rPr>
        <w:t> </w:t>
      </w:r>
      <w:r>
        <w:rPr>
          <w:color w:val="231F20"/>
          <w:w w:val="105"/>
        </w:rPr>
        <w:t>un</w:t>
      </w:r>
      <w:r>
        <w:rPr>
          <w:color w:val="231F20"/>
          <w:spacing w:val="-9"/>
          <w:w w:val="105"/>
        </w:rPr>
        <w:t> </w:t>
      </w:r>
      <w:r>
        <w:rPr>
          <w:color w:val="231F20"/>
          <w:w w:val="105"/>
        </w:rPr>
        <w:t>restaurant,</w:t>
      </w:r>
      <w:r>
        <w:rPr>
          <w:color w:val="231F20"/>
          <w:spacing w:val="-15"/>
          <w:w w:val="105"/>
        </w:rPr>
        <w:t> </w:t>
      </w:r>
      <w:r>
        <w:rPr>
          <w:color w:val="231F20"/>
          <w:w w:val="105"/>
        </w:rPr>
        <w:t>el</w:t>
      </w:r>
      <w:r>
        <w:rPr>
          <w:color w:val="231F20"/>
          <w:spacing w:val="-9"/>
          <w:w w:val="105"/>
        </w:rPr>
        <w:t> </w:t>
      </w:r>
      <w:r>
        <w:rPr>
          <w:color w:val="231F20"/>
          <w:w w:val="105"/>
        </w:rPr>
        <w:t>mismo</w:t>
      </w:r>
      <w:r>
        <w:rPr>
          <w:color w:val="231F20"/>
          <w:spacing w:val="-9"/>
          <w:w w:val="105"/>
        </w:rPr>
        <w:t> </w:t>
      </w:r>
      <w:r>
        <w:rPr>
          <w:color w:val="231F20"/>
          <w:w w:val="105"/>
        </w:rPr>
        <w:t>donde</w:t>
      </w:r>
      <w:r>
        <w:rPr>
          <w:color w:val="231F20"/>
          <w:spacing w:val="-9"/>
          <w:w w:val="105"/>
        </w:rPr>
        <w:t> </w:t>
      </w:r>
      <w:r>
        <w:rPr>
          <w:color w:val="231F20"/>
          <w:w w:val="105"/>
        </w:rPr>
        <w:t>ha</w:t>
      </w:r>
      <w:r>
        <w:rPr>
          <w:color w:val="231F20"/>
          <w:spacing w:val="-9"/>
          <w:w w:val="105"/>
        </w:rPr>
        <w:t> </w:t>
      </w:r>
      <w:r>
        <w:rPr>
          <w:color w:val="231F20"/>
          <w:w w:val="105"/>
        </w:rPr>
        <w:t>perma- necido</w:t>
      </w:r>
      <w:r>
        <w:rPr>
          <w:color w:val="231F20"/>
          <w:spacing w:val="-20"/>
          <w:w w:val="105"/>
        </w:rPr>
        <w:t> </w:t>
      </w:r>
      <w:r>
        <w:rPr>
          <w:color w:val="231F20"/>
          <w:w w:val="105"/>
        </w:rPr>
        <w:t>desde</w:t>
      </w:r>
      <w:r>
        <w:rPr>
          <w:color w:val="231F20"/>
          <w:spacing w:val="-20"/>
          <w:w w:val="105"/>
        </w:rPr>
        <w:t> </w:t>
      </w:r>
      <w:r>
        <w:rPr>
          <w:color w:val="231F20"/>
          <w:w w:val="105"/>
        </w:rPr>
        <w:t>entonces.</w:t>
      </w:r>
      <w:r>
        <w:rPr>
          <w:color w:val="231F20"/>
          <w:spacing w:val="-25"/>
          <w:w w:val="105"/>
        </w:rPr>
        <w:t> </w:t>
      </w:r>
      <w:r>
        <w:rPr>
          <w:color w:val="231F20"/>
          <w:w w:val="105"/>
        </w:rPr>
        <w:t>Luis</w:t>
      </w:r>
      <w:r>
        <w:rPr>
          <w:color w:val="231F20"/>
          <w:spacing w:val="-20"/>
          <w:w w:val="105"/>
        </w:rPr>
        <w:t> </w:t>
      </w:r>
      <w:r>
        <w:rPr>
          <w:color w:val="231F20"/>
          <w:w w:val="105"/>
        </w:rPr>
        <w:t>continúa</w:t>
      </w:r>
      <w:r>
        <w:rPr>
          <w:color w:val="231F20"/>
          <w:spacing w:val="-20"/>
          <w:w w:val="105"/>
        </w:rPr>
        <w:t> </w:t>
      </w:r>
      <w:r>
        <w:rPr>
          <w:color w:val="231F20"/>
          <w:w w:val="105"/>
        </w:rPr>
        <w:t>enviando</w:t>
      </w:r>
      <w:r>
        <w:rPr>
          <w:color w:val="231F20"/>
          <w:spacing w:val="-20"/>
          <w:w w:val="105"/>
        </w:rPr>
        <w:t> </w:t>
      </w:r>
      <w:r>
        <w:rPr>
          <w:color w:val="231F20"/>
          <w:w w:val="105"/>
        </w:rPr>
        <w:t>dinero</w:t>
      </w:r>
      <w:r>
        <w:rPr>
          <w:color w:val="231F20"/>
          <w:spacing w:val="-20"/>
          <w:w w:val="105"/>
        </w:rPr>
        <w:t> </w:t>
      </w:r>
      <w:r>
        <w:rPr>
          <w:color w:val="231F20"/>
          <w:w w:val="105"/>
        </w:rPr>
        <w:t>a</w:t>
      </w:r>
      <w:r>
        <w:rPr>
          <w:color w:val="231F20"/>
          <w:spacing w:val="-20"/>
          <w:w w:val="105"/>
        </w:rPr>
        <w:t> </w:t>
      </w:r>
      <w:r>
        <w:rPr>
          <w:color w:val="231F20"/>
          <w:w w:val="105"/>
        </w:rPr>
        <w:t>sus</w:t>
      </w:r>
      <w:r>
        <w:rPr>
          <w:color w:val="231F20"/>
          <w:spacing w:val="-20"/>
          <w:w w:val="105"/>
        </w:rPr>
        <w:t> </w:t>
      </w:r>
      <w:r>
        <w:rPr>
          <w:color w:val="231F20"/>
          <w:w w:val="105"/>
        </w:rPr>
        <w:t>padres</w:t>
      </w:r>
      <w:r>
        <w:rPr>
          <w:color w:val="231F20"/>
          <w:spacing w:val="-20"/>
          <w:w w:val="105"/>
        </w:rPr>
        <w:t> </w:t>
      </w:r>
      <w:r>
        <w:rPr>
          <w:color w:val="231F20"/>
          <w:w w:val="105"/>
        </w:rPr>
        <w:t>(con menor</w:t>
      </w:r>
      <w:r>
        <w:rPr>
          <w:color w:val="231F20"/>
          <w:spacing w:val="-20"/>
          <w:w w:val="105"/>
        </w:rPr>
        <w:t> </w:t>
      </w:r>
      <w:r>
        <w:rPr>
          <w:color w:val="231F20"/>
          <w:w w:val="105"/>
        </w:rPr>
        <w:t>frecuencia</w:t>
      </w:r>
      <w:r>
        <w:rPr>
          <w:color w:val="231F20"/>
          <w:spacing w:val="-20"/>
          <w:w w:val="105"/>
        </w:rPr>
        <w:t> </w:t>
      </w:r>
      <w:r>
        <w:rPr>
          <w:color w:val="231F20"/>
          <w:w w:val="105"/>
        </w:rPr>
        <w:t>que</w:t>
      </w:r>
      <w:r>
        <w:rPr>
          <w:color w:val="231F20"/>
          <w:spacing w:val="-20"/>
          <w:w w:val="105"/>
        </w:rPr>
        <w:t> </w:t>
      </w:r>
      <w:r>
        <w:rPr>
          <w:color w:val="231F20"/>
          <w:w w:val="105"/>
        </w:rPr>
        <w:t>en</w:t>
      </w:r>
      <w:r>
        <w:rPr>
          <w:color w:val="231F20"/>
          <w:spacing w:val="-20"/>
          <w:w w:val="105"/>
        </w:rPr>
        <w:t> </w:t>
      </w:r>
      <w:r>
        <w:rPr>
          <w:color w:val="231F20"/>
          <w:w w:val="105"/>
        </w:rPr>
        <w:t>su</w:t>
      </w:r>
      <w:r>
        <w:rPr>
          <w:color w:val="231F20"/>
          <w:spacing w:val="-20"/>
          <w:w w:val="105"/>
        </w:rPr>
        <w:t> </w:t>
      </w:r>
      <w:r>
        <w:rPr>
          <w:color w:val="231F20"/>
          <w:w w:val="105"/>
        </w:rPr>
        <w:t>primera</w:t>
      </w:r>
      <w:r>
        <w:rPr>
          <w:color w:val="231F20"/>
          <w:spacing w:val="-20"/>
          <w:w w:val="105"/>
        </w:rPr>
        <w:t> </w:t>
      </w:r>
      <w:r>
        <w:rPr>
          <w:color w:val="231F20"/>
          <w:w w:val="105"/>
        </w:rPr>
        <w:t>estancia),</w:t>
      </w:r>
      <w:r>
        <w:rPr>
          <w:color w:val="231F20"/>
          <w:spacing w:val="-25"/>
          <w:w w:val="105"/>
        </w:rPr>
        <w:t> </w:t>
      </w:r>
      <w:r>
        <w:rPr>
          <w:color w:val="231F20"/>
          <w:w w:val="105"/>
        </w:rPr>
        <w:t>pues</w:t>
      </w:r>
      <w:r>
        <w:rPr>
          <w:color w:val="231F20"/>
          <w:spacing w:val="-20"/>
          <w:w w:val="105"/>
        </w:rPr>
        <w:t> </w:t>
      </w:r>
      <w:r>
        <w:rPr>
          <w:color w:val="231F20"/>
          <w:w w:val="105"/>
        </w:rPr>
        <w:t>se</w:t>
      </w:r>
      <w:r>
        <w:rPr>
          <w:color w:val="231F20"/>
          <w:spacing w:val="-20"/>
          <w:w w:val="105"/>
        </w:rPr>
        <w:t> </w:t>
      </w:r>
      <w:r>
        <w:rPr>
          <w:color w:val="231F20"/>
          <w:w w:val="105"/>
        </w:rPr>
        <w:t>casó</w:t>
      </w:r>
      <w:r>
        <w:rPr>
          <w:color w:val="231F20"/>
          <w:spacing w:val="-20"/>
          <w:w w:val="105"/>
        </w:rPr>
        <w:t> </w:t>
      </w:r>
      <w:r>
        <w:rPr>
          <w:color w:val="231F20"/>
          <w:w w:val="105"/>
        </w:rPr>
        <w:t>unos</w:t>
      </w:r>
      <w:r>
        <w:rPr>
          <w:color w:val="231F20"/>
          <w:spacing w:val="-20"/>
          <w:w w:val="105"/>
        </w:rPr>
        <w:t> </w:t>
      </w:r>
      <w:r>
        <w:rPr>
          <w:color w:val="231F20"/>
          <w:w w:val="105"/>
        </w:rPr>
        <w:t>meses antes de viajar a Estados Unidos. La esposa de Luis vive en</w:t>
      </w:r>
      <w:r>
        <w:rPr>
          <w:color w:val="231F20"/>
          <w:spacing w:val="-25"/>
          <w:w w:val="105"/>
        </w:rPr>
        <w:t> </w:t>
      </w:r>
      <w:r>
        <w:rPr>
          <w:color w:val="231F20"/>
          <w:w w:val="105"/>
        </w:rPr>
        <w:t>Nezahual- cóyotl,</w:t>
      </w:r>
      <w:r>
        <w:rPr>
          <w:color w:val="231F20"/>
          <w:spacing w:val="-12"/>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casa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suegros,</w:t>
      </w:r>
      <w:r>
        <w:rPr>
          <w:color w:val="231F20"/>
          <w:spacing w:val="-12"/>
          <w:w w:val="105"/>
        </w:rPr>
        <w:t> </w:t>
      </w:r>
      <w:r>
        <w:rPr>
          <w:color w:val="231F20"/>
          <w:w w:val="105"/>
        </w:rPr>
        <w:t>y</w:t>
      </w:r>
      <w:r>
        <w:rPr>
          <w:color w:val="231F20"/>
          <w:spacing w:val="-7"/>
          <w:w w:val="105"/>
        </w:rPr>
        <w:t> </w:t>
      </w:r>
      <w:r>
        <w:rPr>
          <w:color w:val="231F20"/>
          <w:w w:val="105"/>
        </w:rPr>
        <w:t>planeaba</w:t>
      </w:r>
      <w:r>
        <w:rPr>
          <w:color w:val="231F20"/>
          <w:spacing w:val="-7"/>
          <w:w w:val="105"/>
        </w:rPr>
        <w:t> </w:t>
      </w:r>
      <w:r>
        <w:rPr>
          <w:color w:val="231F20"/>
          <w:w w:val="105"/>
        </w:rPr>
        <w:t>ir</w:t>
      </w:r>
      <w:r>
        <w:rPr>
          <w:color w:val="231F20"/>
          <w:spacing w:val="-7"/>
          <w:w w:val="105"/>
        </w:rPr>
        <w:t> </w:t>
      </w:r>
      <w:r>
        <w:rPr>
          <w:color w:val="231F20"/>
          <w:w w:val="105"/>
        </w:rPr>
        <w:t>a</w:t>
      </w:r>
      <w:r>
        <w:rPr>
          <w:color w:val="231F20"/>
          <w:spacing w:val="-7"/>
          <w:w w:val="105"/>
        </w:rPr>
        <w:t> </w:t>
      </w:r>
      <w:r>
        <w:rPr>
          <w:color w:val="231F20"/>
          <w:w w:val="105"/>
        </w:rPr>
        <w:t>Nueva</w:t>
      </w:r>
      <w:r>
        <w:rPr>
          <w:color w:val="231F20"/>
          <w:spacing w:val="-11"/>
          <w:w w:val="105"/>
        </w:rPr>
        <w:t> </w:t>
      </w:r>
      <w:r>
        <w:rPr>
          <w:color w:val="231F20"/>
          <w:spacing w:val="-5"/>
          <w:w w:val="105"/>
        </w:rPr>
        <w:t>York</w:t>
      </w:r>
      <w:r>
        <w:rPr>
          <w:color w:val="231F20"/>
          <w:spacing w:val="-7"/>
          <w:w w:val="105"/>
        </w:rPr>
        <w:t> </w:t>
      </w:r>
      <w:r>
        <w:rPr>
          <w:color w:val="231F20"/>
          <w:w w:val="105"/>
        </w:rPr>
        <w:t>el</w:t>
      </w:r>
      <w:r>
        <w:rPr>
          <w:color w:val="231F20"/>
          <w:spacing w:val="-7"/>
          <w:w w:val="105"/>
        </w:rPr>
        <w:t> </w:t>
      </w:r>
      <w:r>
        <w:rPr>
          <w:color w:val="231F20"/>
          <w:w w:val="105"/>
        </w:rPr>
        <w:t>próximo año,</w:t>
      </w:r>
      <w:r>
        <w:rPr>
          <w:color w:val="231F20"/>
          <w:spacing w:val="11"/>
          <w:w w:val="105"/>
        </w:rPr>
        <w:t> </w:t>
      </w:r>
      <w:r>
        <w:rPr>
          <w:color w:val="231F20"/>
          <w:w w:val="105"/>
        </w:rPr>
        <w:t>para</w:t>
      </w:r>
      <w:r>
        <w:rPr>
          <w:color w:val="231F20"/>
          <w:spacing w:val="-22"/>
          <w:w w:val="105"/>
        </w:rPr>
        <w:t> </w:t>
      </w:r>
      <w:r>
        <w:rPr>
          <w:color w:val="231F20"/>
          <w:w w:val="105"/>
        </w:rPr>
        <w:t>reunirse</w:t>
      </w:r>
      <w:r>
        <w:rPr>
          <w:color w:val="231F20"/>
          <w:spacing w:val="-22"/>
          <w:w w:val="105"/>
        </w:rPr>
        <w:t> </w:t>
      </w:r>
      <w:r>
        <w:rPr>
          <w:color w:val="231F20"/>
          <w:w w:val="105"/>
        </w:rPr>
        <w:t>con</w:t>
      </w:r>
      <w:r>
        <w:rPr>
          <w:color w:val="231F20"/>
          <w:spacing w:val="-22"/>
          <w:w w:val="105"/>
        </w:rPr>
        <w:t> </w:t>
      </w:r>
      <w:r>
        <w:rPr>
          <w:color w:val="231F20"/>
          <w:w w:val="105"/>
        </w:rPr>
        <w:t>su</w:t>
      </w:r>
      <w:r>
        <w:rPr>
          <w:color w:val="231F20"/>
          <w:spacing w:val="-22"/>
          <w:w w:val="105"/>
        </w:rPr>
        <w:t> </w:t>
      </w:r>
      <w:r>
        <w:rPr>
          <w:color w:val="231F20"/>
          <w:w w:val="105"/>
        </w:rPr>
        <w:t>esposo.</w:t>
      </w:r>
    </w:p>
    <w:p>
      <w:pPr>
        <w:pStyle w:val="BodyText"/>
        <w:spacing w:line="261" w:lineRule="auto"/>
        <w:ind w:left="1724" w:right="1834" w:firstLine="566"/>
        <w:jc w:val="both"/>
      </w:pPr>
      <w:r>
        <w:rPr>
          <w:rFonts w:ascii="Arial" w:hAnsi="Arial"/>
          <w:color w:val="231F20"/>
          <w:w w:val="105"/>
        </w:rPr>
        <w:t>Roberto</w:t>
      </w:r>
      <w:r>
        <w:rPr>
          <w:rFonts w:ascii="Arial" w:hAnsi="Arial"/>
          <w:color w:val="231F20"/>
          <w:w w:val="105"/>
          <w:position w:val="7"/>
          <w:sz w:val="12"/>
        </w:rPr>
        <w:t>7</w:t>
      </w:r>
      <w:r>
        <w:rPr>
          <w:color w:val="231F20"/>
          <w:w w:val="105"/>
        </w:rPr>
        <w:t>:</w:t>
      </w:r>
      <w:r>
        <w:rPr>
          <w:color w:val="231F20"/>
          <w:spacing w:val="-15"/>
          <w:w w:val="105"/>
        </w:rPr>
        <w:t> </w:t>
      </w:r>
      <w:r>
        <w:rPr>
          <w:color w:val="231F20"/>
          <w:w w:val="105"/>
        </w:rPr>
        <w:t>48</w:t>
      </w:r>
      <w:r>
        <w:rPr>
          <w:color w:val="231F20"/>
          <w:spacing w:val="-15"/>
          <w:w w:val="105"/>
        </w:rPr>
        <w:t> </w:t>
      </w:r>
      <w:r>
        <w:rPr>
          <w:color w:val="231F20"/>
          <w:w w:val="105"/>
        </w:rPr>
        <w:t>años,</w:t>
      </w:r>
      <w:r>
        <w:rPr>
          <w:color w:val="231F20"/>
          <w:spacing w:val="-20"/>
          <w:w w:val="105"/>
        </w:rPr>
        <w:t> </w:t>
      </w:r>
      <w:r>
        <w:rPr>
          <w:color w:val="231F20"/>
          <w:w w:val="105"/>
        </w:rPr>
        <w:t>casado,</w:t>
      </w:r>
      <w:r>
        <w:rPr>
          <w:color w:val="231F20"/>
          <w:spacing w:val="-20"/>
          <w:w w:val="105"/>
        </w:rPr>
        <w:t> </w:t>
      </w:r>
      <w:r>
        <w:rPr>
          <w:color w:val="231F20"/>
          <w:w w:val="105"/>
        </w:rPr>
        <w:t>retornado</w:t>
      </w:r>
      <w:r>
        <w:rPr>
          <w:color w:val="231F20"/>
          <w:spacing w:val="-15"/>
          <w:w w:val="105"/>
        </w:rPr>
        <w:t> </w:t>
      </w:r>
      <w:r>
        <w:rPr>
          <w:color w:val="231F20"/>
          <w:w w:val="105"/>
        </w:rPr>
        <w:t>de</w:t>
      </w:r>
      <w:r>
        <w:rPr>
          <w:color w:val="231F20"/>
          <w:spacing w:val="-15"/>
          <w:w w:val="105"/>
        </w:rPr>
        <w:t> </w:t>
      </w:r>
      <w:r>
        <w:rPr>
          <w:color w:val="231F20"/>
          <w:w w:val="105"/>
        </w:rPr>
        <w:t>Estados</w:t>
      </w:r>
      <w:r>
        <w:rPr>
          <w:color w:val="231F20"/>
          <w:spacing w:val="-15"/>
          <w:w w:val="105"/>
        </w:rPr>
        <w:t> </w:t>
      </w:r>
      <w:r>
        <w:rPr>
          <w:color w:val="231F20"/>
          <w:w w:val="105"/>
        </w:rPr>
        <w:t>Unidos</w:t>
      </w:r>
      <w:r>
        <w:rPr>
          <w:color w:val="231F20"/>
          <w:spacing w:val="-15"/>
          <w:w w:val="105"/>
        </w:rPr>
        <w:t> </w:t>
      </w:r>
      <w:r>
        <w:rPr>
          <w:color w:val="231F20"/>
          <w:w w:val="105"/>
        </w:rPr>
        <w:t>en</w:t>
      </w:r>
      <w:r>
        <w:rPr>
          <w:color w:val="231F20"/>
          <w:spacing w:val="-15"/>
          <w:w w:val="105"/>
        </w:rPr>
        <w:t> </w:t>
      </w:r>
      <w:r>
        <w:rPr>
          <w:color w:val="231F20"/>
          <w:w w:val="105"/>
        </w:rPr>
        <w:t>enero de 2010, después de vivir en aquél país por 20 años. Actualmente es trabajador por cuenta propia, tiene un pequeño taller de carpintería y herrería en la colonia La </w:t>
      </w:r>
      <w:r>
        <w:rPr>
          <w:color w:val="231F20"/>
          <w:spacing w:val="-3"/>
          <w:w w:val="105"/>
        </w:rPr>
        <w:t>Perla, </w:t>
      </w:r>
      <w:r>
        <w:rPr>
          <w:color w:val="231F20"/>
          <w:w w:val="105"/>
        </w:rPr>
        <w:t>en Nezahualcóyotl, localizado a dos ca- sas del hogar de su madre, donde él y su familia residen. Roberto tam- bién</w:t>
      </w:r>
      <w:r>
        <w:rPr>
          <w:color w:val="231F20"/>
          <w:spacing w:val="-13"/>
          <w:w w:val="105"/>
        </w:rPr>
        <w:t> </w:t>
      </w:r>
      <w:r>
        <w:rPr>
          <w:color w:val="231F20"/>
          <w:w w:val="105"/>
        </w:rPr>
        <w:t>es</w:t>
      </w:r>
      <w:r>
        <w:rPr>
          <w:color w:val="231F20"/>
          <w:spacing w:val="-13"/>
          <w:w w:val="105"/>
        </w:rPr>
        <w:t> </w:t>
      </w:r>
      <w:r>
        <w:rPr>
          <w:color w:val="231F20"/>
          <w:w w:val="105"/>
        </w:rPr>
        <w:t>inmigrante</w:t>
      </w:r>
      <w:r>
        <w:rPr>
          <w:color w:val="231F20"/>
          <w:spacing w:val="-13"/>
          <w:w w:val="105"/>
        </w:rPr>
        <w:t> </w:t>
      </w:r>
      <w:r>
        <w:rPr>
          <w:color w:val="231F20"/>
          <w:w w:val="105"/>
        </w:rPr>
        <w:t>en</w:t>
      </w:r>
      <w:r>
        <w:rPr>
          <w:color w:val="231F20"/>
          <w:spacing w:val="-13"/>
          <w:w w:val="105"/>
        </w:rPr>
        <w:t> </w:t>
      </w:r>
      <w:r>
        <w:rPr>
          <w:color w:val="231F20"/>
          <w:w w:val="105"/>
        </w:rPr>
        <w:t>Nezahualcóyotl,</w:t>
      </w:r>
      <w:r>
        <w:rPr>
          <w:color w:val="231F20"/>
          <w:spacing w:val="-19"/>
          <w:w w:val="105"/>
        </w:rPr>
        <w:t> </w:t>
      </w:r>
      <w:r>
        <w:rPr>
          <w:color w:val="231F20"/>
          <w:w w:val="105"/>
        </w:rPr>
        <w:t>a</w:t>
      </w:r>
      <w:r>
        <w:rPr>
          <w:color w:val="231F20"/>
          <w:spacing w:val="-13"/>
          <w:w w:val="105"/>
        </w:rPr>
        <w:t> </w:t>
      </w:r>
      <w:r>
        <w:rPr>
          <w:color w:val="231F20"/>
          <w:w w:val="105"/>
        </w:rPr>
        <w:t>donde</w:t>
      </w:r>
      <w:r>
        <w:rPr>
          <w:color w:val="231F20"/>
          <w:spacing w:val="-13"/>
          <w:w w:val="105"/>
        </w:rPr>
        <w:t> </w:t>
      </w:r>
      <w:r>
        <w:rPr>
          <w:color w:val="231F20"/>
          <w:w w:val="105"/>
        </w:rPr>
        <w:t>llegó</w:t>
      </w:r>
      <w:r>
        <w:rPr>
          <w:color w:val="231F20"/>
          <w:spacing w:val="-13"/>
          <w:w w:val="105"/>
        </w:rPr>
        <w:t> </w:t>
      </w:r>
      <w:r>
        <w:rPr>
          <w:color w:val="231F20"/>
          <w:w w:val="105"/>
        </w:rPr>
        <w:t>con</w:t>
      </w:r>
      <w:r>
        <w:rPr>
          <w:color w:val="231F20"/>
          <w:spacing w:val="-13"/>
          <w:w w:val="105"/>
        </w:rPr>
        <w:t> </w:t>
      </w:r>
      <w:r>
        <w:rPr>
          <w:color w:val="231F20"/>
          <w:w w:val="105"/>
        </w:rPr>
        <w:t>sus</w:t>
      </w:r>
      <w:r>
        <w:rPr>
          <w:color w:val="231F20"/>
          <w:spacing w:val="-13"/>
          <w:w w:val="105"/>
        </w:rPr>
        <w:t> </w:t>
      </w:r>
      <w:r>
        <w:rPr>
          <w:color w:val="231F20"/>
          <w:w w:val="105"/>
        </w:rPr>
        <w:t>padres</w:t>
      </w:r>
      <w:r>
        <w:rPr>
          <w:color w:val="231F20"/>
          <w:spacing w:val="-13"/>
          <w:w w:val="105"/>
        </w:rPr>
        <w:t> </w:t>
      </w:r>
      <w:r>
        <w:rPr>
          <w:color w:val="231F20"/>
          <w:w w:val="105"/>
        </w:rPr>
        <w:t>a</w:t>
      </w:r>
      <w:r>
        <w:rPr>
          <w:color w:val="231F20"/>
          <w:spacing w:val="-13"/>
          <w:w w:val="105"/>
        </w:rPr>
        <w:t> </w:t>
      </w:r>
      <w:r>
        <w:rPr>
          <w:color w:val="231F20"/>
          <w:w w:val="105"/>
        </w:rPr>
        <w:t>la edad de cuatro años, procedente de un pequeño pueblo del estado de Michoacán.</w:t>
      </w:r>
      <w:r>
        <w:rPr>
          <w:color w:val="231F20"/>
          <w:spacing w:val="-13"/>
          <w:w w:val="105"/>
        </w:rPr>
        <w:t> </w:t>
      </w:r>
      <w:r>
        <w:rPr>
          <w:color w:val="231F20"/>
          <w:w w:val="105"/>
        </w:rPr>
        <w:t>Ocupa</w:t>
      </w:r>
      <w:r>
        <w:rPr>
          <w:color w:val="231F20"/>
          <w:spacing w:val="-7"/>
          <w:w w:val="105"/>
        </w:rPr>
        <w:t> </w:t>
      </w:r>
      <w:r>
        <w:rPr>
          <w:color w:val="231F20"/>
          <w:w w:val="105"/>
        </w:rPr>
        <w:t>el</w:t>
      </w:r>
      <w:r>
        <w:rPr>
          <w:color w:val="231F20"/>
          <w:spacing w:val="-7"/>
          <w:w w:val="105"/>
        </w:rPr>
        <w:t> </w:t>
      </w:r>
      <w:r>
        <w:rPr>
          <w:color w:val="231F20"/>
          <w:w w:val="105"/>
        </w:rPr>
        <w:t>quinto</w:t>
      </w:r>
      <w:r>
        <w:rPr>
          <w:color w:val="231F20"/>
          <w:spacing w:val="-7"/>
          <w:w w:val="105"/>
        </w:rPr>
        <w:t> </w:t>
      </w:r>
      <w:r>
        <w:rPr>
          <w:color w:val="231F20"/>
          <w:w w:val="105"/>
        </w:rPr>
        <w:t>lugar</w:t>
      </w:r>
      <w:r>
        <w:rPr>
          <w:color w:val="231F20"/>
          <w:spacing w:val="-7"/>
          <w:w w:val="105"/>
        </w:rPr>
        <w:t> </w:t>
      </w:r>
      <w:r>
        <w:rPr>
          <w:color w:val="231F20"/>
          <w:w w:val="105"/>
        </w:rPr>
        <w:t>entre</w:t>
      </w:r>
      <w:r>
        <w:rPr>
          <w:color w:val="231F20"/>
          <w:spacing w:val="-7"/>
          <w:w w:val="105"/>
        </w:rPr>
        <w:t> </w:t>
      </w:r>
      <w:r>
        <w:rPr>
          <w:color w:val="231F20"/>
          <w:w w:val="105"/>
        </w:rPr>
        <w:t>sus</w:t>
      </w:r>
      <w:r>
        <w:rPr>
          <w:color w:val="231F20"/>
          <w:spacing w:val="-7"/>
          <w:w w:val="105"/>
        </w:rPr>
        <w:t> </w:t>
      </w:r>
      <w:r>
        <w:rPr>
          <w:color w:val="231F20"/>
          <w:w w:val="105"/>
        </w:rPr>
        <w:t>13</w:t>
      </w:r>
      <w:r>
        <w:rPr>
          <w:color w:val="231F20"/>
          <w:spacing w:val="-7"/>
          <w:w w:val="105"/>
        </w:rPr>
        <w:t> </w:t>
      </w:r>
      <w:r>
        <w:rPr>
          <w:color w:val="231F20"/>
          <w:w w:val="105"/>
        </w:rPr>
        <w:t>hermanos.</w:t>
      </w:r>
      <w:r>
        <w:rPr>
          <w:color w:val="231F20"/>
          <w:spacing w:val="-13"/>
          <w:w w:val="105"/>
        </w:rPr>
        <w:t> </w:t>
      </w:r>
      <w:r>
        <w:rPr>
          <w:color w:val="231F20"/>
          <w:w w:val="105"/>
        </w:rPr>
        <w:t>En</w:t>
      </w:r>
      <w:r>
        <w:rPr>
          <w:color w:val="231F20"/>
          <w:spacing w:val="-7"/>
          <w:w w:val="105"/>
        </w:rPr>
        <w:t> </w:t>
      </w:r>
      <w:r>
        <w:rPr>
          <w:color w:val="231F20"/>
          <w:w w:val="105"/>
        </w:rPr>
        <w:t>1990,</w:t>
      </w:r>
      <w:r>
        <w:rPr>
          <w:color w:val="231F20"/>
          <w:spacing w:val="-13"/>
          <w:w w:val="105"/>
        </w:rPr>
        <w:t> </w:t>
      </w:r>
      <w:r>
        <w:rPr>
          <w:color w:val="231F20"/>
          <w:w w:val="105"/>
        </w:rPr>
        <w:t>con 28 años, viajó a California, específicamente a Long Beach donde vivía una</w:t>
      </w:r>
      <w:r>
        <w:rPr>
          <w:color w:val="231F20"/>
          <w:spacing w:val="-4"/>
          <w:w w:val="105"/>
        </w:rPr>
        <w:t> </w:t>
      </w:r>
      <w:r>
        <w:rPr>
          <w:color w:val="231F20"/>
          <w:w w:val="105"/>
        </w:rPr>
        <w:t>hermana</w:t>
      </w:r>
      <w:r>
        <w:rPr>
          <w:color w:val="231F20"/>
          <w:spacing w:val="-5"/>
          <w:w w:val="105"/>
        </w:rPr>
        <w:t> </w:t>
      </w:r>
      <w:r>
        <w:rPr>
          <w:color w:val="231F20"/>
          <w:w w:val="105"/>
        </w:rPr>
        <w:t>que</w:t>
      </w:r>
      <w:r>
        <w:rPr>
          <w:color w:val="231F20"/>
          <w:spacing w:val="-5"/>
          <w:w w:val="105"/>
        </w:rPr>
        <w:t> </w:t>
      </w:r>
      <w:r>
        <w:rPr>
          <w:color w:val="231F20"/>
          <w:w w:val="105"/>
        </w:rPr>
        <w:t>estaba</w:t>
      </w:r>
      <w:r>
        <w:rPr>
          <w:color w:val="231F20"/>
          <w:spacing w:val="-4"/>
          <w:w w:val="105"/>
        </w:rPr>
        <w:t> </w:t>
      </w:r>
      <w:r>
        <w:rPr>
          <w:color w:val="231F20"/>
          <w:w w:val="105"/>
        </w:rPr>
        <w:t>casada</w:t>
      </w:r>
      <w:r>
        <w:rPr>
          <w:color w:val="231F20"/>
          <w:spacing w:val="-4"/>
          <w:w w:val="105"/>
        </w:rPr>
        <w:t> </w:t>
      </w:r>
      <w:r>
        <w:rPr>
          <w:color w:val="231F20"/>
          <w:w w:val="105"/>
        </w:rPr>
        <w:t>y</w:t>
      </w:r>
      <w:r>
        <w:rPr>
          <w:color w:val="231F20"/>
          <w:spacing w:val="-4"/>
          <w:w w:val="105"/>
        </w:rPr>
        <w:t> </w:t>
      </w:r>
      <w:r>
        <w:rPr>
          <w:color w:val="231F20"/>
          <w:w w:val="105"/>
        </w:rPr>
        <w:t>trabajaba</w:t>
      </w:r>
      <w:r>
        <w:rPr>
          <w:color w:val="231F20"/>
          <w:spacing w:val="-4"/>
          <w:w w:val="105"/>
        </w:rPr>
        <w:t> </w:t>
      </w:r>
      <w:r>
        <w:rPr>
          <w:color w:val="231F20"/>
          <w:w w:val="105"/>
        </w:rPr>
        <w:t>como</w:t>
      </w:r>
      <w:r>
        <w:rPr>
          <w:color w:val="231F20"/>
          <w:spacing w:val="-4"/>
          <w:w w:val="105"/>
        </w:rPr>
        <w:t> </w:t>
      </w:r>
      <w:r>
        <w:rPr>
          <w:rFonts w:ascii="Arial" w:hAnsi="Arial"/>
          <w:i/>
          <w:color w:val="231F20"/>
          <w:w w:val="105"/>
        </w:rPr>
        <w:t>baby</w:t>
      </w:r>
      <w:r>
        <w:rPr>
          <w:rFonts w:ascii="Arial" w:hAnsi="Arial"/>
          <w:i/>
          <w:color w:val="231F20"/>
          <w:spacing w:val="-7"/>
          <w:w w:val="105"/>
        </w:rPr>
        <w:t> </w:t>
      </w:r>
      <w:r>
        <w:rPr>
          <w:rFonts w:ascii="Arial" w:hAnsi="Arial"/>
          <w:i/>
          <w:color w:val="231F20"/>
          <w:w w:val="105"/>
        </w:rPr>
        <w:t>sitter</w:t>
      </w:r>
      <w:r>
        <w:rPr>
          <w:rFonts w:ascii="Arial" w:hAnsi="Arial"/>
          <w:i/>
          <w:color w:val="231F20"/>
          <w:spacing w:val="-7"/>
          <w:w w:val="105"/>
        </w:rPr>
        <w:t> </w:t>
      </w:r>
      <w:r>
        <w:rPr>
          <w:color w:val="231F20"/>
          <w:w w:val="105"/>
        </w:rPr>
        <w:t>en</w:t>
      </w:r>
      <w:r>
        <w:rPr>
          <w:color w:val="231F20"/>
          <w:spacing w:val="-4"/>
          <w:w w:val="105"/>
        </w:rPr>
        <w:t> </w:t>
      </w:r>
      <w:r>
        <w:rPr>
          <w:color w:val="231F20"/>
          <w:w w:val="105"/>
        </w:rPr>
        <w:t>aque- lla</w:t>
      </w:r>
      <w:r>
        <w:rPr>
          <w:color w:val="231F20"/>
          <w:spacing w:val="-7"/>
          <w:w w:val="105"/>
        </w:rPr>
        <w:t> </w:t>
      </w:r>
      <w:r>
        <w:rPr>
          <w:color w:val="231F20"/>
          <w:w w:val="105"/>
        </w:rPr>
        <w:t>ciudad.</w:t>
      </w:r>
      <w:r>
        <w:rPr>
          <w:color w:val="231F20"/>
          <w:spacing w:val="-13"/>
          <w:w w:val="105"/>
        </w:rPr>
        <w:t> </w:t>
      </w:r>
      <w:r>
        <w:rPr>
          <w:color w:val="231F20"/>
          <w:w w:val="105"/>
        </w:rPr>
        <w:t>Roberto</w:t>
      </w:r>
      <w:r>
        <w:rPr>
          <w:color w:val="231F20"/>
          <w:spacing w:val="-7"/>
          <w:w w:val="105"/>
        </w:rPr>
        <w:t> </w:t>
      </w:r>
      <w:r>
        <w:rPr>
          <w:color w:val="231F20"/>
          <w:w w:val="105"/>
        </w:rPr>
        <w:t>vivía</w:t>
      </w:r>
      <w:r>
        <w:rPr>
          <w:color w:val="231F20"/>
          <w:spacing w:val="-7"/>
          <w:w w:val="105"/>
        </w:rPr>
        <w:t> </w:t>
      </w:r>
      <w:r>
        <w:rPr>
          <w:color w:val="231F20"/>
          <w:w w:val="105"/>
        </w:rPr>
        <w:t>con</w:t>
      </w:r>
      <w:r>
        <w:rPr>
          <w:color w:val="231F20"/>
          <w:spacing w:val="-7"/>
          <w:w w:val="105"/>
        </w:rPr>
        <w:t> </w:t>
      </w:r>
      <w:r>
        <w:rPr>
          <w:color w:val="231F20"/>
          <w:w w:val="105"/>
        </w:rPr>
        <w:t>su</w:t>
      </w:r>
      <w:r>
        <w:rPr>
          <w:color w:val="231F20"/>
          <w:spacing w:val="-7"/>
          <w:w w:val="105"/>
        </w:rPr>
        <w:t> </w:t>
      </w:r>
      <w:r>
        <w:rPr>
          <w:color w:val="231F20"/>
          <w:w w:val="105"/>
        </w:rPr>
        <w:t>hijo</w:t>
      </w:r>
      <w:r>
        <w:rPr>
          <w:color w:val="231F20"/>
          <w:spacing w:val="-7"/>
          <w:w w:val="105"/>
        </w:rPr>
        <w:t> </w:t>
      </w:r>
      <w:r>
        <w:rPr>
          <w:color w:val="231F20"/>
          <w:w w:val="105"/>
        </w:rPr>
        <w:t>de</w:t>
      </w:r>
      <w:r>
        <w:rPr>
          <w:color w:val="231F20"/>
          <w:spacing w:val="-7"/>
          <w:w w:val="105"/>
        </w:rPr>
        <w:t> </w:t>
      </w:r>
      <w:r>
        <w:rPr>
          <w:color w:val="231F20"/>
          <w:w w:val="105"/>
        </w:rPr>
        <w:t>cuatro</w:t>
      </w:r>
      <w:r>
        <w:rPr>
          <w:color w:val="231F20"/>
          <w:spacing w:val="-7"/>
          <w:w w:val="105"/>
        </w:rPr>
        <w:t> </w:t>
      </w:r>
      <w:r>
        <w:rPr>
          <w:color w:val="231F20"/>
          <w:w w:val="105"/>
        </w:rPr>
        <w:t>años</w:t>
      </w:r>
      <w:r>
        <w:rPr>
          <w:color w:val="231F20"/>
          <w:spacing w:val="-7"/>
          <w:w w:val="105"/>
        </w:rPr>
        <w:t> </w:t>
      </w:r>
      <w:r>
        <w:rPr>
          <w:color w:val="231F20"/>
          <w:w w:val="105"/>
        </w:rPr>
        <w:t>y</w:t>
      </w:r>
      <w:r>
        <w:rPr>
          <w:color w:val="231F20"/>
          <w:spacing w:val="-7"/>
          <w:w w:val="105"/>
        </w:rPr>
        <w:t> </w:t>
      </w:r>
      <w:r>
        <w:rPr>
          <w:color w:val="231F20"/>
          <w:w w:val="105"/>
        </w:rPr>
        <w:t>su</w:t>
      </w:r>
      <w:r>
        <w:rPr>
          <w:color w:val="231F20"/>
          <w:spacing w:val="-7"/>
          <w:w w:val="105"/>
        </w:rPr>
        <w:t> </w:t>
      </w:r>
      <w:r>
        <w:rPr>
          <w:color w:val="231F20"/>
          <w:w w:val="105"/>
        </w:rPr>
        <w:t>esposa,</w:t>
      </w:r>
      <w:r>
        <w:rPr>
          <w:color w:val="231F20"/>
          <w:spacing w:val="-13"/>
          <w:w w:val="105"/>
        </w:rPr>
        <w:t> </w:t>
      </w:r>
      <w:r>
        <w:rPr>
          <w:color w:val="231F20"/>
          <w:w w:val="105"/>
        </w:rPr>
        <w:t>los</w:t>
      </w:r>
      <w:r>
        <w:rPr>
          <w:color w:val="231F20"/>
          <w:spacing w:val="-7"/>
          <w:w w:val="105"/>
        </w:rPr>
        <w:t> </w:t>
      </w:r>
      <w:r>
        <w:rPr>
          <w:color w:val="231F20"/>
          <w:w w:val="105"/>
        </w:rPr>
        <w:t>tres miembros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familia</w:t>
      </w:r>
      <w:r>
        <w:rPr>
          <w:color w:val="231F20"/>
          <w:spacing w:val="-16"/>
          <w:w w:val="105"/>
        </w:rPr>
        <w:t> </w:t>
      </w:r>
      <w:r>
        <w:rPr>
          <w:color w:val="231F20"/>
          <w:w w:val="105"/>
        </w:rPr>
        <w:t>emigraron</w:t>
      </w:r>
      <w:r>
        <w:rPr>
          <w:color w:val="231F20"/>
          <w:spacing w:val="-16"/>
          <w:w w:val="105"/>
        </w:rPr>
        <w:t> </w:t>
      </w:r>
      <w:r>
        <w:rPr>
          <w:color w:val="231F20"/>
          <w:w w:val="105"/>
        </w:rPr>
        <w:t>y</w:t>
      </w:r>
      <w:r>
        <w:rPr>
          <w:color w:val="231F20"/>
          <w:spacing w:val="-16"/>
          <w:w w:val="105"/>
        </w:rPr>
        <w:t> </w:t>
      </w:r>
      <w:r>
        <w:rPr>
          <w:color w:val="231F20"/>
          <w:w w:val="105"/>
        </w:rPr>
        <w:t>realizaron</w:t>
      </w:r>
      <w:r>
        <w:rPr>
          <w:color w:val="231F20"/>
          <w:spacing w:val="-16"/>
          <w:w w:val="105"/>
        </w:rPr>
        <w:t> </w:t>
      </w:r>
      <w:r>
        <w:rPr>
          <w:color w:val="231F20"/>
          <w:w w:val="105"/>
        </w:rPr>
        <w:t>juntos</w:t>
      </w:r>
      <w:r>
        <w:rPr>
          <w:color w:val="231F20"/>
          <w:spacing w:val="-16"/>
          <w:w w:val="105"/>
        </w:rPr>
        <w:t> </w:t>
      </w:r>
      <w:r>
        <w:rPr>
          <w:color w:val="231F20"/>
          <w:w w:val="105"/>
        </w:rPr>
        <w:t>el</w:t>
      </w:r>
      <w:r>
        <w:rPr>
          <w:color w:val="231F20"/>
          <w:spacing w:val="-16"/>
          <w:w w:val="105"/>
        </w:rPr>
        <w:t> </w:t>
      </w:r>
      <w:r>
        <w:rPr>
          <w:color w:val="231F20"/>
          <w:w w:val="105"/>
        </w:rPr>
        <w:t>viaje.</w:t>
      </w:r>
    </w:p>
    <w:p>
      <w:pPr>
        <w:pStyle w:val="BodyText"/>
        <w:spacing w:line="261" w:lineRule="auto" w:before="1"/>
        <w:ind w:left="1724" w:right="1834" w:firstLine="567"/>
        <w:jc w:val="both"/>
      </w:pPr>
      <w:r>
        <w:rPr>
          <w:color w:val="231F20"/>
          <w:w w:val="105"/>
        </w:rPr>
        <w:t>En</w:t>
      </w:r>
      <w:r>
        <w:rPr>
          <w:color w:val="231F20"/>
          <w:spacing w:val="-6"/>
          <w:w w:val="105"/>
        </w:rPr>
        <w:t> </w:t>
      </w:r>
      <w:r>
        <w:rPr>
          <w:color w:val="231F20"/>
          <w:w w:val="105"/>
        </w:rPr>
        <w:t>Nezahualcóyotl,</w:t>
      </w:r>
      <w:r>
        <w:rPr>
          <w:color w:val="231F20"/>
          <w:spacing w:val="-11"/>
          <w:w w:val="105"/>
        </w:rPr>
        <w:t> </w:t>
      </w:r>
      <w:r>
        <w:rPr>
          <w:color w:val="231F20"/>
          <w:w w:val="105"/>
        </w:rPr>
        <w:t>Roberto</w:t>
      </w:r>
      <w:r>
        <w:rPr>
          <w:color w:val="231F20"/>
          <w:spacing w:val="-6"/>
          <w:w w:val="105"/>
        </w:rPr>
        <w:t> </w:t>
      </w:r>
      <w:r>
        <w:rPr>
          <w:color w:val="231F20"/>
          <w:w w:val="105"/>
        </w:rPr>
        <w:t>trabajaba</w:t>
      </w:r>
      <w:r>
        <w:rPr>
          <w:color w:val="231F20"/>
          <w:spacing w:val="-6"/>
          <w:w w:val="105"/>
        </w:rPr>
        <w:t> </w:t>
      </w:r>
      <w:r>
        <w:rPr>
          <w:color w:val="231F20"/>
          <w:w w:val="105"/>
        </w:rPr>
        <w:t>como</w:t>
      </w:r>
      <w:r>
        <w:rPr>
          <w:color w:val="231F20"/>
          <w:spacing w:val="-6"/>
          <w:w w:val="105"/>
        </w:rPr>
        <w:t> </w:t>
      </w:r>
      <w:r>
        <w:rPr>
          <w:color w:val="231F20"/>
          <w:w w:val="105"/>
        </w:rPr>
        <w:t>empleado</w:t>
      </w:r>
      <w:r>
        <w:rPr>
          <w:color w:val="231F20"/>
          <w:spacing w:val="-6"/>
          <w:w w:val="105"/>
        </w:rPr>
        <w:t> </w:t>
      </w:r>
      <w:r>
        <w:rPr>
          <w:color w:val="231F20"/>
          <w:w w:val="105"/>
        </w:rPr>
        <w:t>en</w:t>
      </w:r>
      <w:r>
        <w:rPr>
          <w:color w:val="231F20"/>
          <w:spacing w:val="-6"/>
          <w:w w:val="105"/>
        </w:rPr>
        <w:t> </w:t>
      </w:r>
      <w:r>
        <w:rPr>
          <w:color w:val="231F20"/>
          <w:w w:val="105"/>
        </w:rPr>
        <w:t>una</w:t>
      </w:r>
      <w:r>
        <w:rPr>
          <w:color w:val="231F20"/>
          <w:spacing w:val="-6"/>
          <w:w w:val="105"/>
        </w:rPr>
        <w:t> </w:t>
      </w:r>
      <w:r>
        <w:rPr>
          <w:color w:val="231F20"/>
          <w:w w:val="105"/>
        </w:rPr>
        <w:t>fá- brica, donde hacía trabajo de herrería y eventualmente también carpin- tería,</w:t>
      </w:r>
      <w:r>
        <w:rPr>
          <w:color w:val="231F20"/>
          <w:spacing w:val="-17"/>
          <w:w w:val="105"/>
        </w:rPr>
        <w:t> </w:t>
      </w:r>
      <w:r>
        <w:rPr>
          <w:color w:val="231F20"/>
          <w:w w:val="105"/>
        </w:rPr>
        <w:t>ambos</w:t>
      </w:r>
      <w:r>
        <w:rPr>
          <w:color w:val="231F20"/>
          <w:spacing w:val="-12"/>
          <w:w w:val="105"/>
        </w:rPr>
        <w:t> </w:t>
      </w:r>
      <w:r>
        <w:rPr>
          <w:color w:val="231F20"/>
          <w:w w:val="105"/>
        </w:rPr>
        <w:t>oficios</w:t>
      </w:r>
      <w:r>
        <w:rPr>
          <w:color w:val="231F20"/>
          <w:spacing w:val="-12"/>
          <w:w w:val="105"/>
        </w:rPr>
        <w:t> </w:t>
      </w:r>
      <w:r>
        <w:rPr>
          <w:color w:val="231F20"/>
          <w:w w:val="105"/>
        </w:rPr>
        <w:t>los</w:t>
      </w:r>
      <w:r>
        <w:rPr>
          <w:color w:val="231F20"/>
          <w:spacing w:val="-12"/>
          <w:w w:val="105"/>
        </w:rPr>
        <w:t> </w:t>
      </w:r>
      <w:r>
        <w:rPr>
          <w:color w:val="231F20"/>
          <w:w w:val="105"/>
        </w:rPr>
        <w:t>había</w:t>
      </w:r>
      <w:r>
        <w:rPr>
          <w:color w:val="231F20"/>
          <w:spacing w:val="-12"/>
          <w:w w:val="105"/>
        </w:rPr>
        <w:t> </w:t>
      </w:r>
      <w:r>
        <w:rPr>
          <w:color w:val="231F20"/>
          <w:w w:val="105"/>
        </w:rPr>
        <w:t>aprendido</w:t>
      </w:r>
      <w:r>
        <w:rPr>
          <w:color w:val="231F20"/>
          <w:spacing w:val="-12"/>
          <w:w w:val="105"/>
        </w:rPr>
        <w:t> </w:t>
      </w:r>
      <w:r>
        <w:rPr>
          <w:color w:val="231F20"/>
          <w:w w:val="105"/>
        </w:rPr>
        <w:t>con</w:t>
      </w:r>
      <w:r>
        <w:rPr>
          <w:color w:val="231F20"/>
          <w:spacing w:val="-12"/>
          <w:w w:val="105"/>
        </w:rPr>
        <w:t> </w:t>
      </w:r>
      <w:r>
        <w:rPr>
          <w:color w:val="231F20"/>
          <w:w w:val="105"/>
        </w:rPr>
        <w:t>sus</w:t>
      </w:r>
      <w:r>
        <w:rPr>
          <w:color w:val="231F20"/>
          <w:spacing w:val="-12"/>
          <w:w w:val="105"/>
        </w:rPr>
        <w:t> </w:t>
      </w:r>
      <w:r>
        <w:rPr>
          <w:color w:val="231F20"/>
          <w:w w:val="105"/>
        </w:rPr>
        <w:t>hermanos</w:t>
      </w:r>
      <w:r>
        <w:rPr>
          <w:color w:val="231F20"/>
          <w:spacing w:val="-12"/>
          <w:w w:val="105"/>
        </w:rPr>
        <w:t> </w:t>
      </w:r>
      <w:r>
        <w:rPr>
          <w:color w:val="231F20"/>
          <w:w w:val="105"/>
        </w:rPr>
        <w:t>y</w:t>
      </w:r>
      <w:r>
        <w:rPr>
          <w:color w:val="231F20"/>
          <w:spacing w:val="-12"/>
          <w:w w:val="105"/>
        </w:rPr>
        <w:t> </w:t>
      </w:r>
      <w:r>
        <w:rPr>
          <w:color w:val="231F20"/>
          <w:w w:val="105"/>
        </w:rPr>
        <w:t>padre.</w:t>
      </w:r>
      <w:r>
        <w:rPr>
          <w:color w:val="231F20"/>
          <w:spacing w:val="-17"/>
          <w:w w:val="105"/>
        </w:rPr>
        <w:t> </w:t>
      </w:r>
      <w:r>
        <w:rPr>
          <w:color w:val="231F20"/>
          <w:w w:val="105"/>
        </w:rPr>
        <w:t>Una de</w:t>
      </w:r>
      <w:r>
        <w:rPr>
          <w:color w:val="231F20"/>
          <w:spacing w:val="-21"/>
          <w:w w:val="105"/>
        </w:rPr>
        <w:t> </w:t>
      </w:r>
      <w:r>
        <w:rPr>
          <w:color w:val="231F20"/>
          <w:w w:val="105"/>
        </w:rPr>
        <w:t>las</w:t>
      </w:r>
      <w:r>
        <w:rPr>
          <w:color w:val="231F20"/>
          <w:spacing w:val="-21"/>
          <w:w w:val="105"/>
        </w:rPr>
        <w:t> </w:t>
      </w:r>
      <w:r>
        <w:rPr>
          <w:color w:val="231F20"/>
          <w:w w:val="105"/>
        </w:rPr>
        <w:t>motivaciones</w:t>
      </w:r>
      <w:r>
        <w:rPr>
          <w:color w:val="231F20"/>
          <w:spacing w:val="-21"/>
          <w:w w:val="105"/>
        </w:rPr>
        <w:t> </w:t>
      </w:r>
      <w:r>
        <w:rPr>
          <w:color w:val="231F20"/>
          <w:w w:val="105"/>
        </w:rPr>
        <w:t>para</w:t>
      </w:r>
      <w:r>
        <w:rPr>
          <w:color w:val="231F20"/>
          <w:spacing w:val="-21"/>
          <w:w w:val="105"/>
        </w:rPr>
        <w:t> </w:t>
      </w:r>
      <w:r>
        <w:rPr>
          <w:color w:val="231F20"/>
          <w:w w:val="105"/>
        </w:rPr>
        <w:t>emigrar</w:t>
      </w:r>
      <w:r>
        <w:rPr>
          <w:color w:val="231F20"/>
          <w:spacing w:val="-21"/>
          <w:w w:val="105"/>
        </w:rPr>
        <w:t> </w:t>
      </w:r>
      <w:r>
        <w:rPr>
          <w:color w:val="231F20"/>
          <w:w w:val="105"/>
        </w:rPr>
        <w:t>no</w:t>
      </w:r>
      <w:r>
        <w:rPr>
          <w:color w:val="231F20"/>
          <w:spacing w:val="-21"/>
          <w:w w:val="105"/>
        </w:rPr>
        <w:t> </w:t>
      </w:r>
      <w:r>
        <w:rPr>
          <w:color w:val="231F20"/>
          <w:w w:val="105"/>
        </w:rPr>
        <w:t>fue</w:t>
      </w:r>
      <w:r>
        <w:rPr>
          <w:color w:val="231F20"/>
          <w:spacing w:val="-21"/>
          <w:w w:val="105"/>
        </w:rPr>
        <w:t> </w:t>
      </w:r>
      <w:r>
        <w:rPr>
          <w:color w:val="231F20"/>
          <w:w w:val="105"/>
        </w:rPr>
        <w:t>la</w:t>
      </w:r>
      <w:r>
        <w:rPr>
          <w:color w:val="231F20"/>
          <w:spacing w:val="-21"/>
          <w:w w:val="105"/>
        </w:rPr>
        <w:t> </w:t>
      </w:r>
      <w:r>
        <w:rPr>
          <w:color w:val="231F20"/>
          <w:w w:val="105"/>
        </w:rPr>
        <w:t>falta</w:t>
      </w:r>
      <w:r>
        <w:rPr>
          <w:color w:val="231F20"/>
          <w:spacing w:val="-21"/>
          <w:w w:val="105"/>
        </w:rPr>
        <w:t> </w:t>
      </w:r>
      <w:r>
        <w:rPr>
          <w:color w:val="231F20"/>
          <w:w w:val="105"/>
        </w:rPr>
        <w:t>de</w:t>
      </w:r>
      <w:r>
        <w:rPr>
          <w:color w:val="231F20"/>
          <w:spacing w:val="-21"/>
          <w:w w:val="105"/>
        </w:rPr>
        <w:t> </w:t>
      </w:r>
      <w:r>
        <w:rPr>
          <w:color w:val="231F20"/>
          <w:w w:val="105"/>
        </w:rPr>
        <w:t>empleo,</w:t>
      </w:r>
      <w:r>
        <w:rPr>
          <w:color w:val="231F20"/>
          <w:spacing w:val="-26"/>
          <w:w w:val="105"/>
        </w:rPr>
        <w:t> </w:t>
      </w:r>
      <w:r>
        <w:rPr>
          <w:color w:val="231F20"/>
          <w:w w:val="105"/>
        </w:rPr>
        <w:t>pues</w:t>
      </w:r>
      <w:r>
        <w:rPr>
          <w:color w:val="231F20"/>
          <w:spacing w:val="-21"/>
          <w:w w:val="105"/>
        </w:rPr>
        <w:t> </w:t>
      </w:r>
      <w:r>
        <w:rPr>
          <w:color w:val="231F20"/>
          <w:w w:val="105"/>
        </w:rPr>
        <w:t>asegura “nunca conoció en Neza la carestía de </w:t>
      </w:r>
      <w:r>
        <w:rPr>
          <w:color w:val="231F20"/>
          <w:spacing w:val="-4"/>
          <w:w w:val="105"/>
        </w:rPr>
        <w:t>trabajo”, </w:t>
      </w:r>
      <w:r>
        <w:rPr>
          <w:color w:val="231F20"/>
          <w:w w:val="105"/>
        </w:rPr>
        <w:t>sino un evento que lo desmoralizó:</w:t>
      </w:r>
      <w:r>
        <w:rPr>
          <w:color w:val="231F20"/>
          <w:spacing w:val="-5"/>
          <w:w w:val="105"/>
        </w:rPr>
        <w:t> </w:t>
      </w:r>
      <w:r>
        <w:rPr>
          <w:color w:val="231F20"/>
          <w:w w:val="105"/>
        </w:rPr>
        <w:t>le</w:t>
      </w:r>
      <w:r>
        <w:rPr>
          <w:color w:val="231F20"/>
          <w:spacing w:val="-5"/>
          <w:w w:val="105"/>
        </w:rPr>
        <w:t> </w:t>
      </w:r>
      <w:r>
        <w:rPr>
          <w:color w:val="231F20"/>
          <w:w w:val="105"/>
        </w:rPr>
        <w:t>robaron</w:t>
      </w:r>
      <w:r>
        <w:rPr>
          <w:color w:val="231F20"/>
          <w:spacing w:val="-5"/>
          <w:w w:val="105"/>
        </w:rPr>
        <w:t> </w:t>
      </w:r>
      <w:r>
        <w:rPr>
          <w:color w:val="231F20"/>
          <w:w w:val="105"/>
        </w:rPr>
        <w:t>la</w:t>
      </w:r>
      <w:r>
        <w:rPr>
          <w:color w:val="231F20"/>
          <w:spacing w:val="-5"/>
          <w:w w:val="105"/>
        </w:rPr>
        <w:t> </w:t>
      </w:r>
      <w:r>
        <w:rPr>
          <w:color w:val="231F20"/>
          <w:w w:val="105"/>
        </w:rPr>
        <w:t>herramienta</w:t>
      </w:r>
      <w:r>
        <w:rPr>
          <w:color w:val="231F20"/>
          <w:spacing w:val="-5"/>
          <w:w w:val="105"/>
        </w:rPr>
        <w:t> </w:t>
      </w:r>
      <w:r>
        <w:rPr>
          <w:color w:val="231F20"/>
          <w:w w:val="105"/>
        </w:rPr>
        <w:t>de</w:t>
      </w:r>
      <w:r>
        <w:rPr>
          <w:color w:val="231F20"/>
          <w:spacing w:val="-5"/>
          <w:w w:val="105"/>
        </w:rPr>
        <w:t> </w:t>
      </w:r>
      <w:r>
        <w:rPr>
          <w:color w:val="231F20"/>
          <w:w w:val="105"/>
        </w:rPr>
        <w:t>carpintería</w:t>
      </w:r>
      <w:r>
        <w:rPr>
          <w:color w:val="231F20"/>
          <w:spacing w:val="-5"/>
          <w:w w:val="105"/>
        </w:rPr>
        <w:t> </w:t>
      </w:r>
      <w:r>
        <w:rPr>
          <w:color w:val="231F20"/>
          <w:w w:val="105"/>
        </w:rPr>
        <w:t>que</w:t>
      </w:r>
      <w:r>
        <w:rPr>
          <w:color w:val="231F20"/>
          <w:spacing w:val="-5"/>
          <w:w w:val="105"/>
        </w:rPr>
        <w:t> </w:t>
      </w:r>
      <w:r>
        <w:rPr>
          <w:color w:val="231F20"/>
          <w:w w:val="105"/>
        </w:rPr>
        <w:t>había</w:t>
      </w:r>
      <w:r>
        <w:rPr>
          <w:color w:val="231F20"/>
          <w:spacing w:val="-5"/>
          <w:w w:val="105"/>
        </w:rPr>
        <w:t> </w:t>
      </w:r>
      <w:r>
        <w:rPr>
          <w:color w:val="231F20"/>
          <w:w w:val="105"/>
        </w:rPr>
        <w:t>llevado a</w:t>
      </w:r>
      <w:r>
        <w:rPr>
          <w:color w:val="231F20"/>
          <w:spacing w:val="-15"/>
          <w:w w:val="105"/>
        </w:rPr>
        <w:t> </w:t>
      </w:r>
      <w:r>
        <w:rPr>
          <w:color w:val="231F20"/>
          <w:w w:val="105"/>
        </w:rPr>
        <w:t>la</w:t>
      </w:r>
      <w:r>
        <w:rPr>
          <w:color w:val="231F20"/>
          <w:spacing w:val="-15"/>
          <w:w w:val="105"/>
        </w:rPr>
        <w:t> </w:t>
      </w:r>
      <w:r>
        <w:rPr>
          <w:color w:val="231F20"/>
          <w:w w:val="105"/>
        </w:rPr>
        <w:t>fábrica</w:t>
      </w:r>
      <w:r>
        <w:rPr>
          <w:color w:val="231F20"/>
          <w:spacing w:val="-15"/>
          <w:w w:val="105"/>
        </w:rPr>
        <w:t> </w:t>
      </w:r>
      <w:r>
        <w:rPr>
          <w:color w:val="231F20"/>
          <w:w w:val="105"/>
        </w:rPr>
        <w:t>donde</w:t>
      </w:r>
      <w:r>
        <w:rPr>
          <w:color w:val="231F20"/>
          <w:spacing w:val="-15"/>
          <w:w w:val="105"/>
        </w:rPr>
        <w:t> </w:t>
      </w:r>
      <w:r>
        <w:rPr>
          <w:color w:val="231F20"/>
          <w:w w:val="105"/>
        </w:rPr>
        <w:t>trabajaba</w:t>
      </w:r>
      <w:r>
        <w:rPr>
          <w:color w:val="231F20"/>
          <w:spacing w:val="-15"/>
          <w:w w:val="105"/>
        </w:rPr>
        <w:t> </w:t>
      </w:r>
      <w:r>
        <w:rPr>
          <w:color w:val="231F20"/>
          <w:w w:val="105"/>
        </w:rPr>
        <w:t>para</w:t>
      </w:r>
      <w:r>
        <w:rPr>
          <w:color w:val="231F20"/>
          <w:spacing w:val="-15"/>
          <w:w w:val="105"/>
        </w:rPr>
        <w:t> </w:t>
      </w:r>
      <w:r>
        <w:rPr>
          <w:color w:val="231F20"/>
          <w:w w:val="105"/>
        </w:rPr>
        <w:t>realizar</w:t>
      </w:r>
      <w:r>
        <w:rPr>
          <w:color w:val="231F20"/>
          <w:spacing w:val="-15"/>
          <w:w w:val="105"/>
        </w:rPr>
        <w:t> </w:t>
      </w:r>
      <w:r>
        <w:rPr>
          <w:color w:val="231F20"/>
          <w:w w:val="105"/>
        </w:rPr>
        <w:t>una</w:t>
      </w:r>
      <w:r>
        <w:rPr>
          <w:color w:val="231F20"/>
          <w:spacing w:val="-15"/>
          <w:w w:val="105"/>
        </w:rPr>
        <w:t> </w:t>
      </w:r>
      <w:r>
        <w:rPr>
          <w:color w:val="231F20"/>
          <w:w w:val="105"/>
        </w:rPr>
        <w:t>labor</w:t>
      </w:r>
      <w:r>
        <w:rPr>
          <w:color w:val="231F20"/>
          <w:spacing w:val="-15"/>
          <w:w w:val="105"/>
        </w:rPr>
        <w:t> </w:t>
      </w:r>
      <w:r>
        <w:rPr>
          <w:color w:val="231F20"/>
          <w:w w:val="105"/>
        </w:rPr>
        <w:t>especial.</w:t>
      </w:r>
      <w:r>
        <w:rPr>
          <w:color w:val="231F20"/>
          <w:spacing w:val="-20"/>
          <w:w w:val="105"/>
        </w:rPr>
        <w:t> </w:t>
      </w:r>
      <w:r>
        <w:rPr>
          <w:color w:val="231F20"/>
          <w:w w:val="105"/>
        </w:rPr>
        <w:t>Este</w:t>
      </w:r>
      <w:r>
        <w:rPr>
          <w:color w:val="231F20"/>
          <w:spacing w:val="-15"/>
          <w:w w:val="105"/>
        </w:rPr>
        <w:t> </w:t>
      </w:r>
      <w:r>
        <w:rPr>
          <w:color w:val="231F20"/>
          <w:w w:val="105"/>
        </w:rPr>
        <w:t>hecho lo motivo a emigrar, apoyado por su hermana quien financió el viaje a Long</w:t>
      </w:r>
      <w:r>
        <w:rPr>
          <w:color w:val="231F20"/>
          <w:spacing w:val="-24"/>
          <w:w w:val="105"/>
        </w:rPr>
        <w:t> </w:t>
      </w:r>
      <w:r>
        <w:rPr>
          <w:color w:val="231F20"/>
          <w:w w:val="105"/>
        </w:rPr>
        <w:t>Beach,</w:t>
      </w:r>
      <w:r>
        <w:rPr>
          <w:color w:val="231F20"/>
          <w:spacing w:val="-29"/>
          <w:w w:val="105"/>
        </w:rPr>
        <w:t> </w:t>
      </w:r>
      <w:r>
        <w:rPr>
          <w:color w:val="231F20"/>
          <w:w w:val="105"/>
        </w:rPr>
        <w:t>California,</w:t>
      </w:r>
      <w:r>
        <w:rPr>
          <w:color w:val="231F20"/>
          <w:spacing w:val="-29"/>
          <w:w w:val="105"/>
        </w:rPr>
        <w:t> </w:t>
      </w:r>
      <w:r>
        <w:rPr>
          <w:color w:val="231F20"/>
          <w:w w:val="105"/>
        </w:rPr>
        <w:t>en</w:t>
      </w:r>
      <w:r>
        <w:rPr>
          <w:color w:val="231F20"/>
          <w:spacing w:val="-24"/>
          <w:w w:val="105"/>
        </w:rPr>
        <w:t> </w:t>
      </w:r>
      <w:r>
        <w:rPr>
          <w:color w:val="231F20"/>
          <w:w w:val="105"/>
        </w:rPr>
        <w:t>octubre</w:t>
      </w:r>
      <w:r>
        <w:rPr>
          <w:color w:val="231F20"/>
          <w:spacing w:val="-24"/>
          <w:w w:val="105"/>
        </w:rPr>
        <w:t> </w:t>
      </w:r>
      <w:r>
        <w:rPr>
          <w:color w:val="231F20"/>
          <w:w w:val="105"/>
        </w:rPr>
        <w:t>de</w:t>
      </w:r>
      <w:r>
        <w:rPr>
          <w:color w:val="231F20"/>
          <w:spacing w:val="-24"/>
          <w:w w:val="105"/>
        </w:rPr>
        <w:t> </w:t>
      </w:r>
      <w:r>
        <w:rPr>
          <w:color w:val="231F20"/>
          <w:w w:val="105"/>
        </w:rPr>
        <w:t>1990,</w:t>
      </w:r>
      <w:r>
        <w:rPr>
          <w:color w:val="231F20"/>
          <w:spacing w:val="-29"/>
          <w:w w:val="105"/>
        </w:rPr>
        <w:t> </w:t>
      </w:r>
      <w:r>
        <w:rPr>
          <w:color w:val="231F20"/>
          <w:w w:val="105"/>
        </w:rPr>
        <w:t>aunque</w:t>
      </w:r>
      <w:r>
        <w:rPr>
          <w:color w:val="231F20"/>
          <w:spacing w:val="-24"/>
          <w:w w:val="105"/>
        </w:rPr>
        <w:t> </w:t>
      </w:r>
      <w:r>
        <w:rPr>
          <w:color w:val="231F20"/>
          <w:w w:val="105"/>
        </w:rPr>
        <w:t>la</w:t>
      </w:r>
      <w:r>
        <w:rPr>
          <w:color w:val="231F20"/>
          <w:spacing w:val="-24"/>
          <w:w w:val="105"/>
        </w:rPr>
        <w:t> </w:t>
      </w:r>
      <w:r>
        <w:rPr>
          <w:color w:val="231F20"/>
          <w:w w:val="105"/>
        </w:rPr>
        <w:t>decisión</w:t>
      </w:r>
      <w:r>
        <w:rPr>
          <w:color w:val="231F20"/>
          <w:spacing w:val="-24"/>
          <w:w w:val="105"/>
        </w:rPr>
        <w:t> </w:t>
      </w:r>
      <w:r>
        <w:rPr>
          <w:color w:val="231F20"/>
          <w:w w:val="105"/>
        </w:rPr>
        <w:t>fue</w:t>
      </w:r>
      <w:r>
        <w:rPr>
          <w:color w:val="231F20"/>
          <w:spacing w:val="-24"/>
          <w:w w:val="105"/>
        </w:rPr>
        <w:t> </w:t>
      </w:r>
      <w:r>
        <w:rPr>
          <w:color w:val="231F20"/>
          <w:w w:val="105"/>
        </w:rPr>
        <w:t>toma- da por Roberto y su familia en junio del mismo año, es decir, consideró cuatro</w:t>
      </w:r>
      <w:r>
        <w:rPr>
          <w:color w:val="231F20"/>
          <w:spacing w:val="-13"/>
          <w:w w:val="105"/>
        </w:rPr>
        <w:t> </w:t>
      </w:r>
      <w:r>
        <w:rPr>
          <w:color w:val="231F20"/>
          <w:w w:val="105"/>
        </w:rPr>
        <w:t>meses</w:t>
      </w:r>
      <w:r>
        <w:rPr>
          <w:color w:val="231F20"/>
          <w:spacing w:val="-13"/>
          <w:w w:val="105"/>
        </w:rPr>
        <w:t> </w:t>
      </w:r>
      <w:r>
        <w:rPr>
          <w:color w:val="231F20"/>
          <w:w w:val="105"/>
        </w:rPr>
        <w:t>para</w:t>
      </w:r>
      <w:r>
        <w:rPr>
          <w:color w:val="231F20"/>
          <w:spacing w:val="-13"/>
          <w:w w:val="105"/>
        </w:rPr>
        <w:t> </w:t>
      </w:r>
      <w:r>
        <w:rPr>
          <w:color w:val="231F20"/>
          <w:w w:val="105"/>
        </w:rPr>
        <w:t>no</w:t>
      </w:r>
      <w:r>
        <w:rPr>
          <w:color w:val="231F20"/>
          <w:spacing w:val="-13"/>
          <w:w w:val="105"/>
        </w:rPr>
        <w:t> </w:t>
      </w:r>
      <w:r>
        <w:rPr>
          <w:color w:val="231F20"/>
          <w:w w:val="105"/>
        </w:rPr>
        <w:t>abandonar</w:t>
      </w:r>
      <w:r>
        <w:rPr>
          <w:color w:val="231F20"/>
          <w:spacing w:val="-13"/>
          <w:w w:val="105"/>
        </w:rPr>
        <w:t> </w:t>
      </w:r>
      <w:r>
        <w:rPr>
          <w:color w:val="231F20"/>
          <w:w w:val="105"/>
        </w:rPr>
        <w:t>de</w:t>
      </w:r>
      <w:r>
        <w:rPr>
          <w:color w:val="231F20"/>
          <w:spacing w:val="-13"/>
          <w:w w:val="105"/>
        </w:rPr>
        <w:t> </w:t>
      </w:r>
      <w:r>
        <w:rPr>
          <w:color w:val="231F20"/>
          <w:w w:val="105"/>
        </w:rPr>
        <w:t>inmediato</w:t>
      </w:r>
      <w:r>
        <w:rPr>
          <w:color w:val="231F20"/>
          <w:spacing w:val="-13"/>
          <w:w w:val="105"/>
        </w:rPr>
        <w:t> </w:t>
      </w:r>
      <w:r>
        <w:rPr>
          <w:color w:val="231F20"/>
          <w:w w:val="105"/>
        </w:rPr>
        <w:t>su</w:t>
      </w:r>
      <w:r>
        <w:rPr>
          <w:color w:val="231F20"/>
          <w:spacing w:val="-13"/>
          <w:w w:val="105"/>
        </w:rPr>
        <w:t> </w:t>
      </w:r>
      <w:r>
        <w:rPr>
          <w:color w:val="231F20"/>
          <w:w w:val="105"/>
        </w:rPr>
        <w:t>empleo.</w:t>
      </w:r>
    </w:p>
    <w:p>
      <w:pPr>
        <w:pStyle w:val="BodyText"/>
        <w:spacing w:line="261" w:lineRule="auto" w:before="1"/>
        <w:ind w:left="1724" w:right="1834" w:firstLine="567"/>
        <w:jc w:val="both"/>
      </w:pPr>
      <w:r>
        <w:rPr>
          <w:color w:val="231F20"/>
          <w:w w:val="105"/>
        </w:rPr>
        <w:t>Durante el periodo que vivió en Estados Unidos no realizó</w:t>
      </w:r>
      <w:r>
        <w:rPr>
          <w:color w:val="231F20"/>
          <w:spacing w:val="-36"/>
          <w:w w:val="105"/>
        </w:rPr>
        <w:t> </w:t>
      </w:r>
      <w:r>
        <w:rPr>
          <w:color w:val="231F20"/>
          <w:w w:val="105"/>
        </w:rPr>
        <w:t>ningún viaje</w:t>
      </w:r>
      <w:r>
        <w:rPr>
          <w:color w:val="231F20"/>
          <w:spacing w:val="-32"/>
          <w:w w:val="105"/>
        </w:rPr>
        <w:t> </w:t>
      </w:r>
      <w:r>
        <w:rPr>
          <w:color w:val="231F20"/>
          <w:w w:val="105"/>
        </w:rPr>
        <w:t>a</w:t>
      </w:r>
      <w:r>
        <w:rPr>
          <w:color w:val="231F20"/>
          <w:spacing w:val="-32"/>
          <w:w w:val="105"/>
        </w:rPr>
        <w:t> </w:t>
      </w:r>
      <w:r>
        <w:rPr>
          <w:color w:val="231F20"/>
          <w:w w:val="105"/>
        </w:rPr>
        <w:t>Nezahualcóyotl.</w:t>
      </w:r>
      <w:r>
        <w:rPr>
          <w:color w:val="231F20"/>
          <w:spacing w:val="-36"/>
          <w:w w:val="105"/>
        </w:rPr>
        <w:t> </w:t>
      </w:r>
      <w:r>
        <w:rPr>
          <w:color w:val="231F20"/>
          <w:w w:val="105"/>
        </w:rPr>
        <w:t>En</w:t>
      </w:r>
      <w:r>
        <w:rPr>
          <w:color w:val="231F20"/>
          <w:spacing w:val="-32"/>
          <w:w w:val="105"/>
        </w:rPr>
        <w:t> </w:t>
      </w:r>
      <w:r>
        <w:rPr>
          <w:color w:val="231F20"/>
          <w:w w:val="105"/>
        </w:rPr>
        <w:t>otras</w:t>
      </w:r>
      <w:r>
        <w:rPr>
          <w:color w:val="231F20"/>
          <w:spacing w:val="-32"/>
          <w:w w:val="105"/>
        </w:rPr>
        <w:t> </w:t>
      </w:r>
      <w:r>
        <w:rPr>
          <w:color w:val="231F20"/>
          <w:w w:val="105"/>
        </w:rPr>
        <w:t>palabras,</w:t>
      </w:r>
      <w:r>
        <w:rPr>
          <w:color w:val="231F20"/>
          <w:spacing w:val="-36"/>
          <w:w w:val="105"/>
        </w:rPr>
        <w:t> </w:t>
      </w:r>
      <w:r>
        <w:rPr>
          <w:color w:val="231F20"/>
          <w:w w:val="105"/>
        </w:rPr>
        <w:t>Roberto</w:t>
      </w:r>
      <w:r>
        <w:rPr>
          <w:color w:val="231F20"/>
          <w:spacing w:val="-32"/>
          <w:w w:val="105"/>
        </w:rPr>
        <w:t> </w:t>
      </w:r>
      <w:r>
        <w:rPr>
          <w:color w:val="231F20"/>
          <w:w w:val="105"/>
        </w:rPr>
        <w:t>ha</w:t>
      </w:r>
      <w:r>
        <w:rPr>
          <w:color w:val="231F20"/>
          <w:spacing w:val="-32"/>
          <w:w w:val="105"/>
        </w:rPr>
        <w:t> </w:t>
      </w:r>
      <w:r>
        <w:rPr>
          <w:color w:val="231F20"/>
          <w:w w:val="105"/>
        </w:rPr>
        <w:t>realizado</w:t>
      </w:r>
      <w:r>
        <w:rPr>
          <w:color w:val="231F20"/>
          <w:spacing w:val="-32"/>
          <w:w w:val="105"/>
        </w:rPr>
        <w:t> </w:t>
      </w:r>
      <w:r>
        <w:rPr>
          <w:color w:val="231F20"/>
          <w:w w:val="105"/>
        </w:rPr>
        <w:t>en</w:t>
      </w:r>
      <w:r>
        <w:rPr>
          <w:color w:val="231F20"/>
          <w:spacing w:val="-32"/>
          <w:w w:val="105"/>
        </w:rPr>
        <w:t> </w:t>
      </w:r>
      <w:r>
        <w:rPr>
          <w:color w:val="231F20"/>
          <w:w w:val="105"/>
        </w:rPr>
        <w:t>su</w:t>
      </w:r>
      <w:r>
        <w:rPr>
          <w:color w:val="231F20"/>
          <w:spacing w:val="-32"/>
          <w:w w:val="105"/>
        </w:rPr>
        <w:t> </w:t>
      </w:r>
      <w:r>
        <w:rPr>
          <w:color w:val="231F20"/>
          <w:w w:val="105"/>
        </w:rPr>
        <w:t>vida un</w:t>
      </w:r>
      <w:r>
        <w:rPr>
          <w:color w:val="231F20"/>
          <w:spacing w:val="-5"/>
          <w:w w:val="105"/>
        </w:rPr>
        <w:t> </w:t>
      </w:r>
      <w:r>
        <w:rPr>
          <w:color w:val="231F20"/>
          <w:w w:val="105"/>
        </w:rPr>
        <w:t>viaje</w:t>
      </w:r>
      <w:r>
        <w:rPr>
          <w:color w:val="231F20"/>
          <w:spacing w:val="-5"/>
          <w:w w:val="105"/>
        </w:rPr>
        <w:t> </w:t>
      </w:r>
      <w:r>
        <w:rPr>
          <w:color w:val="231F20"/>
          <w:w w:val="105"/>
        </w:rPr>
        <w:t>al</w:t>
      </w:r>
      <w:r>
        <w:rPr>
          <w:color w:val="231F20"/>
          <w:spacing w:val="-5"/>
          <w:w w:val="105"/>
        </w:rPr>
        <w:t> </w:t>
      </w:r>
      <w:r>
        <w:rPr>
          <w:color w:val="231F20"/>
          <w:w w:val="105"/>
        </w:rPr>
        <w:t>interior</w:t>
      </w:r>
      <w:r>
        <w:rPr>
          <w:color w:val="231F20"/>
          <w:spacing w:val="-5"/>
          <w:w w:val="105"/>
        </w:rPr>
        <w:t> </w:t>
      </w:r>
      <w:r>
        <w:rPr>
          <w:color w:val="231F20"/>
          <w:w w:val="105"/>
        </w:rPr>
        <w:t>del</w:t>
      </w:r>
      <w:r>
        <w:rPr>
          <w:color w:val="231F20"/>
          <w:spacing w:val="-5"/>
          <w:w w:val="105"/>
        </w:rPr>
        <w:t> </w:t>
      </w:r>
      <w:r>
        <w:rPr>
          <w:color w:val="231F20"/>
          <w:w w:val="105"/>
        </w:rPr>
        <w:t>país,</w:t>
      </w:r>
      <w:r>
        <w:rPr>
          <w:color w:val="231F20"/>
          <w:spacing w:val="-11"/>
          <w:w w:val="105"/>
        </w:rPr>
        <w:t> </w:t>
      </w:r>
      <w:r>
        <w:rPr>
          <w:color w:val="231F20"/>
          <w:w w:val="105"/>
        </w:rPr>
        <w:t>cuando</w:t>
      </w:r>
      <w:r>
        <w:rPr>
          <w:color w:val="231F20"/>
          <w:spacing w:val="-5"/>
          <w:w w:val="105"/>
        </w:rPr>
        <w:t> </w:t>
      </w:r>
      <w:r>
        <w:rPr>
          <w:color w:val="231F20"/>
          <w:w w:val="105"/>
        </w:rPr>
        <w:t>se</w:t>
      </w:r>
      <w:r>
        <w:rPr>
          <w:color w:val="231F20"/>
          <w:spacing w:val="-5"/>
          <w:w w:val="105"/>
        </w:rPr>
        <w:t> </w:t>
      </w:r>
      <w:r>
        <w:rPr>
          <w:color w:val="231F20"/>
          <w:w w:val="105"/>
        </w:rPr>
        <w:t>mudó</w:t>
      </w:r>
      <w:r>
        <w:rPr>
          <w:color w:val="231F20"/>
          <w:spacing w:val="-5"/>
          <w:w w:val="105"/>
        </w:rPr>
        <w:t> </w:t>
      </w:r>
      <w:r>
        <w:rPr>
          <w:color w:val="231F20"/>
          <w:w w:val="105"/>
        </w:rPr>
        <w:t>del</w:t>
      </w:r>
      <w:r>
        <w:rPr>
          <w:color w:val="231F20"/>
          <w:spacing w:val="-5"/>
          <w:w w:val="105"/>
        </w:rPr>
        <w:t> </w:t>
      </w:r>
      <w:r>
        <w:rPr>
          <w:color w:val="231F20"/>
          <w:w w:val="105"/>
        </w:rPr>
        <w:t>estado</w:t>
      </w:r>
      <w:r>
        <w:rPr>
          <w:color w:val="231F20"/>
          <w:spacing w:val="-5"/>
          <w:w w:val="105"/>
        </w:rPr>
        <w:t> </w:t>
      </w:r>
      <w:r>
        <w:rPr>
          <w:color w:val="231F20"/>
          <w:w w:val="105"/>
        </w:rPr>
        <w:t>de</w:t>
      </w:r>
      <w:r>
        <w:rPr>
          <w:color w:val="231F20"/>
          <w:spacing w:val="-5"/>
          <w:w w:val="105"/>
        </w:rPr>
        <w:t> </w:t>
      </w:r>
      <w:r>
        <w:rPr>
          <w:color w:val="231F20"/>
          <w:w w:val="105"/>
        </w:rPr>
        <w:t>Michoacán</w:t>
      </w:r>
      <w:r>
        <w:rPr>
          <w:color w:val="231F20"/>
          <w:spacing w:val="-5"/>
          <w:w w:val="105"/>
        </w:rPr>
        <w:t> </w:t>
      </w:r>
      <w:r>
        <w:rPr>
          <w:color w:val="231F20"/>
          <w:w w:val="105"/>
        </w:rPr>
        <w:t>a Nezahualcóyotl,</w:t>
      </w:r>
      <w:r>
        <w:rPr>
          <w:color w:val="231F20"/>
          <w:spacing w:val="-27"/>
          <w:w w:val="105"/>
        </w:rPr>
        <w:t> </w:t>
      </w:r>
      <w:r>
        <w:rPr>
          <w:color w:val="231F20"/>
          <w:w w:val="105"/>
        </w:rPr>
        <w:t>y</w:t>
      </w:r>
      <w:r>
        <w:rPr>
          <w:color w:val="231F20"/>
          <w:spacing w:val="-23"/>
          <w:w w:val="105"/>
        </w:rPr>
        <w:t> </w:t>
      </w:r>
      <w:r>
        <w:rPr>
          <w:color w:val="231F20"/>
          <w:w w:val="105"/>
        </w:rPr>
        <w:t>un</w:t>
      </w:r>
      <w:r>
        <w:rPr>
          <w:color w:val="231F20"/>
          <w:spacing w:val="-23"/>
          <w:w w:val="105"/>
        </w:rPr>
        <w:t> </w:t>
      </w:r>
      <w:r>
        <w:rPr>
          <w:color w:val="231F20"/>
          <w:w w:val="105"/>
        </w:rPr>
        <w:t>sólo</w:t>
      </w:r>
      <w:r>
        <w:rPr>
          <w:color w:val="231F20"/>
          <w:spacing w:val="-23"/>
          <w:w w:val="105"/>
        </w:rPr>
        <w:t> </w:t>
      </w:r>
      <w:r>
        <w:rPr>
          <w:color w:val="231F20"/>
          <w:w w:val="105"/>
        </w:rPr>
        <w:t>viaje</w:t>
      </w:r>
      <w:r>
        <w:rPr>
          <w:color w:val="231F20"/>
          <w:spacing w:val="-23"/>
          <w:w w:val="105"/>
        </w:rPr>
        <w:t> </w:t>
      </w:r>
      <w:r>
        <w:rPr>
          <w:color w:val="231F20"/>
          <w:w w:val="105"/>
        </w:rPr>
        <w:t>de</w:t>
      </w:r>
      <w:r>
        <w:rPr>
          <w:color w:val="231F20"/>
          <w:spacing w:val="-23"/>
          <w:w w:val="105"/>
        </w:rPr>
        <w:t> </w:t>
      </w:r>
      <w:r>
        <w:rPr>
          <w:color w:val="231F20"/>
          <w:w w:val="105"/>
        </w:rPr>
        <w:t>México</w:t>
      </w:r>
      <w:r>
        <w:rPr>
          <w:color w:val="231F20"/>
          <w:spacing w:val="-23"/>
          <w:w w:val="105"/>
        </w:rPr>
        <w:t> </w:t>
      </w:r>
      <w:r>
        <w:rPr>
          <w:color w:val="231F20"/>
          <w:w w:val="105"/>
        </w:rPr>
        <w:t>a</w:t>
      </w:r>
      <w:r>
        <w:rPr>
          <w:color w:val="231F20"/>
          <w:spacing w:val="-23"/>
          <w:w w:val="105"/>
        </w:rPr>
        <w:t> </w:t>
      </w:r>
      <w:r>
        <w:rPr>
          <w:color w:val="231F20"/>
          <w:w w:val="105"/>
        </w:rPr>
        <w:t>Estados</w:t>
      </w:r>
      <w:r>
        <w:rPr>
          <w:color w:val="231F20"/>
          <w:spacing w:val="-23"/>
          <w:w w:val="105"/>
        </w:rPr>
        <w:t> </w:t>
      </w:r>
      <w:r>
        <w:rPr>
          <w:color w:val="231F20"/>
          <w:w w:val="105"/>
        </w:rPr>
        <w:t>Unidos.</w:t>
      </w:r>
    </w:p>
    <w:p>
      <w:pPr>
        <w:pStyle w:val="BodyText"/>
        <w:spacing w:line="261" w:lineRule="auto" w:before="1"/>
        <w:ind w:left="1724" w:right="1834" w:firstLine="567"/>
        <w:jc w:val="both"/>
      </w:pPr>
      <w:r>
        <w:rPr>
          <w:color w:val="231F20"/>
          <w:w w:val="105"/>
        </w:rPr>
        <w:t>Roberto</w:t>
      </w:r>
      <w:r>
        <w:rPr>
          <w:color w:val="231F20"/>
          <w:spacing w:val="-4"/>
          <w:w w:val="105"/>
        </w:rPr>
        <w:t> </w:t>
      </w:r>
      <w:r>
        <w:rPr>
          <w:color w:val="231F20"/>
          <w:w w:val="105"/>
        </w:rPr>
        <w:t>y</w:t>
      </w:r>
      <w:r>
        <w:rPr>
          <w:color w:val="231F20"/>
          <w:spacing w:val="-4"/>
          <w:w w:val="105"/>
        </w:rPr>
        <w:t> </w:t>
      </w:r>
      <w:r>
        <w:rPr>
          <w:color w:val="231F20"/>
          <w:w w:val="105"/>
        </w:rPr>
        <w:t>su</w:t>
      </w:r>
      <w:r>
        <w:rPr>
          <w:color w:val="231F20"/>
          <w:spacing w:val="-4"/>
          <w:w w:val="105"/>
        </w:rPr>
        <w:t> </w:t>
      </w:r>
      <w:r>
        <w:rPr>
          <w:color w:val="231F20"/>
          <w:w w:val="105"/>
        </w:rPr>
        <w:t>familia</w:t>
      </w:r>
      <w:r>
        <w:rPr>
          <w:color w:val="231F20"/>
          <w:spacing w:val="-4"/>
          <w:w w:val="105"/>
        </w:rPr>
        <w:t> </w:t>
      </w:r>
      <w:r>
        <w:rPr>
          <w:color w:val="231F20"/>
          <w:w w:val="105"/>
        </w:rPr>
        <w:t>cruzaron</w:t>
      </w:r>
      <w:r>
        <w:rPr>
          <w:color w:val="231F20"/>
          <w:spacing w:val="-4"/>
          <w:w w:val="105"/>
        </w:rPr>
        <w:t> </w:t>
      </w:r>
      <w:r>
        <w:rPr>
          <w:color w:val="231F20"/>
          <w:w w:val="105"/>
        </w:rPr>
        <w:t>la</w:t>
      </w:r>
      <w:r>
        <w:rPr>
          <w:color w:val="231F20"/>
          <w:spacing w:val="-4"/>
          <w:w w:val="105"/>
        </w:rPr>
        <w:t> </w:t>
      </w:r>
      <w:r>
        <w:rPr>
          <w:color w:val="231F20"/>
          <w:w w:val="105"/>
        </w:rPr>
        <w:t>frontera</w:t>
      </w:r>
      <w:r>
        <w:rPr>
          <w:color w:val="231F20"/>
          <w:spacing w:val="-4"/>
          <w:w w:val="105"/>
        </w:rPr>
        <w:t> </w:t>
      </w:r>
      <w:r>
        <w:rPr>
          <w:color w:val="231F20"/>
          <w:w w:val="105"/>
        </w:rPr>
        <w:t>en</w:t>
      </w:r>
      <w:r>
        <w:rPr>
          <w:color w:val="231F20"/>
          <w:spacing w:val="-9"/>
          <w:w w:val="105"/>
        </w:rPr>
        <w:t> </w:t>
      </w:r>
      <w:r>
        <w:rPr>
          <w:color w:val="231F20"/>
          <w:w w:val="105"/>
        </w:rPr>
        <w:t>Tijuana</w:t>
      </w:r>
      <w:r>
        <w:rPr>
          <w:color w:val="231F20"/>
          <w:spacing w:val="-4"/>
          <w:w w:val="105"/>
        </w:rPr>
        <w:t> </w:t>
      </w:r>
      <w:r>
        <w:rPr>
          <w:color w:val="231F20"/>
          <w:w w:val="105"/>
        </w:rPr>
        <w:t>y</w:t>
      </w:r>
      <w:r>
        <w:rPr>
          <w:color w:val="231F20"/>
          <w:spacing w:val="-4"/>
          <w:w w:val="105"/>
        </w:rPr>
        <w:t> </w:t>
      </w:r>
      <w:r>
        <w:rPr>
          <w:color w:val="231F20"/>
          <w:w w:val="105"/>
        </w:rPr>
        <w:t>llegaron</w:t>
      </w:r>
      <w:r>
        <w:rPr>
          <w:color w:val="231F20"/>
          <w:spacing w:val="-4"/>
          <w:w w:val="105"/>
        </w:rPr>
        <w:t> </w:t>
      </w:r>
      <w:r>
        <w:rPr>
          <w:color w:val="231F20"/>
          <w:w w:val="105"/>
        </w:rPr>
        <w:t>por tierra</w:t>
      </w:r>
      <w:r>
        <w:rPr>
          <w:color w:val="231F20"/>
          <w:spacing w:val="-6"/>
          <w:w w:val="105"/>
        </w:rPr>
        <w:t> </w:t>
      </w:r>
      <w:r>
        <w:rPr>
          <w:color w:val="231F20"/>
          <w:w w:val="105"/>
        </w:rPr>
        <w:t>a</w:t>
      </w:r>
      <w:r>
        <w:rPr>
          <w:color w:val="231F20"/>
          <w:spacing w:val="-6"/>
          <w:w w:val="105"/>
        </w:rPr>
        <w:t> </w:t>
      </w:r>
      <w:r>
        <w:rPr>
          <w:color w:val="231F20"/>
          <w:w w:val="105"/>
        </w:rPr>
        <w:t>Long</w:t>
      </w:r>
      <w:r>
        <w:rPr>
          <w:color w:val="231F20"/>
          <w:spacing w:val="-6"/>
          <w:w w:val="105"/>
        </w:rPr>
        <w:t> </w:t>
      </w:r>
      <w:r>
        <w:rPr>
          <w:color w:val="231F20"/>
          <w:w w:val="105"/>
        </w:rPr>
        <w:t>Beach,</w:t>
      </w:r>
      <w:r>
        <w:rPr>
          <w:color w:val="231F20"/>
          <w:spacing w:val="-10"/>
          <w:w w:val="105"/>
        </w:rPr>
        <w:t> </w:t>
      </w:r>
      <w:r>
        <w:rPr>
          <w:color w:val="231F20"/>
          <w:w w:val="105"/>
        </w:rPr>
        <w:t>California.</w:t>
      </w:r>
      <w:r>
        <w:rPr>
          <w:color w:val="231F20"/>
          <w:spacing w:val="-14"/>
          <w:w w:val="105"/>
        </w:rPr>
        <w:t> </w:t>
      </w:r>
      <w:r>
        <w:rPr>
          <w:color w:val="231F20"/>
          <w:w w:val="105"/>
        </w:rPr>
        <w:t>Vivieron</w:t>
      </w:r>
      <w:r>
        <w:rPr>
          <w:color w:val="231F20"/>
          <w:spacing w:val="-6"/>
          <w:w w:val="105"/>
        </w:rPr>
        <w:t> </w:t>
      </w:r>
      <w:r>
        <w:rPr>
          <w:color w:val="231F20"/>
          <w:w w:val="105"/>
        </w:rPr>
        <w:t>con</w:t>
      </w:r>
      <w:r>
        <w:rPr>
          <w:color w:val="231F20"/>
          <w:spacing w:val="-6"/>
          <w:w w:val="105"/>
        </w:rPr>
        <w:t> </w:t>
      </w:r>
      <w:r>
        <w:rPr>
          <w:color w:val="231F20"/>
          <w:w w:val="105"/>
        </w:rPr>
        <w:t>su</w:t>
      </w:r>
      <w:r>
        <w:rPr>
          <w:color w:val="231F20"/>
          <w:spacing w:val="-6"/>
          <w:w w:val="105"/>
        </w:rPr>
        <w:t> </w:t>
      </w:r>
      <w:r>
        <w:rPr>
          <w:color w:val="231F20"/>
          <w:w w:val="105"/>
        </w:rPr>
        <w:t>hermana</w:t>
      </w:r>
      <w:r>
        <w:rPr>
          <w:color w:val="231F20"/>
          <w:spacing w:val="-6"/>
          <w:w w:val="105"/>
        </w:rPr>
        <w:t> </w:t>
      </w:r>
      <w:r>
        <w:rPr>
          <w:color w:val="231F20"/>
          <w:w w:val="105"/>
        </w:rPr>
        <w:t>y</w:t>
      </w:r>
      <w:r>
        <w:rPr>
          <w:color w:val="231F20"/>
          <w:spacing w:val="-6"/>
          <w:w w:val="105"/>
        </w:rPr>
        <w:t> </w:t>
      </w:r>
      <w:r>
        <w:rPr>
          <w:color w:val="231F20"/>
          <w:w w:val="105"/>
        </w:rPr>
        <w:t>su</w:t>
      </w:r>
      <w:r>
        <w:rPr>
          <w:color w:val="231F20"/>
          <w:spacing w:val="-6"/>
          <w:w w:val="105"/>
        </w:rPr>
        <w:t> </w:t>
      </w:r>
      <w:r>
        <w:rPr>
          <w:color w:val="231F20"/>
          <w:w w:val="105"/>
        </w:rPr>
        <w:t>familia</w:t>
      </w:r>
      <w:r>
        <w:rPr>
          <w:color w:val="231F20"/>
          <w:spacing w:val="-6"/>
          <w:w w:val="105"/>
        </w:rPr>
        <w:t> </w:t>
      </w:r>
      <w:r>
        <w:rPr>
          <w:color w:val="231F20"/>
          <w:w w:val="105"/>
        </w:rPr>
        <w:t>en un espacio pequeño donde además habitaban al menos seis</w:t>
      </w:r>
      <w:r>
        <w:rPr>
          <w:color w:val="231F20"/>
          <w:spacing w:val="14"/>
          <w:w w:val="105"/>
        </w:rPr>
        <w:t> </w:t>
      </w:r>
      <w:r>
        <w:rPr>
          <w:color w:val="231F20"/>
          <w:w w:val="105"/>
        </w:rPr>
        <w:t>personas</w:t>
      </w:r>
    </w:p>
    <w:p>
      <w:pPr>
        <w:pStyle w:val="BodyText"/>
        <w:spacing w:before="10"/>
        <w:rPr>
          <w:sz w:val="12"/>
        </w:rPr>
      </w:pPr>
      <w:r>
        <w:rPr/>
        <w:pict>
          <v:line style="position:absolute;mso-position-horizontal-relative:page;mso-position-vertical-relative:paragraph;z-index:13000;mso-wrap-distance-left:0;mso-wrap-distance-right:0" from="86.1968pt,9.410726pt" to="199.5828pt,9.410726pt" stroked="true" strokeweight=".25pt" strokecolor="#231f20">
            <w10:wrap type="topAndBottom"/>
          </v:line>
        </w:pict>
      </w:r>
    </w:p>
    <w:p>
      <w:pPr>
        <w:spacing w:before="8"/>
        <w:ind w:left="1723" w:right="0" w:firstLine="0"/>
        <w:jc w:val="left"/>
        <w:rPr>
          <w:rFonts w:ascii="Calibri" w:hAnsi="Calibri"/>
          <w:sz w:val="16"/>
        </w:rPr>
      </w:pPr>
      <w:r>
        <w:rPr>
          <w:rFonts w:ascii="Calibri" w:hAnsi="Calibri"/>
          <w:color w:val="414042"/>
          <w:w w:val="105"/>
          <w:position w:val="5"/>
          <w:sz w:val="9"/>
        </w:rPr>
        <w:t>7 </w:t>
      </w:r>
      <w:r>
        <w:rPr>
          <w:rFonts w:ascii="Calibri" w:hAnsi="Calibri"/>
          <w:color w:val="414042"/>
          <w:w w:val="105"/>
          <w:sz w:val="16"/>
        </w:rPr>
        <w:t>Entrevista realizada en mayo de 2013, en Nezahualcóyotl, Estado de México.</w:t>
      </w:r>
    </w:p>
    <w:p>
      <w:pPr>
        <w:pStyle w:val="BodyText"/>
        <w:rPr>
          <w:rFonts w:ascii="Calibri"/>
          <w:sz w:val="20"/>
        </w:rPr>
      </w:pPr>
    </w:p>
    <w:p>
      <w:pPr>
        <w:pStyle w:val="BodyText"/>
        <w:spacing w:before="10"/>
        <w:rPr>
          <w:rFonts w:ascii="Calibri"/>
          <w:sz w:val="2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7160" from="131.551193pt,3.703715pt" to="131.551193pt,39.506114pt" stroked="true" strokeweight=".35pt" strokecolor="#231f20">
            <w10:wrap type="none"/>
          </v:line>
        </w:pict>
      </w:r>
      <w:r>
        <w:rPr/>
        <w:pict>
          <v:line style="position:absolute;mso-position-horizontal-relative:page;mso-position-vertical-relative:paragraph;z-index:-477088" from="15pt,39.505917pt" to="0pt,39.505917pt" stroked="true" strokeweight=".25pt" strokecolor="#000000">
            <w10:wrap type="none"/>
          </v:line>
        </w:pict>
      </w:r>
      <w:r>
        <w:rPr/>
        <w:pict>
          <v:line style="position:absolute;mso-position-horizontal-relative:page;mso-position-vertical-relative:paragraph;z-index:13120" from="508.890015pt,39.505917pt" to="523.890015pt,39.505917pt" stroked="true" strokeweight=".25pt" strokecolor="#000000">
            <w10:wrap type="none"/>
          </v:line>
        </w:pict>
      </w:r>
      <w:r>
        <w:rPr>
          <w:rFonts w:ascii="Arial" w:hAnsi="Arial"/>
          <w:color w:val="414042"/>
          <w:position w:val="-5"/>
          <w:sz w:val="20"/>
        </w:rPr>
        <w:t>130</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7040" from="405.061005pt,-18.554295pt" to="405.061005pt,16.311579pt" stroked="true" strokeweight=".35pt" strokecolor="#231f20">
            <w10:wrap type="none"/>
          </v:line>
        </w:pict>
      </w:r>
      <w:r>
        <w:rPr/>
        <w:pict>
          <v:line style="position:absolute;mso-position-horizontal-relative:page;mso-position-vertical-relative:paragraph;z-index:13168" from="15pt,-18.554522pt" to="0pt,-18.554522pt" stroked="true" strokeweight=".25pt" strokecolor="#000000">
            <w10:wrap type="none"/>
          </v:line>
        </w:pict>
      </w:r>
      <w:r>
        <w:rPr/>
        <w:pict>
          <v:line style="position:absolute;mso-position-horizontal-relative:page;mso-position-vertical-relative:paragraph;z-index:13192"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131</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más, entre primos y sobrinos. Asegura que por primera vez en su vida pensó </w:t>
      </w:r>
      <w:r>
        <w:rPr>
          <w:color w:val="231F20"/>
          <w:spacing w:val="-3"/>
          <w:w w:val="105"/>
        </w:rPr>
        <w:t>“que </w:t>
      </w:r>
      <w:r>
        <w:rPr>
          <w:color w:val="231F20"/>
          <w:w w:val="105"/>
        </w:rPr>
        <w:t>no podía conseguir un </w:t>
      </w:r>
      <w:r>
        <w:rPr>
          <w:color w:val="231F20"/>
          <w:spacing w:val="-4"/>
          <w:w w:val="105"/>
        </w:rPr>
        <w:t>empleo”. </w:t>
      </w:r>
      <w:r>
        <w:rPr>
          <w:color w:val="231F20"/>
          <w:w w:val="105"/>
        </w:rPr>
        <w:t>Llegó a principios del mes de octubre de 1990 y consiguió su primer empleo a finales de enero  de 1991, después de obtener documentos tales como el </w:t>
      </w:r>
      <w:r>
        <w:rPr>
          <w:rFonts w:ascii="Arial" w:hAnsi="Arial"/>
          <w:i/>
          <w:color w:val="231F20"/>
          <w:w w:val="105"/>
        </w:rPr>
        <w:t>social security </w:t>
      </w:r>
      <w:r>
        <w:rPr>
          <w:rFonts w:ascii="Arial" w:hAnsi="Arial"/>
          <w:i/>
          <w:color w:val="231F20"/>
          <w:w w:val="105"/>
        </w:rPr>
        <w:t>number</w:t>
      </w:r>
      <w:r>
        <w:rPr>
          <w:rFonts w:ascii="Arial" w:hAnsi="Arial"/>
          <w:i/>
          <w:color w:val="231F20"/>
          <w:spacing w:val="-9"/>
          <w:w w:val="105"/>
        </w:rPr>
        <w:t> </w:t>
      </w:r>
      <w:r>
        <w:rPr>
          <w:color w:val="231F20"/>
          <w:w w:val="105"/>
        </w:rPr>
        <w:t>y</w:t>
      </w:r>
      <w:r>
        <w:rPr>
          <w:color w:val="231F20"/>
          <w:spacing w:val="-6"/>
          <w:w w:val="105"/>
        </w:rPr>
        <w:t> </w:t>
      </w:r>
      <w:r>
        <w:rPr>
          <w:color w:val="231F20"/>
          <w:w w:val="105"/>
        </w:rPr>
        <w:t>la</w:t>
      </w:r>
      <w:r>
        <w:rPr>
          <w:color w:val="231F20"/>
          <w:spacing w:val="-6"/>
          <w:w w:val="105"/>
        </w:rPr>
        <w:t> </w:t>
      </w:r>
      <w:r>
        <w:rPr>
          <w:rFonts w:ascii="Arial" w:hAnsi="Arial"/>
          <w:i/>
          <w:color w:val="231F20"/>
          <w:w w:val="105"/>
        </w:rPr>
        <w:t>green</w:t>
      </w:r>
      <w:r>
        <w:rPr>
          <w:rFonts w:ascii="Arial" w:hAnsi="Arial"/>
          <w:i/>
          <w:color w:val="231F20"/>
          <w:spacing w:val="-9"/>
          <w:w w:val="105"/>
        </w:rPr>
        <w:t> </w:t>
      </w:r>
      <w:r>
        <w:rPr>
          <w:rFonts w:ascii="Arial" w:hAnsi="Arial"/>
          <w:i/>
          <w:color w:val="231F20"/>
          <w:w w:val="105"/>
        </w:rPr>
        <w:t>card</w:t>
      </w:r>
      <w:r>
        <w:rPr>
          <w:rFonts w:ascii="Arial" w:hAnsi="Arial"/>
          <w:i/>
          <w:color w:val="231F20"/>
          <w:spacing w:val="-9"/>
          <w:w w:val="105"/>
        </w:rPr>
        <w:t> </w:t>
      </w:r>
      <w:r>
        <w:rPr>
          <w:color w:val="231F20"/>
          <w:w w:val="105"/>
        </w:rPr>
        <w:t>falsos.</w:t>
      </w:r>
      <w:r>
        <w:rPr>
          <w:color w:val="231F20"/>
          <w:spacing w:val="-11"/>
          <w:w w:val="105"/>
        </w:rPr>
        <w:t> </w:t>
      </w:r>
      <w:r>
        <w:rPr>
          <w:color w:val="231F20"/>
          <w:w w:val="105"/>
        </w:rPr>
        <w:t>Su</w:t>
      </w:r>
      <w:r>
        <w:rPr>
          <w:color w:val="231F20"/>
          <w:spacing w:val="-6"/>
          <w:w w:val="105"/>
        </w:rPr>
        <w:t> </w:t>
      </w:r>
      <w:r>
        <w:rPr>
          <w:color w:val="231F20"/>
          <w:w w:val="105"/>
        </w:rPr>
        <w:t>primer</w:t>
      </w:r>
      <w:r>
        <w:rPr>
          <w:color w:val="231F20"/>
          <w:spacing w:val="-6"/>
          <w:w w:val="105"/>
        </w:rPr>
        <w:t> </w:t>
      </w:r>
      <w:r>
        <w:rPr>
          <w:color w:val="231F20"/>
          <w:w w:val="105"/>
        </w:rPr>
        <w:t>empleo</w:t>
      </w:r>
      <w:r>
        <w:rPr>
          <w:color w:val="231F20"/>
          <w:spacing w:val="-6"/>
          <w:w w:val="105"/>
        </w:rPr>
        <w:t> </w:t>
      </w:r>
      <w:r>
        <w:rPr>
          <w:color w:val="231F20"/>
          <w:w w:val="105"/>
        </w:rPr>
        <w:t>fue</w:t>
      </w:r>
      <w:r>
        <w:rPr>
          <w:color w:val="231F20"/>
          <w:spacing w:val="-6"/>
          <w:w w:val="105"/>
        </w:rPr>
        <w:t> </w:t>
      </w:r>
      <w:r>
        <w:rPr>
          <w:color w:val="231F20"/>
          <w:w w:val="105"/>
        </w:rPr>
        <w:t>como</w:t>
      </w:r>
      <w:r>
        <w:rPr>
          <w:color w:val="231F20"/>
          <w:spacing w:val="-6"/>
          <w:w w:val="105"/>
        </w:rPr>
        <w:t> </w:t>
      </w:r>
      <w:r>
        <w:rPr>
          <w:color w:val="231F20"/>
          <w:w w:val="105"/>
        </w:rPr>
        <w:t>ayudante</w:t>
      </w:r>
      <w:r>
        <w:rPr>
          <w:color w:val="231F20"/>
          <w:spacing w:val="-6"/>
          <w:w w:val="105"/>
        </w:rPr>
        <w:t> </w:t>
      </w:r>
      <w:r>
        <w:rPr>
          <w:color w:val="231F20"/>
          <w:w w:val="105"/>
        </w:rPr>
        <w:t>en una</w:t>
      </w:r>
      <w:r>
        <w:rPr>
          <w:color w:val="231F20"/>
          <w:spacing w:val="-5"/>
          <w:w w:val="105"/>
        </w:rPr>
        <w:t> </w:t>
      </w:r>
      <w:r>
        <w:rPr>
          <w:color w:val="231F20"/>
          <w:w w:val="105"/>
        </w:rPr>
        <w:t>tintorería,</w:t>
      </w:r>
      <w:r>
        <w:rPr>
          <w:color w:val="231F20"/>
          <w:spacing w:val="-10"/>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cual</w:t>
      </w:r>
      <w:r>
        <w:rPr>
          <w:color w:val="231F20"/>
          <w:spacing w:val="-5"/>
          <w:w w:val="105"/>
        </w:rPr>
        <w:t> </w:t>
      </w:r>
      <w:r>
        <w:rPr>
          <w:color w:val="231F20"/>
          <w:w w:val="105"/>
        </w:rPr>
        <w:t>trabajaba</w:t>
      </w:r>
      <w:r>
        <w:rPr>
          <w:color w:val="231F20"/>
          <w:spacing w:val="-5"/>
          <w:w w:val="105"/>
        </w:rPr>
        <w:t> </w:t>
      </w:r>
      <w:r>
        <w:rPr>
          <w:color w:val="231F20"/>
          <w:w w:val="105"/>
        </w:rPr>
        <w:t>su</w:t>
      </w:r>
      <w:r>
        <w:rPr>
          <w:color w:val="231F20"/>
          <w:spacing w:val="-5"/>
          <w:w w:val="105"/>
        </w:rPr>
        <w:t> </w:t>
      </w:r>
      <w:r>
        <w:rPr>
          <w:color w:val="231F20"/>
          <w:w w:val="105"/>
        </w:rPr>
        <w:t>cuñado;</w:t>
      </w:r>
      <w:r>
        <w:rPr>
          <w:color w:val="231F20"/>
          <w:spacing w:val="-5"/>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sitio</w:t>
      </w:r>
      <w:r>
        <w:rPr>
          <w:color w:val="231F20"/>
          <w:spacing w:val="-5"/>
          <w:w w:val="105"/>
        </w:rPr>
        <w:t> </w:t>
      </w:r>
      <w:r>
        <w:rPr>
          <w:color w:val="231F20"/>
          <w:w w:val="105"/>
        </w:rPr>
        <w:t>laboró</w:t>
      </w:r>
      <w:r>
        <w:rPr>
          <w:color w:val="231F20"/>
          <w:spacing w:val="-5"/>
          <w:w w:val="105"/>
        </w:rPr>
        <w:t> </w:t>
      </w:r>
      <w:r>
        <w:rPr>
          <w:color w:val="231F20"/>
          <w:w w:val="105"/>
        </w:rPr>
        <w:t>como empleado durante año y medio, planchando ropa. En ese periodo</w:t>
      </w:r>
      <w:r>
        <w:rPr>
          <w:color w:val="231F20"/>
          <w:spacing w:val="-20"/>
          <w:w w:val="105"/>
        </w:rPr>
        <w:t> </w:t>
      </w:r>
      <w:r>
        <w:rPr>
          <w:color w:val="231F20"/>
          <w:w w:val="105"/>
        </w:rPr>
        <w:t>pasó de la posición de ayudante a empleado general (planchador), cuando su cuñado llegó a ser el encargado de la tintorería. Luego de un año y medio</w:t>
      </w:r>
      <w:r>
        <w:rPr>
          <w:color w:val="231F20"/>
          <w:spacing w:val="-4"/>
          <w:w w:val="105"/>
        </w:rPr>
        <w:t> </w:t>
      </w:r>
      <w:r>
        <w:rPr>
          <w:color w:val="231F20"/>
          <w:w w:val="105"/>
        </w:rPr>
        <w:t>en</w:t>
      </w:r>
      <w:r>
        <w:rPr>
          <w:color w:val="231F20"/>
          <w:spacing w:val="-4"/>
          <w:w w:val="105"/>
        </w:rPr>
        <w:t> </w:t>
      </w:r>
      <w:r>
        <w:rPr>
          <w:color w:val="231F20"/>
          <w:w w:val="105"/>
        </w:rPr>
        <w:t>Long</w:t>
      </w:r>
      <w:r>
        <w:rPr>
          <w:color w:val="231F20"/>
          <w:spacing w:val="-4"/>
          <w:w w:val="105"/>
        </w:rPr>
        <w:t> </w:t>
      </w:r>
      <w:r>
        <w:rPr>
          <w:color w:val="231F20"/>
          <w:w w:val="105"/>
        </w:rPr>
        <w:t>Beach</w:t>
      </w:r>
      <w:r>
        <w:rPr>
          <w:color w:val="231F20"/>
          <w:spacing w:val="-4"/>
          <w:w w:val="105"/>
        </w:rPr>
        <w:t> </w:t>
      </w:r>
      <w:r>
        <w:rPr>
          <w:color w:val="231F20"/>
          <w:w w:val="105"/>
        </w:rPr>
        <w:t>se</w:t>
      </w:r>
      <w:r>
        <w:rPr>
          <w:color w:val="231F20"/>
          <w:spacing w:val="-4"/>
          <w:w w:val="105"/>
        </w:rPr>
        <w:t> </w:t>
      </w:r>
      <w:r>
        <w:rPr>
          <w:color w:val="231F20"/>
          <w:w w:val="105"/>
        </w:rPr>
        <w:t>mudó</w:t>
      </w:r>
      <w:r>
        <w:rPr>
          <w:color w:val="231F20"/>
          <w:spacing w:val="-4"/>
          <w:w w:val="105"/>
        </w:rPr>
        <w:t> </w:t>
      </w:r>
      <w:r>
        <w:rPr>
          <w:color w:val="231F20"/>
          <w:w w:val="105"/>
        </w:rPr>
        <w:t>al</w:t>
      </w:r>
      <w:r>
        <w:rPr>
          <w:color w:val="231F20"/>
          <w:spacing w:val="-4"/>
          <w:w w:val="105"/>
        </w:rPr>
        <w:t> </w:t>
      </w:r>
      <w:r>
        <w:rPr>
          <w:color w:val="231F20"/>
          <w:w w:val="105"/>
        </w:rPr>
        <w:t>estado</w:t>
      </w:r>
      <w:r>
        <w:rPr>
          <w:color w:val="231F20"/>
          <w:spacing w:val="-4"/>
          <w:w w:val="105"/>
        </w:rPr>
        <w:t> </w:t>
      </w:r>
      <w:r>
        <w:rPr>
          <w:color w:val="231F20"/>
          <w:w w:val="105"/>
        </w:rPr>
        <w:t>de</w:t>
      </w:r>
      <w:r>
        <w:rPr>
          <w:color w:val="231F20"/>
          <w:spacing w:val="-6"/>
          <w:w w:val="105"/>
        </w:rPr>
        <w:t> </w:t>
      </w:r>
      <w:r>
        <w:rPr>
          <w:color w:val="231F20"/>
          <w:w w:val="105"/>
        </w:rPr>
        <w:t>Washington,</w:t>
      </w:r>
      <w:r>
        <w:rPr>
          <w:color w:val="231F20"/>
          <w:spacing w:val="-9"/>
          <w:w w:val="105"/>
        </w:rPr>
        <w:t> </w:t>
      </w:r>
      <w:r>
        <w:rPr>
          <w:color w:val="231F20"/>
          <w:w w:val="105"/>
        </w:rPr>
        <w:t>muy</w:t>
      </w:r>
      <w:r>
        <w:rPr>
          <w:color w:val="231F20"/>
          <w:spacing w:val="-4"/>
          <w:w w:val="105"/>
        </w:rPr>
        <w:t> </w:t>
      </w:r>
      <w:r>
        <w:rPr>
          <w:color w:val="231F20"/>
          <w:w w:val="105"/>
        </w:rPr>
        <w:t>cerca</w:t>
      </w:r>
      <w:r>
        <w:rPr>
          <w:color w:val="231F20"/>
          <w:spacing w:val="-4"/>
          <w:w w:val="105"/>
        </w:rPr>
        <w:t> </w:t>
      </w:r>
      <w:r>
        <w:rPr>
          <w:color w:val="231F20"/>
          <w:w w:val="105"/>
        </w:rPr>
        <w:t>de Seattle,</w:t>
      </w:r>
      <w:r>
        <w:rPr>
          <w:color w:val="231F20"/>
          <w:spacing w:val="-21"/>
          <w:w w:val="105"/>
        </w:rPr>
        <w:t> </w:t>
      </w:r>
      <w:r>
        <w:rPr>
          <w:color w:val="231F20"/>
          <w:w w:val="105"/>
        </w:rPr>
        <w:t>lugar</w:t>
      </w:r>
      <w:r>
        <w:rPr>
          <w:color w:val="231F20"/>
          <w:spacing w:val="-16"/>
          <w:w w:val="105"/>
        </w:rPr>
        <w:t> </w:t>
      </w:r>
      <w:r>
        <w:rPr>
          <w:color w:val="231F20"/>
          <w:w w:val="105"/>
        </w:rPr>
        <w:t>al</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movieron</w:t>
      </w:r>
      <w:r>
        <w:rPr>
          <w:color w:val="231F20"/>
          <w:spacing w:val="-16"/>
          <w:w w:val="105"/>
        </w:rPr>
        <w:t> </w:t>
      </w:r>
      <w:r>
        <w:rPr>
          <w:color w:val="231F20"/>
          <w:w w:val="105"/>
        </w:rPr>
        <w:t>los</w:t>
      </w:r>
      <w:r>
        <w:rPr>
          <w:color w:val="231F20"/>
          <w:spacing w:val="-16"/>
          <w:w w:val="105"/>
        </w:rPr>
        <w:t> </w:t>
      </w:r>
      <w:r>
        <w:rPr>
          <w:color w:val="231F20"/>
          <w:w w:val="105"/>
        </w:rPr>
        <w:t>patrones</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w w:val="105"/>
        </w:rPr>
        <w:t>hermana</w:t>
      </w:r>
      <w:r>
        <w:rPr>
          <w:color w:val="231F20"/>
          <w:spacing w:val="-16"/>
          <w:w w:val="105"/>
        </w:rPr>
        <w:t> </w:t>
      </w:r>
      <w:r>
        <w:rPr>
          <w:color w:val="231F20"/>
          <w:w w:val="105"/>
        </w:rPr>
        <w:t>y</w:t>
      </w:r>
      <w:r>
        <w:rPr>
          <w:color w:val="231F20"/>
          <w:spacing w:val="-16"/>
          <w:w w:val="105"/>
        </w:rPr>
        <w:t> </w:t>
      </w:r>
      <w:r>
        <w:rPr>
          <w:color w:val="231F20"/>
          <w:w w:val="105"/>
        </w:rPr>
        <w:t>junto</w:t>
      </w:r>
      <w:r>
        <w:rPr>
          <w:color w:val="231F20"/>
          <w:spacing w:val="-16"/>
          <w:w w:val="105"/>
        </w:rPr>
        <w:t> </w:t>
      </w:r>
      <w:r>
        <w:rPr>
          <w:color w:val="231F20"/>
          <w:w w:val="105"/>
        </w:rPr>
        <w:t>con ellos, la hermana decidió emigrar con toda la familia, incluidos Roberto y los suyos. Allá se empleó nuevamente en una tintorería, como plan- chador, donde laboró por siete años y medio aproximadamente. En el mismo</w:t>
      </w:r>
      <w:r>
        <w:rPr>
          <w:color w:val="231F20"/>
          <w:spacing w:val="-12"/>
          <w:w w:val="105"/>
        </w:rPr>
        <w:t> </w:t>
      </w:r>
      <w:r>
        <w:rPr>
          <w:color w:val="231F20"/>
          <w:w w:val="105"/>
        </w:rPr>
        <w:t>sitio</w:t>
      </w:r>
      <w:r>
        <w:rPr>
          <w:color w:val="231F20"/>
          <w:spacing w:val="-12"/>
          <w:w w:val="105"/>
        </w:rPr>
        <w:t> </w:t>
      </w:r>
      <w:r>
        <w:rPr>
          <w:color w:val="231F20"/>
          <w:w w:val="105"/>
        </w:rPr>
        <w:t>su</w:t>
      </w:r>
      <w:r>
        <w:rPr>
          <w:color w:val="231F20"/>
          <w:spacing w:val="-12"/>
          <w:w w:val="105"/>
        </w:rPr>
        <w:t> </w:t>
      </w:r>
      <w:r>
        <w:rPr>
          <w:color w:val="231F20"/>
          <w:w w:val="105"/>
        </w:rPr>
        <w:t>esposa</w:t>
      </w:r>
      <w:r>
        <w:rPr>
          <w:color w:val="231F20"/>
          <w:spacing w:val="-12"/>
          <w:w w:val="105"/>
        </w:rPr>
        <w:t> </w:t>
      </w:r>
      <w:r>
        <w:rPr>
          <w:color w:val="231F20"/>
          <w:w w:val="105"/>
        </w:rPr>
        <w:t>trabajó</w:t>
      </w:r>
      <w:r>
        <w:rPr>
          <w:color w:val="231F20"/>
          <w:spacing w:val="-12"/>
          <w:w w:val="105"/>
        </w:rPr>
        <w:t> </w:t>
      </w:r>
      <w:r>
        <w:rPr>
          <w:color w:val="231F20"/>
          <w:w w:val="105"/>
        </w:rPr>
        <w:t>hasta</w:t>
      </w:r>
      <w:r>
        <w:rPr>
          <w:color w:val="231F20"/>
          <w:spacing w:val="-12"/>
          <w:w w:val="105"/>
        </w:rPr>
        <w:t> </w:t>
      </w:r>
      <w:r>
        <w:rPr>
          <w:color w:val="231F20"/>
          <w:w w:val="105"/>
        </w:rPr>
        <w:t>1999,</w:t>
      </w:r>
      <w:r>
        <w:rPr>
          <w:color w:val="231F20"/>
          <w:spacing w:val="-17"/>
          <w:w w:val="105"/>
        </w:rPr>
        <w:t> </w:t>
      </w:r>
      <w:r>
        <w:rPr>
          <w:color w:val="231F20"/>
          <w:w w:val="105"/>
        </w:rPr>
        <w:t>también</w:t>
      </w:r>
      <w:r>
        <w:rPr>
          <w:color w:val="231F20"/>
          <w:spacing w:val="-12"/>
          <w:w w:val="105"/>
        </w:rPr>
        <w:t> </w:t>
      </w:r>
      <w:r>
        <w:rPr>
          <w:color w:val="231F20"/>
          <w:w w:val="105"/>
        </w:rPr>
        <w:t>por</w:t>
      </w:r>
      <w:r>
        <w:rPr>
          <w:color w:val="231F20"/>
          <w:spacing w:val="-12"/>
          <w:w w:val="105"/>
        </w:rPr>
        <w:t> </w:t>
      </w:r>
      <w:r>
        <w:rPr>
          <w:color w:val="231F20"/>
          <w:w w:val="105"/>
        </w:rPr>
        <w:t>siete</w:t>
      </w:r>
      <w:r>
        <w:rPr>
          <w:color w:val="231F20"/>
          <w:spacing w:val="-12"/>
          <w:w w:val="105"/>
        </w:rPr>
        <w:t> </w:t>
      </w:r>
      <w:r>
        <w:rPr>
          <w:color w:val="231F20"/>
          <w:w w:val="105"/>
        </w:rPr>
        <w:t>años,</w:t>
      </w:r>
      <w:r>
        <w:rPr>
          <w:color w:val="231F20"/>
          <w:spacing w:val="-17"/>
          <w:w w:val="105"/>
        </w:rPr>
        <w:t> </w:t>
      </w:r>
      <w:r>
        <w:rPr>
          <w:color w:val="231F20"/>
          <w:w w:val="105"/>
        </w:rPr>
        <w:t>como empleada, encargada de doblar las prendas y etiquetarlas, pero nunca en la atención al</w:t>
      </w:r>
      <w:r>
        <w:rPr>
          <w:color w:val="231F20"/>
          <w:spacing w:val="-39"/>
          <w:w w:val="105"/>
        </w:rPr>
        <w:t> </w:t>
      </w:r>
      <w:r>
        <w:rPr>
          <w:color w:val="231F20"/>
          <w:w w:val="105"/>
        </w:rPr>
        <w:t>público.</w:t>
      </w:r>
    </w:p>
    <w:p>
      <w:pPr>
        <w:pStyle w:val="BodyText"/>
        <w:spacing w:line="261" w:lineRule="auto" w:before="1"/>
        <w:ind w:left="1837" w:right="1715" w:firstLine="567"/>
        <w:jc w:val="both"/>
      </w:pPr>
      <w:r>
        <w:rPr>
          <w:color w:val="231F20"/>
          <w:w w:val="105"/>
        </w:rPr>
        <w:t>Roberto</w:t>
      </w:r>
      <w:r>
        <w:rPr>
          <w:color w:val="231F20"/>
          <w:spacing w:val="-19"/>
          <w:w w:val="105"/>
        </w:rPr>
        <w:t> </w:t>
      </w:r>
      <w:r>
        <w:rPr>
          <w:color w:val="231F20"/>
          <w:w w:val="105"/>
        </w:rPr>
        <w:t>decidió</w:t>
      </w:r>
      <w:r>
        <w:rPr>
          <w:color w:val="231F20"/>
          <w:spacing w:val="-19"/>
          <w:w w:val="105"/>
        </w:rPr>
        <w:t> </w:t>
      </w:r>
      <w:r>
        <w:rPr>
          <w:color w:val="231F20"/>
          <w:w w:val="105"/>
        </w:rPr>
        <w:t>tomar</w:t>
      </w:r>
      <w:r>
        <w:rPr>
          <w:color w:val="231F20"/>
          <w:spacing w:val="-19"/>
          <w:w w:val="105"/>
        </w:rPr>
        <w:t> </w:t>
      </w:r>
      <w:r>
        <w:rPr>
          <w:color w:val="231F20"/>
          <w:w w:val="105"/>
        </w:rPr>
        <w:t>otro</w:t>
      </w:r>
      <w:r>
        <w:rPr>
          <w:color w:val="231F20"/>
          <w:spacing w:val="-19"/>
          <w:w w:val="105"/>
        </w:rPr>
        <w:t> </w:t>
      </w:r>
      <w:r>
        <w:rPr>
          <w:color w:val="231F20"/>
          <w:w w:val="105"/>
        </w:rPr>
        <w:t>empleo,</w:t>
      </w:r>
      <w:r>
        <w:rPr>
          <w:color w:val="231F20"/>
          <w:spacing w:val="-25"/>
          <w:w w:val="105"/>
        </w:rPr>
        <w:t> </w:t>
      </w:r>
      <w:r>
        <w:rPr>
          <w:color w:val="231F20"/>
          <w:w w:val="105"/>
        </w:rPr>
        <w:t>después</w:t>
      </w:r>
      <w:r>
        <w:rPr>
          <w:color w:val="231F20"/>
          <w:spacing w:val="-19"/>
          <w:w w:val="105"/>
        </w:rPr>
        <w:t> </w:t>
      </w:r>
      <w:r>
        <w:rPr>
          <w:color w:val="231F20"/>
          <w:w w:val="105"/>
        </w:rPr>
        <w:t>de</w:t>
      </w:r>
      <w:r>
        <w:rPr>
          <w:color w:val="231F20"/>
          <w:spacing w:val="-19"/>
          <w:w w:val="105"/>
        </w:rPr>
        <w:t> </w:t>
      </w:r>
      <w:r>
        <w:rPr>
          <w:color w:val="231F20"/>
          <w:w w:val="105"/>
        </w:rPr>
        <w:t>siete</w:t>
      </w:r>
      <w:r>
        <w:rPr>
          <w:color w:val="231F20"/>
          <w:spacing w:val="-19"/>
          <w:w w:val="105"/>
        </w:rPr>
        <w:t> </w:t>
      </w:r>
      <w:r>
        <w:rPr>
          <w:color w:val="231F20"/>
          <w:w w:val="105"/>
        </w:rPr>
        <w:t>años</w:t>
      </w:r>
      <w:r>
        <w:rPr>
          <w:color w:val="231F20"/>
          <w:spacing w:val="-19"/>
          <w:w w:val="105"/>
        </w:rPr>
        <w:t> </w:t>
      </w:r>
      <w:r>
        <w:rPr>
          <w:color w:val="231F20"/>
          <w:w w:val="105"/>
        </w:rPr>
        <w:t>y</w:t>
      </w:r>
      <w:r>
        <w:rPr>
          <w:color w:val="231F20"/>
          <w:spacing w:val="-19"/>
          <w:w w:val="105"/>
        </w:rPr>
        <w:t> </w:t>
      </w:r>
      <w:r>
        <w:rPr>
          <w:color w:val="231F20"/>
          <w:w w:val="105"/>
        </w:rPr>
        <w:t>medio en</w:t>
      </w:r>
      <w:r>
        <w:rPr>
          <w:color w:val="231F20"/>
          <w:spacing w:val="-14"/>
          <w:w w:val="105"/>
        </w:rPr>
        <w:t> </w:t>
      </w:r>
      <w:r>
        <w:rPr>
          <w:color w:val="231F20"/>
          <w:w w:val="105"/>
        </w:rPr>
        <w:t>la</w:t>
      </w:r>
      <w:r>
        <w:rPr>
          <w:color w:val="231F20"/>
          <w:spacing w:val="-14"/>
          <w:w w:val="105"/>
        </w:rPr>
        <w:t> </w:t>
      </w:r>
      <w:r>
        <w:rPr>
          <w:color w:val="231F20"/>
          <w:w w:val="105"/>
        </w:rPr>
        <w:t>tintorería,</w:t>
      </w:r>
      <w:r>
        <w:rPr>
          <w:color w:val="231F20"/>
          <w:spacing w:val="-21"/>
          <w:w w:val="105"/>
        </w:rPr>
        <w:t> </w:t>
      </w:r>
      <w:r>
        <w:rPr>
          <w:color w:val="231F20"/>
          <w:w w:val="105"/>
        </w:rPr>
        <w:t>debido</w:t>
      </w:r>
      <w:r>
        <w:rPr>
          <w:color w:val="231F20"/>
          <w:spacing w:val="-14"/>
          <w:w w:val="105"/>
        </w:rPr>
        <w:t> </w:t>
      </w:r>
      <w:r>
        <w:rPr>
          <w:color w:val="231F20"/>
          <w:w w:val="105"/>
        </w:rPr>
        <w:t>a</w:t>
      </w:r>
      <w:r>
        <w:rPr>
          <w:color w:val="231F20"/>
          <w:spacing w:val="-14"/>
          <w:w w:val="105"/>
        </w:rPr>
        <w:t> </w:t>
      </w:r>
      <w:r>
        <w:rPr>
          <w:color w:val="231F20"/>
          <w:w w:val="105"/>
        </w:rPr>
        <w:t>problemas</w:t>
      </w:r>
      <w:r>
        <w:rPr>
          <w:color w:val="231F20"/>
          <w:spacing w:val="-14"/>
          <w:w w:val="105"/>
        </w:rPr>
        <w:t> </w:t>
      </w:r>
      <w:r>
        <w:rPr>
          <w:color w:val="231F20"/>
          <w:w w:val="105"/>
        </w:rPr>
        <w:t>de</w:t>
      </w:r>
      <w:r>
        <w:rPr>
          <w:color w:val="231F20"/>
          <w:spacing w:val="-14"/>
          <w:w w:val="105"/>
        </w:rPr>
        <w:t> </w:t>
      </w:r>
      <w:r>
        <w:rPr>
          <w:color w:val="231F20"/>
          <w:w w:val="105"/>
        </w:rPr>
        <w:t>salud</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constante</w:t>
      </w:r>
      <w:r>
        <w:rPr>
          <w:color w:val="231F20"/>
          <w:spacing w:val="-14"/>
          <w:w w:val="105"/>
        </w:rPr>
        <w:t> </w:t>
      </w:r>
      <w:r>
        <w:rPr>
          <w:color w:val="231F20"/>
          <w:w w:val="105"/>
        </w:rPr>
        <w:t>exposición a</w:t>
      </w:r>
      <w:r>
        <w:rPr>
          <w:color w:val="231F20"/>
          <w:spacing w:val="-12"/>
          <w:w w:val="105"/>
        </w:rPr>
        <w:t> </w:t>
      </w:r>
      <w:r>
        <w:rPr>
          <w:color w:val="231F20"/>
          <w:w w:val="105"/>
        </w:rPr>
        <w:t>las</w:t>
      </w:r>
      <w:r>
        <w:rPr>
          <w:color w:val="231F20"/>
          <w:spacing w:val="-12"/>
          <w:w w:val="105"/>
        </w:rPr>
        <w:t> </w:t>
      </w:r>
      <w:r>
        <w:rPr>
          <w:color w:val="231F20"/>
          <w:w w:val="105"/>
        </w:rPr>
        <w:t>altas</w:t>
      </w:r>
      <w:r>
        <w:rPr>
          <w:color w:val="231F20"/>
          <w:spacing w:val="-12"/>
          <w:w w:val="105"/>
        </w:rPr>
        <w:t> </w:t>
      </w:r>
      <w:r>
        <w:rPr>
          <w:color w:val="231F20"/>
          <w:w w:val="105"/>
        </w:rPr>
        <w:t>temperaturas.</w:t>
      </w:r>
      <w:r>
        <w:rPr>
          <w:color w:val="231F20"/>
          <w:spacing w:val="-17"/>
          <w:w w:val="105"/>
        </w:rPr>
        <w:t> </w:t>
      </w:r>
      <w:r>
        <w:rPr>
          <w:color w:val="231F20"/>
          <w:w w:val="105"/>
        </w:rPr>
        <w:t>Se</w:t>
      </w:r>
      <w:r>
        <w:rPr>
          <w:color w:val="231F20"/>
          <w:spacing w:val="-12"/>
          <w:w w:val="105"/>
        </w:rPr>
        <w:t> </w:t>
      </w:r>
      <w:r>
        <w:rPr>
          <w:color w:val="231F20"/>
          <w:w w:val="105"/>
        </w:rPr>
        <w:t>empleó</w:t>
      </w:r>
      <w:r>
        <w:rPr>
          <w:color w:val="231F20"/>
          <w:spacing w:val="-12"/>
          <w:w w:val="105"/>
        </w:rPr>
        <w:t> </w:t>
      </w:r>
      <w:r>
        <w:rPr>
          <w:color w:val="231F20"/>
          <w:w w:val="105"/>
        </w:rPr>
        <w:t>como</w:t>
      </w:r>
      <w:r>
        <w:rPr>
          <w:color w:val="231F20"/>
          <w:spacing w:val="-12"/>
          <w:w w:val="105"/>
        </w:rPr>
        <w:t> </w:t>
      </w:r>
      <w:r>
        <w:rPr>
          <w:color w:val="231F20"/>
          <w:w w:val="105"/>
        </w:rPr>
        <w:t>obrero</w:t>
      </w:r>
      <w:r>
        <w:rPr>
          <w:color w:val="231F20"/>
          <w:spacing w:val="-12"/>
          <w:w w:val="105"/>
        </w:rPr>
        <w:t> </w:t>
      </w:r>
      <w:r>
        <w:rPr>
          <w:color w:val="231F20"/>
          <w:w w:val="105"/>
        </w:rPr>
        <w:t>en</w:t>
      </w:r>
      <w:r>
        <w:rPr>
          <w:color w:val="231F20"/>
          <w:spacing w:val="-12"/>
          <w:w w:val="105"/>
        </w:rPr>
        <w:t> </w:t>
      </w:r>
      <w:r>
        <w:rPr>
          <w:color w:val="231F20"/>
          <w:w w:val="105"/>
        </w:rPr>
        <w:t>una</w:t>
      </w:r>
      <w:r>
        <w:rPr>
          <w:color w:val="231F20"/>
          <w:spacing w:val="-12"/>
          <w:w w:val="105"/>
        </w:rPr>
        <w:t> </w:t>
      </w:r>
      <w:r>
        <w:rPr>
          <w:color w:val="231F20"/>
          <w:w w:val="105"/>
        </w:rPr>
        <w:t>fábrica</w:t>
      </w:r>
      <w:r>
        <w:rPr>
          <w:color w:val="231F20"/>
          <w:spacing w:val="-12"/>
          <w:w w:val="105"/>
        </w:rPr>
        <w:t> </w:t>
      </w:r>
      <w:r>
        <w:rPr>
          <w:color w:val="231F20"/>
          <w:w w:val="105"/>
        </w:rPr>
        <w:t>de</w:t>
      </w:r>
      <w:r>
        <w:rPr>
          <w:color w:val="231F20"/>
          <w:spacing w:val="-12"/>
          <w:w w:val="105"/>
        </w:rPr>
        <w:t> </w:t>
      </w:r>
      <w:r>
        <w:rPr>
          <w:color w:val="231F20"/>
          <w:w w:val="105"/>
        </w:rPr>
        <w:t>ven- tanas y aluminio, en donde por sus conocimientos y habilidades adqui- ridas como herrero en Nezahualcóyotl, rápidamente aprendió el oficio de</w:t>
      </w:r>
      <w:r>
        <w:rPr>
          <w:color w:val="231F20"/>
          <w:spacing w:val="-15"/>
          <w:w w:val="105"/>
        </w:rPr>
        <w:t> </w:t>
      </w:r>
      <w:r>
        <w:rPr>
          <w:color w:val="231F20"/>
          <w:w w:val="105"/>
        </w:rPr>
        <w:t>“aluminero”</w:t>
      </w:r>
      <w:r>
        <w:rPr>
          <w:color w:val="231F20"/>
          <w:spacing w:val="-15"/>
          <w:w w:val="105"/>
        </w:rPr>
        <w:t> </w:t>
      </w:r>
      <w:r>
        <w:rPr>
          <w:color w:val="231F20"/>
          <w:w w:val="105"/>
        </w:rPr>
        <w:t>(especialista</w:t>
      </w:r>
      <w:r>
        <w:rPr>
          <w:color w:val="231F20"/>
          <w:spacing w:val="-15"/>
          <w:w w:val="105"/>
        </w:rPr>
        <w:t> </w:t>
      </w:r>
      <w:r>
        <w:rPr>
          <w:color w:val="231F20"/>
          <w:w w:val="105"/>
        </w:rPr>
        <w:t>en</w:t>
      </w:r>
      <w:r>
        <w:rPr>
          <w:color w:val="231F20"/>
          <w:spacing w:val="-15"/>
          <w:w w:val="105"/>
        </w:rPr>
        <w:t> </w:t>
      </w:r>
      <w:r>
        <w:rPr>
          <w:color w:val="231F20"/>
          <w:w w:val="105"/>
        </w:rPr>
        <w:t>trabajar</w:t>
      </w:r>
      <w:r>
        <w:rPr>
          <w:color w:val="231F20"/>
          <w:spacing w:val="-15"/>
          <w:w w:val="105"/>
        </w:rPr>
        <w:t> </w:t>
      </w:r>
      <w:r>
        <w:rPr>
          <w:color w:val="231F20"/>
          <w:w w:val="105"/>
        </w:rPr>
        <w:t>el</w:t>
      </w:r>
      <w:r>
        <w:rPr>
          <w:color w:val="231F20"/>
          <w:spacing w:val="-15"/>
          <w:w w:val="105"/>
        </w:rPr>
        <w:t> </w:t>
      </w:r>
      <w:r>
        <w:rPr>
          <w:color w:val="231F20"/>
          <w:w w:val="105"/>
        </w:rPr>
        <w:t>aluminio).</w:t>
      </w:r>
      <w:r>
        <w:rPr>
          <w:color w:val="231F20"/>
          <w:spacing w:val="-25"/>
          <w:w w:val="105"/>
        </w:rPr>
        <w:t> </w:t>
      </w:r>
      <w:r>
        <w:rPr>
          <w:color w:val="231F20"/>
          <w:spacing w:val="-4"/>
          <w:w w:val="105"/>
        </w:rPr>
        <w:t>Trabajó</w:t>
      </w:r>
      <w:r>
        <w:rPr>
          <w:color w:val="231F20"/>
          <w:spacing w:val="-15"/>
          <w:w w:val="105"/>
        </w:rPr>
        <w:t> </w:t>
      </w:r>
      <w:r>
        <w:rPr>
          <w:color w:val="231F20"/>
          <w:w w:val="105"/>
        </w:rPr>
        <w:t>por</w:t>
      </w:r>
      <w:r>
        <w:rPr>
          <w:color w:val="231F20"/>
          <w:spacing w:val="-15"/>
          <w:w w:val="105"/>
        </w:rPr>
        <w:t> </w:t>
      </w:r>
      <w:r>
        <w:rPr>
          <w:color w:val="231F20"/>
          <w:w w:val="105"/>
        </w:rPr>
        <w:t>10</w:t>
      </w:r>
      <w:r>
        <w:rPr>
          <w:color w:val="231F20"/>
          <w:spacing w:val="-15"/>
          <w:w w:val="105"/>
        </w:rPr>
        <w:t> </w:t>
      </w:r>
      <w:r>
        <w:rPr>
          <w:color w:val="231F20"/>
          <w:w w:val="105"/>
        </w:rPr>
        <w:t>años en esa fábrica (1999-2009) haciendo uso siempre de sus documentos apócrifos. En 2009 se enfrentó a dos dilemas: a) la expiración de la</w:t>
      </w:r>
      <w:r>
        <w:rPr>
          <w:color w:val="231F20"/>
          <w:spacing w:val="-38"/>
          <w:w w:val="105"/>
        </w:rPr>
        <w:t> </w:t>
      </w:r>
      <w:r>
        <w:rPr>
          <w:color w:val="231F20"/>
          <w:w w:val="105"/>
        </w:rPr>
        <w:t>tar- jeta</w:t>
      </w:r>
      <w:r>
        <w:rPr>
          <w:color w:val="231F20"/>
          <w:spacing w:val="-7"/>
          <w:w w:val="105"/>
        </w:rPr>
        <w:t> </w:t>
      </w:r>
      <w:r>
        <w:rPr>
          <w:color w:val="231F20"/>
          <w:w w:val="105"/>
        </w:rPr>
        <w:t>que</w:t>
      </w:r>
      <w:r>
        <w:rPr>
          <w:color w:val="231F20"/>
          <w:spacing w:val="-7"/>
          <w:w w:val="105"/>
        </w:rPr>
        <w:t> </w:t>
      </w:r>
      <w:r>
        <w:rPr>
          <w:color w:val="231F20"/>
          <w:w w:val="105"/>
        </w:rPr>
        <w:t>contenía</w:t>
      </w:r>
      <w:r>
        <w:rPr>
          <w:color w:val="231F20"/>
          <w:spacing w:val="-7"/>
          <w:w w:val="105"/>
        </w:rPr>
        <w:t> </w:t>
      </w:r>
      <w:r>
        <w:rPr>
          <w:color w:val="231F20"/>
          <w:w w:val="105"/>
        </w:rPr>
        <w:t>el</w:t>
      </w:r>
      <w:r>
        <w:rPr>
          <w:color w:val="231F20"/>
          <w:spacing w:val="-7"/>
          <w:w w:val="105"/>
        </w:rPr>
        <w:t> </w:t>
      </w:r>
      <w:r>
        <w:rPr>
          <w:color w:val="231F20"/>
          <w:w w:val="105"/>
        </w:rPr>
        <w:t>número</w:t>
      </w:r>
      <w:r>
        <w:rPr>
          <w:color w:val="231F20"/>
          <w:spacing w:val="-7"/>
          <w:w w:val="105"/>
        </w:rPr>
        <w:t> </w:t>
      </w:r>
      <w:r>
        <w:rPr>
          <w:color w:val="231F20"/>
          <w:w w:val="105"/>
        </w:rPr>
        <w:t>de</w:t>
      </w:r>
      <w:r>
        <w:rPr>
          <w:color w:val="231F20"/>
          <w:spacing w:val="-7"/>
          <w:w w:val="105"/>
        </w:rPr>
        <w:t> </w:t>
      </w:r>
      <w:r>
        <w:rPr>
          <w:color w:val="231F20"/>
          <w:w w:val="105"/>
        </w:rPr>
        <w:t>seguridad</w:t>
      </w:r>
      <w:r>
        <w:rPr>
          <w:color w:val="231F20"/>
          <w:spacing w:val="-7"/>
          <w:w w:val="105"/>
        </w:rPr>
        <w:t> </w:t>
      </w:r>
      <w:r>
        <w:rPr>
          <w:color w:val="231F20"/>
          <w:w w:val="105"/>
        </w:rPr>
        <w:t>social</w:t>
      </w:r>
      <w:r>
        <w:rPr>
          <w:color w:val="231F20"/>
          <w:spacing w:val="-7"/>
          <w:w w:val="105"/>
        </w:rPr>
        <w:t> </w:t>
      </w:r>
      <w:r>
        <w:rPr>
          <w:color w:val="231F20"/>
          <w:w w:val="105"/>
        </w:rPr>
        <w:t>y</w:t>
      </w:r>
      <w:r>
        <w:rPr>
          <w:color w:val="231F20"/>
          <w:spacing w:val="-7"/>
          <w:w w:val="105"/>
        </w:rPr>
        <w:t> </w:t>
      </w:r>
      <w:r>
        <w:rPr>
          <w:color w:val="231F20"/>
          <w:w w:val="105"/>
        </w:rPr>
        <w:t>adicionalmente</w:t>
      </w:r>
      <w:r>
        <w:rPr>
          <w:color w:val="231F20"/>
          <w:spacing w:val="-7"/>
          <w:w w:val="105"/>
        </w:rPr>
        <w:t> </w:t>
      </w:r>
      <w:r>
        <w:rPr>
          <w:color w:val="231F20"/>
          <w:w w:val="105"/>
        </w:rPr>
        <w:t>de</w:t>
      </w:r>
      <w:r>
        <w:rPr>
          <w:color w:val="231F20"/>
          <w:spacing w:val="-7"/>
          <w:w w:val="105"/>
        </w:rPr>
        <w:t> </w:t>
      </w:r>
      <w:r>
        <w:rPr>
          <w:color w:val="231F20"/>
          <w:w w:val="105"/>
        </w:rPr>
        <w:t>su </w:t>
      </w:r>
      <w:r>
        <w:rPr>
          <w:rFonts w:ascii="Arial" w:hAnsi="Arial"/>
          <w:i/>
          <w:color w:val="231F20"/>
          <w:w w:val="105"/>
        </w:rPr>
        <w:t>green</w:t>
      </w:r>
      <w:r>
        <w:rPr>
          <w:rFonts w:ascii="Arial" w:hAnsi="Arial"/>
          <w:i/>
          <w:color w:val="231F20"/>
          <w:spacing w:val="-18"/>
          <w:w w:val="105"/>
        </w:rPr>
        <w:t> </w:t>
      </w:r>
      <w:r>
        <w:rPr>
          <w:rFonts w:ascii="Arial" w:hAnsi="Arial"/>
          <w:i/>
          <w:color w:val="231F20"/>
          <w:w w:val="105"/>
        </w:rPr>
        <w:t>card</w:t>
      </w:r>
      <w:r>
        <w:rPr>
          <w:rFonts w:ascii="Arial" w:hAnsi="Arial"/>
          <w:i/>
          <w:color w:val="231F20"/>
          <w:spacing w:val="-18"/>
          <w:w w:val="105"/>
        </w:rPr>
        <w:t> </w:t>
      </w:r>
      <w:r>
        <w:rPr>
          <w:color w:val="231F20"/>
          <w:w w:val="105"/>
        </w:rPr>
        <w:t>que</w:t>
      </w:r>
      <w:r>
        <w:rPr>
          <w:color w:val="231F20"/>
          <w:spacing w:val="-16"/>
          <w:w w:val="105"/>
        </w:rPr>
        <w:t> </w:t>
      </w:r>
      <w:r>
        <w:rPr>
          <w:color w:val="231F20"/>
          <w:w w:val="105"/>
        </w:rPr>
        <w:t>le</w:t>
      </w:r>
      <w:r>
        <w:rPr>
          <w:color w:val="231F20"/>
          <w:spacing w:val="-16"/>
          <w:w w:val="105"/>
        </w:rPr>
        <w:t> </w:t>
      </w:r>
      <w:r>
        <w:rPr>
          <w:color w:val="231F20"/>
          <w:w w:val="105"/>
        </w:rPr>
        <w:t>permitían</w:t>
      </w:r>
      <w:r>
        <w:rPr>
          <w:color w:val="231F20"/>
          <w:spacing w:val="-16"/>
          <w:w w:val="105"/>
        </w:rPr>
        <w:t> </w:t>
      </w:r>
      <w:r>
        <w:rPr>
          <w:color w:val="231F20"/>
          <w:w w:val="105"/>
        </w:rPr>
        <w:t>ser</w:t>
      </w:r>
      <w:r>
        <w:rPr>
          <w:color w:val="231F20"/>
          <w:spacing w:val="-16"/>
          <w:w w:val="105"/>
        </w:rPr>
        <w:t> </w:t>
      </w:r>
      <w:r>
        <w:rPr>
          <w:color w:val="231F20"/>
          <w:w w:val="105"/>
        </w:rPr>
        <w:t>contratado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fábrica,</w:t>
      </w:r>
      <w:r>
        <w:rPr>
          <w:color w:val="231F20"/>
          <w:spacing w:val="-21"/>
          <w:w w:val="105"/>
        </w:rPr>
        <w:t> </w:t>
      </w:r>
      <w:r>
        <w:rPr>
          <w:color w:val="231F20"/>
          <w:w w:val="105"/>
        </w:rPr>
        <w:t>no</w:t>
      </w:r>
      <w:r>
        <w:rPr>
          <w:color w:val="231F20"/>
          <w:spacing w:val="-16"/>
          <w:w w:val="105"/>
        </w:rPr>
        <w:t> </w:t>
      </w:r>
      <w:r>
        <w:rPr>
          <w:color w:val="231F20"/>
          <w:w w:val="105"/>
        </w:rPr>
        <w:t>obstante</w:t>
      </w:r>
      <w:r>
        <w:rPr>
          <w:color w:val="231F20"/>
          <w:spacing w:val="-16"/>
          <w:w w:val="105"/>
        </w:rPr>
        <w:t> </w:t>
      </w:r>
      <w:r>
        <w:rPr>
          <w:color w:val="231F20"/>
          <w:w w:val="105"/>
        </w:rPr>
        <w:t>que los</w:t>
      </w:r>
      <w:r>
        <w:rPr>
          <w:color w:val="231F20"/>
          <w:spacing w:val="-8"/>
          <w:w w:val="105"/>
        </w:rPr>
        <w:t> </w:t>
      </w:r>
      <w:r>
        <w:rPr>
          <w:color w:val="231F20"/>
          <w:w w:val="105"/>
        </w:rPr>
        <w:t>patrones</w:t>
      </w:r>
      <w:r>
        <w:rPr>
          <w:color w:val="231F20"/>
          <w:spacing w:val="-8"/>
          <w:w w:val="105"/>
        </w:rPr>
        <w:t> </w:t>
      </w:r>
      <w:r>
        <w:rPr>
          <w:color w:val="231F20"/>
          <w:w w:val="105"/>
        </w:rPr>
        <w:t>sabían</w:t>
      </w:r>
      <w:r>
        <w:rPr>
          <w:color w:val="231F20"/>
          <w:spacing w:val="-8"/>
          <w:w w:val="105"/>
        </w:rPr>
        <w:t> </w:t>
      </w:r>
      <w:r>
        <w:rPr>
          <w:color w:val="231F20"/>
          <w:w w:val="105"/>
        </w:rPr>
        <w:t>que</w:t>
      </w:r>
      <w:r>
        <w:rPr>
          <w:color w:val="231F20"/>
          <w:spacing w:val="-8"/>
          <w:w w:val="105"/>
        </w:rPr>
        <w:t> </w:t>
      </w:r>
      <w:r>
        <w:rPr>
          <w:color w:val="231F20"/>
          <w:w w:val="105"/>
        </w:rPr>
        <w:t>eran</w:t>
      </w:r>
      <w:r>
        <w:rPr>
          <w:color w:val="231F20"/>
          <w:spacing w:val="-8"/>
          <w:w w:val="105"/>
        </w:rPr>
        <w:t> </w:t>
      </w:r>
      <w:r>
        <w:rPr>
          <w:color w:val="231F20"/>
          <w:w w:val="105"/>
        </w:rPr>
        <w:t>falsos</w:t>
      </w:r>
      <w:r>
        <w:rPr>
          <w:color w:val="231F20"/>
          <w:spacing w:val="-8"/>
          <w:w w:val="105"/>
        </w:rPr>
        <w:t> </w:t>
      </w:r>
      <w:r>
        <w:rPr>
          <w:color w:val="231F20"/>
          <w:w w:val="105"/>
        </w:rPr>
        <w:t>–suponía</w:t>
      </w:r>
      <w:r>
        <w:rPr>
          <w:color w:val="231F20"/>
          <w:spacing w:val="-8"/>
          <w:w w:val="105"/>
        </w:rPr>
        <w:t> </w:t>
      </w:r>
      <w:r>
        <w:rPr>
          <w:color w:val="231F20"/>
          <w:w w:val="105"/>
        </w:rPr>
        <w:t>Roberto.</w:t>
      </w:r>
      <w:r>
        <w:rPr>
          <w:color w:val="231F20"/>
          <w:spacing w:val="-13"/>
          <w:w w:val="105"/>
        </w:rPr>
        <w:t> </w:t>
      </w:r>
      <w:r>
        <w:rPr>
          <w:color w:val="231F20"/>
          <w:w w:val="105"/>
        </w:rPr>
        <w:t>b)</w:t>
      </w:r>
      <w:r>
        <w:rPr>
          <w:color w:val="231F20"/>
          <w:spacing w:val="-8"/>
          <w:w w:val="105"/>
        </w:rPr>
        <w:t> </w:t>
      </w:r>
      <w:r>
        <w:rPr>
          <w:color w:val="231F20"/>
          <w:w w:val="105"/>
        </w:rPr>
        <w:t>Su</w:t>
      </w:r>
      <w:r>
        <w:rPr>
          <w:color w:val="231F20"/>
          <w:spacing w:val="-8"/>
          <w:w w:val="105"/>
        </w:rPr>
        <w:t> </w:t>
      </w:r>
      <w:r>
        <w:rPr>
          <w:color w:val="231F20"/>
          <w:w w:val="105"/>
        </w:rPr>
        <w:t>esposa</w:t>
      </w:r>
      <w:r>
        <w:rPr>
          <w:color w:val="231F20"/>
          <w:spacing w:val="-8"/>
          <w:w w:val="105"/>
        </w:rPr>
        <w:t> </w:t>
      </w:r>
      <w:r>
        <w:rPr>
          <w:color w:val="231F20"/>
          <w:w w:val="105"/>
        </w:rPr>
        <w:t>ha- bía</w:t>
      </w:r>
      <w:r>
        <w:rPr>
          <w:color w:val="231F20"/>
          <w:spacing w:val="-6"/>
          <w:w w:val="105"/>
        </w:rPr>
        <w:t> </w:t>
      </w:r>
      <w:r>
        <w:rPr>
          <w:color w:val="231F20"/>
          <w:w w:val="105"/>
        </w:rPr>
        <w:t>sido</w:t>
      </w:r>
      <w:r>
        <w:rPr>
          <w:color w:val="231F20"/>
          <w:spacing w:val="-6"/>
          <w:w w:val="105"/>
        </w:rPr>
        <w:t> </w:t>
      </w:r>
      <w:r>
        <w:rPr>
          <w:color w:val="231F20"/>
          <w:w w:val="105"/>
        </w:rPr>
        <w:t>diagnosticada</w:t>
      </w:r>
      <w:r>
        <w:rPr>
          <w:color w:val="231F20"/>
          <w:spacing w:val="-6"/>
          <w:w w:val="105"/>
        </w:rPr>
        <w:t> </w:t>
      </w:r>
      <w:r>
        <w:rPr>
          <w:color w:val="231F20"/>
          <w:w w:val="105"/>
        </w:rPr>
        <w:t>con</w:t>
      </w:r>
      <w:r>
        <w:rPr>
          <w:color w:val="231F20"/>
          <w:spacing w:val="-6"/>
          <w:w w:val="105"/>
        </w:rPr>
        <w:t> </w:t>
      </w:r>
      <w:r>
        <w:rPr>
          <w:color w:val="231F20"/>
          <w:w w:val="105"/>
        </w:rPr>
        <w:t>una</w:t>
      </w:r>
      <w:r>
        <w:rPr>
          <w:color w:val="231F20"/>
          <w:spacing w:val="-6"/>
          <w:w w:val="105"/>
        </w:rPr>
        <w:t> </w:t>
      </w:r>
      <w:r>
        <w:rPr>
          <w:color w:val="231F20"/>
          <w:w w:val="105"/>
        </w:rPr>
        <w:t>enfermedad</w:t>
      </w:r>
      <w:r>
        <w:rPr>
          <w:color w:val="231F20"/>
          <w:spacing w:val="-6"/>
          <w:w w:val="105"/>
        </w:rPr>
        <w:t> </w:t>
      </w:r>
      <w:r>
        <w:rPr>
          <w:color w:val="231F20"/>
          <w:w w:val="105"/>
        </w:rPr>
        <w:t>degenerativa</w:t>
      </w:r>
      <w:r>
        <w:rPr>
          <w:color w:val="231F20"/>
          <w:spacing w:val="-6"/>
          <w:w w:val="105"/>
        </w:rPr>
        <w:t> </w:t>
      </w:r>
      <w:r>
        <w:rPr>
          <w:color w:val="231F20"/>
          <w:w w:val="105"/>
        </w:rPr>
        <w:t>algunos</w:t>
      </w:r>
      <w:r>
        <w:rPr>
          <w:color w:val="231F20"/>
          <w:spacing w:val="-6"/>
          <w:w w:val="105"/>
        </w:rPr>
        <w:t> </w:t>
      </w:r>
      <w:r>
        <w:rPr>
          <w:color w:val="231F20"/>
          <w:w w:val="105"/>
        </w:rPr>
        <w:t>años antes</w:t>
      </w:r>
      <w:r>
        <w:rPr>
          <w:color w:val="231F20"/>
          <w:spacing w:val="-9"/>
          <w:w w:val="105"/>
        </w:rPr>
        <w:t> </w:t>
      </w:r>
      <w:r>
        <w:rPr>
          <w:color w:val="231F20"/>
          <w:w w:val="105"/>
        </w:rPr>
        <w:t>y</w:t>
      </w:r>
      <w:r>
        <w:rPr>
          <w:color w:val="231F20"/>
          <w:spacing w:val="-9"/>
          <w:w w:val="105"/>
        </w:rPr>
        <w:t> </w:t>
      </w:r>
      <w:r>
        <w:rPr>
          <w:color w:val="231F20"/>
          <w:w w:val="105"/>
        </w:rPr>
        <w:t>para</w:t>
      </w:r>
      <w:r>
        <w:rPr>
          <w:color w:val="231F20"/>
          <w:spacing w:val="-9"/>
          <w:w w:val="105"/>
        </w:rPr>
        <w:t> </w:t>
      </w:r>
      <w:r>
        <w:rPr>
          <w:color w:val="231F20"/>
          <w:w w:val="105"/>
        </w:rPr>
        <w:t>entonces</w:t>
      </w:r>
      <w:r>
        <w:rPr>
          <w:color w:val="231F20"/>
          <w:spacing w:val="-9"/>
          <w:w w:val="105"/>
        </w:rPr>
        <w:t> </w:t>
      </w:r>
      <w:r>
        <w:rPr>
          <w:color w:val="231F20"/>
          <w:w w:val="105"/>
        </w:rPr>
        <w:t>se</w:t>
      </w:r>
      <w:r>
        <w:rPr>
          <w:color w:val="231F20"/>
          <w:spacing w:val="-9"/>
          <w:w w:val="105"/>
        </w:rPr>
        <w:t> </w:t>
      </w:r>
      <w:r>
        <w:rPr>
          <w:color w:val="231F20"/>
          <w:w w:val="105"/>
        </w:rPr>
        <w:t>había</w:t>
      </w:r>
      <w:r>
        <w:rPr>
          <w:color w:val="231F20"/>
          <w:spacing w:val="-9"/>
          <w:w w:val="105"/>
        </w:rPr>
        <w:t> </w:t>
      </w:r>
      <w:r>
        <w:rPr>
          <w:color w:val="231F20"/>
          <w:w w:val="105"/>
        </w:rPr>
        <w:t>agravado</w:t>
      </w:r>
      <w:r>
        <w:rPr>
          <w:color w:val="231F20"/>
          <w:spacing w:val="-9"/>
          <w:w w:val="105"/>
        </w:rPr>
        <w:t> </w:t>
      </w:r>
      <w:r>
        <w:rPr>
          <w:color w:val="231F20"/>
          <w:w w:val="105"/>
        </w:rPr>
        <w:t>su</w:t>
      </w:r>
      <w:r>
        <w:rPr>
          <w:color w:val="231F20"/>
          <w:spacing w:val="-9"/>
          <w:w w:val="105"/>
        </w:rPr>
        <w:t> </w:t>
      </w:r>
      <w:r>
        <w:rPr>
          <w:color w:val="231F20"/>
          <w:w w:val="105"/>
        </w:rPr>
        <w:t>condición.</w:t>
      </w:r>
      <w:r>
        <w:rPr>
          <w:color w:val="231F20"/>
          <w:spacing w:val="-17"/>
          <w:w w:val="105"/>
        </w:rPr>
        <w:t> </w:t>
      </w:r>
      <w:r>
        <w:rPr>
          <w:color w:val="231F20"/>
          <w:w w:val="105"/>
        </w:rPr>
        <w:t>Adicionalmente, en</w:t>
      </w:r>
      <w:r>
        <w:rPr>
          <w:color w:val="231F20"/>
          <w:spacing w:val="-25"/>
          <w:w w:val="105"/>
        </w:rPr>
        <w:t> </w:t>
      </w:r>
      <w:r>
        <w:rPr>
          <w:color w:val="231F20"/>
          <w:w w:val="105"/>
        </w:rPr>
        <w:t>2005</w:t>
      </w:r>
      <w:r>
        <w:rPr>
          <w:color w:val="231F20"/>
          <w:spacing w:val="-25"/>
          <w:w w:val="105"/>
        </w:rPr>
        <w:t> </w:t>
      </w:r>
      <w:r>
        <w:rPr>
          <w:color w:val="231F20"/>
          <w:w w:val="105"/>
        </w:rPr>
        <w:t>habían</w:t>
      </w:r>
      <w:r>
        <w:rPr>
          <w:color w:val="231F20"/>
          <w:spacing w:val="-25"/>
          <w:w w:val="105"/>
        </w:rPr>
        <w:t> </w:t>
      </w:r>
      <w:r>
        <w:rPr>
          <w:color w:val="231F20"/>
          <w:w w:val="105"/>
        </w:rPr>
        <w:t>experimentado</w:t>
      </w:r>
      <w:r>
        <w:rPr>
          <w:color w:val="231F20"/>
          <w:spacing w:val="-25"/>
          <w:w w:val="105"/>
        </w:rPr>
        <w:t> </w:t>
      </w:r>
      <w:r>
        <w:rPr>
          <w:color w:val="231F20"/>
          <w:w w:val="105"/>
        </w:rPr>
        <w:t>una</w:t>
      </w:r>
      <w:r>
        <w:rPr>
          <w:color w:val="231F20"/>
          <w:spacing w:val="-25"/>
          <w:w w:val="105"/>
        </w:rPr>
        <w:t> </w:t>
      </w:r>
      <w:r>
        <w:rPr>
          <w:color w:val="231F20"/>
          <w:w w:val="105"/>
        </w:rPr>
        <w:t>crisis</w:t>
      </w:r>
      <w:r>
        <w:rPr>
          <w:color w:val="231F20"/>
          <w:spacing w:val="-25"/>
          <w:w w:val="105"/>
        </w:rPr>
        <w:t> </w:t>
      </w:r>
      <w:r>
        <w:rPr>
          <w:color w:val="231F20"/>
          <w:w w:val="105"/>
        </w:rPr>
        <w:t>familiar</w:t>
      </w:r>
      <w:r>
        <w:rPr>
          <w:color w:val="231F20"/>
          <w:spacing w:val="-25"/>
          <w:w w:val="105"/>
        </w:rPr>
        <w:t> </w:t>
      </w:r>
      <w:r>
        <w:rPr>
          <w:color w:val="231F20"/>
          <w:w w:val="105"/>
        </w:rPr>
        <w:t>que</w:t>
      </w:r>
      <w:r>
        <w:rPr>
          <w:color w:val="231F20"/>
          <w:spacing w:val="-25"/>
          <w:w w:val="105"/>
        </w:rPr>
        <w:t> </w:t>
      </w:r>
      <w:r>
        <w:rPr>
          <w:color w:val="231F20"/>
          <w:w w:val="105"/>
        </w:rPr>
        <w:t>lo</w:t>
      </w:r>
      <w:r>
        <w:rPr>
          <w:color w:val="231F20"/>
          <w:spacing w:val="-25"/>
          <w:w w:val="105"/>
        </w:rPr>
        <w:t> </w:t>
      </w:r>
      <w:r>
        <w:rPr>
          <w:color w:val="231F20"/>
          <w:w w:val="105"/>
        </w:rPr>
        <w:t>llevó</w:t>
      </w:r>
      <w:r>
        <w:rPr>
          <w:color w:val="231F20"/>
          <w:spacing w:val="-25"/>
          <w:w w:val="105"/>
        </w:rPr>
        <w:t> </w:t>
      </w:r>
      <w:r>
        <w:rPr>
          <w:color w:val="231F20"/>
          <w:w w:val="105"/>
        </w:rPr>
        <w:t>a</w:t>
      </w:r>
      <w:r>
        <w:rPr>
          <w:color w:val="231F20"/>
          <w:spacing w:val="-25"/>
          <w:w w:val="105"/>
        </w:rPr>
        <w:t> </w:t>
      </w:r>
      <w:r>
        <w:rPr>
          <w:color w:val="231F20"/>
          <w:w w:val="105"/>
        </w:rPr>
        <w:t>acercarse y</w:t>
      </w:r>
      <w:r>
        <w:rPr>
          <w:color w:val="231F20"/>
          <w:spacing w:val="-5"/>
          <w:w w:val="105"/>
        </w:rPr>
        <w:t> </w:t>
      </w:r>
      <w:r>
        <w:rPr>
          <w:color w:val="231F20"/>
          <w:w w:val="105"/>
        </w:rPr>
        <w:t>más</w:t>
      </w:r>
      <w:r>
        <w:rPr>
          <w:color w:val="231F20"/>
          <w:spacing w:val="-5"/>
          <w:w w:val="105"/>
        </w:rPr>
        <w:t> </w:t>
      </w:r>
      <w:r>
        <w:rPr>
          <w:color w:val="231F20"/>
          <w:w w:val="105"/>
        </w:rPr>
        <w:t>tarde</w:t>
      </w:r>
      <w:r>
        <w:rPr>
          <w:color w:val="231F20"/>
          <w:spacing w:val="-5"/>
          <w:w w:val="105"/>
        </w:rPr>
        <w:t> </w:t>
      </w:r>
      <w:r>
        <w:rPr>
          <w:color w:val="231F20"/>
          <w:w w:val="105"/>
        </w:rPr>
        <w:t>afiliarse</w:t>
      </w:r>
      <w:r>
        <w:rPr>
          <w:color w:val="231F20"/>
          <w:spacing w:val="-5"/>
          <w:w w:val="105"/>
        </w:rPr>
        <w:t> </w:t>
      </w:r>
      <w:r>
        <w:rPr>
          <w:color w:val="231F20"/>
          <w:w w:val="105"/>
        </w:rPr>
        <w:t>como</w:t>
      </w:r>
      <w:r>
        <w:rPr>
          <w:color w:val="231F20"/>
          <w:spacing w:val="-5"/>
          <w:w w:val="105"/>
        </w:rPr>
        <w:t> </w:t>
      </w:r>
      <w:r>
        <w:rPr>
          <w:color w:val="231F20"/>
          <w:w w:val="105"/>
        </w:rPr>
        <w:t>miembro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10"/>
          <w:w w:val="105"/>
        </w:rPr>
        <w:t> </w:t>
      </w:r>
      <w:r>
        <w:rPr>
          <w:color w:val="231F20"/>
          <w:spacing w:val="-3"/>
          <w:w w:val="105"/>
        </w:rPr>
        <w:t>Testigos</w:t>
      </w:r>
      <w:r>
        <w:rPr>
          <w:color w:val="231F20"/>
          <w:spacing w:val="-5"/>
          <w:w w:val="105"/>
        </w:rPr>
        <w:t> </w:t>
      </w:r>
      <w:r>
        <w:rPr>
          <w:color w:val="231F20"/>
          <w:w w:val="105"/>
        </w:rPr>
        <w:t>de</w:t>
      </w:r>
      <w:r>
        <w:rPr>
          <w:color w:val="231F20"/>
          <w:spacing w:val="-8"/>
          <w:w w:val="105"/>
        </w:rPr>
        <w:t> </w:t>
      </w:r>
      <w:r>
        <w:rPr>
          <w:color w:val="231F20"/>
          <w:w w:val="105"/>
        </w:rPr>
        <w:t>Jehová,</w:t>
      </w:r>
      <w:r>
        <w:rPr>
          <w:color w:val="231F20"/>
          <w:spacing w:val="-11"/>
          <w:w w:val="105"/>
        </w:rPr>
        <w:t> </w:t>
      </w:r>
      <w:r>
        <w:rPr>
          <w:color w:val="231F20"/>
          <w:w w:val="105"/>
        </w:rPr>
        <w:t>también por</w:t>
      </w:r>
      <w:r>
        <w:rPr>
          <w:color w:val="231F20"/>
          <w:spacing w:val="-7"/>
          <w:w w:val="105"/>
        </w:rPr>
        <w:t> </w:t>
      </w:r>
      <w:r>
        <w:rPr>
          <w:color w:val="231F20"/>
          <w:w w:val="105"/>
        </w:rPr>
        <w:t>intermediación</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hermana,</w:t>
      </w:r>
      <w:r>
        <w:rPr>
          <w:color w:val="231F20"/>
          <w:spacing w:val="-13"/>
          <w:w w:val="105"/>
        </w:rPr>
        <w:t> </w:t>
      </w:r>
      <w:r>
        <w:rPr>
          <w:color w:val="231F20"/>
          <w:w w:val="105"/>
        </w:rPr>
        <w:t>quien</w:t>
      </w:r>
      <w:r>
        <w:rPr>
          <w:color w:val="231F20"/>
          <w:spacing w:val="-7"/>
          <w:w w:val="105"/>
        </w:rPr>
        <w:t> </w:t>
      </w:r>
      <w:r>
        <w:rPr>
          <w:color w:val="231F20"/>
          <w:w w:val="105"/>
        </w:rPr>
        <w:t>se</w:t>
      </w:r>
      <w:r>
        <w:rPr>
          <w:color w:val="231F20"/>
          <w:spacing w:val="-7"/>
          <w:w w:val="105"/>
        </w:rPr>
        <w:t> </w:t>
      </w:r>
      <w:r>
        <w:rPr>
          <w:color w:val="231F20"/>
          <w:w w:val="105"/>
        </w:rPr>
        <w:t>había</w:t>
      </w:r>
      <w:r>
        <w:rPr>
          <w:color w:val="231F20"/>
          <w:spacing w:val="-7"/>
          <w:w w:val="105"/>
        </w:rPr>
        <w:t> </w:t>
      </w:r>
      <w:r>
        <w:rPr>
          <w:color w:val="231F20"/>
          <w:w w:val="105"/>
        </w:rPr>
        <w:t>convertido</w:t>
      </w:r>
      <w:r>
        <w:rPr>
          <w:color w:val="231F20"/>
          <w:spacing w:val="-7"/>
          <w:w w:val="105"/>
        </w:rPr>
        <w:t> </w:t>
      </w:r>
      <w:r>
        <w:rPr>
          <w:color w:val="231F20"/>
          <w:w w:val="105"/>
        </w:rPr>
        <w:t>a</w:t>
      </w:r>
      <w:r>
        <w:rPr>
          <w:color w:val="231F20"/>
          <w:spacing w:val="-7"/>
          <w:w w:val="105"/>
        </w:rPr>
        <w:t> </w:t>
      </w:r>
      <w:r>
        <w:rPr>
          <w:color w:val="231F20"/>
          <w:w w:val="105"/>
        </w:rPr>
        <w:t>esa</w:t>
      </w:r>
      <w:r>
        <w:rPr>
          <w:color w:val="231F20"/>
          <w:spacing w:val="-7"/>
          <w:w w:val="105"/>
        </w:rPr>
        <w:t> </w:t>
      </w:r>
      <w:r>
        <w:rPr>
          <w:color w:val="231F20"/>
          <w:w w:val="105"/>
        </w:rPr>
        <w:t>reli- gión</w:t>
      </w:r>
      <w:r>
        <w:rPr>
          <w:color w:val="231F20"/>
          <w:spacing w:val="-12"/>
          <w:w w:val="105"/>
        </w:rPr>
        <w:t> </w:t>
      </w:r>
      <w:r>
        <w:rPr>
          <w:color w:val="231F20"/>
          <w:w w:val="105"/>
        </w:rPr>
        <w:t>años</w:t>
      </w:r>
      <w:r>
        <w:rPr>
          <w:color w:val="231F20"/>
          <w:spacing w:val="-12"/>
          <w:w w:val="105"/>
        </w:rPr>
        <w:t> </w:t>
      </w:r>
      <w:r>
        <w:rPr>
          <w:color w:val="231F20"/>
          <w:w w:val="105"/>
        </w:rPr>
        <w:t>atrás.</w:t>
      </w:r>
      <w:r>
        <w:rPr>
          <w:color w:val="231F20"/>
          <w:spacing w:val="-17"/>
          <w:w w:val="105"/>
        </w:rPr>
        <w:t> </w:t>
      </w:r>
      <w:r>
        <w:rPr>
          <w:color w:val="231F20"/>
          <w:w w:val="105"/>
        </w:rPr>
        <w:t>Después</w:t>
      </w:r>
      <w:r>
        <w:rPr>
          <w:color w:val="231F20"/>
          <w:spacing w:val="-12"/>
          <w:w w:val="105"/>
        </w:rPr>
        <w:t> </w:t>
      </w:r>
      <w:r>
        <w:rPr>
          <w:color w:val="231F20"/>
          <w:w w:val="105"/>
        </w:rPr>
        <w:t>de</w:t>
      </w:r>
      <w:r>
        <w:rPr>
          <w:color w:val="231F20"/>
          <w:spacing w:val="-12"/>
          <w:w w:val="105"/>
        </w:rPr>
        <w:t> </w:t>
      </w:r>
      <w:r>
        <w:rPr>
          <w:color w:val="231F20"/>
          <w:w w:val="105"/>
        </w:rPr>
        <w:t>cuatro</w:t>
      </w:r>
      <w:r>
        <w:rPr>
          <w:color w:val="231F20"/>
          <w:spacing w:val="-12"/>
          <w:w w:val="105"/>
        </w:rPr>
        <w:t> </w:t>
      </w:r>
      <w:r>
        <w:rPr>
          <w:color w:val="231F20"/>
          <w:w w:val="105"/>
        </w:rPr>
        <w:t>años</w:t>
      </w:r>
      <w:r>
        <w:rPr>
          <w:color w:val="231F20"/>
          <w:spacing w:val="-12"/>
          <w:w w:val="105"/>
        </w:rPr>
        <w:t> </w:t>
      </w:r>
      <w:r>
        <w:rPr>
          <w:color w:val="231F20"/>
          <w:w w:val="105"/>
        </w:rPr>
        <w:t>de</w:t>
      </w:r>
      <w:r>
        <w:rPr>
          <w:color w:val="231F20"/>
          <w:spacing w:val="-12"/>
          <w:w w:val="105"/>
        </w:rPr>
        <w:t> </w:t>
      </w:r>
      <w:r>
        <w:rPr>
          <w:color w:val="231F20"/>
          <w:w w:val="105"/>
        </w:rPr>
        <w:t>converso,</w:t>
      </w:r>
      <w:r>
        <w:rPr>
          <w:color w:val="231F20"/>
          <w:spacing w:val="-17"/>
          <w:w w:val="105"/>
        </w:rPr>
        <w:t> </w:t>
      </w:r>
      <w:r>
        <w:rPr>
          <w:color w:val="231F20"/>
          <w:w w:val="105"/>
        </w:rPr>
        <w:t>Roberto</w:t>
      </w:r>
      <w:r>
        <w:rPr>
          <w:color w:val="231F20"/>
          <w:spacing w:val="-12"/>
          <w:w w:val="105"/>
        </w:rPr>
        <w:t> </w:t>
      </w:r>
      <w:r>
        <w:rPr>
          <w:color w:val="231F20"/>
          <w:w w:val="105"/>
        </w:rPr>
        <w:t>enfrentó el</w:t>
      </w:r>
      <w:r>
        <w:rPr>
          <w:color w:val="231F20"/>
          <w:spacing w:val="-7"/>
          <w:w w:val="105"/>
        </w:rPr>
        <w:t> </w:t>
      </w:r>
      <w:r>
        <w:rPr>
          <w:color w:val="231F20"/>
          <w:w w:val="105"/>
        </w:rPr>
        <w:t>dilema</w:t>
      </w:r>
      <w:r>
        <w:rPr>
          <w:color w:val="231F20"/>
          <w:spacing w:val="-7"/>
          <w:w w:val="105"/>
        </w:rPr>
        <w:t> </w:t>
      </w:r>
      <w:r>
        <w:rPr>
          <w:color w:val="231F20"/>
          <w:w w:val="105"/>
        </w:rPr>
        <w:t>“moral</w:t>
      </w:r>
      <w:r>
        <w:rPr>
          <w:color w:val="231F20"/>
          <w:spacing w:val="-7"/>
          <w:w w:val="105"/>
        </w:rPr>
        <w:t> </w:t>
      </w:r>
      <w:r>
        <w:rPr>
          <w:color w:val="231F20"/>
          <w:w w:val="105"/>
        </w:rPr>
        <w:t>y</w:t>
      </w:r>
      <w:r>
        <w:rPr>
          <w:color w:val="231F20"/>
          <w:spacing w:val="-7"/>
          <w:w w:val="105"/>
        </w:rPr>
        <w:t> </w:t>
      </w:r>
      <w:r>
        <w:rPr>
          <w:color w:val="231F20"/>
          <w:w w:val="105"/>
        </w:rPr>
        <w:t>ético”</w:t>
      </w:r>
      <w:r>
        <w:rPr>
          <w:color w:val="231F20"/>
          <w:spacing w:val="-7"/>
          <w:w w:val="105"/>
        </w:rPr>
        <w:t> </w:t>
      </w:r>
      <w:r>
        <w:rPr>
          <w:color w:val="231F20"/>
          <w:w w:val="105"/>
        </w:rPr>
        <w:t>–así</w:t>
      </w:r>
      <w:r>
        <w:rPr>
          <w:color w:val="231F20"/>
          <w:spacing w:val="-7"/>
          <w:w w:val="105"/>
        </w:rPr>
        <w:t> </w:t>
      </w:r>
      <w:r>
        <w:rPr>
          <w:color w:val="231F20"/>
          <w:w w:val="105"/>
        </w:rPr>
        <w:t>lo</w:t>
      </w:r>
      <w:r>
        <w:rPr>
          <w:color w:val="231F20"/>
          <w:spacing w:val="-7"/>
          <w:w w:val="105"/>
        </w:rPr>
        <w:t> </w:t>
      </w:r>
      <w:r>
        <w:rPr>
          <w:color w:val="231F20"/>
          <w:w w:val="105"/>
        </w:rPr>
        <w:t>llama–</w:t>
      </w:r>
      <w:r>
        <w:rPr>
          <w:color w:val="231F20"/>
          <w:spacing w:val="-7"/>
          <w:w w:val="105"/>
        </w:rPr>
        <w:t> </w:t>
      </w:r>
      <w:r>
        <w:rPr>
          <w:color w:val="231F20"/>
          <w:w w:val="105"/>
        </w:rPr>
        <w:t>de</w:t>
      </w:r>
      <w:r>
        <w:rPr>
          <w:color w:val="231F20"/>
          <w:spacing w:val="-7"/>
          <w:w w:val="105"/>
        </w:rPr>
        <w:t> </w:t>
      </w:r>
      <w:r>
        <w:rPr>
          <w:color w:val="231F20"/>
          <w:w w:val="105"/>
        </w:rPr>
        <w:t>renovar</w:t>
      </w:r>
      <w:r>
        <w:rPr>
          <w:color w:val="231F20"/>
          <w:spacing w:val="-7"/>
          <w:w w:val="105"/>
        </w:rPr>
        <w:t> </w:t>
      </w:r>
      <w:r>
        <w:rPr>
          <w:color w:val="231F20"/>
          <w:w w:val="105"/>
        </w:rPr>
        <w:t>sus</w:t>
      </w:r>
      <w:r>
        <w:rPr>
          <w:color w:val="231F20"/>
          <w:spacing w:val="-7"/>
          <w:w w:val="105"/>
        </w:rPr>
        <w:t> </w:t>
      </w:r>
      <w:r>
        <w:rPr>
          <w:color w:val="231F20"/>
          <w:w w:val="105"/>
        </w:rPr>
        <w:t>documentos,</w:t>
      </w:r>
      <w:r>
        <w:rPr>
          <w:color w:val="231F20"/>
          <w:spacing w:val="-13"/>
          <w:w w:val="105"/>
        </w:rPr>
        <w:t> </w:t>
      </w:r>
      <w:r>
        <w:rPr>
          <w:color w:val="231F20"/>
          <w:w w:val="105"/>
        </w:rPr>
        <w:t>de</w:t>
      </w:r>
      <w:r>
        <w:rPr>
          <w:color w:val="231F20"/>
          <w:spacing w:val="-7"/>
          <w:w w:val="105"/>
        </w:rPr>
        <w:t> </w:t>
      </w:r>
      <w:r>
        <w:rPr>
          <w:color w:val="231F20"/>
          <w:w w:val="105"/>
        </w:rPr>
        <w:t>la misma</w:t>
      </w:r>
      <w:r>
        <w:rPr>
          <w:color w:val="231F20"/>
          <w:spacing w:val="-5"/>
          <w:w w:val="105"/>
        </w:rPr>
        <w:t> </w:t>
      </w:r>
      <w:r>
        <w:rPr>
          <w:color w:val="231F20"/>
          <w:w w:val="105"/>
        </w:rPr>
        <w:t>forma</w:t>
      </w:r>
      <w:r>
        <w:rPr>
          <w:color w:val="231F20"/>
          <w:spacing w:val="-5"/>
          <w:w w:val="105"/>
        </w:rPr>
        <w:t> </w:t>
      </w:r>
      <w:r>
        <w:rPr>
          <w:color w:val="231F20"/>
          <w:w w:val="105"/>
        </w:rPr>
        <w:t>como</w:t>
      </w:r>
      <w:r>
        <w:rPr>
          <w:color w:val="231F20"/>
          <w:spacing w:val="-5"/>
          <w:w w:val="105"/>
        </w:rPr>
        <w:t> </w:t>
      </w:r>
      <w:r>
        <w:rPr>
          <w:color w:val="231F20"/>
          <w:w w:val="105"/>
        </w:rPr>
        <w:t>los</w:t>
      </w:r>
      <w:r>
        <w:rPr>
          <w:color w:val="231F20"/>
          <w:spacing w:val="-5"/>
          <w:w w:val="105"/>
        </w:rPr>
        <w:t> </w:t>
      </w:r>
      <w:r>
        <w:rPr>
          <w:color w:val="231F20"/>
          <w:w w:val="105"/>
        </w:rPr>
        <w:t>había</w:t>
      </w:r>
      <w:r>
        <w:rPr>
          <w:color w:val="231F20"/>
          <w:spacing w:val="-5"/>
          <w:w w:val="105"/>
        </w:rPr>
        <w:t> </w:t>
      </w:r>
      <w:r>
        <w:rPr>
          <w:color w:val="231F20"/>
          <w:w w:val="105"/>
        </w:rPr>
        <w:t>obtenido,</w:t>
      </w:r>
      <w:r>
        <w:rPr>
          <w:color w:val="231F20"/>
          <w:spacing w:val="-11"/>
          <w:w w:val="105"/>
        </w:rPr>
        <w:t> </w:t>
      </w:r>
      <w:r>
        <w:rPr>
          <w:color w:val="231F20"/>
          <w:w w:val="105"/>
        </w:rPr>
        <w:t>o</w:t>
      </w:r>
      <w:r>
        <w:rPr>
          <w:color w:val="231F20"/>
          <w:spacing w:val="-5"/>
          <w:w w:val="105"/>
        </w:rPr>
        <w:t> </w:t>
      </w:r>
      <w:r>
        <w:rPr>
          <w:color w:val="231F20"/>
          <w:w w:val="105"/>
        </w:rPr>
        <w:t>bien</w:t>
      </w:r>
      <w:r>
        <w:rPr>
          <w:color w:val="231F20"/>
          <w:spacing w:val="-5"/>
          <w:w w:val="105"/>
        </w:rPr>
        <w:t> </w:t>
      </w:r>
      <w:r>
        <w:rPr>
          <w:color w:val="231F20"/>
          <w:w w:val="105"/>
        </w:rPr>
        <w:t>declarar</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fábrica</w:t>
      </w:r>
      <w:r>
        <w:rPr>
          <w:color w:val="231F20"/>
          <w:spacing w:val="-5"/>
          <w:w w:val="105"/>
        </w:rPr>
        <w:t> </w:t>
      </w:r>
      <w:r>
        <w:rPr>
          <w:color w:val="231F20"/>
          <w:w w:val="105"/>
        </w:rPr>
        <w:t>que los</w:t>
      </w:r>
      <w:r>
        <w:rPr>
          <w:color w:val="231F20"/>
          <w:spacing w:val="-21"/>
          <w:w w:val="105"/>
        </w:rPr>
        <w:t> </w:t>
      </w:r>
      <w:r>
        <w:rPr>
          <w:color w:val="231F20"/>
          <w:w w:val="105"/>
        </w:rPr>
        <w:t>documentos</w:t>
      </w:r>
      <w:r>
        <w:rPr>
          <w:color w:val="231F20"/>
          <w:spacing w:val="-21"/>
          <w:w w:val="105"/>
        </w:rPr>
        <w:t> </w:t>
      </w:r>
      <w:r>
        <w:rPr>
          <w:color w:val="231F20"/>
          <w:w w:val="105"/>
        </w:rPr>
        <w:t>eran</w:t>
      </w:r>
      <w:r>
        <w:rPr>
          <w:color w:val="231F20"/>
          <w:spacing w:val="-21"/>
          <w:w w:val="105"/>
        </w:rPr>
        <w:t> </w:t>
      </w:r>
      <w:r>
        <w:rPr>
          <w:color w:val="231F20"/>
          <w:w w:val="105"/>
        </w:rPr>
        <w:t>falsos</w:t>
      </w:r>
      <w:r>
        <w:rPr>
          <w:color w:val="231F20"/>
          <w:spacing w:val="-21"/>
          <w:w w:val="105"/>
        </w:rPr>
        <w:t> </w:t>
      </w:r>
      <w:r>
        <w:rPr>
          <w:color w:val="231F20"/>
          <w:w w:val="105"/>
        </w:rPr>
        <w:t>y</w:t>
      </w:r>
      <w:r>
        <w:rPr>
          <w:color w:val="231F20"/>
          <w:spacing w:val="-21"/>
          <w:w w:val="105"/>
        </w:rPr>
        <w:t> </w:t>
      </w:r>
      <w:r>
        <w:rPr>
          <w:color w:val="231F20"/>
          <w:w w:val="105"/>
        </w:rPr>
        <w:t>someterse</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decisión</w:t>
      </w:r>
      <w:r>
        <w:rPr>
          <w:color w:val="231F20"/>
          <w:spacing w:val="-21"/>
          <w:w w:val="105"/>
        </w:rPr>
        <w:t> </w:t>
      </w:r>
      <w:r>
        <w:rPr>
          <w:color w:val="231F20"/>
          <w:w w:val="105"/>
        </w:rPr>
        <w:t>del</w:t>
      </w:r>
      <w:r>
        <w:rPr>
          <w:color w:val="231F20"/>
          <w:spacing w:val="-21"/>
          <w:w w:val="105"/>
        </w:rPr>
        <w:t> </w:t>
      </w:r>
      <w:r>
        <w:rPr>
          <w:color w:val="231F20"/>
          <w:w w:val="105"/>
        </w:rPr>
        <w:t>patrón,</w:t>
      </w:r>
      <w:r>
        <w:rPr>
          <w:color w:val="231F20"/>
          <w:spacing w:val="-26"/>
          <w:w w:val="105"/>
        </w:rPr>
        <w:t> </w:t>
      </w:r>
      <w:r>
        <w:rPr>
          <w:color w:val="231F20"/>
          <w:w w:val="105"/>
        </w:rPr>
        <w:t>ser</w:t>
      </w:r>
      <w:r>
        <w:rPr>
          <w:color w:val="231F20"/>
          <w:spacing w:val="-21"/>
          <w:w w:val="105"/>
        </w:rPr>
        <w:t> </w:t>
      </w:r>
      <w:r>
        <w:rPr>
          <w:color w:val="231F20"/>
          <w:w w:val="105"/>
        </w:rPr>
        <w:t>con- tratado o no sin documentos. </w:t>
      </w:r>
      <w:r>
        <w:rPr>
          <w:color w:val="231F20"/>
          <w:spacing w:val="-6"/>
          <w:w w:val="105"/>
        </w:rPr>
        <w:t>Tomó </w:t>
      </w:r>
      <w:r>
        <w:rPr>
          <w:color w:val="231F20"/>
          <w:w w:val="105"/>
        </w:rPr>
        <w:t>la segunda opción y fue despedido en</w:t>
      </w:r>
      <w:r>
        <w:rPr>
          <w:color w:val="231F20"/>
          <w:spacing w:val="-17"/>
          <w:w w:val="105"/>
        </w:rPr>
        <w:t> </w:t>
      </w:r>
      <w:r>
        <w:rPr>
          <w:color w:val="231F20"/>
          <w:w w:val="105"/>
        </w:rPr>
        <w:t>los</w:t>
      </w:r>
      <w:r>
        <w:rPr>
          <w:color w:val="231F20"/>
          <w:spacing w:val="-17"/>
          <w:w w:val="105"/>
        </w:rPr>
        <w:t> </w:t>
      </w:r>
      <w:r>
        <w:rPr>
          <w:color w:val="231F20"/>
          <w:w w:val="105"/>
        </w:rPr>
        <w:t>primeros</w:t>
      </w:r>
      <w:r>
        <w:rPr>
          <w:color w:val="231F20"/>
          <w:spacing w:val="-17"/>
          <w:w w:val="105"/>
        </w:rPr>
        <w:t> </w:t>
      </w:r>
      <w:r>
        <w:rPr>
          <w:color w:val="231F20"/>
          <w:w w:val="105"/>
        </w:rPr>
        <w:t>meses</w:t>
      </w:r>
      <w:r>
        <w:rPr>
          <w:color w:val="231F20"/>
          <w:spacing w:val="-17"/>
          <w:w w:val="105"/>
        </w:rPr>
        <w:t> </w:t>
      </w:r>
      <w:r>
        <w:rPr>
          <w:color w:val="231F20"/>
          <w:w w:val="105"/>
        </w:rPr>
        <w:t>de</w:t>
      </w:r>
      <w:r>
        <w:rPr>
          <w:color w:val="231F20"/>
          <w:spacing w:val="-17"/>
          <w:w w:val="105"/>
        </w:rPr>
        <w:t> </w:t>
      </w:r>
      <w:r>
        <w:rPr>
          <w:color w:val="231F20"/>
          <w:w w:val="105"/>
        </w:rPr>
        <w:t>2009.</w:t>
      </w:r>
    </w:p>
    <w:p>
      <w:pPr>
        <w:pStyle w:val="BodyText"/>
        <w:spacing w:line="261" w:lineRule="auto" w:before="1"/>
        <w:ind w:left="1837" w:right="1721" w:firstLine="567"/>
        <w:jc w:val="both"/>
      </w:pPr>
      <w:r>
        <w:rPr/>
        <w:pict>
          <v:line style="position:absolute;mso-position-horizontal-relative:page;mso-position-vertical-relative:paragraph;z-index:-476968" from="15pt,115.890587pt" to="0pt,115.890587pt" stroked="true" strokeweight=".25pt" strokecolor="#000000">
            <w10:wrap type="none"/>
          </v:line>
        </w:pict>
      </w:r>
      <w:r>
        <w:rPr/>
        <w:pict>
          <v:line style="position:absolute;mso-position-horizontal-relative:page;mso-position-vertical-relative:paragraph;z-index:13240" from="508.890015pt,115.890587pt" to="523.890015pt,115.890587pt" stroked="true" strokeweight=".25pt" strokecolor="#000000">
            <w10:wrap type="none"/>
          </v:line>
        </w:pict>
      </w:r>
      <w:r>
        <w:rPr>
          <w:color w:val="231F20"/>
          <w:w w:val="105"/>
        </w:rPr>
        <w:t>Durante el resto del año sólo consiguió empleos eventuales</w:t>
      </w:r>
      <w:r>
        <w:rPr>
          <w:color w:val="231F20"/>
          <w:spacing w:val="-26"/>
          <w:w w:val="105"/>
        </w:rPr>
        <w:t> </w:t>
      </w:r>
      <w:r>
        <w:rPr>
          <w:color w:val="231F20"/>
          <w:w w:val="105"/>
        </w:rPr>
        <w:t>debi- do</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falta</w:t>
      </w:r>
      <w:r>
        <w:rPr>
          <w:color w:val="231F20"/>
          <w:spacing w:val="-8"/>
          <w:w w:val="105"/>
        </w:rPr>
        <w:t> </w:t>
      </w:r>
      <w:r>
        <w:rPr>
          <w:color w:val="231F20"/>
          <w:w w:val="105"/>
        </w:rPr>
        <w:t>de</w:t>
      </w:r>
      <w:r>
        <w:rPr>
          <w:color w:val="231F20"/>
          <w:spacing w:val="-8"/>
          <w:w w:val="105"/>
        </w:rPr>
        <w:t> </w:t>
      </w:r>
      <w:r>
        <w:rPr>
          <w:color w:val="231F20"/>
          <w:w w:val="105"/>
        </w:rPr>
        <w:t>documentos</w:t>
      </w:r>
      <w:r>
        <w:rPr>
          <w:color w:val="231F20"/>
          <w:spacing w:val="-8"/>
          <w:w w:val="105"/>
        </w:rPr>
        <w:t> </w:t>
      </w:r>
      <w:r>
        <w:rPr>
          <w:color w:val="231F20"/>
          <w:w w:val="105"/>
        </w:rPr>
        <w:t>y</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escasez</w:t>
      </w:r>
      <w:r>
        <w:rPr>
          <w:color w:val="231F20"/>
          <w:spacing w:val="-8"/>
          <w:w w:val="105"/>
        </w:rPr>
        <w:t> </w:t>
      </w:r>
      <w:r>
        <w:rPr>
          <w:color w:val="231F20"/>
          <w:w w:val="105"/>
        </w:rPr>
        <w:t>de</w:t>
      </w:r>
      <w:r>
        <w:rPr>
          <w:color w:val="231F20"/>
          <w:spacing w:val="-8"/>
          <w:w w:val="105"/>
        </w:rPr>
        <w:t> </w:t>
      </w:r>
      <w:r>
        <w:rPr>
          <w:color w:val="231F20"/>
          <w:w w:val="105"/>
        </w:rPr>
        <w:t>empleo.</w:t>
      </w:r>
      <w:r>
        <w:rPr>
          <w:color w:val="231F20"/>
          <w:spacing w:val="-14"/>
          <w:w w:val="105"/>
        </w:rPr>
        <w:t> </w:t>
      </w:r>
      <w:r>
        <w:rPr>
          <w:color w:val="231F20"/>
          <w:w w:val="105"/>
        </w:rPr>
        <w:t>Los</w:t>
      </w:r>
      <w:r>
        <w:rPr>
          <w:color w:val="231F20"/>
          <w:spacing w:val="-8"/>
          <w:w w:val="105"/>
        </w:rPr>
        <w:t> </w:t>
      </w:r>
      <w:r>
        <w:rPr>
          <w:color w:val="231F20"/>
          <w:w w:val="105"/>
        </w:rPr>
        <w:t>empleos</w:t>
      </w:r>
      <w:r>
        <w:rPr>
          <w:color w:val="231F20"/>
          <w:spacing w:val="-8"/>
          <w:w w:val="105"/>
        </w:rPr>
        <w:t> </w:t>
      </w:r>
      <w:r>
        <w:rPr>
          <w:color w:val="231F20"/>
          <w:w w:val="105"/>
        </w:rPr>
        <w:t>que tomaba eran por un día, una semana o si acaso 15 días continuos. </w:t>
      </w:r>
      <w:r>
        <w:rPr>
          <w:color w:val="231F20"/>
          <w:spacing w:val="43"/>
          <w:w w:val="105"/>
        </w:rPr>
        <w:t> </w:t>
      </w:r>
      <w:r>
        <w:rPr>
          <w:color w:val="231F20"/>
          <w:w w:val="105"/>
        </w:rPr>
        <w:t>En</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9"/>
        <w:jc w:val="both"/>
      </w:pPr>
      <w:r>
        <w:rPr/>
        <w:pict>
          <v:line style="position:absolute;mso-position-horizontal-relative:page;mso-position-vertical-relative:paragraph;z-index:13312" from="15pt,-71.68644pt" to="0pt,-71.68644pt" stroked="true" strokeweight=".25pt" strokecolor="#000000">
            <w10:wrap type="none"/>
          </v:line>
        </w:pict>
      </w:r>
      <w:r>
        <w:rPr/>
        <w:pict>
          <v:line style="position:absolute;mso-position-horizontal-relative:page;mso-position-vertical-relative:paragraph;z-index:13336" from="508.890015pt,-71.68644pt" to="523.890015pt,-71.68644pt" stroked="true" strokeweight=".25pt" strokecolor="#000000">
            <w10:wrap type="none"/>
          </v:line>
        </w:pict>
      </w:r>
      <w:r>
        <w:rPr>
          <w:color w:val="231F20"/>
          <w:w w:val="105"/>
        </w:rPr>
        <w:t>2010 empeoró la condición de su esposa y al no contar con un</w:t>
      </w:r>
      <w:r>
        <w:rPr>
          <w:color w:val="231F20"/>
          <w:spacing w:val="-25"/>
          <w:w w:val="105"/>
        </w:rPr>
        <w:t> </w:t>
      </w:r>
      <w:r>
        <w:rPr>
          <w:color w:val="231F20"/>
          <w:w w:val="105"/>
        </w:rPr>
        <w:t>empleo, seguridad</w:t>
      </w:r>
      <w:r>
        <w:rPr>
          <w:color w:val="231F20"/>
          <w:spacing w:val="-18"/>
          <w:w w:val="105"/>
        </w:rPr>
        <w:t> </w:t>
      </w:r>
      <w:r>
        <w:rPr>
          <w:color w:val="231F20"/>
          <w:w w:val="105"/>
        </w:rPr>
        <w:t>social,</w:t>
      </w:r>
      <w:r>
        <w:rPr>
          <w:color w:val="231F20"/>
          <w:spacing w:val="-24"/>
          <w:w w:val="105"/>
        </w:rPr>
        <w:t> </w:t>
      </w:r>
      <w:r>
        <w:rPr>
          <w:color w:val="231F20"/>
          <w:w w:val="105"/>
        </w:rPr>
        <w:t>decidió</w:t>
      </w:r>
      <w:r>
        <w:rPr>
          <w:color w:val="231F20"/>
          <w:spacing w:val="-18"/>
          <w:w w:val="105"/>
        </w:rPr>
        <w:t> </w:t>
      </w:r>
      <w:r>
        <w:rPr>
          <w:color w:val="231F20"/>
          <w:w w:val="105"/>
        </w:rPr>
        <w:t>pedir</w:t>
      </w:r>
      <w:r>
        <w:rPr>
          <w:color w:val="231F20"/>
          <w:spacing w:val="-18"/>
          <w:w w:val="105"/>
        </w:rPr>
        <w:t> </w:t>
      </w:r>
      <w:r>
        <w:rPr>
          <w:color w:val="231F20"/>
          <w:w w:val="105"/>
        </w:rPr>
        <w:t>ayuda</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familia</w:t>
      </w:r>
      <w:r>
        <w:rPr>
          <w:color w:val="231F20"/>
          <w:spacing w:val="-18"/>
          <w:w w:val="105"/>
        </w:rPr>
        <w:t> </w:t>
      </w:r>
      <w:r>
        <w:rPr>
          <w:color w:val="231F20"/>
          <w:w w:val="105"/>
        </w:rPr>
        <w:t>de</w:t>
      </w:r>
      <w:r>
        <w:rPr>
          <w:color w:val="231F20"/>
          <w:spacing w:val="-18"/>
          <w:w w:val="105"/>
        </w:rPr>
        <w:t> </w:t>
      </w:r>
      <w:r>
        <w:rPr>
          <w:color w:val="231F20"/>
          <w:w w:val="105"/>
        </w:rPr>
        <w:t>su</w:t>
      </w:r>
      <w:r>
        <w:rPr>
          <w:color w:val="231F20"/>
          <w:spacing w:val="-18"/>
          <w:w w:val="105"/>
        </w:rPr>
        <w:t> </w:t>
      </w:r>
      <w:r>
        <w:rPr>
          <w:color w:val="231F20"/>
          <w:w w:val="105"/>
        </w:rPr>
        <w:t>cónyuge,</w:t>
      </w:r>
      <w:r>
        <w:rPr>
          <w:color w:val="231F20"/>
          <w:spacing w:val="-24"/>
          <w:w w:val="105"/>
        </w:rPr>
        <w:t> </w:t>
      </w:r>
      <w:r>
        <w:rPr>
          <w:color w:val="231F20"/>
          <w:w w:val="105"/>
        </w:rPr>
        <w:t>quienes radicaban</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Delegación</w:t>
      </w:r>
      <w:r>
        <w:rPr>
          <w:color w:val="231F20"/>
          <w:spacing w:val="-29"/>
          <w:w w:val="105"/>
        </w:rPr>
        <w:t> </w:t>
      </w:r>
      <w:r>
        <w:rPr>
          <w:color w:val="231F20"/>
          <w:w w:val="105"/>
        </w:rPr>
        <w:t>Iztapalapa,</w:t>
      </w:r>
      <w:r>
        <w:rPr>
          <w:color w:val="231F20"/>
          <w:spacing w:val="-33"/>
          <w:w w:val="105"/>
        </w:rPr>
        <w:t> </w:t>
      </w:r>
      <w:r>
        <w:rPr>
          <w:color w:val="231F20"/>
          <w:w w:val="105"/>
        </w:rPr>
        <w:t>Distrito</w:t>
      </w:r>
      <w:r>
        <w:rPr>
          <w:color w:val="231F20"/>
          <w:spacing w:val="-29"/>
          <w:w w:val="105"/>
        </w:rPr>
        <w:t> </w:t>
      </w:r>
      <w:r>
        <w:rPr>
          <w:color w:val="231F20"/>
          <w:w w:val="105"/>
        </w:rPr>
        <w:t>Federal.</w:t>
      </w:r>
      <w:r>
        <w:rPr>
          <w:color w:val="231F20"/>
          <w:spacing w:val="-33"/>
          <w:w w:val="105"/>
        </w:rPr>
        <w:t> </w:t>
      </w:r>
      <w:r>
        <w:rPr>
          <w:color w:val="231F20"/>
          <w:w w:val="105"/>
        </w:rPr>
        <w:t>Finalmente,</w:t>
      </w:r>
      <w:r>
        <w:rPr>
          <w:color w:val="231F20"/>
          <w:spacing w:val="-33"/>
          <w:w w:val="105"/>
        </w:rPr>
        <w:t> </w:t>
      </w:r>
      <w:r>
        <w:rPr>
          <w:color w:val="231F20"/>
          <w:w w:val="105"/>
        </w:rPr>
        <w:t>la</w:t>
      </w:r>
      <w:r>
        <w:rPr>
          <w:color w:val="231F20"/>
          <w:spacing w:val="-29"/>
          <w:w w:val="105"/>
        </w:rPr>
        <w:t> </w:t>
      </w:r>
      <w:r>
        <w:rPr>
          <w:color w:val="231F20"/>
          <w:w w:val="105"/>
        </w:rPr>
        <w:t>fa- milia</w:t>
      </w:r>
      <w:r>
        <w:rPr>
          <w:color w:val="231F20"/>
          <w:spacing w:val="-9"/>
          <w:w w:val="105"/>
        </w:rPr>
        <w:t> </w:t>
      </w:r>
      <w:r>
        <w:rPr>
          <w:color w:val="231F20"/>
          <w:w w:val="105"/>
        </w:rPr>
        <w:t>decidió</w:t>
      </w:r>
      <w:r>
        <w:rPr>
          <w:color w:val="231F20"/>
          <w:spacing w:val="-9"/>
          <w:w w:val="105"/>
        </w:rPr>
        <w:t> </w:t>
      </w:r>
      <w:r>
        <w:rPr>
          <w:color w:val="231F20"/>
          <w:w w:val="105"/>
        </w:rPr>
        <w:t>volver</w:t>
      </w:r>
      <w:r>
        <w:rPr>
          <w:color w:val="231F20"/>
          <w:spacing w:val="-9"/>
          <w:w w:val="105"/>
        </w:rPr>
        <w:t> </w:t>
      </w:r>
      <w:r>
        <w:rPr>
          <w:color w:val="231F20"/>
          <w:w w:val="105"/>
        </w:rPr>
        <w:t>a</w:t>
      </w:r>
      <w:r>
        <w:rPr>
          <w:color w:val="231F20"/>
          <w:spacing w:val="-9"/>
          <w:w w:val="105"/>
        </w:rPr>
        <w:t> </w:t>
      </w:r>
      <w:r>
        <w:rPr>
          <w:color w:val="231F20"/>
          <w:w w:val="105"/>
        </w:rPr>
        <w:t>Nezahualcóyotl</w:t>
      </w:r>
      <w:r>
        <w:rPr>
          <w:color w:val="231F20"/>
          <w:spacing w:val="-9"/>
          <w:w w:val="105"/>
        </w:rPr>
        <w:t> </w:t>
      </w:r>
      <w:r>
        <w:rPr>
          <w:color w:val="231F20"/>
          <w:w w:val="105"/>
        </w:rPr>
        <w:t>en</w:t>
      </w:r>
      <w:r>
        <w:rPr>
          <w:color w:val="231F20"/>
          <w:spacing w:val="-9"/>
          <w:w w:val="105"/>
        </w:rPr>
        <w:t> </w:t>
      </w:r>
      <w:r>
        <w:rPr>
          <w:color w:val="231F20"/>
          <w:w w:val="105"/>
        </w:rPr>
        <w:t>diciembre</w:t>
      </w:r>
      <w:r>
        <w:rPr>
          <w:color w:val="231F20"/>
          <w:spacing w:val="-9"/>
          <w:w w:val="105"/>
        </w:rPr>
        <w:t> </w:t>
      </w:r>
      <w:r>
        <w:rPr>
          <w:color w:val="231F20"/>
          <w:w w:val="105"/>
        </w:rPr>
        <w:t>de</w:t>
      </w:r>
      <w:r>
        <w:rPr>
          <w:color w:val="231F20"/>
          <w:spacing w:val="-9"/>
          <w:w w:val="105"/>
        </w:rPr>
        <w:t> </w:t>
      </w:r>
      <w:r>
        <w:rPr>
          <w:color w:val="231F20"/>
          <w:w w:val="105"/>
        </w:rPr>
        <w:t>2010.</w:t>
      </w:r>
    </w:p>
    <w:p>
      <w:pPr>
        <w:pStyle w:val="BodyText"/>
        <w:spacing w:line="261" w:lineRule="auto" w:before="1"/>
        <w:ind w:left="1723" w:right="1834" w:firstLine="567"/>
        <w:jc w:val="both"/>
      </w:pPr>
      <w:r>
        <w:rPr>
          <w:color w:val="231F20"/>
          <w:w w:val="105"/>
        </w:rPr>
        <w:t>Cuando</w:t>
      </w:r>
      <w:r>
        <w:rPr>
          <w:color w:val="231F20"/>
          <w:spacing w:val="-24"/>
          <w:w w:val="105"/>
        </w:rPr>
        <w:t> </w:t>
      </w:r>
      <w:r>
        <w:rPr>
          <w:color w:val="231F20"/>
          <w:w w:val="105"/>
        </w:rPr>
        <w:t>Roberto</w:t>
      </w:r>
      <w:r>
        <w:rPr>
          <w:color w:val="231F20"/>
          <w:spacing w:val="-24"/>
          <w:w w:val="105"/>
        </w:rPr>
        <w:t> </w:t>
      </w:r>
      <w:r>
        <w:rPr>
          <w:color w:val="231F20"/>
          <w:w w:val="105"/>
        </w:rPr>
        <w:t>regresó</w:t>
      </w:r>
      <w:r>
        <w:rPr>
          <w:color w:val="231F20"/>
          <w:spacing w:val="-24"/>
          <w:w w:val="105"/>
        </w:rPr>
        <w:t> </w:t>
      </w:r>
      <w:r>
        <w:rPr>
          <w:color w:val="231F20"/>
          <w:w w:val="105"/>
        </w:rPr>
        <w:t>a</w:t>
      </w:r>
      <w:r>
        <w:rPr>
          <w:color w:val="231F20"/>
          <w:spacing w:val="-24"/>
          <w:w w:val="105"/>
        </w:rPr>
        <w:t> </w:t>
      </w:r>
      <w:r>
        <w:rPr>
          <w:color w:val="231F20"/>
          <w:w w:val="105"/>
        </w:rPr>
        <w:t>México</w:t>
      </w:r>
      <w:r>
        <w:rPr>
          <w:color w:val="231F20"/>
          <w:spacing w:val="-24"/>
          <w:w w:val="105"/>
        </w:rPr>
        <w:t> </w:t>
      </w:r>
      <w:r>
        <w:rPr>
          <w:color w:val="231F20"/>
          <w:w w:val="105"/>
        </w:rPr>
        <w:t>traía</w:t>
      </w:r>
      <w:r>
        <w:rPr>
          <w:color w:val="231F20"/>
          <w:spacing w:val="-24"/>
          <w:w w:val="105"/>
        </w:rPr>
        <w:t> </w:t>
      </w:r>
      <w:r>
        <w:rPr>
          <w:color w:val="231F20"/>
          <w:w w:val="105"/>
        </w:rPr>
        <w:t>una</w:t>
      </w:r>
      <w:r>
        <w:rPr>
          <w:color w:val="231F20"/>
          <w:spacing w:val="-24"/>
          <w:w w:val="105"/>
        </w:rPr>
        <w:t> </w:t>
      </w:r>
      <w:r>
        <w:rPr>
          <w:color w:val="231F20"/>
          <w:w w:val="105"/>
        </w:rPr>
        <w:t>camioneta,</w:t>
      </w:r>
      <w:r>
        <w:rPr>
          <w:color w:val="231F20"/>
          <w:spacing w:val="-29"/>
          <w:w w:val="105"/>
        </w:rPr>
        <w:t> </w:t>
      </w:r>
      <w:r>
        <w:rPr>
          <w:color w:val="231F20"/>
          <w:w w:val="105"/>
        </w:rPr>
        <w:t>seis</w:t>
      </w:r>
      <w:r>
        <w:rPr>
          <w:color w:val="231F20"/>
          <w:spacing w:val="-24"/>
          <w:w w:val="105"/>
        </w:rPr>
        <w:t> </w:t>
      </w:r>
      <w:r>
        <w:rPr>
          <w:color w:val="231F20"/>
          <w:w w:val="105"/>
        </w:rPr>
        <w:t>mil</w:t>
      </w:r>
      <w:r>
        <w:rPr>
          <w:color w:val="231F20"/>
          <w:spacing w:val="-24"/>
          <w:w w:val="105"/>
        </w:rPr>
        <w:t> </w:t>
      </w:r>
      <w:r>
        <w:rPr>
          <w:color w:val="231F20"/>
          <w:w w:val="105"/>
        </w:rPr>
        <w:t>dó- lares</w:t>
      </w:r>
      <w:r>
        <w:rPr>
          <w:color w:val="231F20"/>
          <w:spacing w:val="-20"/>
          <w:w w:val="105"/>
        </w:rPr>
        <w:t> </w:t>
      </w:r>
      <w:r>
        <w:rPr>
          <w:color w:val="231F20"/>
          <w:w w:val="105"/>
        </w:rPr>
        <w:t>y</w:t>
      </w:r>
      <w:r>
        <w:rPr>
          <w:color w:val="231F20"/>
          <w:spacing w:val="-20"/>
          <w:w w:val="105"/>
        </w:rPr>
        <w:t> </w:t>
      </w:r>
      <w:r>
        <w:rPr>
          <w:color w:val="231F20"/>
          <w:w w:val="105"/>
        </w:rPr>
        <w:t>herramienta</w:t>
      </w:r>
      <w:r>
        <w:rPr>
          <w:color w:val="231F20"/>
          <w:spacing w:val="-20"/>
          <w:w w:val="105"/>
        </w:rPr>
        <w:t> </w:t>
      </w:r>
      <w:r>
        <w:rPr>
          <w:color w:val="231F20"/>
          <w:w w:val="105"/>
        </w:rPr>
        <w:t>para</w:t>
      </w:r>
      <w:r>
        <w:rPr>
          <w:color w:val="231F20"/>
          <w:spacing w:val="-20"/>
          <w:w w:val="105"/>
        </w:rPr>
        <w:t> </w:t>
      </w:r>
      <w:r>
        <w:rPr>
          <w:color w:val="231F20"/>
          <w:w w:val="105"/>
        </w:rPr>
        <w:t>realizar</w:t>
      </w:r>
      <w:r>
        <w:rPr>
          <w:color w:val="231F20"/>
          <w:spacing w:val="-20"/>
          <w:w w:val="105"/>
        </w:rPr>
        <w:t> </w:t>
      </w:r>
      <w:r>
        <w:rPr>
          <w:color w:val="231F20"/>
          <w:w w:val="105"/>
        </w:rPr>
        <w:t>trabajo</w:t>
      </w:r>
      <w:r>
        <w:rPr>
          <w:color w:val="231F20"/>
          <w:spacing w:val="-20"/>
          <w:w w:val="105"/>
        </w:rPr>
        <w:t> </w:t>
      </w:r>
      <w:r>
        <w:rPr>
          <w:color w:val="231F20"/>
          <w:w w:val="105"/>
        </w:rPr>
        <w:t>tanto</w:t>
      </w:r>
      <w:r>
        <w:rPr>
          <w:color w:val="231F20"/>
          <w:spacing w:val="-20"/>
          <w:w w:val="105"/>
        </w:rPr>
        <w:t> </w:t>
      </w:r>
      <w:r>
        <w:rPr>
          <w:color w:val="231F20"/>
          <w:w w:val="105"/>
        </w:rPr>
        <w:t>de</w:t>
      </w:r>
      <w:r>
        <w:rPr>
          <w:color w:val="231F20"/>
          <w:spacing w:val="-20"/>
          <w:w w:val="105"/>
        </w:rPr>
        <w:t> </w:t>
      </w:r>
      <w:r>
        <w:rPr>
          <w:color w:val="231F20"/>
          <w:w w:val="105"/>
        </w:rPr>
        <w:t>carpintería</w:t>
      </w:r>
      <w:r>
        <w:rPr>
          <w:color w:val="231F20"/>
          <w:spacing w:val="-20"/>
          <w:w w:val="105"/>
        </w:rPr>
        <w:t> </w:t>
      </w:r>
      <w:r>
        <w:rPr>
          <w:color w:val="231F20"/>
          <w:w w:val="105"/>
        </w:rPr>
        <w:t>como</w:t>
      </w:r>
      <w:r>
        <w:rPr>
          <w:color w:val="231F20"/>
          <w:spacing w:val="-20"/>
          <w:w w:val="105"/>
        </w:rPr>
        <w:t> </w:t>
      </w:r>
      <w:r>
        <w:rPr>
          <w:color w:val="231F20"/>
          <w:w w:val="105"/>
        </w:rPr>
        <w:t>de</w:t>
      </w:r>
      <w:r>
        <w:rPr>
          <w:color w:val="231F20"/>
          <w:spacing w:val="-20"/>
          <w:w w:val="105"/>
        </w:rPr>
        <w:t> </w:t>
      </w:r>
      <w:r>
        <w:rPr>
          <w:color w:val="231F20"/>
          <w:w w:val="105"/>
        </w:rPr>
        <w:t>he- rrería;</w:t>
      </w:r>
      <w:r>
        <w:rPr>
          <w:color w:val="231F20"/>
          <w:spacing w:val="-13"/>
          <w:w w:val="105"/>
        </w:rPr>
        <w:t> </w:t>
      </w:r>
      <w:r>
        <w:rPr>
          <w:color w:val="231F20"/>
          <w:w w:val="105"/>
        </w:rPr>
        <w:t>sin</w:t>
      </w:r>
      <w:r>
        <w:rPr>
          <w:color w:val="231F20"/>
          <w:spacing w:val="-13"/>
          <w:w w:val="105"/>
        </w:rPr>
        <w:t> </w:t>
      </w:r>
      <w:r>
        <w:rPr>
          <w:color w:val="231F20"/>
          <w:w w:val="105"/>
        </w:rPr>
        <w:t>embargo,</w:t>
      </w:r>
      <w:r>
        <w:rPr>
          <w:color w:val="231F20"/>
          <w:spacing w:val="-19"/>
          <w:w w:val="105"/>
        </w:rPr>
        <w:t> </w:t>
      </w:r>
      <w:r>
        <w:rPr>
          <w:color w:val="231F20"/>
          <w:w w:val="105"/>
        </w:rPr>
        <w:t>la</w:t>
      </w:r>
      <w:r>
        <w:rPr>
          <w:color w:val="231F20"/>
          <w:spacing w:val="-13"/>
          <w:w w:val="105"/>
        </w:rPr>
        <w:t> </w:t>
      </w:r>
      <w:r>
        <w:rPr>
          <w:color w:val="231F20"/>
          <w:w w:val="105"/>
        </w:rPr>
        <w:t>mayor</w:t>
      </w:r>
      <w:r>
        <w:rPr>
          <w:color w:val="231F20"/>
          <w:spacing w:val="-13"/>
          <w:w w:val="105"/>
        </w:rPr>
        <w:t> </w:t>
      </w:r>
      <w:r>
        <w:rPr>
          <w:color w:val="231F20"/>
          <w:w w:val="105"/>
        </w:rPr>
        <w:t>parte</w:t>
      </w:r>
      <w:r>
        <w:rPr>
          <w:color w:val="231F20"/>
          <w:spacing w:val="-13"/>
          <w:w w:val="105"/>
        </w:rPr>
        <w:t> </w:t>
      </w:r>
      <w:r>
        <w:rPr>
          <w:color w:val="231F20"/>
          <w:w w:val="105"/>
        </w:rPr>
        <w:t>de</w:t>
      </w:r>
      <w:r>
        <w:rPr>
          <w:color w:val="231F20"/>
          <w:spacing w:val="-13"/>
          <w:w w:val="105"/>
        </w:rPr>
        <w:t> </w:t>
      </w:r>
      <w:r>
        <w:rPr>
          <w:color w:val="231F20"/>
          <w:w w:val="105"/>
        </w:rPr>
        <w:t>esa</w:t>
      </w:r>
      <w:r>
        <w:rPr>
          <w:color w:val="231F20"/>
          <w:spacing w:val="-13"/>
          <w:w w:val="105"/>
        </w:rPr>
        <w:t> </w:t>
      </w:r>
      <w:r>
        <w:rPr>
          <w:color w:val="231F20"/>
          <w:w w:val="105"/>
        </w:rPr>
        <w:t>herramienta</w:t>
      </w:r>
      <w:r>
        <w:rPr>
          <w:color w:val="231F20"/>
          <w:spacing w:val="-13"/>
          <w:w w:val="105"/>
        </w:rPr>
        <w:t> </w:t>
      </w:r>
      <w:r>
        <w:rPr>
          <w:color w:val="231F20"/>
          <w:w w:val="105"/>
        </w:rPr>
        <w:t>y</w:t>
      </w:r>
      <w:r>
        <w:rPr>
          <w:color w:val="231F20"/>
          <w:spacing w:val="-13"/>
          <w:w w:val="105"/>
        </w:rPr>
        <w:t> </w:t>
      </w:r>
      <w:r>
        <w:rPr>
          <w:color w:val="231F20"/>
          <w:w w:val="105"/>
        </w:rPr>
        <w:t>técnicas</w:t>
      </w:r>
      <w:r>
        <w:rPr>
          <w:color w:val="231F20"/>
          <w:spacing w:val="-13"/>
          <w:w w:val="105"/>
        </w:rPr>
        <w:t> </w:t>
      </w:r>
      <w:r>
        <w:rPr>
          <w:color w:val="231F20"/>
          <w:w w:val="105"/>
        </w:rPr>
        <w:t>apren- didas</w:t>
      </w:r>
      <w:r>
        <w:rPr>
          <w:color w:val="231F20"/>
          <w:spacing w:val="-7"/>
          <w:w w:val="105"/>
        </w:rPr>
        <w:t> </w:t>
      </w:r>
      <w:r>
        <w:rPr>
          <w:color w:val="231F20"/>
          <w:w w:val="105"/>
        </w:rPr>
        <w:t>no</w:t>
      </w:r>
      <w:r>
        <w:rPr>
          <w:color w:val="231F20"/>
          <w:spacing w:val="-7"/>
          <w:w w:val="105"/>
        </w:rPr>
        <w:t> </w:t>
      </w:r>
      <w:r>
        <w:rPr>
          <w:color w:val="231F20"/>
          <w:w w:val="105"/>
        </w:rPr>
        <w:t>las</w:t>
      </w:r>
      <w:r>
        <w:rPr>
          <w:color w:val="231F20"/>
          <w:spacing w:val="-7"/>
          <w:w w:val="105"/>
        </w:rPr>
        <w:t> </w:t>
      </w:r>
      <w:r>
        <w:rPr>
          <w:color w:val="231F20"/>
          <w:w w:val="105"/>
        </w:rPr>
        <w:t>ha</w:t>
      </w:r>
      <w:r>
        <w:rPr>
          <w:color w:val="231F20"/>
          <w:spacing w:val="-7"/>
          <w:w w:val="105"/>
        </w:rPr>
        <w:t> </w:t>
      </w:r>
      <w:r>
        <w:rPr>
          <w:color w:val="231F20"/>
          <w:w w:val="105"/>
        </w:rPr>
        <w:t>podido</w:t>
      </w:r>
      <w:r>
        <w:rPr>
          <w:color w:val="231F20"/>
          <w:spacing w:val="-7"/>
          <w:w w:val="105"/>
        </w:rPr>
        <w:t> </w:t>
      </w:r>
      <w:r>
        <w:rPr>
          <w:color w:val="231F20"/>
          <w:w w:val="105"/>
        </w:rPr>
        <w:t>implementar,</w:t>
      </w:r>
      <w:r>
        <w:rPr>
          <w:color w:val="231F20"/>
          <w:spacing w:val="-13"/>
          <w:w w:val="105"/>
        </w:rPr>
        <w:t> </w:t>
      </w:r>
      <w:r>
        <w:rPr>
          <w:color w:val="231F20"/>
          <w:w w:val="105"/>
        </w:rPr>
        <w:t>por</w:t>
      </w:r>
      <w:r>
        <w:rPr>
          <w:color w:val="231F20"/>
          <w:spacing w:val="-7"/>
          <w:w w:val="105"/>
        </w:rPr>
        <w:t> </w:t>
      </w:r>
      <w:r>
        <w:rPr>
          <w:color w:val="231F20"/>
          <w:w w:val="105"/>
        </w:rPr>
        <w:t>ejemplo,</w:t>
      </w:r>
      <w:r>
        <w:rPr>
          <w:color w:val="231F20"/>
          <w:spacing w:val="-13"/>
          <w:w w:val="105"/>
        </w:rPr>
        <w:t> </w:t>
      </w:r>
      <w:r>
        <w:rPr>
          <w:color w:val="231F20"/>
          <w:w w:val="105"/>
        </w:rPr>
        <w:t>técnicas</w:t>
      </w:r>
      <w:r>
        <w:rPr>
          <w:color w:val="231F20"/>
          <w:spacing w:val="-7"/>
          <w:w w:val="105"/>
        </w:rPr>
        <w:t> </w:t>
      </w:r>
      <w:r>
        <w:rPr>
          <w:color w:val="231F20"/>
          <w:w w:val="105"/>
        </w:rPr>
        <w:t>relacionadas con la fabricación de portones/zaguanes, debido a que en Nezahual- cóyotl se “acostumbra” colocar portones “prácticamente </w:t>
      </w:r>
      <w:r>
        <w:rPr>
          <w:color w:val="231F20"/>
          <w:spacing w:val="-3"/>
          <w:w w:val="105"/>
        </w:rPr>
        <w:t>blindados”. </w:t>
      </w:r>
      <w:r>
        <w:rPr>
          <w:color w:val="231F20"/>
          <w:w w:val="105"/>
        </w:rPr>
        <w:t>En este orden, aunque cuenta con herramienta que tiene un alto valor co- mercial: tornos o maquinaria con la que podría fabricar sillas tubulares en serie. No obstante, Roberto decidió poner un pequeño taller de car- pintería</w:t>
      </w:r>
      <w:r>
        <w:rPr>
          <w:color w:val="231F20"/>
          <w:spacing w:val="-9"/>
          <w:w w:val="105"/>
        </w:rPr>
        <w:t> </w:t>
      </w:r>
      <w:r>
        <w:rPr>
          <w:color w:val="231F20"/>
          <w:w w:val="105"/>
        </w:rPr>
        <w:t>y</w:t>
      </w:r>
      <w:r>
        <w:rPr>
          <w:color w:val="231F20"/>
          <w:spacing w:val="-9"/>
          <w:w w:val="105"/>
        </w:rPr>
        <w:t> </w:t>
      </w:r>
      <w:r>
        <w:rPr>
          <w:color w:val="231F20"/>
          <w:w w:val="105"/>
        </w:rPr>
        <w:t>herrería,</w:t>
      </w:r>
      <w:r>
        <w:rPr>
          <w:color w:val="231F20"/>
          <w:spacing w:val="-14"/>
          <w:w w:val="105"/>
        </w:rPr>
        <w:t> </w:t>
      </w:r>
      <w:r>
        <w:rPr>
          <w:color w:val="231F20"/>
          <w:w w:val="105"/>
        </w:rPr>
        <w:t>localizado</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cochera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casa</w:t>
      </w:r>
      <w:r>
        <w:rPr>
          <w:color w:val="231F20"/>
          <w:spacing w:val="-9"/>
          <w:w w:val="105"/>
        </w:rPr>
        <w:t> </w:t>
      </w:r>
      <w:r>
        <w:rPr>
          <w:color w:val="231F20"/>
          <w:w w:val="105"/>
        </w:rPr>
        <w:t>de</w:t>
      </w:r>
      <w:r>
        <w:rPr>
          <w:color w:val="231F20"/>
          <w:spacing w:val="-9"/>
          <w:w w:val="105"/>
        </w:rPr>
        <w:t> </w:t>
      </w:r>
      <w:r>
        <w:rPr>
          <w:color w:val="231F20"/>
          <w:w w:val="105"/>
        </w:rPr>
        <w:t>un</w:t>
      </w:r>
      <w:r>
        <w:rPr>
          <w:color w:val="231F20"/>
          <w:spacing w:val="-9"/>
          <w:w w:val="105"/>
        </w:rPr>
        <w:t> </w:t>
      </w:r>
      <w:r>
        <w:rPr>
          <w:color w:val="231F20"/>
          <w:w w:val="105"/>
        </w:rPr>
        <w:t>hermano,</w:t>
      </w:r>
      <w:r>
        <w:rPr>
          <w:color w:val="231F20"/>
          <w:spacing w:val="-14"/>
          <w:w w:val="105"/>
        </w:rPr>
        <w:t> </w:t>
      </w:r>
      <w:r>
        <w:rPr>
          <w:color w:val="231F20"/>
          <w:w w:val="105"/>
        </w:rPr>
        <w:t>a dos</w:t>
      </w:r>
      <w:r>
        <w:rPr>
          <w:color w:val="231F20"/>
          <w:spacing w:val="-19"/>
          <w:w w:val="105"/>
        </w:rPr>
        <w:t> </w:t>
      </w:r>
      <w:r>
        <w:rPr>
          <w:color w:val="231F20"/>
          <w:w w:val="105"/>
        </w:rPr>
        <w:t>casas</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w w:val="105"/>
        </w:rPr>
        <w:t>propio</w:t>
      </w:r>
      <w:r>
        <w:rPr>
          <w:color w:val="231F20"/>
          <w:spacing w:val="-19"/>
          <w:w w:val="105"/>
        </w:rPr>
        <w:t> </w:t>
      </w:r>
      <w:r>
        <w:rPr>
          <w:color w:val="231F20"/>
          <w:w w:val="105"/>
        </w:rPr>
        <w:t>hogar.</w:t>
      </w:r>
      <w:r>
        <w:rPr>
          <w:color w:val="231F20"/>
          <w:spacing w:val="-27"/>
          <w:w w:val="105"/>
        </w:rPr>
        <w:t> </w:t>
      </w:r>
      <w:r>
        <w:rPr>
          <w:color w:val="231F20"/>
          <w:w w:val="105"/>
        </w:rPr>
        <w:t>Adicionalmente,</w:t>
      </w:r>
      <w:r>
        <w:rPr>
          <w:color w:val="231F20"/>
          <w:spacing w:val="-25"/>
          <w:w w:val="105"/>
        </w:rPr>
        <w:t> </w:t>
      </w:r>
      <w:r>
        <w:rPr>
          <w:color w:val="231F20"/>
          <w:w w:val="105"/>
        </w:rPr>
        <w:t>durante</w:t>
      </w:r>
      <w:r>
        <w:rPr>
          <w:color w:val="231F20"/>
          <w:spacing w:val="-19"/>
          <w:w w:val="105"/>
        </w:rPr>
        <w:t> </w:t>
      </w:r>
      <w:r>
        <w:rPr>
          <w:color w:val="231F20"/>
          <w:w w:val="105"/>
        </w:rPr>
        <w:t>su</w:t>
      </w:r>
      <w:r>
        <w:rPr>
          <w:color w:val="231F20"/>
          <w:spacing w:val="-19"/>
          <w:w w:val="105"/>
        </w:rPr>
        <w:t> </w:t>
      </w:r>
      <w:r>
        <w:rPr>
          <w:color w:val="231F20"/>
          <w:w w:val="105"/>
        </w:rPr>
        <w:t>estadía</w:t>
      </w:r>
      <w:r>
        <w:rPr>
          <w:color w:val="231F20"/>
          <w:spacing w:val="-19"/>
          <w:w w:val="105"/>
        </w:rPr>
        <w:t> </w:t>
      </w:r>
      <w:r>
        <w:rPr>
          <w:color w:val="231F20"/>
          <w:w w:val="105"/>
        </w:rPr>
        <w:t>en</w:t>
      </w:r>
      <w:r>
        <w:rPr>
          <w:color w:val="231F20"/>
          <w:spacing w:val="-19"/>
          <w:w w:val="105"/>
        </w:rPr>
        <w:t> </w:t>
      </w:r>
      <w:r>
        <w:rPr>
          <w:color w:val="231F20"/>
          <w:w w:val="105"/>
        </w:rPr>
        <w:t>Es- tados</w:t>
      </w:r>
      <w:r>
        <w:rPr>
          <w:color w:val="231F20"/>
          <w:spacing w:val="-15"/>
          <w:w w:val="105"/>
        </w:rPr>
        <w:t> </w:t>
      </w:r>
      <w:r>
        <w:rPr>
          <w:color w:val="231F20"/>
          <w:w w:val="105"/>
        </w:rPr>
        <w:t>Unidos</w:t>
      </w:r>
      <w:r>
        <w:rPr>
          <w:color w:val="231F20"/>
          <w:spacing w:val="-15"/>
          <w:w w:val="105"/>
        </w:rPr>
        <w:t> </w:t>
      </w:r>
      <w:r>
        <w:rPr>
          <w:color w:val="231F20"/>
          <w:w w:val="105"/>
        </w:rPr>
        <w:t>compró</w:t>
      </w:r>
      <w:r>
        <w:rPr>
          <w:color w:val="231F20"/>
          <w:spacing w:val="-15"/>
          <w:w w:val="105"/>
        </w:rPr>
        <w:t> </w:t>
      </w:r>
      <w:r>
        <w:rPr>
          <w:color w:val="231F20"/>
          <w:w w:val="105"/>
        </w:rPr>
        <w:t>una</w:t>
      </w:r>
      <w:r>
        <w:rPr>
          <w:color w:val="231F20"/>
          <w:spacing w:val="-15"/>
          <w:w w:val="105"/>
        </w:rPr>
        <w:t> </w:t>
      </w:r>
      <w:r>
        <w:rPr>
          <w:color w:val="231F20"/>
          <w:w w:val="105"/>
        </w:rPr>
        <w:t>casa</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periferia</w:t>
      </w:r>
      <w:r>
        <w:rPr>
          <w:color w:val="231F20"/>
          <w:spacing w:val="-15"/>
          <w:w w:val="105"/>
        </w:rPr>
        <w:t> </w:t>
      </w:r>
      <w:r>
        <w:rPr>
          <w:color w:val="231F20"/>
          <w:w w:val="105"/>
        </w:rPr>
        <w:t>de</w:t>
      </w:r>
      <w:r>
        <w:rPr>
          <w:color w:val="231F20"/>
          <w:spacing w:val="-15"/>
          <w:w w:val="105"/>
        </w:rPr>
        <w:t> </w:t>
      </w:r>
      <w:r>
        <w:rPr>
          <w:color w:val="231F20"/>
          <w:w w:val="105"/>
        </w:rPr>
        <w:t>Seattle,</w:t>
      </w:r>
      <w:r>
        <w:rPr>
          <w:color w:val="231F20"/>
          <w:spacing w:val="-20"/>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estado</w:t>
      </w:r>
      <w:r>
        <w:rPr>
          <w:color w:val="231F20"/>
          <w:spacing w:val="-15"/>
          <w:w w:val="105"/>
        </w:rPr>
        <w:t> </w:t>
      </w:r>
      <w:r>
        <w:rPr>
          <w:color w:val="231F20"/>
          <w:w w:val="105"/>
        </w:rPr>
        <w:t>de Washington,</w:t>
      </w:r>
      <w:r>
        <w:rPr>
          <w:color w:val="231F20"/>
          <w:spacing w:val="-16"/>
          <w:w w:val="105"/>
        </w:rPr>
        <w:t> </w:t>
      </w:r>
      <w:r>
        <w:rPr>
          <w:color w:val="231F20"/>
          <w:w w:val="105"/>
        </w:rPr>
        <w:t>en</w:t>
      </w:r>
      <w:r>
        <w:rPr>
          <w:color w:val="231F20"/>
          <w:spacing w:val="-11"/>
          <w:w w:val="105"/>
        </w:rPr>
        <w:t> </w:t>
      </w:r>
      <w:r>
        <w:rPr>
          <w:color w:val="231F20"/>
          <w:w w:val="105"/>
        </w:rPr>
        <w:t>un</w:t>
      </w:r>
      <w:r>
        <w:rPr>
          <w:color w:val="231F20"/>
          <w:spacing w:val="-11"/>
          <w:w w:val="105"/>
        </w:rPr>
        <w:t> </w:t>
      </w:r>
      <w:r>
        <w:rPr>
          <w:color w:val="231F20"/>
          <w:w w:val="105"/>
        </w:rPr>
        <w:t>terreno</w:t>
      </w:r>
      <w:r>
        <w:rPr>
          <w:color w:val="231F20"/>
          <w:spacing w:val="-11"/>
          <w:w w:val="105"/>
        </w:rPr>
        <w:t> </w:t>
      </w:r>
      <w:r>
        <w:rPr>
          <w:color w:val="231F20"/>
          <w:w w:val="105"/>
        </w:rPr>
        <w:t>de</w:t>
      </w:r>
      <w:r>
        <w:rPr>
          <w:color w:val="231F20"/>
          <w:spacing w:val="-11"/>
          <w:w w:val="105"/>
        </w:rPr>
        <w:t> </w:t>
      </w:r>
      <w:r>
        <w:rPr>
          <w:color w:val="231F20"/>
          <w:w w:val="105"/>
        </w:rPr>
        <w:t>dos</w:t>
      </w:r>
      <w:r>
        <w:rPr>
          <w:color w:val="231F20"/>
          <w:spacing w:val="-11"/>
          <w:w w:val="105"/>
        </w:rPr>
        <w:t> </w:t>
      </w:r>
      <w:r>
        <w:rPr>
          <w:color w:val="231F20"/>
          <w:w w:val="105"/>
        </w:rPr>
        <w:t>acres</w:t>
      </w:r>
      <w:r>
        <w:rPr>
          <w:color w:val="231F20"/>
          <w:spacing w:val="-11"/>
          <w:w w:val="105"/>
        </w:rPr>
        <w:t> </w:t>
      </w:r>
      <w:r>
        <w:rPr>
          <w:color w:val="231F20"/>
          <w:w w:val="105"/>
        </w:rPr>
        <w:t>y</w:t>
      </w:r>
      <w:r>
        <w:rPr>
          <w:color w:val="231F20"/>
          <w:spacing w:val="-11"/>
          <w:w w:val="105"/>
        </w:rPr>
        <w:t> </w:t>
      </w:r>
      <w:r>
        <w:rPr>
          <w:color w:val="231F20"/>
          <w:w w:val="105"/>
        </w:rPr>
        <w:t>medio,</w:t>
      </w:r>
      <w:r>
        <w:rPr>
          <w:color w:val="231F20"/>
          <w:spacing w:val="-16"/>
          <w:w w:val="105"/>
        </w:rPr>
        <w:t> </w:t>
      </w:r>
      <w:r>
        <w:rPr>
          <w:color w:val="231F20"/>
          <w:w w:val="105"/>
        </w:rPr>
        <w:t>la</w:t>
      </w:r>
      <w:r>
        <w:rPr>
          <w:color w:val="231F20"/>
          <w:spacing w:val="-11"/>
          <w:w w:val="105"/>
        </w:rPr>
        <w:t> </w:t>
      </w:r>
      <w:r>
        <w:rPr>
          <w:color w:val="231F20"/>
          <w:w w:val="105"/>
        </w:rPr>
        <w:t>cual</w:t>
      </w:r>
      <w:r>
        <w:rPr>
          <w:color w:val="231F20"/>
          <w:spacing w:val="-11"/>
          <w:w w:val="105"/>
        </w:rPr>
        <w:t> </w:t>
      </w:r>
      <w:r>
        <w:rPr>
          <w:color w:val="231F20"/>
          <w:w w:val="105"/>
        </w:rPr>
        <w:t>aparentemente vendió</w:t>
      </w:r>
      <w:r>
        <w:rPr>
          <w:color w:val="231F20"/>
          <w:spacing w:val="-11"/>
          <w:w w:val="105"/>
        </w:rPr>
        <w:t> </w:t>
      </w:r>
      <w:r>
        <w:rPr>
          <w:color w:val="231F20"/>
          <w:w w:val="105"/>
        </w:rPr>
        <w:t>antes</w:t>
      </w:r>
      <w:r>
        <w:rPr>
          <w:color w:val="231F20"/>
          <w:spacing w:val="-11"/>
          <w:w w:val="105"/>
        </w:rPr>
        <w:t> </w:t>
      </w:r>
      <w:r>
        <w:rPr>
          <w:color w:val="231F20"/>
          <w:w w:val="105"/>
        </w:rPr>
        <w:t>de</w:t>
      </w:r>
      <w:r>
        <w:rPr>
          <w:color w:val="231F20"/>
          <w:spacing w:val="-11"/>
          <w:w w:val="105"/>
        </w:rPr>
        <w:t> </w:t>
      </w:r>
      <w:r>
        <w:rPr>
          <w:color w:val="231F20"/>
          <w:w w:val="105"/>
        </w:rPr>
        <w:t>viajar</w:t>
      </w:r>
      <w:r>
        <w:rPr>
          <w:color w:val="231F20"/>
          <w:spacing w:val="-11"/>
          <w:w w:val="105"/>
        </w:rPr>
        <w:t> </w:t>
      </w:r>
      <w:r>
        <w:rPr>
          <w:color w:val="231F20"/>
          <w:w w:val="105"/>
        </w:rPr>
        <w:t>de</w:t>
      </w:r>
      <w:r>
        <w:rPr>
          <w:color w:val="231F20"/>
          <w:spacing w:val="-11"/>
          <w:w w:val="105"/>
        </w:rPr>
        <w:t> </w:t>
      </w:r>
      <w:r>
        <w:rPr>
          <w:color w:val="231F20"/>
          <w:w w:val="105"/>
        </w:rPr>
        <w:t>regreso</w:t>
      </w:r>
      <w:r>
        <w:rPr>
          <w:color w:val="231F20"/>
          <w:spacing w:val="-11"/>
          <w:w w:val="105"/>
        </w:rPr>
        <w:t> </w:t>
      </w:r>
      <w:r>
        <w:rPr>
          <w:color w:val="231F20"/>
          <w:w w:val="105"/>
        </w:rPr>
        <w:t>a</w:t>
      </w:r>
      <w:r>
        <w:rPr>
          <w:color w:val="231F20"/>
          <w:spacing w:val="-11"/>
          <w:w w:val="105"/>
        </w:rPr>
        <w:t> </w:t>
      </w:r>
      <w:r>
        <w:rPr>
          <w:color w:val="231F20"/>
          <w:w w:val="105"/>
        </w:rPr>
        <w:t>México,</w:t>
      </w:r>
      <w:r>
        <w:rPr>
          <w:color w:val="231F20"/>
          <w:spacing w:val="-17"/>
          <w:w w:val="105"/>
        </w:rPr>
        <w:t> </w:t>
      </w:r>
      <w:r>
        <w:rPr>
          <w:color w:val="231F20"/>
          <w:w w:val="105"/>
        </w:rPr>
        <w:t>aún</w:t>
      </w:r>
      <w:r>
        <w:rPr>
          <w:color w:val="231F20"/>
          <w:spacing w:val="-11"/>
          <w:w w:val="105"/>
        </w:rPr>
        <w:t> </w:t>
      </w:r>
      <w:r>
        <w:rPr>
          <w:color w:val="231F20"/>
          <w:w w:val="105"/>
        </w:rPr>
        <w:t>no</w:t>
      </w:r>
      <w:r>
        <w:rPr>
          <w:color w:val="231F20"/>
          <w:spacing w:val="-11"/>
          <w:w w:val="105"/>
        </w:rPr>
        <w:t> </w:t>
      </w:r>
      <w:r>
        <w:rPr>
          <w:color w:val="231F20"/>
          <w:w w:val="105"/>
        </w:rPr>
        <w:t>ha</w:t>
      </w:r>
      <w:r>
        <w:rPr>
          <w:color w:val="231F20"/>
          <w:spacing w:val="-11"/>
          <w:w w:val="105"/>
        </w:rPr>
        <w:t> </w:t>
      </w:r>
      <w:r>
        <w:rPr>
          <w:color w:val="231F20"/>
          <w:w w:val="105"/>
        </w:rPr>
        <w:t>recibido</w:t>
      </w:r>
      <w:r>
        <w:rPr>
          <w:color w:val="231F20"/>
          <w:spacing w:val="-11"/>
          <w:w w:val="105"/>
        </w:rPr>
        <w:t> </w:t>
      </w:r>
      <w:r>
        <w:rPr>
          <w:color w:val="231F20"/>
          <w:w w:val="105"/>
        </w:rPr>
        <w:t>el</w:t>
      </w:r>
      <w:r>
        <w:rPr>
          <w:color w:val="231F20"/>
          <w:spacing w:val="-11"/>
          <w:w w:val="105"/>
        </w:rPr>
        <w:t> </w:t>
      </w:r>
      <w:r>
        <w:rPr>
          <w:color w:val="231F20"/>
          <w:w w:val="105"/>
        </w:rPr>
        <w:t>pago.</w:t>
      </w:r>
    </w:p>
    <w:p>
      <w:pPr>
        <w:pStyle w:val="BodyText"/>
        <w:spacing w:line="261" w:lineRule="auto" w:before="1"/>
        <w:ind w:left="1723" w:right="1834" w:firstLine="567"/>
        <w:jc w:val="both"/>
      </w:pPr>
      <w:r>
        <w:rPr>
          <w:color w:val="231F20"/>
          <w:w w:val="105"/>
        </w:rPr>
        <w:t>Roberto</w:t>
      </w:r>
      <w:r>
        <w:rPr>
          <w:color w:val="231F20"/>
          <w:spacing w:val="-4"/>
          <w:w w:val="105"/>
        </w:rPr>
        <w:t> </w:t>
      </w:r>
      <w:r>
        <w:rPr>
          <w:color w:val="231F20"/>
          <w:w w:val="105"/>
        </w:rPr>
        <w:t>fue</w:t>
      </w:r>
      <w:r>
        <w:rPr>
          <w:color w:val="231F20"/>
          <w:spacing w:val="-4"/>
          <w:w w:val="105"/>
        </w:rPr>
        <w:t> </w:t>
      </w:r>
      <w:r>
        <w:rPr>
          <w:color w:val="231F20"/>
          <w:w w:val="105"/>
        </w:rPr>
        <w:t>entrevistado</w:t>
      </w:r>
      <w:r>
        <w:rPr>
          <w:color w:val="231F20"/>
          <w:spacing w:val="-4"/>
          <w:w w:val="105"/>
        </w:rPr>
        <w:t> </w:t>
      </w:r>
      <w:r>
        <w:rPr>
          <w:color w:val="231F20"/>
          <w:w w:val="105"/>
        </w:rPr>
        <w:t>a</w:t>
      </w:r>
      <w:r>
        <w:rPr>
          <w:color w:val="231F20"/>
          <w:spacing w:val="-4"/>
          <w:w w:val="105"/>
        </w:rPr>
        <w:t> </w:t>
      </w:r>
      <w:r>
        <w:rPr>
          <w:color w:val="231F20"/>
          <w:w w:val="105"/>
        </w:rPr>
        <w:t>dos</w:t>
      </w:r>
      <w:r>
        <w:rPr>
          <w:color w:val="231F20"/>
          <w:spacing w:val="-4"/>
          <w:w w:val="105"/>
        </w:rPr>
        <w:t> </w:t>
      </w:r>
      <w:r>
        <w:rPr>
          <w:color w:val="231F20"/>
          <w:w w:val="105"/>
        </w:rPr>
        <w:t>años</w:t>
      </w:r>
      <w:r>
        <w:rPr>
          <w:color w:val="231F20"/>
          <w:spacing w:val="-4"/>
          <w:w w:val="105"/>
        </w:rPr>
        <w:t> </w:t>
      </w:r>
      <w:r>
        <w:rPr>
          <w:color w:val="231F20"/>
          <w:w w:val="105"/>
        </w:rPr>
        <w:t>y</w:t>
      </w:r>
      <w:r>
        <w:rPr>
          <w:color w:val="231F20"/>
          <w:spacing w:val="-4"/>
          <w:w w:val="105"/>
        </w:rPr>
        <w:t> </w:t>
      </w:r>
      <w:r>
        <w:rPr>
          <w:color w:val="231F20"/>
          <w:w w:val="105"/>
        </w:rPr>
        <w:t>seis</w:t>
      </w:r>
      <w:r>
        <w:rPr>
          <w:color w:val="231F20"/>
          <w:spacing w:val="-4"/>
          <w:w w:val="105"/>
        </w:rPr>
        <w:t> </w:t>
      </w:r>
      <w:r>
        <w:rPr>
          <w:color w:val="231F20"/>
          <w:w w:val="105"/>
        </w:rPr>
        <w:t>meses</w:t>
      </w:r>
      <w:r>
        <w:rPr>
          <w:color w:val="231F20"/>
          <w:spacing w:val="-4"/>
          <w:w w:val="105"/>
        </w:rPr>
        <w:t> </w:t>
      </w:r>
      <w:r>
        <w:rPr>
          <w:color w:val="231F20"/>
          <w:w w:val="105"/>
        </w:rPr>
        <w:t>de</w:t>
      </w:r>
      <w:r>
        <w:rPr>
          <w:color w:val="231F20"/>
          <w:spacing w:val="-4"/>
          <w:w w:val="105"/>
        </w:rPr>
        <w:t> </w:t>
      </w:r>
      <w:r>
        <w:rPr>
          <w:color w:val="231F20"/>
          <w:w w:val="105"/>
        </w:rPr>
        <w:t>haber</w:t>
      </w:r>
      <w:r>
        <w:rPr>
          <w:color w:val="231F20"/>
          <w:spacing w:val="-4"/>
          <w:w w:val="105"/>
        </w:rPr>
        <w:t> </w:t>
      </w:r>
      <w:r>
        <w:rPr>
          <w:color w:val="231F20"/>
          <w:w w:val="105"/>
        </w:rPr>
        <w:t>retor- nado a Nezahualcóyotl, donde empezó a trabajar de inmediato como carpintero y herrero. Asimismo, continúa asistiendo a un Salón del</w:t>
      </w:r>
      <w:r>
        <w:rPr>
          <w:color w:val="231F20"/>
          <w:spacing w:val="-25"/>
          <w:w w:val="105"/>
        </w:rPr>
        <w:t> </w:t>
      </w:r>
      <w:r>
        <w:rPr>
          <w:color w:val="231F20"/>
          <w:w w:val="105"/>
        </w:rPr>
        <w:t>Rei- no</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8"/>
          <w:w w:val="105"/>
        </w:rPr>
        <w:t> </w:t>
      </w:r>
      <w:r>
        <w:rPr>
          <w:color w:val="231F20"/>
          <w:spacing w:val="-3"/>
          <w:w w:val="105"/>
        </w:rPr>
        <w:t>Testigos</w:t>
      </w:r>
      <w:r>
        <w:rPr>
          <w:color w:val="231F20"/>
          <w:spacing w:val="-4"/>
          <w:w w:val="105"/>
        </w:rPr>
        <w:t> </w:t>
      </w:r>
      <w:r>
        <w:rPr>
          <w:color w:val="231F20"/>
          <w:w w:val="105"/>
        </w:rPr>
        <w:t>de</w:t>
      </w:r>
      <w:r>
        <w:rPr>
          <w:color w:val="231F20"/>
          <w:spacing w:val="-6"/>
          <w:w w:val="105"/>
        </w:rPr>
        <w:t> </w:t>
      </w:r>
      <w:r>
        <w:rPr>
          <w:color w:val="231F20"/>
          <w:w w:val="105"/>
        </w:rPr>
        <w:t>Jehová,</w:t>
      </w:r>
      <w:r>
        <w:rPr>
          <w:color w:val="231F20"/>
          <w:spacing w:val="-9"/>
          <w:w w:val="105"/>
        </w:rPr>
        <w:t> </w:t>
      </w:r>
      <w:r>
        <w:rPr>
          <w:color w:val="231F20"/>
          <w:w w:val="105"/>
        </w:rPr>
        <w:t>localizado</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colonia</w:t>
      </w:r>
      <w:r>
        <w:rPr>
          <w:color w:val="231F20"/>
          <w:spacing w:val="-4"/>
          <w:w w:val="105"/>
        </w:rPr>
        <w:t> </w:t>
      </w:r>
      <w:r>
        <w:rPr>
          <w:color w:val="231F20"/>
          <w:w w:val="105"/>
        </w:rPr>
        <w:t>donde</w:t>
      </w:r>
      <w:r>
        <w:rPr>
          <w:color w:val="231F20"/>
          <w:spacing w:val="-4"/>
          <w:w w:val="105"/>
        </w:rPr>
        <w:t> </w:t>
      </w:r>
      <w:r>
        <w:rPr>
          <w:color w:val="231F20"/>
          <w:w w:val="105"/>
        </w:rPr>
        <w:t>reside.</w:t>
      </w:r>
      <w:r>
        <w:rPr>
          <w:color w:val="231F20"/>
          <w:spacing w:val="-9"/>
          <w:w w:val="105"/>
        </w:rPr>
        <w:t> </w:t>
      </w:r>
      <w:r>
        <w:rPr>
          <w:color w:val="231F20"/>
          <w:w w:val="105"/>
        </w:rPr>
        <w:t>No obstante, ha enfrentado algunas dificultades porque lo ven “diferente” comparativamente con la imagen que proyectaba en el momento de</w:t>
      </w:r>
      <w:r>
        <w:rPr>
          <w:color w:val="231F20"/>
          <w:spacing w:val="-20"/>
          <w:w w:val="105"/>
        </w:rPr>
        <w:t> </w:t>
      </w:r>
      <w:r>
        <w:rPr>
          <w:color w:val="231F20"/>
          <w:w w:val="105"/>
        </w:rPr>
        <w:t>su partida, hace 20 años, ahora con una nueva religión y otra forma de</w:t>
      </w:r>
      <w:r>
        <w:rPr>
          <w:color w:val="231F20"/>
          <w:spacing w:val="-21"/>
          <w:w w:val="105"/>
        </w:rPr>
        <w:t> </w:t>
      </w:r>
      <w:r>
        <w:rPr>
          <w:color w:val="231F20"/>
          <w:w w:val="105"/>
        </w:rPr>
        <w:t>re- lacionarse</w:t>
      </w:r>
      <w:r>
        <w:rPr>
          <w:color w:val="231F20"/>
          <w:spacing w:val="-16"/>
          <w:w w:val="105"/>
        </w:rPr>
        <w:t> </w:t>
      </w:r>
      <w:r>
        <w:rPr>
          <w:color w:val="231F20"/>
          <w:w w:val="105"/>
        </w:rPr>
        <w:t>con</w:t>
      </w:r>
      <w:r>
        <w:rPr>
          <w:color w:val="231F20"/>
          <w:spacing w:val="-16"/>
          <w:w w:val="105"/>
        </w:rPr>
        <w:t> </w:t>
      </w:r>
      <w:r>
        <w:rPr>
          <w:color w:val="231F20"/>
          <w:w w:val="105"/>
        </w:rPr>
        <w:t>los</w:t>
      </w:r>
      <w:r>
        <w:rPr>
          <w:color w:val="231F20"/>
          <w:spacing w:val="-16"/>
          <w:w w:val="105"/>
        </w:rPr>
        <w:t> </w:t>
      </w:r>
      <w:r>
        <w:rPr>
          <w:color w:val="231F20"/>
          <w:w w:val="105"/>
        </w:rPr>
        <w:t>vecinos,</w:t>
      </w:r>
      <w:r>
        <w:rPr>
          <w:color w:val="231F20"/>
          <w:spacing w:val="-20"/>
          <w:w w:val="105"/>
        </w:rPr>
        <w:t> </w:t>
      </w:r>
      <w:r>
        <w:rPr>
          <w:color w:val="231F20"/>
          <w:w w:val="105"/>
        </w:rPr>
        <w:t>“más</w:t>
      </w:r>
      <w:r>
        <w:rPr>
          <w:color w:val="231F20"/>
          <w:spacing w:val="-16"/>
          <w:w w:val="105"/>
        </w:rPr>
        <w:t> </w:t>
      </w:r>
      <w:r>
        <w:rPr>
          <w:color w:val="231F20"/>
          <w:w w:val="105"/>
        </w:rPr>
        <w:t>respetuosa</w:t>
      </w:r>
      <w:r>
        <w:rPr>
          <w:color w:val="231F20"/>
          <w:spacing w:val="-16"/>
          <w:w w:val="105"/>
        </w:rPr>
        <w:t> </w:t>
      </w:r>
      <w:r>
        <w:rPr>
          <w:color w:val="231F20"/>
          <w:w w:val="105"/>
        </w:rPr>
        <w:t>y</w:t>
      </w:r>
      <w:r>
        <w:rPr>
          <w:color w:val="231F20"/>
          <w:spacing w:val="-16"/>
          <w:w w:val="105"/>
        </w:rPr>
        <w:t> </w:t>
      </w:r>
      <w:r>
        <w:rPr>
          <w:color w:val="231F20"/>
          <w:w w:val="105"/>
        </w:rPr>
        <w:t>distante”</w:t>
      </w:r>
      <w:r>
        <w:rPr>
          <w:color w:val="231F20"/>
          <w:spacing w:val="-16"/>
          <w:w w:val="105"/>
        </w:rPr>
        <w:t> </w:t>
      </w:r>
      <w:r>
        <w:rPr>
          <w:color w:val="231F20"/>
          <w:w w:val="105"/>
        </w:rPr>
        <w:t>por</w:t>
      </w:r>
      <w:r>
        <w:rPr>
          <w:color w:val="231F20"/>
          <w:spacing w:val="-16"/>
          <w:w w:val="105"/>
        </w:rPr>
        <w:t> </w:t>
      </w:r>
      <w:r>
        <w:rPr>
          <w:color w:val="231F20"/>
          <w:w w:val="105"/>
        </w:rPr>
        <w:t>no</w:t>
      </w:r>
      <w:r>
        <w:rPr>
          <w:color w:val="231F20"/>
          <w:spacing w:val="-16"/>
          <w:w w:val="105"/>
        </w:rPr>
        <w:t> </w:t>
      </w:r>
      <w:r>
        <w:rPr>
          <w:color w:val="231F20"/>
          <w:w w:val="105"/>
        </w:rPr>
        <w:t>compartir </w:t>
      </w:r>
      <w:r>
        <w:rPr>
          <w:color w:val="231F20"/>
        </w:rPr>
        <w:t>sus festividades religiosas y</w:t>
      </w:r>
      <w:r>
        <w:rPr>
          <w:color w:val="231F20"/>
          <w:spacing w:val="-1"/>
        </w:rPr>
        <w:t> </w:t>
      </w:r>
      <w:r>
        <w:rPr>
          <w:color w:val="231F20"/>
        </w:rPr>
        <w:t>cívicas.</w:t>
      </w:r>
    </w:p>
    <w:p>
      <w:pPr>
        <w:pStyle w:val="BodyText"/>
        <w:spacing w:line="261" w:lineRule="auto" w:before="1"/>
        <w:ind w:left="1723" w:right="1834" w:firstLine="567"/>
        <w:jc w:val="both"/>
      </w:pPr>
      <w:r>
        <w:rPr>
          <w:color w:val="231F20"/>
          <w:w w:val="105"/>
        </w:rPr>
        <w:t>Asimismo, su madre y demás familiares –lo afirmó Roberto– reco- nocen</w:t>
      </w:r>
      <w:r>
        <w:rPr>
          <w:color w:val="231F20"/>
          <w:spacing w:val="-12"/>
          <w:w w:val="105"/>
        </w:rPr>
        <w:t> </w:t>
      </w:r>
      <w:r>
        <w:rPr>
          <w:color w:val="231F20"/>
          <w:w w:val="105"/>
        </w:rPr>
        <w:t>que</w:t>
      </w:r>
      <w:r>
        <w:rPr>
          <w:color w:val="231F20"/>
          <w:spacing w:val="-12"/>
          <w:w w:val="105"/>
        </w:rPr>
        <w:t> </w:t>
      </w:r>
      <w:r>
        <w:rPr>
          <w:color w:val="231F20"/>
          <w:w w:val="105"/>
        </w:rPr>
        <w:t>no</w:t>
      </w:r>
      <w:r>
        <w:rPr>
          <w:color w:val="231F20"/>
          <w:spacing w:val="-12"/>
          <w:w w:val="105"/>
        </w:rPr>
        <w:t> </w:t>
      </w:r>
      <w:r>
        <w:rPr>
          <w:color w:val="231F20"/>
          <w:w w:val="105"/>
        </w:rPr>
        <w:t>se</w:t>
      </w:r>
      <w:r>
        <w:rPr>
          <w:color w:val="231F20"/>
          <w:spacing w:val="-12"/>
          <w:w w:val="105"/>
        </w:rPr>
        <w:t> </w:t>
      </w:r>
      <w:r>
        <w:rPr>
          <w:color w:val="231F20"/>
          <w:w w:val="105"/>
        </w:rPr>
        <w:t>integra</w:t>
      </w:r>
      <w:r>
        <w:rPr>
          <w:color w:val="231F20"/>
          <w:spacing w:val="-12"/>
          <w:w w:val="105"/>
        </w:rPr>
        <w:t> </w:t>
      </w:r>
      <w:r>
        <w:rPr>
          <w:color w:val="231F20"/>
          <w:w w:val="105"/>
        </w:rPr>
        <w:t>igual</w:t>
      </w:r>
      <w:r>
        <w:rPr>
          <w:color w:val="231F20"/>
          <w:spacing w:val="-12"/>
          <w:w w:val="105"/>
        </w:rPr>
        <w:t> </w:t>
      </w:r>
      <w:r>
        <w:rPr>
          <w:color w:val="231F20"/>
          <w:w w:val="105"/>
        </w:rPr>
        <w:t>en</w:t>
      </w:r>
      <w:r>
        <w:rPr>
          <w:color w:val="231F20"/>
          <w:spacing w:val="-12"/>
          <w:w w:val="105"/>
        </w:rPr>
        <w:t> </w:t>
      </w:r>
      <w:r>
        <w:rPr>
          <w:color w:val="231F20"/>
          <w:w w:val="105"/>
        </w:rPr>
        <w:t>las</w:t>
      </w:r>
      <w:r>
        <w:rPr>
          <w:color w:val="231F20"/>
          <w:spacing w:val="-12"/>
          <w:w w:val="105"/>
        </w:rPr>
        <w:t> </w:t>
      </w:r>
      <w:r>
        <w:rPr>
          <w:color w:val="231F20"/>
          <w:w w:val="105"/>
        </w:rPr>
        <w:t>celebraciones</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familia</w:t>
      </w:r>
      <w:r>
        <w:rPr>
          <w:color w:val="231F20"/>
          <w:spacing w:val="-12"/>
          <w:w w:val="105"/>
        </w:rPr>
        <w:t> </w:t>
      </w:r>
      <w:r>
        <w:rPr>
          <w:color w:val="231F20"/>
          <w:w w:val="105"/>
        </w:rPr>
        <w:t>porque no consume alcohol, no obstante que a su regreso visitó a las familias que viven en la calle donde residía antes de viajar, la misma donde ac- tualmente reside. El mismo Roberto observa que en estos 20 años</w:t>
      </w:r>
      <w:r>
        <w:rPr>
          <w:color w:val="231F20"/>
          <w:spacing w:val="-13"/>
          <w:w w:val="105"/>
        </w:rPr>
        <w:t> </w:t>
      </w:r>
      <w:r>
        <w:rPr>
          <w:color w:val="231F20"/>
          <w:w w:val="105"/>
        </w:rPr>
        <w:t>han ocurrido muchos cambios en Nezahualcóyotl, los lugares se han trans- formado,</w:t>
      </w:r>
      <w:r>
        <w:rPr>
          <w:color w:val="231F20"/>
          <w:spacing w:val="-11"/>
          <w:w w:val="105"/>
        </w:rPr>
        <w:t> </w:t>
      </w:r>
      <w:r>
        <w:rPr>
          <w:color w:val="231F20"/>
          <w:w w:val="105"/>
        </w:rPr>
        <w:t>las</w:t>
      </w:r>
      <w:r>
        <w:rPr>
          <w:color w:val="231F20"/>
          <w:spacing w:val="-7"/>
          <w:w w:val="105"/>
        </w:rPr>
        <w:t> </w:t>
      </w:r>
      <w:r>
        <w:rPr>
          <w:color w:val="231F20"/>
          <w:w w:val="105"/>
        </w:rPr>
        <w:t>calles</w:t>
      </w:r>
      <w:r>
        <w:rPr>
          <w:color w:val="231F20"/>
          <w:spacing w:val="-7"/>
          <w:w w:val="105"/>
        </w:rPr>
        <w:t> </w:t>
      </w:r>
      <w:r>
        <w:rPr>
          <w:color w:val="231F20"/>
          <w:w w:val="105"/>
        </w:rPr>
        <w:t>ahora</w:t>
      </w:r>
      <w:r>
        <w:rPr>
          <w:color w:val="231F20"/>
          <w:spacing w:val="-7"/>
          <w:w w:val="105"/>
        </w:rPr>
        <w:t> </w:t>
      </w:r>
      <w:r>
        <w:rPr>
          <w:color w:val="231F20"/>
          <w:w w:val="105"/>
        </w:rPr>
        <w:t>lucen</w:t>
      </w:r>
      <w:r>
        <w:rPr>
          <w:color w:val="231F20"/>
          <w:spacing w:val="-7"/>
          <w:w w:val="105"/>
        </w:rPr>
        <w:t> </w:t>
      </w:r>
      <w:r>
        <w:rPr>
          <w:color w:val="231F20"/>
          <w:w w:val="105"/>
        </w:rPr>
        <w:t>pavimentadas,</w:t>
      </w:r>
      <w:r>
        <w:rPr>
          <w:color w:val="231F20"/>
          <w:spacing w:val="-11"/>
          <w:w w:val="105"/>
        </w:rPr>
        <w:t> </w:t>
      </w:r>
      <w:r>
        <w:rPr>
          <w:color w:val="231F20"/>
          <w:w w:val="105"/>
        </w:rPr>
        <w:t>ha</w:t>
      </w:r>
      <w:r>
        <w:rPr>
          <w:color w:val="231F20"/>
          <w:spacing w:val="-7"/>
          <w:w w:val="105"/>
        </w:rPr>
        <w:t> </w:t>
      </w:r>
      <w:r>
        <w:rPr>
          <w:color w:val="231F20"/>
          <w:w w:val="105"/>
        </w:rPr>
        <w:t>crecido</w:t>
      </w:r>
      <w:r>
        <w:rPr>
          <w:color w:val="231F20"/>
          <w:spacing w:val="-7"/>
          <w:w w:val="105"/>
        </w:rPr>
        <w:t> </w:t>
      </w:r>
      <w:r>
        <w:rPr>
          <w:color w:val="231F20"/>
          <w:w w:val="105"/>
        </w:rPr>
        <w:t>la</w:t>
      </w:r>
      <w:r>
        <w:rPr>
          <w:color w:val="231F20"/>
          <w:spacing w:val="-7"/>
          <w:w w:val="105"/>
        </w:rPr>
        <w:t> </w:t>
      </w:r>
      <w:r>
        <w:rPr>
          <w:color w:val="231F20"/>
          <w:w w:val="105"/>
        </w:rPr>
        <w:t>colonia</w:t>
      </w:r>
      <w:r>
        <w:rPr>
          <w:color w:val="231F20"/>
          <w:spacing w:val="-7"/>
          <w:w w:val="105"/>
        </w:rPr>
        <w:t> </w:t>
      </w:r>
      <w:r>
        <w:rPr>
          <w:color w:val="231F20"/>
          <w:w w:val="105"/>
        </w:rPr>
        <w:t>(en términos espaciales, y poblacionales por supuesto) y se han agregado otras</w:t>
      </w:r>
      <w:r>
        <w:rPr>
          <w:color w:val="231F20"/>
          <w:spacing w:val="-5"/>
          <w:w w:val="105"/>
        </w:rPr>
        <w:t> </w:t>
      </w:r>
      <w:r>
        <w:rPr>
          <w:color w:val="231F20"/>
          <w:w w:val="105"/>
        </w:rPr>
        <w:t>nuevas.</w:t>
      </w:r>
      <w:r>
        <w:rPr>
          <w:color w:val="231F20"/>
          <w:spacing w:val="-13"/>
          <w:w w:val="105"/>
        </w:rPr>
        <w:t> </w:t>
      </w:r>
      <w:r>
        <w:rPr>
          <w:color w:val="231F20"/>
          <w:w w:val="105"/>
        </w:rPr>
        <w:t>Asegura</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volverá</w:t>
      </w:r>
      <w:r>
        <w:rPr>
          <w:color w:val="231F20"/>
          <w:spacing w:val="-5"/>
          <w:w w:val="105"/>
        </w:rPr>
        <w:t> </w:t>
      </w:r>
      <w:r>
        <w:rPr>
          <w:color w:val="231F20"/>
          <w:w w:val="105"/>
        </w:rPr>
        <w:t>a</w:t>
      </w:r>
      <w:r>
        <w:rPr>
          <w:color w:val="231F20"/>
          <w:spacing w:val="-5"/>
          <w:w w:val="105"/>
        </w:rPr>
        <w:t> </w:t>
      </w:r>
      <w:r>
        <w:rPr>
          <w:color w:val="231F20"/>
          <w:w w:val="105"/>
        </w:rPr>
        <w:t>Estados</w:t>
      </w:r>
      <w:r>
        <w:rPr>
          <w:color w:val="231F20"/>
          <w:spacing w:val="-5"/>
          <w:w w:val="105"/>
        </w:rPr>
        <w:t> </w:t>
      </w:r>
      <w:r>
        <w:rPr>
          <w:color w:val="231F20"/>
          <w:w w:val="105"/>
        </w:rPr>
        <w:t>Unidos,</w:t>
      </w:r>
      <w:r>
        <w:rPr>
          <w:color w:val="231F20"/>
          <w:spacing w:val="-10"/>
          <w:w w:val="105"/>
        </w:rPr>
        <w:t> </w:t>
      </w:r>
      <w:r>
        <w:rPr>
          <w:color w:val="231F20"/>
          <w:w w:val="105"/>
        </w:rPr>
        <w:t>pese</w:t>
      </w:r>
      <w:r>
        <w:rPr>
          <w:color w:val="231F20"/>
          <w:spacing w:val="-5"/>
          <w:w w:val="105"/>
        </w:rPr>
        <w:t> </w:t>
      </w:r>
      <w:r>
        <w:rPr>
          <w:color w:val="231F20"/>
          <w:w w:val="105"/>
        </w:rPr>
        <w:t>a</w:t>
      </w:r>
      <w:r>
        <w:rPr>
          <w:color w:val="231F20"/>
          <w:spacing w:val="-5"/>
          <w:w w:val="105"/>
        </w:rPr>
        <w:t> </w:t>
      </w:r>
      <w:r>
        <w:rPr>
          <w:color w:val="231F20"/>
          <w:w w:val="105"/>
        </w:rPr>
        <w:t>que</w:t>
      </w:r>
      <w:r>
        <w:rPr>
          <w:color w:val="231F20"/>
          <w:spacing w:val="-5"/>
          <w:w w:val="105"/>
        </w:rPr>
        <w:t> </w:t>
      </w:r>
      <w:r>
        <w:rPr>
          <w:color w:val="231F20"/>
          <w:w w:val="105"/>
        </w:rPr>
        <w:t>su sueño</w:t>
      </w:r>
      <w:r>
        <w:rPr>
          <w:color w:val="231F20"/>
          <w:spacing w:val="-7"/>
          <w:w w:val="105"/>
        </w:rPr>
        <w:t> </w:t>
      </w:r>
      <w:r>
        <w:rPr>
          <w:color w:val="231F20"/>
          <w:w w:val="105"/>
        </w:rPr>
        <w:t>era</w:t>
      </w:r>
      <w:r>
        <w:rPr>
          <w:color w:val="231F20"/>
          <w:spacing w:val="-7"/>
          <w:w w:val="105"/>
        </w:rPr>
        <w:t> </w:t>
      </w:r>
      <w:r>
        <w:rPr>
          <w:color w:val="231F20"/>
          <w:w w:val="105"/>
        </w:rPr>
        <w:t>regresar</w:t>
      </w:r>
      <w:r>
        <w:rPr>
          <w:color w:val="231F20"/>
          <w:spacing w:val="-7"/>
          <w:w w:val="105"/>
        </w:rPr>
        <w:t> </w:t>
      </w:r>
      <w:r>
        <w:rPr>
          <w:color w:val="231F20"/>
          <w:w w:val="105"/>
        </w:rPr>
        <w:t>como</w:t>
      </w:r>
      <w:r>
        <w:rPr>
          <w:color w:val="231F20"/>
          <w:spacing w:val="-7"/>
          <w:w w:val="105"/>
        </w:rPr>
        <w:t> </w:t>
      </w:r>
      <w:r>
        <w:rPr>
          <w:color w:val="231F20"/>
          <w:w w:val="105"/>
        </w:rPr>
        <w:t>“un</w:t>
      </w:r>
      <w:r>
        <w:rPr>
          <w:color w:val="231F20"/>
          <w:spacing w:val="-7"/>
          <w:w w:val="105"/>
        </w:rPr>
        <w:t> </w:t>
      </w:r>
      <w:r>
        <w:rPr>
          <w:color w:val="231F20"/>
          <w:w w:val="105"/>
        </w:rPr>
        <w:t>inmigrante</w:t>
      </w:r>
      <w:r>
        <w:rPr>
          <w:color w:val="231F20"/>
          <w:spacing w:val="-7"/>
          <w:w w:val="105"/>
        </w:rPr>
        <w:t> </w:t>
      </w:r>
      <w:r>
        <w:rPr>
          <w:color w:val="231F20"/>
          <w:w w:val="105"/>
        </w:rPr>
        <w:t>legal”</w:t>
      </w:r>
      <w:r>
        <w:rPr>
          <w:color w:val="231F20"/>
          <w:spacing w:val="-7"/>
          <w:w w:val="105"/>
        </w:rPr>
        <w:t> </w:t>
      </w:r>
      <w:r>
        <w:rPr>
          <w:color w:val="231F20"/>
          <w:w w:val="105"/>
        </w:rPr>
        <w:t>y</w:t>
      </w:r>
      <w:r>
        <w:rPr>
          <w:color w:val="231F20"/>
          <w:spacing w:val="-7"/>
          <w:w w:val="105"/>
        </w:rPr>
        <w:t> </w:t>
      </w:r>
      <w:r>
        <w:rPr>
          <w:color w:val="231F20"/>
          <w:w w:val="105"/>
        </w:rPr>
        <w:t>no</w:t>
      </w:r>
      <w:r>
        <w:rPr>
          <w:color w:val="231F20"/>
          <w:spacing w:val="-7"/>
          <w:w w:val="105"/>
        </w:rPr>
        <w:t> </w:t>
      </w:r>
      <w:r>
        <w:rPr>
          <w:color w:val="231F20"/>
          <w:w w:val="105"/>
        </w:rPr>
        <w:t>sin</w:t>
      </w:r>
      <w:r>
        <w:rPr>
          <w:color w:val="231F20"/>
          <w:spacing w:val="-7"/>
          <w:w w:val="105"/>
        </w:rPr>
        <w:t> </w:t>
      </w:r>
      <w:r>
        <w:rPr>
          <w:color w:val="231F20"/>
          <w:w w:val="105"/>
        </w:rPr>
        <w:t>documentos.</w:t>
      </w:r>
      <w:r>
        <w:rPr>
          <w:color w:val="231F20"/>
          <w:spacing w:val="-13"/>
          <w:w w:val="105"/>
        </w:rPr>
        <w:t> </w:t>
      </w:r>
      <w:r>
        <w:rPr>
          <w:color w:val="231F20"/>
          <w:w w:val="105"/>
        </w:rPr>
        <w:t>En 2014, Roberto y su familia permanecían en Nezahualcóyotl y no tenían planes</w:t>
      </w:r>
      <w:r>
        <w:rPr>
          <w:color w:val="231F20"/>
          <w:spacing w:val="-11"/>
          <w:w w:val="105"/>
        </w:rPr>
        <w:t> </w:t>
      </w:r>
      <w:r>
        <w:rPr>
          <w:color w:val="231F20"/>
          <w:w w:val="105"/>
        </w:rPr>
        <w:t>de</w:t>
      </w:r>
      <w:r>
        <w:rPr>
          <w:color w:val="231F20"/>
          <w:spacing w:val="-11"/>
          <w:w w:val="105"/>
        </w:rPr>
        <w:t> </w:t>
      </w:r>
      <w:r>
        <w:rPr>
          <w:color w:val="231F20"/>
          <w:w w:val="105"/>
        </w:rPr>
        <w:t>reemigrar</w:t>
      </w:r>
      <w:r>
        <w:rPr>
          <w:color w:val="231F20"/>
          <w:spacing w:val="-11"/>
          <w:w w:val="105"/>
        </w:rPr>
        <w:t> </w:t>
      </w:r>
      <w:r>
        <w:rPr>
          <w:color w:val="231F20"/>
          <w:w w:val="105"/>
        </w:rPr>
        <w:t>a</w:t>
      </w:r>
      <w:r>
        <w:rPr>
          <w:color w:val="231F20"/>
          <w:spacing w:val="-11"/>
          <w:w w:val="105"/>
        </w:rPr>
        <w:t> </w:t>
      </w:r>
      <w:r>
        <w:rPr>
          <w:color w:val="231F20"/>
          <w:w w:val="105"/>
        </w:rPr>
        <w:t>otro</w:t>
      </w:r>
      <w:r>
        <w:rPr>
          <w:color w:val="231F20"/>
          <w:spacing w:val="-11"/>
          <w:w w:val="105"/>
        </w:rPr>
        <w:t> </w:t>
      </w:r>
      <w:r>
        <w:rPr>
          <w:color w:val="231F20"/>
          <w:w w:val="105"/>
        </w:rPr>
        <w:t>sitio.</w:t>
      </w:r>
    </w:p>
    <w:p>
      <w:pPr>
        <w:pStyle w:val="BodyText"/>
        <w:spacing w:line="261" w:lineRule="auto"/>
        <w:ind w:left="1724" w:right="1828" w:firstLine="566"/>
        <w:jc w:val="both"/>
      </w:pPr>
      <w:r>
        <w:rPr>
          <w:rFonts w:ascii="Arial" w:hAnsi="Arial"/>
          <w:color w:val="231F20"/>
          <w:w w:val="105"/>
        </w:rPr>
        <w:t>Moisés</w:t>
      </w:r>
      <w:r>
        <w:rPr>
          <w:rFonts w:ascii="Arial" w:hAnsi="Arial"/>
          <w:color w:val="231F20"/>
          <w:w w:val="105"/>
          <w:position w:val="7"/>
          <w:sz w:val="12"/>
        </w:rPr>
        <w:t>8</w:t>
      </w:r>
      <w:r>
        <w:rPr>
          <w:color w:val="231F20"/>
          <w:w w:val="105"/>
        </w:rPr>
        <w:t>: 23 años, soltero, retornado de Estados Unidos en 2011. Aunque</w:t>
      </w:r>
      <w:r>
        <w:rPr>
          <w:color w:val="231F20"/>
          <w:spacing w:val="-21"/>
          <w:w w:val="105"/>
        </w:rPr>
        <w:t> </w:t>
      </w:r>
      <w:r>
        <w:rPr>
          <w:color w:val="231F20"/>
          <w:w w:val="105"/>
        </w:rPr>
        <w:t>su</w:t>
      </w:r>
      <w:r>
        <w:rPr>
          <w:color w:val="231F20"/>
          <w:spacing w:val="-21"/>
          <w:w w:val="105"/>
        </w:rPr>
        <w:t> </w:t>
      </w:r>
      <w:r>
        <w:rPr>
          <w:color w:val="231F20"/>
          <w:w w:val="105"/>
        </w:rPr>
        <w:t>padre</w:t>
      </w:r>
      <w:r>
        <w:rPr>
          <w:color w:val="231F20"/>
          <w:spacing w:val="-21"/>
          <w:w w:val="105"/>
        </w:rPr>
        <w:t> </w:t>
      </w:r>
      <w:r>
        <w:rPr>
          <w:color w:val="231F20"/>
          <w:w w:val="105"/>
        </w:rPr>
        <w:t>es</w:t>
      </w:r>
      <w:r>
        <w:rPr>
          <w:color w:val="231F20"/>
          <w:spacing w:val="-21"/>
          <w:w w:val="105"/>
        </w:rPr>
        <w:t> </w:t>
      </w:r>
      <w:r>
        <w:rPr>
          <w:color w:val="231F20"/>
          <w:w w:val="105"/>
        </w:rPr>
        <w:t>originario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ciudad</w:t>
      </w:r>
      <w:r>
        <w:rPr>
          <w:color w:val="231F20"/>
          <w:spacing w:val="-21"/>
          <w:w w:val="105"/>
        </w:rPr>
        <w:t> </w:t>
      </w:r>
      <w:r>
        <w:rPr>
          <w:color w:val="231F20"/>
          <w:w w:val="105"/>
        </w:rPr>
        <w:t>de</w:t>
      </w:r>
      <w:r>
        <w:rPr>
          <w:color w:val="231F20"/>
          <w:spacing w:val="-21"/>
          <w:w w:val="105"/>
        </w:rPr>
        <w:t> </w:t>
      </w:r>
      <w:r>
        <w:rPr>
          <w:color w:val="231F20"/>
          <w:w w:val="105"/>
        </w:rPr>
        <w:t>San</w:t>
      </w:r>
      <w:r>
        <w:rPr>
          <w:color w:val="231F20"/>
          <w:spacing w:val="-21"/>
          <w:w w:val="105"/>
        </w:rPr>
        <w:t> </w:t>
      </w:r>
      <w:r>
        <w:rPr>
          <w:color w:val="231F20"/>
          <w:w w:val="105"/>
        </w:rPr>
        <w:t>Luis</w:t>
      </w:r>
      <w:r>
        <w:rPr>
          <w:color w:val="231F20"/>
          <w:spacing w:val="-21"/>
          <w:w w:val="105"/>
        </w:rPr>
        <w:t> </w:t>
      </w:r>
      <w:r>
        <w:rPr>
          <w:color w:val="231F20"/>
          <w:spacing w:val="-3"/>
          <w:w w:val="105"/>
        </w:rPr>
        <w:t>Potosí</w:t>
      </w:r>
      <w:r>
        <w:rPr>
          <w:color w:val="231F20"/>
          <w:spacing w:val="-21"/>
          <w:w w:val="105"/>
        </w:rPr>
        <w:t> </w:t>
      </w:r>
      <w:r>
        <w:rPr>
          <w:color w:val="231F20"/>
          <w:w w:val="105"/>
        </w:rPr>
        <w:t>y</w:t>
      </w:r>
      <w:r>
        <w:rPr>
          <w:color w:val="231F20"/>
          <w:spacing w:val="-21"/>
          <w:w w:val="105"/>
        </w:rPr>
        <w:t> </w:t>
      </w:r>
      <w:r>
        <w:rPr>
          <w:color w:val="231F20"/>
          <w:w w:val="105"/>
        </w:rPr>
        <w:t>su</w:t>
      </w:r>
      <w:r>
        <w:rPr>
          <w:color w:val="231F20"/>
          <w:spacing w:val="-21"/>
          <w:w w:val="105"/>
        </w:rPr>
        <w:t> </w:t>
      </w:r>
      <w:r>
        <w:rPr>
          <w:color w:val="231F20"/>
          <w:w w:val="105"/>
        </w:rPr>
        <w:t>madre</w:t>
      </w:r>
    </w:p>
    <w:p>
      <w:pPr>
        <w:pStyle w:val="BodyText"/>
        <w:spacing w:before="10"/>
        <w:rPr>
          <w:sz w:val="12"/>
        </w:rPr>
      </w:pPr>
      <w:r>
        <w:rPr/>
        <w:pict>
          <v:line style="position:absolute;mso-position-horizontal-relative:page;mso-position-vertical-relative:paragraph;z-index:13264;mso-wrap-distance-left:0;mso-wrap-distance-right:0" from="86.1968pt,9.382726pt" to="199.5828pt,9.382726pt" stroked="true" strokeweight=".25pt" strokecolor="#231f20">
            <w10:wrap type="topAndBottom"/>
          </v:line>
        </w:pict>
      </w:r>
    </w:p>
    <w:p>
      <w:pPr>
        <w:spacing w:before="8"/>
        <w:ind w:left="1723" w:right="0" w:firstLine="0"/>
        <w:jc w:val="left"/>
        <w:rPr>
          <w:rFonts w:ascii="Calibri"/>
          <w:sz w:val="16"/>
        </w:rPr>
      </w:pPr>
      <w:r>
        <w:rPr>
          <w:rFonts w:ascii="Calibri"/>
          <w:color w:val="414042"/>
          <w:w w:val="105"/>
          <w:position w:val="5"/>
          <w:sz w:val="9"/>
        </w:rPr>
        <w:t>8 </w:t>
      </w:r>
      <w:r>
        <w:rPr>
          <w:rFonts w:ascii="Calibri"/>
          <w:color w:val="414042"/>
          <w:w w:val="105"/>
          <w:sz w:val="16"/>
        </w:rPr>
        <w:t>Entrevista realizada el 25 de abril de 2013.</w:t>
      </w:r>
    </w:p>
    <w:p>
      <w:pPr>
        <w:pStyle w:val="BodyText"/>
        <w:rPr>
          <w:rFonts w:ascii="Calibri"/>
          <w:sz w:val="20"/>
        </w:rPr>
      </w:pPr>
    </w:p>
    <w:p>
      <w:pPr>
        <w:pStyle w:val="BodyText"/>
        <w:spacing w:before="10"/>
        <w:rPr>
          <w:rFonts w:ascii="Calibri"/>
          <w:sz w:val="2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6896" from="131.551193pt,3.703715pt" to="131.551193pt,39.506114pt" stroked="true" strokeweight=".35pt" strokecolor="#231f20">
            <w10:wrap type="none"/>
          </v:line>
        </w:pict>
      </w:r>
      <w:r>
        <w:rPr/>
        <w:pict>
          <v:line style="position:absolute;mso-position-horizontal-relative:page;mso-position-vertical-relative:paragraph;z-index:-476824" from="15pt,39.505917pt" to="0pt,39.505917pt" stroked="true" strokeweight=".25pt" strokecolor="#000000">
            <w10:wrap type="none"/>
          </v:line>
        </w:pict>
      </w:r>
      <w:r>
        <w:rPr/>
        <w:pict>
          <v:line style="position:absolute;mso-position-horizontal-relative:page;mso-position-vertical-relative:paragraph;z-index:13384" from="508.890015pt,39.505917pt" to="523.890015pt,39.505917pt" stroked="true" strokeweight=".25pt" strokecolor="#000000">
            <w10:wrap type="none"/>
          </v:line>
        </w:pict>
      </w:r>
      <w:r>
        <w:rPr>
          <w:rFonts w:ascii="Arial" w:hAnsi="Arial"/>
          <w:color w:val="414042"/>
          <w:position w:val="-5"/>
          <w:sz w:val="20"/>
        </w:rPr>
        <w:t>132</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6776" from="405.061005pt,-18.554295pt" to="405.061005pt,16.311579pt" stroked="true" strokeweight=".35pt" strokecolor="#231f20">
            <w10:wrap type="none"/>
          </v:line>
        </w:pict>
      </w:r>
      <w:r>
        <w:rPr/>
        <w:pict>
          <v:line style="position:absolute;mso-position-horizontal-relative:page;mso-position-vertical-relative:paragraph;z-index:13432" from="15pt,-18.554522pt" to="0pt,-18.554522pt" stroked="true" strokeweight=".25pt" strokecolor="#000000">
            <w10:wrap type="none"/>
          </v:line>
        </w:pict>
      </w:r>
      <w:r>
        <w:rPr/>
        <w:pict>
          <v:line style="position:absolute;mso-position-horizontal-relative:page;mso-position-vertical-relative:paragraph;z-index:13456"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133</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rPr>
        <w:t>es originaria de Toluca, Estado de México, él nació en Nezahualcóyotl. Es importante resaltar que ambos padres tienen experiencia migratoria a Estados Unidos. Moisés salió de Nezahualcóyotl en septiembre de 2004 con destino a Los Ángeles, California, a la edad de 14 años. En California radicaban una hermana, cuatro hermanos y su padre. El hermano mayor había emigrado 10 años antes que Moisés (en 1994) y luego se habían sumado los demás. Moisés es el penúltimo de una familia de ocho her- manos. En suma, este joven vivió en California por siete años, aprendió a hablar inglés pues cursó el </w:t>
      </w:r>
      <w:r>
        <w:rPr>
          <w:rFonts w:ascii="Arial" w:hAnsi="Arial"/>
          <w:i/>
          <w:color w:val="231F20"/>
        </w:rPr>
        <w:t>High School </w:t>
      </w:r>
      <w:r>
        <w:rPr>
          <w:color w:val="231F20"/>
        </w:rPr>
        <w:t>en Los Ángeles, y estudió hasta un año en la Universidad, es decir tiene 13 años de   escolaridad.</w:t>
      </w:r>
    </w:p>
    <w:p>
      <w:pPr>
        <w:pStyle w:val="BodyText"/>
        <w:spacing w:line="261" w:lineRule="auto" w:before="1"/>
        <w:ind w:left="1837" w:right="1715" w:firstLine="567"/>
        <w:jc w:val="both"/>
      </w:pPr>
      <w:r>
        <w:rPr>
          <w:color w:val="231F20"/>
          <w:w w:val="105"/>
        </w:rPr>
        <w:t>Moisés</w:t>
      </w:r>
      <w:r>
        <w:rPr>
          <w:color w:val="231F20"/>
          <w:spacing w:val="-27"/>
          <w:w w:val="105"/>
        </w:rPr>
        <w:t> </w:t>
      </w:r>
      <w:r>
        <w:rPr>
          <w:color w:val="231F20"/>
          <w:w w:val="105"/>
        </w:rPr>
        <w:t>cruzó</w:t>
      </w:r>
      <w:r>
        <w:rPr>
          <w:color w:val="231F20"/>
          <w:spacing w:val="-27"/>
          <w:w w:val="105"/>
        </w:rPr>
        <w:t> </w:t>
      </w:r>
      <w:r>
        <w:rPr>
          <w:color w:val="231F20"/>
          <w:w w:val="105"/>
        </w:rPr>
        <w:t>la</w:t>
      </w:r>
      <w:r>
        <w:rPr>
          <w:color w:val="231F20"/>
          <w:spacing w:val="-27"/>
          <w:w w:val="105"/>
        </w:rPr>
        <w:t> </w:t>
      </w:r>
      <w:r>
        <w:rPr>
          <w:color w:val="231F20"/>
          <w:w w:val="105"/>
        </w:rPr>
        <w:t>frontera</w:t>
      </w:r>
      <w:r>
        <w:rPr>
          <w:color w:val="231F20"/>
          <w:spacing w:val="-27"/>
          <w:w w:val="105"/>
        </w:rPr>
        <w:t> </w:t>
      </w:r>
      <w:r>
        <w:rPr>
          <w:color w:val="231F20"/>
          <w:w w:val="105"/>
        </w:rPr>
        <w:t>en</w:t>
      </w:r>
      <w:r>
        <w:rPr>
          <w:color w:val="231F20"/>
          <w:spacing w:val="-30"/>
          <w:w w:val="105"/>
        </w:rPr>
        <w:t> </w:t>
      </w:r>
      <w:r>
        <w:rPr>
          <w:color w:val="231F20"/>
          <w:w w:val="105"/>
        </w:rPr>
        <w:t>Tijuana,</w:t>
      </w:r>
      <w:r>
        <w:rPr>
          <w:color w:val="231F20"/>
          <w:spacing w:val="-31"/>
          <w:w w:val="105"/>
        </w:rPr>
        <w:t> </w:t>
      </w:r>
      <w:r>
        <w:rPr>
          <w:color w:val="231F20"/>
          <w:w w:val="105"/>
        </w:rPr>
        <w:t>Baja</w:t>
      </w:r>
      <w:r>
        <w:rPr>
          <w:color w:val="231F20"/>
          <w:spacing w:val="-27"/>
          <w:w w:val="105"/>
        </w:rPr>
        <w:t> </w:t>
      </w:r>
      <w:r>
        <w:rPr>
          <w:color w:val="231F20"/>
          <w:w w:val="105"/>
        </w:rPr>
        <w:t>California,</w:t>
      </w:r>
      <w:r>
        <w:rPr>
          <w:color w:val="231F20"/>
          <w:spacing w:val="-31"/>
          <w:w w:val="105"/>
        </w:rPr>
        <w:t> </w:t>
      </w:r>
      <w:r>
        <w:rPr>
          <w:color w:val="231F20"/>
          <w:w w:val="105"/>
        </w:rPr>
        <w:t>con</w:t>
      </w:r>
      <w:r>
        <w:rPr>
          <w:color w:val="231F20"/>
          <w:spacing w:val="-27"/>
          <w:w w:val="105"/>
        </w:rPr>
        <w:t> </w:t>
      </w:r>
      <w:r>
        <w:rPr>
          <w:color w:val="231F20"/>
          <w:w w:val="105"/>
        </w:rPr>
        <w:t>una</w:t>
      </w:r>
      <w:r>
        <w:rPr>
          <w:color w:val="231F20"/>
          <w:spacing w:val="-27"/>
          <w:w w:val="105"/>
        </w:rPr>
        <w:t> </w:t>
      </w:r>
      <w:r>
        <w:rPr>
          <w:color w:val="231F20"/>
          <w:w w:val="105"/>
        </w:rPr>
        <w:t>visa</w:t>
      </w:r>
      <w:r>
        <w:rPr>
          <w:color w:val="231F20"/>
          <w:spacing w:val="-27"/>
          <w:w w:val="105"/>
        </w:rPr>
        <w:t> </w:t>
      </w:r>
      <w:r>
        <w:rPr>
          <w:color w:val="231F20"/>
          <w:w w:val="105"/>
        </w:rPr>
        <w:t>de turista.</w:t>
      </w:r>
      <w:r>
        <w:rPr>
          <w:color w:val="231F20"/>
          <w:spacing w:val="-16"/>
          <w:w w:val="105"/>
        </w:rPr>
        <w:t> </w:t>
      </w:r>
      <w:r>
        <w:rPr>
          <w:color w:val="231F20"/>
          <w:w w:val="105"/>
        </w:rPr>
        <w:t>Viajó</w:t>
      </w:r>
      <w:r>
        <w:rPr>
          <w:color w:val="231F20"/>
          <w:spacing w:val="-7"/>
          <w:w w:val="105"/>
        </w:rPr>
        <w:t> </w:t>
      </w:r>
      <w:r>
        <w:rPr>
          <w:color w:val="231F20"/>
          <w:w w:val="105"/>
        </w:rPr>
        <w:t>en</w:t>
      </w:r>
      <w:r>
        <w:rPr>
          <w:color w:val="231F20"/>
          <w:spacing w:val="-7"/>
          <w:w w:val="105"/>
        </w:rPr>
        <w:t> </w:t>
      </w:r>
      <w:r>
        <w:rPr>
          <w:color w:val="231F20"/>
          <w:w w:val="105"/>
        </w:rPr>
        <w:t>avión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Ciudad</w:t>
      </w:r>
      <w:r>
        <w:rPr>
          <w:color w:val="231F20"/>
          <w:spacing w:val="-7"/>
          <w:w w:val="105"/>
        </w:rPr>
        <w:t> </w:t>
      </w:r>
      <w:r>
        <w:rPr>
          <w:color w:val="231F20"/>
          <w:w w:val="105"/>
        </w:rPr>
        <w:t>de</w:t>
      </w:r>
      <w:r>
        <w:rPr>
          <w:color w:val="231F20"/>
          <w:spacing w:val="-7"/>
          <w:w w:val="105"/>
        </w:rPr>
        <w:t> </w:t>
      </w:r>
      <w:r>
        <w:rPr>
          <w:color w:val="231F20"/>
          <w:w w:val="105"/>
        </w:rPr>
        <w:t>México</w:t>
      </w:r>
      <w:r>
        <w:rPr>
          <w:color w:val="231F20"/>
          <w:spacing w:val="-7"/>
          <w:w w:val="105"/>
        </w:rPr>
        <w:t> </w:t>
      </w:r>
      <w:r>
        <w:rPr>
          <w:color w:val="231F20"/>
          <w:w w:val="105"/>
        </w:rPr>
        <w:t>a</w:t>
      </w:r>
      <w:r>
        <w:rPr>
          <w:color w:val="231F20"/>
          <w:spacing w:val="-11"/>
          <w:w w:val="105"/>
        </w:rPr>
        <w:t> </w:t>
      </w:r>
      <w:r>
        <w:rPr>
          <w:color w:val="231F20"/>
          <w:w w:val="105"/>
        </w:rPr>
        <w:t>Tijuana,</w:t>
      </w:r>
      <w:r>
        <w:rPr>
          <w:color w:val="231F20"/>
          <w:spacing w:val="-12"/>
          <w:w w:val="105"/>
        </w:rPr>
        <w:t> </w:t>
      </w:r>
      <w:r>
        <w:rPr>
          <w:color w:val="231F20"/>
          <w:w w:val="105"/>
        </w:rPr>
        <w:t>donde</w:t>
      </w:r>
      <w:r>
        <w:rPr>
          <w:color w:val="231F20"/>
          <w:spacing w:val="-7"/>
          <w:w w:val="105"/>
        </w:rPr>
        <w:t> </w:t>
      </w:r>
      <w:r>
        <w:rPr>
          <w:color w:val="231F20"/>
          <w:w w:val="105"/>
        </w:rPr>
        <w:t>tomó</w:t>
      </w:r>
      <w:r>
        <w:rPr>
          <w:color w:val="231F20"/>
          <w:spacing w:val="-7"/>
          <w:w w:val="105"/>
        </w:rPr>
        <w:t> </w:t>
      </w:r>
      <w:r>
        <w:rPr>
          <w:color w:val="231F20"/>
          <w:w w:val="105"/>
        </w:rPr>
        <w:t>un autobús</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8"/>
          <w:w w:val="105"/>
        </w:rPr>
        <w:t> </w:t>
      </w:r>
      <w:r>
        <w:rPr>
          <w:color w:val="231F20"/>
          <w:w w:val="105"/>
        </w:rPr>
        <w:t>Ángeles,</w:t>
      </w:r>
      <w:r>
        <w:rPr>
          <w:color w:val="231F20"/>
          <w:spacing w:val="-20"/>
          <w:w w:val="105"/>
        </w:rPr>
        <w:t> </w:t>
      </w:r>
      <w:r>
        <w:rPr>
          <w:color w:val="231F20"/>
          <w:w w:val="105"/>
        </w:rPr>
        <w:t>California,</w:t>
      </w:r>
      <w:r>
        <w:rPr>
          <w:color w:val="231F20"/>
          <w:spacing w:val="-20"/>
          <w:w w:val="105"/>
        </w:rPr>
        <w:t> </w:t>
      </w:r>
      <w:r>
        <w:rPr>
          <w:color w:val="231F20"/>
          <w:w w:val="105"/>
        </w:rPr>
        <w:t>pues</w:t>
      </w:r>
      <w:r>
        <w:rPr>
          <w:color w:val="231F20"/>
          <w:spacing w:val="-15"/>
          <w:w w:val="105"/>
        </w:rPr>
        <w:t> </w:t>
      </w:r>
      <w:r>
        <w:rPr>
          <w:color w:val="231F20"/>
          <w:w w:val="105"/>
        </w:rPr>
        <w:t>ahí</w:t>
      </w:r>
      <w:r>
        <w:rPr>
          <w:color w:val="231F20"/>
          <w:spacing w:val="-15"/>
          <w:w w:val="105"/>
        </w:rPr>
        <w:t> </w:t>
      </w:r>
      <w:r>
        <w:rPr>
          <w:color w:val="231F20"/>
          <w:w w:val="105"/>
        </w:rPr>
        <w:t>lo</w:t>
      </w:r>
      <w:r>
        <w:rPr>
          <w:color w:val="231F20"/>
          <w:spacing w:val="-15"/>
          <w:w w:val="105"/>
        </w:rPr>
        <w:t> </w:t>
      </w:r>
      <w:r>
        <w:rPr>
          <w:color w:val="231F20"/>
          <w:w w:val="105"/>
        </w:rPr>
        <w:t>esperaban</w:t>
      </w:r>
      <w:r>
        <w:rPr>
          <w:color w:val="231F20"/>
          <w:spacing w:val="-15"/>
          <w:w w:val="105"/>
        </w:rPr>
        <w:t> </w:t>
      </w:r>
      <w:r>
        <w:rPr>
          <w:color w:val="231F20"/>
          <w:w w:val="105"/>
        </w:rPr>
        <w:t>sus</w:t>
      </w:r>
      <w:r>
        <w:rPr>
          <w:color w:val="231F20"/>
          <w:spacing w:val="-15"/>
          <w:w w:val="105"/>
        </w:rPr>
        <w:t> </w:t>
      </w:r>
      <w:r>
        <w:rPr>
          <w:color w:val="231F20"/>
          <w:w w:val="105"/>
        </w:rPr>
        <w:t>hermanos, quienes</w:t>
      </w:r>
      <w:r>
        <w:rPr>
          <w:color w:val="231F20"/>
          <w:spacing w:val="-11"/>
          <w:w w:val="105"/>
        </w:rPr>
        <w:t> </w:t>
      </w:r>
      <w:r>
        <w:rPr>
          <w:color w:val="231F20"/>
          <w:w w:val="105"/>
        </w:rPr>
        <w:t>vivían</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periferia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ciudad.</w:t>
      </w:r>
      <w:r>
        <w:rPr>
          <w:color w:val="231F20"/>
          <w:spacing w:val="-16"/>
          <w:w w:val="105"/>
        </w:rPr>
        <w:t> </w:t>
      </w:r>
      <w:r>
        <w:rPr>
          <w:color w:val="231F20"/>
          <w:spacing w:val="-4"/>
          <w:w w:val="105"/>
        </w:rPr>
        <w:t>Pasó</w:t>
      </w:r>
      <w:r>
        <w:rPr>
          <w:color w:val="231F20"/>
          <w:spacing w:val="-11"/>
          <w:w w:val="105"/>
        </w:rPr>
        <w:t> </w:t>
      </w:r>
      <w:r>
        <w:rPr>
          <w:color w:val="231F20"/>
          <w:w w:val="105"/>
        </w:rPr>
        <w:t>la</w:t>
      </w:r>
      <w:r>
        <w:rPr>
          <w:color w:val="231F20"/>
          <w:spacing w:val="-11"/>
          <w:w w:val="105"/>
        </w:rPr>
        <w:t> </w:t>
      </w:r>
      <w:r>
        <w:rPr>
          <w:color w:val="231F20"/>
          <w:w w:val="105"/>
        </w:rPr>
        <w:t>frontera</w:t>
      </w:r>
      <w:r>
        <w:rPr>
          <w:color w:val="231F20"/>
          <w:spacing w:val="-11"/>
          <w:w w:val="105"/>
        </w:rPr>
        <w:t> </w:t>
      </w:r>
      <w:r>
        <w:rPr>
          <w:color w:val="231F20"/>
          <w:w w:val="105"/>
        </w:rPr>
        <w:t>acompañado de</w:t>
      </w:r>
      <w:r>
        <w:rPr>
          <w:color w:val="231F20"/>
          <w:spacing w:val="-3"/>
          <w:w w:val="105"/>
        </w:rPr>
        <w:t> </w:t>
      </w:r>
      <w:r>
        <w:rPr>
          <w:color w:val="231F20"/>
          <w:w w:val="105"/>
        </w:rPr>
        <w:t>un</w:t>
      </w:r>
      <w:r>
        <w:rPr>
          <w:color w:val="231F20"/>
          <w:spacing w:val="-3"/>
          <w:w w:val="105"/>
        </w:rPr>
        <w:t> </w:t>
      </w:r>
      <w:r>
        <w:rPr>
          <w:color w:val="231F20"/>
          <w:w w:val="105"/>
        </w:rPr>
        <w:t>sobrino</w:t>
      </w:r>
      <w:r>
        <w:rPr>
          <w:color w:val="231F20"/>
          <w:spacing w:val="-3"/>
          <w:w w:val="105"/>
        </w:rPr>
        <w:t> </w:t>
      </w:r>
      <w:r>
        <w:rPr>
          <w:color w:val="231F20"/>
          <w:w w:val="105"/>
        </w:rPr>
        <w:t>menor</w:t>
      </w:r>
      <w:r>
        <w:rPr>
          <w:color w:val="231F20"/>
          <w:spacing w:val="-3"/>
          <w:w w:val="105"/>
        </w:rPr>
        <w:t> </w:t>
      </w:r>
      <w:r>
        <w:rPr>
          <w:color w:val="231F20"/>
          <w:w w:val="105"/>
        </w:rPr>
        <w:t>que</w:t>
      </w:r>
      <w:r>
        <w:rPr>
          <w:color w:val="231F20"/>
          <w:spacing w:val="-3"/>
          <w:w w:val="105"/>
        </w:rPr>
        <w:t> </w:t>
      </w:r>
      <w:r>
        <w:rPr>
          <w:color w:val="231F20"/>
          <w:w w:val="105"/>
        </w:rPr>
        <w:t>contaba</w:t>
      </w:r>
      <w:r>
        <w:rPr>
          <w:color w:val="231F20"/>
          <w:spacing w:val="-3"/>
          <w:w w:val="105"/>
        </w:rPr>
        <w:t> </w:t>
      </w:r>
      <w:r>
        <w:rPr>
          <w:color w:val="231F20"/>
          <w:w w:val="105"/>
        </w:rPr>
        <w:t>con</w:t>
      </w:r>
      <w:r>
        <w:rPr>
          <w:color w:val="231F20"/>
          <w:spacing w:val="-3"/>
          <w:w w:val="105"/>
        </w:rPr>
        <w:t> </w:t>
      </w:r>
      <w:r>
        <w:rPr>
          <w:color w:val="231F20"/>
          <w:w w:val="105"/>
        </w:rPr>
        <w:t>una</w:t>
      </w:r>
      <w:r>
        <w:rPr>
          <w:color w:val="231F20"/>
          <w:spacing w:val="-3"/>
          <w:w w:val="105"/>
        </w:rPr>
        <w:t> </w:t>
      </w:r>
      <w:r>
        <w:rPr>
          <w:color w:val="231F20"/>
          <w:w w:val="105"/>
        </w:rPr>
        <w:t>visa</w:t>
      </w:r>
      <w:r>
        <w:rPr>
          <w:color w:val="231F20"/>
          <w:spacing w:val="-3"/>
          <w:w w:val="105"/>
        </w:rPr>
        <w:t> </w:t>
      </w:r>
      <w:r>
        <w:rPr>
          <w:color w:val="231F20"/>
          <w:w w:val="105"/>
        </w:rPr>
        <w:t>de</w:t>
      </w:r>
      <w:r>
        <w:rPr>
          <w:color w:val="231F20"/>
          <w:spacing w:val="-3"/>
          <w:w w:val="105"/>
        </w:rPr>
        <w:t> </w:t>
      </w:r>
      <w:r>
        <w:rPr>
          <w:color w:val="231F20"/>
          <w:w w:val="105"/>
        </w:rPr>
        <w:t>otra</w:t>
      </w:r>
      <w:r>
        <w:rPr>
          <w:color w:val="231F20"/>
          <w:spacing w:val="-3"/>
          <w:w w:val="105"/>
        </w:rPr>
        <w:t> </w:t>
      </w:r>
      <w:r>
        <w:rPr>
          <w:color w:val="231F20"/>
          <w:w w:val="105"/>
        </w:rPr>
        <w:t>persona,</w:t>
      </w:r>
      <w:r>
        <w:rPr>
          <w:color w:val="231F20"/>
          <w:spacing w:val="-9"/>
          <w:w w:val="105"/>
        </w:rPr>
        <w:t> </w:t>
      </w:r>
      <w:r>
        <w:rPr>
          <w:color w:val="231F20"/>
          <w:w w:val="105"/>
        </w:rPr>
        <w:t>ya</w:t>
      </w:r>
      <w:r>
        <w:rPr>
          <w:color w:val="231F20"/>
          <w:spacing w:val="-3"/>
          <w:w w:val="105"/>
        </w:rPr>
        <w:t> </w:t>
      </w:r>
      <w:r>
        <w:rPr>
          <w:color w:val="231F20"/>
          <w:w w:val="105"/>
        </w:rPr>
        <w:t>que sus</w:t>
      </w:r>
      <w:r>
        <w:rPr>
          <w:color w:val="231F20"/>
          <w:spacing w:val="-22"/>
          <w:w w:val="105"/>
        </w:rPr>
        <w:t> </w:t>
      </w:r>
      <w:r>
        <w:rPr>
          <w:color w:val="231F20"/>
          <w:w w:val="105"/>
        </w:rPr>
        <w:t>padres</w:t>
      </w:r>
      <w:r>
        <w:rPr>
          <w:color w:val="231F20"/>
          <w:spacing w:val="-22"/>
          <w:w w:val="105"/>
        </w:rPr>
        <w:t> </w:t>
      </w:r>
      <w:r>
        <w:rPr>
          <w:color w:val="231F20"/>
          <w:w w:val="105"/>
        </w:rPr>
        <w:t>también</w:t>
      </w:r>
      <w:r>
        <w:rPr>
          <w:color w:val="231F20"/>
          <w:spacing w:val="-22"/>
          <w:w w:val="105"/>
        </w:rPr>
        <w:t> </w:t>
      </w:r>
      <w:r>
        <w:rPr>
          <w:color w:val="231F20"/>
          <w:w w:val="105"/>
        </w:rPr>
        <w:t>vivían</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5"/>
          <w:w w:val="105"/>
        </w:rPr>
        <w:t> </w:t>
      </w:r>
      <w:r>
        <w:rPr>
          <w:color w:val="231F20"/>
          <w:w w:val="105"/>
        </w:rPr>
        <w:t>Ángeles.</w:t>
      </w:r>
      <w:r>
        <w:rPr>
          <w:color w:val="231F20"/>
          <w:spacing w:val="-27"/>
          <w:w w:val="105"/>
        </w:rPr>
        <w:t> </w:t>
      </w:r>
      <w:r>
        <w:rPr>
          <w:color w:val="231F20"/>
          <w:w w:val="105"/>
        </w:rPr>
        <w:t>Es</w:t>
      </w:r>
      <w:r>
        <w:rPr>
          <w:color w:val="231F20"/>
          <w:spacing w:val="-22"/>
          <w:w w:val="105"/>
        </w:rPr>
        <w:t> </w:t>
      </w:r>
      <w:r>
        <w:rPr>
          <w:color w:val="231F20"/>
          <w:w w:val="105"/>
        </w:rPr>
        <w:t>importante</w:t>
      </w:r>
      <w:r>
        <w:rPr>
          <w:color w:val="231F20"/>
          <w:spacing w:val="-22"/>
          <w:w w:val="105"/>
        </w:rPr>
        <w:t> </w:t>
      </w:r>
      <w:r>
        <w:rPr>
          <w:color w:val="231F20"/>
          <w:w w:val="105"/>
        </w:rPr>
        <w:t>destacar</w:t>
      </w:r>
      <w:r>
        <w:rPr>
          <w:color w:val="231F20"/>
          <w:spacing w:val="-22"/>
          <w:w w:val="105"/>
        </w:rPr>
        <w:t> </w:t>
      </w:r>
      <w:r>
        <w:rPr>
          <w:color w:val="231F20"/>
          <w:w w:val="105"/>
        </w:rPr>
        <w:t>que</w:t>
      </w:r>
      <w:r>
        <w:rPr>
          <w:color w:val="231F20"/>
          <w:spacing w:val="-22"/>
          <w:w w:val="105"/>
        </w:rPr>
        <w:t> </w:t>
      </w:r>
      <w:r>
        <w:rPr>
          <w:color w:val="231F20"/>
          <w:w w:val="105"/>
        </w:rPr>
        <w:t>al menos</w:t>
      </w:r>
      <w:r>
        <w:rPr>
          <w:color w:val="231F20"/>
          <w:spacing w:val="-23"/>
          <w:w w:val="105"/>
        </w:rPr>
        <w:t> </w:t>
      </w:r>
      <w:r>
        <w:rPr>
          <w:color w:val="231F20"/>
          <w:w w:val="105"/>
        </w:rPr>
        <w:t>otras</w:t>
      </w:r>
      <w:r>
        <w:rPr>
          <w:color w:val="231F20"/>
          <w:spacing w:val="-23"/>
          <w:w w:val="105"/>
        </w:rPr>
        <w:t> </w:t>
      </w:r>
      <w:r>
        <w:rPr>
          <w:color w:val="231F20"/>
          <w:w w:val="105"/>
        </w:rPr>
        <w:t>cinco</w:t>
      </w:r>
      <w:r>
        <w:rPr>
          <w:color w:val="231F20"/>
          <w:spacing w:val="-23"/>
          <w:w w:val="105"/>
        </w:rPr>
        <w:t> </w:t>
      </w:r>
      <w:r>
        <w:rPr>
          <w:color w:val="231F20"/>
          <w:w w:val="105"/>
        </w:rPr>
        <w:t>personas</w:t>
      </w:r>
      <w:r>
        <w:rPr>
          <w:color w:val="231F20"/>
          <w:spacing w:val="-23"/>
          <w:w w:val="105"/>
        </w:rPr>
        <w:t> </w:t>
      </w:r>
      <w:r>
        <w:rPr>
          <w:color w:val="231F20"/>
          <w:w w:val="105"/>
        </w:rPr>
        <w:t>que</w:t>
      </w:r>
      <w:r>
        <w:rPr>
          <w:color w:val="231F20"/>
          <w:spacing w:val="-23"/>
          <w:w w:val="105"/>
        </w:rPr>
        <w:t> </w:t>
      </w:r>
      <w:r>
        <w:rPr>
          <w:color w:val="231F20"/>
          <w:w w:val="105"/>
        </w:rPr>
        <w:t>realizaron</w:t>
      </w:r>
      <w:r>
        <w:rPr>
          <w:color w:val="231F20"/>
          <w:spacing w:val="-23"/>
          <w:w w:val="105"/>
        </w:rPr>
        <w:t> </w:t>
      </w:r>
      <w:r>
        <w:rPr>
          <w:color w:val="231F20"/>
          <w:w w:val="105"/>
        </w:rPr>
        <w:t>el</w:t>
      </w:r>
      <w:r>
        <w:rPr>
          <w:color w:val="231F20"/>
          <w:spacing w:val="-23"/>
          <w:w w:val="105"/>
        </w:rPr>
        <w:t> </w:t>
      </w:r>
      <w:r>
        <w:rPr>
          <w:color w:val="231F20"/>
          <w:w w:val="105"/>
        </w:rPr>
        <w:t>viaje</w:t>
      </w:r>
      <w:r>
        <w:rPr>
          <w:color w:val="231F20"/>
          <w:spacing w:val="-23"/>
          <w:w w:val="105"/>
        </w:rPr>
        <w:t> </w:t>
      </w:r>
      <w:r>
        <w:rPr>
          <w:color w:val="231F20"/>
          <w:w w:val="105"/>
        </w:rPr>
        <w:t>también</w:t>
      </w:r>
      <w:r>
        <w:rPr>
          <w:color w:val="231F20"/>
          <w:spacing w:val="-23"/>
          <w:w w:val="105"/>
        </w:rPr>
        <w:t> </w:t>
      </w:r>
      <w:r>
        <w:rPr>
          <w:color w:val="231F20"/>
          <w:w w:val="105"/>
        </w:rPr>
        <w:t>residían</w:t>
      </w:r>
      <w:r>
        <w:rPr>
          <w:color w:val="231F20"/>
          <w:spacing w:val="-23"/>
          <w:w w:val="105"/>
        </w:rPr>
        <w:t> </w:t>
      </w:r>
      <w:r>
        <w:rPr>
          <w:color w:val="231F20"/>
          <w:w w:val="105"/>
        </w:rPr>
        <w:t>en</w:t>
      </w:r>
      <w:r>
        <w:rPr>
          <w:color w:val="231F20"/>
          <w:spacing w:val="-23"/>
          <w:w w:val="105"/>
        </w:rPr>
        <w:t> </w:t>
      </w:r>
      <w:r>
        <w:rPr>
          <w:color w:val="231F20"/>
          <w:w w:val="105"/>
        </w:rPr>
        <w:t>la misma</w:t>
      </w:r>
      <w:r>
        <w:rPr>
          <w:color w:val="231F20"/>
          <w:spacing w:val="-27"/>
          <w:w w:val="105"/>
        </w:rPr>
        <w:t> </w:t>
      </w:r>
      <w:r>
        <w:rPr>
          <w:color w:val="231F20"/>
          <w:w w:val="105"/>
        </w:rPr>
        <w:t>calle</w:t>
      </w:r>
      <w:r>
        <w:rPr>
          <w:color w:val="231F20"/>
          <w:spacing w:val="-27"/>
          <w:w w:val="105"/>
        </w:rPr>
        <w:t> </w:t>
      </w:r>
      <w:r>
        <w:rPr>
          <w:color w:val="231F20"/>
          <w:w w:val="105"/>
        </w:rPr>
        <w:t>donde</w:t>
      </w:r>
      <w:r>
        <w:rPr>
          <w:color w:val="231F20"/>
          <w:spacing w:val="-27"/>
          <w:w w:val="105"/>
        </w:rPr>
        <w:t> </w:t>
      </w:r>
      <w:r>
        <w:rPr>
          <w:color w:val="231F20"/>
          <w:w w:val="105"/>
        </w:rPr>
        <w:t>él</w:t>
      </w:r>
      <w:r>
        <w:rPr>
          <w:color w:val="231F20"/>
          <w:spacing w:val="-27"/>
          <w:w w:val="105"/>
        </w:rPr>
        <w:t> </w:t>
      </w:r>
      <w:r>
        <w:rPr>
          <w:color w:val="231F20"/>
          <w:w w:val="105"/>
        </w:rPr>
        <w:t>vivía,</w:t>
      </w:r>
      <w:r>
        <w:rPr>
          <w:color w:val="231F20"/>
          <w:spacing w:val="-31"/>
          <w:w w:val="105"/>
        </w:rPr>
        <w:t> </w:t>
      </w:r>
      <w:r>
        <w:rPr>
          <w:color w:val="231F20"/>
          <w:w w:val="105"/>
        </w:rPr>
        <w:t>es</w:t>
      </w:r>
      <w:r>
        <w:rPr>
          <w:color w:val="231F20"/>
          <w:spacing w:val="-27"/>
          <w:w w:val="105"/>
        </w:rPr>
        <w:t> </w:t>
      </w:r>
      <w:r>
        <w:rPr>
          <w:color w:val="231F20"/>
          <w:w w:val="105"/>
        </w:rPr>
        <w:t>decir,</w:t>
      </w:r>
      <w:r>
        <w:rPr>
          <w:color w:val="231F20"/>
          <w:spacing w:val="-31"/>
          <w:w w:val="105"/>
        </w:rPr>
        <w:t> </w:t>
      </w:r>
      <w:r>
        <w:rPr>
          <w:color w:val="231F20"/>
          <w:w w:val="105"/>
        </w:rPr>
        <w:t>eran</w:t>
      </w:r>
      <w:r>
        <w:rPr>
          <w:color w:val="231F20"/>
          <w:spacing w:val="-27"/>
          <w:w w:val="105"/>
        </w:rPr>
        <w:t> </w:t>
      </w:r>
      <w:r>
        <w:rPr>
          <w:color w:val="231F20"/>
          <w:w w:val="105"/>
        </w:rPr>
        <w:t>vecinos</w:t>
      </w:r>
      <w:r>
        <w:rPr>
          <w:color w:val="231F20"/>
          <w:spacing w:val="-27"/>
          <w:w w:val="105"/>
        </w:rPr>
        <w:t> </w:t>
      </w:r>
      <w:r>
        <w:rPr>
          <w:color w:val="231F20"/>
          <w:w w:val="105"/>
        </w:rPr>
        <w:t>y</w:t>
      </w:r>
      <w:r>
        <w:rPr>
          <w:color w:val="231F20"/>
          <w:spacing w:val="-27"/>
          <w:w w:val="105"/>
        </w:rPr>
        <w:t> </w:t>
      </w:r>
      <w:r>
        <w:rPr>
          <w:color w:val="231F20"/>
          <w:w w:val="105"/>
        </w:rPr>
        <w:t>parientes</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colonia Esperanza.</w:t>
      </w:r>
      <w:r>
        <w:rPr>
          <w:color w:val="231F20"/>
          <w:spacing w:val="-26"/>
          <w:w w:val="105"/>
        </w:rPr>
        <w:t> </w:t>
      </w:r>
      <w:r>
        <w:rPr>
          <w:color w:val="231F20"/>
          <w:w w:val="105"/>
        </w:rPr>
        <w:t>Estos</w:t>
      </w:r>
      <w:r>
        <w:rPr>
          <w:color w:val="231F20"/>
          <w:spacing w:val="-22"/>
          <w:w w:val="105"/>
        </w:rPr>
        <w:t> </w:t>
      </w:r>
      <w:r>
        <w:rPr>
          <w:color w:val="231F20"/>
          <w:w w:val="105"/>
        </w:rPr>
        <w:t>acompañantes</w:t>
      </w:r>
      <w:r>
        <w:rPr>
          <w:color w:val="231F20"/>
          <w:spacing w:val="-22"/>
          <w:w w:val="105"/>
        </w:rPr>
        <w:t> </w:t>
      </w:r>
      <w:r>
        <w:rPr>
          <w:color w:val="231F20"/>
          <w:w w:val="105"/>
        </w:rPr>
        <w:t>tenían</w:t>
      </w:r>
      <w:r>
        <w:rPr>
          <w:color w:val="231F20"/>
          <w:spacing w:val="-22"/>
          <w:w w:val="105"/>
        </w:rPr>
        <w:t> </w:t>
      </w:r>
      <w:r>
        <w:rPr>
          <w:color w:val="231F20"/>
          <w:w w:val="105"/>
        </w:rPr>
        <w:t>visas</w:t>
      </w:r>
      <w:r>
        <w:rPr>
          <w:color w:val="231F20"/>
          <w:spacing w:val="-22"/>
          <w:w w:val="105"/>
        </w:rPr>
        <w:t> </w:t>
      </w:r>
      <w:r>
        <w:rPr>
          <w:color w:val="231F20"/>
          <w:w w:val="105"/>
        </w:rPr>
        <w:t>de</w:t>
      </w:r>
      <w:r>
        <w:rPr>
          <w:color w:val="231F20"/>
          <w:spacing w:val="-22"/>
          <w:w w:val="105"/>
        </w:rPr>
        <w:t> </w:t>
      </w:r>
      <w:r>
        <w:rPr>
          <w:color w:val="231F20"/>
          <w:w w:val="105"/>
        </w:rPr>
        <w:t>turista</w:t>
      </w:r>
      <w:r>
        <w:rPr>
          <w:color w:val="231F20"/>
          <w:spacing w:val="-22"/>
          <w:w w:val="105"/>
        </w:rPr>
        <w:t> </w:t>
      </w:r>
      <w:r>
        <w:rPr>
          <w:color w:val="231F20"/>
          <w:w w:val="105"/>
        </w:rPr>
        <w:t>–algunas</w:t>
      </w:r>
      <w:r>
        <w:rPr>
          <w:color w:val="231F20"/>
          <w:spacing w:val="-22"/>
          <w:w w:val="105"/>
        </w:rPr>
        <w:t> </w:t>
      </w:r>
      <w:r>
        <w:rPr>
          <w:color w:val="231F20"/>
          <w:w w:val="105"/>
        </w:rPr>
        <w:t>propias y otras prestadas–, aunque el objetivo de estos era quedarse a trabajar allá.</w:t>
      </w:r>
      <w:r>
        <w:rPr>
          <w:color w:val="231F20"/>
          <w:spacing w:val="-12"/>
          <w:w w:val="105"/>
        </w:rPr>
        <w:t> </w:t>
      </w:r>
      <w:r>
        <w:rPr>
          <w:color w:val="231F20"/>
          <w:w w:val="105"/>
        </w:rPr>
        <w:t>Moisés</w:t>
      </w:r>
      <w:r>
        <w:rPr>
          <w:color w:val="231F20"/>
          <w:spacing w:val="-7"/>
          <w:w w:val="105"/>
        </w:rPr>
        <w:t> </w:t>
      </w:r>
      <w:r>
        <w:rPr>
          <w:color w:val="231F20"/>
          <w:w w:val="105"/>
        </w:rPr>
        <w:t>cuenta</w:t>
      </w:r>
      <w:r>
        <w:rPr>
          <w:color w:val="231F20"/>
          <w:spacing w:val="-7"/>
          <w:w w:val="105"/>
        </w:rPr>
        <w:t> </w:t>
      </w:r>
      <w:r>
        <w:rPr>
          <w:color w:val="231F20"/>
          <w:w w:val="105"/>
        </w:rPr>
        <w:t>que</w:t>
      </w:r>
      <w:r>
        <w:rPr>
          <w:color w:val="231F20"/>
          <w:spacing w:val="-7"/>
          <w:w w:val="105"/>
        </w:rPr>
        <w:t> </w:t>
      </w:r>
      <w:r>
        <w:rPr>
          <w:color w:val="231F20"/>
          <w:w w:val="105"/>
        </w:rPr>
        <w:t>no</w:t>
      </w:r>
      <w:r>
        <w:rPr>
          <w:color w:val="231F20"/>
          <w:spacing w:val="-7"/>
          <w:w w:val="105"/>
        </w:rPr>
        <w:t> </w:t>
      </w:r>
      <w:r>
        <w:rPr>
          <w:color w:val="231F20"/>
          <w:w w:val="105"/>
        </w:rPr>
        <w:t>tenía</w:t>
      </w:r>
      <w:r>
        <w:rPr>
          <w:color w:val="231F20"/>
          <w:spacing w:val="-7"/>
          <w:w w:val="105"/>
        </w:rPr>
        <w:t> </w:t>
      </w:r>
      <w:r>
        <w:rPr>
          <w:color w:val="231F20"/>
          <w:w w:val="105"/>
        </w:rPr>
        <w:t>un</w:t>
      </w:r>
      <w:r>
        <w:rPr>
          <w:color w:val="231F20"/>
          <w:spacing w:val="-7"/>
          <w:w w:val="105"/>
        </w:rPr>
        <w:t> </w:t>
      </w:r>
      <w:r>
        <w:rPr>
          <w:color w:val="231F20"/>
          <w:w w:val="105"/>
        </w:rPr>
        <w:t>proyecto</w:t>
      </w:r>
      <w:r>
        <w:rPr>
          <w:color w:val="231F20"/>
          <w:spacing w:val="-7"/>
          <w:w w:val="105"/>
        </w:rPr>
        <w:t> </w:t>
      </w:r>
      <w:r>
        <w:rPr>
          <w:color w:val="231F20"/>
          <w:w w:val="105"/>
        </w:rPr>
        <w:t>específico</w:t>
      </w:r>
      <w:r>
        <w:rPr>
          <w:color w:val="231F20"/>
          <w:spacing w:val="-7"/>
          <w:w w:val="105"/>
        </w:rPr>
        <w:t> </w:t>
      </w:r>
      <w:r>
        <w:rPr>
          <w:color w:val="231F20"/>
          <w:w w:val="105"/>
        </w:rPr>
        <w:t>cuando</w:t>
      </w:r>
      <w:r>
        <w:rPr>
          <w:color w:val="231F20"/>
          <w:spacing w:val="-7"/>
          <w:w w:val="105"/>
        </w:rPr>
        <w:t> </w:t>
      </w:r>
      <w:r>
        <w:rPr>
          <w:color w:val="231F20"/>
          <w:w w:val="105"/>
        </w:rPr>
        <w:t>emigró, sólo</w:t>
      </w:r>
      <w:r>
        <w:rPr>
          <w:color w:val="231F20"/>
          <w:spacing w:val="-10"/>
          <w:w w:val="105"/>
        </w:rPr>
        <w:t> </w:t>
      </w:r>
      <w:r>
        <w:rPr>
          <w:color w:val="231F20"/>
          <w:w w:val="105"/>
        </w:rPr>
        <w:t>lo</w:t>
      </w:r>
      <w:r>
        <w:rPr>
          <w:color w:val="231F20"/>
          <w:spacing w:val="-10"/>
          <w:w w:val="105"/>
        </w:rPr>
        <w:t> </w:t>
      </w:r>
      <w:r>
        <w:rPr>
          <w:color w:val="231F20"/>
          <w:w w:val="105"/>
        </w:rPr>
        <w:t>invitaron</w:t>
      </w:r>
      <w:r>
        <w:rPr>
          <w:color w:val="231F20"/>
          <w:spacing w:val="-10"/>
          <w:w w:val="105"/>
        </w:rPr>
        <w:t> </w:t>
      </w:r>
      <w:r>
        <w:rPr>
          <w:color w:val="231F20"/>
          <w:w w:val="105"/>
        </w:rPr>
        <w:t>sus</w:t>
      </w:r>
      <w:r>
        <w:rPr>
          <w:color w:val="231F20"/>
          <w:spacing w:val="-10"/>
          <w:w w:val="105"/>
        </w:rPr>
        <w:t> </w:t>
      </w:r>
      <w:r>
        <w:rPr>
          <w:color w:val="231F20"/>
          <w:w w:val="105"/>
        </w:rPr>
        <w:t>hermanos</w:t>
      </w:r>
      <w:r>
        <w:rPr>
          <w:color w:val="231F20"/>
          <w:spacing w:val="-10"/>
          <w:w w:val="105"/>
        </w:rPr>
        <w:t> </w:t>
      </w:r>
      <w:r>
        <w:rPr>
          <w:color w:val="231F20"/>
          <w:w w:val="105"/>
        </w:rPr>
        <w:t>y</w:t>
      </w:r>
      <w:r>
        <w:rPr>
          <w:color w:val="231F20"/>
          <w:spacing w:val="-10"/>
          <w:w w:val="105"/>
        </w:rPr>
        <w:t> </w:t>
      </w:r>
      <w:r>
        <w:rPr>
          <w:color w:val="231F20"/>
          <w:w w:val="105"/>
        </w:rPr>
        <w:t>le</w:t>
      </w:r>
      <w:r>
        <w:rPr>
          <w:color w:val="231F20"/>
          <w:spacing w:val="-10"/>
          <w:w w:val="105"/>
        </w:rPr>
        <w:t> </w:t>
      </w:r>
      <w:r>
        <w:rPr>
          <w:color w:val="231F20"/>
          <w:w w:val="105"/>
        </w:rPr>
        <w:t>pareció</w:t>
      </w:r>
      <w:r>
        <w:rPr>
          <w:color w:val="231F20"/>
          <w:spacing w:val="-10"/>
          <w:w w:val="105"/>
        </w:rPr>
        <w:t> </w:t>
      </w:r>
      <w:r>
        <w:rPr>
          <w:color w:val="231F20"/>
          <w:w w:val="105"/>
        </w:rPr>
        <w:t>que</w:t>
      </w:r>
      <w:r>
        <w:rPr>
          <w:color w:val="231F20"/>
          <w:spacing w:val="-10"/>
          <w:w w:val="105"/>
        </w:rPr>
        <w:t> </w:t>
      </w:r>
      <w:r>
        <w:rPr>
          <w:color w:val="231F20"/>
          <w:w w:val="105"/>
        </w:rPr>
        <w:t>debía</w:t>
      </w:r>
      <w:r>
        <w:rPr>
          <w:color w:val="231F20"/>
          <w:spacing w:val="-10"/>
          <w:w w:val="105"/>
        </w:rPr>
        <w:t> </w:t>
      </w:r>
      <w:r>
        <w:rPr>
          <w:color w:val="231F20"/>
          <w:w w:val="105"/>
        </w:rPr>
        <w:t>ir</w:t>
      </w:r>
      <w:r>
        <w:rPr>
          <w:color w:val="231F20"/>
          <w:spacing w:val="-10"/>
          <w:w w:val="105"/>
        </w:rPr>
        <w:t> </w:t>
      </w:r>
      <w:r>
        <w:rPr>
          <w:color w:val="231F20"/>
          <w:w w:val="105"/>
        </w:rPr>
        <w:t>a</w:t>
      </w:r>
      <w:r>
        <w:rPr>
          <w:color w:val="231F20"/>
          <w:spacing w:val="-10"/>
          <w:w w:val="105"/>
        </w:rPr>
        <w:t> </w:t>
      </w:r>
      <w:r>
        <w:rPr>
          <w:color w:val="231F20"/>
          <w:w w:val="105"/>
        </w:rPr>
        <w:t>“conocer</w:t>
      </w:r>
      <w:r>
        <w:rPr>
          <w:color w:val="231F20"/>
          <w:spacing w:val="-10"/>
          <w:w w:val="105"/>
        </w:rPr>
        <w:t> </w:t>
      </w:r>
      <w:r>
        <w:rPr>
          <w:color w:val="231F20"/>
          <w:w w:val="105"/>
        </w:rPr>
        <w:t>Esta- dos</w:t>
      </w:r>
      <w:r>
        <w:rPr>
          <w:color w:val="231F20"/>
          <w:spacing w:val="-10"/>
          <w:w w:val="105"/>
        </w:rPr>
        <w:t> </w:t>
      </w:r>
      <w:r>
        <w:rPr>
          <w:color w:val="231F20"/>
          <w:spacing w:val="-4"/>
          <w:w w:val="105"/>
        </w:rPr>
        <w:t>Unidos”.</w:t>
      </w:r>
      <w:r>
        <w:rPr>
          <w:color w:val="231F20"/>
          <w:spacing w:val="-16"/>
          <w:w w:val="105"/>
        </w:rPr>
        <w:t> </w:t>
      </w:r>
      <w:r>
        <w:rPr>
          <w:color w:val="231F20"/>
          <w:w w:val="105"/>
        </w:rPr>
        <w:t>Durante</w:t>
      </w:r>
      <w:r>
        <w:rPr>
          <w:color w:val="231F20"/>
          <w:spacing w:val="-10"/>
          <w:w w:val="105"/>
        </w:rPr>
        <w:t> </w:t>
      </w:r>
      <w:r>
        <w:rPr>
          <w:color w:val="231F20"/>
          <w:w w:val="105"/>
        </w:rPr>
        <w:t>este</w:t>
      </w:r>
      <w:r>
        <w:rPr>
          <w:color w:val="231F20"/>
          <w:spacing w:val="-10"/>
          <w:w w:val="105"/>
        </w:rPr>
        <w:t> </w:t>
      </w:r>
      <w:r>
        <w:rPr>
          <w:color w:val="231F20"/>
          <w:w w:val="105"/>
        </w:rPr>
        <w:t>periodo</w:t>
      </w:r>
      <w:r>
        <w:rPr>
          <w:color w:val="231F20"/>
          <w:spacing w:val="-10"/>
          <w:w w:val="105"/>
        </w:rPr>
        <w:t> </w:t>
      </w:r>
      <w:r>
        <w:rPr>
          <w:color w:val="231F20"/>
          <w:w w:val="105"/>
        </w:rPr>
        <w:t>de</w:t>
      </w:r>
      <w:r>
        <w:rPr>
          <w:color w:val="231F20"/>
          <w:spacing w:val="-10"/>
          <w:w w:val="105"/>
        </w:rPr>
        <w:t> </w:t>
      </w:r>
      <w:r>
        <w:rPr>
          <w:color w:val="231F20"/>
          <w:w w:val="105"/>
        </w:rPr>
        <w:t>siete</w:t>
      </w:r>
      <w:r>
        <w:rPr>
          <w:color w:val="231F20"/>
          <w:spacing w:val="-10"/>
          <w:w w:val="105"/>
        </w:rPr>
        <w:t> </w:t>
      </w:r>
      <w:r>
        <w:rPr>
          <w:color w:val="231F20"/>
          <w:w w:val="105"/>
        </w:rPr>
        <w:t>años</w:t>
      </w:r>
      <w:r>
        <w:rPr>
          <w:color w:val="231F20"/>
          <w:spacing w:val="-10"/>
          <w:w w:val="105"/>
        </w:rPr>
        <w:t> </w:t>
      </w:r>
      <w:r>
        <w:rPr>
          <w:color w:val="231F20"/>
          <w:w w:val="105"/>
        </w:rPr>
        <w:t>de</w:t>
      </w:r>
      <w:r>
        <w:rPr>
          <w:color w:val="231F20"/>
          <w:spacing w:val="-10"/>
          <w:w w:val="105"/>
        </w:rPr>
        <w:t> </w:t>
      </w:r>
      <w:r>
        <w:rPr>
          <w:color w:val="231F20"/>
          <w:w w:val="105"/>
        </w:rPr>
        <w:t>estancia</w:t>
      </w:r>
      <w:r>
        <w:rPr>
          <w:color w:val="231F20"/>
          <w:spacing w:val="-10"/>
          <w:w w:val="105"/>
        </w:rPr>
        <w:t> </w:t>
      </w:r>
      <w:r>
        <w:rPr>
          <w:color w:val="231F20"/>
          <w:w w:val="105"/>
        </w:rPr>
        <w:t>en</w:t>
      </w:r>
      <w:r>
        <w:rPr>
          <w:color w:val="231F20"/>
          <w:spacing w:val="-10"/>
          <w:w w:val="105"/>
        </w:rPr>
        <w:t> </w:t>
      </w:r>
      <w:r>
        <w:rPr>
          <w:color w:val="231F20"/>
          <w:w w:val="105"/>
        </w:rPr>
        <w:t>Estados Unidos, Moisés sólo realizó un viaje a México, permaneciendo por tres meses</w:t>
      </w:r>
      <w:r>
        <w:rPr>
          <w:color w:val="231F20"/>
          <w:spacing w:val="-17"/>
          <w:w w:val="105"/>
        </w:rPr>
        <w:t> </w:t>
      </w:r>
      <w:r>
        <w:rPr>
          <w:color w:val="231F20"/>
          <w:w w:val="105"/>
        </w:rPr>
        <w:t>en</w:t>
      </w:r>
      <w:r>
        <w:rPr>
          <w:color w:val="231F20"/>
          <w:spacing w:val="-17"/>
          <w:w w:val="105"/>
        </w:rPr>
        <w:t> </w:t>
      </w:r>
      <w:r>
        <w:rPr>
          <w:color w:val="231F20"/>
          <w:w w:val="105"/>
        </w:rPr>
        <w:t>Nezahualcóyotl.</w:t>
      </w:r>
      <w:r>
        <w:rPr>
          <w:color w:val="231F20"/>
          <w:spacing w:val="-22"/>
          <w:w w:val="105"/>
        </w:rPr>
        <w:t> </w:t>
      </w:r>
      <w:r>
        <w:rPr>
          <w:color w:val="231F20"/>
          <w:w w:val="105"/>
        </w:rPr>
        <w:t>El</w:t>
      </w:r>
      <w:r>
        <w:rPr>
          <w:color w:val="231F20"/>
          <w:spacing w:val="-17"/>
          <w:w w:val="105"/>
        </w:rPr>
        <w:t> </w:t>
      </w:r>
      <w:r>
        <w:rPr>
          <w:color w:val="231F20"/>
          <w:w w:val="105"/>
        </w:rPr>
        <w:t>motivo</w:t>
      </w:r>
      <w:r>
        <w:rPr>
          <w:color w:val="231F20"/>
          <w:spacing w:val="-17"/>
          <w:w w:val="105"/>
        </w:rPr>
        <w:t> </w:t>
      </w:r>
      <w:r>
        <w:rPr>
          <w:color w:val="231F20"/>
          <w:w w:val="105"/>
        </w:rPr>
        <w:t>de</w:t>
      </w:r>
      <w:r>
        <w:rPr>
          <w:color w:val="231F20"/>
          <w:spacing w:val="-17"/>
          <w:w w:val="105"/>
        </w:rPr>
        <w:t> </w:t>
      </w:r>
      <w:r>
        <w:rPr>
          <w:color w:val="231F20"/>
          <w:w w:val="105"/>
        </w:rPr>
        <w:t>su</w:t>
      </w:r>
      <w:r>
        <w:rPr>
          <w:color w:val="231F20"/>
          <w:spacing w:val="-17"/>
          <w:w w:val="105"/>
        </w:rPr>
        <w:t> </w:t>
      </w:r>
      <w:r>
        <w:rPr>
          <w:color w:val="231F20"/>
          <w:w w:val="105"/>
        </w:rPr>
        <w:t>reingreso</w:t>
      </w:r>
      <w:r>
        <w:rPr>
          <w:color w:val="231F20"/>
          <w:spacing w:val="-17"/>
          <w:w w:val="105"/>
        </w:rPr>
        <w:t> </w:t>
      </w:r>
      <w:r>
        <w:rPr>
          <w:color w:val="231F20"/>
          <w:w w:val="105"/>
        </w:rPr>
        <w:t>al</w:t>
      </w:r>
      <w:r>
        <w:rPr>
          <w:color w:val="231F20"/>
          <w:spacing w:val="-17"/>
          <w:w w:val="105"/>
        </w:rPr>
        <w:t> </w:t>
      </w:r>
      <w:r>
        <w:rPr>
          <w:color w:val="231F20"/>
          <w:w w:val="105"/>
        </w:rPr>
        <w:t>país</w:t>
      </w:r>
      <w:r>
        <w:rPr>
          <w:color w:val="231F20"/>
          <w:spacing w:val="-17"/>
          <w:w w:val="105"/>
        </w:rPr>
        <w:t> </w:t>
      </w:r>
      <w:r>
        <w:rPr>
          <w:color w:val="231F20"/>
          <w:w w:val="105"/>
        </w:rPr>
        <w:t>fue</w:t>
      </w:r>
      <w:r>
        <w:rPr>
          <w:color w:val="231F20"/>
          <w:spacing w:val="-17"/>
          <w:w w:val="105"/>
        </w:rPr>
        <w:t> </w:t>
      </w:r>
      <w:r>
        <w:rPr>
          <w:color w:val="231F20"/>
          <w:w w:val="105"/>
        </w:rPr>
        <w:t>acompa- ñar a su madre por la muerte de su abuela materna, quien radicaba en </w:t>
      </w:r>
      <w:r>
        <w:rPr>
          <w:color w:val="231F20"/>
          <w:spacing w:val="-3"/>
          <w:w w:val="105"/>
        </w:rPr>
        <w:t>Toluca,</w:t>
      </w:r>
      <w:r>
        <w:rPr>
          <w:color w:val="231F20"/>
          <w:spacing w:val="-27"/>
          <w:w w:val="105"/>
        </w:rPr>
        <w:t> </w:t>
      </w:r>
      <w:r>
        <w:rPr>
          <w:color w:val="231F20"/>
          <w:w w:val="105"/>
        </w:rPr>
        <w:t>Estado</w:t>
      </w:r>
      <w:r>
        <w:rPr>
          <w:color w:val="231F20"/>
          <w:spacing w:val="-22"/>
          <w:w w:val="105"/>
        </w:rPr>
        <w:t> </w:t>
      </w:r>
      <w:r>
        <w:rPr>
          <w:color w:val="231F20"/>
          <w:w w:val="105"/>
        </w:rPr>
        <w:t>de</w:t>
      </w:r>
      <w:r>
        <w:rPr>
          <w:color w:val="231F20"/>
          <w:spacing w:val="-22"/>
          <w:w w:val="105"/>
        </w:rPr>
        <w:t> </w:t>
      </w:r>
      <w:r>
        <w:rPr>
          <w:color w:val="231F20"/>
          <w:w w:val="105"/>
        </w:rPr>
        <w:t>México.</w:t>
      </w:r>
      <w:r>
        <w:rPr>
          <w:color w:val="231F20"/>
          <w:spacing w:val="-27"/>
          <w:w w:val="105"/>
        </w:rPr>
        <w:t> </w:t>
      </w:r>
      <w:r>
        <w:rPr>
          <w:color w:val="231F20"/>
          <w:w w:val="105"/>
        </w:rPr>
        <w:t>Moisés</w:t>
      </w:r>
      <w:r>
        <w:rPr>
          <w:color w:val="231F20"/>
          <w:spacing w:val="-22"/>
          <w:w w:val="105"/>
        </w:rPr>
        <w:t> </w:t>
      </w:r>
      <w:r>
        <w:rPr>
          <w:color w:val="231F20"/>
          <w:w w:val="105"/>
        </w:rPr>
        <w:t>y</w:t>
      </w:r>
      <w:r>
        <w:rPr>
          <w:color w:val="231F20"/>
          <w:spacing w:val="-22"/>
          <w:w w:val="105"/>
        </w:rPr>
        <w:t> </w:t>
      </w:r>
      <w:r>
        <w:rPr>
          <w:color w:val="231F20"/>
          <w:w w:val="105"/>
        </w:rPr>
        <w:t>su</w:t>
      </w:r>
      <w:r>
        <w:rPr>
          <w:color w:val="231F20"/>
          <w:spacing w:val="-22"/>
          <w:w w:val="105"/>
        </w:rPr>
        <w:t> </w:t>
      </w:r>
      <w:r>
        <w:rPr>
          <w:color w:val="231F20"/>
          <w:w w:val="105"/>
        </w:rPr>
        <w:t>hermana</w:t>
      </w:r>
      <w:r>
        <w:rPr>
          <w:color w:val="231F20"/>
          <w:spacing w:val="-22"/>
          <w:w w:val="105"/>
        </w:rPr>
        <w:t> </w:t>
      </w:r>
      <w:r>
        <w:rPr>
          <w:color w:val="231F20"/>
          <w:w w:val="105"/>
        </w:rPr>
        <w:t>mayor</w:t>
      </w:r>
      <w:r>
        <w:rPr>
          <w:color w:val="231F20"/>
          <w:spacing w:val="-22"/>
          <w:w w:val="105"/>
        </w:rPr>
        <w:t> </w:t>
      </w:r>
      <w:r>
        <w:rPr>
          <w:color w:val="231F20"/>
          <w:w w:val="105"/>
        </w:rPr>
        <w:t>viajaron</w:t>
      </w:r>
      <w:r>
        <w:rPr>
          <w:color w:val="231F20"/>
          <w:spacing w:val="-22"/>
          <w:w w:val="105"/>
        </w:rPr>
        <w:t> </w:t>
      </w:r>
      <w:r>
        <w:rPr>
          <w:color w:val="231F20"/>
          <w:w w:val="105"/>
        </w:rPr>
        <w:t>a</w:t>
      </w:r>
      <w:r>
        <w:rPr>
          <w:color w:val="231F20"/>
          <w:spacing w:val="-22"/>
          <w:w w:val="105"/>
        </w:rPr>
        <w:t> </w:t>
      </w:r>
      <w:r>
        <w:rPr>
          <w:color w:val="231F20"/>
          <w:w w:val="105"/>
        </w:rPr>
        <w:t>México para</w:t>
      </w:r>
      <w:r>
        <w:rPr>
          <w:color w:val="231F20"/>
          <w:spacing w:val="-31"/>
          <w:w w:val="105"/>
        </w:rPr>
        <w:t> </w:t>
      </w:r>
      <w:r>
        <w:rPr>
          <w:color w:val="231F20"/>
          <w:w w:val="105"/>
        </w:rPr>
        <w:t>acompañar</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madre</w:t>
      </w:r>
      <w:r>
        <w:rPr>
          <w:color w:val="231F20"/>
          <w:spacing w:val="-31"/>
          <w:w w:val="105"/>
        </w:rPr>
        <w:t> </w:t>
      </w:r>
      <w:r>
        <w:rPr>
          <w:color w:val="231F20"/>
          <w:w w:val="105"/>
        </w:rPr>
        <w:t>que</w:t>
      </w:r>
      <w:r>
        <w:rPr>
          <w:color w:val="231F20"/>
          <w:spacing w:val="-31"/>
          <w:w w:val="105"/>
        </w:rPr>
        <w:t> </w:t>
      </w:r>
      <w:r>
        <w:rPr>
          <w:color w:val="231F20"/>
          <w:w w:val="105"/>
        </w:rPr>
        <w:t>vivía</w:t>
      </w:r>
      <w:r>
        <w:rPr>
          <w:color w:val="231F20"/>
          <w:spacing w:val="-31"/>
          <w:w w:val="105"/>
        </w:rPr>
        <w:t> </w:t>
      </w:r>
      <w:r>
        <w:rPr>
          <w:color w:val="231F20"/>
          <w:w w:val="105"/>
        </w:rPr>
        <w:t>en</w:t>
      </w:r>
      <w:r>
        <w:rPr>
          <w:color w:val="231F20"/>
          <w:spacing w:val="-31"/>
          <w:w w:val="105"/>
        </w:rPr>
        <w:t> </w:t>
      </w:r>
      <w:r>
        <w:rPr>
          <w:color w:val="231F20"/>
          <w:w w:val="105"/>
        </w:rPr>
        <w:t>Nezahualcóyotl</w:t>
      </w:r>
      <w:r>
        <w:rPr>
          <w:color w:val="231F20"/>
          <w:spacing w:val="-31"/>
          <w:w w:val="105"/>
        </w:rPr>
        <w:t> </w:t>
      </w:r>
      <w:r>
        <w:rPr>
          <w:color w:val="231F20"/>
          <w:w w:val="105"/>
        </w:rPr>
        <w:t>y</w:t>
      </w:r>
      <w:r>
        <w:rPr>
          <w:color w:val="231F20"/>
          <w:spacing w:val="-31"/>
          <w:w w:val="105"/>
        </w:rPr>
        <w:t> </w:t>
      </w:r>
      <w:r>
        <w:rPr>
          <w:color w:val="231F20"/>
          <w:w w:val="105"/>
        </w:rPr>
        <w:t>tres</w:t>
      </w:r>
      <w:r>
        <w:rPr>
          <w:color w:val="231F20"/>
          <w:spacing w:val="-31"/>
          <w:w w:val="105"/>
        </w:rPr>
        <w:t> </w:t>
      </w:r>
      <w:r>
        <w:rPr>
          <w:color w:val="231F20"/>
          <w:w w:val="105"/>
        </w:rPr>
        <w:t>meses</w:t>
      </w:r>
      <w:r>
        <w:rPr>
          <w:color w:val="231F20"/>
          <w:spacing w:val="-31"/>
          <w:w w:val="105"/>
        </w:rPr>
        <w:t> </w:t>
      </w:r>
      <w:r>
        <w:rPr>
          <w:color w:val="231F20"/>
          <w:w w:val="105"/>
        </w:rPr>
        <w:t>más tarde</w:t>
      </w:r>
      <w:r>
        <w:rPr>
          <w:color w:val="231F20"/>
          <w:spacing w:val="-20"/>
          <w:w w:val="105"/>
        </w:rPr>
        <w:t> </w:t>
      </w:r>
      <w:r>
        <w:rPr>
          <w:color w:val="231F20"/>
          <w:w w:val="105"/>
        </w:rPr>
        <w:t>volvieron</w:t>
      </w:r>
      <w:r>
        <w:rPr>
          <w:color w:val="231F20"/>
          <w:spacing w:val="-20"/>
          <w:w w:val="105"/>
        </w:rPr>
        <w:t> </w:t>
      </w:r>
      <w:r>
        <w:rPr>
          <w:color w:val="231F20"/>
          <w:w w:val="105"/>
        </w:rPr>
        <w:t>a</w:t>
      </w:r>
      <w:r>
        <w:rPr>
          <w:color w:val="231F20"/>
          <w:spacing w:val="-20"/>
          <w:w w:val="105"/>
        </w:rPr>
        <w:t> </w:t>
      </w:r>
      <w:r>
        <w:rPr>
          <w:color w:val="231F20"/>
          <w:w w:val="105"/>
        </w:rPr>
        <w:t>California.</w:t>
      </w:r>
    </w:p>
    <w:p>
      <w:pPr>
        <w:pStyle w:val="BodyText"/>
        <w:spacing w:line="261" w:lineRule="auto" w:before="1"/>
        <w:ind w:left="1837" w:right="1715" w:firstLine="567"/>
        <w:jc w:val="both"/>
      </w:pPr>
      <w:r>
        <w:rPr>
          <w:color w:val="231F20"/>
          <w:w w:val="105"/>
        </w:rPr>
        <w:t>Cuando Moisés decidió emigrar a Los Ángeles era estudiante de escuela</w:t>
      </w:r>
      <w:r>
        <w:rPr>
          <w:color w:val="231F20"/>
          <w:spacing w:val="-30"/>
          <w:w w:val="105"/>
        </w:rPr>
        <w:t> </w:t>
      </w:r>
      <w:r>
        <w:rPr>
          <w:color w:val="231F20"/>
          <w:w w:val="105"/>
        </w:rPr>
        <w:t>secundaria</w:t>
      </w:r>
      <w:r>
        <w:rPr>
          <w:color w:val="231F20"/>
          <w:spacing w:val="-30"/>
          <w:w w:val="105"/>
        </w:rPr>
        <w:t> </w:t>
      </w:r>
      <w:r>
        <w:rPr>
          <w:color w:val="231F20"/>
          <w:w w:val="105"/>
        </w:rPr>
        <w:t>y</w:t>
      </w:r>
      <w:r>
        <w:rPr>
          <w:color w:val="231F20"/>
          <w:spacing w:val="-30"/>
          <w:w w:val="105"/>
        </w:rPr>
        <w:t> </w:t>
      </w:r>
      <w:r>
        <w:rPr>
          <w:color w:val="231F20"/>
          <w:w w:val="105"/>
        </w:rPr>
        <w:t>no</w:t>
      </w:r>
      <w:r>
        <w:rPr>
          <w:color w:val="231F20"/>
          <w:spacing w:val="-30"/>
          <w:w w:val="105"/>
        </w:rPr>
        <w:t> </w:t>
      </w:r>
      <w:r>
        <w:rPr>
          <w:color w:val="231F20"/>
          <w:w w:val="105"/>
        </w:rPr>
        <w:t>trabajaba.</w:t>
      </w:r>
      <w:r>
        <w:rPr>
          <w:color w:val="231F20"/>
          <w:spacing w:val="-34"/>
          <w:w w:val="105"/>
        </w:rPr>
        <w:t> </w:t>
      </w:r>
      <w:r>
        <w:rPr>
          <w:color w:val="231F20"/>
          <w:w w:val="105"/>
        </w:rPr>
        <w:t>Debía</w:t>
      </w:r>
      <w:r>
        <w:rPr>
          <w:color w:val="231F20"/>
          <w:spacing w:val="-30"/>
          <w:w w:val="105"/>
        </w:rPr>
        <w:t> </w:t>
      </w:r>
      <w:r>
        <w:rPr>
          <w:color w:val="231F20"/>
          <w:w w:val="105"/>
        </w:rPr>
        <w:t>permanecer</w:t>
      </w:r>
      <w:r>
        <w:rPr>
          <w:color w:val="231F20"/>
          <w:spacing w:val="-30"/>
          <w:w w:val="105"/>
        </w:rPr>
        <w:t> </w:t>
      </w:r>
      <w:r>
        <w:rPr>
          <w:color w:val="231F20"/>
          <w:w w:val="105"/>
        </w:rPr>
        <w:t>en</w:t>
      </w:r>
      <w:r>
        <w:rPr>
          <w:color w:val="231F20"/>
          <w:spacing w:val="-30"/>
          <w:w w:val="105"/>
        </w:rPr>
        <w:t> </w:t>
      </w:r>
      <w:r>
        <w:rPr>
          <w:color w:val="231F20"/>
          <w:w w:val="105"/>
        </w:rPr>
        <w:t>Nezahualcóyotl por ser el hermano varón más joven, y tenía como encargo “cuidar a</w:t>
      </w:r>
      <w:r>
        <w:rPr>
          <w:color w:val="231F20"/>
          <w:spacing w:val="-31"/>
          <w:w w:val="105"/>
        </w:rPr>
        <w:t> </w:t>
      </w:r>
      <w:r>
        <w:rPr>
          <w:color w:val="231F20"/>
          <w:w w:val="105"/>
        </w:rPr>
        <w:t>su </w:t>
      </w:r>
      <w:r>
        <w:rPr>
          <w:color w:val="231F20"/>
          <w:spacing w:val="-5"/>
          <w:w w:val="105"/>
        </w:rPr>
        <w:t>madre”,</w:t>
      </w:r>
      <w:r>
        <w:rPr>
          <w:color w:val="231F20"/>
          <w:spacing w:val="-19"/>
          <w:w w:val="105"/>
        </w:rPr>
        <w:t> </w:t>
      </w:r>
      <w:r>
        <w:rPr>
          <w:color w:val="231F20"/>
          <w:w w:val="105"/>
        </w:rPr>
        <w:t>junto</w:t>
      </w:r>
      <w:r>
        <w:rPr>
          <w:color w:val="231F20"/>
          <w:spacing w:val="-13"/>
          <w:w w:val="105"/>
        </w:rPr>
        <w:t> </w:t>
      </w:r>
      <w:r>
        <w:rPr>
          <w:color w:val="231F20"/>
          <w:w w:val="105"/>
        </w:rPr>
        <w:t>con</w:t>
      </w:r>
      <w:r>
        <w:rPr>
          <w:color w:val="231F20"/>
          <w:spacing w:val="-13"/>
          <w:w w:val="105"/>
        </w:rPr>
        <w:t> </w:t>
      </w:r>
      <w:r>
        <w:rPr>
          <w:color w:val="231F20"/>
          <w:w w:val="105"/>
        </w:rPr>
        <w:t>una</w:t>
      </w:r>
      <w:r>
        <w:rPr>
          <w:color w:val="231F20"/>
          <w:spacing w:val="-13"/>
          <w:w w:val="105"/>
        </w:rPr>
        <w:t> </w:t>
      </w:r>
      <w:r>
        <w:rPr>
          <w:color w:val="231F20"/>
          <w:w w:val="105"/>
        </w:rPr>
        <w:t>hermana</w:t>
      </w:r>
      <w:r>
        <w:rPr>
          <w:color w:val="231F20"/>
          <w:spacing w:val="-13"/>
          <w:w w:val="105"/>
        </w:rPr>
        <w:t> </w:t>
      </w:r>
      <w:r>
        <w:rPr>
          <w:color w:val="231F20"/>
          <w:w w:val="105"/>
        </w:rPr>
        <w:t>menor</w:t>
      </w:r>
      <w:r>
        <w:rPr>
          <w:color w:val="231F20"/>
          <w:spacing w:val="-13"/>
          <w:w w:val="105"/>
        </w:rPr>
        <w:t> </w:t>
      </w:r>
      <w:r>
        <w:rPr>
          <w:color w:val="231F20"/>
          <w:w w:val="105"/>
        </w:rPr>
        <w:t>que</w:t>
      </w:r>
      <w:r>
        <w:rPr>
          <w:color w:val="231F20"/>
          <w:spacing w:val="-13"/>
          <w:w w:val="105"/>
        </w:rPr>
        <w:t> </w:t>
      </w:r>
      <w:r>
        <w:rPr>
          <w:color w:val="231F20"/>
          <w:w w:val="105"/>
        </w:rPr>
        <w:t>también</w:t>
      </w:r>
      <w:r>
        <w:rPr>
          <w:color w:val="231F20"/>
          <w:spacing w:val="-13"/>
          <w:w w:val="105"/>
        </w:rPr>
        <w:t> </w:t>
      </w:r>
      <w:r>
        <w:rPr>
          <w:color w:val="231F20"/>
          <w:w w:val="105"/>
        </w:rPr>
        <w:t>estudiaba.</w:t>
      </w:r>
      <w:r>
        <w:rPr>
          <w:color w:val="231F20"/>
          <w:spacing w:val="-19"/>
          <w:w w:val="105"/>
        </w:rPr>
        <w:t> </w:t>
      </w:r>
      <w:r>
        <w:rPr>
          <w:color w:val="231F20"/>
          <w:w w:val="105"/>
        </w:rPr>
        <w:t>La</w:t>
      </w:r>
      <w:r>
        <w:rPr>
          <w:color w:val="231F20"/>
          <w:spacing w:val="-13"/>
          <w:w w:val="105"/>
        </w:rPr>
        <w:t> </w:t>
      </w:r>
      <w:r>
        <w:rPr>
          <w:color w:val="231F20"/>
          <w:w w:val="105"/>
        </w:rPr>
        <w:t>madre de Moisés también había viajado varias veces a Los Ángeles y pasado temporadas</w:t>
      </w:r>
      <w:r>
        <w:rPr>
          <w:color w:val="231F20"/>
          <w:spacing w:val="-10"/>
          <w:w w:val="105"/>
        </w:rPr>
        <w:t> </w:t>
      </w:r>
      <w:r>
        <w:rPr>
          <w:color w:val="231F20"/>
          <w:w w:val="105"/>
        </w:rPr>
        <w:t>en</w:t>
      </w:r>
      <w:r>
        <w:rPr>
          <w:color w:val="231F20"/>
          <w:spacing w:val="-10"/>
          <w:w w:val="105"/>
        </w:rPr>
        <w:t> </w:t>
      </w:r>
      <w:r>
        <w:rPr>
          <w:color w:val="231F20"/>
          <w:w w:val="105"/>
        </w:rPr>
        <w:t>esa</w:t>
      </w:r>
      <w:r>
        <w:rPr>
          <w:color w:val="231F20"/>
          <w:spacing w:val="-10"/>
          <w:w w:val="105"/>
        </w:rPr>
        <w:t> </w:t>
      </w:r>
      <w:r>
        <w:rPr>
          <w:color w:val="231F20"/>
          <w:w w:val="105"/>
        </w:rPr>
        <w:t>ciudad</w:t>
      </w:r>
      <w:r>
        <w:rPr>
          <w:color w:val="231F20"/>
          <w:spacing w:val="-10"/>
          <w:w w:val="105"/>
        </w:rPr>
        <w:t> </w:t>
      </w:r>
      <w:r>
        <w:rPr>
          <w:color w:val="231F20"/>
          <w:w w:val="105"/>
        </w:rPr>
        <w:t>(de</w:t>
      </w:r>
      <w:r>
        <w:rPr>
          <w:color w:val="231F20"/>
          <w:spacing w:val="-10"/>
          <w:w w:val="105"/>
        </w:rPr>
        <w:t> </w:t>
      </w:r>
      <w:r>
        <w:rPr>
          <w:color w:val="231F20"/>
          <w:w w:val="105"/>
        </w:rPr>
        <w:t>varios</w:t>
      </w:r>
      <w:r>
        <w:rPr>
          <w:color w:val="231F20"/>
          <w:spacing w:val="-10"/>
          <w:w w:val="105"/>
        </w:rPr>
        <w:t> </w:t>
      </w:r>
      <w:r>
        <w:rPr>
          <w:color w:val="231F20"/>
          <w:w w:val="105"/>
        </w:rPr>
        <w:t>meses),</w:t>
      </w:r>
      <w:r>
        <w:rPr>
          <w:color w:val="231F20"/>
          <w:spacing w:val="-15"/>
          <w:w w:val="105"/>
        </w:rPr>
        <w:t> </w:t>
      </w:r>
      <w:r>
        <w:rPr>
          <w:color w:val="231F20"/>
          <w:w w:val="105"/>
        </w:rPr>
        <w:t>pero</w:t>
      </w:r>
      <w:r>
        <w:rPr>
          <w:color w:val="231F20"/>
          <w:spacing w:val="-10"/>
          <w:w w:val="105"/>
        </w:rPr>
        <w:t> </w:t>
      </w:r>
      <w:r>
        <w:rPr>
          <w:color w:val="231F20"/>
          <w:w w:val="105"/>
        </w:rPr>
        <w:t>siempre</w:t>
      </w:r>
      <w:r>
        <w:rPr>
          <w:color w:val="231F20"/>
          <w:spacing w:val="-10"/>
          <w:w w:val="105"/>
        </w:rPr>
        <w:t> </w:t>
      </w:r>
      <w:r>
        <w:rPr>
          <w:color w:val="231F20"/>
          <w:w w:val="105"/>
        </w:rPr>
        <w:t>volvía</w:t>
      </w:r>
      <w:r>
        <w:rPr>
          <w:color w:val="231F20"/>
          <w:spacing w:val="-10"/>
          <w:w w:val="105"/>
        </w:rPr>
        <w:t> </w:t>
      </w:r>
      <w:r>
        <w:rPr>
          <w:color w:val="231F20"/>
          <w:w w:val="105"/>
        </w:rPr>
        <w:t>a</w:t>
      </w:r>
      <w:r>
        <w:rPr>
          <w:color w:val="231F20"/>
          <w:spacing w:val="-10"/>
          <w:w w:val="105"/>
        </w:rPr>
        <w:t> </w:t>
      </w:r>
      <w:r>
        <w:rPr>
          <w:color w:val="231F20"/>
          <w:w w:val="105"/>
        </w:rPr>
        <w:t>Ne- zahualcóyotl. Ella nunca tomó un empleo en Estados Unidos, pero dos años</w:t>
      </w:r>
      <w:r>
        <w:rPr>
          <w:color w:val="231F20"/>
          <w:spacing w:val="-17"/>
          <w:w w:val="105"/>
        </w:rPr>
        <w:t> </w:t>
      </w:r>
      <w:r>
        <w:rPr>
          <w:color w:val="231F20"/>
          <w:w w:val="105"/>
        </w:rPr>
        <w:t>después</w:t>
      </w:r>
      <w:r>
        <w:rPr>
          <w:color w:val="231F20"/>
          <w:spacing w:val="-17"/>
          <w:w w:val="105"/>
        </w:rPr>
        <w:t> </w:t>
      </w:r>
      <w:r>
        <w:rPr>
          <w:color w:val="231F20"/>
          <w:w w:val="105"/>
        </w:rPr>
        <w:t>de</w:t>
      </w:r>
      <w:r>
        <w:rPr>
          <w:color w:val="231F20"/>
          <w:spacing w:val="-17"/>
          <w:w w:val="105"/>
        </w:rPr>
        <w:t> </w:t>
      </w:r>
      <w:r>
        <w:rPr>
          <w:color w:val="231F20"/>
          <w:w w:val="105"/>
        </w:rPr>
        <w:t>que</w:t>
      </w:r>
      <w:r>
        <w:rPr>
          <w:color w:val="231F20"/>
          <w:spacing w:val="-17"/>
          <w:w w:val="105"/>
        </w:rPr>
        <w:t> </w:t>
      </w:r>
      <w:r>
        <w:rPr>
          <w:color w:val="231F20"/>
          <w:w w:val="105"/>
        </w:rPr>
        <w:t>Moisés</w:t>
      </w:r>
      <w:r>
        <w:rPr>
          <w:color w:val="231F20"/>
          <w:spacing w:val="-17"/>
          <w:w w:val="105"/>
        </w:rPr>
        <w:t> </w:t>
      </w:r>
      <w:r>
        <w:rPr>
          <w:color w:val="231F20"/>
          <w:w w:val="105"/>
        </w:rPr>
        <w:t>emigró,</w:t>
      </w:r>
      <w:r>
        <w:rPr>
          <w:color w:val="231F20"/>
          <w:spacing w:val="-22"/>
          <w:w w:val="105"/>
        </w:rPr>
        <w:t> </w:t>
      </w:r>
      <w:r>
        <w:rPr>
          <w:color w:val="231F20"/>
          <w:w w:val="105"/>
        </w:rPr>
        <w:t>ella</w:t>
      </w:r>
      <w:r>
        <w:rPr>
          <w:color w:val="231F20"/>
          <w:spacing w:val="-17"/>
          <w:w w:val="105"/>
        </w:rPr>
        <w:t> </w:t>
      </w:r>
      <w:r>
        <w:rPr>
          <w:color w:val="231F20"/>
          <w:w w:val="105"/>
        </w:rPr>
        <w:t>se</w:t>
      </w:r>
      <w:r>
        <w:rPr>
          <w:color w:val="231F20"/>
          <w:spacing w:val="-17"/>
          <w:w w:val="105"/>
        </w:rPr>
        <w:t> </w:t>
      </w:r>
      <w:r>
        <w:rPr>
          <w:color w:val="231F20"/>
          <w:w w:val="105"/>
        </w:rPr>
        <w:t>fue</w:t>
      </w:r>
      <w:r>
        <w:rPr>
          <w:color w:val="231F20"/>
          <w:spacing w:val="-17"/>
          <w:w w:val="105"/>
        </w:rPr>
        <w:t> </w:t>
      </w:r>
      <w:r>
        <w:rPr>
          <w:color w:val="231F20"/>
          <w:w w:val="105"/>
        </w:rPr>
        <w:t>a</w:t>
      </w:r>
      <w:r>
        <w:rPr>
          <w:color w:val="231F20"/>
          <w:spacing w:val="-17"/>
          <w:w w:val="105"/>
        </w:rPr>
        <w:t> </w:t>
      </w:r>
      <w:r>
        <w:rPr>
          <w:color w:val="231F20"/>
          <w:w w:val="105"/>
        </w:rPr>
        <w:t>radicar</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20"/>
          <w:w w:val="105"/>
        </w:rPr>
        <w:t> </w:t>
      </w:r>
      <w:r>
        <w:rPr>
          <w:color w:val="231F20"/>
          <w:w w:val="105"/>
        </w:rPr>
        <w:t>Ángeles, junto</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hermana</w:t>
      </w:r>
      <w:r>
        <w:rPr>
          <w:color w:val="231F20"/>
          <w:spacing w:val="-15"/>
          <w:w w:val="105"/>
        </w:rPr>
        <w:t> </w:t>
      </w:r>
      <w:r>
        <w:rPr>
          <w:color w:val="231F20"/>
          <w:w w:val="105"/>
        </w:rPr>
        <w:t>menor</w:t>
      </w:r>
      <w:r>
        <w:rPr>
          <w:color w:val="231F20"/>
          <w:spacing w:val="-15"/>
          <w:w w:val="105"/>
        </w:rPr>
        <w:t> </w:t>
      </w:r>
      <w:r>
        <w:rPr>
          <w:color w:val="231F20"/>
          <w:w w:val="105"/>
        </w:rPr>
        <w:t>que</w:t>
      </w:r>
      <w:r>
        <w:rPr>
          <w:color w:val="231F20"/>
          <w:spacing w:val="-15"/>
          <w:w w:val="105"/>
        </w:rPr>
        <w:t> </w:t>
      </w:r>
      <w:r>
        <w:rPr>
          <w:color w:val="231F20"/>
          <w:w w:val="105"/>
        </w:rPr>
        <w:t>aún</w:t>
      </w:r>
      <w:r>
        <w:rPr>
          <w:color w:val="231F20"/>
          <w:spacing w:val="-15"/>
          <w:w w:val="105"/>
        </w:rPr>
        <w:t> </w:t>
      </w:r>
      <w:r>
        <w:rPr>
          <w:color w:val="231F20"/>
          <w:w w:val="105"/>
        </w:rPr>
        <w:t>vivían</w:t>
      </w:r>
      <w:r>
        <w:rPr>
          <w:color w:val="231F20"/>
          <w:spacing w:val="-15"/>
          <w:w w:val="105"/>
        </w:rPr>
        <w:t> </w:t>
      </w:r>
      <w:r>
        <w:rPr>
          <w:color w:val="231F20"/>
          <w:w w:val="105"/>
        </w:rPr>
        <w:t>con</w:t>
      </w:r>
      <w:r>
        <w:rPr>
          <w:color w:val="231F20"/>
          <w:spacing w:val="-15"/>
          <w:w w:val="105"/>
        </w:rPr>
        <w:t> </w:t>
      </w:r>
      <w:r>
        <w:rPr>
          <w:color w:val="231F20"/>
          <w:w w:val="105"/>
        </w:rPr>
        <w:t>ella</w:t>
      </w:r>
      <w:r>
        <w:rPr>
          <w:color w:val="231F20"/>
          <w:spacing w:val="-15"/>
          <w:w w:val="105"/>
        </w:rPr>
        <w:t> </w:t>
      </w:r>
      <w:r>
        <w:rPr>
          <w:color w:val="231F20"/>
          <w:w w:val="105"/>
        </w:rPr>
        <w:t>en</w:t>
      </w:r>
      <w:r>
        <w:rPr>
          <w:color w:val="231F20"/>
          <w:spacing w:val="-15"/>
          <w:w w:val="105"/>
        </w:rPr>
        <w:t> </w:t>
      </w:r>
      <w:r>
        <w:rPr>
          <w:color w:val="231F20"/>
          <w:w w:val="105"/>
        </w:rPr>
        <w:t>Nezahualcóyotl.</w:t>
      </w:r>
    </w:p>
    <w:p>
      <w:pPr>
        <w:pStyle w:val="BodyText"/>
        <w:spacing w:line="261" w:lineRule="auto" w:before="1"/>
        <w:ind w:left="1837" w:right="1715" w:firstLine="567"/>
        <w:jc w:val="both"/>
      </w:pPr>
      <w:r>
        <w:rPr/>
        <w:pict>
          <v:line style="position:absolute;mso-position-horizontal-relative:page;mso-position-vertical-relative:paragraph;z-index:-476704" from="15pt,128.889587pt" to="0pt,128.889587pt" stroked="true" strokeweight=".25pt" strokecolor="#000000">
            <w10:wrap type="none"/>
          </v:line>
        </w:pict>
      </w:r>
      <w:r>
        <w:rPr/>
        <w:pict>
          <v:line style="position:absolute;mso-position-horizontal-relative:page;mso-position-vertical-relative:paragraph;z-index:13504" from="508.890015pt,128.889587pt" to="523.890015pt,128.889587pt" stroked="true" strokeweight=".25pt" strokecolor="#000000">
            <w10:wrap type="none"/>
          </v:line>
        </w:pict>
      </w:r>
      <w:r>
        <w:rPr>
          <w:color w:val="231F20"/>
          <w:w w:val="105"/>
        </w:rPr>
        <w:t>Así,</w:t>
      </w:r>
      <w:r>
        <w:rPr>
          <w:color w:val="231F20"/>
          <w:spacing w:val="-30"/>
          <w:w w:val="105"/>
        </w:rPr>
        <w:t> </w:t>
      </w:r>
      <w:r>
        <w:rPr>
          <w:color w:val="231F20"/>
          <w:w w:val="105"/>
        </w:rPr>
        <w:t>Moisés</w:t>
      </w:r>
      <w:r>
        <w:rPr>
          <w:color w:val="231F20"/>
          <w:spacing w:val="-25"/>
          <w:w w:val="105"/>
        </w:rPr>
        <w:t> </w:t>
      </w:r>
      <w:r>
        <w:rPr>
          <w:color w:val="231F20"/>
          <w:w w:val="105"/>
        </w:rPr>
        <w:t>tuvo</w:t>
      </w:r>
      <w:r>
        <w:rPr>
          <w:color w:val="231F20"/>
          <w:spacing w:val="-25"/>
          <w:w w:val="105"/>
        </w:rPr>
        <w:t> </w:t>
      </w:r>
      <w:r>
        <w:rPr>
          <w:color w:val="231F20"/>
          <w:w w:val="105"/>
        </w:rPr>
        <w:t>su</w:t>
      </w:r>
      <w:r>
        <w:rPr>
          <w:color w:val="231F20"/>
          <w:spacing w:val="-25"/>
          <w:w w:val="105"/>
        </w:rPr>
        <w:t> </w:t>
      </w:r>
      <w:r>
        <w:rPr>
          <w:color w:val="231F20"/>
          <w:w w:val="105"/>
        </w:rPr>
        <w:t>primer</w:t>
      </w:r>
      <w:r>
        <w:rPr>
          <w:color w:val="231F20"/>
          <w:spacing w:val="-25"/>
          <w:w w:val="105"/>
        </w:rPr>
        <w:t> </w:t>
      </w:r>
      <w:r>
        <w:rPr>
          <w:color w:val="231F20"/>
          <w:w w:val="105"/>
        </w:rPr>
        <w:t>empleo</w:t>
      </w:r>
      <w:r>
        <w:rPr>
          <w:color w:val="231F20"/>
          <w:spacing w:val="-25"/>
          <w:w w:val="105"/>
        </w:rPr>
        <w:t> </w:t>
      </w:r>
      <w:r>
        <w:rPr>
          <w:color w:val="231F20"/>
          <w:w w:val="105"/>
        </w:rPr>
        <w:t>una</w:t>
      </w:r>
      <w:r>
        <w:rPr>
          <w:color w:val="231F20"/>
          <w:spacing w:val="-25"/>
          <w:w w:val="105"/>
        </w:rPr>
        <w:t> </w:t>
      </w:r>
      <w:r>
        <w:rPr>
          <w:color w:val="231F20"/>
          <w:w w:val="105"/>
        </w:rPr>
        <w:t>vez</w:t>
      </w:r>
      <w:r>
        <w:rPr>
          <w:color w:val="231F20"/>
          <w:spacing w:val="-25"/>
          <w:w w:val="105"/>
        </w:rPr>
        <w:t> </w:t>
      </w:r>
      <w:r>
        <w:rPr>
          <w:color w:val="231F20"/>
          <w:w w:val="105"/>
        </w:rPr>
        <w:t>que</w:t>
      </w:r>
      <w:r>
        <w:rPr>
          <w:color w:val="231F20"/>
          <w:spacing w:val="-25"/>
          <w:w w:val="105"/>
        </w:rPr>
        <w:t> </w:t>
      </w:r>
      <w:r>
        <w:rPr>
          <w:color w:val="231F20"/>
          <w:w w:val="105"/>
        </w:rPr>
        <w:t>llegó</w:t>
      </w:r>
      <w:r>
        <w:rPr>
          <w:color w:val="231F20"/>
          <w:spacing w:val="-25"/>
          <w:w w:val="105"/>
        </w:rPr>
        <w:t> </w:t>
      </w:r>
      <w:r>
        <w:rPr>
          <w:color w:val="231F20"/>
          <w:w w:val="105"/>
        </w:rPr>
        <w:t>a</w:t>
      </w:r>
      <w:r>
        <w:rPr>
          <w:color w:val="231F20"/>
          <w:spacing w:val="-25"/>
          <w:w w:val="105"/>
        </w:rPr>
        <w:t> </w:t>
      </w:r>
      <w:r>
        <w:rPr>
          <w:color w:val="231F20"/>
          <w:w w:val="105"/>
        </w:rPr>
        <w:t>Los</w:t>
      </w:r>
      <w:r>
        <w:rPr>
          <w:color w:val="231F20"/>
          <w:spacing w:val="-28"/>
          <w:w w:val="105"/>
        </w:rPr>
        <w:t> </w:t>
      </w:r>
      <w:r>
        <w:rPr>
          <w:color w:val="231F20"/>
          <w:w w:val="105"/>
        </w:rPr>
        <w:t>Ángeles, aunque</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vez</w:t>
      </w:r>
      <w:r>
        <w:rPr>
          <w:color w:val="231F20"/>
          <w:spacing w:val="-4"/>
          <w:w w:val="105"/>
        </w:rPr>
        <w:t> </w:t>
      </w:r>
      <w:r>
        <w:rPr>
          <w:color w:val="231F20"/>
          <w:w w:val="105"/>
        </w:rPr>
        <w:t>ingresó</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escuela,</w:t>
      </w:r>
      <w:r>
        <w:rPr>
          <w:color w:val="231F20"/>
          <w:spacing w:val="-9"/>
          <w:w w:val="105"/>
        </w:rPr>
        <w:t> </w:t>
      </w:r>
      <w:r>
        <w:rPr>
          <w:color w:val="231F20"/>
          <w:w w:val="105"/>
        </w:rPr>
        <w:t>pues</w:t>
      </w:r>
      <w:r>
        <w:rPr>
          <w:color w:val="231F20"/>
          <w:spacing w:val="-4"/>
          <w:w w:val="105"/>
        </w:rPr>
        <w:t> </w:t>
      </w:r>
      <w:r>
        <w:rPr>
          <w:color w:val="231F20"/>
          <w:w w:val="105"/>
        </w:rPr>
        <w:t>sus</w:t>
      </w:r>
      <w:r>
        <w:rPr>
          <w:color w:val="231F20"/>
          <w:spacing w:val="-4"/>
          <w:w w:val="105"/>
        </w:rPr>
        <w:t> </w:t>
      </w:r>
      <w:r>
        <w:rPr>
          <w:color w:val="231F20"/>
          <w:w w:val="105"/>
        </w:rPr>
        <w:t>hermanos</w:t>
      </w:r>
      <w:r>
        <w:rPr>
          <w:color w:val="231F20"/>
          <w:spacing w:val="-4"/>
          <w:w w:val="105"/>
        </w:rPr>
        <w:t> </w:t>
      </w:r>
      <w:r>
        <w:rPr>
          <w:color w:val="231F20"/>
          <w:w w:val="105"/>
        </w:rPr>
        <w:t>insistieron</w:t>
      </w:r>
      <w:r>
        <w:rPr>
          <w:color w:val="231F20"/>
          <w:spacing w:val="-4"/>
          <w:w w:val="105"/>
        </w:rPr>
        <w:t> </w:t>
      </w:r>
      <w:r>
        <w:rPr>
          <w:color w:val="231F20"/>
          <w:w w:val="105"/>
        </w:rPr>
        <w:t>en que debía estudiar y aprender inglés. De tal forma, inició su carrera la- boral</w:t>
      </w:r>
      <w:r>
        <w:rPr>
          <w:color w:val="231F20"/>
          <w:spacing w:val="-19"/>
          <w:w w:val="105"/>
        </w:rPr>
        <w:t> </w:t>
      </w:r>
      <w:r>
        <w:rPr>
          <w:color w:val="231F20"/>
          <w:w w:val="105"/>
        </w:rPr>
        <w:t>con</w:t>
      </w:r>
      <w:r>
        <w:rPr>
          <w:color w:val="231F20"/>
          <w:spacing w:val="-19"/>
          <w:w w:val="105"/>
        </w:rPr>
        <w:t> </w:t>
      </w:r>
      <w:r>
        <w:rPr>
          <w:color w:val="231F20"/>
          <w:w w:val="105"/>
        </w:rPr>
        <w:t>sus</w:t>
      </w:r>
      <w:r>
        <w:rPr>
          <w:color w:val="231F20"/>
          <w:spacing w:val="-19"/>
          <w:w w:val="105"/>
        </w:rPr>
        <w:t> </w:t>
      </w:r>
      <w:r>
        <w:rPr>
          <w:color w:val="231F20"/>
          <w:w w:val="105"/>
        </w:rPr>
        <w:t>hermanos</w:t>
      </w:r>
      <w:r>
        <w:rPr>
          <w:color w:val="231F20"/>
          <w:spacing w:val="-19"/>
          <w:w w:val="105"/>
        </w:rPr>
        <w:t> </w:t>
      </w:r>
      <w:r>
        <w:rPr>
          <w:color w:val="231F20"/>
          <w:w w:val="105"/>
        </w:rPr>
        <w:t>y</w:t>
      </w:r>
      <w:r>
        <w:rPr>
          <w:color w:val="231F20"/>
          <w:spacing w:val="-19"/>
          <w:w w:val="105"/>
        </w:rPr>
        <w:t> </w:t>
      </w:r>
      <w:r>
        <w:rPr>
          <w:color w:val="231F20"/>
          <w:w w:val="105"/>
        </w:rPr>
        <w:t>su</w:t>
      </w:r>
      <w:r>
        <w:rPr>
          <w:color w:val="231F20"/>
          <w:spacing w:val="-19"/>
          <w:w w:val="105"/>
        </w:rPr>
        <w:t> </w:t>
      </w:r>
      <w:r>
        <w:rPr>
          <w:color w:val="231F20"/>
          <w:w w:val="105"/>
        </w:rPr>
        <w:t>padre,</w:t>
      </w:r>
      <w:r>
        <w:rPr>
          <w:color w:val="231F20"/>
          <w:spacing w:val="-24"/>
          <w:w w:val="105"/>
        </w:rPr>
        <w:t> </w:t>
      </w:r>
      <w:r>
        <w:rPr>
          <w:color w:val="231F20"/>
          <w:w w:val="105"/>
        </w:rPr>
        <w:t>quienes</w:t>
      </w:r>
      <w:r>
        <w:rPr>
          <w:color w:val="231F20"/>
          <w:spacing w:val="-19"/>
          <w:w w:val="105"/>
        </w:rPr>
        <w:t> </w:t>
      </w:r>
      <w:r>
        <w:rPr>
          <w:color w:val="231F20"/>
          <w:w w:val="105"/>
        </w:rPr>
        <w:t>tenían</w:t>
      </w:r>
      <w:r>
        <w:rPr>
          <w:color w:val="231F20"/>
          <w:spacing w:val="-19"/>
          <w:w w:val="105"/>
        </w:rPr>
        <w:t> </w:t>
      </w:r>
      <w:r>
        <w:rPr>
          <w:color w:val="231F20"/>
          <w:w w:val="105"/>
        </w:rPr>
        <w:t>una</w:t>
      </w:r>
      <w:r>
        <w:rPr>
          <w:color w:val="231F20"/>
          <w:spacing w:val="-19"/>
          <w:w w:val="105"/>
        </w:rPr>
        <w:t> </w:t>
      </w:r>
      <w:r>
        <w:rPr>
          <w:color w:val="231F20"/>
          <w:w w:val="105"/>
        </w:rPr>
        <w:t>compañía</w:t>
      </w:r>
      <w:r>
        <w:rPr>
          <w:color w:val="231F20"/>
          <w:spacing w:val="-19"/>
          <w:w w:val="105"/>
        </w:rPr>
        <w:t> </w:t>
      </w:r>
      <w:r>
        <w:rPr>
          <w:color w:val="231F20"/>
          <w:w w:val="105"/>
        </w:rPr>
        <w:t>que</w:t>
      </w:r>
      <w:r>
        <w:rPr>
          <w:color w:val="231F20"/>
          <w:spacing w:val="-19"/>
          <w:w w:val="105"/>
        </w:rPr>
        <w:t> </w:t>
      </w:r>
      <w:r>
        <w:rPr>
          <w:color w:val="231F20"/>
          <w:w w:val="105"/>
        </w:rPr>
        <w:t>se</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13552" from="15pt,-71.68644pt" to="0pt,-71.68644pt" stroked="true" strokeweight=".25pt" strokecolor="#000000">
            <w10:wrap type="none"/>
          </v:line>
        </w:pict>
      </w:r>
      <w:r>
        <w:rPr/>
        <w:pict>
          <v:line style="position:absolute;mso-position-horizontal-relative:page;mso-position-vertical-relative:paragraph;z-index:13576" from="508.890015pt,-71.68644pt" to="523.890015pt,-71.68644pt" stroked="true" strokeweight=".25pt" strokecolor="#000000">
            <w10:wrap type="none"/>
          </v:line>
        </w:pict>
      </w:r>
      <w:r>
        <w:rPr>
          <w:color w:val="231F20"/>
          <w:w w:val="105"/>
        </w:rPr>
        <w:t>dedicaba</w:t>
      </w:r>
      <w:r>
        <w:rPr>
          <w:color w:val="231F20"/>
          <w:spacing w:val="-10"/>
          <w:w w:val="105"/>
        </w:rPr>
        <w:t> </w:t>
      </w:r>
      <w:r>
        <w:rPr>
          <w:color w:val="231F20"/>
          <w:w w:val="105"/>
        </w:rPr>
        <w:t>a</w:t>
      </w:r>
      <w:r>
        <w:rPr>
          <w:color w:val="231F20"/>
          <w:spacing w:val="-10"/>
          <w:w w:val="105"/>
        </w:rPr>
        <w:t> </w:t>
      </w:r>
      <w:r>
        <w:rPr>
          <w:color w:val="231F20"/>
          <w:w w:val="105"/>
        </w:rPr>
        <w:t>arreglar</w:t>
      </w:r>
      <w:r>
        <w:rPr>
          <w:color w:val="231F20"/>
          <w:spacing w:val="-10"/>
          <w:w w:val="105"/>
        </w:rPr>
        <w:t> </w:t>
      </w:r>
      <w:r>
        <w:rPr>
          <w:color w:val="231F20"/>
          <w:w w:val="105"/>
        </w:rPr>
        <w:t>y</w:t>
      </w:r>
      <w:r>
        <w:rPr>
          <w:color w:val="231F20"/>
          <w:spacing w:val="-10"/>
          <w:w w:val="105"/>
        </w:rPr>
        <w:t> </w:t>
      </w:r>
      <w:r>
        <w:rPr>
          <w:color w:val="231F20"/>
          <w:w w:val="105"/>
        </w:rPr>
        <w:t>remodelar</w:t>
      </w:r>
      <w:r>
        <w:rPr>
          <w:color w:val="231F20"/>
          <w:spacing w:val="-10"/>
          <w:w w:val="105"/>
        </w:rPr>
        <w:t> </w:t>
      </w:r>
      <w:r>
        <w:rPr>
          <w:color w:val="231F20"/>
          <w:w w:val="105"/>
        </w:rPr>
        <w:t>casas</w:t>
      </w:r>
      <w:r>
        <w:rPr>
          <w:color w:val="231F20"/>
          <w:spacing w:val="-10"/>
          <w:w w:val="105"/>
        </w:rPr>
        <w:t> </w:t>
      </w:r>
      <w:r>
        <w:rPr>
          <w:color w:val="231F20"/>
          <w:w w:val="105"/>
        </w:rPr>
        <w:t>y</w:t>
      </w:r>
      <w:r>
        <w:rPr>
          <w:color w:val="231F20"/>
          <w:spacing w:val="-10"/>
          <w:w w:val="105"/>
        </w:rPr>
        <w:t> </w:t>
      </w:r>
      <w:r>
        <w:rPr>
          <w:color w:val="231F20"/>
          <w:w w:val="105"/>
        </w:rPr>
        <w:t>departamentos.</w:t>
      </w:r>
      <w:r>
        <w:rPr>
          <w:color w:val="231F20"/>
          <w:spacing w:val="-16"/>
          <w:w w:val="105"/>
        </w:rPr>
        <w:t> </w:t>
      </w:r>
      <w:r>
        <w:rPr>
          <w:color w:val="231F20"/>
          <w:w w:val="105"/>
        </w:rPr>
        <w:t>Él</w:t>
      </w:r>
      <w:r>
        <w:rPr>
          <w:color w:val="231F20"/>
          <w:spacing w:val="-10"/>
          <w:w w:val="105"/>
        </w:rPr>
        <w:t> </w:t>
      </w:r>
      <w:r>
        <w:rPr>
          <w:color w:val="231F20"/>
          <w:w w:val="105"/>
        </w:rPr>
        <w:t>trabaja</w:t>
      </w:r>
      <w:r>
        <w:rPr>
          <w:color w:val="231F20"/>
          <w:spacing w:val="39"/>
          <w:w w:val="105"/>
        </w:rPr>
        <w:t> </w:t>
      </w:r>
      <w:r>
        <w:rPr>
          <w:color w:val="231F20"/>
          <w:w w:val="105"/>
        </w:rPr>
        <w:t>sólo los</w:t>
      </w:r>
      <w:r>
        <w:rPr>
          <w:color w:val="231F20"/>
          <w:spacing w:val="-13"/>
          <w:w w:val="105"/>
        </w:rPr>
        <w:t> </w:t>
      </w:r>
      <w:r>
        <w:rPr>
          <w:color w:val="231F20"/>
          <w:w w:val="105"/>
        </w:rPr>
        <w:t>fines</w:t>
      </w:r>
      <w:r>
        <w:rPr>
          <w:color w:val="231F20"/>
          <w:spacing w:val="-13"/>
          <w:w w:val="105"/>
        </w:rPr>
        <w:t> </w:t>
      </w:r>
      <w:r>
        <w:rPr>
          <w:color w:val="231F20"/>
          <w:w w:val="105"/>
        </w:rPr>
        <w:t>de</w:t>
      </w:r>
      <w:r>
        <w:rPr>
          <w:color w:val="231F20"/>
          <w:spacing w:val="-13"/>
          <w:w w:val="105"/>
        </w:rPr>
        <w:t> </w:t>
      </w:r>
      <w:r>
        <w:rPr>
          <w:color w:val="231F20"/>
          <w:w w:val="105"/>
        </w:rPr>
        <w:t>semana.</w:t>
      </w:r>
      <w:r>
        <w:rPr>
          <w:color w:val="231F20"/>
          <w:spacing w:val="-21"/>
          <w:w w:val="105"/>
        </w:rPr>
        <w:t> </w:t>
      </w:r>
      <w:r>
        <w:rPr>
          <w:color w:val="231F20"/>
          <w:w w:val="105"/>
        </w:rPr>
        <w:t>Al</w:t>
      </w:r>
      <w:r>
        <w:rPr>
          <w:color w:val="231F20"/>
          <w:spacing w:val="-13"/>
          <w:w w:val="105"/>
        </w:rPr>
        <w:t> </w:t>
      </w:r>
      <w:r>
        <w:rPr>
          <w:color w:val="231F20"/>
          <w:w w:val="105"/>
        </w:rPr>
        <w:t>igual</w:t>
      </w:r>
      <w:r>
        <w:rPr>
          <w:color w:val="231F20"/>
          <w:spacing w:val="-13"/>
          <w:w w:val="105"/>
        </w:rPr>
        <w:t> </w:t>
      </w:r>
      <w:r>
        <w:rPr>
          <w:color w:val="231F20"/>
          <w:w w:val="105"/>
        </w:rPr>
        <w:t>que</w:t>
      </w:r>
      <w:r>
        <w:rPr>
          <w:color w:val="231F20"/>
          <w:spacing w:val="-13"/>
          <w:w w:val="105"/>
        </w:rPr>
        <w:t> </w:t>
      </w:r>
      <w:r>
        <w:rPr>
          <w:color w:val="231F20"/>
          <w:w w:val="105"/>
        </w:rPr>
        <w:t>sus</w:t>
      </w:r>
      <w:r>
        <w:rPr>
          <w:color w:val="231F20"/>
          <w:spacing w:val="-13"/>
          <w:w w:val="105"/>
        </w:rPr>
        <w:t> </w:t>
      </w:r>
      <w:r>
        <w:rPr>
          <w:color w:val="231F20"/>
          <w:w w:val="105"/>
        </w:rPr>
        <w:t>hermanos</w:t>
      </w:r>
      <w:r>
        <w:rPr>
          <w:color w:val="231F20"/>
          <w:spacing w:val="-13"/>
          <w:w w:val="105"/>
        </w:rPr>
        <w:t> </w:t>
      </w:r>
      <w:r>
        <w:rPr>
          <w:color w:val="231F20"/>
          <w:w w:val="105"/>
        </w:rPr>
        <w:t>se</w:t>
      </w:r>
      <w:r>
        <w:rPr>
          <w:color w:val="231F20"/>
          <w:spacing w:val="-13"/>
          <w:w w:val="105"/>
        </w:rPr>
        <w:t> </w:t>
      </w:r>
      <w:r>
        <w:rPr>
          <w:color w:val="231F20"/>
          <w:w w:val="105"/>
        </w:rPr>
        <w:t>especializó</w:t>
      </w:r>
      <w:r>
        <w:rPr>
          <w:color w:val="231F20"/>
          <w:spacing w:val="-13"/>
          <w:w w:val="105"/>
        </w:rPr>
        <w:t> </w:t>
      </w:r>
      <w:r>
        <w:rPr>
          <w:color w:val="231F20"/>
          <w:w w:val="105"/>
        </w:rPr>
        <w:t>en</w:t>
      </w:r>
      <w:r>
        <w:rPr>
          <w:color w:val="231F20"/>
          <w:spacing w:val="-13"/>
          <w:w w:val="105"/>
        </w:rPr>
        <w:t> </w:t>
      </w:r>
      <w:r>
        <w:rPr>
          <w:color w:val="231F20"/>
          <w:w w:val="105"/>
        </w:rPr>
        <w:t>un</w:t>
      </w:r>
      <w:r>
        <w:rPr>
          <w:color w:val="231F20"/>
          <w:spacing w:val="-13"/>
          <w:w w:val="105"/>
        </w:rPr>
        <w:t> </w:t>
      </w:r>
      <w:r>
        <w:rPr>
          <w:color w:val="231F20"/>
          <w:w w:val="105"/>
        </w:rPr>
        <w:t>ofi- cio relativo a la construcción: especialista en colocar pisos de maderas finas, luego de tomar un curso de capacitación que le permitió</w:t>
      </w:r>
      <w:r>
        <w:rPr>
          <w:color w:val="231F20"/>
          <w:spacing w:val="-21"/>
          <w:w w:val="105"/>
        </w:rPr>
        <w:t> </w:t>
      </w:r>
      <w:r>
        <w:rPr>
          <w:color w:val="231F20"/>
          <w:w w:val="105"/>
        </w:rPr>
        <w:t>desarro- llarse</w:t>
      </w:r>
      <w:r>
        <w:rPr>
          <w:color w:val="231F20"/>
          <w:spacing w:val="-18"/>
          <w:w w:val="105"/>
        </w:rPr>
        <w:t> </w:t>
      </w:r>
      <w:r>
        <w:rPr>
          <w:color w:val="231F20"/>
          <w:w w:val="105"/>
        </w:rPr>
        <w:t>en</w:t>
      </w:r>
      <w:r>
        <w:rPr>
          <w:color w:val="231F20"/>
          <w:spacing w:val="-18"/>
          <w:w w:val="105"/>
        </w:rPr>
        <w:t> </w:t>
      </w:r>
      <w:r>
        <w:rPr>
          <w:color w:val="231F20"/>
          <w:w w:val="105"/>
        </w:rPr>
        <w:t>ese</w:t>
      </w:r>
      <w:r>
        <w:rPr>
          <w:color w:val="231F20"/>
          <w:spacing w:val="-18"/>
          <w:w w:val="105"/>
        </w:rPr>
        <w:t> </w:t>
      </w:r>
      <w:r>
        <w:rPr>
          <w:color w:val="231F20"/>
          <w:w w:val="105"/>
        </w:rPr>
        <w:t>oficio</w:t>
      </w:r>
      <w:r>
        <w:rPr>
          <w:color w:val="231F20"/>
          <w:spacing w:val="-18"/>
          <w:w w:val="105"/>
        </w:rPr>
        <w:t> </w:t>
      </w:r>
      <w:r>
        <w:rPr>
          <w:color w:val="231F20"/>
          <w:w w:val="105"/>
        </w:rPr>
        <w:t>y</w:t>
      </w:r>
      <w:r>
        <w:rPr>
          <w:color w:val="231F20"/>
          <w:spacing w:val="-18"/>
          <w:w w:val="105"/>
        </w:rPr>
        <w:t> </w:t>
      </w:r>
      <w:r>
        <w:rPr>
          <w:color w:val="231F20"/>
          <w:w w:val="105"/>
        </w:rPr>
        <w:t>desempeñarlo</w:t>
      </w:r>
      <w:r>
        <w:rPr>
          <w:color w:val="231F20"/>
          <w:spacing w:val="-18"/>
          <w:w w:val="105"/>
        </w:rPr>
        <w:t> </w:t>
      </w:r>
      <w:r>
        <w:rPr>
          <w:color w:val="231F20"/>
          <w:w w:val="105"/>
        </w:rPr>
        <w:t>durante</w:t>
      </w:r>
      <w:r>
        <w:rPr>
          <w:color w:val="231F20"/>
          <w:spacing w:val="-18"/>
          <w:w w:val="105"/>
        </w:rPr>
        <w:t> </w:t>
      </w:r>
      <w:r>
        <w:rPr>
          <w:color w:val="231F20"/>
          <w:w w:val="105"/>
        </w:rPr>
        <w:t>varios</w:t>
      </w:r>
      <w:r>
        <w:rPr>
          <w:color w:val="231F20"/>
          <w:spacing w:val="-18"/>
          <w:w w:val="105"/>
        </w:rPr>
        <w:t> </w:t>
      </w:r>
      <w:r>
        <w:rPr>
          <w:color w:val="231F20"/>
          <w:w w:val="105"/>
        </w:rPr>
        <w:t>años.</w:t>
      </w:r>
      <w:r>
        <w:rPr>
          <w:color w:val="231F20"/>
          <w:spacing w:val="-24"/>
          <w:w w:val="105"/>
        </w:rPr>
        <w:t> </w:t>
      </w:r>
      <w:r>
        <w:rPr>
          <w:color w:val="231F20"/>
          <w:w w:val="105"/>
        </w:rPr>
        <w:t>Sobra</w:t>
      </w:r>
      <w:r>
        <w:rPr>
          <w:color w:val="231F20"/>
          <w:spacing w:val="-18"/>
          <w:w w:val="105"/>
        </w:rPr>
        <w:t> </w:t>
      </w:r>
      <w:r>
        <w:rPr>
          <w:color w:val="231F20"/>
          <w:w w:val="105"/>
        </w:rPr>
        <w:t>decir</w:t>
      </w:r>
      <w:r>
        <w:rPr>
          <w:color w:val="231F20"/>
          <w:spacing w:val="-18"/>
          <w:w w:val="105"/>
        </w:rPr>
        <w:t> </w:t>
      </w:r>
      <w:r>
        <w:rPr>
          <w:color w:val="231F20"/>
          <w:w w:val="105"/>
        </w:rPr>
        <w:t>que el</w:t>
      </w:r>
      <w:r>
        <w:rPr>
          <w:color w:val="231F20"/>
          <w:spacing w:val="-6"/>
          <w:w w:val="105"/>
        </w:rPr>
        <w:t> </w:t>
      </w:r>
      <w:r>
        <w:rPr>
          <w:color w:val="231F20"/>
          <w:w w:val="105"/>
        </w:rPr>
        <w:t>padre</w:t>
      </w:r>
      <w:r>
        <w:rPr>
          <w:color w:val="231F20"/>
          <w:spacing w:val="-6"/>
          <w:w w:val="105"/>
        </w:rPr>
        <w:t> </w:t>
      </w:r>
      <w:r>
        <w:rPr>
          <w:color w:val="231F20"/>
          <w:w w:val="105"/>
        </w:rPr>
        <w:t>fungía</w:t>
      </w:r>
      <w:r>
        <w:rPr>
          <w:color w:val="231F20"/>
          <w:spacing w:val="-6"/>
          <w:w w:val="105"/>
        </w:rPr>
        <w:t> </w:t>
      </w:r>
      <w:r>
        <w:rPr>
          <w:color w:val="231F20"/>
          <w:w w:val="105"/>
        </w:rPr>
        <w:t>como</w:t>
      </w:r>
      <w:r>
        <w:rPr>
          <w:color w:val="231F20"/>
          <w:spacing w:val="-6"/>
          <w:w w:val="105"/>
        </w:rPr>
        <w:t> </w:t>
      </w:r>
      <w:r>
        <w:rPr>
          <w:color w:val="231F20"/>
          <w:w w:val="105"/>
        </w:rPr>
        <w:t>maestro</w:t>
      </w:r>
      <w:r>
        <w:rPr>
          <w:color w:val="231F20"/>
          <w:spacing w:val="-6"/>
          <w:w w:val="105"/>
        </w:rPr>
        <w:t> </w:t>
      </w:r>
      <w:r>
        <w:rPr>
          <w:color w:val="231F20"/>
          <w:w w:val="105"/>
        </w:rPr>
        <w:t>albañil,</w:t>
      </w:r>
      <w:r>
        <w:rPr>
          <w:color w:val="231F20"/>
          <w:spacing w:val="-12"/>
          <w:w w:val="105"/>
        </w:rPr>
        <w:t> </w:t>
      </w:r>
      <w:r>
        <w:rPr>
          <w:color w:val="231F20"/>
          <w:w w:val="105"/>
        </w:rPr>
        <w:t>coordinador</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obra.</w:t>
      </w:r>
    </w:p>
    <w:p>
      <w:pPr>
        <w:pStyle w:val="BodyText"/>
        <w:spacing w:line="261" w:lineRule="auto" w:before="1"/>
        <w:ind w:left="1723" w:right="1834" w:firstLine="567"/>
        <w:jc w:val="both"/>
      </w:pPr>
      <w:r>
        <w:rPr>
          <w:color w:val="231F20"/>
          <w:w w:val="105"/>
        </w:rPr>
        <w:t>Adicionalmente,</w:t>
      </w:r>
      <w:r>
        <w:rPr>
          <w:color w:val="231F20"/>
          <w:spacing w:val="-16"/>
          <w:w w:val="105"/>
        </w:rPr>
        <w:t> </w:t>
      </w:r>
      <w:r>
        <w:rPr>
          <w:color w:val="231F20"/>
          <w:w w:val="105"/>
        </w:rPr>
        <w:t>Moisés</w:t>
      </w:r>
      <w:r>
        <w:rPr>
          <w:color w:val="231F20"/>
          <w:spacing w:val="-12"/>
          <w:w w:val="105"/>
        </w:rPr>
        <w:t> </w:t>
      </w:r>
      <w:r>
        <w:rPr>
          <w:color w:val="231F20"/>
          <w:w w:val="105"/>
        </w:rPr>
        <w:t>compraba</w:t>
      </w:r>
      <w:r>
        <w:rPr>
          <w:color w:val="231F20"/>
          <w:spacing w:val="-12"/>
          <w:w w:val="105"/>
        </w:rPr>
        <w:t> </w:t>
      </w:r>
      <w:r>
        <w:rPr>
          <w:color w:val="231F20"/>
          <w:w w:val="105"/>
        </w:rPr>
        <w:t>ropa</w:t>
      </w:r>
      <w:r>
        <w:rPr>
          <w:color w:val="231F20"/>
          <w:spacing w:val="-12"/>
          <w:w w:val="105"/>
        </w:rPr>
        <w:t> </w:t>
      </w:r>
      <w:r>
        <w:rPr>
          <w:color w:val="231F20"/>
          <w:w w:val="105"/>
        </w:rPr>
        <w:t>y</w:t>
      </w:r>
      <w:r>
        <w:rPr>
          <w:color w:val="231F20"/>
          <w:spacing w:val="-12"/>
          <w:w w:val="105"/>
        </w:rPr>
        <w:t> </w:t>
      </w:r>
      <w:r>
        <w:rPr>
          <w:color w:val="231F20"/>
          <w:w w:val="105"/>
        </w:rPr>
        <w:t>zapatos</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5"/>
          <w:w w:val="105"/>
        </w:rPr>
        <w:t> </w:t>
      </w:r>
      <w:r>
        <w:rPr>
          <w:color w:val="231F20"/>
          <w:w w:val="105"/>
        </w:rPr>
        <w:t>Ángeles y</w:t>
      </w:r>
      <w:r>
        <w:rPr>
          <w:color w:val="231F20"/>
          <w:spacing w:val="-13"/>
          <w:w w:val="105"/>
        </w:rPr>
        <w:t> </w:t>
      </w:r>
      <w:r>
        <w:rPr>
          <w:color w:val="231F20"/>
          <w:w w:val="105"/>
        </w:rPr>
        <w:t>los</w:t>
      </w:r>
      <w:r>
        <w:rPr>
          <w:color w:val="231F20"/>
          <w:spacing w:val="-13"/>
          <w:w w:val="105"/>
        </w:rPr>
        <w:t> </w:t>
      </w:r>
      <w:r>
        <w:rPr>
          <w:color w:val="231F20"/>
          <w:w w:val="105"/>
        </w:rPr>
        <w:t>vendía</w:t>
      </w:r>
      <w:r>
        <w:rPr>
          <w:color w:val="231F20"/>
          <w:spacing w:val="-13"/>
          <w:w w:val="105"/>
        </w:rPr>
        <w:t> </w:t>
      </w:r>
      <w:r>
        <w:rPr>
          <w:color w:val="231F20"/>
          <w:w w:val="105"/>
        </w:rPr>
        <w:t>entre</w:t>
      </w:r>
      <w:r>
        <w:rPr>
          <w:color w:val="231F20"/>
          <w:spacing w:val="-13"/>
          <w:w w:val="105"/>
        </w:rPr>
        <w:t> </w:t>
      </w:r>
      <w:r>
        <w:rPr>
          <w:color w:val="231F20"/>
          <w:w w:val="105"/>
        </w:rPr>
        <w:t>otros</w:t>
      </w:r>
      <w:r>
        <w:rPr>
          <w:color w:val="231F20"/>
          <w:spacing w:val="-13"/>
          <w:w w:val="105"/>
        </w:rPr>
        <w:t> </w:t>
      </w:r>
      <w:r>
        <w:rPr>
          <w:color w:val="231F20"/>
          <w:w w:val="105"/>
        </w:rPr>
        <w:t>paisanos</w:t>
      </w:r>
      <w:r>
        <w:rPr>
          <w:color w:val="231F20"/>
          <w:spacing w:val="-13"/>
          <w:w w:val="105"/>
        </w:rPr>
        <w:t> </w:t>
      </w:r>
      <w:r>
        <w:rPr>
          <w:color w:val="231F20"/>
          <w:w w:val="105"/>
        </w:rPr>
        <w:t>mexicanos</w:t>
      </w:r>
      <w:r>
        <w:rPr>
          <w:color w:val="231F20"/>
          <w:spacing w:val="-13"/>
          <w:w w:val="105"/>
        </w:rPr>
        <w:t> </w:t>
      </w:r>
      <w:r>
        <w:rPr>
          <w:color w:val="231F20"/>
          <w:w w:val="105"/>
        </w:rPr>
        <w:t>que</w:t>
      </w:r>
      <w:r>
        <w:rPr>
          <w:color w:val="231F20"/>
          <w:spacing w:val="-13"/>
          <w:w w:val="105"/>
        </w:rPr>
        <w:t> </w:t>
      </w:r>
      <w:r>
        <w:rPr>
          <w:color w:val="231F20"/>
          <w:w w:val="105"/>
        </w:rPr>
        <w:t>radicaban</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conda- do</w:t>
      </w:r>
      <w:r>
        <w:rPr>
          <w:color w:val="231F20"/>
          <w:spacing w:val="-7"/>
          <w:w w:val="105"/>
        </w:rPr>
        <w:t> </w:t>
      </w:r>
      <w:r>
        <w:rPr>
          <w:color w:val="231F20"/>
          <w:w w:val="105"/>
        </w:rPr>
        <w:t>donde</w:t>
      </w:r>
      <w:r>
        <w:rPr>
          <w:color w:val="231F20"/>
          <w:spacing w:val="-7"/>
          <w:w w:val="105"/>
        </w:rPr>
        <w:t> </w:t>
      </w:r>
      <w:r>
        <w:rPr>
          <w:color w:val="231F20"/>
          <w:w w:val="105"/>
        </w:rPr>
        <w:t>residía</w:t>
      </w:r>
      <w:r>
        <w:rPr>
          <w:color w:val="231F20"/>
          <w:spacing w:val="-7"/>
          <w:w w:val="105"/>
        </w:rPr>
        <w:t> </w:t>
      </w:r>
      <w:r>
        <w:rPr>
          <w:color w:val="231F20"/>
          <w:w w:val="105"/>
        </w:rPr>
        <w:t>con</w:t>
      </w:r>
      <w:r>
        <w:rPr>
          <w:color w:val="231F20"/>
          <w:spacing w:val="-7"/>
          <w:w w:val="105"/>
        </w:rPr>
        <w:t> </w:t>
      </w:r>
      <w:r>
        <w:rPr>
          <w:color w:val="231F20"/>
          <w:w w:val="105"/>
        </w:rPr>
        <w:t>sus</w:t>
      </w:r>
      <w:r>
        <w:rPr>
          <w:color w:val="231F20"/>
          <w:spacing w:val="-7"/>
          <w:w w:val="105"/>
        </w:rPr>
        <w:t> </w:t>
      </w:r>
      <w:r>
        <w:rPr>
          <w:color w:val="231F20"/>
          <w:w w:val="105"/>
        </w:rPr>
        <w:t>hermanos,</w:t>
      </w:r>
      <w:r>
        <w:rPr>
          <w:color w:val="231F20"/>
          <w:spacing w:val="-12"/>
          <w:w w:val="105"/>
        </w:rPr>
        <w:t> </w:t>
      </w:r>
      <w:r>
        <w:rPr>
          <w:color w:val="231F20"/>
          <w:w w:val="105"/>
        </w:rPr>
        <w:t>a</w:t>
      </w:r>
      <w:r>
        <w:rPr>
          <w:color w:val="231F20"/>
          <w:spacing w:val="-7"/>
          <w:w w:val="105"/>
        </w:rPr>
        <w:t> </w:t>
      </w:r>
      <w:r>
        <w:rPr>
          <w:color w:val="231F20"/>
          <w:w w:val="105"/>
        </w:rPr>
        <w:t>las</w:t>
      </w:r>
      <w:r>
        <w:rPr>
          <w:color w:val="231F20"/>
          <w:spacing w:val="-7"/>
          <w:w w:val="105"/>
        </w:rPr>
        <w:t> </w:t>
      </w:r>
      <w:r>
        <w:rPr>
          <w:color w:val="231F20"/>
          <w:w w:val="105"/>
        </w:rPr>
        <w:t>afueras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ciudad.</w:t>
      </w:r>
      <w:r>
        <w:rPr>
          <w:color w:val="231F20"/>
          <w:spacing w:val="-12"/>
          <w:w w:val="105"/>
        </w:rPr>
        <w:t> </w:t>
      </w:r>
      <w:r>
        <w:rPr>
          <w:color w:val="231F20"/>
          <w:w w:val="105"/>
        </w:rPr>
        <w:t>Cuando Moisés ingresó a la universidad se mudó a la ciudad de Los Ángeles y allí</w:t>
      </w:r>
      <w:r>
        <w:rPr>
          <w:color w:val="231F20"/>
          <w:spacing w:val="-7"/>
          <w:w w:val="105"/>
        </w:rPr>
        <w:t> </w:t>
      </w:r>
      <w:r>
        <w:rPr>
          <w:color w:val="231F20"/>
          <w:w w:val="105"/>
        </w:rPr>
        <w:t>empezó</w:t>
      </w:r>
      <w:r>
        <w:rPr>
          <w:color w:val="231F20"/>
          <w:spacing w:val="-7"/>
          <w:w w:val="105"/>
        </w:rPr>
        <w:t> </w:t>
      </w:r>
      <w:r>
        <w:rPr>
          <w:color w:val="231F20"/>
          <w:w w:val="105"/>
        </w:rPr>
        <w:t>a</w:t>
      </w:r>
      <w:r>
        <w:rPr>
          <w:color w:val="231F20"/>
          <w:spacing w:val="-7"/>
          <w:w w:val="105"/>
        </w:rPr>
        <w:t> </w:t>
      </w:r>
      <w:r>
        <w:rPr>
          <w:color w:val="231F20"/>
          <w:w w:val="105"/>
        </w:rPr>
        <w:t>trabajar</w:t>
      </w:r>
      <w:r>
        <w:rPr>
          <w:color w:val="231F20"/>
          <w:spacing w:val="-7"/>
          <w:w w:val="105"/>
        </w:rPr>
        <w:t> </w:t>
      </w:r>
      <w:r>
        <w:rPr>
          <w:color w:val="231F20"/>
          <w:w w:val="105"/>
        </w:rPr>
        <w:t>en</w:t>
      </w:r>
      <w:r>
        <w:rPr>
          <w:color w:val="231F20"/>
          <w:spacing w:val="-7"/>
          <w:w w:val="105"/>
        </w:rPr>
        <w:t> </w:t>
      </w:r>
      <w:r>
        <w:rPr>
          <w:color w:val="231F20"/>
          <w:w w:val="105"/>
        </w:rPr>
        <w:t>un</w:t>
      </w:r>
      <w:r>
        <w:rPr>
          <w:color w:val="231F20"/>
          <w:spacing w:val="-7"/>
          <w:w w:val="105"/>
        </w:rPr>
        <w:t> </w:t>
      </w:r>
      <w:r>
        <w:rPr>
          <w:color w:val="231F20"/>
          <w:w w:val="105"/>
        </w:rPr>
        <w:t>club</w:t>
      </w:r>
      <w:r>
        <w:rPr>
          <w:color w:val="231F20"/>
          <w:spacing w:val="-7"/>
          <w:w w:val="105"/>
        </w:rPr>
        <w:t> </w:t>
      </w:r>
      <w:r>
        <w:rPr>
          <w:color w:val="231F20"/>
          <w:w w:val="105"/>
        </w:rPr>
        <w:t>de</w:t>
      </w:r>
      <w:r>
        <w:rPr>
          <w:color w:val="231F20"/>
          <w:spacing w:val="-7"/>
          <w:w w:val="105"/>
        </w:rPr>
        <w:t> </w:t>
      </w:r>
      <w:r>
        <w:rPr>
          <w:color w:val="231F20"/>
          <w:w w:val="105"/>
        </w:rPr>
        <w:t>golf</w:t>
      </w:r>
      <w:r>
        <w:rPr>
          <w:color w:val="231F20"/>
          <w:spacing w:val="-2"/>
          <w:w w:val="105"/>
        </w:rPr>
        <w:t> </w:t>
      </w:r>
      <w:r>
        <w:rPr>
          <w:color w:val="231F20"/>
          <w:w w:val="105"/>
        </w:rPr>
        <w:t>como</w:t>
      </w:r>
      <w:r>
        <w:rPr>
          <w:color w:val="231F20"/>
          <w:spacing w:val="-7"/>
          <w:w w:val="105"/>
        </w:rPr>
        <w:t> </w:t>
      </w:r>
      <w:r>
        <w:rPr>
          <w:color w:val="231F20"/>
          <w:w w:val="105"/>
        </w:rPr>
        <w:t>jardinero,</w:t>
      </w:r>
      <w:r>
        <w:rPr>
          <w:color w:val="231F20"/>
          <w:spacing w:val="-13"/>
          <w:w w:val="105"/>
        </w:rPr>
        <w:t> </w:t>
      </w:r>
      <w:r>
        <w:rPr>
          <w:color w:val="231F20"/>
          <w:w w:val="105"/>
        </w:rPr>
        <w:t>eventualmente también</w:t>
      </w:r>
      <w:r>
        <w:rPr>
          <w:color w:val="231F20"/>
          <w:spacing w:val="-10"/>
          <w:w w:val="105"/>
        </w:rPr>
        <w:t> </w:t>
      </w:r>
      <w:r>
        <w:rPr>
          <w:color w:val="231F20"/>
          <w:w w:val="105"/>
        </w:rPr>
        <w:t>laboró</w:t>
      </w:r>
      <w:r>
        <w:rPr>
          <w:color w:val="231F20"/>
          <w:spacing w:val="-10"/>
          <w:w w:val="105"/>
        </w:rPr>
        <w:t> </w:t>
      </w:r>
      <w:r>
        <w:rPr>
          <w:color w:val="231F20"/>
          <w:w w:val="105"/>
        </w:rPr>
        <w:t>como</w:t>
      </w:r>
      <w:r>
        <w:rPr>
          <w:color w:val="231F20"/>
          <w:spacing w:val="-10"/>
          <w:w w:val="105"/>
        </w:rPr>
        <w:t> </w:t>
      </w:r>
      <w:r>
        <w:rPr>
          <w:color w:val="231F20"/>
          <w:w w:val="105"/>
        </w:rPr>
        <w:t>parrillero</w:t>
      </w:r>
      <w:r>
        <w:rPr>
          <w:color w:val="231F20"/>
          <w:spacing w:val="-10"/>
          <w:w w:val="105"/>
        </w:rPr>
        <w:t> </w:t>
      </w:r>
      <w:r>
        <w:rPr>
          <w:color w:val="231F20"/>
          <w:w w:val="105"/>
        </w:rPr>
        <w:t>los</w:t>
      </w:r>
      <w:r>
        <w:rPr>
          <w:color w:val="231F20"/>
          <w:spacing w:val="-10"/>
          <w:w w:val="105"/>
        </w:rPr>
        <w:t> </w:t>
      </w:r>
      <w:r>
        <w:rPr>
          <w:color w:val="231F20"/>
          <w:w w:val="105"/>
        </w:rPr>
        <w:t>fines</w:t>
      </w:r>
      <w:r>
        <w:rPr>
          <w:color w:val="231F20"/>
          <w:spacing w:val="-10"/>
          <w:w w:val="105"/>
        </w:rPr>
        <w:t> </w:t>
      </w:r>
      <w:r>
        <w:rPr>
          <w:color w:val="231F20"/>
          <w:w w:val="105"/>
        </w:rPr>
        <w:t>de</w:t>
      </w:r>
      <w:r>
        <w:rPr>
          <w:color w:val="231F20"/>
          <w:spacing w:val="-10"/>
          <w:w w:val="105"/>
        </w:rPr>
        <w:t> </w:t>
      </w:r>
      <w:r>
        <w:rPr>
          <w:color w:val="231F20"/>
          <w:w w:val="105"/>
        </w:rPr>
        <w:t>semana.</w:t>
      </w:r>
    </w:p>
    <w:p>
      <w:pPr>
        <w:pStyle w:val="BodyText"/>
        <w:spacing w:line="261" w:lineRule="auto" w:before="1"/>
        <w:ind w:left="1723" w:right="1829" w:firstLine="567"/>
        <w:jc w:val="right"/>
      </w:pPr>
      <w:r>
        <w:rPr>
          <w:color w:val="231F20"/>
          <w:w w:val="105"/>
        </w:rPr>
        <w:t>Cuando este joven fue </w:t>
      </w:r>
      <w:r>
        <w:rPr>
          <w:color w:val="231F20"/>
          <w:spacing w:val="-3"/>
          <w:w w:val="105"/>
        </w:rPr>
        <w:t>entrevistado, </w:t>
      </w:r>
      <w:r>
        <w:rPr>
          <w:color w:val="231F20"/>
          <w:w w:val="105"/>
        </w:rPr>
        <w:t>2011, tenía dos años</w:t>
      </w:r>
      <w:r>
        <w:rPr>
          <w:color w:val="231F20"/>
          <w:spacing w:val="40"/>
          <w:w w:val="105"/>
        </w:rPr>
        <w:t> </w:t>
      </w:r>
      <w:r>
        <w:rPr>
          <w:color w:val="231F20"/>
          <w:w w:val="105"/>
        </w:rPr>
        <w:t>de</w:t>
      </w:r>
      <w:r>
        <w:rPr>
          <w:color w:val="231F20"/>
          <w:spacing w:val="5"/>
          <w:w w:val="105"/>
        </w:rPr>
        <w:t> </w:t>
      </w:r>
      <w:r>
        <w:rPr>
          <w:color w:val="231F20"/>
          <w:w w:val="105"/>
        </w:rPr>
        <w:t>ha-</w:t>
      </w:r>
      <w:r>
        <w:rPr>
          <w:color w:val="231F20"/>
          <w:w w:val="96"/>
        </w:rPr>
        <w:t> </w:t>
      </w:r>
      <w:r>
        <w:rPr>
          <w:color w:val="231F20"/>
          <w:w w:val="105"/>
        </w:rPr>
        <w:t>ber</w:t>
      </w:r>
      <w:r>
        <w:rPr>
          <w:color w:val="231F20"/>
          <w:spacing w:val="-15"/>
          <w:w w:val="105"/>
        </w:rPr>
        <w:t> </w:t>
      </w:r>
      <w:r>
        <w:rPr>
          <w:color w:val="231F20"/>
          <w:spacing w:val="-3"/>
          <w:w w:val="105"/>
        </w:rPr>
        <w:t>regresado</w:t>
      </w:r>
      <w:r>
        <w:rPr>
          <w:color w:val="231F20"/>
          <w:spacing w:val="-15"/>
          <w:w w:val="105"/>
        </w:rPr>
        <w:t> </w:t>
      </w:r>
      <w:r>
        <w:rPr>
          <w:color w:val="231F20"/>
          <w:w w:val="105"/>
        </w:rPr>
        <w:t>a</w:t>
      </w:r>
      <w:r>
        <w:rPr>
          <w:color w:val="231F20"/>
          <w:spacing w:val="-15"/>
          <w:w w:val="105"/>
        </w:rPr>
        <w:t> </w:t>
      </w:r>
      <w:r>
        <w:rPr>
          <w:color w:val="231F20"/>
          <w:w w:val="105"/>
        </w:rPr>
        <w:t>Nezahualcóyotl.</w:t>
      </w:r>
      <w:r>
        <w:rPr>
          <w:color w:val="231F20"/>
          <w:spacing w:val="-20"/>
          <w:w w:val="105"/>
        </w:rPr>
        <w:t> </w:t>
      </w:r>
      <w:r>
        <w:rPr>
          <w:color w:val="231F20"/>
          <w:w w:val="105"/>
        </w:rPr>
        <w:t>Dijo</w:t>
      </w:r>
      <w:r>
        <w:rPr>
          <w:color w:val="231F20"/>
          <w:spacing w:val="-15"/>
          <w:w w:val="105"/>
        </w:rPr>
        <w:t> </w:t>
      </w:r>
      <w:r>
        <w:rPr>
          <w:color w:val="231F20"/>
          <w:w w:val="105"/>
        </w:rPr>
        <w:t>no</w:t>
      </w:r>
      <w:r>
        <w:rPr>
          <w:color w:val="231F20"/>
          <w:spacing w:val="-15"/>
          <w:w w:val="105"/>
        </w:rPr>
        <w:t> </w:t>
      </w:r>
      <w:r>
        <w:rPr>
          <w:color w:val="231F20"/>
          <w:w w:val="105"/>
        </w:rPr>
        <w:t>tener</w:t>
      </w:r>
      <w:r>
        <w:rPr>
          <w:color w:val="231F20"/>
          <w:spacing w:val="-15"/>
          <w:w w:val="105"/>
        </w:rPr>
        <w:t> </w:t>
      </w:r>
      <w:r>
        <w:rPr>
          <w:color w:val="231F20"/>
          <w:w w:val="105"/>
        </w:rPr>
        <w:t>algún</w:t>
      </w:r>
      <w:r>
        <w:rPr>
          <w:color w:val="231F20"/>
          <w:spacing w:val="-15"/>
          <w:w w:val="105"/>
        </w:rPr>
        <w:t> </w:t>
      </w:r>
      <w:r>
        <w:rPr>
          <w:color w:val="231F20"/>
          <w:w w:val="105"/>
        </w:rPr>
        <w:t>plan</w:t>
      </w:r>
      <w:r>
        <w:rPr>
          <w:color w:val="231F20"/>
          <w:spacing w:val="-15"/>
          <w:w w:val="105"/>
        </w:rPr>
        <w:t> </w:t>
      </w:r>
      <w:r>
        <w:rPr>
          <w:color w:val="231F20"/>
          <w:w w:val="105"/>
        </w:rPr>
        <w:t>para</w:t>
      </w:r>
      <w:r>
        <w:rPr>
          <w:color w:val="231F20"/>
          <w:spacing w:val="-15"/>
          <w:w w:val="105"/>
        </w:rPr>
        <w:t> </w:t>
      </w:r>
      <w:r>
        <w:rPr>
          <w:color w:val="231F20"/>
          <w:spacing w:val="-3"/>
          <w:w w:val="105"/>
        </w:rPr>
        <w:t>retornar</w:t>
      </w:r>
      <w:r>
        <w:rPr>
          <w:color w:val="231F20"/>
          <w:spacing w:val="-15"/>
          <w:w w:val="105"/>
        </w:rPr>
        <w:t> </w:t>
      </w:r>
      <w:r>
        <w:rPr>
          <w:color w:val="231F20"/>
          <w:w w:val="105"/>
        </w:rPr>
        <w:t>a</w:t>
      </w:r>
      <w:r>
        <w:rPr>
          <w:color w:val="231F20"/>
          <w:w w:val="96"/>
        </w:rPr>
        <w:t> </w:t>
      </w:r>
      <w:r>
        <w:rPr>
          <w:color w:val="231F20"/>
          <w:spacing w:val="-3"/>
          <w:w w:val="105"/>
        </w:rPr>
        <w:t>México,</w:t>
      </w:r>
      <w:r>
        <w:rPr>
          <w:color w:val="231F20"/>
          <w:spacing w:val="-23"/>
          <w:w w:val="105"/>
        </w:rPr>
        <w:t> </w:t>
      </w:r>
      <w:r>
        <w:rPr>
          <w:color w:val="231F20"/>
          <w:w w:val="105"/>
        </w:rPr>
        <w:t>ni</w:t>
      </w:r>
      <w:r>
        <w:rPr>
          <w:color w:val="231F20"/>
          <w:spacing w:val="-18"/>
          <w:w w:val="105"/>
        </w:rPr>
        <w:t> </w:t>
      </w:r>
      <w:r>
        <w:rPr>
          <w:color w:val="231F20"/>
          <w:w w:val="105"/>
        </w:rPr>
        <w:t>siquiera</w:t>
      </w:r>
      <w:r>
        <w:rPr>
          <w:color w:val="231F20"/>
          <w:spacing w:val="-18"/>
          <w:w w:val="105"/>
        </w:rPr>
        <w:t> </w:t>
      </w:r>
      <w:r>
        <w:rPr>
          <w:color w:val="231F20"/>
          <w:w w:val="105"/>
        </w:rPr>
        <w:t>intenciones</w:t>
      </w:r>
      <w:r>
        <w:rPr>
          <w:color w:val="231F20"/>
          <w:spacing w:val="-18"/>
          <w:w w:val="105"/>
        </w:rPr>
        <w:t> </w:t>
      </w:r>
      <w:r>
        <w:rPr>
          <w:color w:val="231F20"/>
          <w:w w:val="105"/>
        </w:rPr>
        <w:t>de</w:t>
      </w:r>
      <w:r>
        <w:rPr>
          <w:color w:val="231F20"/>
          <w:spacing w:val="-18"/>
          <w:w w:val="105"/>
        </w:rPr>
        <w:t> </w:t>
      </w:r>
      <w:r>
        <w:rPr>
          <w:color w:val="231F20"/>
          <w:w w:val="105"/>
        </w:rPr>
        <w:t>hacerlo,</w:t>
      </w:r>
      <w:r>
        <w:rPr>
          <w:color w:val="231F20"/>
          <w:spacing w:val="-23"/>
          <w:w w:val="105"/>
        </w:rPr>
        <w:t> </w:t>
      </w:r>
      <w:r>
        <w:rPr>
          <w:color w:val="231F20"/>
          <w:spacing w:val="-3"/>
          <w:w w:val="105"/>
        </w:rPr>
        <w:t>pero</w:t>
      </w:r>
      <w:r>
        <w:rPr>
          <w:color w:val="231F20"/>
          <w:spacing w:val="-18"/>
          <w:w w:val="105"/>
        </w:rPr>
        <w:t> </w:t>
      </w:r>
      <w:r>
        <w:rPr>
          <w:color w:val="231F20"/>
          <w:w w:val="105"/>
        </w:rPr>
        <w:t>un</w:t>
      </w:r>
      <w:r>
        <w:rPr>
          <w:color w:val="231F20"/>
          <w:spacing w:val="-18"/>
          <w:w w:val="105"/>
        </w:rPr>
        <w:t> </w:t>
      </w:r>
      <w:r>
        <w:rPr>
          <w:color w:val="231F20"/>
          <w:w w:val="105"/>
        </w:rPr>
        <w:t>día,</w:t>
      </w:r>
      <w:r>
        <w:rPr>
          <w:color w:val="231F20"/>
          <w:spacing w:val="-23"/>
          <w:w w:val="105"/>
        </w:rPr>
        <w:t> </w:t>
      </w:r>
      <w:r>
        <w:rPr>
          <w:color w:val="231F20"/>
          <w:w w:val="105"/>
        </w:rPr>
        <w:t>ante</w:t>
      </w:r>
      <w:r>
        <w:rPr>
          <w:color w:val="231F20"/>
          <w:spacing w:val="-18"/>
          <w:w w:val="105"/>
        </w:rPr>
        <w:t> </w:t>
      </w:r>
      <w:r>
        <w:rPr>
          <w:color w:val="231F20"/>
          <w:w w:val="105"/>
        </w:rPr>
        <w:t>el</w:t>
      </w:r>
      <w:r>
        <w:rPr>
          <w:color w:val="231F20"/>
          <w:spacing w:val="-18"/>
          <w:w w:val="105"/>
        </w:rPr>
        <w:t> </w:t>
      </w:r>
      <w:r>
        <w:rPr>
          <w:color w:val="231F20"/>
          <w:w w:val="105"/>
        </w:rPr>
        <w:t>inminente</w:t>
      </w:r>
      <w:r>
        <w:rPr>
          <w:color w:val="231F20"/>
          <w:spacing w:val="-2"/>
          <w:w w:val="105"/>
        </w:rPr>
        <w:t> </w:t>
      </w:r>
      <w:r>
        <w:rPr>
          <w:color w:val="231F20"/>
          <w:w w:val="105"/>
        </w:rPr>
        <w:t>despojo</w:t>
      </w:r>
      <w:r>
        <w:rPr>
          <w:color w:val="231F20"/>
          <w:spacing w:val="-15"/>
          <w:w w:val="105"/>
        </w:rPr>
        <w:t> </w:t>
      </w:r>
      <w:r>
        <w:rPr>
          <w:color w:val="231F20"/>
          <w:w w:val="105"/>
        </w:rPr>
        <w:t>de</w:t>
      </w:r>
      <w:r>
        <w:rPr>
          <w:color w:val="231F20"/>
          <w:spacing w:val="-15"/>
          <w:w w:val="105"/>
        </w:rPr>
        <w:t> </w:t>
      </w:r>
      <w:r>
        <w:rPr>
          <w:color w:val="231F20"/>
          <w:w w:val="105"/>
        </w:rPr>
        <w:t>su</w:t>
      </w:r>
      <w:r>
        <w:rPr>
          <w:color w:val="231F20"/>
          <w:spacing w:val="-15"/>
          <w:w w:val="105"/>
        </w:rPr>
        <w:t> </w:t>
      </w:r>
      <w:r>
        <w:rPr>
          <w:color w:val="231F20"/>
          <w:w w:val="105"/>
        </w:rPr>
        <w:t>casa</w:t>
      </w:r>
      <w:r>
        <w:rPr>
          <w:color w:val="231F20"/>
          <w:spacing w:val="-15"/>
          <w:w w:val="105"/>
        </w:rPr>
        <w:t> </w:t>
      </w:r>
      <w:r>
        <w:rPr>
          <w:color w:val="231F20"/>
          <w:w w:val="105"/>
        </w:rPr>
        <w:t>en</w:t>
      </w:r>
      <w:r>
        <w:rPr>
          <w:color w:val="231F20"/>
          <w:spacing w:val="-15"/>
          <w:w w:val="105"/>
        </w:rPr>
        <w:t> </w:t>
      </w:r>
      <w:r>
        <w:rPr>
          <w:color w:val="231F20"/>
          <w:spacing w:val="-3"/>
          <w:w w:val="105"/>
        </w:rPr>
        <w:t>México,</w:t>
      </w:r>
      <w:r>
        <w:rPr>
          <w:color w:val="231F20"/>
          <w:spacing w:val="-20"/>
          <w:w w:val="105"/>
        </w:rPr>
        <w:t> </w:t>
      </w:r>
      <w:r>
        <w:rPr>
          <w:color w:val="231F20"/>
          <w:w w:val="105"/>
        </w:rPr>
        <w:t>su</w:t>
      </w:r>
      <w:r>
        <w:rPr>
          <w:color w:val="231F20"/>
          <w:spacing w:val="-15"/>
          <w:w w:val="105"/>
        </w:rPr>
        <w:t> </w:t>
      </w:r>
      <w:r>
        <w:rPr>
          <w:color w:val="231F20"/>
          <w:spacing w:val="-3"/>
          <w:w w:val="105"/>
        </w:rPr>
        <w:t>padre</w:t>
      </w:r>
      <w:r>
        <w:rPr>
          <w:color w:val="231F20"/>
          <w:spacing w:val="-15"/>
          <w:w w:val="105"/>
        </w:rPr>
        <w:t> </w:t>
      </w:r>
      <w:r>
        <w:rPr>
          <w:color w:val="231F20"/>
          <w:w w:val="105"/>
        </w:rPr>
        <w:t>tuvo</w:t>
      </w:r>
      <w:r>
        <w:rPr>
          <w:color w:val="231F20"/>
          <w:spacing w:val="-15"/>
          <w:w w:val="105"/>
        </w:rPr>
        <w:t> </w:t>
      </w:r>
      <w:r>
        <w:rPr>
          <w:color w:val="231F20"/>
          <w:w w:val="105"/>
        </w:rPr>
        <w:t>que</w:t>
      </w:r>
      <w:r>
        <w:rPr>
          <w:color w:val="231F20"/>
          <w:spacing w:val="-15"/>
          <w:w w:val="105"/>
        </w:rPr>
        <w:t> </w:t>
      </w:r>
      <w:r>
        <w:rPr>
          <w:color w:val="231F20"/>
          <w:spacing w:val="-4"/>
          <w:w w:val="105"/>
        </w:rPr>
        <w:t>volver,</w:t>
      </w:r>
      <w:r>
        <w:rPr>
          <w:color w:val="231F20"/>
          <w:spacing w:val="-20"/>
          <w:w w:val="105"/>
        </w:rPr>
        <w:t> </w:t>
      </w:r>
      <w:r>
        <w:rPr>
          <w:color w:val="231F20"/>
          <w:w w:val="105"/>
        </w:rPr>
        <w:t>y</w:t>
      </w:r>
      <w:r>
        <w:rPr>
          <w:color w:val="231F20"/>
          <w:spacing w:val="-15"/>
          <w:w w:val="105"/>
        </w:rPr>
        <w:t> </w:t>
      </w:r>
      <w:r>
        <w:rPr>
          <w:color w:val="231F20"/>
          <w:w w:val="105"/>
        </w:rPr>
        <w:t>como</w:t>
      </w:r>
      <w:r>
        <w:rPr>
          <w:color w:val="231F20"/>
          <w:spacing w:val="-15"/>
          <w:w w:val="105"/>
        </w:rPr>
        <w:t> </w:t>
      </w:r>
      <w:r>
        <w:rPr>
          <w:color w:val="231F20"/>
          <w:w w:val="105"/>
        </w:rPr>
        <w:t>no</w:t>
      </w:r>
      <w:r>
        <w:rPr>
          <w:color w:val="231F20"/>
          <w:spacing w:val="-15"/>
          <w:w w:val="105"/>
        </w:rPr>
        <w:t> </w:t>
      </w:r>
      <w:r>
        <w:rPr>
          <w:color w:val="231F20"/>
          <w:w w:val="105"/>
        </w:rPr>
        <w:t>sabe</w:t>
      </w:r>
      <w:r>
        <w:rPr>
          <w:color w:val="231F20"/>
          <w:spacing w:val="-2"/>
          <w:w w:val="100"/>
        </w:rPr>
        <w:t> </w:t>
      </w:r>
      <w:r>
        <w:rPr>
          <w:color w:val="231F20"/>
          <w:w w:val="105"/>
        </w:rPr>
        <w:t>leer</w:t>
      </w:r>
      <w:r>
        <w:rPr>
          <w:color w:val="231F20"/>
          <w:spacing w:val="-28"/>
          <w:w w:val="105"/>
        </w:rPr>
        <w:t> </w:t>
      </w:r>
      <w:r>
        <w:rPr>
          <w:color w:val="231F20"/>
          <w:w w:val="105"/>
        </w:rPr>
        <w:t>ni</w:t>
      </w:r>
      <w:r>
        <w:rPr>
          <w:color w:val="231F20"/>
          <w:spacing w:val="-28"/>
          <w:w w:val="105"/>
        </w:rPr>
        <w:t> </w:t>
      </w:r>
      <w:r>
        <w:rPr>
          <w:color w:val="231F20"/>
          <w:spacing w:val="-3"/>
          <w:w w:val="105"/>
        </w:rPr>
        <w:t>escribir,</w:t>
      </w:r>
      <w:r>
        <w:rPr>
          <w:color w:val="231F20"/>
          <w:spacing w:val="-32"/>
          <w:w w:val="105"/>
        </w:rPr>
        <w:t> </w:t>
      </w:r>
      <w:r>
        <w:rPr>
          <w:color w:val="231F20"/>
          <w:w w:val="105"/>
        </w:rPr>
        <w:t>su</w:t>
      </w:r>
      <w:r>
        <w:rPr>
          <w:color w:val="231F20"/>
          <w:spacing w:val="-28"/>
          <w:w w:val="105"/>
        </w:rPr>
        <w:t> </w:t>
      </w:r>
      <w:r>
        <w:rPr>
          <w:color w:val="231F20"/>
          <w:w w:val="105"/>
        </w:rPr>
        <w:t>familia</w:t>
      </w:r>
      <w:r>
        <w:rPr>
          <w:color w:val="231F20"/>
          <w:spacing w:val="-28"/>
          <w:w w:val="105"/>
        </w:rPr>
        <w:t> </w:t>
      </w:r>
      <w:r>
        <w:rPr>
          <w:color w:val="231F20"/>
          <w:w w:val="105"/>
        </w:rPr>
        <w:t>decidió</w:t>
      </w:r>
      <w:r>
        <w:rPr>
          <w:color w:val="231F20"/>
          <w:spacing w:val="-28"/>
          <w:w w:val="105"/>
        </w:rPr>
        <w:t> </w:t>
      </w:r>
      <w:r>
        <w:rPr>
          <w:color w:val="231F20"/>
          <w:w w:val="105"/>
        </w:rPr>
        <w:t>que</w:t>
      </w:r>
      <w:r>
        <w:rPr>
          <w:color w:val="231F20"/>
          <w:spacing w:val="-28"/>
          <w:w w:val="105"/>
        </w:rPr>
        <w:t> </w:t>
      </w:r>
      <w:r>
        <w:rPr>
          <w:color w:val="231F20"/>
          <w:w w:val="105"/>
        </w:rPr>
        <w:t>él</w:t>
      </w:r>
      <w:r>
        <w:rPr>
          <w:color w:val="231F20"/>
          <w:spacing w:val="-28"/>
          <w:w w:val="105"/>
        </w:rPr>
        <w:t> </w:t>
      </w:r>
      <w:r>
        <w:rPr>
          <w:color w:val="231F20"/>
          <w:w w:val="105"/>
        </w:rPr>
        <w:t>lo</w:t>
      </w:r>
      <w:r>
        <w:rPr>
          <w:color w:val="231F20"/>
          <w:spacing w:val="-28"/>
          <w:w w:val="105"/>
        </w:rPr>
        <w:t> </w:t>
      </w:r>
      <w:r>
        <w:rPr>
          <w:color w:val="231F20"/>
          <w:w w:val="105"/>
        </w:rPr>
        <w:t>acompañara.</w:t>
      </w:r>
      <w:r>
        <w:rPr>
          <w:color w:val="231F20"/>
          <w:spacing w:val="-32"/>
          <w:w w:val="105"/>
        </w:rPr>
        <w:t> </w:t>
      </w:r>
      <w:r>
        <w:rPr>
          <w:color w:val="231F20"/>
          <w:w w:val="105"/>
        </w:rPr>
        <w:t>No</w:t>
      </w:r>
      <w:r>
        <w:rPr>
          <w:color w:val="231F20"/>
          <w:spacing w:val="-28"/>
          <w:w w:val="105"/>
        </w:rPr>
        <w:t> </w:t>
      </w:r>
      <w:r>
        <w:rPr>
          <w:color w:val="231F20"/>
          <w:w w:val="105"/>
        </w:rPr>
        <w:t>obstante,</w:t>
      </w:r>
      <w:r>
        <w:rPr>
          <w:color w:val="231F20"/>
          <w:spacing w:val="-32"/>
          <w:w w:val="105"/>
        </w:rPr>
        <w:t> </w:t>
      </w:r>
      <w:r>
        <w:rPr>
          <w:color w:val="231F20"/>
          <w:w w:val="105"/>
        </w:rPr>
        <w:t>tam-</w:t>
      </w:r>
      <w:r>
        <w:rPr>
          <w:color w:val="231F20"/>
          <w:w w:val="96"/>
        </w:rPr>
        <w:t> </w:t>
      </w:r>
      <w:r>
        <w:rPr>
          <w:color w:val="231F20"/>
          <w:w w:val="105"/>
        </w:rPr>
        <w:t>bién</w:t>
      </w:r>
      <w:r>
        <w:rPr>
          <w:color w:val="231F20"/>
          <w:spacing w:val="-25"/>
          <w:w w:val="105"/>
        </w:rPr>
        <w:t> </w:t>
      </w:r>
      <w:r>
        <w:rPr>
          <w:color w:val="231F20"/>
          <w:w w:val="105"/>
        </w:rPr>
        <w:t>señala</w:t>
      </w:r>
      <w:r>
        <w:rPr>
          <w:color w:val="231F20"/>
          <w:spacing w:val="-25"/>
          <w:w w:val="105"/>
        </w:rPr>
        <w:t> </w:t>
      </w:r>
      <w:r>
        <w:rPr>
          <w:color w:val="231F20"/>
          <w:w w:val="105"/>
        </w:rPr>
        <w:t>que</w:t>
      </w:r>
      <w:r>
        <w:rPr>
          <w:color w:val="231F20"/>
          <w:spacing w:val="-25"/>
          <w:w w:val="105"/>
        </w:rPr>
        <w:t> </w:t>
      </w:r>
      <w:r>
        <w:rPr>
          <w:color w:val="231F20"/>
          <w:w w:val="105"/>
        </w:rPr>
        <w:t>una</w:t>
      </w:r>
      <w:r>
        <w:rPr>
          <w:color w:val="231F20"/>
          <w:spacing w:val="-25"/>
          <w:w w:val="105"/>
        </w:rPr>
        <w:t> </w:t>
      </w:r>
      <w:r>
        <w:rPr>
          <w:color w:val="231F20"/>
          <w:w w:val="105"/>
        </w:rPr>
        <w:t>parte</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decisión</w:t>
      </w:r>
      <w:r>
        <w:rPr>
          <w:color w:val="231F20"/>
          <w:spacing w:val="-25"/>
          <w:w w:val="105"/>
        </w:rPr>
        <w:t> </w:t>
      </w:r>
      <w:r>
        <w:rPr>
          <w:color w:val="231F20"/>
          <w:w w:val="105"/>
        </w:rPr>
        <w:t>de</w:t>
      </w:r>
      <w:r>
        <w:rPr>
          <w:color w:val="231F20"/>
          <w:spacing w:val="-25"/>
          <w:w w:val="105"/>
        </w:rPr>
        <w:t> </w:t>
      </w:r>
      <w:r>
        <w:rPr>
          <w:color w:val="231F20"/>
          <w:w w:val="105"/>
        </w:rPr>
        <w:t>que</w:t>
      </w:r>
      <w:r>
        <w:rPr>
          <w:color w:val="231F20"/>
          <w:spacing w:val="-25"/>
          <w:w w:val="105"/>
        </w:rPr>
        <w:t> </w:t>
      </w:r>
      <w:r>
        <w:rPr>
          <w:color w:val="231F20"/>
          <w:w w:val="105"/>
        </w:rPr>
        <w:t>fuera</w:t>
      </w:r>
      <w:r>
        <w:rPr>
          <w:color w:val="231F20"/>
          <w:spacing w:val="-25"/>
          <w:w w:val="105"/>
        </w:rPr>
        <w:t> </w:t>
      </w:r>
      <w:r>
        <w:rPr>
          <w:color w:val="231F20"/>
          <w:w w:val="105"/>
        </w:rPr>
        <w:t>él</w:t>
      </w:r>
      <w:r>
        <w:rPr>
          <w:color w:val="231F20"/>
          <w:spacing w:val="-25"/>
          <w:w w:val="105"/>
        </w:rPr>
        <w:t> </w:t>
      </w:r>
      <w:r>
        <w:rPr>
          <w:color w:val="231F20"/>
          <w:w w:val="105"/>
        </w:rPr>
        <w:t>quien</w:t>
      </w:r>
      <w:r>
        <w:rPr>
          <w:color w:val="231F20"/>
          <w:spacing w:val="-25"/>
          <w:w w:val="105"/>
        </w:rPr>
        <w:t> </w:t>
      </w:r>
      <w:r>
        <w:rPr>
          <w:color w:val="231F20"/>
          <w:w w:val="105"/>
        </w:rPr>
        <w:t>lo</w:t>
      </w:r>
      <w:r>
        <w:rPr>
          <w:color w:val="231F20"/>
          <w:spacing w:val="-25"/>
          <w:w w:val="105"/>
        </w:rPr>
        <w:t> </w:t>
      </w:r>
      <w:r>
        <w:rPr>
          <w:color w:val="231F20"/>
          <w:w w:val="105"/>
        </w:rPr>
        <w:t>acompa-</w:t>
      </w:r>
      <w:r>
        <w:rPr>
          <w:color w:val="231F20"/>
          <w:w w:val="96"/>
        </w:rPr>
        <w:t> </w:t>
      </w:r>
      <w:r>
        <w:rPr>
          <w:color w:val="231F20"/>
          <w:w w:val="105"/>
        </w:rPr>
        <w:t>ñara,</w:t>
      </w:r>
      <w:r>
        <w:rPr>
          <w:color w:val="231F20"/>
          <w:spacing w:val="-21"/>
          <w:w w:val="105"/>
        </w:rPr>
        <w:t> </w:t>
      </w:r>
      <w:r>
        <w:rPr>
          <w:color w:val="231F20"/>
          <w:w w:val="105"/>
        </w:rPr>
        <w:t>y</w:t>
      </w:r>
      <w:r>
        <w:rPr>
          <w:color w:val="231F20"/>
          <w:spacing w:val="-16"/>
          <w:w w:val="105"/>
        </w:rPr>
        <w:t> </w:t>
      </w:r>
      <w:r>
        <w:rPr>
          <w:color w:val="231F20"/>
          <w:w w:val="105"/>
        </w:rPr>
        <w:t>no</w:t>
      </w:r>
      <w:r>
        <w:rPr>
          <w:color w:val="231F20"/>
          <w:spacing w:val="-16"/>
          <w:w w:val="105"/>
        </w:rPr>
        <w:t> </w:t>
      </w:r>
      <w:r>
        <w:rPr>
          <w:color w:val="231F20"/>
          <w:spacing w:val="-3"/>
          <w:w w:val="105"/>
        </w:rPr>
        <w:t>otro</w:t>
      </w:r>
      <w:r>
        <w:rPr>
          <w:color w:val="231F20"/>
          <w:spacing w:val="-16"/>
          <w:w w:val="105"/>
        </w:rPr>
        <w:t> </w:t>
      </w:r>
      <w:r>
        <w:rPr>
          <w:color w:val="231F20"/>
          <w:w w:val="105"/>
        </w:rPr>
        <w:t>de</w:t>
      </w:r>
      <w:r>
        <w:rPr>
          <w:color w:val="231F20"/>
          <w:spacing w:val="-16"/>
          <w:w w:val="105"/>
        </w:rPr>
        <w:t> </w:t>
      </w:r>
      <w:r>
        <w:rPr>
          <w:color w:val="231F20"/>
          <w:w w:val="105"/>
        </w:rPr>
        <w:t>sus</w:t>
      </w:r>
      <w:r>
        <w:rPr>
          <w:color w:val="231F20"/>
          <w:spacing w:val="-16"/>
          <w:w w:val="105"/>
        </w:rPr>
        <w:t> </w:t>
      </w:r>
      <w:r>
        <w:rPr>
          <w:color w:val="231F20"/>
          <w:w w:val="105"/>
        </w:rPr>
        <w:t>hermanos</w:t>
      </w:r>
      <w:r>
        <w:rPr>
          <w:color w:val="231F20"/>
          <w:spacing w:val="-16"/>
          <w:w w:val="105"/>
        </w:rPr>
        <w:t> </w:t>
      </w:r>
      <w:r>
        <w:rPr>
          <w:color w:val="231F20"/>
          <w:w w:val="105"/>
        </w:rPr>
        <w:t>o</w:t>
      </w:r>
      <w:r>
        <w:rPr>
          <w:color w:val="231F20"/>
          <w:spacing w:val="-16"/>
          <w:w w:val="105"/>
        </w:rPr>
        <w:t> </w:t>
      </w:r>
      <w:r>
        <w:rPr>
          <w:color w:val="231F20"/>
          <w:w w:val="105"/>
        </w:rPr>
        <w:t>hermanas,</w:t>
      </w:r>
      <w:r>
        <w:rPr>
          <w:color w:val="231F20"/>
          <w:spacing w:val="-21"/>
          <w:w w:val="105"/>
        </w:rPr>
        <w:t> </w:t>
      </w:r>
      <w:r>
        <w:rPr>
          <w:color w:val="231F20"/>
          <w:w w:val="105"/>
        </w:rPr>
        <w:t>se</w:t>
      </w:r>
      <w:r>
        <w:rPr>
          <w:color w:val="231F20"/>
          <w:spacing w:val="-16"/>
          <w:w w:val="105"/>
        </w:rPr>
        <w:t> </w:t>
      </w:r>
      <w:r>
        <w:rPr>
          <w:color w:val="231F20"/>
          <w:w w:val="105"/>
        </w:rPr>
        <w:t>debe</w:t>
      </w:r>
      <w:r>
        <w:rPr>
          <w:color w:val="231F20"/>
          <w:spacing w:val="-16"/>
          <w:w w:val="105"/>
        </w:rPr>
        <w:t> </w:t>
      </w:r>
      <w:r>
        <w:rPr>
          <w:color w:val="231F20"/>
          <w:w w:val="105"/>
        </w:rPr>
        <w:t>a</w:t>
      </w:r>
      <w:r>
        <w:rPr>
          <w:color w:val="231F20"/>
          <w:spacing w:val="-16"/>
          <w:w w:val="105"/>
        </w:rPr>
        <w:t> </w:t>
      </w:r>
      <w:r>
        <w:rPr>
          <w:color w:val="231F20"/>
          <w:w w:val="105"/>
        </w:rPr>
        <w:t>que</w:t>
      </w:r>
      <w:r>
        <w:rPr>
          <w:color w:val="231F20"/>
          <w:spacing w:val="-16"/>
          <w:w w:val="105"/>
        </w:rPr>
        <w:t> </w:t>
      </w:r>
      <w:r>
        <w:rPr>
          <w:color w:val="231F20"/>
          <w:w w:val="105"/>
        </w:rPr>
        <w:t>él</w:t>
      </w:r>
      <w:r>
        <w:rPr>
          <w:color w:val="231F20"/>
          <w:spacing w:val="-16"/>
          <w:w w:val="105"/>
        </w:rPr>
        <w:t> </w:t>
      </w:r>
      <w:r>
        <w:rPr>
          <w:color w:val="231F20"/>
          <w:w w:val="105"/>
        </w:rPr>
        <w:t>ya</w:t>
      </w:r>
      <w:r>
        <w:rPr>
          <w:color w:val="231F20"/>
          <w:spacing w:val="-16"/>
          <w:w w:val="105"/>
        </w:rPr>
        <w:t> </w:t>
      </w:r>
      <w:r>
        <w:rPr>
          <w:color w:val="231F20"/>
          <w:spacing w:val="-2"/>
          <w:w w:val="105"/>
        </w:rPr>
        <w:t>estaba</w:t>
      </w:r>
      <w:r>
        <w:rPr>
          <w:color w:val="231F20"/>
          <w:spacing w:val="-2"/>
          <w:w w:val="101"/>
        </w:rPr>
        <w:t> </w:t>
      </w:r>
      <w:r>
        <w:rPr>
          <w:color w:val="231F20"/>
          <w:w w:val="105"/>
        </w:rPr>
        <w:t>ganando poco </w:t>
      </w:r>
      <w:r>
        <w:rPr>
          <w:color w:val="231F20"/>
          <w:spacing w:val="-3"/>
          <w:w w:val="105"/>
        </w:rPr>
        <w:t>dinero, </w:t>
      </w:r>
      <w:r>
        <w:rPr>
          <w:color w:val="231F20"/>
          <w:w w:val="105"/>
        </w:rPr>
        <w:t>le habían empezado a </w:t>
      </w:r>
      <w:r>
        <w:rPr>
          <w:color w:val="231F20"/>
          <w:spacing w:val="-3"/>
          <w:w w:val="105"/>
        </w:rPr>
        <w:t>restar </w:t>
      </w:r>
      <w:r>
        <w:rPr>
          <w:color w:val="231F20"/>
          <w:w w:val="105"/>
        </w:rPr>
        <w:t>horas de</w:t>
      </w:r>
      <w:r>
        <w:rPr>
          <w:color w:val="231F20"/>
          <w:spacing w:val="-14"/>
          <w:w w:val="105"/>
        </w:rPr>
        <w:t> </w:t>
      </w:r>
      <w:r>
        <w:rPr>
          <w:color w:val="231F20"/>
          <w:w w:val="105"/>
        </w:rPr>
        <w:t>trabajo</w:t>
      </w:r>
      <w:r>
        <w:rPr>
          <w:color w:val="231F20"/>
          <w:spacing w:val="-2"/>
          <w:w w:val="105"/>
        </w:rPr>
        <w:t> </w:t>
      </w:r>
      <w:r>
        <w:rPr>
          <w:color w:val="231F20"/>
          <w:w w:val="105"/>
        </w:rPr>
        <w:t>en</w:t>
      </w:r>
      <w:r>
        <w:rPr>
          <w:color w:val="231F20"/>
          <w:spacing w:val="-2"/>
          <w:w w:val="103"/>
        </w:rPr>
        <w:t> </w:t>
      </w:r>
      <w:r>
        <w:rPr>
          <w:color w:val="231F20"/>
          <w:w w:val="105"/>
        </w:rPr>
        <w:t>el</w:t>
      </w:r>
      <w:r>
        <w:rPr>
          <w:color w:val="231F20"/>
          <w:spacing w:val="-20"/>
          <w:w w:val="105"/>
        </w:rPr>
        <w:t> </w:t>
      </w:r>
      <w:r>
        <w:rPr>
          <w:color w:val="231F20"/>
          <w:w w:val="105"/>
        </w:rPr>
        <w:t>club</w:t>
      </w:r>
      <w:r>
        <w:rPr>
          <w:color w:val="231F20"/>
          <w:spacing w:val="-20"/>
          <w:w w:val="105"/>
        </w:rPr>
        <w:t> </w:t>
      </w:r>
      <w:r>
        <w:rPr>
          <w:color w:val="231F20"/>
          <w:w w:val="105"/>
        </w:rPr>
        <w:t>de</w:t>
      </w:r>
      <w:r>
        <w:rPr>
          <w:color w:val="231F20"/>
          <w:spacing w:val="-20"/>
          <w:w w:val="105"/>
        </w:rPr>
        <w:t> </w:t>
      </w:r>
      <w:r>
        <w:rPr>
          <w:color w:val="231F20"/>
          <w:w w:val="105"/>
        </w:rPr>
        <w:t>golf</w:t>
      </w:r>
      <w:r>
        <w:rPr>
          <w:color w:val="231F20"/>
          <w:spacing w:val="-16"/>
          <w:w w:val="105"/>
        </w:rPr>
        <w:t> </w:t>
      </w:r>
      <w:r>
        <w:rPr>
          <w:color w:val="231F20"/>
          <w:w w:val="105"/>
        </w:rPr>
        <w:t>desde</w:t>
      </w:r>
      <w:r>
        <w:rPr>
          <w:color w:val="231F20"/>
          <w:spacing w:val="-20"/>
          <w:w w:val="105"/>
        </w:rPr>
        <w:t> </w:t>
      </w:r>
      <w:r>
        <w:rPr>
          <w:color w:val="231F20"/>
          <w:w w:val="105"/>
        </w:rPr>
        <w:t>finales</w:t>
      </w:r>
      <w:r>
        <w:rPr>
          <w:color w:val="231F20"/>
          <w:spacing w:val="-20"/>
          <w:w w:val="105"/>
        </w:rPr>
        <w:t> </w:t>
      </w:r>
      <w:r>
        <w:rPr>
          <w:color w:val="231F20"/>
          <w:w w:val="105"/>
        </w:rPr>
        <w:t>de</w:t>
      </w:r>
      <w:r>
        <w:rPr>
          <w:color w:val="231F20"/>
          <w:spacing w:val="-20"/>
          <w:w w:val="105"/>
        </w:rPr>
        <w:t> </w:t>
      </w:r>
      <w:r>
        <w:rPr>
          <w:color w:val="231F20"/>
          <w:w w:val="105"/>
        </w:rPr>
        <w:t>2008,</w:t>
      </w:r>
      <w:r>
        <w:rPr>
          <w:color w:val="231F20"/>
          <w:spacing w:val="-24"/>
          <w:w w:val="105"/>
        </w:rPr>
        <w:t> </w:t>
      </w:r>
      <w:r>
        <w:rPr>
          <w:color w:val="231F20"/>
          <w:w w:val="105"/>
        </w:rPr>
        <w:t>y</w:t>
      </w:r>
      <w:r>
        <w:rPr>
          <w:color w:val="231F20"/>
          <w:spacing w:val="-20"/>
          <w:w w:val="105"/>
        </w:rPr>
        <w:t> </w:t>
      </w:r>
      <w:r>
        <w:rPr>
          <w:color w:val="231F20"/>
          <w:w w:val="105"/>
        </w:rPr>
        <w:t>muchos</w:t>
      </w:r>
      <w:r>
        <w:rPr>
          <w:color w:val="231F20"/>
          <w:spacing w:val="-20"/>
          <w:w w:val="105"/>
        </w:rPr>
        <w:t> </w:t>
      </w:r>
      <w:r>
        <w:rPr>
          <w:color w:val="231F20"/>
          <w:w w:val="105"/>
        </w:rPr>
        <w:t>más</w:t>
      </w:r>
      <w:r>
        <w:rPr>
          <w:color w:val="231F20"/>
          <w:spacing w:val="-20"/>
          <w:w w:val="105"/>
        </w:rPr>
        <w:t> </w:t>
      </w:r>
      <w:r>
        <w:rPr>
          <w:color w:val="231F20"/>
          <w:w w:val="105"/>
        </w:rPr>
        <w:t>cuando</w:t>
      </w:r>
      <w:r>
        <w:rPr>
          <w:color w:val="231F20"/>
          <w:spacing w:val="-20"/>
          <w:w w:val="105"/>
        </w:rPr>
        <w:t> </w:t>
      </w:r>
      <w:r>
        <w:rPr>
          <w:color w:val="231F20"/>
          <w:w w:val="105"/>
        </w:rPr>
        <w:t>inició</w:t>
      </w:r>
      <w:r>
        <w:rPr>
          <w:color w:val="231F20"/>
          <w:spacing w:val="-20"/>
          <w:w w:val="105"/>
        </w:rPr>
        <w:t> </w:t>
      </w:r>
      <w:r>
        <w:rPr>
          <w:color w:val="231F20"/>
          <w:w w:val="105"/>
        </w:rPr>
        <w:t>2009.</w:t>
      </w:r>
      <w:r>
        <w:rPr>
          <w:color w:val="231F20"/>
          <w:spacing w:val="-2"/>
          <w:w w:val="103"/>
        </w:rPr>
        <w:t> </w:t>
      </w:r>
      <w:r>
        <w:rPr>
          <w:color w:val="231F20"/>
          <w:spacing w:val="-3"/>
          <w:w w:val="105"/>
        </w:rPr>
        <w:t>Cuando recién </w:t>
      </w:r>
      <w:r>
        <w:rPr>
          <w:color w:val="231F20"/>
          <w:spacing w:val="-4"/>
          <w:w w:val="105"/>
        </w:rPr>
        <w:t>regresó </w:t>
      </w:r>
      <w:r>
        <w:rPr>
          <w:color w:val="231F20"/>
          <w:w w:val="105"/>
        </w:rPr>
        <w:t>a </w:t>
      </w:r>
      <w:r>
        <w:rPr>
          <w:color w:val="231F20"/>
          <w:spacing w:val="-3"/>
          <w:w w:val="105"/>
        </w:rPr>
        <w:t>Nezahualcóyotl añoraba </w:t>
      </w:r>
      <w:r>
        <w:rPr>
          <w:color w:val="231F20"/>
          <w:w w:val="105"/>
        </w:rPr>
        <w:t>la</w:t>
      </w:r>
      <w:r>
        <w:rPr>
          <w:color w:val="231F20"/>
          <w:spacing w:val="29"/>
          <w:w w:val="105"/>
        </w:rPr>
        <w:t> </w:t>
      </w:r>
      <w:r>
        <w:rPr>
          <w:color w:val="231F20"/>
          <w:spacing w:val="-3"/>
          <w:w w:val="105"/>
        </w:rPr>
        <w:t>vida</w:t>
      </w:r>
      <w:r>
        <w:rPr>
          <w:color w:val="231F20"/>
          <w:spacing w:val="19"/>
          <w:w w:val="105"/>
        </w:rPr>
        <w:t> </w:t>
      </w:r>
      <w:r>
        <w:rPr>
          <w:color w:val="231F20"/>
          <w:spacing w:val="-3"/>
          <w:w w:val="105"/>
        </w:rPr>
        <w:t>en</w:t>
      </w:r>
      <w:r>
        <w:rPr>
          <w:color w:val="231F20"/>
          <w:spacing w:val="-3"/>
          <w:w w:val="103"/>
        </w:rPr>
        <w:t> </w:t>
      </w:r>
      <w:r>
        <w:rPr>
          <w:color w:val="231F20"/>
          <w:spacing w:val="-3"/>
          <w:w w:val="105"/>
        </w:rPr>
        <w:t>California, pues </w:t>
      </w:r>
      <w:r>
        <w:rPr>
          <w:color w:val="231F20"/>
          <w:spacing w:val="-4"/>
          <w:w w:val="105"/>
        </w:rPr>
        <w:t>“comparativamente </w:t>
      </w:r>
      <w:r>
        <w:rPr>
          <w:color w:val="231F20"/>
          <w:spacing w:val="-3"/>
          <w:w w:val="105"/>
        </w:rPr>
        <w:t>todo estaba mucho </w:t>
      </w:r>
      <w:r>
        <w:rPr>
          <w:color w:val="231F20"/>
          <w:w w:val="105"/>
        </w:rPr>
        <w:t>más</w:t>
      </w:r>
      <w:r>
        <w:rPr>
          <w:color w:val="231F20"/>
          <w:spacing w:val="54"/>
          <w:w w:val="105"/>
        </w:rPr>
        <w:t> </w:t>
      </w:r>
      <w:r>
        <w:rPr>
          <w:color w:val="231F20"/>
          <w:spacing w:val="-3"/>
          <w:w w:val="105"/>
        </w:rPr>
        <w:t>caro</w:t>
      </w:r>
      <w:r>
        <w:rPr>
          <w:color w:val="231F20"/>
          <w:spacing w:val="14"/>
          <w:w w:val="105"/>
        </w:rPr>
        <w:t> </w:t>
      </w:r>
      <w:r>
        <w:rPr>
          <w:color w:val="231F20"/>
          <w:spacing w:val="-7"/>
          <w:w w:val="105"/>
        </w:rPr>
        <w:t>aquí”.</w:t>
      </w:r>
      <w:r>
        <w:rPr>
          <w:color w:val="231F20"/>
          <w:w w:val="93"/>
        </w:rPr>
        <w:t> </w:t>
      </w:r>
      <w:r>
        <w:rPr>
          <w:color w:val="231F20"/>
          <w:spacing w:val="-3"/>
          <w:w w:val="105"/>
        </w:rPr>
        <w:t>Los</w:t>
      </w:r>
      <w:r>
        <w:rPr>
          <w:color w:val="231F20"/>
          <w:spacing w:val="-20"/>
          <w:w w:val="105"/>
        </w:rPr>
        <w:t> </w:t>
      </w:r>
      <w:r>
        <w:rPr>
          <w:color w:val="231F20"/>
          <w:spacing w:val="-3"/>
          <w:w w:val="105"/>
        </w:rPr>
        <w:t>primeros</w:t>
      </w:r>
      <w:r>
        <w:rPr>
          <w:color w:val="231F20"/>
          <w:spacing w:val="-20"/>
          <w:w w:val="105"/>
        </w:rPr>
        <w:t> </w:t>
      </w:r>
      <w:r>
        <w:rPr>
          <w:color w:val="231F20"/>
          <w:spacing w:val="-3"/>
          <w:w w:val="105"/>
        </w:rPr>
        <w:t>meses</w:t>
      </w:r>
      <w:r>
        <w:rPr>
          <w:color w:val="231F20"/>
          <w:spacing w:val="-20"/>
          <w:w w:val="105"/>
        </w:rPr>
        <w:t> </w:t>
      </w:r>
      <w:r>
        <w:rPr>
          <w:color w:val="231F20"/>
          <w:w w:val="105"/>
        </w:rPr>
        <w:t>no</w:t>
      </w:r>
      <w:r>
        <w:rPr>
          <w:color w:val="231F20"/>
          <w:spacing w:val="-20"/>
          <w:w w:val="105"/>
        </w:rPr>
        <w:t> </w:t>
      </w:r>
      <w:r>
        <w:rPr>
          <w:color w:val="231F20"/>
          <w:spacing w:val="-4"/>
          <w:w w:val="105"/>
        </w:rPr>
        <w:t>trabajó,</w:t>
      </w:r>
      <w:r>
        <w:rPr>
          <w:color w:val="231F20"/>
          <w:spacing w:val="-26"/>
          <w:w w:val="105"/>
        </w:rPr>
        <w:t> </w:t>
      </w:r>
      <w:r>
        <w:rPr>
          <w:color w:val="231F20"/>
          <w:w w:val="105"/>
        </w:rPr>
        <w:t>ya</w:t>
      </w:r>
      <w:r>
        <w:rPr>
          <w:color w:val="231F20"/>
          <w:spacing w:val="-20"/>
          <w:w w:val="105"/>
        </w:rPr>
        <w:t> </w:t>
      </w:r>
      <w:r>
        <w:rPr>
          <w:color w:val="231F20"/>
          <w:w w:val="105"/>
        </w:rPr>
        <w:t>que</w:t>
      </w:r>
      <w:r>
        <w:rPr>
          <w:color w:val="231F20"/>
          <w:spacing w:val="-20"/>
          <w:w w:val="105"/>
        </w:rPr>
        <w:t> </w:t>
      </w:r>
      <w:r>
        <w:rPr>
          <w:color w:val="231F20"/>
          <w:spacing w:val="-3"/>
          <w:w w:val="105"/>
        </w:rPr>
        <w:t>traía</w:t>
      </w:r>
      <w:r>
        <w:rPr>
          <w:color w:val="231F20"/>
          <w:spacing w:val="-20"/>
          <w:w w:val="105"/>
        </w:rPr>
        <w:t> </w:t>
      </w:r>
      <w:r>
        <w:rPr>
          <w:color w:val="231F20"/>
          <w:spacing w:val="-3"/>
          <w:w w:val="105"/>
        </w:rPr>
        <w:t>consigo</w:t>
      </w:r>
      <w:r>
        <w:rPr>
          <w:color w:val="231F20"/>
          <w:spacing w:val="-20"/>
          <w:w w:val="105"/>
        </w:rPr>
        <w:t> </w:t>
      </w:r>
      <w:r>
        <w:rPr>
          <w:color w:val="231F20"/>
          <w:spacing w:val="-3"/>
          <w:w w:val="105"/>
        </w:rPr>
        <w:t>dinero</w:t>
      </w:r>
      <w:r>
        <w:rPr>
          <w:color w:val="231F20"/>
          <w:spacing w:val="-20"/>
          <w:w w:val="105"/>
        </w:rPr>
        <w:t> </w:t>
      </w:r>
      <w:r>
        <w:rPr>
          <w:color w:val="231F20"/>
          <w:spacing w:val="-3"/>
          <w:w w:val="105"/>
        </w:rPr>
        <w:t>suficiente</w:t>
      </w:r>
      <w:r>
        <w:rPr>
          <w:color w:val="231F20"/>
          <w:spacing w:val="-20"/>
          <w:w w:val="105"/>
        </w:rPr>
        <w:t> </w:t>
      </w:r>
      <w:r>
        <w:rPr>
          <w:color w:val="231F20"/>
          <w:spacing w:val="-3"/>
          <w:w w:val="105"/>
        </w:rPr>
        <w:t>para</w:t>
      </w:r>
      <w:r>
        <w:rPr>
          <w:color w:val="231F20"/>
          <w:w w:val="96"/>
        </w:rPr>
        <w:t> </w:t>
      </w:r>
      <w:r>
        <w:rPr>
          <w:color w:val="231F20"/>
          <w:spacing w:val="-3"/>
          <w:w w:val="105"/>
        </w:rPr>
        <w:t>vivir</w:t>
      </w:r>
      <w:r>
        <w:rPr>
          <w:color w:val="231F20"/>
          <w:spacing w:val="-7"/>
          <w:w w:val="105"/>
        </w:rPr>
        <w:t> </w:t>
      </w:r>
      <w:r>
        <w:rPr>
          <w:color w:val="231F20"/>
          <w:w w:val="105"/>
        </w:rPr>
        <w:t>por</w:t>
      </w:r>
      <w:r>
        <w:rPr>
          <w:color w:val="231F20"/>
          <w:spacing w:val="-7"/>
          <w:w w:val="105"/>
        </w:rPr>
        <w:t> </w:t>
      </w:r>
      <w:r>
        <w:rPr>
          <w:color w:val="231F20"/>
          <w:spacing w:val="-3"/>
          <w:w w:val="105"/>
        </w:rPr>
        <w:t>tres</w:t>
      </w:r>
      <w:r>
        <w:rPr>
          <w:color w:val="231F20"/>
          <w:spacing w:val="-7"/>
          <w:w w:val="105"/>
        </w:rPr>
        <w:t> </w:t>
      </w:r>
      <w:r>
        <w:rPr>
          <w:color w:val="231F20"/>
          <w:spacing w:val="-3"/>
          <w:w w:val="105"/>
        </w:rPr>
        <w:t>meses,</w:t>
      </w:r>
      <w:r>
        <w:rPr>
          <w:color w:val="231F20"/>
          <w:spacing w:val="-13"/>
          <w:w w:val="105"/>
        </w:rPr>
        <w:t> </w:t>
      </w:r>
      <w:r>
        <w:rPr>
          <w:color w:val="231F20"/>
          <w:spacing w:val="-3"/>
          <w:w w:val="105"/>
        </w:rPr>
        <w:t>también</w:t>
      </w:r>
      <w:r>
        <w:rPr>
          <w:color w:val="231F20"/>
          <w:spacing w:val="-7"/>
          <w:w w:val="105"/>
        </w:rPr>
        <w:t> </w:t>
      </w:r>
      <w:r>
        <w:rPr>
          <w:color w:val="231F20"/>
          <w:spacing w:val="-3"/>
          <w:w w:val="105"/>
        </w:rPr>
        <w:t>trajo</w:t>
      </w:r>
      <w:r>
        <w:rPr>
          <w:color w:val="231F20"/>
          <w:spacing w:val="-7"/>
          <w:w w:val="105"/>
        </w:rPr>
        <w:t> </w:t>
      </w:r>
      <w:r>
        <w:rPr>
          <w:color w:val="231F20"/>
          <w:spacing w:val="-3"/>
          <w:w w:val="105"/>
        </w:rPr>
        <w:t>ropa</w:t>
      </w:r>
      <w:r>
        <w:rPr>
          <w:color w:val="231F20"/>
          <w:spacing w:val="-7"/>
          <w:w w:val="105"/>
        </w:rPr>
        <w:t> </w:t>
      </w:r>
      <w:r>
        <w:rPr>
          <w:color w:val="231F20"/>
          <w:spacing w:val="-3"/>
          <w:w w:val="105"/>
        </w:rPr>
        <w:t>para</w:t>
      </w:r>
      <w:r>
        <w:rPr>
          <w:color w:val="231F20"/>
          <w:spacing w:val="-7"/>
          <w:w w:val="105"/>
        </w:rPr>
        <w:t> </w:t>
      </w:r>
      <w:r>
        <w:rPr>
          <w:color w:val="231F20"/>
          <w:w w:val="105"/>
        </w:rPr>
        <w:t>él</w:t>
      </w:r>
      <w:r>
        <w:rPr>
          <w:color w:val="231F20"/>
          <w:spacing w:val="-7"/>
          <w:w w:val="105"/>
        </w:rPr>
        <w:t> </w:t>
      </w:r>
      <w:r>
        <w:rPr>
          <w:color w:val="231F20"/>
          <w:w w:val="105"/>
        </w:rPr>
        <w:t>y</w:t>
      </w:r>
      <w:r>
        <w:rPr>
          <w:color w:val="231F20"/>
          <w:spacing w:val="-7"/>
          <w:w w:val="105"/>
        </w:rPr>
        <w:t> </w:t>
      </w:r>
      <w:r>
        <w:rPr>
          <w:color w:val="231F20"/>
          <w:w w:val="105"/>
        </w:rPr>
        <w:t>sus</w:t>
      </w:r>
      <w:r>
        <w:rPr>
          <w:color w:val="231F20"/>
          <w:spacing w:val="-7"/>
          <w:w w:val="105"/>
        </w:rPr>
        <w:t> </w:t>
      </w:r>
      <w:r>
        <w:rPr>
          <w:color w:val="231F20"/>
          <w:spacing w:val="-3"/>
          <w:w w:val="105"/>
        </w:rPr>
        <w:t>primos,</w:t>
      </w:r>
      <w:r>
        <w:rPr>
          <w:color w:val="231F20"/>
          <w:spacing w:val="-13"/>
          <w:w w:val="105"/>
        </w:rPr>
        <w:t> </w:t>
      </w:r>
      <w:r>
        <w:rPr>
          <w:color w:val="231F20"/>
          <w:spacing w:val="-3"/>
          <w:w w:val="105"/>
        </w:rPr>
        <w:t>regalos</w:t>
      </w:r>
      <w:r>
        <w:rPr>
          <w:color w:val="231F20"/>
          <w:spacing w:val="-7"/>
          <w:w w:val="105"/>
        </w:rPr>
        <w:t> </w:t>
      </w:r>
      <w:r>
        <w:rPr>
          <w:color w:val="231F20"/>
          <w:w w:val="105"/>
        </w:rPr>
        <w:t>y</w:t>
      </w:r>
      <w:r>
        <w:rPr>
          <w:color w:val="231F20"/>
          <w:spacing w:val="-7"/>
          <w:w w:val="105"/>
        </w:rPr>
        <w:t> </w:t>
      </w:r>
      <w:r>
        <w:rPr>
          <w:color w:val="231F20"/>
          <w:spacing w:val="-3"/>
          <w:w w:val="105"/>
        </w:rPr>
        <w:t>su</w:t>
      </w:r>
      <w:r>
        <w:rPr>
          <w:color w:val="231F20"/>
          <w:spacing w:val="-3"/>
          <w:w w:val="97"/>
        </w:rPr>
        <w:t> </w:t>
      </w:r>
      <w:r>
        <w:rPr>
          <w:color w:val="231F20"/>
          <w:spacing w:val="-3"/>
          <w:w w:val="105"/>
        </w:rPr>
        <w:t>computadora</w:t>
      </w:r>
      <w:r>
        <w:rPr>
          <w:color w:val="231F20"/>
          <w:spacing w:val="-20"/>
          <w:w w:val="105"/>
        </w:rPr>
        <w:t> </w:t>
      </w:r>
      <w:r>
        <w:rPr>
          <w:color w:val="231F20"/>
          <w:spacing w:val="-4"/>
          <w:w w:val="105"/>
        </w:rPr>
        <w:t>portátil.</w:t>
      </w:r>
      <w:r>
        <w:rPr>
          <w:color w:val="231F20"/>
          <w:spacing w:val="-24"/>
          <w:w w:val="105"/>
        </w:rPr>
        <w:t> </w:t>
      </w:r>
      <w:r>
        <w:rPr>
          <w:color w:val="231F20"/>
          <w:w w:val="105"/>
        </w:rPr>
        <w:t>Sus</w:t>
      </w:r>
      <w:r>
        <w:rPr>
          <w:color w:val="231F20"/>
          <w:spacing w:val="-20"/>
          <w:w w:val="105"/>
        </w:rPr>
        <w:t> </w:t>
      </w:r>
      <w:r>
        <w:rPr>
          <w:color w:val="231F20"/>
          <w:spacing w:val="-4"/>
          <w:w w:val="105"/>
        </w:rPr>
        <w:t>excompañeros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escuela</w:t>
      </w:r>
      <w:r>
        <w:rPr>
          <w:color w:val="231F20"/>
          <w:spacing w:val="-20"/>
          <w:w w:val="105"/>
        </w:rPr>
        <w:t> </w:t>
      </w:r>
      <w:r>
        <w:rPr>
          <w:color w:val="231F20"/>
          <w:spacing w:val="-3"/>
          <w:w w:val="105"/>
        </w:rPr>
        <w:t>secundaria</w:t>
      </w:r>
      <w:r>
        <w:rPr>
          <w:color w:val="231F20"/>
          <w:spacing w:val="-20"/>
          <w:w w:val="105"/>
        </w:rPr>
        <w:t> </w:t>
      </w:r>
      <w:r>
        <w:rPr>
          <w:color w:val="231F20"/>
          <w:w w:val="105"/>
        </w:rPr>
        <w:t>lo</w:t>
      </w:r>
      <w:r>
        <w:rPr>
          <w:color w:val="231F20"/>
          <w:spacing w:val="-20"/>
          <w:w w:val="105"/>
        </w:rPr>
        <w:t> </w:t>
      </w:r>
      <w:r>
        <w:rPr>
          <w:color w:val="231F20"/>
          <w:spacing w:val="-3"/>
          <w:w w:val="105"/>
        </w:rPr>
        <w:t>reci-</w:t>
      </w:r>
      <w:r>
        <w:rPr>
          <w:color w:val="231F20"/>
          <w:w w:val="96"/>
        </w:rPr>
        <w:t> </w:t>
      </w:r>
      <w:r>
        <w:rPr>
          <w:color w:val="231F20"/>
          <w:spacing w:val="-3"/>
          <w:w w:val="105"/>
        </w:rPr>
        <w:t>bieron</w:t>
      </w:r>
      <w:r>
        <w:rPr>
          <w:color w:val="231F20"/>
          <w:spacing w:val="-18"/>
          <w:w w:val="105"/>
        </w:rPr>
        <w:t> </w:t>
      </w:r>
      <w:r>
        <w:rPr>
          <w:color w:val="231F20"/>
          <w:w w:val="105"/>
        </w:rPr>
        <w:t>con</w:t>
      </w:r>
      <w:r>
        <w:rPr>
          <w:color w:val="231F20"/>
          <w:spacing w:val="-18"/>
          <w:w w:val="105"/>
        </w:rPr>
        <w:t> </w:t>
      </w:r>
      <w:r>
        <w:rPr>
          <w:color w:val="231F20"/>
          <w:spacing w:val="-3"/>
          <w:w w:val="105"/>
        </w:rPr>
        <w:t>gusto</w:t>
      </w:r>
      <w:r>
        <w:rPr>
          <w:color w:val="231F20"/>
          <w:spacing w:val="-18"/>
          <w:w w:val="105"/>
        </w:rPr>
        <w:t> </w:t>
      </w:r>
      <w:r>
        <w:rPr>
          <w:color w:val="231F20"/>
          <w:w w:val="105"/>
        </w:rPr>
        <w:t>y</w:t>
      </w:r>
      <w:r>
        <w:rPr>
          <w:color w:val="231F20"/>
          <w:spacing w:val="-18"/>
          <w:w w:val="105"/>
        </w:rPr>
        <w:t> </w:t>
      </w:r>
      <w:r>
        <w:rPr>
          <w:color w:val="231F20"/>
          <w:w w:val="105"/>
        </w:rPr>
        <w:t>“lo</w:t>
      </w:r>
      <w:r>
        <w:rPr>
          <w:color w:val="231F20"/>
          <w:spacing w:val="-18"/>
          <w:w w:val="105"/>
        </w:rPr>
        <w:t> </w:t>
      </w:r>
      <w:r>
        <w:rPr>
          <w:color w:val="231F20"/>
          <w:spacing w:val="-3"/>
          <w:w w:val="105"/>
        </w:rPr>
        <w:t>invitaron</w:t>
      </w:r>
      <w:r>
        <w:rPr>
          <w:color w:val="231F20"/>
          <w:spacing w:val="-18"/>
          <w:w w:val="105"/>
        </w:rPr>
        <w:t> </w:t>
      </w:r>
      <w:r>
        <w:rPr>
          <w:color w:val="231F20"/>
          <w:w w:val="105"/>
        </w:rPr>
        <w:t>a</w:t>
      </w:r>
      <w:r>
        <w:rPr>
          <w:color w:val="231F20"/>
          <w:spacing w:val="-18"/>
          <w:w w:val="105"/>
        </w:rPr>
        <w:t> </w:t>
      </w:r>
      <w:r>
        <w:rPr>
          <w:color w:val="231F20"/>
          <w:w w:val="105"/>
        </w:rPr>
        <w:t>tomar”</w:t>
      </w:r>
      <w:r>
        <w:rPr>
          <w:color w:val="231F20"/>
          <w:spacing w:val="-18"/>
          <w:w w:val="105"/>
        </w:rPr>
        <w:t> </w:t>
      </w:r>
      <w:r>
        <w:rPr>
          <w:color w:val="231F20"/>
          <w:spacing w:val="-3"/>
          <w:w w:val="105"/>
        </w:rPr>
        <w:t>bebidas</w:t>
      </w:r>
      <w:r>
        <w:rPr>
          <w:color w:val="231F20"/>
          <w:spacing w:val="-18"/>
          <w:w w:val="105"/>
        </w:rPr>
        <w:t> </w:t>
      </w:r>
      <w:r>
        <w:rPr>
          <w:color w:val="231F20"/>
          <w:spacing w:val="-3"/>
          <w:w w:val="105"/>
        </w:rPr>
        <w:t>alcohólicas</w:t>
      </w:r>
      <w:r>
        <w:rPr>
          <w:color w:val="231F20"/>
          <w:spacing w:val="-18"/>
          <w:w w:val="105"/>
        </w:rPr>
        <w:t> </w:t>
      </w:r>
      <w:r>
        <w:rPr>
          <w:color w:val="231F20"/>
          <w:spacing w:val="-3"/>
          <w:w w:val="105"/>
        </w:rPr>
        <w:t>para</w:t>
      </w:r>
      <w:r>
        <w:rPr>
          <w:color w:val="231F20"/>
          <w:spacing w:val="-18"/>
          <w:w w:val="105"/>
        </w:rPr>
        <w:t> </w:t>
      </w:r>
      <w:r>
        <w:rPr>
          <w:color w:val="231F20"/>
          <w:spacing w:val="-4"/>
          <w:w w:val="105"/>
        </w:rPr>
        <w:t>celebrar</w:t>
      </w:r>
      <w:r>
        <w:rPr>
          <w:color w:val="231F20"/>
          <w:spacing w:val="-3"/>
          <w:w w:val="100"/>
        </w:rPr>
        <w:t> </w:t>
      </w:r>
      <w:r>
        <w:rPr>
          <w:color w:val="231F20"/>
          <w:w w:val="105"/>
        </w:rPr>
        <w:t>su</w:t>
      </w:r>
      <w:r>
        <w:rPr>
          <w:color w:val="231F20"/>
          <w:spacing w:val="-12"/>
          <w:w w:val="105"/>
        </w:rPr>
        <w:t> </w:t>
      </w:r>
      <w:r>
        <w:rPr>
          <w:color w:val="231F20"/>
          <w:spacing w:val="-4"/>
          <w:w w:val="105"/>
        </w:rPr>
        <w:t>regreso.</w:t>
      </w:r>
      <w:r>
        <w:rPr>
          <w:color w:val="231F20"/>
          <w:spacing w:val="-17"/>
          <w:w w:val="105"/>
        </w:rPr>
        <w:t> </w:t>
      </w:r>
      <w:r>
        <w:rPr>
          <w:color w:val="231F20"/>
          <w:w w:val="105"/>
        </w:rPr>
        <w:t>Una</w:t>
      </w:r>
      <w:r>
        <w:rPr>
          <w:color w:val="231F20"/>
          <w:spacing w:val="-12"/>
          <w:w w:val="105"/>
        </w:rPr>
        <w:t> </w:t>
      </w:r>
      <w:r>
        <w:rPr>
          <w:color w:val="231F20"/>
          <w:w w:val="105"/>
        </w:rPr>
        <w:t>vez</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spacing w:val="-3"/>
          <w:w w:val="105"/>
        </w:rPr>
        <w:t>acabó</w:t>
      </w:r>
      <w:r>
        <w:rPr>
          <w:color w:val="231F20"/>
          <w:spacing w:val="-12"/>
          <w:w w:val="105"/>
        </w:rPr>
        <w:t> </w:t>
      </w:r>
      <w:r>
        <w:rPr>
          <w:color w:val="231F20"/>
          <w:w w:val="105"/>
        </w:rPr>
        <w:t>el</w:t>
      </w:r>
      <w:r>
        <w:rPr>
          <w:color w:val="231F20"/>
          <w:spacing w:val="-12"/>
          <w:w w:val="105"/>
        </w:rPr>
        <w:t> </w:t>
      </w:r>
      <w:r>
        <w:rPr>
          <w:color w:val="231F20"/>
          <w:spacing w:val="-3"/>
          <w:w w:val="105"/>
        </w:rPr>
        <w:t>dinero</w:t>
      </w:r>
      <w:r>
        <w:rPr>
          <w:color w:val="231F20"/>
          <w:spacing w:val="-12"/>
          <w:w w:val="105"/>
        </w:rPr>
        <w:t> </w:t>
      </w:r>
      <w:r>
        <w:rPr>
          <w:color w:val="231F20"/>
          <w:spacing w:val="-3"/>
          <w:w w:val="105"/>
        </w:rPr>
        <w:t>tuvo</w:t>
      </w:r>
      <w:r>
        <w:rPr>
          <w:color w:val="231F20"/>
          <w:spacing w:val="-12"/>
          <w:w w:val="105"/>
        </w:rPr>
        <w:t> </w:t>
      </w:r>
      <w:r>
        <w:rPr>
          <w:color w:val="231F20"/>
          <w:w w:val="105"/>
        </w:rPr>
        <w:t>que</w:t>
      </w:r>
      <w:r>
        <w:rPr>
          <w:color w:val="231F20"/>
          <w:spacing w:val="-12"/>
          <w:w w:val="105"/>
        </w:rPr>
        <w:t> </w:t>
      </w:r>
      <w:r>
        <w:rPr>
          <w:color w:val="231F20"/>
          <w:spacing w:val="-3"/>
          <w:w w:val="105"/>
        </w:rPr>
        <w:t>volver</w:t>
      </w:r>
      <w:r>
        <w:rPr>
          <w:color w:val="231F20"/>
          <w:spacing w:val="-12"/>
          <w:w w:val="105"/>
        </w:rPr>
        <w:t> </w:t>
      </w:r>
      <w:r>
        <w:rPr>
          <w:color w:val="231F20"/>
          <w:w w:val="105"/>
        </w:rPr>
        <w:t>a</w:t>
      </w:r>
      <w:r>
        <w:rPr>
          <w:color w:val="231F20"/>
          <w:spacing w:val="-12"/>
          <w:w w:val="105"/>
        </w:rPr>
        <w:t> </w:t>
      </w:r>
      <w:r>
        <w:rPr>
          <w:color w:val="231F20"/>
          <w:spacing w:val="-4"/>
          <w:w w:val="105"/>
        </w:rPr>
        <w:t>trabajar.</w:t>
      </w:r>
      <w:r>
        <w:rPr>
          <w:color w:val="231F20"/>
          <w:spacing w:val="-17"/>
          <w:w w:val="105"/>
        </w:rPr>
        <w:t> </w:t>
      </w:r>
      <w:r>
        <w:rPr>
          <w:color w:val="231F20"/>
          <w:spacing w:val="-3"/>
          <w:w w:val="105"/>
        </w:rPr>
        <w:t>De</w:t>
      </w:r>
      <w:r>
        <w:rPr>
          <w:color w:val="231F20"/>
          <w:spacing w:val="-3"/>
          <w:w w:val="103"/>
        </w:rPr>
        <w:t> </w:t>
      </w:r>
      <w:r>
        <w:rPr>
          <w:color w:val="231F20"/>
          <w:spacing w:val="-3"/>
          <w:w w:val="105"/>
        </w:rPr>
        <w:t>nueva</w:t>
      </w:r>
      <w:r>
        <w:rPr>
          <w:color w:val="231F20"/>
          <w:spacing w:val="-27"/>
          <w:w w:val="105"/>
        </w:rPr>
        <w:t> </w:t>
      </w:r>
      <w:r>
        <w:rPr>
          <w:color w:val="231F20"/>
          <w:spacing w:val="-3"/>
          <w:w w:val="105"/>
        </w:rPr>
        <w:t>cuenta</w:t>
      </w:r>
      <w:r>
        <w:rPr>
          <w:color w:val="231F20"/>
          <w:spacing w:val="-27"/>
          <w:w w:val="105"/>
        </w:rPr>
        <w:t> </w:t>
      </w:r>
      <w:r>
        <w:rPr>
          <w:color w:val="231F20"/>
          <w:w w:val="105"/>
        </w:rPr>
        <w:t>lo</w:t>
      </w:r>
      <w:r>
        <w:rPr>
          <w:color w:val="231F20"/>
          <w:spacing w:val="-27"/>
          <w:w w:val="105"/>
        </w:rPr>
        <w:t> </w:t>
      </w:r>
      <w:r>
        <w:rPr>
          <w:color w:val="231F20"/>
          <w:spacing w:val="-3"/>
          <w:w w:val="105"/>
        </w:rPr>
        <w:t>hizo</w:t>
      </w:r>
      <w:r>
        <w:rPr>
          <w:color w:val="231F20"/>
          <w:spacing w:val="-27"/>
          <w:w w:val="105"/>
        </w:rPr>
        <w:t> </w:t>
      </w:r>
      <w:r>
        <w:rPr>
          <w:color w:val="231F20"/>
          <w:w w:val="105"/>
        </w:rPr>
        <w:t>con</w:t>
      </w:r>
      <w:r>
        <w:rPr>
          <w:color w:val="231F20"/>
          <w:spacing w:val="-27"/>
          <w:w w:val="105"/>
        </w:rPr>
        <w:t> </w:t>
      </w:r>
      <w:r>
        <w:rPr>
          <w:color w:val="231F20"/>
          <w:w w:val="105"/>
        </w:rPr>
        <w:t>su</w:t>
      </w:r>
      <w:r>
        <w:rPr>
          <w:color w:val="231F20"/>
          <w:spacing w:val="-27"/>
          <w:w w:val="105"/>
        </w:rPr>
        <w:t> </w:t>
      </w:r>
      <w:r>
        <w:rPr>
          <w:color w:val="231F20"/>
          <w:spacing w:val="-3"/>
          <w:w w:val="105"/>
        </w:rPr>
        <w:t>padre,</w:t>
      </w:r>
      <w:r>
        <w:rPr>
          <w:color w:val="231F20"/>
          <w:spacing w:val="-32"/>
          <w:w w:val="105"/>
        </w:rPr>
        <w:t> </w:t>
      </w:r>
      <w:r>
        <w:rPr>
          <w:color w:val="231F20"/>
          <w:spacing w:val="-3"/>
          <w:w w:val="105"/>
        </w:rPr>
        <w:t>esta</w:t>
      </w:r>
      <w:r>
        <w:rPr>
          <w:color w:val="231F20"/>
          <w:spacing w:val="-27"/>
          <w:w w:val="105"/>
        </w:rPr>
        <w:t> </w:t>
      </w:r>
      <w:r>
        <w:rPr>
          <w:color w:val="231F20"/>
          <w:w w:val="105"/>
        </w:rPr>
        <w:t>vez</w:t>
      </w:r>
      <w:r>
        <w:rPr>
          <w:color w:val="231F20"/>
          <w:spacing w:val="-27"/>
          <w:w w:val="105"/>
        </w:rPr>
        <w:t> </w:t>
      </w:r>
      <w:r>
        <w:rPr>
          <w:color w:val="231F20"/>
          <w:spacing w:val="-3"/>
          <w:w w:val="105"/>
        </w:rPr>
        <w:t>trabajando</w:t>
      </w:r>
      <w:r>
        <w:rPr>
          <w:color w:val="231F20"/>
          <w:spacing w:val="-27"/>
          <w:w w:val="105"/>
        </w:rPr>
        <w:t> </w:t>
      </w:r>
      <w:r>
        <w:rPr>
          <w:color w:val="231F20"/>
          <w:w w:val="105"/>
        </w:rPr>
        <w:t>en</w:t>
      </w:r>
      <w:r>
        <w:rPr>
          <w:color w:val="231F20"/>
          <w:spacing w:val="6"/>
          <w:w w:val="105"/>
        </w:rPr>
        <w:t> </w:t>
      </w:r>
      <w:r>
        <w:rPr>
          <w:color w:val="231F20"/>
          <w:w w:val="105"/>
        </w:rPr>
        <w:t>la</w:t>
      </w:r>
      <w:r>
        <w:rPr>
          <w:color w:val="231F20"/>
          <w:spacing w:val="-27"/>
          <w:w w:val="105"/>
        </w:rPr>
        <w:t> </w:t>
      </w:r>
      <w:r>
        <w:rPr>
          <w:color w:val="231F20"/>
          <w:spacing w:val="-3"/>
          <w:w w:val="105"/>
        </w:rPr>
        <w:t>colocación</w:t>
      </w:r>
      <w:r>
        <w:rPr>
          <w:color w:val="231F20"/>
          <w:spacing w:val="-27"/>
          <w:w w:val="105"/>
        </w:rPr>
        <w:t> </w:t>
      </w:r>
      <w:r>
        <w:rPr>
          <w:color w:val="231F20"/>
          <w:spacing w:val="-3"/>
          <w:w w:val="105"/>
        </w:rPr>
        <w:t>de</w:t>
      </w:r>
      <w:r>
        <w:rPr>
          <w:color w:val="231F20"/>
          <w:spacing w:val="-3"/>
          <w:w w:val="108"/>
        </w:rPr>
        <w:t> </w:t>
      </w:r>
      <w:r>
        <w:rPr>
          <w:color w:val="231F20"/>
          <w:spacing w:val="-3"/>
          <w:w w:val="105"/>
        </w:rPr>
        <w:t>tablaroca,</w:t>
      </w:r>
      <w:r>
        <w:rPr>
          <w:color w:val="231F20"/>
          <w:spacing w:val="-19"/>
          <w:w w:val="105"/>
        </w:rPr>
        <w:t> </w:t>
      </w:r>
      <w:r>
        <w:rPr>
          <w:color w:val="231F20"/>
          <w:spacing w:val="-3"/>
          <w:w w:val="105"/>
        </w:rPr>
        <w:t>pues</w:t>
      </w:r>
      <w:r>
        <w:rPr>
          <w:color w:val="231F20"/>
          <w:spacing w:val="-14"/>
          <w:w w:val="105"/>
        </w:rPr>
        <w:t> </w:t>
      </w:r>
      <w:r>
        <w:rPr>
          <w:color w:val="231F20"/>
          <w:w w:val="105"/>
        </w:rPr>
        <w:t>en</w:t>
      </w:r>
      <w:r>
        <w:rPr>
          <w:color w:val="231F20"/>
          <w:spacing w:val="-14"/>
          <w:w w:val="105"/>
        </w:rPr>
        <w:t> </w:t>
      </w:r>
      <w:r>
        <w:rPr>
          <w:color w:val="231F20"/>
          <w:spacing w:val="-3"/>
          <w:w w:val="105"/>
        </w:rPr>
        <w:t>Nezahualcóyotl</w:t>
      </w:r>
      <w:r>
        <w:rPr>
          <w:color w:val="231F20"/>
          <w:spacing w:val="-14"/>
          <w:w w:val="105"/>
        </w:rPr>
        <w:t> </w:t>
      </w:r>
      <w:r>
        <w:rPr>
          <w:color w:val="231F20"/>
          <w:spacing w:val="-3"/>
          <w:w w:val="105"/>
        </w:rPr>
        <w:t>“nadie</w:t>
      </w:r>
      <w:r>
        <w:rPr>
          <w:color w:val="231F20"/>
          <w:spacing w:val="-14"/>
          <w:w w:val="105"/>
        </w:rPr>
        <w:t> </w:t>
      </w:r>
      <w:r>
        <w:rPr>
          <w:color w:val="231F20"/>
          <w:spacing w:val="-3"/>
          <w:w w:val="105"/>
        </w:rPr>
        <w:t>coloca</w:t>
      </w:r>
      <w:r>
        <w:rPr>
          <w:color w:val="231F20"/>
          <w:spacing w:val="-14"/>
          <w:w w:val="105"/>
        </w:rPr>
        <w:t> </w:t>
      </w:r>
      <w:r>
        <w:rPr>
          <w:color w:val="231F20"/>
          <w:spacing w:val="-3"/>
          <w:w w:val="105"/>
        </w:rPr>
        <w:t>pisos</w:t>
      </w:r>
      <w:r>
        <w:rPr>
          <w:color w:val="231F20"/>
          <w:spacing w:val="-14"/>
          <w:w w:val="105"/>
        </w:rPr>
        <w:t> </w:t>
      </w:r>
      <w:r>
        <w:rPr>
          <w:color w:val="231F20"/>
          <w:w w:val="105"/>
        </w:rPr>
        <w:t>de</w:t>
      </w:r>
      <w:r>
        <w:rPr>
          <w:color w:val="231F20"/>
          <w:spacing w:val="-14"/>
          <w:w w:val="105"/>
        </w:rPr>
        <w:t> </w:t>
      </w:r>
      <w:r>
        <w:rPr>
          <w:color w:val="231F20"/>
          <w:spacing w:val="-7"/>
          <w:w w:val="105"/>
        </w:rPr>
        <w:t>madera”,</w:t>
      </w:r>
      <w:r>
        <w:rPr>
          <w:color w:val="231F20"/>
          <w:spacing w:val="-19"/>
          <w:w w:val="105"/>
        </w:rPr>
        <w:t> </w:t>
      </w:r>
      <w:r>
        <w:rPr>
          <w:color w:val="231F20"/>
          <w:spacing w:val="-3"/>
          <w:w w:val="105"/>
        </w:rPr>
        <w:t>solo</w:t>
      </w:r>
      <w:r>
        <w:rPr>
          <w:color w:val="231F20"/>
          <w:spacing w:val="-14"/>
          <w:w w:val="105"/>
        </w:rPr>
        <w:t> </w:t>
      </w:r>
      <w:r>
        <w:rPr>
          <w:color w:val="231F20"/>
          <w:w w:val="105"/>
        </w:rPr>
        <w:t>a</w:t>
      </w:r>
      <w:r>
        <w:rPr>
          <w:color w:val="231F20"/>
          <w:w w:val="96"/>
        </w:rPr>
        <w:t> </w:t>
      </w:r>
      <w:r>
        <w:rPr>
          <w:color w:val="231F20"/>
          <w:spacing w:val="-3"/>
          <w:w w:val="105"/>
        </w:rPr>
        <w:t>veces</w:t>
      </w:r>
      <w:r>
        <w:rPr>
          <w:color w:val="231F20"/>
          <w:spacing w:val="-20"/>
          <w:w w:val="105"/>
        </w:rPr>
        <w:t> </w:t>
      </w:r>
      <w:r>
        <w:rPr>
          <w:color w:val="231F20"/>
          <w:spacing w:val="-3"/>
          <w:w w:val="105"/>
        </w:rPr>
        <w:t>trabaja</w:t>
      </w:r>
      <w:r>
        <w:rPr>
          <w:color w:val="231F20"/>
          <w:spacing w:val="-20"/>
          <w:w w:val="105"/>
        </w:rPr>
        <w:t> </w:t>
      </w:r>
      <w:r>
        <w:rPr>
          <w:color w:val="231F20"/>
          <w:w w:val="105"/>
        </w:rPr>
        <w:t>en</w:t>
      </w:r>
      <w:r>
        <w:rPr>
          <w:color w:val="231F20"/>
          <w:spacing w:val="-20"/>
          <w:w w:val="105"/>
        </w:rPr>
        <w:t> </w:t>
      </w:r>
      <w:r>
        <w:rPr>
          <w:color w:val="231F20"/>
          <w:w w:val="105"/>
        </w:rPr>
        <w:t>una</w:t>
      </w:r>
      <w:r>
        <w:rPr>
          <w:color w:val="231F20"/>
          <w:spacing w:val="-20"/>
          <w:w w:val="105"/>
        </w:rPr>
        <w:t> </w:t>
      </w:r>
      <w:r>
        <w:rPr>
          <w:color w:val="231F20"/>
          <w:spacing w:val="-3"/>
          <w:w w:val="105"/>
        </w:rPr>
        <w:t>tienda</w:t>
      </w:r>
      <w:r>
        <w:rPr>
          <w:color w:val="231F20"/>
          <w:spacing w:val="-20"/>
          <w:w w:val="105"/>
        </w:rPr>
        <w:t> </w:t>
      </w:r>
      <w:r>
        <w:rPr>
          <w:color w:val="231F20"/>
          <w:w w:val="105"/>
        </w:rPr>
        <w:t>que</w:t>
      </w:r>
      <w:r>
        <w:rPr>
          <w:color w:val="231F20"/>
          <w:spacing w:val="-20"/>
          <w:w w:val="105"/>
        </w:rPr>
        <w:t> </w:t>
      </w:r>
      <w:r>
        <w:rPr>
          <w:color w:val="231F20"/>
          <w:spacing w:val="-3"/>
          <w:w w:val="105"/>
        </w:rPr>
        <w:t>vende</w:t>
      </w:r>
      <w:r>
        <w:rPr>
          <w:color w:val="231F20"/>
          <w:spacing w:val="-20"/>
          <w:w w:val="105"/>
        </w:rPr>
        <w:t> </w:t>
      </w:r>
      <w:r>
        <w:rPr>
          <w:color w:val="231F20"/>
          <w:spacing w:val="-3"/>
          <w:w w:val="105"/>
        </w:rPr>
        <w:t>pisos</w:t>
      </w:r>
      <w:r>
        <w:rPr>
          <w:color w:val="231F20"/>
          <w:spacing w:val="-20"/>
          <w:w w:val="105"/>
        </w:rPr>
        <w:t> </w:t>
      </w:r>
      <w:r>
        <w:rPr>
          <w:color w:val="231F20"/>
          <w:w w:val="105"/>
        </w:rPr>
        <w:t>de</w:t>
      </w:r>
      <w:r>
        <w:rPr>
          <w:color w:val="231F20"/>
          <w:spacing w:val="-20"/>
          <w:w w:val="105"/>
        </w:rPr>
        <w:t> </w:t>
      </w:r>
      <w:r>
        <w:rPr>
          <w:color w:val="231F20"/>
          <w:spacing w:val="-3"/>
          <w:w w:val="105"/>
        </w:rPr>
        <w:t>maderas</w:t>
      </w:r>
      <w:r>
        <w:rPr>
          <w:color w:val="231F20"/>
          <w:spacing w:val="-20"/>
          <w:w w:val="105"/>
        </w:rPr>
        <w:t> </w:t>
      </w:r>
      <w:r>
        <w:rPr>
          <w:color w:val="231F20"/>
          <w:w w:val="105"/>
        </w:rPr>
        <w:t>finas</w:t>
      </w:r>
      <w:r>
        <w:rPr>
          <w:color w:val="231F20"/>
          <w:spacing w:val="-20"/>
          <w:w w:val="105"/>
        </w:rPr>
        <w:t> </w:t>
      </w:r>
      <w:r>
        <w:rPr>
          <w:color w:val="231F20"/>
          <w:w w:val="105"/>
        </w:rPr>
        <w:t>en</w:t>
      </w:r>
      <w:r>
        <w:rPr>
          <w:color w:val="231F20"/>
          <w:spacing w:val="21"/>
          <w:w w:val="105"/>
        </w:rPr>
        <w:t> </w:t>
      </w:r>
      <w:r>
        <w:rPr>
          <w:color w:val="231F20"/>
          <w:w w:val="105"/>
        </w:rPr>
        <w:t>Las</w:t>
      </w:r>
      <w:r>
        <w:rPr>
          <w:color w:val="231F20"/>
          <w:spacing w:val="-20"/>
          <w:w w:val="105"/>
        </w:rPr>
        <w:t> </w:t>
      </w:r>
      <w:r>
        <w:rPr>
          <w:color w:val="231F20"/>
          <w:spacing w:val="-3"/>
          <w:w w:val="105"/>
        </w:rPr>
        <w:t>Lo-</w:t>
      </w:r>
    </w:p>
    <w:p>
      <w:pPr>
        <w:pStyle w:val="BodyText"/>
        <w:spacing w:before="1"/>
        <w:ind w:left="1723"/>
        <w:jc w:val="both"/>
      </w:pPr>
      <w:r>
        <w:rPr>
          <w:color w:val="231F20"/>
          <w:w w:val="105"/>
        </w:rPr>
        <w:t>mas, Ciudad de México, pero esto ocurre si acaso una vez al mes.</w:t>
      </w:r>
    </w:p>
    <w:p>
      <w:pPr>
        <w:pStyle w:val="BodyText"/>
        <w:spacing w:line="261" w:lineRule="auto" w:before="22"/>
        <w:ind w:left="1723" w:right="1829" w:firstLine="567"/>
        <w:jc w:val="both"/>
      </w:pPr>
      <w:r>
        <w:rPr>
          <w:color w:val="231F20"/>
          <w:w w:val="105"/>
        </w:rPr>
        <w:t>Moisés</w:t>
      </w:r>
      <w:r>
        <w:rPr>
          <w:color w:val="231F20"/>
          <w:spacing w:val="-27"/>
          <w:w w:val="105"/>
        </w:rPr>
        <w:t> </w:t>
      </w:r>
      <w:r>
        <w:rPr>
          <w:color w:val="231F20"/>
          <w:w w:val="105"/>
        </w:rPr>
        <w:t>dice</w:t>
      </w:r>
      <w:r>
        <w:rPr>
          <w:color w:val="231F20"/>
          <w:spacing w:val="-27"/>
          <w:w w:val="105"/>
        </w:rPr>
        <w:t> </w:t>
      </w:r>
      <w:r>
        <w:rPr>
          <w:color w:val="231F20"/>
          <w:w w:val="105"/>
        </w:rPr>
        <w:t>que</w:t>
      </w:r>
      <w:r>
        <w:rPr>
          <w:color w:val="231F20"/>
          <w:spacing w:val="-27"/>
          <w:w w:val="105"/>
        </w:rPr>
        <w:t> </w:t>
      </w:r>
      <w:r>
        <w:rPr>
          <w:color w:val="231F20"/>
          <w:w w:val="105"/>
        </w:rPr>
        <w:t>no</w:t>
      </w:r>
      <w:r>
        <w:rPr>
          <w:color w:val="231F20"/>
          <w:spacing w:val="-27"/>
          <w:w w:val="105"/>
        </w:rPr>
        <w:t> </w:t>
      </w:r>
      <w:r>
        <w:rPr>
          <w:color w:val="231F20"/>
          <w:w w:val="105"/>
        </w:rPr>
        <w:t>volverá</w:t>
      </w:r>
      <w:r>
        <w:rPr>
          <w:color w:val="231F20"/>
          <w:spacing w:val="-27"/>
          <w:w w:val="105"/>
        </w:rPr>
        <w:t> </w:t>
      </w:r>
      <w:r>
        <w:rPr>
          <w:color w:val="231F20"/>
          <w:w w:val="105"/>
        </w:rPr>
        <w:t>a</w:t>
      </w:r>
      <w:r>
        <w:rPr>
          <w:color w:val="231F20"/>
          <w:spacing w:val="-27"/>
          <w:w w:val="105"/>
        </w:rPr>
        <w:t> </w:t>
      </w:r>
      <w:r>
        <w:rPr>
          <w:color w:val="231F20"/>
          <w:w w:val="105"/>
        </w:rPr>
        <w:t>viajar</w:t>
      </w:r>
      <w:r>
        <w:rPr>
          <w:color w:val="231F20"/>
          <w:spacing w:val="-27"/>
          <w:w w:val="105"/>
        </w:rPr>
        <w:t> </w:t>
      </w:r>
      <w:r>
        <w:rPr>
          <w:color w:val="231F20"/>
          <w:w w:val="105"/>
        </w:rPr>
        <w:t>a</w:t>
      </w:r>
      <w:r>
        <w:rPr>
          <w:color w:val="231F20"/>
          <w:spacing w:val="-27"/>
          <w:w w:val="105"/>
        </w:rPr>
        <w:t> </w:t>
      </w:r>
      <w:r>
        <w:rPr>
          <w:color w:val="231F20"/>
          <w:w w:val="105"/>
        </w:rPr>
        <w:t>Estados</w:t>
      </w:r>
      <w:r>
        <w:rPr>
          <w:color w:val="231F20"/>
          <w:spacing w:val="-27"/>
          <w:w w:val="105"/>
        </w:rPr>
        <w:t> </w:t>
      </w:r>
      <w:r>
        <w:rPr>
          <w:color w:val="231F20"/>
          <w:w w:val="105"/>
        </w:rPr>
        <w:t>Unidos,</w:t>
      </w:r>
      <w:r>
        <w:rPr>
          <w:color w:val="231F20"/>
          <w:spacing w:val="-31"/>
          <w:w w:val="105"/>
        </w:rPr>
        <w:t> </w:t>
      </w:r>
      <w:r>
        <w:rPr>
          <w:color w:val="231F20"/>
          <w:w w:val="105"/>
        </w:rPr>
        <w:t>pues</w:t>
      </w:r>
      <w:r>
        <w:rPr>
          <w:color w:val="231F20"/>
          <w:spacing w:val="-27"/>
          <w:w w:val="105"/>
        </w:rPr>
        <w:t> </w:t>
      </w:r>
      <w:r>
        <w:rPr>
          <w:color w:val="231F20"/>
          <w:w w:val="105"/>
        </w:rPr>
        <w:t>quisiera seguir</w:t>
      </w:r>
      <w:r>
        <w:rPr>
          <w:color w:val="231F20"/>
          <w:spacing w:val="-23"/>
          <w:w w:val="105"/>
        </w:rPr>
        <w:t> </w:t>
      </w:r>
      <w:r>
        <w:rPr>
          <w:color w:val="231F20"/>
          <w:w w:val="105"/>
        </w:rPr>
        <w:t>una</w:t>
      </w:r>
      <w:r>
        <w:rPr>
          <w:color w:val="231F20"/>
          <w:spacing w:val="-23"/>
          <w:w w:val="105"/>
        </w:rPr>
        <w:t> </w:t>
      </w:r>
      <w:r>
        <w:rPr>
          <w:color w:val="231F20"/>
          <w:w w:val="105"/>
        </w:rPr>
        <w:t>carrera</w:t>
      </w:r>
      <w:r>
        <w:rPr>
          <w:color w:val="231F20"/>
          <w:spacing w:val="-23"/>
          <w:w w:val="105"/>
        </w:rPr>
        <w:t> </w:t>
      </w:r>
      <w:r>
        <w:rPr>
          <w:color w:val="231F20"/>
          <w:w w:val="105"/>
        </w:rPr>
        <w:t>universitaria</w:t>
      </w:r>
      <w:r>
        <w:rPr>
          <w:color w:val="231F20"/>
          <w:spacing w:val="-23"/>
          <w:w w:val="105"/>
        </w:rPr>
        <w:t> </w:t>
      </w:r>
      <w:r>
        <w:rPr>
          <w:color w:val="231F20"/>
          <w:w w:val="105"/>
        </w:rPr>
        <w:t>aprovechando</w:t>
      </w:r>
      <w:r>
        <w:rPr>
          <w:color w:val="231F20"/>
          <w:spacing w:val="-23"/>
          <w:w w:val="105"/>
        </w:rPr>
        <w:t> </w:t>
      </w:r>
      <w:r>
        <w:rPr>
          <w:color w:val="231F20"/>
          <w:w w:val="105"/>
        </w:rPr>
        <w:t>que</w:t>
      </w:r>
      <w:r>
        <w:rPr>
          <w:color w:val="231F20"/>
          <w:spacing w:val="-23"/>
          <w:w w:val="105"/>
        </w:rPr>
        <w:t> </w:t>
      </w:r>
      <w:r>
        <w:rPr>
          <w:color w:val="231F20"/>
          <w:w w:val="105"/>
        </w:rPr>
        <w:t>acá</w:t>
      </w:r>
      <w:r>
        <w:rPr>
          <w:color w:val="231F20"/>
          <w:spacing w:val="-23"/>
          <w:w w:val="105"/>
        </w:rPr>
        <w:t> </w:t>
      </w:r>
      <w:r>
        <w:rPr>
          <w:color w:val="231F20"/>
          <w:w w:val="105"/>
        </w:rPr>
        <w:t>puede</w:t>
      </w:r>
      <w:r>
        <w:rPr>
          <w:color w:val="231F20"/>
          <w:spacing w:val="-23"/>
          <w:w w:val="105"/>
        </w:rPr>
        <w:t> </w:t>
      </w:r>
      <w:r>
        <w:rPr>
          <w:color w:val="231F20"/>
          <w:w w:val="105"/>
        </w:rPr>
        <w:t>ser</w:t>
      </w:r>
      <w:r>
        <w:rPr>
          <w:color w:val="231F20"/>
          <w:spacing w:val="-23"/>
          <w:w w:val="105"/>
        </w:rPr>
        <w:t> </w:t>
      </w:r>
      <w:r>
        <w:rPr>
          <w:color w:val="231F20"/>
          <w:w w:val="105"/>
        </w:rPr>
        <w:t>gratis</w:t>
      </w:r>
      <w:r>
        <w:rPr>
          <w:color w:val="231F20"/>
          <w:spacing w:val="-23"/>
          <w:w w:val="105"/>
        </w:rPr>
        <w:t> </w:t>
      </w:r>
      <w:r>
        <w:rPr>
          <w:color w:val="231F20"/>
          <w:w w:val="105"/>
        </w:rPr>
        <w:t>y allá</w:t>
      </w:r>
      <w:r>
        <w:rPr>
          <w:color w:val="231F20"/>
          <w:spacing w:val="-8"/>
          <w:w w:val="105"/>
        </w:rPr>
        <w:t> </w:t>
      </w:r>
      <w:r>
        <w:rPr>
          <w:color w:val="231F20"/>
          <w:w w:val="105"/>
        </w:rPr>
        <w:t>no,</w:t>
      </w:r>
      <w:r>
        <w:rPr>
          <w:color w:val="231F20"/>
          <w:spacing w:val="-14"/>
          <w:w w:val="105"/>
        </w:rPr>
        <w:t> </w:t>
      </w:r>
      <w:r>
        <w:rPr>
          <w:color w:val="231F20"/>
          <w:w w:val="105"/>
        </w:rPr>
        <w:t>por</w:t>
      </w:r>
      <w:r>
        <w:rPr>
          <w:color w:val="231F20"/>
          <w:spacing w:val="-8"/>
          <w:w w:val="105"/>
        </w:rPr>
        <w:t> </w:t>
      </w:r>
      <w:r>
        <w:rPr>
          <w:color w:val="231F20"/>
          <w:w w:val="105"/>
        </w:rPr>
        <w:t>ello</w:t>
      </w:r>
      <w:r>
        <w:rPr>
          <w:color w:val="231F20"/>
          <w:spacing w:val="-8"/>
          <w:w w:val="105"/>
        </w:rPr>
        <w:t> </w:t>
      </w:r>
      <w:r>
        <w:rPr>
          <w:color w:val="231F20"/>
          <w:w w:val="105"/>
        </w:rPr>
        <w:t>ha</w:t>
      </w:r>
      <w:r>
        <w:rPr>
          <w:color w:val="231F20"/>
          <w:spacing w:val="-8"/>
          <w:w w:val="105"/>
        </w:rPr>
        <w:t> </w:t>
      </w:r>
      <w:r>
        <w:rPr>
          <w:color w:val="231F20"/>
          <w:w w:val="105"/>
        </w:rPr>
        <w:t>iniciado</w:t>
      </w:r>
      <w:r>
        <w:rPr>
          <w:color w:val="231F20"/>
          <w:spacing w:val="-8"/>
          <w:w w:val="105"/>
        </w:rPr>
        <w:t> </w:t>
      </w:r>
      <w:r>
        <w:rPr>
          <w:color w:val="231F20"/>
          <w:w w:val="105"/>
        </w:rPr>
        <w:t>los</w:t>
      </w:r>
      <w:r>
        <w:rPr>
          <w:color w:val="231F20"/>
          <w:spacing w:val="-8"/>
          <w:w w:val="105"/>
        </w:rPr>
        <w:t> </w:t>
      </w:r>
      <w:r>
        <w:rPr>
          <w:color w:val="231F20"/>
          <w:w w:val="105"/>
        </w:rPr>
        <w:t>trámites</w:t>
      </w:r>
      <w:r>
        <w:rPr>
          <w:color w:val="231F20"/>
          <w:spacing w:val="-8"/>
          <w:w w:val="105"/>
        </w:rPr>
        <w:t> </w:t>
      </w:r>
      <w:r>
        <w:rPr>
          <w:color w:val="231F20"/>
          <w:w w:val="105"/>
        </w:rPr>
        <w:t>de</w:t>
      </w:r>
      <w:r>
        <w:rPr>
          <w:color w:val="231F20"/>
          <w:spacing w:val="-8"/>
          <w:w w:val="105"/>
        </w:rPr>
        <w:t> </w:t>
      </w:r>
      <w:r>
        <w:rPr>
          <w:color w:val="231F20"/>
          <w:w w:val="105"/>
        </w:rPr>
        <w:t>revalidación</w:t>
      </w:r>
      <w:r>
        <w:rPr>
          <w:color w:val="231F20"/>
          <w:spacing w:val="-8"/>
          <w:w w:val="105"/>
        </w:rPr>
        <w:t> </w:t>
      </w:r>
      <w:r>
        <w:rPr>
          <w:color w:val="231F20"/>
          <w:w w:val="105"/>
        </w:rPr>
        <w:t>de</w:t>
      </w:r>
      <w:r>
        <w:rPr>
          <w:color w:val="231F20"/>
          <w:spacing w:val="-8"/>
          <w:w w:val="105"/>
        </w:rPr>
        <w:t> </w:t>
      </w:r>
      <w:r>
        <w:rPr>
          <w:color w:val="231F20"/>
          <w:w w:val="105"/>
        </w:rPr>
        <w:t>estudios</w:t>
      </w:r>
      <w:r>
        <w:rPr>
          <w:color w:val="231F20"/>
          <w:spacing w:val="-8"/>
          <w:w w:val="105"/>
        </w:rPr>
        <w:t> </w:t>
      </w:r>
      <w:r>
        <w:rPr>
          <w:color w:val="231F20"/>
          <w:w w:val="105"/>
        </w:rPr>
        <w:t>ante la</w:t>
      </w:r>
      <w:r>
        <w:rPr>
          <w:color w:val="231F20"/>
          <w:spacing w:val="-14"/>
          <w:w w:val="105"/>
        </w:rPr>
        <w:t> </w:t>
      </w:r>
      <w:r>
        <w:rPr>
          <w:color w:val="231F20"/>
          <w:w w:val="105"/>
        </w:rPr>
        <w:t>Secretaría</w:t>
      </w:r>
      <w:r>
        <w:rPr>
          <w:color w:val="231F20"/>
          <w:spacing w:val="-14"/>
          <w:w w:val="105"/>
        </w:rPr>
        <w:t> </w:t>
      </w:r>
      <w:r>
        <w:rPr>
          <w:color w:val="231F20"/>
          <w:w w:val="105"/>
        </w:rPr>
        <w:t>de</w:t>
      </w:r>
      <w:r>
        <w:rPr>
          <w:color w:val="231F20"/>
          <w:spacing w:val="-14"/>
          <w:w w:val="105"/>
        </w:rPr>
        <w:t> </w:t>
      </w:r>
      <w:r>
        <w:rPr>
          <w:color w:val="231F20"/>
          <w:w w:val="105"/>
        </w:rPr>
        <w:t>Educación</w:t>
      </w:r>
      <w:r>
        <w:rPr>
          <w:color w:val="231F20"/>
          <w:spacing w:val="-14"/>
          <w:w w:val="105"/>
        </w:rPr>
        <w:t> </w:t>
      </w:r>
      <w:r>
        <w:rPr>
          <w:color w:val="231F20"/>
          <w:w w:val="105"/>
        </w:rPr>
        <w:t>Pública.</w:t>
      </w:r>
      <w:r>
        <w:rPr>
          <w:color w:val="231F20"/>
          <w:spacing w:val="-18"/>
          <w:w w:val="105"/>
        </w:rPr>
        <w:t> </w:t>
      </w:r>
      <w:r>
        <w:rPr>
          <w:color w:val="231F20"/>
          <w:w w:val="105"/>
        </w:rPr>
        <w:t>No</w:t>
      </w:r>
      <w:r>
        <w:rPr>
          <w:color w:val="231F20"/>
          <w:spacing w:val="-14"/>
          <w:w w:val="105"/>
        </w:rPr>
        <w:t> </w:t>
      </w:r>
      <w:r>
        <w:rPr>
          <w:color w:val="231F20"/>
          <w:w w:val="105"/>
        </w:rPr>
        <w:t>obstante,</w:t>
      </w:r>
      <w:r>
        <w:rPr>
          <w:color w:val="231F20"/>
          <w:spacing w:val="-18"/>
          <w:w w:val="105"/>
        </w:rPr>
        <w:t> </w:t>
      </w:r>
      <w:r>
        <w:rPr>
          <w:color w:val="231F20"/>
          <w:w w:val="105"/>
        </w:rPr>
        <w:t>unos</w:t>
      </w:r>
      <w:r>
        <w:rPr>
          <w:color w:val="231F20"/>
          <w:spacing w:val="-14"/>
          <w:w w:val="105"/>
        </w:rPr>
        <w:t> </w:t>
      </w:r>
      <w:r>
        <w:rPr>
          <w:color w:val="231F20"/>
          <w:w w:val="105"/>
        </w:rPr>
        <w:t>minutos</w:t>
      </w:r>
      <w:r>
        <w:rPr>
          <w:color w:val="231F20"/>
          <w:spacing w:val="-14"/>
          <w:w w:val="105"/>
        </w:rPr>
        <w:t> </w:t>
      </w:r>
      <w:r>
        <w:rPr>
          <w:color w:val="231F20"/>
          <w:w w:val="105"/>
        </w:rPr>
        <w:t>después de</w:t>
      </w:r>
      <w:r>
        <w:rPr>
          <w:color w:val="231F20"/>
          <w:spacing w:val="-6"/>
          <w:w w:val="105"/>
        </w:rPr>
        <w:t> </w:t>
      </w:r>
      <w:r>
        <w:rPr>
          <w:color w:val="231F20"/>
          <w:w w:val="105"/>
        </w:rPr>
        <w:t>asegurar</w:t>
      </w:r>
      <w:r>
        <w:rPr>
          <w:color w:val="231F20"/>
          <w:spacing w:val="-6"/>
          <w:w w:val="105"/>
        </w:rPr>
        <w:t> </w:t>
      </w:r>
      <w:r>
        <w:rPr>
          <w:color w:val="231F20"/>
          <w:w w:val="105"/>
        </w:rPr>
        <w:t>no</w:t>
      </w:r>
      <w:r>
        <w:rPr>
          <w:color w:val="231F20"/>
          <w:spacing w:val="-6"/>
          <w:w w:val="105"/>
        </w:rPr>
        <w:t> </w:t>
      </w:r>
      <w:r>
        <w:rPr>
          <w:color w:val="231F20"/>
          <w:w w:val="105"/>
        </w:rPr>
        <w:t>tener</w:t>
      </w:r>
      <w:r>
        <w:rPr>
          <w:color w:val="231F20"/>
          <w:spacing w:val="-6"/>
          <w:w w:val="105"/>
        </w:rPr>
        <w:t> </w:t>
      </w:r>
      <w:r>
        <w:rPr>
          <w:color w:val="231F20"/>
          <w:w w:val="105"/>
        </w:rPr>
        <w:t>intensiones</w:t>
      </w:r>
      <w:r>
        <w:rPr>
          <w:color w:val="231F20"/>
          <w:spacing w:val="-6"/>
          <w:w w:val="105"/>
        </w:rPr>
        <w:t> </w:t>
      </w:r>
      <w:r>
        <w:rPr>
          <w:color w:val="231F20"/>
          <w:w w:val="105"/>
        </w:rPr>
        <w:t>de</w:t>
      </w:r>
      <w:r>
        <w:rPr>
          <w:color w:val="231F20"/>
          <w:spacing w:val="-6"/>
          <w:w w:val="105"/>
        </w:rPr>
        <w:t> </w:t>
      </w:r>
      <w:r>
        <w:rPr>
          <w:color w:val="231F20"/>
          <w:w w:val="105"/>
        </w:rPr>
        <w:t>volver,</w:t>
      </w:r>
      <w:r>
        <w:rPr>
          <w:color w:val="231F20"/>
          <w:spacing w:val="-11"/>
          <w:w w:val="105"/>
        </w:rPr>
        <w:t> </w:t>
      </w:r>
      <w:r>
        <w:rPr>
          <w:color w:val="231F20"/>
          <w:w w:val="105"/>
        </w:rPr>
        <w:t>asegura</w:t>
      </w:r>
      <w:r>
        <w:rPr>
          <w:color w:val="231F20"/>
          <w:spacing w:val="-6"/>
          <w:w w:val="105"/>
        </w:rPr>
        <w:t> </w:t>
      </w:r>
      <w:r>
        <w:rPr>
          <w:color w:val="231F20"/>
          <w:w w:val="105"/>
        </w:rPr>
        <w:t>que</w:t>
      </w:r>
      <w:r>
        <w:rPr>
          <w:color w:val="231F20"/>
          <w:spacing w:val="-6"/>
          <w:w w:val="105"/>
        </w:rPr>
        <w:t> </w:t>
      </w:r>
      <w:r>
        <w:rPr>
          <w:color w:val="231F20"/>
          <w:w w:val="105"/>
        </w:rPr>
        <w:t>podría</w:t>
      </w:r>
      <w:r>
        <w:rPr>
          <w:color w:val="231F20"/>
          <w:spacing w:val="-6"/>
          <w:w w:val="105"/>
        </w:rPr>
        <w:t> </w:t>
      </w:r>
      <w:r>
        <w:rPr>
          <w:color w:val="231F20"/>
          <w:w w:val="105"/>
        </w:rPr>
        <w:t>hacerlo pero no como “un inmigrante sin papeles, solo iría si ahora sí ahorrara para poner un negocio en México y luego </w:t>
      </w:r>
      <w:r>
        <w:rPr>
          <w:color w:val="231F20"/>
          <w:spacing w:val="-3"/>
          <w:w w:val="105"/>
        </w:rPr>
        <w:t>regresarse”. </w:t>
      </w:r>
      <w:r>
        <w:rPr>
          <w:color w:val="231F20"/>
          <w:w w:val="105"/>
        </w:rPr>
        <w:t>En este sentido, señala</w:t>
      </w:r>
      <w:r>
        <w:rPr>
          <w:color w:val="231F20"/>
          <w:spacing w:val="-4"/>
          <w:w w:val="105"/>
        </w:rPr>
        <w:t> </w:t>
      </w:r>
      <w:r>
        <w:rPr>
          <w:color w:val="231F20"/>
          <w:w w:val="105"/>
        </w:rPr>
        <w:t>que</w:t>
      </w:r>
      <w:r>
        <w:rPr>
          <w:color w:val="231F20"/>
          <w:spacing w:val="-4"/>
          <w:w w:val="105"/>
        </w:rPr>
        <w:t> </w:t>
      </w:r>
      <w:r>
        <w:rPr>
          <w:color w:val="231F20"/>
          <w:w w:val="105"/>
        </w:rPr>
        <w:t>su</w:t>
      </w:r>
      <w:r>
        <w:rPr>
          <w:color w:val="231F20"/>
          <w:spacing w:val="-4"/>
          <w:w w:val="105"/>
        </w:rPr>
        <w:t> </w:t>
      </w:r>
      <w:r>
        <w:rPr>
          <w:color w:val="231F20"/>
          <w:w w:val="105"/>
        </w:rPr>
        <w:t>estancia</w:t>
      </w:r>
      <w:r>
        <w:rPr>
          <w:color w:val="231F20"/>
          <w:spacing w:val="-4"/>
          <w:w w:val="105"/>
        </w:rPr>
        <w:t> </w:t>
      </w:r>
      <w:r>
        <w:rPr>
          <w:color w:val="231F20"/>
          <w:w w:val="105"/>
        </w:rPr>
        <w:t>en</w:t>
      </w:r>
      <w:r>
        <w:rPr>
          <w:color w:val="231F20"/>
          <w:spacing w:val="-4"/>
          <w:w w:val="105"/>
        </w:rPr>
        <w:t> </w:t>
      </w:r>
      <w:r>
        <w:rPr>
          <w:color w:val="231F20"/>
          <w:w w:val="105"/>
        </w:rPr>
        <w:t>Estados</w:t>
      </w:r>
      <w:r>
        <w:rPr>
          <w:color w:val="231F20"/>
          <w:spacing w:val="-4"/>
          <w:w w:val="105"/>
        </w:rPr>
        <w:t> </w:t>
      </w:r>
      <w:r>
        <w:rPr>
          <w:color w:val="231F20"/>
          <w:w w:val="105"/>
        </w:rPr>
        <w:t>Unidos</w:t>
      </w:r>
      <w:r>
        <w:rPr>
          <w:color w:val="231F20"/>
          <w:spacing w:val="-4"/>
          <w:w w:val="105"/>
        </w:rPr>
        <w:t> </w:t>
      </w:r>
      <w:r>
        <w:rPr>
          <w:color w:val="231F20"/>
          <w:w w:val="105"/>
        </w:rPr>
        <w:t>fue</w:t>
      </w:r>
      <w:r>
        <w:rPr>
          <w:color w:val="231F20"/>
          <w:spacing w:val="-4"/>
          <w:w w:val="105"/>
        </w:rPr>
        <w:t> </w:t>
      </w:r>
      <w:r>
        <w:rPr>
          <w:color w:val="231F20"/>
          <w:w w:val="105"/>
        </w:rPr>
        <w:t>altamente</w:t>
      </w:r>
      <w:r>
        <w:rPr>
          <w:color w:val="231F20"/>
          <w:spacing w:val="-4"/>
          <w:w w:val="105"/>
        </w:rPr>
        <w:t> </w:t>
      </w:r>
      <w:r>
        <w:rPr>
          <w:color w:val="231F20"/>
          <w:w w:val="105"/>
        </w:rPr>
        <w:t>positiva,</w:t>
      </w:r>
      <w:r>
        <w:rPr>
          <w:color w:val="231F20"/>
          <w:spacing w:val="-9"/>
          <w:w w:val="105"/>
        </w:rPr>
        <w:t> </w:t>
      </w:r>
      <w:r>
        <w:rPr>
          <w:color w:val="231F20"/>
          <w:w w:val="105"/>
        </w:rPr>
        <w:t>pues de haberse quedado en Nezahualcóyotl no hubiera concluido los estu- dios</w:t>
      </w:r>
      <w:r>
        <w:rPr>
          <w:color w:val="231F20"/>
          <w:spacing w:val="-16"/>
          <w:w w:val="105"/>
        </w:rPr>
        <w:t> </w:t>
      </w:r>
      <w:r>
        <w:rPr>
          <w:color w:val="231F20"/>
          <w:w w:val="105"/>
        </w:rPr>
        <w:t>ni</w:t>
      </w:r>
      <w:r>
        <w:rPr>
          <w:color w:val="231F20"/>
          <w:spacing w:val="-16"/>
          <w:w w:val="105"/>
        </w:rPr>
        <w:t> </w:t>
      </w:r>
      <w:r>
        <w:rPr>
          <w:color w:val="231F20"/>
          <w:w w:val="105"/>
        </w:rPr>
        <w:t>de</w:t>
      </w:r>
      <w:r>
        <w:rPr>
          <w:color w:val="231F20"/>
          <w:spacing w:val="-16"/>
          <w:w w:val="105"/>
        </w:rPr>
        <w:t> </w:t>
      </w:r>
      <w:r>
        <w:rPr>
          <w:color w:val="231F20"/>
          <w:w w:val="105"/>
        </w:rPr>
        <w:t>secundaria;</w:t>
      </w:r>
      <w:r>
        <w:rPr>
          <w:color w:val="231F20"/>
          <w:spacing w:val="-16"/>
          <w:w w:val="105"/>
        </w:rPr>
        <w:t> </w:t>
      </w:r>
      <w:r>
        <w:rPr>
          <w:color w:val="231F20"/>
          <w:w w:val="105"/>
        </w:rPr>
        <w:t>sin</w:t>
      </w:r>
      <w:r>
        <w:rPr>
          <w:color w:val="231F20"/>
          <w:spacing w:val="-16"/>
          <w:w w:val="105"/>
        </w:rPr>
        <w:t> </w:t>
      </w:r>
      <w:r>
        <w:rPr>
          <w:color w:val="231F20"/>
          <w:w w:val="105"/>
        </w:rPr>
        <w:t>embargo,</w:t>
      </w:r>
      <w:r>
        <w:rPr>
          <w:color w:val="231F20"/>
          <w:spacing w:val="-21"/>
          <w:w w:val="105"/>
        </w:rPr>
        <w:t> </w:t>
      </w:r>
      <w:r>
        <w:rPr>
          <w:color w:val="231F20"/>
          <w:w w:val="105"/>
        </w:rPr>
        <w:t>en</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16"/>
          <w:w w:val="105"/>
        </w:rPr>
        <w:t> </w:t>
      </w:r>
      <w:r>
        <w:rPr>
          <w:color w:val="231F20"/>
          <w:w w:val="105"/>
        </w:rPr>
        <w:t>lo</w:t>
      </w:r>
      <w:r>
        <w:rPr>
          <w:color w:val="231F20"/>
          <w:spacing w:val="-16"/>
          <w:w w:val="105"/>
        </w:rPr>
        <w:t> </w:t>
      </w:r>
      <w:r>
        <w:rPr>
          <w:color w:val="231F20"/>
          <w:w w:val="105"/>
        </w:rPr>
        <w:t>motivaban</w:t>
      </w:r>
      <w:r>
        <w:rPr>
          <w:color w:val="231F20"/>
          <w:spacing w:val="-16"/>
          <w:w w:val="105"/>
        </w:rPr>
        <w:t> </w:t>
      </w:r>
      <w:r>
        <w:rPr>
          <w:color w:val="231F20"/>
          <w:w w:val="105"/>
        </w:rPr>
        <w:t>sus</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6656" from="131.551193pt,3.703715pt" to="131.551193pt,39.506114pt" stroked="true" strokeweight=".35pt" strokecolor="#231f20">
            <w10:wrap type="none"/>
          </v:line>
        </w:pict>
      </w:r>
      <w:r>
        <w:rPr/>
        <w:pict>
          <v:line style="position:absolute;mso-position-horizontal-relative:page;mso-position-vertical-relative:paragraph;z-index:-476584" from="15pt,39.505917pt" to="0pt,39.505917pt" stroked="true" strokeweight=".25pt" strokecolor="#000000">
            <w10:wrap type="none"/>
          </v:line>
        </w:pict>
      </w:r>
      <w:r>
        <w:rPr/>
        <w:pict>
          <v:line style="position:absolute;mso-position-horizontal-relative:page;mso-position-vertical-relative:paragraph;z-index:13624" from="508.890015pt,39.505917pt" to="523.890015pt,39.505917pt" stroked="true" strokeweight=".25pt" strokecolor="#000000">
            <w10:wrap type="none"/>
          </v:line>
        </w:pict>
      </w:r>
      <w:r>
        <w:rPr>
          <w:rFonts w:ascii="Arial" w:hAnsi="Arial"/>
          <w:color w:val="414042"/>
          <w:position w:val="-5"/>
          <w:sz w:val="20"/>
        </w:rPr>
        <w:t>134</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6512" from="405.061005pt,-18.554295pt" to="405.061005pt,16.311579pt" stroked="true" strokeweight=".35pt" strokecolor="#231f20">
            <w10:wrap type="none"/>
          </v:line>
        </w:pict>
      </w:r>
      <w:r>
        <w:rPr/>
        <w:pict>
          <v:line style="position:absolute;mso-position-horizontal-relative:page;mso-position-vertical-relative:paragraph;z-index:13696" from="15pt,-18.554522pt" to="0pt,-18.554522pt" stroked="true" strokeweight=".25pt" strokecolor="#000000">
            <w10:wrap type="none"/>
          </v:line>
        </w:pict>
      </w:r>
      <w:r>
        <w:rPr/>
        <w:pict>
          <v:line style="position:absolute;mso-position-horizontal-relative:page;mso-position-vertical-relative:paragraph;z-index:13720"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135</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hermanos y le daban premios por hacerlo; acá no tenía motivación, ni amigos</w:t>
      </w:r>
      <w:r>
        <w:rPr>
          <w:color w:val="231F20"/>
          <w:spacing w:val="-8"/>
          <w:w w:val="105"/>
        </w:rPr>
        <w:t> </w:t>
      </w:r>
      <w:r>
        <w:rPr>
          <w:color w:val="231F20"/>
          <w:w w:val="105"/>
        </w:rPr>
        <w:t>que</w:t>
      </w:r>
      <w:r>
        <w:rPr>
          <w:color w:val="231F20"/>
          <w:spacing w:val="-8"/>
          <w:w w:val="105"/>
        </w:rPr>
        <w:t> </w:t>
      </w:r>
      <w:r>
        <w:rPr>
          <w:color w:val="231F20"/>
          <w:w w:val="105"/>
        </w:rPr>
        <w:t>estuvieran</w:t>
      </w:r>
      <w:r>
        <w:rPr>
          <w:color w:val="231F20"/>
          <w:spacing w:val="-8"/>
          <w:w w:val="105"/>
        </w:rPr>
        <w:t> </w:t>
      </w:r>
      <w:r>
        <w:rPr>
          <w:color w:val="231F20"/>
          <w:w w:val="105"/>
        </w:rPr>
        <w:t>“emocionados</w:t>
      </w:r>
      <w:r>
        <w:rPr>
          <w:color w:val="231F20"/>
          <w:spacing w:val="-8"/>
          <w:w w:val="105"/>
        </w:rPr>
        <w:t> </w:t>
      </w:r>
      <w:r>
        <w:rPr>
          <w:color w:val="231F20"/>
          <w:w w:val="105"/>
        </w:rPr>
        <w:t>por</w:t>
      </w:r>
      <w:r>
        <w:rPr>
          <w:color w:val="231F20"/>
          <w:spacing w:val="-8"/>
          <w:w w:val="105"/>
        </w:rPr>
        <w:t> </w:t>
      </w:r>
      <w:r>
        <w:rPr>
          <w:color w:val="231F20"/>
          <w:w w:val="105"/>
        </w:rPr>
        <w:t>estudiar,</w:t>
      </w:r>
      <w:r>
        <w:rPr>
          <w:color w:val="231F20"/>
          <w:spacing w:val="-14"/>
          <w:w w:val="105"/>
        </w:rPr>
        <w:t> </w:t>
      </w:r>
      <w:r>
        <w:rPr>
          <w:color w:val="231F20"/>
          <w:w w:val="105"/>
        </w:rPr>
        <w:t>allá</w:t>
      </w:r>
      <w:r>
        <w:rPr>
          <w:color w:val="231F20"/>
          <w:spacing w:val="-8"/>
          <w:w w:val="105"/>
        </w:rPr>
        <w:t> </w:t>
      </w:r>
      <w:r>
        <w:rPr>
          <w:color w:val="231F20"/>
          <w:w w:val="105"/>
        </w:rPr>
        <w:t>sí</w:t>
      </w:r>
      <w:r>
        <w:rPr>
          <w:color w:val="231F20"/>
          <w:spacing w:val="-8"/>
          <w:w w:val="105"/>
        </w:rPr>
        <w:t> </w:t>
      </w:r>
      <w:r>
        <w:rPr>
          <w:color w:val="231F20"/>
          <w:w w:val="105"/>
        </w:rPr>
        <w:t>tuvo</w:t>
      </w:r>
      <w:r>
        <w:rPr>
          <w:color w:val="231F20"/>
          <w:spacing w:val="-8"/>
          <w:w w:val="105"/>
        </w:rPr>
        <w:t> </w:t>
      </w:r>
      <w:r>
        <w:rPr>
          <w:color w:val="231F20"/>
          <w:w w:val="105"/>
        </w:rPr>
        <w:t>al</w:t>
      </w:r>
      <w:r>
        <w:rPr>
          <w:color w:val="231F20"/>
          <w:spacing w:val="-8"/>
          <w:w w:val="105"/>
        </w:rPr>
        <w:t> </w:t>
      </w:r>
      <w:r>
        <w:rPr>
          <w:color w:val="231F20"/>
          <w:w w:val="105"/>
        </w:rPr>
        <w:t>menos dos amigos </w:t>
      </w:r>
      <w:r>
        <w:rPr>
          <w:color w:val="231F20"/>
          <w:spacing w:val="-6"/>
          <w:w w:val="105"/>
        </w:rPr>
        <w:t>así”. </w:t>
      </w:r>
      <w:r>
        <w:rPr>
          <w:color w:val="231F20"/>
          <w:w w:val="105"/>
        </w:rPr>
        <w:t>Asimismo, asegura que de no haber viajado a</w:t>
      </w:r>
      <w:r>
        <w:rPr>
          <w:color w:val="231F20"/>
          <w:spacing w:val="-40"/>
          <w:w w:val="105"/>
        </w:rPr>
        <w:t> </w:t>
      </w:r>
      <w:r>
        <w:rPr>
          <w:color w:val="231F20"/>
          <w:w w:val="105"/>
        </w:rPr>
        <w:t>Estados Unidos</w:t>
      </w:r>
      <w:r>
        <w:rPr>
          <w:color w:val="231F20"/>
          <w:spacing w:val="-8"/>
          <w:w w:val="105"/>
        </w:rPr>
        <w:t> </w:t>
      </w:r>
      <w:r>
        <w:rPr>
          <w:color w:val="231F20"/>
          <w:w w:val="105"/>
        </w:rPr>
        <w:t>se</w:t>
      </w:r>
      <w:r>
        <w:rPr>
          <w:color w:val="231F20"/>
          <w:spacing w:val="-8"/>
          <w:w w:val="105"/>
        </w:rPr>
        <w:t> </w:t>
      </w:r>
      <w:r>
        <w:rPr>
          <w:color w:val="231F20"/>
          <w:w w:val="105"/>
        </w:rPr>
        <w:t>hubiera</w:t>
      </w:r>
      <w:r>
        <w:rPr>
          <w:color w:val="231F20"/>
          <w:spacing w:val="-8"/>
          <w:w w:val="105"/>
        </w:rPr>
        <w:t> </w:t>
      </w:r>
      <w:r>
        <w:rPr>
          <w:color w:val="231F20"/>
          <w:w w:val="105"/>
        </w:rPr>
        <w:t>casado</w:t>
      </w:r>
      <w:r>
        <w:rPr>
          <w:color w:val="231F20"/>
          <w:spacing w:val="-8"/>
          <w:w w:val="105"/>
        </w:rPr>
        <w:t> </w:t>
      </w:r>
      <w:r>
        <w:rPr>
          <w:color w:val="231F20"/>
          <w:w w:val="105"/>
        </w:rPr>
        <w:t>hace</w:t>
      </w:r>
      <w:r>
        <w:rPr>
          <w:color w:val="231F20"/>
          <w:spacing w:val="-8"/>
          <w:w w:val="105"/>
        </w:rPr>
        <w:t> </w:t>
      </w:r>
      <w:r>
        <w:rPr>
          <w:color w:val="231F20"/>
          <w:w w:val="105"/>
        </w:rPr>
        <w:t>varios</w:t>
      </w:r>
      <w:r>
        <w:rPr>
          <w:color w:val="231F20"/>
          <w:spacing w:val="-8"/>
          <w:w w:val="105"/>
        </w:rPr>
        <w:t> </w:t>
      </w:r>
      <w:r>
        <w:rPr>
          <w:color w:val="231F20"/>
          <w:w w:val="105"/>
        </w:rPr>
        <w:t>años,</w:t>
      </w:r>
      <w:r>
        <w:rPr>
          <w:color w:val="231F20"/>
          <w:spacing w:val="-13"/>
          <w:w w:val="105"/>
        </w:rPr>
        <w:t> </w:t>
      </w:r>
      <w:r>
        <w:rPr>
          <w:color w:val="231F20"/>
          <w:w w:val="105"/>
        </w:rPr>
        <w:t>por</w:t>
      </w:r>
      <w:r>
        <w:rPr>
          <w:color w:val="231F20"/>
          <w:spacing w:val="-8"/>
          <w:w w:val="105"/>
        </w:rPr>
        <w:t> </w:t>
      </w:r>
      <w:r>
        <w:rPr>
          <w:color w:val="231F20"/>
          <w:w w:val="105"/>
        </w:rPr>
        <w:t>ahora</w:t>
      </w:r>
      <w:r>
        <w:rPr>
          <w:color w:val="231F20"/>
          <w:spacing w:val="-8"/>
          <w:w w:val="105"/>
        </w:rPr>
        <w:t> </w:t>
      </w:r>
      <w:r>
        <w:rPr>
          <w:color w:val="231F20"/>
          <w:w w:val="105"/>
        </w:rPr>
        <w:t>no</w:t>
      </w:r>
      <w:r>
        <w:rPr>
          <w:color w:val="231F20"/>
          <w:spacing w:val="-8"/>
          <w:w w:val="105"/>
        </w:rPr>
        <w:t> </w:t>
      </w:r>
      <w:r>
        <w:rPr>
          <w:color w:val="231F20"/>
          <w:w w:val="105"/>
        </w:rPr>
        <w:t>lo</w:t>
      </w:r>
      <w:r>
        <w:rPr>
          <w:color w:val="231F20"/>
          <w:spacing w:val="-8"/>
          <w:w w:val="105"/>
        </w:rPr>
        <w:t> </w:t>
      </w:r>
      <w:r>
        <w:rPr>
          <w:color w:val="231F20"/>
          <w:w w:val="105"/>
        </w:rPr>
        <w:t>hará,</w:t>
      </w:r>
      <w:r>
        <w:rPr>
          <w:color w:val="231F20"/>
          <w:spacing w:val="38"/>
          <w:w w:val="105"/>
        </w:rPr>
        <w:t> </w:t>
      </w:r>
      <w:r>
        <w:rPr>
          <w:color w:val="231F20"/>
          <w:w w:val="105"/>
        </w:rPr>
        <w:t>pues estudia</w:t>
      </w:r>
      <w:r>
        <w:rPr>
          <w:color w:val="231F20"/>
          <w:spacing w:val="-17"/>
          <w:w w:val="105"/>
        </w:rPr>
        <w:t> </w:t>
      </w:r>
      <w:r>
        <w:rPr>
          <w:color w:val="231F20"/>
          <w:w w:val="105"/>
        </w:rPr>
        <w:t>aquí</w:t>
      </w:r>
      <w:r>
        <w:rPr>
          <w:color w:val="231F20"/>
          <w:spacing w:val="-17"/>
          <w:w w:val="105"/>
        </w:rPr>
        <w:t> </w:t>
      </w:r>
      <w:r>
        <w:rPr>
          <w:color w:val="231F20"/>
          <w:w w:val="105"/>
        </w:rPr>
        <w:t>o</w:t>
      </w:r>
      <w:r>
        <w:rPr>
          <w:color w:val="231F20"/>
          <w:spacing w:val="-17"/>
          <w:w w:val="105"/>
        </w:rPr>
        <w:t> </w:t>
      </w:r>
      <w:r>
        <w:rPr>
          <w:color w:val="231F20"/>
          <w:w w:val="105"/>
        </w:rPr>
        <w:t>regresa</w:t>
      </w:r>
      <w:r>
        <w:rPr>
          <w:color w:val="231F20"/>
          <w:spacing w:val="-17"/>
          <w:w w:val="105"/>
        </w:rPr>
        <w:t> </w:t>
      </w:r>
      <w:r>
        <w:rPr>
          <w:color w:val="231F20"/>
          <w:w w:val="105"/>
        </w:rPr>
        <w:t>a</w:t>
      </w:r>
      <w:r>
        <w:rPr>
          <w:color w:val="231F20"/>
          <w:spacing w:val="-17"/>
          <w:w w:val="105"/>
        </w:rPr>
        <w:t> </w:t>
      </w:r>
      <w:r>
        <w:rPr>
          <w:color w:val="231F20"/>
          <w:w w:val="105"/>
        </w:rPr>
        <w:t>California</w:t>
      </w:r>
      <w:r>
        <w:rPr>
          <w:color w:val="231F20"/>
          <w:spacing w:val="-17"/>
          <w:w w:val="105"/>
        </w:rPr>
        <w:t> </w:t>
      </w:r>
      <w:r>
        <w:rPr>
          <w:color w:val="231F20"/>
          <w:w w:val="105"/>
        </w:rPr>
        <w:t>para</w:t>
      </w:r>
      <w:r>
        <w:rPr>
          <w:color w:val="231F20"/>
          <w:spacing w:val="-17"/>
          <w:w w:val="105"/>
        </w:rPr>
        <w:t> </w:t>
      </w:r>
      <w:r>
        <w:rPr>
          <w:color w:val="231F20"/>
          <w:w w:val="105"/>
        </w:rPr>
        <w:t>ahorrar</w:t>
      </w:r>
      <w:r>
        <w:rPr>
          <w:color w:val="231F20"/>
          <w:spacing w:val="-17"/>
          <w:w w:val="105"/>
        </w:rPr>
        <w:t> </w:t>
      </w:r>
      <w:r>
        <w:rPr>
          <w:color w:val="231F20"/>
          <w:w w:val="105"/>
        </w:rPr>
        <w:t>dinero.</w:t>
      </w:r>
    </w:p>
    <w:p>
      <w:pPr>
        <w:pStyle w:val="BodyText"/>
        <w:spacing w:line="261" w:lineRule="auto" w:before="1"/>
        <w:ind w:left="1837" w:right="1721" w:firstLine="567"/>
        <w:jc w:val="both"/>
      </w:pPr>
      <w:r>
        <w:rPr>
          <w:color w:val="231F20"/>
        </w:rPr>
        <w:t>Un año después de la entrevista, se sabe que Moisés viajó a</w:t>
      </w:r>
      <w:r>
        <w:rPr>
          <w:color w:val="231F20"/>
          <w:spacing w:val="-34"/>
        </w:rPr>
        <w:t> </w:t>
      </w:r>
      <w:r>
        <w:rPr>
          <w:color w:val="231F20"/>
        </w:rPr>
        <w:t>Califor- nia, pero se desconoce la fecha de su </w:t>
      </w:r>
      <w:r>
        <w:rPr>
          <w:color w:val="231F20"/>
          <w:spacing w:val="30"/>
        </w:rPr>
        <w:t> </w:t>
      </w:r>
      <w:r>
        <w:rPr>
          <w:color w:val="231F20"/>
        </w:rPr>
        <w:t>partida.</w:t>
      </w:r>
    </w:p>
    <w:p>
      <w:pPr>
        <w:pStyle w:val="BodyText"/>
        <w:spacing w:line="261" w:lineRule="auto"/>
        <w:ind w:left="1837" w:right="1715" w:firstLine="566"/>
        <w:jc w:val="both"/>
      </w:pPr>
      <w:r>
        <w:rPr>
          <w:rFonts w:ascii="Arial" w:hAnsi="Arial"/>
          <w:color w:val="231F20"/>
          <w:w w:val="105"/>
        </w:rPr>
        <w:t>Esperanza</w:t>
      </w:r>
      <w:r>
        <w:rPr>
          <w:rFonts w:ascii="Arial" w:hAnsi="Arial"/>
          <w:color w:val="231F20"/>
          <w:w w:val="105"/>
          <w:position w:val="7"/>
          <w:sz w:val="12"/>
        </w:rPr>
        <w:t>9</w:t>
      </w:r>
      <w:r>
        <w:rPr>
          <w:color w:val="231F20"/>
          <w:w w:val="105"/>
        </w:rPr>
        <w:t>:</w:t>
      </w:r>
      <w:r>
        <w:rPr>
          <w:color w:val="231F20"/>
          <w:spacing w:val="-9"/>
          <w:w w:val="105"/>
        </w:rPr>
        <w:t> </w:t>
      </w:r>
      <w:r>
        <w:rPr>
          <w:color w:val="231F20"/>
          <w:w w:val="105"/>
        </w:rPr>
        <w:t>34</w:t>
      </w:r>
      <w:r>
        <w:rPr>
          <w:color w:val="231F20"/>
          <w:spacing w:val="-9"/>
          <w:w w:val="105"/>
        </w:rPr>
        <w:t> </w:t>
      </w:r>
      <w:r>
        <w:rPr>
          <w:color w:val="231F20"/>
          <w:w w:val="105"/>
        </w:rPr>
        <w:t>años,</w:t>
      </w:r>
      <w:r>
        <w:rPr>
          <w:color w:val="231F20"/>
          <w:spacing w:val="-13"/>
          <w:w w:val="105"/>
        </w:rPr>
        <w:t> </w:t>
      </w:r>
      <w:r>
        <w:rPr>
          <w:color w:val="231F20"/>
          <w:w w:val="105"/>
        </w:rPr>
        <w:t>soltera,</w:t>
      </w:r>
      <w:r>
        <w:rPr>
          <w:color w:val="231F20"/>
          <w:spacing w:val="-13"/>
          <w:w w:val="105"/>
        </w:rPr>
        <w:t> </w:t>
      </w:r>
      <w:r>
        <w:rPr>
          <w:color w:val="231F20"/>
          <w:w w:val="105"/>
        </w:rPr>
        <w:t>con</w:t>
      </w:r>
      <w:r>
        <w:rPr>
          <w:color w:val="231F20"/>
          <w:spacing w:val="-9"/>
          <w:w w:val="105"/>
        </w:rPr>
        <w:t> </w:t>
      </w:r>
      <w:r>
        <w:rPr>
          <w:color w:val="231F20"/>
          <w:w w:val="105"/>
        </w:rPr>
        <w:t>dos</w:t>
      </w:r>
      <w:r>
        <w:rPr>
          <w:color w:val="231F20"/>
          <w:spacing w:val="-9"/>
          <w:w w:val="105"/>
        </w:rPr>
        <w:t> </w:t>
      </w:r>
      <w:r>
        <w:rPr>
          <w:color w:val="231F20"/>
          <w:w w:val="105"/>
        </w:rPr>
        <w:t>hijos,</w:t>
      </w:r>
      <w:r>
        <w:rPr>
          <w:color w:val="231F20"/>
          <w:spacing w:val="-13"/>
          <w:w w:val="105"/>
        </w:rPr>
        <w:t> </w:t>
      </w:r>
      <w:r>
        <w:rPr>
          <w:color w:val="231F20"/>
          <w:spacing w:val="-3"/>
          <w:w w:val="105"/>
        </w:rPr>
        <w:t>retornada</w:t>
      </w:r>
      <w:r>
        <w:rPr>
          <w:color w:val="231F20"/>
          <w:spacing w:val="-9"/>
          <w:w w:val="105"/>
        </w:rPr>
        <w:t> </w:t>
      </w:r>
      <w:r>
        <w:rPr>
          <w:color w:val="231F20"/>
          <w:w w:val="105"/>
        </w:rPr>
        <w:t>de</w:t>
      </w:r>
      <w:r>
        <w:rPr>
          <w:color w:val="231F20"/>
          <w:spacing w:val="-9"/>
          <w:w w:val="105"/>
        </w:rPr>
        <w:t> </w:t>
      </w:r>
      <w:r>
        <w:rPr>
          <w:color w:val="231F20"/>
          <w:w w:val="105"/>
        </w:rPr>
        <w:t>Estados Unidos</w:t>
      </w:r>
      <w:r>
        <w:rPr>
          <w:color w:val="231F20"/>
          <w:spacing w:val="-25"/>
          <w:w w:val="105"/>
        </w:rPr>
        <w:t> </w:t>
      </w:r>
      <w:r>
        <w:rPr>
          <w:color w:val="231F20"/>
          <w:w w:val="105"/>
        </w:rPr>
        <w:t>en</w:t>
      </w:r>
      <w:r>
        <w:rPr>
          <w:color w:val="231F20"/>
          <w:spacing w:val="-25"/>
          <w:w w:val="105"/>
        </w:rPr>
        <w:t> </w:t>
      </w:r>
      <w:r>
        <w:rPr>
          <w:color w:val="231F20"/>
          <w:w w:val="105"/>
        </w:rPr>
        <w:t>2010.</w:t>
      </w:r>
      <w:r>
        <w:rPr>
          <w:color w:val="231F20"/>
          <w:spacing w:val="-30"/>
          <w:w w:val="105"/>
        </w:rPr>
        <w:t> </w:t>
      </w:r>
      <w:r>
        <w:rPr>
          <w:color w:val="231F20"/>
          <w:w w:val="105"/>
        </w:rPr>
        <w:t>Originaria</w:t>
      </w:r>
      <w:r>
        <w:rPr>
          <w:color w:val="231F20"/>
          <w:spacing w:val="-25"/>
          <w:w w:val="105"/>
        </w:rPr>
        <w:t> </w:t>
      </w:r>
      <w:r>
        <w:rPr>
          <w:color w:val="231F20"/>
          <w:w w:val="105"/>
        </w:rPr>
        <w:t>de</w:t>
      </w:r>
      <w:r>
        <w:rPr>
          <w:color w:val="231F20"/>
          <w:spacing w:val="-25"/>
          <w:w w:val="105"/>
        </w:rPr>
        <w:t> </w:t>
      </w:r>
      <w:r>
        <w:rPr>
          <w:color w:val="231F20"/>
          <w:w w:val="105"/>
        </w:rPr>
        <w:t>Oaxaca,</w:t>
      </w:r>
      <w:r>
        <w:rPr>
          <w:color w:val="231F20"/>
          <w:spacing w:val="-31"/>
          <w:w w:val="105"/>
        </w:rPr>
        <w:t> </w:t>
      </w:r>
      <w:r>
        <w:rPr>
          <w:color w:val="231F20"/>
          <w:spacing w:val="-3"/>
          <w:w w:val="105"/>
        </w:rPr>
        <w:t>emigró</w:t>
      </w:r>
      <w:r>
        <w:rPr>
          <w:color w:val="231F20"/>
          <w:spacing w:val="-25"/>
          <w:w w:val="105"/>
        </w:rPr>
        <w:t> </w:t>
      </w:r>
      <w:r>
        <w:rPr>
          <w:color w:val="231F20"/>
          <w:w w:val="105"/>
        </w:rPr>
        <w:t>al</w:t>
      </w:r>
      <w:r>
        <w:rPr>
          <w:color w:val="231F20"/>
          <w:spacing w:val="-25"/>
          <w:w w:val="105"/>
        </w:rPr>
        <w:t> </w:t>
      </w:r>
      <w:r>
        <w:rPr>
          <w:color w:val="231F20"/>
          <w:w w:val="105"/>
        </w:rPr>
        <w:t>Distrito</w:t>
      </w:r>
      <w:r>
        <w:rPr>
          <w:color w:val="231F20"/>
          <w:spacing w:val="-25"/>
          <w:w w:val="105"/>
        </w:rPr>
        <w:t> </w:t>
      </w:r>
      <w:r>
        <w:rPr>
          <w:color w:val="231F20"/>
          <w:spacing w:val="-4"/>
          <w:w w:val="105"/>
        </w:rPr>
        <w:t>Federal,</w:t>
      </w:r>
      <w:r>
        <w:rPr>
          <w:color w:val="231F20"/>
          <w:spacing w:val="4"/>
          <w:w w:val="105"/>
        </w:rPr>
        <w:t> </w:t>
      </w:r>
      <w:r>
        <w:rPr>
          <w:color w:val="231F20"/>
          <w:w w:val="105"/>
        </w:rPr>
        <w:t>a</w:t>
      </w:r>
      <w:r>
        <w:rPr>
          <w:color w:val="231F20"/>
          <w:spacing w:val="-25"/>
          <w:w w:val="105"/>
        </w:rPr>
        <w:t> </w:t>
      </w:r>
      <w:r>
        <w:rPr>
          <w:color w:val="231F20"/>
          <w:w w:val="105"/>
        </w:rPr>
        <w:t>los</w:t>
      </w:r>
      <w:r>
        <w:rPr>
          <w:color w:val="231F20"/>
          <w:spacing w:val="-25"/>
          <w:w w:val="105"/>
        </w:rPr>
        <w:t> </w:t>
      </w:r>
      <w:r>
        <w:rPr>
          <w:color w:val="231F20"/>
          <w:w w:val="105"/>
        </w:rPr>
        <w:t>18 años</w:t>
      </w:r>
      <w:r>
        <w:rPr>
          <w:color w:val="231F20"/>
          <w:spacing w:val="-12"/>
          <w:w w:val="105"/>
        </w:rPr>
        <w:t> </w:t>
      </w:r>
      <w:r>
        <w:rPr>
          <w:color w:val="231F20"/>
          <w:w w:val="105"/>
        </w:rPr>
        <w:t>se</w:t>
      </w:r>
      <w:r>
        <w:rPr>
          <w:color w:val="231F20"/>
          <w:spacing w:val="-12"/>
          <w:w w:val="105"/>
        </w:rPr>
        <w:t> </w:t>
      </w:r>
      <w:r>
        <w:rPr>
          <w:color w:val="231F20"/>
          <w:w w:val="105"/>
        </w:rPr>
        <w:t>estableció</w:t>
      </w:r>
      <w:r>
        <w:rPr>
          <w:color w:val="231F20"/>
          <w:spacing w:val="-12"/>
          <w:w w:val="105"/>
        </w:rPr>
        <w:t> </w:t>
      </w:r>
      <w:r>
        <w:rPr>
          <w:color w:val="231F20"/>
          <w:w w:val="105"/>
        </w:rPr>
        <w:t>con</w:t>
      </w:r>
      <w:r>
        <w:rPr>
          <w:color w:val="231F20"/>
          <w:spacing w:val="-12"/>
          <w:w w:val="105"/>
        </w:rPr>
        <w:t> </w:t>
      </w:r>
      <w:r>
        <w:rPr>
          <w:color w:val="231F20"/>
          <w:w w:val="105"/>
        </w:rPr>
        <w:t>su</w:t>
      </w:r>
      <w:r>
        <w:rPr>
          <w:color w:val="231F20"/>
          <w:spacing w:val="-12"/>
          <w:w w:val="105"/>
        </w:rPr>
        <w:t> </w:t>
      </w:r>
      <w:r>
        <w:rPr>
          <w:color w:val="231F20"/>
          <w:w w:val="105"/>
        </w:rPr>
        <w:t>familia</w:t>
      </w:r>
      <w:r>
        <w:rPr>
          <w:color w:val="231F20"/>
          <w:spacing w:val="-12"/>
          <w:w w:val="105"/>
        </w:rPr>
        <w:t> </w:t>
      </w:r>
      <w:r>
        <w:rPr>
          <w:color w:val="231F20"/>
          <w:w w:val="105"/>
        </w:rPr>
        <w:t>en</w:t>
      </w:r>
      <w:r>
        <w:rPr>
          <w:color w:val="231F20"/>
          <w:spacing w:val="-12"/>
          <w:w w:val="105"/>
        </w:rPr>
        <w:t> </w:t>
      </w:r>
      <w:r>
        <w:rPr>
          <w:color w:val="231F20"/>
          <w:w w:val="105"/>
        </w:rPr>
        <w:t>Nezahualcóyotl,</w:t>
      </w:r>
      <w:r>
        <w:rPr>
          <w:color w:val="231F20"/>
          <w:spacing w:val="-16"/>
          <w:w w:val="105"/>
        </w:rPr>
        <w:t> </w:t>
      </w:r>
      <w:r>
        <w:rPr>
          <w:color w:val="231F20"/>
          <w:w w:val="105"/>
        </w:rPr>
        <w:t>Estado</w:t>
      </w:r>
      <w:r>
        <w:rPr>
          <w:color w:val="231F20"/>
          <w:spacing w:val="-12"/>
          <w:w w:val="105"/>
        </w:rPr>
        <w:t> </w:t>
      </w:r>
      <w:r>
        <w:rPr>
          <w:color w:val="231F20"/>
          <w:w w:val="105"/>
        </w:rPr>
        <w:t>de</w:t>
      </w:r>
      <w:r>
        <w:rPr>
          <w:color w:val="231F20"/>
          <w:spacing w:val="-12"/>
          <w:w w:val="105"/>
        </w:rPr>
        <w:t> </w:t>
      </w:r>
      <w:r>
        <w:rPr>
          <w:color w:val="231F20"/>
          <w:spacing w:val="-3"/>
          <w:w w:val="105"/>
        </w:rPr>
        <w:t>México, </w:t>
      </w:r>
      <w:r>
        <w:rPr>
          <w:color w:val="231F20"/>
          <w:w w:val="105"/>
        </w:rPr>
        <w:t>donde</w:t>
      </w:r>
      <w:r>
        <w:rPr>
          <w:color w:val="231F20"/>
          <w:spacing w:val="-30"/>
          <w:w w:val="105"/>
        </w:rPr>
        <w:t> </w:t>
      </w:r>
      <w:r>
        <w:rPr>
          <w:color w:val="231F20"/>
          <w:w w:val="105"/>
        </w:rPr>
        <w:t>su</w:t>
      </w:r>
      <w:r>
        <w:rPr>
          <w:color w:val="231F20"/>
          <w:spacing w:val="-30"/>
          <w:w w:val="105"/>
        </w:rPr>
        <w:t> </w:t>
      </w:r>
      <w:r>
        <w:rPr>
          <w:color w:val="231F20"/>
          <w:w w:val="105"/>
        </w:rPr>
        <w:t>papá</w:t>
      </w:r>
      <w:r>
        <w:rPr>
          <w:color w:val="231F20"/>
          <w:spacing w:val="-30"/>
          <w:w w:val="105"/>
        </w:rPr>
        <w:t> </w:t>
      </w:r>
      <w:r>
        <w:rPr>
          <w:color w:val="231F20"/>
          <w:w w:val="105"/>
        </w:rPr>
        <w:t>había</w:t>
      </w:r>
      <w:r>
        <w:rPr>
          <w:color w:val="231F20"/>
          <w:spacing w:val="-30"/>
          <w:w w:val="105"/>
        </w:rPr>
        <w:t> </w:t>
      </w:r>
      <w:r>
        <w:rPr>
          <w:color w:val="231F20"/>
          <w:w w:val="105"/>
        </w:rPr>
        <w:t>construido</w:t>
      </w:r>
      <w:r>
        <w:rPr>
          <w:color w:val="231F20"/>
          <w:spacing w:val="-30"/>
          <w:w w:val="105"/>
        </w:rPr>
        <w:t> </w:t>
      </w:r>
      <w:r>
        <w:rPr>
          <w:color w:val="231F20"/>
          <w:w w:val="105"/>
        </w:rPr>
        <w:t>una</w:t>
      </w:r>
      <w:r>
        <w:rPr>
          <w:color w:val="231F20"/>
          <w:spacing w:val="-30"/>
          <w:w w:val="105"/>
        </w:rPr>
        <w:t> </w:t>
      </w:r>
      <w:r>
        <w:rPr>
          <w:color w:val="231F20"/>
          <w:w w:val="105"/>
        </w:rPr>
        <w:t>casa.</w:t>
      </w:r>
      <w:r>
        <w:rPr>
          <w:color w:val="231F20"/>
          <w:spacing w:val="-37"/>
          <w:w w:val="105"/>
        </w:rPr>
        <w:t> </w:t>
      </w:r>
      <w:r>
        <w:rPr>
          <w:color w:val="231F20"/>
          <w:w w:val="105"/>
        </w:rPr>
        <w:t>A</w:t>
      </w:r>
      <w:r>
        <w:rPr>
          <w:color w:val="231F20"/>
          <w:spacing w:val="-33"/>
          <w:w w:val="105"/>
        </w:rPr>
        <w:t> </w:t>
      </w:r>
      <w:r>
        <w:rPr>
          <w:color w:val="231F20"/>
          <w:w w:val="105"/>
        </w:rPr>
        <w:t>los</w:t>
      </w:r>
      <w:r>
        <w:rPr>
          <w:color w:val="231F20"/>
          <w:spacing w:val="-30"/>
          <w:w w:val="105"/>
        </w:rPr>
        <w:t> </w:t>
      </w:r>
      <w:r>
        <w:rPr>
          <w:color w:val="231F20"/>
          <w:w w:val="105"/>
        </w:rPr>
        <w:t>21</w:t>
      </w:r>
      <w:r>
        <w:rPr>
          <w:color w:val="231F20"/>
          <w:spacing w:val="-30"/>
          <w:w w:val="105"/>
        </w:rPr>
        <w:t> </w:t>
      </w:r>
      <w:r>
        <w:rPr>
          <w:color w:val="231F20"/>
          <w:w w:val="105"/>
        </w:rPr>
        <w:t>años</w:t>
      </w:r>
      <w:r>
        <w:rPr>
          <w:color w:val="231F20"/>
          <w:spacing w:val="-30"/>
          <w:w w:val="105"/>
        </w:rPr>
        <w:t> </w:t>
      </w:r>
      <w:r>
        <w:rPr>
          <w:color w:val="231F20"/>
          <w:w w:val="105"/>
        </w:rPr>
        <w:t>se</w:t>
      </w:r>
      <w:r>
        <w:rPr>
          <w:color w:val="231F20"/>
          <w:spacing w:val="-30"/>
          <w:w w:val="105"/>
        </w:rPr>
        <w:t> </w:t>
      </w:r>
      <w:r>
        <w:rPr>
          <w:color w:val="231F20"/>
          <w:w w:val="105"/>
        </w:rPr>
        <w:t>unió</w:t>
      </w:r>
      <w:r>
        <w:rPr>
          <w:color w:val="231F20"/>
          <w:spacing w:val="-30"/>
          <w:w w:val="105"/>
        </w:rPr>
        <w:t> </w:t>
      </w:r>
      <w:r>
        <w:rPr>
          <w:color w:val="231F20"/>
          <w:w w:val="105"/>
        </w:rPr>
        <w:t>a</w:t>
      </w:r>
      <w:r>
        <w:rPr>
          <w:color w:val="231F20"/>
          <w:spacing w:val="-30"/>
          <w:w w:val="105"/>
        </w:rPr>
        <w:t> </w:t>
      </w:r>
      <w:r>
        <w:rPr>
          <w:color w:val="231F20"/>
          <w:w w:val="105"/>
        </w:rPr>
        <w:t>un</w:t>
      </w:r>
      <w:r>
        <w:rPr>
          <w:color w:val="231F20"/>
          <w:spacing w:val="-30"/>
          <w:w w:val="105"/>
        </w:rPr>
        <w:t> </w:t>
      </w:r>
      <w:r>
        <w:rPr>
          <w:color w:val="231F20"/>
          <w:w w:val="105"/>
        </w:rPr>
        <w:t>hom- </w:t>
      </w:r>
      <w:r>
        <w:rPr>
          <w:color w:val="231F20"/>
          <w:spacing w:val="-3"/>
          <w:w w:val="105"/>
        </w:rPr>
        <w:t>bre</w:t>
      </w:r>
      <w:r>
        <w:rPr>
          <w:color w:val="231F20"/>
          <w:spacing w:val="-22"/>
          <w:w w:val="105"/>
        </w:rPr>
        <w:t> </w:t>
      </w:r>
      <w:r>
        <w:rPr>
          <w:color w:val="231F20"/>
          <w:w w:val="105"/>
        </w:rPr>
        <w:t>de</w:t>
      </w:r>
      <w:r>
        <w:rPr>
          <w:color w:val="231F20"/>
          <w:spacing w:val="-22"/>
          <w:w w:val="105"/>
        </w:rPr>
        <w:t> </w:t>
      </w:r>
      <w:r>
        <w:rPr>
          <w:color w:val="231F20"/>
          <w:w w:val="105"/>
        </w:rPr>
        <w:t>origen</w:t>
      </w:r>
      <w:r>
        <w:rPr>
          <w:color w:val="231F20"/>
          <w:spacing w:val="-22"/>
          <w:w w:val="105"/>
        </w:rPr>
        <w:t> </w:t>
      </w:r>
      <w:r>
        <w:rPr>
          <w:color w:val="231F20"/>
          <w:w w:val="105"/>
        </w:rPr>
        <w:t>michoacano</w:t>
      </w:r>
      <w:r>
        <w:rPr>
          <w:color w:val="231F20"/>
          <w:spacing w:val="-22"/>
          <w:w w:val="105"/>
        </w:rPr>
        <w:t> </w:t>
      </w:r>
      <w:r>
        <w:rPr>
          <w:color w:val="231F20"/>
          <w:w w:val="105"/>
        </w:rPr>
        <w:t>y</w:t>
      </w:r>
      <w:r>
        <w:rPr>
          <w:color w:val="231F20"/>
          <w:spacing w:val="-22"/>
          <w:w w:val="105"/>
        </w:rPr>
        <w:t> </w:t>
      </w:r>
      <w:r>
        <w:rPr>
          <w:color w:val="231F20"/>
          <w:spacing w:val="-3"/>
          <w:w w:val="105"/>
        </w:rPr>
        <w:t>procrearon</w:t>
      </w:r>
      <w:r>
        <w:rPr>
          <w:color w:val="231F20"/>
          <w:spacing w:val="-22"/>
          <w:w w:val="105"/>
        </w:rPr>
        <w:t> </w:t>
      </w:r>
      <w:r>
        <w:rPr>
          <w:color w:val="231F20"/>
          <w:w w:val="105"/>
        </w:rPr>
        <w:t>dos</w:t>
      </w:r>
      <w:r>
        <w:rPr>
          <w:color w:val="231F20"/>
          <w:spacing w:val="-22"/>
          <w:w w:val="105"/>
        </w:rPr>
        <w:t> </w:t>
      </w:r>
      <w:r>
        <w:rPr>
          <w:color w:val="231F20"/>
          <w:w w:val="105"/>
        </w:rPr>
        <w:t>hijos.</w:t>
      </w:r>
      <w:r>
        <w:rPr>
          <w:color w:val="231F20"/>
          <w:spacing w:val="-26"/>
          <w:w w:val="105"/>
        </w:rPr>
        <w:t> </w:t>
      </w:r>
      <w:r>
        <w:rPr>
          <w:color w:val="231F20"/>
          <w:w w:val="105"/>
        </w:rPr>
        <w:t>Ella</w:t>
      </w:r>
      <w:r>
        <w:rPr>
          <w:color w:val="231F20"/>
          <w:spacing w:val="-22"/>
          <w:w w:val="105"/>
        </w:rPr>
        <w:t> </w:t>
      </w:r>
      <w:r>
        <w:rPr>
          <w:color w:val="231F20"/>
          <w:w w:val="105"/>
        </w:rPr>
        <w:t>se</w:t>
      </w:r>
      <w:r>
        <w:rPr>
          <w:color w:val="231F20"/>
          <w:spacing w:val="-22"/>
          <w:w w:val="105"/>
        </w:rPr>
        <w:t> </w:t>
      </w:r>
      <w:r>
        <w:rPr>
          <w:color w:val="231F20"/>
          <w:spacing w:val="-3"/>
          <w:w w:val="105"/>
        </w:rPr>
        <w:t>separó</w:t>
      </w:r>
      <w:r>
        <w:rPr>
          <w:color w:val="231F20"/>
          <w:spacing w:val="-22"/>
          <w:w w:val="105"/>
        </w:rPr>
        <w:t> </w:t>
      </w:r>
      <w:r>
        <w:rPr>
          <w:color w:val="231F20"/>
          <w:w w:val="105"/>
        </w:rPr>
        <w:t>después de</w:t>
      </w:r>
      <w:r>
        <w:rPr>
          <w:color w:val="231F20"/>
          <w:spacing w:val="-16"/>
          <w:w w:val="105"/>
        </w:rPr>
        <w:t> </w:t>
      </w:r>
      <w:r>
        <w:rPr>
          <w:color w:val="231F20"/>
          <w:spacing w:val="-3"/>
          <w:w w:val="105"/>
        </w:rPr>
        <w:t>tres</w:t>
      </w:r>
      <w:r>
        <w:rPr>
          <w:color w:val="231F20"/>
          <w:spacing w:val="-16"/>
          <w:w w:val="105"/>
        </w:rPr>
        <w:t> </w:t>
      </w:r>
      <w:r>
        <w:rPr>
          <w:color w:val="231F20"/>
          <w:w w:val="105"/>
        </w:rPr>
        <w:t>años</w:t>
      </w:r>
      <w:r>
        <w:rPr>
          <w:color w:val="231F20"/>
          <w:spacing w:val="-16"/>
          <w:w w:val="105"/>
        </w:rPr>
        <w:t> </w:t>
      </w:r>
      <w:r>
        <w:rPr>
          <w:color w:val="231F20"/>
          <w:w w:val="105"/>
        </w:rPr>
        <w:t>de</w:t>
      </w:r>
      <w:r>
        <w:rPr>
          <w:color w:val="231F20"/>
          <w:spacing w:val="-16"/>
          <w:w w:val="105"/>
        </w:rPr>
        <w:t> </w:t>
      </w:r>
      <w:r>
        <w:rPr>
          <w:color w:val="231F20"/>
          <w:w w:val="105"/>
        </w:rPr>
        <w:t>vivir</w:t>
      </w:r>
      <w:r>
        <w:rPr>
          <w:color w:val="231F20"/>
          <w:spacing w:val="-16"/>
          <w:w w:val="105"/>
        </w:rPr>
        <w:t> </w:t>
      </w:r>
      <w:r>
        <w:rPr>
          <w:color w:val="231F20"/>
          <w:w w:val="105"/>
        </w:rPr>
        <w:t>con</w:t>
      </w:r>
      <w:r>
        <w:rPr>
          <w:color w:val="231F20"/>
          <w:spacing w:val="-16"/>
          <w:w w:val="105"/>
        </w:rPr>
        <w:t> </w:t>
      </w:r>
      <w:r>
        <w:rPr>
          <w:color w:val="231F20"/>
          <w:w w:val="105"/>
        </w:rPr>
        <w:t>su</w:t>
      </w:r>
      <w:r>
        <w:rPr>
          <w:color w:val="231F20"/>
          <w:spacing w:val="-16"/>
          <w:w w:val="105"/>
        </w:rPr>
        <w:t> </w:t>
      </w:r>
      <w:r>
        <w:rPr>
          <w:color w:val="231F20"/>
          <w:spacing w:val="-3"/>
          <w:w w:val="105"/>
        </w:rPr>
        <w:t>pareja.</w:t>
      </w:r>
      <w:r>
        <w:rPr>
          <w:color w:val="231F20"/>
          <w:spacing w:val="-21"/>
          <w:w w:val="105"/>
        </w:rPr>
        <w:t> </w:t>
      </w:r>
      <w:r>
        <w:rPr>
          <w:color w:val="231F20"/>
          <w:spacing w:val="-3"/>
          <w:w w:val="105"/>
        </w:rPr>
        <w:t>Emigró</w:t>
      </w:r>
      <w:r>
        <w:rPr>
          <w:color w:val="231F20"/>
          <w:spacing w:val="-16"/>
          <w:w w:val="105"/>
        </w:rPr>
        <w:t> </w:t>
      </w:r>
      <w:r>
        <w:rPr>
          <w:color w:val="231F20"/>
          <w:w w:val="105"/>
        </w:rPr>
        <w:t>a</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16"/>
          <w:w w:val="105"/>
        </w:rPr>
        <w:t> </w:t>
      </w:r>
      <w:r>
        <w:rPr>
          <w:color w:val="231F20"/>
          <w:w w:val="105"/>
        </w:rPr>
        <w:t>en</w:t>
      </w:r>
      <w:r>
        <w:rPr>
          <w:color w:val="231F20"/>
          <w:spacing w:val="-16"/>
          <w:w w:val="105"/>
        </w:rPr>
        <w:t> </w:t>
      </w:r>
      <w:r>
        <w:rPr>
          <w:color w:val="231F20"/>
          <w:spacing w:val="-3"/>
          <w:w w:val="105"/>
        </w:rPr>
        <w:t>enero</w:t>
      </w:r>
      <w:r>
        <w:rPr>
          <w:color w:val="231F20"/>
          <w:spacing w:val="-16"/>
          <w:w w:val="105"/>
        </w:rPr>
        <w:t> </w:t>
      </w:r>
      <w:r>
        <w:rPr>
          <w:color w:val="231F20"/>
          <w:w w:val="105"/>
        </w:rPr>
        <w:t>de 2004,</w:t>
      </w:r>
      <w:r>
        <w:rPr>
          <w:color w:val="231F20"/>
          <w:spacing w:val="-35"/>
          <w:w w:val="105"/>
        </w:rPr>
        <w:t> </w:t>
      </w:r>
      <w:r>
        <w:rPr>
          <w:color w:val="231F20"/>
          <w:w w:val="105"/>
        </w:rPr>
        <w:t>apoyada</w:t>
      </w:r>
      <w:r>
        <w:rPr>
          <w:color w:val="231F20"/>
          <w:spacing w:val="-31"/>
          <w:w w:val="105"/>
        </w:rPr>
        <w:t> </w:t>
      </w:r>
      <w:r>
        <w:rPr>
          <w:color w:val="231F20"/>
          <w:w w:val="105"/>
        </w:rPr>
        <w:t>por</w:t>
      </w:r>
      <w:r>
        <w:rPr>
          <w:color w:val="231F20"/>
          <w:spacing w:val="-31"/>
          <w:w w:val="105"/>
        </w:rPr>
        <w:t> </w:t>
      </w:r>
      <w:r>
        <w:rPr>
          <w:color w:val="231F20"/>
          <w:w w:val="105"/>
        </w:rPr>
        <w:t>un</w:t>
      </w:r>
      <w:r>
        <w:rPr>
          <w:color w:val="231F20"/>
          <w:spacing w:val="-31"/>
          <w:w w:val="105"/>
        </w:rPr>
        <w:t> </w:t>
      </w:r>
      <w:r>
        <w:rPr>
          <w:color w:val="231F20"/>
          <w:w w:val="105"/>
        </w:rPr>
        <w:t>hermano</w:t>
      </w:r>
      <w:r>
        <w:rPr>
          <w:color w:val="231F20"/>
          <w:spacing w:val="-31"/>
          <w:w w:val="105"/>
        </w:rPr>
        <w:t> </w:t>
      </w:r>
      <w:r>
        <w:rPr>
          <w:color w:val="231F20"/>
          <w:w w:val="105"/>
        </w:rPr>
        <w:t>que</w:t>
      </w:r>
      <w:r>
        <w:rPr>
          <w:color w:val="231F20"/>
          <w:spacing w:val="-31"/>
          <w:w w:val="105"/>
        </w:rPr>
        <w:t> </w:t>
      </w:r>
      <w:r>
        <w:rPr>
          <w:color w:val="231F20"/>
          <w:w w:val="105"/>
        </w:rPr>
        <w:t>vivía</w:t>
      </w:r>
      <w:r>
        <w:rPr>
          <w:color w:val="231F20"/>
          <w:spacing w:val="-31"/>
          <w:w w:val="105"/>
        </w:rPr>
        <w:t> </w:t>
      </w:r>
      <w:r>
        <w:rPr>
          <w:color w:val="231F20"/>
          <w:w w:val="105"/>
        </w:rPr>
        <w:t>en</w:t>
      </w:r>
      <w:r>
        <w:rPr>
          <w:color w:val="231F20"/>
          <w:spacing w:val="-31"/>
          <w:w w:val="105"/>
        </w:rPr>
        <w:t> </w:t>
      </w:r>
      <w:r>
        <w:rPr>
          <w:color w:val="231F20"/>
          <w:w w:val="105"/>
        </w:rPr>
        <w:t>Las</w:t>
      </w:r>
      <w:r>
        <w:rPr>
          <w:color w:val="231F20"/>
          <w:spacing w:val="-33"/>
          <w:w w:val="105"/>
        </w:rPr>
        <w:t> </w:t>
      </w:r>
      <w:r>
        <w:rPr>
          <w:color w:val="231F20"/>
          <w:spacing w:val="-3"/>
          <w:w w:val="105"/>
        </w:rPr>
        <w:t>Vegas,</w:t>
      </w:r>
      <w:r>
        <w:rPr>
          <w:color w:val="231F20"/>
          <w:spacing w:val="-35"/>
          <w:w w:val="105"/>
        </w:rPr>
        <w:t> </w:t>
      </w:r>
      <w:r>
        <w:rPr>
          <w:color w:val="231F20"/>
          <w:w w:val="105"/>
        </w:rPr>
        <w:t>Nevada,</w:t>
      </w:r>
      <w:r>
        <w:rPr>
          <w:color w:val="231F20"/>
          <w:spacing w:val="-35"/>
          <w:w w:val="105"/>
        </w:rPr>
        <w:t> </w:t>
      </w:r>
      <w:r>
        <w:rPr>
          <w:color w:val="231F20"/>
          <w:w w:val="105"/>
        </w:rPr>
        <w:t>y</w:t>
      </w:r>
      <w:r>
        <w:rPr>
          <w:color w:val="231F20"/>
          <w:spacing w:val="-31"/>
          <w:w w:val="105"/>
        </w:rPr>
        <w:t> </w:t>
      </w:r>
      <w:r>
        <w:rPr>
          <w:color w:val="231F20"/>
          <w:w w:val="105"/>
        </w:rPr>
        <w:t>que</w:t>
      </w:r>
      <w:r>
        <w:rPr>
          <w:color w:val="231F20"/>
          <w:spacing w:val="-31"/>
          <w:w w:val="105"/>
        </w:rPr>
        <w:t> </w:t>
      </w:r>
      <w:r>
        <w:rPr>
          <w:color w:val="231F20"/>
          <w:w w:val="105"/>
        </w:rPr>
        <w:t>tra- bajaba</w:t>
      </w:r>
      <w:r>
        <w:rPr>
          <w:color w:val="231F20"/>
          <w:spacing w:val="-17"/>
          <w:w w:val="105"/>
        </w:rPr>
        <w:t> </w:t>
      </w:r>
      <w:r>
        <w:rPr>
          <w:color w:val="231F20"/>
          <w:w w:val="105"/>
        </w:rPr>
        <w:t>en</w:t>
      </w:r>
      <w:r>
        <w:rPr>
          <w:color w:val="231F20"/>
          <w:spacing w:val="-17"/>
          <w:w w:val="105"/>
        </w:rPr>
        <w:t> </w:t>
      </w:r>
      <w:r>
        <w:rPr>
          <w:color w:val="231F20"/>
          <w:w w:val="105"/>
        </w:rPr>
        <w:t>casinos.</w:t>
      </w:r>
      <w:r>
        <w:rPr>
          <w:color w:val="231F20"/>
          <w:spacing w:val="-22"/>
          <w:w w:val="105"/>
        </w:rPr>
        <w:t> </w:t>
      </w:r>
      <w:r>
        <w:rPr>
          <w:color w:val="231F20"/>
          <w:spacing w:val="-2"/>
          <w:w w:val="105"/>
        </w:rPr>
        <w:t>Esperanza</w:t>
      </w:r>
      <w:r>
        <w:rPr>
          <w:color w:val="231F20"/>
          <w:spacing w:val="-17"/>
          <w:w w:val="105"/>
        </w:rPr>
        <w:t> </w:t>
      </w:r>
      <w:r>
        <w:rPr>
          <w:color w:val="231F20"/>
          <w:w w:val="105"/>
        </w:rPr>
        <w:t>decidió</w:t>
      </w:r>
      <w:r>
        <w:rPr>
          <w:color w:val="231F20"/>
          <w:spacing w:val="-17"/>
          <w:w w:val="105"/>
        </w:rPr>
        <w:t> </w:t>
      </w:r>
      <w:r>
        <w:rPr>
          <w:color w:val="231F20"/>
          <w:w w:val="105"/>
        </w:rPr>
        <w:t>irse</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objetivo</w:t>
      </w:r>
      <w:r>
        <w:rPr>
          <w:color w:val="231F20"/>
          <w:spacing w:val="-17"/>
          <w:w w:val="105"/>
        </w:rPr>
        <w:t> </w:t>
      </w:r>
      <w:r>
        <w:rPr>
          <w:color w:val="231F20"/>
          <w:w w:val="105"/>
        </w:rPr>
        <w:t>de</w:t>
      </w:r>
      <w:r>
        <w:rPr>
          <w:color w:val="231F20"/>
          <w:spacing w:val="-17"/>
          <w:w w:val="105"/>
        </w:rPr>
        <w:t> </w:t>
      </w:r>
      <w:r>
        <w:rPr>
          <w:color w:val="231F20"/>
          <w:w w:val="105"/>
        </w:rPr>
        <w:t>ayudar</w:t>
      </w:r>
      <w:r>
        <w:rPr>
          <w:color w:val="231F20"/>
          <w:spacing w:val="-17"/>
          <w:w w:val="105"/>
        </w:rPr>
        <w:t> </w:t>
      </w:r>
      <w:r>
        <w:rPr>
          <w:color w:val="231F20"/>
          <w:w w:val="105"/>
        </w:rPr>
        <w:t>a</w:t>
      </w:r>
      <w:r>
        <w:rPr>
          <w:color w:val="231F20"/>
          <w:spacing w:val="-17"/>
          <w:w w:val="105"/>
        </w:rPr>
        <w:t> </w:t>
      </w:r>
      <w:r>
        <w:rPr>
          <w:color w:val="231F20"/>
          <w:w w:val="105"/>
        </w:rPr>
        <w:t>su </w:t>
      </w:r>
      <w:r>
        <w:rPr>
          <w:color w:val="231F20"/>
          <w:spacing w:val="-3"/>
          <w:w w:val="105"/>
        </w:rPr>
        <w:t>padre</w:t>
      </w:r>
      <w:r>
        <w:rPr>
          <w:color w:val="231F20"/>
          <w:spacing w:val="-14"/>
          <w:w w:val="105"/>
        </w:rPr>
        <w:t> </w:t>
      </w:r>
      <w:r>
        <w:rPr>
          <w:color w:val="231F20"/>
          <w:w w:val="105"/>
        </w:rPr>
        <w:t>y</w:t>
      </w:r>
      <w:r>
        <w:rPr>
          <w:color w:val="231F20"/>
          <w:spacing w:val="-14"/>
          <w:w w:val="105"/>
        </w:rPr>
        <w:t> </w:t>
      </w:r>
      <w:r>
        <w:rPr>
          <w:color w:val="231F20"/>
          <w:w w:val="105"/>
        </w:rPr>
        <w:t>enviar</w:t>
      </w:r>
      <w:r>
        <w:rPr>
          <w:color w:val="231F20"/>
          <w:spacing w:val="-14"/>
          <w:w w:val="105"/>
        </w:rPr>
        <w:t> </w:t>
      </w:r>
      <w:r>
        <w:rPr>
          <w:color w:val="231F20"/>
          <w:spacing w:val="-3"/>
          <w:w w:val="105"/>
        </w:rPr>
        <w:t>dinero</w:t>
      </w:r>
      <w:r>
        <w:rPr>
          <w:color w:val="231F20"/>
          <w:spacing w:val="-14"/>
          <w:w w:val="105"/>
        </w:rPr>
        <w:t> </w:t>
      </w:r>
      <w:r>
        <w:rPr>
          <w:color w:val="231F20"/>
          <w:w w:val="105"/>
        </w:rPr>
        <w:t>a</w:t>
      </w:r>
      <w:r>
        <w:rPr>
          <w:color w:val="231F20"/>
          <w:spacing w:val="-14"/>
          <w:w w:val="105"/>
        </w:rPr>
        <w:t> </w:t>
      </w:r>
      <w:r>
        <w:rPr>
          <w:color w:val="231F20"/>
          <w:w w:val="105"/>
        </w:rPr>
        <w:t>sus</w:t>
      </w:r>
      <w:r>
        <w:rPr>
          <w:color w:val="231F20"/>
          <w:spacing w:val="-14"/>
          <w:w w:val="105"/>
        </w:rPr>
        <w:t> </w:t>
      </w:r>
      <w:r>
        <w:rPr>
          <w:color w:val="231F20"/>
          <w:w w:val="105"/>
        </w:rPr>
        <w:t>hijos,</w:t>
      </w:r>
      <w:r>
        <w:rPr>
          <w:color w:val="231F20"/>
          <w:spacing w:val="-19"/>
          <w:w w:val="105"/>
        </w:rPr>
        <w:t> </w:t>
      </w:r>
      <w:r>
        <w:rPr>
          <w:color w:val="231F20"/>
          <w:w w:val="105"/>
        </w:rPr>
        <w:t>no</w:t>
      </w:r>
      <w:r>
        <w:rPr>
          <w:color w:val="231F20"/>
          <w:spacing w:val="-14"/>
          <w:w w:val="105"/>
        </w:rPr>
        <w:t> </w:t>
      </w:r>
      <w:r>
        <w:rPr>
          <w:color w:val="231F20"/>
          <w:w w:val="105"/>
        </w:rPr>
        <w:t>obstante</w:t>
      </w:r>
      <w:r>
        <w:rPr>
          <w:color w:val="231F20"/>
          <w:spacing w:val="-14"/>
          <w:w w:val="105"/>
        </w:rPr>
        <w:t> </w:t>
      </w:r>
      <w:r>
        <w:rPr>
          <w:color w:val="231F20"/>
          <w:w w:val="105"/>
        </w:rPr>
        <w:t>que</w:t>
      </w:r>
      <w:r>
        <w:rPr>
          <w:color w:val="231F20"/>
          <w:spacing w:val="-14"/>
          <w:w w:val="105"/>
        </w:rPr>
        <w:t> </w:t>
      </w:r>
      <w:r>
        <w:rPr>
          <w:color w:val="231F20"/>
          <w:w w:val="105"/>
        </w:rPr>
        <w:t>tenía</w:t>
      </w:r>
      <w:r>
        <w:rPr>
          <w:color w:val="231F20"/>
          <w:spacing w:val="-14"/>
          <w:w w:val="105"/>
        </w:rPr>
        <w:t> </w:t>
      </w:r>
      <w:r>
        <w:rPr>
          <w:color w:val="231F20"/>
          <w:w w:val="105"/>
        </w:rPr>
        <w:t>un</w:t>
      </w:r>
      <w:r>
        <w:rPr>
          <w:color w:val="231F20"/>
          <w:spacing w:val="-14"/>
          <w:w w:val="105"/>
        </w:rPr>
        <w:t> </w:t>
      </w:r>
      <w:r>
        <w:rPr>
          <w:color w:val="231F20"/>
          <w:w w:val="105"/>
        </w:rPr>
        <w:t>empleo</w:t>
      </w:r>
      <w:r>
        <w:rPr>
          <w:color w:val="231F20"/>
          <w:spacing w:val="-14"/>
          <w:w w:val="105"/>
        </w:rPr>
        <w:t> </w:t>
      </w:r>
      <w:r>
        <w:rPr>
          <w:color w:val="231F20"/>
          <w:w w:val="105"/>
        </w:rPr>
        <w:t>como </w:t>
      </w:r>
      <w:r>
        <w:rPr>
          <w:color w:val="231F20"/>
          <w:spacing w:val="-2"/>
          <w:w w:val="105"/>
        </w:rPr>
        <w:t>educadora</w:t>
      </w:r>
      <w:r>
        <w:rPr>
          <w:color w:val="231F20"/>
          <w:spacing w:val="-11"/>
          <w:w w:val="105"/>
        </w:rPr>
        <w:t> </w:t>
      </w:r>
      <w:r>
        <w:rPr>
          <w:color w:val="231F20"/>
          <w:w w:val="105"/>
        </w:rPr>
        <w:t>asistente,</w:t>
      </w:r>
      <w:r>
        <w:rPr>
          <w:color w:val="231F20"/>
          <w:spacing w:val="-16"/>
          <w:w w:val="105"/>
        </w:rPr>
        <w:t> </w:t>
      </w:r>
      <w:r>
        <w:rPr>
          <w:color w:val="231F20"/>
          <w:w w:val="105"/>
        </w:rPr>
        <w:t>en</w:t>
      </w:r>
      <w:r>
        <w:rPr>
          <w:color w:val="231F20"/>
          <w:spacing w:val="-11"/>
          <w:w w:val="105"/>
        </w:rPr>
        <w:t> </w:t>
      </w:r>
      <w:r>
        <w:rPr>
          <w:color w:val="231F20"/>
          <w:w w:val="105"/>
        </w:rPr>
        <w:t>un</w:t>
      </w:r>
      <w:r>
        <w:rPr>
          <w:color w:val="231F20"/>
          <w:spacing w:val="-11"/>
          <w:w w:val="105"/>
        </w:rPr>
        <w:t> </w:t>
      </w:r>
      <w:r>
        <w:rPr>
          <w:color w:val="231F20"/>
          <w:spacing w:val="-3"/>
          <w:w w:val="105"/>
        </w:rPr>
        <w:t>jardín</w:t>
      </w:r>
      <w:r>
        <w:rPr>
          <w:color w:val="231F20"/>
          <w:spacing w:val="-11"/>
          <w:w w:val="105"/>
        </w:rPr>
        <w:t> </w:t>
      </w:r>
      <w:r>
        <w:rPr>
          <w:color w:val="231F20"/>
          <w:w w:val="105"/>
        </w:rPr>
        <w:t>de</w:t>
      </w:r>
      <w:r>
        <w:rPr>
          <w:color w:val="231F20"/>
          <w:spacing w:val="-11"/>
          <w:w w:val="105"/>
        </w:rPr>
        <w:t> </w:t>
      </w:r>
      <w:r>
        <w:rPr>
          <w:color w:val="231F20"/>
          <w:w w:val="105"/>
        </w:rPr>
        <w:t>niños</w:t>
      </w:r>
      <w:r>
        <w:rPr>
          <w:color w:val="231F20"/>
          <w:spacing w:val="-11"/>
          <w:w w:val="105"/>
        </w:rPr>
        <w:t> </w:t>
      </w:r>
      <w:r>
        <w:rPr>
          <w:color w:val="231F20"/>
          <w:w w:val="105"/>
        </w:rPr>
        <w:t>localizado</w:t>
      </w:r>
      <w:r>
        <w:rPr>
          <w:color w:val="231F20"/>
          <w:spacing w:val="-11"/>
          <w:w w:val="105"/>
        </w:rPr>
        <w:t> </w:t>
      </w:r>
      <w:r>
        <w:rPr>
          <w:color w:val="231F20"/>
          <w:w w:val="105"/>
        </w:rPr>
        <w:t>en</w:t>
      </w:r>
      <w:r>
        <w:rPr>
          <w:color w:val="231F20"/>
          <w:spacing w:val="-11"/>
          <w:w w:val="105"/>
        </w:rPr>
        <w:t> </w:t>
      </w:r>
      <w:r>
        <w:rPr>
          <w:color w:val="231F20"/>
          <w:w w:val="105"/>
        </w:rPr>
        <w:t>Chimalhuacán, municipio</w:t>
      </w:r>
      <w:r>
        <w:rPr>
          <w:color w:val="231F20"/>
          <w:spacing w:val="-30"/>
          <w:w w:val="105"/>
        </w:rPr>
        <w:t> </w:t>
      </w:r>
      <w:r>
        <w:rPr>
          <w:color w:val="231F20"/>
          <w:w w:val="105"/>
        </w:rPr>
        <w:t>vecino</w:t>
      </w:r>
      <w:r>
        <w:rPr>
          <w:color w:val="231F20"/>
          <w:spacing w:val="-30"/>
          <w:w w:val="105"/>
        </w:rPr>
        <w:t> </w:t>
      </w:r>
      <w:r>
        <w:rPr>
          <w:color w:val="231F20"/>
          <w:w w:val="105"/>
        </w:rPr>
        <w:t>de</w:t>
      </w:r>
      <w:r>
        <w:rPr>
          <w:color w:val="231F20"/>
          <w:spacing w:val="-30"/>
          <w:w w:val="105"/>
        </w:rPr>
        <w:t> </w:t>
      </w:r>
      <w:r>
        <w:rPr>
          <w:color w:val="231F20"/>
          <w:w w:val="105"/>
        </w:rPr>
        <w:t>Nezahualcóyotl.</w:t>
      </w:r>
      <w:r>
        <w:rPr>
          <w:color w:val="231F20"/>
          <w:spacing w:val="-35"/>
          <w:w w:val="105"/>
        </w:rPr>
        <w:t> </w:t>
      </w:r>
      <w:r>
        <w:rPr>
          <w:color w:val="231F20"/>
          <w:w w:val="105"/>
        </w:rPr>
        <w:t>Ella</w:t>
      </w:r>
      <w:r>
        <w:rPr>
          <w:color w:val="231F20"/>
          <w:spacing w:val="-30"/>
          <w:w w:val="105"/>
        </w:rPr>
        <w:t> </w:t>
      </w:r>
      <w:r>
        <w:rPr>
          <w:color w:val="231F20"/>
          <w:w w:val="105"/>
        </w:rPr>
        <w:t>tenía</w:t>
      </w:r>
      <w:r>
        <w:rPr>
          <w:color w:val="231F20"/>
          <w:spacing w:val="-30"/>
          <w:w w:val="105"/>
        </w:rPr>
        <w:t> </w:t>
      </w:r>
      <w:r>
        <w:rPr>
          <w:color w:val="231F20"/>
          <w:w w:val="105"/>
        </w:rPr>
        <w:t>menos</w:t>
      </w:r>
      <w:r>
        <w:rPr>
          <w:color w:val="231F20"/>
          <w:spacing w:val="-30"/>
          <w:w w:val="105"/>
        </w:rPr>
        <w:t> </w:t>
      </w:r>
      <w:r>
        <w:rPr>
          <w:color w:val="231F20"/>
          <w:w w:val="105"/>
        </w:rPr>
        <w:t>de</w:t>
      </w:r>
      <w:r>
        <w:rPr>
          <w:color w:val="231F20"/>
          <w:spacing w:val="-30"/>
          <w:w w:val="105"/>
        </w:rPr>
        <w:t> </w:t>
      </w:r>
      <w:r>
        <w:rPr>
          <w:color w:val="231F20"/>
          <w:w w:val="105"/>
        </w:rPr>
        <w:t>un</w:t>
      </w:r>
      <w:r>
        <w:rPr>
          <w:color w:val="231F20"/>
          <w:spacing w:val="-30"/>
          <w:w w:val="105"/>
        </w:rPr>
        <w:t> </w:t>
      </w:r>
      <w:r>
        <w:rPr>
          <w:color w:val="231F20"/>
          <w:w w:val="105"/>
        </w:rPr>
        <w:t>año</w:t>
      </w:r>
      <w:r>
        <w:rPr>
          <w:color w:val="231F20"/>
          <w:spacing w:val="-30"/>
          <w:w w:val="105"/>
        </w:rPr>
        <w:t> </w:t>
      </w:r>
      <w:r>
        <w:rPr>
          <w:color w:val="231F20"/>
          <w:w w:val="105"/>
        </w:rPr>
        <w:t>de</w:t>
      </w:r>
      <w:r>
        <w:rPr>
          <w:color w:val="231F20"/>
          <w:spacing w:val="-30"/>
          <w:w w:val="105"/>
        </w:rPr>
        <w:t> </w:t>
      </w:r>
      <w:r>
        <w:rPr>
          <w:color w:val="231F20"/>
          <w:spacing w:val="-2"/>
          <w:w w:val="105"/>
        </w:rPr>
        <w:t>traba- </w:t>
      </w:r>
      <w:r>
        <w:rPr>
          <w:color w:val="231F20"/>
          <w:w w:val="105"/>
        </w:rPr>
        <w:t>jar</w:t>
      </w:r>
      <w:r>
        <w:rPr>
          <w:color w:val="231F20"/>
          <w:spacing w:val="-11"/>
          <w:w w:val="105"/>
        </w:rPr>
        <w:t> </w:t>
      </w:r>
      <w:r>
        <w:rPr>
          <w:color w:val="231F20"/>
          <w:w w:val="105"/>
        </w:rPr>
        <w:t>allí,</w:t>
      </w:r>
      <w:r>
        <w:rPr>
          <w:color w:val="231F20"/>
          <w:spacing w:val="-17"/>
          <w:w w:val="105"/>
        </w:rPr>
        <w:t> </w:t>
      </w:r>
      <w:r>
        <w:rPr>
          <w:color w:val="231F20"/>
          <w:w w:val="105"/>
        </w:rPr>
        <w:t>antes</w:t>
      </w:r>
      <w:r>
        <w:rPr>
          <w:color w:val="231F20"/>
          <w:spacing w:val="-11"/>
          <w:w w:val="105"/>
        </w:rPr>
        <w:t> </w:t>
      </w:r>
      <w:r>
        <w:rPr>
          <w:color w:val="231F20"/>
          <w:w w:val="105"/>
        </w:rPr>
        <w:t>no</w:t>
      </w:r>
      <w:r>
        <w:rPr>
          <w:color w:val="231F20"/>
          <w:spacing w:val="-11"/>
          <w:w w:val="105"/>
        </w:rPr>
        <w:t> </w:t>
      </w:r>
      <w:r>
        <w:rPr>
          <w:color w:val="231F20"/>
          <w:w w:val="105"/>
        </w:rPr>
        <w:t>había</w:t>
      </w:r>
      <w:r>
        <w:rPr>
          <w:color w:val="231F20"/>
          <w:spacing w:val="-11"/>
          <w:w w:val="105"/>
        </w:rPr>
        <w:t> </w:t>
      </w:r>
      <w:r>
        <w:rPr>
          <w:color w:val="231F20"/>
          <w:w w:val="105"/>
        </w:rPr>
        <w:t>tenido</w:t>
      </w:r>
      <w:r>
        <w:rPr>
          <w:color w:val="231F20"/>
          <w:spacing w:val="-11"/>
          <w:w w:val="105"/>
        </w:rPr>
        <w:t> </w:t>
      </w:r>
      <w:r>
        <w:rPr>
          <w:color w:val="231F20"/>
          <w:w w:val="105"/>
        </w:rPr>
        <w:t>un</w:t>
      </w:r>
      <w:r>
        <w:rPr>
          <w:color w:val="231F20"/>
          <w:spacing w:val="-11"/>
          <w:w w:val="105"/>
        </w:rPr>
        <w:t> </w:t>
      </w:r>
      <w:r>
        <w:rPr>
          <w:color w:val="231F20"/>
          <w:w w:val="105"/>
        </w:rPr>
        <w:t>empleo</w:t>
      </w:r>
      <w:r>
        <w:rPr>
          <w:color w:val="231F20"/>
          <w:spacing w:val="-11"/>
          <w:w w:val="105"/>
        </w:rPr>
        <w:t> </w:t>
      </w:r>
      <w:r>
        <w:rPr>
          <w:color w:val="231F20"/>
          <w:spacing w:val="-3"/>
          <w:w w:val="105"/>
        </w:rPr>
        <w:t>remunerado,</w:t>
      </w:r>
      <w:r>
        <w:rPr>
          <w:color w:val="231F20"/>
          <w:spacing w:val="-17"/>
          <w:w w:val="105"/>
        </w:rPr>
        <w:t> </w:t>
      </w:r>
      <w:r>
        <w:rPr>
          <w:color w:val="231F20"/>
          <w:w w:val="105"/>
        </w:rPr>
        <w:t>había</w:t>
      </w:r>
      <w:r>
        <w:rPr>
          <w:color w:val="231F20"/>
          <w:spacing w:val="-11"/>
          <w:w w:val="105"/>
        </w:rPr>
        <w:t> </w:t>
      </w:r>
      <w:r>
        <w:rPr>
          <w:color w:val="231F20"/>
          <w:w w:val="105"/>
        </w:rPr>
        <w:t>sido</w:t>
      </w:r>
      <w:r>
        <w:rPr>
          <w:color w:val="231F20"/>
          <w:spacing w:val="-11"/>
          <w:w w:val="105"/>
        </w:rPr>
        <w:t> </w:t>
      </w:r>
      <w:r>
        <w:rPr>
          <w:color w:val="231F20"/>
          <w:w w:val="105"/>
        </w:rPr>
        <w:t>ama</w:t>
      </w:r>
      <w:r>
        <w:rPr>
          <w:color w:val="231F20"/>
          <w:spacing w:val="-11"/>
          <w:w w:val="105"/>
        </w:rPr>
        <w:t> </w:t>
      </w:r>
      <w:r>
        <w:rPr>
          <w:color w:val="231F20"/>
          <w:w w:val="105"/>
        </w:rPr>
        <w:t>de casa</w:t>
      </w:r>
      <w:r>
        <w:rPr>
          <w:color w:val="231F20"/>
          <w:spacing w:val="-27"/>
          <w:w w:val="105"/>
        </w:rPr>
        <w:t> </w:t>
      </w:r>
      <w:r>
        <w:rPr>
          <w:color w:val="231F20"/>
          <w:w w:val="105"/>
        </w:rPr>
        <w:t>hasta</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spacing w:val="-3"/>
          <w:w w:val="105"/>
        </w:rPr>
        <w:t>separó</w:t>
      </w:r>
      <w:r>
        <w:rPr>
          <w:color w:val="231F20"/>
          <w:spacing w:val="-27"/>
          <w:w w:val="105"/>
        </w:rPr>
        <w:t> </w:t>
      </w:r>
      <w:r>
        <w:rPr>
          <w:color w:val="231F20"/>
          <w:w w:val="105"/>
        </w:rPr>
        <w:t>de</w:t>
      </w:r>
      <w:r>
        <w:rPr>
          <w:color w:val="231F20"/>
          <w:spacing w:val="-27"/>
          <w:w w:val="105"/>
        </w:rPr>
        <w:t> </w:t>
      </w:r>
      <w:r>
        <w:rPr>
          <w:color w:val="231F20"/>
          <w:w w:val="105"/>
        </w:rPr>
        <w:t>su</w:t>
      </w:r>
      <w:r>
        <w:rPr>
          <w:color w:val="231F20"/>
          <w:spacing w:val="-27"/>
          <w:w w:val="105"/>
        </w:rPr>
        <w:t> </w:t>
      </w:r>
      <w:r>
        <w:rPr>
          <w:color w:val="231F20"/>
          <w:spacing w:val="-3"/>
          <w:w w:val="105"/>
        </w:rPr>
        <w:t>pareja.</w:t>
      </w:r>
      <w:r>
        <w:rPr>
          <w:color w:val="231F20"/>
          <w:spacing w:val="-32"/>
          <w:w w:val="105"/>
        </w:rPr>
        <w:t> </w:t>
      </w:r>
      <w:r>
        <w:rPr>
          <w:color w:val="231F20"/>
          <w:spacing w:val="-2"/>
          <w:w w:val="105"/>
        </w:rPr>
        <w:t>Esperanza</w:t>
      </w:r>
      <w:r>
        <w:rPr>
          <w:color w:val="231F20"/>
          <w:spacing w:val="-27"/>
          <w:w w:val="105"/>
        </w:rPr>
        <w:t> </w:t>
      </w:r>
      <w:r>
        <w:rPr>
          <w:color w:val="231F20"/>
          <w:w w:val="105"/>
        </w:rPr>
        <w:t>cuenta</w:t>
      </w:r>
      <w:r>
        <w:rPr>
          <w:color w:val="231F20"/>
          <w:spacing w:val="-27"/>
          <w:w w:val="105"/>
        </w:rPr>
        <w:t> </w:t>
      </w:r>
      <w:r>
        <w:rPr>
          <w:color w:val="231F20"/>
          <w:w w:val="105"/>
        </w:rPr>
        <w:t>con</w:t>
      </w:r>
      <w:r>
        <w:rPr>
          <w:color w:val="231F20"/>
          <w:spacing w:val="-27"/>
          <w:w w:val="105"/>
        </w:rPr>
        <w:t> </w:t>
      </w:r>
      <w:r>
        <w:rPr>
          <w:color w:val="231F20"/>
          <w:w w:val="105"/>
        </w:rPr>
        <w:t>estudios</w:t>
      </w:r>
      <w:r>
        <w:rPr>
          <w:color w:val="231F20"/>
          <w:spacing w:val="-27"/>
          <w:w w:val="105"/>
        </w:rPr>
        <w:t> </w:t>
      </w:r>
      <w:r>
        <w:rPr>
          <w:color w:val="231F20"/>
          <w:w w:val="105"/>
        </w:rPr>
        <w:t>no concluidos</w:t>
      </w:r>
      <w:r>
        <w:rPr>
          <w:color w:val="231F20"/>
          <w:spacing w:val="-20"/>
          <w:w w:val="105"/>
        </w:rPr>
        <w:t> </w:t>
      </w:r>
      <w:r>
        <w:rPr>
          <w:color w:val="231F20"/>
          <w:w w:val="105"/>
        </w:rPr>
        <w:t>como</w:t>
      </w:r>
      <w:r>
        <w:rPr>
          <w:color w:val="231F20"/>
          <w:spacing w:val="-20"/>
          <w:w w:val="105"/>
        </w:rPr>
        <w:t> </w:t>
      </w:r>
      <w:r>
        <w:rPr>
          <w:color w:val="231F20"/>
          <w:spacing w:val="-2"/>
          <w:w w:val="105"/>
        </w:rPr>
        <w:t>educadora.</w:t>
      </w:r>
      <w:r>
        <w:rPr>
          <w:color w:val="231F20"/>
          <w:spacing w:val="-25"/>
          <w:w w:val="105"/>
        </w:rPr>
        <w:t> </w:t>
      </w:r>
      <w:r>
        <w:rPr>
          <w:color w:val="231F20"/>
          <w:w w:val="105"/>
        </w:rPr>
        <w:t>En</w:t>
      </w:r>
      <w:r>
        <w:rPr>
          <w:color w:val="231F20"/>
          <w:spacing w:val="-20"/>
          <w:w w:val="105"/>
        </w:rPr>
        <w:t> </w:t>
      </w:r>
      <w:r>
        <w:rPr>
          <w:color w:val="231F20"/>
          <w:w w:val="105"/>
        </w:rPr>
        <w:t>total</w:t>
      </w:r>
      <w:r>
        <w:rPr>
          <w:color w:val="231F20"/>
          <w:spacing w:val="-20"/>
          <w:w w:val="105"/>
        </w:rPr>
        <w:t> </w:t>
      </w:r>
      <w:r>
        <w:rPr>
          <w:color w:val="231F20"/>
          <w:w w:val="105"/>
        </w:rPr>
        <w:t>tiene</w:t>
      </w:r>
      <w:r>
        <w:rPr>
          <w:color w:val="231F20"/>
          <w:spacing w:val="-20"/>
          <w:w w:val="105"/>
        </w:rPr>
        <w:t> </w:t>
      </w:r>
      <w:r>
        <w:rPr>
          <w:color w:val="231F20"/>
          <w:w w:val="105"/>
        </w:rPr>
        <w:t>13</w:t>
      </w:r>
      <w:r>
        <w:rPr>
          <w:color w:val="231F20"/>
          <w:spacing w:val="-20"/>
          <w:w w:val="105"/>
        </w:rPr>
        <w:t> </w:t>
      </w:r>
      <w:r>
        <w:rPr>
          <w:color w:val="231F20"/>
          <w:w w:val="105"/>
        </w:rPr>
        <w:t>años</w:t>
      </w:r>
      <w:r>
        <w:rPr>
          <w:color w:val="231F20"/>
          <w:spacing w:val="-20"/>
          <w:w w:val="105"/>
        </w:rPr>
        <w:t> </w:t>
      </w:r>
      <w:r>
        <w:rPr>
          <w:color w:val="231F20"/>
          <w:w w:val="105"/>
        </w:rPr>
        <w:t>de</w:t>
      </w:r>
      <w:r>
        <w:rPr>
          <w:color w:val="231F20"/>
          <w:spacing w:val="-20"/>
          <w:w w:val="105"/>
        </w:rPr>
        <w:t> </w:t>
      </w:r>
      <w:r>
        <w:rPr>
          <w:color w:val="231F20"/>
          <w:spacing w:val="-2"/>
          <w:w w:val="105"/>
        </w:rPr>
        <w:t>escolaridad.</w:t>
      </w:r>
    </w:p>
    <w:p>
      <w:pPr>
        <w:pStyle w:val="BodyText"/>
        <w:spacing w:line="261" w:lineRule="auto" w:before="1"/>
        <w:ind w:left="1837" w:right="1716" w:firstLine="567"/>
        <w:jc w:val="both"/>
      </w:pPr>
      <w:r>
        <w:rPr>
          <w:color w:val="231F20"/>
          <w:w w:val="105"/>
        </w:rPr>
        <w:t>Esperanza viajó a Estados Unidos, no obstante que su padre no quería que emigrara y dejara solos a sus dos hijos por un año y medio. Su</w:t>
      </w:r>
      <w:r>
        <w:rPr>
          <w:color w:val="231F20"/>
          <w:spacing w:val="-19"/>
          <w:w w:val="105"/>
        </w:rPr>
        <w:t> </w:t>
      </w:r>
      <w:r>
        <w:rPr>
          <w:color w:val="231F20"/>
          <w:w w:val="105"/>
        </w:rPr>
        <w:t>hermano</w:t>
      </w:r>
      <w:r>
        <w:rPr>
          <w:color w:val="231F20"/>
          <w:spacing w:val="-19"/>
          <w:w w:val="105"/>
        </w:rPr>
        <w:t> </w:t>
      </w:r>
      <w:r>
        <w:rPr>
          <w:color w:val="231F20"/>
          <w:w w:val="105"/>
        </w:rPr>
        <w:t>que</w:t>
      </w:r>
      <w:r>
        <w:rPr>
          <w:color w:val="231F20"/>
          <w:spacing w:val="-19"/>
          <w:w w:val="105"/>
        </w:rPr>
        <w:t> </w:t>
      </w:r>
      <w:r>
        <w:rPr>
          <w:color w:val="231F20"/>
          <w:w w:val="105"/>
        </w:rPr>
        <w:t>estaba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Ciudad</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22"/>
          <w:w w:val="105"/>
        </w:rPr>
        <w:t> </w:t>
      </w:r>
      <w:r>
        <w:rPr>
          <w:color w:val="231F20"/>
          <w:w w:val="105"/>
        </w:rPr>
        <w:t>Vegas</w:t>
      </w:r>
      <w:r>
        <w:rPr>
          <w:color w:val="231F20"/>
          <w:spacing w:val="-19"/>
          <w:w w:val="105"/>
        </w:rPr>
        <w:t> </w:t>
      </w:r>
      <w:r>
        <w:rPr>
          <w:color w:val="231F20"/>
          <w:w w:val="105"/>
        </w:rPr>
        <w:t>(Alberto)</w:t>
      </w:r>
      <w:r>
        <w:rPr>
          <w:color w:val="231F20"/>
          <w:spacing w:val="-19"/>
          <w:w w:val="105"/>
        </w:rPr>
        <w:t> </w:t>
      </w:r>
      <w:r>
        <w:rPr>
          <w:color w:val="231F20"/>
          <w:w w:val="105"/>
        </w:rPr>
        <w:t>le</w:t>
      </w:r>
      <w:r>
        <w:rPr>
          <w:color w:val="231F20"/>
          <w:spacing w:val="-19"/>
          <w:w w:val="105"/>
        </w:rPr>
        <w:t> </w:t>
      </w:r>
      <w:r>
        <w:rPr>
          <w:color w:val="231F20"/>
          <w:w w:val="105"/>
        </w:rPr>
        <w:t>financió</w:t>
      </w:r>
      <w:r>
        <w:rPr>
          <w:color w:val="231F20"/>
          <w:spacing w:val="-19"/>
          <w:w w:val="105"/>
        </w:rPr>
        <w:t> </w:t>
      </w:r>
      <w:r>
        <w:rPr>
          <w:color w:val="231F20"/>
          <w:w w:val="105"/>
        </w:rPr>
        <w:t>el viaje y le recomendó que fuera a Michoacán (no recordó el nombre del municipio)</w:t>
      </w:r>
      <w:r>
        <w:rPr>
          <w:color w:val="231F20"/>
          <w:spacing w:val="-11"/>
          <w:w w:val="105"/>
        </w:rPr>
        <w:t> </w:t>
      </w:r>
      <w:r>
        <w:rPr>
          <w:color w:val="231F20"/>
          <w:w w:val="105"/>
        </w:rPr>
        <w:t>a</w:t>
      </w:r>
      <w:r>
        <w:rPr>
          <w:color w:val="231F20"/>
          <w:spacing w:val="-11"/>
          <w:w w:val="105"/>
        </w:rPr>
        <w:t> </w:t>
      </w:r>
      <w:r>
        <w:rPr>
          <w:color w:val="231F20"/>
          <w:w w:val="105"/>
        </w:rPr>
        <w:t>buscar</w:t>
      </w:r>
      <w:r>
        <w:rPr>
          <w:color w:val="231F20"/>
          <w:spacing w:val="-11"/>
          <w:w w:val="105"/>
        </w:rPr>
        <w:t> </w:t>
      </w:r>
      <w:r>
        <w:rPr>
          <w:color w:val="231F20"/>
          <w:w w:val="105"/>
        </w:rPr>
        <w:t>a</w:t>
      </w:r>
      <w:r>
        <w:rPr>
          <w:color w:val="231F20"/>
          <w:spacing w:val="-11"/>
          <w:w w:val="105"/>
        </w:rPr>
        <w:t> </w:t>
      </w:r>
      <w:r>
        <w:rPr>
          <w:color w:val="231F20"/>
          <w:w w:val="105"/>
        </w:rPr>
        <w:t>un</w:t>
      </w:r>
      <w:r>
        <w:rPr>
          <w:color w:val="231F20"/>
          <w:spacing w:val="-11"/>
          <w:w w:val="105"/>
        </w:rPr>
        <w:t> </w:t>
      </w:r>
      <w:r>
        <w:rPr>
          <w:color w:val="231F20"/>
          <w:w w:val="105"/>
        </w:rPr>
        <w:t>amigo</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acompañó</w:t>
      </w:r>
      <w:r>
        <w:rPr>
          <w:color w:val="231F20"/>
          <w:spacing w:val="-11"/>
          <w:w w:val="105"/>
        </w:rPr>
        <w:t> </w:t>
      </w:r>
      <w:r>
        <w:rPr>
          <w:color w:val="231F20"/>
          <w:w w:val="105"/>
        </w:rPr>
        <w:t>hasta</w:t>
      </w:r>
      <w:r>
        <w:rPr>
          <w:color w:val="231F20"/>
          <w:spacing w:val="-11"/>
          <w:w w:val="105"/>
        </w:rPr>
        <w:t> </w:t>
      </w:r>
      <w:r>
        <w:rPr>
          <w:color w:val="231F20"/>
          <w:w w:val="105"/>
        </w:rPr>
        <w:t>El</w:t>
      </w:r>
      <w:r>
        <w:rPr>
          <w:color w:val="231F20"/>
          <w:spacing w:val="-11"/>
          <w:w w:val="105"/>
        </w:rPr>
        <w:t> </w:t>
      </w:r>
      <w:r>
        <w:rPr>
          <w:color w:val="231F20"/>
          <w:w w:val="105"/>
        </w:rPr>
        <w:t>Sásabe</w:t>
      </w:r>
      <w:r>
        <w:rPr>
          <w:color w:val="231F20"/>
          <w:w w:val="105"/>
          <w:position w:val="7"/>
          <w:sz w:val="12"/>
        </w:rPr>
        <w:t>10</w:t>
      </w:r>
      <w:r>
        <w:rPr>
          <w:color w:val="231F20"/>
          <w:w w:val="105"/>
        </w:rPr>
        <w:t>,</w:t>
      </w:r>
      <w:r>
        <w:rPr>
          <w:color w:val="231F20"/>
          <w:spacing w:val="-16"/>
          <w:w w:val="105"/>
        </w:rPr>
        <w:t> </w:t>
      </w:r>
      <w:r>
        <w:rPr>
          <w:color w:val="231F20"/>
          <w:w w:val="105"/>
        </w:rPr>
        <w:t>por donde</w:t>
      </w:r>
      <w:r>
        <w:rPr>
          <w:color w:val="231F20"/>
          <w:spacing w:val="-13"/>
          <w:w w:val="105"/>
        </w:rPr>
        <w:t> </w:t>
      </w:r>
      <w:r>
        <w:rPr>
          <w:color w:val="231F20"/>
          <w:w w:val="105"/>
        </w:rPr>
        <w:t>cruzó</w:t>
      </w:r>
      <w:r>
        <w:rPr>
          <w:color w:val="231F20"/>
          <w:spacing w:val="-13"/>
          <w:w w:val="105"/>
        </w:rPr>
        <w:t> </w:t>
      </w:r>
      <w:r>
        <w:rPr>
          <w:color w:val="231F20"/>
          <w:w w:val="105"/>
        </w:rPr>
        <w:t>conjuntamente</w:t>
      </w:r>
      <w:r>
        <w:rPr>
          <w:color w:val="231F20"/>
          <w:spacing w:val="-13"/>
          <w:w w:val="105"/>
        </w:rPr>
        <w:t> </w:t>
      </w:r>
      <w:r>
        <w:rPr>
          <w:color w:val="231F20"/>
          <w:w w:val="105"/>
        </w:rPr>
        <w:t>con</w:t>
      </w:r>
      <w:r>
        <w:rPr>
          <w:color w:val="231F20"/>
          <w:spacing w:val="-13"/>
          <w:w w:val="105"/>
        </w:rPr>
        <w:t> </w:t>
      </w:r>
      <w:r>
        <w:rPr>
          <w:color w:val="231F20"/>
          <w:w w:val="105"/>
        </w:rPr>
        <w:t>dos</w:t>
      </w:r>
      <w:r>
        <w:rPr>
          <w:color w:val="231F20"/>
          <w:spacing w:val="-13"/>
          <w:w w:val="105"/>
        </w:rPr>
        <w:t> </w:t>
      </w:r>
      <w:r>
        <w:rPr>
          <w:color w:val="231F20"/>
          <w:w w:val="105"/>
        </w:rPr>
        <w:t>conocidos</w:t>
      </w:r>
      <w:r>
        <w:rPr>
          <w:color w:val="231F20"/>
          <w:spacing w:val="-13"/>
          <w:w w:val="105"/>
        </w:rPr>
        <w:t> </w:t>
      </w:r>
      <w:r>
        <w:rPr>
          <w:color w:val="231F20"/>
          <w:w w:val="105"/>
        </w:rPr>
        <w:t>de</w:t>
      </w:r>
      <w:r>
        <w:rPr>
          <w:color w:val="231F20"/>
          <w:spacing w:val="-13"/>
          <w:w w:val="105"/>
        </w:rPr>
        <w:t> </w:t>
      </w:r>
      <w:r>
        <w:rPr>
          <w:color w:val="231F20"/>
          <w:w w:val="105"/>
        </w:rPr>
        <w:t>su</w:t>
      </w:r>
      <w:r>
        <w:rPr>
          <w:color w:val="231F20"/>
          <w:spacing w:val="-13"/>
          <w:w w:val="105"/>
        </w:rPr>
        <w:t> </w:t>
      </w:r>
      <w:r>
        <w:rPr>
          <w:color w:val="231F20"/>
          <w:w w:val="105"/>
        </w:rPr>
        <w:t>familia.</w:t>
      </w:r>
      <w:r>
        <w:rPr>
          <w:color w:val="231F20"/>
          <w:spacing w:val="-18"/>
          <w:w w:val="105"/>
        </w:rPr>
        <w:t> </w:t>
      </w:r>
      <w:r>
        <w:rPr>
          <w:color w:val="231F20"/>
          <w:w w:val="105"/>
        </w:rPr>
        <w:t>Ella</w:t>
      </w:r>
      <w:r>
        <w:rPr>
          <w:color w:val="231F20"/>
          <w:spacing w:val="-13"/>
          <w:w w:val="105"/>
        </w:rPr>
        <w:t> </w:t>
      </w:r>
      <w:r>
        <w:rPr>
          <w:color w:val="231F20"/>
          <w:w w:val="105"/>
        </w:rPr>
        <w:t>vivió</w:t>
      </w:r>
      <w:r>
        <w:rPr>
          <w:color w:val="231F20"/>
          <w:spacing w:val="-13"/>
          <w:w w:val="105"/>
        </w:rPr>
        <w:t> </w:t>
      </w:r>
      <w:r>
        <w:rPr>
          <w:color w:val="231F20"/>
          <w:w w:val="105"/>
        </w:rPr>
        <w:t>y trabajó</w:t>
      </w:r>
      <w:r>
        <w:rPr>
          <w:color w:val="231F20"/>
          <w:spacing w:val="-26"/>
          <w:w w:val="105"/>
        </w:rPr>
        <w:t> </w:t>
      </w:r>
      <w:r>
        <w:rPr>
          <w:color w:val="231F20"/>
          <w:w w:val="105"/>
        </w:rPr>
        <w:t>un</w:t>
      </w:r>
      <w:r>
        <w:rPr>
          <w:color w:val="231F20"/>
          <w:spacing w:val="-26"/>
          <w:w w:val="105"/>
        </w:rPr>
        <w:t> </w:t>
      </w:r>
      <w:r>
        <w:rPr>
          <w:color w:val="231F20"/>
          <w:w w:val="105"/>
        </w:rPr>
        <w:t>total</w:t>
      </w:r>
      <w:r>
        <w:rPr>
          <w:color w:val="231F20"/>
          <w:spacing w:val="-26"/>
          <w:w w:val="105"/>
        </w:rPr>
        <w:t> </w:t>
      </w:r>
      <w:r>
        <w:rPr>
          <w:color w:val="231F20"/>
          <w:w w:val="105"/>
        </w:rPr>
        <w:t>de</w:t>
      </w:r>
      <w:r>
        <w:rPr>
          <w:color w:val="231F20"/>
          <w:spacing w:val="-26"/>
          <w:w w:val="105"/>
        </w:rPr>
        <w:t> </w:t>
      </w:r>
      <w:r>
        <w:rPr>
          <w:color w:val="231F20"/>
          <w:w w:val="105"/>
        </w:rPr>
        <w:t>cinco</w:t>
      </w:r>
      <w:r>
        <w:rPr>
          <w:color w:val="231F20"/>
          <w:spacing w:val="-26"/>
          <w:w w:val="105"/>
        </w:rPr>
        <w:t> </w:t>
      </w:r>
      <w:r>
        <w:rPr>
          <w:color w:val="231F20"/>
          <w:w w:val="105"/>
        </w:rPr>
        <w:t>años</w:t>
      </w:r>
      <w:r>
        <w:rPr>
          <w:color w:val="231F20"/>
          <w:spacing w:val="-26"/>
          <w:w w:val="105"/>
        </w:rPr>
        <w:t> </w:t>
      </w:r>
      <w:r>
        <w:rPr>
          <w:color w:val="231F20"/>
          <w:w w:val="105"/>
        </w:rPr>
        <w:t>en</w:t>
      </w:r>
      <w:r>
        <w:rPr>
          <w:color w:val="231F20"/>
          <w:spacing w:val="-26"/>
          <w:w w:val="105"/>
        </w:rPr>
        <w:t> </w:t>
      </w:r>
      <w:r>
        <w:rPr>
          <w:color w:val="231F20"/>
          <w:w w:val="105"/>
        </w:rPr>
        <w:t>Estados</w:t>
      </w:r>
      <w:r>
        <w:rPr>
          <w:color w:val="231F20"/>
          <w:spacing w:val="-26"/>
          <w:w w:val="105"/>
        </w:rPr>
        <w:t> </w:t>
      </w:r>
      <w:r>
        <w:rPr>
          <w:color w:val="231F20"/>
          <w:w w:val="105"/>
        </w:rPr>
        <w:t>Unidos,</w:t>
      </w:r>
      <w:r>
        <w:rPr>
          <w:color w:val="231F20"/>
          <w:spacing w:val="-31"/>
          <w:w w:val="105"/>
        </w:rPr>
        <w:t> </w:t>
      </w:r>
      <w:r>
        <w:rPr>
          <w:color w:val="231F20"/>
          <w:w w:val="105"/>
        </w:rPr>
        <w:t>sin</w:t>
      </w:r>
      <w:r>
        <w:rPr>
          <w:color w:val="231F20"/>
          <w:spacing w:val="-26"/>
          <w:w w:val="105"/>
        </w:rPr>
        <w:t> </w:t>
      </w:r>
      <w:r>
        <w:rPr>
          <w:color w:val="231F20"/>
          <w:w w:val="105"/>
        </w:rPr>
        <w:t>realizar</w:t>
      </w:r>
      <w:r>
        <w:rPr>
          <w:color w:val="231F20"/>
          <w:spacing w:val="-26"/>
          <w:w w:val="105"/>
        </w:rPr>
        <w:t> </w:t>
      </w:r>
      <w:r>
        <w:rPr>
          <w:color w:val="231F20"/>
          <w:w w:val="105"/>
        </w:rPr>
        <w:t>un</w:t>
      </w:r>
      <w:r>
        <w:rPr>
          <w:color w:val="231F20"/>
          <w:spacing w:val="-26"/>
          <w:w w:val="105"/>
        </w:rPr>
        <w:t> </w:t>
      </w:r>
      <w:r>
        <w:rPr>
          <w:color w:val="231F20"/>
          <w:w w:val="105"/>
        </w:rPr>
        <w:t>solo</w:t>
      </w:r>
      <w:r>
        <w:rPr>
          <w:color w:val="231F20"/>
          <w:spacing w:val="-26"/>
          <w:w w:val="105"/>
        </w:rPr>
        <w:t> </w:t>
      </w:r>
      <w:r>
        <w:rPr>
          <w:color w:val="231F20"/>
          <w:w w:val="105"/>
        </w:rPr>
        <w:t>viaje a</w:t>
      </w:r>
      <w:r>
        <w:rPr>
          <w:color w:val="231F20"/>
          <w:spacing w:val="-32"/>
          <w:w w:val="105"/>
        </w:rPr>
        <w:t> </w:t>
      </w:r>
      <w:r>
        <w:rPr>
          <w:color w:val="231F20"/>
          <w:w w:val="105"/>
        </w:rPr>
        <w:t>México.</w:t>
      </w:r>
      <w:r>
        <w:rPr>
          <w:color w:val="231F20"/>
          <w:spacing w:val="-35"/>
          <w:w w:val="105"/>
        </w:rPr>
        <w:t> </w:t>
      </w:r>
      <w:r>
        <w:rPr>
          <w:color w:val="231F20"/>
          <w:w w:val="105"/>
        </w:rPr>
        <w:t>Estuvo</w:t>
      </w:r>
      <w:r>
        <w:rPr>
          <w:color w:val="231F20"/>
          <w:spacing w:val="-32"/>
          <w:w w:val="105"/>
        </w:rPr>
        <w:t> </w:t>
      </w:r>
      <w:r>
        <w:rPr>
          <w:color w:val="231F20"/>
          <w:w w:val="105"/>
        </w:rPr>
        <w:t>en</w:t>
      </w:r>
      <w:r>
        <w:rPr>
          <w:color w:val="231F20"/>
          <w:spacing w:val="-32"/>
          <w:w w:val="105"/>
        </w:rPr>
        <w:t> </w:t>
      </w:r>
      <w:r>
        <w:rPr>
          <w:color w:val="231F20"/>
          <w:w w:val="105"/>
        </w:rPr>
        <w:t>diversas</w:t>
      </w:r>
      <w:r>
        <w:rPr>
          <w:color w:val="231F20"/>
          <w:spacing w:val="-32"/>
          <w:w w:val="105"/>
        </w:rPr>
        <w:t> </w:t>
      </w:r>
      <w:r>
        <w:rPr>
          <w:color w:val="231F20"/>
          <w:w w:val="105"/>
        </w:rPr>
        <w:t>ciudades,</w:t>
      </w:r>
      <w:r>
        <w:rPr>
          <w:color w:val="231F20"/>
          <w:spacing w:val="-35"/>
          <w:w w:val="105"/>
        </w:rPr>
        <w:t> </w:t>
      </w:r>
      <w:r>
        <w:rPr>
          <w:color w:val="231F20"/>
          <w:w w:val="105"/>
        </w:rPr>
        <w:t>se</w:t>
      </w:r>
      <w:r>
        <w:rPr>
          <w:color w:val="231F20"/>
          <w:spacing w:val="-32"/>
          <w:w w:val="105"/>
        </w:rPr>
        <w:t> </w:t>
      </w:r>
      <w:r>
        <w:rPr>
          <w:color w:val="231F20"/>
          <w:w w:val="105"/>
        </w:rPr>
        <w:t>cuentan</w:t>
      </w:r>
      <w:r>
        <w:rPr>
          <w:color w:val="231F20"/>
          <w:spacing w:val="-32"/>
          <w:w w:val="105"/>
        </w:rPr>
        <w:t> </w:t>
      </w:r>
      <w:r>
        <w:rPr>
          <w:color w:val="231F20"/>
          <w:w w:val="105"/>
        </w:rPr>
        <w:t>al</w:t>
      </w:r>
      <w:r>
        <w:rPr>
          <w:color w:val="231F20"/>
          <w:spacing w:val="-32"/>
          <w:w w:val="105"/>
        </w:rPr>
        <w:t> </w:t>
      </w:r>
      <w:r>
        <w:rPr>
          <w:color w:val="231F20"/>
          <w:w w:val="105"/>
        </w:rPr>
        <w:t>menos</w:t>
      </w:r>
      <w:r>
        <w:rPr>
          <w:color w:val="231F20"/>
          <w:spacing w:val="-32"/>
          <w:w w:val="105"/>
        </w:rPr>
        <w:t> </w:t>
      </w:r>
      <w:r>
        <w:rPr>
          <w:color w:val="231F20"/>
          <w:w w:val="105"/>
        </w:rPr>
        <w:t>ocho</w:t>
      </w:r>
      <w:r>
        <w:rPr>
          <w:color w:val="231F20"/>
          <w:spacing w:val="-32"/>
          <w:w w:val="105"/>
        </w:rPr>
        <w:t> </w:t>
      </w:r>
      <w:r>
        <w:rPr>
          <w:color w:val="231F20"/>
          <w:w w:val="105"/>
        </w:rPr>
        <w:t>lugares distintos.</w:t>
      </w:r>
      <w:r>
        <w:rPr>
          <w:color w:val="231F20"/>
          <w:spacing w:val="-14"/>
          <w:w w:val="105"/>
        </w:rPr>
        <w:t> </w:t>
      </w:r>
      <w:r>
        <w:rPr>
          <w:color w:val="231F20"/>
          <w:w w:val="105"/>
        </w:rPr>
        <w:t>Esperanza</w:t>
      </w:r>
      <w:r>
        <w:rPr>
          <w:color w:val="231F20"/>
          <w:spacing w:val="-9"/>
          <w:w w:val="105"/>
        </w:rPr>
        <w:t> </w:t>
      </w:r>
      <w:r>
        <w:rPr>
          <w:color w:val="231F20"/>
          <w:w w:val="105"/>
        </w:rPr>
        <w:t>tiene</w:t>
      </w:r>
      <w:r>
        <w:rPr>
          <w:color w:val="231F20"/>
          <w:spacing w:val="-9"/>
          <w:w w:val="105"/>
        </w:rPr>
        <w:t> </w:t>
      </w:r>
      <w:r>
        <w:rPr>
          <w:color w:val="231F20"/>
          <w:w w:val="105"/>
        </w:rPr>
        <w:t>así</w:t>
      </w:r>
      <w:r>
        <w:rPr>
          <w:color w:val="231F20"/>
          <w:spacing w:val="-9"/>
          <w:w w:val="105"/>
        </w:rPr>
        <w:t> </w:t>
      </w:r>
      <w:r>
        <w:rPr>
          <w:color w:val="231F20"/>
          <w:w w:val="105"/>
        </w:rPr>
        <w:t>dos</w:t>
      </w:r>
      <w:r>
        <w:rPr>
          <w:color w:val="231F20"/>
          <w:spacing w:val="-9"/>
          <w:w w:val="105"/>
        </w:rPr>
        <w:t> </w:t>
      </w:r>
      <w:r>
        <w:rPr>
          <w:color w:val="231F20"/>
          <w:w w:val="105"/>
        </w:rPr>
        <w:t>viajes</w:t>
      </w:r>
      <w:r>
        <w:rPr>
          <w:color w:val="231F20"/>
          <w:spacing w:val="-9"/>
          <w:w w:val="105"/>
        </w:rPr>
        <w:t> </w:t>
      </w:r>
      <w:r>
        <w:rPr>
          <w:color w:val="231F20"/>
          <w:w w:val="105"/>
        </w:rPr>
        <w:t>internos</w:t>
      </w:r>
      <w:r>
        <w:rPr>
          <w:color w:val="231F20"/>
          <w:spacing w:val="-9"/>
          <w:w w:val="105"/>
        </w:rPr>
        <w:t> </w:t>
      </w:r>
      <w:r>
        <w:rPr>
          <w:color w:val="231F20"/>
          <w:w w:val="105"/>
        </w:rPr>
        <w:t>en</w:t>
      </w:r>
      <w:r>
        <w:rPr>
          <w:color w:val="231F20"/>
          <w:spacing w:val="-9"/>
          <w:w w:val="105"/>
        </w:rPr>
        <w:t> </w:t>
      </w:r>
      <w:r>
        <w:rPr>
          <w:color w:val="231F20"/>
          <w:w w:val="105"/>
        </w:rPr>
        <w:t>México,</w:t>
      </w:r>
      <w:r>
        <w:rPr>
          <w:color w:val="231F20"/>
          <w:spacing w:val="-14"/>
          <w:w w:val="105"/>
        </w:rPr>
        <w:t> </w:t>
      </w:r>
      <w:r>
        <w:rPr>
          <w:color w:val="231F20"/>
          <w:w w:val="105"/>
        </w:rPr>
        <w:t>pues</w:t>
      </w:r>
      <w:r>
        <w:rPr>
          <w:color w:val="231F20"/>
          <w:spacing w:val="-9"/>
          <w:w w:val="105"/>
        </w:rPr>
        <w:t> </w:t>
      </w:r>
      <w:r>
        <w:rPr>
          <w:color w:val="231F20"/>
          <w:w w:val="105"/>
        </w:rPr>
        <w:t>luego de</w:t>
      </w:r>
      <w:r>
        <w:rPr>
          <w:color w:val="231F20"/>
          <w:spacing w:val="-22"/>
          <w:w w:val="105"/>
        </w:rPr>
        <w:t> </w:t>
      </w:r>
      <w:r>
        <w:rPr>
          <w:color w:val="231F20"/>
          <w:w w:val="105"/>
        </w:rPr>
        <w:t>salir</w:t>
      </w:r>
      <w:r>
        <w:rPr>
          <w:color w:val="231F20"/>
          <w:spacing w:val="-22"/>
          <w:w w:val="105"/>
        </w:rPr>
        <w:t> </w:t>
      </w:r>
      <w:r>
        <w:rPr>
          <w:color w:val="231F20"/>
          <w:w w:val="105"/>
        </w:rPr>
        <w:t>de</w:t>
      </w:r>
      <w:r>
        <w:rPr>
          <w:color w:val="231F20"/>
          <w:spacing w:val="-22"/>
          <w:w w:val="105"/>
        </w:rPr>
        <w:t> </w:t>
      </w:r>
      <w:r>
        <w:rPr>
          <w:color w:val="231F20"/>
          <w:w w:val="105"/>
        </w:rPr>
        <w:t>Oaxaca</w:t>
      </w:r>
      <w:r>
        <w:rPr>
          <w:color w:val="231F20"/>
          <w:spacing w:val="-22"/>
          <w:w w:val="105"/>
        </w:rPr>
        <w:t> </w:t>
      </w:r>
      <w:r>
        <w:rPr>
          <w:color w:val="231F20"/>
          <w:w w:val="105"/>
        </w:rPr>
        <w:t>al</w:t>
      </w:r>
      <w:r>
        <w:rPr>
          <w:color w:val="231F20"/>
          <w:spacing w:val="-22"/>
          <w:w w:val="105"/>
        </w:rPr>
        <w:t> </w:t>
      </w:r>
      <w:r>
        <w:rPr>
          <w:color w:val="231F20"/>
          <w:w w:val="105"/>
        </w:rPr>
        <w:t>Distrito</w:t>
      </w:r>
      <w:r>
        <w:rPr>
          <w:color w:val="231F20"/>
          <w:spacing w:val="-22"/>
          <w:w w:val="105"/>
        </w:rPr>
        <w:t> </w:t>
      </w:r>
      <w:r>
        <w:rPr>
          <w:color w:val="231F20"/>
          <w:w w:val="105"/>
        </w:rPr>
        <w:t>Federal</w:t>
      </w:r>
      <w:r>
        <w:rPr>
          <w:color w:val="231F20"/>
          <w:spacing w:val="-22"/>
          <w:w w:val="105"/>
        </w:rPr>
        <w:t> </w:t>
      </w:r>
      <w:r>
        <w:rPr>
          <w:color w:val="231F20"/>
          <w:w w:val="105"/>
        </w:rPr>
        <w:t>se</w:t>
      </w:r>
      <w:r>
        <w:rPr>
          <w:color w:val="231F20"/>
          <w:spacing w:val="-22"/>
          <w:w w:val="105"/>
        </w:rPr>
        <w:t> </w:t>
      </w:r>
      <w:r>
        <w:rPr>
          <w:color w:val="231F20"/>
          <w:w w:val="105"/>
        </w:rPr>
        <w:t>movió</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Delegación</w:t>
      </w:r>
      <w:r>
        <w:rPr>
          <w:color w:val="231F20"/>
          <w:spacing w:val="-22"/>
          <w:w w:val="105"/>
        </w:rPr>
        <w:t> </w:t>
      </w:r>
      <w:r>
        <w:rPr>
          <w:color w:val="231F20"/>
          <w:w w:val="105"/>
        </w:rPr>
        <w:t>Iztapala- pa</w:t>
      </w:r>
      <w:r>
        <w:rPr>
          <w:color w:val="231F20"/>
          <w:spacing w:val="-20"/>
          <w:w w:val="105"/>
        </w:rPr>
        <w:t> </w:t>
      </w:r>
      <w:r>
        <w:rPr>
          <w:color w:val="231F20"/>
          <w:w w:val="105"/>
        </w:rPr>
        <w:t>a</w:t>
      </w:r>
      <w:r>
        <w:rPr>
          <w:color w:val="231F20"/>
          <w:spacing w:val="-20"/>
          <w:w w:val="105"/>
        </w:rPr>
        <w:t> </w:t>
      </w:r>
      <w:r>
        <w:rPr>
          <w:color w:val="231F20"/>
          <w:w w:val="105"/>
        </w:rPr>
        <w:t>Nezahualcóyotl.</w:t>
      </w:r>
      <w:r>
        <w:rPr>
          <w:color w:val="231F20"/>
          <w:spacing w:val="-24"/>
          <w:w w:val="105"/>
        </w:rPr>
        <w:t> </w:t>
      </w:r>
      <w:r>
        <w:rPr>
          <w:color w:val="231F20"/>
          <w:w w:val="105"/>
        </w:rPr>
        <w:t>Finalmente</w:t>
      </w:r>
      <w:r>
        <w:rPr>
          <w:color w:val="231F20"/>
          <w:spacing w:val="-20"/>
          <w:w w:val="105"/>
        </w:rPr>
        <w:t> </w:t>
      </w:r>
      <w:r>
        <w:rPr>
          <w:color w:val="231F20"/>
          <w:w w:val="105"/>
        </w:rPr>
        <w:t>tiene</w:t>
      </w:r>
      <w:r>
        <w:rPr>
          <w:color w:val="231F20"/>
          <w:spacing w:val="-20"/>
          <w:w w:val="105"/>
        </w:rPr>
        <w:t> </w:t>
      </w:r>
      <w:r>
        <w:rPr>
          <w:color w:val="231F20"/>
          <w:w w:val="105"/>
        </w:rPr>
        <w:t>un</w:t>
      </w:r>
      <w:r>
        <w:rPr>
          <w:color w:val="231F20"/>
          <w:spacing w:val="-20"/>
          <w:w w:val="105"/>
        </w:rPr>
        <w:t> </w:t>
      </w:r>
      <w:r>
        <w:rPr>
          <w:color w:val="231F20"/>
          <w:w w:val="105"/>
        </w:rPr>
        <w:t>viaje</w:t>
      </w:r>
      <w:r>
        <w:rPr>
          <w:color w:val="231F20"/>
          <w:spacing w:val="-20"/>
          <w:w w:val="105"/>
        </w:rPr>
        <w:t> </w:t>
      </w:r>
      <w:r>
        <w:rPr>
          <w:color w:val="231F20"/>
          <w:w w:val="105"/>
        </w:rPr>
        <w:t>internacional,</w:t>
      </w:r>
      <w:r>
        <w:rPr>
          <w:color w:val="231F20"/>
          <w:spacing w:val="-24"/>
          <w:w w:val="105"/>
        </w:rPr>
        <w:t> </w:t>
      </w:r>
      <w:r>
        <w:rPr>
          <w:color w:val="231F20"/>
          <w:w w:val="105"/>
        </w:rPr>
        <w:t>cuando</w:t>
      </w:r>
      <w:r>
        <w:rPr>
          <w:color w:val="231F20"/>
          <w:spacing w:val="-20"/>
          <w:w w:val="105"/>
        </w:rPr>
        <w:t> </w:t>
      </w:r>
      <w:r>
        <w:rPr>
          <w:color w:val="231F20"/>
          <w:w w:val="105"/>
        </w:rPr>
        <w:t>de- cidió</w:t>
      </w:r>
      <w:r>
        <w:rPr>
          <w:color w:val="231F20"/>
          <w:spacing w:val="-18"/>
          <w:w w:val="105"/>
        </w:rPr>
        <w:t> </w:t>
      </w:r>
      <w:r>
        <w:rPr>
          <w:color w:val="231F20"/>
          <w:w w:val="105"/>
        </w:rPr>
        <w:t>emigrar</w:t>
      </w:r>
      <w:r>
        <w:rPr>
          <w:color w:val="231F20"/>
          <w:spacing w:val="-18"/>
          <w:w w:val="105"/>
        </w:rPr>
        <w:t> </w:t>
      </w:r>
      <w:r>
        <w:rPr>
          <w:color w:val="231F20"/>
          <w:w w:val="105"/>
        </w:rPr>
        <w:t>a</w:t>
      </w:r>
      <w:r>
        <w:rPr>
          <w:color w:val="231F20"/>
          <w:spacing w:val="-18"/>
          <w:w w:val="105"/>
        </w:rPr>
        <w:t> </w:t>
      </w:r>
      <w:r>
        <w:rPr>
          <w:color w:val="231F20"/>
          <w:w w:val="105"/>
        </w:rPr>
        <w:t>Estados</w:t>
      </w:r>
      <w:r>
        <w:rPr>
          <w:color w:val="231F20"/>
          <w:spacing w:val="-18"/>
          <w:w w:val="105"/>
        </w:rPr>
        <w:t> </w:t>
      </w:r>
      <w:r>
        <w:rPr>
          <w:color w:val="231F20"/>
          <w:w w:val="105"/>
        </w:rPr>
        <w:t>Unidos</w:t>
      </w:r>
      <w:r>
        <w:rPr>
          <w:color w:val="231F20"/>
          <w:spacing w:val="-18"/>
          <w:w w:val="105"/>
        </w:rPr>
        <w:t> </w:t>
      </w:r>
      <w:r>
        <w:rPr>
          <w:color w:val="231F20"/>
          <w:w w:val="105"/>
        </w:rPr>
        <w:t>y</w:t>
      </w:r>
      <w:r>
        <w:rPr>
          <w:color w:val="231F20"/>
          <w:spacing w:val="-18"/>
          <w:w w:val="105"/>
        </w:rPr>
        <w:t> </w:t>
      </w:r>
      <w:r>
        <w:rPr>
          <w:color w:val="231F20"/>
          <w:w w:val="105"/>
        </w:rPr>
        <w:t>como</w:t>
      </w:r>
      <w:r>
        <w:rPr>
          <w:color w:val="231F20"/>
          <w:spacing w:val="-18"/>
          <w:w w:val="105"/>
        </w:rPr>
        <w:t> </w:t>
      </w:r>
      <w:r>
        <w:rPr>
          <w:color w:val="231F20"/>
          <w:w w:val="105"/>
        </w:rPr>
        <w:t>se</w:t>
      </w:r>
      <w:r>
        <w:rPr>
          <w:color w:val="231F20"/>
          <w:spacing w:val="-18"/>
          <w:w w:val="105"/>
        </w:rPr>
        <w:t> </w:t>
      </w:r>
      <w:r>
        <w:rPr>
          <w:color w:val="231F20"/>
          <w:w w:val="105"/>
        </w:rPr>
        <w:t>observará,</w:t>
      </w:r>
      <w:r>
        <w:rPr>
          <w:color w:val="231F20"/>
          <w:spacing w:val="-23"/>
          <w:w w:val="105"/>
        </w:rPr>
        <w:t> </w:t>
      </w:r>
      <w:r>
        <w:rPr>
          <w:color w:val="231F20"/>
          <w:w w:val="105"/>
        </w:rPr>
        <w:t>en</w:t>
      </w:r>
      <w:r>
        <w:rPr>
          <w:color w:val="231F20"/>
          <w:spacing w:val="-18"/>
          <w:w w:val="105"/>
        </w:rPr>
        <w:t> </w:t>
      </w:r>
      <w:r>
        <w:rPr>
          <w:color w:val="231F20"/>
          <w:w w:val="105"/>
        </w:rPr>
        <w:t>Estados</w:t>
      </w:r>
      <w:r>
        <w:rPr>
          <w:color w:val="231F20"/>
          <w:spacing w:val="-18"/>
          <w:w w:val="105"/>
        </w:rPr>
        <w:t> </w:t>
      </w:r>
      <w:r>
        <w:rPr>
          <w:color w:val="231F20"/>
          <w:w w:val="105"/>
        </w:rPr>
        <w:t>Unidos registra</w:t>
      </w:r>
      <w:r>
        <w:rPr>
          <w:color w:val="231F20"/>
          <w:spacing w:val="-26"/>
          <w:w w:val="105"/>
        </w:rPr>
        <w:t> </w:t>
      </w:r>
      <w:r>
        <w:rPr>
          <w:color w:val="231F20"/>
          <w:w w:val="105"/>
        </w:rPr>
        <w:t>diversas</w:t>
      </w:r>
      <w:r>
        <w:rPr>
          <w:color w:val="231F20"/>
          <w:spacing w:val="-26"/>
          <w:w w:val="105"/>
        </w:rPr>
        <w:t> </w:t>
      </w:r>
      <w:r>
        <w:rPr>
          <w:color w:val="231F20"/>
          <w:w w:val="105"/>
        </w:rPr>
        <w:t>movilidades</w:t>
      </w:r>
      <w:r>
        <w:rPr>
          <w:color w:val="231F20"/>
          <w:spacing w:val="-26"/>
          <w:w w:val="105"/>
        </w:rPr>
        <w:t> </w:t>
      </w:r>
      <w:r>
        <w:rPr>
          <w:color w:val="231F20"/>
          <w:w w:val="105"/>
        </w:rPr>
        <w:t>entre</w:t>
      </w:r>
      <w:r>
        <w:rPr>
          <w:color w:val="231F20"/>
          <w:spacing w:val="-26"/>
          <w:w w:val="105"/>
        </w:rPr>
        <w:t> </w:t>
      </w:r>
      <w:r>
        <w:rPr>
          <w:color w:val="231F20"/>
          <w:w w:val="105"/>
        </w:rPr>
        <w:t>ciudades.</w:t>
      </w:r>
    </w:p>
    <w:p>
      <w:pPr>
        <w:pStyle w:val="BodyText"/>
        <w:spacing w:line="261" w:lineRule="auto" w:before="1"/>
        <w:ind w:left="1837" w:right="1716" w:firstLine="567"/>
        <w:jc w:val="both"/>
      </w:pPr>
      <w:r>
        <w:rPr>
          <w:color w:val="231F20"/>
          <w:w w:val="105"/>
        </w:rPr>
        <w:t>El</w:t>
      </w:r>
      <w:r>
        <w:rPr>
          <w:color w:val="231F20"/>
          <w:spacing w:val="-12"/>
          <w:w w:val="105"/>
        </w:rPr>
        <w:t> </w:t>
      </w:r>
      <w:r>
        <w:rPr>
          <w:color w:val="231F20"/>
          <w:w w:val="105"/>
        </w:rPr>
        <w:t>primer</w:t>
      </w:r>
      <w:r>
        <w:rPr>
          <w:color w:val="231F20"/>
          <w:spacing w:val="-12"/>
          <w:w w:val="105"/>
        </w:rPr>
        <w:t> </w:t>
      </w:r>
      <w:r>
        <w:rPr>
          <w:color w:val="231F20"/>
          <w:w w:val="105"/>
        </w:rPr>
        <w:t>lugar</w:t>
      </w:r>
      <w:r>
        <w:rPr>
          <w:color w:val="231F20"/>
          <w:spacing w:val="-12"/>
          <w:w w:val="105"/>
        </w:rPr>
        <w:t> </w:t>
      </w:r>
      <w:r>
        <w:rPr>
          <w:color w:val="231F20"/>
          <w:w w:val="105"/>
        </w:rPr>
        <w:t>a</w:t>
      </w:r>
      <w:r>
        <w:rPr>
          <w:color w:val="231F20"/>
          <w:spacing w:val="-12"/>
          <w:w w:val="105"/>
        </w:rPr>
        <w:t> </w:t>
      </w:r>
      <w:r>
        <w:rPr>
          <w:color w:val="231F20"/>
          <w:w w:val="105"/>
        </w:rPr>
        <w:t>donde</w:t>
      </w:r>
      <w:r>
        <w:rPr>
          <w:color w:val="231F20"/>
          <w:spacing w:val="-12"/>
          <w:w w:val="105"/>
        </w:rPr>
        <w:t> </w:t>
      </w:r>
      <w:r>
        <w:rPr>
          <w:color w:val="231F20"/>
          <w:w w:val="105"/>
        </w:rPr>
        <w:t>arribó</w:t>
      </w:r>
      <w:r>
        <w:rPr>
          <w:color w:val="231F20"/>
          <w:spacing w:val="-12"/>
          <w:w w:val="105"/>
        </w:rPr>
        <w:t> </w:t>
      </w:r>
      <w:r>
        <w:rPr>
          <w:color w:val="231F20"/>
          <w:w w:val="105"/>
        </w:rPr>
        <w:t>fueron</w:t>
      </w:r>
      <w:r>
        <w:rPr>
          <w:color w:val="231F20"/>
          <w:spacing w:val="-12"/>
          <w:w w:val="105"/>
        </w:rPr>
        <w:t> </w:t>
      </w:r>
      <w:r>
        <w:rPr>
          <w:color w:val="231F20"/>
          <w:w w:val="105"/>
        </w:rPr>
        <w:t>Las</w:t>
      </w:r>
      <w:r>
        <w:rPr>
          <w:color w:val="231F20"/>
          <w:spacing w:val="-16"/>
          <w:w w:val="105"/>
        </w:rPr>
        <w:t> </w:t>
      </w:r>
      <w:r>
        <w:rPr>
          <w:color w:val="231F20"/>
          <w:w w:val="105"/>
        </w:rPr>
        <w:t>Vegas,</w:t>
      </w:r>
      <w:r>
        <w:rPr>
          <w:color w:val="231F20"/>
          <w:spacing w:val="-19"/>
          <w:w w:val="105"/>
        </w:rPr>
        <w:t> </w:t>
      </w:r>
      <w:r>
        <w:rPr>
          <w:color w:val="231F20"/>
          <w:w w:val="105"/>
        </w:rPr>
        <w:t>allí</w:t>
      </w:r>
      <w:r>
        <w:rPr>
          <w:color w:val="231F20"/>
          <w:spacing w:val="-12"/>
          <w:w w:val="105"/>
        </w:rPr>
        <w:t> </w:t>
      </w:r>
      <w:r>
        <w:rPr>
          <w:color w:val="231F20"/>
          <w:w w:val="105"/>
        </w:rPr>
        <w:t>trabajó</w:t>
      </w:r>
      <w:r>
        <w:rPr>
          <w:color w:val="231F20"/>
          <w:spacing w:val="-12"/>
          <w:w w:val="105"/>
        </w:rPr>
        <w:t> </w:t>
      </w:r>
      <w:r>
        <w:rPr>
          <w:color w:val="231F20"/>
          <w:w w:val="105"/>
        </w:rPr>
        <w:t>por</w:t>
      </w:r>
      <w:r>
        <w:rPr>
          <w:color w:val="231F20"/>
          <w:spacing w:val="-12"/>
          <w:w w:val="105"/>
        </w:rPr>
        <w:t> </w:t>
      </w:r>
      <w:r>
        <w:rPr>
          <w:color w:val="231F20"/>
          <w:w w:val="105"/>
        </w:rPr>
        <w:t>un año</w:t>
      </w:r>
      <w:r>
        <w:rPr>
          <w:color w:val="231F20"/>
          <w:spacing w:val="-5"/>
          <w:w w:val="105"/>
        </w:rPr>
        <w:t> </w:t>
      </w:r>
      <w:r>
        <w:rPr>
          <w:color w:val="231F20"/>
          <w:w w:val="105"/>
        </w:rPr>
        <w:t>junto</w:t>
      </w:r>
      <w:r>
        <w:rPr>
          <w:color w:val="231F20"/>
          <w:spacing w:val="-5"/>
          <w:w w:val="105"/>
        </w:rPr>
        <w:t> </w:t>
      </w:r>
      <w:r>
        <w:rPr>
          <w:color w:val="231F20"/>
          <w:w w:val="105"/>
        </w:rPr>
        <w:t>a</w:t>
      </w:r>
      <w:r>
        <w:rPr>
          <w:color w:val="231F20"/>
          <w:spacing w:val="-5"/>
          <w:w w:val="105"/>
        </w:rPr>
        <w:t> </w:t>
      </w:r>
      <w:r>
        <w:rPr>
          <w:color w:val="231F20"/>
          <w:w w:val="105"/>
        </w:rPr>
        <w:t>su</w:t>
      </w:r>
      <w:r>
        <w:rPr>
          <w:color w:val="231F20"/>
          <w:spacing w:val="-5"/>
          <w:w w:val="105"/>
        </w:rPr>
        <w:t> </w:t>
      </w:r>
      <w:r>
        <w:rPr>
          <w:color w:val="231F20"/>
          <w:w w:val="105"/>
        </w:rPr>
        <w:t>hermano.</w:t>
      </w:r>
      <w:r>
        <w:rPr>
          <w:color w:val="231F20"/>
          <w:spacing w:val="-10"/>
          <w:w w:val="105"/>
        </w:rPr>
        <w:t> </w:t>
      </w:r>
      <w:r>
        <w:rPr>
          <w:color w:val="231F20"/>
          <w:w w:val="105"/>
        </w:rPr>
        <w:t>Ella</w:t>
      </w:r>
      <w:r>
        <w:rPr>
          <w:color w:val="231F20"/>
          <w:spacing w:val="-5"/>
          <w:w w:val="105"/>
        </w:rPr>
        <w:t> </w:t>
      </w:r>
      <w:r>
        <w:rPr>
          <w:color w:val="231F20"/>
          <w:w w:val="105"/>
        </w:rPr>
        <w:t>realizaba</w:t>
      </w:r>
      <w:r>
        <w:rPr>
          <w:color w:val="231F20"/>
          <w:spacing w:val="-5"/>
          <w:w w:val="105"/>
        </w:rPr>
        <w:t> </w:t>
      </w:r>
      <w:r>
        <w:rPr>
          <w:color w:val="231F20"/>
          <w:w w:val="105"/>
        </w:rPr>
        <w:t>trabajo</w:t>
      </w:r>
      <w:r>
        <w:rPr>
          <w:color w:val="231F20"/>
          <w:spacing w:val="-5"/>
          <w:w w:val="105"/>
        </w:rPr>
        <w:t> </w:t>
      </w:r>
      <w:r>
        <w:rPr>
          <w:color w:val="231F20"/>
          <w:w w:val="105"/>
        </w:rPr>
        <w:t>de</w:t>
      </w:r>
      <w:r>
        <w:rPr>
          <w:color w:val="231F20"/>
          <w:spacing w:val="-5"/>
          <w:w w:val="105"/>
        </w:rPr>
        <w:t> </w:t>
      </w:r>
      <w:r>
        <w:rPr>
          <w:color w:val="231F20"/>
          <w:w w:val="105"/>
        </w:rPr>
        <w:t>limpieza</w:t>
      </w:r>
      <w:r>
        <w:rPr>
          <w:color w:val="231F20"/>
          <w:spacing w:val="-5"/>
          <w:w w:val="105"/>
        </w:rPr>
        <w:t> </w:t>
      </w:r>
      <w:r>
        <w:rPr>
          <w:color w:val="231F20"/>
          <w:w w:val="105"/>
        </w:rPr>
        <w:t>en</w:t>
      </w:r>
      <w:r>
        <w:rPr>
          <w:color w:val="231F20"/>
          <w:spacing w:val="-5"/>
          <w:w w:val="105"/>
        </w:rPr>
        <w:t> </w:t>
      </w:r>
      <w:r>
        <w:rPr>
          <w:color w:val="231F20"/>
          <w:w w:val="105"/>
        </w:rPr>
        <w:t>un</w:t>
      </w:r>
      <w:r>
        <w:rPr>
          <w:color w:val="231F20"/>
          <w:spacing w:val="-5"/>
          <w:w w:val="105"/>
        </w:rPr>
        <w:t> </w:t>
      </w:r>
      <w:r>
        <w:rPr>
          <w:color w:val="231F20"/>
          <w:w w:val="105"/>
        </w:rPr>
        <w:t>hotel</w:t>
      </w:r>
      <w:r>
        <w:rPr>
          <w:color w:val="231F20"/>
          <w:spacing w:val="-5"/>
          <w:w w:val="105"/>
        </w:rPr>
        <w:t> </w:t>
      </w:r>
      <w:r>
        <w:rPr>
          <w:color w:val="231F20"/>
          <w:w w:val="105"/>
        </w:rPr>
        <w:t>y eventualmente</w:t>
      </w:r>
      <w:r>
        <w:rPr>
          <w:color w:val="231F20"/>
          <w:spacing w:val="-5"/>
          <w:w w:val="105"/>
        </w:rPr>
        <w:t> </w:t>
      </w:r>
      <w:r>
        <w:rPr>
          <w:color w:val="231F20"/>
          <w:w w:val="105"/>
        </w:rPr>
        <w:t>tomaba</w:t>
      </w:r>
      <w:r>
        <w:rPr>
          <w:color w:val="231F20"/>
          <w:spacing w:val="-5"/>
          <w:w w:val="105"/>
        </w:rPr>
        <w:t> </w:t>
      </w:r>
      <w:r>
        <w:rPr>
          <w:color w:val="231F20"/>
          <w:w w:val="105"/>
        </w:rPr>
        <w:t>horas</w:t>
      </w:r>
      <w:r>
        <w:rPr>
          <w:color w:val="231F20"/>
          <w:spacing w:val="-5"/>
          <w:w w:val="105"/>
        </w:rPr>
        <w:t> </w:t>
      </w:r>
      <w:r>
        <w:rPr>
          <w:color w:val="231F20"/>
          <w:w w:val="105"/>
        </w:rPr>
        <w:t>adicionales</w:t>
      </w:r>
      <w:r>
        <w:rPr>
          <w:color w:val="231F20"/>
          <w:spacing w:val="-5"/>
          <w:w w:val="105"/>
        </w:rPr>
        <w:t> </w:t>
      </w:r>
      <w:r>
        <w:rPr>
          <w:color w:val="231F20"/>
          <w:w w:val="105"/>
        </w:rPr>
        <w:t>como</w:t>
      </w:r>
      <w:r>
        <w:rPr>
          <w:color w:val="231F20"/>
          <w:spacing w:val="-5"/>
          <w:w w:val="105"/>
        </w:rPr>
        <w:t> </w:t>
      </w:r>
      <w:r>
        <w:rPr>
          <w:color w:val="231F20"/>
          <w:w w:val="105"/>
        </w:rPr>
        <w:t>camarera</w:t>
      </w:r>
      <w:r>
        <w:rPr>
          <w:color w:val="231F20"/>
          <w:spacing w:val="-5"/>
          <w:w w:val="105"/>
        </w:rPr>
        <w:t> </w:t>
      </w:r>
      <w:r>
        <w:rPr>
          <w:color w:val="231F20"/>
          <w:w w:val="105"/>
        </w:rPr>
        <w:t>en</w:t>
      </w:r>
      <w:r>
        <w:rPr>
          <w:color w:val="231F20"/>
          <w:spacing w:val="-5"/>
          <w:w w:val="105"/>
        </w:rPr>
        <w:t> </w:t>
      </w:r>
      <w:r>
        <w:rPr>
          <w:color w:val="231F20"/>
          <w:w w:val="105"/>
        </w:rPr>
        <w:t>otro.</w:t>
      </w:r>
      <w:r>
        <w:rPr>
          <w:color w:val="231F20"/>
          <w:spacing w:val="-10"/>
          <w:w w:val="105"/>
        </w:rPr>
        <w:t> </w:t>
      </w:r>
      <w:r>
        <w:rPr>
          <w:color w:val="231F20"/>
          <w:w w:val="105"/>
        </w:rPr>
        <w:t>Esos empleos habían sido conseguidos por sus primos de Oaxaca, pues en Las Vegas tienen muchos familiares trabajando allí desde hace</w:t>
      </w:r>
      <w:r>
        <w:rPr>
          <w:color w:val="231F20"/>
          <w:spacing w:val="-35"/>
          <w:w w:val="105"/>
        </w:rPr>
        <w:t> </w:t>
      </w:r>
      <w:r>
        <w:rPr>
          <w:color w:val="231F20"/>
          <w:w w:val="105"/>
        </w:rPr>
        <w:t>tiempo,</w:t>
      </w:r>
    </w:p>
    <w:p>
      <w:pPr>
        <w:pStyle w:val="BodyText"/>
        <w:spacing w:before="10"/>
        <w:rPr>
          <w:sz w:val="24"/>
        </w:rPr>
      </w:pPr>
      <w:r>
        <w:rPr/>
        <w:pict>
          <v:line style="position:absolute;mso-position-horizontal-relative:page;mso-position-vertical-relative:paragraph;z-index:13648;mso-wrap-distance-left:0;mso-wrap-distance-right:0" from="91.866096pt,16.194727pt" to="205.252096pt,16.194727pt" stroked="true" strokeweight=".25pt" strokecolor="#231f20">
            <w10:wrap type="topAndBottom"/>
          </v:line>
        </w:pict>
      </w:r>
    </w:p>
    <w:p>
      <w:pPr>
        <w:spacing w:line="194" w:lineRule="exact" w:before="8"/>
        <w:ind w:left="1837" w:right="0" w:firstLine="0"/>
        <w:jc w:val="left"/>
        <w:rPr>
          <w:rFonts w:ascii="Calibri"/>
          <w:sz w:val="16"/>
        </w:rPr>
      </w:pPr>
      <w:r>
        <w:rPr>
          <w:rFonts w:ascii="Calibri"/>
          <w:color w:val="414042"/>
          <w:w w:val="105"/>
          <w:position w:val="5"/>
          <w:sz w:val="9"/>
        </w:rPr>
        <w:t>9 </w:t>
      </w:r>
      <w:r>
        <w:rPr>
          <w:rFonts w:ascii="Calibri"/>
          <w:color w:val="414042"/>
          <w:w w:val="105"/>
          <w:sz w:val="16"/>
        </w:rPr>
        <w:t>Entrevistada realizada en mayo de 2012.</w:t>
      </w:r>
    </w:p>
    <w:p>
      <w:pPr>
        <w:spacing w:line="235" w:lineRule="auto" w:before="1"/>
        <w:ind w:left="1837" w:right="1683" w:firstLine="0"/>
        <w:jc w:val="left"/>
        <w:rPr>
          <w:rFonts w:ascii="Calibri" w:hAnsi="Calibri"/>
          <w:sz w:val="16"/>
        </w:rPr>
      </w:pPr>
      <w:r>
        <w:rPr/>
        <w:pict>
          <v:line style="position:absolute;mso-position-horizontal-relative:page;mso-position-vertical-relative:paragraph;z-index:-476440" from="15pt,87.980843pt" to="0pt,87.980843pt" stroked="true" strokeweight=".25pt" strokecolor="#000000">
            <w10:wrap type="none"/>
          </v:line>
        </w:pict>
      </w:r>
      <w:r>
        <w:rPr/>
        <w:pict>
          <v:line style="position:absolute;mso-position-horizontal-relative:page;mso-position-vertical-relative:paragraph;z-index:13768" from="508.890015pt,87.980843pt" to="523.890015pt,87.980843pt" stroked="true" strokeweight=".25pt" strokecolor="#000000">
            <w10:wrap type="none"/>
          </v:line>
        </w:pict>
      </w:r>
      <w:r>
        <w:rPr>
          <w:rFonts w:ascii="Calibri" w:hAnsi="Calibri"/>
          <w:color w:val="414042"/>
          <w:position w:val="5"/>
          <w:sz w:val="9"/>
        </w:rPr>
        <w:t>10 </w:t>
      </w:r>
      <w:r>
        <w:rPr>
          <w:rFonts w:ascii="Calibri" w:hAnsi="Calibri"/>
          <w:color w:val="414042"/>
          <w:sz w:val="16"/>
        </w:rPr>
        <w:t>Un pequeño pueblo en medio del desierto, ubicado en la frontera entre Sonora, México y Arizona, Estados  Unidos.</w:t>
      </w:r>
    </w:p>
    <w:p>
      <w:pPr>
        <w:spacing w:after="0" w:line="235" w:lineRule="auto"/>
        <w:jc w:val="left"/>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8"/>
        </w:rPr>
      </w:pPr>
    </w:p>
    <w:p>
      <w:pPr>
        <w:pStyle w:val="BodyText"/>
        <w:spacing w:line="261" w:lineRule="auto" w:before="60"/>
        <w:ind w:left="1723" w:right="1828"/>
        <w:jc w:val="both"/>
      </w:pPr>
      <w:r>
        <w:rPr/>
        <w:pict>
          <v:line style="position:absolute;mso-position-horizontal-relative:page;mso-position-vertical-relative:paragraph;z-index:13816" from="15pt,-66.560524pt" to="0pt,-66.560524pt" stroked="true" strokeweight=".25pt" strokecolor="#000000">
            <w10:wrap type="none"/>
          </v:line>
        </w:pict>
      </w:r>
      <w:r>
        <w:rPr/>
        <w:pict>
          <v:line style="position:absolute;mso-position-horizontal-relative:page;mso-position-vertical-relative:paragraph;z-index:13840" from="508.890015pt,-66.560524pt" to="523.890015pt,-66.560524pt" stroked="true" strokeweight=".25pt" strokecolor="#000000">
            <w10:wrap type="none"/>
          </v:line>
        </w:pict>
      </w:r>
      <w:r>
        <w:rPr>
          <w:color w:val="231F20"/>
          <w:w w:val="105"/>
        </w:rPr>
        <w:t>dice que son aproximadamente 10 primos y seguramente varios sobri- nos,</w:t>
      </w:r>
      <w:r>
        <w:rPr>
          <w:color w:val="231F20"/>
          <w:spacing w:val="-19"/>
          <w:w w:val="105"/>
        </w:rPr>
        <w:t> </w:t>
      </w:r>
      <w:r>
        <w:rPr>
          <w:color w:val="231F20"/>
          <w:w w:val="105"/>
        </w:rPr>
        <w:t>hijos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primos.</w:t>
      </w:r>
      <w:r>
        <w:rPr>
          <w:color w:val="231F20"/>
          <w:spacing w:val="-19"/>
          <w:w w:val="105"/>
        </w:rPr>
        <w:t> </w:t>
      </w:r>
      <w:r>
        <w:rPr>
          <w:color w:val="231F20"/>
          <w:w w:val="105"/>
        </w:rPr>
        <w:t>De</w:t>
      </w:r>
      <w:r>
        <w:rPr>
          <w:color w:val="231F20"/>
          <w:spacing w:val="-13"/>
          <w:w w:val="105"/>
        </w:rPr>
        <w:t> </w:t>
      </w:r>
      <w:r>
        <w:rPr>
          <w:color w:val="231F20"/>
          <w:w w:val="105"/>
        </w:rPr>
        <w:t>allí</w:t>
      </w:r>
      <w:r>
        <w:rPr>
          <w:color w:val="231F20"/>
          <w:spacing w:val="-13"/>
          <w:w w:val="105"/>
        </w:rPr>
        <w:t> </w:t>
      </w:r>
      <w:r>
        <w:rPr>
          <w:color w:val="231F20"/>
          <w:w w:val="105"/>
        </w:rPr>
        <w:t>decidieron</w:t>
      </w:r>
      <w:r>
        <w:rPr>
          <w:color w:val="231F20"/>
          <w:spacing w:val="-13"/>
          <w:w w:val="105"/>
        </w:rPr>
        <w:t> </w:t>
      </w:r>
      <w:r>
        <w:rPr>
          <w:color w:val="231F20"/>
          <w:w w:val="105"/>
        </w:rPr>
        <w:t>emigrar</w:t>
      </w:r>
      <w:r>
        <w:rPr>
          <w:color w:val="231F20"/>
          <w:spacing w:val="-13"/>
          <w:w w:val="105"/>
        </w:rPr>
        <w:t> </w:t>
      </w:r>
      <w:r>
        <w:rPr>
          <w:color w:val="231F20"/>
          <w:w w:val="105"/>
        </w:rPr>
        <w:t>porque</w:t>
      </w:r>
      <w:r>
        <w:rPr>
          <w:color w:val="231F20"/>
          <w:spacing w:val="-13"/>
          <w:w w:val="105"/>
        </w:rPr>
        <w:t> </w:t>
      </w:r>
      <w:r>
        <w:rPr>
          <w:color w:val="231F20"/>
          <w:w w:val="105"/>
        </w:rPr>
        <w:t>el</w:t>
      </w:r>
      <w:r>
        <w:rPr>
          <w:color w:val="231F20"/>
          <w:spacing w:val="-13"/>
          <w:w w:val="105"/>
        </w:rPr>
        <w:t> </w:t>
      </w:r>
      <w:r>
        <w:rPr>
          <w:color w:val="231F20"/>
          <w:w w:val="105"/>
        </w:rPr>
        <w:t>trabajo</w:t>
      </w:r>
      <w:r>
        <w:rPr>
          <w:color w:val="231F20"/>
          <w:spacing w:val="-13"/>
          <w:w w:val="105"/>
        </w:rPr>
        <w:t> </w:t>
      </w:r>
      <w:r>
        <w:rPr>
          <w:color w:val="231F20"/>
          <w:w w:val="105"/>
        </w:rPr>
        <w:t>em- pezó</w:t>
      </w:r>
      <w:r>
        <w:rPr>
          <w:color w:val="231F20"/>
          <w:spacing w:val="-21"/>
          <w:w w:val="105"/>
        </w:rPr>
        <w:t> </w:t>
      </w:r>
      <w:r>
        <w:rPr>
          <w:color w:val="231F20"/>
          <w:w w:val="105"/>
        </w:rPr>
        <w:t>a</w:t>
      </w:r>
      <w:r>
        <w:rPr>
          <w:color w:val="231F20"/>
          <w:spacing w:val="-21"/>
          <w:w w:val="105"/>
        </w:rPr>
        <w:t> </w:t>
      </w:r>
      <w:r>
        <w:rPr>
          <w:color w:val="231F20"/>
          <w:w w:val="105"/>
        </w:rPr>
        <w:t>volverse</w:t>
      </w:r>
      <w:r>
        <w:rPr>
          <w:color w:val="231F20"/>
          <w:spacing w:val="-21"/>
          <w:w w:val="105"/>
        </w:rPr>
        <w:t> </w:t>
      </w:r>
      <w:r>
        <w:rPr>
          <w:color w:val="231F20"/>
          <w:w w:val="105"/>
        </w:rPr>
        <w:t>escaso</w:t>
      </w:r>
      <w:r>
        <w:rPr>
          <w:color w:val="231F20"/>
          <w:spacing w:val="-21"/>
          <w:w w:val="105"/>
        </w:rPr>
        <w:t> </w:t>
      </w:r>
      <w:r>
        <w:rPr>
          <w:color w:val="231F20"/>
          <w:w w:val="105"/>
        </w:rPr>
        <w:t>a</w:t>
      </w:r>
      <w:r>
        <w:rPr>
          <w:color w:val="231F20"/>
          <w:spacing w:val="-21"/>
          <w:w w:val="105"/>
        </w:rPr>
        <w:t> </w:t>
      </w:r>
      <w:r>
        <w:rPr>
          <w:color w:val="231F20"/>
          <w:w w:val="105"/>
        </w:rPr>
        <w:t>partir</w:t>
      </w:r>
      <w:r>
        <w:rPr>
          <w:color w:val="231F20"/>
          <w:spacing w:val="-21"/>
          <w:w w:val="105"/>
        </w:rPr>
        <w:t> </w:t>
      </w:r>
      <w:r>
        <w:rPr>
          <w:color w:val="231F20"/>
          <w:w w:val="105"/>
        </w:rPr>
        <w:t>del</w:t>
      </w:r>
      <w:r>
        <w:rPr>
          <w:color w:val="231F20"/>
          <w:spacing w:val="-21"/>
          <w:w w:val="105"/>
        </w:rPr>
        <w:t> </w:t>
      </w:r>
      <w:r>
        <w:rPr>
          <w:color w:val="231F20"/>
          <w:w w:val="105"/>
        </w:rPr>
        <w:t>año</w:t>
      </w:r>
      <w:r>
        <w:rPr>
          <w:color w:val="231F20"/>
          <w:spacing w:val="-21"/>
          <w:w w:val="105"/>
        </w:rPr>
        <w:t> </w:t>
      </w:r>
      <w:r>
        <w:rPr>
          <w:color w:val="231F20"/>
          <w:w w:val="105"/>
        </w:rPr>
        <w:t>2006.</w:t>
      </w:r>
      <w:r>
        <w:rPr>
          <w:color w:val="231F20"/>
          <w:spacing w:val="-29"/>
          <w:w w:val="105"/>
        </w:rPr>
        <w:t> </w:t>
      </w:r>
      <w:r>
        <w:rPr>
          <w:color w:val="231F20"/>
          <w:w w:val="105"/>
        </w:rPr>
        <w:t>A</w:t>
      </w:r>
      <w:r>
        <w:rPr>
          <w:color w:val="231F20"/>
          <w:spacing w:val="-25"/>
          <w:w w:val="105"/>
        </w:rPr>
        <w:t> </w:t>
      </w:r>
      <w:r>
        <w:rPr>
          <w:color w:val="231F20"/>
          <w:w w:val="105"/>
        </w:rPr>
        <w:t>finales</w:t>
      </w:r>
      <w:r>
        <w:rPr>
          <w:color w:val="231F20"/>
          <w:spacing w:val="-21"/>
          <w:w w:val="105"/>
        </w:rPr>
        <w:t> </w:t>
      </w:r>
      <w:r>
        <w:rPr>
          <w:color w:val="231F20"/>
          <w:w w:val="105"/>
        </w:rPr>
        <w:t>de</w:t>
      </w:r>
      <w:r>
        <w:rPr>
          <w:color w:val="231F20"/>
          <w:spacing w:val="-21"/>
          <w:w w:val="105"/>
        </w:rPr>
        <w:t> </w:t>
      </w:r>
      <w:r>
        <w:rPr>
          <w:color w:val="231F20"/>
          <w:w w:val="105"/>
        </w:rPr>
        <w:t>2006</w:t>
      </w:r>
      <w:r>
        <w:rPr>
          <w:color w:val="231F20"/>
          <w:spacing w:val="-21"/>
          <w:w w:val="105"/>
        </w:rPr>
        <w:t> </w:t>
      </w:r>
      <w:r>
        <w:rPr>
          <w:color w:val="231F20"/>
          <w:w w:val="105"/>
        </w:rPr>
        <w:t>empezó</w:t>
      </w:r>
      <w:r>
        <w:rPr>
          <w:color w:val="231F20"/>
          <w:spacing w:val="-21"/>
          <w:w w:val="105"/>
        </w:rPr>
        <w:t> </w:t>
      </w:r>
      <w:r>
        <w:rPr>
          <w:color w:val="231F20"/>
          <w:w w:val="105"/>
        </w:rPr>
        <w:t>a tomar</w:t>
      </w:r>
      <w:r>
        <w:rPr>
          <w:color w:val="231F20"/>
          <w:spacing w:val="-14"/>
          <w:w w:val="105"/>
        </w:rPr>
        <w:t> </w:t>
      </w:r>
      <w:r>
        <w:rPr>
          <w:color w:val="231F20"/>
          <w:w w:val="105"/>
        </w:rPr>
        <w:t>empleos</w:t>
      </w:r>
      <w:r>
        <w:rPr>
          <w:color w:val="231F20"/>
          <w:spacing w:val="-14"/>
          <w:w w:val="105"/>
        </w:rPr>
        <w:t> </w:t>
      </w:r>
      <w:r>
        <w:rPr>
          <w:color w:val="231F20"/>
          <w:w w:val="105"/>
        </w:rPr>
        <w:t>por</w:t>
      </w:r>
      <w:r>
        <w:rPr>
          <w:color w:val="231F20"/>
          <w:spacing w:val="-14"/>
          <w:w w:val="105"/>
        </w:rPr>
        <w:t> </w:t>
      </w:r>
      <w:r>
        <w:rPr>
          <w:color w:val="231F20"/>
          <w:w w:val="105"/>
        </w:rPr>
        <w:t>tres</w:t>
      </w:r>
      <w:r>
        <w:rPr>
          <w:color w:val="231F20"/>
          <w:spacing w:val="-14"/>
          <w:w w:val="105"/>
        </w:rPr>
        <w:t> </w:t>
      </w:r>
      <w:r>
        <w:rPr>
          <w:color w:val="231F20"/>
          <w:w w:val="105"/>
        </w:rPr>
        <w:t>días</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semana.</w:t>
      </w:r>
      <w:r>
        <w:rPr>
          <w:color w:val="231F20"/>
          <w:spacing w:val="-18"/>
          <w:w w:val="105"/>
        </w:rPr>
        <w:t> </w:t>
      </w:r>
      <w:r>
        <w:rPr>
          <w:color w:val="231F20"/>
          <w:w w:val="105"/>
        </w:rPr>
        <w:t>Decidieron</w:t>
      </w:r>
      <w:r>
        <w:rPr>
          <w:color w:val="231F20"/>
          <w:spacing w:val="-14"/>
          <w:w w:val="105"/>
        </w:rPr>
        <w:t> </w:t>
      </w:r>
      <w:r>
        <w:rPr>
          <w:color w:val="231F20"/>
          <w:w w:val="105"/>
        </w:rPr>
        <w:t>irse</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7"/>
          <w:w w:val="105"/>
        </w:rPr>
        <w:t> </w:t>
      </w:r>
      <w:r>
        <w:rPr>
          <w:color w:val="231F20"/>
          <w:w w:val="105"/>
        </w:rPr>
        <w:t>Ángeles, California,</w:t>
      </w:r>
      <w:r>
        <w:rPr>
          <w:color w:val="231F20"/>
          <w:spacing w:val="-16"/>
          <w:w w:val="105"/>
        </w:rPr>
        <w:t> </w:t>
      </w:r>
      <w:r>
        <w:rPr>
          <w:color w:val="231F20"/>
          <w:w w:val="105"/>
        </w:rPr>
        <w:t>por</w:t>
      </w:r>
      <w:r>
        <w:rPr>
          <w:color w:val="231F20"/>
          <w:spacing w:val="-11"/>
          <w:w w:val="105"/>
        </w:rPr>
        <w:t> </w:t>
      </w:r>
      <w:r>
        <w:rPr>
          <w:color w:val="231F20"/>
          <w:w w:val="105"/>
        </w:rPr>
        <w:t>seis</w:t>
      </w:r>
      <w:r>
        <w:rPr>
          <w:color w:val="231F20"/>
          <w:spacing w:val="-11"/>
          <w:w w:val="105"/>
        </w:rPr>
        <w:t> </w:t>
      </w:r>
      <w:r>
        <w:rPr>
          <w:color w:val="231F20"/>
          <w:w w:val="105"/>
        </w:rPr>
        <w:t>meses,</w:t>
      </w:r>
      <w:r>
        <w:rPr>
          <w:color w:val="231F20"/>
          <w:spacing w:val="-16"/>
          <w:w w:val="105"/>
        </w:rPr>
        <w:t> </w:t>
      </w:r>
      <w:r>
        <w:rPr>
          <w:color w:val="231F20"/>
          <w:w w:val="105"/>
        </w:rPr>
        <w:t>donde</w:t>
      </w:r>
      <w:r>
        <w:rPr>
          <w:color w:val="231F20"/>
          <w:spacing w:val="-11"/>
          <w:w w:val="105"/>
        </w:rPr>
        <w:t> </w:t>
      </w:r>
      <w:r>
        <w:rPr>
          <w:color w:val="231F20"/>
          <w:w w:val="105"/>
        </w:rPr>
        <w:t>nuevamente</w:t>
      </w:r>
      <w:r>
        <w:rPr>
          <w:color w:val="231F20"/>
          <w:spacing w:val="-11"/>
          <w:w w:val="105"/>
        </w:rPr>
        <w:t> </w:t>
      </w:r>
      <w:r>
        <w:rPr>
          <w:color w:val="231F20"/>
          <w:w w:val="105"/>
        </w:rPr>
        <w:t>se</w:t>
      </w:r>
      <w:r>
        <w:rPr>
          <w:color w:val="231F20"/>
          <w:spacing w:val="-11"/>
          <w:w w:val="105"/>
        </w:rPr>
        <w:t> </w:t>
      </w:r>
      <w:r>
        <w:rPr>
          <w:color w:val="231F20"/>
          <w:w w:val="105"/>
        </w:rPr>
        <w:t>emplearon</w:t>
      </w:r>
      <w:r>
        <w:rPr>
          <w:color w:val="231F20"/>
          <w:spacing w:val="-11"/>
          <w:w w:val="105"/>
        </w:rPr>
        <w:t> </w:t>
      </w:r>
      <w:r>
        <w:rPr>
          <w:color w:val="231F20"/>
          <w:w w:val="105"/>
        </w:rPr>
        <w:t>realizando trabajo</w:t>
      </w:r>
      <w:r>
        <w:rPr>
          <w:color w:val="231F20"/>
          <w:spacing w:val="-14"/>
          <w:w w:val="105"/>
        </w:rPr>
        <w:t> </w:t>
      </w:r>
      <w:r>
        <w:rPr>
          <w:color w:val="231F20"/>
          <w:w w:val="105"/>
        </w:rPr>
        <w:t>de</w:t>
      </w:r>
      <w:r>
        <w:rPr>
          <w:color w:val="231F20"/>
          <w:spacing w:val="-14"/>
          <w:w w:val="105"/>
        </w:rPr>
        <w:t> </w:t>
      </w:r>
      <w:r>
        <w:rPr>
          <w:color w:val="231F20"/>
          <w:w w:val="105"/>
        </w:rPr>
        <w:t>limpieza</w:t>
      </w:r>
      <w:r>
        <w:rPr>
          <w:color w:val="231F20"/>
          <w:spacing w:val="-14"/>
          <w:w w:val="105"/>
        </w:rPr>
        <w:t> </w:t>
      </w:r>
      <w:r>
        <w:rPr>
          <w:color w:val="231F20"/>
          <w:w w:val="105"/>
        </w:rPr>
        <w:t>y</w:t>
      </w:r>
      <w:r>
        <w:rPr>
          <w:color w:val="231F20"/>
          <w:spacing w:val="-14"/>
          <w:w w:val="105"/>
        </w:rPr>
        <w:t> </w:t>
      </w:r>
      <w:r>
        <w:rPr>
          <w:color w:val="231F20"/>
          <w:w w:val="105"/>
        </w:rPr>
        <w:t>jardinería</w:t>
      </w:r>
      <w:r>
        <w:rPr>
          <w:color w:val="231F20"/>
          <w:spacing w:val="-14"/>
          <w:w w:val="105"/>
        </w:rPr>
        <w:t> </w:t>
      </w:r>
      <w:r>
        <w:rPr>
          <w:color w:val="231F20"/>
          <w:w w:val="105"/>
        </w:rPr>
        <w:t>en</w:t>
      </w:r>
      <w:r>
        <w:rPr>
          <w:color w:val="231F20"/>
          <w:spacing w:val="-14"/>
          <w:w w:val="105"/>
        </w:rPr>
        <w:t> </w:t>
      </w:r>
      <w:r>
        <w:rPr>
          <w:color w:val="231F20"/>
          <w:w w:val="105"/>
        </w:rPr>
        <w:t>casas</w:t>
      </w:r>
      <w:r>
        <w:rPr>
          <w:color w:val="231F20"/>
          <w:spacing w:val="-14"/>
          <w:w w:val="105"/>
        </w:rPr>
        <w:t> </w:t>
      </w:r>
      <w:r>
        <w:rPr>
          <w:color w:val="231F20"/>
          <w:w w:val="105"/>
        </w:rPr>
        <w:t>de</w:t>
      </w:r>
      <w:r>
        <w:rPr>
          <w:color w:val="231F20"/>
          <w:spacing w:val="-14"/>
          <w:w w:val="105"/>
        </w:rPr>
        <w:t> </w:t>
      </w:r>
      <w:r>
        <w:rPr>
          <w:color w:val="231F20"/>
          <w:w w:val="105"/>
        </w:rPr>
        <w:t>norteamericanos,</w:t>
      </w:r>
      <w:r>
        <w:rPr>
          <w:color w:val="231F20"/>
          <w:spacing w:val="-20"/>
          <w:w w:val="105"/>
        </w:rPr>
        <w:t> </w:t>
      </w:r>
      <w:r>
        <w:rPr>
          <w:color w:val="231F20"/>
          <w:w w:val="105"/>
        </w:rPr>
        <w:t>conocidos de</w:t>
      </w:r>
      <w:r>
        <w:rPr>
          <w:color w:val="231F20"/>
          <w:spacing w:val="-18"/>
          <w:w w:val="105"/>
        </w:rPr>
        <w:t> </w:t>
      </w:r>
      <w:r>
        <w:rPr>
          <w:color w:val="231F20"/>
          <w:w w:val="105"/>
        </w:rPr>
        <w:t>unos</w:t>
      </w:r>
      <w:r>
        <w:rPr>
          <w:color w:val="231F20"/>
          <w:spacing w:val="-18"/>
          <w:w w:val="105"/>
        </w:rPr>
        <w:t> </w:t>
      </w:r>
      <w:r>
        <w:rPr>
          <w:color w:val="231F20"/>
          <w:w w:val="105"/>
        </w:rPr>
        <w:t>familiares</w:t>
      </w:r>
      <w:r>
        <w:rPr>
          <w:color w:val="231F20"/>
          <w:spacing w:val="-18"/>
          <w:w w:val="105"/>
        </w:rPr>
        <w:t> </w:t>
      </w:r>
      <w:r>
        <w:rPr>
          <w:color w:val="231F20"/>
          <w:w w:val="105"/>
        </w:rPr>
        <w:t>de</w:t>
      </w:r>
      <w:r>
        <w:rPr>
          <w:color w:val="231F20"/>
          <w:spacing w:val="-18"/>
          <w:w w:val="105"/>
        </w:rPr>
        <w:t> </w:t>
      </w:r>
      <w:r>
        <w:rPr>
          <w:color w:val="231F20"/>
          <w:w w:val="105"/>
        </w:rPr>
        <w:t>Oaxaca</w:t>
      </w:r>
      <w:r>
        <w:rPr>
          <w:color w:val="231F20"/>
          <w:spacing w:val="-18"/>
          <w:w w:val="105"/>
        </w:rPr>
        <w:t> </w:t>
      </w:r>
      <w:r>
        <w:rPr>
          <w:color w:val="231F20"/>
          <w:w w:val="105"/>
        </w:rPr>
        <w:t>que</w:t>
      </w:r>
      <w:r>
        <w:rPr>
          <w:color w:val="231F20"/>
          <w:spacing w:val="-18"/>
          <w:w w:val="105"/>
        </w:rPr>
        <w:t> </w:t>
      </w:r>
      <w:r>
        <w:rPr>
          <w:color w:val="231F20"/>
          <w:w w:val="105"/>
        </w:rPr>
        <w:t>vivían</w:t>
      </w:r>
      <w:r>
        <w:rPr>
          <w:color w:val="231F20"/>
          <w:spacing w:val="-18"/>
          <w:w w:val="105"/>
        </w:rPr>
        <w:t> </w:t>
      </w:r>
      <w:r>
        <w:rPr>
          <w:color w:val="231F20"/>
          <w:w w:val="105"/>
        </w:rPr>
        <w:t>en</w:t>
      </w:r>
      <w:r>
        <w:rPr>
          <w:color w:val="231F20"/>
          <w:spacing w:val="-18"/>
          <w:w w:val="105"/>
        </w:rPr>
        <w:t> </w:t>
      </w:r>
      <w:r>
        <w:rPr>
          <w:color w:val="231F20"/>
          <w:w w:val="105"/>
        </w:rPr>
        <w:t>Madera,</w:t>
      </w:r>
      <w:r>
        <w:rPr>
          <w:color w:val="231F20"/>
          <w:spacing w:val="-23"/>
          <w:w w:val="105"/>
        </w:rPr>
        <w:t> </w:t>
      </w:r>
      <w:r>
        <w:rPr>
          <w:color w:val="231F20"/>
          <w:w w:val="105"/>
        </w:rPr>
        <w:t>California,</w:t>
      </w:r>
      <w:r>
        <w:rPr>
          <w:color w:val="231F20"/>
          <w:spacing w:val="-23"/>
          <w:w w:val="105"/>
        </w:rPr>
        <w:t> </w:t>
      </w:r>
      <w:r>
        <w:rPr>
          <w:color w:val="231F20"/>
          <w:w w:val="105"/>
        </w:rPr>
        <w:t>pero</w:t>
      </w:r>
      <w:r>
        <w:rPr>
          <w:color w:val="231F20"/>
          <w:spacing w:val="-18"/>
          <w:w w:val="105"/>
        </w:rPr>
        <w:t> </w:t>
      </w:r>
      <w:r>
        <w:rPr>
          <w:color w:val="231F20"/>
          <w:w w:val="105"/>
        </w:rPr>
        <w:t>que hace algunos años habían trabajado con esos patrones. </w:t>
      </w:r>
      <w:r>
        <w:rPr>
          <w:color w:val="231F20"/>
          <w:spacing w:val="-10"/>
          <w:w w:val="105"/>
        </w:rPr>
        <w:t>Ya </w:t>
      </w:r>
      <w:r>
        <w:rPr>
          <w:color w:val="231F20"/>
          <w:w w:val="105"/>
        </w:rPr>
        <w:t>en Los Án- geles decidieron viajar a Santa Ana, California, donde trabajaron en un establecimiento</w:t>
      </w:r>
      <w:r>
        <w:rPr>
          <w:color w:val="231F20"/>
          <w:spacing w:val="-27"/>
          <w:w w:val="105"/>
        </w:rPr>
        <w:t> </w:t>
      </w:r>
      <w:r>
        <w:rPr>
          <w:color w:val="231F20"/>
          <w:w w:val="105"/>
        </w:rPr>
        <w:t>que</w:t>
      </w:r>
      <w:r>
        <w:rPr>
          <w:color w:val="231F20"/>
          <w:spacing w:val="-27"/>
          <w:w w:val="105"/>
        </w:rPr>
        <w:t> </w:t>
      </w:r>
      <w:r>
        <w:rPr>
          <w:color w:val="231F20"/>
          <w:w w:val="105"/>
        </w:rPr>
        <w:t>desarmaba</w:t>
      </w:r>
      <w:r>
        <w:rPr>
          <w:color w:val="231F20"/>
          <w:spacing w:val="-27"/>
          <w:w w:val="105"/>
        </w:rPr>
        <w:t> </w:t>
      </w:r>
      <w:r>
        <w:rPr>
          <w:color w:val="231F20"/>
          <w:w w:val="105"/>
        </w:rPr>
        <w:t>computadoras</w:t>
      </w:r>
      <w:r>
        <w:rPr>
          <w:color w:val="231F20"/>
          <w:spacing w:val="-27"/>
          <w:w w:val="105"/>
        </w:rPr>
        <w:t> </w:t>
      </w:r>
      <w:r>
        <w:rPr>
          <w:color w:val="231F20"/>
          <w:w w:val="105"/>
        </w:rPr>
        <w:t>y</w:t>
      </w:r>
      <w:r>
        <w:rPr>
          <w:color w:val="231F20"/>
          <w:spacing w:val="-27"/>
          <w:w w:val="105"/>
        </w:rPr>
        <w:t> </w:t>
      </w:r>
      <w:r>
        <w:rPr>
          <w:color w:val="231F20"/>
          <w:w w:val="105"/>
        </w:rPr>
        <w:t>aparatos</w:t>
      </w:r>
      <w:r>
        <w:rPr>
          <w:color w:val="231F20"/>
          <w:spacing w:val="-27"/>
          <w:w w:val="105"/>
        </w:rPr>
        <w:t> </w:t>
      </w:r>
      <w:r>
        <w:rPr>
          <w:color w:val="231F20"/>
          <w:w w:val="105"/>
        </w:rPr>
        <w:t>diversos,</w:t>
      </w:r>
      <w:r>
        <w:rPr>
          <w:color w:val="231F20"/>
          <w:spacing w:val="-32"/>
          <w:w w:val="105"/>
        </w:rPr>
        <w:t> </w:t>
      </w:r>
      <w:r>
        <w:rPr>
          <w:color w:val="231F20"/>
          <w:w w:val="105"/>
        </w:rPr>
        <w:t>para el</w:t>
      </w:r>
      <w:r>
        <w:rPr>
          <w:color w:val="231F20"/>
          <w:spacing w:val="-18"/>
          <w:w w:val="105"/>
        </w:rPr>
        <w:t> </w:t>
      </w:r>
      <w:r>
        <w:rPr>
          <w:color w:val="231F20"/>
          <w:w w:val="105"/>
        </w:rPr>
        <w:t>reciclaje</w:t>
      </w:r>
      <w:r>
        <w:rPr>
          <w:color w:val="231F20"/>
          <w:spacing w:val="-18"/>
          <w:w w:val="105"/>
        </w:rPr>
        <w:t> </w:t>
      </w:r>
      <w:r>
        <w:rPr>
          <w:color w:val="231F20"/>
          <w:w w:val="105"/>
        </w:rPr>
        <w:t>de</w:t>
      </w:r>
      <w:r>
        <w:rPr>
          <w:color w:val="231F20"/>
          <w:spacing w:val="-18"/>
          <w:w w:val="105"/>
        </w:rPr>
        <w:t> </w:t>
      </w:r>
      <w:r>
        <w:rPr>
          <w:color w:val="231F20"/>
          <w:w w:val="105"/>
        </w:rPr>
        <w:t>piezas.</w:t>
      </w:r>
      <w:r>
        <w:rPr>
          <w:color w:val="231F20"/>
          <w:spacing w:val="-23"/>
          <w:w w:val="105"/>
        </w:rPr>
        <w:t> </w:t>
      </w:r>
      <w:r>
        <w:rPr>
          <w:color w:val="231F20"/>
          <w:w w:val="105"/>
        </w:rPr>
        <w:t>Seis</w:t>
      </w:r>
      <w:r>
        <w:rPr>
          <w:color w:val="231F20"/>
          <w:spacing w:val="-18"/>
          <w:w w:val="105"/>
        </w:rPr>
        <w:t> </w:t>
      </w:r>
      <w:r>
        <w:rPr>
          <w:color w:val="231F20"/>
          <w:w w:val="105"/>
        </w:rPr>
        <w:t>meses</w:t>
      </w:r>
      <w:r>
        <w:rPr>
          <w:color w:val="231F20"/>
          <w:spacing w:val="-18"/>
          <w:w w:val="105"/>
        </w:rPr>
        <w:t> </w:t>
      </w:r>
      <w:r>
        <w:rPr>
          <w:color w:val="231F20"/>
          <w:w w:val="105"/>
        </w:rPr>
        <w:t>más</w:t>
      </w:r>
      <w:r>
        <w:rPr>
          <w:color w:val="231F20"/>
          <w:spacing w:val="-18"/>
          <w:w w:val="105"/>
        </w:rPr>
        <w:t> </w:t>
      </w:r>
      <w:r>
        <w:rPr>
          <w:color w:val="231F20"/>
          <w:w w:val="105"/>
        </w:rPr>
        <w:t>tarde</w:t>
      </w:r>
      <w:r>
        <w:rPr>
          <w:color w:val="231F20"/>
          <w:spacing w:val="-18"/>
          <w:w w:val="105"/>
        </w:rPr>
        <w:t> </w:t>
      </w:r>
      <w:r>
        <w:rPr>
          <w:color w:val="231F20"/>
          <w:w w:val="105"/>
        </w:rPr>
        <w:t>decidieron</w:t>
      </w:r>
      <w:r>
        <w:rPr>
          <w:color w:val="231F20"/>
          <w:spacing w:val="-18"/>
          <w:w w:val="105"/>
        </w:rPr>
        <w:t> </w:t>
      </w:r>
      <w:r>
        <w:rPr>
          <w:color w:val="231F20"/>
          <w:w w:val="105"/>
        </w:rPr>
        <w:t>emigrar</w:t>
      </w:r>
      <w:r>
        <w:rPr>
          <w:color w:val="231F20"/>
          <w:spacing w:val="-18"/>
          <w:w w:val="105"/>
        </w:rPr>
        <w:t> </w:t>
      </w:r>
      <w:r>
        <w:rPr>
          <w:color w:val="231F20"/>
          <w:w w:val="105"/>
        </w:rPr>
        <w:t>a</w:t>
      </w:r>
      <w:r>
        <w:rPr>
          <w:color w:val="231F20"/>
          <w:spacing w:val="-18"/>
          <w:w w:val="105"/>
        </w:rPr>
        <w:t> </w:t>
      </w:r>
      <w:r>
        <w:rPr>
          <w:color w:val="231F20"/>
          <w:w w:val="105"/>
        </w:rPr>
        <w:t>Miami, Florida,</w:t>
      </w:r>
      <w:r>
        <w:rPr>
          <w:color w:val="231F20"/>
          <w:spacing w:val="-23"/>
          <w:w w:val="105"/>
        </w:rPr>
        <w:t> </w:t>
      </w:r>
      <w:r>
        <w:rPr>
          <w:color w:val="231F20"/>
          <w:w w:val="105"/>
        </w:rPr>
        <w:t>por</w:t>
      </w:r>
      <w:r>
        <w:rPr>
          <w:color w:val="231F20"/>
          <w:spacing w:val="-17"/>
          <w:w w:val="105"/>
        </w:rPr>
        <w:t> </w:t>
      </w:r>
      <w:r>
        <w:rPr>
          <w:color w:val="231F20"/>
          <w:w w:val="105"/>
        </w:rPr>
        <w:t>recomendación</w:t>
      </w:r>
      <w:r>
        <w:rPr>
          <w:color w:val="231F20"/>
          <w:spacing w:val="-17"/>
          <w:w w:val="105"/>
        </w:rPr>
        <w:t> </w:t>
      </w:r>
      <w:r>
        <w:rPr>
          <w:color w:val="231F20"/>
          <w:w w:val="105"/>
        </w:rPr>
        <w:t>de</w:t>
      </w:r>
      <w:r>
        <w:rPr>
          <w:color w:val="231F20"/>
          <w:spacing w:val="-17"/>
          <w:w w:val="105"/>
        </w:rPr>
        <w:t> </w:t>
      </w:r>
      <w:r>
        <w:rPr>
          <w:color w:val="231F20"/>
          <w:w w:val="105"/>
        </w:rPr>
        <w:t>un</w:t>
      </w:r>
      <w:r>
        <w:rPr>
          <w:color w:val="231F20"/>
          <w:spacing w:val="-17"/>
          <w:w w:val="105"/>
        </w:rPr>
        <w:t> </w:t>
      </w:r>
      <w:r>
        <w:rPr>
          <w:color w:val="231F20"/>
          <w:w w:val="105"/>
        </w:rPr>
        <w:t>amigo</w:t>
      </w:r>
      <w:r>
        <w:rPr>
          <w:color w:val="231F20"/>
          <w:spacing w:val="-17"/>
          <w:w w:val="105"/>
        </w:rPr>
        <w:t> </w:t>
      </w:r>
      <w:r>
        <w:rPr>
          <w:color w:val="231F20"/>
          <w:w w:val="105"/>
        </w:rPr>
        <w:t>de</w:t>
      </w:r>
      <w:r>
        <w:rPr>
          <w:color w:val="231F20"/>
          <w:spacing w:val="-17"/>
          <w:w w:val="105"/>
        </w:rPr>
        <w:t> </w:t>
      </w:r>
      <w:r>
        <w:rPr>
          <w:color w:val="231F20"/>
          <w:w w:val="105"/>
        </w:rPr>
        <w:t>su</w:t>
      </w:r>
      <w:r>
        <w:rPr>
          <w:color w:val="231F20"/>
          <w:spacing w:val="-17"/>
          <w:w w:val="105"/>
        </w:rPr>
        <w:t> </w:t>
      </w:r>
      <w:r>
        <w:rPr>
          <w:color w:val="231F20"/>
          <w:w w:val="105"/>
        </w:rPr>
        <w:t>hermano,</w:t>
      </w:r>
      <w:r>
        <w:rPr>
          <w:color w:val="231F20"/>
          <w:spacing w:val="-23"/>
          <w:w w:val="105"/>
        </w:rPr>
        <w:t> </w:t>
      </w:r>
      <w:r>
        <w:rPr>
          <w:color w:val="231F20"/>
          <w:w w:val="105"/>
        </w:rPr>
        <w:t>quien</w:t>
      </w:r>
      <w:r>
        <w:rPr>
          <w:color w:val="231F20"/>
          <w:spacing w:val="-17"/>
          <w:w w:val="105"/>
        </w:rPr>
        <w:t> </w:t>
      </w:r>
      <w:r>
        <w:rPr>
          <w:color w:val="231F20"/>
          <w:w w:val="105"/>
        </w:rPr>
        <w:t>le</w:t>
      </w:r>
      <w:r>
        <w:rPr>
          <w:color w:val="231F20"/>
          <w:spacing w:val="-17"/>
          <w:w w:val="105"/>
        </w:rPr>
        <w:t> </w:t>
      </w:r>
      <w:r>
        <w:rPr>
          <w:color w:val="231F20"/>
          <w:w w:val="105"/>
        </w:rPr>
        <w:t>asegu- ró</w:t>
      </w:r>
      <w:r>
        <w:rPr>
          <w:color w:val="231F20"/>
          <w:spacing w:val="-16"/>
          <w:w w:val="105"/>
        </w:rPr>
        <w:t> </w:t>
      </w:r>
      <w:r>
        <w:rPr>
          <w:color w:val="231F20"/>
          <w:w w:val="105"/>
        </w:rPr>
        <w:t>que</w:t>
      </w:r>
      <w:r>
        <w:rPr>
          <w:color w:val="231F20"/>
          <w:spacing w:val="-16"/>
          <w:w w:val="105"/>
        </w:rPr>
        <w:t> </w:t>
      </w:r>
      <w:r>
        <w:rPr>
          <w:color w:val="231F20"/>
          <w:w w:val="105"/>
        </w:rPr>
        <w:t>allá</w:t>
      </w:r>
      <w:r>
        <w:rPr>
          <w:color w:val="231F20"/>
          <w:spacing w:val="-16"/>
          <w:w w:val="105"/>
        </w:rPr>
        <w:t> </w:t>
      </w:r>
      <w:r>
        <w:rPr>
          <w:color w:val="231F20"/>
          <w:w w:val="105"/>
        </w:rPr>
        <w:t>conseguirían</w:t>
      </w:r>
      <w:r>
        <w:rPr>
          <w:color w:val="231F20"/>
          <w:spacing w:val="-16"/>
          <w:w w:val="105"/>
        </w:rPr>
        <w:t> </w:t>
      </w:r>
      <w:r>
        <w:rPr>
          <w:color w:val="231F20"/>
          <w:w w:val="105"/>
        </w:rPr>
        <w:t>empleos</w:t>
      </w:r>
      <w:r>
        <w:rPr>
          <w:color w:val="231F20"/>
          <w:spacing w:val="-16"/>
          <w:w w:val="105"/>
        </w:rPr>
        <w:t> </w:t>
      </w:r>
      <w:r>
        <w:rPr>
          <w:color w:val="231F20"/>
          <w:w w:val="105"/>
        </w:rPr>
        <w:t>con</w:t>
      </w:r>
      <w:r>
        <w:rPr>
          <w:color w:val="231F20"/>
          <w:spacing w:val="-16"/>
          <w:w w:val="105"/>
        </w:rPr>
        <w:t> </w:t>
      </w:r>
      <w:r>
        <w:rPr>
          <w:color w:val="231F20"/>
          <w:w w:val="105"/>
        </w:rPr>
        <w:t>mejores</w:t>
      </w:r>
      <w:r>
        <w:rPr>
          <w:color w:val="231F20"/>
          <w:spacing w:val="-16"/>
          <w:w w:val="105"/>
        </w:rPr>
        <w:t> </w:t>
      </w:r>
      <w:r>
        <w:rPr>
          <w:color w:val="231F20"/>
          <w:w w:val="105"/>
        </w:rPr>
        <w:t>sueldos.</w:t>
      </w:r>
    </w:p>
    <w:p>
      <w:pPr>
        <w:pStyle w:val="BodyText"/>
        <w:spacing w:line="261" w:lineRule="auto" w:before="1"/>
        <w:ind w:left="1723" w:right="1828" w:firstLine="567"/>
        <w:jc w:val="both"/>
      </w:pPr>
      <w:r>
        <w:rPr>
          <w:color w:val="231F20"/>
          <w:w w:val="105"/>
        </w:rPr>
        <w:t>Cuando</w:t>
      </w:r>
      <w:r>
        <w:rPr>
          <w:color w:val="231F20"/>
          <w:spacing w:val="-9"/>
          <w:w w:val="105"/>
        </w:rPr>
        <w:t> </w:t>
      </w:r>
      <w:r>
        <w:rPr>
          <w:color w:val="231F20"/>
          <w:w w:val="105"/>
        </w:rPr>
        <w:t>llegaron</w:t>
      </w:r>
      <w:r>
        <w:rPr>
          <w:color w:val="231F20"/>
          <w:spacing w:val="-9"/>
          <w:w w:val="105"/>
        </w:rPr>
        <w:t> </w:t>
      </w:r>
      <w:r>
        <w:rPr>
          <w:color w:val="231F20"/>
          <w:w w:val="105"/>
        </w:rPr>
        <w:t>a</w:t>
      </w:r>
      <w:r>
        <w:rPr>
          <w:color w:val="231F20"/>
          <w:spacing w:val="-9"/>
          <w:w w:val="105"/>
        </w:rPr>
        <w:t> </w:t>
      </w:r>
      <w:r>
        <w:rPr>
          <w:color w:val="231F20"/>
          <w:w w:val="105"/>
        </w:rPr>
        <w:t>Miami,</w:t>
      </w:r>
      <w:r>
        <w:rPr>
          <w:color w:val="231F20"/>
          <w:spacing w:val="-14"/>
          <w:w w:val="105"/>
        </w:rPr>
        <w:t> </w:t>
      </w:r>
      <w:r>
        <w:rPr>
          <w:color w:val="231F20"/>
          <w:w w:val="105"/>
        </w:rPr>
        <w:t>ambos</w:t>
      </w:r>
      <w:r>
        <w:rPr>
          <w:color w:val="231F20"/>
          <w:spacing w:val="-9"/>
          <w:w w:val="105"/>
        </w:rPr>
        <w:t> </w:t>
      </w:r>
      <w:r>
        <w:rPr>
          <w:color w:val="231F20"/>
          <w:w w:val="105"/>
        </w:rPr>
        <w:t>se</w:t>
      </w:r>
      <w:r>
        <w:rPr>
          <w:color w:val="231F20"/>
          <w:spacing w:val="-9"/>
          <w:w w:val="105"/>
        </w:rPr>
        <w:t> </w:t>
      </w:r>
      <w:r>
        <w:rPr>
          <w:color w:val="231F20"/>
          <w:w w:val="105"/>
        </w:rPr>
        <w:t>emplearon</w:t>
      </w:r>
      <w:r>
        <w:rPr>
          <w:color w:val="231F20"/>
          <w:spacing w:val="-9"/>
          <w:w w:val="105"/>
        </w:rPr>
        <w:t> </w:t>
      </w:r>
      <w:r>
        <w:rPr>
          <w:color w:val="231F20"/>
          <w:w w:val="105"/>
        </w:rPr>
        <w:t>de</w:t>
      </w:r>
      <w:r>
        <w:rPr>
          <w:color w:val="231F20"/>
          <w:spacing w:val="-9"/>
          <w:w w:val="105"/>
        </w:rPr>
        <w:t> </w:t>
      </w:r>
      <w:r>
        <w:rPr>
          <w:color w:val="231F20"/>
          <w:w w:val="105"/>
        </w:rPr>
        <w:t>inmediato.</w:t>
      </w:r>
      <w:r>
        <w:rPr>
          <w:color w:val="231F20"/>
          <w:spacing w:val="-14"/>
          <w:w w:val="105"/>
        </w:rPr>
        <w:t> </w:t>
      </w:r>
      <w:r>
        <w:rPr>
          <w:color w:val="231F20"/>
          <w:w w:val="105"/>
        </w:rPr>
        <w:t>Ella se empleó en una tienda de productos latinoamericanos, como depen- diente de la tienda de abarrotes y él en una tintorería. Seis meses más tarde</w:t>
      </w:r>
      <w:r>
        <w:rPr>
          <w:color w:val="231F20"/>
          <w:spacing w:val="-11"/>
          <w:w w:val="105"/>
        </w:rPr>
        <w:t> </w:t>
      </w:r>
      <w:r>
        <w:rPr>
          <w:color w:val="231F20"/>
          <w:w w:val="105"/>
        </w:rPr>
        <w:t>arribaron</w:t>
      </w:r>
      <w:r>
        <w:rPr>
          <w:color w:val="231F20"/>
          <w:spacing w:val="-11"/>
          <w:w w:val="105"/>
        </w:rPr>
        <w:t> </w:t>
      </w:r>
      <w:r>
        <w:rPr>
          <w:color w:val="231F20"/>
          <w:w w:val="105"/>
        </w:rPr>
        <w:t>a</w:t>
      </w:r>
      <w:r>
        <w:rPr>
          <w:color w:val="231F20"/>
          <w:spacing w:val="-11"/>
          <w:w w:val="105"/>
        </w:rPr>
        <w:t> </w:t>
      </w:r>
      <w:r>
        <w:rPr>
          <w:color w:val="231F20"/>
          <w:w w:val="105"/>
        </w:rPr>
        <w:t>Miami</w:t>
      </w:r>
      <w:r>
        <w:rPr>
          <w:color w:val="231F20"/>
          <w:spacing w:val="-11"/>
          <w:w w:val="105"/>
        </w:rPr>
        <w:t> </w:t>
      </w:r>
      <w:r>
        <w:rPr>
          <w:color w:val="231F20"/>
          <w:w w:val="105"/>
        </w:rPr>
        <w:t>sus</w:t>
      </w:r>
      <w:r>
        <w:rPr>
          <w:color w:val="231F20"/>
          <w:spacing w:val="-11"/>
          <w:w w:val="105"/>
        </w:rPr>
        <w:t> </w:t>
      </w:r>
      <w:r>
        <w:rPr>
          <w:color w:val="231F20"/>
          <w:w w:val="105"/>
        </w:rPr>
        <w:t>dos</w:t>
      </w:r>
      <w:r>
        <w:rPr>
          <w:color w:val="231F20"/>
          <w:spacing w:val="-11"/>
          <w:w w:val="105"/>
        </w:rPr>
        <w:t> </w:t>
      </w:r>
      <w:r>
        <w:rPr>
          <w:color w:val="231F20"/>
          <w:w w:val="105"/>
        </w:rPr>
        <w:t>hijos</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esposa</w:t>
      </w:r>
      <w:r>
        <w:rPr>
          <w:color w:val="231F20"/>
          <w:spacing w:val="-11"/>
          <w:w w:val="105"/>
        </w:rPr>
        <w:t> </w:t>
      </w:r>
      <w:r>
        <w:rPr>
          <w:color w:val="231F20"/>
          <w:w w:val="105"/>
        </w:rPr>
        <w:t>del</w:t>
      </w:r>
      <w:r>
        <w:rPr>
          <w:color w:val="231F20"/>
          <w:spacing w:val="-11"/>
          <w:w w:val="105"/>
        </w:rPr>
        <w:t> </w:t>
      </w:r>
      <w:r>
        <w:rPr>
          <w:color w:val="231F20"/>
          <w:w w:val="105"/>
        </w:rPr>
        <w:t>hermano,</w:t>
      </w:r>
      <w:r>
        <w:rPr>
          <w:color w:val="231F20"/>
          <w:spacing w:val="-16"/>
          <w:w w:val="105"/>
        </w:rPr>
        <w:t> </w:t>
      </w:r>
      <w:r>
        <w:rPr>
          <w:color w:val="231F20"/>
          <w:w w:val="105"/>
        </w:rPr>
        <w:t>así</w:t>
      </w:r>
      <w:r>
        <w:rPr>
          <w:color w:val="231F20"/>
          <w:spacing w:val="-11"/>
          <w:w w:val="105"/>
        </w:rPr>
        <w:t> </w:t>
      </w:r>
      <w:r>
        <w:rPr>
          <w:color w:val="231F20"/>
          <w:w w:val="105"/>
        </w:rPr>
        <w:t>como sus dos sobrinos, a quienes les enviaron dinero para que los alcanza- ran en esa ciudad. Sin embargo, el empleo se volvió difícil a partir de 2008. Esperanza tuvo diversos empleos en los que la contrataban por corto tiempo o bien los abandonaban porque eran muy mal pagados. </w:t>
      </w:r>
      <w:r>
        <w:rPr>
          <w:color w:val="231F20"/>
          <w:spacing w:val="-3"/>
          <w:w w:val="105"/>
        </w:rPr>
        <w:t>Fue</w:t>
      </w:r>
      <w:r>
        <w:rPr>
          <w:color w:val="231F20"/>
          <w:spacing w:val="-8"/>
          <w:w w:val="105"/>
        </w:rPr>
        <w:t> </w:t>
      </w:r>
      <w:r>
        <w:rPr>
          <w:color w:val="231F20"/>
          <w:w w:val="105"/>
        </w:rPr>
        <w:t>empleada</w:t>
      </w:r>
      <w:r>
        <w:rPr>
          <w:color w:val="231F20"/>
          <w:spacing w:val="-8"/>
          <w:w w:val="105"/>
        </w:rPr>
        <w:t> </w:t>
      </w:r>
      <w:r>
        <w:rPr>
          <w:color w:val="231F20"/>
          <w:w w:val="105"/>
        </w:rPr>
        <w:t>de</w:t>
      </w:r>
      <w:r>
        <w:rPr>
          <w:color w:val="231F20"/>
          <w:spacing w:val="-8"/>
          <w:w w:val="105"/>
        </w:rPr>
        <w:t> </w:t>
      </w:r>
      <w:r>
        <w:rPr>
          <w:color w:val="231F20"/>
          <w:w w:val="105"/>
        </w:rPr>
        <w:t>limpieza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construcción,</w:t>
      </w:r>
      <w:r>
        <w:rPr>
          <w:color w:val="231F20"/>
          <w:spacing w:val="-15"/>
          <w:w w:val="105"/>
        </w:rPr>
        <w:t> </w:t>
      </w:r>
      <w:r>
        <w:rPr>
          <w:color w:val="231F20"/>
          <w:w w:val="105"/>
        </w:rPr>
        <w:t>barriendo</w:t>
      </w:r>
      <w:r>
        <w:rPr>
          <w:color w:val="231F20"/>
          <w:spacing w:val="-8"/>
          <w:w w:val="105"/>
        </w:rPr>
        <w:t> </w:t>
      </w:r>
      <w:r>
        <w:rPr>
          <w:color w:val="231F20"/>
          <w:w w:val="105"/>
        </w:rPr>
        <w:t>edificios</w:t>
      </w:r>
      <w:r>
        <w:rPr>
          <w:color w:val="231F20"/>
          <w:spacing w:val="-8"/>
          <w:w w:val="105"/>
        </w:rPr>
        <w:t> </w:t>
      </w:r>
      <w:r>
        <w:rPr>
          <w:color w:val="231F20"/>
          <w:w w:val="105"/>
        </w:rPr>
        <w:t>donde estaban</w:t>
      </w:r>
      <w:r>
        <w:rPr>
          <w:color w:val="231F20"/>
          <w:spacing w:val="-8"/>
          <w:w w:val="105"/>
        </w:rPr>
        <w:t> </w:t>
      </w:r>
      <w:r>
        <w:rPr>
          <w:color w:val="231F20"/>
          <w:w w:val="105"/>
        </w:rPr>
        <w:t>haciendo</w:t>
      </w:r>
      <w:r>
        <w:rPr>
          <w:color w:val="231F20"/>
          <w:spacing w:val="-8"/>
          <w:w w:val="105"/>
        </w:rPr>
        <w:t> </w:t>
      </w:r>
      <w:r>
        <w:rPr>
          <w:color w:val="231F20"/>
          <w:w w:val="105"/>
        </w:rPr>
        <w:t>reparaciones,</w:t>
      </w:r>
      <w:r>
        <w:rPr>
          <w:color w:val="231F20"/>
          <w:spacing w:val="-13"/>
          <w:w w:val="105"/>
        </w:rPr>
        <w:t> </w:t>
      </w:r>
      <w:r>
        <w:rPr>
          <w:color w:val="231F20"/>
          <w:w w:val="105"/>
        </w:rPr>
        <w:t>también</w:t>
      </w:r>
      <w:r>
        <w:rPr>
          <w:color w:val="231F20"/>
          <w:spacing w:val="-8"/>
          <w:w w:val="105"/>
        </w:rPr>
        <w:t> </w:t>
      </w:r>
      <w:r>
        <w:rPr>
          <w:color w:val="231F20"/>
          <w:w w:val="105"/>
        </w:rPr>
        <w:t>como</w:t>
      </w:r>
      <w:r>
        <w:rPr>
          <w:color w:val="231F20"/>
          <w:spacing w:val="-8"/>
          <w:w w:val="105"/>
        </w:rPr>
        <w:t> </w:t>
      </w:r>
      <w:r>
        <w:rPr>
          <w:color w:val="231F20"/>
          <w:w w:val="105"/>
        </w:rPr>
        <w:t>ayudante</w:t>
      </w:r>
      <w:r>
        <w:rPr>
          <w:color w:val="231F20"/>
          <w:spacing w:val="-8"/>
          <w:w w:val="105"/>
        </w:rPr>
        <w:t> </w:t>
      </w:r>
      <w:r>
        <w:rPr>
          <w:color w:val="231F20"/>
          <w:w w:val="105"/>
        </w:rPr>
        <w:t>de</w:t>
      </w:r>
      <w:r>
        <w:rPr>
          <w:color w:val="231F20"/>
          <w:spacing w:val="-8"/>
          <w:w w:val="105"/>
        </w:rPr>
        <w:t> </w:t>
      </w:r>
      <w:r>
        <w:rPr>
          <w:color w:val="231F20"/>
          <w:w w:val="105"/>
        </w:rPr>
        <w:t>albañilería, lo mismo en sitios donde lavaban autos y luego pasó a trabajar en una agencia</w:t>
      </w:r>
      <w:r>
        <w:rPr>
          <w:color w:val="231F20"/>
          <w:spacing w:val="-19"/>
          <w:w w:val="105"/>
        </w:rPr>
        <w:t> </w:t>
      </w:r>
      <w:r>
        <w:rPr>
          <w:color w:val="231F20"/>
          <w:w w:val="105"/>
        </w:rPr>
        <w:t>de</w:t>
      </w:r>
      <w:r>
        <w:rPr>
          <w:color w:val="231F20"/>
          <w:spacing w:val="-19"/>
          <w:w w:val="105"/>
        </w:rPr>
        <w:t> </w:t>
      </w:r>
      <w:r>
        <w:rPr>
          <w:color w:val="231F20"/>
          <w:w w:val="105"/>
        </w:rPr>
        <w:t>autos</w:t>
      </w:r>
      <w:r>
        <w:rPr>
          <w:color w:val="231F20"/>
          <w:spacing w:val="-19"/>
          <w:w w:val="105"/>
        </w:rPr>
        <w:t> </w:t>
      </w:r>
      <w:r>
        <w:rPr>
          <w:color w:val="231F20"/>
          <w:w w:val="105"/>
        </w:rPr>
        <w:t>hasta</w:t>
      </w:r>
      <w:r>
        <w:rPr>
          <w:color w:val="231F20"/>
          <w:spacing w:val="-19"/>
          <w:w w:val="105"/>
        </w:rPr>
        <w:t> </w:t>
      </w:r>
      <w:r>
        <w:rPr>
          <w:color w:val="231F20"/>
          <w:w w:val="105"/>
        </w:rPr>
        <w:t>que</w:t>
      </w:r>
      <w:r>
        <w:rPr>
          <w:color w:val="231F20"/>
          <w:spacing w:val="-19"/>
          <w:w w:val="105"/>
        </w:rPr>
        <w:t> </w:t>
      </w:r>
      <w:r>
        <w:rPr>
          <w:color w:val="231F20"/>
          <w:w w:val="105"/>
        </w:rPr>
        <w:t>ésta</w:t>
      </w:r>
      <w:r>
        <w:rPr>
          <w:color w:val="231F20"/>
          <w:spacing w:val="-19"/>
          <w:w w:val="105"/>
        </w:rPr>
        <w:t> </w:t>
      </w:r>
      <w:r>
        <w:rPr>
          <w:color w:val="231F20"/>
          <w:w w:val="105"/>
        </w:rPr>
        <w:t>quebró</w:t>
      </w:r>
      <w:r>
        <w:rPr>
          <w:color w:val="231F20"/>
          <w:spacing w:val="-19"/>
          <w:w w:val="105"/>
        </w:rPr>
        <w:t> </w:t>
      </w:r>
      <w:r>
        <w:rPr>
          <w:color w:val="231F20"/>
          <w:w w:val="105"/>
        </w:rPr>
        <w:t>y</w:t>
      </w:r>
      <w:r>
        <w:rPr>
          <w:color w:val="231F20"/>
          <w:spacing w:val="-19"/>
          <w:w w:val="105"/>
        </w:rPr>
        <w:t> </w:t>
      </w:r>
      <w:r>
        <w:rPr>
          <w:color w:val="231F20"/>
          <w:w w:val="105"/>
        </w:rPr>
        <w:t>cerró</w:t>
      </w:r>
      <w:r>
        <w:rPr>
          <w:color w:val="231F20"/>
          <w:spacing w:val="-19"/>
          <w:w w:val="105"/>
        </w:rPr>
        <w:t> </w:t>
      </w:r>
      <w:r>
        <w:rPr>
          <w:color w:val="231F20"/>
          <w:w w:val="105"/>
        </w:rPr>
        <w:t>sus</w:t>
      </w:r>
      <w:r>
        <w:rPr>
          <w:color w:val="231F20"/>
          <w:spacing w:val="-19"/>
          <w:w w:val="105"/>
        </w:rPr>
        <w:t> </w:t>
      </w:r>
      <w:r>
        <w:rPr>
          <w:color w:val="231F20"/>
          <w:w w:val="105"/>
        </w:rPr>
        <w:t>puertas.</w:t>
      </w:r>
    </w:p>
    <w:p>
      <w:pPr>
        <w:pStyle w:val="BodyText"/>
        <w:spacing w:line="261" w:lineRule="auto" w:before="1"/>
        <w:ind w:left="1723" w:right="1829" w:firstLine="567"/>
        <w:jc w:val="both"/>
      </w:pPr>
      <w:r>
        <w:rPr>
          <w:color w:val="231F20"/>
          <w:w w:val="105"/>
        </w:rPr>
        <w:t>Después</w:t>
      </w:r>
      <w:r>
        <w:rPr>
          <w:color w:val="231F20"/>
          <w:spacing w:val="-6"/>
          <w:w w:val="105"/>
        </w:rPr>
        <w:t> </w:t>
      </w:r>
      <w:r>
        <w:rPr>
          <w:color w:val="231F20"/>
          <w:w w:val="105"/>
        </w:rPr>
        <w:t>de</w:t>
      </w:r>
      <w:r>
        <w:rPr>
          <w:color w:val="231F20"/>
          <w:spacing w:val="-6"/>
          <w:w w:val="105"/>
        </w:rPr>
        <w:t> </w:t>
      </w:r>
      <w:r>
        <w:rPr>
          <w:color w:val="231F20"/>
          <w:w w:val="105"/>
        </w:rPr>
        <w:t>Miami</w:t>
      </w:r>
      <w:r>
        <w:rPr>
          <w:color w:val="231F20"/>
          <w:spacing w:val="-6"/>
          <w:w w:val="105"/>
        </w:rPr>
        <w:t> </w:t>
      </w:r>
      <w:r>
        <w:rPr>
          <w:color w:val="231F20"/>
          <w:w w:val="105"/>
        </w:rPr>
        <w:t>se</w:t>
      </w:r>
      <w:r>
        <w:rPr>
          <w:color w:val="231F20"/>
          <w:spacing w:val="-6"/>
          <w:w w:val="105"/>
        </w:rPr>
        <w:t> </w:t>
      </w:r>
      <w:r>
        <w:rPr>
          <w:color w:val="231F20"/>
          <w:w w:val="105"/>
        </w:rPr>
        <w:t>fue</w:t>
      </w:r>
      <w:r>
        <w:rPr>
          <w:color w:val="231F20"/>
          <w:spacing w:val="-6"/>
          <w:w w:val="105"/>
        </w:rPr>
        <w:t> </w:t>
      </w:r>
      <w:r>
        <w:rPr>
          <w:color w:val="231F20"/>
          <w:w w:val="105"/>
        </w:rPr>
        <w:t>con</w:t>
      </w:r>
      <w:r>
        <w:rPr>
          <w:color w:val="231F20"/>
          <w:spacing w:val="-6"/>
          <w:w w:val="105"/>
        </w:rPr>
        <w:t> </w:t>
      </w:r>
      <w:r>
        <w:rPr>
          <w:color w:val="231F20"/>
          <w:w w:val="105"/>
        </w:rPr>
        <w:t>sus</w:t>
      </w:r>
      <w:r>
        <w:rPr>
          <w:color w:val="231F20"/>
          <w:spacing w:val="-6"/>
          <w:w w:val="105"/>
        </w:rPr>
        <w:t> </w:t>
      </w:r>
      <w:r>
        <w:rPr>
          <w:color w:val="231F20"/>
          <w:w w:val="105"/>
        </w:rPr>
        <w:t>hijos</w:t>
      </w:r>
      <w:r>
        <w:rPr>
          <w:color w:val="231F20"/>
          <w:spacing w:val="-6"/>
          <w:w w:val="105"/>
        </w:rPr>
        <w:t> </w:t>
      </w:r>
      <w:r>
        <w:rPr>
          <w:color w:val="231F20"/>
          <w:w w:val="105"/>
        </w:rPr>
        <w:t>a</w:t>
      </w:r>
      <w:r>
        <w:rPr>
          <w:color w:val="231F20"/>
          <w:spacing w:val="-6"/>
          <w:w w:val="105"/>
        </w:rPr>
        <w:t> </w:t>
      </w:r>
      <w:r>
        <w:rPr>
          <w:color w:val="231F20"/>
          <w:w w:val="105"/>
        </w:rPr>
        <w:t>Chicago</w:t>
      </w:r>
      <w:r>
        <w:rPr>
          <w:color w:val="231F20"/>
          <w:spacing w:val="-6"/>
          <w:w w:val="105"/>
        </w:rPr>
        <w:t> </w:t>
      </w:r>
      <w:r>
        <w:rPr>
          <w:color w:val="231F20"/>
          <w:w w:val="105"/>
        </w:rPr>
        <w:t>por</w:t>
      </w:r>
      <w:r>
        <w:rPr>
          <w:color w:val="231F20"/>
          <w:spacing w:val="-6"/>
          <w:w w:val="105"/>
        </w:rPr>
        <w:t> </w:t>
      </w:r>
      <w:r>
        <w:rPr>
          <w:color w:val="231F20"/>
          <w:w w:val="105"/>
        </w:rPr>
        <w:t>dos</w:t>
      </w:r>
      <w:r>
        <w:rPr>
          <w:color w:val="231F20"/>
          <w:spacing w:val="-6"/>
          <w:w w:val="105"/>
        </w:rPr>
        <w:t> </w:t>
      </w:r>
      <w:r>
        <w:rPr>
          <w:color w:val="231F20"/>
          <w:w w:val="105"/>
        </w:rPr>
        <w:t>meses, luego</w:t>
      </w:r>
      <w:r>
        <w:rPr>
          <w:color w:val="231F20"/>
          <w:spacing w:val="-14"/>
          <w:w w:val="105"/>
        </w:rPr>
        <w:t> </w:t>
      </w:r>
      <w:r>
        <w:rPr>
          <w:color w:val="231F20"/>
          <w:w w:val="105"/>
        </w:rPr>
        <w:t>a</w:t>
      </w:r>
      <w:r>
        <w:rPr>
          <w:color w:val="231F20"/>
          <w:spacing w:val="-14"/>
          <w:w w:val="105"/>
        </w:rPr>
        <w:t> </w:t>
      </w:r>
      <w:r>
        <w:rPr>
          <w:color w:val="231F20"/>
          <w:w w:val="105"/>
        </w:rPr>
        <w:t>Indiana,</w:t>
      </w:r>
      <w:r>
        <w:rPr>
          <w:color w:val="231F20"/>
          <w:spacing w:val="-19"/>
          <w:w w:val="105"/>
        </w:rPr>
        <w:t> </w:t>
      </w:r>
      <w:r>
        <w:rPr>
          <w:color w:val="231F20"/>
          <w:w w:val="105"/>
        </w:rPr>
        <w:t>Houston,</w:t>
      </w:r>
      <w:r>
        <w:rPr>
          <w:color w:val="231F20"/>
          <w:spacing w:val="-19"/>
          <w:w w:val="105"/>
        </w:rPr>
        <w:t> </w:t>
      </w:r>
      <w:r>
        <w:rPr>
          <w:color w:val="231F20"/>
          <w:w w:val="105"/>
        </w:rPr>
        <w:t>para</w:t>
      </w:r>
      <w:r>
        <w:rPr>
          <w:color w:val="231F20"/>
          <w:spacing w:val="-14"/>
          <w:w w:val="105"/>
        </w:rPr>
        <w:t> </w:t>
      </w:r>
      <w:r>
        <w:rPr>
          <w:color w:val="231F20"/>
          <w:w w:val="105"/>
        </w:rPr>
        <w:t>finalmente</w:t>
      </w:r>
      <w:r>
        <w:rPr>
          <w:color w:val="231F20"/>
          <w:spacing w:val="-14"/>
          <w:w w:val="105"/>
        </w:rPr>
        <w:t> </w:t>
      </w:r>
      <w:r>
        <w:rPr>
          <w:color w:val="231F20"/>
          <w:w w:val="105"/>
        </w:rPr>
        <w:t>volver</w:t>
      </w:r>
      <w:r>
        <w:rPr>
          <w:color w:val="231F20"/>
          <w:spacing w:val="-14"/>
          <w:w w:val="105"/>
        </w:rPr>
        <w:t> </w:t>
      </w:r>
      <w:r>
        <w:rPr>
          <w:color w:val="231F20"/>
          <w:w w:val="105"/>
        </w:rPr>
        <w:t>a</w:t>
      </w:r>
      <w:r>
        <w:rPr>
          <w:color w:val="231F20"/>
          <w:spacing w:val="-14"/>
          <w:w w:val="105"/>
        </w:rPr>
        <w:t> </w:t>
      </w:r>
      <w:r>
        <w:rPr>
          <w:color w:val="231F20"/>
          <w:w w:val="105"/>
        </w:rPr>
        <w:t>Miami</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casa</w:t>
      </w:r>
      <w:r>
        <w:rPr>
          <w:color w:val="231F20"/>
          <w:spacing w:val="-14"/>
          <w:w w:val="105"/>
        </w:rPr>
        <w:t> </w:t>
      </w:r>
      <w:r>
        <w:rPr>
          <w:color w:val="231F20"/>
          <w:w w:val="105"/>
        </w:rPr>
        <w:t>de</w:t>
      </w:r>
      <w:r>
        <w:rPr>
          <w:color w:val="231F20"/>
          <w:spacing w:val="-14"/>
          <w:w w:val="105"/>
        </w:rPr>
        <w:t> </w:t>
      </w:r>
      <w:r>
        <w:rPr>
          <w:color w:val="231F20"/>
          <w:w w:val="105"/>
        </w:rPr>
        <w:t>su hermano</w:t>
      </w:r>
      <w:r>
        <w:rPr>
          <w:color w:val="231F20"/>
          <w:spacing w:val="-18"/>
          <w:w w:val="105"/>
        </w:rPr>
        <w:t> </w:t>
      </w:r>
      <w:r>
        <w:rPr>
          <w:color w:val="231F20"/>
          <w:w w:val="105"/>
        </w:rPr>
        <w:t>y</w:t>
      </w:r>
      <w:r>
        <w:rPr>
          <w:color w:val="231F20"/>
          <w:spacing w:val="-18"/>
          <w:w w:val="105"/>
        </w:rPr>
        <w:t> </w:t>
      </w:r>
      <w:r>
        <w:rPr>
          <w:color w:val="231F20"/>
          <w:w w:val="105"/>
        </w:rPr>
        <w:t>cuñada.</w:t>
      </w:r>
      <w:r>
        <w:rPr>
          <w:color w:val="231F20"/>
          <w:spacing w:val="-22"/>
          <w:w w:val="105"/>
        </w:rPr>
        <w:t> </w:t>
      </w:r>
      <w:r>
        <w:rPr>
          <w:color w:val="231F20"/>
          <w:w w:val="105"/>
        </w:rPr>
        <w:t>En</w:t>
      </w:r>
      <w:r>
        <w:rPr>
          <w:color w:val="231F20"/>
          <w:spacing w:val="-18"/>
          <w:w w:val="105"/>
        </w:rPr>
        <w:t> </w:t>
      </w:r>
      <w:r>
        <w:rPr>
          <w:color w:val="231F20"/>
          <w:w w:val="105"/>
        </w:rPr>
        <w:t>todos</w:t>
      </w:r>
      <w:r>
        <w:rPr>
          <w:color w:val="231F20"/>
          <w:spacing w:val="-18"/>
          <w:w w:val="105"/>
        </w:rPr>
        <w:t> </w:t>
      </w:r>
      <w:r>
        <w:rPr>
          <w:color w:val="231F20"/>
          <w:w w:val="105"/>
        </w:rPr>
        <w:t>esos</w:t>
      </w:r>
      <w:r>
        <w:rPr>
          <w:color w:val="231F20"/>
          <w:spacing w:val="-18"/>
          <w:w w:val="105"/>
        </w:rPr>
        <w:t> </w:t>
      </w:r>
      <w:r>
        <w:rPr>
          <w:color w:val="231F20"/>
          <w:w w:val="105"/>
        </w:rPr>
        <w:t>lugares</w:t>
      </w:r>
      <w:r>
        <w:rPr>
          <w:color w:val="231F20"/>
          <w:spacing w:val="-18"/>
          <w:w w:val="105"/>
        </w:rPr>
        <w:t> </w:t>
      </w:r>
      <w:r>
        <w:rPr>
          <w:color w:val="231F20"/>
          <w:w w:val="105"/>
        </w:rPr>
        <w:t>trabajó</w:t>
      </w:r>
      <w:r>
        <w:rPr>
          <w:color w:val="231F20"/>
          <w:spacing w:val="-18"/>
          <w:w w:val="105"/>
        </w:rPr>
        <w:t> </w:t>
      </w:r>
      <w:r>
        <w:rPr>
          <w:color w:val="231F20"/>
          <w:w w:val="105"/>
        </w:rPr>
        <w:t>en</w:t>
      </w:r>
      <w:r>
        <w:rPr>
          <w:color w:val="231F20"/>
          <w:spacing w:val="-18"/>
          <w:w w:val="105"/>
        </w:rPr>
        <w:t> </w:t>
      </w:r>
      <w:r>
        <w:rPr>
          <w:color w:val="231F20"/>
          <w:w w:val="105"/>
        </w:rPr>
        <w:t>restaurantes</w:t>
      </w:r>
      <w:r>
        <w:rPr>
          <w:color w:val="231F20"/>
          <w:spacing w:val="-18"/>
          <w:w w:val="105"/>
        </w:rPr>
        <w:t> </w:t>
      </w:r>
      <w:r>
        <w:rPr>
          <w:color w:val="231F20"/>
          <w:w w:val="105"/>
        </w:rPr>
        <w:t>de</w:t>
      </w:r>
      <w:r>
        <w:rPr>
          <w:color w:val="231F20"/>
          <w:spacing w:val="-18"/>
          <w:w w:val="105"/>
        </w:rPr>
        <w:t> </w:t>
      </w:r>
      <w:r>
        <w:rPr>
          <w:color w:val="231F20"/>
          <w:w w:val="105"/>
        </w:rPr>
        <w:t>co- mida</w:t>
      </w:r>
      <w:r>
        <w:rPr>
          <w:color w:val="231F20"/>
          <w:spacing w:val="-19"/>
          <w:w w:val="105"/>
        </w:rPr>
        <w:t> </w:t>
      </w:r>
      <w:r>
        <w:rPr>
          <w:color w:val="231F20"/>
          <w:w w:val="105"/>
        </w:rPr>
        <w:t>rápida,</w:t>
      </w:r>
      <w:r>
        <w:rPr>
          <w:color w:val="231F20"/>
          <w:spacing w:val="-24"/>
          <w:w w:val="105"/>
        </w:rPr>
        <w:t> </w:t>
      </w:r>
      <w:r>
        <w:rPr>
          <w:color w:val="231F20"/>
          <w:w w:val="105"/>
        </w:rPr>
        <w:t>sea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limpieza</w:t>
      </w:r>
      <w:r>
        <w:rPr>
          <w:color w:val="231F20"/>
          <w:spacing w:val="-19"/>
          <w:w w:val="105"/>
        </w:rPr>
        <w:t> </w:t>
      </w:r>
      <w:r>
        <w:rPr>
          <w:color w:val="231F20"/>
          <w:w w:val="105"/>
        </w:rPr>
        <w:t>o</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cocina,</w:t>
      </w:r>
      <w:r>
        <w:rPr>
          <w:color w:val="231F20"/>
          <w:spacing w:val="-24"/>
          <w:w w:val="105"/>
        </w:rPr>
        <w:t> </w:t>
      </w:r>
      <w:r>
        <w:rPr>
          <w:color w:val="231F20"/>
          <w:w w:val="105"/>
        </w:rPr>
        <w:t>es</w:t>
      </w:r>
      <w:r>
        <w:rPr>
          <w:color w:val="231F20"/>
          <w:spacing w:val="-19"/>
          <w:w w:val="105"/>
        </w:rPr>
        <w:t> </w:t>
      </w:r>
      <w:r>
        <w:rPr>
          <w:color w:val="231F20"/>
          <w:w w:val="105"/>
        </w:rPr>
        <w:t>decir,</w:t>
      </w:r>
      <w:r>
        <w:rPr>
          <w:color w:val="231F20"/>
          <w:spacing w:val="-24"/>
          <w:w w:val="105"/>
        </w:rPr>
        <w:t> </w:t>
      </w:r>
      <w:r>
        <w:rPr>
          <w:color w:val="231F20"/>
          <w:w w:val="105"/>
        </w:rPr>
        <w:t>no</w:t>
      </w:r>
      <w:r>
        <w:rPr>
          <w:color w:val="231F20"/>
          <w:spacing w:val="-19"/>
          <w:w w:val="105"/>
        </w:rPr>
        <w:t> </w:t>
      </w:r>
      <w:r>
        <w:rPr>
          <w:color w:val="231F20"/>
          <w:w w:val="105"/>
        </w:rPr>
        <w:t>buscó</w:t>
      </w:r>
      <w:r>
        <w:rPr>
          <w:color w:val="231F20"/>
          <w:spacing w:val="-19"/>
          <w:w w:val="105"/>
        </w:rPr>
        <w:t> </w:t>
      </w:r>
      <w:r>
        <w:rPr>
          <w:color w:val="231F20"/>
          <w:w w:val="105"/>
        </w:rPr>
        <w:t>otro</w:t>
      </w:r>
      <w:r>
        <w:rPr>
          <w:color w:val="231F20"/>
          <w:spacing w:val="-19"/>
          <w:w w:val="105"/>
        </w:rPr>
        <w:t> </w:t>
      </w:r>
      <w:r>
        <w:rPr>
          <w:color w:val="231F20"/>
          <w:w w:val="105"/>
        </w:rPr>
        <w:t>tipo de</w:t>
      </w:r>
      <w:r>
        <w:rPr>
          <w:color w:val="231F20"/>
          <w:spacing w:val="-19"/>
          <w:w w:val="105"/>
        </w:rPr>
        <w:t> </w:t>
      </w:r>
      <w:r>
        <w:rPr>
          <w:color w:val="231F20"/>
          <w:w w:val="105"/>
        </w:rPr>
        <w:t>empleo,</w:t>
      </w:r>
      <w:r>
        <w:rPr>
          <w:color w:val="231F20"/>
          <w:spacing w:val="-24"/>
          <w:w w:val="105"/>
        </w:rPr>
        <w:t> </w:t>
      </w:r>
      <w:r>
        <w:rPr>
          <w:color w:val="231F20"/>
          <w:w w:val="105"/>
        </w:rPr>
        <w:t>para</w:t>
      </w:r>
      <w:r>
        <w:rPr>
          <w:color w:val="231F20"/>
          <w:spacing w:val="-19"/>
          <w:w w:val="105"/>
        </w:rPr>
        <w:t> </w:t>
      </w:r>
      <w:r>
        <w:rPr>
          <w:color w:val="231F20"/>
          <w:w w:val="105"/>
        </w:rPr>
        <w:t>entonces</w:t>
      </w:r>
      <w:r>
        <w:rPr>
          <w:color w:val="231F20"/>
          <w:spacing w:val="-19"/>
          <w:w w:val="105"/>
        </w:rPr>
        <w:t> </w:t>
      </w:r>
      <w:r>
        <w:rPr>
          <w:color w:val="231F20"/>
          <w:w w:val="105"/>
        </w:rPr>
        <w:t>ya</w:t>
      </w:r>
      <w:r>
        <w:rPr>
          <w:color w:val="231F20"/>
          <w:spacing w:val="-19"/>
          <w:w w:val="105"/>
        </w:rPr>
        <w:t> </w:t>
      </w:r>
      <w:r>
        <w:rPr>
          <w:color w:val="231F20"/>
          <w:w w:val="105"/>
        </w:rPr>
        <w:t>hablaba</w:t>
      </w:r>
      <w:r>
        <w:rPr>
          <w:color w:val="231F20"/>
          <w:spacing w:val="-19"/>
          <w:w w:val="105"/>
        </w:rPr>
        <w:t> </w:t>
      </w:r>
      <w:r>
        <w:rPr>
          <w:color w:val="231F20"/>
          <w:w w:val="105"/>
        </w:rPr>
        <w:t>algo</w:t>
      </w:r>
      <w:r>
        <w:rPr>
          <w:color w:val="231F20"/>
          <w:spacing w:val="-19"/>
          <w:w w:val="105"/>
        </w:rPr>
        <w:t> </w:t>
      </w:r>
      <w:r>
        <w:rPr>
          <w:color w:val="231F20"/>
          <w:w w:val="105"/>
        </w:rPr>
        <w:t>de</w:t>
      </w:r>
      <w:r>
        <w:rPr>
          <w:color w:val="231F20"/>
          <w:spacing w:val="-19"/>
          <w:w w:val="105"/>
        </w:rPr>
        <w:t> </w:t>
      </w:r>
      <w:r>
        <w:rPr>
          <w:color w:val="231F20"/>
          <w:w w:val="105"/>
        </w:rPr>
        <w:t>inglés,</w:t>
      </w:r>
      <w:r>
        <w:rPr>
          <w:color w:val="231F20"/>
          <w:spacing w:val="-24"/>
          <w:w w:val="105"/>
        </w:rPr>
        <w:t> </w:t>
      </w:r>
      <w:r>
        <w:rPr>
          <w:color w:val="231F20"/>
          <w:w w:val="105"/>
        </w:rPr>
        <w:t>según</w:t>
      </w:r>
      <w:r>
        <w:rPr>
          <w:color w:val="231F20"/>
          <w:spacing w:val="-19"/>
          <w:w w:val="105"/>
        </w:rPr>
        <w:t> </w:t>
      </w:r>
      <w:r>
        <w:rPr>
          <w:color w:val="231F20"/>
          <w:w w:val="105"/>
        </w:rPr>
        <w:t>comentó.</w:t>
      </w:r>
      <w:r>
        <w:rPr>
          <w:color w:val="231F20"/>
          <w:spacing w:val="-24"/>
          <w:w w:val="105"/>
        </w:rPr>
        <w:t> </w:t>
      </w:r>
      <w:r>
        <w:rPr>
          <w:color w:val="231F20"/>
          <w:w w:val="105"/>
        </w:rPr>
        <w:t>No obstante, al regresar a Miami en 2008 se volvió difícil conseguir un</w:t>
      </w:r>
      <w:r>
        <w:rPr>
          <w:color w:val="231F20"/>
          <w:spacing w:val="-20"/>
          <w:w w:val="105"/>
        </w:rPr>
        <w:t> </w:t>
      </w:r>
      <w:r>
        <w:rPr>
          <w:color w:val="231F20"/>
          <w:w w:val="105"/>
        </w:rPr>
        <w:t>em- pleo</w:t>
      </w:r>
      <w:r>
        <w:rPr>
          <w:color w:val="231F20"/>
          <w:spacing w:val="-13"/>
          <w:w w:val="105"/>
        </w:rPr>
        <w:t> </w:t>
      </w:r>
      <w:r>
        <w:rPr>
          <w:color w:val="231F20"/>
          <w:w w:val="105"/>
        </w:rPr>
        <w:t>y</w:t>
      </w:r>
      <w:r>
        <w:rPr>
          <w:color w:val="231F20"/>
          <w:spacing w:val="-13"/>
          <w:w w:val="105"/>
        </w:rPr>
        <w:t> </w:t>
      </w:r>
      <w:r>
        <w:rPr>
          <w:color w:val="231F20"/>
          <w:w w:val="105"/>
        </w:rPr>
        <w:t>tuvo</w:t>
      </w:r>
      <w:r>
        <w:rPr>
          <w:color w:val="231F20"/>
          <w:spacing w:val="-13"/>
          <w:w w:val="105"/>
        </w:rPr>
        <w:t> </w:t>
      </w:r>
      <w:r>
        <w:rPr>
          <w:color w:val="231F20"/>
          <w:w w:val="105"/>
        </w:rPr>
        <w:t>que</w:t>
      </w:r>
      <w:r>
        <w:rPr>
          <w:color w:val="231F20"/>
          <w:spacing w:val="-13"/>
          <w:w w:val="105"/>
        </w:rPr>
        <w:t> </w:t>
      </w:r>
      <w:r>
        <w:rPr>
          <w:color w:val="231F20"/>
          <w:w w:val="105"/>
        </w:rPr>
        <w:t>“usar</w:t>
      </w:r>
      <w:r>
        <w:rPr>
          <w:color w:val="231F20"/>
          <w:spacing w:val="-13"/>
          <w:w w:val="105"/>
        </w:rPr>
        <w:t> </w:t>
      </w:r>
      <w:r>
        <w:rPr>
          <w:color w:val="231F20"/>
          <w:w w:val="105"/>
        </w:rPr>
        <w:t>unos</w:t>
      </w:r>
      <w:r>
        <w:rPr>
          <w:color w:val="231F20"/>
          <w:spacing w:val="-13"/>
          <w:w w:val="105"/>
        </w:rPr>
        <w:t> </w:t>
      </w:r>
      <w:r>
        <w:rPr>
          <w:color w:val="231F20"/>
          <w:w w:val="105"/>
        </w:rPr>
        <w:t>papeles</w:t>
      </w:r>
      <w:r>
        <w:rPr>
          <w:color w:val="231F20"/>
          <w:spacing w:val="-13"/>
          <w:w w:val="105"/>
        </w:rPr>
        <w:t> </w:t>
      </w:r>
      <w:r>
        <w:rPr>
          <w:color w:val="231F20"/>
          <w:w w:val="105"/>
        </w:rPr>
        <w:t>falsos</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spacing w:val="-3"/>
          <w:w w:val="105"/>
        </w:rPr>
        <w:t>nicaragüense”,</w:t>
      </w:r>
      <w:r>
        <w:rPr>
          <w:color w:val="231F20"/>
          <w:spacing w:val="-20"/>
          <w:w w:val="105"/>
        </w:rPr>
        <w:t> </w:t>
      </w:r>
      <w:r>
        <w:rPr>
          <w:color w:val="231F20"/>
          <w:w w:val="105"/>
        </w:rPr>
        <w:t>para</w:t>
      </w:r>
      <w:r>
        <w:rPr>
          <w:color w:val="231F20"/>
          <w:spacing w:val="-13"/>
          <w:w w:val="105"/>
        </w:rPr>
        <w:t> </w:t>
      </w:r>
      <w:r>
        <w:rPr>
          <w:color w:val="231F20"/>
          <w:w w:val="105"/>
        </w:rPr>
        <w:t>em- plearse como trabajadora de limpieza en una escuela, allí estuvo hasta que</w:t>
      </w:r>
      <w:r>
        <w:rPr>
          <w:color w:val="231F20"/>
          <w:spacing w:val="-18"/>
          <w:w w:val="105"/>
        </w:rPr>
        <w:t> </w:t>
      </w:r>
      <w:r>
        <w:rPr>
          <w:color w:val="231F20"/>
          <w:w w:val="105"/>
        </w:rPr>
        <w:t>finalmente</w:t>
      </w:r>
      <w:r>
        <w:rPr>
          <w:color w:val="231F20"/>
          <w:spacing w:val="-18"/>
          <w:w w:val="105"/>
        </w:rPr>
        <w:t> </w:t>
      </w:r>
      <w:r>
        <w:rPr>
          <w:color w:val="231F20"/>
          <w:w w:val="105"/>
        </w:rPr>
        <w:t>regresó</w:t>
      </w:r>
      <w:r>
        <w:rPr>
          <w:color w:val="231F20"/>
          <w:spacing w:val="-18"/>
          <w:w w:val="105"/>
        </w:rPr>
        <w:t> </w:t>
      </w:r>
      <w:r>
        <w:rPr>
          <w:color w:val="231F20"/>
          <w:w w:val="105"/>
        </w:rPr>
        <w:t>a</w:t>
      </w:r>
      <w:r>
        <w:rPr>
          <w:color w:val="231F20"/>
          <w:spacing w:val="-18"/>
          <w:w w:val="105"/>
        </w:rPr>
        <w:t> </w:t>
      </w:r>
      <w:r>
        <w:rPr>
          <w:color w:val="231F20"/>
          <w:w w:val="105"/>
        </w:rPr>
        <w:t>México,</w:t>
      </w:r>
      <w:r>
        <w:rPr>
          <w:color w:val="231F20"/>
          <w:spacing w:val="-24"/>
          <w:w w:val="105"/>
        </w:rPr>
        <w:t> </w:t>
      </w:r>
      <w:r>
        <w:rPr>
          <w:color w:val="231F20"/>
          <w:w w:val="105"/>
        </w:rPr>
        <w:t>pues</w:t>
      </w:r>
      <w:r>
        <w:rPr>
          <w:color w:val="231F20"/>
          <w:spacing w:val="-18"/>
          <w:w w:val="105"/>
        </w:rPr>
        <w:t> </w:t>
      </w:r>
      <w:r>
        <w:rPr>
          <w:color w:val="231F20"/>
          <w:w w:val="105"/>
        </w:rPr>
        <w:t>al</w:t>
      </w:r>
      <w:r>
        <w:rPr>
          <w:color w:val="231F20"/>
          <w:spacing w:val="-18"/>
          <w:w w:val="105"/>
        </w:rPr>
        <w:t> </w:t>
      </w:r>
      <w:r>
        <w:rPr>
          <w:color w:val="231F20"/>
          <w:w w:val="105"/>
        </w:rPr>
        <w:t>final</w:t>
      </w:r>
      <w:r>
        <w:rPr>
          <w:color w:val="231F20"/>
          <w:spacing w:val="-18"/>
          <w:w w:val="105"/>
        </w:rPr>
        <w:t> </w:t>
      </w:r>
      <w:r>
        <w:rPr>
          <w:color w:val="231F20"/>
          <w:w w:val="105"/>
        </w:rPr>
        <w:t>vivía</w:t>
      </w:r>
      <w:r>
        <w:rPr>
          <w:color w:val="231F20"/>
          <w:spacing w:val="-18"/>
          <w:w w:val="105"/>
        </w:rPr>
        <w:t> </w:t>
      </w:r>
      <w:r>
        <w:rPr>
          <w:color w:val="231F20"/>
          <w:w w:val="105"/>
        </w:rPr>
        <w:t>en</w:t>
      </w:r>
      <w:r>
        <w:rPr>
          <w:color w:val="231F20"/>
          <w:spacing w:val="-18"/>
          <w:w w:val="105"/>
        </w:rPr>
        <w:t> </w:t>
      </w:r>
      <w:r>
        <w:rPr>
          <w:color w:val="231F20"/>
          <w:w w:val="105"/>
        </w:rPr>
        <w:t>“una</w:t>
      </w:r>
      <w:r>
        <w:rPr>
          <w:color w:val="231F20"/>
          <w:spacing w:val="-18"/>
          <w:w w:val="105"/>
        </w:rPr>
        <w:t> </w:t>
      </w:r>
      <w:r>
        <w:rPr>
          <w:color w:val="231F20"/>
          <w:w w:val="105"/>
        </w:rPr>
        <w:t>traila”</w:t>
      </w:r>
      <w:r>
        <w:rPr>
          <w:color w:val="231F20"/>
          <w:spacing w:val="-18"/>
          <w:w w:val="105"/>
        </w:rPr>
        <w:t> </w:t>
      </w:r>
      <w:r>
        <w:rPr>
          <w:color w:val="231F20"/>
          <w:w w:val="105"/>
        </w:rPr>
        <w:t>(un</w:t>
      </w:r>
      <w:r>
        <w:rPr>
          <w:color w:val="231F20"/>
          <w:spacing w:val="-18"/>
          <w:w w:val="105"/>
        </w:rPr>
        <w:t> </w:t>
      </w:r>
      <w:r>
        <w:rPr>
          <w:color w:val="231F20"/>
          <w:w w:val="105"/>
        </w:rPr>
        <w:t>ca- mión o tráiler adaptado como vivienda) con “pobreza y pensó que para eso</w:t>
      </w:r>
      <w:r>
        <w:rPr>
          <w:color w:val="231F20"/>
          <w:spacing w:val="-33"/>
          <w:w w:val="105"/>
        </w:rPr>
        <w:t> </w:t>
      </w:r>
      <w:r>
        <w:rPr>
          <w:color w:val="231F20"/>
          <w:w w:val="105"/>
        </w:rPr>
        <w:t>mejor</w:t>
      </w:r>
      <w:r>
        <w:rPr>
          <w:color w:val="231F20"/>
          <w:spacing w:val="-33"/>
          <w:w w:val="105"/>
        </w:rPr>
        <w:t> </w:t>
      </w:r>
      <w:r>
        <w:rPr>
          <w:color w:val="231F20"/>
          <w:w w:val="105"/>
        </w:rPr>
        <w:t>se</w:t>
      </w:r>
      <w:r>
        <w:rPr>
          <w:color w:val="231F20"/>
          <w:spacing w:val="-33"/>
          <w:w w:val="105"/>
        </w:rPr>
        <w:t> </w:t>
      </w:r>
      <w:r>
        <w:rPr>
          <w:color w:val="231F20"/>
          <w:w w:val="105"/>
        </w:rPr>
        <w:t>regresaba</w:t>
      </w:r>
      <w:r>
        <w:rPr>
          <w:color w:val="231F20"/>
          <w:spacing w:val="-33"/>
          <w:w w:val="105"/>
        </w:rPr>
        <w:t> </w:t>
      </w:r>
      <w:r>
        <w:rPr>
          <w:color w:val="231F20"/>
          <w:w w:val="105"/>
        </w:rPr>
        <w:t>a</w:t>
      </w:r>
      <w:r>
        <w:rPr>
          <w:color w:val="231F20"/>
          <w:spacing w:val="-33"/>
          <w:w w:val="105"/>
        </w:rPr>
        <w:t> </w:t>
      </w:r>
      <w:r>
        <w:rPr>
          <w:color w:val="231F20"/>
          <w:spacing w:val="-4"/>
          <w:w w:val="105"/>
        </w:rPr>
        <w:t>México”.</w:t>
      </w:r>
      <w:r>
        <w:rPr>
          <w:color w:val="231F20"/>
          <w:spacing w:val="-37"/>
          <w:w w:val="105"/>
        </w:rPr>
        <w:t> </w:t>
      </w:r>
      <w:r>
        <w:rPr>
          <w:color w:val="231F20"/>
          <w:w w:val="105"/>
        </w:rPr>
        <w:t>En</w:t>
      </w:r>
      <w:r>
        <w:rPr>
          <w:color w:val="231F20"/>
          <w:spacing w:val="-33"/>
          <w:w w:val="105"/>
        </w:rPr>
        <w:t> </w:t>
      </w:r>
      <w:r>
        <w:rPr>
          <w:color w:val="231F20"/>
          <w:w w:val="105"/>
        </w:rPr>
        <w:t>2009,</w:t>
      </w:r>
      <w:r>
        <w:rPr>
          <w:color w:val="231F20"/>
          <w:spacing w:val="-37"/>
          <w:w w:val="105"/>
        </w:rPr>
        <w:t> </w:t>
      </w:r>
      <w:r>
        <w:rPr>
          <w:color w:val="231F20"/>
          <w:w w:val="105"/>
        </w:rPr>
        <w:t>Esperanza</w:t>
      </w:r>
      <w:r>
        <w:rPr>
          <w:color w:val="231F20"/>
          <w:spacing w:val="-33"/>
          <w:w w:val="105"/>
        </w:rPr>
        <w:t> </w:t>
      </w:r>
      <w:r>
        <w:rPr>
          <w:color w:val="231F20"/>
          <w:w w:val="105"/>
        </w:rPr>
        <w:t>y</w:t>
      </w:r>
      <w:r>
        <w:rPr>
          <w:color w:val="231F20"/>
          <w:spacing w:val="-33"/>
          <w:w w:val="105"/>
        </w:rPr>
        <w:t> </w:t>
      </w:r>
      <w:r>
        <w:rPr>
          <w:color w:val="231F20"/>
          <w:w w:val="105"/>
        </w:rPr>
        <w:t>sus</w:t>
      </w:r>
      <w:r>
        <w:rPr>
          <w:color w:val="231F20"/>
          <w:spacing w:val="-33"/>
          <w:w w:val="105"/>
        </w:rPr>
        <w:t> </w:t>
      </w:r>
      <w:r>
        <w:rPr>
          <w:color w:val="231F20"/>
          <w:w w:val="105"/>
        </w:rPr>
        <w:t>familiares</w:t>
      </w:r>
      <w:r>
        <w:rPr>
          <w:color w:val="231F20"/>
          <w:spacing w:val="-8"/>
          <w:w w:val="105"/>
        </w:rPr>
        <w:t> </w:t>
      </w:r>
      <w:r>
        <w:rPr>
          <w:color w:val="231F20"/>
          <w:w w:val="105"/>
        </w:rPr>
        <w:t>to- maron</w:t>
      </w:r>
      <w:r>
        <w:rPr>
          <w:color w:val="231F20"/>
          <w:spacing w:val="-19"/>
          <w:w w:val="105"/>
        </w:rPr>
        <w:t> </w:t>
      </w:r>
      <w:r>
        <w:rPr>
          <w:color w:val="231F20"/>
          <w:w w:val="105"/>
        </w:rPr>
        <w:t>la</w:t>
      </w:r>
      <w:r>
        <w:rPr>
          <w:color w:val="231F20"/>
          <w:spacing w:val="-19"/>
          <w:w w:val="105"/>
        </w:rPr>
        <w:t> </w:t>
      </w:r>
      <w:r>
        <w:rPr>
          <w:color w:val="231F20"/>
          <w:w w:val="105"/>
        </w:rPr>
        <w:t>decisión</w:t>
      </w:r>
      <w:r>
        <w:rPr>
          <w:color w:val="231F20"/>
          <w:spacing w:val="-19"/>
          <w:w w:val="105"/>
        </w:rPr>
        <w:t> </w:t>
      </w:r>
      <w:r>
        <w:rPr>
          <w:color w:val="231F20"/>
          <w:w w:val="105"/>
        </w:rPr>
        <w:t>de</w:t>
      </w:r>
      <w:r>
        <w:rPr>
          <w:color w:val="231F20"/>
          <w:spacing w:val="-19"/>
          <w:w w:val="105"/>
        </w:rPr>
        <w:t> </w:t>
      </w:r>
      <w:r>
        <w:rPr>
          <w:color w:val="231F20"/>
          <w:w w:val="105"/>
        </w:rPr>
        <w:t>regresar</w:t>
      </w:r>
      <w:r>
        <w:rPr>
          <w:color w:val="231F20"/>
          <w:spacing w:val="-19"/>
          <w:w w:val="105"/>
        </w:rPr>
        <w:t> </w:t>
      </w:r>
      <w:r>
        <w:rPr>
          <w:color w:val="231F20"/>
          <w:w w:val="105"/>
        </w:rPr>
        <w:t>porque</w:t>
      </w:r>
      <w:r>
        <w:rPr>
          <w:color w:val="231F20"/>
          <w:spacing w:val="-19"/>
          <w:w w:val="105"/>
        </w:rPr>
        <w:t> </w:t>
      </w:r>
      <w:r>
        <w:rPr>
          <w:color w:val="231F20"/>
          <w:w w:val="105"/>
        </w:rPr>
        <w:t>estaban</w:t>
      </w:r>
      <w:r>
        <w:rPr>
          <w:color w:val="231F20"/>
          <w:spacing w:val="-19"/>
          <w:w w:val="105"/>
        </w:rPr>
        <w:t> </w:t>
      </w:r>
      <w:r>
        <w:rPr>
          <w:color w:val="231F20"/>
          <w:w w:val="105"/>
        </w:rPr>
        <w:t>acumulando</w:t>
      </w:r>
      <w:r>
        <w:rPr>
          <w:color w:val="231F20"/>
          <w:spacing w:val="-19"/>
          <w:w w:val="105"/>
        </w:rPr>
        <w:t> </w:t>
      </w:r>
      <w:r>
        <w:rPr>
          <w:color w:val="231F20"/>
          <w:w w:val="105"/>
        </w:rPr>
        <w:t>deudas.</w:t>
      </w:r>
      <w:r>
        <w:rPr>
          <w:color w:val="231F20"/>
          <w:spacing w:val="-29"/>
          <w:w w:val="105"/>
        </w:rPr>
        <w:t> </w:t>
      </w:r>
      <w:r>
        <w:rPr>
          <w:color w:val="231F20"/>
          <w:spacing w:val="-6"/>
          <w:w w:val="105"/>
        </w:rPr>
        <w:t>Tan- </w:t>
      </w:r>
      <w:r>
        <w:rPr>
          <w:color w:val="231F20"/>
          <w:w w:val="105"/>
        </w:rPr>
        <w:t>to</w:t>
      </w:r>
      <w:r>
        <w:rPr>
          <w:color w:val="231F20"/>
          <w:spacing w:val="-4"/>
          <w:w w:val="105"/>
        </w:rPr>
        <w:t> </w:t>
      </w:r>
      <w:r>
        <w:rPr>
          <w:color w:val="231F20"/>
          <w:w w:val="105"/>
        </w:rPr>
        <w:t>la</w:t>
      </w:r>
      <w:r>
        <w:rPr>
          <w:color w:val="231F20"/>
          <w:spacing w:val="-4"/>
          <w:w w:val="105"/>
        </w:rPr>
        <w:t> </w:t>
      </w:r>
      <w:r>
        <w:rPr>
          <w:color w:val="231F20"/>
          <w:w w:val="105"/>
        </w:rPr>
        <w:t>familia</w:t>
      </w:r>
      <w:r>
        <w:rPr>
          <w:color w:val="231F20"/>
          <w:spacing w:val="-4"/>
          <w:w w:val="105"/>
        </w:rPr>
        <w:t> </w:t>
      </w:r>
      <w:r>
        <w:rPr>
          <w:color w:val="231F20"/>
          <w:w w:val="105"/>
        </w:rPr>
        <w:t>de</w:t>
      </w:r>
      <w:r>
        <w:rPr>
          <w:color w:val="231F20"/>
          <w:spacing w:val="-4"/>
          <w:w w:val="105"/>
        </w:rPr>
        <w:t> </w:t>
      </w:r>
      <w:r>
        <w:rPr>
          <w:color w:val="231F20"/>
          <w:w w:val="105"/>
        </w:rPr>
        <w:t>su</w:t>
      </w:r>
      <w:r>
        <w:rPr>
          <w:color w:val="231F20"/>
          <w:spacing w:val="-4"/>
          <w:w w:val="105"/>
        </w:rPr>
        <w:t> </w:t>
      </w:r>
      <w:r>
        <w:rPr>
          <w:color w:val="231F20"/>
          <w:w w:val="105"/>
        </w:rPr>
        <w:t>hermano</w:t>
      </w:r>
      <w:r>
        <w:rPr>
          <w:color w:val="231F20"/>
          <w:spacing w:val="-4"/>
          <w:w w:val="105"/>
        </w:rPr>
        <w:t> </w:t>
      </w:r>
      <w:r>
        <w:rPr>
          <w:color w:val="231F20"/>
          <w:w w:val="105"/>
        </w:rPr>
        <w:t>como</w:t>
      </w:r>
      <w:r>
        <w:rPr>
          <w:color w:val="231F20"/>
          <w:spacing w:val="-4"/>
          <w:w w:val="105"/>
        </w:rPr>
        <w:t> </w:t>
      </w:r>
      <w:r>
        <w:rPr>
          <w:color w:val="231F20"/>
          <w:w w:val="105"/>
        </w:rPr>
        <w:t>la</w:t>
      </w:r>
      <w:r>
        <w:rPr>
          <w:color w:val="231F20"/>
          <w:spacing w:val="-4"/>
          <w:w w:val="105"/>
        </w:rPr>
        <w:t> </w:t>
      </w:r>
      <w:r>
        <w:rPr>
          <w:color w:val="231F20"/>
          <w:w w:val="105"/>
        </w:rPr>
        <w:t>propia</w:t>
      </w:r>
      <w:r>
        <w:rPr>
          <w:color w:val="231F20"/>
          <w:spacing w:val="-4"/>
          <w:w w:val="105"/>
        </w:rPr>
        <w:t> </w:t>
      </w:r>
      <w:r>
        <w:rPr>
          <w:color w:val="231F20"/>
          <w:w w:val="105"/>
        </w:rPr>
        <w:t>volvieron</w:t>
      </w:r>
      <w:r>
        <w:rPr>
          <w:color w:val="231F20"/>
          <w:spacing w:val="-4"/>
          <w:w w:val="105"/>
        </w:rPr>
        <w:t> </w:t>
      </w:r>
      <w:r>
        <w:rPr>
          <w:color w:val="231F20"/>
          <w:w w:val="105"/>
        </w:rPr>
        <w:t>–según</w:t>
      </w:r>
      <w:r>
        <w:rPr>
          <w:color w:val="231F20"/>
          <w:spacing w:val="-4"/>
          <w:w w:val="105"/>
        </w:rPr>
        <w:t> </w:t>
      </w:r>
      <w:r>
        <w:rPr>
          <w:color w:val="231F20"/>
          <w:w w:val="105"/>
        </w:rPr>
        <w:t>el</w:t>
      </w:r>
      <w:r>
        <w:rPr>
          <w:color w:val="231F20"/>
          <w:spacing w:val="-4"/>
          <w:w w:val="105"/>
        </w:rPr>
        <w:t> </w:t>
      </w:r>
      <w:r>
        <w:rPr>
          <w:color w:val="231F20"/>
          <w:w w:val="105"/>
        </w:rPr>
        <w:t>relato</w:t>
      </w:r>
      <w:r>
        <w:rPr>
          <w:color w:val="231F20"/>
          <w:spacing w:val="-4"/>
          <w:w w:val="105"/>
        </w:rPr>
        <w:t> </w:t>
      </w:r>
      <w:r>
        <w:rPr>
          <w:color w:val="231F20"/>
          <w:w w:val="105"/>
        </w:rPr>
        <w:t>de Esperanza–</w:t>
      </w:r>
      <w:r>
        <w:rPr>
          <w:color w:val="231F20"/>
          <w:spacing w:val="33"/>
          <w:w w:val="105"/>
        </w:rPr>
        <w:t> </w:t>
      </w:r>
      <w:r>
        <w:rPr>
          <w:color w:val="231F20"/>
          <w:w w:val="105"/>
        </w:rPr>
        <w:t>a</w:t>
      </w:r>
      <w:r>
        <w:rPr>
          <w:color w:val="231F20"/>
          <w:spacing w:val="-13"/>
          <w:w w:val="105"/>
        </w:rPr>
        <w:t> </w:t>
      </w:r>
      <w:r>
        <w:rPr>
          <w:color w:val="231F20"/>
          <w:w w:val="105"/>
        </w:rPr>
        <w:t>un</w:t>
      </w:r>
      <w:r>
        <w:rPr>
          <w:color w:val="231F20"/>
          <w:spacing w:val="-13"/>
          <w:w w:val="105"/>
        </w:rPr>
        <w:t> </w:t>
      </w:r>
      <w:r>
        <w:rPr>
          <w:color w:val="231F20"/>
          <w:w w:val="105"/>
        </w:rPr>
        <w:t>municipio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zona</w:t>
      </w:r>
      <w:r>
        <w:rPr>
          <w:color w:val="231F20"/>
          <w:spacing w:val="-13"/>
          <w:w w:val="105"/>
        </w:rPr>
        <w:t> </w:t>
      </w:r>
      <w:r>
        <w:rPr>
          <w:color w:val="231F20"/>
          <w:w w:val="105"/>
        </w:rPr>
        <w:t>metropolitana</w:t>
      </w:r>
      <w:r>
        <w:rPr>
          <w:color w:val="231F20"/>
          <w:spacing w:val="-13"/>
          <w:w w:val="105"/>
        </w:rPr>
        <w:t> </w:t>
      </w:r>
      <w:r>
        <w:rPr>
          <w:color w:val="231F20"/>
          <w:w w:val="105"/>
        </w:rPr>
        <w:t>de</w:t>
      </w:r>
      <w:r>
        <w:rPr>
          <w:color w:val="231F20"/>
          <w:spacing w:val="-13"/>
          <w:w w:val="105"/>
        </w:rPr>
        <w:t> </w:t>
      </w:r>
      <w:r>
        <w:rPr>
          <w:color w:val="231F20"/>
          <w:w w:val="105"/>
        </w:rPr>
        <w:t>Guadalajara,</w:t>
      </w:r>
      <w:r>
        <w:rPr>
          <w:color w:val="231F20"/>
          <w:spacing w:val="-18"/>
          <w:w w:val="105"/>
        </w:rPr>
        <w:t> </w:t>
      </w:r>
      <w:r>
        <w:rPr>
          <w:color w:val="231F20"/>
          <w:w w:val="105"/>
        </w:rPr>
        <w:t>en el</w:t>
      </w:r>
      <w:r>
        <w:rPr>
          <w:color w:val="231F20"/>
          <w:spacing w:val="-7"/>
          <w:w w:val="105"/>
        </w:rPr>
        <w:t> </w:t>
      </w:r>
      <w:r>
        <w:rPr>
          <w:color w:val="231F20"/>
          <w:w w:val="105"/>
        </w:rPr>
        <w:t>estado</w:t>
      </w:r>
      <w:r>
        <w:rPr>
          <w:color w:val="231F20"/>
          <w:spacing w:val="-7"/>
          <w:w w:val="105"/>
        </w:rPr>
        <w:t> </w:t>
      </w:r>
      <w:r>
        <w:rPr>
          <w:color w:val="231F20"/>
          <w:w w:val="105"/>
        </w:rPr>
        <w:t>de</w:t>
      </w:r>
      <w:r>
        <w:rPr>
          <w:color w:val="231F20"/>
          <w:spacing w:val="-9"/>
          <w:w w:val="105"/>
        </w:rPr>
        <w:t> </w:t>
      </w:r>
      <w:r>
        <w:rPr>
          <w:color w:val="231F20"/>
          <w:w w:val="105"/>
        </w:rPr>
        <w:t>Jalisco</w:t>
      </w:r>
      <w:r>
        <w:rPr>
          <w:color w:val="231F20"/>
          <w:spacing w:val="-7"/>
          <w:w w:val="105"/>
        </w:rPr>
        <w:t> </w:t>
      </w:r>
      <w:r>
        <w:rPr>
          <w:color w:val="231F20"/>
          <w:w w:val="105"/>
        </w:rPr>
        <w:t>(no</w:t>
      </w:r>
      <w:r>
        <w:rPr>
          <w:color w:val="231F20"/>
          <w:spacing w:val="-7"/>
          <w:w w:val="105"/>
        </w:rPr>
        <w:t> </w:t>
      </w:r>
      <w:r>
        <w:rPr>
          <w:color w:val="231F20"/>
          <w:w w:val="105"/>
        </w:rPr>
        <w:t>refirió</w:t>
      </w:r>
      <w:r>
        <w:rPr>
          <w:color w:val="231F20"/>
          <w:spacing w:val="-7"/>
          <w:w w:val="105"/>
        </w:rPr>
        <w:t> </w:t>
      </w:r>
      <w:r>
        <w:rPr>
          <w:color w:val="231F20"/>
          <w:w w:val="105"/>
        </w:rPr>
        <w:t>su</w:t>
      </w:r>
      <w:r>
        <w:rPr>
          <w:color w:val="231F20"/>
          <w:spacing w:val="-7"/>
          <w:w w:val="105"/>
        </w:rPr>
        <w:t> </w:t>
      </w:r>
      <w:r>
        <w:rPr>
          <w:color w:val="231F20"/>
          <w:w w:val="105"/>
        </w:rPr>
        <w:t>nombre),</w:t>
      </w:r>
      <w:r>
        <w:rPr>
          <w:color w:val="231F20"/>
          <w:spacing w:val="-12"/>
          <w:w w:val="105"/>
        </w:rPr>
        <w:t> </w:t>
      </w:r>
      <w:r>
        <w:rPr>
          <w:color w:val="231F20"/>
          <w:w w:val="105"/>
        </w:rPr>
        <w:t>y</w:t>
      </w:r>
      <w:r>
        <w:rPr>
          <w:color w:val="231F20"/>
          <w:spacing w:val="-7"/>
          <w:w w:val="105"/>
        </w:rPr>
        <w:t> </w:t>
      </w:r>
      <w:r>
        <w:rPr>
          <w:color w:val="231F20"/>
          <w:w w:val="105"/>
        </w:rPr>
        <w:t>unos</w:t>
      </w:r>
      <w:r>
        <w:rPr>
          <w:color w:val="231F20"/>
          <w:spacing w:val="-7"/>
          <w:w w:val="105"/>
        </w:rPr>
        <w:t> </w:t>
      </w:r>
      <w:r>
        <w:rPr>
          <w:color w:val="231F20"/>
          <w:w w:val="105"/>
        </w:rPr>
        <w:t>meses</w:t>
      </w:r>
      <w:r>
        <w:rPr>
          <w:color w:val="231F20"/>
          <w:spacing w:val="-7"/>
          <w:w w:val="105"/>
        </w:rPr>
        <w:t> </w:t>
      </w:r>
      <w:r>
        <w:rPr>
          <w:color w:val="231F20"/>
          <w:w w:val="105"/>
        </w:rPr>
        <w:t>después</w:t>
      </w:r>
      <w:r>
        <w:rPr>
          <w:color w:val="231F20"/>
          <w:spacing w:val="-7"/>
          <w:w w:val="105"/>
        </w:rPr>
        <w:t> </w:t>
      </w:r>
      <w:r>
        <w:rPr>
          <w:color w:val="231F20"/>
          <w:w w:val="105"/>
        </w:rPr>
        <w:t>deci- dieron</w:t>
      </w:r>
      <w:r>
        <w:rPr>
          <w:color w:val="231F20"/>
          <w:spacing w:val="-18"/>
          <w:w w:val="105"/>
        </w:rPr>
        <w:t> </w:t>
      </w:r>
      <w:r>
        <w:rPr>
          <w:color w:val="231F20"/>
          <w:w w:val="105"/>
        </w:rPr>
        <w:t>volver</w:t>
      </w:r>
      <w:r>
        <w:rPr>
          <w:color w:val="231F20"/>
          <w:spacing w:val="-18"/>
          <w:w w:val="105"/>
        </w:rPr>
        <w:t> </w:t>
      </w:r>
      <w:r>
        <w:rPr>
          <w:color w:val="231F20"/>
          <w:w w:val="105"/>
        </w:rPr>
        <w:t>a</w:t>
      </w:r>
      <w:r>
        <w:rPr>
          <w:color w:val="231F20"/>
          <w:spacing w:val="-18"/>
          <w:w w:val="105"/>
        </w:rPr>
        <w:t> </w:t>
      </w:r>
      <w:r>
        <w:rPr>
          <w:color w:val="231F20"/>
          <w:w w:val="105"/>
        </w:rPr>
        <w:t>Nezahualcóyotl,</w:t>
      </w:r>
      <w:r>
        <w:rPr>
          <w:color w:val="231F20"/>
          <w:spacing w:val="-24"/>
          <w:w w:val="105"/>
        </w:rPr>
        <w:t> </w:t>
      </w:r>
      <w:r>
        <w:rPr>
          <w:color w:val="231F20"/>
          <w:w w:val="105"/>
        </w:rPr>
        <w:t>donde</w:t>
      </w:r>
      <w:r>
        <w:rPr>
          <w:color w:val="231F20"/>
          <w:spacing w:val="-18"/>
          <w:w w:val="105"/>
        </w:rPr>
        <w:t> </w:t>
      </w:r>
      <w:r>
        <w:rPr>
          <w:color w:val="231F20"/>
          <w:w w:val="105"/>
        </w:rPr>
        <w:t>asegura</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encuentra</w:t>
      </w:r>
      <w:r>
        <w:rPr>
          <w:color w:val="231F20"/>
          <w:spacing w:val="-18"/>
          <w:w w:val="105"/>
        </w:rPr>
        <w:t> </w:t>
      </w:r>
      <w:r>
        <w:rPr>
          <w:color w:val="231F20"/>
          <w:w w:val="105"/>
        </w:rPr>
        <w:t>mucho mejor que en otro sitio, pues tiene familiares que la apoyan en tiempos difíciles</w:t>
      </w:r>
      <w:r>
        <w:rPr>
          <w:color w:val="231F20"/>
          <w:spacing w:val="-20"/>
          <w:w w:val="105"/>
        </w:rPr>
        <w:t> </w:t>
      </w:r>
      <w:r>
        <w:rPr>
          <w:color w:val="231F20"/>
          <w:w w:val="105"/>
        </w:rPr>
        <w:t>e</w:t>
      </w:r>
      <w:r>
        <w:rPr>
          <w:color w:val="231F20"/>
          <w:spacing w:val="-20"/>
          <w:w w:val="105"/>
        </w:rPr>
        <w:t> </w:t>
      </w:r>
      <w:r>
        <w:rPr>
          <w:color w:val="231F20"/>
          <w:w w:val="105"/>
        </w:rPr>
        <w:t>incluso</w:t>
      </w:r>
      <w:r>
        <w:rPr>
          <w:color w:val="231F20"/>
          <w:spacing w:val="-20"/>
          <w:w w:val="105"/>
        </w:rPr>
        <w:t> </w:t>
      </w:r>
      <w:r>
        <w:rPr>
          <w:color w:val="231F20"/>
          <w:w w:val="105"/>
        </w:rPr>
        <w:t>organizaron</w:t>
      </w:r>
      <w:r>
        <w:rPr>
          <w:color w:val="231F20"/>
          <w:spacing w:val="-20"/>
          <w:w w:val="105"/>
        </w:rPr>
        <w:t> </w:t>
      </w:r>
      <w:r>
        <w:rPr>
          <w:color w:val="231F20"/>
          <w:w w:val="105"/>
        </w:rPr>
        <w:t>una</w:t>
      </w:r>
      <w:r>
        <w:rPr>
          <w:color w:val="231F20"/>
          <w:spacing w:val="-20"/>
          <w:w w:val="105"/>
        </w:rPr>
        <w:t> </w:t>
      </w:r>
      <w:r>
        <w:rPr>
          <w:color w:val="231F20"/>
          <w:w w:val="105"/>
        </w:rPr>
        <w:t>fiesta</w:t>
      </w:r>
      <w:r>
        <w:rPr>
          <w:color w:val="231F20"/>
          <w:spacing w:val="-20"/>
          <w:w w:val="105"/>
        </w:rPr>
        <w:t> </w:t>
      </w:r>
      <w:r>
        <w:rPr>
          <w:color w:val="231F20"/>
          <w:w w:val="105"/>
        </w:rPr>
        <w:t>para</w:t>
      </w:r>
      <w:r>
        <w:rPr>
          <w:color w:val="231F20"/>
          <w:spacing w:val="-20"/>
          <w:w w:val="105"/>
        </w:rPr>
        <w:t> </w:t>
      </w:r>
      <w:r>
        <w:rPr>
          <w:color w:val="231F20"/>
          <w:w w:val="105"/>
        </w:rPr>
        <w:t>recibirlos.</w:t>
      </w:r>
    </w:p>
    <w:p>
      <w:pPr>
        <w:pStyle w:val="BodyText"/>
        <w:rPr>
          <w:sz w:val="20"/>
        </w:rPr>
      </w:pPr>
    </w:p>
    <w:p>
      <w:pPr>
        <w:pStyle w:val="BodyText"/>
        <w:spacing w:before="9"/>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6392" from="131.551193pt,3.703715pt" to="131.551193pt,39.506114pt" stroked="true" strokeweight=".35pt" strokecolor="#231f20">
            <w10:wrap type="none"/>
          </v:line>
        </w:pict>
      </w:r>
      <w:r>
        <w:rPr/>
        <w:pict>
          <v:line style="position:absolute;mso-position-horizontal-relative:page;mso-position-vertical-relative:paragraph;z-index:-476320" from="15pt,39.505917pt" to="0pt,39.505917pt" stroked="true" strokeweight=".25pt" strokecolor="#000000">
            <w10:wrap type="none"/>
          </v:line>
        </w:pict>
      </w:r>
      <w:r>
        <w:rPr/>
        <w:pict>
          <v:line style="position:absolute;mso-position-horizontal-relative:page;mso-position-vertical-relative:paragraph;z-index:13888" from="508.890015pt,39.505917pt" to="523.890015pt,39.505917pt" stroked="true" strokeweight=".25pt" strokecolor="#000000">
            <w10:wrap type="none"/>
          </v:line>
        </w:pict>
      </w:r>
      <w:r>
        <w:rPr>
          <w:rFonts w:ascii="Arial" w:hAnsi="Arial"/>
          <w:color w:val="414042"/>
          <w:position w:val="-5"/>
          <w:sz w:val="20"/>
        </w:rPr>
        <w:t>136</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76200" from="15pt,715.487793pt" to="0pt,715.487793pt" stroked="true" strokeweight=".25pt" strokecolor="#000000">
            <w10:wrap type="none"/>
          </v:line>
        </w:pict>
      </w:r>
      <w:r>
        <w:rPr/>
        <w:pict>
          <v:line style="position:absolute;mso-position-horizontal-relative:page;mso-position-vertical-relative:page;z-index:14008"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6272" from="405.061005pt,-18.554295pt" to="405.061005pt,16.311579pt" stroked="true" strokeweight=".35pt" strokecolor="#231f20">
            <w10:wrap type="none"/>
          </v:line>
        </w:pict>
      </w:r>
      <w:r>
        <w:rPr/>
        <w:pict>
          <v:line style="position:absolute;mso-position-horizontal-relative:page;mso-position-vertical-relative:paragraph;z-index:13936" from="15pt,-18.554522pt" to="0pt,-18.554522pt" stroked="true" strokeweight=".25pt" strokecolor="#000000">
            <w10:wrap type="none"/>
          </v:line>
        </w:pict>
      </w:r>
      <w:r>
        <w:rPr/>
        <w:pict>
          <v:line style="position:absolute;mso-position-horizontal-relative:page;mso-position-vertical-relative:paragraph;z-index:13960"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137</w:t>
      </w:r>
    </w:p>
    <w:p>
      <w:pPr>
        <w:pStyle w:val="BodyText"/>
        <w:rPr>
          <w:rFonts w:ascii="Arial"/>
          <w:sz w:val="20"/>
        </w:rPr>
      </w:pPr>
    </w:p>
    <w:p>
      <w:pPr>
        <w:pStyle w:val="BodyText"/>
        <w:rPr>
          <w:rFonts w:ascii="Arial"/>
          <w:sz w:val="20"/>
        </w:rPr>
      </w:pPr>
    </w:p>
    <w:p>
      <w:pPr>
        <w:pStyle w:val="BodyText"/>
        <w:spacing w:line="261" w:lineRule="auto" w:before="179"/>
        <w:ind w:left="1837" w:right="1715"/>
        <w:jc w:val="both"/>
      </w:pPr>
      <w:r>
        <w:rPr>
          <w:color w:val="231F20"/>
          <w:spacing w:val="-3"/>
          <w:w w:val="105"/>
        </w:rPr>
        <w:t>Esperanza</w:t>
      </w:r>
      <w:r>
        <w:rPr>
          <w:color w:val="231F20"/>
          <w:spacing w:val="-10"/>
          <w:w w:val="105"/>
        </w:rPr>
        <w:t> </w:t>
      </w:r>
      <w:r>
        <w:rPr>
          <w:color w:val="231F20"/>
          <w:spacing w:val="-4"/>
          <w:w w:val="105"/>
        </w:rPr>
        <w:t>regresó</w:t>
      </w:r>
      <w:r>
        <w:rPr>
          <w:color w:val="231F20"/>
          <w:spacing w:val="-10"/>
          <w:w w:val="105"/>
        </w:rPr>
        <w:t> </w:t>
      </w:r>
      <w:r>
        <w:rPr>
          <w:color w:val="231F20"/>
          <w:w w:val="105"/>
        </w:rPr>
        <w:t>con</w:t>
      </w:r>
      <w:r>
        <w:rPr>
          <w:color w:val="231F20"/>
          <w:spacing w:val="-10"/>
          <w:w w:val="105"/>
        </w:rPr>
        <w:t> </w:t>
      </w:r>
      <w:r>
        <w:rPr>
          <w:color w:val="231F20"/>
          <w:spacing w:val="-3"/>
          <w:w w:val="105"/>
        </w:rPr>
        <w:t>algunos</w:t>
      </w:r>
      <w:r>
        <w:rPr>
          <w:color w:val="231F20"/>
          <w:spacing w:val="-10"/>
          <w:w w:val="105"/>
        </w:rPr>
        <w:t> </w:t>
      </w:r>
      <w:r>
        <w:rPr>
          <w:color w:val="231F20"/>
          <w:spacing w:val="-3"/>
          <w:w w:val="105"/>
        </w:rPr>
        <w:t>ahorros</w:t>
      </w:r>
      <w:r>
        <w:rPr>
          <w:color w:val="231F20"/>
          <w:spacing w:val="-10"/>
          <w:w w:val="105"/>
        </w:rPr>
        <w:t> </w:t>
      </w:r>
      <w:r>
        <w:rPr>
          <w:color w:val="231F20"/>
          <w:w w:val="105"/>
        </w:rPr>
        <w:t>a</w:t>
      </w:r>
      <w:r>
        <w:rPr>
          <w:color w:val="231F20"/>
          <w:spacing w:val="-10"/>
          <w:w w:val="105"/>
        </w:rPr>
        <w:t> </w:t>
      </w:r>
      <w:r>
        <w:rPr>
          <w:color w:val="231F20"/>
          <w:spacing w:val="-3"/>
          <w:w w:val="105"/>
        </w:rPr>
        <w:t>México,</w:t>
      </w:r>
      <w:r>
        <w:rPr>
          <w:color w:val="231F20"/>
          <w:spacing w:val="-15"/>
          <w:w w:val="105"/>
        </w:rPr>
        <w:t> </w:t>
      </w:r>
      <w:r>
        <w:rPr>
          <w:color w:val="231F20"/>
          <w:w w:val="105"/>
        </w:rPr>
        <w:t>a</w:t>
      </w:r>
      <w:r>
        <w:rPr>
          <w:color w:val="231F20"/>
          <w:spacing w:val="-10"/>
          <w:w w:val="105"/>
        </w:rPr>
        <w:t> </w:t>
      </w:r>
      <w:r>
        <w:rPr>
          <w:color w:val="231F20"/>
          <w:spacing w:val="-3"/>
          <w:w w:val="105"/>
        </w:rPr>
        <w:t>diferencia</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spacing w:val="-4"/>
          <w:w w:val="105"/>
        </w:rPr>
        <w:t>her- </w:t>
      </w:r>
      <w:r>
        <w:rPr>
          <w:color w:val="231F20"/>
          <w:spacing w:val="-3"/>
          <w:w w:val="105"/>
        </w:rPr>
        <w:t>mano, quien </w:t>
      </w:r>
      <w:r>
        <w:rPr>
          <w:color w:val="231F20"/>
          <w:spacing w:val="-4"/>
          <w:w w:val="105"/>
        </w:rPr>
        <w:t>regresó </w:t>
      </w:r>
      <w:r>
        <w:rPr>
          <w:color w:val="231F20"/>
          <w:w w:val="105"/>
        </w:rPr>
        <w:t>sin </w:t>
      </w:r>
      <w:r>
        <w:rPr>
          <w:color w:val="231F20"/>
          <w:spacing w:val="-3"/>
          <w:w w:val="105"/>
        </w:rPr>
        <w:t>dinero </w:t>
      </w:r>
      <w:r>
        <w:rPr>
          <w:color w:val="231F20"/>
          <w:w w:val="105"/>
        </w:rPr>
        <w:t>y </w:t>
      </w:r>
      <w:r>
        <w:rPr>
          <w:color w:val="231F20"/>
          <w:spacing w:val="-4"/>
          <w:w w:val="105"/>
        </w:rPr>
        <w:t>“dejando </w:t>
      </w:r>
      <w:r>
        <w:rPr>
          <w:color w:val="231F20"/>
          <w:spacing w:val="-3"/>
          <w:w w:val="105"/>
        </w:rPr>
        <w:t>varias cuentas pendientes por </w:t>
      </w:r>
      <w:r>
        <w:rPr>
          <w:color w:val="231F20"/>
          <w:spacing w:val="-6"/>
          <w:w w:val="105"/>
        </w:rPr>
        <w:t>pagar”.</w:t>
      </w:r>
      <w:r>
        <w:rPr>
          <w:color w:val="231F20"/>
          <w:spacing w:val="-26"/>
          <w:w w:val="105"/>
        </w:rPr>
        <w:t> </w:t>
      </w:r>
      <w:r>
        <w:rPr>
          <w:color w:val="231F20"/>
          <w:spacing w:val="-3"/>
          <w:w w:val="105"/>
        </w:rPr>
        <w:t>Ella</w:t>
      </w:r>
      <w:r>
        <w:rPr>
          <w:color w:val="231F20"/>
          <w:spacing w:val="-21"/>
          <w:w w:val="105"/>
        </w:rPr>
        <w:t> </w:t>
      </w:r>
      <w:r>
        <w:rPr>
          <w:color w:val="231F20"/>
          <w:spacing w:val="-3"/>
          <w:w w:val="105"/>
        </w:rPr>
        <w:t>asegura</w:t>
      </w:r>
      <w:r>
        <w:rPr>
          <w:color w:val="231F20"/>
          <w:spacing w:val="-21"/>
          <w:w w:val="105"/>
        </w:rPr>
        <w:t> </w:t>
      </w:r>
      <w:r>
        <w:rPr>
          <w:color w:val="231F20"/>
          <w:w w:val="105"/>
        </w:rPr>
        <w:t>que</w:t>
      </w:r>
      <w:r>
        <w:rPr>
          <w:color w:val="231F20"/>
          <w:spacing w:val="-21"/>
          <w:w w:val="105"/>
        </w:rPr>
        <w:t> </w:t>
      </w:r>
      <w:r>
        <w:rPr>
          <w:color w:val="231F20"/>
          <w:spacing w:val="-3"/>
          <w:w w:val="105"/>
        </w:rPr>
        <w:t>allá</w:t>
      </w:r>
      <w:r>
        <w:rPr>
          <w:color w:val="231F20"/>
          <w:spacing w:val="-21"/>
          <w:w w:val="105"/>
        </w:rPr>
        <w:t> </w:t>
      </w:r>
      <w:r>
        <w:rPr>
          <w:color w:val="231F20"/>
          <w:spacing w:val="-3"/>
          <w:w w:val="105"/>
        </w:rPr>
        <w:t>aprendió</w:t>
      </w:r>
      <w:r>
        <w:rPr>
          <w:color w:val="231F20"/>
          <w:spacing w:val="-21"/>
          <w:w w:val="105"/>
        </w:rPr>
        <w:t> </w:t>
      </w:r>
      <w:r>
        <w:rPr>
          <w:color w:val="231F20"/>
          <w:spacing w:val="-4"/>
          <w:w w:val="105"/>
        </w:rPr>
        <w:t>realmente</w:t>
      </w:r>
      <w:r>
        <w:rPr>
          <w:color w:val="231F20"/>
          <w:spacing w:val="-21"/>
          <w:w w:val="105"/>
        </w:rPr>
        <w:t> </w:t>
      </w:r>
      <w:r>
        <w:rPr>
          <w:color w:val="231F20"/>
          <w:w w:val="105"/>
        </w:rPr>
        <w:t>a</w:t>
      </w:r>
      <w:r>
        <w:rPr>
          <w:color w:val="231F20"/>
          <w:spacing w:val="-21"/>
          <w:w w:val="105"/>
        </w:rPr>
        <w:t> </w:t>
      </w:r>
      <w:r>
        <w:rPr>
          <w:color w:val="231F20"/>
          <w:spacing w:val="-3"/>
          <w:w w:val="105"/>
        </w:rPr>
        <w:t>trabajar</w:t>
      </w:r>
      <w:r>
        <w:rPr>
          <w:color w:val="231F20"/>
          <w:spacing w:val="-21"/>
          <w:w w:val="105"/>
        </w:rPr>
        <w:t> </w:t>
      </w:r>
      <w:r>
        <w:rPr>
          <w:color w:val="231F20"/>
          <w:w w:val="105"/>
        </w:rPr>
        <w:t>y</w:t>
      </w:r>
      <w:r>
        <w:rPr>
          <w:color w:val="231F20"/>
          <w:spacing w:val="-21"/>
          <w:w w:val="105"/>
        </w:rPr>
        <w:t> </w:t>
      </w:r>
      <w:r>
        <w:rPr>
          <w:color w:val="231F20"/>
          <w:w w:val="105"/>
        </w:rPr>
        <w:t>eso</w:t>
      </w:r>
      <w:r>
        <w:rPr>
          <w:color w:val="231F20"/>
          <w:spacing w:val="-21"/>
          <w:w w:val="105"/>
        </w:rPr>
        <w:t> </w:t>
      </w:r>
      <w:r>
        <w:rPr>
          <w:color w:val="231F20"/>
          <w:w w:val="105"/>
        </w:rPr>
        <w:t>le</w:t>
      </w:r>
      <w:r>
        <w:rPr>
          <w:color w:val="231F20"/>
          <w:spacing w:val="-21"/>
          <w:w w:val="105"/>
        </w:rPr>
        <w:t> </w:t>
      </w:r>
      <w:r>
        <w:rPr>
          <w:color w:val="231F20"/>
          <w:w w:val="105"/>
        </w:rPr>
        <w:t>ha</w:t>
      </w:r>
      <w:r>
        <w:rPr>
          <w:color w:val="231F20"/>
          <w:spacing w:val="-21"/>
          <w:w w:val="105"/>
        </w:rPr>
        <w:t> </w:t>
      </w:r>
      <w:r>
        <w:rPr>
          <w:color w:val="231F20"/>
          <w:spacing w:val="-4"/>
          <w:w w:val="105"/>
        </w:rPr>
        <w:t>per- </w:t>
      </w:r>
      <w:r>
        <w:rPr>
          <w:color w:val="231F20"/>
          <w:spacing w:val="-3"/>
          <w:w w:val="105"/>
        </w:rPr>
        <w:t>mitido</w:t>
      </w:r>
      <w:r>
        <w:rPr>
          <w:color w:val="231F20"/>
          <w:spacing w:val="-19"/>
          <w:w w:val="105"/>
        </w:rPr>
        <w:t> </w:t>
      </w:r>
      <w:r>
        <w:rPr>
          <w:color w:val="231F20"/>
          <w:spacing w:val="-3"/>
          <w:w w:val="105"/>
        </w:rPr>
        <w:t>remodelar</w:t>
      </w:r>
      <w:r>
        <w:rPr>
          <w:color w:val="231F20"/>
          <w:spacing w:val="-19"/>
          <w:w w:val="105"/>
        </w:rPr>
        <w:t> </w:t>
      </w:r>
      <w:r>
        <w:rPr>
          <w:color w:val="231F20"/>
          <w:w w:val="105"/>
        </w:rPr>
        <w:t>y</w:t>
      </w:r>
      <w:r>
        <w:rPr>
          <w:color w:val="231F20"/>
          <w:spacing w:val="-19"/>
          <w:w w:val="105"/>
        </w:rPr>
        <w:t> </w:t>
      </w:r>
      <w:r>
        <w:rPr>
          <w:color w:val="231F20"/>
          <w:spacing w:val="-3"/>
          <w:w w:val="105"/>
        </w:rPr>
        <w:t>amueblar</w:t>
      </w:r>
      <w:r>
        <w:rPr>
          <w:color w:val="231F20"/>
          <w:spacing w:val="-19"/>
          <w:w w:val="105"/>
        </w:rPr>
        <w:t> </w:t>
      </w:r>
      <w:r>
        <w:rPr>
          <w:color w:val="231F20"/>
          <w:w w:val="105"/>
        </w:rPr>
        <w:t>su</w:t>
      </w:r>
      <w:r>
        <w:rPr>
          <w:color w:val="231F20"/>
          <w:spacing w:val="-19"/>
          <w:w w:val="105"/>
        </w:rPr>
        <w:t> </w:t>
      </w:r>
      <w:r>
        <w:rPr>
          <w:color w:val="231F20"/>
          <w:spacing w:val="-4"/>
          <w:w w:val="105"/>
        </w:rPr>
        <w:t>departamento,</w:t>
      </w:r>
      <w:r>
        <w:rPr>
          <w:color w:val="231F20"/>
          <w:spacing w:val="-25"/>
          <w:w w:val="105"/>
        </w:rPr>
        <w:t> </w:t>
      </w:r>
      <w:r>
        <w:rPr>
          <w:color w:val="231F20"/>
          <w:spacing w:val="-3"/>
          <w:w w:val="105"/>
        </w:rPr>
        <w:t>aunque</w:t>
      </w:r>
      <w:r>
        <w:rPr>
          <w:color w:val="231F20"/>
          <w:spacing w:val="-19"/>
          <w:w w:val="105"/>
        </w:rPr>
        <w:t> </w:t>
      </w:r>
      <w:r>
        <w:rPr>
          <w:color w:val="231F20"/>
          <w:w w:val="105"/>
        </w:rPr>
        <w:t>no</w:t>
      </w:r>
      <w:r>
        <w:rPr>
          <w:color w:val="231F20"/>
          <w:spacing w:val="-19"/>
          <w:w w:val="105"/>
        </w:rPr>
        <w:t> </w:t>
      </w:r>
      <w:r>
        <w:rPr>
          <w:color w:val="231F20"/>
          <w:spacing w:val="-3"/>
          <w:w w:val="105"/>
        </w:rPr>
        <w:t>vive</w:t>
      </w:r>
      <w:r>
        <w:rPr>
          <w:color w:val="231F20"/>
          <w:spacing w:val="-19"/>
          <w:w w:val="105"/>
        </w:rPr>
        <w:t> </w:t>
      </w:r>
      <w:r>
        <w:rPr>
          <w:color w:val="231F20"/>
          <w:w w:val="105"/>
        </w:rPr>
        <w:t>en</w:t>
      </w:r>
      <w:r>
        <w:rPr>
          <w:color w:val="231F20"/>
          <w:spacing w:val="-19"/>
          <w:w w:val="105"/>
        </w:rPr>
        <w:t> </w:t>
      </w:r>
      <w:r>
        <w:rPr>
          <w:color w:val="231F20"/>
          <w:w w:val="105"/>
        </w:rPr>
        <w:t>él,</w:t>
      </w:r>
      <w:r>
        <w:rPr>
          <w:color w:val="231F20"/>
          <w:spacing w:val="-25"/>
          <w:w w:val="105"/>
        </w:rPr>
        <w:t> </w:t>
      </w:r>
      <w:r>
        <w:rPr>
          <w:color w:val="231F20"/>
          <w:spacing w:val="-3"/>
          <w:w w:val="105"/>
        </w:rPr>
        <w:t>pues </w:t>
      </w:r>
      <w:r>
        <w:rPr>
          <w:color w:val="231F20"/>
          <w:w w:val="105"/>
        </w:rPr>
        <w:t>lo </w:t>
      </w:r>
      <w:r>
        <w:rPr>
          <w:color w:val="231F20"/>
          <w:spacing w:val="-3"/>
          <w:w w:val="105"/>
        </w:rPr>
        <w:t>tiene alquilado </w:t>
      </w:r>
      <w:r>
        <w:rPr>
          <w:color w:val="231F20"/>
          <w:w w:val="105"/>
        </w:rPr>
        <w:t>a </w:t>
      </w:r>
      <w:r>
        <w:rPr>
          <w:color w:val="231F20"/>
          <w:spacing w:val="-3"/>
          <w:w w:val="105"/>
        </w:rPr>
        <w:t>unos amigos </w:t>
      </w:r>
      <w:r>
        <w:rPr>
          <w:color w:val="231F20"/>
          <w:w w:val="105"/>
        </w:rPr>
        <w:t>de </w:t>
      </w:r>
      <w:r>
        <w:rPr>
          <w:color w:val="231F20"/>
          <w:spacing w:val="-3"/>
          <w:w w:val="105"/>
        </w:rPr>
        <w:t>Oaxaca. </w:t>
      </w:r>
      <w:r>
        <w:rPr>
          <w:color w:val="231F20"/>
          <w:w w:val="105"/>
        </w:rPr>
        <w:t>En </w:t>
      </w:r>
      <w:r>
        <w:rPr>
          <w:color w:val="231F20"/>
          <w:spacing w:val="-3"/>
          <w:w w:val="105"/>
        </w:rPr>
        <w:t>Nezahualcóyotl, ella no tiene</w:t>
      </w:r>
      <w:r>
        <w:rPr>
          <w:color w:val="231F20"/>
          <w:spacing w:val="-19"/>
          <w:w w:val="105"/>
        </w:rPr>
        <w:t> </w:t>
      </w:r>
      <w:r>
        <w:rPr>
          <w:color w:val="231F20"/>
          <w:w w:val="105"/>
        </w:rPr>
        <w:t>un</w:t>
      </w:r>
      <w:r>
        <w:rPr>
          <w:color w:val="231F20"/>
          <w:spacing w:val="-19"/>
          <w:w w:val="105"/>
        </w:rPr>
        <w:t> </w:t>
      </w:r>
      <w:r>
        <w:rPr>
          <w:color w:val="231F20"/>
          <w:spacing w:val="-3"/>
          <w:w w:val="105"/>
        </w:rPr>
        <w:t>empleo,</w:t>
      </w:r>
      <w:r>
        <w:rPr>
          <w:color w:val="231F20"/>
          <w:spacing w:val="-25"/>
          <w:w w:val="105"/>
        </w:rPr>
        <w:t> </w:t>
      </w:r>
      <w:r>
        <w:rPr>
          <w:color w:val="231F20"/>
          <w:spacing w:val="-3"/>
          <w:w w:val="105"/>
        </w:rPr>
        <w:t>atiende</w:t>
      </w:r>
      <w:r>
        <w:rPr>
          <w:color w:val="231F20"/>
          <w:spacing w:val="-19"/>
          <w:w w:val="105"/>
        </w:rPr>
        <w:t> </w:t>
      </w:r>
      <w:r>
        <w:rPr>
          <w:color w:val="231F20"/>
          <w:w w:val="105"/>
        </w:rPr>
        <w:t>la</w:t>
      </w:r>
      <w:r>
        <w:rPr>
          <w:color w:val="231F20"/>
          <w:spacing w:val="-19"/>
          <w:w w:val="105"/>
        </w:rPr>
        <w:t> </w:t>
      </w:r>
      <w:r>
        <w:rPr>
          <w:color w:val="231F20"/>
          <w:spacing w:val="-3"/>
          <w:w w:val="105"/>
        </w:rPr>
        <w:t>tienda</w:t>
      </w:r>
      <w:r>
        <w:rPr>
          <w:color w:val="231F20"/>
          <w:spacing w:val="-19"/>
          <w:w w:val="105"/>
        </w:rPr>
        <w:t> </w:t>
      </w:r>
      <w:r>
        <w:rPr>
          <w:color w:val="231F20"/>
          <w:w w:val="105"/>
        </w:rPr>
        <w:t>de</w:t>
      </w:r>
      <w:r>
        <w:rPr>
          <w:color w:val="231F20"/>
          <w:spacing w:val="-19"/>
          <w:w w:val="105"/>
        </w:rPr>
        <w:t> </w:t>
      </w:r>
      <w:r>
        <w:rPr>
          <w:color w:val="231F20"/>
          <w:spacing w:val="-3"/>
          <w:w w:val="105"/>
        </w:rPr>
        <w:t>abarrotes</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spacing w:val="-3"/>
          <w:w w:val="105"/>
        </w:rPr>
        <w:t>papá</w:t>
      </w:r>
      <w:r>
        <w:rPr>
          <w:color w:val="231F20"/>
          <w:spacing w:val="-19"/>
          <w:w w:val="105"/>
        </w:rPr>
        <w:t> </w:t>
      </w:r>
      <w:r>
        <w:rPr>
          <w:color w:val="231F20"/>
          <w:w w:val="105"/>
        </w:rPr>
        <w:t>y</w:t>
      </w:r>
      <w:r>
        <w:rPr>
          <w:color w:val="231F20"/>
          <w:spacing w:val="-19"/>
          <w:w w:val="105"/>
        </w:rPr>
        <w:t> </w:t>
      </w:r>
      <w:r>
        <w:rPr>
          <w:color w:val="231F20"/>
          <w:spacing w:val="-3"/>
          <w:w w:val="105"/>
        </w:rPr>
        <w:t>éste</w:t>
      </w:r>
      <w:r>
        <w:rPr>
          <w:color w:val="231F20"/>
          <w:spacing w:val="-19"/>
          <w:w w:val="105"/>
        </w:rPr>
        <w:t> </w:t>
      </w:r>
      <w:r>
        <w:rPr>
          <w:color w:val="231F20"/>
          <w:w w:val="105"/>
        </w:rPr>
        <w:t>le</w:t>
      </w:r>
      <w:r>
        <w:rPr>
          <w:color w:val="231F20"/>
          <w:spacing w:val="-19"/>
          <w:w w:val="105"/>
        </w:rPr>
        <w:t> </w:t>
      </w:r>
      <w:r>
        <w:rPr>
          <w:color w:val="231F20"/>
          <w:spacing w:val="-4"/>
          <w:w w:val="105"/>
        </w:rPr>
        <w:t>ofrece </w:t>
      </w:r>
      <w:r>
        <w:rPr>
          <w:color w:val="231F20"/>
          <w:spacing w:val="-3"/>
          <w:w w:val="105"/>
        </w:rPr>
        <w:t>víveres</w:t>
      </w:r>
      <w:r>
        <w:rPr>
          <w:color w:val="231F20"/>
          <w:spacing w:val="-10"/>
          <w:w w:val="105"/>
        </w:rPr>
        <w:t> </w:t>
      </w:r>
      <w:r>
        <w:rPr>
          <w:color w:val="231F20"/>
          <w:w w:val="105"/>
        </w:rPr>
        <w:t>a</w:t>
      </w:r>
      <w:r>
        <w:rPr>
          <w:color w:val="231F20"/>
          <w:spacing w:val="-10"/>
          <w:w w:val="105"/>
        </w:rPr>
        <w:t> </w:t>
      </w:r>
      <w:r>
        <w:rPr>
          <w:color w:val="231F20"/>
          <w:spacing w:val="-3"/>
          <w:w w:val="105"/>
        </w:rPr>
        <w:t>cambio,</w:t>
      </w:r>
      <w:r>
        <w:rPr>
          <w:color w:val="231F20"/>
          <w:spacing w:val="-16"/>
          <w:w w:val="105"/>
        </w:rPr>
        <w:t> </w:t>
      </w:r>
      <w:r>
        <w:rPr>
          <w:color w:val="231F20"/>
          <w:spacing w:val="-3"/>
          <w:w w:val="105"/>
        </w:rPr>
        <w:t>para</w:t>
      </w:r>
      <w:r>
        <w:rPr>
          <w:color w:val="231F20"/>
          <w:spacing w:val="-10"/>
          <w:w w:val="105"/>
        </w:rPr>
        <w:t> </w:t>
      </w:r>
      <w:r>
        <w:rPr>
          <w:color w:val="231F20"/>
          <w:w w:val="105"/>
        </w:rPr>
        <w:t>que</w:t>
      </w:r>
      <w:r>
        <w:rPr>
          <w:color w:val="231F20"/>
          <w:spacing w:val="-10"/>
          <w:w w:val="105"/>
        </w:rPr>
        <w:t> </w:t>
      </w:r>
      <w:r>
        <w:rPr>
          <w:color w:val="231F20"/>
          <w:spacing w:val="-3"/>
          <w:w w:val="105"/>
        </w:rPr>
        <w:t>ella</w:t>
      </w:r>
      <w:r>
        <w:rPr>
          <w:color w:val="231F20"/>
          <w:spacing w:val="-10"/>
          <w:w w:val="105"/>
        </w:rPr>
        <w:t> </w:t>
      </w:r>
      <w:r>
        <w:rPr>
          <w:color w:val="231F20"/>
          <w:spacing w:val="-3"/>
          <w:w w:val="105"/>
        </w:rPr>
        <w:t>viva</w:t>
      </w:r>
      <w:r>
        <w:rPr>
          <w:color w:val="231F20"/>
          <w:spacing w:val="-10"/>
          <w:w w:val="105"/>
        </w:rPr>
        <w:t> </w:t>
      </w:r>
      <w:r>
        <w:rPr>
          <w:color w:val="231F20"/>
          <w:w w:val="105"/>
        </w:rPr>
        <w:t>y</w:t>
      </w:r>
      <w:r>
        <w:rPr>
          <w:color w:val="231F20"/>
          <w:spacing w:val="-10"/>
          <w:w w:val="105"/>
        </w:rPr>
        <w:t> </w:t>
      </w:r>
      <w:r>
        <w:rPr>
          <w:color w:val="231F20"/>
          <w:spacing w:val="-3"/>
          <w:w w:val="105"/>
        </w:rPr>
        <w:t>cocine</w:t>
      </w:r>
      <w:r>
        <w:rPr>
          <w:color w:val="231F20"/>
          <w:spacing w:val="-10"/>
          <w:w w:val="105"/>
        </w:rPr>
        <w:t> </w:t>
      </w:r>
      <w:r>
        <w:rPr>
          <w:color w:val="231F20"/>
          <w:spacing w:val="-3"/>
          <w:w w:val="105"/>
        </w:rPr>
        <w:t>para</w:t>
      </w:r>
      <w:r>
        <w:rPr>
          <w:color w:val="231F20"/>
          <w:spacing w:val="-10"/>
          <w:w w:val="105"/>
        </w:rPr>
        <w:t> </w:t>
      </w:r>
      <w:r>
        <w:rPr>
          <w:color w:val="231F20"/>
          <w:w w:val="105"/>
        </w:rPr>
        <w:t>él</w:t>
      </w:r>
      <w:r>
        <w:rPr>
          <w:color w:val="231F20"/>
          <w:spacing w:val="-10"/>
          <w:w w:val="105"/>
        </w:rPr>
        <w:t> </w:t>
      </w:r>
      <w:r>
        <w:rPr>
          <w:color w:val="231F20"/>
          <w:w w:val="105"/>
        </w:rPr>
        <w:t>y</w:t>
      </w:r>
      <w:r>
        <w:rPr>
          <w:color w:val="231F20"/>
          <w:spacing w:val="-10"/>
          <w:w w:val="105"/>
        </w:rPr>
        <w:t> </w:t>
      </w:r>
      <w:r>
        <w:rPr>
          <w:color w:val="231F20"/>
          <w:w w:val="105"/>
        </w:rPr>
        <w:t>sus</w:t>
      </w:r>
      <w:r>
        <w:rPr>
          <w:color w:val="231F20"/>
          <w:spacing w:val="-10"/>
          <w:w w:val="105"/>
        </w:rPr>
        <w:t> </w:t>
      </w:r>
      <w:r>
        <w:rPr>
          <w:color w:val="231F20"/>
          <w:spacing w:val="-3"/>
          <w:w w:val="105"/>
        </w:rPr>
        <w:t>hijos,</w:t>
      </w:r>
      <w:r>
        <w:rPr>
          <w:color w:val="231F20"/>
          <w:spacing w:val="-16"/>
          <w:w w:val="105"/>
        </w:rPr>
        <w:t> </w:t>
      </w:r>
      <w:r>
        <w:rPr>
          <w:color w:val="231F20"/>
          <w:w w:val="105"/>
        </w:rPr>
        <w:t>lo</w:t>
      </w:r>
      <w:r>
        <w:rPr>
          <w:color w:val="231F20"/>
          <w:spacing w:val="-10"/>
          <w:w w:val="105"/>
        </w:rPr>
        <w:t> </w:t>
      </w:r>
      <w:r>
        <w:rPr>
          <w:color w:val="231F20"/>
          <w:spacing w:val="-3"/>
          <w:w w:val="105"/>
        </w:rPr>
        <w:t>mismo </w:t>
      </w:r>
      <w:r>
        <w:rPr>
          <w:color w:val="231F20"/>
          <w:w w:val="105"/>
        </w:rPr>
        <w:t>sus dos </w:t>
      </w:r>
      <w:r>
        <w:rPr>
          <w:color w:val="231F20"/>
          <w:spacing w:val="-3"/>
          <w:w w:val="105"/>
        </w:rPr>
        <w:t>hermanos </w:t>
      </w:r>
      <w:r>
        <w:rPr>
          <w:color w:val="231F20"/>
          <w:w w:val="105"/>
        </w:rPr>
        <w:t>le dan </w:t>
      </w:r>
      <w:r>
        <w:rPr>
          <w:color w:val="231F20"/>
          <w:spacing w:val="-3"/>
          <w:w w:val="105"/>
        </w:rPr>
        <w:t>dinero para </w:t>
      </w:r>
      <w:r>
        <w:rPr>
          <w:color w:val="231F20"/>
          <w:w w:val="105"/>
        </w:rPr>
        <w:t>que </w:t>
      </w:r>
      <w:r>
        <w:rPr>
          <w:color w:val="231F20"/>
          <w:spacing w:val="-3"/>
          <w:w w:val="105"/>
        </w:rPr>
        <w:t>ella mantenga </w:t>
      </w:r>
      <w:r>
        <w:rPr>
          <w:color w:val="231F20"/>
          <w:w w:val="105"/>
        </w:rPr>
        <w:t>a sus </w:t>
      </w:r>
      <w:r>
        <w:rPr>
          <w:color w:val="231F20"/>
          <w:spacing w:val="-3"/>
          <w:w w:val="105"/>
        </w:rPr>
        <w:t>hijos. Su hijo</w:t>
      </w:r>
      <w:r>
        <w:rPr>
          <w:color w:val="231F20"/>
          <w:spacing w:val="-9"/>
          <w:w w:val="105"/>
        </w:rPr>
        <w:t> </w:t>
      </w:r>
      <w:r>
        <w:rPr>
          <w:color w:val="231F20"/>
          <w:spacing w:val="-5"/>
          <w:w w:val="105"/>
        </w:rPr>
        <w:t>mayor,</w:t>
      </w:r>
      <w:r>
        <w:rPr>
          <w:color w:val="231F20"/>
          <w:spacing w:val="-15"/>
          <w:w w:val="105"/>
        </w:rPr>
        <w:t> </w:t>
      </w:r>
      <w:r>
        <w:rPr>
          <w:color w:val="231F20"/>
          <w:spacing w:val="-3"/>
          <w:w w:val="105"/>
        </w:rPr>
        <w:t>ahora</w:t>
      </w:r>
      <w:r>
        <w:rPr>
          <w:color w:val="231F20"/>
          <w:spacing w:val="-9"/>
          <w:w w:val="105"/>
        </w:rPr>
        <w:t> </w:t>
      </w:r>
      <w:r>
        <w:rPr>
          <w:color w:val="231F20"/>
          <w:w w:val="105"/>
        </w:rPr>
        <w:t>de</w:t>
      </w:r>
      <w:r>
        <w:rPr>
          <w:color w:val="231F20"/>
          <w:spacing w:val="-9"/>
          <w:w w:val="105"/>
        </w:rPr>
        <w:t> </w:t>
      </w:r>
      <w:r>
        <w:rPr>
          <w:color w:val="231F20"/>
          <w:w w:val="105"/>
        </w:rPr>
        <w:t>14</w:t>
      </w:r>
      <w:r>
        <w:rPr>
          <w:color w:val="231F20"/>
          <w:spacing w:val="-9"/>
          <w:w w:val="105"/>
        </w:rPr>
        <w:t> </w:t>
      </w:r>
      <w:r>
        <w:rPr>
          <w:color w:val="231F20"/>
          <w:spacing w:val="-3"/>
          <w:w w:val="105"/>
        </w:rPr>
        <w:t>años,</w:t>
      </w:r>
      <w:r>
        <w:rPr>
          <w:color w:val="231F20"/>
          <w:spacing w:val="-15"/>
          <w:w w:val="105"/>
        </w:rPr>
        <w:t> </w:t>
      </w:r>
      <w:r>
        <w:rPr>
          <w:color w:val="231F20"/>
          <w:w w:val="105"/>
        </w:rPr>
        <w:t>ha</w:t>
      </w:r>
      <w:r>
        <w:rPr>
          <w:color w:val="231F20"/>
          <w:spacing w:val="-9"/>
          <w:w w:val="105"/>
        </w:rPr>
        <w:t> </w:t>
      </w:r>
      <w:r>
        <w:rPr>
          <w:color w:val="231F20"/>
          <w:spacing w:val="-3"/>
          <w:w w:val="105"/>
        </w:rPr>
        <w:t>empezado</w:t>
      </w:r>
      <w:r>
        <w:rPr>
          <w:color w:val="231F20"/>
          <w:spacing w:val="-9"/>
          <w:w w:val="105"/>
        </w:rPr>
        <w:t> </w:t>
      </w:r>
      <w:r>
        <w:rPr>
          <w:color w:val="231F20"/>
          <w:w w:val="105"/>
        </w:rPr>
        <w:t>a</w:t>
      </w:r>
      <w:r>
        <w:rPr>
          <w:color w:val="231F20"/>
          <w:spacing w:val="-9"/>
          <w:w w:val="105"/>
        </w:rPr>
        <w:t> </w:t>
      </w:r>
      <w:r>
        <w:rPr>
          <w:color w:val="231F20"/>
          <w:spacing w:val="-3"/>
          <w:w w:val="105"/>
        </w:rPr>
        <w:t>trabajar</w:t>
      </w:r>
      <w:r>
        <w:rPr>
          <w:color w:val="231F20"/>
          <w:spacing w:val="-9"/>
          <w:w w:val="105"/>
        </w:rPr>
        <w:t> </w:t>
      </w:r>
      <w:r>
        <w:rPr>
          <w:color w:val="231F20"/>
          <w:spacing w:val="-3"/>
          <w:w w:val="105"/>
        </w:rPr>
        <w:t>como</w:t>
      </w:r>
      <w:r>
        <w:rPr>
          <w:color w:val="231F20"/>
          <w:spacing w:val="-9"/>
          <w:w w:val="105"/>
        </w:rPr>
        <w:t> </w:t>
      </w:r>
      <w:r>
        <w:rPr>
          <w:color w:val="231F20"/>
          <w:spacing w:val="-3"/>
          <w:w w:val="105"/>
        </w:rPr>
        <w:t>ayudante</w:t>
      </w:r>
      <w:r>
        <w:rPr>
          <w:color w:val="231F20"/>
          <w:spacing w:val="-9"/>
          <w:w w:val="105"/>
        </w:rPr>
        <w:t> </w:t>
      </w:r>
      <w:r>
        <w:rPr>
          <w:color w:val="231F20"/>
          <w:spacing w:val="-3"/>
          <w:w w:val="105"/>
        </w:rPr>
        <w:t>en </w:t>
      </w:r>
      <w:r>
        <w:rPr>
          <w:color w:val="231F20"/>
          <w:w w:val="105"/>
        </w:rPr>
        <w:t>un </w:t>
      </w:r>
      <w:r>
        <w:rPr>
          <w:color w:val="231F20"/>
          <w:spacing w:val="-3"/>
          <w:w w:val="105"/>
        </w:rPr>
        <w:t>taller </w:t>
      </w:r>
      <w:r>
        <w:rPr>
          <w:color w:val="231F20"/>
          <w:w w:val="105"/>
        </w:rPr>
        <w:t>de </w:t>
      </w:r>
      <w:r>
        <w:rPr>
          <w:color w:val="231F20"/>
          <w:spacing w:val="-3"/>
          <w:w w:val="105"/>
        </w:rPr>
        <w:t>bicicletas </w:t>
      </w:r>
      <w:r>
        <w:rPr>
          <w:color w:val="231F20"/>
          <w:w w:val="105"/>
        </w:rPr>
        <w:t>y </w:t>
      </w:r>
      <w:r>
        <w:rPr>
          <w:color w:val="231F20"/>
          <w:spacing w:val="-3"/>
          <w:w w:val="105"/>
        </w:rPr>
        <w:t>también </w:t>
      </w:r>
      <w:r>
        <w:rPr>
          <w:color w:val="231F20"/>
          <w:w w:val="105"/>
        </w:rPr>
        <w:t>le </w:t>
      </w:r>
      <w:r>
        <w:rPr>
          <w:color w:val="231F20"/>
          <w:spacing w:val="-3"/>
          <w:w w:val="105"/>
        </w:rPr>
        <w:t>provee </w:t>
      </w:r>
      <w:r>
        <w:rPr>
          <w:color w:val="231F20"/>
          <w:w w:val="105"/>
        </w:rPr>
        <w:t>de </w:t>
      </w:r>
      <w:r>
        <w:rPr>
          <w:color w:val="231F20"/>
          <w:spacing w:val="-3"/>
          <w:w w:val="105"/>
        </w:rPr>
        <w:t>recursos. Aquí </w:t>
      </w:r>
      <w:r>
        <w:rPr>
          <w:color w:val="231F20"/>
          <w:w w:val="105"/>
        </w:rPr>
        <w:t>vio </w:t>
      </w:r>
      <w:r>
        <w:rPr>
          <w:color w:val="231F20"/>
          <w:spacing w:val="-3"/>
          <w:w w:val="105"/>
        </w:rPr>
        <w:t>“muy feo Neza</w:t>
      </w:r>
      <w:r>
        <w:rPr>
          <w:color w:val="231F20"/>
          <w:spacing w:val="-15"/>
          <w:w w:val="105"/>
        </w:rPr>
        <w:t> </w:t>
      </w:r>
      <w:r>
        <w:rPr>
          <w:color w:val="231F20"/>
          <w:spacing w:val="-3"/>
          <w:w w:val="105"/>
        </w:rPr>
        <w:t>cuando</w:t>
      </w:r>
      <w:r>
        <w:rPr>
          <w:color w:val="231F20"/>
          <w:spacing w:val="-15"/>
          <w:w w:val="105"/>
        </w:rPr>
        <w:t> </w:t>
      </w:r>
      <w:r>
        <w:rPr>
          <w:color w:val="231F20"/>
          <w:spacing w:val="-3"/>
          <w:w w:val="105"/>
        </w:rPr>
        <w:t>volvió,</w:t>
      </w:r>
      <w:r>
        <w:rPr>
          <w:color w:val="231F20"/>
          <w:spacing w:val="-22"/>
          <w:w w:val="105"/>
        </w:rPr>
        <w:t> </w:t>
      </w:r>
      <w:r>
        <w:rPr>
          <w:color w:val="231F20"/>
          <w:spacing w:val="-3"/>
          <w:w w:val="105"/>
        </w:rPr>
        <w:t>pero</w:t>
      </w:r>
      <w:r>
        <w:rPr>
          <w:color w:val="231F20"/>
          <w:spacing w:val="-15"/>
          <w:w w:val="105"/>
        </w:rPr>
        <w:t> </w:t>
      </w:r>
      <w:r>
        <w:rPr>
          <w:color w:val="231F20"/>
          <w:spacing w:val="-3"/>
          <w:w w:val="105"/>
        </w:rPr>
        <w:t>luego</w:t>
      </w:r>
      <w:r>
        <w:rPr>
          <w:color w:val="231F20"/>
          <w:spacing w:val="-15"/>
          <w:w w:val="105"/>
        </w:rPr>
        <w:t> </w:t>
      </w:r>
      <w:r>
        <w:rPr>
          <w:color w:val="231F20"/>
          <w:w w:val="105"/>
        </w:rPr>
        <w:t>le</w:t>
      </w:r>
      <w:r>
        <w:rPr>
          <w:color w:val="231F20"/>
          <w:spacing w:val="-15"/>
          <w:w w:val="105"/>
        </w:rPr>
        <w:t> </w:t>
      </w:r>
      <w:r>
        <w:rPr>
          <w:color w:val="231F20"/>
          <w:spacing w:val="-3"/>
          <w:w w:val="105"/>
        </w:rPr>
        <w:t>retomó</w:t>
      </w:r>
      <w:r>
        <w:rPr>
          <w:color w:val="231F20"/>
          <w:spacing w:val="-15"/>
          <w:w w:val="105"/>
        </w:rPr>
        <w:t> </w:t>
      </w:r>
      <w:r>
        <w:rPr>
          <w:color w:val="231F20"/>
          <w:w w:val="105"/>
        </w:rPr>
        <w:t>el</w:t>
      </w:r>
      <w:r>
        <w:rPr>
          <w:color w:val="231F20"/>
          <w:spacing w:val="-15"/>
          <w:w w:val="105"/>
        </w:rPr>
        <w:t> </w:t>
      </w:r>
      <w:r>
        <w:rPr>
          <w:color w:val="231F20"/>
          <w:spacing w:val="-3"/>
          <w:w w:val="105"/>
        </w:rPr>
        <w:t>gusto</w:t>
      </w:r>
      <w:r>
        <w:rPr>
          <w:color w:val="231F20"/>
          <w:spacing w:val="-15"/>
          <w:w w:val="105"/>
        </w:rPr>
        <w:t> </w:t>
      </w:r>
      <w:r>
        <w:rPr>
          <w:color w:val="231F20"/>
          <w:spacing w:val="-3"/>
          <w:w w:val="105"/>
        </w:rPr>
        <w:t>cuando</w:t>
      </w:r>
      <w:r>
        <w:rPr>
          <w:color w:val="231F20"/>
          <w:spacing w:val="-15"/>
          <w:w w:val="105"/>
        </w:rPr>
        <w:t> </w:t>
      </w:r>
      <w:r>
        <w:rPr>
          <w:color w:val="231F20"/>
          <w:w w:val="105"/>
        </w:rPr>
        <w:t>vio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spacing w:val="-6"/>
          <w:w w:val="105"/>
        </w:rPr>
        <w:t>familia”. </w:t>
      </w:r>
      <w:r>
        <w:rPr>
          <w:color w:val="231F20"/>
          <w:spacing w:val="-3"/>
          <w:w w:val="105"/>
        </w:rPr>
        <w:t>Ella</w:t>
      </w:r>
      <w:r>
        <w:rPr>
          <w:color w:val="231F20"/>
          <w:spacing w:val="-17"/>
          <w:w w:val="105"/>
        </w:rPr>
        <w:t> </w:t>
      </w:r>
      <w:r>
        <w:rPr>
          <w:color w:val="231F20"/>
          <w:spacing w:val="-3"/>
          <w:w w:val="105"/>
        </w:rPr>
        <w:t>está</w:t>
      </w:r>
      <w:r>
        <w:rPr>
          <w:color w:val="231F20"/>
          <w:spacing w:val="-17"/>
          <w:w w:val="105"/>
        </w:rPr>
        <w:t> </w:t>
      </w:r>
      <w:r>
        <w:rPr>
          <w:color w:val="231F20"/>
          <w:spacing w:val="-3"/>
          <w:w w:val="105"/>
        </w:rPr>
        <w:t>encargada</w:t>
      </w:r>
      <w:r>
        <w:rPr>
          <w:color w:val="231F20"/>
          <w:spacing w:val="-17"/>
          <w:w w:val="105"/>
        </w:rPr>
        <w:t> </w:t>
      </w:r>
      <w:r>
        <w:rPr>
          <w:color w:val="231F20"/>
          <w:w w:val="105"/>
        </w:rPr>
        <w:t>de</w:t>
      </w:r>
      <w:r>
        <w:rPr>
          <w:color w:val="231F20"/>
          <w:spacing w:val="-17"/>
          <w:w w:val="105"/>
        </w:rPr>
        <w:t> </w:t>
      </w:r>
      <w:r>
        <w:rPr>
          <w:color w:val="231F20"/>
          <w:spacing w:val="-3"/>
          <w:w w:val="105"/>
        </w:rPr>
        <w:t>atender</w:t>
      </w:r>
      <w:r>
        <w:rPr>
          <w:color w:val="231F20"/>
          <w:spacing w:val="-17"/>
          <w:w w:val="105"/>
        </w:rPr>
        <w:t> </w:t>
      </w:r>
      <w:r>
        <w:rPr>
          <w:color w:val="231F20"/>
          <w:w w:val="105"/>
        </w:rPr>
        <w:t>a</w:t>
      </w:r>
      <w:r>
        <w:rPr>
          <w:color w:val="231F20"/>
          <w:spacing w:val="-17"/>
          <w:w w:val="105"/>
        </w:rPr>
        <w:t> </w:t>
      </w:r>
      <w:r>
        <w:rPr>
          <w:color w:val="231F20"/>
          <w:w w:val="105"/>
        </w:rPr>
        <w:t>su</w:t>
      </w:r>
      <w:r>
        <w:rPr>
          <w:color w:val="231F20"/>
          <w:spacing w:val="-17"/>
          <w:w w:val="105"/>
        </w:rPr>
        <w:t> </w:t>
      </w:r>
      <w:r>
        <w:rPr>
          <w:color w:val="231F20"/>
          <w:spacing w:val="-3"/>
          <w:w w:val="105"/>
        </w:rPr>
        <w:t>padre</w:t>
      </w:r>
      <w:r>
        <w:rPr>
          <w:color w:val="231F20"/>
          <w:spacing w:val="-17"/>
          <w:w w:val="105"/>
        </w:rPr>
        <w:t> </w:t>
      </w:r>
      <w:r>
        <w:rPr>
          <w:color w:val="231F20"/>
          <w:w w:val="105"/>
        </w:rPr>
        <w:t>que</w:t>
      </w:r>
      <w:r>
        <w:rPr>
          <w:color w:val="231F20"/>
          <w:spacing w:val="-17"/>
          <w:w w:val="105"/>
        </w:rPr>
        <w:t> </w:t>
      </w:r>
      <w:r>
        <w:rPr>
          <w:color w:val="231F20"/>
          <w:w w:val="105"/>
        </w:rPr>
        <w:t>es</w:t>
      </w:r>
      <w:r>
        <w:rPr>
          <w:color w:val="231F20"/>
          <w:spacing w:val="-17"/>
          <w:w w:val="105"/>
        </w:rPr>
        <w:t> </w:t>
      </w:r>
      <w:r>
        <w:rPr>
          <w:color w:val="231F20"/>
          <w:w w:val="105"/>
        </w:rPr>
        <w:t>una</w:t>
      </w:r>
      <w:r>
        <w:rPr>
          <w:color w:val="231F20"/>
          <w:spacing w:val="-17"/>
          <w:w w:val="105"/>
        </w:rPr>
        <w:t> </w:t>
      </w:r>
      <w:r>
        <w:rPr>
          <w:color w:val="231F20"/>
          <w:spacing w:val="-3"/>
          <w:w w:val="105"/>
        </w:rPr>
        <w:t>persona</w:t>
      </w:r>
      <w:r>
        <w:rPr>
          <w:color w:val="231F20"/>
          <w:spacing w:val="-17"/>
          <w:w w:val="105"/>
        </w:rPr>
        <w:t> </w:t>
      </w:r>
      <w:r>
        <w:rPr>
          <w:color w:val="231F20"/>
          <w:spacing w:val="-3"/>
          <w:w w:val="105"/>
        </w:rPr>
        <w:t>mayor</w:t>
      </w:r>
      <w:r>
        <w:rPr>
          <w:color w:val="231F20"/>
          <w:spacing w:val="-17"/>
          <w:w w:val="105"/>
        </w:rPr>
        <w:t> </w:t>
      </w:r>
      <w:r>
        <w:rPr>
          <w:color w:val="231F20"/>
          <w:spacing w:val="-3"/>
          <w:w w:val="105"/>
        </w:rPr>
        <w:t>con problemas</w:t>
      </w:r>
      <w:r>
        <w:rPr>
          <w:color w:val="231F20"/>
          <w:spacing w:val="-23"/>
          <w:w w:val="105"/>
        </w:rPr>
        <w:t> </w:t>
      </w:r>
      <w:r>
        <w:rPr>
          <w:color w:val="231F20"/>
          <w:w w:val="105"/>
        </w:rPr>
        <w:t>de</w:t>
      </w:r>
      <w:r>
        <w:rPr>
          <w:color w:val="231F20"/>
          <w:spacing w:val="-23"/>
          <w:w w:val="105"/>
        </w:rPr>
        <w:t> </w:t>
      </w:r>
      <w:r>
        <w:rPr>
          <w:color w:val="231F20"/>
          <w:spacing w:val="-3"/>
          <w:w w:val="105"/>
        </w:rPr>
        <w:t>salud,</w:t>
      </w:r>
      <w:r>
        <w:rPr>
          <w:color w:val="231F20"/>
          <w:spacing w:val="-28"/>
          <w:w w:val="105"/>
        </w:rPr>
        <w:t> </w:t>
      </w:r>
      <w:r>
        <w:rPr>
          <w:color w:val="231F20"/>
          <w:w w:val="105"/>
        </w:rPr>
        <w:t>por</w:t>
      </w:r>
      <w:r>
        <w:rPr>
          <w:color w:val="231F20"/>
          <w:spacing w:val="-23"/>
          <w:w w:val="105"/>
        </w:rPr>
        <w:t> </w:t>
      </w:r>
      <w:r>
        <w:rPr>
          <w:color w:val="231F20"/>
          <w:w w:val="105"/>
        </w:rPr>
        <w:t>lo</w:t>
      </w:r>
      <w:r>
        <w:rPr>
          <w:color w:val="231F20"/>
          <w:spacing w:val="-23"/>
          <w:w w:val="105"/>
        </w:rPr>
        <w:t> </w:t>
      </w:r>
      <w:r>
        <w:rPr>
          <w:color w:val="231F20"/>
          <w:w w:val="105"/>
        </w:rPr>
        <w:t>que</w:t>
      </w:r>
      <w:r>
        <w:rPr>
          <w:color w:val="231F20"/>
          <w:spacing w:val="-23"/>
          <w:w w:val="105"/>
        </w:rPr>
        <w:t> </w:t>
      </w:r>
      <w:r>
        <w:rPr>
          <w:color w:val="231F20"/>
          <w:spacing w:val="-3"/>
          <w:w w:val="105"/>
        </w:rPr>
        <w:t>vive</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spacing w:val="-3"/>
          <w:w w:val="105"/>
        </w:rPr>
        <w:t>casa</w:t>
      </w:r>
      <w:r>
        <w:rPr>
          <w:color w:val="231F20"/>
          <w:spacing w:val="-23"/>
          <w:w w:val="105"/>
        </w:rPr>
        <w:t> </w:t>
      </w:r>
      <w:r>
        <w:rPr>
          <w:color w:val="231F20"/>
          <w:spacing w:val="-3"/>
          <w:w w:val="105"/>
        </w:rPr>
        <w:t>paterna</w:t>
      </w:r>
      <w:r>
        <w:rPr>
          <w:color w:val="231F20"/>
          <w:spacing w:val="-23"/>
          <w:w w:val="105"/>
        </w:rPr>
        <w:t> </w:t>
      </w:r>
      <w:r>
        <w:rPr>
          <w:color w:val="231F20"/>
          <w:w w:val="105"/>
        </w:rPr>
        <w:t>y</w:t>
      </w:r>
      <w:r>
        <w:rPr>
          <w:color w:val="231F20"/>
          <w:spacing w:val="-23"/>
          <w:w w:val="105"/>
        </w:rPr>
        <w:t> </w:t>
      </w:r>
      <w:r>
        <w:rPr>
          <w:color w:val="231F20"/>
          <w:w w:val="105"/>
        </w:rPr>
        <w:t>no</w:t>
      </w:r>
      <w:r>
        <w:rPr>
          <w:color w:val="231F20"/>
          <w:spacing w:val="-23"/>
          <w:w w:val="105"/>
        </w:rPr>
        <w:t> </w:t>
      </w:r>
      <w:r>
        <w:rPr>
          <w:color w:val="231F20"/>
          <w:spacing w:val="-3"/>
          <w:w w:val="105"/>
        </w:rPr>
        <w:t>piensa</w:t>
      </w:r>
      <w:r>
        <w:rPr>
          <w:color w:val="231F20"/>
          <w:spacing w:val="-23"/>
          <w:w w:val="105"/>
        </w:rPr>
        <w:t> </w:t>
      </w:r>
      <w:r>
        <w:rPr>
          <w:color w:val="231F20"/>
          <w:spacing w:val="-3"/>
          <w:w w:val="105"/>
        </w:rPr>
        <w:t>volver</w:t>
      </w:r>
      <w:r>
        <w:rPr>
          <w:color w:val="231F20"/>
          <w:spacing w:val="-23"/>
          <w:w w:val="105"/>
        </w:rPr>
        <w:t> </w:t>
      </w:r>
      <w:r>
        <w:rPr>
          <w:color w:val="231F20"/>
          <w:w w:val="105"/>
        </w:rPr>
        <w:t>a </w:t>
      </w:r>
      <w:r>
        <w:rPr>
          <w:color w:val="231F20"/>
          <w:spacing w:val="-3"/>
          <w:w w:val="105"/>
        </w:rPr>
        <w:t>trabajar</w:t>
      </w:r>
      <w:r>
        <w:rPr>
          <w:color w:val="231F20"/>
          <w:spacing w:val="-25"/>
          <w:w w:val="105"/>
        </w:rPr>
        <w:t> </w:t>
      </w:r>
      <w:r>
        <w:rPr>
          <w:color w:val="231F20"/>
          <w:spacing w:val="-3"/>
          <w:w w:val="105"/>
        </w:rPr>
        <w:t>fuera</w:t>
      </w:r>
      <w:r>
        <w:rPr>
          <w:color w:val="231F20"/>
          <w:spacing w:val="-25"/>
          <w:w w:val="105"/>
        </w:rPr>
        <w:t> </w:t>
      </w:r>
      <w:r>
        <w:rPr>
          <w:color w:val="231F20"/>
          <w:w w:val="105"/>
        </w:rPr>
        <w:t>de</w:t>
      </w:r>
      <w:r>
        <w:rPr>
          <w:color w:val="231F20"/>
          <w:spacing w:val="-25"/>
          <w:w w:val="105"/>
        </w:rPr>
        <w:t> </w:t>
      </w:r>
      <w:r>
        <w:rPr>
          <w:color w:val="231F20"/>
          <w:spacing w:val="-3"/>
          <w:w w:val="105"/>
        </w:rPr>
        <w:t>casa,</w:t>
      </w:r>
      <w:r>
        <w:rPr>
          <w:color w:val="231F20"/>
          <w:spacing w:val="-29"/>
          <w:w w:val="105"/>
        </w:rPr>
        <w:t> </w:t>
      </w:r>
      <w:r>
        <w:rPr>
          <w:color w:val="231F20"/>
          <w:spacing w:val="-3"/>
          <w:w w:val="105"/>
        </w:rPr>
        <w:t>pues</w:t>
      </w:r>
      <w:r>
        <w:rPr>
          <w:color w:val="231F20"/>
          <w:spacing w:val="-25"/>
          <w:w w:val="105"/>
        </w:rPr>
        <w:t> </w:t>
      </w:r>
      <w:r>
        <w:rPr>
          <w:color w:val="231F20"/>
          <w:w w:val="105"/>
        </w:rPr>
        <w:t>no</w:t>
      </w:r>
      <w:r>
        <w:rPr>
          <w:color w:val="231F20"/>
          <w:spacing w:val="-25"/>
          <w:w w:val="105"/>
        </w:rPr>
        <w:t> </w:t>
      </w:r>
      <w:r>
        <w:rPr>
          <w:color w:val="231F20"/>
          <w:w w:val="105"/>
        </w:rPr>
        <w:t>la</w:t>
      </w:r>
      <w:r>
        <w:rPr>
          <w:color w:val="231F20"/>
          <w:spacing w:val="-25"/>
          <w:w w:val="105"/>
        </w:rPr>
        <w:t> </w:t>
      </w:r>
      <w:r>
        <w:rPr>
          <w:color w:val="231F20"/>
          <w:spacing w:val="-3"/>
          <w:w w:val="105"/>
        </w:rPr>
        <w:t>dejan</w:t>
      </w:r>
      <w:r>
        <w:rPr>
          <w:color w:val="231F20"/>
          <w:spacing w:val="-25"/>
          <w:w w:val="105"/>
        </w:rPr>
        <w:t> </w:t>
      </w:r>
      <w:r>
        <w:rPr>
          <w:color w:val="231F20"/>
          <w:w w:val="105"/>
        </w:rPr>
        <w:t>sus</w:t>
      </w:r>
      <w:r>
        <w:rPr>
          <w:color w:val="231F20"/>
          <w:spacing w:val="-25"/>
          <w:w w:val="105"/>
        </w:rPr>
        <w:t> </w:t>
      </w:r>
      <w:r>
        <w:rPr>
          <w:color w:val="231F20"/>
          <w:spacing w:val="-3"/>
          <w:w w:val="105"/>
        </w:rPr>
        <w:t>hermanos</w:t>
      </w:r>
      <w:r>
        <w:rPr>
          <w:color w:val="231F20"/>
          <w:spacing w:val="-25"/>
          <w:w w:val="105"/>
        </w:rPr>
        <w:t> </w:t>
      </w:r>
      <w:r>
        <w:rPr>
          <w:color w:val="231F20"/>
          <w:w w:val="105"/>
        </w:rPr>
        <w:t>ni</w:t>
      </w:r>
      <w:r>
        <w:rPr>
          <w:color w:val="231F20"/>
          <w:spacing w:val="-25"/>
          <w:w w:val="105"/>
        </w:rPr>
        <w:t> </w:t>
      </w:r>
      <w:r>
        <w:rPr>
          <w:color w:val="231F20"/>
          <w:w w:val="105"/>
        </w:rPr>
        <w:t>su</w:t>
      </w:r>
      <w:r>
        <w:rPr>
          <w:color w:val="231F20"/>
          <w:spacing w:val="-25"/>
          <w:w w:val="105"/>
        </w:rPr>
        <w:t> </w:t>
      </w:r>
      <w:r>
        <w:rPr>
          <w:color w:val="231F20"/>
          <w:spacing w:val="-3"/>
          <w:w w:val="105"/>
        </w:rPr>
        <w:t>papá.</w:t>
      </w:r>
    </w:p>
    <w:p>
      <w:pPr>
        <w:pStyle w:val="BodyText"/>
        <w:spacing w:line="261" w:lineRule="auto" w:before="1"/>
        <w:ind w:left="1837" w:right="1721" w:firstLine="567"/>
        <w:jc w:val="both"/>
      </w:pPr>
      <w:r>
        <w:rPr>
          <w:color w:val="231F20"/>
          <w:w w:val="105"/>
        </w:rPr>
        <w:t>Asimismo, Esperanza rememora con gusto y añoranza el trabajo e independencia económica que tenía en Estados Unidos, pues llegó</w:t>
      </w:r>
      <w:r>
        <w:rPr>
          <w:color w:val="231F20"/>
          <w:spacing w:val="-6"/>
          <w:w w:val="105"/>
        </w:rPr>
        <w:t> </w:t>
      </w:r>
      <w:r>
        <w:rPr>
          <w:color w:val="231F20"/>
          <w:w w:val="105"/>
        </w:rPr>
        <w:t>a “ganar</w:t>
      </w:r>
      <w:r>
        <w:rPr>
          <w:color w:val="231F20"/>
          <w:spacing w:val="-6"/>
          <w:w w:val="105"/>
        </w:rPr>
        <w:t> </w:t>
      </w:r>
      <w:r>
        <w:rPr>
          <w:color w:val="231F20"/>
          <w:w w:val="105"/>
        </w:rPr>
        <w:t>mucho</w:t>
      </w:r>
      <w:r>
        <w:rPr>
          <w:color w:val="231F20"/>
          <w:spacing w:val="-6"/>
          <w:w w:val="105"/>
        </w:rPr>
        <w:t> </w:t>
      </w:r>
      <w:r>
        <w:rPr>
          <w:color w:val="231F20"/>
          <w:w w:val="105"/>
        </w:rPr>
        <w:t>dinero,</w:t>
      </w:r>
      <w:r>
        <w:rPr>
          <w:color w:val="231F20"/>
          <w:spacing w:val="-13"/>
          <w:w w:val="105"/>
        </w:rPr>
        <w:t> </w:t>
      </w:r>
      <w:r>
        <w:rPr>
          <w:color w:val="231F20"/>
          <w:w w:val="105"/>
        </w:rPr>
        <w:t>pero</w:t>
      </w:r>
      <w:r>
        <w:rPr>
          <w:color w:val="231F20"/>
          <w:spacing w:val="-6"/>
          <w:w w:val="105"/>
        </w:rPr>
        <w:t> </w:t>
      </w:r>
      <w:r>
        <w:rPr>
          <w:color w:val="231F20"/>
          <w:w w:val="105"/>
        </w:rPr>
        <w:t>no</w:t>
      </w:r>
      <w:r>
        <w:rPr>
          <w:color w:val="231F20"/>
          <w:spacing w:val="-6"/>
          <w:w w:val="105"/>
        </w:rPr>
        <w:t> </w:t>
      </w:r>
      <w:r>
        <w:rPr>
          <w:color w:val="231F20"/>
          <w:w w:val="105"/>
        </w:rPr>
        <w:t>logró</w:t>
      </w:r>
      <w:r>
        <w:rPr>
          <w:color w:val="231F20"/>
          <w:spacing w:val="-6"/>
          <w:w w:val="105"/>
        </w:rPr>
        <w:t> </w:t>
      </w:r>
      <w:r>
        <w:rPr>
          <w:color w:val="231F20"/>
          <w:w w:val="105"/>
        </w:rPr>
        <w:t>ahorrar</w:t>
      </w:r>
      <w:r>
        <w:rPr>
          <w:color w:val="231F20"/>
          <w:spacing w:val="-6"/>
          <w:w w:val="105"/>
        </w:rPr>
        <w:t> </w:t>
      </w:r>
      <w:r>
        <w:rPr>
          <w:color w:val="231F20"/>
          <w:spacing w:val="-4"/>
          <w:w w:val="105"/>
        </w:rPr>
        <w:t>tanto”.</w:t>
      </w:r>
      <w:r>
        <w:rPr>
          <w:color w:val="231F20"/>
          <w:spacing w:val="-13"/>
          <w:w w:val="105"/>
        </w:rPr>
        <w:t> </w:t>
      </w:r>
      <w:r>
        <w:rPr>
          <w:color w:val="231F20"/>
          <w:w w:val="105"/>
        </w:rPr>
        <w:t>No</w:t>
      </w:r>
      <w:r>
        <w:rPr>
          <w:color w:val="231F20"/>
          <w:spacing w:val="-6"/>
          <w:w w:val="105"/>
        </w:rPr>
        <w:t> </w:t>
      </w:r>
      <w:r>
        <w:rPr>
          <w:color w:val="231F20"/>
          <w:w w:val="105"/>
        </w:rPr>
        <w:t>obstante,</w:t>
      </w:r>
      <w:r>
        <w:rPr>
          <w:color w:val="231F20"/>
          <w:spacing w:val="-13"/>
          <w:w w:val="105"/>
        </w:rPr>
        <w:t> </w:t>
      </w:r>
      <w:r>
        <w:rPr>
          <w:color w:val="231F20"/>
          <w:w w:val="105"/>
        </w:rPr>
        <w:t>prefiere que sus hijos crezcan y vivan acá, pues ambos sufrieron “racismo, dis- criminación, acoso sexual y muchos malos </w:t>
      </w:r>
      <w:r>
        <w:rPr>
          <w:color w:val="231F20"/>
          <w:spacing w:val="-4"/>
          <w:w w:val="105"/>
        </w:rPr>
        <w:t>tratos”, </w:t>
      </w:r>
      <w:r>
        <w:rPr>
          <w:color w:val="231F20"/>
          <w:w w:val="105"/>
        </w:rPr>
        <w:t>también “amenazas violentas por malformados y locos </w:t>
      </w:r>
      <w:r>
        <w:rPr>
          <w:color w:val="231F20"/>
          <w:spacing w:val="-6"/>
          <w:w w:val="105"/>
        </w:rPr>
        <w:t>allá”, </w:t>
      </w:r>
      <w:r>
        <w:rPr>
          <w:color w:val="231F20"/>
          <w:w w:val="105"/>
        </w:rPr>
        <w:t>de tal suerte que prefiere vivir en México, a pesar de que piensa que “Nezahualcóyotl no es del todo seguro,</w:t>
      </w:r>
      <w:r>
        <w:rPr>
          <w:color w:val="231F20"/>
          <w:spacing w:val="-27"/>
          <w:w w:val="105"/>
        </w:rPr>
        <w:t> </w:t>
      </w:r>
      <w:r>
        <w:rPr>
          <w:color w:val="231F20"/>
          <w:w w:val="105"/>
        </w:rPr>
        <w:t>pero</w:t>
      </w:r>
      <w:r>
        <w:rPr>
          <w:color w:val="231F20"/>
          <w:spacing w:val="-22"/>
          <w:w w:val="105"/>
        </w:rPr>
        <w:t> </w:t>
      </w:r>
      <w:r>
        <w:rPr>
          <w:color w:val="231F20"/>
          <w:w w:val="105"/>
        </w:rPr>
        <w:t>es</w:t>
      </w:r>
      <w:r>
        <w:rPr>
          <w:color w:val="231F20"/>
          <w:spacing w:val="-22"/>
          <w:w w:val="105"/>
        </w:rPr>
        <w:t> </w:t>
      </w:r>
      <w:r>
        <w:rPr>
          <w:color w:val="231F20"/>
          <w:w w:val="105"/>
        </w:rPr>
        <w:t>mucho</w:t>
      </w:r>
      <w:r>
        <w:rPr>
          <w:color w:val="231F20"/>
          <w:spacing w:val="-22"/>
          <w:w w:val="105"/>
        </w:rPr>
        <w:t> </w:t>
      </w:r>
      <w:r>
        <w:rPr>
          <w:color w:val="231F20"/>
          <w:w w:val="105"/>
        </w:rPr>
        <w:t>más</w:t>
      </w:r>
      <w:r>
        <w:rPr>
          <w:color w:val="231F20"/>
          <w:spacing w:val="-22"/>
          <w:w w:val="105"/>
        </w:rPr>
        <w:t> </w:t>
      </w:r>
      <w:r>
        <w:rPr>
          <w:color w:val="231F20"/>
          <w:w w:val="105"/>
        </w:rPr>
        <w:t>seguro</w:t>
      </w:r>
      <w:r>
        <w:rPr>
          <w:color w:val="231F20"/>
          <w:spacing w:val="-22"/>
          <w:w w:val="105"/>
        </w:rPr>
        <w:t> </w:t>
      </w:r>
      <w:r>
        <w:rPr>
          <w:color w:val="231F20"/>
          <w:w w:val="105"/>
        </w:rPr>
        <w:t>que</w:t>
      </w:r>
      <w:r>
        <w:rPr>
          <w:color w:val="231F20"/>
          <w:spacing w:val="-22"/>
          <w:w w:val="105"/>
        </w:rPr>
        <w:t> </w:t>
      </w:r>
      <w:r>
        <w:rPr>
          <w:color w:val="231F20"/>
          <w:w w:val="105"/>
        </w:rPr>
        <w:t>todos</w:t>
      </w:r>
      <w:r>
        <w:rPr>
          <w:color w:val="231F20"/>
          <w:spacing w:val="-22"/>
          <w:w w:val="105"/>
        </w:rPr>
        <w:t> </w:t>
      </w:r>
      <w:r>
        <w:rPr>
          <w:color w:val="231F20"/>
          <w:w w:val="105"/>
        </w:rPr>
        <w:t>los</w:t>
      </w:r>
      <w:r>
        <w:rPr>
          <w:color w:val="231F20"/>
          <w:spacing w:val="-22"/>
          <w:w w:val="105"/>
        </w:rPr>
        <w:t> </w:t>
      </w:r>
      <w:r>
        <w:rPr>
          <w:color w:val="231F20"/>
          <w:w w:val="105"/>
        </w:rPr>
        <w:t>lugares</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que</w:t>
      </w:r>
      <w:r>
        <w:rPr>
          <w:color w:val="231F20"/>
          <w:spacing w:val="-22"/>
          <w:w w:val="105"/>
        </w:rPr>
        <w:t> </w:t>
      </w:r>
      <w:r>
        <w:rPr>
          <w:color w:val="231F20"/>
          <w:w w:val="105"/>
        </w:rPr>
        <w:t>ellos vivieron</w:t>
      </w:r>
      <w:r>
        <w:rPr>
          <w:color w:val="231F20"/>
          <w:spacing w:val="-7"/>
          <w:w w:val="105"/>
        </w:rPr>
        <w:t> </w:t>
      </w:r>
      <w:r>
        <w:rPr>
          <w:color w:val="231F20"/>
          <w:w w:val="105"/>
        </w:rPr>
        <w:t>en</w:t>
      </w:r>
      <w:r>
        <w:rPr>
          <w:color w:val="231F20"/>
          <w:spacing w:val="-7"/>
          <w:w w:val="105"/>
        </w:rPr>
        <w:t> </w:t>
      </w:r>
      <w:r>
        <w:rPr>
          <w:color w:val="231F20"/>
          <w:w w:val="105"/>
        </w:rPr>
        <w:t>Estados</w:t>
      </w:r>
      <w:r>
        <w:rPr>
          <w:color w:val="231F20"/>
          <w:spacing w:val="-7"/>
          <w:w w:val="105"/>
        </w:rPr>
        <w:t> </w:t>
      </w:r>
      <w:r>
        <w:rPr>
          <w:color w:val="231F20"/>
          <w:spacing w:val="-4"/>
          <w:w w:val="105"/>
        </w:rPr>
        <w:t>Unidos”,</w:t>
      </w:r>
      <w:r>
        <w:rPr>
          <w:color w:val="231F20"/>
          <w:spacing w:val="-11"/>
          <w:w w:val="105"/>
        </w:rPr>
        <w:t> </w:t>
      </w:r>
      <w:r>
        <w:rPr>
          <w:color w:val="231F20"/>
          <w:w w:val="105"/>
        </w:rPr>
        <w:t>donde</w:t>
      </w:r>
      <w:r>
        <w:rPr>
          <w:color w:val="231F20"/>
          <w:spacing w:val="-7"/>
          <w:w w:val="105"/>
        </w:rPr>
        <w:t> </w:t>
      </w:r>
      <w:r>
        <w:rPr>
          <w:color w:val="231F20"/>
          <w:w w:val="105"/>
        </w:rPr>
        <w:t>escucharon</w:t>
      </w:r>
      <w:r>
        <w:rPr>
          <w:color w:val="231F20"/>
          <w:spacing w:val="-7"/>
          <w:w w:val="105"/>
        </w:rPr>
        <w:t> </w:t>
      </w:r>
      <w:r>
        <w:rPr>
          <w:color w:val="231F20"/>
          <w:w w:val="105"/>
        </w:rPr>
        <w:t>continuamente</w:t>
      </w:r>
      <w:r>
        <w:rPr>
          <w:color w:val="231F20"/>
          <w:spacing w:val="-7"/>
          <w:w w:val="105"/>
        </w:rPr>
        <w:t> </w:t>
      </w:r>
      <w:r>
        <w:rPr>
          <w:color w:val="231F20"/>
          <w:w w:val="105"/>
        </w:rPr>
        <w:t>de</w:t>
      </w:r>
      <w:r>
        <w:rPr>
          <w:color w:val="231F20"/>
          <w:spacing w:val="-7"/>
          <w:w w:val="105"/>
        </w:rPr>
        <w:t> </w:t>
      </w:r>
      <w:r>
        <w:rPr>
          <w:color w:val="231F20"/>
          <w:w w:val="105"/>
        </w:rPr>
        <w:t>“ata- ques</w:t>
      </w:r>
      <w:r>
        <w:rPr>
          <w:color w:val="231F20"/>
          <w:spacing w:val="-18"/>
          <w:w w:val="105"/>
        </w:rPr>
        <w:t> </w:t>
      </w:r>
      <w:r>
        <w:rPr>
          <w:color w:val="231F20"/>
          <w:w w:val="105"/>
        </w:rPr>
        <w:t>con</w:t>
      </w:r>
      <w:r>
        <w:rPr>
          <w:color w:val="231F20"/>
          <w:spacing w:val="-18"/>
          <w:w w:val="105"/>
        </w:rPr>
        <w:t> </w:t>
      </w:r>
      <w:r>
        <w:rPr>
          <w:color w:val="231F20"/>
          <w:w w:val="105"/>
        </w:rPr>
        <w:t>armas</w:t>
      </w:r>
      <w:r>
        <w:rPr>
          <w:color w:val="231F20"/>
          <w:spacing w:val="-18"/>
          <w:w w:val="105"/>
        </w:rPr>
        <w:t> </w:t>
      </w:r>
      <w:r>
        <w:rPr>
          <w:color w:val="231F20"/>
          <w:w w:val="105"/>
        </w:rPr>
        <w:t>y</w:t>
      </w:r>
      <w:r>
        <w:rPr>
          <w:color w:val="231F20"/>
          <w:spacing w:val="-18"/>
          <w:w w:val="105"/>
        </w:rPr>
        <w:t> </w:t>
      </w:r>
      <w:r>
        <w:rPr>
          <w:color w:val="231F20"/>
          <w:w w:val="105"/>
        </w:rPr>
        <w:t>violencia</w:t>
      </w:r>
      <w:r>
        <w:rPr>
          <w:color w:val="231F20"/>
          <w:spacing w:val="-18"/>
          <w:w w:val="105"/>
        </w:rPr>
        <w:t> </w:t>
      </w:r>
      <w:r>
        <w:rPr>
          <w:color w:val="231F20"/>
          <w:w w:val="105"/>
        </w:rPr>
        <w:t>entre</w:t>
      </w:r>
      <w:r>
        <w:rPr>
          <w:color w:val="231F20"/>
          <w:spacing w:val="-18"/>
          <w:w w:val="105"/>
        </w:rPr>
        <w:t> </w:t>
      </w:r>
      <w:r>
        <w:rPr>
          <w:color w:val="231F20"/>
          <w:w w:val="105"/>
        </w:rPr>
        <w:t>padres</w:t>
      </w:r>
      <w:r>
        <w:rPr>
          <w:color w:val="231F20"/>
          <w:spacing w:val="-18"/>
          <w:w w:val="105"/>
        </w:rPr>
        <w:t> </w:t>
      </w:r>
      <w:r>
        <w:rPr>
          <w:color w:val="231F20"/>
          <w:w w:val="105"/>
        </w:rPr>
        <w:t>e</w:t>
      </w:r>
      <w:r>
        <w:rPr>
          <w:color w:val="231F20"/>
          <w:spacing w:val="-18"/>
          <w:w w:val="105"/>
        </w:rPr>
        <w:t> </w:t>
      </w:r>
      <w:r>
        <w:rPr>
          <w:color w:val="231F20"/>
          <w:spacing w:val="-4"/>
          <w:w w:val="105"/>
        </w:rPr>
        <w:t>hijos”.</w:t>
      </w:r>
    </w:p>
    <w:p>
      <w:pPr>
        <w:pStyle w:val="BodyText"/>
        <w:spacing w:line="261" w:lineRule="auto" w:before="1"/>
        <w:ind w:left="1837" w:right="1721" w:firstLine="567"/>
        <w:jc w:val="both"/>
      </w:pPr>
      <w:r>
        <w:rPr>
          <w:color w:val="231F20"/>
          <w:w w:val="105"/>
        </w:rPr>
        <w:t>Después</w:t>
      </w:r>
      <w:r>
        <w:rPr>
          <w:color w:val="231F20"/>
          <w:spacing w:val="-28"/>
          <w:w w:val="105"/>
        </w:rPr>
        <w:t> </w:t>
      </w:r>
      <w:r>
        <w:rPr>
          <w:color w:val="231F20"/>
          <w:w w:val="105"/>
        </w:rPr>
        <w:t>de</w:t>
      </w:r>
      <w:r>
        <w:rPr>
          <w:color w:val="231F20"/>
          <w:spacing w:val="-28"/>
          <w:w w:val="105"/>
        </w:rPr>
        <w:t> </w:t>
      </w:r>
      <w:r>
        <w:rPr>
          <w:color w:val="231F20"/>
          <w:w w:val="105"/>
        </w:rPr>
        <w:t>dos</w:t>
      </w:r>
      <w:r>
        <w:rPr>
          <w:color w:val="231F20"/>
          <w:spacing w:val="-28"/>
          <w:w w:val="105"/>
        </w:rPr>
        <w:t> </w:t>
      </w:r>
      <w:r>
        <w:rPr>
          <w:color w:val="231F20"/>
          <w:w w:val="105"/>
        </w:rPr>
        <w:t>años</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entrevista</w:t>
      </w:r>
      <w:r>
        <w:rPr>
          <w:color w:val="231F20"/>
          <w:spacing w:val="-28"/>
          <w:w w:val="105"/>
        </w:rPr>
        <w:t> </w:t>
      </w:r>
      <w:r>
        <w:rPr>
          <w:color w:val="231F20"/>
          <w:w w:val="105"/>
        </w:rPr>
        <w:t>con</w:t>
      </w:r>
      <w:r>
        <w:rPr>
          <w:color w:val="231F20"/>
          <w:spacing w:val="-28"/>
          <w:w w:val="105"/>
        </w:rPr>
        <w:t> </w:t>
      </w:r>
      <w:r>
        <w:rPr>
          <w:color w:val="231F20"/>
          <w:w w:val="105"/>
        </w:rPr>
        <w:t>Esperanza,</w:t>
      </w:r>
      <w:r>
        <w:rPr>
          <w:color w:val="231F20"/>
          <w:spacing w:val="-32"/>
          <w:w w:val="105"/>
        </w:rPr>
        <w:t> </w:t>
      </w:r>
      <w:r>
        <w:rPr>
          <w:color w:val="231F20"/>
          <w:w w:val="105"/>
        </w:rPr>
        <w:t>se</w:t>
      </w:r>
      <w:r>
        <w:rPr>
          <w:color w:val="231F20"/>
          <w:spacing w:val="-28"/>
          <w:w w:val="105"/>
        </w:rPr>
        <w:t> </w:t>
      </w:r>
      <w:r>
        <w:rPr>
          <w:color w:val="231F20"/>
          <w:w w:val="105"/>
        </w:rPr>
        <w:t>le</w:t>
      </w:r>
      <w:r>
        <w:rPr>
          <w:color w:val="231F20"/>
          <w:spacing w:val="-28"/>
          <w:w w:val="105"/>
        </w:rPr>
        <w:t> </w:t>
      </w:r>
      <w:r>
        <w:rPr>
          <w:color w:val="231F20"/>
          <w:w w:val="105"/>
        </w:rPr>
        <w:t>hizo</w:t>
      </w:r>
      <w:r>
        <w:rPr>
          <w:color w:val="231F20"/>
          <w:spacing w:val="-28"/>
          <w:w w:val="105"/>
        </w:rPr>
        <w:t> </w:t>
      </w:r>
      <w:r>
        <w:rPr>
          <w:color w:val="231F20"/>
          <w:w w:val="105"/>
        </w:rPr>
        <w:t>una segunda visita en la tienda de su padre. Allí su padre relató que cuatro años atrás, Alberto, el hermano de Esperanza, había sido “deportado” por</w:t>
      </w:r>
      <w:r>
        <w:rPr>
          <w:color w:val="231F20"/>
          <w:spacing w:val="-20"/>
          <w:w w:val="105"/>
        </w:rPr>
        <w:t> </w:t>
      </w:r>
      <w:r>
        <w:rPr>
          <w:color w:val="231F20"/>
          <w:w w:val="105"/>
        </w:rPr>
        <w:t>cruzar</w:t>
      </w:r>
      <w:r>
        <w:rPr>
          <w:color w:val="231F20"/>
          <w:spacing w:val="-20"/>
          <w:w w:val="105"/>
        </w:rPr>
        <w:t> </w:t>
      </w:r>
      <w:r>
        <w:rPr>
          <w:color w:val="231F20"/>
          <w:w w:val="105"/>
        </w:rPr>
        <w:t>un</w:t>
      </w:r>
      <w:r>
        <w:rPr>
          <w:color w:val="231F20"/>
          <w:spacing w:val="-20"/>
          <w:w w:val="105"/>
        </w:rPr>
        <w:t> </w:t>
      </w:r>
      <w:r>
        <w:rPr>
          <w:color w:val="231F20"/>
          <w:w w:val="105"/>
        </w:rPr>
        <w:t>semáforo</w:t>
      </w:r>
      <w:r>
        <w:rPr>
          <w:color w:val="231F20"/>
          <w:spacing w:val="-20"/>
          <w:w w:val="105"/>
        </w:rPr>
        <w:t> </w:t>
      </w:r>
      <w:r>
        <w:rPr>
          <w:color w:val="231F20"/>
          <w:w w:val="105"/>
        </w:rPr>
        <w:t>peatonal</w:t>
      </w:r>
      <w:r>
        <w:rPr>
          <w:color w:val="231F20"/>
          <w:spacing w:val="-20"/>
          <w:w w:val="105"/>
        </w:rPr>
        <w:t> </w:t>
      </w:r>
      <w:r>
        <w:rPr>
          <w:color w:val="231F20"/>
          <w:w w:val="105"/>
        </w:rPr>
        <w:t>cuando</w:t>
      </w:r>
      <w:r>
        <w:rPr>
          <w:color w:val="231F20"/>
          <w:spacing w:val="-20"/>
          <w:w w:val="105"/>
        </w:rPr>
        <w:t> </w:t>
      </w:r>
      <w:r>
        <w:rPr>
          <w:color w:val="231F20"/>
          <w:w w:val="105"/>
        </w:rPr>
        <w:t>se</w:t>
      </w:r>
      <w:r>
        <w:rPr>
          <w:color w:val="231F20"/>
          <w:spacing w:val="-20"/>
          <w:w w:val="105"/>
        </w:rPr>
        <w:t> </w:t>
      </w:r>
      <w:r>
        <w:rPr>
          <w:color w:val="231F20"/>
          <w:w w:val="105"/>
        </w:rPr>
        <w:t>indicaba</w:t>
      </w:r>
      <w:r>
        <w:rPr>
          <w:color w:val="231F20"/>
          <w:spacing w:val="-20"/>
          <w:w w:val="105"/>
        </w:rPr>
        <w:t> </w:t>
      </w:r>
      <w:r>
        <w:rPr>
          <w:color w:val="231F20"/>
          <w:w w:val="105"/>
        </w:rPr>
        <w:t>hacer</w:t>
      </w:r>
      <w:r>
        <w:rPr>
          <w:color w:val="231F20"/>
          <w:spacing w:val="-20"/>
          <w:w w:val="105"/>
        </w:rPr>
        <w:t> </w:t>
      </w:r>
      <w:r>
        <w:rPr>
          <w:color w:val="231F20"/>
          <w:w w:val="105"/>
        </w:rPr>
        <w:t>un</w:t>
      </w:r>
      <w:r>
        <w:rPr>
          <w:color w:val="231F20"/>
          <w:spacing w:val="-20"/>
          <w:w w:val="105"/>
        </w:rPr>
        <w:t> </w:t>
      </w:r>
      <w:r>
        <w:rPr>
          <w:color w:val="231F20"/>
          <w:w w:val="105"/>
        </w:rPr>
        <w:t>alto.</w:t>
      </w:r>
      <w:r>
        <w:rPr>
          <w:color w:val="231F20"/>
          <w:spacing w:val="-26"/>
          <w:w w:val="105"/>
        </w:rPr>
        <w:t> </w:t>
      </w:r>
      <w:r>
        <w:rPr>
          <w:color w:val="231F20"/>
          <w:w w:val="105"/>
        </w:rPr>
        <w:t>De</w:t>
      </w:r>
      <w:r>
        <w:rPr>
          <w:color w:val="231F20"/>
          <w:spacing w:val="-20"/>
          <w:w w:val="105"/>
        </w:rPr>
        <w:t> </w:t>
      </w:r>
      <w:r>
        <w:rPr>
          <w:color w:val="231F20"/>
          <w:w w:val="105"/>
        </w:rPr>
        <w:t>tal forma</w:t>
      </w:r>
      <w:r>
        <w:rPr>
          <w:color w:val="231F20"/>
          <w:spacing w:val="-18"/>
          <w:w w:val="105"/>
        </w:rPr>
        <w:t> </w:t>
      </w:r>
      <w:r>
        <w:rPr>
          <w:color w:val="231F20"/>
          <w:w w:val="105"/>
        </w:rPr>
        <w:t>que,</w:t>
      </w:r>
      <w:r>
        <w:rPr>
          <w:color w:val="231F20"/>
          <w:spacing w:val="-24"/>
          <w:w w:val="105"/>
        </w:rPr>
        <w:t> </w:t>
      </w:r>
      <w:r>
        <w:rPr>
          <w:color w:val="231F20"/>
          <w:w w:val="105"/>
        </w:rPr>
        <w:t>tanto</w:t>
      </w:r>
      <w:r>
        <w:rPr>
          <w:color w:val="231F20"/>
          <w:spacing w:val="-18"/>
          <w:w w:val="105"/>
        </w:rPr>
        <w:t> </w:t>
      </w:r>
      <w:r>
        <w:rPr>
          <w:color w:val="231F20"/>
          <w:w w:val="105"/>
        </w:rPr>
        <w:t>el</w:t>
      </w:r>
      <w:r>
        <w:rPr>
          <w:color w:val="231F20"/>
          <w:spacing w:val="-18"/>
          <w:w w:val="105"/>
        </w:rPr>
        <w:t> </w:t>
      </w:r>
      <w:r>
        <w:rPr>
          <w:color w:val="231F20"/>
          <w:w w:val="105"/>
        </w:rPr>
        <w:t>retorno</w:t>
      </w:r>
      <w:r>
        <w:rPr>
          <w:color w:val="231F20"/>
          <w:spacing w:val="-18"/>
          <w:w w:val="105"/>
        </w:rPr>
        <w:t> </w:t>
      </w:r>
      <w:r>
        <w:rPr>
          <w:color w:val="231F20"/>
          <w:w w:val="105"/>
        </w:rPr>
        <w:t>de</w:t>
      </w:r>
      <w:r>
        <w:rPr>
          <w:color w:val="231F20"/>
          <w:spacing w:val="-18"/>
          <w:w w:val="105"/>
        </w:rPr>
        <w:t> </w:t>
      </w:r>
      <w:r>
        <w:rPr>
          <w:color w:val="231F20"/>
          <w:w w:val="105"/>
        </w:rPr>
        <w:t>Esperanza,</w:t>
      </w:r>
      <w:r>
        <w:rPr>
          <w:color w:val="231F20"/>
          <w:spacing w:val="-24"/>
          <w:w w:val="105"/>
        </w:rPr>
        <w:t> </w:t>
      </w:r>
      <w:r>
        <w:rPr>
          <w:color w:val="231F20"/>
          <w:w w:val="105"/>
        </w:rPr>
        <w:t>su</w:t>
      </w:r>
      <w:r>
        <w:rPr>
          <w:color w:val="231F20"/>
          <w:spacing w:val="-18"/>
          <w:w w:val="105"/>
        </w:rPr>
        <w:t> </w:t>
      </w:r>
      <w:r>
        <w:rPr>
          <w:color w:val="231F20"/>
          <w:w w:val="105"/>
        </w:rPr>
        <w:t>cuñada,</w:t>
      </w:r>
      <w:r>
        <w:rPr>
          <w:color w:val="231F20"/>
          <w:spacing w:val="-24"/>
          <w:w w:val="105"/>
        </w:rPr>
        <w:t> </w:t>
      </w:r>
      <w:r>
        <w:rPr>
          <w:color w:val="231F20"/>
          <w:w w:val="105"/>
        </w:rPr>
        <w:t>hijos</w:t>
      </w:r>
      <w:r>
        <w:rPr>
          <w:color w:val="231F20"/>
          <w:spacing w:val="-18"/>
          <w:w w:val="105"/>
        </w:rPr>
        <w:t> </w:t>
      </w:r>
      <w:r>
        <w:rPr>
          <w:color w:val="231F20"/>
          <w:w w:val="105"/>
        </w:rPr>
        <w:t>y</w:t>
      </w:r>
      <w:r>
        <w:rPr>
          <w:color w:val="231F20"/>
          <w:spacing w:val="-18"/>
          <w:w w:val="105"/>
        </w:rPr>
        <w:t> </w:t>
      </w:r>
      <w:r>
        <w:rPr>
          <w:color w:val="231F20"/>
          <w:w w:val="105"/>
        </w:rPr>
        <w:t>sobrinos</w:t>
      </w:r>
      <w:r>
        <w:rPr>
          <w:color w:val="231F20"/>
          <w:spacing w:val="-18"/>
          <w:w w:val="105"/>
        </w:rPr>
        <w:t> </w:t>
      </w:r>
      <w:r>
        <w:rPr>
          <w:color w:val="231F20"/>
          <w:w w:val="105"/>
        </w:rPr>
        <w:t>fue a consecuencia de la devolución de Alberto, quien había sido</w:t>
      </w:r>
      <w:r>
        <w:rPr>
          <w:color w:val="231F20"/>
          <w:spacing w:val="-23"/>
          <w:w w:val="105"/>
        </w:rPr>
        <w:t> </w:t>
      </w:r>
      <w:r>
        <w:rPr>
          <w:color w:val="231F20"/>
          <w:w w:val="105"/>
        </w:rPr>
        <w:t>removido por la policía de inmigración y enviado a la ciudad de Reynosa,</w:t>
      </w:r>
      <w:r>
        <w:rPr>
          <w:color w:val="231F20"/>
          <w:spacing w:val="-29"/>
          <w:w w:val="105"/>
        </w:rPr>
        <w:t> </w:t>
      </w:r>
      <w:r>
        <w:rPr>
          <w:color w:val="231F20"/>
          <w:spacing w:val="-4"/>
          <w:w w:val="105"/>
        </w:rPr>
        <w:t>Tamau- </w:t>
      </w:r>
      <w:r>
        <w:rPr>
          <w:color w:val="231F20"/>
          <w:w w:val="105"/>
        </w:rPr>
        <w:t>lipas,</w:t>
      </w:r>
      <w:r>
        <w:rPr>
          <w:color w:val="231F20"/>
          <w:spacing w:val="-10"/>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año</w:t>
      </w:r>
      <w:r>
        <w:rPr>
          <w:color w:val="231F20"/>
          <w:spacing w:val="-5"/>
          <w:w w:val="105"/>
        </w:rPr>
        <w:t> </w:t>
      </w:r>
      <w:r>
        <w:rPr>
          <w:color w:val="231F20"/>
          <w:w w:val="105"/>
        </w:rPr>
        <w:t>2010.</w:t>
      </w:r>
      <w:r>
        <w:rPr>
          <w:color w:val="231F20"/>
          <w:spacing w:val="-14"/>
          <w:w w:val="105"/>
        </w:rPr>
        <w:t> </w:t>
      </w:r>
      <w:r>
        <w:rPr>
          <w:color w:val="231F20"/>
          <w:w w:val="105"/>
        </w:rPr>
        <w:t>Alberto</w:t>
      </w:r>
      <w:r>
        <w:rPr>
          <w:color w:val="231F20"/>
          <w:spacing w:val="-5"/>
          <w:w w:val="105"/>
        </w:rPr>
        <w:t> </w:t>
      </w:r>
      <w:r>
        <w:rPr>
          <w:color w:val="231F20"/>
          <w:w w:val="105"/>
        </w:rPr>
        <w:t>no</w:t>
      </w:r>
      <w:r>
        <w:rPr>
          <w:color w:val="231F20"/>
          <w:spacing w:val="-5"/>
          <w:w w:val="105"/>
        </w:rPr>
        <w:t> </w:t>
      </w:r>
      <w:r>
        <w:rPr>
          <w:color w:val="231F20"/>
          <w:w w:val="105"/>
        </w:rPr>
        <w:t>quería</w:t>
      </w:r>
      <w:r>
        <w:rPr>
          <w:color w:val="231F20"/>
          <w:spacing w:val="-5"/>
          <w:w w:val="105"/>
        </w:rPr>
        <w:t> </w:t>
      </w:r>
      <w:r>
        <w:rPr>
          <w:color w:val="231F20"/>
          <w:w w:val="105"/>
        </w:rPr>
        <w:t>volver</w:t>
      </w:r>
      <w:r>
        <w:rPr>
          <w:color w:val="231F20"/>
          <w:spacing w:val="-5"/>
          <w:w w:val="105"/>
        </w:rPr>
        <w:t> </w:t>
      </w:r>
      <w:r>
        <w:rPr>
          <w:color w:val="231F20"/>
          <w:w w:val="105"/>
        </w:rPr>
        <w:t>a</w:t>
      </w:r>
      <w:r>
        <w:rPr>
          <w:color w:val="231F20"/>
          <w:spacing w:val="-5"/>
          <w:w w:val="105"/>
        </w:rPr>
        <w:t> </w:t>
      </w:r>
      <w:r>
        <w:rPr>
          <w:color w:val="231F20"/>
          <w:w w:val="105"/>
        </w:rPr>
        <w:t>Nezahualcóyotl</w:t>
      </w:r>
      <w:r>
        <w:rPr>
          <w:color w:val="231F20"/>
          <w:spacing w:val="-5"/>
          <w:w w:val="105"/>
        </w:rPr>
        <w:t> </w:t>
      </w:r>
      <w:r>
        <w:rPr>
          <w:color w:val="231F20"/>
          <w:w w:val="105"/>
        </w:rPr>
        <w:t>porque “había sido regresado” y por ello decidieron en ese momento</w:t>
      </w:r>
      <w:r>
        <w:rPr>
          <w:color w:val="231F20"/>
          <w:spacing w:val="-40"/>
          <w:w w:val="105"/>
        </w:rPr>
        <w:t> </w:t>
      </w:r>
      <w:r>
        <w:rPr>
          <w:color w:val="231F20"/>
          <w:w w:val="105"/>
        </w:rPr>
        <w:t>asentarse en</w:t>
      </w:r>
      <w:r>
        <w:rPr>
          <w:color w:val="231F20"/>
          <w:spacing w:val="-5"/>
          <w:w w:val="105"/>
        </w:rPr>
        <w:t> </w:t>
      </w:r>
      <w:r>
        <w:rPr>
          <w:color w:val="231F20"/>
          <w:w w:val="105"/>
        </w:rPr>
        <w:t>Guadalajara,</w:t>
      </w:r>
      <w:r>
        <w:rPr>
          <w:color w:val="231F20"/>
          <w:spacing w:val="-11"/>
          <w:w w:val="105"/>
        </w:rPr>
        <w:t> </w:t>
      </w:r>
      <w:r>
        <w:rPr>
          <w:color w:val="231F20"/>
          <w:w w:val="105"/>
        </w:rPr>
        <w:t>pero</w:t>
      </w:r>
      <w:r>
        <w:rPr>
          <w:color w:val="231F20"/>
          <w:spacing w:val="-5"/>
          <w:w w:val="105"/>
        </w:rPr>
        <w:t> </w:t>
      </w:r>
      <w:r>
        <w:rPr>
          <w:color w:val="231F20"/>
          <w:w w:val="105"/>
        </w:rPr>
        <w:t>luego</w:t>
      </w:r>
      <w:r>
        <w:rPr>
          <w:color w:val="231F20"/>
          <w:spacing w:val="-5"/>
          <w:w w:val="105"/>
        </w:rPr>
        <w:t> </w:t>
      </w:r>
      <w:r>
        <w:rPr>
          <w:color w:val="231F20"/>
          <w:w w:val="105"/>
        </w:rPr>
        <w:t>volvieron</w:t>
      </w:r>
      <w:r>
        <w:rPr>
          <w:color w:val="231F20"/>
          <w:spacing w:val="-5"/>
          <w:w w:val="105"/>
        </w:rPr>
        <w:t> </w:t>
      </w:r>
      <w:r>
        <w:rPr>
          <w:color w:val="231F20"/>
          <w:w w:val="105"/>
        </w:rPr>
        <w:t>a</w:t>
      </w:r>
      <w:r>
        <w:rPr>
          <w:color w:val="231F20"/>
          <w:spacing w:val="-5"/>
          <w:w w:val="105"/>
        </w:rPr>
        <w:t> </w:t>
      </w:r>
      <w:r>
        <w:rPr>
          <w:color w:val="231F20"/>
          <w:w w:val="105"/>
        </w:rPr>
        <w:t>Nezahualcóyotl</w:t>
      </w:r>
      <w:r>
        <w:rPr>
          <w:color w:val="231F20"/>
          <w:spacing w:val="-5"/>
          <w:w w:val="105"/>
        </w:rPr>
        <w:t> </w:t>
      </w:r>
      <w:r>
        <w:rPr>
          <w:color w:val="231F20"/>
          <w:w w:val="105"/>
        </w:rPr>
        <w:t>porque</w:t>
      </w:r>
      <w:r>
        <w:rPr>
          <w:color w:val="231F20"/>
          <w:spacing w:val="-5"/>
          <w:w w:val="105"/>
        </w:rPr>
        <w:t> </w:t>
      </w:r>
      <w:r>
        <w:rPr>
          <w:color w:val="231F20"/>
          <w:w w:val="105"/>
        </w:rPr>
        <w:t>el</w:t>
      </w:r>
      <w:r>
        <w:rPr>
          <w:color w:val="231F20"/>
          <w:spacing w:val="-5"/>
          <w:w w:val="105"/>
        </w:rPr>
        <w:t> </w:t>
      </w:r>
      <w:r>
        <w:rPr>
          <w:color w:val="231F20"/>
          <w:w w:val="105"/>
        </w:rPr>
        <w:t>padre comenzó</w:t>
      </w:r>
      <w:r>
        <w:rPr>
          <w:color w:val="231F20"/>
          <w:spacing w:val="-8"/>
          <w:w w:val="105"/>
        </w:rPr>
        <w:t> </w:t>
      </w:r>
      <w:r>
        <w:rPr>
          <w:color w:val="231F20"/>
          <w:w w:val="105"/>
        </w:rPr>
        <w:t>a</w:t>
      </w:r>
      <w:r>
        <w:rPr>
          <w:color w:val="231F20"/>
          <w:spacing w:val="-8"/>
          <w:w w:val="105"/>
        </w:rPr>
        <w:t> </w:t>
      </w:r>
      <w:r>
        <w:rPr>
          <w:color w:val="231F20"/>
          <w:w w:val="105"/>
        </w:rPr>
        <w:t>tener</w:t>
      </w:r>
      <w:r>
        <w:rPr>
          <w:color w:val="231F20"/>
          <w:spacing w:val="-8"/>
          <w:w w:val="105"/>
        </w:rPr>
        <w:t> </w:t>
      </w:r>
      <w:r>
        <w:rPr>
          <w:color w:val="231F20"/>
          <w:w w:val="105"/>
        </w:rPr>
        <w:t>problemas</w:t>
      </w:r>
      <w:r>
        <w:rPr>
          <w:color w:val="231F20"/>
          <w:spacing w:val="-8"/>
          <w:w w:val="105"/>
        </w:rPr>
        <w:t> </w:t>
      </w:r>
      <w:r>
        <w:rPr>
          <w:color w:val="231F20"/>
          <w:w w:val="105"/>
        </w:rPr>
        <w:t>de</w:t>
      </w:r>
      <w:r>
        <w:rPr>
          <w:color w:val="231F20"/>
          <w:spacing w:val="-8"/>
          <w:w w:val="105"/>
        </w:rPr>
        <w:t> </w:t>
      </w:r>
      <w:r>
        <w:rPr>
          <w:color w:val="231F20"/>
          <w:w w:val="105"/>
        </w:rPr>
        <w:t>salud.</w:t>
      </w:r>
      <w:r>
        <w:rPr>
          <w:color w:val="231F20"/>
          <w:spacing w:val="-17"/>
          <w:w w:val="105"/>
        </w:rPr>
        <w:t> </w:t>
      </w:r>
      <w:r>
        <w:rPr>
          <w:color w:val="231F20"/>
          <w:spacing w:val="-6"/>
          <w:w w:val="105"/>
        </w:rPr>
        <w:t>Tres</w:t>
      </w:r>
      <w:r>
        <w:rPr>
          <w:color w:val="231F20"/>
          <w:spacing w:val="-8"/>
          <w:w w:val="105"/>
        </w:rPr>
        <w:t> </w:t>
      </w:r>
      <w:r>
        <w:rPr>
          <w:color w:val="231F20"/>
          <w:w w:val="105"/>
        </w:rPr>
        <w:t>años</w:t>
      </w:r>
      <w:r>
        <w:rPr>
          <w:color w:val="231F20"/>
          <w:spacing w:val="-8"/>
          <w:w w:val="105"/>
        </w:rPr>
        <w:t> </w:t>
      </w:r>
      <w:r>
        <w:rPr>
          <w:color w:val="231F20"/>
          <w:w w:val="105"/>
        </w:rPr>
        <w:t>después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deporta- ción</w:t>
      </w:r>
      <w:r>
        <w:rPr>
          <w:color w:val="231F20"/>
          <w:spacing w:val="-14"/>
          <w:w w:val="105"/>
        </w:rPr>
        <w:t> </w:t>
      </w:r>
      <w:r>
        <w:rPr>
          <w:color w:val="231F20"/>
          <w:w w:val="105"/>
        </w:rPr>
        <w:t>de</w:t>
      </w:r>
      <w:r>
        <w:rPr>
          <w:color w:val="231F20"/>
          <w:spacing w:val="-17"/>
          <w:w w:val="105"/>
        </w:rPr>
        <w:t> </w:t>
      </w:r>
      <w:r>
        <w:rPr>
          <w:color w:val="231F20"/>
          <w:w w:val="105"/>
        </w:rPr>
        <w:t>Alberto,</w:t>
      </w:r>
      <w:r>
        <w:rPr>
          <w:color w:val="231F20"/>
          <w:spacing w:val="-19"/>
          <w:w w:val="105"/>
        </w:rPr>
        <w:t> </w:t>
      </w:r>
      <w:r>
        <w:rPr>
          <w:color w:val="231F20"/>
          <w:w w:val="105"/>
        </w:rPr>
        <w:t>éste</w:t>
      </w:r>
      <w:r>
        <w:rPr>
          <w:color w:val="231F20"/>
          <w:spacing w:val="-14"/>
          <w:w w:val="105"/>
        </w:rPr>
        <w:t> </w:t>
      </w:r>
      <w:r>
        <w:rPr>
          <w:color w:val="231F20"/>
          <w:w w:val="105"/>
        </w:rPr>
        <w:t>regresó</w:t>
      </w:r>
      <w:r>
        <w:rPr>
          <w:color w:val="231F20"/>
          <w:spacing w:val="-14"/>
          <w:w w:val="105"/>
        </w:rPr>
        <w:t> </w:t>
      </w:r>
      <w:r>
        <w:rPr>
          <w:color w:val="231F20"/>
          <w:w w:val="105"/>
        </w:rPr>
        <w:t>a</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9"/>
          <w:w w:val="105"/>
        </w:rPr>
        <w:t> </w:t>
      </w:r>
      <w:r>
        <w:rPr>
          <w:color w:val="231F20"/>
          <w:w w:val="105"/>
        </w:rPr>
        <w:t>actualmente</w:t>
      </w:r>
      <w:r>
        <w:rPr>
          <w:color w:val="231F20"/>
          <w:spacing w:val="-14"/>
          <w:w w:val="105"/>
        </w:rPr>
        <w:t> </w:t>
      </w:r>
      <w:r>
        <w:rPr>
          <w:color w:val="231F20"/>
          <w:w w:val="105"/>
        </w:rPr>
        <w:t>se</w:t>
      </w:r>
      <w:r>
        <w:rPr>
          <w:color w:val="231F20"/>
          <w:spacing w:val="-14"/>
          <w:w w:val="105"/>
        </w:rPr>
        <w:t> </w:t>
      </w:r>
      <w:r>
        <w:rPr>
          <w:color w:val="231F20"/>
          <w:w w:val="105"/>
        </w:rPr>
        <w:t>encuen- tra</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ciudad</w:t>
      </w:r>
      <w:r>
        <w:rPr>
          <w:color w:val="231F20"/>
          <w:spacing w:val="-14"/>
          <w:w w:val="105"/>
        </w:rPr>
        <w:t> </w:t>
      </w:r>
      <w:r>
        <w:rPr>
          <w:color w:val="231F20"/>
          <w:w w:val="105"/>
        </w:rPr>
        <w:t>de</w:t>
      </w:r>
      <w:r>
        <w:rPr>
          <w:color w:val="231F20"/>
          <w:spacing w:val="-14"/>
          <w:w w:val="105"/>
        </w:rPr>
        <w:t> </w:t>
      </w:r>
      <w:r>
        <w:rPr>
          <w:color w:val="231F20"/>
          <w:w w:val="105"/>
        </w:rPr>
        <w:t>Nueva</w:t>
      </w:r>
      <w:r>
        <w:rPr>
          <w:color w:val="231F20"/>
          <w:spacing w:val="-19"/>
          <w:w w:val="105"/>
        </w:rPr>
        <w:t> </w:t>
      </w:r>
      <w:r>
        <w:rPr>
          <w:color w:val="231F20"/>
          <w:spacing w:val="-4"/>
          <w:w w:val="105"/>
        </w:rPr>
        <w:t>York.</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pStyle w:val="Heading3"/>
        <w:spacing w:before="41"/>
        <w:ind w:left="1723"/>
        <w:rPr>
          <w:rFonts w:ascii="Tahoma" w:hAnsi="Tahoma"/>
        </w:rPr>
      </w:pPr>
      <w:r>
        <w:rPr/>
        <w:pict>
          <v:line style="position:absolute;mso-position-horizontal-relative:page;mso-position-vertical-relative:paragraph;z-index:14056" from="15pt,-65.267548pt" to="0pt,-65.267548pt" stroked="true" strokeweight=".25pt" strokecolor="#000000">
            <w10:wrap type="none"/>
          </v:line>
        </w:pict>
      </w:r>
      <w:r>
        <w:rPr/>
        <w:pict>
          <v:line style="position:absolute;mso-position-horizontal-relative:page;mso-position-vertical-relative:paragraph;z-index:14080" from="508.890015pt,-65.267548pt" to="523.890015pt,-65.267548pt" stroked="true" strokeweight=".25pt" strokecolor="#000000">
            <w10:wrap type="none"/>
          </v:line>
        </w:pict>
      </w:r>
      <w:r>
        <w:rPr>
          <w:rFonts w:ascii="Tahoma" w:hAnsi="Tahoma"/>
          <w:color w:val="231F20"/>
          <w:w w:val="90"/>
        </w:rPr>
        <w:t>Discusión final</w:t>
      </w:r>
    </w:p>
    <w:p>
      <w:pPr>
        <w:pStyle w:val="BodyText"/>
        <w:rPr>
          <w:rFonts w:ascii="Tahoma"/>
          <w:b/>
          <w:sz w:val="22"/>
        </w:rPr>
      </w:pPr>
    </w:p>
    <w:p>
      <w:pPr>
        <w:pStyle w:val="BodyText"/>
        <w:spacing w:line="261" w:lineRule="auto" w:before="152"/>
        <w:ind w:left="1723" w:right="1834"/>
        <w:jc w:val="both"/>
      </w:pPr>
      <w:r>
        <w:rPr>
          <w:color w:val="231F20"/>
        </w:rPr>
        <w:t>Las cuatro viñetas presentadas fueron construidas a partir de los relatos biográficos de migrantes de retorno a Nezahualcóyotl. </w:t>
      </w:r>
      <w:r>
        <w:rPr>
          <w:color w:val="231F20"/>
          <w:spacing w:val="-5"/>
        </w:rPr>
        <w:t>Todas </w:t>
      </w:r>
      <w:r>
        <w:rPr>
          <w:color w:val="231F20"/>
        </w:rPr>
        <w:t>las entre- vistas que dieron lugar a la información biográfica se realizaron en la localidad de retorno e inserción (Nezahualcóyotl). Años más  tarde, en una segunda sesión a los mismos informantes (o bien a un familiar direc- to que habitara en el mismo hogar), se constató si los migrantes habían cumplido la expectativa enunciada durante la primera entrevista –esta- blecerse en Nezahualcóyotl, o bien emprender otro viaje (internacional      o interno). Lo anterior hizo posible registrar al menos dos momentos vi- tales de los desplazamientos y movilidades de estos migrantes, así como la reemigración de dos sujetos a Estados: Luis quien había expresado abiertamente su interés por volver a Estados Unidos, particularmente a Nueva </w:t>
      </w:r>
      <w:r>
        <w:rPr>
          <w:color w:val="231F20"/>
          <w:spacing w:val="-4"/>
        </w:rPr>
        <w:t>York, </w:t>
      </w:r>
      <w:r>
        <w:rPr>
          <w:color w:val="231F20"/>
        </w:rPr>
        <w:t>y Moisés quien a lo largo de la entrevista había expresado   su deseo de quedarse en Nezahualcóyotl, pero también las condiciones    y objetivos para reemigrar. Asimismo, los otros dos entrevistados</w:t>
      </w:r>
      <w:r>
        <w:rPr>
          <w:rFonts w:ascii="Arial" w:hAnsi="Arial"/>
          <w:i/>
          <w:color w:val="231F20"/>
        </w:rPr>
        <w:t>, </w:t>
      </w:r>
      <w:r>
        <w:rPr>
          <w:color w:val="231F20"/>
        </w:rPr>
        <w:t>al me- nos hasta el momento en el que fueron revisitados, se encontraban en Nezahualcóyotl (Roberto y</w:t>
      </w:r>
      <w:r>
        <w:rPr>
          <w:color w:val="231F20"/>
          <w:spacing w:val="12"/>
        </w:rPr>
        <w:t> </w:t>
      </w:r>
      <w:r>
        <w:rPr>
          <w:color w:val="231F20"/>
        </w:rPr>
        <w:t>Esperanza).</w:t>
      </w:r>
    </w:p>
    <w:p>
      <w:pPr>
        <w:pStyle w:val="BodyText"/>
        <w:spacing w:line="261" w:lineRule="auto" w:before="1"/>
        <w:ind w:left="1723" w:right="1829" w:firstLine="567"/>
        <w:jc w:val="both"/>
      </w:pPr>
      <w:r>
        <w:rPr>
          <w:color w:val="231F20"/>
          <w:w w:val="105"/>
        </w:rPr>
        <w:t>En todos los casos analizados, los relatos se reconstruyeron ras- treando la experiencia de movilidad a través de las ciudades (tanto en Estados</w:t>
      </w:r>
      <w:r>
        <w:rPr>
          <w:color w:val="231F20"/>
          <w:spacing w:val="-18"/>
          <w:w w:val="105"/>
        </w:rPr>
        <w:t> </w:t>
      </w:r>
      <w:r>
        <w:rPr>
          <w:color w:val="231F20"/>
          <w:w w:val="105"/>
        </w:rPr>
        <w:t>Unidos</w:t>
      </w:r>
      <w:r>
        <w:rPr>
          <w:color w:val="231F20"/>
          <w:spacing w:val="-18"/>
          <w:w w:val="105"/>
        </w:rPr>
        <w:t> </w:t>
      </w:r>
      <w:r>
        <w:rPr>
          <w:color w:val="231F20"/>
          <w:w w:val="105"/>
        </w:rPr>
        <w:t>como</w:t>
      </w:r>
      <w:r>
        <w:rPr>
          <w:color w:val="231F20"/>
          <w:spacing w:val="-18"/>
          <w:w w:val="105"/>
        </w:rPr>
        <w:t> </w:t>
      </w:r>
      <w:r>
        <w:rPr>
          <w:color w:val="231F20"/>
          <w:w w:val="105"/>
        </w:rPr>
        <w:t>en</w:t>
      </w:r>
      <w:r>
        <w:rPr>
          <w:color w:val="231F20"/>
          <w:spacing w:val="-18"/>
          <w:w w:val="105"/>
        </w:rPr>
        <w:t> </w:t>
      </w:r>
      <w:r>
        <w:rPr>
          <w:color w:val="231F20"/>
          <w:w w:val="105"/>
        </w:rPr>
        <w:t>México)</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distintos</w:t>
      </w:r>
      <w:r>
        <w:rPr>
          <w:color w:val="231F20"/>
          <w:spacing w:val="-18"/>
          <w:w w:val="105"/>
        </w:rPr>
        <w:t> </w:t>
      </w:r>
      <w:r>
        <w:rPr>
          <w:color w:val="231F20"/>
          <w:w w:val="105"/>
        </w:rPr>
        <w:t>momentos</w:t>
      </w:r>
      <w:r>
        <w:rPr>
          <w:color w:val="231F20"/>
          <w:spacing w:val="-18"/>
          <w:w w:val="105"/>
        </w:rPr>
        <w:t> </w:t>
      </w:r>
      <w:r>
        <w:rPr>
          <w:color w:val="231F20"/>
          <w:w w:val="105"/>
        </w:rPr>
        <w:t>del</w:t>
      </w:r>
      <w:r>
        <w:rPr>
          <w:color w:val="231F20"/>
          <w:spacing w:val="-18"/>
          <w:w w:val="105"/>
        </w:rPr>
        <w:t> </w:t>
      </w:r>
      <w:r>
        <w:rPr>
          <w:color w:val="231F20"/>
          <w:w w:val="105"/>
        </w:rPr>
        <w:t>ciclo</w:t>
      </w:r>
      <w:r>
        <w:rPr>
          <w:color w:val="231F20"/>
          <w:spacing w:val="-18"/>
          <w:w w:val="105"/>
        </w:rPr>
        <w:t> </w:t>
      </w:r>
      <w:r>
        <w:rPr>
          <w:color w:val="231F20"/>
          <w:w w:val="105"/>
        </w:rPr>
        <w:t>vital, desde</w:t>
      </w:r>
      <w:r>
        <w:rPr>
          <w:color w:val="231F20"/>
          <w:spacing w:val="-18"/>
          <w:w w:val="105"/>
        </w:rPr>
        <w:t> </w:t>
      </w:r>
      <w:r>
        <w:rPr>
          <w:color w:val="231F20"/>
          <w:w w:val="105"/>
        </w:rPr>
        <w:t>su</w:t>
      </w:r>
      <w:r>
        <w:rPr>
          <w:color w:val="231F20"/>
          <w:spacing w:val="-18"/>
          <w:w w:val="105"/>
        </w:rPr>
        <w:t> </w:t>
      </w:r>
      <w:r>
        <w:rPr>
          <w:color w:val="231F20"/>
          <w:w w:val="105"/>
        </w:rPr>
        <w:t>lugar</w:t>
      </w:r>
      <w:r>
        <w:rPr>
          <w:color w:val="231F20"/>
          <w:spacing w:val="-18"/>
          <w:w w:val="105"/>
        </w:rPr>
        <w:t> </w:t>
      </w:r>
      <w:r>
        <w:rPr>
          <w:color w:val="231F20"/>
          <w:w w:val="105"/>
        </w:rPr>
        <w:t>de</w:t>
      </w:r>
      <w:r>
        <w:rPr>
          <w:color w:val="231F20"/>
          <w:spacing w:val="-18"/>
          <w:w w:val="105"/>
        </w:rPr>
        <w:t> </w:t>
      </w:r>
      <w:r>
        <w:rPr>
          <w:color w:val="231F20"/>
          <w:w w:val="105"/>
        </w:rPr>
        <w:t>nacimiento</w:t>
      </w:r>
      <w:r>
        <w:rPr>
          <w:color w:val="231F20"/>
          <w:spacing w:val="-18"/>
          <w:w w:val="105"/>
        </w:rPr>
        <w:t> </w:t>
      </w:r>
      <w:r>
        <w:rPr>
          <w:color w:val="231F20"/>
          <w:w w:val="105"/>
        </w:rPr>
        <w:t>hasta</w:t>
      </w:r>
      <w:r>
        <w:rPr>
          <w:color w:val="231F20"/>
          <w:spacing w:val="-18"/>
          <w:w w:val="105"/>
        </w:rPr>
        <w:t> </w:t>
      </w:r>
      <w:r>
        <w:rPr>
          <w:color w:val="231F20"/>
          <w:w w:val="105"/>
        </w:rPr>
        <w:t>su</w:t>
      </w:r>
      <w:r>
        <w:rPr>
          <w:color w:val="231F20"/>
          <w:spacing w:val="-18"/>
          <w:w w:val="105"/>
        </w:rPr>
        <w:t> </w:t>
      </w:r>
      <w:r>
        <w:rPr>
          <w:color w:val="231F20"/>
          <w:w w:val="105"/>
        </w:rPr>
        <w:t>arribo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localidad</w:t>
      </w:r>
      <w:r>
        <w:rPr>
          <w:color w:val="231F20"/>
          <w:spacing w:val="-18"/>
          <w:w w:val="105"/>
        </w:rPr>
        <w:t> </w:t>
      </w:r>
      <w:r>
        <w:rPr>
          <w:color w:val="231F20"/>
          <w:w w:val="105"/>
        </w:rPr>
        <w:t>de</w:t>
      </w:r>
      <w:r>
        <w:rPr>
          <w:color w:val="231F20"/>
          <w:spacing w:val="-18"/>
          <w:w w:val="105"/>
        </w:rPr>
        <w:t> </w:t>
      </w:r>
      <w:r>
        <w:rPr>
          <w:color w:val="231F20"/>
          <w:w w:val="105"/>
        </w:rPr>
        <w:t>retorno,</w:t>
      </w:r>
      <w:r>
        <w:rPr>
          <w:color w:val="231F20"/>
          <w:spacing w:val="-24"/>
          <w:w w:val="105"/>
        </w:rPr>
        <w:t> </w:t>
      </w:r>
      <w:r>
        <w:rPr>
          <w:color w:val="231F20"/>
          <w:w w:val="105"/>
        </w:rPr>
        <w:t>y desde</w:t>
      </w:r>
      <w:r>
        <w:rPr>
          <w:color w:val="231F20"/>
          <w:spacing w:val="-15"/>
          <w:w w:val="105"/>
        </w:rPr>
        <w:t> </w:t>
      </w:r>
      <w:r>
        <w:rPr>
          <w:color w:val="231F20"/>
          <w:w w:val="105"/>
        </w:rPr>
        <w:t>su</w:t>
      </w:r>
      <w:r>
        <w:rPr>
          <w:color w:val="231F20"/>
          <w:spacing w:val="-15"/>
          <w:w w:val="105"/>
        </w:rPr>
        <w:t> </w:t>
      </w:r>
      <w:r>
        <w:rPr>
          <w:color w:val="231F20"/>
          <w:w w:val="105"/>
        </w:rPr>
        <w:t>primer</w:t>
      </w:r>
      <w:r>
        <w:rPr>
          <w:color w:val="231F20"/>
          <w:spacing w:val="-15"/>
          <w:w w:val="105"/>
        </w:rPr>
        <w:t> </w:t>
      </w:r>
      <w:r>
        <w:rPr>
          <w:color w:val="231F20"/>
          <w:w w:val="105"/>
        </w:rPr>
        <w:t>empleo</w:t>
      </w:r>
      <w:r>
        <w:rPr>
          <w:color w:val="231F20"/>
          <w:spacing w:val="-15"/>
          <w:w w:val="105"/>
        </w:rPr>
        <w:t> </w:t>
      </w:r>
      <w:r>
        <w:rPr>
          <w:color w:val="231F20"/>
          <w:w w:val="105"/>
        </w:rPr>
        <w:t>hasta</w:t>
      </w:r>
      <w:r>
        <w:rPr>
          <w:color w:val="231F20"/>
          <w:spacing w:val="-15"/>
          <w:w w:val="105"/>
        </w:rPr>
        <w:t> </w:t>
      </w:r>
      <w:r>
        <w:rPr>
          <w:color w:val="231F20"/>
          <w:w w:val="105"/>
        </w:rPr>
        <w:t>el</w:t>
      </w:r>
      <w:r>
        <w:rPr>
          <w:color w:val="231F20"/>
          <w:spacing w:val="-15"/>
          <w:w w:val="105"/>
        </w:rPr>
        <w:t> </w:t>
      </w:r>
      <w:r>
        <w:rPr>
          <w:color w:val="231F20"/>
          <w:w w:val="105"/>
        </w:rPr>
        <w:t>momento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que</w:t>
      </w:r>
      <w:r>
        <w:rPr>
          <w:color w:val="231F20"/>
          <w:spacing w:val="-15"/>
          <w:w w:val="105"/>
        </w:rPr>
        <w:t> </w:t>
      </w:r>
      <w:r>
        <w:rPr>
          <w:color w:val="231F20"/>
          <w:w w:val="105"/>
        </w:rPr>
        <w:t>fueron</w:t>
      </w:r>
      <w:r>
        <w:rPr>
          <w:color w:val="231F20"/>
          <w:spacing w:val="-15"/>
          <w:w w:val="105"/>
        </w:rPr>
        <w:t> </w:t>
      </w:r>
      <w:r>
        <w:rPr>
          <w:color w:val="231F20"/>
          <w:w w:val="105"/>
        </w:rPr>
        <w:t>interpelados como</w:t>
      </w:r>
      <w:r>
        <w:rPr>
          <w:color w:val="231F20"/>
          <w:spacing w:val="-19"/>
          <w:w w:val="105"/>
        </w:rPr>
        <w:t> </w:t>
      </w:r>
      <w:r>
        <w:rPr>
          <w:color w:val="231F20"/>
          <w:w w:val="105"/>
        </w:rPr>
        <w:t>inmigrantes</w:t>
      </w:r>
      <w:r>
        <w:rPr>
          <w:color w:val="231F20"/>
          <w:spacing w:val="-19"/>
          <w:w w:val="105"/>
        </w:rPr>
        <w:t> </w:t>
      </w:r>
      <w:r>
        <w:rPr>
          <w:color w:val="231F20"/>
          <w:w w:val="105"/>
        </w:rPr>
        <w:t>de</w:t>
      </w:r>
      <w:r>
        <w:rPr>
          <w:color w:val="231F20"/>
          <w:spacing w:val="-19"/>
          <w:w w:val="105"/>
        </w:rPr>
        <w:t> </w:t>
      </w:r>
      <w:r>
        <w:rPr>
          <w:color w:val="231F20"/>
          <w:w w:val="105"/>
        </w:rPr>
        <w:t>retorno</w:t>
      </w:r>
      <w:r>
        <w:rPr>
          <w:color w:val="231F20"/>
          <w:spacing w:val="-19"/>
          <w:w w:val="105"/>
        </w:rPr>
        <w:t> </w:t>
      </w:r>
      <w:r>
        <w:rPr>
          <w:color w:val="231F20"/>
          <w:w w:val="105"/>
        </w:rPr>
        <w:t>en</w:t>
      </w:r>
      <w:r>
        <w:rPr>
          <w:color w:val="231F20"/>
          <w:spacing w:val="-19"/>
          <w:w w:val="105"/>
        </w:rPr>
        <w:t> </w:t>
      </w:r>
      <w:r>
        <w:rPr>
          <w:color w:val="231F20"/>
          <w:w w:val="105"/>
        </w:rPr>
        <w:t>Nezahualcóyotl.</w:t>
      </w:r>
      <w:r>
        <w:rPr>
          <w:color w:val="231F20"/>
          <w:spacing w:val="-24"/>
          <w:w w:val="105"/>
        </w:rPr>
        <w:t> </w:t>
      </w:r>
      <w:r>
        <w:rPr>
          <w:color w:val="231F20"/>
          <w:w w:val="105"/>
        </w:rPr>
        <w:t>Es</w:t>
      </w:r>
      <w:r>
        <w:rPr>
          <w:color w:val="231F20"/>
          <w:spacing w:val="-19"/>
          <w:w w:val="105"/>
        </w:rPr>
        <w:t> </w:t>
      </w:r>
      <w:r>
        <w:rPr>
          <w:color w:val="231F20"/>
          <w:w w:val="105"/>
        </w:rPr>
        <w:t>decir,</w:t>
      </w:r>
      <w:r>
        <w:rPr>
          <w:color w:val="231F20"/>
          <w:spacing w:val="-24"/>
          <w:w w:val="105"/>
        </w:rPr>
        <w:t> </w:t>
      </w:r>
      <w:r>
        <w:rPr>
          <w:color w:val="231F20"/>
          <w:w w:val="105"/>
        </w:rPr>
        <w:t>se</w:t>
      </w:r>
      <w:r>
        <w:rPr>
          <w:color w:val="231F20"/>
          <w:spacing w:val="-19"/>
          <w:w w:val="105"/>
        </w:rPr>
        <w:t> </w:t>
      </w:r>
      <w:r>
        <w:rPr>
          <w:color w:val="231F20"/>
          <w:w w:val="105"/>
        </w:rPr>
        <w:t>documentó la historia laboral y se optó por registrar el número de años de</w:t>
      </w:r>
      <w:r>
        <w:rPr>
          <w:color w:val="231F20"/>
          <w:spacing w:val="-28"/>
          <w:w w:val="105"/>
        </w:rPr>
        <w:t> </w:t>
      </w:r>
      <w:r>
        <w:rPr>
          <w:color w:val="231F20"/>
          <w:w w:val="105"/>
        </w:rPr>
        <w:t>escolari- dad,</w:t>
      </w:r>
      <w:r>
        <w:rPr>
          <w:color w:val="231F20"/>
          <w:spacing w:val="-16"/>
          <w:w w:val="105"/>
        </w:rPr>
        <w:t> </w:t>
      </w:r>
      <w:r>
        <w:rPr>
          <w:color w:val="231F20"/>
          <w:w w:val="105"/>
        </w:rPr>
        <w:t>el</w:t>
      </w:r>
      <w:r>
        <w:rPr>
          <w:color w:val="231F20"/>
          <w:spacing w:val="-11"/>
          <w:w w:val="105"/>
        </w:rPr>
        <w:t> </w:t>
      </w:r>
      <w:r>
        <w:rPr>
          <w:color w:val="231F20"/>
          <w:w w:val="105"/>
        </w:rPr>
        <w:t>cual</w:t>
      </w:r>
      <w:r>
        <w:rPr>
          <w:color w:val="231F20"/>
          <w:spacing w:val="-11"/>
          <w:w w:val="105"/>
        </w:rPr>
        <w:t> </w:t>
      </w:r>
      <w:r>
        <w:rPr>
          <w:color w:val="231F20"/>
          <w:w w:val="105"/>
        </w:rPr>
        <w:t>es</w:t>
      </w:r>
      <w:r>
        <w:rPr>
          <w:color w:val="231F20"/>
          <w:spacing w:val="-11"/>
          <w:w w:val="105"/>
        </w:rPr>
        <w:t> </w:t>
      </w:r>
      <w:r>
        <w:rPr>
          <w:color w:val="231F20"/>
          <w:w w:val="105"/>
        </w:rPr>
        <w:t>relativamente</w:t>
      </w:r>
      <w:r>
        <w:rPr>
          <w:color w:val="231F20"/>
          <w:spacing w:val="-11"/>
          <w:w w:val="105"/>
        </w:rPr>
        <w:t> </w:t>
      </w:r>
      <w:r>
        <w:rPr>
          <w:color w:val="231F20"/>
          <w:w w:val="105"/>
        </w:rPr>
        <w:t>similar</w:t>
      </w:r>
      <w:r>
        <w:rPr>
          <w:color w:val="231F20"/>
          <w:spacing w:val="-11"/>
          <w:w w:val="105"/>
        </w:rPr>
        <w:t> </w:t>
      </w:r>
      <w:r>
        <w:rPr>
          <w:color w:val="231F20"/>
          <w:w w:val="105"/>
        </w:rPr>
        <w:t>entre</w:t>
      </w:r>
      <w:r>
        <w:rPr>
          <w:color w:val="231F20"/>
          <w:spacing w:val="-11"/>
          <w:w w:val="105"/>
        </w:rPr>
        <w:t> </w:t>
      </w:r>
      <w:r>
        <w:rPr>
          <w:color w:val="231F20"/>
          <w:w w:val="105"/>
        </w:rPr>
        <w:t>los</w:t>
      </w:r>
      <w:r>
        <w:rPr>
          <w:color w:val="231F20"/>
          <w:spacing w:val="-11"/>
          <w:w w:val="105"/>
        </w:rPr>
        <w:t> </w:t>
      </w:r>
      <w:r>
        <w:rPr>
          <w:color w:val="231F20"/>
          <w:w w:val="105"/>
        </w:rPr>
        <w:t>cuatro</w:t>
      </w:r>
      <w:r>
        <w:rPr>
          <w:color w:val="231F20"/>
          <w:spacing w:val="-11"/>
          <w:w w:val="105"/>
        </w:rPr>
        <w:t> </w:t>
      </w:r>
      <w:r>
        <w:rPr>
          <w:color w:val="231F20"/>
          <w:w w:val="105"/>
        </w:rPr>
        <w:t>inmigrantes,</w:t>
      </w:r>
      <w:r>
        <w:rPr>
          <w:color w:val="231F20"/>
          <w:spacing w:val="-16"/>
          <w:w w:val="105"/>
        </w:rPr>
        <w:t> </w:t>
      </w:r>
      <w:r>
        <w:rPr>
          <w:color w:val="231F20"/>
          <w:w w:val="105"/>
        </w:rPr>
        <w:t>en</w:t>
      </w:r>
      <w:r>
        <w:rPr>
          <w:color w:val="231F20"/>
          <w:spacing w:val="-11"/>
          <w:w w:val="105"/>
        </w:rPr>
        <w:t> </w:t>
      </w:r>
      <w:r>
        <w:rPr>
          <w:color w:val="231F20"/>
          <w:w w:val="105"/>
        </w:rPr>
        <w:t>tér- minos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años</w:t>
      </w:r>
      <w:r>
        <w:rPr>
          <w:color w:val="231F20"/>
          <w:spacing w:val="-10"/>
          <w:w w:val="105"/>
        </w:rPr>
        <w:t> </w:t>
      </w:r>
      <w:r>
        <w:rPr>
          <w:color w:val="231F20"/>
          <w:w w:val="105"/>
        </w:rPr>
        <w:t>cursados.</w:t>
      </w:r>
      <w:r>
        <w:rPr>
          <w:color w:val="231F20"/>
          <w:spacing w:val="-18"/>
          <w:w w:val="105"/>
        </w:rPr>
        <w:t> </w:t>
      </w:r>
      <w:r>
        <w:rPr>
          <w:color w:val="231F20"/>
          <w:w w:val="105"/>
        </w:rPr>
        <w:t>Adicionalmente,</w:t>
      </w:r>
      <w:r>
        <w:rPr>
          <w:color w:val="231F20"/>
          <w:spacing w:val="-16"/>
          <w:w w:val="105"/>
        </w:rPr>
        <w:t> </w:t>
      </w:r>
      <w:r>
        <w:rPr>
          <w:color w:val="231F20"/>
          <w:w w:val="105"/>
        </w:rPr>
        <w:t>tres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casos</w:t>
      </w:r>
      <w:r>
        <w:rPr>
          <w:color w:val="231F20"/>
          <w:spacing w:val="-10"/>
          <w:w w:val="105"/>
        </w:rPr>
        <w:t> </w:t>
      </w:r>
      <w:r>
        <w:rPr>
          <w:color w:val="231F20"/>
          <w:w w:val="105"/>
        </w:rPr>
        <w:t>construi- dos</w:t>
      </w:r>
      <w:r>
        <w:rPr>
          <w:color w:val="231F20"/>
          <w:spacing w:val="-23"/>
          <w:w w:val="105"/>
        </w:rPr>
        <w:t> </w:t>
      </w:r>
      <w:r>
        <w:rPr>
          <w:color w:val="231F20"/>
          <w:w w:val="105"/>
        </w:rPr>
        <w:t>tienen</w:t>
      </w:r>
      <w:r>
        <w:rPr>
          <w:color w:val="231F20"/>
          <w:spacing w:val="-23"/>
          <w:w w:val="105"/>
        </w:rPr>
        <w:t> </w:t>
      </w:r>
      <w:r>
        <w:rPr>
          <w:color w:val="231F20"/>
          <w:w w:val="105"/>
        </w:rPr>
        <w:t>en</w:t>
      </w:r>
      <w:r>
        <w:rPr>
          <w:color w:val="231F20"/>
          <w:spacing w:val="-23"/>
          <w:w w:val="105"/>
        </w:rPr>
        <w:t> </w:t>
      </w:r>
      <w:r>
        <w:rPr>
          <w:color w:val="231F20"/>
          <w:w w:val="105"/>
        </w:rPr>
        <w:t>común</w:t>
      </w:r>
      <w:r>
        <w:rPr>
          <w:color w:val="231F20"/>
          <w:spacing w:val="-23"/>
          <w:w w:val="105"/>
        </w:rPr>
        <w:t> </w:t>
      </w:r>
      <w:r>
        <w:rPr>
          <w:color w:val="231F20"/>
          <w:w w:val="105"/>
        </w:rPr>
        <w:t>contar</w:t>
      </w:r>
      <w:r>
        <w:rPr>
          <w:color w:val="231F20"/>
          <w:spacing w:val="-23"/>
          <w:w w:val="105"/>
        </w:rPr>
        <w:t> </w:t>
      </w:r>
      <w:r>
        <w:rPr>
          <w:color w:val="231F20"/>
          <w:w w:val="105"/>
        </w:rPr>
        <w:t>con</w:t>
      </w:r>
      <w:r>
        <w:rPr>
          <w:color w:val="231F20"/>
          <w:spacing w:val="-23"/>
          <w:w w:val="105"/>
        </w:rPr>
        <w:t> </w:t>
      </w:r>
      <w:r>
        <w:rPr>
          <w:color w:val="231F20"/>
          <w:w w:val="105"/>
        </w:rPr>
        <w:t>experiencia</w:t>
      </w:r>
      <w:r>
        <w:rPr>
          <w:color w:val="231F20"/>
          <w:spacing w:val="-23"/>
          <w:w w:val="105"/>
        </w:rPr>
        <w:t> </w:t>
      </w:r>
      <w:r>
        <w:rPr>
          <w:color w:val="231F20"/>
          <w:w w:val="105"/>
        </w:rPr>
        <w:t>migratoria</w:t>
      </w:r>
      <w:r>
        <w:rPr>
          <w:color w:val="231F20"/>
          <w:spacing w:val="-23"/>
          <w:w w:val="105"/>
        </w:rPr>
        <w:t> </w:t>
      </w:r>
      <w:r>
        <w:rPr>
          <w:color w:val="231F20"/>
          <w:w w:val="105"/>
        </w:rPr>
        <w:t>a</w:t>
      </w:r>
      <w:r>
        <w:rPr>
          <w:color w:val="231F20"/>
          <w:spacing w:val="-23"/>
          <w:w w:val="105"/>
        </w:rPr>
        <w:t> </w:t>
      </w:r>
      <w:r>
        <w:rPr>
          <w:color w:val="231F20"/>
          <w:w w:val="105"/>
        </w:rPr>
        <w:t>Estados</w:t>
      </w:r>
      <w:r>
        <w:rPr>
          <w:color w:val="231F20"/>
          <w:spacing w:val="-23"/>
          <w:w w:val="105"/>
        </w:rPr>
        <w:t> </w:t>
      </w:r>
      <w:r>
        <w:rPr>
          <w:color w:val="231F20"/>
          <w:w w:val="105"/>
        </w:rPr>
        <w:t>Unidos y</w:t>
      </w:r>
      <w:r>
        <w:rPr>
          <w:color w:val="231F20"/>
          <w:spacing w:val="-23"/>
          <w:w w:val="105"/>
        </w:rPr>
        <w:t> </w:t>
      </w:r>
      <w:r>
        <w:rPr>
          <w:color w:val="231F20"/>
          <w:w w:val="105"/>
        </w:rPr>
        <w:t>al</w:t>
      </w:r>
      <w:r>
        <w:rPr>
          <w:color w:val="231F20"/>
          <w:spacing w:val="-23"/>
          <w:w w:val="105"/>
        </w:rPr>
        <w:t> </w:t>
      </w:r>
      <w:r>
        <w:rPr>
          <w:color w:val="231F20"/>
          <w:w w:val="105"/>
        </w:rPr>
        <w:t>interior</w:t>
      </w:r>
      <w:r>
        <w:rPr>
          <w:color w:val="231F20"/>
          <w:spacing w:val="-23"/>
          <w:w w:val="105"/>
        </w:rPr>
        <w:t> </w:t>
      </w:r>
      <w:r>
        <w:rPr>
          <w:color w:val="231F20"/>
          <w:w w:val="105"/>
        </w:rPr>
        <w:t>del</w:t>
      </w:r>
      <w:r>
        <w:rPr>
          <w:color w:val="231F20"/>
          <w:spacing w:val="-23"/>
          <w:w w:val="105"/>
        </w:rPr>
        <w:t> </w:t>
      </w:r>
      <w:r>
        <w:rPr>
          <w:color w:val="231F20"/>
          <w:w w:val="105"/>
        </w:rPr>
        <w:t>país.</w:t>
      </w:r>
      <w:r>
        <w:rPr>
          <w:color w:val="231F20"/>
          <w:spacing w:val="-28"/>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siguiente</w:t>
      </w:r>
      <w:r>
        <w:rPr>
          <w:color w:val="231F20"/>
          <w:spacing w:val="-23"/>
          <w:w w:val="105"/>
        </w:rPr>
        <w:t> </w:t>
      </w:r>
      <w:r>
        <w:rPr>
          <w:color w:val="231F20"/>
          <w:w w:val="105"/>
        </w:rPr>
        <w:t>cuadro</w:t>
      </w:r>
      <w:r>
        <w:rPr>
          <w:color w:val="231F20"/>
          <w:spacing w:val="-23"/>
          <w:w w:val="105"/>
        </w:rPr>
        <w:t> </w:t>
      </w:r>
      <w:r>
        <w:rPr>
          <w:color w:val="231F20"/>
          <w:w w:val="105"/>
        </w:rPr>
        <w:t>se</w:t>
      </w:r>
      <w:r>
        <w:rPr>
          <w:color w:val="231F20"/>
          <w:spacing w:val="-23"/>
          <w:w w:val="105"/>
        </w:rPr>
        <w:t> </w:t>
      </w:r>
      <w:r>
        <w:rPr>
          <w:color w:val="231F20"/>
          <w:w w:val="105"/>
        </w:rPr>
        <w:t>presentan</w:t>
      </w:r>
      <w:r>
        <w:rPr>
          <w:color w:val="231F20"/>
          <w:spacing w:val="-23"/>
          <w:w w:val="105"/>
        </w:rPr>
        <w:t> </w:t>
      </w:r>
      <w:r>
        <w:rPr>
          <w:color w:val="231F20"/>
          <w:w w:val="105"/>
        </w:rPr>
        <w:t>de</w:t>
      </w:r>
      <w:r>
        <w:rPr>
          <w:color w:val="231F20"/>
          <w:spacing w:val="-23"/>
          <w:w w:val="105"/>
        </w:rPr>
        <w:t> </w:t>
      </w:r>
      <w:r>
        <w:rPr>
          <w:color w:val="231F20"/>
          <w:w w:val="105"/>
        </w:rPr>
        <w:t>manera</w:t>
      </w:r>
      <w:r>
        <w:rPr>
          <w:color w:val="231F20"/>
          <w:spacing w:val="-23"/>
          <w:w w:val="105"/>
        </w:rPr>
        <w:t> </w:t>
      </w:r>
      <w:r>
        <w:rPr>
          <w:color w:val="231F20"/>
          <w:w w:val="105"/>
        </w:rPr>
        <w:t>abre- viada</w:t>
      </w:r>
      <w:r>
        <w:rPr>
          <w:color w:val="231F20"/>
          <w:spacing w:val="-17"/>
          <w:w w:val="105"/>
        </w:rPr>
        <w:t> </w:t>
      </w:r>
      <w:r>
        <w:rPr>
          <w:color w:val="231F20"/>
          <w:w w:val="105"/>
        </w:rPr>
        <w:t>algunos</w:t>
      </w:r>
      <w:r>
        <w:rPr>
          <w:color w:val="231F20"/>
          <w:spacing w:val="-17"/>
          <w:w w:val="105"/>
        </w:rPr>
        <w:t> </w:t>
      </w:r>
      <w:r>
        <w:rPr>
          <w:color w:val="231F20"/>
          <w:w w:val="105"/>
        </w:rPr>
        <w:t>datos</w:t>
      </w:r>
      <w:r>
        <w:rPr>
          <w:color w:val="231F20"/>
          <w:spacing w:val="-17"/>
          <w:w w:val="105"/>
        </w:rPr>
        <w:t> </w:t>
      </w:r>
      <w:r>
        <w:rPr>
          <w:color w:val="231F20"/>
          <w:w w:val="105"/>
        </w:rPr>
        <w:t>biográficos:</w:t>
      </w:r>
    </w:p>
    <w:p>
      <w:pPr>
        <w:pStyle w:val="BodyText"/>
        <w:spacing w:before="3"/>
        <w:rPr>
          <w:sz w:val="24"/>
        </w:rPr>
      </w:pPr>
    </w:p>
    <w:tbl>
      <w:tblPr>
        <w:tblW w:w="0" w:type="auto"/>
        <w:jc w:val="left"/>
        <w:tblInd w:w="1722"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25"/>
        <w:gridCol w:w="1247"/>
        <w:gridCol w:w="1247"/>
        <w:gridCol w:w="1247"/>
        <w:gridCol w:w="1247"/>
      </w:tblGrid>
      <w:tr>
        <w:trPr>
          <w:trHeight w:val="556" w:hRule="exact"/>
        </w:trPr>
        <w:tc>
          <w:tcPr>
            <w:tcW w:w="6914" w:type="dxa"/>
            <w:gridSpan w:val="5"/>
          </w:tcPr>
          <w:p>
            <w:pPr>
              <w:pStyle w:val="TableParagraph"/>
              <w:spacing w:line="249" w:lineRule="auto" w:before="88"/>
              <w:ind w:left="2748" w:right="174" w:hanging="2567"/>
              <w:rPr>
                <w:rFonts w:ascii="Arial" w:hAnsi="Arial"/>
                <w:sz w:val="18"/>
              </w:rPr>
            </w:pPr>
            <w:r>
              <w:rPr>
                <w:rFonts w:ascii="Arial" w:hAnsi="Arial"/>
                <w:color w:val="231F20"/>
                <w:w w:val="105"/>
                <w:sz w:val="18"/>
              </w:rPr>
              <w:t>Resumen</w:t>
            </w:r>
            <w:r>
              <w:rPr>
                <w:rFonts w:ascii="Arial" w:hAnsi="Arial"/>
                <w:color w:val="231F20"/>
                <w:spacing w:val="-20"/>
                <w:w w:val="105"/>
                <w:sz w:val="18"/>
              </w:rPr>
              <w:t> </w:t>
            </w:r>
            <w:r>
              <w:rPr>
                <w:rFonts w:ascii="Arial" w:hAnsi="Arial"/>
                <w:color w:val="231F20"/>
                <w:w w:val="105"/>
                <w:sz w:val="18"/>
              </w:rPr>
              <w:t>de</w:t>
            </w:r>
            <w:r>
              <w:rPr>
                <w:rFonts w:ascii="Arial" w:hAnsi="Arial"/>
                <w:color w:val="231F20"/>
                <w:spacing w:val="-20"/>
                <w:w w:val="105"/>
                <w:sz w:val="18"/>
              </w:rPr>
              <w:t> </w:t>
            </w:r>
            <w:r>
              <w:rPr>
                <w:rFonts w:ascii="Arial" w:hAnsi="Arial"/>
                <w:color w:val="231F20"/>
                <w:w w:val="105"/>
                <w:sz w:val="18"/>
              </w:rPr>
              <w:t>información</w:t>
            </w:r>
            <w:r>
              <w:rPr>
                <w:rFonts w:ascii="Arial" w:hAnsi="Arial"/>
                <w:color w:val="231F20"/>
                <w:spacing w:val="-20"/>
                <w:w w:val="105"/>
                <w:sz w:val="18"/>
              </w:rPr>
              <w:t> </w:t>
            </w:r>
            <w:r>
              <w:rPr>
                <w:rFonts w:ascii="Arial" w:hAnsi="Arial"/>
                <w:color w:val="231F20"/>
                <w:w w:val="105"/>
                <w:sz w:val="18"/>
              </w:rPr>
              <w:t>biográfica</w:t>
            </w:r>
            <w:r>
              <w:rPr>
                <w:rFonts w:ascii="Arial" w:hAnsi="Arial"/>
                <w:color w:val="231F20"/>
                <w:spacing w:val="-20"/>
                <w:w w:val="105"/>
                <w:sz w:val="18"/>
              </w:rPr>
              <w:t> </w:t>
            </w:r>
            <w:r>
              <w:rPr>
                <w:rFonts w:ascii="Arial" w:hAnsi="Arial"/>
                <w:color w:val="231F20"/>
                <w:w w:val="105"/>
                <w:sz w:val="18"/>
              </w:rPr>
              <w:t>de</w:t>
            </w:r>
            <w:r>
              <w:rPr>
                <w:rFonts w:ascii="Arial" w:hAnsi="Arial"/>
                <w:color w:val="231F20"/>
                <w:spacing w:val="-20"/>
                <w:w w:val="105"/>
                <w:sz w:val="18"/>
              </w:rPr>
              <w:t> </w:t>
            </w:r>
            <w:r>
              <w:rPr>
                <w:rFonts w:ascii="Arial" w:hAnsi="Arial"/>
                <w:color w:val="231F20"/>
                <w:w w:val="105"/>
                <w:sz w:val="18"/>
              </w:rPr>
              <w:t>migrantes</w:t>
            </w:r>
            <w:r>
              <w:rPr>
                <w:rFonts w:ascii="Arial" w:hAnsi="Arial"/>
                <w:color w:val="231F20"/>
                <w:spacing w:val="-20"/>
                <w:w w:val="105"/>
                <w:sz w:val="18"/>
              </w:rPr>
              <w:t> </w:t>
            </w:r>
            <w:r>
              <w:rPr>
                <w:rFonts w:ascii="Arial" w:hAnsi="Arial"/>
                <w:color w:val="231F20"/>
                <w:w w:val="105"/>
                <w:sz w:val="18"/>
              </w:rPr>
              <w:t>retornados</w:t>
            </w:r>
            <w:r>
              <w:rPr>
                <w:rFonts w:ascii="Arial" w:hAnsi="Arial"/>
                <w:color w:val="231F20"/>
                <w:spacing w:val="-20"/>
                <w:w w:val="105"/>
                <w:sz w:val="18"/>
              </w:rPr>
              <w:t> </w:t>
            </w:r>
            <w:r>
              <w:rPr>
                <w:rFonts w:ascii="Arial" w:hAnsi="Arial"/>
                <w:color w:val="231F20"/>
                <w:w w:val="105"/>
                <w:sz w:val="18"/>
              </w:rPr>
              <w:t>de</w:t>
            </w:r>
            <w:r>
              <w:rPr>
                <w:rFonts w:ascii="Arial" w:hAnsi="Arial"/>
                <w:color w:val="231F20"/>
                <w:spacing w:val="-20"/>
                <w:w w:val="105"/>
                <w:sz w:val="18"/>
              </w:rPr>
              <w:t> </w:t>
            </w:r>
            <w:r>
              <w:rPr>
                <w:rFonts w:ascii="Arial" w:hAnsi="Arial"/>
                <w:color w:val="231F20"/>
                <w:w w:val="105"/>
                <w:sz w:val="18"/>
              </w:rPr>
              <w:t>Estados</w:t>
            </w:r>
            <w:r>
              <w:rPr>
                <w:rFonts w:ascii="Arial" w:hAnsi="Arial"/>
                <w:color w:val="231F20"/>
                <w:spacing w:val="-20"/>
                <w:w w:val="105"/>
                <w:sz w:val="18"/>
              </w:rPr>
              <w:t> </w:t>
            </w:r>
            <w:r>
              <w:rPr>
                <w:rFonts w:ascii="Arial" w:hAnsi="Arial"/>
                <w:color w:val="231F20"/>
                <w:w w:val="105"/>
                <w:sz w:val="18"/>
              </w:rPr>
              <w:t>Unidos </w:t>
            </w:r>
            <w:r>
              <w:rPr>
                <w:rFonts w:ascii="Arial" w:hAnsi="Arial"/>
                <w:color w:val="231F20"/>
                <w:sz w:val="18"/>
              </w:rPr>
              <w:t>a</w:t>
            </w:r>
            <w:r>
              <w:rPr>
                <w:rFonts w:ascii="Arial" w:hAnsi="Arial"/>
                <w:color w:val="231F20"/>
                <w:spacing w:val="28"/>
                <w:sz w:val="18"/>
              </w:rPr>
              <w:t> </w:t>
            </w:r>
            <w:r>
              <w:rPr>
                <w:rFonts w:ascii="Arial" w:hAnsi="Arial"/>
                <w:color w:val="231F20"/>
                <w:sz w:val="18"/>
              </w:rPr>
              <w:t>Nezahualcóyotl</w:t>
            </w:r>
          </w:p>
        </w:tc>
      </w:tr>
      <w:tr>
        <w:trPr>
          <w:trHeight w:val="340" w:hRule="exact"/>
        </w:trPr>
        <w:tc>
          <w:tcPr>
            <w:tcW w:w="1925" w:type="dxa"/>
          </w:tcPr>
          <w:p>
            <w:pPr>
              <w:pStyle w:val="TableParagraph"/>
              <w:spacing w:before="88"/>
              <w:ind w:left="618"/>
              <w:rPr>
                <w:rFonts w:ascii="Arial"/>
                <w:sz w:val="18"/>
              </w:rPr>
            </w:pPr>
            <w:r>
              <w:rPr>
                <w:rFonts w:ascii="Arial"/>
                <w:color w:val="231F20"/>
                <w:w w:val="110"/>
                <w:sz w:val="18"/>
              </w:rPr>
              <w:t>Nombre</w:t>
            </w:r>
          </w:p>
        </w:tc>
        <w:tc>
          <w:tcPr>
            <w:tcW w:w="1247" w:type="dxa"/>
          </w:tcPr>
          <w:p>
            <w:pPr>
              <w:pStyle w:val="TableParagraph"/>
              <w:spacing w:before="88"/>
              <w:ind w:left="436" w:right="436"/>
              <w:jc w:val="center"/>
              <w:rPr>
                <w:rFonts w:ascii="Arial"/>
                <w:sz w:val="18"/>
              </w:rPr>
            </w:pPr>
            <w:r>
              <w:rPr>
                <w:rFonts w:ascii="Arial"/>
                <w:color w:val="231F20"/>
                <w:sz w:val="18"/>
              </w:rPr>
              <w:t>Luis</w:t>
            </w:r>
          </w:p>
        </w:tc>
        <w:tc>
          <w:tcPr>
            <w:tcW w:w="1247" w:type="dxa"/>
          </w:tcPr>
          <w:p>
            <w:pPr>
              <w:pStyle w:val="TableParagraph"/>
              <w:spacing w:before="88"/>
              <w:ind w:left="290" w:right="124"/>
              <w:rPr>
                <w:rFonts w:ascii="Arial"/>
                <w:sz w:val="18"/>
              </w:rPr>
            </w:pPr>
            <w:r>
              <w:rPr>
                <w:rFonts w:ascii="Arial"/>
                <w:color w:val="231F20"/>
                <w:w w:val="105"/>
                <w:sz w:val="18"/>
              </w:rPr>
              <w:t>Roberto</w:t>
            </w:r>
          </w:p>
        </w:tc>
        <w:tc>
          <w:tcPr>
            <w:tcW w:w="1247" w:type="dxa"/>
          </w:tcPr>
          <w:p>
            <w:pPr>
              <w:pStyle w:val="TableParagraph"/>
              <w:spacing w:before="88"/>
              <w:ind w:left="332" w:right="124"/>
              <w:rPr>
                <w:rFonts w:ascii="Arial" w:hAnsi="Arial"/>
                <w:sz w:val="18"/>
              </w:rPr>
            </w:pPr>
            <w:r>
              <w:rPr>
                <w:rFonts w:ascii="Arial" w:hAnsi="Arial"/>
                <w:color w:val="231F20"/>
                <w:sz w:val="18"/>
              </w:rPr>
              <w:t>Moisés</w:t>
            </w:r>
          </w:p>
        </w:tc>
        <w:tc>
          <w:tcPr>
            <w:tcW w:w="1247" w:type="dxa"/>
          </w:tcPr>
          <w:p>
            <w:pPr>
              <w:pStyle w:val="TableParagraph"/>
              <w:spacing w:before="88"/>
              <w:ind w:left="199" w:right="124"/>
              <w:rPr>
                <w:rFonts w:ascii="Arial"/>
                <w:sz w:val="18"/>
              </w:rPr>
            </w:pPr>
            <w:r>
              <w:rPr>
                <w:rFonts w:ascii="Arial"/>
                <w:color w:val="231F20"/>
                <w:sz w:val="18"/>
              </w:rPr>
              <w:t>Esperanza</w:t>
            </w:r>
          </w:p>
        </w:tc>
      </w:tr>
      <w:tr>
        <w:trPr>
          <w:trHeight w:val="772" w:hRule="exact"/>
        </w:trPr>
        <w:tc>
          <w:tcPr>
            <w:tcW w:w="1925" w:type="dxa"/>
          </w:tcPr>
          <w:p>
            <w:pPr>
              <w:pStyle w:val="TableParagraph"/>
              <w:spacing w:line="254" w:lineRule="auto"/>
              <w:ind w:left="77" w:right="72"/>
              <w:jc w:val="both"/>
              <w:rPr>
                <w:sz w:val="18"/>
              </w:rPr>
            </w:pPr>
            <w:r>
              <w:rPr>
                <w:color w:val="231F20"/>
                <w:w w:val="105"/>
                <w:sz w:val="18"/>
              </w:rPr>
              <w:t>Lugar de origen/pro- cedencia en Estados Unidos</w:t>
            </w:r>
          </w:p>
        </w:tc>
        <w:tc>
          <w:tcPr>
            <w:tcW w:w="1247" w:type="dxa"/>
          </w:tcPr>
          <w:p>
            <w:pPr>
              <w:pStyle w:val="TableParagraph"/>
              <w:spacing w:line="254" w:lineRule="auto"/>
              <w:ind w:left="160" w:right="124" w:hanging="18"/>
              <w:rPr>
                <w:sz w:val="18"/>
              </w:rPr>
            </w:pPr>
            <w:r>
              <w:rPr>
                <w:color w:val="231F20"/>
                <w:sz w:val="18"/>
              </w:rPr>
              <w:t>Michoacán/ Nueva York</w:t>
            </w:r>
          </w:p>
        </w:tc>
        <w:tc>
          <w:tcPr>
            <w:tcW w:w="1247" w:type="dxa"/>
          </w:tcPr>
          <w:p>
            <w:pPr>
              <w:pStyle w:val="TableParagraph"/>
              <w:spacing w:line="254" w:lineRule="auto"/>
              <w:ind w:left="344" w:right="124" w:hanging="202"/>
              <w:rPr>
                <w:sz w:val="18"/>
              </w:rPr>
            </w:pPr>
            <w:r>
              <w:rPr>
                <w:color w:val="231F20"/>
                <w:sz w:val="18"/>
              </w:rPr>
              <w:t>Michoacán/ </w:t>
            </w:r>
            <w:r>
              <w:rPr>
                <w:color w:val="231F20"/>
                <w:w w:val="105"/>
                <w:sz w:val="18"/>
              </w:rPr>
              <w:t>Seattle</w:t>
            </w:r>
          </w:p>
        </w:tc>
        <w:tc>
          <w:tcPr>
            <w:tcW w:w="1247" w:type="dxa"/>
          </w:tcPr>
          <w:p>
            <w:pPr>
              <w:pStyle w:val="TableParagraph"/>
              <w:spacing w:line="254" w:lineRule="auto"/>
              <w:ind w:left="202" w:right="201" w:firstLine="9"/>
              <w:jc w:val="both"/>
              <w:rPr>
                <w:sz w:val="18"/>
              </w:rPr>
            </w:pPr>
            <w:r>
              <w:rPr>
                <w:color w:val="231F20"/>
                <w:sz w:val="18"/>
              </w:rPr>
              <w:t>Nezahual- </w:t>
            </w:r>
            <w:r>
              <w:rPr>
                <w:color w:val="231F20"/>
                <w:spacing w:val="-2"/>
                <w:w w:val="105"/>
                <w:sz w:val="18"/>
              </w:rPr>
              <w:t>cóyotl/Los </w:t>
            </w:r>
            <w:r>
              <w:rPr>
                <w:color w:val="231F20"/>
                <w:w w:val="105"/>
                <w:sz w:val="18"/>
              </w:rPr>
              <w:t>Ángeles</w:t>
            </w:r>
          </w:p>
        </w:tc>
        <w:tc>
          <w:tcPr>
            <w:tcW w:w="1247" w:type="dxa"/>
          </w:tcPr>
          <w:p>
            <w:pPr>
              <w:pStyle w:val="TableParagraph"/>
              <w:spacing w:line="254" w:lineRule="auto"/>
              <w:ind w:left="370" w:right="271" w:hanging="90"/>
              <w:rPr>
                <w:sz w:val="18"/>
              </w:rPr>
            </w:pPr>
            <w:r>
              <w:rPr>
                <w:color w:val="231F20"/>
                <w:sz w:val="18"/>
              </w:rPr>
              <w:t>Oaxaca/ </w:t>
            </w:r>
            <w:r>
              <w:rPr>
                <w:color w:val="231F20"/>
                <w:w w:val="105"/>
                <w:sz w:val="18"/>
              </w:rPr>
              <w:t>Miami</w:t>
            </w:r>
          </w:p>
        </w:tc>
      </w:tr>
      <w:tr>
        <w:trPr>
          <w:trHeight w:val="340" w:hRule="exact"/>
        </w:trPr>
        <w:tc>
          <w:tcPr>
            <w:tcW w:w="1925" w:type="dxa"/>
          </w:tcPr>
          <w:p>
            <w:pPr>
              <w:pStyle w:val="TableParagraph"/>
              <w:ind w:left="77"/>
              <w:rPr>
                <w:sz w:val="18"/>
              </w:rPr>
            </w:pPr>
            <w:r>
              <w:rPr>
                <w:color w:val="231F20"/>
                <w:w w:val="105"/>
                <w:sz w:val="18"/>
              </w:rPr>
              <w:t>Edad</w:t>
            </w:r>
          </w:p>
        </w:tc>
        <w:tc>
          <w:tcPr>
            <w:tcW w:w="1247" w:type="dxa"/>
          </w:tcPr>
          <w:p>
            <w:pPr>
              <w:pStyle w:val="TableParagraph"/>
              <w:ind w:left="77" w:right="124"/>
              <w:rPr>
                <w:sz w:val="18"/>
              </w:rPr>
            </w:pPr>
            <w:r>
              <w:rPr>
                <w:color w:val="231F20"/>
                <w:w w:val="105"/>
                <w:sz w:val="18"/>
              </w:rPr>
              <w:t>35</w:t>
            </w:r>
          </w:p>
        </w:tc>
        <w:tc>
          <w:tcPr>
            <w:tcW w:w="1247" w:type="dxa"/>
          </w:tcPr>
          <w:p>
            <w:pPr>
              <w:pStyle w:val="TableParagraph"/>
              <w:ind w:left="77" w:right="124"/>
              <w:rPr>
                <w:sz w:val="18"/>
              </w:rPr>
            </w:pPr>
            <w:r>
              <w:rPr>
                <w:color w:val="231F20"/>
                <w:w w:val="105"/>
                <w:sz w:val="18"/>
              </w:rPr>
              <w:t>48</w:t>
            </w:r>
          </w:p>
        </w:tc>
        <w:tc>
          <w:tcPr>
            <w:tcW w:w="1247" w:type="dxa"/>
          </w:tcPr>
          <w:p>
            <w:pPr>
              <w:pStyle w:val="TableParagraph"/>
              <w:ind w:left="77" w:right="124"/>
              <w:rPr>
                <w:sz w:val="18"/>
              </w:rPr>
            </w:pPr>
            <w:r>
              <w:rPr>
                <w:color w:val="231F20"/>
                <w:w w:val="105"/>
                <w:sz w:val="18"/>
              </w:rPr>
              <w:t>23</w:t>
            </w:r>
          </w:p>
        </w:tc>
        <w:tc>
          <w:tcPr>
            <w:tcW w:w="1247" w:type="dxa"/>
          </w:tcPr>
          <w:p>
            <w:pPr>
              <w:pStyle w:val="TableParagraph"/>
              <w:ind w:left="77" w:right="124"/>
              <w:rPr>
                <w:sz w:val="18"/>
              </w:rPr>
            </w:pPr>
            <w:r>
              <w:rPr>
                <w:color w:val="231F20"/>
                <w:w w:val="105"/>
                <w:sz w:val="18"/>
              </w:rPr>
              <w:t>34</w:t>
            </w:r>
          </w:p>
        </w:tc>
      </w:tr>
      <w:tr>
        <w:trPr>
          <w:trHeight w:val="556" w:hRule="exact"/>
        </w:trPr>
        <w:tc>
          <w:tcPr>
            <w:tcW w:w="1925" w:type="dxa"/>
          </w:tcPr>
          <w:p>
            <w:pPr>
              <w:pStyle w:val="TableParagraph"/>
              <w:spacing w:line="254" w:lineRule="auto"/>
              <w:ind w:left="77"/>
              <w:rPr>
                <w:sz w:val="18"/>
              </w:rPr>
            </w:pPr>
            <w:r>
              <w:rPr>
                <w:color w:val="231F20"/>
                <w:w w:val="105"/>
                <w:sz w:val="18"/>
              </w:rPr>
              <w:t>Padres con experien- cia migratoria interna</w:t>
            </w:r>
          </w:p>
        </w:tc>
        <w:tc>
          <w:tcPr>
            <w:tcW w:w="1247" w:type="dxa"/>
          </w:tcPr>
          <w:p>
            <w:pPr>
              <w:pStyle w:val="TableParagraph"/>
              <w:ind w:left="77" w:right="124"/>
              <w:rPr>
                <w:sz w:val="18"/>
              </w:rPr>
            </w:pPr>
            <w:r>
              <w:rPr>
                <w:color w:val="231F20"/>
                <w:sz w:val="18"/>
              </w:rPr>
              <w:t>sí</w:t>
            </w:r>
          </w:p>
        </w:tc>
        <w:tc>
          <w:tcPr>
            <w:tcW w:w="1247" w:type="dxa"/>
          </w:tcPr>
          <w:p>
            <w:pPr>
              <w:pStyle w:val="TableParagraph"/>
              <w:ind w:left="77" w:right="124"/>
              <w:rPr>
                <w:sz w:val="18"/>
              </w:rPr>
            </w:pPr>
            <w:r>
              <w:rPr>
                <w:color w:val="231F20"/>
                <w:sz w:val="18"/>
              </w:rPr>
              <w:t>sí</w:t>
            </w:r>
          </w:p>
        </w:tc>
        <w:tc>
          <w:tcPr>
            <w:tcW w:w="1247" w:type="dxa"/>
          </w:tcPr>
          <w:p>
            <w:pPr>
              <w:pStyle w:val="TableParagraph"/>
              <w:ind w:left="77" w:right="124"/>
              <w:rPr>
                <w:sz w:val="18"/>
              </w:rPr>
            </w:pPr>
            <w:r>
              <w:rPr>
                <w:color w:val="231F20"/>
                <w:sz w:val="18"/>
              </w:rPr>
              <w:t>sí</w:t>
            </w:r>
          </w:p>
        </w:tc>
        <w:tc>
          <w:tcPr>
            <w:tcW w:w="1247" w:type="dxa"/>
          </w:tcPr>
          <w:p>
            <w:pPr>
              <w:pStyle w:val="TableParagraph"/>
              <w:ind w:left="77" w:right="124"/>
              <w:rPr>
                <w:sz w:val="18"/>
              </w:rPr>
            </w:pPr>
            <w:r>
              <w:rPr>
                <w:color w:val="231F20"/>
                <w:sz w:val="18"/>
              </w:rPr>
              <w:t>sí</w:t>
            </w:r>
          </w:p>
        </w:tc>
      </w:tr>
    </w:tbl>
    <w:p>
      <w:pPr>
        <w:pStyle w:val="BodyText"/>
        <w:rPr>
          <w:sz w:val="20"/>
        </w:rPr>
      </w:pPr>
    </w:p>
    <w:p>
      <w:pPr>
        <w:pStyle w:val="BodyText"/>
        <w:rPr>
          <w:sz w:val="20"/>
        </w:rPr>
      </w:pPr>
    </w:p>
    <w:p>
      <w:pPr>
        <w:pStyle w:val="BodyText"/>
        <w:spacing w:before="7"/>
        <w:rPr>
          <w:sz w:val="20"/>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6152" from="131.551193pt,3.753715pt" to="131.551193pt,39.556114pt" stroked="true" strokeweight=".35pt" strokecolor="#231f20">
            <w10:wrap type="none"/>
          </v:line>
        </w:pict>
      </w:r>
      <w:r>
        <w:rPr/>
        <w:pict>
          <v:line style="position:absolute;mso-position-horizontal-relative:page;mso-position-vertical-relative:paragraph;z-index:-476080" from="15pt,39.555916pt" to="0pt,39.555916pt" stroked="true" strokeweight=".25pt" strokecolor="#000000">
            <w10:wrap type="none"/>
          </v:line>
        </w:pict>
      </w:r>
      <w:r>
        <w:rPr/>
        <w:pict>
          <v:line style="position:absolute;mso-position-horizontal-relative:page;mso-position-vertical-relative:paragraph;z-index:14128" from="508.890015pt,39.555916pt" to="523.890015pt,39.555916pt" stroked="true" strokeweight=".25pt" strokecolor="#000000">
            <w10:wrap type="none"/>
          </v:line>
        </w:pict>
      </w:r>
      <w:r>
        <w:rPr>
          <w:rFonts w:ascii="Arial" w:hAnsi="Arial"/>
          <w:color w:val="414042"/>
          <w:position w:val="-5"/>
          <w:sz w:val="20"/>
        </w:rPr>
        <w:t>138</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6032" from="405.061005pt,-18.554295pt" to="405.061005pt,16.311579pt" stroked="true" strokeweight=".35pt" strokecolor="#231f20">
            <w10:wrap type="none"/>
          </v:line>
        </w:pict>
      </w:r>
      <w:r>
        <w:rPr/>
        <w:pict>
          <v:line style="position:absolute;mso-position-horizontal-relative:page;mso-position-vertical-relative:paragraph;z-index:14176" from="15pt,-18.554522pt" to="0pt,-18.554522pt" stroked="true" strokeweight=".25pt" strokecolor="#000000">
            <w10:wrap type="none"/>
          </v:line>
        </w:pict>
      </w:r>
      <w:r>
        <w:rPr/>
        <w:pict>
          <v:line style="position:absolute;mso-position-horizontal-relative:page;mso-position-vertical-relative:paragraph;z-index:14200"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139</w:t>
      </w:r>
    </w:p>
    <w:p>
      <w:pPr>
        <w:pStyle w:val="BodyText"/>
        <w:rPr>
          <w:rFonts w:ascii="Arial"/>
          <w:sz w:val="20"/>
        </w:rPr>
      </w:pPr>
    </w:p>
    <w:p>
      <w:pPr>
        <w:pStyle w:val="BodyText"/>
        <w:rPr>
          <w:rFonts w:ascii="Arial"/>
          <w:sz w:val="20"/>
        </w:rPr>
      </w:pPr>
    </w:p>
    <w:p>
      <w:pPr>
        <w:pStyle w:val="BodyText"/>
        <w:spacing w:before="2"/>
        <w:rPr>
          <w:rFonts w:ascii="Arial"/>
          <w:sz w:val="14"/>
        </w:rPr>
      </w:pPr>
    </w:p>
    <w:tbl>
      <w:tblPr>
        <w:tblW w:w="0" w:type="auto"/>
        <w:jc w:val="left"/>
        <w:tblInd w:w="1836"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25"/>
        <w:gridCol w:w="1247"/>
        <w:gridCol w:w="1247"/>
        <w:gridCol w:w="1247"/>
        <w:gridCol w:w="1247"/>
      </w:tblGrid>
      <w:tr>
        <w:trPr>
          <w:trHeight w:val="772" w:hRule="exact"/>
        </w:trPr>
        <w:tc>
          <w:tcPr>
            <w:tcW w:w="1925" w:type="dxa"/>
          </w:tcPr>
          <w:p>
            <w:pPr>
              <w:pStyle w:val="TableParagraph"/>
              <w:spacing w:line="254" w:lineRule="auto"/>
              <w:ind w:left="77" w:right="75"/>
              <w:jc w:val="both"/>
              <w:rPr>
                <w:sz w:val="18"/>
              </w:rPr>
            </w:pPr>
            <w:r>
              <w:rPr>
                <w:color w:val="231F20"/>
                <w:spacing w:val="-3"/>
                <w:w w:val="105"/>
                <w:sz w:val="18"/>
              </w:rPr>
              <w:t>Padres </w:t>
            </w:r>
            <w:r>
              <w:rPr>
                <w:color w:val="231F20"/>
                <w:w w:val="105"/>
                <w:sz w:val="18"/>
              </w:rPr>
              <w:t>con</w:t>
            </w:r>
            <w:r>
              <w:rPr>
                <w:color w:val="231F20"/>
                <w:spacing w:val="-13"/>
                <w:w w:val="105"/>
                <w:sz w:val="18"/>
              </w:rPr>
              <w:t> </w:t>
            </w:r>
            <w:r>
              <w:rPr>
                <w:color w:val="231F20"/>
                <w:w w:val="105"/>
                <w:sz w:val="18"/>
              </w:rPr>
              <w:t>experien- cia migratoria a</w:t>
            </w:r>
            <w:r>
              <w:rPr>
                <w:color w:val="231F20"/>
                <w:spacing w:val="-24"/>
                <w:w w:val="105"/>
                <w:sz w:val="18"/>
              </w:rPr>
              <w:t> </w:t>
            </w:r>
            <w:r>
              <w:rPr>
                <w:color w:val="231F20"/>
                <w:w w:val="105"/>
                <w:sz w:val="18"/>
              </w:rPr>
              <w:t>Esta- dos</w:t>
            </w:r>
            <w:r>
              <w:rPr>
                <w:color w:val="231F20"/>
                <w:spacing w:val="-23"/>
                <w:w w:val="105"/>
                <w:sz w:val="18"/>
              </w:rPr>
              <w:t> </w:t>
            </w:r>
            <w:r>
              <w:rPr>
                <w:color w:val="231F20"/>
                <w:w w:val="105"/>
                <w:sz w:val="18"/>
              </w:rPr>
              <w:t>Unidos</w:t>
            </w:r>
          </w:p>
        </w:tc>
        <w:tc>
          <w:tcPr>
            <w:tcW w:w="1247" w:type="dxa"/>
          </w:tcPr>
          <w:p>
            <w:pPr>
              <w:pStyle w:val="TableParagraph"/>
              <w:ind w:left="77" w:right="124"/>
              <w:rPr>
                <w:sz w:val="18"/>
              </w:rPr>
            </w:pPr>
            <w:r>
              <w:rPr>
                <w:color w:val="231F20"/>
                <w:w w:val="105"/>
                <w:sz w:val="18"/>
              </w:rPr>
              <w:t>no</w:t>
            </w:r>
          </w:p>
        </w:tc>
        <w:tc>
          <w:tcPr>
            <w:tcW w:w="1247" w:type="dxa"/>
          </w:tcPr>
          <w:p>
            <w:pPr>
              <w:pStyle w:val="TableParagraph"/>
              <w:ind w:left="77" w:right="124"/>
              <w:rPr>
                <w:sz w:val="18"/>
              </w:rPr>
            </w:pPr>
            <w:r>
              <w:rPr>
                <w:color w:val="231F20"/>
                <w:w w:val="105"/>
                <w:sz w:val="18"/>
              </w:rPr>
              <w:t>no</w:t>
            </w:r>
          </w:p>
        </w:tc>
        <w:tc>
          <w:tcPr>
            <w:tcW w:w="1247" w:type="dxa"/>
          </w:tcPr>
          <w:p>
            <w:pPr>
              <w:pStyle w:val="TableParagraph"/>
              <w:ind w:left="77" w:right="124"/>
              <w:rPr>
                <w:sz w:val="18"/>
              </w:rPr>
            </w:pPr>
            <w:r>
              <w:rPr>
                <w:color w:val="231F20"/>
                <w:sz w:val="18"/>
              </w:rPr>
              <w:t>sí</w:t>
            </w:r>
          </w:p>
        </w:tc>
        <w:tc>
          <w:tcPr>
            <w:tcW w:w="1247" w:type="dxa"/>
          </w:tcPr>
          <w:p>
            <w:pPr>
              <w:pStyle w:val="TableParagraph"/>
              <w:ind w:left="77" w:right="124"/>
              <w:rPr>
                <w:sz w:val="18"/>
              </w:rPr>
            </w:pPr>
            <w:r>
              <w:rPr>
                <w:color w:val="231F20"/>
                <w:w w:val="105"/>
                <w:sz w:val="18"/>
              </w:rPr>
              <w:t>no</w:t>
            </w:r>
          </w:p>
        </w:tc>
      </w:tr>
      <w:tr>
        <w:trPr>
          <w:trHeight w:val="556" w:hRule="exact"/>
        </w:trPr>
        <w:tc>
          <w:tcPr>
            <w:tcW w:w="1925" w:type="dxa"/>
          </w:tcPr>
          <w:p>
            <w:pPr>
              <w:pStyle w:val="TableParagraph"/>
              <w:spacing w:line="254" w:lineRule="auto"/>
              <w:ind w:left="77"/>
              <w:rPr>
                <w:sz w:val="18"/>
              </w:rPr>
            </w:pPr>
            <w:r>
              <w:rPr>
                <w:color w:val="231F20"/>
                <w:sz w:val="18"/>
              </w:rPr>
              <w:t>Hermanos en Estados Unidos</w:t>
            </w:r>
          </w:p>
        </w:tc>
        <w:tc>
          <w:tcPr>
            <w:tcW w:w="1247" w:type="dxa"/>
          </w:tcPr>
          <w:p>
            <w:pPr>
              <w:pStyle w:val="TableParagraph"/>
              <w:ind w:left="77" w:right="124"/>
              <w:rPr>
                <w:sz w:val="18"/>
              </w:rPr>
            </w:pPr>
            <w:r>
              <w:rPr>
                <w:color w:val="231F20"/>
                <w:sz w:val="18"/>
              </w:rPr>
              <w:t>sí</w:t>
            </w:r>
          </w:p>
        </w:tc>
        <w:tc>
          <w:tcPr>
            <w:tcW w:w="1247" w:type="dxa"/>
          </w:tcPr>
          <w:p>
            <w:pPr>
              <w:pStyle w:val="TableParagraph"/>
              <w:ind w:left="77" w:right="124"/>
              <w:rPr>
                <w:sz w:val="18"/>
              </w:rPr>
            </w:pPr>
            <w:r>
              <w:rPr>
                <w:color w:val="231F20"/>
                <w:sz w:val="18"/>
              </w:rPr>
              <w:t>sí</w:t>
            </w:r>
          </w:p>
        </w:tc>
        <w:tc>
          <w:tcPr>
            <w:tcW w:w="1247" w:type="dxa"/>
          </w:tcPr>
          <w:p>
            <w:pPr>
              <w:pStyle w:val="TableParagraph"/>
              <w:ind w:left="77" w:right="124"/>
              <w:rPr>
                <w:sz w:val="18"/>
              </w:rPr>
            </w:pPr>
            <w:r>
              <w:rPr>
                <w:color w:val="231F20"/>
                <w:sz w:val="18"/>
              </w:rPr>
              <w:t>sí</w:t>
            </w:r>
          </w:p>
        </w:tc>
        <w:tc>
          <w:tcPr>
            <w:tcW w:w="1247" w:type="dxa"/>
          </w:tcPr>
          <w:p>
            <w:pPr>
              <w:pStyle w:val="TableParagraph"/>
              <w:ind w:left="77" w:right="124"/>
              <w:rPr>
                <w:sz w:val="18"/>
              </w:rPr>
            </w:pPr>
            <w:r>
              <w:rPr>
                <w:color w:val="231F20"/>
                <w:sz w:val="18"/>
              </w:rPr>
              <w:t>sí</w:t>
            </w:r>
          </w:p>
        </w:tc>
      </w:tr>
      <w:tr>
        <w:trPr>
          <w:trHeight w:val="556" w:hRule="exact"/>
        </w:trPr>
        <w:tc>
          <w:tcPr>
            <w:tcW w:w="1925" w:type="dxa"/>
          </w:tcPr>
          <w:p>
            <w:pPr>
              <w:pStyle w:val="TableParagraph"/>
              <w:spacing w:line="254" w:lineRule="auto"/>
              <w:ind w:left="77"/>
              <w:rPr>
                <w:sz w:val="18"/>
              </w:rPr>
            </w:pPr>
            <w:r>
              <w:rPr>
                <w:color w:val="231F20"/>
                <w:w w:val="105"/>
                <w:sz w:val="18"/>
              </w:rPr>
              <w:t>Años de estadía en </w:t>
            </w:r>
            <w:r>
              <w:rPr>
                <w:color w:val="231F20"/>
                <w:sz w:val="18"/>
              </w:rPr>
              <w:t>Estados Unidos</w:t>
            </w:r>
          </w:p>
        </w:tc>
        <w:tc>
          <w:tcPr>
            <w:tcW w:w="1247" w:type="dxa"/>
          </w:tcPr>
          <w:p>
            <w:pPr>
              <w:pStyle w:val="TableParagraph"/>
              <w:ind w:left="77"/>
              <w:rPr>
                <w:sz w:val="18"/>
              </w:rPr>
            </w:pPr>
            <w:r>
              <w:rPr>
                <w:color w:val="231F20"/>
                <w:w w:val="104"/>
                <w:sz w:val="18"/>
              </w:rPr>
              <w:t>6</w:t>
            </w:r>
          </w:p>
        </w:tc>
        <w:tc>
          <w:tcPr>
            <w:tcW w:w="1247" w:type="dxa"/>
          </w:tcPr>
          <w:p>
            <w:pPr>
              <w:pStyle w:val="TableParagraph"/>
              <w:ind w:left="77" w:right="124"/>
              <w:rPr>
                <w:sz w:val="18"/>
              </w:rPr>
            </w:pPr>
            <w:r>
              <w:rPr>
                <w:color w:val="231F20"/>
                <w:w w:val="105"/>
                <w:sz w:val="18"/>
              </w:rPr>
              <w:t>20</w:t>
            </w:r>
          </w:p>
        </w:tc>
        <w:tc>
          <w:tcPr>
            <w:tcW w:w="1247" w:type="dxa"/>
          </w:tcPr>
          <w:p>
            <w:pPr>
              <w:pStyle w:val="TableParagraph"/>
              <w:ind w:left="77"/>
              <w:rPr>
                <w:sz w:val="18"/>
              </w:rPr>
            </w:pPr>
            <w:r>
              <w:rPr>
                <w:color w:val="231F20"/>
                <w:w w:val="104"/>
                <w:sz w:val="18"/>
              </w:rPr>
              <w:t>7</w:t>
            </w:r>
          </w:p>
        </w:tc>
        <w:tc>
          <w:tcPr>
            <w:tcW w:w="1247" w:type="dxa"/>
          </w:tcPr>
          <w:p>
            <w:pPr>
              <w:pStyle w:val="TableParagraph"/>
              <w:ind w:left="77"/>
              <w:rPr>
                <w:sz w:val="18"/>
              </w:rPr>
            </w:pPr>
            <w:r>
              <w:rPr>
                <w:color w:val="231F20"/>
                <w:w w:val="104"/>
                <w:sz w:val="18"/>
              </w:rPr>
              <w:t>5</w:t>
            </w:r>
          </w:p>
        </w:tc>
      </w:tr>
      <w:tr>
        <w:trPr>
          <w:trHeight w:val="340" w:hRule="exact"/>
        </w:trPr>
        <w:tc>
          <w:tcPr>
            <w:tcW w:w="1925" w:type="dxa"/>
          </w:tcPr>
          <w:p>
            <w:pPr>
              <w:pStyle w:val="TableParagraph"/>
              <w:ind w:left="77"/>
              <w:rPr>
                <w:sz w:val="18"/>
              </w:rPr>
            </w:pPr>
            <w:r>
              <w:rPr>
                <w:color w:val="231F20"/>
                <w:w w:val="110"/>
                <w:sz w:val="18"/>
              </w:rPr>
              <w:t>Año de retorno</w:t>
            </w:r>
          </w:p>
        </w:tc>
        <w:tc>
          <w:tcPr>
            <w:tcW w:w="1247" w:type="dxa"/>
          </w:tcPr>
          <w:p>
            <w:pPr>
              <w:pStyle w:val="TableParagraph"/>
              <w:ind w:left="77" w:right="124"/>
              <w:rPr>
                <w:sz w:val="18"/>
              </w:rPr>
            </w:pPr>
            <w:r>
              <w:rPr>
                <w:color w:val="231F20"/>
                <w:w w:val="105"/>
                <w:sz w:val="18"/>
              </w:rPr>
              <w:t>2009</w:t>
            </w:r>
          </w:p>
        </w:tc>
        <w:tc>
          <w:tcPr>
            <w:tcW w:w="1247" w:type="dxa"/>
          </w:tcPr>
          <w:p>
            <w:pPr>
              <w:pStyle w:val="TableParagraph"/>
              <w:ind w:left="77" w:right="124"/>
              <w:rPr>
                <w:sz w:val="18"/>
              </w:rPr>
            </w:pPr>
            <w:r>
              <w:rPr>
                <w:color w:val="231F20"/>
                <w:w w:val="105"/>
                <w:sz w:val="18"/>
              </w:rPr>
              <w:t>2010</w:t>
            </w:r>
          </w:p>
        </w:tc>
        <w:tc>
          <w:tcPr>
            <w:tcW w:w="1247" w:type="dxa"/>
          </w:tcPr>
          <w:p>
            <w:pPr>
              <w:pStyle w:val="TableParagraph"/>
              <w:ind w:left="77" w:right="124"/>
              <w:rPr>
                <w:sz w:val="18"/>
              </w:rPr>
            </w:pPr>
            <w:r>
              <w:rPr>
                <w:color w:val="231F20"/>
                <w:w w:val="105"/>
                <w:sz w:val="18"/>
              </w:rPr>
              <w:t>2009</w:t>
            </w:r>
          </w:p>
        </w:tc>
        <w:tc>
          <w:tcPr>
            <w:tcW w:w="1247" w:type="dxa"/>
          </w:tcPr>
          <w:p>
            <w:pPr>
              <w:pStyle w:val="TableParagraph"/>
              <w:ind w:left="77" w:right="124"/>
              <w:rPr>
                <w:sz w:val="18"/>
              </w:rPr>
            </w:pPr>
            <w:r>
              <w:rPr>
                <w:color w:val="231F20"/>
                <w:w w:val="105"/>
                <w:sz w:val="18"/>
              </w:rPr>
              <w:t>2009</w:t>
            </w:r>
          </w:p>
        </w:tc>
      </w:tr>
      <w:tr>
        <w:trPr>
          <w:trHeight w:val="556" w:hRule="exact"/>
        </w:trPr>
        <w:tc>
          <w:tcPr>
            <w:tcW w:w="1925" w:type="dxa"/>
          </w:tcPr>
          <w:p>
            <w:pPr>
              <w:pStyle w:val="TableParagraph"/>
              <w:ind w:left="77"/>
              <w:rPr>
                <w:sz w:val="18"/>
              </w:rPr>
            </w:pPr>
            <w:r>
              <w:rPr>
                <w:color w:val="231F20"/>
                <w:sz w:val="18"/>
              </w:rPr>
              <w:t>Segunda entrevista</w:t>
            </w:r>
          </w:p>
        </w:tc>
        <w:tc>
          <w:tcPr>
            <w:tcW w:w="1247" w:type="dxa"/>
          </w:tcPr>
          <w:p>
            <w:pPr>
              <w:pStyle w:val="TableParagraph"/>
              <w:spacing w:line="254" w:lineRule="auto"/>
              <w:ind w:left="77"/>
              <w:rPr>
                <w:sz w:val="18"/>
              </w:rPr>
            </w:pPr>
            <w:r>
              <w:rPr>
                <w:color w:val="231F20"/>
                <w:w w:val="105"/>
                <w:sz w:val="18"/>
              </w:rPr>
              <w:t>Emigró a Es- tados Unidos</w:t>
            </w:r>
          </w:p>
        </w:tc>
        <w:tc>
          <w:tcPr>
            <w:tcW w:w="1247" w:type="dxa"/>
          </w:tcPr>
          <w:p>
            <w:pPr>
              <w:pStyle w:val="TableParagraph"/>
              <w:spacing w:line="254" w:lineRule="auto"/>
              <w:ind w:left="77"/>
              <w:rPr>
                <w:sz w:val="18"/>
              </w:rPr>
            </w:pPr>
            <w:r>
              <w:rPr>
                <w:color w:val="231F20"/>
                <w:sz w:val="18"/>
              </w:rPr>
              <w:t>Vive en Ne- zahualcóyotl</w:t>
            </w:r>
          </w:p>
        </w:tc>
        <w:tc>
          <w:tcPr>
            <w:tcW w:w="1247" w:type="dxa"/>
          </w:tcPr>
          <w:p>
            <w:pPr>
              <w:pStyle w:val="TableParagraph"/>
              <w:spacing w:line="254" w:lineRule="auto"/>
              <w:ind w:left="77"/>
              <w:rPr>
                <w:sz w:val="18"/>
              </w:rPr>
            </w:pPr>
            <w:r>
              <w:rPr>
                <w:color w:val="231F20"/>
                <w:w w:val="105"/>
                <w:sz w:val="18"/>
              </w:rPr>
              <w:t>Emigró a Es- tados Unidos</w:t>
            </w:r>
          </w:p>
        </w:tc>
        <w:tc>
          <w:tcPr>
            <w:tcW w:w="1247" w:type="dxa"/>
          </w:tcPr>
          <w:p>
            <w:pPr>
              <w:pStyle w:val="TableParagraph"/>
              <w:spacing w:line="254" w:lineRule="auto"/>
              <w:ind w:left="77"/>
              <w:rPr>
                <w:sz w:val="18"/>
              </w:rPr>
            </w:pPr>
            <w:r>
              <w:rPr>
                <w:color w:val="231F20"/>
                <w:sz w:val="18"/>
              </w:rPr>
              <w:t>Vive en Ne- zahualcóyotl</w:t>
            </w:r>
          </w:p>
        </w:tc>
      </w:tr>
    </w:tbl>
    <w:p>
      <w:pPr>
        <w:spacing w:line="254" w:lineRule="auto" w:before="78"/>
        <w:ind w:left="1837" w:right="1717" w:firstLine="0"/>
        <w:jc w:val="both"/>
        <w:rPr>
          <w:sz w:val="16"/>
        </w:rPr>
      </w:pPr>
      <w:r>
        <w:rPr>
          <w:color w:val="231F20"/>
          <w:w w:val="105"/>
          <w:sz w:val="16"/>
        </w:rPr>
        <w:t>Fuente:</w:t>
      </w:r>
      <w:r>
        <w:rPr>
          <w:color w:val="231F20"/>
          <w:spacing w:val="-5"/>
          <w:w w:val="105"/>
          <w:sz w:val="16"/>
        </w:rPr>
        <w:t> </w:t>
      </w:r>
      <w:r>
        <w:rPr>
          <w:color w:val="231F20"/>
          <w:w w:val="105"/>
          <w:sz w:val="16"/>
        </w:rPr>
        <w:t>elaboración</w:t>
      </w:r>
      <w:r>
        <w:rPr>
          <w:color w:val="231F20"/>
          <w:spacing w:val="-5"/>
          <w:w w:val="105"/>
          <w:sz w:val="16"/>
        </w:rPr>
        <w:t> </w:t>
      </w:r>
      <w:r>
        <w:rPr>
          <w:color w:val="231F20"/>
          <w:w w:val="105"/>
          <w:sz w:val="16"/>
        </w:rPr>
        <w:t>propia</w:t>
      </w:r>
      <w:r>
        <w:rPr>
          <w:color w:val="231F20"/>
          <w:spacing w:val="-5"/>
          <w:w w:val="105"/>
          <w:sz w:val="16"/>
        </w:rPr>
        <w:t> </w:t>
      </w:r>
      <w:r>
        <w:rPr>
          <w:color w:val="231F20"/>
          <w:w w:val="105"/>
          <w:sz w:val="16"/>
        </w:rPr>
        <w:t>con</w:t>
      </w:r>
      <w:r>
        <w:rPr>
          <w:color w:val="231F20"/>
          <w:spacing w:val="-5"/>
          <w:w w:val="105"/>
          <w:sz w:val="16"/>
        </w:rPr>
        <w:t> </w:t>
      </w:r>
      <w:r>
        <w:rPr>
          <w:color w:val="231F20"/>
          <w:w w:val="105"/>
          <w:sz w:val="16"/>
        </w:rPr>
        <w:t>base</w:t>
      </w:r>
      <w:r>
        <w:rPr>
          <w:color w:val="231F20"/>
          <w:spacing w:val="-5"/>
          <w:w w:val="105"/>
          <w:sz w:val="16"/>
        </w:rPr>
        <w:t> </w:t>
      </w:r>
      <w:r>
        <w:rPr>
          <w:color w:val="231F20"/>
          <w:w w:val="105"/>
          <w:sz w:val="16"/>
        </w:rPr>
        <w:t>en</w:t>
      </w:r>
      <w:r>
        <w:rPr>
          <w:color w:val="231F20"/>
          <w:spacing w:val="-5"/>
          <w:w w:val="105"/>
          <w:sz w:val="16"/>
        </w:rPr>
        <w:t> </w:t>
      </w:r>
      <w:r>
        <w:rPr>
          <w:color w:val="231F20"/>
          <w:w w:val="105"/>
          <w:sz w:val="16"/>
        </w:rPr>
        <w:t>entrevistas</w:t>
      </w:r>
      <w:r>
        <w:rPr>
          <w:color w:val="231F20"/>
          <w:spacing w:val="-5"/>
          <w:w w:val="105"/>
          <w:sz w:val="16"/>
        </w:rPr>
        <w:t> </w:t>
      </w:r>
      <w:r>
        <w:rPr>
          <w:color w:val="231F20"/>
          <w:w w:val="105"/>
          <w:sz w:val="16"/>
        </w:rPr>
        <w:t>biográficas</w:t>
      </w:r>
      <w:r>
        <w:rPr>
          <w:color w:val="231F20"/>
          <w:spacing w:val="-5"/>
          <w:w w:val="105"/>
          <w:sz w:val="16"/>
        </w:rPr>
        <w:t> </w:t>
      </w:r>
      <w:r>
        <w:rPr>
          <w:color w:val="231F20"/>
          <w:w w:val="105"/>
          <w:sz w:val="16"/>
        </w:rPr>
        <w:t>realizadas</w:t>
      </w:r>
      <w:r>
        <w:rPr>
          <w:color w:val="231F20"/>
          <w:spacing w:val="-5"/>
          <w:w w:val="105"/>
          <w:sz w:val="16"/>
        </w:rPr>
        <w:t> </w:t>
      </w:r>
      <w:r>
        <w:rPr>
          <w:color w:val="231F20"/>
          <w:w w:val="105"/>
          <w:sz w:val="16"/>
        </w:rPr>
        <w:t>en</w:t>
      </w:r>
      <w:r>
        <w:rPr>
          <w:color w:val="231F20"/>
          <w:spacing w:val="-5"/>
          <w:w w:val="105"/>
          <w:sz w:val="16"/>
        </w:rPr>
        <w:t> </w:t>
      </w:r>
      <w:r>
        <w:rPr>
          <w:color w:val="231F20"/>
          <w:w w:val="105"/>
          <w:sz w:val="16"/>
        </w:rPr>
        <w:t>Nezahualcóyotl, Estado</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México,</w:t>
      </w:r>
      <w:r>
        <w:rPr>
          <w:color w:val="231F20"/>
          <w:spacing w:val="-28"/>
          <w:w w:val="105"/>
          <w:sz w:val="16"/>
        </w:rPr>
        <w:t> </w:t>
      </w:r>
      <w:r>
        <w:rPr>
          <w:color w:val="231F20"/>
          <w:w w:val="105"/>
          <w:sz w:val="16"/>
        </w:rPr>
        <w:t>entre</w:t>
      </w:r>
      <w:r>
        <w:rPr>
          <w:color w:val="231F20"/>
          <w:spacing w:val="-26"/>
          <w:w w:val="105"/>
          <w:sz w:val="16"/>
        </w:rPr>
        <w:t> </w:t>
      </w:r>
      <w:r>
        <w:rPr>
          <w:color w:val="231F20"/>
          <w:w w:val="105"/>
          <w:sz w:val="16"/>
        </w:rPr>
        <w:t>2011-2014.</w:t>
      </w:r>
    </w:p>
    <w:p>
      <w:pPr>
        <w:pStyle w:val="BodyText"/>
        <w:rPr>
          <w:sz w:val="16"/>
        </w:rPr>
      </w:pPr>
    </w:p>
    <w:p>
      <w:pPr>
        <w:pStyle w:val="BodyText"/>
        <w:spacing w:line="261" w:lineRule="auto" w:before="101"/>
        <w:ind w:left="1837" w:right="1721"/>
        <w:jc w:val="both"/>
      </w:pPr>
      <w:r>
        <w:rPr>
          <w:color w:val="231F20"/>
          <w:w w:val="105"/>
        </w:rPr>
        <w:t>De acuerdo con la información tabulada, podemos afirmar que la alta movilidad</w:t>
      </w:r>
      <w:r>
        <w:rPr>
          <w:color w:val="231F20"/>
          <w:spacing w:val="-20"/>
          <w:w w:val="105"/>
        </w:rPr>
        <w:t> </w:t>
      </w:r>
      <w:r>
        <w:rPr>
          <w:color w:val="231F20"/>
          <w:w w:val="105"/>
        </w:rPr>
        <w:t>espacial</w:t>
      </w:r>
      <w:r>
        <w:rPr>
          <w:color w:val="231F20"/>
          <w:spacing w:val="-20"/>
          <w:w w:val="105"/>
        </w:rPr>
        <w:t> </w:t>
      </w:r>
      <w:r>
        <w:rPr>
          <w:color w:val="231F20"/>
          <w:w w:val="105"/>
        </w:rPr>
        <w:t>es</w:t>
      </w:r>
      <w:r>
        <w:rPr>
          <w:color w:val="231F20"/>
          <w:spacing w:val="-20"/>
          <w:w w:val="105"/>
        </w:rPr>
        <w:t> </w:t>
      </w:r>
      <w:r>
        <w:rPr>
          <w:color w:val="231F20"/>
          <w:w w:val="105"/>
        </w:rPr>
        <w:t>una</w:t>
      </w:r>
      <w:r>
        <w:rPr>
          <w:color w:val="231F20"/>
          <w:spacing w:val="-20"/>
          <w:w w:val="105"/>
        </w:rPr>
        <w:t> </w:t>
      </w:r>
      <w:r>
        <w:rPr>
          <w:color w:val="231F20"/>
          <w:w w:val="105"/>
        </w:rPr>
        <w:t>constante</w:t>
      </w:r>
      <w:r>
        <w:rPr>
          <w:color w:val="231F20"/>
          <w:spacing w:val="-20"/>
          <w:w w:val="105"/>
        </w:rPr>
        <w:t> </w:t>
      </w:r>
      <w:r>
        <w:rPr>
          <w:color w:val="231F20"/>
          <w:w w:val="105"/>
        </w:rPr>
        <w:t>que</w:t>
      </w:r>
      <w:r>
        <w:rPr>
          <w:color w:val="231F20"/>
          <w:spacing w:val="-20"/>
          <w:w w:val="105"/>
        </w:rPr>
        <w:t> </w:t>
      </w:r>
      <w:r>
        <w:rPr>
          <w:color w:val="231F20"/>
          <w:w w:val="105"/>
        </w:rPr>
        <w:t>atraviesa</w:t>
      </w:r>
      <w:r>
        <w:rPr>
          <w:color w:val="231F20"/>
          <w:spacing w:val="-20"/>
          <w:w w:val="105"/>
        </w:rPr>
        <w:t> </w:t>
      </w:r>
      <w:r>
        <w:rPr>
          <w:color w:val="231F20"/>
          <w:w w:val="105"/>
        </w:rPr>
        <w:t>la</w:t>
      </w:r>
      <w:r>
        <w:rPr>
          <w:color w:val="231F20"/>
          <w:spacing w:val="-20"/>
          <w:w w:val="105"/>
        </w:rPr>
        <w:t> </w:t>
      </w:r>
      <w:r>
        <w:rPr>
          <w:color w:val="231F20"/>
          <w:w w:val="105"/>
        </w:rPr>
        <w:t>experiencia</w:t>
      </w:r>
      <w:r>
        <w:rPr>
          <w:color w:val="231F20"/>
          <w:spacing w:val="-20"/>
          <w:w w:val="105"/>
        </w:rPr>
        <w:t> </w:t>
      </w:r>
      <w:r>
        <w:rPr>
          <w:color w:val="231F20"/>
          <w:w w:val="105"/>
        </w:rPr>
        <w:t>de</w:t>
      </w:r>
      <w:r>
        <w:rPr>
          <w:color w:val="231F20"/>
          <w:spacing w:val="-20"/>
          <w:w w:val="105"/>
        </w:rPr>
        <w:t> </w:t>
      </w:r>
      <w:r>
        <w:rPr>
          <w:color w:val="231F20"/>
          <w:w w:val="105"/>
        </w:rPr>
        <w:t>vida no</w:t>
      </w:r>
      <w:r>
        <w:rPr>
          <w:color w:val="231F20"/>
          <w:spacing w:val="-13"/>
          <w:w w:val="105"/>
        </w:rPr>
        <w:t> </w:t>
      </w:r>
      <w:r>
        <w:rPr>
          <w:color w:val="231F20"/>
          <w:w w:val="105"/>
        </w:rPr>
        <w:t>sólo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migrantes,</w:t>
      </w:r>
      <w:r>
        <w:rPr>
          <w:color w:val="231F20"/>
          <w:spacing w:val="-19"/>
          <w:w w:val="105"/>
        </w:rPr>
        <w:t> </w:t>
      </w:r>
      <w:r>
        <w:rPr>
          <w:color w:val="231F20"/>
          <w:w w:val="105"/>
        </w:rPr>
        <w:t>sino</w:t>
      </w:r>
      <w:r>
        <w:rPr>
          <w:color w:val="231F20"/>
          <w:spacing w:val="-13"/>
          <w:w w:val="105"/>
        </w:rPr>
        <w:t> </w:t>
      </w:r>
      <w:r>
        <w:rPr>
          <w:color w:val="231F20"/>
          <w:w w:val="105"/>
        </w:rPr>
        <w:t>de</w:t>
      </w:r>
      <w:r>
        <w:rPr>
          <w:color w:val="231F20"/>
          <w:spacing w:val="-13"/>
          <w:w w:val="105"/>
        </w:rPr>
        <w:t> </w:t>
      </w:r>
      <w:r>
        <w:rPr>
          <w:color w:val="231F20"/>
          <w:w w:val="105"/>
        </w:rPr>
        <w:t>todos</w:t>
      </w:r>
      <w:r>
        <w:rPr>
          <w:color w:val="231F20"/>
          <w:spacing w:val="-13"/>
          <w:w w:val="105"/>
        </w:rPr>
        <w:t> </w:t>
      </w:r>
      <w:r>
        <w:rPr>
          <w:color w:val="231F20"/>
          <w:w w:val="105"/>
        </w:rPr>
        <w:t>sus</w:t>
      </w:r>
      <w:r>
        <w:rPr>
          <w:color w:val="231F20"/>
          <w:spacing w:val="-13"/>
          <w:w w:val="105"/>
        </w:rPr>
        <w:t> </w:t>
      </w:r>
      <w:r>
        <w:rPr>
          <w:color w:val="231F20"/>
          <w:w w:val="105"/>
        </w:rPr>
        <w:t>familiares</w:t>
      </w:r>
      <w:r>
        <w:rPr>
          <w:color w:val="231F20"/>
          <w:spacing w:val="-13"/>
          <w:w w:val="105"/>
        </w:rPr>
        <w:t> </w:t>
      </w:r>
      <w:r>
        <w:rPr>
          <w:color w:val="231F20"/>
          <w:w w:val="105"/>
        </w:rPr>
        <w:t>residentes</w:t>
      </w:r>
      <w:r>
        <w:rPr>
          <w:color w:val="231F20"/>
          <w:spacing w:val="-13"/>
          <w:w w:val="105"/>
        </w:rPr>
        <w:t> </w:t>
      </w:r>
      <w:r>
        <w:rPr>
          <w:color w:val="231F20"/>
          <w:w w:val="105"/>
        </w:rPr>
        <w:t>en</w:t>
      </w:r>
      <w:r>
        <w:rPr>
          <w:color w:val="231F20"/>
          <w:spacing w:val="-13"/>
          <w:w w:val="105"/>
        </w:rPr>
        <w:t> </w:t>
      </w:r>
      <w:r>
        <w:rPr>
          <w:color w:val="231F20"/>
          <w:w w:val="105"/>
        </w:rPr>
        <w:t>este municipio metropolitano o de aquellos que aún se encuentran activos como</w:t>
      </w:r>
      <w:r>
        <w:rPr>
          <w:color w:val="231F20"/>
          <w:spacing w:val="-27"/>
          <w:w w:val="105"/>
        </w:rPr>
        <w:t> </w:t>
      </w:r>
      <w:r>
        <w:rPr>
          <w:color w:val="231F20"/>
          <w:w w:val="105"/>
        </w:rPr>
        <w:t>inmigrantes</w:t>
      </w:r>
      <w:r>
        <w:rPr>
          <w:color w:val="231F20"/>
          <w:spacing w:val="-27"/>
          <w:w w:val="105"/>
        </w:rPr>
        <w:t> </w:t>
      </w:r>
      <w:r>
        <w:rPr>
          <w:color w:val="231F20"/>
          <w:w w:val="105"/>
        </w:rPr>
        <w:t>internacionales.</w:t>
      </w:r>
    </w:p>
    <w:p>
      <w:pPr>
        <w:pStyle w:val="BodyText"/>
        <w:spacing w:line="261" w:lineRule="auto" w:before="1"/>
        <w:ind w:left="1837" w:right="1721" w:firstLine="567"/>
        <w:jc w:val="both"/>
      </w:pPr>
      <w:r>
        <w:rPr>
          <w:color w:val="231F20"/>
          <w:spacing w:val="-6"/>
          <w:w w:val="105"/>
        </w:rPr>
        <w:t>Por </w:t>
      </w:r>
      <w:r>
        <w:rPr>
          <w:color w:val="231F20"/>
          <w:w w:val="105"/>
        </w:rPr>
        <w:t>otra parte, se subraya que en términos agregados se cuenta con un menor número entrevistadas y por ello se incluyó en mayor</w:t>
      </w:r>
      <w:r>
        <w:rPr>
          <w:color w:val="231F20"/>
          <w:spacing w:val="-20"/>
          <w:w w:val="105"/>
        </w:rPr>
        <w:t> </w:t>
      </w:r>
      <w:r>
        <w:rPr>
          <w:color w:val="231F20"/>
          <w:w w:val="105"/>
        </w:rPr>
        <w:t>pro- porción a los hombres. Asimismo, se optó por incluir el caso del inmi- grante retornado de mayor edad (Roberto de 48 años) y el más joven (Moisés de 23 años). </w:t>
      </w:r>
      <w:r>
        <w:rPr>
          <w:color w:val="231F20"/>
          <w:spacing w:val="-3"/>
          <w:w w:val="105"/>
        </w:rPr>
        <w:t>También </w:t>
      </w:r>
      <w:r>
        <w:rPr>
          <w:color w:val="231F20"/>
          <w:w w:val="105"/>
        </w:rPr>
        <w:t>se optó por recuperar los relatos de otro inmigrante</w:t>
      </w:r>
      <w:r>
        <w:rPr>
          <w:color w:val="231F20"/>
          <w:spacing w:val="-15"/>
          <w:w w:val="105"/>
        </w:rPr>
        <w:t> </w:t>
      </w:r>
      <w:r>
        <w:rPr>
          <w:color w:val="231F20"/>
          <w:w w:val="105"/>
        </w:rPr>
        <w:t>de</w:t>
      </w:r>
      <w:r>
        <w:rPr>
          <w:color w:val="231F20"/>
          <w:spacing w:val="-15"/>
          <w:w w:val="105"/>
        </w:rPr>
        <w:t> </w:t>
      </w:r>
      <w:r>
        <w:rPr>
          <w:color w:val="231F20"/>
          <w:w w:val="105"/>
        </w:rPr>
        <w:t>edad</w:t>
      </w:r>
      <w:r>
        <w:rPr>
          <w:color w:val="231F20"/>
          <w:spacing w:val="-15"/>
          <w:w w:val="105"/>
        </w:rPr>
        <w:t> </w:t>
      </w:r>
      <w:r>
        <w:rPr>
          <w:color w:val="231F20"/>
          <w:w w:val="105"/>
        </w:rPr>
        <w:t>mediana</w:t>
      </w:r>
      <w:r>
        <w:rPr>
          <w:color w:val="231F20"/>
          <w:spacing w:val="-15"/>
          <w:w w:val="105"/>
        </w:rPr>
        <w:t> </w:t>
      </w:r>
      <w:r>
        <w:rPr>
          <w:color w:val="231F20"/>
          <w:w w:val="105"/>
        </w:rPr>
        <w:t>(Luis</w:t>
      </w:r>
      <w:r>
        <w:rPr>
          <w:color w:val="231F20"/>
          <w:spacing w:val="-15"/>
          <w:w w:val="105"/>
        </w:rPr>
        <w:t> </w:t>
      </w:r>
      <w:r>
        <w:rPr>
          <w:color w:val="231F20"/>
          <w:w w:val="105"/>
        </w:rPr>
        <w:t>de</w:t>
      </w:r>
      <w:r>
        <w:rPr>
          <w:color w:val="231F20"/>
          <w:spacing w:val="-15"/>
          <w:w w:val="105"/>
        </w:rPr>
        <w:t> </w:t>
      </w:r>
      <w:r>
        <w:rPr>
          <w:color w:val="231F20"/>
          <w:w w:val="105"/>
        </w:rPr>
        <w:t>35</w:t>
      </w:r>
      <w:r>
        <w:rPr>
          <w:color w:val="231F20"/>
          <w:spacing w:val="-15"/>
          <w:w w:val="105"/>
        </w:rPr>
        <w:t> </w:t>
      </w:r>
      <w:r>
        <w:rPr>
          <w:color w:val="231F20"/>
          <w:w w:val="105"/>
        </w:rPr>
        <w:t>años)</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caso</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mujer</w:t>
      </w:r>
      <w:r>
        <w:rPr>
          <w:color w:val="231F20"/>
          <w:spacing w:val="-15"/>
          <w:w w:val="105"/>
        </w:rPr>
        <w:t> </w:t>
      </w:r>
      <w:r>
        <w:rPr>
          <w:color w:val="231F20"/>
          <w:w w:val="105"/>
        </w:rPr>
        <w:t>de edad</w:t>
      </w:r>
      <w:r>
        <w:rPr>
          <w:color w:val="231F20"/>
          <w:spacing w:val="-24"/>
          <w:w w:val="105"/>
        </w:rPr>
        <w:t> </w:t>
      </w:r>
      <w:r>
        <w:rPr>
          <w:color w:val="231F20"/>
          <w:w w:val="105"/>
        </w:rPr>
        <w:t>similar</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media</w:t>
      </w:r>
      <w:r>
        <w:rPr>
          <w:color w:val="231F20"/>
          <w:spacing w:val="-24"/>
          <w:w w:val="105"/>
        </w:rPr>
        <w:t> </w:t>
      </w:r>
      <w:r>
        <w:rPr>
          <w:color w:val="231F20"/>
          <w:w w:val="105"/>
        </w:rPr>
        <w:t>(Esperanza</w:t>
      </w:r>
      <w:r>
        <w:rPr>
          <w:color w:val="231F20"/>
          <w:spacing w:val="-24"/>
          <w:w w:val="105"/>
        </w:rPr>
        <w:t> </w:t>
      </w:r>
      <w:r>
        <w:rPr>
          <w:color w:val="231F20"/>
          <w:w w:val="105"/>
        </w:rPr>
        <w:t>de</w:t>
      </w:r>
      <w:r>
        <w:rPr>
          <w:color w:val="231F20"/>
          <w:spacing w:val="-24"/>
          <w:w w:val="105"/>
        </w:rPr>
        <w:t> </w:t>
      </w:r>
      <w:r>
        <w:rPr>
          <w:color w:val="231F20"/>
          <w:w w:val="105"/>
        </w:rPr>
        <w:t>34</w:t>
      </w:r>
      <w:r>
        <w:rPr>
          <w:color w:val="231F20"/>
          <w:spacing w:val="-24"/>
          <w:w w:val="105"/>
        </w:rPr>
        <w:t> </w:t>
      </w:r>
      <w:r>
        <w:rPr>
          <w:color w:val="231F20"/>
          <w:w w:val="105"/>
        </w:rPr>
        <w:t>años).</w:t>
      </w:r>
    </w:p>
    <w:p>
      <w:pPr>
        <w:pStyle w:val="BodyText"/>
        <w:spacing w:line="261" w:lineRule="auto" w:before="1"/>
        <w:ind w:left="1837" w:right="1716" w:firstLine="567"/>
        <w:jc w:val="both"/>
      </w:pPr>
      <w:r>
        <w:rPr/>
        <w:pict>
          <v:line style="position:absolute;mso-position-horizontal-relative:page;mso-position-vertical-relative:paragraph;z-index:-475960" from="15pt,291.244293pt" to="0pt,291.244293pt" stroked="true" strokeweight=".25pt" strokecolor="#000000">
            <w10:wrap type="none"/>
          </v:line>
        </w:pict>
      </w:r>
      <w:r>
        <w:rPr/>
        <w:pict>
          <v:line style="position:absolute;mso-position-horizontal-relative:page;mso-position-vertical-relative:paragraph;z-index:14248" from="508.890015pt,291.244293pt" to="523.890015pt,291.244293pt" stroked="true" strokeweight=".25pt" strokecolor="#000000">
            <w10:wrap type="none"/>
          </v:line>
        </w:pict>
      </w:r>
      <w:r>
        <w:rPr>
          <w:color w:val="231F20"/>
          <w:w w:val="105"/>
        </w:rPr>
        <w:t>Un</w:t>
      </w:r>
      <w:r>
        <w:rPr>
          <w:color w:val="231F20"/>
          <w:spacing w:val="-18"/>
          <w:w w:val="105"/>
        </w:rPr>
        <w:t> </w:t>
      </w:r>
      <w:r>
        <w:rPr>
          <w:color w:val="231F20"/>
          <w:w w:val="105"/>
        </w:rPr>
        <w:t>procedimiento</w:t>
      </w:r>
      <w:r>
        <w:rPr>
          <w:color w:val="231F20"/>
          <w:spacing w:val="-18"/>
          <w:w w:val="105"/>
        </w:rPr>
        <w:t> </w:t>
      </w:r>
      <w:r>
        <w:rPr>
          <w:color w:val="231F20"/>
          <w:w w:val="105"/>
        </w:rPr>
        <w:t>similar</w:t>
      </w:r>
      <w:r>
        <w:rPr>
          <w:color w:val="231F20"/>
          <w:spacing w:val="-18"/>
          <w:w w:val="105"/>
        </w:rPr>
        <w:t> </w:t>
      </w:r>
      <w:r>
        <w:rPr>
          <w:color w:val="231F20"/>
          <w:w w:val="105"/>
        </w:rPr>
        <w:t>se</w:t>
      </w:r>
      <w:r>
        <w:rPr>
          <w:color w:val="231F20"/>
          <w:spacing w:val="-18"/>
          <w:w w:val="105"/>
        </w:rPr>
        <w:t> </w:t>
      </w:r>
      <w:r>
        <w:rPr>
          <w:color w:val="231F20"/>
          <w:w w:val="105"/>
        </w:rPr>
        <w:t>realizó</w:t>
      </w:r>
      <w:r>
        <w:rPr>
          <w:color w:val="231F20"/>
          <w:spacing w:val="-18"/>
          <w:w w:val="105"/>
        </w:rPr>
        <w:t> </w:t>
      </w:r>
      <w:r>
        <w:rPr>
          <w:color w:val="231F20"/>
          <w:w w:val="105"/>
        </w:rPr>
        <w:t>respecto</w:t>
      </w:r>
      <w:r>
        <w:rPr>
          <w:color w:val="231F20"/>
          <w:spacing w:val="-18"/>
          <w:w w:val="105"/>
        </w:rPr>
        <w:t> </w:t>
      </w:r>
      <w:r>
        <w:rPr>
          <w:color w:val="231F20"/>
          <w:w w:val="105"/>
        </w:rPr>
        <w:t>al</w:t>
      </w:r>
      <w:r>
        <w:rPr>
          <w:color w:val="231F20"/>
          <w:spacing w:val="-18"/>
          <w:w w:val="105"/>
        </w:rPr>
        <w:t> </w:t>
      </w:r>
      <w:r>
        <w:rPr>
          <w:color w:val="231F20"/>
          <w:w w:val="105"/>
        </w:rPr>
        <w:t>número</w:t>
      </w:r>
      <w:r>
        <w:rPr>
          <w:color w:val="231F20"/>
          <w:spacing w:val="-18"/>
          <w:w w:val="105"/>
        </w:rPr>
        <w:t> </w:t>
      </w:r>
      <w:r>
        <w:rPr>
          <w:color w:val="231F20"/>
          <w:w w:val="105"/>
        </w:rPr>
        <w:t>de</w:t>
      </w:r>
      <w:r>
        <w:rPr>
          <w:color w:val="231F20"/>
          <w:spacing w:val="-18"/>
          <w:w w:val="105"/>
        </w:rPr>
        <w:t> </w:t>
      </w:r>
      <w:r>
        <w:rPr>
          <w:color w:val="231F20"/>
          <w:w w:val="105"/>
        </w:rPr>
        <w:t>años</w:t>
      </w:r>
      <w:r>
        <w:rPr>
          <w:color w:val="231F20"/>
          <w:spacing w:val="-18"/>
          <w:w w:val="105"/>
        </w:rPr>
        <w:t> </w:t>
      </w:r>
      <w:r>
        <w:rPr>
          <w:color w:val="231F20"/>
          <w:w w:val="105"/>
        </w:rPr>
        <w:t>de estadía</w:t>
      </w:r>
      <w:r>
        <w:rPr>
          <w:color w:val="231F20"/>
          <w:spacing w:val="-13"/>
          <w:w w:val="105"/>
        </w:rPr>
        <w:t> </w:t>
      </w:r>
      <w:r>
        <w:rPr>
          <w:color w:val="231F20"/>
          <w:w w:val="105"/>
        </w:rPr>
        <w:t>en</w:t>
      </w:r>
      <w:r>
        <w:rPr>
          <w:color w:val="231F20"/>
          <w:spacing w:val="-13"/>
          <w:w w:val="105"/>
        </w:rPr>
        <w:t> </w:t>
      </w:r>
      <w:r>
        <w:rPr>
          <w:color w:val="231F20"/>
          <w:w w:val="105"/>
        </w:rPr>
        <w:t>Estados</w:t>
      </w:r>
      <w:r>
        <w:rPr>
          <w:color w:val="231F20"/>
          <w:spacing w:val="-13"/>
          <w:w w:val="105"/>
        </w:rPr>
        <w:t> </w:t>
      </w:r>
      <w:r>
        <w:rPr>
          <w:color w:val="231F20"/>
          <w:w w:val="105"/>
        </w:rPr>
        <w:t>Unidos.</w:t>
      </w:r>
      <w:r>
        <w:rPr>
          <w:color w:val="231F20"/>
          <w:spacing w:val="-21"/>
          <w:w w:val="105"/>
        </w:rPr>
        <w:t> </w:t>
      </w:r>
      <w:r>
        <w:rPr>
          <w:color w:val="231F20"/>
          <w:w w:val="105"/>
        </w:rPr>
        <w:t>Veinte</w:t>
      </w:r>
      <w:r>
        <w:rPr>
          <w:color w:val="231F20"/>
          <w:spacing w:val="-13"/>
          <w:w w:val="105"/>
        </w:rPr>
        <w:t> </w:t>
      </w:r>
      <w:r>
        <w:rPr>
          <w:color w:val="231F20"/>
          <w:w w:val="105"/>
        </w:rPr>
        <w:t>años</w:t>
      </w:r>
      <w:r>
        <w:rPr>
          <w:color w:val="231F20"/>
          <w:spacing w:val="-13"/>
          <w:w w:val="105"/>
        </w:rPr>
        <w:t> </w:t>
      </w:r>
      <w:r>
        <w:rPr>
          <w:color w:val="231F20"/>
          <w:w w:val="105"/>
        </w:rPr>
        <w:t>de</w:t>
      </w:r>
      <w:r>
        <w:rPr>
          <w:color w:val="231F20"/>
          <w:spacing w:val="-13"/>
          <w:w w:val="105"/>
        </w:rPr>
        <w:t> </w:t>
      </w:r>
      <w:r>
        <w:rPr>
          <w:color w:val="231F20"/>
          <w:w w:val="105"/>
        </w:rPr>
        <w:t>estadía</w:t>
      </w:r>
      <w:r>
        <w:rPr>
          <w:color w:val="231F20"/>
          <w:spacing w:val="-13"/>
          <w:w w:val="105"/>
        </w:rPr>
        <w:t> </w:t>
      </w:r>
      <w:r>
        <w:rPr>
          <w:color w:val="231F20"/>
          <w:w w:val="105"/>
        </w:rPr>
        <w:t>es</w:t>
      </w:r>
      <w:r>
        <w:rPr>
          <w:color w:val="231F20"/>
          <w:spacing w:val="-13"/>
          <w:w w:val="105"/>
        </w:rPr>
        <w:t> </w:t>
      </w:r>
      <w:r>
        <w:rPr>
          <w:color w:val="231F20"/>
          <w:w w:val="105"/>
        </w:rPr>
        <w:t>el</w:t>
      </w:r>
      <w:r>
        <w:rPr>
          <w:color w:val="231F20"/>
          <w:spacing w:val="-13"/>
          <w:w w:val="105"/>
        </w:rPr>
        <w:t> </w:t>
      </w:r>
      <w:r>
        <w:rPr>
          <w:color w:val="231F20"/>
          <w:w w:val="105"/>
        </w:rPr>
        <w:t>máximo</w:t>
      </w:r>
      <w:r>
        <w:rPr>
          <w:color w:val="231F20"/>
          <w:spacing w:val="-13"/>
          <w:w w:val="105"/>
        </w:rPr>
        <w:t> </w:t>
      </w:r>
      <w:r>
        <w:rPr>
          <w:color w:val="231F20"/>
          <w:w w:val="105"/>
        </w:rPr>
        <w:t>y</w:t>
      </w:r>
      <w:r>
        <w:rPr>
          <w:color w:val="231F20"/>
          <w:spacing w:val="-13"/>
          <w:w w:val="105"/>
        </w:rPr>
        <w:t> </w:t>
      </w:r>
      <w:r>
        <w:rPr>
          <w:color w:val="231F20"/>
          <w:w w:val="105"/>
        </w:rPr>
        <w:t>cinco años</w:t>
      </w:r>
      <w:r>
        <w:rPr>
          <w:color w:val="231F20"/>
          <w:spacing w:val="-31"/>
          <w:w w:val="105"/>
        </w:rPr>
        <w:t> </w:t>
      </w:r>
      <w:r>
        <w:rPr>
          <w:color w:val="231F20"/>
          <w:w w:val="105"/>
        </w:rPr>
        <w:t>el</w:t>
      </w:r>
      <w:r>
        <w:rPr>
          <w:color w:val="231F20"/>
          <w:spacing w:val="-31"/>
          <w:w w:val="105"/>
        </w:rPr>
        <w:t> </w:t>
      </w:r>
      <w:r>
        <w:rPr>
          <w:color w:val="231F20"/>
          <w:w w:val="105"/>
        </w:rPr>
        <w:t>mínimo,</w:t>
      </w:r>
      <w:r>
        <w:rPr>
          <w:color w:val="231F20"/>
          <w:spacing w:val="-35"/>
          <w:w w:val="105"/>
        </w:rPr>
        <w:t> </w:t>
      </w:r>
      <w:r>
        <w:rPr>
          <w:color w:val="231F20"/>
          <w:w w:val="105"/>
        </w:rPr>
        <w:t>luego</w:t>
      </w:r>
      <w:r>
        <w:rPr>
          <w:color w:val="231F20"/>
          <w:spacing w:val="-31"/>
          <w:w w:val="105"/>
        </w:rPr>
        <w:t> </w:t>
      </w:r>
      <w:r>
        <w:rPr>
          <w:color w:val="231F20"/>
          <w:w w:val="105"/>
        </w:rPr>
        <w:t>dos</w:t>
      </w:r>
      <w:r>
        <w:rPr>
          <w:color w:val="231F20"/>
          <w:spacing w:val="-31"/>
          <w:w w:val="105"/>
        </w:rPr>
        <w:t> </w:t>
      </w:r>
      <w:r>
        <w:rPr>
          <w:color w:val="231F20"/>
          <w:w w:val="105"/>
        </w:rPr>
        <w:t>casos</w:t>
      </w:r>
      <w:r>
        <w:rPr>
          <w:color w:val="231F20"/>
          <w:spacing w:val="-31"/>
          <w:w w:val="105"/>
        </w:rPr>
        <w:t> </w:t>
      </w:r>
      <w:r>
        <w:rPr>
          <w:color w:val="231F20"/>
          <w:w w:val="105"/>
        </w:rPr>
        <w:t>intermedios</w:t>
      </w:r>
      <w:r>
        <w:rPr>
          <w:color w:val="231F20"/>
          <w:spacing w:val="-31"/>
          <w:w w:val="105"/>
        </w:rPr>
        <w:t> </w:t>
      </w:r>
      <w:r>
        <w:rPr>
          <w:color w:val="231F20"/>
          <w:w w:val="105"/>
        </w:rPr>
        <w:t>con</w:t>
      </w:r>
      <w:r>
        <w:rPr>
          <w:color w:val="231F20"/>
          <w:spacing w:val="-31"/>
          <w:w w:val="105"/>
        </w:rPr>
        <w:t> </w:t>
      </w:r>
      <w:r>
        <w:rPr>
          <w:color w:val="231F20"/>
          <w:w w:val="105"/>
        </w:rPr>
        <w:t>seis</w:t>
      </w:r>
      <w:r>
        <w:rPr>
          <w:color w:val="231F20"/>
          <w:spacing w:val="-31"/>
          <w:w w:val="105"/>
        </w:rPr>
        <w:t> </w:t>
      </w:r>
      <w:r>
        <w:rPr>
          <w:color w:val="231F20"/>
          <w:w w:val="105"/>
        </w:rPr>
        <w:t>y</w:t>
      </w:r>
      <w:r>
        <w:rPr>
          <w:color w:val="231F20"/>
          <w:spacing w:val="-31"/>
          <w:w w:val="105"/>
        </w:rPr>
        <w:t> </w:t>
      </w:r>
      <w:r>
        <w:rPr>
          <w:color w:val="231F20"/>
          <w:w w:val="105"/>
        </w:rPr>
        <w:t>siete</w:t>
      </w:r>
      <w:r>
        <w:rPr>
          <w:color w:val="231F20"/>
          <w:spacing w:val="-31"/>
          <w:w w:val="105"/>
        </w:rPr>
        <w:t> </w:t>
      </w:r>
      <w:r>
        <w:rPr>
          <w:color w:val="231F20"/>
          <w:w w:val="105"/>
        </w:rPr>
        <w:t>años</w:t>
      </w:r>
      <w:r>
        <w:rPr>
          <w:color w:val="231F20"/>
          <w:spacing w:val="-31"/>
          <w:w w:val="105"/>
        </w:rPr>
        <w:t> </w:t>
      </w:r>
      <w:r>
        <w:rPr>
          <w:color w:val="231F20"/>
          <w:w w:val="105"/>
        </w:rPr>
        <w:t>respec- tivamente.</w:t>
      </w:r>
      <w:r>
        <w:rPr>
          <w:color w:val="231F20"/>
          <w:spacing w:val="-10"/>
          <w:w w:val="105"/>
        </w:rPr>
        <w:t> </w:t>
      </w:r>
      <w:r>
        <w:rPr>
          <w:color w:val="231F20"/>
          <w:w w:val="105"/>
        </w:rPr>
        <w:t>De</w:t>
      </w:r>
      <w:r>
        <w:rPr>
          <w:color w:val="231F20"/>
          <w:spacing w:val="-5"/>
          <w:w w:val="105"/>
        </w:rPr>
        <w:t> </w:t>
      </w:r>
      <w:r>
        <w:rPr>
          <w:color w:val="231F20"/>
          <w:w w:val="105"/>
        </w:rPr>
        <w:t>igual</w:t>
      </w:r>
      <w:r>
        <w:rPr>
          <w:color w:val="231F20"/>
          <w:spacing w:val="-5"/>
          <w:w w:val="105"/>
        </w:rPr>
        <w:t> </w:t>
      </w:r>
      <w:r>
        <w:rPr>
          <w:color w:val="231F20"/>
          <w:w w:val="105"/>
        </w:rPr>
        <w:t>forma,</w:t>
      </w:r>
      <w:r>
        <w:rPr>
          <w:color w:val="231F20"/>
          <w:spacing w:val="-10"/>
          <w:w w:val="105"/>
        </w:rPr>
        <w:t> </w:t>
      </w:r>
      <w:r>
        <w:rPr>
          <w:color w:val="231F20"/>
          <w:w w:val="105"/>
        </w:rPr>
        <w:t>se</w:t>
      </w:r>
      <w:r>
        <w:rPr>
          <w:color w:val="231F20"/>
          <w:spacing w:val="-5"/>
          <w:w w:val="105"/>
        </w:rPr>
        <w:t> </w:t>
      </w:r>
      <w:r>
        <w:rPr>
          <w:color w:val="231F20"/>
          <w:w w:val="105"/>
        </w:rPr>
        <w:t>consiguió</w:t>
      </w:r>
      <w:r>
        <w:rPr>
          <w:color w:val="231F20"/>
          <w:spacing w:val="-5"/>
          <w:w w:val="105"/>
        </w:rPr>
        <w:t> </w:t>
      </w:r>
      <w:r>
        <w:rPr>
          <w:color w:val="231F20"/>
          <w:w w:val="105"/>
        </w:rPr>
        <w:t>diversidad</w:t>
      </w:r>
      <w:r>
        <w:rPr>
          <w:color w:val="231F20"/>
          <w:spacing w:val="-5"/>
          <w:w w:val="105"/>
        </w:rPr>
        <w:t> </w:t>
      </w:r>
      <w:r>
        <w:rPr>
          <w:color w:val="231F20"/>
          <w:w w:val="105"/>
        </w:rPr>
        <w:t>en</w:t>
      </w:r>
      <w:r>
        <w:rPr>
          <w:color w:val="231F20"/>
          <w:spacing w:val="-5"/>
          <w:w w:val="105"/>
        </w:rPr>
        <w:t> </w:t>
      </w:r>
      <w:r>
        <w:rPr>
          <w:color w:val="231F20"/>
          <w:w w:val="105"/>
        </w:rPr>
        <w:t>lugares</w:t>
      </w:r>
      <w:r>
        <w:rPr>
          <w:color w:val="231F20"/>
          <w:spacing w:val="-5"/>
          <w:w w:val="105"/>
        </w:rPr>
        <w:t> </w:t>
      </w:r>
      <w:r>
        <w:rPr>
          <w:color w:val="231F20"/>
          <w:w w:val="105"/>
        </w:rPr>
        <w:t>preferen- tes</w:t>
      </w:r>
      <w:r>
        <w:rPr>
          <w:color w:val="231F20"/>
          <w:spacing w:val="-25"/>
          <w:w w:val="105"/>
        </w:rPr>
        <w:t> </w:t>
      </w:r>
      <w:r>
        <w:rPr>
          <w:color w:val="231F20"/>
          <w:w w:val="105"/>
        </w:rPr>
        <w:t>de</w:t>
      </w:r>
      <w:r>
        <w:rPr>
          <w:color w:val="231F20"/>
          <w:spacing w:val="-25"/>
          <w:w w:val="105"/>
        </w:rPr>
        <w:t> </w:t>
      </w:r>
      <w:r>
        <w:rPr>
          <w:color w:val="231F20"/>
          <w:w w:val="105"/>
        </w:rPr>
        <w:t>destino,</w:t>
      </w:r>
      <w:r>
        <w:rPr>
          <w:color w:val="231F20"/>
          <w:spacing w:val="-30"/>
          <w:w w:val="105"/>
        </w:rPr>
        <w:t> </w:t>
      </w:r>
      <w:r>
        <w:rPr>
          <w:color w:val="231F20"/>
          <w:w w:val="105"/>
        </w:rPr>
        <w:t>aunque</w:t>
      </w:r>
      <w:r>
        <w:rPr>
          <w:color w:val="231F20"/>
          <w:spacing w:val="-25"/>
          <w:w w:val="105"/>
        </w:rPr>
        <w:t> </w:t>
      </w:r>
      <w:r>
        <w:rPr>
          <w:color w:val="231F20"/>
          <w:w w:val="105"/>
        </w:rPr>
        <w:t>al</w:t>
      </w:r>
      <w:r>
        <w:rPr>
          <w:color w:val="231F20"/>
          <w:spacing w:val="-25"/>
          <w:w w:val="105"/>
        </w:rPr>
        <w:t> </w:t>
      </w:r>
      <w:r>
        <w:rPr>
          <w:color w:val="231F20"/>
          <w:w w:val="105"/>
        </w:rPr>
        <w:t>menos</w:t>
      </w:r>
      <w:r>
        <w:rPr>
          <w:color w:val="231F20"/>
          <w:spacing w:val="-25"/>
          <w:w w:val="105"/>
        </w:rPr>
        <w:t> </w:t>
      </w:r>
      <w:r>
        <w:rPr>
          <w:color w:val="231F20"/>
          <w:w w:val="105"/>
        </w:rPr>
        <w:t>tres</w:t>
      </w:r>
      <w:r>
        <w:rPr>
          <w:color w:val="231F20"/>
          <w:spacing w:val="-25"/>
          <w:w w:val="105"/>
        </w:rPr>
        <w:t> </w:t>
      </w:r>
      <w:r>
        <w:rPr>
          <w:color w:val="231F20"/>
          <w:w w:val="105"/>
        </w:rPr>
        <w:t>de</w:t>
      </w:r>
      <w:r>
        <w:rPr>
          <w:color w:val="231F20"/>
          <w:spacing w:val="-25"/>
          <w:w w:val="105"/>
        </w:rPr>
        <w:t> </w:t>
      </w:r>
      <w:r>
        <w:rPr>
          <w:color w:val="231F20"/>
          <w:w w:val="105"/>
        </w:rPr>
        <w:t>ellos</w:t>
      </w:r>
      <w:r>
        <w:rPr>
          <w:color w:val="231F20"/>
          <w:spacing w:val="-25"/>
          <w:w w:val="105"/>
        </w:rPr>
        <w:t> </w:t>
      </w:r>
      <w:r>
        <w:rPr>
          <w:color w:val="231F20"/>
          <w:w w:val="105"/>
        </w:rPr>
        <w:t>exploraron</w:t>
      </w:r>
      <w:r>
        <w:rPr>
          <w:color w:val="231F20"/>
          <w:spacing w:val="-25"/>
          <w:w w:val="105"/>
        </w:rPr>
        <w:t> </w:t>
      </w:r>
      <w:r>
        <w:rPr>
          <w:color w:val="231F20"/>
          <w:w w:val="105"/>
        </w:rPr>
        <w:t>diversos</w:t>
      </w:r>
      <w:r>
        <w:rPr>
          <w:color w:val="231F20"/>
          <w:spacing w:val="-25"/>
          <w:w w:val="105"/>
        </w:rPr>
        <w:t> </w:t>
      </w:r>
      <w:r>
        <w:rPr>
          <w:color w:val="231F20"/>
          <w:w w:val="105"/>
        </w:rPr>
        <w:t>lugares de</w:t>
      </w:r>
      <w:r>
        <w:rPr>
          <w:color w:val="231F20"/>
          <w:spacing w:val="-4"/>
          <w:w w:val="105"/>
        </w:rPr>
        <w:t> </w:t>
      </w:r>
      <w:r>
        <w:rPr>
          <w:color w:val="231F20"/>
          <w:w w:val="105"/>
        </w:rPr>
        <w:t>destino</w:t>
      </w:r>
      <w:r>
        <w:rPr>
          <w:color w:val="231F20"/>
          <w:spacing w:val="-4"/>
          <w:w w:val="105"/>
        </w:rPr>
        <w:t> </w:t>
      </w:r>
      <w:r>
        <w:rPr>
          <w:color w:val="231F20"/>
          <w:w w:val="105"/>
        </w:rPr>
        <w:t>en</w:t>
      </w:r>
      <w:r>
        <w:rPr>
          <w:color w:val="231F20"/>
          <w:spacing w:val="-4"/>
          <w:w w:val="105"/>
        </w:rPr>
        <w:t> </w:t>
      </w:r>
      <w:r>
        <w:rPr>
          <w:color w:val="231F20"/>
          <w:w w:val="105"/>
        </w:rPr>
        <w:t>Estados</w:t>
      </w:r>
      <w:r>
        <w:rPr>
          <w:color w:val="231F20"/>
          <w:spacing w:val="-4"/>
          <w:w w:val="105"/>
        </w:rPr>
        <w:t> </w:t>
      </w:r>
      <w:r>
        <w:rPr>
          <w:color w:val="231F20"/>
          <w:w w:val="105"/>
        </w:rPr>
        <w:t>Unidos,</w:t>
      </w:r>
      <w:r>
        <w:rPr>
          <w:color w:val="231F20"/>
          <w:spacing w:val="-9"/>
          <w:w w:val="105"/>
        </w:rPr>
        <w:t> </w:t>
      </w:r>
      <w:r>
        <w:rPr>
          <w:color w:val="231F20"/>
          <w:w w:val="105"/>
        </w:rPr>
        <w:t>el</w:t>
      </w:r>
      <w:r>
        <w:rPr>
          <w:color w:val="231F20"/>
          <w:spacing w:val="-4"/>
          <w:w w:val="105"/>
        </w:rPr>
        <w:t> </w:t>
      </w:r>
      <w:r>
        <w:rPr>
          <w:color w:val="231F20"/>
          <w:w w:val="105"/>
        </w:rPr>
        <w:t>caso</w:t>
      </w:r>
      <w:r>
        <w:rPr>
          <w:color w:val="231F20"/>
          <w:spacing w:val="-4"/>
          <w:w w:val="105"/>
        </w:rPr>
        <w:t> </w:t>
      </w:r>
      <w:r>
        <w:rPr>
          <w:color w:val="231F20"/>
          <w:w w:val="105"/>
        </w:rPr>
        <w:t>extremo</w:t>
      </w:r>
      <w:r>
        <w:rPr>
          <w:color w:val="231F20"/>
          <w:spacing w:val="-4"/>
          <w:w w:val="105"/>
        </w:rPr>
        <w:t> </w:t>
      </w:r>
      <w:r>
        <w:rPr>
          <w:color w:val="231F20"/>
          <w:w w:val="105"/>
        </w:rPr>
        <w:t>es</w:t>
      </w:r>
      <w:r>
        <w:rPr>
          <w:color w:val="231F20"/>
          <w:spacing w:val="-4"/>
          <w:w w:val="105"/>
        </w:rPr>
        <w:t> </w:t>
      </w:r>
      <w:r>
        <w:rPr>
          <w:color w:val="231F20"/>
          <w:w w:val="105"/>
        </w:rPr>
        <w:t>el</w:t>
      </w:r>
      <w:r>
        <w:rPr>
          <w:color w:val="231F20"/>
          <w:spacing w:val="-4"/>
          <w:w w:val="105"/>
        </w:rPr>
        <w:t> </w:t>
      </w:r>
      <w:r>
        <w:rPr>
          <w:color w:val="231F20"/>
          <w:w w:val="105"/>
        </w:rPr>
        <w:t>de</w:t>
      </w:r>
      <w:r>
        <w:rPr>
          <w:color w:val="231F20"/>
          <w:spacing w:val="-4"/>
          <w:w w:val="105"/>
        </w:rPr>
        <w:t> </w:t>
      </w:r>
      <w:r>
        <w:rPr>
          <w:color w:val="231F20"/>
          <w:w w:val="105"/>
        </w:rPr>
        <w:t>Esperanza</w:t>
      </w:r>
      <w:r>
        <w:rPr>
          <w:color w:val="231F20"/>
          <w:spacing w:val="-4"/>
          <w:w w:val="105"/>
        </w:rPr>
        <w:t> </w:t>
      </w:r>
      <w:r>
        <w:rPr>
          <w:color w:val="231F20"/>
          <w:w w:val="105"/>
        </w:rPr>
        <w:t>que en un periodo de cinco años vivió en al menos ocho ciudades</w:t>
      </w:r>
      <w:r>
        <w:rPr>
          <w:color w:val="231F20"/>
          <w:spacing w:val="-8"/>
          <w:w w:val="105"/>
        </w:rPr>
        <w:t> </w:t>
      </w:r>
      <w:r>
        <w:rPr>
          <w:color w:val="231F20"/>
          <w:w w:val="105"/>
        </w:rPr>
        <w:t>distintas, realizando por lo menos diez desplazamientos entre esas ciudades.</w:t>
      </w:r>
      <w:r>
        <w:rPr>
          <w:color w:val="231F20"/>
          <w:spacing w:val="-31"/>
          <w:w w:val="105"/>
        </w:rPr>
        <w:t> </w:t>
      </w:r>
      <w:r>
        <w:rPr>
          <w:color w:val="231F20"/>
          <w:w w:val="105"/>
        </w:rPr>
        <w:t>En el extremo opuesto se encuentra quien vivió en el mismo lugar durante los</w:t>
      </w:r>
      <w:r>
        <w:rPr>
          <w:color w:val="231F20"/>
          <w:spacing w:val="-24"/>
          <w:w w:val="105"/>
        </w:rPr>
        <w:t> </w:t>
      </w:r>
      <w:r>
        <w:rPr>
          <w:color w:val="231F20"/>
          <w:w w:val="105"/>
        </w:rPr>
        <w:t>siete</w:t>
      </w:r>
      <w:r>
        <w:rPr>
          <w:color w:val="231F20"/>
          <w:spacing w:val="-24"/>
          <w:w w:val="105"/>
        </w:rPr>
        <w:t> </w:t>
      </w:r>
      <w:r>
        <w:rPr>
          <w:color w:val="231F20"/>
          <w:w w:val="105"/>
        </w:rPr>
        <w:t>años</w:t>
      </w:r>
      <w:r>
        <w:rPr>
          <w:color w:val="231F20"/>
          <w:spacing w:val="-24"/>
          <w:w w:val="105"/>
        </w:rPr>
        <w:t> </w:t>
      </w:r>
      <w:r>
        <w:rPr>
          <w:color w:val="231F20"/>
          <w:w w:val="105"/>
        </w:rPr>
        <w:t>de</w:t>
      </w:r>
      <w:r>
        <w:rPr>
          <w:color w:val="231F20"/>
          <w:spacing w:val="-24"/>
          <w:w w:val="105"/>
        </w:rPr>
        <w:t> </w:t>
      </w:r>
      <w:r>
        <w:rPr>
          <w:color w:val="231F20"/>
          <w:w w:val="105"/>
        </w:rPr>
        <w:t>estadía</w:t>
      </w:r>
      <w:r>
        <w:rPr>
          <w:color w:val="231F20"/>
          <w:spacing w:val="-24"/>
          <w:w w:val="105"/>
        </w:rPr>
        <w:t> </w:t>
      </w:r>
      <w:r>
        <w:rPr>
          <w:color w:val="231F20"/>
          <w:w w:val="105"/>
        </w:rPr>
        <w:t>(Moisés).</w:t>
      </w:r>
      <w:r>
        <w:rPr>
          <w:color w:val="231F20"/>
          <w:spacing w:val="-27"/>
          <w:w w:val="105"/>
        </w:rPr>
        <w:t> </w:t>
      </w:r>
      <w:r>
        <w:rPr>
          <w:color w:val="231F20"/>
          <w:w w:val="105"/>
        </w:rPr>
        <w:t>En</w:t>
      </w:r>
      <w:r>
        <w:rPr>
          <w:color w:val="231F20"/>
          <w:spacing w:val="-24"/>
          <w:w w:val="105"/>
        </w:rPr>
        <w:t> </w:t>
      </w:r>
      <w:r>
        <w:rPr>
          <w:color w:val="231F20"/>
          <w:w w:val="105"/>
        </w:rPr>
        <w:t>suma,</w:t>
      </w:r>
      <w:r>
        <w:rPr>
          <w:color w:val="231F20"/>
          <w:spacing w:val="-27"/>
          <w:w w:val="105"/>
        </w:rPr>
        <w:t> </w:t>
      </w:r>
      <w:r>
        <w:rPr>
          <w:color w:val="231F20"/>
          <w:w w:val="105"/>
        </w:rPr>
        <w:t>Seattle,</w:t>
      </w:r>
      <w:r>
        <w:rPr>
          <w:color w:val="231F20"/>
          <w:spacing w:val="-29"/>
          <w:w w:val="105"/>
        </w:rPr>
        <w:t> </w:t>
      </w:r>
      <w:r>
        <w:rPr>
          <w:color w:val="231F20"/>
          <w:w w:val="105"/>
        </w:rPr>
        <w:t>Washington,</w:t>
      </w:r>
      <w:r>
        <w:rPr>
          <w:color w:val="231F20"/>
          <w:spacing w:val="-27"/>
          <w:w w:val="105"/>
        </w:rPr>
        <w:t> </w:t>
      </w:r>
      <w:r>
        <w:rPr>
          <w:color w:val="231F20"/>
          <w:w w:val="105"/>
        </w:rPr>
        <w:t>Nueva </w:t>
      </w:r>
      <w:r>
        <w:rPr>
          <w:color w:val="231F20"/>
          <w:spacing w:val="-4"/>
          <w:w w:val="105"/>
        </w:rPr>
        <w:t>York,</w:t>
      </w:r>
      <w:r>
        <w:rPr>
          <w:color w:val="231F20"/>
          <w:spacing w:val="-35"/>
          <w:w w:val="105"/>
        </w:rPr>
        <w:t> </w:t>
      </w:r>
      <w:r>
        <w:rPr>
          <w:color w:val="231F20"/>
          <w:w w:val="105"/>
        </w:rPr>
        <w:t>Los</w:t>
      </w:r>
      <w:r>
        <w:rPr>
          <w:color w:val="231F20"/>
          <w:spacing w:val="-34"/>
          <w:w w:val="105"/>
        </w:rPr>
        <w:t> </w:t>
      </w:r>
      <w:r>
        <w:rPr>
          <w:color w:val="231F20"/>
          <w:w w:val="105"/>
        </w:rPr>
        <w:t>Ángeles,</w:t>
      </w:r>
      <w:r>
        <w:rPr>
          <w:color w:val="231F20"/>
          <w:spacing w:val="-35"/>
          <w:w w:val="105"/>
        </w:rPr>
        <w:t> </w:t>
      </w:r>
      <w:r>
        <w:rPr>
          <w:color w:val="231F20"/>
          <w:w w:val="105"/>
        </w:rPr>
        <w:t>California,</w:t>
      </w:r>
      <w:r>
        <w:rPr>
          <w:color w:val="231F20"/>
          <w:spacing w:val="-35"/>
          <w:w w:val="105"/>
        </w:rPr>
        <w:t> </w:t>
      </w:r>
      <w:r>
        <w:rPr>
          <w:color w:val="231F20"/>
          <w:w w:val="105"/>
        </w:rPr>
        <w:t>Las</w:t>
      </w:r>
      <w:r>
        <w:rPr>
          <w:color w:val="231F20"/>
          <w:spacing w:val="-34"/>
          <w:w w:val="105"/>
        </w:rPr>
        <w:t> </w:t>
      </w:r>
      <w:r>
        <w:rPr>
          <w:color w:val="231F20"/>
          <w:w w:val="105"/>
        </w:rPr>
        <w:t>Vegas,</w:t>
      </w:r>
      <w:r>
        <w:rPr>
          <w:color w:val="231F20"/>
          <w:spacing w:val="-35"/>
          <w:w w:val="105"/>
        </w:rPr>
        <w:t> </w:t>
      </w:r>
      <w:r>
        <w:rPr>
          <w:color w:val="231F20"/>
          <w:w w:val="105"/>
        </w:rPr>
        <w:t>y</w:t>
      </w:r>
      <w:r>
        <w:rPr>
          <w:color w:val="231F20"/>
          <w:spacing w:val="-31"/>
          <w:w w:val="105"/>
        </w:rPr>
        <w:t> </w:t>
      </w:r>
      <w:r>
        <w:rPr>
          <w:color w:val="231F20"/>
          <w:w w:val="105"/>
        </w:rPr>
        <w:t>Miami,</w:t>
      </w:r>
      <w:r>
        <w:rPr>
          <w:color w:val="231F20"/>
          <w:spacing w:val="-35"/>
          <w:w w:val="105"/>
        </w:rPr>
        <w:t> </w:t>
      </w:r>
      <w:r>
        <w:rPr>
          <w:color w:val="231F20"/>
          <w:w w:val="105"/>
        </w:rPr>
        <w:t>son</w:t>
      </w:r>
      <w:r>
        <w:rPr>
          <w:color w:val="231F20"/>
          <w:spacing w:val="-31"/>
          <w:w w:val="105"/>
        </w:rPr>
        <w:t> </w:t>
      </w:r>
      <w:r>
        <w:rPr>
          <w:color w:val="231F20"/>
          <w:w w:val="105"/>
        </w:rPr>
        <w:t>los</w:t>
      </w:r>
      <w:r>
        <w:rPr>
          <w:color w:val="231F20"/>
          <w:spacing w:val="-31"/>
          <w:w w:val="105"/>
        </w:rPr>
        <w:t> </w:t>
      </w:r>
      <w:r>
        <w:rPr>
          <w:color w:val="231F20"/>
          <w:w w:val="105"/>
        </w:rPr>
        <w:t>principales</w:t>
      </w:r>
      <w:r>
        <w:rPr>
          <w:color w:val="231F20"/>
          <w:spacing w:val="-31"/>
          <w:w w:val="105"/>
        </w:rPr>
        <w:t> </w:t>
      </w:r>
      <w:r>
        <w:rPr>
          <w:color w:val="231F20"/>
          <w:w w:val="105"/>
        </w:rPr>
        <w:t>des- tinos de emigración, lo que ofrece indicios acerca de las</w:t>
      </w:r>
      <w:r>
        <w:rPr>
          <w:color w:val="231F20"/>
          <w:spacing w:val="-22"/>
          <w:w w:val="105"/>
        </w:rPr>
        <w:t> </w:t>
      </w:r>
      <w:r>
        <w:rPr>
          <w:color w:val="231F20"/>
          <w:w w:val="105"/>
        </w:rPr>
        <w:t>características del proceso migratorio desde Nezahualcóyotl, que no necesariamente concentra</w:t>
      </w:r>
      <w:r>
        <w:rPr>
          <w:color w:val="231F20"/>
          <w:spacing w:val="-17"/>
          <w:w w:val="105"/>
        </w:rPr>
        <w:t> </w:t>
      </w:r>
      <w:r>
        <w:rPr>
          <w:color w:val="231F20"/>
          <w:w w:val="105"/>
        </w:rPr>
        <w:t>inmigrantes</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lugares</w:t>
      </w:r>
      <w:r>
        <w:rPr>
          <w:color w:val="231F20"/>
          <w:spacing w:val="-17"/>
          <w:w w:val="105"/>
        </w:rPr>
        <w:t> </w:t>
      </w:r>
      <w:r>
        <w:rPr>
          <w:color w:val="231F20"/>
          <w:w w:val="105"/>
        </w:rPr>
        <w:t>tradicionales</w:t>
      </w:r>
      <w:r>
        <w:rPr>
          <w:color w:val="231F20"/>
          <w:spacing w:val="-17"/>
          <w:w w:val="105"/>
        </w:rPr>
        <w:t> </w:t>
      </w:r>
      <w:r>
        <w:rPr>
          <w:color w:val="231F20"/>
          <w:w w:val="105"/>
        </w:rPr>
        <w:t>de</w:t>
      </w:r>
      <w:r>
        <w:rPr>
          <w:color w:val="231F20"/>
          <w:spacing w:val="-17"/>
          <w:w w:val="105"/>
        </w:rPr>
        <w:t> </w:t>
      </w:r>
      <w:r>
        <w:rPr>
          <w:color w:val="231F20"/>
          <w:w w:val="105"/>
        </w:rPr>
        <w:t>migración</w:t>
      </w:r>
      <w:r>
        <w:rPr>
          <w:color w:val="231F20"/>
          <w:spacing w:val="-17"/>
          <w:w w:val="105"/>
        </w:rPr>
        <w:t> </w:t>
      </w:r>
      <w:r>
        <w:rPr>
          <w:color w:val="231F20"/>
          <w:w w:val="105"/>
        </w:rPr>
        <w:t>mexica- na</w:t>
      </w:r>
      <w:r>
        <w:rPr>
          <w:color w:val="231F20"/>
          <w:spacing w:val="-11"/>
          <w:w w:val="105"/>
        </w:rPr>
        <w:t> </w:t>
      </w:r>
      <w:r>
        <w:rPr>
          <w:color w:val="231F20"/>
          <w:w w:val="105"/>
        </w:rPr>
        <w:t>a</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1"/>
          <w:w w:val="105"/>
        </w:rPr>
        <w:t> </w:t>
      </w:r>
      <w:r>
        <w:rPr>
          <w:color w:val="231F20"/>
          <w:w w:val="105"/>
        </w:rPr>
        <w:t>(Durand</w:t>
      </w:r>
      <w:r>
        <w:rPr>
          <w:color w:val="231F20"/>
          <w:spacing w:val="-11"/>
          <w:w w:val="105"/>
        </w:rPr>
        <w:t> </w:t>
      </w:r>
      <w:r>
        <w:rPr>
          <w:color w:val="231F20"/>
          <w:w w:val="105"/>
        </w:rPr>
        <w:t>y</w:t>
      </w:r>
      <w:r>
        <w:rPr>
          <w:color w:val="231F20"/>
          <w:spacing w:val="-11"/>
          <w:w w:val="105"/>
        </w:rPr>
        <w:t> </w:t>
      </w:r>
      <w:r>
        <w:rPr>
          <w:color w:val="231F20"/>
          <w:w w:val="105"/>
        </w:rPr>
        <w:t>Massey,</w:t>
      </w:r>
      <w:r>
        <w:rPr>
          <w:color w:val="231F20"/>
          <w:spacing w:val="-15"/>
          <w:w w:val="105"/>
        </w:rPr>
        <w:t> </w:t>
      </w:r>
      <w:r>
        <w:rPr>
          <w:color w:val="231F20"/>
          <w:w w:val="105"/>
        </w:rPr>
        <w:t>2003),</w:t>
      </w:r>
      <w:r>
        <w:rPr>
          <w:color w:val="231F20"/>
          <w:spacing w:val="-15"/>
          <w:w w:val="105"/>
        </w:rPr>
        <w:t> </w:t>
      </w:r>
      <w:r>
        <w:rPr>
          <w:color w:val="231F20"/>
          <w:w w:val="105"/>
        </w:rPr>
        <w:t>sino</w:t>
      </w:r>
      <w:r>
        <w:rPr>
          <w:color w:val="231F20"/>
          <w:spacing w:val="-11"/>
          <w:w w:val="105"/>
        </w:rPr>
        <w:t> </w:t>
      </w:r>
      <w:r>
        <w:rPr>
          <w:color w:val="231F20"/>
          <w:w w:val="105"/>
        </w:rPr>
        <w:t>que</w:t>
      </w:r>
      <w:r>
        <w:rPr>
          <w:color w:val="231F20"/>
          <w:spacing w:val="-11"/>
          <w:w w:val="105"/>
        </w:rPr>
        <w:t> </w:t>
      </w:r>
      <w:r>
        <w:rPr>
          <w:color w:val="231F20"/>
          <w:w w:val="105"/>
        </w:rPr>
        <w:t>incluye</w:t>
      </w:r>
      <w:r>
        <w:rPr>
          <w:color w:val="231F20"/>
          <w:spacing w:val="-11"/>
          <w:w w:val="105"/>
        </w:rPr>
        <w:t> </w:t>
      </w:r>
      <w:r>
        <w:rPr>
          <w:color w:val="231F20"/>
          <w:w w:val="105"/>
        </w:rPr>
        <w:t>lugares diversos</w:t>
      </w:r>
      <w:r>
        <w:rPr>
          <w:color w:val="231F20"/>
          <w:spacing w:val="-6"/>
          <w:w w:val="105"/>
        </w:rPr>
        <w:t> </w:t>
      </w:r>
      <w:r>
        <w:rPr>
          <w:color w:val="231F20"/>
          <w:w w:val="105"/>
        </w:rPr>
        <w:t>tanto</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este</w:t>
      </w:r>
      <w:r>
        <w:rPr>
          <w:color w:val="231F20"/>
          <w:spacing w:val="-6"/>
          <w:w w:val="105"/>
        </w:rPr>
        <w:t> </w:t>
      </w:r>
      <w:r>
        <w:rPr>
          <w:color w:val="231F20"/>
          <w:w w:val="105"/>
        </w:rPr>
        <w:t>como</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oeste</w:t>
      </w:r>
      <w:r>
        <w:rPr>
          <w:color w:val="231F20"/>
          <w:spacing w:val="-6"/>
          <w:w w:val="105"/>
        </w:rPr>
        <w:t> </w:t>
      </w:r>
      <w:r>
        <w:rPr>
          <w:color w:val="231F20"/>
          <w:w w:val="105"/>
        </w:rPr>
        <w:t>de</w:t>
      </w:r>
      <w:r>
        <w:rPr>
          <w:color w:val="231F20"/>
          <w:spacing w:val="-6"/>
          <w:w w:val="105"/>
        </w:rPr>
        <w:t> </w:t>
      </w:r>
      <w:r>
        <w:rPr>
          <w:color w:val="231F20"/>
          <w:w w:val="105"/>
        </w:rPr>
        <w:t>aquél</w:t>
      </w:r>
      <w:r>
        <w:rPr>
          <w:color w:val="231F20"/>
          <w:spacing w:val="-6"/>
          <w:w w:val="105"/>
        </w:rPr>
        <w:t> </w:t>
      </w:r>
      <w:r>
        <w:rPr>
          <w:color w:val="231F20"/>
          <w:w w:val="105"/>
        </w:rPr>
        <w:t>país,</w:t>
      </w:r>
      <w:r>
        <w:rPr>
          <w:color w:val="231F20"/>
          <w:spacing w:val="-11"/>
          <w:w w:val="105"/>
        </w:rPr>
        <w:t> </w:t>
      </w:r>
      <w:r>
        <w:rPr>
          <w:color w:val="231F20"/>
          <w:w w:val="105"/>
        </w:rPr>
        <w:t>además</w:t>
      </w:r>
      <w:r>
        <w:rPr>
          <w:color w:val="231F20"/>
          <w:spacing w:val="-6"/>
          <w:w w:val="105"/>
        </w:rPr>
        <w:t> </w:t>
      </w:r>
      <w:r>
        <w:rPr>
          <w:color w:val="231F20"/>
          <w:w w:val="105"/>
        </w:rPr>
        <w:t>todos</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516" w:right="1828"/>
        <w:jc w:val="right"/>
      </w:pPr>
      <w:r>
        <w:rPr/>
        <w:pict>
          <v:line style="position:absolute;mso-position-horizontal-relative:page;mso-position-vertical-relative:paragraph;z-index:14296" from="15pt,-71.68644pt" to="0pt,-71.68644pt" stroked="true" strokeweight=".25pt" strokecolor="#000000">
            <w10:wrap type="none"/>
          </v:line>
        </w:pict>
      </w:r>
      <w:r>
        <w:rPr/>
        <w:pict>
          <v:line style="position:absolute;mso-position-horizontal-relative:page;mso-position-vertical-relative:paragraph;z-index:14320" from="508.890015pt,-71.68644pt" to="523.890015pt,-71.68644pt" stroked="true" strokeweight=".25pt" strokecolor="#000000">
            <w10:wrap type="none"/>
          </v:line>
        </w:pict>
      </w:r>
      <w:r>
        <w:rPr>
          <w:color w:val="231F20"/>
          <w:w w:val="105"/>
        </w:rPr>
        <w:t>estos</w:t>
      </w:r>
      <w:r>
        <w:rPr>
          <w:color w:val="231F20"/>
          <w:spacing w:val="-15"/>
          <w:w w:val="105"/>
        </w:rPr>
        <w:t> </w:t>
      </w:r>
      <w:r>
        <w:rPr>
          <w:color w:val="231F20"/>
          <w:w w:val="105"/>
        </w:rPr>
        <w:t>lugares</w:t>
      </w:r>
      <w:r>
        <w:rPr>
          <w:color w:val="231F20"/>
          <w:spacing w:val="-15"/>
          <w:w w:val="105"/>
        </w:rPr>
        <w:t> </w:t>
      </w:r>
      <w:r>
        <w:rPr>
          <w:color w:val="231F20"/>
          <w:w w:val="105"/>
        </w:rPr>
        <w:t>son</w:t>
      </w:r>
      <w:r>
        <w:rPr>
          <w:color w:val="231F20"/>
          <w:spacing w:val="-15"/>
          <w:w w:val="105"/>
        </w:rPr>
        <w:t> </w:t>
      </w:r>
      <w:r>
        <w:rPr>
          <w:color w:val="231F20"/>
          <w:w w:val="105"/>
        </w:rPr>
        <w:t>zonas</w:t>
      </w:r>
      <w:r>
        <w:rPr>
          <w:color w:val="231F20"/>
          <w:spacing w:val="-15"/>
          <w:w w:val="105"/>
        </w:rPr>
        <w:t> </w:t>
      </w:r>
      <w:r>
        <w:rPr>
          <w:color w:val="231F20"/>
          <w:w w:val="105"/>
        </w:rPr>
        <w:t>urbanas,</w:t>
      </w:r>
      <w:r>
        <w:rPr>
          <w:color w:val="231F20"/>
          <w:spacing w:val="-20"/>
          <w:w w:val="105"/>
        </w:rPr>
        <w:t> </w:t>
      </w:r>
      <w:r>
        <w:rPr>
          <w:color w:val="231F20"/>
          <w:w w:val="105"/>
        </w:rPr>
        <w:t>donde</w:t>
      </w:r>
      <w:r>
        <w:rPr>
          <w:color w:val="231F20"/>
          <w:spacing w:val="-15"/>
          <w:w w:val="105"/>
        </w:rPr>
        <w:t> </w:t>
      </w:r>
      <w:r>
        <w:rPr>
          <w:color w:val="231F20"/>
          <w:w w:val="105"/>
        </w:rPr>
        <w:t>los</w:t>
      </w:r>
      <w:r>
        <w:rPr>
          <w:color w:val="231F20"/>
          <w:spacing w:val="-15"/>
          <w:w w:val="105"/>
        </w:rPr>
        <w:t> </w:t>
      </w:r>
      <w:r>
        <w:rPr>
          <w:color w:val="231F20"/>
          <w:w w:val="105"/>
        </w:rPr>
        <w:t>empleos</w:t>
      </w:r>
      <w:r>
        <w:rPr>
          <w:color w:val="231F20"/>
          <w:spacing w:val="-15"/>
          <w:w w:val="105"/>
        </w:rPr>
        <w:t> </w:t>
      </w:r>
      <w:r>
        <w:rPr>
          <w:color w:val="231F20"/>
          <w:w w:val="105"/>
        </w:rPr>
        <w:t>tomados</w:t>
      </w:r>
      <w:r>
        <w:rPr>
          <w:color w:val="231F20"/>
          <w:spacing w:val="-15"/>
          <w:w w:val="105"/>
        </w:rPr>
        <w:t> </w:t>
      </w:r>
      <w:r>
        <w:rPr>
          <w:color w:val="231F20"/>
          <w:w w:val="105"/>
        </w:rPr>
        <w:t>por</w:t>
      </w:r>
      <w:r>
        <w:rPr>
          <w:color w:val="231F20"/>
          <w:spacing w:val="-15"/>
          <w:w w:val="105"/>
        </w:rPr>
        <w:t> </w:t>
      </w:r>
      <w:r>
        <w:rPr>
          <w:color w:val="231F20"/>
          <w:w w:val="105"/>
        </w:rPr>
        <w:t>estos</w:t>
      </w:r>
      <w:r>
        <w:rPr>
          <w:color w:val="231F20"/>
          <w:w w:val="99"/>
        </w:rPr>
        <w:t> </w:t>
      </w:r>
      <w:r>
        <w:rPr>
          <w:color w:val="231F20"/>
          <w:w w:val="105"/>
        </w:rPr>
        <w:t>inmigrantes</w:t>
      </w:r>
      <w:r>
        <w:rPr>
          <w:color w:val="231F20"/>
          <w:spacing w:val="-28"/>
          <w:w w:val="105"/>
        </w:rPr>
        <w:t> </w:t>
      </w:r>
      <w:r>
        <w:rPr>
          <w:color w:val="231F20"/>
          <w:w w:val="105"/>
        </w:rPr>
        <w:t>se</w:t>
      </w:r>
      <w:r>
        <w:rPr>
          <w:color w:val="231F20"/>
          <w:spacing w:val="-28"/>
          <w:w w:val="105"/>
        </w:rPr>
        <w:t> </w:t>
      </w:r>
      <w:r>
        <w:rPr>
          <w:color w:val="231F20"/>
          <w:w w:val="105"/>
        </w:rPr>
        <w:t>localizan</w:t>
      </w:r>
      <w:r>
        <w:rPr>
          <w:color w:val="231F20"/>
          <w:spacing w:val="-28"/>
          <w:w w:val="105"/>
        </w:rPr>
        <w:t> </w:t>
      </w:r>
      <w:r>
        <w:rPr>
          <w:color w:val="231F20"/>
          <w:w w:val="105"/>
        </w:rPr>
        <w:t>en</w:t>
      </w:r>
      <w:r>
        <w:rPr>
          <w:color w:val="231F20"/>
          <w:spacing w:val="-28"/>
          <w:w w:val="105"/>
        </w:rPr>
        <w:t> </w:t>
      </w:r>
      <w:r>
        <w:rPr>
          <w:color w:val="231F20"/>
          <w:w w:val="105"/>
        </w:rPr>
        <w:t>los</w:t>
      </w:r>
      <w:r>
        <w:rPr>
          <w:color w:val="231F20"/>
          <w:spacing w:val="-28"/>
          <w:w w:val="105"/>
        </w:rPr>
        <w:t> </w:t>
      </w:r>
      <w:r>
        <w:rPr>
          <w:color w:val="231F20"/>
          <w:w w:val="105"/>
        </w:rPr>
        <w:t>sectores</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servicios</w:t>
      </w:r>
      <w:r>
        <w:rPr>
          <w:color w:val="231F20"/>
          <w:spacing w:val="-28"/>
          <w:w w:val="105"/>
        </w:rPr>
        <w:t> </w:t>
      </w:r>
      <w:r>
        <w:rPr>
          <w:color w:val="231F20"/>
          <w:w w:val="105"/>
        </w:rPr>
        <w:t>y</w:t>
      </w:r>
      <w:r>
        <w:rPr>
          <w:color w:val="231F20"/>
          <w:spacing w:val="-28"/>
          <w:w w:val="105"/>
        </w:rPr>
        <w:t> </w:t>
      </w:r>
      <w:r>
        <w:rPr>
          <w:color w:val="231F20"/>
          <w:w w:val="105"/>
        </w:rPr>
        <w:t>la</w:t>
      </w:r>
      <w:r>
        <w:rPr>
          <w:color w:val="231F20"/>
          <w:spacing w:val="-28"/>
          <w:w w:val="105"/>
        </w:rPr>
        <w:t> </w:t>
      </w:r>
      <w:r>
        <w:rPr>
          <w:color w:val="231F20"/>
          <w:w w:val="105"/>
        </w:rPr>
        <w:t>construcción.</w:t>
      </w:r>
      <w:r>
        <w:rPr>
          <w:color w:val="231F20"/>
          <w:w w:val="103"/>
        </w:rPr>
        <w:t> </w:t>
      </w:r>
      <w:r>
        <w:rPr>
          <w:color w:val="231F20"/>
          <w:w w:val="105"/>
        </w:rPr>
        <w:t>Las descripciones detalladas contenidas en las narrativas</w:t>
      </w:r>
      <w:r>
        <w:rPr>
          <w:color w:val="231F20"/>
          <w:spacing w:val="28"/>
          <w:w w:val="105"/>
        </w:rPr>
        <w:t> </w:t>
      </w:r>
      <w:r>
        <w:rPr>
          <w:color w:val="231F20"/>
          <w:w w:val="105"/>
        </w:rPr>
        <w:t>permi-</w:t>
      </w:r>
    </w:p>
    <w:p>
      <w:pPr>
        <w:pStyle w:val="BodyText"/>
        <w:spacing w:line="261" w:lineRule="auto"/>
        <w:ind w:left="1723" w:right="1834"/>
        <w:jc w:val="both"/>
      </w:pPr>
      <w:r>
        <w:rPr>
          <w:color w:val="231F20"/>
          <w:w w:val="105"/>
        </w:rPr>
        <w:t>ten</w:t>
      </w:r>
      <w:r>
        <w:rPr>
          <w:color w:val="231F20"/>
          <w:spacing w:val="-13"/>
          <w:w w:val="105"/>
        </w:rPr>
        <w:t> </w:t>
      </w:r>
      <w:r>
        <w:rPr>
          <w:color w:val="231F20"/>
          <w:w w:val="105"/>
        </w:rPr>
        <w:t>identificar</w:t>
      </w:r>
      <w:r>
        <w:rPr>
          <w:color w:val="231F20"/>
          <w:spacing w:val="-13"/>
          <w:w w:val="105"/>
        </w:rPr>
        <w:t> </w:t>
      </w:r>
      <w:r>
        <w:rPr>
          <w:color w:val="231F20"/>
          <w:w w:val="105"/>
        </w:rPr>
        <w:t>cómo</w:t>
      </w:r>
      <w:r>
        <w:rPr>
          <w:color w:val="231F20"/>
          <w:spacing w:val="-13"/>
          <w:w w:val="105"/>
        </w:rPr>
        <w:t> </w:t>
      </w:r>
      <w:r>
        <w:rPr>
          <w:color w:val="231F20"/>
          <w:w w:val="105"/>
        </w:rPr>
        <w:t>las</w:t>
      </w:r>
      <w:r>
        <w:rPr>
          <w:color w:val="231F20"/>
          <w:spacing w:val="-13"/>
          <w:w w:val="105"/>
        </w:rPr>
        <w:t> </w:t>
      </w:r>
      <w:r>
        <w:rPr>
          <w:color w:val="231F20"/>
          <w:w w:val="105"/>
        </w:rPr>
        <w:t>experiencias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inmigrantes</w:t>
      </w:r>
      <w:r>
        <w:rPr>
          <w:color w:val="231F20"/>
          <w:spacing w:val="-12"/>
          <w:w w:val="105"/>
        </w:rPr>
        <w:t> </w:t>
      </w:r>
      <w:r>
        <w:rPr>
          <w:color w:val="231F20"/>
          <w:w w:val="105"/>
        </w:rPr>
        <w:t>son</w:t>
      </w:r>
      <w:r>
        <w:rPr>
          <w:color w:val="231F20"/>
          <w:spacing w:val="-13"/>
          <w:w w:val="105"/>
        </w:rPr>
        <w:t> </w:t>
      </w:r>
      <w:r>
        <w:rPr>
          <w:rFonts w:ascii="Arial" w:hAnsi="Arial"/>
          <w:i/>
          <w:color w:val="231F20"/>
          <w:w w:val="105"/>
        </w:rPr>
        <w:t>movilizadas </w:t>
      </w:r>
      <w:r>
        <w:rPr>
          <w:color w:val="231F20"/>
          <w:w w:val="105"/>
        </w:rPr>
        <w:t>(Savage,</w:t>
      </w:r>
      <w:r>
        <w:rPr>
          <w:color w:val="231F20"/>
          <w:spacing w:val="-40"/>
          <w:w w:val="105"/>
        </w:rPr>
        <w:t> </w:t>
      </w:r>
      <w:r>
        <w:rPr>
          <w:color w:val="231F20"/>
          <w:w w:val="105"/>
        </w:rPr>
        <w:t>2009;</w:t>
      </w:r>
      <w:r>
        <w:rPr>
          <w:color w:val="231F20"/>
          <w:spacing w:val="-37"/>
          <w:w w:val="105"/>
        </w:rPr>
        <w:t> </w:t>
      </w:r>
      <w:r>
        <w:rPr>
          <w:color w:val="231F20"/>
          <w:w w:val="105"/>
        </w:rPr>
        <w:t>Fincham,</w:t>
      </w:r>
      <w:r>
        <w:rPr>
          <w:color w:val="231F20"/>
          <w:spacing w:val="-40"/>
          <w:w w:val="105"/>
        </w:rPr>
        <w:t> </w:t>
      </w:r>
      <w:r>
        <w:rPr>
          <w:rFonts w:ascii="Arial" w:hAnsi="Arial"/>
          <w:i/>
          <w:color w:val="231F20"/>
          <w:w w:val="105"/>
        </w:rPr>
        <w:t>et</w:t>
      </w:r>
      <w:r>
        <w:rPr>
          <w:rFonts w:ascii="Arial" w:hAnsi="Arial"/>
          <w:i/>
          <w:color w:val="231F20"/>
          <w:spacing w:val="-39"/>
          <w:w w:val="105"/>
        </w:rPr>
        <w:t> </w:t>
      </w:r>
      <w:r>
        <w:rPr>
          <w:rFonts w:ascii="Arial" w:hAnsi="Arial"/>
          <w:i/>
          <w:color w:val="231F20"/>
          <w:w w:val="105"/>
        </w:rPr>
        <w:t>al.,</w:t>
      </w:r>
      <w:r>
        <w:rPr>
          <w:rFonts w:ascii="Arial" w:hAnsi="Arial"/>
          <w:i/>
          <w:color w:val="231F20"/>
          <w:spacing w:val="-39"/>
          <w:w w:val="105"/>
        </w:rPr>
        <w:t> </w:t>
      </w:r>
      <w:r>
        <w:rPr>
          <w:color w:val="231F20"/>
          <w:w w:val="105"/>
        </w:rPr>
        <w:t>2010);</w:t>
      </w:r>
      <w:r>
        <w:rPr>
          <w:color w:val="231F20"/>
          <w:spacing w:val="-37"/>
          <w:w w:val="105"/>
        </w:rPr>
        <w:t> </w:t>
      </w:r>
      <w:r>
        <w:rPr>
          <w:color w:val="231F20"/>
          <w:w w:val="105"/>
        </w:rPr>
        <w:t>cómo</w:t>
      </w:r>
      <w:r>
        <w:rPr>
          <w:color w:val="231F20"/>
          <w:spacing w:val="-37"/>
          <w:w w:val="105"/>
        </w:rPr>
        <w:t> </w:t>
      </w:r>
      <w:r>
        <w:rPr>
          <w:color w:val="231F20"/>
          <w:w w:val="105"/>
        </w:rPr>
        <w:t>los</w:t>
      </w:r>
      <w:r>
        <w:rPr>
          <w:color w:val="231F20"/>
          <w:spacing w:val="-37"/>
          <w:w w:val="105"/>
        </w:rPr>
        <w:t> </w:t>
      </w:r>
      <w:r>
        <w:rPr>
          <w:color w:val="231F20"/>
          <w:w w:val="105"/>
        </w:rPr>
        <w:t>arreglos</w:t>
      </w:r>
      <w:r>
        <w:rPr>
          <w:color w:val="231F20"/>
          <w:spacing w:val="-37"/>
          <w:w w:val="105"/>
        </w:rPr>
        <w:t> </w:t>
      </w:r>
      <w:r>
        <w:rPr>
          <w:color w:val="231F20"/>
          <w:w w:val="105"/>
        </w:rPr>
        <w:t>para</w:t>
      </w:r>
      <w:r>
        <w:rPr>
          <w:color w:val="231F20"/>
          <w:spacing w:val="-37"/>
          <w:w w:val="105"/>
        </w:rPr>
        <w:t> </w:t>
      </w:r>
      <w:r>
        <w:rPr>
          <w:color w:val="231F20"/>
          <w:w w:val="105"/>
        </w:rPr>
        <w:t>desplazarse a</w:t>
      </w:r>
      <w:r>
        <w:rPr>
          <w:color w:val="231F20"/>
          <w:spacing w:val="-15"/>
          <w:w w:val="105"/>
        </w:rPr>
        <w:t> </w:t>
      </w:r>
      <w:r>
        <w:rPr>
          <w:color w:val="231F20"/>
          <w:w w:val="105"/>
        </w:rPr>
        <w:t>través</w:t>
      </w:r>
      <w:r>
        <w:rPr>
          <w:color w:val="231F20"/>
          <w:spacing w:val="-15"/>
          <w:w w:val="105"/>
        </w:rPr>
        <w:t> </w:t>
      </w:r>
      <w:r>
        <w:rPr>
          <w:color w:val="231F20"/>
          <w:w w:val="105"/>
        </w:rPr>
        <w:t>de</w:t>
      </w:r>
      <w:r>
        <w:rPr>
          <w:color w:val="231F20"/>
          <w:spacing w:val="-15"/>
          <w:w w:val="105"/>
        </w:rPr>
        <w:t> </w:t>
      </w:r>
      <w:r>
        <w:rPr>
          <w:color w:val="231F20"/>
          <w:w w:val="105"/>
        </w:rPr>
        <w:t>diversos</w:t>
      </w:r>
      <w:r>
        <w:rPr>
          <w:color w:val="231F20"/>
          <w:spacing w:val="-15"/>
          <w:w w:val="105"/>
        </w:rPr>
        <w:t> </w:t>
      </w:r>
      <w:r>
        <w:rPr>
          <w:color w:val="231F20"/>
          <w:w w:val="105"/>
        </w:rPr>
        <w:t>lugares</w:t>
      </w:r>
      <w:r>
        <w:rPr>
          <w:color w:val="231F20"/>
          <w:spacing w:val="-15"/>
          <w:w w:val="105"/>
        </w:rPr>
        <w:t> </w:t>
      </w:r>
      <w:r>
        <w:rPr>
          <w:color w:val="231F20"/>
          <w:w w:val="105"/>
        </w:rPr>
        <w:t>se</w:t>
      </w:r>
      <w:r>
        <w:rPr>
          <w:color w:val="231F20"/>
          <w:spacing w:val="-15"/>
          <w:w w:val="105"/>
        </w:rPr>
        <w:t> </w:t>
      </w:r>
      <w:r>
        <w:rPr>
          <w:color w:val="231F20"/>
          <w:w w:val="105"/>
        </w:rPr>
        <w:t>relacionan</w:t>
      </w:r>
      <w:r>
        <w:rPr>
          <w:color w:val="231F20"/>
          <w:spacing w:val="-15"/>
          <w:w w:val="105"/>
        </w:rPr>
        <w:t> </w:t>
      </w:r>
      <w:r>
        <w:rPr>
          <w:color w:val="231F20"/>
          <w:w w:val="105"/>
        </w:rPr>
        <w:t>con</w:t>
      </w:r>
      <w:r>
        <w:rPr>
          <w:color w:val="231F20"/>
          <w:spacing w:val="-15"/>
          <w:w w:val="105"/>
        </w:rPr>
        <w:t> </w:t>
      </w:r>
      <w:r>
        <w:rPr>
          <w:color w:val="231F20"/>
          <w:w w:val="105"/>
        </w:rPr>
        <w:t>variados</w:t>
      </w:r>
      <w:r>
        <w:rPr>
          <w:color w:val="231F20"/>
          <w:spacing w:val="-15"/>
          <w:w w:val="105"/>
        </w:rPr>
        <w:t> </w:t>
      </w:r>
      <w:r>
        <w:rPr>
          <w:color w:val="231F20"/>
          <w:w w:val="105"/>
        </w:rPr>
        <w:t>procesos</w:t>
      </w:r>
      <w:r>
        <w:rPr>
          <w:color w:val="231F20"/>
          <w:spacing w:val="-15"/>
          <w:w w:val="105"/>
        </w:rPr>
        <w:t> </w:t>
      </w:r>
      <w:r>
        <w:rPr>
          <w:color w:val="231F20"/>
          <w:w w:val="105"/>
        </w:rPr>
        <w:t>vitales e históricos. Es decir, cómo se intersectan los eventos de las</w:t>
      </w:r>
      <w:r>
        <w:rPr>
          <w:color w:val="231F20"/>
          <w:spacing w:val="-40"/>
          <w:w w:val="105"/>
        </w:rPr>
        <w:t> </w:t>
      </w:r>
      <w:r>
        <w:rPr>
          <w:color w:val="231F20"/>
          <w:w w:val="105"/>
        </w:rPr>
        <w:t>biografías personales</w:t>
      </w:r>
      <w:r>
        <w:rPr>
          <w:color w:val="231F20"/>
          <w:spacing w:val="-8"/>
          <w:w w:val="105"/>
        </w:rPr>
        <w:t> </w:t>
      </w:r>
      <w:r>
        <w:rPr>
          <w:color w:val="231F20"/>
          <w:w w:val="105"/>
        </w:rPr>
        <w:t>con</w:t>
      </w:r>
      <w:r>
        <w:rPr>
          <w:color w:val="231F20"/>
          <w:spacing w:val="-8"/>
          <w:w w:val="105"/>
        </w:rPr>
        <w:t> </w:t>
      </w:r>
      <w:r>
        <w:rPr>
          <w:color w:val="231F20"/>
          <w:w w:val="105"/>
        </w:rPr>
        <w:t>los</w:t>
      </w:r>
      <w:r>
        <w:rPr>
          <w:color w:val="231F20"/>
          <w:spacing w:val="-8"/>
          <w:w w:val="105"/>
        </w:rPr>
        <w:t> </w:t>
      </w:r>
      <w:r>
        <w:rPr>
          <w:color w:val="231F20"/>
          <w:w w:val="105"/>
        </w:rPr>
        <w:t>acontecimientos</w:t>
      </w:r>
      <w:r>
        <w:rPr>
          <w:color w:val="231F20"/>
          <w:spacing w:val="-8"/>
          <w:w w:val="105"/>
        </w:rPr>
        <w:t> </w:t>
      </w:r>
      <w:r>
        <w:rPr>
          <w:color w:val="231F20"/>
          <w:w w:val="105"/>
        </w:rPr>
        <w:t>o</w:t>
      </w:r>
      <w:r>
        <w:rPr>
          <w:color w:val="231F20"/>
          <w:spacing w:val="-8"/>
          <w:w w:val="105"/>
        </w:rPr>
        <w:t> </w:t>
      </w:r>
      <w:r>
        <w:rPr>
          <w:color w:val="231F20"/>
          <w:w w:val="105"/>
        </w:rPr>
        <w:t>hechos</w:t>
      </w:r>
      <w:r>
        <w:rPr>
          <w:color w:val="231F20"/>
          <w:spacing w:val="-8"/>
          <w:w w:val="105"/>
        </w:rPr>
        <w:t> </w:t>
      </w:r>
      <w:r>
        <w:rPr>
          <w:color w:val="231F20"/>
          <w:w w:val="105"/>
        </w:rPr>
        <w:t>histórico-estructurales.</w:t>
      </w:r>
      <w:r>
        <w:rPr>
          <w:color w:val="231F20"/>
          <w:spacing w:val="-13"/>
          <w:w w:val="105"/>
        </w:rPr>
        <w:t> </w:t>
      </w:r>
      <w:r>
        <w:rPr>
          <w:color w:val="231F20"/>
          <w:w w:val="105"/>
        </w:rPr>
        <w:t>El motivo</w:t>
      </w:r>
      <w:r>
        <w:rPr>
          <w:color w:val="231F20"/>
          <w:spacing w:val="-20"/>
          <w:w w:val="105"/>
        </w:rPr>
        <w:t> </w:t>
      </w:r>
      <w:r>
        <w:rPr>
          <w:color w:val="231F20"/>
          <w:w w:val="105"/>
        </w:rPr>
        <w:t>del</w:t>
      </w:r>
      <w:r>
        <w:rPr>
          <w:color w:val="231F20"/>
          <w:spacing w:val="-20"/>
          <w:w w:val="105"/>
        </w:rPr>
        <w:t> </w:t>
      </w:r>
      <w:r>
        <w:rPr>
          <w:color w:val="231F20"/>
          <w:w w:val="105"/>
        </w:rPr>
        <w:t>retorno</w:t>
      </w:r>
      <w:r>
        <w:rPr>
          <w:color w:val="231F20"/>
          <w:spacing w:val="-20"/>
          <w:w w:val="105"/>
        </w:rPr>
        <w:t> </w:t>
      </w:r>
      <w:r>
        <w:rPr>
          <w:color w:val="231F20"/>
          <w:w w:val="105"/>
        </w:rPr>
        <w:t>en</w:t>
      </w:r>
      <w:r>
        <w:rPr>
          <w:color w:val="231F20"/>
          <w:spacing w:val="-20"/>
          <w:w w:val="105"/>
        </w:rPr>
        <w:t> </w:t>
      </w:r>
      <w:r>
        <w:rPr>
          <w:color w:val="231F20"/>
          <w:w w:val="105"/>
        </w:rPr>
        <w:t>todos</w:t>
      </w:r>
      <w:r>
        <w:rPr>
          <w:color w:val="231F20"/>
          <w:spacing w:val="-20"/>
          <w:w w:val="105"/>
        </w:rPr>
        <w:t> </w:t>
      </w:r>
      <w:r>
        <w:rPr>
          <w:color w:val="231F20"/>
          <w:w w:val="105"/>
        </w:rPr>
        <w:t>los</w:t>
      </w:r>
      <w:r>
        <w:rPr>
          <w:color w:val="231F20"/>
          <w:spacing w:val="-20"/>
          <w:w w:val="105"/>
        </w:rPr>
        <w:t> </w:t>
      </w:r>
      <w:r>
        <w:rPr>
          <w:color w:val="231F20"/>
          <w:w w:val="105"/>
        </w:rPr>
        <w:t>casos</w:t>
      </w:r>
      <w:r>
        <w:rPr>
          <w:color w:val="231F20"/>
          <w:spacing w:val="-20"/>
          <w:w w:val="105"/>
        </w:rPr>
        <w:t> </w:t>
      </w:r>
      <w:r>
        <w:rPr>
          <w:color w:val="231F20"/>
          <w:w w:val="105"/>
        </w:rPr>
        <w:t>entrecruza</w:t>
      </w:r>
      <w:r>
        <w:rPr>
          <w:color w:val="231F20"/>
          <w:spacing w:val="-20"/>
          <w:w w:val="105"/>
        </w:rPr>
        <w:t> </w:t>
      </w:r>
      <w:r>
        <w:rPr>
          <w:color w:val="231F20"/>
          <w:w w:val="105"/>
        </w:rPr>
        <w:t>la</w:t>
      </w:r>
      <w:r>
        <w:rPr>
          <w:color w:val="231F20"/>
          <w:spacing w:val="-20"/>
          <w:w w:val="105"/>
        </w:rPr>
        <w:t> </w:t>
      </w:r>
      <w:r>
        <w:rPr>
          <w:color w:val="231F20"/>
          <w:w w:val="105"/>
        </w:rPr>
        <w:t>muerte</w:t>
      </w:r>
      <w:r>
        <w:rPr>
          <w:color w:val="231F20"/>
          <w:spacing w:val="-20"/>
          <w:w w:val="105"/>
        </w:rPr>
        <w:t> </w:t>
      </w:r>
      <w:r>
        <w:rPr>
          <w:color w:val="231F20"/>
          <w:w w:val="105"/>
        </w:rPr>
        <w:t>o</w:t>
      </w:r>
      <w:r>
        <w:rPr>
          <w:color w:val="231F20"/>
          <w:spacing w:val="-20"/>
          <w:w w:val="105"/>
        </w:rPr>
        <w:t> </w:t>
      </w:r>
      <w:r>
        <w:rPr>
          <w:color w:val="231F20"/>
          <w:w w:val="105"/>
        </w:rPr>
        <w:t>enfermedad de un familiar inmediato, la sensación de haber cumplido con una</w:t>
      </w:r>
      <w:r>
        <w:rPr>
          <w:color w:val="231F20"/>
          <w:spacing w:val="-38"/>
          <w:w w:val="105"/>
        </w:rPr>
        <w:t> </w:t>
      </w:r>
      <w:r>
        <w:rPr>
          <w:color w:val="231F20"/>
          <w:w w:val="105"/>
        </w:rPr>
        <w:t>meta o proyecto migratorio –en el nivel individual–, aunado con la escases de empleo, la inseguridad laboral debido a la contratación temporal, cier- ta informalidad y a la vez bajos salarios, el incremento de las deudas económicas y la carestía que se relacionan a su vez con la crisis de</w:t>
      </w:r>
      <w:r>
        <w:rPr>
          <w:color w:val="231F20"/>
          <w:spacing w:val="-24"/>
          <w:w w:val="105"/>
        </w:rPr>
        <w:t> </w:t>
      </w:r>
      <w:r>
        <w:rPr>
          <w:color w:val="231F20"/>
          <w:w w:val="105"/>
        </w:rPr>
        <w:t>los mercados de trabajo internacionales. En este sentido, la exacerbación de las medidas de control migratorio no sólo en la frontera, sino en las ciudades alejadas de ésta han tenido como consecuencia un sinfín de deportaciones y devoluciones, así como la creciente criminalización de los</w:t>
      </w:r>
      <w:r>
        <w:rPr>
          <w:color w:val="231F20"/>
          <w:spacing w:val="-25"/>
          <w:w w:val="105"/>
        </w:rPr>
        <w:t> </w:t>
      </w:r>
      <w:r>
        <w:rPr>
          <w:color w:val="231F20"/>
          <w:w w:val="105"/>
        </w:rPr>
        <w:t>inmigrantes</w:t>
      </w:r>
      <w:r>
        <w:rPr>
          <w:color w:val="231F20"/>
          <w:spacing w:val="-25"/>
          <w:w w:val="105"/>
        </w:rPr>
        <w:t> </w:t>
      </w:r>
      <w:r>
        <w:rPr>
          <w:color w:val="231F20"/>
          <w:w w:val="105"/>
        </w:rPr>
        <w:t>sin</w:t>
      </w:r>
      <w:r>
        <w:rPr>
          <w:color w:val="231F20"/>
          <w:spacing w:val="-25"/>
          <w:w w:val="105"/>
        </w:rPr>
        <w:t> </w:t>
      </w:r>
      <w:r>
        <w:rPr>
          <w:color w:val="231F20"/>
          <w:w w:val="105"/>
        </w:rPr>
        <w:t>documentos.</w:t>
      </w:r>
      <w:r>
        <w:rPr>
          <w:color w:val="231F20"/>
          <w:spacing w:val="-29"/>
          <w:w w:val="105"/>
        </w:rPr>
        <w:t> </w:t>
      </w:r>
      <w:r>
        <w:rPr>
          <w:color w:val="231F20"/>
          <w:spacing w:val="-6"/>
          <w:w w:val="105"/>
        </w:rPr>
        <w:t>Por</w:t>
      </w:r>
      <w:r>
        <w:rPr>
          <w:color w:val="231F20"/>
          <w:spacing w:val="-25"/>
          <w:w w:val="105"/>
        </w:rPr>
        <w:t> </w:t>
      </w:r>
      <w:r>
        <w:rPr>
          <w:color w:val="231F20"/>
          <w:w w:val="105"/>
        </w:rPr>
        <w:t>lo</w:t>
      </w:r>
      <w:r>
        <w:rPr>
          <w:color w:val="231F20"/>
          <w:spacing w:val="-25"/>
          <w:w w:val="105"/>
        </w:rPr>
        <w:t> </w:t>
      </w:r>
      <w:r>
        <w:rPr>
          <w:color w:val="231F20"/>
          <w:w w:val="105"/>
        </w:rPr>
        <w:t>que</w:t>
      </w:r>
      <w:r>
        <w:rPr>
          <w:color w:val="231F20"/>
          <w:spacing w:val="-25"/>
          <w:w w:val="105"/>
        </w:rPr>
        <w:t> </w:t>
      </w:r>
      <w:r>
        <w:rPr>
          <w:color w:val="231F20"/>
          <w:w w:val="105"/>
        </w:rPr>
        <w:t>no</w:t>
      </w:r>
      <w:r>
        <w:rPr>
          <w:color w:val="231F20"/>
          <w:spacing w:val="-25"/>
          <w:w w:val="105"/>
        </w:rPr>
        <w:t> </w:t>
      </w:r>
      <w:r>
        <w:rPr>
          <w:color w:val="231F20"/>
          <w:w w:val="105"/>
        </w:rPr>
        <w:t>es</w:t>
      </w:r>
      <w:r>
        <w:rPr>
          <w:color w:val="231F20"/>
          <w:spacing w:val="-25"/>
          <w:w w:val="105"/>
        </w:rPr>
        <w:t> </w:t>
      </w:r>
      <w:r>
        <w:rPr>
          <w:color w:val="231F20"/>
          <w:w w:val="105"/>
        </w:rPr>
        <w:t>casual</w:t>
      </w:r>
      <w:r>
        <w:rPr>
          <w:color w:val="231F20"/>
          <w:spacing w:val="-25"/>
          <w:w w:val="105"/>
        </w:rPr>
        <w:t> </w:t>
      </w:r>
      <w:r>
        <w:rPr>
          <w:color w:val="231F20"/>
          <w:w w:val="105"/>
        </w:rPr>
        <w:t>que</w:t>
      </w:r>
      <w:r>
        <w:rPr>
          <w:color w:val="231F20"/>
          <w:spacing w:val="-25"/>
          <w:w w:val="105"/>
        </w:rPr>
        <w:t> </w:t>
      </w:r>
      <w:r>
        <w:rPr>
          <w:color w:val="231F20"/>
          <w:w w:val="105"/>
        </w:rPr>
        <w:t>en</w:t>
      </w:r>
      <w:r>
        <w:rPr>
          <w:color w:val="231F20"/>
          <w:spacing w:val="-25"/>
          <w:w w:val="105"/>
        </w:rPr>
        <w:t> </w:t>
      </w:r>
      <w:r>
        <w:rPr>
          <w:color w:val="231F20"/>
          <w:w w:val="105"/>
        </w:rPr>
        <w:t>las</w:t>
      </w:r>
      <w:r>
        <w:rPr>
          <w:color w:val="231F20"/>
          <w:spacing w:val="-25"/>
          <w:w w:val="105"/>
        </w:rPr>
        <w:t> </w:t>
      </w:r>
      <w:r>
        <w:rPr>
          <w:color w:val="231F20"/>
          <w:w w:val="105"/>
        </w:rPr>
        <w:t>cuatro viñetas se observe como constante la baja circularidad migratoria</w:t>
      </w:r>
      <w:r>
        <w:rPr>
          <w:color w:val="231F20"/>
          <w:spacing w:val="-32"/>
          <w:w w:val="105"/>
        </w:rPr>
        <w:t> </w:t>
      </w:r>
      <w:r>
        <w:rPr>
          <w:color w:val="231F20"/>
          <w:w w:val="105"/>
        </w:rPr>
        <w:t>entre México</w:t>
      </w:r>
      <w:r>
        <w:rPr>
          <w:color w:val="231F20"/>
          <w:spacing w:val="-29"/>
          <w:w w:val="105"/>
        </w:rPr>
        <w:t> </w:t>
      </w:r>
      <w:r>
        <w:rPr>
          <w:color w:val="231F20"/>
          <w:w w:val="105"/>
        </w:rPr>
        <w:t>y</w:t>
      </w:r>
      <w:r>
        <w:rPr>
          <w:color w:val="231F20"/>
          <w:spacing w:val="-29"/>
          <w:w w:val="105"/>
        </w:rPr>
        <w:t> </w:t>
      </w:r>
      <w:r>
        <w:rPr>
          <w:color w:val="231F20"/>
          <w:w w:val="105"/>
        </w:rPr>
        <w:t>Estados</w:t>
      </w:r>
      <w:r>
        <w:rPr>
          <w:color w:val="231F20"/>
          <w:spacing w:val="-29"/>
          <w:w w:val="105"/>
        </w:rPr>
        <w:t> </w:t>
      </w:r>
      <w:r>
        <w:rPr>
          <w:color w:val="231F20"/>
          <w:w w:val="105"/>
        </w:rPr>
        <w:t>Unidos,</w:t>
      </w:r>
      <w:r>
        <w:rPr>
          <w:color w:val="231F20"/>
          <w:spacing w:val="-33"/>
          <w:w w:val="105"/>
        </w:rPr>
        <w:t> </w:t>
      </w:r>
      <w:r>
        <w:rPr>
          <w:color w:val="231F20"/>
          <w:w w:val="105"/>
        </w:rPr>
        <w:t>la</w:t>
      </w:r>
      <w:r>
        <w:rPr>
          <w:color w:val="231F20"/>
          <w:spacing w:val="-29"/>
          <w:w w:val="105"/>
        </w:rPr>
        <w:t> </w:t>
      </w:r>
      <w:r>
        <w:rPr>
          <w:color w:val="231F20"/>
          <w:w w:val="105"/>
        </w:rPr>
        <w:t>realización</w:t>
      </w:r>
      <w:r>
        <w:rPr>
          <w:color w:val="231F20"/>
          <w:spacing w:val="-29"/>
          <w:w w:val="105"/>
        </w:rPr>
        <w:t> </w:t>
      </w:r>
      <w:r>
        <w:rPr>
          <w:color w:val="231F20"/>
          <w:w w:val="105"/>
        </w:rPr>
        <w:t>de</w:t>
      </w:r>
      <w:r>
        <w:rPr>
          <w:color w:val="231F20"/>
          <w:spacing w:val="-29"/>
          <w:w w:val="105"/>
        </w:rPr>
        <w:t> </w:t>
      </w:r>
      <w:r>
        <w:rPr>
          <w:color w:val="231F20"/>
          <w:w w:val="105"/>
        </w:rPr>
        <w:t>estadías</w:t>
      </w:r>
      <w:r>
        <w:rPr>
          <w:color w:val="231F20"/>
          <w:spacing w:val="-29"/>
          <w:w w:val="105"/>
        </w:rPr>
        <w:t> </w:t>
      </w:r>
      <w:r>
        <w:rPr>
          <w:color w:val="231F20"/>
          <w:w w:val="105"/>
        </w:rPr>
        <w:t>largas</w:t>
      </w:r>
      <w:r>
        <w:rPr>
          <w:color w:val="231F20"/>
          <w:spacing w:val="-29"/>
          <w:w w:val="105"/>
        </w:rPr>
        <w:t> </w:t>
      </w:r>
      <w:r>
        <w:rPr>
          <w:color w:val="231F20"/>
          <w:w w:val="105"/>
        </w:rPr>
        <w:t>en</w:t>
      </w:r>
      <w:r>
        <w:rPr>
          <w:color w:val="231F20"/>
          <w:spacing w:val="-29"/>
          <w:w w:val="105"/>
        </w:rPr>
        <w:t> </w:t>
      </w:r>
      <w:r>
        <w:rPr>
          <w:color w:val="231F20"/>
          <w:w w:val="105"/>
        </w:rPr>
        <w:t>aquél</w:t>
      </w:r>
      <w:r>
        <w:rPr>
          <w:color w:val="231F20"/>
          <w:spacing w:val="-29"/>
          <w:w w:val="105"/>
        </w:rPr>
        <w:t> </w:t>
      </w:r>
      <w:r>
        <w:rPr>
          <w:color w:val="231F20"/>
          <w:w w:val="105"/>
        </w:rPr>
        <w:t>país</w:t>
      </w:r>
      <w:r>
        <w:rPr>
          <w:color w:val="231F20"/>
          <w:spacing w:val="-29"/>
          <w:w w:val="105"/>
        </w:rPr>
        <w:t> </w:t>
      </w:r>
      <w:r>
        <w:rPr>
          <w:color w:val="231F20"/>
          <w:w w:val="105"/>
        </w:rPr>
        <w:t>y dificultades para</w:t>
      </w:r>
      <w:r>
        <w:rPr>
          <w:color w:val="231F20"/>
          <w:spacing w:val="-45"/>
          <w:w w:val="105"/>
        </w:rPr>
        <w:t> </w:t>
      </w:r>
      <w:r>
        <w:rPr>
          <w:color w:val="231F20"/>
          <w:w w:val="105"/>
        </w:rPr>
        <w:t>reemigrar.</w:t>
      </w:r>
    </w:p>
    <w:p>
      <w:pPr>
        <w:pStyle w:val="BodyText"/>
        <w:spacing w:line="261" w:lineRule="auto" w:before="1"/>
        <w:ind w:left="1723" w:right="1834" w:firstLine="567"/>
        <w:jc w:val="both"/>
      </w:pPr>
      <w:r>
        <w:rPr>
          <w:color w:val="231F20"/>
          <w:w w:val="105"/>
        </w:rPr>
        <w:t>El objetivo de este último apartado no es estabilizar la experien- cia</w:t>
      </w:r>
      <w:r>
        <w:rPr>
          <w:color w:val="231F20"/>
          <w:spacing w:val="-5"/>
          <w:w w:val="105"/>
        </w:rPr>
        <w:t> </w:t>
      </w:r>
      <w:r>
        <w:rPr>
          <w:color w:val="231F20"/>
          <w:w w:val="105"/>
        </w:rPr>
        <w:t>migratoria</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sentido</w:t>
      </w:r>
      <w:r>
        <w:rPr>
          <w:color w:val="231F20"/>
          <w:spacing w:val="-5"/>
          <w:w w:val="105"/>
        </w:rPr>
        <w:t> </w:t>
      </w:r>
      <w:r>
        <w:rPr>
          <w:color w:val="231F20"/>
          <w:w w:val="105"/>
        </w:rPr>
        <w:t>de</w:t>
      </w:r>
      <w:r>
        <w:rPr>
          <w:color w:val="231F20"/>
          <w:spacing w:val="-5"/>
          <w:w w:val="105"/>
        </w:rPr>
        <w:t> </w:t>
      </w:r>
      <w:r>
        <w:rPr>
          <w:color w:val="231F20"/>
          <w:w w:val="105"/>
        </w:rPr>
        <w:t>observar</w:t>
      </w:r>
      <w:r>
        <w:rPr>
          <w:color w:val="231F20"/>
          <w:spacing w:val="-5"/>
          <w:w w:val="105"/>
        </w:rPr>
        <w:t> </w:t>
      </w:r>
      <w:r>
        <w:rPr>
          <w:color w:val="231F20"/>
          <w:w w:val="105"/>
        </w:rPr>
        <w:t>sólo</w:t>
      </w:r>
      <w:r>
        <w:rPr>
          <w:color w:val="231F20"/>
          <w:spacing w:val="-5"/>
          <w:w w:val="105"/>
        </w:rPr>
        <w:t> </w:t>
      </w:r>
      <w:r>
        <w:rPr>
          <w:color w:val="231F20"/>
          <w:w w:val="105"/>
        </w:rPr>
        <w:t>las</w:t>
      </w:r>
      <w:r>
        <w:rPr>
          <w:color w:val="231F20"/>
          <w:spacing w:val="-5"/>
          <w:w w:val="105"/>
        </w:rPr>
        <w:t> </w:t>
      </w:r>
      <w:r>
        <w:rPr>
          <w:color w:val="231F20"/>
          <w:w w:val="105"/>
        </w:rPr>
        <w:t>regularidades</w:t>
      </w:r>
      <w:r>
        <w:rPr>
          <w:color w:val="231F20"/>
          <w:spacing w:val="-5"/>
          <w:w w:val="105"/>
        </w:rPr>
        <w:t> </w:t>
      </w:r>
      <w:r>
        <w:rPr>
          <w:color w:val="231F20"/>
          <w:w w:val="105"/>
        </w:rPr>
        <w:t>entre</w:t>
      </w:r>
      <w:r>
        <w:rPr>
          <w:color w:val="231F20"/>
          <w:spacing w:val="-5"/>
          <w:w w:val="105"/>
        </w:rPr>
        <w:t> </w:t>
      </w:r>
      <w:r>
        <w:rPr>
          <w:color w:val="231F20"/>
          <w:w w:val="105"/>
        </w:rPr>
        <w:t>los casos,</w:t>
      </w:r>
      <w:r>
        <w:rPr>
          <w:color w:val="231F20"/>
          <w:spacing w:val="-20"/>
          <w:w w:val="105"/>
        </w:rPr>
        <w:t> </w:t>
      </w:r>
      <w:r>
        <w:rPr>
          <w:color w:val="231F20"/>
          <w:w w:val="105"/>
        </w:rPr>
        <w:t>sin</w:t>
      </w:r>
      <w:r>
        <w:rPr>
          <w:color w:val="231F20"/>
          <w:spacing w:val="-14"/>
          <w:w w:val="105"/>
        </w:rPr>
        <w:t> </w:t>
      </w:r>
      <w:r>
        <w:rPr>
          <w:color w:val="231F20"/>
          <w:w w:val="105"/>
        </w:rPr>
        <w:t>reconocer</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experiencia</w:t>
      </w:r>
      <w:r>
        <w:rPr>
          <w:color w:val="231F20"/>
          <w:spacing w:val="-14"/>
          <w:w w:val="105"/>
        </w:rPr>
        <w:t> </w:t>
      </w:r>
      <w:r>
        <w:rPr>
          <w:color w:val="231F20"/>
          <w:w w:val="105"/>
        </w:rPr>
        <w:t>vital</w:t>
      </w:r>
      <w:r>
        <w:rPr>
          <w:color w:val="231F20"/>
          <w:spacing w:val="-14"/>
          <w:w w:val="105"/>
        </w:rPr>
        <w:t> </w:t>
      </w:r>
      <w:r>
        <w:rPr>
          <w:color w:val="231F20"/>
          <w:w w:val="105"/>
        </w:rPr>
        <w:t>es</w:t>
      </w:r>
      <w:r>
        <w:rPr>
          <w:color w:val="231F20"/>
          <w:spacing w:val="-14"/>
          <w:w w:val="105"/>
        </w:rPr>
        <w:t> </w:t>
      </w:r>
      <w:r>
        <w:rPr>
          <w:color w:val="231F20"/>
          <w:w w:val="105"/>
        </w:rPr>
        <w:t>única</w:t>
      </w:r>
      <w:r>
        <w:rPr>
          <w:color w:val="231F20"/>
          <w:spacing w:val="-14"/>
          <w:w w:val="105"/>
        </w:rPr>
        <w:t> </w:t>
      </w:r>
      <w:r>
        <w:rPr>
          <w:color w:val="231F20"/>
          <w:w w:val="105"/>
        </w:rPr>
        <w:t>e</w:t>
      </w:r>
      <w:r>
        <w:rPr>
          <w:color w:val="231F20"/>
          <w:spacing w:val="-14"/>
          <w:w w:val="105"/>
        </w:rPr>
        <w:t> </w:t>
      </w:r>
      <w:r>
        <w:rPr>
          <w:color w:val="231F20"/>
          <w:w w:val="105"/>
        </w:rPr>
        <w:t>irrepetible.</w:t>
      </w:r>
      <w:r>
        <w:rPr>
          <w:color w:val="231F20"/>
          <w:spacing w:val="-19"/>
          <w:w w:val="105"/>
        </w:rPr>
        <w:t> </w:t>
      </w:r>
      <w:r>
        <w:rPr>
          <w:color w:val="231F20"/>
          <w:spacing w:val="-6"/>
          <w:w w:val="105"/>
        </w:rPr>
        <w:t>Por</w:t>
      </w:r>
      <w:r>
        <w:rPr>
          <w:color w:val="231F20"/>
          <w:spacing w:val="-14"/>
          <w:w w:val="105"/>
        </w:rPr>
        <w:t> </w:t>
      </w:r>
      <w:r>
        <w:rPr>
          <w:color w:val="231F20"/>
          <w:w w:val="105"/>
        </w:rPr>
        <w:t>el contrario,</w:t>
      </w:r>
      <w:r>
        <w:rPr>
          <w:color w:val="231F20"/>
          <w:spacing w:val="-14"/>
          <w:w w:val="105"/>
        </w:rPr>
        <w:t> </w:t>
      </w:r>
      <w:r>
        <w:rPr>
          <w:color w:val="231F20"/>
          <w:w w:val="105"/>
        </w:rPr>
        <w:t>identificar</w:t>
      </w:r>
      <w:r>
        <w:rPr>
          <w:color w:val="231F20"/>
          <w:spacing w:val="-9"/>
          <w:w w:val="105"/>
        </w:rPr>
        <w:t> </w:t>
      </w:r>
      <w:r>
        <w:rPr>
          <w:color w:val="231F20"/>
          <w:w w:val="105"/>
        </w:rPr>
        <w:t>algunos</w:t>
      </w:r>
      <w:r>
        <w:rPr>
          <w:color w:val="231F20"/>
          <w:spacing w:val="-9"/>
          <w:w w:val="105"/>
        </w:rPr>
        <w:t> </w:t>
      </w:r>
      <w:r>
        <w:rPr>
          <w:color w:val="231F20"/>
          <w:w w:val="105"/>
        </w:rPr>
        <w:t>de</w:t>
      </w:r>
      <w:r>
        <w:rPr>
          <w:color w:val="231F20"/>
          <w:spacing w:val="-9"/>
          <w:w w:val="105"/>
        </w:rPr>
        <w:t> </w:t>
      </w:r>
      <w:r>
        <w:rPr>
          <w:color w:val="231F20"/>
          <w:w w:val="105"/>
        </w:rPr>
        <w:t>esos</w:t>
      </w:r>
      <w:r>
        <w:rPr>
          <w:color w:val="231F20"/>
          <w:spacing w:val="-9"/>
          <w:w w:val="105"/>
        </w:rPr>
        <w:t> </w:t>
      </w:r>
      <w:r>
        <w:rPr>
          <w:color w:val="231F20"/>
          <w:w w:val="105"/>
        </w:rPr>
        <w:t>factores</w:t>
      </w:r>
      <w:r>
        <w:rPr>
          <w:color w:val="231F20"/>
          <w:spacing w:val="-9"/>
          <w:w w:val="105"/>
        </w:rPr>
        <w:t> </w:t>
      </w:r>
      <w:r>
        <w:rPr>
          <w:color w:val="231F20"/>
          <w:w w:val="105"/>
        </w:rPr>
        <w:t>concomitantes</w:t>
      </w:r>
      <w:r>
        <w:rPr>
          <w:color w:val="231F20"/>
          <w:spacing w:val="-9"/>
          <w:w w:val="105"/>
        </w:rPr>
        <w:t> </w:t>
      </w:r>
      <w:r>
        <w:rPr>
          <w:color w:val="231F20"/>
          <w:w w:val="105"/>
        </w:rPr>
        <w:t>hace</w:t>
      </w:r>
      <w:r>
        <w:rPr>
          <w:color w:val="231F20"/>
          <w:spacing w:val="-9"/>
          <w:w w:val="105"/>
        </w:rPr>
        <w:t> </w:t>
      </w:r>
      <w:r>
        <w:rPr>
          <w:color w:val="231F20"/>
          <w:w w:val="105"/>
        </w:rPr>
        <w:t>posi- ble</w:t>
      </w:r>
      <w:r>
        <w:rPr>
          <w:color w:val="231F20"/>
          <w:spacing w:val="-21"/>
          <w:w w:val="105"/>
        </w:rPr>
        <w:t> </w:t>
      </w:r>
      <w:r>
        <w:rPr>
          <w:color w:val="231F20"/>
          <w:w w:val="105"/>
        </w:rPr>
        <w:t>comprender</w:t>
      </w:r>
      <w:r>
        <w:rPr>
          <w:color w:val="231F20"/>
          <w:spacing w:val="-21"/>
          <w:w w:val="105"/>
        </w:rPr>
        <w:t> </w:t>
      </w:r>
      <w:r>
        <w:rPr>
          <w:color w:val="231F20"/>
          <w:w w:val="105"/>
        </w:rPr>
        <w:t>cómo</w:t>
      </w:r>
      <w:r>
        <w:rPr>
          <w:color w:val="231F20"/>
          <w:spacing w:val="-21"/>
          <w:w w:val="105"/>
        </w:rPr>
        <w:t> </w:t>
      </w:r>
      <w:r>
        <w:rPr>
          <w:color w:val="231F20"/>
          <w:w w:val="105"/>
        </w:rPr>
        <w:t>funciona</w:t>
      </w:r>
      <w:r>
        <w:rPr>
          <w:color w:val="231F20"/>
          <w:spacing w:val="-21"/>
          <w:w w:val="105"/>
        </w:rPr>
        <w:t> </w:t>
      </w:r>
      <w:r>
        <w:rPr>
          <w:color w:val="231F20"/>
          <w:w w:val="105"/>
        </w:rPr>
        <w:t>y</w:t>
      </w:r>
      <w:r>
        <w:rPr>
          <w:color w:val="231F20"/>
          <w:spacing w:val="-21"/>
          <w:w w:val="105"/>
        </w:rPr>
        <w:t> </w:t>
      </w:r>
      <w:r>
        <w:rPr>
          <w:color w:val="231F20"/>
          <w:w w:val="105"/>
        </w:rPr>
        <w:t>cuáles</w:t>
      </w:r>
      <w:r>
        <w:rPr>
          <w:color w:val="231F20"/>
          <w:spacing w:val="-21"/>
          <w:w w:val="105"/>
        </w:rPr>
        <w:t> </w:t>
      </w:r>
      <w:r>
        <w:rPr>
          <w:color w:val="231F20"/>
          <w:w w:val="105"/>
        </w:rPr>
        <w:t>son</w:t>
      </w:r>
      <w:r>
        <w:rPr>
          <w:color w:val="231F20"/>
          <w:spacing w:val="-21"/>
          <w:w w:val="105"/>
        </w:rPr>
        <w:t> </w:t>
      </w:r>
      <w:r>
        <w:rPr>
          <w:color w:val="231F20"/>
          <w:w w:val="105"/>
        </w:rPr>
        <w:t>las</w:t>
      </w:r>
      <w:r>
        <w:rPr>
          <w:color w:val="231F20"/>
          <w:spacing w:val="-21"/>
          <w:w w:val="105"/>
        </w:rPr>
        <w:t> </w:t>
      </w:r>
      <w:r>
        <w:rPr>
          <w:color w:val="231F20"/>
          <w:w w:val="105"/>
        </w:rPr>
        <w:t>implicaciones</w:t>
      </w:r>
      <w:r>
        <w:rPr>
          <w:color w:val="231F20"/>
          <w:spacing w:val="-21"/>
          <w:w w:val="105"/>
        </w:rPr>
        <w:t> </w:t>
      </w:r>
      <w:r>
        <w:rPr>
          <w:color w:val="231F20"/>
          <w:w w:val="105"/>
        </w:rPr>
        <w:t>que</w:t>
      </w:r>
      <w:r>
        <w:rPr>
          <w:color w:val="231F20"/>
          <w:spacing w:val="-21"/>
          <w:w w:val="105"/>
        </w:rPr>
        <w:t> </w:t>
      </w:r>
      <w:r>
        <w:rPr>
          <w:color w:val="231F20"/>
          <w:w w:val="105"/>
        </w:rPr>
        <w:t>tienen los regímenes de la movilidad global, basados en el control migratorio y</w:t>
      </w:r>
      <w:r>
        <w:rPr>
          <w:color w:val="231F20"/>
          <w:spacing w:val="-13"/>
          <w:w w:val="105"/>
        </w:rPr>
        <w:t> </w:t>
      </w:r>
      <w:r>
        <w:rPr>
          <w:color w:val="231F20"/>
          <w:w w:val="105"/>
        </w:rPr>
        <w:t>la</w:t>
      </w:r>
      <w:r>
        <w:rPr>
          <w:color w:val="231F20"/>
          <w:spacing w:val="-13"/>
          <w:w w:val="105"/>
        </w:rPr>
        <w:t> </w:t>
      </w:r>
      <w:r>
        <w:rPr>
          <w:color w:val="231F20"/>
          <w:w w:val="105"/>
        </w:rPr>
        <w:t>indocumentación,</w:t>
      </w:r>
      <w:r>
        <w:rPr>
          <w:color w:val="231F20"/>
          <w:spacing w:val="-18"/>
          <w:w w:val="105"/>
        </w:rPr>
        <w:t> </w:t>
      </w:r>
      <w:r>
        <w:rPr>
          <w:color w:val="231F20"/>
          <w:w w:val="105"/>
        </w:rPr>
        <w:t>sobre</w:t>
      </w:r>
      <w:r>
        <w:rPr>
          <w:color w:val="231F20"/>
          <w:spacing w:val="-13"/>
          <w:w w:val="105"/>
        </w:rPr>
        <w:t> </w:t>
      </w:r>
      <w:r>
        <w:rPr>
          <w:color w:val="231F20"/>
          <w:w w:val="105"/>
        </w:rPr>
        <w:t>la</w:t>
      </w:r>
      <w:r>
        <w:rPr>
          <w:color w:val="231F20"/>
          <w:spacing w:val="-13"/>
          <w:w w:val="105"/>
        </w:rPr>
        <w:t> </w:t>
      </w:r>
      <w:r>
        <w:rPr>
          <w:color w:val="231F20"/>
          <w:w w:val="105"/>
        </w:rPr>
        <w:t>vida</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personas</w:t>
      </w:r>
      <w:r>
        <w:rPr>
          <w:color w:val="231F20"/>
          <w:spacing w:val="-13"/>
          <w:w w:val="105"/>
        </w:rPr>
        <w:t> </w:t>
      </w:r>
      <w:r>
        <w:rPr>
          <w:color w:val="231F20"/>
          <w:w w:val="105"/>
        </w:rPr>
        <w:t>(De</w:t>
      </w:r>
      <w:r>
        <w:rPr>
          <w:color w:val="231F20"/>
          <w:spacing w:val="-13"/>
          <w:w w:val="105"/>
        </w:rPr>
        <w:t> </w:t>
      </w:r>
      <w:r>
        <w:rPr>
          <w:color w:val="231F20"/>
          <w:w w:val="105"/>
        </w:rPr>
        <w:t>Genova,</w:t>
      </w:r>
      <w:r>
        <w:rPr>
          <w:color w:val="231F20"/>
          <w:spacing w:val="-18"/>
          <w:w w:val="105"/>
        </w:rPr>
        <w:t> </w:t>
      </w:r>
      <w:r>
        <w:rPr>
          <w:color w:val="231F20"/>
          <w:w w:val="105"/>
        </w:rPr>
        <w:t>2010</w:t>
      </w:r>
      <w:r>
        <w:rPr>
          <w:color w:val="231F20"/>
          <w:spacing w:val="-13"/>
          <w:w w:val="105"/>
        </w:rPr>
        <w:t> </w:t>
      </w:r>
      <w:r>
        <w:rPr>
          <w:color w:val="231F20"/>
          <w:w w:val="105"/>
        </w:rPr>
        <w:t>y 2013;</w:t>
      </w:r>
      <w:r>
        <w:rPr>
          <w:color w:val="231F20"/>
          <w:spacing w:val="-25"/>
          <w:w w:val="105"/>
        </w:rPr>
        <w:t> </w:t>
      </w:r>
      <w:r>
        <w:rPr>
          <w:color w:val="231F20"/>
          <w:w w:val="105"/>
        </w:rPr>
        <w:t>Glick</w:t>
      </w:r>
      <w:r>
        <w:rPr>
          <w:color w:val="231F20"/>
          <w:spacing w:val="-25"/>
          <w:w w:val="105"/>
        </w:rPr>
        <w:t> </w:t>
      </w:r>
      <w:r>
        <w:rPr>
          <w:color w:val="231F20"/>
          <w:w w:val="105"/>
        </w:rPr>
        <w:t>Schiller</w:t>
      </w:r>
      <w:r>
        <w:rPr>
          <w:color w:val="231F20"/>
          <w:spacing w:val="-25"/>
          <w:w w:val="105"/>
        </w:rPr>
        <w:t> </w:t>
      </w:r>
      <w:r>
        <w:rPr>
          <w:color w:val="231F20"/>
          <w:w w:val="105"/>
        </w:rPr>
        <w:t>y</w:t>
      </w:r>
      <w:r>
        <w:rPr>
          <w:color w:val="231F20"/>
          <w:spacing w:val="-25"/>
          <w:w w:val="105"/>
        </w:rPr>
        <w:t> </w:t>
      </w:r>
      <w:r>
        <w:rPr>
          <w:color w:val="231F20"/>
          <w:w w:val="105"/>
        </w:rPr>
        <w:t>Salazar,</w:t>
      </w:r>
      <w:r>
        <w:rPr>
          <w:color w:val="231F20"/>
          <w:spacing w:val="-29"/>
          <w:w w:val="105"/>
        </w:rPr>
        <w:t> </w:t>
      </w:r>
      <w:r>
        <w:rPr>
          <w:color w:val="231F20"/>
          <w:w w:val="105"/>
        </w:rPr>
        <w:t>2013).</w:t>
      </w:r>
      <w:r>
        <w:rPr>
          <w:color w:val="231F20"/>
          <w:spacing w:val="-29"/>
          <w:w w:val="105"/>
        </w:rPr>
        <w:t> </w:t>
      </w:r>
      <w:r>
        <w:rPr>
          <w:color w:val="231F20"/>
          <w:w w:val="105"/>
        </w:rPr>
        <w:t>Es</w:t>
      </w:r>
      <w:r>
        <w:rPr>
          <w:color w:val="231F20"/>
          <w:spacing w:val="-25"/>
          <w:w w:val="105"/>
        </w:rPr>
        <w:t> </w:t>
      </w:r>
      <w:r>
        <w:rPr>
          <w:color w:val="231F20"/>
          <w:w w:val="105"/>
        </w:rPr>
        <w:t>cierto</w:t>
      </w:r>
      <w:r>
        <w:rPr>
          <w:color w:val="231F20"/>
          <w:spacing w:val="-25"/>
          <w:w w:val="105"/>
        </w:rPr>
        <w:t> </w:t>
      </w:r>
      <w:r>
        <w:rPr>
          <w:color w:val="231F20"/>
          <w:w w:val="105"/>
        </w:rPr>
        <w:t>que</w:t>
      </w:r>
      <w:r>
        <w:rPr>
          <w:color w:val="231F20"/>
          <w:spacing w:val="-25"/>
          <w:w w:val="105"/>
        </w:rPr>
        <w:t> </w:t>
      </w:r>
      <w:r>
        <w:rPr>
          <w:color w:val="231F20"/>
          <w:w w:val="105"/>
        </w:rPr>
        <w:t>la</w:t>
      </w:r>
      <w:r>
        <w:rPr>
          <w:color w:val="231F20"/>
          <w:spacing w:val="-25"/>
          <w:w w:val="105"/>
        </w:rPr>
        <w:t> </w:t>
      </w:r>
      <w:r>
        <w:rPr>
          <w:color w:val="231F20"/>
          <w:w w:val="105"/>
        </w:rPr>
        <w:t>construcción</w:t>
      </w:r>
      <w:r>
        <w:rPr>
          <w:color w:val="231F20"/>
          <w:spacing w:val="-25"/>
          <w:w w:val="105"/>
        </w:rPr>
        <w:t> </w:t>
      </w:r>
      <w:r>
        <w:rPr>
          <w:color w:val="231F20"/>
          <w:w w:val="105"/>
        </w:rPr>
        <w:t>misma de</w:t>
      </w:r>
      <w:r>
        <w:rPr>
          <w:color w:val="231F20"/>
          <w:spacing w:val="-17"/>
          <w:w w:val="105"/>
        </w:rPr>
        <w:t> </w:t>
      </w:r>
      <w:r>
        <w:rPr>
          <w:color w:val="231F20"/>
          <w:w w:val="105"/>
        </w:rPr>
        <w:t>las</w:t>
      </w:r>
      <w:r>
        <w:rPr>
          <w:color w:val="231F20"/>
          <w:spacing w:val="-17"/>
          <w:w w:val="105"/>
        </w:rPr>
        <w:t> </w:t>
      </w:r>
      <w:r>
        <w:rPr>
          <w:color w:val="231F20"/>
          <w:w w:val="105"/>
        </w:rPr>
        <w:t>narrativas</w:t>
      </w:r>
      <w:r>
        <w:rPr>
          <w:color w:val="231F20"/>
          <w:spacing w:val="-17"/>
          <w:w w:val="105"/>
        </w:rPr>
        <w:t> </w:t>
      </w:r>
      <w:r>
        <w:rPr>
          <w:color w:val="231F20"/>
          <w:w w:val="105"/>
        </w:rPr>
        <w:t>biográficas,</w:t>
      </w:r>
      <w:r>
        <w:rPr>
          <w:color w:val="231F20"/>
          <w:spacing w:val="-22"/>
          <w:w w:val="105"/>
        </w:rPr>
        <w:t> </w:t>
      </w:r>
      <w:r>
        <w:rPr>
          <w:color w:val="231F20"/>
          <w:w w:val="105"/>
        </w:rPr>
        <w:t>como</w:t>
      </w:r>
      <w:r>
        <w:rPr>
          <w:color w:val="231F20"/>
          <w:spacing w:val="-17"/>
          <w:w w:val="105"/>
        </w:rPr>
        <w:t> </w:t>
      </w:r>
      <w:r>
        <w:rPr>
          <w:rFonts w:ascii="Arial" w:hAnsi="Arial"/>
          <w:i/>
          <w:color w:val="231F20"/>
          <w:w w:val="105"/>
        </w:rPr>
        <w:t>ensamblajes</w:t>
      </w:r>
      <w:r>
        <w:rPr>
          <w:rFonts w:ascii="Arial" w:hAnsi="Arial"/>
          <w:i/>
          <w:color w:val="231F20"/>
          <w:spacing w:val="-20"/>
          <w:w w:val="105"/>
        </w:rPr>
        <w:t> </w:t>
      </w:r>
      <w:r>
        <w:rPr>
          <w:rFonts w:ascii="Arial" w:hAnsi="Arial"/>
          <w:i/>
          <w:color w:val="231F20"/>
          <w:w w:val="105"/>
        </w:rPr>
        <w:t>descriptivos</w:t>
      </w:r>
      <w:r>
        <w:rPr>
          <w:rFonts w:ascii="Arial" w:hAnsi="Arial"/>
          <w:i/>
          <w:color w:val="231F20"/>
          <w:spacing w:val="-20"/>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expe- riencia</w:t>
      </w:r>
      <w:r>
        <w:rPr>
          <w:color w:val="231F20"/>
          <w:spacing w:val="-4"/>
          <w:w w:val="105"/>
        </w:rPr>
        <w:t> </w:t>
      </w:r>
      <w:r>
        <w:rPr>
          <w:color w:val="231F20"/>
          <w:w w:val="105"/>
        </w:rPr>
        <w:t>vital</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inmigrantes</w:t>
      </w:r>
      <w:r>
        <w:rPr>
          <w:color w:val="231F20"/>
          <w:spacing w:val="-4"/>
          <w:w w:val="105"/>
        </w:rPr>
        <w:t> </w:t>
      </w:r>
      <w:r>
        <w:rPr>
          <w:color w:val="231F20"/>
          <w:w w:val="105"/>
        </w:rPr>
        <w:t>que</w:t>
      </w:r>
      <w:r>
        <w:rPr>
          <w:color w:val="231F20"/>
          <w:spacing w:val="-4"/>
          <w:w w:val="105"/>
        </w:rPr>
        <w:t> </w:t>
      </w:r>
      <w:r>
        <w:rPr>
          <w:color w:val="231F20"/>
          <w:w w:val="105"/>
        </w:rPr>
        <w:t>regresan</w:t>
      </w:r>
      <w:r>
        <w:rPr>
          <w:color w:val="231F20"/>
          <w:spacing w:val="-4"/>
          <w:w w:val="105"/>
        </w:rPr>
        <w:t> </w:t>
      </w:r>
      <w:r>
        <w:rPr>
          <w:color w:val="231F20"/>
          <w:w w:val="105"/>
        </w:rPr>
        <w:t>a</w:t>
      </w:r>
      <w:r>
        <w:rPr>
          <w:color w:val="231F20"/>
          <w:spacing w:val="-4"/>
          <w:w w:val="105"/>
        </w:rPr>
        <w:t> </w:t>
      </w:r>
      <w:r>
        <w:rPr>
          <w:color w:val="231F20"/>
          <w:w w:val="105"/>
        </w:rPr>
        <w:t>México,</w:t>
      </w:r>
      <w:r>
        <w:rPr>
          <w:color w:val="231F20"/>
          <w:spacing w:val="-9"/>
          <w:w w:val="105"/>
        </w:rPr>
        <w:t> </w:t>
      </w:r>
      <w:r>
        <w:rPr>
          <w:color w:val="231F20"/>
          <w:w w:val="105"/>
        </w:rPr>
        <w:t>es</w:t>
      </w:r>
      <w:r>
        <w:rPr>
          <w:color w:val="231F20"/>
          <w:spacing w:val="-4"/>
          <w:w w:val="105"/>
        </w:rPr>
        <w:t> </w:t>
      </w:r>
      <w:r>
        <w:rPr>
          <w:color w:val="231F20"/>
          <w:w w:val="105"/>
        </w:rPr>
        <w:t>una</w:t>
      </w:r>
      <w:r>
        <w:rPr>
          <w:color w:val="231F20"/>
          <w:spacing w:val="-4"/>
          <w:w w:val="105"/>
        </w:rPr>
        <w:t> </w:t>
      </w:r>
      <w:r>
        <w:rPr>
          <w:color w:val="231F20"/>
          <w:w w:val="105"/>
        </w:rPr>
        <w:t>forma</w:t>
      </w:r>
      <w:r>
        <w:rPr>
          <w:color w:val="231F20"/>
          <w:spacing w:val="-4"/>
          <w:w w:val="105"/>
        </w:rPr>
        <w:t> </w:t>
      </w:r>
      <w:r>
        <w:rPr>
          <w:color w:val="231F20"/>
          <w:w w:val="105"/>
        </w:rPr>
        <w:t>de presentar</w:t>
      </w:r>
      <w:r>
        <w:rPr>
          <w:color w:val="231F20"/>
          <w:spacing w:val="-16"/>
          <w:w w:val="105"/>
        </w:rPr>
        <w:t> </w:t>
      </w:r>
      <w:r>
        <w:rPr>
          <w:color w:val="231F20"/>
          <w:w w:val="105"/>
        </w:rPr>
        <w:t>las</w:t>
      </w:r>
      <w:r>
        <w:rPr>
          <w:color w:val="231F20"/>
          <w:spacing w:val="-16"/>
          <w:w w:val="105"/>
        </w:rPr>
        <w:t> </w:t>
      </w:r>
      <w:r>
        <w:rPr>
          <w:color w:val="231F20"/>
          <w:w w:val="105"/>
        </w:rPr>
        <w:t>intersecciones</w:t>
      </w:r>
      <w:r>
        <w:rPr>
          <w:color w:val="231F20"/>
          <w:spacing w:val="-16"/>
          <w:w w:val="105"/>
        </w:rPr>
        <w:t> </w:t>
      </w:r>
      <w:r>
        <w:rPr>
          <w:color w:val="231F20"/>
          <w:w w:val="105"/>
        </w:rPr>
        <w:t>vitales-históricas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procesos</w:t>
      </w:r>
      <w:r>
        <w:rPr>
          <w:color w:val="231F20"/>
          <w:spacing w:val="-16"/>
          <w:w w:val="105"/>
        </w:rPr>
        <w:t> </w:t>
      </w:r>
      <w:r>
        <w:rPr>
          <w:color w:val="231F20"/>
          <w:w w:val="105"/>
        </w:rPr>
        <w:t>de</w:t>
      </w:r>
      <w:r>
        <w:rPr>
          <w:color w:val="231F20"/>
          <w:spacing w:val="-16"/>
          <w:w w:val="105"/>
        </w:rPr>
        <w:t> </w:t>
      </w:r>
      <w:r>
        <w:rPr>
          <w:color w:val="231F20"/>
          <w:w w:val="105"/>
        </w:rPr>
        <w:t>movili- dad</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migraciones</w:t>
      </w:r>
      <w:r>
        <w:rPr>
          <w:color w:val="231F20"/>
          <w:spacing w:val="-11"/>
          <w:w w:val="105"/>
        </w:rPr>
        <w:t> </w:t>
      </w:r>
      <w:r>
        <w:rPr>
          <w:color w:val="231F20"/>
          <w:w w:val="105"/>
        </w:rPr>
        <w:t>contemporáneas,</w:t>
      </w:r>
      <w:r>
        <w:rPr>
          <w:color w:val="231F20"/>
          <w:spacing w:val="-16"/>
          <w:w w:val="105"/>
        </w:rPr>
        <w:t> </w:t>
      </w:r>
      <w:r>
        <w:rPr>
          <w:color w:val="231F20"/>
          <w:w w:val="105"/>
        </w:rPr>
        <w:t>por</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constituyen</w:t>
      </w:r>
      <w:r>
        <w:rPr>
          <w:color w:val="231F20"/>
          <w:spacing w:val="-11"/>
          <w:w w:val="105"/>
        </w:rPr>
        <w:t> </w:t>
      </w:r>
      <w:r>
        <w:rPr>
          <w:color w:val="231F20"/>
          <w:w w:val="105"/>
        </w:rPr>
        <w:t>resul- tados</w:t>
      </w:r>
      <w:r>
        <w:rPr>
          <w:color w:val="231F20"/>
          <w:spacing w:val="-35"/>
          <w:w w:val="105"/>
        </w:rPr>
        <w:t> </w:t>
      </w:r>
      <w:r>
        <w:rPr>
          <w:color w:val="231F20"/>
          <w:w w:val="105"/>
        </w:rPr>
        <w:t>de</w:t>
      </w:r>
      <w:r>
        <w:rPr>
          <w:color w:val="231F20"/>
          <w:spacing w:val="-35"/>
          <w:w w:val="105"/>
        </w:rPr>
        <w:t> </w:t>
      </w:r>
      <w:r>
        <w:rPr>
          <w:color w:val="231F20"/>
          <w:w w:val="105"/>
        </w:rPr>
        <w:t>la</w:t>
      </w:r>
      <w:r>
        <w:rPr>
          <w:color w:val="231F20"/>
          <w:spacing w:val="-35"/>
          <w:w w:val="105"/>
        </w:rPr>
        <w:t> </w:t>
      </w:r>
      <w:r>
        <w:rPr>
          <w:color w:val="231F20"/>
          <w:w w:val="105"/>
        </w:rPr>
        <w:t>investigación</w:t>
      </w:r>
      <w:r>
        <w:rPr>
          <w:color w:val="231F20"/>
          <w:spacing w:val="-35"/>
          <w:w w:val="105"/>
        </w:rPr>
        <w:t> </w:t>
      </w:r>
      <w:r>
        <w:rPr>
          <w:color w:val="231F20"/>
          <w:w w:val="105"/>
        </w:rPr>
        <w:t>descriptiva-interpretativa,</w:t>
      </w:r>
      <w:r>
        <w:rPr>
          <w:color w:val="231F20"/>
          <w:spacing w:val="-39"/>
          <w:w w:val="105"/>
        </w:rPr>
        <w:t> </w:t>
      </w:r>
      <w:r>
        <w:rPr>
          <w:color w:val="231F20"/>
          <w:w w:val="105"/>
        </w:rPr>
        <w:t>es</w:t>
      </w:r>
      <w:r>
        <w:rPr>
          <w:color w:val="231F20"/>
          <w:spacing w:val="-35"/>
          <w:w w:val="105"/>
        </w:rPr>
        <w:t> </w:t>
      </w:r>
      <w:r>
        <w:rPr>
          <w:color w:val="231F20"/>
          <w:w w:val="105"/>
        </w:rPr>
        <w:t>decir,</w:t>
      </w:r>
      <w:r>
        <w:rPr>
          <w:color w:val="231F20"/>
          <w:spacing w:val="-39"/>
          <w:w w:val="105"/>
        </w:rPr>
        <w:t> </w:t>
      </w:r>
      <w:r>
        <w:rPr>
          <w:color w:val="231F20"/>
          <w:w w:val="105"/>
        </w:rPr>
        <w:t>las</w:t>
      </w:r>
      <w:r>
        <w:rPr>
          <w:color w:val="231F20"/>
          <w:spacing w:val="-35"/>
          <w:w w:val="105"/>
        </w:rPr>
        <w:t> </w:t>
      </w:r>
      <w:r>
        <w:rPr>
          <w:color w:val="231F20"/>
          <w:w w:val="105"/>
        </w:rPr>
        <w:t>narrativas en</w:t>
      </w:r>
      <w:r>
        <w:rPr>
          <w:color w:val="231F20"/>
          <w:spacing w:val="-15"/>
          <w:w w:val="105"/>
        </w:rPr>
        <w:t> </w:t>
      </w:r>
      <w:r>
        <w:rPr>
          <w:color w:val="231F20"/>
          <w:w w:val="105"/>
        </w:rPr>
        <w:t>forma</w:t>
      </w:r>
      <w:r>
        <w:rPr>
          <w:color w:val="231F20"/>
          <w:spacing w:val="-15"/>
          <w:w w:val="105"/>
        </w:rPr>
        <w:t> </w:t>
      </w:r>
      <w:r>
        <w:rPr>
          <w:color w:val="231F20"/>
          <w:w w:val="105"/>
        </w:rPr>
        <w:t>de</w:t>
      </w:r>
      <w:r>
        <w:rPr>
          <w:color w:val="231F20"/>
          <w:spacing w:val="-15"/>
          <w:w w:val="105"/>
        </w:rPr>
        <w:t> </w:t>
      </w:r>
      <w:r>
        <w:rPr>
          <w:color w:val="231F20"/>
          <w:w w:val="105"/>
        </w:rPr>
        <w:t>viñetas</w:t>
      </w:r>
      <w:r>
        <w:rPr>
          <w:color w:val="231F20"/>
          <w:spacing w:val="-15"/>
          <w:w w:val="105"/>
        </w:rPr>
        <w:t> </w:t>
      </w:r>
      <w:r>
        <w:rPr>
          <w:color w:val="231F20"/>
          <w:w w:val="105"/>
        </w:rPr>
        <w:t>biográficas</w:t>
      </w:r>
      <w:r>
        <w:rPr>
          <w:color w:val="231F20"/>
          <w:spacing w:val="-15"/>
          <w:w w:val="105"/>
        </w:rPr>
        <w:t> </w:t>
      </w:r>
      <w:r>
        <w:rPr>
          <w:color w:val="231F20"/>
          <w:w w:val="105"/>
        </w:rPr>
        <w:t>han</w:t>
      </w:r>
      <w:r>
        <w:rPr>
          <w:color w:val="231F20"/>
          <w:spacing w:val="-15"/>
          <w:w w:val="105"/>
        </w:rPr>
        <w:t> </w:t>
      </w:r>
      <w:r>
        <w:rPr>
          <w:color w:val="231F20"/>
          <w:w w:val="105"/>
        </w:rPr>
        <w:t>atravesado</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proceso</w:t>
      </w:r>
      <w:r>
        <w:rPr>
          <w:color w:val="231F20"/>
          <w:spacing w:val="-15"/>
          <w:w w:val="105"/>
        </w:rPr>
        <w:t> </w:t>
      </w:r>
      <w:r>
        <w:rPr>
          <w:color w:val="231F20"/>
          <w:w w:val="105"/>
        </w:rPr>
        <w:t>construc- tivo de producción de</w:t>
      </w:r>
      <w:r>
        <w:rPr>
          <w:color w:val="231F20"/>
          <w:spacing w:val="2"/>
          <w:w w:val="105"/>
        </w:rPr>
        <w:t> </w:t>
      </w:r>
      <w:r>
        <w:rPr>
          <w:color w:val="231F20"/>
          <w:w w:val="105"/>
        </w:rPr>
        <w:t>datos.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5912" from="131.551193pt,3.703715pt" to="131.551193pt,39.506114pt" stroked="true" strokeweight=".35pt" strokecolor="#231f20">
            <w10:wrap type="none"/>
          </v:line>
        </w:pict>
      </w:r>
      <w:r>
        <w:rPr/>
        <w:pict>
          <v:line style="position:absolute;mso-position-horizontal-relative:page;mso-position-vertical-relative:paragraph;z-index:-475840" from="15pt,39.505917pt" to="0pt,39.505917pt" stroked="true" strokeweight=".25pt" strokecolor="#000000">
            <w10:wrap type="none"/>
          </v:line>
        </w:pict>
      </w:r>
      <w:r>
        <w:rPr/>
        <w:pict>
          <v:line style="position:absolute;mso-position-horizontal-relative:page;mso-position-vertical-relative:paragraph;z-index:14368" from="508.890015pt,39.505917pt" to="523.890015pt,39.505917pt" stroked="true" strokeweight=".25pt" strokecolor="#000000">
            <w10:wrap type="none"/>
          </v:line>
        </w:pict>
      </w:r>
      <w:r>
        <w:rPr>
          <w:rFonts w:ascii="Arial" w:hAnsi="Arial"/>
          <w:color w:val="414042"/>
          <w:position w:val="-5"/>
          <w:sz w:val="20"/>
        </w:rPr>
        <w:t>140</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5792" from="405.061005pt,-18.554295pt" to="405.061005pt,16.311579pt" stroked="true" strokeweight=".35pt" strokecolor="#231f20">
            <w10:wrap type="none"/>
          </v:line>
        </w:pict>
      </w:r>
      <w:r>
        <w:rPr/>
        <w:pict>
          <v:line style="position:absolute;mso-position-horizontal-relative:page;mso-position-vertical-relative:paragraph;z-index:14416" from="15pt,-18.554522pt" to="0pt,-18.554522pt" stroked="true" strokeweight=".25pt" strokecolor="#000000">
            <w10:wrap type="none"/>
          </v:line>
        </w:pict>
      </w:r>
      <w:r>
        <w:rPr/>
        <w:pict>
          <v:line style="position:absolute;mso-position-horizontal-relative:page;mso-position-vertical-relative:paragraph;z-index:14440"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141</w:t>
      </w:r>
    </w:p>
    <w:p>
      <w:pPr>
        <w:pStyle w:val="BodyText"/>
        <w:rPr>
          <w:rFonts w:ascii="Arial"/>
          <w:sz w:val="22"/>
        </w:rPr>
      </w:pPr>
    </w:p>
    <w:p>
      <w:pPr>
        <w:pStyle w:val="BodyText"/>
        <w:spacing w:before="8"/>
        <w:rPr>
          <w:rFonts w:ascii="Arial"/>
          <w:sz w:val="29"/>
        </w:rPr>
      </w:pPr>
    </w:p>
    <w:p>
      <w:pPr>
        <w:pStyle w:val="Heading3"/>
        <w:ind w:right="6753"/>
        <w:jc w:val="left"/>
      </w:pPr>
      <w:r>
        <w:rPr>
          <w:color w:val="231F20"/>
        </w:rPr>
        <w:t>Bibliografía</w:t>
      </w:r>
    </w:p>
    <w:p>
      <w:pPr>
        <w:pStyle w:val="BodyText"/>
        <w:rPr>
          <w:rFonts w:ascii="Arial"/>
          <w:b/>
          <w:sz w:val="22"/>
        </w:rPr>
      </w:pPr>
    </w:p>
    <w:p>
      <w:pPr>
        <w:pStyle w:val="BodyText"/>
        <w:spacing w:line="261" w:lineRule="auto" w:before="160"/>
        <w:ind w:left="2574" w:right="1715" w:hanging="738"/>
        <w:jc w:val="both"/>
      </w:pPr>
      <w:r>
        <w:rPr>
          <w:color w:val="231F20"/>
          <w:w w:val="105"/>
        </w:rPr>
        <w:t>Abbott,</w:t>
      </w:r>
      <w:r>
        <w:rPr>
          <w:color w:val="231F20"/>
          <w:spacing w:val="-40"/>
          <w:w w:val="105"/>
        </w:rPr>
        <w:t> </w:t>
      </w:r>
      <w:r>
        <w:rPr>
          <w:color w:val="231F20"/>
          <w:w w:val="105"/>
        </w:rPr>
        <w:t>Andrew,</w:t>
      </w:r>
      <w:r>
        <w:rPr>
          <w:color w:val="231F20"/>
          <w:spacing w:val="-38"/>
          <w:w w:val="105"/>
        </w:rPr>
        <w:t> </w:t>
      </w:r>
      <w:r>
        <w:rPr>
          <w:color w:val="231F20"/>
          <w:w w:val="105"/>
        </w:rPr>
        <w:t>(1995a),</w:t>
      </w:r>
      <w:r>
        <w:rPr>
          <w:color w:val="231F20"/>
          <w:spacing w:val="-38"/>
          <w:w w:val="105"/>
        </w:rPr>
        <w:t> </w:t>
      </w:r>
      <w:r>
        <w:rPr>
          <w:color w:val="231F20"/>
          <w:w w:val="105"/>
        </w:rPr>
        <w:t>“Things</w:t>
      </w:r>
      <w:r>
        <w:rPr>
          <w:color w:val="231F20"/>
          <w:spacing w:val="-35"/>
          <w:w w:val="105"/>
        </w:rPr>
        <w:t> </w:t>
      </w:r>
      <w:r>
        <w:rPr>
          <w:color w:val="231F20"/>
          <w:w w:val="105"/>
        </w:rPr>
        <w:t>of</w:t>
      </w:r>
      <w:r>
        <w:rPr>
          <w:color w:val="231F20"/>
          <w:spacing w:val="-32"/>
          <w:w w:val="105"/>
        </w:rPr>
        <w:t> </w:t>
      </w:r>
      <w:r>
        <w:rPr>
          <w:color w:val="231F20"/>
          <w:spacing w:val="-3"/>
          <w:w w:val="105"/>
        </w:rPr>
        <w:t>Boundaries”,</w:t>
      </w:r>
      <w:r>
        <w:rPr>
          <w:color w:val="231F20"/>
          <w:spacing w:val="-38"/>
          <w:w w:val="105"/>
        </w:rPr>
        <w:t> </w:t>
      </w:r>
      <w:r>
        <w:rPr>
          <w:rFonts w:ascii="Arial" w:hAnsi="Arial"/>
          <w:i/>
          <w:color w:val="231F20"/>
          <w:w w:val="105"/>
        </w:rPr>
        <w:t>Social</w:t>
      </w:r>
      <w:r>
        <w:rPr>
          <w:rFonts w:ascii="Arial" w:hAnsi="Arial"/>
          <w:i/>
          <w:color w:val="231F20"/>
          <w:spacing w:val="-38"/>
          <w:w w:val="105"/>
        </w:rPr>
        <w:t> </w:t>
      </w:r>
      <w:r>
        <w:rPr>
          <w:rFonts w:ascii="Arial" w:hAnsi="Arial"/>
          <w:i/>
          <w:color w:val="231F20"/>
          <w:w w:val="105"/>
        </w:rPr>
        <w:t>Research</w:t>
      </w:r>
      <w:r>
        <w:rPr>
          <w:color w:val="231F20"/>
          <w:w w:val="105"/>
        </w:rPr>
        <w:t>,</w:t>
      </w:r>
      <w:r>
        <w:rPr>
          <w:color w:val="231F20"/>
          <w:spacing w:val="-38"/>
          <w:w w:val="105"/>
        </w:rPr>
        <w:t> </w:t>
      </w:r>
      <w:r>
        <w:rPr>
          <w:color w:val="231F20"/>
          <w:w w:val="105"/>
        </w:rPr>
        <w:t>vol.</w:t>
      </w:r>
      <w:r>
        <w:rPr>
          <w:color w:val="231F20"/>
          <w:spacing w:val="-38"/>
          <w:w w:val="105"/>
        </w:rPr>
        <w:t> </w:t>
      </w:r>
      <w:r>
        <w:rPr>
          <w:color w:val="231F20"/>
          <w:w w:val="105"/>
        </w:rPr>
        <w:t>62, núm.</w:t>
      </w:r>
      <w:r>
        <w:rPr>
          <w:color w:val="231F20"/>
          <w:spacing w:val="-27"/>
          <w:w w:val="105"/>
        </w:rPr>
        <w:t> </w:t>
      </w:r>
      <w:r>
        <w:rPr>
          <w:color w:val="231F20"/>
          <w:w w:val="105"/>
        </w:rPr>
        <w:t>4.</w:t>
      </w:r>
    </w:p>
    <w:p>
      <w:pPr>
        <w:pStyle w:val="BodyText"/>
        <w:tabs>
          <w:tab w:pos="2677" w:val="left" w:leader="none"/>
        </w:tabs>
        <w:spacing w:before="1"/>
        <w:ind w:left="1837"/>
      </w:pPr>
      <w:r>
        <w:rPr>
          <w:color w:val="231F20"/>
          <w:w w:val="94"/>
          <w:u w:val="single" w:color="221E1F"/>
        </w:rPr>
        <w:t> </w:t>
      </w:r>
      <w:r>
        <w:rPr>
          <w:color w:val="231F20"/>
          <w:u w:val="single" w:color="221E1F"/>
        </w:rPr>
        <w:tab/>
      </w:r>
      <w:r>
        <w:rPr>
          <w:color w:val="231F20"/>
          <w:spacing w:val="13"/>
        </w:rPr>
        <w:t> </w:t>
      </w:r>
      <w:r>
        <w:rPr>
          <w:color w:val="231F20"/>
        </w:rPr>
        <w:t>(1995b), “Sequence Analysis:  New  Methods  for  Old  </w:t>
      </w:r>
      <w:r>
        <w:rPr>
          <w:color w:val="231F20"/>
          <w:spacing w:val="-4"/>
        </w:rPr>
        <w:t>Ideas”,</w:t>
      </w:r>
      <w:r>
        <w:rPr>
          <w:color w:val="231F20"/>
          <w:spacing w:val="-12"/>
        </w:rPr>
        <w:t> </w:t>
      </w:r>
      <w:r>
        <w:rPr>
          <w:color w:val="231F20"/>
        </w:rPr>
        <w:t>en</w:t>
      </w:r>
    </w:p>
    <w:p>
      <w:pPr>
        <w:spacing w:before="19"/>
        <w:ind w:left="2574" w:right="0" w:firstLine="0"/>
        <w:jc w:val="left"/>
        <w:rPr>
          <w:sz w:val="21"/>
        </w:rPr>
      </w:pPr>
      <w:r>
        <w:rPr>
          <w:rFonts w:ascii="Arial"/>
          <w:i/>
          <w:color w:val="231F20"/>
          <w:sz w:val="21"/>
        </w:rPr>
        <w:t>Annual Review of Sociology</w:t>
      </w:r>
      <w:r>
        <w:rPr>
          <w:color w:val="231F20"/>
          <w:sz w:val="21"/>
        </w:rPr>
        <w:t>, vol. 21.</w:t>
      </w:r>
    </w:p>
    <w:p>
      <w:pPr>
        <w:spacing w:before="18"/>
        <w:ind w:left="1837" w:right="0" w:firstLine="0"/>
        <w:jc w:val="left"/>
        <w:rPr>
          <w:sz w:val="21"/>
        </w:rPr>
      </w:pPr>
      <w:r>
        <w:rPr>
          <w:color w:val="231F20"/>
          <w:w w:val="105"/>
          <w:sz w:val="21"/>
        </w:rPr>
        <w:t>Adey, Peter, (2010), “Mobility”, </w:t>
      </w:r>
      <w:r>
        <w:rPr>
          <w:rFonts w:ascii="Arial" w:hAnsi="Arial"/>
          <w:i/>
          <w:color w:val="231F20"/>
          <w:w w:val="105"/>
          <w:sz w:val="21"/>
        </w:rPr>
        <w:t>Raumforschung und Raumordnung</w:t>
      </w:r>
      <w:r>
        <w:rPr>
          <w:color w:val="231F20"/>
          <w:w w:val="105"/>
          <w:sz w:val="21"/>
        </w:rPr>
        <w:t>, vol.</w:t>
      </w:r>
    </w:p>
    <w:p>
      <w:pPr>
        <w:pStyle w:val="BodyText"/>
        <w:spacing w:before="22"/>
        <w:ind w:left="2574" w:right="6753"/>
      </w:pPr>
      <w:r>
        <w:rPr>
          <w:color w:val="231F20"/>
        </w:rPr>
        <w:t>69, núm. 1.</w:t>
      </w:r>
    </w:p>
    <w:p>
      <w:pPr>
        <w:spacing w:line="259" w:lineRule="auto" w:before="19"/>
        <w:ind w:left="2574" w:right="1721" w:hanging="738"/>
        <w:jc w:val="both"/>
        <w:rPr>
          <w:sz w:val="21"/>
        </w:rPr>
      </w:pPr>
      <w:r>
        <w:rPr>
          <w:color w:val="231F20"/>
          <w:sz w:val="21"/>
        </w:rPr>
        <w:t>Alarcón, Rafael, Escala, Luis y Odgers, Olga, (2012), </w:t>
      </w:r>
      <w:r>
        <w:rPr>
          <w:rFonts w:ascii="Arial" w:hAnsi="Arial"/>
          <w:i/>
          <w:color w:val="231F20"/>
          <w:sz w:val="21"/>
        </w:rPr>
        <w:t>Mudando el hogar al </w:t>
      </w:r>
      <w:r>
        <w:rPr>
          <w:rFonts w:ascii="Arial" w:hAnsi="Arial"/>
          <w:i/>
          <w:color w:val="231F20"/>
          <w:sz w:val="21"/>
        </w:rPr>
        <w:t>norte. Trayectorias de integración de los migrantes mexicanos en Los Ángeles, </w:t>
      </w:r>
      <w:r>
        <w:rPr>
          <w:color w:val="231F20"/>
          <w:sz w:val="21"/>
        </w:rPr>
        <w:t>Tijuana, México: </w:t>
      </w:r>
      <w:r>
        <w:rPr>
          <w:color w:val="231F20"/>
          <w:sz w:val="17"/>
        </w:rPr>
        <w:t>COLEF</w:t>
      </w:r>
      <w:r>
        <w:rPr>
          <w:color w:val="231F20"/>
          <w:sz w:val="21"/>
        </w:rPr>
        <w:t>.</w:t>
      </w:r>
    </w:p>
    <w:p>
      <w:pPr>
        <w:pStyle w:val="BodyText"/>
        <w:spacing w:line="259" w:lineRule="auto" w:before="3"/>
        <w:ind w:left="2574" w:right="1722" w:hanging="738"/>
        <w:jc w:val="both"/>
      </w:pPr>
      <w:r>
        <w:rPr>
          <w:color w:val="231F20"/>
        </w:rPr>
        <w:t>Alarcón, Rafael, (28 de octubre de 2008), “El retorno de los migrantes mexicanos”, </w:t>
      </w:r>
      <w:r>
        <w:rPr>
          <w:rFonts w:ascii="Arial" w:hAnsi="Arial"/>
          <w:i/>
          <w:color w:val="231F20"/>
        </w:rPr>
        <w:t>La Jornada</w:t>
      </w:r>
      <w:r>
        <w:rPr>
          <w:color w:val="231F20"/>
        </w:rPr>
        <w:t>, p. 4.</w:t>
      </w:r>
    </w:p>
    <w:p>
      <w:pPr>
        <w:spacing w:line="259" w:lineRule="auto" w:before="0"/>
        <w:ind w:left="2574" w:right="1722" w:hanging="738"/>
        <w:jc w:val="both"/>
        <w:rPr>
          <w:sz w:val="21"/>
        </w:rPr>
      </w:pPr>
      <w:r>
        <w:rPr>
          <w:color w:val="231F20"/>
          <w:w w:val="105"/>
          <w:sz w:val="21"/>
        </w:rPr>
        <w:t>Amin, Ash, (2002), “Spatialities of globalization”, </w:t>
      </w:r>
      <w:r>
        <w:rPr>
          <w:rFonts w:ascii="Arial" w:hAnsi="Arial"/>
          <w:i/>
          <w:color w:val="231F20"/>
          <w:w w:val="105"/>
          <w:sz w:val="21"/>
        </w:rPr>
        <w:t>Enviroment and Plan- </w:t>
      </w:r>
      <w:r>
        <w:rPr>
          <w:rFonts w:ascii="Arial" w:hAnsi="Arial"/>
          <w:i/>
          <w:color w:val="231F20"/>
          <w:w w:val="105"/>
          <w:sz w:val="21"/>
        </w:rPr>
        <w:t>ning, </w:t>
      </w:r>
      <w:r>
        <w:rPr>
          <w:color w:val="231F20"/>
          <w:w w:val="105"/>
          <w:sz w:val="21"/>
        </w:rPr>
        <w:t>vol. 34, núm. 3.</w:t>
      </w:r>
    </w:p>
    <w:p>
      <w:pPr>
        <w:spacing w:line="261" w:lineRule="auto" w:before="0"/>
        <w:ind w:left="2574" w:right="1723" w:hanging="738"/>
        <w:jc w:val="both"/>
        <w:rPr>
          <w:sz w:val="21"/>
        </w:rPr>
      </w:pPr>
      <w:r>
        <w:rPr>
          <w:color w:val="231F20"/>
          <w:w w:val="105"/>
          <w:sz w:val="21"/>
        </w:rPr>
        <w:t>Amin,</w:t>
      </w:r>
      <w:r>
        <w:rPr>
          <w:color w:val="231F20"/>
          <w:spacing w:val="-15"/>
          <w:w w:val="105"/>
          <w:sz w:val="21"/>
        </w:rPr>
        <w:t> </w:t>
      </w:r>
      <w:r>
        <w:rPr>
          <w:color w:val="231F20"/>
          <w:w w:val="105"/>
          <w:sz w:val="21"/>
        </w:rPr>
        <w:t>Ash</w:t>
      </w:r>
      <w:r>
        <w:rPr>
          <w:color w:val="231F20"/>
          <w:spacing w:val="-7"/>
          <w:w w:val="105"/>
          <w:sz w:val="21"/>
        </w:rPr>
        <w:t> </w:t>
      </w:r>
      <w:r>
        <w:rPr>
          <w:color w:val="231F20"/>
          <w:w w:val="105"/>
          <w:sz w:val="21"/>
        </w:rPr>
        <w:t>y</w:t>
      </w:r>
      <w:r>
        <w:rPr>
          <w:color w:val="231F20"/>
          <w:spacing w:val="-7"/>
          <w:w w:val="105"/>
          <w:sz w:val="21"/>
        </w:rPr>
        <w:t> </w:t>
      </w:r>
      <w:r>
        <w:rPr>
          <w:color w:val="231F20"/>
          <w:w w:val="105"/>
          <w:sz w:val="21"/>
        </w:rPr>
        <w:t>Nigel,</w:t>
      </w:r>
      <w:r>
        <w:rPr>
          <w:color w:val="231F20"/>
          <w:spacing w:val="-16"/>
          <w:w w:val="105"/>
          <w:sz w:val="21"/>
        </w:rPr>
        <w:t> </w:t>
      </w:r>
      <w:r>
        <w:rPr>
          <w:color w:val="231F20"/>
          <w:w w:val="105"/>
          <w:sz w:val="21"/>
        </w:rPr>
        <w:t>Thrift,</w:t>
      </w:r>
      <w:r>
        <w:rPr>
          <w:color w:val="231F20"/>
          <w:spacing w:val="-12"/>
          <w:w w:val="105"/>
          <w:sz w:val="21"/>
        </w:rPr>
        <w:t> </w:t>
      </w:r>
      <w:r>
        <w:rPr>
          <w:color w:val="231F20"/>
          <w:w w:val="105"/>
          <w:sz w:val="21"/>
        </w:rPr>
        <w:t>(2002),</w:t>
      </w:r>
      <w:r>
        <w:rPr>
          <w:color w:val="231F20"/>
          <w:spacing w:val="-12"/>
          <w:w w:val="105"/>
          <w:sz w:val="21"/>
        </w:rPr>
        <w:t> </w:t>
      </w:r>
      <w:r>
        <w:rPr>
          <w:rFonts w:ascii="Arial"/>
          <w:i/>
          <w:color w:val="231F20"/>
          <w:w w:val="105"/>
          <w:sz w:val="21"/>
        </w:rPr>
        <w:t>Cities:</w:t>
      </w:r>
      <w:r>
        <w:rPr>
          <w:rFonts w:ascii="Arial"/>
          <w:i/>
          <w:color w:val="231F20"/>
          <w:spacing w:val="-10"/>
          <w:w w:val="105"/>
          <w:sz w:val="21"/>
        </w:rPr>
        <w:t> </w:t>
      </w:r>
      <w:r>
        <w:rPr>
          <w:rFonts w:ascii="Arial"/>
          <w:i/>
          <w:color w:val="231F20"/>
          <w:w w:val="105"/>
          <w:sz w:val="21"/>
        </w:rPr>
        <w:t>Rethinking</w:t>
      </w:r>
      <w:r>
        <w:rPr>
          <w:rFonts w:ascii="Arial"/>
          <w:i/>
          <w:color w:val="231F20"/>
          <w:spacing w:val="-10"/>
          <w:w w:val="105"/>
          <w:sz w:val="21"/>
        </w:rPr>
        <w:t> </w:t>
      </w:r>
      <w:r>
        <w:rPr>
          <w:rFonts w:ascii="Arial"/>
          <w:i/>
          <w:color w:val="231F20"/>
          <w:w w:val="105"/>
          <w:sz w:val="21"/>
        </w:rPr>
        <w:t>Urban</w:t>
      </w:r>
      <w:r>
        <w:rPr>
          <w:rFonts w:ascii="Arial"/>
          <w:i/>
          <w:color w:val="231F20"/>
          <w:spacing w:val="-14"/>
          <w:w w:val="105"/>
          <w:sz w:val="21"/>
        </w:rPr>
        <w:t> </w:t>
      </w:r>
      <w:r>
        <w:rPr>
          <w:rFonts w:ascii="Arial"/>
          <w:i/>
          <w:color w:val="231F20"/>
          <w:w w:val="105"/>
          <w:sz w:val="21"/>
        </w:rPr>
        <w:t>Theory</w:t>
      </w:r>
      <w:r>
        <w:rPr>
          <w:color w:val="231F20"/>
          <w:w w:val="105"/>
          <w:sz w:val="21"/>
        </w:rPr>
        <w:t>,</w:t>
      </w:r>
      <w:r>
        <w:rPr>
          <w:color w:val="231F20"/>
          <w:spacing w:val="-7"/>
          <w:w w:val="105"/>
          <w:sz w:val="21"/>
        </w:rPr>
        <w:t> </w:t>
      </w:r>
      <w:r>
        <w:rPr>
          <w:color w:val="231F20"/>
          <w:w w:val="105"/>
          <w:sz w:val="21"/>
        </w:rPr>
        <w:t>Cam- bridge:</w:t>
      </w:r>
      <w:r>
        <w:rPr>
          <w:color w:val="231F20"/>
          <w:spacing w:val="-28"/>
          <w:w w:val="105"/>
          <w:sz w:val="21"/>
        </w:rPr>
        <w:t> </w:t>
      </w:r>
      <w:r>
        <w:rPr>
          <w:color w:val="231F20"/>
          <w:spacing w:val="-3"/>
          <w:w w:val="105"/>
          <w:sz w:val="21"/>
        </w:rPr>
        <w:t>Polity</w:t>
      </w:r>
      <w:r>
        <w:rPr>
          <w:color w:val="231F20"/>
          <w:spacing w:val="-28"/>
          <w:w w:val="105"/>
          <w:sz w:val="21"/>
        </w:rPr>
        <w:t> </w:t>
      </w:r>
      <w:r>
        <w:rPr>
          <w:color w:val="231F20"/>
          <w:spacing w:val="-3"/>
          <w:w w:val="105"/>
          <w:sz w:val="21"/>
        </w:rPr>
        <w:t>Press.</w:t>
      </w:r>
    </w:p>
    <w:p>
      <w:pPr>
        <w:spacing w:line="259" w:lineRule="auto" w:before="0"/>
        <w:ind w:left="2574" w:right="1723" w:hanging="738"/>
        <w:jc w:val="both"/>
        <w:rPr>
          <w:sz w:val="21"/>
        </w:rPr>
      </w:pPr>
      <w:r>
        <w:rPr>
          <w:color w:val="231F20"/>
          <w:sz w:val="21"/>
        </w:rPr>
        <w:t>Battistella, Graziano (ed.), (2014), </w:t>
      </w:r>
      <w:r>
        <w:rPr>
          <w:rFonts w:ascii="Arial"/>
          <w:i/>
          <w:color w:val="231F20"/>
          <w:sz w:val="21"/>
        </w:rPr>
        <w:t>Global and Asian Perspectives on Inter- </w:t>
      </w:r>
      <w:r>
        <w:rPr>
          <w:rFonts w:ascii="Arial"/>
          <w:i/>
          <w:color w:val="231F20"/>
          <w:sz w:val="21"/>
        </w:rPr>
        <w:t>national  Migration</w:t>
      </w:r>
      <w:r>
        <w:rPr>
          <w:color w:val="231F20"/>
          <w:sz w:val="21"/>
        </w:rPr>
        <w:t>, Londres: Springer.</w:t>
      </w:r>
    </w:p>
    <w:p>
      <w:pPr>
        <w:pStyle w:val="BodyText"/>
        <w:spacing w:line="261" w:lineRule="auto" w:before="3"/>
        <w:ind w:left="2574" w:right="1721" w:hanging="738"/>
        <w:jc w:val="both"/>
      </w:pPr>
      <w:r>
        <w:rPr>
          <w:color w:val="231F20"/>
          <w:w w:val="105"/>
        </w:rPr>
        <w:t>Bielsa,</w:t>
      </w:r>
      <w:r>
        <w:rPr>
          <w:color w:val="231F20"/>
          <w:spacing w:val="-42"/>
          <w:w w:val="105"/>
        </w:rPr>
        <w:t> </w:t>
      </w:r>
      <w:r>
        <w:rPr>
          <w:color w:val="231F20"/>
          <w:w w:val="105"/>
        </w:rPr>
        <w:t>Esperanca,</w:t>
      </w:r>
      <w:r>
        <w:rPr>
          <w:color w:val="231F20"/>
          <w:spacing w:val="-42"/>
          <w:w w:val="105"/>
        </w:rPr>
        <w:t> </w:t>
      </w:r>
      <w:r>
        <w:rPr>
          <w:color w:val="231F20"/>
          <w:w w:val="105"/>
        </w:rPr>
        <w:t>Casellas,</w:t>
      </w:r>
      <w:r>
        <w:rPr>
          <w:color w:val="231F20"/>
          <w:spacing w:val="-44"/>
          <w:w w:val="105"/>
        </w:rPr>
        <w:t> </w:t>
      </w:r>
      <w:r>
        <w:rPr>
          <w:color w:val="231F20"/>
          <w:w w:val="105"/>
        </w:rPr>
        <w:t>Antonia</w:t>
      </w:r>
      <w:r>
        <w:rPr>
          <w:color w:val="231F20"/>
          <w:spacing w:val="-40"/>
          <w:w w:val="105"/>
        </w:rPr>
        <w:t> </w:t>
      </w:r>
      <w:r>
        <w:rPr>
          <w:color w:val="231F20"/>
          <w:w w:val="105"/>
        </w:rPr>
        <w:t>y</w:t>
      </w:r>
      <w:r>
        <w:rPr>
          <w:color w:val="231F20"/>
          <w:spacing w:val="-41"/>
          <w:w w:val="105"/>
        </w:rPr>
        <w:t> </w:t>
      </w:r>
      <w:r>
        <w:rPr>
          <w:color w:val="231F20"/>
          <w:spacing w:val="-4"/>
          <w:w w:val="105"/>
        </w:rPr>
        <w:t>Verger,</w:t>
      </w:r>
      <w:r>
        <w:rPr>
          <w:color w:val="231F20"/>
          <w:spacing w:val="-44"/>
          <w:w w:val="105"/>
        </w:rPr>
        <w:t> </w:t>
      </w:r>
      <w:r>
        <w:rPr>
          <w:color w:val="231F20"/>
          <w:w w:val="105"/>
        </w:rPr>
        <w:t>Antoni,</w:t>
      </w:r>
      <w:r>
        <w:rPr>
          <w:color w:val="231F20"/>
          <w:spacing w:val="-42"/>
          <w:w w:val="105"/>
        </w:rPr>
        <w:t> </w:t>
      </w:r>
      <w:r>
        <w:rPr>
          <w:color w:val="231F20"/>
          <w:w w:val="105"/>
        </w:rPr>
        <w:t>(2014),</w:t>
      </w:r>
      <w:r>
        <w:rPr>
          <w:color w:val="231F20"/>
          <w:spacing w:val="-42"/>
          <w:w w:val="105"/>
        </w:rPr>
        <w:t> </w:t>
      </w:r>
      <w:r>
        <w:rPr>
          <w:color w:val="231F20"/>
          <w:w w:val="105"/>
        </w:rPr>
        <w:t>“Homecom- ing as displacement: An analysis from the perspective of</w:t>
      </w:r>
      <w:r>
        <w:rPr>
          <w:color w:val="231F20"/>
          <w:spacing w:val="-24"/>
          <w:w w:val="105"/>
        </w:rPr>
        <w:t> </w:t>
      </w:r>
      <w:r>
        <w:rPr>
          <w:color w:val="231F20"/>
          <w:w w:val="105"/>
        </w:rPr>
        <w:t>return- ing</w:t>
      </w:r>
      <w:r>
        <w:rPr>
          <w:color w:val="231F20"/>
          <w:spacing w:val="-22"/>
          <w:w w:val="105"/>
        </w:rPr>
        <w:t> </w:t>
      </w:r>
      <w:r>
        <w:rPr>
          <w:color w:val="231F20"/>
          <w:w w:val="105"/>
        </w:rPr>
        <w:t>social</w:t>
      </w:r>
      <w:r>
        <w:rPr>
          <w:color w:val="231F20"/>
          <w:spacing w:val="-22"/>
          <w:w w:val="105"/>
        </w:rPr>
        <w:t> </w:t>
      </w:r>
      <w:r>
        <w:rPr>
          <w:color w:val="231F20"/>
          <w:spacing w:val="-3"/>
          <w:w w:val="105"/>
        </w:rPr>
        <w:t>scientists”,</w:t>
      </w:r>
      <w:r>
        <w:rPr>
          <w:color w:val="231F20"/>
          <w:spacing w:val="-27"/>
          <w:w w:val="105"/>
        </w:rPr>
        <w:t> </w:t>
      </w:r>
      <w:r>
        <w:rPr>
          <w:rFonts w:ascii="Arial" w:hAnsi="Arial"/>
          <w:i/>
          <w:color w:val="231F20"/>
          <w:w w:val="105"/>
        </w:rPr>
        <w:t>Current</w:t>
      </w:r>
      <w:r>
        <w:rPr>
          <w:rFonts w:ascii="Arial" w:hAnsi="Arial"/>
          <w:i/>
          <w:color w:val="231F20"/>
          <w:spacing w:val="-25"/>
          <w:w w:val="105"/>
        </w:rPr>
        <w:t> </w:t>
      </w:r>
      <w:r>
        <w:rPr>
          <w:rFonts w:ascii="Arial" w:hAnsi="Arial"/>
          <w:i/>
          <w:color w:val="231F20"/>
          <w:w w:val="105"/>
        </w:rPr>
        <w:t>Sociology</w:t>
      </w:r>
      <w:r>
        <w:rPr>
          <w:color w:val="231F20"/>
          <w:w w:val="105"/>
        </w:rPr>
        <w:t>,</w:t>
      </w:r>
      <w:r>
        <w:rPr>
          <w:color w:val="231F20"/>
          <w:spacing w:val="-27"/>
          <w:w w:val="105"/>
        </w:rPr>
        <w:t> </w:t>
      </w:r>
      <w:r>
        <w:rPr>
          <w:color w:val="231F20"/>
          <w:w w:val="105"/>
        </w:rPr>
        <w:t>vol.</w:t>
      </w:r>
      <w:r>
        <w:rPr>
          <w:color w:val="231F20"/>
          <w:spacing w:val="-27"/>
          <w:w w:val="105"/>
        </w:rPr>
        <w:t> </w:t>
      </w:r>
      <w:r>
        <w:rPr>
          <w:color w:val="231F20"/>
          <w:w w:val="105"/>
        </w:rPr>
        <w:t>62,</w:t>
      </w:r>
      <w:r>
        <w:rPr>
          <w:color w:val="231F20"/>
          <w:spacing w:val="-27"/>
          <w:w w:val="105"/>
        </w:rPr>
        <w:t> </w:t>
      </w:r>
      <w:r>
        <w:rPr>
          <w:color w:val="231F20"/>
          <w:w w:val="105"/>
        </w:rPr>
        <w:t>núm.</w:t>
      </w:r>
      <w:r>
        <w:rPr>
          <w:color w:val="231F20"/>
          <w:spacing w:val="-27"/>
          <w:w w:val="105"/>
        </w:rPr>
        <w:t> </w:t>
      </w:r>
      <w:r>
        <w:rPr>
          <w:color w:val="231F20"/>
          <w:w w:val="105"/>
        </w:rPr>
        <w:t>1.</w:t>
      </w:r>
    </w:p>
    <w:p>
      <w:pPr>
        <w:spacing w:line="261" w:lineRule="auto" w:before="0"/>
        <w:ind w:left="2574" w:right="1715" w:hanging="738"/>
        <w:jc w:val="both"/>
        <w:rPr>
          <w:sz w:val="21"/>
        </w:rPr>
      </w:pPr>
      <w:r>
        <w:rPr>
          <w:color w:val="231F20"/>
          <w:w w:val="105"/>
          <w:sz w:val="21"/>
        </w:rPr>
        <w:t>Brenner,</w:t>
      </w:r>
      <w:r>
        <w:rPr>
          <w:color w:val="231F20"/>
          <w:spacing w:val="-17"/>
          <w:w w:val="105"/>
          <w:sz w:val="21"/>
        </w:rPr>
        <w:t> </w:t>
      </w:r>
      <w:r>
        <w:rPr>
          <w:color w:val="231F20"/>
          <w:w w:val="105"/>
          <w:sz w:val="21"/>
        </w:rPr>
        <w:t>Neil</w:t>
      </w:r>
      <w:r>
        <w:rPr>
          <w:color w:val="231F20"/>
          <w:spacing w:val="-13"/>
          <w:w w:val="105"/>
          <w:sz w:val="21"/>
        </w:rPr>
        <w:t> </w:t>
      </w:r>
      <w:r>
        <w:rPr>
          <w:color w:val="231F20"/>
          <w:w w:val="105"/>
          <w:sz w:val="21"/>
        </w:rPr>
        <w:t>y</w:t>
      </w:r>
      <w:r>
        <w:rPr>
          <w:color w:val="231F20"/>
          <w:spacing w:val="-13"/>
          <w:w w:val="105"/>
          <w:sz w:val="21"/>
        </w:rPr>
        <w:t> </w:t>
      </w:r>
      <w:r>
        <w:rPr>
          <w:color w:val="231F20"/>
          <w:w w:val="105"/>
          <w:sz w:val="21"/>
        </w:rPr>
        <w:t>Schmid,</w:t>
      </w:r>
      <w:r>
        <w:rPr>
          <w:color w:val="231F20"/>
          <w:spacing w:val="-17"/>
          <w:w w:val="105"/>
          <w:sz w:val="21"/>
        </w:rPr>
        <w:t> </w:t>
      </w:r>
      <w:r>
        <w:rPr>
          <w:color w:val="231F20"/>
          <w:w w:val="105"/>
          <w:sz w:val="21"/>
        </w:rPr>
        <w:t>Christian,</w:t>
      </w:r>
      <w:r>
        <w:rPr>
          <w:color w:val="231F20"/>
          <w:spacing w:val="-17"/>
          <w:w w:val="105"/>
          <w:sz w:val="21"/>
        </w:rPr>
        <w:t> </w:t>
      </w:r>
      <w:r>
        <w:rPr>
          <w:color w:val="231F20"/>
          <w:w w:val="105"/>
          <w:sz w:val="21"/>
        </w:rPr>
        <w:t>(2014),</w:t>
      </w:r>
      <w:r>
        <w:rPr>
          <w:color w:val="231F20"/>
          <w:spacing w:val="-17"/>
          <w:w w:val="105"/>
          <w:sz w:val="21"/>
        </w:rPr>
        <w:t> </w:t>
      </w:r>
      <w:r>
        <w:rPr>
          <w:color w:val="231F20"/>
          <w:w w:val="105"/>
          <w:sz w:val="21"/>
        </w:rPr>
        <w:t>“The</w:t>
      </w:r>
      <w:r>
        <w:rPr>
          <w:color w:val="231F20"/>
          <w:spacing w:val="-13"/>
          <w:w w:val="105"/>
          <w:sz w:val="21"/>
        </w:rPr>
        <w:t> </w:t>
      </w:r>
      <w:r>
        <w:rPr>
          <w:color w:val="231F20"/>
          <w:w w:val="105"/>
          <w:sz w:val="21"/>
        </w:rPr>
        <w:t>‘Urban</w:t>
      </w:r>
      <w:r>
        <w:rPr>
          <w:color w:val="231F20"/>
          <w:spacing w:val="-16"/>
          <w:w w:val="105"/>
          <w:sz w:val="21"/>
        </w:rPr>
        <w:t> </w:t>
      </w:r>
      <w:r>
        <w:rPr>
          <w:color w:val="231F20"/>
          <w:w w:val="105"/>
          <w:sz w:val="21"/>
        </w:rPr>
        <w:t>Age’</w:t>
      </w:r>
      <w:r>
        <w:rPr>
          <w:color w:val="231F20"/>
          <w:spacing w:val="-13"/>
          <w:w w:val="105"/>
          <w:sz w:val="21"/>
        </w:rPr>
        <w:t> </w:t>
      </w:r>
      <w:r>
        <w:rPr>
          <w:color w:val="231F20"/>
          <w:w w:val="105"/>
          <w:sz w:val="21"/>
        </w:rPr>
        <w:t>in</w:t>
      </w:r>
      <w:r>
        <w:rPr>
          <w:color w:val="231F20"/>
          <w:spacing w:val="-13"/>
          <w:w w:val="105"/>
          <w:sz w:val="21"/>
        </w:rPr>
        <w:t> </w:t>
      </w:r>
      <w:r>
        <w:rPr>
          <w:color w:val="231F20"/>
          <w:spacing w:val="-3"/>
          <w:w w:val="105"/>
          <w:sz w:val="21"/>
        </w:rPr>
        <w:t>Question”, </w:t>
      </w:r>
      <w:r>
        <w:rPr>
          <w:rFonts w:ascii="Arial" w:hAnsi="Arial"/>
          <w:i/>
          <w:color w:val="231F20"/>
          <w:w w:val="105"/>
          <w:sz w:val="21"/>
        </w:rPr>
        <w:t>International Journal of Urban and Regional Research</w:t>
      </w:r>
      <w:r>
        <w:rPr>
          <w:color w:val="231F20"/>
          <w:w w:val="105"/>
          <w:sz w:val="21"/>
        </w:rPr>
        <w:t>, vol. 38, núm.</w:t>
      </w:r>
      <w:r>
        <w:rPr>
          <w:color w:val="231F20"/>
          <w:spacing w:val="-27"/>
          <w:w w:val="105"/>
          <w:sz w:val="21"/>
        </w:rPr>
        <w:t> </w:t>
      </w:r>
      <w:r>
        <w:rPr>
          <w:color w:val="231F20"/>
          <w:w w:val="105"/>
          <w:sz w:val="21"/>
        </w:rPr>
        <w:t>3.</w:t>
      </w:r>
    </w:p>
    <w:p>
      <w:pPr>
        <w:spacing w:line="261" w:lineRule="auto" w:before="1"/>
        <w:ind w:left="2574" w:right="1715" w:hanging="738"/>
        <w:jc w:val="both"/>
        <w:rPr>
          <w:sz w:val="21"/>
        </w:rPr>
      </w:pPr>
      <w:r>
        <w:rPr>
          <w:color w:val="231F20"/>
          <w:sz w:val="21"/>
        </w:rPr>
        <w:t>Brenner, Neil, (2011), “The Urban Question and The Scale Question: Some Conceptual Clarifications”, en Nina Glick Schiller y Ayse Caglar (eds.), </w:t>
      </w:r>
      <w:r>
        <w:rPr>
          <w:rFonts w:ascii="Arial" w:hAnsi="Arial"/>
          <w:i/>
          <w:color w:val="231F20"/>
          <w:sz w:val="21"/>
        </w:rPr>
        <w:t>Locating Migration. Rescaling Cities and Migrants, </w:t>
      </w:r>
      <w:r>
        <w:rPr>
          <w:color w:val="231F20"/>
          <w:sz w:val="21"/>
        </w:rPr>
        <w:t>Ithaca, </w:t>
      </w:r>
      <w:r>
        <w:rPr>
          <w:color w:val="231F20"/>
          <w:spacing w:val="-5"/>
          <w:sz w:val="21"/>
        </w:rPr>
        <w:t>NY: </w:t>
      </w:r>
      <w:r>
        <w:rPr>
          <w:color w:val="231F20"/>
          <w:sz w:val="21"/>
        </w:rPr>
        <w:t>Cornell University</w:t>
      </w:r>
      <w:r>
        <w:rPr>
          <w:color w:val="231F20"/>
          <w:spacing w:val="-7"/>
          <w:sz w:val="21"/>
        </w:rPr>
        <w:t> </w:t>
      </w:r>
      <w:r>
        <w:rPr>
          <w:color w:val="231F20"/>
          <w:spacing w:val="-3"/>
          <w:sz w:val="21"/>
        </w:rPr>
        <w:t>Press.</w:t>
      </w:r>
    </w:p>
    <w:p>
      <w:pPr>
        <w:spacing w:line="259" w:lineRule="auto" w:before="1"/>
        <w:ind w:left="2574" w:right="1721" w:hanging="738"/>
        <w:jc w:val="both"/>
        <w:rPr>
          <w:sz w:val="21"/>
        </w:rPr>
      </w:pPr>
      <w:r>
        <w:rPr>
          <w:color w:val="231F20"/>
          <w:w w:val="105"/>
          <w:sz w:val="21"/>
        </w:rPr>
        <w:t>Cassarino,</w:t>
      </w:r>
      <w:r>
        <w:rPr>
          <w:color w:val="231F20"/>
          <w:spacing w:val="-11"/>
          <w:w w:val="105"/>
          <w:sz w:val="21"/>
        </w:rPr>
        <w:t> </w:t>
      </w:r>
      <w:r>
        <w:rPr>
          <w:color w:val="231F20"/>
          <w:w w:val="105"/>
          <w:sz w:val="21"/>
        </w:rPr>
        <w:t>Jean-Pierre,</w:t>
      </w:r>
      <w:r>
        <w:rPr>
          <w:color w:val="231F20"/>
          <w:spacing w:val="-9"/>
          <w:w w:val="105"/>
          <w:sz w:val="21"/>
        </w:rPr>
        <w:t> </w:t>
      </w:r>
      <w:r>
        <w:rPr>
          <w:color w:val="231F20"/>
          <w:w w:val="105"/>
          <w:sz w:val="21"/>
        </w:rPr>
        <w:t>(2004),</w:t>
      </w:r>
      <w:r>
        <w:rPr>
          <w:color w:val="231F20"/>
          <w:spacing w:val="-9"/>
          <w:w w:val="105"/>
          <w:sz w:val="21"/>
        </w:rPr>
        <w:t> </w:t>
      </w:r>
      <w:r>
        <w:rPr>
          <w:color w:val="231F20"/>
          <w:w w:val="105"/>
          <w:sz w:val="21"/>
        </w:rPr>
        <w:t>“Theorising</w:t>
      </w:r>
      <w:r>
        <w:rPr>
          <w:color w:val="231F20"/>
          <w:spacing w:val="-5"/>
          <w:w w:val="105"/>
          <w:sz w:val="21"/>
        </w:rPr>
        <w:t> </w:t>
      </w:r>
      <w:r>
        <w:rPr>
          <w:color w:val="231F20"/>
          <w:w w:val="105"/>
          <w:sz w:val="21"/>
        </w:rPr>
        <w:t>Return</w:t>
      </w:r>
      <w:r>
        <w:rPr>
          <w:color w:val="231F20"/>
          <w:spacing w:val="-5"/>
          <w:w w:val="105"/>
          <w:sz w:val="21"/>
        </w:rPr>
        <w:t> </w:t>
      </w:r>
      <w:r>
        <w:rPr>
          <w:color w:val="231F20"/>
          <w:w w:val="105"/>
          <w:sz w:val="21"/>
        </w:rPr>
        <w:t>Migration:</w:t>
      </w:r>
      <w:r>
        <w:rPr>
          <w:color w:val="231F20"/>
          <w:spacing w:val="-8"/>
          <w:w w:val="105"/>
          <w:sz w:val="21"/>
        </w:rPr>
        <w:t> </w:t>
      </w:r>
      <w:r>
        <w:rPr>
          <w:color w:val="231F20"/>
          <w:w w:val="105"/>
          <w:sz w:val="21"/>
        </w:rPr>
        <w:t>The</w:t>
      </w:r>
      <w:r>
        <w:rPr>
          <w:color w:val="231F20"/>
          <w:spacing w:val="-5"/>
          <w:w w:val="105"/>
          <w:sz w:val="21"/>
        </w:rPr>
        <w:t> </w:t>
      </w:r>
      <w:r>
        <w:rPr>
          <w:color w:val="231F20"/>
          <w:w w:val="105"/>
          <w:sz w:val="21"/>
        </w:rPr>
        <w:t>Con- ceptual Approach to Return Migrants </w:t>
      </w:r>
      <w:r>
        <w:rPr>
          <w:color w:val="231F20"/>
          <w:spacing w:val="-3"/>
          <w:w w:val="105"/>
          <w:sz w:val="21"/>
        </w:rPr>
        <w:t>Revisited”, </w:t>
      </w:r>
      <w:r>
        <w:rPr>
          <w:rFonts w:ascii="Arial" w:hAnsi="Arial"/>
          <w:i/>
          <w:color w:val="231F20"/>
          <w:w w:val="105"/>
          <w:sz w:val="21"/>
        </w:rPr>
        <w:t>International </w:t>
      </w:r>
      <w:r>
        <w:rPr>
          <w:rFonts w:ascii="Arial" w:hAnsi="Arial"/>
          <w:i/>
          <w:color w:val="231F20"/>
          <w:w w:val="105"/>
          <w:sz w:val="21"/>
        </w:rPr>
        <w:t>Journal</w:t>
      </w:r>
      <w:r>
        <w:rPr>
          <w:rFonts w:ascii="Arial" w:hAnsi="Arial"/>
          <w:i/>
          <w:color w:val="231F20"/>
          <w:spacing w:val="-24"/>
          <w:w w:val="105"/>
          <w:sz w:val="21"/>
        </w:rPr>
        <w:t> </w:t>
      </w:r>
      <w:r>
        <w:rPr>
          <w:rFonts w:ascii="Arial" w:hAnsi="Arial"/>
          <w:i/>
          <w:color w:val="231F20"/>
          <w:w w:val="105"/>
          <w:sz w:val="21"/>
        </w:rPr>
        <w:t>on</w:t>
      </w:r>
      <w:r>
        <w:rPr>
          <w:rFonts w:ascii="Arial" w:hAnsi="Arial"/>
          <w:i/>
          <w:color w:val="231F20"/>
          <w:spacing w:val="-24"/>
          <w:w w:val="105"/>
          <w:sz w:val="21"/>
        </w:rPr>
        <w:t> </w:t>
      </w:r>
      <w:r>
        <w:rPr>
          <w:rFonts w:ascii="Arial" w:hAnsi="Arial"/>
          <w:i/>
          <w:color w:val="231F20"/>
          <w:w w:val="105"/>
          <w:sz w:val="21"/>
        </w:rPr>
        <w:t>Multicultural</w:t>
      </w:r>
      <w:r>
        <w:rPr>
          <w:rFonts w:ascii="Arial" w:hAnsi="Arial"/>
          <w:i/>
          <w:color w:val="231F20"/>
          <w:spacing w:val="-24"/>
          <w:w w:val="105"/>
          <w:sz w:val="21"/>
        </w:rPr>
        <w:t> </w:t>
      </w:r>
      <w:r>
        <w:rPr>
          <w:rFonts w:ascii="Arial" w:hAnsi="Arial"/>
          <w:i/>
          <w:color w:val="231F20"/>
          <w:w w:val="105"/>
          <w:sz w:val="21"/>
        </w:rPr>
        <w:t>Societies,</w:t>
      </w:r>
      <w:r>
        <w:rPr>
          <w:rFonts w:ascii="Arial" w:hAnsi="Arial"/>
          <w:i/>
          <w:color w:val="231F20"/>
          <w:spacing w:val="-24"/>
          <w:w w:val="105"/>
          <w:sz w:val="21"/>
        </w:rPr>
        <w:t> </w:t>
      </w:r>
      <w:r>
        <w:rPr>
          <w:color w:val="231F20"/>
          <w:w w:val="105"/>
          <w:sz w:val="21"/>
        </w:rPr>
        <w:t>vol.</w:t>
      </w:r>
      <w:r>
        <w:rPr>
          <w:color w:val="231F20"/>
          <w:spacing w:val="-26"/>
          <w:w w:val="105"/>
          <w:sz w:val="21"/>
        </w:rPr>
        <w:t> </w:t>
      </w:r>
      <w:r>
        <w:rPr>
          <w:color w:val="231F20"/>
          <w:w w:val="105"/>
          <w:sz w:val="21"/>
        </w:rPr>
        <w:t>6,</w:t>
      </w:r>
      <w:r>
        <w:rPr>
          <w:color w:val="231F20"/>
          <w:spacing w:val="-26"/>
          <w:w w:val="105"/>
          <w:sz w:val="21"/>
        </w:rPr>
        <w:t> </w:t>
      </w:r>
      <w:r>
        <w:rPr>
          <w:color w:val="231F20"/>
          <w:w w:val="105"/>
          <w:sz w:val="21"/>
        </w:rPr>
        <w:t>núm.</w:t>
      </w:r>
      <w:r>
        <w:rPr>
          <w:color w:val="231F20"/>
          <w:spacing w:val="-26"/>
          <w:w w:val="105"/>
          <w:sz w:val="21"/>
        </w:rPr>
        <w:t> </w:t>
      </w:r>
      <w:r>
        <w:rPr>
          <w:color w:val="231F20"/>
          <w:w w:val="105"/>
          <w:sz w:val="21"/>
        </w:rPr>
        <w:t>2.</w:t>
      </w:r>
    </w:p>
    <w:p>
      <w:pPr>
        <w:tabs>
          <w:tab w:pos="2677" w:val="left" w:leader="none"/>
        </w:tabs>
        <w:spacing w:line="261" w:lineRule="auto" w:before="3"/>
        <w:ind w:left="2574" w:right="1715" w:hanging="738"/>
        <w:jc w:val="both"/>
        <w:rPr>
          <w:sz w:val="21"/>
        </w:rPr>
      </w:pPr>
      <w:r>
        <w:rPr>
          <w:color w:val="231F20"/>
          <w:w w:val="94"/>
          <w:sz w:val="21"/>
          <w:u w:val="single" w:color="221E1F"/>
        </w:rPr>
        <w:t> </w:t>
      </w:r>
      <w:r>
        <w:rPr>
          <w:color w:val="231F20"/>
          <w:sz w:val="21"/>
          <w:u w:val="single" w:color="221E1F"/>
        </w:rPr>
        <w:tab/>
        <w:tab/>
      </w:r>
      <w:r>
        <w:rPr>
          <w:color w:val="231F20"/>
          <w:spacing w:val="16"/>
          <w:sz w:val="21"/>
        </w:rPr>
        <w:t> </w:t>
      </w:r>
      <w:r>
        <w:rPr>
          <w:color w:val="231F20"/>
          <w:w w:val="105"/>
          <w:sz w:val="21"/>
        </w:rPr>
        <w:t>(2013), “Debates in return migration, Scholarly</w:t>
      </w:r>
      <w:r>
        <w:rPr>
          <w:color w:val="231F20"/>
          <w:spacing w:val="2"/>
          <w:w w:val="105"/>
          <w:sz w:val="21"/>
        </w:rPr>
        <w:t> </w:t>
      </w:r>
      <w:r>
        <w:rPr>
          <w:color w:val="231F20"/>
          <w:w w:val="105"/>
          <w:sz w:val="21"/>
        </w:rPr>
        <w:t>Approaches</w:t>
      </w:r>
      <w:r>
        <w:rPr>
          <w:color w:val="231F20"/>
          <w:spacing w:val="2"/>
          <w:w w:val="105"/>
          <w:sz w:val="21"/>
        </w:rPr>
        <w:t> </w:t>
      </w:r>
      <w:r>
        <w:rPr>
          <w:color w:val="231F20"/>
          <w:w w:val="105"/>
          <w:sz w:val="21"/>
        </w:rPr>
        <w:t>to</w:t>
      </w:r>
      <w:r>
        <w:rPr>
          <w:color w:val="231F20"/>
          <w:w w:val="111"/>
          <w:sz w:val="21"/>
        </w:rPr>
        <w:t> </w:t>
      </w:r>
      <w:r>
        <w:rPr>
          <w:color w:val="231F20"/>
          <w:w w:val="105"/>
          <w:sz w:val="21"/>
        </w:rPr>
        <w:t>return</w:t>
      </w:r>
      <w:r>
        <w:rPr>
          <w:color w:val="231F20"/>
          <w:spacing w:val="-25"/>
          <w:w w:val="105"/>
          <w:sz w:val="21"/>
        </w:rPr>
        <w:t> </w:t>
      </w:r>
      <w:r>
        <w:rPr>
          <w:color w:val="231F20"/>
          <w:spacing w:val="-3"/>
          <w:w w:val="105"/>
          <w:sz w:val="21"/>
        </w:rPr>
        <w:t>migration”,</w:t>
      </w:r>
      <w:r>
        <w:rPr>
          <w:color w:val="231F20"/>
          <w:spacing w:val="-30"/>
          <w:w w:val="105"/>
          <w:sz w:val="21"/>
        </w:rPr>
        <w:t> </w:t>
      </w:r>
      <w:r>
        <w:rPr>
          <w:color w:val="231F20"/>
          <w:w w:val="105"/>
          <w:sz w:val="21"/>
        </w:rPr>
        <w:t>en</w:t>
      </w:r>
      <w:r>
        <w:rPr>
          <w:color w:val="231F20"/>
          <w:spacing w:val="-25"/>
          <w:w w:val="105"/>
          <w:sz w:val="21"/>
        </w:rPr>
        <w:t> </w:t>
      </w:r>
      <w:r>
        <w:rPr>
          <w:rFonts w:ascii="Arial" w:hAnsi="Arial"/>
          <w:i/>
          <w:color w:val="231F20"/>
          <w:w w:val="105"/>
          <w:sz w:val="21"/>
        </w:rPr>
        <w:t>Return</w:t>
      </w:r>
      <w:r>
        <w:rPr>
          <w:rFonts w:ascii="Arial" w:hAnsi="Arial"/>
          <w:i/>
          <w:color w:val="231F20"/>
          <w:spacing w:val="-29"/>
          <w:w w:val="105"/>
          <w:sz w:val="21"/>
        </w:rPr>
        <w:t> </w:t>
      </w:r>
      <w:r>
        <w:rPr>
          <w:rFonts w:ascii="Arial" w:hAnsi="Arial"/>
          <w:i/>
          <w:color w:val="231F20"/>
          <w:w w:val="105"/>
          <w:sz w:val="21"/>
        </w:rPr>
        <w:t>Migration</w:t>
      </w:r>
      <w:r>
        <w:rPr>
          <w:rFonts w:ascii="Arial" w:hAnsi="Arial"/>
          <w:i/>
          <w:color w:val="231F20"/>
          <w:spacing w:val="-29"/>
          <w:w w:val="105"/>
          <w:sz w:val="21"/>
        </w:rPr>
        <w:t> </w:t>
      </w:r>
      <w:r>
        <w:rPr>
          <w:rFonts w:ascii="Arial" w:hAnsi="Arial"/>
          <w:i/>
          <w:color w:val="231F20"/>
          <w:w w:val="105"/>
          <w:sz w:val="21"/>
        </w:rPr>
        <w:t>and</w:t>
      </w:r>
      <w:r>
        <w:rPr>
          <w:rFonts w:ascii="Arial" w:hAnsi="Arial"/>
          <w:i/>
          <w:color w:val="231F20"/>
          <w:spacing w:val="-29"/>
          <w:w w:val="105"/>
          <w:sz w:val="21"/>
        </w:rPr>
        <w:t> </w:t>
      </w:r>
      <w:r>
        <w:rPr>
          <w:rFonts w:ascii="Arial" w:hAnsi="Arial"/>
          <w:i/>
          <w:color w:val="231F20"/>
          <w:w w:val="105"/>
          <w:sz w:val="21"/>
        </w:rPr>
        <w:t>Development</w:t>
      </w:r>
      <w:r>
        <w:rPr>
          <w:rFonts w:ascii="Arial" w:hAnsi="Arial"/>
          <w:i/>
          <w:color w:val="231F20"/>
          <w:spacing w:val="-29"/>
          <w:w w:val="105"/>
          <w:sz w:val="21"/>
        </w:rPr>
        <w:t> </w:t>
      </w:r>
      <w:r>
        <w:rPr>
          <w:rFonts w:ascii="Arial" w:hAnsi="Arial"/>
          <w:i/>
          <w:color w:val="231F20"/>
          <w:w w:val="105"/>
          <w:sz w:val="21"/>
        </w:rPr>
        <w:t>Platform</w:t>
      </w:r>
      <w:r>
        <w:rPr>
          <w:color w:val="231F20"/>
          <w:w w:val="105"/>
          <w:sz w:val="21"/>
        </w:rPr>
        <w:t>, Italia:</w:t>
      </w:r>
      <w:r>
        <w:rPr>
          <w:color w:val="231F20"/>
          <w:spacing w:val="-37"/>
          <w:w w:val="105"/>
          <w:sz w:val="21"/>
        </w:rPr>
        <w:t> </w:t>
      </w:r>
      <w:r>
        <w:rPr>
          <w:color w:val="231F20"/>
          <w:w w:val="105"/>
          <w:sz w:val="21"/>
        </w:rPr>
        <w:t>European</w:t>
      </w:r>
      <w:r>
        <w:rPr>
          <w:color w:val="231F20"/>
          <w:spacing w:val="-37"/>
          <w:w w:val="105"/>
          <w:sz w:val="21"/>
        </w:rPr>
        <w:t> </w:t>
      </w:r>
      <w:r>
        <w:rPr>
          <w:color w:val="231F20"/>
          <w:w w:val="105"/>
          <w:sz w:val="21"/>
        </w:rPr>
        <w:t>University</w:t>
      </w:r>
      <w:r>
        <w:rPr>
          <w:color w:val="231F20"/>
          <w:spacing w:val="-37"/>
          <w:w w:val="105"/>
          <w:sz w:val="21"/>
        </w:rPr>
        <w:t> </w:t>
      </w:r>
      <w:r>
        <w:rPr>
          <w:color w:val="231F20"/>
          <w:w w:val="105"/>
          <w:sz w:val="21"/>
        </w:rPr>
        <w:t>Institute.</w:t>
      </w:r>
    </w:p>
    <w:p>
      <w:pPr>
        <w:spacing w:line="259" w:lineRule="auto" w:before="1"/>
        <w:ind w:left="2574" w:right="1721" w:hanging="738"/>
        <w:jc w:val="both"/>
        <w:rPr>
          <w:sz w:val="21"/>
        </w:rPr>
      </w:pPr>
      <w:r>
        <w:rPr>
          <w:color w:val="231F20"/>
          <w:sz w:val="21"/>
        </w:rPr>
        <w:t>De Genova, Nicholas, (2010), “Theoretical Overview”, en Nicholas de Ge- nova y Nathalie Peutz (eds.), </w:t>
      </w:r>
      <w:r>
        <w:rPr>
          <w:rFonts w:ascii="Arial" w:hAnsi="Arial"/>
          <w:i/>
          <w:color w:val="231F20"/>
          <w:sz w:val="21"/>
        </w:rPr>
        <w:t>The Deportation Regime: Sovereig- </w:t>
      </w:r>
      <w:r>
        <w:rPr>
          <w:rFonts w:ascii="Arial" w:hAnsi="Arial"/>
          <w:i/>
          <w:color w:val="231F20"/>
          <w:sz w:val="21"/>
        </w:rPr>
        <w:t>nity, Space and the Freedom of Movements</w:t>
      </w:r>
      <w:r>
        <w:rPr>
          <w:color w:val="231F20"/>
          <w:sz w:val="21"/>
        </w:rPr>
        <w:t>, Durham: Duke Uni- versity Press.</w:t>
      </w:r>
    </w:p>
    <w:p>
      <w:pPr>
        <w:tabs>
          <w:tab w:pos="2677" w:val="left" w:leader="none"/>
        </w:tabs>
        <w:spacing w:line="259" w:lineRule="auto" w:before="3"/>
        <w:ind w:left="2574" w:right="1721" w:hanging="738"/>
        <w:jc w:val="both"/>
        <w:rPr>
          <w:sz w:val="21"/>
        </w:rPr>
      </w:pPr>
      <w:r>
        <w:rPr/>
        <w:pict>
          <v:line style="position:absolute;mso-position-horizontal-relative:page;mso-position-vertical-relative:paragraph;z-index:-475720" from="15pt,110.763992pt" to="0pt,110.763992pt" stroked="true" strokeweight=".25pt" strokecolor="#000000">
            <w10:wrap type="none"/>
          </v:line>
        </w:pict>
      </w:r>
      <w:r>
        <w:rPr/>
        <w:pict>
          <v:line style="position:absolute;mso-position-horizontal-relative:page;mso-position-vertical-relative:paragraph;z-index:14488" from="508.890015pt,110.763992pt" to="523.890015pt,110.763992pt" stroked="true" strokeweight=".25pt" strokecolor="#000000">
            <w10:wrap type="none"/>
          </v:line>
        </w:pict>
      </w:r>
      <w:r>
        <w:rPr>
          <w:color w:val="231F20"/>
          <w:w w:val="94"/>
          <w:sz w:val="21"/>
          <w:u w:val="single" w:color="221E1F"/>
        </w:rPr>
        <w:t> </w:t>
      </w:r>
      <w:r>
        <w:rPr>
          <w:color w:val="231F20"/>
          <w:sz w:val="21"/>
          <w:u w:val="single" w:color="221E1F"/>
        </w:rPr>
        <w:tab/>
        <w:tab/>
      </w:r>
      <w:r>
        <w:rPr>
          <w:color w:val="231F20"/>
          <w:spacing w:val="-3"/>
          <w:sz w:val="21"/>
        </w:rPr>
        <w:t> </w:t>
      </w:r>
      <w:r>
        <w:rPr>
          <w:color w:val="231F20"/>
          <w:w w:val="105"/>
          <w:sz w:val="21"/>
        </w:rPr>
        <w:t>(2013),“The</w:t>
      </w:r>
      <w:r>
        <w:rPr>
          <w:color w:val="231F20"/>
          <w:spacing w:val="-26"/>
          <w:w w:val="105"/>
          <w:sz w:val="21"/>
        </w:rPr>
        <w:t> </w:t>
      </w:r>
      <w:r>
        <w:rPr>
          <w:color w:val="231F20"/>
          <w:w w:val="105"/>
          <w:sz w:val="21"/>
        </w:rPr>
        <w:t>Perplexities</w:t>
      </w:r>
      <w:r>
        <w:rPr>
          <w:color w:val="231F20"/>
          <w:spacing w:val="-26"/>
          <w:w w:val="105"/>
          <w:sz w:val="21"/>
        </w:rPr>
        <w:t> </w:t>
      </w:r>
      <w:r>
        <w:rPr>
          <w:color w:val="231F20"/>
          <w:w w:val="105"/>
          <w:sz w:val="21"/>
        </w:rPr>
        <w:t>of</w:t>
      </w:r>
      <w:r>
        <w:rPr>
          <w:color w:val="231F20"/>
          <w:spacing w:val="-23"/>
          <w:w w:val="105"/>
          <w:sz w:val="21"/>
        </w:rPr>
        <w:t> </w:t>
      </w:r>
      <w:r>
        <w:rPr>
          <w:color w:val="231F20"/>
          <w:spacing w:val="-3"/>
          <w:w w:val="105"/>
          <w:sz w:val="21"/>
        </w:rPr>
        <w:t>Mobility”,</w:t>
      </w:r>
      <w:r>
        <w:rPr>
          <w:color w:val="231F20"/>
          <w:spacing w:val="-30"/>
          <w:w w:val="105"/>
          <w:sz w:val="21"/>
        </w:rPr>
        <w:t> </w:t>
      </w:r>
      <w:r>
        <w:rPr>
          <w:color w:val="231F20"/>
          <w:w w:val="105"/>
          <w:sz w:val="21"/>
        </w:rPr>
        <w:t>en</w:t>
      </w:r>
      <w:r>
        <w:rPr>
          <w:color w:val="231F20"/>
          <w:spacing w:val="-26"/>
          <w:w w:val="105"/>
          <w:sz w:val="21"/>
        </w:rPr>
        <w:t> </w:t>
      </w:r>
      <w:r>
        <w:rPr>
          <w:color w:val="231F20"/>
          <w:w w:val="105"/>
          <w:sz w:val="21"/>
        </w:rPr>
        <w:t>Ola</w:t>
      </w:r>
      <w:r>
        <w:rPr>
          <w:color w:val="231F20"/>
          <w:spacing w:val="-26"/>
          <w:w w:val="105"/>
          <w:sz w:val="21"/>
        </w:rPr>
        <w:t> </w:t>
      </w:r>
      <w:r>
        <w:rPr>
          <w:color w:val="231F20"/>
          <w:w w:val="105"/>
          <w:sz w:val="21"/>
        </w:rPr>
        <w:t>Söderström,</w:t>
      </w:r>
      <w:r>
        <w:rPr>
          <w:color w:val="231F20"/>
          <w:spacing w:val="-30"/>
          <w:w w:val="105"/>
          <w:sz w:val="21"/>
        </w:rPr>
        <w:t> </w:t>
      </w:r>
      <w:r>
        <w:rPr>
          <w:color w:val="231F20"/>
          <w:w w:val="105"/>
          <w:sz w:val="21"/>
        </w:rPr>
        <w:t>Shalini</w:t>
      </w:r>
      <w:r>
        <w:rPr>
          <w:color w:val="231F20"/>
          <w:w w:val="99"/>
          <w:sz w:val="21"/>
        </w:rPr>
        <w:t> </w:t>
      </w:r>
      <w:r>
        <w:rPr>
          <w:color w:val="231F20"/>
          <w:w w:val="105"/>
          <w:sz w:val="21"/>
        </w:rPr>
        <w:t>Redería</w:t>
      </w:r>
      <w:r>
        <w:rPr>
          <w:color w:val="231F20"/>
          <w:spacing w:val="-37"/>
          <w:w w:val="105"/>
          <w:sz w:val="21"/>
        </w:rPr>
        <w:t> </w:t>
      </w:r>
      <w:r>
        <w:rPr>
          <w:rFonts w:ascii="Arial" w:hAnsi="Arial"/>
          <w:i/>
          <w:color w:val="231F20"/>
          <w:w w:val="105"/>
          <w:sz w:val="21"/>
        </w:rPr>
        <w:t>et</w:t>
      </w:r>
      <w:r>
        <w:rPr>
          <w:rFonts w:ascii="Arial" w:hAnsi="Arial"/>
          <w:i/>
          <w:color w:val="231F20"/>
          <w:spacing w:val="-39"/>
          <w:w w:val="105"/>
          <w:sz w:val="21"/>
        </w:rPr>
        <w:t> </w:t>
      </w:r>
      <w:r>
        <w:rPr>
          <w:rFonts w:ascii="Arial" w:hAnsi="Arial"/>
          <w:i/>
          <w:color w:val="231F20"/>
          <w:w w:val="105"/>
          <w:sz w:val="21"/>
        </w:rPr>
        <w:t>al.</w:t>
      </w:r>
      <w:r>
        <w:rPr>
          <w:rFonts w:ascii="Arial" w:hAnsi="Arial"/>
          <w:i/>
          <w:color w:val="231F20"/>
          <w:spacing w:val="-39"/>
          <w:w w:val="105"/>
          <w:sz w:val="21"/>
        </w:rPr>
        <w:t> </w:t>
      </w:r>
      <w:r>
        <w:rPr>
          <w:color w:val="231F20"/>
          <w:w w:val="105"/>
          <w:sz w:val="21"/>
        </w:rPr>
        <w:t>(eds.),</w:t>
      </w:r>
      <w:r>
        <w:rPr>
          <w:color w:val="231F20"/>
          <w:spacing w:val="-39"/>
          <w:w w:val="105"/>
          <w:sz w:val="21"/>
        </w:rPr>
        <w:t> </w:t>
      </w:r>
      <w:r>
        <w:rPr>
          <w:rFonts w:ascii="Arial" w:hAnsi="Arial"/>
          <w:i/>
          <w:color w:val="231F20"/>
          <w:w w:val="105"/>
          <w:sz w:val="21"/>
        </w:rPr>
        <w:t>Critical</w:t>
      </w:r>
      <w:r>
        <w:rPr>
          <w:rFonts w:ascii="Arial" w:hAnsi="Arial"/>
          <w:i/>
          <w:color w:val="231F20"/>
          <w:spacing w:val="-39"/>
          <w:w w:val="105"/>
          <w:sz w:val="21"/>
        </w:rPr>
        <w:t> </w:t>
      </w:r>
      <w:r>
        <w:rPr>
          <w:rFonts w:ascii="Arial" w:hAnsi="Arial"/>
          <w:i/>
          <w:color w:val="231F20"/>
          <w:w w:val="105"/>
          <w:sz w:val="21"/>
        </w:rPr>
        <w:t>Mobilities,</w:t>
      </w:r>
      <w:r>
        <w:rPr>
          <w:rFonts w:ascii="Arial" w:hAnsi="Arial"/>
          <w:i/>
          <w:color w:val="231F20"/>
          <w:spacing w:val="-42"/>
          <w:w w:val="105"/>
          <w:sz w:val="21"/>
        </w:rPr>
        <w:t> </w:t>
      </w:r>
      <w:r>
        <w:rPr>
          <w:color w:val="231F20"/>
          <w:w w:val="105"/>
          <w:sz w:val="21"/>
        </w:rPr>
        <w:t>Oxford:</w:t>
      </w:r>
      <w:r>
        <w:rPr>
          <w:color w:val="231F20"/>
          <w:spacing w:val="-37"/>
          <w:w w:val="105"/>
          <w:sz w:val="21"/>
        </w:rPr>
        <w:t> </w:t>
      </w:r>
      <w:r>
        <w:rPr>
          <w:color w:val="231F20"/>
          <w:w w:val="105"/>
          <w:sz w:val="21"/>
        </w:rPr>
        <w:t>EPFL</w:t>
      </w:r>
      <w:r>
        <w:rPr>
          <w:color w:val="231F20"/>
          <w:spacing w:val="-39"/>
          <w:w w:val="105"/>
          <w:sz w:val="21"/>
        </w:rPr>
        <w:t> </w:t>
      </w:r>
      <w:r>
        <w:rPr>
          <w:color w:val="231F20"/>
          <w:spacing w:val="-3"/>
          <w:w w:val="105"/>
          <w:sz w:val="21"/>
        </w:rPr>
        <w:t>Press.</w:t>
      </w:r>
    </w:p>
    <w:p>
      <w:pPr>
        <w:spacing w:after="0" w:line="259" w:lineRule="auto"/>
        <w:jc w:val="both"/>
        <w:rPr>
          <w:sz w:val="21"/>
        </w:rPr>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line="261" w:lineRule="auto" w:before="0"/>
        <w:ind w:left="2461" w:right="1834" w:hanging="738"/>
        <w:jc w:val="both"/>
        <w:rPr>
          <w:sz w:val="21"/>
        </w:rPr>
      </w:pPr>
      <w:r>
        <w:rPr/>
        <w:pict>
          <v:line style="position:absolute;mso-position-horizontal-relative:page;mso-position-vertical-relative:paragraph;z-index:14536" from="15pt,-71.51725pt" to="0pt,-71.51725pt" stroked="true" strokeweight=".25pt" strokecolor="#000000">
            <w10:wrap type="none"/>
          </v:line>
        </w:pict>
      </w:r>
      <w:r>
        <w:rPr/>
        <w:pict>
          <v:line style="position:absolute;mso-position-horizontal-relative:page;mso-position-vertical-relative:paragraph;z-index:14560" from="508.890015pt,-71.51725pt" to="523.890015pt,-71.51725pt" stroked="true" strokeweight=".25pt" strokecolor="#000000">
            <w10:wrap type="none"/>
          </v:line>
        </w:pict>
      </w:r>
      <w:r>
        <w:rPr>
          <w:color w:val="231F20"/>
          <w:sz w:val="21"/>
        </w:rPr>
        <w:t>Denzin, Norman, (1989), </w:t>
      </w:r>
      <w:r>
        <w:rPr>
          <w:rFonts w:ascii="Arial"/>
          <w:i/>
          <w:color w:val="231F20"/>
          <w:sz w:val="21"/>
        </w:rPr>
        <w:t>Interpretative Biography</w:t>
      </w:r>
      <w:r>
        <w:rPr>
          <w:color w:val="231F20"/>
          <w:sz w:val="21"/>
        </w:rPr>
        <w:t>, Newburry Park: Sage Publications Inc.</w:t>
      </w:r>
    </w:p>
    <w:p>
      <w:pPr>
        <w:spacing w:line="259" w:lineRule="auto" w:before="0"/>
        <w:ind w:left="2461" w:right="1835" w:hanging="738"/>
        <w:jc w:val="both"/>
        <w:rPr>
          <w:sz w:val="21"/>
        </w:rPr>
      </w:pPr>
      <w:r>
        <w:rPr>
          <w:color w:val="231F20"/>
          <w:sz w:val="21"/>
        </w:rPr>
        <w:t>Durand, Jorge y Massey, Douglas, (2003), </w:t>
      </w:r>
      <w:r>
        <w:rPr>
          <w:rFonts w:ascii="Arial" w:hAnsi="Arial"/>
          <w:i/>
          <w:color w:val="231F20"/>
          <w:sz w:val="21"/>
        </w:rPr>
        <w:t>Clandestinos. Migración Méxi- </w:t>
      </w:r>
      <w:r>
        <w:rPr>
          <w:rFonts w:ascii="Arial" w:hAnsi="Arial"/>
          <w:i/>
          <w:color w:val="231F20"/>
          <w:sz w:val="21"/>
        </w:rPr>
        <w:t>co-Estados</w:t>
      </w:r>
      <w:r>
        <w:rPr>
          <w:rFonts w:ascii="Arial" w:hAnsi="Arial"/>
          <w:i/>
          <w:color w:val="231F20"/>
          <w:spacing w:val="-5"/>
          <w:sz w:val="21"/>
        </w:rPr>
        <w:t> </w:t>
      </w:r>
      <w:r>
        <w:rPr>
          <w:rFonts w:ascii="Arial" w:hAnsi="Arial"/>
          <w:i/>
          <w:color w:val="231F20"/>
          <w:sz w:val="21"/>
        </w:rPr>
        <w:t>Unidos</w:t>
      </w:r>
      <w:r>
        <w:rPr>
          <w:rFonts w:ascii="Arial" w:hAnsi="Arial"/>
          <w:i/>
          <w:color w:val="231F20"/>
          <w:spacing w:val="-5"/>
          <w:sz w:val="21"/>
        </w:rPr>
        <w:t> </w:t>
      </w:r>
      <w:r>
        <w:rPr>
          <w:rFonts w:ascii="Arial" w:hAnsi="Arial"/>
          <w:i/>
          <w:color w:val="231F20"/>
          <w:sz w:val="21"/>
        </w:rPr>
        <w:t>en</w:t>
      </w:r>
      <w:r>
        <w:rPr>
          <w:rFonts w:ascii="Arial" w:hAnsi="Arial"/>
          <w:i/>
          <w:color w:val="231F20"/>
          <w:spacing w:val="-5"/>
          <w:sz w:val="21"/>
        </w:rPr>
        <w:t> </w:t>
      </w:r>
      <w:r>
        <w:rPr>
          <w:rFonts w:ascii="Arial" w:hAnsi="Arial"/>
          <w:i/>
          <w:color w:val="231F20"/>
          <w:sz w:val="21"/>
        </w:rPr>
        <w:t>los</w:t>
      </w:r>
      <w:r>
        <w:rPr>
          <w:rFonts w:ascii="Arial" w:hAnsi="Arial"/>
          <w:i/>
          <w:color w:val="231F20"/>
          <w:spacing w:val="-5"/>
          <w:sz w:val="21"/>
        </w:rPr>
        <w:t> </w:t>
      </w:r>
      <w:r>
        <w:rPr>
          <w:rFonts w:ascii="Arial" w:hAnsi="Arial"/>
          <w:i/>
          <w:color w:val="231F20"/>
          <w:sz w:val="21"/>
        </w:rPr>
        <w:t>albores</w:t>
      </w:r>
      <w:r>
        <w:rPr>
          <w:rFonts w:ascii="Arial" w:hAnsi="Arial"/>
          <w:i/>
          <w:color w:val="231F20"/>
          <w:spacing w:val="-5"/>
          <w:sz w:val="21"/>
        </w:rPr>
        <w:t> </w:t>
      </w:r>
      <w:r>
        <w:rPr>
          <w:rFonts w:ascii="Arial" w:hAnsi="Arial"/>
          <w:i/>
          <w:color w:val="231F20"/>
          <w:sz w:val="21"/>
        </w:rPr>
        <w:t>del</w:t>
      </w:r>
      <w:r>
        <w:rPr>
          <w:rFonts w:ascii="Arial" w:hAnsi="Arial"/>
          <w:i/>
          <w:color w:val="231F20"/>
          <w:spacing w:val="-5"/>
          <w:sz w:val="21"/>
        </w:rPr>
        <w:t> </w:t>
      </w:r>
      <w:r>
        <w:rPr>
          <w:rFonts w:ascii="Arial" w:hAnsi="Arial"/>
          <w:i/>
          <w:color w:val="231F20"/>
          <w:sz w:val="21"/>
        </w:rPr>
        <w:t>siglo</w:t>
      </w:r>
      <w:r>
        <w:rPr>
          <w:rFonts w:ascii="Arial" w:hAnsi="Arial"/>
          <w:i/>
          <w:color w:val="231F20"/>
          <w:spacing w:val="-5"/>
          <w:sz w:val="21"/>
        </w:rPr>
        <w:t> </w:t>
      </w:r>
      <w:r>
        <w:rPr>
          <w:rFonts w:ascii="Arial" w:hAnsi="Arial"/>
          <w:i/>
          <w:color w:val="231F20"/>
          <w:sz w:val="17"/>
        </w:rPr>
        <w:t>XXI</w:t>
      </w:r>
      <w:r>
        <w:rPr>
          <w:color w:val="231F20"/>
          <w:sz w:val="21"/>
        </w:rPr>
        <w:t>,</w:t>
      </w:r>
      <w:r>
        <w:rPr>
          <w:color w:val="231F20"/>
          <w:spacing w:val="-2"/>
          <w:sz w:val="21"/>
        </w:rPr>
        <w:t> </w:t>
      </w:r>
      <w:r>
        <w:rPr>
          <w:color w:val="231F20"/>
          <w:sz w:val="21"/>
        </w:rPr>
        <w:t>Zacatecas,</w:t>
      </w:r>
      <w:r>
        <w:rPr>
          <w:color w:val="231F20"/>
          <w:spacing w:val="-9"/>
          <w:sz w:val="21"/>
        </w:rPr>
        <w:t> </w:t>
      </w:r>
      <w:r>
        <w:rPr>
          <w:color w:val="231F20"/>
          <w:sz w:val="21"/>
        </w:rPr>
        <w:t>México: Miguel  Ángel</w:t>
      </w:r>
      <w:r>
        <w:rPr>
          <w:color w:val="231F20"/>
          <w:spacing w:val="11"/>
          <w:sz w:val="21"/>
        </w:rPr>
        <w:t> </w:t>
      </w:r>
      <w:r>
        <w:rPr>
          <w:color w:val="231F20"/>
          <w:sz w:val="21"/>
        </w:rPr>
        <w:t>Porrúa/</w:t>
      </w:r>
      <w:r>
        <w:rPr>
          <w:color w:val="231F20"/>
          <w:sz w:val="17"/>
        </w:rPr>
        <w:t>UAZ</w:t>
      </w:r>
      <w:r>
        <w:rPr>
          <w:color w:val="231F20"/>
          <w:sz w:val="21"/>
        </w:rPr>
        <w:t>.</w:t>
      </w:r>
    </w:p>
    <w:p>
      <w:pPr>
        <w:pStyle w:val="BodyText"/>
        <w:spacing w:line="261" w:lineRule="auto" w:before="3"/>
        <w:ind w:left="2461" w:right="1829" w:hanging="738"/>
        <w:jc w:val="both"/>
      </w:pPr>
      <w:r>
        <w:rPr>
          <w:color w:val="231F20"/>
          <w:w w:val="105"/>
        </w:rPr>
        <w:t>Durand,</w:t>
      </w:r>
      <w:r>
        <w:rPr>
          <w:color w:val="231F20"/>
          <w:spacing w:val="-18"/>
          <w:w w:val="105"/>
        </w:rPr>
        <w:t> </w:t>
      </w:r>
      <w:r>
        <w:rPr>
          <w:color w:val="231F20"/>
          <w:w w:val="105"/>
        </w:rPr>
        <w:t>Jorge,</w:t>
      </w:r>
      <w:r>
        <w:rPr>
          <w:color w:val="231F20"/>
          <w:spacing w:val="-16"/>
          <w:w w:val="105"/>
        </w:rPr>
        <w:t> </w:t>
      </w:r>
      <w:r>
        <w:rPr>
          <w:color w:val="231F20"/>
          <w:w w:val="105"/>
        </w:rPr>
        <w:t>(2004),</w:t>
      </w:r>
      <w:r>
        <w:rPr>
          <w:color w:val="231F20"/>
          <w:spacing w:val="-16"/>
          <w:w w:val="105"/>
        </w:rPr>
        <w:t> </w:t>
      </w:r>
      <w:r>
        <w:rPr>
          <w:color w:val="231F20"/>
          <w:w w:val="105"/>
        </w:rPr>
        <w:t>“Ensayo</w:t>
      </w:r>
      <w:r>
        <w:rPr>
          <w:color w:val="231F20"/>
          <w:spacing w:val="-11"/>
          <w:w w:val="105"/>
        </w:rPr>
        <w:t> </w:t>
      </w:r>
      <w:r>
        <w:rPr>
          <w:color w:val="231F20"/>
          <w:w w:val="105"/>
        </w:rPr>
        <w:t>teórico</w:t>
      </w:r>
      <w:r>
        <w:rPr>
          <w:color w:val="231F20"/>
          <w:spacing w:val="-11"/>
          <w:w w:val="105"/>
        </w:rPr>
        <w:t> </w:t>
      </w:r>
      <w:r>
        <w:rPr>
          <w:color w:val="231F20"/>
          <w:w w:val="105"/>
        </w:rPr>
        <w:t>sobre</w:t>
      </w:r>
      <w:r>
        <w:rPr>
          <w:color w:val="231F20"/>
          <w:spacing w:val="-11"/>
          <w:w w:val="105"/>
        </w:rPr>
        <w:t> </w:t>
      </w:r>
      <w:r>
        <w:rPr>
          <w:color w:val="231F20"/>
          <w:w w:val="105"/>
        </w:rPr>
        <w:t>la</w:t>
      </w:r>
      <w:r>
        <w:rPr>
          <w:color w:val="231F20"/>
          <w:spacing w:val="-11"/>
          <w:w w:val="105"/>
        </w:rPr>
        <w:t> </w:t>
      </w:r>
      <w:r>
        <w:rPr>
          <w:color w:val="231F20"/>
          <w:w w:val="105"/>
        </w:rPr>
        <w:t>migración</w:t>
      </w:r>
      <w:r>
        <w:rPr>
          <w:color w:val="231F20"/>
          <w:spacing w:val="-11"/>
          <w:w w:val="105"/>
        </w:rPr>
        <w:t> </w:t>
      </w:r>
      <w:r>
        <w:rPr>
          <w:color w:val="231F20"/>
          <w:w w:val="105"/>
        </w:rPr>
        <w:t>de</w:t>
      </w:r>
      <w:r>
        <w:rPr>
          <w:color w:val="231F20"/>
          <w:spacing w:val="-11"/>
          <w:w w:val="105"/>
        </w:rPr>
        <w:t> </w:t>
      </w:r>
      <w:r>
        <w:rPr>
          <w:color w:val="231F20"/>
          <w:w w:val="105"/>
        </w:rPr>
        <w:t>retorno.</w:t>
      </w:r>
      <w:r>
        <w:rPr>
          <w:color w:val="231F20"/>
          <w:spacing w:val="-16"/>
          <w:w w:val="105"/>
        </w:rPr>
        <w:t> </w:t>
      </w:r>
      <w:r>
        <w:rPr>
          <w:color w:val="231F20"/>
          <w:w w:val="105"/>
        </w:rPr>
        <w:t>El principio del rendimiento </w:t>
      </w:r>
      <w:r>
        <w:rPr>
          <w:color w:val="231F20"/>
          <w:spacing w:val="-3"/>
          <w:w w:val="105"/>
        </w:rPr>
        <w:t>decreciente”, </w:t>
      </w:r>
      <w:r>
        <w:rPr>
          <w:rFonts w:ascii="Arial" w:hAnsi="Arial"/>
          <w:i/>
          <w:color w:val="231F20"/>
          <w:w w:val="105"/>
        </w:rPr>
        <w:t>Cuadernos geográficos</w:t>
      </w:r>
      <w:r>
        <w:rPr>
          <w:color w:val="231F20"/>
          <w:w w:val="105"/>
        </w:rPr>
        <w:t>, núm.</w:t>
      </w:r>
      <w:r>
        <w:rPr>
          <w:color w:val="231F20"/>
          <w:spacing w:val="-28"/>
          <w:w w:val="105"/>
        </w:rPr>
        <w:t> </w:t>
      </w:r>
      <w:r>
        <w:rPr>
          <w:color w:val="231F20"/>
          <w:w w:val="105"/>
        </w:rPr>
        <w:t>35.</w:t>
      </w:r>
    </w:p>
    <w:p>
      <w:pPr>
        <w:pStyle w:val="BodyText"/>
        <w:spacing w:line="261" w:lineRule="auto" w:before="1"/>
        <w:ind w:left="2461" w:right="1834" w:hanging="738"/>
        <w:jc w:val="both"/>
      </w:pPr>
      <w:r>
        <w:rPr>
          <w:color w:val="231F20"/>
          <w:w w:val="105"/>
        </w:rPr>
        <w:t>Elias,</w:t>
      </w:r>
      <w:r>
        <w:rPr>
          <w:color w:val="231F20"/>
          <w:spacing w:val="-12"/>
          <w:w w:val="105"/>
        </w:rPr>
        <w:t> </w:t>
      </w:r>
      <w:r>
        <w:rPr>
          <w:color w:val="231F20"/>
          <w:w w:val="105"/>
        </w:rPr>
        <w:t>Norbert,</w:t>
      </w:r>
      <w:r>
        <w:rPr>
          <w:color w:val="231F20"/>
          <w:spacing w:val="-12"/>
          <w:w w:val="105"/>
        </w:rPr>
        <w:t> </w:t>
      </w:r>
      <w:r>
        <w:rPr>
          <w:color w:val="231F20"/>
          <w:w w:val="105"/>
        </w:rPr>
        <w:t>(2012),</w:t>
      </w:r>
      <w:r>
        <w:rPr>
          <w:color w:val="231F20"/>
          <w:spacing w:val="-12"/>
          <w:w w:val="105"/>
        </w:rPr>
        <w:t> </w:t>
      </w:r>
      <w:r>
        <w:rPr>
          <w:color w:val="231F20"/>
          <w:w w:val="105"/>
        </w:rPr>
        <w:t>“La</w:t>
      </w:r>
      <w:r>
        <w:rPr>
          <w:color w:val="231F20"/>
          <w:spacing w:val="-7"/>
          <w:w w:val="105"/>
        </w:rPr>
        <w:t> </w:t>
      </w:r>
      <w:r>
        <w:rPr>
          <w:color w:val="231F20"/>
          <w:w w:val="105"/>
        </w:rPr>
        <w:t>relación</w:t>
      </w:r>
      <w:r>
        <w:rPr>
          <w:color w:val="231F20"/>
          <w:spacing w:val="-7"/>
          <w:w w:val="105"/>
        </w:rPr>
        <w:t> </w:t>
      </w:r>
      <w:r>
        <w:rPr>
          <w:color w:val="231F20"/>
          <w:w w:val="105"/>
        </w:rPr>
        <w:t>entre</w:t>
      </w:r>
      <w:r>
        <w:rPr>
          <w:color w:val="231F20"/>
          <w:spacing w:val="-7"/>
          <w:w w:val="105"/>
        </w:rPr>
        <w:t> </w:t>
      </w:r>
      <w:r>
        <w:rPr>
          <w:color w:val="231F20"/>
          <w:w w:val="105"/>
        </w:rPr>
        <w:t>establecidos</w:t>
      </w:r>
      <w:r>
        <w:rPr>
          <w:color w:val="231F20"/>
          <w:spacing w:val="-7"/>
          <w:w w:val="105"/>
        </w:rPr>
        <w:t> </w:t>
      </w:r>
      <w:r>
        <w:rPr>
          <w:color w:val="231F20"/>
          <w:w w:val="105"/>
        </w:rPr>
        <w:t>y</w:t>
      </w:r>
      <w:r>
        <w:rPr>
          <w:color w:val="231F20"/>
          <w:spacing w:val="-7"/>
          <w:w w:val="105"/>
        </w:rPr>
        <w:t> </w:t>
      </w:r>
      <w:r>
        <w:rPr>
          <w:color w:val="231F20"/>
          <w:spacing w:val="-3"/>
          <w:w w:val="105"/>
        </w:rPr>
        <w:t>marginados”,</w:t>
      </w:r>
      <w:r>
        <w:rPr>
          <w:color w:val="231F20"/>
          <w:spacing w:val="-12"/>
          <w:w w:val="105"/>
        </w:rPr>
        <w:t> </w:t>
      </w:r>
      <w:r>
        <w:rPr>
          <w:color w:val="231F20"/>
          <w:w w:val="105"/>
        </w:rPr>
        <w:t>en Georg Simmel, Alfred Schutz, Norbert Elias y Massimo</w:t>
      </w:r>
      <w:r>
        <w:rPr>
          <w:color w:val="231F20"/>
          <w:spacing w:val="-23"/>
          <w:w w:val="105"/>
        </w:rPr>
        <w:t> </w:t>
      </w:r>
      <w:r>
        <w:rPr>
          <w:color w:val="231F20"/>
          <w:w w:val="105"/>
        </w:rPr>
        <w:t>Cacciari (eds.)</w:t>
      </w:r>
      <w:r>
        <w:rPr>
          <w:color w:val="231F20"/>
          <w:spacing w:val="-31"/>
          <w:w w:val="105"/>
        </w:rPr>
        <w:t> </w:t>
      </w:r>
      <w:r>
        <w:rPr>
          <w:rFonts w:ascii="Arial" w:hAnsi="Arial"/>
          <w:i/>
          <w:color w:val="231F20"/>
          <w:w w:val="105"/>
        </w:rPr>
        <w:t>El</w:t>
      </w:r>
      <w:r>
        <w:rPr>
          <w:rFonts w:ascii="Arial" w:hAnsi="Arial"/>
          <w:i/>
          <w:color w:val="231F20"/>
          <w:spacing w:val="-34"/>
          <w:w w:val="105"/>
        </w:rPr>
        <w:t> </w:t>
      </w:r>
      <w:r>
        <w:rPr>
          <w:rFonts w:ascii="Arial" w:hAnsi="Arial"/>
          <w:i/>
          <w:color w:val="231F20"/>
          <w:w w:val="105"/>
        </w:rPr>
        <w:t>extranjero.</w:t>
      </w:r>
      <w:r>
        <w:rPr>
          <w:rFonts w:ascii="Arial" w:hAnsi="Arial"/>
          <w:i/>
          <w:color w:val="231F20"/>
          <w:spacing w:val="-37"/>
          <w:w w:val="105"/>
        </w:rPr>
        <w:t> </w:t>
      </w:r>
      <w:r>
        <w:rPr>
          <w:rFonts w:ascii="Arial" w:hAnsi="Arial"/>
          <w:i/>
          <w:color w:val="231F20"/>
          <w:w w:val="105"/>
        </w:rPr>
        <w:t>Sociología</w:t>
      </w:r>
      <w:r>
        <w:rPr>
          <w:rFonts w:ascii="Arial" w:hAnsi="Arial"/>
          <w:i/>
          <w:color w:val="231F20"/>
          <w:spacing w:val="-34"/>
          <w:w w:val="105"/>
        </w:rPr>
        <w:t> </w:t>
      </w:r>
      <w:r>
        <w:rPr>
          <w:rFonts w:ascii="Arial" w:hAnsi="Arial"/>
          <w:i/>
          <w:color w:val="231F20"/>
          <w:w w:val="105"/>
        </w:rPr>
        <w:t>del</w:t>
      </w:r>
      <w:r>
        <w:rPr>
          <w:rFonts w:ascii="Arial" w:hAnsi="Arial"/>
          <w:i/>
          <w:color w:val="231F20"/>
          <w:spacing w:val="-34"/>
          <w:w w:val="105"/>
        </w:rPr>
        <w:t> </w:t>
      </w:r>
      <w:r>
        <w:rPr>
          <w:rFonts w:ascii="Arial" w:hAnsi="Arial"/>
          <w:i/>
          <w:color w:val="231F20"/>
          <w:w w:val="105"/>
        </w:rPr>
        <w:t>extraño,</w:t>
      </w:r>
      <w:r>
        <w:rPr>
          <w:rFonts w:ascii="Arial" w:hAnsi="Arial"/>
          <w:i/>
          <w:color w:val="231F20"/>
          <w:spacing w:val="-37"/>
          <w:w w:val="105"/>
        </w:rPr>
        <w:t> </w:t>
      </w:r>
      <w:r>
        <w:rPr>
          <w:color w:val="231F20"/>
          <w:w w:val="105"/>
        </w:rPr>
        <w:t>Madrid:</w:t>
      </w:r>
      <w:r>
        <w:rPr>
          <w:color w:val="231F20"/>
          <w:spacing w:val="-31"/>
          <w:w w:val="105"/>
        </w:rPr>
        <w:t> </w:t>
      </w:r>
      <w:r>
        <w:rPr>
          <w:color w:val="231F20"/>
          <w:w w:val="105"/>
        </w:rPr>
        <w:t>Sequitur.</w:t>
      </w:r>
    </w:p>
    <w:p>
      <w:pPr>
        <w:spacing w:line="259" w:lineRule="auto" w:before="0"/>
        <w:ind w:left="2461" w:right="1835" w:hanging="738"/>
        <w:jc w:val="both"/>
        <w:rPr>
          <w:sz w:val="21"/>
        </w:rPr>
      </w:pPr>
      <w:r>
        <w:rPr>
          <w:color w:val="231F20"/>
          <w:sz w:val="21"/>
        </w:rPr>
        <w:t>Emirbayer, Mustafa, (1997), “Manifiesto en pro de una sociología relacio- nal”, </w:t>
      </w:r>
      <w:r>
        <w:rPr>
          <w:rFonts w:ascii="Arial" w:hAnsi="Arial"/>
          <w:i/>
          <w:color w:val="231F20"/>
          <w:sz w:val="21"/>
        </w:rPr>
        <w:t>Revista CS en Ciencias Sociales</w:t>
      </w:r>
      <w:r>
        <w:rPr>
          <w:color w:val="231F20"/>
          <w:sz w:val="21"/>
        </w:rPr>
        <w:t>, núm. 4.</w:t>
      </w:r>
    </w:p>
    <w:p>
      <w:pPr>
        <w:spacing w:line="259" w:lineRule="auto" w:before="0"/>
        <w:ind w:left="2460" w:right="1835" w:hanging="737"/>
        <w:jc w:val="both"/>
        <w:rPr>
          <w:sz w:val="21"/>
        </w:rPr>
      </w:pPr>
      <w:r>
        <w:rPr>
          <w:color w:val="231F20"/>
          <w:sz w:val="21"/>
        </w:rPr>
        <w:t>Espinosa, Víctor, (1998), </w:t>
      </w:r>
      <w:r>
        <w:rPr>
          <w:rFonts w:ascii="Arial" w:hAnsi="Arial"/>
          <w:i/>
          <w:color w:val="231F20"/>
          <w:sz w:val="21"/>
        </w:rPr>
        <w:t>El dilema del retorno. Migración, género y perte- </w:t>
      </w:r>
      <w:r>
        <w:rPr>
          <w:rFonts w:ascii="Arial" w:hAnsi="Arial"/>
          <w:i/>
          <w:color w:val="231F20"/>
          <w:sz w:val="21"/>
        </w:rPr>
        <w:t>nencias en un contexto transnacional</w:t>
      </w:r>
      <w:r>
        <w:rPr>
          <w:color w:val="231F20"/>
          <w:sz w:val="21"/>
        </w:rPr>
        <w:t>, Zamora, México: </w:t>
      </w:r>
      <w:r>
        <w:rPr>
          <w:color w:val="231F20"/>
          <w:sz w:val="17"/>
        </w:rPr>
        <w:t>COLMICH</w:t>
      </w:r>
      <w:r>
        <w:rPr>
          <w:color w:val="231F20"/>
          <w:sz w:val="21"/>
        </w:rPr>
        <w:t>/ </w:t>
      </w:r>
      <w:r>
        <w:rPr>
          <w:color w:val="231F20"/>
          <w:sz w:val="17"/>
        </w:rPr>
        <w:t>COLJAL</w:t>
      </w:r>
      <w:r>
        <w:rPr>
          <w:color w:val="231F20"/>
          <w:sz w:val="21"/>
        </w:rPr>
        <w:t>.</w:t>
      </w:r>
    </w:p>
    <w:p>
      <w:pPr>
        <w:spacing w:line="259" w:lineRule="auto" w:before="0"/>
        <w:ind w:left="2460" w:right="1835" w:hanging="738"/>
        <w:jc w:val="both"/>
        <w:rPr>
          <w:sz w:val="21"/>
        </w:rPr>
      </w:pPr>
      <w:r>
        <w:rPr>
          <w:color w:val="231F20"/>
          <w:sz w:val="21"/>
        </w:rPr>
        <w:t>Fincham, Ben, Mcguinness, Mark y Murray, Lesley, (2010), </w:t>
      </w:r>
      <w:r>
        <w:rPr>
          <w:rFonts w:ascii="Arial"/>
          <w:i/>
          <w:color w:val="231F20"/>
          <w:sz w:val="21"/>
        </w:rPr>
        <w:t>Mobile Meth- </w:t>
      </w:r>
      <w:r>
        <w:rPr>
          <w:rFonts w:ascii="Arial"/>
          <w:i/>
          <w:color w:val="231F20"/>
          <w:sz w:val="21"/>
        </w:rPr>
        <w:t>odologies, </w:t>
      </w:r>
      <w:r>
        <w:rPr>
          <w:color w:val="231F20"/>
          <w:sz w:val="21"/>
        </w:rPr>
        <w:t>Nueva York:Palgrave-MacMillan.</w:t>
      </w:r>
    </w:p>
    <w:p>
      <w:pPr>
        <w:spacing w:line="259" w:lineRule="auto" w:before="3"/>
        <w:ind w:left="2460" w:right="1836" w:hanging="738"/>
        <w:jc w:val="both"/>
        <w:rPr>
          <w:sz w:val="21"/>
        </w:rPr>
      </w:pPr>
      <w:r>
        <w:rPr>
          <w:color w:val="231F20"/>
          <w:w w:val="105"/>
          <w:sz w:val="21"/>
        </w:rPr>
        <w:t>Glick-Schiller,</w:t>
      </w:r>
      <w:r>
        <w:rPr>
          <w:color w:val="231F20"/>
          <w:spacing w:val="-44"/>
          <w:w w:val="105"/>
          <w:sz w:val="21"/>
        </w:rPr>
        <w:t> </w:t>
      </w:r>
      <w:r>
        <w:rPr>
          <w:color w:val="231F20"/>
          <w:w w:val="105"/>
          <w:sz w:val="21"/>
        </w:rPr>
        <w:t>Nina</w:t>
      </w:r>
      <w:r>
        <w:rPr>
          <w:color w:val="231F20"/>
          <w:spacing w:val="-41"/>
          <w:w w:val="105"/>
          <w:sz w:val="21"/>
        </w:rPr>
        <w:t> </w:t>
      </w:r>
      <w:r>
        <w:rPr>
          <w:color w:val="231F20"/>
          <w:w w:val="105"/>
          <w:sz w:val="21"/>
        </w:rPr>
        <w:t>y</w:t>
      </w:r>
      <w:r>
        <w:rPr>
          <w:color w:val="231F20"/>
          <w:spacing w:val="-41"/>
          <w:w w:val="105"/>
          <w:sz w:val="21"/>
        </w:rPr>
        <w:t> </w:t>
      </w:r>
      <w:r>
        <w:rPr>
          <w:color w:val="231F20"/>
          <w:spacing w:val="-3"/>
          <w:w w:val="105"/>
          <w:sz w:val="21"/>
        </w:rPr>
        <w:t>Salazar,</w:t>
      </w:r>
      <w:r>
        <w:rPr>
          <w:color w:val="231F20"/>
          <w:spacing w:val="-44"/>
          <w:w w:val="105"/>
          <w:sz w:val="21"/>
        </w:rPr>
        <w:t> </w:t>
      </w:r>
      <w:r>
        <w:rPr>
          <w:color w:val="231F20"/>
          <w:w w:val="105"/>
          <w:sz w:val="21"/>
        </w:rPr>
        <w:t>Noel,</w:t>
      </w:r>
      <w:r>
        <w:rPr>
          <w:color w:val="231F20"/>
          <w:spacing w:val="-44"/>
          <w:w w:val="105"/>
          <w:sz w:val="21"/>
        </w:rPr>
        <w:t> </w:t>
      </w:r>
      <w:r>
        <w:rPr>
          <w:color w:val="231F20"/>
          <w:w w:val="105"/>
          <w:sz w:val="21"/>
        </w:rPr>
        <w:t>(2013),</w:t>
      </w:r>
      <w:r>
        <w:rPr>
          <w:color w:val="231F20"/>
          <w:spacing w:val="-44"/>
          <w:w w:val="105"/>
          <w:sz w:val="21"/>
        </w:rPr>
        <w:t> </w:t>
      </w:r>
      <w:r>
        <w:rPr>
          <w:color w:val="231F20"/>
          <w:w w:val="105"/>
          <w:sz w:val="21"/>
        </w:rPr>
        <w:t>“Regimes</w:t>
      </w:r>
      <w:r>
        <w:rPr>
          <w:color w:val="231F20"/>
          <w:spacing w:val="-41"/>
          <w:w w:val="105"/>
          <w:sz w:val="21"/>
        </w:rPr>
        <w:t> </w:t>
      </w:r>
      <w:r>
        <w:rPr>
          <w:color w:val="231F20"/>
          <w:w w:val="105"/>
          <w:sz w:val="21"/>
        </w:rPr>
        <w:t>of</w:t>
      </w:r>
      <w:r>
        <w:rPr>
          <w:color w:val="231F20"/>
          <w:spacing w:val="-39"/>
          <w:w w:val="105"/>
          <w:sz w:val="21"/>
        </w:rPr>
        <w:t> </w:t>
      </w:r>
      <w:r>
        <w:rPr>
          <w:color w:val="231F20"/>
          <w:w w:val="105"/>
          <w:sz w:val="21"/>
        </w:rPr>
        <w:t>Mobility</w:t>
      </w:r>
      <w:r>
        <w:rPr>
          <w:color w:val="231F20"/>
          <w:spacing w:val="-41"/>
          <w:w w:val="105"/>
          <w:sz w:val="21"/>
        </w:rPr>
        <w:t> </w:t>
      </w:r>
      <w:r>
        <w:rPr>
          <w:color w:val="231F20"/>
          <w:spacing w:val="-3"/>
          <w:w w:val="105"/>
          <w:sz w:val="21"/>
        </w:rPr>
        <w:t>across</w:t>
      </w:r>
      <w:r>
        <w:rPr>
          <w:color w:val="231F20"/>
          <w:spacing w:val="-41"/>
          <w:w w:val="105"/>
          <w:sz w:val="21"/>
        </w:rPr>
        <w:t> </w:t>
      </w:r>
      <w:r>
        <w:rPr>
          <w:color w:val="231F20"/>
          <w:spacing w:val="-2"/>
          <w:w w:val="105"/>
          <w:sz w:val="21"/>
        </w:rPr>
        <w:t>the </w:t>
      </w:r>
      <w:r>
        <w:rPr>
          <w:color w:val="231F20"/>
          <w:spacing w:val="-6"/>
          <w:w w:val="105"/>
          <w:sz w:val="21"/>
        </w:rPr>
        <w:t>Globe”,</w:t>
      </w:r>
      <w:r>
        <w:rPr>
          <w:color w:val="231F20"/>
          <w:spacing w:val="-28"/>
          <w:w w:val="105"/>
          <w:sz w:val="21"/>
        </w:rPr>
        <w:t> </w:t>
      </w:r>
      <w:r>
        <w:rPr>
          <w:rFonts w:ascii="Arial" w:hAnsi="Arial"/>
          <w:i/>
          <w:color w:val="231F20"/>
          <w:w w:val="105"/>
          <w:sz w:val="21"/>
        </w:rPr>
        <w:t>Journal</w:t>
      </w:r>
      <w:r>
        <w:rPr>
          <w:rFonts w:ascii="Arial" w:hAnsi="Arial"/>
          <w:i/>
          <w:color w:val="231F20"/>
          <w:spacing w:val="-27"/>
          <w:w w:val="105"/>
          <w:sz w:val="21"/>
        </w:rPr>
        <w:t> </w:t>
      </w:r>
      <w:r>
        <w:rPr>
          <w:rFonts w:ascii="Arial" w:hAnsi="Arial"/>
          <w:i/>
          <w:color w:val="231F20"/>
          <w:w w:val="105"/>
          <w:sz w:val="21"/>
        </w:rPr>
        <w:t>of</w:t>
      </w:r>
      <w:r>
        <w:rPr>
          <w:rFonts w:ascii="Arial" w:hAnsi="Arial"/>
          <w:i/>
          <w:color w:val="231F20"/>
          <w:spacing w:val="-23"/>
          <w:w w:val="105"/>
          <w:sz w:val="21"/>
        </w:rPr>
        <w:t> </w:t>
      </w:r>
      <w:r>
        <w:rPr>
          <w:rFonts w:ascii="Arial" w:hAnsi="Arial"/>
          <w:i/>
          <w:color w:val="231F20"/>
          <w:w w:val="105"/>
          <w:sz w:val="21"/>
        </w:rPr>
        <w:t>Ethnic</w:t>
      </w:r>
      <w:r>
        <w:rPr>
          <w:rFonts w:ascii="Arial" w:hAnsi="Arial"/>
          <w:i/>
          <w:color w:val="231F20"/>
          <w:spacing w:val="-27"/>
          <w:w w:val="105"/>
          <w:sz w:val="21"/>
        </w:rPr>
        <w:t> </w:t>
      </w:r>
      <w:r>
        <w:rPr>
          <w:rFonts w:ascii="Arial" w:hAnsi="Arial"/>
          <w:i/>
          <w:color w:val="231F20"/>
          <w:w w:val="105"/>
          <w:sz w:val="21"/>
        </w:rPr>
        <w:t>and</w:t>
      </w:r>
      <w:r>
        <w:rPr>
          <w:rFonts w:ascii="Arial" w:hAnsi="Arial"/>
          <w:i/>
          <w:color w:val="231F20"/>
          <w:spacing w:val="-27"/>
          <w:w w:val="105"/>
          <w:sz w:val="21"/>
        </w:rPr>
        <w:t> </w:t>
      </w:r>
      <w:r>
        <w:rPr>
          <w:rFonts w:ascii="Arial" w:hAnsi="Arial"/>
          <w:i/>
          <w:color w:val="231F20"/>
          <w:spacing w:val="-3"/>
          <w:w w:val="105"/>
          <w:sz w:val="21"/>
        </w:rPr>
        <w:t>Migration</w:t>
      </w:r>
      <w:r>
        <w:rPr>
          <w:rFonts w:ascii="Arial" w:hAnsi="Arial"/>
          <w:i/>
          <w:color w:val="231F20"/>
          <w:spacing w:val="-27"/>
          <w:w w:val="105"/>
          <w:sz w:val="21"/>
        </w:rPr>
        <w:t> </w:t>
      </w:r>
      <w:r>
        <w:rPr>
          <w:rFonts w:ascii="Arial" w:hAnsi="Arial"/>
          <w:i/>
          <w:color w:val="231F20"/>
          <w:w w:val="105"/>
          <w:sz w:val="21"/>
        </w:rPr>
        <w:t>Studies</w:t>
      </w:r>
      <w:r>
        <w:rPr>
          <w:color w:val="231F20"/>
          <w:w w:val="105"/>
          <w:sz w:val="21"/>
        </w:rPr>
        <w:t>,</w:t>
      </w:r>
      <w:r>
        <w:rPr>
          <w:color w:val="231F20"/>
          <w:spacing w:val="-28"/>
          <w:w w:val="105"/>
          <w:sz w:val="21"/>
        </w:rPr>
        <w:t> </w:t>
      </w:r>
      <w:r>
        <w:rPr>
          <w:color w:val="231F20"/>
          <w:w w:val="105"/>
          <w:sz w:val="21"/>
        </w:rPr>
        <w:t>vol.</w:t>
      </w:r>
      <w:r>
        <w:rPr>
          <w:color w:val="231F20"/>
          <w:spacing w:val="-28"/>
          <w:w w:val="105"/>
          <w:sz w:val="21"/>
        </w:rPr>
        <w:t> </w:t>
      </w:r>
      <w:r>
        <w:rPr>
          <w:color w:val="231F20"/>
          <w:w w:val="105"/>
          <w:sz w:val="21"/>
        </w:rPr>
        <w:t>39,</w:t>
      </w:r>
      <w:r>
        <w:rPr>
          <w:color w:val="231F20"/>
          <w:spacing w:val="-28"/>
          <w:w w:val="105"/>
          <w:sz w:val="21"/>
        </w:rPr>
        <w:t> </w:t>
      </w:r>
      <w:r>
        <w:rPr>
          <w:color w:val="231F20"/>
          <w:w w:val="105"/>
          <w:sz w:val="21"/>
        </w:rPr>
        <w:t>núm.</w:t>
      </w:r>
      <w:r>
        <w:rPr>
          <w:color w:val="231F20"/>
          <w:spacing w:val="-28"/>
          <w:w w:val="105"/>
          <w:sz w:val="21"/>
        </w:rPr>
        <w:t> </w:t>
      </w:r>
      <w:r>
        <w:rPr>
          <w:color w:val="231F20"/>
          <w:w w:val="105"/>
          <w:sz w:val="21"/>
        </w:rPr>
        <w:t>2.</w:t>
      </w:r>
    </w:p>
    <w:p>
      <w:pPr>
        <w:spacing w:line="259" w:lineRule="auto" w:before="0"/>
        <w:ind w:left="2460" w:right="1835" w:hanging="738"/>
        <w:jc w:val="both"/>
        <w:rPr>
          <w:sz w:val="21"/>
        </w:rPr>
      </w:pPr>
      <w:r>
        <w:rPr>
          <w:color w:val="231F20"/>
          <w:sz w:val="21"/>
        </w:rPr>
        <w:t>Gonzales, Manuel, (1999), </w:t>
      </w:r>
      <w:r>
        <w:rPr>
          <w:rFonts w:ascii="Arial"/>
          <w:i/>
          <w:color w:val="231F20"/>
          <w:sz w:val="21"/>
        </w:rPr>
        <w:t>Mexicanos: A History of Mexicans in the United </w:t>
      </w:r>
      <w:r>
        <w:rPr>
          <w:rFonts w:ascii="Arial"/>
          <w:i/>
          <w:color w:val="231F20"/>
          <w:sz w:val="21"/>
        </w:rPr>
        <w:t>States</w:t>
      </w:r>
      <w:r>
        <w:rPr>
          <w:color w:val="231F20"/>
          <w:sz w:val="21"/>
        </w:rPr>
        <w:t>, Indiana. Bloomington: Indiana University Press.</w:t>
      </w:r>
    </w:p>
    <w:p>
      <w:pPr>
        <w:pStyle w:val="BodyText"/>
        <w:spacing w:line="259" w:lineRule="auto" w:before="3"/>
        <w:ind w:left="1723" w:right="1829" w:hanging="1"/>
        <w:jc w:val="right"/>
        <w:rPr>
          <w:rFonts w:ascii="Arial" w:hAnsi="Arial"/>
          <w:i/>
        </w:rPr>
      </w:pPr>
      <w:r>
        <w:rPr>
          <w:color w:val="231F20"/>
        </w:rPr>
        <w:t>Herrera, Gioconda (coord.), (2013), “El retorno a Ecuador</w:t>
      </w:r>
      <w:r>
        <w:rPr>
          <w:color w:val="231F20"/>
          <w:spacing w:val="53"/>
        </w:rPr>
        <w:t> </w:t>
      </w:r>
      <w:r>
        <w:rPr>
          <w:color w:val="231F20"/>
        </w:rPr>
        <w:t>desde</w:t>
      </w:r>
      <w:r>
        <w:rPr>
          <w:color w:val="231F20"/>
          <w:spacing w:val="17"/>
        </w:rPr>
        <w:t> </w:t>
      </w:r>
      <w:r>
        <w:rPr>
          <w:color w:val="231F20"/>
        </w:rPr>
        <w:t>España:</w:t>
      </w:r>
      <w:r>
        <w:rPr>
          <w:color w:val="231F20"/>
          <w:w w:val="98"/>
        </w:rPr>
        <w:t> </w:t>
      </w:r>
      <w:r>
        <w:rPr>
          <w:color w:val="231F20"/>
        </w:rPr>
        <w:t>Estrategias económicas, socio-familiares y afectivas para</w:t>
      </w:r>
      <w:r>
        <w:rPr>
          <w:color w:val="231F20"/>
          <w:spacing w:val="11"/>
        </w:rPr>
        <w:t> </w:t>
      </w:r>
      <w:r>
        <w:rPr>
          <w:color w:val="231F20"/>
        </w:rPr>
        <w:t>una</w:t>
      </w:r>
      <w:r>
        <w:rPr>
          <w:color w:val="231F20"/>
          <w:spacing w:val="21"/>
        </w:rPr>
        <w:t> </w:t>
      </w:r>
      <w:r>
        <w:rPr>
          <w:color w:val="231F20"/>
        </w:rPr>
        <w:t>in-</w:t>
      </w:r>
      <w:r>
        <w:rPr>
          <w:color w:val="231F20"/>
          <w:w w:val="96"/>
        </w:rPr>
        <w:t> </w:t>
      </w:r>
      <w:r>
        <w:rPr>
          <w:color w:val="231F20"/>
        </w:rPr>
        <w:t>tegración transnacional”, </w:t>
      </w:r>
      <w:r>
        <w:rPr>
          <w:rFonts w:ascii="Arial" w:hAnsi="Arial"/>
          <w:i/>
          <w:color w:val="231F20"/>
        </w:rPr>
        <w:t>Informe de Investigación,</w:t>
      </w:r>
      <w:r>
        <w:rPr>
          <w:rFonts w:ascii="Arial" w:hAnsi="Arial"/>
          <w:i/>
          <w:color w:val="231F20"/>
          <w:spacing w:val="50"/>
        </w:rPr>
        <w:t> </w:t>
      </w:r>
      <w:r>
        <w:rPr>
          <w:color w:val="231F20"/>
        </w:rPr>
        <w:t>Quito:</w:t>
      </w:r>
      <w:r>
        <w:rPr>
          <w:color w:val="231F20"/>
          <w:spacing w:val="12"/>
        </w:rPr>
        <w:t> </w:t>
      </w:r>
      <w:r>
        <w:rPr>
          <w:color w:val="231F20"/>
          <w:sz w:val="17"/>
        </w:rPr>
        <w:t>FLACSO</w:t>
      </w:r>
      <w:r>
        <w:rPr>
          <w:color w:val="231F20"/>
        </w:rPr>
        <w:t>.</w:t>
      </w:r>
      <w:r>
        <w:rPr>
          <w:color w:val="231F20"/>
          <w:w w:val="93"/>
        </w:rPr>
        <w:t> </w:t>
      </w:r>
      <w:r>
        <w:rPr>
          <w:color w:val="231F20"/>
        </w:rPr>
        <w:t>Instituto Nacional de Estadística y Geografía (</w:t>
      </w:r>
      <w:r>
        <w:rPr>
          <w:color w:val="231F20"/>
          <w:sz w:val="17"/>
        </w:rPr>
        <w:t>INEGI</w:t>
      </w:r>
      <w:r>
        <w:rPr>
          <w:color w:val="231F20"/>
        </w:rPr>
        <w:t>), (2000), </w:t>
      </w:r>
      <w:r>
        <w:rPr>
          <w:rFonts w:ascii="Arial" w:hAnsi="Arial"/>
          <w:i/>
          <w:color w:val="231F20"/>
        </w:rPr>
        <w:t>Censo de</w:t>
      </w:r>
      <w:r>
        <w:rPr>
          <w:rFonts w:ascii="Arial" w:hAnsi="Arial"/>
          <w:i/>
          <w:color w:val="231F20"/>
          <w:spacing w:val="35"/>
        </w:rPr>
        <w:t> </w:t>
      </w:r>
      <w:r>
        <w:rPr>
          <w:rFonts w:ascii="Arial" w:hAnsi="Arial"/>
          <w:i/>
          <w:color w:val="231F20"/>
          <w:spacing w:val="-6"/>
        </w:rPr>
        <w:t>Po-</w:t>
      </w:r>
    </w:p>
    <w:p>
      <w:pPr>
        <w:spacing w:line="241" w:lineRule="exact" w:before="0"/>
        <w:ind w:left="2460" w:right="0" w:firstLine="0"/>
        <w:jc w:val="left"/>
        <w:rPr>
          <w:sz w:val="21"/>
        </w:rPr>
      </w:pPr>
      <w:r>
        <w:rPr>
          <w:rFonts w:ascii="Arial" w:hAnsi="Arial"/>
          <w:i/>
          <w:color w:val="231F20"/>
          <w:sz w:val="21"/>
        </w:rPr>
        <w:t>blación y Vivienda</w:t>
      </w:r>
      <w:r>
        <w:rPr>
          <w:color w:val="231F20"/>
          <w:sz w:val="21"/>
        </w:rPr>
        <w:t>, Aguascalientes, México: </w:t>
      </w:r>
      <w:r>
        <w:rPr>
          <w:color w:val="231F20"/>
          <w:sz w:val="17"/>
        </w:rPr>
        <w:t>INEGI</w:t>
      </w:r>
      <w:r>
        <w:rPr>
          <w:color w:val="231F20"/>
          <w:sz w:val="21"/>
        </w:rPr>
        <w:t>.</w:t>
      </w:r>
    </w:p>
    <w:p>
      <w:pPr>
        <w:tabs>
          <w:tab w:pos="2563" w:val="left" w:leader="none"/>
        </w:tabs>
        <w:spacing w:before="18"/>
        <w:ind w:left="1723" w:right="0" w:firstLine="0"/>
        <w:jc w:val="left"/>
        <w:rPr>
          <w:sz w:val="21"/>
        </w:rPr>
      </w:pPr>
      <w:r>
        <w:rPr>
          <w:color w:val="231F20"/>
          <w:w w:val="94"/>
          <w:sz w:val="21"/>
          <w:u w:val="single" w:color="221E1F"/>
        </w:rPr>
        <w:t> </w:t>
      </w:r>
      <w:r>
        <w:rPr>
          <w:color w:val="231F20"/>
          <w:sz w:val="21"/>
          <w:u w:val="single" w:color="221E1F"/>
        </w:rPr>
        <w:tab/>
      </w:r>
      <w:r>
        <w:rPr>
          <w:color w:val="231F20"/>
          <w:spacing w:val="-4"/>
          <w:sz w:val="21"/>
        </w:rPr>
        <w:t> </w:t>
      </w:r>
      <w:r>
        <w:rPr>
          <w:color w:val="231F20"/>
          <w:sz w:val="21"/>
        </w:rPr>
        <w:t>(2010), </w:t>
      </w:r>
      <w:r>
        <w:rPr>
          <w:rFonts w:ascii="Arial" w:hAnsi="Arial"/>
          <w:i/>
          <w:color w:val="231F20"/>
          <w:sz w:val="21"/>
        </w:rPr>
        <w:t>Censo de Población y Vivienda</w:t>
      </w:r>
      <w:r>
        <w:rPr>
          <w:color w:val="231F20"/>
          <w:sz w:val="21"/>
        </w:rPr>
        <w:t>, Aguascalientes,</w:t>
      </w:r>
      <w:r>
        <w:rPr>
          <w:color w:val="231F20"/>
          <w:spacing w:val="11"/>
          <w:sz w:val="21"/>
        </w:rPr>
        <w:t> </w:t>
      </w:r>
      <w:r>
        <w:rPr>
          <w:color w:val="231F20"/>
          <w:sz w:val="21"/>
        </w:rPr>
        <w:t>México:</w:t>
      </w:r>
    </w:p>
    <w:p>
      <w:pPr>
        <w:spacing w:before="22"/>
        <w:ind w:left="2460" w:right="6753" w:firstLine="0"/>
        <w:jc w:val="left"/>
        <w:rPr>
          <w:sz w:val="21"/>
        </w:rPr>
      </w:pPr>
      <w:r>
        <w:rPr>
          <w:color w:val="231F20"/>
          <w:sz w:val="17"/>
        </w:rPr>
        <w:t>INEGI</w:t>
      </w:r>
      <w:r>
        <w:rPr>
          <w:color w:val="231F20"/>
          <w:sz w:val="21"/>
        </w:rPr>
        <w:t>.</w:t>
      </w:r>
    </w:p>
    <w:p>
      <w:pPr>
        <w:spacing w:line="259" w:lineRule="auto" w:before="22"/>
        <w:ind w:left="2460" w:right="1835" w:hanging="738"/>
        <w:jc w:val="both"/>
        <w:rPr>
          <w:sz w:val="21"/>
        </w:rPr>
      </w:pPr>
      <w:r>
        <w:rPr>
          <w:color w:val="231F20"/>
          <w:w w:val="105"/>
          <w:sz w:val="21"/>
        </w:rPr>
        <w:t>Kabachnik, Peter, (2012), “Nomads and Mobile Places: disentangling place, space and mobility”, </w:t>
      </w:r>
      <w:r>
        <w:rPr>
          <w:rFonts w:ascii="Arial" w:hAnsi="Arial"/>
          <w:i/>
          <w:color w:val="231F20"/>
          <w:w w:val="105"/>
          <w:sz w:val="21"/>
        </w:rPr>
        <w:t>Identities. Global Studies in Culture </w:t>
      </w:r>
      <w:r>
        <w:rPr>
          <w:rFonts w:ascii="Arial" w:hAnsi="Arial"/>
          <w:i/>
          <w:color w:val="231F20"/>
          <w:w w:val="105"/>
          <w:sz w:val="21"/>
        </w:rPr>
        <w:t>and Power</w:t>
      </w:r>
      <w:r>
        <w:rPr>
          <w:color w:val="231F20"/>
          <w:w w:val="105"/>
          <w:sz w:val="21"/>
        </w:rPr>
        <w:t>, vol. 19, núm. 2.</w:t>
      </w:r>
    </w:p>
    <w:p>
      <w:pPr>
        <w:spacing w:line="259" w:lineRule="auto" w:before="3"/>
        <w:ind w:left="2460" w:right="1835" w:hanging="738"/>
        <w:jc w:val="both"/>
        <w:rPr>
          <w:sz w:val="21"/>
        </w:rPr>
      </w:pPr>
      <w:r>
        <w:rPr>
          <w:color w:val="231F20"/>
          <w:spacing w:val="-3"/>
          <w:w w:val="105"/>
          <w:sz w:val="21"/>
        </w:rPr>
        <w:t>Kalir,</w:t>
      </w:r>
      <w:r>
        <w:rPr>
          <w:color w:val="231F20"/>
          <w:spacing w:val="-32"/>
          <w:w w:val="105"/>
          <w:sz w:val="21"/>
        </w:rPr>
        <w:t> </w:t>
      </w:r>
      <w:r>
        <w:rPr>
          <w:color w:val="231F20"/>
          <w:w w:val="105"/>
          <w:sz w:val="21"/>
        </w:rPr>
        <w:t>Barak,</w:t>
      </w:r>
      <w:r>
        <w:rPr>
          <w:color w:val="231F20"/>
          <w:spacing w:val="-32"/>
          <w:w w:val="105"/>
          <w:sz w:val="21"/>
        </w:rPr>
        <w:t> </w:t>
      </w:r>
      <w:r>
        <w:rPr>
          <w:color w:val="231F20"/>
          <w:w w:val="105"/>
          <w:sz w:val="21"/>
        </w:rPr>
        <w:t>(2013),</w:t>
      </w:r>
      <w:r>
        <w:rPr>
          <w:color w:val="231F20"/>
          <w:spacing w:val="-32"/>
          <w:w w:val="105"/>
          <w:sz w:val="21"/>
        </w:rPr>
        <w:t> </w:t>
      </w:r>
      <w:r>
        <w:rPr>
          <w:color w:val="231F20"/>
          <w:w w:val="105"/>
          <w:sz w:val="21"/>
        </w:rPr>
        <w:t>“Moving</w:t>
      </w:r>
      <w:r>
        <w:rPr>
          <w:color w:val="231F20"/>
          <w:spacing w:val="-29"/>
          <w:w w:val="105"/>
          <w:sz w:val="21"/>
        </w:rPr>
        <w:t> </w:t>
      </w:r>
      <w:r>
        <w:rPr>
          <w:color w:val="231F20"/>
          <w:w w:val="105"/>
          <w:sz w:val="21"/>
        </w:rPr>
        <w:t>Subjects,</w:t>
      </w:r>
      <w:r>
        <w:rPr>
          <w:color w:val="231F20"/>
          <w:spacing w:val="-32"/>
          <w:w w:val="105"/>
          <w:sz w:val="21"/>
        </w:rPr>
        <w:t> </w:t>
      </w:r>
      <w:r>
        <w:rPr>
          <w:color w:val="231F20"/>
          <w:w w:val="105"/>
          <w:sz w:val="21"/>
        </w:rPr>
        <w:t>Stagnant</w:t>
      </w:r>
      <w:r>
        <w:rPr>
          <w:color w:val="231F20"/>
          <w:spacing w:val="-29"/>
          <w:w w:val="105"/>
          <w:sz w:val="21"/>
        </w:rPr>
        <w:t> </w:t>
      </w:r>
      <w:r>
        <w:rPr>
          <w:color w:val="231F20"/>
          <w:w w:val="105"/>
          <w:sz w:val="21"/>
        </w:rPr>
        <w:t>Paradigms:</w:t>
      </w:r>
      <w:r>
        <w:rPr>
          <w:color w:val="231F20"/>
          <w:spacing w:val="-29"/>
          <w:w w:val="105"/>
          <w:sz w:val="21"/>
        </w:rPr>
        <w:t> </w:t>
      </w:r>
      <w:r>
        <w:rPr>
          <w:color w:val="231F20"/>
          <w:w w:val="105"/>
          <w:sz w:val="21"/>
        </w:rPr>
        <w:t>Can</w:t>
      </w:r>
      <w:r>
        <w:rPr>
          <w:color w:val="231F20"/>
          <w:spacing w:val="-29"/>
          <w:w w:val="105"/>
          <w:sz w:val="21"/>
        </w:rPr>
        <w:t> </w:t>
      </w:r>
      <w:r>
        <w:rPr>
          <w:color w:val="231F20"/>
          <w:w w:val="105"/>
          <w:sz w:val="21"/>
        </w:rPr>
        <w:t>the</w:t>
      </w:r>
      <w:r>
        <w:rPr>
          <w:color w:val="231F20"/>
          <w:spacing w:val="-29"/>
          <w:w w:val="105"/>
          <w:sz w:val="21"/>
        </w:rPr>
        <w:t> </w:t>
      </w:r>
      <w:r>
        <w:rPr>
          <w:color w:val="231F20"/>
          <w:w w:val="105"/>
          <w:sz w:val="21"/>
        </w:rPr>
        <w:t>‘Mo- bilities Paradigm’ </w:t>
      </w:r>
      <w:r>
        <w:rPr>
          <w:color w:val="231F20"/>
          <w:spacing w:val="-3"/>
          <w:w w:val="105"/>
          <w:sz w:val="21"/>
        </w:rPr>
        <w:t>Trascend </w:t>
      </w:r>
      <w:r>
        <w:rPr>
          <w:color w:val="231F20"/>
          <w:w w:val="105"/>
          <w:sz w:val="21"/>
        </w:rPr>
        <w:t>Methodological </w:t>
      </w:r>
      <w:r>
        <w:rPr>
          <w:color w:val="231F20"/>
          <w:spacing w:val="-3"/>
          <w:w w:val="105"/>
          <w:sz w:val="21"/>
        </w:rPr>
        <w:t>Nationalism?”, </w:t>
      </w:r>
      <w:r>
        <w:rPr>
          <w:rFonts w:ascii="Arial" w:hAnsi="Arial"/>
          <w:i/>
          <w:color w:val="231F20"/>
          <w:w w:val="105"/>
          <w:sz w:val="21"/>
        </w:rPr>
        <w:t>Jour- </w:t>
      </w:r>
      <w:r>
        <w:rPr>
          <w:rFonts w:ascii="Arial" w:hAnsi="Arial"/>
          <w:i/>
          <w:color w:val="231F20"/>
          <w:w w:val="105"/>
          <w:sz w:val="21"/>
        </w:rPr>
        <w:t>nal</w:t>
      </w:r>
      <w:r>
        <w:rPr>
          <w:rFonts w:ascii="Arial" w:hAnsi="Arial"/>
          <w:i/>
          <w:color w:val="231F20"/>
          <w:spacing w:val="-21"/>
          <w:w w:val="105"/>
          <w:sz w:val="21"/>
        </w:rPr>
        <w:t> </w:t>
      </w:r>
      <w:r>
        <w:rPr>
          <w:rFonts w:ascii="Arial" w:hAnsi="Arial"/>
          <w:i/>
          <w:color w:val="231F20"/>
          <w:w w:val="105"/>
          <w:sz w:val="21"/>
        </w:rPr>
        <w:t>of</w:t>
      </w:r>
      <w:r>
        <w:rPr>
          <w:rFonts w:ascii="Arial" w:hAnsi="Arial"/>
          <w:i/>
          <w:color w:val="231F20"/>
          <w:spacing w:val="-17"/>
          <w:w w:val="105"/>
          <w:sz w:val="21"/>
        </w:rPr>
        <w:t> </w:t>
      </w:r>
      <w:r>
        <w:rPr>
          <w:rFonts w:ascii="Arial" w:hAnsi="Arial"/>
          <w:i/>
          <w:color w:val="231F20"/>
          <w:w w:val="105"/>
          <w:sz w:val="21"/>
        </w:rPr>
        <w:t>Ethnic</w:t>
      </w:r>
      <w:r>
        <w:rPr>
          <w:rFonts w:ascii="Arial" w:hAnsi="Arial"/>
          <w:i/>
          <w:color w:val="231F20"/>
          <w:spacing w:val="-21"/>
          <w:w w:val="105"/>
          <w:sz w:val="21"/>
        </w:rPr>
        <w:t> </w:t>
      </w:r>
      <w:r>
        <w:rPr>
          <w:rFonts w:ascii="Arial" w:hAnsi="Arial"/>
          <w:i/>
          <w:color w:val="231F20"/>
          <w:w w:val="105"/>
          <w:sz w:val="21"/>
        </w:rPr>
        <w:t>and</w:t>
      </w:r>
      <w:r>
        <w:rPr>
          <w:rFonts w:ascii="Arial" w:hAnsi="Arial"/>
          <w:i/>
          <w:color w:val="231F20"/>
          <w:spacing w:val="-21"/>
          <w:w w:val="105"/>
          <w:sz w:val="21"/>
        </w:rPr>
        <w:t> </w:t>
      </w:r>
      <w:r>
        <w:rPr>
          <w:rFonts w:ascii="Arial" w:hAnsi="Arial"/>
          <w:i/>
          <w:color w:val="231F20"/>
          <w:w w:val="105"/>
          <w:sz w:val="21"/>
        </w:rPr>
        <w:t>Migration</w:t>
      </w:r>
      <w:r>
        <w:rPr>
          <w:rFonts w:ascii="Arial" w:hAnsi="Arial"/>
          <w:i/>
          <w:color w:val="231F20"/>
          <w:spacing w:val="-21"/>
          <w:w w:val="105"/>
          <w:sz w:val="21"/>
        </w:rPr>
        <w:t> </w:t>
      </w:r>
      <w:r>
        <w:rPr>
          <w:rFonts w:ascii="Arial" w:hAnsi="Arial"/>
          <w:i/>
          <w:color w:val="231F20"/>
          <w:w w:val="105"/>
          <w:sz w:val="21"/>
        </w:rPr>
        <w:t>Studies</w:t>
      </w:r>
      <w:r>
        <w:rPr>
          <w:color w:val="231F20"/>
          <w:w w:val="105"/>
          <w:sz w:val="21"/>
        </w:rPr>
        <w:t>,</w:t>
      </w:r>
      <w:r>
        <w:rPr>
          <w:color w:val="231F20"/>
          <w:spacing w:val="-24"/>
          <w:w w:val="105"/>
          <w:sz w:val="21"/>
        </w:rPr>
        <w:t> </w:t>
      </w:r>
      <w:r>
        <w:rPr>
          <w:color w:val="231F20"/>
          <w:w w:val="105"/>
          <w:sz w:val="21"/>
        </w:rPr>
        <w:t>vol.</w:t>
      </w:r>
      <w:r>
        <w:rPr>
          <w:color w:val="231F20"/>
          <w:spacing w:val="-24"/>
          <w:w w:val="105"/>
          <w:sz w:val="21"/>
        </w:rPr>
        <w:t> </w:t>
      </w:r>
      <w:r>
        <w:rPr>
          <w:color w:val="231F20"/>
          <w:w w:val="105"/>
          <w:sz w:val="21"/>
        </w:rPr>
        <w:t>39,</w:t>
      </w:r>
      <w:r>
        <w:rPr>
          <w:color w:val="231F20"/>
          <w:spacing w:val="-24"/>
          <w:w w:val="105"/>
          <w:sz w:val="21"/>
        </w:rPr>
        <w:t> </w:t>
      </w:r>
      <w:r>
        <w:rPr>
          <w:color w:val="231F20"/>
          <w:w w:val="105"/>
          <w:sz w:val="21"/>
        </w:rPr>
        <w:t>núm.</w:t>
      </w:r>
      <w:r>
        <w:rPr>
          <w:color w:val="231F20"/>
          <w:spacing w:val="-24"/>
          <w:w w:val="105"/>
          <w:sz w:val="21"/>
        </w:rPr>
        <w:t> </w:t>
      </w:r>
      <w:r>
        <w:rPr>
          <w:color w:val="231F20"/>
          <w:w w:val="105"/>
          <w:sz w:val="21"/>
        </w:rPr>
        <w:t>2.</w:t>
      </w:r>
    </w:p>
    <w:p>
      <w:pPr>
        <w:spacing w:line="259" w:lineRule="auto" w:before="0"/>
        <w:ind w:left="2461" w:right="1834" w:hanging="738"/>
        <w:jc w:val="both"/>
        <w:rPr>
          <w:sz w:val="21"/>
        </w:rPr>
      </w:pPr>
      <w:r>
        <w:rPr>
          <w:color w:val="231F20"/>
          <w:sz w:val="21"/>
        </w:rPr>
        <w:t>Kaufmann, Vincent, (2011), </w:t>
      </w:r>
      <w:r>
        <w:rPr>
          <w:rFonts w:ascii="Arial"/>
          <w:i/>
          <w:color w:val="231F20"/>
          <w:sz w:val="21"/>
        </w:rPr>
        <w:t>Rethinking the City: Motility and Urban Dy- </w:t>
      </w:r>
      <w:r>
        <w:rPr>
          <w:rFonts w:ascii="Arial"/>
          <w:i/>
          <w:color w:val="231F20"/>
          <w:sz w:val="21"/>
        </w:rPr>
        <w:t>namics</w:t>
      </w:r>
      <w:r>
        <w:rPr>
          <w:color w:val="231F20"/>
          <w:sz w:val="21"/>
        </w:rPr>
        <w:t>, Oxford: EPFL Press.</w:t>
      </w:r>
    </w:p>
    <w:p>
      <w:pPr>
        <w:spacing w:line="259" w:lineRule="auto" w:before="0"/>
        <w:ind w:left="2461" w:right="1835" w:hanging="738"/>
        <w:jc w:val="both"/>
        <w:rPr>
          <w:sz w:val="21"/>
        </w:rPr>
      </w:pPr>
      <w:r>
        <w:rPr>
          <w:color w:val="231F20"/>
          <w:sz w:val="21"/>
        </w:rPr>
        <w:t>Latour, Bruno, (2008), </w:t>
      </w:r>
      <w:r>
        <w:rPr>
          <w:rFonts w:ascii="Arial" w:hAnsi="Arial"/>
          <w:i/>
          <w:color w:val="231F20"/>
          <w:sz w:val="21"/>
        </w:rPr>
        <w:t>Reensamblar lo social. Una introducción a la teoría </w:t>
      </w:r>
      <w:r>
        <w:rPr>
          <w:rFonts w:ascii="Arial" w:hAnsi="Arial"/>
          <w:i/>
          <w:color w:val="231F20"/>
          <w:sz w:val="21"/>
        </w:rPr>
        <w:t>del Actor-Red</w:t>
      </w:r>
      <w:r>
        <w:rPr>
          <w:color w:val="231F20"/>
          <w:sz w:val="21"/>
        </w:rPr>
        <w:t>, Buenos Aires: Ediciones Manantial.</w:t>
      </w:r>
    </w:p>
    <w:p>
      <w:pPr>
        <w:spacing w:line="259" w:lineRule="auto" w:before="0"/>
        <w:ind w:left="2461" w:right="1834" w:hanging="738"/>
        <w:jc w:val="both"/>
        <w:rPr>
          <w:sz w:val="21"/>
        </w:rPr>
      </w:pPr>
      <w:r>
        <w:rPr>
          <w:color w:val="231F20"/>
          <w:sz w:val="21"/>
        </w:rPr>
        <w:t>Lindón,</w:t>
      </w:r>
      <w:r>
        <w:rPr>
          <w:color w:val="231F20"/>
          <w:spacing w:val="-13"/>
          <w:sz w:val="21"/>
        </w:rPr>
        <w:t> </w:t>
      </w:r>
      <w:r>
        <w:rPr>
          <w:color w:val="231F20"/>
          <w:sz w:val="21"/>
        </w:rPr>
        <w:t>Alicia,</w:t>
      </w:r>
      <w:r>
        <w:rPr>
          <w:color w:val="231F20"/>
          <w:spacing w:val="-9"/>
          <w:sz w:val="21"/>
        </w:rPr>
        <w:t> </w:t>
      </w:r>
      <w:r>
        <w:rPr>
          <w:color w:val="231F20"/>
          <w:sz w:val="21"/>
        </w:rPr>
        <w:t>(1999),</w:t>
      </w:r>
      <w:r>
        <w:rPr>
          <w:color w:val="231F20"/>
          <w:spacing w:val="-9"/>
          <w:sz w:val="21"/>
        </w:rPr>
        <w:t> </w:t>
      </w:r>
      <w:r>
        <w:rPr>
          <w:rFonts w:ascii="Arial" w:hAnsi="Arial"/>
          <w:i/>
          <w:color w:val="231F20"/>
          <w:sz w:val="21"/>
        </w:rPr>
        <w:t>De</w:t>
      </w:r>
      <w:r>
        <w:rPr>
          <w:rFonts w:ascii="Arial" w:hAnsi="Arial"/>
          <w:i/>
          <w:color w:val="231F20"/>
          <w:spacing w:val="-3"/>
          <w:sz w:val="21"/>
        </w:rPr>
        <w:t> </w:t>
      </w:r>
      <w:r>
        <w:rPr>
          <w:rFonts w:ascii="Arial" w:hAnsi="Arial"/>
          <w:i/>
          <w:color w:val="231F20"/>
          <w:sz w:val="21"/>
        </w:rPr>
        <w:t>la</w:t>
      </w:r>
      <w:r>
        <w:rPr>
          <w:rFonts w:ascii="Arial" w:hAnsi="Arial"/>
          <w:i/>
          <w:color w:val="231F20"/>
          <w:spacing w:val="-3"/>
          <w:sz w:val="21"/>
        </w:rPr>
        <w:t> </w:t>
      </w:r>
      <w:r>
        <w:rPr>
          <w:rFonts w:ascii="Arial" w:hAnsi="Arial"/>
          <w:i/>
          <w:color w:val="231F20"/>
          <w:sz w:val="21"/>
        </w:rPr>
        <w:t>trama</w:t>
      </w:r>
      <w:r>
        <w:rPr>
          <w:rFonts w:ascii="Arial" w:hAnsi="Arial"/>
          <w:i/>
          <w:color w:val="231F20"/>
          <w:spacing w:val="-3"/>
          <w:sz w:val="21"/>
        </w:rPr>
        <w:t> </w:t>
      </w:r>
      <w:r>
        <w:rPr>
          <w:rFonts w:ascii="Arial" w:hAnsi="Arial"/>
          <w:i/>
          <w:color w:val="231F20"/>
          <w:sz w:val="21"/>
        </w:rPr>
        <w:t>de</w:t>
      </w:r>
      <w:r>
        <w:rPr>
          <w:rFonts w:ascii="Arial" w:hAnsi="Arial"/>
          <w:i/>
          <w:color w:val="231F20"/>
          <w:spacing w:val="-3"/>
          <w:sz w:val="21"/>
        </w:rPr>
        <w:t> </w:t>
      </w:r>
      <w:r>
        <w:rPr>
          <w:rFonts w:ascii="Arial" w:hAnsi="Arial"/>
          <w:i/>
          <w:color w:val="231F20"/>
          <w:sz w:val="21"/>
        </w:rPr>
        <w:t>la</w:t>
      </w:r>
      <w:r>
        <w:rPr>
          <w:rFonts w:ascii="Arial" w:hAnsi="Arial"/>
          <w:i/>
          <w:color w:val="231F20"/>
          <w:spacing w:val="-3"/>
          <w:sz w:val="21"/>
        </w:rPr>
        <w:t> </w:t>
      </w:r>
      <w:r>
        <w:rPr>
          <w:rFonts w:ascii="Arial" w:hAnsi="Arial"/>
          <w:i/>
          <w:color w:val="231F20"/>
          <w:sz w:val="21"/>
        </w:rPr>
        <w:t>vida</w:t>
      </w:r>
      <w:r>
        <w:rPr>
          <w:rFonts w:ascii="Arial" w:hAnsi="Arial"/>
          <w:i/>
          <w:color w:val="231F20"/>
          <w:spacing w:val="-3"/>
          <w:sz w:val="21"/>
        </w:rPr>
        <w:t> </w:t>
      </w:r>
      <w:r>
        <w:rPr>
          <w:rFonts w:ascii="Arial" w:hAnsi="Arial"/>
          <w:i/>
          <w:color w:val="231F20"/>
          <w:sz w:val="21"/>
        </w:rPr>
        <w:t>cotidiana</w:t>
      </w:r>
      <w:r>
        <w:rPr>
          <w:rFonts w:ascii="Arial" w:hAnsi="Arial"/>
          <w:i/>
          <w:color w:val="231F20"/>
          <w:spacing w:val="-3"/>
          <w:sz w:val="21"/>
        </w:rPr>
        <w:t> </w:t>
      </w:r>
      <w:r>
        <w:rPr>
          <w:rFonts w:ascii="Arial" w:hAnsi="Arial"/>
          <w:i/>
          <w:color w:val="231F20"/>
          <w:sz w:val="21"/>
        </w:rPr>
        <w:t>a</w:t>
      </w:r>
      <w:r>
        <w:rPr>
          <w:rFonts w:ascii="Arial" w:hAnsi="Arial"/>
          <w:i/>
          <w:color w:val="231F20"/>
          <w:spacing w:val="-3"/>
          <w:sz w:val="21"/>
        </w:rPr>
        <w:t> </w:t>
      </w:r>
      <w:r>
        <w:rPr>
          <w:rFonts w:ascii="Arial" w:hAnsi="Arial"/>
          <w:i/>
          <w:color w:val="231F20"/>
          <w:sz w:val="21"/>
        </w:rPr>
        <w:t>los</w:t>
      </w:r>
      <w:r>
        <w:rPr>
          <w:rFonts w:ascii="Arial" w:hAnsi="Arial"/>
          <w:i/>
          <w:color w:val="231F20"/>
          <w:spacing w:val="-3"/>
          <w:sz w:val="21"/>
        </w:rPr>
        <w:t> </w:t>
      </w:r>
      <w:r>
        <w:rPr>
          <w:rFonts w:ascii="Arial" w:hAnsi="Arial"/>
          <w:i/>
          <w:color w:val="231F20"/>
          <w:sz w:val="21"/>
        </w:rPr>
        <w:t>modos</w:t>
      </w:r>
      <w:r>
        <w:rPr>
          <w:rFonts w:ascii="Arial" w:hAnsi="Arial"/>
          <w:i/>
          <w:color w:val="231F20"/>
          <w:spacing w:val="-3"/>
          <w:sz w:val="21"/>
        </w:rPr>
        <w:t> </w:t>
      </w:r>
      <w:r>
        <w:rPr>
          <w:rFonts w:ascii="Arial" w:hAnsi="Arial"/>
          <w:i/>
          <w:color w:val="231F20"/>
          <w:sz w:val="21"/>
        </w:rPr>
        <w:t>de</w:t>
      </w:r>
      <w:r>
        <w:rPr>
          <w:rFonts w:ascii="Arial" w:hAnsi="Arial"/>
          <w:i/>
          <w:color w:val="231F20"/>
          <w:spacing w:val="-3"/>
          <w:sz w:val="21"/>
        </w:rPr>
        <w:t> </w:t>
      </w:r>
      <w:r>
        <w:rPr>
          <w:rFonts w:ascii="Arial" w:hAnsi="Arial"/>
          <w:i/>
          <w:color w:val="231F20"/>
          <w:sz w:val="21"/>
        </w:rPr>
        <w:t>vida </w:t>
      </w:r>
      <w:r>
        <w:rPr>
          <w:rFonts w:ascii="Arial" w:hAnsi="Arial"/>
          <w:i/>
          <w:color w:val="231F20"/>
          <w:sz w:val="21"/>
        </w:rPr>
        <w:t>urbanos, </w:t>
      </w:r>
      <w:r>
        <w:rPr>
          <w:color w:val="231F20"/>
          <w:sz w:val="21"/>
        </w:rPr>
        <w:t>México:</w:t>
      </w:r>
      <w:r>
        <w:rPr>
          <w:color w:val="231F20"/>
          <w:spacing w:val="18"/>
          <w:sz w:val="21"/>
        </w:rPr>
        <w:t> </w:t>
      </w:r>
      <w:r>
        <w:rPr>
          <w:color w:val="231F20"/>
          <w:sz w:val="17"/>
        </w:rPr>
        <w:t>COLMEX</w:t>
      </w:r>
      <w:r>
        <w:rPr>
          <w:color w:val="231F20"/>
          <w:sz w:val="21"/>
        </w:rPr>
        <w:t>.</w:t>
      </w:r>
    </w:p>
    <w:p>
      <w:pPr>
        <w:pStyle w:val="BodyText"/>
        <w:rPr>
          <w:sz w:val="20"/>
        </w:rPr>
      </w:pPr>
    </w:p>
    <w:p>
      <w:pPr>
        <w:pStyle w:val="BodyText"/>
        <w:rPr>
          <w:sz w:val="20"/>
        </w:rPr>
      </w:pPr>
    </w:p>
    <w:p>
      <w:pPr>
        <w:pStyle w:val="BodyText"/>
        <w:rPr>
          <w:sz w:val="20"/>
        </w:rPr>
      </w:pPr>
    </w:p>
    <w:p>
      <w:pPr>
        <w:pStyle w:val="BodyText"/>
        <w:spacing w:before="1"/>
        <w:rPr>
          <w:sz w:val="29"/>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5672" from="131.551193pt,3.703715pt" to="131.551193pt,39.506114pt" stroked="true" strokeweight=".35pt" strokecolor="#231f20">
            <w10:wrap type="none"/>
          </v:line>
        </w:pict>
      </w:r>
      <w:r>
        <w:rPr/>
        <w:pict>
          <v:line style="position:absolute;mso-position-horizontal-relative:page;mso-position-vertical-relative:paragraph;z-index:-475600" from="15pt,39.505917pt" to="0pt,39.505917pt" stroked="true" strokeweight=".25pt" strokecolor="#000000">
            <w10:wrap type="none"/>
          </v:line>
        </w:pict>
      </w:r>
      <w:r>
        <w:rPr/>
        <w:pict>
          <v:line style="position:absolute;mso-position-horizontal-relative:page;mso-position-vertical-relative:paragraph;z-index:14608" from="508.890015pt,39.505917pt" to="523.890015pt,39.505917pt" stroked="true" strokeweight=".25pt" strokecolor="#000000">
            <w10:wrap type="none"/>
          </v:line>
        </w:pict>
      </w:r>
      <w:r>
        <w:rPr>
          <w:rFonts w:ascii="Arial" w:hAnsi="Arial"/>
          <w:color w:val="414042"/>
          <w:position w:val="-5"/>
          <w:sz w:val="20"/>
        </w:rPr>
        <w:t>142</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3005" w:right="0" w:firstLine="0"/>
        <w:jc w:val="left"/>
        <w:rPr>
          <w:rFonts w:ascii="Arial" w:hAnsi="Arial"/>
          <w:sz w:val="20"/>
        </w:rPr>
      </w:pPr>
      <w:r>
        <w:rPr/>
        <w:pict>
          <v:line style="position:absolute;mso-position-horizontal-relative:page;mso-position-vertical-relative:paragraph;z-index:-475552" from="405.061005pt,-18.554295pt" to="405.061005pt,16.311579pt" stroked="true" strokeweight=".35pt" strokecolor="#231f20">
            <w10:wrap type="none"/>
          </v:line>
        </w:pict>
      </w:r>
      <w:r>
        <w:rPr/>
        <w:pict>
          <v:line style="position:absolute;mso-position-horizontal-relative:page;mso-position-vertical-relative:paragraph;z-index:14656" from="15pt,-18.554522pt" to="0pt,-18.554522pt" stroked="true" strokeweight=".25pt" strokecolor="#000000">
            <w10:wrap type="none"/>
          </v:line>
        </w:pict>
      </w:r>
      <w:r>
        <w:rPr/>
        <w:pict>
          <v:line style="position:absolute;mso-position-horizontal-relative:page;mso-position-vertical-relative:paragraph;z-index:14680" from="508.890015pt,-18.554522pt" to="523.890015pt,-18.554522pt" stroked="true" strokeweight=".25pt" strokecolor="#000000">
            <w10:wrap type="none"/>
          </v:line>
        </w:pict>
      </w:r>
      <w:r>
        <w:rPr>
          <w:rFonts w:ascii="Lucida Sans Unicode" w:hAnsi="Lucida Sans Unicode"/>
          <w:color w:val="6D6E71"/>
          <w:w w:val="105"/>
          <w:sz w:val="14"/>
        </w:rPr>
        <w:t>¿VolVer</w:t>
      </w:r>
      <w:r>
        <w:rPr>
          <w:rFonts w:ascii="Lucida Sans Unicode" w:hAnsi="Lucida Sans Unicode"/>
          <w:color w:val="6D6E71"/>
          <w:spacing w:val="-9"/>
          <w:w w:val="105"/>
          <w:sz w:val="14"/>
        </w:rPr>
        <w:t> </w:t>
      </w:r>
      <w:r>
        <w:rPr>
          <w:rFonts w:ascii="Lucida Sans Unicode" w:hAnsi="Lucida Sans Unicode"/>
          <w:color w:val="6D6E71"/>
          <w:w w:val="105"/>
          <w:sz w:val="14"/>
        </w:rPr>
        <w:t>a</w:t>
      </w:r>
      <w:r>
        <w:rPr>
          <w:rFonts w:ascii="Lucida Sans Unicode" w:hAnsi="Lucida Sans Unicode"/>
          <w:color w:val="6D6E71"/>
          <w:spacing w:val="-9"/>
          <w:w w:val="105"/>
          <w:sz w:val="14"/>
        </w:rPr>
        <w:t> </w:t>
      </w:r>
      <w:r>
        <w:rPr>
          <w:rFonts w:ascii="Lucida Sans Unicode" w:hAnsi="Lucida Sans Unicode"/>
          <w:color w:val="6D6E71"/>
          <w:w w:val="105"/>
          <w:sz w:val="14"/>
        </w:rPr>
        <w:t>casa?</w:t>
      </w:r>
      <w:r>
        <w:rPr>
          <w:rFonts w:ascii="Lucida Sans Unicode" w:hAnsi="Lucida Sans Unicode"/>
          <w:color w:val="6D6E71"/>
          <w:spacing w:val="30"/>
          <w:w w:val="105"/>
          <w:sz w:val="14"/>
        </w:rPr>
        <w:t> </w:t>
      </w:r>
      <w:r>
        <w:rPr>
          <w:rFonts w:ascii="Lucida Sans Unicode" w:hAnsi="Lucida Sans Unicode"/>
          <w:color w:val="6D6E71"/>
          <w:w w:val="105"/>
          <w:sz w:val="14"/>
        </w:rPr>
        <w:t>Desafíos</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05"/>
          <w:sz w:val="14"/>
        </w:rPr>
        <w:t>rutas</w:t>
      </w:r>
      <w:r>
        <w:rPr>
          <w:rFonts w:ascii="Lucida Sans Unicode" w:hAnsi="Lucida Sans Unicode"/>
          <w:color w:val="6D6E71"/>
          <w:spacing w:val="-9"/>
          <w:w w:val="105"/>
          <w:sz w:val="14"/>
        </w:rPr>
        <w:t> </w:t>
      </w:r>
      <w:r>
        <w:rPr>
          <w:rFonts w:ascii="Lucida Sans Unicode" w:hAnsi="Lucida Sans Unicode"/>
          <w:color w:val="6D6E71"/>
          <w:w w:val="105"/>
          <w:sz w:val="14"/>
        </w:rPr>
        <w:t>DiVergentes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migrantes</w:t>
      </w:r>
      <w:r>
        <w:rPr>
          <w:rFonts w:ascii="Lucida Sans Unicode" w:hAnsi="Lucida Sans Unicode"/>
          <w:color w:val="6D6E71"/>
          <w:spacing w:val="-9"/>
          <w:w w:val="105"/>
          <w:sz w:val="14"/>
        </w:rPr>
        <w:t> </w:t>
      </w:r>
      <w:r>
        <w:rPr>
          <w:rFonts w:ascii="Lucida Sans Unicode" w:hAnsi="Lucida Sans Unicode"/>
          <w:color w:val="6D6E71"/>
          <w:w w:val="105"/>
          <w:sz w:val="14"/>
        </w:rPr>
        <w:t>De</w:t>
      </w:r>
      <w:r>
        <w:rPr>
          <w:rFonts w:ascii="Lucida Sans Unicode" w:hAnsi="Lucida Sans Unicode"/>
          <w:color w:val="6D6E71"/>
          <w:spacing w:val="-9"/>
          <w:w w:val="105"/>
          <w:sz w:val="14"/>
        </w:rPr>
        <w:t> </w:t>
      </w:r>
      <w:r>
        <w:rPr>
          <w:rFonts w:ascii="Lucida Sans Unicode" w:hAnsi="Lucida Sans Unicode"/>
          <w:color w:val="6D6E71"/>
          <w:w w:val="105"/>
          <w:sz w:val="14"/>
        </w:rPr>
        <w:t>retorno</w:t>
      </w:r>
      <w:r>
        <w:rPr>
          <w:rFonts w:ascii="Arial" w:hAnsi="Arial"/>
          <w:color w:val="414042"/>
          <w:w w:val="105"/>
          <w:position w:val="-3"/>
          <w:sz w:val="20"/>
        </w:rPr>
        <w:tab/>
        <w:t>143</w:t>
      </w:r>
    </w:p>
    <w:p>
      <w:pPr>
        <w:pStyle w:val="BodyText"/>
        <w:rPr>
          <w:rFonts w:ascii="Arial"/>
          <w:sz w:val="20"/>
        </w:rPr>
      </w:pPr>
    </w:p>
    <w:p>
      <w:pPr>
        <w:pStyle w:val="BodyText"/>
        <w:rPr>
          <w:rFonts w:ascii="Arial"/>
          <w:sz w:val="20"/>
        </w:rPr>
      </w:pPr>
    </w:p>
    <w:p>
      <w:pPr>
        <w:pStyle w:val="BodyText"/>
        <w:spacing w:line="261" w:lineRule="auto" w:before="176"/>
        <w:ind w:left="1837" w:right="1721"/>
        <w:jc w:val="right"/>
      </w:pPr>
      <w:r>
        <w:rPr>
          <w:color w:val="231F20"/>
          <w:spacing w:val="-5"/>
          <w:w w:val="105"/>
        </w:rPr>
        <w:t>Mather,</w:t>
      </w:r>
      <w:r>
        <w:rPr>
          <w:color w:val="231F20"/>
          <w:spacing w:val="-24"/>
          <w:w w:val="105"/>
        </w:rPr>
        <w:t> </w:t>
      </w:r>
      <w:r>
        <w:rPr>
          <w:color w:val="231F20"/>
          <w:spacing w:val="-3"/>
          <w:w w:val="105"/>
        </w:rPr>
        <w:t>Charles,</w:t>
      </w:r>
      <w:r>
        <w:rPr>
          <w:color w:val="231F20"/>
          <w:spacing w:val="-24"/>
          <w:w w:val="105"/>
        </w:rPr>
        <w:t> </w:t>
      </w:r>
      <w:r>
        <w:rPr>
          <w:color w:val="231F20"/>
          <w:spacing w:val="-3"/>
          <w:w w:val="105"/>
        </w:rPr>
        <w:t>(2011),</w:t>
      </w:r>
      <w:r>
        <w:rPr>
          <w:color w:val="231F20"/>
          <w:spacing w:val="-24"/>
          <w:w w:val="105"/>
        </w:rPr>
        <w:t> </w:t>
      </w:r>
      <w:r>
        <w:rPr>
          <w:color w:val="231F20"/>
          <w:spacing w:val="-5"/>
          <w:w w:val="105"/>
        </w:rPr>
        <w:t>“Assembling</w:t>
      </w:r>
      <w:r>
        <w:rPr>
          <w:color w:val="231F20"/>
          <w:spacing w:val="-18"/>
          <w:w w:val="105"/>
        </w:rPr>
        <w:t> </w:t>
      </w:r>
      <w:r>
        <w:rPr>
          <w:color w:val="231F20"/>
          <w:spacing w:val="-3"/>
          <w:w w:val="105"/>
        </w:rPr>
        <w:t>geographies</w:t>
      </w:r>
      <w:r>
        <w:rPr>
          <w:color w:val="231F20"/>
          <w:spacing w:val="-18"/>
          <w:w w:val="105"/>
        </w:rPr>
        <w:t> </w:t>
      </w:r>
      <w:r>
        <w:rPr>
          <w:color w:val="231F20"/>
          <w:w w:val="105"/>
        </w:rPr>
        <w:t>of</w:t>
      </w:r>
      <w:r>
        <w:rPr>
          <w:color w:val="231F20"/>
          <w:spacing w:val="-14"/>
          <w:w w:val="105"/>
        </w:rPr>
        <w:t> </w:t>
      </w:r>
      <w:r>
        <w:rPr>
          <w:color w:val="231F20"/>
          <w:spacing w:val="-3"/>
          <w:w w:val="105"/>
        </w:rPr>
        <w:t>global</w:t>
      </w:r>
      <w:r>
        <w:rPr>
          <w:color w:val="231F20"/>
          <w:spacing w:val="-18"/>
          <w:w w:val="105"/>
        </w:rPr>
        <w:t> </w:t>
      </w:r>
      <w:r>
        <w:rPr>
          <w:color w:val="231F20"/>
          <w:spacing w:val="-6"/>
          <w:w w:val="105"/>
        </w:rPr>
        <w:t>crisis”,</w:t>
      </w:r>
      <w:r>
        <w:rPr>
          <w:color w:val="231F20"/>
          <w:spacing w:val="-24"/>
          <w:w w:val="105"/>
        </w:rPr>
        <w:t> </w:t>
      </w:r>
      <w:r>
        <w:rPr>
          <w:color w:val="231F20"/>
          <w:w w:val="105"/>
        </w:rPr>
        <w:t>en</w:t>
      </w:r>
      <w:r>
        <w:rPr>
          <w:color w:val="231F20"/>
          <w:spacing w:val="-18"/>
          <w:w w:val="105"/>
        </w:rPr>
        <w:t> </w:t>
      </w:r>
      <w:r>
        <w:rPr>
          <w:rFonts w:ascii="Arial" w:hAnsi="Arial"/>
          <w:i/>
          <w:color w:val="231F20"/>
          <w:spacing w:val="-3"/>
          <w:w w:val="105"/>
        </w:rPr>
        <w:t>Dia-</w:t>
      </w:r>
      <w:r>
        <w:rPr>
          <w:rFonts w:ascii="Arial" w:hAnsi="Arial"/>
          <w:i/>
          <w:color w:val="231F20"/>
          <w:w w:val="96"/>
        </w:rPr>
        <w:t> </w:t>
      </w:r>
      <w:r>
        <w:rPr>
          <w:rFonts w:ascii="Arial" w:hAnsi="Arial"/>
          <w:i/>
          <w:color w:val="231F20"/>
          <w:spacing w:val="-3"/>
          <w:w w:val="105"/>
        </w:rPr>
        <w:t>logues</w:t>
      </w:r>
      <w:r>
        <w:rPr>
          <w:rFonts w:ascii="Arial" w:hAnsi="Arial"/>
          <w:i/>
          <w:color w:val="231F20"/>
          <w:spacing w:val="-27"/>
          <w:w w:val="105"/>
        </w:rPr>
        <w:t> </w:t>
      </w:r>
      <w:r>
        <w:rPr>
          <w:rFonts w:ascii="Arial" w:hAnsi="Arial"/>
          <w:i/>
          <w:color w:val="231F20"/>
          <w:w w:val="105"/>
        </w:rPr>
        <w:t>in</w:t>
      </w:r>
      <w:r>
        <w:rPr>
          <w:rFonts w:ascii="Arial" w:hAnsi="Arial"/>
          <w:i/>
          <w:color w:val="231F20"/>
          <w:spacing w:val="-27"/>
          <w:w w:val="105"/>
        </w:rPr>
        <w:t> </w:t>
      </w:r>
      <w:r>
        <w:rPr>
          <w:rFonts w:ascii="Arial" w:hAnsi="Arial"/>
          <w:i/>
          <w:color w:val="231F20"/>
          <w:spacing w:val="-3"/>
          <w:w w:val="105"/>
        </w:rPr>
        <w:t>Human</w:t>
      </w:r>
      <w:r>
        <w:rPr>
          <w:rFonts w:ascii="Arial" w:hAnsi="Arial"/>
          <w:i/>
          <w:color w:val="231F20"/>
          <w:spacing w:val="-27"/>
          <w:w w:val="105"/>
        </w:rPr>
        <w:t> </w:t>
      </w:r>
      <w:r>
        <w:rPr>
          <w:rFonts w:ascii="Arial" w:hAnsi="Arial"/>
          <w:i/>
          <w:color w:val="231F20"/>
          <w:spacing w:val="-3"/>
          <w:w w:val="105"/>
        </w:rPr>
        <w:t>Geography</w:t>
      </w:r>
      <w:r>
        <w:rPr>
          <w:color w:val="231F20"/>
          <w:spacing w:val="-3"/>
          <w:w w:val="105"/>
        </w:rPr>
        <w:t>,</w:t>
      </w:r>
      <w:r>
        <w:rPr>
          <w:color w:val="231F20"/>
          <w:spacing w:val="-29"/>
          <w:w w:val="105"/>
        </w:rPr>
        <w:t> </w:t>
      </w:r>
      <w:r>
        <w:rPr>
          <w:color w:val="231F20"/>
          <w:spacing w:val="-3"/>
          <w:w w:val="105"/>
        </w:rPr>
        <w:t>Dublin:</w:t>
      </w:r>
      <w:r>
        <w:rPr>
          <w:color w:val="231F20"/>
          <w:spacing w:val="-23"/>
          <w:w w:val="105"/>
        </w:rPr>
        <w:t> </w:t>
      </w:r>
      <w:r>
        <w:rPr>
          <w:color w:val="231F20"/>
          <w:spacing w:val="-3"/>
          <w:w w:val="105"/>
        </w:rPr>
        <w:t>National</w:t>
      </w:r>
      <w:r>
        <w:rPr>
          <w:color w:val="231F20"/>
          <w:spacing w:val="-23"/>
          <w:w w:val="105"/>
        </w:rPr>
        <w:t> </w:t>
      </w:r>
      <w:r>
        <w:rPr>
          <w:color w:val="231F20"/>
          <w:spacing w:val="-3"/>
          <w:w w:val="105"/>
        </w:rPr>
        <w:t>University</w:t>
      </w:r>
      <w:r>
        <w:rPr>
          <w:color w:val="231F20"/>
          <w:spacing w:val="-23"/>
          <w:w w:val="105"/>
        </w:rPr>
        <w:t> </w:t>
      </w:r>
      <w:r>
        <w:rPr>
          <w:color w:val="231F20"/>
          <w:w w:val="105"/>
        </w:rPr>
        <w:t>of</w:t>
      </w:r>
      <w:r>
        <w:rPr>
          <w:color w:val="231F20"/>
          <w:spacing w:val="-19"/>
          <w:w w:val="105"/>
        </w:rPr>
        <w:t> </w:t>
      </w:r>
      <w:r>
        <w:rPr>
          <w:color w:val="231F20"/>
          <w:spacing w:val="-4"/>
          <w:w w:val="105"/>
        </w:rPr>
        <w:t>Ireland</w:t>
      </w:r>
      <w:r>
        <w:rPr>
          <w:color w:val="231F20"/>
          <w:spacing w:val="-3"/>
          <w:w w:val="105"/>
        </w:rPr>
        <w:t> </w:t>
      </w:r>
      <w:r>
        <w:rPr>
          <w:color w:val="231F20"/>
          <w:w w:val="105"/>
        </w:rPr>
        <w:t>Mendoza, Cristobal, (2009), “La emergencia de la</w:t>
      </w:r>
      <w:r>
        <w:rPr>
          <w:color w:val="231F20"/>
          <w:spacing w:val="-37"/>
          <w:w w:val="105"/>
        </w:rPr>
        <w:t> </w:t>
      </w:r>
      <w:r>
        <w:rPr>
          <w:color w:val="231F20"/>
          <w:w w:val="105"/>
        </w:rPr>
        <w:t>migración</w:t>
      </w:r>
      <w:r>
        <w:rPr>
          <w:color w:val="231F20"/>
          <w:spacing w:val="-4"/>
          <w:w w:val="105"/>
        </w:rPr>
        <w:t> </w:t>
      </w:r>
      <w:r>
        <w:rPr>
          <w:color w:val="231F20"/>
          <w:w w:val="105"/>
        </w:rPr>
        <w:t>internacio-</w:t>
      </w:r>
      <w:r>
        <w:rPr>
          <w:color w:val="231F20"/>
          <w:w w:val="96"/>
        </w:rPr>
        <w:t> </w:t>
      </w:r>
      <w:r>
        <w:rPr>
          <w:color w:val="231F20"/>
          <w:w w:val="105"/>
        </w:rPr>
        <w:t>nal</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periferia</w:t>
      </w:r>
      <w:r>
        <w:rPr>
          <w:color w:val="231F20"/>
          <w:spacing w:val="-7"/>
          <w:w w:val="105"/>
        </w:rPr>
        <w:t> </w:t>
      </w:r>
      <w:r>
        <w:rPr>
          <w:color w:val="231F20"/>
          <w:w w:val="105"/>
        </w:rPr>
        <w:t>empobrecida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ciudad</w:t>
      </w:r>
      <w:r>
        <w:rPr>
          <w:color w:val="231F20"/>
          <w:spacing w:val="-7"/>
          <w:w w:val="105"/>
        </w:rPr>
        <w:t> </w:t>
      </w:r>
      <w:r>
        <w:rPr>
          <w:color w:val="231F20"/>
          <w:w w:val="105"/>
        </w:rPr>
        <w:t>de</w:t>
      </w:r>
      <w:r>
        <w:rPr>
          <w:color w:val="231F20"/>
          <w:spacing w:val="-7"/>
          <w:w w:val="105"/>
        </w:rPr>
        <w:t> </w:t>
      </w:r>
      <w:r>
        <w:rPr>
          <w:color w:val="231F20"/>
          <w:w w:val="105"/>
        </w:rPr>
        <w:t>México:</w:t>
      </w:r>
      <w:r>
        <w:rPr>
          <w:color w:val="231F20"/>
          <w:spacing w:val="-11"/>
          <w:w w:val="105"/>
        </w:rPr>
        <w:t> </w:t>
      </w:r>
      <w:r>
        <w:rPr>
          <w:color w:val="231F20"/>
          <w:w w:val="105"/>
        </w:rPr>
        <w:t>Valle</w:t>
      </w:r>
      <w:r>
        <w:rPr>
          <w:color w:val="231F20"/>
          <w:spacing w:val="-7"/>
          <w:w w:val="105"/>
        </w:rPr>
        <w:t> </w:t>
      </w:r>
      <w:r>
        <w:rPr>
          <w:color w:val="231F20"/>
          <w:w w:val="105"/>
        </w:rPr>
        <w:t>de</w:t>
      </w:r>
    </w:p>
    <w:p>
      <w:pPr>
        <w:spacing w:line="259" w:lineRule="auto" w:before="0"/>
        <w:ind w:left="2574" w:right="1486" w:firstLine="0"/>
        <w:jc w:val="left"/>
        <w:rPr>
          <w:sz w:val="21"/>
        </w:rPr>
      </w:pPr>
      <w:r>
        <w:rPr>
          <w:color w:val="231F20"/>
          <w:w w:val="105"/>
          <w:sz w:val="21"/>
        </w:rPr>
        <w:t>Chalco-Solidaridad, Estado de México”, </w:t>
      </w:r>
      <w:r>
        <w:rPr>
          <w:rFonts w:ascii="Arial" w:hAnsi="Arial"/>
          <w:i/>
          <w:color w:val="231F20"/>
          <w:w w:val="105"/>
          <w:sz w:val="21"/>
        </w:rPr>
        <w:t>Migraciones Internacio- </w:t>
      </w:r>
      <w:r>
        <w:rPr>
          <w:rFonts w:ascii="Arial" w:hAnsi="Arial"/>
          <w:i/>
          <w:color w:val="231F20"/>
          <w:w w:val="105"/>
          <w:sz w:val="21"/>
        </w:rPr>
        <w:t>nales</w:t>
      </w:r>
      <w:r>
        <w:rPr>
          <w:color w:val="231F20"/>
          <w:w w:val="105"/>
          <w:sz w:val="21"/>
        </w:rPr>
        <w:t>, vol. 5, núm. 2.</w:t>
      </w:r>
    </w:p>
    <w:p>
      <w:pPr>
        <w:pStyle w:val="BodyText"/>
        <w:spacing w:before="3"/>
        <w:ind w:left="1837"/>
      </w:pPr>
      <w:r>
        <w:rPr>
          <w:color w:val="231F20"/>
          <w:w w:val="105"/>
        </w:rPr>
        <w:t>Mestries, Francis, (2013), “Los migrantes de retorno ante un futuro incierto”,</w:t>
      </w:r>
    </w:p>
    <w:p>
      <w:pPr>
        <w:spacing w:before="19"/>
        <w:ind w:left="2574" w:right="0" w:firstLine="0"/>
        <w:jc w:val="left"/>
        <w:rPr>
          <w:sz w:val="21"/>
        </w:rPr>
      </w:pPr>
      <w:r>
        <w:rPr>
          <w:rFonts w:ascii="Arial" w:hAnsi="Arial"/>
          <w:i/>
          <w:color w:val="231F20"/>
          <w:w w:val="105"/>
          <w:sz w:val="21"/>
        </w:rPr>
        <w:t>Sociológica</w:t>
      </w:r>
      <w:r>
        <w:rPr>
          <w:color w:val="231F20"/>
          <w:w w:val="105"/>
          <w:sz w:val="21"/>
        </w:rPr>
        <w:t>, vol. 28, núm. 78.</w:t>
      </w:r>
    </w:p>
    <w:p>
      <w:pPr>
        <w:pStyle w:val="BodyText"/>
        <w:spacing w:line="259" w:lineRule="auto" w:before="22"/>
        <w:ind w:left="2574" w:right="1721" w:hanging="738"/>
        <w:jc w:val="both"/>
      </w:pPr>
      <w:r>
        <w:rPr>
          <w:color w:val="231F20"/>
          <w:spacing w:val="-3"/>
          <w:w w:val="105"/>
        </w:rPr>
        <w:t>Pedreño,</w:t>
      </w:r>
      <w:r>
        <w:rPr>
          <w:color w:val="231F20"/>
          <w:spacing w:val="-32"/>
          <w:w w:val="105"/>
        </w:rPr>
        <w:t> </w:t>
      </w:r>
      <w:r>
        <w:rPr>
          <w:color w:val="231F20"/>
          <w:w w:val="105"/>
        </w:rPr>
        <w:t>Andrés,</w:t>
      </w:r>
      <w:r>
        <w:rPr>
          <w:color w:val="231F20"/>
          <w:spacing w:val="-30"/>
          <w:w w:val="105"/>
        </w:rPr>
        <w:t> </w:t>
      </w:r>
      <w:r>
        <w:rPr>
          <w:color w:val="231F20"/>
          <w:w w:val="105"/>
        </w:rPr>
        <w:t>(2010),</w:t>
      </w:r>
      <w:r>
        <w:rPr>
          <w:color w:val="231F20"/>
          <w:spacing w:val="-30"/>
          <w:w w:val="105"/>
        </w:rPr>
        <w:t> </w:t>
      </w:r>
      <w:r>
        <w:rPr>
          <w:color w:val="231F20"/>
          <w:w w:val="105"/>
        </w:rPr>
        <w:t>“Familias</w:t>
      </w:r>
      <w:r>
        <w:rPr>
          <w:color w:val="231F20"/>
          <w:spacing w:val="-25"/>
          <w:w w:val="105"/>
        </w:rPr>
        <w:t> </w:t>
      </w:r>
      <w:r>
        <w:rPr>
          <w:color w:val="231F20"/>
          <w:w w:val="105"/>
        </w:rPr>
        <w:t>inmigrantes:</w:t>
      </w:r>
      <w:r>
        <w:rPr>
          <w:color w:val="231F20"/>
          <w:spacing w:val="-25"/>
          <w:w w:val="105"/>
        </w:rPr>
        <w:t> </w:t>
      </w:r>
      <w:r>
        <w:rPr>
          <w:color w:val="231F20"/>
          <w:w w:val="105"/>
        </w:rPr>
        <w:t>el</w:t>
      </w:r>
      <w:r>
        <w:rPr>
          <w:color w:val="231F20"/>
          <w:spacing w:val="-25"/>
          <w:w w:val="105"/>
        </w:rPr>
        <w:t> </w:t>
      </w:r>
      <w:r>
        <w:rPr>
          <w:color w:val="231F20"/>
          <w:w w:val="105"/>
        </w:rPr>
        <w:t>trabajo</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padres</w:t>
      </w:r>
      <w:r>
        <w:rPr>
          <w:color w:val="231F20"/>
          <w:spacing w:val="-25"/>
          <w:w w:val="105"/>
        </w:rPr>
        <w:t> </w:t>
      </w:r>
      <w:r>
        <w:rPr>
          <w:color w:val="231F20"/>
          <w:w w:val="105"/>
        </w:rPr>
        <w:t>y las</w:t>
      </w:r>
      <w:r>
        <w:rPr>
          <w:color w:val="231F20"/>
          <w:spacing w:val="-18"/>
          <w:w w:val="105"/>
        </w:rPr>
        <w:t> </w:t>
      </w:r>
      <w:r>
        <w:rPr>
          <w:color w:val="231F20"/>
          <w:w w:val="105"/>
        </w:rPr>
        <w:t>estrategias</w:t>
      </w:r>
      <w:r>
        <w:rPr>
          <w:color w:val="231F20"/>
          <w:spacing w:val="-18"/>
          <w:w w:val="105"/>
        </w:rPr>
        <w:t> </w:t>
      </w:r>
      <w:r>
        <w:rPr>
          <w:color w:val="231F20"/>
          <w:w w:val="105"/>
        </w:rPr>
        <w:t>de</w:t>
      </w:r>
      <w:r>
        <w:rPr>
          <w:color w:val="231F20"/>
          <w:spacing w:val="-18"/>
          <w:w w:val="105"/>
        </w:rPr>
        <w:t> </w:t>
      </w:r>
      <w:r>
        <w:rPr>
          <w:color w:val="231F20"/>
          <w:w w:val="105"/>
        </w:rPr>
        <w:t>trabajo</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hijos</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áreas</w:t>
      </w:r>
      <w:r>
        <w:rPr>
          <w:color w:val="231F20"/>
          <w:spacing w:val="-18"/>
          <w:w w:val="105"/>
        </w:rPr>
        <w:t> </w:t>
      </w:r>
      <w:r>
        <w:rPr>
          <w:color w:val="231F20"/>
          <w:w w:val="105"/>
        </w:rPr>
        <w:t>mediterráneas de</w:t>
      </w:r>
      <w:r>
        <w:rPr>
          <w:color w:val="231F20"/>
          <w:spacing w:val="-39"/>
          <w:w w:val="105"/>
        </w:rPr>
        <w:t> </w:t>
      </w:r>
      <w:r>
        <w:rPr>
          <w:color w:val="231F20"/>
          <w:w w:val="105"/>
        </w:rPr>
        <w:t>agricultura</w:t>
      </w:r>
      <w:r>
        <w:rPr>
          <w:color w:val="231F20"/>
          <w:spacing w:val="-39"/>
          <w:w w:val="105"/>
        </w:rPr>
        <w:t> </w:t>
      </w:r>
      <w:r>
        <w:rPr>
          <w:color w:val="231F20"/>
          <w:spacing w:val="-3"/>
          <w:w w:val="105"/>
        </w:rPr>
        <w:t>intensiva”,</w:t>
      </w:r>
      <w:r>
        <w:rPr>
          <w:color w:val="231F20"/>
          <w:spacing w:val="-43"/>
          <w:w w:val="105"/>
        </w:rPr>
        <w:t> </w:t>
      </w:r>
      <w:r>
        <w:rPr>
          <w:color w:val="231F20"/>
          <w:w w:val="105"/>
        </w:rPr>
        <w:t>en</w:t>
      </w:r>
      <w:r>
        <w:rPr>
          <w:color w:val="231F20"/>
          <w:spacing w:val="-39"/>
          <w:w w:val="105"/>
        </w:rPr>
        <w:t> </w:t>
      </w:r>
      <w:r>
        <w:rPr>
          <w:color w:val="231F20"/>
          <w:w w:val="105"/>
        </w:rPr>
        <w:t>Sara</w:t>
      </w:r>
      <w:r>
        <w:rPr>
          <w:color w:val="231F20"/>
          <w:spacing w:val="-39"/>
          <w:w w:val="105"/>
        </w:rPr>
        <w:t> </w:t>
      </w:r>
      <w:r>
        <w:rPr>
          <w:color w:val="231F20"/>
          <w:w w:val="105"/>
        </w:rPr>
        <w:t>Lara</w:t>
      </w:r>
      <w:r>
        <w:rPr>
          <w:color w:val="231F20"/>
          <w:spacing w:val="-39"/>
          <w:w w:val="105"/>
        </w:rPr>
        <w:t> </w:t>
      </w:r>
      <w:r>
        <w:rPr>
          <w:color w:val="231F20"/>
          <w:w w:val="105"/>
        </w:rPr>
        <w:t>Flores</w:t>
      </w:r>
      <w:r>
        <w:rPr>
          <w:color w:val="231F20"/>
          <w:spacing w:val="-39"/>
          <w:w w:val="105"/>
        </w:rPr>
        <w:t> </w:t>
      </w:r>
      <w:r>
        <w:rPr>
          <w:color w:val="231F20"/>
          <w:w w:val="105"/>
        </w:rPr>
        <w:t>(coord.),</w:t>
      </w:r>
      <w:r>
        <w:rPr>
          <w:color w:val="231F20"/>
          <w:spacing w:val="-43"/>
          <w:w w:val="105"/>
        </w:rPr>
        <w:t> </w:t>
      </w:r>
      <w:r>
        <w:rPr>
          <w:rFonts w:ascii="Arial" w:hAnsi="Arial"/>
          <w:i/>
          <w:color w:val="231F20"/>
          <w:w w:val="105"/>
        </w:rPr>
        <w:t>Migraciones </w:t>
      </w:r>
      <w:r>
        <w:rPr>
          <w:rFonts w:ascii="Arial" w:hAnsi="Arial"/>
          <w:i/>
          <w:color w:val="231F20"/>
          <w:w w:val="105"/>
        </w:rPr>
        <w:t>de</w:t>
      </w:r>
      <w:r>
        <w:rPr>
          <w:rFonts w:ascii="Arial" w:hAnsi="Arial"/>
          <w:i/>
          <w:color w:val="231F20"/>
          <w:spacing w:val="-11"/>
          <w:w w:val="105"/>
        </w:rPr>
        <w:t> </w:t>
      </w:r>
      <w:r>
        <w:rPr>
          <w:rFonts w:ascii="Arial" w:hAnsi="Arial"/>
          <w:i/>
          <w:color w:val="231F20"/>
          <w:w w:val="105"/>
        </w:rPr>
        <w:t>trabajo</w:t>
      </w:r>
      <w:r>
        <w:rPr>
          <w:rFonts w:ascii="Arial" w:hAnsi="Arial"/>
          <w:i/>
          <w:color w:val="231F20"/>
          <w:spacing w:val="-11"/>
          <w:w w:val="105"/>
        </w:rPr>
        <w:t> </w:t>
      </w:r>
      <w:r>
        <w:rPr>
          <w:rFonts w:ascii="Arial" w:hAnsi="Arial"/>
          <w:i/>
          <w:color w:val="231F20"/>
          <w:w w:val="105"/>
        </w:rPr>
        <w:t>y</w:t>
      </w:r>
      <w:r>
        <w:rPr>
          <w:rFonts w:ascii="Arial" w:hAnsi="Arial"/>
          <w:i/>
          <w:color w:val="231F20"/>
          <w:spacing w:val="-11"/>
          <w:w w:val="105"/>
        </w:rPr>
        <w:t> </w:t>
      </w:r>
      <w:r>
        <w:rPr>
          <w:rFonts w:ascii="Arial" w:hAnsi="Arial"/>
          <w:i/>
          <w:color w:val="231F20"/>
          <w:w w:val="105"/>
        </w:rPr>
        <w:t>movilidad</w:t>
      </w:r>
      <w:r>
        <w:rPr>
          <w:rFonts w:ascii="Arial" w:hAnsi="Arial"/>
          <w:i/>
          <w:color w:val="231F20"/>
          <w:spacing w:val="-11"/>
          <w:w w:val="105"/>
        </w:rPr>
        <w:t> </w:t>
      </w:r>
      <w:r>
        <w:rPr>
          <w:rFonts w:ascii="Arial" w:hAnsi="Arial"/>
          <w:i/>
          <w:color w:val="231F20"/>
          <w:w w:val="105"/>
        </w:rPr>
        <w:t>territorial</w:t>
      </w:r>
      <w:r>
        <w:rPr>
          <w:color w:val="231F20"/>
          <w:w w:val="105"/>
        </w:rPr>
        <w:t>,</w:t>
      </w:r>
      <w:r>
        <w:rPr>
          <w:color w:val="231F20"/>
          <w:spacing w:val="-15"/>
          <w:w w:val="105"/>
        </w:rPr>
        <w:t> </w:t>
      </w:r>
      <w:r>
        <w:rPr>
          <w:color w:val="231F20"/>
          <w:w w:val="105"/>
        </w:rPr>
        <w:t>México:</w:t>
      </w:r>
      <w:r>
        <w:rPr>
          <w:color w:val="231F20"/>
          <w:spacing w:val="-9"/>
          <w:w w:val="105"/>
        </w:rPr>
        <w:t> </w:t>
      </w:r>
      <w:r>
        <w:rPr>
          <w:color w:val="231F20"/>
          <w:w w:val="105"/>
        </w:rPr>
        <w:t>Miguel</w:t>
      </w:r>
      <w:r>
        <w:rPr>
          <w:color w:val="231F20"/>
          <w:spacing w:val="-13"/>
          <w:w w:val="105"/>
        </w:rPr>
        <w:t> </w:t>
      </w:r>
      <w:r>
        <w:rPr>
          <w:color w:val="231F20"/>
          <w:w w:val="105"/>
        </w:rPr>
        <w:t>Ángel</w:t>
      </w:r>
      <w:r>
        <w:rPr>
          <w:color w:val="231F20"/>
          <w:spacing w:val="-9"/>
          <w:w w:val="105"/>
        </w:rPr>
        <w:t> </w:t>
      </w:r>
      <w:r>
        <w:rPr>
          <w:color w:val="231F20"/>
          <w:spacing w:val="-3"/>
          <w:w w:val="105"/>
        </w:rPr>
        <w:t>Porrúa.</w:t>
      </w:r>
    </w:p>
    <w:p>
      <w:pPr>
        <w:spacing w:line="261" w:lineRule="auto" w:before="3"/>
        <w:ind w:left="2574" w:right="1715" w:hanging="738"/>
        <w:jc w:val="both"/>
        <w:rPr>
          <w:sz w:val="17"/>
        </w:rPr>
      </w:pPr>
      <w:r>
        <w:rPr>
          <w:color w:val="231F20"/>
          <w:sz w:val="21"/>
        </w:rPr>
        <w:t>Rivera Sánchez, Liliana, (2008), “El eslabón urbano en el trayecto interno del circuito migratorio Mixteca-Nueva York-Mixteca: Los migran- tes de Nezahualcóyotl, Estado de México”, en Elaine Levine (ed.), </w:t>
      </w:r>
      <w:r>
        <w:rPr>
          <w:rFonts w:ascii="Arial" w:hAnsi="Arial"/>
          <w:i/>
          <w:color w:val="231F20"/>
          <w:sz w:val="21"/>
        </w:rPr>
        <w:t>La migración y los latinos en Estados Unidos. Visiones y Conexio- </w:t>
      </w:r>
      <w:r>
        <w:rPr>
          <w:rFonts w:ascii="Arial" w:hAnsi="Arial"/>
          <w:i/>
          <w:color w:val="231F20"/>
          <w:sz w:val="21"/>
        </w:rPr>
        <w:t>nes</w:t>
      </w:r>
      <w:r>
        <w:rPr>
          <w:color w:val="231F20"/>
          <w:sz w:val="21"/>
        </w:rPr>
        <w:t>, México: </w:t>
      </w:r>
      <w:r>
        <w:rPr>
          <w:color w:val="231F20"/>
          <w:sz w:val="17"/>
        </w:rPr>
        <w:t>UNAM.</w:t>
      </w:r>
    </w:p>
    <w:p>
      <w:pPr>
        <w:tabs>
          <w:tab w:pos="2677" w:val="left" w:leader="none"/>
        </w:tabs>
        <w:spacing w:line="261" w:lineRule="auto" w:before="0"/>
        <w:ind w:left="2574" w:right="1715" w:hanging="738"/>
        <w:jc w:val="both"/>
        <w:rPr>
          <w:sz w:val="21"/>
        </w:rPr>
      </w:pPr>
      <w:r>
        <w:rPr>
          <w:color w:val="231F20"/>
          <w:w w:val="94"/>
          <w:sz w:val="21"/>
          <w:u w:val="single" w:color="221E1F"/>
        </w:rPr>
        <w:t> </w:t>
      </w:r>
      <w:r>
        <w:rPr>
          <w:color w:val="231F20"/>
          <w:sz w:val="21"/>
          <w:u w:val="single" w:color="221E1F"/>
        </w:rPr>
        <w:tab/>
        <w:tab/>
      </w:r>
      <w:r>
        <w:rPr>
          <w:color w:val="231F20"/>
          <w:sz w:val="21"/>
        </w:rPr>
        <w:t> </w:t>
      </w:r>
      <w:r>
        <w:rPr>
          <w:color w:val="231F20"/>
          <w:spacing w:val="-25"/>
          <w:sz w:val="21"/>
        </w:rPr>
        <w:t> </w:t>
      </w:r>
      <w:r>
        <w:rPr>
          <w:color w:val="231F20"/>
          <w:w w:val="105"/>
          <w:sz w:val="21"/>
        </w:rPr>
        <w:t>(2011), “¿Quiénes son los retornados?, Apuntes sobre </w:t>
      </w:r>
      <w:r>
        <w:rPr>
          <w:color w:val="231F20"/>
          <w:spacing w:val="12"/>
          <w:w w:val="105"/>
          <w:sz w:val="21"/>
        </w:rPr>
        <w:t> </w:t>
      </w:r>
      <w:r>
        <w:rPr>
          <w:color w:val="231F20"/>
          <w:w w:val="105"/>
          <w:sz w:val="21"/>
        </w:rPr>
        <w:t>el</w:t>
      </w:r>
      <w:r>
        <w:rPr>
          <w:color w:val="231F20"/>
          <w:spacing w:val="12"/>
          <w:w w:val="105"/>
          <w:sz w:val="21"/>
        </w:rPr>
        <w:t> </w:t>
      </w:r>
      <w:r>
        <w:rPr>
          <w:color w:val="231F20"/>
          <w:w w:val="105"/>
          <w:sz w:val="21"/>
        </w:rPr>
        <w:t>mi-</w:t>
      </w:r>
      <w:r>
        <w:rPr>
          <w:color w:val="231F20"/>
          <w:w w:val="96"/>
          <w:sz w:val="21"/>
        </w:rPr>
        <w:t> </w:t>
      </w:r>
      <w:r>
        <w:rPr>
          <w:color w:val="231F20"/>
          <w:w w:val="105"/>
          <w:sz w:val="21"/>
        </w:rPr>
        <w:t>grante</w:t>
      </w:r>
      <w:r>
        <w:rPr>
          <w:color w:val="231F20"/>
          <w:spacing w:val="-18"/>
          <w:w w:val="105"/>
          <w:sz w:val="21"/>
        </w:rPr>
        <w:t> </w:t>
      </w:r>
      <w:r>
        <w:rPr>
          <w:color w:val="231F20"/>
          <w:w w:val="105"/>
          <w:sz w:val="21"/>
        </w:rPr>
        <w:t>retornado</w:t>
      </w:r>
      <w:r>
        <w:rPr>
          <w:color w:val="231F20"/>
          <w:spacing w:val="-18"/>
          <w:w w:val="105"/>
          <w:sz w:val="21"/>
        </w:rPr>
        <w:t> </w:t>
      </w:r>
      <w:r>
        <w:rPr>
          <w:color w:val="231F20"/>
          <w:w w:val="105"/>
          <w:sz w:val="21"/>
        </w:rPr>
        <w:t>en</w:t>
      </w:r>
      <w:r>
        <w:rPr>
          <w:color w:val="231F20"/>
          <w:spacing w:val="-17"/>
          <w:w w:val="105"/>
          <w:sz w:val="21"/>
        </w:rPr>
        <w:t> </w:t>
      </w:r>
      <w:r>
        <w:rPr>
          <w:color w:val="231F20"/>
          <w:w w:val="105"/>
          <w:sz w:val="21"/>
        </w:rPr>
        <w:t>el</w:t>
      </w:r>
      <w:r>
        <w:rPr>
          <w:color w:val="231F20"/>
          <w:spacing w:val="-17"/>
          <w:w w:val="105"/>
          <w:sz w:val="21"/>
        </w:rPr>
        <w:t> </w:t>
      </w:r>
      <w:r>
        <w:rPr>
          <w:color w:val="231F20"/>
          <w:w w:val="105"/>
          <w:sz w:val="21"/>
        </w:rPr>
        <w:t>México</w:t>
      </w:r>
      <w:r>
        <w:rPr>
          <w:color w:val="231F20"/>
          <w:spacing w:val="-18"/>
          <w:w w:val="105"/>
          <w:sz w:val="21"/>
        </w:rPr>
        <w:t> </w:t>
      </w:r>
      <w:r>
        <w:rPr>
          <w:color w:val="231F20"/>
          <w:w w:val="105"/>
          <w:sz w:val="21"/>
        </w:rPr>
        <w:t>contemporáneo”</w:t>
      </w:r>
      <w:r>
        <w:rPr>
          <w:color w:val="231F20"/>
          <w:spacing w:val="-18"/>
          <w:w w:val="105"/>
          <w:sz w:val="21"/>
        </w:rPr>
        <w:t> </w:t>
      </w:r>
      <w:r>
        <w:rPr>
          <w:color w:val="231F20"/>
          <w:w w:val="105"/>
          <w:sz w:val="21"/>
        </w:rPr>
        <w:t>en</w:t>
      </w:r>
      <w:r>
        <w:rPr>
          <w:color w:val="231F20"/>
          <w:spacing w:val="-17"/>
          <w:w w:val="105"/>
          <w:sz w:val="21"/>
        </w:rPr>
        <w:t> </w:t>
      </w:r>
      <w:r>
        <w:rPr>
          <w:color w:val="231F20"/>
          <w:w w:val="105"/>
          <w:sz w:val="21"/>
        </w:rPr>
        <w:t>Bela</w:t>
      </w:r>
      <w:r>
        <w:rPr>
          <w:color w:val="231F20"/>
          <w:spacing w:val="-17"/>
          <w:w w:val="105"/>
          <w:sz w:val="21"/>
        </w:rPr>
        <w:t> </w:t>
      </w:r>
      <w:r>
        <w:rPr>
          <w:color w:val="231F20"/>
          <w:w w:val="105"/>
          <w:sz w:val="21"/>
        </w:rPr>
        <w:t>Feldman Bianco,</w:t>
      </w:r>
      <w:r>
        <w:rPr>
          <w:color w:val="231F20"/>
          <w:spacing w:val="-41"/>
          <w:w w:val="105"/>
          <w:sz w:val="21"/>
        </w:rPr>
        <w:t> </w:t>
      </w:r>
      <w:r>
        <w:rPr>
          <w:color w:val="231F20"/>
          <w:w w:val="105"/>
          <w:sz w:val="21"/>
        </w:rPr>
        <w:t>Liliana</w:t>
      </w:r>
      <w:r>
        <w:rPr>
          <w:color w:val="231F20"/>
          <w:spacing w:val="-38"/>
          <w:w w:val="105"/>
          <w:sz w:val="21"/>
        </w:rPr>
        <w:t> </w:t>
      </w:r>
      <w:r>
        <w:rPr>
          <w:color w:val="231F20"/>
          <w:w w:val="105"/>
          <w:sz w:val="21"/>
        </w:rPr>
        <w:t>Rivera,</w:t>
      </w:r>
      <w:r>
        <w:rPr>
          <w:color w:val="231F20"/>
          <w:spacing w:val="-41"/>
          <w:w w:val="105"/>
          <w:sz w:val="21"/>
        </w:rPr>
        <w:t> </w:t>
      </w:r>
      <w:r>
        <w:rPr>
          <w:color w:val="231F20"/>
          <w:w w:val="105"/>
          <w:sz w:val="21"/>
        </w:rPr>
        <w:t>Carolina</w:t>
      </w:r>
      <w:r>
        <w:rPr>
          <w:color w:val="231F20"/>
          <w:spacing w:val="-38"/>
          <w:w w:val="105"/>
          <w:sz w:val="21"/>
        </w:rPr>
        <w:t> </w:t>
      </w:r>
      <w:r>
        <w:rPr>
          <w:color w:val="231F20"/>
          <w:w w:val="105"/>
          <w:sz w:val="21"/>
        </w:rPr>
        <w:t>Stefoni</w:t>
      </w:r>
      <w:r>
        <w:rPr>
          <w:color w:val="231F20"/>
          <w:spacing w:val="-38"/>
          <w:w w:val="105"/>
          <w:sz w:val="21"/>
        </w:rPr>
        <w:t> </w:t>
      </w:r>
      <w:r>
        <w:rPr>
          <w:color w:val="231F20"/>
          <w:w w:val="105"/>
          <w:sz w:val="21"/>
        </w:rPr>
        <w:t>y</w:t>
      </w:r>
      <w:r>
        <w:rPr>
          <w:color w:val="231F20"/>
          <w:spacing w:val="-38"/>
          <w:w w:val="105"/>
          <w:sz w:val="21"/>
        </w:rPr>
        <w:t> </w:t>
      </w:r>
      <w:r>
        <w:rPr>
          <w:color w:val="231F20"/>
          <w:w w:val="105"/>
          <w:sz w:val="21"/>
        </w:rPr>
        <w:t>María</w:t>
      </w:r>
      <w:r>
        <w:rPr>
          <w:color w:val="231F20"/>
          <w:spacing w:val="-38"/>
          <w:w w:val="105"/>
          <w:sz w:val="21"/>
        </w:rPr>
        <w:t> </w:t>
      </w:r>
      <w:r>
        <w:rPr>
          <w:color w:val="231F20"/>
          <w:w w:val="105"/>
          <w:sz w:val="21"/>
        </w:rPr>
        <w:t>Inés</w:t>
      </w:r>
      <w:r>
        <w:rPr>
          <w:color w:val="231F20"/>
          <w:spacing w:val="-40"/>
          <w:w w:val="105"/>
          <w:sz w:val="21"/>
        </w:rPr>
        <w:t> </w:t>
      </w:r>
      <w:r>
        <w:rPr>
          <w:color w:val="231F20"/>
          <w:w w:val="105"/>
          <w:sz w:val="21"/>
        </w:rPr>
        <w:t>Villa</w:t>
      </w:r>
      <w:r>
        <w:rPr>
          <w:color w:val="231F20"/>
          <w:spacing w:val="-38"/>
          <w:w w:val="105"/>
          <w:sz w:val="21"/>
        </w:rPr>
        <w:t> </w:t>
      </w:r>
      <w:r>
        <w:rPr>
          <w:color w:val="231F20"/>
          <w:w w:val="105"/>
          <w:sz w:val="21"/>
        </w:rPr>
        <w:t>(comps.), </w:t>
      </w:r>
      <w:r>
        <w:rPr>
          <w:rFonts w:ascii="Arial" w:hAnsi="Arial"/>
          <w:i/>
          <w:color w:val="231F20"/>
          <w:w w:val="105"/>
          <w:sz w:val="21"/>
        </w:rPr>
        <w:t>La construcción social del sujeto migrante en América Latina: </w:t>
      </w:r>
      <w:r>
        <w:rPr>
          <w:rFonts w:ascii="Arial" w:hAnsi="Arial"/>
          <w:i/>
          <w:color w:val="231F20"/>
          <w:sz w:val="21"/>
        </w:rPr>
        <w:t>Prácticas, representaciones y categorías</w:t>
      </w:r>
      <w:r>
        <w:rPr>
          <w:color w:val="231F20"/>
          <w:sz w:val="21"/>
        </w:rPr>
        <w:t>, Quito: </w:t>
      </w:r>
      <w:r>
        <w:rPr>
          <w:color w:val="231F20"/>
          <w:sz w:val="17"/>
        </w:rPr>
        <w:t>CLACSO</w:t>
      </w:r>
      <w:r>
        <w:rPr>
          <w:color w:val="231F20"/>
          <w:sz w:val="21"/>
        </w:rPr>
        <w:t>/Facultad </w:t>
      </w:r>
      <w:r>
        <w:rPr>
          <w:color w:val="231F20"/>
          <w:w w:val="105"/>
          <w:sz w:val="21"/>
        </w:rPr>
        <w:t>Latinoamericana</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Ciencias</w:t>
      </w:r>
      <w:r>
        <w:rPr>
          <w:color w:val="231F20"/>
          <w:spacing w:val="-14"/>
          <w:w w:val="105"/>
          <w:sz w:val="21"/>
        </w:rPr>
        <w:t> </w:t>
      </w:r>
      <w:r>
        <w:rPr>
          <w:color w:val="231F20"/>
          <w:w w:val="105"/>
          <w:sz w:val="21"/>
        </w:rPr>
        <w:t>Sociales-</w:t>
      </w:r>
      <w:r>
        <w:rPr>
          <w:color w:val="231F20"/>
          <w:spacing w:val="-14"/>
          <w:w w:val="105"/>
          <w:sz w:val="21"/>
        </w:rPr>
        <w:t> </w:t>
      </w:r>
      <w:r>
        <w:rPr>
          <w:color w:val="231F20"/>
          <w:w w:val="105"/>
          <w:sz w:val="21"/>
        </w:rPr>
        <w:t>Ecuador/Universidad</w:t>
      </w:r>
      <w:r>
        <w:rPr>
          <w:color w:val="231F20"/>
          <w:spacing w:val="-15"/>
          <w:w w:val="105"/>
          <w:sz w:val="21"/>
        </w:rPr>
        <w:t> </w:t>
      </w:r>
      <w:r>
        <w:rPr>
          <w:color w:val="231F20"/>
          <w:w w:val="105"/>
          <w:sz w:val="21"/>
        </w:rPr>
        <w:t>Al- berto</w:t>
      </w:r>
      <w:r>
        <w:rPr>
          <w:color w:val="231F20"/>
          <w:spacing w:val="4"/>
          <w:w w:val="105"/>
          <w:sz w:val="21"/>
        </w:rPr>
        <w:t> </w:t>
      </w:r>
      <w:r>
        <w:rPr>
          <w:color w:val="231F20"/>
          <w:w w:val="105"/>
          <w:sz w:val="21"/>
        </w:rPr>
        <w:t>Hurtado.</w:t>
      </w:r>
    </w:p>
    <w:p>
      <w:pPr>
        <w:tabs>
          <w:tab w:pos="2677" w:val="left" w:leader="none"/>
        </w:tabs>
        <w:spacing w:line="259" w:lineRule="auto" w:before="0"/>
        <w:ind w:left="2574" w:right="1722" w:hanging="738"/>
        <w:jc w:val="both"/>
        <w:rPr>
          <w:sz w:val="21"/>
        </w:rPr>
      </w:pPr>
      <w:r>
        <w:rPr>
          <w:color w:val="231F20"/>
          <w:w w:val="94"/>
          <w:sz w:val="21"/>
          <w:u w:val="single" w:color="221E1F"/>
        </w:rPr>
        <w:t> </w:t>
      </w:r>
      <w:r>
        <w:rPr>
          <w:color w:val="231F20"/>
          <w:sz w:val="21"/>
          <w:u w:val="single" w:color="221E1F"/>
        </w:rPr>
        <w:tab/>
        <w:tab/>
      </w:r>
      <w:r>
        <w:rPr>
          <w:color w:val="231F20"/>
          <w:spacing w:val="8"/>
          <w:sz w:val="21"/>
        </w:rPr>
        <w:t> </w:t>
      </w:r>
      <w:r>
        <w:rPr>
          <w:color w:val="231F20"/>
          <w:w w:val="105"/>
          <w:sz w:val="21"/>
        </w:rPr>
        <w:t>(2012),</w:t>
      </w:r>
      <w:r>
        <w:rPr>
          <w:color w:val="231F20"/>
          <w:spacing w:val="-17"/>
          <w:w w:val="105"/>
          <w:sz w:val="21"/>
        </w:rPr>
        <w:t> </w:t>
      </w:r>
      <w:r>
        <w:rPr>
          <w:rFonts w:ascii="Arial" w:hAnsi="Arial"/>
          <w:i/>
          <w:color w:val="231F20"/>
          <w:w w:val="105"/>
          <w:sz w:val="21"/>
        </w:rPr>
        <w:t>Vínculos</w:t>
      </w:r>
      <w:r>
        <w:rPr>
          <w:rFonts w:ascii="Arial" w:hAnsi="Arial"/>
          <w:i/>
          <w:color w:val="231F20"/>
          <w:spacing w:val="-15"/>
          <w:w w:val="105"/>
          <w:sz w:val="21"/>
        </w:rPr>
        <w:t> </w:t>
      </w:r>
      <w:r>
        <w:rPr>
          <w:rFonts w:ascii="Arial" w:hAnsi="Arial"/>
          <w:i/>
          <w:color w:val="231F20"/>
          <w:w w:val="105"/>
          <w:sz w:val="21"/>
        </w:rPr>
        <w:t>y</w:t>
      </w:r>
      <w:r>
        <w:rPr>
          <w:rFonts w:ascii="Arial" w:hAnsi="Arial"/>
          <w:i/>
          <w:color w:val="231F20"/>
          <w:spacing w:val="-15"/>
          <w:w w:val="105"/>
          <w:sz w:val="21"/>
        </w:rPr>
        <w:t> </w:t>
      </w:r>
      <w:r>
        <w:rPr>
          <w:rFonts w:ascii="Arial" w:hAnsi="Arial"/>
          <w:i/>
          <w:color w:val="231F20"/>
          <w:w w:val="105"/>
          <w:sz w:val="21"/>
        </w:rPr>
        <w:t>prácticas</w:t>
      </w:r>
      <w:r>
        <w:rPr>
          <w:rFonts w:ascii="Arial" w:hAnsi="Arial"/>
          <w:i/>
          <w:color w:val="231F20"/>
          <w:spacing w:val="-15"/>
          <w:w w:val="105"/>
          <w:sz w:val="21"/>
        </w:rPr>
        <w:t> </w:t>
      </w:r>
      <w:r>
        <w:rPr>
          <w:rFonts w:ascii="Arial" w:hAnsi="Arial"/>
          <w:i/>
          <w:color w:val="231F20"/>
          <w:w w:val="105"/>
          <w:sz w:val="21"/>
        </w:rPr>
        <w:t>de</w:t>
      </w:r>
      <w:r>
        <w:rPr>
          <w:rFonts w:ascii="Arial" w:hAnsi="Arial"/>
          <w:i/>
          <w:color w:val="231F20"/>
          <w:spacing w:val="-15"/>
          <w:w w:val="105"/>
          <w:sz w:val="21"/>
        </w:rPr>
        <w:t> </w:t>
      </w:r>
      <w:r>
        <w:rPr>
          <w:rFonts w:ascii="Arial" w:hAnsi="Arial"/>
          <w:i/>
          <w:color w:val="231F20"/>
          <w:w w:val="105"/>
          <w:sz w:val="21"/>
        </w:rPr>
        <w:t>interconexión</w:t>
      </w:r>
      <w:r>
        <w:rPr>
          <w:rFonts w:ascii="Arial" w:hAnsi="Arial"/>
          <w:i/>
          <w:color w:val="231F20"/>
          <w:spacing w:val="-15"/>
          <w:w w:val="105"/>
          <w:sz w:val="21"/>
        </w:rPr>
        <w:t> </w:t>
      </w:r>
      <w:r>
        <w:rPr>
          <w:rFonts w:ascii="Arial" w:hAnsi="Arial"/>
          <w:i/>
          <w:color w:val="231F20"/>
          <w:w w:val="105"/>
          <w:sz w:val="21"/>
        </w:rPr>
        <w:t>en</w:t>
      </w:r>
      <w:r>
        <w:rPr>
          <w:rFonts w:ascii="Arial" w:hAnsi="Arial"/>
          <w:i/>
          <w:color w:val="231F20"/>
          <w:spacing w:val="-15"/>
          <w:w w:val="105"/>
          <w:sz w:val="21"/>
        </w:rPr>
        <w:t> </w:t>
      </w:r>
      <w:r>
        <w:rPr>
          <w:rFonts w:ascii="Arial" w:hAnsi="Arial"/>
          <w:i/>
          <w:color w:val="231F20"/>
          <w:w w:val="105"/>
          <w:sz w:val="21"/>
        </w:rPr>
        <w:t>un</w:t>
      </w:r>
      <w:r>
        <w:rPr>
          <w:rFonts w:ascii="Arial" w:hAnsi="Arial"/>
          <w:i/>
          <w:color w:val="231F20"/>
          <w:spacing w:val="-15"/>
          <w:w w:val="105"/>
          <w:sz w:val="21"/>
        </w:rPr>
        <w:t> </w:t>
      </w:r>
      <w:r>
        <w:rPr>
          <w:rFonts w:ascii="Arial" w:hAnsi="Arial"/>
          <w:i/>
          <w:color w:val="231F20"/>
          <w:w w:val="105"/>
          <w:sz w:val="21"/>
        </w:rPr>
        <w:t>circuito</w:t>
      </w:r>
      <w:r>
        <w:rPr>
          <w:rFonts w:ascii="Arial" w:hAnsi="Arial"/>
          <w:i/>
          <w:color w:val="231F20"/>
          <w:spacing w:val="-15"/>
          <w:w w:val="105"/>
          <w:sz w:val="21"/>
        </w:rPr>
        <w:t> </w:t>
      </w:r>
      <w:r>
        <w:rPr>
          <w:rFonts w:ascii="Arial" w:hAnsi="Arial"/>
          <w:i/>
          <w:color w:val="231F20"/>
          <w:w w:val="105"/>
          <w:sz w:val="21"/>
        </w:rPr>
        <w:t>mi-</w:t>
      </w:r>
      <w:r>
        <w:rPr>
          <w:rFonts w:ascii="Arial" w:hAnsi="Arial"/>
          <w:i/>
          <w:color w:val="231F20"/>
          <w:w w:val="96"/>
          <w:sz w:val="21"/>
        </w:rPr>
        <w:t> </w:t>
      </w:r>
      <w:r>
        <w:rPr>
          <w:rFonts w:ascii="Arial" w:hAnsi="Arial"/>
          <w:i/>
          <w:color w:val="231F20"/>
          <w:w w:val="105"/>
          <w:sz w:val="21"/>
        </w:rPr>
        <w:t>gratorio</w:t>
      </w:r>
      <w:r>
        <w:rPr>
          <w:rFonts w:ascii="Arial" w:hAnsi="Arial"/>
          <w:i/>
          <w:color w:val="231F20"/>
          <w:spacing w:val="-35"/>
          <w:w w:val="105"/>
          <w:sz w:val="21"/>
        </w:rPr>
        <w:t> </w:t>
      </w:r>
      <w:r>
        <w:rPr>
          <w:rFonts w:ascii="Arial" w:hAnsi="Arial"/>
          <w:i/>
          <w:color w:val="231F20"/>
          <w:w w:val="105"/>
          <w:sz w:val="21"/>
        </w:rPr>
        <w:t>entre</w:t>
      </w:r>
      <w:r>
        <w:rPr>
          <w:rFonts w:ascii="Arial" w:hAnsi="Arial"/>
          <w:i/>
          <w:color w:val="231F20"/>
          <w:spacing w:val="-35"/>
          <w:w w:val="105"/>
          <w:sz w:val="21"/>
        </w:rPr>
        <w:t> </w:t>
      </w:r>
      <w:r>
        <w:rPr>
          <w:rFonts w:ascii="Arial" w:hAnsi="Arial"/>
          <w:i/>
          <w:color w:val="231F20"/>
          <w:w w:val="105"/>
          <w:sz w:val="21"/>
        </w:rPr>
        <w:t>México</w:t>
      </w:r>
      <w:r>
        <w:rPr>
          <w:rFonts w:ascii="Arial" w:hAnsi="Arial"/>
          <w:i/>
          <w:color w:val="231F20"/>
          <w:spacing w:val="-35"/>
          <w:w w:val="105"/>
          <w:sz w:val="21"/>
        </w:rPr>
        <w:t> </w:t>
      </w:r>
      <w:r>
        <w:rPr>
          <w:rFonts w:ascii="Arial" w:hAnsi="Arial"/>
          <w:i/>
          <w:color w:val="231F20"/>
          <w:w w:val="105"/>
          <w:sz w:val="21"/>
        </w:rPr>
        <w:t>y</w:t>
      </w:r>
      <w:r>
        <w:rPr>
          <w:rFonts w:ascii="Arial" w:hAnsi="Arial"/>
          <w:i/>
          <w:color w:val="231F20"/>
          <w:spacing w:val="-35"/>
          <w:w w:val="105"/>
          <w:sz w:val="21"/>
        </w:rPr>
        <w:t> </w:t>
      </w:r>
      <w:r>
        <w:rPr>
          <w:rFonts w:ascii="Arial" w:hAnsi="Arial"/>
          <w:i/>
          <w:color w:val="231F20"/>
          <w:w w:val="105"/>
          <w:sz w:val="21"/>
        </w:rPr>
        <w:t>Nueva</w:t>
      </w:r>
      <w:r>
        <w:rPr>
          <w:rFonts w:ascii="Arial" w:hAnsi="Arial"/>
          <w:i/>
          <w:color w:val="231F20"/>
          <w:spacing w:val="-37"/>
          <w:w w:val="105"/>
          <w:sz w:val="21"/>
        </w:rPr>
        <w:t> </w:t>
      </w:r>
      <w:r>
        <w:rPr>
          <w:rFonts w:ascii="Arial" w:hAnsi="Arial"/>
          <w:i/>
          <w:color w:val="231F20"/>
          <w:spacing w:val="-4"/>
          <w:w w:val="105"/>
          <w:sz w:val="21"/>
        </w:rPr>
        <w:t>York</w:t>
      </w:r>
      <w:r>
        <w:rPr>
          <w:color w:val="231F20"/>
          <w:spacing w:val="-4"/>
          <w:w w:val="105"/>
          <w:sz w:val="21"/>
        </w:rPr>
        <w:t>,</w:t>
      </w:r>
      <w:r>
        <w:rPr>
          <w:color w:val="231F20"/>
          <w:spacing w:val="-35"/>
          <w:w w:val="105"/>
          <w:sz w:val="21"/>
        </w:rPr>
        <w:t> </w:t>
      </w:r>
      <w:r>
        <w:rPr>
          <w:color w:val="231F20"/>
          <w:w w:val="105"/>
          <w:sz w:val="21"/>
        </w:rPr>
        <w:t>Buenos</w:t>
      </w:r>
      <w:r>
        <w:rPr>
          <w:color w:val="231F20"/>
          <w:spacing w:val="-34"/>
          <w:w w:val="105"/>
          <w:sz w:val="21"/>
        </w:rPr>
        <w:t> </w:t>
      </w:r>
      <w:r>
        <w:rPr>
          <w:color w:val="231F20"/>
          <w:w w:val="105"/>
          <w:sz w:val="21"/>
        </w:rPr>
        <w:t>Aires:</w:t>
      </w:r>
      <w:r>
        <w:rPr>
          <w:color w:val="231F20"/>
          <w:spacing w:val="-32"/>
          <w:w w:val="105"/>
          <w:sz w:val="21"/>
        </w:rPr>
        <w:t> </w:t>
      </w:r>
      <w:r>
        <w:rPr>
          <w:color w:val="231F20"/>
          <w:w w:val="105"/>
          <w:sz w:val="17"/>
        </w:rPr>
        <w:t>CLACSO</w:t>
      </w:r>
      <w:r>
        <w:rPr>
          <w:color w:val="231F20"/>
          <w:w w:val="105"/>
          <w:sz w:val="21"/>
        </w:rPr>
        <w:t>.</w:t>
      </w:r>
    </w:p>
    <w:p>
      <w:pPr>
        <w:tabs>
          <w:tab w:pos="2677" w:val="left" w:leader="none"/>
        </w:tabs>
        <w:spacing w:line="259" w:lineRule="auto" w:before="3"/>
        <w:ind w:left="2574" w:right="1722" w:hanging="738"/>
        <w:jc w:val="both"/>
        <w:rPr>
          <w:sz w:val="21"/>
        </w:rPr>
      </w:pPr>
      <w:r>
        <w:rPr>
          <w:color w:val="231F20"/>
          <w:w w:val="94"/>
          <w:sz w:val="21"/>
          <w:u w:val="single" w:color="221E1F"/>
        </w:rPr>
        <w:t> </w:t>
      </w:r>
      <w:r>
        <w:rPr>
          <w:color w:val="231F20"/>
          <w:sz w:val="21"/>
          <w:u w:val="single" w:color="221E1F"/>
        </w:rPr>
        <w:tab/>
        <w:tab/>
      </w:r>
      <w:r>
        <w:rPr>
          <w:color w:val="231F20"/>
          <w:spacing w:val="10"/>
          <w:sz w:val="21"/>
        </w:rPr>
        <w:t> </w:t>
      </w:r>
      <w:r>
        <w:rPr>
          <w:color w:val="231F20"/>
          <w:sz w:val="21"/>
        </w:rPr>
        <w:t>(2014), </w:t>
      </w:r>
      <w:r>
        <w:rPr>
          <w:color w:val="231F20"/>
          <w:spacing w:val="-3"/>
          <w:sz w:val="21"/>
        </w:rPr>
        <w:t>“Reinserción </w:t>
      </w:r>
      <w:r>
        <w:rPr>
          <w:color w:val="231F20"/>
          <w:sz w:val="21"/>
        </w:rPr>
        <w:t>social y laboral de  </w:t>
      </w:r>
      <w:r>
        <w:rPr>
          <w:color w:val="231F20"/>
          <w:spacing w:val="52"/>
          <w:sz w:val="21"/>
        </w:rPr>
        <w:t> </w:t>
      </w:r>
      <w:r>
        <w:rPr>
          <w:color w:val="231F20"/>
          <w:sz w:val="21"/>
        </w:rPr>
        <w:t>inmigrantes</w:t>
      </w:r>
      <w:r>
        <w:rPr>
          <w:color w:val="231F20"/>
          <w:spacing w:val="28"/>
          <w:sz w:val="21"/>
        </w:rPr>
        <w:t> </w:t>
      </w:r>
      <w:r>
        <w:rPr>
          <w:color w:val="231F20"/>
          <w:spacing w:val="-3"/>
          <w:sz w:val="21"/>
        </w:rPr>
        <w:t>retornados</w:t>
      </w:r>
      <w:r>
        <w:rPr>
          <w:color w:val="231F20"/>
          <w:spacing w:val="-2"/>
          <w:w w:val="104"/>
          <w:sz w:val="21"/>
        </w:rPr>
        <w:t> </w:t>
      </w:r>
      <w:r>
        <w:rPr>
          <w:color w:val="231F20"/>
          <w:sz w:val="21"/>
        </w:rPr>
        <w:t>de Estados Unidos en un contexto </w:t>
      </w:r>
      <w:r>
        <w:rPr>
          <w:color w:val="231F20"/>
          <w:spacing w:val="-5"/>
          <w:sz w:val="21"/>
        </w:rPr>
        <w:t>urbano”, </w:t>
      </w:r>
      <w:r>
        <w:rPr>
          <w:rFonts w:ascii="Arial" w:hAnsi="Arial"/>
          <w:i/>
          <w:color w:val="231F20"/>
          <w:sz w:val="21"/>
        </w:rPr>
        <w:t>Iztapalapa. Revista de </w:t>
      </w:r>
      <w:r>
        <w:rPr>
          <w:rFonts w:ascii="Arial" w:hAnsi="Arial"/>
          <w:i/>
          <w:color w:val="231F20"/>
          <w:sz w:val="21"/>
        </w:rPr>
        <w:t>Ciencias</w:t>
      </w:r>
      <w:r>
        <w:rPr>
          <w:rFonts w:ascii="Arial" w:hAnsi="Arial"/>
          <w:i/>
          <w:color w:val="231F20"/>
          <w:spacing w:val="-11"/>
          <w:sz w:val="21"/>
        </w:rPr>
        <w:t> </w:t>
      </w:r>
      <w:r>
        <w:rPr>
          <w:rFonts w:ascii="Arial" w:hAnsi="Arial"/>
          <w:i/>
          <w:color w:val="231F20"/>
          <w:sz w:val="21"/>
        </w:rPr>
        <w:t>Sociales</w:t>
      </w:r>
      <w:r>
        <w:rPr>
          <w:rFonts w:ascii="Arial" w:hAnsi="Arial"/>
          <w:i/>
          <w:color w:val="231F20"/>
          <w:spacing w:val="-11"/>
          <w:sz w:val="21"/>
        </w:rPr>
        <w:t> </w:t>
      </w:r>
      <w:r>
        <w:rPr>
          <w:rFonts w:ascii="Arial" w:hAnsi="Arial"/>
          <w:i/>
          <w:color w:val="231F20"/>
          <w:sz w:val="21"/>
        </w:rPr>
        <w:t>y</w:t>
      </w:r>
      <w:r>
        <w:rPr>
          <w:rFonts w:ascii="Arial" w:hAnsi="Arial"/>
          <w:i/>
          <w:color w:val="231F20"/>
          <w:spacing w:val="-11"/>
          <w:sz w:val="21"/>
        </w:rPr>
        <w:t> </w:t>
      </w:r>
      <w:r>
        <w:rPr>
          <w:rFonts w:ascii="Arial" w:hAnsi="Arial"/>
          <w:i/>
          <w:color w:val="231F20"/>
          <w:sz w:val="21"/>
        </w:rPr>
        <w:t>Humanidades</w:t>
      </w:r>
      <w:r>
        <w:rPr>
          <w:color w:val="231F20"/>
          <w:sz w:val="21"/>
        </w:rPr>
        <w:t>,</w:t>
      </w:r>
      <w:r>
        <w:rPr>
          <w:color w:val="231F20"/>
          <w:spacing w:val="-14"/>
          <w:sz w:val="21"/>
        </w:rPr>
        <w:t> </w:t>
      </w:r>
      <w:r>
        <w:rPr>
          <w:color w:val="231F20"/>
          <w:sz w:val="21"/>
        </w:rPr>
        <w:t>núm.</w:t>
      </w:r>
      <w:r>
        <w:rPr>
          <w:color w:val="231F20"/>
          <w:spacing w:val="-14"/>
          <w:sz w:val="21"/>
        </w:rPr>
        <w:t> </w:t>
      </w:r>
      <w:r>
        <w:rPr>
          <w:color w:val="231F20"/>
          <w:sz w:val="21"/>
        </w:rPr>
        <w:t>75,</w:t>
      </w:r>
      <w:r>
        <w:rPr>
          <w:color w:val="231F20"/>
          <w:spacing w:val="-14"/>
          <w:sz w:val="21"/>
        </w:rPr>
        <w:t> </w:t>
      </w:r>
      <w:r>
        <w:rPr>
          <w:color w:val="231F20"/>
          <w:sz w:val="21"/>
        </w:rPr>
        <w:t>año</w:t>
      </w:r>
      <w:r>
        <w:rPr>
          <w:color w:val="231F20"/>
          <w:spacing w:val="-9"/>
          <w:sz w:val="21"/>
        </w:rPr>
        <w:t> </w:t>
      </w:r>
      <w:r>
        <w:rPr>
          <w:color w:val="231F20"/>
          <w:spacing w:val="-2"/>
          <w:sz w:val="21"/>
        </w:rPr>
        <w:t>34.</w:t>
      </w:r>
    </w:p>
    <w:p>
      <w:pPr>
        <w:pStyle w:val="BodyText"/>
        <w:tabs>
          <w:tab w:pos="2677" w:val="left" w:leader="none"/>
        </w:tabs>
        <w:spacing w:line="259" w:lineRule="auto" w:before="3"/>
        <w:ind w:left="2574" w:right="1721" w:hanging="738"/>
        <w:jc w:val="both"/>
      </w:pPr>
      <w:r>
        <w:rPr>
          <w:color w:val="231F20"/>
          <w:w w:val="94"/>
          <w:u w:val="single" w:color="221E1F"/>
        </w:rPr>
        <w:t> </w:t>
      </w:r>
      <w:r>
        <w:rPr>
          <w:color w:val="231F20"/>
          <w:u w:val="single" w:color="221E1F"/>
        </w:rPr>
        <w:tab/>
        <w:tab/>
      </w:r>
      <w:r>
        <w:rPr>
          <w:color w:val="231F20"/>
          <w:spacing w:val="-10"/>
        </w:rPr>
        <w:t> </w:t>
      </w:r>
      <w:r>
        <w:rPr>
          <w:color w:val="231F20"/>
        </w:rPr>
        <w:t>(2015), “Sujetos móviles y pertenencias urbanas. Notas</w:t>
      </w:r>
      <w:r>
        <w:rPr>
          <w:color w:val="231F20"/>
          <w:spacing w:val="36"/>
        </w:rPr>
        <w:t> </w:t>
      </w:r>
      <w:r>
        <w:rPr>
          <w:color w:val="231F20"/>
        </w:rPr>
        <w:t>en</w:t>
      </w:r>
      <w:r>
        <w:rPr>
          <w:color w:val="231F20"/>
          <w:spacing w:val="8"/>
        </w:rPr>
        <w:t> </w:t>
      </w:r>
      <w:r>
        <w:rPr>
          <w:color w:val="231F20"/>
        </w:rPr>
        <w:t>torno</w:t>
      </w:r>
      <w:r>
        <w:rPr>
          <w:color w:val="231F20"/>
          <w:w w:val="108"/>
        </w:rPr>
        <w:t> </w:t>
      </w:r>
      <w:r>
        <w:rPr>
          <w:color w:val="231F20"/>
        </w:rPr>
        <w:t>a una investigación sobre prácticas y experiencias de reinserción social de migrantes retornados a espacios </w:t>
      </w:r>
      <w:r>
        <w:rPr>
          <w:color w:val="231F20"/>
          <w:spacing w:val="-3"/>
        </w:rPr>
        <w:t>urbanos”, </w:t>
      </w:r>
      <w:r>
        <w:rPr>
          <w:rFonts w:ascii="Arial" w:hAnsi="Arial"/>
          <w:i/>
          <w:color w:val="231F20"/>
        </w:rPr>
        <w:t>Estudios So- </w:t>
      </w:r>
      <w:r>
        <w:rPr>
          <w:rFonts w:ascii="Arial" w:hAnsi="Arial"/>
          <w:i/>
          <w:color w:val="231F20"/>
        </w:rPr>
        <w:t>ciológicos</w:t>
      </w:r>
      <w:r>
        <w:rPr>
          <w:color w:val="231F20"/>
        </w:rPr>
        <w:t>, vol. </w:t>
      </w:r>
      <w:r>
        <w:rPr>
          <w:color w:val="231F20"/>
          <w:sz w:val="17"/>
        </w:rPr>
        <w:t>XXXIII</w:t>
      </w:r>
      <w:r>
        <w:rPr>
          <w:color w:val="231F20"/>
        </w:rPr>
        <w:t>, núm.</w:t>
      </w:r>
      <w:r>
        <w:rPr>
          <w:color w:val="231F20"/>
          <w:spacing w:val="14"/>
        </w:rPr>
        <w:t> </w:t>
      </w:r>
      <w:r>
        <w:rPr>
          <w:color w:val="231F20"/>
        </w:rPr>
        <w:t>97.</w:t>
      </w:r>
    </w:p>
    <w:p>
      <w:pPr>
        <w:spacing w:line="261" w:lineRule="auto" w:before="3"/>
        <w:ind w:left="2574" w:right="1715" w:hanging="738"/>
        <w:jc w:val="both"/>
        <w:rPr>
          <w:sz w:val="21"/>
        </w:rPr>
      </w:pPr>
      <w:r>
        <w:rPr>
          <w:color w:val="231F20"/>
          <w:w w:val="105"/>
          <w:sz w:val="21"/>
        </w:rPr>
        <w:t>Savage, Mike, (2009), “Contemporary Sociology and the Challenge of Descriptive</w:t>
      </w:r>
      <w:r>
        <w:rPr>
          <w:color w:val="231F20"/>
          <w:spacing w:val="-28"/>
          <w:w w:val="105"/>
          <w:sz w:val="21"/>
        </w:rPr>
        <w:t> </w:t>
      </w:r>
      <w:r>
        <w:rPr>
          <w:color w:val="231F20"/>
          <w:spacing w:val="-3"/>
          <w:w w:val="105"/>
          <w:sz w:val="21"/>
        </w:rPr>
        <w:t>Assemblage”,</w:t>
      </w:r>
      <w:r>
        <w:rPr>
          <w:color w:val="231F20"/>
          <w:spacing w:val="-30"/>
          <w:w w:val="105"/>
          <w:sz w:val="21"/>
        </w:rPr>
        <w:t> </w:t>
      </w:r>
      <w:r>
        <w:rPr>
          <w:rFonts w:ascii="Arial" w:hAnsi="Arial"/>
          <w:i/>
          <w:color w:val="231F20"/>
          <w:w w:val="105"/>
          <w:sz w:val="21"/>
        </w:rPr>
        <w:t>European</w:t>
      </w:r>
      <w:r>
        <w:rPr>
          <w:rFonts w:ascii="Arial" w:hAnsi="Arial"/>
          <w:i/>
          <w:color w:val="231F20"/>
          <w:spacing w:val="-30"/>
          <w:w w:val="105"/>
          <w:sz w:val="21"/>
        </w:rPr>
        <w:t> </w:t>
      </w:r>
      <w:r>
        <w:rPr>
          <w:rFonts w:ascii="Arial" w:hAnsi="Arial"/>
          <w:i/>
          <w:color w:val="231F20"/>
          <w:w w:val="105"/>
          <w:sz w:val="21"/>
        </w:rPr>
        <w:t>Journal</w:t>
      </w:r>
      <w:r>
        <w:rPr>
          <w:rFonts w:ascii="Arial" w:hAnsi="Arial"/>
          <w:i/>
          <w:color w:val="231F20"/>
          <w:spacing w:val="-28"/>
          <w:w w:val="105"/>
          <w:sz w:val="21"/>
        </w:rPr>
        <w:t> </w:t>
      </w:r>
      <w:r>
        <w:rPr>
          <w:rFonts w:ascii="Arial" w:hAnsi="Arial"/>
          <w:i/>
          <w:color w:val="231F20"/>
          <w:w w:val="105"/>
          <w:sz w:val="21"/>
        </w:rPr>
        <w:t>of</w:t>
      </w:r>
      <w:r>
        <w:rPr>
          <w:rFonts w:ascii="Arial" w:hAnsi="Arial"/>
          <w:i/>
          <w:color w:val="231F20"/>
          <w:spacing w:val="-25"/>
          <w:w w:val="105"/>
          <w:sz w:val="21"/>
        </w:rPr>
        <w:t> </w:t>
      </w:r>
      <w:r>
        <w:rPr>
          <w:rFonts w:ascii="Arial" w:hAnsi="Arial"/>
          <w:i/>
          <w:color w:val="231F20"/>
          <w:w w:val="105"/>
          <w:sz w:val="21"/>
        </w:rPr>
        <w:t>Social</w:t>
      </w:r>
      <w:r>
        <w:rPr>
          <w:rFonts w:ascii="Arial" w:hAnsi="Arial"/>
          <w:i/>
          <w:color w:val="231F20"/>
          <w:spacing w:val="-31"/>
          <w:w w:val="105"/>
          <w:sz w:val="21"/>
        </w:rPr>
        <w:t> </w:t>
      </w:r>
      <w:r>
        <w:rPr>
          <w:rFonts w:ascii="Arial" w:hAnsi="Arial"/>
          <w:i/>
          <w:color w:val="231F20"/>
          <w:w w:val="105"/>
          <w:sz w:val="21"/>
        </w:rPr>
        <w:t>Theory</w:t>
      </w:r>
      <w:r>
        <w:rPr>
          <w:color w:val="231F20"/>
          <w:w w:val="105"/>
          <w:sz w:val="21"/>
        </w:rPr>
        <w:t>,</w:t>
      </w:r>
      <w:r>
        <w:rPr>
          <w:color w:val="231F20"/>
          <w:spacing w:val="-30"/>
          <w:w w:val="105"/>
          <w:sz w:val="21"/>
        </w:rPr>
        <w:t> </w:t>
      </w:r>
      <w:r>
        <w:rPr>
          <w:color w:val="231F20"/>
          <w:w w:val="105"/>
          <w:sz w:val="21"/>
        </w:rPr>
        <w:t>vol. 12,</w:t>
      </w:r>
      <w:r>
        <w:rPr>
          <w:color w:val="231F20"/>
          <w:spacing w:val="-24"/>
          <w:w w:val="105"/>
          <w:sz w:val="21"/>
        </w:rPr>
        <w:t> </w:t>
      </w:r>
      <w:r>
        <w:rPr>
          <w:color w:val="231F20"/>
          <w:w w:val="105"/>
          <w:sz w:val="21"/>
        </w:rPr>
        <w:t>núm.</w:t>
      </w:r>
      <w:r>
        <w:rPr>
          <w:color w:val="231F20"/>
          <w:spacing w:val="-24"/>
          <w:w w:val="105"/>
          <w:sz w:val="21"/>
        </w:rPr>
        <w:t> </w:t>
      </w:r>
      <w:r>
        <w:rPr>
          <w:color w:val="231F20"/>
          <w:w w:val="105"/>
          <w:sz w:val="21"/>
        </w:rPr>
        <w:t>1.</w:t>
      </w:r>
    </w:p>
    <w:p>
      <w:pPr>
        <w:spacing w:line="259" w:lineRule="auto" w:before="0"/>
        <w:ind w:left="2574" w:right="1721" w:hanging="737"/>
        <w:jc w:val="both"/>
        <w:rPr>
          <w:sz w:val="21"/>
        </w:rPr>
      </w:pPr>
      <w:r>
        <w:rPr>
          <w:color w:val="231F20"/>
          <w:w w:val="105"/>
          <w:sz w:val="21"/>
        </w:rPr>
        <w:t>Secretaría</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Gobernación</w:t>
      </w:r>
      <w:r>
        <w:rPr>
          <w:color w:val="231F20"/>
          <w:spacing w:val="-11"/>
          <w:w w:val="105"/>
          <w:sz w:val="21"/>
        </w:rPr>
        <w:t> </w:t>
      </w:r>
      <w:r>
        <w:rPr>
          <w:color w:val="231F20"/>
          <w:w w:val="105"/>
          <w:sz w:val="21"/>
        </w:rPr>
        <w:t>(</w:t>
      </w:r>
      <w:r>
        <w:rPr>
          <w:color w:val="231F20"/>
          <w:w w:val="105"/>
          <w:sz w:val="17"/>
        </w:rPr>
        <w:t>SEGOB</w:t>
      </w:r>
      <w:r>
        <w:rPr>
          <w:color w:val="231F20"/>
          <w:w w:val="105"/>
          <w:sz w:val="21"/>
        </w:rPr>
        <w:t>),</w:t>
      </w:r>
      <w:r>
        <w:rPr>
          <w:color w:val="231F20"/>
          <w:spacing w:val="-16"/>
          <w:w w:val="105"/>
          <w:sz w:val="21"/>
        </w:rPr>
        <w:t> </w:t>
      </w:r>
      <w:r>
        <w:rPr>
          <w:color w:val="231F20"/>
          <w:w w:val="105"/>
          <w:sz w:val="21"/>
        </w:rPr>
        <w:t>(1999),</w:t>
      </w:r>
      <w:r>
        <w:rPr>
          <w:color w:val="231F20"/>
          <w:spacing w:val="-16"/>
          <w:w w:val="105"/>
          <w:sz w:val="21"/>
        </w:rPr>
        <w:t> </w:t>
      </w:r>
      <w:r>
        <w:rPr>
          <w:rFonts w:ascii="Arial" w:hAnsi="Arial"/>
          <w:i/>
          <w:color w:val="231F20"/>
          <w:w w:val="105"/>
          <w:sz w:val="21"/>
        </w:rPr>
        <w:t>Enciclopedia</w:t>
      </w:r>
      <w:r>
        <w:rPr>
          <w:rFonts w:ascii="Arial" w:hAnsi="Arial"/>
          <w:i/>
          <w:color w:val="231F20"/>
          <w:spacing w:val="-14"/>
          <w:w w:val="105"/>
          <w:sz w:val="21"/>
        </w:rPr>
        <w:t> </w:t>
      </w:r>
      <w:r>
        <w:rPr>
          <w:rFonts w:ascii="Arial" w:hAnsi="Arial"/>
          <w:i/>
          <w:color w:val="231F20"/>
          <w:w w:val="105"/>
          <w:sz w:val="21"/>
        </w:rPr>
        <w:t>de</w:t>
      </w:r>
      <w:r>
        <w:rPr>
          <w:rFonts w:ascii="Arial" w:hAnsi="Arial"/>
          <w:i/>
          <w:color w:val="231F20"/>
          <w:spacing w:val="-14"/>
          <w:w w:val="105"/>
          <w:sz w:val="21"/>
        </w:rPr>
        <w:t> </w:t>
      </w:r>
      <w:r>
        <w:rPr>
          <w:rFonts w:ascii="Arial" w:hAnsi="Arial"/>
          <w:i/>
          <w:color w:val="231F20"/>
          <w:w w:val="105"/>
          <w:sz w:val="21"/>
        </w:rPr>
        <w:t>los</w:t>
      </w:r>
      <w:r>
        <w:rPr>
          <w:rFonts w:ascii="Arial" w:hAnsi="Arial"/>
          <w:i/>
          <w:color w:val="231F20"/>
          <w:spacing w:val="-14"/>
          <w:w w:val="105"/>
          <w:sz w:val="21"/>
        </w:rPr>
        <w:t> </w:t>
      </w:r>
      <w:r>
        <w:rPr>
          <w:rFonts w:ascii="Arial" w:hAnsi="Arial"/>
          <w:i/>
          <w:color w:val="231F20"/>
          <w:w w:val="105"/>
          <w:sz w:val="21"/>
        </w:rPr>
        <w:t>munici- </w:t>
      </w:r>
      <w:r>
        <w:rPr>
          <w:rFonts w:ascii="Arial" w:hAnsi="Arial"/>
          <w:i/>
          <w:color w:val="231F20"/>
          <w:w w:val="105"/>
          <w:sz w:val="21"/>
        </w:rPr>
        <w:t>pios</w:t>
      </w:r>
      <w:r>
        <w:rPr>
          <w:rFonts w:ascii="Arial" w:hAnsi="Arial"/>
          <w:i/>
          <w:color w:val="231F20"/>
          <w:spacing w:val="-30"/>
          <w:w w:val="105"/>
          <w:sz w:val="21"/>
        </w:rPr>
        <w:t> </w:t>
      </w:r>
      <w:r>
        <w:rPr>
          <w:rFonts w:ascii="Arial" w:hAnsi="Arial"/>
          <w:i/>
          <w:color w:val="231F20"/>
          <w:w w:val="105"/>
          <w:sz w:val="21"/>
        </w:rPr>
        <w:t>de</w:t>
      </w:r>
      <w:r>
        <w:rPr>
          <w:rFonts w:ascii="Arial" w:hAnsi="Arial"/>
          <w:i/>
          <w:color w:val="231F20"/>
          <w:spacing w:val="-30"/>
          <w:w w:val="105"/>
          <w:sz w:val="21"/>
        </w:rPr>
        <w:t> </w:t>
      </w:r>
      <w:r>
        <w:rPr>
          <w:rFonts w:ascii="Arial" w:hAnsi="Arial"/>
          <w:i/>
          <w:color w:val="231F20"/>
          <w:w w:val="105"/>
          <w:sz w:val="21"/>
        </w:rPr>
        <w:t>México.</w:t>
      </w:r>
      <w:r>
        <w:rPr>
          <w:rFonts w:ascii="Arial" w:hAnsi="Arial"/>
          <w:i/>
          <w:color w:val="231F20"/>
          <w:spacing w:val="-35"/>
          <w:w w:val="105"/>
          <w:sz w:val="21"/>
        </w:rPr>
        <w:t> </w:t>
      </w:r>
      <w:r>
        <w:rPr>
          <w:rFonts w:ascii="Arial" w:hAnsi="Arial"/>
          <w:i/>
          <w:color w:val="231F20"/>
          <w:w w:val="105"/>
          <w:sz w:val="21"/>
        </w:rPr>
        <w:t>Estado</w:t>
      </w:r>
      <w:r>
        <w:rPr>
          <w:rFonts w:ascii="Arial" w:hAnsi="Arial"/>
          <w:i/>
          <w:color w:val="231F20"/>
          <w:spacing w:val="-30"/>
          <w:w w:val="105"/>
          <w:sz w:val="21"/>
        </w:rPr>
        <w:t> </w:t>
      </w:r>
      <w:r>
        <w:rPr>
          <w:rFonts w:ascii="Arial" w:hAnsi="Arial"/>
          <w:i/>
          <w:color w:val="231F20"/>
          <w:w w:val="105"/>
          <w:sz w:val="21"/>
        </w:rPr>
        <w:t>de</w:t>
      </w:r>
      <w:r>
        <w:rPr>
          <w:rFonts w:ascii="Arial" w:hAnsi="Arial"/>
          <w:i/>
          <w:color w:val="231F20"/>
          <w:spacing w:val="-30"/>
          <w:w w:val="105"/>
          <w:sz w:val="21"/>
        </w:rPr>
        <w:t> </w:t>
      </w:r>
      <w:r>
        <w:rPr>
          <w:rFonts w:ascii="Arial" w:hAnsi="Arial"/>
          <w:i/>
          <w:color w:val="231F20"/>
          <w:w w:val="105"/>
          <w:sz w:val="21"/>
        </w:rPr>
        <w:t>México,</w:t>
      </w:r>
      <w:r>
        <w:rPr>
          <w:rFonts w:ascii="Arial" w:hAnsi="Arial"/>
          <w:i/>
          <w:color w:val="231F20"/>
          <w:spacing w:val="-30"/>
          <w:w w:val="105"/>
          <w:sz w:val="21"/>
        </w:rPr>
        <w:t> </w:t>
      </w:r>
      <w:r>
        <w:rPr>
          <w:color w:val="231F20"/>
          <w:w w:val="105"/>
          <w:sz w:val="21"/>
        </w:rPr>
        <w:t>México:</w:t>
      </w:r>
      <w:r>
        <w:rPr>
          <w:color w:val="231F20"/>
          <w:spacing w:val="-28"/>
          <w:w w:val="105"/>
          <w:sz w:val="21"/>
        </w:rPr>
        <w:t> </w:t>
      </w:r>
      <w:r>
        <w:rPr>
          <w:color w:val="231F20"/>
          <w:w w:val="105"/>
          <w:sz w:val="17"/>
        </w:rPr>
        <w:t>SEGOB</w:t>
      </w:r>
      <w:r>
        <w:rPr>
          <w:color w:val="231F20"/>
          <w:w w:val="105"/>
          <w:sz w:val="21"/>
        </w:rPr>
        <w:t>.</w:t>
      </w:r>
    </w:p>
    <w:p>
      <w:pPr>
        <w:pStyle w:val="BodyText"/>
        <w:spacing w:before="3"/>
        <w:ind w:left="1837"/>
      </w:pPr>
      <w:r>
        <w:rPr>
          <w:color w:val="231F20"/>
        </w:rPr>
        <w:t>Schutz, Alfred,  (1944),  “The  Stranger:  An  Essay  in  Social Psychology”,</w:t>
      </w:r>
    </w:p>
    <w:p>
      <w:pPr>
        <w:spacing w:before="19"/>
        <w:ind w:left="2574" w:right="0" w:firstLine="0"/>
        <w:jc w:val="left"/>
        <w:rPr>
          <w:sz w:val="21"/>
        </w:rPr>
      </w:pPr>
      <w:r>
        <w:rPr>
          <w:rFonts w:ascii="Arial" w:hAnsi="Arial"/>
          <w:i/>
          <w:color w:val="231F20"/>
          <w:w w:val="105"/>
          <w:sz w:val="21"/>
        </w:rPr>
        <w:t>American Journal of Sociology, </w:t>
      </w:r>
      <w:r>
        <w:rPr>
          <w:color w:val="231F20"/>
          <w:w w:val="105"/>
          <w:sz w:val="21"/>
        </w:rPr>
        <w:t>vol. 49, núm. 6.</w:t>
      </w:r>
    </w:p>
    <w:p>
      <w:pPr>
        <w:tabs>
          <w:tab w:pos="2677" w:val="left" w:leader="none"/>
        </w:tabs>
        <w:spacing w:before="18"/>
        <w:ind w:left="1837" w:right="0" w:firstLine="0"/>
        <w:jc w:val="left"/>
        <w:rPr>
          <w:sz w:val="21"/>
        </w:rPr>
      </w:pPr>
      <w:r>
        <w:rPr>
          <w:color w:val="231F20"/>
          <w:w w:val="94"/>
          <w:sz w:val="21"/>
          <w:u w:val="single" w:color="221E1F"/>
        </w:rPr>
        <w:t> </w:t>
      </w:r>
      <w:r>
        <w:rPr>
          <w:color w:val="231F20"/>
          <w:sz w:val="21"/>
          <w:u w:val="single" w:color="221E1F"/>
        </w:rPr>
        <w:tab/>
      </w:r>
      <w:r>
        <w:rPr>
          <w:color w:val="231F20"/>
          <w:spacing w:val="12"/>
          <w:sz w:val="21"/>
        </w:rPr>
        <w:t> </w:t>
      </w:r>
      <w:r>
        <w:rPr>
          <w:color w:val="231F20"/>
          <w:w w:val="105"/>
          <w:sz w:val="21"/>
        </w:rPr>
        <w:t>(1945),</w:t>
      </w:r>
      <w:r>
        <w:rPr>
          <w:color w:val="231F20"/>
          <w:spacing w:val="-16"/>
          <w:w w:val="105"/>
          <w:sz w:val="21"/>
        </w:rPr>
        <w:t> </w:t>
      </w:r>
      <w:r>
        <w:rPr>
          <w:color w:val="231F20"/>
          <w:w w:val="105"/>
          <w:sz w:val="21"/>
        </w:rPr>
        <w:t>“The</w:t>
      </w:r>
      <w:r>
        <w:rPr>
          <w:color w:val="231F20"/>
          <w:spacing w:val="-11"/>
          <w:w w:val="105"/>
          <w:sz w:val="21"/>
        </w:rPr>
        <w:t> </w:t>
      </w:r>
      <w:r>
        <w:rPr>
          <w:color w:val="231F20"/>
          <w:w w:val="105"/>
          <w:sz w:val="21"/>
        </w:rPr>
        <w:t>Homecomer”,</w:t>
      </w:r>
      <w:r>
        <w:rPr>
          <w:color w:val="231F20"/>
          <w:spacing w:val="-16"/>
          <w:w w:val="105"/>
          <w:sz w:val="21"/>
        </w:rPr>
        <w:t> </w:t>
      </w:r>
      <w:r>
        <w:rPr>
          <w:rFonts w:ascii="Arial" w:hAnsi="Arial"/>
          <w:i/>
          <w:color w:val="231F20"/>
          <w:w w:val="105"/>
          <w:sz w:val="21"/>
        </w:rPr>
        <w:t>American</w:t>
      </w:r>
      <w:r>
        <w:rPr>
          <w:rFonts w:ascii="Arial" w:hAnsi="Arial"/>
          <w:i/>
          <w:color w:val="231F20"/>
          <w:spacing w:val="-16"/>
          <w:w w:val="105"/>
          <w:sz w:val="21"/>
        </w:rPr>
        <w:t> </w:t>
      </w:r>
      <w:r>
        <w:rPr>
          <w:rFonts w:ascii="Arial" w:hAnsi="Arial"/>
          <w:i/>
          <w:color w:val="231F20"/>
          <w:w w:val="105"/>
          <w:sz w:val="21"/>
        </w:rPr>
        <w:t>Journal</w:t>
      </w:r>
      <w:r>
        <w:rPr>
          <w:rFonts w:ascii="Arial" w:hAnsi="Arial"/>
          <w:i/>
          <w:color w:val="231F20"/>
          <w:spacing w:val="-14"/>
          <w:w w:val="105"/>
          <w:sz w:val="21"/>
        </w:rPr>
        <w:t> </w:t>
      </w:r>
      <w:r>
        <w:rPr>
          <w:rFonts w:ascii="Arial" w:hAnsi="Arial"/>
          <w:i/>
          <w:color w:val="231F20"/>
          <w:w w:val="105"/>
          <w:sz w:val="21"/>
        </w:rPr>
        <w:t>of</w:t>
      </w:r>
      <w:r>
        <w:rPr>
          <w:rFonts w:ascii="Arial" w:hAnsi="Arial"/>
          <w:i/>
          <w:color w:val="231F20"/>
          <w:spacing w:val="-11"/>
          <w:w w:val="105"/>
          <w:sz w:val="21"/>
        </w:rPr>
        <w:t> </w:t>
      </w:r>
      <w:r>
        <w:rPr>
          <w:rFonts w:ascii="Arial" w:hAnsi="Arial"/>
          <w:i/>
          <w:color w:val="231F20"/>
          <w:w w:val="105"/>
          <w:sz w:val="21"/>
        </w:rPr>
        <w:t>Sociology,</w:t>
      </w:r>
      <w:r>
        <w:rPr>
          <w:rFonts w:ascii="Arial" w:hAnsi="Arial"/>
          <w:i/>
          <w:color w:val="231F20"/>
          <w:spacing w:val="-19"/>
          <w:w w:val="105"/>
          <w:sz w:val="21"/>
        </w:rPr>
        <w:t> </w:t>
      </w:r>
      <w:r>
        <w:rPr>
          <w:color w:val="231F20"/>
          <w:w w:val="105"/>
          <w:sz w:val="21"/>
        </w:rPr>
        <w:t>vol.</w:t>
      </w:r>
    </w:p>
    <w:p>
      <w:pPr>
        <w:pStyle w:val="BodyText"/>
        <w:spacing w:before="22"/>
        <w:ind w:left="2574" w:right="6753"/>
      </w:pPr>
      <w:r>
        <w:rPr/>
        <w:pict>
          <v:line style="position:absolute;mso-position-horizontal-relative:page;mso-position-vertical-relative:paragraph;z-index:-475480" from="15pt,90.905586pt" to="0pt,90.905586pt" stroked="true" strokeweight=".25pt" strokecolor="#000000">
            <w10:wrap type="none"/>
          </v:line>
        </w:pict>
      </w:r>
      <w:r>
        <w:rPr/>
        <w:pict>
          <v:line style="position:absolute;mso-position-horizontal-relative:page;mso-position-vertical-relative:paragraph;z-index:14728" from="508.890015pt,90.905586pt" to="523.890015pt,90.905586pt" stroked="true" strokeweight=".25pt" strokecolor="#000000">
            <w10:wrap type="none"/>
          </v:line>
        </w:pict>
      </w:r>
      <w:r>
        <w:rPr>
          <w:color w:val="231F20"/>
        </w:rPr>
        <w:t>50, núm. 5.</w:t>
      </w:r>
    </w:p>
    <w:p>
      <w:pPr>
        <w:spacing w:after="0"/>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before="60"/>
        <w:ind w:left="1723"/>
      </w:pPr>
      <w:r>
        <w:rPr>
          <w:color w:val="231F20"/>
          <w:w w:val="105"/>
        </w:rPr>
        <w:t>Sheller, Mimi, (2014), “The new mobilities paradigm for a live sociology”,</w:t>
      </w:r>
    </w:p>
    <w:p>
      <w:pPr>
        <w:spacing w:before="19"/>
        <w:ind w:left="2461" w:right="0" w:firstLine="0"/>
        <w:jc w:val="left"/>
        <w:rPr>
          <w:sz w:val="21"/>
        </w:rPr>
      </w:pPr>
      <w:r>
        <w:rPr>
          <w:rFonts w:ascii="Arial"/>
          <w:i/>
          <w:color w:val="231F20"/>
          <w:sz w:val="21"/>
        </w:rPr>
        <w:t>Current Sociology</w:t>
      </w:r>
      <w:r>
        <w:rPr>
          <w:color w:val="231F20"/>
          <w:sz w:val="21"/>
        </w:rPr>
        <w:t>, vol. 5.</w:t>
      </w:r>
    </w:p>
    <w:p>
      <w:pPr>
        <w:spacing w:line="259" w:lineRule="auto" w:before="18"/>
        <w:ind w:left="2461" w:right="1834" w:hanging="738"/>
        <w:jc w:val="both"/>
        <w:rPr>
          <w:sz w:val="21"/>
        </w:rPr>
      </w:pPr>
      <w:r>
        <w:rPr>
          <w:color w:val="231F20"/>
          <w:w w:val="105"/>
          <w:sz w:val="21"/>
        </w:rPr>
        <w:t>Simmel,</w:t>
      </w:r>
      <w:r>
        <w:rPr>
          <w:color w:val="231F20"/>
          <w:spacing w:val="-14"/>
          <w:w w:val="105"/>
          <w:sz w:val="21"/>
        </w:rPr>
        <w:t> </w:t>
      </w:r>
      <w:r>
        <w:rPr>
          <w:color w:val="231F20"/>
          <w:w w:val="105"/>
          <w:sz w:val="21"/>
        </w:rPr>
        <w:t>Georg,</w:t>
      </w:r>
      <w:r>
        <w:rPr>
          <w:color w:val="231F20"/>
          <w:spacing w:val="-14"/>
          <w:w w:val="105"/>
          <w:sz w:val="21"/>
        </w:rPr>
        <w:t> </w:t>
      </w:r>
      <w:r>
        <w:rPr>
          <w:color w:val="231F20"/>
          <w:w w:val="105"/>
          <w:sz w:val="21"/>
        </w:rPr>
        <w:t>(1971),</w:t>
      </w:r>
      <w:r>
        <w:rPr>
          <w:color w:val="231F20"/>
          <w:spacing w:val="-14"/>
          <w:w w:val="105"/>
          <w:sz w:val="21"/>
        </w:rPr>
        <w:t> </w:t>
      </w:r>
      <w:r>
        <w:rPr>
          <w:color w:val="231F20"/>
          <w:w w:val="105"/>
          <w:sz w:val="21"/>
        </w:rPr>
        <w:t>“The</w:t>
      </w:r>
      <w:r>
        <w:rPr>
          <w:color w:val="231F20"/>
          <w:spacing w:val="-10"/>
          <w:w w:val="105"/>
          <w:sz w:val="21"/>
        </w:rPr>
        <w:t> </w:t>
      </w:r>
      <w:r>
        <w:rPr>
          <w:color w:val="231F20"/>
          <w:w w:val="105"/>
          <w:sz w:val="21"/>
        </w:rPr>
        <w:t>Stranger”,</w:t>
      </w:r>
      <w:r>
        <w:rPr>
          <w:color w:val="231F20"/>
          <w:spacing w:val="-14"/>
          <w:w w:val="105"/>
          <w:sz w:val="21"/>
        </w:rPr>
        <w:t> </w:t>
      </w:r>
      <w:r>
        <w:rPr>
          <w:color w:val="231F20"/>
          <w:w w:val="105"/>
          <w:sz w:val="21"/>
        </w:rPr>
        <w:t>en</w:t>
      </w:r>
      <w:r>
        <w:rPr>
          <w:color w:val="231F20"/>
          <w:spacing w:val="-10"/>
          <w:w w:val="105"/>
          <w:sz w:val="21"/>
        </w:rPr>
        <w:t> </w:t>
      </w:r>
      <w:r>
        <w:rPr>
          <w:color w:val="231F20"/>
          <w:w w:val="105"/>
          <w:sz w:val="21"/>
        </w:rPr>
        <w:t>Georg</w:t>
      </w:r>
      <w:r>
        <w:rPr>
          <w:color w:val="231F20"/>
          <w:spacing w:val="-10"/>
          <w:w w:val="105"/>
          <w:sz w:val="21"/>
        </w:rPr>
        <w:t> </w:t>
      </w:r>
      <w:r>
        <w:rPr>
          <w:color w:val="231F20"/>
          <w:w w:val="105"/>
          <w:sz w:val="21"/>
        </w:rPr>
        <w:t>Simmel</w:t>
      </w:r>
      <w:r>
        <w:rPr>
          <w:color w:val="231F20"/>
          <w:spacing w:val="-10"/>
          <w:w w:val="105"/>
          <w:sz w:val="21"/>
        </w:rPr>
        <w:t> </w:t>
      </w:r>
      <w:r>
        <w:rPr>
          <w:color w:val="231F20"/>
          <w:w w:val="105"/>
          <w:sz w:val="21"/>
        </w:rPr>
        <w:t>(ed.),</w:t>
      </w:r>
      <w:r>
        <w:rPr>
          <w:color w:val="231F20"/>
          <w:spacing w:val="-14"/>
          <w:w w:val="105"/>
          <w:sz w:val="21"/>
        </w:rPr>
        <w:t> </w:t>
      </w:r>
      <w:r>
        <w:rPr>
          <w:rFonts w:ascii="Arial" w:hAnsi="Arial"/>
          <w:i/>
          <w:color w:val="231F20"/>
          <w:w w:val="105"/>
          <w:sz w:val="21"/>
        </w:rPr>
        <w:t>On</w:t>
      </w:r>
      <w:r>
        <w:rPr>
          <w:rFonts w:ascii="Arial" w:hAnsi="Arial"/>
          <w:i/>
          <w:color w:val="231F20"/>
          <w:spacing w:val="-12"/>
          <w:w w:val="105"/>
          <w:sz w:val="21"/>
        </w:rPr>
        <w:t> </w:t>
      </w:r>
      <w:r>
        <w:rPr>
          <w:rFonts w:ascii="Arial" w:hAnsi="Arial"/>
          <w:i/>
          <w:color w:val="231F20"/>
          <w:w w:val="105"/>
          <w:sz w:val="21"/>
        </w:rPr>
        <w:t>Indi- </w:t>
      </w:r>
      <w:r>
        <w:rPr>
          <w:rFonts w:ascii="Arial" w:hAnsi="Arial"/>
          <w:i/>
          <w:color w:val="231F20"/>
          <w:w w:val="105"/>
          <w:sz w:val="21"/>
        </w:rPr>
        <w:t>viduality and Social Forms</w:t>
      </w:r>
      <w:r>
        <w:rPr>
          <w:color w:val="231F20"/>
          <w:w w:val="105"/>
          <w:sz w:val="21"/>
        </w:rPr>
        <w:t>, Chicago: The University of Chicago Press.</w:t>
      </w:r>
    </w:p>
    <w:p>
      <w:pPr>
        <w:pStyle w:val="BodyText"/>
        <w:spacing w:line="259" w:lineRule="auto" w:before="3"/>
        <w:ind w:left="2461" w:right="1834" w:hanging="738"/>
        <w:jc w:val="both"/>
      </w:pPr>
      <w:r>
        <w:rPr>
          <w:color w:val="231F20"/>
          <w:w w:val="105"/>
        </w:rPr>
        <w:t>Thompson,</w:t>
      </w:r>
      <w:r>
        <w:rPr>
          <w:color w:val="231F20"/>
          <w:spacing w:val="-24"/>
          <w:w w:val="105"/>
        </w:rPr>
        <w:t> </w:t>
      </w:r>
      <w:r>
        <w:rPr>
          <w:color w:val="231F20"/>
          <w:w w:val="105"/>
        </w:rPr>
        <w:t>Edward,</w:t>
      </w:r>
      <w:r>
        <w:rPr>
          <w:color w:val="231F20"/>
          <w:spacing w:val="-24"/>
          <w:w w:val="105"/>
        </w:rPr>
        <w:t> </w:t>
      </w:r>
      <w:r>
        <w:rPr>
          <w:color w:val="231F20"/>
          <w:w w:val="105"/>
        </w:rPr>
        <w:t>(1966),</w:t>
      </w:r>
      <w:r>
        <w:rPr>
          <w:color w:val="231F20"/>
          <w:spacing w:val="-24"/>
          <w:w w:val="105"/>
        </w:rPr>
        <w:t> </w:t>
      </w:r>
      <w:r>
        <w:rPr>
          <w:color w:val="231F20"/>
          <w:w w:val="105"/>
        </w:rPr>
        <w:t>“Time,</w:t>
      </w:r>
      <w:r>
        <w:rPr>
          <w:color w:val="231F20"/>
          <w:spacing w:val="-24"/>
          <w:w w:val="105"/>
        </w:rPr>
        <w:t> </w:t>
      </w:r>
      <w:r>
        <w:rPr>
          <w:color w:val="231F20"/>
          <w:w w:val="105"/>
        </w:rPr>
        <w:t>work-discipline</w:t>
      </w:r>
      <w:r>
        <w:rPr>
          <w:color w:val="231F20"/>
          <w:spacing w:val="-20"/>
          <w:w w:val="105"/>
        </w:rPr>
        <w:t> </w:t>
      </w:r>
      <w:r>
        <w:rPr>
          <w:color w:val="231F20"/>
          <w:w w:val="105"/>
        </w:rPr>
        <w:t>and</w:t>
      </w:r>
      <w:r>
        <w:rPr>
          <w:color w:val="231F20"/>
          <w:spacing w:val="-20"/>
          <w:w w:val="105"/>
        </w:rPr>
        <w:t> </w:t>
      </w:r>
      <w:r>
        <w:rPr>
          <w:color w:val="231F20"/>
          <w:w w:val="105"/>
        </w:rPr>
        <w:t>industrial</w:t>
      </w:r>
      <w:r>
        <w:rPr>
          <w:color w:val="231F20"/>
          <w:spacing w:val="-20"/>
          <w:w w:val="105"/>
        </w:rPr>
        <w:t> </w:t>
      </w:r>
      <w:r>
        <w:rPr>
          <w:color w:val="231F20"/>
          <w:w w:val="105"/>
        </w:rPr>
        <w:t>capital- </w:t>
      </w:r>
      <w:r>
        <w:rPr>
          <w:color w:val="231F20"/>
          <w:spacing w:val="-6"/>
          <w:w w:val="105"/>
        </w:rPr>
        <w:t>ism”,</w:t>
      </w:r>
      <w:r>
        <w:rPr>
          <w:color w:val="231F20"/>
          <w:spacing w:val="-40"/>
          <w:w w:val="105"/>
        </w:rPr>
        <w:t> </w:t>
      </w:r>
      <w:r>
        <w:rPr>
          <w:rFonts w:ascii="Arial" w:hAnsi="Arial"/>
          <w:i/>
          <w:color w:val="231F20"/>
          <w:spacing w:val="-4"/>
          <w:w w:val="105"/>
        </w:rPr>
        <w:t>Past</w:t>
      </w:r>
      <w:r>
        <w:rPr>
          <w:rFonts w:ascii="Arial" w:hAnsi="Arial"/>
          <w:i/>
          <w:color w:val="231F20"/>
          <w:spacing w:val="-40"/>
          <w:w w:val="105"/>
        </w:rPr>
        <w:t> </w:t>
      </w:r>
      <w:r>
        <w:rPr>
          <w:rFonts w:ascii="Arial" w:hAnsi="Arial"/>
          <w:i/>
          <w:color w:val="231F20"/>
          <w:w w:val="105"/>
        </w:rPr>
        <w:t>and</w:t>
      </w:r>
      <w:r>
        <w:rPr>
          <w:rFonts w:ascii="Arial" w:hAnsi="Arial"/>
          <w:i/>
          <w:color w:val="231F20"/>
          <w:spacing w:val="-40"/>
          <w:w w:val="105"/>
        </w:rPr>
        <w:t> </w:t>
      </w:r>
      <w:r>
        <w:rPr>
          <w:rFonts w:ascii="Arial" w:hAnsi="Arial"/>
          <w:i/>
          <w:color w:val="231F20"/>
          <w:w w:val="105"/>
        </w:rPr>
        <w:t>Present</w:t>
      </w:r>
      <w:r>
        <w:rPr>
          <w:color w:val="231F20"/>
          <w:w w:val="105"/>
        </w:rPr>
        <w:t>,</w:t>
      </w:r>
      <w:r>
        <w:rPr>
          <w:color w:val="231F20"/>
          <w:spacing w:val="-40"/>
          <w:w w:val="105"/>
        </w:rPr>
        <w:t> </w:t>
      </w:r>
      <w:r>
        <w:rPr>
          <w:color w:val="231F20"/>
          <w:w w:val="105"/>
        </w:rPr>
        <w:t>núm.</w:t>
      </w:r>
      <w:r>
        <w:rPr>
          <w:color w:val="231F20"/>
          <w:spacing w:val="-40"/>
          <w:w w:val="105"/>
        </w:rPr>
        <w:t> </w:t>
      </w:r>
      <w:r>
        <w:rPr>
          <w:color w:val="231F20"/>
          <w:w w:val="105"/>
        </w:rPr>
        <w:t>38.</w:t>
      </w:r>
    </w:p>
    <w:p>
      <w:pPr>
        <w:spacing w:line="261" w:lineRule="auto" w:before="3"/>
        <w:ind w:left="2460" w:right="1829" w:hanging="737"/>
        <w:jc w:val="both"/>
        <w:rPr>
          <w:sz w:val="21"/>
        </w:rPr>
      </w:pPr>
      <w:r>
        <w:rPr>
          <w:color w:val="231F20"/>
          <w:sz w:val="21"/>
        </w:rPr>
        <w:t>Villa, Marta Inés, (2013), “Retorno de desplazados en el eje cafetalero: el caso de San Carlos en Medellín, Colombia. Una mirada desde la historia oral y la </w:t>
      </w:r>
      <w:r>
        <w:rPr>
          <w:color w:val="231F20"/>
          <w:spacing w:val="-4"/>
          <w:sz w:val="21"/>
        </w:rPr>
        <w:t>memoria”, </w:t>
      </w:r>
      <w:r>
        <w:rPr>
          <w:color w:val="231F20"/>
          <w:sz w:val="21"/>
        </w:rPr>
        <w:t>ponencia presentada en </w:t>
      </w:r>
      <w:r>
        <w:rPr>
          <w:rFonts w:ascii="Arial" w:hAnsi="Arial"/>
          <w:i/>
          <w:color w:val="231F20"/>
          <w:sz w:val="17"/>
        </w:rPr>
        <w:t>VI  </w:t>
      </w:r>
      <w:r>
        <w:rPr>
          <w:rFonts w:ascii="Arial" w:hAnsi="Arial"/>
          <w:i/>
          <w:color w:val="231F20"/>
          <w:sz w:val="21"/>
        </w:rPr>
        <w:t>Reunión  </w:t>
      </w:r>
      <w:r>
        <w:rPr>
          <w:rFonts w:ascii="Arial" w:hAnsi="Arial"/>
          <w:i/>
          <w:color w:val="231F20"/>
          <w:sz w:val="21"/>
        </w:rPr>
        <w:t>del Grupo de </w:t>
      </w:r>
      <w:r>
        <w:rPr>
          <w:rFonts w:ascii="Arial" w:hAnsi="Arial"/>
          <w:i/>
          <w:color w:val="231F20"/>
          <w:spacing w:val="-4"/>
          <w:sz w:val="21"/>
        </w:rPr>
        <w:t>Trabajo </w:t>
      </w:r>
      <w:r>
        <w:rPr>
          <w:rFonts w:ascii="Arial" w:hAnsi="Arial"/>
          <w:i/>
          <w:color w:val="231F20"/>
          <w:sz w:val="21"/>
        </w:rPr>
        <w:t>Migración, Cultura y Políticas</w:t>
      </w:r>
      <w:r>
        <w:rPr>
          <w:color w:val="231F20"/>
          <w:sz w:val="21"/>
        </w:rPr>
        <w:t>, 4-6 de junio, </w:t>
      </w:r>
      <w:r>
        <w:rPr>
          <w:color w:val="231F20"/>
          <w:sz w:val="17"/>
        </w:rPr>
        <w:t>CLACSO</w:t>
      </w:r>
      <w:r>
        <w:rPr>
          <w:color w:val="231F20"/>
          <w:sz w:val="21"/>
        </w:rPr>
        <w:t>, Heredia: Costa</w:t>
      </w:r>
      <w:r>
        <w:rPr>
          <w:color w:val="231F20"/>
          <w:spacing w:val="-35"/>
          <w:sz w:val="21"/>
        </w:rPr>
        <w:t> </w:t>
      </w:r>
      <w:r>
        <w:rPr>
          <w:color w:val="231F20"/>
          <w:sz w:val="21"/>
        </w:rPr>
        <w:t>Rica.</w:t>
      </w:r>
    </w:p>
    <w:p>
      <w:pPr>
        <w:spacing w:line="259" w:lineRule="auto" w:before="1"/>
        <w:ind w:left="2461" w:right="1834" w:hanging="738"/>
        <w:jc w:val="both"/>
        <w:rPr>
          <w:sz w:val="21"/>
        </w:rPr>
      </w:pPr>
      <w:r>
        <w:rPr>
          <w:color w:val="231F20"/>
          <w:spacing w:val="-3"/>
          <w:sz w:val="21"/>
        </w:rPr>
        <w:t>Xiang, Biao, (2013), “Return </w:t>
      </w:r>
      <w:r>
        <w:rPr>
          <w:color w:val="231F20"/>
          <w:sz w:val="21"/>
        </w:rPr>
        <w:t>and the </w:t>
      </w:r>
      <w:r>
        <w:rPr>
          <w:color w:val="231F20"/>
          <w:spacing w:val="-4"/>
          <w:sz w:val="21"/>
        </w:rPr>
        <w:t>Reordering </w:t>
      </w:r>
      <w:r>
        <w:rPr>
          <w:color w:val="231F20"/>
          <w:sz w:val="21"/>
        </w:rPr>
        <w:t>of </w:t>
      </w:r>
      <w:r>
        <w:rPr>
          <w:color w:val="231F20"/>
          <w:spacing w:val="-5"/>
          <w:sz w:val="21"/>
        </w:rPr>
        <w:t>Transnational </w:t>
      </w:r>
      <w:r>
        <w:rPr>
          <w:color w:val="231F20"/>
          <w:spacing w:val="-3"/>
          <w:sz w:val="21"/>
        </w:rPr>
        <w:t>Mobility in </w:t>
      </w:r>
      <w:r>
        <w:rPr>
          <w:color w:val="231F20"/>
          <w:spacing w:val="-8"/>
          <w:sz w:val="21"/>
        </w:rPr>
        <w:t>Asia”,</w:t>
      </w:r>
      <w:r>
        <w:rPr>
          <w:color w:val="231F20"/>
          <w:spacing w:val="-11"/>
          <w:sz w:val="21"/>
        </w:rPr>
        <w:t> </w:t>
      </w:r>
      <w:r>
        <w:rPr>
          <w:color w:val="231F20"/>
          <w:sz w:val="21"/>
        </w:rPr>
        <w:t>en</w:t>
      </w:r>
      <w:r>
        <w:rPr>
          <w:color w:val="231F20"/>
          <w:spacing w:val="-4"/>
          <w:sz w:val="21"/>
        </w:rPr>
        <w:t> </w:t>
      </w:r>
      <w:r>
        <w:rPr>
          <w:color w:val="231F20"/>
          <w:spacing w:val="-3"/>
          <w:sz w:val="21"/>
        </w:rPr>
        <w:t>Biao</w:t>
      </w:r>
      <w:r>
        <w:rPr>
          <w:color w:val="231F20"/>
          <w:spacing w:val="-8"/>
          <w:sz w:val="21"/>
        </w:rPr>
        <w:t> </w:t>
      </w:r>
      <w:r>
        <w:rPr>
          <w:color w:val="231F20"/>
          <w:spacing w:val="-3"/>
          <w:sz w:val="21"/>
        </w:rPr>
        <w:t>Xiang,</w:t>
      </w:r>
      <w:r>
        <w:rPr>
          <w:color w:val="231F20"/>
          <w:spacing w:val="-16"/>
          <w:sz w:val="21"/>
        </w:rPr>
        <w:t> </w:t>
      </w:r>
      <w:r>
        <w:rPr>
          <w:color w:val="231F20"/>
          <w:spacing w:val="-6"/>
          <w:sz w:val="21"/>
        </w:rPr>
        <w:t>Yeoh,</w:t>
      </w:r>
      <w:r>
        <w:rPr>
          <w:color w:val="231F20"/>
          <w:spacing w:val="-11"/>
          <w:sz w:val="21"/>
        </w:rPr>
        <w:t> </w:t>
      </w:r>
      <w:r>
        <w:rPr>
          <w:color w:val="231F20"/>
          <w:sz w:val="21"/>
        </w:rPr>
        <w:t>B.</w:t>
      </w:r>
      <w:r>
        <w:rPr>
          <w:color w:val="231F20"/>
          <w:spacing w:val="-11"/>
          <w:sz w:val="21"/>
        </w:rPr>
        <w:t> </w:t>
      </w:r>
      <w:r>
        <w:rPr>
          <w:color w:val="231F20"/>
          <w:sz w:val="21"/>
        </w:rPr>
        <w:t>y</w:t>
      </w:r>
      <w:r>
        <w:rPr>
          <w:color w:val="231F20"/>
          <w:spacing w:val="-10"/>
          <w:sz w:val="21"/>
        </w:rPr>
        <w:t> </w:t>
      </w:r>
      <w:r>
        <w:rPr>
          <w:color w:val="231F20"/>
          <w:spacing w:val="-6"/>
          <w:sz w:val="21"/>
        </w:rPr>
        <w:t>Toyota,</w:t>
      </w:r>
      <w:r>
        <w:rPr>
          <w:color w:val="231F20"/>
          <w:spacing w:val="-11"/>
          <w:sz w:val="21"/>
        </w:rPr>
        <w:t> </w:t>
      </w:r>
      <w:r>
        <w:rPr>
          <w:color w:val="231F20"/>
          <w:sz w:val="21"/>
        </w:rPr>
        <w:t>M.</w:t>
      </w:r>
      <w:r>
        <w:rPr>
          <w:color w:val="231F20"/>
          <w:spacing w:val="-11"/>
          <w:sz w:val="21"/>
        </w:rPr>
        <w:t> </w:t>
      </w:r>
      <w:r>
        <w:rPr>
          <w:color w:val="231F20"/>
          <w:spacing w:val="-3"/>
          <w:sz w:val="21"/>
        </w:rPr>
        <w:t>(eds.),</w:t>
      </w:r>
      <w:r>
        <w:rPr>
          <w:color w:val="231F20"/>
          <w:spacing w:val="-11"/>
          <w:sz w:val="21"/>
        </w:rPr>
        <w:t> </w:t>
      </w:r>
      <w:r>
        <w:rPr>
          <w:rFonts w:ascii="Arial" w:hAnsi="Arial"/>
          <w:i/>
          <w:color w:val="231F20"/>
          <w:spacing w:val="-3"/>
          <w:sz w:val="21"/>
        </w:rPr>
        <w:t>Return.</w:t>
      </w:r>
      <w:r>
        <w:rPr>
          <w:rFonts w:ascii="Arial" w:hAnsi="Arial"/>
          <w:i/>
          <w:color w:val="231F20"/>
          <w:spacing w:val="-14"/>
          <w:sz w:val="21"/>
        </w:rPr>
        <w:t> </w:t>
      </w:r>
      <w:r>
        <w:rPr>
          <w:rFonts w:ascii="Arial" w:hAnsi="Arial"/>
          <w:i/>
          <w:color w:val="231F20"/>
          <w:spacing w:val="-3"/>
          <w:sz w:val="21"/>
        </w:rPr>
        <w:t>Nationaliz- </w:t>
      </w:r>
      <w:r>
        <w:rPr>
          <w:rFonts w:ascii="Arial" w:hAnsi="Arial"/>
          <w:i/>
          <w:color w:val="231F20"/>
          <w:sz w:val="21"/>
        </w:rPr>
        <w:t>ing </w:t>
      </w:r>
      <w:r>
        <w:rPr>
          <w:rFonts w:ascii="Arial" w:hAnsi="Arial"/>
          <w:i/>
          <w:color w:val="231F20"/>
          <w:spacing w:val="-5"/>
          <w:sz w:val="21"/>
        </w:rPr>
        <w:t>Transnational </w:t>
      </w:r>
      <w:r>
        <w:rPr>
          <w:rFonts w:ascii="Arial" w:hAnsi="Arial"/>
          <w:i/>
          <w:color w:val="231F20"/>
          <w:spacing w:val="-3"/>
          <w:sz w:val="21"/>
        </w:rPr>
        <w:t>Mobility </w:t>
      </w:r>
      <w:r>
        <w:rPr>
          <w:rFonts w:ascii="Arial" w:hAnsi="Arial"/>
          <w:i/>
          <w:color w:val="231F20"/>
          <w:sz w:val="21"/>
        </w:rPr>
        <w:t>in </w:t>
      </w:r>
      <w:r>
        <w:rPr>
          <w:rFonts w:ascii="Arial" w:hAnsi="Arial"/>
          <w:i/>
          <w:color w:val="231F20"/>
          <w:spacing w:val="-3"/>
          <w:sz w:val="21"/>
        </w:rPr>
        <w:t>Asia</w:t>
      </w:r>
      <w:r>
        <w:rPr>
          <w:color w:val="231F20"/>
          <w:spacing w:val="-3"/>
          <w:sz w:val="21"/>
        </w:rPr>
        <w:t>, Durham: Duke University </w:t>
      </w:r>
      <w:r>
        <w:rPr>
          <w:color w:val="231F20"/>
          <w:spacing w:val="3"/>
          <w:sz w:val="21"/>
        </w:rPr>
        <w:t> </w:t>
      </w:r>
      <w:r>
        <w:rPr>
          <w:color w:val="231F20"/>
          <w:spacing w:val="-6"/>
          <w:sz w:val="21"/>
        </w:rPr>
        <w:t>Press.</w:t>
      </w:r>
    </w:p>
    <w:p>
      <w:pPr>
        <w:tabs>
          <w:tab w:pos="2563" w:val="left" w:leader="none"/>
        </w:tabs>
        <w:spacing w:line="259" w:lineRule="auto" w:before="3"/>
        <w:ind w:left="2461" w:right="1835" w:hanging="738"/>
        <w:jc w:val="both"/>
        <w:rPr>
          <w:sz w:val="21"/>
        </w:rPr>
      </w:pPr>
      <w:r>
        <w:rPr>
          <w:color w:val="231F20"/>
          <w:w w:val="94"/>
          <w:sz w:val="21"/>
          <w:u w:val="single" w:color="221E1F"/>
        </w:rPr>
        <w:t> </w:t>
      </w:r>
      <w:r>
        <w:rPr>
          <w:color w:val="231F20"/>
          <w:sz w:val="21"/>
          <w:u w:val="single" w:color="221E1F"/>
        </w:rPr>
        <w:tab/>
        <w:tab/>
      </w:r>
      <w:r>
        <w:rPr>
          <w:color w:val="231F20"/>
          <w:spacing w:val="25"/>
          <w:sz w:val="21"/>
        </w:rPr>
        <w:t> </w:t>
      </w:r>
      <w:r>
        <w:rPr>
          <w:color w:val="231F20"/>
          <w:sz w:val="21"/>
        </w:rPr>
        <w:t>(2014), “The  return  of  return:  Migration, Asia  and </w:t>
      </w:r>
      <w:r>
        <w:rPr>
          <w:color w:val="231F20"/>
          <w:spacing w:val="18"/>
          <w:sz w:val="21"/>
        </w:rPr>
        <w:t> </w:t>
      </w:r>
      <w:r>
        <w:rPr>
          <w:color w:val="231F20"/>
          <w:spacing w:val="-4"/>
          <w:sz w:val="21"/>
        </w:rPr>
        <w:t>Theory”,</w:t>
      </w:r>
      <w:r>
        <w:rPr>
          <w:color w:val="231F20"/>
          <w:spacing w:val="37"/>
          <w:sz w:val="21"/>
        </w:rPr>
        <w:t> </w:t>
      </w:r>
      <w:r>
        <w:rPr>
          <w:color w:val="231F20"/>
          <w:sz w:val="21"/>
        </w:rPr>
        <w:t>en</w:t>
      </w:r>
      <w:r>
        <w:rPr>
          <w:color w:val="231F20"/>
          <w:w w:val="103"/>
          <w:sz w:val="21"/>
        </w:rPr>
        <w:t> </w:t>
      </w:r>
      <w:r>
        <w:rPr>
          <w:color w:val="231F20"/>
          <w:sz w:val="21"/>
        </w:rPr>
        <w:t>Battistella, Graziano (ed.), </w:t>
      </w:r>
      <w:r>
        <w:rPr>
          <w:rFonts w:ascii="Arial" w:hAnsi="Arial"/>
          <w:i/>
          <w:color w:val="231F20"/>
          <w:sz w:val="21"/>
        </w:rPr>
        <w:t>Global and Asian Perspectives on</w:t>
      </w:r>
      <w:r>
        <w:rPr>
          <w:rFonts w:ascii="Arial" w:hAnsi="Arial"/>
          <w:i/>
          <w:color w:val="231F20"/>
          <w:spacing w:val="-11"/>
          <w:sz w:val="21"/>
        </w:rPr>
        <w:t> </w:t>
      </w:r>
      <w:r>
        <w:rPr>
          <w:rFonts w:ascii="Arial" w:hAnsi="Arial"/>
          <w:i/>
          <w:color w:val="231F20"/>
          <w:sz w:val="21"/>
        </w:rPr>
        <w:t>Inter- </w:t>
      </w:r>
      <w:r>
        <w:rPr>
          <w:rFonts w:ascii="Arial" w:hAnsi="Arial"/>
          <w:i/>
          <w:color w:val="231F20"/>
          <w:sz w:val="21"/>
        </w:rPr>
        <w:t>national  Migration</w:t>
      </w:r>
      <w:r>
        <w:rPr>
          <w:color w:val="231F20"/>
          <w:sz w:val="21"/>
        </w:rPr>
        <w:t>, Londres:</w:t>
      </w:r>
      <w:r>
        <w:rPr>
          <w:color w:val="231F20"/>
          <w:spacing w:val="28"/>
          <w:sz w:val="21"/>
        </w:rPr>
        <w:t> </w:t>
      </w:r>
      <w:r>
        <w:rPr>
          <w:color w:val="231F20"/>
          <w:sz w:val="21"/>
        </w:rPr>
        <w:t>Springer.</w:t>
      </w:r>
    </w:p>
    <w:p>
      <w:pPr>
        <w:pStyle w:val="BodyText"/>
        <w:spacing w:line="261" w:lineRule="auto" w:before="3"/>
        <w:ind w:left="2460" w:right="1835" w:hanging="737"/>
        <w:jc w:val="both"/>
      </w:pPr>
      <w:r>
        <w:rPr>
          <w:color w:val="231F20"/>
        </w:rPr>
        <w:t>Zaiceva,</w:t>
      </w:r>
      <w:r>
        <w:rPr>
          <w:color w:val="231F20"/>
          <w:spacing w:val="-23"/>
        </w:rPr>
        <w:t> </w:t>
      </w:r>
      <w:r>
        <w:rPr>
          <w:color w:val="231F20"/>
        </w:rPr>
        <w:t>Anzelika</w:t>
      </w:r>
      <w:r>
        <w:rPr>
          <w:color w:val="231F20"/>
          <w:spacing w:val="-11"/>
        </w:rPr>
        <w:t> </w:t>
      </w:r>
      <w:r>
        <w:rPr>
          <w:color w:val="231F20"/>
        </w:rPr>
        <w:t>y</w:t>
      </w:r>
      <w:r>
        <w:rPr>
          <w:color w:val="231F20"/>
          <w:spacing w:val="-11"/>
        </w:rPr>
        <w:t> </w:t>
      </w:r>
      <w:r>
        <w:rPr>
          <w:color w:val="231F20"/>
        </w:rPr>
        <w:t>Zimmermann,</w:t>
      </w:r>
      <w:r>
        <w:rPr>
          <w:color w:val="231F20"/>
          <w:spacing w:val="-18"/>
        </w:rPr>
        <w:t> </w:t>
      </w:r>
      <w:r>
        <w:rPr>
          <w:color w:val="231F20"/>
        </w:rPr>
        <w:t>Klaus,</w:t>
      </w:r>
      <w:r>
        <w:rPr>
          <w:color w:val="231F20"/>
          <w:spacing w:val="-18"/>
        </w:rPr>
        <w:t> </w:t>
      </w:r>
      <w:r>
        <w:rPr>
          <w:color w:val="231F20"/>
        </w:rPr>
        <w:t>(2012),</w:t>
      </w:r>
      <w:r>
        <w:rPr>
          <w:color w:val="231F20"/>
          <w:spacing w:val="-18"/>
        </w:rPr>
        <w:t> </w:t>
      </w:r>
      <w:r>
        <w:rPr>
          <w:color w:val="231F20"/>
        </w:rPr>
        <w:t>“Returning</w:t>
      </w:r>
      <w:r>
        <w:rPr>
          <w:color w:val="231F20"/>
          <w:spacing w:val="-11"/>
        </w:rPr>
        <w:t> </w:t>
      </w:r>
      <w:r>
        <w:rPr>
          <w:color w:val="231F20"/>
        </w:rPr>
        <w:t>Home</w:t>
      </w:r>
      <w:r>
        <w:rPr>
          <w:color w:val="231F20"/>
          <w:spacing w:val="-11"/>
        </w:rPr>
        <w:t> </w:t>
      </w:r>
      <w:r>
        <w:rPr>
          <w:color w:val="231F20"/>
        </w:rPr>
        <w:t>at</w:t>
      </w:r>
      <w:r>
        <w:rPr>
          <w:color w:val="231F20"/>
          <w:spacing w:val="-17"/>
        </w:rPr>
        <w:t> </w:t>
      </w:r>
      <w:r>
        <w:rPr>
          <w:color w:val="231F20"/>
        </w:rPr>
        <w:t>Times </w:t>
      </w:r>
      <w:r>
        <w:rPr>
          <w:color w:val="231F20"/>
          <w:w w:val="105"/>
        </w:rPr>
        <w:t>of </w:t>
      </w:r>
      <w:r>
        <w:rPr>
          <w:color w:val="231F20"/>
          <w:spacing w:val="-3"/>
          <w:w w:val="105"/>
        </w:rPr>
        <w:t>Trouble? </w:t>
      </w:r>
      <w:r>
        <w:rPr>
          <w:color w:val="231F20"/>
          <w:w w:val="105"/>
        </w:rPr>
        <w:t>Return Migration of </w:t>
      </w:r>
      <w:r>
        <w:rPr>
          <w:color w:val="231F20"/>
          <w:w w:val="105"/>
          <w:sz w:val="17"/>
        </w:rPr>
        <w:t>EU </w:t>
      </w:r>
      <w:r>
        <w:rPr>
          <w:color w:val="231F20"/>
          <w:w w:val="105"/>
        </w:rPr>
        <w:t>Enlargement Migrants</w:t>
      </w:r>
      <w:r>
        <w:rPr>
          <w:color w:val="231F20"/>
          <w:spacing w:val="-29"/>
          <w:w w:val="105"/>
        </w:rPr>
        <w:t> </w:t>
      </w:r>
      <w:r>
        <w:rPr>
          <w:color w:val="231F20"/>
          <w:w w:val="105"/>
        </w:rPr>
        <w:t>during </w:t>
      </w:r>
      <w:r>
        <w:rPr>
          <w:color w:val="231F20"/>
          <w:spacing w:val="-4"/>
        </w:rPr>
        <w:t>Crisis”, </w:t>
      </w:r>
      <w:r>
        <w:rPr>
          <w:rFonts w:ascii="Arial" w:hAnsi="Arial"/>
          <w:i/>
          <w:color w:val="231F20"/>
        </w:rPr>
        <w:t>Discussion </w:t>
      </w:r>
      <w:r>
        <w:rPr>
          <w:rFonts w:ascii="Arial" w:hAnsi="Arial"/>
          <w:i/>
          <w:color w:val="231F20"/>
          <w:spacing w:val="-3"/>
        </w:rPr>
        <w:t>Paper </w:t>
      </w:r>
      <w:r>
        <w:rPr>
          <w:rFonts w:ascii="Arial" w:hAnsi="Arial"/>
          <w:i/>
          <w:color w:val="231F20"/>
        </w:rPr>
        <w:t>Series, </w:t>
      </w:r>
      <w:r>
        <w:rPr>
          <w:color w:val="231F20"/>
        </w:rPr>
        <w:t>núm.</w:t>
      </w:r>
      <w:r>
        <w:rPr>
          <w:color w:val="231F20"/>
          <w:spacing w:val="-17"/>
        </w:rPr>
        <w:t> </w:t>
      </w:r>
      <w:r>
        <w:rPr>
          <w:color w:val="231F20"/>
        </w:rPr>
        <w:t>7111.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5432" from="131.551193pt,3.753715pt" to="131.551193pt,39.556114pt" stroked="true" strokeweight=".35pt" strokecolor="#231f20">
            <w10:wrap type="none"/>
          </v:line>
        </w:pict>
      </w:r>
      <w:r>
        <w:rPr/>
        <w:pict>
          <v:line style="position:absolute;mso-position-horizontal-relative:page;mso-position-vertical-relative:paragraph;z-index:-475408" from="15pt,39.555916pt" to="0pt,39.555916pt" stroked="true" strokeweight=".25pt" strokecolor="#000000">
            <w10:wrap type="none"/>
          </v:line>
        </w:pict>
      </w:r>
      <w:r>
        <w:rPr/>
        <w:pict>
          <v:line style="position:absolute;mso-position-horizontal-relative:page;mso-position-vertical-relative:paragraph;z-index:14800" from="508.890015pt,39.555916pt" to="523.890015pt,39.555916pt" stroked="true" strokeweight=".25pt" strokecolor="#000000">
            <w10:wrap type="none"/>
          </v:line>
        </w:pict>
      </w:r>
      <w:r>
        <w:rPr>
          <w:rFonts w:ascii="Arial" w:hAnsi="Arial"/>
          <w:color w:val="414042"/>
          <w:position w:val="-5"/>
          <w:sz w:val="20"/>
        </w:rPr>
        <w:t>144</w:t>
        <w:tab/>
      </w:r>
      <w:r>
        <w:rPr>
          <w:rFonts w:ascii="Calibri" w:hAnsi="Calibri"/>
          <w:color w:val="6D6E71"/>
          <w:sz w:val="15"/>
        </w:rPr>
        <w:t>Liliana  Rivera</w:t>
      </w:r>
      <w:r>
        <w:rPr>
          <w:rFonts w:ascii="Calibri" w:hAnsi="Calibri"/>
          <w:color w:val="6D6E71"/>
          <w:spacing w:val="2"/>
          <w:sz w:val="15"/>
        </w:rPr>
        <w:t> </w:t>
      </w:r>
      <w:r>
        <w:rPr>
          <w:rFonts w:ascii="Calibri" w:hAnsi="Calibri"/>
          <w:color w:val="6D6E71"/>
          <w:sz w:val="15"/>
        </w:rPr>
        <w:t>Sánchez</w:t>
      </w:r>
    </w:p>
    <w:p>
      <w:pPr>
        <w:spacing w:after="0"/>
        <w:jc w:val="left"/>
        <w:rPr>
          <w:rFonts w:ascii="Calibri" w:hAnsi="Calibri"/>
          <w:sz w:val="15"/>
        </w:rPr>
        <w:sectPr>
          <w:headerReference w:type="default" r:id="rId107"/>
          <w:pgSz w:w="10480" w:h="14730"/>
          <w:pgMar w:header="0" w:footer="103" w:top="420" w:bottom="300" w:left="0" w:right="0"/>
        </w:sectPr>
      </w:pPr>
    </w:p>
    <w:p>
      <w:pPr>
        <w:pStyle w:val="BodyText"/>
        <w:rPr>
          <w:rFonts w:ascii="Calibri"/>
          <w:sz w:val="20"/>
        </w:rPr>
      </w:pPr>
      <w:r>
        <w:rPr/>
        <w:pict>
          <v:group style="position:absolute;margin-left:21pt;margin-top:20.999975pt;width:481.9pt;height:694.5pt;mso-position-horizontal-relative:page;mso-position-vertical-relative:page;z-index:-475360" coordorigin="420,420" coordsize="9638,13890">
            <v:rect style="position:absolute;left:420;top:420;width:9638;height:13890" filled="true" fillcolor="#77787b" stroked="false">
              <v:fill type="solid"/>
            </v:rect>
            <v:shape style="position:absolute;left:420;top:6577;width:9638;height:7733" type="#_x0000_t75" stroked="false">
              <v:imagedata r:id="rId101" o:title=""/>
            </v:shape>
            <w10:wrap type="none"/>
          </v:group>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9"/>
        </w:rPr>
      </w:pPr>
    </w:p>
    <w:p>
      <w:pPr>
        <w:pStyle w:val="Heading2"/>
        <w:spacing w:line="187" w:lineRule="auto"/>
        <w:ind w:left="2245" w:right="4779" w:hanging="417"/>
        <w:jc w:val="both"/>
      </w:pPr>
      <w:r>
        <w:rPr>
          <w:color w:val="FFFFFF"/>
          <w:w w:val="95"/>
        </w:rPr>
        <w:t>PObLACIÓN</w:t>
      </w:r>
      <w:r>
        <w:rPr>
          <w:color w:val="FFFFFF"/>
          <w:spacing w:val="-53"/>
          <w:w w:val="95"/>
        </w:rPr>
        <w:t> </w:t>
      </w:r>
      <w:r>
        <w:rPr>
          <w:color w:val="FFFFFF"/>
          <w:w w:val="95"/>
        </w:rPr>
        <w:t>MIftRANTE</w:t>
      </w:r>
      <w:r>
        <w:rPr>
          <w:color w:val="FFFFFF"/>
          <w:spacing w:val="-53"/>
          <w:w w:val="95"/>
        </w:rPr>
        <w:t> </w:t>
      </w:r>
      <w:r>
        <w:rPr>
          <w:color w:val="FFFFFF"/>
          <w:w w:val="95"/>
        </w:rPr>
        <w:t>MEXIqUENSE </w:t>
      </w:r>
      <w:r>
        <w:rPr>
          <w:color w:val="FFFFFF"/>
          <w:spacing w:val="-4"/>
          <w:w w:val="95"/>
        </w:rPr>
        <w:t>DEVUELTA</w:t>
      </w:r>
      <w:r>
        <w:rPr>
          <w:color w:val="FFFFFF"/>
          <w:spacing w:val="-47"/>
          <w:w w:val="95"/>
        </w:rPr>
        <w:t> </w:t>
      </w:r>
      <w:r>
        <w:rPr>
          <w:color w:val="FFFFFF"/>
          <w:w w:val="95"/>
        </w:rPr>
        <w:t>DE</w:t>
      </w:r>
      <w:r>
        <w:rPr>
          <w:color w:val="FFFFFF"/>
          <w:spacing w:val="-47"/>
          <w:w w:val="95"/>
        </w:rPr>
        <w:t> </w:t>
      </w:r>
      <w:r>
        <w:rPr>
          <w:color w:val="FFFFFF"/>
          <w:w w:val="95"/>
        </w:rPr>
        <w:t>ESTADOS</w:t>
      </w:r>
      <w:r>
        <w:rPr>
          <w:color w:val="FFFFFF"/>
          <w:spacing w:val="-47"/>
          <w:w w:val="95"/>
        </w:rPr>
        <w:t> </w:t>
      </w:r>
      <w:r>
        <w:rPr>
          <w:color w:val="FFFFFF"/>
          <w:w w:val="95"/>
        </w:rPr>
        <w:t>UNIDOS: INáMICA DEL FLUJO</w:t>
      </w:r>
      <w:r>
        <w:rPr>
          <w:color w:val="FFFFFF"/>
          <w:spacing w:val="-54"/>
          <w:w w:val="95"/>
        </w:rPr>
        <w:t> </w:t>
      </w:r>
      <w:r>
        <w:rPr>
          <w:color w:val="FFFFFF"/>
          <w:w w:val="95"/>
        </w:rPr>
        <w:t>EN</w:t>
      </w:r>
    </w:p>
    <w:p>
      <w:pPr>
        <w:spacing w:line="271" w:lineRule="exact" w:before="0"/>
        <w:ind w:left="1954" w:right="0" w:firstLine="0"/>
        <w:jc w:val="left"/>
        <w:rPr>
          <w:rFonts w:ascii="Lucida Sans Unicode" w:hAnsi="Lucida Sans Unicode"/>
          <w:sz w:val="24"/>
        </w:rPr>
      </w:pPr>
      <w:r>
        <w:rPr>
          <w:rFonts w:ascii="Lucida Sans Unicode" w:hAnsi="Lucida Sans Unicode"/>
          <w:color w:val="FFFFFF"/>
          <w:w w:val="90"/>
          <w:sz w:val="24"/>
        </w:rPr>
        <w:t>DE CRISIS ECONÓMICA Y VIOLENCIA</w:t>
      </w:r>
    </w:p>
    <w:p>
      <w:pPr>
        <w:spacing w:line="328" w:lineRule="exact" w:before="0"/>
        <w:ind w:left="1898" w:right="2804" w:firstLine="0"/>
        <w:jc w:val="center"/>
        <w:rPr>
          <w:rFonts w:ascii="Lucida Sans Unicode"/>
          <w:sz w:val="24"/>
        </w:rPr>
      </w:pPr>
      <w:r>
        <w:rPr>
          <w:rFonts w:ascii="Lucida Sans Unicode"/>
          <w:color w:val="FFFFFF"/>
          <w:sz w:val="24"/>
        </w:rPr>
        <w:t>ANTIINMIftRANTE</w:t>
      </w:r>
    </w:p>
    <w:p>
      <w:pPr>
        <w:pStyle w:val="Heading4"/>
        <w:spacing w:line="264" w:lineRule="exact" w:before="76"/>
        <w:ind w:left="5695" w:right="1683"/>
        <w:rPr>
          <w:sz w:val="18"/>
        </w:rPr>
      </w:pPr>
      <w:r>
        <w:rPr>
          <w:color w:val="FFFFFF"/>
        </w:rPr>
        <w:t>Ana Elizabeth Jardón Hernández</w:t>
      </w:r>
      <w:r>
        <w:rPr>
          <w:color w:val="FFFFFF"/>
          <w:sz w:val="18"/>
        </w:rPr>
        <w:t>* </w:t>
      </w:r>
      <w:r>
        <w:rPr>
          <w:color w:val="FFFFFF"/>
        </w:rPr>
        <w:t>Norma Baca Tavira</w:t>
      </w:r>
      <w:r>
        <w:rPr>
          <w:color w:val="FFFFFF"/>
          <w:sz w:val="18"/>
        </w:rPr>
        <w:t>**</w:t>
      </w:r>
    </w:p>
    <w:p>
      <w:pPr>
        <w:spacing w:before="1"/>
        <w:ind w:left="6144" w:right="0" w:firstLine="0"/>
        <w:jc w:val="left"/>
        <w:rPr>
          <w:rFonts w:ascii="Calibri" w:hAnsi="Calibri"/>
          <w:sz w:val="18"/>
        </w:rPr>
      </w:pPr>
      <w:r>
        <w:rPr>
          <w:rFonts w:ascii="Calibri" w:hAnsi="Calibri"/>
          <w:color w:val="FFFFFF"/>
          <w:sz w:val="22"/>
        </w:rPr>
        <w:t>Hernández Lara</w:t>
      </w:r>
      <w:r>
        <w:rPr>
          <w:rFonts w:ascii="Calibri" w:hAnsi="Calibri"/>
          <w:color w:val="FFFFFF"/>
          <w:sz w:val="18"/>
        </w:rPr>
        <w:t>***</w:t>
      </w:r>
    </w:p>
    <w:p>
      <w:pPr>
        <w:pStyle w:val="BodyText"/>
        <w:rPr>
          <w:rFonts w:ascii="Calibri"/>
          <w:sz w:val="22"/>
        </w:rPr>
      </w:pPr>
    </w:p>
    <w:p>
      <w:pPr>
        <w:pStyle w:val="BodyText"/>
        <w:rPr>
          <w:rFonts w:ascii="Calibri"/>
          <w:sz w:val="22"/>
        </w:rPr>
      </w:pPr>
    </w:p>
    <w:p>
      <w:pPr>
        <w:pStyle w:val="BodyText"/>
        <w:spacing w:before="10"/>
        <w:rPr>
          <w:rFonts w:ascii="Calibri"/>
          <w:sz w:val="16"/>
        </w:rPr>
      </w:pPr>
    </w:p>
    <w:p>
      <w:pPr>
        <w:spacing w:line="180" w:lineRule="exact" w:before="0"/>
        <w:ind w:left="1833" w:right="1718" w:firstLine="0"/>
        <w:jc w:val="both"/>
        <w:rPr>
          <w:rFonts w:ascii="Calibri" w:hAnsi="Calibri"/>
          <w:sz w:val="15"/>
        </w:rPr>
      </w:pPr>
      <w:r>
        <w:rPr>
          <w:rFonts w:ascii="Calibri" w:hAnsi="Calibri"/>
          <w:color w:val="FFFFFF"/>
          <w:w w:val="105"/>
          <w:sz w:val="15"/>
        </w:rPr>
        <w:t>*</w:t>
      </w:r>
      <w:r>
        <w:rPr>
          <w:rFonts w:ascii="Calibri" w:hAnsi="Calibri"/>
          <w:color w:val="FFFFFF"/>
          <w:spacing w:val="-13"/>
          <w:w w:val="105"/>
          <w:sz w:val="15"/>
        </w:rPr>
        <w:t> </w:t>
      </w:r>
      <w:r>
        <w:rPr>
          <w:rFonts w:ascii="Calibri" w:hAnsi="Calibri"/>
          <w:color w:val="FFFFFF"/>
          <w:w w:val="105"/>
          <w:sz w:val="15"/>
        </w:rPr>
        <w:t>Doctora</w:t>
      </w:r>
      <w:r>
        <w:rPr>
          <w:rFonts w:ascii="Calibri" w:hAnsi="Calibri"/>
          <w:color w:val="FFFFFF"/>
          <w:spacing w:val="-13"/>
          <w:w w:val="105"/>
          <w:sz w:val="15"/>
        </w:rPr>
        <w:t> </w:t>
      </w:r>
      <w:r>
        <w:rPr>
          <w:rFonts w:ascii="Calibri" w:hAnsi="Calibri"/>
          <w:color w:val="FFFFFF"/>
          <w:w w:val="105"/>
          <w:sz w:val="15"/>
        </w:rPr>
        <w:t>en</w:t>
      </w:r>
      <w:r>
        <w:rPr>
          <w:rFonts w:ascii="Calibri" w:hAnsi="Calibri"/>
          <w:color w:val="FFFFFF"/>
          <w:spacing w:val="-13"/>
          <w:w w:val="105"/>
          <w:sz w:val="15"/>
        </w:rPr>
        <w:t> </w:t>
      </w:r>
      <w:r>
        <w:rPr>
          <w:rFonts w:ascii="Calibri" w:hAnsi="Calibri"/>
          <w:color w:val="FFFFFF"/>
          <w:w w:val="105"/>
          <w:sz w:val="15"/>
        </w:rPr>
        <w:t>Ciencias</w:t>
      </w:r>
      <w:r>
        <w:rPr>
          <w:rFonts w:ascii="Calibri" w:hAnsi="Calibri"/>
          <w:color w:val="FFFFFF"/>
          <w:spacing w:val="-13"/>
          <w:w w:val="105"/>
          <w:sz w:val="15"/>
        </w:rPr>
        <w:t> </w:t>
      </w:r>
      <w:r>
        <w:rPr>
          <w:rFonts w:ascii="Calibri" w:hAnsi="Calibri"/>
          <w:color w:val="FFFFFF"/>
          <w:w w:val="105"/>
          <w:sz w:val="15"/>
        </w:rPr>
        <w:t>Sociales.</w:t>
      </w:r>
      <w:r>
        <w:rPr>
          <w:rFonts w:ascii="Calibri" w:hAnsi="Calibri"/>
          <w:color w:val="FFFFFF"/>
          <w:spacing w:val="-13"/>
          <w:w w:val="105"/>
          <w:sz w:val="15"/>
        </w:rPr>
        <w:t> </w:t>
      </w:r>
      <w:r>
        <w:rPr>
          <w:rFonts w:ascii="Calibri" w:hAnsi="Calibri"/>
          <w:color w:val="FFFFFF"/>
          <w:w w:val="105"/>
          <w:sz w:val="15"/>
        </w:rPr>
        <w:t>Profesora-investigadora</w:t>
      </w:r>
      <w:r>
        <w:rPr>
          <w:rFonts w:ascii="Calibri" w:hAnsi="Calibri"/>
          <w:color w:val="FFFFFF"/>
          <w:spacing w:val="-13"/>
          <w:w w:val="105"/>
          <w:sz w:val="15"/>
        </w:rPr>
        <w:t> </w:t>
      </w:r>
      <w:r>
        <w:rPr>
          <w:rFonts w:ascii="Calibri" w:hAnsi="Calibri"/>
          <w:color w:val="FFFFFF"/>
          <w:w w:val="105"/>
          <w:sz w:val="15"/>
        </w:rPr>
        <w:t>en</w:t>
      </w:r>
      <w:r>
        <w:rPr>
          <w:rFonts w:ascii="Calibri" w:hAnsi="Calibri"/>
          <w:color w:val="FFFFFF"/>
          <w:spacing w:val="-13"/>
          <w:w w:val="105"/>
          <w:sz w:val="15"/>
        </w:rPr>
        <w:t> </w:t>
      </w:r>
      <w:r>
        <w:rPr>
          <w:rFonts w:ascii="Calibri" w:hAnsi="Calibri"/>
          <w:color w:val="FFFFFF"/>
          <w:w w:val="105"/>
          <w:sz w:val="15"/>
        </w:rPr>
        <w:t>el</w:t>
      </w:r>
      <w:r>
        <w:rPr>
          <w:rFonts w:ascii="Calibri" w:hAnsi="Calibri"/>
          <w:color w:val="FFFFFF"/>
          <w:spacing w:val="-13"/>
          <w:w w:val="105"/>
          <w:sz w:val="15"/>
        </w:rPr>
        <w:t> </w:t>
      </w:r>
      <w:r>
        <w:rPr>
          <w:rFonts w:ascii="Calibri" w:hAnsi="Calibri"/>
          <w:color w:val="FFFFFF"/>
          <w:w w:val="105"/>
          <w:sz w:val="15"/>
        </w:rPr>
        <w:t>Centro</w:t>
      </w:r>
      <w:r>
        <w:rPr>
          <w:rFonts w:ascii="Calibri" w:hAnsi="Calibri"/>
          <w:color w:val="FFFFFF"/>
          <w:spacing w:val="-13"/>
          <w:w w:val="105"/>
          <w:sz w:val="15"/>
        </w:rPr>
        <w:t> </w:t>
      </w:r>
      <w:r>
        <w:rPr>
          <w:rFonts w:ascii="Calibri" w:hAnsi="Calibri"/>
          <w:color w:val="FFFFFF"/>
          <w:w w:val="105"/>
          <w:sz w:val="15"/>
        </w:rPr>
        <w:t>de</w:t>
      </w:r>
      <w:r>
        <w:rPr>
          <w:rFonts w:ascii="Calibri" w:hAnsi="Calibri"/>
          <w:color w:val="FFFFFF"/>
          <w:spacing w:val="-13"/>
          <w:w w:val="105"/>
          <w:sz w:val="15"/>
        </w:rPr>
        <w:t> </w:t>
      </w:r>
      <w:r>
        <w:rPr>
          <w:rFonts w:ascii="Calibri" w:hAnsi="Calibri"/>
          <w:color w:val="FFFFFF"/>
          <w:w w:val="105"/>
          <w:sz w:val="15"/>
        </w:rPr>
        <w:t>Investigación</w:t>
      </w:r>
      <w:r>
        <w:rPr>
          <w:rFonts w:ascii="Calibri" w:hAnsi="Calibri"/>
          <w:color w:val="FFFFFF"/>
          <w:spacing w:val="21"/>
          <w:w w:val="105"/>
          <w:sz w:val="15"/>
        </w:rPr>
        <w:t> </w:t>
      </w:r>
      <w:r>
        <w:rPr>
          <w:rFonts w:ascii="Calibri" w:hAnsi="Calibri"/>
          <w:color w:val="FFFFFF"/>
          <w:w w:val="105"/>
          <w:sz w:val="15"/>
        </w:rPr>
        <w:t>Estudios</w:t>
      </w:r>
      <w:r>
        <w:rPr>
          <w:rFonts w:ascii="Calibri" w:hAnsi="Calibri"/>
          <w:color w:val="FFFFFF"/>
          <w:spacing w:val="-13"/>
          <w:w w:val="105"/>
          <w:sz w:val="15"/>
        </w:rPr>
        <w:t> </w:t>
      </w:r>
      <w:r>
        <w:rPr>
          <w:rFonts w:ascii="Calibri" w:hAnsi="Calibri"/>
          <w:color w:val="FFFFFF"/>
          <w:w w:val="105"/>
          <w:sz w:val="15"/>
        </w:rPr>
        <w:t>en</w:t>
      </w:r>
      <w:r>
        <w:rPr>
          <w:rFonts w:ascii="Calibri" w:hAnsi="Calibri"/>
          <w:color w:val="FFFFFF"/>
          <w:spacing w:val="-13"/>
          <w:w w:val="105"/>
          <w:sz w:val="15"/>
        </w:rPr>
        <w:t> </w:t>
      </w:r>
      <w:r>
        <w:rPr>
          <w:rFonts w:ascii="Calibri" w:hAnsi="Calibri"/>
          <w:color w:val="FFFFFF"/>
          <w:w w:val="105"/>
          <w:sz w:val="15"/>
        </w:rPr>
        <w:t>Movilidades y</w:t>
      </w:r>
      <w:r>
        <w:rPr>
          <w:rFonts w:ascii="Calibri" w:hAnsi="Calibri"/>
          <w:color w:val="FFFFFF"/>
          <w:spacing w:val="-16"/>
          <w:w w:val="105"/>
          <w:sz w:val="15"/>
        </w:rPr>
        <w:t> </w:t>
      </w:r>
      <w:r>
        <w:rPr>
          <w:rFonts w:ascii="Calibri" w:hAnsi="Calibri"/>
          <w:color w:val="FFFFFF"/>
          <w:w w:val="105"/>
          <w:sz w:val="15"/>
        </w:rPr>
        <w:t>Migraciones</w:t>
      </w:r>
      <w:r>
        <w:rPr>
          <w:rFonts w:ascii="Calibri" w:hAnsi="Calibri"/>
          <w:color w:val="FFFFFF"/>
          <w:spacing w:val="-16"/>
          <w:w w:val="105"/>
          <w:sz w:val="15"/>
        </w:rPr>
        <w:t> </w:t>
      </w:r>
      <w:r>
        <w:rPr>
          <w:rFonts w:ascii="Calibri" w:hAnsi="Calibri"/>
          <w:color w:val="FFFFFF"/>
          <w:w w:val="105"/>
          <w:sz w:val="15"/>
        </w:rPr>
        <w:t>Internacionales</w:t>
      </w:r>
      <w:r>
        <w:rPr>
          <w:rFonts w:ascii="Calibri" w:hAnsi="Calibri"/>
          <w:color w:val="FFFFFF"/>
          <w:spacing w:val="-16"/>
          <w:w w:val="105"/>
          <w:sz w:val="15"/>
        </w:rPr>
        <w:t> </w:t>
      </w:r>
      <w:r>
        <w:rPr>
          <w:rFonts w:ascii="Calibri" w:hAnsi="Calibri"/>
          <w:color w:val="FFFFFF"/>
          <w:w w:val="105"/>
          <w:sz w:val="15"/>
        </w:rPr>
        <w:t>de</w:t>
      </w:r>
      <w:r>
        <w:rPr>
          <w:rFonts w:ascii="Calibri" w:hAnsi="Calibri"/>
          <w:color w:val="FFFFFF"/>
          <w:spacing w:val="-16"/>
          <w:w w:val="105"/>
          <w:sz w:val="15"/>
        </w:rPr>
        <w:t> </w:t>
      </w:r>
      <w:r>
        <w:rPr>
          <w:rFonts w:ascii="Calibri" w:hAnsi="Calibri"/>
          <w:color w:val="FFFFFF"/>
          <w:w w:val="105"/>
          <w:sz w:val="15"/>
        </w:rPr>
        <w:t>la</w:t>
      </w:r>
      <w:r>
        <w:rPr>
          <w:rFonts w:ascii="Calibri" w:hAnsi="Calibri"/>
          <w:color w:val="FFFFFF"/>
          <w:spacing w:val="-16"/>
          <w:w w:val="105"/>
          <w:sz w:val="15"/>
        </w:rPr>
        <w:t> </w:t>
      </w:r>
      <w:r>
        <w:rPr>
          <w:rFonts w:ascii="Calibri" w:hAnsi="Calibri"/>
          <w:color w:val="FFFFFF"/>
          <w:w w:val="105"/>
          <w:sz w:val="15"/>
        </w:rPr>
        <w:t>Universidad</w:t>
      </w:r>
      <w:r>
        <w:rPr>
          <w:rFonts w:ascii="Calibri" w:hAnsi="Calibri"/>
          <w:color w:val="FFFFFF"/>
          <w:spacing w:val="-16"/>
          <w:w w:val="105"/>
          <w:sz w:val="15"/>
        </w:rPr>
        <w:t> </w:t>
      </w:r>
      <w:r>
        <w:rPr>
          <w:rFonts w:ascii="Calibri" w:hAnsi="Calibri"/>
          <w:color w:val="FFFFFF"/>
          <w:w w:val="105"/>
          <w:sz w:val="15"/>
        </w:rPr>
        <w:t>Autónoma</w:t>
      </w:r>
      <w:r>
        <w:rPr>
          <w:rFonts w:ascii="Calibri" w:hAnsi="Calibri"/>
          <w:color w:val="FFFFFF"/>
          <w:spacing w:val="-16"/>
          <w:w w:val="105"/>
          <w:sz w:val="15"/>
        </w:rPr>
        <w:t> </w:t>
      </w:r>
      <w:r>
        <w:rPr>
          <w:rFonts w:ascii="Calibri" w:hAnsi="Calibri"/>
          <w:color w:val="FFFFFF"/>
          <w:w w:val="105"/>
          <w:sz w:val="15"/>
        </w:rPr>
        <w:t>del</w:t>
      </w:r>
      <w:r>
        <w:rPr>
          <w:rFonts w:ascii="Calibri" w:hAnsi="Calibri"/>
          <w:color w:val="FFFFFF"/>
          <w:spacing w:val="-16"/>
          <w:w w:val="105"/>
          <w:sz w:val="15"/>
        </w:rPr>
        <w:t> </w:t>
      </w:r>
      <w:r>
        <w:rPr>
          <w:rFonts w:ascii="Calibri" w:hAnsi="Calibri"/>
          <w:color w:val="FFFFFF"/>
          <w:w w:val="105"/>
          <w:sz w:val="15"/>
        </w:rPr>
        <w:t>Estado</w:t>
      </w:r>
      <w:r>
        <w:rPr>
          <w:rFonts w:ascii="Calibri" w:hAnsi="Calibri"/>
          <w:color w:val="FFFFFF"/>
          <w:spacing w:val="-16"/>
          <w:w w:val="105"/>
          <w:sz w:val="15"/>
        </w:rPr>
        <w:t> </w:t>
      </w:r>
      <w:r>
        <w:rPr>
          <w:rFonts w:ascii="Calibri" w:hAnsi="Calibri"/>
          <w:color w:val="FFFFFF"/>
          <w:w w:val="105"/>
          <w:sz w:val="15"/>
        </w:rPr>
        <w:t>de</w:t>
      </w:r>
      <w:r>
        <w:rPr>
          <w:rFonts w:ascii="Calibri" w:hAnsi="Calibri"/>
          <w:color w:val="FFFFFF"/>
          <w:spacing w:val="-16"/>
          <w:w w:val="105"/>
          <w:sz w:val="15"/>
        </w:rPr>
        <w:t> </w:t>
      </w:r>
      <w:r>
        <w:rPr>
          <w:rFonts w:ascii="Calibri" w:hAnsi="Calibri"/>
          <w:color w:val="FFFFFF"/>
          <w:w w:val="105"/>
          <w:sz w:val="15"/>
        </w:rPr>
        <w:t>México.</w:t>
      </w:r>
    </w:p>
    <w:p>
      <w:pPr>
        <w:spacing w:line="182" w:lineRule="exact" w:before="1"/>
        <w:ind w:left="1833" w:right="0" w:firstLine="0"/>
        <w:jc w:val="both"/>
        <w:rPr>
          <w:rFonts w:ascii="Calibri"/>
          <w:i/>
          <w:sz w:val="15"/>
        </w:rPr>
      </w:pPr>
      <w:hyperlink r:id="rId109">
        <w:r>
          <w:rPr>
            <w:rFonts w:ascii="Calibri"/>
            <w:i/>
            <w:color w:val="FFFFFF"/>
            <w:sz w:val="15"/>
          </w:rPr>
          <w:t>ileana.14@hotmail.com</w:t>
        </w:r>
      </w:hyperlink>
    </w:p>
    <w:p>
      <w:pPr>
        <w:spacing w:line="235" w:lineRule="auto" w:before="1"/>
        <w:ind w:left="1833" w:right="1717" w:firstLine="0"/>
        <w:jc w:val="both"/>
        <w:rPr>
          <w:rFonts w:ascii="Calibri" w:hAnsi="Calibri"/>
          <w:sz w:val="15"/>
        </w:rPr>
      </w:pPr>
      <w:r>
        <w:rPr>
          <w:rFonts w:ascii="Calibri" w:hAnsi="Calibri"/>
          <w:color w:val="FFFFFF"/>
          <w:w w:val="105"/>
          <w:sz w:val="15"/>
        </w:rPr>
        <w:t>**</w:t>
      </w:r>
      <w:r>
        <w:rPr>
          <w:rFonts w:ascii="Calibri" w:hAnsi="Calibri"/>
          <w:color w:val="FFFFFF"/>
          <w:spacing w:val="-22"/>
          <w:w w:val="105"/>
          <w:sz w:val="15"/>
        </w:rPr>
        <w:t> </w:t>
      </w:r>
      <w:r>
        <w:rPr>
          <w:rFonts w:ascii="Calibri" w:hAnsi="Calibri"/>
          <w:color w:val="FFFFFF"/>
          <w:w w:val="105"/>
          <w:sz w:val="15"/>
        </w:rPr>
        <w:t>Doctora</w:t>
      </w:r>
      <w:r>
        <w:rPr>
          <w:rFonts w:ascii="Calibri" w:hAnsi="Calibri"/>
          <w:color w:val="FFFFFF"/>
          <w:spacing w:val="-22"/>
          <w:w w:val="105"/>
          <w:sz w:val="15"/>
        </w:rPr>
        <w:t> </w:t>
      </w:r>
      <w:r>
        <w:rPr>
          <w:rFonts w:ascii="Calibri" w:hAnsi="Calibri"/>
          <w:color w:val="FFFFFF"/>
          <w:w w:val="105"/>
          <w:sz w:val="15"/>
        </w:rPr>
        <w:t>en</w:t>
      </w:r>
      <w:r>
        <w:rPr>
          <w:rFonts w:ascii="Calibri" w:hAnsi="Calibri"/>
          <w:color w:val="FFFFFF"/>
          <w:spacing w:val="-22"/>
          <w:w w:val="105"/>
          <w:sz w:val="15"/>
        </w:rPr>
        <w:t> </w:t>
      </w:r>
      <w:r>
        <w:rPr>
          <w:rFonts w:ascii="Calibri" w:hAnsi="Calibri"/>
          <w:color w:val="FFFFFF"/>
          <w:w w:val="105"/>
          <w:sz w:val="15"/>
        </w:rPr>
        <w:t>Geografía.</w:t>
      </w:r>
      <w:r>
        <w:rPr>
          <w:rFonts w:ascii="Calibri" w:hAnsi="Calibri"/>
          <w:color w:val="FFFFFF"/>
          <w:spacing w:val="-22"/>
          <w:w w:val="105"/>
          <w:sz w:val="15"/>
        </w:rPr>
        <w:t> </w:t>
      </w:r>
      <w:r>
        <w:rPr>
          <w:rFonts w:ascii="Calibri" w:hAnsi="Calibri"/>
          <w:color w:val="FFFFFF"/>
          <w:w w:val="105"/>
          <w:sz w:val="15"/>
        </w:rPr>
        <w:t>Coordinadora</w:t>
      </w:r>
      <w:r>
        <w:rPr>
          <w:rFonts w:ascii="Calibri" w:hAnsi="Calibri"/>
          <w:color w:val="FFFFFF"/>
          <w:spacing w:val="-22"/>
          <w:w w:val="105"/>
          <w:sz w:val="15"/>
        </w:rPr>
        <w:t> </w:t>
      </w:r>
      <w:r>
        <w:rPr>
          <w:rFonts w:ascii="Calibri" w:hAnsi="Calibri"/>
          <w:color w:val="FFFFFF"/>
          <w:w w:val="105"/>
          <w:sz w:val="15"/>
        </w:rPr>
        <w:t>Centro</w:t>
      </w:r>
      <w:r>
        <w:rPr>
          <w:rFonts w:ascii="Calibri" w:hAnsi="Calibri"/>
          <w:color w:val="FFFFFF"/>
          <w:spacing w:val="-22"/>
          <w:w w:val="105"/>
          <w:sz w:val="15"/>
        </w:rPr>
        <w:t> </w:t>
      </w:r>
      <w:r>
        <w:rPr>
          <w:rFonts w:ascii="Calibri" w:hAnsi="Calibri"/>
          <w:color w:val="FFFFFF"/>
          <w:w w:val="105"/>
          <w:sz w:val="15"/>
        </w:rPr>
        <w:t>de</w:t>
      </w:r>
      <w:r>
        <w:rPr>
          <w:rFonts w:ascii="Calibri" w:hAnsi="Calibri"/>
          <w:color w:val="FFFFFF"/>
          <w:spacing w:val="-22"/>
          <w:w w:val="105"/>
          <w:sz w:val="15"/>
        </w:rPr>
        <w:t> </w:t>
      </w:r>
      <w:r>
        <w:rPr>
          <w:rFonts w:ascii="Calibri" w:hAnsi="Calibri"/>
          <w:color w:val="FFFFFF"/>
          <w:w w:val="105"/>
          <w:sz w:val="15"/>
        </w:rPr>
        <w:t>Investigación</w:t>
      </w:r>
      <w:r>
        <w:rPr>
          <w:rFonts w:ascii="Calibri" w:hAnsi="Calibri"/>
          <w:color w:val="FFFFFF"/>
          <w:spacing w:val="-23"/>
          <w:w w:val="105"/>
          <w:sz w:val="15"/>
        </w:rPr>
        <w:t> </w:t>
      </w:r>
      <w:r>
        <w:rPr>
          <w:rFonts w:ascii="Calibri" w:hAnsi="Calibri"/>
          <w:color w:val="FFFFFF"/>
          <w:w w:val="105"/>
          <w:sz w:val="15"/>
        </w:rPr>
        <w:t>y</w:t>
      </w:r>
      <w:r>
        <w:rPr>
          <w:rFonts w:ascii="Calibri" w:hAnsi="Calibri"/>
          <w:color w:val="FFFFFF"/>
          <w:spacing w:val="-22"/>
          <w:w w:val="105"/>
          <w:sz w:val="15"/>
        </w:rPr>
        <w:t> </w:t>
      </w:r>
      <w:r>
        <w:rPr>
          <w:rFonts w:ascii="Calibri" w:hAnsi="Calibri"/>
          <w:color w:val="FFFFFF"/>
          <w:w w:val="105"/>
          <w:sz w:val="15"/>
        </w:rPr>
        <w:t>Estudios</w:t>
      </w:r>
      <w:r>
        <w:rPr>
          <w:rFonts w:ascii="Calibri" w:hAnsi="Calibri"/>
          <w:color w:val="FFFFFF"/>
          <w:spacing w:val="-22"/>
          <w:w w:val="105"/>
          <w:sz w:val="15"/>
        </w:rPr>
        <w:t> </w:t>
      </w:r>
      <w:r>
        <w:rPr>
          <w:rFonts w:ascii="Calibri" w:hAnsi="Calibri"/>
          <w:color w:val="FFFFFF"/>
          <w:w w:val="105"/>
          <w:sz w:val="15"/>
        </w:rPr>
        <w:t>en</w:t>
      </w:r>
      <w:r>
        <w:rPr>
          <w:rFonts w:ascii="Calibri" w:hAnsi="Calibri"/>
          <w:color w:val="FFFFFF"/>
          <w:spacing w:val="-22"/>
          <w:w w:val="105"/>
          <w:sz w:val="15"/>
        </w:rPr>
        <w:t> </w:t>
      </w:r>
      <w:r>
        <w:rPr>
          <w:rFonts w:ascii="Calibri" w:hAnsi="Calibri"/>
          <w:color w:val="FFFFFF"/>
          <w:w w:val="105"/>
          <w:sz w:val="15"/>
        </w:rPr>
        <w:t>Movilidades</w:t>
      </w:r>
      <w:r>
        <w:rPr>
          <w:rFonts w:ascii="Calibri" w:hAnsi="Calibri"/>
          <w:color w:val="FFFFFF"/>
          <w:spacing w:val="-23"/>
          <w:w w:val="105"/>
          <w:sz w:val="15"/>
        </w:rPr>
        <w:t> </w:t>
      </w:r>
      <w:r>
        <w:rPr>
          <w:rFonts w:ascii="Calibri" w:hAnsi="Calibri"/>
          <w:color w:val="FFFFFF"/>
          <w:w w:val="105"/>
          <w:sz w:val="15"/>
        </w:rPr>
        <w:t>y</w:t>
      </w:r>
      <w:r>
        <w:rPr>
          <w:rFonts w:ascii="Calibri" w:hAnsi="Calibri"/>
          <w:color w:val="FFFFFF"/>
          <w:spacing w:val="-22"/>
          <w:w w:val="105"/>
          <w:sz w:val="15"/>
        </w:rPr>
        <w:t> </w:t>
      </w:r>
      <w:r>
        <w:rPr>
          <w:rFonts w:ascii="Calibri" w:hAnsi="Calibri"/>
          <w:color w:val="FFFFFF"/>
          <w:w w:val="105"/>
          <w:sz w:val="15"/>
        </w:rPr>
        <w:t>Migraciones</w:t>
      </w:r>
      <w:r>
        <w:rPr>
          <w:rFonts w:ascii="Calibri" w:hAnsi="Calibri"/>
          <w:color w:val="FFFFFF"/>
          <w:spacing w:val="-22"/>
          <w:w w:val="105"/>
          <w:sz w:val="15"/>
        </w:rPr>
        <w:t> </w:t>
      </w:r>
      <w:r>
        <w:rPr>
          <w:rFonts w:ascii="Calibri" w:hAnsi="Calibri"/>
          <w:color w:val="FFFFFF"/>
          <w:w w:val="105"/>
          <w:sz w:val="15"/>
        </w:rPr>
        <w:t>Interna- cionales</w:t>
      </w:r>
      <w:r>
        <w:rPr>
          <w:rFonts w:ascii="Calibri" w:hAnsi="Calibri"/>
          <w:color w:val="FFFFFF"/>
          <w:spacing w:val="-13"/>
          <w:w w:val="105"/>
          <w:sz w:val="15"/>
        </w:rPr>
        <w:t> </w:t>
      </w:r>
      <w:r>
        <w:rPr>
          <w:rFonts w:ascii="Calibri" w:hAnsi="Calibri"/>
          <w:color w:val="FFFFFF"/>
          <w:w w:val="105"/>
          <w:sz w:val="15"/>
        </w:rPr>
        <w:t>de</w:t>
      </w:r>
      <w:r>
        <w:rPr>
          <w:rFonts w:ascii="Calibri" w:hAnsi="Calibri"/>
          <w:color w:val="FFFFFF"/>
          <w:spacing w:val="-13"/>
          <w:w w:val="105"/>
          <w:sz w:val="15"/>
        </w:rPr>
        <w:t> </w:t>
      </w:r>
      <w:r>
        <w:rPr>
          <w:rFonts w:ascii="Calibri" w:hAnsi="Calibri"/>
          <w:color w:val="FFFFFF"/>
          <w:w w:val="105"/>
          <w:sz w:val="15"/>
        </w:rPr>
        <w:t>la</w:t>
      </w:r>
      <w:r>
        <w:rPr>
          <w:rFonts w:ascii="Calibri" w:hAnsi="Calibri"/>
          <w:color w:val="FFFFFF"/>
          <w:spacing w:val="-13"/>
          <w:w w:val="105"/>
          <w:sz w:val="15"/>
        </w:rPr>
        <w:t> </w:t>
      </w:r>
      <w:r>
        <w:rPr>
          <w:rFonts w:ascii="Calibri" w:hAnsi="Calibri"/>
          <w:color w:val="FFFFFF"/>
          <w:w w:val="105"/>
          <w:sz w:val="15"/>
        </w:rPr>
        <w:t>Universidad</w:t>
      </w:r>
      <w:r>
        <w:rPr>
          <w:rFonts w:ascii="Calibri" w:hAnsi="Calibri"/>
          <w:color w:val="FFFFFF"/>
          <w:spacing w:val="-13"/>
          <w:w w:val="105"/>
          <w:sz w:val="15"/>
        </w:rPr>
        <w:t> </w:t>
      </w:r>
      <w:r>
        <w:rPr>
          <w:rFonts w:ascii="Calibri" w:hAnsi="Calibri"/>
          <w:color w:val="FFFFFF"/>
          <w:w w:val="105"/>
          <w:sz w:val="15"/>
        </w:rPr>
        <w:t>Autónoma</w:t>
      </w:r>
      <w:r>
        <w:rPr>
          <w:rFonts w:ascii="Calibri" w:hAnsi="Calibri"/>
          <w:color w:val="FFFFFF"/>
          <w:spacing w:val="-13"/>
          <w:w w:val="105"/>
          <w:sz w:val="15"/>
        </w:rPr>
        <w:t> </w:t>
      </w:r>
      <w:r>
        <w:rPr>
          <w:rFonts w:ascii="Calibri" w:hAnsi="Calibri"/>
          <w:color w:val="FFFFFF"/>
          <w:w w:val="105"/>
          <w:sz w:val="15"/>
        </w:rPr>
        <w:t>del</w:t>
      </w:r>
      <w:r>
        <w:rPr>
          <w:rFonts w:ascii="Calibri" w:hAnsi="Calibri"/>
          <w:color w:val="FFFFFF"/>
          <w:spacing w:val="-13"/>
          <w:w w:val="105"/>
          <w:sz w:val="15"/>
        </w:rPr>
        <w:t> </w:t>
      </w:r>
      <w:r>
        <w:rPr>
          <w:rFonts w:ascii="Calibri" w:hAnsi="Calibri"/>
          <w:color w:val="FFFFFF"/>
          <w:w w:val="105"/>
          <w:sz w:val="15"/>
        </w:rPr>
        <w:t>Estado</w:t>
      </w:r>
      <w:r>
        <w:rPr>
          <w:rFonts w:ascii="Calibri" w:hAnsi="Calibri"/>
          <w:color w:val="FFFFFF"/>
          <w:spacing w:val="-13"/>
          <w:w w:val="105"/>
          <w:sz w:val="15"/>
        </w:rPr>
        <w:t> </w:t>
      </w:r>
      <w:r>
        <w:rPr>
          <w:rFonts w:ascii="Calibri" w:hAnsi="Calibri"/>
          <w:color w:val="FFFFFF"/>
          <w:w w:val="105"/>
          <w:sz w:val="15"/>
        </w:rPr>
        <w:t>de</w:t>
      </w:r>
      <w:r>
        <w:rPr>
          <w:rFonts w:ascii="Calibri" w:hAnsi="Calibri"/>
          <w:color w:val="FFFFFF"/>
          <w:spacing w:val="-13"/>
          <w:w w:val="105"/>
          <w:sz w:val="15"/>
        </w:rPr>
        <w:t> </w:t>
      </w:r>
      <w:r>
        <w:rPr>
          <w:rFonts w:ascii="Calibri" w:hAnsi="Calibri"/>
          <w:color w:val="FFFFFF"/>
          <w:w w:val="105"/>
          <w:sz w:val="15"/>
        </w:rPr>
        <w:t>México.</w:t>
      </w:r>
    </w:p>
    <w:p>
      <w:pPr>
        <w:spacing w:line="179" w:lineRule="exact" w:before="0"/>
        <w:ind w:left="1833" w:right="0" w:firstLine="0"/>
        <w:jc w:val="both"/>
        <w:rPr>
          <w:rFonts w:ascii="Calibri"/>
          <w:i/>
          <w:sz w:val="15"/>
        </w:rPr>
      </w:pPr>
      <w:hyperlink r:id="rId110">
        <w:r>
          <w:rPr>
            <w:rFonts w:ascii="Calibri"/>
            <w:i/>
            <w:color w:val="FFFFFF"/>
            <w:sz w:val="15"/>
          </w:rPr>
          <w:t>normabacat@gmail.com</w:t>
        </w:r>
      </w:hyperlink>
    </w:p>
    <w:p>
      <w:pPr>
        <w:spacing w:line="235" w:lineRule="auto" w:before="1"/>
        <w:ind w:left="1833" w:right="1716" w:firstLine="0"/>
        <w:jc w:val="both"/>
        <w:rPr>
          <w:rFonts w:ascii="Calibri" w:hAnsi="Calibri"/>
          <w:i/>
          <w:sz w:val="15"/>
        </w:rPr>
      </w:pPr>
      <w:r>
        <w:rPr>
          <w:rFonts w:ascii="Calibri" w:hAnsi="Calibri"/>
          <w:color w:val="FFFFFF"/>
          <w:sz w:val="15"/>
        </w:rPr>
        <w:t>*** Doctora en Ciencia Social con especialidad en Sociología. Profesora-investigadora del Centro de Investiga- ción y Estudios en Movilidades y Migraciones Internacionales de la Universidad Autónoma del Estado de México. </w:t>
      </w:r>
      <w:hyperlink r:id="rId111">
        <w:r>
          <w:rPr>
            <w:rFonts w:ascii="Calibri" w:hAnsi="Calibri"/>
            <w:i/>
            <w:color w:val="FFFFFF"/>
            <w:sz w:val="15"/>
          </w:rPr>
          <w:t>itzelina_hl@yahoo.com.mx</w:t>
        </w:r>
      </w:hyperlink>
    </w:p>
    <w:p>
      <w:pPr>
        <w:spacing w:after="0" w:line="235" w:lineRule="auto"/>
        <w:jc w:val="both"/>
        <w:rPr>
          <w:rFonts w:ascii="Calibri" w:hAnsi="Calibri"/>
          <w:sz w:val="15"/>
        </w:rPr>
        <w:sectPr>
          <w:footerReference w:type="default" r:id="rId108"/>
          <w:pgSz w:w="10480" w:h="14730"/>
          <w:pgMar w:footer="223" w:header="0" w:top="420" w:bottom="420" w:left="0" w:right="0"/>
        </w:sectPr>
      </w:pPr>
    </w:p>
    <w:p>
      <w:pPr>
        <w:pStyle w:val="BodyText"/>
        <w:spacing w:before="4"/>
        <w:rPr>
          <w:rFonts w:ascii="Times New Roman"/>
          <w:sz w:val="17"/>
        </w:rPr>
      </w:pPr>
    </w:p>
    <w:p>
      <w:pPr>
        <w:spacing w:after="0"/>
        <w:rPr>
          <w:rFonts w:ascii="Times New Roman"/>
          <w:sz w:val="17"/>
        </w:rPr>
        <w:sectPr>
          <w:footerReference w:type="default" r:id="rId112"/>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2"/>
        </w:rPr>
      </w:pPr>
    </w:p>
    <w:p>
      <w:pPr>
        <w:spacing w:line="228" w:lineRule="exact" w:before="61"/>
        <w:ind w:left="4105" w:right="1721" w:firstLine="0"/>
        <w:jc w:val="both"/>
        <w:rPr>
          <w:rFonts w:ascii="Calibri" w:hAnsi="Calibri"/>
          <w:i/>
          <w:sz w:val="19"/>
        </w:rPr>
      </w:pPr>
      <w:r>
        <w:rPr>
          <w:rFonts w:ascii="Calibri" w:hAnsi="Calibri"/>
          <w:i/>
          <w:color w:val="231F20"/>
          <w:sz w:val="19"/>
        </w:rPr>
        <w:t>Vamos</w:t>
      </w:r>
      <w:r>
        <w:rPr>
          <w:rFonts w:ascii="Calibri" w:hAnsi="Calibri"/>
          <w:i/>
          <w:color w:val="231F20"/>
          <w:spacing w:val="-10"/>
          <w:sz w:val="19"/>
        </w:rPr>
        <w:t> </w:t>
      </w:r>
      <w:r>
        <w:rPr>
          <w:rFonts w:ascii="Calibri" w:hAnsi="Calibri"/>
          <w:i/>
          <w:color w:val="231F20"/>
          <w:sz w:val="19"/>
        </w:rPr>
        <w:t>a</w:t>
      </w:r>
      <w:r>
        <w:rPr>
          <w:rFonts w:ascii="Calibri" w:hAnsi="Calibri"/>
          <w:i/>
          <w:color w:val="231F20"/>
          <w:spacing w:val="-12"/>
          <w:sz w:val="19"/>
        </w:rPr>
        <w:t> </w:t>
      </w:r>
      <w:r>
        <w:rPr>
          <w:rFonts w:ascii="Calibri" w:hAnsi="Calibri"/>
          <w:i/>
          <w:color w:val="231F20"/>
          <w:sz w:val="19"/>
        </w:rPr>
        <w:t>ver</w:t>
      </w:r>
      <w:r>
        <w:rPr>
          <w:rFonts w:ascii="Calibri" w:hAnsi="Calibri"/>
          <w:i/>
          <w:color w:val="231F20"/>
          <w:spacing w:val="-10"/>
          <w:sz w:val="19"/>
        </w:rPr>
        <w:t> </w:t>
      </w:r>
      <w:r>
        <w:rPr>
          <w:rFonts w:ascii="Calibri" w:hAnsi="Calibri"/>
          <w:i/>
          <w:color w:val="231F20"/>
          <w:sz w:val="19"/>
        </w:rPr>
        <w:t>el</w:t>
      </w:r>
      <w:r>
        <w:rPr>
          <w:rFonts w:ascii="Calibri" w:hAnsi="Calibri"/>
          <w:i/>
          <w:color w:val="231F20"/>
          <w:spacing w:val="-10"/>
          <w:sz w:val="19"/>
        </w:rPr>
        <w:t> </w:t>
      </w:r>
      <w:r>
        <w:rPr>
          <w:rFonts w:ascii="Calibri" w:hAnsi="Calibri"/>
          <w:i/>
          <w:color w:val="231F20"/>
          <w:sz w:val="19"/>
        </w:rPr>
        <w:t>maltrato</w:t>
      </w:r>
      <w:r>
        <w:rPr>
          <w:rFonts w:ascii="Calibri" w:hAnsi="Calibri"/>
          <w:i/>
          <w:color w:val="231F20"/>
          <w:spacing w:val="-10"/>
          <w:sz w:val="19"/>
        </w:rPr>
        <w:t> </w:t>
      </w:r>
      <w:r>
        <w:rPr>
          <w:rFonts w:ascii="Calibri" w:hAnsi="Calibri"/>
          <w:i/>
          <w:color w:val="231F20"/>
          <w:sz w:val="19"/>
        </w:rPr>
        <w:t>en</w:t>
      </w:r>
      <w:r>
        <w:rPr>
          <w:rFonts w:ascii="Calibri" w:hAnsi="Calibri"/>
          <w:i/>
          <w:color w:val="231F20"/>
          <w:spacing w:val="-10"/>
          <w:sz w:val="19"/>
        </w:rPr>
        <w:t> </w:t>
      </w:r>
      <w:r>
        <w:rPr>
          <w:rFonts w:ascii="Calibri" w:hAnsi="Calibri"/>
          <w:i/>
          <w:color w:val="231F20"/>
          <w:sz w:val="19"/>
        </w:rPr>
        <w:t>el</w:t>
      </w:r>
      <w:r>
        <w:rPr>
          <w:rFonts w:ascii="Calibri" w:hAnsi="Calibri"/>
          <w:i/>
          <w:color w:val="231F20"/>
          <w:spacing w:val="-10"/>
          <w:sz w:val="19"/>
        </w:rPr>
        <w:t> </w:t>
      </w:r>
      <w:r>
        <w:rPr>
          <w:rFonts w:ascii="Calibri" w:hAnsi="Calibri"/>
          <w:i/>
          <w:color w:val="231F20"/>
          <w:sz w:val="19"/>
        </w:rPr>
        <w:t>emigrante,</w:t>
      </w:r>
      <w:r>
        <w:rPr>
          <w:rFonts w:ascii="Calibri" w:hAnsi="Calibri"/>
          <w:i/>
          <w:color w:val="231F20"/>
          <w:spacing w:val="-10"/>
          <w:sz w:val="19"/>
        </w:rPr>
        <w:t> </w:t>
      </w:r>
      <w:r>
        <w:rPr>
          <w:rFonts w:ascii="Calibri" w:hAnsi="Calibri"/>
          <w:i/>
          <w:color w:val="231F20"/>
          <w:sz w:val="19"/>
        </w:rPr>
        <w:t>tan</w:t>
      </w:r>
      <w:r>
        <w:rPr>
          <w:rFonts w:ascii="Calibri" w:hAnsi="Calibri"/>
          <w:i/>
          <w:color w:val="231F20"/>
          <w:spacing w:val="-10"/>
          <w:sz w:val="19"/>
        </w:rPr>
        <w:t> </w:t>
      </w:r>
      <w:r>
        <w:rPr>
          <w:rFonts w:ascii="Calibri" w:hAnsi="Calibri"/>
          <w:i/>
          <w:color w:val="231F20"/>
          <w:sz w:val="19"/>
        </w:rPr>
        <w:t>cruel</w:t>
      </w:r>
      <w:r>
        <w:rPr>
          <w:rFonts w:ascii="Calibri" w:hAnsi="Calibri"/>
          <w:i/>
          <w:color w:val="231F20"/>
          <w:spacing w:val="-10"/>
          <w:sz w:val="19"/>
        </w:rPr>
        <w:t> </w:t>
      </w:r>
      <w:r>
        <w:rPr>
          <w:rFonts w:ascii="Calibri" w:hAnsi="Calibri"/>
          <w:i/>
          <w:color w:val="231F20"/>
          <w:sz w:val="19"/>
        </w:rPr>
        <w:t>que</w:t>
      </w:r>
      <w:r>
        <w:rPr>
          <w:rFonts w:ascii="Calibri" w:hAnsi="Calibri"/>
          <w:i/>
          <w:color w:val="231F20"/>
          <w:spacing w:val="-10"/>
          <w:sz w:val="19"/>
        </w:rPr>
        <w:t> </w:t>
      </w:r>
      <w:r>
        <w:rPr>
          <w:rFonts w:ascii="Calibri" w:hAnsi="Calibri"/>
          <w:i/>
          <w:color w:val="231F20"/>
          <w:sz w:val="19"/>
        </w:rPr>
        <w:t>le</w:t>
      </w:r>
      <w:r>
        <w:rPr>
          <w:rFonts w:ascii="Calibri" w:hAnsi="Calibri"/>
          <w:i/>
          <w:color w:val="231F20"/>
          <w:spacing w:val="-10"/>
          <w:sz w:val="19"/>
        </w:rPr>
        <w:t> </w:t>
      </w:r>
      <w:r>
        <w:rPr>
          <w:rFonts w:ascii="Calibri" w:hAnsi="Calibri"/>
          <w:i/>
          <w:color w:val="231F20"/>
          <w:sz w:val="19"/>
        </w:rPr>
        <w:t>dan. </w:t>
      </w:r>
      <w:r>
        <w:rPr>
          <w:rFonts w:ascii="Calibri" w:hAnsi="Calibri"/>
          <w:i/>
          <w:color w:val="231F20"/>
          <w:sz w:val="19"/>
        </w:rPr>
        <w:t>Una vez a mí me agarraron en Woodstock (Illinois), me aga- rró</w:t>
      </w:r>
      <w:r>
        <w:rPr>
          <w:rFonts w:ascii="Calibri" w:hAnsi="Calibri"/>
          <w:i/>
          <w:color w:val="231F20"/>
          <w:spacing w:val="-7"/>
          <w:sz w:val="19"/>
        </w:rPr>
        <w:t> </w:t>
      </w:r>
      <w:r>
        <w:rPr>
          <w:rFonts w:ascii="Calibri" w:hAnsi="Calibri"/>
          <w:i/>
          <w:color w:val="231F20"/>
          <w:sz w:val="19"/>
        </w:rPr>
        <w:t>la</w:t>
      </w:r>
      <w:r>
        <w:rPr>
          <w:rFonts w:ascii="Calibri" w:hAnsi="Calibri"/>
          <w:i/>
          <w:color w:val="231F20"/>
          <w:spacing w:val="-7"/>
          <w:sz w:val="19"/>
        </w:rPr>
        <w:t> </w:t>
      </w:r>
      <w:r>
        <w:rPr>
          <w:rFonts w:ascii="Calibri" w:hAnsi="Calibri"/>
          <w:i/>
          <w:color w:val="231F20"/>
          <w:sz w:val="19"/>
        </w:rPr>
        <w:t>migración</w:t>
      </w:r>
      <w:r>
        <w:rPr>
          <w:rFonts w:ascii="Calibri" w:hAnsi="Calibri"/>
          <w:i/>
          <w:color w:val="231F20"/>
          <w:spacing w:val="-7"/>
          <w:sz w:val="19"/>
        </w:rPr>
        <w:t> </w:t>
      </w:r>
      <w:r>
        <w:rPr>
          <w:rFonts w:ascii="Calibri" w:hAnsi="Calibri"/>
          <w:i/>
          <w:color w:val="231F20"/>
          <w:sz w:val="19"/>
        </w:rPr>
        <w:t>en</w:t>
      </w:r>
      <w:r>
        <w:rPr>
          <w:rFonts w:ascii="Calibri" w:hAnsi="Calibri"/>
          <w:i/>
          <w:color w:val="231F20"/>
          <w:spacing w:val="-7"/>
          <w:sz w:val="19"/>
        </w:rPr>
        <w:t> </w:t>
      </w:r>
      <w:r>
        <w:rPr>
          <w:rFonts w:ascii="Calibri" w:hAnsi="Calibri"/>
          <w:i/>
          <w:color w:val="231F20"/>
          <w:sz w:val="19"/>
        </w:rPr>
        <w:t>una</w:t>
      </w:r>
      <w:r>
        <w:rPr>
          <w:rFonts w:ascii="Calibri" w:hAnsi="Calibri"/>
          <w:i/>
          <w:color w:val="231F20"/>
          <w:spacing w:val="-7"/>
          <w:sz w:val="19"/>
        </w:rPr>
        <w:t> </w:t>
      </w:r>
      <w:r>
        <w:rPr>
          <w:rFonts w:ascii="Calibri" w:hAnsi="Calibri"/>
          <w:i/>
          <w:color w:val="231F20"/>
          <w:sz w:val="19"/>
        </w:rPr>
        <w:t>fábrica</w:t>
      </w:r>
      <w:r>
        <w:rPr>
          <w:rFonts w:ascii="Calibri" w:hAnsi="Calibri"/>
          <w:i/>
          <w:color w:val="231F20"/>
          <w:spacing w:val="-7"/>
          <w:sz w:val="19"/>
        </w:rPr>
        <w:t> </w:t>
      </w:r>
      <w:r>
        <w:rPr>
          <w:rFonts w:ascii="Calibri" w:hAnsi="Calibri"/>
          <w:i/>
          <w:color w:val="231F20"/>
          <w:sz w:val="19"/>
        </w:rPr>
        <w:t>que</w:t>
      </w:r>
      <w:r>
        <w:rPr>
          <w:rFonts w:ascii="Calibri" w:hAnsi="Calibri"/>
          <w:i/>
          <w:color w:val="231F20"/>
          <w:spacing w:val="-7"/>
          <w:sz w:val="19"/>
        </w:rPr>
        <w:t> </w:t>
      </w:r>
      <w:r>
        <w:rPr>
          <w:rFonts w:ascii="Calibri" w:hAnsi="Calibri"/>
          <w:i/>
          <w:color w:val="231F20"/>
          <w:sz w:val="19"/>
        </w:rPr>
        <w:t>se</w:t>
      </w:r>
      <w:r>
        <w:rPr>
          <w:rFonts w:ascii="Calibri" w:hAnsi="Calibri"/>
          <w:i/>
          <w:color w:val="231F20"/>
          <w:spacing w:val="-7"/>
          <w:sz w:val="19"/>
        </w:rPr>
        <w:t> </w:t>
      </w:r>
      <w:r>
        <w:rPr>
          <w:rFonts w:ascii="Calibri" w:hAnsi="Calibri"/>
          <w:i/>
          <w:color w:val="231F20"/>
          <w:sz w:val="19"/>
        </w:rPr>
        <w:t>llamaba</w:t>
      </w:r>
      <w:r>
        <w:rPr>
          <w:rFonts w:ascii="Calibri" w:hAnsi="Calibri"/>
          <w:i/>
          <w:color w:val="231F20"/>
          <w:spacing w:val="-7"/>
          <w:sz w:val="19"/>
        </w:rPr>
        <w:t> </w:t>
      </w:r>
      <w:r>
        <w:rPr>
          <w:rFonts w:ascii="Calibri" w:hAnsi="Calibri"/>
          <w:i/>
          <w:color w:val="231F20"/>
          <w:sz w:val="19"/>
        </w:rPr>
        <w:t>la</w:t>
      </w:r>
      <w:r>
        <w:rPr>
          <w:rFonts w:ascii="Calibri" w:hAnsi="Calibri"/>
          <w:i/>
          <w:color w:val="231F20"/>
          <w:spacing w:val="-7"/>
          <w:sz w:val="19"/>
        </w:rPr>
        <w:t> </w:t>
      </w:r>
      <w:r>
        <w:rPr>
          <w:rFonts w:ascii="Calibri" w:hAnsi="Calibri"/>
          <w:i/>
          <w:color w:val="231F20"/>
          <w:sz w:val="19"/>
        </w:rPr>
        <w:t>pepinera,</w:t>
      </w:r>
      <w:r>
        <w:rPr>
          <w:rFonts w:ascii="Calibri" w:hAnsi="Calibri"/>
          <w:i/>
          <w:color w:val="231F20"/>
          <w:spacing w:val="-7"/>
          <w:sz w:val="19"/>
        </w:rPr>
        <w:t> </w:t>
      </w:r>
      <w:r>
        <w:rPr>
          <w:rFonts w:ascii="Calibri" w:hAnsi="Calibri"/>
          <w:i/>
          <w:color w:val="231F20"/>
          <w:sz w:val="19"/>
        </w:rPr>
        <w:t>le decían la fábrica de los picos, pues me agarraron, fui uno de los primeros que caí a la trampa y llenaron un carro como</w:t>
      </w:r>
      <w:r>
        <w:rPr>
          <w:rFonts w:ascii="Calibri" w:hAnsi="Calibri"/>
          <w:i/>
          <w:color w:val="231F20"/>
          <w:spacing w:val="-18"/>
          <w:sz w:val="19"/>
        </w:rPr>
        <w:t> </w:t>
      </w:r>
      <w:r>
        <w:rPr>
          <w:rFonts w:ascii="Calibri" w:hAnsi="Calibri"/>
          <w:i/>
          <w:color w:val="231F20"/>
          <w:sz w:val="19"/>
        </w:rPr>
        <w:t>de 60 o </w:t>
      </w:r>
      <w:r>
        <w:rPr>
          <w:rFonts w:ascii="Calibri" w:hAnsi="Calibri"/>
          <w:i/>
          <w:color w:val="231F20"/>
          <w:spacing w:val="-3"/>
          <w:sz w:val="19"/>
        </w:rPr>
        <w:t>70 </w:t>
      </w:r>
      <w:r>
        <w:rPr>
          <w:rFonts w:ascii="Calibri" w:hAnsi="Calibri"/>
          <w:i/>
          <w:color w:val="231F20"/>
          <w:sz w:val="19"/>
        </w:rPr>
        <w:t>personas. Así es, yo no sé, si ahorita ustedes ignoren eso</w:t>
      </w:r>
      <w:r>
        <w:rPr>
          <w:rFonts w:ascii="Calibri" w:hAnsi="Calibri"/>
          <w:i/>
          <w:color w:val="231F20"/>
          <w:spacing w:val="-6"/>
          <w:sz w:val="19"/>
        </w:rPr>
        <w:t> </w:t>
      </w:r>
      <w:r>
        <w:rPr>
          <w:rFonts w:ascii="Calibri" w:hAnsi="Calibri"/>
          <w:i/>
          <w:color w:val="231F20"/>
          <w:sz w:val="19"/>
        </w:rPr>
        <w:t>de</w:t>
      </w:r>
      <w:r>
        <w:rPr>
          <w:rFonts w:ascii="Calibri" w:hAnsi="Calibri"/>
          <w:i/>
          <w:color w:val="231F20"/>
          <w:spacing w:val="-6"/>
          <w:sz w:val="19"/>
        </w:rPr>
        <w:t> </w:t>
      </w:r>
      <w:r>
        <w:rPr>
          <w:rFonts w:ascii="Calibri" w:hAnsi="Calibri"/>
          <w:i/>
          <w:color w:val="231F20"/>
          <w:sz w:val="19"/>
        </w:rPr>
        <w:t>lo</w:t>
      </w:r>
      <w:r>
        <w:rPr>
          <w:rFonts w:ascii="Calibri" w:hAnsi="Calibri"/>
          <w:i/>
          <w:color w:val="231F20"/>
          <w:spacing w:val="-6"/>
          <w:sz w:val="19"/>
        </w:rPr>
        <w:t> </w:t>
      </w:r>
      <w:r>
        <w:rPr>
          <w:rFonts w:ascii="Calibri" w:hAnsi="Calibri"/>
          <w:i/>
          <w:color w:val="231F20"/>
          <w:sz w:val="19"/>
        </w:rPr>
        <w:t>que</w:t>
      </w:r>
      <w:r>
        <w:rPr>
          <w:rFonts w:ascii="Calibri" w:hAnsi="Calibri"/>
          <w:i/>
          <w:color w:val="231F20"/>
          <w:spacing w:val="-6"/>
          <w:sz w:val="19"/>
        </w:rPr>
        <w:t> </w:t>
      </w:r>
      <w:r>
        <w:rPr>
          <w:rFonts w:ascii="Calibri" w:hAnsi="Calibri"/>
          <w:i/>
          <w:color w:val="231F20"/>
          <w:sz w:val="19"/>
        </w:rPr>
        <w:t>pasa</w:t>
      </w:r>
      <w:r>
        <w:rPr>
          <w:rFonts w:ascii="Calibri" w:hAnsi="Calibri"/>
          <w:i/>
          <w:color w:val="231F20"/>
          <w:spacing w:val="-6"/>
          <w:sz w:val="19"/>
        </w:rPr>
        <w:t> </w:t>
      </w:r>
      <w:r>
        <w:rPr>
          <w:rFonts w:ascii="Calibri" w:hAnsi="Calibri"/>
          <w:i/>
          <w:color w:val="231F20"/>
          <w:sz w:val="19"/>
        </w:rPr>
        <w:t>en</w:t>
      </w:r>
      <w:r>
        <w:rPr>
          <w:rFonts w:ascii="Calibri" w:hAnsi="Calibri"/>
          <w:i/>
          <w:color w:val="231F20"/>
          <w:spacing w:val="-6"/>
          <w:sz w:val="19"/>
        </w:rPr>
        <w:t> </w:t>
      </w:r>
      <w:r>
        <w:rPr>
          <w:rFonts w:ascii="Calibri" w:hAnsi="Calibri"/>
          <w:i/>
          <w:color w:val="231F20"/>
          <w:sz w:val="19"/>
        </w:rPr>
        <w:t>la</w:t>
      </w:r>
      <w:r>
        <w:rPr>
          <w:rFonts w:ascii="Calibri" w:hAnsi="Calibri"/>
          <w:i/>
          <w:color w:val="231F20"/>
          <w:spacing w:val="-6"/>
          <w:sz w:val="19"/>
        </w:rPr>
        <w:t> </w:t>
      </w:r>
      <w:r>
        <w:rPr>
          <w:rFonts w:ascii="Calibri" w:hAnsi="Calibri"/>
          <w:i/>
          <w:color w:val="231F20"/>
          <w:sz w:val="19"/>
        </w:rPr>
        <w:t>tele,</w:t>
      </w:r>
      <w:r>
        <w:rPr>
          <w:rFonts w:ascii="Calibri" w:hAnsi="Calibri"/>
          <w:i/>
          <w:color w:val="231F20"/>
          <w:spacing w:val="-6"/>
          <w:sz w:val="19"/>
        </w:rPr>
        <w:t> </w:t>
      </w:r>
      <w:r>
        <w:rPr>
          <w:rFonts w:ascii="Calibri" w:hAnsi="Calibri"/>
          <w:i/>
          <w:color w:val="231F20"/>
          <w:sz w:val="19"/>
        </w:rPr>
        <w:t>esposan</w:t>
      </w:r>
      <w:r>
        <w:rPr>
          <w:rFonts w:ascii="Calibri" w:hAnsi="Calibri"/>
          <w:i/>
          <w:color w:val="231F20"/>
          <w:spacing w:val="-6"/>
          <w:sz w:val="19"/>
        </w:rPr>
        <w:t> </w:t>
      </w:r>
      <w:r>
        <w:rPr>
          <w:rFonts w:ascii="Calibri" w:hAnsi="Calibri"/>
          <w:i/>
          <w:color w:val="231F20"/>
          <w:sz w:val="19"/>
        </w:rPr>
        <w:t>al</w:t>
      </w:r>
      <w:r>
        <w:rPr>
          <w:rFonts w:ascii="Calibri" w:hAnsi="Calibri"/>
          <w:i/>
          <w:color w:val="231F20"/>
          <w:spacing w:val="-6"/>
          <w:sz w:val="19"/>
        </w:rPr>
        <w:t> </w:t>
      </w:r>
      <w:r>
        <w:rPr>
          <w:rFonts w:ascii="Calibri" w:hAnsi="Calibri"/>
          <w:i/>
          <w:color w:val="231F20"/>
          <w:sz w:val="19"/>
        </w:rPr>
        <w:t>emigrante</w:t>
      </w:r>
      <w:r>
        <w:rPr>
          <w:rFonts w:ascii="Calibri" w:hAnsi="Calibri"/>
          <w:i/>
          <w:color w:val="231F20"/>
          <w:spacing w:val="-6"/>
          <w:sz w:val="19"/>
        </w:rPr>
        <w:t> </w:t>
      </w:r>
      <w:r>
        <w:rPr>
          <w:rFonts w:ascii="Calibri" w:hAnsi="Calibri"/>
          <w:i/>
          <w:color w:val="231F20"/>
          <w:sz w:val="19"/>
        </w:rPr>
        <w:t>de</w:t>
      </w:r>
      <w:r>
        <w:rPr>
          <w:rFonts w:ascii="Calibri" w:hAnsi="Calibri"/>
          <w:i/>
          <w:color w:val="231F20"/>
          <w:spacing w:val="-6"/>
          <w:sz w:val="19"/>
        </w:rPr>
        <w:t> </w:t>
      </w:r>
      <w:r>
        <w:rPr>
          <w:rFonts w:ascii="Calibri" w:hAnsi="Calibri"/>
          <w:i/>
          <w:color w:val="231F20"/>
          <w:sz w:val="19"/>
        </w:rPr>
        <w:t>manos y pies, y si es posible lo esposan con otro, brazo con brazo, atado de pies y manos, ¿digo por qué hacen eso?, yo pienso que la cosa del emigrante le podrían dar solución con unos temas más fáciles que eso, ahora cuanto pobrecito no ha muerto</w:t>
      </w:r>
      <w:r>
        <w:rPr>
          <w:rFonts w:ascii="Calibri" w:hAnsi="Calibri"/>
          <w:i/>
          <w:color w:val="231F20"/>
          <w:spacing w:val="-7"/>
          <w:sz w:val="19"/>
        </w:rPr>
        <w:t> </w:t>
      </w:r>
      <w:r>
        <w:rPr>
          <w:rFonts w:ascii="Calibri" w:hAnsi="Calibri"/>
          <w:i/>
          <w:color w:val="231F20"/>
          <w:sz w:val="19"/>
        </w:rPr>
        <w:t>en</w:t>
      </w:r>
      <w:r>
        <w:rPr>
          <w:rFonts w:ascii="Calibri" w:hAnsi="Calibri"/>
          <w:i/>
          <w:color w:val="231F20"/>
          <w:spacing w:val="-7"/>
          <w:sz w:val="19"/>
        </w:rPr>
        <w:t> </w:t>
      </w:r>
      <w:r>
        <w:rPr>
          <w:rFonts w:ascii="Calibri" w:hAnsi="Calibri"/>
          <w:i/>
          <w:color w:val="231F20"/>
          <w:sz w:val="19"/>
        </w:rPr>
        <w:t>el</w:t>
      </w:r>
      <w:r>
        <w:rPr>
          <w:rFonts w:ascii="Calibri" w:hAnsi="Calibri"/>
          <w:i/>
          <w:color w:val="231F20"/>
          <w:spacing w:val="-9"/>
          <w:sz w:val="19"/>
        </w:rPr>
        <w:t> </w:t>
      </w:r>
      <w:r>
        <w:rPr>
          <w:rFonts w:ascii="Calibri" w:hAnsi="Calibri"/>
          <w:i/>
          <w:color w:val="231F20"/>
          <w:sz w:val="19"/>
        </w:rPr>
        <w:t>viaje,</w:t>
      </w:r>
      <w:r>
        <w:rPr>
          <w:rFonts w:ascii="Calibri" w:hAnsi="Calibri"/>
          <w:i/>
          <w:color w:val="231F20"/>
          <w:spacing w:val="-8"/>
          <w:sz w:val="19"/>
        </w:rPr>
        <w:t> </w:t>
      </w:r>
      <w:r>
        <w:rPr>
          <w:rFonts w:ascii="Calibri" w:hAnsi="Calibri"/>
          <w:i/>
          <w:color w:val="231F20"/>
          <w:sz w:val="19"/>
        </w:rPr>
        <w:t>yo</w:t>
      </w:r>
      <w:r>
        <w:rPr>
          <w:rFonts w:ascii="Calibri" w:hAnsi="Calibri"/>
          <w:i/>
          <w:color w:val="231F20"/>
          <w:spacing w:val="-7"/>
          <w:sz w:val="19"/>
        </w:rPr>
        <w:t> </w:t>
      </w:r>
      <w:r>
        <w:rPr>
          <w:rFonts w:ascii="Calibri" w:hAnsi="Calibri"/>
          <w:i/>
          <w:color w:val="231F20"/>
          <w:sz w:val="19"/>
        </w:rPr>
        <w:t>sufrí</w:t>
      </w:r>
      <w:r>
        <w:rPr>
          <w:rFonts w:ascii="Calibri" w:hAnsi="Calibri"/>
          <w:i/>
          <w:color w:val="231F20"/>
          <w:spacing w:val="-7"/>
          <w:sz w:val="19"/>
        </w:rPr>
        <w:t> </w:t>
      </w:r>
      <w:r>
        <w:rPr>
          <w:rFonts w:ascii="Calibri" w:hAnsi="Calibri"/>
          <w:i/>
          <w:color w:val="231F20"/>
          <w:sz w:val="19"/>
        </w:rPr>
        <w:t>mucho,</w:t>
      </w:r>
      <w:r>
        <w:rPr>
          <w:rFonts w:ascii="Calibri" w:hAnsi="Calibri"/>
          <w:i/>
          <w:color w:val="231F20"/>
          <w:spacing w:val="-7"/>
          <w:sz w:val="19"/>
        </w:rPr>
        <w:t> </w:t>
      </w:r>
      <w:r>
        <w:rPr>
          <w:rFonts w:ascii="Calibri" w:hAnsi="Calibri"/>
          <w:i/>
          <w:color w:val="231F20"/>
          <w:sz w:val="19"/>
        </w:rPr>
        <w:t>dos</w:t>
      </w:r>
      <w:r>
        <w:rPr>
          <w:rFonts w:ascii="Calibri" w:hAnsi="Calibri"/>
          <w:i/>
          <w:color w:val="231F20"/>
          <w:spacing w:val="-9"/>
          <w:sz w:val="19"/>
        </w:rPr>
        <w:t> </w:t>
      </w:r>
      <w:r>
        <w:rPr>
          <w:rFonts w:ascii="Calibri" w:hAnsi="Calibri"/>
          <w:i/>
          <w:color w:val="231F20"/>
          <w:sz w:val="19"/>
        </w:rPr>
        <w:t>veces</w:t>
      </w:r>
      <w:r>
        <w:rPr>
          <w:rFonts w:ascii="Calibri" w:hAnsi="Calibri"/>
          <w:i/>
          <w:color w:val="231F20"/>
          <w:spacing w:val="-7"/>
          <w:sz w:val="19"/>
        </w:rPr>
        <w:t> </w:t>
      </w:r>
      <w:r>
        <w:rPr>
          <w:rFonts w:ascii="Calibri" w:hAnsi="Calibri"/>
          <w:i/>
          <w:color w:val="231F20"/>
          <w:sz w:val="19"/>
        </w:rPr>
        <w:t>a</w:t>
      </w:r>
      <w:r>
        <w:rPr>
          <w:rFonts w:ascii="Calibri" w:hAnsi="Calibri"/>
          <w:i/>
          <w:color w:val="231F20"/>
          <w:spacing w:val="-7"/>
          <w:sz w:val="19"/>
        </w:rPr>
        <w:t> </w:t>
      </w:r>
      <w:r>
        <w:rPr>
          <w:rFonts w:ascii="Calibri" w:hAnsi="Calibri"/>
          <w:i/>
          <w:color w:val="231F20"/>
          <w:sz w:val="19"/>
        </w:rPr>
        <w:t>punto</w:t>
      </w:r>
      <w:r>
        <w:rPr>
          <w:rFonts w:ascii="Calibri" w:hAnsi="Calibri"/>
          <w:i/>
          <w:color w:val="231F20"/>
          <w:spacing w:val="-7"/>
          <w:sz w:val="19"/>
        </w:rPr>
        <w:t> </w:t>
      </w:r>
      <w:r>
        <w:rPr>
          <w:rFonts w:ascii="Calibri" w:hAnsi="Calibri"/>
          <w:i/>
          <w:color w:val="231F20"/>
          <w:sz w:val="19"/>
        </w:rPr>
        <w:t>de</w:t>
      </w:r>
      <w:r>
        <w:rPr>
          <w:rFonts w:ascii="Calibri" w:hAnsi="Calibri"/>
          <w:i/>
          <w:color w:val="231F20"/>
          <w:spacing w:val="-7"/>
          <w:sz w:val="19"/>
        </w:rPr>
        <w:t> </w:t>
      </w:r>
      <w:r>
        <w:rPr>
          <w:rFonts w:ascii="Calibri" w:hAnsi="Calibri"/>
          <w:i/>
          <w:color w:val="231F20"/>
          <w:sz w:val="19"/>
        </w:rPr>
        <w:t>estar viendo la</w:t>
      </w:r>
      <w:r>
        <w:rPr>
          <w:rFonts w:ascii="Calibri" w:hAnsi="Calibri"/>
          <w:i/>
          <w:color w:val="231F20"/>
          <w:spacing w:val="-24"/>
          <w:sz w:val="19"/>
        </w:rPr>
        <w:t> </w:t>
      </w:r>
      <w:r>
        <w:rPr>
          <w:rFonts w:ascii="Calibri" w:hAnsi="Calibri"/>
          <w:i/>
          <w:color w:val="231F20"/>
          <w:sz w:val="19"/>
        </w:rPr>
        <w:t>muerte</w:t>
      </w:r>
    </w:p>
    <w:p>
      <w:pPr>
        <w:spacing w:line="230" w:lineRule="exact" w:before="115"/>
        <w:ind w:left="5711" w:right="0" w:firstLine="0"/>
        <w:jc w:val="left"/>
        <w:rPr>
          <w:rFonts w:ascii="Calibri"/>
          <w:sz w:val="19"/>
        </w:rPr>
      </w:pPr>
      <w:r>
        <w:rPr>
          <w:rFonts w:ascii="Calibri"/>
          <w:color w:val="231F20"/>
          <w:w w:val="105"/>
          <w:sz w:val="19"/>
        </w:rPr>
        <w:t>(Migrante entrevistado en Las Vueltas,</w:t>
      </w:r>
    </w:p>
    <w:p>
      <w:pPr>
        <w:spacing w:line="230" w:lineRule="exact" w:before="0"/>
        <w:ind w:left="6844" w:right="0" w:firstLine="0"/>
        <w:jc w:val="left"/>
        <w:rPr>
          <w:rFonts w:ascii="Calibri" w:hAnsi="Calibri"/>
          <w:sz w:val="19"/>
        </w:rPr>
      </w:pPr>
      <w:r>
        <w:rPr>
          <w:rFonts w:ascii="Calibri" w:hAnsi="Calibri"/>
          <w:color w:val="231F20"/>
          <w:sz w:val="19"/>
        </w:rPr>
        <w:t>Estado de México, 2011).</w:t>
      </w:r>
    </w:p>
    <w:p>
      <w:pPr>
        <w:pStyle w:val="BodyText"/>
        <w:rPr>
          <w:rFonts w:ascii="Calibri"/>
          <w:sz w:val="20"/>
        </w:rPr>
      </w:pPr>
    </w:p>
    <w:p>
      <w:pPr>
        <w:pStyle w:val="BodyText"/>
        <w:rPr>
          <w:rFonts w:ascii="Calibri"/>
          <w:sz w:val="19"/>
        </w:rPr>
      </w:pPr>
    </w:p>
    <w:p>
      <w:pPr>
        <w:spacing w:before="0"/>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10"/>
        <w:rPr>
          <w:rFonts w:ascii="Arial"/>
          <w:b/>
          <w:sz w:val="15"/>
        </w:rPr>
      </w:pPr>
    </w:p>
    <w:p>
      <w:pPr>
        <w:spacing w:line="261" w:lineRule="auto" w:before="0"/>
        <w:ind w:left="2900" w:right="1721" w:firstLine="0"/>
        <w:jc w:val="both"/>
        <w:rPr>
          <w:sz w:val="21"/>
        </w:rPr>
      </w:pPr>
      <w:r>
        <w:rPr/>
        <w:pict>
          <v:shape style="position:absolute;margin-left:103.218903pt;margin-top:13.282598pt;width:31.2pt;height:51pt;mso-position-horizontal-relative:page;mso-position-vertical-relative:paragraph;z-index:14848"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sz w:val="21"/>
        </w:rPr>
        <w:t>l</w:t>
      </w:r>
      <w:r>
        <w:rPr>
          <w:color w:val="231F20"/>
          <w:spacing w:val="-15"/>
          <w:w w:val="105"/>
          <w:sz w:val="21"/>
        </w:rPr>
        <w:t> </w:t>
      </w:r>
      <w:r>
        <w:rPr>
          <w:color w:val="231F20"/>
          <w:w w:val="105"/>
          <w:sz w:val="21"/>
        </w:rPr>
        <w:t>proyecto</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ley</w:t>
      </w:r>
      <w:r>
        <w:rPr>
          <w:color w:val="231F20"/>
          <w:spacing w:val="-15"/>
          <w:w w:val="105"/>
          <w:sz w:val="21"/>
        </w:rPr>
        <w:t> </w:t>
      </w:r>
      <w:r>
        <w:rPr>
          <w:color w:val="231F20"/>
          <w:w w:val="105"/>
          <w:sz w:val="21"/>
        </w:rPr>
        <w:t>H.R.</w:t>
      </w:r>
      <w:r>
        <w:rPr>
          <w:color w:val="231F20"/>
          <w:spacing w:val="-21"/>
          <w:w w:val="105"/>
          <w:sz w:val="21"/>
        </w:rPr>
        <w:t> </w:t>
      </w:r>
      <w:r>
        <w:rPr>
          <w:color w:val="231F20"/>
          <w:w w:val="105"/>
          <w:sz w:val="21"/>
        </w:rPr>
        <w:t>4</w:t>
      </w:r>
      <w:r>
        <w:rPr>
          <w:color w:val="231F20"/>
          <w:spacing w:val="-15"/>
          <w:w w:val="105"/>
          <w:sz w:val="21"/>
        </w:rPr>
        <w:t> </w:t>
      </w:r>
      <w:r>
        <w:rPr>
          <w:color w:val="231F20"/>
          <w:w w:val="105"/>
          <w:sz w:val="21"/>
        </w:rPr>
        <w:t>437</w:t>
      </w:r>
      <w:r>
        <w:rPr>
          <w:color w:val="231F20"/>
          <w:spacing w:val="-15"/>
          <w:w w:val="105"/>
          <w:sz w:val="21"/>
        </w:rPr>
        <w:t> </w:t>
      </w:r>
      <w:r>
        <w:rPr>
          <w:rFonts w:ascii="Arial" w:hAnsi="Arial"/>
          <w:i/>
          <w:color w:val="231F20"/>
          <w:w w:val="105"/>
          <w:sz w:val="21"/>
        </w:rPr>
        <w:t>Iniciativa</w:t>
      </w:r>
      <w:r>
        <w:rPr>
          <w:rFonts w:ascii="Arial" w:hAnsi="Arial"/>
          <w:i/>
          <w:color w:val="231F20"/>
          <w:spacing w:val="-18"/>
          <w:w w:val="105"/>
          <w:sz w:val="21"/>
        </w:rPr>
        <w:t> </w:t>
      </w:r>
      <w:r>
        <w:rPr>
          <w:rFonts w:ascii="Arial" w:hAnsi="Arial"/>
          <w:i/>
          <w:color w:val="231F20"/>
          <w:w w:val="105"/>
          <w:sz w:val="21"/>
        </w:rPr>
        <w:t>para</w:t>
      </w:r>
      <w:r>
        <w:rPr>
          <w:rFonts w:ascii="Arial" w:hAnsi="Arial"/>
          <w:i/>
          <w:color w:val="231F20"/>
          <w:spacing w:val="-18"/>
          <w:w w:val="105"/>
          <w:sz w:val="21"/>
        </w:rPr>
        <w:t> </w:t>
      </w:r>
      <w:r>
        <w:rPr>
          <w:rFonts w:ascii="Arial" w:hAnsi="Arial"/>
          <w:i/>
          <w:color w:val="231F20"/>
          <w:w w:val="105"/>
          <w:sz w:val="21"/>
        </w:rPr>
        <w:t>protección</w:t>
      </w:r>
      <w:r>
        <w:rPr>
          <w:rFonts w:ascii="Arial" w:hAnsi="Arial"/>
          <w:i/>
          <w:color w:val="231F20"/>
          <w:spacing w:val="-18"/>
          <w:w w:val="105"/>
          <w:sz w:val="21"/>
        </w:rPr>
        <w:t> </w:t>
      </w:r>
      <w:r>
        <w:rPr>
          <w:rFonts w:ascii="Arial" w:hAnsi="Arial"/>
          <w:i/>
          <w:color w:val="231F20"/>
          <w:w w:val="105"/>
          <w:sz w:val="21"/>
        </w:rPr>
        <w:t>de</w:t>
      </w:r>
      <w:r>
        <w:rPr>
          <w:rFonts w:ascii="Arial" w:hAnsi="Arial"/>
          <w:i/>
          <w:color w:val="231F20"/>
          <w:spacing w:val="-18"/>
          <w:w w:val="105"/>
          <w:sz w:val="21"/>
        </w:rPr>
        <w:t> </w:t>
      </w:r>
      <w:r>
        <w:rPr>
          <w:rFonts w:ascii="Arial" w:hAnsi="Arial"/>
          <w:i/>
          <w:color w:val="231F20"/>
          <w:w w:val="105"/>
          <w:sz w:val="21"/>
        </w:rPr>
        <w:t>fron- </w:t>
      </w:r>
      <w:r>
        <w:rPr>
          <w:rFonts w:ascii="Arial" w:hAnsi="Arial"/>
          <w:i/>
          <w:color w:val="231F20"/>
          <w:w w:val="105"/>
          <w:sz w:val="21"/>
        </w:rPr>
        <w:t>teras,</w:t>
      </w:r>
      <w:r>
        <w:rPr>
          <w:rFonts w:ascii="Arial" w:hAnsi="Arial"/>
          <w:i/>
          <w:color w:val="231F20"/>
          <w:spacing w:val="-24"/>
          <w:w w:val="105"/>
          <w:sz w:val="21"/>
        </w:rPr>
        <w:t> </w:t>
      </w:r>
      <w:r>
        <w:rPr>
          <w:rFonts w:ascii="Arial" w:hAnsi="Arial"/>
          <w:i/>
          <w:color w:val="231F20"/>
          <w:w w:val="105"/>
          <w:sz w:val="21"/>
        </w:rPr>
        <w:t>antiterrorismo</w:t>
      </w:r>
      <w:r>
        <w:rPr>
          <w:rFonts w:ascii="Arial" w:hAnsi="Arial"/>
          <w:i/>
          <w:color w:val="231F20"/>
          <w:spacing w:val="-19"/>
          <w:w w:val="105"/>
          <w:sz w:val="21"/>
        </w:rPr>
        <w:t> </w:t>
      </w:r>
      <w:r>
        <w:rPr>
          <w:rFonts w:ascii="Arial" w:hAnsi="Arial"/>
          <w:i/>
          <w:color w:val="231F20"/>
          <w:w w:val="105"/>
          <w:sz w:val="21"/>
        </w:rPr>
        <w:t>y</w:t>
      </w:r>
      <w:r>
        <w:rPr>
          <w:rFonts w:ascii="Arial" w:hAnsi="Arial"/>
          <w:i/>
          <w:color w:val="231F20"/>
          <w:spacing w:val="-19"/>
          <w:w w:val="105"/>
          <w:sz w:val="21"/>
        </w:rPr>
        <w:t> </w:t>
      </w:r>
      <w:r>
        <w:rPr>
          <w:rFonts w:ascii="Arial" w:hAnsi="Arial"/>
          <w:i/>
          <w:color w:val="231F20"/>
          <w:w w:val="105"/>
          <w:sz w:val="21"/>
        </w:rPr>
        <w:t>control</w:t>
      </w:r>
      <w:r>
        <w:rPr>
          <w:rFonts w:ascii="Arial" w:hAnsi="Arial"/>
          <w:i/>
          <w:color w:val="231F20"/>
          <w:spacing w:val="-19"/>
          <w:w w:val="105"/>
          <w:sz w:val="21"/>
        </w:rPr>
        <w:t> </w:t>
      </w:r>
      <w:r>
        <w:rPr>
          <w:rFonts w:ascii="Arial" w:hAnsi="Arial"/>
          <w:i/>
          <w:color w:val="231F20"/>
          <w:w w:val="105"/>
          <w:sz w:val="21"/>
        </w:rPr>
        <w:t>de</w:t>
      </w:r>
      <w:r>
        <w:rPr>
          <w:rFonts w:ascii="Arial" w:hAnsi="Arial"/>
          <w:i/>
          <w:color w:val="231F20"/>
          <w:spacing w:val="-19"/>
          <w:w w:val="105"/>
          <w:sz w:val="21"/>
        </w:rPr>
        <w:t> </w:t>
      </w:r>
      <w:r>
        <w:rPr>
          <w:rFonts w:ascii="Arial" w:hAnsi="Arial"/>
          <w:i/>
          <w:color w:val="231F20"/>
          <w:w w:val="105"/>
          <w:sz w:val="21"/>
        </w:rPr>
        <w:t>la</w:t>
      </w:r>
      <w:r>
        <w:rPr>
          <w:rFonts w:ascii="Arial" w:hAnsi="Arial"/>
          <w:i/>
          <w:color w:val="231F20"/>
          <w:spacing w:val="-19"/>
          <w:w w:val="105"/>
          <w:sz w:val="21"/>
        </w:rPr>
        <w:t> </w:t>
      </w:r>
      <w:r>
        <w:rPr>
          <w:rFonts w:ascii="Arial" w:hAnsi="Arial"/>
          <w:i/>
          <w:color w:val="231F20"/>
          <w:w w:val="105"/>
          <w:sz w:val="21"/>
        </w:rPr>
        <w:t>inmigración</w:t>
      </w:r>
      <w:r>
        <w:rPr>
          <w:rFonts w:ascii="Arial" w:hAnsi="Arial"/>
          <w:i/>
          <w:color w:val="231F20"/>
          <w:spacing w:val="-19"/>
          <w:w w:val="105"/>
          <w:sz w:val="21"/>
        </w:rPr>
        <w:t> </w:t>
      </w:r>
      <w:r>
        <w:rPr>
          <w:rFonts w:ascii="Arial" w:hAnsi="Arial"/>
          <w:i/>
          <w:color w:val="231F20"/>
          <w:w w:val="105"/>
          <w:sz w:val="21"/>
        </w:rPr>
        <w:t>ilegal</w:t>
      </w:r>
      <w:r>
        <w:rPr>
          <w:rFonts w:ascii="Arial" w:hAnsi="Arial"/>
          <w:i/>
          <w:color w:val="231F20"/>
          <w:spacing w:val="-19"/>
          <w:w w:val="105"/>
          <w:sz w:val="21"/>
        </w:rPr>
        <w:t> </w:t>
      </w:r>
      <w:r>
        <w:rPr>
          <w:rFonts w:ascii="Arial" w:hAnsi="Arial"/>
          <w:i/>
          <w:color w:val="231F20"/>
          <w:w w:val="105"/>
          <w:sz w:val="21"/>
        </w:rPr>
        <w:t>de</w:t>
      </w:r>
      <w:r>
        <w:rPr>
          <w:rFonts w:ascii="Arial" w:hAnsi="Arial"/>
          <w:i/>
          <w:color w:val="231F20"/>
          <w:spacing w:val="-19"/>
          <w:w w:val="105"/>
          <w:sz w:val="21"/>
        </w:rPr>
        <w:t> </w:t>
      </w:r>
      <w:r>
        <w:rPr>
          <w:rFonts w:ascii="Arial" w:hAnsi="Arial"/>
          <w:i/>
          <w:color w:val="231F20"/>
          <w:w w:val="105"/>
          <w:sz w:val="21"/>
        </w:rPr>
        <w:t>2005 </w:t>
      </w:r>
      <w:r>
        <w:rPr>
          <w:color w:val="231F20"/>
          <w:w w:val="105"/>
          <w:sz w:val="21"/>
        </w:rPr>
        <w:t>sentó</w:t>
      </w:r>
      <w:r>
        <w:rPr>
          <w:color w:val="231F20"/>
          <w:spacing w:val="-18"/>
          <w:w w:val="105"/>
          <w:sz w:val="21"/>
        </w:rPr>
        <w:t> </w:t>
      </w:r>
      <w:r>
        <w:rPr>
          <w:color w:val="231F20"/>
          <w:spacing w:val="-3"/>
          <w:w w:val="105"/>
          <w:sz w:val="21"/>
        </w:rPr>
        <w:t>precedentes</w:t>
      </w:r>
      <w:r>
        <w:rPr>
          <w:color w:val="231F20"/>
          <w:spacing w:val="-18"/>
          <w:w w:val="105"/>
          <w:sz w:val="21"/>
        </w:rPr>
        <w:t> </w:t>
      </w:r>
      <w:r>
        <w:rPr>
          <w:color w:val="231F20"/>
          <w:spacing w:val="-3"/>
          <w:w w:val="105"/>
          <w:sz w:val="21"/>
        </w:rPr>
        <w:t>para</w:t>
      </w:r>
      <w:r>
        <w:rPr>
          <w:color w:val="231F20"/>
          <w:spacing w:val="-18"/>
          <w:w w:val="105"/>
          <w:sz w:val="21"/>
        </w:rPr>
        <w:t> </w:t>
      </w:r>
      <w:r>
        <w:rPr>
          <w:color w:val="231F20"/>
          <w:w w:val="105"/>
          <w:sz w:val="21"/>
        </w:rPr>
        <w:t>que</w:t>
      </w:r>
      <w:r>
        <w:rPr>
          <w:color w:val="231F20"/>
          <w:spacing w:val="-18"/>
          <w:w w:val="105"/>
          <w:sz w:val="21"/>
        </w:rPr>
        <w:t> </w:t>
      </w:r>
      <w:r>
        <w:rPr>
          <w:color w:val="231F20"/>
          <w:w w:val="105"/>
          <w:sz w:val="21"/>
        </w:rPr>
        <w:t>la</w:t>
      </w:r>
      <w:r>
        <w:rPr>
          <w:color w:val="231F20"/>
          <w:spacing w:val="-18"/>
          <w:w w:val="105"/>
          <w:sz w:val="21"/>
        </w:rPr>
        <w:t> </w:t>
      </w:r>
      <w:r>
        <w:rPr>
          <w:color w:val="231F20"/>
          <w:spacing w:val="-3"/>
          <w:w w:val="105"/>
          <w:sz w:val="21"/>
        </w:rPr>
        <w:t>migración</w:t>
      </w:r>
      <w:r>
        <w:rPr>
          <w:color w:val="231F20"/>
          <w:spacing w:val="-18"/>
          <w:w w:val="105"/>
          <w:sz w:val="21"/>
        </w:rPr>
        <w:t> </w:t>
      </w:r>
      <w:r>
        <w:rPr>
          <w:color w:val="231F20"/>
          <w:w w:val="105"/>
          <w:sz w:val="21"/>
        </w:rPr>
        <w:t>no</w:t>
      </w:r>
      <w:r>
        <w:rPr>
          <w:color w:val="231F20"/>
          <w:spacing w:val="-18"/>
          <w:w w:val="105"/>
          <w:sz w:val="21"/>
        </w:rPr>
        <w:t> </w:t>
      </w:r>
      <w:r>
        <w:rPr>
          <w:color w:val="231F20"/>
          <w:spacing w:val="-3"/>
          <w:w w:val="105"/>
          <w:sz w:val="21"/>
        </w:rPr>
        <w:t>documentada</w:t>
      </w:r>
      <w:r>
        <w:rPr>
          <w:color w:val="231F20"/>
          <w:spacing w:val="-18"/>
          <w:w w:val="105"/>
          <w:sz w:val="21"/>
        </w:rPr>
        <w:t> </w:t>
      </w:r>
      <w:r>
        <w:rPr>
          <w:color w:val="231F20"/>
          <w:w w:val="105"/>
          <w:sz w:val="21"/>
        </w:rPr>
        <w:t>pa- </w:t>
      </w:r>
      <w:r>
        <w:rPr>
          <w:color w:val="231F20"/>
          <w:spacing w:val="-3"/>
          <w:w w:val="105"/>
          <w:sz w:val="21"/>
        </w:rPr>
        <w:t>sara</w:t>
      </w:r>
      <w:r>
        <w:rPr>
          <w:color w:val="231F20"/>
          <w:spacing w:val="-15"/>
          <w:w w:val="105"/>
          <w:sz w:val="21"/>
        </w:rPr>
        <w:t> </w:t>
      </w:r>
      <w:r>
        <w:rPr>
          <w:color w:val="231F20"/>
          <w:w w:val="105"/>
          <w:sz w:val="21"/>
        </w:rPr>
        <w:t>de</w:t>
      </w:r>
      <w:r>
        <w:rPr>
          <w:color w:val="231F20"/>
          <w:spacing w:val="-15"/>
          <w:w w:val="105"/>
          <w:sz w:val="21"/>
        </w:rPr>
        <w:t> </w:t>
      </w:r>
      <w:r>
        <w:rPr>
          <w:color w:val="231F20"/>
          <w:spacing w:val="-3"/>
          <w:w w:val="105"/>
          <w:sz w:val="21"/>
        </w:rPr>
        <w:t>considerarse</w:t>
      </w:r>
      <w:r>
        <w:rPr>
          <w:color w:val="231F20"/>
          <w:spacing w:val="-15"/>
          <w:w w:val="105"/>
          <w:sz w:val="21"/>
        </w:rPr>
        <w:t> </w:t>
      </w:r>
      <w:r>
        <w:rPr>
          <w:color w:val="231F20"/>
          <w:w w:val="105"/>
          <w:sz w:val="21"/>
        </w:rPr>
        <w:t>una</w:t>
      </w:r>
      <w:r>
        <w:rPr>
          <w:color w:val="231F20"/>
          <w:spacing w:val="-15"/>
          <w:w w:val="105"/>
          <w:sz w:val="21"/>
        </w:rPr>
        <w:t> </w:t>
      </w:r>
      <w:r>
        <w:rPr>
          <w:color w:val="231F20"/>
          <w:spacing w:val="-3"/>
          <w:w w:val="105"/>
          <w:sz w:val="21"/>
        </w:rPr>
        <w:t>falta</w:t>
      </w:r>
      <w:r>
        <w:rPr>
          <w:color w:val="231F20"/>
          <w:spacing w:val="-15"/>
          <w:w w:val="105"/>
          <w:sz w:val="21"/>
        </w:rPr>
        <w:t> </w:t>
      </w:r>
      <w:r>
        <w:rPr>
          <w:color w:val="231F20"/>
          <w:spacing w:val="-3"/>
          <w:w w:val="105"/>
          <w:sz w:val="21"/>
        </w:rPr>
        <w:t>civil</w:t>
      </w:r>
      <w:r>
        <w:rPr>
          <w:color w:val="231F20"/>
          <w:spacing w:val="-15"/>
          <w:w w:val="105"/>
          <w:sz w:val="21"/>
        </w:rPr>
        <w:t> </w:t>
      </w:r>
      <w:r>
        <w:rPr>
          <w:color w:val="231F20"/>
          <w:w w:val="105"/>
          <w:sz w:val="21"/>
        </w:rPr>
        <w:t>al</w:t>
      </w:r>
      <w:r>
        <w:rPr>
          <w:color w:val="231F20"/>
          <w:spacing w:val="-15"/>
          <w:w w:val="105"/>
          <w:sz w:val="21"/>
        </w:rPr>
        <w:t> </w:t>
      </w:r>
      <w:r>
        <w:rPr>
          <w:color w:val="231F20"/>
          <w:spacing w:val="-3"/>
          <w:w w:val="105"/>
          <w:sz w:val="21"/>
        </w:rPr>
        <w:t>estatus</w:t>
      </w:r>
      <w:r>
        <w:rPr>
          <w:color w:val="231F20"/>
          <w:spacing w:val="-15"/>
          <w:w w:val="105"/>
          <w:sz w:val="21"/>
        </w:rPr>
        <w:t> </w:t>
      </w:r>
      <w:r>
        <w:rPr>
          <w:color w:val="231F20"/>
          <w:w w:val="105"/>
          <w:sz w:val="21"/>
        </w:rPr>
        <w:t>de</w:t>
      </w:r>
      <w:r>
        <w:rPr>
          <w:color w:val="231F20"/>
          <w:spacing w:val="-15"/>
          <w:w w:val="105"/>
          <w:sz w:val="21"/>
        </w:rPr>
        <w:t> </w:t>
      </w:r>
      <w:r>
        <w:rPr>
          <w:color w:val="231F20"/>
          <w:spacing w:val="-3"/>
          <w:w w:val="105"/>
          <w:sz w:val="21"/>
        </w:rPr>
        <w:t>delito</w:t>
      </w:r>
      <w:r>
        <w:rPr>
          <w:color w:val="231F20"/>
          <w:spacing w:val="-15"/>
          <w:w w:val="105"/>
          <w:sz w:val="21"/>
        </w:rPr>
        <w:t> </w:t>
      </w:r>
      <w:r>
        <w:rPr>
          <w:color w:val="231F20"/>
          <w:spacing w:val="-3"/>
          <w:w w:val="105"/>
          <w:sz w:val="21"/>
        </w:rPr>
        <w:t>criminal </w:t>
      </w:r>
      <w:r>
        <w:rPr>
          <w:color w:val="231F20"/>
          <w:w w:val="105"/>
          <w:sz w:val="21"/>
        </w:rPr>
        <w:t>(Rocha, 2006). Al mismo tiempo esta iniciativa se</w:t>
      </w:r>
      <w:r>
        <w:rPr>
          <w:color w:val="231F20"/>
          <w:spacing w:val="-26"/>
          <w:w w:val="105"/>
          <w:sz w:val="21"/>
        </w:rPr>
        <w:t> </w:t>
      </w:r>
      <w:r>
        <w:rPr>
          <w:color w:val="231F20"/>
          <w:w w:val="105"/>
          <w:sz w:val="21"/>
        </w:rPr>
        <w:t>constituyó</w:t>
      </w:r>
    </w:p>
    <w:p>
      <w:pPr>
        <w:pStyle w:val="BodyText"/>
        <w:spacing w:line="261" w:lineRule="auto" w:before="1"/>
        <w:ind w:left="1837" w:right="1721"/>
        <w:jc w:val="both"/>
      </w:pPr>
      <w:r>
        <w:rPr>
          <w:color w:val="231F20"/>
          <w:w w:val="105"/>
        </w:rPr>
        <w:t>en</w:t>
      </w:r>
      <w:r>
        <w:rPr>
          <w:color w:val="231F20"/>
          <w:spacing w:val="-20"/>
          <w:w w:val="105"/>
        </w:rPr>
        <w:t> </w:t>
      </w:r>
      <w:r>
        <w:rPr>
          <w:color w:val="231F20"/>
          <w:w w:val="105"/>
        </w:rPr>
        <w:t>uno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principales</w:t>
      </w:r>
      <w:r>
        <w:rPr>
          <w:color w:val="231F20"/>
          <w:spacing w:val="-20"/>
          <w:w w:val="105"/>
        </w:rPr>
        <w:t> </w:t>
      </w:r>
      <w:r>
        <w:rPr>
          <w:color w:val="231F20"/>
          <w:w w:val="105"/>
        </w:rPr>
        <w:t>detonantes</w:t>
      </w:r>
      <w:r>
        <w:rPr>
          <w:color w:val="231F20"/>
          <w:spacing w:val="-20"/>
          <w:w w:val="105"/>
        </w:rPr>
        <w:t> </w:t>
      </w:r>
      <w:r>
        <w:rPr>
          <w:color w:val="231F20"/>
          <w:w w:val="105"/>
        </w:rPr>
        <w:t>para</w:t>
      </w:r>
      <w:r>
        <w:rPr>
          <w:color w:val="231F20"/>
          <w:spacing w:val="-20"/>
          <w:w w:val="105"/>
        </w:rPr>
        <w:t> </w:t>
      </w:r>
      <w:r>
        <w:rPr>
          <w:color w:val="231F20"/>
          <w:w w:val="105"/>
        </w:rPr>
        <w:t>la</w:t>
      </w:r>
      <w:r>
        <w:rPr>
          <w:color w:val="231F20"/>
          <w:spacing w:val="-20"/>
          <w:w w:val="105"/>
        </w:rPr>
        <w:t> </w:t>
      </w:r>
      <w:r>
        <w:rPr>
          <w:color w:val="231F20"/>
          <w:w w:val="105"/>
        </w:rPr>
        <w:t>movilización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población migrante</w:t>
      </w:r>
      <w:r>
        <w:rPr>
          <w:color w:val="231F20"/>
          <w:spacing w:val="-15"/>
          <w:w w:val="105"/>
        </w:rPr>
        <w:t> </w:t>
      </w:r>
      <w:r>
        <w:rPr>
          <w:color w:val="231F20"/>
          <w:w w:val="105"/>
        </w:rPr>
        <w:t>en</w:t>
      </w:r>
      <w:r>
        <w:rPr>
          <w:color w:val="231F20"/>
          <w:spacing w:val="-15"/>
          <w:w w:val="105"/>
        </w:rPr>
        <w:t> </w:t>
      </w:r>
      <w:r>
        <w:rPr>
          <w:color w:val="231F20"/>
          <w:w w:val="105"/>
        </w:rPr>
        <w:t>Estados</w:t>
      </w:r>
      <w:r>
        <w:rPr>
          <w:color w:val="231F20"/>
          <w:spacing w:val="-15"/>
          <w:w w:val="105"/>
        </w:rPr>
        <w:t> </w:t>
      </w:r>
      <w:r>
        <w:rPr>
          <w:color w:val="231F20"/>
          <w:w w:val="105"/>
        </w:rPr>
        <w:t>Unidos,</w:t>
      </w:r>
      <w:r>
        <w:rPr>
          <w:color w:val="231F20"/>
          <w:spacing w:val="-20"/>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w w:val="105"/>
        </w:rPr>
        <w:t>septiembre</w:t>
      </w:r>
      <w:r>
        <w:rPr>
          <w:color w:val="231F20"/>
          <w:spacing w:val="-15"/>
          <w:w w:val="105"/>
        </w:rPr>
        <w:t> </w:t>
      </w:r>
      <w:r>
        <w:rPr>
          <w:color w:val="231F20"/>
          <w:w w:val="105"/>
        </w:rPr>
        <w:t>de</w:t>
      </w:r>
      <w:r>
        <w:rPr>
          <w:color w:val="231F20"/>
          <w:spacing w:val="-15"/>
          <w:w w:val="105"/>
        </w:rPr>
        <w:t> </w:t>
      </w:r>
      <w:r>
        <w:rPr>
          <w:color w:val="231F20"/>
          <w:w w:val="105"/>
        </w:rPr>
        <w:t>2005</w:t>
      </w:r>
      <w:r>
        <w:rPr>
          <w:color w:val="231F20"/>
          <w:spacing w:val="-15"/>
          <w:w w:val="105"/>
        </w:rPr>
        <w:t> </w:t>
      </w:r>
      <w:r>
        <w:rPr>
          <w:color w:val="231F20"/>
          <w:w w:val="105"/>
        </w:rPr>
        <w:t>tomó</w:t>
      </w:r>
      <w:r>
        <w:rPr>
          <w:color w:val="231F20"/>
          <w:spacing w:val="-15"/>
          <w:w w:val="105"/>
        </w:rPr>
        <w:t> </w:t>
      </w:r>
      <w:r>
        <w:rPr>
          <w:color w:val="231F20"/>
          <w:w w:val="105"/>
        </w:rPr>
        <w:t>las</w:t>
      </w:r>
      <w:r>
        <w:rPr>
          <w:color w:val="231F20"/>
          <w:spacing w:val="-15"/>
          <w:w w:val="105"/>
        </w:rPr>
        <w:t> </w:t>
      </w:r>
      <w:r>
        <w:rPr>
          <w:color w:val="231F20"/>
          <w:w w:val="105"/>
        </w:rPr>
        <w:t>calles de</w:t>
      </w:r>
      <w:r>
        <w:rPr>
          <w:color w:val="231F20"/>
          <w:spacing w:val="-4"/>
          <w:w w:val="105"/>
        </w:rPr>
        <w:t> </w:t>
      </w:r>
      <w:r>
        <w:rPr>
          <w:color w:val="231F20"/>
          <w:w w:val="105"/>
        </w:rPr>
        <w:t>ese</w:t>
      </w:r>
      <w:r>
        <w:rPr>
          <w:color w:val="231F20"/>
          <w:spacing w:val="-4"/>
          <w:w w:val="105"/>
        </w:rPr>
        <w:t> </w:t>
      </w:r>
      <w:r>
        <w:rPr>
          <w:color w:val="231F20"/>
          <w:w w:val="105"/>
        </w:rPr>
        <w:t>país</w:t>
      </w:r>
      <w:r>
        <w:rPr>
          <w:color w:val="231F20"/>
          <w:spacing w:val="-4"/>
          <w:w w:val="105"/>
        </w:rPr>
        <w:t> </w:t>
      </w:r>
      <w:r>
        <w:rPr>
          <w:color w:val="231F20"/>
          <w:w w:val="105"/>
        </w:rPr>
        <w:t>para</w:t>
      </w:r>
      <w:r>
        <w:rPr>
          <w:color w:val="231F20"/>
          <w:spacing w:val="-4"/>
          <w:w w:val="105"/>
        </w:rPr>
        <w:t> </w:t>
      </w:r>
      <w:r>
        <w:rPr>
          <w:color w:val="231F20"/>
          <w:w w:val="105"/>
        </w:rPr>
        <w:t>pugnar</w:t>
      </w:r>
      <w:r>
        <w:rPr>
          <w:color w:val="231F20"/>
          <w:spacing w:val="-4"/>
          <w:w w:val="105"/>
        </w:rPr>
        <w:t> </w:t>
      </w:r>
      <w:r>
        <w:rPr>
          <w:color w:val="231F20"/>
          <w:w w:val="105"/>
        </w:rPr>
        <w:t>por</w:t>
      </w:r>
      <w:r>
        <w:rPr>
          <w:color w:val="231F20"/>
          <w:spacing w:val="-4"/>
          <w:w w:val="105"/>
        </w:rPr>
        <w:t> </w:t>
      </w:r>
      <w:r>
        <w:rPr>
          <w:color w:val="231F20"/>
          <w:w w:val="105"/>
        </w:rPr>
        <w:t>la</w:t>
      </w:r>
      <w:r>
        <w:rPr>
          <w:color w:val="231F20"/>
          <w:spacing w:val="-4"/>
          <w:w w:val="105"/>
        </w:rPr>
        <w:t> </w:t>
      </w:r>
      <w:r>
        <w:rPr>
          <w:color w:val="231F20"/>
          <w:w w:val="105"/>
        </w:rPr>
        <w:t>legalización</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inmigrantes</w:t>
      </w:r>
      <w:r>
        <w:rPr>
          <w:color w:val="231F20"/>
          <w:spacing w:val="-4"/>
          <w:w w:val="105"/>
        </w:rPr>
        <w:t> </w:t>
      </w:r>
      <w:r>
        <w:rPr>
          <w:color w:val="231F20"/>
          <w:w w:val="105"/>
        </w:rPr>
        <w:t>no</w:t>
      </w:r>
      <w:r>
        <w:rPr>
          <w:color w:val="231F20"/>
          <w:spacing w:val="-4"/>
          <w:w w:val="105"/>
        </w:rPr>
        <w:t> </w:t>
      </w:r>
      <w:r>
        <w:rPr>
          <w:color w:val="231F20"/>
          <w:w w:val="105"/>
        </w:rPr>
        <w:t>docu- mentados</w:t>
      </w:r>
      <w:r>
        <w:rPr>
          <w:color w:val="231F20"/>
          <w:spacing w:val="-15"/>
          <w:w w:val="105"/>
        </w:rPr>
        <w:t> </w:t>
      </w:r>
      <w:r>
        <w:rPr>
          <w:color w:val="231F20"/>
          <w:w w:val="105"/>
        </w:rPr>
        <w:t>y</w:t>
      </w:r>
      <w:r>
        <w:rPr>
          <w:color w:val="231F20"/>
          <w:spacing w:val="-15"/>
          <w:w w:val="105"/>
        </w:rPr>
        <w:t> </w:t>
      </w:r>
      <w:r>
        <w:rPr>
          <w:color w:val="231F20"/>
          <w:w w:val="105"/>
        </w:rPr>
        <w:t>responder</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múltiples</w:t>
      </w:r>
      <w:r>
        <w:rPr>
          <w:color w:val="231F20"/>
          <w:spacing w:val="-15"/>
          <w:w w:val="105"/>
        </w:rPr>
        <w:t> </w:t>
      </w:r>
      <w:r>
        <w:rPr>
          <w:color w:val="231F20"/>
          <w:w w:val="105"/>
        </w:rPr>
        <w:t>agresiones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grupos</w:t>
      </w:r>
      <w:r>
        <w:rPr>
          <w:color w:val="231F20"/>
          <w:spacing w:val="-15"/>
          <w:w w:val="105"/>
        </w:rPr>
        <w:t> </w:t>
      </w:r>
      <w:r>
        <w:rPr>
          <w:color w:val="231F20"/>
          <w:w w:val="105"/>
        </w:rPr>
        <w:t>antiinmi-</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26"/>
      </w:pPr>
      <w:r>
        <w:rPr>
          <w:color w:val="231F20"/>
          <w:w w:val="105"/>
        </w:rPr>
        <w:t>grantes</w:t>
      </w:r>
      <w:r>
        <w:rPr>
          <w:color w:val="231F20"/>
          <w:spacing w:val="-12"/>
          <w:w w:val="105"/>
        </w:rPr>
        <w:t> </w:t>
      </w:r>
      <w:r>
        <w:rPr>
          <w:color w:val="231F20"/>
          <w:w w:val="105"/>
        </w:rPr>
        <w:t>(Rocha,</w:t>
      </w:r>
      <w:r>
        <w:rPr>
          <w:color w:val="231F20"/>
          <w:spacing w:val="-17"/>
          <w:w w:val="105"/>
        </w:rPr>
        <w:t> </w:t>
      </w:r>
      <w:r>
        <w:rPr>
          <w:color w:val="231F20"/>
          <w:w w:val="105"/>
        </w:rPr>
        <w:t>2006;</w:t>
      </w:r>
      <w:r>
        <w:rPr>
          <w:color w:val="231F20"/>
          <w:spacing w:val="-12"/>
          <w:w w:val="105"/>
        </w:rPr>
        <w:t> </w:t>
      </w:r>
      <w:r>
        <w:rPr>
          <w:color w:val="231F20"/>
          <w:w w:val="105"/>
        </w:rPr>
        <w:t>Cano,</w:t>
      </w:r>
      <w:r>
        <w:rPr>
          <w:color w:val="231F20"/>
          <w:spacing w:val="-17"/>
          <w:w w:val="105"/>
        </w:rPr>
        <w:t> </w:t>
      </w:r>
      <w:r>
        <w:rPr>
          <w:color w:val="231F20"/>
          <w:w w:val="105"/>
        </w:rPr>
        <w:t>2006;</w:t>
      </w:r>
      <w:r>
        <w:rPr>
          <w:color w:val="231F20"/>
          <w:spacing w:val="-12"/>
          <w:w w:val="105"/>
        </w:rPr>
        <w:t> </w:t>
      </w:r>
      <w:r>
        <w:rPr>
          <w:color w:val="231F20"/>
          <w:w w:val="105"/>
        </w:rPr>
        <w:t>Durand,</w:t>
      </w:r>
      <w:r>
        <w:rPr>
          <w:color w:val="231F20"/>
          <w:spacing w:val="-17"/>
          <w:w w:val="105"/>
        </w:rPr>
        <w:t> </w:t>
      </w:r>
      <w:r>
        <w:rPr>
          <w:color w:val="231F20"/>
          <w:w w:val="105"/>
        </w:rPr>
        <w:t>2007),</w:t>
      </w:r>
      <w:r>
        <w:rPr>
          <w:color w:val="231F20"/>
          <w:spacing w:val="-17"/>
          <w:w w:val="105"/>
        </w:rPr>
        <w:t> </w:t>
      </w:r>
      <w:r>
        <w:rPr>
          <w:color w:val="231F20"/>
          <w:w w:val="105"/>
        </w:rPr>
        <w:t>recrudecidas</w:t>
      </w:r>
      <w:r>
        <w:rPr>
          <w:color w:val="231F20"/>
          <w:spacing w:val="-12"/>
          <w:w w:val="105"/>
        </w:rPr>
        <w:t> </w:t>
      </w:r>
      <w:r>
        <w:rPr>
          <w:color w:val="231F20"/>
          <w:w w:val="105"/>
        </w:rPr>
        <w:t>con</w:t>
      </w:r>
      <w:r>
        <w:rPr>
          <w:color w:val="231F20"/>
          <w:spacing w:val="-12"/>
          <w:w w:val="105"/>
        </w:rPr>
        <w:t> </w:t>
      </w:r>
      <w:r>
        <w:rPr>
          <w:color w:val="231F20"/>
          <w:w w:val="105"/>
        </w:rPr>
        <w:t>los atentados</w:t>
      </w:r>
      <w:r>
        <w:rPr>
          <w:color w:val="231F20"/>
          <w:spacing w:val="-13"/>
          <w:w w:val="105"/>
        </w:rPr>
        <w:t> </w:t>
      </w:r>
      <w:r>
        <w:rPr>
          <w:color w:val="231F20"/>
          <w:w w:val="105"/>
        </w:rPr>
        <w:t>terroristas</w:t>
      </w:r>
      <w:r>
        <w:rPr>
          <w:color w:val="231F20"/>
          <w:spacing w:val="-13"/>
          <w:w w:val="105"/>
        </w:rPr>
        <w:t> </w:t>
      </w:r>
      <w:r>
        <w:rPr>
          <w:color w:val="231F20"/>
          <w:w w:val="105"/>
        </w:rPr>
        <w:t>de</w:t>
      </w:r>
      <w:r>
        <w:rPr>
          <w:color w:val="231F20"/>
          <w:spacing w:val="-13"/>
          <w:w w:val="105"/>
        </w:rPr>
        <w:t> </w:t>
      </w:r>
      <w:r>
        <w:rPr>
          <w:color w:val="231F20"/>
          <w:w w:val="105"/>
        </w:rPr>
        <w:t>septiembre</w:t>
      </w:r>
      <w:r>
        <w:rPr>
          <w:color w:val="231F20"/>
          <w:spacing w:val="-13"/>
          <w:w w:val="105"/>
        </w:rPr>
        <w:t> </w:t>
      </w:r>
      <w:r>
        <w:rPr>
          <w:color w:val="231F20"/>
          <w:w w:val="105"/>
        </w:rPr>
        <w:t>del</w:t>
      </w:r>
      <w:r>
        <w:rPr>
          <w:color w:val="231F20"/>
          <w:spacing w:val="-13"/>
          <w:w w:val="105"/>
        </w:rPr>
        <w:t> </w:t>
      </w:r>
      <w:r>
        <w:rPr>
          <w:color w:val="231F20"/>
          <w:w w:val="105"/>
        </w:rPr>
        <w:t>2011.</w:t>
      </w:r>
    </w:p>
    <w:p>
      <w:pPr>
        <w:pStyle w:val="BodyText"/>
        <w:spacing w:line="261" w:lineRule="auto" w:before="1"/>
        <w:ind w:left="1723" w:right="1828" w:firstLine="567"/>
        <w:jc w:val="both"/>
      </w:pPr>
      <w:r>
        <w:rPr>
          <w:color w:val="231F20"/>
          <w:w w:val="105"/>
        </w:rPr>
        <w:t>En las relaciones diplomáticas México-Estados Unidos fueron di- versas las manifestaciones derivadas de este último evento, siendo la agenda</w:t>
      </w:r>
      <w:r>
        <w:rPr>
          <w:color w:val="231F20"/>
          <w:spacing w:val="-15"/>
          <w:w w:val="105"/>
        </w:rPr>
        <w:t> </w:t>
      </w:r>
      <w:r>
        <w:rPr>
          <w:color w:val="231F20"/>
          <w:w w:val="105"/>
        </w:rPr>
        <w:t>política</w:t>
      </w:r>
      <w:r>
        <w:rPr>
          <w:color w:val="231F20"/>
          <w:spacing w:val="-15"/>
          <w:w w:val="105"/>
        </w:rPr>
        <w:t> </w:t>
      </w:r>
      <w:r>
        <w:rPr>
          <w:color w:val="231F20"/>
          <w:w w:val="105"/>
        </w:rPr>
        <w:t>migratoria</w:t>
      </w:r>
      <w:r>
        <w:rPr>
          <w:color w:val="231F20"/>
          <w:spacing w:val="-15"/>
          <w:w w:val="105"/>
        </w:rPr>
        <w:t> </w:t>
      </w:r>
      <w:r>
        <w:rPr>
          <w:color w:val="231F20"/>
          <w:w w:val="105"/>
        </w:rPr>
        <w:t>uno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aspectos</w:t>
      </w:r>
      <w:r>
        <w:rPr>
          <w:color w:val="231F20"/>
          <w:spacing w:val="-15"/>
          <w:w w:val="105"/>
        </w:rPr>
        <w:t> </w:t>
      </w:r>
      <w:r>
        <w:rPr>
          <w:color w:val="231F20"/>
          <w:w w:val="105"/>
        </w:rPr>
        <w:t>sensiblemente</w:t>
      </w:r>
      <w:r>
        <w:rPr>
          <w:color w:val="231F20"/>
          <w:spacing w:val="-15"/>
          <w:w w:val="105"/>
        </w:rPr>
        <w:t> </w:t>
      </w:r>
      <w:r>
        <w:rPr>
          <w:color w:val="231F20"/>
          <w:w w:val="105"/>
        </w:rPr>
        <w:t>más</w:t>
      </w:r>
      <w:r>
        <w:rPr>
          <w:color w:val="231F20"/>
          <w:spacing w:val="-15"/>
          <w:w w:val="105"/>
        </w:rPr>
        <w:t> </w:t>
      </w:r>
      <w:r>
        <w:rPr>
          <w:color w:val="231F20"/>
          <w:w w:val="105"/>
        </w:rPr>
        <w:t>afec- tados, en la medida que las negociaciones entabladas entre el gobier- no</w:t>
      </w:r>
      <w:r>
        <w:rPr>
          <w:color w:val="231F20"/>
          <w:spacing w:val="-5"/>
          <w:w w:val="105"/>
        </w:rPr>
        <w:t> </w:t>
      </w:r>
      <w:r>
        <w:rPr>
          <w:color w:val="231F20"/>
          <w:w w:val="105"/>
        </w:rPr>
        <w:t>de</w:t>
      </w:r>
      <w:r>
        <w:rPr>
          <w:color w:val="231F20"/>
          <w:spacing w:val="-9"/>
          <w:w w:val="105"/>
        </w:rPr>
        <w:t> </w:t>
      </w:r>
      <w:r>
        <w:rPr>
          <w:color w:val="231F20"/>
          <w:w w:val="105"/>
        </w:rPr>
        <w:t>Vicente</w:t>
      </w:r>
      <w:r>
        <w:rPr>
          <w:color w:val="231F20"/>
          <w:spacing w:val="-5"/>
          <w:w w:val="105"/>
        </w:rPr>
        <w:t> Fox </w:t>
      </w:r>
      <w:r>
        <w:rPr>
          <w:color w:val="231F20"/>
          <w:w w:val="105"/>
        </w:rPr>
        <w:t>y</w:t>
      </w:r>
      <w:r>
        <w:rPr>
          <w:color w:val="231F20"/>
          <w:spacing w:val="-5"/>
          <w:w w:val="105"/>
        </w:rPr>
        <w:t> </w:t>
      </w:r>
      <w:r>
        <w:rPr>
          <w:color w:val="231F20"/>
          <w:w w:val="105"/>
        </w:rPr>
        <w:t>su</w:t>
      </w:r>
      <w:r>
        <w:rPr>
          <w:color w:val="231F20"/>
          <w:spacing w:val="-5"/>
          <w:w w:val="105"/>
        </w:rPr>
        <w:t> </w:t>
      </w:r>
      <w:r>
        <w:rPr>
          <w:color w:val="231F20"/>
          <w:w w:val="105"/>
        </w:rPr>
        <w:t>homólogo</w:t>
      </w:r>
      <w:r>
        <w:rPr>
          <w:color w:val="231F20"/>
          <w:spacing w:val="-5"/>
          <w:w w:val="105"/>
        </w:rPr>
        <w:t> </w:t>
      </w:r>
      <w:r>
        <w:rPr>
          <w:color w:val="231F20"/>
          <w:w w:val="105"/>
        </w:rPr>
        <w:t>en</w:t>
      </w:r>
      <w:r>
        <w:rPr>
          <w:color w:val="231F20"/>
          <w:spacing w:val="-5"/>
          <w:w w:val="105"/>
        </w:rPr>
        <w:t> </w:t>
      </w:r>
      <w:r>
        <w:rPr>
          <w:color w:val="231F20"/>
          <w:w w:val="105"/>
        </w:rPr>
        <w:t>Estados</w:t>
      </w:r>
      <w:r>
        <w:rPr>
          <w:color w:val="231F20"/>
          <w:spacing w:val="-5"/>
          <w:w w:val="105"/>
        </w:rPr>
        <w:t> </w:t>
      </w:r>
      <w:r>
        <w:rPr>
          <w:color w:val="231F20"/>
          <w:w w:val="105"/>
        </w:rPr>
        <w:t>Unidos</w:t>
      </w:r>
      <w:r>
        <w:rPr>
          <w:color w:val="231F20"/>
          <w:spacing w:val="-5"/>
          <w:w w:val="105"/>
        </w:rPr>
        <w:t> </w:t>
      </w:r>
      <w:r>
        <w:rPr>
          <w:color w:val="231F20"/>
          <w:w w:val="105"/>
        </w:rPr>
        <w:t>se</w:t>
      </w:r>
      <w:r>
        <w:rPr>
          <w:color w:val="231F20"/>
          <w:spacing w:val="-5"/>
          <w:w w:val="105"/>
        </w:rPr>
        <w:t> </w:t>
      </w:r>
      <w:r>
        <w:rPr>
          <w:color w:val="231F20"/>
          <w:w w:val="105"/>
        </w:rPr>
        <w:t>debilitaron</w:t>
      </w:r>
      <w:r>
        <w:rPr>
          <w:color w:val="231F20"/>
          <w:spacing w:val="-5"/>
          <w:w w:val="105"/>
        </w:rPr>
        <w:t> </w:t>
      </w:r>
      <w:r>
        <w:rPr>
          <w:color w:val="231F20"/>
          <w:w w:val="105"/>
        </w:rPr>
        <w:t>pro- fundamente</w:t>
      </w:r>
      <w:r>
        <w:rPr>
          <w:color w:val="231F20"/>
          <w:spacing w:val="-16"/>
          <w:w w:val="105"/>
        </w:rPr>
        <w:t> </w:t>
      </w:r>
      <w:r>
        <w:rPr>
          <w:color w:val="231F20"/>
          <w:w w:val="105"/>
        </w:rPr>
        <w:t>a</w:t>
      </w:r>
      <w:r>
        <w:rPr>
          <w:color w:val="231F20"/>
          <w:spacing w:val="-16"/>
          <w:w w:val="105"/>
        </w:rPr>
        <w:t> </w:t>
      </w:r>
      <w:r>
        <w:rPr>
          <w:color w:val="231F20"/>
          <w:w w:val="105"/>
        </w:rPr>
        <w:t>raíz</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ataques</w:t>
      </w:r>
      <w:r>
        <w:rPr>
          <w:color w:val="231F20"/>
          <w:spacing w:val="-16"/>
          <w:w w:val="105"/>
        </w:rPr>
        <w:t> </w:t>
      </w:r>
      <w:r>
        <w:rPr>
          <w:color w:val="231F20"/>
          <w:w w:val="105"/>
        </w:rPr>
        <w:t>terroristas</w:t>
      </w:r>
      <w:r>
        <w:rPr>
          <w:color w:val="231F20"/>
          <w:spacing w:val="-16"/>
          <w:w w:val="105"/>
        </w:rPr>
        <w:t> </w:t>
      </w:r>
      <w:r>
        <w:rPr>
          <w:color w:val="231F20"/>
          <w:w w:val="105"/>
        </w:rPr>
        <w:t>de</w:t>
      </w:r>
      <w:r>
        <w:rPr>
          <w:color w:val="231F20"/>
          <w:spacing w:val="-16"/>
          <w:w w:val="105"/>
        </w:rPr>
        <w:t> </w:t>
      </w:r>
      <w:r>
        <w:rPr>
          <w:color w:val="231F20"/>
          <w:w w:val="105"/>
        </w:rPr>
        <w:t>2011.</w:t>
      </w:r>
      <w:r>
        <w:rPr>
          <w:color w:val="231F20"/>
          <w:spacing w:val="-21"/>
          <w:w w:val="105"/>
        </w:rPr>
        <w:t> </w:t>
      </w:r>
      <w:r>
        <w:rPr>
          <w:color w:val="231F20"/>
          <w:w w:val="105"/>
        </w:rPr>
        <w:t>Una</w:t>
      </w:r>
      <w:r>
        <w:rPr>
          <w:color w:val="231F20"/>
          <w:spacing w:val="-16"/>
          <w:w w:val="105"/>
        </w:rPr>
        <w:t> </w:t>
      </w:r>
      <w:r>
        <w:rPr>
          <w:color w:val="231F20"/>
          <w:w w:val="105"/>
        </w:rPr>
        <w:t>consecuencia directa</w:t>
      </w:r>
      <w:r>
        <w:rPr>
          <w:color w:val="231F20"/>
          <w:spacing w:val="-6"/>
          <w:w w:val="105"/>
        </w:rPr>
        <w:t> </w:t>
      </w:r>
      <w:r>
        <w:rPr>
          <w:color w:val="231F20"/>
          <w:w w:val="105"/>
        </w:rPr>
        <w:t>fue</w:t>
      </w:r>
      <w:r>
        <w:rPr>
          <w:color w:val="231F20"/>
          <w:spacing w:val="-6"/>
          <w:w w:val="105"/>
        </w:rPr>
        <w:t> </w:t>
      </w:r>
      <w:r>
        <w:rPr>
          <w:color w:val="231F20"/>
          <w:w w:val="105"/>
        </w:rPr>
        <w:t>el</w:t>
      </w:r>
      <w:r>
        <w:rPr>
          <w:color w:val="231F20"/>
          <w:spacing w:val="-6"/>
          <w:w w:val="105"/>
        </w:rPr>
        <w:t> </w:t>
      </w:r>
      <w:r>
        <w:rPr>
          <w:color w:val="231F20"/>
          <w:w w:val="105"/>
        </w:rPr>
        <w:t>fracaso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llamada</w:t>
      </w:r>
      <w:r>
        <w:rPr>
          <w:color w:val="231F20"/>
          <w:spacing w:val="-6"/>
          <w:w w:val="105"/>
        </w:rPr>
        <w:t> </w:t>
      </w:r>
      <w:r>
        <w:rPr>
          <w:rFonts w:ascii="Arial" w:hAnsi="Arial"/>
          <w:i/>
          <w:color w:val="231F20"/>
          <w:w w:val="105"/>
        </w:rPr>
        <w:t>enchilada</w:t>
      </w:r>
      <w:r>
        <w:rPr>
          <w:rFonts w:ascii="Arial" w:hAnsi="Arial"/>
          <w:i/>
          <w:color w:val="231F20"/>
          <w:spacing w:val="-8"/>
          <w:w w:val="105"/>
        </w:rPr>
        <w:t> </w:t>
      </w:r>
      <w:r>
        <w:rPr>
          <w:rFonts w:ascii="Arial" w:hAnsi="Arial"/>
          <w:i/>
          <w:color w:val="231F20"/>
          <w:w w:val="105"/>
        </w:rPr>
        <w:t>completa</w:t>
      </w:r>
      <w:r>
        <w:rPr>
          <w:rFonts w:ascii="Arial" w:hAnsi="Arial"/>
          <w:i/>
          <w:color w:val="231F20"/>
          <w:spacing w:val="-8"/>
          <w:w w:val="105"/>
        </w:rPr>
        <w:t> </w:t>
      </w:r>
      <w:r>
        <w:rPr>
          <w:color w:val="231F20"/>
          <w:w w:val="105"/>
        </w:rPr>
        <w:t>(Benítez,</w:t>
      </w:r>
      <w:r>
        <w:rPr>
          <w:color w:val="231F20"/>
          <w:spacing w:val="-11"/>
          <w:w w:val="105"/>
        </w:rPr>
        <w:t> </w:t>
      </w:r>
      <w:r>
        <w:rPr>
          <w:color w:val="231F20"/>
          <w:w w:val="105"/>
        </w:rPr>
        <w:t>2006), dado el ambiente de desconfianza y no negociación en el que se</w:t>
      </w:r>
      <w:r>
        <w:rPr>
          <w:color w:val="231F20"/>
          <w:spacing w:val="-27"/>
          <w:w w:val="105"/>
        </w:rPr>
        <w:t> </w:t>
      </w:r>
      <w:r>
        <w:rPr>
          <w:color w:val="231F20"/>
          <w:w w:val="105"/>
        </w:rPr>
        <w:t>endu- recieron las medidas instauradas por el gobierno estadounidense para controlar la migración no documentada de los mexicanos. Entre estas acciones</w:t>
      </w:r>
      <w:r>
        <w:rPr>
          <w:color w:val="231F20"/>
          <w:spacing w:val="-27"/>
          <w:w w:val="105"/>
        </w:rPr>
        <w:t> </w:t>
      </w:r>
      <w:r>
        <w:rPr>
          <w:color w:val="231F20"/>
          <w:w w:val="105"/>
        </w:rPr>
        <w:t>se</w:t>
      </w:r>
      <w:r>
        <w:rPr>
          <w:color w:val="231F20"/>
          <w:spacing w:val="-27"/>
          <w:w w:val="105"/>
        </w:rPr>
        <w:t> </w:t>
      </w:r>
      <w:r>
        <w:rPr>
          <w:color w:val="231F20"/>
          <w:w w:val="105"/>
        </w:rPr>
        <w:t>destacan</w:t>
      </w:r>
      <w:r>
        <w:rPr>
          <w:color w:val="231F20"/>
          <w:spacing w:val="-27"/>
          <w:w w:val="105"/>
        </w:rPr>
        <w:t> </w:t>
      </w:r>
      <w:r>
        <w:rPr>
          <w:color w:val="231F20"/>
          <w:w w:val="105"/>
        </w:rPr>
        <w:t>las</w:t>
      </w:r>
      <w:r>
        <w:rPr>
          <w:color w:val="231F20"/>
          <w:spacing w:val="-27"/>
          <w:w w:val="105"/>
        </w:rPr>
        <w:t> </w:t>
      </w:r>
      <w:r>
        <w:rPr>
          <w:color w:val="231F20"/>
          <w:w w:val="105"/>
        </w:rPr>
        <w:t>de</w:t>
      </w:r>
      <w:r>
        <w:rPr>
          <w:color w:val="231F20"/>
          <w:spacing w:val="-27"/>
          <w:w w:val="105"/>
        </w:rPr>
        <w:t> </w:t>
      </w:r>
      <w:r>
        <w:rPr>
          <w:color w:val="231F20"/>
          <w:w w:val="105"/>
        </w:rPr>
        <w:t>control</w:t>
      </w:r>
      <w:r>
        <w:rPr>
          <w:color w:val="231F20"/>
          <w:spacing w:val="-27"/>
          <w:w w:val="105"/>
        </w:rPr>
        <w:t> </w:t>
      </w:r>
      <w:r>
        <w:rPr>
          <w:color w:val="231F20"/>
          <w:w w:val="105"/>
        </w:rPr>
        <w:t>y</w:t>
      </w:r>
      <w:r>
        <w:rPr>
          <w:color w:val="231F20"/>
          <w:spacing w:val="-27"/>
          <w:w w:val="105"/>
        </w:rPr>
        <w:t> </w:t>
      </w:r>
      <w:r>
        <w:rPr>
          <w:color w:val="231F20"/>
          <w:w w:val="105"/>
        </w:rPr>
        <w:t>vigilancia</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frontera,</w:t>
      </w:r>
      <w:r>
        <w:rPr>
          <w:color w:val="231F20"/>
          <w:spacing w:val="-31"/>
          <w:w w:val="105"/>
        </w:rPr>
        <w:t> </w:t>
      </w:r>
      <w:r>
        <w:rPr>
          <w:color w:val="231F20"/>
          <w:w w:val="105"/>
        </w:rPr>
        <w:t>cuyo</w:t>
      </w:r>
      <w:r>
        <w:rPr>
          <w:color w:val="231F20"/>
          <w:spacing w:val="-27"/>
          <w:w w:val="105"/>
        </w:rPr>
        <w:t> </w:t>
      </w:r>
      <w:r>
        <w:rPr>
          <w:color w:val="231F20"/>
          <w:w w:val="105"/>
        </w:rPr>
        <w:t>mayor resguardo se reflejó en el aumento de agentes de la patrulla fronteriza, el</w:t>
      </w:r>
      <w:r>
        <w:rPr>
          <w:color w:val="231F20"/>
          <w:spacing w:val="-11"/>
          <w:w w:val="105"/>
        </w:rPr>
        <w:t> </w:t>
      </w:r>
      <w:r>
        <w:rPr>
          <w:color w:val="231F20"/>
          <w:w w:val="105"/>
        </w:rPr>
        <w:t>despliegue</w:t>
      </w:r>
      <w:r>
        <w:rPr>
          <w:color w:val="231F20"/>
          <w:spacing w:val="-11"/>
          <w:w w:val="105"/>
        </w:rPr>
        <w:t> </w:t>
      </w:r>
      <w:r>
        <w:rPr>
          <w:color w:val="231F20"/>
          <w:w w:val="105"/>
        </w:rPr>
        <w:t>de</w:t>
      </w:r>
      <w:r>
        <w:rPr>
          <w:color w:val="231F20"/>
          <w:spacing w:val="-11"/>
          <w:w w:val="105"/>
        </w:rPr>
        <w:t> </w:t>
      </w:r>
      <w:r>
        <w:rPr>
          <w:color w:val="231F20"/>
          <w:w w:val="105"/>
        </w:rPr>
        <w:t>efectivos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Guardia</w:t>
      </w:r>
      <w:r>
        <w:rPr>
          <w:color w:val="231F20"/>
          <w:spacing w:val="-11"/>
          <w:w w:val="105"/>
        </w:rPr>
        <w:t> </w:t>
      </w:r>
      <w:r>
        <w:rPr>
          <w:color w:val="231F20"/>
          <w:w w:val="105"/>
        </w:rPr>
        <w:t>Nacional</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frontera</w:t>
      </w:r>
      <w:r>
        <w:rPr>
          <w:color w:val="231F20"/>
          <w:spacing w:val="-11"/>
          <w:w w:val="105"/>
        </w:rPr>
        <w:t> </w:t>
      </w:r>
      <w:r>
        <w:rPr>
          <w:color w:val="231F20"/>
          <w:w w:val="105"/>
        </w:rPr>
        <w:t>con</w:t>
      </w:r>
      <w:r>
        <w:rPr>
          <w:color w:val="231F20"/>
          <w:spacing w:val="-11"/>
          <w:w w:val="105"/>
        </w:rPr>
        <w:t> </w:t>
      </w:r>
      <w:r>
        <w:rPr>
          <w:color w:val="231F20"/>
          <w:w w:val="105"/>
        </w:rPr>
        <w:t>Mé- xico,</w:t>
      </w:r>
      <w:r>
        <w:rPr>
          <w:color w:val="231F20"/>
          <w:spacing w:val="-15"/>
          <w:w w:val="105"/>
        </w:rPr>
        <w:t> </w:t>
      </w:r>
      <w:r>
        <w:rPr>
          <w:color w:val="231F20"/>
          <w:w w:val="105"/>
        </w:rPr>
        <w:t>la</w:t>
      </w:r>
      <w:r>
        <w:rPr>
          <w:color w:val="231F20"/>
          <w:spacing w:val="-10"/>
          <w:w w:val="105"/>
        </w:rPr>
        <w:t> </w:t>
      </w:r>
      <w:r>
        <w:rPr>
          <w:color w:val="231F20"/>
          <w:w w:val="105"/>
        </w:rPr>
        <w:t>construcción</w:t>
      </w:r>
      <w:r>
        <w:rPr>
          <w:color w:val="231F20"/>
          <w:spacing w:val="-10"/>
          <w:w w:val="105"/>
        </w:rPr>
        <w:t> </w:t>
      </w:r>
      <w:r>
        <w:rPr>
          <w:color w:val="231F20"/>
          <w:w w:val="105"/>
        </w:rPr>
        <w:t>de</w:t>
      </w:r>
      <w:r>
        <w:rPr>
          <w:color w:val="231F20"/>
          <w:spacing w:val="-10"/>
          <w:w w:val="105"/>
        </w:rPr>
        <w:t> </w:t>
      </w:r>
      <w:r>
        <w:rPr>
          <w:color w:val="231F20"/>
          <w:w w:val="105"/>
        </w:rPr>
        <w:t>centros</w:t>
      </w:r>
      <w:r>
        <w:rPr>
          <w:color w:val="231F20"/>
          <w:spacing w:val="-10"/>
          <w:w w:val="105"/>
        </w:rPr>
        <w:t> </w:t>
      </w:r>
      <w:r>
        <w:rPr>
          <w:color w:val="231F20"/>
          <w:w w:val="105"/>
        </w:rPr>
        <w:t>de</w:t>
      </w:r>
      <w:r>
        <w:rPr>
          <w:color w:val="231F20"/>
          <w:spacing w:val="-10"/>
          <w:w w:val="105"/>
        </w:rPr>
        <w:t> </w:t>
      </w:r>
      <w:r>
        <w:rPr>
          <w:color w:val="231F20"/>
          <w:w w:val="105"/>
        </w:rPr>
        <w:t>detención</w:t>
      </w:r>
      <w:r>
        <w:rPr>
          <w:color w:val="231F20"/>
          <w:spacing w:val="-10"/>
          <w:w w:val="105"/>
        </w:rPr>
        <w:t> </w:t>
      </w:r>
      <w:r>
        <w:rPr>
          <w:color w:val="231F20"/>
          <w:w w:val="105"/>
        </w:rPr>
        <w:t>para</w:t>
      </w:r>
      <w:r>
        <w:rPr>
          <w:color w:val="231F20"/>
          <w:spacing w:val="-10"/>
          <w:w w:val="105"/>
        </w:rPr>
        <w:t> </w:t>
      </w:r>
      <w:r>
        <w:rPr>
          <w:color w:val="231F20"/>
          <w:w w:val="105"/>
        </w:rPr>
        <w:t>inmigrantes</w:t>
      </w:r>
      <w:r>
        <w:rPr>
          <w:color w:val="231F20"/>
          <w:spacing w:val="-10"/>
          <w:w w:val="105"/>
        </w:rPr>
        <w:t> </w:t>
      </w:r>
      <w:r>
        <w:rPr>
          <w:color w:val="231F20"/>
          <w:w w:val="105"/>
        </w:rPr>
        <w:t>no</w:t>
      </w:r>
      <w:r>
        <w:rPr>
          <w:color w:val="231F20"/>
          <w:spacing w:val="-10"/>
          <w:w w:val="105"/>
        </w:rPr>
        <w:t> </w:t>
      </w:r>
      <w:r>
        <w:rPr>
          <w:color w:val="231F20"/>
          <w:w w:val="105"/>
        </w:rPr>
        <w:t>docu- mentados,</w:t>
      </w:r>
      <w:r>
        <w:rPr>
          <w:color w:val="231F20"/>
          <w:spacing w:val="-41"/>
          <w:w w:val="105"/>
        </w:rPr>
        <w:t> </w:t>
      </w:r>
      <w:r>
        <w:rPr>
          <w:color w:val="231F20"/>
          <w:w w:val="105"/>
        </w:rPr>
        <w:t>la construcción de un muro de 700 millas y mil 800 torres de vigilancia</w:t>
      </w:r>
      <w:r>
        <w:rPr>
          <w:color w:val="231F20"/>
          <w:spacing w:val="-28"/>
          <w:w w:val="105"/>
        </w:rPr>
        <w:t> </w:t>
      </w:r>
      <w:r>
        <w:rPr>
          <w:color w:val="231F20"/>
          <w:w w:val="105"/>
        </w:rPr>
        <w:t>equipadas</w:t>
      </w:r>
      <w:r>
        <w:rPr>
          <w:color w:val="231F20"/>
          <w:spacing w:val="-28"/>
          <w:w w:val="105"/>
        </w:rPr>
        <w:t> </w:t>
      </w:r>
      <w:r>
        <w:rPr>
          <w:color w:val="231F20"/>
          <w:w w:val="105"/>
        </w:rPr>
        <w:t>con</w:t>
      </w:r>
      <w:r>
        <w:rPr>
          <w:color w:val="231F20"/>
          <w:spacing w:val="-28"/>
          <w:w w:val="105"/>
        </w:rPr>
        <w:t> </w:t>
      </w:r>
      <w:r>
        <w:rPr>
          <w:color w:val="231F20"/>
          <w:w w:val="105"/>
        </w:rPr>
        <w:t>cámaras,</w:t>
      </w:r>
      <w:r>
        <w:rPr>
          <w:color w:val="231F20"/>
          <w:spacing w:val="-32"/>
          <w:w w:val="105"/>
        </w:rPr>
        <w:t> </w:t>
      </w:r>
      <w:r>
        <w:rPr>
          <w:color w:val="231F20"/>
          <w:w w:val="105"/>
        </w:rPr>
        <w:t>sensores</w:t>
      </w:r>
      <w:r>
        <w:rPr>
          <w:color w:val="231F20"/>
          <w:spacing w:val="-28"/>
          <w:w w:val="105"/>
        </w:rPr>
        <w:t> </w:t>
      </w:r>
      <w:r>
        <w:rPr>
          <w:color w:val="231F20"/>
          <w:w w:val="105"/>
        </w:rPr>
        <w:t>y</w:t>
      </w:r>
      <w:r>
        <w:rPr>
          <w:color w:val="231F20"/>
          <w:spacing w:val="-28"/>
          <w:w w:val="105"/>
        </w:rPr>
        <w:t> </w:t>
      </w:r>
      <w:r>
        <w:rPr>
          <w:color w:val="231F20"/>
          <w:w w:val="105"/>
        </w:rPr>
        <w:t>rastreadores</w:t>
      </w:r>
      <w:r>
        <w:rPr>
          <w:color w:val="231F20"/>
          <w:spacing w:val="-28"/>
          <w:w w:val="105"/>
        </w:rPr>
        <w:t> </w:t>
      </w:r>
      <w:r>
        <w:rPr>
          <w:color w:val="231F20"/>
          <w:w w:val="105"/>
        </w:rPr>
        <w:t>para</w:t>
      </w:r>
      <w:r>
        <w:rPr>
          <w:color w:val="231F20"/>
          <w:spacing w:val="-28"/>
          <w:w w:val="105"/>
        </w:rPr>
        <w:t> </w:t>
      </w:r>
      <w:r>
        <w:rPr>
          <w:color w:val="231F20"/>
          <w:w w:val="105"/>
        </w:rPr>
        <w:t>detectar movimiento</w:t>
      </w:r>
      <w:r>
        <w:rPr>
          <w:color w:val="231F20"/>
          <w:spacing w:val="-15"/>
          <w:w w:val="105"/>
        </w:rPr>
        <w:t> </w:t>
      </w:r>
      <w:r>
        <w:rPr>
          <w:color w:val="231F20"/>
          <w:w w:val="105"/>
        </w:rPr>
        <w:t>(Anguiano</w:t>
      </w:r>
      <w:r>
        <w:rPr>
          <w:color w:val="231F20"/>
          <w:spacing w:val="-15"/>
          <w:w w:val="105"/>
        </w:rPr>
        <w:t> </w:t>
      </w:r>
      <w:r>
        <w:rPr>
          <w:color w:val="231F20"/>
          <w:w w:val="105"/>
        </w:rPr>
        <w:t>y</w:t>
      </w:r>
      <w:r>
        <w:rPr>
          <w:color w:val="231F20"/>
          <w:spacing w:val="-19"/>
          <w:w w:val="105"/>
        </w:rPr>
        <w:t> </w:t>
      </w:r>
      <w:r>
        <w:rPr>
          <w:color w:val="231F20"/>
          <w:spacing w:val="-5"/>
          <w:w w:val="105"/>
        </w:rPr>
        <w:t>Trejo,</w:t>
      </w:r>
      <w:r>
        <w:rPr>
          <w:color w:val="231F20"/>
          <w:spacing w:val="-20"/>
          <w:w w:val="105"/>
        </w:rPr>
        <w:t> </w:t>
      </w:r>
      <w:r>
        <w:rPr>
          <w:color w:val="231F20"/>
          <w:w w:val="105"/>
        </w:rPr>
        <w:t>2007).</w:t>
      </w:r>
    </w:p>
    <w:p>
      <w:pPr>
        <w:pStyle w:val="BodyText"/>
        <w:spacing w:line="261" w:lineRule="auto" w:before="1"/>
        <w:ind w:left="1723" w:right="1828" w:firstLine="567"/>
        <w:jc w:val="right"/>
      </w:pPr>
      <w:r>
        <w:rPr>
          <w:color w:val="231F20"/>
          <w:w w:val="105"/>
        </w:rPr>
        <w:t>Estas</w:t>
      </w:r>
      <w:r>
        <w:rPr>
          <w:color w:val="231F20"/>
          <w:spacing w:val="-10"/>
          <w:w w:val="105"/>
        </w:rPr>
        <w:t> </w:t>
      </w:r>
      <w:r>
        <w:rPr>
          <w:color w:val="231F20"/>
          <w:w w:val="105"/>
        </w:rPr>
        <w:t>medidas</w:t>
      </w:r>
      <w:r>
        <w:rPr>
          <w:color w:val="231F20"/>
          <w:spacing w:val="-10"/>
          <w:w w:val="105"/>
        </w:rPr>
        <w:t> </w:t>
      </w:r>
      <w:r>
        <w:rPr>
          <w:color w:val="231F20"/>
          <w:w w:val="105"/>
        </w:rPr>
        <w:t>aunque</w:t>
      </w:r>
      <w:r>
        <w:rPr>
          <w:color w:val="231F20"/>
          <w:spacing w:val="-10"/>
          <w:w w:val="105"/>
        </w:rPr>
        <w:t> </w:t>
      </w:r>
      <w:r>
        <w:rPr>
          <w:color w:val="231F20"/>
          <w:w w:val="105"/>
        </w:rPr>
        <w:t>ampliaron</w:t>
      </w:r>
      <w:r>
        <w:rPr>
          <w:color w:val="231F20"/>
          <w:spacing w:val="-10"/>
          <w:w w:val="105"/>
        </w:rPr>
        <w:t> </w:t>
      </w:r>
      <w:r>
        <w:rPr>
          <w:color w:val="231F20"/>
          <w:w w:val="105"/>
        </w:rPr>
        <w:t>las</w:t>
      </w:r>
      <w:r>
        <w:rPr>
          <w:color w:val="231F20"/>
          <w:spacing w:val="-10"/>
          <w:w w:val="105"/>
        </w:rPr>
        <w:t> </w:t>
      </w:r>
      <w:r>
        <w:rPr>
          <w:color w:val="231F20"/>
          <w:w w:val="105"/>
        </w:rPr>
        <w:t>dificultades</w:t>
      </w:r>
      <w:r>
        <w:rPr>
          <w:color w:val="231F20"/>
          <w:spacing w:val="-10"/>
          <w:w w:val="105"/>
        </w:rPr>
        <w:t> </w:t>
      </w:r>
      <w:r>
        <w:rPr>
          <w:color w:val="231F20"/>
          <w:w w:val="105"/>
        </w:rPr>
        <w:t>para</w:t>
      </w:r>
      <w:r>
        <w:rPr>
          <w:color w:val="231F20"/>
          <w:spacing w:val="-10"/>
          <w:w w:val="105"/>
        </w:rPr>
        <w:t> </w:t>
      </w:r>
      <w:r>
        <w:rPr>
          <w:color w:val="231F20"/>
          <w:w w:val="105"/>
        </w:rPr>
        <w:t>los</w:t>
      </w:r>
      <w:r>
        <w:rPr>
          <w:color w:val="231F20"/>
          <w:spacing w:val="-10"/>
          <w:w w:val="105"/>
        </w:rPr>
        <w:t> </w:t>
      </w:r>
      <w:r>
        <w:rPr>
          <w:color w:val="231F20"/>
          <w:w w:val="105"/>
        </w:rPr>
        <w:t>migran-</w:t>
      </w:r>
      <w:r>
        <w:rPr>
          <w:color w:val="231F20"/>
          <w:w w:val="96"/>
        </w:rPr>
        <w:t> </w:t>
      </w:r>
      <w:r>
        <w:rPr>
          <w:color w:val="231F20"/>
          <w:w w:val="105"/>
        </w:rPr>
        <w:t>tes</w:t>
      </w:r>
      <w:r>
        <w:rPr>
          <w:color w:val="231F20"/>
          <w:spacing w:val="-9"/>
          <w:w w:val="105"/>
        </w:rPr>
        <w:t> </w:t>
      </w:r>
      <w:r>
        <w:rPr>
          <w:color w:val="231F20"/>
          <w:w w:val="105"/>
        </w:rPr>
        <w:t>que</w:t>
      </w:r>
      <w:r>
        <w:rPr>
          <w:color w:val="231F20"/>
          <w:spacing w:val="-9"/>
          <w:w w:val="105"/>
        </w:rPr>
        <w:t> </w:t>
      </w:r>
      <w:r>
        <w:rPr>
          <w:color w:val="231F20"/>
          <w:w w:val="105"/>
        </w:rPr>
        <w:t>intentan</w:t>
      </w:r>
      <w:r>
        <w:rPr>
          <w:color w:val="231F20"/>
          <w:spacing w:val="-9"/>
          <w:w w:val="105"/>
        </w:rPr>
        <w:t> </w:t>
      </w:r>
      <w:r>
        <w:rPr>
          <w:color w:val="231F20"/>
          <w:w w:val="105"/>
        </w:rPr>
        <w:t>cruzar</w:t>
      </w:r>
      <w:r>
        <w:rPr>
          <w:color w:val="231F20"/>
          <w:spacing w:val="-9"/>
          <w:w w:val="105"/>
        </w:rPr>
        <w:t> </w:t>
      </w:r>
      <w:r>
        <w:rPr>
          <w:color w:val="231F20"/>
          <w:w w:val="105"/>
        </w:rPr>
        <w:t>la</w:t>
      </w:r>
      <w:r>
        <w:rPr>
          <w:color w:val="231F20"/>
          <w:spacing w:val="-9"/>
          <w:w w:val="105"/>
        </w:rPr>
        <w:t> </w:t>
      </w:r>
      <w:r>
        <w:rPr>
          <w:color w:val="231F20"/>
          <w:w w:val="105"/>
        </w:rPr>
        <w:t>frontera</w:t>
      </w:r>
      <w:r>
        <w:rPr>
          <w:color w:val="231F20"/>
          <w:spacing w:val="-9"/>
          <w:w w:val="105"/>
        </w:rPr>
        <w:t> </w:t>
      </w:r>
      <w:r>
        <w:rPr>
          <w:color w:val="231F20"/>
          <w:w w:val="105"/>
        </w:rPr>
        <w:t>en</w:t>
      </w:r>
      <w:r>
        <w:rPr>
          <w:color w:val="231F20"/>
          <w:spacing w:val="-9"/>
          <w:w w:val="105"/>
        </w:rPr>
        <w:t> </w:t>
      </w:r>
      <w:r>
        <w:rPr>
          <w:color w:val="231F20"/>
          <w:w w:val="105"/>
        </w:rPr>
        <w:t>busca</w:t>
      </w:r>
      <w:r>
        <w:rPr>
          <w:color w:val="231F20"/>
          <w:spacing w:val="-9"/>
          <w:w w:val="105"/>
        </w:rPr>
        <w:t> </w:t>
      </w:r>
      <w:r>
        <w:rPr>
          <w:color w:val="231F20"/>
          <w:w w:val="105"/>
        </w:rPr>
        <w:t>del</w:t>
      </w:r>
      <w:r>
        <w:rPr>
          <w:color w:val="231F20"/>
          <w:spacing w:val="-9"/>
          <w:w w:val="105"/>
        </w:rPr>
        <w:t> </w:t>
      </w:r>
      <w:r>
        <w:rPr>
          <w:color w:val="231F20"/>
          <w:w w:val="105"/>
        </w:rPr>
        <w:t>llamado</w:t>
      </w:r>
      <w:r>
        <w:rPr>
          <w:color w:val="231F20"/>
          <w:spacing w:val="-9"/>
          <w:w w:val="105"/>
        </w:rPr>
        <w:t> </w:t>
      </w:r>
      <w:r>
        <w:rPr>
          <w:rFonts w:ascii="Arial" w:hAnsi="Arial"/>
          <w:i/>
          <w:color w:val="231F20"/>
          <w:w w:val="105"/>
        </w:rPr>
        <w:t>sueño</w:t>
      </w:r>
      <w:r>
        <w:rPr>
          <w:rFonts w:ascii="Arial" w:hAnsi="Arial"/>
          <w:i/>
          <w:color w:val="231F20"/>
          <w:spacing w:val="-11"/>
          <w:w w:val="105"/>
        </w:rPr>
        <w:t> </w:t>
      </w:r>
      <w:r>
        <w:rPr>
          <w:rFonts w:ascii="Arial" w:hAnsi="Arial"/>
          <w:i/>
          <w:color w:val="231F20"/>
          <w:w w:val="105"/>
        </w:rPr>
        <w:t>america-</w:t>
      </w:r>
      <w:r>
        <w:rPr>
          <w:rFonts w:ascii="Arial" w:hAnsi="Arial"/>
          <w:i/>
          <w:color w:val="231F20"/>
          <w:w w:val="96"/>
        </w:rPr>
        <w:t> </w:t>
      </w:r>
      <w:r>
        <w:rPr>
          <w:rFonts w:ascii="Arial" w:hAnsi="Arial"/>
          <w:i/>
          <w:color w:val="231F20"/>
          <w:w w:val="105"/>
        </w:rPr>
        <w:t>no, </w:t>
      </w:r>
      <w:r>
        <w:rPr>
          <w:color w:val="231F20"/>
          <w:w w:val="105"/>
        </w:rPr>
        <w:t>incidieron también en un cambio de las rutas utilizadas</w:t>
      </w:r>
      <w:r>
        <w:rPr>
          <w:color w:val="231F20"/>
          <w:spacing w:val="20"/>
          <w:w w:val="105"/>
        </w:rPr>
        <w:t> </w:t>
      </w:r>
      <w:r>
        <w:rPr>
          <w:color w:val="231F20"/>
          <w:w w:val="105"/>
        </w:rPr>
        <w:t>para</w:t>
      </w:r>
      <w:r>
        <w:rPr>
          <w:color w:val="231F20"/>
          <w:spacing w:val="2"/>
          <w:w w:val="105"/>
        </w:rPr>
        <w:t> </w:t>
      </w:r>
      <w:r>
        <w:rPr>
          <w:color w:val="231F20"/>
          <w:w w:val="105"/>
        </w:rPr>
        <w:t>cruzar</w:t>
      </w:r>
      <w:r>
        <w:rPr>
          <w:color w:val="231F20"/>
          <w:w w:val="99"/>
        </w:rPr>
        <w:t> </w:t>
      </w:r>
      <w:r>
        <w:rPr>
          <w:color w:val="231F20"/>
          <w:w w:val="105"/>
        </w:rPr>
        <w:t>al</w:t>
      </w:r>
      <w:r>
        <w:rPr>
          <w:color w:val="231F20"/>
          <w:spacing w:val="-9"/>
          <w:w w:val="105"/>
        </w:rPr>
        <w:t> </w:t>
      </w:r>
      <w:r>
        <w:rPr>
          <w:color w:val="231F20"/>
          <w:w w:val="105"/>
        </w:rPr>
        <w:t>vecino</w:t>
      </w:r>
      <w:r>
        <w:rPr>
          <w:color w:val="231F20"/>
          <w:spacing w:val="-9"/>
          <w:w w:val="105"/>
        </w:rPr>
        <w:t> </w:t>
      </w:r>
      <w:r>
        <w:rPr>
          <w:color w:val="231F20"/>
          <w:w w:val="105"/>
        </w:rPr>
        <w:t>país,</w:t>
      </w:r>
      <w:r>
        <w:rPr>
          <w:color w:val="231F20"/>
          <w:spacing w:val="-15"/>
          <w:w w:val="105"/>
        </w:rPr>
        <w:t> </w:t>
      </w:r>
      <w:r>
        <w:rPr>
          <w:color w:val="231F20"/>
          <w:w w:val="105"/>
        </w:rPr>
        <w:t>debido</w:t>
      </w:r>
      <w:r>
        <w:rPr>
          <w:color w:val="231F20"/>
          <w:spacing w:val="-9"/>
          <w:w w:val="105"/>
        </w:rPr>
        <w:t> </w:t>
      </w:r>
      <w:r>
        <w:rPr>
          <w:color w:val="231F20"/>
          <w:w w:val="105"/>
        </w:rPr>
        <w:t>a</w:t>
      </w:r>
      <w:r>
        <w:rPr>
          <w:color w:val="231F20"/>
          <w:spacing w:val="-9"/>
          <w:w w:val="105"/>
        </w:rPr>
        <w:t> </w:t>
      </w:r>
      <w:r>
        <w:rPr>
          <w:color w:val="231F20"/>
          <w:w w:val="105"/>
        </w:rPr>
        <w:t>que</w:t>
      </w:r>
      <w:r>
        <w:rPr>
          <w:color w:val="231F20"/>
          <w:spacing w:val="-9"/>
          <w:w w:val="105"/>
        </w:rPr>
        <w:t> </w:t>
      </w:r>
      <w:r>
        <w:rPr>
          <w:color w:val="231F20"/>
          <w:w w:val="105"/>
        </w:rPr>
        <w:t>las</w:t>
      </w:r>
      <w:r>
        <w:rPr>
          <w:color w:val="231F20"/>
          <w:spacing w:val="-9"/>
          <w:w w:val="105"/>
        </w:rPr>
        <w:t> </w:t>
      </w:r>
      <w:r>
        <w:rPr>
          <w:color w:val="231F20"/>
          <w:w w:val="105"/>
        </w:rPr>
        <w:t>zonas</w:t>
      </w:r>
      <w:r>
        <w:rPr>
          <w:color w:val="231F20"/>
          <w:spacing w:val="-9"/>
          <w:w w:val="105"/>
        </w:rPr>
        <w:t> </w:t>
      </w:r>
      <w:r>
        <w:rPr>
          <w:color w:val="231F20"/>
          <w:w w:val="105"/>
        </w:rPr>
        <w:t>mayormente</w:t>
      </w:r>
      <w:r>
        <w:rPr>
          <w:color w:val="231F20"/>
          <w:spacing w:val="-9"/>
          <w:w w:val="105"/>
        </w:rPr>
        <w:t> </w:t>
      </w:r>
      <w:r>
        <w:rPr>
          <w:color w:val="231F20"/>
          <w:w w:val="105"/>
        </w:rPr>
        <w:t>vigiladas</w:t>
      </w:r>
      <w:r>
        <w:rPr>
          <w:color w:val="231F20"/>
          <w:spacing w:val="-9"/>
          <w:w w:val="105"/>
        </w:rPr>
        <w:t> </w:t>
      </w:r>
      <w:r>
        <w:rPr>
          <w:color w:val="231F20"/>
          <w:w w:val="105"/>
        </w:rPr>
        <w:t>dejaron</w:t>
      </w:r>
      <w:r>
        <w:rPr>
          <w:color w:val="231F20"/>
          <w:spacing w:val="-9"/>
          <w:w w:val="105"/>
        </w:rPr>
        <w:t> </w:t>
      </w:r>
      <w:r>
        <w:rPr>
          <w:color w:val="231F20"/>
          <w:w w:val="105"/>
        </w:rPr>
        <w:t>de</w:t>
      </w:r>
      <w:r>
        <w:rPr>
          <w:color w:val="231F20"/>
          <w:w w:val="108"/>
        </w:rPr>
        <w:t> </w:t>
      </w:r>
      <w:r>
        <w:rPr>
          <w:color w:val="231F20"/>
          <w:w w:val="105"/>
        </w:rPr>
        <w:t>representar</w:t>
      </w:r>
      <w:r>
        <w:rPr>
          <w:color w:val="231F20"/>
          <w:spacing w:val="-24"/>
          <w:w w:val="105"/>
        </w:rPr>
        <w:t> </w:t>
      </w:r>
      <w:r>
        <w:rPr>
          <w:color w:val="231F20"/>
          <w:w w:val="105"/>
        </w:rPr>
        <w:t>los</w:t>
      </w:r>
      <w:r>
        <w:rPr>
          <w:color w:val="231F20"/>
          <w:spacing w:val="-24"/>
          <w:w w:val="105"/>
        </w:rPr>
        <w:t> </w:t>
      </w:r>
      <w:r>
        <w:rPr>
          <w:color w:val="231F20"/>
          <w:w w:val="105"/>
        </w:rPr>
        <w:t>principales</w:t>
      </w:r>
      <w:r>
        <w:rPr>
          <w:color w:val="231F20"/>
          <w:spacing w:val="-24"/>
          <w:w w:val="105"/>
        </w:rPr>
        <w:t> </w:t>
      </w:r>
      <w:r>
        <w:rPr>
          <w:color w:val="231F20"/>
          <w:w w:val="105"/>
        </w:rPr>
        <w:t>puntos</w:t>
      </w:r>
      <w:r>
        <w:rPr>
          <w:color w:val="231F20"/>
          <w:spacing w:val="-24"/>
          <w:w w:val="105"/>
        </w:rPr>
        <w:t> </w:t>
      </w:r>
      <w:r>
        <w:rPr>
          <w:color w:val="231F20"/>
          <w:w w:val="105"/>
        </w:rPr>
        <w:t>de</w:t>
      </w:r>
      <w:r>
        <w:rPr>
          <w:color w:val="231F20"/>
          <w:spacing w:val="-24"/>
          <w:w w:val="105"/>
        </w:rPr>
        <w:t> </w:t>
      </w:r>
      <w:r>
        <w:rPr>
          <w:color w:val="231F20"/>
          <w:w w:val="105"/>
        </w:rPr>
        <w:t>cruce,</w:t>
      </w:r>
      <w:r>
        <w:rPr>
          <w:color w:val="231F20"/>
          <w:spacing w:val="-29"/>
          <w:w w:val="105"/>
        </w:rPr>
        <w:t> </w:t>
      </w:r>
      <w:r>
        <w:rPr>
          <w:color w:val="231F20"/>
          <w:w w:val="105"/>
        </w:rPr>
        <w:t>para</w:t>
      </w:r>
      <w:r>
        <w:rPr>
          <w:color w:val="231F20"/>
          <w:spacing w:val="-24"/>
          <w:w w:val="105"/>
        </w:rPr>
        <w:t> </w:t>
      </w:r>
      <w:r>
        <w:rPr>
          <w:color w:val="231F20"/>
          <w:w w:val="105"/>
        </w:rPr>
        <w:t>entonces</w:t>
      </w:r>
      <w:r>
        <w:rPr>
          <w:color w:val="231F20"/>
          <w:spacing w:val="-24"/>
          <w:w w:val="105"/>
        </w:rPr>
        <w:t> </w:t>
      </w:r>
      <w:r>
        <w:rPr>
          <w:color w:val="231F20"/>
          <w:w w:val="105"/>
        </w:rPr>
        <w:t>sobresalieron</w:t>
      </w:r>
      <w:r>
        <w:rPr>
          <w:color w:val="231F20"/>
          <w:w w:val="107"/>
        </w:rPr>
        <w:t> </w:t>
      </w:r>
      <w:r>
        <w:rPr>
          <w:color w:val="231F20"/>
          <w:w w:val="105"/>
        </w:rPr>
        <w:t>rutas</w:t>
      </w:r>
      <w:r>
        <w:rPr>
          <w:color w:val="231F20"/>
          <w:spacing w:val="-12"/>
          <w:w w:val="105"/>
        </w:rPr>
        <w:t> </w:t>
      </w:r>
      <w:r>
        <w:rPr>
          <w:color w:val="231F20"/>
          <w:w w:val="105"/>
        </w:rPr>
        <w:t>menos</w:t>
      </w:r>
      <w:r>
        <w:rPr>
          <w:color w:val="231F20"/>
          <w:spacing w:val="-12"/>
          <w:w w:val="105"/>
        </w:rPr>
        <w:t> </w:t>
      </w:r>
      <w:r>
        <w:rPr>
          <w:color w:val="231F20"/>
          <w:w w:val="105"/>
        </w:rPr>
        <w:t>pobladas,</w:t>
      </w:r>
      <w:r>
        <w:rPr>
          <w:color w:val="231F20"/>
          <w:spacing w:val="-18"/>
          <w:w w:val="105"/>
        </w:rPr>
        <w:t> </w:t>
      </w:r>
      <w:r>
        <w:rPr>
          <w:color w:val="231F20"/>
          <w:w w:val="105"/>
        </w:rPr>
        <w:t>con</w:t>
      </w:r>
      <w:r>
        <w:rPr>
          <w:color w:val="231F20"/>
          <w:spacing w:val="-12"/>
          <w:w w:val="105"/>
        </w:rPr>
        <w:t> </w:t>
      </w:r>
      <w:r>
        <w:rPr>
          <w:color w:val="231F20"/>
          <w:w w:val="105"/>
        </w:rPr>
        <w:t>menor</w:t>
      </w:r>
      <w:r>
        <w:rPr>
          <w:color w:val="231F20"/>
          <w:spacing w:val="-12"/>
          <w:w w:val="105"/>
        </w:rPr>
        <w:t> </w:t>
      </w:r>
      <w:r>
        <w:rPr>
          <w:color w:val="231F20"/>
          <w:w w:val="105"/>
        </w:rPr>
        <w:t>presencia</w:t>
      </w:r>
      <w:r>
        <w:rPr>
          <w:color w:val="231F20"/>
          <w:spacing w:val="-12"/>
          <w:w w:val="105"/>
        </w:rPr>
        <w:t> </w:t>
      </w:r>
      <w:r>
        <w:rPr>
          <w:color w:val="231F20"/>
          <w:w w:val="105"/>
        </w:rPr>
        <w:t>de</w:t>
      </w:r>
      <w:r>
        <w:rPr>
          <w:color w:val="231F20"/>
          <w:spacing w:val="-12"/>
          <w:w w:val="105"/>
        </w:rPr>
        <w:t> </w:t>
      </w:r>
      <w:r>
        <w:rPr>
          <w:color w:val="231F20"/>
          <w:w w:val="105"/>
        </w:rPr>
        <w:t>agentes,</w:t>
      </w:r>
      <w:r>
        <w:rPr>
          <w:color w:val="231F20"/>
          <w:spacing w:val="-18"/>
          <w:w w:val="105"/>
        </w:rPr>
        <w:t> </w:t>
      </w:r>
      <w:r>
        <w:rPr>
          <w:color w:val="231F20"/>
          <w:w w:val="105"/>
        </w:rPr>
        <w:t>pero</w:t>
      </w:r>
      <w:r>
        <w:rPr>
          <w:color w:val="231F20"/>
          <w:spacing w:val="-12"/>
          <w:w w:val="105"/>
        </w:rPr>
        <w:t> </w:t>
      </w:r>
      <w:r>
        <w:rPr>
          <w:color w:val="231F20"/>
          <w:w w:val="105"/>
        </w:rPr>
        <w:t>caracteri-</w:t>
      </w:r>
      <w:r>
        <w:rPr>
          <w:color w:val="231F20"/>
          <w:w w:val="96"/>
        </w:rPr>
        <w:t> </w:t>
      </w:r>
      <w:r>
        <w:rPr>
          <w:color w:val="231F20"/>
          <w:w w:val="105"/>
        </w:rPr>
        <w:t>zadas</w:t>
      </w:r>
      <w:r>
        <w:rPr>
          <w:color w:val="231F20"/>
          <w:spacing w:val="-22"/>
          <w:w w:val="105"/>
        </w:rPr>
        <w:t> </w:t>
      </w:r>
      <w:r>
        <w:rPr>
          <w:color w:val="231F20"/>
          <w:w w:val="105"/>
        </w:rPr>
        <w:t>por</w:t>
      </w:r>
      <w:r>
        <w:rPr>
          <w:color w:val="231F20"/>
          <w:spacing w:val="-22"/>
          <w:w w:val="105"/>
        </w:rPr>
        <w:t> </w:t>
      </w:r>
      <w:r>
        <w:rPr>
          <w:color w:val="231F20"/>
          <w:w w:val="105"/>
        </w:rPr>
        <w:t>tratarse</w:t>
      </w:r>
      <w:r>
        <w:rPr>
          <w:color w:val="231F20"/>
          <w:spacing w:val="-22"/>
          <w:w w:val="105"/>
        </w:rPr>
        <w:t> </w:t>
      </w:r>
      <w:r>
        <w:rPr>
          <w:color w:val="231F20"/>
          <w:w w:val="105"/>
        </w:rPr>
        <w:t>de</w:t>
      </w:r>
      <w:r>
        <w:rPr>
          <w:color w:val="231F20"/>
          <w:spacing w:val="-22"/>
          <w:w w:val="105"/>
        </w:rPr>
        <w:t> </w:t>
      </w:r>
      <w:r>
        <w:rPr>
          <w:color w:val="231F20"/>
          <w:w w:val="105"/>
        </w:rPr>
        <w:t>espacios</w:t>
      </w:r>
      <w:r>
        <w:rPr>
          <w:color w:val="231F20"/>
          <w:spacing w:val="-22"/>
          <w:w w:val="105"/>
        </w:rPr>
        <w:t> </w:t>
      </w:r>
      <w:r>
        <w:rPr>
          <w:color w:val="231F20"/>
          <w:w w:val="105"/>
        </w:rPr>
        <w:t>peligrosos</w:t>
      </w:r>
      <w:r>
        <w:rPr>
          <w:color w:val="231F20"/>
          <w:spacing w:val="-22"/>
          <w:w w:val="105"/>
        </w:rPr>
        <w:t> </w:t>
      </w:r>
      <w:r>
        <w:rPr>
          <w:color w:val="231F20"/>
          <w:w w:val="105"/>
        </w:rPr>
        <w:t>e</w:t>
      </w:r>
      <w:r>
        <w:rPr>
          <w:color w:val="231F20"/>
          <w:spacing w:val="-22"/>
          <w:w w:val="105"/>
        </w:rPr>
        <w:t> </w:t>
      </w:r>
      <w:r>
        <w:rPr>
          <w:color w:val="231F20"/>
          <w:w w:val="105"/>
        </w:rPr>
        <w:t>inhóspitos</w:t>
      </w:r>
      <w:r>
        <w:rPr>
          <w:color w:val="231F20"/>
          <w:spacing w:val="-22"/>
          <w:w w:val="105"/>
        </w:rPr>
        <w:t> </w:t>
      </w:r>
      <w:r>
        <w:rPr>
          <w:color w:val="231F20"/>
          <w:w w:val="105"/>
        </w:rPr>
        <w:t>(Anguiano,</w:t>
      </w:r>
      <w:r>
        <w:rPr>
          <w:color w:val="231F20"/>
          <w:spacing w:val="-27"/>
          <w:w w:val="105"/>
        </w:rPr>
        <w:t> </w:t>
      </w:r>
      <w:r>
        <w:rPr>
          <w:color w:val="231F20"/>
          <w:w w:val="105"/>
        </w:rPr>
        <w:t>2013).</w:t>
      </w:r>
      <w:r>
        <w:rPr>
          <w:color w:val="231F20"/>
          <w:w w:val="101"/>
        </w:rPr>
        <w:t> </w:t>
      </w:r>
      <w:r>
        <w:rPr>
          <w:color w:val="231F20"/>
          <w:w w:val="105"/>
        </w:rPr>
        <w:t>Si bien, el gobierno estadounidense emprendió una</w:t>
      </w:r>
      <w:r>
        <w:rPr>
          <w:color w:val="231F20"/>
          <w:spacing w:val="-15"/>
          <w:w w:val="105"/>
        </w:rPr>
        <w:t> </w:t>
      </w:r>
      <w:r>
        <w:rPr>
          <w:color w:val="231F20"/>
          <w:w w:val="105"/>
        </w:rPr>
        <w:t>estrategia</w:t>
      </w:r>
      <w:r>
        <w:rPr>
          <w:color w:val="231F20"/>
          <w:spacing w:val="-2"/>
          <w:w w:val="105"/>
        </w:rPr>
        <w:t> </w:t>
      </w:r>
      <w:r>
        <w:rPr>
          <w:color w:val="231F20"/>
          <w:w w:val="105"/>
        </w:rPr>
        <w:t>de</w:t>
      </w:r>
      <w:r>
        <w:rPr>
          <w:color w:val="231F20"/>
          <w:w w:val="108"/>
        </w:rPr>
        <w:t> </w:t>
      </w:r>
      <w:r>
        <w:rPr>
          <w:color w:val="231F20"/>
          <w:w w:val="105"/>
        </w:rPr>
        <w:t>vigilancia</w:t>
      </w:r>
      <w:r>
        <w:rPr>
          <w:color w:val="231F20"/>
          <w:spacing w:val="-16"/>
          <w:w w:val="105"/>
        </w:rPr>
        <w:t> </w:t>
      </w:r>
      <w:r>
        <w:rPr>
          <w:color w:val="231F20"/>
          <w:w w:val="105"/>
        </w:rPr>
        <w:t>y</w:t>
      </w:r>
      <w:r>
        <w:rPr>
          <w:color w:val="231F20"/>
          <w:spacing w:val="-16"/>
          <w:w w:val="105"/>
        </w:rPr>
        <w:t> </w:t>
      </w:r>
      <w:r>
        <w:rPr>
          <w:color w:val="231F20"/>
          <w:w w:val="105"/>
        </w:rPr>
        <w:t>control</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w w:val="105"/>
        </w:rPr>
        <w:t>frontera</w:t>
      </w:r>
      <w:r>
        <w:rPr>
          <w:color w:val="231F20"/>
          <w:spacing w:val="-16"/>
          <w:w w:val="105"/>
        </w:rPr>
        <w:t> </w:t>
      </w:r>
      <w:r>
        <w:rPr>
          <w:color w:val="231F20"/>
          <w:w w:val="105"/>
        </w:rPr>
        <w:t>sur</w:t>
      </w:r>
      <w:r>
        <w:rPr>
          <w:color w:val="231F20"/>
          <w:spacing w:val="-16"/>
          <w:w w:val="105"/>
        </w:rPr>
        <w:t> </w:t>
      </w:r>
      <w:r>
        <w:rPr>
          <w:color w:val="231F20"/>
          <w:w w:val="105"/>
        </w:rPr>
        <w:t>con</w:t>
      </w:r>
      <w:r>
        <w:rPr>
          <w:color w:val="231F20"/>
          <w:spacing w:val="-16"/>
          <w:w w:val="105"/>
        </w:rPr>
        <w:t> </w:t>
      </w:r>
      <w:r>
        <w:rPr>
          <w:color w:val="231F20"/>
          <w:w w:val="105"/>
        </w:rPr>
        <w:t>México</w:t>
      </w:r>
      <w:r>
        <w:rPr>
          <w:color w:val="231F20"/>
          <w:spacing w:val="-16"/>
          <w:w w:val="105"/>
        </w:rPr>
        <w:t> </w:t>
      </w:r>
      <w:r>
        <w:rPr>
          <w:color w:val="231F20"/>
          <w:w w:val="105"/>
        </w:rPr>
        <w:t>desde</w:t>
      </w:r>
      <w:r>
        <w:rPr>
          <w:color w:val="231F20"/>
          <w:spacing w:val="-16"/>
          <w:w w:val="105"/>
        </w:rPr>
        <w:t> </w:t>
      </w:r>
      <w:r>
        <w:rPr>
          <w:color w:val="231F20"/>
          <w:w w:val="105"/>
        </w:rPr>
        <w:t>1993,</w:t>
      </w:r>
      <w:r>
        <w:rPr>
          <w:color w:val="231F20"/>
          <w:spacing w:val="-22"/>
          <w:w w:val="105"/>
        </w:rPr>
        <w:t> </w:t>
      </w:r>
      <w:r>
        <w:rPr>
          <w:color w:val="231F20"/>
          <w:w w:val="105"/>
        </w:rPr>
        <w:t>cabe</w:t>
      </w:r>
      <w:r>
        <w:rPr>
          <w:color w:val="231F20"/>
          <w:spacing w:val="-16"/>
          <w:w w:val="105"/>
        </w:rPr>
        <w:t> </w:t>
      </w:r>
      <w:r>
        <w:rPr>
          <w:color w:val="231F20"/>
          <w:w w:val="105"/>
        </w:rPr>
        <w:t>decir</w:t>
      </w:r>
      <w:r>
        <w:rPr>
          <w:color w:val="231F20"/>
          <w:w w:val="106"/>
        </w:rPr>
        <w:t> </w:t>
      </w:r>
      <w:r>
        <w:rPr>
          <w:color w:val="231F20"/>
          <w:w w:val="105"/>
        </w:rPr>
        <w:t>que</w:t>
      </w:r>
      <w:r>
        <w:rPr>
          <w:color w:val="231F20"/>
          <w:spacing w:val="-5"/>
          <w:w w:val="105"/>
        </w:rPr>
        <w:t> </w:t>
      </w:r>
      <w:r>
        <w:rPr>
          <w:color w:val="231F20"/>
          <w:w w:val="105"/>
        </w:rPr>
        <w:t>hoy</w:t>
      </w:r>
      <w:r>
        <w:rPr>
          <w:color w:val="231F20"/>
          <w:spacing w:val="-5"/>
          <w:w w:val="105"/>
        </w:rPr>
        <w:t> </w:t>
      </w:r>
      <w:r>
        <w:rPr>
          <w:color w:val="231F20"/>
          <w:w w:val="105"/>
        </w:rPr>
        <w:t>en</w:t>
      </w:r>
      <w:r>
        <w:rPr>
          <w:color w:val="231F20"/>
          <w:spacing w:val="-5"/>
          <w:w w:val="105"/>
        </w:rPr>
        <w:t> </w:t>
      </w:r>
      <w:r>
        <w:rPr>
          <w:color w:val="231F20"/>
          <w:w w:val="105"/>
        </w:rPr>
        <w:t>día</w:t>
      </w:r>
      <w:r>
        <w:rPr>
          <w:color w:val="231F20"/>
          <w:spacing w:val="-5"/>
          <w:w w:val="105"/>
        </w:rPr>
        <w:t> </w:t>
      </w:r>
      <w:r>
        <w:rPr>
          <w:color w:val="231F20"/>
          <w:w w:val="105"/>
        </w:rPr>
        <w:t>el</w:t>
      </w:r>
      <w:r>
        <w:rPr>
          <w:color w:val="231F20"/>
          <w:spacing w:val="-5"/>
          <w:w w:val="105"/>
        </w:rPr>
        <w:t> </w:t>
      </w:r>
      <w:r>
        <w:rPr>
          <w:color w:val="231F20"/>
          <w:w w:val="105"/>
        </w:rPr>
        <w:t>escenario</w:t>
      </w:r>
      <w:r>
        <w:rPr>
          <w:color w:val="231F20"/>
          <w:spacing w:val="-5"/>
          <w:w w:val="105"/>
        </w:rPr>
        <w:t> </w:t>
      </w:r>
      <w:r>
        <w:rPr>
          <w:color w:val="231F20"/>
          <w:w w:val="105"/>
        </w:rPr>
        <w:t>de</w:t>
      </w:r>
      <w:r>
        <w:rPr>
          <w:color w:val="231F20"/>
          <w:spacing w:val="-5"/>
          <w:w w:val="105"/>
        </w:rPr>
        <w:t> </w:t>
      </w:r>
      <w:r>
        <w:rPr>
          <w:color w:val="231F20"/>
          <w:w w:val="105"/>
        </w:rPr>
        <w:t>política</w:t>
      </w:r>
      <w:r>
        <w:rPr>
          <w:color w:val="231F20"/>
          <w:spacing w:val="-5"/>
          <w:w w:val="105"/>
        </w:rPr>
        <w:t> </w:t>
      </w:r>
      <w:r>
        <w:rPr>
          <w:color w:val="231F20"/>
          <w:w w:val="105"/>
        </w:rPr>
        <w:t>migratoria</w:t>
      </w:r>
      <w:r>
        <w:rPr>
          <w:color w:val="231F20"/>
          <w:spacing w:val="-5"/>
          <w:w w:val="105"/>
        </w:rPr>
        <w:t> </w:t>
      </w:r>
      <w:r>
        <w:rPr>
          <w:color w:val="231F20"/>
          <w:w w:val="105"/>
        </w:rPr>
        <w:t>y</w:t>
      </w:r>
      <w:r>
        <w:rPr>
          <w:color w:val="231F20"/>
          <w:spacing w:val="-5"/>
          <w:w w:val="105"/>
        </w:rPr>
        <w:t> </w:t>
      </w:r>
      <w:r>
        <w:rPr>
          <w:color w:val="231F20"/>
          <w:w w:val="105"/>
        </w:rPr>
        <w:t>seguridad</w:t>
      </w:r>
      <w:r>
        <w:rPr>
          <w:color w:val="231F20"/>
          <w:spacing w:val="-5"/>
          <w:w w:val="105"/>
        </w:rPr>
        <w:t> </w:t>
      </w:r>
      <w:r>
        <w:rPr>
          <w:color w:val="231F20"/>
          <w:w w:val="105"/>
        </w:rPr>
        <w:t>fronteriza</w:t>
      </w:r>
      <w:r>
        <w:rPr>
          <w:color w:val="231F20"/>
          <w:w w:val="102"/>
        </w:rPr>
        <w:t> </w:t>
      </w:r>
      <w:r>
        <w:rPr>
          <w:color w:val="231F20"/>
          <w:w w:val="105"/>
        </w:rPr>
        <w:t>se ha recrudecido, pues por ejemplo, entre los cambios que</w:t>
      </w:r>
      <w:r>
        <w:rPr>
          <w:color w:val="231F20"/>
          <w:spacing w:val="56"/>
          <w:w w:val="105"/>
        </w:rPr>
        <w:t> </w:t>
      </w:r>
      <w:r>
        <w:rPr>
          <w:color w:val="231F20"/>
          <w:w w:val="105"/>
        </w:rPr>
        <w:t>ha</w:t>
      </w:r>
      <w:r>
        <w:rPr>
          <w:color w:val="231F20"/>
          <w:spacing w:val="6"/>
          <w:w w:val="105"/>
        </w:rPr>
        <w:t> </w:t>
      </w:r>
      <w:r>
        <w:rPr>
          <w:color w:val="231F20"/>
          <w:w w:val="105"/>
        </w:rPr>
        <w:t>venido</w:t>
      </w:r>
      <w:r>
        <w:rPr>
          <w:color w:val="231F20"/>
          <w:w w:val="106"/>
        </w:rPr>
        <w:t> </w:t>
      </w:r>
      <w:r>
        <w:rPr>
          <w:color w:val="231F20"/>
          <w:w w:val="105"/>
        </w:rPr>
        <w:t>experimentando</w:t>
      </w:r>
      <w:r>
        <w:rPr>
          <w:color w:val="231F20"/>
          <w:spacing w:val="-9"/>
          <w:w w:val="105"/>
        </w:rPr>
        <w:t> </w:t>
      </w:r>
      <w:r>
        <w:rPr>
          <w:color w:val="231F20"/>
          <w:w w:val="105"/>
        </w:rPr>
        <w:t>el</w:t>
      </w:r>
      <w:r>
        <w:rPr>
          <w:color w:val="231F20"/>
          <w:spacing w:val="-8"/>
          <w:w w:val="105"/>
        </w:rPr>
        <w:t> </w:t>
      </w:r>
      <w:r>
        <w:rPr>
          <w:color w:val="231F20"/>
          <w:w w:val="105"/>
        </w:rPr>
        <w:t>patrón</w:t>
      </w:r>
      <w:r>
        <w:rPr>
          <w:color w:val="231F20"/>
          <w:spacing w:val="-9"/>
          <w:w w:val="105"/>
        </w:rPr>
        <w:t> </w:t>
      </w:r>
      <w:r>
        <w:rPr>
          <w:color w:val="231F20"/>
          <w:w w:val="105"/>
        </w:rPr>
        <w:t>migratorio</w:t>
      </w:r>
      <w:r>
        <w:rPr>
          <w:color w:val="231F20"/>
          <w:spacing w:val="-9"/>
          <w:w w:val="105"/>
        </w:rPr>
        <w:t> </w:t>
      </w:r>
      <w:r>
        <w:rPr>
          <w:color w:val="231F20"/>
          <w:w w:val="105"/>
        </w:rPr>
        <w:t>México-Estados</w:t>
      </w:r>
      <w:r>
        <w:rPr>
          <w:color w:val="231F20"/>
          <w:spacing w:val="-9"/>
          <w:w w:val="105"/>
        </w:rPr>
        <w:t> </w:t>
      </w:r>
      <w:r>
        <w:rPr>
          <w:color w:val="231F20"/>
          <w:w w:val="105"/>
        </w:rPr>
        <w:t>Unidos</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8"/>
          <w:w w:val="105"/>
        </w:rPr>
        <w:t> </w:t>
      </w:r>
      <w:r>
        <w:rPr>
          <w:color w:val="231F20"/>
          <w:w w:val="105"/>
        </w:rPr>
        <w:t>últi-</w:t>
      </w:r>
      <w:r>
        <w:rPr>
          <w:color w:val="231F20"/>
          <w:w w:val="96"/>
        </w:rPr>
        <w:t> </w:t>
      </w:r>
      <w:r>
        <w:rPr>
          <w:color w:val="231F20"/>
          <w:w w:val="105"/>
        </w:rPr>
        <w:t>mos</w:t>
      </w:r>
      <w:r>
        <w:rPr>
          <w:color w:val="231F20"/>
          <w:spacing w:val="-9"/>
          <w:w w:val="105"/>
        </w:rPr>
        <w:t> </w:t>
      </w:r>
      <w:r>
        <w:rPr>
          <w:color w:val="231F20"/>
          <w:w w:val="105"/>
        </w:rPr>
        <w:t>seis</w:t>
      </w:r>
      <w:r>
        <w:rPr>
          <w:color w:val="231F20"/>
          <w:spacing w:val="-9"/>
          <w:w w:val="105"/>
        </w:rPr>
        <w:t> </w:t>
      </w:r>
      <w:r>
        <w:rPr>
          <w:color w:val="231F20"/>
          <w:w w:val="105"/>
        </w:rPr>
        <w:t>años,</w:t>
      </w:r>
      <w:r>
        <w:rPr>
          <w:color w:val="231F20"/>
          <w:spacing w:val="-14"/>
          <w:w w:val="105"/>
        </w:rPr>
        <w:t> </w:t>
      </w:r>
      <w:r>
        <w:rPr>
          <w:color w:val="231F20"/>
          <w:w w:val="105"/>
        </w:rPr>
        <w:t>se</w:t>
      </w:r>
      <w:r>
        <w:rPr>
          <w:color w:val="231F20"/>
          <w:spacing w:val="-9"/>
          <w:w w:val="105"/>
        </w:rPr>
        <w:t> </w:t>
      </w:r>
      <w:r>
        <w:rPr>
          <w:color w:val="231F20"/>
          <w:w w:val="105"/>
        </w:rPr>
        <w:t>advierte</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disminución</w:t>
      </w:r>
      <w:r>
        <w:rPr>
          <w:color w:val="231F20"/>
          <w:spacing w:val="-9"/>
          <w:w w:val="105"/>
        </w:rPr>
        <w:t> </w:t>
      </w:r>
      <w:r>
        <w:rPr>
          <w:color w:val="231F20"/>
          <w:w w:val="105"/>
        </w:rPr>
        <w:t>del</w:t>
      </w:r>
      <w:r>
        <w:rPr>
          <w:color w:val="231F20"/>
          <w:spacing w:val="-9"/>
          <w:w w:val="105"/>
        </w:rPr>
        <w:t> </w:t>
      </w:r>
      <w:r>
        <w:rPr>
          <w:color w:val="231F20"/>
          <w:w w:val="105"/>
        </w:rPr>
        <w:t>flujo</w:t>
      </w:r>
      <w:r>
        <w:rPr>
          <w:color w:val="231F20"/>
          <w:spacing w:val="-9"/>
          <w:w w:val="105"/>
        </w:rPr>
        <w:t> </w:t>
      </w:r>
      <w:r>
        <w:rPr>
          <w:color w:val="231F20"/>
          <w:w w:val="105"/>
        </w:rPr>
        <w:t>anual</w:t>
      </w:r>
      <w:r>
        <w:rPr>
          <w:color w:val="231F20"/>
          <w:spacing w:val="-9"/>
          <w:w w:val="105"/>
        </w:rPr>
        <w:t> </w:t>
      </w:r>
      <w:r>
        <w:rPr>
          <w:color w:val="231F20"/>
          <w:w w:val="105"/>
        </w:rPr>
        <w:t>de</w:t>
      </w:r>
      <w:r>
        <w:rPr>
          <w:color w:val="231F20"/>
          <w:spacing w:val="-9"/>
          <w:w w:val="105"/>
        </w:rPr>
        <w:t> </w:t>
      </w:r>
      <w:r>
        <w:rPr>
          <w:color w:val="231F20"/>
          <w:w w:val="105"/>
        </w:rPr>
        <w:t>migran-</w:t>
      </w:r>
      <w:r>
        <w:rPr>
          <w:color w:val="231F20"/>
          <w:w w:val="96"/>
        </w:rPr>
        <w:t> </w:t>
      </w:r>
      <w:r>
        <w:rPr>
          <w:color w:val="231F20"/>
          <w:w w:val="105"/>
        </w:rPr>
        <w:t>tes no regulares, así como del número de aprehensiones en</w:t>
      </w:r>
      <w:r>
        <w:rPr>
          <w:color w:val="231F20"/>
          <w:spacing w:val="6"/>
          <w:w w:val="105"/>
        </w:rPr>
        <w:t> </w:t>
      </w:r>
      <w:r>
        <w:rPr>
          <w:color w:val="231F20"/>
          <w:w w:val="105"/>
        </w:rPr>
        <w:t>la</w:t>
      </w:r>
      <w:r>
        <w:rPr>
          <w:color w:val="231F20"/>
          <w:spacing w:val="1"/>
          <w:w w:val="105"/>
        </w:rPr>
        <w:t> </w:t>
      </w:r>
      <w:r>
        <w:rPr>
          <w:color w:val="231F20"/>
          <w:w w:val="105"/>
        </w:rPr>
        <w:t>frontera</w:t>
      </w:r>
      <w:r>
        <w:rPr>
          <w:color w:val="231F20"/>
          <w:w w:val="96"/>
        </w:rPr>
        <w:t> </w:t>
      </w:r>
      <w:r>
        <w:rPr>
          <w:color w:val="231F20"/>
          <w:w w:val="105"/>
        </w:rPr>
        <w:t>son</w:t>
      </w:r>
      <w:r>
        <w:rPr>
          <w:color w:val="231F20"/>
          <w:spacing w:val="-17"/>
          <w:w w:val="105"/>
        </w:rPr>
        <w:t> </w:t>
      </w:r>
      <w:r>
        <w:rPr>
          <w:color w:val="231F20"/>
          <w:w w:val="105"/>
        </w:rPr>
        <w:t>apenas</w:t>
      </w:r>
      <w:r>
        <w:rPr>
          <w:color w:val="231F20"/>
          <w:spacing w:val="-17"/>
          <w:w w:val="105"/>
        </w:rPr>
        <w:t> </w:t>
      </w:r>
      <w:r>
        <w:rPr>
          <w:color w:val="231F20"/>
          <w:w w:val="105"/>
        </w:rPr>
        <w:t>una</w:t>
      </w:r>
      <w:r>
        <w:rPr>
          <w:color w:val="231F20"/>
          <w:spacing w:val="-17"/>
          <w:w w:val="105"/>
        </w:rPr>
        <w:t> </w:t>
      </w:r>
      <w:r>
        <w:rPr>
          <w:color w:val="231F20"/>
          <w:w w:val="105"/>
        </w:rPr>
        <w:t>lectura</w:t>
      </w:r>
      <w:r>
        <w:rPr>
          <w:color w:val="231F20"/>
          <w:spacing w:val="-17"/>
          <w:w w:val="105"/>
        </w:rPr>
        <w:t> </w:t>
      </w:r>
      <w:r>
        <w:rPr>
          <w:color w:val="231F20"/>
          <w:w w:val="105"/>
        </w:rPr>
        <w:t>del</w:t>
      </w:r>
      <w:r>
        <w:rPr>
          <w:color w:val="231F20"/>
          <w:spacing w:val="-17"/>
          <w:w w:val="105"/>
        </w:rPr>
        <w:t> </w:t>
      </w:r>
      <w:r>
        <w:rPr>
          <w:color w:val="231F20"/>
          <w:w w:val="105"/>
        </w:rPr>
        <w:t>éxito</w:t>
      </w:r>
      <w:r>
        <w:rPr>
          <w:color w:val="231F20"/>
          <w:spacing w:val="-17"/>
          <w:w w:val="105"/>
        </w:rPr>
        <w:t> </w:t>
      </w:r>
      <w:r>
        <w:rPr>
          <w:color w:val="231F20"/>
          <w:w w:val="105"/>
        </w:rPr>
        <w:t>que</w:t>
      </w:r>
      <w:r>
        <w:rPr>
          <w:color w:val="231F20"/>
          <w:spacing w:val="-17"/>
          <w:w w:val="105"/>
        </w:rPr>
        <w:t> </w:t>
      </w:r>
      <w:r>
        <w:rPr>
          <w:color w:val="231F20"/>
          <w:w w:val="105"/>
        </w:rPr>
        <w:t>están</w:t>
      </w:r>
      <w:r>
        <w:rPr>
          <w:color w:val="231F20"/>
          <w:spacing w:val="-17"/>
          <w:w w:val="105"/>
        </w:rPr>
        <w:t> </w:t>
      </w:r>
      <w:r>
        <w:rPr>
          <w:color w:val="231F20"/>
          <w:w w:val="105"/>
        </w:rPr>
        <w:t>alcanzando</w:t>
      </w:r>
      <w:r>
        <w:rPr>
          <w:color w:val="231F20"/>
          <w:spacing w:val="-17"/>
          <w:w w:val="105"/>
        </w:rPr>
        <w:t> </w:t>
      </w:r>
      <w:r>
        <w:rPr>
          <w:color w:val="231F20"/>
          <w:w w:val="105"/>
        </w:rPr>
        <w:t>las</w:t>
      </w:r>
      <w:r>
        <w:rPr>
          <w:color w:val="231F20"/>
          <w:spacing w:val="-17"/>
          <w:w w:val="105"/>
        </w:rPr>
        <w:t> </w:t>
      </w:r>
      <w:r>
        <w:rPr>
          <w:color w:val="231F20"/>
          <w:w w:val="105"/>
        </w:rPr>
        <w:t>campañas</w:t>
      </w:r>
      <w:r>
        <w:rPr>
          <w:color w:val="231F20"/>
          <w:spacing w:val="-17"/>
          <w:w w:val="105"/>
        </w:rPr>
        <w:t> </w:t>
      </w:r>
      <w:r>
        <w:rPr>
          <w:color w:val="231F20"/>
          <w:w w:val="105"/>
        </w:rPr>
        <w:t>de</w:t>
      </w:r>
      <w:r>
        <w:rPr>
          <w:color w:val="231F20"/>
          <w:w w:val="108"/>
        </w:rPr>
        <w:t> </w:t>
      </w:r>
      <w:r>
        <w:rPr>
          <w:color w:val="231F20"/>
          <w:spacing w:val="-4"/>
          <w:w w:val="105"/>
        </w:rPr>
        <w:t>endurecimiento,</w:t>
      </w:r>
      <w:r>
        <w:rPr>
          <w:color w:val="231F20"/>
          <w:spacing w:val="-20"/>
          <w:w w:val="105"/>
        </w:rPr>
        <w:t> </w:t>
      </w:r>
      <w:r>
        <w:rPr>
          <w:color w:val="231F20"/>
          <w:spacing w:val="-3"/>
          <w:w w:val="105"/>
        </w:rPr>
        <w:t>persecución,</w:t>
      </w:r>
      <w:r>
        <w:rPr>
          <w:color w:val="231F20"/>
          <w:spacing w:val="-20"/>
          <w:w w:val="105"/>
        </w:rPr>
        <w:t> </w:t>
      </w:r>
      <w:r>
        <w:rPr>
          <w:color w:val="231F20"/>
          <w:spacing w:val="-3"/>
          <w:w w:val="105"/>
        </w:rPr>
        <w:t>hostigamiento</w:t>
      </w:r>
      <w:r>
        <w:rPr>
          <w:color w:val="231F20"/>
          <w:spacing w:val="-14"/>
          <w:w w:val="105"/>
        </w:rPr>
        <w:t> </w:t>
      </w:r>
      <w:r>
        <w:rPr>
          <w:color w:val="231F20"/>
          <w:w w:val="105"/>
        </w:rPr>
        <w:t>y</w:t>
      </w:r>
      <w:r>
        <w:rPr>
          <w:color w:val="231F20"/>
          <w:spacing w:val="-14"/>
          <w:w w:val="105"/>
        </w:rPr>
        <w:t> </w:t>
      </w:r>
      <w:r>
        <w:rPr>
          <w:color w:val="231F20"/>
          <w:spacing w:val="-3"/>
          <w:w w:val="105"/>
        </w:rPr>
        <w:t>militarización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4"/>
          <w:w w:val="105"/>
        </w:rPr>
        <w:t>frontera</w:t>
      </w:r>
    </w:p>
    <w:p>
      <w:pPr>
        <w:pStyle w:val="BodyText"/>
        <w:spacing w:before="1"/>
        <w:ind w:left="1723" w:right="6753"/>
      </w:pPr>
      <w:r>
        <w:rPr>
          <w:color w:val="231F20"/>
        </w:rPr>
        <w:t>(Durand, 2010).</w:t>
      </w:r>
    </w:p>
    <w:p>
      <w:pPr>
        <w:pStyle w:val="BodyText"/>
        <w:spacing w:line="261" w:lineRule="auto" w:before="22"/>
        <w:ind w:left="1723" w:right="1833" w:firstLine="567"/>
        <w:jc w:val="both"/>
      </w:pPr>
      <w:r>
        <w:rPr>
          <w:color w:val="231F20"/>
          <w:w w:val="105"/>
        </w:rPr>
        <w:t>En</w:t>
      </w:r>
      <w:r>
        <w:rPr>
          <w:color w:val="231F20"/>
          <w:spacing w:val="-7"/>
          <w:w w:val="105"/>
        </w:rPr>
        <w:t> </w:t>
      </w:r>
      <w:r>
        <w:rPr>
          <w:color w:val="231F20"/>
          <w:w w:val="105"/>
        </w:rPr>
        <w:t>este</w:t>
      </w:r>
      <w:r>
        <w:rPr>
          <w:color w:val="231F20"/>
          <w:spacing w:val="-7"/>
          <w:w w:val="105"/>
        </w:rPr>
        <w:t> </w:t>
      </w:r>
      <w:r>
        <w:rPr>
          <w:color w:val="231F20"/>
          <w:spacing w:val="-3"/>
          <w:w w:val="105"/>
        </w:rPr>
        <w:t>contexto,</w:t>
      </w:r>
      <w:r>
        <w:rPr>
          <w:color w:val="231F20"/>
          <w:spacing w:val="-12"/>
          <w:w w:val="105"/>
        </w:rPr>
        <w:t> </w:t>
      </w:r>
      <w:r>
        <w:rPr>
          <w:color w:val="231F20"/>
          <w:w w:val="105"/>
        </w:rPr>
        <w:t>este</w:t>
      </w:r>
      <w:r>
        <w:rPr>
          <w:color w:val="231F20"/>
          <w:spacing w:val="-7"/>
          <w:w w:val="105"/>
        </w:rPr>
        <w:t> </w:t>
      </w:r>
      <w:r>
        <w:rPr>
          <w:color w:val="231F20"/>
          <w:w w:val="105"/>
        </w:rPr>
        <w:t>capítulo</w:t>
      </w:r>
      <w:r>
        <w:rPr>
          <w:color w:val="231F20"/>
          <w:spacing w:val="-7"/>
          <w:w w:val="105"/>
        </w:rPr>
        <w:t> </w:t>
      </w:r>
      <w:r>
        <w:rPr>
          <w:color w:val="231F20"/>
          <w:w w:val="105"/>
        </w:rPr>
        <w:t>tiene</w:t>
      </w:r>
      <w:r>
        <w:rPr>
          <w:color w:val="231F20"/>
          <w:spacing w:val="-7"/>
          <w:w w:val="105"/>
        </w:rPr>
        <w:t> </w:t>
      </w:r>
      <w:r>
        <w:rPr>
          <w:color w:val="231F20"/>
          <w:w w:val="105"/>
        </w:rPr>
        <w:t>por</w:t>
      </w:r>
      <w:r>
        <w:rPr>
          <w:color w:val="231F20"/>
          <w:spacing w:val="-7"/>
          <w:w w:val="105"/>
        </w:rPr>
        <w:t> </w:t>
      </w:r>
      <w:r>
        <w:rPr>
          <w:color w:val="231F20"/>
          <w:w w:val="105"/>
        </w:rPr>
        <w:t>objetivo</w:t>
      </w:r>
      <w:r>
        <w:rPr>
          <w:color w:val="231F20"/>
          <w:spacing w:val="-7"/>
          <w:w w:val="105"/>
        </w:rPr>
        <w:t> </w:t>
      </w:r>
      <w:r>
        <w:rPr>
          <w:color w:val="231F20"/>
          <w:w w:val="105"/>
        </w:rPr>
        <w:t>analizar</w:t>
      </w:r>
      <w:r>
        <w:rPr>
          <w:color w:val="231F20"/>
          <w:spacing w:val="-7"/>
          <w:w w:val="105"/>
        </w:rPr>
        <w:t> </w:t>
      </w:r>
      <w:r>
        <w:rPr>
          <w:color w:val="231F20"/>
          <w:w w:val="105"/>
        </w:rPr>
        <w:t>las</w:t>
      </w:r>
      <w:r>
        <w:rPr>
          <w:color w:val="231F20"/>
          <w:spacing w:val="-7"/>
          <w:w w:val="105"/>
        </w:rPr>
        <w:t> </w:t>
      </w:r>
      <w:r>
        <w:rPr>
          <w:color w:val="231F20"/>
          <w:w w:val="105"/>
        </w:rPr>
        <w:t>prin- cipales características sociodemográficas, así como de la </w:t>
      </w:r>
      <w:r>
        <w:rPr>
          <w:color w:val="231F20"/>
          <w:spacing w:val="-3"/>
          <w:w w:val="105"/>
        </w:rPr>
        <w:t>experiencia </w:t>
      </w:r>
      <w:r>
        <w:rPr>
          <w:color w:val="231F20"/>
          <w:w w:val="105"/>
        </w:rPr>
        <w:t>del cruce y los riesgos </w:t>
      </w:r>
      <w:r>
        <w:rPr>
          <w:color w:val="231F20"/>
          <w:spacing w:val="-3"/>
          <w:w w:val="105"/>
        </w:rPr>
        <w:t>enfrentados </w:t>
      </w:r>
      <w:r>
        <w:rPr>
          <w:color w:val="231F20"/>
          <w:w w:val="105"/>
        </w:rPr>
        <w:t>por la población mexicana devuelta por las autoridades migratorias de Estados Unidos</w:t>
      </w:r>
      <w:r>
        <w:rPr>
          <w:color w:val="231F20"/>
          <w:w w:val="105"/>
          <w:position w:val="7"/>
          <w:sz w:val="12"/>
        </w:rPr>
        <w:t>1  </w:t>
      </w:r>
      <w:r>
        <w:rPr>
          <w:color w:val="231F20"/>
          <w:w w:val="105"/>
        </w:rPr>
        <w:t>durante el</w:t>
      </w:r>
      <w:r>
        <w:rPr>
          <w:color w:val="231F20"/>
          <w:spacing w:val="52"/>
          <w:w w:val="105"/>
        </w:rPr>
        <w:t> </w:t>
      </w:r>
      <w:r>
        <w:rPr>
          <w:color w:val="231F20"/>
          <w:w w:val="105"/>
        </w:rPr>
        <w:t>periodo</w:t>
      </w:r>
    </w:p>
    <w:p>
      <w:pPr>
        <w:pStyle w:val="BodyText"/>
        <w:spacing w:before="10"/>
        <w:rPr>
          <w:sz w:val="18"/>
        </w:rPr>
      </w:pPr>
      <w:r>
        <w:rPr/>
        <w:pict>
          <v:line style="position:absolute;mso-position-horizontal-relative:page;mso-position-vertical-relative:paragraph;z-index:14872;mso-wrap-distance-left:0;mso-wrap-distance-right:0" from="86.1968pt,12.781826pt" to="199.5828pt,12.781826pt" stroked="true" strokeweight=".25pt" strokecolor="#231f20">
            <w10:wrap type="topAndBottom"/>
          </v:line>
        </w:pict>
      </w:r>
    </w:p>
    <w:p>
      <w:pPr>
        <w:spacing w:line="192" w:lineRule="exact" w:before="7"/>
        <w:ind w:left="1723" w:right="1683" w:hanging="1"/>
        <w:jc w:val="left"/>
        <w:rPr>
          <w:rFonts w:ascii="Calibri" w:hAnsi="Calibri"/>
          <w:sz w:val="16"/>
        </w:rPr>
      </w:pPr>
      <w:r>
        <w:rPr>
          <w:rFonts w:ascii="Calibri" w:hAnsi="Calibri"/>
          <w:color w:val="414042"/>
          <w:position w:val="5"/>
          <w:sz w:val="9"/>
        </w:rPr>
        <w:t>1 </w:t>
      </w:r>
      <w:r>
        <w:rPr>
          <w:rFonts w:ascii="Calibri" w:hAnsi="Calibri"/>
          <w:color w:val="414042"/>
          <w:sz w:val="16"/>
        </w:rPr>
        <w:t>Se refiere a las personas de 15 años y mayores, entregadas por las autoridades migratorias de Estados Unidos a las mexicanas en alguno de los puntos establecidos a lo largo de la línea fronteriza. Normal-</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5288" from="131.551193pt,3.753715pt" to="131.551193pt,39.556114pt" stroked="true" strokeweight=".35pt" strokecolor="#231f20">
            <w10:wrap type="none"/>
          </v:line>
        </w:pict>
      </w:r>
      <w:r>
        <w:rPr/>
        <w:pict>
          <v:line style="position:absolute;mso-position-horizontal-relative:page;mso-position-vertical-relative:paragraph;z-index:-475264" from="15pt,39.555916pt" to="0pt,39.555916pt" stroked="true" strokeweight=".25pt" strokecolor="#000000">
            <w10:wrap type="none"/>
          </v:line>
        </w:pict>
      </w:r>
      <w:r>
        <w:rPr/>
        <w:pict>
          <v:line style="position:absolute;mso-position-horizontal-relative:page;mso-position-vertical-relative:paragraph;z-index:14944" from="508.890015pt,39.555916pt" to="523.890015pt,39.555916pt" stroked="true" strokeweight=".25pt" strokecolor="#000000">
            <w10:wrap type="none"/>
          </v:line>
        </w:pict>
      </w:r>
      <w:r>
        <w:rPr>
          <w:rFonts w:ascii="Arial" w:hAnsi="Arial"/>
          <w:color w:val="414042"/>
          <w:w w:val="105"/>
          <w:position w:val="-5"/>
          <w:sz w:val="20"/>
        </w:rPr>
        <w:t>148</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footerReference w:type="default" r:id="rId113"/>
          <w:pgSz w:w="10480" w:h="14730"/>
          <w:pgMar w:footer="103" w:header="0" w:top="42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headerReference w:type="default" r:id="rId114"/>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4992"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5016" from="15pt,-28.286539pt" to="0pt,-28.286539pt" stroked="true" strokeweight=".25pt" strokecolor="#000000">
            <w10:wrap type="none"/>
          </v:line>
        </w:pict>
      </w:r>
      <w:r>
        <w:rPr/>
        <w:pict>
          <v:line style="position:absolute;mso-position-horizontal-relative:page;mso-position-vertical-relative:paragraph;z-index:15040" from="508.890015pt,-28.286539pt" to="523.890015pt,-28.286539pt" stroked="true" strokeweight=".25pt" strokecolor="#000000">
            <w10:wrap type="none"/>
          </v:line>
        </w:pict>
      </w:r>
      <w:r>
        <w:rPr>
          <w:rFonts w:ascii="Arial"/>
          <w:color w:val="414042"/>
          <w:sz w:val="20"/>
        </w:rPr>
        <w:t>149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w w:val="105"/>
        </w:rPr>
        <w:t>2007-2012. </w:t>
      </w:r>
      <w:r>
        <w:rPr>
          <w:color w:val="231F20"/>
          <w:spacing w:val="-5"/>
          <w:w w:val="105"/>
        </w:rPr>
        <w:t>Para </w:t>
      </w:r>
      <w:r>
        <w:rPr>
          <w:color w:val="231F20"/>
          <w:spacing w:val="-3"/>
          <w:w w:val="105"/>
        </w:rPr>
        <w:t>ello, utilizamos como fuente </w:t>
      </w:r>
      <w:r>
        <w:rPr>
          <w:color w:val="231F20"/>
          <w:w w:val="105"/>
        </w:rPr>
        <w:t>de </w:t>
      </w:r>
      <w:r>
        <w:rPr>
          <w:color w:val="231F20"/>
          <w:spacing w:val="-3"/>
          <w:w w:val="105"/>
        </w:rPr>
        <w:t>información estadística </w:t>
      </w:r>
      <w:r>
        <w:rPr>
          <w:color w:val="231F20"/>
          <w:w w:val="105"/>
        </w:rPr>
        <w:t>el</w:t>
      </w:r>
      <w:r>
        <w:rPr>
          <w:color w:val="231F20"/>
          <w:spacing w:val="-19"/>
          <w:w w:val="105"/>
        </w:rPr>
        <w:t> </w:t>
      </w:r>
      <w:r>
        <w:rPr>
          <w:color w:val="231F20"/>
          <w:w w:val="105"/>
        </w:rPr>
        <w:t>flujo</w:t>
      </w:r>
      <w:r>
        <w:rPr>
          <w:color w:val="231F20"/>
          <w:spacing w:val="-19"/>
          <w:w w:val="105"/>
        </w:rPr>
        <w:t> </w:t>
      </w:r>
      <w:r>
        <w:rPr>
          <w:color w:val="231F20"/>
          <w:w w:val="105"/>
        </w:rPr>
        <w:t>de</w:t>
      </w:r>
      <w:r>
        <w:rPr>
          <w:color w:val="231F20"/>
          <w:spacing w:val="-19"/>
          <w:w w:val="105"/>
        </w:rPr>
        <w:t> </w:t>
      </w:r>
      <w:r>
        <w:rPr>
          <w:color w:val="231F20"/>
          <w:spacing w:val="-3"/>
          <w:w w:val="105"/>
        </w:rPr>
        <w:t>migrantes</w:t>
      </w:r>
      <w:r>
        <w:rPr>
          <w:color w:val="231F20"/>
          <w:spacing w:val="-19"/>
          <w:w w:val="105"/>
        </w:rPr>
        <w:t> </w:t>
      </w:r>
      <w:r>
        <w:rPr>
          <w:color w:val="231F20"/>
          <w:spacing w:val="-3"/>
          <w:w w:val="105"/>
        </w:rPr>
        <w:t>devueltos</w:t>
      </w:r>
      <w:r>
        <w:rPr>
          <w:color w:val="231F20"/>
          <w:spacing w:val="-19"/>
          <w:w w:val="105"/>
        </w:rPr>
        <w:t> </w:t>
      </w:r>
      <w:r>
        <w:rPr>
          <w:color w:val="231F20"/>
          <w:w w:val="105"/>
        </w:rPr>
        <w:t>por</w:t>
      </w:r>
      <w:r>
        <w:rPr>
          <w:color w:val="231F20"/>
          <w:spacing w:val="-19"/>
          <w:w w:val="105"/>
        </w:rPr>
        <w:t> </w:t>
      </w:r>
      <w:r>
        <w:rPr>
          <w:color w:val="231F20"/>
          <w:w w:val="105"/>
        </w:rPr>
        <w:t>la</w:t>
      </w:r>
      <w:r>
        <w:rPr>
          <w:color w:val="231F20"/>
          <w:spacing w:val="-19"/>
          <w:w w:val="105"/>
        </w:rPr>
        <w:t> </w:t>
      </w:r>
      <w:r>
        <w:rPr>
          <w:color w:val="231F20"/>
          <w:spacing w:val="-3"/>
          <w:w w:val="105"/>
        </w:rPr>
        <w:t>patrulla</w:t>
      </w:r>
      <w:r>
        <w:rPr>
          <w:color w:val="231F20"/>
          <w:spacing w:val="-19"/>
          <w:w w:val="105"/>
        </w:rPr>
        <w:t> </w:t>
      </w:r>
      <w:r>
        <w:rPr>
          <w:color w:val="231F20"/>
          <w:spacing w:val="-3"/>
          <w:w w:val="105"/>
        </w:rPr>
        <w:t>fronteriza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05"/>
        </w:rPr>
        <w:t>Encuesta</w:t>
      </w:r>
      <w:r>
        <w:rPr>
          <w:color w:val="231F20"/>
          <w:spacing w:val="-19"/>
          <w:w w:val="105"/>
        </w:rPr>
        <w:t> </w:t>
      </w:r>
      <w:r>
        <w:rPr>
          <w:color w:val="231F20"/>
          <w:w w:val="105"/>
        </w:rPr>
        <w:t>so- </w:t>
      </w:r>
      <w:r>
        <w:rPr>
          <w:color w:val="231F20"/>
          <w:spacing w:val="-3"/>
          <w:w w:val="105"/>
        </w:rPr>
        <w:t>bre</w:t>
      </w:r>
      <w:r>
        <w:rPr>
          <w:color w:val="231F20"/>
          <w:spacing w:val="-10"/>
          <w:w w:val="105"/>
        </w:rPr>
        <w:t> </w:t>
      </w:r>
      <w:r>
        <w:rPr>
          <w:color w:val="231F20"/>
          <w:spacing w:val="-3"/>
          <w:w w:val="105"/>
        </w:rPr>
        <w:t>Migración</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spacing w:val="-5"/>
          <w:w w:val="105"/>
        </w:rPr>
        <w:t>Frontera</w:t>
      </w:r>
      <w:r>
        <w:rPr>
          <w:color w:val="231F20"/>
          <w:spacing w:val="-10"/>
          <w:w w:val="105"/>
        </w:rPr>
        <w:t> </w:t>
      </w:r>
      <w:r>
        <w:rPr>
          <w:color w:val="231F20"/>
          <w:spacing w:val="-3"/>
          <w:w w:val="105"/>
        </w:rPr>
        <w:t>Norte</w:t>
      </w:r>
      <w:r>
        <w:rPr>
          <w:color w:val="231F20"/>
          <w:spacing w:val="-10"/>
          <w:w w:val="105"/>
        </w:rPr>
        <w:t> </w:t>
      </w:r>
      <w:r>
        <w:rPr>
          <w:color w:val="231F20"/>
          <w:w w:val="105"/>
        </w:rPr>
        <w:t>de</w:t>
      </w:r>
      <w:r>
        <w:rPr>
          <w:color w:val="231F20"/>
          <w:spacing w:val="-10"/>
          <w:w w:val="105"/>
        </w:rPr>
        <w:t> </w:t>
      </w:r>
      <w:r>
        <w:rPr>
          <w:color w:val="231F20"/>
          <w:spacing w:val="-3"/>
          <w:w w:val="105"/>
        </w:rPr>
        <w:t>México</w:t>
      </w:r>
      <w:r>
        <w:rPr>
          <w:color w:val="231F20"/>
          <w:spacing w:val="-10"/>
          <w:w w:val="105"/>
        </w:rPr>
        <w:t> </w:t>
      </w:r>
      <w:r>
        <w:rPr>
          <w:color w:val="231F20"/>
          <w:spacing w:val="-3"/>
          <w:w w:val="105"/>
        </w:rPr>
        <w:t>(</w:t>
      </w:r>
      <w:r>
        <w:rPr>
          <w:color w:val="231F20"/>
          <w:spacing w:val="-3"/>
          <w:w w:val="105"/>
          <w:sz w:val="17"/>
        </w:rPr>
        <w:t>EMIF</w:t>
      </w:r>
      <w:r>
        <w:rPr>
          <w:color w:val="231F20"/>
          <w:spacing w:val="-3"/>
          <w:w w:val="105"/>
        </w:rPr>
        <w:t>-Norte).</w:t>
      </w:r>
      <w:r>
        <w:rPr>
          <w:color w:val="231F20"/>
          <w:spacing w:val="-3"/>
          <w:w w:val="105"/>
          <w:position w:val="7"/>
          <w:sz w:val="12"/>
        </w:rPr>
        <w:t>2</w:t>
      </w:r>
      <w:r>
        <w:rPr>
          <w:color w:val="231F20"/>
          <w:spacing w:val="16"/>
          <w:w w:val="105"/>
          <w:position w:val="7"/>
          <w:sz w:val="12"/>
        </w:rPr>
        <w:t> </w:t>
      </w:r>
      <w:r>
        <w:rPr>
          <w:color w:val="231F20"/>
          <w:w w:val="105"/>
        </w:rPr>
        <w:t>El</w:t>
      </w:r>
      <w:r>
        <w:rPr>
          <w:color w:val="231F20"/>
          <w:spacing w:val="-10"/>
          <w:w w:val="105"/>
        </w:rPr>
        <w:t> </w:t>
      </w:r>
      <w:r>
        <w:rPr>
          <w:color w:val="231F20"/>
          <w:spacing w:val="-3"/>
          <w:w w:val="105"/>
        </w:rPr>
        <w:t>periodo</w:t>
      </w:r>
      <w:r>
        <w:rPr>
          <w:color w:val="231F20"/>
          <w:spacing w:val="-10"/>
          <w:w w:val="105"/>
        </w:rPr>
        <w:t> </w:t>
      </w:r>
      <w:r>
        <w:rPr>
          <w:color w:val="231F20"/>
          <w:spacing w:val="-3"/>
          <w:w w:val="105"/>
        </w:rPr>
        <w:t>de tiempo</w:t>
      </w:r>
      <w:r>
        <w:rPr>
          <w:color w:val="231F20"/>
          <w:spacing w:val="-26"/>
          <w:w w:val="105"/>
        </w:rPr>
        <w:t> </w:t>
      </w:r>
      <w:r>
        <w:rPr>
          <w:color w:val="231F20"/>
          <w:spacing w:val="-3"/>
          <w:w w:val="105"/>
        </w:rPr>
        <w:t>considerado</w:t>
      </w:r>
      <w:r>
        <w:rPr>
          <w:color w:val="231F20"/>
          <w:spacing w:val="-26"/>
          <w:w w:val="105"/>
        </w:rPr>
        <w:t> </w:t>
      </w:r>
      <w:r>
        <w:rPr>
          <w:color w:val="231F20"/>
          <w:w w:val="105"/>
        </w:rPr>
        <w:t>en</w:t>
      </w:r>
      <w:r>
        <w:rPr>
          <w:color w:val="231F20"/>
          <w:spacing w:val="-26"/>
          <w:w w:val="105"/>
        </w:rPr>
        <w:t> </w:t>
      </w:r>
      <w:r>
        <w:rPr>
          <w:color w:val="231F20"/>
          <w:spacing w:val="-3"/>
          <w:w w:val="105"/>
        </w:rPr>
        <w:t>nuestro</w:t>
      </w:r>
      <w:r>
        <w:rPr>
          <w:color w:val="231F20"/>
          <w:spacing w:val="-26"/>
          <w:w w:val="105"/>
        </w:rPr>
        <w:t> </w:t>
      </w:r>
      <w:r>
        <w:rPr>
          <w:color w:val="231F20"/>
          <w:spacing w:val="-3"/>
          <w:w w:val="105"/>
        </w:rPr>
        <w:t>análisis</w:t>
      </w:r>
      <w:r>
        <w:rPr>
          <w:color w:val="231F20"/>
          <w:spacing w:val="-26"/>
          <w:w w:val="105"/>
        </w:rPr>
        <w:t> </w:t>
      </w:r>
      <w:r>
        <w:rPr>
          <w:color w:val="231F20"/>
          <w:spacing w:val="-3"/>
          <w:w w:val="105"/>
        </w:rPr>
        <w:t>busca</w:t>
      </w:r>
      <w:r>
        <w:rPr>
          <w:color w:val="231F20"/>
          <w:spacing w:val="-26"/>
          <w:w w:val="105"/>
        </w:rPr>
        <w:t> </w:t>
      </w:r>
      <w:r>
        <w:rPr>
          <w:color w:val="231F20"/>
          <w:spacing w:val="-3"/>
          <w:w w:val="105"/>
        </w:rPr>
        <w:t>precisar</w:t>
      </w:r>
      <w:r>
        <w:rPr>
          <w:color w:val="231F20"/>
          <w:spacing w:val="-26"/>
          <w:w w:val="105"/>
        </w:rPr>
        <w:t> </w:t>
      </w:r>
      <w:r>
        <w:rPr>
          <w:color w:val="231F20"/>
          <w:w w:val="105"/>
        </w:rPr>
        <w:t>la</w:t>
      </w:r>
      <w:r>
        <w:rPr>
          <w:color w:val="231F20"/>
          <w:spacing w:val="-26"/>
          <w:w w:val="105"/>
        </w:rPr>
        <w:t> </w:t>
      </w:r>
      <w:r>
        <w:rPr>
          <w:color w:val="231F20"/>
          <w:spacing w:val="-3"/>
          <w:w w:val="105"/>
        </w:rPr>
        <w:t>dinámica</w:t>
      </w:r>
      <w:r>
        <w:rPr>
          <w:color w:val="231F20"/>
          <w:spacing w:val="-26"/>
          <w:w w:val="105"/>
        </w:rPr>
        <w:t> </w:t>
      </w:r>
      <w:r>
        <w:rPr>
          <w:color w:val="231F20"/>
          <w:w w:val="105"/>
        </w:rPr>
        <w:t>que</w:t>
      </w:r>
      <w:r>
        <w:rPr>
          <w:color w:val="231F20"/>
          <w:spacing w:val="-26"/>
          <w:w w:val="105"/>
        </w:rPr>
        <w:t> </w:t>
      </w:r>
      <w:r>
        <w:rPr>
          <w:color w:val="231F20"/>
          <w:w w:val="105"/>
        </w:rPr>
        <w:t>ob- </w:t>
      </w:r>
      <w:r>
        <w:rPr>
          <w:color w:val="231F20"/>
          <w:spacing w:val="-3"/>
          <w:w w:val="105"/>
        </w:rPr>
        <w:t>servó</w:t>
      </w:r>
      <w:r>
        <w:rPr>
          <w:color w:val="231F20"/>
          <w:spacing w:val="-16"/>
          <w:w w:val="105"/>
        </w:rPr>
        <w:t> </w:t>
      </w:r>
      <w:r>
        <w:rPr>
          <w:color w:val="231F20"/>
          <w:spacing w:val="-3"/>
          <w:w w:val="105"/>
        </w:rPr>
        <w:t>este</w:t>
      </w:r>
      <w:r>
        <w:rPr>
          <w:color w:val="231F20"/>
          <w:spacing w:val="-16"/>
          <w:w w:val="105"/>
        </w:rPr>
        <w:t> </w:t>
      </w:r>
      <w:r>
        <w:rPr>
          <w:color w:val="231F20"/>
          <w:w w:val="105"/>
        </w:rPr>
        <w:t>flujo</w:t>
      </w:r>
      <w:r>
        <w:rPr>
          <w:color w:val="231F20"/>
          <w:spacing w:val="-16"/>
          <w:w w:val="105"/>
        </w:rPr>
        <w:t> </w:t>
      </w:r>
      <w:r>
        <w:rPr>
          <w:color w:val="231F20"/>
          <w:w w:val="105"/>
        </w:rPr>
        <w:t>en</w:t>
      </w:r>
      <w:r>
        <w:rPr>
          <w:color w:val="231F20"/>
          <w:spacing w:val="-16"/>
          <w:w w:val="105"/>
        </w:rPr>
        <w:t> </w:t>
      </w:r>
      <w:r>
        <w:rPr>
          <w:color w:val="231F20"/>
          <w:w w:val="105"/>
        </w:rPr>
        <w:t>uno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spacing w:val="-3"/>
          <w:w w:val="105"/>
        </w:rPr>
        <w:t>mayores</w:t>
      </w:r>
      <w:r>
        <w:rPr>
          <w:color w:val="231F20"/>
          <w:spacing w:val="-16"/>
          <w:w w:val="105"/>
        </w:rPr>
        <w:t> </w:t>
      </w:r>
      <w:r>
        <w:rPr>
          <w:color w:val="231F20"/>
          <w:spacing w:val="-3"/>
          <w:w w:val="105"/>
        </w:rPr>
        <w:t>momentos</w:t>
      </w:r>
      <w:r>
        <w:rPr>
          <w:color w:val="231F20"/>
          <w:spacing w:val="-16"/>
          <w:w w:val="105"/>
        </w:rPr>
        <w:t> </w:t>
      </w:r>
      <w:r>
        <w:rPr>
          <w:color w:val="231F20"/>
          <w:w w:val="105"/>
        </w:rPr>
        <w:t>de</w:t>
      </w:r>
      <w:r>
        <w:rPr>
          <w:color w:val="231F20"/>
          <w:spacing w:val="-16"/>
          <w:w w:val="105"/>
        </w:rPr>
        <w:t> </w:t>
      </w:r>
      <w:r>
        <w:rPr>
          <w:color w:val="231F20"/>
          <w:spacing w:val="-3"/>
          <w:w w:val="105"/>
        </w:rPr>
        <w:t>recesión</w:t>
      </w:r>
      <w:r>
        <w:rPr>
          <w:color w:val="231F20"/>
          <w:spacing w:val="-16"/>
          <w:w w:val="105"/>
        </w:rPr>
        <w:t> </w:t>
      </w:r>
      <w:r>
        <w:rPr>
          <w:color w:val="231F20"/>
          <w:spacing w:val="-3"/>
          <w:w w:val="105"/>
        </w:rPr>
        <w:t>económica </w:t>
      </w:r>
      <w:r>
        <w:rPr>
          <w:color w:val="231F20"/>
          <w:w w:val="105"/>
        </w:rPr>
        <w:t>en</w:t>
      </w:r>
      <w:r>
        <w:rPr>
          <w:color w:val="231F20"/>
          <w:spacing w:val="-33"/>
          <w:w w:val="105"/>
        </w:rPr>
        <w:t> </w:t>
      </w:r>
      <w:r>
        <w:rPr>
          <w:color w:val="231F20"/>
          <w:spacing w:val="-3"/>
          <w:w w:val="105"/>
        </w:rPr>
        <w:t>Estados</w:t>
      </w:r>
      <w:r>
        <w:rPr>
          <w:color w:val="231F20"/>
          <w:spacing w:val="-33"/>
          <w:w w:val="105"/>
        </w:rPr>
        <w:t> </w:t>
      </w:r>
      <w:r>
        <w:rPr>
          <w:color w:val="231F20"/>
          <w:spacing w:val="-3"/>
          <w:w w:val="105"/>
        </w:rPr>
        <w:t>Unidos,</w:t>
      </w:r>
      <w:r>
        <w:rPr>
          <w:color w:val="231F20"/>
          <w:spacing w:val="-36"/>
          <w:w w:val="105"/>
        </w:rPr>
        <w:t> </w:t>
      </w:r>
      <w:r>
        <w:rPr>
          <w:color w:val="231F20"/>
          <w:w w:val="105"/>
        </w:rPr>
        <w:t>que</w:t>
      </w:r>
      <w:r>
        <w:rPr>
          <w:color w:val="231F20"/>
          <w:spacing w:val="-33"/>
          <w:w w:val="105"/>
        </w:rPr>
        <w:t> </w:t>
      </w:r>
      <w:r>
        <w:rPr>
          <w:color w:val="231F20"/>
          <w:spacing w:val="-3"/>
          <w:w w:val="105"/>
        </w:rPr>
        <w:t>además</w:t>
      </w:r>
      <w:r>
        <w:rPr>
          <w:color w:val="231F20"/>
          <w:spacing w:val="-33"/>
          <w:w w:val="105"/>
        </w:rPr>
        <w:t> </w:t>
      </w:r>
      <w:r>
        <w:rPr>
          <w:color w:val="231F20"/>
          <w:spacing w:val="-3"/>
          <w:w w:val="105"/>
        </w:rPr>
        <w:t>estuvo</w:t>
      </w:r>
      <w:r>
        <w:rPr>
          <w:color w:val="231F20"/>
          <w:spacing w:val="-33"/>
          <w:w w:val="105"/>
        </w:rPr>
        <w:t> </w:t>
      </w:r>
      <w:r>
        <w:rPr>
          <w:color w:val="231F20"/>
          <w:spacing w:val="-3"/>
          <w:w w:val="105"/>
        </w:rPr>
        <w:t>acompañado</w:t>
      </w:r>
      <w:r>
        <w:rPr>
          <w:color w:val="231F20"/>
          <w:spacing w:val="-33"/>
          <w:w w:val="105"/>
        </w:rPr>
        <w:t> </w:t>
      </w:r>
      <w:r>
        <w:rPr>
          <w:color w:val="231F20"/>
          <w:w w:val="105"/>
        </w:rPr>
        <w:t>de</w:t>
      </w:r>
      <w:r>
        <w:rPr>
          <w:color w:val="231F20"/>
          <w:spacing w:val="-33"/>
          <w:w w:val="105"/>
        </w:rPr>
        <w:t> </w:t>
      </w:r>
      <w:r>
        <w:rPr>
          <w:color w:val="231F20"/>
          <w:spacing w:val="-3"/>
          <w:w w:val="105"/>
        </w:rPr>
        <w:t>fuertes</w:t>
      </w:r>
      <w:r>
        <w:rPr>
          <w:color w:val="231F20"/>
          <w:spacing w:val="-33"/>
          <w:w w:val="105"/>
        </w:rPr>
        <w:t> </w:t>
      </w:r>
      <w:r>
        <w:rPr>
          <w:color w:val="231F20"/>
          <w:spacing w:val="-3"/>
          <w:w w:val="105"/>
        </w:rPr>
        <w:t>campañas </w:t>
      </w:r>
      <w:r>
        <w:rPr>
          <w:color w:val="231F20"/>
          <w:w w:val="105"/>
        </w:rPr>
        <w:t>de</w:t>
      </w:r>
      <w:r>
        <w:rPr>
          <w:color w:val="231F20"/>
          <w:spacing w:val="-11"/>
          <w:w w:val="105"/>
        </w:rPr>
        <w:t> </w:t>
      </w:r>
      <w:r>
        <w:rPr>
          <w:color w:val="231F20"/>
          <w:spacing w:val="-3"/>
          <w:w w:val="105"/>
        </w:rPr>
        <w:t>militarización</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4"/>
          <w:w w:val="105"/>
        </w:rPr>
        <w:t>frontera</w:t>
      </w:r>
      <w:r>
        <w:rPr>
          <w:color w:val="231F20"/>
          <w:spacing w:val="-11"/>
          <w:w w:val="105"/>
        </w:rPr>
        <w:t> </w:t>
      </w:r>
      <w:r>
        <w:rPr>
          <w:color w:val="231F20"/>
          <w:w w:val="105"/>
        </w:rPr>
        <w:t>y</w:t>
      </w:r>
      <w:r>
        <w:rPr>
          <w:color w:val="231F20"/>
          <w:spacing w:val="-11"/>
          <w:w w:val="105"/>
        </w:rPr>
        <w:t> </w:t>
      </w:r>
      <w:r>
        <w:rPr>
          <w:color w:val="231F20"/>
          <w:spacing w:val="-3"/>
          <w:w w:val="105"/>
        </w:rPr>
        <w:t>persecución</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3"/>
          <w:w w:val="105"/>
        </w:rPr>
        <w:t>población</w:t>
      </w:r>
      <w:r>
        <w:rPr>
          <w:color w:val="231F20"/>
          <w:spacing w:val="-11"/>
          <w:w w:val="105"/>
        </w:rPr>
        <w:t> </w:t>
      </w:r>
      <w:r>
        <w:rPr>
          <w:color w:val="231F20"/>
          <w:spacing w:val="-4"/>
          <w:w w:val="105"/>
        </w:rPr>
        <w:t>migrante.</w:t>
      </w:r>
    </w:p>
    <w:p>
      <w:pPr>
        <w:pStyle w:val="BodyText"/>
        <w:spacing w:line="261" w:lineRule="auto" w:before="1"/>
        <w:ind w:left="1837" w:right="1721" w:firstLine="567"/>
        <w:jc w:val="both"/>
      </w:pPr>
      <w:r>
        <w:rPr>
          <w:color w:val="231F20"/>
          <w:spacing w:val="-5"/>
          <w:w w:val="105"/>
        </w:rPr>
        <w:t>Para</w:t>
      </w:r>
      <w:r>
        <w:rPr>
          <w:color w:val="231F20"/>
          <w:spacing w:val="-25"/>
          <w:w w:val="105"/>
        </w:rPr>
        <w:t> </w:t>
      </w:r>
      <w:r>
        <w:rPr>
          <w:color w:val="231F20"/>
          <w:w w:val="105"/>
        </w:rPr>
        <w:t>ello,</w:t>
      </w:r>
      <w:r>
        <w:rPr>
          <w:color w:val="231F20"/>
          <w:spacing w:val="-29"/>
          <w:w w:val="105"/>
        </w:rPr>
        <w:t> </w:t>
      </w:r>
      <w:r>
        <w:rPr>
          <w:color w:val="231F20"/>
          <w:w w:val="105"/>
        </w:rPr>
        <w:t>el</w:t>
      </w:r>
      <w:r>
        <w:rPr>
          <w:color w:val="231F20"/>
          <w:spacing w:val="-25"/>
          <w:w w:val="105"/>
        </w:rPr>
        <w:t> </w:t>
      </w:r>
      <w:r>
        <w:rPr>
          <w:color w:val="231F20"/>
          <w:w w:val="105"/>
        </w:rPr>
        <w:t>capítulo</w:t>
      </w:r>
      <w:r>
        <w:rPr>
          <w:color w:val="231F20"/>
          <w:spacing w:val="-25"/>
          <w:w w:val="105"/>
        </w:rPr>
        <w:t> </w:t>
      </w:r>
      <w:r>
        <w:rPr>
          <w:color w:val="231F20"/>
          <w:w w:val="105"/>
        </w:rPr>
        <w:t>se</w:t>
      </w:r>
      <w:r>
        <w:rPr>
          <w:color w:val="231F20"/>
          <w:spacing w:val="-25"/>
          <w:w w:val="105"/>
        </w:rPr>
        <w:t> </w:t>
      </w:r>
      <w:r>
        <w:rPr>
          <w:color w:val="231F20"/>
          <w:w w:val="105"/>
        </w:rPr>
        <w:t>estructura</w:t>
      </w:r>
      <w:r>
        <w:rPr>
          <w:color w:val="231F20"/>
          <w:spacing w:val="-25"/>
          <w:w w:val="105"/>
        </w:rPr>
        <w:t> </w:t>
      </w:r>
      <w:r>
        <w:rPr>
          <w:color w:val="231F20"/>
          <w:w w:val="105"/>
        </w:rPr>
        <w:t>en</w:t>
      </w:r>
      <w:r>
        <w:rPr>
          <w:color w:val="231F20"/>
          <w:spacing w:val="-25"/>
          <w:w w:val="105"/>
        </w:rPr>
        <w:t> </w:t>
      </w:r>
      <w:r>
        <w:rPr>
          <w:color w:val="231F20"/>
          <w:spacing w:val="-3"/>
          <w:w w:val="105"/>
        </w:rPr>
        <w:t>cuatro</w:t>
      </w:r>
      <w:r>
        <w:rPr>
          <w:color w:val="231F20"/>
          <w:spacing w:val="-25"/>
          <w:w w:val="105"/>
        </w:rPr>
        <w:t> </w:t>
      </w:r>
      <w:r>
        <w:rPr>
          <w:color w:val="231F20"/>
          <w:w w:val="105"/>
        </w:rPr>
        <w:t>apartados.</w:t>
      </w:r>
      <w:r>
        <w:rPr>
          <w:color w:val="231F20"/>
          <w:spacing w:val="-29"/>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prime- </w:t>
      </w:r>
      <w:r>
        <w:rPr>
          <w:color w:val="231F20"/>
          <w:spacing w:val="-3"/>
          <w:w w:val="105"/>
        </w:rPr>
        <w:t>ro</w:t>
      </w:r>
      <w:r>
        <w:rPr>
          <w:color w:val="231F20"/>
          <w:spacing w:val="-29"/>
          <w:w w:val="105"/>
        </w:rPr>
        <w:t> </w:t>
      </w:r>
      <w:r>
        <w:rPr>
          <w:color w:val="231F20"/>
          <w:w w:val="105"/>
        </w:rPr>
        <w:t>se</w:t>
      </w:r>
      <w:r>
        <w:rPr>
          <w:color w:val="231F20"/>
          <w:spacing w:val="-29"/>
          <w:w w:val="105"/>
        </w:rPr>
        <w:t> </w:t>
      </w:r>
      <w:r>
        <w:rPr>
          <w:color w:val="231F20"/>
          <w:spacing w:val="-3"/>
          <w:w w:val="105"/>
        </w:rPr>
        <w:t>realiza</w:t>
      </w:r>
      <w:r>
        <w:rPr>
          <w:color w:val="231F20"/>
          <w:spacing w:val="-29"/>
          <w:w w:val="105"/>
        </w:rPr>
        <w:t> </w:t>
      </w:r>
      <w:r>
        <w:rPr>
          <w:color w:val="231F20"/>
          <w:w w:val="105"/>
        </w:rPr>
        <w:t>una</w:t>
      </w:r>
      <w:r>
        <w:rPr>
          <w:color w:val="231F20"/>
          <w:spacing w:val="-29"/>
          <w:w w:val="105"/>
        </w:rPr>
        <w:t> </w:t>
      </w:r>
      <w:r>
        <w:rPr>
          <w:color w:val="231F20"/>
          <w:spacing w:val="-3"/>
          <w:w w:val="105"/>
        </w:rPr>
        <w:t>breve</w:t>
      </w:r>
      <w:r>
        <w:rPr>
          <w:color w:val="231F20"/>
          <w:spacing w:val="-29"/>
          <w:w w:val="105"/>
        </w:rPr>
        <w:t> </w:t>
      </w:r>
      <w:r>
        <w:rPr>
          <w:color w:val="231F20"/>
          <w:spacing w:val="-3"/>
          <w:w w:val="105"/>
        </w:rPr>
        <w:t>aproximación</w:t>
      </w:r>
      <w:r>
        <w:rPr>
          <w:color w:val="231F20"/>
          <w:spacing w:val="-29"/>
          <w:w w:val="105"/>
        </w:rPr>
        <w:t> </w:t>
      </w:r>
      <w:r>
        <w:rPr>
          <w:color w:val="231F20"/>
          <w:w w:val="105"/>
        </w:rPr>
        <w:t>histórica</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fases</w:t>
      </w:r>
      <w:r>
        <w:rPr>
          <w:color w:val="231F20"/>
          <w:spacing w:val="-29"/>
          <w:w w:val="105"/>
        </w:rPr>
        <w:t> </w:t>
      </w:r>
      <w:r>
        <w:rPr>
          <w:color w:val="231F20"/>
          <w:w w:val="105"/>
        </w:rPr>
        <w:t>o</w:t>
      </w:r>
      <w:r>
        <w:rPr>
          <w:color w:val="231F20"/>
          <w:spacing w:val="-29"/>
          <w:w w:val="105"/>
        </w:rPr>
        <w:t> </w:t>
      </w:r>
      <w:r>
        <w:rPr>
          <w:color w:val="231F20"/>
          <w:w w:val="105"/>
        </w:rPr>
        <w:t>etapas</w:t>
      </w:r>
      <w:r>
        <w:rPr>
          <w:color w:val="231F20"/>
          <w:spacing w:val="-29"/>
          <w:w w:val="105"/>
        </w:rPr>
        <w:t> </w:t>
      </w:r>
      <w:r>
        <w:rPr>
          <w:color w:val="231F20"/>
          <w:w w:val="105"/>
        </w:rPr>
        <w:t>por</w:t>
      </w:r>
      <w:r>
        <w:rPr>
          <w:color w:val="231F20"/>
          <w:spacing w:val="-29"/>
          <w:w w:val="105"/>
        </w:rPr>
        <w:t> </w:t>
      </w:r>
      <w:r>
        <w:rPr>
          <w:color w:val="231F20"/>
          <w:spacing w:val="-2"/>
          <w:w w:val="105"/>
        </w:rPr>
        <w:t>las </w:t>
      </w:r>
      <w:r>
        <w:rPr>
          <w:color w:val="231F20"/>
          <w:w w:val="105"/>
        </w:rPr>
        <w:t>que</w:t>
      </w:r>
      <w:r>
        <w:rPr>
          <w:color w:val="231F20"/>
          <w:spacing w:val="-7"/>
          <w:w w:val="105"/>
        </w:rPr>
        <w:t> </w:t>
      </w:r>
      <w:r>
        <w:rPr>
          <w:color w:val="231F20"/>
          <w:w w:val="105"/>
        </w:rPr>
        <w:t>ha</w:t>
      </w:r>
      <w:r>
        <w:rPr>
          <w:color w:val="231F20"/>
          <w:spacing w:val="-7"/>
          <w:w w:val="105"/>
        </w:rPr>
        <w:t> </w:t>
      </w:r>
      <w:r>
        <w:rPr>
          <w:color w:val="231F20"/>
          <w:w w:val="105"/>
        </w:rPr>
        <w:t>transitado</w:t>
      </w:r>
      <w:r>
        <w:rPr>
          <w:color w:val="231F20"/>
          <w:spacing w:val="-7"/>
          <w:w w:val="105"/>
        </w:rPr>
        <w:t> </w:t>
      </w:r>
      <w:r>
        <w:rPr>
          <w:color w:val="231F20"/>
          <w:w w:val="105"/>
        </w:rPr>
        <w:t>la</w:t>
      </w:r>
      <w:r>
        <w:rPr>
          <w:color w:val="231F20"/>
          <w:spacing w:val="-7"/>
          <w:w w:val="105"/>
        </w:rPr>
        <w:t> </w:t>
      </w:r>
      <w:r>
        <w:rPr>
          <w:color w:val="231F20"/>
          <w:w w:val="105"/>
        </w:rPr>
        <w:t>dinámica</w:t>
      </w:r>
      <w:r>
        <w:rPr>
          <w:color w:val="231F20"/>
          <w:spacing w:val="-7"/>
          <w:w w:val="105"/>
        </w:rPr>
        <w:t> </w:t>
      </w:r>
      <w:r>
        <w:rPr>
          <w:color w:val="231F20"/>
          <w:spacing w:val="-3"/>
          <w:w w:val="105"/>
        </w:rPr>
        <w:t>migratoria</w:t>
      </w:r>
      <w:r>
        <w:rPr>
          <w:color w:val="231F20"/>
          <w:spacing w:val="-7"/>
          <w:w w:val="105"/>
        </w:rPr>
        <w:t> </w:t>
      </w:r>
      <w:r>
        <w:rPr>
          <w:color w:val="231F20"/>
          <w:w w:val="105"/>
        </w:rPr>
        <w:t>internacional</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spacing w:val="-3"/>
          <w:w w:val="105"/>
        </w:rPr>
        <w:t>mexicanos </w:t>
      </w:r>
      <w:r>
        <w:rPr>
          <w:color w:val="231F20"/>
          <w:w w:val="105"/>
        </w:rPr>
        <w:t>en</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20"/>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finalidad</w:t>
      </w:r>
      <w:r>
        <w:rPr>
          <w:color w:val="231F20"/>
          <w:spacing w:val="-16"/>
          <w:w w:val="105"/>
        </w:rPr>
        <w:t> </w:t>
      </w:r>
      <w:r>
        <w:rPr>
          <w:color w:val="231F20"/>
          <w:w w:val="105"/>
        </w:rPr>
        <w:t>de</w:t>
      </w:r>
      <w:r>
        <w:rPr>
          <w:color w:val="231F20"/>
          <w:spacing w:val="-16"/>
          <w:w w:val="105"/>
        </w:rPr>
        <w:t> </w:t>
      </w:r>
      <w:r>
        <w:rPr>
          <w:color w:val="231F20"/>
          <w:w w:val="105"/>
        </w:rPr>
        <w:t>situar</w:t>
      </w:r>
      <w:r>
        <w:rPr>
          <w:color w:val="231F20"/>
          <w:spacing w:val="-16"/>
          <w:w w:val="105"/>
        </w:rPr>
        <w:t> </w:t>
      </w:r>
      <w:r>
        <w:rPr>
          <w:color w:val="231F20"/>
          <w:w w:val="105"/>
        </w:rPr>
        <w:t>las</w:t>
      </w:r>
      <w:r>
        <w:rPr>
          <w:color w:val="231F20"/>
          <w:spacing w:val="-16"/>
          <w:w w:val="105"/>
        </w:rPr>
        <w:t> </w:t>
      </w:r>
      <w:r>
        <w:rPr>
          <w:color w:val="231F20"/>
          <w:w w:val="105"/>
        </w:rPr>
        <w:t>contradicciones</w:t>
      </w:r>
      <w:r>
        <w:rPr>
          <w:color w:val="231F20"/>
          <w:spacing w:val="-16"/>
          <w:w w:val="105"/>
        </w:rPr>
        <w:t> </w:t>
      </w:r>
      <w:r>
        <w:rPr>
          <w:color w:val="231F20"/>
          <w:spacing w:val="-3"/>
          <w:w w:val="105"/>
        </w:rPr>
        <w:t>entre</w:t>
      </w:r>
      <w:r>
        <w:rPr>
          <w:color w:val="231F20"/>
          <w:spacing w:val="-16"/>
          <w:w w:val="105"/>
        </w:rPr>
        <w:t> </w:t>
      </w:r>
      <w:r>
        <w:rPr>
          <w:color w:val="231F20"/>
          <w:w w:val="105"/>
        </w:rPr>
        <w:t>la </w:t>
      </w:r>
      <w:r>
        <w:rPr>
          <w:color w:val="231F20"/>
          <w:spacing w:val="-3"/>
          <w:w w:val="105"/>
        </w:rPr>
        <w:t>apertura</w:t>
      </w:r>
      <w:r>
        <w:rPr>
          <w:color w:val="231F20"/>
          <w:spacing w:val="-11"/>
          <w:w w:val="105"/>
        </w:rPr>
        <w:t> </w:t>
      </w:r>
      <w:r>
        <w:rPr>
          <w:color w:val="231F20"/>
          <w:w w:val="105"/>
        </w:rPr>
        <w:t>y</w:t>
      </w:r>
      <w:r>
        <w:rPr>
          <w:color w:val="231F20"/>
          <w:spacing w:val="-11"/>
          <w:w w:val="105"/>
        </w:rPr>
        <w:t> </w:t>
      </w:r>
      <w:r>
        <w:rPr>
          <w:color w:val="231F20"/>
          <w:spacing w:val="-3"/>
          <w:w w:val="105"/>
        </w:rPr>
        <w:t>cierre</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spacing w:val="-3"/>
          <w:w w:val="105"/>
        </w:rPr>
        <w:t>fronteras.</w:t>
      </w:r>
      <w:r>
        <w:rPr>
          <w:color w:val="231F20"/>
          <w:spacing w:val="-16"/>
          <w:w w:val="105"/>
        </w:rPr>
        <w:t> </w:t>
      </w:r>
      <w:r>
        <w:rPr>
          <w:color w:val="231F20"/>
          <w:w w:val="105"/>
        </w:rPr>
        <w:t>En</w:t>
      </w:r>
      <w:r>
        <w:rPr>
          <w:color w:val="231F20"/>
          <w:spacing w:val="-11"/>
          <w:w w:val="105"/>
        </w:rPr>
        <w:t> </w:t>
      </w:r>
      <w:r>
        <w:rPr>
          <w:color w:val="231F20"/>
          <w:w w:val="105"/>
        </w:rPr>
        <w:t>un</w:t>
      </w:r>
      <w:r>
        <w:rPr>
          <w:color w:val="231F20"/>
          <w:spacing w:val="-11"/>
          <w:w w:val="105"/>
        </w:rPr>
        <w:t> </w:t>
      </w:r>
      <w:r>
        <w:rPr>
          <w:color w:val="231F20"/>
          <w:w w:val="105"/>
        </w:rPr>
        <w:t>segundo</w:t>
      </w:r>
      <w:r>
        <w:rPr>
          <w:color w:val="231F20"/>
          <w:spacing w:val="-11"/>
          <w:w w:val="105"/>
        </w:rPr>
        <w:t> </w:t>
      </w:r>
      <w:r>
        <w:rPr>
          <w:color w:val="231F20"/>
          <w:w w:val="105"/>
        </w:rPr>
        <w:t>apartado</w:t>
      </w:r>
      <w:r>
        <w:rPr>
          <w:color w:val="231F20"/>
          <w:spacing w:val="-11"/>
          <w:w w:val="105"/>
        </w:rPr>
        <w:t> </w:t>
      </w:r>
      <w:r>
        <w:rPr>
          <w:color w:val="231F20"/>
          <w:w w:val="105"/>
        </w:rPr>
        <w:t>se</w:t>
      </w:r>
      <w:r>
        <w:rPr>
          <w:color w:val="231F20"/>
          <w:spacing w:val="-11"/>
          <w:w w:val="105"/>
        </w:rPr>
        <w:t> </w:t>
      </w:r>
      <w:r>
        <w:rPr>
          <w:color w:val="231F20"/>
          <w:w w:val="105"/>
        </w:rPr>
        <w:t>expone</w:t>
      </w:r>
      <w:r>
        <w:rPr>
          <w:color w:val="231F20"/>
          <w:spacing w:val="-11"/>
          <w:w w:val="105"/>
        </w:rPr>
        <w:t> </w:t>
      </w:r>
      <w:r>
        <w:rPr>
          <w:color w:val="231F20"/>
          <w:w w:val="105"/>
        </w:rPr>
        <w:t>un </w:t>
      </w:r>
      <w:r>
        <w:rPr>
          <w:color w:val="231F20"/>
          <w:spacing w:val="-3"/>
          <w:w w:val="105"/>
        </w:rPr>
        <w:t>acercamiento</w:t>
      </w:r>
      <w:r>
        <w:rPr>
          <w:color w:val="231F20"/>
          <w:spacing w:val="-22"/>
          <w:w w:val="105"/>
        </w:rPr>
        <w:t> </w:t>
      </w:r>
      <w:r>
        <w:rPr>
          <w:color w:val="231F20"/>
          <w:w w:val="105"/>
        </w:rPr>
        <w:t>al</w:t>
      </w:r>
      <w:r>
        <w:rPr>
          <w:color w:val="231F20"/>
          <w:spacing w:val="-22"/>
          <w:w w:val="105"/>
        </w:rPr>
        <w:t> </w:t>
      </w:r>
      <w:r>
        <w:rPr>
          <w:color w:val="231F20"/>
          <w:w w:val="105"/>
        </w:rPr>
        <w:t>contexto</w:t>
      </w:r>
      <w:r>
        <w:rPr>
          <w:color w:val="231F20"/>
          <w:spacing w:val="-22"/>
          <w:w w:val="105"/>
        </w:rPr>
        <w:t> </w:t>
      </w:r>
      <w:r>
        <w:rPr>
          <w:color w:val="231F20"/>
          <w:w w:val="105"/>
        </w:rPr>
        <w:t>de</w:t>
      </w:r>
      <w:r>
        <w:rPr>
          <w:color w:val="231F20"/>
          <w:spacing w:val="-22"/>
          <w:w w:val="105"/>
        </w:rPr>
        <w:t> </w:t>
      </w:r>
      <w:r>
        <w:rPr>
          <w:color w:val="231F20"/>
          <w:w w:val="105"/>
        </w:rPr>
        <w:t>política</w:t>
      </w:r>
      <w:r>
        <w:rPr>
          <w:color w:val="231F20"/>
          <w:spacing w:val="-22"/>
          <w:w w:val="105"/>
        </w:rPr>
        <w:t> </w:t>
      </w:r>
      <w:r>
        <w:rPr>
          <w:color w:val="231F20"/>
          <w:spacing w:val="-3"/>
          <w:w w:val="105"/>
        </w:rPr>
        <w:t>migratoria</w:t>
      </w:r>
      <w:r>
        <w:rPr>
          <w:color w:val="231F20"/>
          <w:spacing w:val="-22"/>
          <w:w w:val="105"/>
        </w:rPr>
        <w:t> </w:t>
      </w:r>
      <w:r>
        <w:rPr>
          <w:color w:val="231F20"/>
          <w:w w:val="105"/>
        </w:rPr>
        <w:t>estadounidense</w:t>
      </w:r>
      <w:r>
        <w:rPr>
          <w:color w:val="231F20"/>
          <w:spacing w:val="-22"/>
          <w:w w:val="105"/>
        </w:rPr>
        <w:t> </w:t>
      </w:r>
      <w:r>
        <w:rPr>
          <w:color w:val="231F20"/>
          <w:w w:val="105"/>
        </w:rPr>
        <w:t>y</w:t>
      </w:r>
      <w:r>
        <w:rPr>
          <w:color w:val="231F20"/>
          <w:spacing w:val="-22"/>
          <w:w w:val="105"/>
        </w:rPr>
        <w:t> </w:t>
      </w:r>
      <w:r>
        <w:rPr>
          <w:color w:val="231F20"/>
          <w:spacing w:val="-3"/>
          <w:w w:val="105"/>
        </w:rPr>
        <w:t>resurgi- </w:t>
      </w:r>
      <w:r>
        <w:rPr>
          <w:color w:val="231F20"/>
          <w:w w:val="105"/>
        </w:rPr>
        <w:t>miento</w:t>
      </w:r>
      <w:r>
        <w:rPr>
          <w:color w:val="231F20"/>
          <w:spacing w:val="-27"/>
          <w:w w:val="105"/>
        </w:rPr>
        <w:t> </w:t>
      </w:r>
      <w:r>
        <w:rPr>
          <w:color w:val="231F20"/>
          <w:w w:val="105"/>
        </w:rPr>
        <w:t>de</w:t>
      </w:r>
      <w:r>
        <w:rPr>
          <w:color w:val="231F20"/>
          <w:spacing w:val="-27"/>
          <w:w w:val="105"/>
        </w:rPr>
        <w:t> </w:t>
      </w:r>
      <w:r>
        <w:rPr>
          <w:color w:val="231F20"/>
          <w:w w:val="105"/>
        </w:rPr>
        <w:t>medidas</w:t>
      </w:r>
      <w:r>
        <w:rPr>
          <w:color w:val="231F20"/>
          <w:spacing w:val="-27"/>
          <w:w w:val="105"/>
        </w:rPr>
        <w:t> </w:t>
      </w:r>
      <w:r>
        <w:rPr>
          <w:color w:val="231F20"/>
          <w:w w:val="105"/>
        </w:rPr>
        <w:t>xenófobas.</w:t>
      </w:r>
      <w:r>
        <w:rPr>
          <w:color w:val="231F20"/>
          <w:spacing w:val="-32"/>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spacing w:val="-3"/>
          <w:w w:val="105"/>
        </w:rPr>
        <w:t>tercer</w:t>
      </w:r>
      <w:r>
        <w:rPr>
          <w:color w:val="231F20"/>
          <w:spacing w:val="-27"/>
          <w:w w:val="105"/>
        </w:rPr>
        <w:t> </w:t>
      </w:r>
      <w:r>
        <w:rPr>
          <w:color w:val="231F20"/>
          <w:w w:val="105"/>
        </w:rPr>
        <w:t>apartado</w:t>
      </w:r>
      <w:r>
        <w:rPr>
          <w:color w:val="231F20"/>
          <w:spacing w:val="-27"/>
          <w:w w:val="105"/>
        </w:rPr>
        <w:t> </w:t>
      </w:r>
      <w:r>
        <w:rPr>
          <w:color w:val="231F20"/>
          <w:w w:val="105"/>
        </w:rPr>
        <w:t>se</w:t>
      </w:r>
      <w:r>
        <w:rPr>
          <w:color w:val="231F20"/>
          <w:spacing w:val="-27"/>
          <w:w w:val="105"/>
        </w:rPr>
        <w:t> </w:t>
      </w:r>
      <w:r>
        <w:rPr>
          <w:color w:val="231F20"/>
          <w:spacing w:val="-3"/>
          <w:w w:val="105"/>
        </w:rPr>
        <w:t>presenta</w:t>
      </w:r>
      <w:r>
        <w:rPr>
          <w:color w:val="231F20"/>
          <w:spacing w:val="-27"/>
          <w:w w:val="105"/>
        </w:rPr>
        <w:t> </w:t>
      </w:r>
      <w:r>
        <w:rPr>
          <w:color w:val="231F20"/>
          <w:w w:val="105"/>
        </w:rPr>
        <w:t>un</w:t>
      </w:r>
      <w:r>
        <w:rPr>
          <w:color w:val="231F20"/>
          <w:spacing w:val="-27"/>
          <w:w w:val="105"/>
        </w:rPr>
        <w:t> </w:t>
      </w:r>
      <w:r>
        <w:rPr>
          <w:color w:val="231F20"/>
          <w:w w:val="105"/>
        </w:rPr>
        <w:t>análi- sis</w:t>
      </w:r>
      <w:r>
        <w:rPr>
          <w:color w:val="231F20"/>
          <w:spacing w:val="-33"/>
          <w:w w:val="105"/>
        </w:rPr>
        <w:t> </w:t>
      </w:r>
      <w:r>
        <w:rPr>
          <w:color w:val="231F20"/>
          <w:w w:val="105"/>
        </w:rPr>
        <w:t>descriptivo</w:t>
      </w:r>
      <w:r>
        <w:rPr>
          <w:color w:val="231F20"/>
          <w:spacing w:val="-33"/>
          <w:w w:val="105"/>
        </w:rPr>
        <w:t> </w:t>
      </w:r>
      <w:r>
        <w:rPr>
          <w:color w:val="231F20"/>
          <w:spacing w:val="-3"/>
          <w:w w:val="105"/>
        </w:rPr>
        <w:t>sobre</w:t>
      </w:r>
      <w:r>
        <w:rPr>
          <w:color w:val="231F20"/>
          <w:spacing w:val="-33"/>
          <w:w w:val="105"/>
        </w:rPr>
        <w:t> </w:t>
      </w:r>
      <w:r>
        <w:rPr>
          <w:color w:val="231F20"/>
          <w:w w:val="105"/>
        </w:rPr>
        <w:t>las</w:t>
      </w:r>
      <w:r>
        <w:rPr>
          <w:color w:val="231F20"/>
          <w:spacing w:val="-33"/>
          <w:w w:val="105"/>
        </w:rPr>
        <w:t> </w:t>
      </w:r>
      <w:r>
        <w:rPr>
          <w:color w:val="231F20"/>
          <w:w w:val="105"/>
        </w:rPr>
        <w:t>principales</w:t>
      </w:r>
      <w:r>
        <w:rPr>
          <w:color w:val="231F20"/>
          <w:spacing w:val="-33"/>
          <w:w w:val="105"/>
        </w:rPr>
        <w:t> </w:t>
      </w:r>
      <w:r>
        <w:rPr>
          <w:color w:val="231F20"/>
          <w:w w:val="105"/>
        </w:rPr>
        <w:t>características</w:t>
      </w:r>
      <w:r>
        <w:rPr>
          <w:color w:val="231F20"/>
          <w:spacing w:val="-33"/>
          <w:w w:val="105"/>
        </w:rPr>
        <w:t> </w:t>
      </w:r>
      <w:r>
        <w:rPr>
          <w:color w:val="231F20"/>
          <w:w w:val="105"/>
        </w:rPr>
        <w:t>de</w:t>
      </w:r>
      <w:r>
        <w:rPr>
          <w:color w:val="231F20"/>
          <w:spacing w:val="-33"/>
          <w:w w:val="105"/>
        </w:rPr>
        <w:t> </w:t>
      </w:r>
      <w:r>
        <w:rPr>
          <w:color w:val="231F20"/>
          <w:w w:val="105"/>
        </w:rPr>
        <w:t>los</w:t>
      </w:r>
      <w:r>
        <w:rPr>
          <w:color w:val="231F20"/>
          <w:spacing w:val="-33"/>
          <w:w w:val="105"/>
        </w:rPr>
        <w:t> </w:t>
      </w:r>
      <w:r>
        <w:rPr>
          <w:color w:val="231F20"/>
          <w:w w:val="105"/>
        </w:rPr>
        <w:t>migrantes</w:t>
      </w:r>
      <w:r>
        <w:rPr>
          <w:color w:val="231F20"/>
          <w:spacing w:val="-33"/>
          <w:w w:val="105"/>
        </w:rPr>
        <w:t> </w:t>
      </w:r>
      <w:r>
        <w:rPr>
          <w:color w:val="231F20"/>
          <w:w w:val="105"/>
        </w:rPr>
        <w:t>mexi- quenses</w:t>
      </w:r>
      <w:r>
        <w:rPr>
          <w:color w:val="231F20"/>
          <w:spacing w:val="-22"/>
          <w:w w:val="105"/>
        </w:rPr>
        <w:t> </w:t>
      </w:r>
      <w:r>
        <w:rPr>
          <w:color w:val="231F20"/>
          <w:w w:val="105"/>
        </w:rPr>
        <w:t>devueltos</w:t>
      </w:r>
      <w:r>
        <w:rPr>
          <w:color w:val="231F20"/>
          <w:spacing w:val="-22"/>
          <w:w w:val="105"/>
        </w:rPr>
        <w:t> </w:t>
      </w:r>
      <w:r>
        <w:rPr>
          <w:color w:val="231F20"/>
          <w:w w:val="105"/>
        </w:rPr>
        <w:t>de</w:t>
      </w:r>
      <w:r>
        <w:rPr>
          <w:color w:val="231F20"/>
          <w:spacing w:val="-22"/>
          <w:w w:val="105"/>
        </w:rPr>
        <w:t> </w:t>
      </w:r>
      <w:r>
        <w:rPr>
          <w:color w:val="231F20"/>
          <w:w w:val="105"/>
        </w:rPr>
        <w:t>Estados</w:t>
      </w:r>
      <w:r>
        <w:rPr>
          <w:color w:val="231F20"/>
          <w:spacing w:val="-22"/>
          <w:w w:val="105"/>
        </w:rPr>
        <w:t> </w:t>
      </w:r>
      <w:r>
        <w:rPr>
          <w:color w:val="231F20"/>
          <w:w w:val="105"/>
        </w:rPr>
        <w:t>Unidos</w:t>
      </w:r>
      <w:r>
        <w:rPr>
          <w:color w:val="231F20"/>
          <w:spacing w:val="-22"/>
          <w:w w:val="105"/>
        </w:rPr>
        <w:t> </w:t>
      </w:r>
      <w:r>
        <w:rPr>
          <w:color w:val="231F20"/>
          <w:w w:val="105"/>
        </w:rPr>
        <w:t>durante</w:t>
      </w:r>
      <w:r>
        <w:rPr>
          <w:color w:val="231F20"/>
          <w:spacing w:val="-22"/>
          <w:w w:val="105"/>
        </w:rPr>
        <w:t> </w:t>
      </w:r>
      <w:r>
        <w:rPr>
          <w:color w:val="231F20"/>
          <w:w w:val="105"/>
        </w:rPr>
        <w:t>el</w:t>
      </w:r>
      <w:r>
        <w:rPr>
          <w:color w:val="231F20"/>
          <w:spacing w:val="-22"/>
          <w:w w:val="105"/>
        </w:rPr>
        <w:t> </w:t>
      </w:r>
      <w:r>
        <w:rPr>
          <w:color w:val="231F20"/>
          <w:w w:val="105"/>
        </w:rPr>
        <w:t>periodo</w:t>
      </w:r>
      <w:r>
        <w:rPr>
          <w:color w:val="231F20"/>
          <w:spacing w:val="-22"/>
          <w:w w:val="105"/>
        </w:rPr>
        <w:t> </w:t>
      </w:r>
      <w:r>
        <w:rPr>
          <w:color w:val="231F20"/>
          <w:w w:val="105"/>
        </w:rPr>
        <w:t>2007-2012.</w:t>
      </w:r>
      <w:r>
        <w:rPr>
          <w:color w:val="231F20"/>
          <w:spacing w:val="-26"/>
          <w:w w:val="105"/>
        </w:rPr>
        <w:t> </w:t>
      </w:r>
      <w:r>
        <w:rPr>
          <w:color w:val="231F20"/>
          <w:w w:val="105"/>
        </w:rPr>
        <w:t>Se concluye</w:t>
      </w:r>
      <w:r>
        <w:rPr>
          <w:color w:val="231F20"/>
          <w:spacing w:val="-39"/>
          <w:w w:val="105"/>
        </w:rPr>
        <w:t> </w:t>
      </w:r>
      <w:r>
        <w:rPr>
          <w:color w:val="231F20"/>
          <w:w w:val="105"/>
        </w:rPr>
        <w:t>con</w:t>
      </w:r>
      <w:r>
        <w:rPr>
          <w:color w:val="231F20"/>
          <w:spacing w:val="-39"/>
          <w:w w:val="105"/>
        </w:rPr>
        <w:t> </w:t>
      </w:r>
      <w:r>
        <w:rPr>
          <w:color w:val="231F20"/>
          <w:w w:val="105"/>
        </w:rPr>
        <w:t>algunas</w:t>
      </w:r>
      <w:r>
        <w:rPr>
          <w:color w:val="231F20"/>
          <w:spacing w:val="-39"/>
          <w:w w:val="105"/>
        </w:rPr>
        <w:t> </w:t>
      </w:r>
      <w:r>
        <w:rPr>
          <w:color w:val="231F20"/>
          <w:spacing w:val="-3"/>
          <w:w w:val="105"/>
        </w:rPr>
        <w:t>reflexiones.</w:t>
      </w:r>
    </w:p>
    <w:p>
      <w:pPr>
        <w:pStyle w:val="BodyText"/>
        <w:rPr>
          <w:sz w:val="20"/>
        </w:rPr>
      </w:pPr>
    </w:p>
    <w:p>
      <w:pPr>
        <w:pStyle w:val="BodyText"/>
        <w:spacing w:before="9"/>
        <w:rPr>
          <w:sz w:val="20"/>
        </w:rPr>
      </w:pPr>
    </w:p>
    <w:p>
      <w:pPr>
        <w:pStyle w:val="Heading3"/>
      </w:pPr>
      <w:r>
        <w:rPr>
          <w:color w:val="231F20"/>
          <w:w w:val="95"/>
        </w:rPr>
        <w:t>Etapas de la migración México–Estados Unidos</w:t>
      </w:r>
    </w:p>
    <w:p>
      <w:pPr>
        <w:pStyle w:val="BodyText"/>
        <w:rPr>
          <w:rFonts w:ascii="Arial"/>
          <w:b/>
          <w:sz w:val="22"/>
        </w:rPr>
      </w:pPr>
    </w:p>
    <w:p>
      <w:pPr>
        <w:pStyle w:val="BodyText"/>
        <w:spacing w:line="261" w:lineRule="auto" w:before="163"/>
        <w:ind w:left="1837" w:right="1721"/>
        <w:jc w:val="both"/>
      </w:pPr>
      <w:r>
        <w:rPr>
          <w:color w:val="231F20"/>
          <w:w w:val="105"/>
        </w:rPr>
        <w:t>Historicidad,</w:t>
      </w:r>
      <w:r>
        <w:rPr>
          <w:color w:val="231F20"/>
          <w:spacing w:val="-21"/>
          <w:w w:val="105"/>
        </w:rPr>
        <w:t> </w:t>
      </w:r>
      <w:r>
        <w:rPr>
          <w:color w:val="231F20"/>
          <w:w w:val="105"/>
        </w:rPr>
        <w:t>masividad</w:t>
      </w:r>
      <w:r>
        <w:rPr>
          <w:color w:val="231F20"/>
          <w:spacing w:val="-15"/>
          <w:w w:val="105"/>
        </w:rPr>
        <w:t> </w:t>
      </w:r>
      <w:r>
        <w:rPr>
          <w:color w:val="231F20"/>
          <w:w w:val="105"/>
        </w:rPr>
        <w:t>y</w:t>
      </w:r>
      <w:r>
        <w:rPr>
          <w:color w:val="231F20"/>
          <w:spacing w:val="-15"/>
          <w:w w:val="105"/>
        </w:rPr>
        <w:t> </w:t>
      </w:r>
      <w:r>
        <w:rPr>
          <w:color w:val="231F20"/>
          <w:w w:val="105"/>
        </w:rPr>
        <w:t>vecindad</w:t>
      </w:r>
      <w:r>
        <w:rPr>
          <w:color w:val="231F20"/>
          <w:spacing w:val="-15"/>
          <w:w w:val="105"/>
        </w:rPr>
        <w:t> </w:t>
      </w:r>
      <w:r>
        <w:rPr>
          <w:color w:val="231F20"/>
          <w:w w:val="105"/>
        </w:rPr>
        <w:t>[geográfica]</w:t>
      </w:r>
      <w:r>
        <w:rPr>
          <w:color w:val="231F20"/>
          <w:spacing w:val="-15"/>
          <w:w w:val="105"/>
        </w:rPr>
        <w:t> </w:t>
      </w:r>
      <w:r>
        <w:rPr>
          <w:color w:val="231F20"/>
          <w:w w:val="105"/>
        </w:rPr>
        <w:t>constituyen</w:t>
      </w:r>
      <w:r>
        <w:rPr>
          <w:color w:val="231F20"/>
          <w:spacing w:val="-15"/>
          <w:w w:val="105"/>
        </w:rPr>
        <w:t> </w:t>
      </w:r>
      <w:r>
        <w:rPr>
          <w:color w:val="231F20"/>
          <w:w w:val="105"/>
        </w:rPr>
        <w:t>las</w:t>
      </w:r>
      <w:r>
        <w:rPr>
          <w:color w:val="231F20"/>
          <w:spacing w:val="-15"/>
          <w:w w:val="105"/>
        </w:rPr>
        <w:t> </w:t>
      </w:r>
      <w:r>
        <w:rPr>
          <w:color w:val="231F20"/>
          <w:w w:val="105"/>
        </w:rPr>
        <w:t>tres</w:t>
      </w:r>
      <w:r>
        <w:rPr>
          <w:color w:val="231F20"/>
          <w:spacing w:val="-15"/>
          <w:w w:val="105"/>
        </w:rPr>
        <w:t> </w:t>
      </w:r>
      <w:r>
        <w:rPr>
          <w:color w:val="231F20"/>
          <w:w w:val="105"/>
        </w:rPr>
        <w:t>prin- cipales características que han hecho de la migración internacional de los</w:t>
      </w:r>
      <w:r>
        <w:rPr>
          <w:color w:val="231F20"/>
          <w:spacing w:val="-8"/>
          <w:w w:val="105"/>
        </w:rPr>
        <w:t> </w:t>
      </w:r>
      <w:r>
        <w:rPr>
          <w:color w:val="231F20"/>
          <w:w w:val="105"/>
        </w:rPr>
        <w:t>mexicanos</w:t>
      </w:r>
      <w:r>
        <w:rPr>
          <w:color w:val="231F20"/>
          <w:spacing w:val="-8"/>
          <w:w w:val="105"/>
        </w:rPr>
        <w:t> </w:t>
      </w:r>
      <w:r>
        <w:rPr>
          <w:color w:val="231F20"/>
          <w:w w:val="105"/>
        </w:rPr>
        <w:t>un</w:t>
      </w:r>
      <w:r>
        <w:rPr>
          <w:color w:val="231F20"/>
          <w:spacing w:val="-8"/>
          <w:w w:val="105"/>
        </w:rPr>
        <w:t> </w:t>
      </w:r>
      <w:r>
        <w:rPr>
          <w:color w:val="231F20"/>
          <w:w w:val="105"/>
        </w:rPr>
        <w:t>fenómeno</w:t>
      </w:r>
      <w:r>
        <w:rPr>
          <w:color w:val="231F20"/>
          <w:spacing w:val="-8"/>
          <w:w w:val="105"/>
        </w:rPr>
        <w:t> </w:t>
      </w:r>
      <w:r>
        <w:rPr>
          <w:color w:val="231F20"/>
          <w:w w:val="105"/>
        </w:rPr>
        <w:t>social</w:t>
      </w:r>
      <w:r>
        <w:rPr>
          <w:color w:val="231F20"/>
          <w:spacing w:val="-8"/>
          <w:w w:val="105"/>
        </w:rPr>
        <w:t> </w:t>
      </w:r>
      <w:r>
        <w:rPr>
          <w:color w:val="231F20"/>
          <w:w w:val="105"/>
        </w:rPr>
        <w:t>particular</w:t>
      </w:r>
      <w:r>
        <w:rPr>
          <w:color w:val="231F20"/>
          <w:spacing w:val="-8"/>
          <w:w w:val="105"/>
        </w:rPr>
        <w:t> </w:t>
      </w:r>
      <w:r>
        <w:rPr>
          <w:color w:val="231F20"/>
          <w:w w:val="105"/>
        </w:rPr>
        <w:t>y</w:t>
      </w:r>
      <w:r>
        <w:rPr>
          <w:color w:val="231F20"/>
          <w:spacing w:val="-8"/>
          <w:w w:val="105"/>
        </w:rPr>
        <w:t> </w:t>
      </w:r>
      <w:r>
        <w:rPr>
          <w:color w:val="231F20"/>
          <w:w w:val="105"/>
        </w:rPr>
        <w:t>diferente,</w:t>
      </w:r>
      <w:r>
        <w:rPr>
          <w:color w:val="231F20"/>
          <w:spacing w:val="-14"/>
          <w:w w:val="105"/>
        </w:rPr>
        <w:t> </w:t>
      </w:r>
      <w:r>
        <w:rPr>
          <w:color w:val="231F20"/>
          <w:w w:val="105"/>
        </w:rPr>
        <w:t>de</w:t>
      </w:r>
      <w:r>
        <w:rPr>
          <w:color w:val="231F20"/>
          <w:spacing w:val="-8"/>
          <w:w w:val="105"/>
        </w:rPr>
        <w:t> </w:t>
      </w:r>
      <w:r>
        <w:rPr>
          <w:color w:val="231F20"/>
          <w:w w:val="105"/>
        </w:rPr>
        <w:t>otros</w:t>
      </w:r>
      <w:r>
        <w:rPr>
          <w:color w:val="231F20"/>
          <w:spacing w:val="-8"/>
          <w:w w:val="105"/>
        </w:rPr>
        <w:t> </w:t>
      </w:r>
      <w:r>
        <w:rPr>
          <w:color w:val="231F20"/>
          <w:w w:val="105"/>
        </w:rPr>
        <w:t>tantos desplazamientos</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dirigen</w:t>
      </w:r>
      <w:r>
        <w:rPr>
          <w:color w:val="231F20"/>
          <w:spacing w:val="-11"/>
          <w:w w:val="105"/>
        </w:rPr>
        <w:t> </w:t>
      </w:r>
      <w:r>
        <w:rPr>
          <w:color w:val="231F20"/>
          <w:w w:val="105"/>
        </w:rPr>
        <w:t>y</w:t>
      </w:r>
      <w:r>
        <w:rPr>
          <w:color w:val="231F20"/>
          <w:spacing w:val="-11"/>
          <w:w w:val="105"/>
        </w:rPr>
        <w:t> </w:t>
      </w:r>
      <w:r>
        <w:rPr>
          <w:color w:val="231F20"/>
          <w:w w:val="105"/>
        </w:rPr>
        <w:t>se</w:t>
      </w:r>
      <w:r>
        <w:rPr>
          <w:color w:val="231F20"/>
          <w:spacing w:val="-11"/>
          <w:w w:val="105"/>
        </w:rPr>
        <w:t> </w:t>
      </w:r>
      <w:r>
        <w:rPr>
          <w:color w:val="231F20"/>
          <w:w w:val="105"/>
        </w:rPr>
        <w:t>han</w:t>
      </w:r>
      <w:r>
        <w:rPr>
          <w:color w:val="231F20"/>
          <w:spacing w:val="-11"/>
          <w:w w:val="105"/>
        </w:rPr>
        <w:t> </w:t>
      </w:r>
      <w:r>
        <w:rPr>
          <w:color w:val="231F20"/>
          <w:w w:val="105"/>
        </w:rPr>
        <w:t>dirigido</w:t>
      </w:r>
      <w:r>
        <w:rPr>
          <w:color w:val="231F20"/>
          <w:spacing w:val="-11"/>
          <w:w w:val="105"/>
        </w:rPr>
        <w:t> </w:t>
      </w:r>
      <w:r>
        <w:rPr>
          <w:color w:val="231F20"/>
          <w:w w:val="105"/>
        </w:rPr>
        <w:t>a</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1"/>
          <w:w w:val="105"/>
        </w:rPr>
        <w:t> </w:t>
      </w:r>
      <w:r>
        <w:rPr>
          <w:color w:val="231F20"/>
          <w:w w:val="105"/>
        </w:rPr>
        <w:t>(Du- rand,</w:t>
      </w:r>
      <w:r>
        <w:rPr>
          <w:color w:val="231F20"/>
          <w:spacing w:val="-17"/>
          <w:w w:val="105"/>
        </w:rPr>
        <w:t> </w:t>
      </w:r>
      <w:r>
        <w:rPr>
          <w:color w:val="231F20"/>
          <w:w w:val="105"/>
        </w:rPr>
        <w:t>2000:</w:t>
      </w:r>
      <w:r>
        <w:rPr>
          <w:color w:val="231F20"/>
          <w:spacing w:val="-12"/>
          <w:w w:val="105"/>
        </w:rPr>
        <w:t> </w:t>
      </w:r>
      <w:r>
        <w:rPr>
          <w:color w:val="231F20"/>
          <w:w w:val="105"/>
        </w:rPr>
        <w:t>19),</w:t>
      </w:r>
      <w:r>
        <w:rPr>
          <w:color w:val="231F20"/>
          <w:spacing w:val="-17"/>
          <w:w w:val="105"/>
        </w:rPr>
        <w:t> </w:t>
      </w:r>
      <w:r>
        <w:rPr>
          <w:color w:val="231F20"/>
          <w:w w:val="105"/>
        </w:rPr>
        <w:t>pues</w:t>
      </w:r>
      <w:r>
        <w:rPr>
          <w:color w:val="231F20"/>
          <w:spacing w:val="-12"/>
          <w:w w:val="105"/>
        </w:rPr>
        <w:t> </w:t>
      </w:r>
      <w:r>
        <w:rPr>
          <w:color w:val="231F20"/>
          <w:w w:val="105"/>
        </w:rPr>
        <w:t>la</w:t>
      </w:r>
      <w:r>
        <w:rPr>
          <w:color w:val="231F20"/>
          <w:spacing w:val="-12"/>
          <w:w w:val="105"/>
        </w:rPr>
        <w:t> </w:t>
      </w:r>
      <w:r>
        <w:rPr>
          <w:color w:val="231F20"/>
          <w:w w:val="105"/>
        </w:rPr>
        <w:t>conjugación</w:t>
      </w:r>
      <w:r>
        <w:rPr>
          <w:color w:val="231F20"/>
          <w:spacing w:val="-12"/>
          <w:w w:val="105"/>
        </w:rPr>
        <w:t> </w:t>
      </w:r>
      <w:r>
        <w:rPr>
          <w:color w:val="231F20"/>
          <w:w w:val="105"/>
        </w:rPr>
        <w:t>de</w:t>
      </w:r>
      <w:r>
        <w:rPr>
          <w:color w:val="231F20"/>
          <w:spacing w:val="-12"/>
          <w:w w:val="105"/>
        </w:rPr>
        <w:t> </w:t>
      </w:r>
      <w:r>
        <w:rPr>
          <w:color w:val="231F20"/>
          <w:w w:val="105"/>
        </w:rPr>
        <w:t>estos</w:t>
      </w:r>
      <w:r>
        <w:rPr>
          <w:color w:val="231F20"/>
          <w:spacing w:val="-12"/>
          <w:w w:val="105"/>
        </w:rPr>
        <w:t> </w:t>
      </w:r>
      <w:r>
        <w:rPr>
          <w:color w:val="231F20"/>
          <w:w w:val="105"/>
        </w:rPr>
        <w:t>tres</w:t>
      </w:r>
      <w:r>
        <w:rPr>
          <w:color w:val="231F20"/>
          <w:spacing w:val="-12"/>
          <w:w w:val="105"/>
        </w:rPr>
        <w:t> </w:t>
      </w:r>
      <w:r>
        <w:rPr>
          <w:color w:val="231F20"/>
          <w:w w:val="105"/>
        </w:rPr>
        <w:t>componentes</w:t>
      </w:r>
      <w:r>
        <w:rPr>
          <w:color w:val="231F20"/>
          <w:spacing w:val="-12"/>
          <w:w w:val="105"/>
        </w:rPr>
        <w:t> </w:t>
      </w:r>
      <w:r>
        <w:rPr>
          <w:color w:val="231F20"/>
          <w:w w:val="105"/>
        </w:rPr>
        <w:t>definen al flujo migratorio de los mexicanos como un proceso social masivo y centenario, que en un contexto de vecindad se ha instituido como un fenómeno dinámico y cambiante, aunque al mismo tiempo ha sido per- manente,</w:t>
      </w:r>
      <w:r>
        <w:rPr>
          <w:color w:val="231F20"/>
          <w:spacing w:val="-25"/>
          <w:w w:val="105"/>
        </w:rPr>
        <w:t> </w:t>
      </w:r>
      <w:r>
        <w:rPr>
          <w:color w:val="231F20"/>
          <w:w w:val="105"/>
        </w:rPr>
        <w:t>constante</w:t>
      </w:r>
      <w:r>
        <w:rPr>
          <w:color w:val="231F20"/>
          <w:spacing w:val="-21"/>
          <w:w w:val="105"/>
        </w:rPr>
        <w:t> </w:t>
      </w:r>
      <w:r>
        <w:rPr>
          <w:color w:val="231F20"/>
          <w:w w:val="105"/>
        </w:rPr>
        <w:t>e</w:t>
      </w:r>
      <w:r>
        <w:rPr>
          <w:color w:val="231F20"/>
          <w:spacing w:val="-21"/>
          <w:w w:val="105"/>
        </w:rPr>
        <w:t> </w:t>
      </w:r>
      <w:r>
        <w:rPr>
          <w:color w:val="231F20"/>
          <w:w w:val="105"/>
        </w:rPr>
        <w:t>histórico</w:t>
      </w:r>
      <w:r>
        <w:rPr>
          <w:color w:val="231F20"/>
          <w:spacing w:val="-21"/>
          <w:w w:val="105"/>
        </w:rPr>
        <w:t> </w:t>
      </w:r>
      <w:r>
        <w:rPr>
          <w:color w:val="231F20"/>
          <w:w w:val="105"/>
        </w:rPr>
        <w:t>(Durand,</w:t>
      </w:r>
      <w:r>
        <w:rPr>
          <w:color w:val="231F20"/>
          <w:spacing w:val="-25"/>
          <w:w w:val="105"/>
        </w:rPr>
        <w:t> </w:t>
      </w:r>
      <w:r>
        <w:rPr>
          <w:color w:val="231F20"/>
          <w:w w:val="105"/>
        </w:rPr>
        <w:t>2000:</w:t>
      </w:r>
      <w:r>
        <w:rPr>
          <w:color w:val="231F20"/>
          <w:spacing w:val="-21"/>
          <w:w w:val="105"/>
        </w:rPr>
        <w:t> </w:t>
      </w:r>
      <w:r>
        <w:rPr>
          <w:color w:val="231F20"/>
          <w:w w:val="105"/>
        </w:rPr>
        <w:t>32).</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14968;mso-wrap-distance-left:0;mso-wrap-distance-right:0" from="91.866096pt,10.033304pt" to="205.252096pt,10.033304pt" stroked="true" strokeweight=".25pt" strokecolor="#231f20">
            <w10:wrap type="topAndBottom"/>
          </v:line>
        </w:pict>
      </w:r>
    </w:p>
    <w:p>
      <w:pPr>
        <w:spacing w:line="192" w:lineRule="exact" w:before="7"/>
        <w:ind w:left="1837" w:right="1721" w:firstLine="0"/>
        <w:jc w:val="both"/>
        <w:rPr>
          <w:rFonts w:ascii="Calibri" w:hAnsi="Calibri"/>
          <w:sz w:val="16"/>
        </w:rPr>
      </w:pPr>
      <w:r>
        <w:rPr>
          <w:rFonts w:ascii="Calibri" w:hAnsi="Calibri"/>
          <w:color w:val="414042"/>
          <w:w w:val="105"/>
          <w:sz w:val="16"/>
        </w:rPr>
        <w:t>mente</w:t>
      </w:r>
      <w:r>
        <w:rPr>
          <w:rFonts w:ascii="Calibri" w:hAnsi="Calibri"/>
          <w:color w:val="414042"/>
          <w:spacing w:val="-2"/>
          <w:w w:val="105"/>
          <w:sz w:val="16"/>
        </w:rPr>
        <w:t> </w:t>
      </w:r>
      <w:r>
        <w:rPr>
          <w:rFonts w:ascii="Calibri" w:hAnsi="Calibri"/>
          <w:color w:val="414042"/>
          <w:w w:val="105"/>
          <w:sz w:val="16"/>
        </w:rPr>
        <w:t>cada</w:t>
      </w:r>
      <w:r>
        <w:rPr>
          <w:rFonts w:ascii="Calibri" w:hAnsi="Calibri"/>
          <w:color w:val="414042"/>
          <w:spacing w:val="-2"/>
          <w:w w:val="105"/>
          <w:sz w:val="16"/>
        </w:rPr>
        <w:t> </w:t>
      </w:r>
      <w:r>
        <w:rPr>
          <w:rFonts w:ascii="Calibri" w:hAnsi="Calibri"/>
          <w:color w:val="414042"/>
          <w:w w:val="105"/>
          <w:sz w:val="16"/>
        </w:rPr>
        <w:t>levantamiento</w:t>
      </w:r>
      <w:r>
        <w:rPr>
          <w:rFonts w:ascii="Calibri" w:hAnsi="Calibri"/>
          <w:color w:val="414042"/>
          <w:spacing w:val="-2"/>
          <w:w w:val="105"/>
          <w:sz w:val="16"/>
        </w:rPr>
        <w:t> </w:t>
      </w:r>
      <w:r>
        <w:rPr>
          <w:rFonts w:ascii="Calibri" w:hAnsi="Calibri"/>
          <w:color w:val="414042"/>
          <w:w w:val="105"/>
          <w:sz w:val="16"/>
        </w:rPr>
        <w:t>se</w:t>
      </w:r>
      <w:r>
        <w:rPr>
          <w:rFonts w:ascii="Calibri" w:hAnsi="Calibri"/>
          <w:color w:val="414042"/>
          <w:spacing w:val="-2"/>
          <w:w w:val="105"/>
          <w:sz w:val="16"/>
        </w:rPr>
        <w:t> </w:t>
      </w:r>
      <w:r>
        <w:rPr>
          <w:rFonts w:ascii="Calibri" w:hAnsi="Calibri"/>
          <w:color w:val="414042"/>
          <w:w w:val="105"/>
          <w:sz w:val="16"/>
        </w:rPr>
        <w:t>lleva</w:t>
      </w:r>
      <w:r>
        <w:rPr>
          <w:rFonts w:ascii="Calibri" w:hAnsi="Calibri"/>
          <w:color w:val="414042"/>
          <w:spacing w:val="-2"/>
          <w:w w:val="105"/>
          <w:sz w:val="16"/>
        </w:rPr>
        <w:t> </w:t>
      </w:r>
      <w:r>
        <w:rPr>
          <w:rFonts w:ascii="Calibri" w:hAnsi="Calibri"/>
          <w:color w:val="414042"/>
          <w:w w:val="105"/>
          <w:sz w:val="16"/>
        </w:rPr>
        <w:t>a</w:t>
      </w:r>
      <w:r>
        <w:rPr>
          <w:rFonts w:ascii="Calibri" w:hAnsi="Calibri"/>
          <w:color w:val="414042"/>
          <w:spacing w:val="-2"/>
          <w:w w:val="105"/>
          <w:sz w:val="16"/>
        </w:rPr>
        <w:t> </w:t>
      </w:r>
      <w:r>
        <w:rPr>
          <w:rFonts w:ascii="Calibri" w:hAnsi="Calibri"/>
          <w:color w:val="414042"/>
          <w:w w:val="105"/>
          <w:sz w:val="16"/>
        </w:rPr>
        <w:t>cabo</w:t>
      </w:r>
      <w:r>
        <w:rPr>
          <w:rFonts w:ascii="Calibri" w:hAnsi="Calibri"/>
          <w:color w:val="414042"/>
          <w:spacing w:val="-2"/>
          <w:w w:val="105"/>
          <w:sz w:val="16"/>
        </w:rPr>
        <w:t> </w:t>
      </w:r>
      <w:r>
        <w:rPr>
          <w:rFonts w:ascii="Calibri" w:hAnsi="Calibri"/>
          <w:color w:val="414042"/>
          <w:w w:val="105"/>
          <w:sz w:val="16"/>
        </w:rPr>
        <w:t>durante</w:t>
      </w:r>
      <w:r>
        <w:rPr>
          <w:rFonts w:ascii="Calibri" w:hAnsi="Calibri"/>
          <w:color w:val="414042"/>
          <w:spacing w:val="-2"/>
          <w:w w:val="105"/>
          <w:sz w:val="16"/>
        </w:rPr>
        <w:t> </w:t>
      </w:r>
      <w:r>
        <w:rPr>
          <w:rFonts w:ascii="Calibri" w:hAnsi="Calibri"/>
          <w:color w:val="414042"/>
          <w:w w:val="105"/>
          <w:sz w:val="16"/>
        </w:rPr>
        <w:t>doce</w:t>
      </w:r>
      <w:r>
        <w:rPr>
          <w:rFonts w:ascii="Calibri" w:hAnsi="Calibri"/>
          <w:color w:val="414042"/>
          <w:spacing w:val="-2"/>
          <w:w w:val="105"/>
          <w:sz w:val="16"/>
        </w:rPr>
        <w:t> </w:t>
      </w:r>
      <w:r>
        <w:rPr>
          <w:rFonts w:ascii="Calibri" w:hAnsi="Calibri"/>
          <w:color w:val="414042"/>
          <w:w w:val="105"/>
          <w:sz w:val="16"/>
        </w:rPr>
        <w:t>meses,</w:t>
      </w:r>
      <w:r>
        <w:rPr>
          <w:rFonts w:ascii="Calibri" w:hAnsi="Calibri"/>
          <w:color w:val="414042"/>
          <w:spacing w:val="-2"/>
          <w:w w:val="105"/>
          <w:sz w:val="16"/>
        </w:rPr>
        <w:t> </w:t>
      </w:r>
      <w:r>
        <w:rPr>
          <w:rFonts w:ascii="Calibri" w:hAnsi="Calibri"/>
          <w:color w:val="414042"/>
          <w:w w:val="105"/>
          <w:sz w:val="16"/>
        </w:rPr>
        <w:t>de</w:t>
      </w:r>
      <w:r>
        <w:rPr>
          <w:rFonts w:ascii="Calibri" w:hAnsi="Calibri"/>
          <w:color w:val="414042"/>
          <w:spacing w:val="-2"/>
          <w:w w:val="105"/>
          <w:sz w:val="16"/>
        </w:rPr>
        <w:t> </w:t>
      </w:r>
      <w:r>
        <w:rPr>
          <w:rFonts w:ascii="Calibri" w:hAnsi="Calibri"/>
          <w:color w:val="414042"/>
          <w:w w:val="105"/>
          <w:sz w:val="16"/>
        </w:rPr>
        <w:t>aproximadamente</w:t>
      </w:r>
      <w:r>
        <w:rPr>
          <w:rFonts w:ascii="Calibri" w:hAnsi="Calibri"/>
          <w:color w:val="414042"/>
          <w:spacing w:val="-2"/>
          <w:w w:val="105"/>
          <w:sz w:val="16"/>
        </w:rPr>
        <w:t> </w:t>
      </w:r>
      <w:r>
        <w:rPr>
          <w:rFonts w:ascii="Calibri" w:hAnsi="Calibri"/>
          <w:color w:val="414042"/>
          <w:w w:val="105"/>
          <w:sz w:val="16"/>
        </w:rPr>
        <w:t>una</w:t>
      </w:r>
      <w:r>
        <w:rPr>
          <w:rFonts w:ascii="Calibri" w:hAnsi="Calibri"/>
          <w:color w:val="414042"/>
          <w:spacing w:val="-2"/>
          <w:w w:val="105"/>
          <w:sz w:val="16"/>
        </w:rPr>
        <w:t> </w:t>
      </w:r>
      <w:r>
        <w:rPr>
          <w:rFonts w:ascii="Calibri" w:hAnsi="Calibri"/>
          <w:color w:val="414042"/>
          <w:w w:val="105"/>
          <w:sz w:val="16"/>
        </w:rPr>
        <w:t>muestra</w:t>
      </w:r>
      <w:r>
        <w:rPr>
          <w:rFonts w:ascii="Calibri" w:hAnsi="Calibri"/>
          <w:color w:val="414042"/>
          <w:spacing w:val="-2"/>
          <w:w w:val="105"/>
          <w:sz w:val="16"/>
        </w:rPr>
        <w:t> </w:t>
      </w:r>
      <w:r>
        <w:rPr>
          <w:rFonts w:ascii="Calibri" w:hAnsi="Calibri"/>
          <w:color w:val="414042"/>
          <w:w w:val="105"/>
          <w:sz w:val="16"/>
        </w:rPr>
        <w:t>de 40,000</w:t>
      </w:r>
      <w:r>
        <w:rPr>
          <w:rFonts w:ascii="Calibri" w:hAnsi="Calibri"/>
          <w:color w:val="414042"/>
          <w:spacing w:val="-7"/>
          <w:w w:val="105"/>
          <w:sz w:val="16"/>
        </w:rPr>
        <w:t> </w:t>
      </w:r>
      <w:r>
        <w:rPr>
          <w:rFonts w:ascii="Calibri" w:hAnsi="Calibri"/>
          <w:color w:val="414042"/>
          <w:w w:val="105"/>
          <w:sz w:val="16"/>
        </w:rPr>
        <w:t>elementos</w:t>
      </w:r>
      <w:r>
        <w:rPr>
          <w:rFonts w:ascii="Calibri" w:hAnsi="Calibri"/>
          <w:color w:val="414042"/>
          <w:spacing w:val="-7"/>
          <w:w w:val="105"/>
          <w:sz w:val="16"/>
        </w:rPr>
        <w:t> </w:t>
      </w:r>
      <w:r>
        <w:rPr>
          <w:rFonts w:ascii="Calibri" w:hAnsi="Calibri"/>
          <w:color w:val="414042"/>
          <w:w w:val="105"/>
          <w:sz w:val="16"/>
        </w:rPr>
        <w:t>de</w:t>
      </w:r>
      <w:r>
        <w:rPr>
          <w:rFonts w:ascii="Calibri" w:hAnsi="Calibri"/>
          <w:color w:val="414042"/>
          <w:spacing w:val="-7"/>
          <w:w w:val="105"/>
          <w:sz w:val="16"/>
        </w:rPr>
        <w:t> </w:t>
      </w:r>
      <w:r>
        <w:rPr>
          <w:rFonts w:ascii="Calibri" w:hAnsi="Calibri"/>
          <w:color w:val="414042"/>
          <w:w w:val="105"/>
          <w:sz w:val="16"/>
        </w:rPr>
        <w:t>la</w:t>
      </w:r>
      <w:r>
        <w:rPr>
          <w:rFonts w:ascii="Calibri" w:hAnsi="Calibri"/>
          <w:color w:val="414042"/>
          <w:spacing w:val="-7"/>
          <w:w w:val="105"/>
          <w:sz w:val="16"/>
        </w:rPr>
        <w:t> </w:t>
      </w:r>
      <w:r>
        <w:rPr>
          <w:rFonts w:ascii="Calibri" w:hAnsi="Calibri"/>
          <w:color w:val="414042"/>
          <w:w w:val="105"/>
          <w:sz w:val="16"/>
        </w:rPr>
        <w:t>población</w:t>
      </w:r>
      <w:r>
        <w:rPr>
          <w:rFonts w:ascii="Calibri" w:hAnsi="Calibri"/>
          <w:color w:val="414042"/>
          <w:spacing w:val="-7"/>
          <w:w w:val="105"/>
          <w:sz w:val="16"/>
        </w:rPr>
        <w:t> </w:t>
      </w:r>
      <w:r>
        <w:rPr>
          <w:rFonts w:ascii="Calibri" w:hAnsi="Calibri"/>
          <w:color w:val="414042"/>
          <w:w w:val="105"/>
          <w:sz w:val="16"/>
        </w:rPr>
        <w:t>objetivo</w:t>
      </w:r>
      <w:r>
        <w:rPr>
          <w:rFonts w:ascii="Calibri" w:hAnsi="Calibri"/>
          <w:color w:val="414042"/>
          <w:spacing w:val="-7"/>
          <w:w w:val="105"/>
          <w:sz w:val="16"/>
        </w:rPr>
        <w:t> </w:t>
      </w:r>
      <w:r>
        <w:rPr>
          <w:rFonts w:ascii="Calibri" w:hAnsi="Calibri"/>
          <w:color w:val="414042"/>
          <w:w w:val="105"/>
          <w:sz w:val="16"/>
        </w:rPr>
        <w:t>(</w:t>
      </w:r>
      <w:r>
        <w:rPr>
          <w:rFonts w:ascii="Calibri" w:hAnsi="Calibri"/>
          <w:color w:val="414042"/>
          <w:w w:val="105"/>
          <w:sz w:val="13"/>
        </w:rPr>
        <w:t>COLEF</w:t>
      </w:r>
      <w:r>
        <w:rPr>
          <w:rFonts w:ascii="Calibri" w:hAnsi="Calibri"/>
          <w:color w:val="414042"/>
          <w:w w:val="105"/>
          <w:sz w:val="16"/>
        </w:rPr>
        <w:t>,</w:t>
      </w:r>
      <w:r>
        <w:rPr>
          <w:rFonts w:ascii="Calibri" w:hAnsi="Calibri"/>
          <w:color w:val="414042"/>
          <w:spacing w:val="-7"/>
          <w:w w:val="105"/>
          <w:sz w:val="16"/>
        </w:rPr>
        <w:t> </w:t>
      </w:r>
      <w:r>
        <w:rPr>
          <w:rFonts w:ascii="Calibri" w:hAnsi="Calibri"/>
          <w:color w:val="414042"/>
          <w:w w:val="105"/>
          <w:sz w:val="16"/>
        </w:rPr>
        <w:t>s.a).</w:t>
      </w:r>
    </w:p>
    <w:p>
      <w:pPr>
        <w:spacing w:line="192" w:lineRule="exact" w:before="0"/>
        <w:ind w:left="1837" w:right="1721" w:firstLine="0"/>
        <w:jc w:val="both"/>
        <w:rPr>
          <w:rFonts w:ascii="Calibri" w:hAnsi="Calibri"/>
          <w:sz w:val="16"/>
        </w:rPr>
      </w:pPr>
      <w:r>
        <w:rPr/>
        <w:pict>
          <v:line style="position:absolute;mso-position-horizontal-relative:page;mso-position-vertical-relative:paragraph;z-index:-475120" from="15pt,174.54599pt" to="0pt,174.54599pt" stroked="true" strokeweight=".25pt" strokecolor="#000000">
            <w10:wrap type="none"/>
          </v:line>
        </w:pict>
      </w:r>
      <w:r>
        <w:rPr/>
        <w:pict>
          <v:line style="position:absolute;mso-position-horizontal-relative:page;mso-position-vertical-relative:paragraph;z-index:15088" from="508.890015pt,174.54599pt" to="523.890015pt,174.54599pt" stroked="true" strokeweight=".25pt" strokecolor="#000000">
            <w10:wrap type="none"/>
          </v:line>
        </w:pict>
      </w:r>
      <w:r>
        <w:rPr>
          <w:rFonts w:ascii="Calibri" w:hAnsi="Calibri"/>
          <w:color w:val="414042"/>
          <w:w w:val="105"/>
          <w:position w:val="5"/>
          <w:sz w:val="9"/>
        </w:rPr>
        <w:t>2</w:t>
      </w:r>
      <w:r>
        <w:rPr>
          <w:rFonts w:ascii="Calibri" w:hAnsi="Calibri"/>
          <w:color w:val="414042"/>
          <w:spacing w:val="4"/>
          <w:w w:val="105"/>
          <w:position w:val="5"/>
          <w:sz w:val="9"/>
        </w:rPr>
        <w:t> </w:t>
      </w:r>
      <w:r>
        <w:rPr>
          <w:rFonts w:ascii="Calibri" w:hAnsi="Calibri"/>
          <w:color w:val="414042"/>
          <w:w w:val="105"/>
          <w:sz w:val="16"/>
        </w:rPr>
        <w:t>El</w:t>
      </w:r>
      <w:r>
        <w:rPr>
          <w:rFonts w:ascii="Calibri" w:hAnsi="Calibri"/>
          <w:color w:val="414042"/>
          <w:spacing w:val="-13"/>
          <w:w w:val="105"/>
          <w:sz w:val="16"/>
        </w:rPr>
        <w:t> </w:t>
      </w:r>
      <w:r>
        <w:rPr>
          <w:rFonts w:ascii="Calibri" w:hAnsi="Calibri"/>
          <w:color w:val="414042"/>
          <w:w w:val="105"/>
          <w:sz w:val="16"/>
        </w:rPr>
        <w:t>diseño</w:t>
      </w:r>
      <w:r>
        <w:rPr>
          <w:rFonts w:ascii="Calibri" w:hAnsi="Calibri"/>
          <w:color w:val="414042"/>
          <w:spacing w:val="-13"/>
          <w:w w:val="105"/>
          <w:sz w:val="16"/>
        </w:rPr>
        <w:t> </w:t>
      </w:r>
      <w:r>
        <w:rPr>
          <w:rFonts w:ascii="Calibri" w:hAnsi="Calibri"/>
          <w:color w:val="414042"/>
          <w:w w:val="105"/>
          <w:sz w:val="16"/>
        </w:rPr>
        <w:t>metodológico</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las</w:t>
      </w:r>
      <w:r>
        <w:rPr>
          <w:rFonts w:ascii="Calibri" w:hAnsi="Calibri"/>
          <w:color w:val="414042"/>
          <w:spacing w:val="-13"/>
          <w:w w:val="105"/>
          <w:sz w:val="16"/>
        </w:rPr>
        <w:t> </w:t>
      </w:r>
      <w:r>
        <w:rPr>
          <w:rFonts w:ascii="Calibri" w:hAnsi="Calibri"/>
          <w:color w:val="414042"/>
          <w:spacing w:val="-3"/>
          <w:w w:val="105"/>
          <w:sz w:val="16"/>
        </w:rPr>
        <w:t>Emif,</w:t>
      </w:r>
      <w:r>
        <w:rPr>
          <w:rFonts w:ascii="Calibri" w:hAnsi="Calibri"/>
          <w:color w:val="414042"/>
          <w:spacing w:val="-13"/>
          <w:w w:val="105"/>
          <w:sz w:val="16"/>
        </w:rPr>
        <w:t> </w:t>
      </w:r>
      <w:r>
        <w:rPr>
          <w:rFonts w:ascii="Calibri" w:hAnsi="Calibri"/>
          <w:color w:val="414042"/>
          <w:w w:val="105"/>
          <w:sz w:val="16"/>
        </w:rPr>
        <w:t>está</w:t>
      </w:r>
      <w:r>
        <w:rPr>
          <w:rFonts w:ascii="Calibri" w:hAnsi="Calibri"/>
          <w:color w:val="414042"/>
          <w:spacing w:val="-13"/>
          <w:w w:val="105"/>
          <w:sz w:val="16"/>
        </w:rPr>
        <w:t> </w:t>
      </w:r>
      <w:r>
        <w:rPr>
          <w:rFonts w:ascii="Calibri" w:hAnsi="Calibri"/>
          <w:color w:val="414042"/>
          <w:w w:val="105"/>
          <w:sz w:val="16"/>
        </w:rPr>
        <w:t>basado</w:t>
      </w:r>
      <w:r>
        <w:rPr>
          <w:rFonts w:ascii="Calibri" w:hAnsi="Calibri"/>
          <w:color w:val="414042"/>
          <w:spacing w:val="-13"/>
          <w:w w:val="105"/>
          <w:sz w:val="16"/>
        </w:rPr>
        <w:t> </w:t>
      </w:r>
      <w:r>
        <w:rPr>
          <w:rFonts w:ascii="Calibri" w:hAnsi="Calibri"/>
          <w:color w:val="414042"/>
          <w:w w:val="105"/>
          <w:sz w:val="16"/>
        </w:rPr>
        <w:t>en</w:t>
      </w:r>
      <w:r>
        <w:rPr>
          <w:rFonts w:ascii="Calibri" w:hAnsi="Calibri"/>
          <w:color w:val="414042"/>
          <w:spacing w:val="-13"/>
          <w:w w:val="105"/>
          <w:sz w:val="16"/>
        </w:rPr>
        <w:t> </w:t>
      </w:r>
      <w:r>
        <w:rPr>
          <w:rFonts w:ascii="Calibri" w:hAnsi="Calibri"/>
          <w:color w:val="414042"/>
          <w:w w:val="105"/>
          <w:sz w:val="16"/>
        </w:rPr>
        <w:t>la</w:t>
      </w:r>
      <w:r>
        <w:rPr>
          <w:rFonts w:ascii="Calibri" w:hAnsi="Calibri"/>
          <w:color w:val="414042"/>
          <w:spacing w:val="-13"/>
          <w:w w:val="105"/>
          <w:sz w:val="16"/>
        </w:rPr>
        <w:t> </w:t>
      </w:r>
      <w:r>
        <w:rPr>
          <w:rFonts w:ascii="Calibri" w:hAnsi="Calibri"/>
          <w:color w:val="414042"/>
          <w:w w:val="105"/>
          <w:sz w:val="16"/>
        </w:rPr>
        <w:t>aplicación</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técnicas</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muestreo</w:t>
      </w:r>
      <w:r>
        <w:rPr>
          <w:rFonts w:ascii="Calibri" w:hAnsi="Calibri"/>
          <w:color w:val="414042"/>
          <w:spacing w:val="-13"/>
          <w:w w:val="105"/>
          <w:sz w:val="16"/>
        </w:rPr>
        <w:t> </w:t>
      </w:r>
      <w:r>
        <w:rPr>
          <w:rFonts w:ascii="Calibri" w:hAnsi="Calibri"/>
          <w:color w:val="414042"/>
          <w:w w:val="105"/>
          <w:sz w:val="16"/>
        </w:rPr>
        <w:t>probabilístico de</w:t>
      </w:r>
      <w:r>
        <w:rPr>
          <w:rFonts w:ascii="Calibri" w:hAnsi="Calibri"/>
          <w:color w:val="414042"/>
          <w:spacing w:val="-10"/>
          <w:w w:val="105"/>
          <w:sz w:val="16"/>
        </w:rPr>
        <w:t> </w:t>
      </w:r>
      <w:r>
        <w:rPr>
          <w:rFonts w:ascii="Calibri" w:hAnsi="Calibri"/>
          <w:color w:val="414042"/>
          <w:w w:val="105"/>
          <w:sz w:val="16"/>
        </w:rPr>
        <w:t>poblaciones</w:t>
      </w:r>
      <w:r>
        <w:rPr>
          <w:rFonts w:ascii="Calibri" w:hAnsi="Calibri"/>
          <w:color w:val="414042"/>
          <w:spacing w:val="-10"/>
          <w:w w:val="105"/>
          <w:sz w:val="16"/>
        </w:rPr>
        <w:t> </w:t>
      </w:r>
      <w:r>
        <w:rPr>
          <w:rFonts w:ascii="Calibri" w:hAnsi="Calibri"/>
          <w:color w:val="414042"/>
          <w:w w:val="105"/>
          <w:sz w:val="16"/>
        </w:rPr>
        <w:t>móviles,</w:t>
      </w:r>
      <w:r>
        <w:rPr>
          <w:rFonts w:ascii="Calibri" w:hAnsi="Calibri"/>
          <w:color w:val="414042"/>
          <w:spacing w:val="-11"/>
          <w:w w:val="105"/>
          <w:sz w:val="16"/>
        </w:rPr>
        <w:t> </w:t>
      </w:r>
      <w:r>
        <w:rPr>
          <w:rFonts w:ascii="Calibri" w:hAnsi="Calibri"/>
          <w:color w:val="414042"/>
          <w:w w:val="105"/>
          <w:sz w:val="16"/>
        </w:rPr>
        <w:t>y</w:t>
      </w:r>
      <w:r>
        <w:rPr>
          <w:rFonts w:ascii="Calibri" w:hAnsi="Calibri"/>
          <w:color w:val="414042"/>
          <w:spacing w:val="-10"/>
          <w:w w:val="105"/>
          <w:sz w:val="16"/>
        </w:rPr>
        <w:t> </w:t>
      </w:r>
      <w:r>
        <w:rPr>
          <w:rFonts w:ascii="Calibri" w:hAnsi="Calibri"/>
          <w:color w:val="414042"/>
          <w:w w:val="105"/>
          <w:sz w:val="16"/>
        </w:rPr>
        <w:t>las</w:t>
      </w:r>
      <w:r>
        <w:rPr>
          <w:rFonts w:ascii="Calibri" w:hAnsi="Calibri"/>
          <w:color w:val="414042"/>
          <w:spacing w:val="-10"/>
          <w:w w:val="105"/>
          <w:sz w:val="16"/>
        </w:rPr>
        <w:t> </w:t>
      </w:r>
      <w:r>
        <w:rPr>
          <w:rFonts w:ascii="Calibri" w:hAnsi="Calibri"/>
          <w:color w:val="414042"/>
          <w:w w:val="105"/>
          <w:sz w:val="16"/>
        </w:rPr>
        <w:t>mediciones</w:t>
      </w:r>
      <w:r>
        <w:rPr>
          <w:rFonts w:ascii="Calibri" w:hAnsi="Calibri"/>
          <w:color w:val="414042"/>
          <w:spacing w:val="-10"/>
          <w:w w:val="105"/>
          <w:sz w:val="16"/>
        </w:rPr>
        <w:t> </w:t>
      </w:r>
      <w:r>
        <w:rPr>
          <w:rFonts w:ascii="Calibri" w:hAnsi="Calibri"/>
          <w:color w:val="414042"/>
          <w:w w:val="105"/>
          <w:sz w:val="16"/>
        </w:rPr>
        <w:t>efectuadas</w:t>
      </w:r>
      <w:r>
        <w:rPr>
          <w:rFonts w:ascii="Calibri" w:hAnsi="Calibri"/>
          <w:color w:val="414042"/>
          <w:spacing w:val="-10"/>
          <w:w w:val="105"/>
          <w:sz w:val="16"/>
        </w:rPr>
        <w:t> </w:t>
      </w:r>
      <w:r>
        <w:rPr>
          <w:rFonts w:ascii="Calibri" w:hAnsi="Calibri"/>
          <w:color w:val="414042"/>
          <w:w w:val="105"/>
          <w:sz w:val="16"/>
        </w:rPr>
        <w:t>se</w:t>
      </w:r>
      <w:r>
        <w:rPr>
          <w:rFonts w:ascii="Calibri" w:hAnsi="Calibri"/>
          <w:color w:val="414042"/>
          <w:spacing w:val="-10"/>
          <w:w w:val="105"/>
          <w:sz w:val="16"/>
        </w:rPr>
        <w:t> </w:t>
      </w:r>
      <w:r>
        <w:rPr>
          <w:rFonts w:ascii="Calibri" w:hAnsi="Calibri"/>
          <w:color w:val="414042"/>
          <w:w w:val="105"/>
          <w:sz w:val="16"/>
        </w:rPr>
        <w:t>fundamentan</w:t>
      </w:r>
      <w:r>
        <w:rPr>
          <w:rFonts w:ascii="Calibri" w:hAnsi="Calibri"/>
          <w:color w:val="414042"/>
          <w:spacing w:val="-10"/>
          <w:w w:val="105"/>
          <w:sz w:val="16"/>
        </w:rPr>
        <w:t> </w:t>
      </w:r>
      <w:r>
        <w:rPr>
          <w:rFonts w:ascii="Calibri" w:hAnsi="Calibri"/>
          <w:color w:val="414042"/>
          <w:w w:val="105"/>
          <w:sz w:val="16"/>
        </w:rPr>
        <w:t>en</w:t>
      </w:r>
      <w:r>
        <w:rPr>
          <w:rFonts w:ascii="Calibri" w:hAnsi="Calibri"/>
          <w:color w:val="414042"/>
          <w:spacing w:val="-10"/>
          <w:w w:val="105"/>
          <w:sz w:val="16"/>
        </w:rPr>
        <w:t> </w:t>
      </w:r>
      <w:r>
        <w:rPr>
          <w:rFonts w:ascii="Calibri" w:hAnsi="Calibri"/>
          <w:color w:val="414042"/>
          <w:w w:val="105"/>
          <w:sz w:val="16"/>
        </w:rPr>
        <w:t>la</w:t>
      </w:r>
      <w:r>
        <w:rPr>
          <w:rFonts w:ascii="Calibri" w:hAnsi="Calibri"/>
          <w:color w:val="414042"/>
          <w:spacing w:val="-10"/>
          <w:w w:val="105"/>
          <w:sz w:val="16"/>
        </w:rPr>
        <w:t> </w:t>
      </w:r>
      <w:r>
        <w:rPr>
          <w:rFonts w:ascii="Calibri" w:hAnsi="Calibri"/>
          <w:color w:val="414042"/>
          <w:w w:val="105"/>
          <w:sz w:val="16"/>
        </w:rPr>
        <w:t>observación</w:t>
      </w:r>
      <w:r>
        <w:rPr>
          <w:rFonts w:ascii="Calibri" w:hAnsi="Calibri"/>
          <w:color w:val="414042"/>
          <w:spacing w:val="-10"/>
          <w:w w:val="105"/>
          <w:sz w:val="16"/>
        </w:rPr>
        <w:t> </w:t>
      </w:r>
      <w:r>
        <w:rPr>
          <w:rFonts w:ascii="Calibri" w:hAnsi="Calibri"/>
          <w:color w:val="414042"/>
          <w:w w:val="105"/>
          <w:sz w:val="16"/>
        </w:rPr>
        <w:t>continua</w:t>
      </w:r>
      <w:r>
        <w:rPr>
          <w:rFonts w:ascii="Calibri" w:hAnsi="Calibri"/>
          <w:color w:val="414042"/>
          <w:spacing w:val="-11"/>
          <w:w w:val="105"/>
          <w:sz w:val="16"/>
        </w:rPr>
        <w:t> </w:t>
      </w:r>
      <w:r>
        <w:rPr>
          <w:rFonts w:ascii="Calibri" w:hAnsi="Calibri"/>
          <w:color w:val="414042"/>
          <w:w w:val="105"/>
          <w:sz w:val="16"/>
        </w:rPr>
        <w:t>y</w:t>
      </w:r>
      <w:r>
        <w:rPr>
          <w:rFonts w:ascii="Calibri" w:hAnsi="Calibri"/>
          <w:color w:val="414042"/>
          <w:spacing w:val="-10"/>
          <w:w w:val="105"/>
          <w:sz w:val="16"/>
        </w:rPr>
        <w:t> </w:t>
      </w:r>
      <w:r>
        <w:rPr>
          <w:rFonts w:ascii="Calibri" w:hAnsi="Calibri"/>
          <w:color w:val="414042"/>
          <w:w w:val="105"/>
          <w:sz w:val="16"/>
        </w:rPr>
        <w:t>pro- longada</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los</w:t>
      </w:r>
      <w:r>
        <w:rPr>
          <w:rFonts w:ascii="Calibri" w:hAnsi="Calibri"/>
          <w:color w:val="414042"/>
          <w:spacing w:val="-10"/>
          <w:w w:val="105"/>
          <w:sz w:val="16"/>
        </w:rPr>
        <w:t> </w:t>
      </w:r>
      <w:r>
        <w:rPr>
          <w:rFonts w:ascii="Calibri" w:hAnsi="Calibri"/>
          <w:color w:val="414042"/>
          <w:w w:val="105"/>
          <w:sz w:val="16"/>
        </w:rPr>
        <w:t>flujos</w:t>
      </w:r>
      <w:r>
        <w:rPr>
          <w:rFonts w:ascii="Calibri" w:hAnsi="Calibri"/>
          <w:color w:val="414042"/>
          <w:spacing w:val="-10"/>
          <w:w w:val="105"/>
          <w:sz w:val="16"/>
        </w:rPr>
        <w:t> </w:t>
      </w:r>
      <w:r>
        <w:rPr>
          <w:rFonts w:ascii="Calibri" w:hAnsi="Calibri"/>
          <w:color w:val="414042"/>
          <w:w w:val="105"/>
          <w:sz w:val="16"/>
        </w:rPr>
        <w:t>migratorios,</w:t>
      </w:r>
      <w:r>
        <w:rPr>
          <w:rFonts w:ascii="Calibri" w:hAnsi="Calibri"/>
          <w:color w:val="414042"/>
          <w:spacing w:val="-10"/>
          <w:w w:val="105"/>
          <w:sz w:val="16"/>
        </w:rPr>
        <w:t> </w:t>
      </w:r>
      <w:r>
        <w:rPr>
          <w:rFonts w:ascii="Calibri" w:hAnsi="Calibri"/>
          <w:color w:val="414042"/>
          <w:w w:val="105"/>
          <w:sz w:val="16"/>
        </w:rPr>
        <w:t>tanto</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la</w:t>
      </w:r>
      <w:r>
        <w:rPr>
          <w:rFonts w:ascii="Calibri" w:hAnsi="Calibri"/>
          <w:color w:val="414042"/>
          <w:spacing w:val="-10"/>
          <w:w w:val="105"/>
          <w:sz w:val="16"/>
        </w:rPr>
        <w:t> </w:t>
      </w:r>
      <w:r>
        <w:rPr>
          <w:rFonts w:ascii="Calibri" w:hAnsi="Calibri"/>
          <w:color w:val="414042"/>
          <w:w w:val="105"/>
          <w:sz w:val="16"/>
        </w:rPr>
        <w:t>frontera</w:t>
      </w:r>
      <w:r>
        <w:rPr>
          <w:rFonts w:ascii="Calibri" w:hAnsi="Calibri"/>
          <w:color w:val="414042"/>
          <w:spacing w:val="-10"/>
          <w:w w:val="105"/>
          <w:sz w:val="16"/>
        </w:rPr>
        <w:t> </w:t>
      </w:r>
      <w:r>
        <w:rPr>
          <w:rFonts w:ascii="Calibri" w:hAnsi="Calibri"/>
          <w:color w:val="414042"/>
          <w:w w:val="105"/>
          <w:sz w:val="16"/>
        </w:rPr>
        <w:t>norte</w:t>
      </w:r>
      <w:r>
        <w:rPr>
          <w:rFonts w:ascii="Calibri" w:hAnsi="Calibri"/>
          <w:color w:val="414042"/>
          <w:spacing w:val="-10"/>
          <w:w w:val="105"/>
          <w:sz w:val="16"/>
        </w:rPr>
        <w:t> </w:t>
      </w:r>
      <w:r>
        <w:rPr>
          <w:rFonts w:ascii="Calibri" w:hAnsi="Calibri"/>
          <w:color w:val="414042"/>
          <w:w w:val="105"/>
          <w:sz w:val="16"/>
        </w:rPr>
        <w:t>como</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la</w:t>
      </w:r>
      <w:r>
        <w:rPr>
          <w:rFonts w:ascii="Calibri" w:hAnsi="Calibri"/>
          <w:color w:val="414042"/>
          <w:spacing w:val="-10"/>
          <w:w w:val="105"/>
          <w:sz w:val="16"/>
        </w:rPr>
        <w:t> </w:t>
      </w:r>
      <w:r>
        <w:rPr>
          <w:rFonts w:ascii="Calibri" w:hAnsi="Calibri"/>
          <w:color w:val="414042"/>
          <w:w w:val="105"/>
          <w:sz w:val="16"/>
        </w:rPr>
        <w:t>frontera</w:t>
      </w:r>
      <w:r>
        <w:rPr>
          <w:rFonts w:ascii="Calibri" w:hAnsi="Calibri"/>
          <w:color w:val="414042"/>
          <w:spacing w:val="-10"/>
          <w:w w:val="105"/>
          <w:sz w:val="16"/>
        </w:rPr>
        <w:t> </w:t>
      </w:r>
      <w:r>
        <w:rPr>
          <w:rFonts w:ascii="Calibri" w:hAnsi="Calibri"/>
          <w:color w:val="414042"/>
          <w:w w:val="105"/>
          <w:sz w:val="16"/>
        </w:rPr>
        <w:t>sur</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México.</w:t>
      </w:r>
      <w:r>
        <w:rPr>
          <w:rFonts w:ascii="Calibri" w:hAnsi="Calibri"/>
          <w:color w:val="414042"/>
          <w:spacing w:val="-10"/>
          <w:w w:val="105"/>
          <w:sz w:val="16"/>
        </w:rPr>
        <w:t> </w:t>
      </w:r>
      <w:r>
        <w:rPr>
          <w:rFonts w:ascii="Calibri" w:hAnsi="Calibri"/>
          <w:color w:val="414042"/>
          <w:w w:val="105"/>
          <w:sz w:val="16"/>
        </w:rPr>
        <w:t>Las</w:t>
      </w:r>
      <w:r>
        <w:rPr>
          <w:rFonts w:ascii="Calibri" w:hAnsi="Calibri"/>
          <w:color w:val="414042"/>
          <w:spacing w:val="-10"/>
          <w:w w:val="105"/>
          <w:sz w:val="16"/>
        </w:rPr>
        <w:t> </w:t>
      </w:r>
      <w:r>
        <w:rPr>
          <w:rFonts w:ascii="Calibri" w:hAnsi="Calibri"/>
          <w:color w:val="414042"/>
          <w:w w:val="105"/>
          <w:sz w:val="16"/>
        </w:rPr>
        <w:t>Emif captan el desplazamiento </w:t>
      </w:r>
      <w:r>
        <w:rPr>
          <w:rFonts w:ascii="Calibri" w:hAnsi="Calibri"/>
          <w:color w:val="414042"/>
          <w:spacing w:val="-4"/>
          <w:w w:val="105"/>
          <w:sz w:val="16"/>
        </w:rPr>
        <w:t>y, </w:t>
      </w:r>
      <w:r>
        <w:rPr>
          <w:rFonts w:ascii="Calibri" w:hAnsi="Calibri"/>
          <w:color w:val="414042"/>
          <w:w w:val="105"/>
          <w:sz w:val="16"/>
        </w:rPr>
        <w:t>a partir de éste, recuperan las características sociodemográficas y econó- micas,</w:t>
      </w:r>
      <w:r>
        <w:rPr>
          <w:rFonts w:ascii="Calibri" w:hAnsi="Calibri"/>
          <w:color w:val="414042"/>
          <w:spacing w:val="-11"/>
          <w:w w:val="105"/>
          <w:sz w:val="16"/>
        </w:rPr>
        <w:t> </w:t>
      </w:r>
      <w:r>
        <w:rPr>
          <w:rFonts w:ascii="Calibri" w:hAnsi="Calibri"/>
          <w:color w:val="414042"/>
          <w:w w:val="105"/>
          <w:sz w:val="16"/>
        </w:rPr>
        <w:t>y</w:t>
      </w:r>
      <w:r>
        <w:rPr>
          <w:rFonts w:ascii="Calibri" w:hAnsi="Calibri"/>
          <w:color w:val="414042"/>
          <w:spacing w:val="-9"/>
          <w:w w:val="105"/>
          <w:sz w:val="16"/>
        </w:rPr>
        <w:t> </w:t>
      </w:r>
      <w:r>
        <w:rPr>
          <w:rFonts w:ascii="Calibri" w:hAnsi="Calibri"/>
          <w:color w:val="414042"/>
          <w:w w:val="105"/>
          <w:sz w:val="16"/>
        </w:rPr>
        <w:t>su</w:t>
      </w:r>
      <w:r>
        <w:rPr>
          <w:rFonts w:ascii="Calibri" w:hAnsi="Calibri"/>
          <w:color w:val="414042"/>
          <w:spacing w:val="-9"/>
          <w:w w:val="105"/>
          <w:sz w:val="16"/>
        </w:rPr>
        <w:t> </w:t>
      </w:r>
      <w:r>
        <w:rPr>
          <w:rFonts w:ascii="Calibri" w:hAnsi="Calibri"/>
          <w:color w:val="414042"/>
          <w:w w:val="105"/>
          <w:sz w:val="16"/>
        </w:rPr>
        <w:t>experiencia</w:t>
      </w:r>
      <w:r>
        <w:rPr>
          <w:rFonts w:ascii="Calibri" w:hAnsi="Calibri"/>
          <w:color w:val="414042"/>
          <w:spacing w:val="-9"/>
          <w:w w:val="105"/>
          <w:sz w:val="16"/>
        </w:rPr>
        <w:t> </w:t>
      </w:r>
      <w:r>
        <w:rPr>
          <w:rFonts w:ascii="Calibri" w:hAnsi="Calibri"/>
          <w:color w:val="414042"/>
          <w:w w:val="105"/>
          <w:sz w:val="16"/>
        </w:rPr>
        <w:t>migratoria,</w:t>
      </w:r>
      <w:r>
        <w:rPr>
          <w:rFonts w:ascii="Calibri" w:hAnsi="Calibri"/>
          <w:color w:val="414042"/>
          <w:spacing w:val="-9"/>
          <w:w w:val="105"/>
          <w:sz w:val="16"/>
        </w:rPr>
        <w:t> </w:t>
      </w:r>
      <w:r>
        <w:rPr>
          <w:rFonts w:ascii="Calibri" w:hAnsi="Calibri"/>
          <w:color w:val="414042"/>
          <w:w w:val="105"/>
          <w:sz w:val="16"/>
        </w:rPr>
        <w:t>entre</w:t>
      </w:r>
      <w:r>
        <w:rPr>
          <w:rFonts w:ascii="Calibri" w:hAnsi="Calibri"/>
          <w:color w:val="414042"/>
          <w:spacing w:val="-9"/>
          <w:w w:val="105"/>
          <w:sz w:val="16"/>
        </w:rPr>
        <w:t> </w:t>
      </w:r>
      <w:r>
        <w:rPr>
          <w:rFonts w:ascii="Calibri" w:hAnsi="Calibri"/>
          <w:color w:val="414042"/>
          <w:w w:val="105"/>
          <w:sz w:val="16"/>
        </w:rPr>
        <w:t>otros</w:t>
      </w:r>
      <w:r>
        <w:rPr>
          <w:rFonts w:ascii="Calibri" w:hAnsi="Calibri"/>
          <w:color w:val="414042"/>
          <w:spacing w:val="-9"/>
          <w:w w:val="105"/>
          <w:sz w:val="16"/>
        </w:rPr>
        <w:t> </w:t>
      </w:r>
      <w:r>
        <w:rPr>
          <w:rFonts w:ascii="Calibri" w:hAnsi="Calibri"/>
          <w:color w:val="414042"/>
          <w:w w:val="105"/>
          <w:sz w:val="16"/>
        </w:rPr>
        <w:t>aspectos.</w:t>
      </w:r>
      <w:r>
        <w:rPr>
          <w:rFonts w:ascii="Calibri" w:hAnsi="Calibri"/>
          <w:color w:val="414042"/>
          <w:spacing w:val="-9"/>
          <w:w w:val="105"/>
          <w:sz w:val="16"/>
        </w:rPr>
        <w:t> </w:t>
      </w:r>
      <w:r>
        <w:rPr>
          <w:rFonts w:ascii="Calibri" w:hAnsi="Calibri"/>
          <w:color w:val="414042"/>
          <w:w w:val="105"/>
          <w:sz w:val="16"/>
        </w:rPr>
        <w:t>El</w:t>
      </w:r>
      <w:r>
        <w:rPr>
          <w:rFonts w:ascii="Calibri" w:hAnsi="Calibri"/>
          <w:color w:val="414042"/>
          <w:spacing w:val="-9"/>
          <w:w w:val="105"/>
          <w:sz w:val="16"/>
        </w:rPr>
        <w:t> </w:t>
      </w:r>
      <w:r>
        <w:rPr>
          <w:rFonts w:ascii="Calibri" w:hAnsi="Calibri"/>
          <w:color w:val="414042"/>
          <w:w w:val="105"/>
          <w:sz w:val="16"/>
        </w:rPr>
        <w:t>migrante</w:t>
      </w:r>
      <w:r>
        <w:rPr>
          <w:rFonts w:ascii="Calibri" w:hAnsi="Calibri"/>
          <w:color w:val="414042"/>
          <w:spacing w:val="-9"/>
          <w:w w:val="105"/>
          <w:sz w:val="16"/>
        </w:rPr>
        <w:t> </w:t>
      </w:r>
      <w:r>
        <w:rPr>
          <w:rFonts w:ascii="Calibri" w:hAnsi="Calibri"/>
          <w:color w:val="414042"/>
          <w:w w:val="105"/>
          <w:sz w:val="16"/>
        </w:rPr>
        <w:t>es</w:t>
      </w:r>
      <w:r>
        <w:rPr>
          <w:rFonts w:ascii="Calibri" w:hAnsi="Calibri"/>
          <w:color w:val="414042"/>
          <w:spacing w:val="-9"/>
          <w:w w:val="105"/>
          <w:sz w:val="16"/>
        </w:rPr>
        <w:t> </w:t>
      </w:r>
      <w:r>
        <w:rPr>
          <w:rFonts w:ascii="Calibri" w:hAnsi="Calibri"/>
          <w:color w:val="414042"/>
          <w:w w:val="105"/>
          <w:sz w:val="16"/>
        </w:rPr>
        <w:t>estudiado</w:t>
      </w:r>
      <w:r>
        <w:rPr>
          <w:rFonts w:ascii="Calibri" w:hAnsi="Calibri"/>
          <w:color w:val="414042"/>
          <w:spacing w:val="-9"/>
          <w:w w:val="105"/>
          <w:sz w:val="16"/>
        </w:rPr>
        <w:t> </w:t>
      </w:r>
      <w:r>
        <w:rPr>
          <w:rFonts w:ascii="Calibri" w:hAnsi="Calibri"/>
          <w:color w:val="414042"/>
          <w:w w:val="105"/>
          <w:sz w:val="16"/>
        </w:rPr>
        <w:t>a</w:t>
      </w:r>
      <w:r>
        <w:rPr>
          <w:rFonts w:ascii="Calibri" w:hAnsi="Calibri"/>
          <w:color w:val="414042"/>
          <w:spacing w:val="-9"/>
          <w:w w:val="105"/>
          <w:sz w:val="16"/>
        </w:rPr>
        <w:t> </w:t>
      </w:r>
      <w:r>
        <w:rPr>
          <w:rFonts w:ascii="Calibri" w:hAnsi="Calibri"/>
          <w:color w:val="414042"/>
          <w:w w:val="105"/>
          <w:sz w:val="16"/>
        </w:rPr>
        <w:t>partir</w:t>
      </w:r>
      <w:r>
        <w:rPr>
          <w:rFonts w:ascii="Calibri" w:hAnsi="Calibri"/>
          <w:color w:val="414042"/>
          <w:spacing w:val="-9"/>
          <w:w w:val="105"/>
          <w:sz w:val="16"/>
        </w:rPr>
        <w:t> </w:t>
      </w:r>
      <w:r>
        <w:rPr>
          <w:rFonts w:ascii="Calibri" w:hAnsi="Calibri"/>
          <w:color w:val="414042"/>
          <w:w w:val="105"/>
          <w:sz w:val="16"/>
        </w:rPr>
        <w:t>del</w:t>
      </w:r>
      <w:r>
        <w:rPr>
          <w:rFonts w:ascii="Calibri" w:hAnsi="Calibri"/>
          <w:color w:val="414042"/>
          <w:spacing w:val="-9"/>
          <w:w w:val="105"/>
          <w:sz w:val="16"/>
        </w:rPr>
        <w:t> </w:t>
      </w:r>
      <w:r>
        <w:rPr>
          <w:rFonts w:ascii="Calibri" w:hAnsi="Calibri"/>
          <w:color w:val="414042"/>
          <w:w w:val="105"/>
          <w:sz w:val="16"/>
        </w:rPr>
        <w:t>muestreo de</w:t>
      </w:r>
      <w:r>
        <w:rPr>
          <w:rFonts w:ascii="Calibri" w:hAnsi="Calibri"/>
          <w:color w:val="414042"/>
          <w:spacing w:val="-10"/>
          <w:w w:val="105"/>
          <w:sz w:val="16"/>
        </w:rPr>
        <w:t> </w:t>
      </w:r>
      <w:r>
        <w:rPr>
          <w:rFonts w:ascii="Calibri" w:hAnsi="Calibri"/>
          <w:color w:val="414042"/>
          <w:w w:val="105"/>
          <w:sz w:val="16"/>
        </w:rPr>
        <w:t>la</w:t>
      </w:r>
      <w:r>
        <w:rPr>
          <w:rFonts w:ascii="Calibri" w:hAnsi="Calibri"/>
          <w:color w:val="414042"/>
          <w:spacing w:val="-10"/>
          <w:w w:val="105"/>
          <w:sz w:val="16"/>
        </w:rPr>
        <w:t> </w:t>
      </w:r>
      <w:r>
        <w:rPr>
          <w:rFonts w:ascii="Calibri" w:hAnsi="Calibri"/>
          <w:color w:val="414042"/>
          <w:w w:val="105"/>
          <w:sz w:val="16"/>
        </w:rPr>
        <w:t>migración,</w:t>
      </w:r>
      <w:r>
        <w:rPr>
          <w:rFonts w:ascii="Calibri" w:hAnsi="Calibri"/>
          <w:color w:val="414042"/>
          <w:spacing w:val="-10"/>
          <w:w w:val="105"/>
          <w:sz w:val="16"/>
        </w:rPr>
        <w:t> </w:t>
      </w:r>
      <w:r>
        <w:rPr>
          <w:rFonts w:ascii="Calibri" w:hAnsi="Calibri"/>
          <w:color w:val="414042"/>
          <w:w w:val="105"/>
          <w:sz w:val="16"/>
        </w:rPr>
        <w:t>cuya</w:t>
      </w:r>
      <w:r>
        <w:rPr>
          <w:rFonts w:ascii="Calibri" w:hAnsi="Calibri"/>
          <w:color w:val="414042"/>
          <w:spacing w:val="-10"/>
          <w:w w:val="105"/>
          <w:sz w:val="16"/>
        </w:rPr>
        <w:t> </w:t>
      </w:r>
      <w:r>
        <w:rPr>
          <w:rFonts w:ascii="Calibri" w:hAnsi="Calibri"/>
          <w:color w:val="414042"/>
          <w:w w:val="105"/>
          <w:sz w:val="16"/>
        </w:rPr>
        <w:t>identificación</w:t>
      </w:r>
      <w:r>
        <w:rPr>
          <w:rFonts w:ascii="Calibri" w:hAnsi="Calibri"/>
          <w:color w:val="414042"/>
          <w:spacing w:val="-10"/>
          <w:w w:val="105"/>
          <w:sz w:val="16"/>
        </w:rPr>
        <w:t> </w:t>
      </w:r>
      <w:r>
        <w:rPr>
          <w:rFonts w:ascii="Calibri" w:hAnsi="Calibri"/>
          <w:color w:val="414042"/>
          <w:w w:val="105"/>
          <w:sz w:val="16"/>
        </w:rPr>
        <w:t>o</w:t>
      </w:r>
      <w:r>
        <w:rPr>
          <w:rFonts w:ascii="Calibri" w:hAnsi="Calibri"/>
          <w:color w:val="414042"/>
          <w:spacing w:val="-10"/>
          <w:w w:val="105"/>
          <w:sz w:val="16"/>
        </w:rPr>
        <w:t> </w:t>
      </w:r>
      <w:r>
        <w:rPr>
          <w:rFonts w:ascii="Calibri" w:hAnsi="Calibri"/>
          <w:color w:val="414042"/>
          <w:w w:val="105"/>
          <w:sz w:val="16"/>
        </w:rPr>
        <w:t>captura</w:t>
      </w:r>
      <w:r>
        <w:rPr>
          <w:rFonts w:ascii="Calibri" w:hAnsi="Calibri"/>
          <w:color w:val="414042"/>
          <w:spacing w:val="-10"/>
          <w:w w:val="105"/>
          <w:sz w:val="16"/>
        </w:rPr>
        <w:t> </w:t>
      </w:r>
      <w:r>
        <w:rPr>
          <w:rFonts w:ascii="Calibri" w:hAnsi="Calibri"/>
          <w:color w:val="414042"/>
          <w:w w:val="105"/>
          <w:sz w:val="16"/>
        </w:rPr>
        <w:t>se</w:t>
      </w:r>
      <w:r>
        <w:rPr>
          <w:rFonts w:ascii="Calibri" w:hAnsi="Calibri"/>
          <w:color w:val="414042"/>
          <w:spacing w:val="-10"/>
          <w:w w:val="105"/>
          <w:sz w:val="16"/>
        </w:rPr>
        <w:t> </w:t>
      </w:r>
      <w:r>
        <w:rPr>
          <w:rFonts w:ascii="Calibri" w:hAnsi="Calibri"/>
          <w:color w:val="414042"/>
          <w:w w:val="105"/>
          <w:sz w:val="16"/>
        </w:rPr>
        <w:t>logra</w:t>
      </w:r>
      <w:r>
        <w:rPr>
          <w:rFonts w:ascii="Calibri" w:hAnsi="Calibri"/>
          <w:color w:val="414042"/>
          <w:spacing w:val="-10"/>
          <w:w w:val="105"/>
          <w:sz w:val="16"/>
        </w:rPr>
        <w:t> </w:t>
      </w:r>
      <w:r>
        <w:rPr>
          <w:rFonts w:ascii="Calibri" w:hAnsi="Calibri"/>
          <w:color w:val="414042"/>
          <w:w w:val="105"/>
          <w:sz w:val="16"/>
        </w:rPr>
        <w:t>distinguiendo</w:t>
      </w:r>
      <w:r>
        <w:rPr>
          <w:rFonts w:ascii="Calibri" w:hAnsi="Calibri"/>
          <w:color w:val="414042"/>
          <w:spacing w:val="-10"/>
          <w:w w:val="105"/>
          <w:sz w:val="16"/>
        </w:rPr>
        <w:t> </w:t>
      </w:r>
      <w:r>
        <w:rPr>
          <w:rFonts w:ascii="Calibri" w:hAnsi="Calibri"/>
          <w:color w:val="414042"/>
          <w:w w:val="105"/>
          <w:sz w:val="16"/>
        </w:rPr>
        <w:t>las</w:t>
      </w:r>
      <w:r>
        <w:rPr>
          <w:rFonts w:ascii="Calibri" w:hAnsi="Calibri"/>
          <w:color w:val="414042"/>
          <w:spacing w:val="-10"/>
          <w:w w:val="105"/>
          <w:sz w:val="16"/>
        </w:rPr>
        <w:t> </w:t>
      </w:r>
      <w:r>
        <w:rPr>
          <w:rFonts w:ascii="Calibri" w:hAnsi="Calibri"/>
          <w:color w:val="414042"/>
          <w:w w:val="105"/>
          <w:sz w:val="16"/>
        </w:rPr>
        <w:t>dos</w:t>
      </w:r>
      <w:r>
        <w:rPr>
          <w:rFonts w:ascii="Calibri" w:hAnsi="Calibri"/>
          <w:color w:val="414042"/>
          <w:spacing w:val="-10"/>
          <w:w w:val="105"/>
          <w:sz w:val="16"/>
        </w:rPr>
        <w:t> </w:t>
      </w:r>
      <w:r>
        <w:rPr>
          <w:rFonts w:ascii="Calibri" w:hAnsi="Calibri"/>
          <w:color w:val="414042"/>
          <w:w w:val="105"/>
          <w:sz w:val="16"/>
        </w:rPr>
        <w:t>dimensiones</w:t>
      </w:r>
      <w:r>
        <w:rPr>
          <w:rFonts w:ascii="Calibri" w:hAnsi="Calibri"/>
          <w:color w:val="414042"/>
          <w:spacing w:val="-10"/>
          <w:w w:val="105"/>
          <w:sz w:val="16"/>
        </w:rPr>
        <w:t> </w:t>
      </w:r>
      <w:r>
        <w:rPr>
          <w:rFonts w:ascii="Calibri" w:hAnsi="Calibri"/>
          <w:color w:val="414042"/>
          <w:w w:val="105"/>
          <w:sz w:val="16"/>
        </w:rPr>
        <w:t>que</w:t>
      </w:r>
      <w:r>
        <w:rPr>
          <w:rFonts w:ascii="Calibri" w:hAnsi="Calibri"/>
          <w:color w:val="414042"/>
          <w:spacing w:val="-10"/>
          <w:w w:val="105"/>
          <w:sz w:val="16"/>
        </w:rPr>
        <w:t> </w:t>
      </w:r>
      <w:r>
        <w:rPr>
          <w:rFonts w:ascii="Calibri" w:hAnsi="Calibri"/>
          <w:color w:val="414042"/>
          <w:w w:val="105"/>
          <w:sz w:val="16"/>
        </w:rPr>
        <w:t>definen</w:t>
      </w:r>
      <w:r>
        <w:rPr>
          <w:rFonts w:ascii="Calibri" w:hAnsi="Calibri"/>
          <w:color w:val="414042"/>
          <w:spacing w:val="-10"/>
          <w:w w:val="105"/>
          <w:sz w:val="16"/>
        </w:rPr>
        <w:t> </w:t>
      </w:r>
      <w:r>
        <w:rPr>
          <w:rFonts w:ascii="Calibri" w:hAnsi="Calibri"/>
          <w:color w:val="414042"/>
          <w:w w:val="105"/>
          <w:sz w:val="16"/>
        </w:rPr>
        <w:t>el desplazamiento:</w:t>
      </w:r>
      <w:r>
        <w:rPr>
          <w:rFonts w:ascii="Calibri" w:hAnsi="Calibri"/>
          <w:color w:val="414042"/>
          <w:spacing w:val="-10"/>
          <w:w w:val="105"/>
          <w:sz w:val="16"/>
        </w:rPr>
        <w:t> </w:t>
      </w:r>
      <w:r>
        <w:rPr>
          <w:rFonts w:ascii="Calibri" w:hAnsi="Calibri"/>
          <w:color w:val="414042"/>
          <w:w w:val="105"/>
          <w:sz w:val="16"/>
        </w:rPr>
        <w:t>el</w:t>
      </w:r>
      <w:r>
        <w:rPr>
          <w:rFonts w:ascii="Calibri" w:hAnsi="Calibri"/>
          <w:color w:val="414042"/>
          <w:spacing w:val="-10"/>
          <w:w w:val="105"/>
          <w:sz w:val="16"/>
        </w:rPr>
        <w:t> </w:t>
      </w:r>
      <w:r>
        <w:rPr>
          <w:rFonts w:ascii="Calibri" w:hAnsi="Calibri"/>
          <w:color w:val="414042"/>
          <w:w w:val="105"/>
          <w:sz w:val="16"/>
        </w:rPr>
        <w:t>tiempo</w:t>
      </w:r>
      <w:r>
        <w:rPr>
          <w:rFonts w:ascii="Calibri" w:hAnsi="Calibri"/>
          <w:color w:val="414042"/>
          <w:spacing w:val="-12"/>
          <w:w w:val="105"/>
          <w:sz w:val="16"/>
        </w:rPr>
        <w:t> </w:t>
      </w:r>
      <w:r>
        <w:rPr>
          <w:rFonts w:ascii="Calibri" w:hAnsi="Calibri"/>
          <w:color w:val="414042"/>
          <w:w w:val="105"/>
          <w:sz w:val="16"/>
        </w:rPr>
        <w:t>y</w:t>
      </w:r>
      <w:r>
        <w:rPr>
          <w:rFonts w:ascii="Calibri" w:hAnsi="Calibri"/>
          <w:color w:val="414042"/>
          <w:spacing w:val="-10"/>
          <w:w w:val="105"/>
          <w:sz w:val="16"/>
        </w:rPr>
        <w:t> </w:t>
      </w:r>
      <w:r>
        <w:rPr>
          <w:rFonts w:ascii="Calibri" w:hAnsi="Calibri"/>
          <w:color w:val="414042"/>
          <w:w w:val="105"/>
          <w:sz w:val="16"/>
        </w:rPr>
        <w:t>el</w:t>
      </w:r>
      <w:r>
        <w:rPr>
          <w:rFonts w:ascii="Calibri" w:hAnsi="Calibri"/>
          <w:color w:val="414042"/>
          <w:spacing w:val="-10"/>
          <w:w w:val="105"/>
          <w:sz w:val="16"/>
        </w:rPr>
        <w:t> </w:t>
      </w:r>
      <w:r>
        <w:rPr>
          <w:rFonts w:ascii="Calibri" w:hAnsi="Calibri"/>
          <w:color w:val="414042"/>
          <w:w w:val="105"/>
          <w:sz w:val="16"/>
        </w:rPr>
        <w:t>espacio.</w:t>
      </w:r>
      <w:r>
        <w:rPr>
          <w:rFonts w:ascii="Calibri" w:hAnsi="Calibri"/>
          <w:color w:val="414042"/>
          <w:spacing w:val="-10"/>
          <w:w w:val="105"/>
          <w:sz w:val="16"/>
        </w:rPr>
        <w:t> </w:t>
      </w:r>
      <w:r>
        <w:rPr>
          <w:rFonts w:ascii="Calibri" w:hAnsi="Calibri"/>
          <w:color w:val="414042"/>
          <w:w w:val="105"/>
          <w:sz w:val="16"/>
        </w:rPr>
        <w:t>La</w:t>
      </w:r>
      <w:r>
        <w:rPr>
          <w:rFonts w:ascii="Calibri" w:hAnsi="Calibri"/>
          <w:color w:val="414042"/>
          <w:spacing w:val="-10"/>
          <w:w w:val="105"/>
          <w:sz w:val="16"/>
        </w:rPr>
        <w:t> </w:t>
      </w:r>
      <w:r>
        <w:rPr>
          <w:rFonts w:ascii="Calibri" w:hAnsi="Calibri"/>
          <w:color w:val="414042"/>
          <w:w w:val="105"/>
          <w:sz w:val="16"/>
        </w:rPr>
        <w:t>Emif-norte</w:t>
      </w:r>
      <w:r>
        <w:rPr>
          <w:rFonts w:ascii="Calibri" w:hAnsi="Calibri"/>
          <w:color w:val="414042"/>
          <w:spacing w:val="-10"/>
          <w:w w:val="105"/>
          <w:sz w:val="16"/>
        </w:rPr>
        <w:t> </w:t>
      </w:r>
      <w:r>
        <w:rPr>
          <w:rFonts w:ascii="Calibri" w:hAnsi="Calibri"/>
          <w:color w:val="414042"/>
          <w:w w:val="105"/>
          <w:sz w:val="16"/>
        </w:rPr>
        <w:t>conjunta</w:t>
      </w:r>
      <w:r>
        <w:rPr>
          <w:rFonts w:ascii="Calibri" w:hAnsi="Calibri"/>
          <w:color w:val="414042"/>
          <w:spacing w:val="-10"/>
          <w:w w:val="105"/>
          <w:sz w:val="16"/>
        </w:rPr>
        <w:t> </w:t>
      </w:r>
      <w:r>
        <w:rPr>
          <w:rFonts w:ascii="Calibri" w:hAnsi="Calibri"/>
          <w:color w:val="414042"/>
          <w:w w:val="105"/>
          <w:sz w:val="16"/>
        </w:rPr>
        <w:t>cuatro</w:t>
      </w:r>
      <w:r>
        <w:rPr>
          <w:rFonts w:ascii="Calibri" w:hAnsi="Calibri"/>
          <w:color w:val="414042"/>
          <w:spacing w:val="-10"/>
          <w:w w:val="105"/>
          <w:sz w:val="16"/>
        </w:rPr>
        <w:t> </w:t>
      </w:r>
      <w:r>
        <w:rPr>
          <w:rFonts w:ascii="Calibri" w:hAnsi="Calibri"/>
          <w:color w:val="414042"/>
          <w:w w:val="105"/>
          <w:sz w:val="16"/>
        </w:rPr>
        <w:t>cuestionarios</w:t>
      </w:r>
      <w:r>
        <w:rPr>
          <w:rFonts w:ascii="Calibri" w:hAnsi="Calibri"/>
          <w:color w:val="414042"/>
          <w:spacing w:val="-10"/>
          <w:w w:val="105"/>
          <w:sz w:val="16"/>
        </w:rPr>
        <w:t> </w:t>
      </w:r>
      <w:r>
        <w:rPr>
          <w:rFonts w:ascii="Calibri" w:hAnsi="Calibri"/>
          <w:color w:val="414042"/>
          <w:w w:val="105"/>
          <w:sz w:val="16"/>
        </w:rPr>
        <w:t>relacionados</w:t>
      </w:r>
      <w:r>
        <w:rPr>
          <w:rFonts w:ascii="Calibri" w:hAnsi="Calibri"/>
          <w:color w:val="414042"/>
          <w:spacing w:val="-10"/>
          <w:w w:val="105"/>
          <w:sz w:val="16"/>
        </w:rPr>
        <w:t> </w:t>
      </w:r>
      <w:r>
        <w:rPr>
          <w:rFonts w:ascii="Calibri" w:hAnsi="Calibri"/>
          <w:color w:val="414042"/>
          <w:w w:val="105"/>
          <w:sz w:val="16"/>
        </w:rPr>
        <w:t>entre sí,</w:t>
      </w:r>
      <w:r>
        <w:rPr>
          <w:rFonts w:ascii="Calibri" w:hAnsi="Calibri"/>
          <w:color w:val="414042"/>
          <w:spacing w:val="-15"/>
          <w:w w:val="105"/>
          <w:sz w:val="16"/>
        </w:rPr>
        <w:t> </w:t>
      </w:r>
      <w:r>
        <w:rPr>
          <w:rFonts w:ascii="Calibri" w:hAnsi="Calibri"/>
          <w:color w:val="414042"/>
          <w:w w:val="105"/>
          <w:sz w:val="16"/>
        </w:rPr>
        <w:t>que</w:t>
      </w:r>
      <w:r>
        <w:rPr>
          <w:rFonts w:ascii="Calibri" w:hAnsi="Calibri"/>
          <w:color w:val="414042"/>
          <w:spacing w:val="-15"/>
          <w:w w:val="105"/>
          <w:sz w:val="16"/>
        </w:rPr>
        <w:t> </w:t>
      </w:r>
      <w:r>
        <w:rPr>
          <w:rFonts w:ascii="Calibri" w:hAnsi="Calibri"/>
          <w:color w:val="414042"/>
          <w:w w:val="105"/>
          <w:sz w:val="16"/>
        </w:rPr>
        <w:t>corresponden</w:t>
      </w:r>
      <w:r>
        <w:rPr>
          <w:rFonts w:ascii="Calibri" w:hAnsi="Calibri"/>
          <w:color w:val="414042"/>
          <w:spacing w:val="-15"/>
          <w:w w:val="105"/>
          <w:sz w:val="16"/>
        </w:rPr>
        <w:t> </w:t>
      </w:r>
      <w:r>
        <w:rPr>
          <w:rFonts w:ascii="Calibri" w:hAnsi="Calibri"/>
          <w:color w:val="414042"/>
          <w:w w:val="105"/>
          <w:sz w:val="16"/>
        </w:rPr>
        <w:t>a</w:t>
      </w:r>
      <w:r>
        <w:rPr>
          <w:rFonts w:ascii="Calibri" w:hAnsi="Calibri"/>
          <w:color w:val="414042"/>
          <w:spacing w:val="-15"/>
          <w:w w:val="105"/>
          <w:sz w:val="16"/>
        </w:rPr>
        <w:t> </w:t>
      </w:r>
      <w:r>
        <w:rPr>
          <w:rFonts w:ascii="Calibri" w:hAnsi="Calibri"/>
          <w:color w:val="414042"/>
          <w:w w:val="105"/>
          <w:sz w:val="16"/>
        </w:rPr>
        <w:t>un</w:t>
      </w:r>
      <w:r>
        <w:rPr>
          <w:rFonts w:ascii="Calibri" w:hAnsi="Calibri"/>
          <w:color w:val="414042"/>
          <w:spacing w:val="-15"/>
          <w:w w:val="105"/>
          <w:sz w:val="16"/>
        </w:rPr>
        <w:t> </w:t>
      </w:r>
      <w:r>
        <w:rPr>
          <w:rFonts w:ascii="Calibri" w:hAnsi="Calibri"/>
          <w:color w:val="414042"/>
          <w:w w:val="105"/>
          <w:sz w:val="16"/>
        </w:rPr>
        <w:t>mismo</w:t>
      </w:r>
      <w:r>
        <w:rPr>
          <w:rFonts w:ascii="Calibri" w:hAnsi="Calibri"/>
          <w:color w:val="414042"/>
          <w:spacing w:val="-15"/>
          <w:w w:val="105"/>
          <w:sz w:val="16"/>
        </w:rPr>
        <w:t> </w:t>
      </w:r>
      <w:r>
        <w:rPr>
          <w:rFonts w:ascii="Calibri" w:hAnsi="Calibri"/>
          <w:color w:val="414042"/>
          <w:w w:val="105"/>
          <w:sz w:val="16"/>
        </w:rPr>
        <w:t>marco</w:t>
      </w:r>
      <w:r>
        <w:rPr>
          <w:rFonts w:ascii="Calibri" w:hAnsi="Calibri"/>
          <w:color w:val="414042"/>
          <w:spacing w:val="-15"/>
          <w:w w:val="105"/>
          <w:sz w:val="16"/>
        </w:rPr>
        <w:t> </w:t>
      </w:r>
      <w:r>
        <w:rPr>
          <w:rFonts w:ascii="Calibri" w:hAnsi="Calibri"/>
          <w:color w:val="414042"/>
          <w:w w:val="105"/>
          <w:sz w:val="16"/>
        </w:rPr>
        <w:t>teórico</w:t>
      </w:r>
      <w:r>
        <w:rPr>
          <w:rFonts w:ascii="Calibri" w:hAnsi="Calibri"/>
          <w:color w:val="414042"/>
          <w:spacing w:val="-15"/>
          <w:w w:val="105"/>
          <w:sz w:val="16"/>
        </w:rPr>
        <w:t> </w:t>
      </w:r>
      <w:r>
        <w:rPr>
          <w:rFonts w:ascii="Calibri" w:hAnsi="Calibri"/>
          <w:color w:val="414042"/>
          <w:w w:val="105"/>
          <w:sz w:val="16"/>
        </w:rPr>
        <w:t>conceptual</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5"/>
          <w:w w:val="105"/>
          <w:sz w:val="16"/>
        </w:rPr>
        <w:t> </w:t>
      </w:r>
      <w:r>
        <w:rPr>
          <w:rFonts w:ascii="Calibri" w:hAnsi="Calibri"/>
          <w:color w:val="414042"/>
          <w:w w:val="105"/>
          <w:sz w:val="16"/>
        </w:rPr>
        <w:t>que</w:t>
      </w:r>
      <w:r>
        <w:rPr>
          <w:rFonts w:ascii="Calibri" w:hAnsi="Calibri"/>
          <w:color w:val="414042"/>
          <w:spacing w:val="-15"/>
          <w:w w:val="105"/>
          <w:sz w:val="16"/>
        </w:rPr>
        <w:t> </w:t>
      </w:r>
      <w:r>
        <w:rPr>
          <w:rFonts w:ascii="Calibri" w:hAnsi="Calibri"/>
          <w:color w:val="414042"/>
          <w:w w:val="105"/>
          <w:sz w:val="16"/>
        </w:rPr>
        <w:t>cuantifican</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5"/>
          <w:w w:val="105"/>
          <w:sz w:val="16"/>
        </w:rPr>
        <w:t> </w:t>
      </w:r>
      <w:r>
        <w:rPr>
          <w:rFonts w:ascii="Calibri" w:hAnsi="Calibri"/>
          <w:color w:val="414042"/>
          <w:w w:val="105"/>
          <w:sz w:val="16"/>
        </w:rPr>
        <w:t>caracterizan</w:t>
      </w:r>
      <w:r>
        <w:rPr>
          <w:rFonts w:ascii="Calibri" w:hAnsi="Calibri"/>
          <w:color w:val="414042"/>
          <w:spacing w:val="-15"/>
          <w:w w:val="105"/>
          <w:sz w:val="16"/>
        </w:rPr>
        <w:t> </w:t>
      </w:r>
      <w:r>
        <w:rPr>
          <w:rFonts w:ascii="Calibri" w:hAnsi="Calibri"/>
          <w:color w:val="414042"/>
          <w:w w:val="105"/>
          <w:sz w:val="16"/>
        </w:rPr>
        <w:t>cuatro</w:t>
      </w:r>
      <w:r>
        <w:rPr>
          <w:rFonts w:ascii="Calibri" w:hAnsi="Calibri"/>
          <w:color w:val="414042"/>
          <w:spacing w:val="-15"/>
          <w:w w:val="105"/>
          <w:sz w:val="16"/>
        </w:rPr>
        <w:t> </w:t>
      </w:r>
      <w:r>
        <w:rPr>
          <w:rFonts w:ascii="Calibri" w:hAnsi="Calibri"/>
          <w:color w:val="414042"/>
          <w:w w:val="105"/>
          <w:sz w:val="16"/>
        </w:rPr>
        <w:t>flujos migratorios</w:t>
      </w:r>
      <w:r>
        <w:rPr>
          <w:rFonts w:ascii="Calibri" w:hAnsi="Calibri"/>
          <w:color w:val="414042"/>
          <w:spacing w:val="-21"/>
          <w:w w:val="105"/>
          <w:sz w:val="16"/>
        </w:rPr>
        <w:t> </w:t>
      </w:r>
      <w:r>
        <w:rPr>
          <w:rFonts w:ascii="Calibri" w:hAnsi="Calibri"/>
          <w:color w:val="414042"/>
          <w:w w:val="105"/>
          <w:sz w:val="16"/>
        </w:rPr>
        <w:t>de</w:t>
      </w:r>
      <w:r>
        <w:rPr>
          <w:rFonts w:ascii="Calibri" w:hAnsi="Calibri"/>
          <w:color w:val="414042"/>
          <w:spacing w:val="-21"/>
          <w:w w:val="105"/>
          <w:sz w:val="16"/>
        </w:rPr>
        <w:t> </w:t>
      </w:r>
      <w:r>
        <w:rPr>
          <w:rFonts w:ascii="Calibri" w:hAnsi="Calibri"/>
          <w:color w:val="414042"/>
          <w:w w:val="105"/>
          <w:sz w:val="16"/>
        </w:rPr>
        <w:t>acuerdo</w:t>
      </w:r>
      <w:r>
        <w:rPr>
          <w:rFonts w:ascii="Calibri" w:hAnsi="Calibri"/>
          <w:color w:val="414042"/>
          <w:spacing w:val="-21"/>
          <w:w w:val="105"/>
          <w:sz w:val="16"/>
        </w:rPr>
        <w:t> </w:t>
      </w:r>
      <w:r>
        <w:rPr>
          <w:rFonts w:ascii="Calibri" w:hAnsi="Calibri"/>
          <w:color w:val="414042"/>
          <w:w w:val="105"/>
          <w:sz w:val="16"/>
        </w:rPr>
        <w:t>con</w:t>
      </w:r>
      <w:r>
        <w:rPr>
          <w:rFonts w:ascii="Calibri" w:hAnsi="Calibri"/>
          <w:color w:val="414042"/>
          <w:spacing w:val="-21"/>
          <w:w w:val="105"/>
          <w:sz w:val="16"/>
        </w:rPr>
        <w:t> </w:t>
      </w:r>
      <w:r>
        <w:rPr>
          <w:rFonts w:ascii="Calibri" w:hAnsi="Calibri"/>
          <w:color w:val="414042"/>
          <w:w w:val="105"/>
          <w:sz w:val="16"/>
        </w:rPr>
        <w:t>su</w:t>
      </w:r>
      <w:r>
        <w:rPr>
          <w:rFonts w:ascii="Calibri" w:hAnsi="Calibri"/>
          <w:color w:val="414042"/>
          <w:spacing w:val="-21"/>
          <w:w w:val="105"/>
          <w:sz w:val="16"/>
        </w:rPr>
        <w:t> </w:t>
      </w:r>
      <w:r>
        <w:rPr>
          <w:rFonts w:ascii="Calibri" w:hAnsi="Calibri"/>
          <w:color w:val="414042"/>
          <w:w w:val="105"/>
          <w:sz w:val="16"/>
        </w:rPr>
        <w:t>procedencia,</w:t>
      </w:r>
      <w:r>
        <w:rPr>
          <w:rFonts w:ascii="Calibri" w:hAnsi="Calibri"/>
          <w:color w:val="414042"/>
          <w:spacing w:val="-21"/>
          <w:w w:val="105"/>
          <w:sz w:val="16"/>
        </w:rPr>
        <w:t> </w:t>
      </w:r>
      <w:r>
        <w:rPr>
          <w:rFonts w:ascii="Calibri" w:hAnsi="Calibri"/>
          <w:color w:val="414042"/>
          <w:w w:val="105"/>
          <w:sz w:val="16"/>
        </w:rPr>
        <w:t>los</w:t>
      </w:r>
      <w:r>
        <w:rPr>
          <w:rFonts w:ascii="Calibri" w:hAnsi="Calibri"/>
          <w:color w:val="414042"/>
          <w:spacing w:val="-21"/>
          <w:w w:val="105"/>
          <w:sz w:val="16"/>
        </w:rPr>
        <w:t> </w:t>
      </w:r>
      <w:r>
        <w:rPr>
          <w:rFonts w:ascii="Calibri" w:hAnsi="Calibri"/>
          <w:color w:val="414042"/>
          <w:w w:val="105"/>
          <w:sz w:val="16"/>
        </w:rPr>
        <w:t>cuales</w:t>
      </w:r>
      <w:r>
        <w:rPr>
          <w:rFonts w:ascii="Calibri" w:hAnsi="Calibri"/>
          <w:color w:val="414042"/>
          <w:spacing w:val="-21"/>
          <w:w w:val="105"/>
          <w:sz w:val="16"/>
        </w:rPr>
        <w:t> </w:t>
      </w:r>
      <w:r>
        <w:rPr>
          <w:rFonts w:ascii="Calibri" w:hAnsi="Calibri"/>
          <w:color w:val="414042"/>
          <w:w w:val="105"/>
          <w:sz w:val="16"/>
        </w:rPr>
        <w:t>son:</w:t>
      </w:r>
      <w:r>
        <w:rPr>
          <w:rFonts w:ascii="Calibri" w:hAnsi="Calibri"/>
          <w:color w:val="414042"/>
          <w:spacing w:val="-21"/>
          <w:w w:val="105"/>
          <w:sz w:val="16"/>
        </w:rPr>
        <w:t> </w:t>
      </w:r>
      <w:r>
        <w:rPr>
          <w:rFonts w:ascii="Calibri" w:hAnsi="Calibri"/>
          <w:color w:val="414042"/>
          <w:w w:val="105"/>
          <w:sz w:val="16"/>
        </w:rPr>
        <w:t>1)</w:t>
      </w:r>
      <w:r>
        <w:rPr>
          <w:rFonts w:ascii="Calibri" w:hAnsi="Calibri"/>
          <w:color w:val="414042"/>
          <w:spacing w:val="-21"/>
          <w:w w:val="105"/>
          <w:sz w:val="16"/>
        </w:rPr>
        <w:t> </w:t>
      </w:r>
      <w:r>
        <w:rPr>
          <w:rFonts w:ascii="Calibri" w:hAnsi="Calibri"/>
          <w:color w:val="414042"/>
          <w:w w:val="105"/>
          <w:sz w:val="16"/>
        </w:rPr>
        <w:t>flujo</w:t>
      </w:r>
      <w:r>
        <w:rPr>
          <w:rFonts w:ascii="Calibri" w:hAnsi="Calibri"/>
          <w:color w:val="414042"/>
          <w:spacing w:val="-21"/>
          <w:w w:val="105"/>
          <w:sz w:val="16"/>
        </w:rPr>
        <w:t> </w:t>
      </w:r>
      <w:r>
        <w:rPr>
          <w:rFonts w:ascii="Calibri" w:hAnsi="Calibri"/>
          <w:color w:val="414042"/>
          <w:w w:val="105"/>
          <w:sz w:val="16"/>
        </w:rPr>
        <w:t>procedente</w:t>
      </w:r>
      <w:r>
        <w:rPr>
          <w:rFonts w:ascii="Calibri" w:hAnsi="Calibri"/>
          <w:color w:val="414042"/>
          <w:spacing w:val="-21"/>
          <w:w w:val="105"/>
          <w:sz w:val="16"/>
        </w:rPr>
        <w:t> </w:t>
      </w:r>
      <w:r>
        <w:rPr>
          <w:rFonts w:ascii="Calibri" w:hAnsi="Calibri"/>
          <w:color w:val="414042"/>
          <w:w w:val="105"/>
          <w:sz w:val="16"/>
        </w:rPr>
        <w:t>del</w:t>
      </w:r>
      <w:r>
        <w:rPr>
          <w:rFonts w:ascii="Calibri" w:hAnsi="Calibri"/>
          <w:color w:val="414042"/>
          <w:spacing w:val="-21"/>
          <w:w w:val="105"/>
          <w:sz w:val="16"/>
        </w:rPr>
        <w:t> </w:t>
      </w:r>
      <w:r>
        <w:rPr>
          <w:rFonts w:ascii="Calibri" w:hAnsi="Calibri"/>
          <w:color w:val="414042"/>
          <w:spacing w:val="-3"/>
          <w:w w:val="105"/>
          <w:sz w:val="16"/>
        </w:rPr>
        <w:t>sur,</w:t>
      </w:r>
      <w:r>
        <w:rPr>
          <w:rFonts w:ascii="Calibri" w:hAnsi="Calibri"/>
          <w:color w:val="414042"/>
          <w:spacing w:val="-21"/>
          <w:w w:val="105"/>
          <w:sz w:val="16"/>
        </w:rPr>
        <w:t> </w:t>
      </w:r>
      <w:r>
        <w:rPr>
          <w:rFonts w:ascii="Calibri" w:hAnsi="Calibri"/>
          <w:color w:val="414042"/>
          <w:w w:val="105"/>
          <w:sz w:val="16"/>
        </w:rPr>
        <w:t>2)</w:t>
      </w:r>
      <w:r>
        <w:rPr>
          <w:rFonts w:ascii="Calibri" w:hAnsi="Calibri"/>
          <w:color w:val="414042"/>
          <w:spacing w:val="-21"/>
          <w:w w:val="105"/>
          <w:sz w:val="16"/>
        </w:rPr>
        <w:t> </w:t>
      </w:r>
      <w:r>
        <w:rPr>
          <w:rFonts w:ascii="Calibri" w:hAnsi="Calibri"/>
          <w:color w:val="414042"/>
          <w:w w:val="105"/>
          <w:sz w:val="16"/>
        </w:rPr>
        <w:t>flujo</w:t>
      </w:r>
      <w:r>
        <w:rPr>
          <w:rFonts w:ascii="Calibri" w:hAnsi="Calibri"/>
          <w:color w:val="414042"/>
          <w:spacing w:val="-21"/>
          <w:w w:val="105"/>
          <w:sz w:val="16"/>
        </w:rPr>
        <w:t> </w:t>
      </w:r>
      <w:r>
        <w:rPr>
          <w:rFonts w:ascii="Calibri" w:hAnsi="Calibri"/>
          <w:color w:val="414042"/>
          <w:w w:val="105"/>
          <w:sz w:val="16"/>
        </w:rPr>
        <w:t>procedente de</w:t>
      </w:r>
      <w:r>
        <w:rPr>
          <w:rFonts w:ascii="Calibri" w:hAnsi="Calibri"/>
          <w:color w:val="414042"/>
          <w:spacing w:val="-6"/>
          <w:w w:val="105"/>
          <w:sz w:val="16"/>
        </w:rPr>
        <w:t> </w:t>
      </w:r>
      <w:r>
        <w:rPr>
          <w:rFonts w:ascii="Calibri" w:hAnsi="Calibri"/>
          <w:color w:val="414042"/>
          <w:w w:val="105"/>
          <w:sz w:val="16"/>
        </w:rPr>
        <w:t>la</w:t>
      </w:r>
      <w:r>
        <w:rPr>
          <w:rFonts w:ascii="Calibri" w:hAnsi="Calibri"/>
          <w:color w:val="414042"/>
          <w:spacing w:val="-6"/>
          <w:w w:val="105"/>
          <w:sz w:val="16"/>
        </w:rPr>
        <w:t> </w:t>
      </w:r>
      <w:r>
        <w:rPr>
          <w:rFonts w:ascii="Calibri" w:hAnsi="Calibri"/>
          <w:color w:val="414042"/>
          <w:w w:val="105"/>
          <w:sz w:val="16"/>
        </w:rPr>
        <w:t>frontera</w:t>
      </w:r>
      <w:r>
        <w:rPr>
          <w:rFonts w:ascii="Calibri" w:hAnsi="Calibri"/>
          <w:color w:val="414042"/>
          <w:spacing w:val="-6"/>
          <w:w w:val="105"/>
          <w:sz w:val="16"/>
        </w:rPr>
        <w:t> </w:t>
      </w:r>
      <w:r>
        <w:rPr>
          <w:rFonts w:ascii="Calibri" w:hAnsi="Calibri"/>
          <w:color w:val="414042"/>
          <w:w w:val="105"/>
          <w:sz w:val="16"/>
        </w:rPr>
        <w:t>norte</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México,</w:t>
      </w:r>
      <w:r>
        <w:rPr>
          <w:rFonts w:ascii="Calibri" w:hAnsi="Calibri"/>
          <w:color w:val="414042"/>
          <w:spacing w:val="-6"/>
          <w:w w:val="105"/>
          <w:sz w:val="16"/>
        </w:rPr>
        <w:t> </w:t>
      </w:r>
      <w:r>
        <w:rPr>
          <w:rFonts w:ascii="Calibri" w:hAnsi="Calibri"/>
          <w:color w:val="414042"/>
          <w:w w:val="105"/>
          <w:sz w:val="16"/>
        </w:rPr>
        <w:t>3)</w:t>
      </w:r>
      <w:r>
        <w:rPr>
          <w:rFonts w:ascii="Calibri" w:hAnsi="Calibri"/>
          <w:color w:val="414042"/>
          <w:spacing w:val="-6"/>
          <w:w w:val="105"/>
          <w:sz w:val="16"/>
        </w:rPr>
        <w:t> </w:t>
      </w:r>
      <w:r>
        <w:rPr>
          <w:rFonts w:ascii="Calibri" w:hAnsi="Calibri"/>
          <w:color w:val="414042"/>
          <w:w w:val="105"/>
          <w:sz w:val="16"/>
        </w:rPr>
        <w:t>flujo</w:t>
      </w:r>
      <w:r>
        <w:rPr>
          <w:rFonts w:ascii="Calibri" w:hAnsi="Calibri"/>
          <w:color w:val="414042"/>
          <w:spacing w:val="-6"/>
          <w:w w:val="105"/>
          <w:sz w:val="16"/>
        </w:rPr>
        <w:t> </w:t>
      </w:r>
      <w:r>
        <w:rPr>
          <w:rFonts w:ascii="Calibri" w:hAnsi="Calibri"/>
          <w:color w:val="414042"/>
          <w:w w:val="105"/>
          <w:sz w:val="16"/>
        </w:rPr>
        <w:t>procedente</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Estados</w:t>
      </w:r>
      <w:r>
        <w:rPr>
          <w:rFonts w:ascii="Calibri" w:hAnsi="Calibri"/>
          <w:color w:val="414042"/>
          <w:spacing w:val="-6"/>
          <w:w w:val="105"/>
          <w:sz w:val="16"/>
        </w:rPr>
        <w:t> </w:t>
      </w:r>
      <w:r>
        <w:rPr>
          <w:rFonts w:ascii="Calibri" w:hAnsi="Calibri"/>
          <w:color w:val="414042"/>
          <w:w w:val="105"/>
          <w:sz w:val="16"/>
        </w:rPr>
        <w:t>Unidos</w:t>
      </w:r>
      <w:r>
        <w:rPr>
          <w:rFonts w:ascii="Calibri" w:hAnsi="Calibri"/>
          <w:color w:val="414042"/>
          <w:spacing w:val="-7"/>
          <w:w w:val="105"/>
          <w:sz w:val="16"/>
        </w:rPr>
        <w:t> </w:t>
      </w:r>
      <w:r>
        <w:rPr>
          <w:rFonts w:ascii="Calibri" w:hAnsi="Calibri"/>
          <w:color w:val="414042"/>
          <w:w w:val="105"/>
          <w:sz w:val="16"/>
        </w:rPr>
        <w:t>y</w:t>
      </w:r>
      <w:r>
        <w:rPr>
          <w:rFonts w:ascii="Calibri" w:hAnsi="Calibri"/>
          <w:color w:val="414042"/>
          <w:spacing w:val="-6"/>
          <w:w w:val="105"/>
          <w:sz w:val="16"/>
        </w:rPr>
        <w:t> </w:t>
      </w:r>
      <w:r>
        <w:rPr>
          <w:rFonts w:ascii="Calibri" w:hAnsi="Calibri"/>
          <w:color w:val="414042"/>
          <w:w w:val="105"/>
          <w:sz w:val="16"/>
        </w:rPr>
        <w:t>4)</w:t>
      </w:r>
      <w:r>
        <w:rPr>
          <w:rFonts w:ascii="Calibri" w:hAnsi="Calibri"/>
          <w:color w:val="414042"/>
          <w:spacing w:val="-6"/>
          <w:w w:val="105"/>
          <w:sz w:val="16"/>
        </w:rPr>
        <w:t> </w:t>
      </w:r>
      <w:r>
        <w:rPr>
          <w:rFonts w:ascii="Calibri" w:hAnsi="Calibri"/>
          <w:color w:val="414042"/>
          <w:w w:val="105"/>
          <w:sz w:val="16"/>
        </w:rPr>
        <w:t>flujo</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devueltos</w:t>
      </w:r>
      <w:r>
        <w:rPr>
          <w:rFonts w:ascii="Calibri" w:hAnsi="Calibri"/>
          <w:color w:val="414042"/>
          <w:spacing w:val="-6"/>
          <w:w w:val="105"/>
          <w:sz w:val="16"/>
        </w:rPr>
        <w:t> </w:t>
      </w:r>
      <w:r>
        <w:rPr>
          <w:rFonts w:ascii="Calibri" w:hAnsi="Calibri"/>
          <w:color w:val="414042"/>
          <w:w w:val="105"/>
          <w:sz w:val="16"/>
        </w:rPr>
        <w:t>por</w:t>
      </w:r>
      <w:r>
        <w:rPr>
          <w:rFonts w:ascii="Calibri" w:hAnsi="Calibri"/>
          <w:color w:val="414042"/>
          <w:spacing w:val="-6"/>
          <w:w w:val="105"/>
          <w:sz w:val="16"/>
        </w:rPr>
        <w:t> </w:t>
      </w:r>
      <w:r>
        <w:rPr>
          <w:rFonts w:ascii="Calibri" w:hAnsi="Calibri"/>
          <w:color w:val="414042"/>
          <w:w w:val="105"/>
          <w:sz w:val="16"/>
        </w:rPr>
        <w:t>la</w:t>
      </w:r>
      <w:r>
        <w:rPr>
          <w:rFonts w:ascii="Calibri" w:hAnsi="Calibri"/>
          <w:color w:val="414042"/>
          <w:spacing w:val="-6"/>
          <w:w w:val="105"/>
          <w:sz w:val="16"/>
        </w:rPr>
        <w:t> </w:t>
      </w:r>
      <w:r>
        <w:rPr>
          <w:rFonts w:ascii="Calibri" w:hAnsi="Calibri"/>
          <w:color w:val="414042"/>
          <w:w w:val="105"/>
          <w:sz w:val="16"/>
        </w:rPr>
        <w:t>Pa- trulla Fronteriza (</w:t>
      </w:r>
      <w:r>
        <w:rPr>
          <w:rFonts w:ascii="Calibri" w:hAnsi="Calibri"/>
          <w:color w:val="414042"/>
          <w:w w:val="105"/>
          <w:sz w:val="13"/>
        </w:rPr>
        <w:t>COLEF</w:t>
      </w:r>
      <w:r>
        <w:rPr>
          <w:rFonts w:ascii="Calibri" w:hAnsi="Calibri"/>
          <w:color w:val="414042"/>
          <w:w w:val="105"/>
          <w:sz w:val="16"/>
        </w:rPr>
        <w:t>,</w:t>
      </w:r>
      <w:r>
        <w:rPr>
          <w:rFonts w:ascii="Calibri" w:hAnsi="Calibri"/>
          <w:color w:val="414042"/>
          <w:spacing w:val="-15"/>
          <w:w w:val="105"/>
          <w:sz w:val="16"/>
        </w:rPr>
        <w:t> </w:t>
      </w:r>
      <w:r>
        <w:rPr>
          <w:rFonts w:ascii="Calibri" w:hAnsi="Calibri"/>
          <w:color w:val="414042"/>
          <w:w w:val="105"/>
          <w:sz w:val="16"/>
        </w:rPr>
        <w:t>s.a).</w:t>
      </w:r>
    </w:p>
    <w:p>
      <w:pPr>
        <w:spacing w:after="0" w:line="192" w:lineRule="exact"/>
        <w:jc w:val="both"/>
        <w:rPr>
          <w:rFonts w:ascii="Calibri" w:hAnsi="Calibri"/>
          <w:sz w:val="16"/>
        </w:rPr>
        <w:sectPr>
          <w:type w:val="continuous"/>
          <w:pgSz w:w="10480" w:h="14730"/>
          <w:pgMar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28"/>
        <w:jc w:val="both"/>
      </w:pPr>
      <w:r>
        <w:rPr/>
        <w:pict>
          <v:line style="position:absolute;mso-position-horizontal-relative:page;mso-position-vertical-relative:paragraph;z-index:15136" from="15pt,-68.636444pt" to="0pt,-68.636444pt" stroked="true" strokeweight=".25pt" strokecolor="#000000">
            <w10:wrap type="none"/>
          </v:line>
        </w:pict>
      </w:r>
      <w:r>
        <w:rPr/>
        <w:pict>
          <v:line style="position:absolute;mso-position-horizontal-relative:page;mso-position-vertical-relative:paragraph;z-index:15160" from="508.890015pt,-68.636444pt" to="523.890015pt,-68.636444pt" stroked="true" strokeweight=".25pt" strokecolor="#000000">
            <w10:wrap type="none"/>
          </v:line>
        </w:pict>
      </w:r>
      <w:r>
        <w:rPr>
          <w:color w:val="231F20"/>
          <w:w w:val="105"/>
        </w:rPr>
        <w:t>Históricamente, la migración de los mexicanos hacia Estados Unidos puede</w:t>
      </w:r>
      <w:r>
        <w:rPr>
          <w:color w:val="231F20"/>
          <w:spacing w:val="-8"/>
          <w:w w:val="105"/>
        </w:rPr>
        <w:t> </w:t>
      </w:r>
      <w:r>
        <w:rPr>
          <w:color w:val="231F20"/>
          <w:w w:val="105"/>
        </w:rPr>
        <w:t>dividirse</w:t>
      </w:r>
      <w:r>
        <w:rPr>
          <w:color w:val="231F20"/>
          <w:spacing w:val="-8"/>
          <w:w w:val="105"/>
        </w:rPr>
        <w:t> </w:t>
      </w:r>
      <w:r>
        <w:rPr>
          <w:color w:val="231F20"/>
          <w:w w:val="105"/>
        </w:rPr>
        <w:t>en</w:t>
      </w:r>
      <w:r>
        <w:rPr>
          <w:color w:val="231F20"/>
          <w:spacing w:val="-8"/>
          <w:w w:val="105"/>
        </w:rPr>
        <w:t> </w:t>
      </w:r>
      <w:r>
        <w:rPr>
          <w:color w:val="231F20"/>
          <w:w w:val="105"/>
        </w:rPr>
        <w:t>fases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han</w:t>
      </w:r>
      <w:r>
        <w:rPr>
          <w:color w:val="231F20"/>
          <w:spacing w:val="-8"/>
          <w:w w:val="105"/>
        </w:rPr>
        <w:t> </w:t>
      </w:r>
      <w:r>
        <w:rPr>
          <w:color w:val="231F20"/>
          <w:w w:val="105"/>
        </w:rPr>
        <w:t>distinguido</w:t>
      </w:r>
      <w:r>
        <w:rPr>
          <w:color w:val="231F20"/>
          <w:spacing w:val="-8"/>
          <w:w w:val="105"/>
        </w:rPr>
        <w:t> </w:t>
      </w:r>
      <w:r>
        <w:rPr>
          <w:color w:val="231F20"/>
          <w:w w:val="105"/>
        </w:rPr>
        <w:t>tanto</w:t>
      </w:r>
      <w:r>
        <w:rPr>
          <w:color w:val="231F20"/>
          <w:spacing w:val="-8"/>
          <w:w w:val="105"/>
        </w:rPr>
        <w:t> </w:t>
      </w:r>
      <w:r>
        <w:rPr>
          <w:color w:val="231F20"/>
          <w:w w:val="105"/>
        </w:rPr>
        <w:t>por</w:t>
      </w:r>
      <w:r>
        <w:rPr>
          <w:color w:val="231F20"/>
          <w:spacing w:val="-8"/>
          <w:w w:val="105"/>
        </w:rPr>
        <w:t> </w:t>
      </w:r>
      <w:r>
        <w:rPr>
          <w:color w:val="231F20"/>
          <w:w w:val="105"/>
        </w:rPr>
        <w:t>las</w:t>
      </w:r>
      <w:r>
        <w:rPr>
          <w:color w:val="231F20"/>
          <w:spacing w:val="-8"/>
          <w:w w:val="105"/>
        </w:rPr>
        <w:t> </w:t>
      </w:r>
      <w:r>
        <w:rPr>
          <w:color w:val="231F20"/>
          <w:w w:val="105"/>
        </w:rPr>
        <w:t>caracterís- ticas</w:t>
      </w:r>
      <w:r>
        <w:rPr>
          <w:color w:val="231F20"/>
          <w:spacing w:val="-15"/>
          <w:w w:val="105"/>
        </w:rPr>
        <w:t> </w:t>
      </w:r>
      <w:r>
        <w:rPr>
          <w:color w:val="231F20"/>
          <w:w w:val="105"/>
        </w:rPr>
        <w:t>del</w:t>
      </w:r>
      <w:r>
        <w:rPr>
          <w:color w:val="231F20"/>
          <w:spacing w:val="-15"/>
          <w:w w:val="105"/>
        </w:rPr>
        <w:t> </w:t>
      </w:r>
      <w:r>
        <w:rPr>
          <w:color w:val="231F20"/>
          <w:w w:val="105"/>
        </w:rPr>
        <w:t>cruce</w:t>
      </w:r>
      <w:r>
        <w:rPr>
          <w:color w:val="231F20"/>
          <w:spacing w:val="-15"/>
          <w:w w:val="105"/>
        </w:rPr>
        <w:t> </w:t>
      </w:r>
      <w:r>
        <w:rPr>
          <w:color w:val="231F20"/>
          <w:w w:val="105"/>
        </w:rPr>
        <w:t>fronterizo,</w:t>
      </w:r>
      <w:r>
        <w:rPr>
          <w:color w:val="231F20"/>
          <w:spacing w:val="-20"/>
          <w:w w:val="105"/>
        </w:rPr>
        <w:t> </w:t>
      </w:r>
      <w:r>
        <w:rPr>
          <w:color w:val="231F20"/>
          <w:w w:val="105"/>
        </w:rPr>
        <w:t>como</w:t>
      </w:r>
      <w:r>
        <w:rPr>
          <w:color w:val="231F20"/>
          <w:spacing w:val="-15"/>
          <w:w w:val="105"/>
        </w:rPr>
        <w:t> </w:t>
      </w:r>
      <w:r>
        <w:rPr>
          <w:color w:val="231F20"/>
          <w:w w:val="105"/>
        </w:rPr>
        <w:t>por</w:t>
      </w:r>
      <w:r>
        <w:rPr>
          <w:color w:val="231F20"/>
          <w:spacing w:val="-15"/>
          <w:w w:val="105"/>
        </w:rPr>
        <w:t> </w:t>
      </w:r>
      <w:r>
        <w:rPr>
          <w:color w:val="231F20"/>
          <w:w w:val="105"/>
        </w:rPr>
        <w:t>las</w:t>
      </w:r>
      <w:r>
        <w:rPr>
          <w:color w:val="231F20"/>
          <w:spacing w:val="-15"/>
          <w:w w:val="105"/>
        </w:rPr>
        <w:t> </w:t>
      </w:r>
      <w:r>
        <w:rPr>
          <w:color w:val="231F20"/>
          <w:w w:val="105"/>
        </w:rPr>
        <w:t>condiciones</w:t>
      </w:r>
      <w:r>
        <w:rPr>
          <w:color w:val="231F20"/>
          <w:spacing w:val="-15"/>
          <w:w w:val="105"/>
        </w:rPr>
        <w:t> </w:t>
      </w:r>
      <w:r>
        <w:rPr>
          <w:color w:val="231F20"/>
          <w:w w:val="105"/>
        </w:rPr>
        <w:t>legales</w:t>
      </w:r>
      <w:r>
        <w:rPr>
          <w:color w:val="231F20"/>
          <w:spacing w:val="-15"/>
          <w:w w:val="105"/>
        </w:rPr>
        <w:t> </w:t>
      </w:r>
      <w:r>
        <w:rPr>
          <w:color w:val="231F20"/>
          <w:w w:val="105"/>
        </w:rPr>
        <w:t>[económicas y</w:t>
      </w:r>
      <w:r>
        <w:rPr>
          <w:color w:val="231F20"/>
          <w:spacing w:val="-9"/>
          <w:w w:val="105"/>
        </w:rPr>
        <w:t> </w:t>
      </w:r>
      <w:r>
        <w:rPr>
          <w:color w:val="231F20"/>
          <w:w w:val="105"/>
        </w:rPr>
        <w:t>culturales]</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que</w:t>
      </w:r>
      <w:r>
        <w:rPr>
          <w:color w:val="231F20"/>
          <w:spacing w:val="-9"/>
          <w:w w:val="105"/>
        </w:rPr>
        <w:t> </w:t>
      </w:r>
      <w:r>
        <w:rPr>
          <w:color w:val="231F20"/>
          <w:w w:val="105"/>
        </w:rPr>
        <w:t>ocurren</w:t>
      </w:r>
      <w:r>
        <w:rPr>
          <w:color w:val="231F20"/>
          <w:spacing w:val="-9"/>
          <w:w w:val="105"/>
        </w:rPr>
        <w:t> </w:t>
      </w:r>
      <w:r>
        <w:rPr>
          <w:color w:val="231F20"/>
          <w:w w:val="105"/>
        </w:rPr>
        <w:t>(Massey</w:t>
      </w:r>
      <w:r>
        <w:rPr>
          <w:color w:val="231F20"/>
          <w:spacing w:val="-9"/>
          <w:w w:val="105"/>
        </w:rPr>
        <w:t> </w:t>
      </w:r>
      <w:r>
        <w:rPr>
          <w:rFonts w:ascii="Arial" w:hAnsi="Arial"/>
          <w:i/>
          <w:color w:val="231F20"/>
          <w:w w:val="105"/>
        </w:rPr>
        <w:t>et</w:t>
      </w:r>
      <w:r>
        <w:rPr>
          <w:rFonts w:ascii="Arial" w:hAnsi="Arial"/>
          <w:i/>
          <w:color w:val="231F20"/>
          <w:spacing w:val="-12"/>
          <w:w w:val="105"/>
        </w:rPr>
        <w:t> </w:t>
      </w:r>
      <w:r>
        <w:rPr>
          <w:rFonts w:ascii="Arial" w:hAnsi="Arial"/>
          <w:i/>
          <w:color w:val="231F20"/>
          <w:w w:val="105"/>
        </w:rPr>
        <w:t>al.,</w:t>
      </w:r>
      <w:r>
        <w:rPr>
          <w:rFonts w:ascii="Arial" w:hAnsi="Arial"/>
          <w:i/>
          <w:color w:val="231F20"/>
          <w:spacing w:val="-17"/>
          <w:w w:val="105"/>
        </w:rPr>
        <w:t> </w:t>
      </w:r>
      <w:r>
        <w:rPr>
          <w:color w:val="231F20"/>
          <w:w w:val="105"/>
        </w:rPr>
        <w:t>2009b).</w:t>
      </w:r>
      <w:r>
        <w:rPr>
          <w:color w:val="231F20"/>
          <w:spacing w:val="-15"/>
          <w:w w:val="105"/>
        </w:rPr>
        <w:t> </w:t>
      </w:r>
      <w:r>
        <w:rPr>
          <w:color w:val="231F20"/>
          <w:w w:val="105"/>
        </w:rPr>
        <w:t>Un</w:t>
      </w:r>
      <w:r>
        <w:rPr>
          <w:color w:val="231F20"/>
          <w:spacing w:val="-9"/>
          <w:w w:val="105"/>
        </w:rPr>
        <w:t> </w:t>
      </w:r>
      <w:r>
        <w:rPr>
          <w:color w:val="231F20"/>
          <w:w w:val="105"/>
        </w:rPr>
        <w:t>breve</w:t>
      </w:r>
      <w:r>
        <w:rPr>
          <w:color w:val="231F20"/>
          <w:spacing w:val="-9"/>
          <w:w w:val="105"/>
        </w:rPr>
        <w:t> </w:t>
      </w:r>
      <w:r>
        <w:rPr>
          <w:color w:val="231F20"/>
          <w:w w:val="105"/>
        </w:rPr>
        <w:t>repaso por</w:t>
      </w:r>
      <w:r>
        <w:rPr>
          <w:color w:val="231F20"/>
          <w:spacing w:val="-18"/>
          <w:w w:val="105"/>
        </w:rPr>
        <w:t> </w:t>
      </w:r>
      <w:r>
        <w:rPr>
          <w:color w:val="231F20"/>
          <w:w w:val="105"/>
        </w:rPr>
        <w:t>la</w:t>
      </w:r>
      <w:r>
        <w:rPr>
          <w:color w:val="231F20"/>
          <w:spacing w:val="-18"/>
          <w:w w:val="105"/>
        </w:rPr>
        <w:t> </w:t>
      </w:r>
      <w:r>
        <w:rPr>
          <w:color w:val="231F20"/>
          <w:w w:val="105"/>
        </w:rPr>
        <w:t>historia</w:t>
      </w:r>
      <w:r>
        <w:rPr>
          <w:color w:val="231F20"/>
          <w:spacing w:val="-18"/>
          <w:w w:val="105"/>
        </w:rPr>
        <w:t> </w:t>
      </w:r>
      <w:r>
        <w:rPr>
          <w:color w:val="231F20"/>
          <w:w w:val="105"/>
        </w:rPr>
        <w:t>migratoria</w:t>
      </w:r>
      <w:r>
        <w:rPr>
          <w:color w:val="231F20"/>
          <w:spacing w:val="-18"/>
          <w:w w:val="105"/>
        </w:rPr>
        <w:t> </w:t>
      </w:r>
      <w:r>
        <w:rPr>
          <w:color w:val="231F20"/>
          <w:w w:val="105"/>
        </w:rPr>
        <w:t>México-Estados</w:t>
      </w:r>
      <w:r>
        <w:rPr>
          <w:color w:val="231F20"/>
          <w:spacing w:val="-18"/>
          <w:w w:val="105"/>
        </w:rPr>
        <w:t> </w:t>
      </w:r>
      <w:r>
        <w:rPr>
          <w:color w:val="231F20"/>
          <w:w w:val="105"/>
        </w:rPr>
        <w:t>Unidos</w:t>
      </w:r>
      <w:r>
        <w:rPr>
          <w:color w:val="231F20"/>
          <w:spacing w:val="-18"/>
          <w:w w:val="105"/>
        </w:rPr>
        <w:t> </w:t>
      </w:r>
      <w:r>
        <w:rPr>
          <w:color w:val="231F20"/>
          <w:w w:val="105"/>
        </w:rPr>
        <w:t>supone</w:t>
      </w:r>
      <w:r>
        <w:rPr>
          <w:color w:val="231F20"/>
          <w:spacing w:val="-18"/>
          <w:w w:val="105"/>
        </w:rPr>
        <w:t> </w:t>
      </w:r>
      <w:r>
        <w:rPr>
          <w:color w:val="231F20"/>
          <w:w w:val="105"/>
        </w:rPr>
        <w:t>la</w:t>
      </w:r>
      <w:r>
        <w:rPr>
          <w:color w:val="231F20"/>
          <w:spacing w:val="-18"/>
          <w:w w:val="105"/>
        </w:rPr>
        <w:t> </w:t>
      </w:r>
      <w:r>
        <w:rPr>
          <w:color w:val="231F20"/>
          <w:w w:val="105"/>
        </w:rPr>
        <w:t>presencia</w:t>
      </w:r>
      <w:r>
        <w:rPr>
          <w:color w:val="231F20"/>
          <w:spacing w:val="-18"/>
          <w:w w:val="105"/>
        </w:rPr>
        <w:t> </w:t>
      </w:r>
      <w:r>
        <w:rPr>
          <w:color w:val="231F20"/>
          <w:w w:val="105"/>
        </w:rPr>
        <w:t>de cinco</w:t>
      </w:r>
      <w:r>
        <w:rPr>
          <w:color w:val="231F20"/>
          <w:spacing w:val="-4"/>
          <w:w w:val="105"/>
        </w:rPr>
        <w:t> </w:t>
      </w:r>
      <w:r>
        <w:rPr>
          <w:color w:val="231F20"/>
          <w:w w:val="105"/>
        </w:rPr>
        <w:t>etapas.</w:t>
      </w:r>
      <w:r>
        <w:rPr>
          <w:color w:val="231F20"/>
          <w:spacing w:val="-11"/>
          <w:w w:val="105"/>
        </w:rPr>
        <w:t> </w:t>
      </w:r>
      <w:r>
        <w:rPr>
          <w:color w:val="231F20"/>
          <w:w w:val="105"/>
        </w:rPr>
        <w:t>La</w:t>
      </w:r>
      <w:r>
        <w:rPr>
          <w:color w:val="231F20"/>
          <w:spacing w:val="-4"/>
          <w:w w:val="105"/>
        </w:rPr>
        <w:t> </w:t>
      </w:r>
      <w:r>
        <w:rPr>
          <w:color w:val="231F20"/>
          <w:w w:val="105"/>
        </w:rPr>
        <w:t>primera</w:t>
      </w:r>
      <w:r>
        <w:rPr>
          <w:color w:val="231F20"/>
          <w:spacing w:val="-4"/>
          <w:w w:val="105"/>
        </w:rPr>
        <w:t> </w:t>
      </w:r>
      <w:r>
        <w:rPr>
          <w:color w:val="231F20"/>
          <w:w w:val="105"/>
        </w:rPr>
        <w:t>conocida</w:t>
      </w:r>
      <w:r>
        <w:rPr>
          <w:color w:val="231F20"/>
          <w:spacing w:val="-4"/>
          <w:w w:val="105"/>
        </w:rPr>
        <w:t> </w:t>
      </w:r>
      <w:r>
        <w:rPr>
          <w:color w:val="231F20"/>
          <w:w w:val="105"/>
        </w:rPr>
        <w:t>como</w:t>
      </w:r>
      <w:r>
        <w:rPr>
          <w:color w:val="231F20"/>
          <w:spacing w:val="-4"/>
          <w:w w:val="105"/>
        </w:rPr>
        <w:t> </w:t>
      </w:r>
      <w:r>
        <w:rPr>
          <w:color w:val="231F20"/>
          <w:w w:val="105"/>
        </w:rPr>
        <w:t>la</w:t>
      </w:r>
      <w:r>
        <w:rPr>
          <w:color w:val="231F20"/>
          <w:spacing w:val="-4"/>
          <w:w w:val="105"/>
        </w:rPr>
        <w:t> </w:t>
      </w:r>
      <w:r>
        <w:rPr>
          <w:color w:val="231F20"/>
          <w:w w:val="105"/>
        </w:rPr>
        <w:t>fase</w:t>
      </w:r>
      <w:r>
        <w:rPr>
          <w:color w:val="231F20"/>
          <w:spacing w:val="-4"/>
          <w:w w:val="105"/>
        </w:rPr>
        <w:t> </w:t>
      </w:r>
      <w:r>
        <w:rPr>
          <w:color w:val="231F20"/>
          <w:w w:val="105"/>
        </w:rPr>
        <w:t>del</w:t>
      </w:r>
      <w:r>
        <w:rPr>
          <w:color w:val="231F20"/>
          <w:spacing w:val="-4"/>
          <w:w w:val="105"/>
        </w:rPr>
        <w:t> </w:t>
      </w:r>
      <w:r>
        <w:rPr>
          <w:color w:val="231F20"/>
          <w:w w:val="105"/>
        </w:rPr>
        <w:t>“enganche”</w:t>
      </w:r>
      <w:r>
        <w:rPr>
          <w:color w:val="231F20"/>
          <w:spacing w:val="-4"/>
          <w:w w:val="105"/>
        </w:rPr>
        <w:t> </w:t>
      </w:r>
      <w:r>
        <w:rPr>
          <w:color w:val="231F20"/>
          <w:w w:val="105"/>
        </w:rPr>
        <w:t>tuvo</w:t>
      </w:r>
      <w:r>
        <w:rPr>
          <w:color w:val="231F20"/>
          <w:spacing w:val="-4"/>
          <w:w w:val="105"/>
        </w:rPr>
        <w:t> </w:t>
      </w:r>
      <w:r>
        <w:rPr>
          <w:color w:val="231F20"/>
          <w:w w:val="105"/>
        </w:rPr>
        <w:t>lu- gar durante los años 1900-1929. </w:t>
      </w:r>
      <w:r>
        <w:rPr>
          <w:color w:val="231F20"/>
          <w:spacing w:val="-3"/>
          <w:w w:val="105"/>
        </w:rPr>
        <w:t>Período </w:t>
      </w:r>
      <w:r>
        <w:rPr>
          <w:color w:val="231F20"/>
          <w:w w:val="105"/>
        </w:rPr>
        <w:t>en el que el “enganche” con- sistía</w:t>
      </w:r>
      <w:r>
        <w:rPr>
          <w:color w:val="231F20"/>
          <w:spacing w:val="-5"/>
          <w:w w:val="105"/>
        </w:rPr>
        <w:t> </w:t>
      </w:r>
      <w:r>
        <w:rPr>
          <w:color w:val="231F20"/>
          <w:w w:val="105"/>
        </w:rPr>
        <w:t>en</w:t>
      </w:r>
      <w:r>
        <w:rPr>
          <w:color w:val="231F20"/>
          <w:spacing w:val="-5"/>
          <w:w w:val="105"/>
        </w:rPr>
        <w:t> </w:t>
      </w:r>
      <w:r>
        <w:rPr>
          <w:color w:val="231F20"/>
          <w:w w:val="105"/>
        </w:rPr>
        <w:t>adelantar</w:t>
      </w:r>
      <w:r>
        <w:rPr>
          <w:color w:val="231F20"/>
          <w:spacing w:val="-5"/>
          <w:w w:val="105"/>
        </w:rPr>
        <w:t> </w:t>
      </w:r>
      <w:r>
        <w:rPr>
          <w:color w:val="231F20"/>
          <w:w w:val="105"/>
        </w:rPr>
        <w:t>una</w:t>
      </w:r>
      <w:r>
        <w:rPr>
          <w:color w:val="231F20"/>
          <w:spacing w:val="-5"/>
          <w:w w:val="105"/>
        </w:rPr>
        <w:t> </w:t>
      </w:r>
      <w:r>
        <w:rPr>
          <w:color w:val="231F20"/>
          <w:w w:val="105"/>
        </w:rPr>
        <w:t>determinada</w:t>
      </w:r>
      <w:r>
        <w:rPr>
          <w:color w:val="231F20"/>
          <w:spacing w:val="-5"/>
          <w:w w:val="105"/>
        </w:rPr>
        <w:t> </w:t>
      </w:r>
      <w:r>
        <w:rPr>
          <w:color w:val="231F20"/>
          <w:w w:val="105"/>
        </w:rPr>
        <w:t>cantidad</w:t>
      </w:r>
      <w:r>
        <w:rPr>
          <w:color w:val="231F20"/>
          <w:spacing w:val="-5"/>
          <w:w w:val="105"/>
        </w:rPr>
        <w:t> </w:t>
      </w:r>
      <w:r>
        <w:rPr>
          <w:color w:val="231F20"/>
          <w:w w:val="105"/>
        </w:rPr>
        <w:t>de</w:t>
      </w:r>
      <w:r>
        <w:rPr>
          <w:color w:val="231F20"/>
          <w:spacing w:val="-5"/>
          <w:w w:val="105"/>
        </w:rPr>
        <w:t> </w:t>
      </w:r>
      <w:r>
        <w:rPr>
          <w:color w:val="231F20"/>
          <w:w w:val="105"/>
        </w:rPr>
        <w:t>dinero</w:t>
      </w:r>
      <w:r>
        <w:rPr>
          <w:color w:val="231F20"/>
          <w:spacing w:val="-5"/>
          <w:w w:val="105"/>
        </w:rPr>
        <w:t> </w:t>
      </w:r>
      <w:r>
        <w:rPr>
          <w:color w:val="231F20"/>
          <w:w w:val="105"/>
        </w:rPr>
        <w:t>a</w:t>
      </w:r>
      <w:r>
        <w:rPr>
          <w:color w:val="231F20"/>
          <w:spacing w:val="-5"/>
          <w:w w:val="105"/>
        </w:rPr>
        <w:t> </w:t>
      </w:r>
      <w:r>
        <w:rPr>
          <w:color w:val="231F20"/>
          <w:w w:val="105"/>
        </w:rPr>
        <w:t>cuenta</w:t>
      </w:r>
      <w:r>
        <w:rPr>
          <w:color w:val="231F20"/>
          <w:spacing w:val="-5"/>
          <w:w w:val="105"/>
        </w:rPr>
        <w:t> </w:t>
      </w:r>
      <w:r>
        <w:rPr>
          <w:color w:val="231F20"/>
          <w:w w:val="105"/>
        </w:rPr>
        <w:t>de</w:t>
      </w:r>
      <w:r>
        <w:rPr>
          <w:color w:val="231F20"/>
          <w:spacing w:val="-5"/>
          <w:w w:val="105"/>
        </w:rPr>
        <w:t> </w:t>
      </w:r>
      <w:r>
        <w:rPr>
          <w:color w:val="231F20"/>
          <w:w w:val="105"/>
        </w:rPr>
        <w:t>tra- bajo futuro, como “gancho” para establecer la relación laboral entre los reclutados por el “enganchador” y los empleadores en Estados</w:t>
      </w:r>
      <w:r>
        <w:rPr>
          <w:color w:val="231F20"/>
          <w:spacing w:val="-14"/>
          <w:w w:val="105"/>
        </w:rPr>
        <w:t> </w:t>
      </w:r>
      <w:r>
        <w:rPr>
          <w:color w:val="231F20"/>
          <w:w w:val="105"/>
        </w:rPr>
        <w:t>Unidos. Aunque después de este primer pago inicial, los trabajadores</w:t>
      </w:r>
      <w:r>
        <w:rPr>
          <w:color w:val="231F20"/>
          <w:spacing w:val="-25"/>
          <w:w w:val="105"/>
        </w:rPr>
        <w:t> </w:t>
      </w:r>
      <w:r>
        <w:rPr>
          <w:color w:val="231F20"/>
          <w:w w:val="105"/>
        </w:rPr>
        <w:t>adquirían una deuda que se incrementaba con los gastos de hospedaje, pasaje</w:t>
      </w:r>
      <w:r>
        <w:rPr>
          <w:color w:val="231F20"/>
          <w:spacing w:val="-23"/>
          <w:w w:val="105"/>
        </w:rPr>
        <w:t> </w:t>
      </w:r>
      <w:r>
        <w:rPr>
          <w:color w:val="231F20"/>
          <w:w w:val="105"/>
        </w:rPr>
        <w:t>y alimentación</w:t>
      </w:r>
      <w:r>
        <w:rPr>
          <w:color w:val="231F20"/>
          <w:spacing w:val="-17"/>
          <w:w w:val="105"/>
        </w:rPr>
        <w:t> </w:t>
      </w:r>
      <w:r>
        <w:rPr>
          <w:color w:val="231F20"/>
          <w:w w:val="105"/>
        </w:rPr>
        <w:t>que</w:t>
      </w:r>
      <w:r>
        <w:rPr>
          <w:color w:val="231F20"/>
          <w:spacing w:val="-17"/>
          <w:w w:val="105"/>
        </w:rPr>
        <w:t> </w:t>
      </w:r>
      <w:r>
        <w:rPr>
          <w:color w:val="231F20"/>
          <w:w w:val="105"/>
        </w:rPr>
        <w:t>les</w:t>
      </w:r>
      <w:r>
        <w:rPr>
          <w:color w:val="231F20"/>
          <w:spacing w:val="-17"/>
          <w:w w:val="105"/>
        </w:rPr>
        <w:t> </w:t>
      </w:r>
      <w:r>
        <w:rPr>
          <w:color w:val="231F20"/>
          <w:w w:val="105"/>
        </w:rPr>
        <w:t>eran</w:t>
      </w:r>
      <w:r>
        <w:rPr>
          <w:color w:val="231F20"/>
          <w:spacing w:val="-17"/>
          <w:w w:val="105"/>
        </w:rPr>
        <w:t> </w:t>
      </w:r>
      <w:r>
        <w:rPr>
          <w:color w:val="231F20"/>
          <w:w w:val="105"/>
        </w:rPr>
        <w:t>proporcionados</w:t>
      </w:r>
      <w:r>
        <w:rPr>
          <w:color w:val="231F20"/>
          <w:spacing w:val="-17"/>
          <w:w w:val="105"/>
        </w:rPr>
        <w:t> </w:t>
      </w:r>
      <w:r>
        <w:rPr>
          <w:color w:val="231F20"/>
          <w:w w:val="105"/>
        </w:rPr>
        <w:t>hasta</w:t>
      </w:r>
      <w:r>
        <w:rPr>
          <w:color w:val="231F20"/>
          <w:spacing w:val="-17"/>
          <w:w w:val="105"/>
        </w:rPr>
        <w:t> </w:t>
      </w:r>
      <w:r>
        <w:rPr>
          <w:color w:val="231F20"/>
          <w:w w:val="105"/>
        </w:rPr>
        <w:t>que</w:t>
      </w:r>
      <w:r>
        <w:rPr>
          <w:color w:val="231F20"/>
          <w:spacing w:val="-17"/>
          <w:w w:val="105"/>
        </w:rPr>
        <w:t> </w:t>
      </w:r>
      <w:r>
        <w:rPr>
          <w:color w:val="231F20"/>
          <w:w w:val="105"/>
        </w:rPr>
        <w:t>arribaran</w:t>
      </w:r>
      <w:r>
        <w:rPr>
          <w:color w:val="231F20"/>
          <w:spacing w:val="-17"/>
          <w:w w:val="105"/>
        </w:rPr>
        <w:t> </w:t>
      </w:r>
      <w:r>
        <w:rPr>
          <w:color w:val="231F20"/>
          <w:w w:val="105"/>
        </w:rPr>
        <w:t>a</w:t>
      </w:r>
      <w:r>
        <w:rPr>
          <w:color w:val="231F20"/>
          <w:spacing w:val="-17"/>
          <w:w w:val="105"/>
        </w:rPr>
        <w:t> </w:t>
      </w:r>
      <w:r>
        <w:rPr>
          <w:color w:val="231F20"/>
          <w:w w:val="105"/>
        </w:rPr>
        <w:t>su</w:t>
      </w:r>
      <w:r>
        <w:rPr>
          <w:color w:val="231F20"/>
          <w:spacing w:val="-17"/>
          <w:w w:val="105"/>
        </w:rPr>
        <w:t> </w:t>
      </w:r>
      <w:r>
        <w:rPr>
          <w:color w:val="231F20"/>
          <w:w w:val="105"/>
        </w:rPr>
        <w:t>lugar de</w:t>
      </w:r>
      <w:r>
        <w:rPr>
          <w:color w:val="231F20"/>
          <w:spacing w:val="-9"/>
          <w:w w:val="105"/>
        </w:rPr>
        <w:t> </w:t>
      </w:r>
      <w:r>
        <w:rPr>
          <w:color w:val="231F20"/>
          <w:w w:val="105"/>
        </w:rPr>
        <w:t>trabajo</w:t>
      </w:r>
      <w:r>
        <w:rPr>
          <w:color w:val="231F20"/>
          <w:spacing w:val="-9"/>
          <w:w w:val="105"/>
        </w:rPr>
        <w:t> </w:t>
      </w:r>
      <w:r>
        <w:rPr>
          <w:color w:val="231F20"/>
          <w:w w:val="105"/>
        </w:rPr>
        <w:t>en</w:t>
      </w:r>
      <w:r>
        <w:rPr>
          <w:color w:val="231F20"/>
          <w:spacing w:val="-9"/>
          <w:w w:val="105"/>
        </w:rPr>
        <w:t> </w:t>
      </w:r>
      <w:r>
        <w:rPr>
          <w:color w:val="231F20"/>
          <w:w w:val="105"/>
        </w:rPr>
        <w:t>Estados</w:t>
      </w:r>
      <w:r>
        <w:rPr>
          <w:color w:val="231F20"/>
          <w:spacing w:val="-9"/>
          <w:w w:val="105"/>
        </w:rPr>
        <w:t> </w:t>
      </w:r>
      <w:r>
        <w:rPr>
          <w:color w:val="231F20"/>
          <w:w w:val="105"/>
        </w:rPr>
        <w:t>Unidos.</w:t>
      </w:r>
      <w:r>
        <w:rPr>
          <w:color w:val="231F20"/>
          <w:spacing w:val="-15"/>
          <w:w w:val="105"/>
        </w:rPr>
        <w:t> </w:t>
      </w:r>
      <w:r>
        <w:rPr>
          <w:color w:val="231F20"/>
          <w:w w:val="105"/>
        </w:rPr>
        <w:t>Una</w:t>
      </w:r>
      <w:r>
        <w:rPr>
          <w:color w:val="231F20"/>
          <w:spacing w:val="-9"/>
          <w:w w:val="105"/>
        </w:rPr>
        <w:t> </w:t>
      </w:r>
      <w:r>
        <w:rPr>
          <w:color w:val="231F20"/>
          <w:w w:val="105"/>
        </w:rPr>
        <w:t>vez</w:t>
      </w:r>
      <w:r>
        <w:rPr>
          <w:color w:val="231F20"/>
          <w:spacing w:val="-9"/>
          <w:w w:val="105"/>
        </w:rPr>
        <w:t> </w:t>
      </w:r>
      <w:r>
        <w:rPr>
          <w:color w:val="231F20"/>
          <w:w w:val="105"/>
        </w:rPr>
        <w:t>allí</w:t>
      </w:r>
      <w:r>
        <w:rPr>
          <w:color w:val="231F20"/>
          <w:spacing w:val="-9"/>
          <w:w w:val="105"/>
        </w:rPr>
        <w:t> </w:t>
      </w:r>
      <w:r>
        <w:rPr>
          <w:color w:val="231F20"/>
          <w:w w:val="105"/>
        </w:rPr>
        <w:t>descubrían</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salario</w:t>
      </w:r>
      <w:r>
        <w:rPr>
          <w:color w:val="231F20"/>
          <w:spacing w:val="-9"/>
          <w:w w:val="105"/>
        </w:rPr>
        <w:t> </w:t>
      </w:r>
      <w:r>
        <w:rPr>
          <w:color w:val="231F20"/>
          <w:w w:val="105"/>
        </w:rPr>
        <w:t>era menor</w:t>
      </w:r>
      <w:r>
        <w:rPr>
          <w:color w:val="231F20"/>
          <w:spacing w:val="-4"/>
          <w:w w:val="105"/>
        </w:rPr>
        <w:t> </w:t>
      </w:r>
      <w:r>
        <w:rPr>
          <w:color w:val="231F20"/>
          <w:w w:val="105"/>
        </w:rPr>
        <w:t>a</w:t>
      </w:r>
      <w:r>
        <w:rPr>
          <w:color w:val="231F20"/>
          <w:spacing w:val="-4"/>
          <w:w w:val="105"/>
        </w:rPr>
        <w:t> </w:t>
      </w:r>
      <w:r>
        <w:rPr>
          <w:color w:val="231F20"/>
          <w:w w:val="105"/>
        </w:rPr>
        <w:t>lo</w:t>
      </w:r>
      <w:r>
        <w:rPr>
          <w:color w:val="231F20"/>
          <w:spacing w:val="-4"/>
          <w:w w:val="105"/>
        </w:rPr>
        <w:t> </w:t>
      </w:r>
      <w:r>
        <w:rPr>
          <w:color w:val="231F20"/>
          <w:w w:val="105"/>
        </w:rPr>
        <w:t>prometido,</w:t>
      </w:r>
      <w:r>
        <w:rPr>
          <w:color w:val="231F20"/>
          <w:spacing w:val="-10"/>
          <w:w w:val="105"/>
        </w:rPr>
        <w:t> </w:t>
      </w:r>
      <w:r>
        <w:rPr>
          <w:color w:val="231F20"/>
          <w:w w:val="105"/>
        </w:rPr>
        <w:t>las</w:t>
      </w:r>
      <w:r>
        <w:rPr>
          <w:color w:val="231F20"/>
          <w:spacing w:val="-4"/>
          <w:w w:val="105"/>
        </w:rPr>
        <w:t> </w:t>
      </w:r>
      <w:r>
        <w:rPr>
          <w:color w:val="231F20"/>
          <w:w w:val="105"/>
        </w:rPr>
        <w:t>condiciones</w:t>
      </w:r>
      <w:r>
        <w:rPr>
          <w:color w:val="231F20"/>
          <w:spacing w:val="-4"/>
          <w:w w:val="105"/>
        </w:rPr>
        <w:t> </w:t>
      </w:r>
      <w:r>
        <w:rPr>
          <w:color w:val="231F20"/>
          <w:w w:val="105"/>
        </w:rPr>
        <w:t>laborales</w:t>
      </w:r>
      <w:r>
        <w:rPr>
          <w:color w:val="231F20"/>
          <w:spacing w:val="-4"/>
          <w:w w:val="105"/>
        </w:rPr>
        <w:t> </w:t>
      </w:r>
      <w:r>
        <w:rPr>
          <w:color w:val="231F20"/>
          <w:w w:val="105"/>
        </w:rPr>
        <w:t>peores</w:t>
      </w:r>
      <w:r>
        <w:rPr>
          <w:color w:val="231F20"/>
          <w:spacing w:val="-4"/>
          <w:w w:val="105"/>
        </w:rPr>
        <w:t> </w:t>
      </w:r>
      <w:r>
        <w:rPr>
          <w:color w:val="231F20"/>
          <w:w w:val="105"/>
        </w:rPr>
        <w:t>a</w:t>
      </w:r>
      <w:r>
        <w:rPr>
          <w:color w:val="231F20"/>
          <w:spacing w:val="-4"/>
          <w:w w:val="105"/>
        </w:rPr>
        <w:t> </w:t>
      </w:r>
      <w:r>
        <w:rPr>
          <w:color w:val="231F20"/>
          <w:w w:val="105"/>
        </w:rPr>
        <w:t>lo</w:t>
      </w:r>
      <w:r>
        <w:rPr>
          <w:color w:val="231F20"/>
          <w:spacing w:val="-4"/>
          <w:w w:val="105"/>
        </w:rPr>
        <w:t> </w:t>
      </w:r>
      <w:r>
        <w:rPr>
          <w:color w:val="231F20"/>
          <w:w w:val="105"/>
        </w:rPr>
        <w:t>esperado</w:t>
      </w:r>
      <w:r>
        <w:rPr>
          <w:color w:val="231F20"/>
          <w:spacing w:val="-4"/>
          <w:w w:val="105"/>
        </w:rPr>
        <w:t> </w:t>
      </w:r>
      <w:r>
        <w:rPr>
          <w:color w:val="231F20"/>
          <w:w w:val="105"/>
        </w:rPr>
        <w:t>y las</w:t>
      </w:r>
      <w:r>
        <w:rPr>
          <w:color w:val="231F20"/>
          <w:spacing w:val="-21"/>
          <w:w w:val="105"/>
        </w:rPr>
        <w:t> </w:t>
      </w:r>
      <w:r>
        <w:rPr>
          <w:color w:val="231F20"/>
          <w:w w:val="105"/>
        </w:rPr>
        <w:t>tasas</w:t>
      </w:r>
      <w:r>
        <w:rPr>
          <w:color w:val="231F20"/>
          <w:spacing w:val="-21"/>
          <w:w w:val="105"/>
        </w:rPr>
        <w:t> </w:t>
      </w:r>
      <w:r>
        <w:rPr>
          <w:color w:val="231F20"/>
          <w:w w:val="105"/>
        </w:rPr>
        <w:t>de</w:t>
      </w:r>
      <w:r>
        <w:rPr>
          <w:color w:val="231F20"/>
          <w:spacing w:val="-21"/>
          <w:w w:val="105"/>
        </w:rPr>
        <w:t> </w:t>
      </w:r>
      <w:r>
        <w:rPr>
          <w:color w:val="231F20"/>
          <w:w w:val="105"/>
        </w:rPr>
        <w:t>interés</w:t>
      </w:r>
      <w:r>
        <w:rPr>
          <w:color w:val="231F20"/>
          <w:spacing w:val="-21"/>
          <w:w w:val="105"/>
        </w:rPr>
        <w:t> </w:t>
      </w:r>
      <w:r>
        <w:rPr>
          <w:color w:val="231F20"/>
          <w:w w:val="105"/>
        </w:rPr>
        <w:t>mucho</w:t>
      </w:r>
      <w:r>
        <w:rPr>
          <w:color w:val="231F20"/>
          <w:spacing w:val="-21"/>
          <w:w w:val="105"/>
        </w:rPr>
        <w:t> </w:t>
      </w:r>
      <w:r>
        <w:rPr>
          <w:color w:val="231F20"/>
          <w:w w:val="105"/>
        </w:rPr>
        <w:t>más</w:t>
      </w:r>
      <w:r>
        <w:rPr>
          <w:color w:val="231F20"/>
          <w:spacing w:val="-21"/>
          <w:w w:val="105"/>
        </w:rPr>
        <w:t> </w:t>
      </w:r>
      <w:r>
        <w:rPr>
          <w:color w:val="231F20"/>
          <w:w w:val="105"/>
        </w:rPr>
        <w:t>altas</w:t>
      </w:r>
      <w:r>
        <w:rPr>
          <w:color w:val="231F20"/>
          <w:spacing w:val="-21"/>
          <w:w w:val="105"/>
        </w:rPr>
        <w:t> </w:t>
      </w:r>
      <w:r>
        <w:rPr>
          <w:color w:val="231F20"/>
          <w:w w:val="105"/>
        </w:rPr>
        <w:t>de</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pensaban.</w:t>
      </w:r>
    </w:p>
    <w:p>
      <w:pPr>
        <w:pStyle w:val="BodyText"/>
        <w:spacing w:line="261" w:lineRule="auto" w:before="1"/>
        <w:ind w:left="1723" w:right="1835" w:firstLine="567"/>
        <w:jc w:val="both"/>
      </w:pPr>
      <w:r>
        <w:rPr>
          <w:color w:val="231F20"/>
          <w:w w:val="105"/>
        </w:rPr>
        <w:t>El</w:t>
      </w:r>
      <w:r>
        <w:rPr>
          <w:color w:val="231F20"/>
          <w:spacing w:val="-9"/>
          <w:w w:val="105"/>
        </w:rPr>
        <w:t> </w:t>
      </w:r>
      <w:r>
        <w:rPr>
          <w:color w:val="231F20"/>
          <w:spacing w:val="-4"/>
          <w:w w:val="105"/>
        </w:rPr>
        <w:t>“enganche”</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spacing w:val="-5"/>
          <w:w w:val="105"/>
        </w:rPr>
        <w:t>“cuerda”</w:t>
      </w:r>
      <w:r>
        <w:rPr>
          <w:color w:val="231F20"/>
          <w:spacing w:val="-9"/>
          <w:w w:val="105"/>
        </w:rPr>
        <w:t> </w:t>
      </w:r>
      <w:r>
        <w:rPr>
          <w:color w:val="231F20"/>
          <w:spacing w:val="-3"/>
          <w:w w:val="105"/>
        </w:rPr>
        <w:t>como</w:t>
      </w:r>
      <w:r>
        <w:rPr>
          <w:color w:val="231F20"/>
          <w:spacing w:val="-9"/>
          <w:w w:val="105"/>
        </w:rPr>
        <w:t> </w:t>
      </w:r>
      <w:r>
        <w:rPr>
          <w:color w:val="231F20"/>
          <w:spacing w:val="-3"/>
          <w:w w:val="105"/>
        </w:rPr>
        <w:t>mecanismos</w:t>
      </w:r>
      <w:r>
        <w:rPr>
          <w:color w:val="231F20"/>
          <w:spacing w:val="-9"/>
          <w:w w:val="105"/>
        </w:rPr>
        <w:t> </w:t>
      </w:r>
      <w:r>
        <w:rPr>
          <w:color w:val="231F20"/>
          <w:w w:val="105"/>
        </w:rPr>
        <w:t>de</w:t>
      </w:r>
      <w:r>
        <w:rPr>
          <w:color w:val="231F20"/>
          <w:spacing w:val="-9"/>
          <w:w w:val="105"/>
        </w:rPr>
        <w:t> </w:t>
      </w:r>
      <w:r>
        <w:rPr>
          <w:color w:val="231F20"/>
          <w:spacing w:val="-3"/>
          <w:w w:val="105"/>
        </w:rPr>
        <w:t>regulación</w:t>
      </w:r>
      <w:r>
        <w:rPr>
          <w:color w:val="231F20"/>
          <w:spacing w:val="-9"/>
          <w:w w:val="105"/>
        </w:rPr>
        <w:t> </w:t>
      </w:r>
      <w:r>
        <w:rPr>
          <w:color w:val="231F20"/>
          <w:spacing w:val="-4"/>
          <w:w w:val="105"/>
        </w:rPr>
        <w:t>emer- </w:t>
      </w:r>
      <w:r>
        <w:rPr>
          <w:color w:val="231F20"/>
          <w:spacing w:val="-3"/>
          <w:w w:val="105"/>
        </w:rPr>
        <w:t>gieron frente </w:t>
      </w:r>
      <w:r>
        <w:rPr>
          <w:color w:val="231F20"/>
          <w:w w:val="105"/>
        </w:rPr>
        <w:t>a la </w:t>
      </w:r>
      <w:r>
        <w:rPr>
          <w:color w:val="231F20"/>
          <w:spacing w:val="-3"/>
          <w:w w:val="105"/>
        </w:rPr>
        <w:t>necesidad </w:t>
      </w:r>
      <w:r>
        <w:rPr>
          <w:color w:val="231F20"/>
          <w:w w:val="105"/>
        </w:rPr>
        <w:t>de </w:t>
      </w:r>
      <w:r>
        <w:rPr>
          <w:color w:val="231F20"/>
          <w:spacing w:val="-3"/>
          <w:w w:val="105"/>
        </w:rPr>
        <w:t>mano </w:t>
      </w:r>
      <w:r>
        <w:rPr>
          <w:color w:val="231F20"/>
          <w:w w:val="105"/>
        </w:rPr>
        <w:t>de </w:t>
      </w:r>
      <w:r>
        <w:rPr>
          <w:color w:val="231F20"/>
          <w:spacing w:val="-3"/>
          <w:w w:val="105"/>
        </w:rPr>
        <w:t>obra </w:t>
      </w:r>
      <w:r>
        <w:rPr>
          <w:color w:val="231F20"/>
          <w:spacing w:val="-4"/>
          <w:w w:val="105"/>
        </w:rPr>
        <w:t>barata, </w:t>
      </w:r>
      <w:r>
        <w:rPr>
          <w:color w:val="231F20"/>
          <w:spacing w:val="-3"/>
          <w:w w:val="105"/>
        </w:rPr>
        <w:t>joven </w:t>
      </w:r>
      <w:r>
        <w:rPr>
          <w:color w:val="231F20"/>
          <w:w w:val="105"/>
        </w:rPr>
        <w:t>y </w:t>
      </w:r>
      <w:r>
        <w:rPr>
          <w:color w:val="231F20"/>
          <w:spacing w:val="-4"/>
          <w:w w:val="105"/>
        </w:rPr>
        <w:t>trabajadora </w:t>
      </w:r>
      <w:r>
        <w:rPr>
          <w:color w:val="231F20"/>
          <w:w w:val="105"/>
        </w:rPr>
        <w:t>que</w:t>
      </w:r>
      <w:r>
        <w:rPr>
          <w:color w:val="231F20"/>
          <w:spacing w:val="-15"/>
          <w:w w:val="105"/>
        </w:rPr>
        <w:t> </w:t>
      </w:r>
      <w:r>
        <w:rPr>
          <w:color w:val="231F20"/>
          <w:spacing w:val="-3"/>
          <w:w w:val="105"/>
        </w:rPr>
        <w:t>tenía</w:t>
      </w:r>
      <w:r>
        <w:rPr>
          <w:color w:val="231F20"/>
          <w:spacing w:val="-15"/>
          <w:w w:val="105"/>
        </w:rPr>
        <w:t> </w:t>
      </w:r>
      <w:r>
        <w:rPr>
          <w:color w:val="231F20"/>
          <w:spacing w:val="-3"/>
          <w:w w:val="105"/>
        </w:rPr>
        <w:t>Estados</w:t>
      </w:r>
      <w:r>
        <w:rPr>
          <w:color w:val="231F20"/>
          <w:spacing w:val="-15"/>
          <w:w w:val="105"/>
        </w:rPr>
        <w:t> </w:t>
      </w:r>
      <w:r>
        <w:rPr>
          <w:color w:val="231F20"/>
          <w:spacing w:val="-3"/>
          <w:w w:val="105"/>
        </w:rPr>
        <w:t>Unidos,</w:t>
      </w:r>
      <w:r>
        <w:rPr>
          <w:color w:val="231F20"/>
          <w:spacing w:val="-20"/>
          <w:w w:val="105"/>
        </w:rPr>
        <w:t> </w:t>
      </w:r>
      <w:r>
        <w:rPr>
          <w:color w:val="231F20"/>
          <w:spacing w:val="-3"/>
          <w:w w:val="105"/>
        </w:rPr>
        <w:t>pero</w:t>
      </w:r>
      <w:r>
        <w:rPr>
          <w:color w:val="231F20"/>
          <w:spacing w:val="-15"/>
          <w:w w:val="105"/>
        </w:rPr>
        <w:t> </w:t>
      </w:r>
      <w:r>
        <w:rPr>
          <w:color w:val="231F20"/>
          <w:spacing w:val="-3"/>
          <w:w w:val="105"/>
        </w:rPr>
        <w:t>también</w:t>
      </w:r>
      <w:r>
        <w:rPr>
          <w:color w:val="231F20"/>
          <w:spacing w:val="-15"/>
          <w:w w:val="105"/>
        </w:rPr>
        <w:t> </w:t>
      </w:r>
      <w:r>
        <w:rPr>
          <w:color w:val="231F20"/>
          <w:w w:val="105"/>
        </w:rPr>
        <w:t>por</w:t>
      </w:r>
      <w:r>
        <w:rPr>
          <w:color w:val="231F20"/>
          <w:spacing w:val="-15"/>
          <w:w w:val="105"/>
        </w:rPr>
        <w:t> </w:t>
      </w:r>
      <w:r>
        <w:rPr>
          <w:color w:val="231F20"/>
          <w:w w:val="105"/>
        </w:rPr>
        <w:t>las</w:t>
      </w:r>
      <w:r>
        <w:rPr>
          <w:color w:val="231F20"/>
          <w:spacing w:val="-15"/>
          <w:w w:val="105"/>
        </w:rPr>
        <w:t> </w:t>
      </w:r>
      <w:r>
        <w:rPr>
          <w:color w:val="231F20"/>
          <w:spacing w:val="-3"/>
          <w:w w:val="105"/>
        </w:rPr>
        <w:t>transformaciones</w:t>
      </w:r>
      <w:r>
        <w:rPr>
          <w:color w:val="231F20"/>
          <w:spacing w:val="-15"/>
          <w:w w:val="105"/>
        </w:rPr>
        <w:t> </w:t>
      </w:r>
      <w:r>
        <w:rPr>
          <w:color w:val="231F20"/>
          <w:w w:val="105"/>
        </w:rPr>
        <w:t>que</w:t>
      </w:r>
      <w:r>
        <w:rPr>
          <w:color w:val="231F20"/>
          <w:spacing w:val="-15"/>
          <w:w w:val="105"/>
        </w:rPr>
        <w:t> </w:t>
      </w:r>
      <w:r>
        <w:rPr>
          <w:color w:val="231F20"/>
          <w:spacing w:val="-3"/>
          <w:w w:val="105"/>
        </w:rPr>
        <w:t>ex- perimentaron</w:t>
      </w:r>
      <w:r>
        <w:rPr>
          <w:color w:val="231F20"/>
          <w:spacing w:val="-27"/>
          <w:w w:val="105"/>
        </w:rPr>
        <w:t> </w:t>
      </w:r>
      <w:r>
        <w:rPr>
          <w:color w:val="231F20"/>
          <w:w w:val="105"/>
        </w:rPr>
        <w:t>las</w:t>
      </w:r>
      <w:r>
        <w:rPr>
          <w:color w:val="231F20"/>
          <w:spacing w:val="-27"/>
          <w:w w:val="105"/>
        </w:rPr>
        <w:t> </w:t>
      </w:r>
      <w:r>
        <w:rPr>
          <w:color w:val="231F20"/>
          <w:spacing w:val="-3"/>
          <w:w w:val="105"/>
        </w:rPr>
        <w:t>zonas</w:t>
      </w:r>
      <w:r>
        <w:rPr>
          <w:color w:val="231F20"/>
          <w:spacing w:val="-27"/>
          <w:w w:val="105"/>
        </w:rPr>
        <w:t> </w:t>
      </w:r>
      <w:r>
        <w:rPr>
          <w:color w:val="231F20"/>
          <w:spacing w:val="-3"/>
          <w:w w:val="105"/>
        </w:rPr>
        <w:t>rurales</w:t>
      </w:r>
      <w:r>
        <w:rPr>
          <w:color w:val="231F20"/>
          <w:spacing w:val="-27"/>
          <w:w w:val="105"/>
        </w:rPr>
        <w:t> </w:t>
      </w:r>
      <w:r>
        <w:rPr>
          <w:color w:val="231F20"/>
          <w:w w:val="105"/>
        </w:rPr>
        <w:t>de</w:t>
      </w:r>
      <w:r>
        <w:rPr>
          <w:color w:val="231F20"/>
          <w:spacing w:val="-27"/>
          <w:w w:val="105"/>
        </w:rPr>
        <w:t> </w:t>
      </w:r>
      <w:r>
        <w:rPr>
          <w:color w:val="231F20"/>
          <w:spacing w:val="-3"/>
          <w:w w:val="105"/>
        </w:rPr>
        <w:t>México</w:t>
      </w:r>
      <w:r>
        <w:rPr>
          <w:color w:val="231F20"/>
          <w:spacing w:val="-27"/>
          <w:w w:val="105"/>
        </w:rPr>
        <w:t> </w:t>
      </w:r>
      <w:r>
        <w:rPr>
          <w:color w:val="231F20"/>
          <w:spacing w:val="-3"/>
          <w:w w:val="105"/>
        </w:rPr>
        <w:t>como</w:t>
      </w:r>
      <w:r>
        <w:rPr>
          <w:color w:val="231F20"/>
          <w:spacing w:val="-27"/>
          <w:w w:val="105"/>
        </w:rPr>
        <w:t> </w:t>
      </w:r>
      <w:r>
        <w:rPr>
          <w:color w:val="231F20"/>
          <w:spacing w:val="-3"/>
          <w:w w:val="105"/>
        </w:rPr>
        <w:t>consecuencia</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spacing w:val="-3"/>
          <w:w w:val="105"/>
        </w:rPr>
        <w:t>meca- nización</w:t>
      </w:r>
      <w:r>
        <w:rPr>
          <w:color w:val="231F20"/>
          <w:spacing w:val="-31"/>
          <w:w w:val="105"/>
        </w:rPr>
        <w:t> </w:t>
      </w:r>
      <w:r>
        <w:rPr>
          <w:color w:val="231F20"/>
          <w:w w:val="105"/>
        </w:rPr>
        <w:t>del</w:t>
      </w:r>
      <w:r>
        <w:rPr>
          <w:color w:val="231F20"/>
          <w:spacing w:val="-31"/>
          <w:w w:val="105"/>
        </w:rPr>
        <w:t> </w:t>
      </w:r>
      <w:r>
        <w:rPr>
          <w:color w:val="231F20"/>
          <w:spacing w:val="-3"/>
          <w:w w:val="105"/>
        </w:rPr>
        <w:t>campo,</w:t>
      </w:r>
      <w:r>
        <w:rPr>
          <w:color w:val="231F20"/>
          <w:spacing w:val="-37"/>
          <w:w w:val="105"/>
        </w:rPr>
        <w:t> </w:t>
      </w:r>
      <w:r>
        <w:rPr>
          <w:color w:val="231F20"/>
          <w:w w:val="105"/>
        </w:rPr>
        <w:t>el</w:t>
      </w:r>
      <w:r>
        <w:rPr>
          <w:color w:val="231F20"/>
          <w:spacing w:val="-31"/>
          <w:w w:val="105"/>
        </w:rPr>
        <w:t> </w:t>
      </w:r>
      <w:r>
        <w:rPr>
          <w:color w:val="231F20"/>
          <w:spacing w:val="-3"/>
          <w:w w:val="105"/>
        </w:rPr>
        <w:t>paso</w:t>
      </w:r>
      <w:r>
        <w:rPr>
          <w:color w:val="231F20"/>
          <w:spacing w:val="-31"/>
          <w:w w:val="105"/>
        </w:rPr>
        <w:t> </w:t>
      </w:r>
      <w:r>
        <w:rPr>
          <w:color w:val="231F20"/>
          <w:w w:val="105"/>
        </w:rPr>
        <w:t>a</w:t>
      </w:r>
      <w:r>
        <w:rPr>
          <w:color w:val="231F20"/>
          <w:spacing w:val="-31"/>
          <w:w w:val="105"/>
        </w:rPr>
        <w:t> </w:t>
      </w:r>
      <w:r>
        <w:rPr>
          <w:color w:val="231F20"/>
          <w:spacing w:val="-3"/>
          <w:w w:val="105"/>
        </w:rPr>
        <w:t>cultivos</w:t>
      </w:r>
      <w:r>
        <w:rPr>
          <w:color w:val="231F20"/>
          <w:spacing w:val="-31"/>
          <w:w w:val="105"/>
        </w:rPr>
        <w:t> </w:t>
      </w:r>
      <w:r>
        <w:rPr>
          <w:color w:val="231F20"/>
          <w:spacing w:val="-3"/>
          <w:w w:val="105"/>
        </w:rPr>
        <w:t>comerciales</w:t>
      </w:r>
      <w:r>
        <w:rPr>
          <w:color w:val="231F20"/>
          <w:spacing w:val="-31"/>
          <w:w w:val="105"/>
        </w:rPr>
        <w:t> </w:t>
      </w:r>
      <w:r>
        <w:rPr>
          <w:color w:val="231F20"/>
          <w:w w:val="105"/>
        </w:rPr>
        <w:t>y</w:t>
      </w:r>
      <w:r>
        <w:rPr>
          <w:color w:val="231F20"/>
          <w:spacing w:val="-31"/>
          <w:w w:val="105"/>
        </w:rPr>
        <w:t> </w:t>
      </w:r>
      <w:r>
        <w:rPr>
          <w:color w:val="231F20"/>
          <w:w w:val="105"/>
        </w:rPr>
        <w:t>la</w:t>
      </w:r>
      <w:r>
        <w:rPr>
          <w:color w:val="231F20"/>
          <w:spacing w:val="-31"/>
          <w:w w:val="105"/>
        </w:rPr>
        <w:t> </w:t>
      </w:r>
      <w:r>
        <w:rPr>
          <w:color w:val="231F20"/>
          <w:spacing w:val="-3"/>
          <w:w w:val="105"/>
        </w:rPr>
        <w:t>revolución</w:t>
      </w:r>
      <w:r>
        <w:rPr>
          <w:color w:val="231F20"/>
          <w:spacing w:val="-31"/>
          <w:w w:val="105"/>
        </w:rPr>
        <w:t> </w:t>
      </w:r>
      <w:r>
        <w:rPr>
          <w:color w:val="231F20"/>
          <w:spacing w:val="-4"/>
          <w:w w:val="105"/>
        </w:rPr>
        <w:t>mexicana </w:t>
      </w:r>
      <w:r>
        <w:rPr>
          <w:color w:val="231F20"/>
          <w:spacing w:val="-3"/>
          <w:w w:val="105"/>
        </w:rPr>
        <w:t>como </w:t>
      </w:r>
      <w:r>
        <w:rPr>
          <w:color w:val="231F20"/>
          <w:w w:val="105"/>
        </w:rPr>
        <w:t>un </w:t>
      </w:r>
      <w:r>
        <w:rPr>
          <w:color w:val="231F20"/>
          <w:spacing w:val="-3"/>
          <w:w w:val="105"/>
        </w:rPr>
        <w:t>conflicto largo </w:t>
      </w:r>
      <w:r>
        <w:rPr>
          <w:color w:val="231F20"/>
          <w:w w:val="105"/>
        </w:rPr>
        <w:t>y </w:t>
      </w:r>
      <w:r>
        <w:rPr>
          <w:color w:val="231F20"/>
          <w:spacing w:val="-3"/>
          <w:w w:val="105"/>
        </w:rPr>
        <w:t>sangriento, donde Estados Unidos </w:t>
      </w:r>
      <w:r>
        <w:rPr>
          <w:color w:val="231F20"/>
          <w:w w:val="105"/>
        </w:rPr>
        <w:t>se </w:t>
      </w:r>
      <w:r>
        <w:rPr>
          <w:color w:val="231F20"/>
          <w:spacing w:val="-4"/>
          <w:w w:val="105"/>
        </w:rPr>
        <w:t>convirtió </w:t>
      </w:r>
      <w:r>
        <w:rPr>
          <w:color w:val="231F20"/>
          <w:w w:val="105"/>
        </w:rPr>
        <w:t>en la </w:t>
      </w:r>
      <w:r>
        <w:rPr>
          <w:color w:val="231F20"/>
          <w:spacing w:val="-3"/>
          <w:w w:val="105"/>
        </w:rPr>
        <w:t>primera posibilidad </w:t>
      </w:r>
      <w:r>
        <w:rPr>
          <w:color w:val="231F20"/>
          <w:w w:val="105"/>
        </w:rPr>
        <w:t>de </w:t>
      </w:r>
      <w:r>
        <w:rPr>
          <w:color w:val="231F20"/>
          <w:spacing w:val="-3"/>
          <w:w w:val="105"/>
        </w:rPr>
        <w:t>refugio para </w:t>
      </w:r>
      <w:r>
        <w:rPr>
          <w:color w:val="231F20"/>
          <w:w w:val="105"/>
        </w:rPr>
        <w:t>los </w:t>
      </w:r>
      <w:r>
        <w:rPr>
          <w:color w:val="231F20"/>
          <w:spacing w:val="-3"/>
          <w:w w:val="105"/>
        </w:rPr>
        <w:t>emigrantes mexicanos (Du- rand,</w:t>
      </w:r>
      <w:r>
        <w:rPr>
          <w:color w:val="231F20"/>
          <w:spacing w:val="-27"/>
          <w:w w:val="105"/>
        </w:rPr>
        <w:t> </w:t>
      </w:r>
      <w:r>
        <w:rPr>
          <w:color w:val="231F20"/>
          <w:spacing w:val="-3"/>
          <w:w w:val="105"/>
        </w:rPr>
        <w:t>2000:</w:t>
      </w:r>
      <w:r>
        <w:rPr>
          <w:color w:val="231F20"/>
          <w:spacing w:val="-23"/>
          <w:w w:val="105"/>
        </w:rPr>
        <w:t> </w:t>
      </w:r>
      <w:r>
        <w:rPr>
          <w:color w:val="231F20"/>
          <w:w w:val="105"/>
        </w:rPr>
        <w:t>21;</w:t>
      </w:r>
      <w:r>
        <w:rPr>
          <w:color w:val="231F20"/>
          <w:spacing w:val="-23"/>
          <w:w w:val="105"/>
        </w:rPr>
        <w:t> </w:t>
      </w:r>
      <w:r>
        <w:rPr>
          <w:color w:val="231F20"/>
          <w:spacing w:val="-3"/>
          <w:w w:val="105"/>
        </w:rPr>
        <w:t>Durand</w:t>
      </w:r>
      <w:r>
        <w:rPr>
          <w:color w:val="231F20"/>
          <w:spacing w:val="-23"/>
          <w:w w:val="105"/>
        </w:rPr>
        <w:t> </w:t>
      </w:r>
      <w:r>
        <w:rPr>
          <w:color w:val="231F20"/>
          <w:w w:val="105"/>
        </w:rPr>
        <w:t>y</w:t>
      </w:r>
      <w:r>
        <w:rPr>
          <w:color w:val="231F20"/>
          <w:spacing w:val="-26"/>
          <w:w w:val="105"/>
        </w:rPr>
        <w:t> </w:t>
      </w:r>
      <w:r>
        <w:rPr>
          <w:color w:val="231F20"/>
          <w:spacing w:val="-3"/>
          <w:w w:val="105"/>
        </w:rPr>
        <w:t>Arias,</w:t>
      </w:r>
      <w:r>
        <w:rPr>
          <w:color w:val="231F20"/>
          <w:spacing w:val="-27"/>
          <w:w w:val="105"/>
        </w:rPr>
        <w:t> </w:t>
      </w:r>
      <w:r>
        <w:rPr>
          <w:color w:val="231F20"/>
          <w:spacing w:val="-3"/>
          <w:w w:val="105"/>
        </w:rPr>
        <w:t>2000:</w:t>
      </w:r>
      <w:r>
        <w:rPr>
          <w:color w:val="231F20"/>
          <w:spacing w:val="-23"/>
          <w:w w:val="105"/>
        </w:rPr>
        <w:t> </w:t>
      </w:r>
      <w:r>
        <w:rPr>
          <w:color w:val="231F20"/>
          <w:w w:val="105"/>
        </w:rPr>
        <w:t>29,</w:t>
      </w:r>
      <w:r>
        <w:rPr>
          <w:color w:val="231F20"/>
          <w:spacing w:val="-27"/>
          <w:w w:val="105"/>
        </w:rPr>
        <w:t> </w:t>
      </w:r>
      <w:r>
        <w:rPr>
          <w:color w:val="231F20"/>
          <w:spacing w:val="-3"/>
          <w:w w:val="105"/>
        </w:rPr>
        <w:t>Massey</w:t>
      </w:r>
      <w:r>
        <w:rPr>
          <w:color w:val="231F20"/>
          <w:spacing w:val="-23"/>
          <w:w w:val="105"/>
        </w:rPr>
        <w:t> </w:t>
      </w:r>
      <w:r>
        <w:rPr>
          <w:rFonts w:ascii="Arial" w:hAnsi="Arial"/>
          <w:i/>
          <w:color w:val="231F20"/>
          <w:w w:val="105"/>
        </w:rPr>
        <w:t>et</w:t>
      </w:r>
      <w:r>
        <w:rPr>
          <w:rFonts w:ascii="Arial" w:hAnsi="Arial"/>
          <w:i/>
          <w:color w:val="231F20"/>
          <w:spacing w:val="-26"/>
          <w:w w:val="105"/>
        </w:rPr>
        <w:t> </w:t>
      </w:r>
      <w:r>
        <w:rPr>
          <w:rFonts w:ascii="Arial" w:hAnsi="Arial"/>
          <w:i/>
          <w:color w:val="231F20"/>
          <w:spacing w:val="-3"/>
          <w:w w:val="105"/>
        </w:rPr>
        <w:t>al.,</w:t>
      </w:r>
      <w:r>
        <w:rPr>
          <w:rFonts w:ascii="Arial" w:hAnsi="Arial"/>
          <w:i/>
          <w:color w:val="231F20"/>
          <w:spacing w:val="-30"/>
          <w:w w:val="105"/>
        </w:rPr>
        <w:t> </w:t>
      </w:r>
      <w:r>
        <w:rPr>
          <w:color w:val="231F20"/>
          <w:spacing w:val="-3"/>
          <w:w w:val="105"/>
        </w:rPr>
        <w:t>2009b:</w:t>
      </w:r>
      <w:r>
        <w:rPr>
          <w:color w:val="231F20"/>
          <w:spacing w:val="-23"/>
          <w:w w:val="105"/>
        </w:rPr>
        <w:t> </w:t>
      </w:r>
      <w:r>
        <w:rPr>
          <w:color w:val="231F20"/>
          <w:spacing w:val="-3"/>
          <w:w w:val="105"/>
        </w:rPr>
        <w:t>103).</w:t>
      </w:r>
    </w:p>
    <w:p>
      <w:pPr>
        <w:pStyle w:val="BodyText"/>
        <w:spacing w:line="261" w:lineRule="auto"/>
        <w:ind w:left="1723" w:right="1834" w:firstLine="567"/>
        <w:jc w:val="both"/>
      </w:pPr>
      <w:r>
        <w:rPr>
          <w:color w:val="231F20"/>
          <w:w w:val="105"/>
        </w:rPr>
        <w:t>En el periodo 1929-1941, la segunda fase, conocida como las </w:t>
      </w:r>
      <w:r>
        <w:rPr>
          <w:color w:val="231F20"/>
          <w:spacing w:val="-3"/>
          <w:w w:val="105"/>
        </w:rPr>
        <w:t>“deportaciones”, </w:t>
      </w:r>
      <w:r>
        <w:rPr>
          <w:color w:val="231F20"/>
          <w:w w:val="105"/>
        </w:rPr>
        <w:t>tuvo como característica particular las expatriaciones masivas y el limitado movimiento internacional, pues con la depresión económica experimentada a principios de 1930, las actitudes hacia los mexicanos</w:t>
      </w:r>
      <w:r>
        <w:rPr>
          <w:color w:val="231F20"/>
          <w:spacing w:val="-10"/>
          <w:w w:val="105"/>
        </w:rPr>
        <w:t> </w:t>
      </w:r>
      <w:r>
        <w:rPr>
          <w:color w:val="231F20"/>
          <w:w w:val="105"/>
        </w:rPr>
        <w:t>se</w:t>
      </w:r>
      <w:r>
        <w:rPr>
          <w:color w:val="231F20"/>
          <w:spacing w:val="-10"/>
          <w:w w:val="105"/>
        </w:rPr>
        <w:t> </w:t>
      </w:r>
      <w:r>
        <w:rPr>
          <w:color w:val="231F20"/>
          <w:w w:val="105"/>
        </w:rPr>
        <w:t>endurecieron</w:t>
      </w:r>
      <w:r>
        <w:rPr>
          <w:color w:val="231F20"/>
          <w:spacing w:val="-10"/>
          <w:w w:val="105"/>
        </w:rPr>
        <w:t> </w:t>
      </w:r>
      <w:r>
        <w:rPr>
          <w:color w:val="231F20"/>
          <w:w w:val="105"/>
        </w:rPr>
        <w:t>y</w:t>
      </w:r>
      <w:r>
        <w:rPr>
          <w:color w:val="231F20"/>
          <w:spacing w:val="-10"/>
          <w:w w:val="105"/>
        </w:rPr>
        <w:t> </w:t>
      </w:r>
      <w:r>
        <w:rPr>
          <w:color w:val="231F20"/>
          <w:w w:val="105"/>
        </w:rPr>
        <w:t>se</w:t>
      </w:r>
      <w:r>
        <w:rPr>
          <w:color w:val="231F20"/>
          <w:spacing w:val="-10"/>
          <w:w w:val="105"/>
        </w:rPr>
        <w:t> </w:t>
      </w:r>
      <w:r>
        <w:rPr>
          <w:color w:val="231F20"/>
          <w:w w:val="105"/>
        </w:rPr>
        <w:t>volvieron</w:t>
      </w:r>
      <w:r>
        <w:rPr>
          <w:color w:val="231F20"/>
          <w:spacing w:val="-10"/>
          <w:w w:val="105"/>
        </w:rPr>
        <w:t> </w:t>
      </w:r>
      <w:r>
        <w:rPr>
          <w:color w:val="231F20"/>
          <w:w w:val="105"/>
        </w:rPr>
        <w:t>muy</w:t>
      </w:r>
      <w:r>
        <w:rPr>
          <w:color w:val="231F20"/>
          <w:spacing w:val="-10"/>
          <w:w w:val="105"/>
        </w:rPr>
        <w:t> </w:t>
      </w:r>
      <w:r>
        <w:rPr>
          <w:color w:val="231F20"/>
          <w:w w:val="105"/>
        </w:rPr>
        <w:t>hostiles,</w:t>
      </w:r>
      <w:r>
        <w:rPr>
          <w:color w:val="231F20"/>
          <w:spacing w:val="-15"/>
          <w:w w:val="105"/>
        </w:rPr>
        <w:t> </w:t>
      </w:r>
      <w:r>
        <w:rPr>
          <w:color w:val="231F20"/>
          <w:w w:val="105"/>
        </w:rPr>
        <w:t>además</w:t>
      </w:r>
      <w:r>
        <w:rPr>
          <w:color w:val="231F20"/>
          <w:spacing w:val="-10"/>
          <w:w w:val="105"/>
        </w:rPr>
        <w:t> </w:t>
      </w:r>
      <w:r>
        <w:rPr>
          <w:color w:val="231F20"/>
          <w:w w:val="105"/>
        </w:rPr>
        <w:t>de</w:t>
      </w:r>
      <w:r>
        <w:rPr>
          <w:color w:val="231F20"/>
          <w:spacing w:val="-10"/>
          <w:w w:val="105"/>
        </w:rPr>
        <w:t> </w:t>
      </w:r>
      <w:r>
        <w:rPr>
          <w:color w:val="231F20"/>
          <w:w w:val="105"/>
        </w:rPr>
        <w:t>que el</w:t>
      </w:r>
      <w:r>
        <w:rPr>
          <w:color w:val="231F20"/>
          <w:spacing w:val="-24"/>
          <w:w w:val="105"/>
        </w:rPr>
        <w:t> </w:t>
      </w:r>
      <w:r>
        <w:rPr>
          <w:color w:val="231F20"/>
          <w:w w:val="105"/>
        </w:rPr>
        <w:t>desempleo</w:t>
      </w:r>
      <w:r>
        <w:rPr>
          <w:color w:val="231F20"/>
          <w:spacing w:val="-24"/>
          <w:w w:val="105"/>
        </w:rPr>
        <w:t> </w:t>
      </w:r>
      <w:r>
        <w:rPr>
          <w:color w:val="231F20"/>
          <w:w w:val="105"/>
        </w:rPr>
        <w:t>aumentó</w:t>
      </w:r>
      <w:r>
        <w:rPr>
          <w:color w:val="231F20"/>
          <w:spacing w:val="-24"/>
          <w:w w:val="105"/>
        </w:rPr>
        <w:t> </w:t>
      </w:r>
      <w:r>
        <w:rPr>
          <w:color w:val="231F20"/>
          <w:w w:val="105"/>
        </w:rPr>
        <w:t>hasta</w:t>
      </w:r>
      <w:r>
        <w:rPr>
          <w:color w:val="231F20"/>
          <w:spacing w:val="-24"/>
          <w:w w:val="105"/>
        </w:rPr>
        <w:t> </w:t>
      </w:r>
      <w:r>
        <w:rPr>
          <w:color w:val="231F20"/>
          <w:w w:val="105"/>
        </w:rPr>
        <w:t>alcanzar</w:t>
      </w:r>
      <w:r>
        <w:rPr>
          <w:color w:val="231F20"/>
          <w:spacing w:val="-24"/>
          <w:w w:val="105"/>
        </w:rPr>
        <w:t> </w:t>
      </w:r>
      <w:r>
        <w:rPr>
          <w:color w:val="231F20"/>
          <w:w w:val="105"/>
        </w:rPr>
        <w:t>niveles</w:t>
      </w:r>
      <w:r>
        <w:rPr>
          <w:color w:val="231F20"/>
          <w:spacing w:val="-24"/>
          <w:w w:val="105"/>
        </w:rPr>
        <w:t> </w:t>
      </w:r>
      <w:r>
        <w:rPr>
          <w:color w:val="231F20"/>
          <w:w w:val="105"/>
        </w:rPr>
        <w:t>no</w:t>
      </w:r>
      <w:r>
        <w:rPr>
          <w:color w:val="231F20"/>
          <w:spacing w:val="-24"/>
          <w:w w:val="105"/>
        </w:rPr>
        <w:t> </w:t>
      </w:r>
      <w:r>
        <w:rPr>
          <w:color w:val="231F20"/>
          <w:w w:val="105"/>
        </w:rPr>
        <w:t>observados</w:t>
      </w:r>
      <w:r>
        <w:rPr>
          <w:color w:val="231F20"/>
          <w:spacing w:val="-24"/>
          <w:w w:val="105"/>
        </w:rPr>
        <w:t> </w:t>
      </w:r>
      <w:r>
        <w:rPr>
          <w:color w:val="231F20"/>
          <w:w w:val="105"/>
        </w:rPr>
        <w:t>en</w:t>
      </w:r>
      <w:r>
        <w:rPr>
          <w:color w:val="231F20"/>
          <w:spacing w:val="-24"/>
          <w:w w:val="105"/>
        </w:rPr>
        <w:t> </w:t>
      </w:r>
      <w:r>
        <w:rPr>
          <w:color w:val="231F20"/>
          <w:w w:val="105"/>
        </w:rPr>
        <w:t>Estados Unidos,</w:t>
      </w:r>
      <w:r>
        <w:rPr>
          <w:color w:val="231F20"/>
          <w:spacing w:val="-28"/>
          <w:w w:val="105"/>
        </w:rPr>
        <w:t> </w:t>
      </w:r>
      <w:r>
        <w:rPr>
          <w:color w:val="231F20"/>
          <w:w w:val="105"/>
        </w:rPr>
        <w:t>siendo</w:t>
      </w:r>
      <w:r>
        <w:rPr>
          <w:color w:val="231F20"/>
          <w:spacing w:val="-23"/>
          <w:w w:val="105"/>
        </w:rPr>
        <w:t> </w:t>
      </w:r>
      <w:r>
        <w:rPr>
          <w:color w:val="231F20"/>
          <w:w w:val="105"/>
        </w:rPr>
        <w:t>los</w:t>
      </w:r>
      <w:r>
        <w:rPr>
          <w:color w:val="231F20"/>
          <w:spacing w:val="-23"/>
          <w:w w:val="105"/>
        </w:rPr>
        <w:t> </w:t>
      </w:r>
      <w:r>
        <w:rPr>
          <w:color w:val="231F20"/>
          <w:w w:val="105"/>
        </w:rPr>
        <w:t>migrantes</w:t>
      </w:r>
      <w:r>
        <w:rPr>
          <w:color w:val="231F20"/>
          <w:spacing w:val="-23"/>
          <w:w w:val="105"/>
        </w:rPr>
        <w:t> </w:t>
      </w:r>
      <w:r>
        <w:rPr>
          <w:color w:val="231F20"/>
          <w:w w:val="105"/>
        </w:rPr>
        <w:t>mexicanos</w:t>
      </w:r>
      <w:r>
        <w:rPr>
          <w:color w:val="231F20"/>
          <w:spacing w:val="-23"/>
          <w:w w:val="105"/>
        </w:rPr>
        <w:t> </w:t>
      </w:r>
      <w:r>
        <w:rPr>
          <w:color w:val="231F20"/>
          <w:w w:val="105"/>
        </w:rPr>
        <w:t>quienes</w:t>
      </w:r>
      <w:r>
        <w:rPr>
          <w:color w:val="231F20"/>
          <w:spacing w:val="-23"/>
          <w:w w:val="105"/>
        </w:rPr>
        <w:t> </w:t>
      </w:r>
      <w:r>
        <w:rPr>
          <w:color w:val="231F20"/>
          <w:w w:val="105"/>
        </w:rPr>
        <w:t>participaron</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des- pidos</w:t>
      </w:r>
      <w:r>
        <w:rPr>
          <w:color w:val="231F20"/>
          <w:spacing w:val="-17"/>
          <w:w w:val="105"/>
        </w:rPr>
        <w:t> </w:t>
      </w:r>
      <w:r>
        <w:rPr>
          <w:color w:val="231F20"/>
          <w:w w:val="105"/>
        </w:rPr>
        <w:t>masivos</w:t>
      </w:r>
      <w:r>
        <w:rPr>
          <w:color w:val="231F20"/>
          <w:spacing w:val="-17"/>
          <w:w w:val="105"/>
        </w:rPr>
        <w:t> </w:t>
      </w:r>
      <w:r>
        <w:rPr>
          <w:color w:val="231F20"/>
          <w:w w:val="105"/>
        </w:rPr>
        <w:t>y</w:t>
      </w:r>
      <w:r>
        <w:rPr>
          <w:color w:val="231F20"/>
          <w:spacing w:val="-17"/>
          <w:w w:val="105"/>
        </w:rPr>
        <w:t> </w:t>
      </w:r>
      <w:r>
        <w:rPr>
          <w:color w:val="231F20"/>
          <w:w w:val="105"/>
        </w:rPr>
        <w:t>escasez</w:t>
      </w:r>
      <w:r>
        <w:rPr>
          <w:color w:val="231F20"/>
          <w:spacing w:val="-17"/>
          <w:w w:val="105"/>
        </w:rPr>
        <w:t> </w:t>
      </w:r>
      <w:r>
        <w:rPr>
          <w:color w:val="231F20"/>
          <w:w w:val="105"/>
        </w:rPr>
        <w:t>de</w:t>
      </w:r>
      <w:r>
        <w:rPr>
          <w:color w:val="231F20"/>
          <w:spacing w:val="-17"/>
          <w:w w:val="105"/>
        </w:rPr>
        <w:t> </w:t>
      </w:r>
      <w:r>
        <w:rPr>
          <w:color w:val="231F20"/>
          <w:w w:val="105"/>
        </w:rPr>
        <w:t>presupuesto.</w:t>
      </w:r>
      <w:r>
        <w:rPr>
          <w:color w:val="231F20"/>
          <w:spacing w:val="-21"/>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escenario,</w:t>
      </w:r>
      <w:r>
        <w:rPr>
          <w:color w:val="231F20"/>
          <w:spacing w:val="-21"/>
          <w:w w:val="105"/>
        </w:rPr>
        <w:t> </w:t>
      </w:r>
      <w:r>
        <w:rPr>
          <w:color w:val="231F20"/>
          <w:w w:val="105"/>
        </w:rPr>
        <w:t>se</w:t>
      </w:r>
      <w:r>
        <w:rPr>
          <w:color w:val="231F20"/>
          <w:spacing w:val="-17"/>
          <w:w w:val="105"/>
        </w:rPr>
        <w:t> </w:t>
      </w:r>
      <w:r>
        <w:rPr>
          <w:color w:val="231F20"/>
          <w:w w:val="105"/>
        </w:rPr>
        <w:t>observó una</w:t>
      </w:r>
      <w:r>
        <w:rPr>
          <w:color w:val="231F20"/>
          <w:spacing w:val="-5"/>
          <w:w w:val="105"/>
        </w:rPr>
        <w:t> </w:t>
      </w:r>
      <w:r>
        <w:rPr>
          <w:color w:val="231F20"/>
          <w:w w:val="105"/>
        </w:rPr>
        <w:t>conjugación</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deportaciones</w:t>
      </w:r>
      <w:r>
        <w:rPr>
          <w:color w:val="231F20"/>
          <w:spacing w:val="-5"/>
          <w:w w:val="105"/>
        </w:rPr>
        <w:t> </w:t>
      </w:r>
      <w:r>
        <w:rPr>
          <w:color w:val="231F20"/>
          <w:w w:val="105"/>
        </w:rPr>
        <w:t>masivas,</w:t>
      </w:r>
      <w:r>
        <w:rPr>
          <w:color w:val="231F20"/>
          <w:spacing w:val="-10"/>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regresos</w:t>
      </w:r>
      <w:r>
        <w:rPr>
          <w:color w:val="231F20"/>
          <w:spacing w:val="-5"/>
          <w:w w:val="105"/>
        </w:rPr>
        <w:t> </w:t>
      </w:r>
      <w:r>
        <w:rPr>
          <w:color w:val="231F20"/>
          <w:w w:val="105"/>
        </w:rPr>
        <w:t>volun- tarios, originados en las dificultades económicas, el clima de hostilidad y</w:t>
      </w:r>
      <w:r>
        <w:rPr>
          <w:color w:val="231F20"/>
          <w:spacing w:val="-18"/>
          <w:w w:val="105"/>
        </w:rPr>
        <w:t> </w:t>
      </w:r>
      <w:r>
        <w:rPr>
          <w:color w:val="231F20"/>
          <w:w w:val="105"/>
        </w:rPr>
        <w:t>las</w:t>
      </w:r>
      <w:r>
        <w:rPr>
          <w:color w:val="231F20"/>
          <w:spacing w:val="-18"/>
          <w:w w:val="105"/>
        </w:rPr>
        <w:t> </w:t>
      </w:r>
      <w:r>
        <w:rPr>
          <w:color w:val="231F20"/>
          <w:w w:val="105"/>
        </w:rPr>
        <w:t>fuerzas</w:t>
      </w:r>
      <w:r>
        <w:rPr>
          <w:color w:val="231F20"/>
          <w:spacing w:val="-18"/>
          <w:w w:val="105"/>
        </w:rPr>
        <w:t> </w:t>
      </w:r>
      <w:r>
        <w:rPr>
          <w:color w:val="231F20"/>
          <w:w w:val="105"/>
        </w:rPr>
        <w:t>represivas</w:t>
      </w:r>
      <w:r>
        <w:rPr>
          <w:color w:val="231F20"/>
          <w:spacing w:val="-18"/>
          <w:w w:val="105"/>
        </w:rPr>
        <w:t> </w:t>
      </w:r>
      <w:r>
        <w:rPr>
          <w:color w:val="231F20"/>
          <w:w w:val="105"/>
        </w:rPr>
        <w:t>que</w:t>
      </w:r>
      <w:r>
        <w:rPr>
          <w:color w:val="231F20"/>
          <w:spacing w:val="-18"/>
          <w:w w:val="105"/>
        </w:rPr>
        <w:t> </w:t>
      </w:r>
      <w:r>
        <w:rPr>
          <w:color w:val="231F20"/>
          <w:w w:val="105"/>
        </w:rPr>
        <w:t>debieron</w:t>
      </w:r>
      <w:r>
        <w:rPr>
          <w:color w:val="231F20"/>
          <w:spacing w:val="-18"/>
          <w:w w:val="105"/>
        </w:rPr>
        <w:t> </w:t>
      </w:r>
      <w:r>
        <w:rPr>
          <w:color w:val="231F20"/>
          <w:w w:val="105"/>
        </w:rPr>
        <w:t>que</w:t>
      </w:r>
      <w:r>
        <w:rPr>
          <w:color w:val="231F20"/>
          <w:spacing w:val="-18"/>
          <w:w w:val="105"/>
        </w:rPr>
        <w:t> </w:t>
      </w:r>
      <w:r>
        <w:rPr>
          <w:color w:val="231F20"/>
          <w:w w:val="105"/>
        </w:rPr>
        <w:t>enfrentar</w:t>
      </w:r>
      <w:r>
        <w:rPr>
          <w:color w:val="231F20"/>
          <w:spacing w:val="-18"/>
          <w:w w:val="105"/>
        </w:rPr>
        <w:t> </w:t>
      </w:r>
      <w:r>
        <w:rPr>
          <w:color w:val="231F20"/>
          <w:w w:val="105"/>
        </w:rPr>
        <w:t>los</w:t>
      </w:r>
      <w:r>
        <w:rPr>
          <w:color w:val="231F20"/>
          <w:spacing w:val="-18"/>
          <w:w w:val="105"/>
        </w:rPr>
        <w:t> </w:t>
      </w:r>
      <w:r>
        <w:rPr>
          <w:color w:val="231F20"/>
          <w:w w:val="105"/>
        </w:rPr>
        <w:t>migrantes</w:t>
      </w:r>
      <w:r>
        <w:rPr>
          <w:color w:val="231F20"/>
          <w:spacing w:val="-18"/>
          <w:w w:val="105"/>
        </w:rPr>
        <w:t> </w:t>
      </w:r>
      <w:r>
        <w:rPr>
          <w:color w:val="231F20"/>
          <w:w w:val="105"/>
        </w:rPr>
        <w:t>en</w:t>
      </w:r>
      <w:r>
        <w:rPr>
          <w:color w:val="231F20"/>
          <w:spacing w:val="-18"/>
          <w:w w:val="105"/>
        </w:rPr>
        <w:t> </w:t>
      </w:r>
      <w:r>
        <w:rPr>
          <w:color w:val="231F20"/>
          <w:w w:val="105"/>
        </w:rPr>
        <w:t>ese país,</w:t>
      </w:r>
      <w:r>
        <w:rPr>
          <w:color w:val="231F20"/>
          <w:spacing w:val="-30"/>
          <w:w w:val="105"/>
        </w:rPr>
        <w:t> </w:t>
      </w:r>
      <w:r>
        <w:rPr>
          <w:color w:val="231F20"/>
          <w:w w:val="105"/>
        </w:rPr>
        <w:t>y</w:t>
      </w:r>
      <w:r>
        <w:rPr>
          <w:color w:val="231F20"/>
          <w:spacing w:val="-25"/>
          <w:w w:val="105"/>
        </w:rPr>
        <w:t> </w:t>
      </w:r>
      <w:r>
        <w:rPr>
          <w:color w:val="231F20"/>
          <w:w w:val="105"/>
        </w:rPr>
        <w:t>que</w:t>
      </w:r>
      <w:r>
        <w:rPr>
          <w:color w:val="231F20"/>
          <w:spacing w:val="-25"/>
          <w:w w:val="105"/>
        </w:rPr>
        <w:t> </w:t>
      </w:r>
      <w:r>
        <w:rPr>
          <w:color w:val="231F20"/>
          <w:w w:val="105"/>
        </w:rPr>
        <w:t>aparentemente</w:t>
      </w:r>
      <w:r>
        <w:rPr>
          <w:color w:val="231F20"/>
          <w:spacing w:val="-25"/>
          <w:w w:val="105"/>
        </w:rPr>
        <w:t> </w:t>
      </w:r>
      <w:r>
        <w:rPr>
          <w:color w:val="231F20"/>
          <w:w w:val="105"/>
        </w:rPr>
        <w:t>se</w:t>
      </w:r>
      <w:r>
        <w:rPr>
          <w:color w:val="231F20"/>
          <w:spacing w:val="-25"/>
          <w:w w:val="105"/>
        </w:rPr>
        <w:t> </w:t>
      </w:r>
      <w:r>
        <w:rPr>
          <w:color w:val="231F20"/>
          <w:w w:val="105"/>
        </w:rPr>
        <w:t>convirtieron</w:t>
      </w:r>
      <w:r>
        <w:rPr>
          <w:color w:val="231F20"/>
          <w:spacing w:val="-25"/>
          <w:w w:val="105"/>
        </w:rPr>
        <w:t> </w:t>
      </w:r>
      <w:r>
        <w:rPr>
          <w:color w:val="231F20"/>
          <w:w w:val="105"/>
        </w:rPr>
        <w:t>en</w:t>
      </w:r>
      <w:r>
        <w:rPr>
          <w:color w:val="231F20"/>
          <w:spacing w:val="-25"/>
          <w:w w:val="105"/>
        </w:rPr>
        <w:t> </w:t>
      </w:r>
      <w:r>
        <w:rPr>
          <w:color w:val="231F20"/>
          <w:w w:val="105"/>
        </w:rPr>
        <w:t>una</w:t>
      </w:r>
      <w:r>
        <w:rPr>
          <w:color w:val="231F20"/>
          <w:spacing w:val="-25"/>
          <w:w w:val="105"/>
        </w:rPr>
        <w:t> </w:t>
      </w:r>
      <w:r>
        <w:rPr>
          <w:color w:val="231F20"/>
          <w:w w:val="105"/>
        </w:rPr>
        <w:t>estrategia</w:t>
      </w:r>
      <w:r>
        <w:rPr>
          <w:color w:val="231F20"/>
          <w:spacing w:val="-25"/>
          <w:w w:val="105"/>
        </w:rPr>
        <w:t> </w:t>
      </w:r>
      <w:r>
        <w:rPr>
          <w:color w:val="231F20"/>
          <w:w w:val="105"/>
        </w:rPr>
        <w:t>exitosa</w:t>
      </w:r>
      <w:r>
        <w:rPr>
          <w:color w:val="231F20"/>
          <w:spacing w:val="-25"/>
          <w:w w:val="105"/>
        </w:rPr>
        <w:t> </w:t>
      </w:r>
      <w:r>
        <w:rPr>
          <w:color w:val="231F20"/>
          <w:w w:val="105"/>
        </w:rPr>
        <w:t>debi- do</w:t>
      </w:r>
      <w:r>
        <w:rPr>
          <w:color w:val="231F20"/>
          <w:spacing w:val="-20"/>
          <w:w w:val="105"/>
        </w:rPr>
        <w:t> </w:t>
      </w:r>
      <w:r>
        <w:rPr>
          <w:color w:val="231F20"/>
          <w:w w:val="105"/>
        </w:rPr>
        <w:t>a</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logró</w:t>
      </w:r>
      <w:r>
        <w:rPr>
          <w:color w:val="231F20"/>
          <w:spacing w:val="-20"/>
          <w:w w:val="105"/>
        </w:rPr>
        <w:t> </w:t>
      </w:r>
      <w:r>
        <w:rPr>
          <w:color w:val="231F20"/>
          <w:w w:val="105"/>
        </w:rPr>
        <w:t>reducir</w:t>
      </w:r>
      <w:r>
        <w:rPr>
          <w:color w:val="231F20"/>
          <w:spacing w:val="-20"/>
          <w:w w:val="105"/>
        </w:rPr>
        <w:t> </w:t>
      </w:r>
      <w:r>
        <w:rPr>
          <w:color w:val="231F20"/>
          <w:w w:val="105"/>
        </w:rPr>
        <w:t>el</w:t>
      </w:r>
      <w:r>
        <w:rPr>
          <w:color w:val="231F20"/>
          <w:spacing w:val="-20"/>
          <w:w w:val="105"/>
        </w:rPr>
        <w:t> </w:t>
      </w:r>
      <w:r>
        <w:rPr>
          <w:color w:val="231F20"/>
          <w:w w:val="105"/>
        </w:rPr>
        <w:t>tamaño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población</w:t>
      </w:r>
      <w:r>
        <w:rPr>
          <w:color w:val="231F20"/>
          <w:spacing w:val="-20"/>
          <w:w w:val="105"/>
        </w:rPr>
        <w:t> </w:t>
      </w:r>
      <w:r>
        <w:rPr>
          <w:color w:val="231F20"/>
          <w:w w:val="105"/>
        </w:rPr>
        <w:t>mexicana</w:t>
      </w:r>
      <w:r>
        <w:rPr>
          <w:color w:val="231F20"/>
          <w:spacing w:val="-20"/>
          <w:w w:val="105"/>
        </w:rPr>
        <w:t> </w:t>
      </w:r>
      <w:r>
        <w:rPr>
          <w:color w:val="231F20"/>
          <w:w w:val="105"/>
        </w:rPr>
        <w:t>en</w:t>
      </w:r>
      <w:r>
        <w:rPr>
          <w:color w:val="231F20"/>
          <w:spacing w:val="-20"/>
          <w:w w:val="105"/>
        </w:rPr>
        <w:t> </w:t>
      </w:r>
      <w:r>
        <w:rPr>
          <w:color w:val="231F20"/>
          <w:w w:val="105"/>
        </w:rPr>
        <w:t>Estados Unidos</w:t>
      </w:r>
      <w:r>
        <w:rPr>
          <w:color w:val="231F20"/>
          <w:spacing w:val="-32"/>
          <w:w w:val="105"/>
        </w:rPr>
        <w:t> </w:t>
      </w:r>
      <w:r>
        <w:rPr>
          <w:color w:val="231F20"/>
          <w:w w:val="105"/>
        </w:rPr>
        <w:t>(Massey</w:t>
      </w:r>
      <w:r>
        <w:rPr>
          <w:color w:val="231F20"/>
          <w:spacing w:val="-32"/>
          <w:w w:val="105"/>
        </w:rPr>
        <w:t> </w:t>
      </w:r>
      <w:r>
        <w:rPr>
          <w:rFonts w:ascii="Arial" w:hAnsi="Arial"/>
          <w:i/>
          <w:color w:val="231F20"/>
          <w:w w:val="105"/>
        </w:rPr>
        <w:t>et</w:t>
      </w:r>
      <w:r>
        <w:rPr>
          <w:rFonts w:ascii="Arial" w:hAnsi="Arial"/>
          <w:i/>
          <w:color w:val="231F20"/>
          <w:spacing w:val="-35"/>
          <w:w w:val="105"/>
        </w:rPr>
        <w:t> </w:t>
      </w:r>
      <w:r>
        <w:rPr>
          <w:rFonts w:ascii="Arial" w:hAnsi="Arial"/>
          <w:i/>
          <w:color w:val="231F20"/>
          <w:w w:val="105"/>
        </w:rPr>
        <w:t>al.,</w:t>
      </w:r>
      <w:r>
        <w:rPr>
          <w:rFonts w:ascii="Arial" w:hAnsi="Arial"/>
          <w:i/>
          <w:color w:val="231F20"/>
          <w:spacing w:val="-38"/>
          <w:w w:val="105"/>
        </w:rPr>
        <w:t> </w:t>
      </w:r>
      <w:r>
        <w:rPr>
          <w:color w:val="231F20"/>
          <w:w w:val="105"/>
        </w:rPr>
        <w:t>2009a:</w:t>
      </w:r>
      <w:r>
        <w:rPr>
          <w:color w:val="231F20"/>
          <w:spacing w:val="-32"/>
          <w:w w:val="105"/>
        </w:rPr>
        <w:t> </w:t>
      </w:r>
      <w:r>
        <w:rPr>
          <w:color w:val="231F20"/>
          <w:w w:val="105"/>
        </w:rPr>
        <w:t>41).</w:t>
      </w:r>
    </w:p>
    <w:p>
      <w:pPr>
        <w:pStyle w:val="BodyText"/>
        <w:spacing w:line="261" w:lineRule="auto"/>
        <w:ind w:left="1723" w:right="1835" w:firstLine="567"/>
        <w:jc w:val="both"/>
      </w:pPr>
      <w:r>
        <w:rPr>
          <w:color w:val="231F20"/>
          <w:w w:val="105"/>
        </w:rPr>
        <w:t>Un tercer momento en la historia migratoria México-Estados Uni- dos</w:t>
      </w:r>
      <w:r>
        <w:rPr>
          <w:color w:val="231F20"/>
          <w:spacing w:val="-12"/>
          <w:w w:val="105"/>
        </w:rPr>
        <w:t> </w:t>
      </w:r>
      <w:r>
        <w:rPr>
          <w:color w:val="231F20"/>
          <w:w w:val="105"/>
        </w:rPr>
        <w:t>se</w:t>
      </w:r>
      <w:r>
        <w:rPr>
          <w:color w:val="231F20"/>
          <w:spacing w:val="-12"/>
          <w:w w:val="105"/>
        </w:rPr>
        <w:t> </w:t>
      </w:r>
      <w:r>
        <w:rPr>
          <w:color w:val="231F20"/>
          <w:w w:val="105"/>
        </w:rPr>
        <w:t>desarrolló</w:t>
      </w:r>
      <w:r>
        <w:rPr>
          <w:color w:val="231F20"/>
          <w:spacing w:val="-12"/>
          <w:w w:val="105"/>
        </w:rPr>
        <w:t> </w:t>
      </w:r>
      <w:r>
        <w:rPr>
          <w:color w:val="231F20"/>
          <w:w w:val="105"/>
        </w:rPr>
        <w:t>durante</w:t>
      </w:r>
      <w:r>
        <w:rPr>
          <w:color w:val="231F20"/>
          <w:spacing w:val="-12"/>
          <w:w w:val="105"/>
        </w:rPr>
        <w:t> </w:t>
      </w:r>
      <w:r>
        <w:rPr>
          <w:color w:val="231F20"/>
          <w:w w:val="105"/>
        </w:rPr>
        <w:t>el</w:t>
      </w:r>
      <w:r>
        <w:rPr>
          <w:color w:val="231F20"/>
          <w:spacing w:val="-12"/>
          <w:w w:val="105"/>
        </w:rPr>
        <w:t> </w:t>
      </w:r>
      <w:r>
        <w:rPr>
          <w:color w:val="231F20"/>
          <w:w w:val="105"/>
        </w:rPr>
        <w:t>periodo</w:t>
      </w:r>
      <w:r>
        <w:rPr>
          <w:color w:val="231F20"/>
          <w:spacing w:val="-12"/>
          <w:w w:val="105"/>
        </w:rPr>
        <w:t> </w:t>
      </w:r>
      <w:r>
        <w:rPr>
          <w:color w:val="231F20"/>
          <w:w w:val="105"/>
        </w:rPr>
        <w:t>1942-1964,</w:t>
      </w:r>
      <w:r>
        <w:rPr>
          <w:color w:val="231F20"/>
          <w:spacing w:val="-18"/>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llamada</w:t>
      </w:r>
      <w:r>
        <w:rPr>
          <w:color w:val="231F20"/>
          <w:spacing w:val="-12"/>
          <w:w w:val="105"/>
        </w:rPr>
        <w:t> </w:t>
      </w:r>
      <w:r>
        <w:rPr>
          <w:color w:val="231F20"/>
          <w:spacing w:val="-3"/>
          <w:w w:val="105"/>
        </w:rPr>
        <w:t>“Tempo- </w:t>
      </w:r>
      <w:r>
        <w:rPr>
          <w:color w:val="231F20"/>
          <w:w w:val="105"/>
        </w:rPr>
        <w:t>rary</w:t>
      </w:r>
      <w:r>
        <w:rPr>
          <w:color w:val="231F20"/>
          <w:spacing w:val="-31"/>
          <w:w w:val="105"/>
        </w:rPr>
        <w:t> </w:t>
      </w:r>
      <w:r>
        <w:rPr>
          <w:color w:val="231F20"/>
          <w:w w:val="105"/>
        </w:rPr>
        <w:t>Wartime</w:t>
      </w:r>
      <w:r>
        <w:rPr>
          <w:color w:val="231F20"/>
          <w:spacing w:val="-30"/>
          <w:w w:val="105"/>
        </w:rPr>
        <w:t> </w:t>
      </w:r>
      <w:r>
        <w:rPr>
          <w:color w:val="231F20"/>
          <w:w w:val="105"/>
        </w:rPr>
        <w:t>Emergency</w:t>
      </w:r>
      <w:r>
        <w:rPr>
          <w:color w:val="231F20"/>
          <w:spacing w:val="-30"/>
          <w:w w:val="105"/>
        </w:rPr>
        <w:t> </w:t>
      </w:r>
      <w:r>
        <w:rPr>
          <w:color w:val="231F20"/>
          <w:w w:val="105"/>
        </w:rPr>
        <w:t>-</w:t>
      </w:r>
      <w:r>
        <w:rPr>
          <w:color w:val="231F20"/>
          <w:spacing w:val="-30"/>
          <w:w w:val="105"/>
        </w:rPr>
        <w:t> </w:t>
      </w:r>
      <w:r>
        <w:rPr>
          <w:color w:val="231F20"/>
          <w:w w:val="105"/>
        </w:rPr>
        <w:t>Bracero</w:t>
      </w:r>
      <w:r>
        <w:rPr>
          <w:color w:val="231F20"/>
          <w:spacing w:val="-30"/>
          <w:w w:val="105"/>
        </w:rPr>
        <w:t> </w:t>
      </w:r>
      <w:r>
        <w:rPr>
          <w:color w:val="231F20"/>
          <w:spacing w:val="-5"/>
          <w:w w:val="105"/>
        </w:rPr>
        <w:t>Program”,</w:t>
      </w:r>
      <w:r>
        <w:rPr>
          <w:color w:val="231F20"/>
          <w:spacing w:val="-30"/>
          <w:w w:val="105"/>
        </w:rPr>
        <w:t> </w:t>
      </w:r>
      <w:r>
        <w:rPr>
          <w:color w:val="231F20"/>
          <w:w w:val="105"/>
        </w:rPr>
        <w:t>cuando</w:t>
      </w:r>
      <w:r>
        <w:rPr>
          <w:color w:val="231F20"/>
          <w:spacing w:val="-30"/>
          <w:w w:val="105"/>
        </w:rPr>
        <w:t> </w:t>
      </w:r>
      <w:r>
        <w:rPr>
          <w:color w:val="231F20"/>
          <w:w w:val="105"/>
        </w:rPr>
        <w:t>la</w:t>
      </w:r>
      <w:r>
        <w:rPr>
          <w:color w:val="231F20"/>
          <w:spacing w:val="-30"/>
          <w:w w:val="105"/>
        </w:rPr>
        <w:t> </w:t>
      </w:r>
      <w:r>
        <w:rPr>
          <w:color w:val="231F20"/>
          <w:w w:val="105"/>
        </w:rPr>
        <w:t>movilización</w:t>
      </w:r>
      <w:r>
        <w:rPr>
          <w:color w:val="231F20"/>
          <w:spacing w:val="-30"/>
          <w:w w:val="105"/>
        </w:rPr>
        <w:t> </w:t>
      </w:r>
      <w:r>
        <w:rPr>
          <w:color w:val="231F20"/>
          <w:w w:val="105"/>
        </w:rPr>
        <w:t>de</w:t>
      </w:r>
      <w:r>
        <w:rPr>
          <w:color w:val="231F20"/>
          <w:spacing w:val="-30"/>
          <w:w w:val="105"/>
        </w:rPr>
        <w:t> </w:t>
      </w:r>
      <w:r>
        <w:rPr>
          <w:color w:val="231F20"/>
          <w:w w:val="105"/>
        </w:rPr>
        <w:t>la industria</w:t>
      </w:r>
      <w:r>
        <w:rPr>
          <w:color w:val="231F20"/>
          <w:spacing w:val="-13"/>
          <w:w w:val="105"/>
        </w:rPr>
        <w:t> </w:t>
      </w:r>
      <w:r>
        <w:rPr>
          <w:color w:val="231F20"/>
          <w:w w:val="105"/>
        </w:rPr>
        <w:t>estadounidense</w:t>
      </w:r>
      <w:r>
        <w:rPr>
          <w:color w:val="231F20"/>
          <w:spacing w:val="-13"/>
          <w:w w:val="105"/>
        </w:rPr>
        <w:t> </w:t>
      </w:r>
      <w:r>
        <w:rPr>
          <w:color w:val="231F20"/>
          <w:w w:val="105"/>
        </w:rPr>
        <w:t>en</w:t>
      </w:r>
      <w:r>
        <w:rPr>
          <w:color w:val="231F20"/>
          <w:spacing w:val="-13"/>
          <w:w w:val="105"/>
        </w:rPr>
        <w:t> </w:t>
      </w:r>
      <w:r>
        <w:rPr>
          <w:color w:val="231F20"/>
          <w:w w:val="105"/>
        </w:rPr>
        <w:t>torno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Segunda</w:t>
      </w:r>
      <w:r>
        <w:rPr>
          <w:color w:val="231F20"/>
          <w:spacing w:val="-13"/>
          <w:w w:val="105"/>
        </w:rPr>
        <w:t> </w:t>
      </w:r>
      <w:r>
        <w:rPr>
          <w:color w:val="231F20"/>
          <w:w w:val="105"/>
        </w:rPr>
        <w:t>Guerra</w:t>
      </w:r>
      <w:r>
        <w:rPr>
          <w:color w:val="231F20"/>
          <w:spacing w:val="-13"/>
          <w:w w:val="105"/>
        </w:rPr>
        <w:t> </w:t>
      </w:r>
      <w:r>
        <w:rPr>
          <w:color w:val="231F20"/>
          <w:w w:val="105"/>
        </w:rPr>
        <w:t>Mundial</w:t>
      </w:r>
      <w:r>
        <w:rPr>
          <w:color w:val="231F20"/>
          <w:spacing w:val="-13"/>
          <w:w w:val="105"/>
        </w:rPr>
        <w:t> </w:t>
      </w:r>
      <w:r>
        <w:rPr>
          <w:color w:val="231F20"/>
          <w:w w:val="105"/>
        </w:rPr>
        <w:t>expuso</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5072" from="131.551193pt,3.703715pt" to="131.551193pt,39.506114pt" stroked="true" strokeweight=".35pt" strokecolor="#231f20">
            <w10:wrap type="none"/>
          </v:line>
        </w:pict>
      </w:r>
      <w:r>
        <w:rPr/>
        <w:pict>
          <v:line style="position:absolute;mso-position-horizontal-relative:page;mso-position-vertical-relative:paragraph;z-index:-475000" from="15pt,39.505917pt" to="0pt,39.505917pt" stroked="true" strokeweight=".25pt" strokecolor="#000000">
            <w10:wrap type="none"/>
          </v:line>
        </w:pict>
      </w:r>
      <w:r>
        <w:rPr/>
        <w:pict>
          <v:line style="position:absolute;mso-position-horizontal-relative:page;mso-position-vertical-relative:paragraph;z-index:15208" from="508.890015pt,39.505917pt" to="523.890015pt,39.505917pt" stroked="true" strokeweight=".25pt" strokecolor="#000000">
            <w10:wrap type="none"/>
          </v:line>
        </w:pict>
      </w:r>
      <w:r>
        <w:rPr>
          <w:rFonts w:ascii="Arial" w:hAnsi="Arial"/>
          <w:color w:val="414042"/>
          <w:w w:val="105"/>
          <w:position w:val="-5"/>
          <w:sz w:val="20"/>
        </w:rPr>
        <w:t>150</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5232"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5256" from="15pt,-28.286539pt" to="0pt,-28.286539pt" stroked="true" strokeweight=".25pt" strokecolor="#000000">
            <w10:wrap type="none"/>
          </v:line>
        </w:pict>
      </w:r>
      <w:r>
        <w:rPr/>
        <w:pict>
          <v:line style="position:absolute;mso-position-horizontal-relative:page;mso-position-vertical-relative:paragraph;z-index:15280" from="508.890015pt,-28.286539pt" to="523.890015pt,-28.286539pt" stroked="true" strokeweight=".25pt" strokecolor="#000000">
            <w10:wrap type="none"/>
          </v:line>
        </w:pict>
      </w:r>
      <w:r>
        <w:rPr>
          <w:rFonts w:ascii="Arial"/>
          <w:color w:val="414042"/>
          <w:sz w:val="20"/>
        </w:rPr>
        <w:t>151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16"/>
        <w:jc w:val="both"/>
      </w:pPr>
      <w:r>
        <w:rPr>
          <w:color w:val="231F20"/>
          <w:w w:val="105"/>
        </w:rPr>
        <w:t>la</w:t>
      </w:r>
      <w:r>
        <w:rPr>
          <w:color w:val="231F20"/>
          <w:spacing w:val="-21"/>
          <w:w w:val="105"/>
        </w:rPr>
        <w:t> </w:t>
      </w:r>
      <w:r>
        <w:rPr>
          <w:color w:val="231F20"/>
          <w:w w:val="105"/>
        </w:rPr>
        <w:t>fuerte</w:t>
      </w:r>
      <w:r>
        <w:rPr>
          <w:color w:val="231F20"/>
          <w:spacing w:val="-21"/>
          <w:w w:val="105"/>
        </w:rPr>
        <w:t> </w:t>
      </w:r>
      <w:r>
        <w:rPr>
          <w:color w:val="231F20"/>
          <w:w w:val="105"/>
        </w:rPr>
        <w:t>carencia</w:t>
      </w:r>
      <w:r>
        <w:rPr>
          <w:color w:val="231F20"/>
          <w:spacing w:val="-21"/>
          <w:w w:val="105"/>
        </w:rPr>
        <w:t> </w:t>
      </w:r>
      <w:r>
        <w:rPr>
          <w:color w:val="231F20"/>
          <w:w w:val="105"/>
        </w:rPr>
        <w:t>de</w:t>
      </w:r>
      <w:r>
        <w:rPr>
          <w:color w:val="231F20"/>
          <w:spacing w:val="-21"/>
          <w:w w:val="105"/>
        </w:rPr>
        <w:t> </w:t>
      </w:r>
      <w:r>
        <w:rPr>
          <w:color w:val="231F20"/>
          <w:w w:val="105"/>
        </w:rPr>
        <w:t>mano</w:t>
      </w:r>
      <w:r>
        <w:rPr>
          <w:color w:val="231F20"/>
          <w:spacing w:val="-21"/>
          <w:w w:val="105"/>
        </w:rPr>
        <w:t> </w:t>
      </w:r>
      <w:r>
        <w:rPr>
          <w:color w:val="231F20"/>
          <w:w w:val="105"/>
        </w:rPr>
        <w:t>de</w:t>
      </w:r>
      <w:r>
        <w:rPr>
          <w:color w:val="231F20"/>
          <w:spacing w:val="-21"/>
          <w:w w:val="105"/>
        </w:rPr>
        <w:t> </w:t>
      </w:r>
      <w:r>
        <w:rPr>
          <w:color w:val="231F20"/>
          <w:w w:val="105"/>
        </w:rPr>
        <w:t>obra</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sector</w:t>
      </w:r>
      <w:r>
        <w:rPr>
          <w:color w:val="231F20"/>
          <w:spacing w:val="-21"/>
          <w:w w:val="105"/>
        </w:rPr>
        <w:t> </w:t>
      </w:r>
      <w:r>
        <w:rPr>
          <w:color w:val="231F20"/>
          <w:w w:val="105"/>
        </w:rPr>
        <w:t>agrícola</w:t>
      </w:r>
      <w:r>
        <w:rPr>
          <w:color w:val="231F20"/>
          <w:spacing w:val="-21"/>
          <w:w w:val="105"/>
        </w:rPr>
        <w:t> </w:t>
      </w:r>
      <w:r>
        <w:rPr>
          <w:color w:val="231F20"/>
          <w:w w:val="105"/>
        </w:rPr>
        <w:t>de</w:t>
      </w:r>
      <w:r>
        <w:rPr>
          <w:color w:val="231F20"/>
          <w:spacing w:val="-21"/>
          <w:w w:val="105"/>
        </w:rPr>
        <w:t> </w:t>
      </w:r>
      <w:r>
        <w:rPr>
          <w:color w:val="231F20"/>
          <w:w w:val="105"/>
        </w:rPr>
        <w:t>ese</w:t>
      </w:r>
      <w:r>
        <w:rPr>
          <w:color w:val="231F20"/>
          <w:spacing w:val="-21"/>
          <w:w w:val="105"/>
        </w:rPr>
        <w:t> </w:t>
      </w:r>
      <w:r>
        <w:rPr>
          <w:color w:val="231F20"/>
          <w:w w:val="105"/>
        </w:rPr>
        <w:t>país</w:t>
      </w:r>
      <w:r>
        <w:rPr>
          <w:color w:val="231F20"/>
          <w:spacing w:val="-21"/>
          <w:w w:val="105"/>
        </w:rPr>
        <w:t> </w:t>
      </w:r>
      <w:r>
        <w:rPr>
          <w:color w:val="231F20"/>
          <w:w w:val="105"/>
        </w:rPr>
        <w:t>(Mar- tin</w:t>
      </w:r>
      <w:r>
        <w:rPr>
          <w:color w:val="231F20"/>
          <w:spacing w:val="-5"/>
          <w:w w:val="105"/>
        </w:rPr>
        <w:t> </w:t>
      </w:r>
      <w:r>
        <w:rPr>
          <w:color w:val="231F20"/>
          <w:w w:val="105"/>
        </w:rPr>
        <w:t>y</w:t>
      </w:r>
      <w:r>
        <w:rPr>
          <w:color w:val="231F20"/>
          <w:spacing w:val="-9"/>
          <w:w w:val="105"/>
        </w:rPr>
        <w:t> </w:t>
      </w:r>
      <w:r>
        <w:rPr>
          <w:w w:val="105"/>
        </w:rPr>
        <w:t>Teitelbaum</w:t>
      </w:r>
      <w:r>
        <w:rPr>
          <w:color w:val="231F20"/>
          <w:w w:val="105"/>
        </w:rPr>
        <w:t>,</w:t>
      </w:r>
      <w:r>
        <w:rPr>
          <w:color w:val="231F20"/>
          <w:spacing w:val="-10"/>
          <w:w w:val="105"/>
        </w:rPr>
        <w:t> </w:t>
      </w:r>
      <w:r>
        <w:rPr>
          <w:color w:val="231F20"/>
          <w:w w:val="105"/>
        </w:rPr>
        <w:t>2001:</w:t>
      </w:r>
      <w:r>
        <w:rPr>
          <w:color w:val="231F20"/>
          <w:spacing w:val="-5"/>
          <w:w w:val="105"/>
        </w:rPr>
        <w:t> </w:t>
      </w:r>
      <w:r>
        <w:rPr>
          <w:color w:val="231F20"/>
          <w:w w:val="105"/>
        </w:rPr>
        <w:t>122).</w:t>
      </w:r>
      <w:r>
        <w:rPr>
          <w:color w:val="231F20"/>
          <w:spacing w:val="-10"/>
          <w:w w:val="105"/>
        </w:rPr>
        <w:t> </w:t>
      </w:r>
      <w:r>
        <w:rPr>
          <w:color w:val="231F20"/>
          <w:w w:val="105"/>
        </w:rPr>
        <w:t>Si</w:t>
      </w:r>
      <w:r>
        <w:rPr>
          <w:color w:val="231F20"/>
          <w:spacing w:val="-5"/>
          <w:w w:val="105"/>
        </w:rPr>
        <w:t> </w:t>
      </w:r>
      <w:r>
        <w:rPr>
          <w:color w:val="231F20"/>
          <w:w w:val="105"/>
        </w:rPr>
        <w:t>bien</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primeros</w:t>
      </w:r>
      <w:r>
        <w:rPr>
          <w:color w:val="231F20"/>
          <w:spacing w:val="-5"/>
          <w:w w:val="105"/>
        </w:rPr>
        <w:t> </w:t>
      </w:r>
      <w:r>
        <w:rPr>
          <w:color w:val="231F20"/>
          <w:w w:val="105"/>
        </w:rPr>
        <w:t>años</w:t>
      </w:r>
      <w:r>
        <w:rPr>
          <w:color w:val="231F20"/>
          <w:spacing w:val="-5"/>
          <w:w w:val="105"/>
        </w:rPr>
        <w:t> </w:t>
      </w:r>
      <w:r>
        <w:rPr>
          <w:color w:val="231F20"/>
          <w:w w:val="105"/>
        </w:rPr>
        <w:t>del</w:t>
      </w:r>
      <w:r>
        <w:rPr>
          <w:color w:val="231F20"/>
          <w:spacing w:val="-5"/>
          <w:w w:val="105"/>
        </w:rPr>
        <w:t> </w:t>
      </w:r>
      <w:r>
        <w:rPr>
          <w:color w:val="231F20"/>
          <w:spacing w:val="-3"/>
          <w:w w:val="105"/>
        </w:rPr>
        <w:t>Programa </w:t>
      </w:r>
      <w:r>
        <w:rPr>
          <w:color w:val="231F20"/>
          <w:w w:val="105"/>
        </w:rPr>
        <w:t>Bracero la cantidad de trabajadores reclutados fue modesta, 500 bra- ceros aceptados en California y </w:t>
      </w:r>
      <w:r>
        <w:rPr>
          <w:color w:val="231F20"/>
          <w:spacing w:val="-5"/>
          <w:w w:val="105"/>
        </w:rPr>
        <w:t>Texas </w:t>
      </w:r>
      <w:r>
        <w:rPr>
          <w:color w:val="231F20"/>
          <w:w w:val="105"/>
        </w:rPr>
        <w:t>en septiembre de 1942, en</w:t>
      </w:r>
      <w:r>
        <w:rPr>
          <w:color w:val="231F20"/>
          <w:spacing w:val="-23"/>
          <w:w w:val="105"/>
        </w:rPr>
        <w:t> </w:t>
      </w:r>
      <w:r>
        <w:rPr>
          <w:color w:val="231F20"/>
          <w:w w:val="105"/>
        </w:rPr>
        <w:t>1954 las admisiones se habían incrementado a cerca de 400 o 450 mil por año</w:t>
      </w:r>
      <w:r>
        <w:rPr>
          <w:color w:val="231F20"/>
          <w:spacing w:val="-28"/>
          <w:w w:val="105"/>
        </w:rPr>
        <w:t> </w:t>
      </w:r>
      <w:r>
        <w:rPr>
          <w:color w:val="231F20"/>
          <w:w w:val="105"/>
        </w:rPr>
        <w:t>(Massey</w:t>
      </w:r>
      <w:r>
        <w:rPr>
          <w:color w:val="231F20"/>
          <w:spacing w:val="-28"/>
          <w:w w:val="105"/>
        </w:rPr>
        <w:t> </w:t>
      </w:r>
      <w:r>
        <w:rPr>
          <w:rFonts w:ascii="Arial" w:hAnsi="Arial"/>
          <w:i/>
          <w:color w:val="231F20"/>
          <w:w w:val="105"/>
        </w:rPr>
        <w:t>et</w:t>
      </w:r>
      <w:r>
        <w:rPr>
          <w:rFonts w:ascii="Arial" w:hAnsi="Arial"/>
          <w:i/>
          <w:color w:val="231F20"/>
          <w:spacing w:val="-31"/>
          <w:w w:val="105"/>
        </w:rPr>
        <w:t> </w:t>
      </w:r>
      <w:r>
        <w:rPr>
          <w:rFonts w:ascii="Arial" w:hAnsi="Arial"/>
          <w:i/>
          <w:color w:val="231F20"/>
          <w:w w:val="105"/>
        </w:rPr>
        <w:t>al.,</w:t>
      </w:r>
      <w:r>
        <w:rPr>
          <w:rFonts w:ascii="Arial" w:hAnsi="Arial"/>
          <w:i/>
          <w:color w:val="231F20"/>
          <w:spacing w:val="-31"/>
          <w:w w:val="105"/>
        </w:rPr>
        <w:t> </w:t>
      </w:r>
      <w:r>
        <w:rPr>
          <w:color w:val="231F20"/>
          <w:w w:val="105"/>
        </w:rPr>
        <w:t>2009a:</w:t>
      </w:r>
      <w:r>
        <w:rPr>
          <w:color w:val="231F20"/>
          <w:spacing w:val="-28"/>
          <w:w w:val="105"/>
        </w:rPr>
        <w:t> </w:t>
      </w:r>
      <w:r>
        <w:rPr>
          <w:color w:val="231F20"/>
          <w:w w:val="105"/>
        </w:rPr>
        <w:t>43;</w:t>
      </w:r>
      <w:r>
        <w:rPr>
          <w:color w:val="231F20"/>
          <w:spacing w:val="-28"/>
          <w:w w:val="105"/>
        </w:rPr>
        <w:t> </w:t>
      </w:r>
      <w:r>
        <w:rPr>
          <w:color w:val="231F20"/>
          <w:w w:val="105"/>
        </w:rPr>
        <w:t>Martin</w:t>
      </w:r>
      <w:r>
        <w:rPr>
          <w:color w:val="231F20"/>
          <w:spacing w:val="-28"/>
          <w:w w:val="105"/>
        </w:rPr>
        <w:t> </w:t>
      </w:r>
      <w:r>
        <w:rPr>
          <w:color w:val="231F20"/>
          <w:w w:val="105"/>
        </w:rPr>
        <w:t>y</w:t>
      </w:r>
      <w:r>
        <w:rPr>
          <w:color w:val="231F20"/>
          <w:spacing w:val="-32"/>
          <w:w w:val="105"/>
        </w:rPr>
        <w:t> </w:t>
      </w:r>
      <w:r>
        <w:rPr>
          <w:w w:val="105"/>
        </w:rPr>
        <w:t>Teitelbaum</w:t>
      </w:r>
      <w:r>
        <w:rPr>
          <w:color w:val="231F20"/>
          <w:w w:val="105"/>
        </w:rPr>
        <w:t>,</w:t>
      </w:r>
      <w:r>
        <w:rPr>
          <w:color w:val="231F20"/>
          <w:spacing w:val="-33"/>
          <w:w w:val="105"/>
        </w:rPr>
        <w:t> </w:t>
      </w:r>
      <w:r>
        <w:rPr>
          <w:color w:val="231F20"/>
          <w:w w:val="105"/>
        </w:rPr>
        <w:t>2001;</w:t>
      </w:r>
      <w:r>
        <w:rPr>
          <w:color w:val="231F20"/>
          <w:spacing w:val="-28"/>
          <w:w w:val="105"/>
        </w:rPr>
        <w:t> </w:t>
      </w:r>
      <w:r>
        <w:rPr>
          <w:color w:val="231F20"/>
          <w:w w:val="105"/>
        </w:rPr>
        <w:t>Massey</w:t>
      </w:r>
      <w:r>
        <w:rPr>
          <w:color w:val="231F20"/>
          <w:spacing w:val="-28"/>
          <w:w w:val="105"/>
        </w:rPr>
        <w:t> </w:t>
      </w:r>
      <w:r>
        <w:rPr>
          <w:color w:val="231F20"/>
          <w:w w:val="105"/>
        </w:rPr>
        <w:t>y</w:t>
      </w:r>
      <w:r>
        <w:rPr>
          <w:color w:val="231F20"/>
          <w:spacing w:val="-28"/>
          <w:w w:val="105"/>
        </w:rPr>
        <w:t> </w:t>
      </w:r>
      <w:r>
        <w:rPr>
          <w:color w:val="231F20"/>
          <w:w w:val="105"/>
        </w:rPr>
        <w:t>Liang, 1989: 200). Durante este periodo, los trabajadores eran reclutados por el gobierno mexicano y enviados a campos agrícolas</w:t>
      </w:r>
      <w:r>
        <w:rPr>
          <w:color w:val="231F20"/>
          <w:spacing w:val="-33"/>
          <w:w w:val="105"/>
        </w:rPr>
        <w:t> </w:t>
      </w:r>
      <w:r>
        <w:rPr>
          <w:color w:val="231F20"/>
          <w:w w:val="105"/>
        </w:rPr>
        <w:t>estadounidenses, donde</w:t>
      </w:r>
      <w:r>
        <w:rPr>
          <w:color w:val="231F20"/>
          <w:spacing w:val="-10"/>
          <w:w w:val="105"/>
        </w:rPr>
        <w:t> </w:t>
      </w:r>
      <w:r>
        <w:rPr>
          <w:color w:val="231F20"/>
          <w:w w:val="105"/>
        </w:rPr>
        <w:t>el</w:t>
      </w:r>
      <w:r>
        <w:rPr>
          <w:color w:val="231F20"/>
          <w:spacing w:val="-10"/>
          <w:w w:val="105"/>
        </w:rPr>
        <w:t> </w:t>
      </w:r>
      <w:r>
        <w:rPr>
          <w:color w:val="231F20"/>
          <w:w w:val="105"/>
        </w:rPr>
        <w:t>empleo,</w:t>
      </w:r>
      <w:r>
        <w:rPr>
          <w:color w:val="231F20"/>
          <w:spacing w:val="-16"/>
          <w:w w:val="105"/>
        </w:rPr>
        <w:t> </w:t>
      </w:r>
      <w:r>
        <w:rPr>
          <w:color w:val="231F20"/>
          <w:w w:val="105"/>
        </w:rPr>
        <w:t>los</w:t>
      </w:r>
      <w:r>
        <w:rPr>
          <w:color w:val="231F20"/>
          <w:spacing w:val="-10"/>
          <w:w w:val="105"/>
        </w:rPr>
        <w:t> </w:t>
      </w:r>
      <w:r>
        <w:rPr>
          <w:color w:val="231F20"/>
          <w:w w:val="105"/>
        </w:rPr>
        <w:t>salarios,</w:t>
      </w:r>
      <w:r>
        <w:rPr>
          <w:color w:val="231F20"/>
          <w:spacing w:val="-16"/>
          <w:w w:val="105"/>
        </w:rPr>
        <w:t> </w:t>
      </w:r>
      <w:r>
        <w:rPr>
          <w:color w:val="231F20"/>
          <w:w w:val="105"/>
        </w:rPr>
        <w:t>el</w:t>
      </w:r>
      <w:r>
        <w:rPr>
          <w:color w:val="231F20"/>
          <w:spacing w:val="-10"/>
          <w:w w:val="105"/>
        </w:rPr>
        <w:t> </w:t>
      </w:r>
      <w:r>
        <w:rPr>
          <w:color w:val="231F20"/>
          <w:w w:val="105"/>
        </w:rPr>
        <w:t>transporte</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alojamiento</w:t>
      </w:r>
      <w:r>
        <w:rPr>
          <w:color w:val="231F20"/>
          <w:spacing w:val="-10"/>
          <w:w w:val="105"/>
        </w:rPr>
        <w:t> </w:t>
      </w:r>
      <w:r>
        <w:rPr>
          <w:color w:val="231F20"/>
          <w:w w:val="105"/>
        </w:rPr>
        <w:t>eran</w:t>
      </w:r>
      <w:r>
        <w:rPr>
          <w:color w:val="231F20"/>
          <w:spacing w:val="-10"/>
          <w:w w:val="105"/>
        </w:rPr>
        <w:t> </w:t>
      </w:r>
      <w:r>
        <w:rPr>
          <w:color w:val="231F20"/>
          <w:w w:val="105"/>
        </w:rPr>
        <w:t>organi- zados</w:t>
      </w:r>
      <w:r>
        <w:rPr>
          <w:color w:val="231F20"/>
          <w:spacing w:val="-21"/>
          <w:w w:val="105"/>
        </w:rPr>
        <w:t> </w:t>
      </w:r>
      <w:r>
        <w:rPr>
          <w:color w:val="231F20"/>
          <w:w w:val="105"/>
        </w:rPr>
        <w:t>por</w:t>
      </w:r>
      <w:r>
        <w:rPr>
          <w:color w:val="231F20"/>
          <w:spacing w:val="-21"/>
          <w:w w:val="105"/>
        </w:rPr>
        <w:t> </w:t>
      </w:r>
      <w:r>
        <w:rPr>
          <w:color w:val="231F20"/>
          <w:w w:val="105"/>
        </w:rPr>
        <w:t>las</w:t>
      </w:r>
      <w:r>
        <w:rPr>
          <w:color w:val="231F20"/>
          <w:spacing w:val="-21"/>
          <w:w w:val="105"/>
        </w:rPr>
        <w:t> </w:t>
      </w:r>
      <w:r>
        <w:rPr>
          <w:color w:val="231F20"/>
          <w:w w:val="105"/>
        </w:rPr>
        <w:t>agencias</w:t>
      </w:r>
      <w:r>
        <w:rPr>
          <w:color w:val="231F20"/>
          <w:spacing w:val="-21"/>
          <w:w w:val="105"/>
        </w:rPr>
        <w:t> </w:t>
      </w:r>
      <w:r>
        <w:rPr>
          <w:color w:val="231F20"/>
          <w:w w:val="105"/>
        </w:rPr>
        <w:t>del</w:t>
      </w:r>
      <w:r>
        <w:rPr>
          <w:color w:val="231F20"/>
          <w:spacing w:val="-21"/>
          <w:w w:val="105"/>
        </w:rPr>
        <w:t> </w:t>
      </w:r>
      <w:r>
        <w:rPr>
          <w:color w:val="231F20"/>
          <w:w w:val="105"/>
        </w:rPr>
        <w:t>gobierno</w:t>
      </w:r>
      <w:r>
        <w:rPr>
          <w:color w:val="231F20"/>
          <w:spacing w:val="-21"/>
          <w:w w:val="105"/>
        </w:rPr>
        <w:t> </w:t>
      </w:r>
      <w:r>
        <w:rPr>
          <w:color w:val="231F20"/>
          <w:w w:val="105"/>
        </w:rPr>
        <w:t>de</w:t>
      </w:r>
      <w:r>
        <w:rPr>
          <w:color w:val="231F20"/>
          <w:spacing w:val="-21"/>
          <w:w w:val="105"/>
        </w:rPr>
        <w:t> </w:t>
      </w:r>
      <w:r>
        <w:rPr>
          <w:color w:val="231F20"/>
          <w:w w:val="105"/>
        </w:rPr>
        <w:t>Estados</w:t>
      </w:r>
      <w:r>
        <w:rPr>
          <w:color w:val="231F20"/>
          <w:spacing w:val="-21"/>
          <w:w w:val="105"/>
        </w:rPr>
        <w:t> </w:t>
      </w:r>
      <w:r>
        <w:rPr>
          <w:color w:val="231F20"/>
          <w:w w:val="105"/>
        </w:rPr>
        <w:t>Unidos</w:t>
      </w:r>
      <w:r>
        <w:rPr>
          <w:color w:val="231F20"/>
          <w:spacing w:val="-21"/>
          <w:w w:val="105"/>
        </w:rPr>
        <w:t> </w:t>
      </w:r>
      <w:r>
        <w:rPr>
          <w:color w:val="231F20"/>
          <w:w w:val="105"/>
        </w:rPr>
        <w:t>(Massey</w:t>
      </w:r>
      <w:r>
        <w:rPr>
          <w:color w:val="231F20"/>
          <w:spacing w:val="-21"/>
          <w:w w:val="105"/>
        </w:rPr>
        <w:t> </w:t>
      </w:r>
      <w:r>
        <w:rPr>
          <w:color w:val="231F20"/>
          <w:w w:val="105"/>
        </w:rPr>
        <w:t>y</w:t>
      </w:r>
      <w:r>
        <w:rPr>
          <w:color w:val="231F20"/>
          <w:spacing w:val="-21"/>
          <w:w w:val="105"/>
        </w:rPr>
        <w:t> </w:t>
      </w:r>
      <w:r>
        <w:rPr>
          <w:color w:val="231F20"/>
          <w:w w:val="105"/>
        </w:rPr>
        <w:t>Liang, 1989:</w:t>
      </w:r>
      <w:r>
        <w:rPr>
          <w:color w:val="231F20"/>
          <w:spacing w:val="-13"/>
          <w:w w:val="105"/>
        </w:rPr>
        <w:t> </w:t>
      </w:r>
      <w:r>
        <w:rPr>
          <w:color w:val="231F20"/>
          <w:w w:val="105"/>
        </w:rPr>
        <w:t>203).</w:t>
      </w:r>
      <w:r>
        <w:rPr>
          <w:color w:val="231F20"/>
          <w:spacing w:val="-18"/>
          <w:w w:val="105"/>
        </w:rPr>
        <w:t> </w:t>
      </w:r>
      <w:r>
        <w:rPr>
          <w:color w:val="231F20"/>
          <w:w w:val="105"/>
        </w:rPr>
        <w:t>Los</w:t>
      </w:r>
      <w:r>
        <w:rPr>
          <w:color w:val="231F20"/>
          <w:spacing w:val="-13"/>
          <w:w w:val="105"/>
        </w:rPr>
        <w:t> </w:t>
      </w:r>
      <w:r>
        <w:rPr>
          <w:color w:val="231F20"/>
          <w:w w:val="105"/>
        </w:rPr>
        <w:t>contratos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braceros</w:t>
      </w:r>
      <w:r>
        <w:rPr>
          <w:color w:val="231F20"/>
          <w:spacing w:val="-13"/>
          <w:w w:val="105"/>
        </w:rPr>
        <w:t> </w:t>
      </w:r>
      <w:r>
        <w:rPr>
          <w:color w:val="231F20"/>
          <w:w w:val="105"/>
        </w:rPr>
        <w:t>eran</w:t>
      </w:r>
      <w:r>
        <w:rPr>
          <w:color w:val="231F20"/>
          <w:spacing w:val="-13"/>
          <w:w w:val="105"/>
        </w:rPr>
        <w:t> </w:t>
      </w:r>
      <w:r>
        <w:rPr>
          <w:color w:val="231F20"/>
          <w:w w:val="105"/>
        </w:rPr>
        <w:t>temporales</w:t>
      </w:r>
      <w:r>
        <w:rPr>
          <w:color w:val="231F20"/>
          <w:spacing w:val="-13"/>
          <w:w w:val="105"/>
        </w:rPr>
        <w:t> </w:t>
      </w:r>
      <w:r>
        <w:rPr>
          <w:color w:val="231F20"/>
          <w:w w:val="105"/>
        </w:rPr>
        <w:t>y</w:t>
      </w:r>
      <w:r>
        <w:rPr>
          <w:color w:val="231F20"/>
          <w:spacing w:val="-13"/>
          <w:w w:val="105"/>
        </w:rPr>
        <w:t> </w:t>
      </w:r>
      <w:r>
        <w:rPr>
          <w:color w:val="231F20"/>
          <w:w w:val="105"/>
        </w:rPr>
        <w:t>sectoriales, dirigidos</w:t>
      </w:r>
      <w:r>
        <w:rPr>
          <w:color w:val="231F20"/>
          <w:spacing w:val="-6"/>
          <w:w w:val="105"/>
        </w:rPr>
        <w:t> </w:t>
      </w:r>
      <w:r>
        <w:rPr>
          <w:color w:val="231F20"/>
          <w:w w:val="105"/>
        </w:rPr>
        <w:t>sólo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agricultura</w:t>
      </w:r>
      <w:r>
        <w:rPr>
          <w:color w:val="231F20"/>
          <w:spacing w:val="-6"/>
          <w:w w:val="105"/>
        </w:rPr>
        <w:t> </w:t>
      </w:r>
      <w:r>
        <w:rPr>
          <w:color w:val="231F20"/>
          <w:w w:val="105"/>
        </w:rPr>
        <w:t>y</w:t>
      </w:r>
      <w:r>
        <w:rPr>
          <w:color w:val="231F20"/>
          <w:spacing w:val="-6"/>
          <w:w w:val="105"/>
        </w:rPr>
        <w:t> </w:t>
      </w:r>
      <w:r>
        <w:rPr>
          <w:color w:val="231F20"/>
          <w:w w:val="105"/>
        </w:rPr>
        <w:t>nada</w:t>
      </w:r>
      <w:r>
        <w:rPr>
          <w:color w:val="231F20"/>
          <w:spacing w:val="-6"/>
          <w:w w:val="105"/>
        </w:rPr>
        <w:t> </w:t>
      </w:r>
      <w:r>
        <w:rPr>
          <w:color w:val="231F20"/>
          <w:w w:val="105"/>
        </w:rPr>
        <w:t>más</w:t>
      </w:r>
      <w:r>
        <w:rPr>
          <w:color w:val="231F20"/>
          <w:spacing w:val="-6"/>
          <w:w w:val="105"/>
        </w:rPr>
        <w:t> </w:t>
      </w:r>
      <w:r>
        <w:rPr>
          <w:color w:val="231F20"/>
          <w:w w:val="105"/>
        </w:rPr>
        <w:t>para</w:t>
      </w:r>
      <w:r>
        <w:rPr>
          <w:color w:val="231F20"/>
          <w:spacing w:val="-6"/>
          <w:w w:val="105"/>
        </w:rPr>
        <w:t> </w:t>
      </w:r>
      <w:r>
        <w:rPr>
          <w:color w:val="231F20"/>
          <w:w w:val="105"/>
        </w:rPr>
        <w:t>los</w:t>
      </w:r>
      <w:r>
        <w:rPr>
          <w:color w:val="231F20"/>
          <w:spacing w:val="-6"/>
          <w:w w:val="105"/>
        </w:rPr>
        <w:t> </w:t>
      </w:r>
      <w:r>
        <w:rPr>
          <w:color w:val="231F20"/>
          <w:w w:val="105"/>
        </w:rPr>
        <w:t>hombres,</w:t>
      </w:r>
      <w:r>
        <w:rPr>
          <w:color w:val="231F20"/>
          <w:spacing w:val="-11"/>
          <w:w w:val="105"/>
        </w:rPr>
        <w:t> </w:t>
      </w:r>
      <w:r>
        <w:rPr>
          <w:color w:val="231F20"/>
          <w:w w:val="105"/>
        </w:rPr>
        <w:t>en</w:t>
      </w:r>
      <w:r>
        <w:rPr>
          <w:color w:val="231F20"/>
          <w:spacing w:val="-6"/>
          <w:w w:val="105"/>
        </w:rPr>
        <w:t> </w:t>
      </w:r>
      <w:r>
        <w:rPr>
          <w:color w:val="231F20"/>
          <w:w w:val="105"/>
        </w:rPr>
        <w:t>especial para los jóvenes campesinos, lo cual durante este periodo fortaleció el sesgo masculino, temporal y de retorno de la migración internacional, particularmente</w:t>
      </w:r>
      <w:r>
        <w:rPr>
          <w:color w:val="231F20"/>
          <w:spacing w:val="-17"/>
          <w:w w:val="105"/>
        </w:rPr>
        <w:t> </w:t>
      </w:r>
      <w:r>
        <w:rPr>
          <w:color w:val="231F20"/>
          <w:w w:val="105"/>
        </w:rPr>
        <w:t>en</w:t>
      </w:r>
      <w:r>
        <w:rPr>
          <w:color w:val="231F20"/>
          <w:spacing w:val="-17"/>
          <w:w w:val="105"/>
        </w:rPr>
        <w:t> </w:t>
      </w:r>
      <w:r>
        <w:rPr>
          <w:color w:val="231F20"/>
          <w:w w:val="105"/>
        </w:rPr>
        <w:t>tres</w:t>
      </w:r>
      <w:r>
        <w:rPr>
          <w:color w:val="231F20"/>
          <w:spacing w:val="-17"/>
          <w:w w:val="105"/>
        </w:rPr>
        <w:t> </w:t>
      </w:r>
      <w:r>
        <w:rPr>
          <w:color w:val="231F20"/>
          <w:w w:val="105"/>
        </w:rPr>
        <w:t>estados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región</w:t>
      </w:r>
      <w:r>
        <w:rPr>
          <w:color w:val="231F20"/>
          <w:spacing w:val="-17"/>
          <w:w w:val="105"/>
        </w:rPr>
        <w:t> </w:t>
      </w:r>
      <w:r>
        <w:rPr>
          <w:color w:val="231F20"/>
          <w:w w:val="105"/>
        </w:rPr>
        <w:t>histórica:</w:t>
      </w:r>
      <w:r>
        <w:rPr>
          <w:color w:val="231F20"/>
          <w:spacing w:val="-17"/>
          <w:w w:val="105"/>
        </w:rPr>
        <w:t> </w:t>
      </w:r>
      <w:r>
        <w:rPr>
          <w:color w:val="231F20"/>
          <w:w w:val="105"/>
        </w:rPr>
        <w:t>Guanajuato,</w:t>
      </w:r>
      <w:r>
        <w:rPr>
          <w:color w:val="231F20"/>
          <w:spacing w:val="-24"/>
          <w:w w:val="105"/>
        </w:rPr>
        <w:t> </w:t>
      </w:r>
      <w:r>
        <w:rPr>
          <w:color w:val="231F20"/>
          <w:w w:val="105"/>
        </w:rPr>
        <w:t>Jalis- co</w:t>
      </w:r>
      <w:r>
        <w:rPr>
          <w:color w:val="231F20"/>
          <w:spacing w:val="-26"/>
          <w:w w:val="105"/>
        </w:rPr>
        <w:t> </w:t>
      </w:r>
      <w:r>
        <w:rPr>
          <w:color w:val="231F20"/>
          <w:w w:val="105"/>
        </w:rPr>
        <w:t>y</w:t>
      </w:r>
      <w:r>
        <w:rPr>
          <w:color w:val="231F20"/>
          <w:spacing w:val="-26"/>
          <w:w w:val="105"/>
        </w:rPr>
        <w:t> </w:t>
      </w:r>
      <w:r>
        <w:rPr>
          <w:color w:val="231F20"/>
          <w:w w:val="105"/>
        </w:rPr>
        <w:t>Michoacán</w:t>
      </w:r>
      <w:r>
        <w:rPr>
          <w:color w:val="231F20"/>
          <w:spacing w:val="-26"/>
          <w:w w:val="105"/>
        </w:rPr>
        <w:t> </w:t>
      </w:r>
      <w:r>
        <w:rPr>
          <w:color w:val="231F20"/>
          <w:w w:val="105"/>
        </w:rPr>
        <w:t>(Arias,</w:t>
      </w:r>
      <w:r>
        <w:rPr>
          <w:color w:val="231F20"/>
          <w:spacing w:val="-30"/>
          <w:w w:val="105"/>
        </w:rPr>
        <w:t> </w:t>
      </w:r>
      <w:r>
        <w:rPr>
          <w:color w:val="231F20"/>
          <w:w w:val="105"/>
        </w:rPr>
        <w:t>2009:</w:t>
      </w:r>
      <w:r>
        <w:rPr>
          <w:color w:val="231F20"/>
          <w:spacing w:val="-26"/>
          <w:w w:val="105"/>
        </w:rPr>
        <w:t> </w:t>
      </w:r>
      <w:r>
        <w:rPr>
          <w:color w:val="231F20"/>
          <w:w w:val="105"/>
        </w:rPr>
        <w:t>120).</w:t>
      </w:r>
    </w:p>
    <w:p>
      <w:pPr>
        <w:pStyle w:val="BodyText"/>
        <w:spacing w:line="261" w:lineRule="auto" w:before="1"/>
        <w:ind w:left="1837" w:right="1715" w:firstLine="567"/>
        <w:jc w:val="both"/>
      </w:pPr>
      <w:r>
        <w:rPr>
          <w:color w:val="231F20"/>
          <w:w w:val="105"/>
        </w:rPr>
        <w:t>No</w:t>
      </w:r>
      <w:r>
        <w:rPr>
          <w:color w:val="231F20"/>
          <w:spacing w:val="-11"/>
          <w:w w:val="105"/>
        </w:rPr>
        <w:t> </w:t>
      </w:r>
      <w:r>
        <w:rPr>
          <w:color w:val="231F20"/>
          <w:w w:val="105"/>
        </w:rPr>
        <w:t>obstante,</w:t>
      </w:r>
      <w:r>
        <w:rPr>
          <w:color w:val="231F20"/>
          <w:spacing w:val="-16"/>
          <w:w w:val="105"/>
        </w:rPr>
        <w:t> </w:t>
      </w:r>
      <w:r>
        <w:rPr>
          <w:color w:val="231F20"/>
          <w:w w:val="105"/>
        </w:rPr>
        <w:t>después</w:t>
      </w:r>
      <w:r>
        <w:rPr>
          <w:color w:val="231F20"/>
          <w:spacing w:val="-11"/>
          <w:w w:val="105"/>
        </w:rPr>
        <w:t> </w:t>
      </w:r>
      <w:r>
        <w:rPr>
          <w:color w:val="231F20"/>
          <w:w w:val="105"/>
        </w:rPr>
        <w:t>de</w:t>
      </w:r>
      <w:r>
        <w:rPr>
          <w:color w:val="231F20"/>
          <w:spacing w:val="-11"/>
          <w:w w:val="105"/>
        </w:rPr>
        <w:t> </w:t>
      </w:r>
      <w:r>
        <w:rPr>
          <w:color w:val="231F20"/>
          <w:w w:val="105"/>
        </w:rPr>
        <w:t>22</w:t>
      </w:r>
      <w:r>
        <w:rPr>
          <w:color w:val="231F20"/>
          <w:spacing w:val="-11"/>
          <w:w w:val="105"/>
        </w:rPr>
        <w:t> </w:t>
      </w:r>
      <w:r>
        <w:rPr>
          <w:color w:val="231F20"/>
          <w:w w:val="105"/>
        </w:rPr>
        <w:t>años</w:t>
      </w:r>
      <w:r>
        <w:rPr>
          <w:color w:val="231F20"/>
          <w:spacing w:val="-11"/>
          <w:w w:val="105"/>
        </w:rPr>
        <w:t> </w:t>
      </w:r>
      <w:r>
        <w:rPr>
          <w:color w:val="231F20"/>
          <w:w w:val="105"/>
        </w:rPr>
        <w:t>de</w:t>
      </w:r>
      <w:r>
        <w:rPr>
          <w:color w:val="231F20"/>
          <w:spacing w:val="-11"/>
          <w:w w:val="105"/>
        </w:rPr>
        <w:t> </w:t>
      </w:r>
      <w:r>
        <w:rPr>
          <w:color w:val="231F20"/>
          <w:w w:val="105"/>
        </w:rPr>
        <w:t>historia</w:t>
      </w:r>
      <w:r>
        <w:rPr>
          <w:color w:val="231F20"/>
          <w:spacing w:val="-11"/>
          <w:w w:val="105"/>
        </w:rPr>
        <w:t> </w:t>
      </w:r>
      <w:r>
        <w:rPr>
          <w:color w:val="231F20"/>
          <w:w w:val="105"/>
        </w:rPr>
        <w:t>durante</w:t>
      </w:r>
      <w:r>
        <w:rPr>
          <w:color w:val="231F20"/>
          <w:spacing w:val="-11"/>
          <w:w w:val="105"/>
        </w:rPr>
        <w:t> </w:t>
      </w:r>
      <w:r>
        <w:rPr>
          <w:color w:val="231F20"/>
          <w:w w:val="105"/>
        </w:rPr>
        <w:t>la</w:t>
      </w:r>
      <w:r>
        <w:rPr>
          <w:color w:val="231F20"/>
          <w:spacing w:val="-11"/>
          <w:w w:val="105"/>
        </w:rPr>
        <w:t> </w:t>
      </w:r>
      <w:r>
        <w:rPr>
          <w:color w:val="231F20"/>
          <w:w w:val="105"/>
        </w:rPr>
        <w:t>que</w:t>
      </w:r>
      <w:r>
        <w:rPr>
          <w:color w:val="231F20"/>
          <w:spacing w:val="-11"/>
          <w:w w:val="105"/>
        </w:rPr>
        <w:t> </w:t>
      </w:r>
      <w:r>
        <w:rPr>
          <w:color w:val="231F20"/>
          <w:w w:val="105"/>
        </w:rPr>
        <w:t>entra- ron</w:t>
      </w:r>
      <w:r>
        <w:rPr>
          <w:color w:val="231F20"/>
          <w:spacing w:val="-5"/>
          <w:w w:val="105"/>
        </w:rPr>
        <w:t> </w:t>
      </w:r>
      <w:r>
        <w:rPr>
          <w:color w:val="231F20"/>
          <w:w w:val="105"/>
        </w:rPr>
        <w:t>a</w:t>
      </w:r>
      <w:r>
        <w:rPr>
          <w:color w:val="231F20"/>
          <w:spacing w:val="-5"/>
          <w:w w:val="105"/>
        </w:rPr>
        <w:t> </w:t>
      </w:r>
      <w:r>
        <w:rPr>
          <w:color w:val="231F20"/>
          <w:w w:val="105"/>
        </w:rPr>
        <w:t>Estados</w:t>
      </w:r>
      <w:r>
        <w:rPr>
          <w:color w:val="231F20"/>
          <w:spacing w:val="-5"/>
          <w:w w:val="105"/>
        </w:rPr>
        <w:t> </w:t>
      </w:r>
      <w:r>
        <w:rPr>
          <w:color w:val="231F20"/>
          <w:w w:val="105"/>
        </w:rPr>
        <w:t>Unidos</w:t>
      </w:r>
      <w:r>
        <w:rPr>
          <w:color w:val="231F20"/>
          <w:spacing w:val="-5"/>
          <w:w w:val="105"/>
        </w:rPr>
        <w:t> </w:t>
      </w:r>
      <w:r>
        <w:rPr>
          <w:color w:val="231F20"/>
          <w:w w:val="105"/>
        </w:rPr>
        <w:t>entre</w:t>
      </w:r>
      <w:r>
        <w:rPr>
          <w:color w:val="231F20"/>
          <w:spacing w:val="-5"/>
          <w:w w:val="105"/>
        </w:rPr>
        <w:t> </w:t>
      </w:r>
      <w:r>
        <w:rPr>
          <w:color w:val="231F20"/>
          <w:w w:val="105"/>
        </w:rPr>
        <w:t>4.5</w:t>
      </w:r>
      <w:r>
        <w:rPr>
          <w:color w:val="231F20"/>
          <w:spacing w:val="-5"/>
          <w:w w:val="105"/>
        </w:rPr>
        <w:t> </w:t>
      </w:r>
      <w:r>
        <w:rPr>
          <w:color w:val="231F20"/>
          <w:w w:val="105"/>
        </w:rPr>
        <w:t>y</w:t>
      </w:r>
      <w:r>
        <w:rPr>
          <w:color w:val="231F20"/>
          <w:spacing w:val="-5"/>
          <w:w w:val="105"/>
        </w:rPr>
        <w:t> </w:t>
      </w:r>
      <w:r>
        <w:rPr>
          <w:color w:val="231F20"/>
          <w:w w:val="105"/>
        </w:rPr>
        <w:t>5</w:t>
      </w:r>
      <w:r>
        <w:rPr>
          <w:color w:val="231F20"/>
          <w:spacing w:val="-5"/>
          <w:w w:val="105"/>
        </w:rPr>
        <w:t> </w:t>
      </w:r>
      <w:r>
        <w:rPr>
          <w:color w:val="231F20"/>
          <w:w w:val="105"/>
        </w:rPr>
        <w:t>millones</w:t>
      </w:r>
      <w:r>
        <w:rPr>
          <w:color w:val="231F20"/>
          <w:spacing w:val="-5"/>
          <w:w w:val="105"/>
        </w:rPr>
        <w:t> </w:t>
      </w:r>
      <w:r>
        <w:rPr>
          <w:color w:val="231F20"/>
          <w:w w:val="105"/>
        </w:rPr>
        <w:t>de</w:t>
      </w:r>
      <w:r>
        <w:rPr>
          <w:color w:val="231F20"/>
          <w:spacing w:val="-5"/>
          <w:w w:val="105"/>
        </w:rPr>
        <w:t> </w:t>
      </w:r>
      <w:r>
        <w:rPr>
          <w:color w:val="231F20"/>
          <w:w w:val="105"/>
        </w:rPr>
        <w:t>mexicanos,</w:t>
      </w:r>
      <w:r>
        <w:rPr>
          <w:color w:val="231F20"/>
          <w:spacing w:val="-10"/>
          <w:w w:val="105"/>
        </w:rPr>
        <w:t> </w:t>
      </w:r>
      <w:r>
        <w:rPr>
          <w:color w:val="231F20"/>
          <w:w w:val="105"/>
        </w:rPr>
        <w:t>el</w:t>
      </w:r>
      <w:r>
        <w:rPr>
          <w:color w:val="231F20"/>
          <w:spacing w:val="-5"/>
          <w:w w:val="105"/>
        </w:rPr>
        <w:t> </w:t>
      </w:r>
      <w:r>
        <w:rPr>
          <w:color w:val="231F20"/>
          <w:spacing w:val="-3"/>
          <w:w w:val="105"/>
        </w:rPr>
        <w:t>Programa </w:t>
      </w:r>
      <w:r>
        <w:rPr>
          <w:color w:val="231F20"/>
          <w:w w:val="105"/>
        </w:rPr>
        <w:t>Bracero</w:t>
      </w:r>
      <w:r>
        <w:rPr>
          <w:color w:val="231F20"/>
          <w:spacing w:val="-19"/>
          <w:w w:val="105"/>
        </w:rPr>
        <w:t> </w:t>
      </w:r>
      <w:r>
        <w:rPr>
          <w:color w:val="231F20"/>
          <w:w w:val="105"/>
        </w:rPr>
        <w:t>empezó</w:t>
      </w:r>
      <w:r>
        <w:rPr>
          <w:color w:val="231F20"/>
          <w:spacing w:val="-19"/>
          <w:w w:val="105"/>
        </w:rPr>
        <w:t> </w:t>
      </w:r>
      <w:r>
        <w:rPr>
          <w:color w:val="231F20"/>
          <w:w w:val="105"/>
        </w:rPr>
        <w:t>a</w:t>
      </w:r>
      <w:r>
        <w:rPr>
          <w:color w:val="231F20"/>
          <w:spacing w:val="-19"/>
          <w:w w:val="105"/>
        </w:rPr>
        <w:t> </w:t>
      </w:r>
      <w:r>
        <w:rPr>
          <w:color w:val="231F20"/>
          <w:w w:val="105"/>
        </w:rPr>
        <w:t>calificarse</w:t>
      </w:r>
      <w:r>
        <w:rPr>
          <w:color w:val="231F20"/>
          <w:spacing w:val="-19"/>
          <w:w w:val="105"/>
        </w:rPr>
        <w:t> </w:t>
      </w:r>
      <w:r>
        <w:rPr>
          <w:color w:val="231F20"/>
          <w:w w:val="105"/>
        </w:rPr>
        <w:t>como</w:t>
      </w:r>
      <w:r>
        <w:rPr>
          <w:color w:val="231F20"/>
          <w:spacing w:val="-19"/>
          <w:w w:val="105"/>
        </w:rPr>
        <w:t> </w:t>
      </w:r>
      <w:r>
        <w:rPr>
          <w:color w:val="231F20"/>
          <w:w w:val="105"/>
        </w:rPr>
        <w:t>un</w:t>
      </w:r>
      <w:r>
        <w:rPr>
          <w:color w:val="231F20"/>
          <w:spacing w:val="-19"/>
          <w:w w:val="105"/>
        </w:rPr>
        <w:t> </w:t>
      </w:r>
      <w:r>
        <w:rPr>
          <w:color w:val="231F20"/>
          <w:w w:val="105"/>
        </w:rPr>
        <w:t>sistema</w:t>
      </w:r>
      <w:r>
        <w:rPr>
          <w:color w:val="231F20"/>
          <w:spacing w:val="-19"/>
          <w:w w:val="105"/>
        </w:rPr>
        <w:t> </w:t>
      </w:r>
      <w:r>
        <w:rPr>
          <w:color w:val="231F20"/>
          <w:w w:val="105"/>
        </w:rPr>
        <w:t>de</w:t>
      </w:r>
      <w:r>
        <w:rPr>
          <w:color w:val="231F20"/>
          <w:spacing w:val="-19"/>
          <w:w w:val="105"/>
        </w:rPr>
        <w:t> </w:t>
      </w:r>
      <w:r>
        <w:rPr>
          <w:color w:val="231F20"/>
          <w:w w:val="105"/>
        </w:rPr>
        <w:t>explotación,</w:t>
      </w:r>
      <w:r>
        <w:rPr>
          <w:color w:val="231F20"/>
          <w:spacing w:val="-23"/>
          <w:w w:val="105"/>
        </w:rPr>
        <w:t> </w:t>
      </w:r>
      <w:r>
        <w:rPr>
          <w:color w:val="231F20"/>
          <w:w w:val="105"/>
        </w:rPr>
        <w:t>dadas</w:t>
      </w:r>
      <w:r>
        <w:rPr>
          <w:color w:val="231F20"/>
          <w:spacing w:val="-19"/>
          <w:w w:val="105"/>
        </w:rPr>
        <w:t> </w:t>
      </w:r>
      <w:r>
        <w:rPr>
          <w:color w:val="231F20"/>
          <w:w w:val="105"/>
        </w:rPr>
        <w:t>las condiciones</w:t>
      </w:r>
      <w:r>
        <w:rPr>
          <w:color w:val="231F20"/>
          <w:spacing w:val="-23"/>
          <w:w w:val="105"/>
        </w:rPr>
        <w:t> </w:t>
      </w:r>
      <w:r>
        <w:rPr>
          <w:color w:val="231F20"/>
          <w:w w:val="105"/>
        </w:rPr>
        <w:t>de</w:t>
      </w:r>
      <w:r>
        <w:rPr>
          <w:color w:val="231F20"/>
          <w:spacing w:val="-23"/>
          <w:w w:val="105"/>
        </w:rPr>
        <w:t> </w:t>
      </w:r>
      <w:r>
        <w:rPr>
          <w:color w:val="231F20"/>
          <w:w w:val="105"/>
        </w:rPr>
        <w:t>trabajo</w:t>
      </w:r>
      <w:r>
        <w:rPr>
          <w:color w:val="231F20"/>
          <w:spacing w:val="-23"/>
          <w:w w:val="105"/>
        </w:rPr>
        <w:t> </w:t>
      </w:r>
      <w:r>
        <w:rPr>
          <w:color w:val="231F20"/>
          <w:w w:val="105"/>
        </w:rPr>
        <w:t>poco</w:t>
      </w:r>
      <w:r>
        <w:rPr>
          <w:color w:val="231F20"/>
          <w:spacing w:val="-23"/>
          <w:w w:val="105"/>
        </w:rPr>
        <w:t> </w:t>
      </w:r>
      <w:r>
        <w:rPr>
          <w:color w:val="231F20"/>
          <w:w w:val="105"/>
        </w:rPr>
        <w:t>favorables</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que</w:t>
      </w:r>
      <w:r>
        <w:rPr>
          <w:color w:val="231F20"/>
          <w:spacing w:val="-23"/>
          <w:w w:val="105"/>
        </w:rPr>
        <w:t> </w:t>
      </w:r>
      <w:r>
        <w:rPr>
          <w:color w:val="231F20"/>
          <w:w w:val="105"/>
        </w:rPr>
        <w:t>vivían</w:t>
      </w:r>
      <w:r>
        <w:rPr>
          <w:color w:val="231F20"/>
          <w:spacing w:val="-23"/>
          <w:w w:val="105"/>
        </w:rPr>
        <w:t> </w:t>
      </w:r>
      <w:r>
        <w:rPr>
          <w:color w:val="231F20"/>
          <w:w w:val="105"/>
        </w:rPr>
        <w:t>los</w:t>
      </w:r>
      <w:r>
        <w:rPr>
          <w:color w:val="231F20"/>
          <w:spacing w:val="-23"/>
          <w:w w:val="105"/>
        </w:rPr>
        <w:t> </w:t>
      </w:r>
      <w:r>
        <w:rPr>
          <w:color w:val="231F20"/>
          <w:w w:val="105"/>
        </w:rPr>
        <w:t>trabajadores en</w:t>
      </w:r>
      <w:r>
        <w:rPr>
          <w:color w:val="231F20"/>
          <w:spacing w:val="-10"/>
          <w:w w:val="105"/>
        </w:rPr>
        <w:t> </w:t>
      </w:r>
      <w:r>
        <w:rPr>
          <w:color w:val="231F20"/>
          <w:w w:val="105"/>
        </w:rPr>
        <w:t>el</w:t>
      </w:r>
      <w:r>
        <w:rPr>
          <w:color w:val="231F20"/>
          <w:spacing w:val="-10"/>
          <w:w w:val="105"/>
        </w:rPr>
        <w:t> </w:t>
      </w:r>
      <w:r>
        <w:rPr>
          <w:color w:val="231F20"/>
          <w:w w:val="105"/>
        </w:rPr>
        <w:t>campo.</w:t>
      </w:r>
      <w:r>
        <w:rPr>
          <w:color w:val="231F20"/>
          <w:spacing w:val="-19"/>
          <w:w w:val="105"/>
        </w:rPr>
        <w:t> </w:t>
      </w:r>
      <w:r>
        <w:rPr>
          <w:color w:val="231F20"/>
          <w:w w:val="105"/>
        </w:rPr>
        <w:t>A</w:t>
      </w:r>
      <w:r>
        <w:rPr>
          <w:color w:val="231F20"/>
          <w:spacing w:val="-13"/>
          <w:w w:val="105"/>
        </w:rPr>
        <w:t> </w:t>
      </w:r>
      <w:r>
        <w:rPr>
          <w:color w:val="231F20"/>
          <w:w w:val="105"/>
        </w:rPr>
        <w:t>partir</w:t>
      </w:r>
      <w:r>
        <w:rPr>
          <w:color w:val="231F20"/>
          <w:spacing w:val="-10"/>
          <w:w w:val="105"/>
        </w:rPr>
        <w:t> </w:t>
      </w:r>
      <w:r>
        <w:rPr>
          <w:color w:val="231F20"/>
          <w:w w:val="105"/>
        </w:rPr>
        <w:t>de</w:t>
      </w:r>
      <w:r>
        <w:rPr>
          <w:color w:val="231F20"/>
          <w:spacing w:val="-10"/>
          <w:w w:val="105"/>
        </w:rPr>
        <w:t> </w:t>
      </w:r>
      <w:r>
        <w:rPr>
          <w:color w:val="231F20"/>
          <w:w w:val="105"/>
        </w:rPr>
        <w:t>1960</w:t>
      </w:r>
      <w:r>
        <w:rPr>
          <w:color w:val="231F20"/>
          <w:spacing w:val="-10"/>
          <w:w w:val="105"/>
        </w:rPr>
        <w:t> </w:t>
      </w:r>
      <w:r>
        <w:rPr>
          <w:color w:val="231F20"/>
          <w:w w:val="105"/>
        </w:rPr>
        <w:t>las</w:t>
      </w:r>
      <w:r>
        <w:rPr>
          <w:color w:val="231F20"/>
          <w:spacing w:val="-10"/>
          <w:w w:val="105"/>
        </w:rPr>
        <w:t> </w:t>
      </w:r>
      <w:r>
        <w:rPr>
          <w:color w:val="231F20"/>
          <w:w w:val="105"/>
        </w:rPr>
        <w:t>visas</w:t>
      </w:r>
      <w:r>
        <w:rPr>
          <w:color w:val="231F20"/>
          <w:spacing w:val="-10"/>
          <w:w w:val="105"/>
        </w:rPr>
        <w:t> </w:t>
      </w:r>
      <w:r>
        <w:rPr>
          <w:color w:val="231F20"/>
          <w:w w:val="105"/>
        </w:rPr>
        <w:t>para</w:t>
      </w:r>
      <w:r>
        <w:rPr>
          <w:color w:val="231F20"/>
          <w:spacing w:val="-10"/>
          <w:w w:val="105"/>
        </w:rPr>
        <w:t> </w:t>
      </w:r>
      <w:r>
        <w:rPr>
          <w:color w:val="231F20"/>
          <w:w w:val="105"/>
        </w:rPr>
        <w:t>braceros</w:t>
      </w:r>
      <w:r>
        <w:rPr>
          <w:color w:val="231F20"/>
          <w:spacing w:val="-10"/>
          <w:w w:val="105"/>
        </w:rPr>
        <w:t> </w:t>
      </w:r>
      <w:r>
        <w:rPr>
          <w:color w:val="231F20"/>
          <w:w w:val="105"/>
        </w:rPr>
        <w:t>habían</w:t>
      </w:r>
      <w:r>
        <w:rPr>
          <w:color w:val="231F20"/>
          <w:spacing w:val="-10"/>
          <w:w w:val="105"/>
        </w:rPr>
        <w:t> </w:t>
      </w:r>
      <w:r>
        <w:rPr>
          <w:color w:val="231F20"/>
          <w:w w:val="105"/>
        </w:rPr>
        <w:t>disminuido (de</w:t>
      </w:r>
      <w:r>
        <w:rPr>
          <w:color w:val="231F20"/>
          <w:spacing w:val="-10"/>
          <w:w w:val="105"/>
        </w:rPr>
        <w:t> </w:t>
      </w:r>
      <w:r>
        <w:rPr>
          <w:color w:val="231F20"/>
          <w:w w:val="105"/>
        </w:rPr>
        <w:t>438</w:t>
      </w:r>
      <w:r>
        <w:rPr>
          <w:color w:val="231F20"/>
          <w:spacing w:val="-10"/>
          <w:w w:val="105"/>
        </w:rPr>
        <w:t> </w:t>
      </w:r>
      <w:r>
        <w:rPr>
          <w:color w:val="231F20"/>
          <w:w w:val="105"/>
        </w:rPr>
        <w:t>mil</w:t>
      </w:r>
      <w:r>
        <w:rPr>
          <w:color w:val="231F20"/>
          <w:spacing w:val="-10"/>
          <w:w w:val="105"/>
        </w:rPr>
        <w:t> </w:t>
      </w:r>
      <w:r>
        <w:rPr>
          <w:color w:val="231F20"/>
          <w:w w:val="105"/>
        </w:rPr>
        <w:t>en</w:t>
      </w:r>
      <w:r>
        <w:rPr>
          <w:color w:val="231F20"/>
          <w:spacing w:val="-10"/>
          <w:w w:val="105"/>
        </w:rPr>
        <w:t> </w:t>
      </w:r>
      <w:r>
        <w:rPr>
          <w:color w:val="231F20"/>
          <w:w w:val="105"/>
        </w:rPr>
        <w:t>1959</w:t>
      </w:r>
      <w:r>
        <w:rPr>
          <w:color w:val="231F20"/>
          <w:spacing w:val="-10"/>
          <w:w w:val="105"/>
        </w:rPr>
        <w:t> </w:t>
      </w:r>
      <w:r>
        <w:rPr>
          <w:color w:val="231F20"/>
          <w:w w:val="105"/>
        </w:rPr>
        <w:t>a</w:t>
      </w:r>
      <w:r>
        <w:rPr>
          <w:color w:val="231F20"/>
          <w:spacing w:val="-10"/>
          <w:w w:val="105"/>
        </w:rPr>
        <w:t> </w:t>
      </w:r>
      <w:r>
        <w:rPr>
          <w:color w:val="231F20"/>
          <w:w w:val="105"/>
        </w:rPr>
        <w:t>178</w:t>
      </w:r>
      <w:r>
        <w:rPr>
          <w:color w:val="231F20"/>
          <w:spacing w:val="-10"/>
          <w:w w:val="105"/>
        </w:rPr>
        <w:t> </w:t>
      </w:r>
      <w:r>
        <w:rPr>
          <w:color w:val="231F20"/>
          <w:w w:val="105"/>
        </w:rPr>
        <w:t>mil</w:t>
      </w:r>
      <w:r>
        <w:rPr>
          <w:color w:val="231F20"/>
          <w:spacing w:val="-10"/>
          <w:w w:val="105"/>
        </w:rPr>
        <w:t> </w:t>
      </w:r>
      <w:r>
        <w:rPr>
          <w:color w:val="231F20"/>
          <w:w w:val="105"/>
        </w:rPr>
        <w:t>en</w:t>
      </w:r>
      <w:r>
        <w:rPr>
          <w:color w:val="231F20"/>
          <w:spacing w:val="-10"/>
          <w:w w:val="105"/>
        </w:rPr>
        <w:t> </w:t>
      </w:r>
      <w:r>
        <w:rPr>
          <w:color w:val="231F20"/>
          <w:w w:val="105"/>
        </w:rPr>
        <w:t>1964)</w:t>
      </w:r>
      <w:r>
        <w:rPr>
          <w:color w:val="231F20"/>
          <w:spacing w:val="-10"/>
          <w:w w:val="105"/>
        </w:rPr>
        <w:t> </w:t>
      </w:r>
      <w:r>
        <w:rPr>
          <w:color w:val="231F20"/>
          <w:w w:val="105"/>
        </w:rPr>
        <w:t>y</w:t>
      </w:r>
      <w:r>
        <w:rPr>
          <w:color w:val="231F20"/>
          <w:spacing w:val="-10"/>
          <w:w w:val="105"/>
        </w:rPr>
        <w:t> </w:t>
      </w:r>
      <w:r>
        <w:rPr>
          <w:color w:val="231F20"/>
          <w:w w:val="105"/>
        </w:rPr>
        <w:t>en</w:t>
      </w:r>
      <w:r>
        <w:rPr>
          <w:color w:val="231F20"/>
          <w:spacing w:val="-10"/>
          <w:w w:val="105"/>
        </w:rPr>
        <w:t> </w:t>
      </w:r>
      <w:r>
        <w:rPr>
          <w:color w:val="231F20"/>
          <w:w w:val="105"/>
        </w:rPr>
        <w:t>1965</w:t>
      </w:r>
      <w:r>
        <w:rPr>
          <w:color w:val="231F20"/>
          <w:spacing w:val="-10"/>
          <w:w w:val="105"/>
        </w:rPr>
        <w:t> </w:t>
      </w:r>
      <w:r>
        <w:rPr>
          <w:color w:val="231F20"/>
          <w:w w:val="105"/>
        </w:rPr>
        <w:t>inició</w:t>
      </w:r>
      <w:r>
        <w:rPr>
          <w:color w:val="231F20"/>
          <w:spacing w:val="-10"/>
          <w:w w:val="105"/>
        </w:rPr>
        <w:t> </w:t>
      </w:r>
      <w:r>
        <w:rPr>
          <w:color w:val="231F20"/>
          <w:w w:val="105"/>
        </w:rPr>
        <w:t>el</w:t>
      </w:r>
      <w:r>
        <w:rPr>
          <w:color w:val="231F20"/>
          <w:spacing w:val="-10"/>
          <w:w w:val="105"/>
        </w:rPr>
        <w:t> </w:t>
      </w:r>
      <w:r>
        <w:rPr>
          <w:color w:val="231F20"/>
          <w:w w:val="105"/>
        </w:rPr>
        <w:t>fin</w:t>
      </w:r>
      <w:r>
        <w:rPr>
          <w:color w:val="231F20"/>
          <w:spacing w:val="-10"/>
          <w:w w:val="105"/>
        </w:rPr>
        <w:t> </w:t>
      </w:r>
      <w:r>
        <w:rPr>
          <w:color w:val="231F20"/>
          <w:w w:val="105"/>
        </w:rPr>
        <w:t>del</w:t>
      </w:r>
      <w:r>
        <w:rPr>
          <w:color w:val="231F20"/>
          <w:spacing w:val="-10"/>
          <w:w w:val="105"/>
        </w:rPr>
        <w:t> </w:t>
      </w:r>
      <w:r>
        <w:rPr>
          <w:color w:val="231F20"/>
          <w:w w:val="105"/>
        </w:rPr>
        <w:t>periodo bracero,</w:t>
      </w:r>
      <w:r>
        <w:rPr>
          <w:color w:val="231F20"/>
          <w:spacing w:val="-25"/>
          <w:w w:val="105"/>
        </w:rPr>
        <w:t> </w:t>
      </w:r>
      <w:r>
        <w:rPr>
          <w:color w:val="231F20"/>
          <w:w w:val="105"/>
        </w:rPr>
        <w:t>debido</w:t>
      </w:r>
      <w:r>
        <w:rPr>
          <w:color w:val="231F20"/>
          <w:spacing w:val="-20"/>
          <w:w w:val="105"/>
        </w:rPr>
        <w:t> </w:t>
      </w:r>
      <w:r>
        <w:rPr>
          <w:color w:val="231F20"/>
          <w:w w:val="105"/>
        </w:rPr>
        <w:t>a</w:t>
      </w:r>
      <w:r>
        <w:rPr>
          <w:color w:val="231F20"/>
          <w:spacing w:val="-20"/>
          <w:w w:val="105"/>
        </w:rPr>
        <w:t> </w:t>
      </w:r>
      <w:r>
        <w:rPr>
          <w:color w:val="231F20"/>
          <w:w w:val="105"/>
        </w:rPr>
        <w:t>las</w:t>
      </w:r>
      <w:r>
        <w:rPr>
          <w:color w:val="231F20"/>
          <w:spacing w:val="-20"/>
          <w:w w:val="105"/>
        </w:rPr>
        <w:t> </w:t>
      </w:r>
      <w:r>
        <w:rPr>
          <w:color w:val="231F20"/>
          <w:w w:val="105"/>
        </w:rPr>
        <w:t>presiones</w:t>
      </w:r>
      <w:r>
        <w:rPr>
          <w:color w:val="231F20"/>
          <w:spacing w:val="-20"/>
          <w:w w:val="105"/>
        </w:rPr>
        <w:t> </w:t>
      </w:r>
      <w:r>
        <w:rPr>
          <w:color w:val="231F20"/>
          <w:w w:val="105"/>
        </w:rPr>
        <w:t>civiles</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sistema</w:t>
      </w:r>
      <w:r>
        <w:rPr>
          <w:color w:val="231F20"/>
          <w:spacing w:val="-20"/>
          <w:w w:val="105"/>
        </w:rPr>
        <w:t> </w:t>
      </w:r>
      <w:r>
        <w:rPr>
          <w:color w:val="231F20"/>
          <w:w w:val="105"/>
        </w:rPr>
        <w:t>de</w:t>
      </w:r>
      <w:r>
        <w:rPr>
          <w:color w:val="231F20"/>
          <w:spacing w:val="-20"/>
          <w:w w:val="105"/>
        </w:rPr>
        <w:t> </w:t>
      </w:r>
      <w:r>
        <w:rPr>
          <w:color w:val="231F20"/>
          <w:w w:val="105"/>
        </w:rPr>
        <w:t>corrupción</w:t>
      </w:r>
      <w:r>
        <w:rPr>
          <w:color w:val="231F20"/>
          <w:spacing w:val="-20"/>
          <w:w w:val="105"/>
        </w:rPr>
        <w:t> </w:t>
      </w:r>
      <w:r>
        <w:rPr>
          <w:color w:val="231F20"/>
          <w:w w:val="105"/>
        </w:rPr>
        <w:t>relacio- nado</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otorgamiento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contratos</w:t>
      </w:r>
      <w:r>
        <w:rPr>
          <w:color w:val="231F20"/>
          <w:spacing w:val="-9"/>
          <w:w w:val="105"/>
        </w:rPr>
        <w:t> </w:t>
      </w:r>
      <w:r>
        <w:rPr>
          <w:color w:val="231F20"/>
          <w:w w:val="105"/>
        </w:rPr>
        <w:t>de</w:t>
      </w:r>
      <w:r>
        <w:rPr>
          <w:color w:val="231F20"/>
          <w:spacing w:val="-9"/>
          <w:w w:val="105"/>
        </w:rPr>
        <w:t> </w:t>
      </w:r>
      <w:r>
        <w:rPr>
          <w:color w:val="231F20"/>
          <w:w w:val="105"/>
        </w:rPr>
        <w:t>trabajo,</w:t>
      </w:r>
      <w:r>
        <w:rPr>
          <w:color w:val="231F20"/>
          <w:spacing w:val="-15"/>
          <w:w w:val="105"/>
        </w:rPr>
        <w:t> </w:t>
      </w:r>
      <w:r>
        <w:rPr>
          <w:color w:val="231F20"/>
          <w:w w:val="105"/>
        </w:rPr>
        <w:t>que</w:t>
      </w:r>
      <w:r>
        <w:rPr>
          <w:color w:val="231F20"/>
          <w:spacing w:val="-9"/>
          <w:w w:val="105"/>
        </w:rPr>
        <w:t> </w:t>
      </w:r>
      <w:r>
        <w:rPr>
          <w:color w:val="231F20"/>
          <w:w w:val="105"/>
        </w:rPr>
        <w:t>hizo</w:t>
      </w:r>
      <w:r>
        <w:rPr>
          <w:color w:val="231F20"/>
          <w:spacing w:val="-9"/>
          <w:w w:val="105"/>
        </w:rPr>
        <w:t> </w:t>
      </w:r>
      <w:r>
        <w:rPr>
          <w:color w:val="231F20"/>
          <w:w w:val="105"/>
        </w:rPr>
        <w:t>más</w:t>
      </w:r>
      <w:r>
        <w:rPr>
          <w:color w:val="231F20"/>
          <w:spacing w:val="-9"/>
          <w:w w:val="105"/>
        </w:rPr>
        <w:t> </w:t>
      </w:r>
      <w:r>
        <w:rPr>
          <w:color w:val="231F20"/>
          <w:w w:val="105"/>
        </w:rPr>
        <w:t>fácil para</w:t>
      </w:r>
      <w:r>
        <w:rPr>
          <w:color w:val="231F20"/>
          <w:spacing w:val="-11"/>
          <w:w w:val="105"/>
        </w:rPr>
        <w:t> </w:t>
      </w:r>
      <w:r>
        <w:rPr>
          <w:color w:val="231F20"/>
          <w:w w:val="105"/>
        </w:rPr>
        <w:t>los</w:t>
      </w:r>
      <w:r>
        <w:rPr>
          <w:color w:val="231F20"/>
          <w:spacing w:val="-11"/>
          <w:w w:val="105"/>
        </w:rPr>
        <w:t> </w:t>
      </w:r>
      <w:r>
        <w:rPr>
          <w:color w:val="231F20"/>
          <w:w w:val="105"/>
        </w:rPr>
        <w:t>dueños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ranchos</w:t>
      </w:r>
      <w:r>
        <w:rPr>
          <w:color w:val="231F20"/>
          <w:spacing w:val="-11"/>
          <w:w w:val="105"/>
        </w:rPr>
        <w:t> </w:t>
      </w:r>
      <w:r>
        <w:rPr>
          <w:color w:val="231F20"/>
          <w:w w:val="105"/>
        </w:rPr>
        <w:t>contratar</w:t>
      </w:r>
      <w:r>
        <w:rPr>
          <w:color w:val="231F20"/>
          <w:spacing w:val="-11"/>
          <w:w w:val="105"/>
        </w:rPr>
        <w:t> </w:t>
      </w:r>
      <w:r>
        <w:rPr>
          <w:color w:val="231F20"/>
          <w:w w:val="105"/>
        </w:rPr>
        <w:t>trabajadores</w:t>
      </w:r>
      <w:r>
        <w:rPr>
          <w:color w:val="231F20"/>
          <w:spacing w:val="-11"/>
          <w:w w:val="105"/>
        </w:rPr>
        <w:t> </w:t>
      </w:r>
      <w:r>
        <w:rPr>
          <w:color w:val="231F20"/>
          <w:w w:val="105"/>
        </w:rPr>
        <w:t>indocumentados, en</w:t>
      </w:r>
      <w:r>
        <w:rPr>
          <w:color w:val="231F20"/>
          <w:spacing w:val="-8"/>
          <w:w w:val="105"/>
        </w:rPr>
        <w:t> </w:t>
      </w:r>
      <w:r>
        <w:rPr>
          <w:color w:val="231F20"/>
          <w:w w:val="105"/>
        </w:rPr>
        <w:t>lugar</w:t>
      </w:r>
      <w:r>
        <w:rPr>
          <w:color w:val="231F20"/>
          <w:spacing w:val="-8"/>
          <w:w w:val="105"/>
        </w:rPr>
        <w:t> </w:t>
      </w:r>
      <w:r>
        <w:rPr>
          <w:color w:val="231F20"/>
          <w:w w:val="105"/>
        </w:rPr>
        <w:t>de</w:t>
      </w:r>
      <w:r>
        <w:rPr>
          <w:color w:val="231F20"/>
          <w:spacing w:val="-8"/>
          <w:w w:val="105"/>
        </w:rPr>
        <w:t> </w:t>
      </w:r>
      <w:r>
        <w:rPr>
          <w:color w:val="231F20"/>
          <w:w w:val="105"/>
        </w:rPr>
        <w:t>someterse</w:t>
      </w:r>
      <w:r>
        <w:rPr>
          <w:color w:val="231F20"/>
          <w:spacing w:val="-8"/>
          <w:w w:val="105"/>
        </w:rPr>
        <w:t> </w:t>
      </w:r>
      <w:r>
        <w:rPr>
          <w:color w:val="231F20"/>
          <w:w w:val="105"/>
        </w:rPr>
        <w:t>a</w:t>
      </w:r>
      <w:r>
        <w:rPr>
          <w:color w:val="231F20"/>
          <w:spacing w:val="-8"/>
          <w:w w:val="105"/>
        </w:rPr>
        <w:t> </w:t>
      </w:r>
      <w:r>
        <w:rPr>
          <w:color w:val="231F20"/>
          <w:w w:val="105"/>
        </w:rPr>
        <w:t>procesos</w:t>
      </w:r>
      <w:r>
        <w:rPr>
          <w:color w:val="231F20"/>
          <w:spacing w:val="-8"/>
          <w:w w:val="105"/>
        </w:rPr>
        <w:t> </w:t>
      </w:r>
      <w:r>
        <w:rPr>
          <w:color w:val="231F20"/>
          <w:w w:val="105"/>
        </w:rPr>
        <w:t>burocráticos</w:t>
      </w:r>
      <w:r>
        <w:rPr>
          <w:color w:val="231F20"/>
          <w:spacing w:val="-8"/>
          <w:w w:val="105"/>
        </w:rPr>
        <w:t> </w:t>
      </w:r>
      <w:r>
        <w:rPr>
          <w:color w:val="231F20"/>
          <w:w w:val="105"/>
        </w:rPr>
        <w:t>costosos</w:t>
      </w:r>
      <w:r>
        <w:rPr>
          <w:color w:val="231F20"/>
          <w:spacing w:val="-8"/>
          <w:w w:val="105"/>
        </w:rPr>
        <w:t> </w:t>
      </w:r>
      <w:r>
        <w:rPr>
          <w:color w:val="231F20"/>
          <w:w w:val="105"/>
        </w:rPr>
        <w:t>(Massey</w:t>
      </w:r>
      <w:r>
        <w:rPr>
          <w:color w:val="231F20"/>
          <w:spacing w:val="-8"/>
          <w:w w:val="105"/>
        </w:rPr>
        <w:t> </w:t>
      </w:r>
      <w:r>
        <w:rPr>
          <w:rFonts w:ascii="Arial" w:hAnsi="Arial"/>
          <w:i/>
          <w:color w:val="231F20"/>
          <w:w w:val="105"/>
        </w:rPr>
        <w:t>et</w:t>
      </w:r>
      <w:r>
        <w:rPr>
          <w:rFonts w:ascii="Arial" w:hAnsi="Arial"/>
          <w:i/>
          <w:color w:val="231F20"/>
          <w:spacing w:val="-11"/>
          <w:w w:val="105"/>
        </w:rPr>
        <w:t> </w:t>
      </w:r>
      <w:r>
        <w:rPr>
          <w:rFonts w:ascii="Arial" w:hAnsi="Arial"/>
          <w:i/>
          <w:color w:val="231F20"/>
          <w:w w:val="105"/>
        </w:rPr>
        <w:t>al., </w:t>
      </w:r>
      <w:r>
        <w:rPr>
          <w:color w:val="231F20"/>
          <w:w w:val="105"/>
        </w:rPr>
        <w:t>2009a:</w:t>
      </w:r>
      <w:r>
        <w:rPr>
          <w:color w:val="231F20"/>
          <w:spacing w:val="-31"/>
          <w:w w:val="105"/>
        </w:rPr>
        <w:t> </w:t>
      </w:r>
      <w:r>
        <w:rPr>
          <w:color w:val="231F20"/>
          <w:w w:val="105"/>
        </w:rPr>
        <w:t>49;</w:t>
      </w:r>
      <w:r>
        <w:rPr>
          <w:color w:val="231F20"/>
          <w:spacing w:val="-31"/>
          <w:w w:val="105"/>
        </w:rPr>
        <w:t> </w:t>
      </w:r>
      <w:r>
        <w:rPr>
          <w:color w:val="231F20"/>
          <w:w w:val="105"/>
        </w:rPr>
        <w:t>Espenshade,</w:t>
      </w:r>
      <w:r>
        <w:rPr>
          <w:color w:val="231F20"/>
          <w:spacing w:val="-34"/>
          <w:w w:val="105"/>
        </w:rPr>
        <w:t> </w:t>
      </w:r>
      <w:r>
        <w:rPr>
          <w:color w:val="231F20"/>
          <w:w w:val="105"/>
        </w:rPr>
        <w:t>1995:</w:t>
      </w:r>
      <w:r>
        <w:rPr>
          <w:color w:val="231F20"/>
          <w:spacing w:val="-31"/>
          <w:w w:val="105"/>
        </w:rPr>
        <w:t> </w:t>
      </w:r>
      <w:r>
        <w:rPr>
          <w:color w:val="231F20"/>
          <w:w w:val="105"/>
        </w:rPr>
        <w:t>198).</w:t>
      </w:r>
    </w:p>
    <w:p>
      <w:pPr>
        <w:pStyle w:val="BodyText"/>
        <w:spacing w:line="261" w:lineRule="auto" w:before="1"/>
        <w:ind w:left="1837" w:right="1716" w:firstLine="567"/>
        <w:jc w:val="both"/>
      </w:pPr>
      <w:r>
        <w:rPr/>
        <w:pict>
          <v:line style="position:absolute;mso-position-horizontal-relative:page;mso-position-vertical-relative:paragraph;z-index:-474880" from="15pt,271.878601pt" to="0pt,271.878601pt" stroked="true" strokeweight=".25pt" strokecolor="#000000">
            <w10:wrap type="none"/>
          </v:line>
        </w:pict>
      </w:r>
      <w:r>
        <w:rPr/>
        <w:pict>
          <v:line style="position:absolute;mso-position-horizontal-relative:page;mso-position-vertical-relative:paragraph;z-index:15328" from="508.890015pt,271.878601pt" to="523.890015pt,271.878601pt" stroked="true" strokeweight=".25pt" strokecolor="#000000">
            <w10:wrap type="none"/>
          </v:line>
        </w:pict>
      </w:r>
      <w:r>
        <w:rPr>
          <w:color w:val="231F20"/>
          <w:w w:val="105"/>
        </w:rPr>
        <w:t>El cuarto periodo, conocido como la </w:t>
      </w:r>
      <w:r>
        <w:rPr>
          <w:color w:val="231F20"/>
          <w:spacing w:val="-3"/>
          <w:w w:val="105"/>
        </w:rPr>
        <w:t>“era </w:t>
      </w:r>
      <w:r>
        <w:rPr>
          <w:color w:val="231F20"/>
          <w:w w:val="105"/>
        </w:rPr>
        <w:t>de los indocumentados” (1965-1986),</w:t>
      </w:r>
      <w:r>
        <w:rPr>
          <w:color w:val="231F20"/>
          <w:spacing w:val="-14"/>
          <w:w w:val="105"/>
        </w:rPr>
        <w:t> </w:t>
      </w:r>
      <w:r>
        <w:rPr>
          <w:color w:val="231F20"/>
          <w:w w:val="105"/>
        </w:rPr>
        <w:t>inicia</w:t>
      </w:r>
      <w:r>
        <w:rPr>
          <w:color w:val="231F20"/>
          <w:spacing w:val="-9"/>
          <w:w w:val="105"/>
        </w:rPr>
        <w:t> </w:t>
      </w:r>
      <w:r>
        <w:rPr>
          <w:color w:val="231F20"/>
          <w:w w:val="105"/>
        </w:rPr>
        <w:t>cuando</w:t>
      </w:r>
      <w:r>
        <w:rPr>
          <w:color w:val="231F20"/>
          <w:spacing w:val="-9"/>
          <w:w w:val="105"/>
        </w:rPr>
        <w:t> </w:t>
      </w:r>
      <w:r>
        <w:rPr>
          <w:color w:val="231F20"/>
          <w:w w:val="105"/>
        </w:rPr>
        <w:t>Estados</w:t>
      </w:r>
      <w:r>
        <w:rPr>
          <w:color w:val="231F20"/>
          <w:spacing w:val="-9"/>
          <w:w w:val="105"/>
        </w:rPr>
        <w:t> </w:t>
      </w:r>
      <w:r>
        <w:rPr>
          <w:color w:val="231F20"/>
          <w:w w:val="105"/>
        </w:rPr>
        <w:t>Unidos</w:t>
      </w:r>
      <w:r>
        <w:rPr>
          <w:color w:val="231F20"/>
          <w:spacing w:val="-9"/>
          <w:w w:val="105"/>
        </w:rPr>
        <w:t> </w:t>
      </w:r>
      <w:r>
        <w:rPr>
          <w:color w:val="231F20"/>
          <w:w w:val="105"/>
        </w:rPr>
        <w:t>da</w:t>
      </w:r>
      <w:r>
        <w:rPr>
          <w:color w:val="231F20"/>
          <w:spacing w:val="-9"/>
          <w:w w:val="105"/>
        </w:rPr>
        <w:t> </w:t>
      </w:r>
      <w:r>
        <w:rPr>
          <w:color w:val="231F20"/>
          <w:w w:val="105"/>
        </w:rPr>
        <w:t>por</w:t>
      </w:r>
      <w:r>
        <w:rPr>
          <w:color w:val="231F20"/>
          <w:spacing w:val="-9"/>
          <w:w w:val="105"/>
        </w:rPr>
        <w:t> </w:t>
      </w:r>
      <w:r>
        <w:rPr>
          <w:color w:val="231F20"/>
          <w:w w:val="105"/>
        </w:rPr>
        <w:t>terminado</w:t>
      </w:r>
      <w:r>
        <w:rPr>
          <w:color w:val="231F20"/>
          <w:spacing w:val="-9"/>
          <w:w w:val="105"/>
        </w:rPr>
        <w:t> </w:t>
      </w:r>
      <w:r>
        <w:rPr>
          <w:color w:val="231F20"/>
          <w:w w:val="105"/>
        </w:rPr>
        <w:t>los</w:t>
      </w:r>
      <w:r>
        <w:rPr>
          <w:color w:val="231F20"/>
          <w:spacing w:val="-9"/>
          <w:w w:val="105"/>
        </w:rPr>
        <w:t> </w:t>
      </w:r>
      <w:r>
        <w:rPr>
          <w:color w:val="231F20"/>
          <w:w w:val="105"/>
        </w:rPr>
        <w:t>conve- nios</w:t>
      </w:r>
      <w:r>
        <w:rPr>
          <w:color w:val="231F20"/>
          <w:spacing w:val="-5"/>
          <w:w w:val="105"/>
        </w:rPr>
        <w:t> </w:t>
      </w:r>
      <w:r>
        <w:rPr>
          <w:color w:val="231F20"/>
          <w:w w:val="105"/>
        </w:rPr>
        <w:t>braceros</w:t>
      </w:r>
      <w:r>
        <w:rPr>
          <w:color w:val="231F20"/>
          <w:spacing w:val="-5"/>
          <w:w w:val="105"/>
        </w:rPr>
        <w:t> </w:t>
      </w:r>
      <w:r>
        <w:rPr>
          <w:color w:val="231F20"/>
          <w:w w:val="105"/>
        </w:rPr>
        <w:t>y</w:t>
      </w:r>
      <w:r>
        <w:rPr>
          <w:color w:val="231F20"/>
          <w:spacing w:val="-5"/>
          <w:w w:val="105"/>
        </w:rPr>
        <w:t> </w:t>
      </w:r>
      <w:r>
        <w:rPr>
          <w:color w:val="231F20"/>
          <w:w w:val="105"/>
        </w:rPr>
        <w:t>opta</w:t>
      </w:r>
      <w:r>
        <w:rPr>
          <w:color w:val="231F20"/>
          <w:spacing w:val="-5"/>
          <w:w w:val="105"/>
        </w:rPr>
        <w:t> </w:t>
      </w:r>
      <w:r>
        <w:rPr>
          <w:color w:val="231F20"/>
          <w:w w:val="105"/>
        </w:rPr>
        <w:t>por</w:t>
      </w:r>
      <w:r>
        <w:rPr>
          <w:color w:val="231F20"/>
          <w:spacing w:val="-5"/>
          <w:w w:val="105"/>
        </w:rPr>
        <w:t> </w:t>
      </w:r>
      <w:r>
        <w:rPr>
          <w:color w:val="231F20"/>
          <w:w w:val="105"/>
        </w:rPr>
        <w:t>controlar</w:t>
      </w:r>
      <w:r>
        <w:rPr>
          <w:color w:val="231F20"/>
          <w:spacing w:val="-5"/>
          <w:w w:val="105"/>
        </w:rPr>
        <w:t> </w:t>
      </w:r>
      <w:r>
        <w:rPr>
          <w:color w:val="231F20"/>
          <w:w w:val="105"/>
        </w:rPr>
        <w:t>el</w:t>
      </w:r>
      <w:r>
        <w:rPr>
          <w:color w:val="231F20"/>
          <w:spacing w:val="-5"/>
          <w:w w:val="105"/>
        </w:rPr>
        <w:t> </w:t>
      </w:r>
      <w:r>
        <w:rPr>
          <w:color w:val="231F20"/>
          <w:w w:val="105"/>
        </w:rPr>
        <w:t>flujo</w:t>
      </w:r>
      <w:r>
        <w:rPr>
          <w:color w:val="231F20"/>
          <w:spacing w:val="-5"/>
          <w:w w:val="105"/>
        </w:rPr>
        <w:t> </w:t>
      </w:r>
      <w:r>
        <w:rPr>
          <w:color w:val="231F20"/>
          <w:w w:val="105"/>
        </w:rPr>
        <w:t>migratorio</w:t>
      </w:r>
      <w:r>
        <w:rPr>
          <w:color w:val="231F20"/>
          <w:spacing w:val="-5"/>
          <w:w w:val="105"/>
        </w:rPr>
        <w:t> </w:t>
      </w:r>
      <w:r>
        <w:rPr>
          <w:color w:val="231F20"/>
          <w:w w:val="105"/>
        </w:rPr>
        <w:t>(Durand,</w:t>
      </w:r>
      <w:r>
        <w:rPr>
          <w:color w:val="231F20"/>
          <w:spacing w:val="-11"/>
          <w:w w:val="105"/>
        </w:rPr>
        <w:t> </w:t>
      </w:r>
      <w:r>
        <w:rPr>
          <w:color w:val="231F20"/>
          <w:w w:val="105"/>
        </w:rPr>
        <w:t>2000:</w:t>
      </w:r>
      <w:r>
        <w:rPr>
          <w:color w:val="231F20"/>
          <w:spacing w:val="-5"/>
          <w:w w:val="105"/>
        </w:rPr>
        <w:t> </w:t>
      </w:r>
      <w:r>
        <w:rPr>
          <w:color w:val="231F20"/>
          <w:w w:val="105"/>
        </w:rPr>
        <w:t>21). Si bien durante el periodo bracero la migración no documentada creció de</w:t>
      </w:r>
      <w:r>
        <w:rPr>
          <w:color w:val="231F20"/>
          <w:spacing w:val="-6"/>
          <w:w w:val="105"/>
        </w:rPr>
        <w:t> </w:t>
      </w:r>
      <w:r>
        <w:rPr>
          <w:color w:val="231F20"/>
          <w:w w:val="105"/>
        </w:rPr>
        <w:t>manera</w:t>
      </w:r>
      <w:r>
        <w:rPr>
          <w:color w:val="231F20"/>
          <w:spacing w:val="-6"/>
          <w:w w:val="105"/>
        </w:rPr>
        <w:t> </w:t>
      </w:r>
      <w:r>
        <w:rPr>
          <w:color w:val="231F20"/>
          <w:w w:val="105"/>
        </w:rPr>
        <w:t>acelerada</w:t>
      </w:r>
      <w:r>
        <w:rPr>
          <w:color w:val="231F20"/>
          <w:spacing w:val="-6"/>
          <w:w w:val="105"/>
        </w:rPr>
        <w:t> </w:t>
      </w:r>
      <w:r>
        <w:rPr>
          <w:color w:val="231F20"/>
          <w:w w:val="105"/>
        </w:rPr>
        <w:t>[23</w:t>
      </w:r>
      <w:r>
        <w:rPr>
          <w:color w:val="231F20"/>
          <w:spacing w:val="-6"/>
          <w:w w:val="105"/>
        </w:rPr>
        <w:t> </w:t>
      </w:r>
      <w:r>
        <w:rPr>
          <w:color w:val="231F20"/>
          <w:w w:val="105"/>
        </w:rPr>
        <w:t>mil</w:t>
      </w:r>
      <w:r>
        <w:rPr>
          <w:color w:val="231F20"/>
          <w:spacing w:val="-6"/>
          <w:w w:val="105"/>
        </w:rPr>
        <w:t> </w:t>
      </w:r>
      <w:r>
        <w:rPr>
          <w:color w:val="231F20"/>
          <w:w w:val="105"/>
        </w:rPr>
        <w:t>en</w:t>
      </w:r>
      <w:r>
        <w:rPr>
          <w:color w:val="231F20"/>
          <w:spacing w:val="-6"/>
          <w:w w:val="105"/>
        </w:rPr>
        <w:t> </w:t>
      </w:r>
      <w:r>
        <w:rPr>
          <w:color w:val="231F20"/>
          <w:w w:val="105"/>
        </w:rPr>
        <w:t>1959</w:t>
      </w:r>
      <w:r>
        <w:rPr>
          <w:color w:val="231F20"/>
          <w:spacing w:val="-6"/>
          <w:w w:val="105"/>
        </w:rPr>
        <w:t> </w:t>
      </w:r>
      <w:r>
        <w:rPr>
          <w:color w:val="231F20"/>
          <w:w w:val="105"/>
        </w:rPr>
        <w:t>y</w:t>
      </w:r>
      <w:r>
        <w:rPr>
          <w:color w:val="231F20"/>
          <w:spacing w:val="-6"/>
          <w:w w:val="105"/>
        </w:rPr>
        <w:t> </w:t>
      </w:r>
      <w:r>
        <w:rPr>
          <w:color w:val="231F20"/>
          <w:w w:val="105"/>
        </w:rPr>
        <w:t>55</w:t>
      </w:r>
      <w:r>
        <w:rPr>
          <w:color w:val="231F20"/>
          <w:spacing w:val="-6"/>
          <w:w w:val="105"/>
        </w:rPr>
        <w:t> </w:t>
      </w:r>
      <w:r>
        <w:rPr>
          <w:color w:val="231F20"/>
          <w:w w:val="105"/>
        </w:rPr>
        <w:t>mil</w:t>
      </w:r>
      <w:r>
        <w:rPr>
          <w:color w:val="231F20"/>
          <w:spacing w:val="-6"/>
          <w:w w:val="105"/>
        </w:rPr>
        <w:t> </w:t>
      </w:r>
      <w:r>
        <w:rPr>
          <w:color w:val="231F20"/>
          <w:w w:val="105"/>
        </w:rPr>
        <w:t>en</w:t>
      </w:r>
      <w:r>
        <w:rPr>
          <w:color w:val="231F20"/>
          <w:spacing w:val="-6"/>
          <w:w w:val="105"/>
        </w:rPr>
        <w:t> </w:t>
      </w:r>
      <w:r>
        <w:rPr>
          <w:color w:val="231F20"/>
          <w:w w:val="105"/>
        </w:rPr>
        <w:t>1963],</w:t>
      </w:r>
      <w:r>
        <w:rPr>
          <w:color w:val="231F20"/>
          <w:spacing w:val="-12"/>
          <w:w w:val="105"/>
        </w:rPr>
        <w:t> </w:t>
      </w:r>
      <w:r>
        <w:rPr>
          <w:color w:val="231F20"/>
          <w:w w:val="105"/>
        </w:rPr>
        <w:t>se</w:t>
      </w:r>
      <w:r>
        <w:rPr>
          <w:color w:val="231F20"/>
          <w:spacing w:val="-6"/>
          <w:w w:val="105"/>
        </w:rPr>
        <w:t> </w:t>
      </w:r>
      <w:r>
        <w:rPr>
          <w:color w:val="231F20"/>
          <w:w w:val="105"/>
        </w:rPr>
        <w:t>advierte</w:t>
      </w:r>
      <w:r>
        <w:rPr>
          <w:color w:val="231F20"/>
          <w:spacing w:val="-6"/>
          <w:w w:val="105"/>
        </w:rPr>
        <w:t> </w:t>
      </w:r>
      <w:r>
        <w:rPr>
          <w:color w:val="231F20"/>
          <w:w w:val="105"/>
        </w:rPr>
        <w:t>que este</w:t>
      </w:r>
      <w:r>
        <w:rPr>
          <w:color w:val="231F20"/>
          <w:spacing w:val="-6"/>
          <w:w w:val="105"/>
        </w:rPr>
        <w:t> </w:t>
      </w:r>
      <w:r>
        <w:rPr>
          <w:color w:val="231F20"/>
          <w:w w:val="105"/>
        </w:rPr>
        <w:t>programa</w:t>
      </w:r>
      <w:r>
        <w:rPr>
          <w:color w:val="231F20"/>
          <w:spacing w:val="-6"/>
          <w:w w:val="105"/>
        </w:rPr>
        <w:t> </w:t>
      </w:r>
      <w:r>
        <w:rPr>
          <w:color w:val="231F20"/>
          <w:w w:val="105"/>
        </w:rPr>
        <w:t>constituyó</w:t>
      </w:r>
      <w:r>
        <w:rPr>
          <w:color w:val="231F20"/>
          <w:spacing w:val="-6"/>
          <w:w w:val="105"/>
        </w:rPr>
        <w:t> </w:t>
      </w:r>
      <w:r>
        <w:rPr>
          <w:color w:val="231F20"/>
          <w:w w:val="105"/>
        </w:rPr>
        <w:t>una</w:t>
      </w:r>
      <w:r>
        <w:rPr>
          <w:color w:val="231F20"/>
          <w:spacing w:val="-6"/>
          <w:w w:val="105"/>
        </w:rPr>
        <w:t> </w:t>
      </w:r>
      <w:r>
        <w:rPr>
          <w:color w:val="231F20"/>
          <w:w w:val="105"/>
        </w:rPr>
        <w:t>plataforma</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procesos</w:t>
      </w:r>
      <w:r>
        <w:rPr>
          <w:color w:val="231F20"/>
          <w:spacing w:val="-6"/>
          <w:w w:val="105"/>
        </w:rPr>
        <w:t> </w:t>
      </w:r>
      <w:r>
        <w:rPr>
          <w:color w:val="231F20"/>
          <w:w w:val="105"/>
        </w:rPr>
        <w:t>de</w:t>
      </w:r>
      <w:r>
        <w:rPr>
          <w:color w:val="231F20"/>
          <w:spacing w:val="-6"/>
          <w:w w:val="105"/>
        </w:rPr>
        <w:t> </w:t>
      </w:r>
      <w:r>
        <w:rPr>
          <w:color w:val="231F20"/>
          <w:w w:val="105"/>
        </w:rPr>
        <w:t>masividad (Martin</w:t>
      </w:r>
      <w:r>
        <w:rPr>
          <w:color w:val="231F20"/>
          <w:spacing w:val="-21"/>
          <w:w w:val="105"/>
        </w:rPr>
        <w:t> </w:t>
      </w:r>
      <w:r>
        <w:rPr>
          <w:color w:val="231F20"/>
          <w:w w:val="105"/>
        </w:rPr>
        <w:t>y</w:t>
      </w:r>
      <w:r>
        <w:rPr>
          <w:color w:val="231F20"/>
          <w:spacing w:val="-25"/>
          <w:w w:val="105"/>
        </w:rPr>
        <w:t> </w:t>
      </w:r>
      <w:r>
        <w:rPr>
          <w:w w:val="105"/>
        </w:rPr>
        <w:t>Teitelbaum</w:t>
      </w:r>
      <w:r>
        <w:rPr>
          <w:color w:val="231F20"/>
          <w:w w:val="105"/>
        </w:rPr>
        <w:t>,</w:t>
      </w:r>
      <w:r>
        <w:rPr>
          <w:color w:val="231F20"/>
          <w:spacing w:val="-25"/>
          <w:w w:val="105"/>
        </w:rPr>
        <w:t> </w:t>
      </w:r>
      <w:r>
        <w:rPr>
          <w:color w:val="231F20"/>
          <w:w w:val="105"/>
        </w:rPr>
        <w:t>2001:</w:t>
      </w:r>
      <w:r>
        <w:rPr>
          <w:color w:val="231F20"/>
          <w:spacing w:val="-21"/>
          <w:w w:val="105"/>
        </w:rPr>
        <w:t> </w:t>
      </w:r>
      <w:r>
        <w:rPr>
          <w:color w:val="231F20"/>
          <w:w w:val="105"/>
        </w:rPr>
        <w:t>123),</w:t>
      </w:r>
      <w:r>
        <w:rPr>
          <w:color w:val="231F20"/>
          <w:spacing w:val="-25"/>
          <w:w w:val="105"/>
        </w:rPr>
        <w:t> </w:t>
      </w:r>
      <w:r>
        <w:rPr>
          <w:color w:val="231F20"/>
          <w:w w:val="105"/>
        </w:rPr>
        <w:t>en</w:t>
      </w:r>
      <w:r>
        <w:rPr>
          <w:color w:val="231F20"/>
          <w:spacing w:val="-21"/>
          <w:w w:val="105"/>
        </w:rPr>
        <w:t> </w:t>
      </w:r>
      <w:r>
        <w:rPr>
          <w:color w:val="231F20"/>
          <w:w w:val="105"/>
        </w:rPr>
        <w:t>tanto</w:t>
      </w:r>
      <w:r>
        <w:rPr>
          <w:color w:val="231F20"/>
          <w:spacing w:val="-21"/>
          <w:w w:val="105"/>
        </w:rPr>
        <w:t> </w:t>
      </w:r>
      <w:r>
        <w:rPr>
          <w:color w:val="231F20"/>
          <w:w w:val="105"/>
        </w:rPr>
        <w:t>los</w:t>
      </w:r>
      <w:r>
        <w:rPr>
          <w:color w:val="231F20"/>
          <w:spacing w:val="-21"/>
          <w:w w:val="105"/>
        </w:rPr>
        <w:t> </w:t>
      </w:r>
      <w:r>
        <w:rPr>
          <w:color w:val="231F20"/>
          <w:w w:val="105"/>
        </w:rPr>
        <w:t>trabajadores</w:t>
      </w:r>
      <w:r>
        <w:rPr>
          <w:color w:val="231F20"/>
          <w:spacing w:val="-21"/>
          <w:w w:val="105"/>
        </w:rPr>
        <w:t> </w:t>
      </w:r>
      <w:r>
        <w:rPr>
          <w:color w:val="231F20"/>
          <w:w w:val="105"/>
        </w:rPr>
        <w:t>braceros</w:t>
      </w:r>
      <w:r>
        <w:rPr>
          <w:color w:val="231F20"/>
          <w:spacing w:val="-21"/>
          <w:w w:val="105"/>
        </w:rPr>
        <w:t> </w:t>
      </w:r>
      <w:r>
        <w:rPr>
          <w:color w:val="231F20"/>
          <w:w w:val="105"/>
        </w:rPr>
        <w:t>[qui- zá por la experiencia laboral que ya tenían] fortalecieron los procesos históricos de la migración no documentada (Espenshade, 1995: 198), tanto por las situaciones nacionales y locales que los obligaban a emi- grar</w:t>
      </w:r>
      <w:r>
        <w:rPr>
          <w:color w:val="231F20"/>
          <w:spacing w:val="-39"/>
          <w:w w:val="105"/>
        </w:rPr>
        <w:t> </w:t>
      </w:r>
      <w:r>
        <w:rPr>
          <w:color w:val="231F20"/>
          <w:w w:val="105"/>
        </w:rPr>
        <w:t>(devaluaciones,</w:t>
      </w:r>
      <w:r>
        <w:rPr>
          <w:color w:val="231F20"/>
          <w:spacing w:val="-42"/>
          <w:w w:val="105"/>
        </w:rPr>
        <w:t> </w:t>
      </w:r>
      <w:r>
        <w:rPr>
          <w:color w:val="231F20"/>
          <w:w w:val="105"/>
        </w:rPr>
        <w:t>deterioro</w:t>
      </w:r>
      <w:r>
        <w:rPr>
          <w:color w:val="231F20"/>
          <w:spacing w:val="-39"/>
          <w:w w:val="105"/>
        </w:rPr>
        <w:t> </w:t>
      </w:r>
      <w:r>
        <w:rPr>
          <w:color w:val="231F20"/>
          <w:w w:val="105"/>
        </w:rPr>
        <w:t>de</w:t>
      </w:r>
      <w:r>
        <w:rPr>
          <w:color w:val="231F20"/>
          <w:spacing w:val="-39"/>
          <w:w w:val="105"/>
        </w:rPr>
        <w:t> </w:t>
      </w:r>
      <w:r>
        <w:rPr>
          <w:color w:val="231F20"/>
          <w:w w:val="105"/>
        </w:rPr>
        <w:t>las</w:t>
      </w:r>
      <w:r>
        <w:rPr>
          <w:color w:val="231F20"/>
          <w:spacing w:val="-39"/>
          <w:w w:val="105"/>
        </w:rPr>
        <w:t> </w:t>
      </w:r>
      <w:r>
        <w:rPr>
          <w:color w:val="231F20"/>
          <w:w w:val="105"/>
        </w:rPr>
        <w:t>actividades</w:t>
      </w:r>
      <w:r>
        <w:rPr>
          <w:color w:val="231F20"/>
          <w:spacing w:val="-39"/>
          <w:w w:val="105"/>
        </w:rPr>
        <w:t> </w:t>
      </w:r>
      <w:r>
        <w:rPr>
          <w:color w:val="231F20"/>
          <w:w w:val="105"/>
        </w:rPr>
        <w:t>agropecuarias</w:t>
      </w:r>
      <w:r>
        <w:rPr>
          <w:color w:val="231F20"/>
          <w:spacing w:val="-39"/>
          <w:w w:val="105"/>
        </w:rPr>
        <w:t> </w:t>
      </w:r>
      <w:r>
        <w:rPr>
          <w:color w:val="231F20"/>
          <w:w w:val="105"/>
        </w:rPr>
        <w:t>y</w:t>
      </w:r>
      <w:r>
        <w:rPr>
          <w:color w:val="231F20"/>
          <w:spacing w:val="-39"/>
          <w:w w:val="105"/>
        </w:rPr>
        <w:t> </w:t>
      </w:r>
      <w:r>
        <w:rPr>
          <w:color w:val="231F20"/>
          <w:w w:val="105"/>
        </w:rPr>
        <w:t>escasas opciones</w:t>
      </w:r>
      <w:r>
        <w:rPr>
          <w:color w:val="231F20"/>
          <w:spacing w:val="-24"/>
          <w:w w:val="105"/>
        </w:rPr>
        <w:t> </w:t>
      </w:r>
      <w:r>
        <w:rPr>
          <w:color w:val="231F20"/>
          <w:w w:val="105"/>
        </w:rPr>
        <w:t>laborales</w:t>
      </w:r>
      <w:r>
        <w:rPr>
          <w:color w:val="231F20"/>
          <w:spacing w:val="-24"/>
          <w:w w:val="105"/>
        </w:rPr>
        <w:t> </w:t>
      </w:r>
      <w:r>
        <w:rPr>
          <w:color w:val="231F20"/>
          <w:w w:val="105"/>
        </w:rPr>
        <w:t>en</w:t>
      </w:r>
      <w:r>
        <w:rPr>
          <w:color w:val="231F20"/>
          <w:spacing w:val="-24"/>
          <w:w w:val="105"/>
        </w:rPr>
        <w:t> </w:t>
      </w:r>
      <w:r>
        <w:rPr>
          <w:color w:val="231F20"/>
          <w:w w:val="105"/>
        </w:rPr>
        <w:t>las</w:t>
      </w:r>
      <w:r>
        <w:rPr>
          <w:color w:val="231F20"/>
          <w:spacing w:val="-24"/>
          <w:w w:val="105"/>
        </w:rPr>
        <w:t> </w:t>
      </w:r>
      <w:r>
        <w:rPr>
          <w:color w:val="231F20"/>
          <w:w w:val="105"/>
        </w:rPr>
        <w:t>comunidades),</w:t>
      </w:r>
      <w:r>
        <w:rPr>
          <w:color w:val="231F20"/>
          <w:spacing w:val="-29"/>
          <w:w w:val="105"/>
        </w:rPr>
        <w:t> </w:t>
      </w:r>
      <w:r>
        <w:rPr>
          <w:color w:val="231F20"/>
          <w:w w:val="105"/>
        </w:rPr>
        <w:t>como</w:t>
      </w:r>
      <w:r>
        <w:rPr>
          <w:color w:val="231F20"/>
          <w:spacing w:val="-24"/>
          <w:w w:val="105"/>
        </w:rPr>
        <w:t> </w:t>
      </w:r>
      <w:r>
        <w:rPr>
          <w:color w:val="231F20"/>
          <w:w w:val="105"/>
        </w:rPr>
        <w:t>por</w:t>
      </w:r>
      <w:r>
        <w:rPr>
          <w:color w:val="231F20"/>
          <w:spacing w:val="-24"/>
          <w:w w:val="105"/>
        </w:rPr>
        <w:t> </w:t>
      </w:r>
      <w:r>
        <w:rPr>
          <w:color w:val="231F20"/>
          <w:w w:val="105"/>
        </w:rPr>
        <w:t>la</w:t>
      </w:r>
      <w:r>
        <w:rPr>
          <w:color w:val="231F20"/>
          <w:spacing w:val="-24"/>
          <w:w w:val="105"/>
        </w:rPr>
        <w:t> </w:t>
      </w:r>
      <w:r>
        <w:rPr>
          <w:color w:val="231F20"/>
          <w:w w:val="105"/>
        </w:rPr>
        <w:t>organización</w:t>
      </w:r>
      <w:r>
        <w:rPr>
          <w:color w:val="231F20"/>
          <w:spacing w:val="-24"/>
          <w:w w:val="105"/>
        </w:rPr>
        <w:t> </w:t>
      </w:r>
      <w:r>
        <w:rPr>
          <w:color w:val="231F20"/>
          <w:w w:val="105"/>
        </w:rPr>
        <w:t>social de</w:t>
      </w:r>
      <w:r>
        <w:rPr>
          <w:color w:val="231F20"/>
          <w:spacing w:val="-26"/>
          <w:w w:val="105"/>
        </w:rPr>
        <w:t> </w:t>
      </w:r>
      <w:r>
        <w:rPr>
          <w:color w:val="231F20"/>
          <w:w w:val="105"/>
        </w:rPr>
        <w:t>los</w:t>
      </w:r>
      <w:r>
        <w:rPr>
          <w:color w:val="231F20"/>
          <w:spacing w:val="-26"/>
          <w:w w:val="105"/>
        </w:rPr>
        <w:t> </w:t>
      </w:r>
      <w:r>
        <w:rPr>
          <w:color w:val="231F20"/>
          <w:w w:val="105"/>
        </w:rPr>
        <w:t>mercados</w:t>
      </w:r>
      <w:r>
        <w:rPr>
          <w:color w:val="231F20"/>
          <w:spacing w:val="-26"/>
          <w:w w:val="105"/>
        </w:rPr>
        <w:t> </w:t>
      </w:r>
      <w:r>
        <w:rPr>
          <w:color w:val="231F20"/>
          <w:w w:val="105"/>
        </w:rPr>
        <w:t>laborales</w:t>
      </w:r>
      <w:r>
        <w:rPr>
          <w:color w:val="231F20"/>
          <w:spacing w:val="-26"/>
          <w:w w:val="105"/>
        </w:rPr>
        <w:t> </w:t>
      </w:r>
      <w:r>
        <w:rPr>
          <w:color w:val="231F20"/>
          <w:w w:val="105"/>
        </w:rPr>
        <w:t>en</w:t>
      </w:r>
      <w:r>
        <w:rPr>
          <w:color w:val="231F20"/>
          <w:spacing w:val="-26"/>
          <w:w w:val="105"/>
        </w:rPr>
        <w:t> </w:t>
      </w:r>
      <w:r>
        <w:rPr>
          <w:color w:val="231F20"/>
          <w:w w:val="105"/>
        </w:rPr>
        <w:t>Estados</w:t>
      </w:r>
      <w:r>
        <w:rPr>
          <w:color w:val="231F20"/>
          <w:spacing w:val="-26"/>
          <w:w w:val="105"/>
        </w:rPr>
        <w:t> </w:t>
      </w:r>
      <w:r>
        <w:rPr>
          <w:color w:val="231F20"/>
          <w:w w:val="105"/>
        </w:rPr>
        <w:t>Unidos,</w:t>
      </w:r>
      <w:r>
        <w:rPr>
          <w:color w:val="231F20"/>
          <w:spacing w:val="-31"/>
          <w:w w:val="105"/>
        </w:rPr>
        <w:t> </w:t>
      </w:r>
      <w:r>
        <w:rPr>
          <w:color w:val="231F20"/>
          <w:w w:val="105"/>
        </w:rPr>
        <w:t>que</w:t>
      </w:r>
      <w:r>
        <w:rPr>
          <w:color w:val="231F20"/>
          <w:spacing w:val="-26"/>
          <w:w w:val="105"/>
        </w:rPr>
        <w:t> </w:t>
      </w:r>
      <w:r>
        <w:rPr>
          <w:color w:val="231F20"/>
          <w:w w:val="105"/>
        </w:rPr>
        <w:t>crearon</w:t>
      </w:r>
      <w:r>
        <w:rPr>
          <w:color w:val="231F20"/>
          <w:spacing w:val="-26"/>
          <w:w w:val="105"/>
        </w:rPr>
        <w:t> </w:t>
      </w:r>
      <w:r>
        <w:rPr>
          <w:color w:val="231F20"/>
          <w:w w:val="105"/>
        </w:rPr>
        <w:t>una</w:t>
      </w:r>
      <w:r>
        <w:rPr>
          <w:color w:val="231F20"/>
          <w:spacing w:val="-26"/>
          <w:w w:val="105"/>
        </w:rPr>
        <w:t> </w:t>
      </w:r>
      <w:r>
        <w:rPr>
          <w:color w:val="231F20"/>
          <w:w w:val="105"/>
        </w:rPr>
        <w:t>demanda estructural de trabajadores migrantes (Arias, 2009: 121; Piore, 1979</w:t>
      </w:r>
      <w:r>
        <w:rPr>
          <w:color w:val="231F20"/>
          <w:spacing w:val="-19"/>
          <w:w w:val="105"/>
        </w:rPr>
        <w:t> </w:t>
      </w:r>
      <w:r>
        <w:rPr>
          <w:color w:val="231F20"/>
          <w:w w:val="105"/>
        </w:rPr>
        <w:t>en Massey</w:t>
      </w:r>
      <w:r>
        <w:rPr>
          <w:color w:val="231F20"/>
          <w:spacing w:val="-12"/>
          <w:w w:val="105"/>
        </w:rPr>
        <w:t> </w:t>
      </w:r>
      <w:r>
        <w:rPr>
          <w:rFonts w:ascii="Arial" w:hAnsi="Arial"/>
          <w:i/>
          <w:color w:val="231F20"/>
          <w:w w:val="105"/>
        </w:rPr>
        <w:t>et</w:t>
      </w:r>
      <w:r>
        <w:rPr>
          <w:rFonts w:ascii="Arial" w:hAnsi="Arial"/>
          <w:i/>
          <w:color w:val="231F20"/>
          <w:spacing w:val="-15"/>
          <w:w w:val="105"/>
        </w:rPr>
        <w:t> </w:t>
      </w:r>
      <w:r>
        <w:rPr>
          <w:rFonts w:ascii="Arial" w:hAnsi="Arial"/>
          <w:i/>
          <w:color w:val="231F20"/>
          <w:w w:val="105"/>
        </w:rPr>
        <w:t>al.,</w:t>
      </w:r>
      <w:r>
        <w:rPr>
          <w:rFonts w:ascii="Arial" w:hAnsi="Arial"/>
          <w:i/>
          <w:color w:val="231F20"/>
          <w:spacing w:val="-19"/>
          <w:w w:val="105"/>
        </w:rPr>
        <w:t> </w:t>
      </w:r>
      <w:r>
        <w:rPr>
          <w:color w:val="231F20"/>
          <w:w w:val="105"/>
        </w:rPr>
        <w:t>2009a:</w:t>
      </w:r>
      <w:r>
        <w:rPr>
          <w:color w:val="231F20"/>
          <w:spacing w:val="-12"/>
          <w:w w:val="105"/>
        </w:rPr>
        <w:t> </w:t>
      </w:r>
      <w:r>
        <w:rPr>
          <w:color w:val="231F20"/>
          <w:w w:val="105"/>
        </w:rPr>
        <w:t>50).</w:t>
      </w:r>
      <w:r>
        <w:rPr>
          <w:color w:val="231F20"/>
          <w:spacing w:val="-17"/>
          <w:w w:val="105"/>
        </w:rPr>
        <w:t> </w:t>
      </w:r>
      <w:r>
        <w:rPr>
          <w:color w:val="231F20"/>
          <w:w w:val="105"/>
        </w:rPr>
        <w:t>De</w:t>
      </w:r>
      <w:r>
        <w:rPr>
          <w:color w:val="231F20"/>
          <w:spacing w:val="-12"/>
          <w:w w:val="105"/>
        </w:rPr>
        <w:t> </w:t>
      </w:r>
      <w:r>
        <w:rPr>
          <w:color w:val="231F20"/>
          <w:w w:val="105"/>
        </w:rPr>
        <w:t>acuerdo</w:t>
      </w:r>
      <w:r>
        <w:rPr>
          <w:color w:val="231F20"/>
          <w:spacing w:val="-12"/>
          <w:w w:val="105"/>
        </w:rPr>
        <w:t> </w:t>
      </w:r>
      <w:r>
        <w:rPr>
          <w:color w:val="231F20"/>
          <w:w w:val="105"/>
        </w:rPr>
        <w:t>con</w:t>
      </w:r>
      <w:r>
        <w:rPr>
          <w:color w:val="231F20"/>
          <w:spacing w:val="-12"/>
          <w:w w:val="105"/>
        </w:rPr>
        <w:t> </w:t>
      </w:r>
      <w:r>
        <w:rPr>
          <w:color w:val="231F20"/>
          <w:w w:val="105"/>
        </w:rPr>
        <w:t>Massey</w:t>
      </w:r>
      <w:r>
        <w:rPr>
          <w:color w:val="231F20"/>
          <w:spacing w:val="-12"/>
          <w:w w:val="105"/>
        </w:rPr>
        <w:t> </w:t>
      </w:r>
      <w:r>
        <w:rPr>
          <w:color w:val="231F20"/>
          <w:w w:val="105"/>
        </w:rPr>
        <w:t>y</w:t>
      </w:r>
      <w:r>
        <w:rPr>
          <w:color w:val="231F20"/>
          <w:spacing w:val="-12"/>
          <w:w w:val="105"/>
        </w:rPr>
        <w:t> </w:t>
      </w:r>
      <w:r>
        <w:rPr>
          <w:color w:val="231F20"/>
          <w:w w:val="105"/>
        </w:rPr>
        <w:t>Singer</w:t>
      </w:r>
      <w:r>
        <w:rPr>
          <w:color w:val="231F20"/>
          <w:spacing w:val="-12"/>
          <w:w w:val="105"/>
        </w:rPr>
        <w:t> </w:t>
      </w:r>
      <w:r>
        <w:rPr>
          <w:color w:val="231F20"/>
          <w:w w:val="105"/>
        </w:rPr>
        <w:t>(1995:</w:t>
      </w:r>
      <w:r>
        <w:rPr>
          <w:color w:val="231F20"/>
          <w:spacing w:val="-12"/>
          <w:w w:val="105"/>
        </w:rPr>
        <w:t> </w:t>
      </w:r>
      <w:r>
        <w:rPr>
          <w:color w:val="231F20"/>
          <w:w w:val="105"/>
        </w:rPr>
        <w:t>210),</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15376" from="15pt,-71.68644pt" to="0pt,-71.68644pt" stroked="true" strokeweight=".25pt" strokecolor="#000000">
            <w10:wrap type="none"/>
          </v:line>
        </w:pict>
      </w:r>
      <w:r>
        <w:rPr/>
        <w:pict>
          <v:line style="position:absolute;mso-position-horizontal-relative:page;mso-position-vertical-relative:paragraph;z-index:15400" from="508.890015pt,-71.68644pt" to="523.890015pt,-71.68644pt" stroked="true" strokeweight=".25pt" strokecolor="#000000">
            <w10:wrap type="none"/>
          </v:line>
        </w:pict>
      </w:r>
      <w:r>
        <w:rPr>
          <w:color w:val="231F20"/>
          <w:w w:val="105"/>
        </w:rPr>
        <w:t>la</w:t>
      </w:r>
      <w:r>
        <w:rPr>
          <w:color w:val="231F20"/>
          <w:spacing w:val="-16"/>
          <w:w w:val="105"/>
        </w:rPr>
        <w:t> </w:t>
      </w:r>
      <w:r>
        <w:rPr>
          <w:color w:val="231F20"/>
          <w:w w:val="105"/>
        </w:rPr>
        <w:t>migración</w:t>
      </w:r>
      <w:r>
        <w:rPr>
          <w:color w:val="231F20"/>
          <w:spacing w:val="-16"/>
          <w:w w:val="105"/>
        </w:rPr>
        <w:t> </w:t>
      </w:r>
      <w:r>
        <w:rPr>
          <w:color w:val="231F20"/>
          <w:w w:val="105"/>
        </w:rPr>
        <w:t>no</w:t>
      </w:r>
      <w:r>
        <w:rPr>
          <w:color w:val="231F20"/>
          <w:spacing w:val="-16"/>
          <w:w w:val="105"/>
        </w:rPr>
        <w:t> </w:t>
      </w:r>
      <w:r>
        <w:rPr>
          <w:color w:val="231F20"/>
          <w:w w:val="105"/>
        </w:rPr>
        <w:t>documentada</w:t>
      </w:r>
      <w:r>
        <w:rPr>
          <w:color w:val="231F20"/>
          <w:spacing w:val="-16"/>
          <w:w w:val="105"/>
        </w:rPr>
        <w:t> </w:t>
      </w:r>
      <w:r>
        <w:rPr>
          <w:color w:val="231F20"/>
          <w:w w:val="105"/>
        </w:rPr>
        <w:t>creció</w:t>
      </w:r>
      <w:r>
        <w:rPr>
          <w:color w:val="231F20"/>
          <w:spacing w:val="-16"/>
          <w:w w:val="105"/>
        </w:rPr>
        <w:t> </w:t>
      </w:r>
      <w:r>
        <w:rPr>
          <w:color w:val="231F20"/>
          <w:w w:val="105"/>
        </w:rPr>
        <w:t>y</w:t>
      </w:r>
      <w:r>
        <w:rPr>
          <w:color w:val="231F20"/>
          <w:spacing w:val="-16"/>
          <w:w w:val="105"/>
        </w:rPr>
        <w:t> </w:t>
      </w:r>
      <w:r>
        <w:rPr>
          <w:color w:val="231F20"/>
          <w:w w:val="105"/>
        </w:rPr>
        <w:t>se</w:t>
      </w:r>
      <w:r>
        <w:rPr>
          <w:color w:val="231F20"/>
          <w:spacing w:val="-16"/>
          <w:w w:val="105"/>
        </w:rPr>
        <w:t> </w:t>
      </w:r>
      <w:r>
        <w:rPr>
          <w:color w:val="231F20"/>
          <w:w w:val="105"/>
        </w:rPr>
        <w:t>ensanchó</w:t>
      </w:r>
      <w:r>
        <w:rPr>
          <w:color w:val="231F20"/>
          <w:spacing w:val="-16"/>
          <w:w w:val="105"/>
        </w:rPr>
        <w:t> </w:t>
      </w:r>
      <w:r>
        <w:rPr>
          <w:color w:val="231F20"/>
          <w:w w:val="105"/>
        </w:rPr>
        <w:t>año</w:t>
      </w:r>
      <w:r>
        <w:rPr>
          <w:color w:val="231F20"/>
          <w:spacing w:val="-16"/>
          <w:w w:val="105"/>
        </w:rPr>
        <w:t> </w:t>
      </w:r>
      <w:r>
        <w:rPr>
          <w:color w:val="231F20"/>
          <w:w w:val="105"/>
        </w:rPr>
        <w:t>con</w:t>
      </w:r>
      <w:r>
        <w:rPr>
          <w:color w:val="231F20"/>
          <w:spacing w:val="-16"/>
          <w:w w:val="105"/>
        </w:rPr>
        <w:t> </w:t>
      </w:r>
      <w:r>
        <w:rPr>
          <w:color w:val="231F20"/>
          <w:w w:val="105"/>
        </w:rPr>
        <w:t>año</w:t>
      </w:r>
      <w:r>
        <w:rPr>
          <w:color w:val="231F20"/>
          <w:spacing w:val="-16"/>
          <w:w w:val="105"/>
        </w:rPr>
        <w:t> </w:t>
      </w:r>
      <w:r>
        <w:rPr>
          <w:color w:val="231F20"/>
          <w:w w:val="105"/>
        </w:rPr>
        <w:t>durante la</w:t>
      </w:r>
      <w:r>
        <w:rPr>
          <w:color w:val="231F20"/>
          <w:spacing w:val="-5"/>
          <w:w w:val="105"/>
        </w:rPr>
        <w:t> </w:t>
      </w:r>
      <w:r>
        <w:rPr>
          <w:color w:val="231F20"/>
          <w:w w:val="105"/>
        </w:rPr>
        <w:t>década</w:t>
      </w:r>
      <w:r>
        <w:rPr>
          <w:color w:val="231F20"/>
          <w:spacing w:val="-5"/>
          <w:w w:val="105"/>
        </w:rPr>
        <w:t> </w:t>
      </w:r>
      <w:r>
        <w:rPr>
          <w:color w:val="231F20"/>
          <w:w w:val="105"/>
        </w:rPr>
        <w:t>de</w:t>
      </w:r>
      <w:r>
        <w:rPr>
          <w:color w:val="231F20"/>
          <w:spacing w:val="-5"/>
          <w:w w:val="105"/>
        </w:rPr>
        <w:t> </w:t>
      </w:r>
      <w:r>
        <w:rPr>
          <w:color w:val="231F20"/>
          <w:w w:val="105"/>
        </w:rPr>
        <w:t>1970:</w:t>
      </w:r>
      <w:r>
        <w:rPr>
          <w:color w:val="231F20"/>
          <w:spacing w:val="-5"/>
          <w:w w:val="105"/>
        </w:rPr>
        <w:t> </w:t>
      </w:r>
      <w:r>
        <w:rPr>
          <w:color w:val="231F20"/>
          <w:w w:val="105"/>
        </w:rPr>
        <w:t>de</w:t>
      </w:r>
      <w:r>
        <w:rPr>
          <w:color w:val="231F20"/>
          <w:spacing w:val="-5"/>
          <w:w w:val="105"/>
        </w:rPr>
        <w:t> </w:t>
      </w:r>
      <w:r>
        <w:rPr>
          <w:color w:val="231F20"/>
          <w:w w:val="105"/>
        </w:rPr>
        <w:t>87</w:t>
      </w:r>
      <w:r>
        <w:rPr>
          <w:color w:val="231F20"/>
          <w:spacing w:val="-5"/>
          <w:w w:val="105"/>
        </w:rPr>
        <w:t> </w:t>
      </w:r>
      <w:r>
        <w:rPr>
          <w:color w:val="231F20"/>
          <w:w w:val="105"/>
        </w:rPr>
        <w:t>mil</w:t>
      </w:r>
      <w:r>
        <w:rPr>
          <w:color w:val="231F20"/>
          <w:spacing w:val="-5"/>
          <w:w w:val="105"/>
        </w:rPr>
        <w:t> </w:t>
      </w:r>
      <w:r>
        <w:rPr>
          <w:color w:val="231F20"/>
          <w:w w:val="105"/>
        </w:rPr>
        <w:t>en</w:t>
      </w:r>
      <w:r>
        <w:rPr>
          <w:color w:val="231F20"/>
          <w:spacing w:val="-5"/>
          <w:w w:val="105"/>
        </w:rPr>
        <w:t> </w:t>
      </w:r>
      <w:r>
        <w:rPr>
          <w:color w:val="231F20"/>
          <w:w w:val="105"/>
        </w:rPr>
        <w:t>1965</w:t>
      </w:r>
      <w:r>
        <w:rPr>
          <w:color w:val="231F20"/>
          <w:spacing w:val="-5"/>
          <w:w w:val="105"/>
        </w:rPr>
        <w:t> </w:t>
      </w:r>
      <w:r>
        <w:rPr>
          <w:color w:val="231F20"/>
          <w:w w:val="105"/>
        </w:rPr>
        <w:t>a</w:t>
      </w:r>
      <w:r>
        <w:rPr>
          <w:color w:val="231F20"/>
          <w:spacing w:val="-5"/>
          <w:w w:val="105"/>
        </w:rPr>
        <w:t> </w:t>
      </w:r>
      <w:r>
        <w:rPr>
          <w:color w:val="231F20"/>
          <w:w w:val="105"/>
        </w:rPr>
        <w:t>544</w:t>
      </w:r>
      <w:r>
        <w:rPr>
          <w:color w:val="231F20"/>
          <w:spacing w:val="-5"/>
          <w:w w:val="105"/>
        </w:rPr>
        <w:t> </w:t>
      </w:r>
      <w:r>
        <w:rPr>
          <w:color w:val="231F20"/>
          <w:w w:val="105"/>
        </w:rPr>
        <w:t>mil</w:t>
      </w:r>
      <w:r>
        <w:rPr>
          <w:color w:val="231F20"/>
          <w:spacing w:val="-5"/>
          <w:w w:val="105"/>
        </w:rPr>
        <w:t> </w:t>
      </w:r>
      <w:r>
        <w:rPr>
          <w:color w:val="231F20"/>
          <w:w w:val="105"/>
        </w:rPr>
        <w:t>en</w:t>
      </w:r>
      <w:r>
        <w:rPr>
          <w:color w:val="231F20"/>
          <w:spacing w:val="-5"/>
          <w:w w:val="105"/>
        </w:rPr>
        <w:t> </w:t>
      </w:r>
      <w:r>
        <w:rPr>
          <w:color w:val="231F20"/>
          <w:w w:val="105"/>
        </w:rPr>
        <w:t>1970,</w:t>
      </w:r>
      <w:r>
        <w:rPr>
          <w:color w:val="231F20"/>
          <w:spacing w:val="-12"/>
          <w:w w:val="105"/>
        </w:rPr>
        <w:t> </w:t>
      </w:r>
      <w:r>
        <w:rPr>
          <w:color w:val="231F20"/>
          <w:w w:val="105"/>
        </w:rPr>
        <w:t>1</w:t>
      </w:r>
      <w:r>
        <w:rPr>
          <w:color w:val="231F20"/>
          <w:spacing w:val="-5"/>
          <w:w w:val="105"/>
        </w:rPr>
        <w:t> </w:t>
      </w:r>
      <w:r>
        <w:rPr>
          <w:color w:val="231F20"/>
          <w:w w:val="105"/>
        </w:rPr>
        <w:t>millón</w:t>
      </w:r>
      <w:r>
        <w:rPr>
          <w:color w:val="231F20"/>
          <w:spacing w:val="-5"/>
          <w:w w:val="105"/>
        </w:rPr>
        <w:t> </w:t>
      </w:r>
      <w:r>
        <w:rPr>
          <w:color w:val="231F20"/>
          <w:w w:val="105"/>
        </w:rPr>
        <w:t>80</w:t>
      </w:r>
      <w:r>
        <w:rPr>
          <w:color w:val="231F20"/>
          <w:spacing w:val="-5"/>
          <w:w w:val="105"/>
        </w:rPr>
        <w:t> </w:t>
      </w:r>
      <w:r>
        <w:rPr>
          <w:color w:val="231F20"/>
          <w:w w:val="105"/>
        </w:rPr>
        <w:t>mil</w:t>
      </w:r>
    </w:p>
    <w:p>
      <w:pPr>
        <w:pStyle w:val="BodyText"/>
        <w:spacing w:line="261" w:lineRule="auto" w:before="1"/>
        <w:ind w:left="1723" w:right="1835"/>
        <w:jc w:val="both"/>
      </w:pPr>
      <w:r>
        <w:rPr>
          <w:color w:val="231F20"/>
          <w:w w:val="105"/>
        </w:rPr>
        <w:t>en 1976, 2 millones 820 mil en 1983 y 3 millones 822 mil en 1986, con una estimación total de aproximadamente 28 millones de migrantes no documentados durante el periodo 1965-1986.</w:t>
      </w:r>
    </w:p>
    <w:p>
      <w:pPr>
        <w:pStyle w:val="BodyText"/>
        <w:spacing w:line="261" w:lineRule="auto" w:before="1"/>
        <w:ind w:left="1723" w:right="1834" w:firstLine="567"/>
        <w:jc w:val="both"/>
      </w:pPr>
      <w:r>
        <w:rPr>
          <w:color w:val="231F20"/>
          <w:w w:val="105"/>
        </w:rPr>
        <w:t>Con todo esto, la migración siguió siendo un fenómeno básica- mente</w:t>
      </w:r>
      <w:r>
        <w:rPr>
          <w:color w:val="231F20"/>
          <w:spacing w:val="-5"/>
          <w:w w:val="105"/>
        </w:rPr>
        <w:t> </w:t>
      </w:r>
      <w:r>
        <w:rPr>
          <w:color w:val="231F20"/>
          <w:w w:val="105"/>
        </w:rPr>
        <w:t>laboral</w:t>
      </w:r>
      <w:r>
        <w:rPr>
          <w:color w:val="231F20"/>
          <w:spacing w:val="-5"/>
          <w:w w:val="105"/>
        </w:rPr>
        <w:t> </w:t>
      </w:r>
      <w:r>
        <w:rPr>
          <w:color w:val="231F20"/>
          <w:w w:val="105"/>
        </w:rPr>
        <w:t>(Arias,</w:t>
      </w:r>
      <w:r>
        <w:rPr>
          <w:color w:val="231F20"/>
          <w:spacing w:val="-10"/>
          <w:w w:val="105"/>
        </w:rPr>
        <w:t> </w:t>
      </w:r>
      <w:r>
        <w:rPr>
          <w:color w:val="231F20"/>
          <w:w w:val="105"/>
        </w:rPr>
        <w:t>2009:</w:t>
      </w:r>
      <w:r>
        <w:rPr>
          <w:color w:val="231F20"/>
          <w:spacing w:val="-5"/>
          <w:w w:val="105"/>
        </w:rPr>
        <w:t> </w:t>
      </w:r>
      <w:r>
        <w:rPr>
          <w:color w:val="231F20"/>
          <w:w w:val="105"/>
        </w:rPr>
        <w:t>121),</w:t>
      </w:r>
      <w:r>
        <w:rPr>
          <w:color w:val="231F20"/>
          <w:spacing w:val="-10"/>
          <w:w w:val="105"/>
        </w:rPr>
        <w:t> </w:t>
      </w:r>
      <w:r>
        <w:rPr>
          <w:color w:val="231F20"/>
          <w:w w:val="105"/>
        </w:rPr>
        <w:t>pues</w:t>
      </w:r>
      <w:r>
        <w:rPr>
          <w:color w:val="231F20"/>
          <w:spacing w:val="-5"/>
          <w:w w:val="105"/>
        </w:rPr>
        <w:t> </w:t>
      </w:r>
      <w:r>
        <w:rPr>
          <w:color w:val="231F20"/>
          <w:w w:val="105"/>
        </w:rPr>
        <w:t>se</w:t>
      </w:r>
      <w:r>
        <w:rPr>
          <w:color w:val="231F20"/>
          <w:spacing w:val="-5"/>
          <w:w w:val="105"/>
        </w:rPr>
        <w:t> </w:t>
      </w:r>
      <w:r>
        <w:rPr>
          <w:color w:val="231F20"/>
          <w:w w:val="105"/>
        </w:rPr>
        <w:t>trataba</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proceso</w:t>
      </w:r>
      <w:r>
        <w:rPr>
          <w:color w:val="231F20"/>
          <w:spacing w:val="-5"/>
          <w:w w:val="105"/>
        </w:rPr>
        <w:t> </w:t>
      </w:r>
      <w:r>
        <w:rPr>
          <w:color w:val="231F20"/>
          <w:w w:val="105"/>
        </w:rPr>
        <w:t>de</w:t>
      </w:r>
      <w:r>
        <w:rPr>
          <w:color w:val="231F20"/>
          <w:spacing w:val="-5"/>
          <w:w w:val="105"/>
        </w:rPr>
        <w:t> </w:t>
      </w:r>
      <w:r>
        <w:rPr>
          <w:color w:val="231F20"/>
          <w:w w:val="105"/>
        </w:rPr>
        <w:t>mo- vilidad temporal, de hombres jóvenes, no calificados, de baja</w:t>
      </w:r>
      <w:r>
        <w:rPr>
          <w:color w:val="231F20"/>
          <w:spacing w:val="-26"/>
          <w:w w:val="105"/>
        </w:rPr>
        <w:t> </w:t>
      </w:r>
      <w:r>
        <w:rPr>
          <w:color w:val="231F20"/>
          <w:w w:val="105"/>
        </w:rPr>
        <w:t>condición social</w:t>
      </w:r>
      <w:r>
        <w:rPr>
          <w:color w:val="231F20"/>
          <w:spacing w:val="-11"/>
          <w:w w:val="105"/>
        </w:rPr>
        <w:t> </w:t>
      </w:r>
      <w:r>
        <w:rPr>
          <w:color w:val="231F20"/>
          <w:w w:val="105"/>
        </w:rPr>
        <w:t>[aunque</w:t>
      </w:r>
      <w:r>
        <w:rPr>
          <w:color w:val="231F20"/>
          <w:spacing w:val="-11"/>
          <w:w w:val="105"/>
        </w:rPr>
        <w:t> </w:t>
      </w:r>
      <w:r>
        <w:rPr>
          <w:color w:val="231F20"/>
          <w:w w:val="105"/>
        </w:rPr>
        <w:t>no</w:t>
      </w:r>
      <w:r>
        <w:rPr>
          <w:color w:val="231F20"/>
          <w:spacing w:val="-11"/>
          <w:w w:val="105"/>
        </w:rPr>
        <w:t> </w:t>
      </w:r>
      <w:r>
        <w:rPr>
          <w:color w:val="231F20"/>
          <w:w w:val="105"/>
        </w:rPr>
        <w:t>necesariamente</w:t>
      </w:r>
      <w:r>
        <w:rPr>
          <w:color w:val="231F20"/>
          <w:spacing w:val="-11"/>
          <w:w w:val="105"/>
        </w:rPr>
        <w:t> </w:t>
      </w:r>
      <w:r>
        <w:rPr>
          <w:color w:val="231F20"/>
          <w:w w:val="105"/>
        </w:rPr>
        <w:t>los</w:t>
      </w:r>
      <w:r>
        <w:rPr>
          <w:color w:val="231F20"/>
          <w:spacing w:val="-11"/>
          <w:w w:val="105"/>
        </w:rPr>
        <w:t> </w:t>
      </w:r>
      <w:r>
        <w:rPr>
          <w:color w:val="231F20"/>
          <w:w w:val="105"/>
        </w:rPr>
        <w:t>más</w:t>
      </w:r>
      <w:r>
        <w:rPr>
          <w:color w:val="231F20"/>
          <w:spacing w:val="-11"/>
          <w:w w:val="105"/>
        </w:rPr>
        <w:t> </w:t>
      </w:r>
      <w:r>
        <w:rPr>
          <w:color w:val="231F20"/>
          <w:w w:val="105"/>
        </w:rPr>
        <w:t>pobres],</w:t>
      </w:r>
      <w:r>
        <w:rPr>
          <w:color w:val="231F20"/>
          <w:spacing w:val="-17"/>
          <w:w w:val="105"/>
        </w:rPr>
        <w:t> </w:t>
      </w:r>
      <w:r>
        <w:rPr>
          <w:color w:val="231F20"/>
          <w:w w:val="105"/>
        </w:rPr>
        <w:t>provenientes</w:t>
      </w:r>
      <w:r>
        <w:rPr>
          <w:color w:val="231F20"/>
          <w:spacing w:val="-11"/>
          <w:w w:val="105"/>
        </w:rPr>
        <w:t> </w:t>
      </w:r>
      <w:r>
        <w:rPr>
          <w:color w:val="231F20"/>
          <w:w w:val="105"/>
        </w:rPr>
        <w:t>de</w:t>
      </w:r>
      <w:r>
        <w:rPr>
          <w:color w:val="231F20"/>
          <w:spacing w:val="-11"/>
          <w:w w:val="105"/>
        </w:rPr>
        <w:t> </w:t>
      </w:r>
      <w:r>
        <w:rPr>
          <w:color w:val="231F20"/>
          <w:w w:val="105"/>
        </w:rPr>
        <w:t>zo- nas</w:t>
      </w:r>
      <w:r>
        <w:rPr>
          <w:color w:val="231F20"/>
          <w:spacing w:val="-12"/>
          <w:w w:val="105"/>
        </w:rPr>
        <w:t> </w:t>
      </w:r>
      <w:r>
        <w:rPr>
          <w:color w:val="231F20"/>
          <w:w w:val="105"/>
        </w:rPr>
        <w:t>rurales</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7"/>
          <w:w w:val="105"/>
        </w:rPr>
        <w:t> </w:t>
      </w:r>
      <w:r>
        <w:rPr>
          <w:color w:val="231F20"/>
          <w:w w:val="105"/>
        </w:rPr>
        <w:t>cuya</w:t>
      </w:r>
      <w:r>
        <w:rPr>
          <w:color w:val="231F20"/>
          <w:spacing w:val="-12"/>
          <w:w w:val="105"/>
        </w:rPr>
        <w:t> </w:t>
      </w:r>
      <w:r>
        <w:rPr>
          <w:color w:val="231F20"/>
          <w:w w:val="105"/>
        </w:rPr>
        <w:t>movilidad</w:t>
      </w:r>
      <w:r>
        <w:rPr>
          <w:color w:val="231F20"/>
          <w:spacing w:val="-12"/>
          <w:w w:val="105"/>
        </w:rPr>
        <w:t> </w:t>
      </w:r>
      <w:r>
        <w:rPr>
          <w:color w:val="231F20"/>
          <w:w w:val="105"/>
        </w:rPr>
        <w:t>respondía</w:t>
      </w:r>
      <w:r>
        <w:rPr>
          <w:color w:val="231F20"/>
          <w:spacing w:val="-12"/>
          <w:w w:val="105"/>
        </w:rPr>
        <w:t> </w:t>
      </w:r>
      <w:r>
        <w:rPr>
          <w:color w:val="231F20"/>
          <w:w w:val="105"/>
        </w:rPr>
        <w:t>a</w:t>
      </w:r>
      <w:r>
        <w:rPr>
          <w:color w:val="231F20"/>
          <w:spacing w:val="-12"/>
          <w:w w:val="105"/>
        </w:rPr>
        <w:t> </w:t>
      </w:r>
      <w:r>
        <w:rPr>
          <w:color w:val="231F20"/>
          <w:w w:val="105"/>
        </w:rPr>
        <w:t>motivaciones</w:t>
      </w:r>
      <w:r>
        <w:rPr>
          <w:color w:val="231F20"/>
          <w:spacing w:val="-12"/>
          <w:w w:val="105"/>
        </w:rPr>
        <w:t> </w:t>
      </w:r>
      <w:r>
        <w:rPr>
          <w:color w:val="231F20"/>
          <w:w w:val="105"/>
        </w:rPr>
        <w:t>econó- micas</w:t>
      </w:r>
      <w:r>
        <w:rPr>
          <w:color w:val="231F20"/>
          <w:spacing w:val="-14"/>
          <w:w w:val="105"/>
        </w:rPr>
        <w:t> </w:t>
      </w:r>
      <w:r>
        <w:rPr>
          <w:color w:val="231F20"/>
          <w:w w:val="105"/>
        </w:rPr>
        <w:t>(Jones,</w:t>
      </w:r>
      <w:r>
        <w:rPr>
          <w:color w:val="231F20"/>
          <w:spacing w:val="-18"/>
          <w:w w:val="105"/>
        </w:rPr>
        <w:t> </w:t>
      </w:r>
      <w:r>
        <w:rPr>
          <w:color w:val="231F20"/>
          <w:w w:val="105"/>
        </w:rPr>
        <w:t>1982:</w:t>
      </w:r>
      <w:r>
        <w:rPr>
          <w:color w:val="231F20"/>
          <w:spacing w:val="-14"/>
          <w:w w:val="105"/>
        </w:rPr>
        <w:t> </w:t>
      </w:r>
      <w:r>
        <w:rPr>
          <w:color w:val="231F20"/>
          <w:w w:val="105"/>
        </w:rPr>
        <w:t>77).</w:t>
      </w:r>
      <w:r>
        <w:rPr>
          <w:color w:val="231F20"/>
          <w:spacing w:val="-18"/>
          <w:w w:val="105"/>
        </w:rPr>
        <w:t> </w:t>
      </w:r>
      <w:r>
        <w:rPr>
          <w:color w:val="231F20"/>
          <w:w w:val="105"/>
        </w:rPr>
        <w:t>Según</w:t>
      </w:r>
      <w:r>
        <w:rPr>
          <w:color w:val="231F20"/>
          <w:spacing w:val="-14"/>
          <w:w w:val="105"/>
        </w:rPr>
        <w:t> </w:t>
      </w:r>
      <w:r>
        <w:rPr>
          <w:color w:val="231F20"/>
          <w:w w:val="105"/>
        </w:rPr>
        <w:t>este</w:t>
      </w:r>
      <w:r>
        <w:rPr>
          <w:color w:val="231F20"/>
          <w:spacing w:val="-14"/>
          <w:w w:val="105"/>
        </w:rPr>
        <w:t> </w:t>
      </w:r>
      <w:r>
        <w:rPr>
          <w:color w:val="231F20"/>
          <w:w w:val="105"/>
        </w:rPr>
        <w:t>perfil,</w:t>
      </w:r>
      <w:r>
        <w:rPr>
          <w:color w:val="231F20"/>
          <w:spacing w:val="-18"/>
          <w:w w:val="105"/>
        </w:rPr>
        <w:t> </w:t>
      </w:r>
      <w:r>
        <w:rPr>
          <w:color w:val="231F20"/>
          <w:w w:val="105"/>
        </w:rPr>
        <w:t>la</w:t>
      </w:r>
      <w:r>
        <w:rPr>
          <w:color w:val="231F20"/>
          <w:spacing w:val="-14"/>
          <w:w w:val="105"/>
        </w:rPr>
        <w:t> </w:t>
      </w:r>
      <w:r>
        <w:rPr>
          <w:color w:val="231F20"/>
          <w:w w:val="105"/>
        </w:rPr>
        <w:t>práctica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migración</w:t>
      </w:r>
      <w:r>
        <w:rPr>
          <w:color w:val="231F20"/>
          <w:spacing w:val="-14"/>
          <w:w w:val="105"/>
        </w:rPr>
        <w:t> </w:t>
      </w:r>
      <w:r>
        <w:rPr>
          <w:color w:val="231F20"/>
          <w:w w:val="105"/>
        </w:rPr>
        <w:t>se convirtió</w:t>
      </w:r>
      <w:r>
        <w:rPr>
          <w:color w:val="231F20"/>
          <w:spacing w:val="-20"/>
          <w:w w:val="105"/>
        </w:rPr>
        <w:t> </w:t>
      </w:r>
      <w:r>
        <w:rPr>
          <w:color w:val="231F20"/>
          <w:w w:val="105"/>
        </w:rPr>
        <w:t>en</w:t>
      </w:r>
      <w:r>
        <w:rPr>
          <w:color w:val="231F20"/>
          <w:spacing w:val="-20"/>
          <w:w w:val="105"/>
        </w:rPr>
        <w:t> </w:t>
      </w:r>
      <w:r>
        <w:rPr>
          <w:color w:val="231F20"/>
          <w:w w:val="105"/>
        </w:rPr>
        <w:t>una</w:t>
      </w:r>
      <w:r>
        <w:rPr>
          <w:color w:val="231F20"/>
          <w:spacing w:val="-20"/>
          <w:w w:val="105"/>
        </w:rPr>
        <w:t> </w:t>
      </w:r>
      <w:r>
        <w:rPr>
          <w:color w:val="231F20"/>
          <w:w w:val="105"/>
        </w:rPr>
        <w:t>estrategia</w:t>
      </w:r>
      <w:r>
        <w:rPr>
          <w:color w:val="231F20"/>
          <w:spacing w:val="-20"/>
          <w:w w:val="105"/>
        </w:rPr>
        <w:t> </w:t>
      </w:r>
      <w:r>
        <w:rPr>
          <w:color w:val="231F20"/>
          <w:w w:val="105"/>
        </w:rPr>
        <w:t>familiar</w:t>
      </w:r>
      <w:r>
        <w:rPr>
          <w:color w:val="231F20"/>
          <w:spacing w:val="-20"/>
          <w:w w:val="105"/>
        </w:rPr>
        <w:t> </w:t>
      </w:r>
      <w:r>
        <w:rPr>
          <w:color w:val="231F20"/>
          <w:w w:val="105"/>
        </w:rPr>
        <w:t>con</w:t>
      </w:r>
      <w:r>
        <w:rPr>
          <w:color w:val="231F20"/>
          <w:spacing w:val="-20"/>
          <w:w w:val="105"/>
        </w:rPr>
        <w:t> </w:t>
      </w:r>
      <w:r>
        <w:rPr>
          <w:color w:val="231F20"/>
          <w:w w:val="105"/>
        </w:rPr>
        <w:t>códigos</w:t>
      </w:r>
      <w:r>
        <w:rPr>
          <w:color w:val="231F20"/>
          <w:spacing w:val="-20"/>
          <w:w w:val="105"/>
        </w:rPr>
        <w:t> </w:t>
      </w:r>
      <w:r>
        <w:rPr>
          <w:color w:val="231F20"/>
          <w:w w:val="105"/>
        </w:rPr>
        <w:t>reconocibles,</w:t>
      </w:r>
      <w:r>
        <w:rPr>
          <w:color w:val="231F20"/>
          <w:spacing w:val="-26"/>
          <w:w w:val="105"/>
        </w:rPr>
        <w:t> </w:t>
      </w:r>
      <w:r>
        <w:rPr>
          <w:color w:val="231F20"/>
          <w:w w:val="105"/>
        </w:rPr>
        <w:t>puesto</w:t>
      </w:r>
      <w:r>
        <w:rPr>
          <w:color w:val="231F20"/>
          <w:spacing w:val="-20"/>
          <w:w w:val="105"/>
        </w:rPr>
        <w:t> </w:t>
      </w:r>
      <w:r>
        <w:rPr>
          <w:color w:val="231F20"/>
          <w:w w:val="105"/>
        </w:rPr>
        <w:t>que el retorno definitivo del padre de familia daba el banderazo de salida a los</w:t>
      </w:r>
      <w:r>
        <w:rPr>
          <w:color w:val="231F20"/>
          <w:spacing w:val="-21"/>
          <w:w w:val="105"/>
        </w:rPr>
        <w:t> </w:t>
      </w:r>
      <w:r>
        <w:rPr>
          <w:color w:val="231F20"/>
          <w:w w:val="105"/>
        </w:rPr>
        <w:t>hijos</w:t>
      </w:r>
      <w:r>
        <w:rPr>
          <w:color w:val="231F20"/>
          <w:spacing w:val="-21"/>
          <w:w w:val="105"/>
        </w:rPr>
        <w:t> </w:t>
      </w:r>
      <w:r>
        <w:rPr>
          <w:color w:val="231F20"/>
          <w:w w:val="105"/>
        </w:rPr>
        <w:t>mayores</w:t>
      </w:r>
      <w:r>
        <w:rPr>
          <w:color w:val="231F20"/>
          <w:spacing w:val="-21"/>
          <w:w w:val="105"/>
        </w:rPr>
        <w:t> </w:t>
      </w:r>
      <w:r>
        <w:rPr>
          <w:color w:val="231F20"/>
          <w:w w:val="105"/>
        </w:rPr>
        <w:t>y</w:t>
      </w:r>
      <w:r>
        <w:rPr>
          <w:color w:val="231F20"/>
          <w:spacing w:val="-21"/>
          <w:w w:val="105"/>
        </w:rPr>
        <w:t> </w:t>
      </w:r>
      <w:r>
        <w:rPr>
          <w:color w:val="231F20"/>
          <w:w w:val="105"/>
        </w:rPr>
        <w:t>más</w:t>
      </w:r>
      <w:r>
        <w:rPr>
          <w:color w:val="231F20"/>
          <w:spacing w:val="-21"/>
          <w:w w:val="105"/>
        </w:rPr>
        <w:t> </w:t>
      </w:r>
      <w:r>
        <w:rPr>
          <w:color w:val="231F20"/>
          <w:w w:val="105"/>
        </w:rPr>
        <w:t>tarde</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menores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casa</w:t>
      </w:r>
      <w:r>
        <w:rPr>
          <w:color w:val="231F20"/>
          <w:spacing w:val="-21"/>
          <w:w w:val="105"/>
        </w:rPr>
        <w:t> </w:t>
      </w:r>
      <w:r>
        <w:rPr>
          <w:color w:val="231F20"/>
          <w:w w:val="105"/>
        </w:rPr>
        <w:t>(Massey,</w:t>
      </w:r>
      <w:r>
        <w:rPr>
          <w:color w:val="231F20"/>
          <w:spacing w:val="-26"/>
          <w:w w:val="105"/>
        </w:rPr>
        <w:t> </w:t>
      </w:r>
      <w:r>
        <w:rPr>
          <w:color w:val="231F20"/>
          <w:w w:val="105"/>
        </w:rPr>
        <w:t>1991</w:t>
      </w:r>
      <w:r>
        <w:rPr>
          <w:color w:val="231F20"/>
          <w:spacing w:val="-21"/>
          <w:w w:val="105"/>
        </w:rPr>
        <w:t> </w:t>
      </w:r>
      <w:r>
        <w:rPr>
          <w:color w:val="231F20"/>
          <w:w w:val="105"/>
        </w:rPr>
        <w:t>en Arias,</w:t>
      </w:r>
      <w:r>
        <w:rPr>
          <w:color w:val="231F20"/>
          <w:spacing w:val="-37"/>
          <w:w w:val="105"/>
        </w:rPr>
        <w:t> </w:t>
      </w:r>
      <w:r>
        <w:rPr>
          <w:color w:val="231F20"/>
          <w:w w:val="105"/>
        </w:rPr>
        <w:t>2009:</w:t>
      </w:r>
      <w:r>
        <w:rPr>
          <w:color w:val="231F20"/>
          <w:spacing w:val="-34"/>
          <w:w w:val="105"/>
        </w:rPr>
        <w:t> </w:t>
      </w:r>
      <w:r>
        <w:rPr>
          <w:color w:val="231F20"/>
          <w:w w:val="105"/>
        </w:rPr>
        <w:t>122).</w:t>
      </w:r>
    </w:p>
    <w:p>
      <w:pPr>
        <w:pStyle w:val="BodyText"/>
        <w:spacing w:line="261" w:lineRule="auto" w:before="1"/>
        <w:ind w:left="1723" w:right="1834" w:firstLine="567"/>
        <w:jc w:val="both"/>
      </w:pPr>
      <w:r>
        <w:rPr>
          <w:color w:val="231F20"/>
          <w:w w:val="105"/>
        </w:rPr>
        <w:t>La</w:t>
      </w:r>
      <w:r>
        <w:rPr>
          <w:color w:val="231F20"/>
          <w:spacing w:val="-21"/>
          <w:w w:val="105"/>
        </w:rPr>
        <w:t> </w:t>
      </w:r>
      <w:r>
        <w:rPr>
          <w:color w:val="231F20"/>
          <w:w w:val="105"/>
        </w:rPr>
        <w:t>quinta</w:t>
      </w:r>
      <w:r>
        <w:rPr>
          <w:color w:val="231F20"/>
          <w:spacing w:val="-21"/>
          <w:w w:val="105"/>
        </w:rPr>
        <w:t> </w:t>
      </w:r>
      <w:r>
        <w:rPr>
          <w:color w:val="231F20"/>
          <w:w w:val="105"/>
        </w:rPr>
        <w:t>fase,</w:t>
      </w:r>
      <w:r>
        <w:rPr>
          <w:color w:val="231F20"/>
          <w:spacing w:val="-26"/>
          <w:w w:val="105"/>
        </w:rPr>
        <w:t> </w:t>
      </w:r>
      <w:r>
        <w:rPr>
          <w:color w:val="231F20"/>
          <w:w w:val="105"/>
        </w:rPr>
        <w:t>conocida</w:t>
      </w:r>
      <w:r>
        <w:rPr>
          <w:color w:val="231F20"/>
          <w:spacing w:val="-21"/>
          <w:w w:val="105"/>
        </w:rPr>
        <w:t> </w:t>
      </w:r>
      <w:r>
        <w:rPr>
          <w:color w:val="231F20"/>
          <w:w w:val="105"/>
        </w:rPr>
        <w:t>como</w:t>
      </w:r>
      <w:r>
        <w:rPr>
          <w:color w:val="231F20"/>
          <w:spacing w:val="-21"/>
          <w:w w:val="105"/>
        </w:rPr>
        <w:t> </w:t>
      </w:r>
      <w:r>
        <w:rPr>
          <w:color w:val="231F20"/>
          <w:w w:val="105"/>
        </w:rPr>
        <w:t>la</w:t>
      </w:r>
      <w:r>
        <w:rPr>
          <w:color w:val="231F20"/>
          <w:spacing w:val="-21"/>
          <w:w w:val="105"/>
        </w:rPr>
        <w:t> </w:t>
      </w:r>
      <w:r>
        <w:rPr>
          <w:color w:val="231F20"/>
          <w:w w:val="105"/>
        </w:rPr>
        <w:t>etapa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spacing w:val="-3"/>
          <w:w w:val="105"/>
        </w:rPr>
        <w:t>“rodinos”,</w:t>
      </w:r>
      <w:r>
        <w:rPr>
          <w:color w:val="231F20"/>
          <w:spacing w:val="-26"/>
          <w:w w:val="105"/>
        </w:rPr>
        <w:t> </w:t>
      </w:r>
      <w:r>
        <w:rPr>
          <w:color w:val="231F20"/>
          <w:w w:val="105"/>
        </w:rPr>
        <w:t>empezó</w:t>
      </w:r>
      <w:r>
        <w:rPr>
          <w:color w:val="231F20"/>
          <w:spacing w:val="-21"/>
          <w:w w:val="105"/>
        </w:rPr>
        <w:t> </w:t>
      </w:r>
      <w:r>
        <w:rPr>
          <w:color w:val="231F20"/>
          <w:w w:val="105"/>
        </w:rPr>
        <w:t>en 1987</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puesta</w:t>
      </w:r>
      <w:r>
        <w:rPr>
          <w:color w:val="231F20"/>
          <w:spacing w:val="-10"/>
          <w:w w:val="105"/>
        </w:rPr>
        <w:t> </w:t>
      </w:r>
      <w:r>
        <w:rPr>
          <w:color w:val="231F20"/>
          <w:w w:val="105"/>
        </w:rPr>
        <w:t>en</w:t>
      </w:r>
      <w:r>
        <w:rPr>
          <w:color w:val="231F20"/>
          <w:spacing w:val="-10"/>
          <w:w w:val="105"/>
        </w:rPr>
        <w:t> </w:t>
      </w:r>
      <w:r>
        <w:rPr>
          <w:color w:val="231F20"/>
          <w:w w:val="105"/>
        </w:rPr>
        <w:t>marcha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ley</w:t>
      </w:r>
      <w:r>
        <w:rPr>
          <w:color w:val="231F20"/>
          <w:spacing w:val="-10"/>
          <w:w w:val="105"/>
        </w:rPr>
        <w:t> </w:t>
      </w:r>
      <w:r>
        <w:rPr>
          <w:color w:val="231F20"/>
          <w:w w:val="105"/>
        </w:rPr>
        <w:t>Immigration</w:t>
      </w:r>
      <w:r>
        <w:rPr>
          <w:color w:val="231F20"/>
          <w:spacing w:val="-10"/>
          <w:w w:val="105"/>
        </w:rPr>
        <w:t> </w:t>
      </w:r>
      <w:r>
        <w:rPr>
          <w:color w:val="231F20"/>
          <w:w w:val="105"/>
        </w:rPr>
        <w:t>and</w:t>
      </w:r>
      <w:r>
        <w:rPr>
          <w:color w:val="231F20"/>
          <w:spacing w:val="-10"/>
          <w:w w:val="105"/>
        </w:rPr>
        <w:t> </w:t>
      </w:r>
      <w:r>
        <w:rPr>
          <w:color w:val="231F20"/>
          <w:w w:val="105"/>
        </w:rPr>
        <w:t>Reform</w:t>
      </w:r>
      <w:r>
        <w:rPr>
          <w:color w:val="231F20"/>
          <w:spacing w:val="-10"/>
          <w:w w:val="105"/>
        </w:rPr>
        <w:t> </w:t>
      </w:r>
      <w:r>
        <w:rPr>
          <w:color w:val="231F20"/>
          <w:w w:val="105"/>
        </w:rPr>
        <w:t>Control Act</w:t>
      </w:r>
      <w:r>
        <w:rPr>
          <w:color w:val="231F20"/>
          <w:spacing w:val="-21"/>
          <w:w w:val="105"/>
        </w:rPr>
        <w:t> </w:t>
      </w:r>
      <w:r>
        <w:rPr>
          <w:color w:val="231F20"/>
          <w:w w:val="105"/>
        </w:rPr>
        <w:t>(</w:t>
      </w:r>
      <w:r>
        <w:rPr>
          <w:color w:val="231F20"/>
          <w:w w:val="105"/>
          <w:sz w:val="17"/>
        </w:rPr>
        <w:t>IRCA</w:t>
      </w:r>
      <w:r>
        <w:rPr>
          <w:color w:val="231F20"/>
          <w:w w:val="105"/>
        </w:rPr>
        <w:t>)</w:t>
      </w:r>
      <w:r>
        <w:rPr>
          <w:color w:val="231F20"/>
          <w:spacing w:val="-21"/>
          <w:w w:val="105"/>
        </w:rPr>
        <w:t> </w:t>
      </w:r>
      <w:r>
        <w:rPr>
          <w:color w:val="231F20"/>
          <w:w w:val="105"/>
        </w:rPr>
        <w:t>(Durand,</w:t>
      </w:r>
      <w:r>
        <w:rPr>
          <w:color w:val="231F20"/>
          <w:spacing w:val="-27"/>
          <w:w w:val="105"/>
        </w:rPr>
        <w:t> </w:t>
      </w:r>
      <w:r>
        <w:rPr>
          <w:color w:val="231F20"/>
          <w:w w:val="105"/>
        </w:rPr>
        <w:t>2000:</w:t>
      </w:r>
      <w:r>
        <w:rPr>
          <w:color w:val="231F20"/>
          <w:spacing w:val="-21"/>
          <w:w w:val="105"/>
        </w:rPr>
        <w:t> </w:t>
      </w:r>
      <w:r>
        <w:rPr>
          <w:color w:val="231F20"/>
          <w:w w:val="105"/>
        </w:rPr>
        <w:t>22),</w:t>
      </w:r>
      <w:r>
        <w:rPr>
          <w:color w:val="231F20"/>
          <w:spacing w:val="-27"/>
          <w:w w:val="105"/>
        </w:rPr>
        <w:t> </w:t>
      </w:r>
      <w:r>
        <w:rPr>
          <w:color w:val="231F20"/>
          <w:w w:val="105"/>
        </w:rPr>
        <w:t>que</w:t>
      </w:r>
      <w:r>
        <w:rPr>
          <w:color w:val="231F20"/>
          <w:spacing w:val="-21"/>
          <w:w w:val="105"/>
        </w:rPr>
        <w:t> </w:t>
      </w:r>
      <w:r>
        <w:rPr>
          <w:color w:val="231F20"/>
          <w:w w:val="105"/>
        </w:rPr>
        <w:t>tenía</w:t>
      </w:r>
      <w:r>
        <w:rPr>
          <w:color w:val="231F20"/>
          <w:spacing w:val="-21"/>
          <w:w w:val="105"/>
        </w:rPr>
        <w:t> </w:t>
      </w:r>
      <w:r>
        <w:rPr>
          <w:color w:val="231F20"/>
          <w:w w:val="105"/>
        </w:rPr>
        <w:t>como</w:t>
      </w:r>
      <w:r>
        <w:rPr>
          <w:color w:val="231F20"/>
          <w:spacing w:val="-21"/>
          <w:w w:val="105"/>
        </w:rPr>
        <w:t> </w:t>
      </w:r>
      <w:r>
        <w:rPr>
          <w:color w:val="231F20"/>
          <w:w w:val="105"/>
        </w:rPr>
        <w:t>principal</w:t>
      </w:r>
      <w:r>
        <w:rPr>
          <w:color w:val="231F20"/>
          <w:spacing w:val="-21"/>
          <w:w w:val="105"/>
        </w:rPr>
        <w:t> </w:t>
      </w:r>
      <w:r>
        <w:rPr>
          <w:color w:val="231F20"/>
          <w:w w:val="105"/>
        </w:rPr>
        <w:t>objetivo</w:t>
      </w:r>
      <w:r>
        <w:rPr>
          <w:color w:val="231F20"/>
          <w:spacing w:val="-21"/>
          <w:w w:val="105"/>
        </w:rPr>
        <w:t> </w:t>
      </w:r>
      <w:r>
        <w:rPr>
          <w:color w:val="231F20"/>
          <w:w w:val="105"/>
        </w:rPr>
        <w:t>disminuir el</w:t>
      </w:r>
      <w:r>
        <w:rPr>
          <w:color w:val="231F20"/>
          <w:spacing w:val="-15"/>
          <w:w w:val="105"/>
        </w:rPr>
        <w:t> </w:t>
      </w:r>
      <w:r>
        <w:rPr>
          <w:color w:val="231F20"/>
          <w:w w:val="105"/>
        </w:rPr>
        <w:t>número</w:t>
      </w:r>
      <w:r>
        <w:rPr>
          <w:color w:val="231F20"/>
          <w:spacing w:val="-15"/>
          <w:w w:val="105"/>
        </w:rPr>
        <w:t> </w:t>
      </w:r>
      <w:r>
        <w:rPr>
          <w:color w:val="231F20"/>
          <w:w w:val="105"/>
        </w:rPr>
        <w:t>de</w:t>
      </w:r>
      <w:r>
        <w:rPr>
          <w:color w:val="231F20"/>
          <w:spacing w:val="-15"/>
          <w:w w:val="105"/>
        </w:rPr>
        <w:t> </w:t>
      </w:r>
      <w:r>
        <w:rPr>
          <w:color w:val="231F20"/>
          <w:w w:val="105"/>
        </w:rPr>
        <w:t>migrantes</w:t>
      </w:r>
      <w:r>
        <w:rPr>
          <w:color w:val="231F20"/>
          <w:spacing w:val="-15"/>
          <w:w w:val="105"/>
        </w:rPr>
        <w:t> </w:t>
      </w:r>
      <w:r>
        <w:rPr>
          <w:color w:val="231F20"/>
          <w:w w:val="105"/>
        </w:rPr>
        <w:t>ilegales</w:t>
      </w:r>
      <w:r>
        <w:rPr>
          <w:color w:val="231F20"/>
          <w:spacing w:val="-15"/>
          <w:w w:val="105"/>
        </w:rPr>
        <w:t> </w:t>
      </w:r>
      <w:r>
        <w:rPr>
          <w:color w:val="231F20"/>
          <w:w w:val="105"/>
        </w:rPr>
        <w:t>que</w:t>
      </w:r>
      <w:r>
        <w:rPr>
          <w:color w:val="231F20"/>
          <w:spacing w:val="-15"/>
          <w:w w:val="105"/>
        </w:rPr>
        <w:t> </w:t>
      </w:r>
      <w:r>
        <w:rPr>
          <w:color w:val="231F20"/>
          <w:w w:val="105"/>
        </w:rPr>
        <w:t>llegaban</w:t>
      </w:r>
      <w:r>
        <w:rPr>
          <w:color w:val="231F20"/>
          <w:spacing w:val="-15"/>
          <w:w w:val="105"/>
        </w:rPr>
        <w:t> </w:t>
      </w:r>
      <w:r>
        <w:rPr>
          <w:color w:val="231F20"/>
          <w:w w:val="105"/>
        </w:rPr>
        <w:t>y</w:t>
      </w:r>
      <w:r>
        <w:rPr>
          <w:color w:val="231F20"/>
          <w:spacing w:val="-15"/>
          <w:w w:val="105"/>
        </w:rPr>
        <w:t> </w:t>
      </w:r>
      <w:r>
        <w:rPr>
          <w:color w:val="231F20"/>
          <w:w w:val="105"/>
        </w:rPr>
        <w:t>residían</w:t>
      </w:r>
      <w:r>
        <w:rPr>
          <w:color w:val="231F20"/>
          <w:spacing w:val="-15"/>
          <w:w w:val="105"/>
        </w:rPr>
        <w:t> </w:t>
      </w:r>
      <w:r>
        <w:rPr>
          <w:color w:val="231F20"/>
          <w:w w:val="105"/>
        </w:rPr>
        <w:t>en</w:t>
      </w:r>
      <w:r>
        <w:rPr>
          <w:color w:val="231F20"/>
          <w:spacing w:val="-15"/>
          <w:w w:val="105"/>
        </w:rPr>
        <w:t> </w:t>
      </w:r>
      <w:r>
        <w:rPr>
          <w:color w:val="231F20"/>
          <w:w w:val="105"/>
        </w:rPr>
        <w:t>Estados</w:t>
      </w:r>
      <w:r>
        <w:rPr>
          <w:color w:val="231F20"/>
          <w:spacing w:val="-15"/>
          <w:w w:val="105"/>
        </w:rPr>
        <w:t> </w:t>
      </w:r>
      <w:r>
        <w:rPr>
          <w:color w:val="231F20"/>
          <w:w w:val="105"/>
        </w:rPr>
        <w:t>Uni- dos</w:t>
      </w:r>
      <w:r>
        <w:rPr>
          <w:color w:val="231F20"/>
          <w:spacing w:val="-25"/>
          <w:w w:val="105"/>
        </w:rPr>
        <w:t> </w:t>
      </w:r>
      <w:r>
        <w:rPr>
          <w:color w:val="231F20"/>
          <w:w w:val="105"/>
        </w:rPr>
        <w:t>(White,</w:t>
      </w:r>
      <w:r>
        <w:rPr>
          <w:color w:val="231F20"/>
          <w:spacing w:val="-29"/>
          <w:w w:val="105"/>
        </w:rPr>
        <w:t> </w:t>
      </w:r>
      <w:r>
        <w:rPr>
          <w:color w:val="231F20"/>
          <w:w w:val="105"/>
        </w:rPr>
        <w:t>Bean</w:t>
      </w:r>
      <w:r>
        <w:rPr>
          <w:color w:val="231F20"/>
          <w:spacing w:val="-25"/>
          <w:w w:val="105"/>
        </w:rPr>
        <w:t> </w:t>
      </w:r>
      <w:r>
        <w:rPr>
          <w:color w:val="231F20"/>
          <w:w w:val="105"/>
        </w:rPr>
        <w:t>y</w:t>
      </w:r>
      <w:r>
        <w:rPr>
          <w:color w:val="231F20"/>
          <w:spacing w:val="-25"/>
          <w:w w:val="105"/>
        </w:rPr>
        <w:t> </w:t>
      </w:r>
      <w:r>
        <w:rPr>
          <w:color w:val="231F20"/>
          <w:w w:val="105"/>
        </w:rPr>
        <w:t>Espenshade,</w:t>
      </w:r>
      <w:r>
        <w:rPr>
          <w:color w:val="231F20"/>
          <w:spacing w:val="-29"/>
          <w:w w:val="105"/>
        </w:rPr>
        <w:t> </w:t>
      </w:r>
      <w:r>
        <w:rPr>
          <w:color w:val="231F20"/>
          <w:w w:val="105"/>
        </w:rPr>
        <w:t>1990).</w:t>
      </w:r>
      <w:r>
        <w:rPr>
          <w:color w:val="231F20"/>
          <w:spacing w:val="-29"/>
          <w:w w:val="105"/>
        </w:rPr>
        <w:t> </w:t>
      </w:r>
      <w:r>
        <w:rPr>
          <w:color w:val="231F20"/>
          <w:w w:val="105"/>
        </w:rPr>
        <w:t>Objetivo</w:t>
      </w:r>
      <w:r>
        <w:rPr>
          <w:color w:val="231F20"/>
          <w:spacing w:val="-25"/>
          <w:w w:val="105"/>
        </w:rPr>
        <w:t> </w:t>
      </w:r>
      <w:r>
        <w:rPr>
          <w:color w:val="231F20"/>
          <w:w w:val="105"/>
        </w:rPr>
        <w:t>que</w:t>
      </w:r>
      <w:r>
        <w:rPr>
          <w:color w:val="231F20"/>
          <w:spacing w:val="-25"/>
          <w:w w:val="105"/>
        </w:rPr>
        <w:t> </w:t>
      </w:r>
      <w:r>
        <w:rPr>
          <w:color w:val="231F20"/>
          <w:w w:val="105"/>
        </w:rPr>
        <w:t>según</w:t>
      </w:r>
      <w:r>
        <w:rPr>
          <w:color w:val="231F20"/>
          <w:spacing w:val="-26"/>
          <w:w w:val="105"/>
        </w:rPr>
        <w:t> </w:t>
      </w:r>
      <w:r>
        <w:rPr>
          <w:color w:val="231F20"/>
          <w:w w:val="105"/>
        </w:rPr>
        <w:t>Jones</w:t>
      </w:r>
      <w:r>
        <w:rPr>
          <w:color w:val="231F20"/>
          <w:spacing w:val="-25"/>
          <w:w w:val="105"/>
        </w:rPr>
        <w:t> </w:t>
      </w:r>
      <w:r>
        <w:rPr>
          <w:color w:val="231F20"/>
          <w:w w:val="105"/>
        </w:rPr>
        <w:t>(1982: 717) fue logrado, pues el número de mexicanos no documentados que cruzaron la frontera estadounidense disminuyó, debido a la dificultad para cruzar la frontera y conseguir trabajo frente a las sanciones que</w:t>
      </w:r>
      <w:r>
        <w:rPr>
          <w:color w:val="231F20"/>
          <w:spacing w:val="-23"/>
          <w:w w:val="105"/>
        </w:rPr>
        <w:t> </w:t>
      </w:r>
      <w:r>
        <w:rPr>
          <w:color w:val="231F20"/>
          <w:w w:val="105"/>
        </w:rPr>
        <w:t>la </w:t>
      </w:r>
      <w:r>
        <w:rPr>
          <w:color w:val="231F20"/>
          <w:w w:val="105"/>
          <w:sz w:val="17"/>
        </w:rPr>
        <w:t>IRCA</w:t>
      </w:r>
      <w:r>
        <w:rPr>
          <w:color w:val="231F20"/>
          <w:spacing w:val="-8"/>
          <w:w w:val="105"/>
          <w:sz w:val="17"/>
        </w:rPr>
        <w:t> </w:t>
      </w:r>
      <w:r>
        <w:rPr>
          <w:color w:val="231F20"/>
          <w:w w:val="105"/>
        </w:rPr>
        <w:t>impuso</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empleadores.</w:t>
      </w:r>
      <w:r>
        <w:rPr>
          <w:color w:val="231F20"/>
          <w:spacing w:val="-26"/>
          <w:w w:val="105"/>
        </w:rPr>
        <w:t> </w:t>
      </w:r>
      <w:r>
        <w:rPr>
          <w:color w:val="231F20"/>
          <w:w w:val="105"/>
        </w:rPr>
        <w:t>A</w:t>
      </w:r>
      <w:r>
        <w:rPr>
          <w:color w:val="231F20"/>
          <w:spacing w:val="-22"/>
          <w:w w:val="105"/>
        </w:rPr>
        <w:t> </w:t>
      </w:r>
      <w:r>
        <w:rPr>
          <w:color w:val="231F20"/>
          <w:w w:val="105"/>
        </w:rPr>
        <w:t>este</w:t>
      </w:r>
      <w:r>
        <w:rPr>
          <w:color w:val="231F20"/>
          <w:spacing w:val="-20"/>
          <w:w w:val="105"/>
        </w:rPr>
        <w:t> </w:t>
      </w:r>
      <w:r>
        <w:rPr>
          <w:color w:val="231F20"/>
          <w:w w:val="105"/>
        </w:rPr>
        <w:t>respecto,</w:t>
      </w:r>
      <w:r>
        <w:rPr>
          <w:color w:val="231F20"/>
          <w:spacing w:val="-24"/>
          <w:w w:val="105"/>
        </w:rPr>
        <w:t> </w:t>
      </w:r>
      <w:r>
        <w:rPr>
          <w:color w:val="231F20"/>
          <w:w w:val="105"/>
        </w:rPr>
        <w:t>Massey</w:t>
      </w:r>
      <w:r>
        <w:rPr>
          <w:color w:val="231F20"/>
          <w:spacing w:val="-20"/>
          <w:w w:val="105"/>
        </w:rPr>
        <w:t> </w:t>
      </w:r>
      <w:r>
        <w:rPr>
          <w:color w:val="231F20"/>
          <w:w w:val="105"/>
        </w:rPr>
        <w:t>y</w:t>
      </w:r>
      <w:r>
        <w:rPr>
          <w:color w:val="231F20"/>
          <w:spacing w:val="-20"/>
          <w:w w:val="105"/>
        </w:rPr>
        <w:t> </w:t>
      </w:r>
      <w:r>
        <w:rPr>
          <w:color w:val="231F20"/>
          <w:w w:val="105"/>
        </w:rPr>
        <w:t>Singer</w:t>
      </w:r>
      <w:r>
        <w:rPr>
          <w:color w:val="231F20"/>
          <w:spacing w:val="-20"/>
          <w:w w:val="105"/>
        </w:rPr>
        <w:t> </w:t>
      </w:r>
      <w:r>
        <w:rPr>
          <w:color w:val="231F20"/>
          <w:w w:val="105"/>
        </w:rPr>
        <w:t>(1995:</w:t>
      </w:r>
    </w:p>
    <w:p>
      <w:pPr>
        <w:pStyle w:val="BodyText"/>
        <w:spacing w:line="261" w:lineRule="auto" w:before="1"/>
        <w:ind w:left="1723" w:right="1834"/>
        <w:jc w:val="both"/>
      </w:pPr>
      <w:r>
        <w:rPr>
          <w:color w:val="231F20"/>
          <w:w w:val="105"/>
        </w:rPr>
        <w:t>210)</w:t>
      </w:r>
      <w:r>
        <w:rPr>
          <w:color w:val="231F20"/>
          <w:spacing w:val="-9"/>
          <w:w w:val="105"/>
        </w:rPr>
        <w:t> </w:t>
      </w:r>
      <w:r>
        <w:rPr>
          <w:color w:val="231F20"/>
          <w:w w:val="105"/>
        </w:rPr>
        <w:t>estiman</w:t>
      </w:r>
      <w:r>
        <w:rPr>
          <w:color w:val="231F20"/>
          <w:spacing w:val="-9"/>
          <w:w w:val="105"/>
        </w:rPr>
        <w:t> </w:t>
      </w:r>
      <w:r>
        <w:rPr>
          <w:color w:val="231F20"/>
          <w:w w:val="105"/>
        </w:rPr>
        <w:t>que</w:t>
      </w:r>
      <w:r>
        <w:rPr>
          <w:color w:val="231F20"/>
          <w:spacing w:val="-9"/>
          <w:w w:val="105"/>
        </w:rPr>
        <w:t> </w:t>
      </w:r>
      <w:r>
        <w:rPr>
          <w:color w:val="231F20"/>
          <w:w w:val="105"/>
        </w:rPr>
        <w:t>entre</w:t>
      </w:r>
      <w:r>
        <w:rPr>
          <w:color w:val="231F20"/>
          <w:spacing w:val="-9"/>
          <w:w w:val="105"/>
        </w:rPr>
        <w:t> </w:t>
      </w:r>
      <w:r>
        <w:rPr>
          <w:color w:val="231F20"/>
          <w:w w:val="105"/>
        </w:rPr>
        <w:t>1986</w:t>
      </w:r>
      <w:r>
        <w:rPr>
          <w:color w:val="231F20"/>
          <w:spacing w:val="-9"/>
          <w:w w:val="105"/>
        </w:rPr>
        <w:t> </w:t>
      </w:r>
      <w:r>
        <w:rPr>
          <w:color w:val="231F20"/>
          <w:w w:val="105"/>
        </w:rPr>
        <w:t>y</w:t>
      </w:r>
      <w:r>
        <w:rPr>
          <w:color w:val="231F20"/>
          <w:spacing w:val="-9"/>
          <w:w w:val="105"/>
        </w:rPr>
        <w:t> </w:t>
      </w:r>
      <w:r>
        <w:rPr>
          <w:color w:val="231F20"/>
          <w:w w:val="105"/>
        </w:rPr>
        <w:t>1989</w:t>
      </w:r>
      <w:r>
        <w:rPr>
          <w:color w:val="231F20"/>
          <w:spacing w:val="-9"/>
          <w:w w:val="105"/>
        </w:rPr>
        <w:t> </w:t>
      </w:r>
      <w:r>
        <w:rPr>
          <w:color w:val="231F20"/>
          <w:w w:val="105"/>
        </w:rPr>
        <w:t>la</w:t>
      </w:r>
      <w:r>
        <w:rPr>
          <w:color w:val="231F20"/>
          <w:spacing w:val="-9"/>
          <w:w w:val="105"/>
        </w:rPr>
        <w:t> </w:t>
      </w:r>
      <w:r>
        <w:rPr>
          <w:color w:val="231F20"/>
          <w:w w:val="105"/>
        </w:rPr>
        <w:t>migración</w:t>
      </w:r>
      <w:r>
        <w:rPr>
          <w:color w:val="231F20"/>
          <w:spacing w:val="-9"/>
          <w:w w:val="105"/>
        </w:rPr>
        <w:t> </w:t>
      </w:r>
      <w:r>
        <w:rPr>
          <w:color w:val="231F20"/>
          <w:w w:val="105"/>
        </w:rPr>
        <w:t>no</w:t>
      </w:r>
      <w:r>
        <w:rPr>
          <w:color w:val="231F20"/>
          <w:spacing w:val="-9"/>
          <w:w w:val="105"/>
        </w:rPr>
        <w:t> </w:t>
      </w:r>
      <w:r>
        <w:rPr>
          <w:color w:val="231F20"/>
          <w:w w:val="105"/>
        </w:rPr>
        <w:t>documentada</w:t>
      </w:r>
      <w:r>
        <w:rPr>
          <w:color w:val="231F20"/>
          <w:spacing w:val="-9"/>
          <w:w w:val="105"/>
        </w:rPr>
        <w:t> </w:t>
      </w:r>
      <w:r>
        <w:rPr>
          <w:color w:val="231F20"/>
          <w:w w:val="105"/>
        </w:rPr>
        <w:t>pasó de 3 millones 822 mil a 2 millones 851 mil; mientras las aprehensiones disminuyeron</w:t>
      </w:r>
      <w:r>
        <w:rPr>
          <w:color w:val="231F20"/>
          <w:spacing w:val="-11"/>
          <w:w w:val="105"/>
        </w:rPr>
        <w:t> </w:t>
      </w:r>
      <w:r>
        <w:rPr>
          <w:color w:val="231F20"/>
          <w:w w:val="105"/>
        </w:rPr>
        <w:t>en</w:t>
      </w:r>
      <w:r>
        <w:rPr>
          <w:color w:val="231F20"/>
          <w:spacing w:val="-11"/>
          <w:w w:val="105"/>
        </w:rPr>
        <w:t> </w:t>
      </w:r>
      <w:r>
        <w:rPr>
          <w:color w:val="231F20"/>
          <w:w w:val="105"/>
        </w:rPr>
        <w:t>alrededor</w:t>
      </w:r>
      <w:r>
        <w:rPr>
          <w:color w:val="231F20"/>
          <w:spacing w:val="-11"/>
          <w:w w:val="105"/>
        </w:rPr>
        <w:t> </w:t>
      </w:r>
      <w:r>
        <w:rPr>
          <w:color w:val="231F20"/>
          <w:w w:val="105"/>
        </w:rPr>
        <w:t>de</w:t>
      </w:r>
      <w:r>
        <w:rPr>
          <w:color w:val="231F20"/>
          <w:spacing w:val="-11"/>
          <w:w w:val="105"/>
        </w:rPr>
        <w:t> </w:t>
      </w:r>
      <w:r>
        <w:rPr>
          <w:color w:val="231F20"/>
          <w:w w:val="105"/>
        </w:rPr>
        <w:t>700</w:t>
      </w:r>
      <w:r>
        <w:rPr>
          <w:color w:val="231F20"/>
          <w:spacing w:val="-11"/>
          <w:w w:val="105"/>
        </w:rPr>
        <w:t> </w:t>
      </w:r>
      <w:r>
        <w:rPr>
          <w:color w:val="231F20"/>
          <w:w w:val="105"/>
        </w:rPr>
        <w:t>mil</w:t>
      </w:r>
      <w:r>
        <w:rPr>
          <w:color w:val="231F20"/>
          <w:spacing w:val="-11"/>
          <w:w w:val="105"/>
        </w:rPr>
        <w:t> </w:t>
      </w:r>
      <w:r>
        <w:rPr>
          <w:color w:val="231F20"/>
          <w:w w:val="105"/>
        </w:rPr>
        <w:t>eventos</w:t>
      </w:r>
      <w:r>
        <w:rPr>
          <w:color w:val="231F20"/>
          <w:spacing w:val="-11"/>
          <w:w w:val="105"/>
        </w:rPr>
        <w:t> </w:t>
      </w:r>
      <w:r>
        <w:rPr>
          <w:color w:val="231F20"/>
          <w:w w:val="105"/>
        </w:rPr>
        <w:t>entre</w:t>
      </w:r>
      <w:r>
        <w:rPr>
          <w:color w:val="231F20"/>
          <w:spacing w:val="-11"/>
          <w:w w:val="105"/>
        </w:rPr>
        <w:t> </w:t>
      </w:r>
      <w:r>
        <w:rPr>
          <w:color w:val="231F20"/>
          <w:w w:val="105"/>
        </w:rPr>
        <w:t>noviembre</w:t>
      </w:r>
      <w:r>
        <w:rPr>
          <w:color w:val="231F20"/>
          <w:spacing w:val="-11"/>
          <w:w w:val="105"/>
        </w:rPr>
        <w:t> </w:t>
      </w:r>
      <w:r>
        <w:rPr>
          <w:color w:val="231F20"/>
          <w:w w:val="105"/>
        </w:rPr>
        <w:t>de</w:t>
      </w:r>
      <w:r>
        <w:rPr>
          <w:color w:val="231F20"/>
          <w:spacing w:val="-11"/>
          <w:w w:val="105"/>
        </w:rPr>
        <w:t> </w:t>
      </w:r>
      <w:r>
        <w:rPr>
          <w:color w:val="231F20"/>
          <w:w w:val="105"/>
        </w:rPr>
        <w:t>1986 y</w:t>
      </w:r>
      <w:r>
        <w:rPr>
          <w:color w:val="231F20"/>
          <w:spacing w:val="-22"/>
          <w:w w:val="105"/>
        </w:rPr>
        <w:t> </w:t>
      </w:r>
      <w:r>
        <w:rPr>
          <w:color w:val="231F20"/>
          <w:w w:val="105"/>
        </w:rPr>
        <w:t>septiembre</w:t>
      </w:r>
      <w:r>
        <w:rPr>
          <w:color w:val="231F20"/>
          <w:spacing w:val="-22"/>
          <w:w w:val="105"/>
        </w:rPr>
        <w:t> </w:t>
      </w:r>
      <w:r>
        <w:rPr>
          <w:color w:val="231F20"/>
          <w:w w:val="105"/>
        </w:rPr>
        <w:t>de</w:t>
      </w:r>
      <w:r>
        <w:rPr>
          <w:color w:val="231F20"/>
          <w:spacing w:val="-22"/>
          <w:w w:val="105"/>
        </w:rPr>
        <w:t> </w:t>
      </w:r>
      <w:r>
        <w:rPr>
          <w:color w:val="231F20"/>
          <w:w w:val="105"/>
        </w:rPr>
        <w:t>1988</w:t>
      </w:r>
      <w:r>
        <w:rPr>
          <w:color w:val="231F20"/>
          <w:spacing w:val="-22"/>
          <w:w w:val="105"/>
        </w:rPr>
        <w:t> </w:t>
      </w:r>
      <w:r>
        <w:rPr>
          <w:color w:val="231F20"/>
          <w:w w:val="105"/>
        </w:rPr>
        <w:t>(White,</w:t>
      </w:r>
      <w:r>
        <w:rPr>
          <w:color w:val="231F20"/>
          <w:spacing w:val="-26"/>
          <w:w w:val="105"/>
        </w:rPr>
        <w:t> </w:t>
      </w:r>
      <w:r>
        <w:rPr>
          <w:color w:val="231F20"/>
          <w:w w:val="105"/>
        </w:rPr>
        <w:t>Bean</w:t>
      </w:r>
      <w:r>
        <w:rPr>
          <w:color w:val="231F20"/>
          <w:spacing w:val="-22"/>
          <w:w w:val="105"/>
        </w:rPr>
        <w:t> </w:t>
      </w:r>
      <w:r>
        <w:rPr>
          <w:color w:val="231F20"/>
          <w:w w:val="105"/>
        </w:rPr>
        <w:t>y</w:t>
      </w:r>
      <w:r>
        <w:rPr>
          <w:color w:val="231F20"/>
          <w:spacing w:val="-22"/>
          <w:w w:val="105"/>
        </w:rPr>
        <w:t> </w:t>
      </w:r>
      <w:r>
        <w:rPr>
          <w:color w:val="231F20"/>
          <w:w w:val="105"/>
        </w:rPr>
        <w:t>Espenshade,</w:t>
      </w:r>
      <w:r>
        <w:rPr>
          <w:color w:val="231F20"/>
          <w:spacing w:val="-26"/>
          <w:w w:val="105"/>
        </w:rPr>
        <w:t> </w:t>
      </w:r>
      <w:r>
        <w:rPr>
          <w:color w:val="231F20"/>
          <w:w w:val="105"/>
        </w:rPr>
        <w:t>1990:</w:t>
      </w:r>
      <w:r>
        <w:rPr>
          <w:color w:val="231F20"/>
          <w:spacing w:val="-22"/>
          <w:w w:val="105"/>
        </w:rPr>
        <w:t> </w:t>
      </w:r>
      <w:r>
        <w:rPr>
          <w:color w:val="231F20"/>
          <w:w w:val="105"/>
        </w:rPr>
        <w:t>110).</w:t>
      </w:r>
    </w:p>
    <w:p>
      <w:pPr>
        <w:pStyle w:val="BodyText"/>
        <w:spacing w:line="261" w:lineRule="auto" w:before="1"/>
        <w:ind w:left="1723" w:right="1835" w:firstLine="567"/>
        <w:jc w:val="both"/>
      </w:pPr>
      <w:r>
        <w:rPr>
          <w:color w:val="231F20"/>
          <w:w w:val="105"/>
        </w:rPr>
        <w:t>Aunque</w:t>
      </w:r>
      <w:r>
        <w:rPr>
          <w:color w:val="231F20"/>
          <w:spacing w:val="-11"/>
          <w:w w:val="105"/>
        </w:rPr>
        <w:t> </w:t>
      </w:r>
      <w:r>
        <w:rPr>
          <w:color w:val="231F20"/>
          <w:w w:val="105"/>
        </w:rPr>
        <w:t>la</w:t>
      </w:r>
      <w:r>
        <w:rPr>
          <w:color w:val="231F20"/>
          <w:spacing w:val="-11"/>
          <w:w w:val="105"/>
        </w:rPr>
        <w:t> </w:t>
      </w:r>
      <w:r>
        <w:rPr>
          <w:color w:val="231F20"/>
          <w:w w:val="105"/>
          <w:sz w:val="17"/>
        </w:rPr>
        <w:t>IRCA </w:t>
      </w:r>
      <w:r>
        <w:rPr>
          <w:color w:val="231F20"/>
          <w:w w:val="105"/>
        </w:rPr>
        <w:t>contenía</w:t>
      </w:r>
      <w:r>
        <w:rPr>
          <w:color w:val="231F20"/>
          <w:spacing w:val="-11"/>
          <w:w w:val="105"/>
        </w:rPr>
        <w:t> </w:t>
      </w:r>
      <w:r>
        <w:rPr>
          <w:color w:val="231F20"/>
          <w:w w:val="105"/>
        </w:rPr>
        <w:t>disposiciones</w:t>
      </w:r>
      <w:r>
        <w:rPr>
          <w:color w:val="231F20"/>
          <w:spacing w:val="-11"/>
          <w:w w:val="105"/>
        </w:rPr>
        <w:t> </w:t>
      </w:r>
      <w:r>
        <w:rPr>
          <w:color w:val="231F20"/>
          <w:w w:val="105"/>
        </w:rPr>
        <w:t>restrictivas</w:t>
      </w:r>
      <w:r>
        <w:rPr>
          <w:color w:val="231F20"/>
          <w:spacing w:val="-11"/>
          <w:w w:val="105"/>
        </w:rPr>
        <w:t> </w:t>
      </w:r>
      <w:r>
        <w:rPr>
          <w:color w:val="231F20"/>
          <w:w w:val="105"/>
        </w:rPr>
        <w:t>y</w:t>
      </w:r>
      <w:r>
        <w:rPr>
          <w:color w:val="231F20"/>
          <w:spacing w:val="-11"/>
          <w:w w:val="105"/>
        </w:rPr>
        <w:t> </w:t>
      </w:r>
      <w:r>
        <w:rPr>
          <w:color w:val="231F20"/>
          <w:w w:val="105"/>
        </w:rPr>
        <w:t>liberales,</w:t>
      </w:r>
      <w:r>
        <w:rPr>
          <w:color w:val="231F20"/>
          <w:spacing w:val="-15"/>
          <w:w w:val="105"/>
        </w:rPr>
        <w:t> </w:t>
      </w:r>
      <w:r>
        <w:rPr>
          <w:color w:val="231F20"/>
          <w:w w:val="105"/>
        </w:rPr>
        <w:t>per- mitió la legalización de 2.3 millones de mexicanos no documentados (Massey</w:t>
      </w:r>
      <w:r>
        <w:rPr>
          <w:color w:val="231F20"/>
          <w:spacing w:val="-17"/>
          <w:w w:val="105"/>
        </w:rPr>
        <w:t> </w:t>
      </w:r>
      <w:r>
        <w:rPr>
          <w:rFonts w:ascii="Arial" w:hAnsi="Arial"/>
          <w:i/>
          <w:color w:val="231F20"/>
          <w:w w:val="105"/>
        </w:rPr>
        <w:t>et</w:t>
      </w:r>
      <w:r>
        <w:rPr>
          <w:rFonts w:ascii="Arial" w:hAnsi="Arial"/>
          <w:i/>
          <w:color w:val="231F20"/>
          <w:spacing w:val="-19"/>
          <w:w w:val="105"/>
        </w:rPr>
        <w:t> </w:t>
      </w:r>
      <w:r>
        <w:rPr>
          <w:rFonts w:ascii="Arial" w:hAnsi="Arial"/>
          <w:i/>
          <w:color w:val="231F20"/>
          <w:w w:val="105"/>
        </w:rPr>
        <w:t>al.,</w:t>
      </w:r>
      <w:r>
        <w:rPr>
          <w:rFonts w:ascii="Arial" w:hAnsi="Arial"/>
          <w:i/>
          <w:color w:val="231F20"/>
          <w:spacing w:val="-19"/>
          <w:w w:val="105"/>
        </w:rPr>
        <w:t> </w:t>
      </w:r>
      <w:r>
        <w:rPr>
          <w:color w:val="231F20"/>
          <w:w w:val="105"/>
        </w:rPr>
        <w:t>2009a:</w:t>
      </w:r>
      <w:r>
        <w:rPr>
          <w:color w:val="231F20"/>
          <w:spacing w:val="-17"/>
          <w:w w:val="105"/>
        </w:rPr>
        <w:t> </w:t>
      </w:r>
      <w:r>
        <w:rPr>
          <w:color w:val="231F20"/>
          <w:w w:val="105"/>
        </w:rPr>
        <w:t>58),</w:t>
      </w:r>
      <w:r>
        <w:rPr>
          <w:color w:val="231F20"/>
          <w:spacing w:val="-22"/>
          <w:w w:val="105"/>
        </w:rPr>
        <w:t> </w:t>
      </w:r>
      <w:r>
        <w:rPr>
          <w:color w:val="231F20"/>
          <w:w w:val="105"/>
        </w:rPr>
        <w:t>además</w:t>
      </w:r>
      <w:r>
        <w:rPr>
          <w:color w:val="231F20"/>
          <w:spacing w:val="-17"/>
          <w:w w:val="105"/>
        </w:rPr>
        <w:t> </w:t>
      </w:r>
      <w:r>
        <w:rPr>
          <w:color w:val="231F20"/>
          <w:w w:val="105"/>
        </w:rPr>
        <w:t>de</w:t>
      </w:r>
      <w:r>
        <w:rPr>
          <w:color w:val="231F20"/>
          <w:spacing w:val="-17"/>
          <w:w w:val="105"/>
        </w:rPr>
        <w:t> </w:t>
      </w:r>
      <w:r>
        <w:rPr>
          <w:color w:val="231F20"/>
          <w:w w:val="105"/>
        </w:rPr>
        <w:t>haber</w:t>
      </w:r>
      <w:r>
        <w:rPr>
          <w:color w:val="231F20"/>
          <w:spacing w:val="-17"/>
          <w:w w:val="105"/>
        </w:rPr>
        <w:t> </w:t>
      </w:r>
      <w:r>
        <w:rPr>
          <w:color w:val="231F20"/>
          <w:w w:val="105"/>
        </w:rPr>
        <w:t>incluido</w:t>
      </w:r>
      <w:r>
        <w:rPr>
          <w:color w:val="231F20"/>
          <w:spacing w:val="-17"/>
          <w:w w:val="105"/>
        </w:rPr>
        <w:t> </w:t>
      </w:r>
      <w:r>
        <w:rPr>
          <w:color w:val="231F20"/>
          <w:w w:val="105"/>
        </w:rPr>
        <w:t>un</w:t>
      </w:r>
      <w:r>
        <w:rPr>
          <w:color w:val="231F20"/>
          <w:spacing w:val="-17"/>
          <w:w w:val="105"/>
        </w:rPr>
        <w:t> </w:t>
      </w:r>
      <w:r>
        <w:rPr>
          <w:color w:val="231F20"/>
          <w:w w:val="105"/>
        </w:rPr>
        <w:t>programa</w:t>
      </w:r>
      <w:r>
        <w:rPr>
          <w:color w:val="231F20"/>
          <w:spacing w:val="-17"/>
          <w:w w:val="105"/>
        </w:rPr>
        <w:t> </w:t>
      </w:r>
      <w:r>
        <w:rPr>
          <w:color w:val="231F20"/>
          <w:w w:val="105"/>
        </w:rPr>
        <w:t>espe- cial de amnistía para trabajadores agrícolas, mediante el que pudieron legalizar su estatus alrededor de 750 mil trabajadores agrícolas de ori- gen</w:t>
      </w:r>
      <w:r>
        <w:rPr>
          <w:color w:val="231F20"/>
          <w:spacing w:val="-9"/>
          <w:w w:val="105"/>
        </w:rPr>
        <w:t> </w:t>
      </w:r>
      <w:r>
        <w:rPr>
          <w:color w:val="231F20"/>
          <w:w w:val="105"/>
        </w:rPr>
        <w:t>mexicano</w:t>
      </w:r>
      <w:r>
        <w:rPr>
          <w:color w:val="231F20"/>
          <w:spacing w:val="-9"/>
          <w:w w:val="105"/>
        </w:rPr>
        <w:t> </w:t>
      </w:r>
      <w:r>
        <w:rPr>
          <w:color w:val="231F20"/>
          <w:w w:val="105"/>
        </w:rPr>
        <w:t>(Arias,</w:t>
      </w:r>
      <w:r>
        <w:rPr>
          <w:color w:val="231F20"/>
          <w:spacing w:val="-15"/>
          <w:w w:val="105"/>
        </w:rPr>
        <w:t> </w:t>
      </w:r>
      <w:r>
        <w:rPr>
          <w:color w:val="231F20"/>
          <w:w w:val="105"/>
        </w:rPr>
        <w:t>2009:</w:t>
      </w:r>
      <w:r>
        <w:rPr>
          <w:color w:val="231F20"/>
          <w:spacing w:val="-9"/>
          <w:w w:val="105"/>
        </w:rPr>
        <w:t> </w:t>
      </w:r>
      <w:r>
        <w:rPr>
          <w:color w:val="231F20"/>
          <w:w w:val="105"/>
        </w:rPr>
        <w:t>132).</w:t>
      </w:r>
      <w:r>
        <w:rPr>
          <w:color w:val="231F20"/>
          <w:spacing w:val="-15"/>
          <w:w w:val="105"/>
        </w:rPr>
        <w:t> </w:t>
      </w:r>
      <w:r>
        <w:rPr>
          <w:color w:val="231F20"/>
          <w:w w:val="105"/>
        </w:rPr>
        <w:t>Los</w:t>
      </w:r>
      <w:r>
        <w:rPr>
          <w:color w:val="231F20"/>
          <w:spacing w:val="-9"/>
          <w:w w:val="105"/>
        </w:rPr>
        <w:t> </w:t>
      </w:r>
      <w:r>
        <w:rPr>
          <w:color w:val="231F20"/>
          <w:w w:val="105"/>
        </w:rPr>
        <w:t>impactos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sz w:val="17"/>
        </w:rPr>
        <w:t>IRCA</w:t>
      </w:r>
      <w:r>
        <w:rPr>
          <w:color w:val="231F20"/>
          <w:spacing w:val="1"/>
          <w:w w:val="105"/>
          <w:sz w:val="17"/>
        </w:rPr>
        <w:t> </w:t>
      </w:r>
      <w:r>
        <w:rPr>
          <w:color w:val="231F20"/>
          <w:w w:val="105"/>
        </w:rPr>
        <w:t>sobre</w:t>
      </w:r>
      <w:r>
        <w:rPr>
          <w:color w:val="231F20"/>
          <w:spacing w:val="-9"/>
          <w:w w:val="105"/>
        </w:rPr>
        <w:t> </w:t>
      </w:r>
      <w:r>
        <w:rPr>
          <w:color w:val="231F20"/>
          <w:w w:val="105"/>
        </w:rPr>
        <w:t>la</w:t>
      </w:r>
      <w:r>
        <w:rPr>
          <w:color w:val="231F20"/>
          <w:spacing w:val="-9"/>
          <w:w w:val="105"/>
        </w:rPr>
        <w:t> </w:t>
      </w:r>
      <w:r>
        <w:rPr>
          <w:color w:val="231F20"/>
          <w:w w:val="105"/>
        </w:rPr>
        <w:t>orga- nización</w:t>
      </w:r>
      <w:r>
        <w:rPr>
          <w:color w:val="231F20"/>
          <w:spacing w:val="-6"/>
          <w:w w:val="105"/>
        </w:rPr>
        <w:t> </w:t>
      </w:r>
      <w:r>
        <w:rPr>
          <w:color w:val="231F20"/>
          <w:w w:val="105"/>
        </w:rPr>
        <w:t>del</w:t>
      </w:r>
      <w:r>
        <w:rPr>
          <w:color w:val="231F20"/>
          <w:spacing w:val="-6"/>
          <w:w w:val="105"/>
        </w:rPr>
        <w:t> </w:t>
      </w:r>
      <w:r>
        <w:rPr>
          <w:color w:val="231F20"/>
          <w:w w:val="105"/>
        </w:rPr>
        <w:t>patrón</w:t>
      </w:r>
      <w:r>
        <w:rPr>
          <w:color w:val="231F20"/>
          <w:spacing w:val="-6"/>
          <w:w w:val="105"/>
        </w:rPr>
        <w:t> </w:t>
      </w:r>
      <w:r>
        <w:rPr>
          <w:color w:val="231F20"/>
          <w:w w:val="105"/>
        </w:rPr>
        <w:t>migratorio</w:t>
      </w:r>
      <w:r>
        <w:rPr>
          <w:color w:val="231F20"/>
          <w:spacing w:val="-6"/>
          <w:w w:val="105"/>
        </w:rPr>
        <w:t> </w:t>
      </w:r>
      <w:r>
        <w:rPr>
          <w:color w:val="231F20"/>
          <w:w w:val="105"/>
        </w:rPr>
        <w:t>México-Estados</w:t>
      </w:r>
      <w:r>
        <w:rPr>
          <w:color w:val="231F20"/>
          <w:spacing w:val="-6"/>
          <w:w w:val="105"/>
        </w:rPr>
        <w:t> </w:t>
      </w:r>
      <w:r>
        <w:rPr>
          <w:color w:val="231F20"/>
          <w:w w:val="105"/>
        </w:rPr>
        <w:t>Unidos</w:t>
      </w:r>
      <w:r>
        <w:rPr>
          <w:color w:val="231F20"/>
          <w:spacing w:val="-6"/>
          <w:w w:val="105"/>
        </w:rPr>
        <w:t> </w:t>
      </w:r>
      <w:r>
        <w:rPr>
          <w:color w:val="231F20"/>
          <w:w w:val="105"/>
        </w:rPr>
        <w:t>transitaron</w:t>
      </w:r>
      <w:r>
        <w:rPr>
          <w:color w:val="231F20"/>
          <w:spacing w:val="-6"/>
          <w:w w:val="105"/>
        </w:rPr>
        <w:t> </w:t>
      </w:r>
      <w:r>
        <w:rPr>
          <w:color w:val="231F20"/>
          <w:w w:val="105"/>
        </w:rPr>
        <w:t>hacia lo</w:t>
      </w:r>
      <w:r>
        <w:rPr>
          <w:color w:val="231F20"/>
          <w:spacing w:val="-6"/>
          <w:w w:val="105"/>
        </w:rPr>
        <w:t> </w:t>
      </w:r>
      <w:r>
        <w:rPr>
          <w:color w:val="231F20"/>
          <w:w w:val="105"/>
        </w:rPr>
        <w:t>que</w:t>
      </w:r>
      <w:r>
        <w:rPr>
          <w:color w:val="231F20"/>
          <w:spacing w:val="-6"/>
          <w:w w:val="105"/>
        </w:rPr>
        <w:t> </w:t>
      </w:r>
      <w:r>
        <w:rPr>
          <w:color w:val="231F20"/>
          <w:w w:val="105"/>
        </w:rPr>
        <w:t>Massey</w:t>
      </w:r>
      <w:r>
        <w:rPr>
          <w:color w:val="231F20"/>
          <w:spacing w:val="-6"/>
          <w:w w:val="105"/>
        </w:rPr>
        <w:t> </w:t>
      </w:r>
      <w:r>
        <w:rPr>
          <w:rFonts w:ascii="Arial" w:hAnsi="Arial"/>
          <w:i/>
          <w:color w:val="231F20"/>
          <w:w w:val="105"/>
        </w:rPr>
        <w:t>et</w:t>
      </w:r>
      <w:r>
        <w:rPr>
          <w:rFonts w:ascii="Arial" w:hAnsi="Arial"/>
          <w:i/>
          <w:color w:val="231F20"/>
          <w:spacing w:val="-9"/>
          <w:w w:val="105"/>
        </w:rPr>
        <w:t> </w:t>
      </w:r>
      <w:r>
        <w:rPr>
          <w:rFonts w:ascii="Arial" w:hAnsi="Arial"/>
          <w:i/>
          <w:color w:val="231F20"/>
          <w:w w:val="105"/>
        </w:rPr>
        <w:t>al.,</w:t>
      </w:r>
      <w:r>
        <w:rPr>
          <w:rFonts w:ascii="Arial" w:hAnsi="Arial"/>
          <w:i/>
          <w:color w:val="231F20"/>
          <w:spacing w:val="-9"/>
          <w:w w:val="105"/>
        </w:rPr>
        <w:t> </w:t>
      </w:r>
      <w:r>
        <w:rPr>
          <w:color w:val="231F20"/>
          <w:w w:val="105"/>
        </w:rPr>
        <w:t>(2009a:</w:t>
      </w:r>
      <w:r>
        <w:rPr>
          <w:color w:val="231F20"/>
          <w:spacing w:val="-6"/>
          <w:w w:val="105"/>
        </w:rPr>
        <w:t> </w:t>
      </w:r>
      <w:r>
        <w:rPr>
          <w:color w:val="231F20"/>
          <w:w w:val="105"/>
        </w:rPr>
        <w:t>57)</w:t>
      </w:r>
      <w:r>
        <w:rPr>
          <w:color w:val="231F20"/>
          <w:spacing w:val="-6"/>
          <w:w w:val="105"/>
        </w:rPr>
        <w:t> </w:t>
      </w:r>
      <w:r>
        <w:rPr>
          <w:color w:val="231F20"/>
          <w:w w:val="105"/>
        </w:rPr>
        <w:t>denominaron</w:t>
      </w:r>
      <w:r>
        <w:rPr>
          <w:color w:val="231F20"/>
          <w:spacing w:val="-6"/>
          <w:w w:val="105"/>
        </w:rPr>
        <w:t> </w:t>
      </w:r>
      <w:r>
        <w:rPr>
          <w:color w:val="231F20"/>
          <w:w w:val="105"/>
        </w:rPr>
        <w:t>una</w:t>
      </w:r>
      <w:r>
        <w:rPr>
          <w:color w:val="231F20"/>
          <w:spacing w:val="-6"/>
          <w:w w:val="105"/>
        </w:rPr>
        <w:t> </w:t>
      </w:r>
      <w:r>
        <w:rPr>
          <w:color w:val="231F20"/>
          <w:w w:val="105"/>
        </w:rPr>
        <w:t>“nueva</w:t>
      </w:r>
      <w:r>
        <w:rPr>
          <w:color w:val="231F20"/>
          <w:spacing w:val="-6"/>
          <w:w w:val="105"/>
        </w:rPr>
        <w:t> </w:t>
      </w:r>
      <w:r>
        <w:rPr>
          <w:color w:val="231F20"/>
          <w:w w:val="105"/>
        </w:rPr>
        <w:t>era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mi- gración” que modificó la composición y el funcionamiento del sistema migratorio, pues antes de la </w:t>
      </w:r>
      <w:r>
        <w:rPr>
          <w:color w:val="231F20"/>
          <w:w w:val="105"/>
          <w:sz w:val="17"/>
        </w:rPr>
        <w:t>IRCA </w:t>
      </w:r>
      <w:r>
        <w:rPr>
          <w:color w:val="231F20"/>
          <w:w w:val="105"/>
        </w:rPr>
        <w:t>se presentaba como un fenómeno de migración circular, masculina y regional, para después pasar a una mi- gración establecida, familiar y de dimensiones nacionales en el país</w:t>
      </w:r>
      <w:r>
        <w:rPr>
          <w:color w:val="231F20"/>
          <w:spacing w:val="-15"/>
          <w:w w:val="105"/>
        </w:rPr>
        <w:t> </w:t>
      </w:r>
      <w:r>
        <w:rPr>
          <w:color w:val="231F20"/>
          <w:w w:val="105"/>
        </w:rPr>
        <w:t>de origen</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destino</w:t>
      </w:r>
      <w:r>
        <w:rPr>
          <w:color w:val="231F20"/>
          <w:spacing w:val="-16"/>
          <w:w w:val="105"/>
        </w:rPr>
        <w:t> </w:t>
      </w:r>
      <w:r>
        <w:rPr>
          <w:color w:val="231F20"/>
          <w:w w:val="105"/>
        </w:rPr>
        <w:t>(Massey</w:t>
      </w:r>
      <w:r>
        <w:rPr>
          <w:color w:val="231F20"/>
          <w:spacing w:val="-16"/>
          <w:w w:val="105"/>
        </w:rPr>
        <w:t> </w:t>
      </w:r>
      <w:r>
        <w:rPr>
          <w:rFonts w:ascii="Arial" w:hAnsi="Arial"/>
          <w:i/>
          <w:color w:val="231F20"/>
          <w:w w:val="105"/>
        </w:rPr>
        <w:t>et</w:t>
      </w:r>
      <w:r>
        <w:rPr>
          <w:rFonts w:ascii="Arial" w:hAnsi="Arial"/>
          <w:i/>
          <w:color w:val="231F20"/>
          <w:spacing w:val="-18"/>
          <w:w w:val="105"/>
        </w:rPr>
        <w:t> </w:t>
      </w:r>
      <w:r>
        <w:rPr>
          <w:rFonts w:ascii="Arial" w:hAnsi="Arial"/>
          <w:i/>
          <w:color w:val="231F20"/>
          <w:w w:val="105"/>
        </w:rPr>
        <w:t>al.,</w:t>
      </w:r>
      <w:r>
        <w:rPr>
          <w:rFonts w:ascii="Arial" w:hAnsi="Arial"/>
          <w:i/>
          <w:color w:val="231F20"/>
          <w:spacing w:val="-18"/>
          <w:w w:val="105"/>
        </w:rPr>
        <w:t> </w:t>
      </w:r>
      <w:r>
        <w:rPr>
          <w:color w:val="231F20"/>
          <w:w w:val="105"/>
        </w:rPr>
        <w:t>2009b:</w:t>
      </w:r>
      <w:r>
        <w:rPr>
          <w:color w:val="231F20"/>
          <w:spacing w:val="-16"/>
          <w:w w:val="105"/>
        </w:rPr>
        <w:t> </w:t>
      </w:r>
      <w:r>
        <w:rPr>
          <w:color w:val="231F20"/>
          <w:w w:val="105"/>
        </w:rPr>
        <w:t>102).</w:t>
      </w:r>
    </w:p>
    <w:p>
      <w:pPr>
        <w:pStyle w:val="BodyText"/>
        <w:rPr>
          <w:sz w:val="20"/>
        </w:rPr>
      </w:pPr>
    </w:p>
    <w:p>
      <w:pPr>
        <w:pStyle w:val="BodyText"/>
        <w:rPr>
          <w:sz w:val="20"/>
        </w:rPr>
      </w:pPr>
    </w:p>
    <w:p>
      <w:pPr>
        <w:pStyle w:val="BodyText"/>
        <w:rPr>
          <w:sz w:val="20"/>
        </w:rPr>
      </w:pPr>
    </w:p>
    <w:p>
      <w:pPr>
        <w:pStyle w:val="BodyText"/>
        <w:spacing w:before="10"/>
        <w:rPr>
          <w:sz w:val="2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4832" from="131.551193pt,3.703715pt" to="131.551193pt,39.506114pt" stroked="true" strokeweight=".35pt" strokecolor="#231f20">
            <w10:wrap type="none"/>
          </v:line>
        </w:pict>
      </w:r>
      <w:r>
        <w:rPr/>
        <w:pict>
          <v:line style="position:absolute;mso-position-horizontal-relative:page;mso-position-vertical-relative:paragraph;z-index:-474760" from="15pt,39.505917pt" to="0pt,39.505917pt" stroked="true" strokeweight=".25pt" strokecolor="#000000">
            <w10:wrap type="none"/>
          </v:line>
        </w:pict>
      </w:r>
      <w:r>
        <w:rPr/>
        <w:pict>
          <v:line style="position:absolute;mso-position-horizontal-relative:page;mso-position-vertical-relative:paragraph;z-index:15448" from="508.890015pt,39.505917pt" to="523.890015pt,39.505917pt" stroked="true" strokeweight=".25pt" strokecolor="#000000">
            <w10:wrap type="none"/>
          </v:line>
        </w:pict>
      </w:r>
      <w:r>
        <w:rPr>
          <w:rFonts w:ascii="Arial" w:hAnsi="Arial"/>
          <w:color w:val="414042"/>
          <w:w w:val="105"/>
          <w:position w:val="-5"/>
          <w:sz w:val="20"/>
        </w:rPr>
        <w:t>152</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5472"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5496" from="15pt,-28.286539pt" to="0pt,-28.286539pt" stroked="true" strokeweight=".25pt" strokecolor="#000000">
            <w10:wrap type="none"/>
          </v:line>
        </w:pict>
      </w:r>
      <w:r>
        <w:rPr/>
        <w:pict>
          <v:line style="position:absolute;mso-position-horizontal-relative:page;mso-position-vertical-relative:paragraph;z-index:15520" from="508.890015pt,-28.286539pt" to="523.890015pt,-28.286539pt" stroked="true" strokeweight=".25pt" strokecolor="#000000">
            <w10:wrap type="none"/>
          </v:line>
        </w:pict>
      </w:r>
      <w:r>
        <w:rPr>
          <w:rFonts w:ascii="Arial"/>
          <w:color w:val="414042"/>
          <w:sz w:val="20"/>
        </w:rPr>
        <w:t>153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19"/>
        </w:rPr>
      </w:pPr>
    </w:p>
    <w:p>
      <w:pPr>
        <w:pStyle w:val="BodyText"/>
        <w:spacing w:line="261" w:lineRule="auto" w:before="1"/>
        <w:ind w:left="1837" w:right="1721"/>
        <w:jc w:val="both"/>
      </w:pPr>
      <w:r>
        <w:rPr>
          <w:color w:val="231F20"/>
          <w:w w:val="105"/>
        </w:rPr>
        <w:t>A</w:t>
      </w:r>
      <w:r>
        <w:rPr>
          <w:color w:val="231F20"/>
          <w:spacing w:val="-12"/>
          <w:w w:val="105"/>
        </w:rPr>
        <w:t> </w:t>
      </w:r>
      <w:r>
        <w:rPr>
          <w:color w:val="231F20"/>
          <w:w w:val="105"/>
        </w:rPr>
        <w:t>esta</w:t>
      </w:r>
      <w:r>
        <w:rPr>
          <w:color w:val="231F20"/>
          <w:spacing w:val="-9"/>
          <w:w w:val="105"/>
        </w:rPr>
        <w:t> </w:t>
      </w:r>
      <w:r>
        <w:rPr>
          <w:color w:val="231F20"/>
          <w:w w:val="105"/>
        </w:rPr>
        <w:t>etapa,</w:t>
      </w:r>
      <w:r>
        <w:rPr>
          <w:color w:val="231F20"/>
          <w:spacing w:val="-14"/>
          <w:w w:val="105"/>
        </w:rPr>
        <w:t> </w:t>
      </w:r>
      <w:r>
        <w:rPr>
          <w:color w:val="231F20"/>
          <w:w w:val="105"/>
        </w:rPr>
        <w:t>según</w:t>
      </w:r>
      <w:r>
        <w:rPr>
          <w:color w:val="231F20"/>
          <w:spacing w:val="-9"/>
          <w:w w:val="105"/>
        </w:rPr>
        <w:t> </w:t>
      </w:r>
      <w:r>
        <w:rPr>
          <w:color w:val="231F20"/>
          <w:w w:val="105"/>
        </w:rPr>
        <w:t>los</w:t>
      </w:r>
      <w:r>
        <w:rPr>
          <w:color w:val="231F20"/>
          <w:spacing w:val="-9"/>
          <w:w w:val="105"/>
        </w:rPr>
        <w:t> </w:t>
      </w:r>
      <w:r>
        <w:rPr>
          <w:color w:val="231F20"/>
          <w:w w:val="105"/>
        </w:rPr>
        <w:t>hallazgos</w:t>
      </w:r>
      <w:r>
        <w:rPr>
          <w:color w:val="231F20"/>
          <w:spacing w:val="-9"/>
          <w:w w:val="105"/>
        </w:rPr>
        <w:t> </w:t>
      </w:r>
      <w:r>
        <w:rPr>
          <w:color w:val="231F20"/>
          <w:w w:val="105"/>
        </w:rPr>
        <w:t>empíricos</w:t>
      </w:r>
      <w:r>
        <w:rPr>
          <w:color w:val="231F20"/>
          <w:spacing w:val="-9"/>
          <w:w w:val="105"/>
        </w:rPr>
        <w:t> </w:t>
      </w:r>
      <w:r>
        <w:rPr>
          <w:color w:val="231F20"/>
          <w:w w:val="105"/>
        </w:rPr>
        <w:t>de</w:t>
      </w:r>
      <w:r>
        <w:rPr>
          <w:color w:val="231F20"/>
          <w:spacing w:val="-9"/>
          <w:w w:val="105"/>
        </w:rPr>
        <w:t> </w:t>
      </w:r>
      <w:r>
        <w:rPr>
          <w:color w:val="231F20"/>
          <w:w w:val="105"/>
        </w:rPr>
        <w:t>estudios</w:t>
      </w:r>
      <w:r>
        <w:rPr>
          <w:color w:val="231F20"/>
          <w:spacing w:val="-9"/>
          <w:w w:val="105"/>
        </w:rPr>
        <w:t> </w:t>
      </w:r>
      <w:r>
        <w:rPr>
          <w:color w:val="231F20"/>
          <w:w w:val="105"/>
        </w:rPr>
        <w:t>recientes,</w:t>
      </w:r>
      <w:r>
        <w:rPr>
          <w:color w:val="231F20"/>
          <w:spacing w:val="-14"/>
          <w:w w:val="105"/>
        </w:rPr>
        <w:t> </w:t>
      </w:r>
      <w:r>
        <w:rPr>
          <w:color w:val="231F20"/>
          <w:w w:val="105"/>
        </w:rPr>
        <w:t>le</w:t>
      </w:r>
      <w:r>
        <w:rPr>
          <w:color w:val="231F20"/>
          <w:spacing w:val="-9"/>
          <w:w w:val="105"/>
        </w:rPr>
        <w:t> </w:t>
      </w:r>
      <w:r>
        <w:rPr>
          <w:color w:val="231F20"/>
          <w:w w:val="105"/>
        </w:rPr>
        <w:t>si- gue</w:t>
      </w:r>
      <w:r>
        <w:rPr>
          <w:color w:val="231F20"/>
          <w:spacing w:val="-10"/>
          <w:w w:val="105"/>
        </w:rPr>
        <w:t> </w:t>
      </w:r>
      <w:r>
        <w:rPr>
          <w:color w:val="231F20"/>
          <w:w w:val="105"/>
        </w:rPr>
        <w:t>una</w:t>
      </w:r>
      <w:r>
        <w:rPr>
          <w:color w:val="231F20"/>
          <w:spacing w:val="-10"/>
          <w:w w:val="105"/>
        </w:rPr>
        <w:t> </w:t>
      </w:r>
      <w:r>
        <w:rPr>
          <w:color w:val="231F20"/>
          <w:w w:val="105"/>
        </w:rPr>
        <w:t>nueva</w:t>
      </w:r>
      <w:r>
        <w:rPr>
          <w:color w:val="231F20"/>
          <w:spacing w:val="-10"/>
          <w:w w:val="105"/>
        </w:rPr>
        <w:t> </w:t>
      </w:r>
      <w:r>
        <w:rPr>
          <w:color w:val="231F20"/>
          <w:w w:val="105"/>
        </w:rPr>
        <w:t>fase</w:t>
      </w:r>
      <w:r>
        <w:rPr>
          <w:color w:val="231F20"/>
          <w:spacing w:val="-10"/>
          <w:w w:val="105"/>
        </w:rPr>
        <w:t> </w:t>
      </w:r>
      <w:r>
        <w:rPr>
          <w:color w:val="231F20"/>
          <w:w w:val="105"/>
        </w:rPr>
        <w:t>migratoria</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construye</w:t>
      </w:r>
      <w:r>
        <w:rPr>
          <w:color w:val="231F20"/>
          <w:spacing w:val="-10"/>
          <w:w w:val="105"/>
        </w:rPr>
        <w:t> </w:t>
      </w:r>
      <w:r>
        <w:rPr>
          <w:color w:val="231F20"/>
          <w:w w:val="105"/>
        </w:rPr>
        <w:t>como</w:t>
      </w:r>
      <w:r>
        <w:rPr>
          <w:color w:val="231F20"/>
          <w:spacing w:val="-10"/>
          <w:w w:val="105"/>
        </w:rPr>
        <w:t> </w:t>
      </w:r>
      <w:r>
        <w:rPr>
          <w:color w:val="231F20"/>
          <w:w w:val="105"/>
        </w:rPr>
        <w:t>un</w:t>
      </w:r>
      <w:r>
        <w:rPr>
          <w:color w:val="231F20"/>
          <w:spacing w:val="-10"/>
          <w:w w:val="105"/>
        </w:rPr>
        <w:t> </w:t>
      </w:r>
      <w:r>
        <w:rPr>
          <w:color w:val="231F20"/>
          <w:w w:val="105"/>
        </w:rPr>
        <w:t>entramado</w:t>
      </w:r>
      <w:r>
        <w:rPr>
          <w:color w:val="231F20"/>
          <w:spacing w:val="-10"/>
          <w:w w:val="105"/>
        </w:rPr>
        <w:t> </w:t>
      </w:r>
      <w:r>
        <w:rPr>
          <w:color w:val="231F20"/>
          <w:w w:val="105"/>
        </w:rPr>
        <w:t>de cambios y continuidades </w:t>
      </w:r>
      <w:r>
        <w:rPr>
          <w:w w:val="105"/>
        </w:rPr>
        <w:t>vinculadas con </w:t>
      </w:r>
      <w:r>
        <w:rPr>
          <w:color w:val="231F20"/>
          <w:w w:val="105"/>
        </w:rPr>
        <w:t>la recesión económica, la xe- nofobia y la violencia antiinmigrante hoy en día vigorizada en Estados Unidos.</w:t>
      </w:r>
      <w:r>
        <w:rPr>
          <w:color w:val="231F20"/>
          <w:spacing w:val="-9"/>
          <w:w w:val="105"/>
        </w:rPr>
        <w:t> </w:t>
      </w:r>
      <w:r>
        <w:rPr>
          <w:color w:val="231F20"/>
          <w:w w:val="105"/>
        </w:rPr>
        <w:t>La</w:t>
      </w:r>
      <w:r>
        <w:rPr>
          <w:color w:val="231F20"/>
          <w:spacing w:val="-4"/>
          <w:w w:val="105"/>
        </w:rPr>
        <w:t> </w:t>
      </w:r>
      <w:r>
        <w:rPr>
          <w:color w:val="231F20"/>
          <w:w w:val="105"/>
        </w:rPr>
        <w:t>fase</w:t>
      </w:r>
      <w:r>
        <w:rPr>
          <w:color w:val="231F20"/>
          <w:spacing w:val="-5"/>
          <w:w w:val="105"/>
        </w:rPr>
        <w:t> </w:t>
      </w:r>
      <w:r>
        <w:rPr>
          <w:color w:val="231F20"/>
          <w:w w:val="105"/>
        </w:rPr>
        <w:t>de</w:t>
      </w:r>
      <w:r>
        <w:rPr>
          <w:color w:val="231F20"/>
          <w:spacing w:val="-4"/>
          <w:w w:val="105"/>
        </w:rPr>
        <w:t> </w:t>
      </w:r>
      <w:r>
        <w:rPr>
          <w:color w:val="231F20"/>
          <w:w w:val="105"/>
        </w:rPr>
        <w:t>la</w:t>
      </w:r>
      <w:r>
        <w:rPr>
          <w:color w:val="231F20"/>
          <w:spacing w:val="-5"/>
          <w:w w:val="105"/>
        </w:rPr>
        <w:t> </w:t>
      </w:r>
      <w:r>
        <w:rPr>
          <w:rFonts w:ascii="Arial" w:hAnsi="Arial"/>
          <w:i/>
          <w:color w:val="231F20"/>
          <w:w w:val="105"/>
        </w:rPr>
        <w:t>contracción</w:t>
      </w:r>
      <w:r>
        <w:rPr>
          <w:rFonts w:ascii="Arial" w:hAnsi="Arial"/>
          <w:i/>
          <w:color w:val="231F20"/>
          <w:spacing w:val="-7"/>
          <w:w w:val="105"/>
        </w:rPr>
        <w:t> </w:t>
      </w:r>
      <w:r>
        <w:rPr>
          <w:rFonts w:ascii="Arial" w:hAnsi="Arial"/>
          <w:i/>
          <w:color w:val="231F20"/>
          <w:w w:val="105"/>
        </w:rPr>
        <w:t>y</w:t>
      </w:r>
      <w:r>
        <w:rPr>
          <w:rFonts w:ascii="Arial" w:hAnsi="Arial"/>
          <w:i/>
          <w:color w:val="231F20"/>
          <w:spacing w:val="-7"/>
          <w:w w:val="105"/>
        </w:rPr>
        <w:t> </w:t>
      </w:r>
      <w:r>
        <w:rPr>
          <w:rFonts w:ascii="Arial" w:hAnsi="Arial"/>
          <w:i/>
          <w:color w:val="231F20"/>
          <w:w w:val="105"/>
        </w:rPr>
        <w:t>desvinculación</w:t>
      </w:r>
      <w:r>
        <w:rPr>
          <w:rFonts w:ascii="Arial" w:hAnsi="Arial"/>
          <w:i/>
          <w:color w:val="231F20"/>
          <w:spacing w:val="-7"/>
          <w:w w:val="105"/>
        </w:rPr>
        <w:t> </w:t>
      </w:r>
      <w:r>
        <w:rPr>
          <w:color w:val="231F20"/>
          <w:w w:val="105"/>
        </w:rPr>
        <w:t>se</w:t>
      </w:r>
      <w:r>
        <w:rPr>
          <w:color w:val="231F20"/>
          <w:spacing w:val="-4"/>
          <w:w w:val="105"/>
        </w:rPr>
        <w:t> </w:t>
      </w:r>
      <w:r>
        <w:rPr>
          <w:color w:val="231F20"/>
          <w:w w:val="105"/>
        </w:rPr>
        <w:t>caracteriza</w:t>
      </w:r>
      <w:r>
        <w:rPr>
          <w:color w:val="231F20"/>
          <w:spacing w:val="-4"/>
          <w:w w:val="105"/>
        </w:rPr>
        <w:t> </w:t>
      </w:r>
      <w:r>
        <w:rPr>
          <w:color w:val="231F20"/>
          <w:w w:val="105"/>
        </w:rPr>
        <w:t>por</w:t>
      </w:r>
      <w:r>
        <w:rPr>
          <w:color w:val="231F20"/>
          <w:spacing w:val="-5"/>
          <w:w w:val="105"/>
        </w:rPr>
        <w:t> </w:t>
      </w:r>
      <w:r>
        <w:rPr>
          <w:color w:val="231F20"/>
          <w:w w:val="105"/>
        </w:rPr>
        <w:t>la inversión</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patrones</w:t>
      </w:r>
      <w:r>
        <w:rPr>
          <w:color w:val="231F20"/>
          <w:spacing w:val="-11"/>
          <w:w w:val="105"/>
        </w:rPr>
        <w:t> </w:t>
      </w:r>
      <w:r>
        <w:rPr>
          <w:color w:val="231F20"/>
          <w:w w:val="105"/>
        </w:rPr>
        <w:t>de</w:t>
      </w:r>
      <w:r>
        <w:rPr>
          <w:color w:val="231F20"/>
          <w:spacing w:val="-11"/>
          <w:w w:val="105"/>
        </w:rPr>
        <w:t> </w:t>
      </w:r>
      <w:r>
        <w:rPr>
          <w:color w:val="231F20"/>
          <w:w w:val="105"/>
        </w:rPr>
        <w:t>auge,</w:t>
      </w:r>
      <w:r>
        <w:rPr>
          <w:color w:val="231F20"/>
          <w:spacing w:val="-16"/>
          <w:w w:val="105"/>
        </w:rPr>
        <w:t> </w:t>
      </w:r>
      <w:r>
        <w:rPr>
          <w:color w:val="231F20"/>
          <w:w w:val="105"/>
        </w:rPr>
        <w:t>la</w:t>
      </w:r>
      <w:r>
        <w:rPr>
          <w:color w:val="231F20"/>
          <w:spacing w:val="-11"/>
          <w:w w:val="105"/>
        </w:rPr>
        <w:t> </w:t>
      </w:r>
      <w:r>
        <w:rPr>
          <w:color w:val="231F20"/>
          <w:w w:val="105"/>
        </w:rPr>
        <w:t>desaceleración</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contracción</w:t>
      </w:r>
      <w:r>
        <w:rPr>
          <w:color w:val="231F20"/>
          <w:spacing w:val="-11"/>
          <w:w w:val="105"/>
        </w:rPr>
        <w:t> </w:t>
      </w:r>
      <w:r>
        <w:rPr>
          <w:color w:val="231F20"/>
          <w:w w:val="105"/>
        </w:rPr>
        <w:t>de los</w:t>
      </w:r>
      <w:r>
        <w:rPr>
          <w:color w:val="231F20"/>
          <w:spacing w:val="-25"/>
          <w:w w:val="105"/>
        </w:rPr>
        <w:t> </w:t>
      </w:r>
      <w:r>
        <w:rPr>
          <w:color w:val="231F20"/>
          <w:w w:val="105"/>
        </w:rPr>
        <w:t>flujos</w:t>
      </w:r>
      <w:r>
        <w:rPr>
          <w:color w:val="231F20"/>
          <w:spacing w:val="-25"/>
          <w:w w:val="105"/>
        </w:rPr>
        <w:t> </w:t>
      </w:r>
      <w:r>
        <w:rPr>
          <w:color w:val="231F20"/>
          <w:w w:val="105"/>
        </w:rPr>
        <w:t>migratorios</w:t>
      </w:r>
      <w:r>
        <w:rPr>
          <w:color w:val="231F20"/>
          <w:spacing w:val="-25"/>
          <w:w w:val="105"/>
        </w:rPr>
        <w:t> </w:t>
      </w:r>
      <w:r>
        <w:rPr>
          <w:color w:val="231F20"/>
          <w:w w:val="105"/>
        </w:rPr>
        <w:t>y</w:t>
      </w:r>
      <w:r>
        <w:rPr>
          <w:color w:val="231F20"/>
          <w:spacing w:val="-25"/>
          <w:w w:val="105"/>
        </w:rPr>
        <w:t> </w:t>
      </w:r>
      <w:r>
        <w:rPr>
          <w:color w:val="231F20"/>
          <w:w w:val="105"/>
        </w:rPr>
        <w:t>las</w:t>
      </w:r>
      <w:r>
        <w:rPr>
          <w:color w:val="231F20"/>
          <w:spacing w:val="-25"/>
          <w:w w:val="105"/>
        </w:rPr>
        <w:t> </w:t>
      </w:r>
      <w:r>
        <w:rPr>
          <w:color w:val="231F20"/>
          <w:w w:val="105"/>
        </w:rPr>
        <w:t>remesas</w:t>
      </w:r>
      <w:r>
        <w:rPr>
          <w:color w:val="231F20"/>
          <w:spacing w:val="-25"/>
          <w:w w:val="105"/>
        </w:rPr>
        <w:t> </w:t>
      </w:r>
      <w:r>
        <w:rPr>
          <w:color w:val="231F20"/>
          <w:w w:val="105"/>
        </w:rPr>
        <w:t>monetarias,</w:t>
      </w:r>
      <w:r>
        <w:rPr>
          <w:color w:val="231F20"/>
          <w:spacing w:val="-30"/>
          <w:w w:val="105"/>
        </w:rPr>
        <w:t> </w:t>
      </w:r>
      <w:r>
        <w:rPr>
          <w:color w:val="231F20"/>
          <w:w w:val="105"/>
        </w:rPr>
        <w:t>así</w:t>
      </w:r>
      <w:r>
        <w:rPr>
          <w:color w:val="231F20"/>
          <w:spacing w:val="-25"/>
          <w:w w:val="105"/>
        </w:rPr>
        <w:t> </w:t>
      </w:r>
      <w:r>
        <w:rPr>
          <w:color w:val="231F20"/>
          <w:w w:val="105"/>
        </w:rPr>
        <w:t>como</w:t>
      </w:r>
      <w:r>
        <w:rPr>
          <w:color w:val="231F20"/>
          <w:spacing w:val="-25"/>
          <w:w w:val="105"/>
        </w:rPr>
        <w:t> </w:t>
      </w:r>
      <w:r>
        <w:rPr>
          <w:color w:val="231F20"/>
          <w:w w:val="105"/>
        </w:rPr>
        <w:t>por</w:t>
      </w:r>
      <w:r>
        <w:rPr>
          <w:color w:val="231F20"/>
          <w:spacing w:val="-25"/>
          <w:w w:val="105"/>
        </w:rPr>
        <w:t> </w:t>
      </w:r>
      <w:r>
        <w:rPr>
          <w:color w:val="231F20"/>
          <w:w w:val="105"/>
        </w:rPr>
        <w:t>la</w:t>
      </w:r>
      <w:r>
        <w:rPr>
          <w:color w:val="231F20"/>
          <w:spacing w:val="-25"/>
          <w:w w:val="105"/>
        </w:rPr>
        <w:t> </w:t>
      </w:r>
      <w:r>
        <w:rPr>
          <w:color w:val="231F20"/>
          <w:w w:val="105"/>
        </w:rPr>
        <w:t>desvincu- lación</w:t>
      </w:r>
      <w:r>
        <w:rPr>
          <w:color w:val="231F20"/>
          <w:spacing w:val="-7"/>
          <w:w w:val="105"/>
        </w:rPr>
        <w:t> </w:t>
      </w:r>
      <w:r>
        <w:rPr>
          <w:color w:val="231F20"/>
          <w:w w:val="105"/>
        </w:rPr>
        <w:t>socioeconómica,</w:t>
      </w:r>
      <w:r>
        <w:rPr>
          <w:color w:val="231F20"/>
          <w:spacing w:val="-13"/>
          <w:w w:val="105"/>
        </w:rPr>
        <w:t> </w:t>
      </w:r>
      <w:r>
        <w:rPr>
          <w:color w:val="231F20"/>
          <w:w w:val="105"/>
        </w:rPr>
        <w:t>política</w:t>
      </w:r>
      <w:r>
        <w:rPr>
          <w:color w:val="231F20"/>
          <w:spacing w:val="-7"/>
          <w:w w:val="105"/>
        </w:rPr>
        <w:t> </w:t>
      </w:r>
      <w:r>
        <w:rPr>
          <w:color w:val="231F20"/>
          <w:w w:val="105"/>
        </w:rPr>
        <w:t>y</w:t>
      </w:r>
      <w:r>
        <w:rPr>
          <w:color w:val="231F20"/>
          <w:spacing w:val="-7"/>
          <w:w w:val="105"/>
        </w:rPr>
        <w:t> </w:t>
      </w:r>
      <w:r>
        <w:rPr>
          <w:color w:val="231F20"/>
          <w:w w:val="105"/>
        </w:rPr>
        <w:t>cultural</w:t>
      </w:r>
      <w:r>
        <w:rPr>
          <w:color w:val="231F20"/>
          <w:spacing w:val="-7"/>
          <w:w w:val="105"/>
        </w:rPr>
        <w:t> </w:t>
      </w:r>
      <w:r>
        <w:rPr>
          <w:color w:val="231F20"/>
          <w:w w:val="105"/>
        </w:rPr>
        <w:t>tanto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migrante en</w:t>
      </w:r>
      <w:r>
        <w:rPr>
          <w:color w:val="231F20"/>
          <w:spacing w:val="-21"/>
          <w:w w:val="105"/>
        </w:rPr>
        <w:t> </w:t>
      </w:r>
      <w:r>
        <w:rPr>
          <w:color w:val="231F20"/>
          <w:w w:val="105"/>
        </w:rPr>
        <w:t>Estados</w:t>
      </w:r>
      <w:r>
        <w:rPr>
          <w:color w:val="231F20"/>
          <w:spacing w:val="-21"/>
          <w:w w:val="105"/>
        </w:rPr>
        <w:t> </w:t>
      </w:r>
      <w:r>
        <w:rPr>
          <w:color w:val="231F20"/>
          <w:w w:val="105"/>
        </w:rPr>
        <w:t>Unidos</w:t>
      </w:r>
      <w:r>
        <w:rPr>
          <w:color w:val="231F20"/>
          <w:spacing w:val="-21"/>
          <w:w w:val="105"/>
        </w:rPr>
        <w:t> </w:t>
      </w:r>
      <w:r>
        <w:rPr>
          <w:color w:val="231F20"/>
          <w:w w:val="105"/>
        </w:rPr>
        <w:t>con</w:t>
      </w:r>
      <w:r>
        <w:rPr>
          <w:color w:val="231F20"/>
          <w:spacing w:val="-21"/>
          <w:w w:val="105"/>
        </w:rPr>
        <w:t> </w:t>
      </w:r>
      <w:r>
        <w:rPr>
          <w:color w:val="231F20"/>
          <w:w w:val="105"/>
        </w:rPr>
        <w:t>sus</w:t>
      </w:r>
      <w:r>
        <w:rPr>
          <w:color w:val="231F20"/>
          <w:spacing w:val="-21"/>
          <w:w w:val="105"/>
        </w:rPr>
        <w:t> </w:t>
      </w:r>
      <w:r>
        <w:rPr>
          <w:color w:val="231F20"/>
          <w:w w:val="105"/>
        </w:rPr>
        <w:t>lugares</w:t>
      </w:r>
      <w:r>
        <w:rPr>
          <w:color w:val="231F20"/>
          <w:spacing w:val="-21"/>
          <w:w w:val="105"/>
        </w:rPr>
        <w:t> </w:t>
      </w:r>
      <w:r>
        <w:rPr>
          <w:color w:val="231F20"/>
          <w:w w:val="105"/>
        </w:rPr>
        <w:t>de</w:t>
      </w:r>
      <w:r>
        <w:rPr>
          <w:color w:val="231F20"/>
          <w:spacing w:val="-21"/>
          <w:w w:val="105"/>
        </w:rPr>
        <w:t> </w:t>
      </w:r>
      <w:r>
        <w:rPr>
          <w:color w:val="231F20"/>
          <w:w w:val="105"/>
        </w:rPr>
        <w:t>origen</w:t>
      </w:r>
      <w:r>
        <w:rPr>
          <w:color w:val="231F20"/>
          <w:spacing w:val="-21"/>
          <w:w w:val="105"/>
        </w:rPr>
        <w:t> </w:t>
      </w:r>
      <w:r>
        <w:rPr>
          <w:color w:val="231F20"/>
          <w:w w:val="105"/>
        </w:rPr>
        <w:t>en</w:t>
      </w:r>
      <w:r>
        <w:rPr>
          <w:color w:val="231F20"/>
          <w:spacing w:val="-21"/>
          <w:w w:val="105"/>
        </w:rPr>
        <w:t> </w:t>
      </w:r>
      <w:r>
        <w:rPr>
          <w:color w:val="231F20"/>
          <w:w w:val="105"/>
        </w:rPr>
        <w:t>México</w:t>
      </w:r>
      <w:r>
        <w:rPr>
          <w:color w:val="231F20"/>
          <w:spacing w:val="-21"/>
          <w:w w:val="105"/>
        </w:rPr>
        <w:t> </w:t>
      </w:r>
      <w:r>
        <w:rPr>
          <w:color w:val="231F20"/>
          <w:w w:val="105"/>
        </w:rPr>
        <w:t>(Jardón,</w:t>
      </w:r>
      <w:r>
        <w:rPr>
          <w:color w:val="231F20"/>
          <w:spacing w:val="-25"/>
          <w:w w:val="105"/>
        </w:rPr>
        <w:t> </w:t>
      </w:r>
      <w:r>
        <w:rPr>
          <w:color w:val="231F20"/>
          <w:w w:val="105"/>
        </w:rPr>
        <w:t>2013).</w:t>
      </w:r>
    </w:p>
    <w:p>
      <w:pPr>
        <w:pStyle w:val="BodyText"/>
        <w:spacing w:line="261" w:lineRule="auto" w:before="1"/>
        <w:ind w:left="1837" w:right="1721" w:firstLine="567"/>
        <w:jc w:val="both"/>
      </w:pP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contexto,</w:t>
      </w:r>
      <w:r>
        <w:rPr>
          <w:color w:val="231F20"/>
          <w:spacing w:val="-19"/>
          <w:w w:val="105"/>
        </w:rPr>
        <w:t> </w:t>
      </w:r>
      <w:r>
        <w:rPr>
          <w:color w:val="231F20"/>
          <w:w w:val="105"/>
        </w:rPr>
        <w:t>en</w:t>
      </w:r>
      <w:r>
        <w:rPr>
          <w:color w:val="231F20"/>
          <w:spacing w:val="-15"/>
          <w:w w:val="105"/>
        </w:rPr>
        <w:t> </w:t>
      </w:r>
      <w:r>
        <w:rPr>
          <w:color w:val="231F20"/>
          <w:w w:val="105"/>
        </w:rPr>
        <w:t>una</w:t>
      </w:r>
      <w:r>
        <w:rPr>
          <w:color w:val="231F20"/>
          <w:spacing w:val="-15"/>
          <w:w w:val="105"/>
        </w:rPr>
        <w:t> </w:t>
      </w:r>
      <w:r>
        <w:rPr>
          <w:color w:val="231F20"/>
          <w:w w:val="105"/>
        </w:rPr>
        <w:t>aproximación</w:t>
      </w:r>
      <w:r>
        <w:rPr>
          <w:color w:val="231F20"/>
          <w:spacing w:val="-15"/>
          <w:w w:val="105"/>
        </w:rPr>
        <w:t> </w:t>
      </w:r>
      <w:r>
        <w:rPr>
          <w:color w:val="231F20"/>
          <w:w w:val="105"/>
        </w:rPr>
        <w:t>al</w:t>
      </w:r>
      <w:r>
        <w:rPr>
          <w:color w:val="231F20"/>
          <w:spacing w:val="-15"/>
          <w:w w:val="105"/>
        </w:rPr>
        <w:t> </w:t>
      </w:r>
      <w:r>
        <w:rPr>
          <w:color w:val="231F20"/>
          <w:w w:val="105"/>
        </w:rPr>
        <w:t>análisis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historia</w:t>
      </w:r>
      <w:r>
        <w:rPr>
          <w:color w:val="231F20"/>
          <w:spacing w:val="-15"/>
          <w:w w:val="105"/>
        </w:rPr>
        <w:t> </w:t>
      </w:r>
      <w:r>
        <w:rPr>
          <w:color w:val="231F20"/>
          <w:w w:val="105"/>
        </w:rPr>
        <w:t>mi- gratoria</w:t>
      </w:r>
      <w:r>
        <w:rPr>
          <w:color w:val="231F20"/>
          <w:spacing w:val="-12"/>
          <w:w w:val="105"/>
        </w:rPr>
        <w:t> </w:t>
      </w:r>
      <w:r>
        <w:rPr>
          <w:color w:val="231F20"/>
          <w:w w:val="105"/>
        </w:rPr>
        <w:t>del</w:t>
      </w:r>
      <w:r>
        <w:rPr>
          <w:color w:val="231F20"/>
          <w:spacing w:val="-12"/>
          <w:w w:val="105"/>
        </w:rPr>
        <w:t> </w:t>
      </w:r>
      <w:r>
        <w:rPr>
          <w:color w:val="231F20"/>
          <w:w w:val="105"/>
        </w:rPr>
        <w:t>Estado</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8"/>
          <w:w w:val="105"/>
        </w:rPr>
        <w:t> </w:t>
      </w:r>
      <w:r>
        <w:rPr>
          <w:color w:val="231F20"/>
          <w:w w:val="105"/>
        </w:rPr>
        <w:t>vemos</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migración</w:t>
      </w:r>
      <w:r>
        <w:rPr>
          <w:color w:val="231F20"/>
          <w:spacing w:val="-12"/>
          <w:w w:val="105"/>
        </w:rPr>
        <w:t> </w:t>
      </w:r>
      <w:r>
        <w:rPr>
          <w:color w:val="231F20"/>
          <w:w w:val="105"/>
        </w:rPr>
        <w:t>internacional</w:t>
      </w:r>
      <w:r>
        <w:rPr>
          <w:color w:val="231F20"/>
          <w:spacing w:val="-12"/>
          <w:w w:val="105"/>
        </w:rPr>
        <w:t> </w:t>
      </w:r>
      <w:r>
        <w:rPr>
          <w:color w:val="231F20"/>
          <w:w w:val="105"/>
        </w:rPr>
        <w:t>tie- ne</w:t>
      </w:r>
      <w:r>
        <w:rPr>
          <w:color w:val="231F20"/>
          <w:spacing w:val="-11"/>
          <w:w w:val="105"/>
        </w:rPr>
        <w:t> </w:t>
      </w:r>
      <w:r>
        <w:rPr>
          <w:color w:val="231F20"/>
          <w:w w:val="105"/>
        </w:rPr>
        <w:t>sus</w:t>
      </w:r>
      <w:r>
        <w:rPr>
          <w:color w:val="231F20"/>
          <w:spacing w:val="-11"/>
          <w:w w:val="105"/>
        </w:rPr>
        <w:t> </w:t>
      </w:r>
      <w:r>
        <w:rPr>
          <w:color w:val="231F20"/>
          <w:w w:val="105"/>
        </w:rPr>
        <w:t>primeros</w:t>
      </w:r>
      <w:r>
        <w:rPr>
          <w:color w:val="231F20"/>
          <w:spacing w:val="-11"/>
          <w:w w:val="105"/>
        </w:rPr>
        <w:t> </w:t>
      </w:r>
      <w:r>
        <w:rPr>
          <w:color w:val="231F20"/>
          <w:w w:val="105"/>
        </w:rPr>
        <w:t>antecedentes</w:t>
      </w:r>
      <w:r>
        <w:rPr>
          <w:color w:val="231F20"/>
          <w:spacing w:val="-11"/>
          <w:w w:val="105"/>
        </w:rPr>
        <w:t> </w:t>
      </w:r>
      <w:r>
        <w:rPr>
          <w:color w:val="231F20"/>
          <w:w w:val="105"/>
        </w:rPr>
        <w:t>[contabilizados]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año</w:t>
      </w:r>
      <w:r>
        <w:rPr>
          <w:color w:val="231F20"/>
          <w:spacing w:val="-11"/>
          <w:w w:val="105"/>
        </w:rPr>
        <w:t> </w:t>
      </w:r>
      <w:r>
        <w:rPr>
          <w:color w:val="231F20"/>
          <w:w w:val="105"/>
        </w:rPr>
        <w:t>de</w:t>
      </w:r>
      <w:r>
        <w:rPr>
          <w:color w:val="231F20"/>
          <w:spacing w:val="-11"/>
          <w:w w:val="105"/>
        </w:rPr>
        <w:t> </w:t>
      </w:r>
      <w:r>
        <w:rPr>
          <w:color w:val="231F20"/>
          <w:w w:val="105"/>
        </w:rPr>
        <w:t>1924,</w:t>
      </w:r>
      <w:r>
        <w:rPr>
          <w:color w:val="231F20"/>
          <w:spacing w:val="-15"/>
          <w:w w:val="105"/>
        </w:rPr>
        <w:t> </w:t>
      </w:r>
      <w:r>
        <w:rPr>
          <w:color w:val="231F20"/>
          <w:w w:val="105"/>
        </w:rPr>
        <w:t>cuan- do la entidad participó con alrededor de 1.8% del flujo de migrantes no documentados</w:t>
      </w:r>
      <w:r>
        <w:rPr>
          <w:color w:val="231F20"/>
          <w:spacing w:val="-25"/>
          <w:w w:val="105"/>
        </w:rPr>
        <w:t> </w:t>
      </w:r>
      <w:r>
        <w:rPr>
          <w:color w:val="231F20"/>
          <w:w w:val="105"/>
        </w:rPr>
        <w:t>hacia</w:t>
      </w:r>
      <w:r>
        <w:rPr>
          <w:color w:val="231F20"/>
          <w:spacing w:val="-25"/>
          <w:w w:val="105"/>
        </w:rPr>
        <w:t> </w:t>
      </w:r>
      <w:r>
        <w:rPr>
          <w:color w:val="231F20"/>
          <w:w w:val="105"/>
        </w:rPr>
        <w:t>Estados</w:t>
      </w:r>
      <w:r>
        <w:rPr>
          <w:color w:val="231F20"/>
          <w:spacing w:val="-25"/>
          <w:w w:val="105"/>
        </w:rPr>
        <w:t> </w:t>
      </w:r>
      <w:r>
        <w:rPr>
          <w:color w:val="231F20"/>
          <w:w w:val="105"/>
        </w:rPr>
        <w:t>Unidos,</w:t>
      </w:r>
      <w:r>
        <w:rPr>
          <w:color w:val="231F20"/>
          <w:spacing w:val="-31"/>
          <w:w w:val="105"/>
        </w:rPr>
        <w:t> </w:t>
      </w:r>
      <w:r>
        <w:rPr>
          <w:color w:val="231F20"/>
          <w:w w:val="105"/>
        </w:rPr>
        <w:t>ocupando</w:t>
      </w:r>
      <w:r>
        <w:rPr>
          <w:color w:val="231F20"/>
          <w:spacing w:val="-25"/>
          <w:w w:val="105"/>
        </w:rPr>
        <w:t> </w:t>
      </w:r>
      <w:r>
        <w:rPr>
          <w:color w:val="231F20"/>
          <w:w w:val="105"/>
        </w:rPr>
        <w:t>la</w:t>
      </w:r>
      <w:r>
        <w:rPr>
          <w:color w:val="231F20"/>
          <w:spacing w:val="-25"/>
          <w:w w:val="105"/>
        </w:rPr>
        <w:t> </w:t>
      </w:r>
      <w:r>
        <w:rPr>
          <w:color w:val="231F20"/>
          <w:w w:val="105"/>
        </w:rPr>
        <w:t>posición</w:t>
      </w:r>
      <w:r>
        <w:rPr>
          <w:color w:val="231F20"/>
          <w:spacing w:val="-25"/>
          <w:w w:val="105"/>
        </w:rPr>
        <w:t> </w:t>
      </w:r>
      <w:r>
        <w:rPr>
          <w:color w:val="231F20"/>
          <w:w w:val="105"/>
        </w:rPr>
        <w:t>catorce</w:t>
      </w:r>
      <w:r>
        <w:rPr>
          <w:color w:val="231F20"/>
          <w:spacing w:val="-25"/>
          <w:w w:val="105"/>
        </w:rPr>
        <w:t> </w:t>
      </w:r>
      <w:r>
        <w:rPr>
          <w:color w:val="231F20"/>
          <w:w w:val="105"/>
        </w:rPr>
        <w:t>en</w:t>
      </w:r>
      <w:r>
        <w:rPr>
          <w:color w:val="231F20"/>
          <w:spacing w:val="-25"/>
          <w:w w:val="105"/>
        </w:rPr>
        <w:t> </w:t>
      </w:r>
      <w:r>
        <w:rPr>
          <w:color w:val="231F20"/>
          <w:w w:val="105"/>
        </w:rPr>
        <w:t>el contexto</w:t>
      </w:r>
      <w:r>
        <w:rPr>
          <w:color w:val="231F20"/>
          <w:spacing w:val="-34"/>
          <w:w w:val="105"/>
        </w:rPr>
        <w:t> </w:t>
      </w:r>
      <w:r>
        <w:rPr>
          <w:color w:val="231F20"/>
          <w:w w:val="105"/>
        </w:rPr>
        <w:t>nacional</w:t>
      </w:r>
      <w:r>
        <w:rPr>
          <w:color w:val="231F20"/>
          <w:spacing w:val="-34"/>
          <w:w w:val="105"/>
        </w:rPr>
        <w:t> </w:t>
      </w:r>
      <w:r>
        <w:rPr>
          <w:color w:val="231F20"/>
          <w:w w:val="105"/>
        </w:rPr>
        <w:t>(González,</w:t>
      </w:r>
      <w:r>
        <w:rPr>
          <w:color w:val="231F20"/>
          <w:spacing w:val="-37"/>
          <w:w w:val="105"/>
        </w:rPr>
        <w:t> </w:t>
      </w:r>
      <w:r>
        <w:rPr>
          <w:color w:val="231F20"/>
          <w:w w:val="105"/>
        </w:rPr>
        <w:t>1998:</w:t>
      </w:r>
      <w:r>
        <w:rPr>
          <w:color w:val="231F20"/>
          <w:spacing w:val="-34"/>
          <w:w w:val="105"/>
        </w:rPr>
        <w:t> </w:t>
      </w:r>
      <w:r>
        <w:rPr>
          <w:color w:val="231F20"/>
          <w:w w:val="105"/>
        </w:rPr>
        <w:t>117</w:t>
      </w:r>
      <w:r>
        <w:rPr>
          <w:color w:val="231F20"/>
          <w:spacing w:val="-34"/>
          <w:w w:val="105"/>
        </w:rPr>
        <w:t> </w:t>
      </w:r>
      <w:r>
        <w:rPr>
          <w:color w:val="231F20"/>
          <w:w w:val="105"/>
        </w:rPr>
        <w:t>y</w:t>
      </w:r>
      <w:r>
        <w:rPr>
          <w:color w:val="231F20"/>
          <w:spacing w:val="-34"/>
          <w:w w:val="105"/>
        </w:rPr>
        <w:t> </w:t>
      </w:r>
      <w:r>
        <w:rPr>
          <w:color w:val="231F20"/>
          <w:w w:val="105"/>
        </w:rPr>
        <w:t>2002:</w:t>
      </w:r>
      <w:r>
        <w:rPr>
          <w:color w:val="231F20"/>
          <w:spacing w:val="-34"/>
          <w:w w:val="105"/>
        </w:rPr>
        <w:t> </w:t>
      </w:r>
      <w:r>
        <w:rPr>
          <w:color w:val="231F20"/>
          <w:w w:val="105"/>
        </w:rPr>
        <w:t>112).</w:t>
      </w:r>
      <w:r>
        <w:rPr>
          <w:color w:val="231F20"/>
          <w:spacing w:val="-40"/>
          <w:w w:val="105"/>
        </w:rPr>
        <w:t> </w:t>
      </w:r>
      <w:r>
        <w:rPr>
          <w:color w:val="231F20"/>
          <w:w w:val="105"/>
        </w:rPr>
        <w:t>Así</w:t>
      </w:r>
      <w:r>
        <w:rPr>
          <w:color w:val="231F20"/>
          <w:spacing w:val="-34"/>
          <w:w w:val="105"/>
        </w:rPr>
        <w:t> </w:t>
      </w:r>
      <w:r>
        <w:rPr>
          <w:color w:val="231F20"/>
          <w:w w:val="105"/>
        </w:rPr>
        <w:t>entonces,</w:t>
      </w:r>
      <w:r>
        <w:rPr>
          <w:color w:val="231F20"/>
          <w:spacing w:val="-37"/>
          <w:w w:val="105"/>
        </w:rPr>
        <w:t> </w:t>
      </w:r>
      <w:r>
        <w:rPr>
          <w:color w:val="231F20"/>
          <w:w w:val="105"/>
        </w:rPr>
        <w:t>según la</w:t>
      </w:r>
      <w:r>
        <w:rPr>
          <w:color w:val="231F20"/>
          <w:spacing w:val="-24"/>
          <w:w w:val="105"/>
        </w:rPr>
        <w:t> </w:t>
      </w:r>
      <w:r>
        <w:rPr>
          <w:color w:val="231F20"/>
          <w:w w:val="105"/>
        </w:rPr>
        <w:t>regionalización</w:t>
      </w:r>
      <w:r>
        <w:rPr>
          <w:color w:val="231F20"/>
          <w:spacing w:val="-24"/>
          <w:w w:val="105"/>
        </w:rPr>
        <w:t> </w:t>
      </w:r>
      <w:r>
        <w:rPr>
          <w:color w:val="231F20"/>
          <w:w w:val="105"/>
        </w:rPr>
        <w:t>y</w:t>
      </w:r>
      <w:r>
        <w:rPr>
          <w:color w:val="231F20"/>
          <w:spacing w:val="-24"/>
          <w:w w:val="105"/>
        </w:rPr>
        <w:t> </w:t>
      </w:r>
      <w:r>
        <w:rPr>
          <w:color w:val="231F20"/>
          <w:w w:val="105"/>
        </w:rPr>
        <w:t>diversificación</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orígenes</w:t>
      </w:r>
      <w:r>
        <w:rPr>
          <w:color w:val="231F20"/>
          <w:spacing w:val="-24"/>
          <w:w w:val="105"/>
        </w:rPr>
        <w:t> </w:t>
      </w:r>
      <w:r>
        <w:rPr>
          <w:color w:val="231F20"/>
          <w:w w:val="105"/>
        </w:rPr>
        <w:t>migratorios,</w:t>
      </w:r>
      <w:r>
        <w:rPr>
          <w:color w:val="231F20"/>
          <w:spacing w:val="-28"/>
          <w:w w:val="105"/>
        </w:rPr>
        <w:t> </w:t>
      </w:r>
      <w:r>
        <w:rPr>
          <w:color w:val="231F20"/>
          <w:w w:val="105"/>
        </w:rPr>
        <w:t>aun</w:t>
      </w:r>
      <w:r>
        <w:rPr>
          <w:color w:val="231F20"/>
          <w:spacing w:val="-24"/>
          <w:w w:val="105"/>
        </w:rPr>
        <w:t> </w:t>
      </w:r>
      <w:r>
        <w:rPr>
          <w:color w:val="231F20"/>
          <w:w w:val="105"/>
        </w:rPr>
        <w:t>cuan- do el Estado de México está incluido dentro de las llamadas regiones emergentes,</w:t>
      </w:r>
      <w:r>
        <w:rPr>
          <w:color w:val="231F20"/>
          <w:spacing w:val="-28"/>
          <w:w w:val="105"/>
        </w:rPr>
        <w:t> </w:t>
      </w:r>
      <w:r>
        <w:rPr>
          <w:color w:val="231F20"/>
          <w:w w:val="105"/>
        </w:rPr>
        <w:t>encontramos</w:t>
      </w:r>
      <w:r>
        <w:rPr>
          <w:color w:val="231F20"/>
          <w:spacing w:val="-23"/>
          <w:w w:val="105"/>
        </w:rPr>
        <w:t> </w:t>
      </w:r>
      <w:r>
        <w:rPr>
          <w:color w:val="231F20"/>
          <w:w w:val="105"/>
        </w:rPr>
        <w:t>que</w:t>
      </w:r>
      <w:r>
        <w:rPr>
          <w:color w:val="231F20"/>
          <w:spacing w:val="-23"/>
          <w:w w:val="105"/>
        </w:rPr>
        <w:t> </w:t>
      </w:r>
      <w:r>
        <w:rPr>
          <w:color w:val="231F20"/>
          <w:w w:val="105"/>
        </w:rPr>
        <w:t>su</w:t>
      </w:r>
      <w:r>
        <w:rPr>
          <w:color w:val="231F20"/>
          <w:spacing w:val="-23"/>
          <w:w w:val="105"/>
        </w:rPr>
        <w:t> </w:t>
      </w:r>
      <w:r>
        <w:rPr>
          <w:color w:val="231F20"/>
          <w:w w:val="105"/>
        </w:rPr>
        <w:t>incorporación</w:t>
      </w:r>
      <w:r>
        <w:rPr>
          <w:color w:val="231F20"/>
          <w:spacing w:val="-23"/>
          <w:w w:val="105"/>
        </w:rPr>
        <w:t> </w:t>
      </w:r>
      <w:r>
        <w:rPr>
          <w:color w:val="231F20"/>
          <w:w w:val="105"/>
        </w:rPr>
        <w:t>migratoria</w:t>
      </w:r>
      <w:r>
        <w:rPr>
          <w:color w:val="231F20"/>
          <w:spacing w:val="-23"/>
          <w:w w:val="105"/>
        </w:rPr>
        <w:t> </w:t>
      </w:r>
      <w:r>
        <w:rPr>
          <w:color w:val="231F20"/>
          <w:w w:val="105"/>
        </w:rPr>
        <w:t>al</w:t>
      </w:r>
      <w:r>
        <w:rPr>
          <w:color w:val="231F20"/>
          <w:spacing w:val="-23"/>
          <w:w w:val="105"/>
        </w:rPr>
        <w:t> </w:t>
      </w:r>
      <w:r>
        <w:rPr>
          <w:color w:val="231F20"/>
          <w:w w:val="105"/>
        </w:rPr>
        <w:t>vecino</w:t>
      </w:r>
      <w:r>
        <w:rPr>
          <w:color w:val="231F20"/>
          <w:spacing w:val="-23"/>
          <w:w w:val="105"/>
        </w:rPr>
        <w:t> </w:t>
      </w:r>
      <w:r>
        <w:rPr>
          <w:color w:val="231F20"/>
          <w:w w:val="105"/>
        </w:rPr>
        <w:t>país del</w:t>
      </w:r>
      <w:r>
        <w:rPr>
          <w:color w:val="231F20"/>
          <w:spacing w:val="-9"/>
          <w:w w:val="105"/>
        </w:rPr>
        <w:t> </w:t>
      </w:r>
      <w:r>
        <w:rPr>
          <w:color w:val="231F20"/>
          <w:w w:val="105"/>
        </w:rPr>
        <w:t>norte</w:t>
      </w:r>
      <w:r>
        <w:rPr>
          <w:color w:val="231F20"/>
          <w:spacing w:val="-9"/>
          <w:w w:val="105"/>
        </w:rPr>
        <w:t> </w:t>
      </w:r>
      <w:r>
        <w:rPr>
          <w:color w:val="231F20"/>
          <w:w w:val="105"/>
        </w:rPr>
        <w:t>se</w:t>
      </w:r>
      <w:r>
        <w:rPr>
          <w:color w:val="231F20"/>
          <w:spacing w:val="-9"/>
          <w:w w:val="105"/>
        </w:rPr>
        <w:t> </w:t>
      </w:r>
      <w:r>
        <w:rPr>
          <w:color w:val="231F20"/>
          <w:w w:val="105"/>
        </w:rPr>
        <w:t>remonta</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etapa</w:t>
      </w:r>
      <w:r>
        <w:rPr>
          <w:color w:val="231F20"/>
          <w:spacing w:val="-9"/>
          <w:w w:val="105"/>
        </w:rPr>
        <w:t> </w:t>
      </w:r>
      <w:r>
        <w:rPr>
          <w:color w:val="231F20"/>
          <w:w w:val="105"/>
        </w:rPr>
        <w:t>del</w:t>
      </w:r>
      <w:r>
        <w:rPr>
          <w:color w:val="231F20"/>
          <w:spacing w:val="-9"/>
          <w:w w:val="105"/>
        </w:rPr>
        <w:t> </w:t>
      </w:r>
      <w:r>
        <w:rPr>
          <w:color w:val="231F20"/>
          <w:spacing w:val="-4"/>
          <w:w w:val="105"/>
        </w:rPr>
        <w:t>“enganche”.</w:t>
      </w:r>
    </w:p>
    <w:p>
      <w:pPr>
        <w:pStyle w:val="BodyText"/>
        <w:spacing w:line="261" w:lineRule="auto" w:before="1"/>
        <w:ind w:left="1837" w:right="1721" w:firstLine="567"/>
        <w:jc w:val="both"/>
      </w:pPr>
      <w:r>
        <w:rPr>
          <w:color w:val="231F20"/>
          <w:w w:val="105"/>
        </w:rPr>
        <w:t>Durante el periodo del </w:t>
      </w:r>
      <w:r>
        <w:rPr>
          <w:color w:val="231F20"/>
          <w:spacing w:val="-4"/>
          <w:w w:val="105"/>
        </w:rPr>
        <w:t>Programa </w:t>
      </w:r>
      <w:r>
        <w:rPr>
          <w:color w:val="231F20"/>
          <w:spacing w:val="-3"/>
          <w:w w:val="105"/>
        </w:rPr>
        <w:t>Bracero, </w:t>
      </w:r>
      <w:r>
        <w:rPr>
          <w:color w:val="231F20"/>
          <w:w w:val="105"/>
        </w:rPr>
        <w:t>se estima que el Esta- do de México participó con 3.0% (118,059 migrantes) en 1944 y 1.2% (179,298)</w:t>
      </w:r>
      <w:r>
        <w:rPr>
          <w:color w:val="231F20"/>
          <w:spacing w:val="-21"/>
          <w:w w:val="105"/>
        </w:rPr>
        <w:t> </w:t>
      </w:r>
      <w:r>
        <w:rPr>
          <w:color w:val="231F20"/>
          <w:w w:val="105"/>
        </w:rPr>
        <w:t>en</w:t>
      </w:r>
      <w:r>
        <w:rPr>
          <w:color w:val="231F20"/>
          <w:spacing w:val="-21"/>
          <w:w w:val="105"/>
        </w:rPr>
        <w:t> </w:t>
      </w:r>
      <w:r>
        <w:rPr>
          <w:color w:val="231F20"/>
          <w:w w:val="105"/>
        </w:rPr>
        <w:t>1964.</w:t>
      </w:r>
      <w:r>
        <w:rPr>
          <w:color w:val="231F20"/>
          <w:spacing w:val="-25"/>
          <w:w w:val="105"/>
        </w:rPr>
        <w:t> </w:t>
      </w:r>
      <w:r>
        <w:rPr>
          <w:color w:val="231F20"/>
          <w:w w:val="105"/>
        </w:rPr>
        <w:t>Mientras</w:t>
      </w:r>
      <w:r>
        <w:rPr>
          <w:color w:val="231F20"/>
          <w:spacing w:val="-21"/>
          <w:w w:val="105"/>
        </w:rPr>
        <w:t> </w:t>
      </w:r>
      <w:r>
        <w:rPr>
          <w:color w:val="231F20"/>
          <w:w w:val="105"/>
        </w:rPr>
        <w:t>que</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spacing w:val="-2"/>
          <w:w w:val="105"/>
        </w:rPr>
        <w:t>era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indocumentados</w:t>
      </w:r>
      <w:r>
        <w:rPr>
          <w:color w:val="231F20"/>
          <w:spacing w:val="-21"/>
          <w:w w:val="105"/>
        </w:rPr>
        <w:t> </w:t>
      </w:r>
      <w:r>
        <w:rPr>
          <w:color w:val="231F20"/>
          <w:spacing w:val="-2"/>
          <w:w w:val="105"/>
        </w:rPr>
        <w:t>(1969- </w:t>
      </w:r>
      <w:r>
        <w:rPr>
          <w:color w:val="231F20"/>
          <w:w w:val="105"/>
        </w:rPr>
        <w:t>1987)</w:t>
      </w:r>
      <w:r>
        <w:rPr>
          <w:color w:val="231F20"/>
          <w:spacing w:val="-19"/>
          <w:w w:val="105"/>
        </w:rPr>
        <w:t> </w:t>
      </w:r>
      <w:r>
        <w:rPr>
          <w:color w:val="231F20"/>
          <w:w w:val="105"/>
        </w:rPr>
        <w:t>se</w:t>
      </w:r>
      <w:r>
        <w:rPr>
          <w:color w:val="231F20"/>
          <w:spacing w:val="-19"/>
          <w:w w:val="105"/>
        </w:rPr>
        <w:t> </w:t>
      </w:r>
      <w:r>
        <w:rPr>
          <w:color w:val="231F20"/>
          <w:w w:val="105"/>
        </w:rPr>
        <w:t>calcula</w:t>
      </w:r>
      <w:r>
        <w:rPr>
          <w:color w:val="231F20"/>
          <w:spacing w:val="-19"/>
          <w:w w:val="105"/>
        </w:rPr>
        <w:t> </w:t>
      </w:r>
      <w:r>
        <w:rPr>
          <w:color w:val="231F20"/>
          <w:w w:val="105"/>
        </w:rPr>
        <w:t>[según</w:t>
      </w:r>
      <w:r>
        <w:rPr>
          <w:color w:val="231F20"/>
          <w:spacing w:val="-19"/>
          <w:w w:val="105"/>
        </w:rPr>
        <w:t> </w:t>
      </w:r>
      <w:r>
        <w:rPr>
          <w:color w:val="231F20"/>
          <w:w w:val="105"/>
        </w:rPr>
        <w:t>estadísticas</w:t>
      </w:r>
      <w:r>
        <w:rPr>
          <w:color w:val="231F20"/>
          <w:spacing w:val="-19"/>
          <w:w w:val="105"/>
        </w:rPr>
        <w:t> </w:t>
      </w:r>
      <w:r>
        <w:rPr>
          <w:color w:val="231F20"/>
          <w:w w:val="105"/>
        </w:rPr>
        <w:t>de</w:t>
      </w:r>
      <w:r>
        <w:rPr>
          <w:color w:val="231F20"/>
          <w:spacing w:val="-19"/>
          <w:w w:val="105"/>
        </w:rPr>
        <w:t> </w:t>
      </w:r>
      <w:r>
        <w:rPr>
          <w:color w:val="231F20"/>
          <w:w w:val="105"/>
        </w:rPr>
        <w:t>migrantes</w:t>
      </w:r>
      <w:r>
        <w:rPr>
          <w:color w:val="231F20"/>
          <w:spacing w:val="-19"/>
          <w:w w:val="105"/>
        </w:rPr>
        <w:t> </w:t>
      </w:r>
      <w:r>
        <w:rPr>
          <w:color w:val="231F20"/>
          <w:w w:val="105"/>
        </w:rPr>
        <w:t>indocumentados]</w:t>
      </w:r>
      <w:r>
        <w:rPr>
          <w:color w:val="231F20"/>
          <w:spacing w:val="-19"/>
          <w:w w:val="105"/>
        </w:rPr>
        <w:t> </w:t>
      </w:r>
      <w:r>
        <w:rPr>
          <w:color w:val="231F20"/>
          <w:spacing w:val="-2"/>
          <w:w w:val="105"/>
        </w:rPr>
        <w:t>que </w:t>
      </w:r>
      <w:r>
        <w:rPr>
          <w:color w:val="231F20"/>
          <w:w w:val="105"/>
        </w:rPr>
        <w:t>la</w:t>
      </w:r>
      <w:r>
        <w:rPr>
          <w:color w:val="231F20"/>
          <w:spacing w:val="-29"/>
          <w:w w:val="105"/>
        </w:rPr>
        <w:t> </w:t>
      </w:r>
      <w:r>
        <w:rPr>
          <w:color w:val="231F20"/>
          <w:w w:val="105"/>
        </w:rPr>
        <w:t>entidad</w:t>
      </w:r>
      <w:r>
        <w:rPr>
          <w:color w:val="231F20"/>
          <w:spacing w:val="-29"/>
          <w:w w:val="105"/>
        </w:rPr>
        <w:t> </w:t>
      </w:r>
      <w:r>
        <w:rPr>
          <w:color w:val="231F20"/>
          <w:w w:val="105"/>
        </w:rPr>
        <w:t>expulsó</w:t>
      </w:r>
      <w:r>
        <w:rPr>
          <w:color w:val="231F20"/>
          <w:spacing w:val="-29"/>
          <w:w w:val="105"/>
        </w:rPr>
        <w:t> </w:t>
      </w:r>
      <w:r>
        <w:rPr>
          <w:color w:val="231F20"/>
          <w:spacing w:val="-3"/>
          <w:w w:val="105"/>
        </w:rPr>
        <w:t>entre</w:t>
      </w:r>
      <w:r>
        <w:rPr>
          <w:color w:val="231F20"/>
          <w:spacing w:val="-29"/>
          <w:w w:val="105"/>
        </w:rPr>
        <w:t> </w:t>
      </w:r>
      <w:r>
        <w:rPr>
          <w:color w:val="231F20"/>
          <w:w w:val="105"/>
        </w:rPr>
        <w:t>11.5%</w:t>
      </w:r>
      <w:r>
        <w:rPr>
          <w:color w:val="231F20"/>
          <w:spacing w:val="-29"/>
          <w:w w:val="105"/>
        </w:rPr>
        <w:t> </w:t>
      </w:r>
      <w:r>
        <w:rPr>
          <w:color w:val="231F20"/>
          <w:w w:val="105"/>
        </w:rPr>
        <w:t>y</w:t>
      </w:r>
      <w:r>
        <w:rPr>
          <w:color w:val="231F20"/>
          <w:spacing w:val="-29"/>
          <w:w w:val="105"/>
        </w:rPr>
        <w:t> </w:t>
      </w:r>
      <w:r>
        <w:rPr>
          <w:color w:val="231F20"/>
          <w:w w:val="105"/>
        </w:rPr>
        <w:t>12.2%</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población</w:t>
      </w:r>
      <w:r>
        <w:rPr>
          <w:color w:val="231F20"/>
          <w:spacing w:val="-29"/>
          <w:w w:val="105"/>
        </w:rPr>
        <w:t> </w:t>
      </w:r>
      <w:r>
        <w:rPr>
          <w:color w:val="231F20"/>
          <w:w w:val="105"/>
        </w:rPr>
        <w:t>migrante</w:t>
      </w:r>
      <w:r>
        <w:rPr>
          <w:color w:val="231F20"/>
          <w:spacing w:val="-29"/>
          <w:w w:val="105"/>
        </w:rPr>
        <w:t> </w:t>
      </w:r>
      <w:r>
        <w:rPr>
          <w:color w:val="231F20"/>
          <w:w w:val="105"/>
        </w:rPr>
        <w:t>nacional (González</w:t>
      </w:r>
      <w:r>
        <w:rPr>
          <w:rFonts w:ascii="Arial" w:hAnsi="Arial"/>
          <w:i/>
          <w:color w:val="231F20"/>
          <w:w w:val="105"/>
        </w:rPr>
        <w:t>,</w:t>
      </w:r>
      <w:r>
        <w:rPr>
          <w:rFonts w:ascii="Arial" w:hAnsi="Arial"/>
          <w:i/>
          <w:color w:val="231F20"/>
          <w:spacing w:val="-20"/>
          <w:w w:val="105"/>
        </w:rPr>
        <w:t> </w:t>
      </w:r>
      <w:r>
        <w:rPr>
          <w:color w:val="231F20"/>
          <w:w w:val="105"/>
        </w:rPr>
        <w:t>1998).</w:t>
      </w:r>
      <w:r>
        <w:rPr>
          <w:color w:val="231F20"/>
          <w:spacing w:val="-22"/>
          <w:w w:val="105"/>
        </w:rPr>
        <w:t> </w:t>
      </w:r>
      <w:r>
        <w:rPr>
          <w:color w:val="231F20"/>
          <w:w w:val="105"/>
        </w:rPr>
        <w:t>De</w:t>
      </w:r>
      <w:r>
        <w:rPr>
          <w:color w:val="231F20"/>
          <w:spacing w:val="-17"/>
          <w:w w:val="105"/>
        </w:rPr>
        <w:t> </w:t>
      </w:r>
      <w:r>
        <w:rPr>
          <w:color w:val="231F20"/>
          <w:spacing w:val="-3"/>
          <w:w w:val="105"/>
        </w:rPr>
        <w:t>acuerdo</w:t>
      </w:r>
      <w:r>
        <w:rPr>
          <w:color w:val="231F20"/>
          <w:spacing w:val="-17"/>
          <w:w w:val="105"/>
        </w:rPr>
        <w:t> </w:t>
      </w:r>
      <w:r>
        <w:rPr>
          <w:color w:val="231F20"/>
          <w:w w:val="105"/>
        </w:rPr>
        <w:t>con</w:t>
      </w:r>
      <w:r>
        <w:rPr>
          <w:color w:val="231F20"/>
          <w:spacing w:val="-17"/>
          <w:w w:val="105"/>
        </w:rPr>
        <w:t> </w:t>
      </w:r>
      <w:r>
        <w:rPr>
          <w:color w:val="231F20"/>
          <w:w w:val="105"/>
        </w:rPr>
        <w:t>González</w:t>
      </w:r>
      <w:r>
        <w:rPr>
          <w:color w:val="231F20"/>
          <w:spacing w:val="-17"/>
          <w:w w:val="105"/>
        </w:rPr>
        <w:t> </w:t>
      </w:r>
      <w:r>
        <w:rPr>
          <w:color w:val="231F20"/>
          <w:w w:val="105"/>
        </w:rPr>
        <w:t>(2012:</w:t>
      </w:r>
      <w:r>
        <w:rPr>
          <w:color w:val="231F20"/>
          <w:spacing w:val="-17"/>
          <w:w w:val="105"/>
        </w:rPr>
        <w:t> </w:t>
      </w:r>
      <w:r>
        <w:rPr>
          <w:color w:val="231F20"/>
          <w:w w:val="105"/>
        </w:rPr>
        <w:t>115),</w:t>
      </w:r>
      <w:r>
        <w:rPr>
          <w:color w:val="231F20"/>
          <w:spacing w:val="-22"/>
          <w:w w:val="105"/>
        </w:rPr>
        <w:t> </w:t>
      </w:r>
      <w:r>
        <w:rPr>
          <w:color w:val="231F20"/>
          <w:w w:val="105"/>
        </w:rPr>
        <w:t>estos</w:t>
      </w:r>
      <w:r>
        <w:rPr>
          <w:color w:val="231F20"/>
          <w:spacing w:val="-17"/>
          <w:w w:val="105"/>
        </w:rPr>
        <w:t> </w:t>
      </w:r>
      <w:r>
        <w:rPr>
          <w:color w:val="231F20"/>
          <w:w w:val="105"/>
        </w:rPr>
        <w:t>datos</w:t>
      </w:r>
      <w:r>
        <w:rPr>
          <w:color w:val="231F20"/>
          <w:spacing w:val="-17"/>
          <w:w w:val="105"/>
        </w:rPr>
        <w:t> </w:t>
      </w:r>
      <w:r>
        <w:rPr>
          <w:color w:val="231F20"/>
          <w:w w:val="105"/>
        </w:rPr>
        <w:t>no observan un </w:t>
      </w:r>
      <w:r>
        <w:rPr>
          <w:color w:val="231F20"/>
          <w:spacing w:val="-3"/>
          <w:w w:val="105"/>
        </w:rPr>
        <w:t>patrón </w:t>
      </w:r>
      <w:r>
        <w:rPr>
          <w:color w:val="231F20"/>
          <w:w w:val="105"/>
        </w:rPr>
        <w:t>definido en </w:t>
      </w:r>
      <w:r>
        <w:rPr>
          <w:color w:val="231F20"/>
          <w:spacing w:val="-3"/>
          <w:w w:val="105"/>
        </w:rPr>
        <w:t>relación </w:t>
      </w:r>
      <w:r>
        <w:rPr>
          <w:color w:val="231F20"/>
          <w:w w:val="105"/>
        </w:rPr>
        <w:t>con la </w:t>
      </w:r>
      <w:r>
        <w:rPr>
          <w:color w:val="231F20"/>
          <w:spacing w:val="-3"/>
          <w:w w:val="105"/>
        </w:rPr>
        <w:t>representatividad </w:t>
      </w:r>
      <w:r>
        <w:rPr>
          <w:color w:val="231F20"/>
          <w:w w:val="105"/>
        </w:rPr>
        <w:t>y </w:t>
      </w:r>
      <w:r>
        <w:rPr>
          <w:color w:val="231F20"/>
          <w:spacing w:val="-3"/>
          <w:w w:val="105"/>
        </w:rPr>
        <w:t>par- </w:t>
      </w:r>
      <w:r>
        <w:rPr>
          <w:color w:val="231F20"/>
          <w:w w:val="105"/>
        </w:rPr>
        <w:t>ticipación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migración</w:t>
      </w:r>
      <w:r>
        <w:rPr>
          <w:color w:val="231F20"/>
          <w:spacing w:val="-14"/>
          <w:w w:val="105"/>
        </w:rPr>
        <w:t> </w:t>
      </w:r>
      <w:r>
        <w:rPr>
          <w:color w:val="231F20"/>
          <w:w w:val="105"/>
        </w:rPr>
        <w:t>mexiquense</w:t>
      </w:r>
      <w:r>
        <w:rPr>
          <w:color w:val="231F20"/>
          <w:spacing w:val="-14"/>
          <w:w w:val="105"/>
        </w:rPr>
        <w:t> </w:t>
      </w:r>
      <w:r>
        <w:rPr>
          <w:color w:val="231F20"/>
          <w:w w:val="105"/>
        </w:rPr>
        <w:t>a</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9"/>
          <w:w w:val="105"/>
        </w:rPr>
        <w:t> </w:t>
      </w:r>
      <w:r>
        <w:rPr>
          <w:color w:val="231F20"/>
          <w:w w:val="105"/>
        </w:rPr>
        <w:t>puede</w:t>
      </w:r>
      <w:r>
        <w:rPr>
          <w:color w:val="231F20"/>
          <w:spacing w:val="-14"/>
          <w:w w:val="105"/>
        </w:rPr>
        <w:t> </w:t>
      </w:r>
      <w:r>
        <w:rPr>
          <w:color w:val="231F20"/>
          <w:w w:val="105"/>
        </w:rPr>
        <w:t>decirse que la entidad pasó del vigésimo lugar en 1970 al décimo en 1980, en cuanto</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migración</w:t>
      </w:r>
      <w:r>
        <w:rPr>
          <w:color w:val="231F20"/>
          <w:spacing w:val="-19"/>
          <w:w w:val="105"/>
        </w:rPr>
        <w:t> </w:t>
      </w:r>
      <w:r>
        <w:rPr>
          <w:color w:val="231F20"/>
          <w:w w:val="105"/>
        </w:rPr>
        <w:t>no</w:t>
      </w:r>
      <w:r>
        <w:rPr>
          <w:color w:val="231F20"/>
          <w:spacing w:val="-19"/>
          <w:w w:val="105"/>
        </w:rPr>
        <w:t> </w:t>
      </w:r>
      <w:r>
        <w:rPr>
          <w:color w:val="231F20"/>
          <w:w w:val="105"/>
        </w:rPr>
        <w:t>documentada.</w:t>
      </w:r>
      <w:r>
        <w:rPr>
          <w:color w:val="231F20"/>
          <w:spacing w:val="-24"/>
          <w:w w:val="105"/>
        </w:rPr>
        <w:t> </w:t>
      </w:r>
      <w:r>
        <w:rPr>
          <w:color w:val="231F20"/>
          <w:w w:val="105"/>
        </w:rPr>
        <w:t>No</w:t>
      </w:r>
      <w:r>
        <w:rPr>
          <w:color w:val="231F20"/>
          <w:spacing w:val="-19"/>
          <w:w w:val="105"/>
        </w:rPr>
        <w:t> </w:t>
      </w:r>
      <w:r>
        <w:rPr>
          <w:color w:val="231F20"/>
          <w:w w:val="105"/>
        </w:rPr>
        <w:t>obstante,</w:t>
      </w:r>
      <w:r>
        <w:rPr>
          <w:color w:val="231F20"/>
          <w:spacing w:val="-24"/>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spacing w:val="-3"/>
          <w:w w:val="105"/>
        </w:rPr>
        <w:t>lustro</w:t>
      </w:r>
      <w:r>
        <w:rPr>
          <w:color w:val="231F20"/>
          <w:spacing w:val="-19"/>
          <w:w w:val="105"/>
        </w:rPr>
        <w:t> </w:t>
      </w:r>
      <w:r>
        <w:rPr>
          <w:color w:val="231F20"/>
          <w:w w:val="105"/>
        </w:rPr>
        <w:t>1987- 1992,</w:t>
      </w:r>
      <w:r>
        <w:rPr>
          <w:color w:val="231F20"/>
          <w:spacing w:val="-26"/>
          <w:w w:val="105"/>
        </w:rPr>
        <w:t> </w:t>
      </w:r>
      <w:r>
        <w:rPr>
          <w:color w:val="231F20"/>
          <w:w w:val="105"/>
        </w:rPr>
        <w:t>estimamos</w:t>
      </w:r>
      <w:r>
        <w:rPr>
          <w:color w:val="231F20"/>
          <w:spacing w:val="-21"/>
          <w:w w:val="105"/>
        </w:rPr>
        <w:t> </w:t>
      </w:r>
      <w:r>
        <w:rPr>
          <w:color w:val="231F20"/>
          <w:w w:val="105"/>
        </w:rPr>
        <w:t>que</w:t>
      </w:r>
      <w:r>
        <w:rPr>
          <w:color w:val="231F20"/>
          <w:spacing w:val="-21"/>
          <w:w w:val="105"/>
        </w:rPr>
        <w:t> </w:t>
      </w:r>
      <w:r>
        <w:rPr>
          <w:color w:val="231F20"/>
          <w:w w:val="105"/>
        </w:rPr>
        <w:t>107,826</w:t>
      </w:r>
      <w:r>
        <w:rPr>
          <w:color w:val="231F20"/>
          <w:spacing w:val="-21"/>
          <w:w w:val="105"/>
        </w:rPr>
        <w:t> </w:t>
      </w:r>
      <w:r>
        <w:rPr>
          <w:color w:val="231F20"/>
          <w:w w:val="105"/>
        </w:rPr>
        <w:t>mexiquenses</w:t>
      </w:r>
      <w:r>
        <w:rPr>
          <w:color w:val="231F20"/>
          <w:spacing w:val="-21"/>
          <w:w w:val="105"/>
        </w:rPr>
        <w:t> </w:t>
      </w:r>
      <w:r>
        <w:rPr>
          <w:color w:val="231F20"/>
          <w:spacing w:val="-3"/>
          <w:w w:val="105"/>
        </w:rPr>
        <w:t>salieron</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entidad</w:t>
      </w:r>
      <w:r>
        <w:rPr>
          <w:color w:val="231F20"/>
          <w:spacing w:val="-21"/>
          <w:w w:val="105"/>
        </w:rPr>
        <w:t> </w:t>
      </w:r>
      <w:r>
        <w:rPr>
          <w:color w:val="231F20"/>
          <w:w w:val="105"/>
        </w:rPr>
        <w:t>con</w:t>
      </w:r>
      <w:r>
        <w:rPr>
          <w:color w:val="231F20"/>
          <w:spacing w:val="-21"/>
          <w:w w:val="105"/>
        </w:rPr>
        <w:t> </w:t>
      </w:r>
      <w:r>
        <w:rPr>
          <w:color w:val="231F20"/>
          <w:w w:val="105"/>
        </w:rPr>
        <w:t>la intención</w:t>
      </w:r>
      <w:r>
        <w:rPr>
          <w:color w:val="231F20"/>
          <w:spacing w:val="-29"/>
          <w:w w:val="105"/>
        </w:rPr>
        <w:t> </w:t>
      </w:r>
      <w:r>
        <w:rPr>
          <w:color w:val="231F20"/>
          <w:w w:val="105"/>
        </w:rPr>
        <w:t>de</w:t>
      </w:r>
      <w:r>
        <w:rPr>
          <w:color w:val="231F20"/>
          <w:spacing w:val="-29"/>
          <w:w w:val="105"/>
        </w:rPr>
        <w:t> </w:t>
      </w:r>
      <w:r>
        <w:rPr>
          <w:color w:val="231F20"/>
          <w:w w:val="105"/>
        </w:rPr>
        <w:t>trabajar</w:t>
      </w:r>
      <w:r>
        <w:rPr>
          <w:color w:val="231F20"/>
          <w:spacing w:val="-29"/>
          <w:w w:val="105"/>
        </w:rPr>
        <w:t> </w:t>
      </w:r>
      <w:r>
        <w:rPr>
          <w:color w:val="231F20"/>
          <w:w w:val="105"/>
        </w:rPr>
        <w:t>en</w:t>
      </w:r>
      <w:r>
        <w:rPr>
          <w:color w:val="231F20"/>
          <w:spacing w:val="-29"/>
          <w:w w:val="105"/>
        </w:rPr>
        <w:t> </w:t>
      </w:r>
      <w:r>
        <w:rPr>
          <w:color w:val="231F20"/>
          <w:w w:val="105"/>
        </w:rPr>
        <w:t>Estados</w:t>
      </w:r>
      <w:r>
        <w:rPr>
          <w:color w:val="231F20"/>
          <w:spacing w:val="-29"/>
          <w:w w:val="105"/>
        </w:rPr>
        <w:t> </w:t>
      </w:r>
      <w:r>
        <w:rPr>
          <w:color w:val="231F20"/>
          <w:w w:val="105"/>
        </w:rPr>
        <w:t>Unidos;</w:t>
      </w:r>
      <w:r>
        <w:rPr>
          <w:color w:val="231F20"/>
          <w:spacing w:val="-29"/>
          <w:w w:val="105"/>
        </w:rPr>
        <w:t> </w:t>
      </w:r>
      <w:r>
        <w:rPr>
          <w:color w:val="231F20"/>
          <w:w w:val="105"/>
        </w:rPr>
        <w:t>cantidad</w:t>
      </w:r>
      <w:r>
        <w:rPr>
          <w:color w:val="231F20"/>
          <w:spacing w:val="-29"/>
          <w:w w:val="105"/>
        </w:rPr>
        <w:t> </w:t>
      </w:r>
      <w:r>
        <w:rPr>
          <w:color w:val="231F20"/>
          <w:w w:val="105"/>
        </w:rPr>
        <w:t>que</w:t>
      </w:r>
      <w:r>
        <w:rPr>
          <w:color w:val="231F20"/>
          <w:spacing w:val="-29"/>
          <w:w w:val="105"/>
        </w:rPr>
        <w:t> </w:t>
      </w:r>
      <w:r>
        <w:rPr>
          <w:color w:val="231F20"/>
          <w:w w:val="105"/>
        </w:rPr>
        <w:t>conformó</w:t>
      </w:r>
      <w:r>
        <w:rPr>
          <w:color w:val="231F20"/>
          <w:spacing w:val="-29"/>
          <w:w w:val="105"/>
        </w:rPr>
        <w:t> </w:t>
      </w:r>
      <w:r>
        <w:rPr>
          <w:color w:val="231F20"/>
          <w:w w:val="105"/>
        </w:rPr>
        <w:t>5.7%</w:t>
      </w:r>
      <w:r>
        <w:rPr>
          <w:color w:val="231F20"/>
          <w:spacing w:val="-29"/>
          <w:w w:val="105"/>
        </w:rPr>
        <w:t> </w:t>
      </w:r>
      <w:r>
        <w:rPr>
          <w:color w:val="231F20"/>
          <w:spacing w:val="-2"/>
          <w:w w:val="105"/>
        </w:rPr>
        <w:t>del </w:t>
      </w:r>
      <w:r>
        <w:rPr>
          <w:color w:val="231F20"/>
          <w:w w:val="105"/>
        </w:rPr>
        <w:t>flujo</w:t>
      </w:r>
      <w:r>
        <w:rPr>
          <w:color w:val="231F20"/>
          <w:spacing w:val="-31"/>
          <w:w w:val="105"/>
        </w:rPr>
        <w:t> </w:t>
      </w:r>
      <w:r>
        <w:rPr>
          <w:color w:val="231F20"/>
          <w:w w:val="105"/>
        </w:rPr>
        <w:t>total</w:t>
      </w:r>
      <w:r>
        <w:rPr>
          <w:color w:val="231F20"/>
          <w:spacing w:val="-31"/>
          <w:w w:val="105"/>
        </w:rPr>
        <w:t> </w:t>
      </w:r>
      <w:r>
        <w:rPr>
          <w:color w:val="231F20"/>
          <w:w w:val="105"/>
        </w:rPr>
        <w:t>de</w:t>
      </w:r>
      <w:r>
        <w:rPr>
          <w:color w:val="231F20"/>
          <w:spacing w:val="-31"/>
          <w:w w:val="105"/>
        </w:rPr>
        <w:t> </w:t>
      </w:r>
      <w:r>
        <w:rPr>
          <w:color w:val="231F20"/>
          <w:w w:val="105"/>
        </w:rPr>
        <w:t>migrantes</w:t>
      </w:r>
      <w:r>
        <w:rPr>
          <w:color w:val="231F20"/>
          <w:spacing w:val="-31"/>
          <w:w w:val="105"/>
        </w:rPr>
        <w:t> </w:t>
      </w:r>
      <w:r>
        <w:rPr>
          <w:color w:val="231F20"/>
          <w:w w:val="105"/>
        </w:rPr>
        <w:t>y</w:t>
      </w:r>
      <w:r>
        <w:rPr>
          <w:color w:val="231F20"/>
          <w:spacing w:val="-31"/>
          <w:w w:val="105"/>
        </w:rPr>
        <w:t> </w:t>
      </w:r>
      <w:r>
        <w:rPr>
          <w:color w:val="231F20"/>
          <w:w w:val="105"/>
        </w:rPr>
        <w:t>colocó</w:t>
      </w:r>
      <w:r>
        <w:rPr>
          <w:color w:val="231F20"/>
          <w:spacing w:val="-31"/>
          <w:w w:val="105"/>
        </w:rPr>
        <w:t> </w:t>
      </w:r>
      <w:r>
        <w:rPr>
          <w:color w:val="231F20"/>
          <w:w w:val="105"/>
        </w:rPr>
        <w:t>al</w:t>
      </w:r>
      <w:r>
        <w:rPr>
          <w:color w:val="231F20"/>
          <w:spacing w:val="-31"/>
          <w:w w:val="105"/>
        </w:rPr>
        <w:t> </w:t>
      </w:r>
      <w:r>
        <w:rPr>
          <w:color w:val="231F20"/>
          <w:w w:val="105"/>
        </w:rPr>
        <w:t>Estado</w:t>
      </w:r>
      <w:r>
        <w:rPr>
          <w:color w:val="231F20"/>
          <w:spacing w:val="-31"/>
          <w:w w:val="105"/>
        </w:rPr>
        <w:t> </w:t>
      </w:r>
      <w:r>
        <w:rPr>
          <w:color w:val="231F20"/>
          <w:w w:val="105"/>
        </w:rPr>
        <w:t>de</w:t>
      </w:r>
      <w:r>
        <w:rPr>
          <w:color w:val="231F20"/>
          <w:spacing w:val="-31"/>
          <w:w w:val="105"/>
        </w:rPr>
        <w:t> </w:t>
      </w:r>
      <w:r>
        <w:rPr>
          <w:color w:val="231F20"/>
          <w:w w:val="105"/>
        </w:rPr>
        <w:t>México</w:t>
      </w:r>
      <w:r>
        <w:rPr>
          <w:color w:val="231F20"/>
          <w:spacing w:val="-31"/>
          <w:w w:val="105"/>
        </w:rPr>
        <w:t> </w:t>
      </w:r>
      <w:r>
        <w:rPr>
          <w:color w:val="231F20"/>
          <w:w w:val="105"/>
        </w:rPr>
        <w:t>únicamente</w:t>
      </w:r>
      <w:r>
        <w:rPr>
          <w:color w:val="231F20"/>
          <w:spacing w:val="-31"/>
          <w:w w:val="105"/>
        </w:rPr>
        <w:t> </w:t>
      </w:r>
      <w:r>
        <w:rPr>
          <w:color w:val="231F20"/>
          <w:w w:val="105"/>
        </w:rPr>
        <w:t>después de</w:t>
      </w:r>
      <w:r>
        <w:rPr>
          <w:color w:val="231F20"/>
          <w:spacing w:val="-20"/>
          <w:w w:val="105"/>
        </w:rPr>
        <w:t> </w:t>
      </w:r>
      <w:r>
        <w:rPr>
          <w:color w:val="231F20"/>
          <w:w w:val="105"/>
        </w:rPr>
        <w:t>Michoacán,</w:t>
      </w:r>
      <w:r>
        <w:rPr>
          <w:color w:val="231F20"/>
          <w:spacing w:val="-25"/>
          <w:w w:val="105"/>
        </w:rPr>
        <w:t> </w:t>
      </w:r>
      <w:r>
        <w:rPr>
          <w:color w:val="231F20"/>
          <w:w w:val="105"/>
        </w:rPr>
        <w:t>Jalisco</w:t>
      </w:r>
      <w:r>
        <w:rPr>
          <w:color w:val="231F20"/>
          <w:spacing w:val="-20"/>
          <w:w w:val="105"/>
        </w:rPr>
        <w:t> </w:t>
      </w:r>
      <w:r>
        <w:rPr>
          <w:color w:val="231F20"/>
          <w:w w:val="105"/>
        </w:rPr>
        <w:t>y</w:t>
      </w:r>
      <w:r>
        <w:rPr>
          <w:color w:val="231F20"/>
          <w:spacing w:val="-20"/>
          <w:w w:val="105"/>
        </w:rPr>
        <w:t> </w:t>
      </w:r>
      <w:r>
        <w:rPr>
          <w:color w:val="231F20"/>
          <w:spacing w:val="-2"/>
          <w:w w:val="105"/>
        </w:rPr>
        <w:t>Guanajuato</w:t>
      </w:r>
      <w:r>
        <w:rPr>
          <w:color w:val="231F20"/>
          <w:spacing w:val="-20"/>
          <w:w w:val="105"/>
        </w:rPr>
        <w:t> </w:t>
      </w:r>
      <w:r>
        <w:rPr>
          <w:color w:val="231F20"/>
          <w:spacing w:val="-4"/>
          <w:w w:val="105"/>
        </w:rPr>
        <w:t>(Jardón</w:t>
      </w:r>
      <w:r>
        <w:rPr>
          <w:color w:val="231F20"/>
          <w:spacing w:val="-20"/>
          <w:w w:val="105"/>
        </w:rPr>
        <w:t> </w:t>
      </w:r>
      <w:r>
        <w:rPr>
          <w:color w:val="231F20"/>
          <w:w w:val="105"/>
        </w:rPr>
        <w:t>y</w:t>
      </w:r>
      <w:r>
        <w:rPr>
          <w:color w:val="231F20"/>
          <w:spacing w:val="-20"/>
          <w:w w:val="105"/>
        </w:rPr>
        <w:t> </w:t>
      </w:r>
      <w:r>
        <w:rPr>
          <w:color w:val="231F20"/>
          <w:spacing w:val="-3"/>
          <w:w w:val="105"/>
        </w:rPr>
        <w:t>Corona,</w:t>
      </w:r>
      <w:r>
        <w:rPr>
          <w:color w:val="231F20"/>
          <w:spacing w:val="-24"/>
          <w:w w:val="105"/>
        </w:rPr>
        <w:t> </w:t>
      </w:r>
      <w:r>
        <w:rPr>
          <w:color w:val="231F20"/>
          <w:w w:val="105"/>
        </w:rPr>
        <w:t>2012:</w:t>
      </w:r>
      <w:r>
        <w:rPr>
          <w:color w:val="231F20"/>
          <w:spacing w:val="-20"/>
          <w:w w:val="105"/>
        </w:rPr>
        <w:t> </w:t>
      </w:r>
      <w:r>
        <w:rPr>
          <w:color w:val="231F20"/>
          <w:w w:val="105"/>
        </w:rPr>
        <w:t>140).</w:t>
      </w:r>
      <w:r>
        <w:rPr>
          <w:color w:val="231F20"/>
          <w:spacing w:val="-24"/>
          <w:w w:val="105"/>
        </w:rPr>
        <w:t> </w:t>
      </w:r>
      <w:r>
        <w:rPr>
          <w:color w:val="231F20"/>
          <w:w w:val="105"/>
        </w:rPr>
        <w:t>Hasta el</w:t>
      </w:r>
      <w:r>
        <w:rPr>
          <w:color w:val="231F20"/>
          <w:spacing w:val="-18"/>
          <w:w w:val="105"/>
        </w:rPr>
        <w:t> </w:t>
      </w:r>
      <w:r>
        <w:rPr>
          <w:color w:val="231F20"/>
          <w:w w:val="105"/>
        </w:rPr>
        <w:t>año</w:t>
      </w:r>
      <w:r>
        <w:rPr>
          <w:color w:val="231F20"/>
          <w:spacing w:val="-18"/>
          <w:w w:val="105"/>
        </w:rPr>
        <w:t> </w:t>
      </w:r>
      <w:r>
        <w:rPr>
          <w:color w:val="231F20"/>
          <w:w w:val="105"/>
        </w:rPr>
        <w:t>2000,</w:t>
      </w:r>
      <w:r>
        <w:rPr>
          <w:color w:val="231F20"/>
          <w:spacing w:val="-23"/>
          <w:w w:val="105"/>
        </w:rPr>
        <w:t> </w:t>
      </w:r>
      <w:r>
        <w:rPr>
          <w:color w:val="231F20"/>
          <w:w w:val="105"/>
        </w:rPr>
        <w:t>la</w:t>
      </w:r>
      <w:r>
        <w:rPr>
          <w:color w:val="231F20"/>
          <w:spacing w:val="-18"/>
          <w:w w:val="105"/>
        </w:rPr>
        <w:t> </w:t>
      </w:r>
      <w:r>
        <w:rPr>
          <w:color w:val="231F20"/>
          <w:w w:val="105"/>
        </w:rPr>
        <w:t>intensidad</w:t>
      </w:r>
      <w:r>
        <w:rPr>
          <w:color w:val="231F20"/>
          <w:spacing w:val="-18"/>
          <w:w w:val="105"/>
        </w:rPr>
        <w:t> </w:t>
      </w:r>
      <w:r>
        <w:rPr>
          <w:color w:val="231F20"/>
          <w:w w:val="105"/>
        </w:rPr>
        <w:t>de</w:t>
      </w:r>
      <w:r>
        <w:rPr>
          <w:color w:val="231F20"/>
          <w:spacing w:val="-18"/>
          <w:w w:val="105"/>
        </w:rPr>
        <w:t> </w:t>
      </w:r>
      <w:r>
        <w:rPr>
          <w:color w:val="231F20"/>
          <w:w w:val="105"/>
        </w:rPr>
        <w:t>estos</w:t>
      </w:r>
      <w:r>
        <w:rPr>
          <w:color w:val="231F20"/>
          <w:spacing w:val="-18"/>
          <w:w w:val="105"/>
        </w:rPr>
        <w:t> </w:t>
      </w:r>
      <w:r>
        <w:rPr>
          <w:color w:val="231F20"/>
          <w:w w:val="105"/>
        </w:rPr>
        <w:t>desplazamientos</w:t>
      </w:r>
      <w:r>
        <w:rPr>
          <w:color w:val="231F20"/>
          <w:spacing w:val="-18"/>
          <w:w w:val="105"/>
        </w:rPr>
        <w:t> </w:t>
      </w:r>
      <w:r>
        <w:rPr>
          <w:color w:val="231F20"/>
          <w:w w:val="105"/>
        </w:rPr>
        <w:t>se</w:t>
      </w:r>
      <w:r>
        <w:rPr>
          <w:color w:val="231F20"/>
          <w:spacing w:val="-18"/>
          <w:w w:val="105"/>
        </w:rPr>
        <w:t> </w:t>
      </w:r>
      <w:r>
        <w:rPr>
          <w:color w:val="231F20"/>
          <w:w w:val="105"/>
        </w:rPr>
        <w:t>mantuvo,</w:t>
      </w:r>
      <w:r>
        <w:rPr>
          <w:color w:val="231F20"/>
          <w:spacing w:val="-23"/>
          <w:w w:val="105"/>
        </w:rPr>
        <w:t> </w:t>
      </w:r>
      <w:r>
        <w:rPr>
          <w:color w:val="231F20"/>
          <w:w w:val="105"/>
        </w:rPr>
        <w:t>con</w:t>
      </w:r>
      <w:r>
        <w:rPr>
          <w:color w:val="231F20"/>
          <w:spacing w:val="-18"/>
          <w:w w:val="105"/>
        </w:rPr>
        <w:t> </w:t>
      </w:r>
      <w:r>
        <w:rPr>
          <w:color w:val="231F20"/>
          <w:w w:val="105"/>
        </w:rPr>
        <w:t>un volumen</w:t>
      </w:r>
      <w:r>
        <w:rPr>
          <w:color w:val="231F20"/>
          <w:spacing w:val="-10"/>
          <w:w w:val="105"/>
        </w:rPr>
        <w:t> </w:t>
      </w:r>
      <w:r>
        <w:rPr>
          <w:color w:val="231F20"/>
          <w:w w:val="105"/>
        </w:rPr>
        <w:t>de</w:t>
      </w:r>
      <w:r>
        <w:rPr>
          <w:color w:val="231F20"/>
          <w:spacing w:val="-10"/>
          <w:w w:val="105"/>
        </w:rPr>
        <w:t> </w:t>
      </w:r>
      <w:r>
        <w:rPr>
          <w:color w:val="231F20"/>
          <w:w w:val="105"/>
        </w:rPr>
        <w:t>población</w:t>
      </w:r>
      <w:r>
        <w:rPr>
          <w:color w:val="231F20"/>
          <w:spacing w:val="-11"/>
          <w:w w:val="105"/>
        </w:rPr>
        <w:t> </w:t>
      </w:r>
      <w:r>
        <w:rPr>
          <w:color w:val="231F20"/>
          <w:spacing w:val="-2"/>
          <w:w w:val="105"/>
        </w:rPr>
        <w:t>emigrante</w:t>
      </w:r>
      <w:r>
        <w:rPr>
          <w:color w:val="231F20"/>
          <w:spacing w:val="-10"/>
          <w:w w:val="105"/>
        </w:rPr>
        <w:t> </w:t>
      </w:r>
      <w:r>
        <w:rPr>
          <w:color w:val="231F20"/>
          <w:w w:val="105"/>
        </w:rPr>
        <w:t>de</w:t>
      </w:r>
      <w:r>
        <w:rPr>
          <w:color w:val="231F20"/>
          <w:spacing w:val="-10"/>
          <w:w w:val="105"/>
        </w:rPr>
        <w:t> </w:t>
      </w:r>
      <w:r>
        <w:rPr>
          <w:color w:val="231F20"/>
          <w:w w:val="105"/>
        </w:rPr>
        <w:t>102,327</w:t>
      </w:r>
      <w:r>
        <w:rPr>
          <w:color w:val="231F20"/>
          <w:spacing w:val="-10"/>
          <w:w w:val="105"/>
        </w:rPr>
        <w:t> </w:t>
      </w:r>
      <w:r>
        <w:rPr>
          <w:color w:val="231F20"/>
          <w:w w:val="105"/>
        </w:rPr>
        <w:t>(8.3%</w:t>
      </w:r>
      <w:r>
        <w:rPr>
          <w:color w:val="231F20"/>
          <w:spacing w:val="-10"/>
          <w:w w:val="105"/>
        </w:rPr>
        <w:t> </w:t>
      </w:r>
      <w:r>
        <w:rPr>
          <w:color w:val="231F20"/>
          <w:w w:val="105"/>
        </w:rPr>
        <w:t>del</w:t>
      </w:r>
      <w:r>
        <w:rPr>
          <w:color w:val="231F20"/>
          <w:spacing w:val="-11"/>
          <w:w w:val="105"/>
        </w:rPr>
        <w:t> </w:t>
      </w:r>
      <w:r>
        <w:rPr>
          <w:color w:val="231F20"/>
          <w:w w:val="105"/>
        </w:rPr>
        <w:t>total),</w:t>
      </w:r>
      <w:r>
        <w:rPr>
          <w:color w:val="231F20"/>
          <w:spacing w:val="-17"/>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spacing w:val="-2"/>
          <w:w w:val="105"/>
        </w:rPr>
        <w:t>que </w:t>
      </w:r>
      <w:r>
        <w:rPr>
          <w:color w:val="231F20"/>
          <w:w w:val="105"/>
        </w:rPr>
        <w:t>conservaba la cuarta posición. No obstante, esta población se </w:t>
      </w:r>
      <w:r>
        <w:rPr>
          <w:color w:val="231F20"/>
          <w:spacing w:val="-3"/>
          <w:w w:val="105"/>
        </w:rPr>
        <w:t>redujo </w:t>
      </w:r>
      <w:r>
        <w:rPr>
          <w:color w:val="231F20"/>
          <w:w w:val="105"/>
        </w:rPr>
        <w:t>a 46,951</w:t>
      </w:r>
      <w:r>
        <w:rPr>
          <w:color w:val="231F20"/>
          <w:spacing w:val="-18"/>
          <w:w w:val="105"/>
        </w:rPr>
        <w:t> </w:t>
      </w:r>
      <w:r>
        <w:rPr>
          <w:color w:val="231F20"/>
          <w:w w:val="105"/>
        </w:rPr>
        <w:t>emigrantes</w:t>
      </w:r>
      <w:r>
        <w:rPr>
          <w:color w:val="231F20"/>
          <w:spacing w:val="-18"/>
          <w:w w:val="105"/>
        </w:rPr>
        <w:t> </w:t>
      </w:r>
      <w:r>
        <w:rPr>
          <w:color w:val="231F20"/>
          <w:w w:val="105"/>
        </w:rPr>
        <w:t>en</w:t>
      </w:r>
      <w:r>
        <w:rPr>
          <w:color w:val="231F20"/>
          <w:spacing w:val="-18"/>
          <w:w w:val="105"/>
        </w:rPr>
        <w:t> </w:t>
      </w:r>
      <w:r>
        <w:rPr>
          <w:color w:val="231F20"/>
          <w:w w:val="105"/>
        </w:rPr>
        <w:t>2010</w:t>
      </w:r>
      <w:r>
        <w:rPr>
          <w:color w:val="231F20"/>
          <w:spacing w:val="-18"/>
          <w:w w:val="105"/>
        </w:rPr>
        <w:t> </w:t>
      </w:r>
      <w:r>
        <w:rPr>
          <w:color w:val="231F20"/>
          <w:w w:val="105"/>
        </w:rPr>
        <w:t>(6.5%</w:t>
      </w:r>
      <w:r>
        <w:rPr>
          <w:color w:val="231F20"/>
          <w:spacing w:val="-18"/>
          <w:w w:val="105"/>
        </w:rPr>
        <w:t> </w:t>
      </w:r>
      <w:r>
        <w:rPr>
          <w:color w:val="231F20"/>
          <w:w w:val="105"/>
        </w:rPr>
        <w:t>del</w:t>
      </w:r>
      <w:r>
        <w:rPr>
          <w:color w:val="231F20"/>
          <w:spacing w:val="-18"/>
          <w:w w:val="105"/>
        </w:rPr>
        <w:t> </w:t>
      </w:r>
      <w:r>
        <w:rPr>
          <w:color w:val="231F20"/>
          <w:w w:val="105"/>
        </w:rPr>
        <w:t>total),</w:t>
      </w:r>
      <w:r>
        <w:rPr>
          <w:color w:val="231F20"/>
          <w:spacing w:val="-23"/>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spacing w:val="-3"/>
          <w:w w:val="105"/>
        </w:rPr>
        <w:t>entre</w:t>
      </w:r>
      <w:r>
        <w:rPr>
          <w:color w:val="231F20"/>
          <w:spacing w:val="-18"/>
          <w:w w:val="105"/>
        </w:rPr>
        <w:t> </w:t>
      </w:r>
      <w:r>
        <w:rPr>
          <w:color w:val="231F20"/>
          <w:w w:val="105"/>
        </w:rPr>
        <w:t>los</w:t>
      </w:r>
      <w:r>
        <w:rPr>
          <w:color w:val="231F20"/>
          <w:spacing w:val="-18"/>
          <w:w w:val="105"/>
        </w:rPr>
        <w:t> </w:t>
      </w:r>
      <w:r>
        <w:rPr>
          <w:color w:val="231F20"/>
          <w:w w:val="105"/>
        </w:rPr>
        <w:t>quinquenios 1995-2000</w:t>
      </w:r>
      <w:r>
        <w:rPr>
          <w:color w:val="231F20"/>
          <w:spacing w:val="-22"/>
          <w:w w:val="105"/>
        </w:rPr>
        <w:t> </w:t>
      </w:r>
      <w:r>
        <w:rPr>
          <w:color w:val="231F20"/>
          <w:w w:val="105"/>
        </w:rPr>
        <w:t>y</w:t>
      </w:r>
      <w:r>
        <w:rPr>
          <w:color w:val="231F20"/>
          <w:spacing w:val="-22"/>
          <w:w w:val="105"/>
        </w:rPr>
        <w:t> </w:t>
      </w:r>
      <w:r>
        <w:rPr>
          <w:color w:val="231F20"/>
          <w:w w:val="105"/>
        </w:rPr>
        <w:t>2005-2010</w:t>
      </w:r>
      <w:r>
        <w:rPr>
          <w:color w:val="231F20"/>
          <w:spacing w:val="-22"/>
          <w:w w:val="105"/>
        </w:rPr>
        <w:t> </w:t>
      </w:r>
      <w:r>
        <w:rPr>
          <w:color w:val="231F20"/>
          <w:spacing w:val="-3"/>
          <w:w w:val="105"/>
        </w:rPr>
        <w:t>representó</w:t>
      </w:r>
      <w:r>
        <w:rPr>
          <w:color w:val="231F20"/>
          <w:spacing w:val="-22"/>
          <w:w w:val="105"/>
        </w:rPr>
        <w:t> </w:t>
      </w:r>
      <w:r>
        <w:rPr>
          <w:color w:val="231F20"/>
          <w:w w:val="105"/>
        </w:rPr>
        <w:t>un</w:t>
      </w:r>
      <w:r>
        <w:rPr>
          <w:color w:val="231F20"/>
          <w:spacing w:val="-22"/>
          <w:w w:val="105"/>
        </w:rPr>
        <w:t> </w:t>
      </w:r>
      <w:r>
        <w:rPr>
          <w:color w:val="231F20"/>
          <w:w w:val="105"/>
        </w:rPr>
        <w:t>cambio</w:t>
      </w:r>
      <w:r>
        <w:rPr>
          <w:color w:val="231F20"/>
          <w:spacing w:val="-22"/>
          <w:w w:val="105"/>
        </w:rPr>
        <w:t> </w:t>
      </w:r>
      <w:r>
        <w:rPr>
          <w:color w:val="231F20"/>
          <w:spacing w:val="-3"/>
          <w:w w:val="105"/>
        </w:rPr>
        <w:t>porcentual</w:t>
      </w:r>
      <w:r>
        <w:rPr>
          <w:color w:val="231F20"/>
          <w:spacing w:val="-22"/>
          <w:w w:val="105"/>
        </w:rPr>
        <w:t> </w:t>
      </w:r>
      <w:r>
        <w:rPr>
          <w:color w:val="231F20"/>
          <w:w w:val="105"/>
        </w:rPr>
        <w:t>de</w:t>
      </w:r>
      <w:r>
        <w:rPr>
          <w:color w:val="231F20"/>
          <w:spacing w:val="-22"/>
          <w:w w:val="105"/>
        </w:rPr>
        <w:t> </w:t>
      </w:r>
      <w:r>
        <w:rPr>
          <w:color w:val="231F20"/>
          <w:w w:val="105"/>
        </w:rPr>
        <w:t>-54.1%.</w:t>
      </w:r>
    </w:p>
    <w:p>
      <w:pPr>
        <w:pStyle w:val="BodyText"/>
        <w:spacing w:line="261" w:lineRule="auto" w:before="1"/>
        <w:ind w:left="1837" w:right="1721" w:firstLine="567"/>
        <w:jc w:val="both"/>
      </w:pPr>
      <w:r>
        <w:rPr/>
        <w:pict>
          <v:line style="position:absolute;mso-position-horizontal-relative:page;mso-position-vertical-relative:paragraph;z-index:-474640" from="15pt,131.724197pt" to="0pt,131.724197pt" stroked="true" strokeweight=".25pt" strokecolor="#000000">
            <w10:wrap type="none"/>
          </v:line>
        </w:pict>
      </w:r>
      <w:r>
        <w:rPr/>
        <w:pict>
          <v:line style="position:absolute;mso-position-horizontal-relative:page;mso-position-vertical-relative:paragraph;z-index:15568" from="508.890015pt,131.724197pt" to="523.890015pt,131.724197pt" stroked="true" strokeweight=".25pt" strokecolor="#000000">
            <w10:wrap type="none"/>
          </v:line>
        </w:pict>
      </w:r>
      <w:r>
        <w:rPr>
          <w:color w:val="231F20"/>
          <w:w w:val="105"/>
        </w:rPr>
        <w:t>Así</w:t>
      </w:r>
      <w:r>
        <w:rPr>
          <w:color w:val="231F20"/>
          <w:spacing w:val="-24"/>
          <w:w w:val="105"/>
        </w:rPr>
        <w:t> </w:t>
      </w:r>
      <w:r>
        <w:rPr>
          <w:color w:val="231F20"/>
          <w:w w:val="105"/>
        </w:rPr>
        <w:t>entonces,</w:t>
      </w:r>
      <w:r>
        <w:rPr>
          <w:color w:val="231F20"/>
          <w:spacing w:val="-29"/>
          <w:w w:val="105"/>
        </w:rPr>
        <w:t> </w:t>
      </w:r>
      <w:r>
        <w:rPr>
          <w:color w:val="231F20"/>
          <w:w w:val="105"/>
        </w:rPr>
        <w:t>entre</w:t>
      </w:r>
      <w:r>
        <w:rPr>
          <w:color w:val="231F20"/>
          <w:spacing w:val="-24"/>
          <w:w w:val="105"/>
        </w:rPr>
        <w:t> </w:t>
      </w:r>
      <w:r>
        <w:rPr>
          <w:color w:val="231F20"/>
          <w:w w:val="105"/>
        </w:rPr>
        <w:t>los</w:t>
      </w:r>
      <w:r>
        <w:rPr>
          <w:color w:val="231F20"/>
          <w:spacing w:val="-24"/>
          <w:w w:val="105"/>
        </w:rPr>
        <w:t> </w:t>
      </w:r>
      <w:r>
        <w:rPr>
          <w:color w:val="231F20"/>
          <w:w w:val="105"/>
        </w:rPr>
        <w:t>diversos</w:t>
      </w:r>
      <w:r>
        <w:rPr>
          <w:color w:val="231F20"/>
          <w:spacing w:val="-24"/>
          <w:w w:val="105"/>
        </w:rPr>
        <w:t> </w:t>
      </w:r>
      <w:r>
        <w:rPr>
          <w:color w:val="231F20"/>
          <w:w w:val="105"/>
        </w:rPr>
        <w:t>y</w:t>
      </w:r>
      <w:r>
        <w:rPr>
          <w:color w:val="231F20"/>
          <w:spacing w:val="-24"/>
          <w:w w:val="105"/>
        </w:rPr>
        <w:t> </w:t>
      </w:r>
      <w:r>
        <w:rPr>
          <w:color w:val="231F20"/>
          <w:w w:val="105"/>
        </w:rPr>
        <w:t>múltiples</w:t>
      </w:r>
      <w:r>
        <w:rPr>
          <w:color w:val="231F20"/>
          <w:spacing w:val="-24"/>
          <w:w w:val="105"/>
        </w:rPr>
        <w:t> </w:t>
      </w:r>
      <w:r>
        <w:rPr>
          <w:color w:val="231F20"/>
          <w:w w:val="105"/>
        </w:rPr>
        <w:t>cambios</w:t>
      </w:r>
      <w:r>
        <w:rPr>
          <w:color w:val="231F20"/>
          <w:spacing w:val="-24"/>
          <w:w w:val="105"/>
        </w:rPr>
        <w:t> </w:t>
      </w:r>
      <w:r>
        <w:rPr>
          <w:color w:val="231F20"/>
          <w:w w:val="105"/>
        </w:rPr>
        <w:t>que</w:t>
      </w:r>
      <w:r>
        <w:rPr>
          <w:color w:val="231F20"/>
          <w:spacing w:val="-24"/>
          <w:w w:val="105"/>
        </w:rPr>
        <w:t> </w:t>
      </w:r>
      <w:r>
        <w:rPr>
          <w:color w:val="231F20"/>
          <w:w w:val="105"/>
        </w:rPr>
        <w:t>advierte</w:t>
      </w:r>
      <w:r>
        <w:rPr>
          <w:color w:val="231F20"/>
          <w:spacing w:val="-24"/>
          <w:w w:val="105"/>
        </w:rPr>
        <w:t> </w:t>
      </w:r>
      <w:r>
        <w:rPr>
          <w:color w:val="231F20"/>
          <w:w w:val="105"/>
        </w:rPr>
        <w:t>la configuración</w:t>
      </w:r>
      <w:r>
        <w:rPr>
          <w:color w:val="231F20"/>
          <w:spacing w:val="-15"/>
          <w:w w:val="105"/>
        </w:rPr>
        <w:t> </w:t>
      </w:r>
      <w:r>
        <w:rPr>
          <w:color w:val="231F20"/>
          <w:w w:val="105"/>
        </w:rPr>
        <w:t>de</w:t>
      </w:r>
      <w:r>
        <w:rPr>
          <w:color w:val="231F20"/>
          <w:spacing w:val="-15"/>
          <w:w w:val="105"/>
        </w:rPr>
        <w:t> </w:t>
      </w:r>
      <w:r>
        <w:rPr>
          <w:color w:val="231F20"/>
          <w:w w:val="105"/>
        </w:rPr>
        <w:t>este</w:t>
      </w:r>
      <w:r>
        <w:rPr>
          <w:color w:val="231F20"/>
          <w:spacing w:val="-15"/>
          <w:w w:val="105"/>
        </w:rPr>
        <w:t> </w:t>
      </w:r>
      <w:r>
        <w:rPr>
          <w:color w:val="231F20"/>
          <w:w w:val="105"/>
        </w:rPr>
        <w:t>nuevo</w:t>
      </w:r>
      <w:r>
        <w:rPr>
          <w:color w:val="231F20"/>
          <w:spacing w:val="-15"/>
          <w:w w:val="105"/>
        </w:rPr>
        <w:t> </w:t>
      </w:r>
      <w:r>
        <w:rPr>
          <w:color w:val="231F20"/>
          <w:w w:val="105"/>
        </w:rPr>
        <w:t>momento</w:t>
      </w:r>
      <w:r>
        <w:rPr>
          <w:color w:val="231F20"/>
          <w:spacing w:val="-15"/>
          <w:w w:val="105"/>
        </w:rPr>
        <w:t> </w:t>
      </w:r>
      <w:r>
        <w:rPr>
          <w:color w:val="231F20"/>
          <w:w w:val="105"/>
        </w:rPr>
        <w:t>migratorio,</w:t>
      </w:r>
      <w:r>
        <w:rPr>
          <w:color w:val="231F20"/>
          <w:spacing w:val="-20"/>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texto</w:t>
      </w:r>
      <w:r>
        <w:rPr>
          <w:color w:val="231F20"/>
          <w:spacing w:val="-15"/>
          <w:w w:val="105"/>
        </w:rPr>
        <w:t> </w:t>
      </w:r>
      <w:r>
        <w:rPr>
          <w:color w:val="231F20"/>
          <w:w w:val="105"/>
        </w:rPr>
        <w:t>nos</w:t>
      </w:r>
      <w:r>
        <w:rPr>
          <w:color w:val="231F20"/>
          <w:spacing w:val="-15"/>
          <w:w w:val="105"/>
        </w:rPr>
        <w:t> </w:t>
      </w:r>
      <w:r>
        <w:rPr>
          <w:color w:val="231F20"/>
          <w:w w:val="105"/>
        </w:rPr>
        <w:t>inte- resa</w:t>
      </w:r>
      <w:r>
        <w:rPr>
          <w:color w:val="231F20"/>
          <w:spacing w:val="-21"/>
          <w:w w:val="105"/>
        </w:rPr>
        <w:t> </w:t>
      </w:r>
      <w:r>
        <w:rPr>
          <w:color w:val="231F20"/>
          <w:w w:val="105"/>
        </w:rPr>
        <w:t>destacar</w:t>
      </w:r>
      <w:r>
        <w:rPr>
          <w:color w:val="231F20"/>
          <w:spacing w:val="-21"/>
          <w:w w:val="105"/>
        </w:rPr>
        <w:t> </w:t>
      </w:r>
      <w:r>
        <w:rPr>
          <w:w w:val="105"/>
        </w:rPr>
        <w:t>lo</w:t>
      </w:r>
      <w:r>
        <w:rPr>
          <w:spacing w:val="-21"/>
          <w:w w:val="105"/>
        </w:rPr>
        <w:t> </w:t>
      </w:r>
      <w:r>
        <w:rPr>
          <w:w w:val="105"/>
        </w:rPr>
        <w:t>relativo</w:t>
      </w:r>
      <w:r>
        <w:rPr>
          <w:spacing w:val="-21"/>
          <w:w w:val="105"/>
        </w:rPr>
        <w:t> </w:t>
      </w:r>
      <w:r>
        <w:rPr>
          <w:w w:val="105"/>
        </w:rPr>
        <w:t>a</w:t>
      </w:r>
      <w:r>
        <w:rPr>
          <w:spacing w:val="-21"/>
          <w:w w:val="105"/>
        </w:rPr>
        <w:t> </w:t>
      </w:r>
      <w:r>
        <w:rPr>
          <w:w w:val="105"/>
        </w:rPr>
        <w:t>la</w:t>
      </w:r>
      <w:r>
        <w:rPr>
          <w:spacing w:val="-21"/>
          <w:w w:val="105"/>
        </w:rPr>
        <w:t> </w:t>
      </w:r>
      <w:r>
        <w:rPr>
          <w:w w:val="105"/>
        </w:rPr>
        <w:t>disminución</w:t>
      </w:r>
      <w:r>
        <w:rPr>
          <w:spacing w:val="-21"/>
          <w:w w:val="105"/>
        </w:rPr>
        <w:t> </w:t>
      </w:r>
      <w:r>
        <w:rPr>
          <w:w w:val="105"/>
        </w:rPr>
        <w:t>de</w:t>
      </w:r>
      <w:r>
        <w:rPr>
          <w:spacing w:val="-21"/>
          <w:w w:val="105"/>
        </w:rPr>
        <w:t> </w:t>
      </w:r>
      <w:r>
        <w:rPr>
          <w:w w:val="105"/>
        </w:rPr>
        <w:t>aprehensiones</w:t>
      </w:r>
      <w:r>
        <w:rPr>
          <w:spacing w:val="-21"/>
          <w:w w:val="105"/>
        </w:rPr>
        <w:t> </w:t>
      </w:r>
      <w:r>
        <w:rPr>
          <w:w w:val="105"/>
        </w:rPr>
        <w:t>en</w:t>
      </w:r>
      <w:r>
        <w:rPr>
          <w:spacing w:val="-21"/>
          <w:w w:val="105"/>
        </w:rPr>
        <w:t> </w:t>
      </w:r>
      <w:r>
        <w:rPr>
          <w:w w:val="105"/>
        </w:rPr>
        <w:t>la</w:t>
      </w:r>
      <w:r>
        <w:rPr>
          <w:spacing w:val="-21"/>
          <w:w w:val="105"/>
        </w:rPr>
        <w:t> </w:t>
      </w:r>
      <w:r>
        <w:rPr>
          <w:w w:val="105"/>
        </w:rPr>
        <w:t>frontera y</w:t>
      </w:r>
      <w:r>
        <w:rPr>
          <w:spacing w:val="-8"/>
          <w:w w:val="105"/>
        </w:rPr>
        <w:t> </w:t>
      </w:r>
      <w:r>
        <w:rPr>
          <w:w w:val="105"/>
        </w:rPr>
        <w:t>el</w:t>
      </w:r>
      <w:r>
        <w:rPr>
          <w:spacing w:val="-8"/>
          <w:w w:val="105"/>
        </w:rPr>
        <w:t> </w:t>
      </w:r>
      <w:r>
        <w:rPr>
          <w:w w:val="105"/>
        </w:rPr>
        <w:t>histórico</w:t>
      </w:r>
      <w:r>
        <w:rPr>
          <w:spacing w:val="-8"/>
          <w:w w:val="105"/>
        </w:rPr>
        <w:t> </w:t>
      </w:r>
      <w:r>
        <w:rPr>
          <w:w w:val="105"/>
        </w:rPr>
        <w:t>aumento</w:t>
      </w:r>
      <w:r>
        <w:rPr>
          <w:spacing w:val="-8"/>
          <w:w w:val="105"/>
        </w:rPr>
        <w:t> </w:t>
      </w:r>
      <w:r>
        <w:rPr>
          <w:w w:val="105"/>
        </w:rPr>
        <w:t>de</w:t>
      </w:r>
      <w:r>
        <w:rPr>
          <w:spacing w:val="-8"/>
          <w:w w:val="105"/>
        </w:rPr>
        <w:t> </w:t>
      </w:r>
      <w:r>
        <w:rPr>
          <w:w w:val="105"/>
        </w:rPr>
        <w:t>las</w:t>
      </w:r>
      <w:r>
        <w:rPr>
          <w:spacing w:val="-8"/>
          <w:w w:val="105"/>
        </w:rPr>
        <w:t> </w:t>
      </w:r>
      <w:r>
        <w:rPr>
          <w:w w:val="105"/>
        </w:rPr>
        <w:t>deportaciones</w:t>
      </w:r>
      <w:r>
        <w:rPr>
          <w:spacing w:val="-8"/>
          <w:w w:val="105"/>
        </w:rPr>
        <w:t> </w:t>
      </w:r>
      <w:r>
        <w:rPr>
          <w:w w:val="105"/>
        </w:rPr>
        <w:t>de</w:t>
      </w:r>
      <w:r>
        <w:rPr>
          <w:spacing w:val="-8"/>
          <w:w w:val="105"/>
        </w:rPr>
        <w:t> </w:t>
      </w:r>
      <w:r>
        <w:rPr>
          <w:w w:val="105"/>
        </w:rPr>
        <w:t>migrantes</w:t>
      </w:r>
      <w:r>
        <w:rPr>
          <w:spacing w:val="-8"/>
          <w:w w:val="105"/>
        </w:rPr>
        <w:t> </w:t>
      </w:r>
      <w:r>
        <w:rPr>
          <w:w w:val="105"/>
        </w:rPr>
        <w:t>mexicanos</w:t>
      </w:r>
      <w:r>
        <w:rPr>
          <w:spacing w:val="-8"/>
          <w:w w:val="105"/>
        </w:rPr>
        <w:t> </w:t>
      </w:r>
      <w:r>
        <w:rPr>
          <w:w w:val="105"/>
        </w:rPr>
        <w:t>en </w:t>
      </w:r>
      <w:r>
        <w:rPr/>
        <w:t>Estados</w:t>
      </w:r>
      <w:r>
        <w:rPr>
          <w:spacing w:val="9"/>
        </w:rPr>
        <w:t> </w:t>
      </w:r>
      <w:r>
        <w:rPr/>
        <w:t>Unidos.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line="266" w:lineRule="auto" w:before="190"/>
        <w:ind w:left="1723" w:right="3265"/>
        <w:jc w:val="left"/>
      </w:pPr>
      <w:r>
        <w:rPr/>
        <w:pict>
          <v:line style="position:absolute;mso-position-horizontal-relative:page;mso-position-vertical-relative:paragraph;z-index:15640" from="15pt,-62.04826pt" to="0pt,-62.04826pt" stroked="true" strokeweight=".25pt" strokecolor="#000000">
            <w10:wrap type="none"/>
          </v:line>
        </w:pict>
      </w:r>
      <w:r>
        <w:rPr/>
        <w:pict>
          <v:line style="position:absolute;mso-position-horizontal-relative:page;mso-position-vertical-relative:paragraph;z-index:15664" from="508.890015pt,-62.04826pt" to="523.890015pt,-62.04826pt" stroked="true" strokeweight=".25pt" strokecolor="#000000">
            <w10:wrap type="none"/>
          </v:line>
        </w:pict>
      </w:r>
      <w:r>
        <w:rPr>
          <w:color w:val="231F20"/>
        </w:rPr>
        <w:t>Política migratoria estadounidense y resurgimiento de actitudes xenófobas</w:t>
      </w:r>
    </w:p>
    <w:p>
      <w:pPr>
        <w:pStyle w:val="BodyText"/>
        <w:rPr>
          <w:rFonts w:ascii="Arial"/>
          <w:b/>
          <w:sz w:val="22"/>
        </w:rPr>
      </w:pPr>
    </w:p>
    <w:p>
      <w:pPr>
        <w:pStyle w:val="BodyText"/>
        <w:spacing w:line="261" w:lineRule="auto" w:before="136"/>
        <w:ind w:left="1723" w:right="1835"/>
        <w:jc w:val="both"/>
      </w:pPr>
      <w:r>
        <w:rPr>
          <w:color w:val="231F20"/>
          <w:w w:val="105"/>
        </w:rPr>
        <w:t>Desde</w:t>
      </w:r>
      <w:r>
        <w:rPr>
          <w:color w:val="231F20"/>
          <w:spacing w:val="-18"/>
          <w:w w:val="105"/>
        </w:rPr>
        <w:t> </w:t>
      </w:r>
      <w:r>
        <w:rPr>
          <w:color w:val="231F20"/>
          <w:w w:val="105"/>
        </w:rPr>
        <w:t>1993,</w:t>
      </w:r>
      <w:r>
        <w:rPr>
          <w:color w:val="231F20"/>
          <w:spacing w:val="-24"/>
          <w:w w:val="105"/>
        </w:rPr>
        <w:t> </w:t>
      </w:r>
      <w:r>
        <w:rPr>
          <w:color w:val="231F20"/>
          <w:w w:val="105"/>
        </w:rPr>
        <w:t>cercar</w:t>
      </w:r>
      <w:r>
        <w:rPr>
          <w:color w:val="231F20"/>
          <w:spacing w:val="-18"/>
          <w:w w:val="105"/>
        </w:rPr>
        <w:t> </w:t>
      </w:r>
      <w:r>
        <w:rPr>
          <w:color w:val="231F20"/>
          <w:w w:val="105"/>
        </w:rPr>
        <w:t>la</w:t>
      </w:r>
      <w:r>
        <w:rPr>
          <w:color w:val="231F20"/>
          <w:spacing w:val="-18"/>
          <w:w w:val="105"/>
        </w:rPr>
        <w:t> </w:t>
      </w:r>
      <w:r>
        <w:rPr>
          <w:color w:val="231F20"/>
          <w:w w:val="105"/>
        </w:rPr>
        <w:t>frontera</w:t>
      </w:r>
      <w:r>
        <w:rPr>
          <w:color w:val="231F20"/>
          <w:spacing w:val="-18"/>
          <w:w w:val="105"/>
        </w:rPr>
        <w:t> </w:t>
      </w:r>
      <w:r>
        <w:rPr>
          <w:color w:val="231F20"/>
          <w:w w:val="105"/>
        </w:rPr>
        <w:t>sur</w:t>
      </w:r>
      <w:r>
        <w:rPr>
          <w:color w:val="231F20"/>
          <w:spacing w:val="-18"/>
          <w:w w:val="105"/>
        </w:rPr>
        <w:t> </w:t>
      </w:r>
      <w:r>
        <w:rPr>
          <w:color w:val="231F20"/>
          <w:w w:val="105"/>
        </w:rPr>
        <w:t>de</w:t>
      </w:r>
      <w:r>
        <w:rPr>
          <w:color w:val="231F20"/>
          <w:spacing w:val="-18"/>
          <w:w w:val="105"/>
        </w:rPr>
        <w:t> </w:t>
      </w:r>
      <w:r>
        <w:rPr>
          <w:color w:val="231F20"/>
          <w:w w:val="105"/>
        </w:rPr>
        <w:t>Estados</w:t>
      </w:r>
      <w:r>
        <w:rPr>
          <w:color w:val="231F20"/>
          <w:spacing w:val="-18"/>
          <w:w w:val="105"/>
        </w:rPr>
        <w:t> </w:t>
      </w:r>
      <w:r>
        <w:rPr>
          <w:color w:val="231F20"/>
          <w:w w:val="105"/>
        </w:rPr>
        <w:t>Unidos</w:t>
      </w:r>
      <w:r>
        <w:rPr>
          <w:color w:val="231F20"/>
          <w:spacing w:val="-18"/>
          <w:w w:val="105"/>
        </w:rPr>
        <w:t> </w:t>
      </w:r>
      <w:r>
        <w:rPr>
          <w:color w:val="231F20"/>
          <w:w w:val="105"/>
        </w:rPr>
        <w:t>ha</w:t>
      </w:r>
      <w:r>
        <w:rPr>
          <w:color w:val="231F20"/>
          <w:spacing w:val="-18"/>
          <w:w w:val="105"/>
        </w:rPr>
        <w:t> </w:t>
      </w:r>
      <w:r>
        <w:rPr>
          <w:color w:val="231F20"/>
          <w:w w:val="105"/>
        </w:rPr>
        <w:t>sido</w:t>
      </w:r>
      <w:r>
        <w:rPr>
          <w:color w:val="231F20"/>
          <w:spacing w:val="-18"/>
          <w:w w:val="105"/>
        </w:rPr>
        <w:t> </w:t>
      </w:r>
      <w:r>
        <w:rPr>
          <w:color w:val="231F20"/>
          <w:w w:val="105"/>
        </w:rPr>
        <w:t>un</w:t>
      </w:r>
      <w:r>
        <w:rPr>
          <w:color w:val="231F20"/>
          <w:spacing w:val="-18"/>
          <w:w w:val="105"/>
        </w:rPr>
        <w:t> </w:t>
      </w:r>
      <w:r>
        <w:rPr>
          <w:color w:val="231F20"/>
          <w:w w:val="105"/>
        </w:rPr>
        <w:t>objetivo en</w:t>
      </w:r>
      <w:r>
        <w:rPr>
          <w:color w:val="231F20"/>
          <w:spacing w:val="-9"/>
          <w:w w:val="105"/>
        </w:rPr>
        <w:t> </w:t>
      </w:r>
      <w:r>
        <w:rPr>
          <w:color w:val="231F20"/>
          <w:w w:val="105"/>
        </w:rPr>
        <w:t>las</w:t>
      </w:r>
      <w:r>
        <w:rPr>
          <w:color w:val="231F20"/>
          <w:spacing w:val="-9"/>
          <w:w w:val="105"/>
        </w:rPr>
        <w:t> </w:t>
      </w:r>
      <w:r>
        <w:rPr>
          <w:color w:val="231F20"/>
          <w:w w:val="105"/>
        </w:rPr>
        <w:t>administraciones</w:t>
      </w:r>
      <w:r>
        <w:rPr>
          <w:color w:val="231F20"/>
          <w:spacing w:val="-9"/>
          <w:w w:val="105"/>
        </w:rPr>
        <w:t> </w:t>
      </w:r>
      <w:r>
        <w:rPr>
          <w:color w:val="231F20"/>
          <w:w w:val="105"/>
        </w:rPr>
        <w:t>federales</w:t>
      </w:r>
      <w:r>
        <w:rPr>
          <w:color w:val="231F20"/>
          <w:spacing w:val="-9"/>
          <w:w w:val="105"/>
        </w:rPr>
        <w:t> </w:t>
      </w:r>
      <w:r>
        <w:rPr>
          <w:color w:val="231F20"/>
          <w:w w:val="105"/>
        </w:rPr>
        <w:t>de</w:t>
      </w:r>
      <w:r>
        <w:rPr>
          <w:color w:val="231F20"/>
          <w:spacing w:val="-9"/>
          <w:w w:val="105"/>
        </w:rPr>
        <w:t> </w:t>
      </w:r>
      <w:r>
        <w:rPr>
          <w:color w:val="231F20"/>
          <w:w w:val="105"/>
        </w:rPr>
        <w:t>aquel</w:t>
      </w:r>
      <w:r>
        <w:rPr>
          <w:color w:val="231F20"/>
          <w:spacing w:val="-9"/>
          <w:w w:val="105"/>
        </w:rPr>
        <w:t> </w:t>
      </w:r>
      <w:r>
        <w:rPr>
          <w:color w:val="231F20"/>
          <w:w w:val="105"/>
        </w:rPr>
        <w:t>país.</w:t>
      </w:r>
      <w:r>
        <w:rPr>
          <w:color w:val="231F20"/>
          <w:spacing w:val="-17"/>
          <w:w w:val="105"/>
        </w:rPr>
        <w:t> </w:t>
      </w:r>
      <w:r>
        <w:rPr>
          <w:color w:val="231F20"/>
          <w:w w:val="105"/>
        </w:rPr>
        <w:t>A</w:t>
      </w:r>
      <w:r>
        <w:rPr>
          <w:color w:val="231F20"/>
          <w:spacing w:val="-12"/>
          <w:w w:val="105"/>
        </w:rPr>
        <w:t> </w:t>
      </w:r>
      <w:r>
        <w:rPr>
          <w:color w:val="231F20"/>
          <w:w w:val="105"/>
        </w:rPr>
        <w:t>partir</w:t>
      </w:r>
      <w:r>
        <w:rPr>
          <w:color w:val="231F20"/>
          <w:spacing w:val="-9"/>
          <w:w w:val="105"/>
        </w:rPr>
        <w:t> </w:t>
      </w:r>
      <w:r>
        <w:rPr>
          <w:color w:val="231F20"/>
          <w:w w:val="105"/>
        </w:rPr>
        <w:t>de</w:t>
      </w:r>
      <w:r>
        <w:rPr>
          <w:color w:val="231F20"/>
          <w:spacing w:val="-9"/>
          <w:w w:val="105"/>
        </w:rPr>
        <w:t> </w:t>
      </w:r>
      <w:r>
        <w:rPr>
          <w:color w:val="231F20"/>
          <w:w w:val="105"/>
        </w:rPr>
        <w:t>entonces</w:t>
      </w:r>
      <w:r>
        <w:rPr>
          <w:color w:val="231F20"/>
          <w:spacing w:val="-9"/>
          <w:w w:val="105"/>
        </w:rPr>
        <w:t> </w:t>
      </w:r>
      <w:r>
        <w:rPr>
          <w:color w:val="231F20"/>
          <w:w w:val="105"/>
        </w:rPr>
        <w:t>se ha</w:t>
      </w:r>
      <w:r>
        <w:rPr>
          <w:color w:val="231F20"/>
          <w:spacing w:val="-14"/>
          <w:w w:val="105"/>
        </w:rPr>
        <w:t> </w:t>
      </w:r>
      <w:r>
        <w:rPr>
          <w:color w:val="231F20"/>
          <w:w w:val="105"/>
        </w:rPr>
        <w:t>desplegado</w:t>
      </w:r>
      <w:r>
        <w:rPr>
          <w:color w:val="231F20"/>
          <w:spacing w:val="-14"/>
          <w:w w:val="105"/>
        </w:rPr>
        <w:t> </w:t>
      </w:r>
      <w:r>
        <w:rPr>
          <w:color w:val="231F20"/>
          <w:w w:val="105"/>
        </w:rPr>
        <w:t>un</w:t>
      </w:r>
      <w:r>
        <w:rPr>
          <w:color w:val="231F20"/>
          <w:spacing w:val="-14"/>
          <w:w w:val="105"/>
        </w:rPr>
        <w:t> </w:t>
      </w:r>
      <w:r>
        <w:rPr>
          <w:color w:val="231F20"/>
          <w:w w:val="105"/>
        </w:rPr>
        <w:t>conjunto</w:t>
      </w:r>
      <w:r>
        <w:rPr>
          <w:color w:val="231F20"/>
          <w:spacing w:val="-14"/>
          <w:w w:val="105"/>
        </w:rPr>
        <w:t> </w:t>
      </w:r>
      <w:r>
        <w:rPr>
          <w:color w:val="231F20"/>
          <w:w w:val="105"/>
        </w:rPr>
        <w:t>de</w:t>
      </w:r>
      <w:r>
        <w:rPr>
          <w:color w:val="231F20"/>
          <w:spacing w:val="-14"/>
          <w:w w:val="105"/>
        </w:rPr>
        <w:t> </w:t>
      </w:r>
      <w:r>
        <w:rPr>
          <w:color w:val="231F20"/>
          <w:w w:val="105"/>
        </w:rPr>
        <w:t>propuestas,</w:t>
      </w:r>
      <w:r>
        <w:rPr>
          <w:color w:val="231F20"/>
          <w:spacing w:val="-19"/>
          <w:w w:val="105"/>
        </w:rPr>
        <w:t> </w:t>
      </w:r>
      <w:r>
        <w:rPr>
          <w:color w:val="231F20"/>
          <w:w w:val="105"/>
        </w:rPr>
        <w:t>acciones</w:t>
      </w:r>
      <w:r>
        <w:rPr>
          <w:color w:val="231F20"/>
          <w:spacing w:val="-14"/>
          <w:w w:val="105"/>
        </w:rPr>
        <w:t> </w:t>
      </w:r>
      <w:r>
        <w:rPr>
          <w:color w:val="231F20"/>
          <w:w w:val="105"/>
        </w:rPr>
        <w:t>y</w:t>
      </w:r>
      <w:r>
        <w:rPr>
          <w:color w:val="231F20"/>
          <w:spacing w:val="-14"/>
          <w:w w:val="105"/>
        </w:rPr>
        <w:t> </w:t>
      </w:r>
      <w:r>
        <w:rPr>
          <w:color w:val="231F20"/>
          <w:w w:val="105"/>
        </w:rPr>
        <w:t>actividades,</w:t>
      </w:r>
      <w:r>
        <w:rPr>
          <w:color w:val="231F20"/>
          <w:spacing w:val="-19"/>
          <w:w w:val="105"/>
        </w:rPr>
        <w:t> </w:t>
      </w:r>
      <w:r>
        <w:rPr>
          <w:color w:val="231F20"/>
          <w:w w:val="105"/>
        </w:rPr>
        <w:t>entre las</w:t>
      </w:r>
      <w:r>
        <w:rPr>
          <w:color w:val="231F20"/>
          <w:spacing w:val="-31"/>
          <w:w w:val="105"/>
        </w:rPr>
        <w:t> </w:t>
      </w:r>
      <w:r>
        <w:rPr>
          <w:color w:val="231F20"/>
          <w:w w:val="105"/>
        </w:rPr>
        <w:t>que</w:t>
      </w:r>
      <w:r>
        <w:rPr>
          <w:color w:val="231F20"/>
          <w:spacing w:val="-31"/>
          <w:w w:val="105"/>
        </w:rPr>
        <w:t> </w:t>
      </w:r>
      <w:r>
        <w:rPr>
          <w:color w:val="231F20"/>
          <w:w w:val="105"/>
        </w:rPr>
        <w:t>destacan</w:t>
      </w:r>
      <w:r>
        <w:rPr>
          <w:color w:val="231F20"/>
          <w:spacing w:val="-31"/>
          <w:w w:val="105"/>
        </w:rPr>
        <w:t> </w:t>
      </w:r>
      <w:r>
        <w:rPr>
          <w:color w:val="231F20"/>
          <w:w w:val="105"/>
        </w:rPr>
        <w:t>las</w:t>
      </w:r>
      <w:r>
        <w:rPr>
          <w:color w:val="231F20"/>
          <w:spacing w:val="-31"/>
          <w:w w:val="105"/>
        </w:rPr>
        <w:t> </w:t>
      </w:r>
      <w:r>
        <w:rPr>
          <w:color w:val="231F20"/>
          <w:w w:val="105"/>
        </w:rPr>
        <w:t>siguientes</w:t>
      </w:r>
      <w:r>
        <w:rPr>
          <w:color w:val="231F20"/>
          <w:spacing w:val="-31"/>
          <w:w w:val="105"/>
        </w:rPr>
        <w:t> </w:t>
      </w:r>
      <w:r>
        <w:rPr>
          <w:color w:val="231F20"/>
          <w:w w:val="105"/>
        </w:rPr>
        <w:t>(Vega</w:t>
      </w:r>
      <w:r>
        <w:rPr>
          <w:color w:val="231F20"/>
          <w:spacing w:val="-31"/>
          <w:w w:val="105"/>
        </w:rPr>
        <w:t> </w:t>
      </w:r>
      <w:r>
        <w:rPr>
          <w:color w:val="231F20"/>
          <w:w w:val="105"/>
        </w:rPr>
        <w:t>e</w:t>
      </w:r>
      <w:r>
        <w:rPr>
          <w:color w:val="231F20"/>
          <w:spacing w:val="-31"/>
          <w:w w:val="105"/>
        </w:rPr>
        <w:t> </w:t>
      </w:r>
      <w:r>
        <w:rPr>
          <w:color w:val="231F20"/>
          <w:w w:val="105"/>
        </w:rPr>
        <w:t>Ilescas,</w:t>
      </w:r>
      <w:r>
        <w:rPr>
          <w:color w:val="231F20"/>
          <w:spacing w:val="-34"/>
          <w:w w:val="105"/>
        </w:rPr>
        <w:t> </w:t>
      </w:r>
      <w:r>
        <w:rPr>
          <w:color w:val="231F20"/>
          <w:w w:val="105"/>
        </w:rPr>
        <w:t>2009:</w:t>
      </w:r>
      <w:r>
        <w:rPr>
          <w:color w:val="231F20"/>
          <w:spacing w:val="-31"/>
          <w:w w:val="105"/>
        </w:rPr>
        <w:t> </w:t>
      </w:r>
      <w:r>
        <w:rPr>
          <w:color w:val="231F20"/>
          <w:w w:val="105"/>
        </w:rPr>
        <w:t>131):</w:t>
      </w:r>
    </w:p>
    <w:p>
      <w:pPr>
        <w:pStyle w:val="BodyText"/>
        <w:rPr>
          <w:sz w:val="23"/>
        </w:rPr>
      </w:pPr>
    </w:p>
    <w:p>
      <w:pPr>
        <w:pStyle w:val="ListParagraph"/>
        <w:numPr>
          <w:ilvl w:val="0"/>
          <w:numId w:val="5"/>
        </w:numPr>
        <w:tabs>
          <w:tab w:pos="2934" w:val="left" w:leader="none"/>
          <w:tab w:pos="2935" w:val="left" w:leader="none"/>
        </w:tabs>
        <w:spacing w:line="261" w:lineRule="auto" w:before="0" w:after="0"/>
        <w:ind w:left="2934" w:right="1835" w:hanging="360"/>
        <w:jc w:val="left"/>
        <w:rPr>
          <w:sz w:val="21"/>
        </w:rPr>
      </w:pPr>
      <w:r>
        <w:rPr>
          <w:color w:val="231F20"/>
          <w:w w:val="105"/>
          <w:sz w:val="21"/>
        </w:rPr>
        <w:t>1993: Operación Bloqueo, posteriormente llamada Hold the</w:t>
      </w:r>
      <w:r>
        <w:rPr>
          <w:color w:val="231F20"/>
          <w:spacing w:val="-25"/>
          <w:w w:val="105"/>
          <w:sz w:val="21"/>
        </w:rPr>
        <w:t> </w:t>
      </w:r>
      <w:r>
        <w:rPr>
          <w:color w:val="231F20"/>
          <w:w w:val="105"/>
          <w:sz w:val="21"/>
        </w:rPr>
        <w:t>Line</w:t>
      </w:r>
      <w:r>
        <w:rPr>
          <w:color w:val="231F20"/>
          <w:spacing w:val="-25"/>
          <w:w w:val="105"/>
          <w:sz w:val="21"/>
        </w:rPr>
        <w:t> </w:t>
      </w:r>
      <w:r>
        <w:rPr>
          <w:color w:val="231F20"/>
          <w:w w:val="105"/>
          <w:sz w:val="21"/>
        </w:rPr>
        <w:t>en</w:t>
      </w:r>
      <w:r>
        <w:rPr>
          <w:color w:val="231F20"/>
          <w:spacing w:val="-25"/>
          <w:w w:val="105"/>
          <w:sz w:val="21"/>
        </w:rPr>
        <w:t> </w:t>
      </w:r>
      <w:r>
        <w:rPr>
          <w:color w:val="231F20"/>
          <w:w w:val="105"/>
          <w:sz w:val="21"/>
        </w:rPr>
        <w:t>el</w:t>
      </w:r>
      <w:r>
        <w:rPr>
          <w:color w:val="231F20"/>
          <w:spacing w:val="-25"/>
          <w:w w:val="105"/>
          <w:sz w:val="21"/>
        </w:rPr>
        <w:t> </w:t>
      </w:r>
      <w:r>
        <w:rPr>
          <w:color w:val="231F20"/>
          <w:w w:val="105"/>
          <w:sz w:val="21"/>
        </w:rPr>
        <w:t>paso</w:t>
      </w:r>
      <w:r>
        <w:rPr>
          <w:color w:val="231F20"/>
          <w:spacing w:val="-28"/>
          <w:w w:val="105"/>
          <w:sz w:val="21"/>
        </w:rPr>
        <w:t> </w:t>
      </w:r>
      <w:r>
        <w:rPr>
          <w:color w:val="231F20"/>
          <w:spacing w:val="-4"/>
          <w:w w:val="105"/>
          <w:sz w:val="21"/>
        </w:rPr>
        <w:t>Texas.</w:t>
      </w:r>
    </w:p>
    <w:p>
      <w:pPr>
        <w:pStyle w:val="ListParagraph"/>
        <w:numPr>
          <w:ilvl w:val="0"/>
          <w:numId w:val="5"/>
        </w:numPr>
        <w:tabs>
          <w:tab w:pos="2934" w:val="left" w:leader="none"/>
          <w:tab w:pos="2935" w:val="left" w:leader="none"/>
        </w:tabs>
        <w:spacing w:line="240" w:lineRule="auto" w:before="171" w:after="0"/>
        <w:ind w:left="2934" w:right="0" w:hanging="360"/>
        <w:jc w:val="left"/>
        <w:rPr>
          <w:sz w:val="21"/>
        </w:rPr>
      </w:pPr>
      <w:r>
        <w:rPr>
          <w:color w:val="231F20"/>
          <w:w w:val="105"/>
          <w:sz w:val="21"/>
        </w:rPr>
        <w:t>1994:</w:t>
      </w:r>
      <w:r>
        <w:rPr>
          <w:color w:val="231F20"/>
          <w:spacing w:val="-28"/>
          <w:w w:val="105"/>
          <w:sz w:val="21"/>
        </w:rPr>
        <w:t> </w:t>
      </w:r>
      <w:r>
        <w:rPr>
          <w:color w:val="231F20"/>
          <w:w w:val="105"/>
          <w:sz w:val="21"/>
        </w:rPr>
        <w:t>Operación</w:t>
      </w:r>
      <w:r>
        <w:rPr>
          <w:color w:val="231F20"/>
          <w:spacing w:val="-28"/>
          <w:w w:val="105"/>
          <w:sz w:val="21"/>
        </w:rPr>
        <w:t> </w:t>
      </w:r>
      <w:r>
        <w:rPr>
          <w:color w:val="231F20"/>
          <w:spacing w:val="-3"/>
          <w:w w:val="105"/>
          <w:sz w:val="21"/>
        </w:rPr>
        <w:t>Guardián</w:t>
      </w:r>
      <w:r>
        <w:rPr>
          <w:color w:val="231F20"/>
          <w:spacing w:val="-28"/>
          <w:w w:val="105"/>
          <w:sz w:val="21"/>
        </w:rPr>
        <w:t> </w:t>
      </w:r>
      <w:r>
        <w:rPr>
          <w:color w:val="231F20"/>
          <w:w w:val="105"/>
          <w:sz w:val="21"/>
        </w:rPr>
        <w:t>en</w:t>
      </w:r>
      <w:r>
        <w:rPr>
          <w:color w:val="231F20"/>
          <w:spacing w:val="-28"/>
          <w:w w:val="105"/>
          <w:sz w:val="21"/>
        </w:rPr>
        <w:t> </w:t>
      </w:r>
      <w:r>
        <w:rPr>
          <w:color w:val="231F20"/>
          <w:w w:val="105"/>
          <w:sz w:val="21"/>
        </w:rPr>
        <w:t>el</w:t>
      </w:r>
      <w:r>
        <w:rPr>
          <w:color w:val="231F20"/>
          <w:spacing w:val="-28"/>
          <w:w w:val="105"/>
          <w:sz w:val="21"/>
        </w:rPr>
        <w:t> </w:t>
      </w:r>
      <w:r>
        <w:rPr>
          <w:color w:val="231F20"/>
          <w:spacing w:val="-3"/>
          <w:w w:val="105"/>
          <w:sz w:val="21"/>
        </w:rPr>
        <w:t>corredor</w:t>
      </w:r>
      <w:r>
        <w:rPr>
          <w:color w:val="231F20"/>
          <w:spacing w:val="-32"/>
          <w:w w:val="105"/>
          <w:sz w:val="21"/>
        </w:rPr>
        <w:t> </w:t>
      </w:r>
      <w:r>
        <w:rPr>
          <w:color w:val="231F20"/>
          <w:spacing w:val="-3"/>
          <w:w w:val="105"/>
          <w:sz w:val="21"/>
        </w:rPr>
        <w:t>Tijuana-San</w:t>
      </w:r>
      <w:r>
        <w:rPr>
          <w:color w:val="231F20"/>
          <w:spacing w:val="-28"/>
          <w:w w:val="105"/>
          <w:sz w:val="21"/>
        </w:rPr>
        <w:t> </w:t>
      </w:r>
      <w:r>
        <w:rPr>
          <w:color w:val="231F20"/>
          <w:spacing w:val="-2"/>
          <w:w w:val="105"/>
          <w:sz w:val="21"/>
        </w:rPr>
        <w:t>Diego.</w:t>
      </w:r>
    </w:p>
    <w:p>
      <w:pPr>
        <w:pStyle w:val="BodyText"/>
        <w:spacing w:before="11"/>
        <w:rPr>
          <w:sz w:val="16"/>
        </w:rPr>
      </w:pPr>
    </w:p>
    <w:p>
      <w:pPr>
        <w:pStyle w:val="ListParagraph"/>
        <w:numPr>
          <w:ilvl w:val="0"/>
          <w:numId w:val="5"/>
        </w:numPr>
        <w:tabs>
          <w:tab w:pos="2934" w:val="left" w:leader="none"/>
          <w:tab w:pos="2935" w:val="left" w:leader="none"/>
        </w:tabs>
        <w:spacing w:line="261" w:lineRule="auto" w:before="0" w:after="0"/>
        <w:ind w:left="2934" w:right="1834" w:hanging="360"/>
        <w:jc w:val="left"/>
        <w:rPr>
          <w:sz w:val="21"/>
        </w:rPr>
      </w:pPr>
      <w:r>
        <w:rPr>
          <w:color w:val="231F20"/>
          <w:w w:val="105"/>
          <w:sz w:val="21"/>
        </w:rPr>
        <w:t>1995-1997:</w:t>
      </w:r>
      <w:r>
        <w:rPr>
          <w:color w:val="231F20"/>
          <w:spacing w:val="-18"/>
          <w:w w:val="105"/>
          <w:sz w:val="21"/>
        </w:rPr>
        <w:t> </w:t>
      </w:r>
      <w:r>
        <w:rPr>
          <w:color w:val="231F20"/>
          <w:w w:val="105"/>
          <w:sz w:val="21"/>
        </w:rPr>
        <w:t>Operación</w:t>
      </w:r>
      <w:r>
        <w:rPr>
          <w:color w:val="231F20"/>
          <w:spacing w:val="-18"/>
          <w:w w:val="105"/>
          <w:sz w:val="21"/>
        </w:rPr>
        <w:t> </w:t>
      </w:r>
      <w:r>
        <w:rPr>
          <w:color w:val="231F20"/>
          <w:w w:val="105"/>
          <w:sz w:val="21"/>
        </w:rPr>
        <w:t>Salvaguarda,</w:t>
      </w:r>
      <w:r>
        <w:rPr>
          <w:color w:val="231F20"/>
          <w:spacing w:val="-22"/>
          <w:w w:val="105"/>
          <w:sz w:val="21"/>
        </w:rPr>
        <w:t> </w:t>
      </w:r>
      <w:r>
        <w:rPr>
          <w:color w:val="231F20"/>
          <w:w w:val="105"/>
          <w:sz w:val="21"/>
        </w:rPr>
        <w:t>para</w:t>
      </w:r>
      <w:r>
        <w:rPr>
          <w:color w:val="231F20"/>
          <w:spacing w:val="-18"/>
          <w:w w:val="105"/>
          <w:sz w:val="21"/>
        </w:rPr>
        <w:t> </w:t>
      </w:r>
      <w:r>
        <w:rPr>
          <w:color w:val="231F20"/>
          <w:w w:val="105"/>
          <w:sz w:val="21"/>
        </w:rPr>
        <w:t>mejorar</w:t>
      </w:r>
      <w:r>
        <w:rPr>
          <w:color w:val="231F20"/>
          <w:spacing w:val="-18"/>
          <w:w w:val="105"/>
          <w:sz w:val="21"/>
        </w:rPr>
        <w:t> </w:t>
      </w:r>
      <w:r>
        <w:rPr>
          <w:color w:val="231F20"/>
          <w:w w:val="105"/>
          <w:sz w:val="21"/>
        </w:rPr>
        <w:t>el</w:t>
      </w:r>
      <w:r>
        <w:rPr>
          <w:color w:val="231F20"/>
          <w:spacing w:val="-18"/>
          <w:w w:val="105"/>
          <w:sz w:val="21"/>
        </w:rPr>
        <w:t> </w:t>
      </w:r>
      <w:r>
        <w:rPr>
          <w:color w:val="231F20"/>
          <w:w w:val="105"/>
          <w:sz w:val="21"/>
        </w:rPr>
        <w:t>control de</w:t>
      </w:r>
      <w:r>
        <w:rPr>
          <w:color w:val="231F20"/>
          <w:spacing w:val="-15"/>
          <w:w w:val="105"/>
          <w:sz w:val="21"/>
        </w:rPr>
        <w:t> </w:t>
      </w:r>
      <w:r>
        <w:rPr>
          <w:color w:val="231F20"/>
          <w:w w:val="105"/>
          <w:sz w:val="21"/>
        </w:rPr>
        <w:t>la</w:t>
      </w:r>
      <w:r>
        <w:rPr>
          <w:color w:val="231F20"/>
          <w:spacing w:val="-15"/>
          <w:w w:val="105"/>
          <w:sz w:val="21"/>
        </w:rPr>
        <w:t> </w:t>
      </w:r>
      <w:r>
        <w:rPr>
          <w:color w:val="231F20"/>
          <w:w w:val="105"/>
          <w:sz w:val="21"/>
        </w:rPr>
        <w:t>frontera</w:t>
      </w:r>
      <w:r>
        <w:rPr>
          <w:color w:val="231F20"/>
          <w:spacing w:val="-15"/>
          <w:w w:val="105"/>
          <w:sz w:val="21"/>
        </w:rPr>
        <w:t> </w:t>
      </w:r>
      <w:r>
        <w:rPr>
          <w:color w:val="231F20"/>
          <w:w w:val="105"/>
          <w:sz w:val="21"/>
        </w:rPr>
        <w:t>con</w:t>
      </w:r>
      <w:r>
        <w:rPr>
          <w:color w:val="231F20"/>
          <w:spacing w:val="-18"/>
          <w:w w:val="105"/>
          <w:sz w:val="21"/>
        </w:rPr>
        <w:t> </w:t>
      </w:r>
      <w:r>
        <w:rPr>
          <w:color w:val="231F20"/>
          <w:w w:val="105"/>
          <w:sz w:val="21"/>
        </w:rPr>
        <w:t>Arizona.</w:t>
      </w:r>
    </w:p>
    <w:p>
      <w:pPr>
        <w:pStyle w:val="ListParagraph"/>
        <w:numPr>
          <w:ilvl w:val="0"/>
          <w:numId w:val="5"/>
        </w:numPr>
        <w:tabs>
          <w:tab w:pos="2934" w:val="left" w:leader="none"/>
          <w:tab w:pos="2935" w:val="left" w:leader="none"/>
        </w:tabs>
        <w:spacing w:line="240" w:lineRule="auto" w:before="171" w:after="0"/>
        <w:ind w:left="2934" w:right="0" w:hanging="360"/>
        <w:jc w:val="left"/>
        <w:rPr>
          <w:sz w:val="21"/>
        </w:rPr>
      </w:pPr>
      <w:r>
        <w:rPr>
          <w:color w:val="231F20"/>
          <w:w w:val="105"/>
          <w:sz w:val="21"/>
        </w:rPr>
        <w:t>2004:</w:t>
      </w:r>
      <w:r>
        <w:rPr>
          <w:color w:val="231F20"/>
          <w:spacing w:val="-10"/>
          <w:w w:val="105"/>
          <w:sz w:val="21"/>
        </w:rPr>
        <w:t> </w:t>
      </w:r>
      <w:r>
        <w:rPr>
          <w:color w:val="231F20"/>
          <w:w w:val="105"/>
          <w:sz w:val="21"/>
        </w:rPr>
        <w:t>Control</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la</w:t>
      </w:r>
      <w:r>
        <w:rPr>
          <w:color w:val="231F20"/>
          <w:spacing w:val="-10"/>
          <w:w w:val="105"/>
          <w:sz w:val="21"/>
        </w:rPr>
        <w:t> </w:t>
      </w:r>
      <w:r>
        <w:rPr>
          <w:color w:val="231F20"/>
          <w:w w:val="105"/>
          <w:sz w:val="21"/>
        </w:rPr>
        <w:t>frontera</w:t>
      </w:r>
      <w:r>
        <w:rPr>
          <w:color w:val="231F20"/>
          <w:spacing w:val="-10"/>
          <w:w w:val="105"/>
          <w:sz w:val="21"/>
        </w:rPr>
        <w:t> </w:t>
      </w:r>
      <w:r>
        <w:rPr>
          <w:color w:val="231F20"/>
          <w:w w:val="105"/>
          <w:sz w:val="21"/>
        </w:rPr>
        <w:t>de</w:t>
      </w:r>
      <w:r>
        <w:rPr>
          <w:color w:val="231F20"/>
          <w:spacing w:val="-14"/>
          <w:w w:val="105"/>
          <w:sz w:val="21"/>
        </w:rPr>
        <w:t> </w:t>
      </w:r>
      <w:r>
        <w:rPr>
          <w:color w:val="231F20"/>
          <w:w w:val="105"/>
          <w:sz w:val="21"/>
        </w:rPr>
        <w:t>Arizona.</w:t>
      </w:r>
    </w:p>
    <w:p>
      <w:pPr>
        <w:pStyle w:val="BodyText"/>
        <w:spacing w:before="11"/>
        <w:rPr>
          <w:sz w:val="16"/>
        </w:rPr>
      </w:pPr>
    </w:p>
    <w:p>
      <w:pPr>
        <w:pStyle w:val="ListParagraph"/>
        <w:numPr>
          <w:ilvl w:val="0"/>
          <w:numId w:val="5"/>
        </w:numPr>
        <w:tabs>
          <w:tab w:pos="2934" w:val="left" w:leader="none"/>
          <w:tab w:pos="2935" w:val="left" w:leader="none"/>
        </w:tabs>
        <w:spacing w:line="261" w:lineRule="auto" w:before="0" w:after="0"/>
        <w:ind w:left="2934" w:right="1835" w:hanging="360"/>
        <w:jc w:val="left"/>
        <w:rPr>
          <w:sz w:val="21"/>
        </w:rPr>
      </w:pPr>
      <w:r>
        <w:rPr>
          <w:color w:val="231F20"/>
          <w:w w:val="105"/>
          <w:sz w:val="21"/>
        </w:rPr>
        <w:t>2005-2006: Construcción del muro fronterizo e incorpora- ción</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Guardia</w:t>
      </w:r>
      <w:r>
        <w:rPr>
          <w:color w:val="231F20"/>
          <w:spacing w:val="-17"/>
          <w:w w:val="105"/>
          <w:sz w:val="21"/>
        </w:rPr>
        <w:t> </w:t>
      </w:r>
      <w:r>
        <w:rPr>
          <w:color w:val="231F20"/>
          <w:w w:val="105"/>
          <w:sz w:val="21"/>
        </w:rPr>
        <w:t>Nacional</w:t>
      </w:r>
      <w:r>
        <w:rPr>
          <w:color w:val="231F20"/>
          <w:spacing w:val="-17"/>
          <w:w w:val="105"/>
          <w:sz w:val="21"/>
        </w:rPr>
        <w:t> </w:t>
      </w:r>
      <w:r>
        <w:rPr>
          <w:color w:val="231F20"/>
          <w:w w:val="105"/>
          <w:sz w:val="21"/>
        </w:rPr>
        <w:t>en</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vigilancia</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Frontera.</w:t>
      </w:r>
    </w:p>
    <w:p>
      <w:pPr>
        <w:pStyle w:val="BodyText"/>
        <w:spacing w:line="261" w:lineRule="auto" w:before="171"/>
        <w:ind w:left="1723" w:right="1829"/>
        <w:jc w:val="right"/>
      </w:pPr>
      <w:r>
        <w:rPr>
          <w:color w:val="231F20"/>
          <w:spacing w:val="-4"/>
          <w:w w:val="105"/>
        </w:rPr>
        <w:t>Posteriormente, </w:t>
      </w:r>
      <w:r>
        <w:rPr>
          <w:color w:val="231F20"/>
          <w:spacing w:val="-3"/>
          <w:w w:val="105"/>
        </w:rPr>
        <w:t>acompañando </w:t>
      </w:r>
      <w:r>
        <w:rPr>
          <w:color w:val="231F20"/>
          <w:w w:val="105"/>
        </w:rPr>
        <w:t>al </w:t>
      </w:r>
      <w:r>
        <w:rPr>
          <w:color w:val="231F20"/>
          <w:spacing w:val="-3"/>
          <w:w w:val="105"/>
        </w:rPr>
        <w:t>proceso recesivo </w:t>
      </w:r>
      <w:r>
        <w:rPr>
          <w:color w:val="231F20"/>
          <w:w w:val="105"/>
        </w:rPr>
        <w:t>en </w:t>
      </w:r>
      <w:r>
        <w:rPr>
          <w:color w:val="231F20"/>
          <w:spacing w:val="-3"/>
          <w:w w:val="105"/>
        </w:rPr>
        <w:t>2008, </w:t>
      </w:r>
      <w:r>
        <w:rPr>
          <w:color w:val="231F20"/>
          <w:w w:val="105"/>
        </w:rPr>
        <w:t>que</w:t>
      </w:r>
      <w:r>
        <w:rPr>
          <w:color w:val="231F20"/>
          <w:spacing w:val="40"/>
          <w:w w:val="105"/>
        </w:rPr>
        <w:t> </w:t>
      </w:r>
      <w:r>
        <w:rPr>
          <w:color w:val="231F20"/>
          <w:spacing w:val="-3"/>
          <w:w w:val="105"/>
        </w:rPr>
        <w:t>llevó</w:t>
      </w:r>
      <w:r>
        <w:rPr>
          <w:color w:val="231F20"/>
          <w:spacing w:val="4"/>
          <w:w w:val="105"/>
        </w:rPr>
        <w:t> </w:t>
      </w:r>
      <w:r>
        <w:rPr>
          <w:color w:val="231F20"/>
          <w:w w:val="105"/>
        </w:rPr>
        <w:t>a</w:t>
      </w:r>
      <w:r>
        <w:rPr>
          <w:color w:val="231F20"/>
          <w:w w:val="96"/>
        </w:rPr>
        <w:t> </w:t>
      </w:r>
      <w:r>
        <w:rPr>
          <w:color w:val="231F20"/>
          <w:w w:val="105"/>
        </w:rPr>
        <w:t>la </w:t>
      </w:r>
      <w:r>
        <w:rPr>
          <w:color w:val="231F20"/>
          <w:spacing w:val="-3"/>
          <w:w w:val="105"/>
        </w:rPr>
        <w:t>mayor pérdida </w:t>
      </w:r>
      <w:r>
        <w:rPr>
          <w:color w:val="231F20"/>
          <w:w w:val="105"/>
        </w:rPr>
        <w:t>de </w:t>
      </w:r>
      <w:r>
        <w:rPr>
          <w:color w:val="231F20"/>
          <w:spacing w:val="-3"/>
          <w:w w:val="105"/>
        </w:rPr>
        <w:t>empleos</w:t>
      </w:r>
      <w:r>
        <w:rPr>
          <w:color w:val="231F20"/>
          <w:spacing w:val="-3"/>
          <w:w w:val="105"/>
          <w:position w:val="7"/>
          <w:sz w:val="12"/>
        </w:rPr>
        <w:t>3 </w:t>
      </w:r>
      <w:r>
        <w:rPr>
          <w:color w:val="231F20"/>
          <w:spacing w:val="-3"/>
          <w:w w:val="105"/>
        </w:rPr>
        <w:t>(particularmente </w:t>
      </w:r>
      <w:r>
        <w:rPr>
          <w:color w:val="231F20"/>
          <w:w w:val="105"/>
        </w:rPr>
        <w:t>de los </w:t>
      </w:r>
      <w:r>
        <w:rPr>
          <w:color w:val="231F20"/>
          <w:spacing w:val="-3"/>
          <w:w w:val="105"/>
        </w:rPr>
        <w:t>sectores</w:t>
      </w:r>
      <w:r>
        <w:rPr>
          <w:color w:val="231F20"/>
          <w:spacing w:val="-31"/>
          <w:w w:val="105"/>
        </w:rPr>
        <w:t> </w:t>
      </w:r>
      <w:r>
        <w:rPr>
          <w:color w:val="231F20"/>
          <w:spacing w:val="-3"/>
          <w:w w:val="105"/>
        </w:rPr>
        <w:t>donde</w:t>
      </w:r>
      <w:r>
        <w:rPr>
          <w:color w:val="231F20"/>
          <w:spacing w:val="-5"/>
          <w:w w:val="105"/>
        </w:rPr>
        <w:t> </w:t>
      </w:r>
      <w:r>
        <w:rPr>
          <w:color w:val="231F20"/>
          <w:spacing w:val="-3"/>
          <w:w w:val="105"/>
        </w:rPr>
        <w:t>se</w:t>
      </w:r>
      <w:r>
        <w:rPr>
          <w:color w:val="231F20"/>
          <w:spacing w:val="-3"/>
          <w:w w:val="96"/>
        </w:rPr>
        <w:t> </w:t>
      </w:r>
      <w:r>
        <w:rPr>
          <w:color w:val="231F20"/>
          <w:spacing w:val="-3"/>
          <w:w w:val="105"/>
        </w:rPr>
        <w:t>emplea</w:t>
      </w:r>
      <w:r>
        <w:rPr>
          <w:color w:val="231F20"/>
          <w:spacing w:val="-8"/>
          <w:w w:val="105"/>
        </w:rPr>
        <w:t> </w:t>
      </w:r>
      <w:r>
        <w:rPr>
          <w:color w:val="231F20"/>
          <w:w w:val="105"/>
        </w:rPr>
        <w:t>la</w:t>
      </w:r>
      <w:r>
        <w:rPr>
          <w:color w:val="231F20"/>
          <w:spacing w:val="-8"/>
          <w:w w:val="105"/>
        </w:rPr>
        <w:t> </w:t>
      </w:r>
      <w:r>
        <w:rPr>
          <w:color w:val="231F20"/>
          <w:spacing w:val="-3"/>
          <w:w w:val="105"/>
        </w:rPr>
        <w:t>mayor</w:t>
      </w:r>
      <w:r>
        <w:rPr>
          <w:color w:val="231F20"/>
          <w:spacing w:val="-8"/>
          <w:w w:val="105"/>
        </w:rPr>
        <w:t> </w:t>
      </w:r>
      <w:r>
        <w:rPr>
          <w:color w:val="231F20"/>
          <w:spacing w:val="-4"/>
          <w:w w:val="105"/>
        </w:rPr>
        <w:t>proporción</w:t>
      </w:r>
      <w:r>
        <w:rPr>
          <w:color w:val="231F20"/>
          <w:spacing w:val="-8"/>
          <w:w w:val="105"/>
        </w:rPr>
        <w:t> </w:t>
      </w:r>
      <w:r>
        <w:rPr>
          <w:color w:val="231F20"/>
          <w:w w:val="105"/>
        </w:rPr>
        <w:t>de</w:t>
      </w:r>
      <w:r>
        <w:rPr>
          <w:color w:val="231F20"/>
          <w:spacing w:val="-8"/>
          <w:w w:val="105"/>
        </w:rPr>
        <w:t> </w:t>
      </w:r>
      <w:r>
        <w:rPr>
          <w:color w:val="231F20"/>
          <w:spacing w:val="-3"/>
          <w:w w:val="105"/>
        </w:rPr>
        <w:t>población</w:t>
      </w:r>
      <w:r>
        <w:rPr>
          <w:color w:val="231F20"/>
          <w:spacing w:val="-8"/>
          <w:w w:val="105"/>
        </w:rPr>
        <w:t> </w:t>
      </w:r>
      <w:r>
        <w:rPr>
          <w:color w:val="231F20"/>
          <w:spacing w:val="-3"/>
          <w:w w:val="105"/>
        </w:rPr>
        <w:t>migrante),</w:t>
      </w:r>
      <w:r>
        <w:rPr>
          <w:color w:val="231F20"/>
          <w:spacing w:val="-14"/>
          <w:w w:val="105"/>
        </w:rPr>
        <w:t> </w:t>
      </w:r>
      <w:r>
        <w:rPr>
          <w:color w:val="231F20"/>
          <w:w w:val="105"/>
        </w:rPr>
        <w:t>se</w:t>
      </w:r>
      <w:r>
        <w:rPr>
          <w:color w:val="231F20"/>
          <w:spacing w:val="-8"/>
          <w:w w:val="105"/>
        </w:rPr>
        <w:t> </w:t>
      </w:r>
      <w:r>
        <w:rPr>
          <w:color w:val="231F20"/>
          <w:spacing w:val="-3"/>
          <w:w w:val="105"/>
        </w:rPr>
        <w:t>observaron</w:t>
      </w:r>
      <w:r>
        <w:rPr>
          <w:color w:val="231F20"/>
          <w:spacing w:val="-8"/>
          <w:w w:val="105"/>
        </w:rPr>
        <w:t> </w:t>
      </w:r>
      <w:r>
        <w:rPr>
          <w:color w:val="231F20"/>
          <w:spacing w:val="-4"/>
          <w:w w:val="105"/>
        </w:rPr>
        <w:t>retro-</w:t>
      </w:r>
      <w:r>
        <w:rPr>
          <w:color w:val="231F20"/>
          <w:w w:val="96"/>
        </w:rPr>
        <w:t> </w:t>
      </w:r>
      <w:r>
        <w:rPr>
          <w:color w:val="231F20"/>
          <w:spacing w:val="-3"/>
          <w:w w:val="105"/>
        </w:rPr>
        <w:t>cesos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spacing w:val="-3"/>
          <w:w w:val="105"/>
        </w:rPr>
        <w:t>agenda</w:t>
      </w:r>
      <w:r>
        <w:rPr>
          <w:color w:val="231F20"/>
          <w:spacing w:val="-11"/>
          <w:w w:val="105"/>
        </w:rPr>
        <w:t> </w:t>
      </w:r>
      <w:r>
        <w:rPr>
          <w:color w:val="231F20"/>
          <w:spacing w:val="-4"/>
          <w:w w:val="105"/>
        </w:rPr>
        <w:t>migratoria</w:t>
      </w:r>
      <w:r>
        <w:rPr>
          <w:color w:val="231F20"/>
          <w:spacing w:val="-11"/>
          <w:w w:val="105"/>
        </w:rPr>
        <w:t> </w:t>
      </w:r>
      <w:r>
        <w:rPr>
          <w:color w:val="231F20"/>
          <w:spacing w:val="-3"/>
          <w:w w:val="105"/>
        </w:rPr>
        <w:t>internacional</w:t>
      </w:r>
      <w:r>
        <w:rPr>
          <w:color w:val="231F20"/>
          <w:spacing w:val="-3"/>
          <w:w w:val="105"/>
          <w:position w:val="7"/>
          <w:sz w:val="12"/>
        </w:rPr>
        <w:t>4</w:t>
      </w:r>
      <w:r>
        <w:rPr>
          <w:color w:val="231F20"/>
          <w:spacing w:val="15"/>
          <w:w w:val="105"/>
          <w:position w:val="7"/>
          <w:sz w:val="12"/>
        </w:rPr>
        <w:t> </w:t>
      </w:r>
      <w:r>
        <w:rPr>
          <w:color w:val="231F20"/>
          <w:spacing w:val="-3"/>
          <w:w w:val="105"/>
        </w:rPr>
        <w:t>(Martínez</w:t>
      </w:r>
      <w:r>
        <w:rPr>
          <w:color w:val="231F20"/>
          <w:spacing w:val="-11"/>
          <w:w w:val="105"/>
        </w:rPr>
        <w:t> </w:t>
      </w:r>
      <w:r>
        <w:rPr>
          <w:rFonts w:ascii="Arial" w:hAnsi="Arial"/>
          <w:i/>
          <w:color w:val="231F20"/>
          <w:w w:val="105"/>
        </w:rPr>
        <w:t>et</w:t>
      </w:r>
      <w:r>
        <w:rPr>
          <w:rFonts w:ascii="Arial" w:hAnsi="Arial"/>
          <w:i/>
          <w:color w:val="231F20"/>
          <w:spacing w:val="-13"/>
          <w:w w:val="105"/>
        </w:rPr>
        <w:t> </w:t>
      </w:r>
      <w:r>
        <w:rPr>
          <w:rFonts w:ascii="Arial" w:hAnsi="Arial"/>
          <w:i/>
          <w:color w:val="231F20"/>
          <w:spacing w:val="-3"/>
          <w:w w:val="105"/>
        </w:rPr>
        <w:t>al.,</w:t>
      </w:r>
      <w:r>
        <w:rPr>
          <w:rFonts w:ascii="Arial" w:hAnsi="Arial"/>
          <w:i/>
          <w:color w:val="231F20"/>
          <w:spacing w:val="-13"/>
          <w:w w:val="105"/>
        </w:rPr>
        <w:t> </w:t>
      </w:r>
      <w:r>
        <w:rPr>
          <w:color w:val="231F20"/>
          <w:spacing w:val="-3"/>
          <w:w w:val="105"/>
        </w:rPr>
        <w:t>2010:</w:t>
      </w:r>
      <w:r>
        <w:rPr>
          <w:color w:val="231F20"/>
          <w:spacing w:val="-11"/>
          <w:w w:val="105"/>
        </w:rPr>
        <w:t> </w:t>
      </w:r>
      <w:r>
        <w:rPr>
          <w:color w:val="231F20"/>
          <w:w w:val="105"/>
        </w:rPr>
        <w:t>5).</w:t>
      </w:r>
      <w:r>
        <w:rPr>
          <w:color w:val="231F20"/>
          <w:spacing w:val="-16"/>
          <w:w w:val="105"/>
        </w:rPr>
        <w:t> </w:t>
      </w:r>
      <w:r>
        <w:rPr>
          <w:color w:val="231F20"/>
          <w:spacing w:val="-3"/>
          <w:w w:val="105"/>
        </w:rPr>
        <w:t>En</w:t>
      </w:r>
      <w:r>
        <w:rPr>
          <w:color w:val="231F20"/>
          <w:spacing w:val="-3"/>
          <w:w w:val="9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spacing w:val="-3"/>
          <w:w w:val="105"/>
        </w:rPr>
        <w:t>respecta</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spacing w:val="-3"/>
          <w:w w:val="105"/>
        </w:rPr>
        <w:t>política</w:t>
      </w:r>
      <w:r>
        <w:rPr>
          <w:color w:val="231F20"/>
          <w:spacing w:val="-9"/>
          <w:w w:val="105"/>
        </w:rPr>
        <w:t> </w:t>
      </w:r>
      <w:r>
        <w:rPr>
          <w:color w:val="231F20"/>
          <w:spacing w:val="-4"/>
          <w:w w:val="105"/>
        </w:rPr>
        <w:t>migratoria</w:t>
      </w:r>
      <w:r>
        <w:rPr>
          <w:color w:val="231F20"/>
          <w:spacing w:val="-9"/>
          <w:w w:val="105"/>
        </w:rPr>
        <w:t> </w:t>
      </w:r>
      <w:r>
        <w:rPr>
          <w:color w:val="231F20"/>
          <w:spacing w:val="-3"/>
          <w:w w:val="105"/>
        </w:rPr>
        <w:t>estadounidense</w:t>
      </w:r>
      <w:r>
        <w:rPr>
          <w:color w:val="231F20"/>
          <w:spacing w:val="-9"/>
          <w:w w:val="105"/>
        </w:rPr>
        <w:t> </w:t>
      </w:r>
      <w:r>
        <w:rPr>
          <w:color w:val="231F20"/>
          <w:spacing w:val="-3"/>
          <w:w w:val="105"/>
        </w:rPr>
        <w:t>fueron</w:t>
      </w:r>
      <w:r>
        <w:rPr>
          <w:color w:val="231F20"/>
          <w:spacing w:val="-9"/>
          <w:w w:val="105"/>
        </w:rPr>
        <w:t> </w:t>
      </w:r>
      <w:r>
        <w:rPr>
          <w:color w:val="231F20"/>
          <w:spacing w:val="-3"/>
          <w:w w:val="105"/>
        </w:rPr>
        <w:t>visibles</w:t>
      </w:r>
      <w:r>
        <w:rPr>
          <w:color w:val="231F20"/>
          <w:spacing w:val="-9"/>
          <w:w w:val="105"/>
        </w:rPr>
        <w:t> </w:t>
      </w:r>
      <w:r>
        <w:rPr>
          <w:color w:val="231F20"/>
          <w:spacing w:val="-3"/>
          <w:w w:val="105"/>
        </w:rPr>
        <w:t>los</w:t>
      </w:r>
      <w:r>
        <w:rPr>
          <w:color w:val="231F20"/>
          <w:spacing w:val="-3"/>
          <w:w w:val="101"/>
        </w:rPr>
        <w:t> </w:t>
      </w:r>
      <w:r>
        <w:rPr>
          <w:color w:val="231F20"/>
          <w:spacing w:val="-3"/>
          <w:w w:val="105"/>
        </w:rPr>
        <w:t>cambios </w:t>
      </w:r>
      <w:r>
        <w:rPr>
          <w:color w:val="231F20"/>
          <w:w w:val="105"/>
        </w:rPr>
        <w:t>en las </w:t>
      </w:r>
      <w:r>
        <w:rPr>
          <w:color w:val="231F20"/>
          <w:spacing w:val="-3"/>
          <w:w w:val="105"/>
        </w:rPr>
        <w:t>actitudes hacia </w:t>
      </w:r>
      <w:r>
        <w:rPr>
          <w:color w:val="231F20"/>
          <w:w w:val="105"/>
        </w:rPr>
        <w:t>la </w:t>
      </w:r>
      <w:r>
        <w:rPr>
          <w:color w:val="231F20"/>
          <w:spacing w:val="-3"/>
          <w:w w:val="105"/>
        </w:rPr>
        <w:t>migración laboral, dado </w:t>
      </w:r>
      <w:r>
        <w:rPr>
          <w:color w:val="231F20"/>
          <w:w w:val="105"/>
        </w:rPr>
        <w:t>que</w:t>
      </w:r>
      <w:r>
        <w:rPr>
          <w:color w:val="231F20"/>
          <w:spacing w:val="2"/>
          <w:w w:val="105"/>
        </w:rPr>
        <w:t> </w:t>
      </w:r>
      <w:r>
        <w:rPr>
          <w:color w:val="231F20"/>
          <w:w w:val="105"/>
        </w:rPr>
        <w:t>la</w:t>
      </w:r>
      <w:r>
        <w:rPr>
          <w:color w:val="231F20"/>
          <w:spacing w:val="4"/>
          <w:w w:val="105"/>
        </w:rPr>
        <w:t> </w:t>
      </w:r>
      <w:r>
        <w:rPr>
          <w:color w:val="231F20"/>
          <w:spacing w:val="-3"/>
          <w:w w:val="105"/>
        </w:rPr>
        <w:t>reduci-</w:t>
      </w:r>
      <w:r>
        <w:rPr>
          <w:color w:val="231F20"/>
          <w:w w:val="96"/>
        </w:rPr>
        <w:t> </w:t>
      </w:r>
      <w:r>
        <w:rPr>
          <w:color w:val="231F20"/>
          <w:w w:val="105"/>
        </w:rPr>
        <w:t>da </w:t>
      </w:r>
      <w:r>
        <w:rPr>
          <w:color w:val="231F20"/>
          <w:spacing w:val="-3"/>
          <w:w w:val="105"/>
        </w:rPr>
        <w:t>oferta </w:t>
      </w:r>
      <w:r>
        <w:rPr>
          <w:color w:val="231F20"/>
          <w:w w:val="105"/>
        </w:rPr>
        <w:t>de </w:t>
      </w:r>
      <w:r>
        <w:rPr>
          <w:color w:val="231F20"/>
          <w:spacing w:val="-3"/>
          <w:w w:val="105"/>
        </w:rPr>
        <w:t>empleos despertó sentimientos </w:t>
      </w:r>
      <w:r>
        <w:rPr>
          <w:color w:val="231F20"/>
          <w:w w:val="105"/>
        </w:rPr>
        <w:t>de</w:t>
      </w:r>
      <w:r>
        <w:rPr>
          <w:color w:val="231F20"/>
          <w:spacing w:val="21"/>
          <w:w w:val="105"/>
        </w:rPr>
        <w:t> </w:t>
      </w:r>
      <w:r>
        <w:rPr>
          <w:color w:val="231F20"/>
          <w:spacing w:val="-3"/>
          <w:w w:val="105"/>
        </w:rPr>
        <w:t>discriminación,</w:t>
      </w:r>
      <w:r>
        <w:rPr>
          <w:color w:val="231F20"/>
          <w:spacing w:val="-5"/>
          <w:w w:val="105"/>
        </w:rPr>
        <w:t> </w:t>
      </w:r>
      <w:r>
        <w:rPr>
          <w:color w:val="231F20"/>
          <w:spacing w:val="-3"/>
          <w:w w:val="105"/>
        </w:rPr>
        <w:t>violencia</w:t>
      </w:r>
      <w:r>
        <w:rPr>
          <w:color w:val="231F20"/>
          <w:spacing w:val="-3"/>
          <w:w w:val="103"/>
        </w:rPr>
        <w:t> </w:t>
      </w:r>
      <w:r>
        <w:rPr>
          <w:color w:val="231F20"/>
          <w:w w:val="105"/>
        </w:rPr>
        <w:t>y</w:t>
      </w:r>
      <w:r>
        <w:rPr>
          <w:color w:val="231F20"/>
          <w:spacing w:val="-13"/>
          <w:w w:val="105"/>
        </w:rPr>
        <w:t> </w:t>
      </w:r>
      <w:r>
        <w:rPr>
          <w:color w:val="231F20"/>
          <w:spacing w:val="-3"/>
          <w:w w:val="105"/>
        </w:rPr>
        <w:t>xenofobia</w:t>
      </w:r>
      <w:r>
        <w:rPr>
          <w:color w:val="231F20"/>
          <w:spacing w:val="-13"/>
          <w:w w:val="105"/>
        </w:rPr>
        <w:t> </w:t>
      </w:r>
      <w:r>
        <w:rPr>
          <w:color w:val="231F20"/>
          <w:spacing w:val="-3"/>
          <w:w w:val="105"/>
        </w:rPr>
        <w:t>(Awad,</w:t>
      </w:r>
      <w:r>
        <w:rPr>
          <w:color w:val="231F20"/>
          <w:spacing w:val="-18"/>
          <w:w w:val="105"/>
        </w:rPr>
        <w:t> </w:t>
      </w:r>
      <w:r>
        <w:rPr>
          <w:color w:val="231F20"/>
          <w:spacing w:val="-3"/>
          <w:w w:val="105"/>
        </w:rPr>
        <w:t>2009),</w:t>
      </w:r>
      <w:r>
        <w:rPr>
          <w:color w:val="231F20"/>
          <w:spacing w:val="-18"/>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spacing w:val="-4"/>
          <w:w w:val="105"/>
        </w:rPr>
        <w:t>materializaron</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spacing w:val="-3"/>
          <w:w w:val="105"/>
        </w:rPr>
        <w:t>implementación</w:t>
      </w:r>
      <w:r>
        <w:rPr>
          <w:color w:val="231F20"/>
          <w:spacing w:val="-13"/>
          <w:w w:val="105"/>
        </w:rPr>
        <w:t> </w:t>
      </w:r>
      <w:r>
        <w:rPr>
          <w:color w:val="231F20"/>
          <w:spacing w:val="-3"/>
          <w:w w:val="105"/>
        </w:rPr>
        <w:t>de</w:t>
      </w:r>
      <w:r>
        <w:rPr>
          <w:color w:val="231F20"/>
          <w:spacing w:val="-3"/>
          <w:w w:val="108"/>
        </w:rPr>
        <w:t> </w:t>
      </w:r>
      <w:r>
        <w:rPr>
          <w:color w:val="231F20"/>
          <w:spacing w:val="-3"/>
          <w:w w:val="105"/>
        </w:rPr>
        <w:t>medidas</w:t>
      </w:r>
      <w:r>
        <w:rPr>
          <w:color w:val="231F20"/>
          <w:spacing w:val="-22"/>
          <w:w w:val="105"/>
        </w:rPr>
        <w:t> </w:t>
      </w:r>
      <w:r>
        <w:rPr>
          <w:color w:val="231F20"/>
          <w:spacing w:val="-3"/>
          <w:w w:val="105"/>
        </w:rPr>
        <w:t>restrictivas</w:t>
      </w:r>
      <w:r>
        <w:rPr>
          <w:color w:val="231F20"/>
          <w:spacing w:val="-22"/>
          <w:w w:val="105"/>
        </w:rPr>
        <w:t> </w:t>
      </w:r>
      <w:r>
        <w:rPr>
          <w:color w:val="231F20"/>
          <w:w w:val="105"/>
        </w:rPr>
        <w:t>que</w:t>
      </w:r>
      <w:r>
        <w:rPr>
          <w:color w:val="231F20"/>
          <w:spacing w:val="-22"/>
          <w:w w:val="105"/>
        </w:rPr>
        <w:t> </w:t>
      </w:r>
      <w:r>
        <w:rPr>
          <w:color w:val="231F20"/>
          <w:spacing w:val="-3"/>
          <w:w w:val="105"/>
        </w:rPr>
        <w:t>acentuaron</w:t>
      </w:r>
      <w:r>
        <w:rPr>
          <w:color w:val="231F20"/>
          <w:spacing w:val="-22"/>
          <w:w w:val="105"/>
        </w:rPr>
        <w:t> </w:t>
      </w:r>
      <w:r>
        <w:rPr>
          <w:color w:val="231F20"/>
          <w:w w:val="105"/>
        </w:rPr>
        <w:t>la</w:t>
      </w:r>
      <w:r>
        <w:rPr>
          <w:color w:val="231F20"/>
          <w:spacing w:val="-22"/>
          <w:w w:val="105"/>
        </w:rPr>
        <w:t> </w:t>
      </w:r>
      <w:r>
        <w:rPr>
          <w:color w:val="231F20"/>
          <w:spacing w:val="-3"/>
          <w:w w:val="105"/>
        </w:rPr>
        <w:t>desprotección,</w:t>
      </w:r>
      <w:r>
        <w:rPr>
          <w:color w:val="231F20"/>
          <w:spacing w:val="-27"/>
          <w:w w:val="105"/>
        </w:rPr>
        <w:t> </w:t>
      </w:r>
      <w:r>
        <w:rPr>
          <w:color w:val="231F20"/>
          <w:spacing w:val="-3"/>
          <w:w w:val="105"/>
        </w:rPr>
        <w:t>irregularidad,</w:t>
      </w:r>
      <w:r>
        <w:rPr>
          <w:color w:val="231F20"/>
          <w:spacing w:val="-27"/>
          <w:w w:val="105"/>
        </w:rPr>
        <w:t> </w:t>
      </w:r>
      <w:r>
        <w:rPr>
          <w:color w:val="231F20"/>
          <w:spacing w:val="-4"/>
          <w:w w:val="105"/>
        </w:rPr>
        <w:t>incer-</w:t>
      </w:r>
      <w:r>
        <w:rPr>
          <w:color w:val="231F20"/>
          <w:w w:val="96"/>
        </w:rPr>
        <w:t> </w:t>
      </w:r>
      <w:r>
        <w:rPr>
          <w:color w:val="231F20"/>
          <w:spacing w:val="-3"/>
          <w:w w:val="105"/>
        </w:rPr>
        <w:t>tidumbre </w:t>
      </w:r>
      <w:r>
        <w:rPr>
          <w:color w:val="231F20"/>
          <w:w w:val="105"/>
        </w:rPr>
        <w:t>e </w:t>
      </w:r>
      <w:r>
        <w:rPr>
          <w:color w:val="231F20"/>
          <w:spacing w:val="-3"/>
          <w:w w:val="105"/>
        </w:rPr>
        <w:t>intolerancia </w:t>
      </w:r>
      <w:r>
        <w:rPr>
          <w:color w:val="231F20"/>
          <w:w w:val="105"/>
        </w:rPr>
        <w:t>de la que han </w:t>
      </w:r>
      <w:r>
        <w:rPr>
          <w:color w:val="231F20"/>
          <w:spacing w:val="-3"/>
          <w:w w:val="105"/>
        </w:rPr>
        <w:t>sido </w:t>
      </w:r>
      <w:r>
        <w:rPr>
          <w:color w:val="231F20"/>
          <w:w w:val="105"/>
        </w:rPr>
        <w:t>y </w:t>
      </w:r>
      <w:r>
        <w:rPr>
          <w:color w:val="231F20"/>
          <w:spacing w:val="-3"/>
          <w:w w:val="105"/>
        </w:rPr>
        <w:t>siguen siendo</w:t>
      </w:r>
      <w:r>
        <w:rPr>
          <w:color w:val="231F20"/>
          <w:spacing w:val="29"/>
          <w:w w:val="105"/>
        </w:rPr>
        <w:t> </w:t>
      </w:r>
      <w:r>
        <w:rPr>
          <w:color w:val="231F20"/>
          <w:spacing w:val="-3"/>
          <w:w w:val="105"/>
        </w:rPr>
        <w:t>víctimas</w:t>
      </w:r>
      <w:r>
        <w:rPr>
          <w:color w:val="231F20"/>
          <w:spacing w:val="11"/>
          <w:w w:val="105"/>
        </w:rPr>
        <w:t> </w:t>
      </w:r>
      <w:r>
        <w:rPr>
          <w:color w:val="231F20"/>
          <w:spacing w:val="-3"/>
          <w:w w:val="105"/>
        </w:rPr>
        <w:t>los</w:t>
      </w:r>
      <w:r>
        <w:rPr>
          <w:color w:val="231F20"/>
          <w:spacing w:val="-3"/>
          <w:w w:val="101"/>
        </w:rPr>
        <w:t> </w:t>
      </w:r>
      <w:r>
        <w:rPr>
          <w:color w:val="231F20"/>
          <w:spacing w:val="-3"/>
          <w:w w:val="105"/>
        </w:rPr>
        <w:t>migrantes </w:t>
      </w:r>
      <w:r>
        <w:rPr>
          <w:color w:val="231F20"/>
          <w:w w:val="105"/>
        </w:rPr>
        <w:t>en ese </w:t>
      </w:r>
      <w:r>
        <w:rPr>
          <w:color w:val="231F20"/>
          <w:spacing w:val="-3"/>
          <w:w w:val="105"/>
        </w:rPr>
        <w:t>país: fortalecimiento </w:t>
      </w:r>
      <w:r>
        <w:rPr>
          <w:color w:val="231F20"/>
          <w:w w:val="105"/>
        </w:rPr>
        <w:t>de las</w:t>
      </w:r>
      <w:r>
        <w:rPr>
          <w:color w:val="231F20"/>
          <w:spacing w:val="-41"/>
          <w:w w:val="105"/>
        </w:rPr>
        <w:t> </w:t>
      </w:r>
      <w:r>
        <w:rPr>
          <w:color w:val="231F20"/>
          <w:spacing w:val="-3"/>
          <w:w w:val="105"/>
        </w:rPr>
        <w:t>campañas </w:t>
      </w:r>
      <w:r>
        <w:rPr>
          <w:color w:val="231F20"/>
          <w:w w:val="105"/>
        </w:rPr>
        <w:t>de</w:t>
      </w:r>
      <w:r>
        <w:rPr>
          <w:color w:val="231F20"/>
          <w:spacing w:val="-7"/>
          <w:w w:val="105"/>
        </w:rPr>
        <w:t> </w:t>
      </w:r>
      <w:r>
        <w:rPr>
          <w:color w:val="231F20"/>
          <w:spacing w:val="-3"/>
          <w:w w:val="105"/>
        </w:rPr>
        <w:t>militarización</w:t>
      </w:r>
      <w:r>
        <w:rPr>
          <w:color w:val="231F20"/>
          <w:spacing w:val="-3"/>
          <w:w w:val="103"/>
        </w:rPr>
        <w:t> </w:t>
      </w:r>
      <w:r>
        <w:rPr>
          <w:color w:val="231F20"/>
          <w:spacing w:val="-3"/>
          <w:w w:val="105"/>
        </w:rPr>
        <w:t>fronteriza;</w:t>
      </w:r>
      <w:r>
        <w:rPr>
          <w:color w:val="231F20"/>
          <w:spacing w:val="-13"/>
          <w:w w:val="105"/>
        </w:rPr>
        <w:t> </w:t>
      </w:r>
      <w:r>
        <w:rPr>
          <w:color w:val="231F20"/>
          <w:spacing w:val="-3"/>
          <w:w w:val="105"/>
        </w:rPr>
        <w:t>criminalización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spacing w:val="-4"/>
          <w:w w:val="105"/>
        </w:rPr>
        <w:t>contratación</w:t>
      </w:r>
      <w:r>
        <w:rPr>
          <w:color w:val="231F20"/>
          <w:spacing w:val="-13"/>
          <w:w w:val="105"/>
        </w:rPr>
        <w:t> </w:t>
      </w:r>
      <w:r>
        <w:rPr>
          <w:color w:val="231F20"/>
          <w:w w:val="105"/>
        </w:rPr>
        <w:t>de</w:t>
      </w:r>
      <w:r>
        <w:rPr>
          <w:color w:val="231F20"/>
          <w:spacing w:val="-13"/>
          <w:w w:val="105"/>
        </w:rPr>
        <w:t> </w:t>
      </w:r>
      <w:r>
        <w:rPr>
          <w:color w:val="231F20"/>
          <w:spacing w:val="-3"/>
          <w:w w:val="105"/>
        </w:rPr>
        <w:t>migrantes</w:t>
      </w:r>
      <w:r>
        <w:rPr>
          <w:color w:val="231F20"/>
          <w:spacing w:val="-13"/>
          <w:w w:val="105"/>
        </w:rPr>
        <w:t> </w:t>
      </w:r>
      <w:r>
        <w:rPr>
          <w:color w:val="231F20"/>
          <w:w w:val="105"/>
        </w:rPr>
        <w:t>no</w:t>
      </w:r>
      <w:r>
        <w:rPr>
          <w:color w:val="231F20"/>
          <w:spacing w:val="-13"/>
          <w:w w:val="105"/>
        </w:rPr>
        <w:t> </w:t>
      </w:r>
      <w:r>
        <w:rPr>
          <w:color w:val="231F20"/>
          <w:spacing w:val="-3"/>
          <w:w w:val="105"/>
        </w:rPr>
        <w:t>documenta-</w:t>
      </w:r>
      <w:r>
        <w:rPr>
          <w:color w:val="231F20"/>
          <w:w w:val="96"/>
        </w:rPr>
        <w:t> </w:t>
      </w:r>
      <w:r>
        <w:rPr>
          <w:color w:val="231F20"/>
          <w:spacing w:val="-3"/>
          <w:w w:val="105"/>
        </w:rPr>
        <w:t>dos;</w:t>
      </w:r>
      <w:r>
        <w:rPr>
          <w:color w:val="231F20"/>
          <w:spacing w:val="-19"/>
          <w:w w:val="105"/>
        </w:rPr>
        <w:t> </w:t>
      </w:r>
      <w:r>
        <w:rPr>
          <w:color w:val="231F20"/>
          <w:spacing w:val="-3"/>
          <w:w w:val="105"/>
        </w:rPr>
        <w:t>persecución</w:t>
      </w:r>
      <w:r>
        <w:rPr>
          <w:color w:val="231F20"/>
          <w:spacing w:val="-19"/>
          <w:w w:val="105"/>
        </w:rPr>
        <w:t> </w:t>
      </w:r>
      <w:r>
        <w:rPr>
          <w:color w:val="231F20"/>
          <w:w w:val="105"/>
        </w:rPr>
        <w:t>y</w:t>
      </w:r>
      <w:r>
        <w:rPr>
          <w:color w:val="231F20"/>
          <w:spacing w:val="-19"/>
          <w:w w:val="105"/>
        </w:rPr>
        <w:t> </w:t>
      </w:r>
      <w:r>
        <w:rPr>
          <w:color w:val="231F20"/>
          <w:spacing w:val="-3"/>
          <w:w w:val="105"/>
        </w:rPr>
        <w:t>hostigamiento</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spacing w:val="-3"/>
          <w:w w:val="105"/>
        </w:rPr>
        <w:t>centros</w:t>
      </w:r>
      <w:r>
        <w:rPr>
          <w:color w:val="231F20"/>
          <w:spacing w:val="-19"/>
          <w:w w:val="105"/>
        </w:rPr>
        <w:t> </w:t>
      </w:r>
      <w:r>
        <w:rPr>
          <w:color w:val="231F20"/>
          <w:w w:val="105"/>
        </w:rPr>
        <w:t>de</w:t>
      </w:r>
      <w:r>
        <w:rPr>
          <w:color w:val="231F20"/>
          <w:spacing w:val="-19"/>
          <w:w w:val="105"/>
        </w:rPr>
        <w:t> </w:t>
      </w:r>
      <w:r>
        <w:rPr>
          <w:color w:val="231F20"/>
          <w:spacing w:val="-3"/>
          <w:w w:val="105"/>
        </w:rPr>
        <w:t>trabajo</w:t>
      </w:r>
      <w:r>
        <w:rPr>
          <w:color w:val="231F20"/>
          <w:spacing w:val="-19"/>
          <w:w w:val="105"/>
        </w:rPr>
        <w:t> </w:t>
      </w:r>
      <w:r>
        <w:rPr>
          <w:color w:val="231F20"/>
          <w:spacing w:val="-3"/>
          <w:w w:val="105"/>
        </w:rPr>
        <w:t>(Kibble,</w:t>
      </w:r>
      <w:r>
        <w:rPr>
          <w:color w:val="231F20"/>
          <w:spacing w:val="-24"/>
          <w:w w:val="105"/>
        </w:rPr>
        <w:t> </w:t>
      </w:r>
      <w:r>
        <w:rPr>
          <w:color w:val="231F20"/>
          <w:spacing w:val="-3"/>
          <w:w w:val="105"/>
        </w:rPr>
        <w:t>2010).</w:t>
      </w:r>
      <w:r>
        <w:rPr>
          <w:color w:val="231F20"/>
          <w:spacing w:val="-3"/>
          <w:w w:val="101"/>
        </w:rPr>
        <w:t> </w:t>
      </w:r>
      <w:r>
        <w:rPr>
          <w:color w:val="231F20"/>
          <w:spacing w:val="-6"/>
          <w:w w:val="105"/>
        </w:rPr>
        <w:t>Por</w:t>
      </w:r>
      <w:r>
        <w:rPr>
          <w:color w:val="231F20"/>
          <w:spacing w:val="-15"/>
          <w:w w:val="105"/>
        </w:rPr>
        <w:t> </w:t>
      </w:r>
      <w:r>
        <w:rPr>
          <w:color w:val="231F20"/>
          <w:w w:val="105"/>
        </w:rPr>
        <w:t>ejemplo,</w:t>
      </w:r>
      <w:r>
        <w:rPr>
          <w:color w:val="231F20"/>
          <w:spacing w:val="-21"/>
          <w:w w:val="105"/>
        </w:rPr>
        <w:t> </w:t>
      </w:r>
      <w:r>
        <w:rPr>
          <w:color w:val="231F20"/>
          <w:w w:val="105"/>
        </w:rPr>
        <w:t>entre</w:t>
      </w:r>
      <w:r>
        <w:rPr>
          <w:color w:val="231F20"/>
          <w:spacing w:val="-15"/>
          <w:w w:val="105"/>
        </w:rPr>
        <w:t> </w:t>
      </w:r>
      <w:r>
        <w:rPr>
          <w:color w:val="231F20"/>
          <w:w w:val="105"/>
        </w:rPr>
        <w:t>2010</w:t>
      </w:r>
      <w:r>
        <w:rPr>
          <w:color w:val="231F20"/>
          <w:spacing w:val="-15"/>
          <w:w w:val="105"/>
        </w:rPr>
        <w:t> </w:t>
      </w:r>
      <w:r>
        <w:rPr>
          <w:color w:val="231F20"/>
          <w:w w:val="105"/>
        </w:rPr>
        <w:t>y</w:t>
      </w:r>
      <w:r>
        <w:rPr>
          <w:color w:val="231F20"/>
          <w:spacing w:val="-15"/>
          <w:w w:val="105"/>
        </w:rPr>
        <w:t> </w:t>
      </w:r>
      <w:r>
        <w:rPr>
          <w:color w:val="231F20"/>
          <w:w w:val="105"/>
        </w:rPr>
        <w:t>2011</w:t>
      </w:r>
      <w:r>
        <w:rPr>
          <w:color w:val="231F20"/>
          <w:spacing w:val="-15"/>
          <w:w w:val="105"/>
        </w:rPr>
        <w:t> </w:t>
      </w:r>
      <w:r>
        <w:rPr>
          <w:color w:val="231F20"/>
          <w:w w:val="105"/>
        </w:rPr>
        <w:t>fueron</w:t>
      </w:r>
      <w:r>
        <w:rPr>
          <w:color w:val="231F20"/>
          <w:spacing w:val="-15"/>
          <w:w w:val="105"/>
        </w:rPr>
        <w:t> </w:t>
      </w:r>
      <w:r>
        <w:rPr>
          <w:color w:val="231F20"/>
          <w:w w:val="105"/>
        </w:rPr>
        <w:t>seis</w:t>
      </w:r>
      <w:r>
        <w:rPr>
          <w:color w:val="231F20"/>
          <w:spacing w:val="-15"/>
          <w:w w:val="105"/>
        </w:rPr>
        <w:t> </w:t>
      </w:r>
      <w:r>
        <w:rPr>
          <w:color w:val="231F20"/>
          <w:w w:val="105"/>
        </w:rPr>
        <w:t>los</w:t>
      </w:r>
      <w:r>
        <w:rPr>
          <w:color w:val="231F20"/>
          <w:spacing w:val="-15"/>
          <w:w w:val="105"/>
        </w:rPr>
        <w:t> </w:t>
      </w:r>
      <w:r>
        <w:rPr>
          <w:color w:val="231F20"/>
          <w:w w:val="105"/>
        </w:rPr>
        <w:t>estados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Unión</w:t>
      </w:r>
      <w:r>
        <w:rPr>
          <w:color w:val="231F20"/>
          <w:w w:val="104"/>
        </w:rPr>
        <w:t> </w:t>
      </w:r>
      <w:r>
        <w:rPr>
          <w:color w:val="231F20"/>
          <w:w w:val="105"/>
        </w:rPr>
        <w:t>Americana</w:t>
      </w:r>
      <w:r>
        <w:rPr>
          <w:color w:val="231F20"/>
          <w:spacing w:val="-19"/>
          <w:w w:val="105"/>
        </w:rPr>
        <w:t> </w:t>
      </w:r>
      <w:r>
        <w:rPr>
          <w:color w:val="231F20"/>
          <w:w w:val="105"/>
        </w:rPr>
        <w:t>que</w:t>
      </w:r>
      <w:r>
        <w:rPr>
          <w:color w:val="231F20"/>
          <w:spacing w:val="-19"/>
          <w:w w:val="105"/>
        </w:rPr>
        <w:t> </w:t>
      </w:r>
      <w:r>
        <w:rPr>
          <w:color w:val="231F20"/>
          <w:w w:val="105"/>
        </w:rPr>
        <w:t>promulgaron</w:t>
      </w:r>
      <w:r>
        <w:rPr>
          <w:color w:val="231F20"/>
          <w:spacing w:val="-19"/>
          <w:w w:val="105"/>
        </w:rPr>
        <w:t> </w:t>
      </w:r>
      <w:r>
        <w:rPr>
          <w:color w:val="231F20"/>
          <w:w w:val="105"/>
        </w:rPr>
        <w:t>leyes</w:t>
      </w:r>
      <w:r>
        <w:rPr>
          <w:color w:val="231F20"/>
          <w:spacing w:val="-19"/>
          <w:w w:val="105"/>
        </w:rPr>
        <w:t> </w:t>
      </w:r>
      <w:r>
        <w:rPr>
          <w:color w:val="231F20"/>
          <w:w w:val="105"/>
        </w:rPr>
        <w:t>contra</w:t>
      </w:r>
      <w:r>
        <w:rPr>
          <w:color w:val="231F20"/>
          <w:spacing w:val="-19"/>
          <w:w w:val="105"/>
        </w:rPr>
        <w:t> </w:t>
      </w:r>
      <w:r>
        <w:rPr>
          <w:color w:val="231F20"/>
          <w:w w:val="105"/>
        </w:rPr>
        <w:t>migrantes</w:t>
      </w:r>
      <w:r>
        <w:rPr>
          <w:color w:val="231F20"/>
          <w:spacing w:val="-19"/>
          <w:w w:val="105"/>
        </w:rPr>
        <w:t> </w:t>
      </w:r>
      <w:r>
        <w:rPr>
          <w:color w:val="231F20"/>
          <w:w w:val="105"/>
        </w:rPr>
        <w:t>(Arizona,</w:t>
      </w:r>
      <w:r>
        <w:rPr>
          <w:color w:val="231F20"/>
          <w:spacing w:val="-27"/>
          <w:w w:val="105"/>
        </w:rPr>
        <w:t> </w:t>
      </w:r>
      <w:r>
        <w:rPr>
          <w:color w:val="231F20"/>
          <w:spacing w:val="-3"/>
          <w:w w:val="105"/>
        </w:rPr>
        <w:t>Tennesse,</w:t>
      </w:r>
    </w:p>
    <w:p>
      <w:pPr>
        <w:pStyle w:val="BodyText"/>
        <w:rPr>
          <w:sz w:val="17"/>
        </w:rPr>
      </w:pPr>
      <w:r>
        <w:rPr/>
        <w:pict>
          <v:line style="position:absolute;mso-position-horizontal-relative:page;mso-position-vertical-relative:paragraph;z-index:15592;mso-wrap-distance-left:0;mso-wrap-distance-right:0" from="86.1968pt,11.73053pt" to="199.5828pt,11.73053pt" stroked="true" strokeweight=".25pt" strokecolor="#231f20">
            <w10:wrap type="topAndBottom"/>
          </v:line>
        </w:pict>
      </w:r>
    </w:p>
    <w:p>
      <w:pPr>
        <w:spacing w:line="192" w:lineRule="exact" w:before="7"/>
        <w:ind w:left="1723" w:right="1834" w:firstLine="0"/>
        <w:jc w:val="both"/>
        <w:rPr>
          <w:rFonts w:ascii="Calibri" w:hAnsi="Calibri"/>
          <w:sz w:val="16"/>
        </w:rPr>
      </w:pPr>
      <w:r>
        <w:rPr>
          <w:rFonts w:ascii="Calibri" w:hAnsi="Calibri"/>
          <w:color w:val="414042"/>
          <w:position w:val="5"/>
          <w:sz w:val="9"/>
        </w:rPr>
        <w:t>3  </w:t>
      </w:r>
      <w:r>
        <w:rPr>
          <w:rFonts w:ascii="Calibri" w:hAnsi="Calibri"/>
          <w:color w:val="414042"/>
          <w:sz w:val="16"/>
        </w:rPr>
        <w:t>El nivel de desocupación alcanzó magnitudes históricas en un corto período de tiempo, pasando de   4.9% en enero de 2008 a 9.7% en agosto de 2009 (Mendoza, 2010: 6). En 2010 se inició la recuperación económica, aunque el proceso ha sido lento: únicamente se habían recuperado alrededor de 20% (1.7 millones) de los casi ocho millones de puestos de trabajo perdidos (</w:t>
      </w:r>
      <w:r>
        <w:rPr>
          <w:rFonts w:ascii="Calibri" w:hAnsi="Calibri"/>
          <w:color w:val="414042"/>
          <w:sz w:val="14"/>
        </w:rPr>
        <w:t>BBVA</w:t>
      </w:r>
      <w:r>
        <w:rPr>
          <w:rFonts w:ascii="Calibri" w:hAnsi="Calibri"/>
          <w:color w:val="414042"/>
          <w:sz w:val="16"/>
        </w:rPr>
        <w:t>, </w:t>
      </w:r>
      <w:r>
        <w:rPr>
          <w:rFonts w:ascii="Calibri" w:hAnsi="Calibri"/>
          <w:color w:val="414042"/>
          <w:spacing w:val="26"/>
          <w:sz w:val="16"/>
        </w:rPr>
        <w:t> </w:t>
      </w:r>
      <w:r>
        <w:rPr>
          <w:rFonts w:ascii="Calibri" w:hAnsi="Calibri"/>
          <w:color w:val="414042"/>
          <w:sz w:val="16"/>
        </w:rPr>
        <w:t>2011).</w:t>
      </w:r>
    </w:p>
    <w:p>
      <w:pPr>
        <w:spacing w:line="192" w:lineRule="exact" w:before="0"/>
        <w:ind w:left="1723" w:right="1834" w:firstLine="0"/>
        <w:jc w:val="both"/>
        <w:rPr>
          <w:rFonts w:ascii="Calibri" w:hAnsi="Calibri"/>
          <w:sz w:val="16"/>
        </w:rPr>
      </w:pPr>
      <w:r>
        <w:rPr>
          <w:rFonts w:ascii="Calibri" w:hAnsi="Calibri"/>
          <w:color w:val="414042"/>
          <w:w w:val="105"/>
          <w:position w:val="5"/>
          <w:sz w:val="9"/>
        </w:rPr>
        <w:t>4 </w:t>
      </w:r>
      <w:r>
        <w:rPr>
          <w:rFonts w:ascii="Calibri" w:hAnsi="Calibri"/>
          <w:color w:val="414042"/>
          <w:w w:val="105"/>
          <w:sz w:val="16"/>
        </w:rPr>
        <w:t>De</w:t>
      </w:r>
      <w:r>
        <w:rPr>
          <w:rFonts w:ascii="Calibri" w:hAnsi="Calibri"/>
          <w:color w:val="414042"/>
          <w:spacing w:val="-17"/>
          <w:w w:val="105"/>
          <w:sz w:val="16"/>
        </w:rPr>
        <w:t> </w:t>
      </w:r>
      <w:r>
        <w:rPr>
          <w:rFonts w:ascii="Calibri" w:hAnsi="Calibri"/>
          <w:color w:val="414042"/>
          <w:w w:val="105"/>
          <w:sz w:val="16"/>
        </w:rPr>
        <w:t>acuerdo</w:t>
      </w:r>
      <w:r>
        <w:rPr>
          <w:rFonts w:ascii="Calibri" w:hAnsi="Calibri"/>
          <w:color w:val="414042"/>
          <w:spacing w:val="-17"/>
          <w:w w:val="105"/>
          <w:sz w:val="16"/>
        </w:rPr>
        <w:t> </w:t>
      </w:r>
      <w:r>
        <w:rPr>
          <w:rFonts w:ascii="Calibri" w:hAnsi="Calibri"/>
          <w:color w:val="414042"/>
          <w:w w:val="105"/>
          <w:sz w:val="16"/>
        </w:rPr>
        <w:t>con</w:t>
      </w:r>
      <w:r>
        <w:rPr>
          <w:rFonts w:ascii="Calibri" w:hAnsi="Calibri"/>
          <w:color w:val="414042"/>
          <w:spacing w:val="-17"/>
          <w:w w:val="105"/>
          <w:sz w:val="16"/>
        </w:rPr>
        <w:t> </w:t>
      </w:r>
      <w:r>
        <w:rPr>
          <w:rFonts w:ascii="Calibri" w:hAnsi="Calibri"/>
          <w:color w:val="414042"/>
          <w:w w:val="105"/>
          <w:sz w:val="16"/>
        </w:rPr>
        <w:t>Martínez</w:t>
      </w:r>
      <w:r>
        <w:rPr>
          <w:rFonts w:ascii="Calibri" w:hAnsi="Calibri"/>
          <w:color w:val="414042"/>
          <w:spacing w:val="-17"/>
          <w:w w:val="105"/>
          <w:sz w:val="16"/>
        </w:rPr>
        <w:t> </w:t>
      </w:r>
      <w:r>
        <w:rPr>
          <w:rFonts w:ascii="Calibri" w:hAnsi="Calibri"/>
          <w:i/>
          <w:color w:val="414042"/>
          <w:w w:val="105"/>
          <w:sz w:val="16"/>
        </w:rPr>
        <w:t>et</w:t>
      </w:r>
      <w:r>
        <w:rPr>
          <w:rFonts w:ascii="Calibri" w:hAnsi="Calibri"/>
          <w:i/>
          <w:color w:val="414042"/>
          <w:spacing w:val="-18"/>
          <w:w w:val="105"/>
          <w:sz w:val="16"/>
        </w:rPr>
        <w:t> </w:t>
      </w:r>
      <w:r>
        <w:rPr>
          <w:rFonts w:ascii="Calibri" w:hAnsi="Calibri"/>
          <w:i/>
          <w:color w:val="414042"/>
          <w:w w:val="105"/>
          <w:sz w:val="16"/>
        </w:rPr>
        <w:t>al</w:t>
      </w:r>
      <w:r>
        <w:rPr>
          <w:rFonts w:ascii="Calibri" w:hAnsi="Calibri"/>
          <w:color w:val="414042"/>
          <w:w w:val="105"/>
          <w:sz w:val="16"/>
        </w:rPr>
        <w:t>.,</w:t>
      </w:r>
      <w:r>
        <w:rPr>
          <w:rFonts w:ascii="Calibri" w:hAnsi="Calibri"/>
          <w:color w:val="414042"/>
          <w:spacing w:val="-17"/>
          <w:w w:val="105"/>
          <w:sz w:val="16"/>
        </w:rPr>
        <w:t> </w:t>
      </w:r>
      <w:r>
        <w:rPr>
          <w:rFonts w:ascii="Calibri" w:hAnsi="Calibri"/>
          <w:color w:val="414042"/>
          <w:w w:val="105"/>
          <w:sz w:val="16"/>
        </w:rPr>
        <w:t>(2010:</w:t>
      </w:r>
      <w:r>
        <w:rPr>
          <w:rFonts w:ascii="Calibri" w:hAnsi="Calibri"/>
          <w:color w:val="414042"/>
          <w:spacing w:val="-17"/>
          <w:w w:val="105"/>
          <w:sz w:val="16"/>
        </w:rPr>
        <w:t> </w:t>
      </w:r>
      <w:r>
        <w:rPr>
          <w:rFonts w:ascii="Calibri" w:hAnsi="Calibri"/>
          <w:color w:val="414042"/>
          <w:w w:val="105"/>
          <w:sz w:val="16"/>
        </w:rPr>
        <w:t>13),</w:t>
      </w:r>
      <w:r>
        <w:rPr>
          <w:rFonts w:ascii="Calibri" w:hAnsi="Calibri"/>
          <w:color w:val="414042"/>
          <w:spacing w:val="-17"/>
          <w:w w:val="105"/>
          <w:sz w:val="16"/>
        </w:rPr>
        <w:t> </w:t>
      </w:r>
      <w:r>
        <w:rPr>
          <w:rFonts w:ascii="Calibri" w:hAnsi="Calibri"/>
          <w:color w:val="414042"/>
          <w:w w:val="105"/>
          <w:sz w:val="16"/>
        </w:rPr>
        <w:t>en</w:t>
      </w:r>
      <w:r>
        <w:rPr>
          <w:rFonts w:ascii="Calibri" w:hAnsi="Calibri"/>
          <w:color w:val="414042"/>
          <w:spacing w:val="-17"/>
          <w:w w:val="105"/>
          <w:sz w:val="16"/>
        </w:rPr>
        <w:t> </w:t>
      </w:r>
      <w:r>
        <w:rPr>
          <w:rFonts w:ascii="Calibri" w:hAnsi="Calibri"/>
          <w:color w:val="414042"/>
          <w:w w:val="105"/>
          <w:sz w:val="16"/>
        </w:rPr>
        <w:t>los</w:t>
      </w:r>
      <w:r>
        <w:rPr>
          <w:rFonts w:ascii="Calibri" w:hAnsi="Calibri"/>
          <w:color w:val="414042"/>
          <w:spacing w:val="-17"/>
          <w:w w:val="105"/>
          <w:sz w:val="16"/>
        </w:rPr>
        <w:t> </w:t>
      </w:r>
      <w:r>
        <w:rPr>
          <w:rFonts w:ascii="Calibri" w:hAnsi="Calibri"/>
          <w:color w:val="414042"/>
          <w:w w:val="105"/>
          <w:sz w:val="16"/>
        </w:rPr>
        <w:t>años</w:t>
      </w:r>
      <w:r>
        <w:rPr>
          <w:rFonts w:ascii="Calibri" w:hAnsi="Calibri"/>
          <w:color w:val="414042"/>
          <w:spacing w:val="-17"/>
          <w:w w:val="105"/>
          <w:sz w:val="16"/>
        </w:rPr>
        <w:t> </w:t>
      </w:r>
      <w:r>
        <w:rPr>
          <w:rFonts w:ascii="Calibri" w:hAnsi="Calibri"/>
          <w:color w:val="414042"/>
          <w:w w:val="105"/>
          <w:sz w:val="16"/>
        </w:rPr>
        <w:t>precedentes</w:t>
      </w:r>
      <w:r>
        <w:rPr>
          <w:rFonts w:ascii="Calibri" w:hAnsi="Calibri"/>
          <w:color w:val="414042"/>
          <w:spacing w:val="-17"/>
          <w:w w:val="105"/>
          <w:sz w:val="16"/>
        </w:rPr>
        <w:t> </w:t>
      </w:r>
      <w:r>
        <w:rPr>
          <w:rFonts w:ascii="Calibri" w:hAnsi="Calibri"/>
          <w:color w:val="414042"/>
          <w:w w:val="105"/>
          <w:sz w:val="16"/>
        </w:rPr>
        <w:t>a</w:t>
      </w:r>
      <w:r>
        <w:rPr>
          <w:rFonts w:ascii="Calibri" w:hAnsi="Calibri"/>
          <w:color w:val="414042"/>
          <w:spacing w:val="-17"/>
          <w:w w:val="105"/>
          <w:sz w:val="16"/>
        </w:rPr>
        <w:t> </w:t>
      </w:r>
      <w:r>
        <w:rPr>
          <w:rFonts w:ascii="Calibri" w:hAnsi="Calibri"/>
          <w:color w:val="414042"/>
          <w:w w:val="105"/>
          <w:sz w:val="16"/>
        </w:rPr>
        <w:t>la</w:t>
      </w:r>
      <w:r>
        <w:rPr>
          <w:rFonts w:ascii="Calibri" w:hAnsi="Calibri"/>
          <w:color w:val="414042"/>
          <w:spacing w:val="-17"/>
          <w:w w:val="105"/>
          <w:sz w:val="16"/>
        </w:rPr>
        <w:t> </w:t>
      </w:r>
      <w:r>
        <w:rPr>
          <w:rFonts w:ascii="Calibri" w:hAnsi="Calibri"/>
          <w:color w:val="414042"/>
          <w:w w:val="105"/>
          <w:sz w:val="16"/>
        </w:rPr>
        <w:t>crisis</w:t>
      </w:r>
      <w:r>
        <w:rPr>
          <w:rFonts w:ascii="Calibri" w:hAnsi="Calibri"/>
          <w:color w:val="414042"/>
          <w:spacing w:val="-17"/>
          <w:w w:val="105"/>
          <w:sz w:val="16"/>
        </w:rPr>
        <w:t> </w:t>
      </w:r>
      <w:r>
        <w:rPr>
          <w:rFonts w:ascii="Calibri" w:hAnsi="Calibri"/>
          <w:color w:val="414042"/>
          <w:w w:val="105"/>
          <w:sz w:val="16"/>
        </w:rPr>
        <w:t>“se</w:t>
      </w:r>
      <w:r>
        <w:rPr>
          <w:rFonts w:ascii="Calibri" w:hAnsi="Calibri"/>
          <w:color w:val="414042"/>
          <w:spacing w:val="-17"/>
          <w:w w:val="105"/>
          <w:sz w:val="16"/>
        </w:rPr>
        <w:t> </w:t>
      </w:r>
      <w:r>
        <w:rPr>
          <w:rFonts w:ascii="Calibri" w:hAnsi="Calibri"/>
          <w:color w:val="414042"/>
          <w:w w:val="105"/>
          <w:sz w:val="16"/>
        </w:rPr>
        <w:t>registró</w:t>
      </w:r>
      <w:r>
        <w:rPr>
          <w:rFonts w:ascii="Calibri" w:hAnsi="Calibri"/>
          <w:color w:val="414042"/>
          <w:spacing w:val="-17"/>
          <w:w w:val="105"/>
          <w:sz w:val="16"/>
        </w:rPr>
        <w:t> </w:t>
      </w:r>
      <w:r>
        <w:rPr>
          <w:rFonts w:ascii="Calibri" w:hAnsi="Calibri"/>
          <w:color w:val="414042"/>
          <w:w w:val="105"/>
          <w:sz w:val="16"/>
        </w:rPr>
        <w:t>una</w:t>
      </w:r>
      <w:r>
        <w:rPr>
          <w:rFonts w:ascii="Calibri" w:hAnsi="Calibri"/>
          <w:color w:val="414042"/>
          <w:spacing w:val="-17"/>
          <w:w w:val="105"/>
          <w:sz w:val="16"/>
        </w:rPr>
        <w:t> </w:t>
      </w:r>
      <w:r>
        <w:rPr>
          <w:rFonts w:ascii="Calibri" w:hAnsi="Calibri"/>
          <w:color w:val="414042"/>
          <w:w w:val="105"/>
          <w:sz w:val="16"/>
        </w:rPr>
        <w:t>intensa</w:t>
      </w:r>
      <w:r>
        <w:rPr>
          <w:rFonts w:ascii="Calibri" w:hAnsi="Calibri"/>
          <w:color w:val="414042"/>
          <w:spacing w:val="-17"/>
          <w:w w:val="105"/>
          <w:sz w:val="16"/>
        </w:rPr>
        <w:t> </w:t>
      </w:r>
      <w:r>
        <w:rPr>
          <w:rFonts w:ascii="Calibri" w:hAnsi="Calibri"/>
          <w:color w:val="414042"/>
          <w:w w:val="105"/>
          <w:sz w:val="16"/>
        </w:rPr>
        <w:t>ac- tividad</w:t>
      </w:r>
      <w:r>
        <w:rPr>
          <w:rFonts w:ascii="Calibri" w:hAnsi="Calibri"/>
          <w:color w:val="414042"/>
          <w:spacing w:val="-18"/>
          <w:w w:val="105"/>
          <w:sz w:val="16"/>
        </w:rPr>
        <w:t> </w:t>
      </w:r>
      <w:r>
        <w:rPr>
          <w:rFonts w:ascii="Calibri" w:hAnsi="Calibri"/>
          <w:color w:val="414042"/>
          <w:w w:val="105"/>
          <w:sz w:val="16"/>
        </w:rPr>
        <w:t>en</w:t>
      </w:r>
      <w:r>
        <w:rPr>
          <w:rFonts w:ascii="Calibri" w:hAnsi="Calibri"/>
          <w:color w:val="414042"/>
          <w:spacing w:val="-18"/>
          <w:w w:val="105"/>
          <w:sz w:val="16"/>
        </w:rPr>
        <w:t> </w:t>
      </w:r>
      <w:r>
        <w:rPr>
          <w:rFonts w:ascii="Calibri" w:hAnsi="Calibri"/>
          <w:color w:val="414042"/>
          <w:w w:val="105"/>
          <w:sz w:val="16"/>
        </w:rPr>
        <w:t>torno</w:t>
      </w:r>
      <w:r>
        <w:rPr>
          <w:rFonts w:ascii="Calibri" w:hAnsi="Calibri"/>
          <w:color w:val="414042"/>
          <w:spacing w:val="-18"/>
          <w:w w:val="105"/>
          <w:sz w:val="16"/>
        </w:rPr>
        <w:t> </w:t>
      </w:r>
      <w:r>
        <w:rPr>
          <w:rFonts w:ascii="Calibri" w:hAnsi="Calibri"/>
          <w:color w:val="414042"/>
          <w:w w:val="105"/>
          <w:sz w:val="16"/>
        </w:rPr>
        <w:t>a</w:t>
      </w:r>
      <w:r>
        <w:rPr>
          <w:rFonts w:ascii="Calibri" w:hAnsi="Calibri"/>
          <w:color w:val="414042"/>
          <w:spacing w:val="-18"/>
          <w:w w:val="105"/>
          <w:sz w:val="16"/>
        </w:rPr>
        <w:t> </w:t>
      </w:r>
      <w:r>
        <w:rPr>
          <w:rFonts w:ascii="Calibri" w:hAnsi="Calibri"/>
          <w:color w:val="414042"/>
          <w:w w:val="105"/>
          <w:sz w:val="16"/>
        </w:rPr>
        <w:t>los</w:t>
      </w:r>
      <w:r>
        <w:rPr>
          <w:rFonts w:ascii="Calibri" w:hAnsi="Calibri"/>
          <w:color w:val="414042"/>
          <w:spacing w:val="-18"/>
          <w:w w:val="105"/>
          <w:sz w:val="16"/>
        </w:rPr>
        <w:t> </w:t>
      </w:r>
      <w:r>
        <w:rPr>
          <w:rFonts w:ascii="Calibri" w:hAnsi="Calibri"/>
          <w:color w:val="414042"/>
          <w:w w:val="105"/>
          <w:sz w:val="16"/>
        </w:rPr>
        <w:t>temas</w:t>
      </w:r>
      <w:r>
        <w:rPr>
          <w:rFonts w:ascii="Calibri" w:hAnsi="Calibri"/>
          <w:color w:val="414042"/>
          <w:spacing w:val="-18"/>
          <w:w w:val="105"/>
          <w:sz w:val="16"/>
        </w:rPr>
        <w:t> </w:t>
      </w:r>
      <w:r>
        <w:rPr>
          <w:rFonts w:ascii="Calibri" w:hAnsi="Calibri"/>
          <w:color w:val="414042"/>
          <w:w w:val="105"/>
          <w:sz w:val="16"/>
        </w:rPr>
        <w:t>que</w:t>
      </w:r>
      <w:r>
        <w:rPr>
          <w:rFonts w:ascii="Calibri" w:hAnsi="Calibri"/>
          <w:color w:val="414042"/>
          <w:spacing w:val="-18"/>
          <w:w w:val="105"/>
          <w:sz w:val="16"/>
        </w:rPr>
        <w:t> </w:t>
      </w:r>
      <w:r>
        <w:rPr>
          <w:rFonts w:ascii="Calibri" w:hAnsi="Calibri"/>
          <w:color w:val="414042"/>
          <w:w w:val="105"/>
          <w:sz w:val="16"/>
        </w:rPr>
        <w:t>componen</w:t>
      </w:r>
      <w:r>
        <w:rPr>
          <w:rFonts w:ascii="Calibri" w:hAnsi="Calibri"/>
          <w:color w:val="414042"/>
          <w:spacing w:val="-18"/>
          <w:w w:val="105"/>
          <w:sz w:val="16"/>
        </w:rPr>
        <w:t> </w:t>
      </w:r>
      <w:r>
        <w:rPr>
          <w:rFonts w:ascii="Calibri" w:hAnsi="Calibri"/>
          <w:color w:val="414042"/>
          <w:w w:val="105"/>
          <w:sz w:val="16"/>
        </w:rPr>
        <w:t>la</w:t>
      </w:r>
      <w:r>
        <w:rPr>
          <w:rFonts w:ascii="Calibri" w:hAnsi="Calibri"/>
          <w:color w:val="414042"/>
          <w:spacing w:val="-18"/>
          <w:w w:val="105"/>
          <w:sz w:val="16"/>
        </w:rPr>
        <w:t> </w:t>
      </w:r>
      <w:r>
        <w:rPr>
          <w:rFonts w:ascii="Calibri" w:hAnsi="Calibri"/>
          <w:color w:val="414042"/>
          <w:w w:val="105"/>
          <w:sz w:val="16"/>
        </w:rPr>
        <w:t>agenda</w:t>
      </w:r>
      <w:r>
        <w:rPr>
          <w:rFonts w:ascii="Calibri" w:hAnsi="Calibri"/>
          <w:color w:val="414042"/>
          <w:spacing w:val="-18"/>
          <w:w w:val="105"/>
          <w:sz w:val="16"/>
        </w:rPr>
        <w:t> </w:t>
      </w:r>
      <w:r>
        <w:rPr>
          <w:rFonts w:ascii="Calibri" w:hAnsi="Calibri"/>
          <w:color w:val="414042"/>
          <w:w w:val="105"/>
          <w:sz w:val="16"/>
        </w:rPr>
        <w:t>migratoria</w:t>
      </w:r>
      <w:r>
        <w:rPr>
          <w:rFonts w:ascii="Calibri" w:hAnsi="Calibri"/>
          <w:color w:val="414042"/>
          <w:spacing w:val="-18"/>
          <w:w w:val="105"/>
          <w:sz w:val="16"/>
        </w:rPr>
        <w:t> </w:t>
      </w:r>
      <w:r>
        <w:rPr>
          <w:rFonts w:ascii="Calibri" w:hAnsi="Calibri"/>
          <w:color w:val="414042"/>
          <w:w w:val="105"/>
          <w:sz w:val="16"/>
        </w:rPr>
        <w:t>contemporánea</w:t>
      </w:r>
      <w:r>
        <w:rPr>
          <w:rFonts w:ascii="Calibri" w:hAnsi="Calibri"/>
          <w:color w:val="414042"/>
          <w:spacing w:val="-18"/>
          <w:w w:val="105"/>
          <w:sz w:val="16"/>
        </w:rPr>
        <w:t> </w:t>
      </w:r>
      <w:r>
        <w:rPr>
          <w:rFonts w:ascii="Calibri" w:hAnsi="Calibri"/>
          <w:color w:val="414042"/>
          <w:w w:val="105"/>
          <w:sz w:val="16"/>
        </w:rPr>
        <w:t>alimentada</w:t>
      </w:r>
      <w:r>
        <w:rPr>
          <w:rFonts w:ascii="Calibri" w:hAnsi="Calibri"/>
          <w:color w:val="414042"/>
          <w:spacing w:val="-18"/>
          <w:w w:val="105"/>
          <w:sz w:val="16"/>
        </w:rPr>
        <w:t> </w:t>
      </w:r>
      <w:r>
        <w:rPr>
          <w:rFonts w:ascii="Calibri" w:hAnsi="Calibri"/>
          <w:color w:val="414042"/>
          <w:w w:val="105"/>
          <w:sz w:val="16"/>
        </w:rPr>
        <w:t>por</w:t>
      </w:r>
      <w:r>
        <w:rPr>
          <w:rFonts w:ascii="Calibri" w:hAnsi="Calibri"/>
          <w:color w:val="414042"/>
          <w:spacing w:val="-18"/>
          <w:w w:val="105"/>
          <w:sz w:val="16"/>
        </w:rPr>
        <w:t> </w:t>
      </w:r>
      <w:r>
        <w:rPr>
          <w:rFonts w:ascii="Calibri" w:hAnsi="Calibri"/>
          <w:color w:val="414042"/>
          <w:w w:val="105"/>
          <w:sz w:val="16"/>
        </w:rPr>
        <w:t>hechos salientes como el Diálogo de Alto Nivel de las Naciones Unidas (2006), la constitución del Foro Global sobre</w:t>
      </w:r>
      <w:r>
        <w:rPr>
          <w:rFonts w:ascii="Calibri" w:hAnsi="Calibri"/>
          <w:color w:val="414042"/>
          <w:spacing w:val="-10"/>
          <w:w w:val="105"/>
          <w:sz w:val="16"/>
        </w:rPr>
        <w:t> </w:t>
      </w:r>
      <w:r>
        <w:rPr>
          <w:rFonts w:ascii="Calibri" w:hAnsi="Calibri"/>
          <w:color w:val="414042"/>
          <w:w w:val="105"/>
          <w:sz w:val="16"/>
        </w:rPr>
        <w:t>Migración</w:t>
      </w:r>
      <w:r>
        <w:rPr>
          <w:rFonts w:ascii="Calibri" w:hAnsi="Calibri"/>
          <w:color w:val="414042"/>
          <w:spacing w:val="-10"/>
          <w:w w:val="105"/>
          <w:sz w:val="16"/>
        </w:rPr>
        <w:t> </w:t>
      </w:r>
      <w:r>
        <w:rPr>
          <w:rFonts w:ascii="Calibri" w:hAnsi="Calibri"/>
          <w:color w:val="414042"/>
          <w:w w:val="105"/>
          <w:sz w:val="16"/>
        </w:rPr>
        <w:t>y</w:t>
      </w:r>
      <w:r>
        <w:rPr>
          <w:rFonts w:ascii="Calibri" w:hAnsi="Calibri"/>
          <w:color w:val="414042"/>
          <w:spacing w:val="-10"/>
          <w:w w:val="105"/>
          <w:sz w:val="16"/>
        </w:rPr>
        <w:t> </w:t>
      </w:r>
      <w:r>
        <w:rPr>
          <w:rFonts w:ascii="Calibri" w:hAnsi="Calibri"/>
          <w:color w:val="414042"/>
          <w:w w:val="105"/>
          <w:sz w:val="16"/>
        </w:rPr>
        <w:t>Desarrollo,</w:t>
      </w:r>
      <w:r>
        <w:rPr>
          <w:rFonts w:ascii="Calibri" w:hAnsi="Calibri"/>
          <w:color w:val="414042"/>
          <w:spacing w:val="-10"/>
          <w:w w:val="105"/>
          <w:sz w:val="16"/>
        </w:rPr>
        <w:t> </w:t>
      </w:r>
      <w:r>
        <w:rPr>
          <w:rFonts w:ascii="Calibri" w:hAnsi="Calibri"/>
          <w:color w:val="414042"/>
          <w:w w:val="105"/>
          <w:sz w:val="16"/>
        </w:rPr>
        <w:t>la</w:t>
      </w:r>
      <w:r>
        <w:rPr>
          <w:rFonts w:ascii="Calibri" w:hAnsi="Calibri"/>
          <w:color w:val="414042"/>
          <w:spacing w:val="-10"/>
          <w:w w:val="105"/>
          <w:sz w:val="16"/>
        </w:rPr>
        <w:t> </w:t>
      </w:r>
      <w:r>
        <w:rPr>
          <w:rFonts w:ascii="Calibri" w:hAnsi="Calibri"/>
          <w:color w:val="414042"/>
          <w:w w:val="105"/>
          <w:sz w:val="16"/>
        </w:rPr>
        <w:t>constitución</w:t>
      </w:r>
      <w:r>
        <w:rPr>
          <w:rFonts w:ascii="Calibri" w:hAnsi="Calibri"/>
          <w:color w:val="414042"/>
          <w:spacing w:val="-10"/>
          <w:w w:val="105"/>
          <w:sz w:val="16"/>
        </w:rPr>
        <w:t> </w:t>
      </w:r>
      <w:r>
        <w:rPr>
          <w:rFonts w:ascii="Calibri" w:hAnsi="Calibri"/>
          <w:color w:val="414042"/>
          <w:w w:val="105"/>
          <w:sz w:val="16"/>
        </w:rPr>
        <w:t>del</w:t>
      </w:r>
      <w:r>
        <w:rPr>
          <w:rFonts w:ascii="Calibri" w:hAnsi="Calibri"/>
          <w:color w:val="414042"/>
          <w:spacing w:val="-10"/>
          <w:w w:val="105"/>
          <w:sz w:val="16"/>
        </w:rPr>
        <w:t> </w:t>
      </w:r>
      <w:r>
        <w:rPr>
          <w:rFonts w:ascii="Calibri" w:hAnsi="Calibri"/>
          <w:color w:val="414042"/>
          <w:w w:val="105"/>
          <w:sz w:val="16"/>
        </w:rPr>
        <w:t>Foro</w:t>
      </w:r>
      <w:r>
        <w:rPr>
          <w:rFonts w:ascii="Calibri" w:hAnsi="Calibri"/>
          <w:color w:val="414042"/>
          <w:spacing w:val="-10"/>
          <w:w w:val="105"/>
          <w:sz w:val="16"/>
        </w:rPr>
        <w:t> </w:t>
      </w:r>
      <w:r>
        <w:rPr>
          <w:rFonts w:ascii="Calibri" w:hAnsi="Calibri"/>
          <w:color w:val="414042"/>
          <w:w w:val="105"/>
          <w:sz w:val="16"/>
        </w:rPr>
        <w:t>Iberoamericano</w:t>
      </w:r>
      <w:r>
        <w:rPr>
          <w:rFonts w:ascii="Calibri" w:hAnsi="Calibri"/>
          <w:color w:val="414042"/>
          <w:spacing w:val="-10"/>
          <w:w w:val="105"/>
          <w:sz w:val="16"/>
        </w:rPr>
        <w:t> </w:t>
      </w:r>
      <w:r>
        <w:rPr>
          <w:rFonts w:ascii="Calibri" w:hAnsi="Calibri"/>
          <w:color w:val="414042"/>
          <w:w w:val="105"/>
          <w:sz w:val="16"/>
        </w:rPr>
        <w:t>sobre</w:t>
      </w:r>
      <w:r>
        <w:rPr>
          <w:rFonts w:ascii="Calibri" w:hAnsi="Calibri"/>
          <w:color w:val="414042"/>
          <w:spacing w:val="-10"/>
          <w:w w:val="105"/>
          <w:sz w:val="16"/>
        </w:rPr>
        <w:t> </w:t>
      </w:r>
      <w:r>
        <w:rPr>
          <w:rFonts w:ascii="Calibri" w:hAnsi="Calibri"/>
          <w:color w:val="414042"/>
          <w:w w:val="105"/>
          <w:sz w:val="16"/>
        </w:rPr>
        <w:t>Migración</w:t>
      </w:r>
      <w:r>
        <w:rPr>
          <w:rFonts w:ascii="Calibri" w:hAnsi="Calibri"/>
          <w:color w:val="414042"/>
          <w:spacing w:val="-10"/>
          <w:w w:val="105"/>
          <w:sz w:val="16"/>
        </w:rPr>
        <w:t> </w:t>
      </w:r>
      <w:r>
        <w:rPr>
          <w:rFonts w:ascii="Calibri" w:hAnsi="Calibri"/>
          <w:color w:val="414042"/>
          <w:w w:val="105"/>
          <w:sz w:val="16"/>
        </w:rPr>
        <w:t>y</w:t>
      </w:r>
      <w:r>
        <w:rPr>
          <w:rFonts w:ascii="Calibri" w:hAnsi="Calibri"/>
          <w:color w:val="414042"/>
          <w:spacing w:val="-10"/>
          <w:w w:val="105"/>
          <w:sz w:val="16"/>
        </w:rPr>
        <w:t> </w:t>
      </w:r>
      <w:r>
        <w:rPr>
          <w:rFonts w:ascii="Calibri" w:hAnsi="Calibri"/>
          <w:color w:val="414042"/>
          <w:w w:val="105"/>
          <w:sz w:val="16"/>
        </w:rPr>
        <w:t>Desarrollo</w:t>
      </w:r>
      <w:r>
        <w:rPr>
          <w:rFonts w:ascii="Calibri" w:hAnsi="Calibri"/>
          <w:color w:val="414042"/>
          <w:spacing w:val="-10"/>
          <w:w w:val="105"/>
          <w:sz w:val="16"/>
        </w:rPr>
        <w:t> </w:t>
      </w:r>
      <w:r>
        <w:rPr>
          <w:rFonts w:ascii="Calibri" w:hAnsi="Calibri"/>
          <w:color w:val="414042"/>
          <w:w w:val="105"/>
          <w:sz w:val="16"/>
        </w:rPr>
        <w:t>y</w:t>
      </w:r>
      <w:r>
        <w:rPr>
          <w:rFonts w:ascii="Calibri" w:hAnsi="Calibri"/>
          <w:color w:val="414042"/>
          <w:spacing w:val="-10"/>
          <w:w w:val="105"/>
          <w:sz w:val="16"/>
        </w:rPr>
        <w:t> </w:t>
      </w:r>
      <w:r>
        <w:rPr>
          <w:rFonts w:ascii="Calibri" w:hAnsi="Calibri"/>
          <w:color w:val="414042"/>
          <w:w w:val="105"/>
          <w:sz w:val="16"/>
        </w:rPr>
        <w:t>la irrupción</w:t>
      </w:r>
      <w:r>
        <w:rPr>
          <w:rFonts w:ascii="Calibri" w:hAnsi="Calibri"/>
          <w:color w:val="414042"/>
          <w:spacing w:val="-18"/>
          <w:w w:val="105"/>
          <w:sz w:val="16"/>
        </w:rPr>
        <w:t> </w:t>
      </w:r>
      <w:r>
        <w:rPr>
          <w:rFonts w:ascii="Calibri" w:hAnsi="Calibri"/>
          <w:color w:val="414042"/>
          <w:w w:val="105"/>
          <w:sz w:val="16"/>
        </w:rPr>
        <w:t>de</w:t>
      </w:r>
      <w:r>
        <w:rPr>
          <w:rFonts w:ascii="Calibri" w:hAnsi="Calibri"/>
          <w:color w:val="414042"/>
          <w:spacing w:val="-18"/>
          <w:w w:val="105"/>
          <w:sz w:val="16"/>
        </w:rPr>
        <w:t> </w:t>
      </w:r>
      <w:r>
        <w:rPr>
          <w:rFonts w:ascii="Calibri" w:hAnsi="Calibri"/>
          <w:color w:val="414042"/>
          <w:w w:val="105"/>
          <w:sz w:val="16"/>
        </w:rPr>
        <w:t>numerosas</w:t>
      </w:r>
      <w:r>
        <w:rPr>
          <w:rFonts w:ascii="Calibri" w:hAnsi="Calibri"/>
          <w:color w:val="414042"/>
          <w:spacing w:val="-18"/>
          <w:w w:val="105"/>
          <w:sz w:val="16"/>
        </w:rPr>
        <w:t> </w:t>
      </w:r>
      <w:r>
        <w:rPr>
          <w:rFonts w:ascii="Calibri" w:hAnsi="Calibri"/>
          <w:color w:val="414042"/>
          <w:w w:val="105"/>
          <w:sz w:val="16"/>
        </w:rPr>
        <w:t>iniciativas</w:t>
      </w:r>
      <w:r>
        <w:rPr>
          <w:rFonts w:ascii="Calibri" w:hAnsi="Calibri"/>
          <w:color w:val="414042"/>
          <w:spacing w:val="-18"/>
          <w:w w:val="105"/>
          <w:sz w:val="16"/>
        </w:rPr>
        <w:t> </w:t>
      </w:r>
      <w:r>
        <w:rPr>
          <w:rFonts w:ascii="Calibri" w:hAnsi="Calibri"/>
          <w:color w:val="414042"/>
          <w:w w:val="105"/>
          <w:sz w:val="16"/>
        </w:rPr>
        <w:t>intergubernamentales,</w:t>
      </w:r>
      <w:r>
        <w:rPr>
          <w:rFonts w:ascii="Calibri" w:hAnsi="Calibri"/>
          <w:color w:val="414042"/>
          <w:spacing w:val="-18"/>
          <w:w w:val="105"/>
          <w:sz w:val="16"/>
        </w:rPr>
        <w:t> </w:t>
      </w:r>
      <w:r>
        <w:rPr>
          <w:rFonts w:ascii="Calibri" w:hAnsi="Calibri"/>
          <w:color w:val="414042"/>
          <w:w w:val="105"/>
          <w:sz w:val="16"/>
        </w:rPr>
        <w:t>agénciales,</w:t>
      </w:r>
      <w:r>
        <w:rPr>
          <w:rFonts w:ascii="Calibri" w:hAnsi="Calibri"/>
          <w:color w:val="414042"/>
          <w:spacing w:val="-18"/>
          <w:w w:val="105"/>
          <w:sz w:val="16"/>
        </w:rPr>
        <w:t> </w:t>
      </w:r>
      <w:r>
        <w:rPr>
          <w:rFonts w:ascii="Calibri" w:hAnsi="Calibri"/>
          <w:color w:val="414042"/>
          <w:w w:val="105"/>
          <w:sz w:val="16"/>
        </w:rPr>
        <w:t>académicas</w:t>
      </w:r>
      <w:r>
        <w:rPr>
          <w:rFonts w:ascii="Calibri" w:hAnsi="Calibri"/>
          <w:color w:val="414042"/>
          <w:spacing w:val="-19"/>
          <w:w w:val="105"/>
          <w:sz w:val="16"/>
        </w:rPr>
        <w:t> </w:t>
      </w:r>
      <w:r>
        <w:rPr>
          <w:rFonts w:ascii="Calibri" w:hAnsi="Calibri"/>
          <w:color w:val="414042"/>
          <w:w w:val="105"/>
          <w:sz w:val="16"/>
        </w:rPr>
        <w:t>y</w:t>
      </w:r>
      <w:r>
        <w:rPr>
          <w:rFonts w:ascii="Calibri" w:hAnsi="Calibri"/>
          <w:color w:val="414042"/>
          <w:spacing w:val="-18"/>
          <w:w w:val="105"/>
          <w:sz w:val="16"/>
        </w:rPr>
        <w:t> </w:t>
      </w:r>
      <w:r>
        <w:rPr>
          <w:rFonts w:ascii="Calibri" w:hAnsi="Calibri"/>
          <w:color w:val="414042"/>
          <w:w w:val="105"/>
          <w:sz w:val="16"/>
        </w:rPr>
        <w:t>de</w:t>
      </w:r>
      <w:r>
        <w:rPr>
          <w:rFonts w:ascii="Calibri" w:hAnsi="Calibri"/>
          <w:color w:val="414042"/>
          <w:spacing w:val="-18"/>
          <w:w w:val="105"/>
          <w:sz w:val="16"/>
        </w:rPr>
        <w:t> </w:t>
      </w:r>
      <w:r>
        <w:rPr>
          <w:rFonts w:ascii="Calibri" w:hAnsi="Calibri"/>
          <w:color w:val="414042"/>
          <w:w w:val="105"/>
          <w:sz w:val="16"/>
        </w:rPr>
        <w:t>la</w:t>
      </w:r>
      <w:r>
        <w:rPr>
          <w:rFonts w:ascii="Calibri" w:hAnsi="Calibri"/>
          <w:color w:val="414042"/>
          <w:spacing w:val="-18"/>
          <w:w w:val="105"/>
          <w:sz w:val="16"/>
        </w:rPr>
        <w:t> </w:t>
      </w:r>
      <w:r>
        <w:rPr>
          <w:rFonts w:ascii="Calibri" w:hAnsi="Calibri"/>
          <w:color w:val="414042"/>
          <w:w w:val="105"/>
          <w:sz w:val="16"/>
        </w:rPr>
        <w:t>sociedad</w:t>
      </w:r>
      <w:r>
        <w:rPr>
          <w:rFonts w:ascii="Calibri" w:hAnsi="Calibri"/>
          <w:color w:val="414042"/>
          <w:spacing w:val="-18"/>
          <w:w w:val="105"/>
          <w:sz w:val="16"/>
        </w:rPr>
        <w:t> </w:t>
      </w:r>
      <w:r>
        <w:rPr>
          <w:rFonts w:ascii="Calibri" w:hAnsi="Calibri"/>
          <w:color w:val="414042"/>
          <w:w w:val="105"/>
          <w:sz w:val="16"/>
        </w:rPr>
        <w:t>civil.</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4568" from="131.551193pt,3.753715pt" to="131.551193pt,39.556114pt" stroked="true" strokeweight=".35pt" strokecolor="#231f20">
            <w10:wrap type="none"/>
          </v:line>
        </w:pict>
      </w:r>
      <w:r>
        <w:rPr/>
        <w:pict>
          <v:line style="position:absolute;mso-position-horizontal-relative:page;mso-position-vertical-relative:paragraph;z-index:-474496" from="15pt,39.555916pt" to="0pt,39.555916pt" stroked="true" strokeweight=".25pt" strokecolor="#000000">
            <w10:wrap type="none"/>
          </v:line>
        </w:pict>
      </w:r>
      <w:r>
        <w:rPr/>
        <w:pict>
          <v:line style="position:absolute;mso-position-horizontal-relative:page;mso-position-vertical-relative:paragraph;z-index:15712" from="508.890015pt,39.555916pt" to="523.890015pt,39.555916pt" stroked="true" strokeweight=".25pt" strokecolor="#000000">
            <w10:wrap type="none"/>
          </v:line>
        </w:pict>
      </w:r>
      <w:r>
        <w:rPr>
          <w:rFonts w:ascii="Arial" w:hAnsi="Arial"/>
          <w:color w:val="414042"/>
          <w:w w:val="105"/>
          <w:position w:val="-5"/>
          <w:sz w:val="20"/>
        </w:rPr>
        <w:t>154</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5736"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5760" from="15pt,-28.286539pt" to="0pt,-28.286539pt" stroked="true" strokeweight=".25pt" strokecolor="#000000">
            <w10:wrap type="none"/>
          </v:line>
        </w:pict>
      </w:r>
      <w:r>
        <w:rPr/>
        <w:pict>
          <v:line style="position:absolute;mso-position-horizontal-relative:page;mso-position-vertical-relative:paragraph;z-index:15784" from="508.890015pt,-28.286539pt" to="523.890015pt,-28.286539pt" stroked="true" strokeweight=".25pt" strokecolor="#000000">
            <w10:wrap type="none"/>
          </v:line>
        </w:pict>
      </w:r>
      <w:r>
        <w:rPr>
          <w:rFonts w:ascii="Arial"/>
          <w:color w:val="414042"/>
          <w:sz w:val="20"/>
        </w:rPr>
        <w:t>155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3"/>
        <w:rPr>
          <w:rFonts w:ascii="Arial"/>
          <w:sz w:val="20"/>
        </w:rPr>
      </w:pPr>
    </w:p>
    <w:p>
      <w:pPr>
        <w:pStyle w:val="BodyText"/>
        <w:spacing w:line="261" w:lineRule="auto"/>
        <w:ind w:left="1837" w:right="1721"/>
        <w:jc w:val="both"/>
      </w:pPr>
      <w:r>
        <w:rPr>
          <w:color w:val="231F20"/>
          <w:w w:val="105"/>
        </w:rPr>
        <w:t>Georgia, Indiana, Alabama y Carolina del Sur), mientras que otras dos discutían</w:t>
      </w:r>
      <w:r>
        <w:rPr>
          <w:color w:val="231F20"/>
          <w:spacing w:val="-11"/>
          <w:w w:val="105"/>
        </w:rPr>
        <w:t> </w:t>
      </w:r>
      <w:r>
        <w:rPr>
          <w:color w:val="231F20"/>
          <w:w w:val="105"/>
        </w:rPr>
        <w:t>su</w:t>
      </w:r>
      <w:r>
        <w:rPr>
          <w:color w:val="231F20"/>
          <w:spacing w:val="-11"/>
          <w:w w:val="105"/>
        </w:rPr>
        <w:t> </w:t>
      </w:r>
      <w:r>
        <w:rPr>
          <w:color w:val="231F20"/>
          <w:w w:val="105"/>
        </w:rPr>
        <w:t>implementación</w:t>
      </w:r>
      <w:r>
        <w:rPr>
          <w:color w:val="231F20"/>
          <w:spacing w:val="-11"/>
          <w:w w:val="105"/>
        </w:rPr>
        <w:t> </w:t>
      </w:r>
      <w:r>
        <w:rPr>
          <w:color w:val="231F20"/>
          <w:w w:val="105"/>
        </w:rPr>
        <w:t>(Florida</w:t>
      </w:r>
      <w:r>
        <w:rPr>
          <w:color w:val="231F20"/>
          <w:spacing w:val="-11"/>
          <w:w w:val="105"/>
        </w:rPr>
        <w:t> </w:t>
      </w:r>
      <w:r>
        <w:rPr>
          <w:color w:val="231F20"/>
          <w:w w:val="105"/>
        </w:rPr>
        <w:t>y</w:t>
      </w:r>
      <w:r>
        <w:rPr>
          <w:color w:val="231F20"/>
          <w:spacing w:val="-11"/>
          <w:w w:val="105"/>
        </w:rPr>
        <w:t> </w:t>
      </w:r>
      <w:r>
        <w:rPr>
          <w:color w:val="231F20"/>
          <w:w w:val="105"/>
        </w:rPr>
        <w:t>Utah),</w:t>
      </w:r>
      <w:r>
        <w:rPr>
          <w:color w:val="231F20"/>
          <w:spacing w:val="-16"/>
          <w:w w:val="105"/>
        </w:rPr>
        <w:t> </w:t>
      </w:r>
      <w:r>
        <w:rPr>
          <w:color w:val="231F20"/>
          <w:w w:val="105"/>
        </w:rPr>
        <w:t>particularmente</w:t>
      </w:r>
      <w:r>
        <w:rPr>
          <w:color w:val="231F20"/>
          <w:spacing w:val="-11"/>
          <w:w w:val="105"/>
        </w:rPr>
        <w:t> </w:t>
      </w:r>
      <w:r>
        <w:rPr>
          <w:color w:val="231F20"/>
          <w:w w:val="105"/>
        </w:rPr>
        <w:t>cuando</w:t>
      </w:r>
      <w:r>
        <w:rPr>
          <w:color w:val="231F20"/>
          <w:spacing w:val="-11"/>
          <w:w w:val="105"/>
        </w:rPr>
        <w:t> </w:t>
      </w:r>
      <w:r>
        <w:rPr>
          <w:color w:val="231F20"/>
          <w:w w:val="105"/>
        </w:rPr>
        <w:t>la todavía</w:t>
      </w:r>
      <w:r>
        <w:rPr>
          <w:color w:val="231F20"/>
          <w:spacing w:val="-17"/>
          <w:w w:val="105"/>
        </w:rPr>
        <w:t> </w:t>
      </w:r>
      <w:r>
        <w:rPr>
          <w:color w:val="231F20"/>
          <w:w w:val="105"/>
        </w:rPr>
        <w:t>fuerte</w:t>
      </w:r>
      <w:r>
        <w:rPr>
          <w:color w:val="231F20"/>
          <w:spacing w:val="-17"/>
          <w:w w:val="105"/>
        </w:rPr>
        <w:t> </w:t>
      </w:r>
      <w:r>
        <w:rPr>
          <w:color w:val="231F20"/>
          <w:w w:val="105"/>
        </w:rPr>
        <w:t>escasez</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17"/>
          <w:w w:val="105"/>
        </w:rPr>
        <w:t> </w:t>
      </w:r>
      <w:r>
        <w:rPr>
          <w:color w:val="231F20"/>
          <w:w w:val="105"/>
        </w:rPr>
        <w:t>hacía</w:t>
      </w:r>
      <w:r>
        <w:rPr>
          <w:color w:val="231F20"/>
          <w:spacing w:val="-17"/>
          <w:w w:val="105"/>
        </w:rPr>
        <w:t> </w:t>
      </w:r>
      <w:r>
        <w:rPr>
          <w:color w:val="231F20"/>
          <w:w w:val="105"/>
        </w:rPr>
        <w:t>que</w:t>
      </w:r>
      <w:r>
        <w:rPr>
          <w:color w:val="231F20"/>
          <w:spacing w:val="-17"/>
          <w:w w:val="105"/>
        </w:rPr>
        <w:t> </w:t>
      </w:r>
      <w:r>
        <w:rPr>
          <w:color w:val="231F20"/>
          <w:w w:val="105"/>
        </w:rPr>
        <w:t>esta</w:t>
      </w:r>
      <w:r>
        <w:rPr>
          <w:color w:val="231F20"/>
          <w:spacing w:val="-17"/>
          <w:w w:val="105"/>
        </w:rPr>
        <w:t> </w:t>
      </w:r>
      <w:r>
        <w:rPr>
          <w:color w:val="231F20"/>
          <w:w w:val="105"/>
        </w:rPr>
        <w:t>clase</w:t>
      </w:r>
      <w:r>
        <w:rPr>
          <w:color w:val="231F20"/>
          <w:spacing w:val="-17"/>
          <w:w w:val="105"/>
        </w:rPr>
        <w:t> </w:t>
      </w:r>
      <w:r>
        <w:rPr>
          <w:color w:val="231F20"/>
          <w:w w:val="105"/>
        </w:rPr>
        <w:t>trabajadora</w:t>
      </w:r>
      <w:r>
        <w:rPr>
          <w:color w:val="231F20"/>
          <w:spacing w:val="-17"/>
          <w:w w:val="105"/>
        </w:rPr>
        <w:t> </w:t>
      </w:r>
      <w:r>
        <w:rPr>
          <w:color w:val="231F20"/>
          <w:w w:val="105"/>
        </w:rPr>
        <w:t>se</w:t>
      </w:r>
      <w:r>
        <w:rPr>
          <w:color w:val="231F20"/>
          <w:spacing w:val="-17"/>
          <w:w w:val="105"/>
        </w:rPr>
        <w:t> </w:t>
      </w:r>
      <w:r>
        <w:rPr>
          <w:color w:val="231F20"/>
          <w:w w:val="105"/>
        </w:rPr>
        <w:t>re- quiriera</w:t>
      </w:r>
      <w:r>
        <w:rPr>
          <w:color w:val="231F20"/>
          <w:spacing w:val="-16"/>
          <w:w w:val="105"/>
        </w:rPr>
        <w:t> </w:t>
      </w:r>
      <w:r>
        <w:rPr>
          <w:color w:val="231F20"/>
          <w:w w:val="105"/>
        </w:rPr>
        <w:t>en</w:t>
      </w:r>
      <w:r>
        <w:rPr>
          <w:color w:val="231F20"/>
          <w:spacing w:val="-16"/>
          <w:w w:val="105"/>
        </w:rPr>
        <w:t> </w:t>
      </w:r>
      <w:r>
        <w:rPr>
          <w:color w:val="231F20"/>
          <w:w w:val="105"/>
        </w:rPr>
        <w:t>menor</w:t>
      </w:r>
      <w:r>
        <w:rPr>
          <w:color w:val="231F20"/>
          <w:spacing w:val="-16"/>
          <w:w w:val="105"/>
        </w:rPr>
        <w:t> </w:t>
      </w:r>
      <w:r>
        <w:rPr>
          <w:color w:val="231F20"/>
          <w:w w:val="105"/>
        </w:rPr>
        <w:t>medida</w:t>
      </w:r>
      <w:r>
        <w:rPr>
          <w:color w:val="231F20"/>
          <w:spacing w:val="-16"/>
          <w:w w:val="105"/>
        </w:rPr>
        <w:t> </w:t>
      </w:r>
      <w:r>
        <w:rPr>
          <w:color w:val="231F20"/>
          <w:w w:val="105"/>
        </w:rPr>
        <w:t>(véase</w:t>
      </w:r>
      <w:r>
        <w:rPr>
          <w:color w:val="231F20"/>
          <w:spacing w:val="-16"/>
          <w:w w:val="105"/>
        </w:rPr>
        <w:t> </w:t>
      </w:r>
      <w:r>
        <w:rPr>
          <w:color w:val="231F20"/>
          <w:w w:val="105"/>
        </w:rPr>
        <w:t>cuadro</w:t>
      </w:r>
      <w:r>
        <w:rPr>
          <w:color w:val="231F20"/>
          <w:spacing w:val="-16"/>
          <w:w w:val="105"/>
        </w:rPr>
        <w:t> </w:t>
      </w:r>
      <w:r>
        <w:rPr>
          <w:color w:val="231F20"/>
          <w:w w:val="105"/>
        </w:rPr>
        <w:t>1).</w:t>
      </w:r>
    </w:p>
    <w:p>
      <w:pPr>
        <w:pStyle w:val="BodyText"/>
        <w:spacing w:before="5"/>
        <w:rPr>
          <w:sz w:val="27"/>
        </w:rPr>
      </w:pPr>
    </w:p>
    <w:p>
      <w:pPr>
        <w:spacing w:before="0"/>
        <w:ind w:left="1977" w:right="0" w:firstLine="0"/>
        <w:jc w:val="left"/>
        <w:rPr>
          <w:rFonts w:ascii="Arial" w:hAnsi="Arial"/>
          <w:sz w:val="18"/>
        </w:rPr>
      </w:pPr>
      <w:r>
        <w:rPr>
          <w:rFonts w:ascii="Arial" w:hAnsi="Arial"/>
          <w:color w:val="231F20"/>
          <w:w w:val="105"/>
          <w:sz w:val="18"/>
        </w:rPr>
        <w:t>Cuadro 1. Promulgación de leyes antiinmigrantes en Estados Unidos, 2010-2011</w:t>
      </w:r>
    </w:p>
    <w:p>
      <w:pPr>
        <w:pStyle w:val="BodyText"/>
        <w:spacing w:before="5"/>
        <w:rPr>
          <w:rFonts w:ascii="Arial"/>
          <w:sz w:val="13"/>
        </w:rPr>
      </w:pPr>
    </w:p>
    <w:tbl>
      <w:tblPr>
        <w:tblW w:w="0" w:type="auto"/>
        <w:jc w:val="left"/>
        <w:tblInd w:w="182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518"/>
        <w:gridCol w:w="1387"/>
        <w:gridCol w:w="1871"/>
        <w:gridCol w:w="2154"/>
      </w:tblGrid>
      <w:tr>
        <w:trPr>
          <w:trHeight w:val="340" w:hRule="exact"/>
        </w:trPr>
        <w:tc>
          <w:tcPr>
            <w:tcW w:w="1518" w:type="dxa"/>
            <w:vMerge w:val="restart"/>
          </w:tcPr>
          <w:p>
            <w:pPr>
              <w:pStyle w:val="TableParagraph"/>
              <w:spacing w:before="5"/>
              <w:rPr>
                <w:rFonts w:ascii="Arial"/>
                <w:sz w:val="22"/>
              </w:rPr>
            </w:pPr>
          </w:p>
          <w:p>
            <w:pPr>
              <w:pStyle w:val="TableParagraph"/>
              <w:spacing w:before="0"/>
              <w:ind w:left="474"/>
              <w:rPr>
                <w:rFonts w:ascii="Arial"/>
                <w:sz w:val="18"/>
              </w:rPr>
            </w:pPr>
            <w:r>
              <w:rPr>
                <w:rFonts w:ascii="Arial"/>
                <w:color w:val="231F20"/>
                <w:sz w:val="18"/>
              </w:rPr>
              <w:t>Estado</w:t>
            </w:r>
          </w:p>
        </w:tc>
        <w:tc>
          <w:tcPr>
            <w:tcW w:w="1387" w:type="dxa"/>
            <w:vMerge w:val="restart"/>
          </w:tcPr>
          <w:p>
            <w:pPr>
              <w:pStyle w:val="TableParagraph"/>
              <w:spacing w:before="5"/>
              <w:rPr>
                <w:rFonts w:ascii="Arial"/>
                <w:sz w:val="22"/>
              </w:rPr>
            </w:pPr>
          </w:p>
          <w:p>
            <w:pPr>
              <w:pStyle w:val="TableParagraph"/>
              <w:spacing w:before="0"/>
              <w:ind w:left="525" w:right="525"/>
              <w:jc w:val="center"/>
              <w:rPr>
                <w:rFonts w:ascii="Arial"/>
                <w:sz w:val="18"/>
              </w:rPr>
            </w:pPr>
            <w:r>
              <w:rPr>
                <w:rFonts w:ascii="Arial"/>
                <w:color w:val="231F20"/>
                <w:sz w:val="18"/>
              </w:rPr>
              <w:t>Ley</w:t>
            </w:r>
          </w:p>
        </w:tc>
        <w:tc>
          <w:tcPr>
            <w:tcW w:w="4025" w:type="dxa"/>
            <w:gridSpan w:val="2"/>
          </w:tcPr>
          <w:p>
            <w:pPr>
              <w:pStyle w:val="TableParagraph"/>
              <w:spacing w:before="88"/>
              <w:ind w:left="1569" w:right="1569"/>
              <w:jc w:val="center"/>
              <w:rPr>
                <w:rFonts w:ascii="Arial"/>
                <w:sz w:val="18"/>
              </w:rPr>
            </w:pPr>
            <w:r>
              <w:rPr>
                <w:rFonts w:ascii="Arial"/>
                <w:color w:val="231F20"/>
                <w:w w:val="105"/>
                <w:sz w:val="18"/>
              </w:rPr>
              <w:t>Fecha de:</w:t>
            </w:r>
          </w:p>
        </w:tc>
      </w:tr>
      <w:tr>
        <w:trPr>
          <w:trHeight w:val="340" w:hRule="exact"/>
        </w:trPr>
        <w:tc>
          <w:tcPr>
            <w:tcW w:w="1518" w:type="dxa"/>
            <w:vMerge/>
          </w:tcPr>
          <w:p>
            <w:pPr/>
          </w:p>
        </w:tc>
        <w:tc>
          <w:tcPr>
            <w:tcW w:w="1387" w:type="dxa"/>
            <w:vMerge/>
          </w:tcPr>
          <w:p>
            <w:pPr/>
          </w:p>
        </w:tc>
        <w:tc>
          <w:tcPr>
            <w:tcW w:w="1871" w:type="dxa"/>
          </w:tcPr>
          <w:p>
            <w:pPr>
              <w:pStyle w:val="TableParagraph"/>
              <w:spacing w:before="88"/>
              <w:ind w:left="449"/>
              <w:rPr>
                <w:rFonts w:ascii="Arial" w:hAnsi="Arial"/>
                <w:sz w:val="18"/>
              </w:rPr>
            </w:pPr>
            <w:r>
              <w:rPr>
                <w:rFonts w:ascii="Arial" w:hAnsi="Arial"/>
                <w:color w:val="231F20"/>
                <w:w w:val="110"/>
                <w:sz w:val="18"/>
              </w:rPr>
              <w:t>Aprobación</w:t>
            </w:r>
          </w:p>
        </w:tc>
        <w:tc>
          <w:tcPr>
            <w:tcW w:w="2154" w:type="dxa"/>
          </w:tcPr>
          <w:p>
            <w:pPr>
              <w:pStyle w:val="TableParagraph"/>
              <w:spacing w:before="88"/>
              <w:ind w:left="397"/>
              <w:rPr>
                <w:rFonts w:ascii="Arial"/>
                <w:sz w:val="18"/>
              </w:rPr>
            </w:pPr>
            <w:r>
              <w:rPr>
                <w:rFonts w:ascii="Arial"/>
                <w:color w:val="231F20"/>
                <w:w w:val="105"/>
                <w:sz w:val="18"/>
              </w:rPr>
              <w:t>Entrada en vigor</w:t>
            </w:r>
          </w:p>
        </w:tc>
      </w:tr>
      <w:tr>
        <w:trPr>
          <w:trHeight w:val="340" w:hRule="exact"/>
        </w:trPr>
        <w:tc>
          <w:tcPr>
            <w:tcW w:w="1518" w:type="dxa"/>
          </w:tcPr>
          <w:p>
            <w:pPr>
              <w:pStyle w:val="TableParagraph"/>
              <w:ind w:left="77"/>
              <w:rPr>
                <w:sz w:val="18"/>
              </w:rPr>
            </w:pPr>
            <w:r>
              <w:rPr>
                <w:color w:val="231F20"/>
                <w:sz w:val="18"/>
              </w:rPr>
              <w:t>Arizona</w:t>
            </w:r>
          </w:p>
        </w:tc>
        <w:tc>
          <w:tcPr>
            <w:tcW w:w="1387" w:type="dxa"/>
          </w:tcPr>
          <w:p>
            <w:pPr>
              <w:pStyle w:val="TableParagraph"/>
              <w:ind w:left="77"/>
              <w:rPr>
                <w:sz w:val="18"/>
              </w:rPr>
            </w:pPr>
            <w:r>
              <w:rPr>
                <w:color w:val="231F20"/>
                <w:sz w:val="18"/>
              </w:rPr>
              <w:t>SB 1070</w:t>
            </w:r>
          </w:p>
        </w:tc>
        <w:tc>
          <w:tcPr>
            <w:tcW w:w="1871" w:type="dxa"/>
          </w:tcPr>
          <w:p>
            <w:pPr>
              <w:pStyle w:val="TableParagraph"/>
              <w:ind w:left="77"/>
              <w:rPr>
                <w:sz w:val="18"/>
              </w:rPr>
            </w:pPr>
            <w:r>
              <w:rPr>
                <w:color w:val="231F20"/>
                <w:w w:val="105"/>
                <w:sz w:val="18"/>
              </w:rPr>
              <w:t>23 de abril de 2010</w:t>
            </w:r>
          </w:p>
        </w:tc>
        <w:tc>
          <w:tcPr>
            <w:tcW w:w="2154" w:type="dxa"/>
          </w:tcPr>
          <w:p>
            <w:pPr>
              <w:pStyle w:val="TableParagraph"/>
              <w:ind w:left="77"/>
              <w:rPr>
                <w:sz w:val="18"/>
              </w:rPr>
            </w:pPr>
            <w:r>
              <w:rPr>
                <w:color w:val="231F20"/>
                <w:w w:val="105"/>
                <w:sz w:val="18"/>
              </w:rPr>
              <w:t>29 de julio de 2010</w:t>
            </w:r>
          </w:p>
        </w:tc>
      </w:tr>
      <w:tr>
        <w:trPr>
          <w:trHeight w:val="340" w:hRule="exact"/>
        </w:trPr>
        <w:tc>
          <w:tcPr>
            <w:tcW w:w="1518" w:type="dxa"/>
          </w:tcPr>
          <w:p>
            <w:pPr>
              <w:pStyle w:val="TableParagraph"/>
              <w:ind w:left="77"/>
              <w:rPr>
                <w:sz w:val="18"/>
              </w:rPr>
            </w:pPr>
            <w:r>
              <w:rPr>
                <w:color w:val="231F20"/>
                <w:sz w:val="18"/>
              </w:rPr>
              <w:t>Tennesse</w:t>
            </w:r>
          </w:p>
        </w:tc>
        <w:tc>
          <w:tcPr>
            <w:tcW w:w="1387" w:type="dxa"/>
          </w:tcPr>
          <w:p>
            <w:pPr>
              <w:pStyle w:val="TableParagraph"/>
              <w:ind w:left="77"/>
              <w:rPr>
                <w:sz w:val="18"/>
              </w:rPr>
            </w:pPr>
            <w:r>
              <w:rPr>
                <w:color w:val="231F20"/>
                <w:sz w:val="18"/>
              </w:rPr>
              <w:t>HB 670</w:t>
            </w:r>
          </w:p>
        </w:tc>
        <w:tc>
          <w:tcPr>
            <w:tcW w:w="1871" w:type="dxa"/>
          </w:tcPr>
          <w:p>
            <w:pPr>
              <w:pStyle w:val="TableParagraph"/>
              <w:ind w:left="77"/>
              <w:rPr>
                <w:sz w:val="18"/>
              </w:rPr>
            </w:pPr>
            <w:r>
              <w:rPr>
                <w:color w:val="231F20"/>
                <w:w w:val="105"/>
                <w:sz w:val="18"/>
              </w:rPr>
              <w:t>28 de junio de 2010</w:t>
            </w:r>
          </w:p>
        </w:tc>
        <w:tc>
          <w:tcPr>
            <w:tcW w:w="2154" w:type="dxa"/>
          </w:tcPr>
          <w:p>
            <w:pPr>
              <w:pStyle w:val="TableParagraph"/>
              <w:ind w:left="77"/>
              <w:rPr>
                <w:sz w:val="18"/>
              </w:rPr>
            </w:pPr>
            <w:r>
              <w:rPr>
                <w:color w:val="231F20"/>
                <w:w w:val="105"/>
                <w:sz w:val="18"/>
              </w:rPr>
              <w:t>1 de enero de 2011</w:t>
            </w:r>
          </w:p>
        </w:tc>
      </w:tr>
      <w:tr>
        <w:trPr>
          <w:trHeight w:val="340" w:hRule="exact"/>
        </w:trPr>
        <w:tc>
          <w:tcPr>
            <w:tcW w:w="1518" w:type="dxa"/>
          </w:tcPr>
          <w:p>
            <w:pPr>
              <w:pStyle w:val="TableParagraph"/>
              <w:ind w:left="77"/>
              <w:rPr>
                <w:sz w:val="18"/>
              </w:rPr>
            </w:pPr>
            <w:r>
              <w:rPr>
                <w:color w:val="231F20"/>
                <w:w w:val="105"/>
                <w:sz w:val="18"/>
              </w:rPr>
              <w:t>Indiana</w:t>
            </w:r>
          </w:p>
        </w:tc>
        <w:tc>
          <w:tcPr>
            <w:tcW w:w="1387" w:type="dxa"/>
          </w:tcPr>
          <w:p>
            <w:pPr>
              <w:pStyle w:val="TableParagraph"/>
              <w:ind w:left="78"/>
              <w:rPr>
                <w:sz w:val="18"/>
              </w:rPr>
            </w:pPr>
            <w:r>
              <w:rPr>
                <w:color w:val="231F20"/>
                <w:sz w:val="18"/>
              </w:rPr>
              <w:t>SB 590</w:t>
            </w:r>
          </w:p>
        </w:tc>
        <w:tc>
          <w:tcPr>
            <w:tcW w:w="1871" w:type="dxa"/>
          </w:tcPr>
          <w:p>
            <w:pPr>
              <w:pStyle w:val="TableParagraph"/>
              <w:ind w:left="78"/>
              <w:rPr>
                <w:sz w:val="18"/>
              </w:rPr>
            </w:pPr>
            <w:r>
              <w:rPr>
                <w:color w:val="231F20"/>
                <w:w w:val="105"/>
                <w:sz w:val="18"/>
              </w:rPr>
              <w:t>10 de mayo de 2011</w:t>
            </w:r>
          </w:p>
        </w:tc>
        <w:tc>
          <w:tcPr>
            <w:tcW w:w="2154" w:type="dxa"/>
          </w:tcPr>
          <w:p>
            <w:pPr>
              <w:pStyle w:val="TableParagraph"/>
              <w:ind w:left="78"/>
              <w:rPr>
                <w:sz w:val="18"/>
              </w:rPr>
            </w:pPr>
            <w:r>
              <w:rPr>
                <w:color w:val="231F20"/>
                <w:w w:val="105"/>
                <w:sz w:val="18"/>
              </w:rPr>
              <w:t>1 de julio de 2011</w:t>
            </w:r>
          </w:p>
        </w:tc>
      </w:tr>
      <w:tr>
        <w:trPr>
          <w:trHeight w:val="340" w:hRule="exact"/>
        </w:trPr>
        <w:tc>
          <w:tcPr>
            <w:tcW w:w="1518" w:type="dxa"/>
          </w:tcPr>
          <w:p>
            <w:pPr>
              <w:pStyle w:val="TableParagraph"/>
              <w:ind w:left="78"/>
              <w:rPr>
                <w:sz w:val="18"/>
              </w:rPr>
            </w:pPr>
            <w:r>
              <w:rPr>
                <w:color w:val="231F20"/>
                <w:w w:val="105"/>
                <w:sz w:val="18"/>
              </w:rPr>
              <w:t>Georgia</w:t>
            </w:r>
          </w:p>
        </w:tc>
        <w:tc>
          <w:tcPr>
            <w:tcW w:w="1387" w:type="dxa"/>
          </w:tcPr>
          <w:p>
            <w:pPr>
              <w:pStyle w:val="TableParagraph"/>
              <w:ind w:left="78"/>
              <w:rPr>
                <w:sz w:val="18"/>
              </w:rPr>
            </w:pPr>
            <w:r>
              <w:rPr>
                <w:color w:val="231F20"/>
                <w:sz w:val="18"/>
              </w:rPr>
              <w:t>HB 87</w:t>
            </w:r>
          </w:p>
        </w:tc>
        <w:tc>
          <w:tcPr>
            <w:tcW w:w="1871" w:type="dxa"/>
          </w:tcPr>
          <w:p>
            <w:pPr>
              <w:pStyle w:val="TableParagraph"/>
              <w:ind w:left="78"/>
              <w:rPr>
                <w:sz w:val="18"/>
              </w:rPr>
            </w:pPr>
            <w:r>
              <w:rPr>
                <w:color w:val="231F20"/>
                <w:w w:val="105"/>
                <w:sz w:val="18"/>
              </w:rPr>
              <w:t>13 de mayo de 2011</w:t>
            </w:r>
          </w:p>
        </w:tc>
        <w:tc>
          <w:tcPr>
            <w:tcW w:w="2154" w:type="dxa"/>
          </w:tcPr>
          <w:p>
            <w:pPr>
              <w:pStyle w:val="TableParagraph"/>
              <w:ind w:left="78"/>
              <w:rPr>
                <w:sz w:val="18"/>
              </w:rPr>
            </w:pPr>
            <w:r>
              <w:rPr>
                <w:color w:val="231F20"/>
                <w:w w:val="105"/>
                <w:sz w:val="18"/>
              </w:rPr>
              <w:t>1 de julio de 2011</w:t>
            </w:r>
          </w:p>
        </w:tc>
      </w:tr>
      <w:tr>
        <w:trPr>
          <w:trHeight w:val="340" w:hRule="exact"/>
        </w:trPr>
        <w:tc>
          <w:tcPr>
            <w:tcW w:w="1518" w:type="dxa"/>
          </w:tcPr>
          <w:p>
            <w:pPr>
              <w:pStyle w:val="TableParagraph"/>
              <w:ind w:left="78"/>
              <w:rPr>
                <w:sz w:val="18"/>
              </w:rPr>
            </w:pPr>
            <w:r>
              <w:rPr>
                <w:color w:val="231F20"/>
                <w:w w:val="105"/>
                <w:sz w:val="18"/>
              </w:rPr>
              <w:t>Alabama</w:t>
            </w:r>
          </w:p>
        </w:tc>
        <w:tc>
          <w:tcPr>
            <w:tcW w:w="1387" w:type="dxa"/>
          </w:tcPr>
          <w:p>
            <w:pPr>
              <w:pStyle w:val="TableParagraph"/>
              <w:ind w:left="78"/>
              <w:rPr>
                <w:sz w:val="18"/>
              </w:rPr>
            </w:pPr>
            <w:r>
              <w:rPr>
                <w:color w:val="231F20"/>
                <w:sz w:val="18"/>
              </w:rPr>
              <w:t>HB 56</w:t>
            </w:r>
          </w:p>
        </w:tc>
        <w:tc>
          <w:tcPr>
            <w:tcW w:w="1871" w:type="dxa"/>
          </w:tcPr>
          <w:p>
            <w:pPr>
              <w:pStyle w:val="TableParagraph"/>
              <w:ind w:left="78"/>
              <w:rPr>
                <w:sz w:val="18"/>
              </w:rPr>
            </w:pPr>
            <w:r>
              <w:rPr>
                <w:color w:val="231F20"/>
                <w:w w:val="105"/>
                <w:sz w:val="18"/>
              </w:rPr>
              <w:t>2 de junio de 2011</w:t>
            </w:r>
          </w:p>
        </w:tc>
        <w:tc>
          <w:tcPr>
            <w:tcW w:w="2154" w:type="dxa"/>
          </w:tcPr>
          <w:p>
            <w:pPr>
              <w:pStyle w:val="TableParagraph"/>
              <w:ind w:left="78"/>
              <w:rPr>
                <w:sz w:val="18"/>
              </w:rPr>
            </w:pPr>
            <w:r>
              <w:rPr>
                <w:color w:val="231F20"/>
                <w:w w:val="105"/>
                <w:sz w:val="18"/>
              </w:rPr>
              <w:t>1 de </w:t>
            </w:r>
            <w:r>
              <w:rPr>
                <w:color w:val="231F20"/>
                <w:spacing w:val="-3"/>
                <w:w w:val="105"/>
                <w:sz w:val="18"/>
              </w:rPr>
              <w:t>septiembre </w:t>
            </w:r>
            <w:r>
              <w:rPr>
                <w:color w:val="231F20"/>
                <w:w w:val="105"/>
                <w:sz w:val="18"/>
              </w:rPr>
              <w:t>de </w:t>
            </w:r>
            <w:r>
              <w:rPr>
                <w:color w:val="231F20"/>
                <w:spacing w:val="-3"/>
                <w:w w:val="105"/>
                <w:sz w:val="18"/>
              </w:rPr>
              <w:t>2011</w:t>
            </w:r>
          </w:p>
        </w:tc>
      </w:tr>
      <w:tr>
        <w:trPr>
          <w:trHeight w:val="340" w:hRule="exact"/>
        </w:trPr>
        <w:tc>
          <w:tcPr>
            <w:tcW w:w="1518" w:type="dxa"/>
          </w:tcPr>
          <w:p>
            <w:pPr>
              <w:pStyle w:val="TableParagraph"/>
              <w:ind w:left="78"/>
              <w:rPr>
                <w:sz w:val="18"/>
              </w:rPr>
            </w:pPr>
            <w:r>
              <w:rPr>
                <w:color w:val="231F20"/>
                <w:w w:val="105"/>
                <w:sz w:val="18"/>
              </w:rPr>
              <w:t>Carolina del Sur</w:t>
            </w:r>
          </w:p>
        </w:tc>
        <w:tc>
          <w:tcPr>
            <w:tcW w:w="1387" w:type="dxa"/>
          </w:tcPr>
          <w:p>
            <w:pPr>
              <w:pStyle w:val="TableParagraph"/>
              <w:ind w:left="78"/>
              <w:rPr>
                <w:sz w:val="18"/>
              </w:rPr>
            </w:pPr>
            <w:r>
              <w:rPr>
                <w:color w:val="231F20"/>
                <w:sz w:val="18"/>
              </w:rPr>
              <w:t>SB 20</w:t>
            </w:r>
          </w:p>
        </w:tc>
        <w:tc>
          <w:tcPr>
            <w:tcW w:w="1871" w:type="dxa"/>
          </w:tcPr>
          <w:p>
            <w:pPr>
              <w:pStyle w:val="TableParagraph"/>
              <w:ind w:left="78"/>
              <w:rPr>
                <w:sz w:val="18"/>
              </w:rPr>
            </w:pPr>
            <w:r>
              <w:rPr>
                <w:color w:val="231F20"/>
                <w:w w:val="105"/>
                <w:sz w:val="18"/>
              </w:rPr>
              <w:t>27 de junio de 2011</w:t>
            </w:r>
          </w:p>
        </w:tc>
        <w:tc>
          <w:tcPr>
            <w:tcW w:w="2154" w:type="dxa"/>
          </w:tcPr>
          <w:p>
            <w:pPr>
              <w:pStyle w:val="TableParagraph"/>
              <w:ind w:left="78"/>
              <w:rPr>
                <w:sz w:val="18"/>
              </w:rPr>
            </w:pPr>
            <w:r>
              <w:rPr>
                <w:color w:val="231F20"/>
                <w:w w:val="105"/>
                <w:sz w:val="18"/>
              </w:rPr>
              <w:t>1 de enero de 2012</w:t>
            </w:r>
          </w:p>
        </w:tc>
      </w:tr>
      <w:tr>
        <w:trPr>
          <w:trHeight w:val="340" w:hRule="exact"/>
        </w:trPr>
        <w:tc>
          <w:tcPr>
            <w:tcW w:w="1518" w:type="dxa"/>
          </w:tcPr>
          <w:p>
            <w:pPr>
              <w:pStyle w:val="TableParagraph"/>
              <w:spacing w:before="92"/>
              <w:ind w:left="78"/>
              <w:rPr>
                <w:sz w:val="18"/>
              </w:rPr>
            </w:pPr>
            <w:r>
              <w:rPr>
                <w:color w:val="231F20"/>
                <w:w w:val="105"/>
                <w:sz w:val="18"/>
              </w:rPr>
              <w:t>Florida</w:t>
            </w:r>
          </w:p>
        </w:tc>
        <w:tc>
          <w:tcPr>
            <w:tcW w:w="1387" w:type="dxa"/>
          </w:tcPr>
          <w:p>
            <w:pPr>
              <w:pStyle w:val="TableParagraph"/>
              <w:spacing w:before="92"/>
              <w:ind w:left="78"/>
              <w:rPr>
                <w:sz w:val="18"/>
              </w:rPr>
            </w:pPr>
            <w:r>
              <w:rPr>
                <w:color w:val="231F20"/>
                <w:sz w:val="18"/>
              </w:rPr>
              <w:t>SB2040</w:t>
            </w:r>
          </w:p>
        </w:tc>
        <w:tc>
          <w:tcPr>
            <w:tcW w:w="1871" w:type="dxa"/>
          </w:tcPr>
          <w:p>
            <w:pPr>
              <w:pStyle w:val="TableParagraph"/>
              <w:spacing w:before="92"/>
              <w:ind w:left="78"/>
              <w:rPr>
                <w:sz w:val="18"/>
              </w:rPr>
            </w:pPr>
            <w:r>
              <w:rPr>
                <w:color w:val="231F20"/>
                <w:w w:val="105"/>
                <w:sz w:val="18"/>
              </w:rPr>
              <w:t>No aprobada</w:t>
            </w:r>
          </w:p>
        </w:tc>
        <w:tc>
          <w:tcPr>
            <w:tcW w:w="2154" w:type="dxa"/>
          </w:tcPr>
          <w:p>
            <w:pPr>
              <w:pStyle w:val="TableParagraph"/>
              <w:spacing w:before="92"/>
              <w:ind w:left="78"/>
              <w:rPr>
                <w:sz w:val="18"/>
              </w:rPr>
            </w:pPr>
            <w:r>
              <w:rPr>
                <w:color w:val="231F20"/>
                <w:w w:val="96"/>
                <w:sz w:val="18"/>
              </w:rPr>
              <w:t>-</w:t>
            </w:r>
          </w:p>
        </w:tc>
      </w:tr>
      <w:tr>
        <w:trPr>
          <w:trHeight w:val="340" w:hRule="exact"/>
        </w:trPr>
        <w:tc>
          <w:tcPr>
            <w:tcW w:w="1518" w:type="dxa"/>
          </w:tcPr>
          <w:p>
            <w:pPr>
              <w:pStyle w:val="TableParagraph"/>
              <w:spacing w:before="92"/>
              <w:ind w:left="78"/>
              <w:rPr>
                <w:sz w:val="18"/>
              </w:rPr>
            </w:pPr>
            <w:r>
              <w:rPr>
                <w:color w:val="231F20"/>
                <w:sz w:val="18"/>
              </w:rPr>
              <w:t>Utah</w:t>
            </w:r>
          </w:p>
        </w:tc>
        <w:tc>
          <w:tcPr>
            <w:tcW w:w="1387" w:type="dxa"/>
          </w:tcPr>
          <w:p>
            <w:pPr>
              <w:pStyle w:val="TableParagraph"/>
              <w:spacing w:before="92"/>
              <w:ind w:left="78"/>
              <w:rPr>
                <w:sz w:val="18"/>
              </w:rPr>
            </w:pPr>
            <w:r>
              <w:rPr>
                <w:color w:val="231F20"/>
                <w:sz w:val="18"/>
              </w:rPr>
              <w:t>HB497</w:t>
            </w:r>
          </w:p>
        </w:tc>
        <w:tc>
          <w:tcPr>
            <w:tcW w:w="1871" w:type="dxa"/>
          </w:tcPr>
          <w:p>
            <w:pPr>
              <w:pStyle w:val="TableParagraph"/>
              <w:spacing w:before="92"/>
              <w:ind w:left="78"/>
              <w:rPr>
                <w:sz w:val="18"/>
              </w:rPr>
            </w:pPr>
            <w:r>
              <w:rPr>
                <w:color w:val="231F20"/>
                <w:w w:val="105"/>
                <w:sz w:val="18"/>
              </w:rPr>
              <w:t>Bloqueada</w:t>
            </w:r>
          </w:p>
        </w:tc>
        <w:tc>
          <w:tcPr>
            <w:tcW w:w="2154" w:type="dxa"/>
          </w:tcPr>
          <w:p>
            <w:pPr>
              <w:pStyle w:val="TableParagraph"/>
              <w:spacing w:before="92"/>
              <w:ind w:left="79"/>
              <w:rPr>
                <w:sz w:val="18"/>
              </w:rPr>
            </w:pPr>
            <w:r>
              <w:rPr>
                <w:color w:val="231F20"/>
                <w:w w:val="96"/>
                <w:sz w:val="18"/>
              </w:rPr>
              <w:t>-</w:t>
            </w:r>
          </w:p>
        </w:tc>
      </w:tr>
    </w:tbl>
    <w:p>
      <w:pPr>
        <w:spacing w:before="78"/>
        <w:ind w:left="1837" w:right="0" w:firstLine="0"/>
        <w:jc w:val="both"/>
        <w:rPr>
          <w:sz w:val="16"/>
        </w:rPr>
      </w:pPr>
      <w:r>
        <w:rPr>
          <w:color w:val="231F20"/>
          <w:sz w:val="16"/>
        </w:rPr>
        <w:t>Fuente: </w:t>
      </w:r>
      <w:r>
        <w:rPr>
          <w:color w:val="231F20"/>
          <w:sz w:val="14"/>
        </w:rPr>
        <w:t>BBVA </w:t>
      </w:r>
      <w:r>
        <w:rPr>
          <w:color w:val="231F20"/>
          <w:sz w:val="16"/>
        </w:rPr>
        <w:t>Research, 2011.</w:t>
      </w:r>
    </w:p>
    <w:p>
      <w:pPr>
        <w:pStyle w:val="BodyText"/>
        <w:rPr>
          <w:sz w:val="16"/>
        </w:rPr>
      </w:pPr>
    </w:p>
    <w:p>
      <w:pPr>
        <w:pStyle w:val="BodyText"/>
        <w:spacing w:line="261" w:lineRule="auto" w:before="111"/>
        <w:ind w:left="1837" w:right="1721"/>
        <w:jc w:val="both"/>
      </w:pPr>
      <w:r>
        <w:rPr>
          <w:color w:val="231F20"/>
          <w:w w:val="105"/>
        </w:rPr>
        <w:t>Asimismo, el Departamento de Seguridad Nacional en Estados Unidos modificó las medidas para controlar la migración no documentada, con acciones</w:t>
      </w:r>
      <w:r>
        <w:rPr>
          <w:color w:val="231F20"/>
          <w:spacing w:val="-21"/>
          <w:w w:val="105"/>
        </w:rPr>
        <w:t> </w:t>
      </w:r>
      <w:r>
        <w:rPr>
          <w:color w:val="231F20"/>
          <w:w w:val="105"/>
        </w:rPr>
        <w:t>que</w:t>
      </w:r>
      <w:r>
        <w:rPr>
          <w:color w:val="231F20"/>
          <w:spacing w:val="-21"/>
          <w:w w:val="105"/>
        </w:rPr>
        <w:t> </w:t>
      </w:r>
      <w:r>
        <w:rPr>
          <w:color w:val="231F20"/>
          <w:w w:val="105"/>
        </w:rPr>
        <w:t>promueven</w:t>
      </w:r>
      <w:r>
        <w:rPr>
          <w:color w:val="231F20"/>
          <w:spacing w:val="-21"/>
          <w:w w:val="105"/>
        </w:rPr>
        <w:t> </w:t>
      </w:r>
      <w:r>
        <w:rPr>
          <w:color w:val="231F20"/>
          <w:w w:val="105"/>
        </w:rPr>
        <w:t>la</w:t>
      </w:r>
      <w:r>
        <w:rPr>
          <w:color w:val="231F20"/>
          <w:spacing w:val="-21"/>
          <w:w w:val="105"/>
        </w:rPr>
        <w:t> </w:t>
      </w:r>
      <w:r>
        <w:rPr>
          <w:color w:val="231F20"/>
          <w:w w:val="105"/>
        </w:rPr>
        <w:t>deportación,</w:t>
      </w:r>
      <w:r>
        <w:rPr>
          <w:color w:val="231F20"/>
          <w:spacing w:val="-27"/>
          <w:w w:val="105"/>
        </w:rPr>
        <w:t> </w:t>
      </w:r>
      <w:r>
        <w:rPr>
          <w:color w:val="231F20"/>
          <w:w w:val="105"/>
        </w:rPr>
        <w:t>criminalizan</w:t>
      </w:r>
      <w:r>
        <w:rPr>
          <w:color w:val="231F20"/>
          <w:spacing w:val="-21"/>
          <w:w w:val="105"/>
        </w:rPr>
        <w:t> </w:t>
      </w:r>
      <w:r>
        <w:rPr>
          <w:color w:val="231F20"/>
          <w:w w:val="105"/>
        </w:rPr>
        <w:t>la</w:t>
      </w:r>
      <w:r>
        <w:rPr>
          <w:color w:val="231F20"/>
          <w:spacing w:val="-21"/>
          <w:w w:val="105"/>
        </w:rPr>
        <w:t> </w:t>
      </w:r>
      <w:r>
        <w:rPr>
          <w:color w:val="231F20"/>
          <w:w w:val="105"/>
        </w:rPr>
        <w:t>contratación</w:t>
      </w:r>
      <w:r>
        <w:rPr>
          <w:color w:val="231F20"/>
          <w:spacing w:val="-21"/>
          <w:w w:val="105"/>
        </w:rPr>
        <w:t> </w:t>
      </w:r>
      <w:r>
        <w:rPr>
          <w:color w:val="231F20"/>
          <w:w w:val="105"/>
        </w:rPr>
        <w:t>(Ki- bble, 2010), alientan la persecución y hostigamiento en los centros de trabajo</w:t>
      </w:r>
      <w:r>
        <w:rPr>
          <w:color w:val="231F20"/>
          <w:spacing w:val="-14"/>
          <w:w w:val="105"/>
        </w:rPr>
        <w:t> </w:t>
      </w:r>
      <w:r>
        <w:rPr>
          <w:color w:val="231F20"/>
          <w:w w:val="105"/>
        </w:rPr>
        <w:t>y</w:t>
      </w:r>
      <w:r>
        <w:rPr>
          <w:color w:val="231F20"/>
          <w:spacing w:val="-14"/>
          <w:w w:val="105"/>
        </w:rPr>
        <w:t> </w:t>
      </w:r>
      <w:r>
        <w:rPr>
          <w:color w:val="231F20"/>
          <w:w w:val="105"/>
        </w:rPr>
        <w:t>problematizan</w:t>
      </w:r>
      <w:r>
        <w:rPr>
          <w:color w:val="231F20"/>
          <w:spacing w:val="-14"/>
          <w:w w:val="105"/>
        </w:rPr>
        <w:t> </w:t>
      </w:r>
      <w:r>
        <w:rPr>
          <w:color w:val="231F20"/>
          <w:w w:val="105"/>
        </w:rPr>
        <w:t>la</w:t>
      </w:r>
      <w:r>
        <w:rPr>
          <w:color w:val="231F20"/>
          <w:spacing w:val="-14"/>
          <w:w w:val="105"/>
        </w:rPr>
        <w:t> </w:t>
      </w:r>
      <w:r>
        <w:rPr>
          <w:color w:val="231F20"/>
          <w:w w:val="105"/>
        </w:rPr>
        <w:t>interacción</w:t>
      </w:r>
      <w:r>
        <w:rPr>
          <w:color w:val="231F20"/>
          <w:spacing w:val="-14"/>
          <w:w w:val="105"/>
        </w:rPr>
        <w:t> </w:t>
      </w:r>
      <w:r>
        <w:rPr>
          <w:color w:val="231F20"/>
          <w:w w:val="105"/>
        </w:rPr>
        <w:t>social</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ejerciendo sanciones económicas y restándoles elegibilidad en programas de</w:t>
      </w:r>
      <w:r>
        <w:rPr>
          <w:color w:val="231F20"/>
          <w:spacing w:val="-11"/>
          <w:w w:val="105"/>
        </w:rPr>
        <w:t> </w:t>
      </w:r>
      <w:r>
        <w:rPr>
          <w:color w:val="231F20"/>
          <w:w w:val="105"/>
        </w:rPr>
        <w:t>ser- vicios</w:t>
      </w:r>
      <w:r>
        <w:rPr>
          <w:color w:val="231F20"/>
          <w:spacing w:val="-8"/>
          <w:w w:val="105"/>
        </w:rPr>
        <w:t> </w:t>
      </w:r>
      <w:r>
        <w:rPr>
          <w:color w:val="231F20"/>
          <w:w w:val="105"/>
        </w:rPr>
        <w:t>sociales</w:t>
      </w:r>
      <w:r>
        <w:rPr>
          <w:color w:val="231F20"/>
          <w:spacing w:val="-8"/>
          <w:w w:val="105"/>
        </w:rPr>
        <w:t> </w:t>
      </w:r>
      <w:r>
        <w:rPr>
          <w:color w:val="231F20"/>
          <w:w w:val="105"/>
        </w:rPr>
        <w:t>y</w:t>
      </w:r>
      <w:r>
        <w:rPr>
          <w:color w:val="231F20"/>
          <w:spacing w:val="-8"/>
          <w:w w:val="105"/>
        </w:rPr>
        <w:t> </w:t>
      </w:r>
      <w:r>
        <w:rPr>
          <w:color w:val="231F20"/>
          <w:w w:val="105"/>
        </w:rPr>
        <w:t>médicos</w:t>
      </w:r>
      <w:r>
        <w:rPr>
          <w:color w:val="231F20"/>
          <w:spacing w:val="-8"/>
          <w:w w:val="105"/>
        </w:rPr>
        <w:t> </w:t>
      </w:r>
      <w:r>
        <w:rPr>
          <w:color w:val="231F20"/>
          <w:w w:val="105"/>
        </w:rPr>
        <w:t>(Durán,</w:t>
      </w:r>
      <w:r>
        <w:rPr>
          <w:color w:val="231F20"/>
          <w:spacing w:val="-13"/>
          <w:w w:val="105"/>
        </w:rPr>
        <w:t> </w:t>
      </w:r>
      <w:r>
        <w:rPr>
          <w:color w:val="231F20"/>
          <w:w w:val="105"/>
        </w:rPr>
        <w:t>2011).</w:t>
      </w:r>
      <w:r>
        <w:rPr>
          <w:color w:val="231F20"/>
          <w:spacing w:val="-13"/>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escenario</w:t>
      </w:r>
      <w:r>
        <w:rPr>
          <w:color w:val="231F20"/>
          <w:spacing w:val="-8"/>
          <w:w w:val="105"/>
        </w:rPr>
        <w:t> </w:t>
      </w:r>
      <w:r>
        <w:rPr>
          <w:color w:val="231F20"/>
          <w:w w:val="105"/>
        </w:rPr>
        <w:t>se</w:t>
      </w:r>
      <w:r>
        <w:rPr>
          <w:color w:val="231F20"/>
          <w:spacing w:val="-8"/>
          <w:w w:val="105"/>
        </w:rPr>
        <w:t> </w:t>
      </w:r>
      <w:r>
        <w:rPr>
          <w:color w:val="231F20"/>
          <w:w w:val="105"/>
        </w:rPr>
        <w:t>está</w:t>
      </w:r>
      <w:r>
        <w:rPr>
          <w:color w:val="231F20"/>
          <w:spacing w:val="-8"/>
          <w:w w:val="105"/>
        </w:rPr>
        <w:t> </w:t>
      </w:r>
      <w:r>
        <w:rPr>
          <w:color w:val="231F20"/>
          <w:w w:val="105"/>
        </w:rPr>
        <w:t>ges- tando</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Durán</w:t>
      </w:r>
      <w:r>
        <w:rPr>
          <w:color w:val="231F20"/>
          <w:spacing w:val="-6"/>
          <w:w w:val="105"/>
        </w:rPr>
        <w:t> </w:t>
      </w:r>
      <w:r>
        <w:rPr>
          <w:color w:val="231F20"/>
          <w:w w:val="105"/>
        </w:rPr>
        <w:t>(2011)</w:t>
      </w:r>
      <w:r>
        <w:rPr>
          <w:color w:val="231F20"/>
          <w:spacing w:val="-6"/>
          <w:w w:val="105"/>
        </w:rPr>
        <w:t> </w:t>
      </w:r>
      <w:r>
        <w:rPr>
          <w:color w:val="231F20"/>
          <w:w w:val="105"/>
        </w:rPr>
        <w:t>llama</w:t>
      </w:r>
      <w:r>
        <w:rPr>
          <w:color w:val="231F20"/>
          <w:spacing w:val="-6"/>
          <w:w w:val="105"/>
        </w:rPr>
        <w:t> </w:t>
      </w:r>
      <w:r>
        <w:rPr>
          <w:color w:val="231F20"/>
          <w:w w:val="105"/>
        </w:rPr>
        <w:t>una</w:t>
      </w:r>
      <w:r>
        <w:rPr>
          <w:color w:val="231F20"/>
          <w:spacing w:val="-6"/>
          <w:w w:val="105"/>
        </w:rPr>
        <w:t> </w:t>
      </w:r>
      <w:r>
        <w:rPr>
          <w:color w:val="231F20"/>
          <w:w w:val="105"/>
        </w:rPr>
        <w:t>estrategia</w:t>
      </w:r>
      <w:r>
        <w:rPr>
          <w:color w:val="231F20"/>
          <w:spacing w:val="-6"/>
          <w:w w:val="105"/>
        </w:rPr>
        <w:t> </w:t>
      </w:r>
      <w:r>
        <w:rPr>
          <w:color w:val="231F20"/>
          <w:w w:val="105"/>
        </w:rPr>
        <w:t>de</w:t>
      </w:r>
      <w:r>
        <w:rPr>
          <w:color w:val="231F20"/>
          <w:spacing w:val="-6"/>
          <w:w w:val="105"/>
        </w:rPr>
        <w:t> </w:t>
      </w:r>
      <w:r>
        <w:rPr>
          <w:rFonts w:ascii="Arial" w:hAnsi="Arial"/>
          <w:i/>
          <w:color w:val="231F20"/>
          <w:w w:val="105"/>
        </w:rPr>
        <w:t>desgaste</w:t>
      </w:r>
      <w:r>
        <w:rPr>
          <w:rFonts w:ascii="Arial" w:hAnsi="Arial"/>
          <w:i/>
          <w:color w:val="231F20"/>
          <w:spacing w:val="-8"/>
          <w:w w:val="105"/>
        </w:rPr>
        <w:t> </w:t>
      </w:r>
      <w:r>
        <w:rPr>
          <w:rFonts w:ascii="Arial" w:hAnsi="Arial"/>
          <w:i/>
          <w:color w:val="231F20"/>
          <w:w w:val="105"/>
        </w:rPr>
        <w:t>forzado</w:t>
      </w:r>
      <w:r>
        <w:rPr>
          <w:rFonts w:ascii="Arial" w:hAnsi="Arial"/>
          <w:i/>
          <w:color w:val="231F20"/>
          <w:spacing w:val="-8"/>
          <w:w w:val="105"/>
        </w:rPr>
        <w:t> </w:t>
      </w:r>
      <w:r>
        <w:rPr>
          <w:rFonts w:ascii="Arial" w:hAnsi="Arial"/>
          <w:i/>
          <w:color w:val="231F20"/>
          <w:w w:val="105"/>
        </w:rPr>
        <w:t>de </w:t>
      </w:r>
      <w:r>
        <w:rPr>
          <w:rFonts w:ascii="Arial" w:hAnsi="Arial"/>
          <w:i/>
          <w:color w:val="231F20"/>
          <w:w w:val="105"/>
        </w:rPr>
        <w:t>la población</w:t>
      </w:r>
      <w:r>
        <w:rPr>
          <w:color w:val="231F20"/>
          <w:w w:val="105"/>
        </w:rPr>
        <w:t>, que consiste en la implementación de políticas de control y estigmatización para enfrentar el problema de la migración no docu- mentada por medio de procesos de racialización de ciertos segmentos de la población, que en apariencia constituyen una mejor opción a la reforma migratoria o las deportaciones masivas, en tanto obliga a que los migrantes no documentados abandonen algunos estados por</w:t>
      </w:r>
      <w:r>
        <w:rPr>
          <w:color w:val="231F20"/>
          <w:spacing w:val="-36"/>
          <w:w w:val="105"/>
        </w:rPr>
        <w:t> </w:t>
      </w:r>
      <w:r>
        <w:rPr>
          <w:color w:val="231F20"/>
          <w:w w:val="105"/>
        </w:rPr>
        <w:t>temor a</w:t>
      </w:r>
      <w:r>
        <w:rPr>
          <w:color w:val="231F20"/>
          <w:spacing w:val="-17"/>
          <w:w w:val="105"/>
        </w:rPr>
        <w:t> </w:t>
      </w:r>
      <w:r>
        <w:rPr>
          <w:color w:val="231F20"/>
          <w:w w:val="105"/>
        </w:rPr>
        <w:t>ser</w:t>
      </w:r>
      <w:r>
        <w:rPr>
          <w:color w:val="231F20"/>
          <w:spacing w:val="-17"/>
          <w:w w:val="105"/>
        </w:rPr>
        <w:t> </w:t>
      </w:r>
      <w:r>
        <w:rPr>
          <w:color w:val="231F20"/>
          <w:w w:val="105"/>
        </w:rPr>
        <w:t>aprehendidos</w:t>
      </w:r>
      <w:r>
        <w:rPr>
          <w:color w:val="231F20"/>
          <w:spacing w:val="-17"/>
          <w:w w:val="105"/>
        </w:rPr>
        <w:t> </w:t>
      </w:r>
      <w:r>
        <w:rPr>
          <w:color w:val="231F20"/>
          <w:w w:val="105"/>
        </w:rPr>
        <w:t>y</w:t>
      </w:r>
      <w:r>
        <w:rPr>
          <w:color w:val="231F20"/>
          <w:spacing w:val="-17"/>
          <w:w w:val="105"/>
        </w:rPr>
        <w:t> </w:t>
      </w:r>
      <w:r>
        <w:rPr>
          <w:color w:val="231F20"/>
          <w:w w:val="105"/>
        </w:rPr>
        <w:t>deportados</w:t>
      </w:r>
      <w:r>
        <w:rPr>
          <w:color w:val="231F20"/>
          <w:spacing w:val="-17"/>
          <w:w w:val="105"/>
        </w:rPr>
        <w:t> </w:t>
      </w:r>
      <w:r>
        <w:rPr>
          <w:color w:val="231F20"/>
          <w:w w:val="105"/>
        </w:rPr>
        <w:t>(Durán</w:t>
      </w:r>
      <w:r>
        <w:rPr>
          <w:rFonts w:ascii="Arial" w:hAnsi="Arial"/>
          <w:i/>
          <w:color w:val="231F20"/>
          <w:w w:val="105"/>
        </w:rPr>
        <w:t>,</w:t>
      </w:r>
      <w:r>
        <w:rPr>
          <w:rFonts w:ascii="Arial" w:hAnsi="Arial"/>
          <w:i/>
          <w:color w:val="231F20"/>
          <w:spacing w:val="-20"/>
          <w:w w:val="105"/>
        </w:rPr>
        <w:t> </w:t>
      </w:r>
      <w:r>
        <w:rPr>
          <w:color w:val="231F20"/>
          <w:w w:val="105"/>
        </w:rPr>
        <w:t>2011).</w:t>
      </w:r>
    </w:p>
    <w:p>
      <w:pPr>
        <w:pStyle w:val="BodyText"/>
        <w:spacing w:line="261" w:lineRule="auto"/>
        <w:ind w:left="1837" w:right="1721" w:firstLine="567"/>
        <w:jc w:val="both"/>
      </w:pPr>
      <w:r>
        <w:rPr/>
        <w:pict>
          <v:line style="position:absolute;mso-position-horizontal-relative:page;mso-position-vertical-relative:paragraph;z-index:-474376" from="15pt,146.484695pt" to="0pt,146.484695pt" stroked="true" strokeweight=".25pt" strokecolor="#000000">
            <w10:wrap type="none"/>
          </v:line>
        </w:pict>
      </w:r>
      <w:r>
        <w:rPr/>
        <w:pict>
          <v:line style="position:absolute;mso-position-horizontal-relative:page;mso-position-vertical-relative:paragraph;z-index:15832" from="508.890015pt,146.484695pt" to="523.890015pt,146.484695pt" stroked="true" strokeweight=".25pt" strokecolor="#000000">
            <w10:wrap type="none"/>
          </v:line>
        </w:pict>
      </w:r>
      <w:r>
        <w:rPr>
          <w:color w:val="231F20"/>
          <w:w w:val="105"/>
        </w:rPr>
        <w:t>Si bien, las medidas de control y seguridad fronteriza de Estados Unidos han estado presentes desde los primeros años de la década de los noventa (Koslowski, 2011), con la puesta en marcha de iniciati- vas como la operación Gatekeeper en 1995 y la Ley HR 4,437 en 2005 (Rocha,</w:t>
      </w:r>
      <w:r>
        <w:rPr>
          <w:color w:val="231F20"/>
          <w:spacing w:val="-22"/>
          <w:w w:val="105"/>
        </w:rPr>
        <w:t> </w:t>
      </w:r>
      <w:r>
        <w:rPr>
          <w:color w:val="231F20"/>
          <w:w w:val="105"/>
        </w:rPr>
        <w:t>2006).</w:t>
      </w:r>
      <w:r>
        <w:rPr>
          <w:color w:val="231F20"/>
          <w:spacing w:val="-25"/>
          <w:w w:val="105"/>
        </w:rPr>
        <w:t> </w:t>
      </w:r>
      <w:r>
        <w:rPr>
          <w:color w:val="231F20"/>
          <w:w w:val="105"/>
        </w:rPr>
        <w:t>Actualmente,</w:t>
      </w:r>
      <w:r>
        <w:rPr>
          <w:color w:val="231F20"/>
          <w:spacing w:val="-22"/>
          <w:w w:val="105"/>
        </w:rPr>
        <w:t> </w:t>
      </w:r>
      <w:r>
        <w:rPr>
          <w:color w:val="231F20"/>
          <w:w w:val="105"/>
        </w:rPr>
        <w:t>las</w:t>
      </w:r>
      <w:r>
        <w:rPr>
          <w:color w:val="231F20"/>
          <w:spacing w:val="-18"/>
          <w:w w:val="105"/>
        </w:rPr>
        <w:t> </w:t>
      </w:r>
      <w:r>
        <w:rPr>
          <w:color w:val="231F20"/>
          <w:w w:val="105"/>
        </w:rPr>
        <w:t>medidas</w:t>
      </w:r>
      <w:r>
        <w:rPr>
          <w:color w:val="231F20"/>
          <w:spacing w:val="-18"/>
          <w:w w:val="105"/>
        </w:rPr>
        <w:t> </w:t>
      </w:r>
      <w:r>
        <w:rPr>
          <w:color w:val="231F20"/>
          <w:w w:val="105"/>
        </w:rPr>
        <w:t>de</w:t>
      </w:r>
      <w:r>
        <w:rPr>
          <w:color w:val="231F20"/>
          <w:spacing w:val="-18"/>
          <w:w w:val="105"/>
        </w:rPr>
        <w:t> </w:t>
      </w:r>
      <w:r>
        <w:rPr>
          <w:color w:val="231F20"/>
          <w:w w:val="105"/>
        </w:rPr>
        <w:t>resguardo</w:t>
      </w:r>
      <w:r>
        <w:rPr>
          <w:color w:val="231F20"/>
          <w:spacing w:val="-18"/>
          <w:w w:val="105"/>
        </w:rPr>
        <w:t> </w:t>
      </w:r>
      <w:r>
        <w:rPr>
          <w:color w:val="231F20"/>
          <w:w w:val="105"/>
        </w:rPr>
        <w:t>fronterizo</w:t>
      </w:r>
      <w:r>
        <w:rPr>
          <w:color w:val="231F20"/>
          <w:spacing w:val="-18"/>
          <w:w w:val="105"/>
        </w:rPr>
        <w:t> </w:t>
      </w:r>
      <w:r>
        <w:rPr>
          <w:color w:val="231F20"/>
          <w:w w:val="105"/>
        </w:rPr>
        <w:t>se</w:t>
      </w:r>
      <w:r>
        <w:rPr>
          <w:color w:val="231F20"/>
          <w:spacing w:val="-18"/>
          <w:w w:val="105"/>
        </w:rPr>
        <w:t> </w:t>
      </w:r>
      <w:r>
        <w:rPr>
          <w:color w:val="231F20"/>
          <w:w w:val="105"/>
        </w:rPr>
        <w:t>han recrudecido con el ejercicio de campañas de militarización</w:t>
      </w:r>
      <w:r>
        <w:rPr>
          <w:color w:val="231F20"/>
          <w:spacing w:val="29"/>
          <w:w w:val="105"/>
        </w:rPr>
        <w:t> </w:t>
      </w:r>
      <w:r>
        <w:rPr>
          <w:color w:val="231F20"/>
          <w:w w:val="105"/>
        </w:rPr>
        <w:t>fortalecidas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line="261" w:lineRule="auto"/>
        <w:ind w:left="1723" w:right="1835"/>
        <w:jc w:val="both"/>
      </w:pPr>
      <w:r>
        <w:rPr/>
        <w:pict>
          <v:line style="position:absolute;mso-position-horizontal-relative:page;mso-position-vertical-relative:paragraph;z-index:15880" from="15pt,-72.395119pt" to="0pt,-72.395119pt" stroked="true" strokeweight=".25pt" strokecolor="#000000">
            <w10:wrap type="none"/>
          </v:line>
        </w:pict>
      </w:r>
      <w:r>
        <w:rPr/>
        <w:pict>
          <v:line style="position:absolute;mso-position-horizontal-relative:page;mso-position-vertical-relative:paragraph;z-index:15904" from="508.890015pt,-72.395119pt" to="523.890015pt,-72.395119pt" stroked="true" strokeweight=".25pt" strokecolor="#000000">
            <w10:wrap type="none"/>
          </v:line>
        </w:pic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cada</w:t>
      </w:r>
      <w:r>
        <w:rPr>
          <w:color w:val="231F20"/>
          <w:spacing w:val="-13"/>
          <w:w w:val="105"/>
        </w:rPr>
        <w:t> </w:t>
      </w:r>
      <w:r>
        <w:rPr>
          <w:color w:val="231F20"/>
          <w:w w:val="105"/>
        </w:rPr>
        <w:t>vez</w:t>
      </w:r>
      <w:r>
        <w:rPr>
          <w:color w:val="231F20"/>
          <w:spacing w:val="-13"/>
          <w:w w:val="105"/>
        </w:rPr>
        <w:t> </w:t>
      </w:r>
      <w:r>
        <w:rPr>
          <w:color w:val="231F20"/>
          <w:w w:val="105"/>
        </w:rPr>
        <w:t>mayor</w:t>
      </w:r>
      <w:r>
        <w:rPr>
          <w:color w:val="231F20"/>
          <w:spacing w:val="-13"/>
          <w:w w:val="105"/>
        </w:rPr>
        <w:t> </w:t>
      </w:r>
      <w:r>
        <w:rPr>
          <w:color w:val="231F20"/>
          <w:w w:val="105"/>
        </w:rPr>
        <w:t>disponibilidad</w:t>
      </w:r>
      <w:r>
        <w:rPr>
          <w:color w:val="231F20"/>
          <w:spacing w:val="-13"/>
          <w:w w:val="105"/>
        </w:rPr>
        <w:t> </w:t>
      </w:r>
      <w:r>
        <w:rPr>
          <w:color w:val="231F20"/>
          <w:w w:val="105"/>
        </w:rPr>
        <w:t>de</w:t>
      </w:r>
      <w:r>
        <w:rPr>
          <w:color w:val="231F20"/>
          <w:spacing w:val="-13"/>
          <w:w w:val="105"/>
        </w:rPr>
        <w:t> </w:t>
      </w:r>
      <w:r>
        <w:rPr>
          <w:color w:val="231F20"/>
          <w:w w:val="105"/>
        </w:rPr>
        <w:t>recursos</w:t>
      </w:r>
      <w:r>
        <w:rPr>
          <w:color w:val="231F20"/>
          <w:spacing w:val="-13"/>
          <w:w w:val="105"/>
        </w:rPr>
        <w:t> </w:t>
      </w:r>
      <w:r>
        <w:rPr>
          <w:color w:val="231F20"/>
          <w:w w:val="105"/>
        </w:rPr>
        <w:t>humanos,</w:t>
      </w:r>
      <w:r>
        <w:rPr>
          <w:color w:val="231F20"/>
          <w:spacing w:val="-18"/>
          <w:w w:val="105"/>
        </w:rPr>
        <w:t> </w:t>
      </w:r>
      <w:r>
        <w:rPr>
          <w:color w:val="231F20"/>
          <w:w w:val="105"/>
        </w:rPr>
        <w:t>materiales</w:t>
      </w:r>
      <w:r>
        <w:rPr>
          <w:color w:val="231F20"/>
          <w:spacing w:val="-13"/>
          <w:w w:val="105"/>
        </w:rPr>
        <w:t> </w:t>
      </w:r>
      <w:r>
        <w:rPr>
          <w:color w:val="231F20"/>
          <w:w w:val="105"/>
        </w:rPr>
        <w:t>y de infraestructura, así como por la puesta en vigor de propuestas</w:t>
      </w:r>
      <w:r>
        <w:rPr>
          <w:color w:val="231F20"/>
          <w:spacing w:val="-26"/>
          <w:w w:val="105"/>
        </w:rPr>
        <w:t> </w:t>
      </w:r>
      <w:r>
        <w:rPr>
          <w:color w:val="231F20"/>
          <w:w w:val="105"/>
        </w:rPr>
        <w:t>como la</w:t>
      </w:r>
      <w:r>
        <w:rPr>
          <w:color w:val="231F20"/>
          <w:spacing w:val="-20"/>
          <w:w w:val="105"/>
        </w:rPr>
        <w:t> </w:t>
      </w:r>
      <w:r>
        <w:rPr>
          <w:color w:val="231F20"/>
          <w:w w:val="105"/>
        </w:rPr>
        <w:t>Ley</w:t>
      </w:r>
      <w:r>
        <w:rPr>
          <w:color w:val="231F20"/>
          <w:spacing w:val="-20"/>
          <w:w w:val="105"/>
        </w:rPr>
        <w:t> </w:t>
      </w:r>
      <w:r>
        <w:rPr>
          <w:color w:val="231F20"/>
          <w:w w:val="105"/>
        </w:rPr>
        <w:t>de</w:t>
      </w:r>
      <w:r>
        <w:rPr>
          <w:color w:val="231F20"/>
          <w:spacing w:val="-20"/>
          <w:w w:val="105"/>
        </w:rPr>
        <w:t> </w:t>
      </w:r>
      <w:r>
        <w:rPr>
          <w:color w:val="231F20"/>
          <w:w w:val="105"/>
        </w:rPr>
        <w:t>Emergencia</w:t>
      </w:r>
      <w:r>
        <w:rPr>
          <w:color w:val="231F20"/>
          <w:spacing w:val="-20"/>
          <w:w w:val="105"/>
        </w:rPr>
        <w:t> </w:t>
      </w:r>
      <w:r>
        <w:rPr>
          <w:color w:val="231F20"/>
          <w:w w:val="105"/>
        </w:rPr>
        <w:t>de</w:t>
      </w:r>
      <w:r>
        <w:rPr>
          <w:color w:val="231F20"/>
          <w:spacing w:val="-20"/>
          <w:w w:val="105"/>
        </w:rPr>
        <w:t> </w:t>
      </w:r>
      <w:r>
        <w:rPr>
          <w:color w:val="231F20"/>
          <w:w w:val="105"/>
        </w:rPr>
        <w:t>Seguridad</w:t>
      </w:r>
      <w:r>
        <w:rPr>
          <w:color w:val="231F20"/>
          <w:spacing w:val="-20"/>
          <w:w w:val="105"/>
        </w:rPr>
        <w:t> </w:t>
      </w:r>
      <w:r>
        <w:rPr>
          <w:color w:val="231F20"/>
          <w:w w:val="105"/>
        </w:rPr>
        <w:t>Fronteriza</w:t>
      </w:r>
      <w:r>
        <w:rPr>
          <w:color w:val="231F20"/>
          <w:spacing w:val="-20"/>
          <w:w w:val="105"/>
        </w:rPr>
        <w:t> </w:t>
      </w:r>
      <w:r>
        <w:rPr>
          <w:color w:val="231F20"/>
          <w:w w:val="105"/>
        </w:rPr>
        <w:t>de</w:t>
      </w:r>
      <w:r>
        <w:rPr>
          <w:color w:val="231F20"/>
          <w:spacing w:val="-20"/>
          <w:w w:val="105"/>
        </w:rPr>
        <w:t> </w:t>
      </w:r>
      <w:r>
        <w:rPr>
          <w:color w:val="231F20"/>
          <w:w w:val="105"/>
        </w:rPr>
        <w:t>2010</w:t>
      </w:r>
      <w:r>
        <w:rPr>
          <w:color w:val="231F20"/>
          <w:spacing w:val="-20"/>
          <w:w w:val="105"/>
        </w:rPr>
        <w:t> </w:t>
      </w:r>
      <w:r>
        <w:rPr>
          <w:color w:val="231F20"/>
          <w:w w:val="105"/>
        </w:rPr>
        <w:t>(Kibble,</w:t>
      </w:r>
      <w:r>
        <w:rPr>
          <w:color w:val="231F20"/>
          <w:spacing w:val="-24"/>
          <w:w w:val="105"/>
        </w:rPr>
        <w:t> </w:t>
      </w:r>
      <w:r>
        <w:rPr>
          <w:color w:val="231F20"/>
          <w:w w:val="105"/>
        </w:rPr>
        <w:t>2010).</w:t>
      </w:r>
    </w:p>
    <w:p>
      <w:pPr>
        <w:pStyle w:val="BodyText"/>
        <w:spacing w:line="261" w:lineRule="auto" w:before="1"/>
        <w:ind w:left="1723" w:right="1834" w:firstLine="567"/>
        <w:jc w:val="both"/>
      </w:pPr>
      <w:r>
        <w:rPr>
          <w:color w:val="231F20"/>
          <w:w w:val="105"/>
        </w:rPr>
        <w:t>El</w:t>
      </w:r>
      <w:r>
        <w:rPr>
          <w:color w:val="231F20"/>
          <w:spacing w:val="-15"/>
          <w:w w:val="105"/>
        </w:rPr>
        <w:t> </w:t>
      </w:r>
      <w:r>
        <w:rPr>
          <w:color w:val="231F20"/>
          <w:w w:val="105"/>
        </w:rPr>
        <w:t>gobierno</w:t>
      </w:r>
      <w:r>
        <w:rPr>
          <w:color w:val="231F20"/>
          <w:spacing w:val="-15"/>
          <w:w w:val="105"/>
        </w:rPr>
        <w:t> </w:t>
      </w:r>
      <w:r>
        <w:rPr>
          <w:color w:val="231F20"/>
          <w:w w:val="105"/>
        </w:rPr>
        <w:t>estadounidense</w:t>
      </w:r>
      <w:r>
        <w:rPr>
          <w:color w:val="231F20"/>
          <w:spacing w:val="-15"/>
          <w:w w:val="105"/>
        </w:rPr>
        <w:t> </w:t>
      </w:r>
      <w:r>
        <w:rPr>
          <w:color w:val="231F20"/>
          <w:w w:val="105"/>
        </w:rPr>
        <w:t>prevé</w:t>
      </w:r>
      <w:r>
        <w:rPr>
          <w:color w:val="231F20"/>
          <w:spacing w:val="-15"/>
          <w:w w:val="105"/>
        </w:rPr>
        <w:t> </w:t>
      </w:r>
      <w:r>
        <w:rPr>
          <w:color w:val="231F20"/>
          <w:w w:val="105"/>
        </w:rPr>
        <w:t>continuar</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fortalecimiento de</w:t>
      </w:r>
      <w:r>
        <w:rPr>
          <w:color w:val="231F20"/>
          <w:spacing w:val="-24"/>
          <w:w w:val="105"/>
        </w:rPr>
        <w:t> </w:t>
      </w:r>
      <w:r>
        <w:rPr>
          <w:color w:val="231F20"/>
          <w:w w:val="105"/>
        </w:rPr>
        <w:t>estas</w:t>
      </w:r>
      <w:r>
        <w:rPr>
          <w:color w:val="231F20"/>
          <w:spacing w:val="-24"/>
          <w:w w:val="105"/>
        </w:rPr>
        <w:t> </w:t>
      </w:r>
      <w:r>
        <w:rPr>
          <w:color w:val="231F20"/>
          <w:w w:val="105"/>
        </w:rPr>
        <w:t>acciones</w:t>
      </w:r>
      <w:r>
        <w:rPr>
          <w:color w:val="231F20"/>
          <w:spacing w:val="-24"/>
          <w:w w:val="105"/>
        </w:rPr>
        <w:t> </w:t>
      </w:r>
      <w:r>
        <w:rPr>
          <w:color w:val="231F20"/>
          <w:w w:val="105"/>
        </w:rPr>
        <w:t>a</w:t>
      </w:r>
      <w:r>
        <w:rPr>
          <w:color w:val="231F20"/>
          <w:spacing w:val="-24"/>
          <w:w w:val="105"/>
        </w:rPr>
        <w:t> </w:t>
      </w:r>
      <w:r>
        <w:rPr>
          <w:color w:val="231F20"/>
          <w:w w:val="105"/>
        </w:rPr>
        <w:t>pesar</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contradicciones</w:t>
      </w:r>
      <w:r>
        <w:rPr>
          <w:color w:val="231F20"/>
          <w:spacing w:val="-24"/>
          <w:w w:val="105"/>
        </w:rPr>
        <w:t> </w:t>
      </w:r>
      <w:r>
        <w:rPr>
          <w:color w:val="231F20"/>
          <w:w w:val="105"/>
        </w:rPr>
        <w:t>que</w:t>
      </w:r>
      <w:r>
        <w:rPr>
          <w:color w:val="231F20"/>
          <w:spacing w:val="-24"/>
          <w:w w:val="105"/>
        </w:rPr>
        <w:t> </w:t>
      </w:r>
      <w:r>
        <w:rPr>
          <w:color w:val="231F20"/>
          <w:w w:val="105"/>
        </w:rPr>
        <w:t>subyacen</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arti- culación</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sistema</w:t>
      </w:r>
      <w:r>
        <w:rPr>
          <w:color w:val="231F20"/>
          <w:spacing w:val="-9"/>
          <w:w w:val="105"/>
        </w:rPr>
        <w:t> </w:t>
      </w:r>
      <w:r>
        <w:rPr>
          <w:color w:val="231F20"/>
          <w:w w:val="105"/>
        </w:rPr>
        <w:t>económico</w:t>
      </w:r>
      <w:r>
        <w:rPr>
          <w:color w:val="231F20"/>
          <w:spacing w:val="-9"/>
          <w:w w:val="105"/>
        </w:rPr>
        <w:t> </w:t>
      </w:r>
      <w:r>
        <w:rPr>
          <w:color w:val="231F20"/>
          <w:w w:val="105"/>
        </w:rPr>
        <w:t>y</w:t>
      </w:r>
      <w:r>
        <w:rPr>
          <w:color w:val="231F20"/>
          <w:spacing w:val="-9"/>
          <w:w w:val="105"/>
        </w:rPr>
        <w:t> </w:t>
      </w:r>
      <w:r>
        <w:rPr>
          <w:color w:val="231F20"/>
          <w:w w:val="105"/>
        </w:rPr>
        <w:t>político,</w:t>
      </w:r>
      <w:r>
        <w:rPr>
          <w:color w:val="231F20"/>
          <w:spacing w:val="-15"/>
          <w:w w:val="105"/>
        </w:rPr>
        <w:t> </w:t>
      </w:r>
      <w:r>
        <w:rPr>
          <w:color w:val="231F20"/>
          <w:w w:val="105"/>
        </w:rPr>
        <w:t>toda</w:t>
      </w:r>
      <w:r>
        <w:rPr>
          <w:color w:val="231F20"/>
          <w:spacing w:val="-9"/>
          <w:w w:val="105"/>
        </w:rPr>
        <w:t> </w:t>
      </w:r>
      <w:r>
        <w:rPr>
          <w:color w:val="231F20"/>
          <w:w w:val="105"/>
        </w:rPr>
        <w:t>vez</w:t>
      </w:r>
      <w:r>
        <w:rPr>
          <w:color w:val="231F20"/>
          <w:spacing w:val="-9"/>
          <w:w w:val="105"/>
        </w:rPr>
        <w:t> </w:t>
      </w:r>
      <w:r>
        <w:rPr>
          <w:color w:val="231F20"/>
          <w:w w:val="105"/>
        </w:rPr>
        <w:t>que</w:t>
      </w:r>
      <w:r>
        <w:rPr>
          <w:color w:val="231F20"/>
          <w:spacing w:val="-9"/>
          <w:w w:val="105"/>
        </w:rPr>
        <w:t> </w:t>
      </w:r>
      <w:r>
        <w:rPr>
          <w:color w:val="231F20"/>
          <w:w w:val="105"/>
        </w:rPr>
        <w:t>los</w:t>
      </w:r>
      <w:r>
        <w:rPr>
          <w:color w:val="231F20"/>
          <w:spacing w:val="-9"/>
          <w:w w:val="105"/>
        </w:rPr>
        <w:t> </w:t>
      </w:r>
      <w:r>
        <w:rPr>
          <w:color w:val="231F20"/>
          <w:w w:val="105"/>
        </w:rPr>
        <w:t>migrantes de</w:t>
      </w:r>
      <w:r>
        <w:rPr>
          <w:color w:val="231F20"/>
          <w:spacing w:val="-25"/>
          <w:w w:val="105"/>
        </w:rPr>
        <w:t> </w:t>
      </w:r>
      <w:r>
        <w:rPr>
          <w:color w:val="231F20"/>
          <w:w w:val="105"/>
        </w:rPr>
        <w:t>baja</w:t>
      </w:r>
      <w:r>
        <w:rPr>
          <w:color w:val="231F20"/>
          <w:spacing w:val="-25"/>
          <w:w w:val="105"/>
        </w:rPr>
        <w:t> </w:t>
      </w:r>
      <w:r>
        <w:rPr>
          <w:color w:val="231F20"/>
          <w:w w:val="105"/>
        </w:rPr>
        <w:t>calificación</w:t>
      </w:r>
      <w:r>
        <w:rPr>
          <w:color w:val="231F20"/>
          <w:spacing w:val="-25"/>
          <w:w w:val="105"/>
        </w:rPr>
        <w:t> </w:t>
      </w:r>
      <w:r>
        <w:rPr>
          <w:color w:val="231F20"/>
          <w:w w:val="105"/>
        </w:rPr>
        <w:t>representan</w:t>
      </w:r>
      <w:r>
        <w:rPr>
          <w:color w:val="231F20"/>
          <w:spacing w:val="-25"/>
          <w:w w:val="105"/>
        </w:rPr>
        <w:t> </w:t>
      </w:r>
      <w:r>
        <w:rPr>
          <w:color w:val="231F20"/>
          <w:w w:val="105"/>
        </w:rPr>
        <w:t>una</w:t>
      </w:r>
      <w:r>
        <w:rPr>
          <w:color w:val="231F20"/>
          <w:spacing w:val="-25"/>
          <w:w w:val="105"/>
        </w:rPr>
        <w:t> </w:t>
      </w:r>
      <w:r>
        <w:rPr>
          <w:color w:val="231F20"/>
          <w:w w:val="105"/>
        </w:rPr>
        <w:t>amenaza</w:t>
      </w:r>
      <w:r>
        <w:rPr>
          <w:color w:val="231F20"/>
          <w:spacing w:val="-25"/>
          <w:w w:val="105"/>
        </w:rPr>
        <w:t> </w:t>
      </w:r>
      <w:r>
        <w:rPr>
          <w:color w:val="231F20"/>
          <w:w w:val="105"/>
        </w:rPr>
        <w:t>modesta</w:t>
      </w:r>
      <w:r>
        <w:rPr>
          <w:color w:val="231F20"/>
          <w:spacing w:val="-25"/>
          <w:w w:val="105"/>
        </w:rPr>
        <w:t> </w:t>
      </w:r>
      <w:r>
        <w:rPr>
          <w:color w:val="231F20"/>
          <w:w w:val="105"/>
        </w:rPr>
        <w:t>para</w:t>
      </w:r>
      <w:r>
        <w:rPr>
          <w:color w:val="231F20"/>
          <w:spacing w:val="-25"/>
          <w:w w:val="105"/>
        </w:rPr>
        <w:t> </w:t>
      </w:r>
      <w:r>
        <w:rPr>
          <w:color w:val="231F20"/>
          <w:w w:val="105"/>
        </w:rPr>
        <w:t>la</w:t>
      </w:r>
      <w:r>
        <w:rPr>
          <w:color w:val="231F20"/>
          <w:spacing w:val="-25"/>
          <w:w w:val="105"/>
        </w:rPr>
        <w:t> </w:t>
      </w:r>
      <w:r>
        <w:rPr>
          <w:color w:val="231F20"/>
          <w:w w:val="105"/>
        </w:rPr>
        <w:t>población nativa,</w:t>
      </w:r>
      <w:r>
        <w:rPr>
          <w:color w:val="231F20"/>
          <w:spacing w:val="-15"/>
          <w:w w:val="105"/>
        </w:rPr>
        <w:t> </w:t>
      </w:r>
      <w:r>
        <w:rPr>
          <w:color w:val="231F20"/>
          <w:w w:val="105"/>
        </w:rPr>
        <w:t>y</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lugar,</w:t>
      </w:r>
      <w:r>
        <w:rPr>
          <w:color w:val="231F20"/>
          <w:spacing w:val="-15"/>
          <w:w w:val="105"/>
        </w:rPr>
        <w:t> </w:t>
      </w:r>
      <w:r>
        <w:rPr>
          <w:color w:val="231F20"/>
          <w:w w:val="105"/>
        </w:rPr>
        <w:t>beneficios</w:t>
      </w:r>
      <w:r>
        <w:rPr>
          <w:color w:val="231F20"/>
          <w:spacing w:val="-9"/>
          <w:w w:val="105"/>
        </w:rPr>
        <w:t> </w:t>
      </w:r>
      <w:r>
        <w:rPr>
          <w:color w:val="231F20"/>
          <w:w w:val="105"/>
        </w:rPr>
        <w:t>importantes</w:t>
      </w:r>
      <w:r>
        <w:rPr>
          <w:color w:val="231F20"/>
          <w:spacing w:val="-9"/>
          <w:w w:val="105"/>
        </w:rPr>
        <w:t> </w:t>
      </w:r>
      <w:r>
        <w:rPr>
          <w:color w:val="231F20"/>
          <w:w w:val="105"/>
        </w:rPr>
        <w:t>para</w:t>
      </w:r>
      <w:r>
        <w:rPr>
          <w:color w:val="231F20"/>
          <w:spacing w:val="-9"/>
          <w:w w:val="105"/>
        </w:rPr>
        <w:t> </w:t>
      </w:r>
      <w:r>
        <w:rPr>
          <w:color w:val="231F20"/>
          <w:w w:val="105"/>
        </w:rPr>
        <w:t>los</w:t>
      </w:r>
      <w:r>
        <w:rPr>
          <w:color w:val="231F20"/>
          <w:spacing w:val="-9"/>
          <w:w w:val="105"/>
        </w:rPr>
        <w:t> </w:t>
      </w:r>
      <w:r>
        <w:rPr>
          <w:color w:val="231F20"/>
          <w:w w:val="105"/>
        </w:rPr>
        <w:t>empleadores,</w:t>
      </w:r>
      <w:r>
        <w:rPr>
          <w:color w:val="231F20"/>
          <w:spacing w:val="-15"/>
          <w:w w:val="105"/>
        </w:rPr>
        <w:t> </w:t>
      </w:r>
      <w:r>
        <w:rPr>
          <w:color w:val="231F20"/>
          <w:w w:val="105"/>
        </w:rPr>
        <w:t>con- sumidores</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economía</w:t>
      </w:r>
      <w:r>
        <w:rPr>
          <w:color w:val="231F20"/>
          <w:spacing w:val="-9"/>
          <w:w w:val="105"/>
        </w:rPr>
        <w:t> </w:t>
      </w:r>
      <w:r>
        <w:rPr>
          <w:color w:val="231F20"/>
          <w:w w:val="105"/>
        </w:rPr>
        <w:t>en</w:t>
      </w:r>
      <w:r>
        <w:rPr>
          <w:color w:val="231F20"/>
          <w:spacing w:val="-9"/>
          <w:w w:val="105"/>
        </w:rPr>
        <w:t> </w:t>
      </w:r>
      <w:r>
        <w:rPr>
          <w:color w:val="231F20"/>
          <w:w w:val="105"/>
        </w:rPr>
        <w:t>general</w:t>
      </w:r>
      <w:r>
        <w:rPr>
          <w:color w:val="231F20"/>
          <w:spacing w:val="-9"/>
          <w:w w:val="105"/>
        </w:rPr>
        <w:t> </w:t>
      </w:r>
      <w:r>
        <w:rPr>
          <w:color w:val="231F20"/>
          <w:w w:val="105"/>
        </w:rPr>
        <w:t>(Holzer,</w:t>
      </w:r>
      <w:r>
        <w:rPr>
          <w:color w:val="231F20"/>
          <w:spacing w:val="-13"/>
          <w:w w:val="105"/>
        </w:rPr>
        <w:t> </w:t>
      </w:r>
      <w:r>
        <w:rPr>
          <w:color w:val="231F20"/>
          <w:w w:val="105"/>
        </w:rPr>
        <w:t>2011).</w:t>
      </w:r>
      <w:r>
        <w:rPr>
          <w:color w:val="231F20"/>
          <w:spacing w:val="-13"/>
          <w:w w:val="105"/>
        </w:rPr>
        <w:t> </w:t>
      </w:r>
      <w:r>
        <w:rPr>
          <w:color w:val="231F20"/>
          <w:w w:val="105"/>
        </w:rPr>
        <w:t>No</w:t>
      </w:r>
      <w:r>
        <w:rPr>
          <w:color w:val="231F20"/>
          <w:spacing w:val="-9"/>
          <w:w w:val="105"/>
        </w:rPr>
        <w:t> </w:t>
      </w:r>
      <w:r>
        <w:rPr>
          <w:color w:val="231F20"/>
          <w:w w:val="105"/>
        </w:rPr>
        <w:t>así,</w:t>
      </w:r>
      <w:r>
        <w:rPr>
          <w:color w:val="231F20"/>
          <w:spacing w:val="-13"/>
          <w:w w:val="105"/>
        </w:rPr>
        <w:t> </w:t>
      </w:r>
      <w:r>
        <w:rPr>
          <w:color w:val="231F20"/>
          <w:w w:val="105"/>
        </w:rPr>
        <w:t>los</w:t>
      </w:r>
      <w:r>
        <w:rPr>
          <w:color w:val="231F20"/>
          <w:spacing w:val="-9"/>
          <w:w w:val="105"/>
        </w:rPr>
        <w:t> </w:t>
      </w:r>
      <w:r>
        <w:rPr>
          <w:color w:val="231F20"/>
          <w:w w:val="105"/>
        </w:rPr>
        <w:t>cambios económicos</w:t>
      </w:r>
      <w:r>
        <w:rPr>
          <w:color w:val="231F20"/>
          <w:spacing w:val="-7"/>
          <w:w w:val="105"/>
        </w:rPr>
        <w:t> </w:t>
      </w:r>
      <w:r>
        <w:rPr>
          <w:color w:val="231F20"/>
          <w:w w:val="105"/>
        </w:rPr>
        <w:t>se</w:t>
      </w:r>
      <w:r>
        <w:rPr>
          <w:color w:val="231F20"/>
          <w:spacing w:val="-7"/>
          <w:w w:val="105"/>
        </w:rPr>
        <w:t> </w:t>
      </w:r>
      <w:r>
        <w:rPr>
          <w:color w:val="231F20"/>
          <w:w w:val="105"/>
        </w:rPr>
        <w:t>han</w:t>
      </w:r>
      <w:r>
        <w:rPr>
          <w:color w:val="231F20"/>
          <w:spacing w:val="-7"/>
          <w:w w:val="105"/>
        </w:rPr>
        <w:t> </w:t>
      </w:r>
      <w:r>
        <w:rPr>
          <w:color w:val="231F20"/>
          <w:w w:val="105"/>
        </w:rPr>
        <w:t>materializado</w:t>
      </w:r>
      <w:r>
        <w:rPr>
          <w:color w:val="231F20"/>
          <w:spacing w:val="-7"/>
          <w:w w:val="105"/>
        </w:rPr>
        <w:t> </w:t>
      </w:r>
      <w:r>
        <w:rPr>
          <w:color w:val="231F20"/>
          <w:w w:val="105"/>
        </w:rPr>
        <w:t>en</w:t>
      </w:r>
      <w:r>
        <w:rPr>
          <w:color w:val="231F20"/>
          <w:spacing w:val="-7"/>
          <w:w w:val="105"/>
        </w:rPr>
        <w:t> </w:t>
      </w:r>
      <w:r>
        <w:rPr>
          <w:color w:val="231F20"/>
          <w:w w:val="105"/>
        </w:rPr>
        <w:t>una</w:t>
      </w:r>
      <w:r>
        <w:rPr>
          <w:color w:val="231F20"/>
          <w:spacing w:val="-7"/>
          <w:w w:val="105"/>
        </w:rPr>
        <w:t> </w:t>
      </w:r>
      <w:r>
        <w:rPr>
          <w:color w:val="231F20"/>
          <w:w w:val="105"/>
        </w:rPr>
        <w:t>legislación</w:t>
      </w:r>
      <w:r>
        <w:rPr>
          <w:color w:val="231F20"/>
          <w:spacing w:val="-7"/>
          <w:w w:val="105"/>
        </w:rPr>
        <w:t> </w:t>
      </w:r>
      <w:r>
        <w:rPr>
          <w:color w:val="231F20"/>
          <w:w w:val="105"/>
        </w:rPr>
        <w:t>migratoria</w:t>
      </w:r>
      <w:r>
        <w:rPr>
          <w:color w:val="231F20"/>
          <w:spacing w:val="-7"/>
          <w:w w:val="105"/>
        </w:rPr>
        <w:t> </w:t>
      </w:r>
      <w:r>
        <w:rPr>
          <w:color w:val="231F20"/>
          <w:w w:val="105"/>
        </w:rPr>
        <w:t>más</w:t>
      </w:r>
      <w:r>
        <w:rPr>
          <w:color w:val="231F20"/>
          <w:spacing w:val="-7"/>
          <w:w w:val="105"/>
        </w:rPr>
        <w:t> </w:t>
      </w:r>
      <w:r>
        <w:rPr>
          <w:color w:val="231F20"/>
          <w:w w:val="105"/>
        </w:rPr>
        <w:t>se- vera</w:t>
      </w:r>
      <w:r>
        <w:rPr>
          <w:color w:val="231F20"/>
          <w:spacing w:val="-28"/>
          <w:w w:val="105"/>
        </w:rPr>
        <w:t> </w:t>
      </w:r>
      <w:r>
        <w:rPr>
          <w:color w:val="231F20"/>
          <w:w w:val="105"/>
        </w:rPr>
        <w:t>hacia</w:t>
      </w:r>
      <w:r>
        <w:rPr>
          <w:color w:val="231F20"/>
          <w:spacing w:val="-28"/>
          <w:w w:val="105"/>
        </w:rPr>
        <w:t> </w:t>
      </w:r>
      <w:r>
        <w:rPr>
          <w:color w:val="231F20"/>
          <w:w w:val="105"/>
        </w:rPr>
        <w:t>los</w:t>
      </w:r>
      <w:r>
        <w:rPr>
          <w:color w:val="231F20"/>
          <w:spacing w:val="-28"/>
          <w:w w:val="105"/>
        </w:rPr>
        <w:t> </w:t>
      </w:r>
      <w:r>
        <w:rPr>
          <w:color w:val="231F20"/>
          <w:w w:val="105"/>
        </w:rPr>
        <w:t>migrantes,</w:t>
      </w:r>
      <w:r>
        <w:rPr>
          <w:color w:val="231F20"/>
          <w:spacing w:val="-33"/>
          <w:w w:val="105"/>
        </w:rPr>
        <w:t> </w:t>
      </w:r>
      <w:r>
        <w:rPr>
          <w:color w:val="231F20"/>
          <w:w w:val="105"/>
        </w:rPr>
        <w:t>de</w:t>
      </w:r>
      <w:r>
        <w:rPr>
          <w:color w:val="231F20"/>
          <w:spacing w:val="-28"/>
          <w:w w:val="105"/>
        </w:rPr>
        <w:t> </w:t>
      </w:r>
      <w:r>
        <w:rPr>
          <w:color w:val="231F20"/>
          <w:w w:val="105"/>
        </w:rPr>
        <w:t>quienes</w:t>
      </w:r>
      <w:r>
        <w:rPr>
          <w:color w:val="231F20"/>
          <w:spacing w:val="-28"/>
          <w:w w:val="105"/>
        </w:rPr>
        <w:t> </w:t>
      </w:r>
      <w:r>
        <w:rPr>
          <w:color w:val="231F20"/>
          <w:w w:val="105"/>
        </w:rPr>
        <w:t>se</w:t>
      </w:r>
      <w:r>
        <w:rPr>
          <w:color w:val="231F20"/>
          <w:spacing w:val="-28"/>
          <w:w w:val="105"/>
        </w:rPr>
        <w:t> </w:t>
      </w:r>
      <w:r>
        <w:rPr>
          <w:color w:val="231F20"/>
          <w:w w:val="105"/>
        </w:rPr>
        <w:t>piensa</w:t>
      </w:r>
      <w:r>
        <w:rPr>
          <w:color w:val="231F20"/>
          <w:spacing w:val="-28"/>
          <w:w w:val="105"/>
        </w:rPr>
        <w:t> </w:t>
      </w:r>
      <w:r>
        <w:rPr>
          <w:color w:val="231F20"/>
          <w:w w:val="105"/>
        </w:rPr>
        <w:t>sobrecargan</w:t>
      </w:r>
      <w:r>
        <w:rPr>
          <w:color w:val="231F20"/>
          <w:spacing w:val="-28"/>
          <w:w w:val="105"/>
        </w:rPr>
        <w:t> </w:t>
      </w:r>
      <w:r>
        <w:rPr>
          <w:color w:val="231F20"/>
          <w:w w:val="105"/>
        </w:rPr>
        <w:t>el</w:t>
      </w:r>
      <w:r>
        <w:rPr>
          <w:color w:val="231F20"/>
          <w:spacing w:val="-28"/>
          <w:w w:val="105"/>
        </w:rPr>
        <w:t> </w:t>
      </w:r>
      <w:r>
        <w:rPr>
          <w:color w:val="231F20"/>
          <w:w w:val="105"/>
        </w:rPr>
        <w:t>sistema</w:t>
      </w:r>
      <w:r>
        <w:rPr>
          <w:color w:val="231F20"/>
          <w:spacing w:val="-28"/>
          <w:w w:val="105"/>
        </w:rPr>
        <w:t> </w:t>
      </w:r>
      <w:r>
        <w:rPr>
          <w:color w:val="231F20"/>
          <w:w w:val="105"/>
        </w:rPr>
        <w:t>de bienestar</w:t>
      </w:r>
      <w:r>
        <w:rPr>
          <w:color w:val="231F20"/>
          <w:spacing w:val="-9"/>
          <w:w w:val="105"/>
        </w:rPr>
        <w:t> </w:t>
      </w:r>
      <w:r>
        <w:rPr>
          <w:color w:val="231F20"/>
          <w:w w:val="105"/>
        </w:rPr>
        <w:t>y</w:t>
      </w:r>
      <w:r>
        <w:rPr>
          <w:color w:val="231F20"/>
          <w:spacing w:val="-9"/>
          <w:w w:val="105"/>
        </w:rPr>
        <w:t> </w:t>
      </w:r>
      <w:r>
        <w:rPr>
          <w:color w:val="231F20"/>
          <w:w w:val="105"/>
        </w:rPr>
        <w:t>ocupan</w:t>
      </w:r>
      <w:r>
        <w:rPr>
          <w:color w:val="231F20"/>
          <w:spacing w:val="-9"/>
          <w:w w:val="105"/>
        </w:rPr>
        <w:t> </w:t>
      </w:r>
      <w:r>
        <w:rPr>
          <w:color w:val="231F20"/>
          <w:w w:val="105"/>
        </w:rPr>
        <w:t>los</w:t>
      </w:r>
      <w:r>
        <w:rPr>
          <w:color w:val="231F20"/>
          <w:spacing w:val="-9"/>
          <w:w w:val="105"/>
        </w:rPr>
        <w:t> </w:t>
      </w:r>
      <w:r>
        <w:rPr>
          <w:color w:val="231F20"/>
          <w:w w:val="105"/>
        </w:rPr>
        <w:t>empleos</w:t>
      </w:r>
      <w:r>
        <w:rPr>
          <w:color w:val="231F20"/>
          <w:spacing w:val="-9"/>
          <w:w w:val="105"/>
        </w:rPr>
        <w:t> </w:t>
      </w:r>
      <w:r>
        <w:rPr>
          <w:color w:val="231F20"/>
          <w:w w:val="105"/>
        </w:rPr>
        <w:t>que</w:t>
      </w:r>
      <w:r>
        <w:rPr>
          <w:color w:val="231F20"/>
          <w:spacing w:val="-9"/>
          <w:w w:val="105"/>
        </w:rPr>
        <w:t> </w:t>
      </w:r>
      <w:r>
        <w:rPr>
          <w:color w:val="231F20"/>
          <w:w w:val="105"/>
        </w:rPr>
        <w:t>corresponden</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población</w:t>
      </w:r>
      <w:r>
        <w:rPr>
          <w:color w:val="231F20"/>
          <w:spacing w:val="-9"/>
          <w:w w:val="105"/>
        </w:rPr>
        <w:t> </w:t>
      </w:r>
      <w:r>
        <w:rPr>
          <w:color w:val="231F20"/>
          <w:w w:val="105"/>
        </w:rPr>
        <w:t>nativa </w:t>
      </w:r>
      <w:r>
        <w:rPr>
          <w:color w:val="231F20"/>
        </w:rPr>
        <w:t>(Papademetriou y </w:t>
      </w:r>
      <w:r>
        <w:rPr>
          <w:color w:val="231F20"/>
          <w:spacing w:val="-3"/>
        </w:rPr>
        <w:t>Terrazas,</w:t>
      </w:r>
      <w:r>
        <w:rPr>
          <w:color w:val="231F20"/>
          <w:spacing w:val="-6"/>
        </w:rPr>
        <w:t> </w:t>
      </w:r>
      <w:r>
        <w:rPr>
          <w:color w:val="231F20"/>
        </w:rPr>
        <w:t>2009).</w:t>
      </w:r>
    </w:p>
    <w:p>
      <w:pPr>
        <w:pStyle w:val="BodyText"/>
        <w:spacing w:line="261" w:lineRule="auto" w:before="1"/>
        <w:ind w:left="1723" w:right="1829" w:firstLine="567"/>
        <w:jc w:val="both"/>
      </w:pPr>
      <w:r>
        <w:rPr>
          <w:color w:val="231F20"/>
          <w:w w:val="105"/>
        </w:rPr>
        <w:t>Así entonces, el fortalecimiento de actitudes, sentimientos y me- didas antiinmigrantes ha empezado a proyectarse en el sistemático in- cremento de las deportaciones y la disminución de población detenida en</w:t>
      </w:r>
      <w:r>
        <w:rPr>
          <w:color w:val="231F20"/>
          <w:spacing w:val="-11"/>
          <w:w w:val="105"/>
        </w:rPr>
        <w:t> </w:t>
      </w:r>
      <w:r>
        <w:rPr>
          <w:color w:val="231F20"/>
          <w:w w:val="105"/>
        </w:rPr>
        <w:t>la</w:t>
      </w:r>
      <w:r>
        <w:rPr>
          <w:color w:val="231F20"/>
          <w:spacing w:val="-11"/>
          <w:w w:val="105"/>
        </w:rPr>
        <w:t> </w:t>
      </w:r>
      <w:r>
        <w:rPr>
          <w:color w:val="231F20"/>
          <w:w w:val="105"/>
        </w:rPr>
        <w:t>frontera</w:t>
      </w:r>
      <w:r>
        <w:rPr>
          <w:color w:val="231F20"/>
          <w:spacing w:val="-11"/>
          <w:w w:val="105"/>
        </w:rPr>
        <w:t> </w:t>
      </w:r>
      <w:r>
        <w:rPr>
          <w:color w:val="231F20"/>
          <w:w w:val="105"/>
        </w:rPr>
        <w:t>estadounidense.</w:t>
      </w:r>
      <w:r>
        <w:rPr>
          <w:color w:val="231F20"/>
          <w:spacing w:val="-16"/>
          <w:w w:val="105"/>
        </w:rPr>
        <w:t> </w:t>
      </w:r>
      <w:r>
        <w:rPr>
          <w:w w:val="105"/>
        </w:rPr>
        <w:t>En</w:t>
      </w:r>
      <w:r>
        <w:rPr>
          <w:spacing w:val="-11"/>
          <w:w w:val="105"/>
        </w:rPr>
        <w:t> </w:t>
      </w:r>
      <w:r>
        <w:rPr>
          <w:w w:val="105"/>
        </w:rPr>
        <w:t>tal</w:t>
      </w:r>
      <w:r>
        <w:rPr>
          <w:spacing w:val="-11"/>
          <w:w w:val="105"/>
        </w:rPr>
        <w:t> </w:t>
      </w:r>
      <w:r>
        <w:rPr>
          <w:w w:val="105"/>
        </w:rPr>
        <w:t>sentido,</w:t>
      </w:r>
      <w:r>
        <w:rPr>
          <w:spacing w:val="-16"/>
          <w:w w:val="105"/>
        </w:rPr>
        <w:t> </w:t>
      </w:r>
      <w:r>
        <w:rPr>
          <w:w w:val="105"/>
        </w:rPr>
        <w:t>la</w:t>
      </w:r>
      <w:r>
        <w:rPr>
          <w:spacing w:val="-11"/>
          <w:w w:val="105"/>
        </w:rPr>
        <w:t> </w:t>
      </w:r>
      <w:r>
        <w:rPr>
          <w:w w:val="105"/>
        </w:rPr>
        <w:t>desaceleración</w:t>
      </w:r>
      <w:r>
        <w:rPr>
          <w:spacing w:val="-11"/>
          <w:w w:val="105"/>
        </w:rPr>
        <w:t> </w:t>
      </w:r>
      <w:r>
        <w:rPr>
          <w:w w:val="105"/>
        </w:rPr>
        <w:t>del</w:t>
      </w:r>
      <w:r>
        <w:rPr>
          <w:spacing w:val="-11"/>
          <w:w w:val="105"/>
        </w:rPr>
        <w:t> </w:t>
      </w:r>
      <w:r>
        <w:rPr>
          <w:w w:val="105"/>
        </w:rPr>
        <w:t>flujo migratorio de los mexicanos se evidencia también según el comporta- miento</w:t>
      </w:r>
      <w:r>
        <w:rPr>
          <w:spacing w:val="-20"/>
          <w:w w:val="105"/>
        </w:rPr>
        <w:t> </w:t>
      </w:r>
      <w:r>
        <w:rPr>
          <w:w w:val="105"/>
        </w:rPr>
        <w:t>en</w:t>
      </w:r>
      <w:r>
        <w:rPr>
          <w:spacing w:val="-20"/>
          <w:w w:val="105"/>
        </w:rPr>
        <w:t> </w:t>
      </w:r>
      <w:r>
        <w:rPr>
          <w:w w:val="105"/>
        </w:rPr>
        <w:t>el</w:t>
      </w:r>
      <w:r>
        <w:rPr>
          <w:spacing w:val="-20"/>
          <w:w w:val="105"/>
        </w:rPr>
        <w:t> </w:t>
      </w:r>
      <w:r>
        <w:rPr>
          <w:w w:val="105"/>
        </w:rPr>
        <w:t>número</w:t>
      </w:r>
      <w:r>
        <w:rPr>
          <w:spacing w:val="-20"/>
          <w:w w:val="105"/>
        </w:rPr>
        <w:t> </w:t>
      </w:r>
      <w:r>
        <w:rPr>
          <w:w w:val="105"/>
        </w:rPr>
        <w:t>de</w:t>
      </w:r>
      <w:r>
        <w:rPr>
          <w:spacing w:val="-20"/>
          <w:w w:val="105"/>
        </w:rPr>
        <w:t> </w:t>
      </w:r>
      <w:r>
        <w:rPr>
          <w:color w:val="231F20"/>
          <w:w w:val="105"/>
        </w:rPr>
        <w:t>aprehensiones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frontera</w:t>
      </w:r>
      <w:r>
        <w:rPr>
          <w:color w:val="231F20"/>
          <w:spacing w:val="-20"/>
          <w:w w:val="105"/>
        </w:rPr>
        <w:t> </w:t>
      </w:r>
      <w:r>
        <w:rPr>
          <w:color w:val="231F20"/>
          <w:w w:val="105"/>
        </w:rPr>
        <w:t>sur</w:t>
      </w:r>
      <w:r>
        <w:rPr>
          <w:color w:val="231F20"/>
          <w:spacing w:val="-20"/>
          <w:w w:val="105"/>
        </w:rPr>
        <w:t> </w:t>
      </w:r>
      <w:r>
        <w:rPr>
          <w:color w:val="231F20"/>
          <w:w w:val="105"/>
        </w:rPr>
        <w:t>de</w:t>
      </w:r>
      <w:r>
        <w:rPr>
          <w:color w:val="231F20"/>
          <w:spacing w:val="-20"/>
          <w:w w:val="105"/>
        </w:rPr>
        <w:t> </w:t>
      </w:r>
      <w:r>
        <w:rPr>
          <w:color w:val="231F20"/>
          <w:w w:val="105"/>
        </w:rPr>
        <w:t>Estados</w:t>
      </w:r>
      <w:r>
        <w:rPr>
          <w:color w:val="231F20"/>
          <w:spacing w:val="-20"/>
          <w:w w:val="105"/>
        </w:rPr>
        <w:t> </w:t>
      </w:r>
      <w:r>
        <w:rPr>
          <w:color w:val="231F20"/>
          <w:w w:val="105"/>
        </w:rPr>
        <w:t>Uni- dos,</w:t>
      </w:r>
      <w:r>
        <w:rPr>
          <w:color w:val="231F20"/>
          <w:spacing w:val="-18"/>
          <w:w w:val="105"/>
        </w:rPr>
        <w:t> </w:t>
      </w:r>
      <w:r>
        <w:rPr>
          <w:color w:val="231F20"/>
          <w:w w:val="105"/>
        </w:rPr>
        <w:t>que</w:t>
      </w:r>
      <w:r>
        <w:rPr>
          <w:color w:val="231F20"/>
          <w:spacing w:val="-12"/>
          <w:w w:val="105"/>
        </w:rPr>
        <w:t> </w:t>
      </w:r>
      <w:r>
        <w:rPr>
          <w:color w:val="231F20"/>
          <w:w w:val="105"/>
        </w:rPr>
        <w:t>durante</w:t>
      </w:r>
      <w:r>
        <w:rPr>
          <w:color w:val="231F20"/>
          <w:spacing w:val="-12"/>
          <w:w w:val="105"/>
        </w:rPr>
        <w:t> </w:t>
      </w:r>
      <w:r>
        <w:rPr>
          <w:color w:val="231F20"/>
          <w:w w:val="105"/>
        </w:rPr>
        <w:t>el</w:t>
      </w:r>
      <w:r>
        <w:rPr>
          <w:color w:val="231F20"/>
          <w:spacing w:val="-12"/>
          <w:w w:val="105"/>
        </w:rPr>
        <w:t> </w:t>
      </w:r>
      <w:r>
        <w:rPr>
          <w:color w:val="231F20"/>
          <w:w w:val="105"/>
        </w:rPr>
        <w:t>periodo</w:t>
      </w:r>
      <w:r>
        <w:rPr>
          <w:color w:val="231F20"/>
          <w:spacing w:val="-12"/>
          <w:w w:val="105"/>
        </w:rPr>
        <w:t> </w:t>
      </w:r>
      <w:r>
        <w:rPr>
          <w:color w:val="231F20"/>
          <w:w w:val="105"/>
        </w:rPr>
        <w:t>2000-2011</w:t>
      </w:r>
      <w:r>
        <w:rPr>
          <w:color w:val="231F20"/>
          <w:spacing w:val="-12"/>
          <w:w w:val="105"/>
        </w:rPr>
        <w:t> </w:t>
      </w:r>
      <w:r>
        <w:rPr>
          <w:color w:val="231F20"/>
          <w:w w:val="105"/>
        </w:rPr>
        <w:t>experimentaron</w:t>
      </w:r>
      <w:r>
        <w:rPr>
          <w:color w:val="231F20"/>
          <w:spacing w:val="-12"/>
          <w:w w:val="105"/>
        </w:rPr>
        <w:t> </w:t>
      </w:r>
      <w:r>
        <w:rPr>
          <w:color w:val="231F20"/>
          <w:w w:val="105"/>
        </w:rPr>
        <w:t>una</w:t>
      </w:r>
      <w:r>
        <w:rPr>
          <w:color w:val="231F20"/>
          <w:spacing w:val="-12"/>
          <w:w w:val="105"/>
        </w:rPr>
        <w:t> </w:t>
      </w:r>
      <w:r>
        <w:rPr>
          <w:color w:val="231F20"/>
          <w:w w:val="105"/>
        </w:rPr>
        <w:t>significativa disminución: se pasó de aproximadamente 1 millón 636 mil a 286 mil </w:t>
      </w:r>
      <w:r>
        <w:rPr>
          <w:color w:val="231F20"/>
        </w:rPr>
        <w:t>eventos</w:t>
      </w:r>
      <w:r>
        <w:rPr>
          <w:color w:val="231F20"/>
          <w:spacing w:val="-19"/>
        </w:rPr>
        <w:t> </w:t>
      </w:r>
      <w:r>
        <w:rPr>
          <w:color w:val="231F20"/>
        </w:rPr>
        <w:t>(Passel,</w:t>
      </w:r>
      <w:r>
        <w:rPr>
          <w:color w:val="231F20"/>
          <w:spacing w:val="-24"/>
        </w:rPr>
        <w:t> </w:t>
      </w:r>
      <w:r>
        <w:rPr>
          <w:color w:val="231F20"/>
        </w:rPr>
        <w:t>Cohn</w:t>
      </w:r>
      <w:r>
        <w:rPr>
          <w:color w:val="231F20"/>
          <w:spacing w:val="-19"/>
        </w:rPr>
        <w:t> </w:t>
      </w:r>
      <w:r>
        <w:rPr>
          <w:color w:val="231F20"/>
        </w:rPr>
        <w:t>y</w:t>
      </w:r>
      <w:r>
        <w:rPr>
          <w:color w:val="231F20"/>
          <w:spacing w:val="-19"/>
        </w:rPr>
        <w:t> </w:t>
      </w:r>
      <w:r>
        <w:rPr>
          <w:color w:val="231F20"/>
        </w:rPr>
        <w:t>González-Barrera,</w:t>
      </w:r>
      <w:r>
        <w:rPr>
          <w:color w:val="231F20"/>
          <w:spacing w:val="-24"/>
        </w:rPr>
        <w:t> </w:t>
      </w:r>
      <w:r>
        <w:rPr>
          <w:color w:val="231F20"/>
        </w:rPr>
        <w:t>2012:</w:t>
      </w:r>
      <w:r>
        <w:rPr>
          <w:color w:val="231F20"/>
          <w:spacing w:val="-19"/>
        </w:rPr>
        <w:t> </w:t>
      </w:r>
      <w:r>
        <w:rPr>
          <w:color w:val="231F20"/>
        </w:rPr>
        <w:t>28;</w:t>
      </w:r>
      <w:r>
        <w:rPr>
          <w:color w:val="231F20"/>
          <w:spacing w:val="-19"/>
        </w:rPr>
        <w:t> </w:t>
      </w:r>
      <w:r>
        <w:rPr>
          <w:color w:val="231F20"/>
          <w:sz w:val="17"/>
        </w:rPr>
        <w:t>USBP</w:t>
      </w:r>
      <w:r>
        <w:rPr>
          <w:color w:val="231F20"/>
        </w:rPr>
        <w:t>,</w:t>
      </w:r>
      <w:r>
        <w:rPr>
          <w:color w:val="231F20"/>
          <w:spacing w:val="-24"/>
        </w:rPr>
        <w:t> </w:t>
      </w:r>
      <w:r>
        <w:rPr>
          <w:color w:val="231F20"/>
        </w:rPr>
        <w:t>2011).</w:t>
      </w:r>
      <w:r>
        <w:rPr>
          <w:color w:val="231F20"/>
          <w:spacing w:val="-24"/>
        </w:rPr>
        <w:t> </w:t>
      </w:r>
      <w:r>
        <w:rPr>
          <w:color w:val="231F20"/>
        </w:rPr>
        <w:t>Paradóji- </w:t>
      </w:r>
      <w:r>
        <w:rPr>
          <w:color w:val="231F20"/>
          <w:w w:val="105"/>
        </w:rPr>
        <w:t>camente,</w:t>
      </w:r>
      <w:r>
        <w:rPr>
          <w:color w:val="231F20"/>
          <w:spacing w:val="-18"/>
          <w:w w:val="105"/>
        </w:rPr>
        <w:t> </w:t>
      </w:r>
      <w:r>
        <w:rPr>
          <w:color w:val="231F20"/>
          <w:w w:val="105"/>
        </w:rPr>
        <w:t>este</w:t>
      </w:r>
      <w:r>
        <w:rPr>
          <w:color w:val="231F20"/>
          <w:spacing w:val="-12"/>
          <w:w w:val="105"/>
        </w:rPr>
        <w:t> </w:t>
      </w:r>
      <w:r>
        <w:rPr>
          <w:color w:val="231F20"/>
          <w:w w:val="105"/>
        </w:rPr>
        <w:t>comportamiento</w:t>
      </w:r>
      <w:r>
        <w:rPr>
          <w:color w:val="231F20"/>
          <w:spacing w:val="-12"/>
          <w:w w:val="105"/>
        </w:rPr>
        <w:t> </w:t>
      </w:r>
      <w:r>
        <w:rPr>
          <w:color w:val="231F20"/>
          <w:w w:val="105"/>
        </w:rPr>
        <w:t>ha</w:t>
      </w:r>
      <w:r>
        <w:rPr>
          <w:color w:val="231F20"/>
          <w:spacing w:val="-12"/>
          <w:w w:val="105"/>
        </w:rPr>
        <w:t> </w:t>
      </w:r>
      <w:r>
        <w:rPr>
          <w:color w:val="231F20"/>
          <w:w w:val="105"/>
        </w:rPr>
        <w:t>ocurrido</w:t>
      </w:r>
      <w:r>
        <w:rPr>
          <w:color w:val="231F20"/>
          <w:spacing w:val="-12"/>
          <w:w w:val="105"/>
        </w:rPr>
        <w:t> </w:t>
      </w:r>
      <w:r>
        <w:rPr>
          <w:color w:val="231F20"/>
          <w:w w:val="105"/>
        </w:rPr>
        <w:t>a</w:t>
      </w:r>
      <w:r>
        <w:rPr>
          <w:color w:val="231F20"/>
          <w:spacing w:val="-12"/>
          <w:w w:val="105"/>
        </w:rPr>
        <w:t> </w:t>
      </w:r>
      <w:r>
        <w:rPr>
          <w:color w:val="231F20"/>
          <w:w w:val="105"/>
        </w:rPr>
        <w:t>pesar</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número</w:t>
      </w:r>
      <w:r>
        <w:rPr>
          <w:color w:val="231F20"/>
          <w:spacing w:val="-12"/>
          <w:w w:val="105"/>
        </w:rPr>
        <w:t> </w:t>
      </w:r>
      <w:r>
        <w:rPr>
          <w:color w:val="231F20"/>
          <w:w w:val="105"/>
        </w:rPr>
        <w:t>de agentes de la patrulla fronteriza se ha incrementado</w:t>
      </w:r>
      <w:r>
        <w:rPr>
          <w:color w:val="231F20"/>
          <w:spacing w:val="-31"/>
          <w:w w:val="105"/>
        </w:rPr>
        <w:t> </w:t>
      </w:r>
      <w:r>
        <w:rPr>
          <w:color w:val="231F20"/>
          <w:w w:val="105"/>
        </w:rPr>
        <w:t>significativamente, pasando</w:t>
      </w:r>
      <w:r>
        <w:rPr>
          <w:color w:val="231F20"/>
          <w:spacing w:val="-14"/>
          <w:w w:val="105"/>
        </w:rPr>
        <w:t> </w:t>
      </w:r>
      <w:r>
        <w:rPr>
          <w:color w:val="231F20"/>
          <w:w w:val="105"/>
        </w:rPr>
        <w:t>de</w:t>
      </w:r>
      <w:r>
        <w:rPr>
          <w:color w:val="231F20"/>
          <w:spacing w:val="-14"/>
          <w:w w:val="105"/>
        </w:rPr>
        <w:t> </w:t>
      </w:r>
      <w:r>
        <w:rPr>
          <w:color w:val="231F20"/>
          <w:w w:val="105"/>
        </w:rPr>
        <w:t>5</w:t>
      </w:r>
      <w:r>
        <w:rPr>
          <w:color w:val="231F20"/>
          <w:spacing w:val="-14"/>
          <w:w w:val="105"/>
        </w:rPr>
        <w:t> </w:t>
      </w:r>
      <w:r>
        <w:rPr>
          <w:color w:val="231F20"/>
          <w:w w:val="105"/>
        </w:rPr>
        <w:t>mil</w:t>
      </w:r>
      <w:r>
        <w:rPr>
          <w:color w:val="231F20"/>
          <w:spacing w:val="-14"/>
          <w:w w:val="105"/>
        </w:rPr>
        <w:t> </w:t>
      </w:r>
      <w:r>
        <w:rPr>
          <w:color w:val="231F20"/>
          <w:w w:val="105"/>
        </w:rPr>
        <w:t>en</w:t>
      </w:r>
      <w:r>
        <w:rPr>
          <w:color w:val="231F20"/>
          <w:spacing w:val="-14"/>
          <w:w w:val="105"/>
        </w:rPr>
        <w:t> </w:t>
      </w:r>
      <w:r>
        <w:rPr>
          <w:color w:val="231F20"/>
          <w:w w:val="105"/>
        </w:rPr>
        <w:t>1995</w:t>
      </w:r>
      <w:r>
        <w:rPr>
          <w:color w:val="231F20"/>
          <w:spacing w:val="-14"/>
          <w:w w:val="105"/>
        </w:rPr>
        <w:t> </w:t>
      </w:r>
      <w:r>
        <w:rPr>
          <w:color w:val="231F20"/>
          <w:w w:val="105"/>
        </w:rPr>
        <w:t>a</w:t>
      </w:r>
      <w:r>
        <w:rPr>
          <w:color w:val="231F20"/>
          <w:spacing w:val="-14"/>
          <w:w w:val="105"/>
        </w:rPr>
        <w:t> </w:t>
      </w:r>
      <w:r>
        <w:rPr>
          <w:color w:val="231F20"/>
          <w:w w:val="105"/>
        </w:rPr>
        <w:t>21</w:t>
      </w:r>
      <w:r>
        <w:rPr>
          <w:color w:val="231F20"/>
          <w:spacing w:val="-14"/>
          <w:w w:val="105"/>
        </w:rPr>
        <w:t> </w:t>
      </w:r>
      <w:r>
        <w:rPr>
          <w:color w:val="231F20"/>
          <w:w w:val="105"/>
        </w:rPr>
        <w:t>mil</w:t>
      </w:r>
      <w:r>
        <w:rPr>
          <w:color w:val="231F20"/>
          <w:spacing w:val="-14"/>
          <w:w w:val="105"/>
        </w:rPr>
        <w:t> </w:t>
      </w:r>
      <w:r>
        <w:rPr>
          <w:color w:val="231F20"/>
          <w:w w:val="105"/>
        </w:rPr>
        <w:t>en</w:t>
      </w:r>
      <w:r>
        <w:rPr>
          <w:color w:val="231F20"/>
          <w:spacing w:val="-14"/>
          <w:w w:val="105"/>
        </w:rPr>
        <w:t> </w:t>
      </w:r>
      <w:r>
        <w:rPr>
          <w:color w:val="231F20"/>
          <w:w w:val="105"/>
        </w:rPr>
        <w:t>2011</w:t>
      </w:r>
      <w:r>
        <w:rPr>
          <w:color w:val="231F20"/>
          <w:spacing w:val="-14"/>
          <w:w w:val="105"/>
        </w:rPr>
        <w:t> </w:t>
      </w:r>
      <w:r>
        <w:rPr>
          <w:color w:val="231F20"/>
          <w:w w:val="105"/>
        </w:rPr>
        <w:t>(</w:t>
      </w:r>
      <w:r>
        <w:rPr>
          <w:color w:val="231F20"/>
          <w:w w:val="105"/>
          <w:sz w:val="17"/>
        </w:rPr>
        <w:t>BBVA</w:t>
      </w:r>
      <w:r>
        <w:rPr>
          <w:color w:val="231F20"/>
          <w:w w:val="105"/>
        </w:rPr>
        <w:t>,</w:t>
      </w:r>
      <w:r>
        <w:rPr>
          <w:color w:val="231F20"/>
          <w:spacing w:val="-20"/>
          <w:w w:val="105"/>
        </w:rPr>
        <w:t> </w:t>
      </w:r>
      <w:r>
        <w:rPr>
          <w:color w:val="231F20"/>
          <w:w w:val="105"/>
        </w:rPr>
        <w:t>2012:</w:t>
      </w:r>
      <w:r>
        <w:rPr>
          <w:color w:val="231F20"/>
          <w:spacing w:val="-14"/>
          <w:w w:val="105"/>
        </w:rPr>
        <w:t> </w:t>
      </w:r>
      <w:r>
        <w:rPr>
          <w:color w:val="231F20"/>
          <w:w w:val="105"/>
        </w:rPr>
        <w:t>9).</w:t>
      </w:r>
    </w:p>
    <w:p>
      <w:pPr>
        <w:pStyle w:val="BodyText"/>
        <w:spacing w:line="261" w:lineRule="auto" w:before="1"/>
        <w:ind w:left="1723" w:right="1829" w:firstLine="567"/>
        <w:jc w:val="both"/>
      </w:pPr>
      <w:r>
        <w:rPr>
          <w:color w:val="231F20"/>
          <w:w w:val="105"/>
        </w:rPr>
        <w:t>La menor cantidad de detenciones se relaciona con la desacele- ración del flujo migratorio, en el sentido de que, en los últimos años al parecer son menos los mexicanos que están llegando a la frontera con la intención de cruzar al vecino país, debido también a que la creciente militarización fronteriza se ha convertido en una barrera estructural de contención para el flujo de migrantes y en un factor que ha promovido cambios en la magnitud de las migraciones internacionales en México. Así</w:t>
      </w:r>
      <w:r>
        <w:rPr>
          <w:color w:val="231F20"/>
          <w:spacing w:val="-30"/>
          <w:w w:val="105"/>
        </w:rPr>
        <w:t> </w:t>
      </w:r>
      <w:r>
        <w:rPr>
          <w:color w:val="231F20"/>
          <w:w w:val="105"/>
        </w:rPr>
        <w:t>las</w:t>
      </w:r>
      <w:r>
        <w:rPr>
          <w:color w:val="231F20"/>
          <w:spacing w:val="-30"/>
          <w:w w:val="105"/>
        </w:rPr>
        <w:t> </w:t>
      </w:r>
      <w:r>
        <w:rPr>
          <w:color w:val="231F20"/>
          <w:w w:val="105"/>
        </w:rPr>
        <w:t>cosas,</w:t>
      </w:r>
      <w:r>
        <w:rPr>
          <w:color w:val="231F20"/>
          <w:spacing w:val="-34"/>
          <w:w w:val="105"/>
        </w:rPr>
        <w:t> </w:t>
      </w:r>
      <w:r>
        <w:rPr>
          <w:color w:val="231F20"/>
          <w:w w:val="105"/>
        </w:rPr>
        <w:t>se</w:t>
      </w:r>
      <w:r>
        <w:rPr>
          <w:color w:val="231F20"/>
          <w:spacing w:val="-30"/>
          <w:w w:val="105"/>
        </w:rPr>
        <w:t> </w:t>
      </w:r>
      <w:r>
        <w:rPr>
          <w:color w:val="231F20"/>
          <w:w w:val="105"/>
        </w:rPr>
        <w:t>advierte</w:t>
      </w:r>
      <w:r>
        <w:rPr>
          <w:color w:val="231F20"/>
          <w:spacing w:val="-30"/>
          <w:w w:val="105"/>
        </w:rPr>
        <w:t> </w:t>
      </w:r>
      <w:r>
        <w:rPr>
          <w:color w:val="231F20"/>
          <w:w w:val="105"/>
        </w:rPr>
        <w:t>que</w:t>
      </w:r>
      <w:r>
        <w:rPr>
          <w:color w:val="231F20"/>
          <w:spacing w:val="-30"/>
          <w:w w:val="105"/>
        </w:rPr>
        <w:t> </w:t>
      </w:r>
      <w:r>
        <w:rPr>
          <w:color w:val="231F20"/>
          <w:w w:val="105"/>
        </w:rPr>
        <w:t>existe</w:t>
      </w:r>
      <w:r>
        <w:rPr>
          <w:color w:val="231F20"/>
          <w:spacing w:val="-30"/>
          <w:w w:val="105"/>
        </w:rPr>
        <w:t> </w:t>
      </w:r>
      <w:r>
        <w:rPr>
          <w:color w:val="231F20"/>
          <w:w w:val="105"/>
        </w:rPr>
        <w:t>una</w:t>
      </w:r>
      <w:r>
        <w:rPr>
          <w:color w:val="231F20"/>
          <w:spacing w:val="-30"/>
          <w:w w:val="105"/>
        </w:rPr>
        <w:t> </w:t>
      </w:r>
      <w:r>
        <w:rPr>
          <w:color w:val="231F20"/>
          <w:w w:val="105"/>
        </w:rPr>
        <w:t>estrecha</w:t>
      </w:r>
      <w:r>
        <w:rPr>
          <w:color w:val="231F20"/>
          <w:spacing w:val="-30"/>
          <w:w w:val="105"/>
        </w:rPr>
        <w:t> </w:t>
      </w:r>
      <w:r>
        <w:rPr>
          <w:color w:val="231F20"/>
          <w:w w:val="105"/>
        </w:rPr>
        <w:t>relación</w:t>
      </w:r>
      <w:r>
        <w:rPr>
          <w:color w:val="231F20"/>
          <w:spacing w:val="-30"/>
          <w:w w:val="105"/>
        </w:rPr>
        <w:t> </w:t>
      </w:r>
      <w:r>
        <w:rPr>
          <w:color w:val="231F20"/>
          <w:w w:val="105"/>
        </w:rPr>
        <w:t>entre</w:t>
      </w:r>
      <w:r>
        <w:rPr>
          <w:color w:val="231F20"/>
          <w:spacing w:val="-30"/>
          <w:w w:val="105"/>
        </w:rPr>
        <w:t> </w:t>
      </w:r>
      <w:r>
        <w:rPr>
          <w:color w:val="231F20"/>
          <w:w w:val="105"/>
        </w:rPr>
        <w:t>demanda de</w:t>
      </w:r>
      <w:r>
        <w:rPr>
          <w:color w:val="231F20"/>
          <w:spacing w:val="-23"/>
          <w:w w:val="105"/>
        </w:rPr>
        <w:t> </w:t>
      </w:r>
      <w:r>
        <w:rPr>
          <w:color w:val="231F20"/>
          <w:w w:val="105"/>
        </w:rPr>
        <w:t>mano</w:t>
      </w:r>
      <w:r>
        <w:rPr>
          <w:color w:val="231F20"/>
          <w:spacing w:val="-23"/>
          <w:w w:val="105"/>
        </w:rPr>
        <w:t> </w:t>
      </w:r>
      <w:r>
        <w:rPr>
          <w:color w:val="231F20"/>
          <w:w w:val="105"/>
        </w:rPr>
        <w:t>de</w:t>
      </w:r>
      <w:r>
        <w:rPr>
          <w:color w:val="231F20"/>
          <w:spacing w:val="-23"/>
          <w:w w:val="105"/>
        </w:rPr>
        <w:t> </w:t>
      </w:r>
      <w:r>
        <w:rPr>
          <w:color w:val="231F20"/>
          <w:w w:val="105"/>
        </w:rPr>
        <w:t>obra</w:t>
      </w:r>
      <w:r>
        <w:rPr>
          <w:color w:val="231F20"/>
          <w:spacing w:val="-23"/>
          <w:w w:val="105"/>
        </w:rPr>
        <w:t> </w:t>
      </w:r>
      <w:r>
        <w:rPr>
          <w:color w:val="231F20"/>
          <w:w w:val="105"/>
        </w:rPr>
        <w:t>en</w:t>
      </w:r>
      <w:r>
        <w:rPr>
          <w:color w:val="231F20"/>
          <w:spacing w:val="-23"/>
          <w:w w:val="105"/>
        </w:rPr>
        <w:t> </w:t>
      </w:r>
      <w:r>
        <w:rPr>
          <w:color w:val="231F20"/>
          <w:w w:val="105"/>
        </w:rPr>
        <w:t>Estados</w:t>
      </w:r>
      <w:r>
        <w:rPr>
          <w:color w:val="231F20"/>
          <w:spacing w:val="-23"/>
          <w:w w:val="105"/>
        </w:rPr>
        <w:t> </w:t>
      </w:r>
      <w:r>
        <w:rPr>
          <w:color w:val="231F20"/>
          <w:w w:val="105"/>
        </w:rPr>
        <w:t>Unidos</w:t>
      </w:r>
      <w:r>
        <w:rPr>
          <w:color w:val="231F20"/>
          <w:spacing w:val="-23"/>
          <w:w w:val="105"/>
        </w:rPr>
        <w:t> </w:t>
      </w:r>
      <w:r>
        <w:rPr>
          <w:color w:val="231F20"/>
          <w:w w:val="105"/>
        </w:rPr>
        <w:t>y</w:t>
      </w:r>
      <w:r>
        <w:rPr>
          <w:color w:val="231F20"/>
          <w:spacing w:val="-23"/>
          <w:w w:val="105"/>
        </w:rPr>
        <w:t> </w:t>
      </w:r>
      <w:r>
        <w:rPr>
          <w:color w:val="231F20"/>
          <w:w w:val="105"/>
        </w:rPr>
        <w:t>aprehensiones</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frontera,</w:t>
      </w:r>
      <w:r>
        <w:rPr>
          <w:color w:val="231F20"/>
          <w:spacing w:val="-28"/>
          <w:w w:val="105"/>
        </w:rPr>
        <w:t> </w:t>
      </w:r>
      <w:r>
        <w:rPr>
          <w:color w:val="231F20"/>
          <w:w w:val="105"/>
        </w:rPr>
        <w:t>pues los bajos niveles de empleo han significado una disminución en las de- tenciones</w:t>
      </w:r>
      <w:r>
        <w:rPr>
          <w:color w:val="231F20"/>
          <w:spacing w:val="-12"/>
          <w:w w:val="105"/>
        </w:rPr>
        <w:t> </w:t>
      </w:r>
      <w:r>
        <w:rPr>
          <w:color w:val="231F20"/>
          <w:w w:val="105"/>
        </w:rPr>
        <w:t>que</w:t>
      </w:r>
      <w:r>
        <w:rPr>
          <w:color w:val="231F20"/>
          <w:spacing w:val="-12"/>
          <w:w w:val="105"/>
        </w:rPr>
        <w:t> </w:t>
      </w:r>
      <w:r>
        <w:rPr>
          <w:color w:val="231F20"/>
          <w:w w:val="105"/>
        </w:rPr>
        <w:t>es</w:t>
      </w:r>
      <w:r>
        <w:rPr>
          <w:color w:val="231F20"/>
          <w:spacing w:val="-12"/>
          <w:w w:val="105"/>
        </w:rPr>
        <w:t> </w:t>
      </w:r>
      <w:r>
        <w:rPr>
          <w:color w:val="231F20"/>
          <w:w w:val="105"/>
        </w:rPr>
        <w:t>atribuida</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decisión</w:t>
      </w:r>
      <w:r>
        <w:rPr>
          <w:color w:val="231F20"/>
          <w:spacing w:val="-12"/>
          <w:w w:val="105"/>
        </w:rPr>
        <w:t> </w:t>
      </w:r>
      <w:r>
        <w:rPr>
          <w:color w:val="231F20"/>
          <w:w w:val="105"/>
        </w:rPr>
        <w:t>de</w:t>
      </w:r>
      <w:r>
        <w:rPr>
          <w:color w:val="231F20"/>
          <w:spacing w:val="-12"/>
          <w:w w:val="105"/>
        </w:rPr>
        <w:t> </w:t>
      </w:r>
      <w:r>
        <w:rPr>
          <w:color w:val="231F20"/>
          <w:w w:val="105"/>
        </w:rPr>
        <w:t>no</w:t>
      </w:r>
      <w:r>
        <w:rPr>
          <w:color w:val="231F20"/>
          <w:spacing w:val="-12"/>
          <w:w w:val="105"/>
        </w:rPr>
        <w:t> </w:t>
      </w:r>
      <w:r>
        <w:rPr>
          <w:color w:val="231F20"/>
          <w:w w:val="105"/>
        </w:rPr>
        <w:t>emigrar.</w:t>
      </w:r>
    </w:p>
    <w:p>
      <w:pPr>
        <w:pStyle w:val="BodyText"/>
        <w:spacing w:line="261" w:lineRule="auto" w:before="1"/>
        <w:ind w:left="1723" w:right="1833" w:firstLine="567"/>
        <w:jc w:val="both"/>
      </w:pPr>
      <w:r>
        <w:rPr>
          <w:color w:val="231F20"/>
          <w:w w:val="105"/>
        </w:rPr>
        <w:t>En</w:t>
      </w:r>
      <w:r>
        <w:rPr>
          <w:color w:val="231F20"/>
          <w:spacing w:val="-15"/>
          <w:w w:val="105"/>
        </w:rPr>
        <w:t> </w:t>
      </w:r>
      <w:r>
        <w:rPr>
          <w:color w:val="231F20"/>
          <w:w w:val="105"/>
        </w:rPr>
        <w:t>una</w:t>
      </w:r>
      <w:r>
        <w:rPr>
          <w:color w:val="231F20"/>
          <w:spacing w:val="-15"/>
          <w:w w:val="105"/>
        </w:rPr>
        <w:t> </w:t>
      </w:r>
      <w:r>
        <w:rPr>
          <w:color w:val="231F20"/>
          <w:w w:val="105"/>
        </w:rPr>
        <w:t>misma</w:t>
      </w:r>
      <w:r>
        <w:rPr>
          <w:color w:val="231F20"/>
          <w:spacing w:val="-15"/>
          <w:w w:val="105"/>
        </w:rPr>
        <w:t> </w:t>
      </w:r>
      <w:r>
        <w:rPr>
          <w:color w:val="231F20"/>
          <w:w w:val="105"/>
        </w:rPr>
        <w:t>perspectiva,</w:t>
      </w:r>
      <w:r>
        <w:rPr>
          <w:color w:val="231F20"/>
          <w:spacing w:val="-20"/>
          <w:w w:val="105"/>
        </w:rPr>
        <w:t> </w:t>
      </w:r>
      <w:r>
        <w:rPr>
          <w:color w:val="231F20"/>
          <w:w w:val="105"/>
        </w:rPr>
        <w:t>el</w:t>
      </w:r>
      <w:r>
        <w:rPr>
          <w:color w:val="231F20"/>
          <w:spacing w:val="-15"/>
          <w:w w:val="105"/>
        </w:rPr>
        <w:t> </w:t>
      </w:r>
      <w:r>
        <w:rPr>
          <w:color w:val="231F20"/>
          <w:w w:val="105"/>
          <w:sz w:val="17"/>
        </w:rPr>
        <w:t>BBVA</w:t>
      </w:r>
      <w:r>
        <w:rPr>
          <w:color w:val="231F20"/>
          <w:spacing w:val="-4"/>
          <w:w w:val="105"/>
          <w:sz w:val="17"/>
        </w:rPr>
        <w:t> </w:t>
      </w:r>
      <w:r>
        <w:rPr>
          <w:color w:val="231F20"/>
          <w:w w:val="105"/>
        </w:rPr>
        <w:t>(2012:</w:t>
      </w:r>
      <w:r>
        <w:rPr>
          <w:color w:val="231F20"/>
          <w:spacing w:val="-15"/>
          <w:w w:val="105"/>
        </w:rPr>
        <w:t> </w:t>
      </w:r>
      <w:r>
        <w:rPr>
          <w:color w:val="231F20"/>
          <w:w w:val="105"/>
        </w:rPr>
        <w:t>9)</w:t>
      </w:r>
      <w:r>
        <w:rPr>
          <w:color w:val="231F20"/>
          <w:spacing w:val="-15"/>
          <w:w w:val="105"/>
        </w:rPr>
        <w:t> </w:t>
      </w:r>
      <w:r>
        <w:rPr>
          <w:color w:val="231F20"/>
          <w:w w:val="105"/>
        </w:rPr>
        <w:t>argumenta</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nú- mero de mexicanos aprehendidos por la patrulla fronteriza se</w:t>
      </w:r>
      <w:r>
        <w:rPr>
          <w:color w:val="231F20"/>
          <w:spacing w:val="-31"/>
          <w:w w:val="105"/>
        </w:rPr>
        <w:t> </w:t>
      </w:r>
      <w:r>
        <w:rPr>
          <w:color w:val="231F20"/>
          <w:w w:val="105"/>
        </w:rPr>
        <w:t>relaciona con el crecimiento del </w:t>
      </w:r>
      <w:r>
        <w:rPr>
          <w:color w:val="231F20"/>
          <w:w w:val="105"/>
          <w:sz w:val="17"/>
        </w:rPr>
        <w:t>PIB </w:t>
      </w:r>
      <w:r>
        <w:rPr>
          <w:color w:val="231F20"/>
          <w:w w:val="105"/>
        </w:rPr>
        <w:t>de los Estados Unidos, pues cuando la eco- nomía</w:t>
      </w:r>
      <w:r>
        <w:rPr>
          <w:color w:val="231F20"/>
          <w:spacing w:val="-4"/>
          <w:w w:val="105"/>
        </w:rPr>
        <w:t> </w:t>
      </w:r>
      <w:r>
        <w:rPr>
          <w:color w:val="231F20"/>
          <w:w w:val="105"/>
        </w:rPr>
        <w:t>se</w:t>
      </w:r>
      <w:r>
        <w:rPr>
          <w:color w:val="231F20"/>
          <w:spacing w:val="-4"/>
          <w:w w:val="105"/>
        </w:rPr>
        <w:t> </w:t>
      </w:r>
      <w:r>
        <w:rPr>
          <w:color w:val="231F20"/>
          <w:w w:val="105"/>
        </w:rPr>
        <w:t>expande</w:t>
      </w:r>
      <w:r>
        <w:rPr>
          <w:color w:val="231F20"/>
          <w:spacing w:val="-4"/>
          <w:w w:val="105"/>
        </w:rPr>
        <w:t> </w:t>
      </w:r>
      <w:r>
        <w:rPr>
          <w:color w:val="231F20"/>
          <w:w w:val="105"/>
        </w:rPr>
        <w:t>y</w:t>
      </w:r>
      <w:r>
        <w:rPr>
          <w:color w:val="231F20"/>
          <w:spacing w:val="-4"/>
          <w:w w:val="105"/>
        </w:rPr>
        <w:t> </w:t>
      </w:r>
      <w:r>
        <w:rPr>
          <w:color w:val="231F20"/>
          <w:w w:val="105"/>
        </w:rPr>
        <w:t>aumenta</w:t>
      </w:r>
      <w:r>
        <w:rPr>
          <w:color w:val="231F20"/>
          <w:spacing w:val="-4"/>
          <w:w w:val="105"/>
        </w:rPr>
        <w:t> </w:t>
      </w:r>
      <w:r>
        <w:rPr>
          <w:color w:val="231F20"/>
          <w:w w:val="105"/>
        </w:rPr>
        <w:t>el</w:t>
      </w:r>
      <w:r>
        <w:rPr>
          <w:color w:val="231F20"/>
          <w:spacing w:val="-4"/>
          <w:w w:val="105"/>
        </w:rPr>
        <w:t> </w:t>
      </w:r>
      <w:r>
        <w:rPr>
          <w:color w:val="231F20"/>
          <w:w w:val="105"/>
        </w:rPr>
        <w:t>empleo</w:t>
      </w:r>
      <w:r>
        <w:rPr>
          <w:color w:val="231F20"/>
          <w:spacing w:val="-4"/>
          <w:w w:val="105"/>
        </w:rPr>
        <w:t> </w:t>
      </w:r>
      <w:r>
        <w:rPr>
          <w:color w:val="231F20"/>
          <w:w w:val="105"/>
        </w:rPr>
        <w:t>crece</w:t>
      </w:r>
      <w:r>
        <w:rPr>
          <w:color w:val="231F20"/>
          <w:spacing w:val="-4"/>
          <w:w w:val="105"/>
        </w:rPr>
        <w:t> </w:t>
      </w:r>
      <w:r>
        <w:rPr>
          <w:color w:val="231F20"/>
          <w:w w:val="105"/>
        </w:rPr>
        <w:t>el</w:t>
      </w:r>
      <w:r>
        <w:rPr>
          <w:color w:val="231F20"/>
          <w:spacing w:val="-4"/>
          <w:w w:val="105"/>
        </w:rPr>
        <w:t> </w:t>
      </w:r>
      <w:r>
        <w:rPr>
          <w:color w:val="231F20"/>
          <w:w w:val="105"/>
        </w:rPr>
        <w:t>número</w:t>
      </w:r>
      <w:r>
        <w:rPr>
          <w:color w:val="231F20"/>
          <w:spacing w:val="-4"/>
          <w:w w:val="105"/>
        </w:rPr>
        <w:t> </w:t>
      </w:r>
      <w:r>
        <w:rPr>
          <w:color w:val="231F20"/>
          <w:w w:val="105"/>
        </w:rPr>
        <w:t>de</w:t>
      </w:r>
      <w:r>
        <w:rPr>
          <w:color w:val="231F20"/>
          <w:spacing w:val="-4"/>
          <w:w w:val="105"/>
        </w:rPr>
        <w:t> </w:t>
      </w:r>
      <w:r>
        <w:rPr>
          <w:color w:val="231F20"/>
          <w:w w:val="105"/>
        </w:rPr>
        <w:t>mexicanos aprehendidos; ocurre lo contrario cuando la economía estadounidense tiende a contraerse, en la medida en que el motor más importante   </w:t>
      </w:r>
      <w:r>
        <w:rPr>
          <w:color w:val="231F20"/>
          <w:spacing w:val="4"/>
          <w:w w:val="105"/>
        </w:rPr>
        <w:t> </w:t>
      </w:r>
      <w:r>
        <w:rPr>
          <w:color w:val="231F20"/>
          <w:w w:val="105"/>
        </w:rPr>
        <w:t>de</w:t>
      </w:r>
    </w:p>
    <w:p>
      <w:pPr>
        <w:pStyle w:val="BodyText"/>
        <w:rPr>
          <w:sz w:val="20"/>
        </w:rPr>
      </w:pPr>
    </w:p>
    <w:p>
      <w:pPr>
        <w:pStyle w:val="BodyText"/>
        <w:rPr>
          <w:sz w:val="20"/>
        </w:rPr>
      </w:pPr>
    </w:p>
    <w:p>
      <w:pPr>
        <w:pStyle w:val="BodyText"/>
        <w:spacing w:before="8"/>
        <w:rPr>
          <w:sz w:val="24"/>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4328" from="131.551193pt,3.703715pt" to="131.551193pt,39.506114pt" stroked="true" strokeweight=".35pt" strokecolor="#231f20">
            <w10:wrap type="none"/>
          </v:line>
        </w:pict>
      </w:r>
      <w:r>
        <w:rPr/>
        <w:pict>
          <v:line style="position:absolute;mso-position-horizontal-relative:page;mso-position-vertical-relative:paragraph;z-index:-474256" from="15pt,39.505917pt" to="0pt,39.505917pt" stroked="true" strokeweight=".25pt" strokecolor="#000000">
            <w10:wrap type="none"/>
          </v:line>
        </w:pict>
      </w:r>
      <w:r>
        <w:rPr/>
        <w:pict>
          <v:line style="position:absolute;mso-position-horizontal-relative:page;mso-position-vertical-relative:paragraph;z-index:15952" from="508.890015pt,39.505917pt" to="523.890015pt,39.505917pt" stroked="true" strokeweight=".25pt" strokecolor="#000000">
            <w10:wrap type="none"/>
          </v:line>
        </w:pict>
      </w:r>
      <w:r>
        <w:rPr>
          <w:rFonts w:ascii="Arial" w:hAnsi="Arial"/>
          <w:color w:val="414042"/>
          <w:w w:val="105"/>
          <w:position w:val="-5"/>
          <w:sz w:val="20"/>
        </w:rPr>
        <w:t>156</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6000"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6024" from="15pt,-28.286539pt" to="0pt,-28.286539pt" stroked="true" strokeweight=".25pt" strokecolor="#000000">
            <w10:wrap type="none"/>
          </v:line>
        </w:pict>
      </w:r>
      <w:r>
        <w:rPr/>
        <w:pict>
          <v:line style="position:absolute;mso-position-horizontal-relative:page;mso-position-vertical-relative:paragraph;z-index:16048" from="508.890015pt,-28.286539pt" to="523.890015pt,-28.286539pt" stroked="true" strokeweight=".25pt" strokecolor="#000000">
            <w10:wrap type="none"/>
          </v:line>
        </w:pict>
      </w:r>
      <w:r>
        <w:rPr>
          <w:rFonts w:ascii="Arial"/>
          <w:color w:val="414042"/>
          <w:sz w:val="20"/>
        </w:rPr>
        <w:t>157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74112" from="15pt,715.487793pt" to="0pt,715.487793pt" stroked="true" strokeweight=".25pt" strokecolor="#000000">
            <w10:wrap type="none"/>
          </v:line>
        </w:pict>
      </w:r>
      <w:r>
        <w:rPr/>
        <w:pict>
          <v:line style="position:absolute;mso-position-horizontal-relative:page;mso-position-vertical-relative:page;z-index:16096" from="508.890015pt,715.487793pt" to="523.890015pt,715.487793pt" stroked="true" strokeweight=".25pt" strokecolor="#000000">
            <w10:wrap type="none"/>
          </v:line>
        </w:pict>
      </w:r>
    </w:p>
    <w:p>
      <w:pPr>
        <w:pStyle w:val="BodyText"/>
        <w:spacing w:before="8"/>
        <w:rPr>
          <w:rFonts w:ascii="Arial"/>
          <w:sz w:val="18"/>
        </w:rPr>
      </w:pPr>
    </w:p>
    <w:p>
      <w:pPr>
        <w:pStyle w:val="BodyText"/>
        <w:spacing w:line="261" w:lineRule="auto" w:before="61"/>
        <w:ind w:left="1837" w:right="1720"/>
        <w:jc w:val="both"/>
      </w:pPr>
      <w:r>
        <w:rPr>
          <w:color w:val="231F20"/>
          <w:w w:val="105"/>
        </w:rPr>
        <w:t>la migración mexicana a los Estados Unidos es el ciclo económico. Sin embargo,</w:t>
      </w:r>
      <w:r>
        <w:rPr>
          <w:color w:val="231F20"/>
          <w:spacing w:val="-16"/>
          <w:w w:val="105"/>
        </w:rPr>
        <w:t> </w:t>
      </w:r>
      <w:r>
        <w:rPr>
          <w:color w:val="231F20"/>
          <w:w w:val="105"/>
        </w:rPr>
        <w:t>llama</w:t>
      </w:r>
      <w:r>
        <w:rPr>
          <w:color w:val="231F20"/>
          <w:spacing w:val="-10"/>
          <w:w w:val="105"/>
        </w:rPr>
        <w:t> </w:t>
      </w:r>
      <w:r>
        <w:rPr>
          <w:color w:val="231F20"/>
          <w:w w:val="105"/>
        </w:rPr>
        <w:t>la</w:t>
      </w:r>
      <w:r>
        <w:rPr>
          <w:color w:val="231F20"/>
          <w:spacing w:val="-10"/>
          <w:w w:val="105"/>
        </w:rPr>
        <w:t> </w:t>
      </w:r>
      <w:r>
        <w:rPr>
          <w:color w:val="231F20"/>
          <w:w w:val="105"/>
        </w:rPr>
        <w:t>atención</w:t>
      </w:r>
      <w:r>
        <w:rPr>
          <w:color w:val="231F20"/>
          <w:spacing w:val="-10"/>
          <w:w w:val="105"/>
        </w:rPr>
        <w:t> </w:t>
      </w:r>
      <w:r>
        <w:rPr>
          <w:color w:val="231F20"/>
          <w:w w:val="105"/>
        </w:rPr>
        <w:t>que</w:t>
      </w:r>
      <w:r>
        <w:rPr>
          <w:color w:val="231F20"/>
          <w:spacing w:val="-10"/>
          <w:w w:val="105"/>
        </w:rPr>
        <w:t> </w:t>
      </w:r>
      <w:r>
        <w:rPr>
          <w:color w:val="231F20"/>
          <w:w w:val="105"/>
        </w:rPr>
        <w:t>entre</w:t>
      </w:r>
      <w:r>
        <w:rPr>
          <w:color w:val="231F20"/>
          <w:spacing w:val="-10"/>
          <w:w w:val="105"/>
        </w:rPr>
        <w:t> </w:t>
      </w:r>
      <w:r>
        <w:rPr>
          <w:color w:val="231F20"/>
          <w:w w:val="105"/>
        </w:rPr>
        <w:t>2010</w:t>
      </w:r>
      <w:r>
        <w:rPr>
          <w:color w:val="231F20"/>
          <w:spacing w:val="-10"/>
          <w:w w:val="105"/>
        </w:rPr>
        <w:t> </w:t>
      </w:r>
      <w:r>
        <w:rPr>
          <w:color w:val="231F20"/>
          <w:w w:val="105"/>
        </w:rPr>
        <w:t>y</w:t>
      </w:r>
      <w:r>
        <w:rPr>
          <w:color w:val="231F20"/>
          <w:spacing w:val="-10"/>
          <w:w w:val="105"/>
        </w:rPr>
        <w:t> </w:t>
      </w:r>
      <w:r>
        <w:rPr>
          <w:color w:val="231F20"/>
          <w:w w:val="105"/>
        </w:rPr>
        <w:t>2011,</w:t>
      </w:r>
      <w:r>
        <w:rPr>
          <w:color w:val="231F20"/>
          <w:spacing w:val="-16"/>
          <w:w w:val="105"/>
        </w:rPr>
        <w:t> </w:t>
      </w:r>
      <w:r>
        <w:rPr>
          <w:color w:val="231F20"/>
          <w:w w:val="105"/>
        </w:rPr>
        <w:t>el</w:t>
      </w:r>
      <w:r>
        <w:rPr>
          <w:color w:val="231F20"/>
          <w:spacing w:val="-9"/>
          <w:w w:val="105"/>
        </w:rPr>
        <w:t> </w:t>
      </w:r>
      <w:r>
        <w:rPr>
          <w:color w:val="231F20"/>
          <w:w w:val="105"/>
          <w:sz w:val="17"/>
        </w:rPr>
        <w:t>BBVA </w:t>
      </w:r>
      <w:r>
        <w:rPr>
          <w:color w:val="231F20"/>
          <w:w w:val="105"/>
        </w:rPr>
        <w:t>sostiene</w:t>
      </w:r>
      <w:r>
        <w:rPr>
          <w:color w:val="231F20"/>
          <w:spacing w:val="-10"/>
          <w:w w:val="105"/>
        </w:rPr>
        <w:t> </w:t>
      </w:r>
      <w:r>
        <w:rPr>
          <w:color w:val="231F20"/>
          <w:w w:val="105"/>
        </w:rPr>
        <w:t>que la recuperación económica estadounidense no impactó en un mayor número</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aprehensiones</w:t>
      </w:r>
      <w:r>
        <w:rPr>
          <w:color w:val="231F20"/>
          <w:spacing w:val="-10"/>
          <w:w w:val="105"/>
        </w:rPr>
        <w:t> </w:t>
      </w:r>
      <w:r>
        <w:rPr>
          <w:color w:val="231F20"/>
          <w:w w:val="105"/>
        </w:rPr>
        <w:t>efectuadas</w:t>
      </w:r>
      <w:r>
        <w:rPr>
          <w:color w:val="231F20"/>
          <w:spacing w:val="-10"/>
          <w:w w:val="105"/>
        </w:rPr>
        <w:t> </w:t>
      </w:r>
      <w:r>
        <w:rPr>
          <w:color w:val="231F20"/>
          <w:w w:val="105"/>
        </w:rPr>
        <w:t>en</w:t>
      </w:r>
      <w:r>
        <w:rPr>
          <w:color w:val="231F20"/>
          <w:spacing w:val="-10"/>
          <w:w w:val="105"/>
        </w:rPr>
        <w:t> </w:t>
      </w:r>
      <w:r>
        <w:rPr>
          <w:color w:val="231F20"/>
          <w:w w:val="105"/>
        </w:rPr>
        <w:t>ambos</w:t>
      </w:r>
      <w:r>
        <w:rPr>
          <w:color w:val="231F20"/>
          <w:spacing w:val="-10"/>
          <w:w w:val="105"/>
        </w:rPr>
        <w:t> </w:t>
      </w:r>
      <w:r>
        <w:rPr>
          <w:color w:val="231F20"/>
          <w:w w:val="105"/>
        </w:rPr>
        <w:t>años,</w:t>
      </w:r>
      <w:r>
        <w:rPr>
          <w:color w:val="231F20"/>
          <w:spacing w:val="-15"/>
          <w:w w:val="105"/>
        </w:rPr>
        <w:t> </w:t>
      </w:r>
      <w:r>
        <w:rPr>
          <w:color w:val="231F20"/>
          <w:w w:val="105"/>
        </w:rPr>
        <w:t>lo</w:t>
      </w:r>
      <w:r>
        <w:rPr>
          <w:color w:val="231F20"/>
          <w:spacing w:val="-10"/>
          <w:w w:val="105"/>
        </w:rPr>
        <w:t> </w:t>
      </w:r>
      <w:r>
        <w:rPr>
          <w:color w:val="231F20"/>
          <w:w w:val="105"/>
        </w:rPr>
        <w:t>cual</w:t>
      </w:r>
      <w:r>
        <w:rPr>
          <w:color w:val="231F20"/>
          <w:spacing w:val="-10"/>
          <w:w w:val="105"/>
        </w:rPr>
        <w:t> </w:t>
      </w:r>
      <w:r>
        <w:rPr>
          <w:color w:val="231F20"/>
          <w:w w:val="105"/>
        </w:rPr>
        <w:t>según esta institución es una posible consecuencia del “efecto Arizona”</w:t>
      </w:r>
      <w:r>
        <w:rPr>
          <w:color w:val="231F20"/>
          <w:w w:val="105"/>
          <w:position w:val="7"/>
          <w:sz w:val="12"/>
        </w:rPr>
        <w:t>5 </w:t>
      </w:r>
      <w:r>
        <w:rPr>
          <w:color w:val="231F20"/>
          <w:w w:val="105"/>
        </w:rPr>
        <w:t>y la expandida oleada antiinmigrante que está afectando el empleo de los migrantes</w:t>
      </w:r>
      <w:r>
        <w:rPr>
          <w:color w:val="231F20"/>
          <w:spacing w:val="-13"/>
          <w:w w:val="105"/>
        </w:rPr>
        <w:t> </w:t>
      </w:r>
      <w:r>
        <w:rPr>
          <w:color w:val="231F20"/>
          <w:w w:val="105"/>
        </w:rPr>
        <w:t>mexicanos</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dinámica</w:t>
      </w:r>
      <w:r>
        <w:rPr>
          <w:color w:val="231F20"/>
          <w:spacing w:val="-13"/>
          <w:w w:val="105"/>
        </w:rPr>
        <w:t> </w:t>
      </w:r>
      <w:r>
        <w:rPr>
          <w:color w:val="231F20"/>
          <w:w w:val="105"/>
        </w:rPr>
        <w:t>de</w:t>
      </w:r>
      <w:r>
        <w:rPr>
          <w:color w:val="231F20"/>
          <w:spacing w:val="33"/>
          <w:w w:val="105"/>
        </w:rPr>
        <w:t> </w:t>
      </w:r>
      <w:r>
        <w:rPr>
          <w:color w:val="231F20"/>
          <w:w w:val="105"/>
        </w:rPr>
        <w:t>sus</w:t>
      </w:r>
      <w:r>
        <w:rPr>
          <w:color w:val="231F20"/>
          <w:spacing w:val="-13"/>
          <w:w w:val="105"/>
        </w:rPr>
        <w:t> </w:t>
      </w:r>
      <w:r>
        <w:rPr>
          <w:color w:val="231F20"/>
          <w:w w:val="105"/>
        </w:rPr>
        <w:t>flujos</w:t>
      </w:r>
      <w:r>
        <w:rPr>
          <w:color w:val="231F20"/>
          <w:spacing w:val="-13"/>
          <w:w w:val="105"/>
        </w:rPr>
        <w:t> </w:t>
      </w:r>
      <w:r>
        <w:rPr>
          <w:color w:val="231F20"/>
          <w:w w:val="105"/>
        </w:rPr>
        <w:t>migratorios.</w:t>
      </w:r>
    </w:p>
    <w:p>
      <w:pPr>
        <w:pStyle w:val="BodyText"/>
        <w:spacing w:line="261" w:lineRule="auto" w:before="1"/>
        <w:ind w:left="1837" w:right="1715" w:firstLine="567"/>
        <w:jc w:val="both"/>
      </w:pPr>
      <w:r>
        <w:rPr>
          <w:color w:val="231F20"/>
          <w:w w:val="105"/>
        </w:rPr>
        <w:t>Alterno</w:t>
      </w:r>
      <w:r>
        <w:rPr>
          <w:color w:val="231F20"/>
          <w:spacing w:val="-8"/>
          <w:w w:val="105"/>
        </w:rPr>
        <w:t> </w:t>
      </w:r>
      <w:r>
        <w:rPr>
          <w:color w:val="231F20"/>
          <w:w w:val="105"/>
        </w:rPr>
        <w:t>al</w:t>
      </w:r>
      <w:r>
        <w:rPr>
          <w:color w:val="231F20"/>
          <w:spacing w:val="-8"/>
          <w:w w:val="105"/>
        </w:rPr>
        <w:t> </w:t>
      </w:r>
      <w:r>
        <w:rPr>
          <w:color w:val="231F20"/>
          <w:w w:val="105"/>
        </w:rPr>
        <w:t>cambio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migración</w:t>
      </w:r>
      <w:r>
        <w:rPr>
          <w:color w:val="231F20"/>
          <w:spacing w:val="-8"/>
          <w:w w:val="105"/>
        </w:rPr>
        <w:t> </w:t>
      </w:r>
      <w:r>
        <w:rPr>
          <w:color w:val="231F20"/>
          <w:w w:val="105"/>
        </w:rPr>
        <w:t>de</w:t>
      </w:r>
      <w:r>
        <w:rPr>
          <w:color w:val="231F20"/>
          <w:spacing w:val="-8"/>
          <w:w w:val="105"/>
        </w:rPr>
        <w:t> </w:t>
      </w:r>
      <w:r>
        <w:rPr>
          <w:color w:val="231F20"/>
          <w:w w:val="105"/>
        </w:rPr>
        <w:t>retorno</w:t>
      </w:r>
      <w:r>
        <w:rPr>
          <w:color w:val="231F20"/>
          <w:spacing w:val="-8"/>
          <w:w w:val="105"/>
        </w:rPr>
        <w:t> </w:t>
      </w:r>
      <w:r>
        <w:rPr>
          <w:color w:val="231F20"/>
          <w:w w:val="105"/>
        </w:rPr>
        <w:t>también</w:t>
      </w:r>
      <w:r>
        <w:rPr>
          <w:color w:val="231F20"/>
          <w:spacing w:val="-8"/>
          <w:w w:val="105"/>
        </w:rPr>
        <w:t> </w:t>
      </w:r>
      <w:r>
        <w:rPr>
          <w:color w:val="231F20"/>
          <w:w w:val="105"/>
        </w:rPr>
        <w:t>se</w:t>
      </w:r>
      <w:r>
        <w:rPr>
          <w:color w:val="231F20"/>
          <w:spacing w:val="-8"/>
          <w:w w:val="105"/>
        </w:rPr>
        <w:t> </w:t>
      </w:r>
      <w:r>
        <w:rPr>
          <w:color w:val="231F20"/>
          <w:w w:val="105"/>
        </w:rPr>
        <w:t>observan cambios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regreso</w:t>
      </w:r>
      <w:r>
        <w:rPr>
          <w:color w:val="231F20"/>
          <w:spacing w:val="-10"/>
          <w:w w:val="105"/>
        </w:rPr>
        <w:t> </w:t>
      </w:r>
      <w:r>
        <w:rPr>
          <w:color w:val="231F20"/>
          <w:w w:val="105"/>
        </w:rPr>
        <w:t>forzado</w:t>
      </w:r>
      <w:r>
        <w:rPr>
          <w:color w:val="231F20"/>
          <w:spacing w:val="-10"/>
          <w:w w:val="105"/>
        </w:rPr>
        <w:t> </w:t>
      </w:r>
      <w:r>
        <w:rPr>
          <w:color w:val="231F20"/>
          <w:w w:val="105"/>
        </w:rPr>
        <w:t>o</w:t>
      </w:r>
      <w:r>
        <w:rPr>
          <w:color w:val="231F20"/>
          <w:spacing w:val="-10"/>
          <w:w w:val="105"/>
        </w:rPr>
        <w:t> </w:t>
      </w:r>
      <w:r>
        <w:rPr>
          <w:color w:val="231F20"/>
          <w:w w:val="105"/>
        </w:rPr>
        <w:t>involuntario,</w:t>
      </w:r>
      <w:r>
        <w:rPr>
          <w:color w:val="231F20"/>
          <w:spacing w:val="-17"/>
          <w:w w:val="105"/>
        </w:rPr>
        <w:t> </w:t>
      </w:r>
      <w:r>
        <w:rPr>
          <w:color w:val="231F20"/>
          <w:w w:val="105"/>
        </w:rPr>
        <w:t>pues</w:t>
      </w:r>
      <w:r>
        <w:rPr>
          <w:color w:val="231F20"/>
          <w:spacing w:val="-10"/>
          <w:w w:val="105"/>
        </w:rPr>
        <w:t> </w:t>
      </w:r>
      <w:r>
        <w:rPr>
          <w:color w:val="231F20"/>
          <w:w w:val="105"/>
        </w:rPr>
        <w:t>las</w:t>
      </w:r>
      <w:r>
        <w:rPr>
          <w:color w:val="231F20"/>
          <w:spacing w:val="-10"/>
          <w:w w:val="105"/>
        </w:rPr>
        <w:t> </w:t>
      </w:r>
      <w:r>
        <w:rPr>
          <w:color w:val="231F20"/>
          <w:w w:val="105"/>
        </w:rPr>
        <w:t>deportaciones</w:t>
      </w:r>
      <w:r>
        <w:rPr>
          <w:color w:val="231F20"/>
          <w:spacing w:val="-10"/>
          <w:w w:val="105"/>
        </w:rPr>
        <w:t> </w:t>
      </w:r>
      <w:r>
        <w:rPr>
          <w:color w:val="231F20"/>
          <w:w w:val="105"/>
        </w:rPr>
        <w:t>de los migrantes en </w:t>
      </w:r>
      <w:r>
        <w:rPr>
          <w:color w:val="231F20"/>
          <w:w w:val="105"/>
          <w:sz w:val="17"/>
        </w:rPr>
        <w:t>EUA </w:t>
      </w:r>
      <w:r>
        <w:rPr>
          <w:color w:val="231F20"/>
          <w:w w:val="105"/>
        </w:rPr>
        <w:t>aumentaron significativamente. De manera que</w:t>
      </w:r>
      <w:r>
        <w:rPr>
          <w:color w:val="231F20"/>
          <w:spacing w:val="-20"/>
          <w:w w:val="105"/>
        </w:rPr>
        <w:t> </w:t>
      </w:r>
      <w:r>
        <w:rPr>
          <w:color w:val="231F20"/>
          <w:w w:val="105"/>
        </w:rPr>
        <w:t>sí en 2003 se estimaba una cantidad de aproximadamente 155 mil</w:t>
      </w:r>
      <w:r>
        <w:rPr>
          <w:color w:val="231F20"/>
          <w:spacing w:val="-27"/>
          <w:w w:val="105"/>
        </w:rPr>
        <w:t> </w:t>
      </w:r>
      <w:r>
        <w:rPr>
          <w:color w:val="231F20"/>
          <w:w w:val="105"/>
        </w:rPr>
        <w:t>perso- nas</w:t>
      </w:r>
      <w:r>
        <w:rPr>
          <w:color w:val="231F20"/>
          <w:spacing w:val="-16"/>
          <w:w w:val="105"/>
        </w:rPr>
        <w:t> </w:t>
      </w:r>
      <w:r>
        <w:rPr>
          <w:color w:val="231F20"/>
          <w:w w:val="105"/>
        </w:rPr>
        <w:t>deportadas,</w:t>
      </w:r>
      <w:r>
        <w:rPr>
          <w:color w:val="231F20"/>
          <w:spacing w:val="-22"/>
          <w:w w:val="105"/>
        </w:rPr>
        <w:t> </w:t>
      </w:r>
      <w:r>
        <w:rPr>
          <w:color w:val="231F20"/>
          <w:w w:val="105"/>
        </w:rPr>
        <w:t>en</w:t>
      </w:r>
      <w:r>
        <w:rPr>
          <w:color w:val="231F20"/>
          <w:spacing w:val="-16"/>
          <w:w w:val="105"/>
        </w:rPr>
        <w:t> </w:t>
      </w:r>
      <w:r>
        <w:rPr>
          <w:color w:val="231F20"/>
          <w:w w:val="105"/>
        </w:rPr>
        <w:t>2008</w:t>
      </w:r>
      <w:r>
        <w:rPr>
          <w:color w:val="231F20"/>
          <w:spacing w:val="-16"/>
          <w:w w:val="105"/>
        </w:rPr>
        <w:t> </w:t>
      </w:r>
      <w:r>
        <w:rPr>
          <w:color w:val="231F20"/>
          <w:w w:val="105"/>
        </w:rPr>
        <w:t>este</w:t>
      </w:r>
      <w:r>
        <w:rPr>
          <w:color w:val="231F20"/>
          <w:spacing w:val="-16"/>
          <w:w w:val="105"/>
        </w:rPr>
        <w:t> </w:t>
      </w:r>
      <w:r>
        <w:rPr>
          <w:color w:val="231F20"/>
          <w:w w:val="105"/>
        </w:rPr>
        <w:t>concepto</w:t>
      </w:r>
      <w:r>
        <w:rPr>
          <w:color w:val="231F20"/>
          <w:spacing w:val="-16"/>
          <w:w w:val="105"/>
        </w:rPr>
        <w:t> </w:t>
      </w:r>
      <w:r>
        <w:rPr>
          <w:color w:val="231F20"/>
          <w:w w:val="105"/>
        </w:rPr>
        <w:t>se</w:t>
      </w:r>
      <w:r>
        <w:rPr>
          <w:color w:val="231F20"/>
          <w:spacing w:val="-16"/>
          <w:w w:val="105"/>
        </w:rPr>
        <w:t> </w:t>
      </w:r>
      <w:r>
        <w:rPr>
          <w:color w:val="231F20"/>
          <w:w w:val="105"/>
        </w:rPr>
        <w:t>ubicó</w:t>
      </w:r>
      <w:r>
        <w:rPr>
          <w:color w:val="231F20"/>
          <w:spacing w:val="-16"/>
          <w:w w:val="105"/>
        </w:rPr>
        <w:t> </w:t>
      </w:r>
      <w:r>
        <w:rPr>
          <w:color w:val="231F20"/>
          <w:w w:val="105"/>
        </w:rPr>
        <w:t>en</w:t>
      </w:r>
      <w:r>
        <w:rPr>
          <w:color w:val="231F20"/>
          <w:spacing w:val="-16"/>
          <w:w w:val="105"/>
        </w:rPr>
        <w:t> </w:t>
      </w:r>
      <w:r>
        <w:rPr>
          <w:color w:val="231F20"/>
          <w:w w:val="105"/>
        </w:rPr>
        <w:t>alrededor</w:t>
      </w:r>
      <w:r>
        <w:rPr>
          <w:color w:val="231F20"/>
          <w:spacing w:val="-16"/>
          <w:w w:val="105"/>
        </w:rPr>
        <w:t> </w:t>
      </w:r>
      <w:r>
        <w:rPr>
          <w:color w:val="231F20"/>
          <w:w w:val="105"/>
        </w:rPr>
        <w:t>de</w:t>
      </w:r>
      <w:r>
        <w:rPr>
          <w:color w:val="231F20"/>
          <w:spacing w:val="-16"/>
          <w:w w:val="105"/>
        </w:rPr>
        <w:t> </w:t>
      </w:r>
      <w:r>
        <w:rPr>
          <w:color w:val="231F20"/>
          <w:w w:val="105"/>
        </w:rPr>
        <w:t>349</w:t>
      </w:r>
      <w:r>
        <w:rPr>
          <w:color w:val="231F20"/>
          <w:spacing w:val="-16"/>
          <w:w w:val="105"/>
        </w:rPr>
        <w:t> </w:t>
      </w:r>
      <w:r>
        <w:rPr>
          <w:color w:val="231F20"/>
          <w:w w:val="105"/>
        </w:rPr>
        <w:t>mil y</w:t>
      </w:r>
      <w:r>
        <w:rPr>
          <w:color w:val="231F20"/>
          <w:spacing w:val="-20"/>
          <w:w w:val="105"/>
        </w:rPr>
        <w:t> </w:t>
      </w:r>
      <w:r>
        <w:rPr>
          <w:color w:val="231F20"/>
          <w:w w:val="105"/>
        </w:rPr>
        <w:t>400</w:t>
      </w:r>
      <w:r>
        <w:rPr>
          <w:color w:val="231F20"/>
          <w:spacing w:val="-20"/>
          <w:w w:val="105"/>
        </w:rPr>
        <w:t> </w:t>
      </w:r>
      <w:r>
        <w:rPr>
          <w:color w:val="231F20"/>
          <w:w w:val="105"/>
        </w:rPr>
        <w:t>mil</w:t>
      </w:r>
      <w:r>
        <w:rPr>
          <w:color w:val="231F20"/>
          <w:spacing w:val="-20"/>
          <w:w w:val="105"/>
        </w:rPr>
        <w:t> </w:t>
      </w:r>
      <w:r>
        <w:rPr>
          <w:color w:val="231F20"/>
          <w:w w:val="105"/>
        </w:rPr>
        <w:t>en</w:t>
      </w:r>
      <w:r>
        <w:rPr>
          <w:color w:val="231F20"/>
          <w:spacing w:val="-20"/>
          <w:w w:val="105"/>
        </w:rPr>
        <w:t> </w:t>
      </w:r>
      <w:r>
        <w:rPr>
          <w:color w:val="231F20"/>
          <w:w w:val="105"/>
        </w:rPr>
        <w:t>2010</w:t>
      </w:r>
      <w:r>
        <w:rPr>
          <w:color w:val="231F20"/>
          <w:spacing w:val="-20"/>
          <w:w w:val="105"/>
        </w:rPr>
        <w:t> </w:t>
      </w:r>
      <w:r>
        <w:rPr>
          <w:color w:val="231F20"/>
          <w:w w:val="105"/>
        </w:rPr>
        <w:t>(Orozco,</w:t>
      </w:r>
      <w:r>
        <w:rPr>
          <w:color w:val="231F20"/>
          <w:spacing w:val="-25"/>
          <w:w w:val="105"/>
        </w:rPr>
        <w:t> </w:t>
      </w:r>
      <w:r>
        <w:rPr>
          <w:color w:val="231F20"/>
          <w:w w:val="105"/>
        </w:rPr>
        <w:t>2009:</w:t>
      </w:r>
      <w:r>
        <w:rPr>
          <w:color w:val="231F20"/>
          <w:spacing w:val="-20"/>
          <w:w w:val="105"/>
        </w:rPr>
        <w:t> </w:t>
      </w:r>
      <w:r>
        <w:rPr>
          <w:color w:val="231F20"/>
          <w:w w:val="105"/>
        </w:rPr>
        <w:t>9;</w:t>
      </w:r>
      <w:r>
        <w:rPr>
          <w:color w:val="231F20"/>
          <w:spacing w:val="-24"/>
          <w:w w:val="105"/>
        </w:rPr>
        <w:t> </w:t>
      </w:r>
      <w:r>
        <w:rPr>
          <w:color w:val="231F20"/>
          <w:spacing w:val="-6"/>
          <w:w w:val="105"/>
        </w:rPr>
        <w:t>Tamar,</w:t>
      </w:r>
      <w:r>
        <w:rPr>
          <w:color w:val="231F20"/>
          <w:spacing w:val="-25"/>
          <w:w w:val="105"/>
        </w:rPr>
        <w:t> </w:t>
      </w:r>
      <w:r>
        <w:rPr>
          <w:color w:val="231F20"/>
          <w:w w:val="105"/>
        </w:rPr>
        <w:t>2009:</w:t>
      </w:r>
      <w:r>
        <w:rPr>
          <w:color w:val="231F20"/>
          <w:spacing w:val="-20"/>
          <w:w w:val="105"/>
        </w:rPr>
        <w:t> </w:t>
      </w:r>
      <w:r>
        <w:rPr>
          <w:color w:val="231F20"/>
          <w:w w:val="105"/>
        </w:rPr>
        <w:t>592;</w:t>
      </w:r>
      <w:r>
        <w:rPr>
          <w:color w:val="231F20"/>
          <w:spacing w:val="-20"/>
          <w:w w:val="105"/>
        </w:rPr>
        <w:t> </w:t>
      </w:r>
      <w:r>
        <w:rPr>
          <w:color w:val="231F20"/>
          <w:w w:val="105"/>
        </w:rPr>
        <w:t>Napolitano,</w:t>
      </w:r>
      <w:r>
        <w:rPr>
          <w:color w:val="231F20"/>
          <w:spacing w:val="-25"/>
          <w:w w:val="105"/>
        </w:rPr>
        <w:t> </w:t>
      </w:r>
      <w:r>
        <w:rPr>
          <w:color w:val="231F20"/>
          <w:w w:val="105"/>
        </w:rPr>
        <w:t>2010). </w:t>
      </w:r>
      <w:r>
        <w:rPr>
          <w:color w:val="231F20"/>
          <w:spacing w:val="-6"/>
          <w:w w:val="105"/>
        </w:rPr>
        <w:t>Por </w:t>
      </w:r>
      <w:r>
        <w:rPr>
          <w:color w:val="231F20"/>
          <w:w w:val="105"/>
        </w:rPr>
        <w:t>lo anterior puede decirse que el nuevo momento migratorio</w:t>
      </w:r>
      <w:r>
        <w:rPr>
          <w:color w:val="231F20"/>
          <w:spacing w:val="-34"/>
          <w:w w:val="105"/>
        </w:rPr>
        <w:t> </w:t>
      </w:r>
      <w:r>
        <w:rPr>
          <w:color w:val="231F20"/>
          <w:w w:val="105"/>
        </w:rPr>
        <w:t>respon- de</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interrelación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cambios</w:t>
      </w:r>
      <w:r>
        <w:rPr>
          <w:color w:val="231F20"/>
          <w:spacing w:val="-9"/>
          <w:w w:val="105"/>
        </w:rPr>
        <w:t> </w:t>
      </w:r>
      <w:r>
        <w:rPr>
          <w:color w:val="231F20"/>
          <w:w w:val="105"/>
        </w:rPr>
        <w:t>económicos</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política</w:t>
      </w:r>
      <w:r>
        <w:rPr>
          <w:color w:val="231F20"/>
          <w:spacing w:val="-9"/>
          <w:w w:val="105"/>
        </w:rPr>
        <w:t> </w:t>
      </w:r>
      <w:r>
        <w:rPr>
          <w:color w:val="231F20"/>
          <w:w w:val="105"/>
        </w:rPr>
        <w:t>migratoria, que</w:t>
      </w:r>
      <w:r>
        <w:rPr>
          <w:color w:val="231F20"/>
          <w:spacing w:val="-6"/>
          <w:w w:val="105"/>
        </w:rPr>
        <w:t> </w:t>
      </w:r>
      <w:r>
        <w:rPr>
          <w:color w:val="231F20"/>
          <w:w w:val="105"/>
        </w:rPr>
        <w:t>por</w:t>
      </w:r>
      <w:r>
        <w:rPr>
          <w:color w:val="231F20"/>
          <w:spacing w:val="-6"/>
          <w:w w:val="105"/>
        </w:rPr>
        <w:t> </w:t>
      </w:r>
      <w:r>
        <w:rPr>
          <w:color w:val="231F20"/>
          <w:w w:val="105"/>
        </w:rPr>
        <w:t>un</w:t>
      </w:r>
      <w:r>
        <w:rPr>
          <w:color w:val="231F20"/>
          <w:spacing w:val="-6"/>
          <w:w w:val="105"/>
        </w:rPr>
        <w:t> </w:t>
      </w:r>
      <w:r>
        <w:rPr>
          <w:color w:val="231F20"/>
          <w:w w:val="105"/>
        </w:rPr>
        <w:t>lado</w:t>
      </w:r>
      <w:r>
        <w:rPr>
          <w:color w:val="231F20"/>
          <w:spacing w:val="-6"/>
          <w:w w:val="105"/>
        </w:rPr>
        <w:t> </w:t>
      </w:r>
      <w:r>
        <w:rPr>
          <w:color w:val="231F20"/>
          <w:w w:val="105"/>
        </w:rPr>
        <w:t>promueven</w:t>
      </w:r>
      <w:r>
        <w:rPr>
          <w:color w:val="231F20"/>
          <w:spacing w:val="-6"/>
          <w:w w:val="105"/>
        </w:rPr>
        <w:t> </w:t>
      </w:r>
      <w:r>
        <w:rPr>
          <w:color w:val="231F20"/>
          <w:w w:val="105"/>
        </w:rPr>
        <w:t>sentimientos</w:t>
      </w:r>
      <w:r>
        <w:rPr>
          <w:color w:val="231F20"/>
          <w:spacing w:val="-6"/>
          <w:w w:val="105"/>
        </w:rPr>
        <w:t> </w:t>
      </w:r>
      <w:r>
        <w:rPr>
          <w:color w:val="231F20"/>
          <w:w w:val="105"/>
        </w:rPr>
        <w:t>y</w:t>
      </w:r>
      <w:r>
        <w:rPr>
          <w:color w:val="231F20"/>
          <w:spacing w:val="-6"/>
          <w:w w:val="105"/>
        </w:rPr>
        <w:t> </w:t>
      </w:r>
      <w:r>
        <w:rPr>
          <w:color w:val="231F20"/>
          <w:w w:val="105"/>
        </w:rPr>
        <w:t>actitudes</w:t>
      </w:r>
      <w:r>
        <w:rPr>
          <w:color w:val="231F20"/>
          <w:spacing w:val="-6"/>
          <w:w w:val="105"/>
        </w:rPr>
        <w:t> </w:t>
      </w:r>
      <w:r>
        <w:rPr>
          <w:color w:val="231F20"/>
          <w:w w:val="105"/>
        </w:rPr>
        <w:t>xenófobas</w:t>
      </w:r>
      <w:r>
        <w:rPr>
          <w:color w:val="231F20"/>
          <w:spacing w:val="-6"/>
          <w:w w:val="105"/>
        </w:rPr>
        <w:t> </w:t>
      </w:r>
      <w:r>
        <w:rPr>
          <w:color w:val="231F20"/>
          <w:w w:val="105"/>
        </w:rPr>
        <w:t>que</w:t>
      </w:r>
      <w:r>
        <w:rPr>
          <w:color w:val="231F20"/>
          <w:spacing w:val="-6"/>
          <w:w w:val="105"/>
        </w:rPr>
        <w:t> </w:t>
      </w:r>
      <w:r>
        <w:rPr>
          <w:color w:val="231F20"/>
          <w:w w:val="105"/>
        </w:rPr>
        <w:t>cri- minalizan</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17"/>
          <w:w w:val="105"/>
        </w:rPr>
        <w:t> </w:t>
      </w:r>
      <w:r>
        <w:rPr>
          <w:color w:val="231F20"/>
          <w:w w:val="105"/>
        </w:rPr>
        <w:t>e</w:t>
      </w:r>
      <w:r>
        <w:rPr>
          <w:color w:val="231F20"/>
          <w:spacing w:val="-17"/>
          <w:w w:val="105"/>
        </w:rPr>
        <w:t> </w:t>
      </w:r>
      <w:r>
        <w:rPr>
          <w:color w:val="231F20"/>
          <w:w w:val="105"/>
        </w:rPr>
        <w:t>incrementan</w:t>
      </w:r>
      <w:r>
        <w:rPr>
          <w:color w:val="231F20"/>
          <w:spacing w:val="-17"/>
          <w:w w:val="105"/>
        </w:rPr>
        <w:t> </w:t>
      </w:r>
      <w:r>
        <w:rPr>
          <w:color w:val="231F20"/>
          <w:w w:val="105"/>
        </w:rPr>
        <w:t>los</w:t>
      </w:r>
      <w:r>
        <w:rPr>
          <w:color w:val="231F20"/>
          <w:spacing w:val="-17"/>
          <w:w w:val="105"/>
        </w:rPr>
        <w:t> </w:t>
      </w:r>
      <w:r>
        <w:rPr>
          <w:color w:val="231F20"/>
          <w:w w:val="105"/>
        </w:rPr>
        <w:t>costos</w:t>
      </w:r>
      <w:r>
        <w:rPr>
          <w:color w:val="231F20"/>
          <w:spacing w:val="-17"/>
          <w:w w:val="105"/>
        </w:rPr>
        <w:t> </w:t>
      </w:r>
      <w:r>
        <w:rPr>
          <w:color w:val="231F20"/>
          <w:w w:val="105"/>
        </w:rPr>
        <w:t>y</w:t>
      </w:r>
      <w:r>
        <w:rPr>
          <w:color w:val="231F20"/>
          <w:spacing w:val="-17"/>
          <w:w w:val="105"/>
        </w:rPr>
        <w:t> </w:t>
      </w:r>
      <w:r>
        <w:rPr>
          <w:color w:val="231F20"/>
          <w:w w:val="105"/>
        </w:rPr>
        <w:t>riesgos</w:t>
      </w:r>
      <w:r>
        <w:rPr>
          <w:color w:val="231F20"/>
          <w:spacing w:val="-17"/>
          <w:w w:val="105"/>
        </w:rPr>
        <w:t> </w:t>
      </w:r>
      <w:r>
        <w:rPr>
          <w:color w:val="231F20"/>
          <w:w w:val="105"/>
        </w:rPr>
        <w:t>asociados</w:t>
      </w:r>
      <w:r>
        <w:rPr>
          <w:color w:val="231F20"/>
          <w:spacing w:val="-17"/>
          <w:w w:val="105"/>
        </w:rPr>
        <w:t> </w:t>
      </w:r>
      <w:r>
        <w:rPr>
          <w:color w:val="231F20"/>
          <w:w w:val="105"/>
        </w:rPr>
        <w:t>con los cruces subrepticios </w:t>
      </w:r>
      <w:r>
        <w:rPr>
          <w:color w:val="231F20"/>
          <w:spacing w:val="-4"/>
          <w:w w:val="105"/>
        </w:rPr>
        <w:t>y, </w:t>
      </w:r>
      <w:r>
        <w:rPr>
          <w:color w:val="231F20"/>
          <w:w w:val="105"/>
        </w:rPr>
        <w:t>por el otro constituyen medidas de</w:t>
      </w:r>
      <w:r>
        <w:rPr>
          <w:color w:val="231F20"/>
          <w:spacing w:val="-32"/>
          <w:w w:val="105"/>
        </w:rPr>
        <w:t> </w:t>
      </w:r>
      <w:r>
        <w:rPr>
          <w:color w:val="231F20"/>
          <w:w w:val="105"/>
        </w:rPr>
        <w:t>protección implementadas por el Estado americano para proteger a los trabajado- res</w:t>
      </w:r>
      <w:r>
        <w:rPr>
          <w:color w:val="231F20"/>
          <w:spacing w:val="-24"/>
          <w:w w:val="105"/>
        </w:rPr>
        <w:t> </w:t>
      </w:r>
      <w:r>
        <w:rPr>
          <w:color w:val="231F20"/>
          <w:w w:val="105"/>
        </w:rPr>
        <w:t>nacionales</w:t>
      </w:r>
      <w:r>
        <w:rPr>
          <w:color w:val="231F20"/>
          <w:spacing w:val="-24"/>
          <w:w w:val="105"/>
        </w:rPr>
        <w:t> </w:t>
      </w:r>
      <w:r>
        <w:rPr>
          <w:color w:val="231F20"/>
          <w:w w:val="105"/>
        </w:rPr>
        <w:t>en</w:t>
      </w:r>
      <w:r>
        <w:rPr>
          <w:color w:val="231F20"/>
          <w:spacing w:val="-24"/>
          <w:w w:val="105"/>
        </w:rPr>
        <w:t> </w:t>
      </w:r>
      <w:r>
        <w:rPr>
          <w:color w:val="231F20"/>
          <w:w w:val="105"/>
        </w:rPr>
        <w:t>tiempos</w:t>
      </w:r>
      <w:r>
        <w:rPr>
          <w:color w:val="231F20"/>
          <w:spacing w:val="-24"/>
          <w:w w:val="105"/>
        </w:rPr>
        <w:t> </w:t>
      </w:r>
      <w:r>
        <w:rPr>
          <w:color w:val="231F20"/>
          <w:w w:val="105"/>
        </w:rPr>
        <w:t>de</w:t>
      </w:r>
      <w:r>
        <w:rPr>
          <w:color w:val="231F20"/>
          <w:spacing w:val="-24"/>
          <w:w w:val="105"/>
        </w:rPr>
        <w:t> </w:t>
      </w:r>
      <w:r>
        <w:rPr>
          <w:color w:val="231F20"/>
          <w:w w:val="105"/>
        </w:rPr>
        <w:t>crisis.</w:t>
      </w:r>
    </w:p>
    <w:p>
      <w:pPr>
        <w:pStyle w:val="BodyText"/>
        <w:rPr>
          <w:sz w:val="20"/>
        </w:rPr>
      </w:pPr>
    </w:p>
    <w:p>
      <w:pPr>
        <w:pStyle w:val="BodyText"/>
        <w:spacing w:before="6"/>
        <w:rPr>
          <w:sz w:val="19"/>
        </w:rPr>
      </w:pPr>
    </w:p>
    <w:p>
      <w:pPr>
        <w:pStyle w:val="Heading3"/>
        <w:rPr>
          <w:rFonts w:ascii="Tahoma"/>
        </w:rPr>
      </w:pPr>
      <w:r>
        <w:rPr>
          <w:rFonts w:ascii="Tahoma"/>
          <w:color w:val="231F20"/>
          <w:w w:val="95"/>
        </w:rPr>
        <w:t>El flujo de migrantes mexiquenses devueltos de Estados Unidos:</w:t>
      </w:r>
    </w:p>
    <w:p>
      <w:pPr>
        <w:spacing w:before="28"/>
        <w:ind w:left="1837" w:right="0" w:firstLine="0"/>
        <w:jc w:val="both"/>
        <w:rPr>
          <w:rFonts w:ascii="Arial" w:hAnsi="Arial"/>
          <w:b/>
          <w:i/>
          <w:sz w:val="22"/>
        </w:rPr>
      </w:pPr>
      <w:r>
        <w:rPr>
          <w:rFonts w:ascii="Arial" w:hAnsi="Arial"/>
          <w:b/>
          <w:i/>
          <w:color w:val="231F20"/>
          <w:sz w:val="22"/>
        </w:rPr>
        <w:t>algunas características sobre su perfil, 2007-2012</w:t>
      </w:r>
    </w:p>
    <w:p>
      <w:pPr>
        <w:pStyle w:val="BodyText"/>
        <w:rPr>
          <w:rFonts w:ascii="Arial"/>
          <w:b/>
          <w:i/>
          <w:sz w:val="22"/>
        </w:rPr>
      </w:pPr>
    </w:p>
    <w:p>
      <w:pPr>
        <w:pStyle w:val="BodyText"/>
        <w:spacing w:line="261" w:lineRule="auto" w:before="163"/>
        <w:ind w:left="1837" w:right="1715"/>
        <w:jc w:val="both"/>
      </w:pPr>
      <w:r>
        <w:rPr>
          <w:color w:val="231F20"/>
          <w:w w:val="105"/>
        </w:rPr>
        <w:t>De acuerdo con los resultados de la </w:t>
      </w:r>
      <w:r>
        <w:rPr>
          <w:color w:val="231F20"/>
          <w:w w:val="105"/>
          <w:sz w:val="17"/>
        </w:rPr>
        <w:t>EMIF</w:t>
      </w:r>
      <w:r>
        <w:rPr>
          <w:color w:val="231F20"/>
          <w:w w:val="105"/>
        </w:rPr>
        <w:t>-Norte, el flujo de migrantes mexicanos</w:t>
      </w:r>
      <w:r>
        <w:rPr>
          <w:color w:val="231F20"/>
          <w:spacing w:val="-17"/>
          <w:w w:val="105"/>
        </w:rPr>
        <w:t> </w:t>
      </w:r>
      <w:r>
        <w:rPr>
          <w:color w:val="231F20"/>
          <w:w w:val="105"/>
        </w:rPr>
        <w:t>devueltos</w:t>
      </w:r>
      <w:r>
        <w:rPr>
          <w:color w:val="231F20"/>
          <w:spacing w:val="-17"/>
          <w:w w:val="105"/>
        </w:rPr>
        <w:t> </w:t>
      </w:r>
      <w:r>
        <w:rPr>
          <w:color w:val="231F20"/>
          <w:w w:val="105"/>
        </w:rPr>
        <w:t>por</w:t>
      </w:r>
      <w:r>
        <w:rPr>
          <w:color w:val="231F20"/>
          <w:spacing w:val="-17"/>
          <w:w w:val="105"/>
        </w:rPr>
        <w:t> </w:t>
      </w:r>
      <w:r>
        <w:rPr>
          <w:color w:val="231F20"/>
          <w:w w:val="105"/>
        </w:rPr>
        <w:t>las</w:t>
      </w:r>
      <w:r>
        <w:rPr>
          <w:color w:val="231F20"/>
          <w:spacing w:val="-17"/>
          <w:w w:val="105"/>
        </w:rPr>
        <w:t> </w:t>
      </w:r>
      <w:r>
        <w:rPr>
          <w:color w:val="231F20"/>
          <w:w w:val="105"/>
        </w:rPr>
        <w:t>autoridades</w:t>
      </w:r>
      <w:r>
        <w:rPr>
          <w:color w:val="231F20"/>
          <w:spacing w:val="-17"/>
          <w:w w:val="105"/>
        </w:rPr>
        <w:t> </w:t>
      </w:r>
      <w:r>
        <w:rPr>
          <w:color w:val="231F20"/>
          <w:w w:val="105"/>
        </w:rPr>
        <w:t>migratorias</w:t>
      </w:r>
      <w:r>
        <w:rPr>
          <w:color w:val="231F20"/>
          <w:spacing w:val="-17"/>
          <w:w w:val="105"/>
        </w:rPr>
        <w:t> </w:t>
      </w:r>
      <w:r>
        <w:rPr>
          <w:color w:val="231F20"/>
          <w:w w:val="105"/>
        </w:rPr>
        <w:t>de</w:t>
      </w:r>
      <w:r>
        <w:rPr>
          <w:color w:val="231F20"/>
          <w:spacing w:val="-17"/>
          <w:w w:val="105"/>
        </w:rPr>
        <w:t> </w:t>
      </w:r>
      <w:r>
        <w:rPr>
          <w:color w:val="231F20"/>
          <w:w w:val="105"/>
        </w:rPr>
        <w:t>Estados</w:t>
      </w:r>
      <w:r>
        <w:rPr>
          <w:color w:val="231F20"/>
          <w:spacing w:val="-17"/>
          <w:w w:val="105"/>
        </w:rPr>
        <w:t> </w:t>
      </w:r>
      <w:r>
        <w:rPr>
          <w:color w:val="231F20"/>
          <w:w w:val="105"/>
        </w:rPr>
        <w:t>Unidos pasó</w:t>
      </w:r>
      <w:r>
        <w:rPr>
          <w:color w:val="231F20"/>
          <w:spacing w:val="-18"/>
          <w:w w:val="105"/>
        </w:rPr>
        <w:t> </w:t>
      </w:r>
      <w:r>
        <w:rPr>
          <w:color w:val="231F20"/>
          <w:w w:val="105"/>
        </w:rPr>
        <w:t>de</w:t>
      </w:r>
      <w:r>
        <w:rPr>
          <w:color w:val="231F20"/>
          <w:spacing w:val="-18"/>
          <w:w w:val="105"/>
        </w:rPr>
        <w:t> </w:t>
      </w:r>
      <w:r>
        <w:rPr>
          <w:color w:val="231F20"/>
          <w:w w:val="105"/>
        </w:rPr>
        <w:t>573,658</w:t>
      </w:r>
      <w:r>
        <w:rPr>
          <w:color w:val="231F20"/>
          <w:spacing w:val="-18"/>
          <w:w w:val="105"/>
        </w:rPr>
        <w:t> </w:t>
      </w:r>
      <w:r>
        <w:rPr>
          <w:color w:val="231F20"/>
          <w:w w:val="105"/>
        </w:rPr>
        <w:t>eventos</w:t>
      </w:r>
      <w:r>
        <w:rPr>
          <w:color w:val="231F20"/>
          <w:spacing w:val="-18"/>
          <w:w w:val="105"/>
        </w:rPr>
        <w:t> </w:t>
      </w:r>
      <w:r>
        <w:rPr>
          <w:color w:val="231F20"/>
          <w:w w:val="105"/>
        </w:rPr>
        <w:t>en</w:t>
      </w:r>
      <w:r>
        <w:rPr>
          <w:color w:val="231F20"/>
          <w:spacing w:val="-18"/>
          <w:w w:val="105"/>
        </w:rPr>
        <w:t> </w:t>
      </w:r>
      <w:r>
        <w:rPr>
          <w:color w:val="231F20"/>
          <w:w w:val="105"/>
        </w:rPr>
        <w:t>2007</w:t>
      </w:r>
      <w:r>
        <w:rPr>
          <w:color w:val="231F20"/>
          <w:spacing w:val="-18"/>
          <w:w w:val="105"/>
        </w:rPr>
        <w:t> </w:t>
      </w:r>
      <w:r>
        <w:rPr>
          <w:color w:val="231F20"/>
          <w:w w:val="105"/>
        </w:rPr>
        <w:t>a</w:t>
      </w:r>
      <w:r>
        <w:rPr>
          <w:color w:val="231F20"/>
          <w:spacing w:val="-18"/>
          <w:w w:val="105"/>
        </w:rPr>
        <w:t> </w:t>
      </w:r>
      <w:r>
        <w:rPr>
          <w:color w:val="231F20"/>
          <w:w w:val="105"/>
        </w:rPr>
        <w:t>550,420</w:t>
      </w:r>
      <w:r>
        <w:rPr>
          <w:color w:val="231F20"/>
          <w:spacing w:val="-18"/>
          <w:w w:val="105"/>
        </w:rPr>
        <w:t> </w:t>
      </w:r>
      <w:r>
        <w:rPr>
          <w:color w:val="231F20"/>
          <w:w w:val="105"/>
        </w:rPr>
        <w:t>en</w:t>
      </w:r>
      <w:r>
        <w:rPr>
          <w:color w:val="231F20"/>
          <w:spacing w:val="-18"/>
          <w:w w:val="105"/>
        </w:rPr>
        <w:t> </w:t>
      </w:r>
      <w:r>
        <w:rPr>
          <w:color w:val="231F20"/>
          <w:w w:val="105"/>
        </w:rPr>
        <w:t>2009</w:t>
      </w:r>
      <w:r>
        <w:rPr>
          <w:color w:val="231F20"/>
          <w:spacing w:val="-18"/>
          <w:w w:val="105"/>
        </w:rPr>
        <w:t> </w:t>
      </w:r>
      <w:r>
        <w:rPr>
          <w:color w:val="231F20"/>
          <w:w w:val="105"/>
        </w:rPr>
        <w:t>y</w:t>
      </w:r>
      <w:r>
        <w:rPr>
          <w:color w:val="231F20"/>
          <w:spacing w:val="-18"/>
          <w:w w:val="105"/>
        </w:rPr>
        <w:t> </w:t>
      </w:r>
      <w:r>
        <w:rPr>
          <w:color w:val="231F20"/>
          <w:w w:val="105"/>
        </w:rPr>
        <w:t>351,994</w:t>
      </w:r>
      <w:r>
        <w:rPr>
          <w:color w:val="231F20"/>
          <w:spacing w:val="-18"/>
          <w:w w:val="105"/>
        </w:rPr>
        <w:t> </w:t>
      </w:r>
      <w:r>
        <w:rPr>
          <w:color w:val="231F20"/>
          <w:w w:val="105"/>
        </w:rPr>
        <w:t>en</w:t>
      </w:r>
      <w:r>
        <w:rPr>
          <w:color w:val="231F20"/>
          <w:spacing w:val="-18"/>
          <w:w w:val="105"/>
        </w:rPr>
        <w:t> </w:t>
      </w:r>
      <w:r>
        <w:rPr>
          <w:color w:val="231F20"/>
          <w:w w:val="105"/>
        </w:rPr>
        <w:t>2012. En</w:t>
      </w:r>
      <w:r>
        <w:rPr>
          <w:color w:val="231F20"/>
          <w:spacing w:val="-24"/>
          <w:w w:val="105"/>
        </w:rPr>
        <w:t> </w:t>
      </w:r>
      <w:r>
        <w:rPr>
          <w:color w:val="231F20"/>
          <w:w w:val="105"/>
        </w:rPr>
        <w:t>un</w:t>
      </w:r>
      <w:r>
        <w:rPr>
          <w:color w:val="231F20"/>
          <w:spacing w:val="-24"/>
          <w:w w:val="105"/>
        </w:rPr>
        <w:t> </w:t>
      </w:r>
      <w:r>
        <w:rPr>
          <w:color w:val="231F20"/>
          <w:w w:val="105"/>
        </w:rPr>
        <w:t>primer</w:t>
      </w:r>
      <w:r>
        <w:rPr>
          <w:color w:val="231F20"/>
          <w:spacing w:val="-24"/>
          <w:w w:val="105"/>
        </w:rPr>
        <w:t> </w:t>
      </w:r>
      <w:r>
        <w:rPr>
          <w:color w:val="231F20"/>
          <w:w w:val="105"/>
        </w:rPr>
        <w:t>esbozo,</w:t>
      </w:r>
      <w:r>
        <w:rPr>
          <w:color w:val="231F20"/>
          <w:spacing w:val="-29"/>
          <w:w w:val="105"/>
        </w:rPr>
        <w:t> </w:t>
      </w:r>
      <w:r>
        <w:rPr>
          <w:color w:val="231F20"/>
          <w:w w:val="105"/>
        </w:rPr>
        <w:t>estas</w:t>
      </w:r>
      <w:r>
        <w:rPr>
          <w:color w:val="231F20"/>
          <w:spacing w:val="-24"/>
          <w:w w:val="105"/>
        </w:rPr>
        <w:t> </w:t>
      </w:r>
      <w:r>
        <w:rPr>
          <w:color w:val="231F20"/>
          <w:w w:val="105"/>
        </w:rPr>
        <w:t>cifras</w:t>
      </w:r>
      <w:r>
        <w:rPr>
          <w:color w:val="231F20"/>
          <w:spacing w:val="-24"/>
          <w:w w:val="105"/>
        </w:rPr>
        <w:t> </w:t>
      </w:r>
      <w:r>
        <w:rPr>
          <w:color w:val="231F20"/>
          <w:w w:val="105"/>
        </w:rPr>
        <w:t>parecen</w:t>
      </w:r>
      <w:r>
        <w:rPr>
          <w:color w:val="231F20"/>
          <w:spacing w:val="-24"/>
          <w:w w:val="105"/>
        </w:rPr>
        <w:t> </w:t>
      </w:r>
      <w:r>
        <w:rPr>
          <w:color w:val="231F20"/>
          <w:w w:val="105"/>
        </w:rPr>
        <w:t>confirmar</w:t>
      </w:r>
      <w:r>
        <w:rPr>
          <w:color w:val="231F20"/>
          <w:spacing w:val="-24"/>
          <w:w w:val="105"/>
        </w:rPr>
        <w:t> </w:t>
      </w:r>
      <w:r>
        <w:rPr>
          <w:color w:val="231F20"/>
          <w:w w:val="105"/>
        </w:rPr>
        <w:t>el</w:t>
      </w:r>
      <w:r>
        <w:rPr>
          <w:color w:val="231F20"/>
          <w:spacing w:val="-24"/>
          <w:w w:val="105"/>
        </w:rPr>
        <w:t> </w:t>
      </w:r>
      <w:r>
        <w:rPr>
          <w:color w:val="231F20"/>
          <w:w w:val="105"/>
        </w:rPr>
        <w:t>argumento</w:t>
      </w:r>
      <w:r>
        <w:rPr>
          <w:color w:val="231F20"/>
          <w:spacing w:val="-24"/>
          <w:w w:val="105"/>
        </w:rPr>
        <w:t> </w:t>
      </w:r>
      <w:r>
        <w:rPr>
          <w:color w:val="231F20"/>
          <w:w w:val="105"/>
        </w:rPr>
        <w:t>de</w:t>
      </w:r>
      <w:r>
        <w:rPr>
          <w:color w:val="231F20"/>
          <w:spacing w:val="-24"/>
          <w:w w:val="105"/>
        </w:rPr>
        <w:t> </w:t>
      </w:r>
      <w:r>
        <w:rPr>
          <w:color w:val="231F20"/>
          <w:w w:val="105"/>
        </w:rPr>
        <w:t>que la menor cantidad de detenciones está relacionada con la desacelera- ción</w:t>
      </w:r>
      <w:r>
        <w:rPr>
          <w:color w:val="231F20"/>
          <w:spacing w:val="-18"/>
          <w:w w:val="105"/>
        </w:rPr>
        <w:t> </w:t>
      </w:r>
      <w:r>
        <w:rPr>
          <w:color w:val="231F20"/>
          <w:w w:val="105"/>
        </w:rPr>
        <w:t>del</w:t>
      </w:r>
      <w:r>
        <w:rPr>
          <w:color w:val="231F20"/>
          <w:spacing w:val="-18"/>
          <w:w w:val="105"/>
        </w:rPr>
        <w:t> </w:t>
      </w:r>
      <w:r>
        <w:rPr>
          <w:color w:val="231F20"/>
          <w:w w:val="105"/>
        </w:rPr>
        <w:t>flujo</w:t>
      </w:r>
      <w:r>
        <w:rPr>
          <w:color w:val="231F20"/>
          <w:spacing w:val="-18"/>
          <w:w w:val="105"/>
        </w:rPr>
        <w:t> </w:t>
      </w:r>
      <w:r>
        <w:rPr>
          <w:color w:val="231F20"/>
          <w:w w:val="105"/>
        </w:rPr>
        <w:t>migratorio,</w:t>
      </w:r>
      <w:r>
        <w:rPr>
          <w:color w:val="231F20"/>
          <w:spacing w:val="-24"/>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medida</w:t>
      </w:r>
      <w:r>
        <w:rPr>
          <w:color w:val="231F20"/>
          <w:spacing w:val="-18"/>
          <w:w w:val="105"/>
        </w:rPr>
        <w:t> </w:t>
      </w:r>
      <w:r>
        <w:rPr>
          <w:color w:val="231F20"/>
          <w:w w:val="105"/>
        </w:rPr>
        <w:t>que</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últimos</w:t>
      </w:r>
      <w:r>
        <w:rPr>
          <w:color w:val="231F20"/>
          <w:spacing w:val="-18"/>
          <w:w w:val="105"/>
        </w:rPr>
        <w:t> </w:t>
      </w:r>
      <w:r>
        <w:rPr>
          <w:color w:val="231F20"/>
          <w:w w:val="105"/>
        </w:rPr>
        <w:t>años</w:t>
      </w:r>
      <w:r>
        <w:rPr>
          <w:color w:val="231F20"/>
          <w:spacing w:val="-18"/>
          <w:w w:val="105"/>
        </w:rPr>
        <w:t> </w:t>
      </w:r>
      <w:r>
        <w:rPr>
          <w:color w:val="231F20"/>
          <w:w w:val="105"/>
        </w:rPr>
        <w:t>son</w:t>
      </w:r>
      <w:r>
        <w:rPr>
          <w:color w:val="231F20"/>
          <w:spacing w:val="-18"/>
          <w:w w:val="105"/>
        </w:rPr>
        <w:t> </w:t>
      </w:r>
      <w:r>
        <w:rPr>
          <w:color w:val="231F20"/>
          <w:w w:val="105"/>
        </w:rPr>
        <w:t>menos los</w:t>
      </w:r>
      <w:r>
        <w:rPr>
          <w:color w:val="231F20"/>
          <w:spacing w:val="-17"/>
          <w:w w:val="105"/>
        </w:rPr>
        <w:t> </w:t>
      </w:r>
      <w:r>
        <w:rPr>
          <w:color w:val="231F20"/>
          <w:w w:val="105"/>
        </w:rPr>
        <w:t>mexicanos</w:t>
      </w:r>
      <w:r>
        <w:rPr>
          <w:color w:val="231F20"/>
          <w:spacing w:val="-17"/>
          <w:w w:val="105"/>
        </w:rPr>
        <w:t> </w:t>
      </w:r>
      <w:r>
        <w:rPr>
          <w:color w:val="231F20"/>
          <w:w w:val="105"/>
        </w:rPr>
        <w:t>que</w:t>
      </w:r>
      <w:r>
        <w:rPr>
          <w:color w:val="231F20"/>
          <w:spacing w:val="-17"/>
          <w:w w:val="105"/>
        </w:rPr>
        <w:t> </w:t>
      </w:r>
      <w:r>
        <w:rPr>
          <w:color w:val="231F20"/>
          <w:w w:val="105"/>
        </w:rPr>
        <w:t>están</w:t>
      </w:r>
      <w:r>
        <w:rPr>
          <w:color w:val="231F20"/>
          <w:spacing w:val="-17"/>
          <w:w w:val="105"/>
        </w:rPr>
        <w:t> </w:t>
      </w:r>
      <w:r>
        <w:rPr>
          <w:color w:val="231F20"/>
          <w:w w:val="105"/>
        </w:rPr>
        <w:t>llegando</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frontera</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intención</w:t>
      </w:r>
      <w:r>
        <w:rPr>
          <w:color w:val="231F20"/>
          <w:spacing w:val="-17"/>
          <w:w w:val="105"/>
        </w:rPr>
        <w:t> </w:t>
      </w:r>
      <w:r>
        <w:rPr>
          <w:color w:val="231F20"/>
          <w:w w:val="105"/>
        </w:rPr>
        <w:t>de</w:t>
      </w:r>
      <w:r>
        <w:rPr>
          <w:color w:val="231F20"/>
          <w:spacing w:val="-17"/>
          <w:w w:val="105"/>
        </w:rPr>
        <w:t> </w:t>
      </w:r>
      <w:r>
        <w:rPr>
          <w:color w:val="231F20"/>
          <w:w w:val="105"/>
        </w:rPr>
        <w:t>cruzar al</w:t>
      </w:r>
      <w:r>
        <w:rPr>
          <w:color w:val="231F20"/>
          <w:spacing w:val="-30"/>
          <w:w w:val="105"/>
        </w:rPr>
        <w:t> </w:t>
      </w:r>
      <w:r>
        <w:rPr>
          <w:color w:val="231F20"/>
          <w:w w:val="105"/>
        </w:rPr>
        <w:t>vecino</w:t>
      </w:r>
      <w:r>
        <w:rPr>
          <w:color w:val="231F20"/>
          <w:spacing w:val="-30"/>
          <w:w w:val="105"/>
        </w:rPr>
        <w:t> </w:t>
      </w:r>
      <w:r>
        <w:rPr>
          <w:color w:val="231F20"/>
          <w:w w:val="105"/>
        </w:rPr>
        <w:t>país</w:t>
      </w:r>
      <w:r>
        <w:rPr>
          <w:color w:val="231F20"/>
          <w:spacing w:val="-30"/>
          <w:w w:val="105"/>
        </w:rPr>
        <w:t> </w:t>
      </w:r>
      <w:r>
        <w:rPr>
          <w:color w:val="231F20"/>
          <w:w w:val="105"/>
        </w:rPr>
        <w:t>(véase</w:t>
      </w:r>
      <w:r>
        <w:rPr>
          <w:color w:val="231F20"/>
          <w:spacing w:val="-30"/>
          <w:w w:val="105"/>
        </w:rPr>
        <w:t> </w:t>
      </w:r>
      <w:r>
        <w:rPr>
          <w:color w:val="231F20"/>
          <w:w w:val="105"/>
        </w:rPr>
        <w:t>gráfica</w:t>
      </w:r>
      <w:r>
        <w:rPr>
          <w:color w:val="231F20"/>
          <w:spacing w:val="-30"/>
          <w:w w:val="105"/>
        </w:rPr>
        <w:t> </w:t>
      </w:r>
      <w:r>
        <w:rPr>
          <w:color w:val="231F20"/>
          <w:w w:val="105"/>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15976;mso-wrap-distance-left:0;mso-wrap-distance-right:0" from="91.866096pt,9.440516pt" to="205.252096pt,9.440516pt" stroked="true" strokeweight=".25pt" strokecolor="#231f20">
            <w10:wrap type="topAndBottom"/>
          </v:line>
        </w:pict>
      </w:r>
    </w:p>
    <w:p>
      <w:pPr>
        <w:spacing w:line="192" w:lineRule="exact" w:before="7"/>
        <w:ind w:left="1837" w:right="1721" w:hanging="1"/>
        <w:jc w:val="both"/>
        <w:rPr>
          <w:rFonts w:ascii="Calibri" w:hAnsi="Calibri"/>
          <w:sz w:val="16"/>
        </w:rPr>
      </w:pPr>
      <w:r>
        <w:rPr>
          <w:rFonts w:ascii="Calibri" w:hAnsi="Calibri"/>
          <w:color w:val="414042"/>
          <w:w w:val="105"/>
          <w:position w:val="5"/>
          <w:sz w:val="9"/>
        </w:rPr>
        <w:t>5</w:t>
      </w:r>
      <w:r>
        <w:rPr>
          <w:rFonts w:ascii="Calibri" w:hAnsi="Calibri"/>
          <w:color w:val="414042"/>
          <w:spacing w:val="6"/>
          <w:w w:val="105"/>
          <w:position w:val="5"/>
          <w:sz w:val="9"/>
        </w:rPr>
        <w:t> </w:t>
      </w:r>
      <w:r>
        <w:rPr>
          <w:rFonts w:ascii="Calibri" w:hAnsi="Calibri"/>
          <w:color w:val="414042"/>
          <w:w w:val="105"/>
          <w:sz w:val="16"/>
        </w:rPr>
        <w:t>El</w:t>
      </w:r>
      <w:r>
        <w:rPr>
          <w:rFonts w:ascii="Calibri" w:hAnsi="Calibri"/>
          <w:color w:val="414042"/>
          <w:spacing w:val="-11"/>
          <w:w w:val="105"/>
          <w:sz w:val="16"/>
        </w:rPr>
        <w:t> </w:t>
      </w:r>
      <w:r>
        <w:rPr>
          <w:rFonts w:ascii="Calibri" w:hAnsi="Calibri"/>
          <w:color w:val="414042"/>
          <w:w w:val="105"/>
          <w:sz w:val="16"/>
        </w:rPr>
        <w:t>“efecto</w:t>
      </w:r>
      <w:r>
        <w:rPr>
          <w:rFonts w:ascii="Calibri" w:hAnsi="Calibri"/>
          <w:color w:val="414042"/>
          <w:spacing w:val="-11"/>
          <w:w w:val="105"/>
          <w:sz w:val="16"/>
        </w:rPr>
        <w:t> </w:t>
      </w:r>
      <w:r>
        <w:rPr>
          <w:rFonts w:ascii="Calibri" w:hAnsi="Calibri"/>
          <w:color w:val="414042"/>
          <w:w w:val="105"/>
          <w:sz w:val="16"/>
        </w:rPr>
        <w:t>Arizona”</w:t>
      </w:r>
      <w:r>
        <w:rPr>
          <w:rFonts w:ascii="Calibri" w:hAnsi="Calibri"/>
          <w:color w:val="414042"/>
          <w:spacing w:val="-11"/>
          <w:w w:val="105"/>
          <w:sz w:val="16"/>
        </w:rPr>
        <w:t> </w:t>
      </w:r>
      <w:r>
        <w:rPr>
          <w:rFonts w:ascii="Calibri" w:hAnsi="Calibri"/>
          <w:color w:val="414042"/>
          <w:w w:val="105"/>
          <w:sz w:val="16"/>
        </w:rPr>
        <w:t>comprende</w:t>
      </w:r>
      <w:r>
        <w:rPr>
          <w:rFonts w:ascii="Calibri" w:hAnsi="Calibri"/>
          <w:color w:val="414042"/>
          <w:spacing w:val="-11"/>
          <w:w w:val="105"/>
          <w:sz w:val="16"/>
        </w:rPr>
        <w:t> </w:t>
      </w:r>
      <w:r>
        <w:rPr>
          <w:rFonts w:ascii="Calibri" w:hAnsi="Calibri"/>
          <w:color w:val="414042"/>
          <w:w w:val="105"/>
          <w:sz w:val="16"/>
        </w:rPr>
        <w:t>una</w:t>
      </w:r>
      <w:r>
        <w:rPr>
          <w:rFonts w:ascii="Calibri" w:hAnsi="Calibri"/>
          <w:color w:val="414042"/>
          <w:spacing w:val="-11"/>
          <w:w w:val="105"/>
          <w:sz w:val="16"/>
        </w:rPr>
        <w:t> </w:t>
      </w:r>
      <w:r>
        <w:rPr>
          <w:rFonts w:ascii="Calibri" w:hAnsi="Calibri"/>
          <w:color w:val="414042"/>
          <w:w w:val="105"/>
          <w:sz w:val="16"/>
        </w:rPr>
        <w:t>oleada</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leyes</w:t>
      </w:r>
      <w:r>
        <w:rPr>
          <w:rFonts w:ascii="Calibri" w:hAnsi="Calibri"/>
          <w:color w:val="414042"/>
          <w:spacing w:val="-11"/>
          <w:w w:val="105"/>
          <w:sz w:val="16"/>
        </w:rPr>
        <w:t> </w:t>
      </w:r>
      <w:r>
        <w:rPr>
          <w:rFonts w:ascii="Calibri" w:hAnsi="Calibri"/>
          <w:color w:val="414042"/>
          <w:w w:val="105"/>
          <w:sz w:val="16"/>
        </w:rPr>
        <w:t>antiinmigrantes</w:t>
      </w:r>
      <w:r>
        <w:rPr>
          <w:rFonts w:ascii="Calibri" w:hAnsi="Calibri"/>
          <w:color w:val="414042"/>
          <w:spacing w:val="-11"/>
          <w:w w:val="105"/>
          <w:sz w:val="16"/>
        </w:rPr>
        <w:t> </w:t>
      </w:r>
      <w:r>
        <w:rPr>
          <w:rFonts w:ascii="Calibri" w:hAnsi="Calibri"/>
          <w:color w:val="414042"/>
          <w:w w:val="105"/>
          <w:sz w:val="16"/>
        </w:rPr>
        <w:t>que</w:t>
      </w:r>
      <w:r>
        <w:rPr>
          <w:rFonts w:ascii="Calibri" w:hAnsi="Calibri"/>
          <w:color w:val="414042"/>
          <w:spacing w:val="-11"/>
          <w:w w:val="105"/>
          <w:sz w:val="16"/>
        </w:rPr>
        <w:t> </w:t>
      </w:r>
      <w:r>
        <w:rPr>
          <w:rFonts w:ascii="Calibri" w:hAnsi="Calibri"/>
          <w:color w:val="414042"/>
          <w:w w:val="105"/>
          <w:sz w:val="16"/>
        </w:rPr>
        <w:t>iniciaron</w:t>
      </w:r>
      <w:r>
        <w:rPr>
          <w:rFonts w:ascii="Calibri" w:hAnsi="Calibri"/>
          <w:color w:val="414042"/>
          <w:spacing w:val="-11"/>
          <w:w w:val="105"/>
          <w:sz w:val="16"/>
        </w:rPr>
        <w:t> </w:t>
      </w:r>
      <w:r>
        <w:rPr>
          <w:rFonts w:ascii="Calibri" w:hAnsi="Calibri"/>
          <w:color w:val="414042"/>
          <w:w w:val="105"/>
          <w:sz w:val="16"/>
        </w:rPr>
        <w:t>con</w:t>
      </w:r>
      <w:r>
        <w:rPr>
          <w:rFonts w:ascii="Calibri" w:hAnsi="Calibri"/>
          <w:color w:val="414042"/>
          <w:spacing w:val="-11"/>
          <w:w w:val="105"/>
          <w:sz w:val="16"/>
        </w:rPr>
        <w:t> </w:t>
      </w:r>
      <w:r>
        <w:rPr>
          <w:rFonts w:ascii="Calibri" w:hAnsi="Calibri"/>
          <w:color w:val="414042"/>
          <w:w w:val="105"/>
          <w:sz w:val="16"/>
        </w:rPr>
        <w:t>la</w:t>
      </w:r>
      <w:r>
        <w:rPr>
          <w:rFonts w:ascii="Calibri" w:hAnsi="Calibri"/>
          <w:color w:val="414042"/>
          <w:spacing w:val="-11"/>
          <w:w w:val="105"/>
          <w:sz w:val="16"/>
        </w:rPr>
        <w:t> </w:t>
      </w:r>
      <w:r>
        <w:rPr>
          <w:rFonts w:ascii="Calibri" w:hAnsi="Calibri"/>
          <w:color w:val="414042"/>
          <w:w w:val="105"/>
          <w:sz w:val="16"/>
        </w:rPr>
        <w:t>promulgación de la llamada “Ley Arizona” y posteriormente se extendieron en por lo menos otros cinco estados en Estados</w:t>
      </w:r>
      <w:r>
        <w:rPr>
          <w:rFonts w:ascii="Calibri" w:hAnsi="Calibri"/>
          <w:color w:val="414042"/>
          <w:spacing w:val="-19"/>
          <w:w w:val="105"/>
          <w:sz w:val="16"/>
        </w:rPr>
        <w:t> </w:t>
      </w:r>
      <w:r>
        <w:rPr>
          <w:rFonts w:ascii="Calibri" w:hAnsi="Calibri"/>
          <w:color w:val="414042"/>
          <w:w w:val="105"/>
          <w:sz w:val="16"/>
        </w:rPr>
        <w:t>Unidos</w:t>
      </w:r>
      <w:r>
        <w:rPr>
          <w:rFonts w:ascii="Calibri" w:hAnsi="Calibri"/>
          <w:color w:val="414042"/>
          <w:spacing w:val="-19"/>
          <w:w w:val="105"/>
          <w:sz w:val="16"/>
        </w:rPr>
        <w:t> </w:t>
      </w:r>
      <w:r>
        <w:rPr>
          <w:rFonts w:ascii="Calibri" w:hAnsi="Calibri"/>
          <w:color w:val="414042"/>
          <w:w w:val="105"/>
          <w:sz w:val="16"/>
        </w:rPr>
        <w:t>(Alabama,</w:t>
      </w:r>
      <w:r>
        <w:rPr>
          <w:rFonts w:ascii="Calibri" w:hAnsi="Calibri"/>
          <w:color w:val="414042"/>
          <w:spacing w:val="-19"/>
          <w:w w:val="105"/>
          <w:sz w:val="16"/>
        </w:rPr>
        <w:t> </w:t>
      </w:r>
      <w:r>
        <w:rPr>
          <w:rFonts w:ascii="Calibri" w:hAnsi="Calibri"/>
          <w:color w:val="414042"/>
          <w:w w:val="105"/>
          <w:sz w:val="16"/>
        </w:rPr>
        <w:t>Georgia,</w:t>
      </w:r>
      <w:r>
        <w:rPr>
          <w:rFonts w:ascii="Calibri" w:hAnsi="Calibri"/>
          <w:color w:val="414042"/>
          <w:spacing w:val="-19"/>
          <w:w w:val="105"/>
          <w:sz w:val="16"/>
        </w:rPr>
        <w:t> </w:t>
      </w:r>
      <w:r>
        <w:rPr>
          <w:rFonts w:ascii="Calibri" w:hAnsi="Calibri"/>
          <w:color w:val="414042"/>
          <w:w w:val="105"/>
          <w:sz w:val="16"/>
        </w:rPr>
        <w:t>Indiana,</w:t>
      </w:r>
      <w:r>
        <w:rPr>
          <w:rFonts w:ascii="Calibri" w:hAnsi="Calibri"/>
          <w:color w:val="414042"/>
          <w:spacing w:val="-19"/>
          <w:w w:val="105"/>
          <w:sz w:val="16"/>
        </w:rPr>
        <w:t> </w:t>
      </w:r>
      <w:r>
        <w:rPr>
          <w:rFonts w:ascii="Calibri" w:hAnsi="Calibri"/>
          <w:color w:val="414042"/>
          <w:w w:val="105"/>
          <w:sz w:val="16"/>
        </w:rPr>
        <w:t>Carolina</w:t>
      </w:r>
      <w:r>
        <w:rPr>
          <w:rFonts w:ascii="Calibri" w:hAnsi="Calibri"/>
          <w:color w:val="414042"/>
          <w:spacing w:val="-19"/>
          <w:w w:val="105"/>
          <w:sz w:val="16"/>
        </w:rPr>
        <w:t> </w:t>
      </w:r>
      <w:r>
        <w:rPr>
          <w:rFonts w:ascii="Calibri" w:hAnsi="Calibri"/>
          <w:color w:val="414042"/>
          <w:w w:val="105"/>
          <w:sz w:val="16"/>
        </w:rPr>
        <w:t>del</w:t>
      </w:r>
      <w:r>
        <w:rPr>
          <w:rFonts w:ascii="Calibri" w:hAnsi="Calibri"/>
          <w:color w:val="414042"/>
          <w:spacing w:val="-19"/>
          <w:w w:val="105"/>
          <w:sz w:val="16"/>
        </w:rPr>
        <w:t> </w:t>
      </w:r>
      <w:r>
        <w:rPr>
          <w:rFonts w:ascii="Calibri" w:hAnsi="Calibri"/>
          <w:color w:val="414042"/>
          <w:w w:val="105"/>
          <w:sz w:val="16"/>
        </w:rPr>
        <w:t>Sur</w:t>
      </w:r>
      <w:r>
        <w:rPr>
          <w:rFonts w:ascii="Calibri" w:hAnsi="Calibri"/>
          <w:color w:val="414042"/>
          <w:spacing w:val="-20"/>
          <w:w w:val="105"/>
          <w:sz w:val="16"/>
        </w:rPr>
        <w:t> </w:t>
      </w:r>
      <w:r>
        <w:rPr>
          <w:rFonts w:ascii="Calibri" w:hAnsi="Calibri"/>
          <w:color w:val="414042"/>
          <w:w w:val="105"/>
          <w:sz w:val="16"/>
        </w:rPr>
        <w:t>y</w:t>
      </w:r>
      <w:r>
        <w:rPr>
          <w:rFonts w:ascii="Calibri" w:hAnsi="Calibri"/>
          <w:color w:val="414042"/>
          <w:spacing w:val="-20"/>
          <w:w w:val="105"/>
          <w:sz w:val="16"/>
        </w:rPr>
        <w:t> </w:t>
      </w:r>
      <w:r>
        <w:rPr>
          <w:rFonts w:ascii="Calibri" w:hAnsi="Calibri"/>
          <w:color w:val="414042"/>
          <w:w w:val="105"/>
          <w:sz w:val="16"/>
        </w:rPr>
        <w:t>Tennessee)</w:t>
      </w:r>
      <w:r>
        <w:rPr>
          <w:rFonts w:ascii="Calibri" w:hAnsi="Calibri"/>
          <w:color w:val="414042"/>
          <w:spacing w:val="-19"/>
          <w:w w:val="105"/>
          <w:sz w:val="16"/>
        </w:rPr>
        <w:t> </w:t>
      </w:r>
      <w:r>
        <w:rPr>
          <w:rFonts w:ascii="Calibri" w:hAnsi="Calibri"/>
          <w:color w:val="414042"/>
          <w:w w:val="105"/>
          <w:sz w:val="16"/>
        </w:rPr>
        <w:t>(</w:t>
      </w:r>
      <w:r>
        <w:rPr>
          <w:rFonts w:ascii="Calibri" w:hAnsi="Calibri"/>
          <w:color w:val="414042"/>
          <w:w w:val="105"/>
          <w:sz w:val="14"/>
        </w:rPr>
        <w:t>BBVA</w:t>
      </w:r>
      <w:r>
        <w:rPr>
          <w:rFonts w:ascii="Calibri" w:hAnsi="Calibri"/>
          <w:color w:val="414042"/>
          <w:w w:val="105"/>
          <w:sz w:val="16"/>
        </w:rPr>
        <w:t>,</w:t>
      </w:r>
      <w:r>
        <w:rPr>
          <w:rFonts w:ascii="Calibri" w:hAnsi="Calibri"/>
          <w:color w:val="414042"/>
          <w:spacing w:val="-19"/>
          <w:w w:val="105"/>
          <w:sz w:val="16"/>
        </w:rPr>
        <w:t> </w:t>
      </w:r>
      <w:r>
        <w:rPr>
          <w:rFonts w:ascii="Calibri" w:hAnsi="Calibri"/>
          <w:color w:val="414042"/>
          <w:w w:val="105"/>
          <w:sz w:val="16"/>
        </w:rPr>
        <w:t>2012:</w:t>
      </w:r>
      <w:r>
        <w:rPr>
          <w:rFonts w:ascii="Calibri" w:hAnsi="Calibri"/>
          <w:color w:val="414042"/>
          <w:spacing w:val="-19"/>
          <w:w w:val="105"/>
          <w:sz w:val="16"/>
        </w:rPr>
        <w:t> </w:t>
      </w:r>
      <w:r>
        <w:rPr>
          <w:rFonts w:ascii="Calibri" w:hAnsi="Calibri"/>
          <w:color w:val="414042"/>
          <w:w w:val="105"/>
          <w:sz w:val="16"/>
        </w:rPr>
        <w:t>2).</w:t>
      </w:r>
    </w:p>
    <w:p>
      <w:pPr>
        <w:spacing w:after="0" w:line="192" w:lineRule="exact"/>
        <w:jc w:val="both"/>
        <w:rPr>
          <w:rFonts w:ascii="Calibri" w:hAnsi="Calibri"/>
          <w:sz w:val="16"/>
        </w:rPr>
        <w:sectPr>
          <w:type w:val="continuous"/>
          <w:pgSz w:w="10480" w:h="14730"/>
          <w:pgMar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rPr>
      </w:pPr>
    </w:p>
    <w:p>
      <w:pPr>
        <w:spacing w:line="249" w:lineRule="auto" w:before="63"/>
        <w:ind w:left="2856" w:right="2173" w:hanging="788"/>
        <w:jc w:val="left"/>
        <w:rPr>
          <w:rFonts w:ascii="Arial" w:hAnsi="Arial"/>
          <w:sz w:val="18"/>
        </w:rPr>
      </w:pPr>
      <w:r>
        <w:rPr/>
        <w:pict>
          <v:line style="position:absolute;mso-position-horizontal-relative:page;mso-position-vertical-relative:paragraph;z-index:16240" from="15pt,-68.274239pt" to="0pt,-68.274239pt" stroked="true" strokeweight=".25pt" strokecolor="#000000">
            <w10:wrap type="none"/>
          </v:line>
        </w:pict>
      </w:r>
      <w:r>
        <w:rPr/>
        <w:pict>
          <v:line style="position:absolute;mso-position-horizontal-relative:page;mso-position-vertical-relative:paragraph;z-index:16264" from="508.890015pt,-68.274239pt" to="523.890015pt,-68.274239pt" stroked="true" strokeweight=".25pt" strokecolor="#000000">
            <w10:wrap type="none"/>
          </v:line>
        </w:pict>
      </w:r>
      <w:r>
        <w:rPr>
          <w:rFonts w:ascii="Arial" w:hAnsi="Arial"/>
          <w:color w:val="231F20"/>
          <w:w w:val="105"/>
          <w:sz w:val="18"/>
        </w:rPr>
        <w:t>Gráfica</w:t>
      </w:r>
      <w:r>
        <w:rPr>
          <w:rFonts w:ascii="Arial" w:hAnsi="Arial"/>
          <w:color w:val="231F20"/>
          <w:spacing w:val="-10"/>
          <w:w w:val="105"/>
          <w:sz w:val="18"/>
        </w:rPr>
        <w:t> </w:t>
      </w:r>
      <w:r>
        <w:rPr>
          <w:rFonts w:ascii="Arial" w:hAnsi="Arial"/>
          <w:color w:val="231F20"/>
          <w:w w:val="105"/>
          <w:sz w:val="18"/>
        </w:rPr>
        <w:t>1.</w:t>
      </w:r>
      <w:r>
        <w:rPr>
          <w:rFonts w:ascii="Arial" w:hAnsi="Arial"/>
          <w:color w:val="231F20"/>
          <w:spacing w:val="-16"/>
          <w:w w:val="105"/>
          <w:sz w:val="18"/>
        </w:rPr>
        <w:t> </w:t>
      </w:r>
      <w:r>
        <w:rPr>
          <w:rFonts w:ascii="Arial" w:hAnsi="Arial"/>
          <w:color w:val="231F20"/>
          <w:w w:val="105"/>
          <w:sz w:val="18"/>
        </w:rPr>
        <w:t>Porcentaje</w:t>
      </w:r>
      <w:r>
        <w:rPr>
          <w:rFonts w:ascii="Arial" w:hAnsi="Arial"/>
          <w:color w:val="231F20"/>
          <w:spacing w:val="-10"/>
          <w:w w:val="105"/>
          <w:sz w:val="18"/>
        </w:rPr>
        <w:t> </w:t>
      </w:r>
      <w:r>
        <w:rPr>
          <w:rFonts w:ascii="Arial" w:hAnsi="Arial"/>
          <w:color w:val="231F20"/>
          <w:w w:val="105"/>
          <w:sz w:val="18"/>
        </w:rPr>
        <w:t>de</w:t>
      </w:r>
      <w:r>
        <w:rPr>
          <w:rFonts w:ascii="Arial" w:hAnsi="Arial"/>
          <w:color w:val="231F20"/>
          <w:spacing w:val="-10"/>
          <w:w w:val="105"/>
          <w:sz w:val="18"/>
        </w:rPr>
        <w:t> </w:t>
      </w:r>
      <w:r>
        <w:rPr>
          <w:rFonts w:ascii="Arial" w:hAnsi="Arial"/>
          <w:color w:val="231F20"/>
          <w:w w:val="105"/>
          <w:sz w:val="18"/>
        </w:rPr>
        <w:t>población</w:t>
      </w:r>
      <w:r>
        <w:rPr>
          <w:rFonts w:ascii="Arial" w:hAnsi="Arial"/>
          <w:color w:val="231F20"/>
          <w:spacing w:val="-10"/>
          <w:w w:val="105"/>
          <w:sz w:val="18"/>
        </w:rPr>
        <w:t> </w:t>
      </w:r>
      <w:r>
        <w:rPr>
          <w:rFonts w:ascii="Arial" w:hAnsi="Arial"/>
          <w:color w:val="231F20"/>
          <w:w w:val="105"/>
          <w:sz w:val="18"/>
        </w:rPr>
        <w:t>devuelta</w:t>
      </w:r>
      <w:r>
        <w:rPr>
          <w:rFonts w:ascii="Arial" w:hAnsi="Arial"/>
          <w:color w:val="231F20"/>
          <w:spacing w:val="-10"/>
          <w:w w:val="105"/>
          <w:sz w:val="18"/>
        </w:rPr>
        <w:t> </w:t>
      </w:r>
      <w:r>
        <w:rPr>
          <w:rFonts w:ascii="Arial" w:hAnsi="Arial"/>
          <w:color w:val="231F20"/>
          <w:w w:val="105"/>
          <w:sz w:val="18"/>
        </w:rPr>
        <w:t>por</w:t>
      </w:r>
      <w:r>
        <w:rPr>
          <w:rFonts w:ascii="Arial" w:hAnsi="Arial"/>
          <w:color w:val="231F20"/>
          <w:spacing w:val="-10"/>
          <w:w w:val="105"/>
          <w:sz w:val="18"/>
        </w:rPr>
        <w:t> </w:t>
      </w:r>
      <w:r>
        <w:rPr>
          <w:rFonts w:ascii="Arial" w:hAnsi="Arial"/>
          <w:color w:val="231F20"/>
          <w:w w:val="105"/>
          <w:sz w:val="18"/>
        </w:rPr>
        <w:t>las</w:t>
      </w:r>
      <w:r>
        <w:rPr>
          <w:rFonts w:ascii="Arial" w:hAnsi="Arial"/>
          <w:color w:val="231F20"/>
          <w:spacing w:val="-10"/>
          <w:w w:val="105"/>
          <w:sz w:val="18"/>
        </w:rPr>
        <w:t> </w:t>
      </w:r>
      <w:r>
        <w:rPr>
          <w:rFonts w:ascii="Arial" w:hAnsi="Arial"/>
          <w:color w:val="231F20"/>
          <w:w w:val="105"/>
          <w:sz w:val="18"/>
        </w:rPr>
        <w:t>autoridades</w:t>
      </w:r>
      <w:r>
        <w:rPr>
          <w:rFonts w:ascii="Arial" w:hAnsi="Arial"/>
          <w:color w:val="231F20"/>
          <w:spacing w:val="-10"/>
          <w:w w:val="105"/>
          <w:sz w:val="18"/>
        </w:rPr>
        <w:t> </w:t>
      </w:r>
      <w:r>
        <w:rPr>
          <w:rFonts w:ascii="Arial" w:hAnsi="Arial"/>
          <w:color w:val="231F20"/>
          <w:w w:val="105"/>
          <w:sz w:val="18"/>
        </w:rPr>
        <w:t>migratorias de</w:t>
      </w:r>
      <w:r>
        <w:rPr>
          <w:rFonts w:ascii="Arial" w:hAnsi="Arial"/>
          <w:color w:val="231F20"/>
          <w:spacing w:val="-11"/>
          <w:w w:val="105"/>
          <w:sz w:val="18"/>
        </w:rPr>
        <w:t> </w:t>
      </w:r>
      <w:r>
        <w:rPr>
          <w:rFonts w:ascii="Arial" w:hAnsi="Arial"/>
          <w:color w:val="231F20"/>
          <w:w w:val="105"/>
          <w:sz w:val="18"/>
        </w:rPr>
        <w:t>Estados</w:t>
      </w:r>
      <w:r>
        <w:rPr>
          <w:rFonts w:ascii="Arial" w:hAnsi="Arial"/>
          <w:color w:val="231F20"/>
          <w:spacing w:val="-11"/>
          <w:w w:val="105"/>
          <w:sz w:val="18"/>
        </w:rPr>
        <w:t> </w:t>
      </w:r>
      <w:r>
        <w:rPr>
          <w:rFonts w:ascii="Arial" w:hAnsi="Arial"/>
          <w:color w:val="231F20"/>
          <w:w w:val="105"/>
          <w:sz w:val="18"/>
        </w:rPr>
        <w:t>Unidos</w:t>
      </w:r>
      <w:r>
        <w:rPr>
          <w:rFonts w:ascii="Arial" w:hAnsi="Arial"/>
          <w:color w:val="231F20"/>
          <w:spacing w:val="-11"/>
          <w:w w:val="105"/>
          <w:sz w:val="18"/>
        </w:rPr>
        <w:t> </w:t>
      </w:r>
      <w:r>
        <w:rPr>
          <w:rFonts w:ascii="Arial" w:hAnsi="Arial"/>
          <w:color w:val="231F20"/>
          <w:w w:val="105"/>
          <w:sz w:val="18"/>
        </w:rPr>
        <w:t>según</w:t>
      </w:r>
      <w:r>
        <w:rPr>
          <w:rFonts w:ascii="Arial" w:hAnsi="Arial"/>
          <w:color w:val="231F20"/>
          <w:spacing w:val="-11"/>
          <w:w w:val="105"/>
          <w:sz w:val="18"/>
        </w:rPr>
        <w:t> </w:t>
      </w:r>
      <w:r>
        <w:rPr>
          <w:rFonts w:ascii="Arial" w:hAnsi="Arial"/>
          <w:color w:val="231F20"/>
          <w:w w:val="105"/>
          <w:sz w:val="18"/>
        </w:rPr>
        <w:t>entidad</w:t>
      </w:r>
      <w:r>
        <w:rPr>
          <w:rFonts w:ascii="Arial" w:hAnsi="Arial"/>
          <w:color w:val="231F20"/>
          <w:spacing w:val="-11"/>
          <w:w w:val="105"/>
          <w:sz w:val="18"/>
        </w:rPr>
        <w:t> </w:t>
      </w:r>
      <w:r>
        <w:rPr>
          <w:rFonts w:ascii="Arial" w:hAnsi="Arial"/>
          <w:color w:val="231F20"/>
          <w:w w:val="105"/>
          <w:sz w:val="18"/>
        </w:rPr>
        <w:t>federativa,</w:t>
      </w:r>
      <w:r>
        <w:rPr>
          <w:rFonts w:ascii="Arial" w:hAnsi="Arial"/>
          <w:color w:val="231F20"/>
          <w:spacing w:val="-17"/>
          <w:w w:val="105"/>
          <w:sz w:val="18"/>
        </w:rPr>
        <w:t> </w:t>
      </w:r>
      <w:r>
        <w:rPr>
          <w:rFonts w:ascii="Arial" w:hAnsi="Arial"/>
          <w:color w:val="231F20"/>
          <w:w w:val="105"/>
          <w:sz w:val="18"/>
        </w:rPr>
        <w:t>2007-2012</w:t>
      </w:r>
    </w:p>
    <w:p>
      <w:pPr>
        <w:spacing w:before="98"/>
        <w:ind w:left="1736" w:right="6753" w:firstLine="0"/>
        <w:jc w:val="left"/>
        <w:rPr>
          <w:rFonts w:ascii="Verdana"/>
          <w:sz w:val="14"/>
        </w:rPr>
      </w:pPr>
      <w:r>
        <w:rPr/>
        <w:pict>
          <v:group style="position:absolute;margin-left:101.007103pt;margin-top:9.649246pt;width:330.1pt;height:138.9pt;mso-position-horizontal-relative:page;mso-position-vertical-relative:paragraph;z-index:16144" coordorigin="2020,193" coordsize="6602,2778">
            <v:shape style="position:absolute;left:0;top:12450;width:15345;height:4186" coordorigin="0,12450" coordsize="15345,4186" path="m2054,2481l8617,2481m2054,2024l8617,2024m2054,1567l8617,1567m2054,1110l8617,1110m2054,653l8617,653e" filled="false" stroked="true" strokeweight=".324105pt" strokecolor="#a6a8ab">
              <v:path arrowok="t"/>
            </v:shape>
            <v:shape style="position:absolute;left:2054;top:570;width:6462;height:2372" type="#_x0000_t75" stroked="false">
              <v:imagedata r:id="rId115" o:title=""/>
            </v:shape>
            <v:shape style="position:absolute;left:2098;top:844;width:6271;height:2098" type="#_x0000_t75" stroked="false">
              <v:imagedata r:id="rId116" o:title=""/>
            </v:shape>
            <v:shape style="position:absolute;left:2155;top:775;width:6466;height:2167" type="#_x0000_t75" stroked="false">
              <v:imagedata r:id="rId117" o:title=""/>
            </v:shape>
            <v:shape style="position:absolute;left:2071;top:584;width:6415;height:2352" coordorigin="2071,584" coordsize="6415,2352" path="m2128,1293l2071,1293,2071,2936,2128,2936,2128,1293m2334,1293l2276,1293,2276,2936,2334,2936,2334,1293m2539,584l2481,584,2481,2936,2539,2936,2539,584m2744,1385l2687,1385,2687,2936,2744,2936,2744,1385m2949,1408l2892,1408,2892,2936,2949,2936,2949,1408m3155,1932l3095,1932,3095,2936,3155,2936,3155,1932m3358,1657l3300,1657,3300,2936,3358,2936,3358,1657m3563,2389l3506,2389,3506,2936,3563,2936,3563,2389m3769,1475l3711,1475,3711,2936,3769,2936,3769,1475m3974,2343l3916,2343,3916,2936,3974,2936,3974,2343m4179,790l4122,790,4122,2936,4179,2936,4179,790m4384,2229l4327,2229,4327,2936,4384,2936,4384,2229m4590,2389l4532,2389,4532,2936,4590,2936,4590,2389m4795,2366l4737,2366,4737,2936,4795,2936,4795,2366m5000,2160l4941,2160,4941,2936,5000,2936,5000,2160m5203,2320l5146,2320,5146,2936,5203,2936,5203,2320m5409,2617l5351,2617,5351,2936,5409,2936,5409,2617m5614,2525l5556,2525,5556,2936,5614,2936,5614,2525m5819,2296l5762,2296,5762,2936,5819,2936,5819,2296m6025,2571l5967,2571,5967,2936,6025,2936,6025,2571m6230,2594l6172,2594,6172,2936,6230,2936,6230,2594m6435,2709l6378,2709,6378,2936,6435,2936,6435,2709m6640,2412l6583,2412,6583,2936,6640,2936,6640,2412m6846,2640l6788,2640,6788,2936,6846,2936,6846,2640m7051,2776l6991,2776,6991,2936,7051,2936,7051,2776m7254,2753l7197,2753,7197,2936,7254,2936,7254,2753m7459,2822l7402,2822,7402,2936,7459,2936,7459,2822m7665,2846l7607,2846,7607,2936,7665,2936,7665,2846m7870,2869l7812,2869,7812,2936,7870,2936,7870,2869m8075,2869l8018,2869,8018,2936,8075,2936,8075,2869m8280,2869l8223,2869,8223,2936,8280,2936,8280,2869m8486,2915l8428,2915,8428,2936,8486,2936,8486,2915e" filled="true" fillcolor="#ffffff" stroked="false">
              <v:path arrowok="t"/>
              <v:fill type="solid"/>
            </v:shape>
            <v:shape style="position:absolute;left:2071;top:584;width:6415;height:2352" coordorigin="2071,584" coordsize="6415,2352" path="m2128,1293l2071,1293,2071,2936,2128,2936,2128,1293m2334,1293l2276,1293,2276,2936,2334,2936,2334,1293m2539,584l2481,584,2481,2936,2539,2936,2539,584m2744,1385l2687,1385,2687,2936,2744,2936,2744,1385m2949,1408l2892,1408,2892,2936,2949,2936,2949,1408m3155,1932l3095,1932,3095,2936,3155,2936,3155,1932m3358,1657l3300,1657,3300,2936,3358,2936,3358,1657m3563,2389l3506,2389,3506,2936,3563,2936,3563,2389m3769,1475l3711,1475,3711,2936,3769,2936,3769,1475m3974,2343l3916,2343,3916,2936,3974,2936,3974,2343m4179,790l4122,790,4122,2936,4179,2936,4179,790m4384,2229l4327,2229,4327,2936,4384,2936,4384,2229m4590,2389l4532,2389,4532,2936,4590,2936,4590,2389m4795,2366l4737,2366,4737,2936,4795,2936,4795,2366m5000,2160l4941,2160,4941,2936,5000,2936,5000,2160m5203,2320l5146,2320,5146,2936,5203,2936,5203,2320m5409,2617l5351,2617,5351,2936,5409,2936,5409,2617m5614,2525l5556,2525,5556,2936,5614,2936,5614,2525m5819,2296l5762,2296,5762,2936,5819,2936,5819,2296m6025,2571l5967,2571,5967,2936,6025,2936,6025,2571m6230,2594l6172,2594,6172,2936,6230,2936,6230,2594m6435,2709l6378,2709,6378,2936,6435,2936,6435,2709m6640,2412l6583,2412,6583,2936,6640,2936,6640,2412m6846,2640l6788,2640,6788,2936,6846,2936,6846,2640m7051,2776l6991,2776,6991,2936,7051,2936,7051,2776m7254,2753l7197,2753,7197,2936,7254,2936,7254,2753m7459,2822l7402,2822,7402,2936,7459,2936,7459,2822m7665,2846l7607,2846,7607,2936,7665,2936,7665,2846m7870,2869l7812,2869,7812,2936,7870,2936,7870,2869m8075,2869l8018,2869,8018,2936,8075,2936,8075,2869m8280,2869l8223,2869,8223,2936,8280,2936,8280,2869m8486,2915l8428,2915,8428,2936,8486,2936,8486,2915e" filled="true" fillcolor="#606163" stroked="false">
              <v:path arrowok="t"/>
              <v:fill type="solid"/>
            </v:shape>
            <v:shape style="position:absolute;left:2128;top:859;width:6210;height:2077" coordorigin="2128,859" coordsize="6210,2077" path="m2186,859l2128,859,2128,2936,2186,2936,2186,859m2391,1498l2334,1498,2334,2936,2391,2936,2391,1498m2596,951l2539,951,2539,2936,2596,2936,2596,951m2802,1796l2744,1796,2744,2936,2802,2936,2802,1796m3007,1293l2949,1293,2949,2936,3007,2936,3007,1293m3212,1863l3155,1863,3155,2936,3212,2936,3212,1863m3417,1567l3358,1567,3358,2936,3417,2936,3417,1567m3621,2252l3563,2252,3563,2936,3621,2936,3621,2252m3826,1680l3769,1680,3769,2936,3826,2936,3826,1680m4031,2276l3974,2276,3974,2936,4031,2936,4031,2276m4237,1498l4179,1498,4179,2936,4237,2936,4237,1498m4442,1886l4384,1886,4384,2936,4442,2936,4442,1886m4647,2458l4590,2458,4590,2936,4647,2936,4647,2458m4852,2229l4795,2229,4795,2936,4852,2936,4852,2229m5058,2366l5000,2366,5000,2936,5058,2936,5058,2366m5263,2229l5203,2229,5203,2936,5263,2936,5263,2229m5468,2412l5409,2412,5409,2936,5468,2936,5468,2412m5671,2481l5614,2481,5614,2936,5671,2936,5671,2481m5877,2435l5819,2435,5819,2936,5877,2936,5877,2435m6082,2296l6025,2296,6025,2936,6082,2936,6082,2296m6287,2481l6230,2481,6230,2936,6287,2936,6287,2481m6493,2709l6435,2709,6435,2936,6493,2936,6493,2709m6698,2389l6640,2389,6640,2936,6698,2936,6698,2389m6903,2663l6846,2663,6846,2936,6903,2936,6903,2663m7108,2753l7051,2753,7051,2936,7108,2936,7108,2753m7314,2776l7254,2776,7254,2936,7314,2936,7314,2776m7517,2753l7459,2753,7459,2936,7517,2936,7517,2753m7722,2776l7665,2776,7665,2936,7722,2936,7722,2776m7927,2869l7870,2869,7870,2936,7927,2936,7927,2869m8133,2892l8075,2892,8075,2936,8133,2936,8133,2892m8338,2915l8281,2915,8281,2936,8338,2936,8338,2915e" filled="true" fillcolor="#ffffff" stroked="false">
              <v:path arrowok="t"/>
              <v:fill type="solid"/>
            </v:shape>
            <v:shape style="position:absolute;left:2128;top:859;width:6210;height:2077" coordorigin="2128,859" coordsize="6210,2077" path="m2186,859l2128,859,2128,2936,2186,2936,2186,859m2391,1498l2334,1498,2334,2936,2391,2936,2391,1498m2596,951l2539,951,2539,2936,2596,2936,2596,951m2802,1796l2744,1796,2744,2936,2802,2936,2802,1796m3007,1293l2949,1293,2949,2936,3007,2936,3007,1293m3212,1863l3155,1863,3155,2936,3212,2936,3212,1863m3417,1567l3358,1567,3358,2936,3417,2936,3417,1567m3621,2252l3563,2252,3563,2936,3621,2936,3621,2252m3826,1680l3769,1680,3769,2936,3826,2936,3826,1680m4031,2276l3974,2276,3974,2936,4031,2936,4031,2276m4237,1498l4179,1498,4179,2936,4237,2936,4237,1498m4442,1886l4384,1886,4384,2936,4442,2936,4442,1886m4647,2458l4590,2458,4590,2936,4647,2936,4647,2458m4852,2229l4795,2229,4795,2936,4852,2936,4852,2229m5058,2366l5000,2366,5000,2936,5058,2936,5058,2366m5263,2229l5203,2229,5203,2936,5263,2936,5263,2229m5468,2412l5409,2412,5409,2936,5468,2936,5468,2412m5671,2481l5614,2481,5614,2936,5671,2936,5671,2481m5877,2435l5819,2435,5819,2936,5877,2936,5877,2435m6082,2296l6025,2296,6025,2936,6082,2936,6082,2296m6287,2481l6230,2481,6230,2936,6287,2936,6287,2481m6493,2709l6435,2709,6435,2936,6493,2936,6493,2709m6698,2389l6640,2389,6640,2936,6698,2936,6698,2389m6903,2663l6846,2663,6846,2936,6903,2936,6903,2663m7108,2753l7051,2753,7051,2936,7108,2936,7108,2753m7314,2776l7254,2776,7254,2936,7314,2936,7314,2776m7517,2753l7459,2753,7459,2936,7517,2936,7517,2753m7722,2776l7665,2776,7665,2936,7722,2936,7722,2776m7927,2869l7870,2869,7870,2936,7927,2936,7927,2869m8133,2892l8075,2892,8075,2936,8133,2936,8133,2892m8338,2915l8281,2915,8281,2936,8338,2936,8338,2915e" filled="true" fillcolor="#aaacaf" stroked="false">
              <v:path arrowok="t"/>
              <v:fill type="solid"/>
            </v:shape>
            <v:shape style="position:absolute;left:2186;top:790;width:6415;height:2147" coordorigin="2186,790" coordsize="6415,2147" path="m2243,790l2186,790,2186,2936,2243,2936,2243,790m2449,1179l2391,1179,2391,2936,2449,2936,2449,1179m2654,1223l2596,1223,2596,2936,2654,2936,2654,1223m2859,1362l2802,1362,2802,2936,2859,2936,2859,1362m3064,1475l3007,1475,3007,2936,3064,2936,3064,1475m3270,1590l3212,1590,3212,2936,3270,2936,3270,1590m3475,1613l3417,1613,3417,2936,3475,2936,3475,1613m3680,1634l3621,1634,3621,2936,3680,2936,3680,1634m3886,1657l3826,1657,3826,2936,3886,2936,3886,1657m4089,2024l4031,2024,4031,2936,4089,2936,4089,2024m4294,2160l4237,2160,4237,2936,4294,2936,4294,2160m4499,2160l4442,2160,4442,2936,4499,2936,4499,2160m4705,2252l4647,2252,4647,2936,4705,2936,4705,2252m4910,2276l4852,2276,4852,2936,4910,2936,4910,2276m5115,2320l5058,2320,5058,2936,5115,2936,5115,2320m5320,2343l5263,2343,5263,2936,5320,2936,5320,2343m5526,2412l5468,2412,5468,2936,5526,2936,5526,2412m5731,2458l5671,2458,5671,2936,5731,2936,5731,2458m5934,2481l5877,2481,5877,2936,5934,2936,5934,2481m6139,2481l6082,2481,6082,2936,6139,2936,6139,2481m6345,2571l6287,2571,6287,2936,6345,2936,6345,2571m6550,2594l6493,2594,6493,2936,6550,2936,6550,2594m6755,2663l6698,2663,6698,2936,6755,2936,6755,2663m6961,2709l6903,2709,6903,2936,6961,2936,6961,2709m7166,2776l7108,2776,7108,2936,7166,2936,7166,2776m7371,2799l7314,2799,7314,2936,7371,2936,7371,2799m7576,2822l7517,2822,7517,2936,7576,2936,7576,2822m7782,2822l7722,2822,7722,2936,7782,2936,7782,2822m7985,2846l7927,2846,7927,2936,7985,2936,7985,2846m8190,2869l8133,2869,8133,2936,8190,2936,8190,2869m8395,2915l8338,2915,8338,2936,8395,2936,8395,2915m8601,2915l8543,2915,8543,2936,8601,2936,8601,2915e" filled="true" fillcolor="#a1a3a5" stroked="false">
              <v:path arrowok="t"/>
              <v:fill type="solid"/>
            </v:shape>
            <v:shape style="position:absolute;left:2186;top:790;width:6415;height:2147" coordorigin="2186,790" coordsize="6415,2147" path="m2243,790l2186,790,2186,2936,2243,2936,2243,790m2449,1179l2391,1179,2391,2936,2449,2936,2449,1179m2654,1223l2596,1223,2596,2936,2654,2936,2654,1223m2859,1362l2802,1362,2802,2936,2859,2936,2859,1362m3064,1475l3007,1475,3007,2936,3064,2936,3064,1475m3270,1590l3212,1590,3212,2936,3270,2936,3270,1590m3475,1613l3417,1613,3417,2936,3475,2936,3475,1613m3680,1634l3621,1634,3621,2936,3680,2936,3680,1634m3886,1657l3826,1657,3826,2936,3886,2936,3886,1657m4089,2024l4031,2024,4031,2936,4089,2936,4089,2024m4294,2160l4237,2160,4237,2936,4294,2936,4294,2160m4499,2160l4442,2160,4442,2936,4499,2936,4499,2160m4705,2252l4647,2252,4647,2936,4705,2936,4705,2252m4910,2276l4852,2276,4852,2936,4910,2936,4910,2276m5115,2320l5058,2320,5058,2936,5115,2936,5115,2320m5320,2343l5263,2343,5263,2936,5320,2936,5320,2343m5526,2412l5468,2412,5468,2936,5526,2936,5526,2412m5731,2458l5671,2458,5671,2936,5731,2936,5731,2458m5934,2481l5877,2481,5877,2936,5934,2936,5934,2481m6139,2481l6082,2481,6082,2936,6139,2936,6139,2481m6345,2571l6287,2571,6287,2936,6345,2936,6345,2571m6550,2594l6493,2594,6493,2936,6550,2936,6550,2594m6755,2663l6698,2663,6698,2936,6755,2936,6755,2663m6961,2709l6903,2709,6903,2936,6961,2936,6961,2709m7166,2776l7108,2776,7108,2936,7166,2936,7166,2776m7371,2799l7314,2799,7314,2936,7371,2936,7371,2799m7576,2822l7517,2822,7517,2936,7576,2936,7576,2822m7782,2822l7722,2822,7722,2936,7782,2936,7782,2822m7985,2846l7927,2846,7927,2936,7985,2936,7985,2846m8190,2869l8133,2869,8133,2936,8190,2936,8190,2869m8395,2915l8338,2915,8338,2936,8395,2936,8395,2915m8601,2915l8543,2915,8543,2936,8601,2936,8601,2915e" filled="true" fillcolor="#d5d6d7" stroked="false">
              <v:path arrowok="t"/>
              <v:fill type="solid"/>
            </v:shape>
            <v:line style="position:absolute" from="2054,196" to="8617,196" stroked="true" strokeweight=".327464pt" strokecolor="#a6a8ab"/>
            <v:line style="position:absolute" from="2055,2937" to="2055,197" stroked="true" strokeweight=".320746pt" strokecolor="#a6a8ab"/>
            <v:shape style="position:absolute;left:0;top:12450;width:72;height:6274" coordorigin="0,12450" coordsize="72,6274" path="m2024,2936l2054,2936m2024,2481l2054,2481m2024,2024l2054,2024m2024,1567l2054,1567m2024,1110l2054,1110m2024,653l2054,653m2024,196l2054,196e" filled="false" stroked="true" strokeweight=".324105pt" strokecolor="#a6a8ab">
              <v:path arrowok="t"/>
            </v:shape>
            <v:line style="position:absolute" from="2055,2937" to="8617,2937" stroked="true" strokeweight=".327464pt" strokecolor="#a6a8ab"/>
            <v:shape style="position:absolute;left:0;top:12378;width:15345;height:72" coordorigin="0,12378" coordsize="15345,72" path="m2054,2936l2054,2967m2260,2936l2260,2967m2465,2936l2465,2967m2670,2936l2670,2967m2876,2936l2876,2967m3081,2936l3081,2967m3286,2936l3286,2967m3489,2936l3489,2967m3695,2936l3695,2967m3900,2936l3900,2967m4105,2936l4105,2967m4310,2936l4310,2967m4516,2936l4516,2967m4721,2936l4721,2967m4926,2936l4926,2967m5132,2936l5132,2967m5337,2936l5337,2967m5540,2936l5540,2967m5745,2936l5745,2967m5951,2936l5951,2967m6156,2936l6156,2967m6361,2936l6361,2967m6566,2936l6566,2967m6772,2936l6772,2967m6977,2936l6977,2967m7182,2936l7182,2967m7385,2936l7385,2967m7591,2936l7591,2967m7796,2936l7796,2967m8001,2936l8001,2967m8207,2936l8207,2967m8412,2936l8412,2967m8617,2936l8617,2967e" filled="false" stroked="true" strokeweight=".324105pt" strokecolor="#a6a8ab">
              <v:path arrowok="t"/>
            </v:shape>
            <w10:wrap type="none"/>
          </v:group>
        </w:pict>
      </w:r>
      <w:r>
        <w:rPr>
          <w:rFonts w:ascii="Verdana"/>
          <w:color w:val="231F20"/>
          <w:w w:val="95"/>
          <w:sz w:val="14"/>
        </w:rPr>
        <w:t>12.0</w:t>
      </w:r>
    </w:p>
    <w:p>
      <w:pPr>
        <w:pStyle w:val="BodyText"/>
        <w:spacing w:before="6"/>
        <w:rPr>
          <w:rFonts w:ascii="Verdana"/>
          <w:sz w:val="18"/>
        </w:rPr>
      </w:pPr>
    </w:p>
    <w:p>
      <w:pPr>
        <w:spacing w:before="62"/>
        <w:ind w:left="1736" w:right="6753" w:firstLine="0"/>
        <w:jc w:val="left"/>
        <w:rPr>
          <w:rFonts w:ascii="Verdana"/>
          <w:sz w:val="14"/>
        </w:rPr>
      </w:pPr>
      <w:r>
        <w:rPr>
          <w:rFonts w:ascii="Verdana"/>
          <w:color w:val="231F20"/>
          <w:w w:val="95"/>
          <w:sz w:val="14"/>
        </w:rPr>
        <w:t>10.0</w:t>
      </w:r>
    </w:p>
    <w:p>
      <w:pPr>
        <w:pStyle w:val="BodyText"/>
        <w:spacing w:before="6"/>
        <w:rPr>
          <w:rFonts w:ascii="Verdana"/>
          <w:sz w:val="18"/>
        </w:rPr>
      </w:pPr>
    </w:p>
    <w:p>
      <w:pPr>
        <w:spacing w:before="61"/>
        <w:ind w:left="1787" w:right="6753" w:firstLine="0"/>
        <w:jc w:val="left"/>
        <w:rPr>
          <w:rFonts w:ascii="Verdana"/>
          <w:sz w:val="14"/>
        </w:rPr>
      </w:pPr>
      <w:r>
        <w:rPr>
          <w:rFonts w:ascii="Verdana"/>
          <w:color w:val="231F20"/>
          <w:w w:val="95"/>
          <w:sz w:val="14"/>
        </w:rPr>
        <w:t>8.0</w:t>
      </w:r>
    </w:p>
    <w:p>
      <w:pPr>
        <w:pStyle w:val="BodyText"/>
        <w:spacing w:before="6"/>
        <w:rPr>
          <w:rFonts w:ascii="Verdana"/>
          <w:sz w:val="18"/>
        </w:rPr>
      </w:pPr>
    </w:p>
    <w:p>
      <w:pPr>
        <w:spacing w:before="61"/>
        <w:ind w:left="1787" w:right="6753" w:firstLine="0"/>
        <w:jc w:val="left"/>
        <w:rPr>
          <w:rFonts w:ascii="Verdana"/>
          <w:sz w:val="14"/>
        </w:rPr>
      </w:pPr>
      <w:r>
        <w:rPr>
          <w:rFonts w:ascii="Verdana"/>
          <w:color w:val="231F20"/>
          <w:w w:val="95"/>
          <w:sz w:val="14"/>
        </w:rPr>
        <w:t>6.0</w:t>
      </w:r>
    </w:p>
    <w:p>
      <w:pPr>
        <w:pStyle w:val="BodyText"/>
        <w:spacing w:before="6"/>
        <w:rPr>
          <w:rFonts w:ascii="Verdana"/>
          <w:sz w:val="18"/>
        </w:rPr>
      </w:pPr>
    </w:p>
    <w:p>
      <w:pPr>
        <w:spacing w:before="61"/>
        <w:ind w:left="1787" w:right="6753" w:firstLine="0"/>
        <w:jc w:val="left"/>
        <w:rPr>
          <w:rFonts w:ascii="Verdana"/>
          <w:sz w:val="14"/>
        </w:rPr>
      </w:pPr>
      <w:r>
        <w:rPr>
          <w:rFonts w:ascii="Verdana"/>
          <w:color w:val="231F20"/>
          <w:w w:val="95"/>
          <w:sz w:val="14"/>
        </w:rPr>
        <w:t>4.0</w:t>
      </w:r>
    </w:p>
    <w:p>
      <w:pPr>
        <w:pStyle w:val="BodyText"/>
        <w:spacing w:before="6"/>
        <w:rPr>
          <w:rFonts w:ascii="Verdana"/>
          <w:sz w:val="18"/>
        </w:rPr>
      </w:pPr>
    </w:p>
    <w:p>
      <w:pPr>
        <w:spacing w:before="61"/>
        <w:ind w:left="1787" w:right="6753" w:firstLine="0"/>
        <w:jc w:val="left"/>
        <w:rPr>
          <w:rFonts w:ascii="Verdana"/>
          <w:sz w:val="14"/>
        </w:rPr>
      </w:pPr>
      <w:r>
        <w:rPr>
          <w:rFonts w:ascii="Verdana"/>
          <w:color w:val="231F20"/>
          <w:w w:val="95"/>
          <w:sz w:val="14"/>
        </w:rPr>
        <w:t>2.0</w:t>
      </w:r>
    </w:p>
    <w:p>
      <w:pPr>
        <w:pStyle w:val="BodyText"/>
        <w:spacing w:before="6"/>
        <w:rPr>
          <w:rFonts w:ascii="Verdana"/>
          <w:sz w:val="18"/>
        </w:rPr>
      </w:pPr>
    </w:p>
    <w:p>
      <w:pPr>
        <w:spacing w:before="61"/>
        <w:ind w:left="1787" w:right="6753" w:firstLine="0"/>
        <w:jc w:val="left"/>
        <w:rPr>
          <w:rFonts w:ascii="Verdana"/>
          <w:sz w:val="14"/>
        </w:rPr>
      </w:pPr>
      <w:r>
        <w:rPr/>
        <w:pict>
          <v:shape style="position:absolute;margin-left:103.911575pt;margin-top:12.134904pt;width:326.6pt;height:60.35pt;mso-position-horizontal-relative:page;mso-position-vertical-relative:paragraph;z-index:16336" type="#_x0000_t202" filled="false" stroked="false">
            <v:textbox inset="0,0,0,0" style="layout-flow:vertical;mso-layout-flow-alt:bottom-to-top">
              <w:txbxContent>
                <w:p>
                  <w:pPr>
                    <w:spacing w:line="147" w:lineRule="exact" w:before="0"/>
                    <w:ind w:left="0" w:right="18" w:firstLine="0"/>
                    <w:jc w:val="right"/>
                    <w:rPr>
                      <w:rFonts w:ascii="Verdana" w:hAnsi="Verdana"/>
                      <w:sz w:val="13"/>
                    </w:rPr>
                  </w:pPr>
                  <w:r>
                    <w:rPr>
                      <w:rFonts w:ascii="Verdana" w:hAnsi="Verdana"/>
                      <w:color w:val="231F20"/>
                      <w:w w:val="102"/>
                      <w:sz w:val="13"/>
                    </w:rPr>
                    <w:t>Michoacán</w:t>
                  </w:r>
                </w:p>
                <w:p>
                  <w:pPr>
                    <w:spacing w:before="47"/>
                    <w:ind w:left="0" w:right="18" w:firstLine="0"/>
                    <w:jc w:val="right"/>
                    <w:rPr>
                      <w:rFonts w:ascii="Verdana"/>
                      <w:sz w:val="13"/>
                    </w:rPr>
                  </w:pPr>
                  <w:r>
                    <w:rPr>
                      <w:rFonts w:ascii="Verdana"/>
                      <w:color w:val="231F20"/>
                      <w:w w:val="97"/>
                      <w:sz w:val="13"/>
                    </w:rPr>
                    <w:t>Guanajuato</w:t>
                  </w:r>
                </w:p>
                <w:p>
                  <w:pPr>
                    <w:spacing w:line="312" w:lineRule="auto" w:before="47"/>
                    <w:ind w:left="600" w:right="18" w:firstLine="106"/>
                    <w:jc w:val="right"/>
                    <w:rPr>
                      <w:rFonts w:ascii="Verdana" w:hAnsi="Verdana"/>
                      <w:sz w:val="13"/>
                    </w:rPr>
                  </w:pPr>
                  <w:r>
                    <w:rPr>
                      <w:rFonts w:ascii="Verdana" w:hAnsi="Verdana"/>
                      <w:color w:val="231F20"/>
                      <w:w w:val="99"/>
                      <w:sz w:val="13"/>
                    </w:rPr>
                    <w:t>Oaxaca </w:t>
                  </w:r>
                  <w:r>
                    <w:rPr>
                      <w:rFonts w:ascii="Verdana" w:hAnsi="Verdana"/>
                      <w:color w:val="231F20"/>
                      <w:spacing w:val="-16"/>
                      <w:w w:val="97"/>
                      <w:sz w:val="13"/>
                    </w:rPr>
                    <w:t>V</w:t>
                  </w:r>
                  <w:r>
                    <w:rPr>
                      <w:rFonts w:ascii="Verdana" w:hAnsi="Verdana"/>
                      <w:color w:val="231F20"/>
                      <w:w w:val="96"/>
                      <w:sz w:val="13"/>
                    </w:rPr>
                    <w:t>eracruz </w:t>
                  </w:r>
                  <w:r>
                    <w:rPr>
                      <w:rFonts w:ascii="Verdana" w:hAnsi="Verdana"/>
                      <w:color w:val="231F20"/>
                      <w:w w:val="100"/>
                      <w:sz w:val="13"/>
                    </w:rPr>
                    <w:t>Guerrero </w:t>
                  </w:r>
                  <w:r>
                    <w:rPr>
                      <w:rFonts w:ascii="Verdana" w:hAnsi="Verdana"/>
                      <w:color w:val="231F20"/>
                      <w:w w:val="103"/>
                      <w:sz w:val="13"/>
                    </w:rPr>
                    <w:t>México </w:t>
                  </w:r>
                  <w:r>
                    <w:rPr>
                      <w:rFonts w:ascii="Verdana" w:hAnsi="Verdana"/>
                      <w:color w:val="231F20"/>
                      <w:w w:val="101"/>
                      <w:sz w:val="13"/>
                    </w:rPr>
                    <w:t>Jalisco</w:t>
                  </w:r>
                </w:p>
                <w:p>
                  <w:pPr>
                    <w:spacing w:line="158" w:lineRule="exact" w:before="0"/>
                    <w:ind w:left="0" w:right="18" w:firstLine="0"/>
                    <w:jc w:val="right"/>
                    <w:rPr>
                      <w:rFonts w:ascii="Verdana" w:hAnsi="Verdana"/>
                      <w:sz w:val="13"/>
                    </w:rPr>
                  </w:pPr>
                  <w:r>
                    <w:rPr>
                      <w:rFonts w:ascii="Verdana" w:hAnsi="Verdana"/>
                      <w:color w:val="231F20"/>
                      <w:w w:val="94"/>
                      <w:sz w:val="13"/>
                    </w:rPr>
                    <w:t>San</w:t>
                  </w:r>
                  <w:r>
                    <w:rPr>
                      <w:rFonts w:ascii="Verdana" w:hAnsi="Verdana"/>
                      <w:color w:val="231F20"/>
                      <w:spacing w:val="-11"/>
                      <w:sz w:val="13"/>
                    </w:rPr>
                    <w:t> </w:t>
                  </w:r>
                  <w:r>
                    <w:rPr>
                      <w:rFonts w:ascii="Verdana" w:hAnsi="Verdana"/>
                      <w:color w:val="231F20"/>
                      <w:w w:val="96"/>
                      <w:sz w:val="13"/>
                    </w:rPr>
                    <w:t>Luis</w:t>
                  </w:r>
                  <w:r>
                    <w:rPr>
                      <w:rFonts w:ascii="Verdana" w:hAnsi="Verdana"/>
                      <w:color w:val="231F20"/>
                      <w:spacing w:val="-11"/>
                      <w:sz w:val="13"/>
                    </w:rPr>
                    <w:t> </w:t>
                  </w:r>
                  <w:r>
                    <w:rPr>
                      <w:rFonts w:ascii="Verdana" w:hAnsi="Verdana"/>
                      <w:color w:val="231F20"/>
                      <w:w w:val="100"/>
                      <w:sz w:val="13"/>
                    </w:rPr>
                    <w:t>Potosí</w:t>
                  </w:r>
                </w:p>
                <w:p>
                  <w:pPr>
                    <w:spacing w:line="312" w:lineRule="auto" w:before="47"/>
                    <w:ind w:left="201" w:right="18" w:firstLine="543"/>
                    <w:jc w:val="right"/>
                    <w:rPr>
                      <w:rFonts w:ascii="Verdana" w:hAnsi="Verdana"/>
                      <w:sz w:val="13"/>
                    </w:rPr>
                  </w:pPr>
                  <w:r>
                    <w:rPr>
                      <w:rFonts w:ascii="Verdana" w:hAnsi="Verdana"/>
                      <w:color w:val="231F20"/>
                      <w:w w:val="101"/>
                      <w:sz w:val="13"/>
                    </w:rPr>
                    <w:t>Puebla </w:t>
                  </w:r>
                  <w:r>
                    <w:rPr>
                      <w:rFonts w:ascii="Verdana" w:hAnsi="Verdana"/>
                      <w:color w:val="231F20"/>
                      <w:spacing w:val="-10"/>
                      <w:w w:val="99"/>
                      <w:sz w:val="13"/>
                    </w:rPr>
                    <w:t>T</w:t>
                  </w:r>
                  <w:r>
                    <w:rPr>
                      <w:rFonts w:ascii="Verdana" w:hAnsi="Verdana"/>
                      <w:color w:val="231F20"/>
                      <w:w w:val="97"/>
                      <w:sz w:val="13"/>
                    </w:rPr>
                    <w:t>amaulipas </w:t>
                  </w:r>
                  <w:r>
                    <w:rPr>
                      <w:rFonts w:ascii="Verdana" w:hAnsi="Verdana"/>
                      <w:color w:val="231F20"/>
                      <w:w w:val="100"/>
                      <w:sz w:val="13"/>
                    </w:rPr>
                    <w:t>Chiapas </w:t>
                  </w:r>
                  <w:r>
                    <w:rPr>
                      <w:rFonts w:ascii="Verdana" w:hAnsi="Verdana"/>
                      <w:color w:val="231F20"/>
                      <w:w w:val="97"/>
                      <w:sz w:val="13"/>
                    </w:rPr>
                    <w:t>Sinaloa </w:t>
                  </w:r>
                  <w:r>
                    <w:rPr>
                      <w:rFonts w:ascii="Verdana" w:hAnsi="Verdana"/>
                      <w:color w:val="231F20"/>
                      <w:w w:val="96"/>
                      <w:sz w:val="13"/>
                    </w:rPr>
                    <w:t>Zacatecas </w:t>
                  </w:r>
                  <w:r>
                    <w:rPr>
                      <w:rFonts w:ascii="Verdana" w:hAnsi="Verdana"/>
                      <w:color w:val="231F20"/>
                      <w:w w:val="98"/>
                      <w:sz w:val="13"/>
                    </w:rPr>
                    <w:t>Sonora </w:t>
                  </w:r>
                  <w:r>
                    <w:rPr>
                      <w:rFonts w:ascii="Verdana" w:hAnsi="Verdana"/>
                      <w:color w:val="231F20"/>
                      <w:w w:val="104"/>
                      <w:sz w:val="13"/>
                    </w:rPr>
                    <w:t>Hidalgo </w:t>
                  </w:r>
                  <w:r>
                    <w:rPr>
                      <w:rFonts w:ascii="Verdana" w:hAnsi="Verdana"/>
                      <w:color w:val="231F20"/>
                      <w:w w:val="97"/>
                      <w:sz w:val="13"/>
                    </w:rPr>
                    <w:t>Distrito</w:t>
                  </w:r>
                  <w:r>
                    <w:rPr>
                      <w:rFonts w:ascii="Verdana" w:hAnsi="Verdana"/>
                      <w:color w:val="231F20"/>
                      <w:spacing w:val="-11"/>
                      <w:sz w:val="13"/>
                    </w:rPr>
                    <w:t> </w:t>
                  </w:r>
                  <w:r>
                    <w:rPr>
                      <w:rFonts w:ascii="Verdana" w:hAnsi="Verdana"/>
                      <w:color w:val="231F20"/>
                      <w:w w:val="101"/>
                      <w:sz w:val="13"/>
                    </w:rPr>
                    <w:t>Federal </w:t>
                  </w:r>
                  <w:r>
                    <w:rPr>
                      <w:rFonts w:ascii="Verdana" w:hAnsi="Verdana"/>
                      <w:color w:val="231F20"/>
                      <w:w w:val="102"/>
                      <w:sz w:val="13"/>
                    </w:rPr>
                    <w:t>Nuevo</w:t>
                  </w:r>
                  <w:r>
                    <w:rPr>
                      <w:rFonts w:ascii="Verdana" w:hAnsi="Verdana"/>
                      <w:color w:val="231F20"/>
                      <w:spacing w:val="-11"/>
                      <w:sz w:val="13"/>
                    </w:rPr>
                    <w:t> </w:t>
                  </w:r>
                  <w:r>
                    <w:rPr>
                      <w:rFonts w:ascii="Verdana" w:hAnsi="Verdana"/>
                      <w:color w:val="231F20"/>
                      <w:w w:val="102"/>
                      <w:sz w:val="13"/>
                    </w:rPr>
                    <w:t>León </w:t>
                  </w:r>
                  <w:r>
                    <w:rPr>
                      <w:rFonts w:ascii="Verdana" w:hAnsi="Verdana"/>
                      <w:color w:val="231F20"/>
                      <w:w w:val="101"/>
                      <w:sz w:val="13"/>
                    </w:rPr>
                    <w:t>Durango </w:t>
                  </w:r>
                  <w:r>
                    <w:rPr>
                      <w:rFonts w:ascii="Verdana" w:hAnsi="Verdana"/>
                      <w:color w:val="231F20"/>
                      <w:w w:val="99"/>
                      <w:sz w:val="13"/>
                    </w:rPr>
                    <w:t>Chihuahua </w:t>
                  </w:r>
                  <w:r>
                    <w:rPr>
                      <w:rFonts w:ascii="Verdana" w:hAnsi="Verdana"/>
                      <w:color w:val="231F20"/>
                      <w:w w:val="94"/>
                      <w:sz w:val="13"/>
                    </w:rPr>
                    <w:t>Baja</w:t>
                  </w:r>
                  <w:r>
                    <w:rPr>
                      <w:rFonts w:ascii="Verdana" w:hAnsi="Verdana"/>
                      <w:color w:val="231F20"/>
                      <w:spacing w:val="-11"/>
                      <w:sz w:val="13"/>
                    </w:rPr>
                    <w:t> </w:t>
                  </w:r>
                  <w:r>
                    <w:rPr>
                      <w:rFonts w:ascii="Verdana" w:hAnsi="Verdana"/>
                      <w:color w:val="231F20"/>
                      <w:w w:val="99"/>
                      <w:sz w:val="13"/>
                    </w:rPr>
                    <w:t>California</w:t>
                  </w:r>
                </w:p>
                <w:p>
                  <w:pPr>
                    <w:spacing w:line="312" w:lineRule="auto" w:before="0"/>
                    <w:ind w:left="220" w:right="18" w:firstLine="443"/>
                    <w:jc w:val="right"/>
                    <w:rPr>
                      <w:rFonts w:ascii="Verdana" w:hAnsi="Verdana"/>
                      <w:sz w:val="13"/>
                    </w:rPr>
                  </w:pPr>
                  <w:r>
                    <w:rPr>
                      <w:rFonts w:ascii="Verdana" w:hAnsi="Verdana"/>
                      <w:color w:val="231F20"/>
                      <w:w w:val="103"/>
                      <w:sz w:val="13"/>
                    </w:rPr>
                    <w:t>Morelos </w:t>
                  </w:r>
                  <w:r>
                    <w:rPr>
                      <w:rFonts w:ascii="Verdana" w:hAnsi="Verdana"/>
                      <w:color w:val="231F20"/>
                      <w:w w:val="101"/>
                      <w:sz w:val="13"/>
                    </w:rPr>
                    <w:t>Coahuila </w:t>
                  </w:r>
                  <w:r>
                    <w:rPr>
                      <w:rFonts w:ascii="Verdana" w:hAnsi="Verdana"/>
                      <w:color w:val="231F20"/>
                      <w:w w:val="95"/>
                      <w:sz w:val="13"/>
                    </w:rPr>
                    <w:t>Nayarit </w:t>
                  </w:r>
                  <w:r>
                    <w:rPr>
                      <w:rFonts w:ascii="Verdana" w:hAnsi="Verdana"/>
                      <w:color w:val="231F20"/>
                      <w:w w:val="100"/>
                      <w:sz w:val="13"/>
                    </w:rPr>
                    <w:t>Querétaro </w:t>
                  </w:r>
                  <w:r>
                    <w:rPr>
                      <w:rFonts w:ascii="Verdana" w:hAnsi="Verdana"/>
                      <w:color w:val="231F20"/>
                      <w:w w:val="96"/>
                      <w:sz w:val="13"/>
                    </w:rPr>
                    <w:t>Tlaxcala </w:t>
                  </w:r>
                  <w:r>
                    <w:rPr>
                      <w:rFonts w:ascii="Verdana" w:hAnsi="Verdana"/>
                      <w:color w:val="231F20"/>
                      <w:w w:val="99"/>
                      <w:sz w:val="13"/>
                    </w:rPr>
                    <w:t>Aguascalientes</w:t>
                  </w:r>
                </w:p>
                <w:p>
                  <w:pPr>
                    <w:spacing w:line="312" w:lineRule="auto" w:before="0"/>
                    <w:ind w:left="307" w:right="18" w:firstLine="425"/>
                    <w:jc w:val="right"/>
                    <w:rPr>
                      <w:rFonts w:ascii="Verdana" w:hAnsi="Verdana"/>
                      <w:sz w:val="13"/>
                    </w:rPr>
                  </w:pPr>
                  <w:r>
                    <w:rPr>
                      <w:rFonts w:ascii="Verdana" w:hAnsi="Verdana"/>
                      <w:color w:val="231F20"/>
                      <w:w w:val="101"/>
                      <w:sz w:val="13"/>
                    </w:rPr>
                    <w:t>Colima </w:t>
                  </w:r>
                  <w:r>
                    <w:rPr>
                      <w:rFonts w:ascii="Verdana" w:hAnsi="Verdana"/>
                      <w:color w:val="231F20"/>
                      <w:spacing w:val="-10"/>
                      <w:w w:val="99"/>
                      <w:sz w:val="13"/>
                    </w:rPr>
                    <w:t>T</w:t>
                  </w:r>
                  <w:r>
                    <w:rPr>
                      <w:rFonts w:ascii="Verdana" w:hAnsi="Verdana"/>
                      <w:color w:val="231F20"/>
                      <w:w w:val="100"/>
                      <w:sz w:val="13"/>
                    </w:rPr>
                    <w:t>abasco </w:t>
                  </w:r>
                  <w:r>
                    <w:rPr>
                      <w:rFonts w:ascii="Verdana" w:hAnsi="Verdana"/>
                      <w:color w:val="231F20"/>
                      <w:spacing w:val="-16"/>
                      <w:w w:val="105"/>
                      <w:sz w:val="13"/>
                    </w:rPr>
                    <w:t>Y</w:t>
                  </w:r>
                  <w:r>
                    <w:rPr>
                      <w:rFonts w:ascii="Verdana" w:hAnsi="Verdana"/>
                      <w:color w:val="231F20"/>
                      <w:w w:val="96"/>
                      <w:sz w:val="13"/>
                    </w:rPr>
                    <w:t>ucatán </w:t>
                  </w:r>
                  <w:r>
                    <w:rPr>
                      <w:rFonts w:ascii="Verdana" w:hAnsi="Verdana"/>
                      <w:color w:val="231F20"/>
                      <w:w w:val="102"/>
                      <w:sz w:val="13"/>
                    </w:rPr>
                    <w:t>Campeche </w:t>
                  </w:r>
                  <w:r>
                    <w:rPr>
                      <w:rFonts w:ascii="Verdana" w:hAnsi="Verdana"/>
                      <w:color w:val="231F20"/>
                      <w:w w:val="99"/>
                      <w:sz w:val="13"/>
                    </w:rPr>
                    <w:t>Quintana</w:t>
                  </w:r>
                  <w:r>
                    <w:rPr>
                      <w:rFonts w:ascii="Verdana" w:hAnsi="Verdana"/>
                      <w:color w:val="231F20"/>
                      <w:spacing w:val="-11"/>
                      <w:sz w:val="13"/>
                    </w:rPr>
                    <w:t> </w:t>
                  </w:r>
                  <w:r>
                    <w:rPr>
                      <w:rFonts w:ascii="Verdana" w:hAnsi="Verdana"/>
                      <w:color w:val="231F20"/>
                      <w:w w:val="102"/>
                      <w:sz w:val="13"/>
                    </w:rPr>
                    <w:t>Roo</w:t>
                  </w:r>
                </w:p>
                <w:p>
                  <w:pPr>
                    <w:spacing w:line="158" w:lineRule="exact" w:before="0"/>
                    <w:ind w:left="0" w:right="18" w:firstLine="0"/>
                    <w:jc w:val="right"/>
                    <w:rPr>
                      <w:rFonts w:ascii="Verdana"/>
                      <w:sz w:val="13"/>
                    </w:rPr>
                  </w:pPr>
                  <w:r>
                    <w:rPr>
                      <w:rFonts w:ascii="Verdana"/>
                      <w:color w:val="231F20"/>
                      <w:w w:val="94"/>
                      <w:sz w:val="13"/>
                    </w:rPr>
                    <w:t>Baja</w:t>
                  </w:r>
                  <w:r>
                    <w:rPr>
                      <w:rFonts w:ascii="Verdana"/>
                      <w:color w:val="231F20"/>
                      <w:spacing w:val="-11"/>
                      <w:sz w:val="13"/>
                    </w:rPr>
                    <w:t> </w:t>
                  </w:r>
                  <w:r>
                    <w:rPr>
                      <w:rFonts w:ascii="Verdana"/>
                      <w:color w:val="231F20"/>
                      <w:w w:val="99"/>
                      <w:sz w:val="13"/>
                    </w:rPr>
                    <w:t>California</w:t>
                  </w:r>
                  <w:r>
                    <w:rPr>
                      <w:rFonts w:ascii="Verdana"/>
                      <w:color w:val="231F20"/>
                      <w:spacing w:val="-11"/>
                      <w:sz w:val="13"/>
                    </w:rPr>
                    <w:t> </w:t>
                  </w:r>
                  <w:r>
                    <w:rPr>
                      <w:rFonts w:ascii="Verdana"/>
                      <w:color w:val="231F20"/>
                      <w:w w:val="92"/>
                      <w:sz w:val="13"/>
                    </w:rPr>
                    <w:t>Sur</w:t>
                  </w:r>
                </w:p>
              </w:txbxContent>
            </v:textbox>
            <w10:wrap type="none"/>
          </v:shape>
        </w:pict>
      </w:r>
      <w:r>
        <w:rPr>
          <w:rFonts w:ascii="Verdana"/>
          <w:color w:val="231F20"/>
          <w:w w:val="95"/>
          <w:sz w:val="14"/>
        </w:rPr>
        <w:t>0.0</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4"/>
        <w:rPr>
          <w:rFonts w:ascii="Verdana"/>
          <w:sz w:val="18"/>
        </w:rPr>
      </w:pPr>
    </w:p>
    <w:p>
      <w:pPr>
        <w:tabs>
          <w:tab w:pos="1997" w:val="left" w:leader="none"/>
          <w:tab w:pos="2836" w:val="left" w:leader="none"/>
        </w:tabs>
        <w:spacing w:before="44"/>
        <w:ind w:left="1153" w:right="0" w:firstLine="0"/>
        <w:jc w:val="center"/>
        <w:rPr>
          <w:rFonts w:ascii="Comic Sans MS"/>
          <w:b/>
          <w:sz w:val="14"/>
        </w:rPr>
      </w:pPr>
      <w:r>
        <w:rPr/>
        <w:pict>
          <v:rect style="position:absolute;margin-left:230.226486pt;margin-top:4.045884pt;width:7.273672pt;height:7.42731pt;mso-position-horizontal-relative:page;mso-position-vertical-relative:paragraph;z-index:16168" filled="true" fillcolor="#606163" stroked="false">
            <v:fill type="solid"/>
            <w10:wrap type="none"/>
          </v:rect>
        </w:pict>
      </w:r>
      <w:r>
        <w:rPr/>
        <w:pict>
          <v:rect style="position:absolute;margin-left:272.84726pt;margin-top:3.77649pt;width:7.2741pt;height:7.425564pt;mso-position-horizontal-relative:page;mso-position-vertical-relative:paragraph;z-index:-473992" filled="true" fillcolor="#aaacaf" stroked="false">
            <v:fill type="solid"/>
            <w10:wrap type="none"/>
          </v:rect>
        </w:pict>
      </w:r>
      <w:r>
        <w:rPr/>
        <w:pict>
          <v:shape style="position:absolute;margin-left:315.483002pt;margin-top:4.020351pt;width:7.35pt;height:7.5pt;mso-position-horizontal-relative:page;mso-position-vertical-relative:paragraph;z-index:-473968" coordorigin="6310,80" coordsize="147,150" path="m6456,80l6455,80,6455,81,6310,81,6310,230,6455,230,6455,229,6456,229,6456,80e" filled="true" fillcolor="#d5d6d7" stroked="false">
            <v:path arrowok="t"/>
            <v:fill type="solid"/>
            <w10:wrap type="none"/>
          </v:shape>
        </w:pict>
      </w:r>
      <w:r>
        <w:rPr>
          <w:rFonts w:ascii="Comic Sans MS"/>
          <w:b/>
          <w:color w:val="231F20"/>
          <w:position w:val="1"/>
          <w:sz w:val="14"/>
        </w:rPr>
        <w:t>2007</w:t>
        <w:tab/>
        <w:t>2009</w:t>
        <w:tab/>
      </w:r>
      <w:r>
        <w:rPr>
          <w:rFonts w:ascii="Comic Sans MS"/>
          <w:b/>
          <w:color w:val="231F20"/>
          <w:sz w:val="14"/>
        </w:rPr>
        <w:t>2012</w:t>
      </w:r>
    </w:p>
    <w:p>
      <w:pPr>
        <w:spacing w:before="37"/>
        <w:ind w:left="1723" w:right="0" w:firstLine="0"/>
        <w:jc w:val="both"/>
        <w:rPr>
          <w:sz w:val="16"/>
        </w:rPr>
      </w:pPr>
      <w:r>
        <w:rPr>
          <w:color w:val="231F20"/>
          <w:w w:val="105"/>
          <w:sz w:val="16"/>
        </w:rPr>
        <w:t>Fuente: elaboración propia con base en las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723" w:right="1829"/>
        <w:jc w:val="both"/>
      </w:pPr>
      <w:r>
        <w:rPr>
          <w:color w:val="231F20"/>
          <w:w w:val="105"/>
        </w:rPr>
        <w:t>A nivel de entidad federativa, observamos un mismo comportamiento para</w:t>
      </w:r>
      <w:r>
        <w:rPr>
          <w:color w:val="231F20"/>
          <w:spacing w:val="-19"/>
          <w:w w:val="105"/>
        </w:rPr>
        <w:t> </w:t>
      </w:r>
      <w:r>
        <w:rPr>
          <w:color w:val="231F20"/>
          <w:w w:val="105"/>
        </w:rPr>
        <w:t>el</w:t>
      </w:r>
      <w:r>
        <w:rPr>
          <w:color w:val="231F20"/>
          <w:spacing w:val="-19"/>
          <w:w w:val="105"/>
        </w:rPr>
        <w:t> </w:t>
      </w:r>
      <w:r>
        <w:rPr>
          <w:color w:val="231F20"/>
          <w:w w:val="105"/>
        </w:rPr>
        <w:t>Estado</w:t>
      </w:r>
      <w:r>
        <w:rPr>
          <w:color w:val="231F20"/>
          <w:spacing w:val="-19"/>
          <w:w w:val="105"/>
        </w:rPr>
        <w:t> </w:t>
      </w:r>
      <w:r>
        <w:rPr>
          <w:color w:val="231F20"/>
          <w:w w:val="105"/>
        </w:rPr>
        <w:t>de</w:t>
      </w:r>
      <w:r>
        <w:rPr>
          <w:color w:val="231F20"/>
          <w:spacing w:val="-19"/>
          <w:w w:val="105"/>
        </w:rPr>
        <w:t> </w:t>
      </w:r>
      <w:r>
        <w:rPr>
          <w:color w:val="231F20"/>
          <w:w w:val="105"/>
        </w:rPr>
        <w:t>México,</w:t>
      </w:r>
      <w:r>
        <w:rPr>
          <w:color w:val="231F20"/>
          <w:spacing w:val="-24"/>
          <w:w w:val="105"/>
        </w:rPr>
        <w:t> </w:t>
      </w:r>
      <w:r>
        <w:rPr>
          <w:color w:val="231F20"/>
          <w:w w:val="105"/>
        </w:rPr>
        <w:t>pues</w:t>
      </w:r>
      <w:r>
        <w:rPr>
          <w:color w:val="231F20"/>
          <w:spacing w:val="-19"/>
          <w:w w:val="105"/>
        </w:rPr>
        <w:t> </w:t>
      </w:r>
      <w:r>
        <w:rPr>
          <w:color w:val="231F20"/>
          <w:w w:val="105"/>
        </w:rPr>
        <w:t>mientras</w:t>
      </w:r>
      <w:r>
        <w:rPr>
          <w:color w:val="231F20"/>
          <w:spacing w:val="-19"/>
          <w:w w:val="105"/>
        </w:rPr>
        <w:t> </w:t>
      </w:r>
      <w:r>
        <w:rPr>
          <w:color w:val="231F20"/>
          <w:w w:val="105"/>
        </w:rPr>
        <w:t>el</w:t>
      </w:r>
      <w:r>
        <w:rPr>
          <w:color w:val="231F20"/>
          <w:spacing w:val="-19"/>
          <w:w w:val="105"/>
        </w:rPr>
        <w:t> </w:t>
      </w:r>
      <w:r>
        <w:rPr>
          <w:color w:val="231F20"/>
          <w:w w:val="105"/>
        </w:rPr>
        <w:t>número</w:t>
      </w:r>
      <w:r>
        <w:rPr>
          <w:color w:val="231F20"/>
          <w:spacing w:val="-19"/>
          <w:w w:val="105"/>
        </w:rPr>
        <w:t> </w:t>
      </w:r>
      <w:r>
        <w:rPr>
          <w:color w:val="231F20"/>
          <w:w w:val="105"/>
        </w:rPr>
        <w:t>de</w:t>
      </w:r>
      <w:r>
        <w:rPr>
          <w:color w:val="231F20"/>
          <w:spacing w:val="-19"/>
          <w:w w:val="105"/>
        </w:rPr>
        <w:t> </w:t>
      </w:r>
      <w:r>
        <w:rPr>
          <w:color w:val="231F20"/>
          <w:w w:val="105"/>
        </w:rPr>
        <w:t>eventos</w:t>
      </w:r>
      <w:r>
        <w:rPr>
          <w:color w:val="231F20"/>
          <w:spacing w:val="-19"/>
          <w:w w:val="105"/>
        </w:rPr>
        <w:t> </w:t>
      </w:r>
      <w:r>
        <w:rPr>
          <w:color w:val="231F20"/>
          <w:w w:val="105"/>
        </w:rPr>
        <w:t>de</w:t>
      </w:r>
      <w:r>
        <w:rPr>
          <w:color w:val="231F20"/>
          <w:spacing w:val="-19"/>
          <w:w w:val="105"/>
        </w:rPr>
        <w:t> </w:t>
      </w:r>
      <w:r>
        <w:rPr>
          <w:color w:val="231F20"/>
          <w:w w:val="105"/>
        </w:rPr>
        <w:t>pobla- ción</w:t>
      </w:r>
      <w:r>
        <w:rPr>
          <w:color w:val="231F20"/>
          <w:spacing w:val="-19"/>
          <w:w w:val="105"/>
        </w:rPr>
        <w:t> </w:t>
      </w:r>
      <w:r>
        <w:rPr>
          <w:color w:val="231F20"/>
          <w:w w:val="105"/>
        </w:rPr>
        <w:t>devuelta</w:t>
      </w:r>
      <w:r>
        <w:rPr>
          <w:color w:val="231F20"/>
          <w:spacing w:val="-19"/>
          <w:w w:val="105"/>
        </w:rPr>
        <w:t> </w:t>
      </w:r>
      <w:r>
        <w:rPr>
          <w:color w:val="231F20"/>
          <w:w w:val="105"/>
        </w:rPr>
        <w:t>entre</w:t>
      </w:r>
      <w:r>
        <w:rPr>
          <w:color w:val="231F20"/>
          <w:spacing w:val="-19"/>
          <w:w w:val="105"/>
        </w:rPr>
        <w:t> </w:t>
      </w:r>
      <w:r>
        <w:rPr>
          <w:color w:val="231F20"/>
          <w:w w:val="105"/>
        </w:rPr>
        <w:t>2007</w:t>
      </w:r>
      <w:r>
        <w:rPr>
          <w:color w:val="231F20"/>
          <w:spacing w:val="-19"/>
          <w:w w:val="105"/>
        </w:rPr>
        <w:t> </w:t>
      </w:r>
      <w:r>
        <w:rPr>
          <w:color w:val="231F20"/>
          <w:w w:val="105"/>
        </w:rPr>
        <w:t>y</w:t>
      </w:r>
      <w:r>
        <w:rPr>
          <w:color w:val="231F20"/>
          <w:spacing w:val="-19"/>
          <w:w w:val="105"/>
        </w:rPr>
        <w:t> </w:t>
      </w:r>
      <w:r>
        <w:rPr>
          <w:color w:val="231F20"/>
          <w:w w:val="105"/>
        </w:rPr>
        <w:t>2009</w:t>
      </w:r>
      <w:r>
        <w:rPr>
          <w:color w:val="231F20"/>
          <w:spacing w:val="-19"/>
          <w:w w:val="105"/>
        </w:rPr>
        <w:t> </w:t>
      </w:r>
      <w:r>
        <w:rPr>
          <w:color w:val="231F20"/>
          <w:w w:val="105"/>
        </w:rPr>
        <w:t>fluctuó</w:t>
      </w:r>
      <w:r>
        <w:rPr>
          <w:color w:val="231F20"/>
          <w:spacing w:val="-19"/>
          <w:w w:val="105"/>
        </w:rPr>
        <w:t> </w:t>
      </w:r>
      <w:r>
        <w:rPr>
          <w:color w:val="231F20"/>
          <w:w w:val="105"/>
        </w:rPr>
        <w:t>en</w:t>
      </w:r>
      <w:r>
        <w:rPr>
          <w:color w:val="231F20"/>
          <w:spacing w:val="-19"/>
          <w:w w:val="105"/>
        </w:rPr>
        <w:t> </w:t>
      </w:r>
      <w:r>
        <w:rPr>
          <w:color w:val="231F20"/>
          <w:w w:val="105"/>
        </w:rPr>
        <w:t>alrededor</w:t>
      </w:r>
      <w:r>
        <w:rPr>
          <w:color w:val="231F20"/>
          <w:spacing w:val="-19"/>
          <w:w w:val="105"/>
        </w:rPr>
        <w:t> </w:t>
      </w:r>
      <w:r>
        <w:rPr>
          <w:color w:val="231F20"/>
          <w:w w:val="105"/>
        </w:rPr>
        <w:t>de</w:t>
      </w:r>
      <w:r>
        <w:rPr>
          <w:color w:val="231F20"/>
          <w:spacing w:val="-19"/>
          <w:w w:val="105"/>
        </w:rPr>
        <w:t> </w:t>
      </w:r>
      <w:r>
        <w:rPr>
          <w:color w:val="231F20"/>
          <w:w w:val="105"/>
        </w:rPr>
        <w:t>25,000,</w:t>
      </w:r>
      <w:r>
        <w:rPr>
          <w:color w:val="231F20"/>
          <w:spacing w:val="-24"/>
          <w:w w:val="105"/>
        </w:rPr>
        <w:t> </w:t>
      </w:r>
      <w:r>
        <w:rPr>
          <w:color w:val="231F20"/>
          <w:w w:val="105"/>
        </w:rPr>
        <w:t>se</w:t>
      </w:r>
      <w:r>
        <w:rPr>
          <w:color w:val="231F20"/>
          <w:spacing w:val="-19"/>
          <w:w w:val="105"/>
        </w:rPr>
        <w:t> </w:t>
      </w:r>
      <w:r>
        <w:rPr>
          <w:color w:val="231F20"/>
          <w:w w:val="105"/>
        </w:rPr>
        <w:t>regis- tra</w:t>
      </w:r>
      <w:r>
        <w:rPr>
          <w:color w:val="231F20"/>
          <w:spacing w:val="-6"/>
          <w:w w:val="105"/>
        </w:rPr>
        <w:t> </w:t>
      </w:r>
      <w:r>
        <w:rPr>
          <w:color w:val="231F20"/>
          <w:w w:val="105"/>
        </w:rPr>
        <w:t>una</w:t>
      </w:r>
      <w:r>
        <w:rPr>
          <w:color w:val="231F20"/>
          <w:spacing w:val="-6"/>
          <w:w w:val="105"/>
        </w:rPr>
        <w:t> </w:t>
      </w:r>
      <w:r>
        <w:rPr>
          <w:color w:val="231F20"/>
          <w:w w:val="105"/>
        </w:rPr>
        <w:t>disminución</w:t>
      </w:r>
      <w:r>
        <w:rPr>
          <w:color w:val="231F20"/>
          <w:spacing w:val="-6"/>
          <w:w w:val="105"/>
        </w:rPr>
        <w:t> </w:t>
      </w:r>
      <w:r>
        <w:rPr>
          <w:color w:val="231F20"/>
          <w:w w:val="105"/>
        </w:rPr>
        <w:t>en</w:t>
      </w:r>
      <w:r>
        <w:rPr>
          <w:color w:val="231F20"/>
          <w:spacing w:val="-6"/>
          <w:w w:val="105"/>
        </w:rPr>
        <w:t> </w:t>
      </w:r>
      <w:r>
        <w:rPr>
          <w:color w:val="231F20"/>
          <w:w w:val="105"/>
        </w:rPr>
        <w:t>2012</w:t>
      </w:r>
      <w:r>
        <w:rPr>
          <w:color w:val="231F20"/>
          <w:spacing w:val="-6"/>
          <w:w w:val="105"/>
        </w:rPr>
        <w:t> </w:t>
      </w:r>
      <w:r>
        <w:rPr>
          <w:color w:val="231F20"/>
          <w:w w:val="105"/>
        </w:rPr>
        <w:t>con</w:t>
      </w:r>
      <w:r>
        <w:rPr>
          <w:color w:val="231F20"/>
          <w:spacing w:val="-6"/>
          <w:w w:val="105"/>
        </w:rPr>
        <w:t> </w:t>
      </w:r>
      <w:r>
        <w:rPr>
          <w:color w:val="231F20"/>
          <w:w w:val="105"/>
        </w:rPr>
        <w:t>aproximadamente</w:t>
      </w:r>
      <w:r>
        <w:rPr>
          <w:color w:val="231F20"/>
          <w:spacing w:val="-6"/>
          <w:w w:val="105"/>
        </w:rPr>
        <w:t> </w:t>
      </w:r>
      <w:r>
        <w:rPr>
          <w:color w:val="231F20"/>
          <w:w w:val="105"/>
        </w:rPr>
        <w:t>20,684</w:t>
      </w:r>
      <w:r>
        <w:rPr>
          <w:color w:val="231F20"/>
          <w:spacing w:val="-6"/>
          <w:w w:val="105"/>
        </w:rPr>
        <w:t> </w:t>
      </w:r>
      <w:r>
        <w:rPr>
          <w:color w:val="231F20"/>
          <w:w w:val="105"/>
        </w:rPr>
        <w:t>eventos.</w:t>
      </w:r>
      <w:r>
        <w:rPr>
          <w:color w:val="231F20"/>
          <w:spacing w:val="-12"/>
          <w:w w:val="105"/>
        </w:rPr>
        <w:t> </w:t>
      </w:r>
      <w:r>
        <w:rPr>
          <w:color w:val="231F20"/>
          <w:w w:val="105"/>
        </w:rPr>
        <w:t>No obstante, es importante advertir que en el contexto nacional, el Estado de</w:t>
      </w:r>
      <w:r>
        <w:rPr>
          <w:color w:val="231F20"/>
          <w:spacing w:val="-8"/>
          <w:w w:val="105"/>
        </w:rPr>
        <w:t> </w:t>
      </w:r>
      <w:r>
        <w:rPr>
          <w:color w:val="231F20"/>
          <w:w w:val="105"/>
        </w:rPr>
        <w:t>México</w:t>
      </w:r>
      <w:r>
        <w:rPr>
          <w:color w:val="231F20"/>
          <w:spacing w:val="-8"/>
          <w:w w:val="105"/>
        </w:rPr>
        <w:t> </w:t>
      </w:r>
      <w:r>
        <w:rPr>
          <w:color w:val="231F20"/>
          <w:w w:val="105"/>
        </w:rPr>
        <w:t>pasó</w:t>
      </w:r>
      <w:r>
        <w:rPr>
          <w:color w:val="231F20"/>
          <w:spacing w:val="-8"/>
          <w:w w:val="105"/>
        </w:rPr>
        <w:t> </w:t>
      </w:r>
      <w:r>
        <w:rPr>
          <w:color w:val="231F20"/>
          <w:w w:val="105"/>
        </w:rPr>
        <w:t>de</w:t>
      </w:r>
      <w:r>
        <w:rPr>
          <w:color w:val="231F20"/>
          <w:spacing w:val="-8"/>
          <w:w w:val="105"/>
        </w:rPr>
        <w:t> </w:t>
      </w:r>
      <w:r>
        <w:rPr>
          <w:color w:val="231F20"/>
          <w:w w:val="105"/>
        </w:rPr>
        <w:t>posicionarse</w:t>
      </w:r>
      <w:r>
        <w:rPr>
          <w:color w:val="231F20"/>
          <w:spacing w:val="-8"/>
          <w:w w:val="105"/>
        </w:rPr>
        <w:t> </w:t>
      </w:r>
      <w:r>
        <w:rPr>
          <w:color w:val="231F20"/>
          <w:w w:val="105"/>
        </w:rPr>
        <w:t>como</w:t>
      </w:r>
      <w:r>
        <w:rPr>
          <w:color w:val="231F20"/>
          <w:spacing w:val="-8"/>
          <w:w w:val="105"/>
        </w:rPr>
        <w:t> </w:t>
      </w:r>
      <w:r>
        <w:rPr>
          <w:color w:val="231F20"/>
          <w:w w:val="105"/>
        </w:rPr>
        <w:t>la</w:t>
      </w:r>
      <w:r>
        <w:rPr>
          <w:color w:val="231F20"/>
          <w:spacing w:val="-8"/>
          <w:w w:val="105"/>
        </w:rPr>
        <w:t> </w:t>
      </w:r>
      <w:r>
        <w:rPr>
          <w:color w:val="231F20"/>
          <w:w w:val="105"/>
        </w:rPr>
        <w:t>novena</w:t>
      </w:r>
      <w:r>
        <w:rPr>
          <w:color w:val="231F20"/>
          <w:spacing w:val="-8"/>
          <w:w w:val="105"/>
        </w:rPr>
        <w:t> </w:t>
      </w:r>
      <w:r>
        <w:rPr>
          <w:color w:val="231F20"/>
          <w:w w:val="105"/>
        </w:rPr>
        <w:t>entidad</w:t>
      </w:r>
      <w:r>
        <w:rPr>
          <w:color w:val="231F20"/>
          <w:spacing w:val="-8"/>
          <w:w w:val="105"/>
        </w:rPr>
        <w:t> </w:t>
      </w:r>
      <w:r>
        <w:rPr>
          <w:color w:val="231F20"/>
          <w:w w:val="105"/>
        </w:rPr>
        <w:t>con</w:t>
      </w:r>
      <w:r>
        <w:rPr>
          <w:color w:val="231F20"/>
          <w:spacing w:val="-8"/>
          <w:w w:val="105"/>
        </w:rPr>
        <w:t> </w:t>
      </w:r>
      <w:r>
        <w:rPr>
          <w:color w:val="231F20"/>
          <w:w w:val="105"/>
        </w:rPr>
        <w:t>mayor</w:t>
      </w:r>
      <w:r>
        <w:rPr>
          <w:color w:val="231F20"/>
          <w:spacing w:val="-8"/>
          <w:w w:val="105"/>
        </w:rPr>
        <w:t> </w:t>
      </w:r>
      <w:r>
        <w:rPr>
          <w:color w:val="231F20"/>
          <w:w w:val="105"/>
        </w:rPr>
        <w:t>nú- mero</w:t>
      </w:r>
      <w:r>
        <w:rPr>
          <w:color w:val="231F20"/>
          <w:spacing w:val="-11"/>
          <w:w w:val="105"/>
        </w:rPr>
        <w:t> </w:t>
      </w:r>
      <w:r>
        <w:rPr>
          <w:color w:val="231F20"/>
          <w:w w:val="105"/>
        </w:rPr>
        <w:t>de</w:t>
      </w:r>
      <w:r>
        <w:rPr>
          <w:color w:val="231F20"/>
          <w:spacing w:val="-11"/>
          <w:w w:val="105"/>
        </w:rPr>
        <w:t> </w:t>
      </w:r>
      <w:r>
        <w:rPr>
          <w:color w:val="231F20"/>
          <w:w w:val="105"/>
        </w:rPr>
        <w:t>población</w:t>
      </w:r>
      <w:r>
        <w:rPr>
          <w:color w:val="231F20"/>
          <w:spacing w:val="-11"/>
          <w:w w:val="105"/>
        </w:rPr>
        <w:t> </w:t>
      </w:r>
      <w:r>
        <w:rPr>
          <w:color w:val="231F20"/>
          <w:w w:val="105"/>
        </w:rPr>
        <w:t>devuelta</w:t>
      </w:r>
      <w:r>
        <w:rPr>
          <w:color w:val="231F20"/>
          <w:spacing w:val="-11"/>
          <w:w w:val="105"/>
        </w:rPr>
        <w:t> </w:t>
      </w:r>
      <w:r>
        <w:rPr>
          <w:color w:val="231F20"/>
          <w:w w:val="105"/>
        </w:rPr>
        <w:t>en</w:t>
      </w:r>
      <w:r>
        <w:rPr>
          <w:color w:val="231F20"/>
          <w:spacing w:val="-11"/>
          <w:w w:val="105"/>
        </w:rPr>
        <w:t> </w:t>
      </w:r>
      <w:r>
        <w:rPr>
          <w:color w:val="231F20"/>
          <w:w w:val="105"/>
        </w:rPr>
        <w:t>2007</w:t>
      </w:r>
      <w:r>
        <w:rPr>
          <w:color w:val="231F20"/>
          <w:spacing w:val="-11"/>
          <w:w w:val="105"/>
        </w:rPr>
        <w:t> </w:t>
      </w:r>
      <w:r>
        <w:rPr>
          <w:color w:val="231F20"/>
          <w:w w:val="105"/>
        </w:rPr>
        <w:t>y</w:t>
      </w:r>
      <w:r>
        <w:rPr>
          <w:color w:val="231F20"/>
          <w:spacing w:val="-11"/>
          <w:w w:val="105"/>
        </w:rPr>
        <w:t> </w:t>
      </w:r>
      <w:r>
        <w:rPr>
          <w:color w:val="231F20"/>
          <w:w w:val="105"/>
        </w:rPr>
        <w:t>2009</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sexta</w:t>
      </w:r>
      <w:r>
        <w:rPr>
          <w:color w:val="231F20"/>
          <w:spacing w:val="-11"/>
          <w:w w:val="105"/>
        </w:rPr>
        <w:t> </w:t>
      </w:r>
      <w:r>
        <w:rPr>
          <w:color w:val="231F20"/>
          <w:w w:val="105"/>
        </w:rPr>
        <w:t>posición</w:t>
      </w:r>
      <w:r>
        <w:rPr>
          <w:color w:val="231F20"/>
          <w:spacing w:val="-11"/>
          <w:w w:val="105"/>
        </w:rPr>
        <w:t> </w:t>
      </w:r>
      <w:r>
        <w:rPr>
          <w:color w:val="231F20"/>
          <w:w w:val="105"/>
        </w:rPr>
        <w:t>en</w:t>
      </w:r>
      <w:r>
        <w:rPr>
          <w:color w:val="231F20"/>
          <w:spacing w:val="-11"/>
          <w:w w:val="105"/>
        </w:rPr>
        <w:t> </w:t>
      </w:r>
      <w:r>
        <w:rPr>
          <w:color w:val="231F20"/>
          <w:w w:val="105"/>
        </w:rPr>
        <w:t>2012, lo cual, a pesar de la disminución observada en términos absolutos, se explica por la menor presencia de migrantes devueltos que registraron los</w:t>
      </w:r>
      <w:r>
        <w:rPr>
          <w:color w:val="231F20"/>
          <w:spacing w:val="-30"/>
          <w:w w:val="105"/>
        </w:rPr>
        <w:t> </w:t>
      </w:r>
      <w:r>
        <w:rPr>
          <w:color w:val="231F20"/>
          <w:w w:val="105"/>
        </w:rPr>
        <w:t>estados</w:t>
      </w:r>
      <w:r>
        <w:rPr>
          <w:color w:val="231F20"/>
          <w:spacing w:val="-30"/>
          <w:w w:val="105"/>
        </w:rPr>
        <w:t> </w:t>
      </w:r>
      <w:r>
        <w:rPr>
          <w:color w:val="231F20"/>
          <w:w w:val="105"/>
        </w:rPr>
        <w:t>de</w:t>
      </w:r>
      <w:r>
        <w:rPr>
          <w:color w:val="231F20"/>
          <w:spacing w:val="-30"/>
          <w:w w:val="105"/>
        </w:rPr>
        <w:t> </w:t>
      </w:r>
      <w:r>
        <w:rPr>
          <w:color w:val="231F20"/>
          <w:w w:val="105"/>
        </w:rPr>
        <w:t>Oaxaca,</w:t>
      </w:r>
      <w:r>
        <w:rPr>
          <w:color w:val="231F20"/>
          <w:spacing w:val="-35"/>
          <w:w w:val="105"/>
        </w:rPr>
        <w:t> </w:t>
      </w:r>
      <w:r>
        <w:rPr>
          <w:color w:val="231F20"/>
          <w:w w:val="105"/>
        </w:rPr>
        <w:t>Jalisco</w:t>
      </w:r>
      <w:r>
        <w:rPr>
          <w:color w:val="231F20"/>
          <w:spacing w:val="-30"/>
          <w:w w:val="105"/>
        </w:rPr>
        <w:t> </w:t>
      </w:r>
      <w:r>
        <w:rPr>
          <w:color w:val="231F20"/>
          <w:w w:val="105"/>
        </w:rPr>
        <w:t>y</w:t>
      </w:r>
      <w:r>
        <w:rPr>
          <w:color w:val="231F20"/>
          <w:spacing w:val="-30"/>
          <w:w w:val="105"/>
        </w:rPr>
        <w:t> </w:t>
      </w:r>
      <w:r>
        <w:rPr>
          <w:color w:val="231F20"/>
          <w:w w:val="105"/>
        </w:rPr>
        <w:t>Guerrero</w:t>
      </w:r>
      <w:r>
        <w:rPr>
          <w:color w:val="231F20"/>
          <w:spacing w:val="-30"/>
          <w:w w:val="105"/>
        </w:rPr>
        <w:t> </w:t>
      </w:r>
      <w:r>
        <w:rPr>
          <w:color w:val="231F20"/>
          <w:w w:val="105"/>
        </w:rPr>
        <w:t>(véase</w:t>
      </w:r>
      <w:r>
        <w:rPr>
          <w:color w:val="231F20"/>
          <w:spacing w:val="-30"/>
          <w:w w:val="105"/>
        </w:rPr>
        <w:t> </w:t>
      </w:r>
      <w:r>
        <w:rPr>
          <w:color w:val="231F20"/>
          <w:w w:val="105"/>
        </w:rPr>
        <w:t>gráfica</w:t>
      </w:r>
      <w:r>
        <w:rPr>
          <w:color w:val="231F20"/>
          <w:spacing w:val="-30"/>
          <w:w w:val="105"/>
        </w:rPr>
        <w:t> </w:t>
      </w:r>
      <w:r>
        <w:rPr>
          <w:color w:val="231F20"/>
          <w:w w:val="105"/>
        </w:rPr>
        <w:t>1).</w:t>
      </w:r>
    </w:p>
    <w:p>
      <w:pPr>
        <w:pStyle w:val="BodyText"/>
        <w:spacing w:line="261" w:lineRule="auto" w:before="1"/>
        <w:ind w:left="1723" w:right="1829" w:firstLine="567"/>
        <w:jc w:val="both"/>
      </w:pPr>
      <w:r>
        <w:rPr>
          <w:color w:val="231F20"/>
          <w:w w:val="105"/>
        </w:rPr>
        <w:t>Entre las principales características sociodemográficas de esta población observamos una presencia importante de mujeres en 2007, con un porcentaje que sin embargo disminuyó considerablemente en 2012:</w:t>
      </w:r>
      <w:r>
        <w:rPr>
          <w:color w:val="231F20"/>
          <w:spacing w:val="-15"/>
          <w:w w:val="105"/>
        </w:rPr>
        <w:t> </w:t>
      </w:r>
      <w:r>
        <w:rPr>
          <w:color w:val="231F20"/>
          <w:w w:val="105"/>
        </w:rPr>
        <w:t>de</w:t>
      </w:r>
      <w:r>
        <w:rPr>
          <w:color w:val="231F20"/>
          <w:spacing w:val="-15"/>
          <w:w w:val="105"/>
        </w:rPr>
        <w:t> </w:t>
      </w:r>
      <w:r>
        <w:rPr>
          <w:color w:val="231F20"/>
          <w:w w:val="105"/>
        </w:rPr>
        <w:t>24.1%</w:t>
      </w:r>
      <w:r>
        <w:rPr>
          <w:color w:val="231F20"/>
          <w:spacing w:val="-15"/>
          <w:w w:val="105"/>
        </w:rPr>
        <w:t> </w:t>
      </w:r>
      <w:r>
        <w:rPr>
          <w:color w:val="231F20"/>
          <w:w w:val="105"/>
        </w:rPr>
        <w:t>a</w:t>
      </w:r>
      <w:r>
        <w:rPr>
          <w:color w:val="231F20"/>
          <w:spacing w:val="-15"/>
          <w:w w:val="105"/>
        </w:rPr>
        <w:t> </w:t>
      </w:r>
      <w:r>
        <w:rPr>
          <w:color w:val="231F20"/>
          <w:w w:val="105"/>
        </w:rPr>
        <w:t>12.5%.</w:t>
      </w:r>
      <w:r>
        <w:rPr>
          <w:color w:val="231F20"/>
          <w:spacing w:val="-23"/>
          <w:w w:val="105"/>
        </w:rPr>
        <w:t> </w:t>
      </w:r>
      <w:r>
        <w:rPr>
          <w:color w:val="231F20"/>
          <w:w w:val="105"/>
        </w:rPr>
        <w:t>Además</w:t>
      </w:r>
      <w:r>
        <w:rPr>
          <w:color w:val="231F20"/>
          <w:spacing w:val="-15"/>
          <w:w w:val="105"/>
        </w:rPr>
        <w:t> </w:t>
      </w:r>
      <w:r>
        <w:rPr>
          <w:color w:val="231F20"/>
          <w:w w:val="105"/>
        </w:rPr>
        <w:t>de</w:t>
      </w:r>
      <w:r>
        <w:rPr>
          <w:color w:val="231F20"/>
          <w:spacing w:val="-15"/>
          <w:w w:val="105"/>
        </w:rPr>
        <w:t> </w:t>
      </w:r>
      <w:r>
        <w:rPr>
          <w:color w:val="231F20"/>
          <w:w w:val="105"/>
        </w:rPr>
        <w:t>este</w:t>
      </w:r>
      <w:r>
        <w:rPr>
          <w:color w:val="231F20"/>
          <w:spacing w:val="-15"/>
          <w:w w:val="105"/>
        </w:rPr>
        <w:t> </w:t>
      </w:r>
      <w:r>
        <w:rPr>
          <w:color w:val="231F20"/>
          <w:w w:val="105"/>
        </w:rPr>
        <w:t>comportamiento,</w:t>
      </w:r>
      <w:r>
        <w:rPr>
          <w:color w:val="231F20"/>
          <w:spacing w:val="-20"/>
          <w:w w:val="105"/>
        </w:rPr>
        <w:t> </w:t>
      </w:r>
      <w:r>
        <w:rPr>
          <w:color w:val="231F20"/>
          <w:w w:val="105"/>
        </w:rPr>
        <w:t>se</w:t>
      </w:r>
      <w:r>
        <w:rPr>
          <w:color w:val="231F20"/>
          <w:spacing w:val="-15"/>
          <w:w w:val="105"/>
        </w:rPr>
        <w:t> </w:t>
      </w:r>
      <w:r>
        <w:rPr>
          <w:color w:val="231F20"/>
          <w:w w:val="105"/>
        </w:rPr>
        <w:t>advierten diferencias</w:t>
      </w:r>
      <w:r>
        <w:rPr>
          <w:color w:val="231F20"/>
          <w:spacing w:val="-22"/>
          <w:w w:val="105"/>
        </w:rPr>
        <w:t> </w:t>
      </w:r>
      <w:r>
        <w:rPr>
          <w:color w:val="231F20"/>
          <w:w w:val="105"/>
        </w:rPr>
        <w:t>importantes</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dinámica</w:t>
      </w:r>
      <w:r>
        <w:rPr>
          <w:color w:val="231F20"/>
          <w:spacing w:val="-22"/>
          <w:w w:val="105"/>
        </w:rPr>
        <w:t> </w:t>
      </w:r>
      <w:r>
        <w:rPr>
          <w:color w:val="231F20"/>
          <w:w w:val="105"/>
        </w:rPr>
        <w:t>que</w:t>
      </w:r>
      <w:r>
        <w:rPr>
          <w:color w:val="231F20"/>
          <w:spacing w:val="-22"/>
          <w:w w:val="105"/>
        </w:rPr>
        <w:t> </w:t>
      </w:r>
      <w:r>
        <w:rPr>
          <w:color w:val="231F20"/>
          <w:w w:val="105"/>
        </w:rPr>
        <w:t>los</w:t>
      </w:r>
      <w:r>
        <w:rPr>
          <w:color w:val="231F20"/>
          <w:spacing w:val="-22"/>
          <w:w w:val="105"/>
        </w:rPr>
        <w:t> </w:t>
      </w:r>
      <w:r>
        <w:rPr>
          <w:color w:val="231F20"/>
          <w:w w:val="105"/>
        </w:rPr>
        <w:t>mexiquenses</w:t>
      </w:r>
      <w:r>
        <w:rPr>
          <w:color w:val="231F20"/>
          <w:spacing w:val="-22"/>
          <w:w w:val="105"/>
        </w:rPr>
        <w:t> </w:t>
      </w:r>
      <w:r>
        <w:rPr>
          <w:color w:val="231F20"/>
          <w:w w:val="105"/>
        </w:rPr>
        <w:t>registran</w:t>
      </w:r>
      <w:r>
        <w:rPr>
          <w:color w:val="231F20"/>
          <w:spacing w:val="-22"/>
          <w:w w:val="105"/>
        </w:rPr>
        <w:t> </w:t>
      </w:r>
      <w:r>
        <w:rPr>
          <w:color w:val="231F20"/>
          <w:w w:val="105"/>
        </w:rPr>
        <w:t>en comparación</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devuelta</w:t>
      </w:r>
      <w:r>
        <w:rPr>
          <w:color w:val="231F20"/>
          <w:spacing w:val="-11"/>
          <w:w w:val="105"/>
        </w:rPr>
        <w:t> </w:t>
      </w:r>
      <w:r>
        <w:rPr>
          <w:color w:val="231F20"/>
          <w:w w:val="105"/>
        </w:rPr>
        <w:t>a</w:t>
      </w:r>
      <w:r>
        <w:rPr>
          <w:color w:val="231F20"/>
          <w:spacing w:val="-11"/>
          <w:w w:val="105"/>
        </w:rPr>
        <w:t> </w:t>
      </w:r>
      <w:r>
        <w:rPr>
          <w:color w:val="231F20"/>
          <w:w w:val="105"/>
        </w:rPr>
        <w:t>nivel</w:t>
      </w:r>
      <w:r>
        <w:rPr>
          <w:color w:val="231F20"/>
          <w:spacing w:val="-11"/>
          <w:w w:val="105"/>
        </w:rPr>
        <w:t> </w:t>
      </w:r>
      <w:r>
        <w:rPr>
          <w:color w:val="231F20"/>
          <w:w w:val="105"/>
        </w:rPr>
        <w:t>nacional,</w:t>
      </w:r>
      <w:r>
        <w:rPr>
          <w:color w:val="231F20"/>
          <w:spacing w:val="-16"/>
          <w:w w:val="105"/>
        </w:rPr>
        <w:t> </w:t>
      </w:r>
      <w:r>
        <w:rPr>
          <w:color w:val="231F20"/>
          <w:w w:val="105"/>
        </w:rPr>
        <w:t>pues</w:t>
      </w:r>
      <w:r>
        <w:rPr>
          <w:color w:val="231F20"/>
          <w:spacing w:val="-11"/>
          <w:w w:val="105"/>
        </w:rPr>
        <w:t> </w:t>
      </w:r>
      <w:r>
        <w:rPr>
          <w:color w:val="231F20"/>
          <w:w w:val="105"/>
        </w:rPr>
        <w:t>la</w:t>
      </w:r>
      <w:r>
        <w:rPr>
          <w:color w:val="231F20"/>
          <w:spacing w:val="-11"/>
          <w:w w:val="105"/>
        </w:rPr>
        <w:t> </w:t>
      </w:r>
      <w:r>
        <w:rPr>
          <w:color w:val="231F20"/>
          <w:w w:val="105"/>
        </w:rPr>
        <w:t>presen- cia</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mujeres</w:t>
      </w:r>
      <w:r>
        <w:rPr>
          <w:color w:val="231F20"/>
          <w:spacing w:val="-11"/>
          <w:w w:val="105"/>
        </w:rPr>
        <w:t> </w:t>
      </w:r>
      <w:r>
        <w:rPr>
          <w:color w:val="231F20"/>
          <w:w w:val="105"/>
        </w:rPr>
        <w:t>si</w:t>
      </w:r>
      <w:r>
        <w:rPr>
          <w:color w:val="231F20"/>
          <w:spacing w:val="-11"/>
          <w:w w:val="105"/>
        </w:rPr>
        <w:t> </w:t>
      </w:r>
      <w:r>
        <w:rPr>
          <w:color w:val="231F20"/>
          <w:w w:val="105"/>
        </w:rPr>
        <w:t>bien</w:t>
      </w:r>
      <w:r>
        <w:rPr>
          <w:color w:val="231F20"/>
          <w:spacing w:val="-11"/>
          <w:w w:val="105"/>
        </w:rPr>
        <w:t> </w:t>
      </w:r>
      <w:r>
        <w:rPr>
          <w:color w:val="231F20"/>
          <w:w w:val="105"/>
        </w:rPr>
        <w:t>es</w:t>
      </w:r>
      <w:r>
        <w:rPr>
          <w:color w:val="231F20"/>
          <w:spacing w:val="-11"/>
          <w:w w:val="105"/>
        </w:rPr>
        <w:t> </w:t>
      </w:r>
      <w:r>
        <w:rPr>
          <w:color w:val="231F20"/>
          <w:w w:val="105"/>
        </w:rPr>
        <w:t>alta,</w:t>
      </w:r>
      <w:r>
        <w:rPr>
          <w:color w:val="231F20"/>
          <w:spacing w:val="-16"/>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w w:val="105"/>
        </w:rPr>
        <w:t>sitúa</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proporciones</w:t>
      </w:r>
      <w:r>
        <w:rPr>
          <w:color w:val="231F20"/>
          <w:spacing w:val="-11"/>
          <w:w w:val="105"/>
        </w:rPr>
        <w:t> </w:t>
      </w:r>
      <w:r>
        <w:rPr>
          <w:color w:val="231F20"/>
          <w:w w:val="105"/>
        </w:rPr>
        <w:t>obteni- das</w:t>
      </w:r>
      <w:r>
        <w:rPr>
          <w:color w:val="231F20"/>
          <w:spacing w:val="-20"/>
          <w:w w:val="105"/>
        </w:rPr>
        <w:t> </w:t>
      </w:r>
      <w:r>
        <w:rPr>
          <w:color w:val="231F20"/>
          <w:w w:val="105"/>
        </w:rPr>
        <w:t>por</w:t>
      </w:r>
      <w:r>
        <w:rPr>
          <w:color w:val="231F20"/>
          <w:spacing w:val="-20"/>
          <w:w w:val="105"/>
        </w:rPr>
        <w:t> </w:t>
      </w:r>
      <w:r>
        <w:rPr>
          <w:color w:val="231F20"/>
          <w:w w:val="105"/>
        </w:rPr>
        <w:t>las</w:t>
      </w:r>
      <w:r>
        <w:rPr>
          <w:color w:val="231F20"/>
          <w:spacing w:val="-20"/>
          <w:w w:val="105"/>
        </w:rPr>
        <w:t> </w:t>
      </w:r>
      <w:r>
        <w:rPr>
          <w:color w:val="231F20"/>
          <w:w w:val="105"/>
        </w:rPr>
        <w:t>mexiquenses</w:t>
      </w:r>
      <w:r>
        <w:rPr>
          <w:color w:val="231F20"/>
          <w:spacing w:val="-20"/>
          <w:w w:val="105"/>
        </w:rPr>
        <w:t> </w:t>
      </w:r>
      <w:r>
        <w:rPr>
          <w:color w:val="231F20"/>
          <w:w w:val="105"/>
        </w:rPr>
        <w:t>(véase</w:t>
      </w:r>
      <w:r>
        <w:rPr>
          <w:color w:val="231F20"/>
          <w:spacing w:val="-20"/>
          <w:w w:val="105"/>
        </w:rPr>
        <w:t> </w:t>
      </w:r>
      <w:r>
        <w:rPr>
          <w:color w:val="231F20"/>
          <w:w w:val="105"/>
        </w:rPr>
        <w:t>gráfica</w:t>
      </w:r>
      <w:r>
        <w:rPr>
          <w:color w:val="231F20"/>
          <w:spacing w:val="-20"/>
          <w:w w:val="105"/>
        </w:rPr>
        <w:t> </w:t>
      </w:r>
      <w:r>
        <w:rPr>
          <w:color w:val="231F20"/>
          <w:w w:val="105"/>
        </w:rPr>
        <w:t>2).</w:t>
      </w:r>
      <w:r>
        <w:rPr>
          <w:color w:val="231F20"/>
          <w:spacing w:val="-24"/>
          <w:w w:val="105"/>
        </w:rPr>
        <w:t> </w:t>
      </w:r>
      <w:r>
        <w:rPr>
          <w:color w:val="231F20"/>
          <w:w w:val="105"/>
        </w:rPr>
        <w:t>Situación</w:t>
      </w:r>
      <w:r>
        <w:rPr>
          <w:color w:val="231F20"/>
          <w:spacing w:val="-20"/>
          <w:w w:val="105"/>
        </w:rPr>
        <w:t> </w:t>
      </w:r>
      <w:r>
        <w:rPr>
          <w:color w:val="231F20"/>
          <w:w w:val="105"/>
        </w:rPr>
        <w:t>que</w:t>
      </w:r>
      <w:r>
        <w:rPr>
          <w:color w:val="231F20"/>
          <w:spacing w:val="-20"/>
          <w:w w:val="105"/>
        </w:rPr>
        <w:t> </w:t>
      </w:r>
      <w:r>
        <w:rPr>
          <w:color w:val="231F20"/>
          <w:w w:val="105"/>
        </w:rPr>
        <w:t>parece</w:t>
      </w:r>
      <w:r>
        <w:rPr>
          <w:color w:val="231F20"/>
          <w:spacing w:val="-20"/>
          <w:w w:val="105"/>
        </w:rPr>
        <w:t> </w:t>
      </w:r>
      <w:r>
        <w:rPr>
          <w:color w:val="231F20"/>
          <w:w w:val="105"/>
        </w:rPr>
        <w:t>advertir que,</w:t>
      </w:r>
      <w:r>
        <w:rPr>
          <w:color w:val="231F20"/>
          <w:spacing w:val="-18"/>
          <w:w w:val="105"/>
        </w:rPr>
        <w:t> </w:t>
      </w:r>
      <w:r>
        <w:rPr>
          <w:color w:val="231F20"/>
          <w:w w:val="105"/>
        </w:rPr>
        <w:t>a</w:t>
      </w:r>
      <w:r>
        <w:rPr>
          <w:color w:val="231F20"/>
          <w:spacing w:val="-13"/>
          <w:w w:val="105"/>
        </w:rPr>
        <w:t> </w:t>
      </w:r>
      <w:r>
        <w:rPr>
          <w:color w:val="231F20"/>
          <w:w w:val="105"/>
        </w:rPr>
        <w:t>pesar</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feminización</w:t>
      </w:r>
      <w:r>
        <w:rPr>
          <w:color w:val="231F20"/>
          <w:spacing w:val="-13"/>
          <w:w w:val="105"/>
        </w:rPr>
        <w:t> </w:t>
      </w:r>
      <w:r>
        <w:rPr>
          <w:color w:val="231F20"/>
          <w:w w:val="105"/>
        </w:rPr>
        <w:t>observada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flujo</w:t>
      </w:r>
      <w:r>
        <w:rPr>
          <w:color w:val="231F20"/>
          <w:spacing w:val="-13"/>
          <w:w w:val="105"/>
        </w:rPr>
        <w:t> </w:t>
      </w:r>
      <w:r>
        <w:rPr>
          <w:color w:val="231F20"/>
          <w:w w:val="105"/>
        </w:rPr>
        <w:t>de</w:t>
      </w:r>
      <w:r>
        <w:rPr>
          <w:color w:val="231F20"/>
          <w:spacing w:val="-13"/>
          <w:w w:val="105"/>
        </w:rPr>
        <w:t> </w:t>
      </w:r>
      <w:r>
        <w:rPr>
          <w:color w:val="231F20"/>
          <w:w w:val="105"/>
        </w:rPr>
        <w:t>migrantes</w:t>
      </w:r>
      <w:r>
        <w:rPr>
          <w:color w:val="231F20"/>
          <w:spacing w:val="-13"/>
          <w:w w:val="105"/>
        </w:rPr>
        <w:t> </w:t>
      </w:r>
      <w:r>
        <w:rPr>
          <w:color w:val="231F20"/>
          <w:w w:val="105"/>
        </w:rPr>
        <w:t>mexi- quenses, el endurecimiento y mayor control de la frontera ha incidido en</w:t>
      </w:r>
      <w:r>
        <w:rPr>
          <w:color w:val="231F20"/>
          <w:spacing w:val="-11"/>
          <w:w w:val="105"/>
        </w:rPr>
        <w:t> </w:t>
      </w:r>
      <w:r>
        <w:rPr>
          <w:color w:val="231F20"/>
          <w:w w:val="105"/>
        </w:rPr>
        <w:t>la</w:t>
      </w:r>
      <w:r>
        <w:rPr>
          <w:color w:val="231F20"/>
          <w:spacing w:val="-11"/>
          <w:w w:val="105"/>
        </w:rPr>
        <w:t> </w:t>
      </w:r>
      <w:r>
        <w:rPr>
          <w:color w:val="231F20"/>
          <w:w w:val="105"/>
        </w:rPr>
        <w:t>disminución</w:t>
      </w:r>
      <w:r>
        <w:rPr>
          <w:color w:val="231F20"/>
          <w:spacing w:val="-11"/>
          <w:w w:val="105"/>
        </w:rPr>
        <w:t> </w:t>
      </w:r>
      <w:r>
        <w:rPr>
          <w:color w:val="231F20"/>
          <w:w w:val="105"/>
        </w:rPr>
        <w:t>de</w:t>
      </w:r>
      <w:r>
        <w:rPr>
          <w:color w:val="231F20"/>
          <w:spacing w:val="-11"/>
          <w:w w:val="105"/>
        </w:rPr>
        <w:t> </w:t>
      </w:r>
      <w:r>
        <w:rPr>
          <w:color w:val="231F20"/>
          <w:w w:val="105"/>
        </w:rPr>
        <w:t>aquellas</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aventuran</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riesgo</w:t>
      </w:r>
      <w:r>
        <w:rPr>
          <w:color w:val="231F20"/>
          <w:spacing w:val="-11"/>
          <w:w w:val="105"/>
        </w:rPr>
        <w:t> </w:t>
      </w:r>
      <w:r>
        <w:rPr>
          <w:color w:val="231F20"/>
          <w:w w:val="105"/>
        </w:rPr>
        <w:t>de</w:t>
      </w:r>
      <w:r>
        <w:rPr>
          <w:color w:val="231F20"/>
          <w:spacing w:val="-11"/>
          <w:w w:val="105"/>
        </w:rPr>
        <w:t> </w:t>
      </w:r>
      <w:r>
        <w:rPr>
          <w:color w:val="231F20"/>
          <w:w w:val="105"/>
        </w:rPr>
        <w:t>cruzar</w:t>
      </w:r>
      <w:r>
        <w:rPr>
          <w:color w:val="231F20"/>
          <w:spacing w:val="-11"/>
          <w:w w:val="105"/>
        </w:rPr>
        <w:t> </w:t>
      </w:r>
      <w:r>
        <w:rPr>
          <w:color w:val="231F20"/>
          <w:w w:val="105"/>
        </w:rPr>
        <w:t>al vecino</w:t>
      </w:r>
      <w:r>
        <w:rPr>
          <w:color w:val="231F20"/>
          <w:spacing w:val="-14"/>
          <w:w w:val="105"/>
        </w:rPr>
        <w:t> </w:t>
      </w:r>
      <w:r>
        <w:rPr>
          <w:color w:val="231F20"/>
          <w:w w:val="105"/>
        </w:rPr>
        <w:t>país</w:t>
      </w:r>
      <w:r>
        <w:rPr>
          <w:color w:val="231F20"/>
          <w:spacing w:val="-14"/>
          <w:w w:val="105"/>
        </w:rPr>
        <w:t> </w:t>
      </w:r>
      <w:r>
        <w:rPr>
          <w:color w:val="231F20"/>
          <w:w w:val="105"/>
        </w:rPr>
        <w:t>de</w:t>
      </w:r>
      <w:r>
        <w:rPr>
          <w:color w:val="231F20"/>
          <w:spacing w:val="-14"/>
          <w:w w:val="105"/>
        </w:rPr>
        <w:t> </w:t>
      </w:r>
      <w:r>
        <w:rPr>
          <w:color w:val="231F20"/>
          <w:w w:val="105"/>
        </w:rPr>
        <w:t>manera</w:t>
      </w:r>
      <w:r>
        <w:rPr>
          <w:color w:val="231F20"/>
          <w:spacing w:val="-14"/>
          <w:w w:val="105"/>
        </w:rPr>
        <w:t> </w:t>
      </w:r>
      <w:r>
        <w:rPr>
          <w:color w:val="231F20"/>
          <w:w w:val="105"/>
        </w:rPr>
        <w:t>no</w:t>
      </w:r>
      <w:r>
        <w:rPr>
          <w:color w:val="231F20"/>
          <w:spacing w:val="-14"/>
          <w:w w:val="105"/>
        </w:rPr>
        <w:t> </w:t>
      </w:r>
      <w:r>
        <w:rPr>
          <w:color w:val="231F20"/>
          <w:w w:val="105"/>
        </w:rPr>
        <w:t>documentada.</w:t>
      </w:r>
    </w:p>
    <w:p>
      <w:pPr>
        <w:pStyle w:val="BodyText"/>
        <w:rPr>
          <w:sz w:val="20"/>
        </w:rPr>
      </w:pPr>
    </w:p>
    <w:p>
      <w:pPr>
        <w:pStyle w:val="BodyText"/>
        <w:spacing w:before="3"/>
        <w:rPr>
          <w:sz w:val="29"/>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4064" from="131.551193pt,3.703715pt" to="131.551193pt,39.506114pt" stroked="true" strokeweight=".35pt" strokecolor="#231f20">
            <w10:wrap type="none"/>
          </v:line>
        </w:pict>
      </w:r>
      <w:r>
        <w:rPr/>
        <w:pict>
          <v:line style="position:absolute;mso-position-horizontal-relative:page;mso-position-vertical-relative:paragraph;z-index:-473896" from="15pt,39.505917pt" to="0pt,39.505917pt" stroked="true" strokeweight=".25pt" strokecolor="#000000">
            <w10:wrap type="none"/>
          </v:line>
        </w:pict>
      </w:r>
      <w:r>
        <w:rPr/>
        <w:pict>
          <v:line style="position:absolute;mso-position-horizontal-relative:page;mso-position-vertical-relative:paragraph;z-index:16312" from="508.890015pt,39.505917pt" to="523.890015pt,39.505917pt" stroked="true" strokeweight=".25pt" strokecolor="#000000">
            <w10:wrap type="none"/>
          </v:line>
        </w:pict>
      </w:r>
      <w:r>
        <w:rPr>
          <w:rFonts w:ascii="Arial" w:hAnsi="Arial"/>
          <w:color w:val="414042"/>
          <w:w w:val="105"/>
          <w:position w:val="-5"/>
          <w:sz w:val="20"/>
        </w:rPr>
        <w:t>158</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6360"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6600" from="15pt,-28.286539pt" to="0pt,-28.286539pt" stroked="true" strokeweight=".25pt" strokecolor="#000000">
            <w10:wrap type="none"/>
          </v:line>
        </w:pict>
      </w:r>
      <w:r>
        <w:rPr/>
        <w:pict>
          <v:line style="position:absolute;mso-position-horizontal-relative:page;mso-position-vertical-relative:paragraph;z-index:16624" from="508.890015pt,-28.286539pt" to="523.890015pt,-28.286539pt" stroked="true" strokeweight=".25pt" strokecolor="#000000">
            <w10:wrap type="none"/>
          </v:line>
        </w:pict>
      </w:r>
      <w:r>
        <w:rPr>
          <w:rFonts w:ascii="Arial"/>
          <w:color w:val="414042"/>
          <w:sz w:val="20"/>
        </w:rPr>
        <w:t>159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73536" from="15pt,715.487793pt" to="0pt,715.487793pt" stroked="true" strokeweight=".25pt" strokecolor="#000000">
            <w10:wrap type="none"/>
          </v:line>
        </w:pict>
      </w:r>
      <w:r>
        <w:rPr/>
        <w:pict>
          <v:line style="position:absolute;mso-position-horizontal-relative:page;mso-position-vertical-relative:page;z-index:16672" from="508.890015pt,715.487793pt" to="523.890015pt,715.487793pt" stroked="true" strokeweight=".25pt" strokecolor="#000000">
            <w10:wrap type="none"/>
          </v:line>
        </w:pict>
      </w:r>
    </w:p>
    <w:p>
      <w:pPr>
        <w:pStyle w:val="BodyText"/>
        <w:rPr>
          <w:rFonts w:ascii="Arial"/>
          <w:sz w:val="18"/>
        </w:rPr>
      </w:pPr>
    </w:p>
    <w:p>
      <w:pPr>
        <w:spacing w:line="249" w:lineRule="auto" w:before="64"/>
        <w:ind w:left="3328" w:right="2181" w:hanging="954"/>
        <w:jc w:val="left"/>
        <w:rPr>
          <w:rFonts w:ascii="Arial" w:hAnsi="Arial"/>
          <w:sz w:val="18"/>
        </w:rPr>
      </w:pPr>
      <w:r>
        <w:rPr>
          <w:rFonts w:ascii="Arial" w:hAnsi="Arial"/>
          <w:color w:val="231F20"/>
          <w:w w:val="105"/>
          <w:sz w:val="18"/>
        </w:rPr>
        <w:t>Gráfica 2. Distribución porcentual según sexo de la población devuelta a nivel nacional y Estado de México, 2007-2012</w:t>
      </w:r>
    </w:p>
    <w:p>
      <w:pPr>
        <w:pStyle w:val="BodyText"/>
        <w:spacing w:before="4"/>
        <w:rPr>
          <w:rFonts w:ascii="Arial"/>
          <w:sz w:val="12"/>
        </w:rPr>
      </w:pPr>
    </w:p>
    <w:p>
      <w:pPr>
        <w:spacing w:before="0"/>
        <w:ind w:left="2031" w:right="6753" w:firstLine="0"/>
        <w:jc w:val="left"/>
        <w:rPr>
          <w:rFonts w:ascii="Arial"/>
          <w:sz w:val="12"/>
        </w:rPr>
      </w:pPr>
      <w:r>
        <w:rPr/>
        <w:pict>
          <v:group style="position:absolute;margin-left:119.10611pt;margin-top:2.907024pt;width:310.2pt;height:168.4pt;mso-position-horizontal-relative:page;mso-position-vertical-relative:paragraph;z-index:16504" coordorigin="2382,58" coordsize="6204,3368">
            <v:shape style="position:absolute;left:0;top:12308;width:9696;height:2756" coordorigin="0,12308" coordsize="9696,2756" path="m7982,2309l8579,2309m6784,2309l7299,2309m3707,2309l5760,2309m2424,2309l2683,2309m6784,1748l8579,1748m3707,1748l5760,1748m2424,1748l2683,1748m6784,1187l8579,1187m3707,1187l5760,1187m2424,1187l2683,1187m6784,624l8579,624m3707,624l6443,624m2424,624l3024,624e" filled="false" stroked="true" strokeweight=".467385pt" strokecolor="#a6a8ab">
              <v:path arrowok="t"/>
            </v:shape>
            <v:shape style="position:absolute;left:2637;top:595;width:5049;height:2284" type="#_x0000_t75" stroked="false">
              <v:imagedata r:id="rId118" o:title=""/>
            </v:shape>
            <v:shape style="position:absolute;left:2978;top:545;width:5049;height:2334" type="#_x0000_t75" stroked="false">
              <v:imagedata r:id="rId119" o:title=""/>
            </v:shape>
            <v:shape style="position:absolute;left:3320;top:392;width:5049;height:2486" type="#_x0000_t75" stroked="false">
              <v:imagedata r:id="rId120" o:title=""/>
            </v:shape>
            <v:shape style="position:absolute;left:2683;top:618;width:4958;height:2252" coordorigin="2683,618" coordsize="4958,2252" path="m3024,618l2683,618,2683,2869,3024,2869,3024,618m4563,2317l4222,2317,4222,2869,4563,2869,4563,2317m6102,741l5760,741,5760,2869,6102,2869,6102,741m7641,2194l7299,2194,7299,2869,7641,2869,7641,2194e" filled="true" fillcolor="#999b9e" stroked="false">
              <v:path arrowok="t"/>
              <v:fill type="solid"/>
            </v:shape>
            <v:shape style="position:absolute;left:3024;top:565;width:4958;height:2305" coordorigin="3024,565" coordsize="4958,2305" path="m3365,565l3024,565,3024,2869,3365,2869,3365,565m4904,2367l4563,2367,4563,2869,4904,2869,4904,2367m6443,650l6102,650,6102,2869,6443,2869,6443,650m7982,2282l7641,2282,7641,2869,7982,2869,7982,2282e" filled="true" fillcolor="#b1b3b6" stroked="false">
              <v:path arrowok="t"/>
              <v:fill type="solid"/>
            </v:shape>
            <v:shape style="position:absolute;left:3365;top:415;width:4958;height:2454" coordorigin="3365,415" coordsize="4958,2454" path="m3707,418l3365,418,3365,2869,3707,2869,3707,418m5245,2517l4904,2517,4904,2869,5245,2869,5245,2517m6784,415l6443,415,6443,2869,6784,2869,6784,415m8323,2520l7982,2520,7982,2869,8323,2869,8323,2520e" filled="true" fillcolor="#dddedf" stroked="false">
              <v:path arrowok="t"/>
              <v:fill type="solid"/>
            </v:shape>
            <v:line style="position:absolute" from="2424,63" to="8579,63" stroked="true" strokeweight=".458636pt" strokecolor="#a6a8ab"/>
            <v:line style="position:absolute" from="2425,2870" to="2425,64" stroked="true" strokeweight=".476133pt" strokecolor="#a6a8ab"/>
            <v:shape style="position:absolute;left:0;top:12308;width:58;height:4589" coordorigin="0,12308" coordsize="58,4589" path="m2387,2869l2424,2869m2387,2309l2424,2309m2387,1748l2424,1748m2387,1187l2424,1187m2387,624l2424,624m2387,63l2424,63e" filled="false" stroked="true" strokeweight=".467385pt" strokecolor="#a6a8ab">
              <v:path arrowok="t"/>
            </v:shape>
            <v:line style="position:absolute" from="2425,2870" to="8580,2870" stroked="true" strokeweight=".458636pt" strokecolor="#a6a8ab"/>
            <v:shape style="position:absolute;left:0;top:11857;width:9696;height:452" coordorigin="0,11857" coordsize="9696,452" path="m2424,2869l2424,2913m2424,2869l2424,3145m3963,2869l3963,2913m3963,2869l3963,3145m5501,2869l5501,2913m5501,2869l5501,3145m7040,2869l7040,2913m7040,2869l7040,3145m8579,2869l8579,2913m8579,2869l8579,3145e" filled="false" stroked="true" strokeweight=".467385pt" strokecolor="#a6a8ab">
              <v:path arrowok="t"/>
            </v:shape>
            <v:shape style="position:absolute;left:0;top:11857;width:9696;height:452" coordorigin="0,11857" coordsize="9696,452" path="m2424,3145l2424,3421m5501,3145l5501,3421m8579,3145l8579,3421e" filled="false" stroked="true" strokeweight=".467385pt" strokecolor="#a6a8ab">
              <v:path arrowok="t"/>
            </v:shape>
            <v:shape style="position:absolute;left:2915;top:2997;width:644;height:147" type="#_x0000_t202" filled="false" stroked="false">
              <v:textbox inset="0,0,0,0">
                <w:txbxContent>
                  <w:p>
                    <w:pPr>
                      <w:spacing w:line="137" w:lineRule="exact" w:before="0"/>
                      <w:ind w:left="0" w:right="-1" w:firstLine="0"/>
                      <w:jc w:val="left"/>
                      <w:rPr>
                        <w:rFonts w:ascii="Arial"/>
                        <w:sz w:val="14"/>
                      </w:rPr>
                    </w:pPr>
                    <w:r>
                      <w:rPr>
                        <w:rFonts w:ascii="Arial"/>
                        <w:color w:val="231F20"/>
                        <w:w w:val="110"/>
                        <w:sz w:val="14"/>
                      </w:rPr>
                      <w:t>Hombres</w:t>
                    </w:r>
                  </w:p>
                </w:txbxContent>
              </v:textbox>
              <w10:wrap type="none"/>
            </v:shape>
            <v:shape style="position:absolute;left:4485;top:2997;width:559;height:147" type="#_x0000_t202" filled="false" stroked="false">
              <v:textbox inset="0,0,0,0">
                <w:txbxContent>
                  <w:p>
                    <w:pPr>
                      <w:spacing w:line="137" w:lineRule="exact" w:before="0"/>
                      <w:ind w:left="0" w:right="-9" w:firstLine="0"/>
                      <w:jc w:val="left"/>
                      <w:rPr>
                        <w:rFonts w:ascii="Arial"/>
                        <w:sz w:val="14"/>
                      </w:rPr>
                    </w:pPr>
                    <w:r>
                      <w:rPr>
                        <w:rFonts w:ascii="Arial"/>
                        <w:color w:val="231F20"/>
                        <w:w w:val="110"/>
                        <w:sz w:val="14"/>
                      </w:rPr>
                      <w:t>Mujeres</w:t>
                    </w:r>
                  </w:p>
                </w:txbxContent>
              </v:textbox>
              <w10:wrap type="none"/>
            </v:shape>
            <v:shape style="position:absolute;left:5993;top:2997;width:644;height:147" type="#_x0000_t202" filled="false" stroked="false">
              <v:textbox inset="0,0,0,0">
                <w:txbxContent>
                  <w:p>
                    <w:pPr>
                      <w:spacing w:line="137" w:lineRule="exact" w:before="0"/>
                      <w:ind w:left="0" w:right="-1" w:firstLine="0"/>
                      <w:jc w:val="left"/>
                      <w:rPr>
                        <w:rFonts w:ascii="Arial"/>
                        <w:sz w:val="14"/>
                      </w:rPr>
                    </w:pPr>
                    <w:r>
                      <w:rPr>
                        <w:rFonts w:ascii="Arial"/>
                        <w:color w:val="231F20"/>
                        <w:w w:val="110"/>
                        <w:sz w:val="14"/>
                      </w:rPr>
                      <w:t>Hombres</w:t>
                    </w:r>
                  </w:p>
                </w:txbxContent>
              </v:textbox>
              <w10:wrap type="none"/>
            </v:shape>
            <v:shape style="position:absolute;left:7563;top:2997;width:559;height:147" type="#_x0000_t202" filled="false" stroked="false">
              <v:textbox inset="0,0,0,0">
                <w:txbxContent>
                  <w:p>
                    <w:pPr>
                      <w:spacing w:line="137" w:lineRule="exact" w:before="0"/>
                      <w:ind w:left="0" w:right="-9" w:firstLine="0"/>
                      <w:jc w:val="left"/>
                      <w:rPr>
                        <w:rFonts w:ascii="Arial"/>
                        <w:sz w:val="14"/>
                      </w:rPr>
                    </w:pPr>
                    <w:r>
                      <w:rPr>
                        <w:rFonts w:ascii="Arial"/>
                        <w:color w:val="231F20"/>
                        <w:w w:val="110"/>
                        <w:sz w:val="14"/>
                      </w:rPr>
                      <w:t>Mujeres</w:t>
                    </w:r>
                  </w:p>
                </w:txbxContent>
              </v:textbox>
              <w10:wrap type="none"/>
            </v:shape>
            <v:shape style="position:absolute;left:3694;top:3272;width:4040;height:147" type="#_x0000_t202" filled="false" stroked="false">
              <v:textbox inset="0,0,0,0">
                <w:txbxContent>
                  <w:p>
                    <w:pPr>
                      <w:tabs>
                        <w:tab w:pos="2798" w:val="left" w:leader="none"/>
                      </w:tabs>
                      <w:spacing w:line="137" w:lineRule="exact" w:before="0"/>
                      <w:ind w:left="0" w:right="0" w:firstLine="0"/>
                      <w:jc w:val="left"/>
                      <w:rPr>
                        <w:rFonts w:ascii="Arial" w:hAnsi="Arial"/>
                        <w:sz w:val="14"/>
                      </w:rPr>
                    </w:pPr>
                    <w:r>
                      <w:rPr>
                        <w:rFonts w:ascii="Arial" w:hAnsi="Arial"/>
                        <w:color w:val="231F20"/>
                        <w:w w:val="115"/>
                        <w:sz w:val="14"/>
                      </w:rPr>
                      <w:t>Nacional</w:t>
                      <w:tab/>
                      <w:t>Estado</w:t>
                    </w:r>
                    <w:r>
                      <w:rPr>
                        <w:rFonts w:ascii="Arial" w:hAnsi="Arial"/>
                        <w:color w:val="231F20"/>
                        <w:spacing w:val="-20"/>
                        <w:w w:val="115"/>
                        <w:sz w:val="14"/>
                      </w:rPr>
                      <w:t> </w:t>
                    </w:r>
                    <w:r>
                      <w:rPr>
                        <w:rFonts w:ascii="Arial" w:hAnsi="Arial"/>
                        <w:color w:val="231F20"/>
                        <w:w w:val="115"/>
                        <w:sz w:val="14"/>
                      </w:rPr>
                      <w:t>de</w:t>
                    </w:r>
                    <w:r>
                      <w:rPr>
                        <w:rFonts w:ascii="Arial" w:hAnsi="Arial"/>
                        <w:color w:val="231F20"/>
                        <w:spacing w:val="-20"/>
                        <w:w w:val="115"/>
                        <w:sz w:val="14"/>
                      </w:rPr>
                      <w:t> </w:t>
                    </w:r>
                    <w:r>
                      <w:rPr>
                        <w:rFonts w:ascii="Arial" w:hAnsi="Arial"/>
                        <w:color w:val="231F20"/>
                        <w:w w:val="115"/>
                        <w:sz w:val="14"/>
                      </w:rPr>
                      <w:t>México</w:t>
                    </w:r>
                  </w:p>
                </w:txbxContent>
              </v:textbox>
              <w10:wrap type="none"/>
            </v:shape>
            <w10:wrap type="none"/>
          </v:group>
        </w:pict>
      </w:r>
      <w:r>
        <w:rPr>
          <w:rFonts w:ascii="Arial"/>
          <w:color w:val="231F20"/>
          <w:w w:val="110"/>
          <w:sz w:val="12"/>
        </w:rPr>
        <w:t>100.0</w:t>
      </w:r>
    </w:p>
    <w:p>
      <w:pPr>
        <w:pStyle w:val="BodyText"/>
        <w:rPr>
          <w:rFonts w:ascii="Arial"/>
          <w:sz w:val="20"/>
        </w:rPr>
      </w:pPr>
    </w:p>
    <w:p>
      <w:pPr>
        <w:pStyle w:val="BodyText"/>
        <w:spacing w:before="9"/>
        <w:rPr>
          <w:rFonts w:ascii="Arial"/>
          <w:sz w:val="16"/>
        </w:rPr>
      </w:pPr>
    </w:p>
    <w:p>
      <w:pPr>
        <w:spacing w:before="0"/>
        <w:ind w:left="2094" w:right="6753" w:firstLine="0"/>
        <w:jc w:val="left"/>
        <w:rPr>
          <w:rFonts w:ascii="Arial"/>
          <w:sz w:val="12"/>
        </w:rPr>
      </w:pPr>
      <w:r>
        <w:rPr>
          <w:rFonts w:ascii="Arial"/>
          <w:color w:val="231F20"/>
          <w:w w:val="110"/>
          <w:sz w:val="12"/>
        </w:rPr>
        <w:t>80.0</w:t>
      </w:r>
    </w:p>
    <w:p>
      <w:pPr>
        <w:pStyle w:val="BodyText"/>
        <w:rPr>
          <w:rFonts w:ascii="Arial"/>
          <w:sz w:val="20"/>
        </w:rPr>
      </w:pPr>
    </w:p>
    <w:p>
      <w:pPr>
        <w:pStyle w:val="BodyText"/>
        <w:spacing w:before="9"/>
        <w:rPr>
          <w:rFonts w:ascii="Arial"/>
          <w:sz w:val="16"/>
        </w:rPr>
      </w:pPr>
    </w:p>
    <w:p>
      <w:pPr>
        <w:spacing w:before="0"/>
        <w:ind w:left="2094" w:right="6753" w:firstLine="0"/>
        <w:jc w:val="left"/>
        <w:rPr>
          <w:rFonts w:ascii="Arial"/>
          <w:sz w:val="12"/>
        </w:rPr>
      </w:pPr>
      <w:r>
        <w:rPr>
          <w:rFonts w:ascii="Arial"/>
          <w:color w:val="231F20"/>
          <w:w w:val="110"/>
          <w:sz w:val="12"/>
        </w:rPr>
        <w:t>60.0</w:t>
      </w:r>
    </w:p>
    <w:p>
      <w:pPr>
        <w:pStyle w:val="BodyText"/>
        <w:rPr>
          <w:rFonts w:ascii="Arial"/>
          <w:sz w:val="20"/>
        </w:rPr>
      </w:pPr>
    </w:p>
    <w:p>
      <w:pPr>
        <w:pStyle w:val="BodyText"/>
        <w:spacing w:before="9"/>
        <w:rPr>
          <w:rFonts w:ascii="Arial"/>
          <w:sz w:val="16"/>
        </w:rPr>
      </w:pPr>
    </w:p>
    <w:p>
      <w:pPr>
        <w:spacing w:before="0"/>
        <w:ind w:left="2094" w:right="6753" w:firstLine="0"/>
        <w:jc w:val="left"/>
        <w:rPr>
          <w:rFonts w:ascii="Arial"/>
          <w:sz w:val="12"/>
        </w:rPr>
      </w:pPr>
      <w:r>
        <w:rPr>
          <w:rFonts w:ascii="Arial"/>
          <w:color w:val="231F20"/>
          <w:w w:val="110"/>
          <w:sz w:val="12"/>
        </w:rPr>
        <w:t>40.0</w:t>
      </w:r>
    </w:p>
    <w:p>
      <w:pPr>
        <w:pStyle w:val="BodyText"/>
        <w:rPr>
          <w:rFonts w:ascii="Arial"/>
          <w:sz w:val="20"/>
        </w:rPr>
      </w:pPr>
    </w:p>
    <w:p>
      <w:pPr>
        <w:pStyle w:val="BodyText"/>
        <w:spacing w:before="9"/>
        <w:rPr>
          <w:rFonts w:ascii="Arial"/>
          <w:sz w:val="16"/>
        </w:rPr>
      </w:pPr>
    </w:p>
    <w:p>
      <w:pPr>
        <w:spacing w:before="0"/>
        <w:ind w:left="2094" w:right="6753" w:firstLine="0"/>
        <w:jc w:val="left"/>
        <w:rPr>
          <w:rFonts w:ascii="Arial"/>
          <w:sz w:val="12"/>
        </w:rPr>
      </w:pPr>
      <w:r>
        <w:rPr>
          <w:rFonts w:ascii="Arial"/>
          <w:color w:val="231F20"/>
          <w:w w:val="110"/>
          <w:sz w:val="12"/>
        </w:rPr>
        <w:t>20.0</w:t>
      </w:r>
    </w:p>
    <w:p>
      <w:pPr>
        <w:pStyle w:val="BodyText"/>
        <w:rPr>
          <w:rFonts w:ascii="Arial"/>
          <w:sz w:val="20"/>
        </w:rPr>
      </w:pPr>
    </w:p>
    <w:p>
      <w:pPr>
        <w:pStyle w:val="BodyText"/>
        <w:spacing w:before="9"/>
        <w:rPr>
          <w:rFonts w:ascii="Arial"/>
          <w:sz w:val="16"/>
        </w:rPr>
      </w:pPr>
    </w:p>
    <w:p>
      <w:pPr>
        <w:spacing w:before="0"/>
        <w:ind w:left="2158" w:right="6753" w:firstLine="0"/>
        <w:jc w:val="left"/>
        <w:rPr>
          <w:rFonts w:ascii="Arial"/>
          <w:sz w:val="12"/>
        </w:rPr>
      </w:pPr>
      <w:r>
        <w:rPr>
          <w:rFonts w:ascii="Arial"/>
          <w:color w:val="231F20"/>
          <w:w w:val="110"/>
          <w:sz w:val="12"/>
        </w:rPr>
        <w:t>0.0</w:t>
      </w:r>
    </w:p>
    <w:p>
      <w:pPr>
        <w:pStyle w:val="BodyText"/>
        <w:rPr>
          <w:rFonts w:ascii="Arial"/>
          <w:sz w:val="20"/>
        </w:rPr>
      </w:pPr>
    </w:p>
    <w:p>
      <w:pPr>
        <w:pStyle w:val="BodyText"/>
        <w:rPr>
          <w:rFonts w:ascii="Arial"/>
          <w:sz w:val="20"/>
        </w:rPr>
      </w:pPr>
    </w:p>
    <w:p>
      <w:pPr>
        <w:pStyle w:val="BodyText"/>
        <w:spacing w:before="7"/>
        <w:rPr>
          <w:rFonts w:ascii="Arial"/>
          <w:sz w:val="16"/>
        </w:rPr>
      </w:pPr>
    </w:p>
    <w:p>
      <w:pPr>
        <w:tabs>
          <w:tab w:pos="1474" w:val="left" w:leader="none"/>
          <w:tab w:pos="2304" w:val="left" w:leader="none"/>
        </w:tabs>
        <w:spacing w:before="1"/>
        <w:ind w:left="632" w:right="0" w:firstLine="0"/>
        <w:jc w:val="center"/>
        <w:rPr>
          <w:rFonts w:ascii="Comic Sans MS"/>
          <w:b/>
          <w:sz w:val="14"/>
        </w:rPr>
      </w:pPr>
      <w:r>
        <w:rPr/>
        <w:pict>
          <v:rect style="position:absolute;margin-left:212.686707pt;margin-top:-.863916pt;width:10.797422pt;height:10.135861pt;mso-position-horizontal-relative:page;mso-position-vertical-relative:paragraph;z-index:16528" filled="true" fillcolor="#999b9e" stroked="false">
            <v:fill type="solid"/>
            <w10:wrap type="none"/>
          </v:rect>
        </w:pict>
      </w:r>
      <w:r>
        <w:rPr/>
        <w:pict>
          <v:rect style="position:absolute;margin-left:254.811752pt;margin-top:-.711649pt;width:10.797422pt;height:9.983594pt;mso-position-horizontal-relative:page;mso-position-vertical-relative:paragraph;z-index:-473632" filled="true" fillcolor="#b1b3b6" stroked="false">
            <v:fill type="solid"/>
            <w10:wrap type="none"/>
          </v:rect>
        </w:pict>
      </w:r>
      <w:r>
        <w:rPr/>
        <w:pict>
          <v:rect style="position:absolute;margin-left:295.269714pt;margin-top:-.711649pt;width:10.796152pt;height:9.983594pt;mso-position-horizontal-relative:page;mso-position-vertical-relative:paragraph;z-index:-473608" filled="true" fillcolor="#dddedf" stroked="false">
            <v:fill type="solid"/>
            <w10:wrap type="none"/>
          </v:rect>
        </w:pict>
      </w:r>
      <w:r>
        <w:rPr>
          <w:rFonts w:ascii="Comic Sans MS"/>
          <w:b/>
          <w:color w:val="231F20"/>
          <w:w w:val="110"/>
          <w:sz w:val="14"/>
        </w:rPr>
        <w:t>2007</w:t>
        <w:tab/>
        <w:t>2009</w:t>
        <w:tab/>
        <w:t>2012</w:t>
      </w:r>
    </w:p>
    <w:p>
      <w:pPr>
        <w:spacing w:before="34"/>
        <w:ind w:left="2064" w:right="0" w:firstLine="0"/>
        <w:jc w:val="left"/>
        <w:rPr>
          <w:sz w:val="16"/>
        </w:rPr>
      </w:pPr>
      <w:r>
        <w:rPr>
          <w:color w:val="231F20"/>
          <w:w w:val="105"/>
          <w:sz w:val="16"/>
        </w:rPr>
        <w:t>Fuente: elaboración propia con base en las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837" w:right="1721"/>
        <w:jc w:val="both"/>
      </w:pPr>
      <w:r>
        <w:rPr>
          <w:color w:val="231F20"/>
          <w:w w:val="105"/>
        </w:rPr>
        <w:t>Refiriéndonos</w:t>
      </w:r>
      <w:r>
        <w:rPr>
          <w:color w:val="231F20"/>
          <w:spacing w:val="-25"/>
          <w:w w:val="105"/>
        </w:rPr>
        <w:t> </w:t>
      </w:r>
      <w:r>
        <w:rPr>
          <w:color w:val="231F20"/>
          <w:w w:val="105"/>
        </w:rPr>
        <w:t>exclusivamente</w:t>
      </w:r>
      <w:r>
        <w:rPr>
          <w:color w:val="231F20"/>
          <w:spacing w:val="-25"/>
          <w:w w:val="105"/>
        </w:rPr>
        <w:t> </w:t>
      </w:r>
      <w:r>
        <w:rPr>
          <w:color w:val="231F20"/>
          <w:w w:val="105"/>
        </w:rPr>
        <w:t>a</w:t>
      </w:r>
      <w:r>
        <w:rPr>
          <w:color w:val="231F20"/>
          <w:spacing w:val="-25"/>
          <w:w w:val="105"/>
        </w:rPr>
        <w:t> </w:t>
      </w:r>
      <w:r>
        <w:rPr>
          <w:color w:val="231F20"/>
          <w:w w:val="105"/>
        </w:rPr>
        <w:t>los</w:t>
      </w:r>
      <w:r>
        <w:rPr>
          <w:color w:val="231F20"/>
          <w:spacing w:val="-25"/>
          <w:w w:val="105"/>
        </w:rPr>
        <w:t> </w:t>
      </w:r>
      <w:r>
        <w:rPr>
          <w:color w:val="231F20"/>
          <w:w w:val="105"/>
        </w:rPr>
        <w:t>mexiquenses</w:t>
      </w:r>
      <w:r>
        <w:rPr>
          <w:color w:val="231F20"/>
          <w:spacing w:val="-25"/>
          <w:w w:val="105"/>
        </w:rPr>
        <w:t> </w:t>
      </w:r>
      <w:r>
        <w:rPr>
          <w:color w:val="231F20"/>
          <w:w w:val="105"/>
        </w:rPr>
        <w:t>devueltos</w:t>
      </w:r>
      <w:r>
        <w:rPr>
          <w:color w:val="231F20"/>
          <w:spacing w:val="-25"/>
          <w:w w:val="105"/>
        </w:rPr>
        <w:t> </w:t>
      </w:r>
      <w:r>
        <w:rPr>
          <w:color w:val="231F20"/>
          <w:w w:val="105"/>
        </w:rPr>
        <w:t>se</w:t>
      </w:r>
      <w:r>
        <w:rPr>
          <w:color w:val="231F20"/>
          <w:spacing w:val="-25"/>
          <w:w w:val="105"/>
        </w:rPr>
        <w:t> </w:t>
      </w:r>
      <w:r>
        <w:rPr>
          <w:color w:val="231F20"/>
          <w:w w:val="105"/>
        </w:rPr>
        <w:t>advierten cambios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edad</w:t>
      </w:r>
      <w:r>
        <w:rPr>
          <w:color w:val="231F20"/>
          <w:spacing w:val="-10"/>
          <w:w w:val="105"/>
        </w:rPr>
        <w:t> </w:t>
      </w:r>
      <w:r>
        <w:rPr>
          <w:color w:val="231F20"/>
          <w:w w:val="105"/>
        </w:rPr>
        <w:t>promedio</w:t>
      </w:r>
      <w:r>
        <w:rPr>
          <w:color w:val="231F20"/>
          <w:spacing w:val="-10"/>
          <w:w w:val="105"/>
        </w:rPr>
        <w:t> </w:t>
      </w:r>
      <w:r>
        <w:rPr>
          <w:color w:val="231F20"/>
          <w:w w:val="105"/>
        </w:rPr>
        <w:t>de</w:t>
      </w:r>
      <w:r>
        <w:rPr>
          <w:color w:val="231F20"/>
          <w:spacing w:val="-10"/>
          <w:w w:val="105"/>
        </w:rPr>
        <w:t> </w:t>
      </w:r>
      <w:r>
        <w:rPr>
          <w:color w:val="231F20"/>
          <w:w w:val="105"/>
        </w:rPr>
        <w:t>esta</w:t>
      </w:r>
      <w:r>
        <w:rPr>
          <w:color w:val="231F20"/>
          <w:spacing w:val="-10"/>
          <w:w w:val="105"/>
        </w:rPr>
        <w:t> </w:t>
      </w:r>
      <w:r>
        <w:rPr>
          <w:color w:val="231F20"/>
          <w:w w:val="105"/>
        </w:rPr>
        <w:t>población,</w:t>
      </w:r>
      <w:r>
        <w:rPr>
          <w:color w:val="231F20"/>
          <w:spacing w:val="-17"/>
          <w:w w:val="105"/>
        </w:rPr>
        <w:t> </w:t>
      </w:r>
      <w:r>
        <w:rPr>
          <w:color w:val="231F20"/>
          <w:w w:val="105"/>
        </w:rPr>
        <w:t>pues</w:t>
      </w:r>
      <w:r>
        <w:rPr>
          <w:color w:val="231F20"/>
          <w:spacing w:val="-10"/>
          <w:w w:val="105"/>
        </w:rPr>
        <w:t> </w:t>
      </w:r>
      <w:r>
        <w:rPr>
          <w:color w:val="231F20"/>
          <w:w w:val="105"/>
        </w:rPr>
        <w:t>mientras</w:t>
      </w:r>
      <w:r>
        <w:rPr>
          <w:color w:val="231F20"/>
          <w:spacing w:val="-10"/>
          <w:w w:val="105"/>
        </w:rPr>
        <w:t> </w:t>
      </w:r>
      <w:r>
        <w:rPr>
          <w:color w:val="231F20"/>
          <w:w w:val="105"/>
        </w:rPr>
        <w:t>en</w:t>
      </w:r>
      <w:r>
        <w:rPr>
          <w:color w:val="231F20"/>
          <w:spacing w:val="-10"/>
          <w:w w:val="105"/>
        </w:rPr>
        <w:t> </w:t>
      </w:r>
      <w:r>
        <w:rPr>
          <w:color w:val="231F20"/>
          <w:w w:val="105"/>
        </w:rPr>
        <w:t>2007 se</w:t>
      </w:r>
      <w:r>
        <w:rPr>
          <w:color w:val="231F20"/>
          <w:spacing w:val="-22"/>
          <w:w w:val="105"/>
        </w:rPr>
        <w:t> </w:t>
      </w:r>
      <w:r>
        <w:rPr>
          <w:color w:val="231F20"/>
          <w:w w:val="105"/>
        </w:rPr>
        <w:t>estimó</w:t>
      </w:r>
      <w:r>
        <w:rPr>
          <w:color w:val="231F20"/>
          <w:spacing w:val="-22"/>
          <w:w w:val="105"/>
        </w:rPr>
        <w:t> </w:t>
      </w:r>
      <w:r>
        <w:rPr>
          <w:color w:val="231F20"/>
          <w:w w:val="105"/>
        </w:rPr>
        <w:t>una</w:t>
      </w:r>
      <w:r>
        <w:rPr>
          <w:color w:val="231F20"/>
          <w:spacing w:val="-22"/>
          <w:w w:val="105"/>
        </w:rPr>
        <w:t> </w:t>
      </w:r>
      <w:r>
        <w:rPr>
          <w:color w:val="231F20"/>
          <w:w w:val="105"/>
        </w:rPr>
        <w:t>mediana</w:t>
      </w:r>
      <w:r>
        <w:rPr>
          <w:color w:val="231F20"/>
          <w:spacing w:val="-22"/>
          <w:w w:val="105"/>
        </w:rPr>
        <w:t> </w:t>
      </w:r>
      <w:r>
        <w:rPr>
          <w:color w:val="231F20"/>
          <w:w w:val="105"/>
        </w:rPr>
        <w:t>de</w:t>
      </w:r>
      <w:r>
        <w:rPr>
          <w:color w:val="231F20"/>
          <w:spacing w:val="-22"/>
          <w:w w:val="105"/>
        </w:rPr>
        <w:t> </w:t>
      </w:r>
      <w:r>
        <w:rPr>
          <w:color w:val="231F20"/>
          <w:w w:val="105"/>
        </w:rPr>
        <w:t>26</w:t>
      </w:r>
      <w:r>
        <w:rPr>
          <w:color w:val="231F20"/>
          <w:spacing w:val="-22"/>
          <w:w w:val="105"/>
        </w:rPr>
        <w:t> </w:t>
      </w:r>
      <w:r>
        <w:rPr>
          <w:color w:val="231F20"/>
          <w:w w:val="105"/>
        </w:rPr>
        <w:t>años,</w:t>
      </w:r>
      <w:r>
        <w:rPr>
          <w:color w:val="231F20"/>
          <w:spacing w:val="-26"/>
          <w:w w:val="105"/>
        </w:rPr>
        <w:t> </w:t>
      </w:r>
      <w:r>
        <w:rPr>
          <w:color w:val="231F20"/>
          <w:w w:val="105"/>
        </w:rPr>
        <w:t>para</w:t>
      </w:r>
      <w:r>
        <w:rPr>
          <w:color w:val="231F20"/>
          <w:spacing w:val="-22"/>
          <w:w w:val="105"/>
        </w:rPr>
        <w:t> </w:t>
      </w:r>
      <w:r>
        <w:rPr>
          <w:color w:val="231F20"/>
          <w:w w:val="105"/>
        </w:rPr>
        <w:t>2009</w:t>
      </w:r>
      <w:r>
        <w:rPr>
          <w:color w:val="231F20"/>
          <w:spacing w:val="-22"/>
          <w:w w:val="105"/>
        </w:rPr>
        <w:t> </w:t>
      </w:r>
      <w:r>
        <w:rPr>
          <w:color w:val="231F20"/>
          <w:w w:val="105"/>
        </w:rPr>
        <w:t>y</w:t>
      </w:r>
      <w:r>
        <w:rPr>
          <w:color w:val="231F20"/>
          <w:spacing w:val="-22"/>
          <w:w w:val="105"/>
        </w:rPr>
        <w:t> </w:t>
      </w:r>
      <w:r>
        <w:rPr>
          <w:color w:val="231F20"/>
          <w:w w:val="105"/>
        </w:rPr>
        <w:t>2012</w:t>
      </w:r>
      <w:r>
        <w:rPr>
          <w:color w:val="231F20"/>
          <w:spacing w:val="-22"/>
          <w:w w:val="105"/>
        </w:rPr>
        <w:t> </w:t>
      </w:r>
      <w:r>
        <w:rPr>
          <w:color w:val="231F20"/>
          <w:w w:val="105"/>
        </w:rPr>
        <w:t>se</w:t>
      </w:r>
      <w:r>
        <w:rPr>
          <w:color w:val="231F20"/>
          <w:spacing w:val="-22"/>
          <w:w w:val="105"/>
        </w:rPr>
        <w:t> </w:t>
      </w:r>
      <w:r>
        <w:rPr>
          <w:color w:val="231F20"/>
          <w:w w:val="105"/>
        </w:rPr>
        <w:t>registraron</w:t>
      </w:r>
      <w:r>
        <w:rPr>
          <w:color w:val="231F20"/>
          <w:spacing w:val="-22"/>
          <w:w w:val="105"/>
        </w:rPr>
        <w:t> </w:t>
      </w:r>
      <w:r>
        <w:rPr>
          <w:color w:val="231F20"/>
          <w:w w:val="105"/>
        </w:rPr>
        <w:t>valo- res</w:t>
      </w:r>
      <w:r>
        <w:rPr>
          <w:color w:val="231F20"/>
          <w:spacing w:val="-22"/>
          <w:w w:val="105"/>
        </w:rPr>
        <w:t> </w:t>
      </w:r>
      <w:r>
        <w:rPr>
          <w:color w:val="231F20"/>
          <w:w w:val="105"/>
        </w:rPr>
        <w:t>de</w:t>
      </w:r>
      <w:r>
        <w:rPr>
          <w:color w:val="231F20"/>
          <w:spacing w:val="-22"/>
          <w:w w:val="105"/>
        </w:rPr>
        <w:t> </w:t>
      </w:r>
      <w:r>
        <w:rPr>
          <w:color w:val="231F20"/>
          <w:w w:val="105"/>
        </w:rPr>
        <w:t>28</w:t>
      </w:r>
      <w:r>
        <w:rPr>
          <w:color w:val="231F20"/>
          <w:spacing w:val="-22"/>
          <w:w w:val="105"/>
        </w:rPr>
        <w:t> </w:t>
      </w:r>
      <w:r>
        <w:rPr>
          <w:color w:val="231F20"/>
          <w:w w:val="105"/>
        </w:rPr>
        <w:t>y</w:t>
      </w:r>
      <w:r>
        <w:rPr>
          <w:color w:val="231F20"/>
          <w:spacing w:val="-22"/>
          <w:w w:val="105"/>
        </w:rPr>
        <w:t> </w:t>
      </w:r>
      <w:r>
        <w:rPr>
          <w:color w:val="231F20"/>
          <w:w w:val="105"/>
        </w:rPr>
        <w:t>29</w:t>
      </w:r>
      <w:r>
        <w:rPr>
          <w:color w:val="231F20"/>
          <w:spacing w:val="-22"/>
          <w:w w:val="105"/>
        </w:rPr>
        <w:t> </w:t>
      </w:r>
      <w:r>
        <w:rPr>
          <w:color w:val="231F20"/>
          <w:w w:val="105"/>
        </w:rPr>
        <w:t>años,</w:t>
      </w:r>
      <w:r>
        <w:rPr>
          <w:color w:val="231F20"/>
          <w:spacing w:val="-26"/>
          <w:w w:val="105"/>
        </w:rPr>
        <w:t> </w:t>
      </w:r>
      <w:r>
        <w:rPr>
          <w:color w:val="231F20"/>
          <w:w w:val="105"/>
        </w:rPr>
        <w:t>respectivamente.</w:t>
      </w:r>
    </w:p>
    <w:p>
      <w:pPr>
        <w:pStyle w:val="BodyText"/>
        <w:spacing w:line="261" w:lineRule="auto" w:before="1"/>
        <w:ind w:left="1837" w:right="1721" w:firstLine="567"/>
        <w:jc w:val="both"/>
      </w:pPr>
      <w:r>
        <w:rPr>
          <w:color w:val="231F20"/>
          <w:w w:val="105"/>
        </w:rPr>
        <w:t>En el estado civil de los mexiquenses se registra una misma ten- dencia a la de la población migrante en México, pues en los tres años de</w:t>
      </w:r>
      <w:r>
        <w:rPr>
          <w:color w:val="231F20"/>
          <w:spacing w:val="-15"/>
          <w:w w:val="105"/>
        </w:rPr>
        <w:t> </w:t>
      </w:r>
      <w:r>
        <w:rPr>
          <w:color w:val="231F20"/>
          <w:w w:val="105"/>
        </w:rPr>
        <w:t>observación</w:t>
      </w:r>
      <w:r>
        <w:rPr>
          <w:color w:val="231F20"/>
          <w:spacing w:val="-15"/>
          <w:w w:val="105"/>
        </w:rPr>
        <w:t> </w:t>
      </w:r>
      <w:r>
        <w:rPr>
          <w:color w:val="231F20"/>
          <w:w w:val="105"/>
        </w:rPr>
        <w:t>la</w:t>
      </w:r>
      <w:r>
        <w:rPr>
          <w:color w:val="231F20"/>
          <w:spacing w:val="-15"/>
          <w:w w:val="105"/>
        </w:rPr>
        <w:t> </w:t>
      </w:r>
      <w:r>
        <w:rPr>
          <w:color w:val="231F20"/>
          <w:w w:val="105"/>
        </w:rPr>
        <w:t>mayor</w:t>
      </w:r>
      <w:r>
        <w:rPr>
          <w:color w:val="231F20"/>
          <w:spacing w:val="-15"/>
          <w:w w:val="105"/>
        </w:rPr>
        <w:t> </w:t>
      </w:r>
      <w:r>
        <w:rPr>
          <w:color w:val="231F20"/>
          <w:w w:val="105"/>
        </w:rPr>
        <w:t>parte</w:t>
      </w:r>
      <w:r>
        <w:rPr>
          <w:color w:val="231F20"/>
          <w:spacing w:val="-15"/>
          <w:w w:val="105"/>
        </w:rPr>
        <w:t> </w:t>
      </w:r>
      <w:r>
        <w:rPr>
          <w:color w:val="231F20"/>
          <w:w w:val="105"/>
        </w:rPr>
        <w:t>de</w:t>
      </w:r>
      <w:r>
        <w:rPr>
          <w:color w:val="231F20"/>
          <w:spacing w:val="-15"/>
          <w:w w:val="105"/>
        </w:rPr>
        <w:t> </w:t>
      </w:r>
      <w:r>
        <w:rPr>
          <w:color w:val="231F20"/>
          <w:w w:val="105"/>
        </w:rPr>
        <w:t>éstos</w:t>
      </w:r>
      <w:r>
        <w:rPr>
          <w:color w:val="231F20"/>
          <w:spacing w:val="-15"/>
          <w:w w:val="105"/>
        </w:rPr>
        <w:t> </w:t>
      </w:r>
      <w:r>
        <w:rPr>
          <w:color w:val="231F20"/>
          <w:w w:val="105"/>
        </w:rPr>
        <w:t>son</w:t>
      </w:r>
      <w:r>
        <w:rPr>
          <w:color w:val="231F20"/>
          <w:spacing w:val="-15"/>
          <w:w w:val="105"/>
        </w:rPr>
        <w:t> </w:t>
      </w:r>
      <w:r>
        <w:rPr>
          <w:color w:val="231F20"/>
          <w:w w:val="105"/>
        </w:rPr>
        <w:t>casados</w:t>
      </w:r>
      <w:r>
        <w:rPr>
          <w:color w:val="231F20"/>
          <w:spacing w:val="-15"/>
          <w:w w:val="105"/>
        </w:rPr>
        <w:t> </w:t>
      </w:r>
      <w:r>
        <w:rPr>
          <w:color w:val="231F20"/>
          <w:w w:val="105"/>
        </w:rPr>
        <w:t>o</w:t>
      </w:r>
      <w:r>
        <w:rPr>
          <w:color w:val="231F20"/>
          <w:spacing w:val="-15"/>
          <w:w w:val="105"/>
        </w:rPr>
        <w:t> </w:t>
      </w:r>
      <w:r>
        <w:rPr>
          <w:color w:val="231F20"/>
          <w:w w:val="105"/>
        </w:rPr>
        <w:t>unidos</w:t>
      </w:r>
      <w:r>
        <w:rPr>
          <w:color w:val="231F20"/>
          <w:spacing w:val="-15"/>
          <w:w w:val="105"/>
        </w:rPr>
        <w:t> </w:t>
      </w:r>
      <w:r>
        <w:rPr>
          <w:color w:val="231F20"/>
          <w:w w:val="105"/>
        </w:rPr>
        <w:t>(62.3%</w:t>
      </w:r>
      <w:r>
        <w:rPr>
          <w:color w:val="231F20"/>
          <w:spacing w:val="-15"/>
          <w:w w:val="105"/>
        </w:rPr>
        <w:t> </w:t>
      </w:r>
      <w:r>
        <w:rPr>
          <w:color w:val="231F20"/>
          <w:w w:val="105"/>
        </w:rPr>
        <w:t>en 2007 y 61.1% en 2009), particularmente en 2012, donde se obtuvo</w:t>
      </w:r>
      <w:r>
        <w:rPr>
          <w:color w:val="231F20"/>
          <w:spacing w:val="-25"/>
          <w:w w:val="105"/>
        </w:rPr>
        <w:t> </w:t>
      </w:r>
      <w:r>
        <w:rPr>
          <w:color w:val="231F20"/>
          <w:w w:val="105"/>
        </w:rPr>
        <w:t>una proporción de 71.4%. A éstos le siguen los que son solteros con</w:t>
      </w:r>
      <w:r>
        <w:rPr>
          <w:color w:val="231F20"/>
          <w:spacing w:val="-29"/>
          <w:w w:val="105"/>
        </w:rPr>
        <w:t> </w:t>
      </w:r>
      <w:r>
        <w:rPr>
          <w:color w:val="231F20"/>
          <w:w w:val="105"/>
        </w:rPr>
        <w:t>34.3% en 2007 y 27% en 2012. En proporciones muy bajas se encuentran los divorciados,</w:t>
      </w:r>
      <w:r>
        <w:rPr>
          <w:color w:val="231F20"/>
          <w:spacing w:val="-28"/>
          <w:w w:val="105"/>
        </w:rPr>
        <w:t> </w:t>
      </w:r>
      <w:r>
        <w:rPr>
          <w:color w:val="231F20"/>
          <w:w w:val="105"/>
        </w:rPr>
        <w:t>separados</w:t>
      </w:r>
      <w:r>
        <w:rPr>
          <w:color w:val="231F20"/>
          <w:spacing w:val="-24"/>
          <w:w w:val="105"/>
        </w:rPr>
        <w:t> </w:t>
      </w:r>
      <w:r>
        <w:rPr>
          <w:color w:val="231F20"/>
          <w:w w:val="105"/>
        </w:rPr>
        <w:t>o</w:t>
      </w:r>
      <w:r>
        <w:rPr>
          <w:color w:val="231F20"/>
          <w:spacing w:val="-24"/>
          <w:w w:val="105"/>
        </w:rPr>
        <w:t> </w:t>
      </w:r>
      <w:r>
        <w:rPr>
          <w:color w:val="231F20"/>
          <w:w w:val="105"/>
        </w:rPr>
        <w:t>viudos.</w:t>
      </w:r>
    </w:p>
    <w:p>
      <w:pPr>
        <w:pStyle w:val="BodyText"/>
        <w:spacing w:line="261" w:lineRule="auto" w:before="1"/>
        <w:ind w:left="1837" w:right="1720" w:firstLine="567"/>
        <w:jc w:val="both"/>
      </w:pPr>
      <w:r>
        <w:rPr>
          <w:color w:val="231F20"/>
          <w:w w:val="105"/>
        </w:rPr>
        <w:t>En</w:t>
      </w:r>
      <w:r>
        <w:rPr>
          <w:color w:val="231F20"/>
          <w:spacing w:val="-23"/>
          <w:w w:val="105"/>
        </w:rPr>
        <w:t> </w:t>
      </w:r>
      <w:r>
        <w:rPr>
          <w:color w:val="231F20"/>
          <w:w w:val="105"/>
        </w:rPr>
        <w:t>relación</w:t>
      </w:r>
      <w:r>
        <w:rPr>
          <w:color w:val="231F20"/>
          <w:spacing w:val="-23"/>
          <w:w w:val="105"/>
        </w:rPr>
        <w:t> </w:t>
      </w:r>
      <w:r>
        <w:rPr>
          <w:color w:val="231F20"/>
          <w:w w:val="105"/>
        </w:rPr>
        <w:t>con</w:t>
      </w:r>
      <w:r>
        <w:rPr>
          <w:color w:val="231F20"/>
          <w:spacing w:val="-23"/>
          <w:w w:val="105"/>
        </w:rPr>
        <w:t> </w:t>
      </w:r>
      <w:r>
        <w:rPr>
          <w:color w:val="231F20"/>
          <w:w w:val="105"/>
        </w:rPr>
        <w:t>esta</w:t>
      </w:r>
      <w:r>
        <w:rPr>
          <w:color w:val="231F20"/>
          <w:spacing w:val="-23"/>
          <w:w w:val="105"/>
        </w:rPr>
        <w:t> </w:t>
      </w:r>
      <w:r>
        <w:rPr>
          <w:color w:val="231F20"/>
          <w:w w:val="105"/>
        </w:rPr>
        <w:t>tendencia</w:t>
      </w:r>
      <w:r>
        <w:rPr>
          <w:color w:val="231F20"/>
          <w:spacing w:val="-23"/>
          <w:w w:val="105"/>
        </w:rPr>
        <w:t> </w:t>
      </w:r>
      <w:r>
        <w:rPr>
          <w:color w:val="231F20"/>
          <w:w w:val="105"/>
        </w:rPr>
        <w:t>se</w:t>
      </w:r>
      <w:r>
        <w:rPr>
          <w:color w:val="231F20"/>
          <w:spacing w:val="-23"/>
          <w:w w:val="105"/>
        </w:rPr>
        <w:t> </w:t>
      </w:r>
      <w:r>
        <w:rPr>
          <w:color w:val="231F20"/>
          <w:w w:val="105"/>
        </w:rPr>
        <w:t>observa</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w w:val="105"/>
        </w:rPr>
        <w:t>mayor</w:t>
      </w:r>
      <w:r>
        <w:rPr>
          <w:color w:val="231F20"/>
          <w:spacing w:val="-23"/>
          <w:w w:val="105"/>
        </w:rPr>
        <w:t> </w:t>
      </w:r>
      <w:r>
        <w:rPr>
          <w:color w:val="231F20"/>
          <w:w w:val="105"/>
        </w:rPr>
        <w:t>proporción de</w:t>
      </w:r>
      <w:r>
        <w:rPr>
          <w:color w:val="231F20"/>
          <w:spacing w:val="-17"/>
          <w:w w:val="105"/>
        </w:rPr>
        <w:t> </w:t>
      </w:r>
      <w:r>
        <w:rPr>
          <w:color w:val="231F20"/>
          <w:w w:val="105"/>
        </w:rPr>
        <w:t>estos</w:t>
      </w:r>
      <w:r>
        <w:rPr>
          <w:color w:val="231F20"/>
          <w:spacing w:val="-17"/>
          <w:w w:val="105"/>
        </w:rPr>
        <w:t> </w:t>
      </w:r>
      <w:r>
        <w:rPr>
          <w:color w:val="231F20"/>
          <w:w w:val="105"/>
        </w:rPr>
        <w:t>migrantes</w:t>
      </w:r>
      <w:r>
        <w:rPr>
          <w:color w:val="231F20"/>
          <w:spacing w:val="-17"/>
          <w:w w:val="105"/>
        </w:rPr>
        <w:t> </w:t>
      </w:r>
      <w:r>
        <w:rPr>
          <w:color w:val="231F20"/>
          <w:w w:val="105"/>
        </w:rPr>
        <w:t>son</w:t>
      </w:r>
      <w:r>
        <w:rPr>
          <w:color w:val="231F20"/>
          <w:spacing w:val="-17"/>
          <w:w w:val="105"/>
        </w:rPr>
        <w:t> </w:t>
      </w:r>
      <w:r>
        <w:rPr>
          <w:color w:val="231F20"/>
          <w:w w:val="105"/>
        </w:rPr>
        <w:t>jefes</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hogares</w:t>
      </w:r>
      <w:r>
        <w:rPr>
          <w:color w:val="231F20"/>
          <w:spacing w:val="-17"/>
          <w:w w:val="105"/>
        </w:rPr>
        <w:t> </w:t>
      </w:r>
      <w:r>
        <w:rPr>
          <w:color w:val="231F20"/>
          <w:w w:val="105"/>
        </w:rPr>
        <w:t>(52.8%</w:t>
      </w:r>
      <w:r>
        <w:rPr>
          <w:color w:val="231F20"/>
          <w:spacing w:val="-17"/>
          <w:w w:val="105"/>
        </w:rPr>
        <w:t> </w:t>
      </w:r>
      <w:r>
        <w:rPr>
          <w:color w:val="231F20"/>
          <w:w w:val="105"/>
        </w:rPr>
        <w:t>en</w:t>
      </w:r>
      <w:r>
        <w:rPr>
          <w:color w:val="231F20"/>
          <w:spacing w:val="-17"/>
          <w:w w:val="105"/>
        </w:rPr>
        <w:t> </w:t>
      </w:r>
      <w:r>
        <w:rPr>
          <w:color w:val="231F20"/>
          <w:w w:val="105"/>
        </w:rPr>
        <w:t>2007</w:t>
      </w:r>
      <w:r>
        <w:rPr>
          <w:color w:val="231F20"/>
          <w:spacing w:val="-17"/>
          <w:w w:val="105"/>
        </w:rPr>
        <w:t> </w:t>
      </w:r>
      <w:r>
        <w:rPr>
          <w:color w:val="231F20"/>
          <w:w w:val="105"/>
        </w:rPr>
        <w:t>y</w:t>
      </w:r>
      <w:r>
        <w:rPr>
          <w:color w:val="231F20"/>
          <w:spacing w:val="-17"/>
          <w:w w:val="105"/>
        </w:rPr>
        <w:t> </w:t>
      </w:r>
      <w:r>
        <w:rPr>
          <w:color w:val="231F20"/>
          <w:w w:val="105"/>
        </w:rPr>
        <w:t>54.2%</w:t>
      </w:r>
      <w:r>
        <w:rPr>
          <w:color w:val="231F20"/>
          <w:spacing w:val="-17"/>
          <w:w w:val="105"/>
        </w:rPr>
        <w:t> </w:t>
      </w:r>
      <w:r>
        <w:rPr>
          <w:color w:val="231F20"/>
          <w:w w:val="105"/>
        </w:rPr>
        <w:t>en 2009),</w:t>
      </w:r>
      <w:r>
        <w:rPr>
          <w:color w:val="231F20"/>
          <w:spacing w:val="-26"/>
          <w:w w:val="105"/>
        </w:rPr>
        <w:t> </w:t>
      </w:r>
      <w:r>
        <w:rPr>
          <w:color w:val="231F20"/>
          <w:w w:val="105"/>
        </w:rPr>
        <w:t>principalmente</w:t>
      </w:r>
      <w:r>
        <w:rPr>
          <w:color w:val="231F20"/>
          <w:spacing w:val="-20"/>
          <w:w w:val="105"/>
        </w:rPr>
        <w:t> </w:t>
      </w:r>
      <w:r>
        <w:rPr>
          <w:color w:val="231F20"/>
          <w:w w:val="105"/>
        </w:rPr>
        <w:t>entre</w:t>
      </w:r>
      <w:r>
        <w:rPr>
          <w:color w:val="231F20"/>
          <w:spacing w:val="-20"/>
          <w:w w:val="105"/>
        </w:rPr>
        <w:t> </w:t>
      </w:r>
      <w:r>
        <w:rPr>
          <w:color w:val="231F20"/>
          <w:w w:val="105"/>
        </w:rPr>
        <w:t>los</w:t>
      </w:r>
      <w:r>
        <w:rPr>
          <w:color w:val="231F20"/>
          <w:spacing w:val="-20"/>
          <w:w w:val="105"/>
        </w:rPr>
        <w:t> </w:t>
      </w:r>
      <w:r>
        <w:rPr>
          <w:color w:val="231F20"/>
          <w:w w:val="105"/>
        </w:rPr>
        <w:t>captados</w:t>
      </w:r>
      <w:r>
        <w:rPr>
          <w:color w:val="231F20"/>
          <w:spacing w:val="-20"/>
          <w:w w:val="105"/>
        </w:rPr>
        <w:t> </w:t>
      </w:r>
      <w:r>
        <w:rPr>
          <w:color w:val="231F20"/>
          <w:w w:val="105"/>
        </w:rPr>
        <w:t>en</w:t>
      </w:r>
      <w:r>
        <w:rPr>
          <w:color w:val="231F20"/>
          <w:spacing w:val="-20"/>
          <w:w w:val="105"/>
        </w:rPr>
        <w:t> </w:t>
      </w:r>
      <w:r>
        <w:rPr>
          <w:color w:val="231F20"/>
          <w:w w:val="105"/>
        </w:rPr>
        <w:t>2012</w:t>
      </w:r>
      <w:r>
        <w:rPr>
          <w:color w:val="231F20"/>
          <w:spacing w:val="-20"/>
          <w:w w:val="105"/>
        </w:rPr>
        <w:t> </w:t>
      </w:r>
      <w:r>
        <w:rPr>
          <w:color w:val="231F20"/>
          <w:w w:val="105"/>
        </w:rPr>
        <w:t>(67.2%),</w:t>
      </w:r>
      <w:r>
        <w:rPr>
          <w:color w:val="231F20"/>
          <w:spacing w:val="-26"/>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corres- ponde al aumento observado en la proporción de los que son casados o unidos. En todos los casos, de aquellos que no son jefes de hogar,</w:t>
      </w:r>
      <w:r>
        <w:rPr>
          <w:color w:val="231F20"/>
          <w:spacing w:val="-20"/>
          <w:w w:val="105"/>
        </w:rPr>
        <w:t> </w:t>
      </w:r>
      <w:r>
        <w:rPr>
          <w:color w:val="231F20"/>
          <w:w w:val="105"/>
        </w:rPr>
        <w:t>la principal relación de parentesco con éstos corresponde a los que son hijos, seguido por las que son esposas o tienen otro parentesco</w:t>
      </w:r>
      <w:r>
        <w:rPr>
          <w:color w:val="231F20"/>
          <w:spacing w:val="-27"/>
          <w:w w:val="105"/>
        </w:rPr>
        <w:t> </w:t>
      </w:r>
      <w:r>
        <w:rPr>
          <w:color w:val="231F20"/>
          <w:w w:val="105"/>
        </w:rPr>
        <w:t>(véase gráfica</w:t>
      </w:r>
      <w:r>
        <w:rPr>
          <w:color w:val="231F20"/>
          <w:spacing w:val="-39"/>
          <w:w w:val="105"/>
        </w:rPr>
        <w:t> </w:t>
      </w:r>
      <w:r>
        <w:rPr>
          <w:color w:val="231F20"/>
          <w:w w:val="105"/>
        </w:rPr>
        <w:t>3).</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line="249" w:lineRule="auto" w:before="0"/>
        <w:ind w:left="3002" w:right="1920" w:hanging="1113"/>
        <w:jc w:val="left"/>
        <w:rPr>
          <w:rFonts w:ascii="Arial" w:hAnsi="Arial"/>
          <w:sz w:val="18"/>
        </w:rPr>
      </w:pPr>
      <w:r>
        <w:rPr/>
        <w:pict>
          <v:line style="position:absolute;mso-position-horizontal-relative:page;mso-position-vertical-relative:paragraph;z-index:16816" from="15pt,-71.424232pt" to="0pt,-71.424232pt" stroked="true" strokeweight=".25pt" strokecolor="#000000">
            <w10:wrap type="none"/>
          </v:line>
        </w:pict>
      </w:r>
      <w:r>
        <w:rPr/>
        <w:pict>
          <v:line style="position:absolute;mso-position-horizontal-relative:page;mso-position-vertical-relative:paragraph;z-index:16840" from="508.890015pt,-71.424232pt" to="523.890015pt,-71.424232pt" stroked="true" strokeweight=".25pt" strokecolor="#000000">
            <w10:wrap type="none"/>
          </v:line>
        </w:pict>
      </w:r>
      <w:r>
        <w:rPr>
          <w:rFonts w:ascii="Arial" w:hAnsi="Arial"/>
          <w:color w:val="231F20"/>
          <w:w w:val="105"/>
          <w:sz w:val="18"/>
        </w:rPr>
        <w:t>Gráfica 3. Distribución porcentual según relación de parentesco de la población mexiquense devuelta de Estados Unidos, 2007-2012</w:t>
      </w:r>
    </w:p>
    <w:p>
      <w:pPr>
        <w:pStyle w:val="BodyText"/>
        <w:spacing w:before="3"/>
        <w:rPr>
          <w:rFonts w:ascii="Arial"/>
          <w:sz w:val="10"/>
        </w:rPr>
      </w:pPr>
    </w:p>
    <w:p>
      <w:pPr>
        <w:spacing w:before="1"/>
        <w:ind w:left="2293" w:right="6753" w:firstLine="0"/>
        <w:jc w:val="left"/>
        <w:rPr>
          <w:rFonts w:ascii="Arial"/>
          <w:sz w:val="13"/>
        </w:rPr>
      </w:pPr>
      <w:r>
        <w:rPr/>
        <w:pict>
          <v:group style="position:absolute;margin-left:124.870499pt;margin-top:3.221606pt;width:277.95pt;height:142.050pt;mso-position-horizontal-relative:page;mso-position-vertical-relative:paragraph;z-index:16720" coordorigin="2497,64" coordsize="5559,2841">
            <v:shape style="position:absolute;left:0;top:10937;width:5508;height:1395" coordorigin="0,10937" coordsize="5508,1395" path="m4224,2163l8050,2163m3102,2163l3613,2163m2542,2163l2695,2163m4224,1464l8050,1464m2542,1464l3613,1464m4224,768l8050,768m2542,768l3613,768e" filled="false" stroked="true" strokeweight=".418pt" strokecolor="#a6a8ab">
              <v:path arrowok="t"/>
            </v:shape>
            <v:shape style="position:absolute;left:2655;top:604;width:4876;height:2263" type="#_x0000_t75" stroked="false">
              <v:imagedata r:id="rId121" o:title=""/>
            </v:shape>
            <v:shape style="position:absolute;left:2858;top:575;width:4876;height:2292" type="#_x0000_t75" stroked="false">
              <v:imagedata r:id="rId122" o:title=""/>
            </v:shape>
            <v:shape style="position:absolute;left:3062;top:267;width:3957;height:2600" type="#_x0000_t75" stroked="false">
              <v:imagedata r:id="rId123" o:title=""/>
            </v:shape>
            <v:rect style="position:absolute;left:5450;top:2829;width:204;height:31" filled="true" fillcolor="#a1a3a5" stroked="false">
              <v:fill type="solid"/>
            </v:rect>
            <v:line style="position:absolute" from="7287,2856" to="7490,2856" stroked="true" strokeweight=".498pt" strokecolor="#a1a3a5"/>
            <v:shape style="position:absolute;left:2695;top:623;width:2041;height:2238" coordorigin="2695,623" coordsize="2041,2238" path="m2898,1850l2695,1850,2695,2861,2898,2861,2898,1850m3817,623l3613,623,3613,2861,3817,2861,3817,623m4735,2749l4531,2749,4531,2861,4735,2861,4735,2749e" filled="true" fillcolor="#808285" stroked="false">
              <v:path arrowok="t"/>
              <v:fill type="solid"/>
            </v:shape>
            <v:rect style="position:absolute;left:5450;top:2829;width:204;height:31" filled="true" fillcolor="#808285" stroked="false">
              <v:fill type="solid"/>
            </v:rect>
            <v:line style="position:absolute" from="6368,2818" to="6572,2818" stroked="true" strokeweight="4.246pt" strokecolor="#808285"/>
            <v:line style="position:absolute" from="7287,2856" to="7490,2856" stroked="true" strokeweight=".498pt" strokecolor="#808285"/>
            <v:shape style="position:absolute;left:5653;top:2811;width:2041;height:51" coordorigin="5653,2811" coordsize="2041,51" path="m5857,2811l5653,2811,5653,2861,5857,2861,5857,2811m6775,2811l6572,2811,6572,2861,6775,2861,6775,2811m7694,2832l7490,2832,7490,2861,7694,2861,7694,2832e" filled="true" fillcolor="#a1a3a5" stroked="false">
              <v:path arrowok="t"/>
              <v:fill type="solid"/>
            </v:shape>
            <v:shape style="position:absolute;left:2898;top:596;width:2041;height:2265" coordorigin="2898,596" coordsize="2041,2265" path="m3102,1882l2898,1882,2898,2861,3102,2861,3102,1882m4020,596l3817,596,3817,2861,4020,2861,4020,596m4938,2738l4735,2738,4735,2861,4938,2861,4938,2738e" filled="true" fillcolor="#b1b3b6" stroked="false">
              <v:path arrowok="t"/>
              <v:fill type="solid"/>
            </v:shape>
            <v:shape style="position:absolute;left:5653;top:2811;width:2041;height:51" coordorigin="5653,2811" coordsize="2041,51" path="m5857,2811l5653,2811,5653,2861,5857,2861,5857,2811m6775,2811l6572,2811,6572,2861,6775,2861,6775,2811m7694,2832l7490,2832,7490,2861,7694,2861,7694,2832e" filled="true" fillcolor="#b1b3b6" stroked="false">
              <v:path arrowok="t"/>
              <v:fill type="solid"/>
            </v:shape>
            <v:shape style="position:absolute;left:3102;top:286;width:1122;height:2576" coordorigin="3102,286" coordsize="1122,2576" path="m3305,2152l3102,2152,3102,2861,3305,2861,3305,2152m4224,286l4020,286,4020,2861,4224,2861,4224,286e" filled="true" fillcolor="#d1d3d4" stroked="false">
              <v:path arrowok="t"/>
              <v:fill type="solid"/>
            </v:shape>
            <v:line style="position:absolute" from="4938,2817" to="5142,2817" stroked="true" strokeweight="4.38pt" strokecolor="#d1d3d4"/>
            <v:rect style="position:absolute;left:6775;top:2741;width:203;height:120" filled="true" fillcolor="#d1d3d4" stroked="false">
              <v:fill type="solid"/>
            </v:rect>
            <v:line style="position:absolute" from="2542,69" to="8050,69" stroked="true" strokeweight=".418pt" strokecolor="#a6a8ab"/>
            <v:line style="position:absolute" from="2541,2861" to="2541,69" stroked="true" strokeweight=".418pt" strokecolor="#a6a8ab"/>
            <v:shape style="position:absolute;left:0;top:9540;width:40;height:2792" coordorigin="0,9540" coordsize="40,2792" path="m2502,2861l2541,2861m2502,2163l2541,2163m2502,1464l2541,1464m2502,768l2541,768m2502,69l2541,69e" filled="false" stroked="true" strokeweight=".418pt" strokecolor="#a6a8ab">
              <v:path arrowok="t"/>
            </v:shape>
            <v:line style="position:absolute" from="2541,2861" to="8051,2861" stroked="true" strokeweight=".418pt" strokecolor="#a6a8ab"/>
            <v:shape style="position:absolute;left:0;top:12332;width:5508;height:39" coordorigin="0,12332" coordsize="5508,39" path="m2542,2862l2542,2901m3460,2862l3460,2901m4379,2862l4379,2901m5297,2862l5297,2901m6216,2862l6216,2901m7131,2862l7131,2901m8050,2862l8050,2901e" filled="false" stroked="true" strokeweight=".418pt" strokecolor="#a6a8ab">
              <v:path arrowok="t"/>
            </v:shape>
            <w10:wrap type="none"/>
          </v:group>
        </w:pict>
      </w:r>
      <w:r>
        <w:rPr>
          <w:rFonts w:ascii="Arial"/>
          <w:color w:val="231F20"/>
          <w:w w:val="105"/>
          <w:sz w:val="13"/>
        </w:rPr>
        <w:t>80</w:t>
      </w:r>
    </w:p>
    <w:p>
      <w:pPr>
        <w:pStyle w:val="BodyText"/>
        <w:rPr>
          <w:rFonts w:ascii="Arial"/>
          <w:sz w:val="20"/>
        </w:rPr>
      </w:pPr>
    </w:p>
    <w:p>
      <w:pPr>
        <w:pStyle w:val="BodyText"/>
        <w:rPr>
          <w:rFonts w:ascii="Arial"/>
        </w:rPr>
      </w:pPr>
    </w:p>
    <w:p>
      <w:pPr>
        <w:spacing w:before="77"/>
        <w:ind w:left="2293" w:right="6753" w:firstLine="0"/>
        <w:jc w:val="left"/>
        <w:rPr>
          <w:rFonts w:ascii="Arial"/>
          <w:sz w:val="13"/>
        </w:rPr>
      </w:pPr>
      <w:r>
        <w:rPr>
          <w:rFonts w:ascii="Arial"/>
          <w:color w:val="231F20"/>
          <w:w w:val="105"/>
          <w:sz w:val="13"/>
        </w:rPr>
        <w:t>60</w:t>
      </w:r>
    </w:p>
    <w:p>
      <w:pPr>
        <w:pStyle w:val="BodyText"/>
        <w:rPr>
          <w:rFonts w:ascii="Arial"/>
          <w:sz w:val="20"/>
        </w:rPr>
      </w:pPr>
    </w:p>
    <w:p>
      <w:pPr>
        <w:pStyle w:val="BodyText"/>
        <w:rPr>
          <w:rFonts w:ascii="Arial"/>
        </w:rPr>
      </w:pPr>
    </w:p>
    <w:p>
      <w:pPr>
        <w:spacing w:before="77"/>
        <w:ind w:left="2293" w:right="6753" w:firstLine="0"/>
        <w:jc w:val="left"/>
        <w:rPr>
          <w:rFonts w:ascii="Arial"/>
          <w:sz w:val="13"/>
        </w:rPr>
      </w:pPr>
      <w:r>
        <w:rPr>
          <w:rFonts w:ascii="Arial"/>
          <w:color w:val="231F20"/>
          <w:w w:val="105"/>
          <w:sz w:val="13"/>
        </w:rPr>
        <w:t>40</w:t>
      </w:r>
    </w:p>
    <w:p>
      <w:pPr>
        <w:pStyle w:val="BodyText"/>
        <w:rPr>
          <w:rFonts w:ascii="Arial"/>
          <w:sz w:val="20"/>
        </w:rPr>
      </w:pPr>
    </w:p>
    <w:p>
      <w:pPr>
        <w:pStyle w:val="BodyText"/>
        <w:rPr>
          <w:rFonts w:ascii="Arial"/>
        </w:rPr>
      </w:pPr>
    </w:p>
    <w:p>
      <w:pPr>
        <w:spacing w:before="77"/>
        <w:ind w:left="2293" w:right="6753" w:firstLine="0"/>
        <w:jc w:val="left"/>
        <w:rPr>
          <w:rFonts w:ascii="Arial"/>
          <w:sz w:val="13"/>
        </w:rPr>
      </w:pPr>
      <w:r>
        <w:rPr>
          <w:rFonts w:ascii="Arial"/>
          <w:color w:val="231F20"/>
          <w:w w:val="105"/>
          <w:sz w:val="13"/>
        </w:rPr>
        <w:t>20</w:t>
      </w:r>
    </w:p>
    <w:p>
      <w:pPr>
        <w:pStyle w:val="BodyText"/>
        <w:rPr>
          <w:rFonts w:ascii="Arial"/>
          <w:sz w:val="20"/>
        </w:rPr>
      </w:pPr>
    </w:p>
    <w:p>
      <w:pPr>
        <w:pStyle w:val="BodyText"/>
        <w:rPr>
          <w:rFonts w:ascii="Arial"/>
        </w:rPr>
      </w:pPr>
    </w:p>
    <w:p>
      <w:pPr>
        <w:spacing w:after="0"/>
        <w:rPr>
          <w:rFonts w:ascii="Arial"/>
        </w:rPr>
        <w:sectPr>
          <w:pgSz w:w="10480" w:h="14730"/>
          <w:pgMar w:header="0" w:footer="103" w:top="300" w:bottom="300" w:left="0" w:right="0"/>
        </w:sectPr>
      </w:pPr>
    </w:p>
    <w:p>
      <w:pPr>
        <w:spacing w:before="77"/>
        <w:ind w:left="0" w:right="2199" w:firstLine="0"/>
        <w:jc w:val="center"/>
        <w:rPr>
          <w:rFonts w:ascii="Arial"/>
          <w:sz w:val="13"/>
        </w:rPr>
      </w:pPr>
      <w:r>
        <w:rPr>
          <w:rFonts w:ascii="Arial"/>
          <w:color w:val="231F20"/>
          <w:w w:val="107"/>
          <w:sz w:val="13"/>
        </w:rPr>
        <w:t>0</w:t>
      </w:r>
    </w:p>
    <w:p>
      <w:pPr>
        <w:tabs>
          <w:tab w:pos="3826" w:val="left" w:leader="none"/>
          <w:tab w:pos="4538" w:val="left" w:leader="none"/>
          <w:tab w:pos="5350" w:val="left" w:leader="none"/>
          <w:tab w:pos="6530" w:val="left" w:leader="none"/>
        </w:tabs>
        <w:spacing w:before="10"/>
        <w:ind w:left="2768" w:right="0" w:firstLine="0"/>
        <w:jc w:val="left"/>
        <w:rPr>
          <w:rFonts w:ascii="Arial"/>
          <w:sz w:val="13"/>
        </w:rPr>
      </w:pPr>
      <w:r>
        <w:rPr>
          <w:rFonts w:ascii="Arial"/>
          <w:color w:val="231F20"/>
          <w:w w:val="110"/>
          <w:sz w:val="13"/>
        </w:rPr>
        <w:t>Esposo</w:t>
        <w:tab/>
        <w:t>Hijo</w:t>
        <w:tab/>
        <w:t>Hermano</w:t>
        <w:tab/>
        <w:t>Padre/madre</w:t>
        <w:tab/>
        <w:t>Otro</w:t>
      </w:r>
    </w:p>
    <w:p>
      <w:pPr>
        <w:spacing w:before="11"/>
        <w:ind w:left="0" w:right="0" w:firstLine="0"/>
        <w:jc w:val="right"/>
        <w:rPr>
          <w:rFonts w:ascii="Arial"/>
          <w:sz w:val="13"/>
        </w:rPr>
      </w:pPr>
      <w:r>
        <w:rPr>
          <w:rFonts w:ascii="Arial"/>
          <w:color w:val="231F20"/>
          <w:w w:val="105"/>
          <w:sz w:val="13"/>
        </w:rPr>
        <w:t>parentesco</w:t>
      </w:r>
    </w:p>
    <w:p>
      <w:pPr>
        <w:pStyle w:val="BodyText"/>
        <w:rPr>
          <w:rFonts w:ascii="Arial"/>
          <w:sz w:val="12"/>
        </w:rPr>
      </w:pPr>
      <w:r>
        <w:rPr/>
        <w:br w:type="column"/>
      </w:r>
      <w:r>
        <w:rPr>
          <w:rFonts w:ascii="Arial"/>
          <w:sz w:val="12"/>
        </w:rPr>
      </w:r>
    </w:p>
    <w:p>
      <w:pPr>
        <w:spacing w:before="98"/>
        <w:ind w:left="92" w:right="0" w:firstLine="0"/>
        <w:jc w:val="left"/>
        <w:rPr>
          <w:rFonts w:ascii="Arial"/>
          <w:sz w:val="13"/>
        </w:rPr>
      </w:pPr>
      <w:r>
        <w:rPr>
          <w:rFonts w:ascii="Arial"/>
          <w:color w:val="231F20"/>
          <w:w w:val="105"/>
          <w:sz w:val="13"/>
        </w:rPr>
        <w:t>Sin parentesco</w:t>
      </w:r>
    </w:p>
    <w:p>
      <w:pPr>
        <w:spacing w:after="0"/>
        <w:jc w:val="left"/>
        <w:rPr>
          <w:rFonts w:ascii="Arial"/>
          <w:sz w:val="13"/>
        </w:rPr>
        <w:sectPr>
          <w:type w:val="continuous"/>
          <w:pgSz w:w="10480" w:h="14730"/>
          <w:pgMar w:top="0" w:bottom="0" w:left="0" w:right="0"/>
          <w:cols w:num="2" w:equalWidth="0">
            <w:col w:w="7000" w:space="40"/>
            <w:col w:w="3440"/>
          </w:cols>
        </w:sectPr>
      </w:pPr>
    </w:p>
    <w:p>
      <w:pPr>
        <w:pStyle w:val="BodyText"/>
        <w:rPr>
          <w:rFonts w:ascii="Arial"/>
          <w:sz w:val="12"/>
        </w:rPr>
      </w:pPr>
    </w:p>
    <w:p>
      <w:pPr>
        <w:tabs>
          <w:tab w:pos="991" w:val="left" w:leader="none"/>
          <w:tab w:pos="1647" w:val="left" w:leader="none"/>
        </w:tabs>
        <w:spacing w:before="0"/>
        <w:ind w:left="315" w:right="0" w:firstLine="0"/>
        <w:jc w:val="center"/>
        <w:rPr>
          <w:rFonts w:ascii="Comic Sans MS"/>
          <w:b/>
          <w:sz w:val="13"/>
        </w:rPr>
      </w:pPr>
      <w:r>
        <w:rPr/>
        <w:pict>
          <v:rect style="position:absolute;margin-left:216.212997pt;margin-top:-.280171pt;width:9.486pt;height:9.432pt;mso-position-horizontal-relative:page;mso-position-vertical-relative:paragraph;z-index:16744" filled="true" fillcolor="#808285" stroked="false">
            <v:fill type="solid"/>
            <w10:wrap type="none"/>
          </v:rect>
        </w:pict>
      </w:r>
      <w:r>
        <w:rPr/>
        <w:pict>
          <v:rect style="position:absolute;margin-left:249.460007pt;margin-top:-.112171pt;width:9.487pt;height:9.264pt;mso-position-horizontal-relative:page;mso-position-vertical-relative:paragraph;z-index:-473416" filled="true" fillcolor="#b1b3b6" stroked="false">
            <v:fill type="solid"/>
            <w10:wrap type="none"/>
          </v:rect>
        </w:pict>
      </w:r>
      <w:r>
        <w:rPr/>
        <w:pict>
          <v:rect style="position:absolute;margin-left:282.375pt;margin-top:-.167171pt;width:9.484pt;height:9.319pt;mso-position-horizontal-relative:page;mso-position-vertical-relative:paragraph;z-index:-473392" filled="true" fillcolor="#d1d3d4" stroked="false">
            <v:fill type="solid"/>
            <w10:wrap type="none"/>
          </v:rect>
        </w:pict>
      </w:r>
      <w:r>
        <w:rPr>
          <w:rFonts w:ascii="Comic Sans MS"/>
          <w:b/>
          <w:color w:val="231F20"/>
          <w:w w:val="105"/>
          <w:sz w:val="13"/>
        </w:rPr>
        <w:t>2007</w:t>
        <w:tab/>
        <w:t>2009</w:t>
        <w:tab/>
        <w:t>2012</w:t>
      </w:r>
    </w:p>
    <w:p>
      <w:pPr>
        <w:spacing w:before="46"/>
        <w:ind w:left="2300" w:right="0" w:firstLine="0"/>
        <w:jc w:val="left"/>
        <w:rPr>
          <w:sz w:val="16"/>
        </w:rPr>
      </w:pPr>
      <w:r>
        <w:rPr>
          <w:color w:val="231F20"/>
          <w:w w:val="105"/>
          <w:sz w:val="16"/>
        </w:rPr>
        <w:t>Fuente: elaboración propia con base en las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723" w:right="1830"/>
        <w:jc w:val="both"/>
      </w:pPr>
      <w:r>
        <w:rPr>
          <w:color w:val="231F20"/>
          <w:w w:val="105"/>
        </w:rPr>
        <w:t>La </w:t>
      </w:r>
      <w:r>
        <w:rPr>
          <w:color w:val="231F20"/>
          <w:spacing w:val="-3"/>
          <w:w w:val="105"/>
        </w:rPr>
        <w:t>condición </w:t>
      </w:r>
      <w:r>
        <w:rPr>
          <w:color w:val="231F20"/>
          <w:w w:val="105"/>
        </w:rPr>
        <w:t>de </w:t>
      </w:r>
      <w:r>
        <w:rPr>
          <w:color w:val="231F20"/>
          <w:spacing w:val="-3"/>
          <w:w w:val="105"/>
        </w:rPr>
        <w:t>alfabetismo </w:t>
      </w:r>
      <w:r>
        <w:rPr>
          <w:color w:val="231F20"/>
          <w:w w:val="105"/>
        </w:rPr>
        <w:t>es </w:t>
      </w:r>
      <w:r>
        <w:rPr>
          <w:color w:val="231F20"/>
          <w:spacing w:val="-3"/>
          <w:w w:val="105"/>
        </w:rPr>
        <w:t>alta, pues </w:t>
      </w:r>
      <w:r>
        <w:rPr>
          <w:color w:val="231F20"/>
          <w:w w:val="105"/>
        </w:rPr>
        <w:t>en los </w:t>
      </w:r>
      <w:r>
        <w:rPr>
          <w:color w:val="231F20"/>
          <w:spacing w:val="-3"/>
          <w:w w:val="105"/>
        </w:rPr>
        <w:t>tres años </w:t>
      </w:r>
      <w:r>
        <w:rPr>
          <w:color w:val="231F20"/>
          <w:w w:val="105"/>
        </w:rPr>
        <w:t>se </w:t>
      </w:r>
      <w:r>
        <w:rPr>
          <w:color w:val="231F20"/>
          <w:spacing w:val="-3"/>
          <w:w w:val="105"/>
        </w:rPr>
        <w:t>estima que </w:t>
      </w:r>
      <w:r>
        <w:rPr>
          <w:color w:val="231F20"/>
          <w:w w:val="105"/>
        </w:rPr>
        <w:t>más del 98% </w:t>
      </w:r>
      <w:r>
        <w:rPr>
          <w:color w:val="231F20"/>
          <w:spacing w:val="-3"/>
          <w:w w:val="105"/>
        </w:rPr>
        <w:t>sabe leer </w:t>
      </w:r>
      <w:r>
        <w:rPr>
          <w:color w:val="231F20"/>
          <w:w w:val="105"/>
        </w:rPr>
        <w:t>y </w:t>
      </w:r>
      <w:r>
        <w:rPr>
          <w:color w:val="231F20"/>
          <w:spacing w:val="-4"/>
          <w:w w:val="105"/>
        </w:rPr>
        <w:t>escribir. </w:t>
      </w:r>
      <w:r>
        <w:rPr>
          <w:color w:val="231F20"/>
          <w:w w:val="105"/>
        </w:rPr>
        <w:t>Sin </w:t>
      </w:r>
      <w:r>
        <w:rPr>
          <w:color w:val="231F20"/>
          <w:spacing w:val="-4"/>
          <w:w w:val="105"/>
        </w:rPr>
        <w:t>embargo, </w:t>
      </w:r>
      <w:r>
        <w:rPr>
          <w:color w:val="231F20"/>
          <w:w w:val="105"/>
        </w:rPr>
        <w:t>el </w:t>
      </w:r>
      <w:r>
        <w:rPr>
          <w:color w:val="231F20"/>
          <w:spacing w:val="-3"/>
          <w:w w:val="105"/>
        </w:rPr>
        <w:t>nivel </w:t>
      </w:r>
      <w:r>
        <w:rPr>
          <w:color w:val="231F20"/>
          <w:w w:val="105"/>
        </w:rPr>
        <w:t>de </w:t>
      </w:r>
      <w:r>
        <w:rPr>
          <w:color w:val="231F20"/>
          <w:spacing w:val="-3"/>
          <w:w w:val="105"/>
        </w:rPr>
        <w:t>escolaridad muestra</w:t>
      </w:r>
      <w:r>
        <w:rPr>
          <w:color w:val="231F20"/>
          <w:spacing w:val="-27"/>
          <w:w w:val="105"/>
        </w:rPr>
        <w:t> </w:t>
      </w:r>
      <w:r>
        <w:rPr>
          <w:color w:val="231F20"/>
          <w:w w:val="105"/>
        </w:rPr>
        <w:t>una</w:t>
      </w:r>
      <w:r>
        <w:rPr>
          <w:color w:val="231F20"/>
          <w:spacing w:val="-27"/>
          <w:w w:val="105"/>
        </w:rPr>
        <w:t> </w:t>
      </w:r>
      <w:r>
        <w:rPr>
          <w:color w:val="231F20"/>
          <w:spacing w:val="-3"/>
          <w:w w:val="105"/>
        </w:rPr>
        <w:t>alta</w:t>
      </w:r>
      <w:r>
        <w:rPr>
          <w:color w:val="231F20"/>
          <w:spacing w:val="-27"/>
          <w:w w:val="105"/>
        </w:rPr>
        <w:t> </w:t>
      </w:r>
      <w:r>
        <w:rPr>
          <w:color w:val="231F20"/>
          <w:spacing w:val="-3"/>
          <w:w w:val="105"/>
        </w:rPr>
        <w:t>concentración</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spacing w:val="-3"/>
          <w:w w:val="105"/>
        </w:rPr>
        <w:t>educación</w:t>
      </w:r>
      <w:r>
        <w:rPr>
          <w:color w:val="231F20"/>
          <w:spacing w:val="-27"/>
          <w:w w:val="105"/>
        </w:rPr>
        <w:t> </w:t>
      </w:r>
      <w:r>
        <w:rPr>
          <w:color w:val="231F20"/>
          <w:spacing w:val="-3"/>
          <w:w w:val="105"/>
        </w:rPr>
        <w:t>secundaria</w:t>
      </w:r>
      <w:r>
        <w:rPr>
          <w:color w:val="231F20"/>
          <w:spacing w:val="-27"/>
          <w:w w:val="105"/>
        </w:rPr>
        <w:t> </w:t>
      </w:r>
      <w:r>
        <w:rPr>
          <w:color w:val="231F20"/>
          <w:w w:val="105"/>
        </w:rPr>
        <w:t>y</w:t>
      </w:r>
      <w:r>
        <w:rPr>
          <w:color w:val="231F20"/>
          <w:spacing w:val="-27"/>
          <w:w w:val="105"/>
        </w:rPr>
        <w:t> </w:t>
      </w:r>
      <w:r>
        <w:rPr>
          <w:color w:val="231F20"/>
          <w:spacing w:val="-3"/>
          <w:w w:val="105"/>
        </w:rPr>
        <w:t>primaria,</w:t>
      </w:r>
      <w:r>
        <w:rPr>
          <w:color w:val="231F20"/>
          <w:spacing w:val="-32"/>
          <w:w w:val="105"/>
        </w:rPr>
        <w:t> </w:t>
      </w:r>
      <w:r>
        <w:rPr>
          <w:color w:val="231F20"/>
          <w:spacing w:val="-3"/>
          <w:w w:val="105"/>
        </w:rPr>
        <w:t>con </w:t>
      </w:r>
      <w:r>
        <w:rPr>
          <w:color w:val="231F20"/>
          <w:w w:val="105"/>
        </w:rPr>
        <w:t>56%</w:t>
      </w:r>
      <w:r>
        <w:rPr>
          <w:color w:val="231F20"/>
          <w:spacing w:val="-26"/>
          <w:w w:val="105"/>
        </w:rPr>
        <w:t> </w:t>
      </w:r>
      <w:r>
        <w:rPr>
          <w:color w:val="231F20"/>
          <w:w w:val="105"/>
        </w:rPr>
        <w:t>y</w:t>
      </w:r>
      <w:r>
        <w:rPr>
          <w:color w:val="231F20"/>
          <w:spacing w:val="-26"/>
          <w:w w:val="105"/>
        </w:rPr>
        <w:t> </w:t>
      </w:r>
      <w:r>
        <w:rPr>
          <w:color w:val="231F20"/>
          <w:spacing w:val="-3"/>
          <w:w w:val="105"/>
        </w:rPr>
        <w:t>26.3%</w:t>
      </w:r>
      <w:r>
        <w:rPr>
          <w:color w:val="231F20"/>
          <w:spacing w:val="-26"/>
          <w:w w:val="105"/>
        </w:rPr>
        <w:t> </w:t>
      </w:r>
      <w:r>
        <w:rPr>
          <w:color w:val="231F20"/>
          <w:w w:val="105"/>
        </w:rPr>
        <w:t>en</w:t>
      </w:r>
      <w:r>
        <w:rPr>
          <w:color w:val="231F20"/>
          <w:spacing w:val="-26"/>
          <w:w w:val="105"/>
        </w:rPr>
        <w:t> </w:t>
      </w:r>
      <w:r>
        <w:rPr>
          <w:color w:val="231F20"/>
          <w:spacing w:val="-3"/>
          <w:w w:val="105"/>
        </w:rPr>
        <w:t>2007,</w:t>
      </w:r>
      <w:r>
        <w:rPr>
          <w:color w:val="231F20"/>
          <w:spacing w:val="-31"/>
          <w:w w:val="105"/>
        </w:rPr>
        <w:t> </w:t>
      </w:r>
      <w:r>
        <w:rPr>
          <w:color w:val="231F20"/>
          <w:spacing w:val="-3"/>
          <w:w w:val="105"/>
        </w:rPr>
        <w:t>49.7%</w:t>
      </w:r>
      <w:r>
        <w:rPr>
          <w:color w:val="231F20"/>
          <w:spacing w:val="-26"/>
          <w:w w:val="105"/>
        </w:rPr>
        <w:t> </w:t>
      </w:r>
      <w:r>
        <w:rPr>
          <w:color w:val="231F20"/>
          <w:w w:val="105"/>
        </w:rPr>
        <w:t>y</w:t>
      </w:r>
      <w:r>
        <w:rPr>
          <w:color w:val="231F20"/>
          <w:spacing w:val="-26"/>
          <w:w w:val="105"/>
        </w:rPr>
        <w:t> </w:t>
      </w:r>
      <w:r>
        <w:rPr>
          <w:color w:val="231F20"/>
          <w:spacing w:val="-3"/>
          <w:w w:val="105"/>
        </w:rPr>
        <w:t>33.1%</w:t>
      </w:r>
      <w:r>
        <w:rPr>
          <w:color w:val="231F20"/>
          <w:spacing w:val="-26"/>
          <w:w w:val="105"/>
        </w:rPr>
        <w:t> </w:t>
      </w:r>
      <w:r>
        <w:rPr>
          <w:color w:val="231F20"/>
          <w:w w:val="105"/>
        </w:rPr>
        <w:t>en</w:t>
      </w:r>
      <w:r>
        <w:rPr>
          <w:color w:val="231F20"/>
          <w:spacing w:val="-26"/>
          <w:w w:val="105"/>
        </w:rPr>
        <w:t> </w:t>
      </w:r>
      <w:r>
        <w:rPr>
          <w:color w:val="231F20"/>
          <w:spacing w:val="-3"/>
          <w:w w:val="105"/>
        </w:rPr>
        <w:t>2009</w:t>
      </w:r>
      <w:r>
        <w:rPr>
          <w:color w:val="231F20"/>
          <w:spacing w:val="-26"/>
          <w:w w:val="105"/>
        </w:rPr>
        <w:t> </w:t>
      </w:r>
      <w:r>
        <w:rPr>
          <w:color w:val="231F20"/>
          <w:w w:val="105"/>
        </w:rPr>
        <w:t>y</w:t>
      </w:r>
      <w:r>
        <w:rPr>
          <w:color w:val="231F20"/>
          <w:spacing w:val="-26"/>
          <w:w w:val="105"/>
        </w:rPr>
        <w:t> </w:t>
      </w:r>
      <w:r>
        <w:rPr>
          <w:color w:val="231F20"/>
          <w:spacing w:val="-3"/>
          <w:w w:val="105"/>
        </w:rPr>
        <w:t>57.4%</w:t>
      </w:r>
      <w:r>
        <w:rPr>
          <w:color w:val="231F20"/>
          <w:spacing w:val="-26"/>
          <w:w w:val="105"/>
        </w:rPr>
        <w:t> </w:t>
      </w:r>
      <w:r>
        <w:rPr>
          <w:color w:val="231F20"/>
          <w:w w:val="105"/>
        </w:rPr>
        <w:t>y</w:t>
      </w:r>
      <w:r>
        <w:rPr>
          <w:color w:val="231F20"/>
          <w:spacing w:val="-26"/>
          <w:w w:val="105"/>
        </w:rPr>
        <w:t> </w:t>
      </w:r>
      <w:r>
        <w:rPr>
          <w:color w:val="231F20"/>
          <w:spacing w:val="-3"/>
          <w:w w:val="105"/>
        </w:rPr>
        <w:t>22.4%</w:t>
      </w:r>
      <w:r>
        <w:rPr>
          <w:color w:val="231F20"/>
          <w:spacing w:val="-26"/>
          <w:w w:val="105"/>
        </w:rPr>
        <w:t> </w:t>
      </w:r>
      <w:r>
        <w:rPr>
          <w:color w:val="231F20"/>
          <w:w w:val="105"/>
        </w:rPr>
        <w:t>en</w:t>
      </w:r>
      <w:r>
        <w:rPr>
          <w:color w:val="231F20"/>
          <w:spacing w:val="-26"/>
          <w:w w:val="105"/>
        </w:rPr>
        <w:t> </w:t>
      </w:r>
      <w:r>
        <w:rPr>
          <w:color w:val="231F20"/>
          <w:spacing w:val="-3"/>
          <w:w w:val="105"/>
        </w:rPr>
        <w:t>2012.</w:t>
      </w:r>
      <w:r>
        <w:rPr>
          <w:color w:val="231F20"/>
          <w:spacing w:val="-34"/>
          <w:w w:val="105"/>
        </w:rPr>
        <w:t> </w:t>
      </w:r>
      <w:r>
        <w:rPr>
          <w:color w:val="231F20"/>
          <w:w w:val="105"/>
        </w:rPr>
        <w:t>A</w:t>
      </w:r>
    </w:p>
    <w:p>
      <w:pPr>
        <w:pStyle w:val="BodyText"/>
        <w:spacing w:line="261" w:lineRule="auto" w:before="1"/>
        <w:ind w:left="1723" w:right="1834"/>
        <w:jc w:val="both"/>
      </w:pPr>
      <w:r>
        <w:rPr>
          <w:color w:val="231F20"/>
          <w:spacing w:val="-3"/>
          <w:w w:val="105"/>
        </w:rPr>
        <w:t>estas</w:t>
      </w:r>
      <w:r>
        <w:rPr>
          <w:color w:val="231F20"/>
          <w:spacing w:val="-18"/>
          <w:w w:val="105"/>
        </w:rPr>
        <w:t> </w:t>
      </w:r>
      <w:r>
        <w:rPr>
          <w:color w:val="231F20"/>
          <w:spacing w:val="-4"/>
          <w:w w:val="105"/>
        </w:rPr>
        <w:t>proporciones</w:t>
      </w:r>
      <w:r>
        <w:rPr>
          <w:color w:val="231F20"/>
          <w:spacing w:val="-18"/>
          <w:w w:val="105"/>
        </w:rPr>
        <w:t> </w:t>
      </w:r>
      <w:r>
        <w:rPr>
          <w:color w:val="231F20"/>
          <w:w w:val="105"/>
        </w:rPr>
        <w:t>le</w:t>
      </w:r>
      <w:r>
        <w:rPr>
          <w:color w:val="231F20"/>
          <w:spacing w:val="-18"/>
          <w:w w:val="105"/>
        </w:rPr>
        <w:t> </w:t>
      </w:r>
      <w:r>
        <w:rPr>
          <w:color w:val="231F20"/>
          <w:spacing w:val="-3"/>
          <w:w w:val="105"/>
        </w:rPr>
        <w:t>siguen</w:t>
      </w:r>
      <w:r>
        <w:rPr>
          <w:color w:val="231F20"/>
          <w:spacing w:val="-18"/>
          <w:w w:val="105"/>
        </w:rPr>
        <w:t> </w:t>
      </w:r>
      <w:r>
        <w:rPr>
          <w:color w:val="231F20"/>
          <w:w w:val="105"/>
        </w:rPr>
        <w:t>los</w:t>
      </w:r>
      <w:r>
        <w:rPr>
          <w:color w:val="231F20"/>
          <w:spacing w:val="-18"/>
          <w:w w:val="105"/>
        </w:rPr>
        <w:t> </w:t>
      </w:r>
      <w:r>
        <w:rPr>
          <w:color w:val="231F20"/>
          <w:w w:val="105"/>
        </w:rPr>
        <w:t>que</w:t>
      </w:r>
      <w:r>
        <w:rPr>
          <w:color w:val="231F20"/>
          <w:spacing w:val="-18"/>
          <w:w w:val="105"/>
        </w:rPr>
        <w:t> </w:t>
      </w:r>
      <w:r>
        <w:rPr>
          <w:color w:val="231F20"/>
          <w:spacing w:val="-3"/>
          <w:w w:val="105"/>
        </w:rPr>
        <w:t>cuentan</w:t>
      </w:r>
      <w:r>
        <w:rPr>
          <w:color w:val="231F20"/>
          <w:spacing w:val="-18"/>
          <w:w w:val="105"/>
        </w:rPr>
        <w:t> </w:t>
      </w:r>
      <w:r>
        <w:rPr>
          <w:color w:val="231F20"/>
          <w:w w:val="105"/>
        </w:rPr>
        <w:t>con</w:t>
      </w:r>
      <w:r>
        <w:rPr>
          <w:color w:val="231F20"/>
          <w:spacing w:val="-18"/>
          <w:w w:val="105"/>
        </w:rPr>
        <w:t> </w:t>
      </w:r>
      <w:r>
        <w:rPr>
          <w:color w:val="231F20"/>
          <w:spacing w:val="-4"/>
          <w:w w:val="105"/>
        </w:rPr>
        <w:t>preparatoria</w:t>
      </w:r>
      <w:r>
        <w:rPr>
          <w:color w:val="231F20"/>
          <w:spacing w:val="-18"/>
          <w:w w:val="105"/>
        </w:rPr>
        <w:t> </w:t>
      </w:r>
      <w:r>
        <w:rPr>
          <w:color w:val="231F20"/>
          <w:w w:val="105"/>
        </w:rPr>
        <w:t>con</w:t>
      </w:r>
      <w:r>
        <w:rPr>
          <w:color w:val="231F20"/>
          <w:spacing w:val="-18"/>
          <w:w w:val="105"/>
        </w:rPr>
        <w:t> </w:t>
      </w:r>
      <w:r>
        <w:rPr>
          <w:color w:val="231F20"/>
          <w:spacing w:val="-4"/>
          <w:w w:val="105"/>
        </w:rPr>
        <w:t>aproxi- </w:t>
      </w:r>
      <w:r>
        <w:rPr>
          <w:color w:val="231F20"/>
          <w:spacing w:val="-3"/>
          <w:w w:val="105"/>
        </w:rPr>
        <w:t>madamente</w:t>
      </w:r>
      <w:r>
        <w:rPr>
          <w:color w:val="231F20"/>
          <w:spacing w:val="-27"/>
          <w:w w:val="105"/>
        </w:rPr>
        <w:t> </w:t>
      </w:r>
      <w:r>
        <w:rPr>
          <w:color w:val="231F20"/>
          <w:w w:val="105"/>
        </w:rPr>
        <w:t>15%</w:t>
      </w:r>
      <w:r>
        <w:rPr>
          <w:color w:val="231F20"/>
          <w:spacing w:val="-27"/>
          <w:w w:val="105"/>
        </w:rPr>
        <w:t> </w:t>
      </w:r>
      <w:r>
        <w:rPr>
          <w:color w:val="231F20"/>
          <w:w w:val="105"/>
        </w:rPr>
        <w:t>en</w:t>
      </w:r>
      <w:r>
        <w:rPr>
          <w:color w:val="231F20"/>
          <w:spacing w:val="-27"/>
          <w:w w:val="105"/>
        </w:rPr>
        <w:t> </w:t>
      </w:r>
      <w:r>
        <w:rPr>
          <w:color w:val="231F20"/>
          <w:w w:val="105"/>
        </w:rPr>
        <w:t>los</w:t>
      </w:r>
      <w:r>
        <w:rPr>
          <w:color w:val="231F20"/>
          <w:spacing w:val="-27"/>
          <w:w w:val="105"/>
        </w:rPr>
        <w:t> </w:t>
      </w:r>
      <w:r>
        <w:rPr>
          <w:color w:val="231F20"/>
          <w:spacing w:val="-3"/>
          <w:w w:val="105"/>
        </w:rPr>
        <w:t>tres</w:t>
      </w:r>
      <w:r>
        <w:rPr>
          <w:color w:val="231F20"/>
          <w:spacing w:val="-27"/>
          <w:w w:val="105"/>
        </w:rPr>
        <w:t> </w:t>
      </w:r>
      <w:r>
        <w:rPr>
          <w:color w:val="231F20"/>
          <w:spacing w:val="-3"/>
          <w:w w:val="105"/>
        </w:rPr>
        <w:t>años</w:t>
      </w:r>
      <w:r>
        <w:rPr>
          <w:color w:val="231F20"/>
          <w:spacing w:val="-27"/>
          <w:w w:val="105"/>
        </w:rPr>
        <w:t> </w:t>
      </w:r>
      <w:r>
        <w:rPr>
          <w:color w:val="231F20"/>
          <w:w w:val="105"/>
        </w:rPr>
        <w:t>de</w:t>
      </w:r>
      <w:r>
        <w:rPr>
          <w:color w:val="231F20"/>
          <w:spacing w:val="-27"/>
          <w:w w:val="105"/>
        </w:rPr>
        <w:t> </w:t>
      </w:r>
      <w:r>
        <w:rPr>
          <w:color w:val="231F20"/>
          <w:spacing w:val="-3"/>
          <w:w w:val="105"/>
        </w:rPr>
        <w:t>observación.</w:t>
      </w:r>
      <w:r>
        <w:rPr>
          <w:color w:val="231F20"/>
          <w:spacing w:val="-31"/>
          <w:w w:val="105"/>
        </w:rPr>
        <w:t> </w:t>
      </w:r>
      <w:r>
        <w:rPr>
          <w:color w:val="231F20"/>
          <w:w w:val="105"/>
        </w:rPr>
        <w:t>En</w:t>
      </w:r>
      <w:r>
        <w:rPr>
          <w:color w:val="231F20"/>
          <w:spacing w:val="-27"/>
          <w:w w:val="105"/>
        </w:rPr>
        <w:t> </w:t>
      </w:r>
      <w:r>
        <w:rPr>
          <w:color w:val="231F20"/>
          <w:w w:val="105"/>
        </w:rPr>
        <w:t>tal</w:t>
      </w:r>
      <w:r>
        <w:rPr>
          <w:color w:val="231F20"/>
          <w:spacing w:val="-27"/>
          <w:w w:val="105"/>
        </w:rPr>
        <w:t> </w:t>
      </w:r>
      <w:r>
        <w:rPr>
          <w:color w:val="231F20"/>
          <w:spacing w:val="-3"/>
          <w:w w:val="105"/>
        </w:rPr>
        <w:t>sentido,</w:t>
      </w:r>
      <w:r>
        <w:rPr>
          <w:color w:val="231F20"/>
          <w:spacing w:val="-31"/>
          <w:w w:val="105"/>
        </w:rPr>
        <w:t> </w:t>
      </w:r>
      <w:r>
        <w:rPr>
          <w:color w:val="231F20"/>
          <w:w w:val="105"/>
        </w:rPr>
        <w:t>se</w:t>
      </w:r>
      <w:r>
        <w:rPr>
          <w:color w:val="231F20"/>
          <w:spacing w:val="-27"/>
          <w:w w:val="105"/>
        </w:rPr>
        <w:t> </w:t>
      </w:r>
      <w:r>
        <w:rPr>
          <w:color w:val="231F20"/>
          <w:spacing w:val="-3"/>
          <w:w w:val="105"/>
        </w:rPr>
        <w:t>estima </w:t>
      </w:r>
      <w:r>
        <w:rPr>
          <w:color w:val="231F20"/>
          <w:w w:val="105"/>
        </w:rPr>
        <w:t>que</w:t>
      </w:r>
      <w:r>
        <w:rPr>
          <w:color w:val="231F20"/>
          <w:spacing w:val="-9"/>
          <w:w w:val="105"/>
        </w:rPr>
        <w:t> </w:t>
      </w:r>
      <w:r>
        <w:rPr>
          <w:color w:val="231F20"/>
          <w:w w:val="105"/>
        </w:rPr>
        <w:t>la</w:t>
      </w:r>
      <w:r>
        <w:rPr>
          <w:color w:val="231F20"/>
          <w:spacing w:val="-9"/>
          <w:w w:val="105"/>
        </w:rPr>
        <w:t> </w:t>
      </w:r>
      <w:r>
        <w:rPr>
          <w:color w:val="231F20"/>
          <w:spacing w:val="-4"/>
          <w:w w:val="105"/>
        </w:rPr>
        <w:t>proporción</w:t>
      </w:r>
      <w:r>
        <w:rPr>
          <w:color w:val="231F20"/>
          <w:spacing w:val="-9"/>
          <w:w w:val="105"/>
        </w:rPr>
        <w:t> </w:t>
      </w:r>
      <w:r>
        <w:rPr>
          <w:color w:val="231F20"/>
          <w:w w:val="105"/>
        </w:rPr>
        <w:t>de</w:t>
      </w:r>
      <w:r>
        <w:rPr>
          <w:color w:val="231F20"/>
          <w:spacing w:val="-9"/>
          <w:w w:val="105"/>
        </w:rPr>
        <w:t> </w:t>
      </w:r>
      <w:r>
        <w:rPr>
          <w:color w:val="231F20"/>
          <w:spacing w:val="-3"/>
          <w:w w:val="105"/>
        </w:rPr>
        <w:t>migrantes</w:t>
      </w:r>
      <w:r>
        <w:rPr>
          <w:color w:val="231F20"/>
          <w:spacing w:val="-9"/>
          <w:w w:val="105"/>
        </w:rPr>
        <w:t> </w:t>
      </w:r>
      <w:r>
        <w:rPr>
          <w:color w:val="231F20"/>
          <w:spacing w:val="-3"/>
          <w:w w:val="105"/>
        </w:rPr>
        <w:t>devueltos</w:t>
      </w:r>
      <w:r>
        <w:rPr>
          <w:color w:val="231F20"/>
          <w:spacing w:val="-9"/>
          <w:w w:val="105"/>
        </w:rPr>
        <w:t> </w:t>
      </w:r>
      <w:r>
        <w:rPr>
          <w:color w:val="231F20"/>
          <w:w w:val="105"/>
        </w:rPr>
        <w:t>que</w:t>
      </w:r>
      <w:r>
        <w:rPr>
          <w:color w:val="231F20"/>
          <w:spacing w:val="-9"/>
          <w:w w:val="105"/>
        </w:rPr>
        <w:t> </w:t>
      </w:r>
      <w:r>
        <w:rPr>
          <w:color w:val="231F20"/>
          <w:spacing w:val="-3"/>
          <w:w w:val="105"/>
        </w:rPr>
        <w:t>tienen</w:t>
      </w:r>
      <w:r>
        <w:rPr>
          <w:color w:val="231F20"/>
          <w:spacing w:val="-9"/>
          <w:w w:val="105"/>
        </w:rPr>
        <w:t> </w:t>
      </w:r>
      <w:r>
        <w:rPr>
          <w:color w:val="231F20"/>
          <w:spacing w:val="-3"/>
          <w:w w:val="105"/>
        </w:rPr>
        <w:t>educación</w:t>
      </w:r>
      <w:r>
        <w:rPr>
          <w:color w:val="231F20"/>
          <w:spacing w:val="-9"/>
          <w:w w:val="105"/>
        </w:rPr>
        <w:t> </w:t>
      </w:r>
      <w:r>
        <w:rPr>
          <w:color w:val="231F20"/>
          <w:spacing w:val="-3"/>
          <w:w w:val="105"/>
        </w:rPr>
        <w:t>profesio- </w:t>
      </w:r>
      <w:r>
        <w:rPr>
          <w:color w:val="231F20"/>
          <w:w w:val="105"/>
        </w:rPr>
        <w:t>nal</w:t>
      </w:r>
      <w:r>
        <w:rPr>
          <w:color w:val="231F20"/>
          <w:spacing w:val="-8"/>
          <w:w w:val="105"/>
        </w:rPr>
        <w:t> </w:t>
      </w:r>
      <w:r>
        <w:rPr>
          <w:color w:val="231F20"/>
          <w:w w:val="105"/>
        </w:rPr>
        <w:t>no</w:t>
      </w:r>
      <w:r>
        <w:rPr>
          <w:color w:val="231F20"/>
          <w:spacing w:val="-8"/>
          <w:w w:val="105"/>
        </w:rPr>
        <w:t> </w:t>
      </w:r>
      <w:r>
        <w:rPr>
          <w:color w:val="231F20"/>
          <w:w w:val="105"/>
        </w:rPr>
        <w:t>es</w:t>
      </w:r>
      <w:r>
        <w:rPr>
          <w:color w:val="231F20"/>
          <w:spacing w:val="-8"/>
          <w:w w:val="105"/>
        </w:rPr>
        <w:t> </w:t>
      </w:r>
      <w:r>
        <w:rPr>
          <w:color w:val="231F20"/>
          <w:spacing w:val="-3"/>
          <w:w w:val="105"/>
        </w:rPr>
        <w:t>mayor</w:t>
      </w:r>
      <w:r>
        <w:rPr>
          <w:color w:val="231F20"/>
          <w:spacing w:val="-8"/>
          <w:w w:val="105"/>
        </w:rPr>
        <w:t> </w:t>
      </w:r>
      <w:r>
        <w:rPr>
          <w:color w:val="231F20"/>
          <w:w w:val="105"/>
        </w:rPr>
        <w:t>al</w:t>
      </w:r>
      <w:r>
        <w:rPr>
          <w:color w:val="231F20"/>
          <w:spacing w:val="-8"/>
          <w:w w:val="105"/>
        </w:rPr>
        <w:t> </w:t>
      </w:r>
      <w:r>
        <w:rPr>
          <w:color w:val="231F20"/>
          <w:w w:val="105"/>
        </w:rPr>
        <w:t>1%.</w:t>
      </w:r>
      <w:r>
        <w:rPr>
          <w:color w:val="231F20"/>
          <w:spacing w:val="-14"/>
          <w:w w:val="105"/>
        </w:rPr>
        <w:t> </w:t>
      </w:r>
      <w:r>
        <w:rPr>
          <w:color w:val="231F20"/>
          <w:w w:val="105"/>
        </w:rPr>
        <w:t>No</w:t>
      </w:r>
      <w:r>
        <w:rPr>
          <w:color w:val="231F20"/>
          <w:spacing w:val="-8"/>
          <w:w w:val="105"/>
        </w:rPr>
        <w:t> </w:t>
      </w:r>
      <w:r>
        <w:rPr>
          <w:color w:val="231F20"/>
          <w:spacing w:val="-3"/>
          <w:w w:val="105"/>
        </w:rPr>
        <w:t>obstante,</w:t>
      </w:r>
      <w:r>
        <w:rPr>
          <w:color w:val="231F20"/>
          <w:spacing w:val="-14"/>
          <w:w w:val="105"/>
        </w:rPr>
        <w:t> </w:t>
      </w:r>
      <w:r>
        <w:rPr>
          <w:color w:val="231F20"/>
          <w:spacing w:val="-3"/>
          <w:w w:val="105"/>
        </w:rPr>
        <w:t>entre</w:t>
      </w:r>
      <w:r>
        <w:rPr>
          <w:color w:val="231F20"/>
          <w:spacing w:val="-8"/>
          <w:w w:val="105"/>
        </w:rPr>
        <w:t> </w:t>
      </w:r>
      <w:r>
        <w:rPr>
          <w:color w:val="231F20"/>
          <w:spacing w:val="-3"/>
          <w:w w:val="105"/>
        </w:rPr>
        <w:t>esta</w:t>
      </w:r>
      <w:r>
        <w:rPr>
          <w:color w:val="231F20"/>
          <w:spacing w:val="-8"/>
          <w:w w:val="105"/>
        </w:rPr>
        <w:t> </w:t>
      </w:r>
      <w:r>
        <w:rPr>
          <w:color w:val="231F20"/>
          <w:spacing w:val="-3"/>
          <w:w w:val="105"/>
        </w:rPr>
        <w:t>población</w:t>
      </w:r>
      <w:r>
        <w:rPr>
          <w:color w:val="231F20"/>
          <w:spacing w:val="-8"/>
          <w:w w:val="105"/>
        </w:rPr>
        <w:t> </w:t>
      </w:r>
      <w:r>
        <w:rPr>
          <w:color w:val="231F20"/>
          <w:w w:val="105"/>
        </w:rPr>
        <w:t>se</w:t>
      </w:r>
      <w:r>
        <w:rPr>
          <w:color w:val="231F20"/>
          <w:spacing w:val="-8"/>
          <w:w w:val="105"/>
        </w:rPr>
        <w:t> </w:t>
      </w:r>
      <w:r>
        <w:rPr>
          <w:color w:val="231F20"/>
          <w:spacing w:val="-3"/>
          <w:w w:val="105"/>
        </w:rPr>
        <w:t>distingue</w:t>
      </w:r>
      <w:r>
        <w:rPr>
          <w:color w:val="231F20"/>
          <w:spacing w:val="-8"/>
          <w:w w:val="105"/>
        </w:rPr>
        <w:t> </w:t>
      </w:r>
      <w:r>
        <w:rPr>
          <w:color w:val="231F20"/>
          <w:spacing w:val="-3"/>
          <w:w w:val="105"/>
        </w:rPr>
        <w:t>un aumento significativo </w:t>
      </w:r>
      <w:r>
        <w:rPr>
          <w:color w:val="231F20"/>
          <w:w w:val="105"/>
        </w:rPr>
        <w:t>en el </w:t>
      </w:r>
      <w:r>
        <w:rPr>
          <w:color w:val="231F20"/>
          <w:spacing w:val="-3"/>
          <w:w w:val="105"/>
        </w:rPr>
        <w:t>número </w:t>
      </w:r>
      <w:r>
        <w:rPr>
          <w:color w:val="231F20"/>
          <w:w w:val="105"/>
        </w:rPr>
        <w:t>de los que </w:t>
      </w:r>
      <w:r>
        <w:rPr>
          <w:color w:val="231F20"/>
          <w:spacing w:val="-3"/>
          <w:w w:val="105"/>
        </w:rPr>
        <w:t>saben inglés, pasando de 6.6%</w:t>
      </w:r>
      <w:r>
        <w:rPr>
          <w:color w:val="231F20"/>
          <w:spacing w:val="-24"/>
          <w:w w:val="105"/>
        </w:rPr>
        <w:t> </w:t>
      </w:r>
      <w:r>
        <w:rPr>
          <w:color w:val="231F20"/>
          <w:w w:val="105"/>
        </w:rPr>
        <w:t>en</w:t>
      </w:r>
      <w:r>
        <w:rPr>
          <w:color w:val="231F20"/>
          <w:spacing w:val="-24"/>
          <w:w w:val="105"/>
        </w:rPr>
        <w:t> </w:t>
      </w:r>
      <w:r>
        <w:rPr>
          <w:color w:val="231F20"/>
          <w:spacing w:val="-3"/>
          <w:w w:val="105"/>
        </w:rPr>
        <w:t>2007</w:t>
      </w:r>
      <w:r>
        <w:rPr>
          <w:color w:val="231F20"/>
          <w:spacing w:val="-24"/>
          <w:w w:val="105"/>
        </w:rPr>
        <w:t> </w:t>
      </w:r>
      <w:r>
        <w:rPr>
          <w:color w:val="231F20"/>
          <w:w w:val="105"/>
        </w:rPr>
        <w:t>a</w:t>
      </w:r>
      <w:r>
        <w:rPr>
          <w:color w:val="231F20"/>
          <w:spacing w:val="-24"/>
          <w:w w:val="105"/>
        </w:rPr>
        <w:t> </w:t>
      </w:r>
      <w:r>
        <w:rPr>
          <w:color w:val="231F20"/>
          <w:spacing w:val="-3"/>
          <w:w w:val="105"/>
        </w:rPr>
        <w:t>14.9%</w:t>
      </w:r>
      <w:r>
        <w:rPr>
          <w:color w:val="231F20"/>
          <w:spacing w:val="-24"/>
          <w:w w:val="105"/>
        </w:rPr>
        <w:t> </w:t>
      </w:r>
      <w:r>
        <w:rPr>
          <w:color w:val="231F20"/>
          <w:w w:val="105"/>
        </w:rPr>
        <w:t>y</w:t>
      </w:r>
      <w:r>
        <w:rPr>
          <w:color w:val="231F20"/>
          <w:spacing w:val="-24"/>
          <w:w w:val="105"/>
        </w:rPr>
        <w:t> </w:t>
      </w:r>
      <w:r>
        <w:rPr>
          <w:color w:val="231F20"/>
          <w:spacing w:val="-3"/>
          <w:w w:val="105"/>
        </w:rPr>
        <w:t>44.8%</w:t>
      </w:r>
      <w:r>
        <w:rPr>
          <w:color w:val="231F20"/>
          <w:spacing w:val="-24"/>
          <w:w w:val="105"/>
        </w:rPr>
        <w:t> </w:t>
      </w:r>
      <w:r>
        <w:rPr>
          <w:color w:val="231F20"/>
          <w:w w:val="105"/>
        </w:rPr>
        <w:t>en</w:t>
      </w:r>
      <w:r>
        <w:rPr>
          <w:color w:val="231F20"/>
          <w:spacing w:val="-24"/>
          <w:w w:val="105"/>
        </w:rPr>
        <w:t> </w:t>
      </w:r>
      <w:r>
        <w:rPr>
          <w:color w:val="231F20"/>
          <w:spacing w:val="-3"/>
          <w:w w:val="105"/>
        </w:rPr>
        <w:t>2009</w:t>
      </w:r>
      <w:r>
        <w:rPr>
          <w:color w:val="231F20"/>
          <w:spacing w:val="-24"/>
          <w:w w:val="105"/>
        </w:rPr>
        <w:t> </w:t>
      </w:r>
      <w:r>
        <w:rPr>
          <w:color w:val="231F20"/>
          <w:w w:val="105"/>
        </w:rPr>
        <w:t>y</w:t>
      </w:r>
      <w:r>
        <w:rPr>
          <w:color w:val="231F20"/>
          <w:spacing w:val="-24"/>
          <w:w w:val="105"/>
        </w:rPr>
        <w:t> </w:t>
      </w:r>
      <w:r>
        <w:rPr>
          <w:color w:val="231F20"/>
          <w:spacing w:val="-3"/>
          <w:w w:val="105"/>
        </w:rPr>
        <w:t>2012,</w:t>
      </w:r>
      <w:r>
        <w:rPr>
          <w:color w:val="231F20"/>
          <w:spacing w:val="-29"/>
          <w:w w:val="105"/>
        </w:rPr>
        <w:t> </w:t>
      </w:r>
      <w:r>
        <w:rPr>
          <w:color w:val="231F20"/>
          <w:spacing w:val="-4"/>
          <w:w w:val="105"/>
        </w:rPr>
        <w:t>respectivamente.</w:t>
      </w:r>
    </w:p>
    <w:p>
      <w:pPr>
        <w:pStyle w:val="BodyText"/>
        <w:spacing w:before="8"/>
        <w:rPr>
          <w:sz w:val="22"/>
        </w:rPr>
      </w:pPr>
    </w:p>
    <w:p>
      <w:pPr>
        <w:spacing w:before="0"/>
        <w:ind w:left="1723" w:right="0" w:firstLine="0"/>
        <w:jc w:val="both"/>
        <w:rPr>
          <w:rFonts w:ascii="Arial"/>
          <w:i/>
          <w:sz w:val="21"/>
        </w:rPr>
      </w:pPr>
      <w:r>
        <w:rPr>
          <w:rFonts w:ascii="Arial"/>
          <w:i/>
          <w:color w:val="231F20"/>
          <w:w w:val="105"/>
          <w:sz w:val="21"/>
        </w:rPr>
        <w:t>Ciudad fronteriza de cruce</w:t>
      </w:r>
    </w:p>
    <w:p>
      <w:pPr>
        <w:pStyle w:val="BodyText"/>
        <w:spacing w:before="6"/>
        <w:rPr>
          <w:rFonts w:ascii="Arial"/>
          <w:i/>
          <w:sz w:val="24"/>
        </w:rPr>
      </w:pPr>
    </w:p>
    <w:p>
      <w:pPr>
        <w:pStyle w:val="BodyText"/>
        <w:spacing w:line="261" w:lineRule="auto"/>
        <w:ind w:left="1723" w:right="1834"/>
        <w:jc w:val="both"/>
      </w:pPr>
      <w:r>
        <w:rPr>
          <w:color w:val="231F20"/>
          <w:w w:val="105"/>
        </w:rPr>
        <w:t>En</w:t>
      </w:r>
      <w:r>
        <w:rPr>
          <w:color w:val="231F20"/>
          <w:spacing w:val="-14"/>
          <w:w w:val="105"/>
        </w:rPr>
        <w:t> </w:t>
      </w:r>
      <w:r>
        <w:rPr>
          <w:color w:val="231F20"/>
          <w:w w:val="105"/>
        </w:rPr>
        <w:t>relación</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ciudad</w:t>
      </w:r>
      <w:r>
        <w:rPr>
          <w:color w:val="231F20"/>
          <w:spacing w:val="-14"/>
          <w:w w:val="105"/>
        </w:rPr>
        <w:t> </w:t>
      </w:r>
      <w:r>
        <w:rPr>
          <w:color w:val="231F20"/>
          <w:w w:val="105"/>
        </w:rPr>
        <w:t>de</w:t>
      </w:r>
      <w:r>
        <w:rPr>
          <w:color w:val="231F20"/>
          <w:spacing w:val="-14"/>
          <w:w w:val="105"/>
        </w:rPr>
        <w:t> </w:t>
      </w:r>
      <w:r>
        <w:rPr>
          <w:color w:val="231F20"/>
          <w:w w:val="105"/>
        </w:rPr>
        <w:t>cruce,</w:t>
      </w:r>
      <w:r>
        <w:rPr>
          <w:color w:val="231F20"/>
          <w:spacing w:val="-19"/>
          <w:w w:val="105"/>
        </w:rPr>
        <w:t> </w:t>
      </w: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5"/>
          <w:w w:val="105"/>
        </w:rPr>
        <w:t> </w:t>
      </w:r>
      <w:r>
        <w:rPr>
          <w:color w:val="231F20"/>
          <w:w w:val="105"/>
          <w:sz w:val="17"/>
        </w:rPr>
        <w:t>EMIF</w:t>
      </w:r>
      <w:r>
        <w:rPr>
          <w:color w:val="231F20"/>
          <w:w w:val="105"/>
        </w:rPr>
        <w:t>-Norte</w:t>
      </w:r>
      <w:r>
        <w:rPr>
          <w:color w:val="231F20"/>
          <w:spacing w:val="-14"/>
          <w:w w:val="105"/>
        </w:rPr>
        <w:t> </w:t>
      </w:r>
      <w:r>
        <w:rPr>
          <w:color w:val="231F20"/>
          <w:w w:val="105"/>
        </w:rPr>
        <w:t>se</w:t>
      </w:r>
      <w:r>
        <w:rPr>
          <w:color w:val="231F20"/>
          <w:spacing w:val="-14"/>
          <w:w w:val="105"/>
        </w:rPr>
        <w:t> </w:t>
      </w:r>
      <w:r>
        <w:rPr>
          <w:color w:val="231F20"/>
          <w:w w:val="105"/>
        </w:rPr>
        <w:t>esti- ma</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proporción</w:t>
      </w:r>
      <w:r>
        <w:rPr>
          <w:color w:val="231F20"/>
          <w:spacing w:val="-14"/>
          <w:w w:val="105"/>
        </w:rPr>
        <w:t> </w:t>
      </w:r>
      <w:r>
        <w:rPr>
          <w:color w:val="231F20"/>
          <w:w w:val="105"/>
        </w:rPr>
        <w:t>de</w:t>
      </w:r>
      <w:r>
        <w:rPr>
          <w:color w:val="231F20"/>
          <w:spacing w:val="-14"/>
          <w:w w:val="105"/>
        </w:rPr>
        <w:t> </w:t>
      </w:r>
      <w:r>
        <w:rPr>
          <w:color w:val="231F20"/>
          <w:w w:val="105"/>
        </w:rPr>
        <w:t>migrantes</w:t>
      </w:r>
      <w:r>
        <w:rPr>
          <w:color w:val="231F20"/>
          <w:spacing w:val="-14"/>
          <w:w w:val="105"/>
        </w:rPr>
        <w:t> </w:t>
      </w:r>
      <w:r>
        <w:rPr>
          <w:color w:val="231F20"/>
          <w:w w:val="105"/>
        </w:rPr>
        <w:t>mexiquenses</w:t>
      </w:r>
      <w:r>
        <w:rPr>
          <w:color w:val="231F20"/>
          <w:spacing w:val="-14"/>
          <w:w w:val="105"/>
        </w:rPr>
        <w:t> </w:t>
      </w:r>
      <w:r>
        <w:rPr>
          <w:color w:val="231F20"/>
          <w:w w:val="105"/>
        </w:rPr>
        <w:t>que</w:t>
      </w:r>
      <w:r>
        <w:rPr>
          <w:color w:val="231F20"/>
          <w:spacing w:val="-14"/>
          <w:w w:val="105"/>
        </w:rPr>
        <w:t> </w:t>
      </w:r>
      <w:r>
        <w:rPr>
          <w:color w:val="231F20"/>
          <w:w w:val="105"/>
        </w:rPr>
        <w:t>vivían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ciudad fronteriza en la que fueron entrevistados es muy baja: 6.1% en 2007 y menos de 2% en 2009 y 2012. De los que declararon vivir en la ciudad fronteriza</w:t>
      </w:r>
      <w:r>
        <w:rPr>
          <w:color w:val="231F20"/>
          <w:spacing w:val="-20"/>
          <w:w w:val="105"/>
        </w:rPr>
        <w:t> </w:t>
      </w:r>
      <w:r>
        <w:rPr>
          <w:color w:val="231F20"/>
          <w:w w:val="105"/>
        </w:rPr>
        <w:t>se</w:t>
      </w:r>
      <w:r>
        <w:rPr>
          <w:color w:val="231F20"/>
          <w:spacing w:val="-20"/>
          <w:w w:val="105"/>
        </w:rPr>
        <w:t> </w:t>
      </w:r>
      <w:r>
        <w:rPr>
          <w:color w:val="231F20"/>
          <w:w w:val="105"/>
        </w:rPr>
        <w:t>registra</w:t>
      </w:r>
      <w:r>
        <w:rPr>
          <w:color w:val="231F20"/>
          <w:spacing w:val="-20"/>
          <w:w w:val="105"/>
        </w:rPr>
        <w:t> </w:t>
      </w:r>
      <w:r>
        <w:rPr>
          <w:color w:val="231F20"/>
          <w:w w:val="105"/>
        </w:rPr>
        <w:t>un</w:t>
      </w:r>
      <w:r>
        <w:rPr>
          <w:color w:val="231F20"/>
          <w:spacing w:val="-20"/>
          <w:w w:val="105"/>
        </w:rPr>
        <w:t> </w:t>
      </w:r>
      <w:r>
        <w:rPr>
          <w:color w:val="231F20"/>
          <w:w w:val="105"/>
        </w:rPr>
        <w:t>alto</w:t>
      </w:r>
      <w:r>
        <w:rPr>
          <w:color w:val="231F20"/>
          <w:spacing w:val="-20"/>
          <w:w w:val="105"/>
        </w:rPr>
        <w:t> </w:t>
      </w:r>
      <w:r>
        <w:rPr>
          <w:color w:val="231F20"/>
          <w:w w:val="105"/>
        </w:rPr>
        <w:t>porcentaje</w:t>
      </w:r>
      <w:r>
        <w:rPr>
          <w:color w:val="231F20"/>
          <w:spacing w:val="-20"/>
          <w:w w:val="105"/>
        </w:rPr>
        <w:t> </w:t>
      </w:r>
      <w:r>
        <w:rPr>
          <w:color w:val="231F20"/>
          <w:w w:val="105"/>
        </w:rPr>
        <w:t>entre</w:t>
      </w:r>
      <w:r>
        <w:rPr>
          <w:color w:val="231F20"/>
          <w:spacing w:val="-20"/>
          <w:w w:val="105"/>
        </w:rPr>
        <w:t> </w:t>
      </w:r>
      <w:r>
        <w:rPr>
          <w:color w:val="231F20"/>
          <w:w w:val="105"/>
        </w:rPr>
        <w:t>los</w:t>
      </w:r>
      <w:r>
        <w:rPr>
          <w:color w:val="231F20"/>
          <w:spacing w:val="-20"/>
          <w:w w:val="105"/>
        </w:rPr>
        <w:t> </w:t>
      </w:r>
      <w:r>
        <w:rPr>
          <w:color w:val="231F20"/>
          <w:w w:val="105"/>
        </w:rPr>
        <w:t>que</w:t>
      </w:r>
      <w:r>
        <w:rPr>
          <w:color w:val="231F20"/>
          <w:spacing w:val="-20"/>
          <w:w w:val="105"/>
        </w:rPr>
        <w:t> </w:t>
      </w:r>
      <w:r>
        <w:rPr>
          <w:color w:val="231F20"/>
          <w:w w:val="105"/>
        </w:rPr>
        <w:t>cruzaron</w:t>
      </w:r>
      <w:r>
        <w:rPr>
          <w:color w:val="231F20"/>
          <w:spacing w:val="-20"/>
          <w:w w:val="105"/>
        </w:rPr>
        <w:t> </w:t>
      </w:r>
      <w:r>
        <w:rPr>
          <w:color w:val="231F20"/>
          <w:w w:val="105"/>
        </w:rPr>
        <w:t>por</w:t>
      </w:r>
      <w:r>
        <w:rPr>
          <w:color w:val="231F20"/>
          <w:spacing w:val="-20"/>
          <w:w w:val="105"/>
        </w:rPr>
        <w:t> </w:t>
      </w:r>
      <w:r>
        <w:rPr>
          <w:color w:val="231F20"/>
          <w:w w:val="105"/>
        </w:rPr>
        <w:t>el</w:t>
      </w:r>
      <w:r>
        <w:rPr>
          <w:color w:val="231F20"/>
          <w:spacing w:val="-20"/>
          <w:w w:val="105"/>
        </w:rPr>
        <w:t> </w:t>
      </w:r>
      <w:r>
        <w:rPr>
          <w:color w:val="231F20"/>
          <w:w w:val="105"/>
        </w:rPr>
        <w:t>mis- mo</w:t>
      </w:r>
      <w:r>
        <w:rPr>
          <w:color w:val="231F20"/>
          <w:spacing w:val="-10"/>
          <w:w w:val="105"/>
        </w:rPr>
        <w:t> </w:t>
      </w:r>
      <w:r>
        <w:rPr>
          <w:color w:val="231F20"/>
          <w:w w:val="105"/>
        </w:rPr>
        <w:t>lugar</w:t>
      </w:r>
      <w:r>
        <w:rPr>
          <w:color w:val="231F20"/>
          <w:spacing w:val="-10"/>
          <w:w w:val="105"/>
        </w:rPr>
        <w:t> </w:t>
      </w:r>
      <w:r>
        <w:rPr>
          <w:color w:val="231F20"/>
          <w:w w:val="105"/>
        </w:rPr>
        <w:t>(por</w:t>
      </w:r>
      <w:r>
        <w:rPr>
          <w:color w:val="231F20"/>
          <w:spacing w:val="-10"/>
          <w:w w:val="105"/>
        </w:rPr>
        <w:t> </w:t>
      </w:r>
      <w:r>
        <w:rPr>
          <w:color w:val="231F20"/>
          <w:w w:val="105"/>
        </w:rPr>
        <w:t>arriba</w:t>
      </w:r>
      <w:r>
        <w:rPr>
          <w:color w:val="231F20"/>
          <w:spacing w:val="-10"/>
          <w:w w:val="105"/>
        </w:rPr>
        <w:t> </w:t>
      </w:r>
      <w:r>
        <w:rPr>
          <w:color w:val="231F20"/>
          <w:w w:val="105"/>
        </w:rPr>
        <w:t>de</w:t>
      </w:r>
      <w:r>
        <w:rPr>
          <w:color w:val="231F20"/>
          <w:spacing w:val="-10"/>
          <w:w w:val="105"/>
        </w:rPr>
        <w:t> </w:t>
      </w:r>
      <w:r>
        <w:rPr>
          <w:color w:val="231F20"/>
          <w:w w:val="105"/>
        </w:rPr>
        <w:t>80%).</w:t>
      </w:r>
    </w:p>
    <w:p>
      <w:pPr>
        <w:pStyle w:val="BodyText"/>
        <w:spacing w:line="261" w:lineRule="auto" w:before="1"/>
        <w:ind w:left="1723" w:right="1827" w:firstLine="567"/>
        <w:jc w:val="both"/>
      </w:pPr>
      <w:r>
        <w:rPr>
          <w:color w:val="231F20"/>
          <w:w w:val="105"/>
        </w:rPr>
        <w:t>Así,</w:t>
      </w:r>
      <w:r>
        <w:rPr>
          <w:color w:val="231F20"/>
          <w:spacing w:val="-17"/>
          <w:w w:val="105"/>
        </w:rPr>
        <w:t> </w:t>
      </w:r>
      <w:r>
        <w:rPr>
          <w:color w:val="231F20"/>
          <w:w w:val="105"/>
        </w:rPr>
        <w:t>las</w:t>
      </w:r>
      <w:r>
        <w:rPr>
          <w:color w:val="231F20"/>
          <w:spacing w:val="-10"/>
          <w:w w:val="105"/>
        </w:rPr>
        <w:t> </w:t>
      </w:r>
      <w:r>
        <w:rPr>
          <w:color w:val="231F20"/>
          <w:w w:val="105"/>
        </w:rPr>
        <w:t>principales</w:t>
      </w:r>
      <w:r>
        <w:rPr>
          <w:color w:val="231F20"/>
          <w:spacing w:val="-10"/>
          <w:w w:val="105"/>
        </w:rPr>
        <w:t> </w:t>
      </w:r>
      <w:r>
        <w:rPr>
          <w:color w:val="231F20"/>
          <w:w w:val="105"/>
        </w:rPr>
        <w:t>ciudades</w:t>
      </w:r>
      <w:r>
        <w:rPr>
          <w:color w:val="231F20"/>
          <w:spacing w:val="-10"/>
          <w:w w:val="105"/>
        </w:rPr>
        <w:t> </w:t>
      </w:r>
      <w:r>
        <w:rPr>
          <w:color w:val="231F20"/>
          <w:w w:val="105"/>
        </w:rPr>
        <w:t>de</w:t>
      </w:r>
      <w:r>
        <w:rPr>
          <w:color w:val="231F20"/>
          <w:spacing w:val="-10"/>
          <w:w w:val="105"/>
        </w:rPr>
        <w:t> </w:t>
      </w:r>
      <w:r>
        <w:rPr>
          <w:color w:val="231F20"/>
          <w:w w:val="105"/>
        </w:rPr>
        <w:t>cruce</w:t>
      </w:r>
      <w:r>
        <w:rPr>
          <w:color w:val="231F20"/>
          <w:spacing w:val="-10"/>
          <w:w w:val="105"/>
        </w:rPr>
        <w:t> </w:t>
      </w:r>
      <w:r>
        <w:rPr>
          <w:color w:val="231F20"/>
          <w:w w:val="105"/>
        </w:rPr>
        <w:t>no</w:t>
      </w:r>
      <w:r>
        <w:rPr>
          <w:color w:val="231F20"/>
          <w:spacing w:val="-10"/>
          <w:w w:val="105"/>
        </w:rPr>
        <w:t> </w:t>
      </w:r>
      <w:r>
        <w:rPr>
          <w:color w:val="231F20"/>
          <w:w w:val="105"/>
        </w:rPr>
        <w:t>observan</w:t>
      </w:r>
      <w:r>
        <w:rPr>
          <w:color w:val="231F20"/>
          <w:spacing w:val="-10"/>
          <w:w w:val="105"/>
        </w:rPr>
        <w:t> </w:t>
      </w:r>
      <w:r>
        <w:rPr>
          <w:color w:val="231F20"/>
          <w:w w:val="105"/>
        </w:rPr>
        <w:t>una</w:t>
      </w:r>
      <w:r>
        <w:rPr>
          <w:color w:val="231F20"/>
          <w:spacing w:val="-10"/>
          <w:w w:val="105"/>
        </w:rPr>
        <w:t> </w:t>
      </w:r>
      <w:r>
        <w:rPr>
          <w:color w:val="231F20"/>
          <w:w w:val="105"/>
        </w:rPr>
        <w:t>tendencia, pues además de que los puntos fronterizos son diversos, se distinguen cambios porcentuales en la representación de cada ciudad de uno a otro</w:t>
      </w:r>
      <w:r>
        <w:rPr>
          <w:color w:val="231F20"/>
          <w:spacing w:val="-12"/>
          <w:w w:val="105"/>
        </w:rPr>
        <w:t> </w:t>
      </w:r>
      <w:r>
        <w:rPr>
          <w:color w:val="231F20"/>
          <w:w w:val="105"/>
        </w:rPr>
        <w:t>año.</w:t>
      </w:r>
      <w:r>
        <w:rPr>
          <w:color w:val="231F20"/>
          <w:spacing w:val="-18"/>
          <w:w w:val="105"/>
        </w:rPr>
        <w:t> </w:t>
      </w:r>
      <w:r>
        <w:rPr>
          <w:color w:val="231F20"/>
          <w:spacing w:val="-4"/>
          <w:w w:val="105"/>
        </w:rPr>
        <w:t>Por</w:t>
      </w:r>
      <w:r>
        <w:rPr>
          <w:color w:val="231F20"/>
          <w:spacing w:val="-12"/>
          <w:w w:val="105"/>
        </w:rPr>
        <w:t> </w:t>
      </w:r>
      <w:r>
        <w:rPr>
          <w:color w:val="231F20"/>
          <w:w w:val="105"/>
        </w:rPr>
        <w:t>ejemplo,</w:t>
      </w:r>
      <w:r>
        <w:rPr>
          <w:color w:val="231F20"/>
          <w:spacing w:val="-18"/>
          <w:w w:val="105"/>
        </w:rPr>
        <w:t> </w:t>
      </w:r>
      <w:r>
        <w:rPr>
          <w:color w:val="231F20"/>
          <w:w w:val="105"/>
        </w:rPr>
        <w:t>las</w:t>
      </w:r>
      <w:r>
        <w:rPr>
          <w:color w:val="231F20"/>
          <w:spacing w:val="-12"/>
          <w:w w:val="105"/>
        </w:rPr>
        <w:t> </w:t>
      </w:r>
      <w:r>
        <w:rPr>
          <w:color w:val="231F20"/>
          <w:w w:val="105"/>
        </w:rPr>
        <w:t>tres</w:t>
      </w:r>
      <w:r>
        <w:rPr>
          <w:color w:val="231F20"/>
          <w:spacing w:val="-12"/>
          <w:w w:val="105"/>
        </w:rPr>
        <w:t> </w:t>
      </w:r>
      <w:r>
        <w:rPr>
          <w:color w:val="231F20"/>
          <w:w w:val="105"/>
        </w:rPr>
        <w:t>principales</w:t>
      </w:r>
      <w:r>
        <w:rPr>
          <w:color w:val="231F20"/>
          <w:spacing w:val="-12"/>
          <w:w w:val="105"/>
        </w:rPr>
        <w:t> </w:t>
      </w:r>
      <w:r>
        <w:rPr>
          <w:color w:val="231F20"/>
          <w:w w:val="105"/>
        </w:rPr>
        <w:t>ciudades</w:t>
      </w:r>
      <w:r>
        <w:rPr>
          <w:color w:val="231F20"/>
          <w:spacing w:val="-12"/>
          <w:w w:val="105"/>
        </w:rPr>
        <w:t> </w:t>
      </w:r>
      <w:r>
        <w:rPr>
          <w:color w:val="231F20"/>
          <w:w w:val="105"/>
        </w:rPr>
        <w:t>por</w:t>
      </w:r>
      <w:r>
        <w:rPr>
          <w:color w:val="231F20"/>
          <w:spacing w:val="-12"/>
          <w:w w:val="105"/>
        </w:rPr>
        <w:t> </w:t>
      </w:r>
      <w:r>
        <w:rPr>
          <w:color w:val="231F20"/>
          <w:w w:val="105"/>
        </w:rPr>
        <w:t>las</w:t>
      </w:r>
      <w:r>
        <w:rPr>
          <w:color w:val="231F20"/>
          <w:spacing w:val="-12"/>
          <w:w w:val="105"/>
        </w:rPr>
        <w:t> </w:t>
      </w:r>
      <w:r>
        <w:rPr>
          <w:color w:val="231F20"/>
          <w:w w:val="105"/>
        </w:rPr>
        <w:t>que</w:t>
      </w:r>
      <w:r>
        <w:rPr>
          <w:color w:val="231F20"/>
          <w:spacing w:val="-12"/>
          <w:w w:val="105"/>
        </w:rPr>
        <w:t> </w:t>
      </w:r>
      <w:r>
        <w:rPr>
          <w:color w:val="231F20"/>
          <w:w w:val="105"/>
        </w:rPr>
        <w:t>cruzaron los</w:t>
      </w:r>
      <w:r>
        <w:rPr>
          <w:color w:val="231F20"/>
          <w:spacing w:val="-25"/>
          <w:w w:val="105"/>
        </w:rPr>
        <w:t> </w:t>
      </w:r>
      <w:r>
        <w:rPr>
          <w:color w:val="231F20"/>
          <w:w w:val="105"/>
        </w:rPr>
        <w:t>mexiquenses</w:t>
      </w:r>
      <w:r>
        <w:rPr>
          <w:color w:val="231F20"/>
          <w:spacing w:val="-25"/>
          <w:w w:val="105"/>
        </w:rPr>
        <w:t> </w:t>
      </w:r>
      <w:r>
        <w:rPr>
          <w:color w:val="231F20"/>
          <w:w w:val="105"/>
        </w:rPr>
        <w:t>hacia</w:t>
      </w:r>
      <w:r>
        <w:rPr>
          <w:color w:val="231F20"/>
          <w:spacing w:val="-25"/>
          <w:w w:val="105"/>
        </w:rPr>
        <w:t> </w:t>
      </w:r>
      <w:r>
        <w:rPr>
          <w:color w:val="231F20"/>
          <w:w w:val="105"/>
        </w:rPr>
        <w:t>Estados</w:t>
      </w:r>
      <w:r>
        <w:rPr>
          <w:color w:val="231F20"/>
          <w:spacing w:val="-25"/>
          <w:w w:val="105"/>
        </w:rPr>
        <w:t> </w:t>
      </w:r>
      <w:r>
        <w:rPr>
          <w:color w:val="231F20"/>
          <w:w w:val="105"/>
        </w:rPr>
        <w:t>Unidos</w:t>
      </w:r>
      <w:r>
        <w:rPr>
          <w:color w:val="231F20"/>
          <w:spacing w:val="-25"/>
          <w:w w:val="105"/>
        </w:rPr>
        <w:t> </w:t>
      </w:r>
      <w:r>
        <w:rPr>
          <w:color w:val="231F20"/>
          <w:w w:val="105"/>
        </w:rPr>
        <w:t>fueron</w:t>
      </w:r>
      <w:r>
        <w:rPr>
          <w:color w:val="231F20"/>
          <w:spacing w:val="-25"/>
          <w:w w:val="105"/>
        </w:rPr>
        <w:t> </w:t>
      </w:r>
      <w:r>
        <w:rPr>
          <w:color w:val="231F20"/>
          <w:w w:val="105"/>
        </w:rPr>
        <w:t>El</w:t>
      </w:r>
      <w:r>
        <w:rPr>
          <w:color w:val="231F20"/>
          <w:spacing w:val="-25"/>
          <w:w w:val="105"/>
        </w:rPr>
        <w:t> </w:t>
      </w:r>
      <w:r>
        <w:rPr>
          <w:color w:val="231F20"/>
          <w:w w:val="105"/>
        </w:rPr>
        <w:t>Sásabe</w:t>
      </w:r>
      <w:r>
        <w:rPr>
          <w:color w:val="231F20"/>
          <w:spacing w:val="-25"/>
          <w:w w:val="105"/>
        </w:rPr>
        <w:t> </w:t>
      </w:r>
      <w:r>
        <w:rPr>
          <w:color w:val="231F20"/>
          <w:w w:val="105"/>
        </w:rPr>
        <w:t>(33.3%),</w:t>
      </w:r>
      <w:r>
        <w:rPr>
          <w:color w:val="231F20"/>
          <w:spacing w:val="-28"/>
          <w:w w:val="105"/>
        </w:rPr>
        <w:t> </w:t>
      </w:r>
      <w:r>
        <w:rPr>
          <w:color w:val="231F20"/>
          <w:w w:val="105"/>
        </w:rPr>
        <w:t>Noga-</w:t>
      </w:r>
    </w:p>
    <w:p>
      <w:pPr>
        <w:pStyle w:val="BodyText"/>
        <w:rPr>
          <w:sz w:val="20"/>
        </w:rPr>
      </w:pPr>
    </w:p>
    <w:p>
      <w:pPr>
        <w:pStyle w:val="BodyText"/>
        <w:rPr>
          <w:sz w:val="20"/>
        </w:rPr>
      </w:pPr>
    </w:p>
    <w:p>
      <w:pPr>
        <w:pStyle w:val="BodyText"/>
        <w:spacing w:before="10"/>
        <w:rPr>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3488" from="131.551193pt,3.753715pt" to="131.551193pt,39.556114pt" stroked="true" strokeweight=".35pt" strokecolor="#231f20">
            <w10:wrap type="none"/>
          </v:line>
        </w:pict>
      </w:r>
      <w:r>
        <w:rPr/>
        <w:pict>
          <v:line style="position:absolute;mso-position-horizontal-relative:page;mso-position-vertical-relative:paragraph;z-index:-473320" from="15pt,39.555916pt" to="0pt,39.555916pt" stroked="true" strokeweight=".25pt" strokecolor="#000000">
            <w10:wrap type="none"/>
          </v:line>
        </w:pict>
      </w:r>
      <w:r>
        <w:rPr/>
        <w:pict>
          <v:line style="position:absolute;mso-position-horizontal-relative:page;mso-position-vertical-relative:paragraph;z-index:16888" from="508.890015pt,39.555916pt" to="523.890015pt,39.555916pt" stroked="true" strokeweight=".25pt" strokecolor="#000000">
            <w10:wrap type="none"/>
          </v:line>
        </w:pict>
      </w:r>
      <w:r>
        <w:rPr>
          <w:rFonts w:ascii="Arial" w:hAnsi="Arial"/>
          <w:color w:val="414042"/>
          <w:w w:val="105"/>
          <w:position w:val="-5"/>
          <w:sz w:val="20"/>
        </w:rPr>
        <w:t>160</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type w:val="continuous"/>
          <w:pgSz w:w="10480" w:h="14730"/>
          <w:pgMar w:top="0" w:bottom="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6912"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7032" from="15pt,-28.286539pt" to="0pt,-28.286539pt" stroked="true" strokeweight=".25pt" strokecolor="#000000">
            <w10:wrap type="none"/>
          </v:line>
        </w:pict>
      </w:r>
      <w:r>
        <w:rPr/>
        <w:pict>
          <v:line style="position:absolute;mso-position-horizontal-relative:page;mso-position-vertical-relative:paragraph;z-index:17056" from="508.890015pt,-28.286539pt" to="523.890015pt,-28.286539pt" stroked="true" strokeweight=".25pt" strokecolor="#000000">
            <w10:wrap type="none"/>
          </v:line>
        </w:pict>
      </w:r>
      <w:r>
        <w:rPr>
          <w:rFonts w:ascii="Arial"/>
          <w:color w:val="414042"/>
          <w:sz w:val="20"/>
        </w:rPr>
        <w:t>161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18"/>
        <w:jc w:val="both"/>
      </w:pPr>
      <w:r>
        <w:rPr>
          <w:color w:val="231F20"/>
          <w:w w:val="105"/>
        </w:rPr>
        <w:t>les</w:t>
      </w:r>
      <w:r>
        <w:rPr>
          <w:color w:val="231F20"/>
          <w:spacing w:val="-14"/>
          <w:w w:val="105"/>
        </w:rPr>
        <w:t> </w:t>
      </w:r>
      <w:r>
        <w:rPr>
          <w:color w:val="231F20"/>
          <w:w w:val="105"/>
        </w:rPr>
        <w:t>(19.7%)</w:t>
      </w:r>
      <w:r>
        <w:rPr>
          <w:color w:val="231F20"/>
          <w:spacing w:val="-14"/>
          <w:w w:val="105"/>
        </w:rPr>
        <w:t> </w:t>
      </w:r>
      <w:r>
        <w:rPr>
          <w:color w:val="231F20"/>
          <w:w w:val="105"/>
        </w:rPr>
        <w:t>y</w:t>
      </w:r>
      <w:r>
        <w:rPr>
          <w:color w:val="231F20"/>
          <w:spacing w:val="-18"/>
          <w:w w:val="105"/>
        </w:rPr>
        <w:t> </w:t>
      </w:r>
      <w:r>
        <w:rPr>
          <w:color w:val="231F20"/>
          <w:w w:val="105"/>
        </w:rPr>
        <w:t>Tijuana</w:t>
      </w:r>
      <w:r>
        <w:rPr>
          <w:color w:val="231F20"/>
          <w:spacing w:val="-14"/>
          <w:w w:val="105"/>
        </w:rPr>
        <w:t> </w:t>
      </w:r>
      <w:r>
        <w:rPr>
          <w:color w:val="231F20"/>
          <w:w w:val="105"/>
        </w:rPr>
        <w:t>(12.2%)</w:t>
      </w:r>
      <w:r>
        <w:rPr>
          <w:color w:val="231F20"/>
          <w:spacing w:val="-14"/>
          <w:w w:val="105"/>
        </w:rPr>
        <w:t> </w:t>
      </w:r>
      <w:r>
        <w:rPr>
          <w:color w:val="231F20"/>
          <w:w w:val="105"/>
        </w:rPr>
        <w:t>en</w:t>
      </w:r>
      <w:r>
        <w:rPr>
          <w:color w:val="231F20"/>
          <w:spacing w:val="-14"/>
          <w:w w:val="105"/>
        </w:rPr>
        <w:t> </w:t>
      </w:r>
      <w:r>
        <w:rPr>
          <w:color w:val="231F20"/>
          <w:w w:val="105"/>
        </w:rPr>
        <w:t>2007.</w:t>
      </w:r>
      <w:r>
        <w:rPr>
          <w:color w:val="231F20"/>
          <w:spacing w:val="-19"/>
          <w:w w:val="105"/>
        </w:rPr>
        <w:t> </w:t>
      </w:r>
      <w:r>
        <w:rPr>
          <w:color w:val="231F20"/>
          <w:w w:val="105"/>
        </w:rPr>
        <w:t>Mientras</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2009</w:t>
      </w:r>
      <w:r>
        <w:rPr>
          <w:color w:val="231F20"/>
          <w:spacing w:val="-14"/>
          <w:w w:val="105"/>
        </w:rPr>
        <w:t> </w:t>
      </w:r>
      <w:r>
        <w:rPr>
          <w:color w:val="231F20"/>
          <w:w w:val="105"/>
        </w:rPr>
        <w:t>se</w:t>
      </w:r>
      <w:r>
        <w:rPr>
          <w:color w:val="231F20"/>
          <w:spacing w:val="-14"/>
          <w:w w:val="105"/>
        </w:rPr>
        <w:t> </w:t>
      </w:r>
      <w:r>
        <w:rPr>
          <w:color w:val="231F20"/>
          <w:w w:val="105"/>
        </w:rPr>
        <w:t>mantie- nen las dos primeras (20.6% y 19.7%, respectivamente), pero se ubica Agua</w:t>
      </w:r>
      <w:r>
        <w:rPr>
          <w:color w:val="231F20"/>
          <w:spacing w:val="-16"/>
          <w:w w:val="105"/>
        </w:rPr>
        <w:t> </w:t>
      </w:r>
      <w:r>
        <w:rPr>
          <w:color w:val="231F20"/>
          <w:w w:val="105"/>
        </w:rPr>
        <w:t>Prieta</w:t>
      </w:r>
      <w:r>
        <w:rPr>
          <w:color w:val="231F20"/>
          <w:spacing w:val="-16"/>
          <w:w w:val="105"/>
        </w:rPr>
        <w:t> </w:t>
      </w:r>
      <w:r>
        <w:rPr>
          <w:color w:val="231F20"/>
          <w:w w:val="105"/>
        </w:rPr>
        <w:t>en</w:t>
      </w:r>
      <w:r>
        <w:rPr>
          <w:color w:val="231F20"/>
          <w:spacing w:val="-16"/>
          <w:w w:val="105"/>
        </w:rPr>
        <w:t> </w:t>
      </w:r>
      <w:r>
        <w:rPr>
          <w:color w:val="231F20"/>
          <w:w w:val="105"/>
        </w:rPr>
        <w:t>tercera</w:t>
      </w:r>
      <w:r>
        <w:rPr>
          <w:color w:val="231F20"/>
          <w:spacing w:val="-16"/>
          <w:w w:val="105"/>
        </w:rPr>
        <w:t> </w:t>
      </w:r>
      <w:r>
        <w:rPr>
          <w:color w:val="231F20"/>
          <w:w w:val="105"/>
        </w:rPr>
        <w:t>posición</w:t>
      </w:r>
      <w:r>
        <w:rPr>
          <w:color w:val="231F20"/>
          <w:spacing w:val="-16"/>
          <w:w w:val="105"/>
        </w:rPr>
        <w:t> </w:t>
      </w:r>
      <w:r>
        <w:rPr>
          <w:color w:val="231F20"/>
          <w:w w:val="105"/>
        </w:rPr>
        <w:t>(13.2%).</w:t>
      </w:r>
      <w:r>
        <w:rPr>
          <w:color w:val="231F20"/>
          <w:spacing w:val="-21"/>
          <w:w w:val="105"/>
        </w:rPr>
        <w:t> </w:t>
      </w:r>
      <w:r>
        <w:rPr>
          <w:color w:val="231F20"/>
          <w:w w:val="105"/>
        </w:rPr>
        <w:t>En</w:t>
      </w:r>
      <w:r>
        <w:rPr>
          <w:color w:val="231F20"/>
          <w:spacing w:val="-16"/>
          <w:w w:val="105"/>
        </w:rPr>
        <w:t> </w:t>
      </w:r>
      <w:r>
        <w:rPr>
          <w:color w:val="231F20"/>
          <w:w w:val="105"/>
        </w:rPr>
        <w:t>2012,</w:t>
      </w:r>
      <w:r>
        <w:rPr>
          <w:color w:val="231F20"/>
          <w:spacing w:val="-21"/>
          <w:w w:val="105"/>
        </w:rPr>
        <w:t> </w:t>
      </w:r>
      <w:r>
        <w:rPr>
          <w:color w:val="231F20"/>
          <w:w w:val="105"/>
        </w:rPr>
        <w:t>se</w:t>
      </w:r>
      <w:r>
        <w:rPr>
          <w:color w:val="231F20"/>
          <w:spacing w:val="-16"/>
          <w:w w:val="105"/>
        </w:rPr>
        <w:t> </w:t>
      </w:r>
      <w:r>
        <w:rPr>
          <w:color w:val="231F20"/>
          <w:w w:val="105"/>
        </w:rPr>
        <w:t>registra</w:t>
      </w:r>
      <w:r>
        <w:rPr>
          <w:color w:val="231F20"/>
          <w:spacing w:val="-16"/>
          <w:w w:val="105"/>
        </w:rPr>
        <w:t> </w:t>
      </w:r>
      <w:r>
        <w:rPr>
          <w:color w:val="231F20"/>
          <w:w w:val="105"/>
        </w:rPr>
        <w:t>una</w:t>
      </w:r>
      <w:r>
        <w:rPr>
          <w:color w:val="231F20"/>
          <w:spacing w:val="-16"/>
          <w:w w:val="105"/>
        </w:rPr>
        <w:t> </w:t>
      </w:r>
      <w:r>
        <w:rPr>
          <w:color w:val="231F20"/>
          <w:w w:val="105"/>
        </w:rPr>
        <w:t>mayor diversificación</w:t>
      </w:r>
      <w:r>
        <w:rPr>
          <w:color w:val="231F20"/>
          <w:spacing w:val="-28"/>
          <w:w w:val="105"/>
        </w:rPr>
        <w:t> </w:t>
      </w:r>
      <w:r>
        <w:rPr>
          <w:color w:val="231F20"/>
          <w:w w:val="105"/>
        </w:rPr>
        <w:t>siendo</w:t>
      </w:r>
      <w:r>
        <w:rPr>
          <w:color w:val="231F20"/>
          <w:spacing w:val="-28"/>
          <w:w w:val="105"/>
        </w:rPr>
        <w:t> </w:t>
      </w:r>
      <w:r>
        <w:rPr>
          <w:color w:val="231F20"/>
          <w:w w:val="105"/>
        </w:rPr>
        <w:t>Reynosa</w:t>
      </w:r>
      <w:r>
        <w:rPr>
          <w:color w:val="231F20"/>
          <w:spacing w:val="-28"/>
          <w:w w:val="105"/>
        </w:rPr>
        <w:t> </w:t>
      </w:r>
      <w:r>
        <w:rPr>
          <w:color w:val="231F20"/>
          <w:w w:val="105"/>
        </w:rPr>
        <w:t>(16.6%),</w:t>
      </w:r>
      <w:r>
        <w:rPr>
          <w:color w:val="231F20"/>
          <w:spacing w:val="-35"/>
          <w:w w:val="105"/>
        </w:rPr>
        <w:t> </w:t>
      </w:r>
      <w:r>
        <w:rPr>
          <w:color w:val="231F20"/>
          <w:w w:val="105"/>
        </w:rPr>
        <w:t>Tijuana</w:t>
      </w:r>
      <w:r>
        <w:rPr>
          <w:color w:val="231F20"/>
          <w:spacing w:val="-28"/>
          <w:w w:val="105"/>
        </w:rPr>
        <w:t> </w:t>
      </w:r>
      <w:r>
        <w:rPr>
          <w:color w:val="231F20"/>
          <w:w w:val="105"/>
        </w:rPr>
        <w:t>(12.9%)</w:t>
      </w:r>
      <w:r>
        <w:rPr>
          <w:color w:val="231F20"/>
          <w:spacing w:val="-28"/>
          <w:w w:val="105"/>
        </w:rPr>
        <w:t> </w:t>
      </w:r>
      <w:r>
        <w:rPr>
          <w:color w:val="231F20"/>
          <w:w w:val="105"/>
        </w:rPr>
        <w:t>y</w:t>
      </w:r>
      <w:r>
        <w:rPr>
          <w:color w:val="231F20"/>
          <w:spacing w:val="-28"/>
          <w:w w:val="105"/>
        </w:rPr>
        <w:t> </w:t>
      </w:r>
      <w:r>
        <w:rPr>
          <w:color w:val="231F20"/>
          <w:w w:val="105"/>
        </w:rPr>
        <w:t>Nuevo</w:t>
      </w:r>
      <w:r>
        <w:rPr>
          <w:color w:val="231F20"/>
          <w:spacing w:val="-28"/>
          <w:w w:val="105"/>
        </w:rPr>
        <w:t> </w:t>
      </w:r>
      <w:r>
        <w:rPr>
          <w:color w:val="231F20"/>
          <w:w w:val="105"/>
        </w:rPr>
        <w:t>Laredo (11.6%) los tres principales puntos de cruce. En este último año desta- can también la ciudad de Mexicali, Miguel Alemán y El Sásabe (véase gráfica</w:t>
      </w:r>
      <w:r>
        <w:rPr>
          <w:color w:val="231F20"/>
          <w:spacing w:val="-7"/>
          <w:w w:val="105"/>
        </w:rPr>
        <w:t> </w:t>
      </w:r>
      <w:r>
        <w:rPr>
          <w:color w:val="231F20"/>
          <w:w w:val="105"/>
        </w:rPr>
        <w:t>4).</w:t>
      </w:r>
      <w:r>
        <w:rPr>
          <w:color w:val="231F20"/>
          <w:spacing w:val="-14"/>
          <w:w w:val="105"/>
        </w:rPr>
        <w:t> </w:t>
      </w:r>
      <w:r>
        <w:rPr>
          <w:color w:val="231F20"/>
          <w:w w:val="105"/>
        </w:rPr>
        <w:t>Según</w:t>
      </w:r>
      <w:r>
        <w:rPr>
          <w:color w:val="231F20"/>
          <w:spacing w:val="-7"/>
          <w:w w:val="105"/>
        </w:rPr>
        <w:t> </w:t>
      </w:r>
      <w:r>
        <w:rPr>
          <w:color w:val="231F20"/>
          <w:w w:val="105"/>
        </w:rPr>
        <w:t>se</w:t>
      </w:r>
      <w:r>
        <w:rPr>
          <w:color w:val="231F20"/>
          <w:spacing w:val="-7"/>
          <w:w w:val="105"/>
        </w:rPr>
        <w:t> </w:t>
      </w:r>
      <w:r>
        <w:rPr>
          <w:color w:val="231F20"/>
          <w:w w:val="105"/>
        </w:rPr>
        <w:t>explicó</w:t>
      </w:r>
      <w:r>
        <w:rPr>
          <w:color w:val="231F20"/>
          <w:spacing w:val="-7"/>
          <w:w w:val="105"/>
        </w:rPr>
        <w:t> </w:t>
      </w:r>
      <w:r>
        <w:rPr>
          <w:color w:val="231F20"/>
          <w:w w:val="105"/>
        </w:rPr>
        <w:t>anteriormente</w:t>
      </w:r>
      <w:r>
        <w:rPr>
          <w:color w:val="231F20"/>
          <w:spacing w:val="-7"/>
          <w:w w:val="105"/>
        </w:rPr>
        <w:t> </w:t>
      </w:r>
      <w:r>
        <w:rPr>
          <w:color w:val="231F20"/>
          <w:w w:val="105"/>
        </w:rPr>
        <w:t>los</w:t>
      </w:r>
      <w:r>
        <w:rPr>
          <w:color w:val="231F20"/>
          <w:spacing w:val="-7"/>
          <w:w w:val="105"/>
        </w:rPr>
        <w:t> </w:t>
      </w:r>
      <w:r>
        <w:rPr>
          <w:color w:val="231F20"/>
          <w:w w:val="105"/>
        </w:rPr>
        <w:t>cambios</w:t>
      </w:r>
      <w:r>
        <w:rPr>
          <w:color w:val="231F20"/>
          <w:spacing w:val="-7"/>
          <w:w w:val="105"/>
        </w:rPr>
        <w:t> </w:t>
      </w:r>
      <w:r>
        <w:rPr>
          <w:color w:val="231F20"/>
          <w:w w:val="105"/>
        </w:rPr>
        <w:t>observados</w:t>
      </w:r>
      <w:r>
        <w:rPr>
          <w:color w:val="231F20"/>
          <w:spacing w:val="-7"/>
          <w:w w:val="105"/>
        </w:rPr>
        <w:t> </w:t>
      </w:r>
      <w:r>
        <w:rPr>
          <w:color w:val="231F20"/>
          <w:spacing w:val="2"/>
          <w:w w:val="105"/>
        </w:rPr>
        <w:t>son </w:t>
      </w:r>
      <w:r>
        <w:rPr>
          <w:color w:val="231F20"/>
          <w:w w:val="105"/>
        </w:rPr>
        <w:t>atribuibles</w:t>
      </w:r>
      <w:r>
        <w:rPr>
          <w:color w:val="231F20"/>
          <w:spacing w:val="-7"/>
          <w:w w:val="105"/>
        </w:rPr>
        <w:t> </w:t>
      </w:r>
      <w:r>
        <w:rPr>
          <w:color w:val="231F20"/>
          <w:w w:val="105"/>
        </w:rPr>
        <w:t>al</w:t>
      </w:r>
      <w:r>
        <w:rPr>
          <w:color w:val="231F20"/>
          <w:spacing w:val="-7"/>
          <w:w w:val="105"/>
        </w:rPr>
        <w:t> </w:t>
      </w:r>
      <w:r>
        <w:rPr>
          <w:color w:val="231F20"/>
          <w:w w:val="105"/>
        </w:rPr>
        <w:t>mayor</w:t>
      </w:r>
      <w:r>
        <w:rPr>
          <w:color w:val="231F20"/>
          <w:spacing w:val="-7"/>
          <w:w w:val="105"/>
        </w:rPr>
        <w:t> </w:t>
      </w:r>
      <w:r>
        <w:rPr>
          <w:color w:val="231F20"/>
          <w:w w:val="105"/>
        </w:rPr>
        <w:t>resguardo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fronteras</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exploración</w:t>
      </w:r>
      <w:r>
        <w:rPr>
          <w:color w:val="231F20"/>
          <w:spacing w:val="-7"/>
          <w:w w:val="105"/>
        </w:rPr>
        <w:t> </w:t>
      </w:r>
      <w:r>
        <w:rPr>
          <w:color w:val="231F20"/>
          <w:w w:val="105"/>
        </w:rPr>
        <w:t>de</w:t>
      </w:r>
      <w:r>
        <w:rPr>
          <w:color w:val="231F20"/>
          <w:spacing w:val="-7"/>
          <w:w w:val="105"/>
        </w:rPr>
        <w:t> </w:t>
      </w:r>
      <w:r>
        <w:rPr>
          <w:color w:val="231F20"/>
          <w:w w:val="105"/>
        </w:rPr>
        <w:t>rutas diversas sobre las que se busca asegurar el paso hacia el vecino país del norte. Se destaca también que la mayor proporción de la población mexiquense</w:t>
      </w:r>
      <w:r>
        <w:rPr>
          <w:color w:val="231F20"/>
          <w:spacing w:val="-7"/>
          <w:w w:val="105"/>
        </w:rPr>
        <w:t> </w:t>
      </w:r>
      <w:r>
        <w:rPr>
          <w:color w:val="231F20"/>
          <w:w w:val="105"/>
        </w:rPr>
        <w:t>devuelta</w:t>
      </w:r>
      <w:r>
        <w:rPr>
          <w:color w:val="231F20"/>
          <w:spacing w:val="-7"/>
          <w:w w:val="105"/>
        </w:rPr>
        <w:t> </w:t>
      </w:r>
      <w:r>
        <w:rPr>
          <w:color w:val="231F20"/>
          <w:w w:val="105"/>
        </w:rPr>
        <w:t>mencionó</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ciudad</w:t>
      </w:r>
      <w:r>
        <w:rPr>
          <w:color w:val="231F20"/>
          <w:spacing w:val="-7"/>
          <w:w w:val="105"/>
        </w:rPr>
        <w:t> </w:t>
      </w:r>
      <w:r>
        <w:rPr>
          <w:color w:val="231F20"/>
          <w:w w:val="105"/>
        </w:rPr>
        <w:t>de</w:t>
      </w:r>
      <w:r>
        <w:rPr>
          <w:color w:val="231F20"/>
          <w:spacing w:val="-7"/>
          <w:w w:val="105"/>
        </w:rPr>
        <w:t> </w:t>
      </w:r>
      <w:r>
        <w:rPr>
          <w:color w:val="231F20"/>
          <w:w w:val="105"/>
        </w:rPr>
        <w:t>cruce</w:t>
      </w:r>
      <w:r>
        <w:rPr>
          <w:color w:val="231F20"/>
          <w:spacing w:val="-7"/>
          <w:w w:val="105"/>
        </w:rPr>
        <w:t> </w:t>
      </w:r>
      <w:r>
        <w:rPr>
          <w:color w:val="231F20"/>
          <w:w w:val="105"/>
        </w:rPr>
        <w:t>fue</w:t>
      </w:r>
      <w:r>
        <w:rPr>
          <w:color w:val="231F20"/>
          <w:spacing w:val="-7"/>
          <w:w w:val="105"/>
        </w:rPr>
        <w:t> </w:t>
      </w:r>
      <w:r>
        <w:rPr>
          <w:color w:val="231F20"/>
          <w:w w:val="105"/>
        </w:rPr>
        <w:t>la</w:t>
      </w:r>
      <w:r>
        <w:rPr>
          <w:color w:val="231F20"/>
          <w:spacing w:val="-7"/>
          <w:w w:val="105"/>
        </w:rPr>
        <w:t> </w:t>
      </w:r>
      <w:r>
        <w:rPr>
          <w:color w:val="231F20"/>
          <w:w w:val="105"/>
        </w:rPr>
        <w:t>única</w:t>
      </w:r>
      <w:r>
        <w:rPr>
          <w:color w:val="231F20"/>
          <w:spacing w:val="-7"/>
          <w:w w:val="105"/>
        </w:rPr>
        <w:t> </w:t>
      </w:r>
      <w:r>
        <w:rPr>
          <w:color w:val="231F20"/>
          <w:w w:val="105"/>
        </w:rPr>
        <w:t>ciu- dad fronteriza en donde estuvo antes de cruzar: 94% en 2007, 95.3% en 2009 y 88.9% en 2012. La disminución observada en el último </w:t>
      </w:r>
      <w:r>
        <w:rPr>
          <w:color w:val="231F20"/>
          <w:spacing w:val="2"/>
          <w:w w:val="105"/>
        </w:rPr>
        <w:t>año </w:t>
      </w:r>
      <w:r>
        <w:rPr>
          <w:color w:val="231F20"/>
          <w:w w:val="105"/>
        </w:rPr>
        <w:t>posiblemente tiene que ver también con los diversos intentos, quizá fallidos, por cruzar a Estados Unidos en tiempos de mayor control y resguardo</w:t>
      </w:r>
      <w:r>
        <w:rPr>
          <w:color w:val="231F20"/>
          <w:spacing w:val="15"/>
          <w:w w:val="105"/>
        </w:rPr>
        <w:t> </w:t>
      </w:r>
      <w:r>
        <w:rPr>
          <w:color w:val="231F20"/>
          <w:w w:val="105"/>
        </w:rPr>
        <w:t>fronterizo.</w:t>
      </w:r>
    </w:p>
    <w:p>
      <w:pPr>
        <w:pStyle w:val="BodyText"/>
        <w:spacing w:before="4"/>
      </w:pPr>
    </w:p>
    <w:p>
      <w:pPr>
        <w:spacing w:line="249" w:lineRule="auto" w:before="0"/>
        <w:ind w:left="2582" w:right="1698" w:hanging="681"/>
        <w:jc w:val="left"/>
        <w:rPr>
          <w:rFonts w:ascii="Arial" w:hAnsi="Arial"/>
          <w:sz w:val="18"/>
        </w:rPr>
      </w:pPr>
      <w:r>
        <w:rPr>
          <w:rFonts w:ascii="Arial" w:hAnsi="Arial"/>
          <w:color w:val="231F20"/>
          <w:w w:val="105"/>
          <w:sz w:val="18"/>
        </w:rPr>
        <w:t>Gráfica 4. Distribución porcentual según puntos fronterizos de cruce utilizados por la población mexiquense devuelta de Estados Unidos, 2007-2012</w:t>
      </w:r>
    </w:p>
    <w:p>
      <w:pPr>
        <w:spacing w:before="94"/>
        <w:ind w:left="1869" w:right="6753" w:firstLine="0"/>
        <w:jc w:val="left"/>
        <w:rPr>
          <w:rFonts w:ascii="Arial"/>
          <w:sz w:val="13"/>
        </w:rPr>
      </w:pPr>
      <w:r>
        <w:rPr/>
        <w:pict>
          <v:group style="position:absolute;margin-left:101.607399pt;margin-top:8.710812pt;width:334.3pt;height:83.15pt;mso-position-horizontal-relative:page;mso-position-vertical-relative:paragraph;z-index:16936" coordorigin="2032,174" coordsize="6686,1663">
            <v:line style="position:absolute" from="2064,991" to="8715,991" stroked="true" strokeweight=".3pt" strokecolor="#a6a8ab"/>
            <v:shape style="position:absolute;left:2091;top:436;width:6449;height:1375" type="#_x0000_t75" stroked="false">
              <v:imagedata r:id="rId124" o:title=""/>
            </v:shape>
            <v:shape style="position:absolute;left:2164;top:953;width:6449;height:858" type="#_x0000_t75" stroked="false">
              <v:imagedata r:id="rId125" o:title=""/>
            </v:shape>
            <v:shape style="position:absolute;left:2239;top:1116;width:6449;height:695" type="#_x0000_t75" stroked="false">
              <v:imagedata r:id="rId126" o:title=""/>
            </v:shape>
            <v:shape style="position:absolute;left:2120;top:1308;width:738;height:498" coordorigin="2120,1308" coordsize="738,498" path="m2193,1308l2120,1308,2120,1805,2193,1805,2193,1308m2525,1550l2452,1550,2452,1805,2525,1805,2525,1550m2857,1704l2784,1704,2784,1805,2857,1805,2857,1704e" filled="true" fillcolor="#a1a3a5" stroked="false">
              <v:path arrowok="t"/>
              <v:fill type="solid"/>
            </v:shape>
            <v:line style="position:absolute" from="3448,1800" to="3523,1800" stroked="true" strokeweight=".576pt" strokecolor="#a1a3a5"/>
            <v:shape style="position:absolute;left:3782;top:1003;width:1072;height:803" coordorigin="3782,1003" coordsize="1072,803" path="m3855,1757l3782,1757,3782,1805,3855,1805,3855,1757m4187,1003l4114,1003,4114,1805,4187,1805,4187,1003m4520,1704l4447,1704,4447,1805,4520,1805,4520,1704m4854,1475l4779,1475,4779,1805,4854,1805,4854,1475e" filled="true" fillcolor="#a1a3a5" stroked="false">
              <v:path arrowok="t"/>
              <v:fill type="solid"/>
            </v:shape>
            <v:line style="position:absolute" from="5111,1800" to="5186,1800" stroked="true" strokeweight=".576pt" strokecolor="#a1a3a5"/>
            <v:line style="position:absolute" from="5445,1800" to="5518,1800" stroked="true" strokeweight=".576pt" strokecolor="#a1a3a5"/>
            <v:shape style="position:absolute;left:5777;top:1744;width:408;height:62" coordorigin="5777,1744" coordsize="408,62" path="m5850,1744l5777,1744,5777,1805,5850,1805,5850,1744m6184,1777l6109,1777,6109,1805,6184,1805,6184,1777e" filled="true" fillcolor="#a1a3a5" stroked="false">
              <v:path arrowok="t"/>
              <v:fill type="solid"/>
            </v:shape>
            <v:line style="position:absolute" from="6442,1803" to="6516,1803" stroked="true" strokeweight=".192pt" strokecolor="#a1a3a5"/>
            <v:rect style="position:absolute;left:6774;top:1757;width:75;height:48" filled="true" fillcolor="#a1a3a5" stroked="false">
              <v:fill type="solid"/>
            </v:rect>
            <v:line style="position:absolute" from="7108,1803" to="7181,1803" stroked="true" strokeweight=".192pt" strokecolor="#a1a3a5"/>
            <v:shape style="position:absolute;left:7440;top:450;width:1072;height:1356" coordorigin="7440,450" coordsize="1072,1356" path="m7513,1577l7440,1577,7440,1805,7513,1805,7513,1577m7847,450l7772,450,7772,1805,7847,1805,7847,450m8179,1707l8104,1707,8104,1805,8179,1805,8179,1707m8511,1729l8436,1729,8436,1805,8511,1805,8511,1729e" filled="true" fillcolor="#a1a3a5" stroked="false">
              <v:path arrowok="t"/>
              <v:fill type="solid"/>
            </v:shape>
            <v:shape style="position:absolute;left:2120;top:1308;width:738;height:498" coordorigin="2120,1308" coordsize="738,498" path="m2193,1308l2120,1308,2120,1805,2193,1805,2193,1308m2525,1550l2452,1550,2452,1805,2525,1805,2525,1550m2857,1704l2784,1704,2784,1805,2857,1805,2857,1704e" filled="true" fillcolor="#58595b" stroked="false">
              <v:path arrowok="t"/>
              <v:fill type="solid"/>
            </v:shape>
            <v:line style="position:absolute" from="3448,1800" to="3523,1800" stroked="true" strokeweight=".576pt" strokecolor="#58595b"/>
            <v:shape style="position:absolute;left:3782;top:1003;width:1072;height:803" coordorigin="3782,1003" coordsize="1072,803" path="m3855,1757l3782,1757,3782,1805,3855,1805,3855,1757m4187,1003l4114,1003,4114,1805,4187,1805,4187,1003m4520,1704l4447,1704,4447,1805,4520,1805,4520,1704m4854,1475l4779,1475,4779,1805,4854,1805,4854,1475e" filled="true" fillcolor="#58595b" stroked="false">
              <v:path arrowok="t"/>
              <v:fill type="solid"/>
            </v:shape>
            <v:line style="position:absolute" from="5111,1800" to="5186,1800" stroked="true" strokeweight=".576pt" strokecolor="#58595b"/>
            <v:line style="position:absolute" from="5445,1800" to="5518,1800" stroked="true" strokeweight=".576pt" strokecolor="#58595b"/>
            <v:shape style="position:absolute;left:5777;top:1744;width:408;height:62" coordorigin="5777,1744" coordsize="408,62" path="m5850,1744l5777,1744,5777,1805,5850,1805,5850,1744m6184,1777l6109,1777,6109,1805,6184,1805,6184,1777e" filled="true" fillcolor="#58595b" stroked="false">
              <v:path arrowok="t"/>
              <v:fill type="solid"/>
            </v:shape>
            <v:line style="position:absolute" from="6442,1803" to="6516,1803" stroked="true" strokeweight=".192pt" strokecolor="#58595b"/>
            <v:rect style="position:absolute;left:6774;top:1757;width:75;height:48" filled="true" fillcolor="#58595b" stroked="false">
              <v:fill type="solid"/>
            </v:rect>
            <v:line style="position:absolute" from="7108,1803" to="7181,1803" stroked="true" strokeweight=".192pt" strokecolor="#58595b"/>
            <v:shape style="position:absolute;left:7440;top:450;width:1072;height:1356" coordorigin="7440,450" coordsize="1072,1356" path="m7513,1577l7440,1577,7440,1805,7513,1805,7513,1577m7847,450l7772,450,7772,1805,7847,1805,7847,450m8179,1707l8104,1707,8104,1805,8179,1805,8179,1707m8511,1729l8436,1729,8436,1805,8511,1805,8511,1729e" filled="true" fillcolor="#58595b" stroked="false">
              <v:path arrowok="t"/>
              <v:fill type="solid"/>
            </v:shape>
            <v:shape style="position:absolute;left:2193;top:1003;width:740;height:803" coordorigin="2193,1003" coordsize="740,803" path="m2267,1003l2193,1003,2193,1805,2267,1805,2267,1003m2600,1485l2525,1485,2525,1805,2600,1805,2600,1485m2932,1700l2857,1700,2857,1805,2932,1805,2932,1700e" filled="true" fillcolor="#a1a3a5" stroked="false">
              <v:path arrowok="t"/>
              <v:fill type="solid"/>
            </v:shape>
            <v:line style="position:absolute" from="3523,1798" to="3596,1798" stroked="true" strokeweight=".768pt" strokecolor="#a1a3a5"/>
            <v:shape style="position:absolute;left:3855;top:1268;width:1404;height:538" coordorigin="3855,1268" coordsize="1404,538" path="m3930,1268l3855,1268,3855,1805,3930,1805,3930,1268m4262,1464l4187,1464,4187,1805,4262,1805,4262,1464m4927,1773l4854,1773,4854,1805,4927,1805,4927,1773m5259,1754l5186,1754,5186,1805,5259,1805,5259,1754e" filled="true" fillcolor="#a1a3a5" stroked="false">
              <v:path arrowok="t"/>
              <v:fill type="solid"/>
            </v:shape>
            <v:line style="position:absolute" from="5518,1802" to="5593,1802" stroked="true" strokeweight=".384pt" strokecolor="#a1a3a5"/>
            <v:shape style="position:absolute;left:5850;top:966;width:1406;height:840" coordorigin="5850,966" coordsize="1406,840" path="m5925,1769l5850,1769,5850,1805,5925,1805,5925,1769m6257,1740l6184,1740,6184,1805,6257,1805,6257,1740m6589,1780l6516,1780,6516,1805,6589,1805,6589,1780m6922,1366l6849,1366,6849,1805,6922,1805,6922,1366m7256,966l7181,966,7181,1805,7256,1805,7256,966e" filled="true" fillcolor="#a1a3a5" stroked="false">
              <v:path arrowok="t"/>
              <v:fill type="solid"/>
            </v:shape>
            <v:line style="position:absolute" from="7513,1800" to="7588,1800" stroked="true" strokeweight=".576pt" strokecolor="#a1a3a5"/>
            <v:shape style="position:absolute;left:7847;top:1475;width:406;height:331" coordorigin="7847,1475" coordsize="406,331" path="m7920,1475l7847,1475,7847,1805,7920,1805,7920,1475m8252,1707l8179,1707,8179,1805,8252,1805,8252,1707e" filled="true" fillcolor="#a1a3a5" stroked="false">
              <v:path arrowok="t"/>
              <v:fill type="solid"/>
            </v:shape>
            <v:line style="position:absolute" from="8511,1803" to="8584,1803" stroked="true" strokeweight=".192pt" strokecolor="#a1a3a5"/>
            <v:shape style="position:absolute;left:2193;top:1003;width:740;height:803" coordorigin="2193,1003" coordsize="740,803" path="m2267,1003l2193,1003,2193,1805,2267,1805,2267,1003m2600,1485l2525,1485,2525,1805,2600,1805,2600,1485m2932,1700l2857,1700,2857,1805,2932,1805,2932,1700e" filled="true" fillcolor="#a7a9ac" stroked="false">
              <v:path arrowok="t"/>
              <v:fill type="solid"/>
            </v:shape>
            <v:line style="position:absolute" from="3523,1798" to="3596,1798" stroked="true" strokeweight=".768pt" strokecolor="#a7a9ac"/>
            <v:shape style="position:absolute;left:3855;top:1268;width:1404;height:538" coordorigin="3855,1268" coordsize="1404,538" path="m3930,1268l3855,1268,3855,1805,3930,1805,3930,1268m4262,1464l4187,1464,4187,1805,4262,1805,4262,1464m4927,1773l4854,1773,4854,1805,4927,1805,4927,1773m5259,1754l5186,1754,5186,1805,5259,1805,5259,1754e" filled="true" fillcolor="#a7a9ac" stroked="false">
              <v:path arrowok="t"/>
              <v:fill type="solid"/>
            </v:shape>
            <v:line style="position:absolute" from="5518,1802" to="5593,1802" stroked="true" strokeweight=".384pt" strokecolor="#a7a9ac"/>
            <v:shape style="position:absolute;left:5850;top:966;width:1406;height:840" coordorigin="5850,966" coordsize="1406,840" path="m5925,1769l5850,1769,5850,1805,5925,1805,5925,1769m6257,1740l6184,1740,6184,1805,6257,1805,6257,1740m6589,1780l6516,1780,6516,1805,6589,1805,6589,1780m6922,1366l6849,1366,6849,1805,6922,1805,6922,1366m7256,966l7181,966,7181,1805,7256,1805,7256,966e" filled="true" fillcolor="#a7a9ac" stroked="false">
              <v:path arrowok="t"/>
              <v:fill type="solid"/>
            </v:shape>
            <v:line style="position:absolute" from="7513,1800" to="7588,1800" stroked="true" strokeweight=".576pt" strokecolor="#a7a9ac"/>
            <v:shape style="position:absolute;left:7847;top:1475;width:406;height:331" coordorigin="7847,1475" coordsize="406,331" path="m7920,1475l7847,1475,7847,1805,7920,1805,7920,1475m8252,1707l8179,1707,8179,1805,8252,1805,8252,1707e" filled="true" fillcolor="#a7a9ac" stroked="false">
              <v:path arrowok="t"/>
              <v:fill type="solid"/>
            </v:shape>
            <v:line style="position:absolute" from="8511,1803" to="8584,1803" stroked="true" strokeweight=".192pt" strokecolor="#a7a9ac"/>
            <v:shape style="position:absolute;left:2267;top:1281;width:738;height:525" coordorigin="2267,1281" coordsize="738,525" path="m2340,1281l2267,1281,2267,1805,2340,1805,2340,1281m2673,1761l2600,1761,2600,1805,2673,1805,2673,1761m3005,1391l2932,1391,2932,1805,3005,1805,3005,1391e" filled="true" fillcolor="#a1a3a5" stroked="false">
              <v:path arrowok="t"/>
              <v:fill type="solid"/>
            </v:shape>
            <v:line style="position:absolute" from="3264,1798" to="3339,1798" stroked="true" strokeweight=".768pt" strokecolor="#a1a3a5"/>
            <v:shape style="position:absolute;left:3596;top:1529;width:740;height:277" coordorigin="3596,1529" coordsize="740,277" path="m3671,1736l3596,1736,3596,1805,3671,1805,3671,1736m4003,1529l3930,1529,3930,1805,4003,1805,4003,1529m4335,1573l4262,1573,4262,1805,4335,1805,4335,1573e" filled="true" fillcolor="#a1a3a5" stroked="false">
              <v:path arrowok="t"/>
              <v:fill type="solid"/>
            </v:shape>
            <v:line style="position:absolute" from="4594,1802" to="4667,1802" stroked="true" strokeweight=".384pt" strokecolor="#a1a3a5"/>
            <v:shape style="position:absolute;left:4927;top:1130;width:3401;height:676" coordorigin="4927,1130" coordsize="3401,676" path="m5002,1675l4927,1675,4927,1805,5002,1805,5002,1675m5334,1667l5259,1667,5259,1805,5334,1805,5334,1667m5666,1754l5593,1754,5593,1805,5666,1805,5666,1754m5998,1786l5925,1786,5925,1805,5998,1805,5998,1786m6332,1725l6257,1725,6257,1805,6332,1805,6332,1725m6664,1130l6589,1130,6589,1805,6664,1805,6664,1130m6996,1740l6922,1740,6922,1805,6996,1805,6996,1740m7329,1464l7256,1464,7256,1805,7329,1805,7329,1464m7661,1333l7588,1333,7588,1805,7661,1805,7661,1333m7995,1500l7920,1500,7920,1805,7995,1805,7995,1500m8327,1619l8252,1619,8252,1805,8327,1805,8327,1619e" filled="true" fillcolor="#a1a3a5" stroked="false">
              <v:path arrowok="t"/>
              <v:fill type="solid"/>
            </v:shape>
            <v:line style="position:absolute" from="8584,1802" to="8659,1802" stroked="true" strokeweight=".384pt" strokecolor="#a1a3a5"/>
            <v:shape style="position:absolute;left:2267;top:1281;width:738;height:525" coordorigin="2267,1281" coordsize="738,525" path="m2340,1281l2267,1281,2267,1805,2340,1805,2340,1281m2673,1761l2600,1761,2600,1805,2673,1805,2673,1761m3005,1391l2932,1391,2932,1805,3005,1805,3005,1391e" filled="true" fillcolor="#d1d3d4" stroked="false">
              <v:path arrowok="t"/>
              <v:fill type="solid"/>
            </v:shape>
            <v:line style="position:absolute" from="3264,1798" to="3339,1798" stroked="true" strokeweight=".768pt" strokecolor="#d1d3d4"/>
            <v:shape style="position:absolute;left:3596;top:1529;width:740;height:277" coordorigin="3596,1529" coordsize="740,277" path="m3671,1736l3596,1736,3596,1805,3671,1805,3671,1736m4003,1529l3930,1529,3930,1805,4003,1805,4003,1529m4335,1573l4262,1573,4262,1805,4335,1805,4335,1573e" filled="true" fillcolor="#d1d3d4" stroked="false">
              <v:path arrowok="t"/>
              <v:fill type="solid"/>
            </v:shape>
            <v:line style="position:absolute" from="4594,1802" to="4667,1802" stroked="true" strokeweight=".384pt" strokecolor="#d1d3d4"/>
            <v:shape style="position:absolute;left:4927;top:1130;width:3401;height:676" coordorigin="4927,1130" coordsize="3401,676" path="m5002,1675l4927,1675,4927,1805,5002,1805,5002,1675m5334,1667l5259,1667,5259,1805,5334,1805,5334,1667m5666,1754l5593,1754,5593,1805,5666,1805,5666,1754m5998,1786l5925,1786,5925,1805,5998,1805,5998,1786m6332,1725l6257,1725,6257,1805,6332,1805,6332,1725m6664,1130l6589,1130,6589,1805,6664,1805,6664,1130m6996,1740l6922,1740,6922,1805,6996,1805,6996,1740m7329,1464l7256,1464,7256,1805,7329,1805,7329,1464m7661,1333l7588,1333,7588,1805,7661,1805,7661,1333m7995,1500l7920,1500,7920,1805,7995,1805,7995,1500m8327,1619l8252,1619,8252,1805,8327,1805,8327,1619e" filled="true" fillcolor="#d1d3d4" stroked="false">
              <v:path arrowok="t"/>
              <v:fill type="solid"/>
            </v:shape>
            <v:line style="position:absolute" from="8584,1802" to="8659,1802" stroked="true" strokeweight=".384pt" strokecolor="#d1d3d4"/>
            <v:line style="position:absolute" from="2064,177" to="8715,177" stroked="true" strokeweight=".3pt" strokecolor="#a6a8ab"/>
            <v:line style="position:absolute" from="2063,1806" to="2063,178" stroked="true" strokeweight=".3pt" strokecolor="#a6a8ab"/>
            <v:shape style="position:absolute;left:0;top:6416;width:29;height:1629" coordorigin="0,6416" coordsize="29,1629" path="m2035,1805l2063,1805m2035,991l2063,991m2035,177l2063,177e" filled="false" stroked="true" strokeweight=".3pt" strokecolor="#a6a8ab">
              <v:path arrowok="t"/>
            </v:shape>
            <v:line style="position:absolute" from="2063,1806" to="8715,1806" stroked="true" strokeweight=".3pt" strokecolor="#a6a8ab"/>
            <v:shape style="position:absolute;left:0;top:8044;width:6651;height:29" coordorigin="0,8044" coordsize="6651,29" path="m2064,1805l2064,1834m2396,1805l2396,1834m2728,1805l2728,1834m3060,1805l3060,1834m3395,1805l3395,1834m3727,1805l3727,1834m4059,1805l4059,1834m4391,1805l4391,1834m4723,1805l4723,1834m5057,1805l5057,1834m5389,1805l5389,1834m5722,1805l5722,1834m6054,1805l6054,1834m6386,1805l6386,1834m6720,1805l6720,1834m7052,1805l7052,1834m7384,1805l7384,1834m7716,1805l7716,1834m8049,1805l8049,1834m8383,1805l8383,1834m8715,1805l8715,1834e" filled="false" stroked="true" strokeweight=".3pt" strokecolor="#a6a8ab">
              <v:path arrowok="t"/>
            </v:shape>
            <w10:wrap type="none"/>
          </v:group>
        </w:pict>
      </w:r>
      <w:r>
        <w:rPr>
          <w:rFonts w:ascii="Arial"/>
          <w:color w:val="231F20"/>
          <w:w w:val="105"/>
          <w:sz w:val="13"/>
        </w:rPr>
        <w:t>40</w:t>
      </w:r>
    </w:p>
    <w:p>
      <w:pPr>
        <w:pStyle w:val="BodyText"/>
        <w:rPr>
          <w:rFonts w:ascii="Arial"/>
          <w:sz w:val="20"/>
        </w:rPr>
      </w:pPr>
    </w:p>
    <w:p>
      <w:pPr>
        <w:pStyle w:val="BodyText"/>
        <w:rPr>
          <w:rFonts w:ascii="Arial"/>
          <w:sz w:val="20"/>
        </w:rPr>
      </w:pPr>
    </w:p>
    <w:p>
      <w:pPr>
        <w:pStyle w:val="BodyText"/>
        <w:spacing w:before="9"/>
        <w:rPr>
          <w:rFonts w:ascii="Arial"/>
          <w:sz w:val="17"/>
        </w:rPr>
      </w:pPr>
    </w:p>
    <w:p>
      <w:pPr>
        <w:spacing w:before="0"/>
        <w:ind w:left="1869" w:right="6753" w:firstLine="0"/>
        <w:jc w:val="left"/>
        <w:rPr>
          <w:rFonts w:ascii="Arial"/>
          <w:sz w:val="13"/>
        </w:rPr>
      </w:pPr>
      <w:r>
        <w:rPr>
          <w:rFonts w:ascii="Arial"/>
          <w:color w:val="231F20"/>
          <w:w w:val="105"/>
          <w:sz w:val="13"/>
        </w:rPr>
        <w:t>20</w:t>
      </w:r>
    </w:p>
    <w:p>
      <w:pPr>
        <w:pStyle w:val="BodyText"/>
        <w:rPr>
          <w:rFonts w:ascii="Arial"/>
          <w:sz w:val="20"/>
        </w:rPr>
      </w:pPr>
    </w:p>
    <w:p>
      <w:pPr>
        <w:pStyle w:val="BodyText"/>
        <w:rPr>
          <w:rFonts w:ascii="Arial"/>
          <w:sz w:val="20"/>
        </w:rPr>
      </w:pPr>
    </w:p>
    <w:p>
      <w:pPr>
        <w:pStyle w:val="BodyText"/>
        <w:rPr>
          <w:rFonts w:ascii="Arial"/>
          <w:sz w:val="12"/>
        </w:rPr>
      </w:pPr>
    </w:p>
    <w:p>
      <w:pPr>
        <w:spacing w:before="76"/>
        <w:ind w:left="1917" w:right="0" w:firstLine="0"/>
        <w:jc w:val="left"/>
        <w:rPr>
          <w:rFonts w:ascii="Arial"/>
          <w:sz w:val="12"/>
        </w:rPr>
      </w:pPr>
      <w:r>
        <w:rPr/>
        <w:pict>
          <v:shape style="position:absolute;margin-left:107.716385pt;margin-top:12.495439pt;width:8.4pt;height:22.95pt;mso-position-horizontal-relative:page;mso-position-vertical-relative:paragraph;z-index:17128" type="#_x0000_t202" filled="false" stroked="false">
            <v:textbox inset="0,0,0,0" style="layout-flow:vertical;mso-layout-flow-alt:bottom-to-top">
              <w:txbxContent>
                <w:p>
                  <w:pPr>
                    <w:spacing w:line="141" w:lineRule="exact" w:before="0"/>
                    <w:ind w:left="20" w:right="-290" w:firstLine="0"/>
                    <w:jc w:val="left"/>
                    <w:rPr>
                      <w:rFonts w:ascii="Arial"/>
                      <w:sz w:val="13"/>
                    </w:rPr>
                  </w:pPr>
                  <w:r>
                    <w:rPr>
                      <w:rFonts w:ascii="Arial"/>
                      <w:color w:val="231F20"/>
                      <w:spacing w:val="-5"/>
                      <w:w w:val="91"/>
                      <w:sz w:val="13"/>
                    </w:rPr>
                    <w:t>T</w:t>
                  </w:r>
                  <w:r>
                    <w:rPr>
                      <w:rFonts w:ascii="Arial"/>
                      <w:color w:val="231F20"/>
                      <w:w w:val="100"/>
                      <w:sz w:val="13"/>
                    </w:rPr>
                    <w:t>ijuana</w:t>
                  </w:r>
                </w:p>
              </w:txbxContent>
            </v:textbox>
            <w10:wrap type="none"/>
          </v:shape>
        </w:pict>
      </w:r>
      <w:r>
        <w:rPr/>
        <w:pict>
          <v:shape style="position:absolute;margin-left:124.34359pt;margin-top:12.49544pt;width:8.4pt;height:21.2pt;mso-position-horizontal-relative:page;mso-position-vertical-relative:paragraph;z-index:17152" type="#_x0000_t202" filled="false" stroked="false">
            <v:textbox inset="0,0,0,0" style="layout-flow:vertical;mso-layout-flow-alt:bottom-to-top">
              <w:txbxContent>
                <w:p>
                  <w:pPr>
                    <w:spacing w:line="141" w:lineRule="exact" w:before="0"/>
                    <w:ind w:left="20" w:right="-256" w:firstLine="0"/>
                    <w:jc w:val="left"/>
                    <w:rPr>
                      <w:rFonts w:ascii="Arial"/>
                      <w:sz w:val="13"/>
                    </w:rPr>
                  </w:pPr>
                  <w:r>
                    <w:rPr>
                      <w:rFonts w:ascii="Arial"/>
                      <w:color w:val="231F20"/>
                      <w:spacing w:val="-9"/>
                      <w:w w:val="91"/>
                      <w:sz w:val="13"/>
                    </w:rPr>
                    <w:t>T</w:t>
                  </w:r>
                  <w:r>
                    <w:rPr>
                      <w:rFonts w:ascii="Arial"/>
                      <w:color w:val="231F20"/>
                      <w:w w:val="100"/>
                      <w:sz w:val="13"/>
                    </w:rPr>
                    <w:t>ecate</w:t>
                  </w:r>
                </w:p>
              </w:txbxContent>
            </v:textbox>
            <w10:wrap type="none"/>
          </v:shape>
        </w:pict>
      </w:r>
      <w:r>
        <w:rPr/>
        <w:pict>
          <v:shape style="position:absolute;margin-left:140.970795pt;margin-top:12.495441pt;width:8.4pt;height:25.9pt;mso-position-horizontal-relative:page;mso-position-vertical-relative:paragraph;z-index:17176" type="#_x0000_t202" filled="false" stroked="false">
            <v:textbox inset="0,0,0,0" style="layout-flow:vertical;mso-layout-flow-alt:bottom-to-top">
              <w:txbxContent>
                <w:p>
                  <w:pPr>
                    <w:spacing w:line="141" w:lineRule="exact" w:before="0"/>
                    <w:ind w:left="20" w:right="-350" w:firstLine="0"/>
                    <w:jc w:val="left"/>
                    <w:rPr>
                      <w:rFonts w:ascii="Arial"/>
                      <w:sz w:val="13"/>
                    </w:rPr>
                  </w:pPr>
                  <w:r>
                    <w:rPr>
                      <w:rFonts w:ascii="Arial"/>
                      <w:color w:val="231F20"/>
                      <w:w w:val="101"/>
                      <w:sz w:val="13"/>
                    </w:rPr>
                    <w:t>Mexicali</w:t>
                  </w:r>
                </w:p>
              </w:txbxContent>
            </v:textbox>
            <w10:wrap type="none"/>
          </v:shape>
        </w:pict>
      </w:r>
      <w:r>
        <w:rPr/>
        <w:pict>
          <v:shape style="position:absolute;margin-left:157.597992pt;margin-top:12.495439pt;width:8.4pt;height:66.1pt;mso-position-horizontal-relative:page;mso-position-vertical-relative:paragraph;z-index:17200" type="#_x0000_t202" filled="false" stroked="false">
            <v:textbox inset="0,0,0,0" style="layout-flow:vertical;mso-layout-flow-alt:bottom-to-top">
              <w:txbxContent>
                <w:p>
                  <w:pPr>
                    <w:spacing w:line="141" w:lineRule="exact" w:before="0"/>
                    <w:ind w:left="20" w:right="0" w:firstLine="0"/>
                    <w:jc w:val="left"/>
                    <w:rPr>
                      <w:rFonts w:ascii="Arial" w:hAnsi="Arial"/>
                      <w:sz w:val="13"/>
                    </w:rPr>
                  </w:pPr>
                  <w:r>
                    <w:rPr>
                      <w:rFonts w:ascii="Arial" w:hAnsi="Arial"/>
                      <w:color w:val="231F20"/>
                      <w:w w:val="92"/>
                      <w:sz w:val="13"/>
                    </w:rPr>
                    <w:t>San</w:t>
                  </w:r>
                  <w:r>
                    <w:rPr>
                      <w:rFonts w:ascii="Arial" w:hAnsi="Arial"/>
                      <w:color w:val="231F20"/>
                      <w:spacing w:val="-5"/>
                      <w:sz w:val="13"/>
                    </w:rPr>
                    <w:t> </w:t>
                  </w:r>
                  <w:r>
                    <w:rPr>
                      <w:rFonts w:ascii="Arial" w:hAnsi="Arial"/>
                      <w:color w:val="231F20"/>
                      <w:w w:val="95"/>
                      <w:sz w:val="13"/>
                    </w:rPr>
                    <w:t>Luis</w:t>
                  </w:r>
                  <w:r>
                    <w:rPr>
                      <w:rFonts w:ascii="Arial" w:hAnsi="Arial"/>
                      <w:color w:val="231F20"/>
                      <w:spacing w:val="-5"/>
                      <w:sz w:val="13"/>
                    </w:rPr>
                    <w:t> </w:t>
                  </w:r>
                  <w:r>
                    <w:rPr>
                      <w:rFonts w:ascii="Arial" w:hAnsi="Arial"/>
                      <w:color w:val="231F20"/>
                      <w:w w:val="92"/>
                      <w:sz w:val="13"/>
                    </w:rPr>
                    <w:t>Río</w:t>
                  </w:r>
                  <w:r>
                    <w:rPr>
                      <w:rFonts w:ascii="Arial" w:hAnsi="Arial"/>
                      <w:color w:val="231F20"/>
                      <w:spacing w:val="-5"/>
                      <w:sz w:val="13"/>
                    </w:rPr>
                    <w:t> </w:t>
                  </w:r>
                  <w:r>
                    <w:rPr>
                      <w:rFonts w:ascii="Arial" w:hAnsi="Arial"/>
                      <w:color w:val="231F20"/>
                      <w:w w:val="105"/>
                      <w:sz w:val="13"/>
                    </w:rPr>
                    <w:t>Colorado</w:t>
                  </w:r>
                </w:p>
              </w:txbxContent>
            </v:textbox>
            <w10:wrap type="none"/>
          </v:shape>
        </w:pict>
      </w:r>
      <w:r>
        <w:rPr/>
        <w:pict>
          <v:shape style="position:absolute;margin-left:174.225189pt;margin-top:12.49544pt;width:8.4pt;height:17.45pt;mso-position-horizontal-relative:page;mso-position-vertical-relative:paragraph;z-index:17224" type="#_x0000_t202" filled="false" stroked="false">
            <v:textbox inset="0,0,0,0" style="layout-flow:vertical;mso-layout-flow-alt:bottom-to-top">
              <w:txbxContent>
                <w:p>
                  <w:pPr>
                    <w:spacing w:line="141" w:lineRule="exact" w:before="0"/>
                    <w:ind w:left="20" w:right="-181" w:firstLine="0"/>
                    <w:jc w:val="left"/>
                    <w:rPr>
                      <w:rFonts w:ascii="Arial"/>
                      <w:sz w:val="13"/>
                    </w:rPr>
                  </w:pPr>
                  <w:r>
                    <w:rPr>
                      <w:rFonts w:ascii="Arial"/>
                      <w:color w:val="231F20"/>
                      <w:w w:val="101"/>
                      <w:sz w:val="13"/>
                    </w:rPr>
                    <w:t>Naco</w:t>
                  </w:r>
                </w:p>
              </w:txbxContent>
            </v:textbox>
            <w10:wrap type="none"/>
          </v:shape>
        </w:pict>
      </w:r>
      <w:r>
        <w:rPr/>
        <w:pict>
          <v:shape style="position:absolute;margin-left:190.852386pt;margin-top:12.49544pt;width:8.4pt;height:36pt;mso-position-horizontal-relative:page;mso-position-vertical-relative:paragraph;z-index:17248" type="#_x0000_t202" filled="false" stroked="false">
            <v:textbox inset="0,0,0,0" style="layout-flow:vertical;mso-layout-flow-alt:bottom-to-top">
              <w:txbxContent>
                <w:p>
                  <w:pPr>
                    <w:spacing w:before="1"/>
                    <w:ind w:left="20" w:right="-207" w:firstLine="0"/>
                    <w:jc w:val="left"/>
                    <w:rPr>
                      <w:rFonts w:ascii="Arial"/>
                      <w:sz w:val="12"/>
                    </w:rPr>
                  </w:pPr>
                  <w:r>
                    <w:rPr>
                      <w:rFonts w:ascii="Arial"/>
                      <w:color w:val="231F20"/>
                      <w:w w:val="111"/>
                      <w:sz w:val="12"/>
                    </w:rPr>
                    <w:t>Agua</w:t>
                  </w:r>
                  <w:r>
                    <w:rPr>
                      <w:rFonts w:ascii="Arial"/>
                      <w:color w:val="231F20"/>
                      <w:spacing w:val="-2"/>
                      <w:sz w:val="12"/>
                    </w:rPr>
                    <w:t> </w:t>
                  </w:r>
                  <w:r>
                    <w:rPr>
                      <w:rFonts w:ascii="Arial"/>
                      <w:color w:val="231F20"/>
                      <w:w w:val="106"/>
                      <w:sz w:val="12"/>
                    </w:rPr>
                    <w:t>Prieta</w:t>
                  </w:r>
                </w:p>
              </w:txbxContent>
            </v:textbox>
            <w10:wrap type="none"/>
          </v:shape>
        </w:pict>
      </w:r>
      <w:r>
        <w:rPr/>
        <w:pict>
          <v:shape style="position:absolute;margin-left:207.479584pt;margin-top:12.49544pt;width:8.4pt;height:26.4pt;mso-position-horizontal-relative:page;mso-position-vertical-relative:paragraph;z-index:17272" type="#_x0000_t202" filled="false" stroked="false">
            <v:textbox inset="0,0,0,0" style="layout-flow:vertical;mso-layout-flow-alt:bottom-to-top">
              <w:txbxContent>
                <w:p>
                  <w:pPr>
                    <w:spacing w:before="1"/>
                    <w:ind w:left="20" w:right="-360" w:firstLine="0"/>
                    <w:jc w:val="left"/>
                    <w:rPr>
                      <w:rFonts w:ascii="Arial"/>
                      <w:sz w:val="12"/>
                    </w:rPr>
                  </w:pPr>
                  <w:r>
                    <w:rPr>
                      <w:rFonts w:ascii="Arial"/>
                      <w:color w:val="231F20"/>
                      <w:w w:val="110"/>
                      <w:sz w:val="12"/>
                    </w:rPr>
                    <w:t>Nogales</w:t>
                  </w:r>
                </w:p>
              </w:txbxContent>
            </v:textbox>
            <w10:wrap type="none"/>
          </v:shape>
        </w:pict>
      </w:r>
      <w:r>
        <w:rPr/>
        <w:pict>
          <v:shape style="position:absolute;margin-left:224.106781pt;margin-top:12.495439pt;width:8.4pt;height:63.8pt;mso-position-horizontal-relative:page;mso-position-vertical-relative:paragraph;z-index:17296" type="#_x0000_t202" filled="false" stroked="false">
            <v:textbox inset="0,0,0,0" style="layout-flow:vertical;mso-layout-flow-alt:bottom-to-top">
              <w:txbxContent>
                <w:p>
                  <w:pPr>
                    <w:spacing w:before="1"/>
                    <w:ind w:left="20" w:right="-423" w:firstLine="0"/>
                    <w:jc w:val="left"/>
                    <w:rPr>
                      <w:rFonts w:ascii="Arial"/>
                      <w:sz w:val="12"/>
                    </w:rPr>
                  </w:pPr>
                  <w:r>
                    <w:rPr>
                      <w:rFonts w:ascii="Arial"/>
                      <w:color w:val="231F20"/>
                      <w:w w:val="112"/>
                      <w:sz w:val="12"/>
                    </w:rPr>
                    <w:t>Rodrigo</w:t>
                  </w:r>
                  <w:r>
                    <w:rPr>
                      <w:rFonts w:ascii="Arial"/>
                      <w:color w:val="231F20"/>
                      <w:spacing w:val="-2"/>
                      <w:sz w:val="12"/>
                    </w:rPr>
                    <w:t> </w:t>
                  </w:r>
                  <w:r>
                    <w:rPr>
                      <w:rFonts w:ascii="Arial"/>
                      <w:color w:val="231F20"/>
                      <w:w w:val="110"/>
                      <w:sz w:val="12"/>
                    </w:rPr>
                    <w:t>M.</w:t>
                  </w:r>
                  <w:r>
                    <w:rPr>
                      <w:rFonts w:ascii="Arial"/>
                      <w:color w:val="231F20"/>
                      <w:spacing w:val="-2"/>
                      <w:sz w:val="12"/>
                    </w:rPr>
                    <w:t> </w:t>
                  </w:r>
                  <w:r>
                    <w:rPr>
                      <w:rFonts w:ascii="Arial"/>
                      <w:color w:val="231F20"/>
                      <w:w w:val="113"/>
                      <w:sz w:val="12"/>
                    </w:rPr>
                    <w:t>Quevedo</w:t>
                  </w:r>
                </w:p>
              </w:txbxContent>
            </v:textbox>
            <w10:wrap type="none"/>
          </v:shape>
        </w:pict>
      </w:r>
      <w:r>
        <w:rPr/>
        <w:pict>
          <v:shape style="position:absolute;margin-left:240.733994pt;margin-top:12.495439pt;width:8.4pt;height:44.2pt;mso-position-horizontal-relative:page;mso-position-vertical-relative:paragraph;z-index:17320" type="#_x0000_t202" filled="false" stroked="false">
            <v:textbox inset="0,0,0,0" style="layout-flow:vertical;mso-layout-flow-alt:bottom-to-top">
              <w:txbxContent>
                <w:p>
                  <w:pPr>
                    <w:spacing w:before="1"/>
                    <w:ind w:left="20" w:right="-302" w:firstLine="0"/>
                    <w:jc w:val="left"/>
                    <w:rPr>
                      <w:rFonts w:ascii="Arial" w:hAnsi="Arial"/>
                      <w:sz w:val="12"/>
                    </w:rPr>
                  </w:pPr>
                  <w:r>
                    <w:rPr>
                      <w:rFonts w:ascii="Arial" w:hAnsi="Arial"/>
                      <w:color w:val="231F20"/>
                      <w:w w:val="113"/>
                      <w:sz w:val="12"/>
                    </w:rPr>
                    <w:t>Ciudad</w:t>
                  </w:r>
                  <w:r>
                    <w:rPr>
                      <w:rFonts w:ascii="Arial" w:hAnsi="Arial"/>
                      <w:color w:val="231F20"/>
                      <w:spacing w:val="-2"/>
                      <w:sz w:val="12"/>
                    </w:rPr>
                    <w:t> </w:t>
                  </w:r>
                  <w:r>
                    <w:rPr>
                      <w:rFonts w:ascii="Arial" w:hAnsi="Arial"/>
                      <w:color w:val="231F20"/>
                      <w:w w:val="105"/>
                      <w:sz w:val="12"/>
                    </w:rPr>
                    <w:t>Juárez</w:t>
                  </w:r>
                </w:p>
              </w:txbxContent>
            </v:textbox>
            <w10:wrap type="none"/>
          </v:shape>
        </w:pict>
      </w:r>
      <w:r>
        <w:rPr/>
        <w:pict>
          <v:shape style="position:absolute;margin-left:257.361176pt;margin-top:12.495438pt;width:8.4pt;height:40pt;mso-position-horizontal-relative:page;mso-position-vertical-relative:paragraph;z-index:17344" type="#_x0000_t202" filled="false" stroked="false">
            <v:textbox inset="0,0,0,0" style="layout-flow:vertical;mso-layout-flow-alt:bottom-to-top">
              <w:txbxContent>
                <w:p>
                  <w:pPr>
                    <w:spacing w:line="166" w:lineRule="exact" w:before="0"/>
                    <w:ind w:left="20" w:right="-297" w:firstLine="0"/>
                    <w:jc w:val="left"/>
                    <w:rPr>
                      <w:rFonts w:ascii="Lucida Sans Unicode" w:hAnsi="Lucida Sans Unicode"/>
                      <w:sz w:val="12"/>
                    </w:rPr>
                  </w:pPr>
                  <w:r>
                    <w:rPr>
                      <w:rFonts w:ascii="Lucida Sans Unicode" w:hAnsi="Lucida Sans Unicode"/>
                      <w:color w:val="231F20"/>
                      <w:w w:val="100"/>
                      <w:sz w:val="12"/>
                    </w:rPr>
                    <w:t>Porﬁrio</w:t>
                  </w:r>
                  <w:r>
                    <w:rPr>
                      <w:rFonts w:ascii="Lucida Sans Unicode" w:hAnsi="Lucida Sans Unicode"/>
                      <w:color w:val="231F20"/>
                      <w:spacing w:val="-6"/>
                      <w:sz w:val="12"/>
                    </w:rPr>
                    <w:t> </w:t>
                  </w:r>
                  <w:r>
                    <w:rPr>
                      <w:rFonts w:ascii="Lucida Sans Unicode" w:hAnsi="Lucida Sans Unicode"/>
                      <w:color w:val="231F20"/>
                      <w:w w:val="102"/>
                      <w:sz w:val="12"/>
                    </w:rPr>
                    <w:t>Parra</w:t>
                  </w:r>
                </w:p>
              </w:txbxContent>
            </v:textbox>
            <w10:wrap type="none"/>
          </v:shape>
        </w:pict>
      </w:r>
      <w:r>
        <w:rPr/>
        <w:pict>
          <v:shape style="position:absolute;margin-left:273.988373pt;margin-top:12.49544pt;width:8.4pt;height:26.35pt;mso-position-horizontal-relative:page;mso-position-vertical-relative:paragraph;z-index:17368" type="#_x0000_t202" filled="false" stroked="false">
            <v:textbox inset="0,0,0,0" style="layout-flow:vertical;mso-layout-flow-alt:bottom-to-top">
              <w:txbxContent>
                <w:p>
                  <w:pPr>
                    <w:spacing w:before="1"/>
                    <w:ind w:left="20" w:right="-359" w:firstLine="0"/>
                    <w:jc w:val="left"/>
                    <w:rPr>
                      <w:rFonts w:ascii="Arial"/>
                      <w:sz w:val="12"/>
                    </w:rPr>
                  </w:pPr>
                  <w:r>
                    <w:rPr>
                      <w:rFonts w:ascii="Arial"/>
                      <w:color w:val="231F20"/>
                      <w:w w:val="108"/>
                      <w:sz w:val="12"/>
                    </w:rPr>
                    <w:t>Porvenir</w:t>
                  </w:r>
                </w:p>
              </w:txbxContent>
            </v:textbox>
            <w10:wrap type="none"/>
          </v:shape>
        </w:pict>
      </w:r>
      <w:r>
        <w:rPr/>
        <w:pict>
          <v:shape style="position:absolute;margin-left:290.615601pt;margin-top:12.49544pt;width:8.4pt;height:46.4pt;mso-position-horizontal-relative:page;mso-position-vertical-relative:paragraph;z-index:17392" type="#_x0000_t202" filled="false" stroked="false">
            <v:textbox inset="0,0,0,0" style="layout-flow:vertical;mso-layout-flow-alt:bottom-to-top">
              <w:txbxContent>
                <w:p>
                  <w:pPr>
                    <w:spacing w:before="1"/>
                    <w:ind w:left="20" w:right="-305" w:firstLine="0"/>
                    <w:jc w:val="left"/>
                    <w:rPr>
                      <w:rFonts w:ascii="Arial"/>
                      <w:sz w:val="12"/>
                    </w:rPr>
                  </w:pPr>
                  <w:r>
                    <w:rPr>
                      <w:rFonts w:ascii="Arial"/>
                      <w:color w:val="231F20"/>
                      <w:w w:val="106"/>
                      <w:sz w:val="12"/>
                    </w:rPr>
                    <w:t>Piedras</w:t>
                  </w:r>
                  <w:r>
                    <w:rPr>
                      <w:rFonts w:ascii="Arial"/>
                      <w:color w:val="231F20"/>
                      <w:spacing w:val="-2"/>
                      <w:sz w:val="12"/>
                    </w:rPr>
                    <w:t> </w:t>
                  </w:r>
                  <w:r>
                    <w:rPr>
                      <w:rFonts w:ascii="Arial"/>
                      <w:color w:val="231F20"/>
                      <w:w w:val="109"/>
                      <w:sz w:val="12"/>
                    </w:rPr>
                    <w:t>Negras</w:t>
                  </w:r>
                </w:p>
              </w:txbxContent>
            </v:textbox>
            <w10:wrap type="none"/>
          </v:shape>
        </w:pict>
      </w:r>
      <w:r>
        <w:rPr/>
        <w:pict>
          <v:shape style="position:absolute;margin-left:307.242798pt;margin-top:12.49544pt;width:8.4pt;height:20.55pt;mso-position-horizontal-relative:page;mso-position-vertical-relative:paragraph;z-index:17416" type="#_x0000_t202" filled="false" stroked="false">
            <v:textbox inset="0,0,0,0" style="layout-flow:vertical;mso-layout-flow-alt:bottom-to-top">
              <w:txbxContent>
                <w:p>
                  <w:pPr>
                    <w:spacing w:before="1"/>
                    <w:ind w:left="20" w:right="-243" w:firstLine="0"/>
                    <w:jc w:val="left"/>
                    <w:rPr>
                      <w:rFonts w:ascii="Arial" w:hAnsi="Arial"/>
                      <w:sz w:val="12"/>
                    </w:rPr>
                  </w:pPr>
                  <w:r>
                    <w:rPr>
                      <w:rFonts w:ascii="Arial" w:hAnsi="Arial"/>
                      <w:color w:val="231F20"/>
                      <w:w w:val="108"/>
                      <w:sz w:val="12"/>
                    </w:rPr>
                    <w:t>Acuña</w:t>
                  </w:r>
                </w:p>
              </w:txbxContent>
            </v:textbox>
            <w10:wrap type="none"/>
          </v:shape>
        </w:pict>
      </w:r>
      <w:r>
        <w:rPr/>
        <w:pict>
          <v:shape style="position:absolute;margin-left:323.869995pt;margin-top:12.495439pt;width:8.4pt;height:58.15pt;mso-position-horizontal-relative:page;mso-position-vertical-relative:paragraph;z-index:17440" type="#_x0000_t202" filled="false" stroked="false">
            <v:textbox inset="0,0,0,0" style="layout-flow:vertical;mso-layout-flow-alt:bottom-to-top">
              <w:txbxContent>
                <w:p>
                  <w:pPr>
                    <w:spacing w:line="141" w:lineRule="exact" w:before="0"/>
                    <w:ind w:left="20" w:right="-443" w:firstLine="0"/>
                    <w:jc w:val="left"/>
                    <w:rPr>
                      <w:rFonts w:ascii="Arial"/>
                      <w:sz w:val="13"/>
                    </w:rPr>
                  </w:pPr>
                  <w:r>
                    <w:rPr>
                      <w:rFonts w:ascii="Arial"/>
                      <w:color w:val="231F20"/>
                      <w:w w:val="102"/>
                      <w:sz w:val="13"/>
                    </w:rPr>
                    <w:t>Guerrero,</w:t>
                  </w:r>
                  <w:r>
                    <w:rPr>
                      <w:rFonts w:ascii="Arial"/>
                      <w:color w:val="231F20"/>
                      <w:spacing w:val="-5"/>
                      <w:sz w:val="13"/>
                    </w:rPr>
                    <w:t> </w:t>
                  </w:r>
                  <w:r>
                    <w:rPr>
                      <w:rFonts w:ascii="Arial"/>
                      <w:color w:val="231F20"/>
                      <w:w w:val="101"/>
                      <w:sz w:val="13"/>
                    </w:rPr>
                    <w:t>Coahuila</w:t>
                  </w:r>
                </w:p>
              </w:txbxContent>
            </v:textbox>
            <w10:wrap type="none"/>
          </v:shape>
        </w:pict>
      </w:r>
      <w:r>
        <w:rPr/>
        <w:pict>
          <v:shape style="position:absolute;margin-left:340.497192pt;margin-top:12.495441pt;width:8.4pt;height:35.2pt;mso-position-horizontal-relative:page;mso-position-vertical-relative:paragraph;z-index:17464" type="#_x0000_t202" filled="false" stroked="false">
            <v:textbox inset="0,0,0,0" style="layout-flow:vertical;mso-layout-flow-alt:bottom-to-top">
              <w:txbxContent>
                <w:p>
                  <w:pPr>
                    <w:spacing w:line="141" w:lineRule="exact" w:before="0"/>
                    <w:ind w:left="20" w:right="-536" w:firstLine="0"/>
                    <w:jc w:val="left"/>
                    <w:rPr>
                      <w:rFonts w:ascii="Arial"/>
                      <w:sz w:val="13"/>
                    </w:rPr>
                  </w:pPr>
                  <w:r>
                    <w:rPr>
                      <w:rFonts w:ascii="Arial"/>
                      <w:color w:val="231F20"/>
                      <w:w w:val="101"/>
                      <w:sz w:val="13"/>
                    </w:rPr>
                    <w:t>Matamoros</w:t>
                  </w:r>
                </w:p>
              </w:txbxContent>
            </v:textbox>
            <w10:wrap type="none"/>
          </v:shape>
        </w:pict>
      </w:r>
      <w:r>
        <w:rPr/>
        <w:pict>
          <v:shape style="position:absolute;margin-left:357.12439pt;margin-top:12.49544pt;width:8.4pt;height:26.55pt;mso-position-horizontal-relative:page;mso-position-vertical-relative:paragraph;z-index:17488" type="#_x0000_t202" filled="false" stroked="false">
            <v:textbox inset="0,0,0,0" style="layout-flow:vertical;mso-layout-flow-alt:bottom-to-top">
              <w:txbxContent>
                <w:p>
                  <w:pPr>
                    <w:spacing w:line="141" w:lineRule="exact" w:before="0"/>
                    <w:ind w:left="20" w:right="-363" w:firstLine="0"/>
                    <w:jc w:val="left"/>
                    <w:rPr>
                      <w:rFonts w:ascii="Arial"/>
                      <w:sz w:val="13"/>
                    </w:rPr>
                  </w:pPr>
                  <w:r>
                    <w:rPr>
                      <w:rFonts w:ascii="Arial"/>
                      <w:color w:val="231F20"/>
                      <w:w w:val="95"/>
                      <w:sz w:val="13"/>
                    </w:rPr>
                    <w:t>Reynosa</w:t>
                  </w:r>
                </w:p>
              </w:txbxContent>
            </v:textbox>
            <w10:wrap type="none"/>
          </v:shape>
        </w:pict>
      </w:r>
      <w:r>
        <w:rPr/>
        <w:pict>
          <v:shape style="position:absolute;margin-left:373.751587pt;margin-top:12.495439pt;width:8.4pt;height:43.55pt;mso-position-horizontal-relative:page;mso-position-vertical-relative:paragraph;z-index:17512" type="#_x0000_t202" filled="false" stroked="false">
            <v:textbox inset="0,0,0,0" style="layout-flow:vertical;mso-layout-flow-alt:bottom-to-top">
              <w:txbxContent>
                <w:p>
                  <w:pPr>
                    <w:spacing w:before="1"/>
                    <w:ind w:left="20" w:right="-285" w:firstLine="0"/>
                    <w:jc w:val="left"/>
                    <w:rPr>
                      <w:rFonts w:ascii="Arial"/>
                      <w:sz w:val="12"/>
                    </w:rPr>
                  </w:pPr>
                  <w:r>
                    <w:rPr>
                      <w:rFonts w:ascii="Arial"/>
                      <w:color w:val="231F20"/>
                      <w:w w:val="111"/>
                      <w:sz w:val="12"/>
                    </w:rPr>
                    <w:t>Nuevo</w:t>
                  </w:r>
                  <w:r>
                    <w:rPr>
                      <w:rFonts w:ascii="Arial"/>
                      <w:color w:val="231F20"/>
                      <w:spacing w:val="-2"/>
                      <w:sz w:val="12"/>
                    </w:rPr>
                    <w:t> </w:t>
                  </w:r>
                  <w:r>
                    <w:rPr>
                      <w:rFonts w:ascii="Arial"/>
                      <w:color w:val="231F20"/>
                      <w:w w:val="110"/>
                      <w:sz w:val="12"/>
                    </w:rPr>
                    <w:t>Laredo</w:t>
                  </w:r>
                </w:p>
              </w:txbxContent>
            </v:textbox>
            <w10:wrap type="none"/>
          </v:shape>
        </w:pict>
      </w:r>
      <w:r>
        <w:rPr/>
        <w:pict>
          <v:shape style="position:absolute;margin-left:390.378784pt;margin-top:12.495439pt;width:8.4pt;height:47.2pt;mso-position-horizontal-relative:page;mso-position-vertical-relative:paragraph;z-index:17536" type="#_x0000_t202" filled="false" stroked="false">
            <v:textbox inset="0,0,0,0" style="layout-flow:vertical;mso-layout-flow-alt:bottom-to-top">
              <w:txbxContent>
                <w:p>
                  <w:pPr>
                    <w:spacing w:line="141" w:lineRule="exact" w:before="0"/>
                    <w:ind w:left="20" w:right="-326" w:firstLine="0"/>
                    <w:jc w:val="left"/>
                    <w:rPr>
                      <w:rFonts w:ascii="Arial" w:hAnsi="Arial"/>
                      <w:sz w:val="13"/>
                    </w:rPr>
                  </w:pPr>
                  <w:r>
                    <w:rPr>
                      <w:rFonts w:ascii="Arial" w:hAnsi="Arial"/>
                      <w:color w:val="231F20"/>
                      <w:w w:val="95"/>
                      <w:sz w:val="13"/>
                    </w:rPr>
                    <w:t>Sásabe,</w:t>
                  </w:r>
                  <w:r>
                    <w:rPr>
                      <w:rFonts w:ascii="Arial" w:hAnsi="Arial"/>
                      <w:color w:val="231F20"/>
                      <w:spacing w:val="-5"/>
                      <w:sz w:val="13"/>
                    </w:rPr>
                    <w:t> </w:t>
                  </w:r>
                  <w:r>
                    <w:rPr>
                      <w:rFonts w:ascii="Arial" w:hAnsi="Arial"/>
                      <w:color w:val="231F20"/>
                      <w:w w:val="99"/>
                      <w:sz w:val="13"/>
                    </w:rPr>
                    <w:t>Sonora</w:t>
                  </w:r>
                </w:p>
              </w:txbxContent>
            </v:textbox>
            <w10:wrap type="none"/>
          </v:shape>
        </w:pict>
      </w:r>
      <w:r>
        <w:rPr/>
        <w:pict>
          <v:shape style="position:absolute;margin-left:407.005981pt;margin-top:12.495438pt;width:8.4pt;height:66.75pt;mso-position-horizontal-relative:page;mso-position-vertical-relative:paragraph;z-index:17560" type="#_x0000_t202" filled="false" stroked="false">
            <v:textbox inset="0,0,0,0" style="layout-flow:vertical;mso-layout-flow-alt:bottom-to-top">
              <w:txbxContent>
                <w:p>
                  <w:pPr>
                    <w:spacing w:line="141" w:lineRule="exact" w:before="0"/>
                    <w:ind w:left="20" w:right="-603" w:firstLine="0"/>
                    <w:jc w:val="left"/>
                    <w:rPr>
                      <w:rFonts w:ascii="Arial"/>
                      <w:sz w:val="13"/>
                    </w:rPr>
                  </w:pPr>
                  <w:r>
                    <w:rPr>
                      <w:rFonts w:ascii="Arial"/>
                      <w:color w:val="231F20"/>
                      <w:w w:val="97"/>
                      <w:sz w:val="13"/>
                    </w:rPr>
                    <w:t>Sonoyta-San</w:t>
                  </w:r>
                  <w:r>
                    <w:rPr>
                      <w:rFonts w:ascii="Arial"/>
                      <w:color w:val="231F20"/>
                      <w:spacing w:val="-5"/>
                      <w:sz w:val="13"/>
                    </w:rPr>
                    <w:t> </w:t>
                  </w:r>
                  <w:r>
                    <w:rPr>
                      <w:rFonts w:ascii="Arial"/>
                      <w:color w:val="231F20"/>
                      <w:w w:val="102"/>
                      <w:sz w:val="13"/>
                    </w:rPr>
                    <w:t>Emeterio</w:t>
                  </w:r>
                </w:p>
              </w:txbxContent>
            </v:textbox>
            <w10:wrap type="none"/>
          </v:shape>
        </w:pict>
      </w:r>
      <w:r>
        <w:rPr/>
        <w:pict>
          <v:shape style="position:absolute;margin-left:424.292389pt;margin-top:12.495437pt;width:8.4pt;height:78.05pt;mso-position-horizontal-relative:page;mso-position-vertical-relative:paragraph;z-index:17584" type="#_x0000_t202" filled="false" stroked="false">
            <v:textbox inset="0,0,0,0" style="layout-flow:vertical;mso-layout-flow-alt:bottom-to-top">
              <w:txbxContent>
                <w:p>
                  <w:pPr>
                    <w:spacing w:line="141" w:lineRule="exact" w:before="0"/>
                    <w:ind w:left="20" w:right="-404" w:firstLine="0"/>
                    <w:jc w:val="left"/>
                    <w:rPr>
                      <w:rFonts w:ascii="Arial"/>
                      <w:sz w:val="13"/>
                    </w:rPr>
                  </w:pPr>
                  <w:r>
                    <w:rPr>
                      <w:rFonts w:ascii="Arial"/>
                      <w:color w:val="231F20"/>
                      <w:w w:val="100"/>
                      <w:sz w:val="13"/>
                    </w:rPr>
                    <w:t>Otras</w:t>
                  </w:r>
                  <w:r>
                    <w:rPr>
                      <w:rFonts w:ascii="Arial"/>
                      <w:color w:val="231F20"/>
                      <w:spacing w:val="-5"/>
                      <w:sz w:val="13"/>
                    </w:rPr>
                    <w:t> </w:t>
                  </w:r>
                  <w:r>
                    <w:rPr>
                      <w:rFonts w:ascii="Arial"/>
                      <w:color w:val="231F20"/>
                      <w:w w:val="102"/>
                      <w:sz w:val="13"/>
                    </w:rPr>
                    <w:t>ciudades</w:t>
                  </w:r>
                  <w:r>
                    <w:rPr>
                      <w:rFonts w:ascii="Arial"/>
                      <w:color w:val="231F20"/>
                      <w:spacing w:val="-5"/>
                      <w:sz w:val="13"/>
                    </w:rPr>
                    <w:t> </w:t>
                  </w:r>
                  <w:r>
                    <w:rPr>
                      <w:rFonts w:ascii="Arial"/>
                      <w:color w:val="231F20"/>
                      <w:w w:val="107"/>
                      <w:sz w:val="13"/>
                    </w:rPr>
                    <w:t>de</w:t>
                  </w:r>
                  <w:r>
                    <w:rPr>
                      <w:rFonts w:ascii="Arial"/>
                      <w:color w:val="231F20"/>
                      <w:spacing w:val="-5"/>
                      <w:sz w:val="13"/>
                    </w:rPr>
                    <w:t> </w:t>
                  </w:r>
                  <w:r>
                    <w:rPr>
                      <w:rFonts w:ascii="Arial"/>
                      <w:color w:val="231F20"/>
                      <w:w w:val="99"/>
                      <w:sz w:val="13"/>
                    </w:rPr>
                    <w:t>Sonora</w:t>
                  </w:r>
                </w:p>
              </w:txbxContent>
            </v:textbox>
            <w10:wrap type="none"/>
          </v:shape>
        </w:pict>
      </w:r>
      <w:r>
        <w:rPr>
          <w:rFonts w:ascii="Arial"/>
          <w:color w:val="231F20"/>
          <w:w w:val="111"/>
          <w:sz w:val="12"/>
        </w:rPr>
        <w:t>0</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14"/>
        </w:rPr>
      </w:pPr>
    </w:p>
    <w:p>
      <w:pPr>
        <w:tabs>
          <w:tab w:pos="1063" w:val="left" w:leader="none"/>
          <w:tab w:pos="1782" w:val="left" w:leader="none"/>
        </w:tabs>
        <w:spacing w:before="0"/>
        <w:ind w:left="332" w:right="0" w:firstLine="0"/>
        <w:jc w:val="center"/>
        <w:rPr>
          <w:rFonts w:ascii="Comic Sans MS"/>
          <w:b/>
          <w:sz w:val="12"/>
        </w:rPr>
      </w:pPr>
      <w:r>
        <w:rPr/>
        <w:pict>
          <v:rect style="position:absolute;margin-left:217.082001pt;margin-top:2.079936pt;width:6.803pt;height:6.803pt;mso-position-horizontal-relative:page;mso-position-vertical-relative:paragraph;z-index:16960" filled="true" fillcolor="#58595b" stroked="false">
            <v:fill type="solid"/>
            <w10:wrap type="none"/>
          </v:rect>
        </w:pict>
      </w:r>
      <w:r>
        <w:rPr/>
        <w:pict>
          <v:rect style="position:absolute;margin-left:253.522003pt;margin-top:2.078936pt;width:6.803pt;height:6.804pt;mso-position-horizontal-relative:page;mso-position-vertical-relative:paragraph;z-index:-473200" filled="true" fillcolor="#a7a9ac" stroked="false">
            <v:fill type="solid"/>
            <w10:wrap type="none"/>
          </v:rect>
        </w:pict>
      </w:r>
      <w:r>
        <w:rPr/>
        <w:pict>
          <v:rect style="position:absolute;margin-left:289.140991pt;margin-top:2.079936pt;width:6.803pt;height:6.803pt;mso-position-horizontal-relative:page;mso-position-vertical-relative:paragraph;z-index:-473176" filled="true" fillcolor="#d1d3d4" stroked="false">
            <v:fill type="solid"/>
            <w10:wrap type="none"/>
          </v:rect>
        </w:pict>
      </w:r>
      <w:r>
        <w:rPr>
          <w:rFonts w:ascii="Comic Sans MS"/>
          <w:b/>
          <w:color w:val="231F20"/>
          <w:w w:val="105"/>
          <w:sz w:val="13"/>
        </w:rPr>
        <w:t>2007</w:t>
        <w:tab/>
      </w:r>
      <w:r>
        <w:rPr>
          <w:rFonts w:ascii="Comic Sans MS"/>
          <w:b/>
          <w:color w:val="231F20"/>
          <w:w w:val="105"/>
          <w:sz w:val="12"/>
        </w:rPr>
        <w:t>2009</w:t>
        <w:tab/>
        <w:t>2012</w:t>
      </w:r>
    </w:p>
    <w:p>
      <w:pPr>
        <w:spacing w:before="47"/>
        <w:ind w:left="1837" w:right="0" w:firstLine="0"/>
        <w:jc w:val="both"/>
        <w:rPr>
          <w:sz w:val="16"/>
        </w:rPr>
      </w:pPr>
      <w:r>
        <w:rPr>
          <w:color w:val="231F20"/>
          <w:w w:val="105"/>
          <w:sz w:val="16"/>
        </w:rPr>
        <w:t>Fuente: elaboración propia con base en las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837" w:right="1720"/>
        <w:jc w:val="both"/>
      </w:pPr>
      <w:r>
        <w:rPr>
          <w:color w:val="231F20"/>
          <w:w w:val="105"/>
        </w:rPr>
        <w:t>De acuerdo con esta población, entre los principales motivos que</w:t>
      </w:r>
      <w:r>
        <w:rPr>
          <w:color w:val="231F20"/>
          <w:spacing w:val="-37"/>
          <w:w w:val="105"/>
        </w:rPr>
        <w:t> </w:t>
      </w:r>
      <w:r>
        <w:rPr>
          <w:color w:val="231F20"/>
          <w:w w:val="105"/>
        </w:rPr>
        <w:t>expli- can</w:t>
      </w:r>
      <w:r>
        <w:rPr>
          <w:color w:val="231F20"/>
          <w:spacing w:val="-15"/>
          <w:w w:val="105"/>
        </w:rPr>
        <w:t> </w:t>
      </w:r>
      <w:r>
        <w:rPr>
          <w:color w:val="231F20"/>
          <w:w w:val="105"/>
        </w:rPr>
        <w:t>la</w:t>
      </w:r>
      <w:r>
        <w:rPr>
          <w:color w:val="231F20"/>
          <w:spacing w:val="-15"/>
          <w:w w:val="105"/>
        </w:rPr>
        <w:t> </w:t>
      </w:r>
      <w:r>
        <w:rPr>
          <w:color w:val="231F20"/>
          <w:w w:val="105"/>
        </w:rPr>
        <w:t>selección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ciudad</w:t>
      </w:r>
      <w:r>
        <w:rPr>
          <w:color w:val="231F20"/>
          <w:spacing w:val="-15"/>
          <w:w w:val="105"/>
        </w:rPr>
        <w:t> </w:t>
      </w:r>
      <w:r>
        <w:rPr>
          <w:color w:val="231F20"/>
          <w:w w:val="105"/>
        </w:rPr>
        <w:t>se</w:t>
      </w:r>
      <w:r>
        <w:rPr>
          <w:color w:val="231F20"/>
          <w:spacing w:val="-15"/>
          <w:w w:val="105"/>
        </w:rPr>
        <w:t> </w:t>
      </w:r>
      <w:r>
        <w:rPr>
          <w:color w:val="231F20"/>
          <w:w w:val="105"/>
        </w:rPr>
        <w:t>encuentra</w:t>
      </w:r>
      <w:r>
        <w:rPr>
          <w:color w:val="231F20"/>
          <w:spacing w:val="-15"/>
          <w:w w:val="105"/>
        </w:rPr>
        <w:t> </w:t>
      </w:r>
      <w:r>
        <w:rPr>
          <w:color w:val="231F20"/>
          <w:w w:val="105"/>
        </w:rPr>
        <w:t>la</w:t>
      </w:r>
      <w:r>
        <w:rPr>
          <w:color w:val="231F20"/>
          <w:spacing w:val="-15"/>
          <w:w w:val="105"/>
        </w:rPr>
        <w:t> </w:t>
      </w:r>
      <w:r>
        <w:rPr>
          <w:color w:val="231F20"/>
          <w:w w:val="105"/>
        </w:rPr>
        <w:t>facilidad</w:t>
      </w:r>
      <w:r>
        <w:rPr>
          <w:color w:val="231F20"/>
          <w:spacing w:val="-15"/>
          <w:w w:val="105"/>
        </w:rPr>
        <w:t> </w:t>
      </w:r>
      <w:r>
        <w:rPr>
          <w:color w:val="231F20"/>
          <w:w w:val="105"/>
        </w:rPr>
        <w:t>de</w:t>
      </w:r>
      <w:r>
        <w:rPr>
          <w:color w:val="231F20"/>
          <w:spacing w:val="-15"/>
          <w:w w:val="105"/>
        </w:rPr>
        <w:t> </w:t>
      </w:r>
      <w:r>
        <w:rPr>
          <w:color w:val="231F20"/>
          <w:w w:val="105"/>
        </w:rPr>
        <w:t>cruce,</w:t>
      </w:r>
      <w:r>
        <w:rPr>
          <w:color w:val="231F20"/>
          <w:spacing w:val="-21"/>
          <w:w w:val="105"/>
        </w:rPr>
        <w:t> </w:t>
      </w:r>
      <w:r>
        <w:rPr>
          <w:color w:val="231F20"/>
          <w:w w:val="105"/>
        </w:rPr>
        <w:t>la</w:t>
      </w:r>
      <w:r>
        <w:rPr>
          <w:color w:val="231F20"/>
          <w:spacing w:val="-15"/>
          <w:w w:val="105"/>
        </w:rPr>
        <w:t> </w:t>
      </w:r>
      <w:r>
        <w:rPr>
          <w:color w:val="231F20"/>
          <w:w w:val="105"/>
        </w:rPr>
        <w:t>cerca- nía</w:t>
      </w:r>
      <w:r>
        <w:rPr>
          <w:color w:val="231F20"/>
          <w:spacing w:val="-22"/>
          <w:w w:val="105"/>
        </w:rPr>
        <w:t> </w:t>
      </w:r>
      <w:r>
        <w:rPr>
          <w:color w:val="231F20"/>
          <w:w w:val="105"/>
        </w:rPr>
        <w:t>al</w:t>
      </w:r>
      <w:r>
        <w:rPr>
          <w:color w:val="231F20"/>
          <w:spacing w:val="-22"/>
          <w:w w:val="105"/>
        </w:rPr>
        <w:t> </w:t>
      </w:r>
      <w:r>
        <w:rPr>
          <w:color w:val="231F20"/>
          <w:spacing w:val="-3"/>
          <w:w w:val="105"/>
        </w:rPr>
        <w:t>lugar</w:t>
      </w:r>
      <w:r>
        <w:rPr>
          <w:color w:val="231F20"/>
          <w:spacing w:val="-22"/>
          <w:w w:val="105"/>
        </w:rPr>
        <w:t> </w:t>
      </w:r>
      <w:r>
        <w:rPr>
          <w:color w:val="231F20"/>
          <w:w w:val="105"/>
        </w:rPr>
        <w:t>de</w:t>
      </w:r>
      <w:r>
        <w:rPr>
          <w:color w:val="231F20"/>
          <w:spacing w:val="-22"/>
          <w:w w:val="105"/>
        </w:rPr>
        <w:t> </w:t>
      </w:r>
      <w:r>
        <w:rPr>
          <w:color w:val="231F20"/>
          <w:spacing w:val="-3"/>
          <w:w w:val="105"/>
        </w:rPr>
        <w:t>destino</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spacing w:val="-3"/>
          <w:w w:val="105"/>
        </w:rPr>
        <w:t>decisión</w:t>
      </w:r>
      <w:r>
        <w:rPr>
          <w:color w:val="231F20"/>
          <w:spacing w:val="-22"/>
          <w:w w:val="105"/>
        </w:rPr>
        <w:t> </w:t>
      </w:r>
      <w:r>
        <w:rPr>
          <w:color w:val="231F20"/>
          <w:w w:val="105"/>
        </w:rPr>
        <w:t>del</w:t>
      </w:r>
      <w:r>
        <w:rPr>
          <w:color w:val="231F20"/>
          <w:spacing w:val="-22"/>
          <w:w w:val="105"/>
        </w:rPr>
        <w:t> </w:t>
      </w:r>
      <w:r>
        <w:rPr>
          <w:color w:val="231F20"/>
          <w:spacing w:val="-3"/>
          <w:w w:val="105"/>
        </w:rPr>
        <w:t>guía</w:t>
      </w:r>
      <w:r>
        <w:rPr>
          <w:color w:val="231F20"/>
          <w:spacing w:val="-22"/>
          <w:w w:val="105"/>
        </w:rPr>
        <w:t> </w:t>
      </w:r>
      <w:r>
        <w:rPr>
          <w:color w:val="231F20"/>
          <w:w w:val="105"/>
        </w:rPr>
        <w:t>o</w:t>
      </w:r>
      <w:r>
        <w:rPr>
          <w:color w:val="231F20"/>
          <w:spacing w:val="-22"/>
          <w:w w:val="105"/>
        </w:rPr>
        <w:t> </w:t>
      </w:r>
      <w:r>
        <w:rPr>
          <w:color w:val="231F20"/>
          <w:w w:val="105"/>
        </w:rPr>
        <w:t>del</w:t>
      </w:r>
      <w:r>
        <w:rPr>
          <w:color w:val="231F20"/>
          <w:spacing w:val="-22"/>
          <w:w w:val="105"/>
        </w:rPr>
        <w:t> </w:t>
      </w:r>
      <w:r>
        <w:rPr>
          <w:color w:val="231F20"/>
          <w:spacing w:val="-3"/>
          <w:w w:val="105"/>
        </w:rPr>
        <w:t>coyote</w:t>
      </w:r>
      <w:r>
        <w:rPr>
          <w:color w:val="231F20"/>
          <w:spacing w:val="-22"/>
          <w:w w:val="105"/>
        </w:rPr>
        <w:t> </w:t>
      </w:r>
      <w:r>
        <w:rPr>
          <w:color w:val="231F20"/>
          <w:spacing w:val="-4"/>
          <w:w w:val="105"/>
        </w:rPr>
        <w:t>contratado</w:t>
      </w:r>
      <w:r>
        <w:rPr>
          <w:color w:val="231F20"/>
          <w:spacing w:val="-22"/>
          <w:w w:val="105"/>
        </w:rPr>
        <w:t> </w:t>
      </w:r>
      <w:r>
        <w:rPr>
          <w:color w:val="231F20"/>
          <w:spacing w:val="-4"/>
          <w:w w:val="105"/>
        </w:rPr>
        <w:t>(véase </w:t>
      </w:r>
      <w:r>
        <w:rPr>
          <w:color w:val="231F20"/>
          <w:w w:val="105"/>
        </w:rPr>
        <w:t>cuadro</w:t>
      </w:r>
      <w:r>
        <w:rPr>
          <w:color w:val="231F20"/>
          <w:spacing w:val="-15"/>
          <w:w w:val="105"/>
        </w:rPr>
        <w:t> </w:t>
      </w:r>
      <w:r>
        <w:rPr>
          <w:color w:val="231F20"/>
          <w:w w:val="105"/>
        </w:rPr>
        <w:t>2).</w:t>
      </w:r>
      <w:r>
        <w:rPr>
          <w:color w:val="231F20"/>
          <w:spacing w:val="-22"/>
          <w:w w:val="105"/>
        </w:rPr>
        <w:t> </w:t>
      </w:r>
      <w:r>
        <w:rPr>
          <w:color w:val="231F20"/>
          <w:w w:val="105"/>
        </w:rPr>
        <w:t>Entre</w:t>
      </w:r>
      <w:r>
        <w:rPr>
          <w:color w:val="231F20"/>
          <w:spacing w:val="-15"/>
          <w:w w:val="105"/>
        </w:rPr>
        <w:t> </w:t>
      </w:r>
      <w:r>
        <w:rPr>
          <w:color w:val="231F20"/>
          <w:w w:val="105"/>
        </w:rPr>
        <w:t>otros</w:t>
      </w:r>
      <w:r>
        <w:rPr>
          <w:color w:val="231F20"/>
          <w:spacing w:val="-15"/>
          <w:w w:val="105"/>
        </w:rPr>
        <w:t> </w:t>
      </w:r>
      <w:r>
        <w:rPr>
          <w:color w:val="231F20"/>
          <w:w w:val="105"/>
        </w:rPr>
        <w:t>motivos</w:t>
      </w:r>
      <w:r>
        <w:rPr>
          <w:color w:val="231F20"/>
          <w:spacing w:val="-15"/>
          <w:w w:val="105"/>
        </w:rPr>
        <w:t> </w:t>
      </w:r>
      <w:r>
        <w:rPr>
          <w:color w:val="231F20"/>
          <w:w w:val="105"/>
        </w:rPr>
        <w:t>observamos</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concepto</w:t>
      </w:r>
      <w:r>
        <w:rPr>
          <w:color w:val="231F20"/>
          <w:spacing w:val="-15"/>
          <w:w w:val="105"/>
        </w:rPr>
        <w:t> </w:t>
      </w:r>
      <w:r>
        <w:rPr>
          <w:color w:val="231F20"/>
          <w:w w:val="105"/>
        </w:rPr>
        <w:t>de</w:t>
      </w:r>
      <w:r>
        <w:rPr>
          <w:color w:val="231F20"/>
          <w:spacing w:val="-15"/>
          <w:w w:val="105"/>
        </w:rPr>
        <w:t> </w:t>
      </w:r>
      <w:r>
        <w:rPr>
          <w:color w:val="231F20"/>
          <w:w w:val="105"/>
        </w:rPr>
        <w:t>apoyo</w:t>
      </w:r>
      <w:r>
        <w:rPr>
          <w:color w:val="231F20"/>
          <w:spacing w:val="-15"/>
          <w:w w:val="105"/>
        </w:rPr>
        <w:t> </w:t>
      </w:r>
      <w:r>
        <w:rPr>
          <w:color w:val="231F20"/>
          <w:w w:val="105"/>
        </w:rPr>
        <w:t>de familiares</w:t>
      </w:r>
      <w:r>
        <w:rPr>
          <w:color w:val="231F20"/>
          <w:spacing w:val="-21"/>
          <w:w w:val="105"/>
        </w:rPr>
        <w:t> </w:t>
      </w:r>
      <w:r>
        <w:rPr>
          <w:color w:val="231F20"/>
          <w:w w:val="105"/>
        </w:rPr>
        <w:t>y</w:t>
      </w:r>
      <w:r>
        <w:rPr>
          <w:color w:val="231F20"/>
          <w:spacing w:val="-21"/>
          <w:w w:val="105"/>
        </w:rPr>
        <w:t> </w:t>
      </w:r>
      <w:r>
        <w:rPr>
          <w:color w:val="231F20"/>
          <w:w w:val="105"/>
        </w:rPr>
        <w:t>amigos</w:t>
      </w:r>
      <w:r>
        <w:rPr>
          <w:color w:val="231F20"/>
          <w:spacing w:val="-21"/>
          <w:w w:val="105"/>
        </w:rPr>
        <w:t> </w:t>
      </w:r>
      <w:r>
        <w:rPr>
          <w:color w:val="231F20"/>
          <w:w w:val="105"/>
        </w:rPr>
        <w:t>registró</w:t>
      </w:r>
      <w:r>
        <w:rPr>
          <w:color w:val="231F20"/>
          <w:spacing w:val="-21"/>
          <w:w w:val="105"/>
        </w:rPr>
        <w:t> </w:t>
      </w:r>
      <w:r>
        <w:rPr>
          <w:color w:val="231F20"/>
          <w:w w:val="105"/>
        </w:rPr>
        <w:t>una</w:t>
      </w:r>
      <w:r>
        <w:rPr>
          <w:color w:val="231F20"/>
          <w:spacing w:val="-21"/>
          <w:w w:val="105"/>
        </w:rPr>
        <w:t> </w:t>
      </w:r>
      <w:r>
        <w:rPr>
          <w:color w:val="231F20"/>
          <w:w w:val="105"/>
        </w:rPr>
        <w:t>proporción</w:t>
      </w:r>
      <w:r>
        <w:rPr>
          <w:color w:val="231F20"/>
          <w:spacing w:val="-21"/>
          <w:w w:val="105"/>
        </w:rPr>
        <w:t> </w:t>
      </w:r>
      <w:r>
        <w:rPr>
          <w:color w:val="231F20"/>
          <w:w w:val="105"/>
        </w:rPr>
        <w:t>muy</w:t>
      </w:r>
      <w:r>
        <w:rPr>
          <w:color w:val="231F20"/>
          <w:spacing w:val="-21"/>
          <w:w w:val="105"/>
        </w:rPr>
        <w:t> </w:t>
      </w:r>
      <w:r>
        <w:rPr>
          <w:color w:val="231F20"/>
          <w:w w:val="105"/>
        </w:rPr>
        <w:t>baja,</w:t>
      </w:r>
      <w:r>
        <w:rPr>
          <w:color w:val="231F20"/>
          <w:spacing w:val="-27"/>
          <w:w w:val="105"/>
        </w:rPr>
        <w:t> </w:t>
      </w:r>
      <w:r>
        <w:rPr>
          <w:color w:val="231F20"/>
          <w:w w:val="105"/>
        </w:rPr>
        <w:t>particularmente</w:t>
      </w:r>
      <w:r>
        <w:rPr>
          <w:color w:val="231F20"/>
          <w:spacing w:val="-21"/>
          <w:w w:val="105"/>
        </w:rPr>
        <w:t> </w:t>
      </w:r>
      <w:r>
        <w:rPr>
          <w:color w:val="231F20"/>
          <w:w w:val="105"/>
        </w:rPr>
        <w:t>en los</w:t>
      </w:r>
      <w:r>
        <w:rPr>
          <w:color w:val="231F20"/>
          <w:spacing w:val="-16"/>
          <w:w w:val="105"/>
        </w:rPr>
        <w:t> </w:t>
      </w:r>
      <w:r>
        <w:rPr>
          <w:color w:val="231F20"/>
          <w:w w:val="105"/>
        </w:rPr>
        <w:t>dos</w:t>
      </w:r>
      <w:r>
        <w:rPr>
          <w:color w:val="231F20"/>
          <w:spacing w:val="-16"/>
          <w:w w:val="105"/>
        </w:rPr>
        <w:t> </w:t>
      </w:r>
      <w:r>
        <w:rPr>
          <w:color w:val="231F20"/>
          <w:w w:val="105"/>
        </w:rPr>
        <w:t>primeros</w:t>
      </w:r>
      <w:r>
        <w:rPr>
          <w:color w:val="231F20"/>
          <w:spacing w:val="-16"/>
          <w:w w:val="105"/>
        </w:rPr>
        <w:t> </w:t>
      </w:r>
      <w:r>
        <w:rPr>
          <w:color w:val="231F20"/>
          <w:w w:val="105"/>
        </w:rPr>
        <w:t>años</w:t>
      </w:r>
      <w:r>
        <w:rPr>
          <w:color w:val="231F20"/>
          <w:spacing w:val="-16"/>
          <w:w w:val="105"/>
        </w:rPr>
        <w:t> </w:t>
      </w:r>
      <w:r>
        <w:rPr>
          <w:color w:val="231F20"/>
          <w:w w:val="105"/>
        </w:rPr>
        <w:t>de</w:t>
      </w:r>
      <w:r>
        <w:rPr>
          <w:color w:val="231F20"/>
          <w:spacing w:val="-16"/>
          <w:w w:val="105"/>
        </w:rPr>
        <w:t> </w:t>
      </w:r>
      <w:r>
        <w:rPr>
          <w:color w:val="231F20"/>
          <w:w w:val="105"/>
        </w:rPr>
        <w:t>observación.</w:t>
      </w:r>
    </w:p>
    <w:p>
      <w:pPr>
        <w:pStyle w:val="BodyText"/>
        <w:spacing w:line="261" w:lineRule="auto" w:before="1"/>
        <w:ind w:left="1837" w:right="1486" w:firstLine="567"/>
      </w:pPr>
      <w:r>
        <w:rPr/>
        <w:pict>
          <v:line style="position:absolute;mso-position-horizontal-relative:page;mso-position-vertical-relative:paragraph;z-index:-473104" from="15pt,97.111885pt" to="0pt,97.111885pt" stroked="true" strokeweight=".25pt" strokecolor="#000000">
            <w10:wrap type="none"/>
          </v:line>
        </w:pict>
      </w:r>
      <w:r>
        <w:rPr/>
        <w:pict>
          <v:line style="position:absolute;mso-position-horizontal-relative:page;mso-position-vertical-relative:paragraph;z-index:17104" from="508.890015pt,97.111885pt" to="523.890015pt,97.111885pt" stroked="true" strokeweight=".25pt" strokecolor="#000000">
            <w10:wrap type="none"/>
          </v:line>
        </w:pict>
      </w:r>
      <w:r>
        <w:rPr>
          <w:color w:val="231F20"/>
          <w:w w:val="105"/>
        </w:rPr>
        <w:t>Esto último, según los resultados de la </w:t>
      </w:r>
      <w:r>
        <w:rPr>
          <w:color w:val="231F20"/>
          <w:w w:val="105"/>
          <w:sz w:val="17"/>
        </w:rPr>
        <w:t>EMIF</w:t>
      </w:r>
      <w:r>
        <w:rPr>
          <w:color w:val="231F20"/>
          <w:w w:val="105"/>
        </w:rPr>
        <w:t>-Norte, tiene que ver con que el porcentaje de mexiquenses que cuentan con amigos o fami-</w:t>
      </w:r>
    </w:p>
    <w:p>
      <w:pPr>
        <w:spacing w:after="0" w:line="261" w:lineRule="auto"/>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17632" from="15pt,-71.68644pt" to="0pt,-71.68644pt" stroked="true" strokeweight=".25pt" strokecolor="#000000">
            <w10:wrap type="none"/>
          </v:line>
        </w:pict>
      </w:r>
      <w:r>
        <w:rPr/>
        <w:pict>
          <v:line style="position:absolute;mso-position-horizontal-relative:page;mso-position-vertical-relative:paragraph;z-index:17656" from="508.890015pt,-71.68644pt" to="523.890015pt,-71.68644pt" stroked="true" strokeweight=".25pt" strokecolor="#000000">
            <w10:wrap type="none"/>
          </v:line>
        </w:pict>
      </w:r>
      <w:r>
        <w:rPr>
          <w:color w:val="231F20"/>
          <w:w w:val="105"/>
        </w:rPr>
        <w:t>liares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ciudad</w:t>
      </w:r>
      <w:r>
        <w:rPr>
          <w:color w:val="231F20"/>
          <w:spacing w:val="-20"/>
          <w:w w:val="105"/>
        </w:rPr>
        <w:t> </w:t>
      </w:r>
      <w:r>
        <w:rPr>
          <w:color w:val="231F20"/>
          <w:w w:val="105"/>
        </w:rPr>
        <w:t>fronteriza</w:t>
      </w:r>
      <w:r>
        <w:rPr>
          <w:color w:val="231F20"/>
          <w:spacing w:val="-20"/>
          <w:w w:val="105"/>
        </w:rPr>
        <w:t> </w:t>
      </w:r>
      <w:r>
        <w:rPr>
          <w:color w:val="231F20"/>
          <w:w w:val="105"/>
        </w:rPr>
        <w:t>por</w:t>
      </w:r>
      <w:r>
        <w:rPr>
          <w:color w:val="231F20"/>
          <w:spacing w:val="-20"/>
          <w:w w:val="105"/>
        </w:rPr>
        <w:t> </w:t>
      </w:r>
      <w:r>
        <w:rPr>
          <w:color w:val="231F20"/>
          <w:w w:val="105"/>
        </w:rPr>
        <w:t>la</w:t>
      </w:r>
      <w:r>
        <w:rPr>
          <w:color w:val="231F20"/>
          <w:spacing w:val="-20"/>
          <w:w w:val="105"/>
        </w:rPr>
        <w:t> </w:t>
      </w:r>
      <w:r>
        <w:rPr>
          <w:color w:val="231F20"/>
          <w:w w:val="105"/>
        </w:rPr>
        <w:t>que</w:t>
      </w:r>
      <w:r>
        <w:rPr>
          <w:color w:val="231F20"/>
          <w:spacing w:val="-20"/>
          <w:w w:val="105"/>
        </w:rPr>
        <w:t> </w:t>
      </w:r>
      <w:r>
        <w:rPr>
          <w:color w:val="231F20"/>
          <w:w w:val="105"/>
        </w:rPr>
        <w:t>cruzaron</w:t>
      </w:r>
      <w:r>
        <w:rPr>
          <w:color w:val="231F20"/>
          <w:spacing w:val="-20"/>
          <w:w w:val="105"/>
        </w:rPr>
        <w:t> </w:t>
      </w:r>
      <w:r>
        <w:rPr>
          <w:color w:val="231F20"/>
          <w:w w:val="105"/>
        </w:rPr>
        <w:t>es</w:t>
      </w:r>
      <w:r>
        <w:rPr>
          <w:color w:val="231F20"/>
          <w:spacing w:val="-20"/>
          <w:w w:val="105"/>
        </w:rPr>
        <w:t> </w:t>
      </w:r>
      <w:r>
        <w:rPr>
          <w:color w:val="231F20"/>
          <w:w w:val="105"/>
        </w:rPr>
        <w:t>muy</w:t>
      </w:r>
      <w:r>
        <w:rPr>
          <w:color w:val="231F20"/>
          <w:spacing w:val="-20"/>
          <w:w w:val="105"/>
        </w:rPr>
        <w:t> </w:t>
      </w:r>
      <w:r>
        <w:rPr>
          <w:color w:val="231F20"/>
          <w:w w:val="105"/>
        </w:rPr>
        <w:t>baja,</w:t>
      </w:r>
      <w:r>
        <w:rPr>
          <w:color w:val="231F20"/>
          <w:spacing w:val="-25"/>
          <w:w w:val="105"/>
        </w:rPr>
        <w:t> </w:t>
      </w:r>
      <w:r>
        <w:rPr>
          <w:color w:val="231F20"/>
          <w:w w:val="105"/>
        </w:rPr>
        <w:t>con</w:t>
      </w:r>
      <w:r>
        <w:rPr>
          <w:color w:val="231F20"/>
          <w:spacing w:val="-20"/>
          <w:w w:val="105"/>
        </w:rPr>
        <w:t> </w:t>
      </w:r>
      <w:r>
        <w:rPr>
          <w:color w:val="231F20"/>
          <w:w w:val="105"/>
        </w:rPr>
        <w:t>alrede- dor</w:t>
      </w:r>
      <w:r>
        <w:rPr>
          <w:color w:val="231F20"/>
          <w:spacing w:val="-20"/>
          <w:w w:val="105"/>
        </w:rPr>
        <w:t> </w:t>
      </w:r>
      <w:r>
        <w:rPr>
          <w:color w:val="231F20"/>
          <w:w w:val="105"/>
        </w:rPr>
        <w:t>de</w:t>
      </w:r>
      <w:r>
        <w:rPr>
          <w:color w:val="231F20"/>
          <w:spacing w:val="-20"/>
          <w:w w:val="105"/>
        </w:rPr>
        <w:t> </w:t>
      </w:r>
      <w:r>
        <w:rPr>
          <w:color w:val="231F20"/>
          <w:w w:val="105"/>
        </w:rPr>
        <w:t>5%</w:t>
      </w:r>
      <w:r>
        <w:rPr>
          <w:color w:val="231F20"/>
          <w:spacing w:val="-20"/>
          <w:w w:val="105"/>
        </w:rPr>
        <w:t> </w:t>
      </w:r>
      <w:r>
        <w:rPr>
          <w:color w:val="231F20"/>
          <w:w w:val="105"/>
        </w:rPr>
        <w:t>en</w:t>
      </w:r>
      <w:r>
        <w:rPr>
          <w:color w:val="231F20"/>
          <w:spacing w:val="-20"/>
          <w:w w:val="105"/>
        </w:rPr>
        <w:t> </w:t>
      </w:r>
      <w:r>
        <w:rPr>
          <w:color w:val="231F20"/>
          <w:w w:val="105"/>
        </w:rPr>
        <w:t>cada</w:t>
      </w:r>
      <w:r>
        <w:rPr>
          <w:color w:val="231F20"/>
          <w:spacing w:val="-20"/>
          <w:w w:val="105"/>
        </w:rPr>
        <w:t> </w:t>
      </w:r>
      <w:r>
        <w:rPr>
          <w:color w:val="231F20"/>
          <w:w w:val="105"/>
        </w:rPr>
        <w:t>año.</w:t>
      </w:r>
      <w:r>
        <w:rPr>
          <w:color w:val="231F20"/>
          <w:spacing w:val="-25"/>
          <w:w w:val="105"/>
        </w:rPr>
        <w:t> </w:t>
      </w:r>
      <w:r>
        <w:rPr>
          <w:color w:val="231F20"/>
          <w:w w:val="105"/>
        </w:rPr>
        <w:t>En</w:t>
      </w:r>
      <w:r>
        <w:rPr>
          <w:color w:val="231F20"/>
          <w:spacing w:val="-20"/>
          <w:w w:val="105"/>
        </w:rPr>
        <w:t> </w:t>
      </w:r>
      <w:r>
        <w:rPr>
          <w:color w:val="231F20"/>
          <w:w w:val="105"/>
        </w:rPr>
        <w:t>tal</w:t>
      </w:r>
      <w:r>
        <w:rPr>
          <w:color w:val="231F20"/>
          <w:spacing w:val="-20"/>
          <w:w w:val="105"/>
        </w:rPr>
        <w:t> </w:t>
      </w:r>
      <w:r>
        <w:rPr>
          <w:color w:val="231F20"/>
          <w:w w:val="105"/>
        </w:rPr>
        <w:t>sentido,</w:t>
      </w:r>
      <w:r>
        <w:rPr>
          <w:color w:val="231F20"/>
          <w:spacing w:val="-25"/>
          <w:w w:val="105"/>
        </w:rPr>
        <w:t> </w:t>
      </w:r>
      <w:r>
        <w:rPr>
          <w:color w:val="231F20"/>
          <w:w w:val="105"/>
        </w:rPr>
        <w:t>se</w:t>
      </w:r>
      <w:r>
        <w:rPr>
          <w:color w:val="231F20"/>
          <w:spacing w:val="-20"/>
          <w:w w:val="105"/>
        </w:rPr>
        <w:t> </w:t>
      </w:r>
      <w:r>
        <w:rPr>
          <w:color w:val="231F20"/>
          <w:w w:val="105"/>
        </w:rPr>
        <w:t>asume</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w w:val="105"/>
        </w:rPr>
        <w:t>elección</w:t>
      </w:r>
      <w:r>
        <w:rPr>
          <w:color w:val="231F20"/>
          <w:spacing w:val="-20"/>
          <w:w w:val="105"/>
        </w:rPr>
        <w:t> </w:t>
      </w:r>
      <w:r>
        <w:rPr>
          <w:color w:val="231F20"/>
          <w:w w:val="105"/>
        </w:rPr>
        <w:t>de</w:t>
      </w:r>
      <w:r>
        <w:rPr>
          <w:color w:val="231F20"/>
          <w:spacing w:val="-20"/>
          <w:w w:val="105"/>
        </w:rPr>
        <w:t> </w:t>
      </w:r>
      <w:r>
        <w:rPr>
          <w:color w:val="231F20"/>
          <w:w w:val="105"/>
        </w:rPr>
        <w:t>estas ciudades no muestra una relación directa con la existencia de redes</w:t>
      </w:r>
      <w:r>
        <w:rPr>
          <w:color w:val="231F20"/>
          <w:spacing w:val="-16"/>
          <w:w w:val="105"/>
        </w:rPr>
        <w:t> </w:t>
      </w:r>
      <w:r>
        <w:rPr>
          <w:color w:val="231F20"/>
          <w:w w:val="105"/>
        </w:rPr>
        <w:t>de apoyo,</w:t>
      </w:r>
      <w:r>
        <w:rPr>
          <w:color w:val="231F20"/>
          <w:spacing w:val="-17"/>
          <w:w w:val="105"/>
        </w:rPr>
        <w:t> </w:t>
      </w:r>
      <w:r>
        <w:rPr>
          <w:color w:val="231F20"/>
          <w:w w:val="105"/>
        </w:rPr>
        <w:t>como</w:t>
      </w:r>
      <w:r>
        <w:rPr>
          <w:color w:val="231F20"/>
          <w:spacing w:val="-12"/>
          <w:w w:val="105"/>
        </w:rPr>
        <w:t> </w:t>
      </w:r>
      <w:r>
        <w:rPr>
          <w:color w:val="231F20"/>
          <w:w w:val="105"/>
        </w:rPr>
        <w:t>generalmente</w:t>
      </w:r>
      <w:r>
        <w:rPr>
          <w:color w:val="231F20"/>
          <w:spacing w:val="-12"/>
          <w:w w:val="105"/>
        </w:rPr>
        <w:t> </w:t>
      </w:r>
      <w:r>
        <w:rPr>
          <w:color w:val="231F20"/>
          <w:w w:val="105"/>
        </w:rPr>
        <w:t>ocurre</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caso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lugares</w:t>
      </w:r>
      <w:r>
        <w:rPr>
          <w:color w:val="231F20"/>
          <w:spacing w:val="-12"/>
          <w:w w:val="105"/>
        </w:rPr>
        <w:t> </w:t>
      </w:r>
      <w:r>
        <w:rPr>
          <w:color w:val="231F20"/>
          <w:w w:val="105"/>
        </w:rPr>
        <w:t>de</w:t>
      </w:r>
      <w:r>
        <w:rPr>
          <w:color w:val="231F20"/>
          <w:spacing w:val="-12"/>
          <w:w w:val="105"/>
        </w:rPr>
        <w:t> </w:t>
      </w:r>
      <w:r>
        <w:rPr>
          <w:color w:val="231F20"/>
          <w:w w:val="105"/>
        </w:rPr>
        <w:t>destino.</w:t>
      </w:r>
    </w:p>
    <w:p>
      <w:pPr>
        <w:pStyle w:val="BodyText"/>
        <w:spacing w:before="4"/>
      </w:pPr>
    </w:p>
    <w:p>
      <w:pPr>
        <w:spacing w:line="249" w:lineRule="auto" w:before="0"/>
        <w:ind w:left="3377" w:right="3265" w:hanging="143"/>
        <w:jc w:val="left"/>
        <w:rPr>
          <w:rFonts w:ascii="Arial" w:hAnsi="Arial"/>
          <w:sz w:val="18"/>
        </w:rPr>
      </w:pPr>
      <w:r>
        <w:rPr>
          <w:rFonts w:ascii="Arial" w:hAnsi="Arial"/>
          <w:color w:val="231F20"/>
          <w:w w:val="105"/>
          <w:sz w:val="18"/>
        </w:rPr>
        <w:t>Cuadro 2. Motivos relacionados con la elección de la ciudad fronteriza de cruce, 2007-2012</w:t>
      </w:r>
    </w:p>
    <w:p>
      <w:pPr>
        <w:pStyle w:val="BodyText"/>
        <w:spacing w:before="9"/>
        <w:rPr>
          <w:rFonts w:ascii="Arial"/>
          <w:sz w:val="12"/>
        </w:rPr>
      </w:pPr>
    </w:p>
    <w:tbl>
      <w:tblPr>
        <w:tblW w:w="0" w:type="auto"/>
        <w:jc w:val="left"/>
        <w:tblInd w:w="223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829"/>
        <w:gridCol w:w="1020"/>
        <w:gridCol w:w="1020"/>
        <w:gridCol w:w="1020"/>
      </w:tblGrid>
      <w:tr>
        <w:trPr>
          <w:trHeight w:val="340" w:hRule="exact"/>
        </w:trPr>
        <w:tc>
          <w:tcPr>
            <w:tcW w:w="2829" w:type="dxa"/>
            <w:vMerge w:val="restart"/>
          </w:tcPr>
          <w:p>
            <w:pPr>
              <w:pStyle w:val="TableParagraph"/>
              <w:spacing w:before="5"/>
              <w:rPr>
                <w:rFonts w:ascii="Arial"/>
                <w:sz w:val="22"/>
              </w:rPr>
            </w:pPr>
          </w:p>
          <w:p>
            <w:pPr>
              <w:pStyle w:val="TableParagraph"/>
              <w:spacing w:before="0"/>
              <w:ind w:left="1100" w:right="1100"/>
              <w:jc w:val="center"/>
              <w:rPr>
                <w:rFonts w:ascii="Arial"/>
                <w:sz w:val="18"/>
              </w:rPr>
            </w:pPr>
            <w:r>
              <w:rPr>
                <w:rFonts w:ascii="Arial"/>
                <w:color w:val="231F20"/>
                <w:w w:val="110"/>
                <w:sz w:val="18"/>
              </w:rPr>
              <w:t>Motivo</w:t>
            </w:r>
          </w:p>
        </w:tc>
        <w:tc>
          <w:tcPr>
            <w:tcW w:w="3061" w:type="dxa"/>
            <w:gridSpan w:val="3"/>
          </w:tcPr>
          <w:p>
            <w:pPr>
              <w:pStyle w:val="TableParagraph"/>
              <w:spacing w:before="88"/>
              <w:ind w:left="1340" w:right="1340"/>
              <w:jc w:val="center"/>
              <w:rPr>
                <w:rFonts w:ascii="Arial" w:hAnsi="Arial"/>
                <w:sz w:val="18"/>
              </w:rPr>
            </w:pPr>
            <w:r>
              <w:rPr>
                <w:rFonts w:ascii="Arial" w:hAnsi="Arial"/>
                <w:color w:val="231F20"/>
                <w:w w:val="105"/>
                <w:sz w:val="18"/>
              </w:rPr>
              <w:t>Año</w:t>
            </w:r>
          </w:p>
        </w:tc>
      </w:tr>
      <w:tr>
        <w:trPr>
          <w:trHeight w:val="340" w:hRule="exact"/>
        </w:trPr>
        <w:tc>
          <w:tcPr>
            <w:tcW w:w="2829" w:type="dxa"/>
            <w:vMerge/>
          </w:tcPr>
          <w:p>
            <w:pPr/>
          </w:p>
        </w:tc>
        <w:tc>
          <w:tcPr>
            <w:tcW w:w="1020" w:type="dxa"/>
          </w:tcPr>
          <w:p>
            <w:pPr>
              <w:pStyle w:val="TableParagraph"/>
              <w:spacing w:before="88"/>
              <w:ind w:left="295" w:right="184"/>
              <w:rPr>
                <w:rFonts w:ascii="Arial"/>
                <w:sz w:val="18"/>
              </w:rPr>
            </w:pPr>
            <w:r>
              <w:rPr>
                <w:rFonts w:ascii="Arial"/>
                <w:color w:val="231F20"/>
                <w:w w:val="105"/>
                <w:sz w:val="18"/>
              </w:rPr>
              <w:t>2007</w:t>
            </w:r>
          </w:p>
        </w:tc>
        <w:tc>
          <w:tcPr>
            <w:tcW w:w="1020" w:type="dxa"/>
          </w:tcPr>
          <w:p>
            <w:pPr>
              <w:pStyle w:val="TableParagraph"/>
              <w:spacing w:before="88"/>
              <w:ind w:right="293"/>
              <w:jc w:val="right"/>
              <w:rPr>
                <w:rFonts w:ascii="Arial"/>
                <w:sz w:val="18"/>
              </w:rPr>
            </w:pPr>
            <w:r>
              <w:rPr>
                <w:rFonts w:ascii="Arial"/>
                <w:color w:val="231F20"/>
                <w:w w:val="105"/>
                <w:sz w:val="18"/>
              </w:rPr>
              <w:t>2009</w:t>
            </w:r>
          </w:p>
        </w:tc>
        <w:tc>
          <w:tcPr>
            <w:tcW w:w="1020" w:type="dxa"/>
          </w:tcPr>
          <w:p>
            <w:pPr>
              <w:pStyle w:val="TableParagraph"/>
              <w:spacing w:before="88"/>
              <w:ind w:left="294" w:right="184"/>
              <w:rPr>
                <w:rFonts w:ascii="Arial"/>
                <w:sz w:val="18"/>
              </w:rPr>
            </w:pPr>
            <w:r>
              <w:rPr>
                <w:rFonts w:ascii="Arial"/>
                <w:color w:val="231F20"/>
                <w:w w:val="105"/>
                <w:sz w:val="18"/>
              </w:rPr>
              <w:t>2012</w:t>
            </w:r>
          </w:p>
        </w:tc>
      </w:tr>
      <w:tr>
        <w:trPr>
          <w:trHeight w:val="340" w:hRule="exact"/>
        </w:trPr>
        <w:tc>
          <w:tcPr>
            <w:tcW w:w="2829" w:type="dxa"/>
          </w:tcPr>
          <w:p>
            <w:pPr>
              <w:pStyle w:val="TableParagraph"/>
              <w:ind w:left="77"/>
              <w:rPr>
                <w:sz w:val="18"/>
              </w:rPr>
            </w:pPr>
            <w:r>
              <w:rPr>
                <w:color w:val="231F20"/>
                <w:w w:val="105"/>
                <w:sz w:val="18"/>
              </w:rPr>
              <w:t>Facilidad de cruce</w:t>
            </w:r>
          </w:p>
        </w:tc>
        <w:tc>
          <w:tcPr>
            <w:tcW w:w="1020" w:type="dxa"/>
          </w:tcPr>
          <w:p>
            <w:pPr>
              <w:pStyle w:val="TableParagraph"/>
              <w:ind w:right="223"/>
              <w:jc w:val="right"/>
              <w:rPr>
                <w:sz w:val="18"/>
              </w:rPr>
            </w:pPr>
            <w:r>
              <w:rPr>
                <w:color w:val="231F20"/>
                <w:sz w:val="18"/>
              </w:rPr>
              <w:t>66.2</w:t>
            </w:r>
          </w:p>
        </w:tc>
        <w:tc>
          <w:tcPr>
            <w:tcW w:w="1020" w:type="dxa"/>
          </w:tcPr>
          <w:p>
            <w:pPr>
              <w:pStyle w:val="TableParagraph"/>
              <w:ind w:right="223"/>
              <w:jc w:val="right"/>
              <w:rPr>
                <w:sz w:val="18"/>
              </w:rPr>
            </w:pPr>
            <w:r>
              <w:rPr>
                <w:color w:val="231F20"/>
                <w:sz w:val="18"/>
              </w:rPr>
              <w:t>52.9</w:t>
            </w:r>
          </w:p>
        </w:tc>
        <w:tc>
          <w:tcPr>
            <w:tcW w:w="1020" w:type="dxa"/>
          </w:tcPr>
          <w:p>
            <w:pPr>
              <w:pStyle w:val="TableParagraph"/>
              <w:ind w:right="223"/>
              <w:jc w:val="right"/>
              <w:rPr>
                <w:sz w:val="18"/>
              </w:rPr>
            </w:pPr>
            <w:r>
              <w:rPr>
                <w:color w:val="231F20"/>
                <w:sz w:val="18"/>
              </w:rPr>
              <w:t>51.1</w:t>
            </w:r>
          </w:p>
        </w:tc>
      </w:tr>
      <w:tr>
        <w:trPr>
          <w:trHeight w:val="340" w:hRule="exact"/>
        </w:trPr>
        <w:tc>
          <w:tcPr>
            <w:tcW w:w="2829" w:type="dxa"/>
          </w:tcPr>
          <w:p>
            <w:pPr>
              <w:pStyle w:val="TableParagraph"/>
              <w:ind w:left="77"/>
              <w:rPr>
                <w:sz w:val="18"/>
              </w:rPr>
            </w:pPr>
            <w:r>
              <w:rPr>
                <w:color w:val="231F20"/>
                <w:w w:val="105"/>
                <w:sz w:val="18"/>
              </w:rPr>
              <w:t>Cercanía al lugar de destino</w:t>
            </w:r>
          </w:p>
        </w:tc>
        <w:tc>
          <w:tcPr>
            <w:tcW w:w="1020" w:type="dxa"/>
          </w:tcPr>
          <w:p>
            <w:pPr>
              <w:pStyle w:val="TableParagraph"/>
              <w:ind w:right="223"/>
              <w:jc w:val="right"/>
              <w:rPr>
                <w:sz w:val="18"/>
              </w:rPr>
            </w:pPr>
            <w:r>
              <w:rPr>
                <w:color w:val="231F20"/>
                <w:sz w:val="18"/>
              </w:rPr>
              <w:t>17.0</w:t>
            </w:r>
          </w:p>
        </w:tc>
        <w:tc>
          <w:tcPr>
            <w:tcW w:w="1020" w:type="dxa"/>
          </w:tcPr>
          <w:p>
            <w:pPr>
              <w:pStyle w:val="TableParagraph"/>
              <w:ind w:right="223"/>
              <w:jc w:val="right"/>
              <w:rPr>
                <w:sz w:val="18"/>
              </w:rPr>
            </w:pPr>
            <w:r>
              <w:rPr>
                <w:color w:val="231F20"/>
                <w:sz w:val="18"/>
              </w:rPr>
              <w:t>20.4</w:t>
            </w:r>
          </w:p>
        </w:tc>
        <w:tc>
          <w:tcPr>
            <w:tcW w:w="1020" w:type="dxa"/>
          </w:tcPr>
          <w:p>
            <w:pPr>
              <w:pStyle w:val="TableParagraph"/>
              <w:ind w:right="223"/>
              <w:jc w:val="right"/>
              <w:rPr>
                <w:sz w:val="18"/>
              </w:rPr>
            </w:pPr>
            <w:r>
              <w:rPr>
                <w:color w:val="231F20"/>
                <w:sz w:val="18"/>
              </w:rPr>
              <w:t>7.4</w:t>
            </w:r>
          </w:p>
        </w:tc>
      </w:tr>
      <w:tr>
        <w:trPr>
          <w:trHeight w:val="340" w:hRule="exact"/>
        </w:trPr>
        <w:tc>
          <w:tcPr>
            <w:tcW w:w="2829" w:type="dxa"/>
          </w:tcPr>
          <w:p>
            <w:pPr>
              <w:pStyle w:val="TableParagraph"/>
              <w:ind w:left="77"/>
              <w:rPr>
                <w:sz w:val="18"/>
              </w:rPr>
            </w:pPr>
            <w:r>
              <w:rPr>
                <w:color w:val="231F20"/>
                <w:w w:val="105"/>
                <w:sz w:val="18"/>
              </w:rPr>
              <w:t>Cercanía al lugar de origen</w:t>
            </w:r>
          </w:p>
        </w:tc>
        <w:tc>
          <w:tcPr>
            <w:tcW w:w="1020" w:type="dxa"/>
          </w:tcPr>
          <w:p>
            <w:pPr>
              <w:pStyle w:val="TableParagraph"/>
              <w:ind w:right="223"/>
              <w:jc w:val="right"/>
              <w:rPr>
                <w:sz w:val="18"/>
              </w:rPr>
            </w:pPr>
            <w:r>
              <w:rPr>
                <w:color w:val="231F20"/>
                <w:sz w:val="18"/>
              </w:rPr>
              <w:t>3.5</w:t>
            </w:r>
          </w:p>
        </w:tc>
        <w:tc>
          <w:tcPr>
            <w:tcW w:w="1020" w:type="dxa"/>
          </w:tcPr>
          <w:p>
            <w:pPr>
              <w:pStyle w:val="TableParagraph"/>
              <w:ind w:right="223"/>
              <w:jc w:val="right"/>
              <w:rPr>
                <w:sz w:val="18"/>
              </w:rPr>
            </w:pPr>
            <w:r>
              <w:rPr>
                <w:color w:val="231F20"/>
                <w:sz w:val="18"/>
              </w:rPr>
              <w:t>1.2</w:t>
            </w:r>
          </w:p>
        </w:tc>
        <w:tc>
          <w:tcPr>
            <w:tcW w:w="1020" w:type="dxa"/>
          </w:tcPr>
          <w:p>
            <w:pPr>
              <w:pStyle w:val="TableParagraph"/>
              <w:ind w:right="223"/>
              <w:jc w:val="right"/>
              <w:rPr>
                <w:sz w:val="18"/>
              </w:rPr>
            </w:pPr>
            <w:r>
              <w:rPr>
                <w:color w:val="231F20"/>
                <w:sz w:val="18"/>
              </w:rPr>
              <w:t>1.8</w:t>
            </w:r>
          </w:p>
        </w:tc>
      </w:tr>
      <w:tr>
        <w:trPr>
          <w:trHeight w:val="340" w:hRule="exact"/>
        </w:trPr>
        <w:tc>
          <w:tcPr>
            <w:tcW w:w="2829" w:type="dxa"/>
          </w:tcPr>
          <w:p>
            <w:pPr>
              <w:pStyle w:val="TableParagraph"/>
              <w:ind w:left="76"/>
              <w:rPr>
                <w:sz w:val="18"/>
              </w:rPr>
            </w:pPr>
            <w:r>
              <w:rPr>
                <w:color w:val="231F20"/>
                <w:w w:val="105"/>
                <w:sz w:val="18"/>
              </w:rPr>
              <w:t>Decisión del guía o coyote</w:t>
            </w:r>
          </w:p>
        </w:tc>
        <w:tc>
          <w:tcPr>
            <w:tcW w:w="1020" w:type="dxa"/>
          </w:tcPr>
          <w:p>
            <w:pPr>
              <w:pStyle w:val="TableParagraph"/>
              <w:ind w:right="223"/>
              <w:jc w:val="right"/>
              <w:rPr>
                <w:sz w:val="18"/>
              </w:rPr>
            </w:pPr>
            <w:r>
              <w:rPr>
                <w:color w:val="231F20"/>
                <w:sz w:val="18"/>
              </w:rPr>
              <w:t>8.4</w:t>
            </w:r>
          </w:p>
        </w:tc>
        <w:tc>
          <w:tcPr>
            <w:tcW w:w="1020" w:type="dxa"/>
          </w:tcPr>
          <w:p>
            <w:pPr>
              <w:pStyle w:val="TableParagraph"/>
              <w:ind w:right="223"/>
              <w:jc w:val="right"/>
              <w:rPr>
                <w:sz w:val="18"/>
              </w:rPr>
            </w:pPr>
            <w:r>
              <w:rPr>
                <w:color w:val="231F20"/>
                <w:sz w:val="18"/>
              </w:rPr>
              <w:t>19.9</w:t>
            </w:r>
          </w:p>
        </w:tc>
        <w:tc>
          <w:tcPr>
            <w:tcW w:w="1020" w:type="dxa"/>
          </w:tcPr>
          <w:p>
            <w:pPr>
              <w:pStyle w:val="TableParagraph"/>
              <w:ind w:right="223"/>
              <w:jc w:val="right"/>
              <w:rPr>
                <w:sz w:val="18"/>
              </w:rPr>
            </w:pPr>
            <w:r>
              <w:rPr>
                <w:color w:val="231F20"/>
                <w:sz w:val="18"/>
              </w:rPr>
              <w:t>27.4</w:t>
            </w:r>
          </w:p>
        </w:tc>
      </w:tr>
      <w:tr>
        <w:trPr>
          <w:trHeight w:val="340" w:hRule="exact"/>
        </w:trPr>
        <w:tc>
          <w:tcPr>
            <w:tcW w:w="2829" w:type="dxa"/>
          </w:tcPr>
          <w:p>
            <w:pPr>
              <w:pStyle w:val="TableParagraph"/>
              <w:ind w:left="76"/>
              <w:rPr>
                <w:sz w:val="18"/>
              </w:rPr>
            </w:pPr>
            <w:r>
              <w:rPr>
                <w:color w:val="231F20"/>
                <w:w w:val="105"/>
                <w:sz w:val="18"/>
              </w:rPr>
              <w:t>Apoyo de familiares y amigos</w:t>
            </w:r>
          </w:p>
        </w:tc>
        <w:tc>
          <w:tcPr>
            <w:tcW w:w="1020" w:type="dxa"/>
          </w:tcPr>
          <w:p>
            <w:pPr>
              <w:pStyle w:val="TableParagraph"/>
              <w:ind w:right="224"/>
              <w:jc w:val="right"/>
              <w:rPr>
                <w:sz w:val="18"/>
              </w:rPr>
            </w:pPr>
            <w:r>
              <w:rPr>
                <w:color w:val="231F20"/>
                <w:sz w:val="18"/>
              </w:rPr>
              <w:t>1.6</w:t>
            </w:r>
          </w:p>
        </w:tc>
        <w:tc>
          <w:tcPr>
            <w:tcW w:w="1020" w:type="dxa"/>
          </w:tcPr>
          <w:p>
            <w:pPr>
              <w:pStyle w:val="TableParagraph"/>
              <w:ind w:right="224"/>
              <w:jc w:val="right"/>
              <w:rPr>
                <w:sz w:val="18"/>
              </w:rPr>
            </w:pPr>
            <w:r>
              <w:rPr>
                <w:color w:val="231F20"/>
                <w:sz w:val="18"/>
              </w:rPr>
              <w:t>2.5</w:t>
            </w:r>
          </w:p>
        </w:tc>
        <w:tc>
          <w:tcPr>
            <w:tcW w:w="1020" w:type="dxa"/>
          </w:tcPr>
          <w:p>
            <w:pPr>
              <w:pStyle w:val="TableParagraph"/>
              <w:ind w:right="224"/>
              <w:jc w:val="right"/>
              <w:rPr>
                <w:sz w:val="18"/>
              </w:rPr>
            </w:pPr>
            <w:r>
              <w:rPr>
                <w:color w:val="231F20"/>
                <w:sz w:val="18"/>
              </w:rPr>
              <w:t>10.8</w:t>
            </w:r>
          </w:p>
        </w:tc>
      </w:tr>
      <w:tr>
        <w:trPr>
          <w:trHeight w:val="340" w:hRule="exact"/>
        </w:trPr>
        <w:tc>
          <w:tcPr>
            <w:tcW w:w="2829" w:type="dxa"/>
          </w:tcPr>
          <w:p>
            <w:pPr>
              <w:pStyle w:val="TableParagraph"/>
              <w:ind w:left="76"/>
              <w:rPr>
                <w:sz w:val="18"/>
              </w:rPr>
            </w:pPr>
            <w:r>
              <w:rPr>
                <w:color w:val="231F20"/>
                <w:w w:val="110"/>
                <w:sz w:val="18"/>
              </w:rPr>
              <w:t>Otro</w:t>
            </w:r>
          </w:p>
        </w:tc>
        <w:tc>
          <w:tcPr>
            <w:tcW w:w="1020" w:type="dxa"/>
          </w:tcPr>
          <w:p>
            <w:pPr>
              <w:pStyle w:val="TableParagraph"/>
              <w:ind w:right="224"/>
              <w:jc w:val="right"/>
              <w:rPr>
                <w:sz w:val="18"/>
              </w:rPr>
            </w:pPr>
            <w:r>
              <w:rPr>
                <w:color w:val="231F20"/>
                <w:sz w:val="18"/>
              </w:rPr>
              <w:t>3.2</w:t>
            </w:r>
          </w:p>
        </w:tc>
        <w:tc>
          <w:tcPr>
            <w:tcW w:w="1020" w:type="dxa"/>
          </w:tcPr>
          <w:p>
            <w:pPr>
              <w:pStyle w:val="TableParagraph"/>
              <w:ind w:right="224"/>
              <w:jc w:val="right"/>
              <w:rPr>
                <w:sz w:val="18"/>
              </w:rPr>
            </w:pPr>
            <w:r>
              <w:rPr>
                <w:color w:val="231F20"/>
                <w:sz w:val="18"/>
              </w:rPr>
              <w:t>3.2</w:t>
            </w:r>
          </w:p>
        </w:tc>
        <w:tc>
          <w:tcPr>
            <w:tcW w:w="1020" w:type="dxa"/>
          </w:tcPr>
          <w:p>
            <w:pPr>
              <w:pStyle w:val="TableParagraph"/>
              <w:ind w:right="224"/>
              <w:jc w:val="right"/>
              <w:rPr>
                <w:sz w:val="18"/>
              </w:rPr>
            </w:pPr>
            <w:r>
              <w:rPr>
                <w:color w:val="231F20"/>
                <w:sz w:val="18"/>
              </w:rPr>
              <w:t>1.5</w:t>
            </w:r>
          </w:p>
        </w:tc>
      </w:tr>
      <w:tr>
        <w:trPr>
          <w:trHeight w:val="340" w:hRule="exact"/>
        </w:trPr>
        <w:tc>
          <w:tcPr>
            <w:tcW w:w="2829" w:type="dxa"/>
          </w:tcPr>
          <w:p>
            <w:pPr>
              <w:pStyle w:val="TableParagraph"/>
              <w:spacing w:before="92"/>
              <w:ind w:left="76"/>
              <w:rPr>
                <w:sz w:val="18"/>
              </w:rPr>
            </w:pPr>
            <w:r>
              <w:rPr>
                <w:color w:val="231F20"/>
                <w:w w:val="105"/>
                <w:sz w:val="18"/>
              </w:rPr>
              <w:t>N</w:t>
            </w:r>
          </w:p>
        </w:tc>
        <w:tc>
          <w:tcPr>
            <w:tcW w:w="1020" w:type="dxa"/>
          </w:tcPr>
          <w:p>
            <w:pPr>
              <w:pStyle w:val="TableParagraph"/>
              <w:spacing w:before="92"/>
              <w:ind w:right="224"/>
              <w:jc w:val="right"/>
              <w:rPr>
                <w:sz w:val="18"/>
              </w:rPr>
            </w:pPr>
            <w:r>
              <w:rPr>
                <w:color w:val="231F20"/>
                <w:sz w:val="18"/>
              </w:rPr>
              <w:t>23,964</w:t>
            </w:r>
          </w:p>
        </w:tc>
        <w:tc>
          <w:tcPr>
            <w:tcW w:w="1020" w:type="dxa"/>
          </w:tcPr>
          <w:p>
            <w:pPr>
              <w:pStyle w:val="TableParagraph"/>
              <w:spacing w:before="92"/>
              <w:ind w:right="224"/>
              <w:jc w:val="right"/>
              <w:rPr>
                <w:sz w:val="18"/>
              </w:rPr>
            </w:pPr>
            <w:r>
              <w:rPr>
                <w:color w:val="231F20"/>
                <w:sz w:val="18"/>
              </w:rPr>
              <w:t>25,000</w:t>
            </w:r>
          </w:p>
        </w:tc>
        <w:tc>
          <w:tcPr>
            <w:tcW w:w="1020" w:type="dxa"/>
          </w:tcPr>
          <w:p>
            <w:pPr>
              <w:pStyle w:val="TableParagraph"/>
              <w:spacing w:before="92"/>
              <w:ind w:right="224"/>
              <w:jc w:val="right"/>
              <w:rPr>
                <w:sz w:val="18"/>
              </w:rPr>
            </w:pPr>
            <w:r>
              <w:rPr>
                <w:color w:val="231F20"/>
                <w:sz w:val="18"/>
              </w:rPr>
              <w:t>20,210</w:t>
            </w:r>
          </w:p>
        </w:tc>
      </w:tr>
    </w:tbl>
    <w:p>
      <w:pPr>
        <w:spacing w:before="78"/>
        <w:ind w:left="2234" w:right="0" w:firstLine="0"/>
        <w:jc w:val="left"/>
        <w:rPr>
          <w:sz w:val="16"/>
        </w:rPr>
      </w:pPr>
      <w:r>
        <w:rPr>
          <w:color w:val="231F20"/>
          <w:w w:val="105"/>
          <w:sz w:val="16"/>
        </w:rPr>
        <w:t>Fuente: elaboración propia con base en la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723" w:right="1834"/>
        <w:jc w:val="both"/>
      </w:pPr>
      <w:r>
        <w:rPr>
          <w:color w:val="231F20"/>
          <w:spacing w:val="-3"/>
          <w:w w:val="105"/>
        </w:rPr>
        <w:t>Entre</w:t>
      </w:r>
      <w:r>
        <w:rPr>
          <w:color w:val="231F20"/>
          <w:spacing w:val="-28"/>
          <w:w w:val="105"/>
        </w:rPr>
        <w:t> </w:t>
      </w:r>
      <w:r>
        <w:rPr>
          <w:color w:val="231F20"/>
          <w:w w:val="105"/>
        </w:rPr>
        <w:t>los</w:t>
      </w:r>
      <w:r>
        <w:rPr>
          <w:color w:val="231F20"/>
          <w:spacing w:val="-28"/>
          <w:w w:val="105"/>
        </w:rPr>
        <w:t> </w:t>
      </w:r>
      <w:r>
        <w:rPr>
          <w:color w:val="231F20"/>
          <w:w w:val="105"/>
        </w:rPr>
        <w:t>que</w:t>
      </w:r>
      <w:r>
        <w:rPr>
          <w:color w:val="231F20"/>
          <w:spacing w:val="-28"/>
          <w:w w:val="105"/>
        </w:rPr>
        <w:t> </w:t>
      </w:r>
      <w:r>
        <w:rPr>
          <w:color w:val="231F20"/>
          <w:spacing w:val="-4"/>
          <w:w w:val="105"/>
        </w:rPr>
        <w:t>recibieron</w:t>
      </w:r>
      <w:r>
        <w:rPr>
          <w:color w:val="231F20"/>
          <w:spacing w:val="-28"/>
          <w:w w:val="105"/>
        </w:rPr>
        <w:t> </w:t>
      </w:r>
      <w:r>
        <w:rPr>
          <w:color w:val="231F20"/>
          <w:spacing w:val="-3"/>
          <w:w w:val="105"/>
        </w:rPr>
        <w:t>ayuda</w:t>
      </w:r>
      <w:r>
        <w:rPr>
          <w:color w:val="231F20"/>
          <w:spacing w:val="-28"/>
          <w:w w:val="105"/>
        </w:rPr>
        <w:t> </w:t>
      </w:r>
      <w:r>
        <w:rPr>
          <w:color w:val="231F20"/>
          <w:w w:val="105"/>
        </w:rPr>
        <w:t>de</w:t>
      </w:r>
      <w:r>
        <w:rPr>
          <w:color w:val="231F20"/>
          <w:spacing w:val="-28"/>
          <w:w w:val="105"/>
        </w:rPr>
        <w:t> </w:t>
      </w:r>
      <w:r>
        <w:rPr>
          <w:color w:val="231F20"/>
          <w:w w:val="105"/>
        </w:rPr>
        <w:t>sus</w:t>
      </w:r>
      <w:r>
        <w:rPr>
          <w:color w:val="231F20"/>
          <w:spacing w:val="-28"/>
          <w:w w:val="105"/>
        </w:rPr>
        <w:t> </w:t>
      </w:r>
      <w:r>
        <w:rPr>
          <w:color w:val="231F20"/>
          <w:spacing w:val="-3"/>
          <w:w w:val="105"/>
        </w:rPr>
        <w:t>familiares</w:t>
      </w:r>
      <w:r>
        <w:rPr>
          <w:color w:val="231F20"/>
          <w:spacing w:val="-28"/>
          <w:w w:val="105"/>
        </w:rPr>
        <w:t> </w:t>
      </w:r>
      <w:r>
        <w:rPr>
          <w:color w:val="231F20"/>
          <w:w w:val="105"/>
        </w:rPr>
        <w:t>y</w:t>
      </w:r>
      <w:r>
        <w:rPr>
          <w:color w:val="231F20"/>
          <w:spacing w:val="-28"/>
          <w:w w:val="105"/>
        </w:rPr>
        <w:t> </w:t>
      </w:r>
      <w:r>
        <w:rPr>
          <w:color w:val="231F20"/>
          <w:spacing w:val="-3"/>
          <w:w w:val="105"/>
        </w:rPr>
        <w:t>amigos</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spacing w:val="-3"/>
          <w:w w:val="105"/>
        </w:rPr>
        <w:t>ciudad</w:t>
      </w:r>
      <w:r>
        <w:rPr>
          <w:color w:val="231F20"/>
          <w:spacing w:val="-28"/>
          <w:w w:val="105"/>
        </w:rPr>
        <w:t> </w:t>
      </w:r>
      <w:r>
        <w:rPr>
          <w:color w:val="231F20"/>
          <w:spacing w:val="-3"/>
          <w:w w:val="105"/>
        </w:rPr>
        <w:t>fron- teriza sobresalen </w:t>
      </w:r>
      <w:r>
        <w:rPr>
          <w:color w:val="231F20"/>
          <w:w w:val="105"/>
        </w:rPr>
        <w:t>los </w:t>
      </w:r>
      <w:r>
        <w:rPr>
          <w:color w:val="231F20"/>
          <w:spacing w:val="-3"/>
          <w:w w:val="105"/>
        </w:rPr>
        <w:t>apoyos relacionados </w:t>
      </w:r>
      <w:r>
        <w:rPr>
          <w:color w:val="231F20"/>
          <w:w w:val="105"/>
        </w:rPr>
        <w:t>con </w:t>
      </w:r>
      <w:r>
        <w:rPr>
          <w:color w:val="231F20"/>
          <w:spacing w:val="-3"/>
          <w:w w:val="105"/>
        </w:rPr>
        <w:t>alojamiento/alimentación (67.5%)</w:t>
      </w:r>
      <w:r>
        <w:rPr>
          <w:color w:val="231F20"/>
          <w:spacing w:val="-27"/>
          <w:w w:val="105"/>
        </w:rPr>
        <w:t> </w:t>
      </w:r>
      <w:r>
        <w:rPr>
          <w:color w:val="231F20"/>
          <w:w w:val="105"/>
        </w:rPr>
        <w:t>y</w:t>
      </w:r>
      <w:r>
        <w:rPr>
          <w:color w:val="231F20"/>
          <w:spacing w:val="-27"/>
          <w:w w:val="105"/>
        </w:rPr>
        <w:t> </w:t>
      </w:r>
      <w:r>
        <w:rPr>
          <w:color w:val="231F20"/>
          <w:spacing w:val="-3"/>
          <w:w w:val="105"/>
        </w:rPr>
        <w:t>préstamos</w:t>
      </w:r>
      <w:r>
        <w:rPr>
          <w:color w:val="231F20"/>
          <w:spacing w:val="-27"/>
          <w:w w:val="105"/>
        </w:rPr>
        <w:t> </w:t>
      </w:r>
      <w:r>
        <w:rPr>
          <w:color w:val="231F20"/>
          <w:spacing w:val="-3"/>
          <w:w w:val="105"/>
        </w:rPr>
        <w:t>monetarios</w:t>
      </w:r>
      <w:r>
        <w:rPr>
          <w:color w:val="231F20"/>
          <w:spacing w:val="-27"/>
          <w:w w:val="105"/>
        </w:rPr>
        <w:t> </w:t>
      </w:r>
      <w:r>
        <w:rPr>
          <w:color w:val="231F20"/>
          <w:spacing w:val="-3"/>
          <w:w w:val="105"/>
        </w:rPr>
        <w:t>(51.9%)</w:t>
      </w:r>
      <w:r>
        <w:rPr>
          <w:color w:val="231F20"/>
          <w:spacing w:val="-27"/>
          <w:w w:val="105"/>
        </w:rPr>
        <w:t> </w:t>
      </w:r>
      <w:r>
        <w:rPr>
          <w:color w:val="231F20"/>
          <w:w w:val="105"/>
        </w:rPr>
        <w:t>en</w:t>
      </w:r>
      <w:r>
        <w:rPr>
          <w:color w:val="231F20"/>
          <w:spacing w:val="-27"/>
          <w:w w:val="105"/>
        </w:rPr>
        <w:t> </w:t>
      </w:r>
      <w:r>
        <w:rPr>
          <w:color w:val="231F20"/>
          <w:spacing w:val="-3"/>
          <w:w w:val="105"/>
        </w:rPr>
        <w:t>2007.</w:t>
      </w:r>
      <w:r>
        <w:rPr>
          <w:color w:val="231F20"/>
          <w:spacing w:val="-32"/>
          <w:w w:val="105"/>
        </w:rPr>
        <w:t> </w:t>
      </w:r>
      <w:r>
        <w:rPr>
          <w:color w:val="231F20"/>
          <w:w w:val="105"/>
        </w:rPr>
        <w:t>En</w:t>
      </w:r>
      <w:r>
        <w:rPr>
          <w:color w:val="231F20"/>
          <w:spacing w:val="-27"/>
          <w:w w:val="105"/>
        </w:rPr>
        <w:t> </w:t>
      </w:r>
      <w:r>
        <w:rPr>
          <w:color w:val="231F20"/>
          <w:spacing w:val="-3"/>
          <w:w w:val="105"/>
        </w:rPr>
        <w:t>2009,</w:t>
      </w:r>
      <w:r>
        <w:rPr>
          <w:color w:val="231F20"/>
          <w:spacing w:val="-32"/>
          <w:w w:val="105"/>
        </w:rPr>
        <w:t> </w:t>
      </w:r>
      <w:r>
        <w:rPr>
          <w:color w:val="231F20"/>
          <w:w w:val="105"/>
        </w:rPr>
        <w:t>se</w:t>
      </w:r>
      <w:r>
        <w:rPr>
          <w:color w:val="231F20"/>
          <w:spacing w:val="-27"/>
          <w:w w:val="105"/>
        </w:rPr>
        <w:t> </w:t>
      </w:r>
      <w:r>
        <w:rPr>
          <w:color w:val="231F20"/>
          <w:spacing w:val="-3"/>
          <w:w w:val="105"/>
        </w:rPr>
        <w:t>mantiene</w:t>
      </w:r>
      <w:r>
        <w:rPr>
          <w:color w:val="231F20"/>
          <w:spacing w:val="-27"/>
          <w:w w:val="105"/>
        </w:rPr>
        <w:t> </w:t>
      </w:r>
      <w:r>
        <w:rPr>
          <w:color w:val="231F20"/>
          <w:spacing w:val="-3"/>
          <w:w w:val="105"/>
        </w:rPr>
        <w:t>el primer concepto </w:t>
      </w:r>
      <w:r>
        <w:rPr>
          <w:color w:val="231F20"/>
          <w:w w:val="105"/>
        </w:rPr>
        <w:t>con </w:t>
      </w:r>
      <w:r>
        <w:rPr>
          <w:color w:val="231F20"/>
          <w:spacing w:val="-3"/>
          <w:w w:val="105"/>
        </w:rPr>
        <w:t>70.3%, aunque </w:t>
      </w:r>
      <w:r>
        <w:rPr>
          <w:color w:val="231F20"/>
          <w:w w:val="105"/>
        </w:rPr>
        <w:t>en </w:t>
      </w:r>
      <w:r>
        <w:rPr>
          <w:color w:val="231F20"/>
          <w:spacing w:val="-3"/>
          <w:w w:val="105"/>
        </w:rPr>
        <w:t>segundo término </w:t>
      </w:r>
      <w:r>
        <w:rPr>
          <w:color w:val="231F20"/>
          <w:w w:val="105"/>
        </w:rPr>
        <w:t>se </w:t>
      </w:r>
      <w:r>
        <w:rPr>
          <w:color w:val="231F20"/>
          <w:spacing w:val="-4"/>
          <w:w w:val="105"/>
        </w:rPr>
        <w:t>encuentran </w:t>
      </w:r>
      <w:r>
        <w:rPr>
          <w:color w:val="231F20"/>
          <w:w w:val="105"/>
        </w:rPr>
        <w:t>los que </w:t>
      </w:r>
      <w:r>
        <w:rPr>
          <w:color w:val="231F20"/>
          <w:spacing w:val="-4"/>
          <w:w w:val="105"/>
        </w:rPr>
        <w:t>recibieron </w:t>
      </w:r>
      <w:r>
        <w:rPr>
          <w:color w:val="231F20"/>
          <w:spacing w:val="-3"/>
          <w:w w:val="105"/>
        </w:rPr>
        <w:t>ayuda para cruzar </w:t>
      </w:r>
      <w:r>
        <w:rPr>
          <w:color w:val="231F20"/>
          <w:w w:val="105"/>
        </w:rPr>
        <w:t>a </w:t>
      </w:r>
      <w:r>
        <w:rPr>
          <w:color w:val="231F20"/>
          <w:spacing w:val="-3"/>
          <w:w w:val="105"/>
        </w:rPr>
        <w:t>Estados Unidos (20.4%), además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que</w:t>
      </w:r>
      <w:r>
        <w:rPr>
          <w:color w:val="231F20"/>
          <w:spacing w:val="-13"/>
          <w:w w:val="105"/>
        </w:rPr>
        <w:t> </w:t>
      </w:r>
      <w:r>
        <w:rPr>
          <w:color w:val="231F20"/>
          <w:spacing w:val="-3"/>
          <w:w w:val="105"/>
        </w:rPr>
        <w:t>obtuvieron</w:t>
      </w:r>
      <w:r>
        <w:rPr>
          <w:color w:val="231F20"/>
          <w:spacing w:val="-13"/>
          <w:w w:val="105"/>
        </w:rPr>
        <w:t> </w:t>
      </w:r>
      <w:r>
        <w:rPr>
          <w:color w:val="231F20"/>
          <w:spacing w:val="-3"/>
          <w:w w:val="105"/>
        </w:rPr>
        <w:t>ayuda</w:t>
      </w:r>
      <w:r>
        <w:rPr>
          <w:color w:val="231F20"/>
          <w:spacing w:val="-13"/>
          <w:w w:val="105"/>
        </w:rPr>
        <w:t> </w:t>
      </w:r>
      <w:r>
        <w:rPr>
          <w:color w:val="231F20"/>
          <w:spacing w:val="-3"/>
          <w:w w:val="105"/>
        </w:rPr>
        <w:t>económica</w:t>
      </w:r>
      <w:r>
        <w:rPr>
          <w:color w:val="231F20"/>
          <w:spacing w:val="-13"/>
          <w:w w:val="105"/>
        </w:rPr>
        <w:t> </w:t>
      </w:r>
      <w:r>
        <w:rPr>
          <w:color w:val="231F20"/>
          <w:spacing w:val="-3"/>
          <w:w w:val="105"/>
        </w:rPr>
        <w:t>fueron</w:t>
      </w:r>
      <w:r>
        <w:rPr>
          <w:color w:val="231F20"/>
          <w:spacing w:val="-13"/>
          <w:w w:val="105"/>
        </w:rPr>
        <w:t> </w:t>
      </w:r>
      <w:r>
        <w:rPr>
          <w:color w:val="231F20"/>
          <w:spacing w:val="-3"/>
          <w:w w:val="105"/>
        </w:rPr>
        <w:t>únicamente</w:t>
      </w:r>
      <w:r>
        <w:rPr>
          <w:color w:val="231F20"/>
          <w:spacing w:val="-13"/>
          <w:w w:val="105"/>
        </w:rPr>
        <w:t> </w:t>
      </w:r>
      <w:r>
        <w:rPr>
          <w:color w:val="231F20"/>
          <w:spacing w:val="-3"/>
          <w:w w:val="105"/>
        </w:rPr>
        <w:t>9.2%.</w:t>
      </w:r>
      <w:r>
        <w:rPr>
          <w:color w:val="231F20"/>
          <w:spacing w:val="-19"/>
          <w:w w:val="105"/>
        </w:rPr>
        <w:t> </w:t>
      </w:r>
      <w:r>
        <w:rPr>
          <w:color w:val="231F20"/>
          <w:spacing w:val="-3"/>
          <w:w w:val="105"/>
        </w:rPr>
        <w:t>En 2012 </w:t>
      </w:r>
      <w:r>
        <w:rPr>
          <w:color w:val="231F20"/>
          <w:w w:val="105"/>
        </w:rPr>
        <w:t>se </w:t>
      </w:r>
      <w:r>
        <w:rPr>
          <w:color w:val="231F20"/>
          <w:spacing w:val="-3"/>
          <w:w w:val="105"/>
        </w:rPr>
        <w:t>observa </w:t>
      </w:r>
      <w:r>
        <w:rPr>
          <w:color w:val="231F20"/>
          <w:w w:val="105"/>
        </w:rPr>
        <w:t>una </w:t>
      </w:r>
      <w:r>
        <w:rPr>
          <w:color w:val="231F20"/>
          <w:spacing w:val="-3"/>
          <w:w w:val="105"/>
        </w:rPr>
        <w:t>tendencia semejante, </w:t>
      </w:r>
      <w:r>
        <w:rPr>
          <w:color w:val="231F20"/>
          <w:w w:val="105"/>
        </w:rPr>
        <w:t>sin </w:t>
      </w:r>
      <w:r>
        <w:rPr>
          <w:color w:val="231F20"/>
          <w:spacing w:val="-3"/>
          <w:w w:val="105"/>
        </w:rPr>
        <w:t>embargo parece </w:t>
      </w:r>
      <w:r>
        <w:rPr>
          <w:color w:val="231F20"/>
          <w:spacing w:val="-4"/>
          <w:w w:val="105"/>
        </w:rPr>
        <w:t>advertir </w:t>
      </w:r>
      <w:r>
        <w:rPr>
          <w:color w:val="231F20"/>
          <w:w w:val="105"/>
        </w:rPr>
        <w:t>que la </w:t>
      </w:r>
      <w:r>
        <w:rPr>
          <w:color w:val="231F20"/>
          <w:spacing w:val="-3"/>
          <w:w w:val="105"/>
        </w:rPr>
        <w:t>menor presencia </w:t>
      </w:r>
      <w:r>
        <w:rPr>
          <w:color w:val="231F20"/>
          <w:w w:val="105"/>
        </w:rPr>
        <w:t>de los que </w:t>
      </w:r>
      <w:r>
        <w:rPr>
          <w:color w:val="231F20"/>
          <w:spacing w:val="-3"/>
          <w:w w:val="105"/>
        </w:rPr>
        <w:t>reciben ayuda económica </w:t>
      </w:r>
      <w:r>
        <w:rPr>
          <w:color w:val="231F20"/>
          <w:w w:val="105"/>
        </w:rPr>
        <w:t>es </w:t>
      </w:r>
      <w:r>
        <w:rPr>
          <w:color w:val="231F20"/>
          <w:spacing w:val="-3"/>
          <w:w w:val="105"/>
        </w:rPr>
        <w:t>conse- cuencia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rPr>
        <w:t>disminución</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spacing w:val="-3"/>
          <w:w w:val="105"/>
        </w:rPr>
        <w:t>envío</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spacing w:val="-3"/>
          <w:w w:val="105"/>
        </w:rPr>
        <w:t>remesas</w:t>
      </w:r>
      <w:r>
        <w:rPr>
          <w:color w:val="231F20"/>
          <w:spacing w:val="-15"/>
          <w:w w:val="105"/>
        </w:rPr>
        <w:t> </w:t>
      </w:r>
      <w:r>
        <w:rPr>
          <w:color w:val="231F20"/>
          <w:spacing w:val="-3"/>
          <w:w w:val="105"/>
        </w:rPr>
        <w:t>sistémicas,</w:t>
      </w:r>
      <w:r>
        <w:rPr>
          <w:color w:val="231F20"/>
          <w:spacing w:val="-19"/>
          <w:w w:val="105"/>
        </w:rPr>
        <w:t> </w:t>
      </w:r>
      <w:r>
        <w:rPr>
          <w:color w:val="231F20"/>
          <w:w w:val="105"/>
        </w:rPr>
        <w:t>que</w:t>
      </w:r>
      <w:r>
        <w:rPr>
          <w:color w:val="231F20"/>
          <w:spacing w:val="-15"/>
          <w:w w:val="105"/>
        </w:rPr>
        <w:t> </w:t>
      </w:r>
      <w:r>
        <w:rPr>
          <w:color w:val="231F20"/>
          <w:spacing w:val="-3"/>
          <w:w w:val="105"/>
        </w:rPr>
        <w:t>son aquellos</w:t>
      </w:r>
      <w:r>
        <w:rPr>
          <w:color w:val="231F20"/>
          <w:spacing w:val="-18"/>
          <w:w w:val="105"/>
        </w:rPr>
        <w:t> </w:t>
      </w:r>
      <w:r>
        <w:rPr>
          <w:color w:val="231F20"/>
          <w:spacing w:val="-3"/>
          <w:w w:val="105"/>
        </w:rPr>
        <w:t>recursos</w:t>
      </w:r>
      <w:r>
        <w:rPr>
          <w:color w:val="231F20"/>
          <w:spacing w:val="-18"/>
          <w:w w:val="105"/>
        </w:rPr>
        <w:t> </w:t>
      </w:r>
      <w:r>
        <w:rPr>
          <w:color w:val="231F20"/>
          <w:spacing w:val="-3"/>
          <w:w w:val="105"/>
        </w:rPr>
        <w:t>utilizados</w:t>
      </w:r>
      <w:r>
        <w:rPr>
          <w:color w:val="231F20"/>
          <w:spacing w:val="-18"/>
          <w:w w:val="105"/>
        </w:rPr>
        <w:t> </w:t>
      </w:r>
      <w:r>
        <w:rPr>
          <w:color w:val="231F20"/>
          <w:spacing w:val="-3"/>
          <w:w w:val="105"/>
        </w:rPr>
        <w:t>para</w:t>
      </w:r>
      <w:r>
        <w:rPr>
          <w:color w:val="231F20"/>
          <w:spacing w:val="-18"/>
          <w:w w:val="105"/>
        </w:rPr>
        <w:t> </w:t>
      </w:r>
      <w:r>
        <w:rPr>
          <w:color w:val="231F20"/>
          <w:spacing w:val="-3"/>
          <w:w w:val="105"/>
        </w:rPr>
        <w:t>garantizar</w:t>
      </w:r>
      <w:r>
        <w:rPr>
          <w:color w:val="231F20"/>
          <w:spacing w:val="-18"/>
          <w:w w:val="105"/>
        </w:rPr>
        <w:t> </w:t>
      </w:r>
      <w:r>
        <w:rPr>
          <w:color w:val="231F20"/>
          <w:w w:val="105"/>
        </w:rPr>
        <w:t>la</w:t>
      </w:r>
      <w:r>
        <w:rPr>
          <w:color w:val="231F20"/>
          <w:spacing w:val="-18"/>
          <w:w w:val="105"/>
        </w:rPr>
        <w:t> </w:t>
      </w:r>
      <w:r>
        <w:rPr>
          <w:color w:val="231F20"/>
          <w:spacing w:val="-3"/>
          <w:w w:val="105"/>
        </w:rPr>
        <w:t>continuidad</w:t>
      </w:r>
      <w:r>
        <w:rPr>
          <w:color w:val="231F20"/>
          <w:spacing w:val="-18"/>
          <w:w w:val="105"/>
        </w:rPr>
        <w:t> </w:t>
      </w:r>
      <w:r>
        <w:rPr>
          <w:color w:val="231F20"/>
          <w:w w:val="105"/>
        </w:rPr>
        <w:t>del</w:t>
      </w:r>
      <w:r>
        <w:rPr>
          <w:color w:val="231F20"/>
          <w:spacing w:val="-18"/>
          <w:w w:val="105"/>
        </w:rPr>
        <w:t> </w:t>
      </w:r>
      <w:r>
        <w:rPr>
          <w:color w:val="231F20"/>
          <w:spacing w:val="-3"/>
          <w:w w:val="105"/>
        </w:rPr>
        <w:t>sistema</w:t>
      </w:r>
      <w:r>
        <w:rPr>
          <w:color w:val="231F20"/>
          <w:spacing w:val="-18"/>
          <w:w w:val="105"/>
        </w:rPr>
        <w:t> </w:t>
      </w:r>
      <w:r>
        <w:rPr>
          <w:color w:val="231F20"/>
          <w:w w:val="105"/>
        </w:rPr>
        <w:t>mi- </w:t>
      </w:r>
      <w:r>
        <w:rPr>
          <w:color w:val="231F20"/>
          <w:spacing w:val="-4"/>
          <w:w w:val="105"/>
        </w:rPr>
        <w:t>gratorio</w:t>
      </w:r>
      <w:r>
        <w:rPr>
          <w:color w:val="231F20"/>
          <w:spacing w:val="-23"/>
          <w:w w:val="105"/>
        </w:rPr>
        <w:t> </w:t>
      </w:r>
      <w:r>
        <w:rPr>
          <w:color w:val="231F20"/>
          <w:w w:val="105"/>
        </w:rPr>
        <w:t>y</w:t>
      </w:r>
      <w:r>
        <w:rPr>
          <w:color w:val="231F20"/>
          <w:spacing w:val="-23"/>
          <w:w w:val="105"/>
        </w:rPr>
        <w:t> </w:t>
      </w:r>
      <w:r>
        <w:rPr>
          <w:color w:val="231F20"/>
          <w:spacing w:val="-3"/>
          <w:w w:val="105"/>
        </w:rPr>
        <w:t>solventar</w:t>
      </w:r>
      <w:r>
        <w:rPr>
          <w:color w:val="231F20"/>
          <w:spacing w:val="-23"/>
          <w:w w:val="105"/>
        </w:rPr>
        <w:t> </w:t>
      </w:r>
      <w:r>
        <w:rPr>
          <w:color w:val="231F20"/>
          <w:w w:val="105"/>
        </w:rPr>
        <w:t>los</w:t>
      </w:r>
      <w:r>
        <w:rPr>
          <w:color w:val="231F20"/>
          <w:spacing w:val="-23"/>
          <w:w w:val="105"/>
        </w:rPr>
        <w:t> </w:t>
      </w:r>
      <w:r>
        <w:rPr>
          <w:color w:val="231F20"/>
          <w:spacing w:val="-3"/>
          <w:w w:val="105"/>
        </w:rPr>
        <w:t>gastos</w:t>
      </w:r>
      <w:r>
        <w:rPr>
          <w:color w:val="231F20"/>
          <w:spacing w:val="-23"/>
          <w:w w:val="105"/>
        </w:rPr>
        <w:t> </w:t>
      </w:r>
      <w:r>
        <w:rPr>
          <w:color w:val="231F20"/>
          <w:w w:val="105"/>
        </w:rPr>
        <w:t>del</w:t>
      </w:r>
      <w:r>
        <w:rPr>
          <w:color w:val="231F20"/>
          <w:spacing w:val="-23"/>
          <w:w w:val="105"/>
        </w:rPr>
        <w:t> </w:t>
      </w:r>
      <w:r>
        <w:rPr>
          <w:color w:val="231F20"/>
          <w:spacing w:val="-3"/>
          <w:w w:val="105"/>
        </w:rPr>
        <w:t>cruce</w:t>
      </w:r>
      <w:r>
        <w:rPr>
          <w:color w:val="231F20"/>
          <w:spacing w:val="-23"/>
          <w:w w:val="105"/>
        </w:rPr>
        <w:t> </w:t>
      </w:r>
      <w:r>
        <w:rPr>
          <w:color w:val="231F20"/>
          <w:w w:val="105"/>
        </w:rPr>
        <w:t>a</w:t>
      </w:r>
      <w:r>
        <w:rPr>
          <w:color w:val="231F20"/>
          <w:spacing w:val="-23"/>
          <w:w w:val="105"/>
        </w:rPr>
        <w:t> </w:t>
      </w:r>
      <w:r>
        <w:rPr>
          <w:color w:val="231F20"/>
          <w:spacing w:val="-3"/>
          <w:w w:val="105"/>
        </w:rPr>
        <w:t>Estados</w:t>
      </w:r>
      <w:r>
        <w:rPr>
          <w:color w:val="231F20"/>
          <w:spacing w:val="-23"/>
          <w:w w:val="105"/>
        </w:rPr>
        <w:t> </w:t>
      </w:r>
      <w:r>
        <w:rPr>
          <w:color w:val="231F20"/>
          <w:spacing w:val="-3"/>
          <w:w w:val="105"/>
        </w:rPr>
        <w:t>Unidos</w:t>
      </w:r>
      <w:r>
        <w:rPr>
          <w:color w:val="231F20"/>
          <w:spacing w:val="-23"/>
          <w:w w:val="105"/>
        </w:rPr>
        <w:t> </w:t>
      </w:r>
      <w:r>
        <w:rPr>
          <w:color w:val="231F20"/>
          <w:spacing w:val="-4"/>
          <w:w w:val="105"/>
        </w:rPr>
        <w:t>(Jardón,</w:t>
      </w:r>
      <w:r>
        <w:rPr>
          <w:color w:val="231F20"/>
          <w:spacing w:val="-28"/>
          <w:w w:val="105"/>
        </w:rPr>
        <w:t> </w:t>
      </w:r>
      <w:r>
        <w:rPr>
          <w:color w:val="231F20"/>
          <w:spacing w:val="-3"/>
          <w:w w:val="105"/>
        </w:rPr>
        <w:t>2013).</w:t>
      </w:r>
    </w:p>
    <w:p>
      <w:pPr>
        <w:pStyle w:val="BodyText"/>
        <w:spacing w:line="261" w:lineRule="auto" w:before="1"/>
        <w:ind w:left="1723" w:right="1834" w:firstLine="567"/>
        <w:jc w:val="both"/>
      </w:pPr>
      <w:r>
        <w:rPr>
          <w:color w:val="231F20"/>
          <w:w w:val="105"/>
        </w:rPr>
        <w:t>En lo que respecta al uso de servicios en la ciudad fronteriza de cruce se observa que los mayormente utilizados son los relacionados con</w:t>
      </w:r>
      <w:r>
        <w:rPr>
          <w:color w:val="231F20"/>
          <w:spacing w:val="-13"/>
          <w:w w:val="105"/>
        </w:rPr>
        <w:t> </w:t>
      </w:r>
      <w:r>
        <w:rPr>
          <w:color w:val="231F20"/>
          <w:w w:val="105"/>
        </w:rPr>
        <w:t>el</w:t>
      </w:r>
      <w:r>
        <w:rPr>
          <w:color w:val="231F20"/>
          <w:spacing w:val="-13"/>
          <w:w w:val="105"/>
        </w:rPr>
        <w:t> </w:t>
      </w:r>
      <w:r>
        <w:rPr>
          <w:color w:val="231F20"/>
          <w:w w:val="105"/>
        </w:rPr>
        <w:t>alojamiento</w:t>
      </w:r>
      <w:r>
        <w:rPr>
          <w:color w:val="231F20"/>
          <w:spacing w:val="-13"/>
          <w:w w:val="105"/>
        </w:rPr>
        <w:t> </w:t>
      </w:r>
      <w:r>
        <w:rPr>
          <w:color w:val="231F20"/>
          <w:w w:val="105"/>
        </w:rPr>
        <w:t>(casa</w:t>
      </w:r>
      <w:r>
        <w:rPr>
          <w:color w:val="231F20"/>
          <w:spacing w:val="-13"/>
          <w:w w:val="105"/>
        </w:rPr>
        <w:t> </w:t>
      </w:r>
      <w:r>
        <w:rPr>
          <w:color w:val="231F20"/>
          <w:w w:val="105"/>
        </w:rPr>
        <w:t>de</w:t>
      </w:r>
      <w:r>
        <w:rPr>
          <w:color w:val="231F20"/>
          <w:spacing w:val="-13"/>
          <w:w w:val="105"/>
        </w:rPr>
        <w:t> </w:t>
      </w:r>
      <w:r>
        <w:rPr>
          <w:color w:val="231F20"/>
          <w:w w:val="105"/>
        </w:rPr>
        <w:t>huéspedes),</w:t>
      </w:r>
      <w:r>
        <w:rPr>
          <w:color w:val="231F20"/>
          <w:spacing w:val="-17"/>
          <w:w w:val="105"/>
        </w:rPr>
        <w:t> </w:t>
      </w:r>
      <w:r>
        <w:rPr>
          <w:color w:val="231F20"/>
          <w:w w:val="105"/>
        </w:rPr>
        <w:t>alimentación</w:t>
      </w:r>
      <w:r>
        <w:rPr>
          <w:color w:val="231F20"/>
          <w:spacing w:val="-13"/>
          <w:w w:val="105"/>
        </w:rPr>
        <w:t> </w:t>
      </w:r>
      <w:r>
        <w:rPr>
          <w:color w:val="231F20"/>
          <w:w w:val="105"/>
        </w:rPr>
        <w:t>(fondas),</w:t>
      </w:r>
      <w:r>
        <w:rPr>
          <w:color w:val="231F20"/>
          <w:spacing w:val="-17"/>
          <w:w w:val="105"/>
        </w:rPr>
        <w:t> </w:t>
      </w:r>
      <w:r>
        <w:rPr>
          <w:color w:val="231F20"/>
          <w:w w:val="105"/>
        </w:rPr>
        <w:t>comuni- cación (teléfono) y transporte urbano, es decir, aquellos que permiten satisfacer</w:t>
      </w:r>
      <w:r>
        <w:rPr>
          <w:color w:val="231F20"/>
          <w:spacing w:val="-31"/>
          <w:w w:val="105"/>
        </w:rPr>
        <w:t> </w:t>
      </w:r>
      <w:r>
        <w:rPr>
          <w:color w:val="231F20"/>
          <w:w w:val="105"/>
        </w:rPr>
        <w:t>necesidades</w:t>
      </w:r>
      <w:r>
        <w:rPr>
          <w:color w:val="231F20"/>
          <w:spacing w:val="-31"/>
          <w:w w:val="105"/>
        </w:rPr>
        <w:t> </w:t>
      </w:r>
      <w:r>
        <w:rPr>
          <w:color w:val="231F20"/>
          <w:w w:val="105"/>
        </w:rPr>
        <w:t>básicas</w:t>
      </w:r>
      <w:r>
        <w:rPr>
          <w:color w:val="231F20"/>
          <w:spacing w:val="-31"/>
          <w:w w:val="105"/>
        </w:rPr>
        <w:t> </w:t>
      </w:r>
      <w:r>
        <w:rPr>
          <w:color w:val="231F20"/>
          <w:w w:val="105"/>
        </w:rPr>
        <w:t>y</w:t>
      </w:r>
      <w:r>
        <w:rPr>
          <w:color w:val="231F20"/>
          <w:spacing w:val="-31"/>
          <w:w w:val="105"/>
        </w:rPr>
        <w:t> </w:t>
      </w:r>
      <w:r>
        <w:rPr>
          <w:color w:val="231F20"/>
          <w:w w:val="105"/>
        </w:rPr>
        <w:t>de</w:t>
      </w:r>
      <w:r>
        <w:rPr>
          <w:color w:val="231F20"/>
          <w:spacing w:val="-31"/>
          <w:w w:val="105"/>
        </w:rPr>
        <w:t> </w:t>
      </w:r>
      <w:r>
        <w:rPr>
          <w:color w:val="231F20"/>
          <w:w w:val="105"/>
        </w:rPr>
        <w:t>contacto</w:t>
      </w:r>
      <w:r>
        <w:rPr>
          <w:color w:val="231F20"/>
          <w:spacing w:val="-31"/>
          <w:w w:val="105"/>
        </w:rPr>
        <w:t> </w:t>
      </w:r>
      <w:r>
        <w:rPr>
          <w:color w:val="231F20"/>
          <w:w w:val="105"/>
        </w:rPr>
        <w:t>con</w:t>
      </w:r>
      <w:r>
        <w:rPr>
          <w:color w:val="231F20"/>
          <w:spacing w:val="-31"/>
          <w:w w:val="105"/>
        </w:rPr>
        <w:t> </w:t>
      </w:r>
      <w:r>
        <w:rPr>
          <w:color w:val="231F20"/>
          <w:w w:val="105"/>
        </w:rPr>
        <w:t>sus</w:t>
      </w:r>
      <w:r>
        <w:rPr>
          <w:color w:val="231F20"/>
          <w:spacing w:val="-31"/>
          <w:w w:val="105"/>
        </w:rPr>
        <w:t> </w:t>
      </w:r>
      <w:r>
        <w:rPr>
          <w:color w:val="231F20"/>
          <w:w w:val="105"/>
        </w:rPr>
        <w:t>familiares.</w:t>
      </w:r>
      <w:r>
        <w:rPr>
          <w:color w:val="231F20"/>
          <w:spacing w:val="-34"/>
          <w:w w:val="105"/>
        </w:rPr>
        <w:t> </w:t>
      </w:r>
      <w:r>
        <w:rPr>
          <w:color w:val="231F20"/>
          <w:w w:val="105"/>
        </w:rPr>
        <w:t>Entre</w:t>
      </w:r>
      <w:r>
        <w:rPr>
          <w:color w:val="231F20"/>
          <w:spacing w:val="-31"/>
          <w:w w:val="105"/>
        </w:rPr>
        <w:t> </w:t>
      </w:r>
      <w:r>
        <w:rPr>
          <w:color w:val="231F20"/>
          <w:w w:val="105"/>
        </w:rPr>
        <w:t>los menos</w:t>
      </w:r>
      <w:r>
        <w:rPr>
          <w:color w:val="231F20"/>
          <w:spacing w:val="-37"/>
          <w:w w:val="105"/>
        </w:rPr>
        <w:t> </w:t>
      </w:r>
      <w:r>
        <w:rPr>
          <w:color w:val="231F20"/>
          <w:w w:val="105"/>
        </w:rPr>
        <w:t>utilizados</w:t>
      </w:r>
      <w:r>
        <w:rPr>
          <w:color w:val="231F20"/>
          <w:spacing w:val="-37"/>
          <w:w w:val="105"/>
        </w:rPr>
        <w:t> </w:t>
      </w:r>
      <w:r>
        <w:rPr>
          <w:color w:val="231F20"/>
          <w:w w:val="105"/>
        </w:rPr>
        <w:t>se</w:t>
      </w:r>
      <w:r>
        <w:rPr>
          <w:color w:val="231F20"/>
          <w:spacing w:val="-37"/>
          <w:w w:val="105"/>
        </w:rPr>
        <w:t> </w:t>
      </w:r>
      <w:r>
        <w:rPr>
          <w:color w:val="231F20"/>
          <w:w w:val="105"/>
        </w:rPr>
        <w:t>encuentran</w:t>
      </w:r>
      <w:r>
        <w:rPr>
          <w:color w:val="231F20"/>
          <w:spacing w:val="-37"/>
          <w:w w:val="105"/>
        </w:rPr>
        <w:t> </w:t>
      </w:r>
      <w:r>
        <w:rPr>
          <w:color w:val="231F20"/>
          <w:w w:val="105"/>
        </w:rPr>
        <w:t>los</w:t>
      </w:r>
      <w:r>
        <w:rPr>
          <w:color w:val="231F20"/>
          <w:spacing w:val="-37"/>
          <w:w w:val="105"/>
        </w:rPr>
        <w:t> </w:t>
      </w:r>
      <w:r>
        <w:rPr>
          <w:color w:val="231F20"/>
          <w:w w:val="105"/>
        </w:rPr>
        <w:t>servicios</w:t>
      </w:r>
      <w:r>
        <w:rPr>
          <w:color w:val="231F20"/>
          <w:spacing w:val="-37"/>
          <w:w w:val="105"/>
        </w:rPr>
        <w:t> </w:t>
      </w:r>
      <w:r>
        <w:rPr>
          <w:color w:val="231F20"/>
          <w:w w:val="105"/>
        </w:rPr>
        <w:t>médicos,</w:t>
      </w:r>
      <w:r>
        <w:rPr>
          <w:color w:val="231F20"/>
          <w:spacing w:val="-40"/>
          <w:w w:val="105"/>
        </w:rPr>
        <w:t> </w:t>
      </w:r>
      <w:r>
        <w:rPr>
          <w:color w:val="231F20"/>
          <w:w w:val="105"/>
        </w:rPr>
        <w:t>centros</w:t>
      </w:r>
      <w:r>
        <w:rPr>
          <w:color w:val="231F20"/>
          <w:spacing w:val="-37"/>
          <w:w w:val="105"/>
        </w:rPr>
        <w:t> </w:t>
      </w:r>
      <w:r>
        <w:rPr>
          <w:color w:val="231F20"/>
          <w:w w:val="105"/>
        </w:rPr>
        <w:t>cambiarios y diversión (véase cuadro 3). La media estimada sobre el monto que la población mexiquense gastó en el uso de estos servicios ha</w:t>
      </w:r>
      <w:r>
        <w:rPr>
          <w:color w:val="231F20"/>
          <w:spacing w:val="-35"/>
          <w:w w:val="105"/>
        </w:rPr>
        <w:t> </w:t>
      </w:r>
      <w:r>
        <w:rPr>
          <w:color w:val="231F20"/>
          <w:w w:val="105"/>
        </w:rPr>
        <w:t>observado un</w:t>
      </w:r>
      <w:r>
        <w:rPr>
          <w:color w:val="231F20"/>
          <w:spacing w:val="-8"/>
          <w:w w:val="105"/>
        </w:rPr>
        <w:t> </w:t>
      </w:r>
      <w:r>
        <w:rPr>
          <w:color w:val="231F20"/>
          <w:w w:val="105"/>
        </w:rPr>
        <w:t>incremento,</w:t>
      </w:r>
      <w:r>
        <w:rPr>
          <w:color w:val="231F20"/>
          <w:spacing w:val="-14"/>
          <w:w w:val="105"/>
        </w:rPr>
        <w:t> </w:t>
      </w:r>
      <w:r>
        <w:rPr>
          <w:color w:val="231F20"/>
          <w:w w:val="105"/>
        </w:rPr>
        <w:t>pasando</w:t>
      </w:r>
      <w:r>
        <w:rPr>
          <w:color w:val="231F20"/>
          <w:spacing w:val="-8"/>
          <w:w w:val="105"/>
        </w:rPr>
        <w:t> </w:t>
      </w:r>
      <w:r>
        <w:rPr>
          <w:color w:val="231F20"/>
          <w:w w:val="105"/>
        </w:rPr>
        <w:t>de</w:t>
      </w:r>
      <w:r>
        <w:rPr>
          <w:color w:val="231F20"/>
          <w:spacing w:val="-8"/>
          <w:w w:val="105"/>
        </w:rPr>
        <w:t> </w:t>
      </w:r>
      <w:r>
        <w:rPr>
          <w:color w:val="231F20"/>
          <w:w w:val="105"/>
        </w:rPr>
        <w:t>930</w:t>
      </w:r>
      <w:r>
        <w:rPr>
          <w:color w:val="231F20"/>
          <w:spacing w:val="-8"/>
          <w:w w:val="105"/>
        </w:rPr>
        <w:t> </w:t>
      </w:r>
      <w:r>
        <w:rPr>
          <w:color w:val="231F20"/>
          <w:w w:val="105"/>
        </w:rPr>
        <w:t>pesos</w:t>
      </w:r>
      <w:r>
        <w:rPr>
          <w:color w:val="231F20"/>
          <w:spacing w:val="-8"/>
          <w:w w:val="105"/>
        </w:rPr>
        <w:t> </w:t>
      </w:r>
      <w:r>
        <w:rPr>
          <w:color w:val="231F20"/>
          <w:w w:val="105"/>
        </w:rPr>
        <w:t>en</w:t>
      </w:r>
      <w:r>
        <w:rPr>
          <w:color w:val="231F20"/>
          <w:spacing w:val="-8"/>
          <w:w w:val="105"/>
        </w:rPr>
        <w:t> </w:t>
      </w:r>
      <w:r>
        <w:rPr>
          <w:color w:val="231F20"/>
          <w:w w:val="105"/>
        </w:rPr>
        <w:t>2007</w:t>
      </w:r>
      <w:r>
        <w:rPr>
          <w:color w:val="231F20"/>
          <w:spacing w:val="-8"/>
          <w:w w:val="105"/>
        </w:rPr>
        <w:t> </w:t>
      </w:r>
      <w:r>
        <w:rPr>
          <w:color w:val="231F20"/>
          <w:w w:val="105"/>
        </w:rPr>
        <w:t>a</w:t>
      </w:r>
      <w:r>
        <w:rPr>
          <w:color w:val="231F20"/>
          <w:spacing w:val="-8"/>
          <w:w w:val="105"/>
        </w:rPr>
        <w:t> </w:t>
      </w:r>
      <w:r>
        <w:rPr>
          <w:color w:val="231F20"/>
          <w:w w:val="105"/>
        </w:rPr>
        <w:t>1,331</w:t>
      </w:r>
      <w:r>
        <w:rPr>
          <w:color w:val="231F20"/>
          <w:spacing w:val="-8"/>
          <w:w w:val="105"/>
        </w:rPr>
        <w:t> </w:t>
      </w:r>
      <w:r>
        <w:rPr>
          <w:color w:val="231F20"/>
          <w:w w:val="105"/>
        </w:rPr>
        <w:t>en</w:t>
      </w:r>
      <w:r>
        <w:rPr>
          <w:color w:val="231F20"/>
          <w:spacing w:val="-8"/>
          <w:w w:val="105"/>
        </w:rPr>
        <w:t> </w:t>
      </w:r>
      <w:r>
        <w:rPr>
          <w:color w:val="231F20"/>
          <w:w w:val="105"/>
        </w:rPr>
        <w:t>2009</w:t>
      </w:r>
      <w:r>
        <w:rPr>
          <w:color w:val="231F20"/>
          <w:spacing w:val="-8"/>
          <w:w w:val="105"/>
        </w:rPr>
        <w:t> </w:t>
      </w:r>
      <w:r>
        <w:rPr>
          <w:color w:val="231F20"/>
          <w:w w:val="105"/>
        </w:rPr>
        <w:t>y</w:t>
      </w:r>
      <w:r>
        <w:rPr>
          <w:color w:val="231F20"/>
          <w:spacing w:val="-8"/>
          <w:w w:val="105"/>
        </w:rPr>
        <w:t> </w:t>
      </w:r>
      <w:r>
        <w:rPr>
          <w:color w:val="231F20"/>
          <w:w w:val="105"/>
        </w:rPr>
        <w:t>2,005</w:t>
      </w:r>
    </w:p>
    <w:p>
      <w:pPr>
        <w:pStyle w:val="BodyText"/>
        <w:spacing w:before="1"/>
        <w:ind w:left="1723"/>
        <w:jc w:val="both"/>
      </w:pPr>
      <w:r>
        <w:rPr>
          <w:color w:val="231F20"/>
          <w:w w:val="105"/>
        </w:rPr>
        <w:t>pesos en 2012.</w:t>
      </w:r>
    </w:p>
    <w:p>
      <w:pPr>
        <w:pStyle w:val="BodyText"/>
        <w:rPr>
          <w:sz w:val="20"/>
        </w:rPr>
      </w:pPr>
    </w:p>
    <w:p>
      <w:pPr>
        <w:pStyle w:val="BodyText"/>
        <w:rPr>
          <w:sz w:val="20"/>
        </w:rPr>
      </w:pPr>
    </w:p>
    <w:p>
      <w:pPr>
        <w:pStyle w:val="BodyText"/>
        <w:spacing w:before="5"/>
        <w:rPr>
          <w:sz w:val="26"/>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2576" from="131.551193pt,3.753715pt" to="131.551193pt,39.556114pt" stroked="true" strokeweight=".35pt" strokecolor="#231f20">
            <w10:wrap type="none"/>
          </v:line>
        </w:pict>
      </w:r>
      <w:r>
        <w:rPr/>
        <w:pict>
          <v:line style="position:absolute;mso-position-horizontal-relative:page;mso-position-vertical-relative:paragraph;z-index:-472504" from="15pt,39.555916pt" to="0pt,39.555916pt" stroked="true" strokeweight=".25pt" strokecolor="#000000">
            <w10:wrap type="none"/>
          </v:line>
        </w:pict>
      </w:r>
      <w:r>
        <w:rPr/>
        <w:pict>
          <v:line style="position:absolute;mso-position-horizontal-relative:page;mso-position-vertical-relative:paragraph;z-index:17704" from="508.890015pt,39.555916pt" to="523.890015pt,39.555916pt" stroked="true" strokeweight=".25pt" strokecolor="#000000">
            <w10:wrap type="none"/>
          </v:line>
        </w:pict>
      </w:r>
      <w:r>
        <w:rPr>
          <w:rFonts w:ascii="Arial" w:hAnsi="Arial"/>
          <w:color w:val="414042"/>
          <w:w w:val="105"/>
          <w:position w:val="-5"/>
          <w:sz w:val="20"/>
        </w:rPr>
        <w:t>162</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7728"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7752" from="15pt,-28.286539pt" to="0pt,-28.286539pt" stroked="true" strokeweight=".25pt" strokecolor="#000000">
            <w10:wrap type="none"/>
          </v:line>
        </w:pict>
      </w:r>
      <w:r>
        <w:rPr/>
        <w:pict>
          <v:line style="position:absolute;mso-position-horizontal-relative:page;mso-position-vertical-relative:paragraph;z-index:17776" from="508.890015pt,-28.286539pt" to="523.890015pt,-28.286539pt" stroked="true" strokeweight=".25pt" strokecolor="#000000">
            <w10:wrap type="none"/>
          </v:line>
        </w:pict>
      </w:r>
      <w:r>
        <w:rPr>
          <w:rFonts w:ascii="Arial"/>
          <w:color w:val="414042"/>
          <w:sz w:val="20"/>
        </w:rPr>
        <w:t>163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20"/>
        </w:rPr>
      </w:pPr>
    </w:p>
    <w:p>
      <w:pPr>
        <w:pStyle w:val="BodyText"/>
        <w:spacing w:before="5"/>
        <w:rPr>
          <w:rFonts w:ascii="Arial"/>
          <w:sz w:val="19"/>
        </w:rPr>
      </w:pPr>
    </w:p>
    <w:p>
      <w:pPr>
        <w:spacing w:line="249" w:lineRule="auto" w:before="63"/>
        <w:ind w:left="3495" w:right="2263" w:hanging="1035"/>
        <w:jc w:val="left"/>
        <w:rPr>
          <w:rFonts w:ascii="Arial" w:hAnsi="Arial"/>
          <w:sz w:val="18"/>
        </w:rPr>
      </w:pPr>
      <w:r>
        <w:rPr>
          <w:rFonts w:ascii="Arial" w:hAnsi="Arial"/>
          <w:color w:val="231F20"/>
          <w:w w:val="105"/>
          <w:sz w:val="18"/>
        </w:rPr>
        <w:t>Cuadro 3. Servicios utilizados por la población migrante mexiquense en la ciudad fronteriza de cruce, 2007-2012</w:t>
      </w:r>
    </w:p>
    <w:p>
      <w:pPr>
        <w:pStyle w:val="BodyText"/>
        <w:spacing w:before="9"/>
        <w:rPr>
          <w:rFonts w:ascii="Arial"/>
          <w:sz w:val="12"/>
        </w:rPr>
      </w:pPr>
    </w:p>
    <w:tbl>
      <w:tblPr>
        <w:tblW w:w="0" w:type="auto"/>
        <w:jc w:val="left"/>
        <w:tblInd w:w="2496"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532"/>
        <w:gridCol w:w="1020"/>
        <w:gridCol w:w="1020"/>
        <w:gridCol w:w="1020"/>
      </w:tblGrid>
      <w:tr>
        <w:trPr>
          <w:trHeight w:val="340" w:hRule="exact"/>
        </w:trPr>
        <w:tc>
          <w:tcPr>
            <w:tcW w:w="2532" w:type="dxa"/>
            <w:vMerge w:val="restart"/>
          </w:tcPr>
          <w:p>
            <w:pPr>
              <w:pStyle w:val="TableParagraph"/>
              <w:spacing w:before="5"/>
              <w:rPr>
                <w:rFonts w:ascii="Arial"/>
                <w:sz w:val="22"/>
              </w:rPr>
            </w:pPr>
          </w:p>
          <w:p>
            <w:pPr>
              <w:pStyle w:val="TableParagraph"/>
              <w:spacing w:before="0"/>
              <w:ind w:left="878" w:right="878"/>
              <w:jc w:val="center"/>
              <w:rPr>
                <w:rFonts w:ascii="Arial"/>
                <w:sz w:val="18"/>
              </w:rPr>
            </w:pPr>
            <w:r>
              <w:rPr>
                <w:rFonts w:ascii="Arial"/>
                <w:color w:val="231F20"/>
                <w:sz w:val="18"/>
              </w:rPr>
              <w:t>Servicios</w:t>
            </w:r>
          </w:p>
        </w:tc>
        <w:tc>
          <w:tcPr>
            <w:tcW w:w="3061" w:type="dxa"/>
            <w:gridSpan w:val="3"/>
          </w:tcPr>
          <w:p>
            <w:pPr>
              <w:pStyle w:val="TableParagraph"/>
              <w:spacing w:before="88"/>
              <w:ind w:left="1340" w:right="1340"/>
              <w:jc w:val="center"/>
              <w:rPr>
                <w:rFonts w:ascii="Arial" w:hAnsi="Arial"/>
                <w:sz w:val="18"/>
              </w:rPr>
            </w:pPr>
            <w:r>
              <w:rPr>
                <w:rFonts w:ascii="Arial" w:hAnsi="Arial"/>
                <w:color w:val="231F20"/>
                <w:w w:val="105"/>
                <w:sz w:val="18"/>
              </w:rPr>
              <w:t>Año</w:t>
            </w:r>
          </w:p>
        </w:tc>
      </w:tr>
      <w:tr>
        <w:trPr>
          <w:trHeight w:val="340" w:hRule="exact"/>
        </w:trPr>
        <w:tc>
          <w:tcPr>
            <w:tcW w:w="2532" w:type="dxa"/>
            <w:vMerge/>
          </w:tcPr>
          <w:p>
            <w:pPr/>
          </w:p>
        </w:tc>
        <w:tc>
          <w:tcPr>
            <w:tcW w:w="1020" w:type="dxa"/>
          </w:tcPr>
          <w:p>
            <w:pPr>
              <w:pStyle w:val="TableParagraph"/>
              <w:spacing w:before="88"/>
              <w:ind w:left="294" w:right="184"/>
              <w:rPr>
                <w:rFonts w:ascii="Arial"/>
                <w:sz w:val="18"/>
              </w:rPr>
            </w:pPr>
            <w:r>
              <w:rPr>
                <w:rFonts w:ascii="Arial"/>
                <w:color w:val="231F20"/>
                <w:w w:val="105"/>
                <w:sz w:val="18"/>
              </w:rPr>
              <w:t>2007</w:t>
            </w:r>
          </w:p>
        </w:tc>
        <w:tc>
          <w:tcPr>
            <w:tcW w:w="1020" w:type="dxa"/>
          </w:tcPr>
          <w:p>
            <w:pPr>
              <w:pStyle w:val="TableParagraph"/>
              <w:spacing w:before="88"/>
              <w:ind w:left="294" w:right="184"/>
              <w:rPr>
                <w:rFonts w:ascii="Arial"/>
                <w:sz w:val="18"/>
              </w:rPr>
            </w:pPr>
            <w:r>
              <w:rPr>
                <w:rFonts w:ascii="Arial"/>
                <w:color w:val="231F20"/>
                <w:w w:val="105"/>
                <w:sz w:val="18"/>
              </w:rPr>
              <w:t>2009</w:t>
            </w:r>
          </w:p>
        </w:tc>
        <w:tc>
          <w:tcPr>
            <w:tcW w:w="1020" w:type="dxa"/>
          </w:tcPr>
          <w:p>
            <w:pPr>
              <w:pStyle w:val="TableParagraph"/>
              <w:spacing w:before="88"/>
              <w:ind w:left="294" w:right="184"/>
              <w:rPr>
                <w:rFonts w:ascii="Arial"/>
                <w:sz w:val="18"/>
              </w:rPr>
            </w:pPr>
            <w:r>
              <w:rPr>
                <w:rFonts w:ascii="Arial"/>
                <w:color w:val="231F20"/>
                <w:w w:val="105"/>
                <w:sz w:val="18"/>
              </w:rPr>
              <w:t>2012</w:t>
            </w:r>
          </w:p>
        </w:tc>
      </w:tr>
      <w:tr>
        <w:trPr>
          <w:trHeight w:val="340" w:hRule="exact"/>
        </w:trPr>
        <w:tc>
          <w:tcPr>
            <w:tcW w:w="2532" w:type="dxa"/>
          </w:tcPr>
          <w:p>
            <w:pPr>
              <w:pStyle w:val="TableParagraph"/>
              <w:ind w:left="77"/>
              <w:rPr>
                <w:sz w:val="18"/>
              </w:rPr>
            </w:pPr>
            <w:r>
              <w:rPr>
                <w:color w:val="231F20"/>
                <w:w w:val="105"/>
                <w:sz w:val="18"/>
              </w:rPr>
              <w:t>Teléfono/telégrafo/correo</w:t>
            </w:r>
          </w:p>
        </w:tc>
        <w:tc>
          <w:tcPr>
            <w:tcW w:w="1020" w:type="dxa"/>
          </w:tcPr>
          <w:p>
            <w:pPr>
              <w:pStyle w:val="TableParagraph"/>
              <w:ind w:right="223"/>
              <w:jc w:val="right"/>
              <w:rPr>
                <w:sz w:val="18"/>
              </w:rPr>
            </w:pPr>
            <w:r>
              <w:rPr>
                <w:color w:val="231F20"/>
                <w:sz w:val="18"/>
              </w:rPr>
              <w:t>42.6</w:t>
            </w:r>
          </w:p>
        </w:tc>
        <w:tc>
          <w:tcPr>
            <w:tcW w:w="1020" w:type="dxa"/>
          </w:tcPr>
          <w:p>
            <w:pPr>
              <w:pStyle w:val="TableParagraph"/>
              <w:ind w:right="223"/>
              <w:jc w:val="right"/>
              <w:rPr>
                <w:sz w:val="18"/>
              </w:rPr>
            </w:pPr>
            <w:r>
              <w:rPr>
                <w:color w:val="231F20"/>
                <w:sz w:val="18"/>
              </w:rPr>
              <w:t>40.5</w:t>
            </w:r>
          </w:p>
        </w:tc>
        <w:tc>
          <w:tcPr>
            <w:tcW w:w="1020" w:type="dxa"/>
          </w:tcPr>
          <w:p>
            <w:pPr>
              <w:pStyle w:val="TableParagraph"/>
              <w:ind w:right="223"/>
              <w:jc w:val="right"/>
              <w:rPr>
                <w:sz w:val="18"/>
              </w:rPr>
            </w:pPr>
            <w:r>
              <w:rPr>
                <w:color w:val="231F20"/>
                <w:sz w:val="18"/>
              </w:rPr>
              <w:t>49.7</w:t>
            </w:r>
          </w:p>
        </w:tc>
      </w:tr>
      <w:tr>
        <w:trPr>
          <w:trHeight w:val="340" w:hRule="exact"/>
        </w:trPr>
        <w:tc>
          <w:tcPr>
            <w:tcW w:w="2532" w:type="dxa"/>
          </w:tcPr>
          <w:p>
            <w:pPr>
              <w:pStyle w:val="TableParagraph"/>
              <w:ind w:left="77"/>
              <w:rPr>
                <w:sz w:val="18"/>
              </w:rPr>
            </w:pPr>
            <w:r>
              <w:rPr>
                <w:color w:val="231F20"/>
                <w:sz w:val="18"/>
              </w:rPr>
              <w:t>Sanitario/baños  públicos</w:t>
            </w:r>
          </w:p>
        </w:tc>
        <w:tc>
          <w:tcPr>
            <w:tcW w:w="1020" w:type="dxa"/>
          </w:tcPr>
          <w:p>
            <w:pPr>
              <w:pStyle w:val="TableParagraph"/>
              <w:ind w:right="223"/>
              <w:jc w:val="right"/>
              <w:rPr>
                <w:sz w:val="18"/>
              </w:rPr>
            </w:pPr>
            <w:r>
              <w:rPr>
                <w:color w:val="231F20"/>
                <w:sz w:val="18"/>
              </w:rPr>
              <w:t>24.1</w:t>
            </w:r>
          </w:p>
        </w:tc>
        <w:tc>
          <w:tcPr>
            <w:tcW w:w="1020" w:type="dxa"/>
          </w:tcPr>
          <w:p>
            <w:pPr>
              <w:pStyle w:val="TableParagraph"/>
              <w:ind w:right="223"/>
              <w:jc w:val="right"/>
              <w:rPr>
                <w:sz w:val="18"/>
              </w:rPr>
            </w:pPr>
            <w:r>
              <w:rPr>
                <w:color w:val="231F20"/>
                <w:sz w:val="18"/>
              </w:rPr>
              <w:t>30.4</w:t>
            </w:r>
          </w:p>
        </w:tc>
        <w:tc>
          <w:tcPr>
            <w:tcW w:w="1020" w:type="dxa"/>
          </w:tcPr>
          <w:p>
            <w:pPr>
              <w:pStyle w:val="TableParagraph"/>
              <w:ind w:right="223"/>
              <w:jc w:val="right"/>
              <w:rPr>
                <w:sz w:val="18"/>
              </w:rPr>
            </w:pPr>
            <w:r>
              <w:rPr>
                <w:color w:val="231F20"/>
                <w:sz w:val="18"/>
              </w:rPr>
              <w:t>31.3</w:t>
            </w:r>
          </w:p>
        </w:tc>
      </w:tr>
      <w:tr>
        <w:trPr>
          <w:trHeight w:val="340" w:hRule="exact"/>
        </w:trPr>
        <w:tc>
          <w:tcPr>
            <w:tcW w:w="2532" w:type="dxa"/>
          </w:tcPr>
          <w:p>
            <w:pPr>
              <w:pStyle w:val="TableParagraph"/>
              <w:ind w:left="77"/>
              <w:rPr>
                <w:sz w:val="18"/>
              </w:rPr>
            </w:pPr>
            <w:r>
              <w:rPr>
                <w:color w:val="231F20"/>
                <w:w w:val="105"/>
                <w:sz w:val="18"/>
              </w:rPr>
              <w:t>Casa de cambio/banco</w:t>
            </w:r>
          </w:p>
        </w:tc>
        <w:tc>
          <w:tcPr>
            <w:tcW w:w="1020" w:type="dxa"/>
          </w:tcPr>
          <w:p>
            <w:pPr>
              <w:pStyle w:val="TableParagraph"/>
              <w:ind w:right="223"/>
              <w:jc w:val="right"/>
              <w:rPr>
                <w:sz w:val="18"/>
              </w:rPr>
            </w:pPr>
            <w:r>
              <w:rPr>
                <w:color w:val="231F20"/>
                <w:sz w:val="18"/>
              </w:rPr>
              <w:t>8.3</w:t>
            </w:r>
          </w:p>
        </w:tc>
        <w:tc>
          <w:tcPr>
            <w:tcW w:w="1020" w:type="dxa"/>
          </w:tcPr>
          <w:p>
            <w:pPr>
              <w:pStyle w:val="TableParagraph"/>
              <w:ind w:right="223"/>
              <w:jc w:val="right"/>
              <w:rPr>
                <w:sz w:val="18"/>
              </w:rPr>
            </w:pPr>
            <w:r>
              <w:rPr>
                <w:color w:val="231F20"/>
                <w:sz w:val="18"/>
              </w:rPr>
              <w:t>11.1</w:t>
            </w:r>
          </w:p>
        </w:tc>
        <w:tc>
          <w:tcPr>
            <w:tcW w:w="1020" w:type="dxa"/>
          </w:tcPr>
          <w:p>
            <w:pPr>
              <w:pStyle w:val="TableParagraph"/>
              <w:ind w:right="223"/>
              <w:jc w:val="right"/>
              <w:rPr>
                <w:sz w:val="18"/>
              </w:rPr>
            </w:pPr>
            <w:r>
              <w:rPr>
                <w:color w:val="231F20"/>
                <w:sz w:val="18"/>
              </w:rPr>
              <w:t>9.4</w:t>
            </w:r>
          </w:p>
        </w:tc>
      </w:tr>
      <w:tr>
        <w:trPr>
          <w:trHeight w:val="340" w:hRule="exact"/>
        </w:trPr>
        <w:tc>
          <w:tcPr>
            <w:tcW w:w="2532" w:type="dxa"/>
          </w:tcPr>
          <w:p>
            <w:pPr>
              <w:pStyle w:val="TableParagraph"/>
              <w:ind w:left="76"/>
              <w:rPr>
                <w:sz w:val="18"/>
              </w:rPr>
            </w:pPr>
            <w:r>
              <w:rPr>
                <w:color w:val="231F20"/>
                <w:sz w:val="18"/>
              </w:rPr>
              <w:t>Restaurantes/fondas</w:t>
            </w:r>
          </w:p>
        </w:tc>
        <w:tc>
          <w:tcPr>
            <w:tcW w:w="1020" w:type="dxa"/>
          </w:tcPr>
          <w:p>
            <w:pPr>
              <w:pStyle w:val="TableParagraph"/>
              <w:ind w:right="223"/>
              <w:jc w:val="right"/>
              <w:rPr>
                <w:sz w:val="18"/>
              </w:rPr>
            </w:pPr>
            <w:r>
              <w:rPr>
                <w:color w:val="231F20"/>
                <w:sz w:val="18"/>
              </w:rPr>
              <w:t>39.5</w:t>
            </w:r>
          </w:p>
        </w:tc>
        <w:tc>
          <w:tcPr>
            <w:tcW w:w="1020" w:type="dxa"/>
          </w:tcPr>
          <w:p>
            <w:pPr>
              <w:pStyle w:val="TableParagraph"/>
              <w:ind w:right="223"/>
              <w:jc w:val="right"/>
              <w:rPr>
                <w:sz w:val="18"/>
              </w:rPr>
            </w:pPr>
            <w:r>
              <w:rPr>
                <w:color w:val="231F20"/>
                <w:sz w:val="18"/>
              </w:rPr>
              <w:t>52.7</w:t>
            </w:r>
          </w:p>
        </w:tc>
        <w:tc>
          <w:tcPr>
            <w:tcW w:w="1020" w:type="dxa"/>
          </w:tcPr>
          <w:p>
            <w:pPr>
              <w:pStyle w:val="TableParagraph"/>
              <w:ind w:right="223"/>
              <w:jc w:val="right"/>
              <w:rPr>
                <w:sz w:val="18"/>
              </w:rPr>
            </w:pPr>
            <w:r>
              <w:rPr>
                <w:color w:val="231F20"/>
                <w:sz w:val="18"/>
              </w:rPr>
              <w:t>49.0</w:t>
            </w:r>
          </w:p>
        </w:tc>
      </w:tr>
      <w:tr>
        <w:trPr>
          <w:trHeight w:val="340" w:hRule="exact"/>
        </w:trPr>
        <w:tc>
          <w:tcPr>
            <w:tcW w:w="2532" w:type="dxa"/>
          </w:tcPr>
          <w:p>
            <w:pPr>
              <w:pStyle w:val="TableParagraph"/>
              <w:ind w:left="76"/>
              <w:rPr>
                <w:sz w:val="18"/>
              </w:rPr>
            </w:pPr>
            <w:r>
              <w:rPr>
                <w:color w:val="231F20"/>
                <w:w w:val="105"/>
                <w:sz w:val="18"/>
              </w:rPr>
              <w:t>Transporte urbano</w:t>
            </w:r>
          </w:p>
        </w:tc>
        <w:tc>
          <w:tcPr>
            <w:tcW w:w="1020" w:type="dxa"/>
          </w:tcPr>
          <w:p>
            <w:pPr>
              <w:pStyle w:val="TableParagraph"/>
              <w:ind w:right="223"/>
              <w:jc w:val="right"/>
              <w:rPr>
                <w:sz w:val="18"/>
              </w:rPr>
            </w:pPr>
            <w:r>
              <w:rPr>
                <w:color w:val="231F20"/>
                <w:sz w:val="18"/>
              </w:rPr>
              <w:t>42.2</w:t>
            </w:r>
          </w:p>
        </w:tc>
        <w:tc>
          <w:tcPr>
            <w:tcW w:w="1020" w:type="dxa"/>
          </w:tcPr>
          <w:p>
            <w:pPr>
              <w:pStyle w:val="TableParagraph"/>
              <w:ind w:right="223"/>
              <w:jc w:val="right"/>
              <w:rPr>
                <w:sz w:val="18"/>
              </w:rPr>
            </w:pPr>
            <w:r>
              <w:rPr>
                <w:color w:val="231F20"/>
                <w:sz w:val="18"/>
              </w:rPr>
              <w:t>42.9</w:t>
            </w:r>
          </w:p>
        </w:tc>
        <w:tc>
          <w:tcPr>
            <w:tcW w:w="1020" w:type="dxa"/>
          </w:tcPr>
          <w:p>
            <w:pPr>
              <w:pStyle w:val="TableParagraph"/>
              <w:ind w:right="223"/>
              <w:jc w:val="right"/>
              <w:rPr>
                <w:sz w:val="18"/>
              </w:rPr>
            </w:pPr>
            <w:r>
              <w:rPr>
                <w:color w:val="231F20"/>
                <w:sz w:val="18"/>
              </w:rPr>
              <w:t>30.1</w:t>
            </w:r>
          </w:p>
        </w:tc>
      </w:tr>
      <w:tr>
        <w:trPr>
          <w:trHeight w:val="340" w:hRule="exact"/>
        </w:trPr>
        <w:tc>
          <w:tcPr>
            <w:tcW w:w="2532" w:type="dxa"/>
          </w:tcPr>
          <w:p>
            <w:pPr>
              <w:pStyle w:val="TableParagraph"/>
              <w:ind w:left="76"/>
              <w:rPr>
                <w:sz w:val="18"/>
              </w:rPr>
            </w:pPr>
            <w:r>
              <w:rPr>
                <w:color w:val="231F20"/>
                <w:sz w:val="18"/>
              </w:rPr>
              <w:t>Tiendas de autoservicios</w:t>
            </w:r>
          </w:p>
        </w:tc>
        <w:tc>
          <w:tcPr>
            <w:tcW w:w="1020" w:type="dxa"/>
          </w:tcPr>
          <w:p>
            <w:pPr>
              <w:pStyle w:val="TableParagraph"/>
              <w:ind w:right="224"/>
              <w:jc w:val="right"/>
              <w:rPr>
                <w:sz w:val="18"/>
              </w:rPr>
            </w:pPr>
            <w:r>
              <w:rPr>
                <w:color w:val="231F20"/>
                <w:sz w:val="18"/>
              </w:rPr>
              <w:t>36.4</w:t>
            </w:r>
          </w:p>
        </w:tc>
        <w:tc>
          <w:tcPr>
            <w:tcW w:w="1020" w:type="dxa"/>
          </w:tcPr>
          <w:p>
            <w:pPr>
              <w:pStyle w:val="TableParagraph"/>
              <w:ind w:right="224"/>
              <w:jc w:val="right"/>
              <w:rPr>
                <w:sz w:val="18"/>
              </w:rPr>
            </w:pPr>
            <w:r>
              <w:rPr>
                <w:color w:val="231F20"/>
                <w:sz w:val="18"/>
              </w:rPr>
              <w:t>41.0</w:t>
            </w:r>
          </w:p>
        </w:tc>
        <w:tc>
          <w:tcPr>
            <w:tcW w:w="1020" w:type="dxa"/>
          </w:tcPr>
          <w:p>
            <w:pPr>
              <w:pStyle w:val="TableParagraph"/>
              <w:ind w:right="224"/>
              <w:jc w:val="right"/>
              <w:rPr>
                <w:sz w:val="18"/>
              </w:rPr>
            </w:pPr>
            <w:r>
              <w:rPr>
                <w:color w:val="231F20"/>
                <w:sz w:val="18"/>
              </w:rPr>
              <w:t>42.4</w:t>
            </w:r>
          </w:p>
        </w:tc>
      </w:tr>
      <w:tr>
        <w:trPr>
          <w:trHeight w:val="340" w:hRule="exact"/>
        </w:trPr>
        <w:tc>
          <w:tcPr>
            <w:tcW w:w="2532" w:type="dxa"/>
          </w:tcPr>
          <w:p>
            <w:pPr>
              <w:pStyle w:val="TableParagraph"/>
              <w:spacing w:before="92"/>
              <w:ind w:left="76"/>
              <w:rPr>
                <w:sz w:val="18"/>
              </w:rPr>
            </w:pPr>
            <w:r>
              <w:rPr>
                <w:color w:val="231F20"/>
                <w:w w:val="105"/>
                <w:sz w:val="18"/>
              </w:rPr>
              <w:t>Centros de diversión</w:t>
            </w:r>
          </w:p>
        </w:tc>
        <w:tc>
          <w:tcPr>
            <w:tcW w:w="1020" w:type="dxa"/>
          </w:tcPr>
          <w:p>
            <w:pPr>
              <w:pStyle w:val="TableParagraph"/>
              <w:spacing w:before="92"/>
              <w:ind w:right="224"/>
              <w:jc w:val="right"/>
              <w:rPr>
                <w:sz w:val="18"/>
              </w:rPr>
            </w:pPr>
            <w:r>
              <w:rPr>
                <w:color w:val="231F20"/>
                <w:sz w:val="18"/>
              </w:rPr>
              <w:t>0.5</w:t>
            </w:r>
          </w:p>
        </w:tc>
        <w:tc>
          <w:tcPr>
            <w:tcW w:w="1020" w:type="dxa"/>
          </w:tcPr>
          <w:p>
            <w:pPr>
              <w:pStyle w:val="TableParagraph"/>
              <w:spacing w:before="92"/>
              <w:ind w:right="224"/>
              <w:jc w:val="right"/>
              <w:rPr>
                <w:sz w:val="18"/>
              </w:rPr>
            </w:pPr>
            <w:r>
              <w:rPr>
                <w:color w:val="231F20"/>
                <w:sz w:val="18"/>
              </w:rPr>
              <w:t>2.3</w:t>
            </w:r>
          </w:p>
        </w:tc>
        <w:tc>
          <w:tcPr>
            <w:tcW w:w="1020" w:type="dxa"/>
          </w:tcPr>
          <w:p>
            <w:pPr>
              <w:pStyle w:val="TableParagraph"/>
              <w:spacing w:before="92"/>
              <w:ind w:right="224"/>
              <w:jc w:val="right"/>
              <w:rPr>
                <w:sz w:val="18"/>
              </w:rPr>
            </w:pPr>
            <w:r>
              <w:rPr>
                <w:color w:val="231F20"/>
                <w:sz w:val="18"/>
              </w:rPr>
              <w:t>3.1</w:t>
            </w:r>
          </w:p>
        </w:tc>
      </w:tr>
      <w:tr>
        <w:trPr>
          <w:trHeight w:val="340" w:hRule="exact"/>
        </w:trPr>
        <w:tc>
          <w:tcPr>
            <w:tcW w:w="2532" w:type="dxa"/>
          </w:tcPr>
          <w:p>
            <w:pPr>
              <w:pStyle w:val="TableParagraph"/>
              <w:spacing w:before="92"/>
              <w:ind w:left="76"/>
              <w:rPr>
                <w:sz w:val="18"/>
              </w:rPr>
            </w:pPr>
            <w:r>
              <w:rPr>
                <w:color w:val="231F20"/>
                <w:sz w:val="18"/>
              </w:rPr>
              <w:t>Casa de huéspedes</w:t>
            </w:r>
          </w:p>
        </w:tc>
        <w:tc>
          <w:tcPr>
            <w:tcW w:w="1020" w:type="dxa"/>
          </w:tcPr>
          <w:p>
            <w:pPr>
              <w:pStyle w:val="TableParagraph"/>
              <w:spacing w:before="92"/>
              <w:ind w:right="224"/>
              <w:jc w:val="right"/>
              <w:rPr>
                <w:sz w:val="18"/>
              </w:rPr>
            </w:pPr>
            <w:r>
              <w:rPr>
                <w:color w:val="231F20"/>
                <w:sz w:val="18"/>
              </w:rPr>
              <w:t>43.2</w:t>
            </w:r>
          </w:p>
        </w:tc>
        <w:tc>
          <w:tcPr>
            <w:tcW w:w="1020" w:type="dxa"/>
          </w:tcPr>
          <w:p>
            <w:pPr>
              <w:pStyle w:val="TableParagraph"/>
              <w:spacing w:before="92"/>
              <w:ind w:right="224"/>
              <w:jc w:val="right"/>
              <w:rPr>
                <w:sz w:val="18"/>
              </w:rPr>
            </w:pPr>
            <w:r>
              <w:rPr>
                <w:color w:val="231F20"/>
                <w:sz w:val="18"/>
              </w:rPr>
              <w:t>50.2</w:t>
            </w:r>
          </w:p>
        </w:tc>
        <w:tc>
          <w:tcPr>
            <w:tcW w:w="1020" w:type="dxa"/>
          </w:tcPr>
          <w:p>
            <w:pPr>
              <w:pStyle w:val="TableParagraph"/>
              <w:spacing w:before="92"/>
              <w:ind w:right="224"/>
              <w:jc w:val="right"/>
              <w:rPr>
                <w:sz w:val="18"/>
              </w:rPr>
            </w:pPr>
            <w:r>
              <w:rPr>
                <w:color w:val="231F20"/>
                <w:sz w:val="18"/>
              </w:rPr>
              <w:t>55.2</w:t>
            </w:r>
          </w:p>
        </w:tc>
      </w:tr>
      <w:tr>
        <w:trPr>
          <w:trHeight w:val="340" w:hRule="exact"/>
        </w:trPr>
        <w:tc>
          <w:tcPr>
            <w:tcW w:w="2532" w:type="dxa"/>
          </w:tcPr>
          <w:p>
            <w:pPr>
              <w:pStyle w:val="TableParagraph"/>
              <w:spacing w:before="92"/>
              <w:ind w:left="76"/>
              <w:rPr>
                <w:sz w:val="18"/>
              </w:rPr>
            </w:pPr>
            <w:r>
              <w:rPr>
                <w:color w:val="231F20"/>
                <w:w w:val="105"/>
                <w:sz w:val="18"/>
              </w:rPr>
              <w:t>Médicos</w:t>
            </w:r>
          </w:p>
        </w:tc>
        <w:tc>
          <w:tcPr>
            <w:tcW w:w="1020" w:type="dxa"/>
          </w:tcPr>
          <w:p>
            <w:pPr>
              <w:pStyle w:val="TableParagraph"/>
              <w:spacing w:before="92"/>
              <w:ind w:right="224"/>
              <w:jc w:val="right"/>
              <w:rPr>
                <w:sz w:val="18"/>
              </w:rPr>
            </w:pPr>
            <w:r>
              <w:rPr>
                <w:color w:val="231F20"/>
                <w:sz w:val="18"/>
              </w:rPr>
              <w:t>0.3</w:t>
            </w:r>
          </w:p>
        </w:tc>
        <w:tc>
          <w:tcPr>
            <w:tcW w:w="1020" w:type="dxa"/>
          </w:tcPr>
          <w:p>
            <w:pPr>
              <w:pStyle w:val="TableParagraph"/>
              <w:spacing w:before="92"/>
              <w:ind w:right="224"/>
              <w:jc w:val="right"/>
              <w:rPr>
                <w:sz w:val="18"/>
              </w:rPr>
            </w:pPr>
            <w:r>
              <w:rPr>
                <w:color w:val="231F20"/>
                <w:sz w:val="18"/>
              </w:rPr>
              <w:t>0.9</w:t>
            </w:r>
          </w:p>
        </w:tc>
        <w:tc>
          <w:tcPr>
            <w:tcW w:w="1020" w:type="dxa"/>
          </w:tcPr>
          <w:p>
            <w:pPr>
              <w:pStyle w:val="TableParagraph"/>
              <w:spacing w:before="92"/>
              <w:ind w:right="224"/>
              <w:jc w:val="right"/>
              <w:rPr>
                <w:sz w:val="18"/>
              </w:rPr>
            </w:pPr>
            <w:r>
              <w:rPr>
                <w:color w:val="231F20"/>
                <w:w w:val="95"/>
                <w:sz w:val="18"/>
              </w:rPr>
              <w:t>--</w:t>
            </w:r>
          </w:p>
        </w:tc>
      </w:tr>
      <w:tr>
        <w:trPr>
          <w:trHeight w:val="340" w:hRule="exact"/>
        </w:trPr>
        <w:tc>
          <w:tcPr>
            <w:tcW w:w="2532" w:type="dxa"/>
          </w:tcPr>
          <w:p>
            <w:pPr>
              <w:pStyle w:val="TableParagraph"/>
              <w:spacing w:before="92"/>
              <w:ind w:left="76"/>
              <w:rPr>
                <w:sz w:val="18"/>
              </w:rPr>
            </w:pPr>
            <w:r>
              <w:rPr>
                <w:color w:val="231F20"/>
                <w:w w:val="110"/>
                <w:sz w:val="18"/>
              </w:rPr>
              <w:t>Otro</w:t>
            </w:r>
          </w:p>
        </w:tc>
        <w:tc>
          <w:tcPr>
            <w:tcW w:w="1020" w:type="dxa"/>
          </w:tcPr>
          <w:p>
            <w:pPr>
              <w:pStyle w:val="TableParagraph"/>
              <w:spacing w:before="92"/>
              <w:ind w:right="224"/>
              <w:jc w:val="right"/>
              <w:rPr>
                <w:sz w:val="18"/>
              </w:rPr>
            </w:pPr>
            <w:r>
              <w:rPr>
                <w:color w:val="231F20"/>
                <w:w w:val="95"/>
                <w:sz w:val="18"/>
              </w:rPr>
              <w:t>--</w:t>
            </w:r>
          </w:p>
        </w:tc>
        <w:tc>
          <w:tcPr>
            <w:tcW w:w="1020" w:type="dxa"/>
          </w:tcPr>
          <w:p>
            <w:pPr>
              <w:pStyle w:val="TableParagraph"/>
              <w:spacing w:before="92"/>
              <w:ind w:right="224"/>
              <w:jc w:val="right"/>
              <w:rPr>
                <w:sz w:val="18"/>
              </w:rPr>
            </w:pPr>
            <w:r>
              <w:rPr>
                <w:color w:val="231F20"/>
                <w:sz w:val="18"/>
              </w:rPr>
              <w:t>0.2</w:t>
            </w:r>
          </w:p>
        </w:tc>
        <w:tc>
          <w:tcPr>
            <w:tcW w:w="1020" w:type="dxa"/>
          </w:tcPr>
          <w:p>
            <w:pPr>
              <w:pStyle w:val="TableParagraph"/>
              <w:spacing w:before="92"/>
              <w:ind w:right="224"/>
              <w:jc w:val="right"/>
              <w:rPr>
                <w:sz w:val="18"/>
              </w:rPr>
            </w:pPr>
            <w:r>
              <w:rPr>
                <w:color w:val="231F20"/>
                <w:w w:val="95"/>
                <w:sz w:val="18"/>
              </w:rPr>
              <w:t>--</w:t>
            </w:r>
          </w:p>
        </w:tc>
      </w:tr>
      <w:tr>
        <w:trPr>
          <w:trHeight w:val="340" w:hRule="exact"/>
        </w:trPr>
        <w:tc>
          <w:tcPr>
            <w:tcW w:w="2532" w:type="dxa"/>
          </w:tcPr>
          <w:p>
            <w:pPr>
              <w:pStyle w:val="TableParagraph"/>
              <w:spacing w:before="92"/>
              <w:ind w:left="76"/>
              <w:rPr>
                <w:sz w:val="18"/>
              </w:rPr>
            </w:pPr>
            <w:r>
              <w:rPr>
                <w:color w:val="231F20"/>
                <w:w w:val="105"/>
                <w:sz w:val="18"/>
              </w:rPr>
              <w:t>N</w:t>
            </w:r>
          </w:p>
        </w:tc>
        <w:tc>
          <w:tcPr>
            <w:tcW w:w="1020" w:type="dxa"/>
          </w:tcPr>
          <w:p>
            <w:pPr>
              <w:pStyle w:val="TableParagraph"/>
              <w:spacing w:before="92"/>
              <w:ind w:right="224"/>
              <w:jc w:val="right"/>
              <w:rPr>
                <w:sz w:val="18"/>
              </w:rPr>
            </w:pPr>
            <w:r>
              <w:rPr>
                <w:color w:val="231F20"/>
                <w:sz w:val="18"/>
              </w:rPr>
              <w:t>24,051</w:t>
            </w:r>
          </w:p>
        </w:tc>
        <w:tc>
          <w:tcPr>
            <w:tcW w:w="1020" w:type="dxa"/>
          </w:tcPr>
          <w:p>
            <w:pPr>
              <w:pStyle w:val="TableParagraph"/>
              <w:spacing w:before="92"/>
              <w:ind w:right="224"/>
              <w:jc w:val="right"/>
              <w:rPr>
                <w:sz w:val="18"/>
              </w:rPr>
            </w:pPr>
            <w:r>
              <w:rPr>
                <w:color w:val="231F20"/>
                <w:sz w:val="18"/>
              </w:rPr>
              <w:t>25,087</w:t>
            </w:r>
          </w:p>
        </w:tc>
        <w:tc>
          <w:tcPr>
            <w:tcW w:w="1020" w:type="dxa"/>
          </w:tcPr>
          <w:p>
            <w:pPr>
              <w:pStyle w:val="TableParagraph"/>
              <w:spacing w:before="92"/>
              <w:ind w:right="224"/>
              <w:jc w:val="right"/>
              <w:rPr>
                <w:sz w:val="18"/>
              </w:rPr>
            </w:pPr>
            <w:r>
              <w:rPr>
                <w:color w:val="231F20"/>
                <w:sz w:val="18"/>
              </w:rPr>
              <w:t>20,452</w:t>
            </w:r>
          </w:p>
        </w:tc>
      </w:tr>
    </w:tbl>
    <w:p>
      <w:pPr>
        <w:spacing w:before="78"/>
        <w:ind w:left="2489" w:right="0" w:firstLine="0"/>
        <w:jc w:val="left"/>
        <w:rPr>
          <w:sz w:val="16"/>
        </w:rPr>
      </w:pPr>
      <w:r>
        <w:rPr>
          <w:color w:val="231F20"/>
          <w:w w:val="105"/>
          <w:sz w:val="16"/>
        </w:rPr>
        <w:t>Fuente: elaboración propia con base en la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837" w:right="1713"/>
        <w:jc w:val="both"/>
      </w:pPr>
      <w:r>
        <w:rPr>
          <w:color w:val="231F20"/>
          <w:w w:val="105"/>
        </w:rPr>
        <w:t>Sobre el tiempo de estancia en la ciudad fronteriza de cruce, la </w:t>
      </w:r>
      <w:r>
        <w:rPr>
          <w:color w:val="231F20"/>
          <w:w w:val="105"/>
          <w:sz w:val="17"/>
        </w:rPr>
        <w:t>EMIF </w:t>
      </w:r>
      <w:r>
        <w:rPr>
          <w:color w:val="231F20"/>
          <w:w w:val="105"/>
        </w:rPr>
        <w:t>Norte 2007 muestra que las mayores proporciones corresponden a </w:t>
      </w:r>
      <w:r>
        <w:rPr>
          <w:color w:val="231F20"/>
          <w:spacing w:val="2"/>
          <w:w w:val="105"/>
        </w:rPr>
        <w:t>los </w:t>
      </w:r>
      <w:r>
        <w:rPr>
          <w:color w:val="231F20"/>
          <w:w w:val="105"/>
        </w:rPr>
        <w:t>mexiquenses que permanecieron horas (47.9%) o días (48.2%). De</w:t>
      </w:r>
      <w:r>
        <w:rPr>
          <w:color w:val="231F20"/>
          <w:spacing w:val="-31"/>
          <w:w w:val="105"/>
        </w:rPr>
        <w:t> </w:t>
      </w:r>
      <w:r>
        <w:rPr>
          <w:color w:val="231F20"/>
          <w:w w:val="105"/>
        </w:rPr>
        <w:t>es- tos últimos, alrededor de 45.6% permaneció dos días, 30.3% un día y 10.7% tres días. En 2009 se registra una misma tendencia, aunque se aumenta</w:t>
      </w:r>
      <w:r>
        <w:rPr>
          <w:color w:val="231F20"/>
          <w:spacing w:val="-8"/>
          <w:w w:val="105"/>
        </w:rPr>
        <w:t> </w:t>
      </w:r>
      <w:r>
        <w:rPr>
          <w:color w:val="231F20"/>
          <w:w w:val="105"/>
        </w:rPr>
        <w:t>la</w:t>
      </w:r>
      <w:r>
        <w:rPr>
          <w:color w:val="231F20"/>
          <w:spacing w:val="-8"/>
          <w:w w:val="105"/>
        </w:rPr>
        <w:t> </w:t>
      </w:r>
      <w:r>
        <w:rPr>
          <w:color w:val="231F20"/>
          <w:w w:val="105"/>
        </w:rPr>
        <w:t>proporción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permanecieron</w:t>
      </w:r>
      <w:r>
        <w:rPr>
          <w:color w:val="231F20"/>
          <w:spacing w:val="-8"/>
          <w:w w:val="105"/>
        </w:rPr>
        <w:t> </w:t>
      </w:r>
      <w:r>
        <w:rPr>
          <w:color w:val="231F20"/>
          <w:w w:val="105"/>
        </w:rPr>
        <w:t>algunos</w:t>
      </w:r>
      <w:r>
        <w:rPr>
          <w:color w:val="231F20"/>
          <w:spacing w:val="-8"/>
          <w:w w:val="105"/>
        </w:rPr>
        <w:t> </w:t>
      </w:r>
      <w:r>
        <w:rPr>
          <w:color w:val="231F20"/>
          <w:w w:val="105"/>
        </w:rPr>
        <w:t>días</w:t>
      </w:r>
      <w:r>
        <w:rPr>
          <w:color w:val="231F20"/>
          <w:spacing w:val="-8"/>
          <w:w w:val="105"/>
        </w:rPr>
        <w:t> </w:t>
      </w:r>
      <w:r>
        <w:rPr>
          <w:color w:val="231F20"/>
          <w:w w:val="105"/>
        </w:rPr>
        <w:t>(56.3%), particularmente</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estuvieron</w:t>
      </w:r>
      <w:r>
        <w:rPr>
          <w:color w:val="231F20"/>
          <w:spacing w:val="-8"/>
          <w:w w:val="105"/>
        </w:rPr>
        <w:t> </w:t>
      </w:r>
      <w:r>
        <w:rPr>
          <w:color w:val="231F20"/>
          <w:w w:val="105"/>
        </w:rPr>
        <w:t>tres</w:t>
      </w:r>
      <w:r>
        <w:rPr>
          <w:color w:val="231F20"/>
          <w:spacing w:val="-8"/>
          <w:w w:val="105"/>
        </w:rPr>
        <w:t> </w:t>
      </w:r>
      <w:r>
        <w:rPr>
          <w:color w:val="231F20"/>
          <w:w w:val="105"/>
        </w:rPr>
        <w:t>días,</w:t>
      </w:r>
      <w:r>
        <w:rPr>
          <w:color w:val="231F20"/>
          <w:spacing w:val="-14"/>
          <w:w w:val="105"/>
        </w:rPr>
        <w:t> </w:t>
      </w:r>
      <w:r>
        <w:rPr>
          <w:color w:val="231F20"/>
          <w:w w:val="105"/>
        </w:rPr>
        <w:t>con</w:t>
      </w:r>
      <w:r>
        <w:rPr>
          <w:color w:val="231F20"/>
          <w:spacing w:val="-8"/>
          <w:w w:val="105"/>
        </w:rPr>
        <w:t> </w:t>
      </w:r>
      <w:r>
        <w:rPr>
          <w:color w:val="231F20"/>
          <w:w w:val="105"/>
        </w:rPr>
        <w:t>25.3%.</w:t>
      </w:r>
      <w:r>
        <w:rPr>
          <w:color w:val="231F20"/>
          <w:spacing w:val="-14"/>
          <w:w w:val="105"/>
        </w:rPr>
        <w:t> </w:t>
      </w:r>
      <w:r>
        <w:rPr>
          <w:color w:val="231F20"/>
          <w:w w:val="105"/>
        </w:rPr>
        <w:t>Finalmente, en 2012 este comportamiento es más visible, pues sólo 17.4% perma- neció algunas horas en la ciudad fronteriza y 71.4% lo hizo por días, siendo en este caso más notoria la proporción de los que permanecie- ron</w:t>
      </w:r>
      <w:r>
        <w:rPr>
          <w:color w:val="231F20"/>
          <w:spacing w:val="-10"/>
          <w:w w:val="105"/>
        </w:rPr>
        <w:t> </w:t>
      </w:r>
      <w:r>
        <w:rPr>
          <w:color w:val="231F20"/>
          <w:w w:val="105"/>
        </w:rPr>
        <w:t>de</w:t>
      </w:r>
      <w:r>
        <w:rPr>
          <w:color w:val="231F20"/>
          <w:spacing w:val="-10"/>
          <w:w w:val="105"/>
        </w:rPr>
        <w:t> </w:t>
      </w:r>
      <w:r>
        <w:rPr>
          <w:color w:val="231F20"/>
          <w:w w:val="105"/>
        </w:rPr>
        <w:t>10</w:t>
      </w:r>
      <w:r>
        <w:rPr>
          <w:color w:val="231F20"/>
          <w:spacing w:val="-10"/>
          <w:w w:val="105"/>
        </w:rPr>
        <w:t> </w:t>
      </w:r>
      <w:r>
        <w:rPr>
          <w:color w:val="231F20"/>
          <w:w w:val="105"/>
        </w:rPr>
        <w:t>(10.1%)</w:t>
      </w:r>
      <w:r>
        <w:rPr>
          <w:color w:val="231F20"/>
          <w:spacing w:val="-10"/>
          <w:w w:val="105"/>
        </w:rPr>
        <w:t> </w:t>
      </w:r>
      <w:r>
        <w:rPr>
          <w:color w:val="231F20"/>
          <w:w w:val="105"/>
        </w:rPr>
        <w:t>y</w:t>
      </w:r>
      <w:r>
        <w:rPr>
          <w:color w:val="231F20"/>
          <w:spacing w:val="-10"/>
          <w:w w:val="105"/>
        </w:rPr>
        <w:t> </w:t>
      </w:r>
      <w:r>
        <w:rPr>
          <w:color w:val="231F20"/>
          <w:w w:val="105"/>
        </w:rPr>
        <w:t>hasta</w:t>
      </w:r>
      <w:r>
        <w:rPr>
          <w:color w:val="231F20"/>
          <w:spacing w:val="-10"/>
          <w:w w:val="105"/>
        </w:rPr>
        <w:t> </w:t>
      </w:r>
      <w:r>
        <w:rPr>
          <w:color w:val="231F20"/>
          <w:w w:val="105"/>
        </w:rPr>
        <w:t>15</w:t>
      </w:r>
      <w:r>
        <w:rPr>
          <w:color w:val="231F20"/>
          <w:spacing w:val="-10"/>
          <w:w w:val="105"/>
        </w:rPr>
        <w:t> </w:t>
      </w:r>
      <w:r>
        <w:rPr>
          <w:color w:val="231F20"/>
          <w:w w:val="105"/>
        </w:rPr>
        <w:t>días</w:t>
      </w:r>
      <w:r>
        <w:rPr>
          <w:color w:val="231F20"/>
          <w:spacing w:val="-10"/>
          <w:w w:val="105"/>
        </w:rPr>
        <w:t> </w:t>
      </w:r>
      <w:r>
        <w:rPr>
          <w:color w:val="231F20"/>
          <w:w w:val="105"/>
        </w:rPr>
        <w:t>(9.8%).</w:t>
      </w:r>
      <w:r>
        <w:rPr>
          <w:color w:val="231F20"/>
          <w:spacing w:val="-15"/>
          <w:w w:val="105"/>
        </w:rPr>
        <w:t> </w:t>
      </w:r>
      <w:r>
        <w:rPr>
          <w:color w:val="231F20"/>
          <w:w w:val="105"/>
        </w:rPr>
        <w:t>Esto</w:t>
      </w:r>
      <w:r>
        <w:rPr>
          <w:color w:val="231F20"/>
          <w:spacing w:val="-10"/>
          <w:w w:val="105"/>
        </w:rPr>
        <w:t> </w:t>
      </w:r>
      <w:r>
        <w:rPr>
          <w:color w:val="231F20"/>
          <w:w w:val="105"/>
        </w:rPr>
        <w:t>puede</w:t>
      </w:r>
      <w:r>
        <w:rPr>
          <w:color w:val="231F20"/>
          <w:spacing w:val="-10"/>
          <w:w w:val="105"/>
        </w:rPr>
        <w:t> </w:t>
      </w:r>
      <w:r>
        <w:rPr>
          <w:color w:val="231F20"/>
          <w:w w:val="105"/>
        </w:rPr>
        <w:t>ser</w:t>
      </w:r>
      <w:r>
        <w:rPr>
          <w:color w:val="231F20"/>
          <w:spacing w:val="-10"/>
          <w:w w:val="105"/>
        </w:rPr>
        <w:t> </w:t>
      </w:r>
      <w:r>
        <w:rPr>
          <w:color w:val="231F20"/>
          <w:spacing w:val="2"/>
          <w:w w:val="105"/>
        </w:rPr>
        <w:t>consecuencia </w:t>
      </w:r>
      <w:r>
        <w:rPr>
          <w:color w:val="231F20"/>
          <w:w w:val="105"/>
        </w:rPr>
        <w:t>de las dificultades asociadas con el cruce, particularmente después de registrada la crisis, cuando el control y resguardo de la frontera </w:t>
      </w:r>
      <w:r>
        <w:rPr>
          <w:color w:val="231F20"/>
          <w:spacing w:val="2"/>
          <w:w w:val="105"/>
        </w:rPr>
        <w:t>tendió </w:t>
      </w:r>
      <w:r>
        <w:rPr>
          <w:color w:val="231F20"/>
          <w:w w:val="105"/>
        </w:rPr>
        <w:t>a</w:t>
      </w:r>
      <w:r>
        <w:rPr>
          <w:color w:val="231F20"/>
          <w:spacing w:val="-34"/>
          <w:w w:val="105"/>
        </w:rPr>
        <w:t> </w:t>
      </w:r>
      <w:r>
        <w:rPr>
          <w:color w:val="231F20"/>
          <w:w w:val="105"/>
        </w:rPr>
        <w:t>intensificarse.</w:t>
      </w:r>
    </w:p>
    <w:p>
      <w:pPr>
        <w:pStyle w:val="BodyText"/>
        <w:spacing w:before="8"/>
        <w:rPr>
          <w:sz w:val="22"/>
        </w:rPr>
      </w:pPr>
    </w:p>
    <w:p>
      <w:pPr>
        <w:spacing w:before="0"/>
        <w:ind w:left="1837" w:right="0" w:firstLine="0"/>
        <w:jc w:val="both"/>
        <w:rPr>
          <w:rFonts w:ascii="Arial"/>
          <w:i/>
          <w:sz w:val="21"/>
        </w:rPr>
      </w:pPr>
      <w:r>
        <w:rPr>
          <w:rFonts w:ascii="Arial"/>
          <w:i/>
          <w:color w:val="231F20"/>
          <w:sz w:val="21"/>
        </w:rPr>
        <w:t>Cruces a Estados Unidos</w:t>
      </w:r>
    </w:p>
    <w:p>
      <w:pPr>
        <w:pStyle w:val="BodyText"/>
        <w:spacing w:before="5"/>
        <w:rPr>
          <w:rFonts w:ascii="Arial"/>
          <w:i/>
          <w:sz w:val="24"/>
        </w:rPr>
      </w:pPr>
    </w:p>
    <w:p>
      <w:pPr>
        <w:pStyle w:val="BodyText"/>
        <w:spacing w:line="261" w:lineRule="auto" w:before="1"/>
        <w:ind w:left="1837" w:right="1717"/>
        <w:jc w:val="both"/>
      </w:pPr>
      <w:r>
        <w:rPr/>
        <w:pict>
          <v:line style="position:absolute;mso-position-horizontal-relative:page;mso-position-vertical-relative:paragraph;z-index:-472384" from="15pt,112.079987pt" to="0pt,112.079987pt" stroked="true" strokeweight=".25pt" strokecolor="#000000">
            <w10:wrap type="none"/>
          </v:line>
        </w:pict>
      </w:r>
      <w:r>
        <w:rPr/>
        <w:pict>
          <v:line style="position:absolute;mso-position-horizontal-relative:page;mso-position-vertical-relative:paragraph;z-index:17824" from="508.890015pt,112.079987pt" to="523.890015pt,112.079987pt" stroked="true" strokeweight=".25pt" strokecolor="#000000">
            <w10:wrap type="none"/>
          </v:line>
        </w:pict>
      </w:r>
      <w:r>
        <w:rPr>
          <w:color w:val="231F20"/>
          <w:w w:val="105"/>
        </w:rPr>
        <w:t>En</w:t>
      </w:r>
      <w:r>
        <w:rPr>
          <w:color w:val="231F20"/>
          <w:spacing w:val="-11"/>
          <w:w w:val="105"/>
        </w:rPr>
        <w:t> </w:t>
      </w:r>
      <w:r>
        <w:rPr>
          <w:color w:val="231F20"/>
          <w:w w:val="105"/>
        </w:rPr>
        <w:t>relación</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último</w:t>
      </w:r>
      <w:r>
        <w:rPr>
          <w:color w:val="231F20"/>
          <w:spacing w:val="-11"/>
          <w:w w:val="105"/>
        </w:rPr>
        <w:t> </w:t>
      </w:r>
      <w:r>
        <w:rPr>
          <w:color w:val="231F20"/>
          <w:w w:val="105"/>
        </w:rPr>
        <w:t>viaje</w:t>
      </w:r>
      <w:r>
        <w:rPr>
          <w:color w:val="231F20"/>
          <w:spacing w:val="-11"/>
          <w:w w:val="105"/>
        </w:rPr>
        <w:t> </w:t>
      </w:r>
      <w:r>
        <w:rPr>
          <w:color w:val="231F20"/>
          <w:w w:val="105"/>
        </w:rPr>
        <w:t>a</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6"/>
          <w:w w:val="105"/>
        </w:rPr>
        <w:t> </w:t>
      </w:r>
      <w:r>
        <w:rPr>
          <w:color w:val="231F20"/>
          <w:w w:val="105"/>
        </w:rPr>
        <w:t>alrededor</w:t>
      </w:r>
      <w:r>
        <w:rPr>
          <w:color w:val="231F20"/>
          <w:spacing w:val="-11"/>
          <w:w w:val="105"/>
        </w:rPr>
        <w:t> </w:t>
      </w:r>
      <w:r>
        <w:rPr>
          <w:color w:val="231F20"/>
          <w:w w:val="105"/>
        </w:rPr>
        <w:t>de</w:t>
      </w:r>
      <w:r>
        <w:rPr>
          <w:color w:val="231F20"/>
          <w:spacing w:val="-11"/>
          <w:w w:val="105"/>
        </w:rPr>
        <w:t> </w:t>
      </w:r>
      <w:r>
        <w:rPr>
          <w:color w:val="231F20"/>
          <w:w w:val="105"/>
        </w:rPr>
        <w:t>85.4%</w:t>
      </w:r>
      <w:r>
        <w:rPr>
          <w:color w:val="231F20"/>
          <w:spacing w:val="-11"/>
          <w:w w:val="105"/>
        </w:rPr>
        <w:t> </w:t>
      </w:r>
      <w:r>
        <w:rPr>
          <w:color w:val="231F20"/>
          <w:w w:val="105"/>
        </w:rPr>
        <w:t>de los</w:t>
      </w:r>
      <w:r>
        <w:rPr>
          <w:color w:val="231F20"/>
          <w:spacing w:val="-15"/>
          <w:w w:val="105"/>
        </w:rPr>
        <w:t> </w:t>
      </w:r>
      <w:r>
        <w:rPr>
          <w:color w:val="231F20"/>
          <w:w w:val="105"/>
        </w:rPr>
        <w:t>migrantes</w:t>
      </w:r>
      <w:r>
        <w:rPr>
          <w:color w:val="231F20"/>
          <w:spacing w:val="-15"/>
          <w:w w:val="105"/>
        </w:rPr>
        <w:t> </w:t>
      </w:r>
      <w:r>
        <w:rPr>
          <w:color w:val="231F20"/>
          <w:w w:val="105"/>
        </w:rPr>
        <w:t>devueltos</w:t>
      </w:r>
      <w:r>
        <w:rPr>
          <w:color w:val="231F20"/>
          <w:spacing w:val="-17"/>
          <w:w w:val="105"/>
        </w:rPr>
        <w:t> </w:t>
      </w:r>
      <w:r>
        <w:rPr>
          <w:color w:val="231F20"/>
          <w:w w:val="105"/>
        </w:rPr>
        <w:t>en</w:t>
      </w:r>
      <w:r>
        <w:rPr>
          <w:color w:val="231F20"/>
          <w:spacing w:val="-18"/>
          <w:w w:val="105"/>
        </w:rPr>
        <w:t> </w:t>
      </w:r>
      <w:r>
        <w:rPr>
          <w:color w:val="231F20"/>
          <w:spacing w:val="-3"/>
          <w:w w:val="105"/>
        </w:rPr>
        <w:t>2007</w:t>
      </w:r>
      <w:r>
        <w:rPr>
          <w:color w:val="231F20"/>
          <w:spacing w:val="-18"/>
          <w:w w:val="105"/>
        </w:rPr>
        <w:t> </w:t>
      </w:r>
      <w:r>
        <w:rPr>
          <w:color w:val="231F20"/>
          <w:w w:val="105"/>
        </w:rPr>
        <w:t>no</w:t>
      </w:r>
      <w:r>
        <w:rPr>
          <w:color w:val="231F20"/>
          <w:spacing w:val="-18"/>
          <w:w w:val="105"/>
        </w:rPr>
        <w:t> </w:t>
      </w:r>
      <w:r>
        <w:rPr>
          <w:color w:val="231F20"/>
          <w:spacing w:val="-3"/>
          <w:w w:val="105"/>
        </w:rPr>
        <w:t>había</w:t>
      </w:r>
      <w:r>
        <w:rPr>
          <w:color w:val="231F20"/>
          <w:spacing w:val="-18"/>
          <w:w w:val="105"/>
        </w:rPr>
        <w:t> </w:t>
      </w:r>
      <w:r>
        <w:rPr>
          <w:color w:val="231F20"/>
          <w:spacing w:val="-3"/>
          <w:w w:val="105"/>
        </w:rPr>
        <w:t>cruzado</w:t>
      </w:r>
      <w:r>
        <w:rPr>
          <w:color w:val="231F20"/>
          <w:spacing w:val="-18"/>
          <w:w w:val="105"/>
        </w:rPr>
        <w:t> </w:t>
      </w:r>
      <w:r>
        <w:rPr>
          <w:color w:val="231F20"/>
          <w:w w:val="105"/>
        </w:rPr>
        <w:t>al</w:t>
      </w:r>
      <w:r>
        <w:rPr>
          <w:color w:val="231F20"/>
          <w:spacing w:val="-18"/>
          <w:w w:val="105"/>
        </w:rPr>
        <w:t> </w:t>
      </w:r>
      <w:r>
        <w:rPr>
          <w:color w:val="231F20"/>
          <w:spacing w:val="-3"/>
          <w:w w:val="105"/>
        </w:rPr>
        <w:t>vecino</w:t>
      </w:r>
      <w:r>
        <w:rPr>
          <w:color w:val="231F20"/>
          <w:spacing w:val="-18"/>
          <w:w w:val="105"/>
        </w:rPr>
        <w:t> </w:t>
      </w:r>
      <w:r>
        <w:rPr>
          <w:color w:val="231F20"/>
          <w:spacing w:val="-3"/>
          <w:w w:val="105"/>
        </w:rPr>
        <w:t>país</w:t>
      </w:r>
      <w:r>
        <w:rPr>
          <w:color w:val="231F20"/>
          <w:spacing w:val="-18"/>
          <w:w w:val="105"/>
        </w:rPr>
        <w:t> </w:t>
      </w:r>
      <w:r>
        <w:rPr>
          <w:color w:val="231F20"/>
          <w:spacing w:val="-3"/>
          <w:w w:val="105"/>
        </w:rPr>
        <w:t>para</w:t>
      </w:r>
      <w:r>
        <w:rPr>
          <w:color w:val="231F20"/>
          <w:spacing w:val="-18"/>
          <w:w w:val="105"/>
        </w:rPr>
        <w:t> </w:t>
      </w:r>
      <w:r>
        <w:rPr>
          <w:color w:val="231F20"/>
          <w:spacing w:val="-3"/>
          <w:w w:val="105"/>
        </w:rPr>
        <w:t>tra- bajar</w:t>
      </w:r>
      <w:r>
        <w:rPr>
          <w:color w:val="231F20"/>
          <w:spacing w:val="-24"/>
          <w:w w:val="105"/>
        </w:rPr>
        <w:t> </w:t>
      </w:r>
      <w:r>
        <w:rPr>
          <w:color w:val="231F20"/>
          <w:w w:val="105"/>
        </w:rPr>
        <w:t>o</w:t>
      </w:r>
      <w:r>
        <w:rPr>
          <w:color w:val="231F20"/>
          <w:spacing w:val="-24"/>
          <w:w w:val="105"/>
        </w:rPr>
        <w:t> </w:t>
      </w:r>
      <w:r>
        <w:rPr>
          <w:color w:val="231F20"/>
          <w:spacing w:val="-3"/>
          <w:w w:val="105"/>
        </w:rPr>
        <w:t>buscar</w:t>
      </w:r>
      <w:r>
        <w:rPr>
          <w:color w:val="231F20"/>
          <w:spacing w:val="-24"/>
          <w:w w:val="105"/>
        </w:rPr>
        <w:t> </w:t>
      </w:r>
      <w:r>
        <w:rPr>
          <w:color w:val="231F20"/>
          <w:spacing w:val="-4"/>
          <w:w w:val="105"/>
        </w:rPr>
        <w:t>trabajo,</w:t>
      </w:r>
      <w:r>
        <w:rPr>
          <w:color w:val="231F20"/>
          <w:spacing w:val="-29"/>
          <w:w w:val="105"/>
        </w:rPr>
        <w:t> </w:t>
      </w:r>
      <w:r>
        <w:rPr>
          <w:color w:val="231F20"/>
          <w:spacing w:val="-3"/>
          <w:w w:val="105"/>
        </w:rPr>
        <w:t>cifra</w:t>
      </w:r>
      <w:r>
        <w:rPr>
          <w:color w:val="231F20"/>
          <w:spacing w:val="-24"/>
          <w:w w:val="105"/>
        </w:rPr>
        <w:t> </w:t>
      </w:r>
      <w:r>
        <w:rPr>
          <w:color w:val="231F20"/>
          <w:w w:val="105"/>
        </w:rPr>
        <w:t>que</w:t>
      </w:r>
      <w:r>
        <w:rPr>
          <w:color w:val="231F20"/>
          <w:spacing w:val="-24"/>
          <w:w w:val="105"/>
        </w:rPr>
        <w:t> </w:t>
      </w:r>
      <w:r>
        <w:rPr>
          <w:color w:val="231F20"/>
          <w:w w:val="105"/>
        </w:rPr>
        <w:t>en</w:t>
      </w:r>
      <w:r>
        <w:rPr>
          <w:color w:val="231F20"/>
          <w:spacing w:val="-24"/>
          <w:w w:val="105"/>
        </w:rPr>
        <w:t> </w:t>
      </w:r>
      <w:r>
        <w:rPr>
          <w:color w:val="231F20"/>
          <w:spacing w:val="-3"/>
          <w:w w:val="105"/>
        </w:rPr>
        <w:t>2009</w:t>
      </w:r>
      <w:r>
        <w:rPr>
          <w:color w:val="231F20"/>
          <w:spacing w:val="-24"/>
          <w:w w:val="105"/>
        </w:rPr>
        <w:t> </w:t>
      </w:r>
      <w:r>
        <w:rPr>
          <w:color w:val="231F20"/>
          <w:w w:val="105"/>
        </w:rPr>
        <w:t>fue</w:t>
      </w:r>
      <w:r>
        <w:rPr>
          <w:color w:val="231F20"/>
          <w:spacing w:val="-24"/>
          <w:w w:val="105"/>
        </w:rPr>
        <w:t> </w:t>
      </w:r>
      <w:r>
        <w:rPr>
          <w:color w:val="231F20"/>
          <w:w w:val="105"/>
        </w:rPr>
        <w:t>de</w:t>
      </w:r>
      <w:r>
        <w:rPr>
          <w:color w:val="231F20"/>
          <w:spacing w:val="-24"/>
          <w:w w:val="105"/>
        </w:rPr>
        <w:t> </w:t>
      </w:r>
      <w:r>
        <w:rPr>
          <w:color w:val="231F20"/>
          <w:spacing w:val="-3"/>
          <w:w w:val="105"/>
        </w:rPr>
        <w:t>75.4%</w:t>
      </w:r>
      <w:r>
        <w:rPr>
          <w:color w:val="231F20"/>
          <w:spacing w:val="-24"/>
          <w:w w:val="105"/>
        </w:rPr>
        <w:t> </w:t>
      </w:r>
      <w:r>
        <w:rPr>
          <w:color w:val="231F20"/>
          <w:w w:val="105"/>
        </w:rPr>
        <w:t>y</w:t>
      </w:r>
      <w:r>
        <w:rPr>
          <w:color w:val="231F20"/>
          <w:spacing w:val="-24"/>
          <w:w w:val="105"/>
        </w:rPr>
        <w:t> </w:t>
      </w:r>
      <w:r>
        <w:rPr>
          <w:color w:val="231F20"/>
          <w:w w:val="105"/>
        </w:rPr>
        <w:t>de</w:t>
      </w:r>
      <w:r>
        <w:rPr>
          <w:color w:val="231F20"/>
          <w:spacing w:val="-24"/>
          <w:w w:val="105"/>
        </w:rPr>
        <w:t> </w:t>
      </w:r>
      <w:r>
        <w:rPr>
          <w:color w:val="231F20"/>
          <w:spacing w:val="-3"/>
          <w:w w:val="105"/>
        </w:rPr>
        <w:t>50.2%</w:t>
      </w:r>
      <w:r>
        <w:rPr>
          <w:color w:val="231F20"/>
          <w:spacing w:val="-24"/>
          <w:w w:val="105"/>
        </w:rPr>
        <w:t> </w:t>
      </w:r>
      <w:r>
        <w:rPr>
          <w:color w:val="231F20"/>
          <w:w w:val="105"/>
        </w:rPr>
        <w:t>en</w:t>
      </w:r>
      <w:r>
        <w:rPr>
          <w:color w:val="231F20"/>
          <w:spacing w:val="-24"/>
          <w:w w:val="105"/>
        </w:rPr>
        <w:t> </w:t>
      </w:r>
      <w:r>
        <w:rPr>
          <w:color w:val="231F20"/>
          <w:spacing w:val="-3"/>
          <w:w w:val="105"/>
        </w:rPr>
        <w:t>2012.</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17968" from="15pt,-71.68644pt" to="0pt,-71.68644pt" stroked="true" strokeweight=".25pt" strokecolor="#000000">
            <w10:wrap type="none"/>
          </v:line>
        </w:pict>
      </w:r>
      <w:r>
        <w:rPr/>
        <w:pict>
          <v:line style="position:absolute;mso-position-horizontal-relative:page;mso-position-vertical-relative:paragraph;z-index:17992" from="508.890015pt,-71.68644pt" to="523.890015pt,-71.68644pt" stroked="true" strokeweight=".25pt" strokecolor="#000000">
            <w10:wrap type="none"/>
          </v:line>
        </w:pict>
      </w:r>
      <w:r>
        <w:rPr>
          <w:color w:val="231F20"/>
          <w:w w:val="105"/>
        </w:rPr>
        <w:t>Es decir, el flujo de migrantes recientes sin experiencia migratoria dis- minuyó</w:t>
      </w:r>
      <w:r>
        <w:rPr>
          <w:color w:val="231F20"/>
          <w:spacing w:val="-14"/>
          <w:w w:val="105"/>
        </w:rPr>
        <w:t> </w:t>
      </w:r>
      <w:r>
        <w:rPr>
          <w:color w:val="231F20"/>
          <w:w w:val="105"/>
        </w:rPr>
        <w:t>significativamente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periodo</w:t>
      </w:r>
      <w:r>
        <w:rPr>
          <w:color w:val="231F20"/>
          <w:spacing w:val="-14"/>
          <w:w w:val="105"/>
        </w:rPr>
        <w:t> </w:t>
      </w:r>
      <w:r>
        <w:rPr>
          <w:color w:val="231F20"/>
          <w:w w:val="105"/>
        </w:rPr>
        <w:t>de</w:t>
      </w:r>
      <w:r>
        <w:rPr>
          <w:color w:val="231F20"/>
          <w:spacing w:val="-14"/>
          <w:w w:val="105"/>
        </w:rPr>
        <w:t> </w:t>
      </w:r>
      <w:r>
        <w:rPr>
          <w:color w:val="231F20"/>
          <w:w w:val="105"/>
        </w:rPr>
        <w:t>análisis,</w:t>
      </w:r>
      <w:r>
        <w:rPr>
          <w:color w:val="231F20"/>
          <w:spacing w:val="-20"/>
          <w:w w:val="105"/>
        </w:rPr>
        <w:t> </w:t>
      </w:r>
      <w:r>
        <w:rPr>
          <w:color w:val="231F20"/>
          <w:w w:val="105"/>
        </w:rPr>
        <w:t>como</w:t>
      </w:r>
      <w:r>
        <w:rPr>
          <w:color w:val="231F20"/>
          <w:spacing w:val="-14"/>
          <w:w w:val="105"/>
        </w:rPr>
        <w:t> </w:t>
      </w:r>
      <w:r>
        <w:rPr>
          <w:color w:val="231F20"/>
          <w:w w:val="105"/>
        </w:rPr>
        <w:t>consecuencia probable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cada</w:t>
      </w:r>
      <w:r>
        <w:rPr>
          <w:color w:val="231F20"/>
          <w:spacing w:val="-9"/>
          <w:w w:val="105"/>
        </w:rPr>
        <w:t> </w:t>
      </w:r>
      <w:r>
        <w:rPr>
          <w:color w:val="231F20"/>
          <w:w w:val="105"/>
        </w:rPr>
        <w:t>vez</w:t>
      </w:r>
      <w:r>
        <w:rPr>
          <w:color w:val="231F20"/>
          <w:spacing w:val="-9"/>
          <w:w w:val="105"/>
        </w:rPr>
        <w:t> </w:t>
      </w:r>
      <w:r>
        <w:rPr>
          <w:color w:val="231F20"/>
          <w:w w:val="105"/>
        </w:rPr>
        <w:t>mayor</w:t>
      </w:r>
      <w:r>
        <w:rPr>
          <w:color w:val="231F20"/>
          <w:spacing w:val="-9"/>
          <w:w w:val="105"/>
        </w:rPr>
        <w:t> </w:t>
      </w:r>
      <w:r>
        <w:rPr>
          <w:color w:val="231F20"/>
          <w:w w:val="105"/>
        </w:rPr>
        <w:t>dificultad</w:t>
      </w:r>
      <w:r>
        <w:rPr>
          <w:color w:val="231F20"/>
          <w:spacing w:val="-9"/>
          <w:w w:val="105"/>
        </w:rPr>
        <w:t> </w:t>
      </w:r>
      <w:r>
        <w:rPr>
          <w:color w:val="231F20"/>
          <w:w w:val="105"/>
        </w:rPr>
        <w:t>para</w:t>
      </w:r>
      <w:r>
        <w:rPr>
          <w:color w:val="231F20"/>
          <w:spacing w:val="-9"/>
          <w:w w:val="105"/>
        </w:rPr>
        <w:t> </w:t>
      </w:r>
      <w:r>
        <w:rPr>
          <w:color w:val="231F20"/>
          <w:w w:val="105"/>
        </w:rPr>
        <w:t>cruzar</w:t>
      </w:r>
      <w:r>
        <w:rPr>
          <w:color w:val="231F20"/>
          <w:spacing w:val="-9"/>
          <w:w w:val="105"/>
        </w:rPr>
        <w:t> </w:t>
      </w:r>
      <w:r>
        <w:rPr>
          <w:color w:val="231F20"/>
          <w:w w:val="105"/>
        </w:rPr>
        <w:t>y</w:t>
      </w:r>
      <w:r>
        <w:rPr>
          <w:color w:val="231F20"/>
          <w:spacing w:val="-9"/>
          <w:w w:val="105"/>
        </w:rPr>
        <w:t> </w:t>
      </w:r>
      <w:r>
        <w:rPr>
          <w:color w:val="231F20"/>
          <w:w w:val="105"/>
        </w:rPr>
        <w:t>los</w:t>
      </w:r>
      <w:r>
        <w:rPr>
          <w:color w:val="231F20"/>
          <w:spacing w:val="-9"/>
          <w:w w:val="105"/>
        </w:rPr>
        <w:t> </w:t>
      </w:r>
      <w:r>
        <w:rPr>
          <w:color w:val="231F20"/>
          <w:w w:val="105"/>
        </w:rPr>
        <w:t>mayores</w:t>
      </w:r>
      <w:r>
        <w:rPr>
          <w:color w:val="231F20"/>
          <w:spacing w:val="-9"/>
          <w:w w:val="105"/>
        </w:rPr>
        <w:t> </w:t>
      </w:r>
      <w:r>
        <w:rPr>
          <w:color w:val="231F20"/>
          <w:w w:val="105"/>
        </w:rPr>
        <w:t>ries- gos</w:t>
      </w:r>
      <w:r>
        <w:rPr>
          <w:color w:val="231F20"/>
          <w:spacing w:val="-11"/>
          <w:w w:val="105"/>
        </w:rPr>
        <w:t> </w:t>
      </w:r>
      <w:r>
        <w:rPr>
          <w:color w:val="231F20"/>
          <w:w w:val="105"/>
        </w:rPr>
        <w:t>asociados</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cruce</w:t>
      </w:r>
      <w:r>
        <w:rPr>
          <w:color w:val="231F20"/>
          <w:spacing w:val="-11"/>
          <w:w w:val="105"/>
        </w:rPr>
        <w:t> </w:t>
      </w:r>
      <w:r>
        <w:rPr>
          <w:color w:val="231F20"/>
          <w:w w:val="105"/>
        </w:rPr>
        <w:t>subrepticio</w:t>
      </w:r>
      <w:r>
        <w:rPr>
          <w:color w:val="231F20"/>
          <w:spacing w:val="-11"/>
          <w:w w:val="105"/>
        </w:rPr>
        <w:t> </w:t>
      </w:r>
      <w:r>
        <w:rPr>
          <w:color w:val="231F20"/>
          <w:w w:val="105"/>
        </w:rPr>
        <w:t>entre</w:t>
      </w:r>
      <w:r>
        <w:rPr>
          <w:color w:val="231F20"/>
          <w:spacing w:val="-11"/>
          <w:w w:val="105"/>
        </w:rPr>
        <w:t> </w:t>
      </w:r>
      <w:r>
        <w:rPr>
          <w:color w:val="231F20"/>
          <w:w w:val="105"/>
        </w:rPr>
        <w:t>la</w:t>
      </w:r>
      <w:r>
        <w:rPr>
          <w:color w:val="231F20"/>
          <w:spacing w:val="-11"/>
          <w:w w:val="105"/>
        </w:rPr>
        <w:t> </w:t>
      </w:r>
      <w:r>
        <w:rPr>
          <w:color w:val="231F20"/>
          <w:w w:val="105"/>
        </w:rPr>
        <w:t>población</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cuenta con experiencia</w:t>
      </w:r>
      <w:r>
        <w:rPr>
          <w:color w:val="231F20"/>
          <w:spacing w:val="-33"/>
          <w:w w:val="105"/>
        </w:rPr>
        <w:t> </w:t>
      </w:r>
      <w:r>
        <w:rPr>
          <w:color w:val="231F20"/>
          <w:w w:val="105"/>
        </w:rPr>
        <w:t>migratoria.</w:t>
      </w:r>
    </w:p>
    <w:p>
      <w:pPr>
        <w:pStyle w:val="BodyText"/>
        <w:spacing w:line="261" w:lineRule="auto" w:before="1"/>
        <w:ind w:left="1723" w:right="1835" w:firstLine="567"/>
        <w:jc w:val="both"/>
      </w:pPr>
      <w:r>
        <w:rPr>
          <w:color w:val="231F20"/>
          <w:w w:val="105"/>
        </w:rPr>
        <w:t>De</w:t>
      </w:r>
      <w:r>
        <w:rPr>
          <w:color w:val="231F20"/>
          <w:spacing w:val="-12"/>
          <w:w w:val="105"/>
        </w:rPr>
        <w:t> </w:t>
      </w:r>
      <w:r>
        <w:rPr>
          <w:color w:val="231F20"/>
          <w:w w:val="105"/>
        </w:rPr>
        <w:t>esta</w:t>
      </w:r>
      <w:r>
        <w:rPr>
          <w:color w:val="231F20"/>
          <w:spacing w:val="-12"/>
          <w:w w:val="105"/>
        </w:rPr>
        <w:t> </w:t>
      </w:r>
      <w:r>
        <w:rPr>
          <w:color w:val="231F20"/>
          <w:w w:val="105"/>
        </w:rPr>
        <w:t>manera,</w:t>
      </w:r>
      <w:r>
        <w:rPr>
          <w:color w:val="231F20"/>
          <w:spacing w:val="-17"/>
          <w:w w:val="105"/>
        </w:rPr>
        <w:t> </w:t>
      </w:r>
      <w:r>
        <w:rPr>
          <w:color w:val="231F20"/>
          <w:w w:val="105"/>
        </w:rPr>
        <w:t>según</w:t>
      </w:r>
      <w:r>
        <w:rPr>
          <w:color w:val="231F20"/>
          <w:spacing w:val="-12"/>
          <w:w w:val="105"/>
        </w:rPr>
        <w:t> </w:t>
      </w:r>
      <w:r>
        <w:rPr>
          <w:color w:val="231F20"/>
          <w:w w:val="105"/>
        </w:rPr>
        <w:t>los</w:t>
      </w:r>
      <w:r>
        <w:rPr>
          <w:color w:val="231F20"/>
          <w:spacing w:val="-12"/>
          <w:w w:val="105"/>
        </w:rPr>
        <w:t> </w:t>
      </w:r>
      <w:r>
        <w:rPr>
          <w:color w:val="231F20"/>
          <w:w w:val="105"/>
        </w:rPr>
        <w:t>resultados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3"/>
          <w:w w:val="105"/>
        </w:rPr>
        <w:t> </w:t>
      </w:r>
      <w:r>
        <w:rPr>
          <w:color w:val="231F20"/>
          <w:w w:val="105"/>
          <w:sz w:val="17"/>
        </w:rPr>
        <w:t>EMIF</w:t>
      </w:r>
      <w:r>
        <w:rPr>
          <w:color w:val="231F20"/>
          <w:w w:val="105"/>
        </w:rPr>
        <w:t>-Norte</w:t>
      </w:r>
      <w:r>
        <w:rPr>
          <w:color w:val="231F20"/>
          <w:spacing w:val="-12"/>
          <w:w w:val="105"/>
        </w:rPr>
        <w:t> </w:t>
      </w:r>
      <w:r>
        <w:rPr>
          <w:color w:val="231F20"/>
          <w:w w:val="105"/>
        </w:rPr>
        <w:t>estimamos que en 2007 únicamente 14.6% de los devueltos había cruzado una o más</w:t>
      </w:r>
      <w:r>
        <w:rPr>
          <w:color w:val="231F20"/>
          <w:spacing w:val="-23"/>
          <w:w w:val="105"/>
        </w:rPr>
        <w:t> </w:t>
      </w:r>
      <w:r>
        <w:rPr>
          <w:color w:val="231F20"/>
          <w:w w:val="105"/>
        </w:rPr>
        <w:t>veces</w:t>
      </w:r>
      <w:r>
        <w:rPr>
          <w:color w:val="231F20"/>
          <w:spacing w:val="-23"/>
          <w:w w:val="105"/>
        </w:rPr>
        <w:t> </w:t>
      </w:r>
      <w:r>
        <w:rPr>
          <w:color w:val="231F20"/>
          <w:w w:val="105"/>
        </w:rPr>
        <w:t>al</w:t>
      </w:r>
      <w:r>
        <w:rPr>
          <w:color w:val="231F20"/>
          <w:spacing w:val="-23"/>
          <w:w w:val="105"/>
        </w:rPr>
        <w:t> </w:t>
      </w:r>
      <w:r>
        <w:rPr>
          <w:color w:val="231F20"/>
          <w:w w:val="105"/>
        </w:rPr>
        <w:t>vecino</w:t>
      </w:r>
      <w:r>
        <w:rPr>
          <w:color w:val="231F20"/>
          <w:spacing w:val="-23"/>
          <w:w w:val="105"/>
        </w:rPr>
        <w:t> </w:t>
      </w:r>
      <w:r>
        <w:rPr>
          <w:color w:val="231F20"/>
          <w:w w:val="105"/>
        </w:rPr>
        <w:t>país</w:t>
      </w:r>
      <w:r>
        <w:rPr>
          <w:color w:val="231F20"/>
          <w:spacing w:val="-23"/>
          <w:w w:val="105"/>
        </w:rPr>
        <w:t> </w:t>
      </w:r>
      <w:r>
        <w:rPr>
          <w:color w:val="231F20"/>
          <w:w w:val="105"/>
        </w:rPr>
        <w:t>para</w:t>
      </w:r>
      <w:r>
        <w:rPr>
          <w:color w:val="231F20"/>
          <w:spacing w:val="-23"/>
          <w:w w:val="105"/>
        </w:rPr>
        <w:t> </w:t>
      </w:r>
      <w:r>
        <w:rPr>
          <w:color w:val="231F20"/>
          <w:w w:val="105"/>
        </w:rPr>
        <w:t>trabajar</w:t>
      </w:r>
      <w:r>
        <w:rPr>
          <w:color w:val="231F20"/>
          <w:spacing w:val="-23"/>
          <w:w w:val="105"/>
        </w:rPr>
        <w:t> </w:t>
      </w:r>
      <w:r>
        <w:rPr>
          <w:color w:val="231F20"/>
          <w:w w:val="105"/>
        </w:rPr>
        <w:t>o</w:t>
      </w:r>
      <w:r>
        <w:rPr>
          <w:color w:val="231F20"/>
          <w:spacing w:val="-23"/>
          <w:w w:val="105"/>
        </w:rPr>
        <w:t> </w:t>
      </w:r>
      <w:r>
        <w:rPr>
          <w:color w:val="231F20"/>
          <w:w w:val="105"/>
        </w:rPr>
        <w:t>buscar</w:t>
      </w:r>
      <w:r>
        <w:rPr>
          <w:color w:val="231F20"/>
          <w:spacing w:val="-23"/>
          <w:w w:val="105"/>
        </w:rPr>
        <w:t> </w:t>
      </w:r>
      <w:r>
        <w:rPr>
          <w:color w:val="231F20"/>
          <w:w w:val="105"/>
        </w:rPr>
        <w:t>trabajo,</w:t>
      </w:r>
      <w:r>
        <w:rPr>
          <w:color w:val="231F20"/>
          <w:spacing w:val="-27"/>
          <w:w w:val="105"/>
        </w:rPr>
        <w:t> </w:t>
      </w:r>
      <w:r>
        <w:rPr>
          <w:color w:val="231F20"/>
          <w:w w:val="105"/>
        </w:rPr>
        <w:t>cifra</w:t>
      </w:r>
      <w:r>
        <w:rPr>
          <w:color w:val="231F20"/>
          <w:spacing w:val="-23"/>
          <w:w w:val="105"/>
        </w:rPr>
        <w:t> </w:t>
      </w:r>
      <w:r>
        <w:rPr>
          <w:color w:val="231F20"/>
          <w:w w:val="105"/>
        </w:rPr>
        <w:t>que</w:t>
      </w:r>
      <w:r>
        <w:rPr>
          <w:color w:val="231F20"/>
          <w:spacing w:val="-23"/>
          <w:w w:val="105"/>
        </w:rPr>
        <w:t> </w:t>
      </w:r>
      <w:r>
        <w:rPr>
          <w:color w:val="231F20"/>
          <w:w w:val="105"/>
        </w:rPr>
        <w:t>en</w:t>
      </w:r>
      <w:r>
        <w:rPr>
          <w:color w:val="231F20"/>
          <w:spacing w:val="-23"/>
          <w:w w:val="105"/>
        </w:rPr>
        <w:t> </w:t>
      </w:r>
      <w:r>
        <w:rPr>
          <w:color w:val="231F20"/>
          <w:w w:val="105"/>
        </w:rPr>
        <w:t>2009 y 2012 se ubicó en 24.6% y 49.8%, respectivamente. Entre esta pobla- ción, es decir la que ha cruzado por lo menos en una ocasión al vecino país</w:t>
      </w:r>
      <w:r>
        <w:rPr>
          <w:color w:val="231F20"/>
          <w:spacing w:val="-8"/>
          <w:w w:val="105"/>
        </w:rPr>
        <w:t> </w:t>
      </w:r>
      <w:r>
        <w:rPr>
          <w:color w:val="231F20"/>
          <w:w w:val="105"/>
        </w:rPr>
        <w:t>se</w:t>
      </w:r>
      <w:r>
        <w:rPr>
          <w:color w:val="231F20"/>
          <w:spacing w:val="-8"/>
          <w:w w:val="105"/>
        </w:rPr>
        <w:t> </w:t>
      </w:r>
      <w:r>
        <w:rPr>
          <w:color w:val="231F20"/>
          <w:w w:val="105"/>
        </w:rPr>
        <w:t>observa</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proporción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mencionaron</w:t>
      </w:r>
      <w:r>
        <w:rPr>
          <w:color w:val="231F20"/>
          <w:spacing w:val="-8"/>
          <w:w w:val="105"/>
        </w:rPr>
        <w:t> </w:t>
      </w:r>
      <w:r>
        <w:rPr>
          <w:color w:val="231F20"/>
          <w:w w:val="105"/>
        </w:rPr>
        <w:t>nunca</w:t>
      </w:r>
      <w:r>
        <w:rPr>
          <w:color w:val="231F20"/>
          <w:spacing w:val="-8"/>
          <w:w w:val="105"/>
        </w:rPr>
        <w:t> </w:t>
      </w:r>
      <w:r>
        <w:rPr>
          <w:color w:val="231F20"/>
          <w:w w:val="105"/>
        </w:rPr>
        <w:t>haber sido</w:t>
      </w:r>
      <w:r>
        <w:rPr>
          <w:color w:val="231F20"/>
          <w:spacing w:val="-16"/>
          <w:w w:val="105"/>
        </w:rPr>
        <w:t> </w:t>
      </w:r>
      <w:r>
        <w:rPr>
          <w:color w:val="231F20"/>
          <w:w w:val="105"/>
        </w:rPr>
        <w:t>detenidos</w:t>
      </w:r>
      <w:r>
        <w:rPr>
          <w:color w:val="231F20"/>
          <w:spacing w:val="-16"/>
          <w:w w:val="105"/>
        </w:rPr>
        <w:t> </w:t>
      </w:r>
      <w:r>
        <w:rPr>
          <w:color w:val="231F20"/>
          <w:w w:val="105"/>
        </w:rPr>
        <w:t>fue</w:t>
      </w:r>
      <w:r>
        <w:rPr>
          <w:color w:val="231F20"/>
          <w:spacing w:val="-16"/>
          <w:w w:val="105"/>
        </w:rPr>
        <w:t> </w:t>
      </w:r>
      <w:r>
        <w:rPr>
          <w:color w:val="231F20"/>
          <w:w w:val="105"/>
        </w:rPr>
        <w:t>de</w:t>
      </w:r>
      <w:r>
        <w:rPr>
          <w:color w:val="231F20"/>
          <w:spacing w:val="-16"/>
          <w:w w:val="105"/>
        </w:rPr>
        <w:t> </w:t>
      </w:r>
      <w:r>
        <w:rPr>
          <w:color w:val="231F20"/>
          <w:w w:val="105"/>
        </w:rPr>
        <w:t>24.9%</w:t>
      </w:r>
      <w:r>
        <w:rPr>
          <w:color w:val="231F20"/>
          <w:spacing w:val="-16"/>
          <w:w w:val="105"/>
        </w:rPr>
        <w:t> </w:t>
      </w:r>
      <w:r>
        <w:rPr>
          <w:color w:val="231F20"/>
          <w:w w:val="105"/>
        </w:rPr>
        <w:t>en</w:t>
      </w:r>
      <w:r>
        <w:rPr>
          <w:color w:val="231F20"/>
          <w:spacing w:val="-16"/>
          <w:w w:val="105"/>
        </w:rPr>
        <w:t> </w:t>
      </w:r>
      <w:r>
        <w:rPr>
          <w:color w:val="231F20"/>
          <w:w w:val="105"/>
        </w:rPr>
        <w:t>2007,</w:t>
      </w:r>
      <w:r>
        <w:rPr>
          <w:color w:val="231F20"/>
          <w:spacing w:val="-21"/>
          <w:w w:val="105"/>
        </w:rPr>
        <w:t> </w:t>
      </w:r>
      <w:r>
        <w:rPr>
          <w:color w:val="231F20"/>
          <w:w w:val="105"/>
        </w:rPr>
        <w:t>43.9%</w:t>
      </w:r>
      <w:r>
        <w:rPr>
          <w:color w:val="231F20"/>
          <w:spacing w:val="-16"/>
          <w:w w:val="105"/>
        </w:rPr>
        <w:t> </w:t>
      </w:r>
      <w:r>
        <w:rPr>
          <w:color w:val="231F20"/>
          <w:w w:val="105"/>
        </w:rPr>
        <w:t>en</w:t>
      </w:r>
      <w:r>
        <w:rPr>
          <w:color w:val="231F20"/>
          <w:spacing w:val="-16"/>
          <w:w w:val="105"/>
        </w:rPr>
        <w:t> </w:t>
      </w:r>
      <w:r>
        <w:rPr>
          <w:color w:val="231F20"/>
          <w:w w:val="105"/>
        </w:rPr>
        <w:t>2009</w:t>
      </w:r>
      <w:r>
        <w:rPr>
          <w:color w:val="231F20"/>
          <w:spacing w:val="-16"/>
          <w:w w:val="105"/>
        </w:rPr>
        <w:t> </w:t>
      </w:r>
      <w:r>
        <w:rPr>
          <w:color w:val="231F20"/>
          <w:w w:val="105"/>
        </w:rPr>
        <w:t>y</w:t>
      </w:r>
      <w:r>
        <w:rPr>
          <w:color w:val="231F20"/>
          <w:spacing w:val="-16"/>
          <w:w w:val="105"/>
        </w:rPr>
        <w:t> </w:t>
      </w:r>
      <w:r>
        <w:rPr>
          <w:color w:val="231F20"/>
          <w:w w:val="105"/>
        </w:rPr>
        <w:t>23.0%</w:t>
      </w:r>
      <w:r>
        <w:rPr>
          <w:color w:val="231F20"/>
          <w:spacing w:val="-16"/>
          <w:w w:val="105"/>
        </w:rPr>
        <w:t> </w:t>
      </w:r>
      <w:r>
        <w:rPr>
          <w:color w:val="231F20"/>
          <w:w w:val="105"/>
        </w:rPr>
        <w:t>en</w:t>
      </w:r>
      <w:r>
        <w:rPr>
          <w:color w:val="231F20"/>
          <w:spacing w:val="-16"/>
          <w:w w:val="105"/>
        </w:rPr>
        <w:t> </w:t>
      </w:r>
      <w:r>
        <w:rPr>
          <w:color w:val="231F20"/>
          <w:w w:val="105"/>
        </w:rPr>
        <w:t>2012.</w:t>
      </w:r>
    </w:p>
    <w:p>
      <w:pPr>
        <w:pStyle w:val="BodyText"/>
        <w:spacing w:line="261" w:lineRule="auto" w:before="1"/>
        <w:ind w:left="1723" w:right="1835" w:firstLine="567"/>
        <w:jc w:val="both"/>
      </w:pPr>
      <w:r>
        <w:rPr>
          <w:color w:val="231F20"/>
          <w:w w:val="105"/>
        </w:rPr>
        <w:t>En </w:t>
      </w:r>
      <w:r>
        <w:rPr>
          <w:color w:val="231F20"/>
          <w:spacing w:val="-3"/>
          <w:w w:val="105"/>
        </w:rPr>
        <w:t>relación </w:t>
      </w:r>
      <w:r>
        <w:rPr>
          <w:color w:val="231F20"/>
          <w:w w:val="105"/>
        </w:rPr>
        <w:t>con el </w:t>
      </w:r>
      <w:r>
        <w:rPr>
          <w:color w:val="231F20"/>
          <w:spacing w:val="-3"/>
          <w:w w:val="105"/>
        </w:rPr>
        <w:t>lugar </w:t>
      </w:r>
      <w:r>
        <w:rPr>
          <w:color w:val="231F20"/>
          <w:w w:val="105"/>
        </w:rPr>
        <w:t>de la </w:t>
      </w:r>
      <w:r>
        <w:rPr>
          <w:color w:val="231F20"/>
          <w:spacing w:val="-3"/>
          <w:w w:val="105"/>
        </w:rPr>
        <w:t>detención durante </w:t>
      </w:r>
      <w:r>
        <w:rPr>
          <w:color w:val="231F20"/>
          <w:w w:val="105"/>
        </w:rPr>
        <w:t>el </w:t>
      </w:r>
      <w:r>
        <w:rPr>
          <w:color w:val="231F20"/>
          <w:spacing w:val="-3"/>
          <w:w w:val="105"/>
        </w:rPr>
        <w:t>último cruce, se estima </w:t>
      </w:r>
      <w:r>
        <w:rPr>
          <w:color w:val="231F20"/>
          <w:w w:val="105"/>
        </w:rPr>
        <w:t>que en </w:t>
      </w:r>
      <w:r>
        <w:rPr>
          <w:color w:val="231F20"/>
          <w:spacing w:val="-3"/>
          <w:w w:val="105"/>
        </w:rPr>
        <w:t>2007 </w:t>
      </w:r>
      <w:r>
        <w:rPr>
          <w:color w:val="231F20"/>
          <w:w w:val="105"/>
        </w:rPr>
        <w:t>la </w:t>
      </w:r>
      <w:r>
        <w:rPr>
          <w:color w:val="231F20"/>
          <w:spacing w:val="-3"/>
          <w:w w:val="105"/>
        </w:rPr>
        <w:t>mayor parte (43.3%) </w:t>
      </w:r>
      <w:r>
        <w:rPr>
          <w:color w:val="231F20"/>
          <w:w w:val="105"/>
        </w:rPr>
        <w:t>fue </w:t>
      </w:r>
      <w:r>
        <w:rPr>
          <w:color w:val="231F20"/>
          <w:spacing w:val="-3"/>
          <w:w w:val="105"/>
        </w:rPr>
        <w:t>detenida </w:t>
      </w:r>
      <w:r>
        <w:rPr>
          <w:color w:val="231F20"/>
          <w:w w:val="105"/>
        </w:rPr>
        <w:t>en un </w:t>
      </w:r>
      <w:r>
        <w:rPr>
          <w:color w:val="231F20"/>
          <w:spacing w:val="-4"/>
          <w:w w:val="105"/>
        </w:rPr>
        <w:t>desierto </w:t>
      </w:r>
      <w:r>
        <w:rPr>
          <w:color w:val="231F20"/>
          <w:w w:val="105"/>
        </w:rPr>
        <w:t>o </w:t>
      </w:r>
      <w:r>
        <w:rPr>
          <w:color w:val="231F20"/>
          <w:spacing w:val="-3"/>
          <w:w w:val="105"/>
        </w:rPr>
        <w:t>montaña, seguido </w:t>
      </w:r>
      <w:r>
        <w:rPr>
          <w:color w:val="231F20"/>
          <w:w w:val="105"/>
        </w:rPr>
        <w:t>por los que </w:t>
      </w:r>
      <w:r>
        <w:rPr>
          <w:color w:val="231F20"/>
          <w:spacing w:val="-3"/>
          <w:w w:val="105"/>
        </w:rPr>
        <w:t>señalaron haber sido captados </w:t>
      </w:r>
      <w:r>
        <w:rPr>
          <w:color w:val="231F20"/>
          <w:w w:val="105"/>
        </w:rPr>
        <w:t>en la ca- lle</w:t>
      </w:r>
      <w:r>
        <w:rPr>
          <w:color w:val="231F20"/>
          <w:spacing w:val="-19"/>
          <w:w w:val="105"/>
        </w:rPr>
        <w:t> </w:t>
      </w:r>
      <w:r>
        <w:rPr>
          <w:color w:val="231F20"/>
          <w:spacing w:val="-3"/>
          <w:w w:val="105"/>
        </w:rPr>
        <w:t>(26.7%)</w:t>
      </w:r>
      <w:r>
        <w:rPr>
          <w:color w:val="231F20"/>
          <w:spacing w:val="-19"/>
          <w:w w:val="105"/>
        </w:rPr>
        <w:t> </w:t>
      </w:r>
      <w:r>
        <w:rPr>
          <w:color w:val="231F20"/>
          <w:w w:val="105"/>
        </w:rPr>
        <w:t>o</w:t>
      </w:r>
      <w:r>
        <w:rPr>
          <w:color w:val="231F20"/>
          <w:spacing w:val="-19"/>
          <w:w w:val="105"/>
        </w:rPr>
        <w:t> </w:t>
      </w:r>
      <w:r>
        <w:rPr>
          <w:color w:val="231F20"/>
          <w:spacing w:val="-3"/>
          <w:w w:val="105"/>
        </w:rPr>
        <w:t>cruzando</w:t>
      </w:r>
      <w:r>
        <w:rPr>
          <w:color w:val="231F20"/>
          <w:spacing w:val="-19"/>
          <w:w w:val="105"/>
        </w:rPr>
        <w:t> </w:t>
      </w:r>
      <w:r>
        <w:rPr>
          <w:color w:val="231F20"/>
          <w:w w:val="105"/>
        </w:rPr>
        <w:t>la</w:t>
      </w:r>
      <w:r>
        <w:rPr>
          <w:color w:val="231F20"/>
          <w:spacing w:val="-19"/>
          <w:w w:val="105"/>
        </w:rPr>
        <w:t> </w:t>
      </w:r>
      <w:r>
        <w:rPr>
          <w:color w:val="231F20"/>
          <w:spacing w:val="-3"/>
          <w:w w:val="105"/>
        </w:rPr>
        <w:t>línea</w:t>
      </w:r>
      <w:r>
        <w:rPr>
          <w:color w:val="231F20"/>
          <w:spacing w:val="-19"/>
          <w:w w:val="105"/>
        </w:rPr>
        <w:t> </w:t>
      </w:r>
      <w:r>
        <w:rPr>
          <w:color w:val="231F20"/>
          <w:spacing w:val="-3"/>
          <w:w w:val="105"/>
        </w:rPr>
        <w:t>fronteriza</w:t>
      </w:r>
      <w:r>
        <w:rPr>
          <w:color w:val="231F20"/>
          <w:spacing w:val="-19"/>
          <w:w w:val="105"/>
        </w:rPr>
        <w:t> </w:t>
      </w:r>
      <w:r>
        <w:rPr>
          <w:color w:val="231F20"/>
          <w:spacing w:val="-3"/>
          <w:w w:val="105"/>
        </w:rPr>
        <w:t>(23.9%).</w:t>
      </w:r>
      <w:r>
        <w:rPr>
          <w:color w:val="231F20"/>
          <w:spacing w:val="-24"/>
          <w:w w:val="105"/>
        </w:rPr>
        <w:t> </w:t>
      </w:r>
      <w:r>
        <w:rPr>
          <w:color w:val="231F20"/>
          <w:w w:val="105"/>
        </w:rPr>
        <w:t>En</w:t>
      </w:r>
      <w:r>
        <w:rPr>
          <w:color w:val="231F20"/>
          <w:spacing w:val="-19"/>
          <w:w w:val="105"/>
        </w:rPr>
        <w:t> </w:t>
      </w:r>
      <w:r>
        <w:rPr>
          <w:color w:val="231F20"/>
          <w:spacing w:val="-3"/>
          <w:w w:val="105"/>
        </w:rPr>
        <w:t>2009</w:t>
      </w:r>
      <w:r>
        <w:rPr>
          <w:color w:val="231F20"/>
          <w:spacing w:val="-19"/>
          <w:w w:val="105"/>
        </w:rPr>
        <w:t> </w:t>
      </w:r>
      <w:r>
        <w:rPr>
          <w:color w:val="231F20"/>
          <w:w w:val="105"/>
        </w:rPr>
        <w:t>se</w:t>
      </w:r>
      <w:r>
        <w:rPr>
          <w:color w:val="231F20"/>
          <w:spacing w:val="-19"/>
          <w:w w:val="105"/>
        </w:rPr>
        <w:t> </w:t>
      </w:r>
      <w:r>
        <w:rPr>
          <w:color w:val="231F20"/>
          <w:spacing w:val="-3"/>
          <w:w w:val="105"/>
        </w:rPr>
        <w:t>observa</w:t>
      </w:r>
      <w:r>
        <w:rPr>
          <w:color w:val="231F20"/>
          <w:spacing w:val="-19"/>
          <w:w w:val="105"/>
        </w:rPr>
        <w:t> </w:t>
      </w:r>
      <w:r>
        <w:rPr>
          <w:color w:val="231F20"/>
          <w:spacing w:val="-3"/>
          <w:w w:val="105"/>
        </w:rPr>
        <w:t>una tendencia semejante, </w:t>
      </w:r>
      <w:r>
        <w:rPr>
          <w:color w:val="231F20"/>
          <w:w w:val="105"/>
        </w:rPr>
        <w:t>sin </w:t>
      </w:r>
      <w:r>
        <w:rPr>
          <w:color w:val="231F20"/>
          <w:spacing w:val="-4"/>
          <w:w w:val="105"/>
        </w:rPr>
        <w:t>embargo, </w:t>
      </w:r>
      <w:r>
        <w:rPr>
          <w:color w:val="231F20"/>
          <w:w w:val="105"/>
        </w:rPr>
        <w:t>es </w:t>
      </w:r>
      <w:r>
        <w:rPr>
          <w:color w:val="231F20"/>
          <w:spacing w:val="-3"/>
          <w:w w:val="105"/>
        </w:rPr>
        <w:t>importante notar </w:t>
      </w:r>
      <w:r>
        <w:rPr>
          <w:color w:val="231F20"/>
          <w:w w:val="105"/>
        </w:rPr>
        <w:t>que en </w:t>
      </w:r>
      <w:r>
        <w:rPr>
          <w:color w:val="231F20"/>
          <w:spacing w:val="-3"/>
          <w:w w:val="105"/>
        </w:rPr>
        <w:t>2012 dis- minuye</w:t>
      </w:r>
      <w:r>
        <w:rPr>
          <w:color w:val="231F20"/>
          <w:spacing w:val="-13"/>
          <w:w w:val="105"/>
        </w:rPr>
        <w:t> </w:t>
      </w:r>
      <w:r>
        <w:rPr>
          <w:color w:val="231F20"/>
          <w:spacing w:val="-3"/>
          <w:w w:val="105"/>
        </w:rPr>
        <w:t>significativamente</w:t>
      </w:r>
      <w:r>
        <w:rPr>
          <w:color w:val="231F20"/>
          <w:spacing w:val="-13"/>
          <w:w w:val="105"/>
        </w:rPr>
        <w:t> </w:t>
      </w:r>
      <w:r>
        <w:rPr>
          <w:color w:val="231F20"/>
          <w:w w:val="105"/>
        </w:rPr>
        <w:t>la</w:t>
      </w:r>
      <w:r>
        <w:rPr>
          <w:color w:val="231F20"/>
          <w:spacing w:val="-13"/>
          <w:w w:val="105"/>
        </w:rPr>
        <w:t> </w:t>
      </w:r>
      <w:r>
        <w:rPr>
          <w:color w:val="231F20"/>
          <w:spacing w:val="-4"/>
          <w:w w:val="105"/>
        </w:rPr>
        <w:t>proporción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spacing w:val="-3"/>
          <w:w w:val="105"/>
        </w:rPr>
        <w:t>detenidos</w:t>
      </w:r>
      <w:r>
        <w:rPr>
          <w:color w:val="231F20"/>
          <w:spacing w:val="-13"/>
          <w:w w:val="105"/>
        </w:rPr>
        <w:t> </w:t>
      </w:r>
      <w:r>
        <w:rPr>
          <w:color w:val="231F20"/>
          <w:w w:val="105"/>
        </w:rPr>
        <w:t>en</w:t>
      </w:r>
      <w:r>
        <w:rPr>
          <w:color w:val="231F20"/>
          <w:spacing w:val="-13"/>
          <w:w w:val="105"/>
        </w:rPr>
        <w:t> </w:t>
      </w:r>
      <w:r>
        <w:rPr>
          <w:color w:val="231F20"/>
          <w:w w:val="105"/>
        </w:rPr>
        <w:t>un</w:t>
      </w:r>
      <w:r>
        <w:rPr>
          <w:color w:val="231F20"/>
          <w:spacing w:val="-13"/>
          <w:w w:val="105"/>
        </w:rPr>
        <w:t> </w:t>
      </w:r>
      <w:r>
        <w:rPr>
          <w:color w:val="231F20"/>
          <w:spacing w:val="-3"/>
          <w:w w:val="105"/>
        </w:rPr>
        <w:t>desierto</w:t>
      </w:r>
      <w:r>
        <w:rPr>
          <w:color w:val="231F20"/>
          <w:spacing w:val="-13"/>
          <w:w w:val="105"/>
        </w:rPr>
        <w:t> </w:t>
      </w:r>
      <w:r>
        <w:rPr>
          <w:color w:val="231F20"/>
          <w:w w:val="105"/>
        </w:rPr>
        <w:t>o </w:t>
      </w:r>
      <w:r>
        <w:rPr>
          <w:color w:val="231F20"/>
          <w:spacing w:val="-3"/>
          <w:w w:val="105"/>
        </w:rPr>
        <w:t>montaña</w:t>
      </w:r>
      <w:r>
        <w:rPr>
          <w:color w:val="231F20"/>
          <w:spacing w:val="-23"/>
          <w:w w:val="105"/>
        </w:rPr>
        <w:t> </w:t>
      </w:r>
      <w:r>
        <w:rPr>
          <w:color w:val="231F20"/>
          <w:w w:val="105"/>
        </w:rPr>
        <w:t>y</w:t>
      </w:r>
      <w:r>
        <w:rPr>
          <w:color w:val="231F20"/>
          <w:spacing w:val="-23"/>
          <w:w w:val="105"/>
        </w:rPr>
        <w:t> </w:t>
      </w:r>
      <w:r>
        <w:rPr>
          <w:color w:val="231F20"/>
          <w:w w:val="105"/>
        </w:rPr>
        <w:t>se</w:t>
      </w:r>
      <w:r>
        <w:rPr>
          <w:color w:val="231F20"/>
          <w:spacing w:val="-23"/>
          <w:w w:val="105"/>
        </w:rPr>
        <w:t> </w:t>
      </w:r>
      <w:r>
        <w:rPr>
          <w:color w:val="231F20"/>
          <w:spacing w:val="-3"/>
          <w:w w:val="105"/>
        </w:rPr>
        <w:t>aumentan</w:t>
      </w:r>
      <w:r>
        <w:rPr>
          <w:color w:val="231F20"/>
          <w:spacing w:val="-23"/>
          <w:w w:val="105"/>
        </w:rPr>
        <w:t> </w:t>
      </w:r>
      <w:r>
        <w:rPr>
          <w:color w:val="231F20"/>
          <w:w w:val="105"/>
        </w:rPr>
        <w:t>los</w:t>
      </w:r>
      <w:r>
        <w:rPr>
          <w:color w:val="231F20"/>
          <w:spacing w:val="-23"/>
          <w:w w:val="105"/>
        </w:rPr>
        <w:t> </w:t>
      </w:r>
      <w:r>
        <w:rPr>
          <w:color w:val="231F20"/>
          <w:spacing w:val="-3"/>
          <w:w w:val="105"/>
        </w:rPr>
        <w:t>conceptos</w:t>
      </w:r>
      <w:r>
        <w:rPr>
          <w:color w:val="231F20"/>
          <w:spacing w:val="-23"/>
          <w:w w:val="105"/>
        </w:rPr>
        <w:t> </w:t>
      </w:r>
      <w:r>
        <w:rPr>
          <w:color w:val="231F20"/>
          <w:spacing w:val="-3"/>
          <w:w w:val="105"/>
        </w:rPr>
        <w:t>relacionados</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spacing w:val="-3"/>
          <w:w w:val="105"/>
        </w:rPr>
        <w:t>detención</w:t>
      </w:r>
      <w:r>
        <w:rPr>
          <w:color w:val="231F20"/>
          <w:spacing w:val="-23"/>
          <w:w w:val="105"/>
        </w:rPr>
        <w:t> </w:t>
      </w:r>
      <w:r>
        <w:rPr>
          <w:color w:val="231F20"/>
          <w:w w:val="105"/>
        </w:rPr>
        <w:t>en</w:t>
      </w:r>
      <w:r>
        <w:rPr>
          <w:color w:val="231F20"/>
          <w:spacing w:val="-23"/>
          <w:w w:val="105"/>
        </w:rPr>
        <w:t> </w:t>
      </w:r>
      <w:r>
        <w:rPr>
          <w:color w:val="231F20"/>
          <w:spacing w:val="-3"/>
          <w:w w:val="105"/>
        </w:rPr>
        <w:t>la calle</w:t>
      </w:r>
      <w:r>
        <w:rPr>
          <w:color w:val="231F20"/>
          <w:spacing w:val="-19"/>
          <w:w w:val="105"/>
        </w:rPr>
        <w:t> </w:t>
      </w:r>
      <w:r>
        <w:rPr>
          <w:color w:val="231F20"/>
          <w:spacing w:val="-3"/>
          <w:w w:val="105"/>
        </w:rPr>
        <w:t>(39.5%)</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spacing w:val="-3"/>
          <w:w w:val="105"/>
        </w:rPr>
        <w:t>trabajo</w:t>
      </w:r>
      <w:r>
        <w:rPr>
          <w:color w:val="231F20"/>
          <w:spacing w:val="-19"/>
          <w:w w:val="105"/>
        </w:rPr>
        <w:t> </w:t>
      </w:r>
      <w:r>
        <w:rPr>
          <w:color w:val="231F20"/>
          <w:spacing w:val="-3"/>
          <w:w w:val="105"/>
        </w:rPr>
        <w:t>(10.9%),</w:t>
      </w:r>
      <w:r>
        <w:rPr>
          <w:color w:val="231F20"/>
          <w:spacing w:val="-23"/>
          <w:w w:val="105"/>
        </w:rPr>
        <w:t> </w:t>
      </w:r>
      <w:r>
        <w:rPr>
          <w:color w:val="231F20"/>
          <w:spacing w:val="-3"/>
          <w:w w:val="105"/>
        </w:rPr>
        <w:t>principalmente</w:t>
      </w:r>
      <w:r>
        <w:rPr>
          <w:color w:val="231F20"/>
          <w:spacing w:val="-19"/>
          <w:w w:val="105"/>
        </w:rPr>
        <w:t> </w:t>
      </w:r>
      <w:r>
        <w:rPr>
          <w:color w:val="231F20"/>
          <w:spacing w:val="-3"/>
          <w:w w:val="105"/>
        </w:rPr>
        <w:t>(véase</w:t>
      </w:r>
      <w:r>
        <w:rPr>
          <w:color w:val="231F20"/>
          <w:spacing w:val="-19"/>
          <w:w w:val="105"/>
        </w:rPr>
        <w:t> </w:t>
      </w:r>
      <w:r>
        <w:rPr>
          <w:color w:val="231F20"/>
          <w:spacing w:val="-3"/>
          <w:w w:val="105"/>
        </w:rPr>
        <w:t>gráfica</w:t>
      </w:r>
      <w:r>
        <w:rPr>
          <w:color w:val="231F20"/>
          <w:spacing w:val="-19"/>
          <w:w w:val="105"/>
        </w:rPr>
        <w:t> </w:t>
      </w:r>
      <w:r>
        <w:rPr>
          <w:color w:val="231F20"/>
          <w:w w:val="105"/>
        </w:rPr>
        <w:t>5),</w:t>
      </w:r>
      <w:r>
        <w:rPr>
          <w:color w:val="231F20"/>
          <w:spacing w:val="-23"/>
          <w:w w:val="105"/>
        </w:rPr>
        <w:t> </w:t>
      </w:r>
      <w:r>
        <w:rPr>
          <w:color w:val="231F20"/>
          <w:w w:val="105"/>
        </w:rPr>
        <w:t>lo</w:t>
      </w:r>
      <w:r>
        <w:rPr>
          <w:color w:val="231F20"/>
          <w:spacing w:val="-19"/>
          <w:w w:val="105"/>
        </w:rPr>
        <w:t> </w:t>
      </w:r>
      <w:r>
        <w:rPr>
          <w:color w:val="231F20"/>
          <w:spacing w:val="-3"/>
          <w:w w:val="105"/>
        </w:rPr>
        <w:t>cual pudiera</w:t>
      </w:r>
      <w:r>
        <w:rPr>
          <w:color w:val="231F20"/>
          <w:spacing w:val="-12"/>
          <w:w w:val="105"/>
        </w:rPr>
        <w:t> </w:t>
      </w:r>
      <w:r>
        <w:rPr>
          <w:color w:val="231F20"/>
          <w:w w:val="105"/>
        </w:rPr>
        <w:t>ser</w:t>
      </w:r>
      <w:r>
        <w:rPr>
          <w:color w:val="231F20"/>
          <w:spacing w:val="-12"/>
          <w:w w:val="105"/>
        </w:rPr>
        <w:t> </w:t>
      </w:r>
      <w:r>
        <w:rPr>
          <w:color w:val="231F20"/>
          <w:w w:val="105"/>
        </w:rPr>
        <w:t>una</w:t>
      </w:r>
      <w:r>
        <w:rPr>
          <w:color w:val="231F20"/>
          <w:spacing w:val="-12"/>
          <w:w w:val="105"/>
        </w:rPr>
        <w:t> </w:t>
      </w:r>
      <w:r>
        <w:rPr>
          <w:color w:val="231F20"/>
          <w:spacing w:val="-3"/>
          <w:w w:val="105"/>
        </w:rPr>
        <w:t>lectura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spacing w:val="-3"/>
          <w:w w:val="105"/>
        </w:rPr>
        <w:t>campañas</w:t>
      </w:r>
      <w:r>
        <w:rPr>
          <w:color w:val="231F20"/>
          <w:spacing w:val="-12"/>
          <w:w w:val="105"/>
        </w:rPr>
        <w:t> </w:t>
      </w:r>
      <w:r>
        <w:rPr>
          <w:color w:val="231F20"/>
          <w:w w:val="105"/>
        </w:rPr>
        <w:t>de</w:t>
      </w:r>
      <w:r>
        <w:rPr>
          <w:color w:val="231F20"/>
          <w:spacing w:val="-12"/>
          <w:w w:val="105"/>
        </w:rPr>
        <w:t> </w:t>
      </w:r>
      <w:r>
        <w:rPr>
          <w:color w:val="231F20"/>
          <w:spacing w:val="-3"/>
          <w:w w:val="105"/>
        </w:rPr>
        <w:t>persecución</w:t>
      </w:r>
      <w:r>
        <w:rPr>
          <w:color w:val="231F20"/>
          <w:spacing w:val="-12"/>
          <w:w w:val="105"/>
        </w:rPr>
        <w:t> </w:t>
      </w:r>
      <w:r>
        <w:rPr>
          <w:color w:val="231F20"/>
          <w:w w:val="105"/>
        </w:rPr>
        <w:t>y</w:t>
      </w:r>
      <w:r>
        <w:rPr>
          <w:color w:val="231F20"/>
          <w:spacing w:val="-12"/>
          <w:w w:val="105"/>
        </w:rPr>
        <w:t> </w:t>
      </w:r>
      <w:r>
        <w:rPr>
          <w:color w:val="231F20"/>
          <w:spacing w:val="-3"/>
          <w:w w:val="105"/>
        </w:rPr>
        <w:t>hostigamiento promovidas</w:t>
      </w:r>
      <w:r>
        <w:rPr>
          <w:color w:val="231F20"/>
          <w:spacing w:val="-16"/>
          <w:w w:val="105"/>
        </w:rPr>
        <w:t> </w:t>
      </w:r>
      <w:r>
        <w:rPr>
          <w:color w:val="231F20"/>
          <w:w w:val="105"/>
        </w:rPr>
        <w:t>en</w:t>
      </w:r>
      <w:r>
        <w:rPr>
          <w:color w:val="231F20"/>
          <w:spacing w:val="-16"/>
          <w:w w:val="105"/>
        </w:rPr>
        <w:t> </w:t>
      </w:r>
      <w:r>
        <w:rPr>
          <w:color w:val="231F20"/>
          <w:spacing w:val="-3"/>
          <w:w w:val="105"/>
        </w:rPr>
        <w:t>contra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población</w:t>
      </w:r>
      <w:r>
        <w:rPr>
          <w:color w:val="231F20"/>
          <w:spacing w:val="-16"/>
          <w:w w:val="105"/>
        </w:rPr>
        <w:t> </w:t>
      </w:r>
      <w:r>
        <w:rPr>
          <w:color w:val="231F20"/>
          <w:spacing w:val="-3"/>
          <w:w w:val="105"/>
        </w:rPr>
        <w:t>migrante</w:t>
      </w:r>
      <w:r>
        <w:rPr>
          <w:color w:val="231F20"/>
          <w:spacing w:val="-16"/>
          <w:w w:val="105"/>
        </w:rPr>
        <w:t> </w:t>
      </w:r>
      <w:r>
        <w:rPr>
          <w:color w:val="231F20"/>
          <w:w w:val="105"/>
        </w:rPr>
        <w:t>en</w:t>
      </w:r>
      <w:r>
        <w:rPr>
          <w:color w:val="231F20"/>
          <w:spacing w:val="-16"/>
          <w:w w:val="105"/>
        </w:rPr>
        <w:t> </w:t>
      </w:r>
      <w:r>
        <w:rPr>
          <w:color w:val="231F20"/>
          <w:spacing w:val="-3"/>
          <w:w w:val="105"/>
        </w:rPr>
        <w:t>Estados</w:t>
      </w:r>
      <w:r>
        <w:rPr>
          <w:color w:val="231F20"/>
          <w:spacing w:val="-16"/>
          <w:w w:val="105"/>
        </w:rPr>
        <w:t> </w:t>
      </w:r>
      <w:r>
        <w:rPr>
          <w:color w:val="231F20"/>
          <w:spacing w:val="-3"/>
          <w:w w:val="105"/>
        </w:rPr>
        <w:t>Unidos.</w:t>
      </w:r>
    </w:p>
    <w:p>
      <w:pPr>
        <w:pStyle w:val="BodyText"/>
        <w:spacing w:before="4"/>
      </w:pPr>
    </w:p>
    <w:p>
      <w:pPr>
        <w:spacing w:line="249" w:lineRule="auto" w:before="0"/>
        <w:ind w:left="2563" w:right="2068" w:hanging="603"/>
        <w:jc w:val="left"/>
        <w:rPr>
          <w:rFonts w:ascii="Arial" w:hAnsi="Arial"/>
          <w:sz w:val="18"/>
        </w:rPr>
      </w:pPr>
      <w:r>
        <w:rPr>
          <w:rFonts w:ascii="Arial" w:hAnsi="Arial"/>
          <w:color w:val="231F20"/>
          <w:w w:val="105"/>
          <w:sz w:val="18"/>
        </w:rPr>
        <w:t>Gráfica</w:t>
      </w:r>
      <w:r>
        <w:rPr>
          <w:rFonts w:ascii="Arial" w:hAnsi="Arial"/>
          <w:color w:val="231F20"/>
          <w:spacing w:val="-9"/>
          <w:w w:val="105"/>
          <w:sz w:val="18"/>
        </w:rPr>
        <w:t> </w:t>
      </w:r>
      <w:r>
        <w:rPr>
          <w:rFonts w:ascii="Arial" w:hAnsi="Arial"/>
          <w:color w:val="231F20"/>
          <w:w w:val="105"/>
          <w:sz w:val="18"/>
        </w:rPr>
        <w:t>5.</w:t>
      </w:r>
      <w:r>
        <w:rPr>
          <w:rFonts w:ascii="Arial" w:hAnsi="Arial"/>
          <w:color w:val="231F20"/>
          <w:spacing w:val="-15"/>
          <w:w w:val="105"/>
          <w:sz w:val="18"/>
        </w:rPr>
        <w:t> </w:t>
      </w:r>
      <w:r>
        <w:rPr>
          <w:rFonts w:ascii="Arial" w:hAnsi="Arial"/>
          <w:color w:val="231F20"/>
          <w:w w:val="105"/>
          <w:sz w:val="18"/>
        </w:rPr>
        <w:t>Distribución</w:t>
      </w:r>
      <w:r>
        <w:rPr>
          <w:rFonts w:ascii="Arial" w:hAnsi="Arial"/>
          <w:color w:val="231F20"/>
          <w:spacing w:val="-9"/>
          <w:w w:val="105"/>
          <w:sz w:val="18"/>
        </w:rPr>
        <w:t> </w:t>
      </w:r>
      <w:r>
        <w:rPr>
          <w:rFonts w:ascii="Arial" w:hAnsi="Arial"/>
          <w:color w:val="231F20"/>
          <w:w w:val="105"/>
          <w:sz w:val="18"/>
        </w:rPr>
        <w:t>porcentual</w:t>
      </w:r>
      <w:r>
        <w:rPr>
          <w:rFonts w:ascii="Arial" w:hAnsi="Arial"/>
          <w:color w:val="231F20"/>
          <w:spacing w:val="-9"/>
          <w:w w:val="105"/>
          <w:sz w:val="18"/>
        </w:rPr>
        <w:t> </w:t>
      </w:r>
      <w:r>
        <w:rPr>
          <w:rFonts w:ascii="Arial" w:hAnsi="Arial"/>
          <w:color w:val="231F20"/>
          <w:w w:val="105"/>
          <w:sz w:val="18"/>
        </w:rPr>
        <w:t>según</w:t>
      </w:r>
      <w:r>
        <w:rPr>
          <w:rFonts w:ascii="Arial" w:hAnsi="Arial"/>
          <w:color w:val="231F20"/>
          <w:spacing w:val="-9"/>
          <w:w w:val="105"/>
          <w:sz w:val="18"/>
        </w:rPr>
        <w:t> </w:t>
      </w:r>
      <w:r>
        <w:rPr>
          <w:rFonts w:ascii="Arial" w:hAnsi="Arial"/>
          <w:color w:val="231F20"/>
          <w:w w:val="105"/>
          <w:sz w:val="18"/>
        </w:rPr>
        <w:t>los</w:t>
      </w:r>
      <w:r>
        <w:rPr>
          <w:rFonts w:ascii="Arial" w:hAnsi="Arial"/>
          <w:color w:val="231F20"/>
          <w:spacing w:val="-9"/>
          <w:w w:val="105"/>
          <w:sz w:val="18"/>
        </w:rPr>
        <w:t> </w:t>
      </w:r>
      <w:r>
        <w:rPr>
          <w:rFonts w:ascii="Arial" w:hAnsi="Arial"/>
          <w:color w:val="231F20"/>
          <w:w w:val="105"/>
          <w:sz w:val="18"/>
        </w:rPr>
        <w:t>lugares</w:t>
      </w:r>
      <w:r>
        <w:rPr>
          <w:rFonts w:ascii="Arial" w:hAnsi="Arial"/>
          <w:color w:val="231F20"/>
          <w:spacing w:val="-9"/>
          <w:w w:val="105"/>
          <w:sz w:val="18"/>
        </w:rPr>
        <w:t> </w:t>
      </w:r>
      <w:r>
        <w:rPr>
          <w:rFonts w:ascii="Arial" w:hAnsi="Arial"/>
          <w:color w:val="231F20"/>
          <w:w w:val="105"/>
          <w:sz w:val="18"/>
        </w:rPr>
        <w:t>en</w:t>
      </w:r>
      <w:r>
        <w:rPr>
          <w:rFonts w:ascii="Arial" w:hAnsi="Arial"/>
          <w:color w:val="231F20"/>
          <w:spacing w:val="-9"/>
          <w:w w:val="105"/>
          <w:sz w:val="18"/>
        </w:rPr>
        <w:t> </w:t>
      </w:r>
      <w:r>
        <w:rPr>
          <w:rFonts w:ascii="Arial" w:hAnsi="Arial"/>
          <w:color w:val="231F20"/>
          <w:w w:val="105"/>
          <w:sz w:val="18"/>
        </w:rPr>
        <w:t>los</w:t>
      </w:r>
      <w:r>
        <w:rPr>
          <w:rFonts w:ascii="Arial" w:hAnsi="Arial"/>
          <w:color w:val="231F20"/>
          <w:spacing w:val="-9"/>
          <w:w w:val="105"/>
          <w:sz w:val="18"/>
        </w:rPr>
        <w:t> </w:t>
      </w:r>
      <w:r>
        <w:rPr>
          <w:rFonts w:ascii="Arial" w:hAnsi="Arial"/>
          <w:color w:val="231F20"/>
          <w:w w:val="105"/>
          <w:sz w:val="18"/>
        </w:rPr>
        <w:t>que</w:t>
      </w:r>
      <w:r>
        <w:rPr>
          <w:rFonts w:ascii="Arial" w:hAnsi="Arial"/>
          <w:color w:val="231F20"/>
          <w:spacing w:val="-9"/>
          <w:w w:val="105"/>
          <w:sz w:val="18"/>
        </w:rPr>
        <w:t> </w:t>
      </w:r>
      <w:r>
        <w:rPr>
          <w:rFonts w:ascii="Arial" w:hAnsi="Arial"/>
          <w:color w:val="231F20"/>
          <w:w w:val="105"/>
          <w:sz w:val="18"/>
        </w:rPr>
        <w:t>fue</w:t>
      </w:r>
      <w:r>
        <w:rPr>
          <w:rFonts w:ascii="Arial" w:hAnsi="Arial"/>
          <w:color w:val="231F20"/>
          <w:spacing w:val="-9"/>
          <w:w w:val="105"/>
          <w:sz w:val="18"/>
        </w:rPr>
        <w:t> </w:t>
      </w:r>
      <w:r>
        <w:rPr>
          <w:rFonts w:ascii="Arial" w:hAnsi="Arial"/>
          <w:color w:val="231F20"/>
          <w:w w:val="105"/>
          <w:sz w:val="18"/>
        </w:rPr>
        <w:t>detenida</w:t>
      </w:r>
      <w:r>
        <w:rPr>
          <w:rFonts w:ascii="Arial" w:hAnsi="Arial"/>
          <w:color w:val="231F20"/>
          <w:spacing w:val="-9"/>
          <w:w w:val="105"/>
          <w:sz w:val="18"/>
        </w:rPr>
        <w:t> </w:t>
      </w:r>
      <w:r>
        <w:rPr>
          <w:rFonts w:ascii="Arial" w:hAnsi="Arial"/>
          <w:color w:val="231F20"/>
          <w:w w:val="105"/>
          <w:sz w:val="18"/>
        </w:rPr>
        <w:t>la población</w:t>
      </w:r>
      <w:r>
        <w:rPr>
          <w:rFonts w:ascii="Arial" w:hAnsi="Arial"/>
          <w:color w:val="231F20"/>
          <w:spacing w:val="-9"/>
          <w:w w:val="105"/>
          <w:sz w:val="18"/>
        </w:rPr>
        <w:t> </w:t>
      </w:r>
      <w:r>
        <w:rPr>
          <w:rFonts w:ascii="Arial" w:hAnsi="Arial"/>
          <w:color w:val="231F20"/>
          <w:w w:val="105"/>
          <w:sz w:val="18"/>
        </w:rPr>
        <w:t>mexiquense</w:t>
      </w:r>
      <w:r>
        <w:rPr>
          <w:rFonts w:ascii="Arial" w:hAnsi="Arial"/>
          <w:color w:val="231F20"/>
          <w:spacing w:val="-9"/>
          <w:w w:val="105"/>
          <w:sz w:val="18"/>
        </w:rPr>
        <w:t> </w:t>
      </w:r>
      <w:r>
        <w:rPr>
          <w:rFonts w:ascii="Arial" w:hAnsi="Arial"/>
          <w:color w:val="231F20"/>
          <w:w w:val="105"/>
          <w:sz w:val="18"/>
        </w:rPr>
        <w:t>devuelta</w:t>
      </w:r>
      <w:r>
        <w:rPr>
          <w:rFonts w:ascii="Arial" w:hAnsi="Arial"/>
          <w:color w:val="231F20"/>
          <w:spacing w:val="-9"/>
          <w:w w:val="105"/>
          <w:sz w:val="18"/>
        </w:rPr>
        <w:t> </w:t>
      </w:r>
      <w:r>
        <w:rPr>
          <w:rFonts w:ascii="Arial" w:hAnsi="Arial"/>
          <w:color w:val="231F20"/>
          <w:w w:val="105"/>
          <w:sz w:val="18"/>
        </w:rPr>
        <w:t>de</w:t>
      </w:r>
      <w:r>
        <w:rPr>
          <w:rFonts w:ascii="Arial" w:hAnsi="Arial"/>
          <w:color w:val="231F20"/>
          <w:spacing w:val="-9"/>
          <w:w w:val="105"/>
          <w:sz w:val="18"/>
        </w:rPr>
        <w:t> </w:t>
      </w:r>
      <w:r>
        <w:rPr>
          <w:rFonts w:ascii="Arial" w:hAnsi="Arial"/>
          <w:color w:val="231F20"/>
          <w:w w:val="105"/>
          <w:sz w:val="18"/>
        </w:rPr>
        <w:t>Estados</w:t>
      </w:r>
      <w:r>
        <w:rPr>
          <w:rFonts w:ascii="Arial" w:hAnsi="Arial"/>
          <w:color w:val="231F20"/>
          <w:spacing w:val="-9"/>
          <w:w w:val="105"/>
          <w:sz w:val="18"/>
        </w:rPr>
        <w:t> </w:t>
      </w:r>
      <w:r>
        <w:rPr>
          <w:rFonts w:ascii="Arial" w:hAnsi="Arial"/>
          <w:color w:val="231F20"/>
          <w:w w:val="105"/>
          <w:sz w:val="18"/>
        </w:rPr>
        <w:t>Unidos,</w:t>
      </w:r>
      <w:r>
        <w:rPr>
          <w:rFonts w:ascii="Arial" w:hAnsi="Arial"/>
          <w:color w:val="231F20"/>
          <w:spacing w:val="-15"/>
          <w:w w:val="105"/>
          <w:sz w:val="18"/>
        </w:rPr>
        <w:t> </w:t>
      </w:r>
      <w:r>
        <w:rPr>
          <w:rFonts w:ascii="Arial" w:hAnsi="Arial"/>
          <w:color w:val="231F20"/>
          <w:w w:val="105"/>
          <w:sz w:val="18"/>
        </w:rPr>
        <w:t>2007-2012</w:t>
      </w:r>
    </w:p>
    <w:p>
      <w:pPr>
        <w:spacing w:before="118"/>
        <w:ind w:left="2085" w:right="6753" w:firstLine="0"/>
        <w:jc w:val="left"/>
        <w:rPr>
          <w:rFonts w:ascii="Arial"/>
          <w:sz w:val="14"/>
        </w:rPr>
      </w:pPr>
      <w:r>
        <w:rPr/>
        <w:pict>
          <v:group style="position:absolute;margin-left:115.275597pt;margin-top:9.336310pt;width:298.9pt;height:144.1pt;mso-position-horizontal-relative:page;mso-position-vertical-relative:paragraph;z-index:17872" coordorigin="2306,187" coordsize="5978,2882">
            <v:shape style="position:absolute;left:0;top:5542;width:5925;height:942" coordorigin="0,5542" coordsize="5925,942" path="m7125,2078l8277,2078m6138,2078l6469,2078m5150,2078l5481,2078m4712,2078l4931,2078m2353,2078l4493,2078m6907,1136l8277,1136m2353,1136l6469,1136e" filled="false" stroked="true" strokeweight=".45pt" strokecolor="#a6a8ab">
              <v:path arrowok="t"/>
            </v:shape>
            <v:shape style="position:absolute;left:2474;top:957;width:5244;height:2071" type="#_x0000_t75" stroked="false">
              <v:imagedata r:id="rId127" o:title=""/>
            </v:shape>
            <v:shape style="position:absolute;left:2693;top:868;width:5244;height:2160" type="#_x0000_t75" stroked="false">
              <v:imagedata r:id="rId128" o:title=""/>
            </v:shape>
            <v:shape style="position:absolute;left:2912;top:1136;width:5244;height:1892" type="#_x0000_t75" stroked="false">
              <v:imagedata r:id="rId129" o:title=""/>
            </v:shape>
            <v:rect style="position:absolute;left:3505;top:3002;width:219;height:19" filled="true" fillcolor="#a1a3a5" stroked="false">
              <v:fill type="solid"/>
            </v:rect>
            <v:line style="position:absolute" from="2517,3015" to="2736,3015" stroked="true" strokeweight=".679pt" strokecolor="#a1a3a5"/>
            <v:shape style="position:absolute;left:4493;top:980;width:3183;height:2042" coordorigin="4493,980" coordsize="3183,2042" path="m4712,1761l4493,1761,4493,3021,4712,3021,4712,1761m5700,1893l5481,1893,5481,3021,5700,3021,5700,1893m6688,980l6469,980,6469,3021,6688,3021,6688,980m7675,2766l7457,2766,7457,3021,7675,3021,7675,2766e" filled="true" fillcolor="#808285" stroked="false">
              <v:path arrowok="t"/>
              <v:fill type="solid"/>
            </v:shape>
            <v:rect style="position:absolute;left:3505;top:3002;width:219;height:19" filled="true" fillcolor="#808285" stroked="false">
              <v:fill type="solid"/>
            </v:rect>
            <v:line style="position:absolute" from="2517,3015" to="2736,3015" stroked="true" strokeweight=".679pt" strokecolor="#808285"/>
            <v:shape style="position:absolute;left:2736;top:891;width:5159;height:2131" coordorigin="2736,891" coordsize="5159,2131" path="m2955,2815l2736,2815,2736,3021,2955,3021,2955,2815m3943,2847l3724,2847,3724,3021,3943,3021,3943,2847m4931,2282l4712,2282,4712,3021,4931,3021,4931,2282m5919,1827l5700,1827,5700,3021,5919,3021,5919,1827m6907,891l6688,891,6688,3021,6907,3021,6907,891m7894,2749l7675,2749,7675,3021,7894,3021,7894,2749e" filled="true" fillcolor="#b1b3b6" stroked="false">
              <v:path arrowok="t"/>
              <v:fill type="solid"/>
            </v:shape>
            <v:rect style="position:absolute;left:7894;top:2988;width:219;height:34" filled="true" fillcolor="#a1a3a5" stroked="false">
              <v:fill type="solid"/>
            </v:rect>
            <v:shape style="position:absolute;left:2955;top:1159;width:4171;height:1863" coordorigin="2955,1159" coordsize="4171,1863" path="m3174,2507l2955,2507,2955,3021,3174,3021,3174,2507m4162,2829l3943,2829,3943,3021,4162,3021,4162,2829m5150,1159l4931,1159,4931,3021,5150,3021,5150,1159m6138,1983l5919,1983,5919,3021,6138,3021,6138,1983m7125,1937l6907,1937,6907,3021,7125,3021,7125,1937e" filled="true" fillcolor="#d1d3d4" stroked="false">
              <v:path arrowok="t"/>
              <v:fill type="solid"/>
            </v:shape>
            <v:rect style="position:absolute;left:7894;top:2988;width:219;height:34" filled="true" fillcolor="#d1d3d4" stroked="false">
              <v:fill type="solid"/>
            </v:rect>
            <v:line style="position:absolute" from="2353,191" to="8277,191" stroked="true" strokeweight=".45pt" strokecolor="#a6a8ab"/>
            <v:line style="position:absolute" from="2352,3021" to="2352,192" stroked="true" strokeweight=".45pt" strokecolor="#a6a8ab"/>
            <v:shape style="position:absolute;left:0;top:3653;width:43;height:2831" coordorigin="0,3653" coordsize="43,2831" path="m2310,3021l2352,3021m2310,2078l2352,2078m2310,1136l2352,1136m2310,191l2352,191e" filled="false" stroked="true" strokeweight=".45pt" strokecolor="#a6a8ab">
              <v:path arrowok="t"/>
            </v:shape>
            <v:line style="position:absolute" from="2352,3021" to="8279,3021" stroked="true" strokeweight=".45pt" strokecolor="#a6a8ab"/>
            <v:shape style="position:absolute;left:0;top:6483;width:5925;height:42" coordorigin="0,6483" coordsize="5925,42" path="m2353,3022l2353,3064m3341,3022l3341,3064m4329,3022l4329,3064m5317,3022l5317,3064m6305,3022l6305,3064m7290,3022l7290,3064m8277,3022l8277,3064e" filled="false" stroked="true" strokeweight=".45pt" strokecolor="#a6a8ab">
              <v:path arrowok="t"/>
            </v:shape>
            <w10:wrap type="none"/>
          </v:group>
        </w:pict>
      </w:r>
      <w:r>
        <w:rPr>
          <w:rFonts w:ascii="Arial"/>
          <w:color w:val="231F20"/>
          <w:w w:val="105"/>
          <w:sz w:val="14"/>
        </w:rPr>
        <w:t>60</w:t>
      </w:r>
    </w:p>
    <w:p>
      <w:pPr>
        <w:pStyle w:val="BodyText"/>
        <w:rPr>
          <w:rFonts w:ascii="Arial"/>
          <w:sz w:val="20"/>
        </w:rPr>
      </w:pPr>
    </w:p>
    <w:p>
      <w:pPr>
        <w:pStyle w:val="BodyText"/>
        <w:rPr>
          <w:rFonts w:ascii="Arial"/>
          <w:sz w:val="20"/>
        </w:rPr>
      </w:pPr>
    </w:p>
    <w:p>
      <w:pPr>
        <w:pStyle w:val="BodyText"/>
        <w:spacing w:before="6"/>
        <w:rPr>
          <w:rFonts w:ascii="Arial"/>
        </w:rPr>
      </w:pPr>
    </w:p>
    <w:p>
      <w:pPr>
        <w:spacing w:before="75"/>
        <w:ind w:left="2085" w:right="6753" w:firstLine="0"/>
        <w:jc w:val="left"/>
        <w:rPr>
          <w:rFonts w:ascii="Arial"/>
          <w:sz w:val="14"/>
        </w:rPr>
      </w:pPr>
      <w:r>
        <w:rPr>
          <w:rFonts w:ascii="Arial"/>
          <w:color w:val="231F20"/>
          <w:w w:val="105"/>
          <w:sz w:val="14"/>
        </w:rPr>
        <w:t>40</w:t>
      </w:r>
    </w:p>
    <w:p>
      <w:pPr>
        <w:pStyle w:val="BodyText"/>
        <w:rPr>
          <w:rFonts w:ascii="Arial"/>
          <w:sz w:val="20"/>
        </w:rPr>
      </w:pPr>
    </w:p>
    <w:p>
      <w:pPr>
        <w:pStyle w:val="BodyText"/>
        <w:rPr>
          <w:rFonts w:ascii="Arial"/>
          <w:sz w:val="20"/>
        </w:rPr>
      </w:pPr>
    </w:p>
    <w:p>
      <w:pPr>
        <w:pStyle w:val="BodyText"/>
        <w:spacing w:before="6"/>
        <w:rPr>
          <w:rFonts w:ascii="Arial"/>
        </w:rPr>
      </w:pPr>
    </w:p>
    <w:p>
      <w:pPr>
        <w:spacing w:before="74"/>
        <w:ind w:left="2085" w:right="6753" w:firstLine="0"/>
        <w:jc w:val="left"/>
        <w:rPr>
          <w:rFonts w:ascii="Arial"/>
          <w:sz w:val="14"/>
        </w:rPr>
      </w:pPr>
      <w:r>
        <w:rPr>
          <w:rFonts w:ascii="Arial"/>
          <w:color w:val="231F20"/>
          <w:w w:val="105"/>
          <w:sz w:val="14"/>
        </w:rPr>
        <w:t>20</w:t>
      </w:r>
    </w:p>
    <w:p>
      <w:pPr>
        <w:pStyle w:val="BodyText"/>
        <w:rPr>
          <w:rFonts w:ascii="Arial"/>
          <w:sz w:val="20"/>
        </w:rPr>
      </w:pPr>
    </w:p>
    <w:p>
      <w:pPr>
        <w:pStyle w:val="BodyText"/>
        <w:rPr>
          <w:rFonts w:ascii="Arial"/>
          <w:sz w:val="20"/>
        </w:rPr>
      </w:pPr>
    </w:p>
    <w:p>
      <w:pPr>
        <w:pStyle w:val="BodyText"/>
        <w:spacing w:before="6"/>
        <w:rPr>
          <w:rFonts w:ascii="Arial"/>
        </w:rPr>
      </w:pPr>
    </w:p>
    <w:p>
      <w:pPr>
        <w:spacing w:after="0"/>
        <w:rPr>
          <w:rFonts w:ascii="Arial"/>
        </w:rPr>
        <w:sectPr>
          <w:pgSz w:w="10480" w:h="14730"/>
          <w:pgMar w:header="0" w:footer="103" w:top="300" w:bottom="300" w:left="0" w:right="0"/>
        </w:sectPr>
      </w:pPr>
    </w:p>
    <w:p>
      <w:pPr>
        <w:spacing w:before="74"/>
        <w:ind w:left="0" w:right="805" w:firstLine="0"/>
        <w:jc w:val="center"/>
        <w:rPr>
          <w:rFonts w:ascii="Arial"/>
          <w:sz w:val="14"/>
        </w:rPr>
      </w:pPr>
      <w:r>
        <w:rPr>
          <w:rFonts w:ascii="Arial"/>
          <w:color w:val="231F20"/>
          <w:w w:val="107"/>
          <w:sz w:val="14"/>
        </w:rPr>
        <w:t>0</w:t>
      </w:r>
    </w:p>
    <w:p>
      <w:pPr>
        <w:tabs>
          <w:tab w:pos="3693" w:val="left" w:leader="none"/>
          <w:tab w:pos="4680" w:val="left" w:leader="none"/>
        </w:tabs>
        <w:spacing w:before="11"/>
        <w:ind w:left="2624" w:right="0" w:firstLine="0"/>
        <w:jc w:val="left"/>
        <w:rPr>
          <w:rFonts w:ascii="Arial"/>
          <w:sz w:val="14"/>
        </w:rPr>
      </w:pPr>
      <w:r>
        <w:rPr>
          <w:rFonts w:ascii="Arial"/>
          <w:color w:val="231F20"/>
          <w:w w:val="105"/>
          <w:sz w:val="14"/>
        </w:rPr>
        <w:t>Trabajo</w:t>
        <w:tab/>
        <w:t>Casa</w:t>
        <w:tab/>
        <w:t>Calle</w:t>
      </w:r>
    </w:p>
    <w:p>
      <w:pPr>
        <w:spacing w:before="12"/>
        <w:ind w:left="0" w:right="0" w:firstLine="0"/>
        <w:jc w:val="right"/>
        <w:rPr>
          <w:rFonts w:ascii="Arial"/>
          <w:sz w:val="14"/>
        </w:rPr>
      </w:pPr>
      <w:r>
        <w:rPr>
          <w:rFonts w:ascii="Arial"/>
          <w:color w:val="231F20"/>
          <w:w w:val="110"/>
          <w:sz w:val="14"/>
        </w:rPr>
        <w:t>o carretera</w:t>
      </w:r>
    </w:p>
    <w:p>
      <w:pPr>
        <w:pStyle w:val="BodyText"/>
        <w:rPr>
          <w:rFonts w:ascii="Arial"/>
          <w:sz w:val="14"/>
        </w:rPr>
      </w:pPr>
      <w:r>
        <w:rPr/>
        <w:br w:type="column"/>
      </w:r>
      <w:r>
        <w:rPr>
          <w:rFonts w:ascii="Arial"/>
          <w:sz w:val="14"/>
        </w:rPr>
      </w:r>
    </w:p>
    <w:p>
      <w:pPr>
        <w:spacing w:line="249" w:lineRule="auto" w:before="85"/>
        <w:ind w:left="124" w:right="-19" w:firstLine="87"/>
        <w:jc w:val="left"/>
        <w:rPr>
          <w:rFonts w:ascii="Arial" w:hAnsi="Arial"/>
          <w:sz w:val="14"/>
        </w:rPr>
      </w:pPr>
      <w:r>
        <w:rPr>
          <w:rFonts w:ascii="Arial" w:hAnsi="Arial"/>
          <w:color w:val="231F20"/>
          <w:w w:val="105"/>
          <w:sz w:val="14"/>
        </w:rPr>
        <w:t>Cruzando la línea fronteriza</w:t>
      </w:r>
    </w:p>
    <w:p>
      <w:pPr>
        <w:pStyle w:val="BodyText"/>
        <w:rPr>
          <w:rFonts w:ascii="Arial"/>
          <w:sz w:val="14"/>
        </w:rPr>
      </w:pPr>
      <w:r>
        <w:rPr/>
        <w:br w:type="column"/>
      </w:r>
      <w:r>
        <w:rPr>
          <w:rFonts w:ascii="Arial"/>
          <w:sz w:val="14"/>
        </w:rPr>
      </w:r>
    </w:p>
    <w:p>
      <w:pPr>
        <w:spacing w:line="249" w:lineRule="auto" w:before="85"/>
        <w:ind w:left="120" w:right="-19" w:firstLine="66"/>
        <w:jc w:val="left"/>
        <w:rPr>
          <w:rFonts w:ascii="Arial" w:hAnsi="Arial"/>
          <w:sz w:val="14"/>
        </w:rPr>
      </w:pPr>
      <w:r>
        <w:rPr>
          <w:rFonts w:ascii="Arial" w:hAnsi="Arial"/>
          <w:color w:val="231F20"/>
          <w:w w:val="110"/>
          <w:sz w:val="14"/>
        </w:rPr>
        <w:t>Desierto o</w:t>
      </w:r>
      <w:r>
        <w:rPr>
          <w:rFonts w:ascii="Arial" w:hAnsi="Arial"/>
          <w:color w:val="231F20"/>
          <w:spacing w:val="-22"/>
          <w:w w:val="110"/>
          <w:sz w:val="14"/>
        </w:rPr>
        <w:t> </w:t>
      </w:r>
      <w:r>
        <w:rPr>
          <w:rFonts w:ascii="Arial" w:hAnsi="Arial"/>
          <w:color w:val="231F20"/>
          <w:w w:val="110"/>
          <w:sz w:val="14"/>
        </w:rPr>
        <w:t>montaña</w:t>
      </w:r>
    </w:p>
    <w:p>
      <w:pPr>
        <w:pStyle w:val="BodyText"/>
        <w:rPr>
          <w:rFonts w:ascii="Arial"/>
          <w:sz w:val="14"/>
        </w:rPr>
      </w:pPr>
      <w:r>
        <w:rPr/>
        <w:br w:type="column"/>
      </w:r>
      <w:r>
        <w:rPr>
          <w:rFonts w:ascii="Arial"/>
          <w:sz w:val="14"/>
        </w:rPr>
      </w:r>
    </w:p>
    <w:p>
      <w:pPr>
        <w:spacing w:before="85"/>
        <w:ind w:left="356" w:right="0" w:firstLine="0"/>
        <w:jc w:val="left"/>
        <w:rPr>
          <w:rFonts w:ascii="Arial"/>
          <w:sz w:val="14"/>
        </w:rPr>
      </w:pPr>
      <w:r>
        <w:rPr>
          <w:rFonts w:ascii="Arial"/>
          <w:color w:val="231F20"/>
          <w:w w:val="115"/>
          <w:sz w:val="14"/>
        </w:rPr>
        <w:t>Otro</w:t>
      </w:r>
    </w:p>
    <w:p>
      <w:pPr>
        <w:spacing w:after="0"/>
        <w:jc w:val="left"/>
        <w:rPr>
          <w:rFonts w:ascii="Arial"/>
          <w:sz w:val="14"/>
        </w:rPr>
        <w:sectPr>
          <w:type w:val="continuous"/>
          <w:pgSz w:w="10480" w:h="14730"/>
          <w:pgMar w:top="0" w:bottom="0" w:left="0" w:right="0"/>
          <w:cols w:num="4" w:equalWidth="0">
            <w:col w:w="5207" w:space="40"/>
            <w:col w:w="1098" w:space="40"/>
            <w:col w:w="827" w:space="40"/>
            <w:col w:w="3228"/>
          </w:cols>
        </w:sectPr>
      </w:pPr>
    </w:p>
    <w:p>
      <w:pPr>
        <w:pStyle w:val="BodyText"/>
        <w:spacing w:before="6"/>
        <w:rPr>
          <w:rFonts w:ascii="Arial"/>
          <w:sz w:val="12"/>
        </w:rPr>
      </w:pPr>
    </w:p>
    <w:p>
      <w:pPr>
        <w:tabs>
          <w:tab w:pos="1210" w:val="left" w:leader="none"/>
          <w:tab w:pos="2121" w:val="left" w:leader="none"/>
        </w:tabs>
        <w:spacing w:before="51"/>
        <w:ind w:left="245" w:right="0" w:firstLine="0"/>
        <w:jc w:val="center"/>
        <w:rPr>
          <w:rFonts w:ascii="Comic Sans MS"/>
          <w:b/>
          <w:sz w:val="14"/>
        </w:rPr>
      </w:pPr>
      <w:r>
        <w:rPr/>
        <w:pict>
          <v:rect style="position:absolute;margin-left:198.414001pt;margin-top:2.732855pt;width:10.205pt;height:10.205pt;mso-position-horizontal-relative:page;mso-position-vertical-relative:paragraph;z-index:17896" filled="true" fillcolor="#808285" stroked="false">
            <v:fill type="solid"/>
            <w10:wrap type="none"/>
          </v:rect>
        </w:pict>
      </w:r>
      <w:r>
        <w:rPr/>
        <w:pict>
          <v:rect style="position:absolute;margin-left:291.950989pt;margin-top:2.654855pt;width:10.204pt;height:10.204pt;mso-position-horizontal-relative:page;mso-position-vertical-relative:paragraph;z-index:-472264" filled="true" fillcolor="#d1d3d4" stroked="false">
            <v:fill type="solid"/>
            <w10:wrap type="none"/>
          </v:rect>
        </w:pict>
      </w:r>
      <w:r>
        <w:rPr/>
        <w:pict>
          <v:rect style="position:absolute;margin-left:246.932007pt;margin-top:2.732855pt;width:10.204pt;height:10.205pt;mso-position-horizontal-relative:page;mso-position-vertical-relative:paragraph;z-index:-472240" filled="true" fillcolor="#b1b3b6" stroked="false">
            <v:fill type="solid"/>
            <w10:wrap type="none"/>
          </v:rect>
        </w:pict>
      </w:r>
      <w:r>
        <w:rPr>
          <w:rFonts w:ascii="Comic Sans MS"/>
          <w:b/>
          <w:color w:val="231F20"/>
          <w:w w:val="105"/>
          <w:sz w:val="14"/>
        </w:rPr>
        <w:t>2007</w:t>
        <w:tab/>
        <w:t>2009</w:t>
        <w:tab/>
        <w:t>2012</w:t>
      </w:r>
    </w:p>
    <w:p>
      <w:pPr>
        <w:spacing w:before="57"/>
        <w:ind w:left="2090" w:right="0" w:firstLine="0"/>
        <w:jc w:val="left"/>
        <w:rPr>
          <w:sz w:val="16"/>
        </w:rPr>
      </w:pPr>
      <w:r>
        <w:rPr>
          <w:color w:val="231F20"/>
          <w:w w:val="105"/>
          <w:sz w:val="16"/>
        </w:rPr>
        <w:t>Fuente: elaboración propia con base en la </w:t>
      </w:r>
      <w:r>
        <w:rPr>
          <w:color w:val="231F20"/>
          <w:w w:val="105"/>
          <w:sz w:val="14"/>
        </w:rPr>
        <w:t>EMIF</w:t>
      </w:r>
      <w:r>
        <w:rPr>
          <w:color w:val="231F20"/>
          <w:w w:val="105"/>
          <w:sz w:val="16"/>
        </w:rPr>
        <w:t>-Norte 2007, 2009 y 2012.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72336" from="131.551193pt,3.753715pt" to="131.551193pt,39.556114pt" stroked="true" strokeweight=".35pt" strokecolor="#231f20">
            <w10:wrap type="none"/>
          </v:line>
        </w:pict>
      </w:r>
      <w:r>
        <w:rPr/>
        <w:pict>
          <v:line style="position:absolute;mso-position-horizontal-relative:page;mso-position-vertical-relative:paragraph;z-index:-472168" from="15pt,39.555916pt" to="0pt,39.555916pt" stroked="true" strokeweight=".25pt" strokecolor="#000000">
            <w10:wrap type="none"/>
          </v:line>
        </w:pict>
      </w:r>
      <w:r>
        <w:rPr/>
        <w:pict>
          <v:line style="position:absolute;mso-position-horizontal-relative:page;mso-position-vertical-relative:paragraph;z-index:18040" from="508.890015pt,39.555916pt" to="523.890015pt,39.555916pt" stroked="true" strokeweight=".25pt" strokecolor="#000000">
            <w10:wrap type="none"/>
          </v:line>
        </w:pict>
      </w:r>
      <w:r>
        <w:rPr>
          <w:rFonts w:ascii="Arial" w:hAnsi="Arial"/>
          <w:color w:val="414042"/>
          <w:w w:val="105"/>
          <w:position w:val="-5"/>
          <w:sz w:val="20"/>
        </w:rPr>
        <w:t>164</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type w:val="continuous"/>
          <w:pgSz w:w="10480" w:h="14730"/>
          <w:pgMar w:top="0" w:bottom="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8064"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8184" from="15pt,-28.286539pt" to="0pt,-28.286539pt" stroked="true" strokeweight=".25pt" strokecolor="#000000">
            <w10:wrap type="none"/>
          </v:line>
        </w:pict>
      </w:r>
      <w:r>
        <w:rPr/>
        <w:pict>
          <v:line style="position:absolute;mso-position-horizontal-relative:page;mso-position-vertical-relative:paragraph;z-index:18208" from="508.890015pt,-28.286539pt" to="523.890015pt,-28.286539pt" stroked="true" strokeweight=".25pt" strokecolor="#000000">
            <w10:wrap type="none"/>
          </v:line>
        </w:pict>
      </w:r>
      <w:r>
        <w:rPr>
          <w:rFonts w:ascii="Arial"/>
          <w:color w:val="414042"/>
          <w:sz w:val="20"/>
        </w:rPr>
        <w:t>165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w w:val="105"/>
        </w:rPr>
        <w:t>En relación con el trato que la población migrante recibió por parte de las autoridades migratorias al momento de la detención se obtuvieron proporciones muy bajas de aquéllos que declararon haber sido objeto de agresión física (empujones, golpes), decomiso de sus pertenencias u otro tipo de problema durante el año 2007. La mayor proporción se obtuvo</w:t>
      </w:r>
      <w:r>
        <w:rPr>
          <w:color w:val="231F20"/>
          <w:spacing w:val="-11"/>
          <w:w w:val="105"/>
        </w:rPr>
        <w:t> </w:t>
      </w:r>
      <w:r>
        <w:rPr>
          <w:color w:val="231F20"/>
          <w:w w:val="105"/>
        </w:rPr>
        <w:t>entre</w:t>
      </w:r>
      <w:r>
        <w:rPr>
          <w:color w:val="231F20"/>
          <w:spacing w:val="-11"/>
          <w:w w:val="105"/>
        </w:rPr>
        <w:t> </w:t>
      </w:r>
      <w:r>
        <w:rPr>
          <w:color w:val="231F20"/>
          <w:w w:val="105"/>
        </w:rPr>
        <w:t>los</w:t>
      </w:r>
      <w:r>
        <w:rPr>
          <w:color w:val="231F20"/>
          <w:spacing w:val="-11"/>
          <w:w w:val="105"/>
        </w:rPr>
        <w:t> </w:t>
      </w:r>
      <w:r>
        <w:rPr>
          <w:color w:val="231F20"/>
          <w:w w:val="105"/>
        </w:rPr>
        <w:t>que</w:t>
      </w:r>
      <w:r>
        <w:rPr>
          <w:color w:val="231F20"/>
          <w:spacing w:val="-11"/>
          <w:w w:val="105"/>
        </w:rPr>
        <w:t> </w:t>
      </w:r>
      <w:r>
        <w:rPr>
          <w:color w:val="231F20"/>
          <w:w w:val="105"/>
        </w:rPr>
        <w:t>mencionaron</w:t>
      </w:r>
      <w:r>
        <w:rPr>
          <w:color w:val="231F20"/>
          <w:spacing w:val="-11"/>
          <w:w w:val="105"/>
        </w:rPr>
        <w:t> </w:t>
      </w:r>
      <w:r>
        <w:rPr>
          <w:color w:val="231F20"/>
          <w:w w:val="105"/>
        </w:rPr>
        <w:t>haber</w:t>
      </w:r>
      <w:r>
        <w:rPr>
          <w:color w:val="231F20"/>
          <w:spacing w:val="-11"/>
          <w:w w:val="105"/>
        </w:rPr>
        <w:t> </w:t>
      </w:r>
      <w:r>
        <w:rPr>
          <w:color w:val="231F20"/>
          <w:w w:val="105"/>
        </w:rPr>
        <w:t>sido</w:t>
      </w:r>
      <w:r>
        <w:rPr>
          <w:color w:val="231F20"/>
          <w:spacing w:val="-11"/>
          <w:w w:val="105"/>
        </w:rPr>
        <w:t> </w:t>
      </w:r>
      <w:r>
        <w:rPr>
          <w:color w:val="231F20"/>
          <w:w w:val="105"/>
        </w:rPr>
        <w:t>agredidos</w:t>
      </w:r>
      <w:r>
        <w:rPr>
          <w:color w:val="231F20"/>
          <w:spacing w:val="-11"/>
          <w:w w:val="105"/>
        </w:rPr>
        <w:t> </w:t>
      </w:r>
      <w:r>
        <w:rPr>
          <w:color w:val="231F20"/>
          <w:w w:val="105"/>
        </w:rPr>
        <w:t>verbalmente</w:t>
      </w:r>
      <w:r>
        <w:rPr>
          <w:color w:val="231F20"/>
          <w:spacing w:val="-11"/>
          <w:w w:val="105"/>
        </w:rPr>
        <w:t> </w:t>
      </w:r>
      <w:r>
        <w:rPr>
          <w:color w:val="231F20"/>
          <w:w w:val="105"/>
        </w:rPr>
        <w:t>ya sea</w:t>
      </w:r>
      <w:r>
        <w:rPr>
          <w:color w:val="231F20"/>
          <w:spacing w:val="-6"/>
          <w:w w:val="105"/>
        </w:rPr>
        <w:t> </w:t>
      </w:r>
      <w:r>
        <w:rPr>
          <w:color w:val="231F20"/>
          <w:w w:val="105"/>
        </w:rPr>
        <w:t>por</w:t>
      </w:r>
      <w:r>
        <w:rPr>
          <w:color w:val="231F20"/>
          <w:spacing w:val="-6"/>
          <w:w w:val="105"/>
        </w:rPr>
        <w:t> </w:t>
      </w:r>
      <w:r>
        <w:rPr>
          <w:color w:val="231F20"/>
          <w:w w:val="105"/>
        </w:rPr>
        <w:t>medio</w:t>
      </w:r>
      <w:r>
        <w:rPr>
          <w:color w:val="231F20"/>
          <w:spacing w:val="-6"/>
          <w:w w:val="105"/>
        </w:rPr>
        <w:t> </w:t>
      </w:r>
      <w:r>
        <w:rPr>
          <w:color w:val="231F20"/>
          <w:w w:val="105"/>
        </w:rPr>
        <w:t>de</w:t>
      </w:r>
      <w:r>
        <w:rPr>
          <w:color w:val="231F20"/>
          <w:spacing w:val="-6"/>
          <w:w w:val="105"/>
        </w:rPr>
        <w:t> </w:t>
      </w:r>
      <w:r>
        <w:rPr>
          <w:color w:val="231F20"/>
          <w:w w:val="105"/>
        </w:rPr>
        <w:t>gritos</w:t>
      </w:r>
      <w:r>
        <w:rPr>
          <w:color w:val="231F20"/>
          <w:spacing w:val="-6"/>
          <w:w w:val="105"/>
        </w:rPr>
        <w:t> </w:t>
      </w:r>
      <w:r>
        <w:rPr>
          <w:color w:val="231F20"/>
          <w:w w:val="105"/>
        </w:rPr>
        <w:t>o</w:t>
      </w:r>
      <w:r>
        <w:rPr>
          <w:color w:val="231F20"/>
          <w:spacing w:val="-6"/>
          <w:w w:val="105"/>
        </w:rPr>
        <w:t> </w:t>
      </w:r>
      <w:r>
        <w:rPr>
          <w:color w:val="231F20"/>
          <w:w w:val="105"/>
        </w:rPr>
        <w:t>insultos</w:t>
      </w:r>
      <w:r>
        <w:rPr>
          <w:color w:val="231F20"/>
          <w:spacing w:val="-6"/>
          <w:w w:val="105"/>
        </w:rPr>
        <w:t> </w:t>
      </w:r>
      <w:r>
        <w:rPr>
          <w:color w:val="231F20"/>
          <w:w w:val="105"/>
        </w:rPr>
        <w:t>(9.7%).</w:t>
      </w:r>
      <w:r>
        <w:rPr>
          <w:color w:val="231F20"/>
          <w:spacing w:val="-11"/>
          <w:w w:val="105"/>
        </w:rPr>
        <w:t> </w:t>
      </w:r>
      <w:r>
        <w:rPr>
          <w:color w:val="231F20"/>
          <w:w w:val="105"/>
        </w:rPr>
        <w:t>Sin</w:t>
      </w:r>
      <w:r>
        <w:rPr>
          <w:color w:val="231F20"/>
          <w:spacing w:val="-6"/>
          <w:w w:val="105"/>
        </w:rPr>
        <w:t> </w:t>
      </w:r>
      <w:r>
        <w:rPr>
          <w:color w:val="231F20"/>
          <w:w w:val="105"/>
        </w:rPr>
        <w:t>embargo,</w:t>
      </w:r>
      <w:r>
        <w:rPr>
          <w:color w:val="231F20"/>
          <w:spacing w:val="-11"/>
          <w:w w:val="105"/>
        </w:rPr>
        <w:t> </w:t>
      </w:r>
      <w:r>
        <w:rPr>
          <w:color w:val="231F20"/>
          <w:w w:val="105"/>
        </w:rPr>
        <w:t>en</w:t>
      </w:r>
      <w:r>
        <w:rPr>
          <w:color w:val="231F20"/>
          <w:spacing w:val="-6"/>
          <w:w w:val="105"/>
        </w:rPr>
        <w:t> </w:t>
      </w:r>
      <w:r>
        <w:rPr>
          <w:color w:val="231F20"/>
          <w:w w:val="105"/>
        </w:rPr>
        <w:t>2009</w:t>
      </w:r>
      <w:r>
        <w:rPr>
          <w:color w:val="231F20"/>
          <w:spacing w:val="-6"/>
          <w:w w:val="105"/>
        </w:rPr>
        <w:t> </w:t>
      </w:r>
      <w:r>
        <w:rPr>
          <w:color w:val="231F20"/>
          <w:w w:val="105"/>
        </w:rPr>
        <w:t>y</w:t>
      </w:r>
      <w:r>
        <w:rPr>
          <w:color w:val="231F20"/>
          <w:spacing w:val="-6"/>
          <w:w w:val="105"/>
        </w:rPr>
        <w:t> </w:t>
      </w:r>
      <w:r>
        <w:rPr>
          <w:color w:val="231F20"/>
          <w:w w:val="105"/>
        </w:rPr>
        <w:t>2012 este</w:t>
      </w:r>
      <w:r>
        <w:rPr>
          <w:color w:val="231F20"/>
          <w:spacing w:val="-13"/>
          <w:w w:val="105"/>
        </w:rPr>
        <w:t> </w:t>
      </w:r>
      <w:r>
        <w:rPr>
          <w:color w:val="231F20"/>
          <w:w w:val="105"/>
        </w:rPr>
        <w:t>último</w:t>
      </w:r>
      <w:r>
        <w:rPr>
          <w:color w:val="231F20"/>
          <w:spacing w:val="-13"/>
          <w:w w:val="105"/>
        </w:rPr>
        <w:t> </w:t>
      </w:r>
      <w:r>
        <w:rPr>
          <w:color w:val="231F20"/>
          <w:w w:val="105"/>
        </w:rPr>
        <w:t>concepto</w:t>
      </w:r>
      <w:r>
        <w:rPr>
          <w:color w:val="231F20"/>
          <w:spacing w:val="-13"/>
          <w:w w:val="105"/>
        </w:rPr>
        <w:t> </w:t>
      </w:r>
      <w:r>
        <w:rPr>
          <w:color w:val="231F20"/>
          <w:w w:val="105"/>
        </w:rPr>
        <w:t>además</w:t>
      </w:r>
      <w:r>
        <w:rPr>
          <w:color w:val="231F20"/>
          <w:spacing w:val="-13"/>
          <w:w w:val="105"/>
        </w:rPr>
        <w:t> </w:t>
      </w:r>
      <w:r>
        <w:rPr>
          <w:color w:val="231F20"/>
          <w:w w:val="105"/>
        </w:rPr>
        <w:t>de</w:t>
      </w:r>
      <w:r>
        <w:rPr>
          <w:color w:val="231F20"/>
          <w:spacing w:val="-13"/>
          <w:w w:val="105"/>
        </w:rPr>
        <w:t> </w:t>
      </w:r>
      <w:r>
        <w:rPr>
          <w:color w:val="231F20"/>
          <w:w w:val="105"/>
        </w:rPr>
        <w:t>hacerse</w:t>
      </w:r>
      <w:r>
        <w:rPr>
          <w:color w:val="231F20"/>
          <w:spacing w:val="-13"/>
          <w:w w:val="105"/>
        </w:rPr>
        <w:t> </w:t>
      </w:r>
      <w:r>
        <w:rPr>
          <w:color w:val="231F20"/>
          <w:w w:val="105"/>
        </w:rPr>
        <w:t>más</w:t>
      </w:r>
      <w:r>
        <w:rPr>
          <w:color w:val="231F20"/>
          <w:spacing w:val="-13"/>
          <w:w w:val="105"/>
        </w:rPr>
        <w:t> </w:t>
      </w:r>
      <w:r>
        <w:rPr>
          <w:color w:val="231F20"/>
          <w:w w:val="105"/>
        </w:rPr>
        <w:t>visible</w:t>
      </w:r>
      <w:r>
        <w:rPr>
          <w:color w:val="231F20"/>
          <w:spacing w:val="-13"/>
          <w:w w:val="105"/>
        </w:rPr>
        <w:t> </w:t>
      </w:r>
      <w:r>
        <w:rPr>
          <w:color w:val="231F20"/>
          <w:w w:val="105"/>
        </w:rPr>
        <w:t>se</w:t>
      </w:r>
      <w:r>
        <w:rPr>
          <w:color w:val="231F20"/>
          <w:spacing w:val="-13"/>
          <w:w w:val="105"/>
        </w:rPr>
        <w:t> </w:t>
      </w:r>
      <w:r>
        <w:rPr>
          <w:color w:val="231F20"/>
          <w:w w:val="105"/>
        </w:rPr>
        <w:t>acompaña</w:t>
      </w:r>
      <w:r>
        <w:rPr>
          <w:color w:val="231F20"/>
          <w:spacing w:val="-13"/>
          <w:w w:val="105"/>
        </w:rPr>
        <w:t> </w:t>
      </w:r>
      <w:r>
        <w:rPr>
          <w:color w:val="231F20"/>
          <w:w w:val="105"/>
        </w:rPr>
        <w:t>tam- bién</w:t>
      </w:r>
      <w:r>
        <w:rPr>
          <w:color w:val="231F20"/>
          <w:spacing w:val="-17"/>
          <w:w w:val="105"/>
        </w:rPr>
        <w:t> </w:t>
      </w:r>
      <w:r>
        <w:rPr>
          <w:color w:val="231F20"/>
          <w:w w:val="105"/>
        </w:rPr>
        <w:t>de</w:t>
      </w:r>
      <w:r>
        <w:rPr>
          <w:color w:val="231F20"/>
          <w:spacing w:val="-17"/>
          <w:w w:val="105"/>
        </w:rPr>
        <w:t> </w:t>
      </w:r>
      <w:r>
        <w:rPr>
          <w:color w:val="231F20"/>
          <w:w w:val="105"/>
        </w:rPr>
        <w:t>un</w:t>
      </w:r>
      <w:r>
        <w:rPr>
          <w:color w:val="231F20"/>
          <w:spacing w:val="-17"/>
          <w:w w:val="105"/>
        </w:rPr>
        <w:t> </w:t>
      </w:r>
      <w:r>
        <w:rPr>
          <w:color w:val="231F20"/>
          <w:w w:val="105"/>
        </w:rPr>
        <w:t>mayor</w:t>
      </w:r>
      <w:r>
        <w:rPr>
          <w:color w:val="231F20"/>
          <w:spacing w:val="-17"/>
          <w:w w:val="105"/>
        </w:rPr>
        <w:t> </w:t>
      </w:r>
      <w:r>
        <w:rPr>
          <w:color w:val="231F20"/>
          <w:w w:val="105"/>
        </w:rPr>
        <w:t>porcentaje</w:t>
      </w:r>
      <w:r>
        <w:rPr>
          <w:color w:val="231F20"/>
          <w:spacing w:val="-17"/>
          <w:w w:val="105"/>
        </w:rPr>
        <w:t> </w:t>
      </w:r>
      <w:r>
        <w:rPr>
          <w:color w:val="231F20"/>
          <w:w w:val="105"/>
        </w:rPr>
        <w:t>de</w:t>
      </w:r>
      <w:r>
        <w:rPr>
          <w:color w:val="231F20"/>
          <w:spacing w:val="-17"/>
          <w:w w:val="105"/>
        </w:rPr>
        <w:t> </w:t>
      </w:r>
      <w:r>
        <w:rPr>
          <w:color w:val="231F20"/>
          <w:w w:val="105"/>
        </w:rPr>
        <w:t>migrantes</w:t>
      </w:r>
      <w:r>
        <w:rPr>
          <w:color w:val="231F20"/>
          <w:spacing w:val="-17"/>
          <w:w w:val="105"/>
        </w:rPr>
        <w:t> </w:t>
      </w:r>
      <w:r>
        <w:rPr>
          <w:color w:val="231F20"/>
          <w:w w:val="105"/>
        </w:rPr>
        <w:t>mexiquenses</w:t>
      </w:r>
      <w:r>
        <w:rPr>
          <w:color w:val="231F20"/>
          <w:spacing w:val="-17"/>
          <w:w w:val="105"/>
        </w:rPr>
        <w:t> </w:t>
      </w:r>
      <w:r>
        <w:rPr>
          <w:color w:val="231F20"/>
          <w:w w:val="105"/>
        </w:rPr>
        <w:t>que</w:t>
      </w:r>
      <w:r>
        <w:rPr>
          <w:color w:val="231F20"/>
          <w:spacing w:val="-17"/>
          <w:w w:val="105"/>
        </w:rPr>
        <w:t> </w:t>
      </w:r>
      <w:r>
        <w:rPr>
          <w:color w:val="231F20"/>
          <w:w w:val="105"/>
        </w:rPr>
        <w:t>expresaron haber</w:t>
      </w:r>
      <w:r>
        <w:rPr>
          <w:color w:val="231F20"/>
          <w:spacing w:val="-12"/>
          <w:w w:val="105"/>
        </w:rPr>
        <w:t> </w:t>
      </w:r>
      <w:r>
        <w:rPr>
          <w:color w:val="231F20"/>
          <w:w w:val="105"/>
        </w:rPr>
        <w:t>sido</w:t>
      </w:r>
      <w:r>
        <w:rPr>
          <w:color w:val="231F20"/>
          <w:spacing w:val="-12"/>
          <w:w w:val="105"/>
        </w:rPr>
        <w:t> </w:t>
      </w:r>
      <w:r>
        <w:rPr>
          <w:color w:val="231F20"/>
          <w:w w:val="105"/>
        </w:rPr>
        <w:t>agredidos</w:t>
      </w:r>
      <w:r>
        <w:rPr>
          <w:color w:val="231F20"/>
          <w:spacing w:val="-12"/>
          <w:w w:val="105"/>
        </w:rPr>
        <w:t> </w:t>
      </w:r>
      <w:r>
        <w:rPr>
          <w:color w:val="231F20"/>
          <w:w w:val="105"/>
        </w:rPr>
        <w:t>físicamente</w:t>
      </w:r>
      <w:r>
        <w:rPr>
          <w:color w:val="231F20"/>
          <w:spacing w:val="-12"/>
          <w:w w:val="105"/>
        </w:rPr>
        <w:t> </w:t>
      </w:r>
      <w:r>
        <w:rPr>
          <w:color w:val="231F20"/>
          <w:w w:val="105"/>
        </w:rPr>
        <w:t>o</w:t>
      </w:r>
      <w:r>
        <w:rPr>
          <w:color w:val="231F20"/>
          <w:spacing w:val="-12"/>
          <w:w w:val="105"/>
        </w:rPr>
        <w:t> </w:t>
      </w:r>
      <w:r>
        <w:rPr>
          <w:color w:val="231F20"/>
          <w:w w:val="105"/>
        </w:rPr>
        <w:t>haber</w:t>
      </w:r>
      <w:r>
        <w:rPr>
          <w:color w:val="231F20"/>
          <w:spacing w:val="-12"/>
          <w:w w:val="105"/>
        </w:rPr>
        <w:t> </w:t>
      </w:r>
      <w:r>
        <w:rPr>
          <w:color w:val="231F20"/>
          <w:w w:val="105"/>
        </w:rPr>
        <w:t>sido</w:t>
      </w:r>
      <w:r>
        <w:rPr>
          <w:color w:val="231F20"/>
          <w:spacing w:val="-12"/>
          <w:w w:val="105"/>
        </w:rPr>
        <w:t> </w:t>
      </w:r>
      <w:r>
        <w:rPr>
          <w:color w:val="231F20"/>
          <w:w w:val="105"/>
        </w:rPr>
        <w:t>despojados</w:t>
      </w:r>
      <w:r>
        <w:rPr>
          <w:color w:val="231F20"/>
          <w:spacing w:val="-12"/>
          <w:w w:val="105"/>
        </w:rPr>
        <w:t> </w:t>
      </w:r>
      <w:r>
        <w:rPr>
          <w:color w:val="231F20"/>
          <w:w w:val="105"/>
        </w:rPr>
        <w:t>de</w:t>
      </w:r>
      <w:r>
        <w:rPr>
          <w:color w:val="231F20"/>
          <w:spacing w:val="-12"/>
          <w:w w:val="105"/>
        </w:rPr>
        <w:t> </w:t>
      </w:r>
      <w:r>
        <w:rPr>
          <w:color w:val="231F20"/>
          <w:w w:val="105"/>
        </w:rPr>
        <w:t>sus</w:t>
      </w:r>
      <w:r>
        <w:rPr>
          <w:color w:val="231F20"/>
          <w:spacing w:val="-12"/>
          <w:w w:val="105"/>
        </w:rPr>
        <w:t> </w:t>
      </w:r>
      <w:r>
        <w:rPr>
          <w:color w:val="231F20"/>
          <w:w w:val="105"/>
        </w:rPr>
        <w:t>perte- </w:t>
      </w:r>
      <w:r>
        <w:rPr>
          <w:color w:val="231F20"/>
        </w:rPr>
        <w:t>nencias (véase gráfica</w:t>
      </w:r>
      <w:r>
        <w:rPr>
          <w:color w:val="231F20"/>
          <w:spacing w:val="-20"/>
        </w:rPr>
        <w:t> </w:t>
      </w:r>
      <w:r>
        <w:rPr>
          <w:color w:val="231F20"/>
        </w:rPr>
        <w:t>6).</w:t>
      </w:r>
    </w:p>
    <w:p>
      <w:pPr>
        <w:pStyle w:val="BodyText"/>
        <w:spacing w:line="261" w:lineRule="auto" w:before="1"/>
        <w:ind w:left="1837" w:right="1721" w:firstLine="567"/>
        <w:jc w:val="both"/>
      </w:pPr>
      <w:r>
        <w:rPr>
          <w:color w:val="231F20"/>
          <w:w w:val="105"/>
        </w:rPr>
        <w:t>De este flujo de migrantes devueltos, el porcentaje de los que</w:t>
      </w:r>
      <w:r>
        <w:rPr>
          <w:color w:val="231F20"/>
          <w:spacing w:val="-37"/>
          <w:w w:val="105"/>
        </w:rPr>
        <w:t> </w:t>
      </w:r>
      <w:r>
        <w:rPr>
          <w:color w:val="231F20"/>
          <w:w w:val="105"/>
        </w:rPr>
        <w:t>ve- nían solos es el de mayor representatividad en el periodo de observa- ción:</w:t>
      </w:r>
      <w:r>
        <w:rPr>
          <w:color w:val="231F20"/>
          <w:spacing w:val="-11"/>
          <w:w w:val="105"/>
        </w:rPr>
        <w:t> </w:t>
      </w:r>
      <w:r>
        <w:rPr>
          <w:color w:val="231F20"/>
          <w:w w:val="105"/>
        </w:rPr>
        <w:t>51.7%</w:t>
      </w:r>
      <w:r>
        <w:rPr>
          <w:color w:val="231F20"/>
          <w:spacing w:val="-11"/>
          <w:w w:val="105"/>
        </w:rPr>
        <w:t> </w:t>
      </w:r>
      <w:r>
        <w:rPr>
          <w:color w:val="231F20"/>
          <w:w w:val="105"/>
        </w:rPr>
        <w:t>(2007),</w:t>
      </w:r>
      <w:r>
        <w:rPr>
          <w:color w:val="231F20"/>
          <w:spacing w:val="-16"/>
          <w:w w:val="105"/>
        </w:rPr>
        <w:t> </w:t>
      </w:r>
      <w:r>
        <w:rPr>
          <w:color w:val="231F20"/>
          <w:w w:val="105"/>
        </w:rPr>
        <w:t>62.3%</w:t>
      </w:r>
      <w:r>
        <w:rPr>
          <w:color w:val="231F20"/>
          <w:spacing w:val="-11"/>
          <w:w w:val="105"/>
        </w:rPr>
        <w:t> </w:t>
      </w:r>
      <w:r>
        <w:rPr>
          <w:color w:val="231F20"/>
          <w:w w:val="105"/>
        </w:rPr>
        <w:t>(2009)</w:t>
      </w:r>
      <w:r>
        <w:rPr>
          <w:color w:val="231F20"/>
          <w:spacing w:val="-11"/>
          <w:w w:val="105"/>
        </w:rPr>
        <w:t> </w:t>
      </w:r>
      <w:r>
        <w:rPr>
          <w:color w:val="231F20"/>
          <w:w w:val="105"/>
        </w:rPr>
        <w:t>y</w:t>
      </w:r>
      <w:r>
        <w:rPr>
          <w:color w:val="231F20"/>
          <w:spacing w:val="-11"/>
          <w:w w:val="105"/>
        </w:rPr>
        <w:t> </w:t>
      </w:r>
      <w:r>
        <w:rPr>
          <w:color w:val="231F20"/>
          <w:w w:val="105"/>
        </w:rPr>
        <w:t>62.8%</w:t>
      </w:r>
      <w:r>
        <w:rPr>
          <w:color w:val="231F20"/>
          <w:spacing w:val="-11"/>
          <w:w w:val="105"/>
        </w:rPr>
        <w:t> </w:t>
      </w:r>
      <w:r>
        <w:rPr>
          <w:color w:val="231F20"/>
          <w:w w:val="105"/>
        </w:rPr>
        <w:t>(2012).</w:t>
      </w:r>
      <w:r>
        <w:rPr>
          <w:color w:val="231F20"/>
          <w:spacing w:val="-19"/>
          <w:w w:val="105"/>
        </w:rPr>
        <w:t> </w:t>
      </w:r>
      <w:r>
        <w:rPr>
          <w:color w:val="231F20"/>
          <w:w w:val="105"/>
        </w:rPr>
        <w:t>A</w:t>
      </w:r>
      <w:r>
        <w:rPr>
          <w:color w:val="231F20"/>
          <w:spacing w:val="-14"/>
          <w:w w:val="105"/>
        </w:rPr>
        <w:t> </w:t>
      </w:r>
      <w:r>
        <w:rPr>
          <w:color w:val="231F20"/>
          <w:w w:val="105"/>
        </w:rPr>
        <w:t>este</w:t>
      </w:r>
      <w:r>
        <w:rPr>
          <w:color w:val="231F20"/>
          <w:spacing w:val="-11"/>
          <w:w w:val="105"/>
        </w:rPr>
        <w:t> </w:t>
      </w:r>
      <w:r>
        <w:rPr>
          <w:color w:val="231F20"/>
          <w:w w:val="105"/>
        </w:rPr>
        <w:t>concepto</w:t>
      </w:r>
      <w:r>
        <w:rPr>
          <w:color w:val="231F20"/>
          <w:spacing w:val="-11"/>
          <w:w w:val="105"/>
        </w:rPr>
        <w:t> </w:t>
      </w:r>
      <w:r>
        <w:rPr>
          <w:color w:val="231F20"/>
          <w:w w:val="105"/>
        </w:rPr>
        <w:t>le</w:t>
      </w:r>
      <w:r>
        <w:rPr>
          <w:color w:val="231F20"/>
          <w:spacing w:val="-11"/>
          <w:w w:val="105"/>
        </w:rPr>
        <w:t> </w:t>
      </w:r>
      <w:r>
        <w:rPr>
          <w:color w:val="231F20"/>
          <w:w w:val="105"/>
        </w:rPr>
        <w:t>si- guen</w:t>
      </w:r>
      <w:r>
        <w:rPr>
          <w:color w:val="231F20"/>
          <w:spacing w:val="-13"/>
          <w:w w:val="105"/>
        </w:rPr>
        <w:t> </w:t>
      </w:r>
      <w:r>
        <w:rPr>
          <w:color w:val="231F20"/>
          <w:w w:val="105"/>
        </w:rPr>
        <w:t>los</w:t>
      </w:r>
      <w:r>
        <w:rPr>
          <w:color w:val="231F20"/>
          <w:spacing w:val="-13"/>
          <w:w w:val="105"/>
        </w:rPr>
        <w:t> </w:t>
      </w:r>
      <w:r>
        <w:rPr>
          <w:color w:val="231F20"/>
          <w:w w:val="105"/>
        </w:rPr>
        <w:t>que</w:t>
      </w:r>
      <w:r>
        <w:rPr>
          <w:color w:val="231F20"/>
          <w:spacing w:val="-13"/>
          <w:w w:val="105"/>
        </w:rPr>
        <w:t> </w:t>
      </w:r>
      <w:r>
        <w:rPr>
          <w:color w:val="231F20"/>
          <w:w w:val="105"/>
        </w:rPr>
        <w:t>fueron</w:t>
      </w:r>
      <w:r>
        <w:rPr>
          <w:color w:val="231F20"/>
          <w:spacing w:val="-13"/>
          <w:w w:val="105"/>
        </w:rPr>
        <w:t> </w:t>
      </w:r>
      <w:r>
        <w:rPr>
          <w:color w:val="231F20"/>
          <w:w w:val="105"/>
        </w:rPr>
        <w:t>devueltos</w:t>
      </w:r>
      <w:r>
        <w:rPr>
          <w:color w:val="231F20"/>
          <w:spacing w:val="-13"/>
          <w:w w:val="105"/>
        </w:rPr>
        <w:t> </w:t>
      </w:r>
      <w:r>
        <w:rPr>
          <w:color w:val="231F20"/>
          <w:w w:val="105"/>
        </w:rPr>
        <w:t>con</w:t>
      </w:r>
      <w:r>
        <w:rPr>
          <w:color w:val="231F20"/>
          <w:spacing w:val="-13"/>
          <w:w w:val="105"/>
        </w:rPr>
        <w:t> </w:t>
      </w:r>
      <w:r>
        <w:rPr>
          <w:color w:val="231F20"/>
          <w:w w:val="105"/>
        </w:rPr>
        <w:t>sus</w:t>
      </w:r>
      <w:r>
        <w:rPr>
          <w:color w:val="231F20"/>
          <w:spacing w:val="-13"/>
          <w:w w:val="105"/>
        </w:rPr>
        <w:t> </w:t>
      </w:r>
      <w:r>
        <w:rPr>
          <w:color w:val="231F20"/>
          <w:w w:val="105"/>
        </w:rPr>
        <w:t>familiares,</w:t>
      </w:r>
      <w:r>
        <w:rPr>
          <w:color w:val="231F20"/>
          <w:spacing w:val="-20"/>
          <w:w w:val="105"/>
        </w:rPr>
        <w:t> </w:t>
      </w:r>
      <w:r>
        <w:rPr>
          <w:color w:val="231F20"/>
          <w:w w:val="105"/>
        </w:rPr>
        <w:t>con</w:t>
      </w:r>
      <w:r>
        <w:rPr>
          <w:color w:val="231F20"/>
          <w:spacing w:val="-13"/>
          <w:w w:val="105"/>
        </w:rPr>
        <w:t> </w:t>
      </w:r>
      <w:r>
        <w:rPr>
          <w:color w:val="231F20"/>
          <w:w w:val="105"/>
        </w:rPr>
        <w:t>un</w:t>
      </w:r>
      <w:r>
        <w:rPr>
          <w:color w:val="231F20"/>
          <w:spacing w:val="-13"/>
          <w:w w:val="105"/>
        </w:rPr>
        <w:t> </w:t>
      </w:r>
      <w:r>
        <w:rPr>
          <w:color w:val="231F20"/>
          <w:w w:val="105"/>
        </w:rPr>
        <w:t>porcentaje</w:t>
      </w:r>
      <w:r>
        <w:rPr>
          <w:color w:val="231F20"/>
          <w:spacing w:val="-13"/>
          <w:w w:val="105"/>
        </w:rPr>
        <w:t> </w:t>
      </w:r>
      <w:r>
        <w:rPr>
          <w:color w:val="231F20"/>
          <w:w w:val="105"/>
        </w:rPr>
        <w:t>que disminuyó</w:t>
      </w:r>
      <w:r>
        <w:rPr>
          <w:color w:val="231F20"/>
          <w:spacing w:val="-17"/>
          <w:w w:val="105"/>
        </w:rPr>
        <w:t> </w:t>
      </w:r>
      <w:r>
        <w:rPr>
          <w:color w:val="231F20"/>
          <w:w w:val="105"/>
        </w:rPr>
        <w:t>de</w:t>
      </w:r>
      <w:r>
        <w:rPr>
          <w:color w:val="231F20"/>
          <w:spacing w:val="-17"/>
          <w:w w:val="105"/>
        </w:rPr>
        <w:t> </w:t>
      </w:r>
      <w:r>
        <w:rPr>
          <w:color w:val="231F20"/>
          <w:w w:val="105"/>
        </w:rPr>
        <w:t>41.4%</w:t>
      </w:r>
      <w:r>
        <w:rPr>
          <w:color w:val="231F20"/>
          <w:spacing w:val="-17"/>
          <w:w w:val="105"/>
        </w:rPr>
        <w:t> </w:t>
      </w:r>
      <w:r>
        <w:rPr>
          <w:color w:val="231F20"/>
          <w:w w:val="105"/>
        </w:rPr>
        <w:t>en</w:t>
      </w:r>
      <w:r>
        <w:rPr>
          <w:color w:val="231F20"/>
          <w:spacing w:val="-17"/>
          <w:w w:val="105"/>
        </w:rPr>
        <w:t> </w:t>
      </w:r>
      <w:r>
        <w:rPr>
          <w:color w:val="231F20"/>
          <w:w w:val="105"/>
        </w:rPr>
        <w:t>2007</w:t>
      </w:r>
      <w:r>
        <w:rPr>
          <w:color w:val="231F20"/>
          <w:spacing w:val="-17"/>
          <w:w w:val="105"/>
        </w:rPr>
        <w:t> </w:t>
      </w:r>
      <w:r>
        <w:rPr>
          <w:color w:val="231F20"/>
          <w:w w:val="105"/>
        </w:rPr>
        <w:t>a</w:t>
      </w:r>
      <w:r>
        <w:rPr>
          <w:color w:val="231F20"/>
          <w:spacing w:val="-17"/>
          <w:w w:val="105"/>
        </w:rPr>
        <w:t> </w:t>
      </w:r>
      <w:r>
        <w:rPr>
          <w:color w:val="231F20"/>
          <w:w w:val="105"/>
        </w:rPr>
        <w:t>sólo</w:t>
      </w:r>
      <w:r>
        <w:rPr>
          <w:color w:val="231F20"/>
          <w:spacing w:val="-17"/>
          <w:w w:val="105"/>
        </w:rPr>
        <w:t> </w:t>
      </w:r>
      <w:r>
        <w:rPr>
          <w:color w:val="231F20"/>
          <w:w w:val="105"/>
        </w:rPr>
        <w:t>6.8%</w:t>
      </w:r>
      <w:r>
        <w:rPr>
          <w:color w:val="231F20"/>
          <w:spacing w:val="-17"/>
          <w:w w:val="105"/>
        </w:rPr>
        <w:t> </w:t>
      </w:r>
      <w:r>
        <w:rPr>
          <w:color w:val="231F20"/>
          <w:w w:val="105"/>
        </w:rPr>
        <w:t>en</w:t>
      </w:r>
      <w:r>
        <w:rPr>
          <w:color w:val="231F20"/>
          <w:spacing w:val="-17"/>
          <w:w w:val="105"/>
        </w:rPr>
        <w:t> </w:t>
      </w:r>
      <w:r>
        <w:rPr>
          <w:color w:val="231F20"/>
          <w:w w:val="105"/>
        </w:rPr>
        <w:t>2012.</w:t>
      </w:r>
    </w:p>
    <w:p>
      <w:pPr>
        <w:pStyle w:val="BodyText"/>
        <w:spacing w:before="4"/>
      </w:pPr>
    </w:p>
    <w:p>
      <w:pPr>
        <w:spacing w:line="249" w:lineRule="auto" w:before="0"/>
        <w:ind w:left="1959" w:right="1745" w:firstLine="139"/>
        <w:jc w:val="left"/>
        <w:rPr>
          <w:rFonts w:ascii="Arial" w:hAnsi="Arial"/>
          <w:sz w:val="18"/>
        </w:rPr>
      </w:pPr>
      <w:r>
        <w:rPr>
          <w:rFonts w:ascii="Arial" w:hAnsi="Arial"/>
          <w:color w:val="231F20"/>
          <w:w w:val="105"/>
          <w:sz w:val="18"/>
        </w:rPr>
        <w:t>Gráfica 6. Problemas o agresiones que experimentó la población mexiquense devuelta por parte de las autoridades migratorias de Estados Unidos, 2007-2012</w:t>
      </w:r>
    </w:p>
    <w:p>
      <w:pPr>
        <w:spacing w:before="103"/>
        <w:ind w:left="2203" w:right="6753" w:firstLine="0"/>
        <w:jc w:val="left"/>
        <w:rPr>
          <w:rFonts w:ascii="Lucida Sans Unicode"/>
          <w:sz w:val="14"/>
        </w:rPr>
      </w:pPr>
      <w:r>
        <w:rPr/>
        <w:pict>
          <v:group style="position:absolute;margin-left:121.197701pt;margin-top:9.642645pt;width:301.350pt;height:145.3pt;mso-position-horizontal-relative:page;mso-position-vertical-relative:paragraph;z-index:18088" coordorigin="2424,193" coordsize="6027,2906">
            <v:shape style="position:absolute;left:0;top:8044;width:5972;height:2" coordorigin="0,8044" coordsize="5972,0" path="m5210,1623l8444,1623m2473,1623l4545,1623e" filled="false" stroked="true" strokeweight=".454pt" strokecolor="#a6a8ab">
              <v:path arrowok="t"/>
            </v:shape>
            <v:shape style="position:absolute;left:2676;top:1647;width:4900;height:1411" type="#_x0000_t75" stroked="false">
              <v:imagedata r:id="rId130" o:title=""/>
            </v:shape>
            <v:shape style="position:absolute;left:3010;top:961;width:4898;height:2096" type="#_x0000_t75" stroked="false">
              <v:imagedata r:id="rId131" o:title=""/>
            </v:shape>
            <v:shape style="position:absolute;left:3341;top:918;width:4900;height:2140" type="#_x0000_t75" stroked="false">
              <v:imagedata r:id="rId132" o:title=""/>
            </v:shape>
            <v:shape style="position:absolute;left:5707;top:2979;width:1827;height:72" coordorigin="5707,2979" coordsize="1827,72" path="m6040,2979l5707,2979,5707,3051,6040,3051,6040,2979m7533,3023l7202,3023,7202,3051,7533,3051,7533,3023e" filled="true" fillcolor="#a1a3a5" stroked="false">
              <v:path arrowok="t"/>
              <v:fill type="solid"/>
            </v:shape>
            <v:shape style="position:absolute;left:2719;top:1667;width:1827;height:1384" coordorigin="2719,1667" coordsize="1827,1384" path="m3053,2381l2719,2381,2719,3051,3053,3051,3053,2381m4545,1667l4214,1667,4214,3051,4545,3051,4545,1667e" filled="true" fillcolor="#808285" stroked="false">
              <v:path arrowok="t"/>
              <v:fill type="solid"/>
            </v:shape>
            <v:shape style="position:absolute;left:5707;top:2979;width:1827;height:72" coordorigin="5707,2979" coordsize="1827,72" path="m6040,2979l5707,2979,5707,3051,6040,3051,6040,2979m7533,3023l7202,3023,7202,3051,7533,3051,7533,3023e" filled="true" fillcolor="#808285" stroked="false">
              <v:path arrowok="t"/>
              <v:fill type="solid"/>
            </v:shape>
            <v:shape style="position:absolute;left:3053;top:982;width:4811;height:2070" coordorigin="3053,982" coordsize="4811,2070" path="m3384,1867l3053,1867,3053,3051,3384,3051,3384,1867m4879,982l4545,982,4545,3051,4879,3051,4879,982m6371,2067l6040,2067,6040,3051,6371,3051,6371,2067m7864,2921l7533,2921,7533,3051,7864,3051,7864,2921e" filled="true" fillcolor="#b1b3b6" stroked="false">
              <v:path arrowok="t"/>
              <v:fill type="solid"/>
            </v:shape>
            <v:shape style="position:absolute;left:3384;top:941;width:4814;height:2110" coordorigin="3384,941" coordsize="4814,2110" path="m3715,2294l3384,2294,3384,3051,3715,3051,3715,2294m5210,941l4879,941,4879,3051,5210,3051,5210,941m6702,1681l6371,1681,6371,3051,6702,3051,6702,1681m8197,2935l7864,2935,7864,3051,8197,3051,8197,2935e" filled="true" fillcolor="#d1d3d4" stroked="false">
              <v:path arrowok="t"/>
              <v:fill type="solid"/>
            </v:shape>
            <v:line style="position:absolute" from="2473,198" to="8444,198" stroked="true" strokeweight=".454pt" strokecolor="#a6a8ab"/>
            <v:line style="position:absolute" from="2472,3051" to="2472,198" stroked="true" strokeweight=".454pt" strokecolor="#a6a8ab"/>
            <v:shape style="position:absolute;left:0;top:5191;width:43;height:2853" coordorigin="0,5191" coordsize="43,2853" path="m2429,3051l2472,3051m2429,1623l2472,1623m2429,198l2472,198e" filled="false" stroked="true" strokeweight=".454pt" strokecolor="#a6a8ab">
              <v:path arrowok="t"/>
            </v:shape>
            <v:line style="position:absolute" from="2472,3051" to="8445,3051" stroked="true" strokeweight=".454pt" strokecolor="#a6a8ab"/>
            <v:shape style="position:absolute;left:0;top:8044;width:5972;height:43" coordorigin="0,8044" coordsize="5972,43" path="m2473,3052l2473,3094m3965,3052l3965,3094m5460,3052l5460,3094m6952,3052l6952,3094m8444,3052l8444,3094e" filled="false" stroked="true" strokeweight=".454pt" strokecolor="#a6a8ab">
              <v:path arrowok="t"/>
            </v:shape>
            <w10:wrap type="none"/>
          </v:group>
        </w:pict>
      </w:r>
      <w:r>
        <w:rPr>
          <w:rFonts w:ascii="Lucida Sans Unicode"/>
          <w:color w:val="231F20"/>
          <w:sz w:val="14"/>
        </w:rPr>
        <w:t>20</w:t>
      </w: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spacing w:before="5"/>
        <w:rPr>
          <w:rFonts w:ascii="Lucida Sans Unicode"/>
          <w:sz w:val="15"/>
        </w:rPr>
      </w:pPr>
    </w:p>
    <w:p>
      <w:pPr>
        <w:spacing w:before="53"/>
        <w:ind w:left="2202" w:right="6753" w:firstLine="0"/>
        <w:jc w:val="left"/>
        <w:rPr>
          <w:rFonts w:ascii="Lucida Sans Unicode"/>
          <w:sz w:val="14"/>
        </w:rPr>
      </w:pPr>
      <w:r>
        <w:rPr>
          <w:rFonts w:ascii="Lucida Sans Unicode"/>
          <w:color w:val="231F20"/>
          <w:sz w:val="14"/>
        </w:rPr>
        <w:t>10</w:t>
      </w: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spacing w:before="5"/>
        <w:rPr>
          <w:rFonts w:ascii="Lucida Sans Unicode"/>
          <w:sz w:val="15"/>
        </w:rPr>
      </w:pPr>
    </w:p>
    <w:p>
      <w:pPr>
        <w:spacing w:after="0"/>
        <w:rPr>
          <w:rFonts w:ascii="Lucida Sans Unicode"/>
          <w:sz w:val="15"/>
        </w:rPr>
        <w:sectPr>
          <w:type w:val="continuous"/>
          <w:pgSz w:w="10480" w:h="14730"/>
          <w:pgMar w:top="0" w:bottom="0" w:left="0" w:right="0"/>
        </w:sectPr>
      </w:pPr>
    </w:p>
    <w:p>
      <w:pPr>
        <w:spacing w:line="194" w:lineRule="exact" w:before="53"/>
        <w:ind w:left="0" w:right="2174" w:firstLine="0"/>
        <w:jc w:val="center"/>
        <w:rPr>
          <w:rFonts w:ascii="Lucida Sans Unicode"/>
          <w:sz w:val="14"/>
        </w:rPr>
      </w:pPr>
      <w:r>
        <w:rPr>
          <w:rFonts w:ascii="Lucida Sans Unicode"/>
          <w:color w:val="231F20"/>
          <w:w w:val="95"/>
          <w:sz w:val="14"/>
        </w:rPr>
        <w:t>0</w:t>
      </w:r>
    </w:p>
    <w:p>
      <w:pPr>
        <w:tabs>
          <w:tab w:pos="4182" w:val="left" w:leader="none"/>
          <w:tab w:pos="5678" w:val="left" w:leader="none"/>
        </w:tabs>
        <w:spacing w:line="171" w:lineRule="exact" w:before="0"/>
        <w:ind w:left="2785" w:right="0" w:firstLine="0"/>
        <w:jc w:val="left"/>
        <w:rPr>
          <w:rFonts w:ascii="Lucida Sans Unicode" w:hAnsi="Lucida Sans Unicode"/>
          <w:sz w:val="14"/>
        </w:rPr>
      </w:pPr>
      <w:r>
        <w:rPr>
          <w:rFonts w:ascii="Lucida Sans Unicode" w:hAnsi="Lucida Sans Unicode"/>
          <w:color w:val="231F20"/>
          <w:sz w:val="14"/>
        </w:rPr>
        <w:t>Agresión</w:t>
      </w:r>
      <w:r>
        <w:rPr>
          <w:rFonts w:ascii="Lucida Sans Unicode" w:hAnsi="Lucida Sans Unicode"/>
          <w:color w:val="231F20"/>
          <w:spacing w:val="-15"/>
          <w:sz w:val="14"/>
        </w:rPr>
        <w:t> </w:t>
      </w:r>
      <w:r>
        <w:rPr>
          <w:rFonts w:ascii="Lucida Sans Unicode" w:hAnsi="Lucida Sans Unicode"/>
          <w:color w:val="231F20"/>
          <w:sz w:val="14"/>
        </w:rPr>
        <w:t>física</w:t>
        <w:tab/>
        <w:t>Agresión</w:t>
      </w:r>
      <w:r>
        <w:rPr>
          <w:rFonts w:ascii="Lucida Sans Unicode" w:hAnsi="Lucida Sans Unicode"/>
          <w:color w:val="231F20"/>
          <w:spacing w:val="-9"/>
          <w:sz w:val="14"/>
        </w:rPr>
        <w:t> </w:t>
      </w:r>
      <w:r>
        <w:rPr>
          <w:rFonts w:ascii="Lucida Sans Unicode" w:hAnsi="Lucida Sans Unicode"/>
          <w:color w:val="231F20"/>
          <w:sz w:val="14"/>
        </w:rPr>
        <w:t>verbal</w:t>
        <w:tab/>
        <w:t>Decomiso de</w:t>
      </w:r>
      <w:r>
        <w:rPr>
          <w:rFonts w:ascii="Lucida Sans Unicode" w:hAnsi="Lucida Sans Unicode"/>
          <w:color w:val="231F20"/>
          <w:spacing w:val="-21"/>
          <w:sz w:val="14"/>
        </w:rPr>
        <w:t> </w:t>
      </w:r>
      <w:r>
        <w:rPr>
          <w:rFonts w:ascii="Lucida Sans Unicode" w:hAnsi="Lucida Sans Unicode"/>
          <w:color w:val="231F20"/>
          <w:sz w:val="14"/>
        </w:rPr>
        <w:t>sus</w:t>
      </w:r>
    </w:p>
    <w:p>
      <w:pPr>
        <w:spacing w:line="192" w:lineRule="exact" w:before="0"/>
        <w:ind w:left="0" w:right="142" w:firstLine="0"/>
        <w:jc w:val="right"/>
        <w:rPr>
          <w:rFonts w:ascii="Lucida Sans Unicode"/>
          <w:sz w:val="14"/>
        </w:rPr>
      </w:pPr>
      <w:r>
        <w:rPr>
          <w:rFonts w:ascii="Lucida Sans Unicode"/>
          <w:color w:val="231F20"/>
          <w:w w:val="95"/>
          <w:sz w:val="14"/>
        </w:rPr>
        <w:t>pertenencias</w:t>
      </w:r>
    </w:p>
    <w:p>
      <w:pPr>
        <w:pStyle w:val="BodyText"/>
        <w:spacing w:before="10"/>
        <w:rPr>
          <w:rFonts w:ascii="Lucida Sans Unicode"/>
          <w:sz w:val="15"/>
        </w:rPr>
      </w:pPr>
      <w:r>
        <w:rPr/>
        <w:br w:type="column"/>
      </w:r>
      <w:r>
        <w:rPr>
          <w:rFonts w:ascii="Lucida Sans Unicode"/>
          <w:sz w:val="15"/>
        </w:rPr>
      </w:r>
    </w:p>
    <w:p>
      <w:pPr>
        <w:spacing w:line="174" w:lineRule="exact" w:before="1"/>
        <w:ind w:left="500" w:right="2250" w:firstLine="126"/>
        <w:jc w:val="left"/>
        <w:rPr>
          <w:rFonts w:ascii="Lucida Sans Unicode"/>
          <w:sz w:val="14"/>
        </w:rPr>
      </w:pPr>
      <w:r>
        <w:rPr>
          <w:rFonts w:ascii="Lucida Sans Unicode"/>
          <w:color w:val="231F20"/>
          <w:sz w:val="14"/>
        </w:rPr>
        <w:t>Otro tipo de problema</w:t>
      </w:r>
    </w:p>
    <w:p>
      <w:pPr>
        <w:spacing w:after="0" w:line="174" w:lineRule="exact"/>
        <w:jc w:val="left"/>
        <w:rPr>
          <w:rFonts w:ascii="Lucida Sans Unicode"/>
          <w:sz w:val="14"/>
        </w:rPr>
        <w:sectPr>
          <w:type w:val="continuous"/>
          <w:pgSz w:w="10480" w:h="14730"/>
          <w:pgMar w:top="0" w:bottom="0" w:left="0" w:right="0"/>
          <w:cols w:num="2" w:equalWidth="0">
            <w:col w:w="6813" w:space="40"/>
            <w:col w:w="3627"/>
          </w:cols>
        </w:sectPr>
      </w:pPr>
    </w:p>
    <w:p>
      <w:pPr>
        <w:pStyle w:val="BodyText"/>
        <w:spacing w:before="3"/>
        <w:rPr>
          <w:rFonts w:ascii="Lucida Sans Unicode"/>
          <w:sz w:val="8"/>
        </w:rPr>
      </w:pPr>
    </w:p>
    <w:p>
      <w:pPr>
        <w:tabs>
          <w:tab w:pos="1283" w:val="left" w:leader="none"/>
          <w:tab w:pos="2099" w:val="left" w:leader="none"/>
        </w:tabs>
        <w:spacing w:before="55"/>
        <w:ind w:left="356" w:right="0" w:firstLine="0"/>
        <w:jc w:val="center"/>
        <w:rPr>
          <w:rFonts w:ascii="Comic Sans MS"/>
          <w:b/>
          <w:sz w:val="14"/>
        </w:rPr>
      </w:pPr>
      <w:r>
        <w:rPr/>
        <w:pict>
          <v:rect style="position:absolute;margin-left:204.757004pt;margin-top:2.454957pt;width:10.287pt;height:9.818pt;mso-position-horizontal-relative:page;mso-position-vertical-relative:paragraph;z-index:18112" filled="true" fillcolor="#808285" stroked="false">
            <v:fill type="solid"/>
            <w10:wrap type="none"/>
          </v:rect>
        </w:pict>
      </w:r>
      <w:r>
        <w:rPr/>
        <w:pict>
          <v:rect style="position:absolute;margin-left:251.679993pt;margin-top:2.454957pt;width:10.287pt;height:9.818pt;mso-position-horizontal-relative:page;mso-position-vertical-relative:paragraph;z-index:-472048" filled="true" fillcolor="#b1b3b6" stroked="false">
            <v:fill type="solid"/>
            <w10:wrap type="none"/>
          </v:rect>
        </w:pict>
      </w:r>
      <w:r>
        <w:rPr/>
        <w:pict>
          <v:rect style="position:absolute;margin-left:291.825012pt;margin-top:2.454957pt;width:10.286pt;height:9.818pt;mso-position-horizontal-relative:page;mso-position-vertical-relative:paragraph;z-index:-472024" filled="true" fillcolor="#d1d3d4" stroked="false">
            <v:fill type="solid"/>
            <w10:wrap type="none"/>
          </v:rect>
        </w:pict>
      </w:r>
      <w:r>
        <w:rPr>
          <w:rFonts w:ascii="Comic Sans MS"/>
          <w:b/>
          <w:color w:val="231F20"/>
          <w:w w:val="105"/>
          <w:sz w:val="14"/>
        </w:rPr>
        <w:t>2007</w:t>
        <w:tab/>
        <w:t>2009</w:t>
        <w:tab/>
        <w:t>2012</w:t>
      </w:r>
    </w:p>
    <w:p>
      <w:pPr>
        <w:spacing w:before="39"/>
        <w:ind w:left="2177" w:right="0" w:firstLine="0"/>
        <w:jc w:val="left"/>
        <w:rPr>
          <w:sz w:val="16"/>
        </w:rPr>
      </w:pPr>
      <w:r>
        <w:rPr>
          <w:color w:val="231F20"/>
          <w:w w:val="105"/>
          <w:sz w:val="16"/>
        </w:rPr>
        <w:t>Fuente: elaboración propia con base en la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837" w:right="1721"/>
        <w:jc w:val="both"/>
      </w:pPr>
      <w:r>
        <w:rPr/>
        <w:pict>
          <v:line style="position:absolute;mso-position-horizontal-relative:page;mso-position-vertical-relative:paragraph;z-index:-471952" from="15pt,166.578293pt" to="0pt,166.578293pt" stroked="true" strokeweight=".25pt" strokecolor="#000000">
            <w10:wrap type="none"/>
          </v:line>
        </w:pict>
      </w:r>
      <w:r>
        <w:rPr/>
        <w:pict>
          <v:line style="position:absolute;mso-position-horizontal-relative:page;mso-position-vertical-relative:paragraph;z-index:18256" from="508.890015pt,166.578293pt" to="523.890015pt,166.578293pt" stroked="true" strokeweight=".25pt" strokecolor="#000000">
            <w10:wrap type="none"/>
          </v:line>
        </w:pict>
      </w:r>
      <w:r>
        <w:rPr>
          <w:color w:val="231F20"/>
          <w:w w:val="105"/>
        </w:rPr>
        <w:t>Es</w:t>
      </w:r>
      <w:r>
        <w:rPr>
          <w:color w:val="231F20"/>
          <w:spacing w:val="-16"/>
          <w:w w:val="105"/>
        </w:rPr>
        <w:t> </w:t>
      </w:r>
      <w:r>
        <w:rPr>
          <w:color w:val="231F20"/>
          <w:w w:val="105"/>
        </w:rPr>
        <w:t>importante</w:t>
      </w:r>
      <w:r>
        <w:rPr>
          <w:color w:val="231F20"/>
          <w:spacing w:val="-16"/>
          <w:w w:val="105"/>
        </w:rPr>
        <w:t> </w:t>
      </w:r>
      <w:r>
        <w:rPr>
          <w:color w:val="231F20"/>
          <w:w w:val="105"/>
        </w:rPr>
        <w:t>notar</w:t>
      </w:r>
      <w:r>
        <w:rPr>
          <w:color w:val="231F20"/>
          <w:spacing w:val="-16"/>
          <w:w w:val="105"/>
        </w:rPr>
        <w:t> </w:t>
      </w:r>
      <w:r>
        <w:rPr>
          <w:color w:val="231F20"/>
          <w:w w:val="105"/>
        </w:rPr>
        <w:t>los</w:t>
      </w:r>
      <w:r>
        <w:rPr>
          <w:color w:val="231F20"/>
          <w:spacing w:val="-16"/>
          <w:w w:val="105"/>
        </w:rPr>
        <w:t> </w:t>
      </w:r>
      <w:r>
        <w:rPr>
          <w:color w:val="231F20"/>
          <w:w w:val="105"/>
        </w:rPr>
        <w:t>cambios</w:t>
      </w:r>
      <w:r>
        <w:rPr>
          <w:color w:val="231F20"/>
          <w:spacing w:val="-16"/>
          <w:w w:val="105"/>
        </w:rPr>
        <w:t> </w:t>
      </w:r>
      <w:r>
        <w:rPr>
          <w:color w:val="231F20"/>
          <w:w w:val="105"/>
        </w:rPr>
        <w:t>advertidos</w:t>
      </w:r>
      <w:r>
        <w:rPr>
          <w:color w:val="231F20"/>
          <w:spacing w:val="-16"/>
          <w:w w:val="105"/>
        </w:rPr>
        <w:t> </w:t>
      </w:r>
      <w:r>
        <w:rPr>
          <w:color w:val="231F20"/>
          <w:w w:val="105"/>
        </w:rPr>
        <w:t>en</w:t>
      </w:r>
      <w:r>
        <w:rPr>
          <w:color w:val="231F20"/>
          <w:spacing w:val="-16"/>
          <w:w w:val="105"/>
        </w:rPr>
        <w:t> </w:t>
      </w:r>
      <w:r>
        <w:rPr>
          <w:color w:val="231F20"/>
          <w:w w:val="105"/>
        </w:rPr>
        <w:t>cuanto</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mecanismos de</w:t>
      </w:r>
      <w:r>
        <w:rPr>
          <w:color w:val="231F20"/>
          <w:spacing w:val="-5"/>
          <w:w w:val="105"/>
        </w:rPr>
        <w:t> </w:t>
      </w:r>
      <w:r>
        <w:rPr>
          <w:color w:val="231F20"/>
          <w:w w:val="105"/>
        </w:rPr>
        <w:t>información</w:t>
      </w:r>
      <w:r>
        <w:rPr>
          <w:color w:val="231F20"/>
          <w:spacing w:val="-5"/>
          <w:w w:val="105"/>
        </w:rPr>
        <w:t> </w:t>
      </w:r>
      <w:r>
        <w:rPr>
          <w:color w:val="231F20"/>
          <w:w w:val="105"/>
        </w:rPr>
        <w:t>para</w:t>
      </w:r>
      <w:r>
        <w:rPr>
          <w:color w:val="231F20"/>
          <w:spacing w:val="-5"/>
          <w:w w:val="105"/>
        </w:rPr>
        <w:t> </w:t>
      </w:r>
      <w:r>
        <w:rPr>
          <w:color w:val="231F20"/>
          <w:w w:val="105"/>
        </w:rPr>
        <w:t>hacer</w:t>
      </w:r>
      <w:r>
        <w:rPr>
          <w:color w:val="231F20"/>
          <w:spacing w:val="-5"/>
          <w:w w:val="105"/>
        </w:rPr>
        <w:t> </w:t>
      </w:r>
      <w:r>
        <w:rPr>
          <w:color w:val="231F20"/>
          <w:w w:val="105"/>
        </w:rPr>
        <w:t>del</w:t>
      </w:r>
      <w:r>
        <w:rPr>
          <w:color w:val="231F20"/>
          <w:spacing w:val="-5"/>
          <w:w w:val="105"/>
        </w:rPr>
        <w:t> </w:t>
      </w:r>
      <w:r>
        <w:rPr>
          <w:color w:val="231F20"/>
          <w:w w:val="105"/>
        </w:rPr>
        <w:t>conocimiento</w:t>
      </w:r>
      <w:r>
        <w:rPr>
          <w:color w:val="231F20"/>
          <w:spacing w:val="-5"/>
          <w:w w:val="105"/>
        </w:rPr>
        <w:t> </w:t>
      </w:r>
      <w:r>
        <w:rPr>
          <w:color w:val="231F20"/>
          <w:w w:val="105"/>
        </w:rPr>
        <w:t>de</w:t>
      </w:r>
      <w:r>
        <w:rPr>
          <w:color w:val="231F20"/>
          <w:spacing w:val="-5"/>
          <w:w w:val="105"/>
        </w:rPr>
        <w:t> </w:t>
      </w:r>
      <w:r>
        <w:rPr>
          <w:color w:val="231F20"/>
          <w:w w:val="105"/>
        </w:rPr>
        <w:t>esta</w:t>
      </w:r>
      <w:r>
        <w:rPr>
          <w:color w:val="231F20"/>
          <w:spacing w:val="-5"/>
          <w:w w:val="105"/>
        </w:rPr>
        <w:t> </w:t>
      </w:r>
      <w:r>
        <w:rPr>
          <w:color w:val="231F20"/>
          <w:w w:val="105"/>
        </w:rPr>
        <w:t>población</w:t>
      </w:r>
      <w:r>
        <w:rPr>
          <w:color w:val="231F20"/>
          <w:spacing w:val="-5"/>
          <w:w w:val="105"/>
        </w:rPr>
        <w:t> </w:t>
      </w:r>
      <w:r>
        <w:rPr>
          <w:color w:val="231F20"/>
          <w:w w:val="105"/>
        </w:rPr>
        <w:t>sobre</w:t>
      </w:r>
      <w:r>
        <w:rPr>
          <w:color w:val="231F20"/>
          <w:spacing w:val="-5"/>
          <w:w w:val="105"/>
        </w:rPr>
        <w:t> </w:t>
      </w:r>
      <w:r>
        <w:rPr>
          <w:color w:val="231F20"/>
          <w:w w:val="105"/>
        </w:rPr>
        <w:t>su derecho a establecer comunicación con el consulado mexicano, pues mientras que en 2007 únicamente 9.4% recibió información, en 2009 y 2012 se obtuvieron proporciones de 27.0% y 73.3% entre la población migrante</w:t>
      </w:r>
      <w:r>
        <w:rPr>
          <w:color w:val="231F20"/>
          <w:spacing w:val="-22"/>
          <w:w w:val="105"/>
        </w:rPr>
        <w:t> </w:t>
      </w:r>
      <w:r>
        <w:rPr>
          <w:color w:val="231F20"/>
          <w:w w:val="105"/>
        </w:rPr>
        <w:t>mexiquense</w:t>
      </w:r>
      <w:r>
        <w:rPr>
          <w:color w:val="231F20"/>
          <w:spacing w:val="-22"/>
          <w:w w:val="105"/>
        </w:rPr>
        <w:t> </w:t>
      </w:r>
      <w:r>
        <w:rPr>
          <w:color w:val="231F20"/>
          <w:w w:val="105"/>
        </w:rPr>
        <w:t>devuelta</w:t>
      </w:r>
      <w:r>
        <w:rPr>
          <w:color w:val="231F20"/>
          <w:spacing w:val="-22"/>
          <w:w w:val="105"/>
        </w:rPr>
        <w:t> </w:t>
      </w:r>
      <w:r>
        <w:rPr>
          <w:color w:val="231F20"/>
          <w:w w:val="105"/>
        </w:rPr>
        <w:t>de</w:t>
      </w:r>
      <w:r>
        <w:rPr>
          <w:color w:val="231F20"/>
          <w:spacing w:val="-22"/>
          <w:w w:val="105"/>
        </w:rPr>
        <w:t> </w:t>
      </w:r>
      <w:r>
        <w:rPr>
          <w:color w:val="231F20"/>
          <w:w w:val="105"/>
        </w:rPr>
        <w:t>Estados</w:t>
      </w:r>
      <w:r>
        <w:rPr>
          <w:color w:val="231F20"/>
          <w:spacing w:val="-22"/>
          <w:w w:val="105"/>
        </w:rPr>
        <w:t> </w:t>
      </w:r>
      <w:r>
        <w:rPr>
          <w:color w:val="231F20"/>
          <w:w w:val="105"/>
        </w:rPr>
        <w:t>Unidos.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18400" from="15pt,-71.68644pt" to="0pt,-71.68644pt" stroked="true" strokeweight=".25pt" strokecolor="#000000">
            <w10:wrap type="none"/>
          </v:line>
        </w:pict>
      </w:r>
      <w:r>
        <w:rPr/>
        <w:pict>
          <v:line style="position:absolute;mso-position-horizontal-relative:page;mso-position-vertical-relative:paragraph;z-index:18424" from="508.890015pt,-71.68644pt" to="523.890015pt,-71.68644pt" stroked="true" strokeweight=".25pt" strokecolor="#000000">
            <w10:wrap type="none"/>
          </v:line>
        </w:pict>
      </w:r>
      <w:r>
        <w:rPr>
          <w:color w:val="231F20"/>
          <w:w w:val="105"/>
        </w:rPr>
        <w:t>El</w:t>
      </w:r>
      <w:r>
        <w:rPr>
          <w:color w:val="231F20"/>
          <w:spacing w:val="-15"/>
          <w:w w:val="105"/>
        </w:rPr>
        <w:t> </w:t>
      </w:r>
      <w:r>
        <w:rPr>
          <w:color w:val="231F20"/>
          <w:w w:val="105"/>
        </w:rPr>
        <w:t>porcentaje</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que</w:t>
      </w:r>
      <w:r>
        <w:rPr>
          <w:color w:val="231F20"/>
          <w:spacing w:val="-15"/>
          <w:w w:val="105"/>
        </w:rPr>
        <w:t> </w:t>
      </w:r>
      <w:r>
        <w:rPr>
          <w:color w:val="231F20"/>
          <w:w w:val="105"/>
        </w:rPr>
        <w:t>hicieron</w:t>
      </w:r>
      <w:r>
        <w:rPr>
          <w:color w:val="231F20"/>
          <w:spacing w:val="-15"/>
          <w:w w:val="105"/>
        </w:rPr>
        <w:t> </w:t>
      </w:r>
      <w:r>
        <w:rPr>
          <w:color w:val="231F20"/>
          <w:w w:val="105"/>
        </w:rPr>
        <w:t>uso</w:t>
      </w:r>
      <w:r>
        <w:rPr>
          <w:color w:val="231F20"/>
          <w:spacing w:val="-15"/>
          <w:w w:val="105"/>
        </w:rPr>
        <w:t> </w:t>
      </w:r>
      <w:r>
        <w:rPr>
          <w:color w:val="231F20"/>
          <w:w w:val="105"/>
        </w:rPr>
        <w:t>de</w:t>
      </w:r>
      <w:r>
        <w:rPr>
          <w:color w:val="231F20"/>
          <w:spacing w:val="-15"/>
          <w:w w:val="105"/>
        </w:rPr>
        <w:t> </w:t>
      </w:r>
      <w:r>
        <w:rPr>
          <w:color w:val="231F20"/>
          <w:w w:val="105"/>
        </w:rPr>
        <w:t>este</w:t>
      </w:r>
      <w:r>
        <w:rPr>
          <w:color w:val="231F20"/>
          <w:spacing w:val="-15"/>
          <w:w w:val="105"/>
        </w:rPr>
        <w:t> </w:t>
      </w:r>
      <w:r>
        <w:rPr>
          <w:color w:val="231F20"/>
          <w:w w:val="105"/>
        </w:rPr>
        <w:t>derecho</w:t>
      </w:r>
      <w:r>
        <w:rPr>
          <w:color w:val="231F20"/>
          <w:spacing w:val="-15"/>
          <w:w w:val="105"/>
        </w:rPr>
        <w:t> </w:t>
      </w:r>
      <w:r>
        <w:rPr>
          <w:color w:val="231F20"/>
          <w:w w:val="105"/>
        </w:rPr>
        <w:t>aunque</w:t>
      </w:r>
      <w:r>
        <w:rPr>
          <w:color w:val="231F20"/>
          <w:spacing w:val="-15"/>
          <w:w w:val="105"/>
        </w:rPr>
        <w:t> </w:t>
      </w:r>
      <w:r>
        <w:rPr>
          <w:color w:val="231F20"/>
          <w:w w:val="105"/>
        </w:rPr>
        <w:t>es</w:t>
      </w:r>
      <w:r>
        <w:rPr>
          <w:color w:val="231F20"/>
          <w:spacing w:val="-15"/>
          <w:w w:val="105"/>
        </w:rPr>
        <w:t> </w:t>
      </w:r>
      <w:r>
        <w:rPr>
          <w:color w:val="231F20"/>
          <w:w w:val="105"/>
        </w:rPr>
        <w:t>bajo</w:t>
      </w:r>
      <w:r>
        <w:rPr>
          <w:color w:val="231F20"/>
          <w:spacing w:val="-15"/>
          <w:w w:val="105"/>
        </w:rPr>
        <w:t> </w:t>
      </w:r>
      <w:r>
        <w:rPr>
          <w:color w:val="231F20"/>
          <w:w w:val="105"/>
        </w:rPr>
        <w:t>ha observado un aumento en el periodo de estudio, pasando de 7.2% en 2007 a 28.4% en 2012. Específicamente, observamos que mientras en 2007 las ayudas recibidas mostraron una distribución equilibrada entre los</w:t>
      </w:r>
      <w:r>
        <w:rPr>
          <w:color w:val="231F20"/>
          <w:spacing w:val="-23"/>
          <w:w w:val="105"/>
        </w:rPr>
        <w:t> </w:t>
      </w:r>
      <w:r>
        <w:rPr>
          <w:color w:val="231F20"/>
          <w:w w:val="105"/>
        </w:rPr>
        <w:t>que</w:t>
      </w:r>
      <w:r>
        <w:rPr>
          <w:color w:val="231F20"/>
          <w:spacing w:val="-23"/>
          <w:w w:val="105"/>
        </w:rPr>
        <w:t> </w:t>
      </w:r>
      <w:r>
        <w:rPr>
          <w:color w:val="231F20"/>
          <w:w w:val="105"/>
        </w:rPr>
        <w:t>recibieron</w:t>
      </w:r>
      <w:r>
        <w:rPr>
          <w:color w:val="231F20"/>
          <w:spacing w:val="-23"/>
          <w:w w:val="105"/>
        </w:rPr>
        <w:t> </w:t>
      </w:r>
      <w:r>
        <w:rPr>
          <w:color w:val="231F20"/>
          <w:w w:val="105"/>
        </w:rPr>
        <w:t>apoyo</w:t>
      </w:r>
      <w:r>
        <w:rPr>
          <w:color w:val="231F20"/>
          <w:spacing w:val="-23"/>
          <w:w w:val="105"/>
        </w:rPr>
        <w:t> </w:t>
      </w:r>
      <w:r>
        <w:rPr>
          <w:color w:val="231F20"/>
          <w:w w:val="105"/>
        </w:rPr>
        <w:t>económico,</w:t>
      </w:r>
      <w:r>
        <w:rPr>
          <w:color w:val="231F20"/>
          <w:spacing w:val="-29"/>
          <w:w w:val="105"/>
        </w:rPr>
        <w:t> </w:t>
      </w:r>
      <w:r>
        <w:rPr>
          <w:color w:val="231F20"/>
          <w:w w:val="105"/>
        </w:rPr>
        <w:t>asesoría</w:t>
      </w:r>
      <w:r>
        <w:rPr>
          <w:color w:val="231F20"/>
          <w:spacing w:val="-23"/>
          <w:w w:val="105"/>
        </w:rPr>
        <w:t> </w:t>
      </w:r>
      <w:r>
        <w:rPr>
          <w:color w:val="231F20"/>
          <w:w w:val="105"/>
        </w:rPr>
        <w:t>migratoria</w:t>
      </w:r>
      <w:r>
        <w:rPr>
          <w:color w:val="231F20"/>
          <w:spacing w:val="-23"/>
          <w:w w:val="105"/>
        </w:rPr>
        <w:t> </w:t>
      </w:r>
      <w:r>
        <w:rPr>
          <w:color w:val="231F20"/>
          <w:w w:val="105"/>
        </w:rPr>
        <w:t>y</w:t>
      </w:r>
      <w:r>
        <w:rPr>
          <w:color w:val="231F20"/>
          <w:spacing w:val="-23"/>
          <w:w w:val="105"/>
        </w:rPr>
        <w:t> </w:t>
      </w:r>
      <w:r>
        <w:rPr>
          <w:color w:val="231F20"/>
          <w:w w:val="105"/>
        </w:rPr>
        <w:t>comunicación con</w:t>
      </w:r>
      <w:r>
        <w:rPr>
          <w:color w:val="231F20"/>
          <w:spacing w:val="-6"/>
          <w:w w:val="105"/>
        </w:rPr>
        <w:t> </w:t>
      </w:r>
      <w:r>
        <w:rPr>
          <w:color w:val="231F20"/>
          <w:w w:val="105"/>
        </w:rPr>
        <w:t>otros</w:t>
      </w:r>
      <w:r>
        <w:rPr>
          <w:color w:val="231F20"/>
          <w:spacing w:val="-6"/>
          <w:w w:val="105"/>
        </w:rPr>
        <w:t> </w:t>
      </w:r>
      <w:r>
        <w:rPr>
          <w:color w:val="231F20"/>
          <w:w w:val="105"/>
        </w:rPr>
        <w:t>familiares,</w:t>
      </w:r>
      <w:r>
        <w:rPr>
          <w:color w:val="231F20"/>
          <w:spacing w:val="-12"/>
          <w:w w:val="105"/>
        </w:rPr>
        <w:t> </w:t>
      </w:r>
      <w:r>
        <w:rPr>
          <w:color w:val="231F20"/>
          <w:w w:val="105"/>
        </w:rPr>
        <w:t>se</w:t>
      </w:r>
      <w:r>
        <w:rPr>
          <w:color w:val="231F20"/>
          <w:spacing w:val="-6"/>
          <w:w w:val="105"/>
        </w:rPr>
        <w:t> </w:t>
      </w:r>
      <w:r>
        <w:rPr>
          <w:color w:val="231F20"/>
          <w:w w:val="105"/>
        </w:rPr>
        <w:t>tiene</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2009</w:t>
      </w:r>
      <w:r>
        <w:rPr>
          <w:color w:val="231F20"/>
          <w:spacing w:val="-6"/>
          <w:w w:val="105"/>
        </w:rPr>
        <w:t> </w:t>
      </w:r>
      <w:r>
        <w:rPr>
          <w:color w:val="231F20"/>
          <w:w w:val="105"/>
        </w:rPr>
        <w:t>y</w:t>
      </w:r>
      <w:r>
        <w:rPr>
          <w:color w:val="231F20"/>
          <w:spacing w:val="-6"/>
          <w:w w:val="105"/>
        </w:rPr>
        <w:t> </w:t>
      </w:r>
      <w:r>
        <w:rPr>
          <w:color w:val="231F20"/>
          <w:w w:val="105"/>
        </w:rPr>
        <w:t>2012</w:t>
      </w:r>
      <w:r>
        <w:rPr>
          <w:color w:val="231F20"/>
          <w:spacing w:val="-6"/>
          <w:w w:val="105"/>
        </w:rPr>
        <w:t> </w:t>
      </w:r>
      <w:r>
        <w:rPr>
          <w:color w:val="231F20"/>
          <w:w w:val="105"/>
        </w:rPr>
        <w:t>el</w:t>
      </w:r>
      <w:r>
        <w:rPr>
          <w:color w:val="231F20"/>
          <w:spacing w:val="-6"/>
          <w:w w:val="105"/>
        </w:rPr>
        <w:t> </w:t>
      </w:r>
      <w:r>
        <w:rPr>
          <w:color w:val="231F20"/>
          <w:w w:val="105"/>
        </w:rPr>
        <w:t>apoyo</w:t>
      </w:r>
      <w:r>
        <w:rPr>
          <w:color w:val="231F20"/>
          <w:spacing w:val="-6"/>
          <w:w w:val="105"/>
        </w:rPr>
        <w:t> </w:t>
      </w:r>
      <w:r>
        <w:rPr>
          <w:color w:val="231F20"/>
          <w:w w:val="105"/>
        </w:rPr>
        <w:t>otorgado</w:t>
      </w:r>
      <w:r>
        <w:rPr>
          <w:color w:val="231F20"/>
          <w:spacing w:val="-6"/>
          <w:w w:val="105"/>
        </w:rPr>
        <w:t> </w:t>
      </w:r>
      <w:r>
        <w:rPr>
          <w:color w:val="231F20"/>
          <w:w w:val="105"/>
        </w:rPr>
        <w:t>por el</w:t>
      </w:r>
      <w:r>
        <w:rPr>
          <w:color w:val="231F20"/>
          <w:spacing w:val="-5"/>
          <w:w w:val="105"/>
        </w:rPr>
        <w:t> </w:t>
      </w:r>
      <w:r>
        <w:rPr>
          <w:color w:val="231F20"/>
          <w:w w:val="105"/>
        </w:rPr>
        <w:t>consulado</w:t>
      </w:r>
      <w:r>
        <w:rPr>
          <w:color w:val="231F20"/>
          <w:spacing w:val="-5"/>
          <w:w w:val="105"/>
        </w:rPr>
        <w:t> </w:t>
      </w:r>
      <w:r>
        <w:rPr>
          <w:color w:val="231F20"/>
          <w:w w:val="105"/>
        </w:rPr>
        <w:t>mexicano</w:t>
      </w:r>
      <w:r>
        <w:rPr>
          <w:color w:val="231F20"/>
          <w:spacing w:val="-5"/>
          <w:w w:val="105"/>
        </w:rPr>
        <w:t> </w:t>
      </w:r>
      <w:r>
        <w:rPr>
          <w:color w:val="231F20"/>
          <w:w w:val="105"/>
        </w:rPr>
        <w:t>básicamente</w:t>
      </w:r>
      <w:r>
        <w:rPr>
          <w:color w:val="231F20"/>
          <w:spacing w:val="-5"/>
          <w:w w:val="105"/>
        </w:rPr>
        <w:t> </w:t>
      </w:r>
      <w:r>
        <w:rPr>
          <w:color w:val="231F20"/>
          <w:w w:val="105"/>
        </w:rPr>
        <w:t>tuvo</w:t>
      </w:r>
      <w:r>
        <w:rPr>
          <w:color w:val="231F20"/>
          <w:spacing w:val="-5"/>
          <w:w w:val="105"/>
        </w:rPr>
        <w:t> </w:t>
      </w:r>
      <w:r>
        <w:rPr>
          <w:color w:val="231F20"/>
          <w:w w:val="105"/>
        </w:rPr>
        <w:t>que</w:t>
      </w:r>
      <w:r>
        <w:rPr>
          <w:color w:val="231F20"/>
          <w:spacing w:val="-5"/>
          <w:w w:val="105"/>
        </w:rPr>
        <w:t> </w:t>
      </w:r>
      <w:r>
        <w:rPr>
          <w:color w:val="231F20"/>
          <w:w w:val="105"/>
        </w:rPr>
        <w:t>ver</w:t>
      </w:r>
      <w:r>
        <w:rPr>
          <w:color w:val="231F20"/>
          <w:spacing w:val="-5"/>
          <w:w w:val="105"/>
        </w:rPr>
        <w:t> </w:t>
      </w:r>
      <w:r>
        <w:rPr>
          <w:color w:val="231F20"/>
          <w:w w:val="105"/>
        </w:rPr>
        <w:t>con</w:t>
      </w:r>
      <w:r>
        <w:rPr>
          <w:color w:val="231F20"/>
          <w:spacing w:val="-5"/>
          <w:w w:val="105"/>
        </w:rPr>
        <w:t> </w:t>
      </w:r>
      <w:r>
        <w:rPr>
          <w:color w:val="231F20"/>
          <w:w w:val="105"/>
        </w:rPr>
        <w:t>satisfacer</w:t>
      </w:r>
      <w:r>
        <w:rPr>
          <w:color w:val="231F20"/>
          <w:spacing w:val="-5"/>
          <w:w w:val="105"/>
        </w:rPr>
        <w:t> </w:t>
      </w:r>
      <w:r>
        <w:rPr>
          <w:color w:val="231F20"/>
          <w:w w:val="105"/>
        </w:rPr>
        <w:t>las</w:t>
      </w:r>
      <w:r>
        <w:rPr>
          <w:color w:val="231F20"/>
          <w:spacing w:val="-5"/>
          <w:w w:val="105"/>
        </w:rPr>
        <w:t> </w:t>
      </w:r>
      <w:r>
        <w:rPr>
          <w:color w:val="231F20"/>
          <w:w w:val="105"/>
        </w:rPr>
        <w:t>ne- cesidades</w:t>
      </w:r>
      <w:r>
        <w:rPr>
          <w:color w:val="231F20"/>
          <w:spacing w:val="-15"/>
          <w:w w:val="105"/>
        </w:rPr>
        <w:t> </w:t>
      </w:r>
      <w:r>
        <w:rPr>
          <w:color w:val="231F20"/>
          <w:w w:val="105"/>
        </w:rPr>
        <w:t>de</w:t>
      </w:r>
      <w:r>
        <w:rPr>
          <w:color w:val="231F20"/>
          <w:spacing w:val="-15"/>
          <w:w w:val="105"/>
        </w:rPr>
        <w:t> </w:t>
      </w:r>
      <w:r>
        <w:rPr>
          <w:color w:val="231F20"/>
          <w:w w:val="105"/>
        </w:rPr>
        <w:t>comunicación</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mexiquenses</w:t>
      </w:r>
      <w:r>
        <w:rPr>
          <w:color w:val="231F20"/>
          <w:spacing w:val="-15"/>
          <w:w w:val="105"/>
        </w:rPr>
        <w:t> </w:t>
      </w:r>
      <w:r>
        <w:rPr>
          <w:color w:val="231F20"/>
          <w:w w:val="105"/>
        </w:rPr>
        <w:t>devueltos,</w:t>
      </w:r>
      <w:r>
        <w:rPr>
          <w:color w:val="231F20"/>
          <w:spacing w:val="-19"/>
          <w:w w:val="105"/>
        </w:rPr>
        <w:t> </w:t>
      </w:r>
      <w:r>
        <w:rPr>
          <w:color w:val="231F20"/>
          <w:w w:val="105"/>
        </w:rPr>
        <w:t>con</w:t>
      </w:r>
      <w:r>
        <w:rPr>
          <w:color w:val="231F20"/>
          <w:spacing w:val="-15"/>
          <w:w w:val="105"/>
        </w:rPr>
        <w:t> </w:t>
      </w:r>
      <w:r>
        <w:rPr>
          <w:color w:val="231F20"/>
          <w:w w:val="105"/>
        </w:rPr>
        <w:t>91.8%</w:t>
      </w:r>
      <w:r>
        <w:rPr>
          <w:color w:val="231F20"/>
          <w:spacing w:val="-15"/>
          <w:w w:val="105"/>
        </w:rPr>
        <w:t> </w:t>
      </w:r>
      <w:r>
        <w:rPr>
          <w:color w:val="231F20"/>
          <w:w w:val="105"/>
        </w:rPr>
        <w:t>y </w:t>
      </w:r>
      <w:r>
        <w:rPr>
          <w:color w:val="231F20"/>
        </w:rPr>
        <w:t>73.7%, respectivamente (véase gráfica</w:t>
      </w:r>
      <w:r>
        <w:rPr>
          <w:color w:val="231F20"/>
          <w:spacing w:val="13"/>
        </w:rPr>
        <w:t> </w:t>
      </w:r>
      <w:r>
        <w:rPr>
          <w:color w:val="231F20"/>
        </w:rPr>
        <w:t>7).</w:t>
      </w:r>
    </w:p>
    <w:p>
      <w:pPr>
        <w:pStyle w:val="BodyText"/>
        <w:spacing w:before="4"/>
      </w:pPr>
    </w:p>
    <w:p>
      <w:pPr>
        <w:spacing w:before="0"/>
        <w:ind w:left="2202" w:right="2313" w:firstLine="0"/>
        <w:jc w:val="center"/>
        <w:rPr>
          <w:rFonts w:ascii="Arial" w:hAnsi="Arial"/>
          <w:sz w:val="18"/>
        </w:rPr>
      </w:pPr>
      <w:r>
        <w:rPr>
          <w:rFonts w:ascii="Arial" w:hAnsi="Arial"/>
          <w:color w:val="231F20"/>
          <w:w w:val="105"/>
          <w:sz w:val="18"/>
        </w:rPr>
        <w:t>Gráfica 7. Tipo de ayuda que la población mexiquense devuelta</w:t>
      </w:r>
    </w:p>
    <w:p>
      <w:pPr>
        <w:spacing w:before="9"/>
        <w:ind w:left="1716" w:right="1827" w:firstLine="0"/>
        <w:jc w:val="center"/>
        <w:rPr>
          <w:rFonts w:ascii="Arial" w:hAnsi="Arial"/>
          <w:sz w:val="18"/>
        </w:rPr>
      </w:pPr>
      <w:r>
        <w:rPr>
          <w:rFonts w:ascii="Arial" w:hAnsi="Arial"/>
          <w:color w:val="231F20"/>
          <w:w w:val="105"/>
          <w:sz w:val="18"/>
        </w:rPr>
        <w:t>de Estados Unidos recibió por parte del consulado mexicano, 2007-2012</w:t>
      </w:r>
    </w:p>
    <w:p>
      <w:pPr>
        <w:pStyle w:val="BodyText"/>
        <w:spacing w:before="3"/>
        <w:rPr>
          <w:rFonts w:ascii="Arial"/>
          <w:sz w:val="11"/>
        </w:rPr>
      </w:pPr>
    </w:p>
    <w:p>
      <w:pPr>
        <w:spacing w:before="65"/>
        <w:ind w:left="2035" w:right="6753" w:firstLine="0"/>
        <w:jc w:val="left"/>
        <w:rPr>
          <w:rFonts w:ascii="Verdana"/>
          <w:sz w:val="14"/>
        </w:rPr>
      </w:pPr>
      <w:r>
        <w:rPr/>
        <w:pict>
          <v:group style="position:absolute;margin-left:116.340698pt;margin-top:7.160003pt;width:294.55pt;height:143.75pt;mso-position-horizontal-relative:page;mso-position-vertical-relative:paragraph;z-index:18304" coordorigin="2327,143" coordsize="5891,2875">
            <v:shape style="position:absolute;left:0;top:9180;width:5838;height:564" coordorigin="0,9180" coordsize="5838,564" path="m5862,2406l8212,2406m5049,2406l5537,2406m2940,2406l4078,2406m2374,2406l2616,2406m5049,1843l8212,1843m2374,1843l4403,1843e" filled="false" stroked="true" strokeweight=".449pt" strokecolor="#a6a8ab">
              <v:path arrowok="t"/>
            </v:shape>
            <v:shape style="position:absolute;left:2573;top:1889;width:3332;height:1089" type="#_x0000_t75" stroked="false">
              <v:imagedata r:id="rId133" o:title=""/>
            </v:shape>
            <v:shape style="position:absolute;left:0;top:8051;width:5838;height:564" coordorigin="0,8051" coordsize="5838,564" path="m2374,1277l4403,1277m4724,714l8212,714m2374,714l4403,714e" filled="false" stroked="true" strokeweight=".449pt" strokecolor="#a6a8ab">
              <v:path arrowok="t"/>
            </v:shape>
            <v:shape style="position:absolute;left:2897;top:357;width:1870;height:2620" type="#_x0000_t75" stroked="false">
              <v:imagedata r:id="rId134" o:title=""/>
            </v:shape>
            <v:line style="position:absolute" from="5049,1277" to="8212,1277" stroked="true" strokeweight=".449pt" strokecolor="#a6a8ab"/>
            <v:shape style="position:absolute;left:3222;top:869;width:4792;height:2109" type="#_x0000_t75" stroked="false">
              <v:imagedata r:id="rId135" o:title=""/>
            </v:shape>
            <v:shape style="position:absolute;left:2616;top:1909;width:3247;height:1063" coordorigin="2616,1909" coordsize="3247,1063" path="m2940,1909l2616,1909,2616,2971,2940,2971,2940,1909m4403,2092l4078,2092,4078,2971,4403,2971,4403,2092m5862,2087l5537,2087,5537,2971,5862,2971,5862,2087e" filled="true" fillcolor="#808285" stroked="false">
              <v:path arrowok="t"/>
              <v:fill type="solid"/>
            </v:shape>
            <v:shape style="position:absolute;left:2940;top:380;width:1784;height:2591" coordorigin="2940,380" coordsize="1784,2591" path="m3265,2739l2940,2739,2940,2971,3265,2971,3265,2739m4724,380l4403,380,4403,2971,4724,2971,4724,380e" filled="true" fillcolor="#bcbec0" stroked="false">
              <v:path arrowok="t"/>
              <v:fill type="solid"/>
            </v:shape>
            <v:rect style="position:absolute;left:7646;top:2937;width:325;height:34" filled="true" fillcolor="#a1a3a5" stroked="false">
              <v:fill type="solid"/>
            </v:rect>
            <v:shape style="position:absolute;left:3265;top:892;width:1784;height:2079" coordorigin="3265,892" coordsize="1784,2079" path="m3590,2837l3265,2837,3265,2971,3590,2971,3590,2837m5049,892l4724,892,4724,2971,5049,2971,5049,892e" filled="true" fillcolor="#d1d3d4" stroked="false">
              <v:path arrowok="t"/>
              <v:fill type="solid"/>
            </v:shape>
            <v:rect style="position:absolute;left:7646;top:2937;width:325;height:34" filled="true" fillcolor="#d1d3d4" stroked="false">
              <v:fill type="solid"/>
            </v:rect>
            <v:line style="position:absolute" from="2374,148" to="8212,148" stroked="true" strokeweight=".449pt" strokecolor="#a6a8ab"/>
            <v:line style="position:absolute" from="2374,2971" to="2374,148" stroked="true" strokeweight=".449pt" strokecolor="#a6a8ab"/>
            <v:shape style="position:absolute;left:0;top:6920;width:43;height:2823" coordorigin="0,6920" coordsize="43,2823" path="m2331,2971l2374,2971m2331,2406l2374,2406m2331,1843l2374,1843m2331,1277l2374,1277m2331,714l2374,714m2331,148l2374,148e" filled="false" stroked="true" strokeweight=".449pt" strokecolor="#a6a8ab">
              <v:path arrowok="t"/>
            </v:shape>
            <v:line style="position:absolute" from="2374,2971" to="8213,2971" stroked="true" strokeweight=".449pt" strokecolor="#a6a8ab"/>
            <v:shape style="position:absolute;left:0;top:9743;width:5838;height:42" coordorigin="0,9743" coordsize="5838,42" path="m2374,2972l2374,3013m3834,2972l3834,3013m5293,2972l5293,3013m6752,2972l6752,3013m8212,2972l8212,3013e" filled="false" stroked="true" strokeweight=".449pt" strokecolor="#a6a8ab">
              <v:path arrowok="t"/>
            </v:shape>
            <w10:wrap type="none"/>
          </v:group>
        </w:pict>
      </w:r>
      <w:r>
        <w:rPr>
          <w:rFonts w:ascii="Verdana"/>
          <w:color w:val="231F20"/>
          <w:sz w:val="14"/>
        </w:rPr>
        <w:t>100</w:t>
      </w:r>
    </w:p>
    <w:p>
      <w:pPr>
        <w:pStyle w:val="BodyText"/>
        <w:spacing w:before="1"/>
        <w:rPr>
          <w:rFonts w:ascii="Verdana"/>
          <w:sz w:val="27"/>
        </w:rPr>
      </w:pPr>
    </w:p>
    <w:p>
      <w:pPr>
        <w:spacing w:before="65"/>
        <w:ind w:left="2107" w:right="6753" w:firstLine="0"/>
        <w:jc w:val="left"/>
        <w:rPr>
          <w:rFonts w:ascii="Verdana"/>
          <w:sz w:val="14"/>
        </w:rPr>
      </w:pPr>
      <w:r>
        <w:rPr>
          <w:rFonts w:ascii="Verdana"/>
          <w:color w:val="231F20"/>
          <w:sz w:val="14"/>
        </w:rPr>
        <w:t>80</w:t>
      </w:r>
    </w:p>
    <w:p>
      <w:pPr>
        <w:pStyle w:val="BodyText"/>
        <w:spacing w:before="1"/>
        <w:rPr>
          <w:rFonts w:ascii="Verdana"/>
          <w:sz w:val="27"/>
        </w:rPr>
      </w:pPr>
    </w:p>
    <w:p>
      <w:pPr>
        <w:spacing w:before="65"/>
        <w:ind w:left="2107" w:right="6753" w:firstLine="0"/>
        <w:jc w:val="left"/>
        <w:rPr>
          <w:rFonts w:ascii="Verdana"/>
          <w:sz w:val="14"/>
        </w:rPr>
      </w:pPr>
      <w:r>
        <w:rPr>
          <w:rFonts w:ascii="Verdana"/>
          <w:color w:val="231F20"/>
          <w:sz w:val="14"/>
        </w:rPr>
        <w:t>60</w:t>
      </w:r>
    </w:p>
    <w:p>
      <w:pPr>
        <w:pStyle w:val="BodyText"/>
        <w:spacing w:before="1"/>
        <w:rPr>
          <w:rFonts w:ascii="Verdana"/>
          <w:sz w:val="27"/>
        </w:rPr>
      </w:pPr>
    </w:p>
    <w:p>
      <w:pPr>
        <w:spacing w:before="65"/>
        <w:ind w:left="2107" w:right="6753" w:firstLine="0"/>
        <w:jc w:val="left"/>
        <w:rPr>
          <w:rFonts w:ascii="Verdana"/>
          <w:sz w:val="14"/>
        </w:rPr>
      </w:pPr>
      <w:r>
        <w:rPr>
          <w:rFonts w:ascii="Verdana"/>
          <w:color w:val="231F20"/>
          <w:sz w:val="14"/>
        </w:rPr>
        <w:t>40</w:t>
      </w:r>
    </w:p>
    <w:p>
      <w:pPr>
        <w:pStyle w:val="BodyText"/>
        <w:spacing w:before="1"/>
        <w:rPr>
          <w:rFonts w:ascii="Verdana"/>
          <w:sz w:val="27"/>
        </w:rPr>
      </w:pPr>
    </w:p>
    <w:p>
      <w:pPr>
        <w:spacing w:before="65"/>
        <w:ind w:left="2107" w:right="6753" w:firstLine="0"/>
        <w:jc w:val="left"/>
        <w:rPr>
          <w:rFonts w:ascii="Verdana"/>
          <w:sz w:val="14"/>
        </w:rPr>
      </w:pPr>
      <w:r>
        <w:rPr>
          <w:rFonts w:ascii="Verdana"/>
          <w:color w:val="231F20"/>
          <w:sz w:val="14"/>
        </w:rPr>
        <w:t>20</w:t>
      </w:r>
    </w:p>
    <w:p>
      <w:pPr>
        <w:pStyle w:val="BodyText"/>
        <w:spacing w:before="1"/>
        <w:rPr>
          <w:rFonts w:ascii="Verdana"/>
          <w:sz w:val="27"/>
        </w:rPr>
      </w:pPr>
    </w:p>
    <w:p>
      <w:pPr>
        <w:spacing w:after="0"/>
        <w:rPr>
          <w:rFonts w:ascii="Verdana"/>
          <w:sz w:val="27"/>
        </w:rPr>
        <w:sectPr>
          <w:pgSz w:w="10480" w:h="14730"/>
          <w:pgMar w:header="0" w:footer="103" w:top="300" w:bottom="300" w:left="0" w:right="0"/>
        </w:sectPr>
      </w:pPr>
    </w:p>
    <w:p>
      <w:pPr>
        <w:spacing w:before="65"/>
        <w:ind w:left="0" w:right="754" w:firstLine="0"/>
        <w:jc w:val="center"/>
        <w:rPr>
          <w:rFonts w:ascii="Verdana"/>
          <w:sz w:val="14"/>
        </w:rPr>
      </w:pPr>
      <w:r>
        <w:rPr>
          <w:rFonts w:ascii="Verdana"/>
          <w:color w:val="231F20"/>
          <w:w w:val="93"/>
          <w:sz w:val="14"/>
        </w:rPr>
        <w:t>0</w:t>
      </w:r>
    </w:p>
    <w:p>
      <w:pPr>
        <w:tabs>
          <w:tab w:pos="4084" w:val="left" w:leader="none"/>
        </w:tabs>
        <w:spacing w:before="1"/>
        <w:ind w:left="2477" w:right="0" w:firstLine="0"/>
        <w:jc w:val="left"/>
        <w:rPr>
          <w:rFonts w:ascii="Verdana" w:hAnsi="Verdana"/>
          <w:sz w:val="14"/>
        </w:rPr>
      </w:pPr>
      <w:r>
        <w:rPr>
          <w:rFonts w:ascii="Verdana" w:hAnsi="Verdana"/>
          <w:color w:val="231F20"/>
          <w:spacing w:val="-3"/>
          <w:sz w:val="14"/>
        </w:rPr>
        <w:t>Ayuda</w:t>
      </w:r>
      <w:r>
        <w:rPr>
          <w:rFonts w:ascii="Verdana" w:hAnsi="Verdana"/>
          <w:color w:val="231F20"/>
          <w:spacing w:val="-25"/>
          <w:sz w:val="14"/>
        </w:rPr>
        <w:t> </w:t>
      </w:r>
      <w:r>
        <w:rPr>
          <w:rFonts w:ascii="Verdana" w:hAnsi="Verdana"/>
          <w:color w:val="231F20"/>
          <w:sz w:val="14"/>
        </w:rPr>
        <w:t>económica</w:t>
        <w:tab/>
        <w:t>Comunicación</w:t>
      </w:r>
    </w:p>
    <w:p>
      <w:pPr>
        <w:spacing w:before="2"/>
        <w:ind w:left="0" w:right="0" w:firstLine="0"/>
        <w:jc w:val="right"/>
        <w:rPr>
          <w:rFonts w:ascii="Verdana"/>
          <w:sz w:val="14"/>
        </w:rPr>
      </w:pPr>
      <w:r>
        <w:rPr>
          <w:rFonts w:ascii="Verdana"/>
          <w:color w:val="231F20"/>
          <w:w w:val="95"/>
          <w:sz w:val="14"/>
        </w:rPr>
        <w:t>con otros familiares</w:t>
      </w:r>
    </w:p>
    <w:p>
      <w:pPr>
        <w:pStyle w:val="BodyText"/>
        <w:rPr>
          <w:rFonts w:ascii="Verdana"/>
          <w:sz w:val="20"/>
        </w:rPr>
      </w:pPr>
      <w:r>
        <w:rPr/>
        <w:br w:type="column"/>
      </w:r>
      <w:r>
        <w:rPr>
          <w:rFonts w:ascii="Verdana"/>
          <w:sz w:val="20"/>
        </w:rPr>
      </w:r>
    </w:p>
    <w:p>
      <w:pPr>
        <w:spacing w:line="168" w:lineRule="exact" w:before="0"/>
        <w:ind w:left="404" w:right="-17" w:hanging="272"/>
        <w:jc w:val="left"/>
        <w:rPr>
          <w:rFonts w:ascii="Verdana" w:hAnsi="Verdana"/>
          <w:sz w:val="14"/>
        </w:rPr>
      </w:pPr>
      <w:r>
        <w:rPr>
          <w:rFonts w:ascii="Verdana" w:hAnsi="Verdana"/>
          <w:color w:val="231F20"/>
          <w:w w:val="95"/>
          <w:sz w:val="14"/>
        </w:rPr>
        <w:t>Asesoría</w:t>
      </w:r>
      <w:r>
        <w:rPr>
          <w:rFonts w:ascii="Verdana" w:hAnsi="Verdana"/>
          <w:color w:val="231F20"/>
          <w:spacing w:val="-20"/>
          <w:w w:val="95"/>
          <w:sz w:val="14"/>
        </w:rPr>
        <w:t> </w:t>
      </w:r>
      <w:r>
        <w:rPr>
          <w:rFonts w:ascii="Verdana" w:hAnsi="Verdana"/>
          <w:color w:val="231F20"/>
          <w:w w:val="95"/>
          <w:sz w:val="14"/>
        </w:rPr>
        <w:t>en</w:t>
      </w:r>
      <w:r>
        <w:rPr>
          <w:rFonts w:ascii="Verdana" w:hAnsi="Verdana"/>
          <w:color w:val="231F20"/>
          <w:spacing w:val="-20"/>
          <w:w w:val="95"/>
          <w:sz w:val="14"/>
        </w:rPr>
        <w:t> </w:t>
      </w:r>
      <w:r>
        <w:rPr>
          <w:rFonts w:ascii="Verdana" w:hAnsi="Verdana"/>
          <w:color w:val="231F20"/>
          <w:w w:val="95"/>
          <w:sz w:val="14"/>
        </w:rPr>
        <w:t>materia </w:t>
      </w:r>
      <w:r>
        <w:rPr>
          <w:rFonts w:ascii="Verdana" w:hAnsi="Verdana"/>
          <w:color w:val="231F20"/>
          <w:sz w:val="14"/>
        </w:rPr>
        <w:t>migratoria</w:t>
      </w:r>
    </w:p>
    <w:p>
      <w:pPr>
        <w:pStyle w:val="BodyText"/>
        <w:spacing w:before="4"/>
        <w:rPr>
          <w:rFonts w:ascii="Verdana"/>
          <w:sz w:val="19"/>
        </w:rPr>
      </w:pPr>
      <w:r>
        <w:rPr/>
        <w:br w:type="column"/>
      </w:r>
      <w:r>
        <w:rPr>
          <w:rFonts w:ascii="Verdana"/>
          <w:sz w:val="19"/>
        </w:rPr>
      </w:r>
    </w:p>
    <w:p>
      <w:pPr>
        <w:spacing w:line="242" w:lineRule="auto" w:before="1"/>
        <w:ind w:left="112" w:right="2178" w:hanging="11"/>
        <w:jc w:val="left"/>
        <w:rPr>
          <w:rFonts w:ascii="Verdana" w:hAnsi="Verdana"/>
          <w:sz w:val="14"/>
        </w:rPr>
      </w:pPr>
      <w:r>
        <w:rPr>
          <w:rFonts w:ascii="Verdana" w:hAnsi="Verdana"/>
          <w:color w:val="231F20"/>
          <w:sz w:val="14"/>
        </w:rPr>
        <w:t>Reembolso de boleto de avión no utilizado</w:t>
      </w:r>
    </w:p>
    <w:p>
      <w:pPr>
        <w:spacing w:after="0" w:line="242" w:lineRule="auto"/>
        <w:jc w:val="left"/>
        <w:rPr>
          <w:rFonts w:ascii="Verdana" w:hAnsi="Verdana"/>
          <w:sz w:val="14"/>
        </w:rPr>
        <w:sectPr>
          <w:type w:val="continuous"/>
          <w:pgSz w:w="10480" w:h="14730"/>
          <w:pgMar w:top="0" w:bottom="0" w:left="0" w:right="0"/>
          <w:cols w:num="3" w:equalWidth="0">
            <w:col w:w="5199" w:space="40"/>
            <w:col w:w="1429" w:space="40"/>
            <w:col w:w="3772"/>
          </w:cols>
        </w:sectPr>
      </w:pPr>
    </w:p>
    <w:p>
      <w:pPr>
        <w:pStyle w:val="BodyText"/>
        <w:spacing w:before="7"/>
        <w:rPr>
          <w:rFonts w:ascii="Verdana"/>
          <w:sz w:val="8"/>
        </w:rPr>
      </w:pPr>
    </w:p>
    <w:p>
      <w:pPr>
        <w:tabs>
          <w:tab w:pos="1074" w:val="left" w:leader="none"/>
          <w:tab w:pos="1849" w:val="left" w:leader="none"/>
        </w:tabs>
        <w:spacing w:before="51"/>
        <w:ind w:left="272" w:right="0" w:firstLine="0"/>
        <w:jc w:val="center"/>
        <w:rPr>
          <w:rFonts w:ascii="Comic Sans MS"/>
          <w:b/>
          <w:sz w:val="14"/>
        </w:rPr>
      </w:pPr>
      <w:r>
        <w:rPr/>
        <w:pict>
          <v:rect style="position:absolute;margin-left:207.684006pt;margin-top:2.535842pt;width:10.179pt;height:10.179pt;mso-position-horizontal-relative:page;mso-position-vertical-relative:paragraph;z-index:18328" filled="true" fillcolor="#808285" stroked="false">
            <v:fill type="solid"/>
            <w10:wrap type="none"/>
          </v:rect>
        </w:pict>
      </w:r>
      <w:r>
        <w:rPr/>
        <w:pict>
          <v:rect style="position:absolute;margin-left:247.363998pt;margin-top:2.488842pt;width:10.179pt;height:10.179pt;mso-position-horizontal-relative:page;mso-position-vertical-relative:paragraph;z-index:-471832" filled="true" fillcolor="#b1b3b6" stroked="false">
            <v:fill type="solid"/>
            <w10:wrap type="none"/>
          </v:rect>
        </w:pict>
      </w:r>
      <w:r>
        <w:rPr/>
        <w:pict>
          <v:rect style="position:absolute;margin-left:286.760986pt;margin-top:2.488842pt;width:10.179pt;height:10.179pt;mso-position-horizontal-relative:page;mso-position-vertical-relative:paragraph;z-index:-471808" filled="true" fillcolor="#d1d3d4" stroked="false">
            <v:fill type="solid"/>
            <w10:wrap type="none"/>
          </v:rect>
        </w:pict>
      </w:r>
      <w:r>
        <w:rPr>
          <w:rFonts w:ascii="Comic Sans MS"/>
          <w:b/>
          <w:color w:val="231F20"/>
          <w:w w:val="105"/>
          <w:sz w:val="14"/>
        </w:rPr>
        <w:t>2007</w:t>
        <w:tab/>
        <w:t>2009</w:t>
        <w:tab/>
        <w:t>2012</w:t>
      </w:r>
    </w:p>
    <w:p>
      <w:pPr>
        <w:spacing w:before="77"/>
        <w:ind w:left="2064" w:right="0" w:firstLine="0"/>
        <w:jc w:val="left"/>
        <w:rPr>
          <w:sz w:val="16"/>
        </w:rPr>
      </w:pPr>
      <w:r>
        <w:rPr>
          <w:color w:val="231F20"/>
          <w:w w:val="105"/>
          <w:sz w:val="16"/>
        </w:rPr>
        <w:t>Fuente: elaboración propia con base en la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723" w:right="1834"/>
        <w:jc w:val="both"/>
      </w:pPr>
      <w:r>
        <w:rPr>
          <w:color w:val="231F20"/>
          <w:w w:val="105"/>
        </w:rPr>
        <w:t>Sobre las situaciones de riesgo que experimentó esta población en</w:t>
      </w:r>
      <w:r>
        <w:rPr>
          <w:color w:val="231F20"/>
          <w:spacing w:val="-31"/>
          <w:w w:val="105"/>
        </w:rPr>
        <w:t> </w:t>
      </w:r>
      <w:r>
        <w:rPr>
          <w:color w:val="231F20"/>
          <w:w w:val="105"/>
        </w:rPr>
        <w:t>sus intentos</w:t>
      </w:r>
      <w:r>
        <w:rPr>
          <w:color w:val="231F20"/>
          <w:spacing w:val="-15"/>
          <w:w w:val="105"/>
        </w:rPr>
        <w:t> </w:t>
      </w:r>
      <w:r>
        <w:rPr>
          <w:color w:val="231F20"/>
          <w:w w:val="105"/>
        </w:rPr>
        <w:t>por</w:t>
      </w:r>
      <w:r>
        <w:rPr>
          <w:color w:val="231F20"/>
          <w:spacing w:val="-15"/>
          <w:w w:val="105"/>
        </w:rPr>
        <w:t> </w:t>
      </w:r>
      <w:r>
        <w:rPr>
          <w:color w:val="231F20"/>
          <w:w w:val="105"/>
        </w:rPr>
        <w:t>cruzar</w:t>
      </w:r>
      <w:r>
        <w:rPr>
          <w:color w:val="231F20"/>
          <w:spacing w:val="-15"/>
          <w:w w:val="105"/>
        </w:rPr>
        <w:t> </w:t>
      </w:r>
      <w:r>
        <w:rPr>
          <w:color w:val="231F20"/>
          <w:w w:val="105"/>
        </w:rPr>
        <w:t>a</w:t>
      </w:r>
      <w:r>
        <w:rPr>
          <w:color w:val="231F20"/>
          <w:spacing w:val="-15"/>
          <w:w w:val="105"/>
        </w:rPr>
        <w:t> </w:t>
      </w:r>
      <w:r>
        <w:rPr>
          <w:color w:val="231F20"/>
          <w:w w:val="105"/>
        </w:rPr>
        <w:t>Estados</w:t>
      </w:r>
      <w:r>
        <w:rPr>
          <w:color w:val="231F20"/>
          <w:spacing w:val="-15"/>
          <w:w w:val="105"/>
        </w:rPr>
        <w:t> </w:t>
      </w:r>
      <w:r>
        <w:rPr>
          <w:color w:val="231F20"/>
          <w:w w:val="105"/>
        </w:rPr>
        <w:t>Unidos,</w:t>
      </w:r>
      <w:r>
        <w:rPr>
          <w:color w:val="231F20"/>
          <w:spacing w:val="-20"/>
          <w:w w:val="105"/>
        </w:rPr>
        <w:t> </w:t>
      </w:r>
      <w:r>
        <w:rPr>
          <w:color w:val="231F20"/>
          <w:w w:val="105"/>
        </w:rPr>
        <w:t>según</w:t>
      </w:r>
      <w:r>
        <w:rPr>
          <w:color w:val="231F20"/>
          <w:spacing w:val="-15"/>
          <w:w w:val="105"/>
        </w:rPr>
        <w:t> </w:t>
      </w:r>
      <w:r>
        <w:rPr>
          <w:color w:val="231F20"/>
          <w:w w:val="105"/>
        </w:rPr>
        <w:t>la</w:t>
      </w:r>
      <w:r>
        <w:rPr>
          <w:color w:val="231F20"/>
          <w:spacing w:val="-15"/>
          <w:w w:val="105"/>
        </w:rPr>
        <w:t> </w:t>
      </w:r>
      <w:r>
        <w:rPr>
          <w:color w:val="231F20"/>
          <w:w w:val="105"/>
          <w:sz w:val="17"/>
        </w:rPr>
        <w:t>EMIF</w:t>
      </w:r>
      <w:r>
        <w:rPr>
          <w:color w:val="231F20"/>
          <w:w w:val="105"/>
        </w:rPr>
        <w:t>-Norte</w:t>
      </w:r>
      <w:r>
        <w:rPr>
          <w:color w:val="231F20"/>
          <w:spacing w:val="-15"/>
          <w:w w:val="105"/>
        </w:rPr>
        <w:t> </w:t>
      </w:r>
      <w:r>
        <w:rPr>
          <w:color w:val="231F20"/>
          <w:w w:val="105"/>
        </w:rPr>
        <w:t>se</w:t>
      </w:r>
      <w:r>
        <w:rPr>
          <w:color w:val="231F20"/>
          <w:spacing w:val="-15"/>
          <w:w w:val="105"/>
        </w:rPr>
        <w:t> </w:t>
      </w:r>
      <w:r>
        <w:rPr>
          <w:color w:val="231F20"/>
          <w:w w:val="105"/>
        </w:rPr>
        <w:t>estima</w:t>
      </w:r>
      <w:r>
        <w:rPr>
          <w:color w:val="231F20"/>
          <w:spacing w:val="-15"/>
          <w:w w:val="105"/>
        </w:rPr>
        <w:t> </w:t>
      </w:r>
      <w:r>
        <w:rPr>
          <w:color w:val="231F20"/>
          <w:w w:val="105"/>
        </w:rPr>
        <w:t>que 24.7% de los mexiquenses se enfrentaron a una situación que puso en riesgo su vida. En 2009 y 2012 se registran proporciones ligeramente menores,</w:t>
      </w:r>
      <w:r>
        <w:rPr>
          <w:color w:val="231F20"/>
          <w:spacing w:val="-11"/>
          <w:w w:val="105"/>
        </w:rPr>
        <w:t> </w:t>
      </w:r>
      <w:r>
        <w:rPr>
          <w:color w:val="231F20"/>
          <w:w w:val="105"/>
        </w:rPr>
        <w:t>con</w:t>
      </w:r>
      <w:r>
        <w:rPr>
          <w:color w:val="231F20"/>
          <w:spacing w:val="-7"/>
          <w:w w:val="105"/>
        </w:rPr>
        <w:t> </w:t>
      </w:r>
      <w:r>
        <w:rPr>
          <w:color w:val="231F20"/>
          <w:w w:val="105"/>
        </w:rPr>
        <w:t>20.7%</w:t>
      </w:r>
      <w:r>
        <w:rPr>
          <w:color w:val="231F20"/>
          <w:spacing w:val="-7"/>
          <w:w w:val="105"/>
        </w:rPr>
        <w:t> </w:t>
      </w:r>
      <w:r>
        <w:rPr>
          <w:color w:val="231F20"/>
          <w:w w:val="105"/>
        </w:rPr>
        <w:t>y</w:t>
      </w:r>
      <w:r>
        <w:rPr>
          <w:color w:val="231F20"/>
          <w:spacing w:val="-7"/>
          <w:w w:val="105"/>
        </w:rPr>
        <w:t> </w:t>
      </w:r>
      <w:r>
        <w:rPr>
          <w:color w:val="231F20"/>
          <w:w w:val="105"/>
        </w:rPr>
        <w:t>19.5%.</w:t>
      </w:r>
      <w:r>
        <w:rPr>
          <w:color w:val="231F20"/>
          <w:spacing w:val="-11"/>
          <w:w w:val="105"/>
        </w:rPr>
        <w:t> </w:t>
      </w:r>
      <w:r>
        <w:rPr>
          <w:color w:val="231F20"/>
          <w:w w:val="105"/>
        </w:rPr>
        <w:t>Las</w:t>
      </w:r>
      <w:r>
        <w:rPr>
          <w:color w:val="231F20"/>
          <w:spacing w:val="-7"/>
          <w:w w:val="105"/>
        </w:rPr>
        <w:t> </w:t>
      </w:r>
      <w:r>
        <w:rPr>
          <w:color w:val="231F20"/>
          <w:w w:val="105"/>
        </w:rPr>
        <w:t>situaciones</w:t>
      </w:r>
      <w:r>
        <w:rPr>
          <w:color w:val="231F20"/>
          <w:spacing w:val="-7"/>
          <w:w w:val="105"/>
        </w:rPr>
        <w:t> </w:t>
      </w:r>
      <w:r>
        <w:rPr>
          <w:color w:val="231F20"/>
          <w:w w:val="105"/>
        </w:rPr>
        <w:t>de</w:t>
      </w:r>
      <w:r>
        <w:rPr>
          <w:color w:val="231F20"/>
          <w:spacing w:val="-7"/>
          <w:w w:val="105"/>
        </w:rPr>
        <w:t> </w:t>
      </w:r>
      <w:r>
        <w:rPr>
          <w:color w:val="231F20"/>
          <w:w w:val="105"/>
        </w:rPr>
        <w:t>riesgo</w:t>
      </w:r>
      <w:r>
        <w:rPr>
          <w:color w:val="231F20"/>
          <w:spacing w:val="-7"/>
          <w:w w:val="105"/>
        </w:rPr>
        <w:t> </w:t>
      </w:r>
      <w:r>
        <w:rPr>
          <w:color w:val="231F20"/>
          <w:w w:val="105"/>
        </w:rPr>
        <w:t>aunque</w:t>
      </w:r>
      <w:r>
        <w:rPr>
          <w:color w:val="231F20"/>
          <w:spacing w:val="-7"/>
          <w:w w:val="105"/>
        </w:rPr>
        <w:t> </w:t>
      </w:r>
      <w:r>
        <w:rPr>
          <w:color w:val="231F20"/>
          <w:w w:val="105"/>
        </w:rPr>
        <w:t>son</w:t>
      </w:r>
      <w:r>
        <w:rPr>
          <w:color w:val="231F20"/>
          <w:spacing w:val="-7"/>
          <w:w w:val="105"/>
        </w:rPr>
        <w:t> </w:t>
      </w:r>
      <w:r>
        <w:rPr>
          <w:color w:val="231F20"/>
          <w:w w:val="105"/>
        </w:rPr>
        <w:t>di- versas, tienden a concentrarse en conceptos como la exposición a un intenso</w:t>
      </w:r>
      <w:r>
        <w:rPr>
          <w:color w:val="231F20"/>
          <w:spacing w:val="-17"/>
          <w:w w:val="105"/>
        </w:rPr>
        <w:t> </w:t>
      </w:r>
      <w:r>
        <w:rPr>
          <w:color w:val="231F20"/>
          <w:w w:val="105"/>
        </w:rPr>
        <w:t>frío</w:t>
      </w:r>
      <w:r>
        <w:rPr>
          <w:color w:val="231F20"/>
          <w:spacing w:val="-17"/>
          <w:w w:val="105"/>
        </w:rPr>
        <w:t> </w:t>
      </w:r>
      <w:r>
        <w:rPr>
          <w:color w:val="231F20"/>
          <w:w w:val="105"/>
        </w:rPr>
        <w:t>o</w:t>
      </w:r>
      <w:r>
        <w:rPr>
          <w:color w:val="231F20"/>
          <w:spacing w:val="-17"/>
          <w:w w:val="105"/>
        </w:rPr>
        <w:t> </w:t>
      </w:r>
      <w:r>
        <w:rPr>
          <w:color w:val="231F20"/>
          <w:w w:val="105"/>
        </w:rPr>
        <w:t>calor,</w:t>
      </w:r>
      <w:r>
        <w:rPr>
          <w:color w:val="231F20"/>
          <w:spacing w:val="-23"/>
          <w:w w:val="105"/>
        </w:rPr>
        <w:t> </w:t>
      </w:r>
      <w:r>
        <w:rPr>
          <w:color w:val="231F20"/>
          <w:w w:val="105"/>
        </w:rPr>
        <w:t>la</w:t>
      </w:r>
      <w:r>
        <w:rPr>
          <w:color w:val="231F20"/>
          <w:spacing w:val="-17"/>
          <w:w w:val="105"/>
        </w:rPr>
        <w:t> </w:t>
      </w:r>
      <w:r>
        <w:rPr>
          <w:color w:val="231F20"/>
          <w:w w:val="105"/>
        </w:rPr>
        <w:t>posibilidad</w:t>
      </w:r>
      <w:r>
        <w:rPr>
          <w:color w:val="231F20"/>
          <w:spacing w:val="-17"/>
          <w:w w:val="105"/>
        </w:rPr>
        <w:t> </w:t>
      </w:r>
      <w:r>
        <w:rPr>
          <w:color w:val="231F20"/>
          <w:w w:val="105"/>
        </w:rPr>
        <w:t>de</w:t>
      </w:r>
      <w:r>
        <w:rPr>
          <w:color w:val="231F20"/>
          <w:spacing w:val="-17"/>
          <w:w w:val="105"/>
        </w:rPr>
        <w:t> </w:t>
      </w:r>
      <w:r>
        <w:rPr>
          <w:color w:val="231F20"/>
          <w:w w:val="105"/>
        </w:rPr>
        <w:t>ahogarse</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falta</w:t>
      </w:r>
      <w:r>
        <w:rPr>
          <w:color w:val="231F20"/>
          <w:spacing w:val="-17"/>
          <w:w w:val="105"/>
        </w:rPr>
        <w:t> </w:t>
      </w:r>
      <w:r>
        <w:rPr>
          <w:color w:val="231F20"/>
          <w:w w:val="105"/>
        </w:rPr>
        <w:t>de</w:t>
      </w:r>
      <w:r>
        <w:rPr>
          <w:color w:val="231F20"/>
          <w:spacing w:val="-17"/>
          <w:w w:val="105"/>
        </w:rPr>
        <w:t> </w:t>
      </w:r>
      <w:r>
        <w:rPr>
          <w:color w:val="231F20"/>
          <w:w w:val="105"/>
        </w:rPr>
        <w:t>agua</w:t>
      </w:r>
      <w:r>
        <w:rPr>
          <w:color w:val="231F20"/>
          <w:spacing w:val="-17"/>
          <w:w w:val="105"/>
        </w:rPr>
        <w:t> </w:t>
      </w:r>
      <w:r>
        <w:rPr>
          <w:color w:val="231F20"/>
          <w:w w:val="105"/>
        </w:rPr>
        <w:t>y</w:t>
      </w:r>
      <w:r>
        <w:rPr>
          <w:color w:val="231F20"/>
          <w:spacing w:val="-17"/>
          <w:w w:val="105"/>
        </w:rPr>
        <w:t> </w:t>
      </w:r>
      <w:r>
        <w:rPr>
          <w:color w:val="231F20"/>
          <w:w w:val="105"/>
        </w:rPr>
        <w:t>comida </w:t>
      </w:r>
      <w:r>
        <w:rPr>
          <w:color w:val="231F20"/>
        </w:rPr>
        <w:t>(véase gráfica</w:t>
      </w:r>
      <w:r>
        <w:rPr>
          <w:color w:val="231F20"/>
          <w:spacing w:val="-18"/>
        </w:rPr>
        <w:t> </w:t>
      </w:r>
      <w:r>
        <w:rPr>
          <w:color w:val="231F20"/>
        </w:rPr>
        <w:t>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1904" from="131.551193pt,3.703715pt" to="131.551193pt,39.506114pt" stroked="true" strokeweight=".35pt" strokecolor="#231f20">
            <w10:wrap type="none"/>
          </v:line>
        </w:pict>
      </w:r>
      <w:r>
        <w:rPr/>
        <w:pict>
          <v:line style="position:absolute;mso-position-horizontal-relative:page;mso-position-vertical-relative:paragraph;z-index:-471736" from="15pt,39.505917pt" to="0pt,39.505917pt" stroked="true" strokeweight=".25pt" strokecolor="#000000">
            <w10:wrap type="none"/>
          </v:line>
        </w:pict>
      </w:r>
      <w:r>
        <w:rPr/>
        <w:pict>
          <v:line style="position:absolute;mso-position-horizontal-relative:page;mso-position-vertical-relative:paragraph;z-index:18472" from="508.890015pt,39.505917pt" to="523.890015pt,39.505917pt" stroked="true" strokeweight=".25pt" strokecolor="#000000">
            <w10:wrap type="none"/>
          </v:line>
        </w:pict>
      </w:r>
      <w:r>
        <w:rPr>
          <w:rFonts w:ascii="Arial" w:hAnsi="Arial"/>
          <w:color w:val="414042"/>
          <w:w w:val="105"/>
          <w:position w:val="-5"/>
          <w:sz w:val="20"/>
        </w:rPr>
        <w:t>166</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type w:val="continuous"/>
          <w:pgSz w:w="10480" w:h="14730"/>
          <w:pgMar w:top="0" w:bottom="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8496"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8616" from="15pt,-28.286539pt" to="0pt,-28.286539pt" stroked="true" strokeweight=".25pt" strokecolor="#000000">
            <w10:wrap type="none"/>
          </v:line>
        </w:pict>
      </w:r>
      <w:r>
        <w:rPr/>
        <w:pict>
          <v:line style="position:absolute;mso-position-horizontal-relative:page;mso-position-vertical-relative:paragraph;z-index:18640" from="508.890015pt,-28.286539pt" to="523.890015pt,-28.286539pt" stroked="true" strokeweight=".25pt" strokecolor="#000000">
            <w10:wrap type="none"/>
          </v:line>
        </w:pict>
      </w:r>
      <w:r>
        <w:rPr>
          <w:rFonts w:ascii="Arial"/>
          <w:color w:val="414042"/>
          <w:sz w:val="20"/>
        </w:rPr>
        <w:t>167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18"/>
        </w:rPr>
      </w:pPr>
    </w:p>
    <w:p>
      <w:pPr>
        <w:spacing w:line="249" w:lineRule="auto" w:before="64"/>
        <w:ind w:left="3326" w:right="1900" w:hanging="1300"/>
        <w:jc w:val="left"/>
        <w:rPr>
          <w:rFonts w:ascii="Arial" w:hAnsi="Arial"/>
          <w:sz w:val="18"/>
        </w:rPr>
      </w:pPr>
      <w:r>
        <w:rPr>
          <w:rFonts w:ascii="Arial" w:hAnsi="Arial"/>
          <w:color w:val="231F20"/>
          <w:w w:val="105"/>
          <w:sz w:val="18"/>
        </w:rPr>
        <w:t>Gráfica</w:t>
      </w:r>
      <w:r>
        <w:rPr>
          <w:rFonts w:ascii="Arial" w:hAnsi="Arial"/>
          <w:color w:val="231F20"/>
          <w:spacing w:val="-10"/>
          <w:w w:val="105"/>
          <w:sz w:val="18"/>
        </w:rPr>
        <w:t> </w:t>
      </w:r>
      <w:r>
        <w:rPr>
          <w:rFonts w:ascii="Arial" w:hAnsi="Arial"/>
          <w:color w:val="231F20"/>
          <w:w w:val="105"/>
          <w:sz w:val="18"/>
        </w:rPr>
        <w:t>8.</w:t>
      </w:r>
      <w:r>
        <w:rPr>
          <w:rFonts w:ascii="Arial" w:hAnsi="Arial"/>
          <w:color w:val="231F20"/>
          <w:spacing w:val="-16"/>
          <w:w w:val="105"/>
          <w:sz w:val="18"/>
        </w:rPr>
        <w:t> </w:t>
      </w:r>
      <w:r>
        <w:rPr>
          <w:rFonts w:ascii="Arial" w:hAnsi="Arial"/>
          <w:color w:val="231F20"/>
          <w:w w:val="105"/>
          <w:sz w:val="18"/>
        </w:rPr>
        <w:t>Riesgos</w:t>
      </w:r>
      <w:r>
        <w:rPr>
          <w:rFonts w:ascii="Arial" w:hAnsi="Arial"/>
          <w:color w:val="231F20"/>
          <w:spacing w:val="-10"/>
          <w:w w:val="105"/>
          <w:sz w:val="18"/>
        </w:rPr>
        <w:t> </w:t>
      </w:r>
      <w:r>
        <w:rPr>
          <w:rFonts w:ascii="Arial" w:hAnsi="Arial"/>
          <w:color w:val="231F20"/>
          <w:w w:val="105"/>
          <w:sz w:val="18"/>
        </w:rPr>
        <w:t>experimentados</w:t>
      </w:r>
      <w:r>
        <w:rPr>
          <w:rFonts w:ascii="Arial" w:hAnsi="Arial"/>
          <w:color w:val="231F20"/>
          <w:spacing w:val="-10"/>
          <w:w w:val="105"/>
          <w:sz w:val="18"/>
        </w:rPr>
        <w:t> </w:t>
      </w:r>
      <w:r>
        <w:rPr>
          <w:rFonts w:ascii="Arial" w:hAnsi="Arial"/>
          <w:color w:val="231F20"/>
          <w:w w:val="105"/>
          <w:sz w:val="18"/>
        </w:rPr>
        <w:t>por</w:t>
      </w:r>
      <w:r>
        <w:rPr>
          <w:rFonts w:ascii="Arial" w:hAnsi="Arial"/>
          <w:color w:val="231F20"/>
          <w:spacing w:val="-10"/>
          <w:w w:val="105"/>
          <w:sz w:val="18"/>
        </w:rPr>
        <w:t> </w:t>
      </w:r>
      <w:r>
        <w:rPr>
          <w:rFonts w:ascii="Arial" w:hAnsi="Arial"/>
          <w:color w:val="231F20"/>
          <w:w w:val="105"/>
          <w:sz w:val="18"/>
        </w:rPr>
        <w:t>la</w:t>
      </w:r>
      <w:r>
        <w:rPr>
          <w:rFonts w:ascii="Arial" w:hAnsi="Arial"/>
          <w:color w:val="231F20"/>
          <w:spacing w:val="-10"/>
          <w:w w:val="105"/>
          <w:sz w:val="18"/>
        </w:rPr>
        <w:t> </w:t>
      </w:r>
      <w:r>
        <w:rPr>
          <w:rFonts w:ascii="Arial" w:hAnsi="Arial"/>
          <w:color w:val="231F20"/>
          <w:w w:val="105"/>
          <w:sz w:val="18"/>
        </w:rPr>
        <w:t>población</w:t>
      </w:r>
      <w:r>
        <w:rPr>
          <w:rFonts w:ascii="Arial" w:hAnsi="Arial"/>
          <w:color w:val="231F20"/>
          <w:spacing w:val="-10"/>
          <w:w w:val="105"/>
          <w:sz w:val="18"/>
        </w:rPr>
        <w:t> </w:t>
      </w:r>
      <w:r>
        <w:rPr>
          <w:rFonts w:ascii="Arial" w:hAnsi="Arial"/>
          <w:color w:val="231F20"/>
          <w:w w:val="105"/>
          <w:sz w:val="18"/>
        </w:rPr>
        <w:t>mexiquense</w:t>
      </w:r>
      <w:r>
        <w:rPr>
          <w:rFonts w:ascii="Arial" w:hAnsi="Arial"/>
          <w:color w:val="231F20"/>
          <w:spacing w:val="-10"/>
          <w:w w:val="105"/>
          <w:sz w:val="18"/>
        </w:rPr>
        <w:t> </w:t>
      </w:r>
      <w:r>
        <w:rPr>
          <w:rFonts w:ascii="Arial" w:hAnsi="Arial"/>
          <w:color w:val="231F20"/>
          <w:w w:val="105"/>
          <w:sz w:val="18"/>
        </w:rPr>
        <w:t>devuelta</w:t>
      </w:r>
      <w:r>
        <w:rPr>
          <w:rFonts w:ascii="Arial" w:hAnsi="Arial"/>
          <w:color w:val="231F20"/>
          <w:spacing w:val="-10"/>
          <w:w w:val="105"/>
          <w:sz w:val="18"/>
        </w:rPr>
        <w:t> </w:t>
      </w:r>
      <w:r>
        <w:rPr>
          <w:rFonts w:ascii="Arial" w:hAnsi="Arial"/>
          <w:color w:val="231F20"/>
          <w:w w:val="105"/>
          <w:sz w:val="18"/>
        </w:rPr>
        <w:t>en</w:t>
      </w:r>
      <w:r>
        <w:rPr>
          <w:rFonts w:ascii="Arial" w:hAnsi="Arial"/>
          <w:color w:val="231F20"/>
          <w:spacing w:val="-10"/>
          <w:w w:val="105"/>
          <w:sz w:val="18"/>
        </w:rPr>
        <w:t> </w:t>
      </w:r>
      <w:r>
        <w:rPr>
          <w:rFonts w:ascii="Arial" w:hAnsi="Arial"/>
          <w:color w:val="231F20"/>
          <w:w w:val="105"/>
          <w:sz w:val="18"/>
        </w:rPr>
        <w:t>el intento</w:t>
      </w:r>
      <w:r>
        <w:rPr>
          <w:rFonts w:ascii="Arial" w:hAnsi="Arial"/>
          <w:color w:val="231F20"/>
          <w:spacing w:val="-12"/>
          <w:w w:val="105"/>
          <w:sz w:val="18"/>
        </w:rPr>
        <w:t> </w:t>
      </w:r>
      <w:r>
        <w:rPr>
          <w:rFonts w:ascii="Arial" w:hAnsi="Arial"/>
          <w:color w:val="231F20"/>
          <w:w w:val="105"/>
          <w:sz w:val="18"/>
        </w:rPr>
        <w:t>por</w:t>
      </w:r>
      <w:r>
        <w:rPr>
          <w:rFonts w:ascii="Arial" w:hAnsi="Arial"/>
          <w:color w:val="231F20"/>
          <w:spacing w:val="-12"/>
          <w:w w:val="105"/>
          <w:sz w:val="18"/>
        </w:rPr>
        <w:t> </w:t>
      </w:r>
      <w:r>
        <w:rPr>
          <w:rFonts w:ascii="Arial" w:hAnsi="Arial"/>
          <w:color w:val="231F20"/>
          <w:w w:val="105"/>
          <w:sz w:val="18"/>
        </w:rPr>
        <w:t>cruzar</w:t>
      </w:r>
      <w:r>
        <w:rPr>
          <w:rFonts w:ascii="Arial" w:hAnsi="Arial"/>
          <w:color w:val="231F20"/>
          <w:spacing w:val="-12"/>
          <w:w w:val="105"/>
          <w:sz w:val="18"/>
        </w:rPr>
        <w:t> </w:t>
      </w:r>
      <w:r>
        <w:rPr>
          <w:rFonts w:ascii="Arial" w:hAnsi="Arial"/>
          <w:color w:val="231F20"/>
          <w:w w:val="105"/>
          <w:sz w:val="18"/>
        </w:rPr>
        <w:t>a</w:t>
      </w:r>
      <w:r>
        <w:rPr>
          <w:rFonts w:ascii="Arial" w:hAnsi="Arial"/>
          <w:color w:val="231F20"/>
          <w:spacing w:val="-12"/>
          <w:w w:val="105"/>
          <w:sz w:val="18"/>
        </w:rPr>
        <w:t> </w:t>
      </w:r>
      <w:r>
        <w:rPr>
          <w:rFonts w:ascii="Arial" w:hAnsi="Arial"/>
          <w:color w:val="231F20"/>
          <w:w w:val="105"/>
          <w:sz w:val="18"/>
        </w:rPr>
        <w:t>Estados</w:t>
      </w:r>
      <w:r>
        <w:rPr>
          <w:rFonts w:ascii="Arial" w:hAnsi="Arial"/>
          <w:color w:val="231F20"/>
          <w:spacing w:val="-12"/>
          <w:w w:val="105"/>
          <w:sz w:val="18"/>
        </w:rPr>
        <w:t> </w:t>
      </w:r>
      <w:r>
        <w:rPr>
          <w:rFonts w:ascii="Arial" w:hAnsi="Arial"/>
          <w:color w:val="231F20"/>
          <w:w w:val="105"/>
          <w:sz w:val="18"/>
        </w:rPr>
        <w:t>Unidos,</w:t>
      </w:r>
      <w:r>
        <w:rPr>
          <w:rFonts w:ascii="Arial" w:hAnsi="Arial"/>
          <w:color w:val="231F20"/>
          <w:spacing w:val="-18"/>
          <w:w w:val="105"/>
          <w:sz w:val="18"/>
        </w:rPr>
        <w:t> </w:t>
      </w:r>
      <w:r>
        <w:rPr>
          <w:rFonts w:ascii="Arial" w:hAnsi="Arial"/>
          <w:color w:val="231F20"/>
          <w:w w:val="105"/>
          <w:sz w:val="18"/>
        </w:rPr>
        <w:t>2007-2012</w:t>
      </w:r>
    </w:p>
    <w:p>
      <w:pPr>
        <w:spacing w:before="64"/>
        <w:ind w:left="1835" w:right="6753" w:firstLine="0"/>
        <w:jc w:val="left"/>
        <w:rPr>
          <w:rFonts w:ascii="Lucida Sans Unicode"/>
          <w:sz w:val="13"/>
        </w:rPr>
      </w:pPr>
      <w:r>
        <w:rPr/>
        <w:pict>
          <v:group style="position:absolute;margin-left:100.851303pt;margin-top:8.515491pt;width:336.45pt;height:58.9pt;mso-position-horizontal-relative:page;mso-position-vertical-relative:paragraph;z-index:18520" coordorigin="2017,170" coordsize="6729,1178">
            <v:shape style="position:absolute;left:0;top:12071;width:6691;height:379" coordorigin="0,12071" coordsize="6691,379" path="m2557,933l8742,933m2051,933l2152,933m2557,555l8742,555m2051,555l2152,555e" filled="false" stroked="true" strokeweight=".32pt" strokecolor="#a6a8ab">
              <v:path arrowok="t"/>
            </v:shape>
            <v:shape style="position:absolute;left:2121;top:299;width:6280;height:1020" type="#_x0000_t75" stroked="false">
              <v:imagedata r:id="rId136" o:title=""/>
            </v:shape>
            <v:shape style="position:absolute;left:2256;top:362;width:4455;height:956" type="#_x0000_t75" stroked="false">
              <v:imagedata r:id="rId137" o:title=""/>
            </v:shape>
            <v:shape style="position:absolute;left:2391;top:497;width:5672;height:821" type="#_x0000_t75" stroked="false">
              <v:imagedata r:id="rId138" o:title=""/>
            </v:shape>
            <v:shape style="position:absolute;left:5194;top:1267;width:3176;height:47" coordorigin="5194,1267" coordsize="3176,47" path="m5329,1290l5194,1290,5194,1314,5329,1314,5329,1290m8370,1267l8235,1267,8235,1314,8370,1314,8370,1267e" filled="true" fillcolor="#a1a3a5" stroked="false">
              <v:path arrowok="t"/>
              <v:fill type="solid"/>
            </v:shape>
            <v:shape style="position:absolute;left:2152;top:315;width:2570;height:999" coordorigin="2152,315" coordsize="2570,999" path="m2287,315l2152,315,2152,1314,2287,1314,2287,315m2895,1132l2760,1132,2760,1314,2895,1314,2895,1132m3503,1175l3368,1175,3368,1314,3503,1314,3503,1175m4113,1142l3978,1142,3978,1314,4113,1314,4113,1142m4721,976l4586,976,4586,1314,4721,1314,4721,976e" filled="true" fillcolor="#58595b" stroked="false">
              <v:path arrowok="t"/>
              <v:fill type="solid"/>
            </v:shape>
            <v:shape style="position:absolute;left:5194;top:1267;width:3176;height:47" coordorigin="5194,1267" coordsize="3176,47" path="m5329,1290l5194,1290,5194,1314,5329,1314,5329,1290m8370,1267l8235,1267,8235,1314,8370,1314,8370,1267e" filled="true" fillcolor="#58595b" stroked="false">
              <v:path arrowok="t"/>
              <v:fill type="solid"/>
            </v:shape>
            <v:rect style="position:absolute;left:6546;top:1277;width:135;height:36" filled="true" fillcolor="#a1a3a5" stroked="false">
              <v:fill type="solid"/>
            </v:rect>
            <v:shape style="position:absolute;left:2287;top:377;width:1962;height:938" coordorigin="2287,377" coordsize="1962,938" path="m2422,377l2287,377,2287,1314,2422,1314,2422,377m3030,1069l2895,1069,2895,1314,3030,1314,3030,1069m3638,1099l3503,1099,3503,1314,3638,1314,3638,1099m4248,1150l4113,1150,4113,1314,4248,1314,4248,1150e" filled="true" fillcolor="#a7a9ac" stroked="false">
              <v:path arrowok="t"/>
              <v:fill type="solid"/>
            </v:shape>
            <v:line style="position:absolute" from="4721,1273" to="4856,1273" stroked="true" strokeweight="4.0620pt" strokecolor="#a7a9ac"/>
            <v:shape style="position:absolute;left:5329;top:1200;width:744;height:115" coordorigin="5329,1200" coordsize="744,115" path="m5464,1200l5329,1200,5329,1314,5464,1314,5464,1200m6073,1202l5937,1202,5937,1314,6073,1314,6073,1202e" filled="true" fillcolor="#a7a9ac" stroked="false">
              <v:path arrowok="t"/>
              <v:fill type="solid"/>
            </v:shape>
            <v:rect style="position:absolute;left:6546;top:1277;width:135;height:36" filled="true" fillcolor="#a7a9ac" stroked="false">
              <v:fill type="solid"/>
            </v:rect>
            <v:shape style="position:absolute;left:3030;top:1265;width:5003;height:49" coordorigin="3030,1265" coordsize="5003,49" path="m3165,1277l3030,1277,3030,1314,3165,1314,3165,1277m6208,1279l6073,1279,6073,1314,6208,1314,6208,1279m6816,1290l6681,1290,6681,1314,6816,1314,6816,1290m8032,1265l7897,1265,7897,1314,8032,1314,8032,1265e" filled="true" fillcolor="#a1a3a5" stroked="false">
              <v:path arrowok="t"/>
              <v:fill type="solid"/>
            </v:shape>
            <v:rect style="position:absolute;left:2422;top:512;width:135;height:802" filled="true" fillcolor="#d1d3d4" stroked="false">
              <v:fill type="solid"/>
            </v:rect>
            <v:rect style="position:absolute;left:3030;top:1277;width:135;height:36" filled="true" fillcolor="#d1d3d4" stroked="false">
              <v:fill type="solid"/>
            </v:rect>
            <v:shape style="position:absolute;left:3638;top:1095;width:1962;height:219" coordorigin="3638,1095" coordsize="1962,219" path="m3773,1095l3638,1095,3638,1314,3773,1314,3773,1095m4383,1110l4248,1110,4248,1314,4383,1314,4383,1110m4991,1208l4856,1208,4856,1314,4991,1314,4991,1208m5600,1159l5464,1159,5464,1314,5600,1314,5600,1159e" filled="true" fillcolor="#d1d3d4" stroked="false">
              <v:path arrowok="t"/>
              <v:fill type="solid"/>
            </v:shape>
            <v:shape style="position:absolute;left:6073;top:1279;width:744;height:35" coordorigin="6073,1279" coordsize="744,35" path="m6208,1279l6073,1279,6073,1314,6208,1314,6208,1279m6816,1290l6681,1290,6681,1314,6816,1314,6816,1290e" filled="true" fillcolor="#d1d3d4" stroked="false">
              <v:path arrowok="t"/>
              <v:fill type="solid"/>
            </v:shape>
            <v:rect style="position:absolute;left:7289;top:1187;width:135;height:126" filled="true" fillcolor="#d1d3d4" stroked="false">
              <v:fill type="solid"/>
            </v:rect>
            <v:rect style="position:absolute;left:7897;top:1265;width:135;height:48" filled="true" fillcolor="#d1d3d4" stroked="false">
              <v:fill type="solid"/>
            </v:rect>
            <v:line style="position:absolute" from="2051,174" to="8742,174" stroked="true" strokeweight=".32pt" strokecolor="#a6a8ab"/>
            <v:line style="position:absolute" from="2051,1314" to="2051,174" stroked="true" strokeweight=".32pt" strokecolor="#a6a8ab"/>
            <v:shape style="position:absolute;left:0;top:11310;width:31;height:1140" coordorigin="0,11310" coordsize="31,1140" path="m2021,1314l2051,1314m2021,933l2051,933m2021,555l2051,555m2021,174l2051,174e" filled="false" stroked="true" strokeweight=".32pt" strokecolor="#a6a8ab">
              <v:path arrowok="t"/>
            </v:shape>
            <v:line style="position:absolute" from="2051,1314" to="8742,1314" stroked="true" strokeweight=".32pt" strokecolor="#a6a8ab"/>
            <v:shape style="position:absolute;left:0;top:12450;width:6691;height:30" coordorigin="0,12450" coordsize="6691,30" path="m2051,1314l2051,1344m2659,1314l2659,1344m3267,1314l3267,1344m3876,1314l3876,1344m4484,1314l4484,1344m5092,1314l5092,1344m5700,1314l5700,1344m6308,1314l6308,1344m6918,1314l6918,1344m7526,1314l7526,1344m8134,1314l8134,1344m8742,1314l8742,1344e" filled="false" stroked="true" strokeweight=".32pt" strokecolor="#a6a8ab">
              <v:path arrowok="t"/>
            </v:shape>
            <w10:wrap type="none"/>
          </v:group>
        </w:pict>
      </w:r>
      <w:r>
        <w:rPr>
          <w:rFonts w:ascii="Lucida Sans Unicode"/>
          <w:color w:val="231F20"/>
          <w:sz w:val="13"/>
        </w:rPr>
        <w:t>60</w:t>
      </w:r>
    </w:p>
    <w:p>
      <w:pPr>
        <w:pStyle w:val="BodyText"/>
        <w:spacing w:before="15"/>
        <w:rPr>
          <w:rFonts w:ascii="Lucida Sans Unicode"/>
          <w:sz w:val="7"/>
        </w:rPr>
      </w:pPr>
    </w:p>
    <w:p>
      <w:pPr>
        <w:spacing w:before="57"/>
        <w:ind w:left="1835" w:right="6753" w:firstLine="0"/>
        <w:jc w:val="left"/>
        <w:rPr>
          <w:rFonts w:ascii="Lucida Sans Unicode"/>
          <w:sz w:val="13"/>
        </w:rPr>
      </w:pPr>
      <w:r>
        <w:rPr>
          <w:rFonts w:ascii="Lucida Sans Unicode"/>
          <w:color w:val="231F20"/>
          <w:sz w:val="13"/>
        </w:rPr>
        <w:t>40</w:t>
      </w:r>
    </w:p>
    <w:p>
      <w:pPr>
        <w:pStyle w:val="BodyText"/>
        <w:spacing w:before="15"/>
        <w:rPr>
          <w:rFonts w:ascii="Lucida Sans Unicode"/>
          <w:sz w:val="7"/>
        </w:rPr>
      </w:pPr>
    </w:p>
    <w:p>
      <w:pPr>
        <w:spacing w:before="57"/>
        <w:ind w:left="1835" w:right="6753" w:firstLine="0"/>
        <w:jc w:val="left"/>
        <w:rPr>
          <w:rFonts w:ascii="Lucida Sans Unicode"/>
          <w:sz w:val="13"/>
        </w:rPr>
      </w:pPr>
      <w:r>
        <w:rPr>
          <w:rFonts w:ascii="Lucida Sans Unicode"/>
          <w:color w:val="231F20"/>
          <w:sz w:val="13"/>
        </w:rPr>
        <w:t>20</w:t>
      </w:r>
    </w:p>
    <w:p>
      <w:pPr>
        <w:pStyle w:val="BodyText"/>
        <w:spacing w:before="15"/>
        <w:rPr>
          <w:rFonts w:ascii="Lucida Sans Unicode"/>
          <w:sz w:val="7"/>
        </w:rPr>
      </w:pPr>
    </w:p>
    <w:p>
      <w:pPr>
        <w:spacing w:before="57"/>
        <w:ind w:left="1886" w:right="0" w:firstLine="0"/>
        <w:jc w:val="left"/>
        <w:rPr>
          <w:rFonts w:ascii="Lucida Sans Unicode"/>
          <w:sz w:val="13"/>
        </w:rPr>
      </w:pPr>
      <w:r>
        <w:rPr/>
        <w:pict>
          <v:shape style="position:absolute;margin-left:110.290962pt;margin-top:13.220657pt;width:17.05pt;height:69.6pt;mso-position-horizontal-relative:page;mso-position-vertical-relative:paragraph;z-index:18712" type="#_x0000_t202" filled="false" stroked="false">
            <v:textbox inset="0,0,0,0" style="layout-flow:vertical;mso-layout-flow-alt:bottom-to-top">
              <w:txbxContent>
                <w:p>
                  <w:pPr>
                    <w:spacing w:line="196" w:lineRule="auto" w:before="3"/>
                    <w:ind w:left="44" w:right="18" w:hanging="25"/>
                    <w:jc w:val="left"/>
                    <w:rPr>
                      <w:rFonts w:ascii="Lucida Sans Unicode" w:hAnsi="Lucida Sans Unicode"/>
                      <w:sz w:val="13"/>
                    </w:rPr>
                  </w:pPr>
                  <w:r>
                    <w:rPr>
                      <w:rFonts w:ascii="Lucida Sans Unicode" w:hAnsi="Lucida Sans Unicode"/>
                      <w:color w:val="231F20"/>
                      <w:w w:val="98"/>
                      <w:sz w:val="13"/>
                    </w:rPr>
                    <w:t>Intenso</w:t>
                  </w:r>
                  <w:r>
                    <w:rPr>
                      <w:rFonts w:ascii="Lucida Sans Unicode" w:hAnsi="Lucida Sans Unicode"/>
                      <w:color w:val="231F20"/>
                      <w:spacing w:val="-7"/>
                      <w:sz w:val="13"/>
                    </w:rPr>
                    <w:t> </w:t>
                  </w:r>
                  <w:r>
                    <w:rPr>
                      <w:rFonts w:ascii="Lucida Sans Unicode" w:hAnsi="Lucida Sans Unicode"/>
                      <w:color w:val="231F20"/>
                      <w:w w:val="94"/>
                      <w:sz w:val="13"/>
                    </w:rPr>
                    <w:t>frío</w:t>
                  </w:r>
                  <w:r>
                    <w:rPr>
                      <w:rFonts w:ascii="Lucida Sans Unicode" w:hAnsi="Lucida Sans Unicode"/>
                      <w:color w:val="231F20"/>
                      <w:spacing w:val="-7"/>
                      <w:sz w:val="13"/>
                    </w:rPr>
                    <w:t> </w:t>
                  </w:r>
                  <w:r>
                    <w:rPr>
                      <w:rFonts w:ascii="Lucida Sans Unicode" w:hAnsi="Lucida Sans Unicode"/>
                      <w:color w:val="231F20"/>
                      <w:w w:val="104"/>
                      <w:sz w:val="13"/>
                    </w:rPr>
                    <w:t>o</w:t>
                  </w:r>
                  <w:r>
                    <w:rPr>
                      <w:rFonts w:ascii="Lucida Sans Unicode" w:hAnsi="Lucida Sans Unicode"/>
                      <w:color w:val="231F20"/>
                      <w:spacing w:val="-7"/>
                      <w:sz w:val="13"/>
                    </w:rPr>
                    <w:t> </w:t>
                  </w:r>
                  <w:r>
                    <w:rPr>
                      <w:rFonts w:ascii="Lucida Sans Unicode" w:hAnsi="Lucida Sans Unicode"/>
                      <w:color w:val="231F20"/>
                      <w:w w:val="99"/>
                      <w:sz w:val="13"/>
                    </w:rPr>
                    <w:t>calor</w:t>
                  </w:r>
                  <w:r>
                    <w:rPr>
                      <w:rFonts w:ascii="Lucida Sans Unicode" w:hAnsi="Lucida Sans Unicode"/>
                      <w:color w:val="231F20"/>
                      <w:spacing w:val="-7"/>
                      <w:sz w:val="13"/>
                    </w:rPr>
                    <w:t> </w:t>
                  </w:r>
                  <w:r>
                    <w:rPr>
                      <w:rFonts w:ascii="Lucida Sans Unicode" w:hAnsi="Lucida Sans Unicode"/>
                      <w:color w:val="231F20"/>
                      <w:w w:val="102"/>
                      <w:sz w:val="13"/>
                    </w:rPr>
                    <w:t>en </w:t>
                  </w:r>
                  <w:r>
                    <w:rPr>
                      <w:rFonts w:ascii="Lucida Sans Unicode" w:hAnsi="Lucida Sans Unicode"/>
                      <w:color w:val="231F20"/>
                      <w:w w:val="98"/>
                      <w:sz w:val="13"/>
                    </w:rPr>
                    <w:t>cerros,</w:t>
                  </w:r>
                  <w:r>
                    <w:rPr>
                      <w:rFonts w:ascii="Lucida Sans Unicode" w:hAnsi="Lucida Sans Unicode"/>
                      <w:color w:val="231F20"/>
                      <w:spacing w:val="-7"/>
                      <w:sz w:val="13"/>
                    </w:rPr>
                    <w:t> </w:t>
                  </w:r>
                  <w:r>
                    <w:rPr>
                      <w:rFonts w:ascii="Lucida Sans Unicode" w:hAnsi="Lucida Sans Unicode"/>
                      <w:color w:val="231F20"/>
                      <w:w w:val="98"/>
                      <w:sz w:val="13"/>
                    </w:rPr>
                    <w:t>desiertos,</w:t>
                  </w:r>
                  <w:r>
                    <w:rPr>
                      <w:rFonts w:ascii="Lucida Sans Unicode" w:hAnsi="Lucida Sans Unicode"/>
                      <w:color w:val="231F20"/>
                      <w:spacing w:val="-7"/>
                      <w:sz w:val="13"/>
                    </w:rPr>
                    <w:t> </w:t>
                  </w:r>
                  <w:r>
                    <w:rPr>
                      <w:rFonts w:ascii="Lucida Sans Unicode" w:hAnsi="Lucida Sans Unicode"/>
                      <w:color w:val="231F20"/>
                      <w:w w:val="98"/>
                      <w:sz w:val="13"/>
                    </w:rPr>
                    <w:t>etc.</w:t>
                  </w:r>
                </w:p>
              </w:txbxContent>
            </v:textbox>
            <w10:wrap type="none"/>
          </v:shape>
        </w:pict>
      </w:r>
      <w:r>
        <w:rPr/>
        <w:pict>
          <v:shape style="position:absolute;margin-left:144.204391pt;margin-top:13.370809pt;width:8.85pt;height:59.05pt;mso-position-horizontal-relative:page;mso-position-vertical-relative:paragraph;z-index:18736" type="#_x0000_t202" filled="false" stroked="false">
            <v:textbox inset="0,0,0,0" style="layout-flow:vertical;mso-layout-flow-alt:bottom-to-top">
              <w:txbxContent>
                <w:p>
                  <w:pPr>
                    <w:spacing w:line="176" w:lineRule="exact" w:before="0"/>
                    <w:ind w:left="20" w:right="0" w:firstLine="0"/>
                    <w:jc w:val="left"/>
                    <w:rPr>
                      <w:rFonts w:ascii="Lucida Sans Unicode"/>
                      <w:sz w:val="13"/>
                    </w:rPr>
                  </w:pPr>
                  <w:r>
                    <w:rPr>
                      <w:rFonts w:ascii="Lucida Sans Unicode"/>
                      <w:color w:val="231F20"/>
                      <w:w w:val="100"/>
                      <w:sz w:val="13"/>
                    </w:rPr>
                    <w:t>Falta</w:t>
                  </w:r>
                  <w:r>
                    <w:rPr>
                      <w:rFonts w:ascii="Lucida Sans Unicode"/>
                      <w:color w:val="231F20"/>
                      <w:spacing w:val="-7"/>
                      <w:sz w:val="13"/>
                    </w:rPr>
                    <w:t> </w:t>
                  </w:r>
                  <w:r>
                    <w:rPr>
                      <w:rFonts w:ascii="Lucida Sans Unicode"/>
                      <w:color w:val="231F20"/>
                      <w:w w:val="106"/>
                      <w:sz w:val="13"/>
                    </w:rPr>
                    <w:t>de</w:t>
                  </w:r>
                  <w:r>
                    <w:rPr>
                      <w:rFonts w:ascii="Lucida Sans Unicode"/>
                      <w:color w:val="231F20"/>
                      <w:spacing w:val="-7"/>
                      <w:sz w:val="13"/>
                    </w:rPr>
                    <w:t> </w:t>
                  </w:r>
                  <w:r>
                    <w:rPr>
                      <w:rFonts w:ascii="Lucida Sans Unicode"/>
                      <w:color w:val="231F20"/>
                      <w:w w:val="98"/>
                      <w:sz w:val="13"/>
                    </w:rPr>
                    <w:t>alimentos</w:t>
                  </w:r>
                </w:p>
              </w:txbxContent>
            </v:textbox>
            <w10:wrap type="none"/>
          </v:shape>
        </w:pict>
      </w:r>
      <w:r>
        <w:rPr/>
        <w:pict>
          <v:shape style="position:absolute;margin-left:174.616592pt;margin-top:13.370809pt;width:8.85pt;height:44.25pt;mso-position-horizontal-relative:page;mso-position-vertical-relative:paragraph;z-index:18760" type="#_x0000_t202" filled="false" stroked="false">
            <v:textbox inset="0,0,0,0" style="layout-flow:vertical;mso-layout-flow-alt:bottom-to-top">
              <w:txbxContent>
                <w:p>
                  <w:pPr>
                    <w:spacing w:line="176" w:lineRule="exact" w:before="0"/>
                    <w:ind w:left="20" w:right="-175" w:firstLine="0"/>
                    <w:jc w:val="left"/>
                    <w:rPr>
                      <w:rFonts w:ascii="Lucida Sans Unicode"/>
                      <w:sz w:val="13"/>
                    </w:rPr>
                  </w:pPr>
                  <w:r>
                    <w:rPr>
                      <w:rFonts w:ascii="Lucida Sans Unicode"/>
                      <w:color w:val="231F20"/>
                      <w:w w:val="100"/>
                      <w:sz w:val="13"/>
                    </w:rPr>
                    <w:t>Falta</w:t>
                  </w:r>
                  <w:r>
                    <w:rPr>
                      <w:rFonts w:ascii="Lucida Sans Unicode"/>
                      <w:color w:val="231F20"/>
                      <w:spacing w:val="-7"/>
                      <w:sz w:val="13"/>
                    </w:rPr>
                    <w:t> </w:t>
                  </w:r>
                  <w:r>
                    <w:rPr>
                      <w:rFonts w:ascii="Lucida Sans Unicode"/>
                      <w:color w:val="231F20"/>
                      <w:w w:val="106"/>
                      <w:sz w:val="13"/>
                    </w:rPr>
                    <w:t>de</w:t>
                  </w:r>
                  <w:r>
                    <w:rPr>
                      <w:rFonts w:ascii="Lucida Sans Unicode"/>
                      <w:color w:val="231F20"/>
                      <w:spacing w:val="-7"/>
                      <w:sz w:val="13"/>
                    </w:rPr>
                    <w:t> </w:t>
                  </w:r>
                  <w:r>
                    <w:rPr>
                      <w:rFonts w:ascii="Lucida Sans Unicode"/>
                      <w:color w:val="231F20"/>
                      <w:w w:val="101"/>
                      <w:sz w:val="13"/>
                    </w:rPr>
                    <w:t>agua</w:t>
                  </w:r>
                </w:p>
              </w:txbxContent>
            </v:textbox>
            <w10:wrap type="none"/>
          </v:shape>
        </w:pict>
      </w:r>
      <w:r>
        <w:rPr/>
        <w:pict>
          <v:shape style="position:absolute;margin-left:200.292236pt;margin-top:13.370808pt;width:17.05pt;height:85.85pt;mso-position-horizontal-relative:page;mso-position-vertical-relative:paragraph;z-index:18784" type="#_x0000_t202" filled="false" stroked="false">
            <v:textbox inset="0,0,0,0" style="layout-flow:vertical;mso-layout-flow-alt:bottom-to-top">
              <w:txbxContent>
                <w:p>
                  <w:pPr>
                    <w:spacing w:line="196" w:lineRule="auto" w:before="3"/>
                    <w:ind w:left="239" w:right="-548" w:hanging="220"/>
                    <w:jc w:val="left"/>
                    <w:rPr>
                      <w:rFonts w:ascii="Lucida Sans Unicode"/>
                      <w:sz w:val="13"/>
                    </w:rPr>
                  </w:pPr>
                  <w:r>
                    <w:rPr>
                      <w:rFonts w:ascii="Lucida Sans Unicode"/>
                      <w:color w:val="231F20"/>
                      <w:w w:val="100"/>
                      <w:sz w:val="13"/>
                    </w:rPr>
                    <w:t>Cansancio</w:t>
                  </w:r>
                  <w:r>
                    <w:rPr>
                      <w:rFonts w:ascii="Lucida Sans Unicode"/>
                      <w:color w:val="231F20"/>
                      <w:sz w:val="13"/>
                    </w:rPr>
                    <w:t> </w:t>
                  </w:r>
                  <w:r>
                    <w:rPr>
                      <w:rFonts w:ascii="Lucida Sans Unicode"/>
                      <w:color w:val="231F20"/>
                      <w:spacing w:val="-14"/>
                      <w:sz w:val="13"/>
                    </w:rPr>
                    <w:t> </w:t>
                  </w:r>
                  <w:r>
                    <w:rPr>
                      <w:rFonts w:ascii="Lucida Sans Unicode"/>
                      <w:color w:val="231F20"/>
                      <w:w w:val="102"/>
                      <w:sz w:val="13"/>
                    </w:rPr>
                    <w:t>por</w:t>
                  </w:r>
                  <w:r>
                    <w:rPr>
                      <w:rFonts w:ascii="Lucida Sans Unicode"/>
                      <w:color w:val="231F20"/>
                      <w:spacing w:val="-7"/>
                      <w:sz w:val="13"/>
                    </w:rPr>
                    <w:t> </w:t>
                  </w:r>
                  <w:r>
                    <w:rPr>
                      <w:rFonts w:ascii="Lucida Sans Unicode"/>
                      <w:color w:val="231F20"/>
                      <w:w w:val="98"/>
                      <w:sz w:val="13"/>
                    </w:rPr>
                    <w:t>la</w:t>
                  </w:r>
                  <w:r>
                    <w:rPr>
                      <w:rFonts w:ascii="Lucida Sans Unicode"/>
                      <w:color w:val="231F20"/>
                      <w:spacing w:val="-7"/>
                      <w:sz w:val="13"/>
                    </w:rPr>
                    <w:t> </w:t>
                  </w:r>
                  <w:r>
                    <w:rPr>
                      <w:rFonts w:ascii="Lucida Sans Unicode"/>
                      <w:color w:val="231F20"/>
                      <w:w w:val="98"/>
                      <w:sz w:val="13"/>
                    </w:rPr>
                    <w:t>caminata </w:t>
                  </w:r>
                  <w:r>
                    <w:rPr>
                      <w:rFonts w:ascii="Lucida Sans Unicode"/>
                      <w:color w:val="231F20"/>
                      <w:w w:val="101"/>
                      <w:sz w:val="13"/>
                    </w:rPr>
                    <w:t>(o</w:t>
                  </w:r>
                  <w:r>
                    <w:rPr>
                      <w:rFonts w:ascii="Lucida Sans Unicode"/>
                      <w:color w:val="231F20"/>
                      <w:spacing w:val="-7"/>
                      <w:sz w:val="13"/>
                    </w:rPr>
                    <w:t> </w:t>
                  </w:r>
                  <w:r>
                    <w:rPr>
                      <w:rFonts w:ascii="Lucida Sans Unicode"/>
                      <w:color w:val="231F20"/>
                      <w:w w:val="102"/>
                      <w:sz w:val="13"/>
                    </w:rPr>
                    <w:t>por</w:t>
                  </w:r>
                  <w:r>
                    <w:rPr>
                      <w:rFonts w:ascii="Lucida Sans Unicode"/>
                      <w:color w:val="231F20"/>
                      <w:spacing w:val="-7"/>
                      <w:sz w:val="13"/>
                    </w:rPr>
                    <w:t> </w:t>
                  </w:r>
                  <w:r>
                    <w:rPr>
                      <w:rFonts w:ascii="Lucida Sans Unicode"/>
                      <w:color w:val="231F20"/>
                      <w:w w:val="98"/>
                      <w:sz w:val="13"/>
                    </w:rPr>
                    <w:t>horas</w:t>
                  </w:r>
                  <w:r>
                    <w:rPr>
                      <w:rFonts w:ascii="Lucida Sans Unicode"/>
                      <w:color w:val="231F20"/>
                      <w:spacing w:val="-7"/>
                      <w:sz w:val="13"/>
                    </w:rPr>
                    <w:t> </w:t>
                  </w:r>
                  <w:r>
                    <w:rPr>
                      <w:rFonts w:ascii="Lucida Sans Unicode"/>
                      <w:color w:val="231F20"/>
                      <w:w w:val="106"/>
                      <w:sz w:val="13"/>
                    </w:rPr>
                    <w:t>de</w:t>
                  </w:r>
                  <w:r>
                    <w:rPr>
                      <w:rFonts w:ascii="Lucida Sans Unicode"/>
                      <w:color w:val="231F20"/>
                      <w:spacing w:val="-7"/>
                      <w:sz w:val="13"/>
                    </w:rPr>
                    <w:t> </w:t>
                  </w:r>
                  <w:r>
                    <w:rPr>
                      <w:rFonts w:ascii="Lucida Sans Unicode"/>
                      <w:color w:val="231F20"/>
                      <w:w w:val="101"/>
                      <w:sz w:val="13"/>
                    </w:rPr>
                    <w:t>espera)</w:t>
                  </w:r>
                </w:p>
              </w:txbxContent>
            </v:textbox>
            <w10:wrap type="none"/>
          </v:shape>
        </w:pict>
      </w:r>
      <w:r>
        <w:rPr/>
        <w:pict>
          <v:shape style="position:absolute;margin-left:231.543915pt;margin-top:13.370809pt;width:17.05pt;height:63pt;mso-position-horizontal-relative:page;mso-position-vertical-relative:paragraph;z-index:18808" type="#_x0000_t202" filled="false" stroked="false">
            <v:textbox inset="0,0,0,0" style="layout-flow:vertical;mso-layout-flow-alt:bottom-to-top">
              <w:txbxContent>
                <w:p>
                  <w:pPr>
                    <w:spacing w:line="159" w:lineRule="exact" w:before="0"/>
                    <w:ind w:left="20" w:right="0" w:firstLine="0"/>
                    <w:jc w:val="left"/>
                    <w:rPr>
                      <w:rFonts w:ascii="Lucida Sans Unicode"/>
                      <w:sz w:val="13"/>
                    </w:rPr>
                  </w:pPr>
                  <w:r>
                    <w:rPr>
                      <w:rFonts w:ascii="Lucida Sans Unicode"/>
                      <w:color w:val="231F20"/>
                      <w:w w:val="105"/>
                      <w:sz w:val="13"/>
                    </w:rPr>
                    <w:t>Miedo</w:t>
                  </w:r>
                  <w:r>
                    <w:rPr>
                      <w:rFonts w:ascii="Lucida Sans Unicode"/>
                      <w:color w:val="231F20"/>
                      <w:spacing w:val="-7"/>
                      <w:sz w:val="13"/>
                    </w:rPr>
                    <w:t> </w:t>
                  </w:r>
                  <w:r>
                    <w:rPr>
                      <w:rFonts w:ascii="Lucida Sans Unicode"/>
                      <w:color w:val="231F20"/>
                      <w:w w:val="106"/>
                      <w:sz w:val="13"/>
                    </w:rPr>
                    <w:t>de</w:t>
                  </w:r>
                  <w:r>
                    <w:rPr>
                      <w:rFonts w:ascii="Lucida Sans Unicode"/>
                      <w:color w:val="231F20"/>
                      <w:spacing w:val="-7"/>
                      <w:sz w:val="13"/>
                    </w:rPr>
                    <w:t> </w:t>
                  </w:r>
                  <w:r>
                    <w:rPr>
                      <w:rFonts w:ascii="Lucida Sans Unicode"/>
                      <w:color w:val="231F20"/>
                      <w:w w:val="101"/>
                      <w:sz w:val="13"/>
                    </w:rPr>
                    <w:t>ahogarse</w:t>
                  </w:r>
                </w:p>
                <w:p>
                  <w:pPr>
                    <w:spacing w:line="181" w:lineRule="exact" w:before="0"/>
                    <w:ind w:left="402" w:right="0" w:firstLine="0"/>
                    <w:jc w:val="left"/>
                    <w:rPr>
                      <w:rFonts w:ascii="Lucida Sans Unicode" w:hAnsi="Lucida Sans Unicode"/>
                      <w:sz w:val="13"/>
                    </w:rPr>
                  </w:pPr>
                  <w:r>
                    <w:rPr>
                      <w:rFonts w:ascii="Lucida Sans Unicode" w:hAnsi="Lucida Sans Unicode"/>
                      <w:color w:val="231F20"/>
                      <w:w w:val="102"/>
                      <w:sz w:val="13"/>
                    </w:rPr>
                    <w:t>en</w:t>
                  </w:r>
                  <w:r>
                    <w:rPr>
                      <w:rFonts w:ascii="Lucida Sans Unicode" w:hAnsi="Lucida Sans Unicode"/>
                      <w:color w:val="231F20"/>
                      <w:spacing w:val="-7"/>
                      <w:sz w:val="13"/>
                    </w:rPr>
                    <w:t> </w:t>
                  </w:r>
                  <w:r>
                    <w:rPr>
                      <w:rFonts w:ascii="Lucida Sans Unicode" w:hAnsi="Lucida Sans Unicode"/>
                      <w:color w:val="231F20"/>
                      <w:w w:val="97"/>
                      <w:sz w:val="13"/>
                    </w:rPr>
                    <w:t>río</w:t>
                  </w:r>
                  <w:r>
                    <w:rPr>
                      <w:rFonts w:ascii="Lucida Sans Unicode" w:hAnsi="Lucida Sans Unicode"/>
                      <w:color w:val="231F20"/>
                      <w:spacing w:val="-7"/>
                      <w:sz w:val="13"/>
                    </w:rPr>
                    <w:t> </w:t>
                  </w:r>
                  <w:r>
                    <w:rPr>
                      <w:rFonts w:ascii="Lucida Sans Unicode" w:hAnsi="Lucida Sans Unicode"/>
                      <w:color w:val="231F20"/>
                      <w:w w:val="104"/>
                      <w:sz w:val="13"/>
                    </w:rPr>
                    <w:t>o</w:t>
                  </w:r>
                  <w:r>
                    <w:rPr>
                      <w:rFonts w:ascii="Lucida Sans Unicode" w:hAnsi="Lucida Sans Unicode"/>
                      <w:color w:val="231F20"/>
                      <w:spacing w:val="-7"/>
                      <w:sz w:val="13"/>
                    </w:rPr>
                    <w:t> </w:t>
                  </w:r>
                  <w:r>
                    <w:rPr>
                      <w:rFonts w:ascii="Lucida Sans Unicode" w:hAnsi="Lucida Sans Unicode"/>
                      <w:color w:val="231F20"/>
                      <w:w w:val="99"/>
                      <w:sz w:val="13"/>
                    </w:rPr>
                    <w:t>canal</w:t>
                  </w:r>
                </w:p>
              </w:txbxContent>
            </v:textbox>
            <w10:wrap type="none"/>
          </v:shape>
        </w:pict>
      </w:r>
      <w:r>
        <w:rPr/>
        <w:pict>
          <v:shape style="position:absolute;margin-left:262.338318pt;margin-top:13.370807pt;width:17.05pt;height:92.8pt;mso-position-horizontal-relative:page;mso-position-vertical-relative:paragraph;z-index:18832" type="#_x0000_t202" filled="false" stroked="false">
            <v:textbox inset="0,0,0,0" style="layout-flow:vertical;mso-layout-flow-alt:bottom-to-top">
              <w:txbxContent>
                <w:p>
                  <w:pPr>
                    <w:spacing w:line="196" w:lineRule="auto" w:before="3"/>
                    <w:ind w:left="20" w:right="18" w:firstLine="219"/>
                    <w:jc w:val="left"/>
                    <w:rPr>
                      <w:rFonts w:ascii="Lucida Sans Unicode"/>
                      <w:sz w:val="13"/>
                    </w:rPr>
                  </w:pPr>
                  <w:r>
                    <w:rPr>
                      <w:rFonts w:ascii="Lucida Sans Unicode"/>
                      <w:color w:val="231F20"/>
                      <w:w w:val="105"/>
                      <w:sz w:val="13"/>
                    </w:rPr>
                    <w:t>Miedo</w:t>
                  </w:r>
                  <w:r>
                    <w:rPr>
                      <w:rFonts w:ascii="Lucida Sans Unicode"/>
                      <w:color w:val="231F20"/>
                      <w:spacing w:val="-7"/>
                      <w:sz w:val="13"/>
                    </w:rPr>
                    <w:t> </w:t>
                  </w:r>
                  <w:r>
                    <w:rPr>
                      <w:rFonts w:ascii="Lucida Sans Unicode"/>
                      <w:color w:val="231F20"/>
                      <w:w w:val="102"/>
                      <w:sz w:val="13"/>
                    </w:rPr>
                    <w:t>por</w:t>
                  </w:r>
                  <w:r>
                    <w:rPr>
                      <w:rFonts w:ascii="Lucida Sans Unicode"/>
                      <w:color w:val="231F20"/>
                      <w:spacing w:val="-7"/>
                      <w:sz w:val="13"/>
                    </w:rPr>
                    <w:t> </w:t>
                  </w:r>
                  <w:r>
                    <w:rPr>
                      <w:rFonts w:ascii="Lucida Sans Unicode"/>
                      <w:color w:val="231F20"/>
                      <w:w w:val="101"/>
                      <w:sz w:val="13"/>
                    </w:rPr>
                    <w:t>caerse</w:t>
                  </w:r>
                  <w:r>
                    <w:rPr>
                      <w:rFonts w:ascii="Lucida Sans Unicode"/>
                      <w:color w:val="231F20"/>
                      <w:spacing w:val="-7"/>
                      <w:sz w:val="13"/>
                    </w:rPr>
                    <w:t> </w:t>
                  </w:r>
                  <w:r>
                    <w:rPr>
                      <w:rFonts w:ascii="Lucida Sans Unicode"/>
                      <w:color w:val="231F20"/>
                      <w:w w:val="101"/>
                      <w:sz w:val="13"/>
                    </w:rPr>
                    <w:t>(en</w:t>
                  </w:r>
                  <w:r>
                    <w:rPr>
                      <w:rFonts w:ascii="Lucida Sans Unicode"/>
                      <w:color w:val="231F20"/>
                      <w:spacing w:val="-7"/>
                      <w:sz w:val="13"/>
                    </w:rPr>
                    <w:t> </w:t>
                  </w:r>
                  <w:r>
                    <w:rPr>
                      <w:rFonts w:ascii="Lucida Sans Unicode"/>
                      <w:color w:val="231F20"/>
                      <w:w w:val="99"/>
                      <w:sz w:val="13"/>
                    </w:rPr>
                    <w:t>una </w:t>
                  </w:r>
                  <w:r>
                    <w:rPr>
                      <w:rFonts w:ascii="Lucida Sans Unicode"/>
                      <w:color w:val="231F20"/>
                      <w:w w:val="101"/>
                      <w:sz w:val="13"/>
                    </w:rPr>
                    <w:t>pendiente,</w:t>
                  </w:r>
                  <w:r>
                    <w:rPr>
                      <w:rFonts w:ascii="Lucida Sans Unicode"/>
                      <w:color w:val="231F20"/>
                      <w:spacing w:val="-7"/>
                      <w:sz w:val="13"/>
                    </w:rPr>
                    <w:t> </w:t>
                  </w:r>
                  <w:r>
                    <w:rPr>
                      <w:rFonts w:ascii="Lucida Sans Unicode"/>
                      <w:color w:val="231F20"/>
                      <w:w w:val="99"/>
                      <w:sz w:val="13"/>
                    </w:rPr>
                    <w:t>cerro,</w:t>
                  </w:r>
                  <w:r>
                    <w:rPr>
                      <w:rFonts w:ascii="Lucida Sans Unicode"/>
                      <w:color w:val="231F20"/>
                      <w:spacing w:val="-7"/>
                      <w:sz w:val="13"/>
                    </w:rPr>
                    <w:t> </w:t>
                  </w:r>
                  <w:r>
                    <w:rPr>
                      <w:rFonts w:ascii="Lucida Sans Unicode"/>
                      <w:color w:val="231F20"/>
                      <w:w w:val="100"/>
                      <w:sz w:val="13"/>
                    </w:rPr>
                    <w:t>barda,</w:t>
                  </w:r>
                  <w:r>
                    <w:rPr>
                      <w:rFonts w:ascii="Lucida Sans Unicode"/>
                      <w:color w:val="231F20"/>
                      <w:spacing w:val="-7"/>
                      <w:sz w:val="13"/>
                    </w:rPr>
                    <w:t> </w:t>
                  </w:r>
                  <w:r>
                    <w:rPr>
                      <w:rFonts w:ascii="Lucida Sans Unicode"/>
                      <w:color w:val="231F20"/>
                      <w:w w:val="98"/>
                      <w:sz w:val="13"/>
                    </w:rPr>
                    <w:t>etc.)</w:t>
                  </w:r>
                </w:p>
              </w:txbxContent>
            </v:textbox>
            <w10:wrap type="none"/>
          </v:shape>
        </w:pict>
      </w:r>
      <w:r>
        <w:rPr/>
        <w:pict>
          <v:shape style="position:absolute;margin-left:292.102142pt;margin-top:13.370809pt;width:17.05pt;height:56.5pt;mso-position-horizontal-relative:page;mso-position-vertical-relative:paragraph;z-index:18856" type="#_x0000_t202" filled="false" stroked="false">
            <v:textbox inset="0,0,0,0" style="layout-flow:vertical;mso-layout-flow-alt:bottom-to-top">
              <w:txbxContent>
                <w:p>
                  <w:pPr>
                    <w:spacing w:line="196" w:lineRule="auto" w:before="3"/>
                    <w:ind w:left="279" w:right="-534" w:hanging="260"/>
                    <w:jc w:val="left"/>
                    <w:rPr>
                      <w:rFonts w:ascii="Lucida Sans Unicode" w:hAnsi="Lucida Sans Unicode"/>
                      <w:sz w:val="13"/>
                    </w:rPr>
                  </w:pPr>
                  <w:r>
                    <w:rPr>
                      <w:rFonts w:ascii="Lucida Sans Unicode" w:hAnsi="Lucida Sans Unicode"/>
                      <w:color w:val="231F20"/>
                      <w:w w:val="99"/>
                      <w:sz w:val="13"/>
                    </w:rPr>
                    <w:t>Animales</w:t>
                  </w:r>
                  <w:r>
                    <w:rPr>
                      <w:rFonts w:ascii="Lucida Sans Unicode" w:hAnsi="Lucida Sans Unicode"/>
                      <w:color w:val="231F20"/>
                      <w:spacing w:val="-7"/>
                      <w:sz w:val="13"/>
                    </w:rPr>
                    <w:t> </w:t>
                  </w:r>
                  <w:r>
                    <w:rPr>
                      <w:rFonts w:ascii="Lucida Sans Unicode" w:hAnsi="Lucida Sans Unicode"/>
                      <w:color w:val="231F20"/>
                      <w:w w:val="97"/>
                      <w:sz w:val="13"/>
                    </w:rPr>
                    <w:t>salvajes </w:t>
                  </w:r>
                  <w:r>
                    <w:rPr>
                      <w:rFonts w:ascii="Lucida Sans Unicode" w:hAnsi="Lucida Sans Unicode"/>
                      <w:color w:val="231F20"/>
                      <w:w w:val="97"/>
                      <w:sz w:val="13"/>
                    </w:rPr>
                    <w:t>(víboras,</w:t>
                  </w:r>
                  <w:r>
                    <w:rPr>
                      <w:rFonts w:ascii="Lucida Sans Unicode" w:hAnsi="Lucida Sans Unicode"/>
                      <w:color w:val="231F20"/>
                      <w:spacing w:val="-7"/>
                      <w:sz w:val="13"/>
                    </w:rPr>
                    <w:t> </w:t>
                  </w:r>
                  <w:r>
                    <w:rPr>
                      <w:rFonts w:ascii="Lucida Sans Unicode" w:hAnsi="Lucida Sans Unicode"/>
                      <w:color w:val="231F20"/>
                      <w:w w:val="98"/>
                      <w:sz w:val="13"/>
                    </w:rPr>
                    <w:t>etc.)</w:t>
                  </w:r>
                </w:p>
              </w:txbxContent>
            </v:textbox>
            <w10:wrap type="none"/>
          </v:shape>
        </w:pict>
      </w:r>
      <w:r>
        <w:rPr/>
        <w:pict>
          <v:shape style="position:absolute;margin-left:326.691223pt;margin-top:13.370808pt;width:8.85pt;height:71.5pt;mso-position-horizontal-relative:page;mso-position-vertical-relative:paragraph;z-index:18880" type="#_x0000_t202" filled="false" stroked="false">
            <v:textbox inset="0,0,0,0" style="layout-flow:vertical;mso-layout-flow-alt:bottom-to-top">
              <w:txbxContent>
                <w:p>
                  <w:pPr>
                    <w:spacing w:line="176" w:lineRule="exact" w:before="0"/>
                    <w:ind w:left="20" w:right="-403" w:firstLine="0"/>
                    <w:jc w:val="left"/>
                    <w:rPr>
                      <w:rFonts w:ascii="Lucida Sans Unicode"/>
                      <w:sz w:val="13"/>
                    </w:rPr>
                  </w:pPr>
                  <w:r>
                    <w:rPr>
                      <w:rFonts w:ascii="Lucida Sans Unicode"/>
                      <w:color w:val="231F20"/>
                      <w:w w:val="102"/>
                      <w:sz w:val="13"/>
                    </w:rPr>
                    <w:t>Perderse</w:t>
                  </w:r>
                  <w:r>
                    <w:rPr>
                      <w:rFonts w:ascii="Lucida Sans Unicode"/>
                      <w:color w:val="231F20"/>
                      <w:spacing w:val="-7"/>
                      <w:sz w:val="13"/>
                    </w:rPr>
                    <w:t> </w:t>
                  </w:r>
                  <w:r>
                    <w:rPr>
                      <w:rFonts w:ascii="Lucida Sans Unicode"/>
                      <w:color w:val="231F20"/>
                      <w:w w:val="102"/>
                      <w:sz w:val="13"/>
                    </w:rPr>
                    <w:t>en</w:t>
                  </w:r>
                  <w:r>
                    <w:rPr>
                      <w:rFonts w:ascii="Lucida Sans Unicode"/>
                      <w:color w:val="231F20"/>
                      <w:spacing w:val="-7"/>
                      <w:sz w:val="13"/>
                    </w:rPr>
                    <w:t> </w:t>
                  </w:r>
                  <w:r>
                    <w:rPr>
                      <w:rFonts w:ascii="Lucida Sans Unicode"/>
                      <w:color w:val="231F20"/>
                      <w:w w:val="102"/>
                      <w:sz w:val="13"/>
                    </w:rPr>
                    <w:t>el</w:t>
                  </w:r>
                  <w:r>
                    <w:rPr>
                      <w:rFonts w:ascii="Lucida Sans Unicode"/>
                      <w:color w:val="231F20"/>
                      <w:spacing w:val="-7"/>
                      <w:sz w:val="13"/>
                    </w:rPr>
                    <w:t> </w:t>
                  </w:r>
                  <w:r>
                    <w:rPr>
                      <w:rFonts w:ascii="Lucida Sans Unicode"/>
                      <w:color w:val="231F20"/>
                      <w:w w:val="100"/>
                      <w:sz w:val="13"/>
                    </w:rPr>
                    <w:t>camino</w:t>
                  </w:r>
                </w:p>
              </w:txbxContent>
            </v:textbox>
            <w10:wrap type="none"/>
          </v:shape>
        </w:pict>
      </w:r>
      <w:r>
        <w:rPr/>
        <w:pict>
          <v:shape style="position:absolute;margin-left:353.486176pt;margin-top:13.370808pt;width:17.05pt;height:73.2pt;mso-position-horizontal-relative:page;mso-position-vertical-relative:paragraph;z-index:18904" type="#_x0000_t202" filled="false" stroked="false">
            <v:textbox inset="0,0,0,0" style="layout-flow:vertical;mso-layout-flow-alt:bottom-to-top">
              <w:txbxContent>
                <w:p>
                  <w:pPr>
                    <w:spacing w:line="159" w:lineRule="exact" w:before="0"/>
                    <w:ind w:left="20" w:right="-331" w:firstLine="0"/>
                    <w:jc w:val="left"/>
                    <w:rPr>
                      <w:rFonts w:ascii="Lucida Sans Unicode" w:hAnsi="Lucida Sans Unicode"/>
                      <w:sz w:val="13"/>
                    </w:rPr>
                  </w:pPr>
                  <w:r>
                    <w:rPr>
                      <w:rFonts w:ascii="Lucida Sans Unicode" w:hAnsi="Lucida Sans Unicode"/>
                      <w:color w:val="231F20"/>
                      <w:w w:val="102"/>
                      <w:sz w:val="13"/>
                    </w:rPr>
                    <w:t>Accidente</w:t>
                  </w:r>
                  <w:r>
                    <w:rPr>
                      <w:rFonts w:ascii="Lucida Sans Unicode" w:hAnsi="Lucida Sans Unicode"/>
                      <w:color w:val="231F20"/>
                      <w:spacing w:val="-7"/>
                      <w:sz w:val="13"/>
                    </w:rPr>
                    <w:t> </w:t>
                  </w:r>
                  <w:r>
                    <w:rPr>
                      <w:rFonts w:ascii="Lucida Sans Unicode" w:hAnsi="Lucida Sans Unicode"/>
                      <w:color w:val="231F20"/>
                      <w:w w:val="103"/>
                      <w:sz w:val="13"/>
                    </w:rPr>
                    <w:t>del</w:t>
                  </w:r>
                  <w:r>
                    <w:rPr>
                      <w:rFonts w:ascii="Lucida Sans Unicode" w:hAnsi="Lucida Sans Unicode"/>
                      <w:color w:val="231F20"/>
                      <w:spacing w:val="-7"/>
                      <w:sz w:val="13"/>
                    </w:rPr>
                    <w:t> </w:t>
                  </w:r>
                  <w:r>
                    <w:rPr>
                      <w:rFonts w:ascii="Lucida Sans Unicode" w:hAnsi="Lucida Sans Unicode"/>
                      <w:color w:val="231F20"/>
                      <w:w w:val="100"/>
                      <w:sz w:val="13"/>
                    </w:rPr>
                    <w:t>vehículo</w:t>
                  </w:r>
                </w:p>
                <w:p>
                  <w:pPr>
                    <w:spacing w:line="181" w:lineRule="exact" w:before="0"/>
                    <w:ind w:left="608" w:right="-168" w:firstLine="0"/>
                    <w:jc w:val="left"/>
                    <w:rPr>
                      <w:rFonts w:ascii="Lucida Sans Unicode"/>
                      <w:sz w:val="13"/>
                    </w:rPr>
                  </w:pPr>
                  <w:r>
                    <w:rPr>
                      <w:rFonts w:ascii="Lucida Sans Unicode"/>
                      <w:color w:val="231F20"/>
                      <w:w w:val="102"/>
                      <w:sz w:val="13"/>
                    </w:rPr>
                    <w:t>en</w:t>
                  </w:r>
                  <w:r>
                    <w:rPr>
                      <w:rFonts w:ascii="Lucida Sans Unicode"/>
                      <w:color w:val="231F20"/>
                      <w:spacing w:val="-7"/>
                      <w:sz w:val="13"/>
                    </w:rPr>
                    <w:t> </w:t>
                  </w:r>
                  <w:r>
                    <w:rPr>
                      <w:rFonts w:ascii="Lucida Sans Unicode"/>
                      <w:color w:val="231F20"/>
                      <w:w w:val="104"/>
                      <w:sz w:val="13"/>
                    </w:rPr>
                    <w:t>donde</w:t>
                  </w:r>
                  <w:r>
                    <w:rPr>
                      <w:rFonts w:ascii="Lucida Sans Unicode"/>
                      <w:color w:val="231F20"/>
                      <w:spacing w:val="-7"/>
                      <w:sz w:val="13"/>
                    </w:rPr>
                    <w:t> </w:t>
                  </w:r>
                  <w:r>
                    <w:rPr>
                      <w:rFonts w:ascii="Lucida Sans Unicode"/>
                      <w:color w:val="231F20"/>
                      <w:w w:val="101"/>
                      <w:sz w:val="13"/>
                    </w:rPr>
                    <w:t>iba</w:t>
                  </w:r>
                </w:p>
              </w:txbxContent>
            </v:textbox>
            <w10:wrap type="none"/>
          </v:shape>
        </w:pict>
      </w:r>
      <w:r>
        <w:rPr/>
        <w:pict>
          <v:shape style="position:absolute;margin-left:388.525726pt;margin-top:13.746184pt;width:8.85pt;height:44.25pt;mso-position-horizontal-relative:page;mso-position-vertical-relative:paragraph;z-index:18928" type="#_x0000_t202" filled="false" stroked="false">
            <v:textbox inset="0,0,0,0" style="layout-flow:vertical;mso-layout-flow-alt:bottom-to-top">
              <w:txbxContent>
                <w:p>
                  <w:pPr>
                    <w:spacing w:line="176" w:lineRule="exact" w:before="0"/>
                    <w:ind w:left="20" w:right="-234" w:firstLine="0"/>
                    <w:jc w:val="left"/>
                    <w:rPr>
                      <w:rFonts w:ascii="Lucida Sans Unicode"/>
                      <w:sz w:val="13"/>
                    </w:rPr>
                  </w:pPr>
                  <w:r>
                    <w:rPr>
                      <w:rFonts w:ascii="Lucida Sans Unicode"/>
                      <w:color w:val="231F20"/>
                      <w:w w:val="99"/>
                      <w:sz w:val="13"/>
                    </w:rPr>
                    <w:t>Asalto</w:t>
                  </w:r>
                  <w:r>
                    <w:rPr>
                      <w:rFonts w:ascii="Lucida Sans Unicode"/>
                      <w:color w:val="231F20"/>
                      <w:spacing w:val="-7"/>
                      <w:sz w:val="13"/>
                    </w:rPr>
                    <w:t> </w:t>
                  </w:r>
                  <w:r>
                    <w:rPr>
                      <w:rFonts w:ascii="Lucida Sans Unicode"/>
                      <w:color w:val="231F20"/>
                      <w:w w:val="104"/>
                      <w:sz w:val="13"/>
                    </w:rPr>
                    <w:t>o</w:t>
                  </w:r>
                  <w:r>
                    <w:rPr>
                      <w:rFonts w:ascii="Lucida Sans Unicode"/>
                      <w:color w:val="231F20"/>
                      <w:spacing w:val="-7"/>
                      <w:sz w:val="13"/>
                    </w:rPr>
                    <w:t> </w:t>
                  </w:r>
                  <w:r>
                    <w:rPr>
                      <w:rFonts w:ascii="Lucida Sans Unicode"/>
                      <w:color w:val="231F20"/>
                      <w:w w:val="102"/>
                      <w:sz w:val="13"/>
                    </w:rPr>
                    <w:t>robo</w:t>
                  </w:r>
                </w:p>
              </w:txbxContent>
            </v:textbox>
            <w10:wrap type="none"/>
          </v:shape>
        </w:pict>
      </w:r>
      <w:r>
        <w:rPr/>
        <w:pict>
          <v:shape style="position:absolute;margin-left:417.324738pt;margin-top:13.370057pt;width:9.7pt;height:18.45pt;mso-position-horizontal-relative:page;mso-position-vertical-relative:paragraph;z-index:18952" type="#_x0000_t202" filled="false" stroked="false">
            <v:textbox inset="0,0,0,0" style="layout-flow:vertical;mso-layout-flow-alt:bottom-to-top">
              <w:txbxContent>
                <w:p>
                  <w:pPr>
                    <w:spacing w:line="194" w:lineRule="exact" w:before="0"/>
                    <w:ind w:left="20" w:right="-175" w:firstLine="0"/>
                    <w:jc w:val="left"/>
                    <w:rPr>
                      <w:rFonts w:ascii="Lucida Sans Unicode"/>
                      <w:sz w:val="15"/>
                    </w:rPr>
                  </w:pPr>
                  <w:r>
                    <w:rPr>
                      <w:rFonts w:ascii="Lucida Sans Unicode"/>
                      <w:color w:val="231F20"/>
                      <w:w w:val="100"/>
                      <w:sz w:val="15"/>
                    </w:rPr>
                    <w:t>Otro</w:t>
                  </w:r>
                </w:p>
              </w:txbxContent>
            </v:textbox>
            <w10:wrap type="none"/>
          </v:shape>
        </w:pict>
      </w:r>
      <w:r>
        <w:rPr>
          <w:rFonts w:ascii="Lucida Sans Unicode"/>
          <w:color w:val="231F20"/>
          <w:w w:val="96"/>
          <w:sz w:val="13"/>
        </w:rPr>
        <w:t>0</w:t>
      </w: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spacing w:before="12"/>
        <w:rPr>
          <w:rFonts w:ascii="Lucida Sans Unicode"/>
          <w:sz w:val="15"/>
        </w:rPr>
      </w:pPr>
    </w:p>
    <w:p>
      <w:pPr>
        <w:tabs>
          <w:tab w:pos="1709" w:val="left" w:leader="none"/>
          <w:tab w:pos="2542" w:val="left" w:leader="none"/>
        </w:tabs>
        <w:spacing w:before="56"/>
        <w:ind w:left="897" w:right="0" w:firstLine="0"/>
        <w:jc w:val="center"/>
        <w:rPr>
          <w:rFonts w:ascii="Comic Sans MS"/>
          <w:b/>
          <w:sz w:val="13"/>
        </w:rPr>
      </w:pPr>
      <w:r>
        <w:rPr/>
        <w:pict>
          <v:rect style="position:absolute;margin-left:225.104996pt;margin-top:4.390728pt;width:7.256pt;height:7.027pt;mso-position-horizontal-relative:page;mso-position-vertical-relative:paragraph;z-index:18544" filled="true" fillcolor="#58595b" stroked="false">
            <v:fill type="solid"/>
            <w10:wrap type="none"/>
          </v:rect>
        </w:pict>
      </w:r>
      <w:r>
        <w:rPr/>
        <w:pict>
          <v:rect style="position:absolute;margin-left:265.567993pt;margin-top:4.331728pt;width:7.255pt;height:7.086pt;mso-position-horizontal-relative:page;mso-position-vertical-relative:paragraph;z-index:-471616" filled="true" fillcolor="#a7a9ac" stroked="false">
            <v:fill type="solid"/>
            <w10:wrap type="none"/>
          </v:rect>
        </w:pict>
      </w:r>
      <w:r>
        <w:rPr/>
        <w:pict>
          <v:rect style="position:absolute;margin-left:307.118011pt;margin-top:4.332727pt;width:7.254pt;height:7.085pt;mso-position-horizontal-relative:page;mso-position-vertical-relative:paragraph;z-index:-471592" filled="true" fillcolor="#d1d3d4" stroked="false">
            <v:fill type="solid"/>
            <w10:wrap type="none"/>
          </v:rect>
        </w:pict>
      </w:r>
      <w:r>
        <w:rPr>
          <w:rFonts w:ascii="Comic Sans MS"/>
          <w:b/>
          <w:color w:val="231F20"/>
          <w:w w:val="105"/>
          <w:sz w:val="13"/>
        </w:rPr>
        <w:t>2007</w:t>
        <w:tab/>
        <w:t>2009</w:t>
        <w:tab/>
        <w:t>2012</w:t>
      </w:r>
    </w:p>
    <w:p>
      <w:pPr>
        <w:spacing w:before="35"/>
        <w:ind w:left="1837" w:right="0" w:firstLine="0"/>
        <w:jc w:val="both"/>
        <w:rPr>
          <w:sz w:val="16"/>
        </w:rPr>
      </w:pPr>
      <w:r>
        <w:rPr>
          <w:color w:val="231F20"/>
          <w:w w:val="105"/>
          <w:sz w:val="16"/>
        </w:rPr>
        <w:t>Fuente: elaboración propia con base en la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837" w:right="1721"/>
        <w:jc w:val="both"/>
      </w:pPr>
      <w:r>
        <w:rPr>
          <w:color w:val="231F20"/>
          <w:spacing w:val="-3"/>
          <w:w w:val="105"/>
        </w:rPr>
        <w:t>Siguiendo </w:t>
      </w:r>
      <w:r>
        <w:rPr>
          <w:color w:val="231F20"/>
          <w:w w:val="105"/>
        </w:rPr>
        <w:t>con la </w:t>
      </w:r>
      <w:r>
        <w:rPr>
          <w:color w:val="231F20"/>
          <w:spacing w:val="-3"/>
          <w:w w:val="105"/>
        </w:rPr>
        <w:t>población devuelta </w:t>
      </w:r>
      <w:r>
        <w:rPr>
          <w:color w:val="231F20"/>
          <w:w w:val="105"/>
        </w:rPr>
        <w:t>que </w:t>
      </w:r>
      <w:r>
        <w:rPr>
          <w:color w:val="231F20"/>
          <w:spacing w:val="-3"/>
          <w:w w:val="105"/>
        </w:rPr>
        <w:t>experimentó algún tipo </w:t>
      </w:r>
      <w:r>
        <w:rPr>
          <w:color w:val="231F20"/>
          <w:w w:val="105"/>
        </w:rPr>
        <w:t>de </w:t>
      </w:r>
      <w:r>
        <w:rPr>
          <w:color w:val="231F20"/>
          <w:spacing w:val="-3"/>
          <w:w w:val="105"/>
        </w:rPr>
        <w:t>ries- </w:t>
      </w:r>
      <w:r>
        <w:rPr>
          <w:color w:val="231F20"/>
          <w:w w:val="105"/>
        </w:rPr>
        <w:t>go</w:t>
      </w:r>
      <w:r>
        <w:rPr>
          <w:color w:val="231F20"/>
          <w:spacing w:val="-20"/>
          <w:w w:val="105"/>
        </w:rPr>
        <w:t> </w:t>
      </w:r>
      <w:r>
        <w:rPr>
          <w:color w:val="231F20"/>
          <w:spacing w:val="-3"/>
          <w:w w:val="105"/>
        </w:rPr>
        <w:t>durante</w:t>
      </w:r>
      <w:r>
        <w:rPr>
          <w:color w:val="231F20"/>
          <w:spacing w:val="-20"/>
          <w:w w:val="105"/>
        </w:rPr>
        <w:t> </w:t>
      </w:r>
      <w:r>
        <w:rPr>
          <w:color w:val="231F20"/>
          <w:w w:val="105"/>
        </w:rPr>
        <w:t>su</w:t>
      </w:r>
      <w:r>
        <w:rPr>
          <w:color w:val="231F20"/>
          <w:spacing w:val="-20"/>
          <w:w w:val="105"/>
        </w:rPr>
        <w:t> </w:t>
      </w:r>
      <w:r>
        <w:rPr>
          <w:color w:val="231F20"/>
          <w:spacing w:val="-3"/>
          <w:w w:val="105"/>
        </w:rPr>
        <w:t>experiencia</w:t>
      </w:r>
      <w:r>
        <w:rPr>
          <w:color w:val="231F20"/>
          <w:spacing w:val="-20"/>
          <w:w w:val="105"/>
        </w:rPr>
        <w:t> </w:t>
      </w:r>
      <w:r>
        <w:rPr>
          <w:color w:val="231F20"/>
          <w:w w:val="105"/>
        </w:rPr>
        <w:t>de</w:t>
      </w:r>
      <w:r>
        <w:rPr>
          <w:color w:val="231F20"/>
          <w:spacing w:val="-20"/>
          <w:w w:val="105"/>
        </w:rPr>
        <w:t> </w:t>
      </w:r>
      <w:r>
        <w:rPr>
          <w:color w:val="231F20"/>
          <w:spacing w:val="-3"/>
          <w:w w:val="105"/>
        </w:rPr>
        <w:t>cruce</w:t>
      </w:r>
      <w:r>
        <w:rPr>
          <w:color w:val="231F20"/>
          <w:spacing w:val="-20"/>
          <w:w w:val="105"/>
        </w:rPr>
        <w:t> </w:t>
      </w:r>
      <w:r>
        <w:rPr>
          <w:color w:val="231F20"/>
          <w:w w:val="105"/>
        </w:rPr>
        <w:t>al</w:t>
      </w:r>
      <w:r>
        <w:rPr>
          <w:color w:val="231F20"/>
          <w:spacing w:val="-20"/>
          <w:w w:val="105"/>
        </w:rPr>
        <w:t> </w:t>
      </w:r>
      <w:r>
        <w:rPr>
          <w:color w:val="231F20"/>
          <w:spacing w:val="-3"/>
          <w:w w:val="105"/>
        </w:rPr>
        <w:t>vecino</w:t>
      </w:r>
      <w:r>
        <w:rPr>
          <w:color w:val="231F20"/>
          <w:spacing w:val="-20"/>
          <w:w w:val="105"/>
        </w:rPr>
        <w:t> </w:t>
      </w:r>
      <w:r>
        <w:rPr>
          <w:color w:val="231F20"/>
          <w:spacing w:val="-3"/>
          <w:w w:val="105"/>
        </w:rPr>
        <w:t>país,</w:t>
      </w:r>
      <w:r>
        <w:rPr>
          <w:color w:val="231F20"/>
          <w:spacing w:val="-25"/>
          <w:w w:val="105"/>
        </w:rPr>
        <w:t> </w:t>
      </w:r>
      <w:r>
        <w:rPr>
          <w:color w:val="231F20"/>
          <w:spacing w:val="-3"/>
          <w:w w:val="105"/>
        </w:rPr>
        <w:t>observamos</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spacing w:val="-3"/>
          <w:w w:val="105"/>
        </w:rPr>
        <w:t>pro- porción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que</w:t>
      </w:r>
      <w:r>
        <w:rPr>
          <w:color w:val="231F20"/>
          <w:spacing w:val="-9"/>
          <w:w w:val="105"/>
        </w:rPr>
        <w:t> </w:t>
      </w:r>
      <w:r>
        <w:rPr>
          <w:color w:val="231F20"/>
          <w:spacing w:val="-4"/>
          <w:w w:val="105"/>
        </w:rPr>
        <w:t>recibieron</w:t>
      </w:r>
      <w:r>
        <w:rPr>
          <w:color w:val="231F20"/>
          <w:spacing w:val="-9"/>
          <w:w w:val="105"/>
        </w:rPr>
        <w:t> </w:t>
      </w:r>
      <w:r>
        <w:rPr>
          <w:color w:val="231F20"/>
          <w:spacing w:val="-3"/>
          <w:w w:val="105"/>
        </w:rPr>
        <w:t>ayuda</w:t>
      </w:r>
      <w:r>
        <w:rPr>
          <w:color w:val="231F20"/>
          <w:spacing w:val="-9"/>
          <w:w w:val="105"/>
        </w:rPr>
        <w:t> </w:t>
      </w:r>
      <w:r>
        <w:rPr>
          <w:color w:val="231F20"/>
          <w:w w:val="105"/>
        </w:rPr>
        <w:t>se</w:t>
      </w:r>
      <w:r>
        <w:rPr>
          <w:color w:val="231F20"/>
          <w:spacing w:val="-9"/>
          <w:w w:val="105"/>
        </w:rPr>
        <w:t> </w:t>
      </w:r>
      <w:r>
        <w:rPr>
          <w:color w:val="231F20"/>
          <w:spacing w:val="-3"/>
          <w:w w:val="105"/>
        </w:rPr>
        <w:t>incrementó</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3"/>
          <w:w w:val="105"/>
        </w:rPr>
        <w:t>periodo</w:t>
      </w:r>
      <w:r>
        <w:rPr>
          <w:color w:val="231F20"/>
          <w:spacing w:val="-9"/>
          <w:w w:val="105"/>
        </w:rPr>
        <w:t> </w:t>
      </w:r>
      <w:r>
        <w:rPr>
          <w:color w:val="231F20"/>
          <w:w w:val="105"/>
        </w:rPr>
        <w:t>de</w:t>
      </w:r>
      <w:r>
        <w:rPr>
          <w:color w:val="231F20"/>
          <w:spacing w:val="-9"/>
          <w:w w:val="105"/>
        </w:rPr>
        <w:t> </w:t>
      </w:r>
      <w:r>
        <w:rPr>
          <w:color w:val="231F20"/>
          <w:spacing w:val="-3"/>
          <w:w w:val="105"/>
        </w:rPr>
        <w:t>estu- dio,</w:t>
      </w:r>
      <w:r>
        <w:rPr>
          <w:color w:val="231F20"/>
          <w:spacing w:val="-19"/>
          <w:w w:val="105"/>
        </w:rPr>
        <w:t> </w:t>
      </w:r>
      <w:r>
        <w:rPr>
          <w:color w:val="231F20"/>
          <w:spacing w:val="-3"/>
          <w:w w:val="105"/>
        </w:rPr>
        <w:t>pasando</w:t>
      </w:r>
      <w:r>
        <w:rPr>
          <w:color w:val="231F20"/>
          <w:spacing w:val="-14"/>
          <w:w w:val="105"/>
        </w:rPr>
        <w:t> </w:t>
      </w:r>
      <w:r>
        <w:rPr>
          <w:color w:val="231F20"/>
          <w:w w:val="105"/>
        </w:rPr>
        <w:t>de</w:t>
      </w:r>
      <w:r>
        <w:rPr>
          <w:color w:val="231F20"/>
          <w:spacing w:val="-14"/>
          <w:w w:val="105"/>
        </w:rPr>
        <w:t> </w:t>
      </w:r>
      <w:r>
        <w:rPr>
          <w:color w:val="231F20"/>
          <w:spacing w:val="-3"/>
          <w:w w:val="105"/>
        </w:rPr>
        <w:t>7.8%</w:t>
      </w:r>
      <w:r>
        <w:rPr>
          <w:color w:val="231F20"/>
          <w:spacing w:val="-14"/>
          <w:w w:val="105"/>
        </w:rPr>
        <w:t> </w:t>
      </w:r>
      <w:r>
        <w:rPr>
          <w:color w:val="231F20"/>
          <w:w w:val="105"/>
        </w:rPr>
        <w:t>en</w:t>
      </w:r>
      <w:r>
        <w:rPr>
          <w:color w:val="231F20"/>
          <w:spacing w:val="-14"/>
          <w:w w:val="105"/>
        </w:rPr>
        <w:t> </w:t>
      </w:r>
      <w:r>
        <w:rPr>
          <w:color w:val="231F20"/>
          <w:spacing w:val="-3"/>
          <w:w w:val="105"/>
        </w:rPr>
        <w:t>2007</w:t>
      </w:r>
      <w:r>
        <w:rPr>
          <w:color w:val="231F20"/>
          <w:spacing w:val="-14"/>
          <w:w w:val="105"/>
        </w:rPr>
        <w:t> </w:t>
      </w:r>
      <w:r>
        <w:rPr>
          <w:color w:val="231F20"/>
          <w:w w:val="105"/>
        </w:rPr>
        <w:t>a</w:t>
      </w:r>
      <w:r>
        <w:rPr>
          <w:color w:val="231F20"/>
          <w:spacing w:val="-14"/>
          <w:w w:val="105"/>
        </w:rPr>
        <w:t> </w:t>
      </w:r>
      <w:r>
        <w:rPr>
          <w:color w:val="231F20"/>
          <w:spacing w:val="-3"/>
          <w:w w:val="105"/>
        </w:rPr>
        <w:t>5.7%</w:t>
      </w:r>
      <w:r>
        <w:rPr>
          <w:color w:val="231F20"/>
          <w:spacing w:val="-14"/>
          <w:w w:val="105"/>
        </w:rPr>
        <w:t> </w:t>
      </w:r>
      <w:r>
        <w:rPr>
          <w:color w:val="231F20"/>
          <w:w w:val="105"/>
        </w:rPr>
        <w:t>en</w:t>
      </w:r>
      <w:r>
        <w:rPr>
          <w:color w:val="231F20"/>
          <w:spacing w:val="-14"/>
          <w:w w:val="105"/>
        </w:rPr>
        <w:t> </w:t>
      </w:r>
      <w:r>
        <w:rPr>
          <w:color w:val="231F20"/>
          <w:spacing w:val="-3"/>
          <w:w w:val="105"/>
        </w:rPr>
        <w:t>2009</w:t>
      </w:r>
      <w:r>
        <w:rPr>
          <w:color w:val="231F20"/>
          <w:spacing w:val="-14"/>
          <w:w w:val="105"/>
        </w:rPr>
        <w:t> </w:t>
      </w:r>
      <w:r>
        <w:rPr>
          <w:color w:val="231F20"/>
          <w:w w:val="105"/>
        </w:rPr>
        <w:t>y</w:t>
      </w:r>
      <w:r>
        <w:rPr>
          <w:color w:val="231F20"/>
          <w:spacing w:val="-14"/>
          <w:w w:val="105"/>
        </w:rPr>
        <w:t> </w:t>
      </w:r>
      <w:r>
        <w:rPr>
          <w:color w:val="231F20"/>
          <w:spacing w:val="-3"/>
          <w:w w:val="105"/>
        </w:rPr>
        <w:t>20.1%</w:t>
      </w:r>
      <w:r>
        <w:rPr>
          <w:color w:val="231F20"/>
          <w:spacing w:val="-14"/>
          <w:w w:val="105"/>
        </w:rPr>
        <w:t> </w:t>
      </w:r>
      <w:r>
        <w:rPr>
          <w:color w:val="231F20"/>
          <w:w w:val="105"/>
        </w:rPr>
        <w:t>en</w:t>
      </w:r>
      <w:r>
        <w:rPr>
          <w:color w:val="231F20"/>
          <w:spacing w:val="-14"/>
          <w:w w:val="105"/>
        </w:rPr>
        <w:t> </w:t>
      </w:r>
      <w:r>
        <w:rPr>
          <w:color w:val="231F20"/>
          <w:spacing w:val="-3"/>
          <w:w w:val="105"/>
        </w:rPr>
        <w:t>2012.</w:t>
      </w:r>
      <w:r>
        <w:rPr>
          <w:color w:val="231F20"/>
          <w:spacing w:val="-19"/>
          <w:w w:val="105"/>
        </w:rPr>
        <w:t> </w:t>
      </w:r>
      <w:r>
        <w:rPr>
          <w:color w:val="231F20"/>
          <w:w w:val="105"/>
        </w:rPr>
        <w:t>En</w:t>
      </w:r>
      <w:r>
        <w:rPr>
          <w:color w:val="231F20"/>
          <w:spacing w:val="-14"/>
          <w:w w:val="105"/>
        </w:rPr>
        <w:t> </w:t>
      </w:r>
      <w:r>
        <w:rPr>
          <w:color w:val="231F20"/>
          <w:spacing w:val="-3"/>
          <w:w w:val="105"/>
        </w:rPr>
        <w:t>2007 </w:t>
      </w:r>
      <w:r>
        <w:rPr>
          <w:color w:val="231F20"/>
          <w:w w:val="105"/>
        </w:rPr>
        <w:t>y </w:t>
      </w:r>
      <w:r>
        <w:rPr>
          <w:color w:val="231F20"/>
          <w:spacing w:val="-3"/>
          <w:w w:val="105"/>
        </w:rPr>
        <w:t>2009, entre </w:t>
      </w:r>
      <w:r>
        <w:rPr>
          <w:color w:val="231F20"/>
          <w:w w:val="105"/>
        </w:rPr>
        <w:t>los </w:t>
      </w:r>
      <w:r>
        <w:rPr>
          <w:color w:val="231F20"/>
          <w:spacing w:val="-3"/>
          <w:w w:val="105"/>
        </w:rPr>
        <w:t>grupos </w:t>
      </w:r>
      <w:r>
        <w:rPr>
          <w:color w:val="231F20"/>
          <w:w w:val="105"/>
        </w:rPr>
        <w:t>de </w:t>
      </w:r>
      <w:r>
        <w:rPr>
          <w:color w:val="231F20"/>
          <w:spacing w:val="-3"/>
          <w:w w:val="105"/>
        </w:rPr>
        <w:t>ayuda destaca </w:t>
      </w:r>
      <w:r>
        <w:rPr>
          <w:color w:val="231F20"/>
          <w:w w:val="105"/>
        </w:rPr>
        <w:t>la </w:t>
      </w:r>
      <w:r>
        <w:rPr>
          <w:color w:val="231F20"/>
          <w:spacing w:val="-3"/>
          <w:w w:val="105"/>
        </w:rPr>
        <w:t>patrulla fronteriza (67.8% </w:t>
      </w:r>
      <w:r>
        <w:rPr>
          <w:color w:val="231F20"/>
          <w:w w:val="105"/>
        </w:rPr>
        <w:t>y </w:t>
      </w:r>
      <w:r>
        <w:rPr>
          <w:color w:val="231F20"/>
          <w:spacing w:val="-3"/>
          <w:w w:val="105"/>
        </w:rPr>
        <w:t>61.7%), </w:t>
      </w:r>
      <w:r>
        <w:rPr>
          <w:color w:val="231F20"/>
          <w:w w:val="105"/>
        </w:rPr>
        <w:t>sin </w:t>
      </w:r>
      <w:r>
        <w:rPr>
          <w:color w:val="231F20"/>
          <w:spacing w:val="-4"/>
          <w:w w:val="105"/>
        </w:rPr>
        <w:t>embargo, </w:t>
      </w:r>
      <w:r>
        <w:rPr>
          <w:color w:val="231F20"/>
          <w:w w:val="105"/>
        </w:rPr>
        <w:t>en </w:t>
      </w:r>
      <w:r>
        <w:rPr>
          <w:color w:val="231F20"/>
          <w:spacing w:val="-3"/>
          <w:w w:val="105"/>
        </w:rPr>
        <w:t>2012 </w:t>
      </w:r>
      <w:r>
        <w:rPr>
          <w:color w:val="231F20"/>
          <w:w w:val="105"/>
        </w:rPr>
        <w:t>el </w:t>
      </w:r>
      <w:r>
        <w:rPr>
          <w:color w:val="231F20"/>
          <w:spacing w:val="-3"/>
          <w:w w:val="105"/>
        </w:rPr>
        <w:t>apoyo otorgado </w:t>
      </w:r>
      <w:r>
        <w:rPr>
          <w:color w:val="231F20"/>
          <w:w w:val="105"/>
        </w:rPr>
        <w:t>por </w:t>
      </w:r>
      <w:r>
        <w:rPr>
          <w:color w:val="231F20"/>
          <w:spacing w:val="-3"/>
          <w:w w:val="105"/>
        </w:rPr>
        <w:t>esta figura </w:t>
      </w:r>
      <w:r>
        <w:rPr>
          <w:color w:val="231F20"/>
          <w:w w:val="105"/>
        </w:rPr>
        <w:t>se </w:t>
      </w:r>
      <w:r>
        <w:rPr>
          <w:color w:val="231F20"/>
          <w:spacing w:val="-3"/>
          <w:w w:val="105"/>
        </w:rPr>
        <w:t>situó </w:t>
      </w:r>
      <w:r>
        <w:rPr>
          <w:color w:val="231F20"/>
          <w:w w:val="105"/>
        </w:rPr>
        <w:t>en </w:t>
      </w:r>
      <w:r>
        <w:rPr>
          <w:color w:val="231F20"/>
          <w:spacing w:val="-3"/>
          <w:w w:val="105"/>
        </w:rPr>
        <w:t>12.5% </w:t>
      </w:r>
      <w:r>
        <w:rPr>
          <w:color w:val="231F20"/>
          <w:w w:val="105"/>
        </w:rPr>
        <w:t>de la </w:t>
      </w:r>
      <w:r>
        <w:rPr>
          <w:color w:val="231F20"/>
          <w:spacing w:val="-3"/>
          <w:w w:val="105"/>
        </w:rPr>
        <w:t>población migrante mexiquense devuelta, destacando en </w:t>
      </w:r>
      <w:r>
        <w:rPr>
          <w:color w:val="231F20"/>
          <w:w w:val="105"/>
        </w:rPr>
        <w:t>su</w:t>
      </w:r>
      <w:r>
        <w:rPr>
          <w:color w:val="231F20"/>
          <w:spacing w:val="-18"/>
          <w:w w:val="105"/>
        </w:rPr>
        <w:t> </w:t>
      </w:r>
      <w:r>
        <w:rPr>
          <w:color w:val="231F20"/>
          <w:spacing w:val="-3"/>
          <w:w w:val="105"/>
        </w:rPr>
        <w:t>lugar</w:t>
      </w:r>
      <w:r>
        <w:rPr>
          <w:color w:val="231F20"/>
          <w:spacing w:val="-18"/>
          <w:w w:val="105"/>
        </w:rPr>
        <w:t> </w:t>
      </w:r>
      <w:r>
        <w:rPr>
          <w:color w:val="231F20"/>
          <w:w w:val="105"/>
        </w:rPr>
        <w:t>la</w:t>
      </w:r>
      <w:r>
        <w:rPr>
          <w:color w:val="231F20"/>
          <w:spacing w:val="-18"/>
          <w:w w:val="105"/>
        </w:rPr>
        <w:t> </w:t>
      </w:r>
      <w:r>
        <w:rPr>
          <w:color w:val="231F20"/>
          <w:spacing w:val="-3"/>
          <w:w w:val="105"/>
        </w:rPr>
        <w:t>ayuda</w:t>
      </w:r>
      <w:r>
        <w:rPr>
          <w:color w:val="231F20"/>
          <w:spacing w:val="-18"/>
          <w:w w:val="105"/>
        </w:rPr>
        <w:t> </w:t>
      </w:r>
      <w:r>
        <w:rPr>
          <w:color w:val="231F20"/>
          <w:spacing w:val="-4"/>
          <w:w w:val="105"/>
        </w:rPr>
        <w:t>proporcionada</w:t>
      </w:r>
      <w:r>
        <w:rPr>
          <w:color w:val="231F20"/>
          <w:spacing w:val="-18"/>
          <w:w w:val="105"/>
        </w:rPr>
        <w:t> </w:t>
      </w:r>
      <w:r>
        <w:rPr>
          <w:color w:val="231F20"/>
          <w:w w:val="105"/>
        </w:rPr>
        <w:t>por</w:t>
      </w:r>
      <w:r>
        <w:rPr>
          <w:color w:val="231F20"/>
          <w:spacing w:val="-18"/>
          <w:w w:val="105"/>
        </w:rPr>
        <w:t> </w:t>
      </w:r>
      <w:r>
        <w:rPr>
          <w:color w:val="231F20"/>
          <w:spacing w:val="-3"/>
          <w:w w:val="105"/>
        </w:rPr>
        <w:t>otros</w:t>
      </w:r>
      <w:r>
        <w:rPr>
          <w:color w:val="231F20"/>
          <w:spacing w:val="-18"/>
          <w:w w:val="105"/>
        </w:rPr>
        <w:t> </w:t>
      </w:r>
      <w:r>
        <w:rPr>
          <w:color w:val="231F20"/>
          <w:spacing w:val="-3"/>
          <w:w w:val="105"/>
        </w:rPr>
        <w:t>migrantes</w:t>
      </w:r>
      <w:r>
        <w:rPr>
          <w:color w:val="231F20"/>
          <w:spacing w:val="-18"/>
          <w:w w:val="105"/>
        </w:rPr>
        <w:t> </w:t>
      </w:r>
      <w:r>
        <w:rPr>
          <w:color w:val="231F20"/>
          <w:spacing w:val="-3"/>
          <w:w w:val="105"/>
        </w:rPr>
        <w:t>(47.5%).</w:t>
      </w:r>
    </w:p>
    <w:p>
      <w:pPr>
        <w:pStyle w:val="BodyText"/>
        <w:spacing w:line="261" w:lineRule="auto" w:before="1"/>
        <w:ind w:left="1837" w:right="1719" w:firstLine="567"/>
        <w:jc w:val="both"/>
      </w:pPr>
      <w:r>
        <w:rPr>
          <w:color w:val="231F20"/>
          <w:w w:val="105"/>
        </w:rPr>
        <w:t>En lo que respecta a la contratación de “coyotes” o “polleros” por parte de la población migrante mexiquense, se observa que la mayor parte de los devueltos hizo uso de esta figura, registrándose incluso</w:t>
      </w:r>
      <w:r>
        <w:rPr>
          <w:color w:val="231F20"/>
          <w:spacing w:val="-22"/>
          <w:w w:val="105"/>
        </w:rPr>
        <w:t> </w:t>
      </w:r>
      <w:r>
        <w:rPr>
          <w:color w:val="231F20"/>
          <w:w w:val="105"/>
        </w:rPr>
        <w:t>un ligero</w:t>
      </w:r>
      <w:r>
        <w:rPr>
          <w:color w:val="231F20"/>
          <w:spacing w:val="-16"/>
          <w:w w:val="105"/>
        </w:rPr>
        <w:t> </w:t>
      </w:r>
      <w:r>
        <w:rPr>
          <w:color w:val="231F20"/>
          <w:w w:val="105"/>
        </w:rPr>
        <w:t>aumento</w:t>
      </w:r>
      <w:r>
        <w:rPr>
          <w:color w:val="231F20"/>
          <w:spacing w:val="-16"/>
          <w:w w:val="105"/>
        </w:rPr>
        <w:t> </w:t>
      </w:r>
      <w:r>
        <w:rPr>
          <w:color w:val="231F20"/>
          <w:w w:val="105"/>
        </w:rPr>
        <w:t>de</w:t>
      </w:r>
      <w:r>
        <w:rPr>
          <w:color w:val="231F20"/>
          <w:spacing w:val="-16"/>
          <w:w w:val="105"/>
        </w:rPr>
        <w:t> </w:t>
      </w:r>
      <w:r>
        <w:rPr>
          <w:color w:val="231F20"/>
          <w:w w:val="105"/>
        </w:rPr>
        <w:t>2007</w:t>
      </w:r>
      <w:r>
        <w:rPr>
          <w:color w:val="231F20"/>
          <w:spacing w:val="-16"/>
          <w:w w:val="105"/>
        </w:rPr>
        <w:t> </w:t>
      </w:r>
      <w:r>
        <w:rPr>
          <w:color w:val="231F20"/>
          <w:w w:val="105"/>
        </w:rPr>
        <w:t>(61%)</w:t>
      </w:r>
      <w:r>
        <w:rPr>
          <w:color w:val="231F20"/>
          <w:spacing w:val="-16"/>
          <w:w w:val="105"/>
        </w:rPr>
        <w:t> </w:t>
      </w:r>
      <w:r>
        <w:rPr>
          <w:color w:val="231F20"/>
          <w:w w:val="105"/>
        </w:rPr>
        <w:t>a</w:t>
      </w:r>
      <w:r>
        <w:rPr>
          <w:color w:val="231F20"/>
          <w:spacing w:val="-16"/>
          <w:w w:val="105"/>
        </w:rPr>
        <w:t> </w:t>
      </w:r>
      <w:r>
        <w:rPr>
          <w:color w:val="231F20"/>
          <w:w w:val="105"/>
        </w:rPr>
        <w:t>2012</w:t>
      </w:r>
      <w:r>
        <w:rPr>
          <w:color w:val="231F20"/>
          <w:spacing w:val="-16"/>
          <w:w w:val="105"/>
        </w:rPr>
        <w:t> </w:t>
      </w:r>
      <w:r>
        <w:rPr>
          <w:color w:val="231F20"/>
          <w:w w:val="105"/>
        </w:rPr>
        <w:t>(70.2%).</w:t>
      </w:r>
      <w:r>
        <w:rPr>
          <w:color w:val="231F20"/>
          <w:spacing w:val="-22"/>
          <w:w w:val="105"/>
        </w:rPr>
        <w:t> </w:t>
      </w:r>
      <w:r>
        <w:rPr>
          <w:color w:val="231F20"/>
          <w:w w:val="105"/>
        </w:rPr>
        <w:t>De</w:t>
      </w:r>
      <w:r>
        <w:rPr>
          <w:color w:val="231F20"/>
          <w:spacing w:val="-16"/>
          <w:w w:val="105"/>
        </w:rPr>
        <w:t> </w:t>
      </w:r>
      <w:r>
        <w:rPr>
          <w:color w:val="231F20"/>
          <w:w w:val="105"/>
        </w:rPr>
        <w:t>aquéllos</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valie- ron</w:t>
      </w:r>
      <w:r>
        <w:rPr>
          <w:color w:val="231F20"/>
          <w:spacing w:val="-14"/>
          <w:w w:val="105"/>
        </w:rPr>
        <w:t> </w:t>
      </w:r>
      <w:r>
        <w:rPr>
          <w:color w:val="231F20"/>
          <w:w w:val="105"/>
        </w:rPr>
        <w:t>de</w:t>
      </w:r>
      <w:r>
        <w:rPr>
          <w:color w:val="231F20"/>
          <w:spacing w:val="-14"/>
          <w:w w:val="105"/>
        </w:rPr>
        <w:t> </w:t>
      </w:r>
      <w:r>
        <w:rPr>
          <w:color w:val="231F20"/>
          <w:w w:val="105"/>
        </w:rPr>
        <w:t>estas</w:t>
      </w:r>
      <w:r>
        <w:rPr>
          <w:color w:val="231F20"/>
          <w:spacing w:val="-14"/>
          <w:w w:val="105"/>
        </w:rPr>
        <w:t> </w:t>
      </w:r>
      <w:r>
        <w:rPr>
          <w:color w:val="231F20"/>
          <w:w w:val="105"/>
        </w:rPr>
        <w:t>figuras</w:t>
      </w:r>
      <w:r>
        <w:rPr>
          <w:color w:val="231F20"/>
          <w:spacing w:val="-14"/>
          <w:w w:val="105"/>
        </w:rPr>
        <w:t> </w:t>
      </w:r>
      <w:r>
        <w:rPr>
          <w:color w:val="231F20"/>
          <w:w w:val="105"/>
        </w:rPr>
        <w:t>para</w:t>
      </w:r>
      <w:r>
        <w:rPr>
          <w:color w:val="231F20"/>
          <w:spacing w:val="-14"/>
          <w:w w:val="105"/>
        </w:rPr>
        <w:t> </w:t>
      </w:r>
      <w:r>
        <w:rPr>
          <w:color w:val="231F20"/>
          <w:w w:val="105"/>
        </w:rPr>
        <w:t>cruzar</w:t>
      </w:r>
      <w:r>
        <w:rPr>
          <w:color w:val="231F20"/>
          <w:spacing w:val="-14"/>
          <w:w w:val="105"/>
        </w:rPr>
        <w:t> </w:t>
      </w:r>
      <w:r>
        <w:rPr>
          <w:color w:val="231F20"/>
          <w:w w:val="105"/>
        </w:rPr>
        <w:t>se</w:t>
      </w:r>
      <w:r>
        <w:rPr>
          <w:color w:val="231F20"/>
          <w:spacing w:val="-14"/>
          <w:w w:val="105"/>
        </w:rPr>
        <w:t> </w:t>
      </w:r>
      <w:r>
        <w:rPr>
          <w:color w:val="231F20"/>
          <w:w w:val="105"/>
        </w:rPr>
        <w:t>estima</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mayor</w:t>
      </w:r>
      <w:r>
        <w:rPr>
          <w:color w:val="231F20"/>
          <w:spacing w:val="-14"/>
          <w:w w:val="105"/>
        </w:rPr>
        <w:t> </w:t>
      </w:r>
      <w:r>
        <w:rPr>
          <w:color w:val="231F20"/>
          <w:w w:val="105"/>
        </w:rPr>
        <w:t>parte</w:t>
      </w:r>
      <w:r>
        <w:rPr>
          <w:color w:val="231F20"/>
          <w:spacing w:val="-14"/>
          <w:w w:val="105"/>
        </w:rPr>
        <w:t> </w:t>
      </w:r>
      <w:r>
        <w:rPr>
          <w:color w:val="231F20"/>
          <w:w w:val="105"/>
        </w:rPr>
        <w:t>lo</w:t>
      </w:r>
      <w:r>
        <w:rPr>
          <w:color w:val="231F20"/>
          <w:spacing w:val="-14"/>
          <w:w w:val="105"/>
        </w:rPr>
        <w:t> </w:t>
      </w:r>
      <w:r>
        <w:rPr>
          <w:color w:val="231F20"/>
          <w:w w:val="105"/>
        </w:rPr>
        <w:t>contrató en</w:t>
      </w:r>
      <w:r>
        <w:rPr>
          <w:color w:val="231F20"/>
          <w:spacing w:val="-16"/>
          <w:w w:val="105"/>
        </w:rPr>
        <w:t> </w:t>
      </w:r>
      <w:r>
        <w:rPr>
          <w:color w:val="231F20"/>
          <w:w w:val="105"/>
        </w:rPr>
        <w:t>la</w:t>
      </w:r>
      <w:r>
        <w:rPr>
          <w:color w:val="231F20"/>
          <w:spacing w:val="-16"/>
          <w:w w:val="105"/>
        </w:rPr>
        <w:t> </w:t>
      </w:r>
      <w:r>
        <w:rPr>
          <w:color w:val="231F20"/>
          <w:w w:val="105"/>
        </w:rPr>
        <w:t>ciudad</w:t>
      </w:r>
      <w:r>
        <w:rPr>
          <w:color w:val="231F20"/>
          <w:spacing w:val="-16"/>
          <w:w w:val="105"/>
        </w:rPr>
        <w:t> </w:t>
      </w:r>
      <w:r>
        <w:rPr>
          <w:color w:val="231F20"/>
          <w:w w:val="105"/>
        </w:rPr>
        <w:t>fronteriza</w:t>
      </w:r>
      <w:r>
        <w:rPr>
          <w:color w:val="231F20"/>
          <w:spacing w:val="-16"/>
          <w:w w:val="105"/>
        </w:rPr>
        <w:t> </w:t>
      </w:r>
      <w:r>
        <w:rPr>
          <w:color w:val="231F20"/>
          <w:w w:val="105"/>
        </w:rPr>
        <w:t>de</w:t>
      </w:r>
      <w:r>
        <w:rPr>
          <w:color w:val="231F20"/>
          <w:spacing w:val="-16"/>
          <w:w w:val="105"/>
        </w:rPr>
        <w:t> </w:t>
      </w:r>
      <w:r>
        <w:rPr>
          <w:color w:val="231F20"/>
          <w:w w:val="105"/>
        </w:rPr>
        <w:t>cruce:</w:t>
      </w:r>
      <w:r>
        <w:rPr>
          <w:color w:val="231F20"/>
          <w:spacing w:val="-16"/>
          <w:w w:val="105"/>
        </w:rPr>
        <w:t> </w:t>
      </w:r>
      <w:r>
        <w:rPr>
          <w:color w:val="231F20"/>
          <w:w w:val="105"/>
        </w:rPr>
        <w:t>66.5%</w:t>
      </w:r>
      <w:r>
        <w:rPr>
          <w:color w:val="231F20"/>
          <w:spacing w:val="-16"/>
          <w:w w:val="105"/>
        </w:rPr>
        <w:t> </w:t>
      </w:r>
      <w:r>
        <w:rPr>
          <w:color w:val="231F20"/>
          <w:w w:val="105"/>
        </w:rPr>
        <w:t>en</w:t>
      </w:r>
      <w:r>
        <w:rPr>
          <w:color w:val="231F20"/>
          <w:spacing w:val="-16"/>
          <w:w w:val="105"/>
        </w:rPr>
        <w:t> </w:t>
      </w:r>
      <w:r>
        <w:rPr>
          <w:color w:val="231F20"/>
          <w:w w:val="105"/>
        </w:rPr>
        <w:t>2007,</w:t>
      </w:r>
      <w:r>
        <w:rPr>
          <w:color w:val="231F20"/>
          <w:spacing w:val="-22"/>
          <w:w w:val="105"/>
        </w:rPr>
        <w:t> </w:t>
      </w:r>
      <w:r>
        <w:rPr>
          <w:color w:val="231F20"/>
          <w:w w:val="105"/>
        </w:rPr>
        <w:t>44.8%</w:t>
      </w:r>
      <w:r>
        <w:rPr>
          <w:color w:val="231F20"/>
          <w:spacing w:val="-16"/>
          <w:w w:val="105"/>
        </w:rPr>
        <w:t> </w:t>
      </w:r>
      <w:r>
        <w:rPr>
          <w:color w:val="231F20"/>
          <w:w w:val="105"/>
        </w:rPr>
        <w:t>en</w:t>
      </w:r>
      <w:r>
        <w:rPr>
          <w:color w:val="231F20"/>
          <w:spacing w:val="-16"/>
          <w:w w:val="105"/>
        </w:rPr>
        <w:t> </w:t>
      </w:r>
      <w:r>
        <w:rPr>
          <w:color w:val="231F20"/>
          <w:w w:val="105"/>
        </w:rPr>
        <w:t>2009</w:t>
      </w:r>
      <w:r>
        <w:rPr>
          <w:color w:val="231F20"/>
          <w:spacing w:val="-16"/>
          <w:w w:val="105"/>
        </w:rPr>
        <w:t> </w:t>
      </w:r>
      <w:r>
        <w:rPr>
          <w:color w:val="231F20"/>
          <w:w w:val="105"/>
        </w:rPr>
        <w:t>y</w:t>
      </w:r>
      <w:r>
        <w:rPr>
          <w:color w:val="231F20"/>
          <w:spacing w:val="-16"/>
          <w:w w:val="105"/>
        </w:rPr>
        <w:t> </w:t>
      </w:r>
      <w:r>
        <w:rPr>
          <w:color w:val="231F20"/>
          <w:w w:val="105"/>
        </w:rPr>
        <w:t>53.8% en 2012. En segundo orden se encuentran los que contrataron los ser- vicios de estas personas desde su lugar de origen o en el trayecto a la ciudad</w:t>
      </w:r>
      <w:r>
        <w:rPr>
          <w:color w:val="231F20"/>
          <w:spacing w:val="-5"/>
          <w:w w:val="105"/>
        </w:rPr>
        <w:t> </w:t>
      </w:r>
      <w:r>
        <w:rPr>
          <w:color w:val="231F20"/>
          <w:w w:val="105"/>
        </w:rPr>
        <w:t>fronteriza.</w:t>
      </w:r>
    </w:p>
    <w:p>
      <w:pPr>
        <w:pStyle w:val="BodyText"/>
        <w:spacing w:line="261" w:lineRule="auto" w:before="1"/>
        <w:ind w:left="1837" w:right="1721" w:firstLine="567"/>
        <w:jc w:val="both"/>
      </w:pPr>
      <w:r>
        <w:rPr/>
        <w:pict>
          <v:line style="position:absolute;mso-position-horizontal-relative:page;mso-position-vertical-relative:paragraph;z-index:-471520" from="15pt,168.705597pt" to="0pt,168.705597pt" stroked="true" strokeweight=".25pt" strokecolor="#000000">
            <w10:wrap type="none"/>
          </v:line>
        </w:pict>
      </w:r>
      <w:r>
        <w:rPr/>
        <w:pict>
          <v:line style="position:absolute;mso-position-horizontal-relative:page;mso-position-vertical-relative:paragraph;z-index:18688" from="508.890015pt,168.705597pt" to="523.890015pt,168.705597pt" stroked="true" strokeweight=".25pt" strokecolor="#000000">
            <w10:wrap type="none"/>
          </v:line>
        </w:pict>
      </w:r>
      <w:r>
        <w:rPr>
          <w:color w:val="231F20"/>
          <w:w w:val="105"/>
        </w:rPr>
        <w:t>Sin</w:t>
      </w:r>
      <w:r>
        <w:rPr>
          <w:color w:val="231F20"/>
          <w:spacing w:val="-23"/>
          <w:w w:val="105"/>
        </w:rPr>
        <w:t> </w:t>
      </w:r>
      <w:r>
        <w:rPr>
          <w:color w:val="231F20"/>
          <w:spacing w:val="-3"/>
          <w:w w:val="105"/>
        </w:rPr>
        <w:t>embargo,</w:t>
      </w:r>
      <w:r>
        <w:rPr>
          <w:color w:val="231F20"/>
          <w:spacing w:val="-28"/>
          <w:w w:val="105"/>
        </w:rPr>
        <w:t> </w:t>
      </w:r>
      <w:r>
        <w:rPr>
          <w:color w:val="231F20"/>
          <w:w w:val="105"/>
        </w:rPr>
        <w:t>es</w:t>
      </w:r>
      <w:r>
        <w:rPr>
          <w:color w:val="231F20"/>
          <w:spacing w:val="-23"/>
          <w:w w:val="105"/>
        </w:rPr>
        <w:t> </w:t>
      </w:r>
      <w:r>
        <w:rPr>
          <w:color w:val="231F20"/>
          <w:w w:val="105"/>
        </w:rPr>
        <w:t>importante</w:t>
      </w:r>
      <w:r>
        <w:rPr>
          <w:color w:val="231F20"/>
          <w:spacing w:val="-23"/>
          <w:w w:val="105"/>
        </w:rPr>
        <w:t> </w:t>
      </w:r>
      <w:r>
        <w:rPr>
          <w:color w:val="231F20"/>
          <w:w w:val="105"/>
        </w:rPr>
        <w:t>señalar</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spacing w:val="-3"/>
          <w:w w:val="105"/>
        </w:rPr>
        <w:t>contratación</w:t>
      </w:r>
      <w:r>
        <w:rPr>
          <w:color w:val="231F20"/>
          <w:spacing w:val="-23"/>
          <w:w w:val="105"/>
        </w:rPr>
        <w:t> </w:t>
      </w:r>
      <w:r>
        <w:rPr>
          <w:color w:val="231F20"/>
          <w:w w:val="105"/>
        </w:rPr>
        <w:t>de</w:t>
      </w:r>
      <w:r>
        <w:rPr>
          <w:color w:val="231F20"/>
          <w:spacing w:val="-23"/>
          <w:w w:val="105"/>
        </w:rPr>
        <w:t> </w:t>
      </w:r>
      <w:r>
        <w:rPr>
          <w:color w:val="231F20"/>
          <w:w w:val="105"/>
        </w:rPr>
        <w:t>un</w:t>
      </w:r>
      <w:r>
        <w:rPr>
          <w:color w:val="231F20"/>
          <w:spacing w:val="-23"/>
          <w:w w:val="105"/>
        </w:rPr>
        <w:t> </w:t>
      </w:r>
      <w:r>
        <w:rPr>
          <w:color w:val="231F20"/>
          <w:w w:val="105"/>
        </w:rPr>
        <w:t>coyo- te</w:t>
      </w:r>
      <w:r>
        <w:rPr>
          <w:color w:val="231F20"/>
          <w:spacing w:val="-29"/>
          <w:w w:val="105"/>
        </w:rPr>
        <w:t> </w:t>
      </w:r>
      <w:r>
        <w:rPr>
          <w:color w:val="231F20"/>
          <w:w w:val="105"/>
        </w:rPr>
        <w:t>o</w:t>
      </w:r>
      <w:r>
        <w:rPr>
          <w:color w:val="231F20"/>
          <w:spacing w:val="-29"/>
          <w:w w:val="105"/>
        </w:rPr>
        <w:t> </w:t>
      </w:r>
      <w:r>
        <w:rPr>
          <w:color w:val="231F20"/>
          <w:spacing w:val="-3"/>
          <w:w w:val="105"/>
        </w:rPr>
        <w:t>pollero</w:t>
      </w:r>
      <w:r>
        <w:rPr>
          <w:color w:val="231F20"/>
          <w:spacing w:val="-29"/>
          <w:w w:val="105"/>
        </w:rPr>
        <w:t> </w:t>
      </w:r>
      <w:r>
        <w:rPr>
          <w:color w:val="231F20"/>
          <w:w w:val="105"/>
        </w:rPr>
        <w:t>no</w:t>
      </w:r>
      <w:r>
        <w:rPr>
          <w:color w:val="231F20"/>
          <w:spacing w:val="-29"/>
          <w:w w:val="105"/>
        </w:rPr>
        <w:t> </w:t>
      </w:r>
      <w:r>
        <w:rPr>
          <w:color w:val="231F20"/>
          <w:w w:val="105"/>
        </w:rPr>
        <w:t>necesariamente</w:t>
      </w:r>
      <w:r>
        <w:rPr>
          <w:color w:val="231F20"/>
          <w:spacing w:val="-29"/>
          <w:w w:val="105"/>
        </w:rPr>
        <w:t> </w:t>
      </w:r>
      <w:r>
        <w:rPr>
          <w:color w:val="231F20"/>
          <w:w w:val="105"/>
        </w:rPr>
        <w:t>garantiza</w:t>
      </w:r>
      <w:r>
        <w:rPr>
          <w:color w:val="231F20"/>
          <w:spacing w:val="-29"/>
          <w:w w:val="105"/>
        </w:rPr>
        <w:t> </w:t>
      </w:r>
      <w:r>
        <w:rPr>
          <w:color w:val="231F20"/>
          <w:w w:val="105"/>
        </w:rPr>
        <w:t>éxito</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cruce,</w:t>
      </w:r>
      <w:r>
        <w:rPr>
          <w:color w:val="231F20"/>
          <w:spacing w:val="-33"/>
          <w:w w:val="105"/>
        </w:rPr>
        <w:t> </w:t>
      </w:r>
      <w:r>
        <w:rPr>
          <w:color w:val="231F20"/>
          <w:w w:val="105"/>
        </w:rPr>
        <w:t>como</w:t>
      </w:r>
      <w:r>
        <w:rPr>
          <w:color w:val="231F20"/>
          <w:spacing w:val="-29"/>
          <w:w w:val="105"/>
        </w:rPr>
        <w:t> </w:t>
      </w:r>
      <w:r>
        <w:rPr>
          <w:color w:val="231F20"/>
          <w:w w:val="105"/>
        </w:rPr>
        <w:t>tampoco la llegada al destino </w:t>
      </w:r>
      <w:r>
        <w:rPr>
          <w:color w:val="231F20"/>
          <w:spacing w:val="-3"/>
          <w:w w:val="105"/>
        </w:rPr>
        <w:t>previsto </w:t>
      </w:r>
      <w:r>
        <w:rPr>
          <w:color w:val="231F20"/>
          <w:w w:val="105"/>
        </w:rPr>
        <w:t>en el vecino país, en la medida en que en el</w:t>
      </w:r>
      <w:r>
        <w:rPr>
          <w:color w:val="231F20"/>
          <w:spacing w:val="-11"/>
          <w:w w:val="105"/>
        </w:rPr>
        <w:t> </w:t>
      </w:r>
      <w:r>
        <w:rPr>
          <w:color w:val="231F20"/>
          <w:w w:val="105"/>
        </w:rPr>
        <w:t>periodo</w:t>
      </w:r>
      <w:r>
        <w:rPr>
          <w:color w:val="231F20"/>
          <w:spacing w:val="-11"/>
          <w:w w:val="105"/>
        </w:rPr>
        <w:t> </w:t>
      </w:r>
      <w:r>
        <w:rPr>
          <w:color w:val="231F20"/>
          <w:w w:val="105"/>
        </w:rPr>
        <w:t>de</w:t>
      </w:r>
      <w:r>
        <w:rPr>
          <w:color w:val="231F20"/>
          <w:spacing w:val="-11"/>
          <w:w w:val="105"/>
        </w:rPr>
        <w:t> </w:t>
      </w:r>
      <w:r>
        <w:rPr>
          <w:color w:val="231F20"/>
          <w:w w:val="105"/>
        </w:rPr>
        <w:t>observación</w:t>
      </w:r>
      <w:r>
        <w:rPr>
          <w:color w:val="231F20"/>
          <w:spacing w:val="-11"/>
          <w:w w:val="105"/>
        </w:rPr>
        <w:t> </w:t>
      </w:r>
      <w:r>
        <w:rPr>
          <w:color w:val="231F20"/>
          <w:w w:val="105"/>
        </w:rPr>
        <w:t>se</w:t>
      </w:r>
      <w:r>
        <w:rPr>
          <w:color w:val="231F20"/>
          <w:spacing w:val="-11"/>
          <w:w w:val="105"/>
        </w:rPr>
        <w:t> </w:t>
      </w:r>
      <w:r>
        <w:rPr>
          <w:color w:val="231F20"/>
          <w:w w:val="105"/>
        </w:rPr>
        <w:t>estima</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spacing w:val="-3"/>
          <w:w w:val="105"/>
        </w:rPr>
        <w:t>proporción</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que</w:t>
      </w:r>
      <w:r>
        <w:rPr>
          <w:color w:val="231F20"/>
          <w:spacing w:val="-11"/>
          <w:w w:val="105"/>
        </w:rPr>
        <w:t> </w:t>
      </w:r>
      <w:r>
        <w:rPr>
          <w:color w:val="231F20"/>
          <w:spacing w:val="-3"/>
          <w:w w:val="105"/>
        </w:rPr>
        <w:t>fueron </w:t>
      </w:r>
      <w:r>
        <w:rPr>
          <w:color w:val="231F20"/>
          <w:w w:val="105"/>
        </w:rPr>
        <w:t>abandonados</w:t>
      </w:r>
      <w:r>
        <w:rPr>
          <w:color w:val="231F20"/>
          <w:spacing w:val="-8"/>
          <w:w w:val="105"/>
        </w:rPr>
        <w:t> </w:t>
      </w:r>
      <w:r>
        <w:rPr>
          <w:color w:val="231F20"/>
          <w:w w:val="105"/>
        </w:rPr>
        <w:t>fluctúa</w:t>
      </w:r>
      <w:r>
        <w:rPr>
          <w:color w:val="231F20"/>
          <w:spacing w:val="-8"/>
          <w:w w:val="105"/>
        </w:rPr>
        <w:t> </w:t>
      </w:r>
      <w:r>
        <w:rPr>
          <w:color w:val="231F20"/>
          <w:spacing w:val="-3"/>
          <w:w w:val="105"/>
        </w:rPr>
        <w:t>entre</w:t>
      </w:r>
      <w:r>
        <w:rPr>
          <w:color w:val="231F20"/>
          <w:spacing w:val="-8"/>
          <w:w w:val="105"/>
        </w:rPr>
        <w:t> </w:t>
      </w:r>
      <w:r>
        <w:rPr>
          <w:color w:val="231F20"/>
          <w:w w:val="105"/>
        </w:rPr>
        <w:t>44.8%</w:t>
      </w:r>
      <w:r>
        <w:rPr>
          <w:color w:val="231F20"/>
          <w:spacing w:val="-8"/>
          <w:w w:val="105"/>
        </w:rPr>
        <w:t> </w:t>
      </w:r>
      <w:r>
        <w:rPr>
          <w:color w:val="231F20"/>
          <w:w w:val="105"/>
        </w:rPr>
        <w:t>y</w:t>
      </w:r>
      <w:r>
        <w:rPr>
          <w:color w:val="231F20"/>
          <w:spacing w:val="-8"/>
          <w:w w:val="105"/>
        </w:rPr>
        <w:t> </w:t>
      </w:r>
      <w:r>
        <w:rPr>
          <w:color w:val="231F20"/>
          <w:w w:val="105"/>
        </w:rPr>
        <w:t>66.5%.</w:t>
      </w:r>
      <w:r>
        <w:rPr>
          <w:color w:val="231F20"/>
          <w:spacing w:val="-15"/>
          <w:w w:val="105"/>
        </w:rPr>
        <w:t> </w:t>
      </w:r>
      <w:r>
        <w:rPr>
          <w:color w:val="231F20"/>
          <w:w w:val="105"/>
        </w:rPr>
        <w:t>A</w:t>
      </w:r>
      <w:r>
        <w:rPr>
          <w:color w:val="231F20"/>
          <w:spacing w:val="-11"/>
          <w:w w:val="105"/>
        </w:rPr>
        <w:t> </w:t>
      </w:r>
      <w:r>
        <w:rPr>
          <w:color w:val="231F20"/>
          <w:w w:val="105"/>
        </w:rPr>
        <w:t>pesar</w:t>
      </w:r>
      <w:r>
        <w:rPr>
          <w:color w:val="231F20"/>
          <w:spacing w:val="-8"/>
          <w:w w:val="105"/>
        </w:rPr>
        <w:t> </w:t>
      </w:r>
      <w:r>
        <w:rPr>
          <w:color w:val="231F20"/>
          <w:w w:val="105"/>
        </w:rPr>
        <w:t>de</w:t>
      </w:r>
      <w:r>
        <w:rPr>
          <w:color w:val="231F20"/>
          <w:spacing w:val="-8"/>
          <w:w w:val="105"/>
        </w:rPr>
        <w:t> </w:t>
      </w:r>
      <w:r>
        <w:rPr>
          <w:color w:val="231F20"/>
          <w:w w:val="105"/>
        </w:rPr>
        <w:t>ello,</w:t>
      </w:r>
      <w:r>
        <w:rPr>
          <w:color w:val="231F20"/>
          <w:spacing w:val="-13"/>
          <w:w w:val="105"/>
        </w:rPr>
        <w:t> </w:t>
      </w:r>
      <w:r>
        <w:rPr>
          <w:color w:val="231F20"/>
          <w:w w:val="105"/>
        </w:rPr>
        <w:t>vemos</w:t>
      </w:r>
      <w:r>
        <w:rPr>
          <w:color w:val="231F20"/>
          <w:spacing w:val="-8"/>
          <w:w w:val="105"/>
        </w:rPr>
        <w:t> </w:t>
      </w:r>
      <w:r>
        <w:rPr>
          <w:color w:val="231F20"/>
          <w:w w:val="105"/>
        </w:rPr>
        <w:t>tam- bién</w:t>
      </w:r>
      <w:r>
        <w:rPr>
          <w:color w:val="231F20"/>
          <w:spacing w:val="-15"/>
          <w:w w:val="105"/>
        </w:rPr>
        <w:t> </w:t>
      </w:r>
      <w:r>
        <w:rPr>
          <w:color w:val="231F20"/>
          <w:w w:val="105"/>
        </w:rPr>
        <w:t>que</w:t>
      </w:r>
      <w:r>
        <w:rPr>
          <w:color w:val="231F20"/>
          <w:spacing w:val="-15"/>
          <w:w w:val="105"/>
        </w:rPr>
        <w:t> </w:t>
      </w:r>
      <w:r>
        <w:rPr>
          <w:color w:val="231F20"/>
          <w:w w:val="105"/>
        </w:rPr>
        <w:t>la</w:t>
      </w:r>
      <w:r>
        <w:rPr>
          <w:color w:val="231F20"/>
          <w:spacing w:val="-15"/>
          <w:w w:val="105"/>
        </w:rPr>
        <w:t> </w:t>
      </w:r>
      <w:r>
        <w:rPr>
          <w:color w:val="231F20"/>
          <w:spacing w:val="-3"/>
          <w:w w:val="105"/>
        </w:rPr>
        <w:t>representación</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personas</w:t>
      </w:r>
      <w:r>
        <w:rPr>
          <w:color w:val="231F20"/>
          <w:spacing w:val="-15"/>
          <w:w w:val="105"/>
        </w:rPr>
        <w:t> </w:t>
      </w:r>
      <w:r>
        <w:rPr>
          <w:color w:val="231F20"/>
          <w:w w:val="105"/>
        </w:rPr>
        <w:t>que</w:t>
      </w:r>
      <w:r>
        <w:rPr>
          <w:color w:val="231F20"/>
          <w:spacing w:val="-15"/>
          <w:w w:val="105"/>
        </w:rPr>
        <w:t> </w:t>
      </w:r>
      <w:r>
        <w:rPr>
          <w:color w:val="231F20"/>
          <w:spacing w:val="-3"/>
          <w:w w:val="105"/>
        </w:rPr>
        <w:t>llegaron</w:t>
      </w:r>
      <w:r>
        <w:rPr>
          <w:color w:val="231F20"/>
          <w:spacing w:val="-15"/>
          <w:w w:val="105"/>
        </w:rPr>
        <w:t> </w:t>
      </w:r>
      <w:r>
        <w:rPr>
          <w:color w:val="231F20"/>
          <w:w w:val="105"/>
        </w:rPr>
        <w:t>al</w:t>
      </w:r>
      <w:r>
        <w:rPr>
          <w:color w:val="231F20"/>
          <w:spacing w:val="-15"/>
          <w:w w:val="105"/>
        </w:rPr>
        <w:t> </w:t>
      </w:r>
      <w:r>
        <w:rPr>
          <w:color w:val="231F20"/>
          <w:w w:val="105"/>
        </w:rPr>
        <w:t>lugar</w:t>
      </w:r>
      <w:r>
        <w:rPr>
          <w:color w:val="231F20"/>
          <w:spacing w:val="-15"/>
          <w:w w:val="105"/>
        </w:rPr>
        <w:t> </w:t>
      </w:r>
      <w:r>
        <w:rPr>
          <w:color w:val="231F20"/>
          <w:w w:val="105"/>
        </w:rPr>
        <w:t>pactado con</w:t>
      </w:r>
      <w:r>
        <w:rPr>
          <w:color w:val="231F20"/>
          <w:spacing w:val="-26"/>
          <w:w w:val="105"/>
        </w:rPr>
        <w:t> </w:t>
      </w:r>
      <w:r>
        <w:rPr>
          <w:color w:val="231F20"/>
          <w:w w:val="105"/>
        </w:rPr>
        <w:t>el</w:t>
      </w:r>
      <w:r>
        <w:rPr>
          <w:color w:val="231F20"/>
          <w:spacing w:val="-26"/>
          <w:w w:val="105"/>
        </w:rPr>
        <w:t> </w:t>
      </w:r>
      <w:r>
        <w:rPr>
          <w:color w:val="231F20"/>
          <w:w w:val="105"/>
        </w:rPr>
        <w:t>coyote</w:t>
      </w:r>
      <w:r>
        <w:rPr>
          <w:color w:val="231F20"/>
          <w:spacing w:val="-26"/>
          <w:w w:val="105"/>
        </w:rPr>
        <w:t> </w:t>
      </w:r>
      <w:r>
        <w:rPr>
          <w:color w:val="231F20"/>
          <w:w w:val="105"/>
        </w:rPr>
        <w:t>pasó</w:t>
      </w:r>
      <w:r>
        <w:rPr>
          <w:color w:val="231F20"/>
          <w:spacing w:val="-26"/>
          <w:w w:val="105"/>
        </w:rPr>
        <w:t> </w:t>
      </w:r>
      <w:r>
        <w:rPr>
          <w:color w:val="231F20"/>
          <w:w w:val="105"/>
        </w:rPr>
        <w:t>de</w:t>
      </w:r>
      <w:r>
        <w:rPr>
          <w:color w:val="231F20"/>
          <w:spacing w:val="-26"/>
          <w:w w:val="105"/>
        </w:rPr>
        <w:t> </w:t>
      </w:r>
      <w:r>
        <w:rPr>
          <w:color w:val="231F20"/>
          <w:w w:val="105"/>
        </w:rPr>
        <w:t>7.3%</w:t>
      </w:r>
      <w:r>
        <w:rPr>
          <w:color w:val="231F20"/>
          <w:spacing w:val="-26"/>
          <w:w w:val="105"/>
        </w:rPr>
        <w:t> </w:t>
      </w:r>
      <w:r>
        <w:rPr>
          <w:color w:val="231F20"/>
          <w:w w:val="105"/>
        </w:rPr>
        <w:t>a</w:t>
      </w:r>
      <w:r>
        <w:rPr>
          <w:color w:val="231F20"/>
          <w:spacing w:val="-26"/>
          <w:w w:val="105"/>
        </w:rPr>
        <w:t> </w:t>
      </w:r>
      <w:r>
        <w:rPr>
          <w:color w:val="231F20"/>
          <w:w w:val="105"/>
        </w:rPr>
        <w:t>44.2%</w:t>
      </w:r>
      <w:r>
        <w:rPr>
          <w:color w:val="231F20"/>
          <w:spacing w:val="-26"/>
          <w:w w:val="105"/>
        </w:rPr>
        <w:t> </w:t>
      </w:r>
      <w:r>
        <w:rPr>
          <w:color w:val="231F20"/>
          <w:w w:val="105"/>
        </w:rPr>
        <w:t>de</w:t>
      </w:r>
      <w:r>
        <w:rPr>
          <w:color w:val="231F20"/>
          <w:spacing w:val="-26"/>
          <w:w w:val="105"/>
        </w:rPr>
        <w:t> </w:t>
      </w:r>
      <w:r>
        <w:rPr>
          <w:color w:val="231F20"/>
          <w:w w:val="105"/>
        </w:rPr>
        <w:t>2007</w:t>
      </w:r>
      <w:r>
        <w:rPr>
          <w:color w:val="231F20"/>
          <w:spacing w:val="-26"/>
          <w:w w:val="105"/>
        </w:rPr>
        <w:t> </w:t>
      </w:r>
      <w:r>
        <w:rPr>
          <w:color w:val="231F20"/>
          <w:w w:val="105"/>
        </w:rPr>
        <w:t>a</w:t>
      </w:r>
      <w:r>
        <w:rPr>
          <w:color w:val="231F20"/>
          <w:spacing w:val="-26"/>
          <w:w w:val="105"/>
        </w:rPr>
        <w:t> </w:t>
      </w:r>
      <w:r>
        <w:rPr>
          <w:color w:val="231F20"/>
          <w:w w:val="105"/>
        </w:rPr>
        <w:t>2012</w:t>
      </w:r>
      <w:r>
        <w:rPr>
          <w:color w:val="231F20"/>
          <w:spacing w:val="-26"/>
          <w:w w:val="105"/>
        </w:rPr>
        <w:t> </w:t>
      </w:r>
      <w:r>
        <w:rPr>
          <w:color w:val="231F20"/>
          <w:w w:val="105"/>
        </w:rPr>
        <w:t>(véase</w:t>
      </w:r>
      <w:r>
        <w:rPr>
          <w:color w:val="231F20"/>
          <w:spacing w:val="-26"/>
          <w:w w:val="105"/>
        </w:rPr>
        <w:t> </w:t>
      </w:r>
      <w:r>
        <w:rPr>
          <w:color w:val="231F20"/>
          <w:w w:val="105"/>
        </w:rPr>
        <w:t>gráfica</w:t>
      </w:r>
      <w:r>
        <w:rPr>
          <w:color w:val="231F20"/>
          <w:spacing w:val="-26"/>
          <w:w w:val="105"/>
        </w:rPr>
        <w:t> </w:t>
      </w:r>
      <w:r>
        <w:rPr>
          <w:color w:val="231F20"/>
          <w:spacing w:val="-2"/>
          <w:w w:val="105"/>
        </w:rPr>
        <w:t>9).</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19096" from="15pt,-71.68644pt" to="0pt,-71.68644pt" stroked="true" strokeweight=".25pt" strokecolor="#000000">
            <w10:wrap type="none"/>
          </v:line>
        </w:pict>
      </w:r>
      <w:r>
        <w:rPr/>
        <w:pict>
          <v:line style="position:absolute;mso-position-horizontal-relative:page;mso-position-vertical-relative:paragraph;z-index:19120" from="508.890015pt,-71.68644pt" to="523.890015pt,-71.68644pt" stroked="true" strokeweight=".25pt" strokecolor="#000000">
            <w10:wrap type="none"/>
          </v:line>
        </w:pict>
      </w:r>
      <w:r>
        <w:rPr>
          <w:color w:val="231F20"/>
          <w:spacing w:val="-6"/>
          <w:w w:val="105"/>
        </w:rPr>
        <w:t>Por </w:t>
      </w:r>
      <w:r>
        <w:rPr>
          <w:color w:val="231F20"/>
          <w:w w:val="105"/>
        </w:rPr>
        <w:t>la naturaleza del flujo, se estima que la proporción de los que</w:t>
      </w:r>
      <w:r>
        <w:rPr>
          <w:color w:val="231F20"/>
          <w:spacing w:val="-29"/>
          <w:w w:val="105"/>
        </w:rPr>
        <w:t> </w:t>
      </w:r>
      <w:r>
        <w:rPr>
          <w:color w:val="231F20"/>
          <w:w w:val="105"/>
        </w:rPr>
        <w:t>lleva- ban</w:t>
      </w:r>
      <w:r>
        <w:rPr>
          <w:color w:val="231F20"/>
          <w:spacing w:val="-23"/>
          <w:w w:val="105"/>
        </w:rPr>
        <w:t> </w:t>
      </w:r>
      <w:r>
        <w:rPr>
          <w:color w:val="231F20"/>
          <w:w w:val="105"/>
        </w:rPr>
        <w:t>algún</w:t>
      </w:r>
      <w:r>
        <w:rPr>
          <w:color w:val="231F20"/>
          <w:spacing w:val="-23"/>
          <w:w w:val="105"/>
        </w:rPr>
        <w:t> </w:t>
      </w:r>
      <w:r>
        <w:rPr>
          <w:color w:val="231F20"/>
          <w:w w:val="105"/>
        </w:rPr>
        <w:t>documento</w:t>
      </w:r>
      <w:r>
        <w:rPr>
          <w:color w:val="231F20"/>
          <w:spacing w:val="-23"/>
          <w:w w:val="105"/>
        </w:rPr>
        <w:t> </w:t>
      </w:r>
      <w:r>
        <w:rPr>
          <w:color w:val="231F20"/>
          <w:w w:val="105"/>
        </w:rPr>
        <w:t>para</w:t>
      </w:r>
      <w:r>
        <w:rPr>
          <w:color w:val="231F20"/>
          <w:spacing w:val="-23"/>
          <w:w w:val="105"/>
        </w:rPr>
        <w:t> </w:t>
      </w:r>
      <w:r>
        <w:rPr>
          <w:color w:val="231F20"/>
          <w:w w:val="105"/>
        </w:rPr>
        <w:t>cruzar</w:t>
      </w:r>
      <w:r>
        <w:rPr>
          <w:color w:val="231F20"/>
          <w:spacing w:val="-23"/>
          <w:w w:val="105"/>
        </w:rPr>
        <w:t> </w:t>
      </w:r>
      <w:r>
        <w:rPr>
          <w:color w:val="231F20"/>
          <w:w w:val="105"/>
        </w:rPr>
        <w:t>a</w:t>
      </w:r>
      <w:r>
        <w:rPr>
          <w:color w:val="231F20"/>
          <w:spacing w:val="-23"/>
          <w:w w:val="105"/>
        </w:rPr>
        <w:t> </w:t>
      </w:r>
      <w:r>
        <w:rPr>
          <w:color w:val="231F20"/>
          <w:w w:val="105"/>
        </w:rPr>
        <w:t>Estados</w:t>
      </w:r>
      <w:r>
        <w:rPr>
          <w:color w:val="231F20"/>
          <w:spacing w:val="-23"/>
          <w:w w:val="105"/>
        </w:rPr>
        <w:t> </w:t>
      </w:r>
      <w:r>
        <w:rPr>
          <w:color w:val="231F20"/>
          <w:w w:val="105"/>
        </w:rPr>
        <w:t>Unidos</w:t>
      </w:r>
      <w:r>
        <w:rPr>
          <w:color w:val="231F20"/>
          <w:spacing w:val="-23"/>
          <w:w w:val="105"/>
        </w:rPr>
        <w:t> </w:t>
      </w:r>
      <w:r>
        <w:rPr>
          <w:color w:val="231F20"/>
          <w:w w:val="105"/>
        </w:rPr>
        <w:t>es</w:t>
      </w:r>
      <w:r>
        <w:rPr>
          <w:color w:val="231F20"/>
          <w:spacing w:val="-23"/>
          <w:w w:val="105"/>
        </w:rPr>
        <w:t> </w:t>
      </w:r>
      <w:r>
        <w:rPr>
          <w:color w:val="231F20"/>
          <w:w w:val="105"/>
        </w:rPr>
        <w:t>muy</w:t>
      </w:r>
      <w:r>
        <w:rPr>
          <w:color w:val="231F20"/>
          <w:spacing w:val="-23"/>
          <w:w w:val="105"/>
        </w:rPr>
        <w:t> </w:t>
      </w:r>
      <w:r>
        <w:rPr>
          <w:color w:val="231F20"/>
          <w:w w:val="105"/>
        </w:rPr>
        <w:t>baja:</w:t>
      </w:r>
      <w:r>
        <w:rPr>
          <w:color w:val="231F20"/>
          <w:spacing w:val="-23"/>
          <w:w w:val="105"/>
        </w:rPr>
        <w:t> </w:t>
      </w:r>
      <w:r>
        <w:rPr>
          <w:color w:val="231F20"/>
          <w:w w:val="105"/>
        </w:rPr>
        <w:t>12%</w:t>
      </w:r>
      <w:r>
        <w:rPr>
          <w:color w:val="231F20"/>
          <w:spacing w:val="-23"/>
          <w:w w:val="105"/>
        </w:rPr>
        <w:t> </w:t>
      </w:r>
      <w:r>
        <w:rPr>
          <w:color w:val="231F20"/>
          <w:w w:val="105"/>
        </w:rPr>
        <w:t>en 2007,</w:t>
      </w:r>
      <w:r>
        <w:rPr>
          <w:color w:val="231F20"/>
          <w:spacing w:val="-20"/>
          <w:w w:val="105"/>
        </w:rPr>
        <w:t> </w:t>
      </w:r>
      <w:r>
        <w:rPr>
          <w:color w:val="231F20"/>
          <w:w w:val="105"/>
        </w:rPr>
        <w:t>3.5%</w:t>
      </w:r>
      <w:r>
        <w:rPr>
          <w:color w:val="231F20"/>
          <w:spacing w:val="-14"/>
          <w:w w:val="105"/>
        </w:rPr>
        <w:t> </w:t>
      </w:r>
      <w:r>
        <w:rPr>
          <w:color w:val="231F20"/>
          <w:w w:val="105"/>
        </w:rPr>
        <w:t>en</w:t>
      </w:r>
      <w:r>
        <w:rPr>
          <w:color w:val="231F20"/>
          <w:spacing w:val="-14"/>
          <w:w w:val="105"/>
        </w:rPr>
        <w:t> </w:t>
      </w:r>
      <w:r>
        <w:rPr>
          <w:color w:val="231F20"/>
          <w:w w:val="105"/>
        </w:rPr>
        <w:t>2009</w:t>
      </w:r>
      <w:r>
        <w:rPr>
          <w:color w:val="231F20"/>
          <w:spacing w:val="-14"/>
          <w:w w:val="105"/>
        </w:rPr>
        <w:t> </w:t>
      </w:r>
      <w:r>
        <w:rPr>
          <w:color w:val="231F20"/>
          <w:w w:val="105"/>
        </w:rPr>
        <w:t>y</w:t>
      </w:r>
      <w:r>
        <w:rPr>
          <w:color w:val="231F20"/>
          <w:spacing w:val="-14"/>
          <w:w w:val="105"/>
        </w:rPr>
        <w:t> </w:t>
      </w:r>
      <w:r>
        <w:rPr>
          <w:color w:val="231F20"/>
          <w:w w:val="105"/>
        </w:rPr>
        <w:t>5.2%</w:t>
      </w:r>
      <w:r>
        <w:rPr>
          <w:color w:val="231F20"/>
          <w:spacing w:val="-14"/>
          <w:w w:val="105"/>
        </w:rPr>
        <w:t> </w:t>
      </w:r>
      <w:r>
        <w:rPr>
          <w:color w:val="231F20"/>
          <w:w w:val="105"/>
        </w:rPr>
        <w:t>en</w:t>
      </w:r>
      <w:r>
        <w:rPr>
          <w:color w:val="231F20"/>
          <w:spacing w:val="-14"/>
          <w:w w:val="105"/>
        </w:rPr>
        <w:t> </w:t>
      </w:r>
      <w:r>
        <w:rPr>
          <w:color w:val="231F20"/>
          <w:w w:val="105"/>
        </w:rPr>
        <w:t>2012.</w:t>
      </w:r>
      <w:r>
        <w:rPr>
          <w:color w:val="231F20"/>
          <w:spacing w:val="-20"/>
          <w:w w:val="105"/>
        </w:rPr>
        <w:t> </w:t>
      </w:r>
      <w:r>
        <w:rPr>
          <w:color w:val="231F20"/>
          <w:w w:val="105"/>
        </w:rPr>
        <w:t>Siendo</w:t>
      </w:r>
      <w:r>
        <w:rPr>
          <w:color w:val="231F20"/>
          <w:spacing w:val="-14"/>
          <w:w w:val="105"/>
        </w:rPr>
        <w:t> </w:t>
      </w:r>
      <w:r>
        <w:rPr>
          <w:color w:val="231F20"/>
          <w:w w:val="105"/>
        </w:rPr>
        <w:t>menor</w:t>
      </w:r>
      <w:r>
        <w:rPr>
          <w:color w:val="231F20"/>
          <w:spacing w:val="-14"/>
          <w:w w:val="105"/>
        </w:rPr>
        <w:t> </w:t>
      </w:r>
      <w:r>
        <w:rPr>
          <w:color w:val="231F20"/>
          <w:w w:val="105"/>
        </w:rPr>
        <w:t>todavía</w:t>
      </w:r>
      <w:r>
        <w:rPr>
          <w:color w:val="231F20"/>
          <w:spacing w:val="-14"/>
          <w:w w:val="105"/>
        </w:rPr>
        <w:t> </w:t>
      </w:r>
      <w:r>
        <w:rPr>
          <w:color w:val="231F20"/>
          <w:w w:val="105"/>
        </w:rPr>
        <w:t>la</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que llevaban algún documento para trabajar, con un porcentaje que fluctuó entre 0.2% y 1.7% en el periodo de observación. Finalmente, es</w:t>
      </w:r>
      <w:r>
        <w:rPr>
          <w:color w:val="231F20"/>
          <w:spacing w:val="-15"/>
          <w:w w:val="105"/>
        </w:rPr>
        <w:t> </w:t>
      </w:r>
      <w:r>
        <w:rPr>
          <w:color w:val="231F20"/>
          <w:w w:val="105"/>
        </w:rPr>
        <w:t>impor- tante</w:t>
      </w:r>
      <w:r>
        <w:rPr>
          <w:color w:val="231F20"/>
          <w:spacing w:val="-17"/>
          <w:w w:val="105"/>
        </w:rPr>
        <w:t> </w:t>
      </w:r>
      <w:r>
        <w:rPr>
          <w:color w:val="231F20"/>
          <w:w w:val="105"/>
        </w:rPr>
        <w:t>señalar</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mismo</w:t>
      </w:r>
      <w:r>
        <w:rPr>
          <w:color w:val="231F20"/>
          <w:spacing w:val="-17"/>
          <w:w w:val="105"/>
        </w:rPr>
        <w:t> </w:t>
      </w:r>
      <w:r>
        <w:rPr>
          <w:color w:val="231F20"/>
          <w:w w:val="105"/>
        </w:rPr>
        <w:t>lapso</w:t>
      </w:r>
      <w:r>
        <w:rPr>
          <w:color w:val="231F20"/>
          <w:spacing w:val="-17"/>
          <w:w w:val="105"/>
        </w:rPr>
        <w:t> </w:t>
      </w:r>
      <w:r>
        <w:rPr>
          <w:color w:val="231F20"/>
          <w:w w:val="105"/>
        </w:rPr>
        <w:t>de</w:t>
      </w:r>
      <w:r>
        <w:rPr>
          <w:color w:val="231F20"/>
          <w:spacing w:val="-17"/>
          <w:w w:val="105"/>
        </w:rPr>
        <w:t> </w:t>
      </w:r>
      <w:r>
        <w:rPr>
          <w:color w:val="231F20"/>
          <w:w w:val="105"/>
        </w:rPr>
        <w:t>tiempo</w:t>
      </w:r>
      <w:r>
        <w:rPr>
          <w:color w:val="231F20"/>
          <w:spacing w:val="-17"/>
          <w:w w:val="105"/>
        </w:rPr>
        <w:t> </w:t>
      </w:r>
      <w:r>
        <w:rPr>
          <w:color w:val="231F20"/>
          <w:w w:val="105"/>
        </w:rPr>
        <w:t>se</w:t>
      </w:r>
      <w:r>
        <w:rPr>
          <w:color w:val="231F20"/>
          <w:spacing w:val="-17"/>
          <w:w w:val="105"/>
        </w:rPr>
        <w:t> </w:t>
      </w:r>
      <w:r>
        <w:rPr>
          <w:color w:val="231F20"/>
          <w:w w:val="105"/>
        </w:rPr>
        <w:t>distingue</w:t>
      </w:r>
      <w:r>
        <w:rPr>
          <w:color w:val="231F20"/>
          <w:spacing w:val="-17"/>
          <w:w w:val="105"/>
        </w:rPr>
        <w:t> </w:t>
      </w:r>
      <w:r>
        <w:rPr>
          <w:color w:val="231F20"/>
          <w:w w:val="105"/>
        </w:rPr>
        <w:t>una</w:t>
      </w:r>
      <w:r>
        <w:rPr>
          <w:color w:val="231F20"/>
          <w:spacing w:val="-17"/>
          <w:w w:val="105"/>
        </w:rPr>
        <w:t> </w:t>
      </w:r>
      <w:r>
        <w:rPr>
          <w:color w:val="231F20"/>
          <w:w w:val="105"/>
        </w:rPr>
        <w:t>dismi- nución de la población que no ha realizado trámites para obtener</w:t>
      </w:r>
      <w:r>
        <w:rPr>
          <w:color w:val="231F20"/>
          <w:spacing w:val="-26"/>
          <w:w w:val="105"/>
        </w:rPr>
        <w:t> </w:t>
      </w:r>
      <w:r>
        <w:rPr>
          <w:color w:val="231F20"/>
          <w:w w:val="105"/>
        </w:rPr>
        <w:t>algún documento en Estados Unidos, pasando de 98.9% a 88.6% de 2007 a 2012. En este último año, 3.2% tramitó documentos para entrar a ese país,</w:t>
      </w:r>
      <w:r>
        <w:rPr>
          <w:color w:val="231F20"/>
          <w:spacing w:val="-39"/>
          <w:w w:val="105"/>
        </w:rPr>
        <w:t> </w:t>
      </w:r>
      <w:r>
        <w:rPr>
          <w:color w:val="231F20"/>
          <w:w w:val="105"/>
        </w:rPr>
        <w:t>2.4%</w:t>
      </w:r>
      <w:r>
        <w:rPr>
          <w:color w:val="231F20"/>
          <w:spacing w:val="-35"/>
          <w:w w:val="105"/>
        </w:rPr>
        <w:t> </w:t>
      </w:r>
      <w:r>
        <w:rPr>
          <w:color w:val="231F20"/>
          <w:w w:val="105"/>
        </w:rPr>
        <w:t>para</w:t>
      </w:r>
      <w:r>
        <w:rPr>
          <w:color w:val="231F20"/>
          <w:spacing w:val="-35"/>
          <w:w w:val="105"/>
        </w:rPr>
        <w:t> </w:t>
      </w:r>
      <w:r>
        <w:rPr>
          <w:color w:val="231F20"/>
          <w:w w:val="105"/>
        </w:rPr>
        <w:t>trabajar,</w:t>
      </w:r>
      <w:r>
        <w:rPr>
          <w:color w:val="231F20"/>
          <w:spacing w:val="-39"/>
          <w:w w:val="105"/>
        </w:rPr>
        <w:t> </w:t>
      </w:r>
      <w:r>
        <w:rPr>
          <w:color w:val="231F20"/>
          <w:w w:val="105"/>
        </w:rPr>
        <w:t>4%</w:t>
      </w:r>
      <w:r>
        <w:rPr>
          <w:color w:val="231F20"/>
          <w:spacing w:val="-35"/>
          <w:w w:val="105"/>
        </w:rPr>
        <w:t> </w:t>
      </w:r>
      <w:r>
        <w:rPr>
          <w:color w:val="231F20"/>
          <w:w w:val="105"/>
        </w:rPr>
        <w:t>éstas</w:t>
      </w:r>
      <w:r>
        <w:rPr>
          <w:color w:val="231F20"/>
          <w:spacing w:val="-35"/>
          <w:w w:val="105"/>
        </w:rPr>
        <w:t> </w:t>
      </w:r>
      <w:r>
        <w:rPr>
          <w:color w:val="231F20"/>
          <w:w w:val="105"/>
        </w:rPr>
        <w:t>dos</w:t>
      </w:r>
      <w:r>
        <w:rPr>
          <w:color w:val="231F20"/>
          <w:spacing w:val="-35"/>
          <w:w w:val="105"/>
        </w:rPr>
        <w:t> </w:t>
      </w:r>
      <w:r>
        <w:rPr>
          <w:color w:val="231F20"/>
          <w:w w:val="105"/>
        </w:rPr>
        <w:t>últimas</w:t>
      </w:r>
      <w:r>
        <w:rPr>
          <w:color w:val="231F20"/>
          <w:spacing w:val="-35"/>
          <w:w w:val="105"/>
        </w:rPr>
        <w:t> </w:t>
      </w:r>
      <w:r>
        <w:rPr>
          <w:color w:val="231F20"/>
          <w:w w:val="105"/>
        </w:rPr>
        <w:t>y</w:t>
      </w:r>
      <w:r>
        <w:rPr>
          <w:color w:val="231F20"/>
          <w:spacing w:val="-35"/>
          <w:w w:val="105"/>
        </w:rPr>
        <w:t> </w:t>
      </w:r>
      <w:r>
        <w:rPr>
          <w:color w:val="231F20"/>
          <w:w w:val="105"/>
        </w:rPr>
        <w:t>1.7%</w:t>
      </w:r>
      <w:r>
        <w:rPr>
          <w:color w:val="231F20"/>
          <w:spacing w:val="-35"/>
          <w:w w:val="105"/>
        </w:rPr>
        <w:t> </w:t>
      </w:r>
      <w:r>
        <w:rPr>
          <w:color w:val="231F20"/>
          <w:w w:val="105"/>
        </w:rPr>
        <w:t>para</w:t>
      </w:r>
      <w:r>
        <w:rPr>
          <w:color w:val="231F20"/>
          <w:spacing w:val="-35"/>
          <w:w w:val="105"/>
        </w:rPr>
        <w:t> </w:t>
      </w:r>
      <w:r>
        <w:rPr>
          <w:color w:val="231F20"/>
          <w:w w:val="105"/>
        </w:rPr>
        <w:t>quedarse</w:t>
      </w:r>
      <w:r>
        <w:rPr>
          <w:color w:val="231F20"/>
          <w:spacing w:val="-35"/>
          <w:w w:val="105"/>
        </w:rPr>
        <w:t> </w:t>
      </w:r>
      <w:r>
        <w:rPr>
          <w:color w:val="231F20"/>
          <w:w w:val="105"/>
        </w:rPr>
        <w:t>a</w:t>
      </w:r>
      <w:r>
        <w:rPr>
          <w:color w:val="231F20"/>
          <w:spacing w:val="-35"/>
          <w:w w:val="105"/>
        </w:rPr>
        <w:t> </w:t>
      </w:r>
      <w:r>
        <w:rPr>
          <w:color w:val="231F20"/>
          <w:w w:val="105"/>
        </w:rPr>
        <w:t>vivir en</w:t>
      </w:r>
      <w:r>
        <w:rPr>
          <w:color w:val="231F20"/>
          <w:spacing w:val="-39"/>
          <w:w w:val="105"/>
        </w:rPr>
        <w:t> </w:t>
      </w:r>
      <w:r>
        <w:rPr>
          <w:color w:val="231F20"/>
          <w:w w:val="105"/>
        </w:rPr>
        <w:t>Estados</w:t>
      </w:r>
      <w:r>
        <w:rPr>
          <w:color w:val="231F20"/>
          <w:spacing w:val="-39"/>
          <w:w w:val="105"/>
        </w:rPr>
        <w:t> </w:t>
      </w:r>
      <w:r>
        <w:rPr>
          <w:color w:val="231F20"/>
          <w:w w:val="105"/>
        </w:rPr>
        <w:t>Unidos.</w:t>
      </w:r>
    </w:p>
    <w:p>
      <w:pPr>
        <w:pStyle w:val="BodyText"/>
        <w:spacing w:before="4"/>
      </w:pPr>
    </w:p>
    <w:p>
      <w:pPr>
        <w:spacing w:line="249" w:lineRule="auto" w:before="0"/>
        <w:ind w:left="2201" w:right="2313" w:firstLine="0"/>
        <w:jc w:val="center"/>
        <w:rPr>
          <w:rFonts w:ascii="Arial" w:hAnsi="Arial"/>
          <w:sz w:val="18"/>
        </w:rPr>
      </w:pPr>
      <w:r>
        <w:rPr>
          <w:rFonts w:ascii="Arial" w:hAnsi="Arial"/>
          <w:color w:val="231F20"/>
          <w:w w:val="105"/>
          <w:sz w:val="18"/>
        </w:rPr>
        <w:t>Gráfica 9. Distribución porcentual de la población mexiquense devuelta según el lugar donde la dejó el coyote o pollero contratado para cruzar a Estados Unidos, 2007-2012</w:t>
      </w:r>
    </w:p>
    <w:p>
      <w:pPr>
        <w:spacing w:before="77"/>
        <w:ind w:left="2096" w:right="6753" w:firstLine="0"/>
        <w:jc w:val="left"/>
        <w:rPr>
          <w:rFonts w:ascii="Lucida Sans Unicode"/>
          <w:sz w:val="14"/>
        </w:rPr>
      </w:pPr>
      <w:r>
        <w:rPr/>
        <w:pict>
          <v:group style="position:absolute;margin-left:115.809097pt;margin-top:8.397771pt;width:297.9pt;height:144.1pt;mso-position-horizontal-relative:page;mso-position-vertical-relative:paragraph;z-index:19072" coordorigin="2316,168" coordsize="5958,2882">
            <v:shape style="position:absolute;left:0;top:7005;width:5906;height:2123" coordorigin="0,7005" coordsize="5906,2123" path="m6217,2295l8269,2295m5071,2295l5889,2295m3594,2295l4086,2295m2364,2295l3265,2295m5071,1587l8269,1587m3594,1587l4086,1587m2364,1587l3265,1587m4414,881l8269,881m2364,881l4086,881m2364,172l8269,172e" filled="false" stroked="true" strokeweight=".45pt" strokecolor="#a6a8ab">
              <v:path arrowok="t"/>
            </v:shape>
            <v:shape style="position:absolute;left:2565;top:244;width:4844;height:2765" type="#_x0000_t75" stroked="false">
              <v:imagedata r:id="rId139" o:title=""/>
            </v:shape>
            <v:shape style="position:absolute;left:2894;top:1201;width:4844;height:1809" type="#_x0000_t75" stroked="false">
              <v:imagedata r:id="rId140" o:title=""/>
            </v:shape>
            <v:shape style="position:absolute;left:3222;top:1290;width:4844;height:1719" type="#_x0000_t75" stroked="false">
              <v:imagedata r:id="rId141" o:title=""/>
            </v:shape>
            <v:shape style="position:absolute;left:2609;top:265;width:4758;height:2739" coordorigin="2609,265" coordsize="4758,2739" path="m2937,2744l2609,2744,2609,3003,2937,3003,2937,2744m4414,265l4086,265,4086,3003,4414,3003,4414,265m5889,2638l5564,2638,5564,3003,5889,3003,5889,2638m7366,2825l7038,2825,7038,3003,7366,3003,7366,2825e" filled="true" fillcolor="#808285" stroked="false">
              <v:path arrowok="t"/>
              <v:fill type="solid"/>
            </v:shape>
            <v:shape style="position:absolute;left:2937;top:1224;width:4758;height:1780" coordorigin="2937,1224" coordsize="4758,1780" path="m3265,2330l2937,2330,2937,3003,3265,3003,3265,2330m4743,1224l4414,1224,4414,3003,4743,3003,4743,1224m6217,2073l5889,2073,5889,3003,6217,3003,6217,2073m7695,2842l7366,2842,7366,3003,7695,3003,7695,2842e" filled="true" fillcolor="#b1b3b6" stroked="false">
              <v:path arrowok="t"/>
              <v:fill type="solid"/>
            </v:shape>
            <v:shape style="position:absolute;left:3265;top:1313;width:4758;height:1690" coordorigin="3265,1313" coordsize="4758,1690" path="m3594,1440l3265,1440,3265,3003,3594,3003,3594,1440m5071,1313l4743,1313,4743,3003,5071,3003,5071,1313m6546,2868l6217,2868,6217,3003,6546,3003,6546,2868m8023,2862l7695,2862,7695,3003,8023,3003,8023,2862e" filled="true" fillcolor="#d1d3d4" stroked="false">
              <v:path arrowok="t"/>
              <v:fill type="solid"/>
            </v:shape>
            <v:line style="position:absolute" from="2363,3003" to="2363,173" stroked="true" strokeweight=".45pt" strokecolor="#a6a8ab"/>
            <v:shape style="position:absolute;left:0;top:6298;width:43;height:2831" coordorigin="0,6298" coordsize="43,2831" path="m2321,3003l2363,3003m2321,2295l2363,2295m2321,1587l2363,1587m2321,881l2363,881m2321,172l2363,172e" filled="false" stroked="true" strokeweight=".45pt" strokecolor="#a6a8ab">
              <v:path arrowok="t"/>
            </v:shape>
            <v:line style="position:absolute" from="2363,3003" to="8269,3003" stroked="true" strokeweight=".45pt" strokecolor="#a6a8ab"/>
            <v:shape style="position:absolute;left:0;top:9128;width:5906;height:42" coordorigin="0,9128" coordsize="5906,42" path="m2364,3003l2364,3045m3838,3003l3838,3045m5316,3003l5316,3045m6793,3003l6793,3045m8269,3003l8269,3045e" filled="false" stroked="true" strokeweight=".45pt" strokecolor="#a6a8ab">
              <v:path arrowok="t"/>
            </v:shape>
            <w10:wrap type="none"/>
          </v:group>
        </w:pict>
      </w:r>
      <w:r>
        <w:rPr>
          <w:rFonts w:ascii="Lucida Sans Unicode"/>
          <w:color w:val="231F20"/>
          <w:sz w:val="14"/>
        </w:rPr>
        <w:t>80</w:t>
      </w:r>
    </w:p>
    <w:p>
      <w:pPr>
        <w:pStyle w:val="BodyText"/>
        <w:spacing w:before="10"/>
        <w:rPr>
          <w:rFonts w:ascii="Lucida Sans Unicode"/>
          <w:sz w:val="28"/>
        </w:rPr>
      </w:pPr>
    </w:p>
    <w:p>
      <w:pPr>
        <w:spacing w:before="52"/>
        <w:ind w:left="2096" w:right="6753" w:firstLine="0"/>
        <w:jc w:val="left"/>
        <w:rPr>
          <w:rFonts w:ascii="Lucida Sans Unicode"/>
          <w:sz w:val="14"/>
        </w:rPr>
      </w:pPr>
      <w:r>
        <w:rPr>
          <w:rFonts w:ascii="Lucida Sans Unicode"/>
          <w:color w:val="231F20"/>
          <w:sz w:val="14"/>
        </w:rPr>
        <w:t>60</w:t>
      </w:r>
    </w:p>
    <w:p>
      <w:pPr>
        <w:pStyle w:val="BodyText"/>
        <w:spacing w:before="10"/>
        <w:rPr>
          <w:rFonts w:ascii="Lucida Sans Unicode"/>
          <w:sz w:val="28"/>
        </w:rPr>
      </w:pPr>
    </w:p>
    <w:p>
      <w:pPr>
        <w:spacing w:before="52"/>
        <w:ind w:left="2096" w:right="6753" w:firstLine="0"/>
        <w:jc w:val="left"/>
        <w:rPr>
          <w:rFonts w:ascii="Lucida Sans Unicode"/>
          <w:sz w:val="14"/>
        </w:rPr>
      </w:pPr>
      <w:r>
        <w:rPr>
          <w:rFonts w:ascii="Lucida Sans Unicode"/>
          <w:color w:val="231F20"/>
          <w:sz w:val="14"/>
        </w:rPr>
        <w:t>40</w:t>
      </w:r>
    </w:p>
    <w:p>
      <w:pPr>
        <w:pStyle w:val="BodyText"/>
        <w:spacing w:before="10"/>
        <w:rPr>
          <w:rFonts w:ascii="Lucida Sans Unicode"/>
          <w:sz w:val="28"/>
        </w:rPr>
      </w:pPr>
    </w:p>
    <w:p>
      <w:pPr>
        <w:spacing w:before="52"/>
        <w:ind w:left="2096" w:right="6753" w:firstLine="0"/>
        <w:jc w:val="left"/>
        <w:rPr>
          <w:rFonts w:ascii="Lucida Sans Unicode"/>
          <w:sz w:val="14"/>
        </w:rPr>
      </w:pPr>
      <w:r>
        <w:rPr>
          <w:rFonts w:ascii="Lucida Sans Unicode"/>
          <w:color w:val="231F20"/>
          <w:sz w:val="14"/>
        </w:rPr>
        <w:t>20</w:t>
      </w:r>
    </w:p>
    <w:p>
      <w:pPr>
        <w:pStyle w:val="BodyText"/>
        <w:spacing w:before="10"/>
        <w:rPr>
          <w:rFonts w:ascii="Lucida Sans Unicode"/>
          <w:sz w:val="28"/>
        </w:rPr>
      </w:pPr>
    </w:p>
    <w:p>
      <w:pPr>
        <w:spacing w:after="0"/>
        <w:rPr>
          <w:rFonts w:ascii="Lucida Sans Unicode"/>
          <w:sz w:val="28"/>
        </w:rPr>
        <w:sectPr>
          <w:pgSz w:w="10480" w:h="14730"/>
          <w:pgMar w:header="0" w:footer="103" w:top="300" w:bottom="300" w:left="0" w:right="0"/>
        </w:sectPr>
      </w:pPr>
    </w:p>
    <w:p>
      <w:pPr>
        <w:spacing w:line="194" w:lineRule="exact" w:before="52"/>
        <w:ind w:left="704" w:right="0" w:firstLine="0"/>
        <w:jc w:val="center"/>
        <w:rPr>
          <w:rFonts w:ascii="Lucida Sans Unicode"/>
          <w:sz w:val="14"/>
        </w:rPr>
      </w:pPr>
      <w:r>
        <w:rPr>
          <w:rFonts w:ascii="Lucida Sans Unicode"/>
          <w:color w:val="231F20"/>
          <w:w w:val="94"/>
          <w:sz w:val="14"/>
        </w:rPr>
        <w:t>0</w:t>
      </w:r>
    </w:p>
    <w:p>
      <w:pPr>
        <w:spacing w:line="187" w:lineRule="auto" w:before="12"/>
        <w:ind w:left="2808" w:right="-17" w:hanging="320"/>
        <w:jc w:val="left"/>
        <w:rPr>
          <w:rFonts w:ascii="Lucida Sans Unicode" w:hAnsi="Lucida Sans Unicode"/>
          <w:sz w:val="14"/>
        </w:rPr>
      </w:pPr>
      <w:r>
        <w:rPr>
          <w:rFonts w:ascii="Lucida Sans Unicode" w:hAnsi="Lucida Sans Unicode"/>
          <w:color w:val="231F20"/>
          <w:sz w:val="14"/>
        </w:rPr>
        <w:t>Lo</w:t>
      </w:r>
      <w:r>
        <w:rPr>
          <w:rFonts w:ascii="Lucida Sans Unicode" w:hAnsi="Lucida Sans Unicode"/>
          <w:color w:val="231F20"/>
          <w:spacing w:val="-10"/>
          <w:sz w:val="14"/>
        </w:rPr>
        <w:t> </w:t>
      </w:r>
      <w:r>
        <w:rPr>
          <w:rFonts w:ascii="Lucida Sans Unicode" w:hAnsi="Lucida Sans Unicode"/>
          <w:color w:val="231F20"/>
          <w:sz w:val="14"/>
        </w:rPr>
        <w:t>dejó</w:t>
      </w:r>
      <w:r>
        <w:rPr>
          <w:rFonts w:ascii="Lucida Sans Unicode" w:hAnsi="Lucida Sans Unicode"/>
          <w:color w:val="231F20"/>
          <w:spacing w:val="-10"/>
          <w:sz w:val="14"/>
        </w:rPr>
        <w:t> </w:t>
      </w:r>
      <w:r>
        <w:rPr>
          <w:rFonts w:ascii="Lucida Sans Unicode" w:hAnsi="Lucida Sans Unicode"/>
          <w:color w:val="231F20"/>
          <w:sz w:val="14"/>
        </w:rPr>
        <w:t>en</w:t>
      </w:r>
      <w:r>
        <w:rPr>
          <w:rFonts w:ascii="Lucida Sans Unicode" w:hAnsi="Lucida Sans Unicode"/>
          <w:color w:val="231F20"/>
          <w:spacing w:val="-10"/>
          <w:sz w:val="14"/>
        </w:rPr>
        <w:t> </w:t>
      </w:r>
      <w:r>
        <w:rPr>
          <w:rFonts w:ascii="Lucida Sans Unicode" w:hAnsi="Lucida Sans Unicode"/>
          <w:color w:val="231F20"/>
          <w:sz w:val="14"/>
        </w:rPr>
        <w:t>el</w:t>
      </w:r>
      <w:r>
        <w:rPr>
          <w:rFonts w:ascii="Lucida Sans Unicode" w:hAnsi="Lucida Sans Unicode"/>
          <w:color w:val="231F20"/>
          <w:spacing w:val="-10"/>
          <w:sz w:val="14"/>
        </w:rPr>
        <w:t> </w:t>
      </w:r>
      <w:r>
        <w:rPr>
          <w:rFonts w:ascii="Lucida Sans Unicode" w:hAnsi="Lucida Sans Unicode"/>
          <w:color w:val="231F20"/>
          <w:sz w:val="14"/>
        </w:rPr>
        <w:t>lugar pactado</w:t>
      </w:r>
    </w:p>
    <w:p>
      <w:pPr>
        <w:pStyle w:val="BodyText"/>
        <w:spacing w:before="11"/>
        <w:rPr>
          <w:rFonts w:ascii="Lucida Sans Unicode"/>
          <w:sz w:val="16"/>
        </w:rPr>
      </w:pPr>
      <w:r>
        <w:rPr/>
        <w:br w:type="column"/>
      </w:r>
      <w:r>
        <w:rPr>
          <w:rFonts w:ascii="Lucida Sans Unicode"/>
          <w:sz w:val="16"/>
        </w:rPr>
      </w:r>
    </w:p>
    <w:p>
      <w:pPr>
        <w:tabs>
          <w:tab w:pos="1886" w:val="left" w:leader="none"/>
        </w:tabs>
        <w:spacing w:line="187" w:lineRule="auto" w:before="1"/>
        <w:ind w:left="1804" w:right="0" w:hanging="1431"/>
        <w:jc w:val="left"/>
        <w:rPr>
          <w:rFonts w:ascii="Lucida Sans Unicode" w:hAnsi="Lucida Sans Unicode"/>
          <w:sz w:val="14"/>
        </w:rPr>
      </w:pPr>
      <w:r>
        <w:rPr>
          <w:rFonts w:ascii="Lucida Sans Unicode" w:hAnsi="Lucida Sans Unicode"/>
          <w:color w:val="231F20"/>
          <w:sz w:val="14"/>
        </w:rPr>
        <w:t>Lo</w:t>
      </w:r>
      <w:r>
        <w:rPr>
          <w:rFonts w:ascii="Lucida Sans Unicode" w:hAnsi="Lucida Sans Unicode"/>
          <w:color w:val="231F20"/>
          <w:spacing w:val="-8"/>
          <w:sz w:val="14"/>
        </w:rPr>
        <w:t> </w:t>
      </w:r>
      <w:r>
        <w:rPr>
          <w:rFonts w:ascii="Lucida Sans Unicode" w:hAnsi="Lucida Sans Unicode"/>
          <w:color w:val="231F20"/>
          <w:sz w:val="14"/>
        </w:rPr>
        <w:t>abandonó</w:t>
        <w:tab/>
        <w:tab/>
        <w:t>Fue</w:t>
      </w:r>
      <w:r>
        <w:rPr>
          <w:rFonts w:ascii="Lucida Sans Unicode" w:hAnsi="Lucida Sans Unicode"/>
          <w:color w:val="231F20"/>
          <w:spacing w:val="1"/>
          <w:sz w:val="14"/>
        </w:rPr>
        <w:t> </w:t>
      </w:r>
      <w:r>
        <w:rPr>
          <w:rFonts w:ascii="Lucida Sans Unicode" w:hAnsi="Lucida Sans Unicode"/>
          <w:color w:val="231F20"/>
          <w:sz w:val="14"/>
        </w:rPr>
        <w:t>detenido</w:t>
      </w:r>
      <w:r>
        <w:rPr>
          <w:rFonts w:ascii="Lucida Sans Unicode" w:hAnsi="Lucida Sans Unicode"/>
          <w:color w:val="231F20"/>
          <w:w w:val="100"/>
          <w:sz w:val="14"/>
        </w:rPr>
        <w:t> </w:t>
      </w:r>
      <w:r>
        <w:rPr>
          <w:rFonts w:ascii="Lucida Sans Unicode" w:hAnsi="Lucida Sans Unicode"/>
          <w:color w:val="231F20"/>
          <w:sz w:val="14"/>
        </w:rPr>
        <w:t>con el</w:t>
      </w:r>
      <w:r>
        <w:rPr>
          <w:rFonts w:ascii="Lucida Sans Unicode" w:hAnsi="Lucida Sans Unicode"/>
          <w:color w:val="231F20"/>
          <w:spacing w:val="-35"/>
          <w:sz w:val="14"/>
        </w:rPr>
        <w:t> </w:t>
      </w:r>
      <w:r>
        <w:rPr>
          <w:rFonts w:ascii="Lucida Sans Unicode" w:hAnsi="Lucida Sans Unicode"/>
          <w:color w:val="231F20"/>
          <w:sz w:val="14"/>
        </w:rPr>
        <w:t>migrante</w:t>
      </w:r>
    </w:p>
    <w:p>
      <w:pPr>
        <w:pStyle w:val="BodyText"/>
        <w:spacing w:before="8"/>
        <w:rPr>
          <w:rFonts w:ascii="Lucida Sans Unicode"/>
          <w:sz w:val="14"/>
        </w:rPr>
      </w:pPr>
      <w:r>
        <w:rPr/>
        <w:br w:type="column"/>
      </w:r>
      <w:r>
        <w:rPr>
          <w:rFonts w:ascii="Lucida Sans Unicode"/>
          <w:sz w:val="14"/>
        </w:rPr>
      </w:r>
    </w:p>
    <w:p>
      <w:pPr>
        <w:spacing w:before="1"/>
        <w:ind w:left="769" w:right="0" w:firstLine="0"/>
        <w:jc w:val="left"/>
        <w:rPr>
          <w:rFonts w:ascii="Lucida Sans Unicode"/>
          <w:sz w:val="14"/>
        </w:rPr>
      </w:pPr>
      <w:r>
        <w:rPr>
          <w:rFonts w:ascii="Lucida Sans Unicode"/>
          <w:color w:val="231F20"/>
          <w:sz w:val="14"/>
        </w:rPr>
        <w:t>Otro</w:t>
      </w:r>
    </w:p>
    <w:p>
      <w:pPr>
        <w:spacing w:after="0"/>
        <w:jc w:val="left"/>
        <w:rPr>
          <w:rFonts w:ascii="Lucida Sans Unicode"/>
          <w:sz w:val="14"/>
        </w:rPr>
        <w:sectPr>
          <w:type w:val="continuous"/>
          <w:pgSz w:w="10480" w:h="14730"/>
          <w:pgMar w:top="0" w:bottom="0" w:left="0" w:right="0"/>
          <w:cols w:num="3" w:equalWidth="0">
            <w:col w:w="3717" w:space="40"/>
            <w:col w:w="2834" w:space="40"/>
            <w:col w:w="3849"/>
          </w:cols>
        </w:sectPr>
      </w:pPr>
    </w:p>
    <w:p>
      <w:pPr>
        <w:pStyle w:val="BodyText"/>
        <w:spacing w:before="8"/>
        <w:rPr>
          <w:rFonts w:ascii="Lucida Sans Unicode"/>
          <w:sz w:val="6"/>
        </w:rPr>
      </w:pPr>
    </w:p>
    <w:p>
      <w:pPr>
        <w:tabs>
          <w:tab w:pos="1470" w:val="left" w:leader="none"/>
          <w:tab w:pos="2407" w:val="left" w:leader="none"/>
        </w:tabs>
        <w:spacing w:before="51"/>
        <w:ind w:left="402" w:right="0" w:firstLine="0"/>
        <w:jc w:val="center"/>
        <w:rPr>
          <w:rFonts w:ascii="Comic Sans MS"/>
          <w:b/>
          <w:sz w:val="14"/>
        </w:rPr>
      </w:pPr>
      <w:r>
        <w:rPr/>
        <w:pict>
          <v:rect style="position:absolute;margin-left:199.013pt;margin-top:1.84025pt;width:10.205pt;height:10.205pt;mso-position-horizontal-relative:page;mso-position-vertical-relative:paragraph;z-index:19000" filled="true" fillcolor="#808285" stroked="false">
            <v:fill type="solid"/>
            <w10:wrap type="none"/>
          </v:rect>
        </w:pict>
      </w:r>
      <w:r>
        <w:rPr/>
        <w:pict>
          <v:rect style="position:absolute;margin-left:252.306pt;margin-top:1.84025pt;width:10.204pt;height:10.205pt;mso-position-horizontal-relative:page;mso-position-vertical-relative:paragraph;z-index:-471160" filled="true" fillcolor="#b1b3b6" stroked="false">
            <v:fill type="solid"/>
            <w10:wrap type="none"/>
          </v:rect>
        </w:pict>
      </w:r>
      <w:r>
        <w:rPr/>
        <w:pict>
          <v:rect style="position:absolute;margin-left:299.024994pt;margin-top:1.84025pt;width:10.204pt;height:10.205pt;mso-position-horizontal-relative:page;mso-position-vertical-relative:paragraph;z-index:-471136" filled="true" fillcolor="#d1d3d4" stroked="false">
            <v:fill type="solid"/>
            <w10:wrap type="none"/>
          </v:rect>
        </w:pict>
      </w:r>
      <w:r>
        <w:rPr>
          <w:rFonts w:ascii="Comic Sans MS"/>
          <w:b/>
          <w:color w:val="231F20"/>
          <w:w w:val="105"/>
          <w:sz w:val="14"/>
        </w:rPr>
        <w:t>2007</w:t>
        <w:tab/>
        <w:t>2008</w:t>
        <w:tab/>
        <w:t>2009</w:t>
      </w:r>
    </w:p>
    <w:p>
      <w:pPr>
        <w:spacing w:before="53"/>
        <w:ind w:left="2107" w:right="0" w:firstLine="0"/>
        <w:jc w:val="left"/>
        <w:rPr>
          <w:sz w:val="16"/>
        </w:rPr>
      </w:pPr>
      <w:r>
        <w:rPr>
          <w:color w:val="231F20"/>
          <w:w w:val="105"/>
          <w:sz w:val="16"/>
        </w:rPr>
        <w:t>Fuente: elaboración propia con base en la </w:t>
      </w:r>
      <w:r>
        <w:rPr>
          <w:color w:val="231F20"/>
          <w:w w:val="105"/>
          <w:sz w:val="14"/>
        </w:rPr>
        <w:t>EMIF</w:t>
      </w:r>
      <w:r>
        <w:rPr>
          <w:color w:val="231F20"/>
          <w:w w:val="105"/>
          <w:sz w:val="16"/>
        </w:rPr>
        <w:t>-Norte 2007, 2009 y 2012.</w:t>
      </w:r>
    </w:p>
    <w:p>
      <w:pPr>
        <w:pStyle w:val="BodyText"/>
        <w:rPr>
          <w:sz w:val="16"/>
        </w:rPr>
      </w:pPr>
    </w:p>
    <w:p>
      <w:pPr>
        <w:pStyle w:val="BodyText"/>
        <w:spacing w:line="261" w:lineRule="auto" w:before="111"/>
        <w:ind w:left="1723" w:right="1834"/>
        <w:jc w:val="both"/>
      </w:pPr>
      <w:r>
        <w:rPr>
          <w:color w:val="231F20"/>
          <w:spacing w:val="-3"/>
          <w:w w:val="105"/>
        </w:rPr>
        <w:t>Finalmente,</w:t>
      </w:r>
      <w:r>
        <w:rPr>
          <w:color w:val="231F20"/>
          <w:spacing w:val="-40"/>
          <w:w w:val="105"/>
        </w:rPr>
        <w:t> </w:t>
      </w:r>
      <w:r>
        <w:rPr>
          <w:color w:val="231F20"/>
          <w:w w:val="105"/>
        </w:rPr>
        <w:t>una</w:t>
      </w:r>
      <w:r>
        <w:rPr>
          <w:color w:val="231F20"/>
          <w:spacing w:val="-36"/>
          <w:w w:val="105"/>
        </w:rPr>
        <w:t> </w:t>
      </w:r>
      <w:r>
        <w:rPr>
          <w:color w:val="231F20"/>
          <w:spacing w:val="-4"/>
          <w:w w:val="105"/>
        </w:rPr>
        <w:t>expresión</w:t>
      </w:r>
      <w:r>
        <w:rPr>
          <w:color w:val="231F20"/>
          <w:spacing w:val="-36"/>
          <w:w w:val="105"/>
        </w:rPr>
        <w:t> </w:t>
      </w:r>
      <w:r>
        <w:rPr>
          <w:color w:val="231F20"/>
          <w:w w:val="105"/>
        </w:rPr>
        <w:t>de</w:t>
      </w:r>
      <w:r>
        <w:rPr>
          <w:color w:val="231F20"/>
          <w:spacing w:val="-36"/>
          <w:w w:val="105"/>
        </w:rPr>
        <w:t> </w:t>
      </w:r>
      <w:r>
        <w:rPr>
          <w:color w:val="231F20"/>
          <w:w w:val="105"/>
        </w:rPr>
        <w:t>los</w:t>
      </w:r>
      <w:r>
        <w:rPr>
          <w:color w:val="231F20"/>
          <w:spacing w:val="-36"/>
          <w:w w:val="105"/>
        </w:rPr>
        <w:t> </w:t>
      </w:r>
      <w:r>
        <w:rPr>
          <w:color w:val="231F20"/>
          <w:spacing w:val="-3"/>
          <w:w w:val="105"/>
        </w:rPr>
        <w:t>cambios</w:t>
      </w:r>
      <w:r>
        <w:rPr>
          <w:color w:val="231F20"/>
          <w:spacing w:val="-36"/>
          <w:w w:val="105"/>
        </w:rPr>
        <w:t> </w:t>
      </w:r>
      <w:r>
        <w:rPr>
          <w:color w:val="231F20"/>
          <w:spacing w:val="-3"/>
          <w:w w:val="105"/>
        </w:rPr>
        <w:t>asociados</w:t>
      </w:r>
      <w:r>
        <w:rPr>
          <w:color w:val="231F20"/>
          <w:spacing w:val="-36"/>
          <w:w w:val="105"/>
        </w:rPr>
        <w:t> </w:t>
      </w:r>
      <w:r>
        <w:rPr>
          <w:color w:val="231F20"/>
          <w:w w:val="105"/>
        </w:rPr>
        <w:t>con</w:t>
      </w:r>
      <w:r>
        <w:rPr>
          <w:color w:val="231F20"/>
          <w:spacing w:val="-36"/>
          <w:w w:val="105"/>
        </w:rPr>
        <w:t> </w:t>
      </w:r>
      <w:r>
        <w:rPr>
          <w:color w:val="231F20"/>
          <w:w w:val="105"/>
        </w:rPr>
        <w:t>la</w:t>
      </w:r>
      <w:r>
        <w:rPr>
          <w:color w:val="231F20"/>
          <w:spacing w:val="-36"/>
          <w:w w:val="105"/>
        </w:rPr>
        <w:t> </w:t>
      </w:r>
      <w:r>
        <w:rPr>
          <w:color w:val="231F20"/>
          <w:spacing w:val="-3"/>
          <w:w w:val="105"/>
        </w:rPr>
        <w:t>violencia</w:t>
      </w:r>
      <w:r>
        <w:rPr>
          <w:color w:val="231F20"/>
          <w:spacing w:val="-36"/>
          <w:w w:val="105"/>
        </w:rPr>
        <w:t> </w:t>
      </w:r>
      <w:r>
        <w:rPr>
          <w:color w:val="231F20"/>
          <w:spacing w:val="-3"/>
          <w:w w:val="105"/>
        </w:rPr>
        <w:t>antiin- migrante</w:t>
      </w:r>
      <w:r>
        <w:rPr>
          <w:color w:val="231F20"/>
          <w:spacing w:val="-23"/>
          <w:w w:val="105"/>
        </w:rPr>
        <w:t> </w:t>
      </w:r>
      <w:r>
        <w:rPr>
          <w:color w:val="231F20"/>
          <w:w w:val="105"/>
        </w:rPr>
        <w:t>y</w:t>
      </w:r>
      <w:r>
        <w:rPr>
          <w:color w:val="231F20"/>
          <w:spacing w:val="-23"/>
          <w:w w:val="105"/>
        </w:rPr>
        <w:t> </w:t>
      </w:r>
      <w:r>
        <w:rPr>
          <w:color w:val="231F20"/>
          <w:w w:val="105"/>
        </w:rPr>
        <w:t>las</w:t>
      </w:r>
      <w:r>
        <w:rPr>
          <w:color w:val="231F20"/>
          <w:spacing w:val="-23"/>
          <w:w w:val="105"/>
        </w:rPr>
        <w:t> </w:t>
      </w:r>
      <w:r>
        <w:rPr>
          <w:color w:val="231F20"/>
          <w:spacing w:val="-3"/>
          <w:w w:val="105"/>
        </w:rPr>
        <w:t>consecuentes</w:t>
      </w:r>
      <w:r>
        <w:rPr>
          <w:color w:val="231F20"/>
          <w:spacing w:val="-23"/>
          <w:w w:val="105"/>
        </w:rPr>
        <w:t> </w:t>
      </w:r>
      <w:r>
        <w:rPr>
          <w:color w:val="231F20"/>
          <w:spacing w:val="-3"/>
          <w:w w:val="105"/>
        </w:rPr>
        <w:t>campañas</w:t>
      </w:r>
      <w:r>
        <w:rPr>
          <w:color w:val="231F20"/>
          <w:spacing w:val="-23"/>
          <w:w w:val="105"/>
        </w:rPr>
        <w:t> </w:t>
      </w:r>
      <w:r>
        <w:rPr>
          <w:color w:val="231F20"/>
          <w:w w:val="105"/>
        </w:rPr>
        <w:t>de</w:t>
      </w:r>
      <w:r>
        <w:rPr>
          <w:color w:val="231F20"/>
          <w:spacing w:val="-23"/>
          <w:w w:val="105"/>
        </w:rPr>
        <w:t> </w:t>
      </w:r>
      <w:r>
        <w:rPr>
          <w:color w:val="231F20"/>
          <w:spacing w:val="-3"/>
          <w:w w:val="105"/>
        </w:rPr>
        <w:t>persecución</w:t>
      </w:r>
      <w:r>
        <w:rPr>
          <w:color w:val="231F20"/>
          <w:spacing w:val="-23"/>
          <w:w w:val="105"/>
        </w:rPr>
        <w:t> </w:t>
      </w:r>
      <w:r>
        <w:rPr>
          <w:color w:val="231F20"/>
          <w:spacing w:val="-3"/>
          <w:w w:val="105"/>
        </w:rPr>
        <w:t>hacia</w:t>
      </w:r>
      <w:r>
        <w:rPr>
          <w:color w:val="231F20"/>
          <w:spacing w:val="-23"/>
          <w:w w:val="105"/>
        </w:rPr>
        <w:t> </w:t>
      </w:r>
      <w:r>
        <w:rPr>
          <w:color w:val="231F20"/>
          <w:w w:val="105"/>
        </w:rPr>
        <w:t>la</w:t>
      </w:r>
      <w:r>
        <w:rPr>
          <w:color w:val="231F20"/>
          <w:spacing w:val="-23"/>
          <w:w w:val="105"/>
        </w:rPr>
        <w:t> </w:t>
      </w:r>
      <w:r>
        <w:rPr>
          <w:color w:val="231F20"/>
          <w:spacing w:val="-3"/>
          <w:w w:val="105"/>
        </w:rPr>
        <w:t>población migrante</w:t>
      </w:r>
      <w:r>
        <w:rPr>
          <w:color w:val="231F20"/>
          <w:spacing w:val="-12"/>
          <w:w w:val="105"/>
        </w:rPr>
        <w:t> </w:t>
      </w:r>
      <w:r>
        <w:rPr>
          <w:color w:val="231F20"/>
          <w:spacing w:val="-3"/>
          <w:w w:val="105"/>
        </w:rPr>
        <w:t>tiene</w:t>
      </w:r>
      <w:r>
        <w:rPr>
          <w:color w:val="231F20"/>
          <w:spacing w:val="-12"/>
          <w:w w:val="105"/>
        </w:rPr>
        <w:t> </w:t>
      </w:r>
      <w:r>
        <w:rPr>
          <w:color w:val="231F20"/>
          <w:w w:val="105"/>
        </w:rPr>
        <w:t>que</w:t>
      </w:r>
      <w:r>
        <w:rPr>
          <w:color w:val="231F20"/>
          <w:spacing w:val="-12"/>
          <w:w w:val="105"/>
        </w:rPr>
        <w:t> </w:t>
      </w:r>
      <w:r>
        <w:rPr>
          <w:color w:val="231F20"/>
          <w:w w:val="105"/>
        </w:rPr>
        <w:t>ver</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spacing w:val="-3"/>
          <w:w w:val="105"/>
        </w:rPr>
        <w:t>cambio</w:t>
      </w:r>
      <w:r>
        <w:rPr>
          <w:color w:val="231F20"/>
          <w:spacing w:val="-12"/>
          <w:w w:val="105"/>
        </w:rPr>
        <w:t> </w:t>
      </w:r>
      <w:r>
        <w:rPr>
          <w:color w:val="231F20"/>
          <w:spacing w:val="-3"/>
          <w:w w:val="105"/>
        </w:rPr>
        <w:t>observado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spacing w:val="-3"/>
          <w:w w:val="105"/>
        </w:rPr>
        <w:t>tiempo</w:t>
      </w:r>
      <w:r>
        <w:rPr>
          <w:color w:val="231F20"/>
          <w:spacing w:val="-12"/>
          <w:w w:val="105"/>
        </w:rPr>
        <w:t> </w:t>
      </w:r>
      <w:r>
        <w:rPr>
          <w:color w:val="231F20"/>
          <w:w w:val="105"/>
        </w:rPr>
        <w:t>de</w:t>
      </w:r>
      <w:r>
        <w:rPr>
          <w:color w:val="231F20"/>
          <w:spacing w:val="-12"/>
          <w:w w:val="105"/>
        </w:rPr>
        <w:t> </w:t>
      </w:r>
      <w:r>
        <w:rPr>
          <w:color w:val="231F20"/>
          <w:spacing w:val="-3"/>
          <w:w w:val="105"/>
        </w:rPr>
        <w:t>estancia </w:t>
      </w:r>
      <w:r>
        <w:rPr>
          <w:color w:val="231F20"/>
          <w:w w:val="105"/>
        </w:rPr>
        <w:t>que</w:t>
      </w:r>
      <w:r>
        <w:rPr>
          <w:color w:val="231F20"/>
          <w:spacing w:val="-27"/>
          <w:w w:val="105"/>
        </w:rPr>
        <w:t> </w:t>
      </w:r>
      <w:r>
        <w:rPr>
          <w:color w:val="231F20"/>
          <w:w w:val="105"/>
        </w:rPr>
        <w:t>los</w:t>
      </w:r>
      <w:r>
        <w:rPr>
          <w:color w:val="231F20"/>
          <w:spacing w:val="-27"/>
          <w:w w:val="105"/>
        </w:rPr>
        <w:t> </w:t>
      </w:r>
      <w:r>
        <w:rPr>
          <w:color w:val="231F20"/>
          <w:spacing w:val="-3"/>
          <w:w w:val="105"/>
        </w:rPr>
        <w:t>mexiquenses</w:t>
      </w:r>
      <w:r>
        <w:rPr>
          <w:color w:val="231F20"/>
          <w:spacing w:val="-27"/>
          <w:w w:val="105"/>
        </w:rPr>
        <w:t> </w:t>
      </w:r>
      <w:r>
        <w:rPr>
          <w:color w:val="231F20"/>
          <w:spacing w:val="-4"/>
          <w:w w:val="105"/>
        </w:rPr>
        <w:t>lograron</w:t>
      </w:r>
      <w:r>
        <w:rPr>
          <w:color w:val="231F20"/>
          <w:spacing w:val="-27"/>
          <w:w w:val="105"/>
        </w:rPr>
        <w:t> </w:t>
      </w:r>
      <w:r>
        <w:rPr>
          <w:color w:val="231F20"/>
          <w:spacing w:val="-3"/>
          <w:w w:val="105"/>
        </w:rPr>
        <w:t>permanecer</w:t>
      </w:r>
      <w:r>
        <w:rPr>
          <w:color w:val="231F20"/>
          <w:spacing w:val="-27"/>
          <w:w w:val="105"/>
        </w:rPr>
        <w:t> </w:t>
      </w:r>
      <w:r>
        <w:rPr>
          <w:color w:val="231F20"/>
          <w:w w:val="105"/>
        </w:rPr>
        <w:t>en</w:t>
      </w:r>
      <w:r>
        <w:rPr>
          <w:color w:val="231F20"/>
          <w:spacing w:val="-27"/>
          <w:w w:val="105"/>
        </w:rPr>
        <w:t> </w:t>
      </w:r>
      <w:r>
        <w:rPr>
          <w:color w:val="231F20"/>
          <w:spacing w:val="-3"/>
          <w:w w:val="105"/>
        </w:rPr>
        <w:t>Estados</w:t>
      </w:r>
      <w:r>
        <w:rPr>
          <w:color w:val="231F20"/>
          <w:spacing w:val="-27"/>
          <w:w w:val="105"/>
        </w:rPr>
        <w:t> </w:t>
      </w:r>
      <w:r>
        <w:rPr>
          <w:color w:val="231F20"/>
          <w:spacing w:val="-3"/>
          <w:w w:val="105"/>
        </w:rPr>
        <w:t>Unidos,</w:t>
      </w:r>
      <w:r>
        <w:rPr>
          <w:color w:val="231F20"/>
          <w:spacing w:val="-31"/>
          <w:w w:val="105"/>
        </w:rPr>
        <w:t> </w:t>
      </w:r>
      <w:r>
        <w:rPr>
          <w:color w:val="231F20"/>
          <w:spacing w:val="-3"/>
          <w:w w:val="105"/>
        </w:rPr>
        <w:t>pues</w:t>
      </w:r>
      <w:r>
        <w:rPr>
          <w:color w:val="231F20"/>
          <w:spacing w:val="-27"/>
          <w:w w:val="105"/>
        </w:rPr>
        <w:t> </w:t>
      </w:r>
      <w:r>
        <w:rPr>
          <w:color w:val="231F20"/>
          <w:spacing w:val="-3"/>
          <w:w w:val="105"/>
        </w:rPr>
        <w:t>mien- tras</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spacing w:val="-3"/>
          <w:w w:val="105"/>
        </w:rPr>
        <w:t>2007</w:t>
      </w:r>
      <w:r>
        <w:rPr>
          <w:color w:val="231F20"/>
          <w:spacing w:val="-12"/>
          <w:w w:val="105"/>
        </w:rPr>
        <w:t> </w:t>
      </w:r>
      <w:r>
        <w:rPr>
          <w:color w:val="231F20"/>
          <w:w w:val="105"/>
        </w:rPr>
        <w:t>la</w:t>
      </w:r>
      <w:r>
        <w:rPr>
          <w:color w:val="231F20"/>
          <w:spacing w:val="-12"/>
          <w:w w:val="105"/>
        </w:rPr>
        <w:t> </w:t>
      </w:r>
      <w:r>
        <w:rPr>
          <w:color w:val="231F20"/>
          <w:spacing w:val="-3"/>
          <w:w w:val="105"/>
        </w:rPr>
        <w:t>mayor</w:t>
      </w:r>
      <w:r>
        <w:rPr>
          <w:color w:val="231F20"/>
          <w:spacing w:val="-12"/>
          <w:w w:val="105"/>
        </w:rPr>
        <w:t> </w:t>
      </w:r>
      <w:r>
        <w:rPr>
          <w:color w:val="231F20"/>
          <w:spacing w:val="-3"/>
          <w:w w:val="105"/>
        </w:rPr>
        <w:t>parte</w:t>
      </w:r>
      <w:r>
        <w:rPr>
          <w:color w:val="231F20"/>
          <w:spacing w:val="-12"/>
          <w:w w:val="105"/>
        </w:rPr>
        <w:t> </w:t>
      </w:r>
      <w:r>
        <w:rPr>
          <w:color w:val="231F20"/>
          <w:w w:val="105"/>
        </w:rPr>
        <w:t>se</w:t>
      </w:r>
      <w:r>
        <w:rPr>
          <w:color w:val="231F20"/>
          <w:spacing w:val="-12"/>
          <w:w w:val="105"/>
        </w:rPr>
        <w:t> </w:t>
      </w:r>
      <w:r>
        <w:rPr>
          <w:color w:val="231F20"/>
          <w:spacing w:val="-4"/>
          <w:w w:val="105"/>
        </w:rPr>
        <w:t>trataba</w:t>
      </w:r>
      <w:r>
        <w:rPr>
          <w:color w:val="231F20"/>
          <w:spacing w:val="-12"/>
          <w:w w:val="105"/>
        </w:rPr>
        <w:t> </w:t>
      </w:r>
      <w:r>
        <w:rPr>
          <w:color w:val="231F20"/>
          <w:w w:val="105"/>
        </w:rPr>
        <w:t>de</w:t>
      </w:r>
      <w:r>
        <w:rPr>
          <w:color w:val="231F20"/>
          <w:spacing w:val="-12"/>
          <w:w w:val="105"/>
        </w:rPr>
        <w:t> </w:t>
      </w:r>
      <w:r>
        <w:rPr>
          <w:color w:val="231F20"/>
          <w:spacing w:val="-3"/>
          <w:w w:val="105"/>
        </w:rPr>
        <w:t>población</w:t>
      </w:r>
      <w:r>
        <w:rPr>
          <w:color w:val="231F20"/>
          <w:spacing w:val="-12"/>
          <w:w w:val="105"/>
        </w:rPr>
        <w:t> </w:t>
      </w:r>
      <w:r>
        <w:rPr>
          <w:color w:val="231F20"/>
          <w:spacing w:val="-3"/>
          <w:w w:val="105"/>
        </w:rPr>
        <w:t>devuelta</w:t>
      </w:r>
      <w:r>
        <w:rPr>
          <w:color w:val="231F20"/>
          <w:spacing w:val="-12"/>
          <w:w w:val="105"/>
        </w:rPr>
        <w:t> </w:t>
      </w:r>
      <w:r>
        <w:rPr>
          <w:color w:val="231F20"/>
          <w:w w:val="105"/>
        </w:rPr>
        <w:t>que</w:t>
      </w:r>
      <w:r>
        <w:rPr>
          <w:color w:val="231F20"/>
          <w:spacing w:val="-12"/>
          <w:w w:val="105"/>
        </w:rPr>
        <w:t> </w:t>
      </w:r>
      <w:r>
        <w:rPr>
          <w:color w:val="231F20"/>
          <w:w w:val="105"/>
        </w:rPr>
        <w:t>ha- bía</w:t>
      </w:r>
      <w:r>
        <w:rPr>
          <w:color w:val="231F20"/>
          <w:spacing w:val="-25"/>
          <w:w w:val="105"/>
        </w:rPr>
        <w:t> </w:t>
      </w:r>
      <w:r>
        <w:rPr>
          <w:color w:val="231F20"/>
          <w:spacing w:val="-3"/>
          <w:w w:val="105"/>
        </w:rPr>
        <w:t>permanecido</w:t>
      </w:r>
      <w:r>
        <w:rPr>
          <w:color w:val="231F20"/>
          <w:spacing w:val="-25"/>
          <w:w w:val="105"/>
        </w:rPr>
        <w:t> </w:t>
      </w:r>
      <w:r>
        <w:rPr>
          <w:color w:val="231F20"/>
          <w:w w:val="105"/>
        </w:rPr>
        <w:t>por</w:t>
      </w:r>
      <w:r>
        <w:rPr>
          <w:color w:val="231F20"/>
          <w:spacing w:val="-25"/>
          <w:w w:val="105"/>
        </w:rPr>
        <w:t> </w:t>
      </w:r>
      <w:r>
        <w:rPr>
          <w:color w:val="231F20"/>
          <w:spacing w:val="-3"/>
          <w:w w:val="105"/>
        </w:rPr>
        <w:t>algunas</w:t>
      </w:r>
      <w:r>
        <w:rPr>
          <w:color w:val="231F20"/>
          <w:spacing w:val="-25"/>
          <w:w w:val="105"/>
        </w:rPr>
        <w:t> </w:t>
      </w:r>
      <w:r>
        <w:rPr>
          <w:color w:val="231F20"/>
          <w:spacing w:val="-3"/>
          <w:w w:val="105"/>
        </w:rPr>
        <w:t>horas</w:t>
      </w:r>
      <w:r>
        <w:rPr>
          <w:color w:val="231F20"/>
          <w:spacing w:val="-25"/>
          <w:w w:val="105"/>
        </w:rPr>
        <w:t> </w:t>
      </w:r>
      <w:r>
        <w:rPr>
          <w:color w:val="231F20"/>
          <w:w w:val="105"/>
        </w:rPr>
        <w:t>o</w:t>
      </w:r>
      <w:r>
        <w:rPr>
          <w:color w:val="231F20"/>
          <w:spacing w:val="-25"/>
          <w:w w:val="105"/>
        </w:rPr>
        <w:t> </w:t>
      </w:r>
      <w:r>
        <w:rPr>
          <w:color w:val="231F20"/>
          <w:spacing w:val="-3"/>
          <w:w w:val="105"/>
        </w:rPr>
        <w:t>días</w:t>
      </w:r>
      <w:r>
        <w:rPr>
          <w:color w:val="231F20"/>
          <w:spacing w:val="-25"/>
          <w:w w:val="105"/>
        </w:rPr>
        <w:t> </w:t>
      </w:r>
      <w:r>
        <w:rPr>
          <w:color w:val="231F20"/>
          <w:w w:val="105"/>
        </w:rPr>
        <w:t>en</w:t>
      </w:r>
      <w:r>
        <w:rPr>
          <w:color w:val="231F20"/>
          <w:spacing w:val="-25"/>
          <w:w w:val="105"/>
        </w:rPr>
        <w:t> </w:t>
      </w:r>
      <w:r>
        <w:rPr>
          <w:color w:val="231F20"/>
          <w:w w:val="105"/>
        </w:rPr>
        <w:t>ese</w:t>
      </w:r>
      <w:r>
        <w:rPr>
          <w:color w:val="231F20"/>
          <w:spacing w:val="-25"/>
          <w:w w:val="105"/>
        </w:rPr>
        <w:t> </w:t>
      </w:r>
      <w:r>
        <w:rPr>
          <w:color w:val="231F20"/>
          <w:spacing w:val="-3"/>
          <w:w w:val="105"/>
        </w:rPr>
        <w:t>país,</w:t>
      </w:r>
      <w:r>
        <w:rPr>
          <w:color w:val="231F20"/>
          <w:spacing w:val="-30"/>
          <w:w w:val="105"/>
        </w:rPr>
        <w:t> </w:t>
      </w:r>
      <w:r>
        <w:rPr>
          <w:color w:val="231F20"/>
          <w:spacing w:val="-3"/>
          <w:w w:val="105"/>
        </w:rPr>
        <w:t>vemos</w:t>
      </w:r>
      <w:r>
        <w:rPr>
          <w:color w:val="231F20"/>
          <w:spacing w:val="-25"/>
          <w:w w:val="105"/>
        </w:rPr>
        <w:t> </w:t>
      </w:r>
      <w:r>
        <w:rPr>
          <w:color w:val="231F20"/>
          <w:w w:val="105"/>
        </w:rPr>
        <w:t>que</w:t>
      </w:r>
      <w:r>
        <w:rPr>
          <w:color w:val="231F20"/>
          <w:spacing w:val="-25"/>
          <w:w w:val="105"/>
        </w:rPr>
        <w:t> </w:t>
      </w:r>
      <w:r>
        <w:rPr>
          <w:color w:val="231F20"/>
          <w:w w:val="105"/>
        </w:rPr>
        <w:t>en</w:t>
      </w:r>
      <w:r>
        <w:rPr>
          <w:color w:val="231F20"/>
          <w:spacing w:val="-25"/>
          <w:w w:val="105"/>
        </w:rPr>
        <w:t> </w:t>
      </w:r>
      <w:r>
        <w:rPr>
          <w:color w:val="231F20"/>
          <w:spacing w:val="-3"/>
          <w:w w:val="105"/>
        </w:rPr>
        <w:t>2012 </w:t>
      </w:r>
      <w:r>
        <w:rPr>
          <w:color w:val="231F20"/>
          <w:w w:val="105"/>
        </w:rPr>
        <w:t>la</w:t>
      </w:r>
      <w:r>
        <w:rPr>
          <w:color w:val="231F20"/>
          <w:spacing w:val="-12"/>
          <w:w w:val="105"/>
        </w:rPr>
        <w:t> </w:t>
      </w:r>
      <w:r>
        <w:rPr>
          <w:color w:val="231F20"/>
          <w:spacing w:val="-3"/>
          <w:w w:val="105"/>
        </w:rPr>
        <w:t>mayor</w:t>
      </w:r>
      <w:r>
        <w:rPr>
          <w:color w:val="231F20"/>
          <w:spacing w:val="-12"/>
          <w:w w:val="105"/>
        </w:rPr>
        <w:t> </w:t>
      </w:r>
      <w:r>
        <w:rPr>
          <w:color w:val="231F20"/>
          <w:spacing w:val="-4"/>
          <w:w w:val="105"/>
        </w:rPr>
        <w:t>proporción</w:t>
      </w:r>
      <w:r>
        <w:rPr>
          <w:color w:val="231F20"/>
          <w:spacing w:val="-12"/>
          <w:w w:val="105"/>
        </w:rPr>
        <w:t> </w:t>
      </w:r>
      <w:r>
        <w:rPr>
          <w:color w:val="231F20"/>
          <w:w w:val="105"/>
        </w:rPr>
        <w:t>se</w:t>
      </w:r>
      <w:r>
        <w:rPr>
          <w:color w:val="231F20"/>
          <w:spacing w:val="-12"/>
          <w:w w:val="105"/>
        </w:rPr>
        <w:t> </w:t>
      </w:r>
      <w:r>
        <w:rPr>
          <w:color w:val="231F20"/>
          <w:spacing w:val="-3"/>
          <w:w w:val="105"/>
        </w:rPr>
        <w:t>situó</w:t>
      </w:r>
      <w:r>
        <w:rPr>
          <w:color w:val="231F20"/>
          <w:spacing w:val="-12"/>
          <w:w w:val="105"/>
        </w:rPr>
        <w:t> </w:t>
      </w:r>
      <w:r>
        <w:rPr>
          <w:color w:val="231F20"/>
          <w:spacing w:val="-3"/>
          <w:w w:val="105"/>
        </w:rPr>
        <w:t>entre</w:t>
      </w:r>
      <w:r>
        <w:rPr>
          <w:color w:val="231F20"/>
          <w:spacing w:val="-12"/>
          <w:w w:val="105"/>
        </w:rPr>
        <w:t> </w:t>
      </w:r>
      <w:r>
        <w:rPr>
          <w:color w:val="231F20"/>
          <w:w w:val="105"/>
        </w:rPr>
        <w:t>los</w:t>
      </w:r>
      <w:r>
        <w:rPr>
          <w:color w:val="231F20"/>
          <w:spacing w:val="-12"/>
          <w:w w:val="105"/>
        </w:rPr>
        <w:t> </w:t>
      </w:r>
      <w:r>
        <w:rPr>
          <w:color w:val="231F20"/>
          <w:w w:val="105"/>
        </w:rPr>
        <w:t>que</w:t>
      </w:r>
      <w:r>
        <w:rPr>
          <w:color w:val="231F20"/>
          <w:spacing w:val="-12"/>
          <w:w w:val="105"/>
        </w:rPr>
        <w:t> </w:t>
      </w:r>
      <w:r>
        <w:rPr>
          <w:color w:val="231F20"/>
          <w:spacing w:val="-3"/>
          <w:w w:val="105"/>
        </w:rPr>
        <w:t>habían</w:t>
      </w:r>
      <w:r>
        <w:rPr>
          <w:color w:val="231F20"/>
          <w:spacing w:val="-12"/>
          <w:w w:val="105"/>
        </w:rPr>
        <w:t> </w:t>
      </w:r>
      <w:r>
        <w:rPr>
          <w:color w:val="231F20"/>
          <w:spacing w:val="-3"/>
          <w:w w:val="105"/>
        </w:rPr>
        <w:t>permanecido</w:t>
      </w:r>
      <w:r>
        <w:rPr>
          <w:color w:val="231F20"/>
          <w:spacing w:val="-12"/>
          <w:w w:val="105"/>
        </w:rPr>
        <w:t> </w:t>
      </w:r>
      <w:r>
        <w:rPr>
          <w:color w:val="231F20"/>
          <w:spacing w:val="-3"/>
          <w:w w:val="105"/>
        </w:rPr>
        <w:t>años,</w:t>
      </w:r>
      <w:r>
        <w:rPr>
          <w:color w:val="231F20"/>
          <w:spacing w:val="-18"/>
          <w:w w:val="105"/>
        </w:rPr>
        <w:t> </w:t>
      </w:r>
      <w:r>
        <w:rPr>
          <w:color w:val="231F20"/>
          <w:spacing w:val="-3"/>
          <w:w w:val="105"/>
        </w:rPr>
        <w:t>con 42.7%</w:t>
      </w:r>
      <w:r>
        <w:rPr>
          <w:color w:val="231F20"/>
          <w:spacing w:val="-33"/>
          <w:w w:val="105"/>
        </w:rPr>
        <w:t> </w:t>
      </w:r>
      <w:r>
        <w:rPr>
          <w:color w:val="231F20"/>
          <w:w w:val="105"/>
        </w:rPr>
        <w:t>de</w:t>
      </w:r>
      <w:r>
        <w:rPr>
          <w:color w:val="231F20"/>
          <w:spacing w:val="-33"/>
          <w:w w:val="105"/>
        </w:rPr>
        <w:t> </w:t>
      </w:r>
      <w:r>
        <w:rPr>
          <w:color w:val="231F20"/>
          <w:w w:val="105"/>
        </w:rPr>
        <w:t>los</w:t>
      </w:r>
      <w:r>
        <w:rPr>
          <w:color w:val="231F20"/>
          <w:spacing w:val="-33"/>
          <w:w w:val="105"/>
        </w:rPr>
        <w:t> </w:t>
      </w:r>
      <w:r>
        <w:rPr>
          <w:color w:val="231F20"/>
          <w:spacing w:val="-3"/>
          <w:w w:val="105"/>
        </w:rPr>
        <w:t>mexiquenses</w:t>
      </w:r>
      <w:r>
        <w:rPr>
          <w:color w:val="231F20"/>
          <w:spacing w:val="-33"/>
          <w:w w:val="105"/>
        </w:rPr>
        <w:t> </w:t>
      </w:r>
      <w:r>
        <w:rPr>
          <w:color w:val="231F20"/>
          <w:spacing w:val="-3"/>
          <w:w w:val="105"/>
        </w:rPr>
        <w:t>devueltos</w:t>
      </w:r>
      <w:r>
        <w:rPr>
          <w:color w:val="231F20"/>
          <w:spacing w:val="-33"/>
          <w:w w:val="105"/>
        </w:rPr>
        <w:t> </w:t>
      </w:r>
      <w:r>
        <w:rPr>
          <w:color w:val="231F20"/>
          <w:spacing w:val="-3"/>
          <w:w w:val="105"/>
        </w:rPr>
        <w:t>(véase</w:t>
      </w:r>
      <w:r>
        <w:rPr>
          <w:color w:val="231F20"/>
          <w:spacing w:val="-33"/>
          <w:w w:val="105"/>
        </w:rPr>
        <w:t> </w:t>
      </w:r>
      <w:r>
        <w:rPr>
          <w:color w:val="231F20"/>
          <w:spacing w:val="-3"/>
          <w:w w:val="105"/>
        </w:rPr>
        <w:t>gráfica</w:t>
      </w:r>
      <w:r>
        <w:rPr>
          <w:color w:val="231F20"/>
          <w:spacing w:val="-33"/>
          <w:w w:val="105"/>
        </w:rPr>
        <w:t> </w:t>
      </w:r>
      <w:r>
        <w:rPr>
          <w:color w:val="231F20"/>
          <w:spacing w:val="-3"/>
          <w:w w:val="105"/>
        </w:rPr>
        <w:t>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tabs>
          <w:tab w:pos="2937" w:val="left" w:leader="none"/>
        </w:tabs>
        <w:spacing w:before="1"/>
        <w:ind w:left="1832" w:right="0" w:firstLine="0"/>
        <w:jc w:val="left"/>
        <w:rPr>
          <w:rFonts w:ascii="Calibri" w:hAnsi="Calibri"/>
          <w:sz w:val="15"/>
        </w:rPr>
      </w:pPr>
      <w:r>
        <w:rPr/>
        <w:pict>
          <v:line style="position:absolute;mso-position-horizontal-relative:page;mso-position-vertical-relative:paragraph;z-index:-471208" from="131.551193pt,.253715pt" to="131.551193pt,36.056114pt" stroked="true" strokeweight=".35pt" strokecolor="#231f20">
            <w10:wrap type="none"/>
          </v:line>
        </w:pict>
      </w:r>
      <w:r>
        <w:rPr/>
        <w:pict>
          <v:line style="position:absolute;mso-position-horizontal-relative:page;mso-position-vertical-relative:paragraph;z-index:-471040" from="15pt,36.055916pt" to="0pt,36.055916pt" stroked="true" strokeweight=".25pt" strokecolor="#000000">
            <w10:wrap type="none"/>
          </v:line>
        </w:pict>
      </w:r>
      <w:r>
        <w:rPr/>
        <w:pict>
          <v:line style="position:absolute;mso-position-horizontal-relative:page;mso-position-vertical-relative:paragraph;z-index:19168" from="508.890015pt,36.055916pt" to="523.890015pt,36.055916pt" stroked="true" strokeweight=".25pt" strokecolor="#000000">
            <w10:wrap type="none"/>
          </v:line>
        </w:pict>
      </w:r>
      <w:r>
        <w:rPr>
          <w:rFonts w:ascii="Arial" w:hAnsi="Arial"/>
          <w:color w:val="414042"/>
          <w:w w:val="105"/>
          <w:position w:val="-5"/>
          <w:sz w:val="20"/>
        </w:rPr>
        <w:t>168</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type w:val="continuous"/>
          <w:pgSz w:w="10480" w:h="14730"/>
          <w:pgMar w:top="0" w:bottom="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9192"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9312" from="15pt,-28.286539pt" to="0pt,-28.286539pt" stroked="true" strokeweight=".25pt" strokecolor="#000000">
            <w10:wrap type="none"/>
          </v:line>
        </w:pict>
      </w:r>
      <w:r>
        <w:rPr/>
        <w:pict>
          <v:line style="position:absolute;mso-position-horizontal-relative:page;mso-position-vertical-relative:paragraph;z-index:19336" from="508.890015pt,-28.286539pt" to="523.890015pt,-28.286539pt" stroked="true" strokeweight=".25pt" strokecolor="#000000">
            <w10:wrap type="none"/>
          </v:line>
        </w:pict>
      </w:r>
      <w:r>
        <w:rPr>
          <w:rFonts w:ascii="Arial"/>
          <w:color w:val="414042"/>
          <w:sz w:val="20"/>
        </w:rPr>
        <w:t>169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18"/>
        </w:rPr>
      </w:pPr>
    </w:p>
    <w:p>
      <w:pPr>
        <w:spacing w:line="249" w:lineRule="auto" w:before="64"/>
        <w:ind w:left="1970" w:right="1855" w:firstLine="0"/>
        <w:jc w:val="center"/>
        <w:rPr>
          <w:rFonts w:ascii="Arial" w:hAnsi="Arial"/>
          <w:sz w:val="18"/>
        </w:rPr>
      </w:pPr>
      <w:r>
        <w:rPr>
          <w:rFonts w:ascii="Arial" w:hAnsi="Arial"/>
          <w:color w:val="231F20"/>
          <w:w w:val="105"/>
          <w:sz w:val="18"/>
        </w:rPr>
        <w:t>Gráfica 10. Distribución porcentual sobre el tiempo que permaneció en Estados Unidos la población mexiquense devuelta por las autoridades migratorias, 2007-2012</w:t>
      </w:r>
    </w:p>
    <w:p>
      <w:pPr>
        <w:spacing w:before="88"/>
        <w:ind w:left="1961" w:right="6753" w:firstLine="0"/>
        <w:jc w:val="left"/>
        <w:rPr>
          <w:rFonts w:ascii="Lucida Sans Unicode"/>
          <w:sz w:val="15"/>
        </w:rPr>
      </w:pPr>
      <w:r>
        <w:rPr/>
        <w:pict>
          <v:group style="position:absolute;margin-left:109.779701pt;margin-top:9.177968pt;width:321.850pt;height:163.2pt;mso-position-horizontal-relative:page;mso-position-vertical-relative:paragraph;z-index:19264" coordorigin="2196,184" coordsize="6437,3264">
            <v:shape style="position:absolute;left:0;top:11165;width:6377;height:1069" coordorigin="0,11165" coordsize="6377,1069" path="m8412,2327l8625,2327m4587,2327l8130,2327m3026,2327l3735,2327m2249,2327l2459,2327m4587,1259l8130,1259m2744,1259l4020,1259m2249,1259l2459,1259e" filled="false" stroked="true" strokeweight=".645pt" strokecolor="#a6a8ab">
              <v:path arrowok="t"/>
            </v:shape>
            <v:shape style="position:absolute;left:2413;top:274;width:5479;height:3128" type="#_x0000_t75" stroked="false">
              <v:imagedata r:id="rId142" o:title=""/>
            </v:shape>
            <v:shape style="position:absolute;left:2698;top:1178;width:5479;height:2224" type="#_x0000_t75" stroked="false">
              <v:imagedata r:id="rId143" o:title=""/>
            </v:shape>
            <v:line style="position:absolute" from="8412,1259" to="8625,1259" stroked="true" strokeweight=".645pt" strokecolor="#a6a8ab"/>
            <v:shape style="position:absolute;left:2979;top:1092;width:5479;height:2311" type="#_x0000_t75" stroked="false">
              <v:imagedata r:id="rId144" o:title=""/>
            </v:shape>
            <v:rect style="position:absolute;left:6287;top:3324;width:282;height:70" filled="true" fillcolor="#a1a3a5" stroked="false">
              <v:fill type="solid"/>
            </v:rect>
            <v:line style="position:absolute" from="5011,3389" to="5296,3389" stroked="true" strokeweight=".582pt" strokecolor="#a1a3a5"/>
            <v:shape style="position:absolute;left:2459;top:298;width:5387;height:3097" coordorigin="2459,298" coordsize="5387,3097" path="m2744,298l2459,298,2459,3395,2744,3395,2744,298m4020,1500l3735,1500,3735,3395,4020,3395,4020,1500m7845,3132l7563,3132,7563,3395,7845,3395,7845,3132e" filled="true" fillcolor="#808285" stroked="false">
              <v:path arrowok="t"/>
              <v:fill type="solid"/>
            </v:shape>
            <v:rect style="position:absolute;left:6287;top:3324;width:282;height:70" filled="true" fillcolor="#808285" stroked="false">
              <v:fill type="solid"/>
            </v:rect>
            <v:line style="position:absolute" from="5011,3389" to="5296,3389" stroked="true" strokeweight=".582pt" strokecolor="#808285"/>
            <v:shape style="position:absolute;left:2744;top:1200;width:5387;height:2196" coordorigin="2744,1200" coordsize="5387,2196" path="m3026,1444l2744,1444,2744,3395,3026,3395,3026,1444m4302,1200l4020,1200,4020,3395,4302,3395,4302,1200m5578,3294l5296,3294,5296,3395,5578,3395,5578,3294m6854,3188l6569,3188,6569,3395,6854,3395,6854,3188m8130,2510l7845,2510,7845,3395,8130,3395,8130,2510e" filled="true" fillcolor="#b1b3b6" stroked="false">
              <v:path arrowok="t"/>
              <v:fill type="solid"/>
            </v:shape>
            <v:shape style="position:absolute;left:3026;top:1113;width:5387;height:2282" coordorigin="3026,1113" coordsize="5387,2282" path="m3311,3108l3026,3108,3026,3395,3311,3395,3311,3108m4587,1190l4302,1190,4302,3395,4587,3395,4587,1190m5863,3080l5578,3080,5578,3395,5863,3395,5863,3080m7136,3139l6854,3139,6854,3395,7136,3395,7136,3139m8412,1113l8130,1113,8130,3395,8412,3395,8412,1113e" filled="true" fillcolor="#d1d3d4" stroked="false">
              <v:path arrowok="t"/>
              <v:fill type="solid"/>
            </v:shape>
            <v:line style="position:absolute" from="2249,190" to="8625,190" stroked="true" strokeweight=".645pt" strokecolor="#a6a8ab"/>
            <v:line style="position:absolute" from="2248,3395" to="2248,191" stroked="true" strokeweight=".645pt" strokecolor="#a6a8ab"/>
            <v:shape style="position:absolute;left:0;top:9029;width:46;height:3205" coordorigin="0,9029" coordsize="46,3205" path="m2202,3395l2248,3395m2202,2327l2248,2327m2202,1259l2248,1259m2202,190l2248,190e" filled="false" stroked="true" strokeweight=".645pt" strokecolor="#a6a8ab">
              <v:path arrowok="t"/>
            </v:shape>
            <v:line style="position:absolute" from="2248,3395" to="8625,3395" stroked="true" strokeweight=".645pt" strokecolor="#a6a8ab"/>
            <v:shape style="position:absolute;left:0;top:12234;width:6377;height:46" coordorigin="0,12234" coordsize="6377,46" path="m2249,3396l2249,3441m3525,3396l3525,3441m4798,3396l4798,3441m6074,3396l6074,3441m7350,3396l7350,3441m8625,3396l8625,3441e" filled="false" stroked="true" strokeweight=".645pt" strokecolor="#a6a8ab">
              <v:path arrowok="t"/>
            </v:shape>
            <w10:wrap type="none"/>
          </v:group>
        </w:pict>
      </w:r>
      <w:r>
        <w:rPr>
          <w:rFonts w:ascii="Lucida Sans Unicode"/>
          <w:color w:val="231F20"/>
          <w:sz w:val="15"/>
        </w:rPr>
        <w:t>60</w:t>
      </w:r>
    </w:p>
    <w:p>
      <w:pPr>
        <w:pStyle w:val="BodyText"/>
        <w:rPr>
          <w:rFonts w:ascii="Lucida Sans Unicode"/>
          <w:sz w:val="20"/>
        </w:rPr>
      </w:pPr>
    </w:p>
    <w:p>
      <w:pPr>
        <w:pStyle w:val="BodyText"/>
        <w:rPr>
          <w:rFonts w:ascii="Lucida Sans Unicode"/>
          <w:sz w:val="20"/>
        </w:rPr>
      </w:pPr>
    </w:p>
    <w:p>
      <w:pPr>
        <w:pStyle w:val="BodyText"/>
        <w:spacing w:before="7"/>
        <w:rPr>
          <w:rFonts w:ascii="Lucida Sans Unicode"/>
          <w:sz w:val="14"/>
        </w:rPr>
      </w:pPr>
    </w:p>
    <w:p>
      <w:pPr>
        <w:spacing w:before="1"/>
        <w:ind w:left="1961" w:right="6753" w:firstLine="0"/>
        <w:jc w:val="left"/>
        <w:rPr>
          <w:rFonts w:ascii="Lucida Sans Unicode"/>
          <w:sz w:val="15"/>
        </w:rPr>
      </w:pPr>
      <w:r>
        <w:rPr>
          <w:rFonts w:ascii="Lucida Sans Unicode"/>
          <w:color w:val="231F20"/>
          <w:sz w:val="15"/>
        </w:rPr>
        <w:t>40</w:t>
      </w:r>
    </w:p>
    <w:p>
      <w:pPr>
        <w:pStyle w:val="BodyText"/>
        <w:rPr>
          <w:rFonts w:ascii="Lucida Sans Unicode"/>
          <w:sz w:val="20"/>
        </w:rPr>
      </w:pPr>
    </w:p>
    <w:p>
      <w:pPr>
        <w:pStyle w:val="BodyText"/>
        <w:rPr>
          <w:rFonts w:ascii="Lucida Sans Unicode"/>
          <w:sz w:val="20"/>
        </w:rPr>
      </w:pPr>
    </w:p>
    <w:p>
      <w:pPr>
        <w:pStyle w:val="BodyText"/>
        <w:spacing w:before="7"/>
        <w:rPr>
          <w:rFonts w:ascii="Lucida Sans Unicode"/>
          <w:sz w:val="14"/>
        </w:rPr>
      </w:pPr>
    </w:p>
    <w:p>
      <w:pPr>
        <w:spacing w:before="1"/>
        <w:ind w:left="1961" w:right="6753" w:firstLine="0"/>
        <w:jc w:val="left"/>
        <w:rPr>
          <w:rFonts w:ascii="Lucida Sans Unicode"/>
          <w:sz w:val="15"/>
        </w:rPr>
      </w:pPr>
      <w:r>
        <w:rPr>
          <w:rFonts w:ascii="Lucida Sans Unicode"/>
          <w:color w:val="231F20"/>
          <w:sz w:val="15"/>
        </w:rPr>
        <w:t>20</w:t>
      </w:r>
    </w:p>
    <w:p>
      <w:pPr>
        <w:pStyle w:val="BodyText"/>
        <w:rPr>
          <w:rFonts w:ascii="Lucida Sans Unicode"/>
          <w:sz w:val="20"/>
        </w:rPr>
      </w:pPr>
    </w:p>
    <w:p>
      <w:pPr>
        <w:pStyle w:val="BodyText"/>
        <w:rPr>
          <w:rFonts w:ascii="Lucida Sans Unicode"/>
          <w:sz w:val="20"/>
        </w:rPr>
      </w:pPr>
    </w:p>
    <w:p>
      <w:pPr>
        <w:pStyle w:val="BodyText"/>
        <w:spacing w:before="7"/>
        <w:rPr>
          <w:rFonts w:ascii="Lucida Sans Unicode"/>
          <w:sz w:val="14"/>
        </w:rPr>
      </w:pPr>
    </w:p>
    <w:p>
      <w:pPr>
        <w:spacing w:line="208" w:lineRule="exact" w:before="1"/>
        <w:ind w:left="2038" w:right="0" w:firstLine="0"/>
        <w:jc w:val="left"/>
        <w:rPr>
          <w:rFonts w:ascii="Lucida Sans Unicode"/>
          <w:sz w:val="15"/>
        </w:rPr>
      </w:pPr>
      <w:r>
        <w:rPr>
          <w:rFonts w:ascii="Lucida Sans Unicode"/>
          <w:color w:val="231F20"/>
          <w:w w:val="94"/>
          <w:sz w:val="15"/>
        </w:rPr>
        <w:t>0</w:t>
      </w:r>
    </w:p>
    <w:p>
      <w:pPr>
        <w:tabs>
          <w:tab w:pos="4018" w:val="left" w:leader="none"/>
          <w:tab w:pos="5111" w:val="left" w:leader="none"/>
          <w:tab w:pos="6516" w:val="left" w:leader="none"/>
          <w:tab w:pos="7830" w:val="left" w:leader="none"/>
        </w:tabs>
        <w:spacing w:line="208" w:lineRule="exact" w:before="0"/>
        <w:ind w:left="2702" w:right="0" w:firstLine="0"/>
        <w:jc w:val="left"/>
        <w:rPr>
          <w:rFonts w:ascii="Lucida Sans Unicode" w:hAnsi="Lucida Sans Unicode"/>
          <w:sz w:val="15"/>
        </w:rPr>
      </w:pPr>
      <w:r>
        <w:rPr>
          <w:rFonts w:ascii="Lucida Sans Unicode" w:hAnsi="Lucida Sans Unicode"/>
          <w:color w:val="231F20"/>
          <w:sz w:val="15"/>
        </w:rPr>
        <w:t>Horas</w:t>
        <w:tab/>
        <w:t>Días</w:t>
        <w:tab/>
        <w:t>Semanas</w:t>
        <w:tab/>
        <w:t>Meses</w:t>
        <w:tab/>
        <w:t>Años</w:t>
      </w:r>
    </w:p>
    <w:p>
      <w:pPr>
        <w:pStyle w:val="BodyText"/>
        <w:spacing w:before="1"/>
        <w:rPr>
          <w:rFonts w:ascii="Lucida Sans Unicode"/>
          <w:sz w:val="8"/>
        </w:rPr>
      </w:pPr>
    </w:p>
    <w:p>
      <w:pPr>
        <w:tabs>
          <w:tab w:pos="1563" w:val="left" w:leader="none"/>
          <w:tab w:pos="2575" w:val="left" w:leader="none"/>
        </w:tabs>
        <w:spacing w:before="48"/>
        <w:ind w:left="545" w:right="0" w:firstLine="0"/>
        <w:jc w:val="center"/>
        <w:rPr>
          <w:rFonts w:ascii="Comic Sans MS"/>
          <w:b/>
          <w:sz w:val="15"/>
        </w:rPr>
      </w:pPr>
      <w:r>
        <w:rPr/>
        <w:pict>
          <v:rect style="position:absolute;margin-left:250.882996pt;margin-top:2.043788pt;width:10.975pt;height:10.671pt;mso-position-horizontal-relative:page;mso-position-vertical-relative:paragraph;z-index:-470968" filled="true" fillcolor="#b1b3b6" stroked="false">
            <v:fill type="solid"/>
            <w10:wrap type="none"/>
          </v:rect>
        </w:pict>
      </w:r>
      <w:r>
        <w:rPr/>
        <w:pict>
          <v:rect style="position:absolute;margin-left:301.885010pt;margin-top:2.043788pt;width:10.975pt;height:10.671pt;mso-position-horizontal-relative:page;mso-position-vertical-relative:paragraph;z-index:-470944" filled="true" fillcolor="#d1d3d4" stroked="false">
            <v:fill type="solid"/>
            <w10:wrap type="none"/>
          </v:rect>
        </w:pict>
      </w:r>
      <w:r>
        <w:rPr/>
        <w:pict>
          <v:rect style="position:absolute;margin-left:201.061996pt;margin-top:2.043788pt;width:10.975pt;height:10.671pt;mso-position-horizontal-relative:page;mso-position-vertical-relative:paragraph;z-index:19288" filled="true" fillcolor="#808285" stroked="false">
            <v:fill type="solid"/>
            <w10:wrap type="none"/>
          </v:rect>
        </w:pict>
      </w:r>
      <w:r>
        <w:rPr>
          <w:rFonts w:ascii="Comic Sans MS"/>
          <w:b/>
          <w:color w:val="231F20"/>
          <w:w w:val="105"/>
          <w:sz w:val="15"/>
        </w:rPr>
        <w:t>2007</w:t>
        <w:tab/>
        <w:t>2009</w:t>
        <w:tab/>
        <w:t>2012</w:t>
      </w:r>
    </w:p>
    <w:p>
      <w:pPr>
        <w:spacing w:before="39"/>
        <w:ind w:left="1950" w:right="0" w:firstLine="0"/>
        <w:jc w:val="left"/>
        <w:rPr>
          <w:rFonts w:ascii="Arial" w:hAnsi="Arial"/>
          <w:sz w:val="16"/>
        </w:rPr>
      </w:pPr>
      <w:r>
        <w:rPr>
          <w:rFonts w:ascii="Arial" w:hAnsi="Arial"/>
          <w:color w:val="231F20"/>
          <w:w w:val="105"/>
          <w:sz w:val="16"/>
        </w:rPr>
        <w:t>Fuente: elaboración propia con base en la </w:t>
      </w:r>
      <w:r>
        <w:rPr>
          <w:rFonts w:ascii="Arial" w:hAnsi="Arial"/>
          <w:color w:val="231F20"/>
          <w:w w:val="105"/>
          <w:sz w:val="14"/>
        </w:rPr>
        <w:t>EMIF</w:t>
      </w:r>
      <w:r>
        <w:rPr>
          <w:rFonts w:ascii="Arial" w:hAnsi="Arial"/>
          <w:color w:val="231F20"/>
          <w:w w:val="105"/>
          <w:sz w:val="16"/>
        </w:rPr>
        <w:t>-Norte 2007, 2009 y 2012.</w:t>
      </w:r>
    </w:p>
    <w:p>
      <w:pPr>
        <w:pStyle w:val="BodyText"/>
        <w:rPr>
          <w:rFonts w:ascii="Arial"/>
          <w:sz w:val="16"/>
        </w:rPr>
      </w:pPr>
    </w:p>
    <w:p>
      <w:pPr>
        <w:pStyle w:val="BodyText"/>
        <w:rPr>
          <w:rFonts w:ascii="Arial"/>
          <w:sz w:val="16"/>
        </w:rPr>
      </w:pPr>
    </w:p>
    <w:p>
      <w:pPr>
        <w:pStyle w:val="Heading3"/>
        <w:spacing w:before="111"/>
        <w:rPr>
          <w:rFonts w:ascii="Tahoma"/>
        </w:rPr>
      </w:pPr>
      <w:r>
        <w:rPr>
          <w:rFonts w:ascii="Tahoma"/>
          <w:color w:val="231F20"/>
        </w:rPr>
        <w:t>Conclusiones</w:t>
      </w:r>
    </w:p>
    <w:p>
      <w:pPr>
        <w:pStyle w:val="BodyText"/>
        <w:rPr>
          <w:rFonts w:ascii="Tahoma"/>
          <w:b/>
          <w:sz w:val="22"/>
        </w:rPr>
      </w:pPr>
    </w:p>
    <w:p>
      <w:pPr>
        <w:pStyle w:val="BodyText"/>
        <w:spacing w:line="259" w:lineRule="auto" w:before="149"/>
        <w:ind w:left="1837" w:right="1715"/>
        <w:jc w:val="both"/>
        <w:rPr>
          <w:rFonts w:ascii="Arial" w:hAnsi="Arial"/>
        </w:rPr>
      </w:pPr>
      <w:r>
        <w:rPr>
          <w:rFonts w:ascii="Arial" w:hAnsi="Arial"/>
          <w:color w:val="231F20"/>
          <w:w w:val="105"/>
        </w:rPr>
        <w:t>Asociar</w:t>
      </w:r>
      <w:r>
        <w:rPr>
          <w:rFonts w:ascii="Arial" w:hAnsi="Arial"/>
          <w:color w:val="231F20"/>
          <w:spacing w:val="-7"/>
          <w:w w:val="105"/>
        </w:rPr>
        <w:t> </w:t>
      </w:r>
      <w:r>
        <w:rPr>
          <w:rFonts w:ascii="Arial" w:hAnsi="Arial"/>
          <w:color w:val="231F20"/>
          <w:w w:val="105"/>
        </w:rPr>
        <w:t>la</w:t>
      </w:r>
      <w:r>
        <w:rPr>
          <w:rFonts w:ascii="Arial" w:hAnsi="Arial"/>
          <w:color w:val="231F20"/>
          <w:spacing w:val="-7"/>
          <w:w w:val="105"/>
        </w:rPr>
        <w:t> </w:t>
      </w:r>
      <w:r>
        <w:rPr>
          <w:rFonts w:ascii="Arial" w:hAnsi="Arial"/>
          <w:color w:val="231F20"/>
          <w:w w:val="105"/>
        </w:rPr>
        <w:t>migración</w:t>
      </w:r>
      <w:r>
        <w:rPr>
          <w:rFonts w:ascii="Arial" w:hAnsi="Arial"/>
          <w:color w:val="231F20"/>
          <w:spacing w:val="-7"/>
          <w:w w:val="105"/>
        </w:rPr>
        <w:t> </w:t>
      </w:r>
      <w:r>
        <w:rPr>
          <w:rFonts w:ascii="Arial" w:hAnsi="Arial"/>
          <w:color w:val="231F20"/>
          <w:w w:val="105"/>
        </w:rPr>
        <w:t>internacional</w:t>
      </w:r>
      <w:r>
        <w:rPr>
          <w:rFonts w:ascii="Arial" w:hAnsi="Arial"/>
          <w:color w:val="231F20"/>
          <w:spacing w:val="-7"/>
          <w:w w:val="105"/>
        </w:rPr>
        <w:t> </w:t>
      </w:r>
      <w:r>
        <w:rPr>
          <w:rFonts w:ascii="Arial" w:hAnsi="Arial"/>
          <w:color w:val="231F20"/>
          <w:w w:val="105"/>
        </w:rPr>
        <w:t>con</w:t>
      </w:r>
      <w:r>
        <w:rPr>
          <w:rFonts w:ascii="Arial" w:hAnsi="Arial"/>
          <w:color w:val="231F20"/>
          <w:spacing w:val="-7"/>
          <w:w w:val="105"/>
        </w:rPr>
        <w:t> </w:t>
      </w:r>
      <w:r>
        <w:rPr>
          <w:rFonts w:ascii="Arial" w:hAnsi="Arial"/>
          <w:color w:val="231F20"/>
          <w:w w:val="105"/>
        </w:rPr>
        <w:t>políticas</w:t>
      </w:r>
      <w:r>
        <w:rPr>
          <w:rFonts w:ascii="Arial" w:hAnsi="Arial"/>
          <w:color w:val="231F20"/>
          <w:spacing w:val="-7"/>
          <w:w w:val="105"/>
        </w:rPr>
        <w:t> </w:t>
      </w:r>
      <w:r>
        <w:rPr>
          <w:rFonts w:ascii="Arial" w:hAnsi="Arial"/>
          <w:color w:val="231F20"/>
          <w:w w:val="105"/>
        </w:rPr>
        <w:t>de</w:t>
      </w:r>
      <w:r>
        <w:rPr>
          <w:rFonts w:ascii="Arial" w:hAnsi="Arial"/>
          <w:color w:val="231F20"/>
          <w:spacing w:val="-7"/>
          <w:w w:val="105"/>
        </w:rPr>
        <w:t> </w:t>
      </w:r>
      <w:r>
        <w:rPr>
          <w:rFonts w:ascii="Arial" w:hAnsi="Arial"/>
          <w:color w:val="231F20"/>
          <w:w w:val="105"/>
        </w:rPr>
        <w:t>seguridad</w:t>
      </w:r>
      <w:r>
        <w:rPr>
          <w:rFonts w:ascii="Arial" w:hAnsi="Arial"/>
          <w:color w:val="231F20"/>
          <w:spacing w:val="-7"/>
          <w:w w:val="105"/>
        </w:rPr>
        <w:t> </w:t>
      </w:r>
      <w:r>
        <w:rPr>
          <w:rFonts w:ascii="Arial" w:hAnsi="Arial"/>
          <w:color w:val="231F20"/>
          <w:w w:val="105"/>
        </w:rPr>
        <w:t>–e</w:t>
      </w:r>
      <w:r>
        <w:rPr>
          <w:rFonts w:ascii="Arial" w:hAnsi="Arial"/>
          <w:color w:val="231F20"/>
          <w:spacing w:val="-7"/>
          <w:w w:val="105"/>
        </w:rPr>
        <w:t> </w:t>
      </w:r>
      <w:r>
        <w:rPr>
          <w:rFonts w:ascii="Arial" w:hAnsi="Arial"/>
          <w:color w:val="231F20"/>
          <w:w w:val="105"/>
        </w:rPr>
        <w:t>incluso criminalizar los desplazamientos migratorios- permite justificar la inter- vención de las autoridades policiacas y militares, incrementando la</w:t>
      </w:r>
      <w:r>
        <w:rPr>
          <w:rFonts w:ascii="Arial" w:hAnsi="Arial"/>
          <w:color w:val="231F20"/>
          <w:spacing w:val="-21"/>
          <w:w w:val="105"/>
        </w:rPr>
        <w:t> </w:t>
      </w:r>
      <w:r>
        <w:rPr>
          <w:rFonts w:ascii="Arial" w:hAnsi="Arial"/>
          <w:color w:val="231F20"/>
          <w:w w:val="105"/>
        </w:rPr>
        <w:t>vul- nerabilidad</w:t>
      </w:r>
      <w:r>
        <w:rPr>
          <w:rFonts w:ascii="Arial" w:hAnsi="Arial"/>
          <w:color w:val="231F20"/>
          <w:spacing w:val="-28"/>
          <w:w w:val="105"/>
        </w:rPr>
        <w:t> </w:t>
      </w:r>
      <w:r>
        <w:rPr>
          <w:rFonts w:ascii="Arial" w:hAnsi="Arial"/>
          <w:color w:val="231F20"/>
          <w:w w:val="105"/>
        </w:rPr>
        <w:t>y</w:t>
      </w:r>
      <w:r>
        <w:rPr>
          <w:rFonts w:ascii="Arial" w:hAnsi="Arial"/>
          <w:color w:val="231F20"/>
          <w:spacing w:val="-28"/>
          <w:w w:val="105"/>
        </w:rPr>
        <w:t> </w:t>
      </w:r>
      <w:r>
        <w:rPr>
          <w:rFonts w:ascii="Arial" w:hAnsi="Arial"/>
          <w:color w:val="231F20"/>
          <w:w w:val="105"/>
        </w:rPr>
        <w:t>riesgos</w:t>
      </w:r>
      <w:r>
        <w:rPr>
          <w:rFonts w:ascii="Arial" w:hAnsi="Arial"/>
          <w:color w:val="231F20"/>
          <w:spacing w:val="-28"/>
          <w:w w:val="105"/>
        </w:rPr>
        <w:t> </w:t>
      </w:r>
      <w:r>
        <w:rPr>
          <w:rFonts w:ascii="Arial" w:hAnsi="Arial"/>
          <w:color w:val="231F20"/>
          <w:w w:val="105"/>
        </w:rPr>
        <w:t>para</w:t>
      </w:r>
      <w:r>
        <w:rPr>
          <w:rFonts w:ascii="Arial" w:hAnsi="Arial"/>
          <w:color w:val="231F20"/>
          <w:spacing w:val="-28"/>
          <w:w w:val="105"/>
        </w:rPr>
        <w:t> </w:t>
      </w:r>
      <w:r>
        <w:rPr>
          <w:rFonts w:ascii="Arial" w:hAnsi="Arial"/>
          <w:color w:val="231F20"/>
          <w:w w:val="105"/>
        </w:rPr>
        <w:t>las</w:t>
      </w:r>
      <w:r>
        <w:rPr>
          <w:rFonts w:ascii="Arial" w:hAnsi="Arial"/>
          <w:color w:val="231F20"/>
          <w:spacing w:val="-28"/>
          <w:w w:val="105"/>
        </w:rPr>
        <w:t> </w:t>
      </w:r>
      <w:r>
        <w:rPr>
          <w:rFonts w:ascii="Arial" w:hAnsi="Arial"/>
          <w:color w:val="231F20"/>
          <w:w w:val="105"/>
        </w:rPr>
        <w:t>personas</w:t>
      </w:r>
      <w:r>
        <w:rPr>
          <w:rFonts w:ascii="Arial" w:hAnsi="Arial"/>
          <w:color w:val="231F20"/>
          <w:spacing w:val="-28"/>
          <w:w w:val="105"/>
        </w:rPr>
        <w:t> </w:t>
      </w:r>
      <w:r>
        <w:rPr>
          <w:rFonts w:ascii="Arial" w:hAnsi="Arial"/>
          <w:color w:val="231F20"/>
          <w:w w:val="105"/>
        </w:rPr>
        <w:t>migrantes</w:t>
      </w:r>
      <w:r>
        <w:rPr>
          <w:rFonts w:ascii="Arial" w:hAnsi="Arial"/>
          <w:color w:val="231F20"/>
          <w:spacing w:val="-28"/>
          <w:w w:val="105"/>
        </w:rPr>
        <w:t> </w:t>
      </w:r>
      <w:r>
        <w:rPr>
          <w:rFonts w:ascii="Arial" w:hAnsi="Arial"/>
          <w:color w:val="231F20"/>
          <w:w w:val="105"/>
        </w:rPr>
        <w:t>(Anguiano,</w:t>
      </w:r>
      <w:r>
        <w:rPr>
          <w:rFonts w:ascii="Arial" w:hAnsi="Arial"/>
          <w:color w:val="231F20"/>
          <w:spacing w:val="-32"/>
          <w:w w:val="105"/>
        </w:rPr>
        <w:t> </w:t>
      </w:r>
      <w:r>
        <w:rPr>
          <w:rFonts w:ascii="Arial" w:hAnsi="Arial"/>
          <w:color w:val="231F20"/>
          <w:w w:val="105"/>
        </w:rPr>
        <w:t>2010:</w:t>
      </w:r>
      <w:r>
        <w:rPr>
          <w:rFonts w:ascii="Arial" w:hAnsi="Arial"/>
          <w:color w:val="231F20"/>
          <w:spacing w:val="-28"/>
          <w:w w:val="105"/>
        </w:rPr>
        <w:t> </w:t>
      </w:r>
      <w:r>
        <w:rPr>
          <w:rFonts w:ascii="Arial" w:hAnsi="Arial"/>
          <w:color w:val="231F20"/>
          <w:w w:val="105"/>
        </w:rPr>
        <w:t>178). En</w:t>
      </w:r>
      <w:r>
        <w:rPr>
          <w:rFonts w:ascii="Arial" w:hAnsi="Arial"/>
          <w:color w:val="231F20"/>
          <w:spacing w:val="-18"/>
          <w:w w:val="105"/>
        </w:rPr>
        <w:t> </w:t>
      </w:r>
      <w:r>
        <w:rPr>
          <w:rFonts w:ascii="Arial" w:hAnsi="Arial"/>
          <w:color w:val="231F20"/>
          <w:w w:val="105"/>
        </w:rPr>
        <w:t>tal</w:t>
      </w:r>
      <w:r>
        <w:rPr>
          <w:rFonts w:ascii="Arial" w:hAnsi="Arial"/>
          <w:color w:val="231F20"/>
          <w:spacing w:val="-18"/>
          <w:w w:val="105"/>
        </w:rPr>
        <w:t> </w:t>
      </w:r>
      <w:r>
        <w:rPr>
          <w:rFonts w:ascii="Arial" w:hAnsi="Arial"/>
          <w:color w:val="231F20"/>
          <w:w w:val="105"/>
        </w:rPr>
        <w:t>sentido,</w:t>
      </w:r>
      <w:r>
        <w:rPr>
          <w:rFonts w:ascii="Arial" w:hAnsi="Arial"/>
          <w:color w:val="231F20"/>
          <w:spacing w:val="-24"/>
          <w:w w:val="105"/>
        </w:rPr>
        <w:t> </w:t>
      </w:r>
      <w:r>
        <w:rPr>
          <w:rFonts w:ascii="Arial" w:hAnsi="Arial"/>
          <w:color w:val="231F20"/>
          <w:w w:val="105"/>
        </w:rPr>
        <w:t>se</w:t>
      </w:r>
      <w:r>
        <w:rPr>
          <w:rFonts w:ascii="Arial" w:hAnsi="Arial"/>
          <w:color w:val="231F20"/>
          <w:spacing w:val="-18"/>
          <w:w w:val="105"/>
        </w:rPr>
        <w:t> </w:t>
      </w:r>
      <w:r>
        <w:rPr>
          <w:rFonts w:ascii="Arial" w:hAnsi="Arial"/>
          <w:color w:val="231F20"/>
          <w:w w:val="105"/>
        </w:rPr>
        <w:t>ha</w:t>
      </w:r>
      <w:r>
        <w:rPr>
          <w:rFonts w:ascii="Arial" w:hAnsi="Arial"/>
          <w:color w:val="231F20"/>
          <w:spacing w:val="-18"/>
          <w:w w:val="105"/>
        </w:rPr>
        <w:t> </w:t>
      </w:r>
      <w:r>
        <w:rPr>
          <w:rFonts w:ascii="Arial" w:hAnsi="Arial"/>
          <w:color w:val="231F20"/>
          <w:w w:val="105"/>
        </w:rPr>
        <w:t>visto</w:t>
      </w:r>
      <w:r>
        <w:rPr>
          <w:rFonts w:ascii="Arial" w:hAnsi="Arial"/>
          <w:color w:val="231F20"/>
          <w:spacing w:val="-18"/>
          <w:w w:val="105"/>
        </w:rPr>
        <w:t> </w:t>
      </w:r>
      <w:r>
        <w:rPr>
          <w:rFonts w:ascii="Arial" w:hAnsi="Arial"/>
          <w:color w:val="231F20"/>
          <w:w w:val="105"/>
        </w:rPr>
        <w:t>que</w:t>
      </w:r>
      <w:r>
        <w:rPr>
          <w:rFonts w:ascii="Arial" w:hAnsi="Arial"/>
          <w:color w:val="231F20"/>
          <w:spacing w:val="-18"/>
          <w:w w:val="105"/>
        </w:rPr>
        <w:t> </w:t>
      </w:r>
      <w:r>
        <w:rPr>
          <w:rFonts w:ascii="Arial" w:hAnsi="Arial"/>
          <w:color w:val="231F20"/>
          <w:w w:val="105"/>
        </w:rPr>
        <w:t>el</w:t>
      </w:r>
      <w:r>
        <w:rPr>
          <w:rFonts w:ascii="Arial" w:hAnsi="Arial"/>
          <w:color w:val="231F20"/>
          <w:spacing w:val="-18"/>
          <w:w w:val="105"/>
        </w:rPr>
        <w:t> </w:t>
      </w:r>
      <w:r>
        <w:rPr>
          <w:rFonts w:ascii="Arial" w:hAnsi="Arial"/>
          <w:color w:val="231F20"/>
          <w:w w:val="105"/>
        </w:rPr>
        <w:t>predominio</w:t>
      </w:r>
      <w:r>
        <w:rPr>
          <w:rFonts w:ascii="Arial" w:hAnsi="Arial"/>
          <w:color w:val="231F20"/>
          <w:spacing w:val="-18"/>
          <w:w w:val="105"/>
        </w:rPr>
        <w:t> </w:t>
      </w:r>
      <w:r>
        <w:rPr>
          <w:rFonts w:ascii="Arial" w:hAnsi="Arial"/>
          <w:color w:val="231F20"/>
          <w:w w:val="105"/>
        </w:rPr>
        <w:t>del</w:t>
      </w:r>
      <w:r>
        <w:rPr>
          <w:rFonts w:ascii="Arial" w:hAnsi="Arial"/>
          <w:color w:val="231F20"/>
          <w:spacing w:val="-18"/>
          <w:w w:val="105"/>
        </w:rPr>
        <w:t> </w:t>
      </w:r>
      <w:r>
        <w:rPr>
          <w:rFonts w:ascii="Arial" w:hAnsi="Arial"/>
          <w:color w:val="231F20"/>
          <w:w w:val="105"/>
        </w:rPr>
        <w:t>paradigma</w:t>
      </w:r>
      <w:r>
        <w:rPr>
          <w:rFonts w:ascii="Arial" w:hAnsi="Arial"/>
          <w:color w:val="231F20"/>
          <w:spacing w:val="-18"/>
          <w:w w:val="105"/>
        </w:rPr>
        <w:t> </w:t>
      </w:r>
      <w:r>
        <w:rPr>
          <w:rFonts w:ascii="Arial" w:hAnsi="Arial"/>
          <w:color w:val="231F20"/>
          <w:w w:val="105"/>
        </w:rPr>
        <w:t>de</w:t>
      </w:r>
      <w:r>
        <w:rPr>
          <w:rFonts w:ascii="Arial" w:hAnsi="Arial"/>
          <w:color w:val="231F20"/>
          <w:spacing w:val="-18"/>
          <w:w w:val="105"/>
        </w:rPr>
        <w:t> </w:t>
      </w:r>
      <w:r>
        <w:rPr>
          <w:rFonts w:ascii="Arial" w:hAnsi="Arial"/>
          <w:color w:val="231F20"/>
          <w:w w:val="105"/>
        </w:rPr>
        <w:t>seguridad nacional,</w:t>
      </w:r>
      <w:r>
        <w:rPr>
          <w:rFonts w:ascii="Arial" w:hAnsi="Arial"/>
          <w:color w:val="231F20"/>
          <w:spacing w:val="-23"/>
          <w:w w:val="105"/>
        </w:rPr>
        <w:t> </w:t>
      </w:r>
      <w:r>
        <w:rPr>
          <w:rFonts w:ascii="Arial" w:hAnsi="Arial"/>
          <w:color w:val="231F20"/>
          <w:w w:val="105"/>
        </w:rPr>
        <w:t>por</w:t>
      </w:r>
      <w:r>
        <w:rPr>
          <w:rFonts w:ascii="Arial" w:hAnsi="Arial"/>
          <w:color w:val="231F20"/>
          <w:spacing w:val="-18"/>
          <w:w w:val="105"/>
        </w:rPr>
        <w:t> </w:t>
      </w:r>
      <w:r>
        <w:rPr>
          <w:rFonts w:ascii="Arial" w:hAnsi="Arial"/>
          <w:color w:val="231F20"/>
          <w:w w:val="105"/>
        </w:rPr>
        <w:t>encima</w:t>
      </w:r>
      <w:r>
        <w:rPr>
          <w:rFonts w:ascii="Arial" w:hAnsi="Arial"/>
          <w:color w:val="231F20"/>
          <w:spacing w:val="-18"/>
          <w:w w:val="105"/>
        </w:rPr>
        <w:t> </w:t>
      </w:r>
      <w:r>
        <w:rPr>
          <w:rFonts w:ascii="Arial" w:hAnsi="Arial"/>
          <w:color w:val="231F20"/>
          <w:w w:val="105"/>
        </w:rPr>
        <w:t>de</w:t>
      </w:r>
      <w:r>
        <w:rPr>
          <w:rFonts w:ascii="Arial" w:hAnsi="Arial"/>
          <w:color w:val="231F20"/>
          <w:spacing w:val="-18"/>
          <w:w w:val="105"/>
        </w:rPr>
        <w:t> </w:t>
      </w:r>
      <w:r>
        <w:rPr>
          <w:rFonts w:ascii="Arial" w:hAnsi="Arial"/>
          <w:color w:val="231F20"/>
          <w:w w:val="105"/>
        </w:rPr>
        <w:t>la</w:t>
      </w:r>
      <w:r>
        <w:rPr>
          <w:rFonts w:ascii="Arial" w:hAnsi="Arial"/>
          <w:color w:val="231F20"/>
          <w:spacing w:val="-18"/>
          <w:w w:val="105"/>
        </w:rPr>
        <w:t> </w:t>
      </w:r>
      <w:r>
        <w:rPr>
          <w:rFonts w:ascii="Arial" w:hAnsi="Arial"/>
          <w:color w:val="231F20"/>
          <w:w w:val="105"/>
        </w:rPr>
        <w:t>seguridad</w:t>
      </w:r>
      <w:r>
        <w:rPr>
          <w:rFonts w:ascii="Arial" w:hAnsi="Arial"/>
          <w:color w:val="231F20"/>
          <w:spacing w:val="-18"/>
          <w:w w:val="105"/>
        </w:rPr>
        <w:t> </w:t>
      </w:r>
      <w:r>
        <w:rPr>
          <w:rFonts w:ascii="Arial" w:hAnsi="Arial"/>
          <w:color w:val="231F20"/>
          <w:w w:val="105"/>
        </w:rPr>
        <w:t>de</w:t>
      </w:r>
      <w:r>
        <w:rPr>
          <w:rFonts w:ascii="Arial" w:hAnsi="Arial"/>
          <w:color w:val="231F20"/>
          <w:spacing w:val="-18"/>
          <w:w w:val="105"/>
        </w:rPr>
        <w:t> </w:t>
      </w:r>
      <w:r>
        <w:rPr>
          <w:rFonts w:ascii="Arial" w:hAnsi="Arial"/>
          <w:color w:val="231F20"/>
          <w:w w:val="105"/>
        </w:rPr>
        <w:t>los</w:t>
      </w:r>
      <w:r>
        <w:rPr>
          <w:rFonts w:ascii="Arial" w:hAnsi="Arial"/>
          <w:color w:val="231F20"/>
          <w:spacing w:val="-18"/>
          <w:w w:val="105"/>
        </w:rPr>
        <w:t> </w:t>
      </w:r>
      <w:r>
        <w:rPr>
          <w:rFonts w:ascii="Arial" w:hAnsi="Arial"/>
          <w:color w:val="231F20"/>
          <w:w w:val="105"/>
        </w:rPr>
        <w:t>migrantes,</w:t>
      </w:r>
      <w:r>
        <w:rPr>
          <w:rFonts w:ascii="Arial" w:hAnsi="Arial"/>
          <w:color w:val="231F20"/>
          <w:spacing w:val="-23"/>
          <w:w w:val="105"/>
        </w:rPr>
        <w:t> </w:t>
      </w:r>
      <w:r>
        <w:rPr>
          <w:rFonts w:ascii="Arial" w:hAnsi="Arial"/>
          <w:color w:val="231F20"/>
          <w:w w:val="105"/>
        </w:rPr>
        <w:t>ha</w:t>
      </w:r>
      <w:r>
        <w:rPr>
          <w:rFonts w:ascii="Arial" w:hAnsi="Arial"/>
          <w:color w:val="231F20"/>
          <w:spacing w:val="-18"/>
          <w:w w:val="105"/>
        </w:rPr>
        <w:t> </w:t>
      </w:r>
      <w:r>
        <w:rPr>
          <w:rFonts w:ascii="Arial" w:hAnsi="Arial"/>
          <w:color w:val="231F20"/>
          <w:w w:val="105"/>
        </w:rPr>
        <w:t>menoscabado el respeto a los derechos humanos de esta población, al mismo</w:t>
      </w:r>
      <w:r>
        <w:rPr>
          <w:rFonts w:ascii="Arial" w:hAnsi="Arial"/>
          <w:color w:val="231F20"/>
          <w:spacing w:val="-42"/>
          <w:w w:val="105"/>
        </w:rPr>
        <w:t> </w:t>
      </w:r>
      <w:r>
        <w:rPr>
          <w:rFonts w:ascii="Arial" w:hAnsi="Arial"/>
          <w:color w:val="231F20"/>
          <w:w w:val="105"/>
        </w:rPr>
        <w:t>tiempo ha</w:t>
      </w:r>
      <w:r>
        <w:rPr>
          <w:rFonts w:ascii="Arial" w:hAnsi="Arial"/>
          <w:color w:val="231F20"/>
          <w:spacing w:val="-13"/>
          <w:w w:val="105"/>
        </w:rPr>
        <w:t> </w:t>
      </w:r>
      <w:r>
        <w:rPr>
          <w:rFonts w:ascii="Arial" w:hAnsi="Arial"/>
          <w:color w:val="231F20"/>
          <w:w w:val="105"/>
        </w:rPr>
        <w:t>hecho</w:t>
      </w:r>
      <w:r>
        <w:rPr>
          <w:rFonts w:ascii="Arial" w:hAnsi="Arial"/>
          <w:color w:val="231F20"/>
          <w:spacing w:val="-13"/>
          <w:w w:val="105"/>
        </w:rPr>
        <w:t> </w:t>
      </w:r>
      <w:r>
        <w:rPr>
          <w:rFonts w:ascii="Arial" w:hAnsi="Arial"/>
          <w:color w:val="231F20"/>
          <w:w w:val="105"/>
        </w:rPr>
        <w:t>mayores</w:t>
      </w:r>
      <w:r>
        <w:rPr>
          <w:rFonts w:ascii="Arial" w:hAnsi="Arial"/>
          <w:color w:val="231F20"/>
          <w:spacing w:val="-13"/>
          <w:w w:val="105"/>
        </w:rPr>
        <w:t> </w:t>
      </w:r>
      <w:r>
        <w:rPr>
          <w:rFonts w:ascii="Arial" w:hAnsi="Arial"/>
          <w:color w:val="231F20"/>
          <w:w w:val="105"/>
        </w:rPr>
        <w:t>los</w:t>
      </w:r>
      <w:r>
        <w:rPr>
          <w:rFonts w:ascii="Arial" w:hAnsi="Arial"/>
          <w:color w:val="231F20"/>
          <w:spacing w:val="-13"/>
          <w:w w:val="105"/>
        </w:rPr>
        <w:t> </w:t>
      </w:r>
      <w:r>
        <w:rPr>
          <w:rFonts w:ascii="Arial" w:hAnsi="Arial"/>
          <w:color w:val="231F20"/>
          <w:w w:val="105"/>
        </w:rPr>
        <w:t>riesgos,</w:t>
      </w:r>
      <w:r>
        <w:rPr>
          <w:rFonts w:ascii="Arial" w:hAnsi="Arial"/>
          <w:color w:val="231F20"/>
          <w:spacing w:val="-18"/>
          <w:w w:val="105"/>
        </w:rPr>
        <w:t> </w:t>
      </w:r>
      <w:r>
        <w:rPr>
          <w:rFonts w:ascii="Arial" w:hAnsi="Arial"/>
          <w:color w:val="231F20"/>
          <w:w w:val="105"/>
        </w:rPr>
        <w:t>abusos</w:t>
      </w:r>
      <w:r>
        <w:rPr>
          <w:rFonts w:ascii="Arial" w:hAnsi="Arial"/>
          <w:color w:val="231F20"/>
          <w:spacing w:val="-13"/>
          <w:w w:val="105"/>
        </w:rPr>
        <w:t> </w:t>
      </w:r>
      <w:r>
        <w:rPr>
          <w:rFonts w:ascii="Arial" w:hAnsi="Arial"/>
          <w:color w:val="231F20"/>
          <w:w w:val="105"/>
        </w:rPr>
        <w:t>y</w:t>
      </w:r>
      <w:r>
        <w:rPr>
          <w:rFonts w:ascii="Arial" w:hAnsi="Arial"/>
          <w:color w:val="231F20"/>
          <w:spacing w:val="-13"/>
          <w:w w:val="105"/>
        </w:rPr>
        <w:t> </w:t>
      </w:r>
      <w:r>
        <w:rPr>
          <w:rFonts w:ascii="Arial" w:hAnsi="Arial"/>
          <w:color w:val="231F20"/>
          <w:w w:val="105"/>
        </w:rPr>
        <w:t>procesos</w:t>
      </w:r>
      <w:r>
        <w:rPr>
          <w:rFonts w:ascii="Arial" w:hAnsi="Arial"/>
          <w:color w:val="231F20"/>
          <w:spacing w:val="-13"/>
          <w:w w:val="105"/>
        </w:rPr>
        <w:t> </w:t>
      </w:r>
      <w:r>
        <w:rPr>
          <w:rFonts w:ascii="Arial" w:hAnsi="Arial"/>
          <w:color w:val="231F20"/>
          <w:w w:val="105"/>
        </w:rPr>
        <w:t>de</w:t>
      </w:r>
      <w:r>
        <w:rPr>
          <w:rFonts w:ascii="Arial" w:hAnsi="Arial"/>
          <w:color w:val="231F20"/>
          <w:spacing w:val="-13"/>
          <w:w w:val="105"/>
        </w:rPr>
        <w:t> </w:t>
      </w:r>
      <w:r>
        <w:rPr>
          <w:rFonts w:ascii="Arial" w:hAnsi="Arial"/>
          <w:color w:val="231F20"/>
          <w:w w:val="105"/>
        </w:rPr>
        <w:t>vulnerabilidad</w:t>
      </w:r>
      <w:r>
        <w:rPr>
          <w:rFonts w:ascii="Arial" w:hAnsi="Arial"/>
          <w:color w:val="231F20"/>
          <w:spacing w:val="-13"/>
          <w:w w:val="105"/>
        </w:rPr>
        <w:t> </w:t>
      </w:r>
      <w:r>
        <w:rPr>
          <w:rFonts w:ascii="Arial" w:hAnsi="Arial"/>
          <w:color w:val="231F20"/>
          <w:w w:val="105"/>
        </w:rPr>
        <w:t>que enfrentan</w:t>
      </w:r>
      <w:r>
        <w:rPr>
          <w:rFonts w:ascii="Arial" w:hAnsi="Arial"/>
          <w:color w:val="231F20"/>
          <w:spacing w:val="-32"/>
          <w:w w:val="105"/>
        </w:rPr>
        <w:t> </w:t>
      </w:r>
      <w:r>
        <w:rPr>
          <w:rFonts w:ascii="Arial" w:hAnsi="Arial"/>
          <w:color w:val="231F20"/>
          <w:w w:val="105"/>
        </w:rPr>
        <w:t>durante</w:t>
      </w:r>
      <w:r>
        <w:rPr>
          <w:rFonts w:ascii="Arial" w:hAnsi="Arial"/>
          <w:color w:val="231F20"/>
          <w:spacing w:val="-32"/>
          <w:w w:val="105"/>
        </w:rPr>
        <w:t> </w:t>
      </w:r>
      <w:r>
        <w:rPr>
          <w:rFonts w:ascii="Arial" w:hAnsi="Arial"/>
          <w:color w:val="231F20"/>
          <w:w w:val="105"/>
        </w:rPr>
        <w:t>su</w:t>
      </w:r>
      <w:r>
        <w:rPr>
          <w:rFonts w:ascii="Arial" w:hAnsi="Arial"/>
          <w:color w:val="231F20"/>
          <w:spacing w:val="-32"/>
          <w:w w:val="105"/>
        </w:rPr>
        <w:t> </w:t>
      </w:r>
      <w:r>
        <w:rPr>
          <w:rFonts w:ascii="Arial" w:hAnsi="Arial"/>
          <w:color w:val="231F20"/>
          <w:w w:val="105"/>
        </w:rPr>
        <w:t>experiencia</w:t>
      </w:r>
      <w:r>
        <w:rPr>
          <w:rFonts w:ascii="Arial" w:hAnsi="Arial"/>
          <w:color w:val="231F20"/>
          <w:spacing w:val="-32"/>
          <w:w w:val="105"/>
        </w:rPr>
        <w:t> </w:t>
      </w:r>
      <w:r>
        <w:rPr>
          <w:rFonts w:ascii="Arial" w:hAnsi="Arial"/>
          <w:color w:val="231F20"/>
          <w:w w:val="105"/>
        </w:rPr>
        <w:t>migratoria.</w:t>
      </w:r>
      <w:r>
        <w:rPr>
          <w:rFonts w:ascii="Arial" w:hAnsi="Arial"/>
          <w:color w:val="231F20"/>
          <w:spacing w:val="-36"/>
          <w:w w:val="105"/>
        </w:rPr>
        <w:t> </w:t>
      </w:r>
      <w:r>
        <w:rPr>
          <w:rFonts w:ascii="Arial" w:hAnsi="Arial"/>
          <w:color w:val="231F20"/>
          <w:w w:val="105"/>
        </w:rPr>
        <w:t>En</w:t>
      </w:r>
      <w:r>
        <w:rPr>
          <w:rFonts w:ascii="Arial" w:hAnsi="Arial"/>
          <w:color w:val="231F20"/>
          <w:spacing w:val="-32"/>
          <w:w w:val="105"/>
        </w:rPr>
        <w:t> </w:t>
      </w:r>
      <w:r>
        <w:rPr>
          <w:rFonts w:ascii="Arial" w:hAnsi="Arial"/>
          <w:color w:val="231F20"/>
          <w:w w:val="105"/>
        </w:rPr>
        <w:t>otros</w:t>
      </w:r>
      <w:r>
        <w:rPr>
          <w:rFonts w:ascii="Arial" w:hAnsi="Arial"/>
          <w:color w:val="231F20"/>
          <w:spacing w:val="-32"/>
          <w:w w:val="105"/>
        </w:rPr>
        <w:t> </w:t>
      </w:r>
      <w:r>
        <w:rPr>
          <w:rFonts w:ascii="Arial" w:hAnsi="Arial"/>
          <w:color w:val="231F20"/>
          <w:w w:val="105"/>
        </w:rPr>
        <w:t>términos,</w:t>
      </w:r>
      <w:r>
        <w:rPr>
          <w:rFonts w:ascii="Arial" w:hAnsi="Arial"/>
          <w:color w:val="231F20"/>
          <w:spacing w:val="-36"/>
          <w:w w:val="105"/>
        </w:rPr>
        <w:t> </w:t>
      </w:r>
      <w:r>
        <w:rPr>
          <w:rFonts w:ascii="Arial" w:hAnsi="Arial"/>
          <w:color w:val="231F20"/>
          <w:w w:val="105"/>
        </w:rPr>
        <w:t>se</w:t>
      </w:r>
      <w:r>
        <w:rPr>
          <w:rFonts w:ascii="Arial" w:hAnsi="Arial"/>
          <w:color w:val="231F20"/>
          <w:spacing w:val="-32"/>
          <w:w w:val="105"/>
        </w:rPr>
        <w:t> </w:t>
      </w:r>
      <w:r>
        <w:rPr>
          <w:rFonts w:ascii="Arial" w:hAnsi="Arial"/>
          <w:color w:val="231F20"/>
          <w:w w:val="105"/>
        </w:rPr>
        <w:t>advier- te que el discurso de la seguridad nacional ha constreñido los marcos jurídicos</w:t>
      </w:r>
      <w:r>
        <w:rPr>
          <w:rFonts w:ascii="Arial" w:hAnsi="Arial"/>
          <w:color w:val="231F20"/>
          <w:spacing w:val="-8"/>
          <w:w w:val="105"/>
        </w:rPr>
        <w:t> </w:t>
      </w:r>
      <w:r>
        <w:rPr>
          <w:rFonts w:ascii="Arial" w:hAnsi="Arial"/>
          <w:color w:val="231F20"/>
          <w:w w:val="105"/>
        </w:rPr>
        <w:t>y</w:t>
      </w:r>
      <w:r>
        <w:rPr>
          <w:rFonts w:ascii="Arial" w:hAnsi="Arial"/>
          <w:color w:val="231F20"/>
          <w:spacing w:val="-8"/>
          <w:w w:val="105"/>
        </w:rPr>
        <w:t> </w:t>
      </w:r>
      <w:r>
        <w:rPr>
          <w:rFonts w:ascii="Arial" w:hAnsi="Arial"/>
          <w:color w:val="231F20"/>
          <w:w w:val="105"/>
        </w:rPr>
        <w:t>las</w:t>
      </w:r>
      <w:r>
        <w:rPr>
          <w:rFonts w:ascii="Arial" w:hAnsi="Arial"/>
          <w:color w:val="231F20"/>
          <w:spacing w:val="-8"/>
          <w:w w:val="105"/>
        </w:rPr>
        <w:t> </w:t>
      </w:r>
      <w:r>
        <w:rPr>
          <w:rFonts w:ascii="Arial" w:hAnsi="Arial"/>
          <w:color w:val="231F20"/>
          <w:w w:val="105"/>
        </w:rPr>
        <w:t>políticas</w:t>
      </w:r>
      <w:r>
        <w:rPr>
          <w:rFonts w:ascii="Arial" w:hAnsi="Arial"/>
          <w:color w:val="231F20"/>
          <w:spacing w:val="-8"/>
          <w:w w:val="105"/>
        </w:rPr>
        <w:t> </w:t>
      </w:r>
      <w:r>
        <w:rPr>
          <w:rFonts w:ascii="Arial" w:hAnsi="Arial"/>
          <w:color w:val="231F20"/>
          <w:w w:val="105"/>
        </w:rPr>
        <w:t>públicas</w:t>
      </w:r>
      <w:r>
        <w:rPr>
          <w:rFonts w:ascii="Arial" w:hAnsi="Arial"/>
          <w:color w:val="231F20"/>
          <w:spacing w:val="-8"/>
          <w:w w:val="105"/>
        </w:rPr>
        <w:t> </w:t>
      </w:r>
      <w:r>
        <w:rPr>
          <w:rFonts w:ascii="Arial" w:hAnsi="Arial"/>
          <w:color w:val="231F20"/>
          <w:w w:val="105"/>
        </w:rPr>
        <w:t>a</w:t>
      </w:r>
      <w:r>
        <w:rPr>
          <w:rFonts w:ascii="Arial" w:hAnsi="Arial"/>
          <w:color w:val="231F20"/>
          <w:spacing w:val="-8"/>
          <w:w w:val="105"/>
        </w:rPr>
        <w:t> </w:t>
      </w:r>
      <w:r>
        <w:rPr>
          <w:rFonts w:ascii="Arial" w:hAnsi="Arial"/>
          <w:color w:val="231F20"/>
          <w:w w:val="105"/>
        </w:rPr>
        <w:t>un</w:t>
      </w:r>
      <w:r>
        <w:rPr>
          <w:rFonts w:ascii="Arial" w:hAnsi="Arial"/>
          <w:color w:val="231F20"/>
          <w:spacing w:val="-8"/>
          <w:w w:val="105"/>
        </w:rPr>
        <w:t> </w:t>
      </w:r>
      <w:r>
        <w:rPr>
          <w:rFonts w:ascii="Arial" w:hAnsi="Arial"/>
          <w:color w:val="231F20"/>
          <w:w w:val="105"/>
        </w:rPr>
        <w:t>tema</w:t>
      </w:r>
      <w:r>
        <w:rPr>
          <w:rFonts w:ascii="Arial" w:hAnsi="Arial"/>
          <w:color w:val="231F20"/>
          <w:spacing w:val="-8"/>
          <w:w w:val="105"/>
        </w:rPr>
        <w:t> </w:t>
      </w:r>
      <w:r>
        <w:rPr>
          <w:rFonts w:ascii="Arial" w:hAnsi="Arial"/>
          <w:color w:val="231F20"/>
          <w:w w:val="105"/>
        </w:rPr>
        <w:t>de</w:t>
      </w:r>
      <w:r>
        <w:rPr>
          <w:rFonts w:ascii="Arial" w:hAnsi="Arial"/>
          <w:color w:val="231F20"/>
          <w:spacing w:val="-8"/>
          <w:w w:val="105"/>
        </w:rPr>
        <w:t> </w:t>
      </w:r>
      <w:r>
        <w:rPr>
          <w:rFonts w:ascii="Arial" w:hAnsi="Arial"/>
          <w:color w:val="231F20"/>
          <w:w w:val="105"/>
        </w:rPr>
        <w:t>control</w:t>
      </w:r>
      <w:r>
        <w:rPr>
          <w:rFonts w:ascii="Arial" w:hAnsi="Arial"/>
          <w:color w:val="231F20"/>
          <w:spacing w:val="-8"/>
          <w:w w:val="105"/>
        </w:rPr>
        <w:t> </w:t>
      </w:r>
      <w:r>
        <w:rPr>
          <w:rFonts w:ascii="Arial" w:hAnsi="Arial"/>
          <w:color w:val="231F20"/>
          <w:w w:val="105"/>
        </w:rPr>
        <w:t>(</w:t>
      </w:r>
      <w:r>
        <w:rPr>
          <w:rFonts w:ascii="Arial" w:hAnsi="Arial"/>
          <w:color w:val="231F20"/>
          <w:w w:val="105"/>
          <w:sz w:val="17"/>
        </w:rPr>
        <w:t>INEDIM</w:t>
      </w:r>
      <w:r>
        <w:rPr>
          <w:rFonts w:ascii="Arial" w:hAnsi="Arial"/>
          <w:color w:val="231F20"/>
          <w:spacing w:val="4"/>
          <w:w w:val="105"/>
          <w:sz w:val="17"/>
        </w:rPr>
        <w:t> </w:t>
      </w:r>
      <w:r>
        <w:rPr>
          <w:rFonts w:ascii="Arial" w:hAnsi="Arial"/>
          <w:color w:val="231F20"/>
          <w:w w:val="105"/>
        </w:rPr>
        <w:t>e</w:t>
      </w:r>
      <w:r>
        <w:rPr>
          <w:rFonts w:ascii="Arial" w:hAnsi="Arial"/>
          <w:color w:val="231F20"/>
          <w:spacing w:val="-8"/>
          <w:w w:val="105"/>
        </w:rPr>
        <w:t> </w:t>
      </w:r>
      <w:r>
        <w:rPr>
          <w:rFonts w:ascii="Arial" w:hAnsi="Arial"/>
          <w:color w:val="231F20"/>
          <w:w w:val="105"/>
          <w:sz w:val="17"/>
        </w:rPr>
        <w:t>INCEDES</w:t>
      </w:r>
      <w:r>
        <w:rPr>
          <w:rFonts w:ascii="Arial" w:hAnsi="Arial"/>
          <w:color w:val="231F20"/>
          <w:w w:val="105"/>
        </w:rPr>
        <w:t>, 2011), como se ha observado en el sistema migratorio</w:t>
      </w:r>
      <w:r>
        <w:rPr>
          <w:rFonts w:ascii="Arial" w:hAnsi="Arial"/>
          <w:color w:val="231F20"/>
          <w:spacing w:val="-39"/>
          <w:w w:val="105"/>
        </w:rPr>
        <w:t> </w:t>
      </w:r>
      <w:r>
        <w:rPr>
          <w:rFonts w:ascii="Arial" w:hAnsi="Arial"/>
          <w:color w:val="231F20"/>
          <w:w w:val="105"/>
        </w:rPr>
        <w:t>México-Estados Unidos</w:t>
      </w:r>
      <w:r>
        <w:rPr>
          <w:rFonts w:ascii="Arial" w:hAnsi="Arial"/>
          <w:color w:val="231F20"/>
          <w:spacing w:val="-14"/>
          <w:w w:val="105"/>
        </w:rPr>
        <w:t> </w:t>
      </w:r>
      <w:r>
        <w:rPr>
          <w:rFonts w:ascii="Arial" w:hAnsi="Arial"/>
          <w:color w:val="231F20"/>
          <w:w w:val="105"/>
        </w:rPr>
        <w:t>desde</w:t>
      </w:r>
      <w:r>
        <w:rPr>
          <w:rFonts w:ascii="Arial" w:hAnsi="Arial"/>
          <w:color w:val="231F20"/>
          <w:spacing w:val="-14"/>
          <w:w w:val="105"/>
        </w:rPr>
        <w:t> </w:t>
      </w:r>
      <w:r>
        <w:rPr>
          <w:rFonts w:ascii="Arial" w:hAnsi="Arial"/>
          <w:color w:val="231F20"/>
          <w:w w:val="105"/>
        </w:rPr>
        <w:t>principios</w:t>
      </w:r>
      <w:r>
        <w:rPr>
          <w:rFonts w:ascii="Arial" w:hAnsi="Arial"/>
          <w:color w:val="231F20"/>
          <w:spacing w:val="-14"/>
          <w:w w:val="105"/>
        </w:rPr>
        <w:t> </w:t>
      </w:r>
      <w:r>
        <w:rPr>
          <w:rFonts w:ascii="Arial" w:hAnsi="Arial"/>
          <w:color w:val="231F20"/>
          <w:w w:val="105"/>
        </w:rPr>
        <w:t>de</w:t>
      </w:r>
      <w:r>
        <w:rPr>
          <w:rFonts w:ascii="Arial" w:hAnsi="Arial"/>
          <w:color w:val="231F20"/>
          <w:spacing w:val="-14"/>
          <w:w w:val="105"/>
        </w:rPr>
        <w:t> </w:t>
      </w:r>
      <w:r>
        <w:rPr>
          <w:rFonts w:ascii="Arial" w:hAnsi="Arial"/>
          <w:color w:val="231F20"/>
          <w:w w:val="105"/>
        </w:rPr>
        <w:t>los</w:t>
      </w:r>
      <w:r>
        <w:rPr>
          <w:rFonts w:ascii="Arial" w:hAnsi="Arial"/>
          <w:color w:val="231F20"/>
          <w:spacing w:val="-14"/>
          <w:w w:val="105"/>
        </w:rPr>
        <w:t> </w:t>
      </w:r>
      <w:r>
        <w:rPr>
          <w:rFonts w:ascii="Arial" w:hAnsi="Arial"/>
          <w:color w:val="231F20"/>
          <w:w w:val="105"/>
        </w:rPr>
        <w:t>años</w:t>
      </w:r>
      <w:r>
        <w:rPr>
          <w:rFonts w:ascii="Arial" w:hAnsi="Arial"/>
          <w:color w:val="231F20"/>
          <w:spacing w:val="-14"/>
          <w:w w:val="105"/>
        </w:rPr>
        <w:t> </w:t>
      </w:r>
      <w:r>
        <w:rPr>
          <w:rFonts w:ascii="Arial" w:hAnsi="Arial"/>
          <w:color w:val="231F20"/>
          <w:w w:val="105"/>
        </w:rPr>
        <w:t>noventa.</w:t>
      </w:r>
    </w:p>
    <w:p>
      <w:pPr>
        <w:pStyle w:val="BodyText"/>
        <w:spacing w:line="259" w:lineRule="auto"/>
        <w:ind w:left="1837" w:right="1721" w:firstLine="567"/>
        <w:jc w:val="both"/>
        <w:rPr>
          <w:rFonts w:ascii="Arial" w:hAnsi="Arial"/>
        </w:rPr>
      </w:pPr>
      <w:r>
        <w:rPr/>
        <w:pict>
          <v:line style="position:absolute;mso-position-horizontal-relative:page;mso-position-vertical-relative:paragraph;z-index:-470824" from="15pt,148.094284pt" to="0pt,148.094284pt" stroked="true" strokeweight=".25pt" strokecolor="#000000">
            <w10:wrap type="none"/>
          </v:line>
        </w:pict>
      </w:r>
      <w:r>
        <w:rPr/>
        <w:pict>
          <v:line style="position:absolute;mso-position-horizontal-relative:page;mso-position-vertical-relative:paragraph;z-index:19384" from="508.890015pt,148.094284pt" to="523.890015pt,148.094284pt" stroked="true" strokeweight=".25pt" strokecolor="#000000">
            <w10:wrap type="none"/>
          </v:line>
        </w:pict>
      </w:r>
      <w:r>
        <w:rPr>
          <w:rFonts w:ascii="Arial" w:hAnsi="Arial"/>
          <w:color w:val="231F20"/>
          <w:w w:val="105"/>
        </w:rPr>
        <w:t>En este escenario de cada vez mayor control y seguridad de las fronteras</w:t>
      </w:r>
      <w:r>
        <w:rPr>
          <w:rFonts w:ascii="Arial" w:hAnsi="Arial"/>
          <w:color w:val="231F20"/>
          <w:spacing w:val="-32"/>
          <w:w w:val="105"/>
        </w:rPr>
        <w:t> </w:t>
      </w:r>
      <w:r>
        <w:rPr>
          <w:rFonts w:ascii="Arial" w:hAnsi="Arial"/>
          <w:color w:val="231F20"/>
          <w:w w:val="105"/>
        </w:rPr>
        <w:t>vemos</w:t>
      </w:r>
      <w:r>
        <w:rPr>
          <w:rFonts w:ascii="Arial" w:hAnsi="Arial"/>
          <w:color w:val="231F20"/>
          <w:spacing w:val="-32"/>
          <w:w w:val="105"/>
        </w:rPr>
        <w:t> </w:t>
      </w:r>
      <w:r>
        <w:rPr>
          <w:rFonts w:ascii="Arial" w:hAnsi="Arial"/>
          <w:color w:val="231F20"/>
          <w:w w:val="105"/>
        </w:rPr>
        <w:t>que</w:t>
      </w:r>
      <w:r>
        <w:rPr>
          <w:rFonts w:ascii="Arial" w:hAnsi="Arial"/>
          <w:color w:val="231F20"/>
          <w:spacing w:val="-32"/>
          <w:w w:val="105"/>
        </w:rPr>
        <w:t> </w:t>
      </w:r>
      <w:r>
        <w:rPr>
          <w:rFonts w:ascii="Arial" w:hAnsi="Arial"/>
          <w:color w:val="231F20"/>
          <w:w w:val="105"/>
        </w:rPr>
        <w:t>en</w:t>
      </w:r>
      <w:r>
        <w:rPr>
          <w:rFonts w:ascii="Arial" w:hAnsi="Arial"/>
          <w:color w:val="231F20"/>
          <w:spacing w:val="-32"/>
          <w:w w:val="105"/>
        </w:rPr>
        <w:t> </w:t>
      </w:r>
      <w:r>
        <w:rPr>
          <w:rFonts w:ascii="Arial" w:hAnsi="Arial"/>
          <w:color w:val="231F20"/>
          <w:w w:val="105"/>
        </w:rPr>
        <w:t>el</w:t>
      </w:r>
      <w:r>
        <w:rPr>
          <w:rFonts w:ascii="Arial" w:hAnsi="Arial"/>
          <w:color w:val="231F20"/>
          <w:spacing w:val="-32"/>
          <w:w w:val="105"/>
        </w:rPr>
        <w:t> </w:t>
      </w:r>
      <w:r>
        <w:rPr>
          <w:rFonts w:ascii="Arial" w:hAnsi="Arial"/>
          <w:color w:val="231F20"/>
          <w:w w:val="105"/>
        </w:rPr>
        <w:t>caso</w:t>
      </w:r>
      <w:r>
        <w:rPr>
          <w:rFonts w:ascii="Arial" w:hAnsi="Arial"/>
          <w:color w:val="231F20"/>
          <w:spacing w:val="-32"/>
          <w:w w:val="105"/>
        </w:rPr>
        <w:t> </w:t>
      </w:r>
      <w:r>
        <w:rPr>
          <w:rFonts w:ascii="Arial" w:hAnsi="Arial"/>
          <w:color w:val="231F20"/>
          <w:w w:val="105"/>
        </w:rPr>
        <w:t>México-Estados</w:t>
      </w:r>
      <w:r>
        <w:rPr>
          <w:rFonts w:ascii="Arial" w:hAnsi="Arial"/>
          <w:color w:val="231F20"/>
          <w:spacing w:val="-32"/>
          <w:w w:val="105"/>
        </w:rPr>
        <w:t> </w:t>
      </w:r>
      <w:r>
        <w:rPr>
          <w:rFonts w:ascii="Arial" w:hAnsi="Arial"/>
          <w:color w:val="231F20"/>
          <w:w w:val="105"/>
        </w:rPr>
        <w:t>Unidos,</w:t>
      </w:r>
      <w:r>
        <w:rPr>
          <w:rFonts w:ascii="Arial" w:hAnsi="Arial"/>
          <w:color w:val="231F20"/>
          <w:spacing w:val="-36"/>
          <w:w w:val="105"/>
        </w:rPr>
        <w:t> </w:t>
      </w:r>
      <w:r>
        <w:rPr>
          <w:rFonts w:ascii="Arial" w:hAnsi="Arial"/>
          <w:color w:val="231F20"/>
          <w:w w:val="105"/>
        </w:rPr>
        <w:t>el</w:t>
      </w:r>
      <w:r>
        <w:rPr>
          <w:rFonts w:ascii="Arial" w:hAnsi="Arial"/>
          <w:color w:val="231F20"/>
          <w:spacing w:val="-32"/>
          <w:w w:val="105"/>
        </w:rPr>
        <w:t> </w:t>
      </w:r>
      <w:r>
        <w:rPr>
          <w:rFonts w:ascii="Arial" w:hAnsi="Arial"/>
          <w:color w:val="231F20"/>
          <w:w w:val="105"/>
        </w:rPr>
        <w:t>endurecimien- to en las medidas de seguridad ha repercutido en el menor número de detenciones de mexicanos por parte de las autoridades migratorias</w:t>
      </w:r>
      <w:r>
        <w:rPr>
          <w:rFonts w:ascii="Arial" w:hAnsi="Arial"/>
          <w:color w:val="231F20"/>
          <w:spacing w:val="-27"/>
          <w:w w:val="105"/>
        </w:rPr>
        <w:t> </w:t>
      </w:r>
      <w:r>
        <w:rPr>
          <w:rFonts w:ascii="Arial" w:hAnsi="Arial"/>
          <w:color w:val="231F20"/>
          <w:w w:val="105"/>
        </w:rPr>
        <w:t>es- tadounidenses, lo que sin embargo se asocia también con la</w:t>
      </w:r>
      <w:r>
        <w:rPr>
          <w:rFonts w:ascii="Arial" w:hAnsi="Arial"/>
          <w:color w:val="231F20"/>
          <w:spacing w:val="-24"/>
          <w:w w:val="105"/>
        </w:rPr>
        <w:t> </w:t>
      </w:r>
      <w:r>
        <w:rPr>
          <w:rFonts w:ascii="Arial" w:hAnsi="Arial"/>
          <w:color w:val="231F20"/>
          <w:w w:val="105"/>
        </w:rPr>
        <w:t>desacele- ración</w:t>
      </w:r>
      <w:r>
        <w:rPr>
          <w:rFonts w:ascii="Arial" w:hAnsi="Arial"/>
          <w:color w:val="231F20"/>
          <w:spacing w:val="-5"/>
          <w:w w:val="105"/>
        </w:rPr>
        <w:t> </w:t>
      </w:r>
      <w:r>
        <w:rPr>
          <w:rFonts w:ascii="Arial" w:hAnsi="Arial"/>
          <w:color w:val="231F20"/>
          <w:w w:val="105"/>
        </w:rPr>
        <w:t>del</w:t>
      </w:r>
      <w:r>
        <w:rPr>
          <w:rFonts w:ascii="Arial" w:hAnsi="Arial"/>
          <w:color w:val="231F20"/>
          <w:spacing w:val="-5"/>
          <w:w w:val="105"/>
        </w:rPr>
        <w:t> </w:t>
      </w:r>
      <w:r>
        <w:rPr>
          <w:rFonts w:ascii="Arial" w:hAnsi="Arial"/>
          <w:color w:val="231F20"/>
          <w:w w:val="105"/>
        </w:rPr>
        <w:t>flujo</w:t>
      </w:r>
      <w:r>
        <w:rPr>
          <w:rFonts w:ascii="Arial" w:hAnsi="Arial"/>
          <w:color w:val="231F20"/>
          <w:spacing w:val="-5"/>
          <w:w w:val="105"/>
        </w:rPr>
        <w:t> </w:t>
      </w:r>
      <w:r>
        <w:rPr>
          <w:rFonts w:ascii="Arial" w:hAnsi="Arial"/>
          <w:color w:val="231F20"/>
          <w:w w:val="105"/>
        </w:rPr>
        <w:t>de</w:t>
      </w:r>
      <w:r>
        <w:rPr>
          <w:rFonts w:ascii="Arial" w:hAnsi="Arial"/>
          <w:color w:val="231F20"/>
          <w:spacing w:val="-5"/>
          <w:w w:val="105"/>
        </w:rPr>
        <w:t> </w:t>
      </w:r>
      <w:r>
        <w:rPr>
          <w:rFonts w:ascii="Arial" w:hAnsi="Arial"/>
          <w:color w:val="231F20"/>
          <w:w w:val="105"/>
        </w:rPr>
        <w:t>migrantes</w:t>
      </w:r>
      <w:r>
        <w:rPr>
          <w:rFonts w:ascii="Arial" w:hAnsi="Arial"/>
          <w:color w:val="231F20"/>
          <w:spacing w:val="-5"/>
          <w:w w:val="105"/>
        </w:rPr>
        <w:t> </w:t>
      </w:r>
      <w:r>
        <w:rPr>
          <w:rFonts w:ascii="Arial" w:hAnsi="Arial"/>
          <w:color w:val="231F20"/>
          <w:w w:val="105"/>
        </w:rPr>
        <w:t>que</w:t>
      </w:r>
      <w:r>
        <w:rPr>
          <w:rFonts w:ascii="Arial" w:hAnsi="Arial"/>
          <w:color w:val="231F20"/>
          <w:spacing w:val="-5"/>
          <w:w w:val="105"/>
        </w:rPr>
        <w:t> </w:t>
      </w:r>
      <w:r>
        <w:rPr>
          <w:rFonts w:ascii="Arial" w:hAnsi="Arial"/>
          <w:color w:val="231F20"/>
          <w:w w:val="105"/>
        </w:rPr>
        <w:t>están</w:t>
      </w:r>
      <w:r>
        <w:rPr>
          <w:rFonts w:ascii="Arial" w:hAnsi="Arial"/>
          <w:color w:val="231F20"/>
          <w:spacing w:val="-5"/>
          <w:w w:val="105"/>
        </w:rPr>
        <w:t> </w:t>
      </w:r>
      <w:r>
        <w:rPr>
          <w:rFonts w:ascii="Arial" w:hAnsi="Arial"/>
          <w:color w:val="231F20"/>
          <w:w w:val="105"/>
        </w:rPr>
        <w:t>intentando</w:t>
      </w:r>
      <w:r>
        <w:rPr>
          <w:rFonts w:ascii="Arial" w:hAnsi="Arial"/>
          <w:color w:val="231F20"/>
          <w:spacing w:val="-5"/>
          <w:w w:val="105"/>
        </w:rPr>
        <w:t> </w:t>
      </w:r>
      <w:r>
        <w:rPr>
          <w:rFonts w:ascii="Arial" w:hAnsi="Arial"/>
          <w:color w:val="231F20"/>
          <w:w w:val="105"/>
        </w:rPr>
        <w:t>cruzar</w:t>
      </w:r>
      <w:r>
        <w:rPr>
          <w:rFonts w:ascii="Arial" w:hAnsi="Arial"/>
          <w:color w:val="231F20"/>
          <w:spacing w:val="-5"/>
          <w:w w:val="105"/>
        </w:rPr>
        <w:t> </w:t>
      </w:r>
      <w:r>
        <w:rPr>
          <w:rFonts w:ascii="Arial" w:hAnsi="Arial"/>
          <w:color w:val="231F20"/>
          <w:w w:val="105"/>
        </w:rPr>
        <w:t>al</w:t>
      </w:r>
      <w:r>
        <w:rPr>
          <w:rFonts w:ascii="Arial" w:hAnsi="Arial"/>
          <w:color w:val="231F20"/>
          <w:spacing w:val="-5"/>
          <w:w w:val="105"/>
        </w:rPr>
        <w:t> </w:t>
      </w:r>
      <w:r>
        <w:rPr>
          <w:rFonts w:ascii="Arial" w:hAnsi="Arial"/>
          <w:color w:val="231F20"/>
          <w:w w:val="105"/>
        </w:rPr>
        <w:t>vecino</w:t>
      </w:r>
      <w:r>
        <w:rPr>
          <w:rFonts w:ascii="Arial" w:hAnsi="Arial"/>
          <w:color w:val="231F20"/>
          <w:spacing w:val="-5"/>
          <w:w w:val="105"/>
        </w:rPr>
        <w:t> </w:t>
      </w:r>
      <w:r>
        <w:rPr>
          <w:rFonts w:ascii="Arial" w:hAnsi="Arial"/>
          <w:color w:val="231F20"/>
          <w:w w:val="105"/>
        </w:rPr>
        <w:t>país</w:t>
      </w:r>
    </w:p>
    <w:p>
      <w:pPr>
        <w:spacing w:after="0" w:line="259" w:lineRule="auto"/>
        <w:jc w:val="both"/>
        <w:rPr>
          <w:rFonts w:ascii="Arial" w:hAnsi="Arial"/>
        </w:rPr>
        <w:sectPr>
          <w:type w:val="continuous"/>
          <w:pgSz w:w="10480" w:h="14730"/>
          <w:pgMar w:top="0" w:bottom="0" w:left="0" w:right="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9"/>
        </w:rPr>
      </w:pPr>
    </w:p>
    <w:p>
      <w:pPr>
        <w:pStyle w:val="BodyText"/>
        <w:spacing w:line="261" w:lineRule="auto" w:before="61"/>
        <w:ind w:left="1516" w:right="1828"/>
        <w:jc w:val="right"/>
      </w:pPr>
      <w:r>
        <w:rPr/>
        <w:pict>
          <v:line style="position:absolute;mso-position-horizontal-relative:page;mso-position-vertical-relative:paragraph;z-index:19432" from="15pt,-68.636444pt" to="0pt,-68.636444pt" stroked="true" strokeweight=".25pt" strokecolor="#000000">
            <w10:wrap type="none"/>
          </v:line>
        </w:pict>
      </w:r>
      <w:r>
        <w:rPr/>
        <w:pict>
          <v:line style="position:absolute;mso-position-horizontal-relative:page;mso-position-vertical-relative:paragraph;z-index:19456" from="508.890015pt,-68.636444pt" to="523.890015pt,-68.636444pt" stroked="true" strokeweight=".25pt" strokecolor="#000000">
            <w10:wrap type="none"/>
          </v:line>
        </w:pict>
      </w:r>
      <w:r>
        <w:rPr>
          <w:color w:val="231F20"/>
          <w:w w:val="105"/>
        </w:rPr>
        <w:t>de manera no documentada. En el caso de la entidad</w:t>
      </w:r>
      <w:r>
        <w:rPr>
          <w:color w:val="231F20"/>
          <w:spacing w:val="32"/>
          <w:w w:val="105"/>
        </w:rPr>
        <w:t> </w:t>
      </w:r>
      <w:r>
        <w:rPr>
          <w:color w:val="231F20"/>
          <w:w w:val="105"/>
        </w:rPr>
        <w:t>mexiquense,</w:t>
      </w:r>
      <w:r>
        <w:rPr>
          <w:color w:val="231F20"/>
          <w:spacing w:val="4"/>
          <w:w w:val="105"/>
        </w:rPr>
        <w:t> </w:t>
      </w:r>
      <w:r>
        <w:rPr>
          <w:color w:val="231F20"/>
          <w:w w:val="105"/>
        </w:rPr>
        <w:t>se</w:t>
      </w:r>
      <w:r>
        <w:rPr>
          <w:color w:val="231F20"/>
          <w:w w:val="96"/>
        </w:rPr>
        <w:t> </w:t>
      </w:r>
      <w:r>
        <w:rPr>
          <w:color w:val="231F20"/>
          <w:w w:val="105"/>
        </w:rPr>
        <w:t>advierte</w:t>
      </w:r>
      <w:r>
        <w:rPr>
          <w:color w:val="231F20"/>
          <w:spacing w:val="-15"/>
          <w:w w:val="105"/>
        </w:rPr>
        <w:t> </w:t>
      </w:r>
      <w:r>
        <w:rPr>
          <w:color w:val="231F20"/>
          <w:w w:val="105"/>
        </w:rPr>
        <w:t>un</w:t>
      </w:r>
      <w:r>
        <w:rPr>
          <w:color w:val="231F20"/>
          <w:spacing w:val="-15"/>
          <w:w w:val="105"/>
        </w:rPr>
        <w:t> </w:t>
      </w:r>
      <w:r>
        <w:rPr>
          <w:color w:val="231F20"/>
          <w:w w:val="105"/>
        </w:rPr>
        <w:t>reposicionamiento</w:t>
      </w:r>
      <w:r>
        <w:rPr>
          <w:color w:val="231F20"/>
          <w:spacing w:val="-15"/>
          <w:w w:val="105"/>
        </w:rPr>
        <w:t> </w:t>
      </w:r>
      <w:r>
        <w:rPr>
          <w:color w:val="231F20"/>
          <w:w w:val="105"/>
        </w:rPr>
        <w:t>en</w:t>
      </w:r>
      <w:r>
        <w:rPr>
          <w:color w:val="231F20"/>
          <w:spacing w:val="-15"/>
          <w:w w:val="105"/>
        </w:rPr>
        <w:t> </w:t>
      </w:r>
      <w:r>
        <w:rPr>
          <w:color w:val="231F20"/>
          <w:w w:val="105"/>
        </w:rPr>
        <w:t>cuanto</w:t>
      </w:r>
      <w:r>
        <w:rPr>
          <w:color w:val="231F20"/>
          <w:spacing w:val="-15"/>
          <w:w w:val="105"/>
        </w:rPr>
        <w:t> </w:t>
      </w:r>
      <w:r>
        <w:rPr>
          <w:color w:val="231F20"/>
          <w:w w:val="105"/>
        </w:rPr>
        <w:t>al</w:t>
      </w:r>
      <w:r>
        <w:rPr>
          <w:color w:val="231F20"/>
          <w:spacing w:val="-15"/>
          <w:w w:val="105"/>
        </w:rPr>
        <w:t> </w:t>
      </w:r>
      <w:r>
        <w:rPr>
          <w:color w:val="231F20"/>
          <w:w w:val="105"/>
        </w:rPr>
        <w:t>número</w:t>
      </w:r>
      <w:r>
        <w:rPr>
          <w:color w:val="231F20"/>
          <w:spacing w:val="-15"/>
          <w:w w:val="105"/>
        </w:rPr>
        <w:t> </w:t>
      </w:r>
      <w:r>
        <w:rPr>
          <w:color w:val="231F20"/>
          <w:w w:val="105"/>
        </w:rPr>
        <w:t>de</w:t>
      </w:r>
      <w:r>
        <w:rPr>
          <w:color w:val="231F20"/>
          <w:spacing w:val="-15"/>
          <w:w w:val="105"/>
        </w:rPr>
        <w:t> </w:t>
      </w:r>
      <w:r>
        <w:rPr>
          <w:color w:val="231F20"/>
          <w:w w:val="105"/>
        </w:rPr>
        <w:t>eventos</w:t>
      </w:r>
      <w:r>
        <w:rPr>
          <w:color w:val="231F20"/>
          <w:spacing w:val="-15"/>
          <w:w w:val="105"/>
        </w:rPr>
        <w:t> </w:t>
      </w:r>
      <w:r>
        <w:rPr>
          <w:color w:val="231F20"/>
          <w:w w:val="105"/>
        </w:rPr>
        <w:t>de</w:t>
      </w:r>
      <w:r>
        <w:rPr>
          <w:color w:val="231F20"/>
          <w:spacing w:val="-15"/>
          <w:w w:val="105"/>
        </w:rPr>
        <w:t> </w:t>
      </w:r>
      <w:r>
        <w:rPr>
          <w:color w:val="231F20"/>
          <w:w w:val="105"/>
        </w:rPr>
        <w:t>devo-</w:t>
      </w:r>
      <w:r>
        <w:rPr>
          <w:color w:val="231F20"/>
          <w:w w:val="96"/>
        </w:rPr>
        <w:t> </w:t>
      </w:r>
      <w:r>
        <w:rPr>
          <w:color w:val="231F20"/>
          <w:w w:val="105"/>
        </w:rPr>
        <w:t>lución</w:t>
      </w:r>
      <w:r>
        <w:rPr>
          <w:color w:val="231F20"/>
          <w:spacing w:val="-5"/>
          <w:w w:val="105"/>
        </w:rPr>
        <w:t> </w:t>
      </w:r>
      <w:r>
        <w:rPr>
          <w:color w:val="231F20"/>
          <w:w w:val="105"/>
        </w:rPr>
        <w:t>ocurridos</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años</w:t>
      </w:r>
      <w:r>
        <w:rPr>
          <w:color w:val="231F20"/>
          <w:spacing w:val="-5"/>
          <w:w w:val="105"/>
        </w:rPr>
        <w:t> </w:t>
      </w:r>
      <w:r>
        <w:rPr>
          <w:color w:val="231F20"/>
          <w:w w:val="105"/>
        </w:rPr>
        <w:t>2007-2012,</w:t>
      </w:r>
      <w:r>
        <w:rPr>
          <w:color w:val="231F20"/>
          <w:spacing w:val="-10"/>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medida</w:t>
      </w:r>
      <w:r>
        <w:rPr>
          <w:color w:val="231F20"/>
          <w:spacing w:val="-5"/>
          <w:w w:val="105"/>
        </w:rPr>
        <w:t> </w:t>
      </w:r>
      <w:r>
        <w:rPr>
          <w:color w:val="231F20"/>
          <w:w w:val="105"/>
        </w:rPr>
        <w:t>en</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entidad</w:t>
      </w:r>
      <w:r>
        <w:rPr>
          <w:color w:val="231F20"/>
          <w:w w:val="107"/>
        </w:rPr>
        <w:t> </w:t>
      </w:r>
      <w:r>
        <w:rPr>
          <w:color w:val="231F20"/>
          <w:w w:val="105"/>
        </w:rPr>
        <w:t>pasó</w:t>
      </w:r>
      <w:r>
        <w:rPr>
          <w:color w:val="231F20"/>
          <w:spacing w:val="-20"/>
          <w:w w:val="105"/>
        </w:rPr>
        <w:t> </w:t>
      </w:r>
      <w:r>
        <w:rPr>
          <w:color w:val="231F20"/>
          <w:w w:val="105"/>
        </w:rPr>
        <w:t>del</w:t>
      </w:r>
      <w:r>
        <w:rPr>
          <w:color w:val="231F20"/>
          <w:spacing w:val="-20"/>
          <w:w w:val="105"/>
        </w:rPr>
        <w:t> </w:t>
      </w:r>
      <w:r>
        <w:rPr>
          <w:color w:val="231F20"/>
          <w:w w:val="105"/>
        </w:rPr>
        <w:t>noveno</w:t>
      </w:r>
      <w:r>
        <w:rPr>
          <w:color w:val="231F20"/>
          <w:spacing w:val="-20"/>
          <w:w w:val="105"/>
        </w:rPr>
        <w:t> </w:t>
      </w:r>
      <w:r>
        <w:rPr>
          <w:color w:val="231F20"/>
          <w:w w:val="105"/>
        </w:rPr>
        <w:t>al</w:t>
      </w:r>
      <w:r>
        <w:rPr>
          <w:color w:val="231F20"/>
          <w:spacing w:val="-20"/>
          <w:w w:val="105"/>
        </w:rPr>
        <w:t> </w:t>
      </w:r>
      <w:r>
        <w:rPr>
          <w:color w:val="231F20"/>
          <w:w w:val="105"/>
        </w:rPr>
        <w:t>sexto</w:t>
      </w:r>
      <w:r>
        <w:rPr>
          <w:color w:val="231F20"/>
          <w:spacing w:val="-20"/>
          <w:w w:val="105"/>
        </w:rPr>
        <w:t> </w:t>
      </w:r>
      <w:r>
        <w:rPr>
          <w:color w:val="231F20"/>
          <w:w w:val="105"/>
        </w:rPr>
        <w:t>lugar</w:t>
      </w:r>
      <w:r>
        <w:rPr>
          <w:color w:val="231F20"/>
          <w:spacing w:val="-20"/>
          <w:w w:val="105"/>
        </w:rPr>
        <w:t> </w:t>
      </w:r>
      <w:r>
        <w:rPr>
          <w:color w:val="231F20"/>
          <w:w w:val="105"/>
        </w:rPr>
        <w:t>con</w:t>
      </w:r>
      <w:r>
        <w:rPr>
          <w:color w:val="231F20"/>
          <w:spacing w:val="-20"/>
          <w:w w:val="105"/>
        </w:rPr>
        <w:t> </w:t>
      </w:r>
      <w:r>
        <w:rPr>
          <w:color w:val="231F20"/>
          <w:w w:val="105"/>
        </w:rPr>
        <w:t>mayor</w:t>
      </w:r>
      <w:r>
        <w:rPr>
          <w:color w:val="231F20"/>
          <w:spacing w:val="-20"/>
          <w:w w:val="105"/>
        </w:rPr>
        <w:t> </w:t>
      </w:r>
      <w:r>
        <w:rPr>
          <w:color w:val="231F20"/>
          <w:w w:val="105"/>
        </w:rPr>
        <w:t>número</w:t>
      </w:r>
      <w:r>
        <w:rPr>
          <w:color w:val="231F20"/>
          <w:spacing w:val="-20"/>
          <w:w w:val="105"/>
        </w:rPr>
        <w:t> </w:t>
      </w:r>
      <w:r>
        <w:rPr>
          <w:color w:val="231F20"/>
          <w:w w:val="105"/>
        </w:rPr>
        <w:t>de</w:t>
      </w:r>
      <w:r>
        <w:rPr>
          <w:color w:val="231F20"/>
          <w:spacing w:val="-20"/>
          <w:w w:val="105"/>
        </w:rPr>
        <w:t> </w:t>
      </w:r>
      <w:r>
        <w:rPr>
          <w:color w:val="231F20"/>
          <w:w w:val="105"/>
        </w:rPr>
        <w:t>población</w:t>
      </w:r>
      <w:r>
        <w:rPr>
          <w:color w:val="231F20"/>
          <w:spacing w:val="-20"/>
          <w:w w:val="105"/>
        </w:rPr>
        <w:t> </w:t>
      </w:r>
      <w:r>
        <w:rPr>
          <w:color w:val="231F20"/>
          <w:w w:val="105"/>
        </w:rPr>
        <w:t>devuelta.</w:t>
      </w:r>
    </w:p>
    <w:p>
      <w:pPr>
        <w:pStyle w:val="BodyText"/>
        <w:spacing w:line="261" w:lineRule="auto" w:before="1"/>
        <w:ind w:left="1723" w:right="1834" w:firstLine="567"/>
        <w:jc w:val="both"/>
      </w:pPr>
      <w:r>
        <w:rPr>
          <w:color w:val="231F20"/>
          <w:w w:val="105"/>
        </w:rPr>
        <w:t>Entre</w:t>
      </w:r>
      <w:r>
        <w:rPr>
          <w:color w:val="231F20"/>
          <w:spacing w:val="-8"/>
          <w:w w:val="105"/>
        </w:rPr>
        <w:t> </w:t>
      </w:r>
      <w:r>
        <w:rPr>
          <w:color w:val="231F20"/>
          <w:w w:val="105"/>
        </w:rPr>
        <w:t>las</w:t>
      </w:r>
      <w:r>
        <w:rPr>
          <w:color w:val="231F20"/>
          <w:spacing w:val="-8"/>
          <w:w w:val="105"/>
        </w:rPr>
        <w:t> </w:t>
      </w:r>
      <w:r>
        <w:rPr>
          <w:color w:val="231F20"/>
          <w:w w:val="105"/>
        </w:rPr>
        <w:t>principales</w:t>
      </w:r>
      <w:r>
        <w:rPr>
          <w:color w:val="231F20"/>
          <w:spacing w:val="-8"/>
          <w:w w:val="105"/>
        </w:rPr>
        <w:t> </w:t>
      </w:r>
      <w:r>
        <w:rPr>
          <w:color w:val="231F20"/>
          <w:w w:val="105"/>
        </w:rPr>
        <w:t>características</w:t>
      </w:r>
      <w:r>
        <w:rPr>
          <w:color w:val="231F20"/>
          <w:spacing w:val="-8"/>
          <w:w w:val="105"/>
        </w:rPr>
        <w:t> </w:t>
      </w:r>
      <w:r>
        <w:rPr>
          <w:color w:val="231F20"/>
          <w:w w:val="105"/>
        </w:rPr>
        <w:t>de</w:t>
      </w:r>
      <w:r>
        <w:rPr>
          <w:color w:val="231F20"/>
          <w:spacing w:val="-8"/>
          <w:w w:val="105"/>
        </w:rPr>
        <w:t> </w:t>
      </w:r>
      <w:r>
        <w:rPr>
          <w:color w:val="231F20"/>
          <w:w w:val="105"/>
        </w:rPr>
        <w:t>este</w:t>
      </w:r>
      <w:r>
        <w:rPr>
          <w:color w:val="231F20"/>
          <w:spacing w:val="-8"/>
          <w:w w:val="105"/>
        </w:rPr>
        <w:t> </w:t>
      </w:r>
      <w:r>
        <w:rPr>
          <w:color w:val="231F20"/>
          <w:w w:val="105"/>
        </w:rPr>
        <w:t>flujo</w:t>
      </w:r>
      <w:r>
        <w:rPr>
          <w:color w:val="231F20"/>
          <w:spacing w:val="-8"/>
          <w:w w:val="105"/>
        </w:rPr>
        <w:t> </w:t>
      </w:r>
      <w:r>
        <w:rPr>
          <w:color w:val="231F20"/>
          <w:w w:val="105"/>
        </w:rPr>
        <w:t>llama</w:t>
      </w:r>
      <w:r>
        <w:rPr>
          <w:color w:val="231F20"/>
          <w:spacing w:val="-8"/>
          <w:w w:val="105"/>
        </w:rPr>
        <w:t> </w:t>
      </w:r>
      <w:r>
        <w:rPr>
          <w:color w:val="231F20"/>
          <w:w w:val="105"/>
        </w:rPr>
        <w:t>la</w:t>
      </w:r>
      <w:r>
        <w:rPr>
          <w:color w:val="231F20"/>
          <w:spacing w:val="-8"/>
          <w:w w:val="105"/>
        </w:rPr>
        <w:t> </w:t>
      </w:r>
      <w:r>
        <w:rPr>
          <w:color w:val="231F20"/>
          <w:w w:val="105"/>
        </w:rPr>
        <w:t>atención la</w:t>
      </w:r>
      <w:r>
        <w:rPr>
          <w:color w:val="231F20"/>
          <w:spacing w:val="-19"/>
          <w:w w:val="105"/>
        </w:rPr>
        <w:t> </w:t>
      </w:r>
      <w:r>
        <w:rPr>
          <w:color w:val="231F20"/>
          <w:w w:val="105"/>
        </w:rPr>
        <w:t>mayor</w:t>
      </w:r>
      <w:r>
        <w:rPr>
          <w:color w:val="231F20"/>
          <w:spacing w:val="-19"/>
          <w:w w:val="105"/>
        </w:rPr>
        <w:t> </w:t>
      </w:r>
      <w:r>
        <w:rPr>
          <w:color w:val="231F20"/>
          <w:w w:val="105"/>
        </w:rPr>
        <w:t>presencia</w:t>
      </w:r>
      <w:r>
        <w:rPr>
          <w:color w:val="231F20"/>
          <w:spacing w:val="-19"/>
          <w:w w:val="105"/>
        </w:rPr>
        <w:t> </w:t>
      </w:r>
      <w:r>
        <w:rPr>
          <w:color w:val="231F20"/>
          <w:w w:val="105"/>
        </w:rPr>
        <w:t>de</w:t>
      </w:r>
      <w:r>
        <w:rPr>
          <w:color w:val="231F20"/>
          <w:spacing w:val="-19"/>
          <w:w w:val="105"/>
        </w:rPr>
        <w:t> </w:t>
      </w:r>
      <w:r>
        <w:rPr>
          <w:color w:val="231F20"/>
          <w:w w:val="105"/>
        </w:rPr>
        <w:t>mujeres</w:t>
      </w:r>
      <w:r>
        <w:rPr>
          <w:color w:val="231F20"/>
          <w:spacing w:val="-19"/>
          <w:w w:val="105"/>
        </w:rPr>
        <w:t> </w:t>
      </w:r>
      <w:r>
        <w:rPr>
          <w:color w:val="231F20"/>
          <w:w w:val="105"/>
        </w:rPr>
        <w:t>mexiquenses</w:t>
      </w:r>
      <w:r>
        <w:rPr>
          <w:color w:val="231F20"/>
          <w:spacing w:val="-19"/>
          <w:w w:val="105"/>
        </w:rPr>
        <w:t> </w:t>
      </w:r>
      <w:r>
        <w:rPr>
          <w:color w:val="231F20"/>
          <w:w w:val="105"/>
        </w:rPr>
        <w:t>en</w:t>
      </w:r>
      <w:r>
        <w:rPr>
          <w:color w:val="231F20"/>
          <w:spacing w:val="-19"/>
          <w:w w:val="105"/>
        </w:rPr>
        <w:t> </w:t>
      </w:r>
      <w:r>
        <w:rPr>
          <w:color w:val="231F20"/>
          <w:w w:val="105"/>
        </w:rPr>
        <w:t>comparación</w:t>
      </w:r>
      <w:r>
        <w:rPr>
          <w:color w:val="231F20"/>
          <w:spacing w:val="-19"/>
          <w:w w:val="105"/>
        </w:rPr>
        <w:t> </w:t>
      </w:r>
      <w:r>
        <w:rPr>
          <w:color w:val="231F20"/>
          <w:w w:val="105"/>
        </w:rPr>
        <w:t>con</w:t>
      </w:r>
      <w:r>
        <w:rPr>
          <w:color w:val="231F20"/>
          <w:spacing w:val="-19"/>
          <w:w w:val="105"/>
        </w:rPr>
        <w:t> </w:t>
      </w:r>
      <w:r>
        <w:rPr>
          <w:color w:val="231F20"/>
          <w:w w:val="105"/>
        </w:rPr>
        <w:t>el</w:t>
      </w:r>
      <w:r>
        <w:rPr>
          <w:color w:val="231F20"/>
          <w:spacing w:val="-19"/>
          <w:w w:val="105"/>
        </w:rPr>
        <w:t> </w:t>
      </w:r>
      <w:r>
        <w:rPr>
          <w:color w:val="231F20"/>
          <w:w w:val="105"/>
        </w:rPr>
        <w:t>flujo nacional,</w:t>
      </w:r>
      <w:r>
        <w:rPr>
          <w:color w:val="231F20"/>
          <w:spacing w:val="-22"/>
          <w:w w:val="105"/>
        </w:rPr>
        <w:t> </w:t>
      </w:r>
      <w:r>
        <w:rPr>
          <w:color w:val="231F20"/>
          <w:w w:val="105"/>
        </w:rPr>
        <w:t>lo</w:t>
      </w:r>
      <w:r>
        <w:rPr>
          <w:color w:val="231F20"/>
          <w:spacing w:val="-17"/>
          <w:w w:val="105"/>
        </w:rPr>
        <w:t> </w:t>
      </w:r>
      <w:r>
        <w:rPr>
          <w:color w:val="231F20"/>
          <w:w w:val="105"/>
        </w:rPr>
        <w:t>cual</w:t>
      </w:r>
      <w:r>
        <w:rPr>
          <w:color w:val="231F20"/>
          <w:spacing w:val="-17"/>
          <w:w w:val="105"/>
        </w:rPr>
        <w:t> </w:t>
      </w:r>
      <w:r>
        <w:rPr>
          <w:color w:val="231F20"/>
          <w:w w:val="105"/>
        </w:rPr>
        <w:t>precisa</w:t>
      </w:r>
      <w:r>
        <w:rPr>
          <w:color w:val="231F20"/>
          <w:spacing w:val="-17"/>
          <w:w w:val="105"/>
        </w:rPr>
        <w:t> </w:t>
      </w:r>
      <w:r>
        <w:rPr>
          <w:color w:val="231F20"/>
          <w:w w:val="105"/>
        </w:rPr>
        <w:t>medidas</w:t>
      </w:r>
      <w:r>
        <w:rPr>
          <w:color w:val="231F20"/>
          <w:spacing w:val="-17"/>
          <w:w w:val="105"/>
        </w:rPr>
        <w:t> </w:t>
      </w:r>
      <w:r>
        <w:rPr>
          <w:color w:val="231F20"/>
          <w:w w:val="105"/>
        </w:rPr>
        <w:t>de</w:t>
      </w:r>
      <w:r>
        <w:rPr>
          <w:color w:val="231F20"/>
          <w:spacing w:val="-17"/>
          <w:w w:val="105"/>
        </w:rPr>
        <w:t> </w:t>
      </w:r>
      <w:r>
        <w:rPr>
          <w:color w:val="231F20"/>
          <w:w w:val="105"/>
        </w:rPr>
        <w:t>atención</w:t>
      </w:r>
      <w:r>
        <w:rPr>
          <w:color w:val="231F20"/>
          <w:spacing w:val="-17"/>
          <w:w w:val="105"/>
        </w:rPr>
        <w:t> </w:t>
      </w:r>
      <w:r>
        <w:rPr>
          <w:color w:val="231F20"/>
          <w:w w:val="105"/>
        </w:rPr>
        <w:t>especial</w:t>
      </w:r>
      <w:r>
        <w:rPr>
          <w:color w:val="231F20"/>
          <w:spacing w:val="-17"/>
          <w:w w:val="105"/>
        </w:rPr>
        <w:t> </w:t>
      </w:r>
      <w:r>
        <w:rPr>
          <w:color w:val="231F20"/>
          <w:w w:val="105"/>
        </w:rPr>
        <w:t>a</w:t>
      </w:r>
      <w:r>
        <w:rPr>
          <w:color w:val="231F20"/>
          <w:spacing w:val="-17"/>
          <w:w w:val="105"/>
        </w:rPr>
        <w:t> </w:t>
      </w:r>
      <w:r>
        <w:rPr>
          <w:color w:val="231F20"/>
          <w:w w:val="105"/>
        </w:rPr>
        <w:t>este</w:t>
      </w:r>
      <w:r>
        <w:rPr>
          <w:color w:val="231F20"/>
          <w:spacing w:val="-17"/>
          <w:w w:val="105"/>
        </w:rPr>
        <w:t> </w:t>
      </w:r>
      <w:r>
        <w:rPr>
          <w:color w:val="231F20"/>
          <w:w w:val="105"/>
        </w:rPr>
        <w:t>grupo,</w:t>
      </w:r>
      <w:r>
        <w:rPr>
          <w:color w:val="231F20"/>
          <w:spacing w:val="-22"/>
          <w:w w:val="105"/>
        </w:rPr>
        <w:t> </w:t>
      </w:r>
      <w:r>
        <w:rPr>
          <w:color w:val="231F20"/>
          <w:w w:val="105"/>
        </w:rPr>
        <w:t>par- ticularmente</w:t>
      </w:r>
      <w:r>
        <w:rPr>
          <w:color w:val="231F20"/>
          <w:spacing w:val="-18"/>
          <w:w w:val="105"/>
        </w:rPr>
        <w:t> </w:t>
      </w:r>
      <w:r>
        <w:rPr>
          <w:color w:val="231F20"/>
          <w:w w:val="105"/>
        </w:rPr>
        <w:t>considerando</w:t>
      </w:r>
      <w:r>
        <w:rPr>
          <w:color w:val="231F20"/>
          <w:spacing w:val="-18"/>
          <w:w w:val="105"/>
        </w:rPr>
        <w:t> </w:t>
      </w:r>
      <w:r>
        <w:rPr>
          <w:color w:val="231F20"/>
          <w:w w:val="105"/>
        </w:rPr>
        <w:t>su</w:t>
      </w:r>
      <w:r>
        <w:rPr>
          <w:color w:val="231F20"/>
          <w:spacing w:val="-18"/>
          <w:w w:val="105"/>
        </w:rPr>
        <w:t> </w:t>
      </w:r>
      <w:r>
        <w:rPr>
          <w:color w:val="231F20"/>
          <w:w w:val="105"/>
        </w:rPr>
        <w:t>situación</w:t>
      </w:r>
      <w:r>
        <w:rPr>
          <w:color w:val="231F20"/>
          <w:spacing w:val="-18"/>
          <w:w w:val="105"/>
        </w:rPr>
        <w:t> </w:t>
      </w:r>
      <w:r>
        <w:rPr>
          <w:color w:val="231F20"/>
          <w:w w:val="105"/>
        </w:rPr>
        <w:t>de</w:t>
      </w:r>
      <w:r>
        <w:rPr>
          <w:color w:val="231F20"/>
          <w:spacing w:val="-18"/>
          <w:w w:val="105"/>
        </w:rPr>
        <w:t> </w:t>
      </w:r>
      <w:r>
        <w:rPr>
          <w:color w:val="231F20"/>
          <w:w w:val="105"/>
        </w:rPr>
        <w:t>vulnerabilidad,</w:t>
      </w:r>
      <w:r>
        <w:rPr>
          <w:color w:val="231F20"/>
          <w:spacing w:val="-23"/>
          <w:w w:val="105"/>
        </w:rPr>
        <w:t> </w:t>
      </w:r>
      <w:r>
        <w:rPr>
          <w:color w:val="231F20"/>
          <w:w w:val="105"/>
        </w:rPr>
        <w:t>mayor</w:t>
      </w:r>
      <w:r>
        <w:rPr>
          <w:color w:val="231F20"/>
          <w:spacing w:val="-18"/>
          <w:w w:val="105"/>
        </w:rPr>
        <w:t> </w:t>
      </w:r>
      <w:r>
        <w:rPr>
          <w:color w:val="231F20"/>
          <w:w w:val="105"/>
        </w:rPr>
        <w:t>exposi- ción</w:t>
      </w:r>
      <w:r>
        <w:rPr>
          <w:color w:val="231F20"/>
          <w:spacing w:val="-19"/>
          <w:w w:val="105"/>
        </w:rPr>
        <w:t> </w:t>
      </w:r>
      <w:r>
        <w:rPr>
          <w:color w:val="231F20"/>
          <w:w w:val="105"/>
        </w:rPr>
        <w:t>a</w:t>
      </w:r>
      <w:r>
        <w:rPr>
          <w:color w:val="231F20"/>
          <w:spacing w:val="-19"/>
          <w:w w:val="105"/>
        </w:rPr>
        <w:t> </w:t>
      </w:r>
      <w:r>
        <w:rPr>
          <w:color w:val="231F20"/>
          <w:w w:val="105"/>
        </w:rPr>
        <w:t>riesgos</w:t>
      </w:r>
      <w:r>
        <w:rPr>
          <w:color w:val="231F20"/>
          <w:spacing w:val="-19"/>
          <w:w w:val="105"/>
        </w:rPr>
        <w:t> </w:t>
      </w:r>
      <w:r>
        <w:rPr>
          <w:color w:val="231F20"/>
          <w:w w:val="105"/>
        </w:rPr>
        <w:t>y</w:t>
      </w:r>
      <w:r>
        <w:rPr>
          <w:color w:val="231F20"/>
          <w:spacing w:val="-19"/>
          <w:w w:val="105"/>
        </w:rPr>
        <w:t> </w:t>
      </w:r>
      <w:r>
        <w:rPr>
          <w:color w:val="231F20"/>
          <w:w w:val="105"/>
        </w:rPr>
        <w:t>abusos,</w:t>
      </w:r>
      <w:r>
        <w:rPr>
          <w:color w:val="231F20"/>
          <w:spacing w:val="-24"/>
          <w:w w:val="105"/>
        </w:rPr>
        <w:t> </w:t>
      </w:r>
      <w:r>
        <w:rPr>
          <w:color w:val="231F20"/>
          <w:w w:val="105"/>
        </w:rPr>
        <w:t>y</w:t>
      </w:r>
      <w:r>
        <w:rPr>
          <w:color w:val="231F20"/>
          <w:spacing w:val="-19"/>
          <w:w w:val="105"/>
        </w:rPr>
        <w:t> </w:t>
      </w:r>
      <w:r>
        <w:rPr>
          <w:color w:val="231F20"/>
          <w:w w:val="105"/>
        </w:rPr>
        <w:t>los</w:t>
      </w:r>
      <w:r>
        <w:rPr>
          <w:color w:val="231F20"/>
          <w:spacing w:val="-19"/>
          <w:w w:val="105"/>
        </w:rPr>
        <w:t> </w:t>
      </w:r>
      <w:r>
        <w:rPr>
          <w:color w:val="231F20"/>
          <w:w w:val="105"/>
        </w:rPr>
        <w:t>impactos</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salud</w:t>
      </w:r>
      <w:r>
        <w:rPr>
          <w:color w:val="231F20"/>
          <w:spacing w:val="-19"/>
          <w:w w:val="105"/>
        </w:rPr>
        <w:t> </w:t>
      </w:r>
      <w:r>
        <w:rPr>
          <w:color w:val="231F20"/>
          <w:w w:val="105"/>
        </w:rPr>
        <w:t>emocional</w:t>
      </w:r>
      <w:r>
        <w:rPr>
          <w:color w:val="231F20"/>
          <w:spacing w:val="-19"/>
          <w:w w:val="105"/>
        </w:rPr>
        <w:t> </w:t>
      </w:r>
      <w:r>
        <w:rPr>
          <w:color w:val="231F20"/>
          <w:w w:val="105"/>
        </w:rPr>
        <w:t>que</w:t>
      </w:r>
      <w:r>
        <w:rPr>
          <w:color w:val="231F20"/>
          <w:spacing w:val="-19"/>
          <w:w w:val="105"/>
        </w:rPr>
        <w:t> </w:t>
      </w:r>
      <w:r>
        <w:rPr>
          <w:color w:val="231F20"/>
          <w:w w:val="105"/>
        </w:rPr>
        <w:t>desen- cadena el evento de devolución y del trato recibido por las autoridades migratorias</w:t>
      </w:r>
      <w:r>
        <w:rPr>
          <w:color w:val="231F20"/>
          <w:spacing w:val="-29"/>
          <w:w w:val="105"/>
        </w:rPr>
        <w:t> </w:t>
      </w:r>
      <w:r>
        <w:rPr>
          <w:color w:val="231F20"/>
          <w:w w:val="105"/>
        </w:rPr>
        <w:t>de</w:t>
      </w:r>
      <w:r>
        <w:rPr>
          <w:color w:val="231F20"/>
          <w:spacing w:val="-29"/>
          <w:w w:val="105"/>
        </w:rPr>
        <w:t> </w:t>
      </w:r>
      <w:r>
        <w:rPr>
          <w:color w:val="231F20"/>
          <w:w w:val="105"/>
        </w:rPr>
        <w:t>Estados</w:t>
      </w:r>
      <w:r>
        <w:rPr>
          <w:color w:val="231F20"/>
          <w:spacing w:val="-29"/>
          <w:w w:val="105"/>
        </w:rPr>
        <w:t> </w:t>
      </w:r>
      <w:r>
        <w:rPr>
          <w:color w:val="231F20"/>
          <w:w w:val="105"/>
        </w:rPr>
        <w:t>Unidos.</w:t>
      </w:r>
    </w:p>
    <w:p>
      <w:pPr>
        <w:pStyle w:val="BodyText"/>
        <w:spacing w:line="261" w:lineRule="auto" w:before="1"/>
        <w:ind w:left="1723" w:right="1829" w:firstLine="567"/>
        <w:jc w:val="both"/>
      </w:pPr>
      <w:r>
        <w:rPr>
          <w:color w:val="231F20"/>
          <w:spacing w:val="-6"/>
          <w:w w:val="105"/>
        </w:rPr>
        <w:t>Por </w:t>
      </w:r>
      <w:r>
        <w:rPr>
          <w:color w:val="231F20"/>
          <w:w w:val="105"/>
        </w:rPr>
        <w:t>otro lado, en cuanto a la experiencia y los recursos utilizados para</w:t>
      </w:r>
      <w:r>
        <w:rPr>
          <w:color w:val="231F20"/>
          <w:spacing w:val="-16"/>
          <w:w w:val="105"/>
        </w:rPr>
        <w:t> </w:t>
      </w:r>
      <w:r>
        <w:rPr>
          <w:color w:val="231F20"/>
          <w:w w:val="105"/>
        </w:rPr>
        <w:t>cruzar</w:t>
      </w:r>
      <w:r>
        <w:rPr>
          <w:color w:val="231F20"/>
          <w:spacing w:val="-16"/>
          <w:w w:val="105"/>
        </w:rPr>
        <w:t> </w:t>
      </w:r>
      <w:r>
        <w:rPr>
          <w:color w:val="231F20"/>
          <w:w w:val="105"/>
        </w:rPr>
        <w:t>a</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16"/>
          <w:w w:val="105"/>
        </w:rPr>
        <w:t> </w:t>
      </w:r>
      <w:r>
        <w:rPr>
          <w:color w:val="231F20"/>
          <w:w w:val="105"/>
        </w:rPr>
        <w:t>se</w:t>
      </w:r>
      <w:r>
        <w:rPr>
          <w:color w:val="231F20"/>
          <w:spacing w:val="-16"/>
          <w:w w:val="105"/>
        </w:rPr>
        <w:t> </w:t>
      </w:r>
      <w:r>
        <w:rPr>
          <w:color w:val="231F20"/>
          <w:w w:val="105"/>
        </w:rPr>
        <w:t>observa</w:t>
      </w:r>
      <w:r>
        <w:rPr>
          <w:color w:val="231F20"/>
          <w:spacing w:val="-16"/>
          <w:w w:val="105"/>
        </w:rPr>
        <w:t> </w:t>
      </w:r>
      <w:r>
        <w:rPr>
          <w:color w:val="231F20"/>
          <w:w w:val="105"/>
        </w:rPr>
        <w:t>una</w:t>
      </w:r>
      <w:r>
        <w:rPr>
          <w:color w:val="231F20"/>
          <w:spacing w:val="-16"/>
          <w:w w:val="105"/>
        </w:rPr>
        <w:t> </w:t>
      </w:r>
      <w:r>
        <w:rPr>
          <w:color w:val="231F20"/>
          <w:w w:val="105"/>
        </w:rPr>
        <w:t>mayor</w:t>
      </w:r>
      <w:r>
        <w:rPr>
          <w:color w:val="231F20"/>
          <w:spacing w:val="-16"/>
          <w:w w:val="105"/>
        </w:rPr>
        <w:t> </w:t>
      </w:r>
      <w:r>
        <w:rPr>
          <w:color w:val="231F20"/>
          <w:w w:val="105"/>
        </w:rPr>
        <w:t>diversificación</w:t>
      </w:r>
      <w:r>
        <w:rPr>
          <w:color w:val="231F20"/>
          <w:spacing w:val="-16"/>
          <w:w w:val="105"/>
        </w:rPr>
        <w:t> </w:t>
      </w:r>
      <w:r>
        <w:rPr>
          <w:color w:val="231F20"/>
          <w:w w:val="105"/>
        </w:rPr>
        <w:t>o</w:t>
      </w:r>
      <w:r>
        <w:rPr>
          <w:color w:val="231F20"/>
          <w:spacing w:val="-16"/>
          <w:w w:val="105"/>
        </w:rPr>
        <w:t> </w:t>
      </w:r>
      <w:r>
        <w:rPr>
          <w:color w:val="231F20"/>
          <w:w w:val="105"/>
        </w:rPr>
        <w:t>re- presentación de diferentes ciudades fronterizas como puntos de cruce, lo cual parece responder al mayor resguardo de las fronteras que obli- gan</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población</w:t>
      </w:r>
      <w:r>
        <w:rPr>
          <w:color w:val="231F20"/>
          <w:spacing w:val="-22"/>
          <w:w w:val="105"/>
        </w:rPr>
        <w:t> </w:t>
      </w:r>
      <w:r>
        <w:rPr>
          <w:color w:val="231F20"/>
          <w:w w:val="105"/>
        </w:rPr>
        <w:t>a</w:t>
      </w:r>
      <w:r>
        <w:rPr>
          <w:color w:val="231F20"/>
          <w:spacing w:val="-22"/>
          <w:w w:val="105"/>
        </w:rPr>
        <w:t> </w:t>
      </w:r>
      <w:r>
        <w:rPr>
          <w:color w:val="231F20"/>
          <w:w w:val="105"/>
        </w:rPr>
        <w:t>buscar</w:t>
      </w:r>
      <w:r>
        <w:rPr>
          <w:color w:val="231F20"/>
          <w:spacing w:val="-22"/>
          <w:w w:val="105"/>
        </w:rPr>
        <w:t> </w:t>
      </w:r>
      <w:r>
        <w:rPr>
          <w:color w:val="231F20"/>
          <w:w w:val="105"/>
        </w:rPr>
        <w:t>rutas</w:t>
      </w:r>
      <w:r>
        <w:rPr>
          <w:color w:val="231F20"/>
          <w:spacing w:val="-22"/>
          <w:w w:val="105"/>
        </w:rPr>
        <w:t> </w:t>
      </w:r>
      <w:r>
        <w:rPr>
          <w:color w:val="231F20"/>
          <w:w w:val="105"/>
        </w:rPr>
        <w:t>diversas,</w:t>
      </w:r>
      <w:r>
        <w:rPr>
          <w:color w:val="231F20"/>
          <w:spacing w:val="-27"/>
          <w:w w:val="105"/>
        </w:rPr>
        <w:t> </w:t>
      </w:r>
      <w:r>
        <w:rPr>
          <w:color w:val="231F20"/>
          <w:w w:val="105"/>
        </w:rPr>
        <w:t>pero</w:t>
      </w:r>
      <w:r>
        <w:rPr>
          <w:color w:val="231F20"/>
          <w:spacing w:val="-22"/>
          <w:w w:val="105"/>
        </w:rPr>
        <w:t> </w:t>
      </w:r>
      <w:r>
        <w:rPr>
          <w:color w:val="231F20"/>
          <w:w w:val="105"/>
        </w:rPr>
        <w:t>al</w:t>
      </w:r>
      <w:r>
        <w:rPr>
          <w:color w:val="231F20"/>
          <w:spacing w:val="-22"/>
          <w:w w:val="105"/>
        </w:rPr>
        <w:t> </w:t>
      </w:r>
      <w:r>
        <w:rPr>
          <w:color w:val="231F20"/>
          <w:w w:val="105"/>
        </w:rPr>
        <w:t>mismo</w:t>
      </w:r>
      <w:r>
        <w:rPr>
          <w:color w:val="231F20"/>
          <w:spacing w:val="-22"/>
          <w:w w:val="105"/>
        </w:rPr>
        <w:t> </w:t>
      </w:r>
      <w:r>
        <w:rPr>
          <w:color w:val="231F20"/>
          <w:w w:val="105"/>
        </w:rPr>
        <w:t>tiempo</w:t>
      </w:r>
      <w:r>
        <w:rPr>
          <w:color w:val="231F20"/>
          <w:spacing w:val="-22"/>
          <w:w w:val="105"/>
        </w:rPr>
        <w:t> </w:t>
      </w:r>
      <w:r>
        <w:rPr>
          <w:color w:val="231F20"/>
          <w:w w:val="105"/>
        </w:rPr>
        <w:t>más</w:t>
      </w:r>
      <w:r>
        <w:rPr>
          <w:color w:val="231F20"/>
          <w:spacing w:val="-22"/>
          <w:w w:val="105"/>
        </w:rPr>
        <w:t> </w:t>
      </w:r>
      <w:r>
        <w:rPr>
          <w:color w:val="231F20"/>
          <w:w w:val="105"/>
        </w:rPr>
        <w:t>pe- ligrosas</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fin</w:t>
      </w:r>
      <w:r>
        <w:rPr>
          <w:color w:val="231F20"/>
          <w:spacing w:val="-14"/>
          <w:w w:val="105"/>
        </w:rPr>
        <w:t> </w:t>
      </w:r>
      <w:r>
        <w:rPr>
          <w:color w:val="231F20"/>
          <w:w w:val="105"/>
        </w:rPr>
        <w:t>último</w:t>
      </w:r>
      <w:r>
        <w:rPr>
          <w:color w:val="231F20"/>
          <w:spacing w:val="-14"/>
          <w:w w:val="105"/>
        </w:rPr>
        <w:t> </w:t>
      </w:r>
      <w:r>
        <w:rPr>
          <w:color w:val="231F20"/>
          <w:w w:val="105"/>
        </w:rPr>
        <w:t>de</w:t>
      </w:r>
      <w:r>
        <w:rPr>
          <w:color w:val="231F20"/>
          <w:spacing w:val="-14"/>
          <w:w w:val="105"/>
        </w:rPr>
        <w:t> </w:t>
      </w:r>
      <w:r>
        <w:rPr>
          <w:color w:val="231F20"/>
          <w:w w:val="105"/>
        </w:rPr>
        <w:t>esquivar</w:t>
      </w:r>
      <w:r>
        <w:rPr>
          <w:color w:val="231F20"/>
          <w:spacing w:val="-14"/>
          <w:w w:val="105"/>
        </w:rPr>
        <w:t> </w:t>
      </w:r>
      <w:r>
        <w:rPr>
          <w:color w:val="231F20"/>
          <w:w w:val="105"/>
        </w:rPr>
        <w:t>las</w:t>
      </w:r>
      <w:r>
        <w:rPr>
          <w:color w:val="231F20"/>
          <w:spacing w:val="-14"/>
          <w:w w:val="105"/>
        </w:rPr>
        <w:t> </w:t>
      </w:r>
      <w:r>
        <w:rPr>
          <w:color w:val="231F20"/>
          <w:w w:val="105"/>
        </w:rPr>
        <w:t>medidas</w:t>
      </w:r>
      <w:r>
        <w:rPr>
          <w:color w:val="231F20"/>
          <w:spacing w:val="-14"/>
          <w:w w:val="105"/>
        </w:rPr>
        <w:t> </w:t>
      </w:r>
      <w:r>
        <w:rPr>
          <w:color w:val="231F20"/>
          <w:w w:val="105"/>
        </w:rPr>
        <w:t>de</w:t>
      </w:r>
      <w:r>
        <w:rPr>
          <w:color w:val="231F20"/>
          <w:spacing w:val="-14"/>
          <w:w w:val="105"/>
        </w:rPr>
        <w:t> </w:t>
      </w:r>
      <w:r>
        <w:rPr>
          <w:color w:val="231F20"/>
          <w:w w:val="105"/>
        </w:rPr>
        <w:t>seguridad</w:t>
      </w:r>
      <w:r>
        <w:rPr>
          <w:color w:val="231F20"/>
          <w:spacing w:val="-14"/>
          <w:w w:val="105"/>
        </w:rPr>
        <w:t> </w:t>
      </w:r>
      <w:r>
        <w:rPr>
          <w:color w:val="231F20"/>
          <w:w w:val="105"/>
        </w:rPr>
        <w:t>y</w:t>
      </w:r>
      <w:r>
        <w:rPr>
          <w:color w:val="231F20"/>
          <w:spacing w:val="-14"/>
          <w:w w:val="105"/>
        </w:rPr>
        <w:t> </w:t>
      </w:r>
      <w:r>
        <w:rPr>
          <w:color w:val="231F20"/>
          <w:w w:val="105"/>
        </w:rPr>
        <w:t>ampliar las</w:t>
      </w:r>
      <w:r>
        <w:rPr>
          <w:color w:val="231F20"/>
          <w:spacing w:val="-12"/>
          <w:w w:val="105"/>
        </w:rPr>
        <w:t> </w:t>
      </w:r>
      <w:r>
        <w:rPr>
          <w:color w:val="231F20"/>
          <w:w w:val="105"/>
        </w:rPr>
        <w:t>posibilidades</w:t>
      </w:r>
      <w:r>
        <w:rPr>
          <w:color w:val="231F20"/>
          <w:spacing w:val="-12"/>
          <w:w w:val="105"/>
        </w:rPr>
        <w:t> </w:t>
      </w:r>
      <w:r>
        <w:rPr>
          <w:color w:val="231F20"/>
          <w:w w:val="105"/>
        </w:rPr>
        <w:t>de</w:t>
      </w:r>
      <w:r>
        <w:rPr>
          <w:color w:val="231F20"/>
          <w:spacing w:val="-12"/>
          <w:w w:val="105"/>
        </w:rPr>
        <w:t> </w:t>
      </w:r>
      <w:r>
        <w:rPr>
          <w:color w:val="231F20"/>
          <w:w w:val="105"/>
        </w:rPr>
        <w:t>ingresar</w:t>
      </w:r>
      <w:r>
        <w:rPr>
          <w:color w:val="231F20"/>
          <w:spacing w:val="-12"/>
          <w:w w:val="105"/>
        </w:rPr>
        <w:t> </w:t>
      </w:r>
      <w:r>
        <w:rPr>
          <w:color w:val="231F20"/>
          <w:w w:val="105"/>
        </w:rPr>
        <w:t>al</w:t>
      </w:r>
      <w:r>
        <w:rPr>
          <w:color w:val="231F20"/>
          <w:spacing w:val="-12"/>
          <w:w w:val="105"/>
        </w:rPr>
        <w:t> </w:t>
      </w:r>
      <w:r>
        <w:rPr>
          <w:color w:val="231F20"/>
          <w:w w:val="105"/>
        </w:rPr>
        <w:t>vecino</w:t>
      </w:r>
      <w:r>
        <w:rPr>
          <w:color w:val="231F20"/>
          <w:spacing w:val="-12"/>
          <w:w w:val="105"/>
        </w:rPr>
        <w:t> </w:t>
      </w:r>
      <w:r>
        <w:rPr>
          <w:color w:val="231F20"/>
          <w:w w:val="105"/>
        </w:rPr>
        <w:t>país</w:t>
      </w:r>
      <w:r>
        <w:rPr>
          <w:color w:val="231F20"/>
          <w:spacing w:val="-12"/>
          <w:w w:val="105"/>
        </w:rPr>
        <w:t> </w:t>
      </w:r>
      <w:r>
        <w:rPr>
          <w:color w:val="231F20"/>
          <w:w w:val="105"/>
        </w:rPr>
        <w:t>del</w:t>
      </w:r>
      <w:r>
        <w:rPr>
          <w:color w:val="231F20"/>
          <w:spacing w:val="-12"/>
          <w:w w:val="105"/>
        </w:rPr>
        <w:t> </w:t>
      </w:r>
      <w:r>
        <w:rPr>
          <w:color w:val="231F20"/>
          <w:w w:val="105"/>
        </w:rPr>
        <w:t>norte.</w:t>
      </w:r>
    </w:p>
    <w:p>
      <w:pPr>
        <w:pStyle w:val="BodyText"/>
        <w:spacing w:line="261" w:lineRule="auto" w:before="1"/>
        <w:ind w:left="1723" w:right="1827" w:firstLine="567"/>
        <w:jc w:val="both"/>
      </w:pPr>
      <w:r>
        <w:rPr>
          <w:color w:val="231F20"/>
          <w:w w:val="105"/>
        </w:rPr>
        <w:t>Siguiendo con la perspectiva de seguridad nacional y las campa- ñas de militarización y hostigamiento de la población migrante en Es- tados Unidos, se aprecian también cambios en el lugar de detención, pues mientras en 2007 la mayor parte fue detenido en un desierto o montaña, vemos que en 2012 es mayor la presencia de las personas migrantes</w:t>
      </w:r>
      <w:r>
        <w:rPr>
          <w:color w:val="231F20"/>
          <w:spacing w:val="-15"/>
          <w:w w:val="105"/>
        </w:rPr>
        <w:t> </w:t>
      </w:r>
      <w:r>
        <w:rPr>
          <w:color w:val="231F20"/>
          <w:w w:val="105"/>
        </w:rPr>
        <w:t>mexiquenses</w:t>
      </w:r>
      <w:r>
        <w:rPr>
          <w:color w:val="231F20"/>
          <w:spacing w:val="-15"/>
          <w:w w:val="105"/>
        </w:rPr>
        <w:t> </w:t>
      </w:r>
      <w:r>
        <w:rPr>
          <w:color w:val="231F20"/>
          <w:w w:val="105"/>
        </w:rPr>
        <w:t>que</w:t>
      </w:r>
      <w:r>
        <w:rPr>
          <w:color w:val="231F20"/>
          <w:spacing w:val="-15"/>
          <w:w w:val="105"/>
        </w:rPr>
        <w:t> </w:t>
      </w:r>
      <w:r>
        <w:rPr>
          <w:color w:val="231F20"/>
          <w:w w:val="105"/>
        </w:rPr>
        <w:t>fueron</w:t>
      </w:r>
      <w:r>
        <w:rPr>
          <w:color w:val="231F20"/>
          <w:spacing w:val="-15"/>
          <w:w w:val="105"/>
        </w:rPr>
        <w:t> </w:t>
      </w:r>
      <w:r>
        <w:rPr>
          <w:color w:val="231F20"/>
          <w:w w:val="105"/>
        </w:rPr>
        <w:t>detenidas</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calle</w:t>
      </w:r>
      <w:r>
        <w:rPr>
          <w:color w:val="231F20"/>
          <w:spacing w:val="-15"/>
          <w:w w:val="105"/>
        </w:rPr>
        <w:t> </w:t>
      </w:r>
      <w:r>
        <w:rPr>
          <w:color w:val="231F20"/>
          <w:w w:val="105"/>
        </w:rPr>
        <w:t>o</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trabajo. Este</w:t>
      </w:r>
      <w:r>
        <w:rPr>
          <w:color w:val="231F20"/>
          <w:spacing w:val="-8"/>
          <w:w w:val="105"/>
        </w:rPr>
        <w:t> </w:t>
      </w:r>
      <w:r>
        <w:rPr>
          <w:color w:val="231F20"/>
          <w:w w:val="105"/>
        </w:rPr>
        <w:t>cambio</w:t>
      </w:r>
      <w:r>
        <w:rPr>
          <w:color w:val="231F20"/>
          <w:spacing w:val="-8"/>
          <w:w w:val="105"/>
        </w:rPr>
        <w:t> </w:t>
      </w:r>
      <w:r>
        <w:rPr>
          <w:color w:val="231F20"/>
          <w:w w:val="105"/>
        </w:rPr>
        <w:t>es</w:t>
      </w:r>
      <w:r>
        <w:rPr>
          <w:color w:val="231F20"/>
          <w:spacing w:val="-8"/>
          <w:w w:val="105"/>
        </w:rPr>
        <w:t> </w:t>
      </w:r>
      <w:r>
        <w:rPr>
          <w:color w:val="231F20"/>
          <w:w w:val="105"/>
        </w:rPr>
        <w:t>más</w:t>
      </w:r>
      <w:r>
        <w:rPr>
          <w:color w:val="231F20"/>
          <w:spacing w:val="-8"/>
          <w:w w:val="105"/>
        </w:rPr>
        <w:t> </w:t>
      </w:r>
      <w:r>
        <w:rPr>
          <w:color w:val="231F20"/>
          <w:w w:val="105"/>
        </w:rPr>
        <w:t>visible</w:t>
      </w:r>
      <w:r>
        <w:rPr>
          <w:color w:val="231F20"/>
          <w:spacing w:val="-8"/>
          <w:w w:val="105"/>
        </w:rPr>
        <w:t> </w:t>
      </w:r>
      <w:r>
        <w:rPr>
          <w:color w:val="231F20"/>
          <w:w w:val="105"/>
        </w:rPr>
        <w:t>sí</w:t>
      </w:r>
      <w:r>
        <w:rPr>
          <w:color w:val="231F20"/>
          <w:spacing w:val="-8"/>
          <w:w w:val="105"/>
        </w:rPr>
        <w:t> </w:t>
      </w:r>
      <w:r>
        <w:rPr>
          <w:color w:val="231F20"/>
          <w:w w:val="105"/>
        </w:rPr>
        <w:t>consideramos</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expresiones</w:t>
      </w:r>
      <w:r>
        <w:rPr>
          <w:color w:val="231F20"/>
          <w:spacing w:val="-8"/>
          <w:w w:val="105"/>
        </w:rPr>
        <w:t> </w:t>
      </w:r>
      <w:r>
        <w:rPr>
          <w:color w:val="231F20"/>
          <w:w w:val="105"/>
        </w:rPr>
        <w:t>antiin- migrantes se precisan también según el tiempo que los mexiquenses habían</w:t>
      </w:r>
      <w:r>
        <w:rPr>
          <w:color w:val="231F20"/>
          <w:spacing w:val="-10"/>
          <w:w w:val="105"/>
        </w:rPr>
        <w:t> </w:t>
      </w:r>
      <w:r>
        <w:rPr>
          <w:color w:val="231F20"/>
          <w:w w:val="105"/>
        </w:rPr>
        <w:t>permanecido</w:t>
      </w:r>
      <w:r>
        <w:rPr>
          <w:color w:val="231F20"/>
          <w:spacing w:val="-10"/>
          <w:w w:val="105"/>
        </w:rPr>
        <w:t> </w:t>
      </w:r>
      <w:r>
        <w:rPr>
          <w:color w:val="231F20"/>
          <w:w w:val="105"/>
        </w:rPr>
        <w:t>en</w:t>
      </w:r>
      <w:r>
        <w:rPr>
          <w:color w:val="231F20"/>
          <w:spacing w:val="-10"/>
          <w:w w:val="105"/>
        </w:rPr>
        <w:t> </w:t>
      </w:r>
      <w:r>
        <w:rPr>
          <w:color w:val="231F20"/>
          <w:w w:val="105"/>
        </w:rPr>
        <w:t>Estados</w:t>
      </w:r>
      <w:r>
        <w:rPr>
          <w:color w:val="231F20"/>
          <w:spacing w:val="-10"/>
          <w:w w:val="105"/>
        </w:rPr>
        <w:t> </w:t>
      </w:r>
      <w:r>
        <w:rPr>
          <w:color w:val="231F20"/>
          <w:w w:val="105"/>
        </w:rPr>
        <w:t>Unidos</w:t>
      </w:r>
      <w:r>
        <w:rPr>
          <w:color w:val="231F20"/>
          <w:spacing w:val="-10"/>
          <w:w w:val="105"/>
        </w:rPr>
        <w:t> </w:t>
      </w:r>
      <w:r>
        <w:rPr>
          <w:color w:val="231F20"/>
          <w:w w:val="105"/>
        </w:rPr>
        <w:t>antes</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ocurriera</w:t>
      </w:r>
      <w:r>
        <w:rPr>
          <w:color w:val="231F20"/>
          <w:spacing w:val="-10"/>
          <w:w w:val="105"/>
        </w:rPr>
        <w:t> </w:t>
      </w:r>
      <w:r>
        <w:rPr>
          <w:color w:val="231F20"/>
          <w:w w:val="105"/>
        </w:rPr>
        <w:t>el</w:t>
      </w:r>
      <w:r>
        <w:rPr>
          <w:color w:val="231F20"/>
          <w:spacing w:val="-10"/>
          <w:w w:val="105"/>
        </w:rPr>
        <w:t> </w:t>
      </w:r>
      <w:r>
        <w:rPr>
          <w:color w:val="231F20"/>
          <w:w w:val="105"/>
        </w:rPr>
        <w:t>even- to de la deportación, pues en el periodo de análisis se distingue que la mayor</w:t>
      </w:r>
      <w:r>
        <w:rPr>
          <w:color w:val="231F20"/>
          <w:spacing w:val="-10"/>
          <w:w w:val="105"/>
        </w:rPr>
        <w:t> </w:t>
      </w:r>
      <w:r>
        <w:rPr>
          <w:color w:val="231F20"/>
          <w:w w:val="105"/>
        </w:rPr>
        <w:t>proporción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devueltos</w:t>
      </w:r>
      <w:r>
        <w:rPr>
          <w:color w:val="231F20"/>
          <w:spacing w:val="-10"/>
          <w:w w:val="105"/>
        </w:rPr>
        <w:t> </w:t>
      </w:r>
      <w:r>
        <w:rPr>
          <w:color w:val="231F20"/>
          <w:w w:val="105"/>
        </w:rPr>
        <w:t>en</w:t>
      </w:r>
      <w:r>
        <w:rPr>
          <w:color w:val="231F20"/>
          <w:spacing w:val="-10"/>
          <w:w w:val="105"/>
        </w:rPr>
        <w:t> </w:t>
      </w:r>
      <w:r>
        <w:rPr>
          <w:color w:val="231F20"/>
          <w:w w:val="105"/>
        </w:rPr>
        <w:t>2007</w:t>
      </w:r>
      <w:r>
        <w:rPr>
          <w:color w:val="231F20"/>
          <w:spacing w:val="-10"/>
          <w:w w:val="105"/>
        </w:rPr>
        <w:t> </w:t>
      </w:r>
      <w:r>
        <w:rPr>
          <w:color w:val="231F20"/>
          <w:w w:val="105"/>
        </w:rPr>
        <w:t>permaneció</w:t>
      </w:r>
      <w:r>
        <w:rPr>
          <w:color w:val="231F20"/>
          <w:spacing w:val="-10"/>
          <w:w w:val="105"/>
        </w:rPr>
        <w:t> </w:t>
      </w:r>
      <w:r>
        <w:rPr>
          <w:color w:val="231F20"/>
          <w:w w:val="105"/>
        </w:rPr>
        <w:t>horas,</w:t>
      </w:r>
      <w:r>
        <w:rPr>
          <w:color w:val="231F20"/>
          <w:spacing w:val="-16"/>
          <w:w w:val="105"/>
        </w:rPr>
        <w:t> </w:t>
      </w:r>
      <w:r>
        <w:rPr>
          <w:color w:val="231F20"/>
          <w:w w:val="105"/>
        </w:rPr>
        <w:t>mientras que en 2012 fueron más los que habían permanecido uno o más años en</w:t>
      </w:r>
      <w:r>
        <w:rPr>
          <w:color w:val="231F20"/>
          <w:spacing w:val="-24"/>
          <w:w w:val="105"/>
        </w:rPr>
        <w:t> </w:t>
      </w:r>
      <w:r>
        <w:rPr>
          <w:color w:val="231F20"/>
          <w:w w:val="105"/>
        </w:rPr>
        <w:t>ese</w:t>
      </w:r>
      <w:r>
        <w:rPr>
          <w:color w:val="231F20"/>
          <w:spacing w:val="-24"/>
          <w:w w:val="105"/>
        </w:rPr>
        <w:t> </w:t>
      </w:r>
      <w:r>
        <w:rPr>
          <w:color w:val="231F20"/>
          <w:w w:val="105"/>
        </w:rPr>
        <w:t>país.</w:t>
      </w:r>
    </w:p>
    <w:p>
      <w:pPr>
        <w:pStyle w:val="BodyText"/>
        <w:spacing w:line="261" w:lineRule="auto" w:before="1"/>
        <w:ind w:left="1723" w:right="1834" w:firstLine="567"/>
        <w:jc w:val="both"/>
      </w:pPr>
      <w:r>
        <w:rPr>
          <w:color w:val="231F20"/>
          <w:w w:val="105"/>
        </w:rPr>
        <w:t>Si bien son diversos los cambios que se advierten, es importante mencionar que en la percepción de los mexiquenses devueltos, el</w:t>
      </w:r>
      <w:r>
        <w:rPr>
          <w:color w:val="231F20"/>
          <w:spacing w:val="-22"/>
          <w:w w:val="105"/>
        </w:rPr>
        <w:t> </w:t>
      </w:r>
      <w:r>
        <w:rPr>
          <w:color w:val="231F20"/>
          <w:w w:val="105"/>
        </w:rPr>
        <w:t>trato recibido por parte de las autoridades migratorias al momento de la de- tención no muestra síntomas agravantes de maltrato, en la medida en que se obtuvieron proporciones bajas de población que declaró haber sido objeto de agresión física, decomiso de sus pertenencias o haber experimentado algún otro tipo de</w:t>
      </w:r>
      <w:r>
        <w:rPr>
          <w:color w:val="231F20"/>
          <w:spacing w:val="34"/>
          <w:w w:val="105"/>
        </w:rPr>
        <w:t> </w:t>
      </w:r>
      <w:r>
        <w:rPr>
          <w:color w:val="231F20"/>
          <w:w w:val="105"/>
        </w:rPr>
        <w:t>problema.</w:t>
      </w:r>
    </w:p>
    <w:p>
      <w:pPr>
        <w:pStyle w:val="BodyText"/>
        <w:spacing w:line="261" w:lineRule="auto" w:before="1"/>
        <w:ind w:left="1723" w:right="1828" w:firstLine="567"/>
        <w:jc w:val="both"/>
      </w:pPr>
      <w:r>
        <w:rPr>
          <w:color w:val="231F20"/>
          <w:spacing w:val="-3"/>
          <w:w w:val="105"/>
        </w:rPr>
        <w:t>Finalmente,</w:t>
      </w:r>
      <w:r>
        <w:rPr>
          <w:color w:val="231F20"/>
          <w:spacing w:val="-22"/>
          <w:w w:val="105"/>
        </w:rPr>
        <w:t> </w:t>
      </w:r>
      <w:r>
        <w:rPr>
          <w:color w:val="231F20"/>
          <w:w w:val="105"/>
        </w:rPr>
        <w:t>en</w:t>
      </w:r>
      <w:r>
        <w:rPr>
          <w:color w:val="231F20"/>
          <w:spacing w:val="-17"/>
          <w:w w:val="105"/>
        </w:rPr>
        <w:t> </w:t>
      </w:r>
      <w:r>
        <w:rPr>
          <w:color w:val="231F20"/>
          <w:w w:val="105"/>
        </w:rPr>
        <w:t>atención</w:t>
      </w:r>
      <w:r>
        <w:rPr>
          <w:color w:val="231F20"/>
          <w:spacing w:val="-17"/>
          <w:w w:val="105"/>
        </w:rPr>
        <w:t> </w:t>
      </w:r>
      <w:r>
        <w:rPr>
          <w:color w:val="231F20"/>
          <w:w w:val="105"/>
        </w:rPr>
        <w:t>a</w:t>
      </w:r>
      <w:r>
        <w:rPr>
          <w:color w:val="231F20"/>
          <w:spacing w:val="-17"/>
          <w:w w:val="105"/>
        </w:rPr>
        <w:t> </w:t>
      </w:r>
      <w:r>
        <w:rPr>
          <w:color w:val="231F20"/>
          <w:w w:val="105"/>
        </w:rPr>
        <w:t>esta</w:t>
      </w:r>
      <w:r>
        <w:rPr>
          <w:color w:val="231F20"/>
          <w:spacing w:val="-17"/>
          <w:w w:val="105"/>
        </w:rPr>
        <w:t> </w:t>
      </w:r>
      <w:r>
        <w:rPr>
          <w:color w:val="231F20"/>
          <w:spacing w:val="-3"/>
          <w:w w:val="105"/>
        </w:rPr>
        <w:t>problemática,</w:t>
      </w:r>
      <w:r>
        <w:rPr>
          <w:color w:val="231F20"/>
          <w:spacing w:val="-22"/>
          <w:w w:val="105"/>
        </w:rPr>
        <w:t> </w:t>
      </w:r>
      <w:r>
        <w:rPr>
          <w:color w:val="231F20"/>
          <w:w w:val="105"/>
        </w:rPr>
        <w:t>en</w:t>
      </w:r>
      <w:r>
        <w:rPr>
          <w:color w:val="231F20"/>
          <w:spacing w:val="-17"/>
          <w:w w:val="105"/>
        </w:rPr>
        <w:t> </w:t>
      </w:r>
      <w:r>
        <w:rPr>
          <w:color w:val="231F20"/>
          <w:w w:val="105"/>
        </w:rPr>
        <w:t>materia</w:t>
      </w:r>
      <w:r>
        <w:rPr>
          <w:color w:val="231F20"/>
          <w:spacing w:val="-17"/>
          <w:w w:val="105"/>
        </w:rPr>
        <w:t> </w:t>
      </w:r>
      <w:r>
        <w:rPr>
          <w:color w:val="231F20"/>
          <w:w w:val="105"/>
        </w:rPr>
        <w:t>de</w:t>
      </w:r>
      <w:r>
        <w:rPr>
          <w:color w:val="231F20"/>
          <w:spacing w:val="-17"/>
          <w:w w:val="105"/>
        </w:rPr>
        <w:t> </w:t>
      </w:r>
      <w:r>
        <w:rPr>
          <w:color w:val="231F20"/>
          <w:w w:val="105"/>
        </w:rPr>
        <w:t>política pública</w:t>
      </w:r>
      <w:r>
        <w:rPr>
          <w:color w:val="231F20"/>
          <w:spacing w:val="-13"/>
          <w:w w:val="105"/>
        </w:rPr>
        <w:t> </w:t>
      </w:r>
      <w:r>
        <w:rPr>
          <w:color w:val="231F20"/>
          <w:w w:val="105"/>
        </w:rPr>
        <w:t>es</w:t>
      </w:r>
      <w:r>
        <w:rPr>
          <w:color w:val="231F20"/>
          <w:spacing w:val="-13"/>
          <w:w w:val="105"/>
        </w:rPr>
        <w:t> </w:t>
      </w:r>
      <w:r>
        <w:rPr>
          <w:color w:val="231F20"/>
          <w:w w:val="105"/>
        </w:rPr>
        <w:t>importante</w:t>
      </w:r>
      <w:r>
        <w:rPr>
          <w:color w:val="231F20"/>
          <w:spacing w:val="-13"/>
          <w:w w:val="105"/>
        </w:rPr>
        <w:t> </w:t>
      </w:r>
      <w:r>
        <w:rPr>
          <w:color w:val="231F20"/>
          <w:spacing w:val="-2"/>
          <w:w w:val="105"/>
        </w:rPr>
        <w:t>considerar</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corto</w:t>
      </w:r>
      <w:r>
        <w:rPr>
          <w:color w:val="231F20"/>
          <w:spacing w:val="-13"/>
          <w:w w:val="105"/>
        </w:rPr>
        <w:t> </w:t>
      </w:r>
      <w:r>
        <w:rPr>
          <w:color w:val="231F20"/>
          <w:w w:val="105"/>
        </w:rPr>
        <w:t>plazo</w:t>
      </w:r>
      <w:r>
        <w:rPr>
          <w:color w:val="231F20"/>
          <w:spacing w:val="-13"/>
          <w:w w:val="105"/>
        </w:rPr>
        <w:t> </w:t>
      </w:r>
      <w:r>
        <w:rPr>
          <w:color w:val="231F20"/>
          <w:w w:val="105"/>
        </w:rPr>
        <w:t>la</w:t>
      </w:r>
      <w:r>
        <w:rPr>
          <w:color w:val="231F20"/>
          <w:spacing w:val="-13"/>
          <w:w w:val="105"/>
        </w:rPr>
        <w:t> </w:t>
      </w:r>
      <w:r>
        <w:rPr>
          <w:color w:val="231F20"/>
          <w:spacing w:val="-3"/>
          <w:w w:val="105"/>
        </w:rPr>
        <w:t>desaceleración </w:t>
      </w:r>
      <w:r>
        <w:rPr>
          <w:color w:val="231F20"/>
          <w:w w:val="105"/>
        </w:rPr>
        <w:t>del flujo </w:t>
      </w:r>
      <w:r>
        <w:rPr>
          <w:color w:val="231F20"/>
          <w:spacing w:val="-3"/>
          <w:w w:val="105"/>
        </w:rPr>
        <w:t>migratorio </w:t>
      </w:r>
      <w:r>
        <w:rPr>
          <w:color w:val="231F20"/>
          <w:w w:val="105"/>
        </w:rPr>
        <w:t>y el particular aumento de los migrantes que están siendo deportados </w:t>
      </w:r>
      <w:r>
        <w:rPr>
          <w:color w:val="231F20"/>
          <w:spacing w:val="-2"/>
          <w:w w:val="105"/>
        </w:rPr>
        <w:t>aumentará </w:t>
      </w:r>
      <w:r>
        <w:rPr>
          <w:color w:val="231F20"/>
          <w:w w:val="105"/>
        </w:rPr>
        <w:t>las </w:t>
      </w:r>
      <w:r>
        <w:rPr>
          <w:color w:val="231F20"/>
          <w:spacing w:val="-3"/>
          <w:w w:val="105"/>
        </w:rPr>
        <w:t>presiones </w:t>
      </w:r>
      <w:r>
        <w:rPr>
          <w:color w:val="231F20"/>
          <w:w w:val="105"/>
        </w:rPr>
        <w:t>en la demanda de</w:t>
      </w:r>
      <w:r>
        <w:rPr>
          <w:color w:val="231F20"/>
          <w:spacing w:val="-22"/>
          <w:w w:val="105"/>
        </w:rPr>
        <w:t> </w:t>
      </w:r>
      <w:r>
        <w:rPr>
          <w:color w:val="231F20"/>
          <w:w w:val="105"/>
        </w:rPr>
        <w:t>empleo,</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0776" from="131.551193pt,3.703715pt" to="131.551193pt,39.506114pt" stroked="true" strokeweight=".35pt" strokecolor="#231f20">
            <w10:wrap type="none"/>
          </v:line>
        </w:pict>
      </w:r>
      <w:r>
        <w:rPr/>
        <w:pict>
          <v:line style="position:absolute;mso-position-horizontal-relative:page;mso-position-vertical-relative:paragraph;z-index:-470704" from="15pt,39.505917pt" to="0pt,39.505917pt" stroked="true" strokeweight=".25pt" strokecolor="#000000">
            <w10:wrap type="none"/>
          </v:line>
        </w:pict>
      </w:r>
      <w:r>
        <w:rPr/>
        <w:pict>
          <v:line style="position:absolute;mso-position-horizontal-relative:page;mso-position-vertical-relative:paragraph;z-index:19504" from="508.890015pt,39.505917pt" to="523.890015pt,39.505917pt" stroked="true" strokeweight=".25pt" strokecolor="#000000">
            <w10:wrap type="none"/>
          </v:line>
        </w:pict>
      </w:r>
      <w:r>
        <w:rPr>
          <w:rFonts w:ascii="Arial" w:hAnsi="Arial"/>
          <w:color w:val="414042"/>
          <w:w w:val="105"/>
          <w:position w:val="-5"/>
          <w:sz w:val="20"/>
        </w:rPr>
        <w:t>170</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9528"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9552" from="15pt,-28.286539pt" to="0pt,-28.286539pt" stroked="true" strokeweight=".25pt" strokecolor="#000000">
            <w10:wrap type="none"/>
          </v:line>
        </w:pict>
      </w:r>
      <w:r>
        <w:rPr/>
        <w:pict>
          <v:line style="position:absolute;mso-position-horizontal-relative:page;mso-position-vertical-relative:paragraph;z-index:19576" from="508.890015pt,-28.286539pt" to="523.890015pt,-28.286539pt" stroked="true" strokeweight=".25pt" strokecolor="#000000">
            <w10:wrap type="none"/>
          </v:line>
        </w:pict>
      </w:r>
      <w:r>
        <w:rPr>
          <w:rFonts w:ascii="Arial"/>
          <w:color w:val="414042"/>
          <w:sz w:val="20"/>
        </w:rPr>
        <w:t>171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2"/>
        <w:jc w:val="both"/>
      </w:pPr>
      <w:r>
        <w:rPr>
          <w:color w:val="231F20"/>
          <w:w w:val="105"/>
        </w:rPr>
        <w:t>salud y </w:t>
      </w:r>
      <w:r>
        <w:rPr>
          <w:color w:val="231F20"/>
          <w:spacing w:val="-3"/>
          <w:w w:val="105"/>
        </w:rPr>
        <w:t>otros </w:t>
      </w:r>
      <w:r>
        <w:rPr>
          <w:color w:val="231F20"/>
          <w:w w:val="105"/>
        </w:rPr>
        <w:t>servicios, según las características sociodemográficas de esta</w:t>
      </w:r>
      <w:r>
        <w:rPr>
          <w:color w:val="231F20"/>
          <w:spacing w:val="-11"/>
          <w:w w:val="105"/>
        </w:rPr>
        <w:t> </w:t>
      </w:r>
      <w:r>
        <w:rPr>
          <w:color w:val="231F20"/>
          <w:w w:val="105"/>
        </w:rPr>
        <w:t>población.</w:t>
      </w:r>
      <w:r>
        <w:rPr>
          <w:color w:val="231F20"/>
          <w:spacing w:val="-16"/>
          <w:w w:val="105"/>
        </w:rPr>
        <w:t> </w:t>
      </w:r>
      <w:r>
        <w:rPr>
          <w:color w:val="231F20"/>
          <w:spacing w:val="-7"/>
          <w:w w:val="105"/>
        </w:rPr>
        <w:t>Por</w:t>
      </w:r>
      <w:r>
        <w:rPr>
          <w:color w:val="231F20"/>
          <w:spacing w:val="-11"/>
          <w:w w:val="105"/>
        </w:rPr>
        <w:t> </w:t>
      </w:r>
      <w:r>
        <w:rPr>
          <w:color w:val="231F20"/>
          <w:w w:val="105"/>
        </w:rPr>
        <w:t>lo</w:t>
      </w:r>
      <w:r>
        <w:rPr>
          <w:color w:val="231F20"/>
          <w:spacing w:val="-11"/>
          <w:w w:val="105"/>
        </w:rPr>
        <w:t> </w:t>
      </w:r>
      <w:r>
        <w:rPr>
          <w:color w:val="231F20"/>
          <w:w w:val="105"/>
        </w:rPr>
        <w:t>cual,</w:t>
      </w:r>
      <w:r>
        <w:rPr>
          <w:color w:val="231F20"/>
          <w:spacing w:val="-16"/>
          <w:w w:val="105"/>
        </w:rPr>
        <w:t> </w:t>
      </w:r>
      <w:r>
        <w:rPr>
          <w:color w:val="231F20"/>
          <w:w w:val="105"/>
        </w:rPr>
        <w:t>advertimos</w:t>
      </w:r>
      <w:r>
        <w:rPr>
          <w:color w:val="231F20"/>
          <w:spacing w:val="-11"/>
          <w:w w:val="105"/>
        </w:rPr>
        <w:t> </w:t>
      </w:r>
      <w:r>
        <w:rPr>
          <w:color w:val="231F20"/>
          <w:spacing w:val="-3"/>
          <w:w w:val="105"/>
        </w:rPr>
        <w:t>sobre</w:t>
      </w:r>
      <w:r>
        <w:rPr>
          <w:color w:val="231F20"/>
          <w:spacing w:val="-11"/>
          <w:w w:val="105"/>
        </w:rPr>
        <w:t> </w:t>
      </w:r>
      <w:r>
        <w:rPr>
          <w:color w:val="231F20"/>
          <w:w w:val="105"/>
        </w:rPr>
        <w:t>la</w:t>
      </w:r>
      <w:r>
        <w:rPr>
          <w:color w:val="231F20"/>
          <w:spacing w:val="-11"/>
          <w:w w:val="105"/>
        </w:rPr>
        <w:t> </w:t>
      </w:r>
      <w:r>
        <w:rPr>
          <w:color w:val="231F20"/>
          <w:w w:val="105"/>
        </w:rPr>
        <w:t>necesidad</w:t>
      </w:r>
      <w:r>
        <w:rPr>
          <w:color w:val="231F20"/>
          <w:spacing w:val="-11"/>
          <w:w w:val="105"/>
        </w:rPr>
        <w:t> </w:t>
      </w:r>
      <w:r>
        <w:rPr>
          <w:color w:val="231F20"/>
          <w:w w:val="105"/>
        </w:rPr>
        <w:t>de</w:t>
      </w:r>
      <w:r>
        <w:rPr>
          <w:color w:val="231F20"/>
          <w:spacing w:val="-11"/>
          <w:w w:val="105"/>
        </w:rPr>
        <w:t> </w:t>
      </w:r>
      <w:r>
        <w:rPr>
          <w:color w:val="231F20"/>
          <w:spacing w:val="-3"/>
          <w:w w:val="105"/>
        </w:rPr>
        <w:t>reformular </w:t>
      </w:r>
      <w:r>
        <w:rPr>
          <w:color w:val="231F20"/>
          <w:w w:val="105"/>
        </w:rPr>
        <w:t>las políticas de intervención social en las comunidades migrantes, toda vez que los cambios en las dinámicas </w:t>
      </w:r>
      <w:r>
        <w:rPr>
          <w:color w:val="231F20"/>
          <w:spacing w:val="-3"/>
          <w:w w:val="105"/>
        </w:rPr>
        <w:t>migratorias requieren marcos </w:t>
      </w:r>
      <w:r>
        <w:rPr>
          <w:color w:val="231F20"/>
          <w:w w:val="105"/>
        </w:rPr>
        <w:t>de actuación</w:t>
      </w:r>
      <w:r>
        <w:rPr>
          <w:color w:val="231F20"/>
          <w:spacing w:val="-29"/>
          <w:w w:val="105"/>
        </w:rPr>
        <w:t> </w:t>
      </w:r>
      <w:r>
        <w:rPr>
          <w:color w:val="231F20"/>
          <w:w w:val="105"/>
        </w:rPr>
        <w:t>y</w:t>
      </w:r>
      <w:r>
        <w:rPr>
          <w:color w:val="231F20"/>
          <w:spacing w:val="-29"/>
          <w:w w:val="105"/>
        </w:rPr>
        <w:t> </w:t>
      </w:r>
      <w:r>
        <w:rPr>
          <w:color w:val="231F20"/>
          <w:w w:val="105"/>
        </w:rPr>
        <w:t>diseño</w:t>
      </w:r>
      <w:r>
        <w:rPr>
          <w:color w:val="231F20"/>
          <w:spacing w:val="-29"/>
          <w:w w:val="105"/>
        </w:rPr>
        <w:t> </w:t>
      </w:r>
      <w:r>
        <w:rPr>
          <w:color w:val="231F20"/>
          <w:w w:val="105"/>
        </w:rPr>
        <w:t>de</w:t>
      </w:r>
      <w:r>
        <w:rPr>
          <w:color w:val="231F20"/>
          <w:spacing w:val="-29"/>
          <w:w w:val="105"/>
        </w:rPr>
        <w:t> </w:t>
      </w:r>
      <w:r>
        <w:rPr>
          <w:color w:val="231F20"/>
          <w:w w:val="105"/>
        </w:rPr>
        <w:t>políticas</w:t>
      </w:r>
      <w:r>
        <w:rPr>
          <w:color w:val="231F20"/>
          <w:spacing w:val="-29"/>
          <w:w w:val="105"/>
        </w:rPr>
        <w:t> </w:t>
      </w:r>
      <w:r>
        <w:rPr>
          <w:color w:val="231F20"/>
          <w:w w:val="105"/>
        </w:rPr>
        <w:t>focalizadas</w:t>
      </w:r>
      <w:r>
        <w:rPr>
          <w:color w:val="231F20"/>
          <w:spacing w:val="-29"/>
          <w:w w:val="105"/>
        </w:rPr>
        <w:t> </w:t>
      </w:r>
      <w:r>
        <w:rPr>
          <w:color w:val="231F20"/>
          <w:w w:val="105"/>
        </w:rPr>
        <w:t>en</w:t>
      </w:r>
      <w:r>
        <w:rPr>
          <w:color w:val="231F20"/>
          <w:spacing w:val="-29"/>
          <w:w w:val="105"/>
        </w:rPr>
        <w:t> </w:t>
      </w:r>
      <w:r>
        <w:rPr>
          <w:color w:val="231F20"/>
          <w:w w:val="105"/>
        </w:rPr>
        <w:t>atender</w:t>
      </w:r>
      <w:r>
        <w:rPr>
          <w:color w:val="231F20"/>
          <w:spacing w:val="-29"/>
          <w:w w:val="105"/>
        </w:rPr>
        <w:t> </w:t>
      </w:r>
      <w:r>
        <w:rPr>
          <w:color w:val="231F20"/>
          <w:w w:val="105"/>
        </w:rPr>
        <w:t>dicha</w:t>
      </w:r>
      <w:r>
        <w:rPr>
          <w:color w:val="231F20"/>
          <w:spacing w:val="-29"/>
          <w:w w:val="105"/>
        </w:rPr>
        <w:t> </w:t>
      </w:r>
      <w:r>
        <w:rPr>
          <w:color w:val="231F20"/>
          <w:spacing w:val="-3"/>
          <w:w w:val="105"/>
        </w:rPr>
        <w:t>problemática </w:t>
      </w:r>
      <w:r>
        <w:rPr>
          <w:color w:val="231F20"/>
          <w:w w:val="105"/>
        </w:rPr>
        <w:t>desde</w:t>
      </w:r>
      <w:r>
        <w:rPr>
          <w:color w:val="231F20"/>
          <w:spacing w:val="-35"/>
          <w:w w:val="105"/>
        </w:rPr>
        <w:t> </w:t>
      </w:r>
      <w:r>
        <w:rPr>
          <w:color w:val="231F20"/>
          <w:w w:val="105"/>
        </w:rPr>
        <w:t>una</w:t>
      </w:r>
      <w:r>
        <w:rPr>
          <w:color w:val="231F20"/>
          <w:spacing w:val="-35"/>
          <w:w w:val="105"/>
        </w:rPr>
        <w:t> </w:t>
      </w:r>
      <w:r>
        <w:rPr>
          <w:color w:val="231F20"/>
          <w:w w:val="105"/>
        </w:rPr>
        <w:t>perspectiva</w:t>
      </w:r>
      <w:r>
        <w:rPr>
          <w:color w:val="231F20"/>
          <w:spacing w:val="-35"/>
          <w:w w:val="105"/>
        </w:rPr>
        <w:t> </w:t>
      </w:r>
      <w:r>
        <w:rPr>
          <w:color w:val="231F20"/>
          <w:w w:val="105"/>
        </w:rPr>
        <w:t>incluyente</w:t>
      </w:r>
      <w:r>
        <w:rPr>
          <w:color w:val="231F20"/>
          <w:spacing w:val="-35"/>
          <w:w w:val="105"/>
        </w:rPr>
        <w:t> </w:t>
      </w:r>
      <w:r>
        <w:rPr>
          <w:color w:val="231F20"/>
          <w:w w:val="105"/>
        </w:rPr>
        <w:t>y</w:t>
      </w:r>
      <w:r>
        <w:rPr>
          <w:color w:val="231F20"/>
          <w:spacing w:val="-35"/>
          <w:w w:val="105"/>
        </w:rPr>
        <w:t> </w:t>
      </w:r>
      <w:r>
        <w:rPr>
          <w:color w:val="231F20"/>
          <w:w w:val="105"/>
        </w:rPr>
        <w:t>centrada</w:t>
      </w:r>
      <w:r>
        <w:rPr>
          <w:color w:val="231F20"/>
          <w:spacing w:val="-35"/>
          <w:w w:val="105"/>
        </w:rPr>
        <w:t> </w:t>
      </w:r>
      <w:r>
        <w:rPr>
          <w:color w:val="231F20"/>
          <w:w w:val="105"/>
        </w:rPr>
        <w:t>en</w:t>
      </w:r>
      <w:r>
        <w:rPr>
          <w:color w:val="231F20"/>
          <w:spacing w:val="-35"/>
          <w:w w:val="105"/>
        </w:rPr>
        <w:t> </w:t>
      </w:r>
      <w:r>
        <w:rPr>
          <w:color w:val="231F20"/>
          <w:w w:val="105"/>
        </w:rPr>
        <w:t>las</w:t>
      </w:r>
      <w:r>
        <w:rPr>
          <w:color w:val="231F20"/>
          <w:spacing w:val="-35"/>
          <w:w w:val="105"/>
        </w:rPr>
        <w:t> </w:t>
      </w:r>
      <w:r>
        <w:rPr>
          <w:color w:val="231F20"/>
          <w:w w:val="105"/>
        </w:rPr>
        <w:t>necesidades</w:t>
      </w:r>
      <w:r>
        <w:rPr>
          <w:color w:val="231F20"/>
          <w:spacing w:val="-35"/>
          <w:w w:val="105"/>
        </w:rPr>
        <w:t> </w:t>
      </w:r>
      <w:r>
        <w:rPr>
          <w:color w:val="231F20"/>
          <w:w w:val="105"/>
        </w:rPr>
        <w:t>inmedia- tas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población</w:t>
      </w:r>
      <w:r>
        <w:rPr>
          <w:color w:val="231F20"/>
          <w:spacing w:val="-25"/>
          <w:w w:val="105"/>
        </w:rPr>
        <w:t> </w:t>
      </w:r>
      <w:r>
        <w:rPr>
          <w:color w:val="231F20"/>
          <w:w w:val="105"/>
        </w:rPr>
        <w:t>que</w:t>
      </w:r>
      <w:r>
        <w:rPr>
          <w:color w:val="231F20"/>
          <w:spacing w:val="-25"/>
          <w:w w:val="105"/>
        </w:rPr>
        <w:t> </w:t>
      </w:r>
      <w:r>
        <w:rPr>
          <w:color w:val="231F20"/>
          <w:w w:val="105"/>
        </w:rPr>
        <w:t>está</w:t>
      </w:r>
      <w:r>
        <w:rPr>
          <w:color w:val="231F20"/>
          <w:spacing w:val="-25"/>
          <w:w w:val="105"/>
        </w:rPr>
        <w:t> </w:t>
      </w:r>
      <w:r>
        <w:rPr>
          <w:color w:val="231F20"/>
          <w:w w:val="105"/>
        </w:rPr>
        <w:t>siendo</w:t>
      </w:r>
      <w:r>
        <w:rPr>
          <w:color w:val="231F20"/>
          <w:spacing w:val="-25"/>
          <w:w w:val="105"/>
        </w:rPr>
        <w:t> </w:t>
      </w:r>
      <w:r>
        <w:rPr>
          <w:color w:val="231F20"/>
          <w:w w:val="105"/>
        </w:rPr>
        <w:t>devuelta</w:t>
      </w:r>
      <w:r>
        <w:rPr>
          <w:color w:val="231F20"/>
          <w:spacing w:val="-25"/>
          <w:w w:val="105"/>
        </w:rPr>
        <w:t> </w:t>
      </w:r>
      <w:r>
        <w:rPr>
          <w:color w:val="231F20"/>
          <w:w w:val="105"/>
        </w:rPr>
        <w:t>de</w:t>
      </w:r>
      <w:r>
        <w:rPr>
          <w:color w:val="231F20"/>
          <w:spacing w:val="-25"/>
          <w:w w:val="105"/>
        </w:rPr>
        <w:t> </w:t>
      </w:r>
      <w:r>
        <w:rPr>
          <w:color w:val="231F20"/>
          <w:w w:val="105"/>
        </w:rPr>
        <w:t>Estados</w:t>
      </w:r>
      <w:r>
        <w:rPr>
          <w:color w:val="231F20"/>
          <w:spacing w:val="-25"/>
          <w:w w:val="105"/>
        </w:rPr>
        <w:t> </w:t>
      </w:r>
      <w:r>
        <w:rPr>
          <w:color w:val="231F20"/>
          <w:w w:val="105"/>
        </w:rPr>
        <w:t>Unidos.</w:t>
      </w:r>
    </w:p>
    <w:p>
      <w:pPr>
        <w:pStyle w:val="BodyText"/>
        <w:rPr>
          <w:sz w:val="20"/>
        </w:rPr>
      </w:pPr>
    </w:p>
    <w:p>
      <w:pPr>
        <w:pStyle w:val="BodyText"/>
        <w:spacing w:before="9"/>
        <w:rPr>
          <w:sz w:val="20"/>
        </w:rPr>
      </w:pPr>
    </w:p>
    <w:p>
      <w:pPr>
        <w:pStyle w:val="Heading3"/>
        <w:ind w:right="6753"/>
        <w:jc w:val="left"/>
      </w:pPr>
      <w:r>
        <w:rPr>
          <w:color w:val="231F20"/>
        </w:rPr>
        <w:t>Bibliografía</w:t>
      </w:r>
    </w:p>
    <w:p>
      <w:pPr>
        <w:pStyle w:val="BodyText"/>
        <w:rPr>
          <w:rFonts w:ascii="Arial"/>
          <w:b/>
          <w:sz w:val="22"/>
        </w:rPr>
      </w:pPr>
    </w:p>
    <w:p>
      <w:pPr>
        <w:spacing w:line="259" w:lineRule="auto" w:before="163"/>
        <w:ind w:left="2574" w:right="1721" w:hanging="738"/>
        <w:jc w:val="both"/>
        <w:rPr>
          <w:sz w:val="21"/>
        </w:rPr>
      </w:pPr>
      <w:r>
        <w:rPr>
          <w:color w:val="231F20"/>
          <w:sz w:val="21"/>
        </w:rPr>
        <w:t>Anguiano, María Eugenia, (2010), “Las políticas de control de fronteras en el norte y sur de México”, en María Eugenia Anguiano y Ana María López (eds.), </w:t>
      </w:r>
      <w:r>
        <w:rPr>
          <w:rFonts w:ascii="Arial" w:hAnsi="Arial"/>
          <w:i/>
          <w:color w:val="231F20"/>
          <w:sz w:val="21"/>
        </w:rPr>
        <w:t>Migraciones y fronteras. Nuevos contornos para la </w:t>
      </w:r>
      <w:r>
        <w:rPr>
          <w:rFonts w:ascii="Arial" w:hAnsi="Arial"/>
          <w:i/>
          <w:color w:val="231F20"/>
          <w:sz w:val="21"/>
        </w:rPr>
        <w:t>movilidad  internacional</w:t>
      </w:r>
      <w:r>
        <w:rPr>
          <w:color w:val="231F20"/>
          <w:sz w:val="21"/>
        </w:rPr>
        <w:t>,  Barcelona: Icaria/Antrazyt.</w:t>
      </w:r>
    </w:p>
    <w:p>
      <w:pPr>
        <w:tabs>
          <w:tab w:pos="2685" w:val="left" w:leader="none"/>
        </w:tabs>
        <w:spacing w:line="259" w:lineRule="auto" w:before="3"/>
        <w:ind w:left="2574" w:right="1720" w:hanging="738"/>
        <w:jc w:val="both"/>
        <w:rPr>
          <w:sz w:val="17"/>
        </w:rPr>
      </w:pPr>
      <w:r>
        <w:rPr>
          <w:color w:val="231F20"/>
          <w:w w:val="94"/>
          <w:sz w:val="21"/>
          <w:u w:val="single" w:color="221E1F"/>
        </w:rPr>
        <w:t> </w:t>
      </w:r>
      <w:r>
        <w:rPr>
          <w:color w:val="231F20"/>
          <w:sz w:val="21"/>
          <w:u w:val="single" w:color="221E1F"/>
        </w:rPr>
        <w:tab/>
        <w:tab/>
      </w:r>
      <w:r>
        <w:rPr>
          <w:color w:val="231F20"/>
          <w:spacing w:val="3"/>
          <w:sz w:val="21"/>
        </w:rPr>
        <w:t> </w:t>
      </w:r>
      <w:r>
        <w:rPr>
          <w:color w:val="231F20"/>
          <w:w w:val="105"/>
          <w:sz w:val="21"/>
        </w:rPr>
        <w:t>(2013), “Introducción. Migrar en tiempos adversos.</w:t>
      </w:r>
      <w:r>
        <w:rPr>
          <w:color w:val="231F20"/>
          <w:spacing w:val="-5"/>
          <w:w w:val="105"/>
          <w:sz w:val="21"/>
        </w:rPr>
        <w:t> </w:t>
      </w:r>
      <w:r>
        <w:rPr>
          <w:color w:val="231F20"/>
          <w:w w:val="105"/>
          <w:sz w:val="21"/>
        </w:rPr>
        <w:t>Control</w:t>
      </w:r>
      <w:r>
        <w:rPr>
          <w:color w:val="231F20"/>
          <w:spacing w:val="2"/>
          <w:w w:val="105"/>
          <w:sz w:val="21"/>
        </w:rPr>
        <w:t> </w:t>
      </w:r>
      <w:r>
        <w:rPr>
          <w:color w:val="231F20"/>
          <w:w w:val="105"/>
          <w:sz w:val="21"/>
        </w:rPr>
        <w:t>de</w:t>
      </w:r>
      <w:r>
        <w:rPr>
          <w:color w:val="231F20"/>
          <w:spacing w:val="1"/>
          <w:w w:val="108"/>
          <w:sz w:val="21"/>
        </w:rPr>
        <w:t> </w:t>
      </w:r>
      <w:r>
        <w:rPr>
          <w:color w:val="231F20"/>
          <w:w w:val="105"/>
          <w:sz w:val="21"/>
        </w:rPr>
        <w:t>fronteras, crisis económica y vulnerabilidad </w:t>
      </w:r>
      <w:r>
        <w:rPr>
          <w:color w:val="231F20"/>
          <w:spacing w:val="-3"/>
          <w:w w:val="105"/>
          <w:sz w:val="21"/>
        </w:rPr>
        <w:t>humana”, </w:t>
      </w:r>
      <w:r>
        <w:rPr>
          <w:color w:val="231F20"/>
          <w:w w:val="105"/>
          <w:sz w:val="21"/>
        </w:rPr>
        <w:t>en María Eugenia</w:t>
      </w:r>
      <w:r>
        <w:rPr>
          <w:color w:val="231F20"/>
          <w:spacing w:val="-29"/>
          <w:w w:val="105"/>
          <w:sz w:val="21"/>
        </w:rPr>
        <w:t> </w:t>
      </w:r>
      <w:r>
        <w:rPr>
          <w:color w:val="231F20"/>
          <w:w w:val="105"/>
          <w:sz w:val="21"/>
        </w:rPr>
        <w:t>Anguiano</w:t>
      </w:r>
      <w:r>
        <w:rPr>
          <w:color w:val="231F20"/>
          <w:spacing w:val="-26"/>
          <w:w w:val="105"/>
          <w:sz w:val="21"/>
        </w:rPr>
        <w:t> </w:t>
      </w:r>
      <w:r>
        <w:rPr>
          <w:color w:val="231F20"/>
          <w:w w:val="105"/>
          <w:sz w:val="21"/>
        </w:rPr>
        <w:t>y</w:t>
      </w:r>
      <w:r>
        <w:rPr>
          <w:color w:val="231F20"/>
          <w:spacing w:val="-26"/>
          <w:w w:val="105"/>
          <w:sz w:val="21"/>
        </w:rPr>
        <w:t> </w:t>
      </w:r>
      <w:r>
        <w:rPr>
          <w:color w:val="231F20"/>
          <w:w w:val="105"/>
          <w:sz w:val="21"/>
        </w:rPr>
        <w:t>Rodolfo</w:t>
      </w:r>
      <w:r>
        <w:rPr>
          <w:color w:val="231F20"/>
          <w:spacing w:val="-26"/>
          <w:w w:val="105"/>
          <w:sz w:val="21"/>
        </w:rPr>
        <w:t> </w:t>
      </w:r>
      <w:r>
        <w:rPr>
          <w:color w:val="231F20"/>
          <w:w w:val="105"/>
          <w:sz w:val="21"/>
        </w:rPr>
        <w:t>Cruz</w:t>
      </w:r>
      <w:r>
        <w:rPr>
          <w:color w:val="231F20"/>
          <w:spacing w:val="-26"/>
          <w:w w:val="105"/>
          <w:sz w:val="21"/>
        </w:rPr>
        <w:t> </w:t>
      </w:r>
      <w:r>
        <w:rPr>
          <w:color w:val="231F20"/>
          <w:w w:val="105"/>
          <w:sz w:val="21"/>
        </w:rPr>
        <w:t>(coords</w:t>
      </w:r>
      <w:r>
        <w:rPr>
          <w:rFonts w:ascii="Arial" w:hAnsi="Arial"/>
          <w:i/>
          <w:color w:val="231F20"/>
          <w:w w:val="105"/>
          <w:sz w:val="21"/>
        </w:rPr>
        <w:t>.),</w:t>
      </w:r>
      <w:r>
        <w:rPr>
          <w:rFonts w:ascii="Arial" w:hAnsi="Arial"/>
          <w:i/>
          <w:color w:val="231F20"/>
          <w:spacing w:val="-33"/>
          <w:w w:val="105"/>
          <w:sz w:val="21"/>
        </w:rPr>
        <w:t> </w:t>
      </w:r>
      <w:r>
        <w:rPr>
          <w:rFonts w:ascii="Arial" w:hAnsi="Arial"/>
          <w:i/>
          <w:color w:val="231F20"/>
          <w:w w:val="105"/>
          <w:sz w:val="21"/>
        </w:rPr>
        <w:t>Migraciones</w:t>
      </w:r>
      <w:r>
        <w:rPr>
          <w:rFonts w:ascii="Arial" w:hAnsi="Arial"/>
          <w:i/>
          <w:color w:val="231F20"/>
          <w:spacing w:val="-28"/>
          <w:w w:val="105"/>
          <w:sz w:val="21"/>
        </w:rPr>
        <w:t> </w:t>
      </w:r>
      <w:r>
        <w:rPr>
          <w:rFonts w:ascii="Arial" w:hAnsi="Arial"/>
          <w:i/>
          <w:color w:val="231F20"/>
          <w:w w:val="105"/>
          <w:sz w:val="21"/>
        </w:rPr>
        <w:t>interna- </w:t>
      </w:r>
      <w:r>
        <w:rPr>
          <w:rFonts w:ascii="Arial" w:hAnsi="Arial"/>
          <w:i/>
          <w:color w:val="231F20"/>
          <w:w w:val="105"/>
          <w:sz w:val="21"/>
        </w:rPr>
        <w:t>cionales,</w:t>
      </w:r>
      <w:r>
        <w:rPr>
          <w:rFonts w:ascii="Arial" w:hAnsi="Arial"/>
          <w:i/>
          <w:color w:val="231F20"/>
          <w:spacing w:val="-40"/>
          <w:w w:val="105"/>
          <w:sz w:val="21"/>
        </w:rPr>
        <w:t> </w:t>
      </w:r>
      <w:r>
        <w:rPr>
          <w:rFonts w:ascii="Arial" w:hAnsi="Arial"/>
          <w:i/>
          <w:color w:val="231F20"/>
          <w:w w:val="105"/>
          <w:sz w:val="21"/>
        </w:rPr>
        <w:t>crisis</w:t>
      </w:r>
      <w:r>
        <w:rPr>
          <w:rFonts w:ascii="Arial" w:hAnsi="Arial"/>
          <w:i/>
          <w:color w:val="231F20"/>
          <w:spacing w:val="-37"/>
          <w:w w:val="105"/>
          <w:sz w:val="21"/>
        </w:rPr>
        <w:t> </w:t>
      </w:r>
      <w:r>
        <w:rPr>
          <w:rFonts w:ascii="Arial" w:hAnsi="Arial"/>
          <w:i/>
          <w:color w:val="231F20"/>
          <w:w w:val="105"/>
          <w:sz w:val="21"/>
        </w:rPr>
        <w:t>y</w:t>
      </w:r>
      <w:r>
        <w:rPr>
          <w:rFonts w:ascii="Arial" w:hAnsi="Arial"/>
          <w:i/>
          <w:color w:val="231F20"/>
          <w:spacing w:val="-37"/>
          <w:w w:val="105"/>
          <w:sz w:val="21"/>
        </w:rPr>
        <w:t> </w:t>
      </w:r>
      <w:r>
        <w:rPr>
          <w:rFonts w:ascii="Arial" w:hAnsi="Arial"/>
          <w:i/>
          <w:color w:val="231F20"/>
          <w:w w:val="105"/>
          <w:sz w:val="21"/>
        </w:rPr>
        <w:t>vulnerabilidades</w:t>
      </w:r>
      <w:r>
        <w:rPr>
          <w:color w:val="231F20"/>
          <w:w w:val="105"/>
          <w:sz w:val="21"/>
        </w:rPr>
        <w:t>,</w:t>
      </w:r>
      <w:r>
        <w:rPr>
          <w:color w:val="231F20"/>
          <w:spacing w:val="-39"/>
          <w:w w:val="105"/>
          <w:sz w:val="21"/>
        </w:rPr>
        <w:t> </w:t>
      </w:r>
      <w:r>
        <w:rPr>
          <w:color w:val="231F20"/>
          <w:w w:val="105"/>
          <w:sz w:val="21"/>
        </w:rPr>
        <w:t>Tijuana,</w:t>
      </w:r>
      <w:r>
        <w:rPr>
          <w:color w:val="231F20"/>
          <w:spacing w:val="-37"/>
          <w:w w:val="105"/>
          <w:sz w:val="21"/>
        </w:rPr>
        <w:t> </w:t>
      </w:r>
      <w:r>
        <w:rPr>
          <w:color w:val="231F20"/>
          <w:w w:val="105"/>
          <w:sz w:val="21"/>
        </w:rPr>
        <w:t>México:</w:t>
      </w:r>
      <w:r>
        <w:rPr>
          <w:color w:val="231F20"/>
          <w:spacing w:val="-34"/>
          <w:w w:val="105"/>
          <w:sz w:val="21"/>
        </w:rPr>
        <w:t> </w:t>
      </w:r>
      <w:r>
        <w:rPr>
          <w:color w:val="231F20"/>
          <w:spacing w:val="-3"/>
          <w:w w:val="105"/>
          <w:sz w:val="17"/>
        </w:rPr>
        <w:t>COLEF.</w:t>
      </w:r>
    </w:p>
    <w:p>
      <w:pPr>
        <w:pStyle w:val="BodyText"/>
        <w:spacing w:line="261" w:lineRule="auto" w:before="3"/>
        <w:ind w:left="2574" w:right="1721" w:hanging="738"/>
        <w:jc w:val="both"/>
      </w:pPr>
      <w:r>
        <w:rPr>
          <w:color w:val="231F20"/>
          <w:spacing w:val="-4"/>
          <w:w w:val="105"/>
        </w:rPr>
        <w:t>Anguiano, María Eugenia </w:t>
      </w:r>
      <w:r>
        <w:rPr>
          <w:color w:val="231F20"/>
          <w:w w:val="105"/>
        </w:rPr>
        <w:t>y </w:t>
      </w:r>
      <w:r>
        <w:rPr>
          <w:color w:val="231F20"/>
          <w:spacing w:val="-8"/>
          <w:w w:val="105"/>
        </w:rPr>
        <w:t>Trejo, </w:t>
      </w:r>
      <w:r>
        <w:rPr>
          <w:color w:val="231F20"/>
          <w:spacing w:val="-4"/>
          <w:w w:val="105"/>
        </w:rPr>
        <w:t>Alma, (2007), “Vigilancia </w:t>
      </w:r>
      <w:r>
        <w:rPr>
          <w:color w:val="231F20"/>
          <w:w w:val="105"/>
        </w:rPr>
        <w:t>y </w:t>
      </w:r>
      <w:r>
        <w:rPr>
          <w:color w:val="231F20"/>
          <w:spacing w:val="-4"/>
          <w:w w:val="105"/>
        </w:rPr>
        <w:t>control </w:t>
      </w:r>
      <w:r>
        <w:rPr>
          <w:color w:val="231F20"/>
          <w:w w:val="105"/>
        </w:rPr>
        <w:t>en </w:t>
      </w:r>
      <w:r>
        <w:rPr>
          <w:color w:val="231F20"/>
          <w:spacing w:val="-4"/>
          <w:w w:val="105"/>
        </w:rPr>
        <w:t>la </w:t>
      </w:r>
      <w:r>
        <w:rPr>
          <w:color w:val="231F20"/>
          <w:spacing w:val="-5"/>
          <w:w w:val="105"/>
        </w:rPr>
        <w:t>frontera </w:t>
      </w:r>
      <w:r>
        <w:rPr>
          <w:color w:val="231F20"/>
          <w:spacing w:val="-4"/>
          <w:w w:val="105"/>
        </w:rPr>
        <w:t>México-Estados Unidos: efectos </w:t>
      </w:r>
      <w:r>
        <w:rPr>
          <w:color w:val="231F20"/>
          <w:w w:val="105"/>
        </w:rPr>
        <w:t>en </w:t>
      </w:r>
      <w:r>
        <w:rPr>
          <w:color w:val="231F20"/>
          <w:spacing w:val="-3"/>
          <w:w w:val="105"/>
        </w:rPr>
        <w:t>las </w:t>
      </w:r>
      <w:r>
        <w:rPr>
          <w:color w:val="231F20"/>
          <w:spacing w:val="-4"/>
          <w:w w:val="105"/>
        </w:rPr>
        <w:t>rutas </w:t>
      </w:r>
      <w:r>
        <w:rPr>
          <w:color w:val="231F20"/>
          <w:spacing w:val="-3"/>
          <w:w w:val="105"/>
        </w:rPr>
        <w:t>del flujo mi- </w:t>
      </w:r>
      <w:r>
        <w:rPr>
          <w:color w:val="231F20"/>
          <w:spacing w:val="-4"/>
          <w:w w:val="105"/>
        </w:rPr>
        <w:t>gratorio </w:t>
      </w:r>
      <w:r>
        <w:rPr>
          <w:color w:val="231F20"/>
          <w:spacing w:val="-6"/>
          <w:w w:val="105"/>
        </w:rPr>
        <w:t>internacional”, </w:t>
      </w:r>
      <w:r>
        <w:rPr>
          <w:rFonts w:ascii="Arial" w:hAnsi="Arial"/>
          <w:i/>
          <w:color w:val="231F20"/>
          <w:spacing w:val="-6"/>
          <w:w w:val="105"/>
        </w:rPr>
        <w:t>Papeles </w:t>
      </w:r>
      <w:r>
        <w:rPr>
          <w:rFonts w:ascii="Arial" w:hAnsi="Arial"/>
          <w:i/>
          <w:color w:val="231F20"/>
          <w:w w:val="105"/>
        </w:rPr>
        <w:t>de </w:t>
      </w:r>
      <w:r>
        <w:rPr>
          <w:rFonts w:ascii="Arial" w:hAnsi="Arial"/>
          <w:i/>
          <w:color w:val="231F20"/>
          <w:spacing w:val="-6"/>
          <w:w w:val="105"/>
        </w:rPr>
        <w:t>Población</w:t>
      </w:r>
      <w:r>
        <w:rPr>
          <w:color w:val="231F20"/>
          <w:spacing w:val="-6"/>
          <w:w w:val="105"/>
        </w:rPr>
        <w:t>, </w:t>
      </w:r>
      <w:r>
        <w:rPr>
          <w:color w:val="231F20"/>
          <w:spacing w:val="-3"/>
          <w:w w:val="105"/>
        </w:rPr>
        <w:t>vol. 13, núm. </w:t>
      </w:r>
      <w:r>
        <w:rPr>
          <w:color w:val="231F20"/>
          <w:spacing w:val="-4"/>
          <w:w w:val="105"/>
        </w:rPr>
        <w:t>51.</w:t>
      </w:r>
    </w:p>
    <w:p>
      <w:pPr>
        <w:spacing w:line="261" w:lineRule="auto" w:before="0"/>
        <w:ind w:left="2574" w:right="1716" w:hanging="737"/>
        <w:jc w:val="both"/>
        <w:rPr>
          <w:sz w:val="21"/>
        </w:rPr>
      </w:pPr>
      <w:r>
        <w:rPr>
          <w:color w:val="231F20"/>
          <w:w w:val="105"/>
          <w:sz w:val="21"/>
        </w:rPr>
        <w:t>Arias,</w:t>
      </w:r>
      <w:r>
        <w:rPr>
          <w:color w:val="231F20"/>
          <w:spacing w:val="-38"/>
          <w:w w:val="105"/>
          <w:sz w:val="21"/>
        </w:rPr>
        <w:t> </w:t>
      </w:r>
      <w:r>
        <w:rPr>
          <w:color w:val="231F20"/>
          <w:w w:val="105"/>
          <w:sz w:val="21"/>
        </w:rPr>
        <w:t>Patricia,</w:t>
      </w:r>
      <w:r>
        <w:rPr>
          <w:color w:val="231F20"/>
          <w:spacing w:val="-38"/>
          <w:w w:val="105"/>
          <w:sz w:val="21"/>
        </w:rPr>
        <w:t> </w:t>
      </w:r>
      <w:r>
        <w:rPr>
          <w:color w:val="231F20"/>
          <w:w w:val="105"/>
          <w:sz w:val="21"/>
        </w:rPr>
        <w:t>(2009),</w:t>
      </w:r>
      <w:r>
        <w:rPr>
          <w:color w:val="231F20"/>
          <w:spacing w:val="-38"/>
          <w:w w:val="105"/>
          <w:sz w:val="21"/>
        </w:rPr>
        <w:t> </w:t>
      </w:r>
      <w:r>
        <w:rPr>
          <w:rFonts w:ascii="Arial" w:hAnsi="Arial"/>
          <w:i/>
          <w:color w:val="231F20"/>
          <w:w w:val="105"/>
          <w:sz w:val="21"/>
        </w:rPr>
        <w:t>Del</w:t>
      </w:r>
      <w:r>
        <w:rPr>
          <w:rFonts w:ascii="Arial" w:hAnsi="Arial"/>
          <w:i/>
          <w:color w:val="231F20"/>
          <w:spacing w:val="-37"/>
          <w:w w:val="105"/>
          <w:sz w:val="21"/>
        </w:rPr>
        <w:t> </w:t>
      </w:r>
      <w:r>
        <w:rPr>
          <w:rFonts w:ascii="Arial" w:hAnsi="Arial"/>
          <w:i/>
          <w:color w:val="231F20"/>
          <w:w w:val="105"/>
          <w:sz w:val="21"/>
        </w:rPr>
        <w:t>arraigo</w:t>
      </w:r>
      <w:r>
        <w:rPr>
          <w:rFonts w:ascii="Arial" w:hAnsi="Arial"/>
          <w:i/>
          <w:color w:val="231F20"/>
          <w:spacing w:val="-37"/>
          <w:w w:val="105"/>
          <w:sz w:val="21"/>
        </w:rPr>
        <w:t> </w:t>
      </w:r>
      <w:r>
        <w:rPr>
          <w:rFonts w:ascii="Arial" w:hAnsi="Arial"/>
          <w:i/>
          <w:color w:val="231F20"/>
          <w:w w:val="105"/>
          <w:sz w:val="21"/>
        </w:rPr>
        <w:t>a</w:t>
      </w:r>
      <w:r>
        <w:rPr>
          <w:rFonts w:ascii="Arial" w:hAnsi="Arial"/>
          <w:i/>
          <w:color w:val="231F20"/>
          <w:spacing w:val="-37"/>
          <w:w w:val="105"/>
          <w:sz w:val="21"/>
        </w:rPr>
        <w:t> </w:t>
      </w:r>
      <w:r>
        <w:rPr>
          <w:rFonts w:ascii="Arial" w:hAnsi="Arial"/>
          <w:i/>
          <w:color w:val="231F20"/>
          <w:w w:val="105"/>
          <w:sz w:val="21"/>
        </w:rPr>
        <w:t>la</w:t>
      </w:r>
      <w:r>
        <w:rPr>
          <w:rFonts w:ascii="Arial" w:hAnsi="Arial"/>
          <w:i/>
          <w:color w:val="231F20"/>
          <w:spacing w:val="-37"/>
          <w:w w:val="105"/>
          <w:sz w:val="21"/>
        </w:rPr>
        <w:t> </w:t>
      </w:r>
      <w:r>
        <w:rPr>
          <w:rFonts w:ascii="Arial" w:hAnsi="Arial"/>
          <w:i/>
          <w:color w:val="231F20"/>
          <w:w w:val="105"/>
          <w:sz w:val="21"/>
        </w:rPr>
        <w:t>diáspora.</w:t>
      </w:r>
      <w:r>
        <w:rPr>
          <w:rFonts w:ascii="Arial" w:hAnsi="Arial"/>
          <w:i/>
          <w:color w:val="231F20"/>
          <w:spacing w:val="-40"/>
          <w:w w:val="105"/>
          <w:sz w:val="21"/>
        </w:rPr>
        <w:t> </w:t>
      </w:r>
      <w:r>
        <w:rPr>
          <w:rFonts w:ascii="Arial" w:hAnsi="Arial"/>
          <w:i/>
          <w:color w:val="231F20"/>
          <w:w w:val="105"/>
          <w:sz w:val="21"/>
        </w:rPr>
        <w:t>Dilemas</w:t>
      </w:r>
      <w:r>
        <w:rPr>
          <w:rFonts w:ascii="Arial" w:hAnsi="Arial"/>
          <w:i/>
          <w:color w:val="231F20"/>
          <w:spacing w:val="-37"/>
          <w:w w:val="105"/>
          <w:sz w:val="21"/>
        </w:rPr>
        <w:t> </w:t>
      </w:r>
      <w:r>
        <w:rPr>
          <w:rFonts w:ascii="Arial" w:hAnsi="Arial"/>
          <w:i/>
          <w:color w:val="231F20"/>
          <w:w w:val="105"/>
          <w:sz w:val="21"/>
        </w:rPr>
        <w:t>de</w:t>
      </w:r>
      <w:r>
        <w:rPr>
          <w:rFonts w:ascii="Arial" w:hAnsi="Arial"/>
          <w:i/>
          <w:color w:val="231F20"/>
          <w:spacing w:val="-37"/>
          <w:w w:val="105"/>
          <w:sz w:val="21"/>
        </w:rPr>
        <w:t> </w:t>
      </w:r>
      <w:r>
        <w:rPr>
          <w:rFonts w:ascii="Arial" w:hAnsi="Arial"/>
          <w:i/>
          <w:color w:val="231F20"/>
          <w:w w:val="105"/>
          <w:sz w:val="21"/>
        </w:rPr>
        <w:t>la</w:t>
      </w:r>
      <w:r>
        <w:rPr>
          <w:rFonts w:ascii="Arial" w:hAnsi="Arial"/>
          <w:i/>
          <w:color w:val="231F20"/>
          <w:spacing w:val="-37"/>
          <w:w w:val="105"/>
          <w:sz w:val="21"/>
        </w:rPr>
        <w:t> </w:t>
      </w:r>
      <w:r>
        <w:rPr>
          <w:rFonts w:ascii="Arial" w:hAnsi="Arial"/>
          <w:i/>
          <w:color w:val="231F20"/>
          <w:w w:val="105"/>
          <w:sz w:val="21"/>
        </w:rPr>
        <w:t>familia</w:t>
      </w:r>
      <w:r>
        <w:rPr>
          <w:rFonts w:ascii="Arial" w:hAnsi="Arial"/>
          <w:i/>
          <w:color w:val="231F20"/>
          <w:spacing w:val="-37"/>
          <w:w w:val="105"/>
          <w:sz w:val="21"/>
        </w:rPr>
        <w:t> </w:t>
      </w:r>
      <w:r>
        <w:rPr>
          <w:rFonts w:ascii="Arial" w:hAnsi="Arial"/>
          <w:i/>
          <w:color w:val="231F20"/>
          <w:w w:val="105"/>
          <w:sz w:val="21"/>
        </w:rPr>
        <w:t>rural</w:t>
      </w:r>
      <w:r>
        <w:rPr>
          <w:color w:val="231F20"/>
          <w:w w:val="105"/>
          <w:sz w:val="21"/>
        </w:rPr>
        <w:t>, México: H. Cámara de Diputados-</w:t>
      </w:r>
      <w:r>
        <w:rPr>
          <w:color w:val="231F20"/>
          <w:w w:val="105"/>
          <w:sz w:val="17"/>
        </w:rPr>
        <w:t>LX </w:t>
      </w:r>
      <w:r>
        <w:rPr>
          <w:color w:val="231F20"/>
          <w:w w:val="105"/>
          <w:sz w:val="21"/>
        </w:rPr>
        <w:t>Legislatura/Universidad</w:t>
      </w:r>
      <w:r>
        <w:rPr>
          <w:color w:val="231F20"/>
          <w:spacing w:val="-15"/>
          <w:w w:val="105"/>
          <w:sz w:val="21"/>
        </w:rPr>
        <w:t> </w:t>
      </w:r>
      <w:r>
        <w:rPr>
          <w:color w:val="231F20"/>
          <w:w w:val="105"/>
          <w:sz w:val="21"/>
        </w:rPr>
        <w:t>de Guadalajara/Miguel</w:t>
      </w:r>
      <w:r>
        <w:rPr>
          <w:color w:val="231F20"/>
          <w:spacing w:val="-27"/>
          <w:w w:val="105"/>
          <w:sz w:val="21"/>
        </w:rPr>
        <w:t> </w:t>
      </w:r>
      <w:r>
        <w:rPr>
          <w:color w:val="231F20"/>
          <w:w w:val="105"/>
          <w:sz w:val="21"/>
        </w:rPr>
        <w:t>Ángel</w:t>
      </w:r>
      <w:r>
        <w:rPr>
          <w:color w:val="231F20"/>
          <w:spacing w:val="-25"/>
          <w:w w:val="105"/>
          <w:sz w:val="21"/>
        </w:rPr>
        <w:t> </w:t>
      </w:r>
      <w:r>
        <w:rPr>
          <w:color w:val="231F20"/>
          <w:spacing w:val="-3"/>
          <w:w w:val="105"/>
          <w:sz w:val="21"/>
        </w:rPr>
        <w:t>Porrúa.</w:t>
      </w:r>
    </w:p>
    <w:p>
      <w:pPr>
        <w:pStyle w:val="BodyText"/>
        <w:spacing w:line="261" w:lineRule="auto" w:before="1"/>
        <w:ind w:left="2574" w:right="1714" w:hanging="738"/>
        <w:jc w:val="both"/>
      </w:pPr>
      <w:r>
        <w:rPr>
          <w:color w:val="231F20"/>
          <w:w w:val="105"/>
        </w:rPr>
        <w:t>Awad,</w:t>
      </w:r>
      <w:r>
        <w:rPr>
          <w:color w:val="231F20"/>
          <w:spacing w:val="-39"/>
          <w:w w:val="105"/>
        </w:rPr>
        <w:t> </w:t>
      </w:r>
      <w:r>
        <w:rPr>
          <w:color w:val="231F20"/>
          <w:w w:val="105"/>
        </w:rPr>
        <w:t>Ibrahim,</w:t>
      </w:r>
      <w:r>
        <w:rPr>
          <w:color w:val="231F20"/>
          <w:spacing w:val="-39"/>
          <w:w w:val="105"/>
        </w:rPr>
        <w:t> </w:t>
      </w:r>
      <w:r>
        <w:rPr>
          <w:color w:val="231F20"/>
          <w:w w:val="105"/>
        </w:rPr>
        <w:t>(2009),</w:t>
      </w:r>
      <w:r>
        <w:rPr>
          <w:color w:val="231F20"/>
          <w:spacing w:val="-39"/>
          <w:w w:val="105"/>
        </w:rPr>
        <w:t> </w:t>
      </w:r>
      <w:r>
        <w:rPr>
          <w:color w:val="231F20"/>
          <w:w w:val="105"/>
        </w:rPr>
        <w:t>“The</w:t>
      </w:r>
      <w:r>
        <w:rPr>
          <w:color w:val="231F20"/>
          <w:spacing w:val="-35"/>
          <w:w w:val="105"/>
        </w:rPr>
        <w:t> </w:t>
      </w:r>
      <w:r>
        <w:rPr>
          <w:color w:val="231F20"/>
          <w:w w:val="105"/>
        </w:rPr>
        <w:t>Global</w:t>
      </w:r>
      <w:r>
        <w:rPr>
          <w:color w:val="231F20"/>
          <w:spacing w:val="-35"/>
          <w:w w:val="105"/>
        </w:rPr>
        <w:t> </w:t>
      </w:r>
      <w:r>
        <w:rPr>
          <w:color w:val="231F20"/>
          <w:w w:val="105"/>
        </w:rPr>
        <w:t>Economic</w:t>
      </w:r>
      <w:r>
        <w:rPr>
          <w:color w:val="231F20"/>
          <w:spacing w:val="-35"/>
          <w:w w:val="105"/>
        </w:rPr>
        <w:t> </w:t>
      </w:r>
      <w:r>
        <w:rPr>
          <w:color w:val="231F20"/>
          <w:w w:val="105"/>
        </w:rPr>
        <w:t>Crisis</w:t>
      </w:r>
      <w:r>
        <w:rPr>
          <w:color w:val="231F20"/>
          <w:spacing w:val="-35"/>
          <w:w w:val="105"/>
        </w:rPr>
        <w:t> </w:t>
      </w:r>
      <w:r>
        <w:rPr>
          <w:color w:val="231F20"/>
          <w:w w:val="105"/>
        </w:rPr>
        <w:t>and</w:t>
      </w:r>
      <w:r>
        <w:rPr>
          <w:color w:val="231F20"/>
          <w:spacing w:val="-35"/>
          <w:w w:val="105"/>
        </w:rPr>
        <w:t> </w:t>
      </w:r>
      <w:r>
        <w:rPr>
          <w:color w:val="231F20"/>
          <w:w w:val="105"/>
        </w:rPr>
        <w:t>Migrant</w:t>
      </w:r>
      <w:r>
        <w:rPr>
          <w:color w:val="231F20"/>
          <w:spacing w:val="-36"/>
          <w:w w:val="105"/>
        </w:rPr>
        <w:t> </w:t>
      </w:r>
      <w:r>
        <w:rPr>
          <w:color w:val="231F20"/>
          <w:w w:val="105"/>
        </w:rPr>
        <w:t>Workers: Impact and </w:t>
      </w:r>
      <w:r>
        <w:rPr>
          <w:color w:val="231F20"/>
          <w:spacing w:val="-3"/>
          <w:w w:val="105"/>
        </w:rPr>
        <w:t>Response”, </w:t>
      </w:r>
      <w:r>
        <w:rPr>
          <w:rFonts w:ascii="Arial" w:hAnsi="Arial"/>
          <w:i/>
          <w:color w:val="231F20"/>
          <w:w w:val="105"/>
        </w:rPr>
        <w:t>International Migration Programme</w:t>
      </w:r>
      <w:r>
        <w:rPr>
          <w:color w:val="231F20"/>
          <w:w w:val="105"/>
        </w:rPr>
        <w:t>, International Labour Office-Geneva, recuperado de </w:t>
      </w:r>
      <w:hyperlink r:id="rId41">
        <w:r>
          <w:rPr>
            <w:color w:val="231F20"/>
            <w:w w:val="105"/>
          </w:rPr>
          <w:t>http://www.</w:t>
        </w:r>
      </w:hyperlink>
      <w:r>
        <w:rPr>
          <w:color w:val="231F20"/>
          <w:w w:val="105"/>
        </w:rPr>
        <w:t> </w:t>
      </w:r>
      <w:r>
        <w:rPr>
          <w:color w:val="231F20"/>
          <w:spacing w:val="9"/>
          <w:w w:val="105"/>
        </w:rPr>
        <w:t>ilo.org/wcmsp5/groups/public/---dgreports/---integration/ </w:t>
      </w:r>
      <w:r>
        <w:rPr>
          <w:color w:val="231F20"/>
          <w:w w:val="105"/>
        </w:rPr>
        <w:t>documents/publication/wcms_126183.pdf</w:t>
      </w:r>
    </w:p>
    <w:p>
      <w:pPr>
        <w:spacing w:line="261" w:lineRule="auto" w:before="0"/>
        <w:ind w:left="2574" w:right="1715" w:hanging="737"/>
        <w:jc w:val="both"/>
        <w:rPr>
          <w:sz w:val="21"/>
        </w:rPr>
      </w:pPr>
      <w:r>
        <w:rPr>
          <w:color w:val="231F20"/>
          <w:sz w:val="17"/>
        </w:rPr>
        <w:t>BBVA</w:t>
      </w:r>
      <w:r>
        <w:rPr>
          <w:color w:val="231F20"/>
          <w:sz w:val="21"/>
        </w:rPr>
        <w:t>, Research, (2011), </w:t>
      </w:r>
      <w:r>
        <w:rPr>
          <w:rFonts w:ascii="Arial" w:hAnsi="Arial"/>
          <w:i/>
          <w:color w:val="231F20"/>
          <w:sz w:val="21"/>
        </w:rPr>
        <w:t>Situación migración. México. Análisis Económico</w:t>
      </w:r>
      <w:r>
        <w:rPr>
          <w:color w:val="231F20"/>
          <w:sz w:val="21"/>
        </w:rPr>
        <w:t>, noviembre, México: </w:t>
      </w:r>
      <w:r>
        <w:rPr>
          <w:color w:val="231F20"/>
          <w:sz w:val="17"/>
        </w:rPr>
        <w:t>BBVA </w:t>
      </w:r>
      <w:r>
        <w:rPr>
          <w:color w:val="231F20"/>
          <w:sz w:val="21"/>
        </w:rPr>
        <w:t>Research México/Fundación </w:t>
      </w:r>
      <w:r>
        <w:rPr>
          <w:color w:val="231F20"/>
          <w:sz w:val="17"/>
        </w:rPr>
        <w:t>BBVA </w:t>
      </w:r>
      <w:r>
        <w:rPr>
          <w:color w:val="231F20"/>
          <w:sz w:val="21"/>
        </w:rPr>
        <w:t>Ban- comer.</w:t>
      </w:r>
    </w:p>
    <w:p>
      <w:pPr>
        <w:tabs>
          <w:tab w:pos="2677" w:val="left" w:leader="none"/>
        </w:tabs>
        <w:spacing w:line="261" w:lineRule="auto" w:before="0"/>
        <w:ind w:left="2574" w:right="1715" w:hanging="738"/>
        <w:jc w:val="both"/>
        <w:rPr>
          <w:sz w:val="21"/>
        </w:rPr>
      </w:pPr>
      <w:r>
        <w:rPr>
          <w:color w:val="231F20"/>
          <w:w w:val="94"/>
          <w:sz w:val="21"/>
          <w:u w:val="single" w:color="221E1F"/>
        </w:rPr>
        <w:t> </w:t>
      </w:r>
      <w:r>
        <w:rPr>
          <w:color w:val="231F20"/>
          <w:sz w:val="21"/>
          <w:u w:val="single" w:color="221E1F"/>
        </w:rPr>
        <w:tab/>
        <w:tab/>
      </w:r>
      <w:r>
        <w:rPr>
          <w:color w:val="231F20"/>
          <w:spacing w:val="17"/>
          <w:sz w:val="21"/>
        </w:rPr>
        <w:t> </w:t>
      </w:r>
      <w:r>
        <w:rPr>
          <w:color w:val="231F20"/>
          <w:sz w:val="21"/>
        </w:rPr>
        <w:t>(2012), </w:t>
      </w:r>
      <w:r>
        <w:rPr>
          <w:rFonts w:ascii="Arial" w:hAnsi="Arial"/>
          <w:i/>
          <w:color w:val="231F20"/>
          <w:sz w:val="21"/>
        </w:rPr>
        <w:t>Situación  migración. México.  Análisis</w:t>
      </w:r>
      <w:r>
        <w:rPr>
          <w:rFonts w:ascii="Arial" w:hAnsi="Arial"/>
          <w:i/>
          <w:color w:val="231F20"/>
          <w:spacing w:val="36"/>
          <w:sz w:val="21"/>
        </w:rPr>
        <w:t> </w:t>
      </w:r>
      <w:r>
        <w:rPr>
          <w:rFonts w:ascii="Arial" w:hAnsi="Arial"/>
          <w:i/>
          <w:color w:val="231F20"/>
          <w:sz w:val="21"/>
        </w:rPr>
        <w:t>Económico</w:t>
      </w:r>
      <w:r>
        <w:rPr>
          <w:color w:val="231F20"/>
          <w:sz w:val="21"/>
        </w:rPr>
        <w:t>,</w:t>
      </w:r>
      <w:r>
        <w:rPr>
          <w:color w:val="231F20"/>
          <w:spacing w:val="28"/>
          <w:sz w:val="21"/>
        </w:rPr>
        <w:t> </w:t>
      </w:r>
      <w:r>
        <w:rPr>
          <w:color w:val="231F20"/>
          <w:sz w:val="21"/>
        </w:rPr>
        <w:t>julio,</w:t>
      </w:r>
      <w:r>
        <w:rPr>
          <w:color w:val="231F20"/>
          <w:w w:val="93"/>
          <w:sz w:val="21"/>
        </w:rPr>
        <w:t> </w:t>
      </w:r>
      <w:r>
        <w:rPr>
          <w:color w:val="231F20"/>
          <w:sz w:val="21"/>
        </w:rPr>
        <w:t>México: </w:t>
      </w:r>
      <w:r>
        <w:rPr>
          <w:color w:val="231F20"/>
          <w:sz w:val="17"/>
        </w:rPr>
        <w:t>BBVA </w:t>
      </w:r>
      <w:r>
        <w:rPr>
          <w:color w:val="231F20"/>
          <w:sz w:val="21"/>
        </w:rPr>
        <w:t>Research México/Fundación </w:t>
      </w:r>
      <w:r>
        <w:rPr>
          <w:color w:val="231F20"/>
          <w:sz w:val="17"/>
        </w:rPr>
        <w:t>BBVA</w:t>
      </w:r>
      <w:r>
        <w:rPr>
          <w:color w:val="231F20"/>
          <w:spacing w:val="24"/>
          <w:sz w:val="17"/>
        </w:rPr>
        <w:t> </w:t>
      </w:r>
      <w:r>
        <w:rPr>
          <w:color w:val="231F20"/>
          <w:sz w:val="21"/>
        </w:rPr>
        <w:t>Bancomer..</w:t>
      </w:r>
    </w:p>
    <w:p>
      <w:pPr>
        <w:pStyle w:val="BodyText"/>
        <w:spacing w:line="259" w:lineRule="auto" w:before="1"/>
        <w:ind w:left="2574" w:right="1722" w:hanging="738"/>
        <w:jc w:val="both"/>
      </w:pPr>
      <w:r>
        <w:rPr>
          <w:color w:val="231F20"/>
        </w:rPr>
        <w:t>Benítez, Raúl, (2006), “México-Estados Unidos: paradigmas de una inevi- table y conflictiva relación”, </w:t>
      </w:r>
      <w:r>
        <w:rPr>
          <w:rFonts w:ascii="Arial" w:hAnsi="Arial"/>
          <w:i/>
          <w:color w:val="231F20"/>
        </w:rPr>
        <w:t>Nueva Sociedad</w:t>
      </w:r>
      <w:r>
        <w:rPr>
          <w:color w:val="231F20"/>
        </w:rPr>
        <w:t>, núm.  206.</w:t>
      </w:r>
    </w:p>
    <w:p>
      <w:pPr>
        <w:pStyle w:val="BodyText"/>
        <w:spacing w:line="259" w:lineRule="auto" w:before="3"/>
        <w:ind w:left="2574" w:right="1721" w:hanging="738"/>
        <w:jc w:val="both"/>
      </w:pPr>
      <w:r>
        <w:rPr>
          <w:color w:val="231F20"/>
          <w:w w:val="105"/>
        </w:rPr>
        <w:t>Cano,</w:t>
      </w:r>
      <w:r>
        <w:rPr>
          <w:color w:val="231F20"/>
          <w:spacing w:val="-20"/>
          <w:w w:val="105"/>
        </w:rPr>
        <w:t> </w:t>
      </w:r>
      <w:r>
        <w:rPr>
          <w:color w:val="231F20"/>
          <w:w w:val="105"/>
        </w:rPr>
        <w:t>Gustavo,</w:t>
      </w:r>
      <w:r>
        <w:rPr>
          <w:color w:val="231F20"/>
          <w:spacing w:val="-20"/>
          <w:w w:val="105"/>
        </w:rPr>
        <w:t> </w:t>
      </w:r>
      <w:r>
        <w:rPr>
          <w:color w:val="231F20"/>
          <w:w w:val="105"/>
        </w:rPr>
        <w:t>(2006),</w:t>
      </w:r>
      <w:r>
        <w:rPr>
          <w:color w:val="231F20"/>
          <w:spacing w:val="-20"/>
          <w:w w:val="105"/>
        </w:rPr>
        <w:t> </w:t>
      </w:r>
      <w:r>
        <w:rPr>
          <w:color w:val="231F20"/>
          <w:w w:val="105"/>
        </w:rPr>
        <w:t>“Movilización</w:t>
      </w:r>
      <w:r>
        <w:rPr>
          <w:color w:val="231F20"/>
          <w:spacing w:val="-16"/>
          <w:w w:val="105"/>
        </w:rPr>
        <w:t> </w:t>
      </w:r>
      <w:r>
        <w:rPr>
          <w:color w:val="231F20"/>
          <w:w w:val="105"/>
        </w:rPr>
        <w:t>política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inmigrantes</w:t>
      </w:r>
      <w:r>
        <w:rPr>
          <w:color w:val="231F20"/>
          <w:spacing w:val="-16"/>
          <w:w w:val="105"/>
        </w:rPr>
        <w:t> </w:t>
      </w:r>
      <w:r>
        <w:rPr>
          <w:color w:val="231F20"/>
          <w:w w:val="105"/>
        </w:rPr>
        <w:t>mexica- </w:t>
      </w:r>
      <w:r>
        <w:rPr>
          <w:color w:val="231F20"/>
          <w:spacing w:val="-6"/>
          <w:w w:val="105"/>
        </w:rPr>
        <w:t>nos”,</w:t>
      </w:r>
      <w:r>
        <w:rPr>
          <w:color w:val="231F20"/>
          <w:spacing w:val="-24"/>
          <w:w w:val="105"/>
        </w:rPr>
        <w:t> </w:t>
      </w:r>
      <w:r>
        <w:rPr>
          <w:rFonts w:ascii="Arial" w:hAnsi="Arial"/>
          <w:i/>
          <w:color w:val="231F20"/>
          <w:w w:val="105"/>
        </w:rPr>
        <w:t>Migración</w:t>
      </w:r>
      <w:r>
        <w:rPr>
          <w:rFonts w:ascii="Arial" w:hAnsi="Arial"/>
          <w:i/>
          <w:color w:val="231F20"/>
          <w:spacing w:val="-22"/>
          <w:w w:val="105"/>
        </w:rPr>
        <w:t> </w:t>
      </w:r>
      <w:r>
        <w:rPr>
          <w:rFonts w:ascii="Arial" w:hAnsi="Arial"/>
          <w:i/>
          <w:color w:val="231F20"/>
          <w:w w:val="105"/>
        </w:rPr>
        <w:t>y</w:t>
      </w:r>
      <w:r>
        <w:rPr>
          <w:rFonts w:ascii="Arial" w:hAnsi="Arial"/>
          <w:i/>
          <w:color w:val="231F20"/>
          <w:spacing w:val="-22"/>
          <w:w w:val="105"/>
        </w:rPr>
        <w:t> </w:t>
      </w:r>
      <w:r>
        <w:rPr>
          <w:rFonts w:ascii="Arial" w:hAnsi="Arial"/>
          <w:i/>
          <w:color w:val="231F20"/>
          <w:w w:val="105"/>
        </w:rPr>
        <w:t>Desarrollo</w:t>
      </w:r>
      <w:r>
        <w:rPr>
          <w:color w:val="231F20"/>
          <w:w w:val="105"/>
        </w:rPr>
        <w:t>,</w:t>
      </w:r>
      <w:r>
        <w:rPr>
          <w:color w:val="231F20"/>
          <w:spacing w:val="-24"/>
          <w:w w:val="105"/>
        </w:rPr>
        <w:t> </w:t>
      </w:r>
      <w:r>
        <w:rPr>
          <w:color w:val="231F20"/>
          <w:w w:val="105"/>
        </w:rPr>
        <w:t>núm.</w:t>
      </w:r>
      <w:r>
        <w:rPr>
          <w:color w:val="231F20"/>
          <w:spacing w:val="-24"/>
          <w:w w:val="105"/>
        </w:rPr>
        <w:t> </w:t>
      </w:r>
      <w:r>
        <w:rPr>
          <w:color w:val="231F20"/>
          <w:w w:val="105"/>
        </w:rPr>
        <w:t>6.</w:t>
      </w:r>
    </w:p>
    <w:p>
      <w:pPr>
        <w:pStyle w:val="BodyText"/>
        <w:spacing w:line="261" w:lineRule="auto" w:before="3"/>
        <w:ind w:left="2574" w:right="1720" w:hanging="738"/>
        <w:jc w:val="both"/>
      </w:pPr>
      <w:r>
        <w:rPr/>
        <w:pict>
          <v:line style="position:absolute;mso-position-horizontal-relative:page;mso-position-vertical-relative:paragraph;z-index:-470584" from="15pt,111.43689pt" to="0pt,111.43689pt" stroked="true" strokeweight=".25pt" strokecolor="#000000">
            <w10:wrap type="none"/>
          </v:line>
        </w:pict>
      </w:r>
      <w:r>
        <w:rPr/>
        <w:pict>
          <v:line style="position:absolute;mso-position-horizontal-relative:page;mso-position-vertical-relative:paragraph;z-index:19624" from="508.890015pt,111.43689pt" to="523.890015pt,111.43689pt" stroked="true" strokeweight=".25pt" strokecolor="#000000">
            <w10:wrap type="none"/>
          </v:line>
        </w:pict>
      </w:r>
      <w:r>
        <w:rPr>
          <w:color w:val="231F20"/>
        </w:rPr>
        <w:t>Durán, Javier, (2011), “Arizona: entre la ley (anti-in)migración y la (in) seguridad. Reflexiones sobre algunas bases ideológicas y    cultu-</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line="259" w:lineRule="auto" w:before="57"/>
        <w:ind w:left="2418" w:right="1683" w:firstLine="0"/>
        <w:jc w:val="left"/>
        <w:rPr>
          <w:sz w:val="21"/>
        </w:rPr>
      </w:pPr>
      <w:r>
        <w:rPr/>
        <w:pict>
          <v:line style="position:absolute;mso-position-horizontal-relative:page;mso-position-vertical-relative:paragraph;z-index:19672" from="15pt,-67.249893pt" to="0pt,-67.249893pt" stroked="true" strokeweight=".25pt" strokecolor="#000000">
            <w10:wrap type="none"/>
          </v:line>
        </w:pict>
      </w:r>
      <w:r>
        <w:rPr/>
        <w:pict>
          <v:line style="position:absolute;mso-position-horizontal-relative:page;mso-position-vertical-relative:paragraph;z-index:19696" from="508.890015pt,-67.249893pt" to="523.890015pt,-67.249893pt" stroked="true" strokeweight=".25pt" strokecolor="#000000">
            <w10:wrap type="none"/>
          </v:line>
        </w:pict>
      </w:r>
      <w:r>
        <w:rPr>
          <w:color w:val="231F20"/>
          <w:sz w:val="21"/>
        </w:rPr>
        <w:t>rales de la ley SB 1070”, en </w:t>
      </w:r>
      <w:r>
        <w:rPr>
          <w:rFonts w:ascii="Arial" w:hAnsi="Arial"/>
          <w:i/>
          <w:color w:val="231F20"/>
          <w:sz w:val="21"/>
        </w:rPr>
        <w:t>Migración y Seguridad. Nuevo desafío </w:t>
      </w:r>
      <w:r>
        <w:rPr>
          <w:rFonts w:ascii="Arial" w:hAnsi="Arial"/>
          <w:i/>
          <w:color w:val="231F20"/>
          <w:sz w:val="21"/>
        </w:rPr>
        <w:t>en México</w:t>
      </w:r>
      <w:r>
        <w:rPr>
          <w:color w:val="231F20"/>
          <w:sz w:val="21"/>
        </w:rPr>
        <w:t>, México: </w:t>
      </w:r>
      <w:r>
        <w:rPr>
          <w:color w:val="231F20"/>
          <w:sz w:val="17"/>
        </w:rPr>
        <w:t>CASEDE</w:t>
      </w:r>
      <w:r>
        <w:rPr>
          <w:color w:val="231F20"/>
          <w:sz w:val="21"/>
        </w:rPr>
        <w:t>.</w:t>
      </w:r>
    </w:p>
    <w:p>
      <w:pPr>
        <w:pStyle w:val="BodyText"/>
        <w:spacing w:line="259" w:lineRule="auto" w:before="3"/>
        <w:ind w:left="2418" w:right="1810" w:hanging="738"/>
        <w:jc w:val="both"/>
      </w:pPr>
      <w:r>
        <w:rPr>
          <w:color w:val="231F20"/>
        </w:rPr>
        <w:t>Durand, Jorge, (2000), “Tres premisas para entender y explicar la migra- ción México-Estados Unidos”, </w:t>
      </w:r>
      <w:r>
        <w:rPr>
          <w:rFonts w:ascii="Arial" w:hAnsi="Arial"/>
          <w:i/>
          <w:color w:val="231F20"/>
        </w:rPr>
        <w:t>Relaciones</w:t>
      </w:r>
      <w:r>
        <w:rPr>
          <w:color w:val="231F20"/>
        </w:rPr>
        <w:t>, vol. 21, núm. 83.</w:t>
      </w:r>
    </w:p>
    <w:p>
      <w:pPr>
        <w:pStyle w:val="BodyText"/>
        <w:tabs>
          <w:tab w:pos="2521" w:val="left" w:leader="none"/>
        </w:tabs>
        <w:spacing w:before="3"/>
        <w:ind w:left="1681"/>
      </w:pPr>
      <w:r>
        <w:rPr>
          <w:color w:val="231F20"/>
          <w:w w:val="94"/>
          <w:u w:val="single" w:color="221E1F"/>
        </w:rPr>
        <w:t> </w:t>
      </w:r>
      <w:r>
        <w:rPr>
          <w:color w:val="231F20"/>
          <w:u w:val="single" w:color="221E1F"/>
        </w:rPr>
        <w:tab/>
      </w:r>
      <w:r>
        <w:rPr>
          <w:color w:val="231F20"/>
          <w:spacing w:val="-8"/>
        </w:rPr>
        <w:t> </w:t>
      </w:r>
      <w:r>
        <w:rPr>
          <w:color w:val="231F20"/>
          <w:w w:val="105"/>
        </w:rPr>
        <w:t>(2007),</w:t>
      </w:r>
      <w:r>
        <w:rPr>
          <w:color w:val="231F20"/>
          <w:spacing w:val="-33"/>
          <w:w w:val="105"/>
        </w:rPr>
        <w:t> </w:t>
      </w:r>
      <w:r>
        <w:rPr>
          <w:color w:val="231F20"/>
          <w:w w:val="105"/>
        </w:rPr>
        <w:t>“Otra</w:t>
      </w:r>
      <w:r>
        <w:rPr>
          <w:color w:val="231F20"/>
          <w:spacing w:val="-29"/>
          <w:w w:val="105"/>
        </w:rPr>
        <w:t> </w:t>
      </w:r>
      <w:r>
        <w:rPr>
          <w:color w:val="231F20"/>
          <w:w w:val="105"/>
        </w:rPr>
        <w:t>vez</w:t>
      </w:r>
      <w:r>
        <w:rPr>
          <w:color w:val="231F20"/>
          <w:spacing w:val="-29"/>
          <w:w w:val="105"/>
        </w:rPr>
        <w:t> </w:t>
      </w:r>
      <w:r>
        <w:rPr>
          <w:color w:val="231F20"/>
          <w:w w:val="105"/>
        </w:rPr>
        <w:t>en</w:t>
      </w:r>
      <w:r>
        <w:rPr>
          <w:color w:val="231F20"/>
          <w:spacing w:val="-29"/>
          <w:w w:val="105"/>
        </w:rPr>
        <w:t> </w:t>
      </w:r>
      <w:r>
        <w:rPr>
          <w:color w:val="231F20"/>
          <w:w w:val="105"/>
        </w:rPr>
        <w:t>primavera</w:t>
      </w:r>
      <w:r>
        <w:rPr>
          <w:color w:val="231F20"/>
          <w:spacing w:val="-29"/>
          <w:w w:val="105"/>
        </w:rPr>
        <w:t> </w:t>
      </w:r>
      <w:r>
        <w:rPr>
          <w:color w:val="231F20"/>
          <w:w w:val="105"/>
        </w:rPr>
        <w:t>los</w:t>
      </w:r>
      <w:r>
        <w:rPr>
          <w:color w:val="231F20"/>
          <w:spacing w:val="-29"/>
          <w:w w:val="105"/>
        </w:rPr>
        <w:t> </w:t>
      </w:r>
      <w:r>
        <w:rPr>
          <w:color w:val="231F20"/>
          <w:w w:val="105"/>
        </w:rPr>
        <w:t>inmigrantes</w:t>
      </w:r>
      <w:r>
        <w:rPr>
          <w:color w:val="231F20"/>
          <w:spacing w:val="-29"/>
          <w:w w:val="105"/>
        </w:rPr>
        <w:t> </w:t>
      </w:r>
      <w:r>
        <w:rPr>
          <w:color w:val="231F20"/>
          <w:w w:val="105"/>
        </w:rPr>
        <w:t>salen</w:t>
      </w:r>
      <w:r>
        <w:rPr>
          <w:color w:val="231F20"/>
          <w:spacing w:val="-29"/>
          <w:w w:val="105"/>
        </w:rPr>
        <w:t> </w:t>
      </w:r>
      <w:r>
        <w:rPr>
          <w:color w:val="231F20"/>
          <w:w w:val="105"/>
        </w:rPr>
        <w:t>a</w:t>
      </w:r>
      <w:r>
        <w:rPr>
          <w:color w:val="231F20"/>
          <w:spacing w:val="-29"/>
          <w:w w:val="105"/>
        </w:rPr>
        <w:t> </w:t>
      </w:r>
      <w:r>
        <w:rPr>
          <w:color w:val="231F20"/>
          <w:w w:val="105"/>
        </w:rPr>
        <w:t>las</w:t>
      </w:r>
      <w:r>
        <w:rPr>
          <w:color w:val="231F20"/>
          <w:spacing w:val="-29"/>
          <w:w w:val="105"/>
        </w:rPr>
        <w:t> </w:t>
      </w:r>
      <w:r>
        <w:rPr>
          <w:color w:val="231F20"/>
          <w:spacing w:val="-4"/>
          <w:w w:val="105"/>
        </w:rPr>
        <w:t>calles”,</w:t>
      </w:r>
    </w:p>
    <w:p>
      <w:pPr>
        <w:spacing w:before="19"/>
        <w:ind w:left="2418" w:right="0" w:firstLine="0"/>
        <w:jc w:val="left"/>
        <w:rPr>
          <w:sz w:val="21"/>
        </w:rPr>
      </w:pPr>
      <w:r>
        <w:rPr>
          <w:rFonts w:ascii="Arial" w:hAnsi="Arial"/>
          <w:i/>
          <w:color w:val="231F20"/>
          <w:sz w:val="21"/>
        </w:rPr>
        <w:t>Migración y Desarrollo</w:t>
      </w:r>
      <w:r>
        <w:rPr>
          <w:color w:val="231F20"/>
          <w:sz w:val="21"/>
        </w:rPr>
        <w:t>, núm.</w:t>
      </w:r>
      <w:r>
        <w:rPr>
          <w:color w:val="231F20"/>
          <w:spacing w:val="50"/>
          <w:sz w:val="21"/>
        </w:rPr>
        <w:t> </w:t>
      </w:r>
      <w:r>
        <w:rPr>
          <w:color w:val="231F20"/>
          <w:sz w:val="21"/>
        </w:rPr>
        <w:t>8.</w:t>
      </w:r>
    </w:p>
    <w:p>
      <w:pPr>
        <w:pStyle w:val="BodyText"/>
        <w:tabs>
          <w:tab w:pos="2521" w:val="left" w:leader="none"/>
        </w:tabs>
        <w:spacing w:line="261" w:lineRule="auto" w:before="22"/>
        <w:ind w:left="2418" w:right="1810" w:hanging="738"/>
        <w:jc w:val="both"/>
      </w:pPr>
      <w:r>
        <w:rPr>
          <w:color w:val="231F20"/>
          <w:w w:val="94"/>
          <w:u w:val="single" w:color="221E1F"/>
        </w:rPr>
        <w:t> </w:t>
      </w:r>
      <w:r>
        <w:rPr>
          <w:color w:val="231F20"/>
          <w:u w:val="single" w:color="221E1F"/>
        </w:rPr>
        <w:tab/>
        <w:tab/>
      </w:r>
      <w:r>
        <w:rPr>
          <w:color w:val="231F20"/>
        </w:rPr>
        <w:t> </w:t>
      </w:r>
      <w:r>
        <w:rPr>
          <w:color w:val="231F20"/>
          <w:spacing w:val="-21"/>
        </w:rPr>
        <w:t> </w:t>
      </w:r>
      <w:r>
        <w:rPr>
          <w:color w:val="231F20"/>
          <w:w w:val="105"/>
        </w:rPr>
        <w:t>(26 de </w:t>
      </w:r>
      <w:r>
        <w:rPr>
          <w:color w:val="231F20"/>
          <w:spacing w:val="-3"/>
          <w:w w:val="105"/>
        </w:rPr>
        <w:t>septiembre  </w:t>
      </w:r>
      <w:r>
        <w:rPr>
          <w:color w:val="231F20"/>
          <w:w w:val="105"/>
        </w:rPr>
        <w:t>de 2010), “Migración  indocumentada </w:t>
      </w:r>
      <w:r>
        <w:rPr>
          <w:color w:val="231F20"/>
          <w:spacing w:val="32"/>
          <w:w w:val="105"/>
        </w:rPr>
        <w:t> </w:t>
      </w:r>
      <w:r>
        <w:rPr>
          <w:color w:val="231F20"/>
          <w:w w:val="105"/>
        </w:rPr>
        <w:t>a</w:t>
      </w:r>
      <w:r>
        <w:rPr>
          <w:color w:val="231F20"/>
          <w:spacing w:val="31"/>
          <w:w w:val="105"/>
        </w:rPr>
        <w:t> </w:t>
      </w:r>
      <w:r>
        <w:rPr>
          <w:color w:val="231F20"/>
          <w:w w:val="105"/>
        </w:rPr>
        <w:t>la</w:t>
      </w:r>
      <w:r>
        <w:rPr>
          <w:color w:val="231F20"/>
          <w:w w:val="100"/>
        </w:rPr>
        <w:t> </w:t>
      </w:r>
      <w:r>
        <w:rPr>
          <w:color w:val="231F20"/>
          <w:spacing w:val="-6"/>
          <w:w w:val="105"/>
        </w:rPr>
        <w:t>baja”, </w:t>
      </w:r>
      <w:r>
        <w:rPr>
          <w:rFonts w:ascii="Arial" w:hAnsi="Arial"/>
          <w:i/>
          <w:color w:val="231F20"/>
          <w:w w:val="105"/>
        </w:rPr>
        <w:t>La Jornada</w:t>
      </w:r>
      <w:r>
        <w:rPr>
          <w:color w:val="231F20"/>
          <w:w w:val="105"/>
        </w:rPr>
        <w:t>, </w:t>
      </w:r>
      <w:r>
        <w:rPr>
          <w:color w:val="231F20"/>
          <w:spacing w:val="-3"/>
          <w:w w:val="105"/>
        </w:rPr>
        <w:t>recuperado </w:t>
      </w:r>
      <w:r>
        <w:rPr>
          <w:color w:val="231F20"/>
          <w:w w:val="105"/>
        </w:rPr>
        <w:t>de </w:t>
      </w:r>
      <w:hyperlink r:id="rId145">
        <w:r>
          <w:rPr>
            <w:color w:val="231F20"/>
            <w:spacing w:val="-3"/>
            <w:w w:val="105"/>
          </w:rPr>
          <w:t>http://www.jornada.unam.</w:t>
        </w:r>
      </w:hyperlink>
      <w:r>
        <w:rPr>
          <w:color w:val="231F20"/>
          <w:spacing w:val="-3"/>
          <w:w w:val="105"/>
        </w:rPr>
        <w:t> </w:t>
      </w:r>
      <w:r>
        <w:rPr>
          <w:color w:val="231F20"/>
          <w:w w:val="105"/>
        </w:rPr>
        <w:t>mx/2010/09/26/opinion/024a1pol</w:t>
      </w:r>
    </w:p>
    <w:p>
      <w:pPr>
        <w:spacing w:line="259" w:lineRule="auto" w:before="0"/>
        <w:ind w:left="2418" w:right="1809" w:hanging="738"/>
        <w:jc w:val="both"/>
        <w:rPr>
          <w:sz w:val="21"/>
        </w:rPr>
      </w:pPr>
      <w:r>
        <w:rPr>
          <w:color w:val="231F20"/>
          <w:sz w:val="21"/>
        </w:rPr>
        <w:t>Durand, Jorge y Arias, Patricia, (2000), </w:t>
      </w:r>
      <w:r>
        <w:rPr>
          <w:rFonts w:ascii="Arial" w:hAnsi="Arial"/>
          <w:i/>
          <w:color w:val="231F20"/>
          <w:sz w:val="21"/>
        </w:rPr>
        <w:t>La experiencia migrante: iconogra- </w:t>
      </w:r>
      <w:r>
        <w:rPr>
          <w:rFonts w:ascii="Arial" w:hAnsi="Arial"/>
          <w:i/>
          <w:color w:val="231F20"/>
          <w:sz w:val="21"/>
        </w:rPr>
        <w:t>fía de la migración México-Estados Unidos</w:t>
      </w:r>
      <w:r>
        <w:rPr>
          <w:color w:val="231F20"/>
          <w:sz w:val="21"/>
        </w:rPr>
        <w:t>, México:  Altexto.</w:t>
      </w:r>
    </w:p>
    <w:p>
      <w:pPr>
        <w:spacing w:line="259" w:lineRule="auto" w:before="0"/>
        <w:ind w:left="2418" w:right="1808" w:hanging="738"/>
        <w:jc w:val="both"/>
        <w:rPr>
          <w:sz w:val="21"/>
        </w:rPr>
      </w:pPr>
      <w:r>
        <w:rPr>
          <w:color w:val="231F20"/>
          <w:w w:val="105"/>
          <w:sz w:val="21"/>
        </w:rPr>
        <w:t>El</w:t>
      </w:r>
      <w:r>
        <w:rPr>
          <w:color w:val="231F20"/>
          <w:spacing w:val="-27"/>
          <w:w w:val="105"/>
          <w:sz w:val="21"/>
        </w:rPr>
        <w:t> </w:t>
      </w:r>
      <w:r>
        <w:rPr>
          <w:color w:val="231F20"/>
          <w:w w:val="105"/>
          <w:sz w:val="21"/>
        </w:rPr>
        <w:t>Colegio</w:t>
      </w:r>
      <w:r>
        <w:rPr>
          <w:color w:val="231F20"/>
          <w:spacing w:val="-27"/>
          <w:w w:val="105"/>
          <w:sz w:val="21"/>
        </w:rPr>
        <w:t> </w:t>
      </w:r>
      <w:r>
        <w:rPr>
          <w:color w:val="231F20"/>
          <w:w w:val="105"/>
          <w:sz w:val="21"/>
        </w:rPr>
        <w:t>de</w:t>
      </w:r>
      <w:r>
        <w:rPr>
          <w:color w:val="231F20"/>
          <w:spacing w:val="-27"/>
          <w:w w:val="105"/>
          <w:sz w:val="21"/>
        </w:rPr>
        <w:t> </w:t>
      </w:r>
      <w:r>
        <w:rPr>
          <w:color w:val="231F20"/>
          <w:w w:val="105"/>
          <w:sz w:val="21"/>
        </w:rPr>
        <w:t>la</w:t>
      </w:r>
      <w:r>
        <w:rPr>
          <w:color w:val="231F20"/>
          <w:spacing w:val="-27"/>
          <w:w w:val="105"/>
          <w:sz w:val="21"/>
        </w:rPr>
        <w:t> </w:t>
      </w:r>
      <w:r>
        <w:rPr>
          <w:color w:val="231F20"/>
          <w:w w:val="105"/>
          <w:sz w:val="21"/>
        </w:rPr>
        <w:t>Frontera</w:t>
      </w:r>
      <w:r>
        <w:rPr>
          <w:color w:val="231F20"/>
          <w:spacing w:val="-27"/>
          <w:w w:val="105"/>
          <w:sz w:val="21"/>
        </w:rPr>
        <w:t> </w:t>
      </w:r>
      <w:r>
        <w:rPr>
          <w:color w:val="231F20"/>
          <w:w w:val="105"/>
          <w:sz w:val="21"/>
        </w:rPr>
        <w:t>Norte</w:t>
      </w:r>
      <w:r>
        <w:rPr>
          <w:color w:val="231F20"/>
          <w:spacing w:val="-27"/>
          <w:w w:val="105"/>
          <w:sz w:val="21"/>
        </w:rPr>
        <w:t> </w:t>
      </w:r>
      <w:r>
        <w:rPr>
          <w:color w:val="231F20"/>
          <w:w w:val="105"/>
          <w:sz w:val="21"/>
        </w:rPr>
        <w:t>(</w:t>
      </w:r>
      <w:r>
        <w:rPr>
          <w:color w:val="231F20"/>
          <w:w w:val="105"/>
          <w:sz w:val="17"/>
        </w:rPr>
        <w:t>COLEF</w:t>
      </w:r>
      <w:r>
        <w:rPr>
          <w:color w:val="231F20"/>
          <w:w w:val="105"/>
          <w:sz w:val="21"/>
        </w:rPr>
        <w:t>),</w:t>
      </w:r>
      <w:r>
        <w:rPr>
          <w:color w:val="231F20"/>
          <w:spacing w:val="-31"/>
          <w:w w:val="105"/>
          <w:sz w:val="21"/>
        </w:rPr>
        <w:t> </w:t>
      </w:r>
      <w:r>
        <w:rPr>
          <w:color w:val="231F20"/>
          <w:w w:val="105"/>
          <w:sz w:val="21"/>
        </w:rPr>
        <w:t>(s.</w:t>
      </w:r>
      <w:r>
        <w:rPr>
          <w:color w:val="231F20"/>
          <w:spacing w:val="-31"/>
          <w:w w:val="105"/>
          <w:sz w:val="21"/>
        </w:rPr>
        <w:t> </w:t>
      </w:r>
      <w:r>
        <w:rPr>
          <w:color w:val="231F20"/>
          <w:w w:val="105"/>
          <w:sz w:val="21"/>
        </w:rPr>
        <w:t>a.),</w:t>
      </w:r>
      <w:r>
        <w:rPr>
          <w:color w:val="231F20"/>
          <w:spacing w:val="-31"/>
          <w:w w:val="105"/>
          <w:sz w:val="21"/>
        </w:rPr>
        <w:t> </w:t>
      </w:r>
      <w:r>
        <w:rPr>
          <w:rFonts w:ascii="Arial" w:hAnsi="Arial"/>
          <w:i/>
          <w:color w:val="231F20"/>
          <w:w w:val="105"/>
          <w:sz w:val="21"/>
        </w:rPr>
        <w:t>Encuestas</w:t>
      </w:r>
      <w:r>
        <w:rPr>
          <w:rFonts w:ascii="Arial" w:hAnsi="Arial"/>
          <w:i/>
          <w:color w:val="231F20"/>
          <w:spacing w:val="-30"/>
          <w:w w:val="105"/>
          <w:sz w:val="21"/>
        </w:rPr>
        <w:t> </w:t>
      </w:r>
      <w:r>
        <w:rPr>
          <w:rFonts w:ascii="Arial" w:hAnsi="Arial"/>
          <w:i/>
          <w:color w:val="231F20"/>
          <w:w w:val="105"/>
          <w:sz w:val="21"/>
        </w:rPr>
        <w:t>sobre</w:t>
      </w:r>
      <w:r>
        <w:rPr>
          <w:rFonts w:ascii="Arial" w:hAnsi="Arial"/>
          <w:i/>
          <w:color w:val="231F20"/>
          <w:spacing w:val="-30"/>
          <w:w w:val="105"/>
          <w:sz w:val="21"/>
        </w:rPr>
        <w:t> </w:t>
      </w:r>
      <w:r>
        <w:rPr>
          <w:rFonts w:ascii="Arial" w:hAnsi="Arial"/>
          <w:i/>
          <w:color w:val="231F20"/>
          <w:w w:val="105"/>
          <w:sz w:val="21"/>
        </w:rPr>
        <w:t>Migración </w:t>
      </w:r>
      <w:r>
        <w:rPr>
          <w:rFonts w:ascii="Arial" w:hAnsi="Arial"/>
          <w:i/>
          <w:color w:val="231F20"/>
          <w:w w:val="105"/>
          <w:sz w:val="21"/>
        </w:rPr>
        <w:t>en</w:t>
      </w:r>
      <w:r>
        <w:rPr>
          <w:rFonts w:ascii="Arial" w:hAnsi="Arial"/>
          <w:i/>
          <w:color w:val="231F20"/>
          <w:spacing w:val="-43"/>
          <w:w w:val="105"/>
          <w:sz w:val="21"/>
        </w:rPr>
        <w:t> </w:t>
      </w:r>
      <w:r>
        <w:rPr>
          <w:rFonts w:ascii="Arial" w:hAnsi="Arial"/>
          <w:i/>
          <w:color w:val="231F20"/>
          <w:w w:val="105"/>
          <w:sz w:val="21"/>
        </w:rPr>
        <w:t>las</w:t>
      </w:r>
      <w:r>
        <w:rPr>
          <w:rFonts w:ascii="Arial" w:hAnsi="Arial"/>
          <w:i/>
          <w:color w:val="231F20"/>
          <w:spacing w:val="-43"/>
          <w:w w:val="105"/>
          <w:sz w:val="21"/>
        </w:rPr>
        <w:t> </w:t>
      </w:r>
      <w:r>
        <w:rPr>
          <w:rFonts w:ascii="Arial" w:hAnsi="Arial"/>
          <w:i/>
          <w:color w:val="231F20"/>
          <w:w w:val="105"/>
          <w:sz w:val="21"/>
        </w:rPr>
        <w:t>Fronteras</w:t>
      </w:r>
      <w:r>
        <w:rPr>
          <w:rFonts w:ascii="Arial" w:hAnsi="Arial"/>
          <w:i/>
          <w:color w:val="231F20"/>
          <w:spacing w:val="-43"/>
          <w:w w:val="105"/>
          <w:sz w:val="21"/>
        </w:rPr>
        <w:t> </w:t>
      </w:r>
      <w:r>
        <w:rPr>
          <w:rFonts w:ascii="Arial" w:hAnsi="Arial"/>
          <w:i/>
          <w:color w:val="231F20"/>
          <w:w w:val="105"/>
          <w:sz w:val="21"/>
        </w:rPr>
        <w:t>Norte</w:t>
      </w:r>
      <w:r>
        <w:rPr>
          <w:rFonts w:ascii="Arial" w:hAnsi="Arial"/>
          <w:i/>
          <w:color w:val="231F20"/>
          <w:spacing w:val="-43"/>
          <w:w w:val="105"/>
          <w:sz w:val="21"/>
        </w:rPr>
        <w:t> </w:t>
      </w:r>
      <w:r>
        <w:rPr>
          <w:rFonts w:ascii="Arial" w:hAnsi="Arial"/>
          <w:i/>
          <w:color w:val="231F20"/>
          <w:w w:val="105"/>
          <w:sz w:val="21"/>
        </w:rPr>
        <w:t>y</w:t>
      </w:r>
      <w:r>
        <w:rPr>
          <w:rFonts w:ascii="Arial" w:hAnsi="Arial"/>
          <w:i/>
          <w:color w:val="231F20"/>
          <w:spacing w:val="-43"/>
          <w:w w:val="105"/>
          <w:sz w:val="21"/>
        </w:rPr>
        <w:t> </w:t>
      </w:r>
      <w:r>
        <w:rPr>
          <w:rFonts w:ascii="Arial" w:hAnsi="Arial"/>
          <w:i/>
          <w:color w:val="231F20"/>
          <w:w w:val="105"/>
          <w:sz w:val="21"/>
        </w:rPr>
        <w:t>Sur</w:t>
      </w:r>
      <w:r>
        <w:rPr>
          <w:rFonts w:ascii="Arial" w:hAnsi="Arial"/>
          <w:i/>
          <w:color w:val="231F20"/>
          <w:spacing w:val="-43"/>
          <w:w w:val="105"/>
          <w:sz w:val="21"/>
        </w:rPr>
        <w:t> </w:t>
      </w:r>
      <w:r>
        <w:rPr>
          <w:rFonts w:ascii="Arial" w:hAnsi="Arial"/>
          <w:i/>
          <w:color w:val="231F20"/>
          <w:w w:val="105"/>
          <w:sz w:val="21"/>
        </w:rPr>
        <w:t>de</w:t>
      </w:r>
      <w:r>
        <w:rPr>
          <w:rFonts w:ascii="Arial" w:hAnsi="Arial"/>
          <w:i/>
          <w:color w:val="231F20"/>
          <w:spacing w:val="-43"/>
          <w:w w:val="105"/>
          <w:sz w:val="21"/>
        </w:rPr>
        <w:t> </w:t>
      </w:r>
      <w:r>
        <w:rPr>
          <w:rFonts w:ascii="Arial" w:hAnsi="Arial"/>
          <w:i/>
          <w:color w:val="231F20"/>
          <w:w w:val="105"/>
          <w:sz w:val="21"/>
        </w:rPr>
        <w:t>México.</w:t>
      </w:r>
      <w:r>
        <w:rPr>
          <w:rFonts w:ascii="Arial" w:hAnsi="Arial"/>
          <w:i/>
          <w:color w:val="231F20"/>
          <w:spacing w:val="-46"/>
          <w:w w:val="105"/>
          <w:sz w:val="21"/>
        </w:rPr>
        <w:t> </w:t>
      </w:r>
      <w:r>
        <w:rPr>
          <w:rFonts w:ascii="Arial" w:hAnsi="Arial"/>
          <w:i/>
          <w:color w:val="231F20"/>
          <w:w w:val="105"/>
          <w:sz w:val="21"/>
        </w:rPr>
        <w:t>Bases</w:t>
      </w:r>
      <w:r>
        <w:rPr>
          <w:rFonts w:ascii="Arial" w:hAnsi="Arial"/>
          <w:i/>
          <w:color w:val="231F20"/>
          <w:spacing w:val="-43"/>
          <w:w w:val="105"/>
          <w:sz w:val="21"/>
        </w:rPr>
        <w:t> </w:t>
      </w:r>
      <w:r>
        <w:rPr>
          <w:rFonts w:ascii="Arial" w:hAnsi="Arial"/>
          <w:i/>
          <w:color w:val="231F20"/>
          <w:w w:val="105"/>
          <w:sz w:val="21"/>
        </w:rPr>
        <w:t>metodológicas</w:t>
      </w:r>
      <w:r>
        <w:rPr>
          <w:color w:val="231F20"/>
          <w:w w:val="105"/>
          <w:sz w:val="21"/>
        </w:rPr>
        <w:t>,</w:t>
      </w:r>
      <w:r>
        <w:rPr>
          <w:color w:val="231F20"/>
          <w:spacing w:val="-43"/>
          <w:w w:val="105"/>
          <w:sz w:val="21"/>
        </w:rPr>
        <w:t> </w:t>
      </w:r>
      <w:r>
        <w:rPr>
          <w:color w:val="231F20"/>
          <w:w w:val="105"/>
          <w:sz w:val="21"/>
        </w:rPr>
        <w:t>recu- perado de</w:t>
      </w:r>
      <w:r>
        <w:rPr>
          <w:color w:val="231F20"/>
          <w:spacing w:val="38"/>
          <w:w w:val="105"/>
          <w:sz w:val="21"/>
        </w:rPr>
        <w:t> </w:t>
      </w:r>
      <w:hyperlink r:id="rId146">
        <w:r>
          <w:rPr>
            <w:color w:val="231F20"/>
            <w:w w:val="105"/>
            <w:sz w:val="21"/>
          </w:rPr>
          <w:t>http://www.colef.mx/emif/bases_metodologicas.php</w:t>
        </w:r>
      </w:hyperlink>
    </w:p>
    <w:p>
      <w:pPr>
        <w:spacing w:line="259" w:lineRule="auto" w:before="3"/>
        <w:ind w:left="2418" w:right="1811" w:hanging="738"/>
        <w:jc w:val="both"/>
        <w:rPr>
          <w:sz w:val="21"/>
        </w:rPr>
      </w:pPr>
      <w:r>
        <w:rPr>
          <w:color w:val="231F20"/>
          <w:w w:val="105"/>
          <w:sz w:val="21"/>
        </w:rPr>
        <w:t>Espenshade, Tomas, (1995), “Unauthorized Immigration to the United States”, </w:t>
      </w:r>
      <w:r>
        <w:rPr>
          <w:rFonts w:ascii="Arial" w:hAnsi="Arial"/>
          <w:i/>
          <w:color w:val="231F20"/>
          <w:w w:val="105"/>
          <w:sz w:val="21"/>
        </w:rPr>
        <w:t>Annual Review of Sociology</w:t>
      </w:r>
      <w:r>
        <w:rPr>
          <w:color w:val="231F20"/>
          <w:w w:val="105"/>
          <w:sz w:val="21"/>
        </w:rPr>
        <w:t>, vol. 21.</w:t>
      </w:r>
    </w:p>
    <w:p>
      <w:pPr>
        <w:pStyle w:val="BodyText"/>
        <w:spacing w:line="259" w:lineRule="auto" w:before="3"/>
        <w:ind w:left="2418" w:right="1810" w:hanging="738"/>
        <w:jc w:val="both"/>
      </w:pPr>
      <w:r>
        <w:rPr>
          <w:color w:val="231F20"/>
        </w:rPr>
        <w:t>González, Juan, (1998), “Migración laboral hacia Estados Unidos de los oriundos del Estado de </w:t>
      </w:r>
      <w:r>
        <w:rPr>
          <w:color w:val="231F20"/>
          <w:spacing w:val="-4"/>
        </w:rPr>
        <w:t>México”, </w:t>
      </w:r>
      <w:r>
        <w:rPr>
          <w:rFonts w:ascii="Arial" w:hAnsi="Arial"/>
          <w:i/>
          <w:color w:val="231F20"/>
        </w:rPr>
        <w:t>Papeles de Población</w:t>
      </w:r>
      <w:r>
        <w:rPr>
          <w:color w:val="231F20"/>
        </w:rPr>
        <w:t>, núm. </w:t>
      </w:r>
      <w:r>
        <w:rPr>
          <w:color w:val="231F20"/>
          <w:spacing w:val="51"/>
        </w:rPr>
        <w:t> </w:t>
      </w:r>
      <w:r>
        <w:rPr>
          <w:color w:val="231F20"/>
        </w:rPr>
        <w:t>17.</w:t>
      </w:r>
    </w:p>
    <w:p>
      <w:pPr>
        <w:tabs>
          <w:tab w:pos="2521" w:val="left" w:leader="none"/>
        </w:tabs>
        <w:spacing w:line="261" w:lineRule="auto" w:before="0"/>
        <w:ind w:left="2418" w:right="1809" w:hanging="738"/>
        <w:jc w:val="both"/>
        <w:rPr>
          <w:sz w:val="21"/>
        </w:rPr>
      </w:pPr>
      <w:r>
        <w:rPr>
          <w:color w:val="231F20"/>
          <w:w w:val="94"/>
          <w:sz w:val="21"/>
          <w:u w:val="single" w:color="221E1F"/>
        </w:rPr>
        <w:t> </w:t>
      </w:r>
      <w:r>
        <w:rPr>
          <w:color w:val="231F20"/>
          <w:sz w:val="21"/>
          <w:u w:val="single" w:color="221E1F"/>
        </w:rPr>
        <w:tab/>
        <w:tab/>
      </w:r>
      <w:r>
        <w:rPr>
          <w:color w:val="231F20"/>
          <w:spacing w:val="-10"/>
          <w:sz w:val="21"/>
        </w:rPr>
        <w:t> </w:t>
      </w:r>
      <w:r>
        <w:rPr>
          <w:color w:val="231F20"/>
          <w:w w:val="105"/>
          <w:sz w:val="21"/>
        </w:rPr>
        <w:t>(2002),</w:t>
      </w:r>
      <w:r>
        <w:rPr>
          <w:color w:val="231F20"/>
          <w:spacing w:val="-33"/>
          <w:w w:val="105"/>
          <w:sz w:val="21"/>
        </w:rPr>
        <w:t> </w:t>
      </w:r>
      <w:r>
        <w:rPr>
          <w:rFonts w:ascii="Arial" w:hAnsi="Arial"/>
          <w:i/>
          <w:color w:val="231F20"/>
          <w:w w:val="105"/>
          <w:sz w:val="21"/>
        </w:rPr>
        <w:t>Migración</w:t>
      </w:r>
      <w:r>
        <w:rPr>
          <w:rFonts w:ascii="Arial" w:hAnsi="Arial"/>
          <w:i/>
          <w:color w:val="231F20"/>
          <w:spacing w:val="-32"/>
          <w:w w:val="105"/>
          <w:sz w:val="21"/>
        </w:rPr>
        <w:t> </w:t>
      </w:r>
      <w:r>
        <w:rPr>
          <w:rFonts w:ascii="Arial" w:hAnsi="Arial"/>
          <w:i/>
          <w:color w:val="231F20"/>
          <w:w w:val="105"/>
          <w:sz w:val="21"/>
        </w:rPr>
        <w:t>laboral</w:t>
      </w:r>
      <w:r>
        <w:rPr>
          <w:rFonts w:ascii="Arial" w:hAnsi="Arial"/>
          <w:i/>
          <w:color w:val="231F20"/>
          <w:spacing w:val="-32"/>
          <w:w w:val="105"/>
          <w:sz w:val="21"/>
        </w:rPr>
        <w:t> </w:t>
      </w:r>
      <w:r>
        <w:rPr>
          <w:rFonts w:ascii="Arial" w:hAnsi="Arial"/>
          <w:i/>
          <w:color w:val="231F20"/>
          <w:w w:val="105"/>
          <w:sz w:val="21"/>
        </w:rPr>
        <w:t>internacional</w:t>
      </w:r>
      <w:r>
        <w:rPr>
          <w:rFonts w:ascii="Arial" w:hAnsi="Arial"/>
          <w:i/>
          <w:color w:val="231F20"/>
          <w:spacing w:val="-32"/>
          <w:w w:val="105"/>
          <w:sz w:val="21"/>
        </w:rPr>
        <w:t> </w:t>
      </w:r>
      <w:r>
        <w:rPr>
          <w:rFonts w:ascii="Arial" w:hAnsi="Arial"/>
          <w:i/>
          <w:color w:val="231F20"/>
          <w:w w:val="105"/>
          <w:sz w:val="21"/>
        </w:rPr>
        <w:t>del</w:t>
      </w:r>
      <w:r>
        <w:rPr>
          <w:rFonts w:ascii="Arial" w:hAnsi="Arial"/>
          <w:i/>
          <w:color w:val="231F20"/>
          <w:spacing w:val="-32"/>
          <w:w w:val="105"/>
          <w:sz w:val="21"/>
        </w:rPr>
        <w:t> </w:t>
      </w:r>
      <w:r>
        <w:rPr>
          <w:rFonts w:ascii="Arial" w:hAnsi="Arial"/>
          <w:i/>
          <w:color w:val="231F20"/>
          <w:w w:val="105"/>
          <w:sz w:val="21"/>
        </w:rPr>
        <w:t>Estado</w:t>
      </w:r>
      <w:r>
        <w:rPr>
          <w:rFonts w:ascii="Arial" w:hAnsi="Arial"/>
          <w:i/>
          <w:color w:val="231F20"/>
          <w:spacing w:val="-32"/>
          <w:w w:val="105"/>
          <w:sz w:val="21"/>
        </w:rPr>
        <w:t> </w:t>
      </w:r>
      <w:r>
        <w:rPr>
          <w:rFonts w:ascii="Arial" w:hAnsi="Arial"/>
          <w:i/>
          <w:color w:val="231F20"/>
          <w:w w:val="105"/>
          <w:sz w:val="21"/>
        </w:rPr>
        <w:t>de</w:t>
      </w:r>
      <w:r>
        <w:rPr>
          <w:rFonts w:ascii="Arial" w:hAnsi="Arial"/>
          <w:i/>
          <w:color w:val="231F20"/>
          <w:spacing w:val="-32"/>
          <w:w w:val="105"/>
          <w:sz w:val="21"/>
        </w:rPr>
        <w:t> </w:t>
      </w:r>
      <w:r>
        <w:rPr>
          <w:rFonts w:ascii="Arial" w:hAnsi="Arial"/>
          <w:i/>
          <w:color w:val="231F20"/>
          <w:w w:val="105"/>
          <w:sz w:val="21"/>
        </w:rPr>
        <w:t>México</w:t>
      </w:r>
      <w:r>
        <w:rPr>
          <w:color w:val="231F20"/>
          <w:w w:val="105"/>
          <w:sz w:val="21"/>
        </w:rPr>
        <w:t>,</w:t>
      </w:r>
      <w:r>
        <w:rPr>
          <w:color w:val="231F20"/>
          <w:spacing w:val="-37"/>
          <w:w w:val="105"/>
          <w:sz w:val="21"/>
        </w:rPr>
        <w:t> </w:t>
      </w:r>
      <w:r>
        <w:rPr>
          <w:color w:val="231F20"/>
          <w:spacing w:val="-7"/>
          <w:w w:val="105"/>
          <w:sz w:val="21"/>
        </w:rPr>
        <w:t>To-</w:t>
      </w:r>
      <w:r>
        <w:rPr>
          <w:color w:val="231F20"/>
          <w:w w:val="96"/>
          <w:sz w:val="21"/>
        </w:rPr>
        <w:t> </w:t>
      </w:r>
      <w:r>
        <w:rPr>
          <w:color w:val="231F20"/>
          <w:w w:val="105"/>
          <w:sz w:val="21"/>
        </w:rPr>
        <w:t>luca,</w:t>
      </w:r>
      <w:r>
        <w:rPr>
          <w:color w:val="231F20"/>
          <w:spacing w:val="-42"/>
          <w:w w:val="105"/>
          <w:sz w:val="21"/>
        </w:rPr>
        <w:t> </w:t>
      </w:r>
      <w:r>
        <w:rPr>
          <w:color w:val="231F20"/>
          <w:w w:val="105"/>
          <w:sz w:val="21"/>
        </w:rPr>
        <w:t>México:</w:t>
      </w:r>
      <w:r>
        <w:rPr>
          <w:color w:val="231F20"/>
          <w:spacing w:val="-40"/>
          <w:w w:val="105"/>
          <w:sz w:val="21"/>
        </w:rPr>
        <w:t> </w:t>
      </w:r>
      <w:r>
        <w:rPr>
          <w:color w:val="231F20"/>
          <w:w w:val="105"/>
          <w:sz w:val="17"/>
        </w:rPr>
        <w:t>UAEM</w:t>
      </w:r>
      <w:r>
        <w:rPr>
          <w:color w:val="231F20"/>
          <w:w w:val="105"/>
          <w:sz w:val="21"/>
        </w:rPr>
        <w:t>.</w:t>
      </w:r>
    </w:p>
    <w:p>
      <w:pPr>
        <w:tabs>
          <w:tab w:pos="2521" w:val="left" w:leader="none"/>
        </w:tabs>
        <w:spacing w:line="259" w:lineRule="auto" w:before="1"/>
        <w:ind w:left="2418" w:right="1809" w:hanging="738"/>
        <w:jc w:val="both"/>
        <w:rPr>
          <w:sz w:val="21"/>
        </w:rPr>
      </w:pPr>
      <w:r>
        <w:rPr>
          <w:color w:val="231F20"/>
          <w:w w:val="94"/>
          <w:sz w:val="21"/>
          <w:u w:val="single" w:color="221E1F"/>
        </w:rPr>
        <w:t> </w:t>
      </w:r>
      <w:r>
        <w:rPr>
          <w:color w:val="231F20"/>
          <w:sz w:val="21"/>
          <w:u w:val="single" w:color="221E1F"/>
        </w:rPr>
        <w:tab/>
        <w:tab/>
      </w:r>
      <w:r>
        <w:rPr>
          <w:color w:val="231F20"/>
          <w:spacing w:val="-10"/>
          <w:sz w:val="21"/>
        </w:rPr>
        <w:t> </w:t>
      </w:r>
      <w:r>
        <w:rPr>
          <w:color w:val="231F20"/>
          <w:w w:val="105"/>
          <w:sz w:val="21"/>
        </w:rPr>
        <w:t>(2012),</w:t>
      </w:r>
      <w:r>
        <w:rPr>
          <w:color w:val="231F20"/>
          <w:spacing w:val="-30"/>
          <w:w w:val="105"/>
          <w:sz w:val="21"/>
        </w:rPr>
        <w:t> </w:t>
      </w:r>
      <w:r>
        <w:rPr>
          <w:color w:val="231F20"/>
          <w:w w:val="105"/>
          <w:sz w:val="21"/>
        </w:rPr>
        <w:t>“Antecedentes</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emigración</w:t>
      </w:r>
      <w:r>
        <w:rPr>
          <w:color w:val="231F20"/>
          <w:spacing w:val="-24"/>
          <w:w w:val="105"/>
          <w:sz w:val="21"/>
        </w:rPr>
        <w:t> </w:t>
      </w:r>
      <w:r>
        <w:rPr>
          <w:color w:val="231F20"/>
          <w:w w:val="105"/>
          <w:sz w:val="21"/>
        </w:rPr>
        <w:t>internacional</w:t>
      </w:r>
      <w:r>
        <w:rPr>
          <w:color w:val="231F20"/>
          <w:spacing w:val="-24"/>
          <w:w w:val="105"/>
          <w:sz w:val="21"/>
        </w:rPr>
        <w:t> </w:t>
      </w:r>
      <w:r>
        <w:rPr>
          <w:color w:val="231F20"/>
          <w:w w:val="105"/>
          <w:sz w:val="21"/>
        </w:rPr>
        <w:t>del</w:t>
      </w:r>
      <w:r>
        <w:rPr>
          <w:color w:val="231F20"/>
          <w:spacing w:val="-24"/>
          <w:w w:val="105"/>
          <w:sz w:val="21"/>
        </w:rPr>
        <w:t> </w:t>
      </w:r>
      <w:r>
        <w:rPr>
          <w:color w:val="231F20"/>
          <w:w w:val="105"/>
          <w:sz w:val="21"/>
        </w:rPr>
        <w:t>Estado</w:t>
      </w:r>
      <w:r>
        <w:rPr>
          <w:color w:val="231F20"/>
          <w:w w:val="100"/>
          <w:sz w:val="21"/>
        </w:rPr>
        <w:t> </w:t>
      </w:r>
      <w:r>
        <w:rPr>
          <w:color w:val="231F20"/>
          <w:w w:val="105"/>
          <w:sz w:val="21"/>
        </w:rPr>
        <w:t>de </w:t>
      </w:r>
      <w:r>
        <w:rPr>
          <w:color w:val="231F20"/>
          <w:spacing w:val="-4"/>
          <w:w w:val="105"/>
          <w:sz w:val="21"/>
        </w:rPr>
        <w:t>México”, </w:t>
      </w:r>
      <w:r>
        <w:rPr>
          <w:color w:val="231F20"/>
          <w:w w:val="105"/>
          <w:sz w:val="21"/>
        </w:rPr>
        <w:t>en Juan Gabino González Becerril y Jaciel Montoya Arce</w:t>
      </w:r>
      <w:r>
        <w:rPr>
          <w:color w:val="231F20"/>
          <w:spacing w:val="-24"/>
          <w:w w:val="105"/>
          <w:sz w:val="21"/>
        </w:rPr>
        <w:t> </w:t>
      </w:r>
      <w:r>
        <w:rPr>
          <w:color w:val="231F20"/>
          <w:w w:val="105"/>
          <w:sz w:val="21"/>
        </w:rPr>
        <w:t>(comps.),</w:t>
      </w:r>
      <w:r>
        <w:rPr>
          <w:color w:val="231F20"/>
          <w:spacing w:val="-28"/>
          <w:w w:val="105"/>
          <w:sz w:val="21"/>
        </w:rPr>
        <w:t> </w:t>
      </w:r>
      <w:r>
        <w:rPr>
          <w:rFonts w:ascii="Arial" w:hAnsi="Arial"/>
          <w:i/>
          <w:color w:val="231F20"/>
          <w:w w:val="105"/>
          <w:sz w:val="21"/>
        </w:rPr>
        <w:t>Migración</w:t>
      </w:r>
      <w:r>
        <w:rPr>
          <w:rFonts w:ascii="Arial" w:hAnsi="Arial"/>
          <w:i/>
          <w:color w:val="231F20"/>
          <w:spacing w:val="-26"/>
          <w:w w:val="105"/>
          <w:sz w:val="21"/>
        </w:rPr>
        <w:t> </w:t>
      </w:r>
      <w:r>
        <w:rPr>
          <w:rFonts w:ascii="Arial" w:hAnsi="Arial"/>
          <w:i/>
          <w:color w:val="231F20"/>
          <w:w w:val="105"/>
          <w:sz w:val="21"/>
        </w:rPr>
        <w:t>mexiquense</w:t>
      </w:r>
      <w:r>
        <w:rPr>
          <w:rFonts w:ascii="Arial" w:hAnsi="Arial"/>
          <w:i/>
          <w:color w:val="231F20"/>
          <w:spacing w:val="-26"/>
          <w:w w:val="105"/>
          <w:sz w:val="21"/>
        </w:rPr>
        <w:t> </w:t>
      </w:r>
      <w:r>
        <w:rPr>
          <w:rFonts w:ascii="Arial" w:hAnsi="Arial"/>
          <w:i/>
          <w:color w:val="231F20"/>
          <w:w w:val="105"/>
          <w:sz w:val="21"/>
        </w:rPr>
        <w:t>a</w:t>
      </w:r>
      <w:r>
        <w:rPr>
          <w:rFonts w:ascii="Arial" w:hAnsi="Arial"/>
          <w:i/>
          <w:color w:val="231F20"/>
          <w:spacing w:val="-26"/>
          <w:w w:val="105"/>
          <w:sz w:val="21"/>
        </w:rPr>
        <w:t> </w:t>
      </w:r>
      <w:r>
        <w:rPr>
          <w:rFonts w:ascii="Arial" w:hAnsi="Arial"/>
          <w:i/>
          <w:color w:val="231F20"/>
          <w:w w:val="105"/>
          <w:sz w:val="21"/>
        </w:rPr>
        <w:t>Estados</w:t>
      </w:r>
      <w:r>
        <w:rPr>
          <w:rFonts w:ascii="Arial" w:hAnsi="Arial"/>
          <w:i/>
          <w:color w:val="231F20"/>
          <w:spacing w:val="-26"/>
          <w:w w:val="105"/>
          <w:sz w:val="21"/>
        </w:rPr>
        <w:t> </w:t>
      </w:r>
      <w:r>
        <w:rPr>
          <w:rFonts w:ascii="Arial" w:hAnsi="Arial"/>
          <w:i/>
          <w:color w:val="231F20"/>
          <w:w w:val="105"/>
          <w:sz w:val="21"/>
        </w:rPr>
        <w:t>Unidos:</w:t>
      </w:r>
      <w:r>
        <w:rPr>
          <w:rFonts w:ascii="Arial" w:hAnsi="Arial"/>
          <w:i/>
          <w:color w:val="231F20"/>
          <w:spacing w:val="-26"/>
          <w:w w:val="105"/>
          <w:sz w:val="21"/>
        </w:rPr>
        <w:t> </w:t>
      </w:r>
      <w:r>
        <w:rPr>
          <w:rFonts w:ascii="Arial" w:hAnsi="Arial"/>
          <w:i/>
          <w:color w:val="231F20"/>
          <w:w w:val="105"/>
          <w:sz w:val="21"/>
        </w:rPr>
        <w:t>un</w:t>
      </w:r>
      <w:r>
        <w:rPr>
          <w:rFonts w:ascii="Arial" w:hAnsi="Arial"/>
          <w:i/>
          <w:color w:val="231F20"/>
          <w:spacing w:val="-26"/>
          <w:w w:val="105"/>
          <w:sz w:val="21"/>
        </w:rPr>
        <w:t> </w:t>
      </w:r>
      <w:r>
        <w:rPr>
          <w:rFonts w:ascii="Arial" w:hAnsi="Arial"/>
          <w:i/>
          <w:color w:val="231F20"/>
          <w:w w:val="105"/>
          <w:sz w:val="21"/>
        </w:rPr>
        <w:t>análi- </w:t>
      </w:r>
      <w:r>
        <w:rPr>
          <w:rFonts w:ascii="Arial" w:hAnsi="Arial"/>
          <w:i/>
          <w:color w:val="231F20"/>
          <w:sz w:val="21"/>
        </w:rPr>
        <w:t>sis interdisciplinario</w:t>
      </w:r>
      <w:r>
        <w:rPr>
          <w:color w:val="231F20"/>
          <w:sz w:val="21"/>
        </w:rPr>
        <w:t>, </w:t>
      </w:r>
      <w:r>
        <w:rPr>
          <w:color w:val="231F20"/>
          <w:spacing w:val="-3"/>
          <w:sz w:val="21"/>
        </w:rPr>
        <w:t>Toluca, </w:t>
      </w:r>
      <w:r>
        <w:rPr>
          <w:color w:val="231F20"/>
          <w:sz w:val="21"/>
        </w:rPr>
        <w:t>México:</w:t>
      </w:r>
      <w:r>
        <w:rPr>
          <w:color w:val="231F20"/>
          <w:spacing w:val="45"/>
          <w:sz w:val="21"/>
        </w:rPr>
        <w:t> </w:t>
      </w:r>
      <w:r>
        <w:rPr>
          <w:color w:val="231F20"/>
          <w:sz w:val="17"/>
        </w:rPr>
        <w:t>UAEM</w:t>
      </w:r>
      <w:r>
        <w:rPr>
          <w:color w:val="231F20"/>
          <w:sz w:val="21"/>
        </w:rPr>
        <w:t>/</w:t>
      </w:r>
      <w:r>
        <w:rPr>
          <w:color w:val="231F20"/>
          <w:sz w:val="17"/>
        </w:rPr>
        <w:t>CIEAP</w:t>
      </w:r>
      <w:r>
        <w:rPr>
          <w:color w:val="231F20"/>
          <w:sz w:val="21"/>
        </w:rPr>
        <w:t>.</w:t>
      </w:r>
    </w:p>
    <w:p>
      <w:pPr>
        <w:spacing w:line="261" w:lineRule="auto" w:before="3"/>
        <w:ind w:left="2418" w:right="1803" w:hanging="738"/>
        <w:jc w:val="both"/>
        <w:rPr>
          <w:sz w:val="21"/>
        </w:rPr>
      </w:pPr>
      <w:r>
        <w:rPr>
          <w:color w:val="231F20"/>
          <w:w w:val="105"/>
          <w:sz w:val="21"/>
        </w:rPr>
        <w:t>Holzer,</w:t>
      </w:r>
      <w:r>
        <w:rPr>
          <w:color w:val="231F20"/>
          <w:spacing w:val="-33"/>
          <w:w w:val="105"/>
          <w:sz w:val="21"/>
        </w:rPr>
        <w:t> </w:t>
      </w:r>
      <w:r>
        <w:rPr>
          <w:color w:val="231F20"/>
          <w:w w:val="105"/>
          <w:sz w:val="21"/>
        </w:rPr>
        <w:t>Harry,</w:t>
      </w:r>
      <w:r>
        <w:rPr>
          <w:color w:val="231F20"/>
          <w:spacing w:val="-33"/>
          <w:w w:val="105"/>
          <w:sz w:val="21"/>
        </w:rPr>
        <w:t> </w:t>
      </w:r>
      <w:r>
        <w:rPr>
          <w:color w:val="231F20"/>
          <w:w w:val="105"/>
          <w:sz w:val="21"/>
        </w:rPr>
        <w:t>(2011),</w:t>
      </w:r>
      <w:r>
        <w:rPr>
          <w:color w:val="231F20"/>
          <w:spacing w:val="-33"/>
          <w:w w:val="105"/>
          <w:sz w:val="21"/>
        </w:rPr>
        <w:t> </w:t>
      </w:r>
      <w:r>
        <w:rPr>
          <w:color w:val="231F20"/>
          <w:w w:val="105"/>
          <w:sz w:val="21"/>
        </w:rPr>
        <w:t>“Immigration</w:t>
      </w:r>
      <w:r>
        <w:rPr>
          <w:color w:val="231F20"/>
          <w:spacing w:val="-30"/>
          <w:w w:val="105"/>
          <w:sz w:val="21"/>
        </w:rPr>
        <w:t> </w:t>
      </w:r>
      <w:r>
        <w:rPr>
          <w:color w:val="231F20"/>
          <w:spacing w:val="-3"/>
          <w:w w:val="105"/>
          <w:sz w:val="21"/>
        </w:rPr>
        <w:t>Policy</w:t>
      </w:r>
      <w:r>
        <w:rPr>
          <w:color w:val="231F20"/>
          <w:spacing w:val="-30"/>
          <w:w w:val="105"/>
          <w:sz w:val="21"/>
        </w:rPr>
        <w:t> </w:t>
      </w:r>
      <w:r>
        <w:rPr>
          <w:color w:val="231F20"/>
          <w:w w:val="105"/>
          <w:sz w:val="21"/>
        </w:rPr>
        <w:t>and</w:t>
      </w:r>
      <w:r>
        <w:rPr>
          <w:color w:val="231F20"/>
          <w:spacing w:val="-30"/>
          <w:w w:val="105"/>
          <w:sz w:val="21"/>
        </w:rPr>
        <w:t> </w:t>
      </w:r>
      <w:r>
        <w:rPr>
          <w:color w:val="231F20"/>
          <w:w w:val="105"/>
          <w:sz w:val="21"/>
        </w:rPr>
        <w:t>Less-Skilled</w:t>
      </w:r>
      <w:r>
        <w:rPr>
          <w:color w:val="231F20"/>
          <w:spacing w:val="-31"/>
          <w:w w:val="105"/>
          <w:sz w:val="21"/>
        </w:rPr>
        <w:t> </w:t>
      </w:r>
      <w:r>
        <w:rPr>
          <w:color w:val="231F20"/>
          <w:w w:val="105"/>
          <w:sz w:val="21"/>
        </w:rPr>
        <w:t>Workers</w:t>
      </w:r>
      <w:r>
        <w:rPr>
          <w:color w:val="231F20"/>
          <w:spacing w:val="-30"/>
          <w:w w:val="105"/>
          <w:sz w:val="21"/>
        </w:rPr>
        <w:t> </w:t>
      </w:r>
      <w:r>
        <w:rPr>
          <w:color w:val="231F20"/>
          <w:w w:val="105"/>
          <w:sz w:val="21"/>
        </w:rPr>
        <w:t>in</w:t>
      </w:r>
      <w:r>
        <w:rPr>
          <w:color w:val="231F20"/>
          <w:spacing w:val="-32"/>
          <w:w w:val="105"/>
          <w:sz w:val="21"/>
        </w:rPr>
        <w:t> </w:t>
      </w:r>
      <w:r>
        <w:rPr>
          <w:color w:val="231F20"/>
          <w:w w:val="105"/>
          <w:sz w:val="21"/>
        </w:rPr>
        <w:t>The United </w:t>
      </w:r>
      <w:r>
        <w:rPr>
          <w:color w:val="231F20"/>
          <w:spacing w:val="-4"/>
          <w:w w:val="105"/>
          <w:sz w:val="21"/>
        </w:rPr>
        <w:t>States”, </w:t>
      </w:r>
      <w:r>
        <w:rPr>
          <w:color w:val="231F20"/>
          <w:w w:val="105"/>
          <w:sz w:val="21"/>
        </w:rPr>
        <w:t>en </w:t>
      </w:r>
      <w:r>
        <w:rPr>
          <w:rFonts w:ascii="Arial" w:hAnsi="Arial"/>
          <w:i/>
          <w:color w:val="231F20"/>
          <w:w w:val="105"/>
          <w:sz w:val="21"/>
        </w:rPr>
        <w:t>Reflections on Future Directions for Reform</w:t>
      </w:r>
      <w:r>
        <w:rPr>
          <w:color w:val="231F20"/>
          <w:w w:val="105"/>
          <w:sz w:val="21"/>
        </w:rPr>
        <w:t>, Washington,</w:t>
      </w:r>
      <w:r>
        <w:rPr>
          <w:color w:val="231F20"/>
          <w:spacing w:val="-27"/>
          <w:w w:val="105"/>
          <w:sz w:val="21"/>
        </w:rPr>
        <w:t> </w:t>
      </w:r>
      <w:r>
        <w:rPr>
          <w:color w:val="231F20"/>
          <w:w w:val="105"/>
          <w:sz w:val="21"/>
        </w:rPr>
        <w:t>DC:</w:t>
      </w:r>
      <w:r>
        <w:rPr>
          <w:color w:val="231F20"/>
          <w:spacing w:val="-23"/>
          <w:w w:val="105"/>
          <w:sz w:val="21"/>
        </w:rPr>
        <w:t> </w:t>
      </w:r>
      <w:r>
        <w:rPr>
          <w:color w:val="231F20"/>
          <w:w w:val="105"/>
          <w:sz w:val="21"/>
        </w:rPr>
        <w:t>Migration</w:t>
      </w:r>
      <w:r>
        <w:rPr>
          <w:color w:val="231F20"/>
          <w:spacing w:val="-23"/>
          <w:w w:val="105"/>
          <w:sz w:val="21"/>
        </w:rPr>
        <w:t> </w:t>
      </w:r>
      <w:r>
        <w:rPr>
          <w:color w:val="231F20"/>
          <w:spacing w:val="-3"/>
          <w:w w:val="105"/>
          <w:sz w:val="21"/>
        </w:rPr>
        <w:t>Policy</w:t>
      </w:r>
      <w:r>
        <w:rPr>
          <w:color w:val="231F20"/>
          <w:spacing w:val="-23"/>
          <w:w w:val="105"/>
          <w:sz w:val="21"/>
        </w:rPr>
        <w:t> </w:t>
      </w:r>
      <w:r>
        <w:rPr>
          <w:color w:val="231F20"/>
          <w:w w:val="105"/>
          <w:sz w:val="21"/>
        </w:rPr>
        <w:t>Institute.</w:t>
      </w:r>
    </w:p>
    <w:p>
      <w:pPr>
        <w:pStyle w:val="BodyText"/>
        <w:spacing w:line="261" w:lineRule="auto" w:before="1"/>
        <w:ind w:left="2418" w:right="1803" w:hanging="737"/>
        <w:jc w:val="both"/>
      </w:pPr>
      <w:r>
        <w:rPr>
          <w:color w:val="231F20"/>
          <w:w w:val="105"/>
        </w:rPr>
        <w:t>Instituto de Estudios y Divulgación sobre Migración (</w:t>
      </w:r>
      <w:r>
        <w:rPr>
          <w:color w:val="231F20"/>
          <w:w w:val="105"/>
          <w:sz w:val="17"/>
        </w:rPr>
        <w:t>INEDIM</w:t>
      </w:r>
      <w:r>
        <w:rPr>
          <w:color w:val="231F20"/>
          <w:w w:val="105"/>
        </w:rPr>
        <w:t>) e Institu-   to</w:t>
      </w:r>
      <w:r>
        <w:rPr>
          <w:color w:val="231F20"/>
          <w:spacing w:val="-12"/>
          <w:w w:val="105"/>
        </w:rPr>
        <w:t> </w:t>
      </w:r>
      <w:r>
        <w:rPr>
          <w:color w:val="231F20"/>
          <w:w w:val="105"/>
        </w:rPr>
        <w:t>Centroamericano</w:t>
      </w:r>
      <w:r>
        <w:rPr>
          <w:color w:val="231F20"/>
          <w:spacing w:val="-12"/>
          <w:w w:val="105"/>
        </w:rPr>
        <w:t> </w:t>
      </w:r>
      <w:r>
        <w:rPr>
          <w:color w:val="231F20"/>
          <w:w w:val="105"/>
        </w:rPr>
        <w:t>de</w:t>
      </w:r>
      <w:r>
        <w:rPr>
          <w:color w:val="231F20"/>
          <w:spacing w:val="-12"/>
          <w:w w:val="105"/>
        </w:rPr>
        <w:t> </w:t>
      </w:r>
      <w:r>
        <w:rPr>
          <w:color w:val="231F20"/>
          <w:w w:val="105"/>
        </w:rPr>
        <w:t>Estudios</w:t>
      </w:r>
      <w:r>
        <w:rPr>
          <w:color w:val="231F20"/>
          <w:spacing w:val="-12"/>
          <w:w w:val="105"/>
        </w:rPr>
        <w:t> </w:t>
      </w:r>
      <w:r>
        <w:rPr>
          <w:color w:val="231F20"/>
          <w:w w:val="105"/>
        </w:rPr>
        <w:t>Sociales</w:t>
      </w:r>
      <w:r>
        <w:rPr>
          <w:color w:val="231F20"/>
          <w:spacing w:val="-12"/>
          <w:w w:val="105"/>
        </w:rPr>
        <w:t> </w:t>
      </w:r>
      <w:r>
        <w:rPr>
          <w:color w:val="231F20"/>
          <w:w w:val="105"/>
        </w:rPr>
        <w:t>y</w:t>
      </w:r>
      <w:r>
        <w:rPr>
          <w:color w:val="231F20"/>
          <w:spacing w:val="-12"/>
          <w:w w:val="105"/>
        </w:rPr>
        <w:t> </w:t>
      </w:r>
      <w:r>
        <w:rPr>
          <w:color w:val="231F20"/>
          <w:w w:val="105"/>
        </w:rPr>
        <w:t>Desarrollo</w:t>
      </w:r>
      <w:r>
        <w:rPr>
          <w:color w:val="231F20"/>
          <w:spacing w:val="-12"/>
          <w:w w:val="105"/>
        </w:rPr>
        <w:t> </w:t>
      </w:r>
      <w:r>
        <w:rPr>
          <w:color w:val="231F20"/>
          <w:w w:val="105"/>
        </w:rPr>
        <w:t>(</w:t>
      </w:r>
      <w:r>
        <w:rPr>
          <w:color w:val="231F20"/>
          <w:w w:val="105"/>
          <w:sz w:val="17"/>
        </w:rPr>
        <w:t>INCEDES</w:t>
      </w:r>
      <w:r>
        <w:rPr>
          <w:color w:val="231F20"/>
          <w:w w:val="105"/>
        </w:rPr>
        <w:t>), (2011), “Seguridad para el Migrante: una agenda por construir”, Documento</w:t>
      </w:r>
      <w:r>
        <w:rPr>
          <w:color w:val="231F20"/>
          <w:spacing w:val="-16"/>
          <w:w w:val="105"/>
        </w:rPr>
        <w:t> </w:t>
      </w:r>
      <w:r>
        <w:rPr>
          <w:color w:val="231F20"/>
          <w:w w:val="105"/>
        </w:rPr>
        <w:t>de</w:t>
      </w:r>
      <w:r>
        <w:rPr>
          <w:color w:val="231F20"/>
          <w:spacing w:val="-20"/>
          <w:w w:val="105"/>
        </w:rPr>
        <w:t> </w:t>
      </w:r>
      <w:r>
        <w:rPr>
          <w:color w:val="231F20"/>
          <w:spacing w:val="-4"/>
          <w:w w:val="105"/>
        </w:rPr>
        <w:t>Trabajo,</w:t>
      </w:r>
      <w:r>
        <w:rPr>
          <w:color w:val="231F20"/>
          <w:spacing w:val="-21"/>
          <w:w w:val="105"/>
        </w:rPr>
        <w:t> </w:t>
      </w:r>
      <w:r>
        <w:rPr>
          <w:color w:val="231F20"/>
          <w:w w:val="105"/>
        </w:rPr>
        <w:t>núm.</w:t>
      </w:r>
      <w:r>
        <w:rPr>
          <w:color w:val="231F20"/>
          <w:spacing w:val="-21"/>
          <w:w w:val="105"/>
        </w:rPr>
        <w:t> </w:t>
      </w:r>
      <w:r>
        <w:rPr>
          <w:color w:val="231F20"/>
          <w:w w:val="105"/>
        </w:rPr>
        <w:t>2,</w:t>
      </w:r>
      <w:r>
        <w:rPr>
          <w:color w:val="231F20"/>
          <w:spacing w:val="-21"/>
          <w:w w:val="105"/>
        </w:rPr>
        <w:t> </w:t>
      </w:r>
      <w:r>
        <w:rPr>
          <w:color w:val="231F20"/>
          <w:w w:val="105"/>
        </w:rPr>
        <w:t>México:</w:t>
      </w:r>
      <w:r>
        <w:rPr>
          <w:color w:val="231F20"/>
          <w:spacing w:val="-16"/>
          <w:w w:val="105"/>
        </w:rPr>
        <w:t> </w:t>
      </w:r>
      <w:r>
        <w:rPr>
          <w:color w:val="231F20"/>
          <w:w w:val="105"/>
          <w:sz w:val="17"/>
        </w:rPr>
        <w:t>INEDIM</w:t>
      </w:r>
      <w:r>
        <w:rPr>
          <w:color w:val="231F20"/>
          <w:w w:val="105"/>
        </w:rPr>
        <w:t>.</w:t>
      </w:r>
    </w:p>
    <w:p>
      <w:pPr>
        <w:spacing w:line="259" w:lineRule="auto" w:before="0"/>
        <w:ind w:left="2418" w:right="1807" w:hanging="738"/>
        <w:jc w:val="both"/>
        <w:rPr>
          <w:sz w:val="21"/>
        </w:rPr>
      </w:pPr>
      <w:r>
        <w:rPr>
          <w:color w:val="231F20"/>
          <w:w w:val="105"/>
          <w:sz w:val="21"/>
        </w:rPr>
        <w:t>Jardón,</w:t>
      </w:r>
      <w:r>
        <w:rPr>
          <w:color w:val="231F20"/>
          <w:spacing w:val="-25"/>
          <w:w w:val="105"/>
          <w:sz w:val="21"/>
        </w:rPr>
        <w:t> </w:t>
      </w:r>
      <w:r>
        <w:rPr>
          <w:color w:val="231F20"/>
          <w:w w:val="105"/>
          <w:sz w:val="21"/>
        </w:rPr>
        <w:t>Ana,</w:t>
      </w:r>
      <w:r>
        <w:rPr>
          <w:color w:val="231F20"/>
          <w:spacing w:val="-22"/>
          <w:w w:val="105"/>
          <w:sz w:val="21"/>
        </w:rPr>
        <w:t> </w:t>
      </w:r>
      <w:r>
        <w:rPr>
          <w:color w:val="231F20"/>
          <w:w w:val="105"/>
          <w:sz w:val="21"/>
        </w:rPr>
        <w:t>(2013),</w:t>
      </w:r>
      <w:r>
        <w:rPr>
          <w:color w:val="231F20"/>
          <w:spacing w:val="-22"/>
          <w:w w:val="105"/>
          <w:sz w:val="21"/>
        </w:rPr>
        <w:t> </w:t>
      </w:r>
      <w:r>
        <w:rPr>
          <w:rFonts w:ascii="Arial" w:hAnsi="Arial"/>
          <w:i/>
          <w:color w:val="231F20"/>
          <w:w w:val="105"/>
          <w:sz w:val="21"/>
        </w:rPr>
        <w:t>Nuevos</w:t>
      </w:r>
      <w:r>
        <w:rPr>
          <w:rFonts w:ascii="Arial" w:hAnsi="Arial"/>
          <w:i/>
          <w:color w:val="231F20"/>
          <w:spacing w:val="-20"/>
          <w:w w:val="105"/>
          <w:sz w:val="21"/>
        </w:rPr>
        <w:t> </w:t>
      </w:r>
      <w:r>
        <w:rPr>
          <w:rFonts w:ascii="Arial" w:hAnsi="Arial"/>
          <w:i/>
          <w:color w:val="231F20"/>
          <w:w w:val="105"/>
          <w:sz w:val="21"/>
        </w:rPr>
        <w:t>escenarios</w:t>
      </w:r>
      <w:r>
        <w:rPr>
          <w:rFonts w:ascii="Arial" w:hAnsi="Arial"/>
          <w:i/>
          <w:color w:val="231F20"/>
          <w:spacing w:val="-20"/>
          <w:w w:val="105"/>
          <w:sz w:val="21"/>
        </w:rPr>
        <w:t> </w:t>
      </w:r>
      <w:r>
        <w:rPr>
          <w:rFonts w:ascii="Arial" w:hAnsi="Arial"/>
          <w:i/>
          <w:color w:val="231F20"/>
          <w:w w:val="105"/>
          <w:sz w:val="21"/>
        </w:rPr>
        <w:t>en</w:t>
      </w:r>
      <w:r>
        <w:rPr>
          <w:rFonts w:ascii="Arial" w:hAnsi="Arial"/>
          <w:i/>
          <w:color w:val="231F20"/>
          <w:spacing w:val="-20"/>
          <w:w w:val="105"/>
          <w:sz w:val="21"/>
        </w:rPr>
        <w:t> </w:t>
      </w:r>
      <w:r>
        <w:rPr>
          <w:rFonts w:ascii="Arial" w:hAnsi="Arial"/>
          <w:i/>
          <w:color w:val="231F20"/>
          <w:w w:val="105"/>
          <w:sz w:val="21"/>
        </w:rPr>
        <w:t>los</w:t>
      </w:r>
      <w:r>
        <w:rPr>
          <w:rFonts w:ascii="Arial" w:hAnsi="Arial"/>
          <w:i/>
          <w:color w:val="231F20"/>
          <w:spacing w:val="-20"/>
          <w:w w:val="105"/>
          <w:sz w:val="21"/>
        </w:rPr>
        <w:t> </w:t>
      </w:r>
      <w:r>
        <w:rPr>
          <w:rFonts w:ascii="Arial" w:hAnsi="Arial"/>
          <w:i/>
          <w:color w:val="231F20"/>
          <w:w w:val="105"/>
          <w:sz w:val="21"/>
        </w:rPr>
        <w:t>procesos</w:t>
      </w:r>
      <w:r>
        <w:rPr>
          <w:rFonts w:ascii="Arial" w:hAnsi="Arial"/>
          <w:i/>
          <w:color w:val="231F20"/>
          <w:spacing w:val="-20"/>
          <w:w w:val="105"/>
          <w:sz w:val="21"/>
        </w:rPr>
        <w:t> </w:t>
      </w:r>
      <w:r>
        <w:rPr>
          <w:rFonts w:ascii="Arial" w:hAnsi="Arial"/>
          <w:i/>
          <w:color w:val="231F20"/>
          <w:w w:val="105"/>
          <w:sz w:val="21"/>
        </w:rPr>
        <w:t>de</w:t>
      </w:r>
      <w:r>
        <w:rPr>
          <w:rFonts w:ascii="Arial" w:hAnsi="Arial"/>
          <w:i/>
          <w:color w:val="231F20"/>
          <w:spacing w:val="-20"/>
          <w:w w:val="105"/>
          <w:sz w:val="21"/>
        </w:rPr>
        <w:t> </w:t>
      </w:r>
      <w:r>
        <w:rPr>
          <w:rFonts w:ascii="Arial" w:hAnsi="Arial"/>
          <w:i/>
          <w:color w:val="231F20"/>
          <w:w w:val="105"/>
          <w:sz w:val="21"/>
        </w:rPr>
        <w:t>organización </w:t>
      </w:r>
      <w:r>
        <w:rPr>
          <w:rFonts w:ascii="Arial" w:hAnsi="Arial"/>
          <w:i/>
          <w:color w:val="231F20"/>
          <w:w w:val="105"/>
          <w:sz w:val="21"/>
        </w:rPr>
        <w:t>social</w:t>
      </w:r>
      <w:r>
        <w:rPr>
          <w:rFonts w:ascii="Arial" w:hAnsi="Arial"/>
          <w:i/>
          <w:color w:val="231F20"/>
          <w:spacing w:val="-27"/>
          <w:w w:val="105"/>
          <w:sz w:val="21"/>
        </w:rPr>
        <w:t> </w:t>
      </w:r>
      <w:r>
        <w:rPr>
          <w:rFonts w:ascii="Arial" w:hAnsi="Arial"/>
          <w:i/>
          <w:color w:val="231F20"/>
          <w:w w:val="105"/>
          <w:sz w:val="21"/>
        </w:rPr>
        <w:t>de</w:t>
      </w:r>
      <w:r>
        <w:rPr>
          <w:rFonts w:ascii="Arial" w:hAnsi="Arial"/>
          <w:i/>
          <w:color w:val="231F20"/>
          <w:spacing w:val="-27"/>
          <w:w w:val="105"/>
          <w:sz w:val="21"/>
        </w:rPr>
        <w:t> </w:t>
      </w:r>
      <w:r>
        <w:rPr>
          <w:rFonts w:ascii="Arial" w:hAnsi="Arial"/>
          <w:i/>
          <w:color w:val="231F20"/>
          <w:w w:val="105"/>
          <w:sz w:val="21"/>
        </w:rPr>
        <w:t>la</w:t>
      </w:r>
      <w:r>
        <w:rPr>
          <w:rFonts w:ascii="Arial" w:hAnsi="Arial"/>
          <w:i/>
          <w:color w:val="231F20"/>
          <w:spacing w:val="-27"/>
          <w:w w:val="105"/>
          <w:sz w:val="21"/>
        </w:rPr>
        <w:t> </w:t>
      </w:r>
      <w:r>
        <w:rPr>
          <w:rFonts w:ascii="Arial" w:hAnsi="Arial"/>
          <w:i/>
          <w:color w:val="231F20"/>
          <w:w w:val="105"/>
          <w:sz w:val="21"/>
        </w:rPr>
        <w:t>migración</w:t>
      </w:r>
      <w:r>
        <w:rPr>
          <w:rFonts w:ascii="Arial" w:hAnsi="Arial"/>
          <w:i/>
          <w:color w:val="231F20"/>
          <w:spacing w:val="-27"/>
          <w:w w:val="105"/>
          <w:sz w:val="21"/>
        </w:rPr>
        <w:t> </w:t>
      </w:r>
      <w:r>
        <w:rPr>
          <w:rFonts w:ascii="Arial" w:hAnsi="Arial"/>
          <w:i/>
          <w:color w:val="231F20"/>
          <w:w w:val="105"/>
          <w:sz w:val="21"/>
        </w:rPr>
        <w:t>internacional</w:t>
      </w:r>
      <w:r>
        <w:rPr>
          <w:rFonts w:ascii="Arial" w:hAnsi="Arial"/>
          <w:i/>
          <w:color w:val="231F20"/>
          <w:spacing w:val="-27"/>
          <w:w w:val="105"/>
          <w:sz w:val="21"/>
        </w:rPr>
        <w:t> </w:t>
      </w:r>
      <w:r>
        <w:rPr>
          <w:rFonts w:ascii="Arial" w:hAnsi="Arial"/>
          <w:i/>
          <w:color w:val="231F20"/>
          <w:w w:val="105"/>
          <w:sz w:val="21"/>
        </w:rPr>
        <w:t>en</w:t>
      </w:r>
      <w:r>
        <w:rPr>
          <w:rFonts w:ascii="Arial" w:hAnsi="Arial"/>
          <w:i/>
          <w:color w:val="231F20"/>
          <w:spacing w:val="-27"/>
          <w:w w:val="105"/>
          <w:sz w:val="21"/>
        </w:rPr>
        <w:t> </w:t>
      </w:r>
      <w:r>
        <w:rPr>
          <w:rFonts w:ascii="Arial" w:hAnsi="Arial"/>
          <w:i/>
          <w:color w:val="231F20"/>
          <w:w w:val="105"/>
          <w:sz w:val="21"/>
        </w:rPr>
        <w:t>Las</w:t>
      </w:r>
      <w:r>
        <w:rPr>
          <w:rFonts w:ascii="Arial" w:hAnsi="Arial"/>
          <w:i/>
          <w:color w:val="231F20"/>
          <w:spacing w:val="-29"/>
          <w:w w:val="105"/>
          <w:sz w:val="21"/>
        </w:rPr>
        <w:t> </w:t>
      </w:r>
      <w:r>
        <w:rPr>
          <w:rFonts w:ascii="Arial" w:hAnsi="Arial"/>
          <w:i/>
          <w:color w:val="231F20"/>
          <w:w w:val="105"/>
          <w:sz w:val="21"/>
        </w:rPr>
        <w:t>Vueltas,</w:t>
      </w:r>
      <w:r>
        <w:rPr>
          <w:rFonts w:ascii="Arial" w:hAnsi="Arial"/>
          <w:i/>
          <w:color w:val="231F20"/>
          <w:spacing w:val="-31"/>
          <w:w w:val="105"/>
          <w:sz w:val="21"/>
        </w:rPr>
        <w:t> </w:t>
      </w:r>
      <w:r>
        <w:rPr>
          <w:rFonts w:ascii="Arial" w:hAnsi="Arial"/>
          <w:i/>
          <w:color w:val="231F20"/>
          <w:w w:val="105"/>
          <w:sz w:val="21"/>
        </w:rPr>
        <w:t>Estado</w:t>
      </w:r>
      <w:r>
        <w:rPr>
          <w:rFonts w:ascii="Arial" w:hAnsi="Arial"/>
          <w:i/>
          <w:color w:val="231F20"/>
          <w:spacing w:val="-27"/>
          <w:w w:val="105"/>
          <w:sz w:val="21"/>
        </w:rPr>
        <w:t> </w:t>
      </w:r>
      <w:r>
        <w:rPr>
          <w:rFonts w:ascii="Arial" w:hAnsi="Arial"/>
          <w:i/>
          <w:color w:val="231F20"/>
          <w:w w:val="105"/>
          <w:sz w:val="21"/>
        </w:rPr>
        <w:t>de</w:t>
      </w:r>
      <w:r>
        <w:rPr>
          <w:rFonts w:ascii="Arial" w:hAnsi="Arial"/>
          <w:i/>
          <w:color w:val="231F20"/>
          <w:spacing w:val="-27"/>
          <w:w w:val="105"/>
          <w:sz w:val="21"/>
        </w:rPr>
        <w:t> </w:t>
      </w:r>
      <w:r>
        <w:rPr>
          <w:rFonts w:ascii="Arial" w:hAnsi="Arial"/>
          <w:i/>
          <w:color w:val="231F20"/>
          <w:w w:val="105"/>
          <w:sz w:val="21"/>
        </w:rPr>
        <w:t>Mé- xico</w:t>
      </w:r>
      <w:r>
        <w:rPr>
          <w:color w:val="231F20"/>
          <w:w w:val="105"/>
          <w:sz w:val="21"/>
        </w:rPr>
        <w:t>,</w:t>
      </w:r>
      <w:r>
        <w:rPr>
          <w:color w:val="231F20"/>
          <w:spacing w:val="-26"/>
          <w:w w:val="105"/>
          <w:sz w:val="21"/>
        </w:rPr>
        <w:t> </w:t>
      </w:r>
      <w:r>
        <w:rPr>
          <w:color w:val="231F20"/>
          <w:w w:val="105"/>
          <w:sz w:val="21"/>
        </w:rPr>
        <w:t>(Tesis</w:t>
      </w:r>
      <w:r>
        <w:rPr>
          <w:color w:val="231F20"/>
          <w:spacing w:val="-22"/>
          <w:w w:val="105"/>
          <w:sz w:val="21"/>
        </w:rPr>
        <w:t> </w:t>
      </w:r>
      <w:r>
        <w:rPr>
          <w:color w:val="231F20"/>
          <w:w w:val="105"/>
          <w:sz w:val="21"/>
        </w:rPr>
        <w:t>de</w:t>
      </w:r>
      <w:r>
        <w:rPr>
          <w:color w:val="231F20"/>
          <w:spacing w:val="-22"/>
          <w:w w:val="105"/>
          <w:sz w:val="21"/>
        </w:rPr>
        <w:t> </w:t>
      </w:r>
      <w:r>
        <w:rPr>
          <w:color w:val="231F20"/>
          <w:w w:val="105"/>
          <w:sz w:val="21"/>
        </w:rPr>
        <w:t>doctorado),</w:t>
      </w:r>
      <w:r>
        <w:rPr>
          <w:color w:val="231F20"/>
          <w:spacing w:val="-26"/>
          <w:w w:val="105"/>
          <w:sz w:val="21"/>
        </w:rPr>
        <w:t> </w:t>
      </w:r>
      <w:r>
        <w:rPr>
          <w:color w:val="231F20"/>
          <w:w w:val="105"/>
          <w:sz w:val="17"/>
        </w:rPr>
        <w:t>COLMICH</w:t>
      </w:r>
      <w:r>
        <w:rPr>
          <w:color w:val="231F20"/>
          <w:w w:val="105"/>
          <w:sz w:val="21"/>
        </w:rPr>
        <w:t>,</w:t>
      </w:r>
      <w:r>
        <w:rPr>
          <w:color w:val="231F20"/>
          <w:spacing w:val="-26"/>
          <w:w w:val="105"/>
          <w:sz w:val="21"/>
        </w:rPr>
        <w:t> </w:t>
      </w:r>
      <w:r>
        <w:rPr>
          <w:color w:val="231F20"/>
          <w:w w:val="105"/>
          <w:sz w:val="21"/>
        </w:rPr>
        <w:t>Zamora,</w:t>
      </w:r>
      <w:r>
        <w:rPr>
          <w:color w:val="231F20"/>
          <w:spacing w:val="-26"/>
          <w:w w:val="105"/>
          <w:sz w:val="21"/>
        </w:rPr>
        <w:t> </w:t>
      </w:r>
      <w:r>
        <w:rPr>
          <w:color w:val="231F20"/>
          <w:w w:val="105"/>
          <w:sz w:val="21"/>
        </w:rPr>
        <w:t>México.</w:t>
      </w:r>
    </w:p>
    <w:p>
      <w:pPr>
        <w:spacing w:line="259" w:lineRule="auto" w:before="3"/>
        <w:ind w:left="2418" w:right="1809" w:hanging="738"/>
        <w:jc w:val="both"/>
        <w:rPr>
          <w:sz w:val="21"/>
        </w:rPr>
      </w:pPr>
      <w:r>
        <w:rPr>
          <w:color w:val="231F20"/>
          <w:w w:val="105"/>
          <w:sz w:val="21"/>
        </w:rPr>
        <w:t>Jardón,</w:t>
      </w:r>
      <w:r>
        <w:rPr>
          <w:color w:val="231F20"/>
          <w:spacing w:val="-36"/>
          <w:w w:val="105"/>
          <w:sz w:val="21"/>
        </w:rPr>
        <w:t> </w:t>
      </w:r>
      <w:r>
        <w:rPr>
          <w:color w:val="231F20"/>
          <w:w w:val="105"/>
          <w:sz w:val="21"/>
        </w:rPr>
        <w:t>Ana</w:t>
      </w:r>
      <w:r>
        <w:rPr>
          <w:color w:val="231F20"/>
          <w:spacing w:val="-29"/>
          <w:w w:val="105"/>
          <w:sz w:val="21"/>
        </w:rPr>
        <w:t> </w:t>
      </w:r>
      <w:r>
        <w:rPr>
          <w:color w:val="231F20"/>
          <w:w w:val="105"/>
          <w:sz w:val="21"/>
        </w:rPr>
        <w:t>y</w:t>
      </w:r>
      <w:r>
        <w:rPr>
          <w:color w:val="231F20"/>
          <w:spacing w:val="-29"/>
          <w:w w:val="105"/>
          <w:sz w:val="21"/>
        </w:rPr>
        <w:t> </w:t>
      </w:r>
      <w:r>
        <w:rPr>
          <w:color w:val="231F20"/>
          <w:w w:val="105"/>
          <w:sz w:val="21"/>
        </w:rPr>
        <w:t>Corona,</w:t>
      </w:r>
      <w:r>
        <w:rPr>
          <w:color w:val="231F20"/>
          <w:spacing w:val="-33"/>
          <w:w w:val="105"/>
          <w:sz w:val="21"/>
        </w:rPr>
        <w:t> </w:t>
      </w:r>
      <w:r>
        <w:rPr>
          <w:color w:val="231F20"/>
          <w:w w:val="105"/>
          <w:sz w:val="21"/>
        </w:rPr>
        <w:t>Rodolfo,</w:t>
      </w:r>
      <w:r>
        <w:rPr>
          <w:color w:val="231F20"/>
          <w:spacing w:val="-33"/>
          <w:w w:val="105"/>
          <w:sz w:val="21"/>
        </w:rPr>
        <w:t> </w:t>
      </w:r>
      <w:r>
        <w:rPr>
          <w:color w:val="231F20"/>
          <w:w w:val="105"/>
          <w:sz w:val="21"/>
        </w:rPr>
        <w:t>(2012),</w:t>
      </w:r>
      <w:r>
        <w:rPr>
          <w:color w:val="231F20"/>
          <w:spacing w:val="-33"/>
          <w:w w:val="105"/>
          <w:sz w:val="21"/>
        </w:rPr>
        <w:t> </w:t>
      </w:r>
      <w:r>
        <w:rPr>
          <w:color w:val="231F20"/>
          <w:w w:val="105"/>
          <w:sz w:val="21"/>
        </w:rPr>
        <w:t>“Prácticas</w:t>
      </w:r>
      <w:r>
        <w:rPr>
          <w:color w:val="231F20"/>
          <w:spacing w:val="-29"/>
          <w:w w:val="105"/>
          <w:sz w:val="21"/>
        </w:rPr>
        <w:t> </w:t>
      </w:r>
      <w:r>
        <w:rPr>
          <w:color w:val="231F20"/>
          <w:w w:val="105"/>
          <w:sz w:val="21"/>
        </w:rPr>
        <w:t>laborales</w:t>
      </w:r>
      <w:r>
        <w:rPr>
          <w:color w:val="231F20"/>
          <w:spacing w:val="-29"/>
          <w:w w:val="105"/>
          <w:sz w:val="21"/>
        </w:rPr>
        <w:t> </w:t>
      </w:r>
      <w:r>
        <w:rPr>
          <w:color w:val="231F20"/>
          <w:w w:val="105"/>
          <w:sz w:val="21"/>
        </w:rPr>
        <w:t>de</w:t>
      </w:r>
      <w:r>
        <w:rPr>
          <w:color w:val="231F20"/>
          <w:spacing w:val="-29"/>
          <w:w w:val="105"/>
          <w:sz w:val="21"/>
        </w:rPr>
        <w:t> </w:t>
      </w:r>
      <w:r>
        <w:rPr>
          <w:color w:val="231F20"/>
          <w:w w:val="105"/>
          <w:sz w:val="21"/>
        </w:rPr>
        <w:t>los</w:t>
      </w:r>
      <w:r>
        <w:rPr>
          <w:color w:val="231F20"/>
          <w:spacing w:val="-29"/>
          <w:w w:val="105"/>
          <w:sz w:val="21"/>
        </w:rPr>
        <w:t> </w:t>
      </w:r>
      <w:r>
        <w:rPr>
          <w:color w:val="231F20"/>
          <w:w w:val="105"/>
          <w:sz w:val="21"/>
        </w:rPr>
        <w:t>migran- tes laborales de origen </w:t>
      </w:r>
      <w:r>
        <w:rPr>
          <w:color w:val="231F20"/>
          <w:spacing w:val="-3"/>
          <w:w w:val="105"/>
          <w:sz w:val="21"/>
        </w:rPr>
        <w:t>mexiquense”, </w:t>
      </w:r>
      <w:r>
        <w:rPr>
          <w:color w:val="231F20"/>
          <w:w w:val="105"/>
          <w:sz w:val="21"/>
        </w:rPr>
        <w:t>en Juan González y Jaciel Montoya (coords.), </w:t>
      </w:r>
      <w:r>
        <w:rPr>
          <w:rFonts w:ascii="Arial" w:hAnsi="Arial"/>
          <w:i/>
          <w:color w:val="231F20"/>
          <w:w w:val="105"/>
          <w:sz w:val="21"/>
        </w:rPr>
        <w:t>Migración mexiquense a Estados Unidos:</w:t>
      </w:r>
      <w:r>
        <w:rPr>
          <w:rFonts w:ascii="Arial" w:hAnsi="Arial"/>
          <w:i/>
          <w:color w:val="231F20"/>
          <w:spacing w:val="-14"/>
          <w:w w:val="105"/>
          <w:sz w:val="21"/>
        </w:rPr>
        <w:t> </w:t>
      </w:r>
      <w:r>
        <w:rPr>
          <w:rFonts w:ascii="Arial" w:hAnsi="Arial"/>
          <w:i/>
          <w:color w:val="231F20"/>
          <w:w w:val="105"/>
          <w:sz w:val="21"/>
        </w:rPr>
        <w:t>un </w:t>
      </w:r>
      <w:r>
        <w:rPr>
          <w:rFonts w:ascii="Arial" w:hAnsi="Arial"/>
          <w:i/>
          <w:color w:val="231F20"/>
          <w:w w:val="105"/>
          <w:sz w:val="21"/>
        </w:rPr>
        <w:t>análisis</w:t>
      </w:r>
      <w:r>
        <w:rPr>
          <w:rFonts w:ascii="Arial" w:hAnsi="Arial"/>
          <w:i/>
          <w:color w:val="231F20"/>
          <w:spacing w:val="-43"/>
          <w:w w:val="105"/>
          <w:sz w:val="21"/>
        </w:rPr>
        <w:t> </w:t>
      </w:r>
      <w:r>
        <w:rPr>
          <w:rFonts w:ascii="Arial" w:hAnsi="Arial"/>
          <w:i/>
          <w:color w:val="231F20"/>
          <w:w w:val="105"/>
          <w:sz w:val="21"/>
        </w:rPr>
        <w:t>interdisciplinario</w:t>
      </w:r>
      <w:r>
        <w:rPr>
          <w:color w:val="231F20"/>
          <w:w w:val="105"/>
          <w:sz w:val="21"/>
        </w:rPr>
        <w:t>,</w:t>
      </w:r>
      <w:r>
        <w:rPr>
          <w:color w:val="231F20"/>
          <w:spacing w:val="-44"/>
          <w:w w:val="105"/>
          <w:sz w:val="21"/>
        </w:rPr>
        <w:t> </w:t>
      </w:r>
      <w:r>
        <w:rPr>
          <w:color w:val="231F20"/>
          <w:spacing w:val="-3"/>
          <w:w w:val="105"/>
          <w:sz w:val="21"/>
        </w:rPr>
        <w:t>Toluca,</w:t>
      </w:r>
      <w:r>
        <w:rPr>
          <w:color w:val="231F20"/>
          <w:spacing w:val="-42"/>
          <w:w w:val="105"/>
          <w:sz w:val="21"/>
        </w:rPr>
        <w:t> </w:t>
      </w:r>
      <w:r>
        <w:rPr>
          <w:color w:val="231F20"/>
          <w:w w:val="105"/>
          <w:sz w:val="21"/>
        </w:rPr>
        <w:t>México:</w:t>
      </w:r>
      <w:r>
        <w:rPr>
          <w:color w:val="231F20"/>
          <w:spacing w:val="-40"/>
          <w:w w:val="105"/>
          <w:sz w:val="21"/>
        </w:rPr>
        <w:t> </w:t>
      </w:r>
      <w:r>
        <w:rPr>
          <w:color w:val="231F20"/>
          <w:w w:val="105"/>
          <w:sz w:val="17"/>
        </w:rPr>
        <w:t>UAEM</w:t>
      </w:r>
      <w:r>
        <w:rPr>
          <w:color w:val="231F20"/>
          <w:w w:val="105"/>
          <w:sz w:val="21"/>
        </w:rPr>
        <w:t>.</w:t>
      </w:r>
    </w:p>
    <w:p>
      <w:pPr>
        <w:spacing w:line="259" w:lineRule="auto" w:before="3"/>
        <w:ind w:left="2418" w:right="1809" w:hanging="738"/>
        <w:jc w:val="both"/>
        <w:rPr>
          <w:sz w:val="21"/>
        </w:rPr>
      </w:pPr>
      <w:r>
        <w:rPr>
          <w:color w:val="231F20"/>
          <w:w w:val="105"/>
          <w:sz w:val="21"/>
        </w:rPr>
        <w:t>Jones, Richard, (1982), “Undocumented Migration from Mexico: Some Geographical </w:t>
      </w:r>
      <w:r>
        <w:rPr>
          <w:color w:val="231F20"/>
          <w:spacing w:val="-3"/>
          <w:w w:val="105"/>
          <w:sz w:val="21"/>
        </w:rPr>
        <w:t>Questions”, </w:t>
      </w:r>
      <w:r>
        <w:rPr>
          <w:rFonts w:ascii="Arial" w:hAnsi="Arial"/>
          <w:i/>
          <w:color w:val="231F20"/>
          <w:w w:val="105"/>
          <w:sz w:val="21"/>
        </w:rPr>
        <w:t>Annals of the Association of American </w:t>
      </w:r>
      <w:r>
        <w:rPr>
          <w:rFonts w:ascii="Arial" w:hAnsi="Arial"/>
          <w:i/>
          <w:color w:val="231F20"/>
          <w:w w:val="105"/>
          <w:sz w:val="21"/>
        </w:rPr>
        <w:t>Geographers</w:t>
      </w:r>
      <w:r>
        <w:rPr>
          <w:color w:val="231F20"/>
          <w:w w:val="105"/>
          <w:sz w:val="21"/>
        </w:rPr>
        <w:t>, vol. 72, núm. 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70536" from="131.551193pt,.203715pt" to="131.551193pt,36.006114pt" stroked="true" strokeweight=".35pt" strokecolor="#231f20">
            <w10:wrap type="none"/>
          </v:line>
        </w:pict>
      </w:r>
      <w:r>
        <w:rPr/>
        <w:pict>
          <v:line style="position:absolute;mso-position-horizontal-relative:page;mso-position-vertical-relative:paragraph;z-index:-470464" from="15pt,36.005917pt" to="0pt,36.005917pt" stroked="true" strokeweight=".25pt" strokecolor="#000000">
            <w10:wrap type="none"/>
          </v:line>
        </w:pict>
      </w:r>
      <w:r>
        <w:rPr/>
        <w:pict>
          <v:line style="position:absolute;mso-position-horizontal-relative:page;mso-position-vertical-relative:paragraph;z-index:19744" from="508.890015pt,36.005917pt" to="523.890015pt,36.005917pt" stroked="true" strokeweight=".25pt" strokecolor="#000000">
            <w10:wrap type="none"/>
          </v:line>
        </w:pict>
      </w:r>
      <w:r>
        <w:rPr>
          <w:rFonts w:ascii="Arial" w:hAnsi="Arial"/>
          <w:color w:val="414042"/>
          <w:w w:val="105"/>
          <w:position w:val="-5"/>
          <w:sz w:val="20"/>
        </w:rPr>
        <w:t>172</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2652" w:right="-11" w:firstLine="1110"/>
        <w:jc w:val="left"/>
        <w:rPr>
          <w:rFonts w:ascii="Lucida Sans Unicode" w:hAnsi="Lucida Sans Unicode"/>
          <w:sz w:val="14"/>
        </w:rPr>
      </w:pPr>
      <w:r>
        <w:rPr/>
        <w:pict>
          <v:line style="position:absolute;mso-position-horizontal-relative:page;mso-position-vertical-relative:paragraph;z-index:19768" from="405.061005pt,-28.381052pt" to="405.061005pt,6.484822pt" stroked="true" strokeweight=".35pt" strokecolor="#231f20">
            <w10:wrap type="none"/>
          </v:line>
        </w:pict>
      </w:r>
      <w:r>
        <w:rPr>
          <w:rFonts w:ascii="Lucida Sans Unicode" w:hAnsi="Lucida Sans Unicode"/>
          <w:color w:val="6D6E71"/>
          <w:w w:val="105"/>
          <w:sz w:val="14"/>
        </w:rPr>
        <w:t>Población</w:t>
      </w:r>
      <w:r>
        <w:rPr>
          <w:rFonts w:ascii="Lucida Sans Unicode" w:hAnsi="Lucida Sans Unicode"/>
          <w:color w:val="6D6E71"/>
          <w:spacing w:val="-16"/>
          <w:w w:val="105"/>
          <w:sz w:val="14"/>
        </w:rPr>
        <w:t> </w:t>
      </w:r>
      <w:r>
        <w:rPr>
          <w:rFonts w:ascii="Lucida Sans Unicode" w:hAnsi="Lucida Sans Unicode"/>
          <w:color w:val="6D6E71"/>
          <w:w w:val="105"/>
          <w:sz w:val="14"/>
        </w:rPr>
        <w:t>migrante</w:t>
      </w:r>
      <w:r>
        <w:rPr>
          <w:rFonts w:ascii="Lucida Sans Unicode" w:hAnsi="Lucida Sans Unicode"/>
          <w:color w:val="6D6E71"/>
          <w:spacing w:val="-16"/>
          <w:w w:val="105"/>
          <w:sz w:val="14"/>
        </w:rPr>
        <w:t> </w:t>
      </w:r>
      <w:r>
        <w:rPr>
          <w:rFonts w:ascii="Lucida Sans Unicode" w:hAnsi="Lucida Sans Unicode"/>
          <w:color w:val="6D6E71"/>
          <w:w w:val="105"/>
          <w:sz w:val="14"/>
        </w:rPr>
        <w:t>mexiquense</w:t>
      </w:r>
      <w:r>
        <w:rPr>
          <w:rFonts w:ascii="Lucida Sans Unicode" w:hAnsi="Lucida Sans Unicode"/>
          <w:color w:val="6D6E71"/>
          <w:spacing w:val="-16"/>
          <w:w w:val="105"/>
          <w:sz w:val="14"/>
        </w:rPr>
        <w:t> </w:t>
      </w:r>
      <w:r>
        <w:rPr>
          <w:rFonts w:ascii="Lucida Sans Unicode" w:hAnsi="Lucida Sans Unicode"/>
          <w:color w:val="6D6E71"/>
          <w:spacing w:val="-3"/>
          <w:w w:val="105"/>
          <w:sz w:val="14"/>
        </w:rPr>
        <w:t>devuelta</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estados</w:t>
      </w:r>
      <w:r>
        <w:rPr>
          <w:rFonts w:ascii="Lucida Sans Unicode" w:hAnsi="Lucida Sans Unicode"/>
          <w:color w:val="6D6E71"/>
          <w:spacing w:val="-16"/>
          <w:w w:val="105"/>
          <w:sz w:val="14"/>
        </w:rPr>
        <w:t> </w:t>
      </w:r>
      <w:r>
        <w:rPr>
          <w:rFonts w:ascii="Lucida Sans Unicode" w:hAnsi="Lucida Sans Unicode"/>
          <w:color w:val="6D6E71"/>
          <w:w w:val="105"/>
          <w:sz w:val="14"/>
        </w:rPr>
        <w:t>unidos: dinámica</w:t>
      </w:r>
      <w:r>
        <w:rPr>
          <w:rFonts w:ascii="Lucida Sans Unicode" w:hAnsi="Lucida Sans Unicode"/>
          <w:color w:val="6D6E71"/>
          <w:spacing w:val="-13"/>
          <w:w w:val="105"/>
          <w:sz w:val="14"/>
        </w:rPr>
        <w:t> </w:t>
      </w:r>
      <w:r>
        <w:rPr>
          <w:rFonts w:ascii="Lucida Sans Unicode" w:hAnsi="Lucida Sans Unicode"/>
          <w:color w:val="6D6E71"/>
          <w:w w:val="105"/>
          <w:sz w:val="14"/>
        </w:rPr>
        <w:t>del</w:t>
      </w:r>
      <w:r>
        <w:rPr>
          <w:rFonts w:ascii="Lucida Sans Unicode" w:hAnsi="Lucida Sans Unicode"/>
          <w:color w:val="6D6E71"/>
          <w:spacing w:val="-13"/>
          <w:w w:val="105"/>
          <w:sz w:val="14"/>
        </w:rPr>
        <w:t> </w:t>
      </w:r>
      <w:r>
        <w:rPr>
          <w:rFonts w:ascii="Lucida Sans Unicode" w:hAnsi="Lucida Sans Unicode"/>
          <w:color w:val="6D6E71"/>
          <w:w w:val="105"/>
          <w:sz w:val="14"/>
        </w:rPr>
        <w:t>flujo</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tiemPos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crisis</w:t>
      </w:r>
      <w:r>
        <w:rPr>
          <w:rFonts w:ascii="Lucida Sans Unicode" w:hAnsi="Lucida Sans Unicode"/>
          <w:color w:val="6D6E71"/>
          <w:spacing w:val="-13"/>
          <w:w w:val="105"/>
          <w:sz w:val="14"/>
        </w:rPr>
        <w:t> </w:t>
      </w:r>
      <w:r>
        <w:rPr>
          <w:rFonts w:ascii="Lucida Sans Unicode" w:hAnsi="Lucida Sans Unicode"/>
          <w:color w:val="6D6E71"/>
          <w:w w:val="105"/>
          <w:sz w:val="14"/>
        </w:rPr>
        <w:t>económica</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violencia</w:t>
      </w:r>
      <w:r>
        <w:rPr>
          <w:rFonts w:ascii="Lucida Sans Unicode" w:hAnsi="Lucida Sans Unicode"/>
          <w:color w:val="6D6E71"/>
          <w:spacing w:val="-13"/>
          <w:w w:val="105"/>
          <w:sz w:val="14"/>
        </w:rPr>
        <w:t> </w:t>
      </w:r>
      <w:r>
        <w:rPr>
          <w:rFonts w:ascii="Lucida Sans Unicode" w:hAnsi="Lucida Sans Unicode"/>
          <w:color w:val="6D6E71"/>
          <w:w w:val="105"/>
          <w:sz w:val="14"/>
        </w:rPr>
        <w:t>antiinmigrante</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19792" from="15pt,-28.286539pt" to="0pt,-28.286539pt" stroked="true" strokeweight=".25pt" strokecolor="#000000">
            <w10:wrap type="none"/>
          </v:line>
        </w:pict>
      </w:r>
      <w:r>
        <w:rPr/>
        <w:pict>
          <v:line style="position:absolute;mso-position-horizontal-relative:page;mso-position-vertical-relative:paragraph;z-index:19816" from="508.890015pt,-28.286539pt" to="523.890015pt,-28.286539pt" stroked="true" strokeweight=".25pt" strokecolor="#000000">
            <w10:wrap type="none"/>
          </v:line>
        </w:pict>
      </w:r>
      <w:r>
        <w:rPr>
          <w:rFonts w:ascii="Arial"/>
          <w:color w:val="414042"/>
          <w:sz w:val="20"/>
        </w:rPr>
        <w:t>173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70344" from="15pt,715.487793pt" to="0pt,715.487793pt" stroked="true" strokeweight=".25pt" strokecolor="#000000">
            <w10:wrap type="none"/>
          </v:line>
        </w:pict>
      </w:r>
      <w:r>
        <w:rPr/>
        <w:pict>
          <v:line style="position:absolute;mso-position-horizontal-relative:page;mso-position-vertical-relative:page;z-index:19864" from="508.890015pt,715.487793pt" to="523.890015pt,715.487793pt" stroked="true" strokeweight=".25pt" strokecolor="#000000">
            <w10:wrap type="none"/>
          </v:line>
        </w:pict>
      </w:r>
    </w:p>
    <w:p>
      <w:pPr>
        <w:pStyle w:val="BodyText"/>
        <w:spacing w:before="8"/>
        <w:rPr>
          <w:rFonts w:ascii="Arial"/>
          <w:sz w:val="18"/>
        </w:rPr>
      </w:pPr>
    </w:p>
    <w:p>
      <w:pPr>
        <w:tabs>
          <w:tab w:pos="2677" w:val="left" w:leader="none"/>
        </w:tabs>
        <w:spacing w:line="259" w:lineRule="auto" w:before="57"/>
        <w:ind w:left="2574" w:right="1715" w:hanging="738"/>
        <w:jc w:val="both"/>
        <w:rPr>
          <w:sz w:val="21"/>
        </w:rPr>
      </w:pPr>
      <w:r>
        <w:rPr>
          <w:color w:val="231F20"/>
          <w:w w:val="94"/>
          <w:sz w:val="21"/>
          <w:u w:val="single" w:color="221E1F"/>
        </w:rPr>
        <w:t> </w:t>
      </w:r>
      <w:r>
        <w:rPr>
          <w:color w:val="231F20"/>
          <w:sz w:val="21"/>
          <w:u w:val="single" w:color="221E1F"/>
        </w:rPr>
        <w:tab/>
        <w:tab/>
      </w:r>
      <w:r>
        <w:rPr>
          <w:color w:val="231F20"/>
          <w:spacing w:val="18"/>
          <w:sz w:val="21"/>
        </w:rPr>
        <w:t> </w:t>
      </w:r>
      <w:r>
        <w:rPr>
          <w:color w:val="231F20"/>
          <w:w w:val="105"/>
          <w:sz w:val="21"/>
        </w:rPr>
        <w:t>(1995),</w:t>
      </w:r>
      <w:r>
        <w:rPr>
          <w:color w:val="231F20"/>
          <w:spacing w:val="-9"/>
          <w:w w:val="105"/>
          <w:sz w:val="21"/>
        </w:rPr>
        <w:t> </w:t>
      </w:r>
      <w:r>
        <w:rPr>
          <w:rFonts w:ascii="Arial" w:hAnsi="Arial"/>
          <w:i/>
          <w:color w:val="231F20"/>
          <w:w w:val="105"/>
          <w:sz w:val="21"/>
        </w:rPr>
        <w:t>Ambivalent</w:t>
      </w:r>
      <w:r>
        <w:rPr>
          <w:rFonts w:ascii="Arial" w:hAnsi="Arial"/>
          <w:i/>
          <w:color w:val="231F20"/>
          <w:spacing w:val="-9"/>
          <w:w w:val="105"/>
          <w:sz w:val="21"/>
        </w:rPr>
        <w:t> </w:t>
      </w:r>
      <w:r>
        <w:rPr>
          <w:rFonts w:ascii="Arial" w:hAnsi="Arial"/>
          <w:i/>
          <w:color w:val="231F20"/>
          <w:w w:val="105"/>
          <w:sz w:val="21"/>
        </w:rPr>
        <w:t>Journey:</w:t>
      </w:r>
      <w:r>
        <w:rPr>
          <w:rFonts w:ascii="Arial" w:hAnsi="Arial"/>
          <w:i/>
          <w:color w:val="231F20"/>
          <w:spacing w:val="-7"/>
          <w:w w:val="105"/>
          <w:sz w:val="21"/>
        </w:rPr>
        <w:t> </w:t>
      </w:r>
      <w:r>
        <w:rPr>
          <w:rFonts w:ascii="Arial" w:hAnsi="Arial"/>
          <w:i/>
          <w:color w:val="231F20"/>
          <w:w w:val="105"/>
          <w:sz w:val="21"/>
        </w:rPr>
        <w:t>US.</w:t>
      </w:r>
      <w:r>
        <w:rPr>
          <w:rFonts w:ascii="Arial" w:hAnsi="Arial"/>
          <w:i/>
          <w:color w:val="231F20"/>
          <w:spacing w:val="-12"/>
          <w:w w:val="105"/>
          <w:sz w:val="21"/>
        </w:rPr>
        <w:t> </w:t>
      </w:r>
      <w:r>
        <w:rPr>
          <w:rFonts w:ascii="Arial" w:hAnsi="Arial"/>
          <w:i/>
          <w:color w:val="231F20"/>
          <w:w w:val="105"/>
          <w:sz w:val="21"/>
        </w:rPr>
        <w:t>Migration</w:t>
      </w:r>
      <w:r>
        <w:rPr>
          <w:rFonts w:ascii="Arial" w:hAnsi="Arial"/>
          <w:i/>
          <w:color w:val="231F20"/>
          <w:spacing w:val="-7"/>
          <w:w w:val="105"/>
          <w:sz w:val="21"/>
        </w:rPr>
        <w:t> </w:t>
      </w:r>
      <w:r>
        <w:rPr>
          <w:rFonts w:ascii="Arial" w:hAnsi="Arial"/>
          <w:i/>
          <w:color w:val="231F20"/>
          <w:w w:val="105"/>
          <w:sz w:val="21"/>
        </w:rPr>
        <w:t>and</w:t>
      </w:r>
      <w:r>
        <w:rPr>
          <w:rFonts w:ascii="Arial" w:hAnsi="Arial"/>
          <w:i/>
          <w:color w:val="231F20"/>
          <w:spacing w:val="-7"/>
          <w:w w:val="105"/>
          <w:sz w:val="21"/>
        </w:rPr>
        <w:t> </w:t>
      </w:r>
      <w:r>
        <w:rPr>
          <w:rFonts w:ascii="Arial" w:hAnsi="Arial"/>
          <w:i/>
          <w:color w:val="231F20"/>
          <w:w w:val="105"/>
          <w:sz w:val="21"/>
        </w:rPr>
        <w:t>Economic</w:t>
      </w:r>
      <w:r>
        <w:rPr>
          <w:rFonts w:ascii="Arial" w:hAnsi="Arial"/>
          <w:i/>
          <w:color w:val="231F20"/>
          <w:spacing w:val="-7"/>
          <w:w w:val="105"/>
          <w:sz w:val="21"/>
        </w:rPr>
        <w:t> </w:t>
      </w:r>
      <w:r>
        <w:rPr>
          <w:rFonts w:ascii="Arial" w:hAnsi="Arial"/>
          <w:i/>
          <w:color w:val="231F20"/>
          <w:w w:val="105"/>
          <w:sz w:val="21"/>
        </w:rPr>
        <w:t>Mo-</w:t>
      </w:r>
      <w:r>
        <w:rPr>
          <w:rFonts w:ascii="Arial" w:hAnsi="Arial"/>
          <w:i/>
          <w:color w:val="231F20"/>
          <w:w w:val="96"/>
          <w:sz w:val="21"/>
        </w:rPr>
        <w:t> </w:t>
      </w:r>
      <w:r>
        <w:rPr>
          <w:rFonts w:ascii="Arial" w:hAnsi="Arial"/>
          <w:i/>
          <w:color w:val="231F20"/>
          <w:w w:val="105"/>
          <w:sz w:val="21"/>
        </w:rPr>
        <w:t>bility</w:t>
      </w:r>
      <w:r>
        <w:rPr>
          <w:rFonts w:ascii="Arial" w:hAnsi="Arial"/>
          <w:i/>
          <w:color w:val="231F20"/>
          <w:spacing w:val="-35"/>
          <w:w w:val="105"/>
          <w:sz w:val="21"/>
        </w:rPr>
        <w:t> </w:t>
      </w:r>
      <w:r>
        <w:rPr>
          <w:rFonts w:ascii="Arial" w:hAnsi="Arial"/>
          <w:i/>
          <w:color w:val="231F20"/>
          <w:w w:val="105"/>
          <w:sz w:val="21"/>
        </w:rPr>
        <w:t>in</w:t>
      </w:r>
      <w:r>
        <w:rPr>
          <w:rFonts w:ascii="Arial" w:hAnsi="Arial"/>
          <w:i/>
          <w:color w:val="231F20"/>
          <w:spacing w:val="-35"/>
          <w:w w:val="105"/>
          <w:sz w:val="21"/>
        </w:rPr>
        <w:t> </w:t>
      </w:r>
      <w:r>
        <w:rPr>
          <w:rFonts w:ascii="Arial" w:hAnsi="Arial"/>
          <w:i/>
          <w:color w:val="231F20"/>
          <w:w w:val="105"/>
          <w:sz w:val="21"/>
        </w:rPr>
        <w:t>North-Central</w:t>
      </w:r>
      <w:r>
        <w:rPr>
          <w:rFonts w:ascii="Arial" w:hAnsi="Arial"/>
          <w:i/>
          <w:color w:val="231F20"/>
          <w:spacing w:val="-35"/>
          <w:w w:val="105"/>
          <w:sz w:val="21"/>
        </w:rPr>
        <w:t> </w:t>
      </w:r>
      <w:r>
        <w:rPr>
          <w:rFonts w:ascii="Arial" w:hAnsi="Arial"/>
          <w:i/>
          <w:color w:val="231F20"/>
          <w:w w:val="105"/>
          <w:sz w:val="21"/>
        </w:rPr>
        <w:t>México</w:t>
      </w:r>
      <w:r>
        <w:rPr>
          <w:color w:val="231F20"/>
          <w:w w:val="105"/>
          <w:sz w:val="21"/>
        </w:rPr>
        <w:t>,</w:t>
      </w:r>
      <w:r>
        <w:rPr>
          <w:color w:val="231F20"/>
          <w:spacing w:val="-38"/>
          <w:w w:val="105"/>
          <w:sz w:val="21"/>
        </w:rPr>
        <w:t> </w:t>
      </w:r>
      <w:r>
        <w:rPr>
          <w:color w:val="231F20"/>
          <w:spacing w:val="-3"/>
          <w:w w:val="105"/>
          <w:sz w:val="21"/>
        </w:rPr>
        <w:t>Tucson:</w:t>
      </w:r>
      <w:r>
        <w:rPr>
          <w:color w:val="231F20"/>
          <w:spacing w:val="-32"/>
          <w:w w:val="105"/>
          <w:sz w:val="21"/>
        </w:rPr>
        <w:t> </w:t>
      </w:r>
      <w:r>
        <w:rPr>
          <w:color w:val="231F20"/>
          <w:w w:val="105"/>
          <w:sz w:val="21"/>
        </w:rPr>
        <w:t>University</w:t>
      </w:r>
      <w:r>
        <w:rPr>
          <w:color w:val="231F20"/>
          <w:spacing w:val="-32"/>
          <w:w w:val="105"/>
          <w:sz w:val="21"/>
        </w:rPr>
        <w:t> </w:t>
      </w:r>
      <w:r>
        <w:rPr>
          <w:color w:val="231F20"/>
          <w:w w:val="105"/>
          <w:sz w:val="21"/>
        </w:rPr>
        <w:t>of</w:t>
      </w:r>
      <w:r>
        <w:rPr>
          <w:color w:val="231F20"/>
          <w:spacing w:val="-32"/>
          <w:w w:val="105"/>
          <w:sz w:val="21"/>
        </w:rPr>
        <w:t> </w:t>
      </w:r>
      <w:r>
        <w:rPr>
          <w:color w:val="231F20"/>
          <w:w w:val="105"/>
          <w:sz w:val="21"/>
        </w:rPr>
        <w:t>Arizona</w:t>
      </w:r>
      <w:r>
        <w:rPr>
          <w:color w:val="231F20"/>
          <w:spacing w:val="-32"/>
          <w:w w:val="105"/>
          <w:sz w:val="21"/>
        </w:rPr>
        <w:t> </w:t>
      </w:r>
      <w:r>
        <w:rPr>
          <w:color w:val="231F20"/>
          <w:spacing w:val="-3"/>
          <w:w w:val="105"/>
          <w:sz w:val="21"/>
        </w:rPr>
        <w:t>Press.</w:t>
      </w:r>
    </w:p>
    <w:p>
      <w:pPr>
        <w:spacing w:line="259" w:lineRule="auto" w:before="0"/>
        <w:ind w:left="2574" w:right="1715" w:hanging="738"/>
        <w:jc w:val="both"/>
        <w:rPr>
          <w:sz w:val="21"/>
        </w:rPr>
      </w:pPr>
      <w:r>
        <w:rPr>
          <w:color w:val="231F20"/>
          <w:sz w:val="21"/>
        </w:rPr>
        <w:t>Kibble, Kumar, (2010), </w:t>
      </w:r>
      <w:r>
        <w:rPr>
          <w:rFonts w:ascii="Arial"/>
          <w:i/>
          <w:color w:val="231F20"/>
          <w:sz w:val="21"/>
        </w:rPr>
        <w:t>Regarding a Hearing Worksite Enforcement before </w:t>
      </w:r>
      <w:r>
        <w:rPr>
          <w:rFonts w:ascii="Arial"/>
          <w:i/>
          <w:color w:val="231F20"/>
          <w:sz w:val="21"/>
        </w:rPr>
        <w:t>the U.S. House of Representatives Committee on the Judiciary</w:t>
      </w:r>
      <w:r>
        <w:rPr>
          <w:color w:val="231F20"/>
          <w:sz w:val="21"/>
        </w:rPr>
        <w:t>, Washington:  Department  of  Homeland Security.</w:t>
      </w:r>
    </w:p>
    <w:p>
      <w:pPr>
        <w:pStyle w:val="BodyText"/>
        <w:spacing w:line="261" w:lineRule="auto" w:before="3"/>
        <w:ind w:left="2574" w:right="1721" w:hanging="738"/>
        <w:jc w:val="both"/>
      </w:pPr>
      <w:r>
        <w:rPr>
          <w:color w:val="231F20"/>
          <w:spacing w:val="-4"/>
          <w:w w:val="105"/>
        </w:rPr>
        <w:t>Koslowski,</w:t>
      </w:r>
      <w:r>
        <w:rPr>
          <w:color w:val="231F20"/>
          <w:spacing w:val="-26"/>
          <w:w w:val="105"/>
        </w:rPr>
        <w:t> </w:t>
      </w:r>
      <w:r>
        <w:rPr>
          <w:color w:val="231F20"/>
          <w:spacing w:val="-5"/>
          <w:w w:val="105"/>
        </w:rPr>
        <w:t>Rey,</w:t>
      </w:r>
      <w:r>
        <w:rPr>
          <w:color w:val="231F20"/>
          <w:spacing w:val="-26"/>
          <w:w w:val="105"/>
        </w:rPr>
        <w:t> </w:t>
      </w:r>
      <w:r>
        <w:rPr>
          <w:color w:val="231F20"/>
          <w:spacing w:val="-3"/>
          <w:w w:val="105"/>
        </w:rPr>
        <w:t>(2011),</w:t>
      </w:r>
      <w:r>
        <w:rPr>
          <w:color w:val="231F20"/>
          <w:spacing w:val="-26"/>
          <w:w w:val="105"/>
        </w:rPr>
        <w:t> </w:t>
      </w:r>
      <w:r>
        <w:rPr>
          <w:color w:val="231F20"/>
          <w:w w:val="105"/>
        </w:rPr>
        <w:t>“The</w:t>
      </w:r>
      <w:r>
        <w:rPr>
          <w:color w:val="231F20"/>
          <w:spacing w:val="-22"/>
          <w:w w:val="105"/>
        </w:rPr>
        <w:t> </w:t>
      </w:r>
      <w:r>
        <w:rPr>
          <w:color w:val="231F20"/>
          <w:spacing w:val="-3"/>
          <w:w w:val="105"/>
        </w:rPr>
        <w:t>Evolution</w:t>
      </w:r>
      <w:r>
        <w:rPr>
          <w:color w:val="231F20"/>
          <w:spacing w:val="-22"/>
          <w:w w:val="105"/>
        </w:rPr>
        <w:t> </w:t>
      </w:r>
      <w:r>
        <w:rPr>
          <w:color w:val="231F20"/>
          <w:w w:val="105"/>
        </w:rPr>
        <w:t>of</w:t>
      </w:r>
      <w:r>
        <w:rPr>
          <w:color w:val="231F20"/>
          <w:spacing w:val="-19"/>
          <w:w w:val="105"/>
        </w:rPr>
        <w:t> </w:t>
      </w:r>
      <w:r>
        <w:rPr>
          <w:color w:val="231F20"/>
          <w:spacing w:val="-3"/>
          <w:w w:val="105"/>
        </w:rPr>
        <w:t>Border</w:t>
      </w:r>
      <w:r>
        <w:rPr>
          <w:color w:val="231F20"/>
          <w:spacing w:val="-22"/>
          <w:w w:val="105"/>
        </w:rPr>
        <w:t> </w:t>
      </w:r>
      <w:r>
        <w:rPr>
          <w:color w:val="231F20"/>
          <w:spacing w:val="-4"/>
          <w:w w:val="105"/>
        </w:rPr>
        <w:t>Controls</w:t>
      </w:r>
      <w:r>
        <w:rPr>
          <w:color w:val="231F20"/>
          <w:spacing w:val="-22"/>
          <w:w w:val="105"/>
        </w:rPr>
        <w:t> </w:t>
      </w:r>
      <w:r>
        <w:rPr>
          <w:color w:val="231F20"/>
          <w:w w:val="105"/>
        </w:rPr>
        <w:t>as</w:t>
      </w:r>
      <w:r>
        <w:rPr>
          <w:color w:val="231F20"/>
          <w:spacing w:val="-22"/>
          <w:w w:val="105"/>
        </w:rPr>
        <w:t> </w:t>
      </w:r>
      <w:r>
        <w:rPr>
          <w:color w:val="231F20"/>
          <w:w w:val="105"/>
        </w:rPr>
        <w:t>a</w:t>
      </w:r>
      <w:r>
        <w:rPr>
          <w:color w:val="231F20"/>
          <w:spacing w:val="-22"/>
          <w:w w:val="105"/>
        </w:rPr>
        <w:t> </w:t>
      </w:r>
      <w:r>
        <w:rPr>
          <w:color w:val="231F20"/>
          <w:spacing w:val="-3"/>
          <w:w w:val="105"/>
        </w:rPr>
        <w:t>Mechanism </w:t>
      </w:r>
      <w:r>
        <w:rPr>
          <w:color w:val="231F20"/>
          <w:w w:val="105"/>
        </w:rPr>
        <w:t>to</w:t>
      </w:r>
      <w:r>
        <w:rPr>
          <w:color w:val="231F20"/>
          <w:spacing w:val="-23"/>
          <w:w w:val="105"/>
        </w:rPr>
        <w:t> </w:t>
      </w:r>
      <w:r>
        <w:rPr>
          <w:color w:val="231F20"/>
          <w:spacing w:val="-5"/>
          <w:w w:val="105"/>
        </w:rPr>
        <w:t>Prevent</w:t>
      </w:r>
      <w:r>
        <w:rPr>
          <w:color w:val="231F20"/>
          <w:spacing w:val="-23"/>
          <w:w w:val="105"/>
        </w:rPr>
        <w:t> </w:t>
      </w:r>
      <w:r>
        <w:rPr>
          <w:color w:val="231F20"/>
          <w:spacing w:val="-3"/>
          <w:w w:val="105"/>
        </w:rPr>
        <w:t>Illegal</w:t>
      </w:r>
      <w:r>
        <w:rPr>
          <w:color w:val="231F20"/>
          <w:spacing w:val="-23"/>
          <w:w w:val="105"/>
        </w:rPr>
        <w:t> </w:t>
      </w:r>
      <w:r>
        <w:rPr>
          <w:color w:val="231F20"/>
          <w:spacing w:val="-5"/>
          <w:w w:val="105"/>
        </w:rPr>
        <w:t>Immigration”,</w:t>
      </w:r>
      <w:r>
        <w:rPr>
          <w:color w:val="231F20"/>
          <w:spacing w:val="-28"/>
          <w:w w:val="105"/>
        </w:rPr>
        <w:t> </w:t>
      </w:r>
      <w:r>
        <w:rPr>
          <w:color w:val="231F20"/>
          <w:w w:val="105"/>
        </w:rPr>
        <w:t>en</w:t>
      </w:r>
      <w:r>
        <w:rPr>
          <w:color w:val="231F20"/>
          <w:spacing w:val="-23"/>
          <w:w w:val="105"/>
        </w:rPr>
        <w:t> </w:t>
      </w:r>
      <w:r>
        <w:rPr>
          <w:rFonts w:ascii="Arial" w:hAnsi="Arial"/>
          <w:i/>
          <w:color w:val="231F20"/>
          <w:spacing w:val="-4"/>
          <w:w w:val="105"/>
        </w:rPr>
        <w:t>Migration</w:t>
      </w:r>
      <w:r>
        <w:rPr>
          <w:rFonts w:ascii="Arial" w:hAnsi="Arial"/>
          <w:i/>
          <w:color w:val="231F20"/>
          <w:spacing w:val="-25"/>
          <w:w w:val="105"/>
        </w:rPr>
        <w:t> </w:t>
      </w:r>
      <w:r>
        <w:rPr>
          <w:rFonts w:ascii="Arial" w:hAnsi="Arial"/>
          <w:i/>
          <w:color w:val="231F20"/>
          <w:spacing w:val="-5"/>
          <w:w w:val="105"/>
        </w:rPr>
        <w:t>Policy</w:t>
      </w:r>
      <w:r>
        <w:rPr>
          <w:color w:val="231F20"/>
          <w:spacing w:val="-5"/>
          <w:w w:val="105"/>
        </w:rPr>
        <w:t>,</w:t>
      </w:r>
      <w:r>
        <w:rPr>
          <w:color w:val="231F20"/>
          <w:spacing w:val="-31"/>
          <w:w w:val="105"/>
        </w:rPr>
        <w:t> </w:t>
      </w:r>
      <w:r>
        <w:rPr>
          <w:color w:val="231F20"/>
          <w:spacing w:val="-4"/>
          <w:w w:val="105"/>
        </w:rPr>
        <w:t>Washington:</w:t>
      </w:r>
      <w:r>
        <w:rPr>
          <w:color w:val="231F20"/>
          <w:spacing w:val="-23"/>
          <w:w w:val="105"/>
        </w:rPr>
        <w:t> </w:t>
      </w:r>
      <w:r>
        <w:rPr>
          <w:color w:val="231F20"/>
          <w:w w:val="105"/>
        </w:rPr>
        <w:t>In- </w:t>
      </w:r>
      <w:r>
        <w:rPr>
          <w:color w:val="231F20"/>
          <w:spacing w:val="-3"/>
          <w:w w:val="105"/>
        </w:rPr>
        <w:t>stitute</w:t>
      </w:r>
      <w:r>
        <w:rPr>
          <w:color w:val="231F20"/>
          <w:spacing w:val="-19"/>
          <w:w w:val="105"/>
        </w:rPr>
        <w:t> </w:t>
      </w:r>
      <w:r>
        <w:rPr>
          <w:color w:val="231F20"/>
          <w:w w:val="105"/>
        </w:rPr>
        <w:t>and</w:t>
      </w:r>
      <w:r>
        <w:rPr>
          <w:color w:val="231F20"/>
          <w:spacing w:val="-19"/>
          <w:w w:val="105"/>
        </w:rPr>
        <w:t> </w:t>
      </w:r>
      <w:r>
        <w:rPr>
          <w:color w:val="231F20"/>
          <w:spacing w:val="-4"/>
          <w:w w:val="105"/>
        </w:rPr>
        <w:t>European</w:t>
      </w:r>
      <w:r>
        <w:rPr>
          <w:color w:val="231F20"/>
          <w:spacing w:val="-19"/>
          <w:w w:val="105"/>
        </w:rPr>
        <w:t> </w:t>
      </w:r>
      <w:r>
        <w:rPr>
          <w:color w:val="231F20"/>
          <w:spacing w:val="-3"/>
          <w:w w:val="105"/>
        </w:rPr>
        <w:t>University</w:t>
      </w:r>
      <w:r>
        <w:rPr>
          <w:color w:val="231F20"/>
          <w:spacing w:val="-19"/>
          <w:w w:val="105"/>
        </w:rPr>
        <w:t> </w:t>
      </w:r>
      <w:r>
        <w:rPr>
          <w:color w:val="231F20"/>
          <w:spacing w:val="-4"/>
          <w:w w:val="105"/>
        </w:rPr>
        <w:t>Institute/Migration</w:t>
      </w:r>
      <w:r>
        <w:rPr>
          <w:color w:val="231F20"/>
          <w:spacing w:val="-19"/>
          <w:w w:val="105"/>
        </w:rPr>
        <w:t> </w:t>
      </w:r>
      <w:r>
        <w:rPr>
          <w:color w:val="231F20"/>
          <w:spacing w:val="-5"/>
          <w:w w:val="105"/>
        </w:rPr>
        <w:t>Policy</w:t>
      </w:r>
      <w:r>
        <w:rPr>
          <w:color w:val="231F20"/>
          <w:spacing w:val="-19"/>
          <w:w w:val="105"/>
        </w:rPr>
        <w:t> </w:t>
      </w:r>
      <w:r>
        <w:rPr>
          <w:color w:val="231F20"/>
          <w:spacing w:val="-3"/>
          <w:w w:val="105"/>
        </w:rPr>
        <w:t>Institute.</w:t>
      </w:r>
    </w:p>
    <w:p>
      <w:pPr>
        <w:pStyle w:val="BodyText"/>
        <w:spacing w:line="259" w:lineRule="auto" w:before="1"/>
        <w:ind w:left="2574" w:right="1721" w:hanging="738"/>
        <w:jc w:val="both"/>
      </w:pPr>
      <w:r>
        <w:rPr>
          <w:color w:val="231F20"/>
          <w:w w:val="105"/>
        </w:rPr>
        <w:t>Martin, Philip y Teitelbaum, Michael, (2001), “The Mirage of Mexican Guest Workers”, </w:t>
      </w:r>
      <w:r>
        <w:rPr>
          <w:rFonts w:ascii="Arial" w:hAnsi="Arial"/>
          <w:i/>
          <w:color w:val="231F20"/>
          <w:w w:val="105"/>
        </w:rPr>
        <w:t>Foreign Affairs</w:t>
      </w:r>
      <w:r>
        <w:rPr>
          <w:color w:val="231F20"/>
          <w:w w:val="105"/>
        </w:rPr>
        <w:t>, vol. 80, núm. 6.</w:t>
      </w:r>
    </w:p>
    <w:p>
      <w:pPr>
        <w:pStyle w:val="BodyText"/>
        <w:spacing w:line="261" w:lineRule="auto" w:before="3"/>
        <w:ind w:left="2574" w:right="1721" w:hanging="738"/>
        <w:jc w:val="both"/>
      </w:pPr>
      <w:r>
        <w:rPr>
          <w:color w:val="231F20"/>
        </w:rPr>
        <w:t>Martínez, Jorge, Reboiras, Leandro y Contrucci, Magdalena, (2010), “Cri- sis económica y migración internacional: hipótesis, visiones y consecuencias en América Latina y el Caribe”, ponencia presen- tada en el </w:t>
      </w:r>
      <w:r>
        <w:rPr>
          <w:rFonts w:ascii="Arial" w:hAnsi="Arial"/>
          <w:i/>
          <w:color w:val="231F20"/>
        </w:rPr>
        <w:t>IV Congreso de la Asociación Latinoamericana de Po- </w:t>
      </w:r>
      <w:r>
        <w:rPr>
          <w:rFonts w:ascii="Arial" w:hAnsi="Arial"/>
          <w:i/>
          <w:color w:val="231F20"/>
        </w:rPr>
        <w:t>blación</w:t>
      </w:r>
      <w:r>
        <w:rPr>
          <w:color w:val="231F20"/>
        </w:rPr>
        <w:t>, 16-19 de noviembre, La Habana,  Cuba.</w:t>
      </w:r>
    </w:p>
    <w:p>
      <w:pPr>
        <w:pStyle w:val="BodyText"/>
        <w:spacing w:line="261" w:lineRule="auto"/>
        <w:ind w:left="2574" w:right="1715" w:hanging="738"/>
        <w:jc w:val="both"/>
      </w:pPr>
      <w:r>
        <w:rPr>
          <w:color w:val="231F20"/>
          <w:w w:val="105"/>
        </w:rPr>
        <w:t>Massey, Douglas y Singer, Audrey, (1995), “New Estimates of</w:t>
      </w:r>
      <w:r>
        <w:rPr>
          <w:color w:val="231F20"/>
          <w:spacing w:val="-13"/>
          <w:w w:val="105"/>
        </w:rPr>
        <w:t> </w:t>
      </w:r>
      <w:r>
        <w:rPr>
          <w:color w:val="231F20"/>
          <w:w w:val="105"/>
        </w:rPr>
        <w:t>Undocu- mented</w:t>
      </w:r>
      <w:r>
        <w:rPr>
          <w:color w:val="231F20"/>
          <w:spacing w:val="-7"/>
          <w:w w:val="105"/>
        </w:rPr>
        <w:t> </w:t>
      </w:r>
      <w:r>
        <w:rPr>
          <w:color w:val="231F20"/>
          <w:w w:val="105"/>
        </w:rPr>
        <w:t>Mexican</w:t>
      </w:r>
      <w:r>
        <w:rPr>
          <w:color w:val="231F20"/>
          <w:spacing w:val="-7"/>
          <w:w w:val="105"/>
        </w:rPr>
        <w:t> </w:t>
      </w:r>
      <w:r>
        <w:rPr>
          <w:color w:val="231F20"/>
          <w:w w:val="105"/>
        </w:rPr>
        <w:t>Migration</w:t>
      </w:r>
      <w:r>
        <w:rPr>
          <w:color w:val="231F20"/>
          <w:spacing w:val="-7"/>
          <w:w w:val="105"/>
        </w:rPr>
        <w:t> </w:t>
      </w:r>
      <w:r>
        <w:rPr>
          <w:color w:val="231F20"/>
          <w:w w:val="105"/>
        </w:rPr>
        <w:t>and</w:t>
      </w:r>
      <w:r>
        <w:rPr>
          <w:color w:val="231F20"/>
          <w:spacing w:val="-7"/>
          <w:w w:val="105"/>
        </w:rPr>
        <w:t> </w:t>
      </w:r>
      <w:r>
        <w:rPr>
          <w:color w:val="231F20"/>
          <w:w w:val="105"/>
        </w:rPr>
        <w:t>the</w:t>
      </w:r>
      <w:r>
        <w:rPr>
          <w:color w:val="231F20"/>
          <w:spacing w:val="-7"/>
          <w:w w:val="105"/>
        </w:rPr>
        <w:t> </w:t>
      </w:r>
      <w:r>
        <w:rPr>
          <w:color w:val="231F20"/>
          <w:w w:val="105"/>
        </w:rPr>
        <w:t>Probability</w:t>
      </w:r>
      <w:r>
        <w:rPr>
          <w:color w:val="231F20"/>
          <w:spacing w:val="-7"/>
          <w:w w:val="105"/>
        </w:rPr>
        <w:t> </w:t>
      </w:r>
      <w:r>
        <w:rPr>
          <w:color w:val="231F20"/>
          <w:w w:val="105"/>
        </w:rPr>
        <w:t>of</w:t>
      </w:r>
      <w:r>
        <w:rPr>
          <w:color w:val="231F20"/>
          <w:spacing w:val="-6"/>
          <w:w w:val="105"/>
        </w:rPr>
        <w:t> </w:t>
      </w:r>
      <w:r>
        <w:rPr>
          <w:color w:val="231F20"/>
          <w:spacing w:val="-3"/>
          <w:w w:val="105"/>
        </w:rPr>
        <w:t>Apprehension”, </w:t>
      </w:r>
      <w:r>
        <w:rPr>
          <w:rFonts w:ascii="Arial" w:hAnsi="Arial"/>
          <w:i/>
          <w:color w:val="231F20"/>
          <w:w w:val="105"/>
        </w:rPr>
        <w:t>Demography</w:t>
      </w:r>
      <w:r>
        <w:rPr>
          <w:color w:val="231F20"/>
          <w:w w:val="105"/>
        </w:rPr>
        <w:t>,</w:t>
      </w:r>
      <w:r>
        <w:rPr>
          <w:color w:val="231F20"/>
          <w:spacing w:val="-24"/>
          <w:w w:val="105"/>
        </w:rPr>
        <w:t> </w:t>
      </w:r>
      <w:r>
        <w:rPr>
          <w:color w:val="231F20"/>
          <w:w w:val="105"/>
        </w:rPr>
        <w:t>vol.</w:t>
      </w:r>
      <w:r>
        <w:rPr>
          <w:color w:val="231F20"/>
          <w:spacing w:val="-24"/>
          <w:w w:val="105"/>
        </w:rPr>
        <w:t> </w:t>
      </w:r>
      <w:r>
        <w:rPr>
          <w:color w:val="231F20"/>
          <w:w w:val="105"/>
        </w:rPr>
        <w:t>32,</w:t>
      </w:r>
      <w:r>
        <w:rPr>
          <w:color w:val="231F20"/>
          <w:spacing w:val="-24"/>
          <w:w w:val="105"/>
        </w:rPr>
        <w:t> </w:t>
      </w:r>
      <w:r>
        <w:rPr>
          <w:color w:val="231F20"/>
          <w:w w:val="105"/>
        </w:rPr>
        <w:t>núm.</w:t>
      </w:r>
      <w:r>
        <w:rPr>
          <w:color w:val="231F20"/>
          <w:spacing w:val="-24"/>
          <w:w w:val="105"/>
        </w:rPr>
        <w:t> </w:t>
      </w:r>
      <w:r>
        <w:rPr>
          <w:color w:val="231F20"/>
          <w:w w:val="105"/>
        </w:rPr>
        <w:t>2.</w:t>
      </w:r>
    </w:p>
    <w:p>
      <w:pPr>
        <w:spacing w:line="259" w:lineRule="auto" w:before="0"/>
        <w:ind w:left="2574" w:right="1721" w:hanging="738"/>
        <w:jc w:val="both"/>
        <w:rPr>
          <w:sz w:val="21"/>
        </w:rPr>
      </w:pPr>
      <w:r>
        <w:rPr>
          <w:color w:val="231F20"/>
          <w:sz w:val="21"/>
        </w:rPr>
        <w:t>Massey, Douglas y Liang, Zai, (1989), “The </w:t>
      </w:r>
      <w:r>
        <w:rPr>
          <w:color w:val="231F20"/>
          <w:spacing w:val="-5"/>
          <w:sz w:val="21"/>
        </w:rPr>
        <w:t>Long-Term </w:t>
      </w:r>
      <w:r>
        <w:rPr>
          <w:color w:val="231F20"/>
          <w:sz w:val="21"/>
        </w:rPr>
        <w:t>Consequences of a </w:t>
      </w:r>
      <w:r>
        <w:rPr>
          <w:color w:val="231F20"/>
          <w:spacing w:val="-3"/>
          <w:sz w:val="21"/>
        </w:rPr>
        <w:t>Temporary </w:t>
      </w:r>
      <w:r>
        <w:rPr>
          <w:color w:val="231F20"/>
          <w:spacing w:val="-2"/>
          <w:sz w:val="21"/>
        </w:rPr>
        <w:t>Worker </w:t>
      </w:r>
      <w:r>
        <w:rPr>
          <w:color w:val="231F20"/>
          <w:spacing w:val="-3"/>
          <w:sz w:val="21"/>
        </w:rPr>
        <w:t>Program: </w:t>
      </w:r>
      <w:r>
        <w:rPr>
          <w:color w:val="231F20"/>
          <w:sz w:val="21"/>
        </w:rPr>
        <w:t>The US Bracero </w:t>
      </w:r>
      <w:r>
        <w:rPr>
          <w:color w:val="231F20"/>
          <w:spacing w:val="-3"/>
          <w:sz w:val="21"/>
        </w:rPr>
        <w:t>Experience”, </w:t>
      </w:r>
      <w:r>
        <w:rPr>
          <w:rFonts w:ascii="Arial" w:hAnsi="Arial"/>
          <w:i/>
          <w:color w:val="231F20"/>
          <w:spacing w:val="-3"/>
          <w:sz w:val="21"/>
        </w:rPr>
        <w:t>Popula- </w:t>
      </w:r>
      <w:r>
        <w:rPr>
          <w:rFonts w:ascii="Arial" w:hAnsi="Arial"/>
          <w:i/>
          <w:color w:val="231F20"/>
          <w:sz w:val="21"/>
        </w:rPr>
        <w:t>tion Research and </w:t>
      </w:r>
      <w:r>
        <w:rPr>
          <w:rFonts w:ascii="Arial" w:hAnsi="Arial"/>
          <w:i/>
          <w:color w:val="231F20"/>
          <w:spacing w:val="-3"/>
          <w:sz w:val="21"/>
        </w:rPr>
        <w:t>Policy </w:t>
      </w:r>
      <w:r>
        <w:rPr>
          <w:rFonts w:ascii="Arial" w:hAnsi="Arial"/>
          <w:i/>
          <w:color w:val="231F20"/>
          <w:sz w:val="21"/>
        </w:rPr>
        <w:t>Review</w:t>
      </w:r>
      <w:r>
        <w:rPr>
          <w:color w:val="231F20"/>
          <w:sz w:val="21"/>
        </w:rPr>
        <w:t>, vol. 8, núm. 3.</w:t>
      </w:r>
    </w:p>
    <w:p>
      <w:pPr>
        <w:spacing w:line="259" w:lineRule="auto" w:before="0"/>
        <w:ind w:left="2574" w:right="1721" w:hanging="738"/>
        <w:jc w:val="both"/>
        <w:rPr>
          <w:sz w:val="21"/>
        </w:rPr>
      </w:pPr>
      <w:r>
        <w:rPr>
          <w:color w:val="231F20"/>
          <w:w w:val="105"/>
          <w:sz w:val="21"/>
        </w:rPr>
        <w:t>Massey,</w:t>
      </w:r>
      <w:r>
        <w:rPr>
          <w:color w:val="231F20"/>
          <w:spacing w:val="-14"/>
          <w:w w:val="105"/>
          <w:sz w:val="21"/>
        </w:rPr>
        <w:t> </w:t>
      </w:r>
      <w:r>
        <w:rPr>
          <w:color w:val="231F20"/>
          <w:w w:val="105"/>
          <w:sz w:val="21"/>
        </w:rPr>
        <w:t>Douglas,</w:t>
      </w:r>
      <w:r>
        <w:rPr>
          <w:color w:val="231F20"/>
          <w:spacing w:val="-14"/>
          <w:w w:val="105"/>
          <w:sz w:val="21"/>
        </w:rPr>
        <w:t> </w:t>
      </w:r>
      <w:r>
        <w:rPr>
          <w:color w:val="231F20"/>
          <w:w w:val="105"/>
          <w:sz w:val="21"/>
        </w:rPr>
        <w:t>Durand,</w:t>
      </w:r>
      <w:r>
        <w:rPr>
          <w:color w:val="231F20"/>
          <w:spacing w:val="-16"/>
          <w:w w:val="105"/>
          <w:sz w:val="21"/>
        </w:rPr>
        <w:t> </w:t>
      </w:r>
      <w:r>
        <w:rPr>
          <w:color w:val="231F20"/>
          <w:w w:val="105"/>
          <w:sz w:val="21"/>
        </w:rPr>
        <w:t>Jorge</w:t>
      </w:r>
      <w:r>
        <w:rPr>
          <w:color w:val="231F20"/>
          <w:spacing w:val="-10"/>
          <w:w w:val="105"/>
          <w:sz w:val="21"/>
        </w:rPr>
        <w:t> </w:t>
      </w:r>
      <w:r>
        <w:rPr>
          <w:color w:val="231F20"/>
          <w:w w:val="105"/>
          <w:sz w:val="21"/>
        </w:rPr>
        <w:t>y</w:t>
      </w:r>
      <w:r>
        <w:rPr>
          <w:color w:val="231F20"/>
          <w:spacing w:val="-10"/>
          <w:w w:val="105"/>
          <w:sz w:val="21"/>
        </w:rPr>
        <w:t> </w:t>
      </w:r>
      <w:r>
        <w:rPr>
          <w:color w:val="231F20"/>
          <w:w w:val="105"/>
          <w:sz w:val="21"/>
        </w:rPr>
        <w:t>Malone,</w:t>
      </w:r>
      <w:r>
        <w:rPr>
          <w:color w:val="231F20"/>
          <w:spacing w:val="-14"/>
          <w:w w:val="105"/>
          <w:sz w:val="21"/>
        </w:rPr>
        <w:t> </w:t>
      </w:r>
      <w:r>
        <w:rPr>
          <w:color w:val="231F20"/>
          <w:w w:val="105"/>
          <w:sz w:val="21"/>
        </w:rPr>
        <w:t>Nolan,</w:t>
      </w:r>
      <w:r>
        <w:rPr>
          <w:color w:val="231F20"/>
          <w:spacing w:val="-14"/>
          <w:w w:val="105"/>
          <w:sz w:val="21"/>
        </w:rPr>
        <w:t> </w:t>
      </w:r>
      <w:r>
        <w:rPr>
          <w:color w:val="231F20"/>
          <w:w w:val="105"/>
          <w:sz w:val="21"/>
        </w:rPr>
        <w:t>(2009a),</w:t>
      </w:r>
      <w:r>
        <w:rPr>
          <w:color w:val="231F20"/>
          <w:spacing w:val="-14"/>
          <w:w w:val="105"/>
          <w:sz w:val="21"/>
        </w:rPr>
        <w:t> </w:t>
      </w:r>
      <w:r>
        <w:rPr>
          <w:rFonts w:ascii="Arial" w:hAnsi="Arial"/>
          <w:i/>
          <w:color w:val="231F20"/>
          <w:w w:val="105"/>
          <w:sz w:val="21"/>
        </w:rPr>
        <w:t>Detrás</w:t>
      </w:r>
      <w:r>
        <w:rPr>
          <w:rFonts w:ascii="Arial" w:hAnsi="Arial"/>
          <w:i/>
          <w:color w:val="231F20"/>
          <w:spacing w:val="-13"/>
          <w:w w:val="105"/>
          <w:sz w:val="21"/>
        </w:rPr>
        <w:t> </w:t>
      </w:r>
      <w:r>
        <w:rPr>
          <w:rFonts w:ascii="Arial" w:hAnsi="Arial"/>
          <w:i/>
          <w:color w:val="231F20"/>
          <w:w w:val="105"/>
          <w:sz w:val="21"/>
        </w:rPr>
        <w:t>de</w:t>
      </w:r>
      <w:r>
        <w:rPr>
          <w:rFonts w:ascii="Arial" w:hAnsi="Arial"/>
          <w:i/>
          <w:color w:val="231F20"/>
          <w:spacing w:val="-13"/>
          <w:w w:val="105"/>
          <w:sz w:val="21"/>
        </w:rPr>
        <w:t> </w:t>
      </w:r>
      <w:r>
        <w:rPr>
          <w:rFonts w:ascii="Arial" w:hAnsi="Arial"/>
          <w:i/>
          <w:color w:val="231F20"/>
          <w:w w:val="105"/>
          <w:sz w:val="21"/>
        </w:rPr>
        <w:t>la </w:t>
      </w:r>
      <w:r>
        <w:rPr>
          <w:rFonts w:ascii="Arial" w:hAnsi="Arial"/>
          <w:i/>
          <w:color w:val="231F20"/>
          <w:w w:val="105"/>
          <w:sz w:val="21"/>
        </w:rPr>
        <w:t>trama.</w:t>
      </w:r>
      <w:r>
        <w:rPr>
          <w:rFonts w:ascii="Arial" w:hAnsi="Arial"/>
          <w:i/>
          <w:color w:val="231F20"/>
          <w:spacing w:val="-38"/>
          <w:w w:val="105"/>
          <w:sz w:val="21"/>
        </w:rPr>
        <w:t> </w:t>
      </w:r>
      <w:r>
        <w:rPr>
          <w:rFonts w:ascii="Arial" w:hAnsi="Arial"/>
          <w:i/>
          <w:color w:val="231F20"/>
          <w:w w:val="105"/>
          <w:sz w:val="21"/>
        </w:rPr>
        <w:t>Políticas</w:t>
      </w:r>
      <w:r>
        <w:rPr>
          <w:rFonts w:ascii="Arial" w:hAnsi="Arial"/>
          <w:i/>
          <w:color w:val="231F20"/>
          <w:spacing w:val="-34"/>
          <w:w w:val="105"/>
          <w:sz w:val="21"/>
        </w:rPr>
        <w:t> </w:t>
      </w:r>
      <w:r>
        <w:rPr>
          <w:rFonts w:ascii="Arial" w:hAnsi="Arial"/>
          <w:i/>
          <w:color w:val="231F20"/>
          <w:w w:val="105"/>
          <w:sz w:val="21"/>
        </w:rPr>
        <w:t>migratorias</w:t>
      </w:r>
      <w:r>
        <w:rPr>
          <w:rFonts w:ascii="Arial" w:hAnsi="Arial"/>
          <w:i/>
          <w:color w:val="231F20"/>
          <w:spacing w:val="-34"/>
          <w:w w:val="105"/>
          <w:sz w:val="21"/>
        </w:rPr>
        <w:t> </w:t>
      </w:r>
      <w:r>
        <w:rPr>
          <w:rFonts w:ascii="Arial" w:hAnsi="Arial"/>
          <w:i/>
          <w:color w:val="231F20"/>
          <w:w w:val="105"/>
          <w:sz w:val="21"/>
        </w:rPr>
        <w:t>entre</w:t>
      </w:r>
      <w:r>
        <w:rPr>
          <w:rFonts w:ascii="Arial" w:hAnsi="Arial"/>
          <w:i/>
          <w:color w:val="231F20"/>
          <w:spacing w:val="-34"/>
          <w:w w:val="105"/>
          <w:sz w:val="21"/>
        </w:rPr>
        <w:t> </w:t>
      </w:r>
      <w:r>
        <w:rPr>
          <w:rFonts w:ascii="Arial" w:hAnsi="Arial"/>
          <w:i/>
          <w:color w:val="231F20"/>
          <w:w w:val="105"/>
          <w:sz w:val="21"/>
        </w:rPr>
        <w:t>México</w:t>
      </w:r>
      <w:r>
        <w:rPr>
          <w:rFonts w:ascii="Arial" w:hAnsi="Arial"/>
          <w:i/>
          <w:color w:val="231F20"/>
          <w:spacing w:val="-34"/>
          <w:w w:val="105"/>
          <w:sz w:val="21"/>
        </w:rPr>
        <w:t> </w:t>
      </w:r>
      <w:r>
        <w:rPr>
          <w:rFonts w:ascii="Arial" w:hAnsi="Arial"/>
          <w:i/>
          <w:color w:val="231F20"/>
          <w:w w:val="105"/>
          <w:sz w:val="21"/>
        </w:rPr>
        <w:t>y</w:t>
      </w:r>
      <w:r>
        <w:rPr>
          <w:rFonts w:ascii="Arial" w:hAnsi="Arial"/>
          <w:i/>
          <w:color w:val="231F20"/>
          <w:spacing w:val="-34"/>
          <w:w w:val="105"/>
          <w:sz w:val="21"/>
        </w:rPr>
        <w:t> </w:t>
      </w:r>
      <w:r>
        <w:rPr>
          <w:rFonts w:ascii="Arial" w:hAnsi="Arial"/>
          <w:i/>
          <w:color w:val="231F20"/>
          <w:w w:val="105"/>
          <w:sz w:val="21"/>
        </w:rPr>
        <w:t>Estados</w:t>
      </w:r>
      <w:r>
        <w:rPr>
          <w:rFonts w:ascii="Arial" w:hAnsi="Arial"/>
          <w:i/>
          <w:color w:val="231F20"/>
          <w:spacing w:val="-34"/>
          <w:w w:val="105"/>
          <w:sz w:val="21"/>
        </w:rPr>
        <w:t> </w:t>
      </w:r>
      <w:r>
        <w:rPr>
          <w:rFonts w:ascii="Arial" w:hAnsi="Arial"/>
          <w:i/>
          <w:color w:val="231F20"/>
          <w:w w:val="105"/>
          <w:sz w:val="21"/>
        </w:rPr>
        <w:t>Unidos</w:t>
      </w:r>
      <w:r>
        <w:rPr>
          <w:color w:val="231F20"/>
          <w:w w:val="105"/>
          <w:sz w:val="21"/>
        </w:rPr>
        <w:t>,</w:t>
      </w:r>
      <w:r>
        <w:rPr>
          <w:color w:val="231F20"/>
          <w:spacing w:val="-35"/>
          <w:w w:val="105"/>
          <w:sz w:val="21"/>
        </w:rPr>
        <w:t> </w:t>
      </w:r>
      <w:r>
        <w:rPr>
          <w:color w:val="231F20"/>
          <w:w w:val="105"/>
          <w:sz w:val="21"/>
        </w:rPr>
        <w:t>Zaca- tecas,</w:t>
      </w:r>
      <w:r>
        <w:rPr>
          <w:color w:val="231F20"/>
          <w:spacing w:val="-26"/>
          <w:w w:val="105"/>
          <w:sz w:val="21"/>
        </w:rPr>
        <w:t> </w:t>
      </w:r>
      <w:r>
        <w:rPr>
          <w:color w:val="231F20"/>
          <w:w w:val="105"/>
          <w:sz w:val="21"/>
        </w:rPr>
        <w:t>México:</w:t>
      </w:r>
      <w:r>
        <w:rPr>
          <w:color w:val="231F20"/>
          <w:spacing w:val="-21"/>
          <w:w w:val="105"/>
          <w:sz w:val="21"/>
        </w:rPr>
        <w:t> </w:t>
      </w:r>
      <w:r>
        <w:rPr>
          <w:color w:val="231F20"/>
          <w:w w:val="105"/>
          <w:sz w:val="17"/>
        </w:rPr>
        <w:t>UAZ</w:t>
      </w:r>
      <w:r>
        <w:rPr>
          <w:color w:val="231F20"/>
          <w:w w:val="105"/>
          <w:sz w:val="21"/>
        </w:rPr>
        <w:t>/Miguel</w:t>
      </w:r>
      <w:r>
        <w:rPr>
          <w:color w:val="231F20"/>
          <w:spacing w:val="-24"/>
          <w:w w:val="105"/>
          <w:sz w:val="21"/>
        </w:rPr>
        <w:t> </w:t>
      </w:r>
      <w:r>
        <w:rPr>
          <w:color w:val="231F20"/>
          <w:w w:val="105"/>
          <w:sz w:val="21"/>
        </w:rPr>
        <w:t>Ángel</w:t>
      </w:r>
      <w:r>
        <w:rPr>
          <w:color w:val="231F20"/>
          <w:spacing w:val="-21"/>
          <w:w w:val="105"/>
          <w:sz w:val="21"/>
        </w:rPr>
        <w:t> </w:t>
      </w:r>
      <w:r>
        <w:rPr>
          <w:color w:val="231F20"/>
          <w:spacing w:val="-3"/>
          <w:w w:val="105"/>
          <w:sz w:val="21"/>
        </w:rPr>
        <w:t>Porrúa.</w:t>
      </w:r>
    </w:p>
    <w:p>
      <w:pPr>
        <w:pStyle w:val="BodyText"/>
        <w:spacing w:line="261" w:lineRule="auto" w:before="3"/>
        <w:ind w:left="2574" w:right="1725" w:hanging="738"/>
        <w:jc w:val="both"/>
      </w:pPr>
      <w:r>
        <w:rPr>
          <w:color w:val="231F20"/>
          <w:spacing w:val="-6"/>
        </w:rPr>
        <w:t>Massey, </w:t>
      </w:r>
      <w:r>
        <w:rPr>
          <w:color w:val="231F20"/>
          <w:spacing w:val="-5"/>
        </w:rPr>
        <w:t>Douglas, </w:t>
      </w:r>
      <w:r>
        <w:rPr>
          <w:color w:val="231F20"/>
          <w:spacing w:val="-7"/>
        </w:rPr>
        <w:t>Pren, </w:t>
      </w:r>
      <w:r>
        <w:rPr>
          <w:color w:val="231F20"/>
          <w:spacing w:val="-5"/>
        </w:rPr>
        <w:t>Karen </w:t>
      </w:r>
      <w:r>
        <w:rPr>
          <w:color w:val="231F20"/>
        </w:rPr>
        <w:t>y </w:t>
      </w:r>
      <w:r>
        <w:rPr>
          <w:color w:val="231F20"/>
          <w:spacing w:val="-5"/>
        </w:rPr>
        <w:t>Durand, Jorge, (2009b), “Nuevos escenarios </w:t>
      </w:r>
      <w:r>
        <w:rPr>
          <w:color w:val="231F20"/>
          <w:spacing w:val="-3"/>
        </w:rPr>
        <w:t>de la </w:t>
      </w:r>
      <w:r>
        <w:rPr>
          <w:color w:val="231F20"/>
          <w:spacing w:val="-5"/>
        </w:rPr>
        <w:t>migración México-Estados Unidos. </w:t>
      </w:r>
      <w:r>
        <w:rPr>
          <w:color w:val="231F20"/>
          <w:spacing w:val="-4"/>
        </w:rPr>
        <w:t>Las </w:t>
      </w:r>
      <w:r>
        <w:rPr>
          <w:color w:val="231F20"/>
          <w:spacing w:val="-5"/>
        </w:rPr>
        <w:t>consecuencias </w:t>
      </w:r>
      <w:r>
        <w:rPr>
          <w:color w:val="231F20"/>
          <w:spacing w:val="-3"/>
        </w:rPr>
        <w:t>de </w:t>
      </w:r>
      <w:r>
        <w:rPr>
          <w:color w:val="231F20"/>
          <w:spacing w:val="-5"/>
        </w:rPr>
        <w:t>la guerra </w:t>
      </w:r>
      <w:r>
        <w:rPr>
          <w:color w:val="231F20"/>
          <w:spacing w:val="-7"/>
        </w:rPr>
        <w:t>antinmigrante”, </w:t>
      </w:r>
      <w:r>
        <w:rPr>
          <w:rFonts w:ascii="Arial" w:hAnsi="Arial"/>
          <w:i/>
          <w:color w:val="231F20"/>
          <w:spacing w:val="-6"/>
        </w:rPr>
        <w:t>Papeles </w:t>
      </w:r>
      <w:r>
        <w:rPr>
          <w:rFonts w:ascii="Arial" w:hAnsi="Arial"/>
          <w:i/>
          <w:color w:val="231F20"/>
          <w:spacing w:val="-3"/>
        </w:rPr>
        <w:t>de </w:t>
      </w:r>
      <w:r>
        <w:rPr>
          <w:rFonts w:ascii="Arial" w:hAnsi="Arial"/>
          <w:i/>
          <w:color w:val="231F20"/>
          <w:spacing w:val="-6"/>
        </w:rPr>
        <w:t>Población</w:t>
      </w:r>
      <w:r>
        <w:rPr>
          <w:color w:val="231F20"/>
          <w:spacing w:val="-6"/>
        </w:rPr>
        <w:t>, </w:t>
      </w:r>
      <w:r>
        <w:rPr>
          <w:color w:val="231F20"/>
          <w:spacing w:val="-4"/>
        </w:rPr>
        <w:t>vol. 15, núm.  </w:t>
      </w:r>
      <w:r>
        <w:rPr>
          <w:color w:val="231F20"/>
          <w:spacing w:val="-5"/>
        </w:rPr>
        <w:t>61.</w:t>
      </w:r>
    </w:p>
    <w:p>
      <w:pPr>
        <w:spacing w:line="261" w:lineRule="auto" w:before="0"/>
        <w:ind w:left="2574" w:right="1721" w:hanging="737"/>
        <w:jc w:val="both"/>
        <w:rPr>
          <w:sz w:val="21"/>
        </w:rPr>
      </w:pPr>
      <w:r>
        <w:rPr>
          <w:color w:val="231F20"/>
          <w:w w:val="105"/>
          <w:sz w:val="21"/>
        </w:rPr>
        <w:t>Mendoza,</w:t>
      </w:r>
      <w:r>
        <w:rPr>
          <w:color w:val="231F20"/>
          <w:spacing w:val="-18"/>
          <w:w w:val="105"/>
          <w:sz w:val="21"/>
        </w:rPr>
        <w:t> </w:t>
      </w:r>
      <w:r>
        <w:rPr>
          <w:color w:val="231F20"/>
          <w:w w:val="105"/>
          <w:sz w:val="21"/>
        </w:rPr>
        <w:t>Eduardo,</w:t>
      </w:r>
      <w:r>
        <w:rPr>
          <w:color w:val="231F20"/>
          <w:spacing w:val="-18"/>
          <w:w w:val="105"/>
          <w:sz w:val="21"/>
        </w:rPr>
        <w:t> </w:t>
      </w:r>
      <w:r>
        <w:rPr>
          <w:color w:val="231F20"/>
          <w:w w:val="105"/>
          <w:sz w:val="21"/>
        </w:rPr>
        <w:t>(2010),</w:t>
      </w:r>
      <w:r>
        <w:rPr>
          <w:color w:val="231F20"/>
          <w:spacing w:val="-18"/>
          <w:w w:val="105"/>
          <w:sz w:val="21"/>
        </w:rPr>
        <w:t> </w:t>
      </w:r>
      <w:r>
        <w:rPr>
          <w:rFonts w:ascii="Arial" w:hAnsi="Arial"/>
          <w:i/>
          <w:color w:val="231F20"/>
          <w:w w:val="105"/>
          <w:sz w:val="21"/>
        </w:rPr>
        <w:t>Recesión</w:t>
      </w:r>
      <w:r>
        <w:rPr>
          <w:rFonts w:ascii="Arial" w:hAnsi="Arial"/>
          <w:i/>
          <w:color w:val="231F20"/>
          <w:spacing w:val="-17"/>
          <w:w w:val="105"/>
          <w:sz w:val="21"/>
        </w:rPr>
        <w:t> </w:t>
      </w:r>
      <w:r>
        <w:rPr>
          <w:rFonts w:ascii="Arial" w:hAnsi="Arial"/>
          <w:i/>
          <w:color w:val="231F20"/>
          <w:w w:val="105"/>
          <w:sz w:val="21"/>
        </w:rPr>
        <w:t>económica,</w:t>
      </w:r>
      <w:r>
        <w:rPr>
          <w:rFonts w:ascii="Arial" w:hAnsi="Arial"/>
          <w:i/>
          <w:color w:val="231F20"/>
          <w:spacing w:val="-21"/>
          <w:w w:val="105"/>
          <w:sz w:val="21"/>
        </w:rPr>
        <w:t> </w:t>
      </w:r>
      <w:r>
        <w:rPr>
          <w:rFonts w:ascii="Arial" w:hAnsi="Arial"/>
          <w:i/>
          <w:color w:val="231F20"/>
          <w:w w:val="105"/>
          <w:sz w:val="21"/>
        </w:rPr>
        <w:t>desempleo</w:t>
      </w:r>
      <w:r>
        <w:rPr>
          <w:rFonts w:ascii="Arial" w:hAnsi="Arial"/>
          <w:i/>
          <w:color w:val="231F20"/>
          <w:spacing w:val="-17"/>
          <w:w w:val="105"/>
          <w:sz w:val="21"/>
        </w:rPr>
        <w:t> </w:t>
      </w:r>
      <w:r>
        <w:rPr>
          <w:rFonts w:ascii="Arial" w:hAnsi="Arial"/>
          <w:i/>
          <w:color w:val="231F20"/>
          <w:w w:val="105"/>
          <w:sz w:val="21"/>
        </w:rPr>
        <w:t>y</w:t>
      </w:r>
      <w:r>
        <w:rPr>
          <w:rFonts w:ascii="Arial" w:hAnsi="Arial"/>
          <w:i/>
          <w:color w:val="231F20"/>
          <w:spacing w:val="-17"/>
          <w:w w:val="105"/>
          <w:sz w:val="21"/>
        </w:rPr>
        <w:t> </w:t>
      </w:r>
      <w:r>
        <w:rPr>
          <w:rFonts w:ascii="Arial" w:hAnsi="Arial"/>
          <w:i/>
          <w:color w:val="231F20"/>
          <w:w w:val="105"/>
          <w:sz w:val="21"/>
        </w:rPr>
        <w:t>cambios </w:t>
      </w:r>
      <w:r>
        <w:rPr>
          <w:rFonts w:ascii="Arial" w:hAnsi="Arial"/>
          <w:i/>
          <w:color w:val="231F20"/>
          <w:w w:val="105"/>
          <w:sz w:val="21"/>
        </w:rPr>
        <w:t>en</w:t>
      </w:r>
      <w:r>
        <w:rPr>
          <w:rFonts w:ascii="Arial" w:hAnsi="Arial"/>
          <w:i/>
          <w:color w:val="231F20"/>
          <w:spacing w:val="-29"/>
          <w:w w:val="105"/>
          <w:sz w:val="21"/>
        </w:rPr>
        <w:t> </w:t>
      </w:r>
      <w:r>
        <w:rPr>
          <w:rFonts w:ascii="Arial" w:hAnsi="Arial"/>
          <w:i/>
          <w:color w:val="231F20"/>
          <w:w w:val="105"/>
          <w:sz w:val="21"/>
        </w:rPr>
        <w:t>los</w:t>
      </w:r>
      <w:r>
        <w:rPr>
          <w:rFonts w:ascii="Arial" w:hAnsi="Arial"/>
          <w:i/>
          <w:color w:val="231F20"/>
          <w:spacing w:val="-29"/>
          <w:w w:val="105"/>
          <w:sz w:val="21"/>
        </w:rPr>
        <w:t> </w:t>
      </w:r>
      <w:r>
        <w:rPr>
          <w:rFonts w:ascii="Arial" w:hAnsi="Arial"/>
          <w:i/>
          <w:color w:val="231F20"/>
          <w:w w:val="105"/>
          <w:sz w:val="21"/>
        </w:rPr>
        <w:t>flujos</w:t>
      </w:r>
      <w:r>
        <w:rPr>
          <w:rFonts w:ascii="Arial" w:hAnsi="Arial"/>
          <w:i/>
          <w:color w:val="231F20"/>
          <w:spacing w:val="-29"/>
          <w:w w:val="105"/>
          <w:sz w:val="21"/>
        </w:rPr>
        <w:t> </w:t>
      </w:r>
      <w:r>
        <w:rPr>
          <w:rFonts w:ascii="Arial" w:hAnsi="Arial"/>
          <w:i/>
          <w:color w:val="231F20"/>
          <w:w w:val="105"/>
          <w:sz w:val="21"/>
        </w:rPr>
        <w:t>migratorios</w:t>
      </w:r>
      <w:r>
        <w:rPr>
          <w:rFonts w:ascii="Arial" w:hAnsi="Arial"/>
          <w:i/>
          <w:color w:val="231F20"/>
          <w:spacing w:val="-29"/>
          <w:w w:val="105"/>
          <w:sz w:val="21"/>
        </w:rPr>
        <w:t> </w:t>
      </w:r>
      <w:r>
        <w:rPr>
          <w:rFonts w:ascii="Arial" w:hAnsi="Arial"/>
          <w:i/>
          <w:color w:val="231F20"/>
          <w:w w:val="105"/>
          <w:sz w:val="21"/>
        </w:rPr>
        <w:t>de</w:t>
      </w:r>
      <w:r>
        <w:rPr>
          <w:rFonts w:ascii="Arial" w:hAnsi="Arial"/>
          <w:i/>
          <w:color w:val="231F20"/>
          <w:spacing w:val="-29"/>
          <w:w w:val="105"/>
          <w:sz w:val="21"/>
        </w:rPr>
        <w:t> </w:t>
      </w:r>
      <w:r>
        <w:rPr>
          <w:rFonts w:ascii="Arial" w:hAnsi="Arial"/>
          <w:i/>
          <w:color w:val="231F20"/>
          <w:w w:val="105"/>
          <w:sz w:val="21"/>
        </w:rPr>
        <w:t>México</w:t>
      </w:r>
      <w:r>
        <w:rPr>
          <w:rFonts w:ascii="Arial" w:hAnsi="Arial"/>
          <w:i/>
          <w:color w:val="231F20"/>
          <w:spacing w:val="-29"/>
          <w:w w:val="105"/>
          <w:sz w:val="21"/>
        </w:rPr>
        <w:t> </w:t>
      </w:r>
      <w:r>
        <w:rPr>
          <w:rFonts w:ascii="Arial" w:hAnsi="Arial"/>
          <w:i/>
          <w:color w:val="231F20"/>
          <w:w w:val="105"/>
          <w:sz w:val="21"/>
        </w:rPr>
        <w:t>hacia</w:t>
      </w:r>
      <w:r>
        <w:rPr>
          <w:rFonts w:ascii="Arial" w:hAnsi="Arial"/>
          <w:i/>
          <w:color w:val="231F20"/>
          <w:spacing w:val="-29"/>
          <w:w w:val="105"/>
          <w:sz w:val="21"/>
        </w:rPr>
        <w:t> </w:t>
      </w:r>
      <w:r>
        <w:rPr>
          <w:rFonts w:ascii="Arial" w:hAnsi="Arial"/>
          <w:i/>
          <w:color w:val="231F20"/>
          <w:w w:val="105"/>
          <w:sz w:val="21"/>
        </w:rPr>
        <w:t>los</w:t>
      </w:r>
      <w:r>
        <w:rPr>
          <w:rFonts w:ascii="Arial" w:hAnsi="Arial"/>
          <w:i/>
          <w:color w:val="231F20"/>
          <w:spacing w:val="-29"/>
          <w:w w:val="105"/>
          <w:sz w:val="21"/>
        </w:rPr>
        <w:t> </w:t>
      </w:r>
      <w:r>
        <w:rPr>
          <w:rFonts w:ascii="Arial" w:hAnsi="Arial"/>
          <w:i/>
          <w:color w:val="231F20"/>
          <w:w w:val="105"/>
          <w:sz w:val="17"/>
        </w:rPr>
        <w:t>EUA</w:t>
      </w:r>
      <w:r>
        <w:rPr>
          <w:color w:val="231F20"/>
          <w:w w:val="105"/>
          <w:sz w:val="21"/>
        </w:rPr>
        <w:t>,</w:t>
      </w:r>
      <w:r>
        <w:rPr>
          <w:color w:val="231F20"/>
          <w:spacing w:val="-34"/>
          <w:w w:val="105"/>
          <w:sz w:val="21"/>
        </w:rPr>
        <w:t> </w:t>
      </w:r>
      <w:r>
        <w:rPr>
          <w:color w:val="231F20"/>
          <w:w w:val="105"/>
          <w:sz w:val="21"/>
        </w:rPr>
        <w:t>Tijuana,</w:t>
      </w:r>
      <w:r>
        <w:rPr>
          <w:color w:val="231F20"/>
          <w:spacing w:val="-31"/>
          <w:w w:val="105"/>
          <w:sz w:val="21"/>
        </w:rPr>
        <w:t> </w:t>
      </w:r>
      <w:r>
        <w:rPr>
          <w:color w:val="231F20"/>
          <w:w w:val="105"/>
          <w:sz w:val="21"/>
        </w:rPr>
        <w:t>México: El Colegio de la Frontera Norte/Departamento de Estudios</w:t>
      </w:r>
      <w:r>
        <w:rPr>
          <w:color w:val="231F20"/>
          <w:spacing w:val="-37"/>
          <w:w w:val="105"/>
          <w:sz w:val="21"/>
        </w:rPr>
        <w:t> </w:t>
      </w:r>
      <w:r>
        <w:rPr>
          <w:color w:val="231F20"/>
          <w:w w:val="105"/>
          <w:sz w:val="21"/>
        </w:rPr>
        <w:t>Eco- nómicos.</w:t>
      </w:r>
    </w:p>
    <w:p>
      <w:pPr>
        <w:pStyle w:val="BodyText"/>
        <w:spacing w:line="261" w:lineRule="auto" w:before="1"/>
        <w:ind w:left="2574" w:right="1723" w:hanging="738"/>
        <w:jc w:val="both"/>
      </w:pPr>
      <w:r>
        <w:rPr>
          <w:color w:val="231F20"/>
          <w:w w:val="105"/>
        </w:rPr>
        <w:t>Napolitano, Janet, (2010), “Récord de deportaciones en Estados Unidos”, </w:t>
      </w:r>
      <w:r>
        <w:rPr>
          <w:rFonts w:ascii="Arial" w:hAnsi="Arial"/>
          <w:i/>
          <w:color w:val="231F20"/>
          <w:w w:val="105"/>
        </w:rPr>
        <w:t>Cientochenta</w:t>
      </w:r>
      <w:r>
        <w:rPr>
          <w:color w:val="231F20"/>
          <w:w w:val="105"/>
        </w:rPr>
        <w:t>, recuperado de </w:t>
      </w:r>
      <w:hyperlink r:id="rId147">
        <w:r>
          <w:rPr>
            <w:color w:val="231F20"/>
            <w:w w:val="105"/>
          </w:rPr>
          <w:t>http://www.180.com.uy/</w:t>
        </w:r>
      </w:hyperlink>
      <w:r>
        <w:rPr>
          <w:color w:val="231F20"/>
          <w:w w:val="105"/>
        </w:rPr>
        <w:t> articulo/14299_Record-de-deportaciones-en-Estados-Unidos</w:t>
      </w:r>
    </w:p>
    <w:p>
      <w:pPr>
        <w:spacing w:line="259" w:lineRule="auto" w:before="0"/>
        <w:ind w:left="2574" w:right="1721" w:hanging="738"/>
        <w:jc w:val="both"/>
        <w:rPr>
          <w:sz w:val="21"/>
        </w:rPr>
      </w:pPr>
      <w:r>
        <w:rPr>
          <w:color w:val="231F20"/>
          <w:sz w:val="21"/>
        </w:rPr>
        <w:t>Orozco,</w:t>
      </w:r>
      <w:r>
        <w:rPr>
          <w:color w:val="231F20"/>
          <w:spacing w:val="-14"/>
          <w:sz w:val="21"/>
        </w:rPr>
        <w:t> </w:t>
      </w:r>
      <w:r>
        <w:rPr>
          <w:color w:val="231F20"/>
          <w:sz w:val="21"/>
        </w:rPr>
        <w:t>Manuel,</w:t>
      </w:r>
      <w:r>
        <w:rPr>
          <w:color w:val="231F20"/>
          <w:spacing w:val="-14"/>
          <w:sz w:val="21"/>
        </w:rPr>
        <w:t> </w:t>
      </w:r>
      <w:r>
        <w:rPr>
          <w:color w:val="231F20"/>
          <w:sz w:val="21"/>
        </w:rPr>
        <w:t>(2009),</w:t>
      </w:r>
      <w:r>
        <w:rPr>
          <w:color w:val="231F20"/>
          <w:spacing w:val="-14"/>
          <w:sz w:val="21"/>
        </w:rPr>
        <w:t> </w:t>
      </w:r>
      <w:r>
        <w:rPr>
          <w:rFonts w:ascii="Arial"/>
          <w:i/>
          <w:color w:val="231F20"/>
          <w:sz w:val="21"/>
        </w:rPr>
        <w:t>Migration</w:t>
      </w:r>
      <w:r>
        <w:rPr>
          <w:rFonts w:ascii="Arial"/>
          <w:i/>
          <w:color w:val="231F20"/>
          <w:spacing w:val="-9"/>
          <w:sz w:val="21"/>
        </w:rPr>
        <w:t> </w:t>
      </w:r>
      <w:r>
        <w:rPr>
          <w:rFonts w:ascii="Arial"/>
          <w:i/>
          <w:color w:val="231F20"/>
          <w:sz w:val="21"/>
        </w:rPr>
        <w:t>and</w:t>
      </w:r>
      <w:r>
        <w:rPr>
          <w:rFonts w:ascii="Arial"/>
          <w:i/>
          <w:color w:val="231F20"/>
          <w:spacing w:val="-9"/>
          <w:sz w:val="21"/>
        </w:rPr>
        <w:t> </w:t>
      </w:r>
      <w:r>
        <w:rPr>
          <w:rFonts w:ascii="Arial"/>
          <w:i/>
          <w:color w:val="231F20"/>
          <w:sz w:val="21"/>
        </w:rPr>
        <w:t>Remittances</w:t>
      </w:r>
      <w:r>
        <w:rPr>
          <w:rFonts w:ascii="Arial"/>
          <w:i/>
          <w:color w:val="231F20"/>
          <w:spacing w:val="-9"/>
          <w:sz w:val="21"/>
        </w:rPr>
        <w:t> </w:t>
      </w:r>
      <w:r>
        <w:rPr>
          <w:rFonts w:ascii="Arial"/>
          <w:i/>
          <w:color w:val="231F20"/>
          <w:sz w:val="21"/>
        </w:rPr>
        <w:t>in</w:t>
      </w:r>
      <w:r>
        <w:rPr>
          <w:rFonts w:ascii="Arial"/>
          <w:i/>
          <w:color w:val="231F20"/>
          <w:spacing w:val="-15"/>
          <w:sz w:val="21"/>
        </w:rPr>
        <w:t> </w:t>
      </w:r>
      <w:r>
        <w:rPr>
          <w:rFonts w:ascii="Arial"/>
          <w:i/>
          <w:color w:val="231F20"/>
          <w:sz w:val="21"/>
        </w:rPr>
        <w:t>Times</w:t>
      </w:r>
      <w:r>
        <w:rPr>
          <w:rFonts w:ascii="Arial"/>
          <w:i/>
          <w:color w:val="231F20"/>
          <w:spacing w:val="-9"/>
          <w:sz w:val="21"/>
        </w:rPr>
        <w:t> </w:t>
      </w:r>
      <w:r>
        <w:rPr>
          <w:rFonts w:ascii="Arial"/>
          <w:i/>
          <w:color w:val="231F20"/>
          <w:sz w:val="21"/>
        </w:rPr>
        <w:t>of</w:t>
      </w:r>
      <w:r>
        <w:rPr>
          <w:rFonts w:ascii="Arial"/>
          <w:i/>
          <w:color w:val="231F20"/>
          <w:spacing w:val="-2"/>
          <w:sz w:val="21"/>
        </w:rPr>
        <w:t> </w:t>
      </w:r>
      <w:r>
        <w:rPr>
          <w:rFonts w:ascii="Arial"/>
          <w:i/>
          <w:color w:val="231F20"/>
          <w:sz w:val="21"/>
        </w:rPr>
        <w:t>Recession: </w:t>
      </w:r>
      <w:r>
        <w:rPr>
          <w:rFonts w:ascii="Arial"/>
          <w:i/>
          <w:color w:val="231F20"/>
          <w:w w:val="105"/>
          <w:sz w:val="21"/>
        </w:rPr>
        <w:t>Effects</w:t>
      </w:r>
      <w:r>
        <w:rPr>
          <w:rFonts w:ascii="Arial"/>
          <w:i/>
          <w:color w:val="231F20"/>
          <w:spacing w:val="-10"/>
          <w:w w:val="105"/>
          <w:sz w:val="21"/>
        </w:rPr>
        <w:t> </w:t>
      </w:r>
      <w:r>
        <w:rPr>
          <w:rFonts w:ascii="Arial"/>
          <w:i/>
          <w:color w:val="231F20"/>
          <w:w w:val="105"/>
          <w:sz w:val="21"/>
        </w:rPr>
        <w:t>on</w:t>
      </w:r>
      <w:r>
        <w:rPr>
          <w:rFonts w:ascii="Arial"/>
          <w:i/>
          <w:color w:val="231F20"/>
          <w:spacing w:val="-10"/>
          <w:w w:val="105"/>
          <w:sz w:val="21"/>
        </w:rPr>
        <w:t> </w:t>
      </w:r>
      <w:r>
        <w:rPr>
          <w:rFonts w:ascii="Arial"/>
          <w:i/>
          <w:color w:val="231F20"/>
          <w:w w:val="105"/>
          <w:sz w:val="21"/>
        </w:rPr>
        <w:t>Latin</w:t>
      </w:r>
      <w:r>
        <w:rPr>
          <w:rFonts w:ascii="Arial"/>
          <w:i/>
          <w:color w:val="231F20"/>
          <w:spacing w:val="-12"/>
          <w:w w:val="105"/>
          <w:sz w:val="21"/>
        </w:rPr>
        <w:t> </w:t>
      </w:r>
      <w:r>
        <w:rPr>
          <w:rFonts w:ascii="Arial"/>
          <w:i/>
          <w:color w:val="231F20"/>
          <w:w w:val="105"/>
          <w:sz w:val="21"/>
        </w:rPr>
        <w:t>American</w:t>
      </w:r>
      <w:r>
        <w:rPr>
          <w:rFonts w:ascii="Arial"/>
          <w:i/>
          <w:color w:val="231F20"/>
          <w:spacing w:val="-10"/>
          <w:w w:val="105"/>
          <w:sz w:val="21"/>
        </w:rPr>
        <w:t> </w:t>
      </w:r>
      <w:r>
        <w:rPr>
          <w:rFonts w:ascii="Arial"/>
          <w:i/>
          <w:color w:val="231F20"/>
          <w:w w:val="105"/>
          <w:sz w:val="21"/>
        </w:rPr>
        <w:t>Economies</w:t>
      </w:r>
      <w:r>
        <w:rPr>
          <w:color w:val="231F20"/>
          <w:w w:val="105"/>
          <w:sz w:val="21"/>
        </w:rPr>
        <w:t>,</w:t>
      </w:r>
      <w:r>
        <w:rPr>
          <w:color w:val="231F20"/>
          <w:spacing w:val="-13"/>
          <w:w w:val="105"/>
          <w:sz w:val="21"/>
        </w:rPr>
        <w:t> </w:t>
      </w:r>
      <w:r>
        <w:rPr>
          <w:color w:val="231F20"/>
          <w:w w:val="105"/>
          <w:sz w:val="21"/>
        </w:rPr>
        <w:t>Washington:</w:t>
      </w:r>
      <w:r>
        <w:rPr>
          <w:color w:val="231F20"/>
          <w:spacing w:val="-7"/>
          <w:w w:val="105"/>
          <w:sz w:val="21"/>
        </w:rPr>
        <w:t> </w:t>
      </w:r>
      <w:r>
        <w:rPr>
          <w:color w:val="231F20"/>
          <w:w w:val="105"/>
          <w:sz w:val="21"/>
        </w:rPr>
        <w:t>Inter-Ameri- can</w:t>
      </w:r>
      <w:r>
        <w:rPr>
          <w:color w:val="231F20"/>
          <w:spacing w:val="-24"/>
          <w:w w:val="105"/>
          <w:sz w:val="21"/>
        </w:rPr>
        <w:t> </w:t>
      </w:r>
      <w:r>
        <w:rPr>
          <w:color w:val="231F20"/>
          <w:w w:val="105"/>
          <w:sz w:val="21"/>
        </w:rPr>
        <w:t>Dialogue.</w:t>
      </w:r>
    </w:p>
    <w:p>
      <w:pPr>
        <w:spacing w:line="259" w:lineRule="auto" w:before="0"/>
        <w:ind w:left="2574" w:right="1722" w:hanging="738"/>
        <w:jc w:val="both"/>
        <w:rPr>
          <w:sz w:val="21"/>
        </w:rPr>
      </w:pPr>
      <w:r>
        <w:rPr>
          <w:color w:val="231F20"/>
          <w:w w:val="105"/>
          <w:sz w:val="21"/>
        </w:rPr>
        <w:t>Papademetriou,</w:t>
      </w:r>
      <w:r>
        <w:rPr>
          <w:color w:val="231F20"/>
          <w:spacing w:val="-32"/>
          <w:w w:val="105"/>
          <w:sz w:val="21"/>
        </w:rPr>
        <w:t> </w:t>
      </w:r>
      <w:r>
        <w:rPr>
          <w:color w:val="231F20"/>
          <w:w w:val="105"/>
          <w:sz w:val="21"/>
        </w:rPr>
        <w:t>Demetrios</w:t>
      </w:r>
      <w:r>
        <w:rPr>
          <w:color w:val="231F20"/>
          <w:spacing w:val="-29"/>
          <w:w w:val="105"/>
          <w:sz w:val="21"/>
        </w:rPr>
        <w:t> </w:t>
      </w:r>
      <w:r>
        <w:rPr>
          <w:color w:val="231F20"/>
          <w:w w:val="105"/>
          <w:sz w:val="21"/>
        </w:rPr>
        <w:t>y</w:t>
      </w:r>
      <w:r>
        <w:rPr>
          <w:color w:val="231F20"/>
          <w:spacing w:val="-31"/>
          <w:w w:val="105"/>
          <w:sz w:val="21"/>
        </w:rPr>
        <w:t> </w:t>
      </w:r>
      <w:r>
        <w:rPr>
          <w:color w:val="231F20"/>
          <w:spacing w:val="-3"/>
          <w:w w:val="105"/>
          <w:sz w:val="21"/>
        </w:rPr>
        <w:t>Terrazas,</w:t>
      </w:r>
      <w:r>
        <w:rPr>
          <w:color w:val="231F20"/>
          <w:spacing w:val="-34"/>
          <w:w w:val="105"/>
          <w:sz w:val="21"/>
        </w:rPr>
        <w:t> </w:t>
      </w:r>
      <w:r>
        <w:rPr>
          <w:color w:val="231F20"/>
          <w:w w:val="105"/>
          <w:sz w:val="21"/>
        </w:rPr>
        <w:t>Aaron,</w:t>
      </w:r>
      <w:r>
        <w:rPr>
          <w:color w:val="231F20"/>
          <w:spacing w:val="-32"/>
          <w:w w:val="105"/>
          <w:sz w:val="21"/>
        </w:rPr>
        <w:t> </w:t>
      </w:r>
      <w:r>
        <w:rPr>
          <w:color w:val="231F20"/>
          <w:w w:val="105"/>
          <w:sz w:val="21"/>
        </w:rPr>
        <w:t>(2009),</w:t>
      </w:r>
      <w:r>
        <w:rPr>
          <w:color w:val="231F20"/>
          <w:spacing w:val="-32"/>
          <w:w w:val="105"/>
          <w:sz w:val="21"/>
        </w:rPr>
        <w:t> </w:t>
      </w:r>
      <w:r>
        <w:rPr>
          <w:rFonts w:ascii="Arial"/>
          <w:i/>
          <w:color w:val="231F20"/>
          <w:w w:val="105"/>
          <w:sz w:val="21"/>
        </w:rPr>
        <w:t>Immigrants</w:t>
      </w:r>
      <w:r>
        <w:rPr>
          <w:rFonts w:ascii="Arial"/>
          <w:i/>
          <w:color w:val="231F20"/>
          <w:spacing w:val="-32"/>
          <w:w w:val="105"/>
          <w:sz w:val="21"/>
        </w:rPr>
        <w:t> </w:t>
      </w:r>
      <w:r>
        <w:rPr>
          <w:rFonts w:ascii="Arial"/>
          <w:i/>
          <w:color w:val="231F20"/>
          <w:w w:val="105"/>
          <w:sz w:val="21"/>
        </w:rPr>
        <w:t>and</w:t>
      </w:r>
      <w:r>
        <w:rPr>
          <w:rFonts w:ascii="Arial"/>
          <w:i/>
          <w:color w:val="231F20"/>
          <w:spacing w:val="-32"/>
          <w:w w:val="105"/>
          <w:sz w:val="21"/>
        </w:rPr>
        <w:t> </w:t>
      </w:r>
      <w:r>
        <w:rPr>
          <w:rFonts w:ascii="Arial"/>
          <w:i/>
          <w:color w:val="231F20"/>
          <w:w w:val="105"/>
          <w:sz w:val="21"/>
        </w:rPr>
        <w:t>the </w:t>
      </w:r>
      <w:r>
        <w:rPr>
          <w:rFonts w:ascii="Arial"/>
          <w:i/>
          <w:color w:val="231F20"/>
          <w:w w:val="105"/>
          <w:sz w:val="21"/>
        </w:rPr>
        <w:t>Current</w:t>
      </w:r>
      <w:r>
        <w:rPr>
          <w:rFonts w:ascii="Arial"/>
          <w:i/>
          <w:color w:val="231F20"/>
          <w:spacing w:val="-15"/>
          <w:w w:val="105"/>
          <w:sz w:val="21"/>
        </w:rPr>
        <w:t> </w:t>
      </w:r>
      <w:r>
        <w:rPr>
          <w:rFonts w:ascii="Arial"/>
          <w:i/>
          <w:color w:val="231F20"/>
          <w:w w:val="105"/>
          <w:sz w:val="21"/>
        </w:rPr>
        <w:t>Economic</w:t>
      </w:r>
      <w:r>
        <w:rPr>
          <w:rFonts w:ascii="Arial"/>
          <w:i/>
          <w:color w:val="231F20"/>
          <w:spacing w:val="-15"/>
          <w:w w:val="105"/>
          <w:sz w:val="21"/>
        </w:rPr>
        <w:t> </w:t>
      </w:r>
      <w:r>
        <w:rPr>
          <w:rFonts w:ascii="Arial"/>
          <w:i/>
          <w:color w:val="231F20"/>
          <w:w w:val="105"/>
          <w:sz w:val="21"/>
        </w:rPr>
        <w:t>Crisis.</w:t>
      </w:r>
      <w:r>
        <w:rPr>
          <w:rFonts w:ascii="Arial"/>
          <w:i/>
          <w:color w:val="231F20"/>
          <w:spacing w:val="-18"/>
          <w:w w:val="105"/>
          <w:sz w:val="21"/>
        </w:rPr>
        <w:t> </w:t>
      </w:r>
      <w:r>
        <w:rPr>
          <w:rFonts w:ascii="Arial"/>
          <w:i/>
          <w:color w:val="231F20"/>
          <w:w w:val="105"/>
          <w:sz w:val="21"/>
        </w:rPr>
        <w:t>Research</w:t>
      </w:r>
      <w:r>
        <w:rPr>
          <w:rFonts w:ascii="Arial"/>
          <w:i/>
          <w:color w:val="231F20"/>
          <w:spacing w:val="-15"/>
          <w:w w:val="105"/>
          <w:sz w:val="21"/>
        </w:rPr>
        <w:t> </w:t>
      </w:r>
      <w:r>
        <w:rPr>
          <w:rFonts w:ascii="Arial"/>
          <w:i/>
          <w:color w:val="231F20"/>
          <w:w w:val="105"/>
          <w:sz w:val="21"/>
        </w:rPr>
        <w:t>Evidence,</w:t>
      </w:r>
      <w:r>
        <w:rPr>
          <w:rFonts w:ascii="Arial"/>
          <w:i/>
          <w:color w:val="231F20"/>
          <w:spacing w:val="-18"/>
          <w:w w:val="105"/>
          <w:sz w:val="21"/>
        </w:rPr>
        <w:t> </w:t>
      </w:r>
      <w:r>
        <w:rPr>
          <w:rFonts w:ascii="Arial"/>
          <w:i/>
          <w:color w:val="231F20"/>
          <w:spacing w:val="-3"/>
          <w:w w:val="105"/>
          <w:sz w:val="21"/>
        </w:rPr>
        <w:t>Policy</w:t>
      </w:r>
      <w:r>
        <w:rPr>
          <w:rFonts w:ascii="Arial"/>
          <w:i/>
          <w:color w:val="231F20"/>
          <w:spacing w:val="-15"/>
          <w:w w:val="105"/>
          <w:sz w:val="21"/>
        </w:rPr>
        <w:t> </w:t>
      </w:r>
      <w:r>
        <w:rPr>
          <w:rFonts w:ascii="Arial"/>
          <w:i/>
          <w:color w:val="231F20"/>
          <w:w w:val="105"/>
          <w:sz w:val="21"/>
        </w:rPr>
        <w:t>Challenges and</w:t>
      </w:r>
      <w:r>
        <w:rPr>
          <w:rFonts w:ascii="Arial"/>
          <w:i/>
          <w:color w:val="231F20"/>
          <w:spacing w:val="-25"/>
          <w:w w:val="105"/>
          <w:sz w:val="21"/>
        </w:rPr>
        <w:t> </w:t>
      </w:r>
      <w:r>
        <w:rPr>
          <w:rFonts w:ascii="Arial"/>
          <w:i/>
          <w:color w:val="231F20"/>
          <w:w w:val="105"/>
          <w:sz w:val="21"/>
        </w:rPr>
        <w:t>Implications</w:t>
      </w:r>
      <w:r>
        <w:rPr>
          <w:color w:val="231F20"/>
          <w:w w:val="105"/>
          <w:sz w:val="21"/>
        </w:rPr>
        <w:t>,</w:t>
      </w:r>
      <w:r>
        <w:rPr>
          <w:color w:val="231F20"/>
          <w:spacing w:val="-29"/>
          <w:w w:val="105"/>
          <w:sz w:val="21"/>
        </w:rPr>
        <w:t> </w:t>
      </w:r>
      <w:r>
        <w:rPr>
          <w:color w:val="231F20"/>
          <w:w w:val="105"/>
          <w:sz w:val="21"/>
        </w:rPr>
        <w:t>Washington:</w:t>
      </w:r>
      <w:r>
        <w:rPr>
          <w:color w:val="231F20"/>
          <w:spacing w:val="-22"/>
          <w:w w:val="105"/>
          <w:sz w:val="21"/>
        </w:rPr>
        <w:t> </w:t>
      </w:r>
      <w:r>
        <w:rPr>
          <w:color w:val="231F20"/>
          <w:w w:val="105"/>
          <w:sz w:val="21"/>
        </w:rPr>
        <w:t>Migration</w:t>
      </w:r>
      <w:r>
        <w:rPr>
          <w:color w:val="231F20"/>
          <w:spacing w:val="-22"/>
          <w:w w:val="105"/>
          <w:sz w:val="21"/>
        </w:rPr>
        <w:t> </w:t>
      </w:r>
      <w:r>
        <w:rPr>
          <w:color w:val="231F20"/>
          <w:spacing w:val="-3"/>
          <w:w w:val="105"/>
          <w:sz w:val="21"/>
        </w:rPr>
        <w:t>Policy</w:t>
      </w:r>
      <w:r>
        <w:rPr>
          <w:color w:val="231F20"/>
          <w:spacing w:val="-22"/>
          <w:w w:val="105"/>
          <w:sz w:val="21"/>
        </w:rPr>
        <w:t> </w:t>
      </w:r>
      <w:r>
        <w:rPr>
          <w:color w:val="231F20"/>
          <w:w w:val="105"/>
          <w:sz w:val="21"/>
        </w:rPr>
        <w:t>Institute.</w:t>
      </w:r>
    </w:p>
    <w:p>
      <w:pPr>
        <w:spacing w:after="0" w:line="259" w:lineRule="auto"/>
        <w:jc w:val="both"/>
        <w:rPr>
          <w:sz w:val="21"/>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line="259" w:lineRule="auto" w:before="57"/>
        <w:ind w:left="2427" w:right="1801" w:hanging="738"/>
        <w:jc w:val="both"/>
        <w:rPr>
          <w:sz w:val="21"/>
        </w:rPr>
      </w:pPr>
      <w:r>
        <w:rPr>
          <w:color w:val="231F20"/>
          <w:sz w:val="21"/>
        </w:rPr>
        <w:t>Passel,</w:t>
      </w:r>
      <w:r>
        <w:rPr>
          <w:color w:val="231F20"/>
          <w:spacing w:val="-18"/>
          <w:sz w:val="21"/>
        </w:rPr>
        <w:t> </w:t>
      </w:r>
      <w:r>
        <w:rPr>
          <w:color w:val="231F20"/>
          <w:sz w:val="21"/>
        </w:rPr>
        <w:t>Jeffey,</w:t>
      </w:r>
      <w:r>
        <w:rPr>
          <w:color w:val="231F20"/>
          <w:spacing w:val="-15"/>
          <w:sz w:val="21"/>
        </w:rPr>
        <w:t> </w:t>
      </w:r>
      <w:r>
        <w:rPr>
          <w:color w:val="231F20"/>
          <w:sz w:val="21"/>
        </w:rPr>
        <w:t>Cohn,</w:t>
      </w:r>
      <w:r>
        <w:rPr>
          <w:color w:val="231F20"/>
          <w:spacing w:val="-15"/>
          <w:sz w:val="21"/>
        </w:rPr>
        <w:t> </w:t>
      </w:r>
      <w:r>
        <w:rPr>
          <w:color w:val="231F20"/>
          <w:sz w:val="21"/>
        </w:rPr>
        <w:t>D’Vera</w:t>
      </w:r>
      <w:r>
        <w:rPr>
          <w:color w:val="231F20"/>
          <w:spacing w:val="-9"/>
          <w:sz w:val="21"/>
        </w:rPr>
        <w:t> </w:t>
      </w:r>
      <w:r>
        <w:rPr>
          <w:color w:val="231F20"/>
          <w:sz w:val="21"/>
        </w:rPr>
        <w:t>y</w:t>
      </w:r>
      <w:r>
        <w:rPr>
          <w:color w:val="231F20"/>
          <w:spacing w:val="-9"/>
          <w:sz w:val="21"/>
        </w:rPr>
        <w:t> </w:t>
      </w:r>
      <w:r>
        <w:rPr>
          <w:color w:val="231F20"/>
          <w:sz w:val="21"/>
        </w:rPr>
        <w:t>González</w:t>
      </w:r>
      <w:r>
        <w:rPr>
          <w:color w:val="231F20"/>
          <w:spacing w:val="-9"/>
          <w:sz w:val="21"/>
        </w:rPr>
        <w:t> </w:t>
      </w:r>
      <w:r>
        <w:rPr>
          <w:color w:val="231F20"/>
          <w:sz w:val="21"/>
        </w:rPr>
        <w:t>Barrera,</w:t>
      </w:r>
      <w:r>
        <w:rPr>
          <w:color w:val="231F20"/>
          <w:spacing w:val="-19"/>
          <w:sz w:val="21"/>
        </w:rPr>
        <w:t> </w:t>
      </w:r>
      <w:r>
        <w:rPr>
          <w:color w:val="231F20"/>
          <w:sz w:val="21"/>
        </w:rPr>
        <w:t>Ana,</w:t>
      </w:r>
      <w:r>
        <w:rPr>
          <w:color w:val="231F20"/>
          <w:spacing w:val="-15"/>
          <w:sz w:val="21"/>
        </w:rPr>
        <w:t> </w:t>
      </w:r>
      <w:r>
        <w:rPr>
          <w:color w:val="231F20"/>
          <w:sz w:val="21"/>
        </w:rPr>
        <w:t>(2012),</w:t>
      </w:r>
      <w:r>
        <w:rPr>
          <w:color w:val="231F20"/>
          <w:spacing w:val="-15"/>
          <w:sz w:val="21"/>
        </w:rPr>
        <w:t> </w:t>
      </w:r>
      <w:r>
        <w:rPr>
          <w:rFonts w:ascii="Arial" w:hAnsi="Arial"/>
          <w:i/>
          <w:color w:val="231F20"/>
          <w:sz w:val="21"/>
        </w:rPr>
        <w:t>Net</w:t>
      </w:r>
      <w:r>
        <w:rPr>
          <w:rFonts w:ascii="Arial" w:hAnsi="Arial"/>
          <w:i/>
          <w:color w:val="231F20"/>
          <w:spacing w:val="-12"/>
          <w:sz w:val="21"/>
        </w:rPr>
        <w:t> </w:t>
      </w:r>
      <w:r>
        <w:rPr>
          <w:rFonts w:ascii="Arial" w:hAnsi="Arial"/>
          <w:i/>
          <w:color w:val="231F20"/>
          <w:sz w:val="21"/>
        </w:rPr>
        <w:t>Migration </w:t>
      </w:r>
      <w:r>
        <w:rPr>
          <w:rFonts w:ascii="Arial" w:hAnsi="Arial"/>
          <w:i/>
          <w:color w:val="231F20"/>
          <w:w w:val="105"/>
          <w:sz w:val="21"/>
        </w:rPr>
        <w:t>from</w:t>
      </w:r>
      <w:r>
        <w:rPr>
          <w:rFonts w:ascii="Arial" w:hAnsi="Arial"/>
          <w:i/>
          <w:color w:val="231F20"/>
          <w:spacing w:val="-42"/>
          <w:w w:val="105"/>
          <w:sz w:val="21"/>
        </w:rPr>
        <w:t> </w:t>
      </w:r>
      <w:r>
        <w:rPr>
          <w:rFonts w:ascii="Arial" w:hAnsi="Arial"/>
          <w:i/>
          <w:color w:val="231F20"/>
          <w:w w:val="105"/>
          <w:sz w:val="21"/>
        </w:rPr>
        <w:t>Mexico</w:t>
      </w:r>
      <w:r>
        <w:rPr>
          <w:rFonts w:ascii="Arial" w:hAnsi="Arial"/>
          <w:i/>
          <w:color w:val="231F20"/>
          <w:spacing w:val="-42"/>
          <w:w w:val="105"/>
          <w:sz w:val="21"/>
        </w:rPr>
        <w:t> </w:t>
      </w:r>
      <w:r>
        <w:rPr>
          <w:rFonts w:ascii="Arial" w:hAnsi="Arial"/>
          <w:i/>
          <w:color w:val="231F20"/>
          <w:spacing w:val="-3"/>
          <w:w w:val="105"/>
          <w:sz w:val="21"/>
        </w:rPr>
        <w:t>Falls</w:t>
      </w:r>
      <w:r>
        <w:rPr>
          <w:rFonts w:ascii="Arial" w:hAnsi="Arial"/>
          <w:i/>
          <w:color w:val="231F20"/>
          <w:spacing w:val="-42"/>
          <w:w w:val="105"/>
          <w:sz w:val="21"/>
        </w:rPr>
        <w:t> </w:t>
      </w:r>
      <w:r>
        <w:rPr>
          <w:rFonts w:ascii="Arial" w:hAnsi="Arial"/>
          <w:i/>
          <w:color w:val="231F20"/>
          <w:w w:val="105"/>
          <w:sz w:val="21"/>
        </w:rPr>
        <w:t>to</w:t>
      </w:r>
      <w:r>
        <w:rPr>
          <w:rFonts w:ascii="Arial" w:hAnsi="Arial"/>
          <w:i/>
          <w:color w:val="231F20"/>
          <w:spacing w:val="-42"/>
          <w:w w:val="105"/>
          <w:sz w:val="21"/>
        </w:rPr>
        <w:t> </w:t>
      </w:r>
      <w:r>
        <w:rPr>
          <w:rFonts w:ascii="Arial" w:hAnsi="Arial"/>
          <w:i/>
          <w:color w:val="231F20"/>
          <w:w w:val="105"/>
          <w:sz w:val="21"/>
        </w:rPr>
        <w:t>Zero–and</w:t>
      </w:r>
      <w:r>
        <w:rPr>
          <w:rFonts w:ascii="Arial" w:hAnsi="Arial"/>
          <w:i/>
          <w:color w:val="231F20"/>
          <w:spacing w:val="-42"/>
          <w:w w:val="105"/>
          <w:sz w:val="21"/>
        </w:rPr>
        <w:t> </w:t>
      </w:r>
      <w:r>
        <w:rPr>
          <w:rFonts w:ascii="Arial" w:hAnsi="Arial"/>
          <w:i/>
          <w:color w:val="231F20"/>
          <w:spacing w:val="-3"/>
          <w:w w:val="105"/>
          <w:sz w:val="21"/>
        </w:rPr>
        <w:t>Perhaps</w:t>
      </w:r>
      <w:r>
        <w:rPr>
          <w:rFonts w:ascii="Arial" w:hAnsi="Arial"/>
          <w:i/>
          <w:color w:val="231F20"/>
          <w:spacing w:val="-42"/>
          <w:w w:val="105"/>
          <w:sz w:val="21"/>
        </w:rPr>
        <w:t> </w:t>
      </w:r>
      <w:r>
        <w:rPr>
          <w:rFonts w:ascii="Arial" w:hAnsi="Arial"/>
          <w:i/>
          <w:color w:val="231F20"/>
          <w:w w:val="105"/>
          <w:sz w:val="21"/>
        </w:rPr>
        <w:t>Less</w:t>
      </w:r>
      <w:r>
        <w:rPr>
          <w:color w:val="231F20"/>
          <w:w w:val="105"/>
          <w:sz w:val="21"/>
        </w:rPr>
        <w:t>,</w:t>
      </w:r>
      <w:r>
        <w:rPr>
          <w:color w:val="231F20"/>
          <w:spacing w:val="-43"/>
          <w:w w:val="105"/>
          <w:sz w:val="21"/>
        </w:rPr>
        <w:t> </w:t>
      </w:r>
      <w:r>
        <w:rPr>
          <w:color w:val="231F20"/>
          <w:w w:val="105"/>
          <w:sz w:val="21"/>
        </w:rPr>
        <w:t>Washington:</w:t>
      </w:r>
      <w:r>
        <w:rPr>
          <w:color w:val="231F20"/>
          <w:spacing w:val="-40"/>
          <w:w w:val="105"/>
          <w:sz w:val="21"/>
        </w:rPr>
        <w:t> </w:t>
      </w:r>
      <w:r>
        <w:rPr>
          <w:color w:val="231F20"/>
          <w:spacing w:val="-6"/>
          <w:w w:val="105"/>
          <w:sz w:val="21"/>
        </w:rPr>
        <w:t>Pew</w:t>
      </w:r>
      <w:r>
        <w:rPr>
          <w:color w:val="231F20"/>
          <w:spacing w:val="-40"/>
          <w:w w:val="105"/>
          <w:sz w:val="21"/>
        </w:rPr>
        <w:t> </w:t>
      </w:r>
      <w:r>
        <w:rPr>
          <w:color w:val="231F20"/>
          <w:w w:val="105"/>
          <w:sz w:val="21"/>
        </w:rPr>
        <w:t>His- panic</w:t>
      </w:r>
      <w:r>
        <w:rPr>
          <w:color w:val="231F20"/>
          <w:spacing w:val="-38"/>
          <w:w w:val="105"/>
          <w:sz w:val="21"/>
        </w:rPr>
        <w:t> </w:t>
      </w:r>
      <w:r>
        <w:rPr>
          <w:color w:val="231F20"/>
          <w:w w:val="105"/>
          <w:sz w:val="21"/>
        </w:rPr>
        <w:t>Center.</w:t>
      </w:r>
    </w:p>
    <w:p>
      <w:pPr>
        <w:pStyle w:val="BodyText"/>
        <w:spacing w:before="3"/>
        <w:ind w:left="1689"/>
      </w:pPr>
      <w:r>
        <w:rPr>
          <w:color w:val="231F20"/>
          <w:w w:val="105"/>
        </w:rPr>
        <w:t>Rocha, David, (2006), “Las marchas de inmigrantes irrumpen el escenario”,</w:t>
      </w:r>
    </w:p>
    <w:p>
      <w:pPr>
        <w:spacing w:before="19"/>
        <w:ind w:left="2427" w:right="0" w:firstLine="0"/>
        <w:jc w:val="left"/>
        <w:rPr>
          <w:sz w:val="21"/>
        </w:rPr>
      </w:pPr>
      <w:r>
        <w:rPr>
          <w:rFonts w:ascii="Arial" w:hAnsi="Arial"/>
          <w:i/>
          <w:color w:val="231F20"/>
          <w:sz w:val="21"/>
        </w:rPr>
        <w:t>Migración y Desarrollo</w:t>
      </w:r>
      <w:r>
        <w:rPr>
          <w:color w:val="231F20"/>
          <w:sz w:val="21"/>
        </w:rPr>
        <w:t>, núm.</w:t>
      </w:r>
      <w:r>
        <w:rPr>
          <w:color w:val="231F20"/>
          <w:spacing w:val="50"/>
          <w:sz w:val="21"/>
        </w:rPr>
        <w:t> </w:t>
      </w:r>
      <w:r>
        <w:rPr>
          <w:color w:val="231F20"/>
          <w:sz w:val="21"/>
        </w:rPr>
        <w:t>6.</w:t>
      </w:r>
    </w:p>
    <w:p>
      <w:pPr>
        <w:pStyle w:val="BodyText"/>
        <w:spacing w:line="259" w:lineRule="auto" w:before="22"/>
        <w:ind w:left="2427" w:right="1801" w:hanging="738"/>
        <w:jc w:val="both"/>
      </w:pPr>
      <w:r>
        <w:rPr>
          <w:color w:val="231F20"/>
          <w:spacing w:val="-6"/>
          <w:w w:val="105"/>
        </w:rPr>
        <w:t>Tamar,</w:t>
      </w:r>
      <w:r>
        <w:rPr>
          <w:color w:val="231F20"/>
          <w:spacing w:val="-25"/>
          <w:w w:val="105"/>
        </w:rPr>
        <w:t> </w:t>
      </w:r>
      <w:r>
        <w:rPr>
          <w:color w:val="231F20"/>
          <w:w w:val="105"/>
        </w:rPr>
        <w:t>Diana,</w:t>
      </w:r>
      <w:r>
        <w:rPr>
          <w:color w:val="231F20"/>
          <w:spacing w:val="-25"/>
          <w:w w:val="105"/>
        </w:rPr>
        <w:t> </w:t>
      </w:r>
      <w:r>
        <w:rPr>
          <w:color w:val="231F20"/>
          <w:w w:val="105"/>
        </w:rPr>
        <w:t>(2009),</w:t>
      </w:r>
      <w:r>
        <w:rPr>
          <w:color w:val="231F20"/>
          <w:spacing w:val="-25"/>
          <w:w w:val="105"/>
        </w:rPr>
        <w:t> </w:t>
      </w:r>
      <w:r>
        <w:rPr>
          <w:color w:val="231F20"/>
          <w:w w:val="105"/>
        </w:rPr>
        <w:t>“Economic</w:t>
      </w:r>
      <w:r>
        <w:rPr>
          <w:color w:val="231F20"/>
          <w:spacing w:val="-20"/>
          <w:w w:val="105"/>
        </w:rPr>
        <w:t> </w:t>
      </w:r>
      <w:r>
        <w:rPr>
          <w:color w:val="231F20"/>
          <w:w w:val="105"/>
        </w:rPr>
        <w:t>Crisis</w:t>
      </w:r>
      <w:r>
        <w:rPr>
          <w:color w:val="231F20"/>
          <w:spacing w:val="-20"/>
          <w:w w:val="105"/>
        </w:rPr>
        <w:t> </w:t>
      </w:r>
      <w:r>
        <w:rPr>
          <w:color w:val="231F20"/>
          <w:w w:val="105"/>
        </w:rPr>
        <w:t>and</w:t>
      </w:r>
      <w:r>
        <w:rPr>
          <w:color w:val="231F20"/>
          <w:spacing w:val="-20"/>
          <w:w w:val="105"/>
        </w:rPr>
        <w:t> </w:t>
      </w:r>
      <w:r>
        <w:rPr>
          <w:color w:val="231F20"/>
          <w:w w:val="105"/>
        </w:rPr>
        <w:t>the</w:t>
      </w:r>
      <w:r>
        <w:rPr>
          <w:color w:val="231F20"/>
          <w:spacing w:val="-20"/>
          <w:w w:val="105"/>
        </w:rPr>
        <w:t> </w:t>
      </w:r>
      <w:r>
        <w:rPr>
          <w:color w:val="231F20"/>
          <w:w w:val="105"/>
        </w:rPr>
        <w:t>Decline</w:t>
      </w:r>
      <w:r>
        <w:rPr>
          <w:color w:val="231F20"/>
          <w:spacing w:val="-20"/>
          <w:w w:val="105"/>
        </w:rPr>
        <w:t> </w:t>
      </w:r>
      <w:r>
        <w:rPr>
          <w:color w:val="231F20"/>
          <w:w w:val="105"/>
        </w:rPr>
        <w:t>of</w:t>
      </w:r>
      <w:r>
        <w:rPr>
          <w:color w:val="231F20"/>
          <w:spacing w:val="-17"/>
          <w:w w:val="105"/>
        </w:rPr>
        <w:t> </w:t>
      </w:r>
      <w:r>
        <w:rPr>
          <w:color w:val="231F20"/>
          <w:w w:val="105"/>
        </w:rPr>
        <w:t>Remittances</w:t>
      </w:r>
      <w:r>
        <w:rPr>
          <w:color w:val="231F20"/>
          <w:spacing w:val="-20"/>
          <w:w w:val="105"/>
        </w:rPr>
        <w:t> </w:t>
      </w:r>
      <w:r>
        <w:rPr>
          <w:color w:val="231F20"/>
          <w:w w:val="105"/>
        </w:rPr>
        <w:t>to </w:t>
      </w:r>
      <w:r>
        <w:rPr>
          <w:color w:val="231F20"/>
          <w:spacing w:val="-4"/>
          <w:w w:val="105"/>
        </w:rPr>
        <w:t>Mexico”,</w:t>
      </w:r>
      <w:r>
        <w:rPr>
          <w:color w:val="231F20"/>
          <w:spacing w:val="-19"/>
          <w:w w:val="105"/>
        </w:rPr>
        <w:t> </w:t>
      </w:r>
      <w:r>
        <w:rPr>
          <w:rFonts w:ascii="Arial" w:hAnsi="Arial"/>
          <w:i/>
          <w:color w:val="231F20"/>
          <w:w w:val="105"/>
        </w:rPr>
        <w:t>Anthropological</w:t>
      </w:r>
      <w:r>
        <w:rPr>
          <w:rFonts w:ascii="Arial" w:hAnsi="Arial"/>
          <w:i/>
          <w:color w:val="231F20"/>
          <w:spacing w:val="-16"/>
          <w:w w:val="105"/>
        </w:rPr>
        <w:t> </w:t>
      </w:r>
      <w:r>
        <w:rPr>
          <w:rFonts w:ascii="Arial" w:hAnsi="Arial"/>
          <w:i/>
          <w:color w:val="231F20"/>
          <w:w w:val="105"/>
        </w:rPr>
        <w:t>Quarterly</w:t>
      </w:r>
      <w:r>
        <w:rPr>
          <w:color w:val="231F20"/>
          <w:w w:val="105"/>
        </w:rPr>
        <w:t>,</w:t>
      </w:r>
      <w:r>
        <w:rPr>
          <w:color w:val="231F20"/>
          <w:spacing w:val="-19"/>
          <w:w w:val="105"/>
        </w:rPr>
        <w:t> </w:t>
      </w:r>
      <w:r>
        <w:rPr>
          <w:color w:val="231F20"/>
          <w:w w:val="105"/>
        </w:rPr>
        <w:t>vol.</w:t>
      </w:r>
      <w:r>
        <w:rPr>
          <w:color w:val="231F20"/>
          <w:spacing w:val="-19"/>
          <w:w w:val="105"/>
        </w:rPr>
        <w:t> </w:t>
      </w:r>
      <w:r>
        <w:rPr>
          <w:color w:val="231F20"/>
          <w:w w:val="105"/>
        </w:rPr>
        <w:t>82,</w:t>
      </w:r>
      <w:r>
        <w:rPr>
          <w:color w:val="231F20"/>
          <w:spacing w:val="-19"/>
          <w:w w:val="105"/>
        </w:rPr>
        <w:t> </w:t>
      </w:r>
      <w:r>
        <w:rPr>
          <w:color w:val="231F20"/>
          <w:w w:val="105"/>
        </w:rPr>
        <w:t>núm.</w:t>
      </w:r>
      <w:r>
        <w:rPr>
          <w:color w:val="231F20"/>
          <w:spacing w:val="-19"/>
          <w:w w:val="105"/>
        </w:rPr>
        <w:t> </w:t>
      </w:r>
      <w:r>
        <w:rPr>
          <w:color w:val="231F20"/>
          <w:w w:val="105"/>
        </w:rPr>
        <w:t>2.</w:t>
      </w:r>
    </w:p>
    <w:p>
      <w:pPr>
        <w:pStyle w:val="BodyText"/>
        <w:spacing w:line="261" w:lineRule="auto" w:before="3"/>
        <w:ind w:left="2426" w:right="1800" w:hanging="737"/>
        <w:jc w:val="both"/>
      </w:pPr>
      <w:r>
        <w:rPr>
          <w:color w:val="231F20"/>
          <w:w w:val="105"/>
        </w:rPr>
        <w:t>United</w:t>
      </w:r>
      <w:r>
        <w:rPr>
          <w:color w:val="231F20"/>
          <w:spacing w:val="-6"/>
          <w:w w:val="105"/>
        </w:rPr>
        <w:t> </w:t>
      </w:r>
      <w:r>
        <w:rPr>
          <w:color w:val="231F20"/>
          <w:w w:val="105"/>
        </w:rPr>
        <w:t>States</w:t>
      </w:r>
      <w:r>
        <w:rPr>
          <w:color w:val="231F20"/>
          <w:spacing w:val="-6"/>
          <w:w w:val="105"/>
        </w:rPr>
        <w:t> </w:t>
      </w:r>
      <w:r>
        <w:rPr>
          <w:color w:val="231F20"/>
          <w:w w:val="105"/>
        </w:rPr>
        <w:t>Border</w:t>
      </w:r>
      <w:r>
        <w:rPr>
          <w:color w:val="231F20"/>
          <w:spacing w:val="-6"/>
          <w:w w:val="105"/>
        </w:rPr>
        <w:t> </w:t>
      </w:r>
      <w:r>
        <w:rPr>
          <w:color w:val="231F20"/>
          <w:spacing w:val="-4"/>
          <w:w w:val="105"/>
        </w:rPr>
        <w:t>Patrol</w:t>
      </w:r>
      <w:r>
        <w:rPr>
          <w:color w:val="231F20"/>
          <w:spacing w:val="-6"/>
          <w:w w:val="105"/>
        </w:rPr>
        <w:t> </w:t>
      </w:r>
      <w:r>
        <w:rPr>
          <w:color w:val="231F20"/>
          <w:w w:val="105"/>
        </w:rPr>
        <w:t>(</w:t>
      </w:r>
      <w:r>
        <w:rPr>
          <w:color w:val="231F20"/>
          <w:w w:val="105"/>
          <w:sz w:val="17"/>
        </w:rPr>
        <w:t>USBP</w:t>
      </w:r>
      <w:r>
        <w:rPr>
          <w:color w:val="231F20"/>
          <w:w w:val="105"/>
        </w:rPr>
        <w:t>),</w:t>
      </w:r>
      <w:r>
        <w:rPr>
          <w:color w:val="231F20"/>
          <w:spacing w:val="-11"/>
          <w:w w:val="105"/>
        </w:rPr>
        <w:t> </w:t>
      </w:r>
      <w:r>
        <w:rPr>
          <w:color w:val="231F20"/>
          <w:w w:val="105"/>
        </w:rPr>
        <w:t>(2011),</w:t>
      </w:r>
      <w:r>
        <w:rPr>
          <w:color w:val="231F20"/>
          <w:spacing w:val="-12"/>
          <w:w w:val="105"/>
        </w:rPr>
        <w:t> </w:t>
      </w:r>
      <w:r>
        <w:rPr>
          <w:color w:val="231F20"/>
          <w:spacing w:val="-3"/>
          <w:w w:val="105"/>
        </w:rPr>
        <w:t>“Total</w:t>
      </w:r>
      <w:r>
        <w:rPr>
          <w:color w:val="231F20"/>
          <w:spacing w:val="-6"/>
          <w:w w:val="105"/>
        </w:rPr>
        <w:t> </w:t>
      </w:r>
      <w:r>
        <w:rPr>
          <w:color w:val="231F20"/>
          <w:w w:val="105"/>
        </w:rPr>
        <w:t>Illegal</w:t>
      </w:r>
      <w:r>
        <w:rPr>
          <w:color w:val="231F20"/>
          <w:spacing w:val="-9"/>
          <w:w w:val="105"/>
        </w:rPr>
        <w:t> </w:t>
      </w:r>
      <w:r>
        <w:rPr>
          <w:color w:val="231F20"/>
          <w:w w:val="105"/>
        </w:rPr>
        <w:t>Alien</w:t>
      </w:r>
      <w:r>
        <w:rPr>
          <w:color w:val="231F20"/>
          <w:spacing w:val="-9"/>
          <w:w w:val="105"/>
        </w:rPr>
        <w:t> </w:t>
      </w:r>
      <w:r>
        <w:rPr>
          <w:color w:val="231F20"/>
          <w:w w:val="105"/>
        </w:rPr>
        <w:t>Apprehen- sions by Fiscal </w:t>
      </w:r>
      <w:r>
        <w:rPr>
          <w:color w:val="231F20"/>
          <w:spacing w:val="-6"/>
          <w:w w:val="105"/>
        </w:rPr>
        <w:t>Year </w:t>
      </w:r>
      <w:r>
        <w:rPr>
          <w:color w:val="231F20"/>
          <w:w w:val="105"/>
        </w:rPr>
        <w:t>(Oct. 1st through Sept. 30th) Customs and Border </w:t>
      </w:r>
      <w:r>
        <w:rPr>
          <w:color w:val="231F20"/>
          <w:spacing w:val="-4"/>
          <w:w w:val="105"/>
        </w:rPr>
        <w:t>Protection”, </w:t>
      </w:r>
      <w:r>
        <w:rPr>
          <w:color w:val="231F20"/>
          <w:w w:val="105"/>
        </w:rPr>
        <w:t>Customs and Border Protection, recuperado de </w:t>
      </w:r>
      <w:hyperlink r:id="rId149">
        <w:r>
          <w:rPr>
            <w:color w:val="231F20"/>
            <w:w w:val="105"/>
          </w:rPr>
          <w:t>http://www.cbp.gov/linkhandler/cgov/border_security/bor-</w:t>
        </w:r>
      </w:hyperlink>
      <w:r>
        <w:rPr>
          <w:color w:val="231F20"/>
          <w:w w:val="105"/>
        </w:rPr>
        <w:t> der_patrol/apps.ctt/</w:t>
      </w:r>
      <w:r>
        <w:rPr>
          <w:color w:val="231F20"/>
          <w:spacing w:val="28"/>
          <w:w w:val="105"/>
        </w:rPr>
        <w:t> </w:t>
      </w:r>
      <w:r>
        <w:rPr>
          <w:color w:val="231F20"/>
          <w:w w:val="105"/>
        </w:rPr>
        <w:t>apps.pdf</w:t>
      </w:r>
    </w:p>
    <w:p>
      <w:pPr>
        <w:pStyle w:val="BodyText"/>
        <w:spacing w:line="261" w:lineRule="auto" w:before="1"/>
        <w:ind w:left="2426" w:right="1798" w:hanging="738"/>
        <w:jc w:val="both"/>
      </w:pPr>
      <w:r>
        <w:rPr>
          <w:color w:val="231F20"/>
          <w:spacing w:val="-5"/>
        </w:rPr>
        <w:t>Vega, </w:t>
      </w:r>
      <w:r>
        <w:rPr>
          <w:color w:val="231F20"/>
          <w:spacing w:val="-4"/>
        </w:rPr>
        <w:t>Germán </w:t>
      </w:r>
      <w:r>
        <w:rPr>
          <w:color w:val="231F20"/>
        </w:rPr>
        <w:t>y </w:t>
      </w:r>
      <w:r>
        <w:rPr>
          <w:color w:val="231F20"/>
          <w:spacing w:val="-4"/>
        </w:rPr>
        <w:t>Ilescas, </w:t>
      </w:r>
      <w:r>
        <w:rPr>
          <w:color w:val="231F20"/>
          <w:spacing w:val="-5"/>
        </w:rPr>
        <w:t>Virginia, </w:t>
      </w:r>
      <w:r>
        <w:rPr>
          <w:color w:val="231F20"/>
          <w:spacing w:val="-4"/>
        </w:rPr>
        <w:t>(2009), </w:t>
      </w:r>
      <w:r>
        <w:rPr>
          <w:color w:val="231F20"/>
          <w:spacing w:val="-6"/>
        </w:rPr>
        <w:t>“Algunas </w:t>
      </w:r>
      <w:r>
        <w:rPr>
          <w:color w:val="231F20"/>
          <w:spacing w:val="-4"/>
        </w:rPr>
        <w:t>características </w:t>
      </w:r>
      <w:r>
        <w:rPr>
          <w:color w:val="231F20"/>
        </w:rPr>
        <w:t>de </w:t>
      </w:r>
      <w:r>
        <w:rPr>
          <w:color w:val="231F20"/>
          <w:spacing w:val="-3"/>
        </w:rPr>
        <w:t>los mi- </w:t>
      </w:r>
      <w:r>
        <w:rPr>
          <w:color w:val="231F20"/>
          <w:spacing w:val="-4"/>
        </w:rPr>
        <w:t>grantes devueltos </w:t>
      </w:r>
      <w:r>
        <w:rPr>
          <w:color w:val="231F20"/>
          <w:spacing w:val="-3"/>
        </w:rPr>
        <w:t>por </w:t>
      </w:r>
      <w:r>
        <w:rPr>
          <w:color w:val="231F20"/>
        </w:rPr>
        <w:t>la </w:t>
      </w:r>
      <w:r>
        <w:rPr>
          <w:color w:val="231F20"/>
          <w:spacing w:val="-6"/>
        </w:rPr>
        <w:t>Patrulla </w:t>
      </w:r>
      <w:r>
        <w:rPr>
          <w:color w:val="231F20"/>
          <w:spacing w:val="-8"/>
        </w:rPr>
        <w:t>Fronteriza”, </w:t>
      </w:r>
      <w:r>
        <w:rPr>
          <w:rFonts w:ascii="Arial" w:hAnsi="Arial"/>
          <w:i/>
          <w:color w:val="231F20"/>
          <w:spacing w:val="-5"/>
        </w:rPr>
        <w:t>Norteamérica</w:t>
      </w:r>
      <w:r>
        <w:rPr>
          <w:color w:val="231F20"/>
          <w:spacing w:val="-5"/>
        </w:rPr>
        <w:t>, </w:t>
      </w:r>
      <w:r>
        <w:rPr>
          <w:color w:val="231F20"/>
          <w:spacing w:val="-3"/>
        </w:rPr>
        <w:t>año </w:t>
      </w:r>
      <w:r>
        <w:rPr>
          <w:color w:val="231F20"/>
          <w:spacing w:val="-4"/>
        </w:rPr>
        <w:t>4, </w:t>
      </w:r>
      <w:r>
        <w:rPr>
          <w:color w:val="231F20"/>
          <w:spacing w:val="-3"/>
        </w:rPr>
        <w:t>núm. </w:t>
      </w:r>
      <w:r>
        <w:rPr>
          <w:color w:val="231F20"/>
          <w:spacing w:val="-4"/>
        </w:rPr>
        <w:t>1.</w:t>
      </w:r>
    </w:p>
    <w:p>
      <w:pPr>
        <w:pStyle w:val="BodyText"/>
        <w:spacing w:line="261" w:lineRule="auto" w:before="1"/>
        <w:ind w:left="2426" w:right="1797" w:hanging="738"/>
        <w:jc w:val="both"/>
      </w:pPr>
      <w:r>
        <w:rPr>
          <w:color w:val="231F20"/>
          <w:spacing w:val="-3"/>
          <w:w w:val="105"/>
        </w:rPr>
        <w:t>White,</w:t>
      </w:r>
      <w:r>
        <w:rPr>
          <w:color w:val="231F20"/>
          <w:spacing w:val="-36"/>
          <w:w w:val="105"/>
        </w:rPr>
        <w:t> </w:t>
      </w:r>
      <w:r>
        <w:rPr>
          <w:color w:val="231F20"/>
          <w:spacing w:val="-3"/>
          <w:w w:val="105"/>
        </w:rPr>
        <w:t>Michael,</w:t>
      </w:r>
      <w:r>
        <w:rPr>
          <w:color w:val="231F20"/>
          <w:spacing w:val="-36"/>
          <w:w w:val="105"/>
        </w:rPr>
        <w:t> </w:t>
      </w:r>
      <w:r>
        <w:rPr>
          <w:color w:val="231F20"/>
          <w:spacing w:val="-3"/>
          <w:w w:val="105"/>
        </w:rPr>
        <w:t>Bean,</w:t>
      </w:r>
      <w:r>
        <w:rPr>
          <w:color w:val="231F20"/>
          <w:spacing w:val="-36"/>
          <w:w w:val="105"/>
        </w:rPr>
        <w:t> </w:t>
      </w:r>
      <w:r>
        <w:rPr>
          <w:color w:val="231F20"/>
          <w:spacing w:val="-5"/>
          <w:w w:val="105"/>
        </w:rPr>
        <w:t>Frank</w:t>
      </w:r>
      <w:r>
        <w:rPr>
          <w:color w:val="231F20"/>
          <w:spacing w:val="-33"/>
          <w:w w:val="105"/>
        </w:rPr>
        <w:t> </w:t>
      </w:r>
      <w:r>
        <w:rPr>
          <w:color w:val="231F20"/>
          <w:w w:val="105"/>
        </w:rPr>
        <w:t>y</w:t>
      </w:r>
      <w:r>
        <w:rPr>
          <w:color w:val="231F20"/>
          <w:spacing w:val="-33"/>
          <w:w w:val="105"/>
        </w:rPr>
        <w:t> </w:t>
      </w:r>
      <w:r>
        <w:rPr>
          <w:color w:val="231F20"/>
          <w:spacing w:val="-3"/>
          <w:w w:val="105"/>
        </w:rPr>
        <w:t>Espenshade,</w:t>
      </w:r>
      <w:r>
        <w:rPr>
          <w:color w:val="231F20"/>
          <w:spacing w:val="-39"/>
          <w:w w:val="105"/>
        </w:rPr>
        <w:t> </w:t>
      </w:r>
      <w:r>
        <w:rPr>
          <w:color w:val="231F20"/>
          <w:spacing w:val="-3"/>
          <w:w w:val="105"/>
        </w:rPr>
        <w:t>Thomas,</w:t>
      </w:r>
      <w:r>
        <w:rPr>
          <w:color w:val="231F20"/>
          <w:spacing w:val="-36"/>
          <w:w w:val="105"/>
        </w:rPr>
        <w:t> </w:t>
      </w:r>
      <w:r>
        <w:rPr>
          <w:color w:val="231F20"/>
          <w:spacing w:val="-3"/>
          <w:w w:val="105"/>
        </w:rPr>
        <w:t>(1990),</w:t>
      </w:r>
      <w:r>
        <w:rPr>
          <w:color w:val="231F20"/>
          <w:spacing w:val="-36"/>
          <w:w w:val="105"/>
        </w:rPr>
        <w:t> </w:t>
      </w:r>
      <w:r>
        <w:rPr>
          <w:color w:val="231F20"/>
          <w:w w:val="105"/>
        </w:rPr>
        <w:t>“The</w:t>
      </w:r>
      <w:r>
        <w:rPr>
          <w:color w:val="231F20"/>
          <w:spacing w:val="-33"/>
          <w:w w:val="105"/>
        </w:rPr>
        <w:t> </w:t>
      </w:r>
      <w:r>
        <w:rPr>
          <w:color w:val="231F20"/>
          <w:spacing w:val="-4"/>
          <w:w w:val="105"/>
        </w:rPr>
        <w:t>U.S.</w:t>
      </w:r>
      <w:r>
        <w:rPr>
          <w:color w:val="231F20"/>
          <w:spacing w:val="-36"/>
          <w:w w:val="105"/>
        </w:rPr>
        <w:t> </w:t>
      </w:r>
      <w:r>
        <w:rPr>
          <w:color w:val="231F20"/>
          <w:spacing w:val="-3"/>
          <w:w w:val="105"/>
        </w:rPr>
        <w:t>1986 </w:t>
      </w:r>
      <w:r>
        <w:rPr>
          <w:color w:val="231F20"/>
          <w:spacing w:val="-4"/>
          <w:w w:val="105"/>
        </w:rPr>
        <w:t>Immigration</w:t>
      </w:r>
      <w:r>
        <w:rPr>
          <w:color w:val="231F20"/>
          <w:spacing w:val="-15"/>
          <w:w w:val="105"/>
        </w:rPr>
        <w:t> </w:t>
      </w:r>
      <w:r>
        <w:rPr>
          <w:color w:val="231F20"/>
          <w:spacing w:val="-3"/>
          <w:w w:val="105"/>
        </w:rPr>
        <w:t>Reform</w:t>
      </w:r>
      <w:r>
        <w:rPr>
          <w:color w:val="231F20"/>
          <w:spacing w:val="-15"/>
          <w:w w:val="105"/>
        </w:rPr>
        <w:t> </w:t>
      </w:r>
      <w:r>
        <w:rPr>
          <w:color w:val="231F20"/>
          <w:w w:val="105"/>
        </w:rPr>
        <w:t>and</w:t>
      </w:r>
      <w:r>
        <w:rPr>
          <w:color w:val="231F20"/>
          <w:spacing w:val="-15"/>
          <w:w w:val="105"/>
        </w:rPr>
        <w:t> </w:t>
      </w:r>
      <w:r>
        <w:rPr>
          <w:color w:val="231F20"/>
          <w:spacing w:val="-4"/>
          <w:w w:val="105"/>
        </w:rPr>
        <w:t>Control</w:t>
      </w:r>
      <w:r>
        <w:rPr>
          <w:color w:val="231F20"/>
          <w:spacing w:val="-18"/>
          <w:w w:val="105"/>
        </w:rPr>
        <w:t> </w:t>
      </w:r>
      <w:r>
        <w:rPr>
          <w:color w:val="231F20"/>
          <w:w w:val="105"/>
        </w:rPr>
        <w:t>Act</w:t>
      </w:r>
      <w:r>
        <w:rPr>
          <w:color w:val="231F20"/>
          <w:spacing w:val="-15"/>
          <w:w w:val="105"/>
        </w:rPr>
        <w:t> </w:t>
      </w:r>
      <w:r>
        <w:rPr>
          <w:color w:val="231F20"/>
          <w:w w:val="105"/>
        </w:rPr>
        <w:t>and</w:t>
      </w:r>
      <w:r>
        <w:rPr>
          <w:color w:val="231F20"/>
          <w:spacing w:val="-15"/>
          <w:w w:val="105"/>
        </w:rPr>
        <w:t> </w:t>
      </w:r>
      <w:r>
        <w:rPr>
          <w:color w:val="231F20"/>
          <w:spacing w:val="-3"/>
          <w:w w:val="105"/>
        </w:rPr>
        <w:t>Undocumented</w:t>
      </w:r>
      <w:r>
        <w:rPr>
          <w:color w:val="231F20"/>
          <w:spacing w:val="-15"/>
          <w:w w:val="105"/>
        </w:rPr>
        <w:t> </w:t>
      </w:r>
      <w:r>
        <w:rPr>
          <w:color w:val="231F20"/>
          <w:spacing w:val="-4"/>
          <w:w w:val="105"/>
        </w:rPr>
        <w:t>Migration </w:t>
      </w:r>
      <w:r>
        <w:rPr>
          <w:color w:val="231F20"/>
          <w:w w:val="105"/>
        </w:rPr>
        <w:t>to</w:t>
      </w:r>
      <w:r>
        <w:rPr>
          <w:color w:val="231F20"/>
          <w:spacing w:val="-27"/>
          <w:w w:val="105"/>
        </w:rPr>
        <w:t> </w:t>
      </w:r>
      <w:r>
        <w:rPr>
          <w:color w:val="231F20"/>
          <w:w w:val="105"/>
        </w:rPr>
        <w:t>the</w:t>
      </w:r>
      <w:r>
        <w:rPr>
          <w:color w:val="231F20"/>
          <w:spacing w:val="-27"/>
          <w:w w:val="105"/>
        </w:rPr>
        <w:t> </w:t>
      </w:r>
      <w:r>
        <w:rPr>
          <w:color w:val="231F20"/>
          <w:spacing w:val="-3"/>
          <w:w w:val="105"/>
        </w:rPr>
        <w:t>United</w:t>
      </w:r>
      <w:r>
        <w:rPr>
          <w:color w:val="231F20"/>
          <w:spacing w:val="-27"/>
          <w:w w:val="105"/>
        </w:rPr>
        <w:t> </w:t>
      </w:r>
      <w:r>
        <w:rPr>
          <w:color w:val="231F20"/>
          <w:spacing w:val="-7"/>
          <w:w w:val="105"/>
        </w:rPr>
        <w:t>States”,</w:t>
      </w:r>
      <w:r>
        <w:rPr>
          <w:color w:val="231F20"/>
          <w:spacing w:val="-31"/>
          <w:w w:val="105"/>
        </w:rPr>
        <w:t> </w:t>
      </w:r>
      <w:r>
        <w:rPr>
          <w:rFonts w:ascii="Arial" w:hAnsi="Arial"/>
          <w:i/>
          <w:color w:val="231F20"/>
          <w:spacing w:val="-5"/>
          <w:w w:val="105"/>
        </w:rPr>
        <w:t>Population</w:t>
      </w:r>
      <w:r>
        <w:rPr>
          <w:rFonts w:ascii="Arial" w:hAnsi="Arial"/>
          <w:i/>
          <w:color w:val="231F20"/>
          <w:spacing w:val="-30"/>
          <w:w w:val="105"/>
        </w:rPr>
        <w:t> </w:t>
      </w:r>
      <w:r>
        <w:rPr>
          <w:rFonts w:ascii="Arial" w:hAnsi="Arial"/>
          <w:i/>
          <w:color w:val="231F20"/>
          <w:spacing w:val="-4"/>
          <w:w w:val="105"/>
        </w:rPr>
        <w:t>Research</w:t>
      </w:r>
      <w:r>
        <w:rPr>
          <w:rFonts w:ascii="Arial" w:hAnsi="Arial"/>
          <w:i/>
          <w:color w:val="231F20"/>
          <w:spacing w:val="-30"/>
          <w:w w:val="105"/>
        </w:rPr>
        <w:t> </w:t>
      </w:r>
      <w:r>
        <w:rPr>
          <w:rFonts w:ascii="Arial" w:hAnsi="Arial"/>
          <w:i/>
          <w:color w:val="231F20"/>
          <w:w w:val="105"/>
        </w:rPr>
        <w:t>and</w:t>
      </w:r>
      <w:r>
        <w:rPr>
          <w:rFonts w:ascii="Arial" w:hAnsi="Arial"/>
          <w:i/>
          <w:color w:val="231F20"/>
          <w:spacing w:val="-30"/>
          <w:w w:val="105"/>
        </w:rPr>
        <w:t> </w:t>
      </w:r>
      <w:r>
        <w:rPr>
          <w:rFonts w:ascii="Arial" w:hAnsi="Arial"/>
          <w:i/>
          <w:color w:val="231F20"/>
          <w:spacing w:val="-5"/>
          <w:w w:val="105"/>
        </w:rPr>
        <w:t>Policy</w:t>
      </w:r>
      <w:r>
        <w:rPr>
          <w:rFonts w:ascii="Arial" w:hAnsi="Arial"/>
          <w:i/>
          <w:color w:val="231F20"/>
          <w:spacing w:val="-30"/>
          <w:w w:val="105"/>
        </w:rPr>
        <w:t> </w:t>
      </w:r>
      <w:r>
        <w:rPr>
          <w:rFonts w:ascii="Arial" w:hAnsi="Arial"/>
          <w:i/>
          <w:color w:val="231F20"/>
          <w:spacing w:val="-3"/>
          <w:w w:val="105"/>
        </w:rPr>
        <w:t>Review</w:t>
      </w:r>
      <w:r>
        <w:rPr>
          <w:color w:val="231F20"/>
          <w:spacing w:val="-3"/>
          <w:w w:val="105"/>
        </w:rPr>
        <w:t>,</w:t>
      </w:r>
      <w:r>
        <w:rPr>
          <w:color w:val="231F20"/>
          <w:spacing w:val="-31"/>
          <w:w w:val="105"/>
        </w:rPr>
        <w:t> </w:t>
      </w:r>
      <w:r>
        <w:rPr>
          <w:color w:val="231F20"/>
          <w:spacing w:val="-3"/>
          <w:w w:val="105"/>
        </w:rPr>
        <w:t>vol.</w:t>
      </w:r>
      <w:r>
        <w:rPr>
          <w:color w:val="231F20"/>
          <w:spacing w:val="-31"/>
          <w:w w:val="105"/>
        </w:rPr>
        <w:t> </w:t>
      </w:r>
      <w:r>
        <w:rPr>
          <w:color w:val="231F20"/>
          <w:spacing w:val="-3"/>
          <w:w w:val="105"/>
        </w:rPr>
        <w:t>9, núm.</w:t>
      </w:r>
      <w:r>
        <w:rPr>
          <w:color w:val="231F20"/>
          <w:spacing w:val="-28"/>
          <w:w w:val="105"/>
        </w:rPr>
        <w:t> </w:t>
      </w:r>
      <w:r>
        <w:rPr>
          <w:color w:val="231F20"/>
          <w:spacing w:val="-3"/>
          <w:w w:val="105"/>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70296" from="131.551193pt,.203715pt" to="131.551193pt,36.006114pt" stroked="true" strokeweight=".35pt" strokecolor="#231f20">
            <w10:wrap type="none"/>
          </v:line>
        </w:pict>
      </w:r>
      <w:r>
        <w:rPr/>
        <w:pict>
          <v:line style="position:absolute;mso-position-horizontal-relative:page;mso-position-vertical-relative:paragraph;z-index:-470272" from="15pt,36.005917pt" to="0pt,36.005917pt" stroked="true" strokeweight=".25pt" strokecolor="#000000">
            <w10:wrap type="none"/>
          </v:line>
        </w:pict>
      </w:r>
      <w:r>
        <w:rPr/>
        <w:pict>
          <v:line style="position:absolute;mso-position-horizontal-relative:page;mso-position-vertical-relative:paragraph;z-index:19936" from="508.890015pt,36.005917pt" to="523.890015pt,36.005917pt" stroked="true" strokeweight=".25pt" strokecolor="#000000">
            <w10:wrap type="none"/>
          </v:line>
        </w:pict>
      </w:r>
      <w:r>
        <w:rPr>
          <w:rFonts w:ascii="Arial" w:hAnsi="Arial"/>
          <w:color w:val="414042"/>
          <w:w w:val="105"/>
          <w:position w:val="-5"/>
          <w:sz w:val="20"/>
        </w:rPr>
        <w:t>174</w:t>
        <w:tab/>
      </w:r>
      <w:r>
        <w:rPr>
          <w:rFonts w:ascii="Calibri" w:hAnsi="Calibri"/>
          <w:color w:val="6D6E71"/>
          <w:w w:val="105"/>
          <w:sz w:val="15"/>
        </w:rPr>
        <w:t>Ana</w:t>
      </w:r>
      <w:r>
        <w:rPr>
          <w:rFonts w:ascii="Calibri" w:hAnsi="Calibri"/>
          <w:color w:val="6D6E71"/>
          <w:spacing w:val="-12"/>
          <w:w w:val="105"/>
          <w:sz w:val="15"/>
        </w:rPr>
        <w:t> </w:t>
      </w:r>
      <w:r>
        <w:rPr>
          <w:rFonts w:ascii="Calibri" w:hAnsi="Calibri"/>
          <w:color w:val="6D6E71"/>
          <w:w w:val="105"/>
          <w:sz w:val="15"/>
        </w:rPr>
        <w:t>Elizabeth</w:t>
      </w:r>
      <w:r>
        <w:rPr>
          <w:rFonts w:ascii="Calibri" w:hAnsi="Calibri"/>
          <w:color w:val="6D6E71"/>
          <w:spacing w:val="-12"/>
          <w:w w:val="105"/>
          <w:sz w:val="15"/>
        </w:rPr>
        <w:t> </w:t>
      </w:r>
      <w:r>
        <w:rPr>
          <w:rFonts w:ascii="Calibri" w:hAnsi="Calibri"/>
          <w:color w:val="6D6E71"/>
          <w:w w:val="105"/>
          <w:sz w:val="15"/>
        </w:rPr>
        <w:t>Jardón</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Norma</w:t>
      </w:r>
      <w:r>
        <w:rPr>
          <w:rFonts w:ascii="Calibri" w:hAnsi="Calibri"/>
          <w:color w:val="6D6E71"/>
          <w:spacing w:val="-12"/>
          <w:w w:val="105"/>
          <w:sz w:val="15"/>
        </w:rPr>
        <w:t> </w:t>
      </w:r>
      <w:r>
        <w:rPr>
          <w:rFonts w:ascii="Calibri" w:hAnsi="Calibri"/>
          <w:color w:val="6D6E71"/>
          <w:w w:val="105"/>
          <w:sz w:val="15"/>
        </w:rPr>
        <w:t>Baca</w:t>
      </w:r>
      <w:r>
        <w:rPr>
          <w:rFonts w:ascii="Calibri" w:hAnsi="Calibri"/>
          <w:color w:val="6D6E71"/>
          <w:spacing w:val="-14"/>
          <w:w w:val="105"/>
          <w:sz w:val="15"/>
        </w:rPr>
        <w:t> </w:t>
      </w:r>
      <w:r>
        <w:rPr>
          <w:rFonts w:ascii="Calibri" w:hAnsi="Calibri"/>
          <w:color w:val="6D6E71"/>
          <w:spacing w:val="-2"/>
          <w:w w:val="105"/>
          <w:sz w:val="15"/>
        </w:rPr>
        <w:t>Tavira</w:t>
      </w:r>
      <w:r>
        <w:rPr>
          <w:rFonts w:ascii="Calibri" w:hAnsi="Calibri"/>
          <w:color w:val="6D6E71"/>
          <w:spacing w:val="-12"/>
          <w:w w:val="105"/>
          <w:sz w:val="15"/>
        </w:rPr>
        <w:t> </w:t>
      </w:r>
      <w:r>
        <w:rPr>
          <w:rFonts w:ascii="Calibri" w:hAnsi="Calibri"/>
          <w:color w:val="6D6E71"/>
          <w:w w:val="105"/>
          <w:sz w:val="15"/>
        </w:rPr>
        <w:t>e</w:t>
      </w:r>
      <w:r>
        <w:rPr>
          <w:rFonts w:ascii="Calibri" w:hAnsi="Calibri"/>
          <w:color w:val="6D6E71"/>
          <w:spacing w:val="-12"/>
          <w:w w:val="105"/>
          <w:sz w:val="15"/>
        </w:rPr>
        <w:t> </w:t>
      </w:r>
      <w:r>
        <w:rPr>
          <w:rFonts w:ascii="Calibri" w:hAnsi="Calibri"/>
          <w:color w:val="6D6E71"/>
          <w:w w:val="105"/>
          <w:sz w:val="15"/>
        </w:rPr>
        <w:t>Itzel</w:t>
      </w:r>
      <w:r>
        <w:rPr>
          <w:rFonts w:ascii="Calibri" w:hAnsi="Calibri"/>
          <w:color w:val="6D6E71"/>
          <w:spacing w:val="-12"/>
          <w:w w:val="105"/>
          <w:sz w:val="15"/>
        </w:rPr>
        <w:t> </w:t>
      </w:r>
      <w:r>
        <w:rPr>
          <w:rFonts w:ascii="Calibri" w:hAnsi="Calibri"/>
          <w:color w:val="6D6E71"/>
          <w:w w:val="105"/>
          <w:sz w:val="15"/>
        </w:rPr>
        <w:t>Hernández</w:t>
      </w:r>
      <w:r>
        <w:rPr>
          <w:rFonts w:ascii="Calibri" w:hAnsi="Calibri"/>
          <w:color w:val="6D6E71"/>
          <w:spacing w:val="-12"/>
          <w:w w:val="105"/>
          <w:sz w:val="15"/>
        </w:rPr>
        <w:t> </w:t>
      </w:r>
      <w:r>
        <w:rPr>
          <w:rFonts w:ascii="Calibri" w:hAnsi="Calibri"/>
          <w:color w:val="6D6E71"/>
          <w:w w:val="105"/>
          <w:sz w:val="15"/>
        </w:rPr>
        <w:t>Lara</w:t>
      </w:r>
    </w:p>
    <w:p>
      <w:pPr>
        <w:spacing w:after="0"/>
        <w:jc w:val="left"/>
        <w:rPr>
          <w:rFonts w:ascii="Calibri" w:hAnsi="Calibri"/>
          <w:sz w:val="15"/>
        </w:rPr>
        <w:sectPr>
          <w:headerReference w:type="default" r:id="rId148"/>
          <w:pgSz w:w="10480" w:h="14730"/>
          <w:pgMar w:header="0" w:footer="103" w:top="420" w:bottom="300" w:left="0" w:right="0"/>
        </w:sectPr>
      </w:pPr>
    </w:p>
    <w:p>
      <w:pPr>
        <w:pStyle w:val="BodyText"/>
        <w:rPr>
          <w:rFonts w:ascii="Calibri"/>
          <w:sz w:val="20"/>
        </w:rPr>
      </w:pPr>
      <w:r>
        <w:rPr/>
        <w:pict>
          <v:group style="position:absolute;margin-left:21pt;margin-top:20.999975pt;width:481.9pt;height:694.5pt;mso-position-horizontal-relative:page;mso-position-vertical-relative:page;z-index:-470224" coordorigin="420,420" coordsize="9638,13890">
            <v:rect style="position:absolute;left:420;top:420;width:9638;height:13890" filled="true" fillcolor="#77787b" stroked="false">
              <v:fill type="solid"/>
            </v:rect>
            <v:shape style="position:absolute;left:420;top:6577;width:9638;height:7733" type="#_x0000_t75" stroked="false">
              <v:imagedata r:id="rId101" o:title=""/>
            </v:shape>
            <w10:wrap type="none"/>
          </v:group>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15"/>
        </w:rPr>
      </w:pPr>
    </w:p>
    <w:p>
      <w:pPr>
        <w:pStyle w:val="Heading2"/>
        <w:spacing w:line="187" w:lineRule="auto" w:before="63"/>
        <w:ind w:left="2981" w:right="4784" w:firstLine="34"/>
        <w:jc w:val="both"/>
      </w:pPr>
      <w:r>
        <w:rPr>
          <w:color w:val="FFFFFF"/>
          <w:spacing w:val="-3"/>
          <w:w w:val="95"/>
        </w:rPr>
        <w:t>ACCESO</w:t>
      </w:r>
      <w:r>
        <w:rPr>
          <w:color w:val="FFFFFF"/>
          <w:spacing w:val="-42"/>
          <w:w w:val="95"/>
        </w:rPr>
        <w:t> </w:t>
      </w:r>
      <w:r>
        <w:rPr>
          <w:color w:val="FFFFFF"/>
          <w:w w:val="95"/>
        </w:rPr>
        <w:t>A</w:t>
      </w:r>
      <w:r>
        <w:rPr>
          <w:color w:val="FFFFFF"/>
          <w:spacing w:val="-42"/>
          <w:w w:val="95"/>
        </w:rPr>
        <w:t> </w:t>
      </w:r>
      <w:r>
        <w:rPr>
          <w:color w:val="FFFFFF"/>
          <w:w w:val="95"/>
        </w:rPr>
        <w:t>LOS</w:t>
      </w:r>
      <w:r>
        <w:rPr>
          <w:color w:val="FFFFFF"/>
          <w:spacing w:val="-42"/>
          <w:w w:val="95"/>
        </w:rPr>
        <w:t> </w:t>
      </w:r>
      <w:r>
        <w:rPr>
          <w:color w:val="FFFFFF"/>
          <w:w w:val="95"/>
        </w:rPr>
        <w:t>SERVICIOS DE</w:t>
      </w:r>
      <w:r>
        <w:rPr>
          <w:color w:val="FFFFFF"/>
          <w:spacing w:val="-39"/>
          <w:w w:val="95"/>
        </w:rPr>
        <w:t> </w:t>
      </w:r>
      <w:r>
        <w:rPr>
          <w:color w:val="FFFFFF"/>
          <w:w w:val="95"/>
        </w:rPr>
        <w:t>SALUD</w:t>
      </w:r>
      <w:r>
        <w:rPr>
          <w:color w:val="FFFFFF"/>
          <w:spacing w:val="-39"/>
          <w:w w:val="95"/>
        </w:rPr>
        <w:t> </w:t>
      </w:r>
      <w:r>
        <w:rPr>
          <w:color w:val="FFFFFF"/>
          <w:w w:val="95"/>
        </w:rPr>
        <w:t>DE</w:t>
      </w:r>
      <w:r>
        <w:rPr>
          <w:color w:val="FFFFFF"/>
          <w:spacing w:val="-39"/>
          <w:w w:val="95"/>
        </w:rPr>
        <w:t> </w:t>
      </w:r>
      <w:r>
        <w:rPr>
          <w:color w:val="FFFFFF"/>
          <w:w w:val="95"/>
        </w:rPr>
        <w:t>MIftRANTES </w:t>
      </w:r>
      <w:r>
        <w:rPr>
          <w:color w:val="FFFFFF"/>
        </w:rPr>
        <w:t>MEXIqUENSES</w:t>
      </w:r>
    </w:p>
    <w:p>
      <w:pPr>
        <w:tabs>
          <w:tab w:pos="5020" w:val="left" w:leader="none"/>
        </w:tabs>
        <w:spacing w:line="187" w:lineRule="auto" w:before="0"/>
        <w:ind w:left="3832" w:right="4784" w:hanging="29"/>
        <w:jc w:val="left"/>
        <w:rPr>
          <w:rFonts w:ascii="Lucida Sans Unicode"/>
          <w:sz w:val="24"/>
        </w:rPr>
      </w:pPr>
      <w:r>
        <w:rPr>
          <w:rFonts w:ascii="Lucida Sans Unicode"/>
          <w:color w:val="FFFFFF"/>
          <w:sz w:val="24"/>
        </w:rPr>
        <w:t>PROCEDENTES ESTADOS</w:t>
        <w:tab/>
      </w:r>
      <w:r>
        <w:rPr>
          <w:rFonts w:ascii="Lucida Sans Unicode"/>
          <w:color w:val="FFFFFF"/>
          <w:w w:val="90"/>
          <w:sz w:val="24"/>
        </w:rPr>
        <w:t>NIDOS</w:t>
      </w:r>
    </w:p>
    <w:p>
      <w:pPr>
        <w:pStyle w:val="Heading4"/>
        <w:spacing w:before="110"/>
        <w:ind w:left="5703"/>
        <w:rPr>
          <w:sz w:val="18"/>
        </w:rPr>
      </w:pPr>
      <w:r>
        <w:rPr>
          <w:color w:val="FFFFFF"/>
          <w:w w:val="105"/>
        </w:rPr>
        <w:t>Giovanni Alberto Macías Suárez</w:t>
      </w:r>
      <w:r>
        <w:rPr>
          <w:color w:val="FFFFFF"/>
          <w:w w:val="105"/>
          <w:sz w:val="18"/>
        </w:rPr>
        <w: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8"/>
        </w:rPr>
      </w:pPr>
    </w:p>
    <w:p>
      <w:pPr>
        <w:spacing w:line="182" w:lineRule="exact" w:before="70"/>
        <w:ind w:left="2126" w:right="0" w:firstLine="0"/>
        <w:jc w:val="left"/>
        <w:rPr>
          <w:rFonts w:ascii="Calibri" w:hAnsi="Calibri"/>
          <w:sz w:val="15"/>
        </w:rPr>
      </w:pPr>
      <w:r>
        <w:rPr>
          <w:rFonts w:ascii="Calibri" w:hAnsi="Calibri"/>
          <w:color w:val="FFFFFF"/>
          <w:sz w:val="15"/>
        </w:rPr>
        <w:t>* Maestro en Demografía. Consultor independiente en investigación en salud y demografía (</w:t>
      </w:r>
      <w:r>
        <w:rPr>
          <w:rFonts w:ascii="Calibri" w:hAnsi="Calibri"/>
          <w:color w:val="FFFFFF"/>
          <w:sz w:val="13"/>
        </w:rPr>
        <w:t>INSAD</w:t>
      </w:r>
      <w:r>
        <w:rPr>
          <w:rFonts w:ascii="Calibri" w:hAnsi="Calibri"/>
          <w:color w:val="FFFFFF"/>
          <w:sz w:val="15"/>
        </w:rPr>
        <w:t>).</w:t>
      </w:r>
    </w:p>
    <w:p>
      <w:pPr>
        <w:spacing w:line="182" w:lineRule="exact" w:before="0"/>
        <w:ind w:left="2126" w:right="0" w:firstLine="0"/>
        <w:jc w:val="left"/>
        <w:rPr>
          <w:rFonts w:ascii="Calibri"/>
          <w:i/>
          <w:sz w:val="15"/>
        </w:rPr>
      </w:pPr>
      <w:hyperlink r:id="rId151">
        <w:r>
          <w:rPr>
            <w:rFonts w:ascii="Calibri"/>
            <w:i/>
            <w:color w:val="FFFFFF"/>
            <w:sz w:val="15"/>
          </w:rPr>
          <w:t>suarezgam@hotmail.com</w:t>
        </w:r>
      </w:hyperlink>
    </w:p>
    <w:p>
      <w:pPr>
        <w:spacing w:after="0" w:line="182" w:lineRule="exact"/>
        <w:jc w:val="left"/>
        <w:rPr>
          <w:rFonts w:ascii="Calibri"/>
          <w:sz w:val="15"/>
        </w:rPr>
        <w:sectPr>
          <w:footerReference w:type="default" r:id="rId150"/>
          <w:pgSz w:w="10480" w:h="14730"/>
          <w:pgMar w:footer="223" w:header="0" w:top="420" w:bottom="420" w:left="0" w:right="0"/>
        </w:sectPr>
      </w:pPr>
    </w:p>
    <w:p>
      <w:pPr>
        <w:pStyle w:val="BodyText"/>
        <w:spacing w:before="4"/>
        <w:rPr>
          <w:rFonts w:ascii="Times New Roman"/>
          <w:sz w:val="17"/>
        </w:rPr>
      </w:pPr>
    </w:p>
    <w:p>
      <w:pPr>
        <w:spacing w:after="0"/>
        <w:rPr>
          <w:rFonts w:ascii="Times New Roman"/>
          <w:sz w:val="17"/>
        </w:rPr>
        <w:sectPr>
          <w:footerReference w:type="default" r:id="rId152"/>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21"/>
        <w:jc w:val="both"/>
      </w:pPr>
      <w:r>
        <w:rPr/>
        <w:pict>
          <v:shape style="position:absolute;margin-left:103.218903pt;margin-top:12.15432pt;width:31.2pt;height:51pt;mso-position-horizontal-relative:page;mso-position-vertical-relative:paragraph;z-index:19984"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n</w:t>
      </w:r>
      <w:r>
        <w:rPr>
          <w:color w:val="231F20"/>
          <w:spacing w:val="-12"/>
          <w:w w:val="105"/>
        </w:rPr>
        <w:t> </w:t>
      </w:r>
      <w:r>
        <w:rPr>
          <w:color w:val="231F20"/>
          <w:w w:val="105"/>
        </w:rPr>
        <w:t>las</w:t>
      </w:r>
      <w:r>
        <w:rPr>
          <w:color w:val="231F20"/>
          <w:spacing w:val="-12"/>
          <w:w w:val="105"/>
        </w:rPr>
        <w:t> </w:t>
      </w:r>
      <w:r>
        <w:rPr>
          <w:color w:val="231F20"/>
          <w:w w:val="105"/>
        </w:rPr>
        <w:t>últimas</w:t>
      </w:r>
      <w:r>
        <w:rPr>
          <w:color w:val="231F20"/>
          <w:spacing w:val="-12"/>
          <w:w w:val="105"/>
        </w:rPr>
        <w:t> </w:t>
      </w:r>
      <w:r>
        <w:rPr>
          <w:color w:val="231F20"/>
          <w:w w:val="105"/>
        </w:rPr>
        <w:t>décadas</w:t>
      </w:r>
      <w:r>
        <w:rPr>
          <w:color w:val="231F20"/>
          <w:spacing w:val="-12"/>
          <w:w w:val="105"/>
        </w:rPr>
        <w:t> </w:t>
      </w:r>
      <w:r>
        <w:rPr>
          <w:color w:val="231F20"/>
          <w:w w:val="105"/>
        </w:rPr>
        <w:t>la</w:t>
      </w:r>
      <w:r>
        <w:rPr>
          <w:color w:val="231F20"/>
          <w:spacing w:val="-12"/>
          <w:w w:val="105"/>
        </w:rPr>
        <w:t> </w:t>
      </w:r>
      <w:r>
        <w:rPr>
          <w:color w:val="231F20"/>
          <w:w w:val="105"/>
        </w:rPr>
        <w:t>movilidad</w:t>
      </w:r>
      <w:r>
        <w:rPr>
          <w:color w:val="231F20"/>
          <w:spacing w:val="-12"/>
          <w:w w:val="105"/>
        </w:rPr>
        <w:t> </w:t>
      </w:r>
      <w:r>
        <w:rPr>
          <w:color w:val="231F20"/>
          <w:w w:val="105"/>
        </w:rPr>
        <w:t>poblacional</w:t>
      </w:r>
      <w:r>
        <w:rPr>
          <w:color w:val="231F20"/>
          <w:spacing w:val="-12"/>
          <w:w w:val="105"/>
        </w:rPr>
        <w:t> </w:t>
      </w:r>
      <w:r>
        <w:rPr>
          <w:color w:val="231F20"/>
          <w:w w:val="105"/>
        </w:rPr>
        <w:t>de</w:t>
      </w:r>
      <w:r>
        <w:rPr>
          <w:color w:val="231F20"/>
          <w:spacing w:val="-12"/>
          <w:w w:val="105"/>
        </w:rPr>
        <w:t> </w:t>
      </w:r>
      <w:r>
        <w:rPr>
          <w:color w:val="231F20"/>
          <w:w w:val="105"/>
        </w:rPr>
        <w:t>mexicanos hacia</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se</w:t>
      </w:r>
      <w:r>
        <w:rPr>
          <w:color w:val="231F20"/>
          <w:spacing w:val="-14"/>
          <w:w w:val="105"/>
        </w:rPr>
        <w:t> </w:t>
      </w:r>
      <w:r>
        <w:rPr>
          <w:color w:val="231F20"/>
          <w:w w:val="105"/>
        </w:rPr>
        <w:t>ha</w:t>
      </w:r>
      <w:r>
        <w:rPr>
          <w:color w:val="231F20"/>
          <w:spacing w:val="-14"/>
          <w:w w:val="105"/>
        </w:rPr>
        <w:t> </w:t>
      </w:r>
      <w:r>
        <w:rPr>
          <w:color w:val="231F20"/>
          <w:w w:val="105"/>
        </w:rPr>
        <w:t>incrementado</w:t>
      </w:r>
      <w:r>
        <w:rPr>
          <w:color w:val="231F20"/>
          <w:spacing w:val="-14"/>
          <w:w w:val="105"/>
        </w:rPr>
        <w:t> </w:t>
      </w:r>
      <w:r>
        <w:rPr>
          <w:color w:val="231F20"/>
          <w:w w:val="105"/>
        </w:rPr>
        <w:t>considerablemen- te,</w:t>
      </w:r>
      <w:r>
        <w:rPr>
          <w:color w:val="231F20"/>
          <w:spacing w:val="-12"/>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cada</w:t>
      </w:r>
      <w:r>
        <w:rPr>
          <w:color w:val="231F20"/>
          <w:spacing w:val="-8"/>
          <w:w w:val="105"/>
        </w:rPr>
        <w:t> </w:t>
      </w:r>
      <w:r>
        <w:rPr>
          <w:color w:val="231F20"/>
          <w:w w:val="105"/>
        </w:rPr>
        <w:t>vez</w:t>
      </w:r>
      <w:r>
        <w:rPr>
          <w:color w:val="231F20"/>
          <w:spacing w:val="-8"/>
          <w:w w:val="105"/>
        </w:rPr>
        <w:t> </w:t>
      </w:r>
      <w:r>
        <w:rPr>
          <w:color w:val="231F20"/>
          <w:w w:val="105"/>
        </w:rPr>
        <w:t>mayor</w:t>
      </w:r>
      <w:r>
        <w:rPr>
          <w:color w:val="231F20"/>
          <w:spacing w:val="-8"/>
          <w:w w:val="105"/>
        </w:rPr>
        <w:t> </w:t>
      </w:r>
      <w:r>
        <w:rPr>
          <w:color w:val="231F20"/>
          <w:w w:val="105"/>
        </w:rPr>
        <w:t>presencia</w:t>
      </w:r>
      <w:r>
        <w:rPr>
          <w:color w:val="231F20"/>
          <w:spacing w:val="-8"/>
          <w:w w:val="105"/>
        </w:rPr>
        <w:t> </w:t>
      </w:r>
      <w:r>
        <w:rPr>
          <w:color w:val="231F20"/>
          <w:w w:val="105"/>
        </w:rPr>
        <w:t>de</w:t>
      </w:r>
      <w:r>
        <w:rPr>
          <w:color w:val="231F20"/>
          <w:spacing w:val="-8"/>
          <w:w w:val="105"/>
        </w:rPr>
        <w:t> </w:t>
      </w:r>
      <w:r>
        <w:rPr>
          <w:color w:val="231F20"/>
          <w:w w:val="105"/>
        </w:rPr>
        <w:t>personas</w:t>
      </w:r>
      <w:r>
        <w:rPr>
          <w:color w:val="231F20"/>
          <w:spacing w:val="-8"/>
          <w:w w:val="105"/>
        </w:rPr>
        <w:t> </w:t>
      </w:r>
      <w:r>
        <w:rPr>
          <w:color w:val="231F20"/>
          <w:w w:val="105"/>
        </w:rPr>
        <w:t>que</w:t>
      </w:r>
      <w:r>
        <w:rPr>
          <w:color w:val="231F20"/>
          <w:spacing w:val="-8"/>
          <w:w w:val="105"/>
        </w:rPr>
        <w:t> </w:t>
      </w:r>
      <w:r>
        <w:rPr>
          <w:color w:val="231F20"/>
          <w:w w:val="105"/>
        </w:rPr>
        <w:t>van</w:t>
      </w:r>
      <w:r>
        <w:rPr>
          <w:color w:val="231F20"/>
          <w:spacing w:val="-8"/>
          <w:w w:val="105"/>
        </w:rPr>
        <w:t> </w:t>
      </w:r>
      <w:r>
        <w:rPr>
          <w:color w:val="231F20"/>
          <w:w w:val="105"/>
        </w:rPr>
        <w:t>en busca de mejores oportunidades de vida, empleo y educa- ción. No obstante, las condiciones encontradas en el</w:t>
      </w:r>
      <w:r>
        <w:rPr>
          <w:color w:val="231F20"/>
          <w:spacing w:val="3"/>
          <w:w w:val="105"/>
        </w:rPr>
        <w:t> </w:t>
      </w:r>
      <w:r>
        <w:rPr>
          <w:color w:val="231F20"/>
          <w:w w:val="105"/>
        </w:rPr>
        <w:t>vecino</w:t>
      </w:r>
    </w:p>
    <w:p>
      <w:pPr>
        <w:pStyle w:val="BodyText"/>
        <w:spacing w:line="261" w:lineRule="auto" w:before="1"/>
        <w:ind w:left="1837" w:right="1722"/>
        <w:jc w:val="both"/>
      </w:pPr>
      <w:r>
        <w:rPr>
          <w:color w:val="231F20"/>
          <w:w w:val="105"/>
        </w:rPr>
        <w:t>país del norte no siempre son las mejores, pues se generan problemas en</w:t>
      </w:r>
      <w:r>
        <w:rPr>
          <w:color w:val="231F20"/>
          <w:spacing w:val="-12"/>
          <w:w w:val="105"/>
        </w:rPr>
        <w:t> </w:t>
      </w:r>
      <w:r>
        <w:rPr>
          <w:color w:val="231F20"/>
          <w:w w:val="105"/>
        </w:rPr>
        <w:t>contra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salud,</w:t>
      </w:r>
      <w:r>
        <w:rPr>
          <w:color w:val="231F20"/>
          <w:spacing w:val="-18"/>
          <w:w w:val="105"/>
        </w:rPr>
        <w:t> </w:t>
      </w:r>
      <w:r>
        <w:rPr>
          <w:color w:val="231F20"/>
          <w:w w:val="105"/>
        </w:rPr>
        <w:t>alteración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cultura</w:t>
      </w:r>
      <w:r>
        <w:rPr>
          <w:color w:val="231F20"/>
          <w:spacing w:val="-12"/>
          <w:w w:val="105"/>
        </w:rPr>
        <w:t> </w:t>
      </w:r>
      <w:r>
        <w:rPr>
          <w:color w:val="231F20"/>
          <w:w w:val="105"/>
        </w:rPr>
        <w:t>y</w:t>
      </w:r>
      <w:r>
        <w:rPr>
          <w:color w:val="231F20"/>
          <w:spacing w:val="-12"/>
          <w:w w:val="105"/>
        </w:rPr>
        <w:t> </w:t>
      </w:r>
      <w:r>
        <w:rPr>
          <w:color w:val="231F20"/>
          <w:w w:val="105"/>
        </w:rPr>
        <w:t>deterioro</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w w:val="105"/>
        </w:rPr>
        <w:t>condición </w:t>
      </w:r>
      <w:r>
        <w:rPr>
          <w:color w:val="231F20"/>
        </w:rPr>
        <w:t>social (Álvarez y Reguera,</w:t>
      </w:r>
      <w:r>
        <w:rPr>
          <w:color w:val="231F20"/>
          <w:spacing w:val="-27"/>
        </w:rPr>
        <w:t> </w:t>
      </w:r>
      <w:r>
        <w:rPr>
          <w:color w:val="231F20"/>
        </w:rPr>
        <w:t>2009).</w:t>
      </w:r>
    </w:p>
    <w:p>
      <w:pPr>
        <w:pStyle w:val="BodyText"/>
        <w:spacing w:line="261" w:lineRule="auto" w:before="1"/>
        <w:ind w:left="1837" w:right="1714" w:firstLine="567"/>
        <w:jc w:val="both"/>
      </w:pPr>
      <w:r>
        <w:rPr>
          <w:color w:val="231F20"/>
          <w:w w:val="105"/>
        </w:rPr>
        <w:t>Uno de los principales problemas de los migrantes mexicanos en los</w:t>
      </w:r>
      <w:r>
        <w:rPr>
          <w:color w:val="231F20"/>
          <w:spacing w:val="-30"/>
          <w:w w:val="105"/>
        </w:rPr>
        <w:t> </w:t>
      </w:r>
      <w:r>
        <w:rPr>
          <w:color w:val="231F20"/>
          <w:w w:val="105"/>
        </w:rPr>
        <w:t>Estados</w:t>
      </w:r>
      <w:r>
        <w:rPr>
          <w:color w:val="231F20"/>
          <w:spacing w:val="-30"/>
          <w:w w:val="105"/>
        </w:rPr>
        <w:t> </w:t>
      </w:r>
      <w:r>
        <w:rPr>
          <w:color w:val="231F20"/>
          <w:w w:val="105"/>
        </w:rPr>
        <w:t>Unidos</w:t>
      </w:r>
      <w:r>
        <w:rPr>
          <w:color w:val="231F20"/>
          <w:spacing w:val="-30"/>
          <w:w w:val="105"/>
        </w:rPr>
        <w:t> </w:t>
      </w:r>
      <w:r>
        <w:rPr>
          <w:color w:val="231F20"/>
          <w:w w:val="105"/>
        </w:rPr>
        <w:t>es</w:t>
      </w:r>
      <w:r>
        <w:rPr>
          <w:color w:val="231F20"/>
          <w:spacing w:val="-30"/>
          <w:w w:val="105"/>
        </w:rPr>
        <w:t> </w:t>
      </w:r>
      <w:r>
        <w:rPr>
          <w:color w:val="231F20"/>
          <w:w w:val="105"/>
        </w:rPr>
        <w:t>la</w:t>
      </w:r>
      <w:r>
        <w:rPr>
          <w:color w:val="231F20"/>
          <w:spacing w:val="-30"/>
          <w:w w:val="105"/>
        </w:rPr>
        <w:t> </w:t>
      </w:r>
      <w:r>
        <w:rPr>
          <w:color w:val="231F20"/>
          <w:w w:val="105"/>
        </w:rPr>
        <w:t>falta</w:t>
      </w:r>
      <w:r>
        <w:rPr>
          <w:color w:val="231F20"/>
          <w:spacing w:val="-30"/>
          <w:w w:val="105"/>
        </w:rPr>
        <w:t> </w:t>
      </w:r>
      <w:r>
        <w:rPr>
          <w:color w:val="231F20"/>
          <w:w w:val="105"/>
        </w:rPr>
        <w:t>de</w:t>
      </w:r>
      <w:r>
        <w:rPr>
          <w:color w:val="231F20"/>
          <w:spacing w:val="-30"/>
          <w:w w:val="105"/>
        </w:rPr>
        <w:t> </w:t>
      </w:r>
      <w:r>
        <w:rPr>
          <w:color w:val="231F20"/>
          <w:w w:val="105"/>
        </w:rPr>
        <w:t>acceso</w:t>
      </w:r>
      <w:r>
        <w:rPr>
          <w:color w:val="231F20"/>
          <w:spacing w:val="-30"/>
          <w:w w:val="105"/>
        </w:rPr>
        <w:t> </w:t>
      </w:r>
      <w:r>
        <w:rPr>
          <w:color w:val="231F20"/>
          <w:w w:val="105"/>
        </w:rPr>
        <w:t>a</w:t>
      </w:r>
      <w:r>
        <w:rPr>
          <w:color w:val="231F20"/>
          <w:spacing w:val="-30"/>
          <w:w w:val="105"/>
        </w:rPr>
        <w:t> </w:t>
      </w:r>
      <w:r>
        <w:rPr>
          <w:color w:val="231F20"/>
          <w:w w:val="105"/>
        </w:rPr>
        <w:t>los</w:t>
      </w:r>
      <w:r>
        <w:rPr>
          <w:color w:val="231F20"/>
          <w:spacing w:val="-30"/>
          <w:w w:val="105"/>
        </w:rPr>
        <w:t> </w:t>
      </w:r>
      <w:r>
        <w:rPr>
          <w:color w:val="231F20"/>
          <w:w w:val="105"/>
        </w:rPr>
        <w:t>servicios</w:t>
      </w:r>
      <w:r>
        <w:rPr>
          <w:color w:val="231F20"/>
          <w:spacing w:val="-30"/>
          <w:w w:val="105"/>
        </w:rPr>
        <w:t> </w:t>
      </w:r>
      <w:r>
        <w:rPr>
          <w:color w:val="231F20"/>
          <w:w w:val="105"/>
        </w:rPr>
        <w:t>de</w:t>
      </w:r>
      <w:r>
        <w:rPr>
          <w:color w:val="231F20"/>
          <w:spacing w:val="-30"/>
          <w:w w:val="105"/>
        </w:rPr>
        <w:t> </w:t>
      </w:r>
      <w:r>
        <w:rPr>
          <w:color w:val="231F20"/>
          <w:w w:val="105"/>
        </w:rPr>
        <w:t>salud,</w:t>
      </w:r>
      <w:r>
        <w:rPr>
          <w:color w:val="231F20"/>
          <w:spacing w:val="-35"/>
          <w:w w:val="105"/>
        </w:rPr>
        <w:t> </w:t>
      </w:r>
      <w:r>
        <w:rPr>
          <w:color w:val="231F20"/>
          <w:w w:val="105"/>
        </w:rPr>
        <w:t>originado en</w:t>
      </w:r>
      <w:r>
        <w:rPr>
          <w:color w:val="231F20"/>
          <w:spacing w:val="-12"/>
          <w:w w:val="105"/>
        </w:rPr>
        <w:t> </w:t>
      </w:r>
      <w:r>
        <w:rPr>
          <w:color w:val="231F20"/>
          <w:w w:val="105"/>
        </w:rPr>
        <w:t>parte</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desigualdad</w:t>
      </w:r>
      <w:r>
        <w:rPr>
          <w:color w:val="231F20"/>
          <w:spacing w:val="-12"/>
          <w:w w:val="105"/>
        </w:rPr>
        <w:t> </w:t>
      </w:r>
      <w:r>
        <w:rPr>
          <w:color w:val="231F20"/>
          <w:w w:val="105"/>
        </w:rPr>
        <w:t>presente</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sistema</w:t>
      </w:r>
      <w:r>
        <w:rPr>
          <w:color w:val="231F20"/>
          <w:spacing w:val="-12"/>
          <w:w w:val="105"/>
        </w:rPr>
        <w:t> </w:t>
      </w:r>
      <w:r>
        <w:rPr>
          <w:color w:val="231F20"/>
          <w:w w:val="105"/>
        </w:rPr>
        <w:t>de</w:t>
      </w:r>
      <w:r>
        <w:rPr>
          <w:color w:val="231F20"/>
          <w:spacing w:val="-12"/>
          <w:w w:val="105"/>
        </w:rPr>
        <w:t> </w:t>
      </w:r>
      <w:r>
        <w:rPr>
          <w:color w:val="231F20"/>
          <w:w w:val="105"/>
        </w:rPr>
        <w:t>salud</w:t>
      </w:r>
      <w:r>
        <w:rPr>
          <w:color w:val="231F20"/>
          <w:spacing w:val="-12"/>
          <w:w w:val="105"/>
        </w:rPr>
        <w:t> </w:t>
      </w:r>
      <w:r>
        <w:rPr>
          <w:color w:val="231F20"/>
          <w:w w:val="105"/>
        </w:rPr>
        <w:t>de</w:t>
      </w:r>
      <w:r>
        <w:rPr>
          <w:color w:val="231F20"/>
          <w:spacing w:val="-12"/>
          <w:w w:val="105"/>
        </w:rPr>
        <w:t> </w:t>
      </w:r>
      <w:r>
        <w:rPr>
          <w:color w:val="231F20"/>
          <w:w w:val="105"/>
        </w:rPr>
        <w:t>ese</w:t>
      </w:r>
      <w:r>
        <w:rPr>
          <w:color w:val="231F20"/>
          <w:spacing w:val="-12"/>
          <w:w w:val="105"/>
        </w:rPr>
        <w:t> </w:t>
      </w:r>
      <w:r>
        <w:rPr>
          <w:color w:val="231F20"/>
          <w:w w:val="105"/>
        </w:rPr>
        <w:t>país. Esto repercute en que una gran cantidad de su población carezca de seguridad médica, y por ende, cuente con un limitado acceso a dichos servicios,</w:t>
      </w:r>
      <w:r>
        <w:rPr>
          <w:color w:val="231F20"/>
          <w:spacing w:val="-25"/>
          <w:w w:val="105"/>
        </w:rPr>
        <w:t> </w:t>
      </w:r>
      <w:r>
        <w:rPr>
          <w:color w:val="231F20"/>
          <w:w w:val="105"/>
        </w:rPr>
        <w:t>dificultando</w:t>
      </w:r>
      <w:r>
        <w:rPr>
          <w:color w:val="231F20"/>
          <w:spacing w:val="-20"/>
          <w:w w:val="105"/>
        </w:rPr>
        <w:t> </w:t>
      </w:r>
      <w:r>
        <w:rPr>
          <w:color w:val="231F20"/>
          <w:w w:val="105"/>
        </w:rPr>
        <w:t>así</w:t>
      </w:r>
      <w:r>
        <w:rPr>
          <w:color w:val="231F20"/>
          <w:spacing w:val="-20"/>
          <w:w w:val="105"/>
        </w:rPr>
        <w:t> </w:t>
      </w:r>
      <w:r>
        <w:rPr>
          <w:color w:val="231F20"/>
          <w:w w:val="105"/>
        </w:rPr>
        <w:t>la</w:t>
      </w:r>
      <w:r>
        <w:rPr>
          <w:color w:val="231F20"/>
          <w:spacing w:val="-20"/>
          <w:w w:val="105"/>
        </w:rPr>
        <w:t> </w:t>
      </w:r>
      <w:r>
        <w:rPr>
          <w:color w:val="231F20"/>
          <w:w w:val="105"/>
        </w:rPr>
        <w:t>revisión</w:t>
      </w:r>
      <w:r>
        <w:rPr>
          <w:color w:val="231F20"/>
          <w:spacing w:val="-20"/>
          <w:w w:val="105"/>
        </w:rPr>
        <w:t> </w:t>
      </w:r>
      <w:r>
        <w:rPr>
          <w:color w:val="231F20"/>
          <w:w w:val="105"/>
        </w:rPr>
        <w:t>continua</w:t>
      </w:r>
      <w:r>
        <w:rPr>
          <w:color w:val="231F20"/>
          <w:spacing w:val="-20"/>
          <w:w w:val="105"/>
        </w:rPr>
        <w:t> </w:t>
      </w:r>
      <w:r>
        <w:rPr>
          <w:color w:val="231F20"/>
          <w:w w:val="105"/>
        </w:rPr>
        <w:t>del</w:t>
      </w:r>
      <w:r>
        <w:rPr>
          <w:color w:val="231F20"/>
          <w:spacing w:val="-20"/>
          <w:w w:val="105"/>
        </w:rPr>
        <w:t> </w:t>
      </w:r>
      <w:r>
        <w:rPr>
          <w:color w:val="231F20"/>
          <w:w w:val="105"/>
        </w:rPr>
        <w:t>estado</w:t>
      </w:r>
      <w:r>
        <w:rPr>
          <w:color w:val="231F20"/>
          <w:spacing w:val="-20"/>
          <w:w w:val="105"/>
        </w:rPr>
        <w:t> </w:t>
      </w:r>
      <w:r>
        <w:rPr>
          <w:color w:val="231F20"/>
          <w:w w:val="105"/>
        </w:rPr>
        <w:t>de</w:t>
      </w:r>
      <w:r>
        <w:rPr>
          <w:color w:val="231F20"/>
          <w:spacing w:val="-20"/>
          <w:w w:val="105"/>
        </w:rPr>
        <w:t> </w:t>
      </w:r>
      <w:r>
        <w:rPr>
          <w:color w:val="231F20"/>
          <w:w w:val="105"/>
        </w:rPr>
        <w:t>salud</w:t>
      </w:r>
      <w:r>
        <w:rPr>
          <w:color w:val="231F20"/>
          <w:spacing w:val="-20"/>
          <w:w w:val="105"/>
        </w:rPr>
        <w:t> </w:t>
      </w:r>
      <w:r>
        <w:rPr>
          <w:color w:val="231F20"/>
          <w:w w:val="105"/>
        </w:rPr>
        <w:t>(Leite</w:t>
      </w:r>
      <w:r>
        <w:rPr>
          <w:color w:val="231F20"/>
          <w:spacing w:val="-20"/>
          <w:w w:val="105"/>
        </w:rPr>
        <w:t> </w:t>
      </w:r>
      <w:r>
        <w:rPr>
          <w:color w:val="231F20"/>
          <w:w w:val="105"/>
        </w:rPr>
        <w:t>y </w:t>
      </w:r>
      <w:r>
        <w:rPr>
          <w:color w:val="231F20"/>
        </w:rPr>
        <w:t>Castañeda,</w:t>
      </w:r>
      <w:r>
        <w:rPr>
          <w:color w:val="231F20"/>
          <w:spacing w:val="-1"/>
        </w:rPr>
        <w:t> </w:t>
      </w:r>
      <w:r>
        <w:rPr>
          <w:color w:val="231F20"/>
        </w:rPr>
        <w:t>2008).</w:t>
      </w:r>
    </w:p>
    <w:p>
      <w:pPr>
        <w:pStyle w:val="BodyText"/>
        <w:spacing w:line="261" w:lineRule="auto" w:before="1"/>
        <w:ind w:left="1837" w:right="1721" w:firstLine="567"/>
        <w:jc w:val="both"/>
      </w:pPr>
      <w:r>
        <w:rPr>
          <w:color w:val="231F20"/>
          <w:w w:val="105"/>
        </w:rPr>
        <w:t>El</w:t>
      </w:r>
      <w:r>
        <w:rPr>
          <w:color w:val="231F20"/>
          <w:spacing w:val="-7"/>
          <w:w w:val="105"/>
        </w:rPr>
        <w:t> </w:t>
      </w:r>
      <w:r>
        <w:rPr>
          <w:color w:val="231F20"/>
          <w:w w:val="105"/>
        </w:rPr>
        <w:t>sistema</w:t>
      </w:r>
      <w:r>
        <w:rPr>
          <w:color w:val="231F20"/>
          <w:spacing w:val="-7"/>
          <w:w w:val="105"/>
        </w:rPr>
        <w:t> </w:t>
      </w:r>
      <w:r>
        <w:rPr>
          <w:color w:val="231F20"/>
          <w:w w:val="105"/>
        </w:rPr>
        <w:t>de</w:t>
      </w:r>
      <w:r>
        <w:rPr>
          <w:color w:val="231F20"/>
          <w:spacing w:val="-7"/>
          <w:w w:val="105"/>
        </w:rPr>
        <w:t> </w:t>
      </w:r>
      <w:r>
        <w:rPr>
          <w:color w:val="231F20"/>
          <w:w w:val="105"/>
        </w:rPr>
        <w:t>salud</w:t>
      </w:r>
      <w:r>
        <w:rPr>
          <w:color w:val="231F20"/>
          <w:spacing w:val="-7"/>
          <w:w w:val="105"/>
        </w:rPr>
        <w:t> </w:t>
      </w:r>
      <w:r>
        <w:rPr>
          <w:color w:val="231F20"/>
          <w:w w:val="105"/>
        </w:rPr>
        <w:t>estadounidense</w:t>
      </w:r>
      <w:r>
        <w:rPr>
          <w:color w:val="231F20"/>
          <w:spacing w:val="-7"/>
          <w:w w:val="105"/>
        </w:rPr>
        <w:t> </w:t>
      </w:r>
      <w:r>
        <w:rPr>
          <w:color w:val="231F20"/>
          <w:w w:val="105"/>
        </w:rPr>
        <w:t>se</w:t>
      </w:r>
      <w:r>
        <w:rPr>
          <w:color w:val="231F20"/>
          <w:spacing w:val="-7"/>
          <w:w w:val="105"/>
        </w:rPr>
        <w:t> </w:t>
      </w:r>
      <w:r>
        <w:rPr>
          <w:color w:val="231F20"/>
          <w:w w:val="105"/>
        </w:rPr>
        <w:t>descarga</w:t>
      </w:r>
      <w:r>
        <w:rPr>
          <w:color w:val="231F20"/>
          <w:spacing w:val="-7"/>
          <w:w w:val="105"/>
        </w:rPr>
        <w:t> </w:t>
      </w:r>
      <w:r>
        <w:rPr>
          <w:color w:val="231F20"/>
          <w:w w:val="105"/>
        </w:rPr>
        <w:t>básicamente</w:t>
      </w:r>
      <w:r>
        <w:rPr>
          <w:color w:val="231F20"/>
          <w:spacing w:val="-7"/>
          <w:w w:val="105"/>
        </w:rPr>
        <w:t> </w:t>
      </w:r>
      <w:r>
        <w:rPr>
          <w:color w:val="231F20"/>
          <w:w w:val="105"/>
        </w:rPr>
        <w:t>en el sector privado, debido a que la mayoría de los seguros médicos se obtienen por medio de un trabajo formal, siendo entonces la responsa- bilidad</w:t>
      </w:r>
      <w:r>
        <w:rPr>
          <w:color w:val="231F20"/>
          <w:spacing w:val="-5"/>
          <w:w w:val="105"/>
        </w:rPr>
        <w:t> </w:t>
      </w:r>
      <w:r>
        <w:rPr>
          <w:color w:val="231F20"/>
          <w:w w:val="105"/>
        </w:rPr>
        <w:t>principal</w:t>
      </w:r>
      <w:r>
        <w:rPr>
          <w:color w:val="231F20"/>
          <w:spacing w:val="-5"/>
          <w:w w:val="105"/>
        </w:rPr>
        <w:t> </w:t>
      </w:r>
      <w:r>
        <w:rPr>
          <w:color w:val="231F20"/>
          <w:w w:val="105"/>
        </w:rPr>
        <w:t>del</w:t>
      </w:r>
      <w:r>
        <w:rPr>
          <w:color w:val="231F20"/>
          <w:spacing w:val="-5"/>
          <w:w w:val="105"/>
        </w:rPr>
        <w:t> </w:t>
      </w:r>
      <w:r>
        <w:rPr>
          <w:color w:val="231F20"/>
          <w:w w:val="105"/>
        </w:rPr>
        <w:t>Estado</w:t>
      </w:r>
      <w:r>
        <w:rPr>
          <w:color w:val="231F20"/>
          <w:spacing w:val="-5"/>
          <w:w w:val="105"/>
        </w:rPr>
        <w:t> </w:t>
      </w:r>
      <w:r>
        <w:rPr>
          <w:color w:val="231F20"/>
          <w:w w:val="105"/>
        </w:rPr>
        <w:t>la</w:t>
      </w:r>
      <w:r>
        <w:rPr>
          <w:color w:val="231F20"/>
          <w:spacing w:val="-5"/>
          <w:w w:val="105"/>
        </w:rPr>
        <w:t> </w:t>
      </w:r>
      <w:r>
        <w:rPr>
          <w:color w:val="231F20"/>
          <w:w w:val="105"/>
        </w:rPr>
        <w:t>atención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grupos</w:t>
      </w:r>
      <w:r>
        <w:rPr>
          <w:color w:val="231F20"/>
          <w:spacing w:val="-5"/>
          <w:w w:val="105"/>
        </w:rPr>
        <w:t> </w:t>
      </w:r>
      <w:r>
        <w:rPr>
          <w:color w:val="231F20"/>
          <w:w w:val="105"/>
        </w:rPr>
        <w:t>más</w:t>
      </w:r>
      <w:r>
        <w:rPr>
          <w:color w:val="231F20"/>
          <w:spacing w:val="-5"/>
          <w:w w:val="105"/>
        </w:rPr>
        <w:t> </w:t>
      </w:r>
      <w:r>
        <w:rPr>
          <w:color w:val="231F20"/>
          <w:w w:val="105"/>
        </w:rPr>
        <w:t>vulnerables</w:t>
      </w:r>
      <w:r>
        <w:rPr>
          <w:color w:val="231F20"/>
          <w:spacing w:val="-5"/>
          <w:w w:val="105"/>
        </w:rPr>
        <w:t> </w:t>
      </w:r>
      <w:r>
        <w:rPr>
          <w:color w:val="231F20"/>
          <w:w w:val="105"/>
        </w:rPr>
        <w:t>y de</w:t>
      </w:r>
      <w:r>
        <w:rPr>
          <w:color w:val="231F20"/>
          <w:spacing w:val="-13"/>
          <w:w w:val="105"/>
        </w:rPr>
        <w:t> </w:t>
      </w:r>
      <w:r>
        <w:rPr>
          <w:color w:val="231F20"/>
          <w:w w:val="105"/>
        </w:rPr>
        <w:t>escasos</w:t>
      </w:r>
      <w:r>
        <w:rPr>
          <w:color w:val="231F20"/>
          <w:spacing w:val="-12"/>
          <w:w w:val="105"/>
        </w:rPr>
        <w:t> </w:t>
      </w:r>
      <w:r>
        <w:rPr>
          <w:color w:val="231F20"/>
          <w:w w:val="105"/>
        </w:rPr>
        <w:t>recursos</w:t>
      </w:r>
      <w:r>
        <w:rPr>
          <w:color w:val="231F20"/>
          <w:spacing w:val="-13"/>
          <w:w w:val="105"/>
        </w:rPr>
        <w:t> </w:t>
      </w:r>
      <w:r>
        <w:rPr>
          <w:color w:val="231F20"/>
          <w:w w:val="105"/>
        </w:rPr>
        <w:t>por</w:t>
      </w:r>
      <w:r>
        <w:rPr>
          <w:color w:val="231F20"/>
          <w:spacing w:val="-13"/>
          <w:w w:val="105"/>
        </w:rPr>
        <w:t> </w:t>
      </w:r>
      <w:r>
        <w:rPr>
          <w:color w:val="231F20"/>
          <w:w w:val="105"/>
        </w:rPr>
        <w:t>medio</w:t>
      </w:r>
      <w:r>
        <w:rPr>
          <w:color w:val="231F20"/>
          <w:spacing w:val="-13"/>
          <w:w w:val="105"/>
        </w:rPr>
        <w:t> </w:t>
      </w:r>
      <w:r>
        <w:rPr>
          <w:color w:val="231F20"/>
          <w:w w:val="105"/>
        </w:rPr>
        <w:t>de</w:t>
      </w:r>
      <w:r>
        <w:rPr>
          <w:color w:val="231F20"/>
          <w:spacing w:val="-13"/>
          <w:w w:val="105"/>
        </w:rPr>
        <w:t> </w:t>
      </w:r>
      <w:r>
        <w:rPr>
          <w:color w:val="231F20"/>
          <w:w w:val="105"/>
        </w:rPr>
        <w:t>algunos</w:t>
      </w:r>
      <w:r>
        <w:rPr>
          <w:color w:val="231F20"/>
          <w:spacing w:val="-13"/>
          <w:w w:val="105"/>
        </w:rPr>
        <w:t> </w:t>
      </w:r>
      <w:r>
        <w:rPr>
          <w:color w:val="231F20"/>
          <w:w w:val="105"/>
        </w:rPr>
        <w:t>programas</w:t>
      </w:r>
      <w:r>
        <w:rPr>
          <w:color w:val="231F20"/>
          <w:spacing w:val="-13"/>
          <w:w w:val="105"/>
        </w:rPr>
        <w:t> </w:t>
      </w:r>
      <w:r>
        <w:rPr>
          <w:color w:val="231F20"/>
          <w:w w:val="105"/>
        </w:rPr>
        <w:t>como</w:t>
      </w:r>
      <w:r>
        <w:rPr>
          <w:color w:val="231F20"/>
          <w:spacing w:val="-13"/>
          <w:w w:val="105"/>
        </w:rPr>
        <w:t> </w:t>
      </w:r>
      <w:r>
        <w:rPr>
          <w:rFonts w:ascii="Arial" w:hAnsi="Arial"/>
          <w:i/>
          <w:color w:val="231F20"/>
          <w:w w:val="105"/>
        </w:rPr>
        <w:t>Medicare</w:t>
      </w:r>
      <w:r>
        <w:rPr>
          <w:rFonts w:ascii="Arial" w:hAnsi="Arial"/>
          <w:i/>
          <w:color w:val="231F20"/>
          <w:spacing w:val="-15"/>
          <w:w w:val="105"/>
        </w:rPr>
        <w:t> </w:t>
      </w:r>
      <w:r>
        <w:rPr>
          <w:color w:val="231F20"/>
          <w:w w:val="105"/>
        </w:rPr>
        <w:t>y </w:t>
      </w:r>
      <w:r>
        <w:rPr>
          <w:rFonts w:ascii="Arial" w:hAnsi="Arial"/>
          <w:i/>
          <w:color w:val="231F20"/>
          <w:w w:val="105"/>
        </w:rPr>
        <w:t>Medicaid</w:t>
      </w:r>
      <w:r>
        <w:rPr>
          <w:color w:val="231F20"/>
          <w:w w:val="105"/>
        </w:rPr>
        <w:t>.</w:t>
      </w:r>
      <w:r>
        <w:rPr>
          <w:color w:val="231F20"/>
          <w:spacing w:val="-16"/>
          <w:w w:val="105"/>
        </w:rPr>
        <w:t> </w:t>
      </w:r>
      <w:r>
        <w:rPr>
          <w:color w:val="231F20"/>
          <w:w w:val="105"/>
        </w:rPr>
        <w:t>Sin</w:t>
      </w:r>
      <w:r>
        <w:rPr>
          <w:color w:val="231F20"/>
          <w:spacing w:val="-11"/>
          <w:w w:val="105"/>
        </w:rPr>
        <w:t> </w:t>
      </w:r>
      <w:r>
        <w:rPr>
          <w:color w:val="231F20"/>
          <w:w w:val="105"/>
        </w:rPr>
        <w:t>embargo,</w:t>
      </w:r>
      <w:r>
        <w:rPr>
          <w:color w:val="231F20"/>
          <w:spacing w:val="-16"/>
          <w:w w:val="105"/>
        </w:rPr>
        <w:t> </w:t>
      </w:r>
      <w:r>
        <w:rPr>
          <w:color w:val="231F20"/>
          <w:w w:val="105"/>
        </w:rPr>
        <w:t>el</w:t>
      </w:r>
      <w:r>
        <w:rPr>
          <w:color w:val="231F20"/>
          <w:spacing w:val="-11"/>
          <w:w w:val="105"/>
        </w:rPr>
        <w:t> </w:t>
      </w:r>
      <w:r>
        <w:rPr>
          <w:color w:val="231F20"/>
          <w:w w:val="105"/>
        </w:rPr>
        <w:t>acceso</w:t>
      </w:r>
      <w:r>
        <w:rPr>
          <w:color w:val="231F20"/>
          <w:spacing w:val="-11"/>
          <w:w w:val="105"/>
        </w:rPr>
        <w:t> </w:t>
      </w:r>
      <w:r>
        <w:rPr>
          <w:color w:val="231F20"/>
          <w:w w:val="105"/>
        </w:rPr>
        <w:t>a</w:t>
      </w:r>
      <w:r>
        <w:rPr>
          <w:color w:val="231F20"/>
          <w:spacing w:val="-11"/>
          <w:w w:val="105"/>
        </w:rPr>
        <w:t> </w:t>
      </w:r>
      <w:r>
        <w:rPr>
          <w:color w:val="231F20"/>
          <w:w w:val="105"/>
        </w:rPr>
        <w:t>estos</w:t>
      </w:r>
      <w:r>
        <w:rPr>
          <w:color w:val="231F20"/>
          <w:spacing w:val="-11"/>
          <w:w w:val="105"/>
        </w:rPr>
        <w:t> </w:t>
      </w:r>
      <w:r>
        <w:rPr>
          <w:color w:val="231F20"/>
          <w:w w:val="105"/>
        </w:rPr>
        <w:t>programas</w:t>
      </w:r>
      <w:r>
        <w:rPr>
          <w:color w:val="231F20"/>
          <w:spacing w:val="-11"/>
          <w:w w:val="105"/>
        </w:rPr>
        <w:t> </w:t>
      </w:r>
      <w:r>
        <w:rPr>
          <w:color w:val="231F20"/>
          <w:w w:val="105"/>
        </w:rPr>
        <w:t>está</w:t>
      </w:r>
      <w:r>
        <w:rPr>
          <w:color w:val="231F20"/>
          <w:spacing w:val="-11"/>
          <w:w w:val="105"/>
        </w:rPr>
        <w:t> </w:t>
      </w:r>
      <w:r>
        <w:rPr>
          <w:color w:val="231F20"/>
          <w:w w:val="105"/>
        </w:rPr>
        <w:t>condicionado por criterios de elegibilidad como los niveles de ingreso, condiciones especiales</w:t>
      </w:r>
      <w:r>
        <w:rPr>
          <w:color w:val="231F20"/>
          <w:spacing w:val="-20"/>
          <w:w w:val="105"/>
        </w:rPr>
        <w:t> </w:t>
      </w:r>
      <w:r>
        <w:rPr>
          <w:color w:val="231F20"/>
          <w:w w:val="105"/>
        </w:rPr>
        <w:t>de</w:t>
      </w:r>
      <w:r>
        <w:rPr>
          <w:color w:val="231F20"/>
          <w:spacing w:val="-20"/>
          <w:w w:val="105"/>
        </w:rPr>
        <w:t> </w:t>
      </w:r>
      <w:r>
        <w:rPr>
          <w:color w:val="231F20"/>
          <w:w w:val="105"/>
        </w:rPr>
        <w:t>salud,</w:t>
      </w:r>
      <w:r>
        <w:rPr>
          <w:color w:val="231F20"/>
          <w:spacing w:val="-25"/>
          <w:w w:val="105"/>
        </w:rPr>
        <w:t> </w:t>
      </w:r>
      <w:r>
        <w:rPr>
          <w:color w:val="231F20"/>
          <w:w w:val="105"/>
        </w:rPr>
        <w:t>estatus</w:t>
      </w:r>
      <w:r>
        <w:rPr>
          <w:color w:val="231F20"/>
          <w:spacing w:val="-20"/>
          <w:w w:val="105"/>
        </w:rPr>
        <w:t> </w:t>
      </w:r>
      <w:r>
        <w:rPr>
          <w:color w:val="231F20"/>
          <w:w w:val="105"/>
        </w:rPr>
        <w:t>migratorio</w:t>
      </w:r>
      <w:r>
        <w:rPr>
          <w:color w:val="231F20"/>
          <w:spacing w:val="-20"/>
          <w:w w:val="105"/>
        </w:rPr>
        <w:t> </w:t>
      </w:r>
      <w:r>
        <w:rPr>
          <w:color w:val="231F20"/>
          <w:w w:val="105"/>
        </w:rPr>
        <w:t>y</w:t>
      </w:r>
      <w:r>
        <w:rPr>
          <w:color w:val="231F20"/>
          <w:spacing w:val="-20"/>
          <w:w w:val="105"/>
        </w:rPr>
        <w:t> </w:t>
      </w:r>
      <w:r>
        <w:rPr>
          <w:color w:val="231F20"/>
          <w:w w:val="105"/>
        </w:rPr>
        <w:t>tiempo</w:t>
      </w:r>
      <w:r>
        <w:rPr>
          <w:color w:val="231F20"/>
          <w:spacing w:val="-20"/>
          <w:w w:val="105"/>
        </w:rPr>
        <w:t> </w:t>
      </w:r>
      <w:r>
        <w:rPr>
          <w:color w:val="231F20"/>
          <w:w w:val="105"/>
        </w:rPr>
        <w:t>de</w:t>
      </w:r>
      <w:r>
        <w:rPr>
          <w:color w:val="231F20"/>
          <w:spacing w:val="-20"/>
          <w:w w:val="105"/>
        </w:rPr>
        <w:t> </w:t>
      </w:r>
      <w:r>
        <w:rPr>
          <w:color w:val="231F20"/>
          <w:w w:val="105"/>
        </w:rPr>
        <w:t>residencia</w:t>
      </w:r>
      <w:r>
        <w:rPr>
          <w:color w:val="231F20"/>
          <w:spacing w:val="-20"/>
          <w:w w:val="105"/>
        </w:rPr>
        <w:t> </w:t>
      </w:r>
      <w:r>
        <w:rPr>
          <w:color w:val="231F20"/>
          <w:w w:val="105"/>
        </w:rPr>
        <w:t>legal</w:t>
      </w:r>
      <w:r>
        <w:rPr>
          <w:color w:val="231F20"/>
          <w:spacing w:val="-20"/>
          <w:w w:val="105"/>
        </w:rPr>
        <w:t> </w:t>
      </w:r>
      <w:r>
        <w:rPr>
          <w:color w:val="231F20"/>
          <w:w w:val="105"/>
        </w:rPr>
        <w:t>en</w:t>
      </w:r>
      <w:r>
        <w:rPr>
          <w:color w:val="231F20"/>
          <w:spacing w:val="-20"/>
          <w:w w:val="105"/>
        </w:rPr>
        <w:t> </w:t>
      </w:r>
      <w:r>
        <w:rPr>
          <w:color w:val="231F20"/>
          <w:w w:val="105"/>
        </w:rPr>
        <w:t>el </w:t>
      </w:r>
      <w:r>
        <w:rPr>
          <w:color w:val="231F20"/>
        </w:rPr>
        <w:t>país (</w:t>
      </w:r>
      <w:r>
        <w:rPr>
          <w:color w:val="231F20"/>
          <w:sz w:val="17"/>
        </w:rPr>
        <w:t>CONAPO</w:t>
      </w:r>
      <w:r>
        <w:rPr>
          <w:color w:val="231F20"/>
        </w:rPr>
        <w:t>,</w:t>
      </w:r>
      <w:r>
        <w:rPr>
          <w:color w:val="231F20"/>
          <w:spacing w:val="8"/>
        </w:rPr>
        <w:t> </w:t>
      </w:r>
      <w:r>
        <w:rPr>
          <w:color w:val="231F20"/>
        </w:rPr>
        <w:t>2002).</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p>
    <w:p>
      <w:pPr>
        <w:pStyle w:val="BodyText"/>
        <w:spacing w:line="261" w:lineRule="auto" w:before="61"/>
        <w:ind w:left="1723" w:right="1828"/>
        <w:jc w:val="both"/>
      </w:pPr>
      <w:r>
        <w:rPr>
          <w:color w:val="231F20"/>
          <w:w w:val="105"/>
        </w:rPr>
        <w:t>En este sentido, dado que la población inmigrante mexicana casi en</w:t>
      </w:r>
      <w:r>
        <w:rPr>
          <w:color w:val="231F20"/>
          <w:spacing w:val="-23"/>
          <w:w w:val="105"/>
        </w:rPr>
        <w:t> </w:t>
      </w:r>
      <w:r>
        <w:rPr>
          <w:color w:val="231F20"/>
          <w:w w:val="105"/>
        </w:rPr>
        <w:t>su totalidad</w:t>
      </w:r>
      <w:r>
        <w:rPr>
          <w:color w:val="231F20"/>
          <w:spacing w:val="-13"/>
          <w:w w:val="105"/>
        </w:rPr>
        <w:t> </w:t>
      </w:r>
      <w:r>
        <w:rPr>
          <w:color w:val="231F20"/>
          <w:w w:val="105"/>
        </w:rPr>
        <w:t>cuenta</w:t>
      </w:r>
      <w:r>
        <w:rPr>
          <w:color w:val="231F20"/>
          <w:spacing w:val="-13"/>
          <w:w w:val="105"/>
        </w:rPr>
        <w:t> </w:t>
      </w:r>
      <w:r>
        <w:rPr>
          <w:color w:val="231F20"/>
          <w:w w:val="105"/>
        </w:rPr>
        <w:t>con</w:t>
      </w:r>
      <w:r>
        <w:rPr>
          <w:color w:val="231F20"/>
          <w:spacing w:val="-13"/>
          <w:w w:val="105"/>
        </w:rPr>
        <w:t> </w:t>
      </w:r>
      <w:r>
        <w:rPr>
          <w:color w:val="231F20"/>
          <w:w w:val="105"/>
        </w:rPr>
        <w:t>un</w:t>
      </w:r>
      <w:r>
        <w:rPr>
          <w:color w:val="231F20"/>
          <w:spacing w:val="-13"/>
          <w:w w:val="105"/>
        </w:rPr>
        <w:t> </w:t>
      </w:r>
      <w:r>
        <w:rPr>
          <w:color w:val="231F20"/>
          <w:w w:val="105"/>
        </w:rPr>
        <w:t>estatus</w:t>
      </w:r>
      <w:r>
        <w:rPr>
          <w:color w:val="231F20"/>
          <w:spacing w:val="-13"/>
          <w:w w:val="105"/>
        </w:rPr>
        <w:t> </w:t>
      </w:r>
      <w:r>
        <w:rPr>
          <w:color w:val="231F20"/>
          <w:w w:val="105"/>
        </w:rPr>
        <w:t>migratorio</w:t>
      </w:r>
      <w:r>
        <w:rPr>
          <w:color w:val="231F20"/>
          <w:spacing w:val="-13"/>
          <w:w w:val="105"/>
        </w:rPr>
        <w:t> </w:t>
      </w:r>
      <w:r>
        <w:rPr>
          <w:color w:val="231F20"/>
          <w:w w:val="105"/>
        </w:rPr>
        <w:t>no</w:t>
      </w:r>
      <w:r>
        <w:rPr>
          <w:color w:val="231F20"/>
          <w:spacing w:val="-13"/>
          <w:w w:val="105"/>
        </w:rPr>
        <w:t> </w:t>
      </w:r>
      <w:r>
        <w:rPr>
          <w:color w:val="231F20"/>
          <w:w w:val="105"/>
        </w:rPr>
        <w:t>documentado,</w:t>
      </w:r>
      <w:r>
        <w:rPr>
          <w:color w:val="231F20"/>
          <w:spacing w:val="-19"/>
          <w:w w:val="105"/>
        </w:rPr>
        <w:t> </w:t>
      </w:r>
      <w:r>
        <w:rPr>
          <w:color w:val="231F20"/>
          <w:w w:val="105"/>
        </w:rPr>
        <w:t>difícilmente tiene</w:t>
      </w:r>
      <w:r>
        <w:rPr>
          <w:color w:val="231F20"/>
          <w:spacing w:val="-18"/>
          <w:w w:val="105"/>
        </w:rPr>
        <w:t> </w:t>
      </w:r>
      <w:r>
        <w:rPr>
          <w:color w:val="231F20"/>
          <w:w w:val="105"/>
        </w:rPr>
        <w:t>la</w:t>
      </w:r>
      <w:r>
        <w:rPr>
          <w:color w:val="231F20"/>
          <w:spacing w:val="-18"/>
          <w:w w:val="105"/>
        </w:rPr>
        <w:t> </w:t>
      </w:r>
      <w:r>
        <w:rPr>
          <w:color w:val="231F20"/>
          <w:w w:val="105"/>
        </w:rPr>
        <w:t>solvencia</w:t>
      </w:r>
      <w:r>
        <w:rPr>
          <w:color w:val="231F20"/>
          <w:spacing w:val="-18"/>
          <w:w w:val="105"/>
        </w:rPr>
        <w:t> </w:t>
      </w:r>
      <w:r>
        <w:rPr>
          <w:color w:val="231F20"/>
          <w:w w:val="105"/>
        </w:rPr>
        <w:t>económica</w:t>
      </w:r>
      <w:r>
        <w:rPr>
          <w:color w:val="231F20"/>
          <w:spacing w:val="-18"/>
          <w:w w:val="105"/>
        </w:rPr>
        <w:t> </w:t>
      </w:r>
      <w:r>
        <w:rPr>
          <w:color w:val="231F20"/>
          <w:w w:val="105"/>
        </w:rPr>
        <w:t>para</w:t>
      </w:r>
      <w:r>
        <w:rPr>
          <w:color w:val="231F20"/>
          <w:spacing w:val="-18"/>
          <w:w w:val="105"/>
        </w:rPr>
        <w:t> </w:t>
      </w:r>
      <w:r>
        <w:rPr>
          <w:color w:val="231F20"/>
          <w:w w:val="105"/>
        </w:rPr>
        <w:t>hacer</w:t>
      </w:r>
      <w:r>
        <w:rPr>
          <w:color w:val="231F20"/>
          <w:spacing w:val="-18"/>
          <w:w w:val="105"/>
        </w:rPr>
        <w:t> </w:t>
      </w:r>
      <w:r>
        <w:rPr>
          <w:color w:val="231F20"/>
          <w:w w:val="105"/>
        </w:rPr>
        <w:t>frente</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problemas</w:t>
      </w:r>
      <w:r>
        <w:rPr>
          <w:color w:val="231F20"/>
          <w:spacing w:val="-18"/>
          <w:w w:val="105"/>
        </w:rPr>
        <w:t> </w:t>
      </w:r>
      <w:r>
        <w:rPr>
          <w:color w:val="231F20"/>
          <w:w w:val="105"/>
        </w:rPr>
        <w:t>de</w:t>
      </w:r>
      <w:r>
        <w:rPr>
          <w:color w:val="231F20"/>
          <w:spacing w:val="-18"/>
          <w:w w:val="105"/>
        </w:rPr>
        <w:t> </w:t>
      </w:r>
      <w:r>
        <w:rPr>
          <w:color w:val="231F20"/>
          <w:w w:val="105"/>
        </w:rPr>
        <w:t>salud. Los</w:t>
      </w:r>
      <w:r>
        <w:rPr>
          <w:color w:val="231F20"/>
          <w:spacing w:val="-20"/>
          <w:w w:val="105"/>
        </w:rPr>
        <w:t> </w:t>
      </w:r>
      <w:r>
        <w:rPr>
          <w:color w:val="231F20"/>
          <w:w w:val="105"/>
        </w:rPr>
        <w:t>inmigrantes</w:t>
      </w:r>
      <w:r>
        <w:rPr>
          <w:color w:val="231F20"/>
          <w:spacing w:val="-20"/>
          <w:w w:val="105"/>
        </w:rPr>
        <w:t> </w:t>
      </w:r>
      <w:r>
        <w:rPr>
          <w:color w:val="231F20"/>
          <w:w w:val="105"/>
        </w:rPr>
        <w:t>mexicanos</w:t>
      </w:r>
      <w:r>
        <w:rPr>
          <w:color w:val="231F20"/>
          <w:spacing w:val="-20"/>
          <w:w w:val="105"/>
        </w:rPr>
        <w:t> </w:t>
      </w:r>
      <w:r>
        <w:rPr>
          <w:color w:val="231F20"/>
          <w:w w:val="105"/>
        </w:rPr>
        <w:t>se</w:t>
      </w:r>
      <w:r>
        <w:rPr>
          <w:color w:val="231F20"/>
          <w:spacing w:val="-20"/>
          <w:w w:val="105"/>
        </w:rPr>
        <w:t> </w:t>
      </w:r>
      <w:r>
        <w:rPr>
          <w:color w:val="231F20"/>
          <w:w w:val="105"/>
        </w:rPr>
        <w:t>encuentran</w:t>
      </w:r>
      <w:r>
        <w:rPr>
          <w:color w:val="231F20"/>
          <w:spacing w:val="-20"/>
          <w:w w:val="105"/>
        </w:rPr>
        <w:t> </w:t>
      </w:r>
      <w:r>
        <w:rPr>
          <w:color w:val="231F20"/>
          <w:w w:val="105"/>
        </w:rPr>
        <w:t>entre</w:t>
      </w:r>
      <w:r>
        <w:rPr>
          <w:color w:val="231F20"/>
          <w:spacing w:val="-20"/>
          <w:w w:val="105"/>
        </w:rPr>
        <w:t> </w:t>
      </w:r>
      <w:r>
        <w:rPr>
          <w:color w:val="231F20"/>
          <w:w w:val="105"/>
        </w:rPr>
        <w:t>los</w:t>
      </w:r>
      <w:r>
        <w:rPr>
          <w:color w:val="231F20"/>
          <w:spacing w:val="-20"/>
          <w:w w:val="105"/>
        </w:rPr>
        <w:t> </w:t>
      </w:r>
      <w:r>
        <w:rPr>
          <w:color w:val="231F20"/>
          <w:w w:val="105"/>
        </w:rPr>
        <w:t>grupos</w:t>
      </w:r>
      <w:r>
        <w:rPr>
          <w:color w:val="231F20"/>
          <w:spacing w:val="-20"/>
          <w:w w:val="105"/>
        </w:rPr>
        <w:t> </w:t>
      </w:r>
      <w:r>
        <w:rPr>
          <w:color w:val="231F20"/>
          <w:w w:val="105"/>
        </w:rPr>
        <w:t>sociales</w:t>
      </w:r>
      <w:r>
        <w:rPr>
          <w:color w:val="231F20"/>
          <w:spacing w:val="-20"/>
          <w:w w:val="105"/>
        </w:rPr>
        <w:t> </w:t>
      </w:r>
      <w:r>
        <w:rPr>
          <w:color w:val="231F20"/>
          <w:w w:val="105"/>
        </w:rPr>
        <w:t>más desprotegidos</w:t>
      </w:r>
      <w:r>
        <w:rPr>
          <w:color w:val="231F20"/>
          <w:spacing w:val="-5"/>
          <w:w w:val="105"/>
        </w:rPr>
        <w:t> </w:t>
      </w:r>
      <w:r>
        <w:rPr>
          <w:color w:val="231F20"/>
          <w:w w:val="105"/>
        </w:rPr>
        <w:t>en</w:t>
      </w:r>
      <w:r>
        <w:rPr>
          <w:color w:val="231F20"/>
          <w:spacing w:val="-5"/>
          <w:w w:val="105"/>
        </w:rPr>
        <w:t> </w:t>
      </w:r>
      <w:r>
        <w:rPr>
          <w:color w:val="231F20"/>
          <w:w w:val="105"/>
        </w:rPr>
        <w:t>cuanto</w:t>
      </w:r>
      <w:r>
        <w:rPr>
          <w:color w:val="231F20"/>
          <w:spacing w:val="-5"/>
          <w:w w:val="105"/>
        </w:rPr>
        <w:t> </w:t>
      </w:r>
      <w:r>
        <w:rPr>
          <w:color w:val="231F20"/>
          <w:w w:val="105"/>
        </w:rPr>
        <w:t>al</w:t>
      </w:r>
      <w:r>
        <w:rPr>
          <w:color w:val="231F20"/>
          <w:spacing w:val="-5"/>
          <w:w w:val="105"/>
        </w:rPr>
        <w:t> </w:t>
      </w:r>
      <w:r>
        <w:rPr>
          <w:color w:val="231F20"/>
          <w:w w:val="105"/>
        </w:rPr>
        <w:t>acceso</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servicios</w:t>
      </w:r>
      <w:r>
        <w:rPr>
          <w:color w:val="231F20"/>
          <w:spacing w:val="-5"/>
          <w:w w:val="105"/>
        </w:rPr>
        <w:t> </w:t>
      </w:r>
      <w:r>
        <w:rPr>
          <w:color w:val="231F20"/>
          <w:w w:val="105"/>
        </w:rPr>
        <w:t>de</w:t>
      </w:r>
      <w:r>
        <w:rPr>
          <w:color w:val="231F20"/>
          <w:spacing w:val="-5"/>
          <w:w w:val="105"/>
        </w:rPr>
        <w:t> </w:t>
      </w:r>
      <w:r>
        <w:rPr>
          <w:color w:val="231F20"/>
          <w:w w:val="105"/>
        </w:rPr>
        <w:t>salud,</w:t>
      </w:r>
      <w:r>
        <w:rPr>
          <w:color w:val="231F20"/>
          <w:spacing w:val="-10"/>
          <w:w w:val="105"/>
        </w:rPr>
        <w:t> </w:t>
      </w:r>
      <w:r>
        <w:rPr>
          <w:color w:val="231F20"/>
          <w:w w:val="105"/>
        </w:rPr>
        <w:t>situándolos en</w:t>
      </w:r>
      <w:r>
        <w:rPr>
          <w:color w:val="231F20"/>
          <w:spacing w:val="-15"/>
          <w:w w:val="105"/>
        </w:rPr>
        <w:t> </w:t>
      </w:r>
      <w:r>
        <w:rPr>
          <w:color w:val="231F20"/>
          <w:w w:val="105"/>
        </w:rPr>
        <w:t>una</w:t>
      </w:r>
      <w:r>
        <w:rPr>
          <w:color w:val="231F20"/>
          <w:spacing w:val="-15"/>
          <w:w w:val="105"/>
        </w:rPr>
        <w:t> </w:t>
      </w:r>
      <w:r>
        <w:rPr>
          <w:color w:val="231F20"/>
          <w:w w:val="105"/>
        </w:rPr>
        <w:t>posición</w:t>
      </w:r>
      <w:r>
        <w:rPr>
          <w:color w:val="231F20"/>
          <w:spacing w:val="-15"/>
          <w:w w:val="105"/>
        </w:rPr>
        <w:t> </w:t>
      </w:r>
      <w:r>
        <w:rPr>
          <w:color w:val="231F20"/>
          <w:w w:val="105"/>
        </w:rPr>
        <w:t>de</w:t>
      </w:r>
      <w:r>
        <w:rPr>
          <w:color w:val="231F20"/>
          <w:spacing w:val="-15"/>
          <w:w w:val="105"/>
        </w:rPr>
        <w:t> </w:t>
      </w:r>
      <w:r>
        <w:rPr>
          <w:color w:val="231F20"/>
          <w:w w:val="105"/>
        </w:rPr>
        <w:t>alto</w:t>
      </w:r>
      <w:r>
        <w:rPr>
          <w:color w:val="231F20"/>
          <w:spacing w:val="-15"/>
          <w:w w:val="105"/>
        </w:rPr>
        <w:t> </w:t>
      </w:r>
      <w:r>
        <w:rPr>
          <w:color w:val="231F20"/>
          <w:w w:val="105"/>
        </w:rPr>
        <w:t>riesgo</w:t>
      </w:r>
      <w:r>
        <w:rPr>
          <w:color w:val="231F20"/>
          <w:spacing w:val="-15"/>
          <w:w w:val="105"/>
        </w:rPr>
        <w:t> </w:t>
      </w:r>
      <w:r>
        <w:rPr>
          <w:color w:val="231F20"/>
          <w:w w:val="105"/>
        </w:rPr>
        <w:t>y</w:t>
      </w:r>
      <w:r>
        <w:rPr>
          <w:color w:val="231F20"/>
          <w:spacing w:val="-15"/>
          <w:w w:val="105"/>
        </w:rPr>
        <w:t> </w:t>
      </w:r>
      <w:r>
        <w:rPr>
          <w:color w:val="231F20"/>
          <w:w w:val="105"/>
        </w:rPr>
        <w:t>vulnerabilidad,</w:t>
      </w:r>
      <w:r>
        <w:rPr>
          <w:color w:val="231F20"/>
          <w:spacing w:val="-21"/>
          <w:w w:val="105"/>
        </w:rPr>
        <w:t> </w:t>
      </w:r>
      <w:r>
        <w:rPr>
          <w:color w:val="231F20"/>
          <w:w w:val="105"/>
        </w:rPr>
        <w:t>lo</w:t>
      </w:r>
      <w:r>
        <w:rPr>
          <w:color w:val="231F20"/>
          <w:spacing w:val="-15"/>
          <w:w w:val="105"/>
        </w:rPr>
        <w:t> </w:t>
      </w:r>
      <w:r>
        <w:rPr>
          <w:color w:val="231F20"/>
          <w:w w:val="105"/>
        </w:rPr>
        <w:t>cual</w:t>
      </w:r>
      <w:r>
        <w:rPr>
          <w:color w:val="231F20"/>
          <w:spacing w:val="-15"/>
          <w:w w:val="105"/>
        </w:rPr>
        <w:t> </w:t>
      </w:r>
      <w:r>
        <w:rPr>
          <w:color w:val="231F20"/>
          <w:w w:val="105"/>
        </w:rPr>
        <w:t>impacta</w:t>
      </w:r>
      <w:r>
        <w:rPr>
          <w:color w:val="231F20"/>
          <w:spacing w:val="-15"/>
          <w:w w:val="105"/>
        </w:rPr>
        <w:t> </w:t>
      </w:r>
      <w:r>
        <w:rPr>
          <w:color w:val="231F20"/>
          <w:w w:val="105"/>
        </w:rPr>
        <w:t>de</w:t>
      </w:r>
      <w:r>
        <w:rPr>
          <w:color w:val="231F20"/>
          <w:spacing w:val="-15"/>
          <w:w w:val="105"/>
        </w:rPr>
        <w:t> </w:t>
      </w:r>
      <w:r>
        <w:rPr>
          <w:color w:val="231F20"/>
          <w:w w:val="105"/>
        </w:rPr>
        <w:t>mane- ra</w:t>
      </w:r>
      <w:r>
        <w:rPr>
          <w:color w:val="231F20"/>
          <w:spacing w:val="-25"/>
          <w:w w:val="105"/>
        </w:rPr>
        <w:t> </w:t>
      </w:r>
      <w:r>
        <w:rPr>
          <w:color w:val="231F20"/>
          <w:w w:val="105"/>
        </w:rPr>
        <w:t>negativa</w:t>
      </w:r>
      <w:r>
        <w:rPr>
          <w:color w:val="231F20"/>
          <w:spacing w:val="-25"/>
          <w:w w:val="105"/>
        </w:rPr>
        <w:t> </w:t>
      </w:r>
      <w:r>
        <w:rPr>
          <w:color w:val="231F20"/>
          <w:w w:val="105"/>
        </w:rPr>
        <w:t>en</w:t>
      </w:r>
      <w:r>
        <w:rPr>
          <w:color w:val="231F20"/>
          <w:spacing w:val="-25"/>
          <w:w w:val="105"/>
        </w:rPr>
        <w:t> </w:t>
      </w:r>
      <w:r>
        <w:rPr>
          <w:color w:val="231F20"/>
          <w:w w:val="105"/>
        </w:rPr>
        <w:t>su</w:t>
      </w:r>
      <w:r>
        <w:rPr>
          <w:color w:val="231F20"/>
          <w:spacing w:val="-25"/>
          <w:w w:val="105"/>
        </w:rPr>
        <w:t> </w:t>
      </w:r>
      <w:r>
        <w:rPr>
          <w:color w:val="231F20"/>
          <w:w w:val="105"/>
        </w:rPr>
        <w:t>salud</w:t>
      </w:r>
      <w:r>
        <w:rPr>
          <w:color w:val="231F20"/>
          <w:spacing w:val="-25"/>
          <w:w w:val="105"/>
        </w:rPr>
        <w:t> </w:t>
      </w:r>
      <w:r>
        <w:rPr>
          <w:color w:val="231F20"/>
          <w:w w:val="105"/>
        </w:rPr>
        <w:t>física</w:t>
      </w:r>
      <w:r>
        <w:rPr>
          <w:color w:val="231F20"/>
          <w:spacing w:val="-25"/>
          <w:w w:val="105"/>
        </w:rPr>
        <w:t> </w:t>
      </w:r>
      <w:r>
        <w:rPr>
          <w:color w:val="231F20"/>
          <w:w w:val="105"/>
        </w:rPr>
        <w:t>y</w:t>
      </w:r>
      <w:r>
        <w:rPr>
          <w:color w:val="231F20"/>
          <w:spacing w:val="-25"/>
          <w:w w:val="105"/>
        </w:rPr>
        <w:t> </w:t>
      </w:r>
      <w:r>
        <w:rPr>
          <w:color w:val="231F20"/>
          <w:w w:val="105"/>
        </w:rPr>
        <w:t>emocional</w:t>
      </w:r>
      <w:r>
        <w:rPr>
          <w:color w:val="231F20"/>
          <w:spacing w:val="-25"/>
          <w:w w:val="105"/>
        </w:rPr>
        <w:t> </w:t>
      </w:r>
      <w:r>
        <w:rPr>
          <w:color w:val="231F20"/>
          <w:w w:val="105"/>
        </w:rPr>
        <w:t>(Rubio,</w:t>
      </w:r>
      <w:r>
        <w:rPr>
          <w:color w:val="231F20"/>
          <w:spacing w:val="-29"/>
          <w:w w:val="105"/>
        </w:rPr>
        <w:t> </w:t>
      </w:r>
      <w:r>
        <w:rPr>
          <w:color w:val="231F20"/>
          <w:w w:val="105"/>
        </w:rPr>
        <w:t>2014).</w:t>
      </w:r>
    </w:p>
    <w:p>
      <w:pPr>
        <w:pStyle w:val="BodyText"/>
        <w:spacing w:line="261" w:lineRule="auto" w:before="1"/>
        <w:ind w:left="1723" w:right="1829" w:firstLine="567"/>
        <w:jc w:val="both"/>
      </w:pPr>
      <w:r>
        <w:rPr>
          <w:color w:val="231F20"/>
          <w:w w:val="105"/>
        </w:rPr>
        <w:t>Algunos estudios señalan que los migrantes mexicanos parecen ser</w:t>
      </w:r>
      <w:r>
        <w:rPr>
          <w:color w:val="231F20"/>
          <w:spacing w:val="-28"/>
          <w:w w:val="105"/>
        </w:rPr>
        <w:t> </w:t>
      </w:r>
      <w:r>
        <w:rPr>
          <w:color w:val="231F20"/>
          <w:w w:val="105"/>
        </w:rPr>
        <w:t>más</w:t>
      </w:r>
      <w:r>
        <w:rPr>
          <w:color w:val="231F20"/>
          <w:spacing w:val="-28"/>
          <w:w w:val="105"/>
        </w:rPr>
        <w:t> </w:t>
      </w:r>
      <w:r>
        <w:rPr>
          <w:color w:val="231F20"/>
          <w:w w:val="105"/>
        </w:rPr>
        <w:t>saludables</w:t>
      </w:r>
      <w:r>
        <w:rPr>
          <w:color w:val="231F20"/>
          <w:spacing w:val="-28"/>
          <w:w w:val="105"/>
        </w:rPr>
        <w:t> </w:t>
      </w:r>
      <w:r>
        <w:rPr>
          <w:color w:val="231F20"/>
          <w:w w:val="105"/>
        </w:rPr>
        <w:t>en</w:t>
      </w:r>
      <w:r>
        <w:rPr>
          <w:color w:val="231F20"/>
          <w:spacing w:val="-28"/>
          <w:w w:val="105"/>
        </w:rPr>
        <w:t> </w:t>
      </w:r>
      <w:r>
        <w:rPr>
          <w:color w:val="231F20"/>
          <w:w w:val="105"/>
        </w:rPr>
        <w:t>comparación</w:t>
      </w:r>
      <w:r>
        <w:rPr>
          <w:color w:val="231F20"/>
          <w:spacing w:val="-28"/>
          <w:w w:val="105"/>
        </w:rPr>
        <w:t> </w:t>
      </w:r>
      <w:r>
        <w:rPr>
          <w:color w:val="231F20"/>
          <w:w w:val="105"/>
        </w:rPr>
        <w:t>con</w:t>
      </w:r>
      <w:r>
        <w:rPr>
          <w:color w:val="231F20"/>
          <w:spacing w:val="-28"/>
          <w:w w:val="105"/>
        </w:rPr>
        <w:t> </w:t>
      </w:r>
      <w:r>
        <w:rPr>
          <w:color w:val="231F20"/>
          <w:w w:val="105"/>
        </w:rPr>
        <w:t>los</w:t>
      </w:r>
      <w:r>
        <w:rPr>
          <w:color w:val="231F20"/>
          <w:spacing w:val="-28"/>
          <w:w w:val="105"/>
        </w:rPr>
        <w:t> </w:t>
      </w:r>
      <w:r>
        <w:rPr>
          <w:color w:val="231F20"/>
          <w:w w:val="105"/>
        </w:rPr>
        <w:t>estadounidenses,</w:t>
      </w:r>
      <w:r>
        <w:rPr>
          <w:color w:val="231F20"/>
          <w:spacing w:val="-32"/>
          <w:w w:val="105"/>
        </w:rPr>
        <w:t> </w:t>
      </w:r>
      <w:r>
        <w:rPr>
          <w:color w:val="231F20"/>
          <w:w w:val="105"/>
        </w:rPr>
        <w:t>no</w:t>
      </w:r>
      <w:r>
        <w:rPr>
          <w:color w:val="231F20"/>
          <w:spacing w:val="-28"/>
          <w:w w:val="105"/>
        </w:rPr>
        <w:t> </w:t>
      </w:r>
      <w:r>
        <w:rPr>
          <w:color w:val="231F20"/>
          <w:w w:val="105"/>
        </w:rPr>
        <w:t>obstan- te,</w:t>
      </w:r>
      <w:r>
        <w:rPr>
          <w:color w:val="231F20"/>
          <w:spacing w:val="-26"/>
          <w:w w:val="105"/>
        </w:rPr>
        <w:t> </w:t>
      </w:r>
      <w:r>
        <w:rPr>
          <w:color w:val="231F20"/>
          <w:w w:val="105"/>
        </w:rPr>
        <w:t>esta</w:t>
      </w:r>
      <w:r>
        <w:rPr>
          <w:color w:val="231F20"/>
          <w:spacing w:val="-21"/>
          <w:w w:val="105"/>
        </w:rPr>
        <w:t> </w:t>
      </w:r>
      <w:r>
        <w:rPr>
          <w:color w:val="231F20"/>
          <w:w w:val="105"/>
        </w:rPr>
        <w:t>situación</w:t>
      </w:r>
      <w:r>
        <w:rPr>
          <w:color w:val="231F20"/>
          <w:spacing w:val="-21"/>
          <w:w w:val="105"/>
        </w:rPr>
        <w:t> </w:t>
      </w:r>
      <w:r>
        <w:rPr>
          <w:color w:val="231F20"/>
          <w:w w:val="105"/>
        </w:rPr>
        <w:t>cambia</w:t>
      </w:r>
      <w:r>
        <w:rPr>
          <w:color w:val="231F20"/>
          <w:spacing w:val="-21"/>
          <w:w w:val="105"/>
        </w:rPr>
        <w:t> </w:t>
      </w:r>
      <w:r>
        <w:rPr>
          <w:color w:val="231F20"/>
          <w:w w:val="105"/>
        </w:rPr>
        <w:t>pues</w:t>
      </w:r>
      <w:r>
        <w:rPr>
          <w:color w:val="231F20"/>
          <w:spacing w:val="-21"/>
          <w:w w:val="105"/>
        </w:rPr>
        <w:t> </w:t>
      </w:r>
      <w:r>
        <w:rPr>
          <w:color w:val="231F20"/>
          <w:w w:val="105"/>
        </w:rPr>
        <w:t>en</w:t>
      </w:r>
      <w:r>
        <w:rPr>
          <w:color w:val="231F20"/>
          <w:spacing w:val="-21"/>
          <w:w w:val="105"/>
        </w:rPr>
        <w:t> </w:t>
      </w:r>
      <w:r>
        <w:rPr>
          <w:color w:val="231F20"/>
          <w:w w:val="105"/>
        </w:rPr>
        <w:t>Estados</w:t>
      </w:r>
      <w:r>
        <w:rPr>
          <w:color w:val="231F20"/>
          <w:spacing w:val="-21"/>
          <w:w w:val="105"/>
        </w:rPr>
        <w:t> </w:t>
      </w:r>
      <w:r>
        <w:rPr>
          <w:color w:val="231F20"/>
          <w:w w:val="105"/>
        </w:rPr>
        <w:t>Unidos</w:t>
      </w:r>
      <w:r>
        <w:rPr>
          <w:color w:val="231F20"/>
          <w:spacing w:val="-21"/>
          <w:w w:val="105"/>
        </w:rPr>
        <w:t> </w:t>
      </w:r>
      <w:r>
        <w:rPr>
          <w:color w:val="231F20"/>
          <w:w w:val="105"/>
        </w:rPr>
        <w:t>si</w:t>
      </w:r>
      <w:r>
        <w:rPr>
          <w:color w:val="231F20"/>
          <w:spacing w:val="-21"/>
          <w:w w:val="105"/>
        </w:rPr>
        <w:t> </w:t>
      </w:r>
      <w:r>
        <w:rPr>
          <w:color w:val="231F20"/>
          <w:w w:val="105"/>
        </w:rPr>
        <w:t>bien</w:t>
      </w:r>
      <w:r>
        <w:rPr>
          <w:color w:val="231F20"/>
          <w:spacing w:val="-21"/>
          <w:w w:val="105"/>
        </w:rPr>
        <w:t> </w:t>
      </w:r>
      <w:r>
        <w:rPr>
          <w:color w:val="231F20"/>
          <w:w w:val="105"/>
        </w:rPr>
        <w:t>su</w:t>
      </w:r>
      <w:r>
        <w:rPr>
          <w:color w:val="231F20"/>
          <w:spacing w:val="-21"/>
          <w:w w:val="105"/>
        </w:rPr>
        <w:t> </w:t>
      </w:r>
      <w:r>
        <w:rPr>
          <w:color w:val="231F20"/>
          <w:w w:val="105"/>
        </w:rPr>
        <w:t>alimentación aumenta, adquieren hábitos poco saludables asociados a una mayor presencia de padecimientos como la hipertensión arterial, la diabetes, enfermedades</w:t>
      </w:r>
      <w:r>
        <w:rPr>
          <w:color w:val="231F20"/>
          <w:spacing w:val="-17"/>
          <w:w w:val="105"/>
        </w:rPr>
        <w:t> </w:t>
      </w:r>
      <w:r>
        <w:rPr>
          <w:color w:val="231F20"/>
          <w:w w:val="105"/>
        </w:rPr>
        <w:t>de</w:t>
      </w:r>
      <w:r>
        <w:rPr>
          <w:color w:val="231F20"/>
          <w:spacing w:val="-17"/>
          <w:w w:val="105"/>
        </w:rPr>
        <w:t> </w:t>
      </w:r>
      <w:r>
        <w:rPr>
          <w:color w:val="231F20"/>
          <w:w w:val="105"/>
        </w:rPr>
        <w:t>transmisión</w:t>
      </w:r>
      <w:r>
        <w:rPr>
          <w:color w:val="231F20"/>
          <w:spacing w:val="-17"/>
          <w:w w:val="105"/>
        </w:rPr>
        <w:t> </w:t>
      </w:r>
      <w:r>
        <w:rPr>
          <w:color w:val="231F20"/>
          <w:w w:val="105"/>
        </w:rPr>
        <w:t>sexual,</w:t>
      </w:r>
      <w:r>
        <w:rPr>
          <w:color w:val="231F20"/>
          <w:spacing w:val="-23"/>
          <w:w w:val="105"/>
        </w:rPr>
        <w:t> </w:t>
      </w:r>
      <w:r>
        <w:rPr>
          <w:color w:val="231F20"/>
          <w:w w:val="105"/>
        </w:rPr>
        <w:t>entre</w:t>
      </w:r>
      <w:r>
        <w:rPr>
          <w:color w:val="231F20"/>
          <w:spacing w:val="-17"/>
          <w:w w:val="105"/>
        </w:rPr>
        <w:t> </w:t>
      </w:r>
      <w:r>
        <w:rPr>
          <w:color w:val="231F20"/>
          <w:w w:val="105"/>
        </w:rPr>
        <w:t>otras.</w:t>
      </w:r>
      <w:r>
        <w:rPr>
          <w:color w:val="231F20"/>
          <w:spacing w:val="-23"/>
          <w:w w:val="105"/>
        </w:rPr>
        <w:t> </w:t>
      </w:r>
      <w:r>
        <w:rPr>
          <w:color w:val="231F20"/>
          <w:w w:val="105"/>
        </w:rPr>
        <w:t>Dicho</w:t>
      </w:r>
      <w:r>
        <w:rPr>
          <w:color w:val="231F20"/>
          <w:spacing w:val="-17"/>
          <w:w w:val="105"/>
        </w:rPr>
        <w:t> </w:t>
      </w:r>
      <w:r>
        <w:rPr>
          <w:color w:val="231F20"/>
          <w:w w:val="105"/>
        </w:rPr>
        <w:t>de</w:t>
      </w:r>
      <w:r>
        <w:rPr>
          <w:color w:val="231F20"/>
          <w:spacing w:val="-17"/>
          <w:w w:val="105"/>
        </w:rPr>
        <w:t> </w:t>
      </w:r>
      <w:r>
        <w:rPr>
          <w:color w:val="231F20"/>
          <w:w w:val="105"/>
        </w:rPr>
        <w:t>otro</w:t>
      </w:r>
      <w:r>
        <w:rPr>
          <w:color w:val="231F20"/>
          <w:spacing w:val="-17"/>
          <w:w w:val="105"/>
        </w:rPr>
        <w:t> </w:t>
      </w:r>
      <w:r>
        <w:rPr>
          <w:color w:val="231F20"/>
          <w:w w:val="105"/>
        </w:rPr>
        <w:t>modo,</w:t>
      </w:r>
      <w:r>
        <w:rPr>
          <w:color w:val="231F20"/>
          <w:spacing w:val="-23"/>
          <w:w w:val="105"/>
        </w:rPr>
        <w:t> </w:t>
      </w:r>
      <w:r>
        <w:rPr>
          <w:color w:val="231F20"/>
          <w:w w:val="105"/>
        </w:rPr>
        <w:t>la salud de los migrantes evoluciona negativamente debido a los</w:t>
      </w:r>
      <w:r>
        <w:rPr>
          <w:color w:val="231F20"/>
          <w:spacing w:val="-34"/>
          <w:w w:val="105"/>
        </w:rPr>
        <w:t> </w:t>
      </w:r>
      <w:r>
        <w:rPr>
          <w:color w:val="231F20"/>
          <w:w w:val="105"/>
        </w:rPr>
        <w:t>cambios observados en sus patrones de alimentación, el aumento del consumo de</w:t>
      </w:r>
      <w:r>
        <w:rPr>
          <w:color w:val="231F20"/>
          <w:spacing w:val="-12"/>
          <w:w w:val="105"/>
        </w:rPr>
        <w:t> </w:t>
      </w:r>
      <w:r>
        <w:rPr>
          <w:color w:val="231F20"/>
          <w:w w:val="105"/>
        </w:rPr>
        <w:t>tabaco</w:t>
      </w:r>
      <w:r>
        <w:rPr>
          <w:color w:val="231F20"/>
          <w:spacing w:val="-12"/>
          <w:w w:val="105"/>
        </w:rPr>
        <w:t> </w:t>
      </w:r>
      <w:r>
        <w:rPr>
          <w:color w:val="231F20"/>
          <w:w w:val="105"/>
        </w:rPr>
        <w:t>y</w:t>
      </w:r>
      <w:r>
        <w:rPr>
          <w:color w:val="231F20"/>
          <w:spacing w:val="-12"/>
          <w:w w:val="105"/>
        </w:rPr>
        <w:t> </w:t>
      </w:r>
      <w:r>
        <w:rPr>
          <w:color w:val="231F20"/>
          <w:w w:val="105"/>
        </w:rPr>
        <w:t>alcohol,</w:t>
      </w:r>
      <w:r>
        <w:rPr>
          <w:color w:val="231F20"/>
          <w:spacing w:val="-17"/>
          <w:w w:val="105"/>
        </w:rPr>
        <w:t> </w:t>
      </w:r>
      <w:r>
        <w:rPr>
          <w:color w:val="231F20"/>
          <w:w w:val="105"/>
        </w:rPr>
        <w:t>las</w:t>
      </w:r>
      <w:r>
        <w:rPr>
          <w:color w:val="231F20"/>
          <w:spacing w:val="-12"/>
          <w:w w:val="105"/>
        </w:rPr>
        <w:t> </w:t>
      </w:r>
      <w:r>
        <w:rPr>
          <w:color w:val="231F20"/>
          <w:w w:val="105"/>
        </w:rPr>
        <w:t>condiciones</w:t>
      </w:r>
      <w:r>
        <w:rPr>
          <w:color w:val="231F20"/>
          <w:spacing w:val="-12"/>
          <w:w w:val="105"/>
        </w:rPr>
        <w:t> </w:t>
      </w:r>
      <w:r>
        <w:rPr>
          <w:color w:val="231F20"/>
          <w:w w:val="105"/>
        </w:rPr>
        <w:t>laborales</w:t>
      </w:r>
      <w:r>
        <w:rPr>
          <w:color w:val="231F20"/>
          <w:spacing w:val="-12"/>
          <w:w w:val="105"/>
        </w:rPr>
        <w:t> </w:t>
      </w:r>
      <w:r>
        <w:rPr>
          <w:color w:val="231F20"/>
          <w:w w:val="105"/>
        </w:rPr>
        <w:t>riesgosas</w:t>
      </w:r>
      <w:r>
        <w:rPr>
          <w:color w:val="231F20"/>
          <w:spacing w:val="-12"/>
          <w:w w:val="105"/>
        </w:rPr>
        <w:t> </w:t>
      </w:r>
      <w:r>
        <w:rPr>
          <w:color w:val="231F20"/>
          <w:w w:val="105"/>
        </w:rPr>
        <w:t>así</w:t>
      </w:r>
      <w:r>
        <w:rPr>
          <w:color w:val="231F20"/>
          <w:spacing w:val="-12"/>
          <w:w w:val="105"/>
        </w:rPr>
        <w:t> </w:t>
      </w:r>
      <w:r>
        <w:rPr>
          <w:color w:val="231F20"/>
          <w:w w:val="105"/>
        </w:rPr>
        <w:t>como</w:t>
      </w:r>
      <w:r>
        <w:rPr>
          <w:color w:val="231F20"/>
          <w:spacing w:val="-12"/>
          <w:w w:val="105"/>
        </w:rPr>
        <w:t> </w:t>
      </w:r>
      <w:r>
        <w:rPr>
          <w:color w:val="231F20"/>
          <w:w w:val="105"/>
        </w:rPr>
        <w:t>priva- das</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protecciones</w:t>
      </w:r>
      <w:r>
        <w:rPr>
          <w:color w:val="231F20"/>
          <w:spacing w:val="-7"/>
          <w:w w:val="105"/>
        </w:rPr>
        <w:t> </w:t>
      </w:r>
      <w:r>
        <w:rPr>
          <w:color w:val="231F20"/>
          <w:w w:val="105"/>
        </w:rPr>
        <w:t>adecuadas</w:t>
      </w:r>
      <w:r>
        <w:rPr>
          <w:color w:val="231F20"/>
          <w:spacing w:val="-7"/>
          <w:w w:val="105"/>
        </w:rPr>
        <w:t> </w:t>
      </w:r>
      <w:r>
        <w:rPr>
          <w:color w:val="231F20"/>
          <w:w w:val="105"/>
        </w:rPr>
        <w:t>además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carencia</w:t>
      </w:r>
      <w:r>
        <w:rPr>
          <w:color w:val="231F20"/>
          <w:spacing w:val="-7"/>
          <w:w w:val="105"/>
        </w:rPr>
        <w:t> </w:t>
      </w:r>
      <w:r>
        <w:rPr>
          <w:color w:val="231F20"/>
          <w:w w:val="105"/>
        </w:rPr>
        <w:t>creciente</w:t>
      </w:r>
      <w:r>
        <w:rPr>
          <w:color w:val="231F20"/>
          <w:spacing w:val="-7"/>
          <w:w w:val="105"/>
        </w:rPr>
        <w:t> </w:t>
      </w:r>
      <w:r>
        <w:rPr>
          <w:color w:val="231F20"/>
          <w:w w:val="105"/>
        </w:rPr>
        <w:t>de acceso</w:t>
      </w:r>
      <w:r>
        <w:rPr>
          <w:color w:val="231F20"/>
          <w:spacing w:val="-28"/>
          <w:w w:val="105"/>
        </w:rPr>
        <w:t> </w:t>
      </w:r>
      <w:r>
        <w:rPr>
          <w:color w:val="231F20"/>
          <w:w w:val="105"/>
        </w:rPr>
        <w:t>a</w:t>
      </w:r>
      <w:r>
        <w:rPr>
          <w:color w:val="231F20"/>
          <w:spacing w:val="-28"/>
          <w:w w:val="105"/>
        </w:rPr>
        <w:t> </w:t>
      </w:r>
      <w:r>
        <w:rPr>
          <w:color w:val="231F20"/>
          <w:w w:val="105"/>
        </w:rPr>
        <w:t>los</w:t>
      </w:r>
      <w:r>
        <w:rPr>
          <w:color w:val="231F20"/>
          <w:spacing w:val="-28"/>
          <w:w w:val="105"/>
        </w:rPr>
        <w:t> </w:t>
      </w:r>
      <w:r>
        <w:rPr>
          <w:color w:val="231F20"/>
          <w:w w:val="105"/>
        </w:rPr>
        <w:t>servicios</w:t>
      </w:r>
      <w:r>
        <w:rPr>
          <w:color w:val="231F20"/>
          <w:spacing w:val="-28"/>
          <w:w w:val="105"/>
        </w:rPr>
        <w:t> </w:t>
      </w:r>
      <w:r>
        <w:rPr>
          <w:color w:val="231F20"/>
          <w:w w:val="105"/>
        </w:rPr>
        <w:t>de</w:t>
      </w:r>
      <w:r>
        <w:rPr>
          <w:color w:val="231F20"/>
          <w:spacing w:val="-28"/>
          <w:w w:val="105"/>
        </w:rPr>
        <w:t> </w:t>
      </w:r>
      <w:r>
        <w:rPr>
          <w:color w:val="231F20"/>
          <w:w w:val="105"/>
        </w:rPr>
        <w:t>salud</w:t>
      </w:r>
      <w:r>
        <w:rPr>
          <w:color w:val="231F20"/>
          <w:spacing w:val="-28"/>
          <w:w w:val="105"/>
        </w:rPr>
        <w:t> </w:t>
      </w:r>
      <w:r>
        <w:rPr>
          <w:color w:val="231F20"/>
          <w:w w:val="105"/>
        </w:rPr>
        <w:t>(Escobar</w:t>
      </w:r>
      <w:r>
        <w:rPr>
          <w:color w:val="231F20"/>
          <w:spacing w:val="-28"/>
          <w:w w:val="105"/>
        </w:rPr>
        <w:t> </w:t>
      </w:r>
      <w:r>
        <w:rPr>
          <w:rFonts w:ascii="Arial" w:hAnsi="Arial"/>
          <w:i/>
          <w:color w:val="231F20"/>
          <w:w w:val="105"/>
        </w:rPr>
        <w:t>et</w:t>
      </w:r>
      <w:r>
        <w:rPr>
          <w:rFonts w:ascii="Arial" w:hAnsi="Arial"/>
          <w:i/>
          <w:color w:val="231F20"/>
          <w:spacing w:val="-30"/>
          <w:w w:val="105"/>
        </w:rPr>
        <w:t> </w:t>
      </w:r>
      <w:r>
        <w:rPr>
          <w:rFonts w:ascii="Arial" w:hAnsi="Arial"/>
          <w:i/>
          <w:color w:val="231F20"/>
          <w:w w:val="105"/>
        </w:rPr>
        <w:t>al.</w:t>
      </w:r>
      <w:r>
        <w:rPr>
          <w:color w:val="231F20"/>
          <w:w w:val="105"/>
        </w:rPr>
        <w:t>,</w:t>
      </w:r>
      <w:r>
        <w:rPr>
          <w:color w:val="231F20"/>
          <w:spacing w:val="-28"/>
          <w:w w:val="105"/>
        </w:rPr>
        <w:t> </w:t>
      </w:r>
      <w:r>
        <w:rPr>
          <w:color w:val="231F20"/>
          <w:w w:val="105"/>
        </w:rPr>
        <w:t>2013).</w:t>
      </w:r>
    </w:p>
    <w:p>
      <w:pPr>
        <w:pStyle w:val="BodyText"/>
        <w:spacing w:line="261" w:lineRule="auto"/>
        <w:ind w:left="1723" w:right="1828" w:firstLine="567"/>
        <w:jc w:val="both"/>
      </w:pPr>
      <w:r>
        <w:rPr>
          <w:color w:val="231F20"/>
          <w:w w:val="105"/>
        </w:rPr>
        <w:t>Esta</w:t>
      </w:r>
      <w:r>
        <w:rPr>
          <w:color w:val="231F20"/>
          <w:spacing w:val="-12"/>
          <w:w w:val="105"/>
        </w:rPr>
        <w:t> </w:t>
      </w:r>
      <w:r>
        <w:rPr>
          <w:color w:val="231F20"/>
          <w:w w:val="105"/>
        </w:rPr>
        <w:t>falta</w:t>
      </w:r>
      <w:r>
        <w:rPr>
          <w:color w:val="231F20"/>
          <w:spacing w:val="-12"/>
          <w:w w:val="105"/>
        </w:rPr>
        <w:t> </w:t>
      </w:r>
      <w:r>
        <w:rPr>
          <w:color w:val="231F20"/>
          <w:w w:val="105"/>
        </w:rPr>
        <w:t>de</w:t>
      </w:r>
      <w:r>
        <w:rPr>
          <w:color w:val="231F20"/>
          <w:spacing w:val="-12"/>
          <w:w w:val="105"/>
        </w:rPr>
        <w:t> </w:t>
      </w:r>
      <w:r>
        <w:rPr>
          <w:color w:val="231F20"/>
          <w:w w:val="105"/>
        </w:rPr>
        <w:t>acceso</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servicios</w:t>
      </w:r>
      <w:r>
        <w:rPr>
          <w:color w:val="231F20"/>
          <w:spacing w:val="-12"/>
          <w:w w:val="105"/>
        </w:rPr>
        <w:t> </w:t>
      </w:r>
      <w:r>
        <w:rPr>
          <w:color w:val="231F20"/>
          <w:w w:val="105"/>
        </w:rPr>
        <w:t>médicos</w:t>
      </w:r>
      <w:r>
        <w:rPr>
          <w:color w:val="231F20"/>
          <w:spacing w:val="-12"/>
          <w:w w:val="105"/>
        </w:rPr>
        <w:t> </w:t>
      </w:r>
      <w:r>
        <w:rPr>
          <w:color w:val="231F20"/>
          <w:w w:val="105"/>
        </w:rPr>
        <w:t>conlleva</w:t>
      </w:r>
      <w:r>
        <w:rPr>
          <w:color w:val="231F20"/>
          <w:spacing w:val="-12"/>
          <w:w w:val="105"/>
        </w:rPr>
        <w:t> </w:t>
      </w:r>
      <w:r>
        <w:rPr>
          <w:color w:val="231F20"/>
          <w:w w:val="105"/>
        </w:rPr>
        <w:t>a</w:t>
      </w:r>
      <w:r>
        <w:rPr>
          <w:color w:val="231F20"/>
          <w:spacing w:val="-12"/>
          <w:w w:val="105"/>
        </w:rPr>
        <w:t> </w:t>
      </w:r>
      <w:r>
        <w:rPr>
          <w:color w:val="231F20"/>
          <w:w w:val="105"/>
        </w:rPr>
        <w:t>que</w:t>
      </w:r>
      <w:r>
        <w:rPr>
          <w:color w:val="231F20"/>
          <w:spacing w:val="-12"/>
          <w:w w:val="105"/>
        </w:rPr>
        <w:t> </w:t>
      </w:r>
      <w:r>
        <w:rPr>
          <w:color w:val="231F20"/>
          <w:w w:val="105"/>
        </w:rPr>
        <w:t>los</w:t>
      </w:r>
      <w:r>
        <w:rPr>
          <w:color w:val="231F20"/>
          <w:spacing w:val="-12"/>
          <w:w w:val="105"/>
        </w:rPr>
        <w:t> </w:t>
      </w:r>
      <w:r>
        <w:rPr>
          <w:color w:val="231F20"/>
          <w:w w:val="105"/>
        </w:rPr>
        <w:t>mi- grantes alarguen hasta el límite el diagnóstico o tratamiento de alguna enfermedad, perjudicando severamente su salud, particularmente en</w:t>
      </w:r>
      <w:r>
        <w:rPr>
          <w:color w:val="231F20"/>
          <w:spacing w:val="-38"/>
          <w:w w:val="105"/>
        </w:rPr>
        <w:t> </w:t>
      </w:r>
      <w:r>
        <w:rPr>
          <w:color w:val="231F20"/>
          <w:w w:val="105"/>
        </w:rPr>
        <w:t>el caso</w:t>
      </w:r>
      <w:r>
        <w:rPr>
          <w:color w:val="231F20"/>
          <w:spacing w:val="-14"/>
          <w:w w:val="105"/>
        </w:rPr>
        <w:t> </w:t>
      </w:r>
      <w:r>
        <w:rPr>
          <w:color w:val="231F20"/>
          <w:w w:val="105"/>
        </w:rPr>
        <w:t>de</w:t>
      </w:r>
      <w:r>
        <w:rPr>
          <w:color w:val="231F20"/>
          <w:spacing w:val="-14"/>
          <w:w w:val="105"/>
        </w:rPr>
        <w:t> </w:t>
      </w:r>
      <w:r>
        <w:rPr>
          <w:color w:val="231F20"/>
          <w:w w:val="105"/>
        </w:rPr>
        <w:t>adultos</w:t>
      </w:r>
      <w:r>
        <w:rPr>
          <w:color w:val="231F20"/>
          <w:spacing w:val="-14"/>
          <w:w w:val="105"/>
        </w:rPr>
        <w:t> </w:t>
      </w:r>
      <w:r>
        <w:rPr>
          <w:color w:val="231F20"/>
          <w:w w:val="105"/>
        </w:rPr>
        <w:t>y</w:t>
      </w:r>
      <w:r>
        <w:rPr>
          <w:color w:val="231F20"/>
          <w:spacing w:val="-14"/>
          <w:w w:val="105"/>
        </w:rPr>
        <w:t> </w:t>
      </w:r>
      <w:r>
        <w:rPr>
          <w:color w:val="231F20"/>
          <w:w w:val="105"/>
        </w:rPr>
        <w:t>adultos</w:t>
      </w:r>
      <w:r>
        <w:rPr>
          <w:color w:val="231F20"/>
          <w:spacing w:val="-14"/>
          <w:w w:val="105"/>
        </w:rPr>
        <w:t> </w:t>
      </w:r>
      <w:r>
        <w:rPr>
          <w:color w:val="231F20"/>
          <w:w w:val="105"/>
        </w:rPr>
        <w:t>mayores,</w:t>
      </w:r>
      <w:r>
        <w:rPr>
          <w:color w:val="231F20"/>
          <w:spacing w:val="-19"/>
          <w:w w:val="105"/>
        </w:rPr>
        <w:t> </w:t>
      </w:r>
      <w:r>
        <w:rPr>
          <w:color w:val="231F20"/>
          <w:w w:val="105"/>
        </w:rPr>
        <w:t>pues</w:t>
      </w:r>
      <w:r>
        <w:rPr>
          <w:color w:val="231F20"/>
          <w:spacing w:val="-14"/>
          <w:w w:val="105"/>
        </w:rPr>
        <w:t> </w:t>
      </w:r>
      <w:r>
        <w:rPr>
          <w:color w:val="231F20"/>
          <w:w w:val="105"/>
        </w:rPr>
        <w:t>al</w:t>
      </w:r>
      <w:r>
        <w:rPr>
          <w:color w:val="231F20"/>
          <w:spacing w:val="-14"/>
          <w:w w:val="105"/>
        </w:rPr>
        <w:t> </w:t>
      </w:r>
      <w:r>
        <w:rPr>
          <w:color w:val="231F20"/>
          <w:w w:val="105"/>
        </w:rPr>
        <w:t>encontrarse</w:t>
      </w:r>
      <w:r>
        <w:rPr>
          <w:color w:val="231F20"/>
          <w:spacing w:val="-14"/>
          <w:w w:val="105"/>
        </w:rPr>
        <w:t> </w:t>
      </w:r>
      <w:r>
        <w:rPr>
          <w:color w:val="231F20"/>
          <w:w w:val="105"/>
        </w:rPr>
        <w:t>en</w:t>
      </w:r>
      <w:r>
        <w:rPr>
          <w:color w:val="231F20"/>
          <w:spacing w:val="-14"/>
          <w:w w:val="105"/>
        </w:rPr>
        <w:t> </w:t>
      </w:r>
      <w:r>
        <w:rPr>
          <w:color w:val="231F20"/>
          <w:w w:val="105"/>
        </w:rPr>
        <w:t>una</w:t>
      </w:r>
      <w:r>
        <w:rPr>
          <w:color w:val="231F20"/>
          <w:spacing w:val="-14"/>
          <w:w w:val="105"/>
        </w:rPr>
        <w:t> </w:t>
      </w:r>
      <w:r>
        <w:rPr>
          <w:color w:val="231F20"/>
          <w:w w:val="105"/>
        </w:rPr>
        <w:t>etapa</w:t>
      </w:r>
      <w:r>
        <w:rPr>
          <w:color w:val="231F20"/>
          <w:spacing w:val="-14"/>
          <w:w w:val="105"/>
        </w:rPr>
        <w:t> </w:t>
      </w:r>
      <w:r>
        <w:rPr>
          <w:color w:val="231F20"/>
          <w:w w:val="105"/>
        </w:rPr>
        <w:t>de la vida cuando el estado de salud se deteriora de manera más rápida, existe una alta probabilidad de que se desarrollen enfermedades</w:t>
      </w:r>
      <w:r>
        <w:rPr>
          <w:color w:val="231F20"/>
          <w:spacing w:val="-25"/>
          <w:w w:val="105"/>
        </w:rPr>
        <w:t> </w:t>
      </w:r>
      <w:r>
        <w:rPr>
          <w:color w:val="231F20"/>
          <w:w w:val="105"/>
        </w:rPr>
        <w:t>cróni- co-degenerativas.</w:t>
      </w:r>
      <w:r>
        <w:rPr>
          <w:color w:val="231F20"/>
          <w:spacing w:val="-34"/>
          <w:w w:val="105"/>
        </w:rPr>
        <w:t> </w:t>
      </w:r>
      <w:r>
        <w:rPr>
          <w:color w:val="231F20"/>
          <w:w w:val="105"/>
        </w:rPr>
        <w:t>Así</w:t>
      </w:r>
      <w:r>
        <w:rPr>
          <w:color w:val="231F20"/>
          <w:spacing w:val="-27"/>
          <w:w w:val="105"/>
        </w:rPr>
        <w:t> </w:t>
      </w:r>
      <w:r>
        <w:rPr>
          <w:color w:val="231F20"/>
          <w:w w:val="105"/>
        </w:rPr>
        <w:t>pues,</w:t>
      </w:r>
      <w:r>
        <w:rPr>
          <w:color w:val="231F20"/>
          <w:spacing w:val="-31"/>
          <w:w w:val="105"/>
        </w:rPr>
        <w:t> </w:t>
      </w:r>
      <w:r>
        <w:rPr>
          <w:color w:val="231F20"/>
          <w:w w:val="105"/>
        </w:rPr>
        <w:t>los</w:t>
      </w:r>
      <w:r>
        <w:rPr>
          <w:color w:val="231F20"/>
          <w:spacing w:val="-27"/>
          <w:w w:val="105"/>
        </w:rPr>
        <w:t> </w:t>
      </w:r>
      <w:r>
        <w:rPr>
          <w:color w:val="231F20"/>
          <w:w w:val="105"/>
        </w:rPr>
        <w:t>problemas</w:t>
      </w:r>
      <w:r>
        <w:rPr>
          <w:color w:val="231F20"/>
          <w:spacing w:val="-27"/>
          <w:w w:val="105"/>
        </w:rPr>
        <w:t> </w:t>
      </w:r>
      <w:r>
        <w:rPr>
          <w:color w:val="231F20"/>
          <w:w w:val="105"/>
        </w:rPr>
        <w:t>relacionados</w:t>
      </w:r>
      <w:r>
        <w:rPr>
          <w:color w:val="231F20"/>
          <w:spacing w:val="-27"/>
          <w:w w:val="105"/>
        </w:rPr>
        <w:t> </w:t>
      </w:r>
      <w:r>
        <w:rPr>
          <w:color w:val="231F20"/>
          <w:w w:val="105"/>
        </w:rPr>
        <w:t>con</w:t>
      </w:r>
      <w:r>
        <w:rPr>
          <w:color w:val="231F20"/>
          <w:spacing w:val="-27"/>
          <w:w w:val="105"/>
        </w:rPr>
        <w:t> </w:t>
      </w:r>
      <w:r>
        <w:rPr>
          <w:color w:val="231F20"/>
          <w:w w:val="105"/>
        </w:rPr>
        <w:t>la</w:t>
      </w:r>
      <w:r>
        <w:rPr>
          <w:color w:val="231F20"/>
          <w:spacing w:val="-27"/>
          <w:w w:val="105"/>
        </w:rPr>
        <w:t> </w:t>
      </w:r>
      <w:r>
        <w:rPr>
          <w:color w:val="231F20"/>
          <w:w w:val="105"/>
        </w:rPr>
        <w:t>falta</w:t>
      </w:r>
      <w:r>
        <w:rPr>
          <w:color w:val="231F20"/>
          <w:spacing w:val="-27"/>
          <w:w w:val="105"/>
        </w:rPr>
        <w:t> </w:t>
      </w:r>
      <w:r>
        <w:rPr>
          <w:color w:val="231F20"/>
          <w:w w:val="105"/>
        </w:rPr>
        <w:t>de</w:t>
      </w:r>
      <w:r>
        <w:rPr>
          <w:color w:val="231F20"/>
          <w:spacing w:val="-27"/>
          <w:w w:val="105"/>
        </w:rPr>
        <w:t> </w:t>
      </w:r>
      <w:r>
        <w:rPr>
          <w:color w:val="231F20"/>
          <w:w w:val="105"/>
        </w:rPr>
        <w:t>un cuidado médico continuo y consistente se reproducen cuando la</w:t>
      </w:r>
      <w:r>
        <w:rPr>
          <w:color w:val="231F20"/>
          <w:spacing w:val="-24"/>
          <w:w w:val="105"/>
        </w:rPr>
        <w:t> </w:t>
      </w:r>
      <w:r>
        <w:rPr>
          <w:color w:val="231F20"/>
          <w:w w:val="105"/>
        </w:rPr>
        <w:t>pobla- ción</w:t>
      </w:r>
      <w:r>
        <w:rPr>
          <w:color w:val="231F20"/>
          <w:spacing w:val="-28"/>
          <w:w w:val="105"/>
        </w:rPr>
        <w:t> </w:t>
      </w:r>
      <w:r>
        <w:rPr>
          <w:color w:val="231F20"/>
          <w:w w:val="105"/>
        </w:rPr>
        <w:t>se</w:t>
      </w:r>
      <w:r>
        <w:rPr>
          <w:color w:val="231F20"/>
          <w:spacing w:val="-28"/>
          <w:w w:val="105"/>
        </w:rPr>
        <w:t> </w:t>
      </w:r>
      <w:r>
        <w:rPr>
          <w:color w:val="231F20"/>
          <w:w w:val="105"/>
        </w:rPr>
        <w:t>encuentra</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vejez</w:t>
      </w:r>
      <w:r>
        <w:rPr>
          <w:color w:val="231F20"/>
          <w:spacing w:val="-28"/>
          <w:w w:val="105"/>
        </w:rPr>
        <w:t> </w:t>
      </w:r>
      <w:r>
        <w:rPr>
          <w:color w:val="231F20"/>
          <w:w w:val="105"/>
        </w:rPr>
        <w:t>(Leite</w:t>
      </w:r>
      <w:r>
        <w:rPr>
          <w:color w:val="231F20"/>
          <w:spacing w:val="-28"/>
          <w:w w:val="105"/>
        </w:rPr>
        <w:t> </w:t>
      </w:r>
      <w:r>
        <w:rPr>
          <w:color w:val="231F20"/>
          <w:w w:val="105"/>
        </w:rPr>
        <w:t>y</w:t>
      </w:r>
      <w:r>
        <w:rPr>
          <w:color w:val="231F20"/>
          <w:spacing w:val="-28"/>
          <w:w w:val="105"/>
        </w:rPr>
        <w:t> </w:t>
      </w:r>
      <w:r>
        <w:rPr>
          <w:color w:val="231F20"/>
          <w:w w:val="105"/>
        </w:rPr>
        <w:t>Castañeda,</w:t>
      </w:r>
      <w:r>
        <w:rPr>
          <w:color w:val="231F20"/>
          <w:spacing w:val="-32"/>
          <w:w w:val="105"/>
        </w:rPr>
        <w:t> </w:t>
      </w:r>
      <w:r>
        <w:rPr>
          <w:color w:val="231F20"/>
          <w:w w:val="105"/>
        </w:rPr>
        <w:t>2008).</w:t>
      </w:r>
    </w:p>
    <w:p>
      <w:pPr>
        <w:pStyle w:val="BodyText"/>
        <w:spacing w:line="261" w:lineRule="auto" w:before="1"/>
        <w:ind w:left="1723" w:right="1829" w:firstLine="567"/>
        <w:jc w:val="both"/>
      </w:pPr>
      <w:r>
        <w:rPr>
          <w:color w:val="231F20"/>
          <w:w w:val="105"/>
        </w:rPr>
        <w:t>En los últimos años el Estado de México, como otras entidades, por ejemplo el Distrito Federal, Veracruz o Chiapas, han incrementado su</w:t>
      </w:r>
      <w:r>
        <w:rPr>
          <w:color w:val="231F20"/>
          <w:spacing w:val="-10"/>
          <w:w w:val="105"/>
        </w:rPr>
        <w:t> </w:t>
      </w:r>
      <w:r>
        <w:rPr>
          <w:color w:val="231F20"/>
          <w:w w:val="105"/>
        </w:rPr>
        <w:t>participación</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flujo</w:t>
      </w:r>
      <w:r>
        <w:rPr>
          <w:color w:val="231F20"/>
          <w:spacing w:val="-10"/>
          <w:w w:val="105"/>
        </w:rPr>
        <w:t> </w:t>
      </w:r>
      <w:r>
        <w:rPr>
          <w:color w:val="231F20"/>
          <w:w w:val="105"/>
        </w:rPr>
        <w:t>de</w:t>
      </w:r>
      <w:r>
        <w:rPr>
          <w:color w:val="231F20"/>
          <w:spacing w:val="-10"/>
          <w:w w:val="105"/>
        </w:rPr>
        <w:t> </w:t>
      </w:r>
      <w:r>
        <w:rPr>
          <w:color w:val="231F20"/>
          <w:w w:val="105"/>
        </w:rPr>
        <w:t>personas</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dirigen</w:t>
      </w:r>
      <w:r>
        <w:rPr>
          <w:color w:val="231F20"/>
          <w:spacing w:val="-10"/>
          <w:w w:val="105"/>
        </w:rPr>
        <w:t> </w:t>
      </w:r>
      <w:r>
        <w:rPr>
          <w:color w:val="231F20"/>
          <w:w w:val="105"/>
        </w:rPr>
        <w:t>a</w:t>
      </w:r>
      <w:r>
        <w:rPr>
          <w:color w:val="231F20"/>
          <w:spacing w:val="-10"/>
          <w:w w:val="105"/>
        </w:rPr>
        <w:t> </w:t>
      </w:r>
      <w:r>
        <w:rPr>
          <w:color w:val="231F20"/>
          <w:w w:val="105"/>
        </w:rPr>
        <w:t>Estados</w:t>
      </w:r>
      <w:r>
        <w:rPr>
          <w:color w:val="231F20"/>
          <w:spacing w:val="-10"/>
          <w:w w:val="105"/>
        </w:rPr>
        <w:t> </w:t>
      </w:r>
      <w:r>
        <w:rPr>
          <w:color w:val="231F20"/>
          <w:w w:val="105"/>
        </w:rPr>
        <w:t>Unidos con</w:t>
      </w:r>
      <w:r>
        <w:rPr>
          <w:color w:val="231F20"/>
          <w:spacing w:val="-14"/>
          <w:w w:val="105"/>
        </w:rPr>
        <w:t> </w:t>
      </w:r>
      <w:r>
        <w:rPr>
          <w:color w:val="231F20"/>
          <w:w w:val="105"/>
        </w:rPr>
        <w:t>la</w:t>
      </w:r>
      <w:r>
        <w:rPr>
          <w:color w:val="231F20"/>
          <w:spacing w:val="-14"/>
          <w:w w:val="105"/>
        </w:rPr>
        <w:t> </w:t>
      </w:r>
      <w:r>
        <w:rPr>
          <w:color w:val="231F20"/>
          <w:w w:val="105"/>
        </w:rPr>
        <w:t>finalidad</w:t>
      </w:r>
      <w:r>
        <w:rPr>
          <w:color w:val="231F20"/>
          <w:spacing w:val="-14"/>
          <w:w w:val="105"/>
        </w:rPr>
        <w:t> </w:t>
      </w:r>
      <w:r>
        <w:rPr>
          <w:color w:val="231F20"/>
          <w:w w:val="105"/>
        </w:rPr>
        <w:t>de</w:t>
      </w:r>
      <w:r>
        <w:rPr>
          <w:color w:val="231F20"/>
          <w:spacing w:val="-14"/>
          <w:w w:val="105"/>
        </w:rPr>
        <w:t> </w:t>
      </w:r>
      <w:r>
        <w:rPr>
          <w:color w:val="231F20"/>
          <w:w w:val="105"/>
        </w:rPr>
        <w:t>trabajar,</w:t>
      </w:r>
      <w:r>
        <w:rPr>
          <w:color w:val="231F20"/>
          <w:spacing w:val="-18"/>
          <w:w w:val="105"/>
        </w:rPr>
        <w:t> </w:t>
      </w:r>
      <w:r>
        <w:rPr>
          <w:color w:val="231F20"/>
          <w:w w:val="105"/>
        </w:rPr>
        <w:t>buscar</w:t>
      </w:r>
      <w:r>
        <w:rPr>
          <w:color w:val="231F20"/>
          <w:spacing w:val="-14"/>
          <w:w w:val="105"/>
        </w:rPr>
        <w:t> </w:t>
      </w:r>
      <w:r>
        <w:rPr>
          <w:color w:val="231F20"/>
          <w:w w:val="105"/>
        </w:rPr>
        <w:t>empleo</w:t>
      </w:r>
      <w:r>
        <w:rPr>
          <w:color w:val="231F20"/>
          <w:spacing w:val="-14"/>
          <w:w w:val="105"/>
        </w:rPr>
        <w:t> </w:t>
      </w:r>
      <w:r>
        <w:rPr>
          <w:color w:val="231F20"/>
          <w:w w:val="105"/>
        </w:rPr>
        <w:t>o</w:t>
      </w:r>
      <w:r>
        <w:rPr>
          <w:color w:val="231F20"/>
          <w:spacing w:val="-14"/>
          <w:w w:val="105"/>
        </w:rPr>
        <w:t> </w:t>
      </w:r>
      <w:r>
        <w:rPr>
          <w:color w:val="231F20"/>
          <w:w w:val="105"/>
        </w:rPr>
        <w:t>reunirse</w:t>
      </w:r>
      <w:r>
        <w:rPr>
          <w:color w:val="231F20"/>
          <w:spacing w:val="-14"/>
          <w:w w:val="105"/>
        </w:rPr>
        <w:t> </w:t>
      </w:r>
      <w:r>
        <w:rPr>
          <w:color w:val="231F20"/>
          <w:w w:val="105"/>
        </w:rPr>
        <w:t>con</w:t>
      </w:r>
      <w:r>
        <w:rPr>
          <w:color w:val="231F20"/>
          <w:spacing w:val="-14"/>
          <w:w w:val="105"/>
        </w:rPr>
        <w:t> </w:t>
      </w:r>
      <w:r>
        <w:rPr>
          <w:color w:val="231F20"/>
          <w:w w:val="105"/>
        </w:rPr>
        <w:t>sus</w:t>
      </w:r>
      <w:r>
        <w:rPr>
          <w:color w:val="231F20"/>
          <w:spacing w:val="-14"/>
          <w:w w:val="105"/>
        </w:rPr>
        <w:t> </w:t>
      </w:r>
      <w:r>
        <w:rPr>
          <w:color w:val="231F20"/>
          <w:w w:val="105"/>
        </w:rPr>
        <w:t>familiares, a</w:t>
      </w:r>
      <w:r>
        <w:rPr>
          <w:color w:val="231F20"/>
          <w:spacing w:val="-13"/>
          <w:w w:val="105"/>
        </w:rPr>
        <w:t> </w:t>
      </w:r>
      <w:r>
        <w:rPr>
          <w:color w:val="231F20"/>
          <w:w w:val="105"/>
        </w:rPr>
        <w:t>pesar</w:t>
      </w:r>
      <w:r>
        <w:rPr>
          <w:color w:val="231F20"/>
          <w:spacing w:val="-13"/>
          <w:w w:val="105"/>
        </w:rPr>
        <w:t> </w:t>
      </w:r>
      <w:r>
        <w:rPr>
          <w:color w:val="231F20"/>
          <w:w w:val="105"/>
        </w:rPr>
        <w:t>del</w:t>
      </w:r>
      <w:r>
        <w:rPr>
          <w:color w:val="231F20"/>
          <w:spacing w:val="-13"/>
          <w:w w:val="105"/>
        </w:rPr>
        <w:t> </w:t>
      </w:r>
      <w:r>
        <w:rPr>
          <w:color w:val="231F20"/>
          <w:w w:val="105"/>
        </w:rPr>
        <w:t>endurecimiento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vigilancia</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control</w:t>
      </w:r>
      <w:r>
        <w:rPr>
          <w:color w:val="231F20"/>
          <w:spacing w:val="-13"/>
          <w:w w:val="105"/>
        </w:rPr>
        <w:t> </w:t>
      </w:r>
      <w:r>
        <w:rPr>
          <w:color w:val="231F20"/>
          <w:w w:val="105"/>
        </w:rPr>
        <w:t>fronterizo</w:t>
      </w:r>
      <w:r>
        <w:rPr>
          <w:color w:val="231F20"/>
          <w:spacing w:val="-13"/>
          <w:w w:val="105"/>
        </w:rPr>
        <w:t> </w:t>
      </w:r>
      <w:r>
        <w:rPr>
          <w:color w:val="231F20"/>
          <w:w w:val="105"/>
        </w:rPr>
        <w:t>desple- gado</w:t>
      </w:r>
      <w:r>
        <w:rPr>
          <w:color w:val="231F20"/>
          <w:spacing w:val="-19"/>
          <w:w w:val="105"/>
        </w:rPr>
        <w:t> </w:t>
      </w:r>
      <w:r>
        <w:rPr>
          <w:color w:val="231F20"/>
          <w:w w:val="105"/>
        </w:rPr>
        <w:t>por</w:t>
      </w:r>
      <w:r>
        <w:rPr>
          <w:color w:val="231F20"/>
          <w:spacing w:val="-19"/>
          <w:w w:val="105"/>
        </w:rPr>
        <w:t> </w:t>
      </w:r>
      <w:r>
        <w:rPr>
          <w:color w:val="231F20"/>
          <w:w w:val="105"/>
        </w:rPr>
        <w:t>las</w:t>
      </w:r>
      <w:r>
        <w:rPr>
          <w:color w:val="231F20"/>
          <w:spacing w:val="-19"/>
          <w:w w:val="105"/>
        </w:rPr>
        <w:t> </w:t>
      </w:r>
      <w:r>
        <w:rPr>
          <w:color w:val="231F20"/>
          <w:w w:val="105"/>
        </w:rPr>
        <w:t>autoridades</w:t>
      </w:r>
      <w:r>
        <w:rPr>
          <w:color w:val="231F20"/>
          <w:spacing w:val="-19"/>
          <w:w w:val="105"/>
        </w:rPr>
        <w:t> </w:t>
      </w:r>
      <w:r>
        <w:rPr>
          <w:color w:val="231F20"/>
          <w:w w:val="105"/>
        </w:rPr>
        <w:t>estadounidenses</w:t>
      </w:r>
      <w:r>
        <w:rPr>
          <w:color w:val="231F20"/>
          <w:spacing w:val="-19"/>
          <w:w w:val="105"/>
        </w:rPr>
        <w:t> </w:t>
      </w:r>
      <w:r>
        <w:rPr>
          <w:color w:val="231F20"/>
          <w:w w:val="105"/>
        </w:rPr>
        <w:t>desde</w:t>
      </w:r>
      <w:r>
        <w:rPr>
          <w:color w:val="231F20"/>
          <w:spacing w:val="-19"/>
          <w:w w:val="105"/>
        </w:rPr>
        <w:t> </w:t>
      </w:r>
      <w:r>
        <w:rPr>
          <w:color w:val="231F20"/>
          <w:w w:val="105"/>
        </w:rPr>
        <w:t>el</w:t>
      </w:r>
      <w:r>
        <w:rPr>
          <w:color w:val="231F20"/>
          <w:spacing w:val="-19"/>
          <w:w w:val="105"/>
        </w:rPr>
        <w:t> </w:t>
      </w:r>
      <w:r>
        <w:rPr>
          <w:color w:val="231F20"/>
          <w:w w:val="105"/>
        </w:rPr>
        <w:t>año</w:t>
      </w:r>
      <w:r>
        <w:rPr>
          <w:color w:val="231F20"/>
          <w:spacing w:val="-19"/>
          <w:w w:val="105"/>
        </w:rPr>
        <w:t> </w:t>
      </w:r>
      <w:r>
        <w:rPr>
          <w:color w:val="231F20"/>
          <w:w w:val="105"/>
        </w:rPr>
        <w:t>1993</w:t>
      </w:r>
      <w:r>
        <w:rPr>
          <w:color w:val="231F20"/>
          <w:spacing w:val="-19"/>
          <w:w w:val="105"/>
        </w:rPr>
        <w:t> </w:t>
      </w:r>
      <w:r>
        <w:rPr>
          <w:color w:val="231F20"/>
          <w:w w:val="105"/>
        </w:rPr>
        <w:t>(Anguiano y</w:t>
      </w:r>
      <w:r>
        <w:rPr>
          <w:color w:val="231F20"/>
          <w:spacing w:val="-37"/>
          <w:w w:val="105"/>
        </w:rPr>
        <w:t> </w:t>
      </w:r>
      <w:r>
        <w:rPr>
          <w:color w:val="231F20"/>
          <w:w w:val="105"/>
        </w:rPr>
        <w:t>Cardoso,</w:t>
      </w:r>
      <w:r>
        <w:rPr>
          <w:color w:val="231F20"/>
          <w:spacing w:val="-40"/>
          <w:w w:val="105"/>
        </w:rPr>
        <w:t> </w:t>
      </w:r>
      <w:r>
        <w:rPr>
          <w:color w:val="231F20"/>
          <w:w w:val="105"/>
        </w:rPr>
        <w:t>2012).</w:t>
      </w:r>
    </w:p>
    <w:p>
      <w:pPr>
        <w:pStyle w:val="BodyText"/>
        <w:spacing w:line="261" w:lineRule="auto" w:before="1"/>
        <w:ind w:left="1723" w:right="1834" w:firstLine="567"/>
        <w:jc w:val="both"/>
      </w:pPr>
      <w:r>
        <w:rPr>
          <w:color w:val="231F20"/>
        </w:rPr>
        <w:t>Si bien, los factores que promueven la migración internacional de los nacidos en el Estado de México muestran un patrón semejante al que se registra a nivel nacional, este estudio tiene como objetivo conocer la situación de los migrantes mexiquenses en flujo procedentes de Estados Unidos en materia de acceso a los servicios de salud durante su estadía en el vecino país del norte, así como analizar otras características relacio- nadas con la salud de esta </w:t>
      </w:r>
      <w:r>
        <w:rPr>
          <w:color w:val="231F20"/>
          <w:spacing w:val="27"/>
        </w:rPr>
        <w:t> </w:t>
      </w:r>
      <w:r>
        <w:rPr>
          <w:color w:val="231F20"/>
        </w:rPr>
        <w:t>población.</w:t>
      </w:r>
    </w:p>
    <w:p>
      <w:pPr>
        <w:pStyle w:val="BodyText"/>
        <w:rPr>
          <w:sz w:val="20"/>
        </w:rPr>
      </w:pPr>
    </w:p>
    <w:p>
      <w:pPr>
        <w:pStyle w:val="BodyText"/>
        <w:rPr>
          <w:sz w:val="20"/>
        </w:rPr>
      </w:pPr>
    </w:p>
    <w:p>
      <w:pPr>
        <w:pStyle w:val="BodyText"/>
        <w:rPr>
          <w:sz w:val="20"/>
        </w:rPr>
      </w:pPr>
    </w:p>
    <w:p>
      <w:pPr>
        <w:pStyle w:val="BodyText"/>
        <w:spacing w:before="11"/>
        <w:rPr>
          <w:sz w:val="20"/>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70176" from="131.551193pt,3.703715pt" to="131.551193pt,39.506114pt" stroked="true" strokeweight=".35pt" strokecolor="#231f20">
            <w10:wrap type="none"/>
          </v:line>
        </w:pict>
      </w:r>
      <w:r>
        <w:rPr/>
        <w:pict>
          <v:line style="position:absolute;mso-position-horizontal-relative:page;mso-position-vertical-relative:paragraph;z-index:-470152" from="15pt,39.505917pt" to="0pt,39.505917pt" stroked="true" strokeweight=".25pt" strokecolor="#000000">
            <w10:wrap type="none"/>
          </v:line>
        </w:pict>
      </w:r>
      <w:r>
        <w:rPr/>
        <w:pict>
          <v:line style="position:absolute;mso-position-horizontal-relative:page;mso-position-vertical-relative:paragraph;z-index:20056" from="508.890015pt,39.505917pt" to="523.890015pt,39.505917pt" stroked="true" strokeweight=".25pt" strokecolor="#000000">
            <w10:wrap type="none"/>
          </v:line>
        </w:pict>
      </w:r>
      <w:r>
        <w:rPr>
          <w:rFonts w:ascii="Arial" w:hAnsi="Arial"/>
          <w:color w:val="414042"/>
          <w:w w:val="105"/>
          <w:position w:val="-5"/>
          <w:sz w:val="20"/>
        </w:rPr>
        <w:t>178</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footerReference w:type="default" r:id="rId153"/>
          <w:pgSz w:w="10480" w:h="14730"/>
          <w:pgMar w:footer="103" w:header="0" w:top="42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headerReference w:type="default" r:id="rId154"/>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0080" from="405.061005pt,-27.904295pt" to="405.061005pt,6.961579pt" stroked="true" strokeweight=".35pt" strokecolor="#231f20">
            <w10:wrap type="none"/>
          </v:line>
        </w:pict>
      </w:r>
      <w:r>
        <w:rPr/>
        <w:pict>
          <v:line style="position:absolute;mso-position-horizontal-relative:page;mso-position-vertical-relative:paragraph;z-index:20104" from="15pt,-27.90452pt" to="0pt,-27.90452pt" stroked="true" strokeweight=".25pt" strokecolor="#000000">
            <w10:wrap type="none"/>
          </v:line>
        </w:pict>
      </w:r>
      <w:r>
        <w:rPr/>
        <w:pict>
          <v:line style="position:absolute;mso-position-horizontal-relative:page;mso-position-vertical-relative:paragraph;z-index:20128"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179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70032" from="15pt,715.487793pt" to="0pt,715.487793pt" stroked="true" strokeweight=".25pt" strokecolor="#000000">
            <w10:wrap type="none"/>
          </v:line>
        </w:pict>
      </w:r>
      <w:r>
        <w:rPr/>
        <w:pict>
          <v:line style="position:absolute;mso-position-horizontal-relative:page;mso-position-vertical-relative:page;z-index:20176" from="508.890015pt,715.487793pt" to="523.890015pt,715.487793pt" stroked="true" strokeweight=".25pt" strokecolor="#000000">
            <w10:wrap type="none"/>
          </v:line>
        </w:pict>
      </w:r>
    </w:p>
    <w:p>
      <w:pPr>
        <w:pStyle w:val="BodyText"/>
        <w:spacing w:before="5"/>
        <w:rPr>
          <w:rFonts w:ascii="Arial"/>
          <w:sz w:val="24"/>
        </w:rPr>
      </w:pPr>
    </w:p>
    <w:p>
      <w:pPr>
        <w:pStyle w:val="BodyText"/>
        <w:spacing w:line="261" w:lineRule="auto" w:before="60"/>
        <w:ind w:left="1837" w:right="1721"/>
        <w:jc w:val="both"/>
      </w:pPr>
      <w:r>
        <w:rPr>
          <w:color w:val="231F20"/>
        </w:rPr>
        <w:t>Como herramienta de análisis se utiliza la Encuesta de Migración de la </w:t>
      </w:r>
      <w:r>
        <w:rPr>
          <w:color w:val="231F20"/>
          <w:spacing w:val="-4"/>
        </w:rPr>
        <w:t>Frontera </w:t>
      </w:r>
      <w:r>
        <w:rPr>
          <w:color w:val="231F20"/>
        </w:rPr>
        <w:t>Norte (</w:t>
      </w:r>
      <w:r>
        <w:rPr>
          <w:color w:val="231F20"/>
          <w:sz w:val="17"/>
        </w:rPr>
        <w:t>EMIF</w:t>
      </w:r>
      <w:r>
        <w:rPr>
          <w:color w:val="231F20"/>
        </w:rPr>
        <w:t>-Norte). Esta encuesta </w:t>
      </w:r>
      <w:r>
        <w:rPr>
          <w:color w:val="231F20"/>
          <w:spacing w:val="-3"/>
        </w:rPr>
        <w:t>surgió </w:t>
      </w:r>
      <w:r>
        <w:rPr>
          <w:color w:val="231F20"/>
        </w:rPr>
        <w:t>en atención a las priori- dades que tenía la </w:t>
      </w:r>
      <w:r>
        <w:rPr>
          <w:color w:val="231F20"/>
          <w:spacing w:val="-3"/>
        </w:rPr>
        <w:t>Secretaría </w:t>
      </w:r>
      <w:r>
        <w:rPr>
          <w:color w:val="231F20"/>
        </w:rPr>
        <w:t>General del Consejo Nacional de </w:t>
      </w:r>
      <w:r>
        <w:rPr>
          <w:color w:val="231F20"/>
          <w:spacing w:val="-4"/>
        </w:rPr>
        <w:t>Población </w:t>
      </w:r>
      <w:r>
        <w:rPr>
          <w:color w:val="231F20"/>
        </w:rPr>
        <w:t>(</w:t>
      </w:r>
      <w:r>
        <w:rPr>
          <w:color w:val="231F20"/>
          <w:sz w:val="17"/>
        </w:rPr>
        <w:t>CONAPO</w:t>
      </w:r>
      <w:r>
        <w:rPr>
          <w:color w:val="231F20"/>
        </w:rPr>
        <w:t>) en materia de migración hacia Estados Unidos y se ha llevado   a cabo de </w:t>
      </w:r>
      <w:r>
        <w:rPr>
          <w:color w:val="231F20"/>
          <w:spacing w:val="-2"/>
        </w:rPr>
        <w:t>manera </w:t>
      </w:r>
      <w:r>
        <w:rPr>
          <w:color w:val="231F20"/>
        </w:rPr>
        <w:t>continua desde 1993, en </w:t>
      </w:r>
      <w:r>
        <w:rPr>
          <w:color w:val="231F20"/>
          <w:spacing w:val="-2"/>
        </w:rPr>
        <w:t>colaboración </w:t>
      </w:r>
      <w:r>
        <w:rPr>
          <w:color w:val="231F20"/>
        </w:rPr>
        <w:t>con la </w:t>
      </w:r>
      <w:r>
        <w:rPr>
          <w:color w:val="231F20"/>
          <w:spacing w:val="-3"/>
        </w:rPr>
        <w:t>Secreta- </w:t>
      </w:r>
      <w:r>
        <w:rPr>
          <w:color w:val="231F20"/>
        </w:rPr>
        <w:t>ría del </w:t>
      </w:r>
      <w:r>
        <w:rPr>
          <w:color w:val="231F20"/>
          <w:spacing w:val="-5"/>
        </w:rPr>
        <w:t>Trabajo </w:t>
      </w:r>
      <w:r>
        <w:rPr>
          <w:color w:val="231F20"/>
        </w:rPr>
        <w:t>y </w:t>
      </w:r>
      <w:r>
        <w:rPr>
          <w:color w:val="231F20"/>
          <w:spacing w:val="-4"/>
        </w:rPr>
        <w:t>Previsión </w:t>
      </w:r>
      <w:r>
        <w:rPr>
          <w:color w:val="231F20"/>
        </w:rPr>
        <w:t>Social (</w:t>
      </w:r>
      <w:r>
        <w:rPr>
          <w:color w:val="231F20"/>
          <w:sz w:val="17"/>
        </w:rPr>
        <w:t>STPS</w:t>
      </w:r>
      <w:r>
        <w:rPr>
          <w:color w:val="231F20"/>
        </w:rPr>
        <w:t>) y El Colegio de la </w:t>
      </w:r>
      <w:r>
        <w:rPr>
          <w:color w:val="231F20"/>
          <w:spacing w:val="-4"/>
        </w:rPr>
        <w:t>Frontera </w:t>
      </w:r>
      <w:r>
        <w:rPr>
          <w:color w:val="231F20"/>
          <w:spacing w:val="-3"/>
        </w:rPr>
        <w:t>Norte </w:t>
      </w:r>
      <w:r>
        <w:rPr>
          <w:color w:val="231F20"/>
        </w:rPr>
        <w:t>(</w:t>
      </w:r>
      <w:r>
        <w:rPr>
          <w:color w:val="231F20"/>
          <w:sz w:val="17"/>
        </w:rPr>
        <w:t>COLEF</w:t>
      </w:r>
      <w:r>
        <w:rPr>
          <w:color w:val="231F20"/>
        </w:rPr>
        <w:t>). </w:t>
      </w:r>
      <w:r>
        <w:rPr>
          <w:color w:val="231F20"/>
          <w:spacing w:val="-2"/>
        </w:rPr>
        <w:t>Asimismo, </w:t>
      </w:r>
      <w:r>
        <w:rPr>
          <w:color w:val="231F20"/>
        </w:rPr>
        <w:t>el </w:t>
      </w:r>
      <w:r>
        <w:rPr>
          <w:color w:val="231F20"/>
          <w:spacing w:val="-3"/>
        </w:rPr>
        <w:t>proyecto </w:t>
      </w:r>
      <w:r>
        <w:rPr>
          <w:color w:val="231F20"/>
        </w:rPr>
        <w:t>se ha fortalecido con la participación </w:t>
      </w:r>
      <w:r>
        <w:rPr>
          <w:color w:val="231F20"/>
          <w:spacing w:val="-2"/>
        </w:rPr>
        <w:t>del </w:t>
      </w:r>
      <w:r>
        <w:rPr>
          <w:color w:val="231F20"/>
        </w:rPr>
        <w:t>Instituto Nacional de Migración (</w:t>
      </w:r>
      <w:r>
        <w:rPr>
          <w:color w:val="231F20"/>
          <w:sz w:val="17"/>
        </w:rPr>
        <w:t>INM</w:t>
      </w:r>
      <w:r>
        <w:rPr>
          <w:color w:val="231F20"/>
        </w:rPr>
        <w:t>), la </w:t>
      </w:r>
      <w:r>
        <w:rPr>
          <w:color w:val="231F20"/>
          <w:spacing w:val="-3"/>
        </w:rPr>
        <w:t>Secretaría </w:t>
      </w:r>
      <w:r>
        <w:rPr>
          <w:color w:val="231F20"/>
        </w:rPr>
        <w:t>de Relaciones Exterio- </w:t>
      </w:r>
      <w:r>
        <w:rPr>
          <w:color w:val="231F20"/>
          <w:spacing w:val="-3"/>
        </w:rPr>
        <w:t>res</w:t>
      </w:r>
      <w:r>
        <w:rPr>
          <w:color w:val="231F20"/>
          <w:spacing w:val="-8"/>
        </w:rPr>
        <w:t> </w:t>
      </w:r>
      <w:r>
        <w:rPr>
          <w:color w:val="231F20"/>
        </w:rPr>
        <w:t>(</w:t>
      </w:r>
      <w:r>
        <w:rPr>
          <w:color w:val="231F20"/>
          <w:sz w:val="17"/>
        </w:rPr>
        <w:t>SRE</w:t>
      </w:r>
      <w:r>
        <w:rPr>
          <w:color w:val="231F20"/>
        </w:rPr>
        <w:t>)</w:t>
      </w:r>
      <w:r>
        <w:rPr>
          <w:color w:val="231F20"/>
          <w:spacing w:val="-8"/>
        </w:rPr>
        <w:t> </w:t>
      </w:r>
      <w:r>
        <w:rPr>
          <w:color w:val="231F20"/>
        </w:rPr>
        <w:t>y</w:t>
      </w:r>
      <w:r>
        <w:rPr>
          <w:color w:val="231F20"/>
          <w:spacing w:val="-8"/>
        </w:rPr>
        <w:t> </w:t>
      </w:r>
      <w:r>
        <w:rPr>
          <w:color w:val="231F20"/>
        </w:rPr>
        <w:t>a</w:t>
      </w:r>
      <w:r>
        <w:rPr>
          <w:color w:val="231F20"/>
          <w:spacing w:val="-8"/>
        </w:rPr>
        <w:t> </w:t>
      </w:r>
      <w:r>
        <w:rPr>
          <w:color w:val="231F20"/>
          <w:spacing w:val="-2"/>
        </w:rPr>
        <w:t>partir</w:t>
      </w:r>
      <w:r>
        <w:rPr>
          <w:color w:val="231F20"/>
          <w:spacing w:val="-8"/>
        </w:rPr>
        <w:t> </w:t>
      </w:r>
      <w:r>
        <w:rPr>
          <w:color w:val="231F20"/>
        </w:rPr>
        <w:t>de</w:t>
      </w:r>
      <w:r>
        <w:rPr>
          <w:color w:val="231F20"/>
          <w:spacing w:val="-8"/>
        </w:rPr>
        <w:t> </w:t>
      </w:r>
      <w:r>
        <w:rPr>
          <w:color w:val="231F20"/>
        </w:rPr>
        <w:t>2011</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Secretaría</w:t>
      </w:r>
      <w:r>
        <w:rPr>
          <w:color w:val="231F20"/>
          <w:spacing w:val="-8"/>
        </w:rPr>
        <w:t> </w:t>
      </w:r>
      <w:r>
        <w:rPr>
          <w:color w:val="231F20"/>
        </w:rPr>
        <w:t>de</w:t>
      </w:r>
      <w:r>
        <w:rPr>
          <w:color w:val="231F20"/>
          <w:spacing w:val="-8"/>
        </w:rPr>
        <w:t> </w:t>
      </w:r>
      <w:r>
        <w:rPr>
          <w:color w:val="231F20"/>
        </w:rPr>
        <w:t>Salud</w:t>
      </w:r>
      <w:r>
        <w:rPr>
          <w:color w:val="231F20"/>
          <w:spacing w:val="-8"/>
        </w:rPr>
        <w:t> </w:t>
      </w:r>
      <w:r>
        <w:rPr>
          <w:color w:val="231F20"/>
        </w:rPr>
        <w:t>(</w:t>
      </w:r>
      <w:r>
        <w:rPr>
          <w:color w:val="231F20"/>
          <w:sz w:val="17"/>
        </w:rPr>
        <w:t>SS</w:t>
      </w:r>
      <w:r>
        <w:rPr>
          <w:color w:val="231F20"/>
        </w:rPr>
        <w:t>)</w:t>
      </w:r>
      <w:r>
        <w:rPr>
          <w:color w:val="231F20"/>
          <w:spacing w:val="-8"/>
        </w:rPr>
        <w:t> </w:t>
      </w:r>
      <w:r>
        <w:rPr>
          <w:color w:val="231F20"/>
        </w:rPr>
        <w:t>(</w:t>
      </w:r>
      <w:r>
        <w:rPr>
          <w:color w:val="231F20"/>
          <w:sz w:val="17"/>
        </w:rPr>
        <w:t>CONAPO</w:t>
      </w:r>
      <w:r>
        <w:rPr>
          <w:color w:val="231F20"/>
        </w:rPr>
        <w:t>,</w:t>
      </w:r>
      <w:r>
        <w:rPr>
          <w:color w:val="231F20"/>
          <w:spacing w:val="-13"/>
        </w:rPr>
        <w:t> </w:t>
      </w:r>
      <w:r>
        <w:rPr>
          <w:color w:val="231F20"/>
          <w:spacing w:val="-2"/>
        </w:rPr>
        <w:t>2015).</w:t>
      </w:r>
    </w:p>
    <w:p>
      <w:pPr>
        <w:pStyle w:val="BodyText"/>
        <w:spacing w:line="261" w:lineRule="auto" w:before="1"/>
        <w:ind w:left="1837" w:right="1721" w:firstLine="566"/>
        <w:jc w:val="both"/>
      </w:pPr>
      <w:r>
        <w:rPr>
          <w:color w:val="231F20"/>
          <w:w w:val="105"/>
        </w:rPr>
        <w:t>La </w:t>
      </w:r>
      <w:r>
        <w:rPr>
          <w:color w:val="231F20"/>
          <w:w w:val="105"/>
          <w:sz w:val="17"/>
        </w:rPr>
        <w:t>EMIF</w:t>
      </w:r>
      <w:r>
        <w:rPr>
          <w:color w:val="231F20"/>
          <w:w w:val="105"/>
        </w:rPr>
        <w:t>-Norte está conformada por la aplicación de técnicas de muestreo</w:t>
      </w:r>
      <w:r>
        <w:rPr>
          <w:color w:val="231F20"/>
          <w:spacing w:val="-10"/>
          <w:w w:val="105"/>
        </w:rPr>
        <w:t> </w:t>
      </w:r>
      <w:r>
        <w:rPr>
          <w:color w:val="231F20"/>
          <w:w w:val="105"/>
        </w:rPr>
        <w:t>probabilístico</w:t>
      </w:r>
      <w:r>
        <w:rPr>
          <w:color w:val="231F20"/>
          <w:spacing w:val="-10"/>
          <w:w w:val="105"/>
        </w:rPr>
        <w:t> </w:t>
      </w:r>
      <w:r>
        <w:rPr>
          <w:color w:val="231F20"/>
          <w:w w:val="105"/>
        </w:rPr>
        <w:t>de</w:t>
      </w:r>
      <w:r>
        <w:rPr>
          <w:color w:val="231F20"/>
          <w:spacing w:val="-10"/>
          <w:w w:val="105"/>
        </w:rPr>
        <w:t> </w:t>
      </w:r>
      <w:r>
        <w:rPr>
          <w:color w:val="231F20"/>
          <w:w w:val="105"/>
        </w:rPr>
        <w:t>poblaciones</w:t>
      </w:r>
      <w:r>
        <w:rPr>
          <w:color w:val="231F20"/>
          <w:spacing w:val="-10"/>
          <w:w w:val="105"/>
        </w:rPr>
        <w:t> </w:t>
      </w:r>
      <w:r>
        <w:rPr>
          <w:color w:val="231F20"/>
          <w:w w:val="105"/>
        </w:rPr>
        <w:t>móviles,</w:t>
      </w:r>
      <w:r>
        <w:rPr>
          <w:color w:val="231F20"/>
          <w:spacing w:val="-15"/>
          <w:w w:val="105"/>
        </w:rPr>
        <w:t> </w:t>
      </w:r>
      <w:r>
        <w:rPr>
          <w:color w:val="231F20"/>
          <w:w w:val="105"/>
        </w:rPr>
        <w:t>las</w:t>
      </w:r>
      <w:r>
        <w:rPr>
          <w:color w:val="231F20"/>
          <w:spacing w:val="-10"/>
          <w:w w:val="105"/>
        </w:rPr>
        <w:t> </w:t>
      </w:r>
      <w:r>
        <w:rPr>
          <w:color w:val="231F20"/>
          <w:w w:val="105"/>
        </w:rPr>
        <w:t>cuales</w:t>
      </w:r>
      <w:r>
        <w:rPr>
          <w:color w:val="231F20"/>
          <w:spacing w:val="-10"/>
          <w:w w:val="105"/>
        </w:rPr>
        <w:t> </w:t>
      </w:r>
      <w:r>
        <w:rPr>
          <w:color w:val="231F20"/>
          <w:w w:val="105"/>
        </w:rPr>
        <w:t>son</w:t>
      </w:r>
      <w:r>
        <w:rPr>
          <w:color w:val="231F20"/>
          <w:spacing w:val="-10"/>
          <w:w w:val="105"/>
        </w:rPr>
        <w:t> </w:t>
      </w:r>
      <w:r>
        <w:rPr>
          <w:color w:val="231F20"/>
          <w:w w:val="105"/>
        </w:rPr>
        <w:t>emplea- das</w:t>
      </w:r>
      <w:r>
        <w:rPr>
          <w:color w:val="231F20"/>
          <w:spacing w:val="-24"/>
          <w:w w:val="105"/>
        </w:rPr>
        <w:t> </w:t>
      </w:r>
      <w:r>
        <w:rPr>
          <w:color w:val="231F20"/>
          <w:w w:val="105"/>
        </w:rPr>
        <w:t>en</w:t>
      </w:r>
      <w:r>
        <w:rPr>
          <w:color w:val="231F20"/>
          <w:spacing w:val="-24"/>
          <w:w w:val="105"/>
        </w:rPr>
        <w:t> </w:t>
      </w:r>
      <w:r>
        <w:rPr>
          <w:color w:val="231F20"/>
          <w:w w:val="105"/>
        </w:rPr>
        <w:t>disciplinas</w:t>
      </w:r>
      <w:r>
        <w:rPr>
          <w:color w:val="231F20"/>
          <w:spacing w:val="-24"/>
          <w:w w:val="105"/>
        </w:rPr>
        <w:t> </w:t>
      </w:r>
      <w:r>
        <w:rPr>
          <w:color w:val="231F20"/>
          <w:w w:val="105"/>
        </w:rPr>
        <w:t>como</w:t>
      </w:r>
      <w:r>
        <w:rPr>
          <w:color w:val="231F20"/>
          <w:spacing w:val="-24"/>
          <w:w w:val="105"/>
        </w:rPr>
        <w:t> </w:t>
      </w:r>
      <w:r>
        <w:rPr>
          <w:color w:val="231F20"/>
          <w:w w:val="105"/>
        </w:rPr>
        <w:t>la</w:t>
      </w:r>
      <w:r>
        <w:rPr>
          <w:color w:val="231F20"/>
          <w:spacing w:val="-24"/>
          <w:w w:val="105"/>
        </w:rPr>
        <w:t> </w:t>
      </w:r>
      <w:r>
        <w:rPr>
          <w:color w:val="231F20"/>
          <w:w w:val="105"/>
        </w:rPr>
        <w:t>oceanología</w:t>
      </w:r>
      <w:r>
        <w:rPr>
          <w:color w:val="231F20"/>
          <w:spacing w:val="-24"/>
          <w:w w:val="105"/>
        </w:rPr>
        <w:t> </w:t>
      </w:r>
      <w:r>
        <w:rPr>
          <w:color w:val="231F20"/>
          <w:w w:val="105"/>
        </w:rPr>
        <w:t>o</w:t>
      </w:r>
      <w:r>
        <w:rPr>
          <w:color w:val="231F20"/>
          <w:spacing w:val="-24"/>
          <w:w w:val="105"/>
        </w:rPr>
        <w:t> </w:t>
      </w:r>
      <w:r>
        <w:rPr>
          <w:color w:val="231F20"/>
          <w:w w:val="105"/>
        </w:rPr>
        <w:t>la</w:t>
      </w:r>
      <w:r>
        <w:rPr>
          <w:color w:val="231F20"/>
          <w:spacing w:val="-24"/>
          <w:w w:val="105"/>
        </w:rPr>
        <w:t> </w:t>
      </w:r>
      <w:r>
        <w:rPr>
          <w:color w:val="231F20"/>
          <w:w w:val="105"/>
        </w:rPr>
        <w:t>biología.</w:t>
      </w:r>
      <w:r>
        <w:rPr>
          <w:color w:val="231F20"/>
          <w:spacing w:val="-29"/>
          <w:w w:val="105"/>
        </w:rPr>
        <w:t> </w:t>
      </w:r>
      <w:r>
        <w:rPr>
          <w:color w:val="231F20"/>
          <w:w w:val="105"/>
        </w:rPr>
        <w:t>La</w:t>
      </w:r>
      <w:r>
        <w:rPr>
          <w:color w:val="231F20"/>
          <w:spacing w:val="-24"/>
          <w:w w:val="105"/>
        </w:rPr>
        <w:t> </w:t>
      </w:r>
      <w:r>
        <w:rPr>
          <w:color w:val="231F20"/>
          <w:w w:val="105"/>
        </w:rPr>
        <w:t>encuesta</w:t>
      </w:r>
      <w:r>
        <w:rPr>
          <w:color w:val="231F20"/>
          <w:spacing w:val="-24"/>
          <w:w w:val="105"/>
        </w:rPr>
        <w:t> </w:t>
      </w:r>
      <w:r>
        <w:rPr>
          <w:color w:val="231F20"/>
          <w:w w:val="105"/>
        </w:rPr>
        <w:t>capta</w:t>
      </w:r>
      <w:r>
        <w:rPr>
          <w:color w:val="231F20"/>
          <w:spacing w:val="-24"/>
          <w:w w:val="105"/>
        </w:rPr>
        <w:t> </w:t>
      </w:r>
      <w:r>
        <w:rPr>
          <w:color w:val="231F20"/>
          <w:w w:val="105"/>
        </w:rPr>
        <w:t>el desplazamiento</w:t>
      </w:r>
      <w:r>
        <w:rPr>
          <w:color w:val="231F20"/>
          <w:spacing w:val="-15"/>
          <w:w w:val="105"/>
        </w:rPr>
        <w:t> </w:t>
      </w:r>
      <w:r>
        <w:rPr>
          <w:color w:val="231F20"/>
          <w:w w:val="105"/>
        </w:rPr>
        <w:t>y</w:t>
      </w:r>
      <w:r>
        <w:rPr>
          <w:color w:val="231F20"/>
          <w:spacing w:val="-15"/>
          <w:w w:val="105"/>
        </w:rPr>
        <w:t> </w:t>
      </w:r>
      <w:r>
        <w:rPr>
          <w:color w:val="231F20"/>
          <w:w w:val="105"/>
        </w:rPr>
        <w:t>a</w:t>
      </w:r>
      <w:r>
        <w:rPr>
          <w:color w:val="231F20"/>
          <w:spacing w:val="-15"/>
          <w:w w:val="105"/>
        </w:rPr>
        <w:t> </w:t>
      </w:r>
      <w:r>
        <w:rPr>
          <w:color w:val="231F20"/>
          <w:w w:val="105"/>
        </w:rPr>
        <w:t>partir</w:t>
      </w:r>
      <w:r>
        <w:rPr>
          <w:color w:val="231F20"/>
          <w:spacing w:val="-15"/>
          <w:w w:val="105"/>
        </w:rPr>
        <w:t> </w:t>
      </w:r>
      <w:r>
        <w:rPr>
          <w:color w:val="231F20"/>
          <w:w w:val="105"/>
        </w:rPr>
        <w:t>de</w:t>
      </w:r>
      <w:r>
        <w:rPr>
          <w:color w:val="231F20"/>
          <w:spacing w:val="-15"/>
          <w:w w:val="105"/>
        </w:rPr>
        <w:t> </w:t>
      </w:r>
      <w:r>
        <w:rPr>
          <w:color w:val="231F20"/>
          <w:w w:val="105"/>
        </w:rPr>
        <w:t>ahí</w:t>
      </w:r>
      <w:r>
        <w:rPr>
          <w:color w:val="231F20"/>
          <w:spacing w:val="-15"/>
          <w:w w:val="105"/>
        </w:rPr>
        <w:t> </w:t>
      </w:r>
      <w:r>
        <w:rPr>
          <w:color w:val="231F20"/>
          <w:w w:val="105"/>
        </w:rPr>
        <w:t>recupera</w:t>
      </w:r>
      <w:r>
        <w:rPr>
          <w:color w:val="231F20"/>
          <w:spacing w:val="-15"/>
          <w:w w:val="105"/>
        </w:rPr>
        <w:t> </w:t>
      </w:r>
      <w:r>
        <w:rPr>
          <w:color w:val="231F20"/>
          <w:w w:val="105"/>
        </w:rPr>
        <w:t>al</w:t>
      </w:r>
      <w:r>
        <w:rPr>
          <w:color w:val="231F20"/>
          <w:spacing w:val="-15"/>
          <w:w w:val="105"/>
        </w:rPr>
        <w:t> </w:t>
      </w:r>
      <w:r>
        <w:rPr>
          <w:color w:val="231F20"/>
          <w:w w:val="105"/>
        </w:rPr>
        <w:t>migrante,</w:t>
      </w:r>
      <w:r>
        <w:rPr>
          <w:color w:val="231F20"/>
          <w:spacing w:val="-20"/>
          <w:w w:val="105"/>
        </w:rPr>
        <w:t> </w:t>
      </w:r>
      <w:r>
        <w:rPr>
          <w:color w:val="231F20"/>
          <w:w w:val="105"/>
        </w:rPr>
        <w:t>el</w:t>
      </w:r>
      <w:r>
        <w:rPr>
          <w:color w:val="231F20"/>
          <w:spacing w:val="-15"/>
          <w:w w:val="105"/>
        </w:rPr>
        <w:t> </w:t>
      </w:r>
      <w:r>
        <w:rPr>
          <w:color w:val="231F20"/>
          <w:w w:val="105"/>
        </w:rPr>
        <w:t>cual</w:t>
      </w:r>
      <w:r>
        <w:rPr>
          <w:color w:val="231F20"/>
          <w:spacing w:val="-15"/>
          <w:w w:val="105"/>
        </w:rPr>
        <w:t> </w:t>
      </w:r>
      <w:r>
        <w:rPr>
          <w:color w:val="231F20"/>
          <w:w w:val="105"/>
        </w:rPr>
        <w:t>es</w:t>
      </w:r>
      <w:r>
        <w:rPr>
          <w:color w:val="231F20"/>
          <w:spacing w:val="-15"/>
          <w:w w:val="105"/>
        </w:rPr>
        <w:t> </w:t>
      </w:r>
      <w:r>
        <w:rPr>
          <w:color w:val="231F20"/>
          <w:w w:val="105"/>
        </w:rPr>
        <w:t>estudia- do</w:t>
      </w:r>
      <w:r>
        <w:rPr>
          <w:color w:val="231F20"/>
          <w:spacing w:val="-5"/>
          <w:w w:val="105"/>
        </w:rPr>
        <w:t> </w:t>
      </w:r>
      <w:r>
        <w:rPr>
          <w:color w:val="231F20"/>
          <w:w w:val="105"/>
        </w:rPr>
        <w:t>a</w:t>
      </w:r>
      <w:r>
        <w:rPr>
          <w:color w:val="231F20"/>
          <w:spacing w:val="-5"/>
          <w:w w:val="105"/>
        </w:rPr>
        <w:t> </w:t>
      </w:r>
      <w:r>
        <w:rPr>
          <w:color w:val="231F20"/>
          <w:w w:val="105"/>
        </w:rPr>
        <w:t>su</w:t>
      </w:r>
      <w:r>
        <w:rPr>
          <w:color w:val="231F20"/>
          <w:spacing w:val="-5"/>
          <w:w w:val="105"/>
        </w:rPr>
        <w:t> </w:t>
      </w:r>
      <w:r>
        <w:rPr>
          <w:color w:val="231F20"/>
          <w:w w:val="105"/>
        </w:rPr>
        <w:t>vez</w:t>
      </w:r>
      <w:r>
        <w:rPr>
          <w:color w:val="231F20"/>
          <w:spacing w:val="-5"/>
          <w:w w:val="105"/>
        </w:rPr>
        <w:t> </w:t>
      </w:r>
      <w:r>
        <w:rPr>
          <w:color w:val="231F20"/>
          <w:w w:val="105"/>
        </w:rPr>
        <w:t>por</w:t>
      </w:r>
      <w:r>
        <w:rPr>
          <w:color w:val="231F20"/>
          <w:spacing w:val="-5"/>
          <w:w w:val="105"/>
        </w:rPr>
        <w:t> </w:t>
      </w:r>
      <w:r>
        <w:rPr>
          <w:color w:val="231F20"/>
          <w:w w:val="105"/>
        </w:rPr>
        <w:t>medio</w:t>
      </w:r>
      <w:r>
        <w:rPr>
          <w:color w:val="231F20"/>
          <w:spacing w:val="-5"/>
          <w:w w:val="105"/>
        </w:rPr>
        <w:t> </w:t>
      </w:r>
      <w:r>
        <w:rPr>
          <w:color w:val="231F20"/>
          <w:w w:val="105"/>
        </w:rPr>
        <w:t>del</w:t>
      </w:r>
      <w:r>
        <w:rPr>
          <w:color w:val="231F20"/>
          <w:spacing w:val="-5"/>
          <w:w w:val="105"/>
        </w:rPr>
        <w:t> </w:t>
      </w:r>
      <w:r>
        <w:rPr>
          <w:color w:val="231F20"/>
          <w:w w:val="105"/>
        </w:rPr>
        <w:t>muestreo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migración,</w:t>
      </w:r>
      <w:r>
        <w:rPr>
          <w:color w:val="231F20"/>
          <w:spacing w:val="-11"/>
          <w:w w:val="105"/>
        </w:rPr>
        <w:t> </w:t>
      </w:r>
      <w:r>
        <w:rPr>
          <w:color w:val="231F20"/>
          <w:w w:val="105"/>
        </w:rPr>
        <w:t>cuya</w:t>
      </w:r>
      <w:r>
        <w:rPr>
          <w:color w:val="231F20"/>
          <w:spacing w:val="-5"/>
          <w:w w:val="105"/>
        </w:rPr>
        <w:t> </w:t>
      </w:r>
      <w:r>
        <w:rPr>
          <w:color w:val="231F20"/>
          <w:w w:val="105"/>
        </w:rPr>
        <w:t>identificación o captura se obtiene distinguiendo las dos dimensiones que definen al desplazamiento:</w:t>
      </w:r>
      <w:r>
        <w:rPr>
          <w:color w:val="231F20"/>
          <w:spacing w:val="-18"/>
          <w:w w:val="105"/>
        </w:rPr>
        <w:t> </w:t>
      </w:r>
      <w:r>
        <w:rPr>
          <w:color w:val="231F20"/>
          <w:w w:val="105"/>
        </w:rPr>
        <w:t>el</w:t>
      </w:r>
      <w:r>
        <w:rPr>
          <w:color w:val="231F20"/>
          <w:spacing w:val="-18"/>
          <w:w w:val="105"/>
        </w:rPr>
        <w:t> </w:t>
      </w:r>
      <w:r>
        <w:rPr>
          <w:color w:val="231F20"/>
          <w:w w:val="105"/>
        </w:rPr>
        <w:t>tiempo</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espacio</w:t>
      </w:r>
      <w:r>
        <w:rPr>
          <w:color w:val="231F20"/>
          <w:spacing w:val="-18"/>
          <w:w w:val="105"/>
        </w:rPr>
        <w:t> </w:t>
      </w:r>
      <w:r>
        <w:rPr>
          <w:color w:val="231F20"/>
          <w:w w:val="105"/>
        </w:rPr>
        <w:t>(</w:t>
      </w:r>
      <w:r>
        <w:rPr>
          <w:color w:val="231F20"/>
          <w:w w:val="105"/>
          <w:sz w:val="17"/>
        </w:rPr>
        <w:t>CONAPO</w:t>
      </w:r>
      <w:r>
        <w:rPr>
          <w:color w:val="231F20"/>
          <w:w w:val="105"/>
        </w:rPr>
        <w:t>,</w:t>
      </w:r>
      <w:r>
        <w:rPr>
          <w:color w:val="231F20"/>
          <w:spacing w:val="-23"/>
          <w:w w:val="105"/>
        </w:rPr>
        <w:t> </w:t>
      </w:r>
      <w:r>
        <w:rPr>
          <w:color w:val="231F20"/>
          <w:w w:val="105"/>
        </w:rPr>
        <w:t>2002).</w:t>
      </w:r>
    </w:p>
    <w:p>
      <w:pPr>
        <w:pStyle w:val="BodyText"/>
        <w:spacing w:line="261" w:lineRule="auto" w:before="1"/>
        <w:ind w:left="1837" w:right="1717" w:firstLine="567"/>
        <w:jc w:val="both"/>
      </w:pPr>
      <w:r>
        <w:rPr>
          <w:color w:val="231F20"/>
          <w:w w:val="105"/>
        </w:rPr>
        <w:t>El</w:t>
      </w:r>
      <w:r>
        <w:rPr>
          <w:color w:val="231F20"/>
          <w:spacing w:val="-14"/>
          <w:w w:val="105"/>
        </w:rPr>
        <w:t> </w:t>
      </w:r>
      <w:r>
        <w:rPr>
          <w:color w:val="231F20"/>
          <w:w w:val="105"/>
        </w:rPr>
        <w:t>año</w:t>
      </w:r>
      <w:r>
        <w:rPr>
          <w:color w:val="231F20"/>
          <w:spacing w:val="-14"/>
          <w:w w:val="105"/>
        </w:rPr>
        <w:t> </w:t>
      </w:r>
      <w:r>
        <w:rPr>
          <w:color w:val="231F20"/>
          <w:w w:val="105"/>
        </w:rPr>
        <w:t>de</w:t>
      </w:r>
      <w:r>
        <w:rPr>
          <w:color w:val="231F20"/>
          <w:spacing w:val="-14"/>
          <w:w w:val="105"/>
        </w:rPr>
        <w:t> </w:t>
      </w:r>
      <w:r>
        <w:rPr>
          <w:color w:val="231F20"/>
          <w:w w:val="105"/>
        </w:rPr>
        <w:t>observación</w:t>
      </w:r>
      <w:r>
        <w:rPr>
          <w:color w:val="231F20"/>
          <w:spacing w:val="-14"/>
          <w:w w:val="105"/>
        </w:rPr>
        <w:t> </w:t>
      </w:r>
      <w:r>
        <w:rPr>
          <w:color w:val="231F20"/>
          <w:w w:val="105"/>
        </w:rPr>
        <w:t>utilizado</w:t>
      </w:r>
      <w:r>
        <w:rPr>
          <w:color w:val="231F20"/>
          <w:spacing w:val="-14"/>
          <w:w w:val="105"/>
        </w:rPr>
        <w:t> </w:t>
      </w:r>
      <w:r>
        <w:rPr>
          <w:color w:val="231F20"/>
          <w:w w:val="105"/>
        </w:rPr>
        <w:t>en</w:t>
      </w:r>
      <w:r>
        <w:rPr>
          <w:color w:val="231F20"/>
          <w:spacing w:val="-14"/>
          <w:w w:val="105"/>
        </w:rPr>
        <w:t> </w:t>
      </w:r>
      <w:r>
        <w:rPr>
          <w:color w:val="231F20"/>
          <w:w w:val="105"/>
        </w:rPr>
        <w:t>este</w:t>
      </w:r>
      <w:r>
        <w:rPr>
          <w:color w:val="231F20"/>
          <w:spacing w:val="-14"/>
          <w:w w:val="105"/>
        </w:rPr>
        <w:t> </w:t>
      </w:r>
      <w:r>
        <w:rPr>
          <w:color w:val="231F20"/>
          <w:w w:val="105"/>
        </w:rPr>
        <w:t>estudio</w:t>
      </w:r>
      <w:r>
        <w:rPr>
          <w:color w:val="231F20"/>
          <w:spacing w:val="-14"/>
          <w:w w:val="105"/>
        </w:rPr>
        <w:t> </w:t>
      </w:r>
      <w:r>
        <w:rPr>
          <w:color w:val="231F20"/>
          <w:w w:val="105"/>
        </w:rPr>
        <w:t>fue</w:t>
      </w:r>
      <w:r>
        <w:rPr>
          <w:color w:val="231F20"/>
          <w:spacing w:val="-14"/>
          <w:w w:val="105"/>
        </w:rPr>
        <w:t> </w:t>
      </w:r>
      <w:r>
        <w:rPr>
          <w:color w:val="231F20"/>
          <w:w w:val="105"/>
        </w:rPr>
        <w:t>el</w:t>
      </w:r>
      <w:r>
        <w:rPr>
          <w:color w:val="231F20"/>
          <w:spacing w:val="-14"/>
          <w:w w:val="105"/>
        </w:rPr>
        <w:t> </w:t>
      </w:r>
      <w:r>
        <w:rPr>
          <w:color w:val="231F20"/>
          <w:w w:val="105"/>
        </w:rPr>
        <w:t>2013.</w:t>
      </w:r>
      <w:r>
        <w:rPr>
          <w:color w:val="231F20"/>
          <w:spacing w:val="-19"/>
          <w:w w:val="105"/>
        </w:rPr>
        <w:t> </w:t>
      </w:r>
      <w:r>
        <w:rPr>
          <w:color w:val="231F20"/>
          <w:w w:val="105"/>
        </w:rPr>
        <w:t>De</w:t>
      </w:r>
      <w:r>
        <w:rPr>
          <w:color w:val="231F20"/>
          <w:spacing w:val="-14"/>
          <w:w w:val="105"/>
        </w:rPr>
        <w:t> </w:t>
      </w:r>
      <w:r>
        <w:rPr>
          <w:color w:val="231F20"/>
          <w:spacing w:val="-2"/>
          <w:w w:val="105"/>
        </w:rPr>
        <w:t>los </w:t>
      </w:r>
      <w:r>
        <w:rPr>
          <w:color w:val="231F20"/>
          <w:spacing w:val="-3"/>
          <w:w w:val="105"/>
        </w:rPr>
        <w:t>cuatro</w:t>
      </w:r>
      <w:r>
        <w:rPr>
          <w:color w:val="231F20"/>
          <w:spacing w:val="-22"/>
          <w:w w:val="105"/>
        </w:rPr>
        <w:t> </w:t>
      </w:r>
      <w:r>
        <w:rPr>
          <w:color w:val="231F20"/>
          <w:w w:val="105"/>
        </w:rPr>
        <w:t>flujos</w:t>
      </w:r>
      <w:r>
        <w:rPr>
          <w:color w:val="231F20"/>
          <w:spacing w:val="-22"/>
          <w:w w:val="105"/>
        </w:rPr>
        <w:t> </w:t>
      </w:r>
      <w:r>
        <w:rPr>
          <w:color w:val="231F20"/>
          <w:w w:val="105"/>
        </w:rPr>
        <w:t>que</w:t>
      </w:r>
      <w:r>
        <w:rPr>
          <w:color w:val="231F20"/>
          <w:spacing w:val="-22"/>
          <w:w w:val="105"/>
        </w:rPr>
        <w:t> </w:t>
      </w:r>
      <w:r>
        <w:rPr>
          <w:color w:val="231F20"/>
          <w:w w:val="105"/>
        </w:rPr>
        <w:t>integran</w:t>
      </w:r>
      <w:r>
        <w:rPr>
          <w:color w:val="231F20"/>
          <w:spacing w:val="-22"/>
          <w:w w:val="105"/>
        </w:rPr>
        <w:t> </w:t>
      </w:r>
      <w:r>
        <w:rPr>
          <w:color w:val="231F20"/>
          <w:w w:val="105"/>
        </w:rPr>
        <w:t>la</w:t>
      </w:r>
      <w:r>
        <w:rPr>
          <w:color w:val="231F20"/>
          <w:spacing w:val="-22"/>
          <w:w w:val="105"/>
        </w:rPr>
        <w:t> </w:t>
      </w:r>
      <w:r>
        <w:rPr>
          <w:color w:val="231F20"/>
          <w:w w:val="105"/>
          <w:sz w:val="17"/>
        </w:rPr>
        <w:t>EMIF</w:t>
      </w:r>
      <w:r>
        <w:rPr>
          <w:color w:val="231F20"/>
          <w:w w:val="105"/>
        </w:rPr>
        <w:t>-Norte,</w:t>
      </w:r>
      <w:r>
        <w:rPr>
          <w:color w:val="231F20"/>
          <w:spacing w:val="-27"/>
          <w:w w:val="105"/>
        </w:rPr>
        <w:t> </w:t>
      </w:r>
      <w:r>
        <w:rPr>
          <w:color w:val="231F20"/>
          <w:w w:val="105"/>
        </w:rPr>
        <w:t>usamos</w:t>
      </w:r>
      <w:r>
        <w:rPr>
          <w:color w:val="231F20"/>
          <w:spacing w:val="-22"/>
          <w:w w:val="105"/>
        </w:rPr>
        <w:t> </w:t>
      </w:r>
      <w:r>
        <w:rPr>
          <w:color w:val="231F20"/>
          <w:w w:val="105"/>
        </w:rPr>
        <w:t>el</w:t>
      </w:r>
      <w:r>
        <w:rPr>
          <w:color w:val="231F20"/>
          <w:spacing w:val="-22"/>
          <w:w w:val="105"/>
        </w:rPr>
        <w:t> </w:t>
      </w:r>
      <w:r>
        <w:rPr>
          <w:color w:val="231F20"/>
          <w:spacing w:val="-3"/>
          <w:w w:val="105"/>
        </w:rPr>
        <w:t>correspondiente</w:t>
      </w:r>
      <w:r>
        <w:rPr>
          <w:color w:val="231F20"/>
          <w:spacing w:val="-22"/>
          <w:w w:val="105"/>
        </w:rPr>
        <w:t> </w:t>
      </w:r>
      <w:r>
        <w:rPr>
          <w:color w:val="231F20"/>
          <w:w w:val="105"/>
        </w:rPr>
        <w:t>al</w:t>
      </w:r>
      <w:r>
        <w:rPr>
          <w:color w:val="231F20"/>
          <w:spacing w:val="-22"/>
          <w:w w:val="105"/>
        </w:rPr>
        <w:t> </w:t>
      </w:r>
      <w:r>
        <w:rPr>
          <w:color w:val="231F20"/>
          <w:w w:val="105"/>
        </w:rPr>
        <w:t>flu- jo</w:t>
      </w:r>
      <w:r>
        <w:rPr>
          <w:color w:val="231F20"/>
          <w:spacing w:val="-29"/>
          <w:w w:val="105"/>
        </w:rPr>
        <w:t> </w:t>
      </w:r>
      <w:r>
        <w:rPr>
          <w:color w:val="231F20"/>
          <w:w w:val="105"/>
        </w:rPr>
        <w:t>de</w:t>
      </w:r>
      <w:r>
        <w:rPr>
          <w:color w:val="231F20"/>
          <w:spacing w:val="-29"/>
          <w:w w:val="105"/>
        </w:rPr>
        <w:t> </w:t>
      </w:r>
      <w:r>
        <w:rPr>
          <w:color w:val="231F20"/>
          <w:w w:val="105"/>
        </w:rPr>
        <w:t>migrantes</w:t>
      </w:r>
      <w:r>
        <w:rPr>
          <w:color w:val="231F20"/>
          <w:spacing w:val="-29"/>
          <w:w w:val="105"/>
        </w:rPr>
        <w:t> </w:t>
      </w:r>
      <w:r>
        <w:rPr>
          <w:color w:val="231F20"/>
          <w:spacing w:val="-3"/>
          <w:w w:val="105"/>
        </w:rPr>
        <w:t>procedentes</w:t>
      </w:r>
      <w:r>
        <w:rPr>
          <w:color w:val="231F20"/>
          <w:spacing w:val="-29"/>
          <w:w w:val="105"/>
        </w:rPr>
        <w:t> </w:t>
      </w:r>
      <w:r>
        <w:rPr>
          <w:color w:val="231F20"/>
          <w:w w:val="105"/>
        </w:rPr>
        <w:t>de</w:t>
      </w:r>
      <w:r>
        <w:rPr>
          <w:color w:val="231F20"/>
          <w:spacing w:val="-29"/>
          <w:w w:val="105"/>
        </w:rPr>
        <w:t> </w:t>
      </w:r>
      <w:r>
        <w:rPr>
          <w:color w:val="231F20"/>
          <w:w w:val="105"/>
        </w:rPr>
        <w:t>Estados</w:t>
      </w:r>
      <w:r>
        <w:rPr>
          <w:color w:val="231F20"/>
          <w:spacing w:val="-29"/>
          <w:w w:val="105"/>
        </w:rPr>
        <w:t> </w:t>
      </w:r>
      <w:r>
        <w:rPr>
          <w:color w:val="231F20"/>
          <w:w w:val="105"/>
        </w:rPr>
        <w:t>Unidos.</w:t>
      </w:r>
      <w:r>
        <w:rPr>
          <w:color w:val="231F20"/>
          <w:spacing w:val="-33"/>
          <w:w w:val="105"/>
        </w:rPr>
        <w:t> </w:t>
      </w:r>
      <w:r>
        <w:rPr>
          <w:color w:val="231F20"/>
          <w:w w:val="105"/>
        </w:rPr>
        <w:t>La</w:t>
      </w:r>
      <w:r>
        <w:rPr>
          <w:color w:val="231F20"/>
          <w:spacing w:val="-29"/>
          <w:w w:val="105"/>
        </w:rPr>
        <w:t> </w:t>
      </w:r>
      <w:r>
        <w:rPr>
          <w:color w:val="231F20"/>
          <w:w w:val="105"/>
        </w:rPr>
        <w:t>información</w:t>
      </w:r>
      <w:r>
        <w:rPr>
          <w:color w:val="231F20"/>
          <w:spacing w:val="-29"/>
          <w:w w:val="105"/>
        </w:rPr>
        <w:t> </w:t>
      </w:r>
      <w:r>
        <w:rPr>
          <w:color w:val="231F20"/>
          <w:w w:val="105"/>
        </w:rPr>
        <w:t>fue</w:t>
      </w:r>
      <w:r>
        <w:rPr>
          <w:color w:val="231F20"/>
          <w:spacing w:val="-29"/>
          <w:w w:val="105"/>
        </w:rPr>
        <w:t> </w:t>
      </w:r>
      <w:r>
        <w:rPr>
          <w:color w:val="231F20"/>
          <w:spacing w:val="-3"/>
          <w:w w:val="105"/>
        </w:rPr>
        <w:t>regis- </w:t>
      </w:r>
      <w:r>
        <w:rPr>
          <w:color w:val="231F20"/>
          <w:w w:val="105"/>
        </w:rPr>
        <w:t>trada</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spacing w:val="-3"/>
          <w:w w:val="105"/>
        </w:rPr>
        <w:t>aeropuertos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Ciudad</w:t>
      </w:r>
      <w:r>
        <w:rPr>
          <w:color w:val="231F20"/>
          <w:spacing w:val="-11"/>
          <w:w w:val="105"/>
        </w:rPr>
        <w:t> </w:t>
      </w:r>
      <w:r>
        <w:rPr>
          <w:color w:val="231F20"/>
          <w:w w:val="105"/>
        </w:rPr>
        <w:t>de</w:t>
      </w:r>
      <w:r>
        <w:rPr>
          <w:color w:val="231F20"/>
          <w:spacing w:val="-11"/>
          <w:w w:val="105"/>
        </w:rPr>
        <w:t> </w:t>
      </w:r>
      <w:r>
        <w:rPr>
          <w:color w:val="231F20"/>
          <w:spacing w:val="-3"/>
          <w:w w:val="105"/>
        </w:rPr>
        <w:t>México,</w:t>
      </w:r>
      <w:r>
        <w:rPr>
          <w:color w:val="231F20"/>
          <w:spacing w:val="-16"/>
          <w:w w:val="105"/>
        </w:rPr>
        <w:t> </w:t>
      </w:r>
      <w:r>
        <w:rPr>
          <w:color w:val="231F20"/>
          <w:w w:val="105"/>
        </w:rPr>
        <w:t>Guadalajara</w:t>
      </w:r>
      <w:r>
        <w:rPr>
          <w:color w:val="231F20"/>
          <w:spacing w:val="-11"/>
          <w:w w:val="105"/>
        </w:rPr>
        <w:t> </w:t>
      </w:r>
      <w:r>
        <w:rPr>
          <w:color w:val="231F20"/>
          <w:w w:val="105"/>
        </w:rPr>
        <w:t>y</w:t>
      </w:r>
      <w:r>
        <w:rPr>
          <w:color w:val="231F20"/>
          <w:spacing w:val="-11"/>
          <w:w w:val="105"/>
        </w:rPr>
        <w:t> </w:t>
      </w:r>
      <w:r>
        <w:rPr>
          <w:color w:val="231F20"/>
          <w:spacing w:val="-3"/>
          <w:w w:val="105"/>
        </w:rPr>
        <w:t>Morelia,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terminales</w:t>
      </w:r>
      <w:r>
        <w:rPr>
          <w:color w:val="231F20"/>
          <w:spacing w:val="-10"/>
          <w:w w:val="105"/>
        </w:rPr>
        <w:t> </w:t>
      </w:r>
      <w:r>
        <w:rPr>
          <w:color w:val="231F20"/>
          <w:w w:val="105"/>
        </w:rPr>
        <w:t>de</w:t>
      </w:r>
      <w:r>
        <w:rPr>
          <w:color w:val="231F20"/>
          <w:spacing w:val="-10"/>
          <w:w w:val="105"/>
        </w:rPr>
        <w:t> </w:t>
      </w:r>
      <w:r>
        <w:rPr>
          <w:color w:val="231F20"/>
          <w:spacing w:val="-3"/>
          <w:w w:val="105"/>
        </w:rPr>
        <w:t>transporte</w:t>
      </w:r>
      <w:r>
        <w:rPr>
          <w:color w:val="231F20"/>
          <w:spacing w:val="-10"/>
          <w:w w:val="105"/>
        </w:rPr>
        <w:t> </w:t>
      </w:r>
      <w:r>
        <w:rPr>
          <w:color w:val="231F20"/>
          <w:spacing w:val="-3"/>
          <w:w w:val="105"/>
        </w:rPr>
        <w:t>terrestre</w:t>
      </w:r>
      <w:r>
        <w:rPr>
          <w:color w:val="231F20"/>
          <w:spacing w:val="-10"/>
          <w:w w:val="105"/>
        </w:rPr>
        <w:t> </w:t>
      </w:r>
      <w:r>
        <w:rPr>
          <w:color w:val="231F20"/>
          <w:w w:val="105"/>
        </w:rPr>
        <w:t>de</w:t>
      </w:r>
      <w:r>
        <w:rPr>
          <w:color w:val="231F20"/>
          <w:spacing w:val="-10"/>
          <w:w w:val="105"/>
        </w:rPr>
        <w:t> </w:t>
      </w:r>
      <w:r>
        <w:rPr>
          <w:color w:val="231F20"/>
          <w:spacing w:val="-3"/>
          <w:w w:val="105"/>
        </w:rPr>
        <w:t>Matamoros,</w:t>
      </w:r>
      <w:r>
        <w:rPr>
          <w:color w:val="231F20"/>
          <w:spacing w:val="-15"/>
          <w:w w:val="105"/>
        </w:rPr>
        <w:t> </w:t>
      </w:r>
      <w:r>
        <w:rPr>
          <w:color w:val="231F20"/>
          <w:w w:val="105"/>
        </w:rPr>
        <w:t>Nuevo </w:t>
      </w:r>
      <w:r>
        <w:rPr>
          <w:color w:val="231F20"/>
          <w:spacing w:val="-3"/>
          <w:w w:val="105"/>
        </w:rPr>
        <w:t>Laredo,</w:t>
      </w:r>
      <w:r>
        <w:rPr>
          <w:color w:val="231F20"/>
          <w:spacing w:val="-43"/>
          <w:w w:val="105"/>
        </w:rPr>
        <w:t> </w:t>
      </w:r>
      <w:r>
        <w:rPr>
          <w:color w:val="231F20"/>
          <w:spacing w:val="-3"/>
          <w:w w:val="105"/>
        </w:rPr>
        <w:t>Piedras</w:t>
      </w:r>
      <w:r>
        <w:rPr>
          <w:color w:val="231F20"/>
          <w:spacing w:val="-41"/>
          <w:w w:val="105"/>
        </w:rPr>
        <w:t> </w:t>
      </w:r>
      <w:r>
        <w:rPr>
          <w:color w:val="231F20"/>
          <w:w w:val="105"/>
        </w:rPr>
        <w:t>Negras,</w:t>
      </w:r>
      <w:r>
        <w:rPr>
          <w:color w:val="231F20"/>
          <w:spacing w:val="-43"/>
          <w:w w:val="105"/>
        </w:rPr>
        <w:t> </w:t>
      </w:r>
      <w:r>
        <w:rPr>
          <w:color w:val="231F20"/>
          <w:w w:val="105"/>
        </w:rPr>
        <w:t>Ciudad</w:t>
      </w:r>
      <w:r>
        <w:rPr>
          <w:color w:val="231F20"/>
          <w:spacing w:val="-41"/>
          <w:w w:val="105"/>
        </w:rPr>
        <w:t> </w:t>
      </w:r>
      <w:r>
        <w:rPr>
          <w:color w:val="231F20"/>
          <w:spacing w:val="-3"/>
          <w:w w:val="105"/>
        </w:rPr>
        <w:t>Juárez,</w:t>
      </w:r>
      <w:r>
        <w:rPr>
          <w:color w:val="231F20"/>
          <w:spacing w:val="-43"/>
          <w:w w:val="105"/>
        </w:rPr>
        <w:t> </w:t>
      </w:r>
      <w:r>
        <w:rPr>
          <w:color w:val="231F20"/>
          <w:w w:val="105"/>
        </w:rPr>
        <w:t>Nogales,</w:t>
      </w:r>
      <w:r>
        <w:rPr>
          <w:color w:val="231F20"/>
          <w:spacing w:val="-43"/>
          <w:w w:val="105"/>
        </w:rPr>
        <w:t> </w:t>
      </w:r>
      <w:r>
        <w:rPr>
          <w:color w:val="231F20"/>
          <w:w w:val="105"/>
        </w:rPr>
        <w:t>Mexicali</w:t>
      </w:r>
      <w:r>
        <w:rPr>
          <w:color w:val="231F20"/>
          <w:spacing w:val="-41"/>
          <w:w w:val="105"/>
        </w:rPr>
        <w:t> </w:t>
      </w:r>
      <w:r>
        <w:rPr>
          <w:color w:val="231F20"/>
          <w:w w:val="105"/>
        </w:rPr>
        <w:t>y</w:t>
      </w:r>
      <w:r>
        <w:rPr>
          <w:color w:val="231F20"/>
          <w:spacing w:val="-43"/>
          <w:w w:val="105"/>
        </w:rPr>
        <w:t> </w:t>
      </w:r>
      <w:r>
        <w:rPr>
          <w:color w:val="231F20"/>
          <w:spacing w:val="-3"/>
          <w:w w:val="105"/>
        </w:rPr>
        <w:t>Tijuana.</w:t>
      </w:r>
    </w:p>
    <w:p>
      <w:pPr>
        <w:pStyle w:val="BodyText"/>
        <w:spacing w:line="261" w:lineRule="auto" w:before="1"/>
        <w:ind w:left="1837" w:right="1722" w:firstLine="567"/>
        <w:jc w:val="both"/>
      </w:pPr>
      <w:r>
        <w:rPr>
          <w:color w:val="231F20"/>
          <w:w w:val="105"/>
        </w:rPr>
        <w:t>El</w:t>
      </w:r>
      <w:r>
        <w:rPr>
          <w:color w:val="231F20"/>
          <w:spacing w:val="-19"/>
          <w:w w:val="105"/>
        </w:rPr>
        <w:t> </w:t>
      </w:r>
      <w:r>
        <w:rPr>
          <w:color w:val="231F20"/>
          <w:w w:val="105"/>
        </w:rPr>
        <w:t>total</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migrantes</w:t>
      </w:r>
      <w:r>
        <w:rPr>
          <w:color w:val="231F20"/>
          <w:spacing w:val="-19"/>
          <w:w w:val="105"/>
        </w:rPr>
        <w:t> </w:t>
      </w:r>
      <w:r>
        <w:rPr>
          <w:color w:val="231F20"/>
          <w:w w:val="105"/>
        </w:rPr>
        <w:t>en</w:t>
      </w:r>
      <w:r>
        <w:rPr>
          <w:color w:val="231F20"/>
          <w:spacing w:val="-19"/>
          <w:w w:val="105"/>
        </w:rPr>
        <w:t> </w:t>
      </w:r>
      <w:r>
        <w:rPr>
          <w:color w:val="231F20"/>
          <w:w w:val="105"/>
        </w:rPr>
        <w:t>flujo</w:t>
      </w:r>
      <w:r>
        <w:rPr>
          <w:color w:val="231F20"/>
          <w:spacing w:val="-19"/>
          <w:w w:val="105"/>
        </w:rPr>
        <w:t> </w:t>
      </w:r>
      <w:r>
        <w:rPr>
          <w:color w:val="231F20"/>
          <w:spacing w:val="-3"/>
          <w:w w:val="105"/>
        </w:rPr>
        <w:t>entrevistados</w:t>
      </w:r>
      <w:r>
        <w:rPr>
          <w:color w:val="231F20"/>
          <w:spacing w:val="-19"/>
          <w:w w:val="105"/>
        </w:rPr>
        <w:t> </w:t>
      </w:r>
      <w:r>
        <w:rPr>
          <w:color w:val="231F20"/>
          <w:w w:val="105"/>
        </w:rPr>
        <w:t>fue</w:t>
      </w:r>
      <w:r>
        <w:rPr>
          <w:color w:val="231F20"/>
          <w:spacing w:val="-19"/>
          <w:w w:val="105"/>
        </w:rPr>
        <w:t> </w:t>
      </w:r>
      <w:r>
        <w:rPr>
          <w:color w:val="231F20"/>
          <w:w w:val="105"/>
        </w:rPr>
        <w:t>de</w:t>
      </w:r>
      <w:r>
        <w:rPr>
          <w:color w:val="231F20"/>
          <w:spacing w:val="-19"/>
          <w:w w:val="105"/>
        </w:rPr>
        <w:t> </w:t>
      </w:r>
      <w:r>
        <w:rPr>
          <w:color w:val="231F20"/>
          <w:w w:val="105"/>
        </w:rPr>
        <w:t>18</w:t>
      </w:r>
      <w:r>
        <w:rPr>
          <w:color w:val="231F20"/>
          <w:spacing w:val="-19"/>
          <w:w w:val="105"/>
        </w:rPr>
        <w:t> </w:t>
      </w:r>
      <w:r>
        <w:rPr>
          <w:color w:val="231F20"/>
          <w:w w:val="105"/>
        </w:rPr>
        <w:t>052,</w:t>
      </w:r>
      <w:r>
        <w:rPr>
          <w:color w:val="231F20"/>
          <w:spacing w:val="-24"/>
          <w:w w:val="105"/>
        </w:rPr>
        <w:t> </w:t>
      </w:r>
      <w:r>
        <w:rPr>
          <w:color w:val="231F20"/>
          <w:w w:val="105"/>
        </w:rPr>
        <w:t>de</w:t>
      </w:r>
      <w:r>
        <w:rPr>
          <w:color w:val="231F20"/>
          <w:spacing w:val="-19"/>
          <w:w w:val="105"/>
        </w:rPr>
        <w:t> </w:t>
      </w:r>
      <w:r>
        <w:rPr>
          <w:color w:val="231F20"/>
          <w:spacing w:val="-2"/>
          <w:w w:val="105"/>
        </w:rPr>
        <w:t>los </w:t>
      </w:r>
      <w:r>
        <w:rPr>
          <w:color w:val="231F20"/>
          <w:w w:val="105"/>
        </w:rPr>
        <w:t>cuales</w:t>
      </w:r>
      <w:r>
        <w:rPr>
          <w:color w:val="231F20"/>
          <w:spacing w:val="-30"/>
          <w:w w:val="105"/>
        </w:rPr>
        <w:t> </w:t>
      </w:r>
      <w:r>
        <w:rPr>
          <w:color w:val="231F20"/>
          <w:w w:val="105"/>
        </w:rPr>
        <w:t>622</w:t>
      </w:r>
      <w:r>
        <w:rPr>
          <w:color w:val="231F20"/>
          <w:spacing w:val="-30"/>
          <w:w w:val="105"/>
        </w:rPr>
        <w:t> </w:t>
      </w:r>
      <w:r>
        <w:rPr>
          <w:color w:val="231F20"/>
          <w:spacing w:val="-3"/>
          <w:w w:val="105"/>
        </w:rPr>
        <w:t>nacieron</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Estado</w:t>
      </w:r>
      <w:r>
        <w:rPr>
          <w:color w:val="231F20"/>
          <w:spacing w:val="-30"/>
          <w:w w:val="105"/>
        </w:rPr>
        <w:t> </w:t>
      </w:r>
      <w:r>
        <w:rPr>
          <w:color w:val="231F20"/>
          <w:w w:val="105"/>
        </w:rPr>
        <w:t>de</w:t>
      </w:r>
      <w:r>
        <w:rPr>
          <w:color w:val="231F20"/>
          <w:spacing w:val="-30"/>
          <w:w w:val="105"/>
        </w:rPr>
        <w:t> </w:t>
      </w:r>
      <w:r>
        <w:rPr>
          <w:color w:val="231F20"/>
          <w:spacing w:val="-3"/>
          <w:w w:val="105"/>
        </w:rPr>
        <w:t>México.</w:t>
      </w:r>
      <w:r>
        <w:rPr>
          <w:color w:val="231F20"/>
          <w:spacing w:val="-34"/>
          <w:w w:val="105"/>
        </w:rPr>
        <w:t> </w:t>
      </w:r>
      <w:r>
        <w:rPr>
          <w:color w:val="231F20"/>
          <w:spacing w:val="-2"/>
          <w:w w:val="105"/>
        </w:rPr>
        <w:t>Con</w:t>
      </w:r>
      <w:r>
        <w:rPr>
          <w:color w:val="231F20"/>
          <w:spacing w:val="-30"/>
          <w:w w:val="105"/>
        </w:rPr>
        <w:t> </w:t>
      </w:r>
      <w:r>
        <w:rPr>
          <w:color w:val="231F20"/>
          <w:w w:val="105"/>
        </w:rPr>
        <w:t>los</w:t>
      </w:r>
      <w:r>
        <w:rPr>
          <w:color w:val="231F20"/>
          <w:spacing w:val="-30"/>
          <w:w w:val="105"/>
        </w:rPr>
        <w:t> </w:t>
      </w:r>
      <w:r>
        <w:rPr>
          <w:color w:val="231F20"/>
          <w:w w:val="105"/>
        </w:rPr>
        <w:t>datos</w:t>
      </w:r>
      <w:r>
        <w:rPr>
          <w:color w:val="231F20"/>
          <w:spacing w:val="-30"/>
          <w:w w:val="105"/>
        </w:rPr>
        <w:t> </w:t>
      </w:r>
      <w:r>
        <w:rPr>
          <w:color w:val="231F20"/>
          <w:w w:val="105"/>
        </w:rPr>
        <w:t>ponderados</w:t>
      </w:r>
      <w:r>
        <w:rPr>
          <w:color w:val="231F20"/>
          <w:spacing w:val="-30"/>
          <w:w w:val="105"/>
        </w:rPr>
        <w:t> </w:t>
      </w:r>
      <w:r>
        <w:rPr>
          <w:color w:val="231F20"/>
          <w:w w:val="105"/>
        </w:rPr>
        <w:t>se tiene</w:t>
      </w:r>
      <w:r>
        <w:rPr>
          <w:color w:val="231F20"/>
          <w:spacing w:val="-19"/>
          <w:w w:val="105"/>
        </w:rPr>
        <w:t> </w:t>
      </w:r>
      <w:r>
        <w:rPr>
          <w:color w:val="231F20"/>
          <w:w w:val="105"/>
        </w:rPr>
        <w:t>una</w:t>
      </w:r>
      <w:r>
        <w:rPr>
          <w:color w:val="231F20"/>
          <w:spacing w:val="-19"/>
          <w:w w:val="105"/>
        </w:rPr>
        <w:t> </w:t>
      </w:r>
      <w:r>
        <w:rPr>
          <w:color w:val="231F20"/>
          <w:w w:val="105"/>
        </w:rPr>
        <w:t>población</w:t>
      </w:r>
      <w:r>
        <w:rPr>
          <w:color w:val="231F20"/>
          <w:spacing w:val="-19"/>
          <w:w w:val="105"/>
        </w:rPr>
        <w:t> </w:t>
      </w:r>
      <w:r>
        <w:rPr>
          <w:color w:val="231F20"/>
          <w:w w:val="105"/>
        </w:rPr>
        <w:t>total</w:t>
      </w:r>
      <w:r>
        <w:rPr>
          <w:color w:val="231F20"/>
          <w:spacing w:val="-19"/>
          <w:w w:val="105"/>
        </w:rPr>
        <w:t> </w:t>
      </w:r>
      <w:r>
        <w:rPr>
          <w:color w:val="231F20"/>
          <w:w w:val="105"/>
        </w:rPr>
        <w:t>de</w:t>
      </w:r>
      <w:r>
        <w:rPr>
          <w:color w:val="231F20"/>
          <w:spacing w:val="-19"/>
          <w:w w:val="105"/>
        </w:rPr>
        <w:t> </w:t>
      </w:r>
      <w:r>
        <w:rPr>
          <w:color w:val="231F20"/>
          <w:w w:val="105"/>
        </w:rPr>
        <w:t>1</w:t>
      </w:r>
      <w:r>
        <w:rPr>
          <w:color w:val="231F20"/>
          <w:spacing w:val="-19"/>
          <w:w w:val="105"/>
        </w:rPr>
        <w:t> </w:t>
      </w:r>
      <w:r>
        <w:rPr>
          <w:color w:val="231F20"/>
          <w:w w:val="105"/>
        </w:rPr>
        <w:t>635</w:t>
      </w:r>
      <w:r>
        <w:rPr>
          <w:color w:val="231F20"/>
          <w:spacing w:val="-19"/>
          <w:w w:val="105"/>
        </w:rPr>
        <w:t> </w:t>
      </w:r>
      <w:r>
        <w:rPr>
          <w:color w:val="231F20"/>
          <w:w w:val="105"/>
        </w:rPr>
        <w:t>857</w:t>
      </w:r>
      <w:r>
        <w:rPr>
          <w:color w:val="231F20"/>
          <w:spacing w:val="-19"/>
          <w:w w:val="105"/>
        </w:rPr>
        <w:t> </w:t>
      </w:r>
      <w:r>
        <w:rPr>
          <w:color w:val="231F20"/>
          <w:w w:val="105"/>
        </w:rPr>
        <w:t>migrantes,</w:t>
      </w:r>
      <w:r>
        <w:rPr>
          <w:color w:val="231F20"/>
          <w:spacing w:val="-25"/>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que</w:t>
      </w:r>
      <w:r>
        <w:rPr>
          <w:color w:val="231F20"/>
          <w:spacing w:val="-19"/>
          <w:w w:val="105"/>
        </w:rPr>
        <w:t> </w:t>
      </w:r>
      <w:r>
        <w:rPr>
          <w:color w:val="231F20"/>
          <w:w w:val="105"/>
        </w:rPr>
        <w:t>la</w:t>
      </w:r>
      <w:r>
        <w:rPr>
          <w:color w:val="231F20"/>
          <w:spacing w:val="-19"/>
          <w:w w:val="105"/>
        </w:rPr>
        <w:t> </w:t>
      </w:r>
      <w:r>
        <w:rPr>
          <w:color w:val="231F20"/>
          <w:w w:val="105"/>
        </w:rPr>
        <w:t>población nacida</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entidad</w:t>
      </w:r>
      <w:r>
        <w:rPr>
          <w:color w:val="231F20"/>
          <w:spacing w:val="-28"/>
          <w:w w:val="105"/>
        </w:rPr>
        <w:t> </w:t>
      </w:r>
      <w:r>
        <w:rPr>
          <w:color w:val="231F20"/>
          <w:w w:val="105"/>
        </w:rPr>
        <w:t>mexiquense</w:t>
      </w:r>
      <w:r>
        <w:rPr>
          <w:color w:val="231F20"/>
          <w:spacing w:val="-28"/>
          <w:w w:val="105"/>
        </w:rPr>
        <w:t> </w:t>
      </w:r>
      <w:r>
        <w:rPr>
          <w:color w:val="231F20"/>
          <w:w w:val="105"/>
        </w:rPr>
        <w:t>alcanza</w:t>
      </w:r>
      <w:r>
        <w:rPr>
          <w:color w:val="231F20"/>
          <w:spacing w:val="-28"/>
          <w:w w:val="105"/>
        </w:rPr>
        <w:t> </w:t>
      </w:r>
      <w:r>
        <w:rPr>
          <w:color w:val="231F20"/>
          <w:w w:val="105"/>
        </w:rPr>
        <w:t>una</w:t>
      </w:r>
      <w:r>
        <w:rPr>
          <w:color w:val="231F20"/>
          <w:spacing w:val="-28"/>
          <w:w w:val="105"/>
        </w:rPr>
        <w:t> </w:t>
      </w:r>
      <w:r>
        <w:rPr>
          <w:color w:val="231F20"/>
          <w:w w:val="105"/>
        </w:rPr>
        <w:t>cifra</w:t>
      </w:r>
      <w:r>
        <w:rPr>
          <w:color w:val="231F20"/>
          <w:spacing w:val="-28"/>
          <w:w w:val="105"/>
        </w:rPr>
        <w:t> </w:t>
      </w:r>
      <w:r>
        <w:rPr>
          <w:color w:val="231F20"/>
          <w:w w:val="105"/>
        </w:rPr>
        <w:t>de</w:t>
      </w:r>
      <w:r>
        <w:rPr>
          <w:color w:val="231F20"/>
          <w:spacing w:val="-28"/>
          <w:w w:val="105"/>
        </w:rPr>
        <w:t> </w:t>
      </w:r>
      <w:r>
        <w:rPr>
          <w:color w:val="231F20"/>
          <w:w w:val="105"/>
        </w:rPr>
        <w:t>50</w:t>
      </w:r>
      <w:r>
        <w:rPr>
          <w:color w:val="231F20"/>
          <w:spacing w:val="-28"/>
          <w:w w:val="105"/>
        </w:rPr>
        <w:t> </w:t>
      </w:r>
      <w:r>
        <w:rPr>
          <w:color w:val="231F20"/>
          <w:w w:val="105"/>
        </w:rPr>
        <w:t>343.</w:t>
      </w:r>
    </w:p>
    <w:p>
      <w:pPr>
        <w:pStyle w:val="BodyText"/>
        <w:spacing w:line="261" w:lineRule="auto" w:before="1"/>
        <w:ind w:left="1837" w:right="1721" w:firstLine="567"/>
        <w:jc w:val="both"/>
      </w:pPr>
      <w:r>
        <w:rPr>
          <w:color w:val="231F20"/>
          <w:w w:val="105"/>
        </w:rPr>
        <w:t>El</w:t>
      </w:r>
      <w:r>
        <w:rPr>
          <w:color w:val="231F20"/>
          <w:spacing w:val="-20"/>
          <w:w w:val="105"/>
        </w:rPr>
        <w:t> </w:t>
      </w:r>
      <w:r>
        <w:rPr>
          <w:color w:val="231F20"/>
          <w:spacing w:val="-3"/>
          <w:w w:val="105"/>
        </w:rPr>
        <w:t>presente</w:t>
      </w:r>
      <w:r>
        <w:rPr>
          <w:color w:val="231F20"/>
          <w:spacing w:val="-20"/>
          <w:w w:val="105"/>
        </w:rPr>
        <w:t> </w:t>
      </w:r>
      <w:r>
        <w:rPr>
          <w:color w:val="231F20"/>
          <w:spacing w:val="-3"/>
          <w:w w:val="105"/>
        </w:rPr>
        <w:t>documento</w:t>
      </w:r>
      <w:r>
        <w:rPr>
          <w:color w:val="231F20"/>
          <w:spacing w:val="-20"/>
          <w:w w:val="105"/>
        </w:rPr>
        <w:t> </w:t>
      </w:r>
      <w:r>
        <w:rPr>
          <w:color w:val="231F20"/>
          <w:w w:val="105"/>
        </w:rPr>
        <w:t>se</w:t>
      </w:r>
      <w:r>
        <w:rPr>
          <w:color w:val="231F20"/>
          <w:spacing w:val="-20"/>
          <w:w w:val="105"/>
        </w:rPr>
        <w:t> </w:t>
      </w:r>
      <w:r>
        <w:rPr>
          <w:color w:val="231F20"/>
          <w:spacing w:val="-3"/>
          <w:w w:val="105"/>
        </w:rPr>
        <w:t>divide</w:t>
      </w:r>
      <w:r>
        <w:rPr>
          <w:color w:val="231F20"/>
          <w:spacing w:val="-20"/>
          <w:w w:val="105"/>
        </w:rPr>
        <w:t> </w:t>
      </w:r>
      <w:r>
        <w:rPr>
          <w:color w:val="231F20"/>
          <w:w w:val="105"/>
        </w:rPr>
        <w:t>en</w:t>
      </w:r>
      <w:r>
        <w:rPr>
          <w:color w:val="231F20"/>
          <w:spacing w:val="-20"/>
          <w:w w:val="105"/>
        </w:rPr>
        <w:t> </w:t>
      </w:r>
      <w:r>
        <w:rPr>
          <w:color w:val="231F20"/>
          <w:spacing w:val="-3"/>
          <w:w w:val="105"/>
        </w:rPr>
        <w:t>cinco</w:t>
      </w:r>
      <w:r>
        <w:rPr>
          <w:color w:val="231F20"/>
          <w:spacing w:val="-20"/>
          <w:w w:val="105"/>
        </w:rPr>
        <w:t> </w:t>
      </w:r>
      <w:r>
        <w:rPr>
          <w:color w:val="231F20"/>
          <w:spacing w:val="-3"/>
          <w:w w:val="105"/>
        </w:rPr>
        <w:t>apartados:</w:t>
      </w:r>
      <w:r>
        <w:rPr>
          <w:color w:val="231F20"/>
          <w:spacing w:val="-20"/>
          <w:w w:val="105"/>
        </w:rPr>
        <w:t> </w:t>
      </w:r>
      <w:r>
        <w:rPr>
          <w:color w:val="231F20"/>
          <w:w w:val="105"/>
        </w:rPr>
        <w:t>la</w:t>
      </w:r>
      <w:r>
        <w:rPr>
          <w:color w:val="231F20"/>
          <w:spacing w:val="-20"/>
          <w:w w:val="105"/>
        </w:rPr>
        <w:t> </w:t>
      </w:r>
      <w:r>
        <w:rPr>
          <w:color w:val="231F20"/>
          <w:spacing w:val="-3"/>
          <w:w w:val="105"/>
        </w:rPr>
        <w:t>primera</w:t>
      </w:r>
      <w:r>
        <w:rPr>
          <w:color w:val="231F20"/>
          <w:spacing w:val="-20"/>
          <w:w w:val="105"/>
        </w:rPr>
        <w:t> </w:t>
      </w:r>
      <w:r>
        <w:rPr>
          <w:color w:val="231F20"/>
          <w:spacing w:val="-4"/>
          <w:w w:val="105"/>
        </w:rPr>
        <w:t>par- </w:t>
      </w:r>
      <w:r>
        <w:rPr>
          <w:color w:val="231F20"/>
          <w:w w:val="105"/>
        </w:rPr>
        <w:t>te</w:t>
      </w:r>
      <w:r>
        <w:rPr>
          <w:color w:val="231F20"/>
          <w:spacing w:val="-10"/>
          <w:w w:val="105"/>
        </w:rPr>
        <w:t> </w:t>
      </w:r>
      <w:r>
        <w:rPr>
          <w:color w:val="231F20"/>
          <w:spacing w:val="-3"/>
          <w:w w:val="105"/>
        </w:rPr>
        <w:t>tiene</w:t>
      </w:r>
      <w:r>
        <w:rPr>
          <w:color w:val="231F20"/>
          <w:spacing w:val="-10"/>
          <w:w w:val="105"/>
        </w:rPr>
        <w:t> </w:t>
      </w:r>
      <w:r>
        <w:rPr>
          <w:color w:val="231F20"/>
          <w:spacing w:val="-3"/>
          <w:w w:val="105"/>
        </w:rPr>
        <w:t>como</w:t>
      </w:r>
      <w:r>
        <w:rPr>
          <w:color w:val="231F20"/>
          <w:spacing w:val="-10"/>
          <w:w w:val="105"/>
        </w:rPr>
        <w:t> </w:t>
      </w:r>
      <w:r>
        <w:rPr>
          <w:color w:val="231F20"/>
          <w:spacing w:val="-3"/>
          <w:w w:val="105"/>
        </w:rPr>
        <w:t>finalidad</w:t>
      </w:r>
      <w:r>
        <w:rPr>
          <w:color w:val="231F20"/>
          <w:spacing w:val="-10"/>
          <w:w w:val="105"/>
        </w:rPr>
        <w:t> </w:t>
      </w:r>
      <w:r>
        <w:rPr>
          <w:color w:val="231F20"/>
          <w:spacing w:val="-3"/>
          <w:w w:val="105"/>
        </w:rPr>
        <w:t>hacer</w:t>
      </w:r>
      <w:r>
        <w:rPr>
          <w:color w:val="231F20"/>
          <w:spacing w:val="-10"/>
          <w:w w:val="105"/>
        </w:rPr>
        <w:t> </w:t>
      </w:r>
      <w:r>
        <w:rPr>
          <w:color w:val="231F20"/>
          <w:w w:val="105"/>
        </w:rPr>
        <w:t>una</w:t>
      </w:r>
      <w:r>
        <w:rPr>
          <w:color w:val="231F20"/>
          <w:spacing w:val="-10"/>
          <w:w w:val="105"/>
        </w:rPr>
        <w:t> </w:t>
      </w:r>
      <w:r>
        <w:rPr>
          <w:color w:val="231F20"/>
          <w:spacing w:val="-3"/>
          <w:w w:val="105"/>
        </w:rPr>
        <w:t>breve</w:t>
      </w:r>
      <w:r>
        <w:rPr>
          <w:color w:val="231F20"/>
          <w:spacing w:val="-10"/>
          <w:w w:val="105"/>
        </w:rPr>
        <w:t> </w:t>
      </w:r>
      <w:r>
        <w:rPr>
          <w:color w:val="231F20"/>
          <w:spacing w:val="-3"/>
          <w:w w:val="105"/>
        </w:rPr>
        <w:t>descripción</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spacing w:val="-4"/>
          <w:w w:val="105"/>
        </w:rPr>
        <w:t>características </w:t>
      </w:r>
      <w:r>
        <w:rPr>
          <w:color w:val="231F20"/>
          <w:spacing w:val="-3"/>
          <w:w w:val="105"/>
        </w:rPr>
        <w:t>sociodemográficas </w:t>
      </w:r>
      <w:r>
        <w:rPr>
          <w:color w:val="231F20"/>
          <w:w w:val="105"/>
        </w:rPr>
        <w:t>de los </w:t>
      </w:r>
      <w:r>
        <w:rPr>
          <w:color w:val="231F20"/>
          <w:spacing w:val="-3"/>
          <w:w w:val="105"/>
        </w:rPr>
        <w:t>migrantes mexiquenses </w:t>
      </w:r>
      <w:r>
        <w:rPr>
          <w:color w:val="231F20"/>
          <w:w w:val="105"/>
        </w:rPr>
        <w:t>en flujo </w:t>
      </w:r>
      <w:r>
        <w:rPr>
          <w:color w:val="231F20"/>
          <w:spacing w:val="-4"/>
          <w:w w:val="105"/>
        </w:rPr>
        <w:t>procedentes </w:t>
      </w:r>
      <w:r>
        <w:rPr>
          <w:color w:val="231F20"/>
          <w:w w:val="105"/>
        </w:rPr>
        <w:t>de</w:t>
      </w:r>
      <w:r>
        <w:rPr>
          <w:color w:val="231F20"/>
          <w:spacing w:val="-17"/>
          <w:w w:val="105"/>
        </w:rPr>
        <w:t> </w:t>
      </w:r>
      <w:r>
        <w:rPr>
          <w:color w:val="231F20"/>
          <w:spacing w:val="-3"/>
          <w:w w:val="105"/>
        </w:rPr>
        <w:t>Estados</w:t>
      </w:r>
      <w:r>
        <w:rPr>
          <w:color w:val="231F20"/>
          <w:spacing w:val="-17"/>
          <w:w w:val="105"/>
        </w:rPr>
        <w:t> </w:t>
      </w:r>
      <w:r>
        <w:rPr>
          <w:color w:val="231F20"/>
          <w:spacing w:val="-3"/>
          <w:w w:val="105"/>
        </w:rPr>
        <w:t>Unidos,</w:t>
      </w:r>
      <w:r>
        <w:rPr>
          <w:color w:val="231F20"/>
          <w:spacing w:val="-22"/>
          <w:w w:val="105"/>
        </w:rPr>
        <w:t> </w:t>
      </w:r>
      <w:r>
        <w:rPr>
          <w:color w:val="231F20"/>
          <w:spacing w:val="-3"/>
          <w:w w:val="105"/>
        </w:rPr>
        <w:t>posteriormente</w:t>
      </w:r>
      <w:r>
        <w:rPr>
          <w:color w:val="231F20"/>
          <w:spacing w:val="-17"/>
          <w:w w:val="105"/>
        </w:rPr>
        <w:t> </w:t>
      </w:r>
      <w:r>
        <w:rPr>
          <w:color w:val="231F20"/>
          <w:w w:val="105"/>
        </w:rPr>
        <w:t>se</w:t>
      </w:r>
      <w:r>
        <w:rPr>
          <w:color w:val="231F20"/>
          <w:spacing w:val="-17"/>
          <w:w w:val="105"/>
        </w:rPr>
        <w:t> </w:t>
      </w:r>
      <w:r>
        <w:rPr>
          <w:color w:val="231F20"/>
          <w:spacing w:val="-3"/>
          <w:w w:val="105"/>
        </w:rPr>
        <w:t>analiza</w:t>
      </w:r>
      <w:r>
        <w:rPr>
          <w:color w:val="231F20"/>
          <w:spacing w:val="-17"/>
          <w:w w:val="105"/>
        </w:rPr>
        <w:t> </w:t>
      </w:r>
      <w:r>
        <w:rPr>
          <w:color w:val="231F20"/>
          <w:w w:val="105"/>
        </w:rPr>
        <w:t>el</w:t>
      </w:r>
      <w:r>
        <w:rPr>
          <w:color w:val="231F20"/>
          <w:spacing w:val="-17"/>
          <w:w w:val="105"/>
        </w:rPr>
        <w:t> </w:t>
      </w:r>
      <w:r>
        <w:rPr>
          <w:color w:val="231F20"/>
          <w:spacing w:val="-3"/>
          <w:w w:val="105"/>
        </w:rPr>
        <w:t>acceso</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spacing w:val="-3"/>
          <w:w w:val="105"/>
        </w:rPr>
        <w:t>servicios</w:t>
      </w:r>
      <w:r>
        <w:rPr>
          <w:color w:val="231F20"/>
          <w:spacing w:val="-17"/>
          <w:w w:val="105"/>
        </w:rPr>
        <w:t> </w:t>
      </w:r>
      <w:r>
        <w:rPr>
          <w:color w:val="231F20"/>
          <w:spacing w:val="-3"/>
          <w:w w:val="105"/>
        </w:rPr>
        <w:t>de salud </w:t>
      </w:r>
      <w:r>
        <w:rPr>
          <w:color w:val="231F20"/>
          <w:w w:val="105"/>
        </w:rPr>
        <w:t>y la </w:t>
      </w:r>
      <w:r>
        <w:rPr>
          <w:color w:val="231F20"/>
          <w:spacing w:val="-3"/>
          <w:w w:val="105"/>
        </w:rPr>
        <w:t>solicitud </w:t>
      </w:r>
      <w:r>
        <w:rPr>
          <w:color w:val="231F20"/>
          <w:w w:val="105"/>
        </w:rPr>
        <w:t>de </w:t>
      </w:r>
      <w:r>
        <w:rPr>
          <w:color w:val="231F20"/>
          <w:spacing w:val="-3"/>
          <w:w w:val="105"/>
        </w:rPr>
        <w:t>atención médica. </w:t>
      </w:r>
      <w:r>
        <w:rPr>
          <w:color w:val="231F20"/>
          <w:w w:val="105"/>
        </w:rPr>
        <w:t>El </w:t>
      </w:r>
      <w:r>
        <w:rPr>
          <w:color w:val="231F20"/>
          <w:spacing w:val="-3"/>
          <w:w w:val="105"/>
        </w:rPr>
        <w:t>tercer apartado </w:t>
      </w:r>
      <w:r>
        <w:rPr>
          <w:color w:val="231F20"/>
          <w:w w:val="105"/>
        </w:rPr>
        <w:t>se </w:t>
      </w:r>
      <w:r>
        <w:rPr>
          <w:color w:val="231F20"/>
          <w:spacing w:val="-4"/>
          <w:w w:val="105"/>
        </w:rPr>
        <w:t>refiere </w:t>
      </w:r>
      <w:r>
        <w:rPr>
          <w:color w:val="231F20"/>
          <w:w w:val="105"/>
        </w:rPr>
        <w:t>a </w:t>
      </w:r>
      <w:r>
        <w:rPr>
          <w:color w:val="231F20"/>
          <w:spacing w:val="-3"/>
          <w:w w:val="105"/>
        </w:rPr>
        <w:t>la presencia </w:t>
      </w:r>
      <w:r>
        <w:rPr>
          <w:color w:val="231F20"/>
          <w:w w:val="105"/>
        </w:rPr>
        <w:t>de </w:t>
      </w:r>
      <w:r>
        <w:rPr>
          <w:color w:val="231F20"/>
          <w:spacing w:val="-3"/>
          <w:w w:val="105"/>
        </w:rPr>
        <w:t>algún accidente, padecimiento </w:t>
      </w:r>
      <w:r>
        <w:rPr>
          <w:color w:val="231F20"/>
          <w:w w:val="105"/>
        </w:rPr>
        <w:t>o </w:t>
      </w:r>
      <w:r>
        <w:rPr>
          <w:color w:val="231F20"/>
          <w:spacing w:val="-3"/>
          <w:w w:val="105"/>
        </w:rPr>
        <w:t>enfermedad </w:t>
      </w:r>
      <w:r>
        <w:rPr>
          <w:color w:val="231F20"/>
          <w:w w:val="105"/>
        </w:rPr>
        <w:t>en </w:t>
      </w:r>
      <w:r>
        <w:rPr>
          <w:color w:val="231F20"/>
          <w:spacing w:val="-3"/>
          <w:w w:val="105"/>
        </w:rPr>
        <w:t>Estados Unidos </w:t>
      </w:r>
      <w:r>
        <w:rPr>
          <w:color w:val="231F20"/>
          <w:w w:val="105"/>
        </w:rPr>
        <w:t>que les </w:t>
      </w:r>
      <w:r>
        <w:rPr>
          <w:color w:val="231F20"/>
          <w:spacing w:val="-3"/>
          <w:w w:val="105"/>
        </w:rPr>
        <w:t>haya impedido trabajar </w:t>
      </w:r>
      <w:r>
        <w:rPr>
          <w:color w:val="231F20"/>
          <w:w w:val="105"/>
        </w:rPr>
        <w:t>por más de un </w:t>
      </w:r>
      <w:r>
        <w:rPr>
          <w:color w:val="231F20"/>
          <w:spacing w:val="-3"/>
          <w:w w:val="105"/>
        </w:rPr>
        <w:t>día, </w:t>
      </w:r>
      <w:r>
        <w:rPr>
          <w:color w:val="231F20"/>
          <w:w w:val="105"/>
        </w:rPr>
        <w:t>así </w:t>
      </w:r>
      <w:r>
        <w:rPr>
          <w:color w:val="231F20"/>
          <w:spacing w:val="-3"/>
          <w:w w:val="105"/>
        </w:rPr>
        <w:t>como la percepción</w:t>
      </w:r>
      <w:r>
        <w:rPr>
          <w:color w:val="231F20"/>
          <w:spacing w:val="-11"/>
          <w:w w:val="105"/>
        </w:rPr>
        <w:t> </w:t>
      </w:r>
      <w:r>
        <w:rPr>
          <w:color w:val="231F20"/>
          <w:spacing w:val="-3"/>
          <w:w w:val="105"/>
        </w:rPr>
        <w:t>sobre</w:t>
      </w:r>
      <w:r>
        <w:rPr>
          <w:color w:val="231F20"/>
          <w:spacing w:val="-11"/>
          <w:w w:val="105"/>
        </w:rPr>
        <w:t> </w:t>
      </w:r>
      <w:r>
        <w:rPr>
          <w:color w:val="231F20"/>
          <w:w w:val="105"/>
        </w:rPr>
        <w:t>su</w:t>
      </w:r>
      <w:r>
        <w:rPr>
          <w:color w:val="231F20"/>
          <w:spacing w:val="-11"/>
          <w:w w:val="105"/>
        </w:rPr>
        <w:t> </w:t>
      </w:r>
      <w:r>
        <w:rPr>
          <w:color w:val="231F20"/>
          <w:spacing w:val="-3"/>
          <w:w w:val="105"/>
        </w:rPr>
        <w:t>estado</w:t>
      </w:r>
      <w:r>
        <w:rPr>
          <w:color w:val="231F20"/>
          <w:spacing w:val="-11"/>
          <w:w w:val="105"/>
        </w:rPr>
        <w:t> </w:t>
      </w:r>
      <w:r>
        <w:rPr>
          <w:color w:val="231F20"/>
          <w:w w:val="105"/>
        </w:rPr>
        <w:t>de</w:t>
      </w:r>
      <w:r>
        <w:rPr>
          <w:color w:val="231F20"/>
          <w:spacing w:val="-11"/>
          <w:w w:val="105"/>
        </w:rPr>
        <w:t> </w:t>
      </w:r>
      <w:r>
        <w:rPr>
          <w:color w:val="231F20"/>
          <w:spacing w:val="-3"/>
          <w:w w:val="105"/>
        </w:rPr>
        <w:t>salud,</w:t>
      </w:r>
      <w:r>
        <w:rPr>
          <w:color w:val="231F20"/>
          <w:spacing w:val="-16"/>
          <w:w w:val="105"/>
        </w:rPr>
        <w:t> </w:t>
      </w:r>
      <w:r>
        <w:rPr>
          <w:color w:val="231F20"/>
          <w:w w:val="105"/>
        </w:rPr>
        <w:t>la</w:t>
      </w:r>
      <w:r>
        <w:rPr>
          <w:color w:val="231F20"/>
          <w:spacing w:val="-11"/>
          <w:w w:val="105"/>
        </w:rPr>
        <w:t> </w:t>
      </w:r>
      <w:r>
        <w:rPr>
          <w:color w:val="231F20"/>
          <w:spacing w:val="-3"/>
          <w:w w:val="105"/>
        </w:rPr>
        <w:t>presencia</w:t>
      </w:r>
      <w:r>
        <w:rPr>
          <w:color w:val="231F20"/>
          <w:spacing w:val="-11"/>
          <w:w w:val="105"/>
        </w:rPr>
        <w:t> </w:t>
      </w:r>
      <w:r>
        <w:rPr>
          <w:color w:val="231F20"/>
          <w:w w:val="105"/>
        </w:rPr>
        <w:t>de</w:t>
      </w:r>
      <w:r>
        <w:rPr>
          <w:color w:val="231F20"/>
          <w:spacing w:val="-11"/>
          <w:w w:val="105"/>
        </w:rPr>
        <w:t> </w:t>
      </w:r>
      <w:r>
        <w:rPr>
          <w:color w:val="231F20"/>
          <w:spacing w:val="-3"/>
          <w:w w:val="105"/>
        </w:rPr>
        <w:t>algunos</w:t>
      </w:r>
      <w:r>
        <w:rPr>
          <w:color w:val="231F20"/>
          <w:spacing w:val="-11"/>
          <w:w w:val="105"/>
        </w:rPr>
        <w:t> </w:t>
      </w:r>
      <w:r>
        <w:rPr>
          <w:color w:val="231F20"/>
          <w:spacing w:val="-3"/>
          <w:w w:val="105"/>
        </w:rPr>
        <w:t>síntomas</w:t>
      </w:r>
      <w:r>
        <w:rPr>
          <w:color w:val="231F20"/>
          <w:spacing w:val="-11"/>
          <w:w w:val="105"/>
        </w:rPr>
        <w:t> </w:t>
      </w:r>
      <w:r>
        <w:rPr>
          <w:color w:val="231F20"/>
          <w:w w:val="105"/>
        </w:rPr>
        <w:t>y la </w:t>
      </w:r>
      <w:r>
        <w:rPr>
          <w:color w:val="231F20"/>
          <w:spacing w:val="-3"/>
          <w:w w:val="105"/>
        </w:rPr>
        <w:t>prevalencia </w:t>
      </w:r>
      <w:r>
        <w:rPr>
          <w:color w:val="231F20"/>
          <w:w w:val="105"/>
        </w:rPr>
        <w:t>de </w:t>
      </w:r>
      <w:r>
        <w:rPr>
          <w:color w:val="231F20"/>
          <w:spacing w:val="-3"/>
          <w:w w:val="105"/>
        </w:rPr>
        <w:t>alguna enfermedad diagnosticada </w:t>
      </w:r>
      <w:r>
        <w:rPr>
          <w:color w:val="231F20"/>
          <w:w w:val="105"/>
        </w:rPr>
        <w:t>por </w:t>
      </w:r>
      <w:r>
        <w:rPr>
          <w:color w:val="231F20"/>
          <w:spacing w:val="-3"/>
          <w:w w:val="105"/>
        </w:rPr>
        <w:t>algún médico </w:t>
      </w:r>
      <w:r>
        <w:rPr>
          <w:color w:val="231F20"/>
          <w:w w:val="105"/>
        </w:rPr>
        <w:t>o </w:t>
      </w:r>
      <w:r>
        <w:rPr>
          <w:color w:val="231F20"/>
          <w:spacing w:val="-3"/>
          <w:w w:val="105"/>
        </w:rPr>
        <w:t>profesional</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salud.</w:t>
      </w:r>
      <w:r>
        <w:rPr>
          <w:color w:val="231F20"/>
          <w:spacing w:val="-25"/>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3"/>
          <w:w w:val="105"/>
        </w:rPr>
        <w:t>quinto</w:t>
      </w:r>
      <w:r>
        <w:rPr>
          <w:color w:val="231F20"/>
          <w:spacing w:val="-18"/>
          <w:w w:val="105"/>
        </w:rPr>
        <w:t> </w:t>
      </w:r>
      <w:r>
        <w:rPr>
          <w:color w:val="231F20"/>
          <w:spacing w:val="-3"/>
          <w:w w:val="105"/>
        </w:rPr>
        <w:t>apartado</w:t>
      </w:r>
      <w:r>
        <w:rPr>
          <w:color w:val="231F20"/>
          <w:spacing w:val="-18"/>
          <w:w w:val="105"/>
        </w:rPr>
        <w:t> </w:t>
      </w:r>
      <w:r>
        <w:rPr>
          <w:color w:val="231F20"/>
          <w:w w:val="105"/>
        </w:rPr>
        <w:t>se</w:t>
      </w:r>
      <w:r>
        <w:rPr>
          <w:color w:val="231F20"/>
          <w:spacing w:val="-18"/>
          <w:w w:val="105"/>
        </w:rPr>
        <w:t> </w:t>
      </w:r>
      <w:r>
        <w:rPr>
          <w:color w:val="231F20"/>
          <w:spacing w:val="-3"/>
          <w:w w:val="105"/>
        </w:rPr>
        <w:t>identifica</w:t>
      </w:r>
      <w:r>
        <w:rPr>
          <w:color w:val="231F20"/>
          <w:spacing w:val="-18"/>
          <w:w w:val="105"/>
        </w:rPr>
        <w:t> </w:t>
      </w:r>
      <w:r>
        <w:rPr>
          <w:color w:val="231F20"/>
          <w:w w:val="105"/>
        </w:rPr>
        <w:t>el</w:t>
      </w:r>
      <w:r>
        <w:rPr>
          <w:color w:val="231F20"/>
          <w:spacing w:val="-18"/>
          <w:w w:val="105"/>
        </w:rPr>
        <w:t> </w:t>
      </w:r>
      <w:r>
        <w:rPr>
          <w:color w:val="231F20"/>
          <w:spacing w:val="-3"/>
          <w:w w:val="105"/>
        </w:rPr>
        <w:t>conocimiento </w:t>
      </w:r>
      <w:r>
        <w:rPr>
          <w:color w:val="231F20"/>
          <w:w w:val="105"/>
        </w:rPr>
        <w:t>de los </w:t>
      </w:r>
      <w:r>
        <w:rPr>
          <w:color w:val="231F20"/>
          <w:spacing w:val="-3"/>
          <w:w w:val="105"/>
        </w:rPr>
        <w:t>migrantes </w:t>
      </w:r>
      <w:r>
        <w:rPr>
          <w:color w:val="231F20"/>
          <w:w w:val="105"/>
        </w:rPr>
        <w:t>en flujo </w:t>
      </w:r>
      <w:r>
        <w:rPr>
          <w:color w:val="231F20"/>
          <w:spacing w:val="-3"/>
          <w:w w:val="105"/>
        </w:rPr>
        <w:t>sobre </w:t>
      </w:r>
      <w:r>
        <w:rPr>
          <w:color w:val="231F20"/>
          <w:w w:val="105"/>
        </w:rPr>
        <w:t>los </w:t>
      </w:r>
      <w:r>
        <w:rPr>
          <w:color w:val="231F20"/>
          <w:spacing w:val="-4"/>
          <w:w w:val="105"/>
        </w:rPr>
        <w:t>programas </w:t>
      </w:r>
      <w:r>
        <w:rPr>
          <w:color w:val="231F20"/>
          <w:w w:val="105"/>
        </w:rPr>
        <w:t>de </w:t>
      </w:r>
      <w:r>
        <w:rPr>
          <w:color w:val="231F20"/>
          <w:spacing w:val="-3"/>
          <w:w w:val="105"/>
        </w:rPr>
        <w:t>salud implementados </w:t>
      </w:r>
      <w:r>
        <w:rPr>
          <w:color w:val="231F20"/>
          <w:w w:val="105"/>
        </w:rPr>
        <w:t>por</w:t>
      </w:r>
      <w:r>
        <w:rPr>
          <w:color w:val="231F20"/>
          <w:spacing w:val="-11"/>
          <w:w w:val="105"/>
        </w:rPr>
        <w:t> </w:t>
      </w:r>
      <w:r>
        <w:rPr>
          <w:color w:val="231F20"/>
          <w:w w:val="105"/>
        </w:rPr>
        <w:t>el</w:t>
      </w:r>
      <w:r>
        <w:rPr>
          <w:color w:val="231F20"/>
          <w:spacing w:val="-11"/>
          <w:w w:val="105"/>
        </w:rPr>
        <w:t> </w:t>
      </w:r>
      <w:r>
        <w:rPr>
          <w:color w:val="231F20"/>
          <w:spacing w:val="-3"/>
          <w:w w:val="105"/>
        </w:rPr>
        <w:t>gobierno</w:t>
      </w:r>
      <w:r>
        <w:rPr>
          <w:color w:val="231F20"/>
          <w:spacing w:val="-11"/>
          <w:w w:val="105"/>
        </w:rPr>
        <w:t> </w:t>
      </w:r>
      <w:r>
        <w:rPr>
          <w:color w:val="231F20"/>
          <w:spacing w:val="-3"/>
          <w:w w:val="105"/>
        </w:rPr>
        <w:t>mexicano</w:t>
      </w:r>
      <w:r>
        <w:rPr>
          <w:color w:val="231F20"/>
          <w:spacing w:val="-11"/>
          <w:w w:val="105"/>
        </w:rPr>
        <w:t> </w:t>
      </w:r>
      <w:r>
        <w:rPr>
          <w:color w:val="231F20"/>
          <w:spacing w:val="-3"/>
          <w:w w:val="105"/>
        </w:rPr>
        <w:t>para</w:t>
      </w:r>
      <w:r>
        <w:rPr>
          <w:color w:val="231F20"/>
          <w:spacing w:val="-11"/>
          <w:w w:val="105"/>
        </w:rPr>
        <w:t> </w:t>
      </w:r>
      <w:r>
        <w:rPr>
          <w:color w:val="231F20"/>
          <w:w w:val="105"/>
        </w:rPr>
        <w:t>la</w:t>
      </w:r>
      <w:r>
        <w:rPr>
          <w:color w:val="231F20"/>
          <w:spacing w:val="-11"/>
          <w:w w:val="105"/>
        </w:rPr>
        <w:t> </w:t>
      </w:r>
      <w:r>
        <w:rPr>
          <w:color w:val="231F20"/>
          <w:spacing w:val="-3"/>
          <w:w w:val="105"/>
        </w:rPr>
        <w:t>atención</w:t>
      </w:r>
      <w:r>
        <w:rPr>
          <w:color w:val="231F20"/>
          <w:spacing w:val="-11"/>
          <w:w w:val="105"/>
        </w:rPr>
        <w:t> </w:t>
      </w:r>
      <w:r>
        <w:rPr>
          <w:color w:val="231F20"/>
          <w:w w:val="105"/>
        </w:rPr>
        <w:t>de</w:t>
      </w:r>
      <w:r>
        <w:rPr>
          <w:color w:val="231F20"/>
          <w:spacing w:val="-11"/>
          <w:w w:val="105"/>
        </w:rPr>
        <w:t> </w:t>
      </w:r>
      <w:r>
        <w:rPr>
          <w:color w:val="231F20"/>
          <w:spacing w:val="-3"/>
          <w:w w:val="105"/>
        </w:rPr>
        <w:t>esta</w:t>
      </w:r>
      <w:r>
        <w:rPr>
          <w:color w:val="231F20"/>
          <w:spacing w:val="-11"/>
          <w:w w:val="105"/>
        </w:rPr>
        <w:t> </w:t>
      </w:r>
      <w:r>
        <w:rPr>
          <w:color w:val="231F20"/>
          <w:spacing w:val="-3"/>
          <w:w w:val="105"/>
        </w:rPr>
        <w:t>población,</w:t>
      </w:r>
      <w:r>
        <w:rPr>
          <w:color w:val="231F20"/>
          <w:spacing w:val="-17"/>
          <w:w w:val="105"/>
        </w:rPr>
        <w:t> </w:t>
      </w:r>
      <w:r>
        <w:rPr>
          <w:color w:val="231F20"/>
          <w:w w:val="105"/>
        </w:rPr>
        <w:t>y</w:t>
      </w:r>
      <w:r>
        <w:rPr>
          <w:color w:val="231F20"/>
          <w:spacing w:val="-11"/>
          <w:w w:val="105"/>
        </w:rPr>
        <w:t> </w:t>
      </w:r>
      <w:r>
        <w:rPr>
          <w:color w:val="231F20"/>
          <w:w w:val="105"/>
        </w:rPr>
        <w:t>por</w:t>
      </w:r>
      <w:r>
        <w:rPr>
          <w:color w:val="231F20"/>
          <w:spacing w:val="-11"/>
          <w:w w:val="105"/>
        </w:rPr>
        <w:t> </w:t>
      </w:r>
      <w:r>
        <w:rPr>
          <w:color w:val="231F20"/>
          <w:spacing w:val="-3"/>
          <w:w w:val="105"/>
        </w:rPr>
        <w:t>último </w:t>
      </w:r>
      <w:r>
        <w:rPr>
          <w:color w:val="231F20"/>
          <w:w w:val="105"/>
        </w:rPr>
        <w:t>se</w:t>
      </w:r>
      <w:r>
        <w:rPr>
          <w:color w:val="231F20"/>
          <w:spacing w:val="-24"/>
          <w:w w:val="105"/>
        </w:rPr>
        <w:t> </w:t>
      </w:r>
      <w:r>
        <w:rPr>
          <w:color w:val="231F20"/>
          <w:spacing w:val="-3"/>
          <w:w w:val="105"/>
        </w:rPr>
        <w:t>exponen</w:t>
      </w:r>
      <w:r>
        <w:rPr>
          <w:color w:val="231F20"/>
          <w:spacing w:val="-24"/>
          <w:w w:val="105"/>
        </w:rPr>
        <w:t> </w:t>
      </w:r>
      <w:r>
        <w:rPr>
          <w:color w:val="231F20"/>
          <w:spacing w:val="-3"/>
          <w:w w:val="105"/>
        </w:rPr>
        <w:t>algunas</w:t>
      </w:r>
      <w:r>
        <w:rPr>
          <w:color w:val="231F20"/>
          <w:spacing w:val="-24"/>
          <w:w w:val="105"/>
        </w:rPr>
        <w:t> </w:t>
      </w:r>
      <w:r>
        <w:rPr>
          <w:color w:val="231F20"/>
          <w:spacing w:val="-3"/>
          <w:w w:val="105"/>
        </w:rPr>
        <w:t>conclusiones</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spacing w:val="-3"/>
          <w:w w:val="105"/>
        </w:rPr>
        <w:t>resultados</w:t>
      </w:r>
      <w:r>
        <w:rPr>
          <w:color w:val="231F20"/>
          <w:spacing w:val="-24"/>
          <w:w w:val="105"/>
        </w:rPr>
        <w:t> </w:t>
      </w:r>
      <w:r>
        <w:rPr>
          <w:color w:val="231F20"/>
          <w:spacing w:val="-3"/>
          <w:w w:val="105"/>
        </w:rPr>
        <w:t>obtenidos.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76"/>
        <w:ind w:left="1723"/>
        <w:rPr>
          <w:rFonts w:ascii="Tahoma" w:hAnsi="Tahoma"/>
        </w:rPr>
      </w:pPr>
      <w:r>
        <w:rPr/>
        <w:pict>
          <v:line style="position:absolute;mso-position-horizontal-relative:page;mso-position-vertical-relative:paragraph;z-index:20224" from="15pt,-62.06076pt" to="0pt,-62.06076pt" stroked="true" strokeweight=".25pt" strokecolor="#000000">
            <w10:wrap type="none"/>
          </v:line>
        </w:pict>
      </w:r>
      <w:r>
        <w:rPr/>
        <w:pict>
          <v:line style="position:absolute;mso-position-horizontal-relative:page;mso-position-vertical-relative:paragraph;z-index:20248" from="508.890015pt,-62.06076pt" to="523.890015pt,-62.06076pt" stroked="true" strokeweight=".25pt" strokecolor="#000000">
            <w10:wrap type="none"/>
          </v:line>
        </w:pict>
      </w:r>
      <w:r>
        <w:rPr>
          <w:rFonts w:ascii="Tahoma" w:hAnsi="Tahoma"/>
          <w:color w:val="231F20"/>
          <w:w w:val="95"/>
        </w:rPr>
        <w:t>Características sociodemográficas de los migrantes en flujo</w:t>
      </w:r>
    </w:p>
    <w:p>
      <w:pPr>
        <w:pStyle w:val="BodyText"/>
        <w:rPr>
          <w:rFonts w:ascii="Tahoma"/>
          <w:b/>
          <w:sz w:val="22"/>
        </w:rPr>
      </w:pPr>
    </w:p>
    <w:p>
      <w:pPr>
        <w:pStyle w:val="BodyText"/>
        <w:spacing w:line="261" w:lineRule="auto" w:before="152"/>
        <w:ind w:left="1723" w:right="1827"/>
        <w:jc w:val="both"/>
      </w:pPr>
      <w:r>
        <w:rPr>
          <w:color w:val="231F20"/>
          <w:w w:val="105"/>
        </w:rPr>
        <w:t>De los 1 635 857 migrantes en flujo procedentes de Estados Unidos, captados</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aeropuertos</w:t>
      </w:r>
      <w:r>
        <w:rPr>
          <w:color w:val="231F20"/>
          <w:spacing w:val="-19"/>
          <w:w w:val="105"/>
        </w:rPr>
        <w:t> </w:t>
      </w:r>
      <w:r>
        <w:rPr>
          <w:color w:val="231F20"/>
          <w:w w:val="105"/>
        </w:rPr>
        <w:t>y</w:t>
      </w:r>
      <w:r>
        <w:rPr>
          <w:color w:val="231F20"/>
          <w:spacing w:val="-19"/>
          <w:w w:val="105"/>
        </w:rPr>
        <w:t> </w:t>
      </w:r>
      <w:r>
        <w:rPr>
          <w:color w:val="231F20"/>
          <w:w w:val="105"/>
        </w:rPr>
        <w:t>terminales</w:t>
      </w:r>
      <w:r>
        <w:rPr>
          <w:color w:val="231F20"/>
          <w:spacing w:val="-19"/>
          <w:w w:val="105"/>
        </w:rPr>
        <w:t> </w:t>
      </w:r>
      <w:r>
        <w:rPr>
          <w:color w:val="231F20"/>
          <w:w w:val="105"/>
        </w:rPr>
        <w:t>de</w:t>
      </w:r>
      <w:r>
        <w:rPr>
          <w:color w:val="231F20"/>
          <w:spacing w:val="-19"/>
          <w:w w:val="105"/>
        </w:rPr>
        <w:t> </w:t>
      </w:r>
      <w:r>
        <w:rPr>
          <w:color w:val="231F20"/>
          <w:w w:val="105"/>
        </w:rPr>
        <w:t>transporte</w:t>
      </w:r>
      <w:r>
        <w:rPr>
          <w:color w:val="231F20"/>
          <w:spacing w:val="-19"/>
          <w:w w:val="105"/>
        </w:rPr>
        <w:t> </w:t>
      </w:r>
      <w:r>
        <w:rPr>
          <w:color w:val="231F20"/>
          <w:w w:val="105"/>
        </w:rPr>
        <w:t>terrestre</w:t>
      </w:r>
      <w:r>
        <w:rPr>
          <w:color w:val="231F20"/>
          <w:spacing w:val="-19"/>
          <w:w w:val="105"/>
        </w:rPr>
        <w:t> </w:t>
      </w:r>
      <w:r>
        <w:rPr>
          <w:color w:val="231F20"/>
          <w:w w:val="105"/>
        </w:rPr>
        <w:t>a</w:t>
      </w:r>
      <w:r>
        <w:rPr>
          <w:color w:val="231F20"/>
          <w:spacing w:val="-19"/>
          <w:w w:val="105"/>
        </w:rPr>
        <w:t> </w:t>
      </w:r>
      <w:r>
        <w:rPr>
          <w:color w:val="231F20"/>
          <w:w w:val="105"/>
        </w:rPr>
        <w:t>través de</w:t>
      </w:r>
      <w:r>
        <w:rPr>
          <w:color w:val="231F20"/>
          <w:spacing w:val="-10"/>
          <w:w w:val="105"/>
        </w:rPr>
        <w:t> </w:t>
      </w:r>
      <w:r>
        <w:rPr>
          <w:color w:val="231F20"/>
          <w:w w:val="105"/>
        </w:rPr>
        <w:t>la</w:t>
      </w:r>
      <w:r>
        <w:rPr>
          <w:color w:val="231F20"/>
          <w:spacing w:val="-10"/>
          <w:w w:val="105"/>
        </w:rPr>
        <w:t> </w:t>
      </w:r>
      <w:r>
        <w:rPr>
          <w:color w:val="231F20"/>
          <w:w w:val="105"/>
        </w:rPr>
        <w:t>Encuesta</w:t>
      </w:r>
      <w:r>
        <w:rPr>
          <w:color w:val="231F20"/>
          <w:spacing w:val="-10"/>
          <w:w w:val="105"/>
        </w:rPr>
        <w:t> </w:t>
      </w:r>
      <w:r>
        <w:rPr>
          <w:color w:val="231F20"/>
          <w:w w:val="105"/>
        </w:rPr>
        <w:t>de</w:t>
      </w:r>
      <w:r>
        <w:rPr>
          <w:color w:val="231F20"/>
          <w:spacing w:val="-10"/>
          <w:w w:val="105"/>
        </w:rPr>
        <w:t> </w:t>
      </w:r>
      <w:r>
        <w:rPr>
          <w:color w:val="231F20"/>
          <w:w w:val="105"/>
        </w:rPr>
        <w:t>Migración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Frontera</w:t>
      </w:r>
      <w:r>
        <w:rPr>
          <w:color w:val="231F20"/>
          <w:spacing w:val="-10"/>
          <w:w w:val="105"/>
        </w:rPr>
        <w:t> </w:t>
      </w:r>
      <w:r>
        <w:rPr>
          <w:color w:val="231F20"/>
          <w:w w:val="105"/>
        </w:rPr>
        <w:t>Norte,</w:t>
      </w:r>
      <w:r>
        <w:rPr>
          <w:color w:val="231F20"/>
          <w:spacing w:val="-16"/>
          <w:w w:val="105"/>
        </w:rPr>
        <w:t> </w:t>
      </w:r>
      <w:r>
        <w:rPr>
          <w:color w:val="231F20"/>
          <w:w w:val="105"/>
        </w:rPr>
        <w:t>se</w:t>
      </w:r>
      <w:r>
        <w:rPr>
          <w:color w:val="231F20"/>
          <w:spacing w:val="-10"/>
          <w:w w:val="105"/>
        </w:rPr>
        <w:t> </w:t>
      </w:r>
      <w:r>
        <w:rPr>
          <w:color w:val="231F20"/>
          <w:w w:val="105"/>
        </w:rPr>
        <w:t>estima</w:t>
      </w:r>
      <w:r>
        <w:rPr>
          <w:color w:val="231F20"/>
          <w:spacing w:val="-10"/>
          <w:w w:val="105"/>
        </w:rPr>
        <w:t> </w:t>
      </w:r>
      <w:r>
        <w:rPr>
          <w:color w:val="231F20"/>
          <w:w w:val="105"/>
        </w:rPr>
        <w:t>que</w:t>
      </w:r>
      <w:r>
        <w:rPr>
          <w:color w:val="231F20"/>
          <w:spacing w:val="-10"/>
          <w:w w:val="105"/>
        </w:rPr>
        <w:t> </w:t>
      </w:r>
      <w:r>
        <w:rPr>
          <w:color w:val="231F20"/>
          <w:w w:val="105"/>
        </w:rPr>
        <w:t>alrede- dor de 3.1% nacieron en el Estado de México (50 343), proporción</w:t>
      </w:r>
      <w:r>
        <w:rPr>
          <w:color w:val="231F20"/>
          <w:spacing w:val="-38"/>
          <w:w w:val="105"/>
        </w:rPr>
        <w:t> </w:t>
      </w:r>
      <w:r>
        <w:rPr>
          <w:color w:val="231F20"/>
          <w:w w:val="105"/>
        </w:rPr>
        <w:t>baja si</w:t>
      </w:r>
      <w:r>
        <w:rPr>
          <w:color w:val="231F20"/>
          <w:spacing w:val="-7"/>
          <w:w w:val="105"/>
        </w:rPr>
        <w:t> </w:t>
      </w:r>
      <w:r>
        <w:rPr>
          <w:color w:val="231F20"/>
          <w:w w:val="105"/>
        </w:rPr>
        <w:t>se</w:t>
      </w:r>
      <w:r>
        <w:rPr>
          <w:color w:val="231F20"/>
          <w:spacing w:val="-7"/>
          <w:w w:val="105"/>
        </w:rPr>
        <w:t> </w:t>
      </w:r>
      <w:r>
        <w:rPr>
          <w:color w:val="231F20"/>
          <w:w w:val="105"/>
        </w:rPr>
        <w:t>compara</w:t>
      </w:r>
      <w:r>
        <w:rPr>
          <w:color w:val="231F20"/>
          <w:spacing w:val="-7"/>
          <w:w w:val="105"/>
        </w:rPr>
        <w:t> </w:t>
      </w:r>
      <w:r>
        <w:rPr>
          <w:color w:val="231F20"/>
          <w:w w:val="105"/>
        </w:rPr>
        <w:t>con</w:t>
      </w:r>
      <w:r>
        <w:rPr>
          <w:color w:val="231F20"/>
          <w:spacing w:val="-7"/>
          <w:w w:val="105"/>
        </w:rPr>
        <w:t> </w:t>
      </w:r>
      <w:r>
        <w:rPr>
          <w:color w:val="231F20"/>
          <w:w w:val="105"/>
        </w:rPr>
        <w:t>estados</w:t>
      </w:r>
      <w:r>
        <w:rPr>
          <w:color w:val="231F20"/>
          <w:spacing w:val="-7"/>
          <w:w w:val="105"/>
        </w:rPr>
        <w:t> </w:t>
      </w:r>
      <w:r>
        <w:rPr>
          <w:color w:val="231F20"/>
          <w:w w:val="105"/>
        </w:rPr>
        <w:t>como</w:t>
      </w:r>
      <w:r>
        <w:rPr>
          <w:color w:val="231F20"/>
          <w:spacing w:val="-9"/>
          <w:w w:val="105"/>
        </w:rPr>
        <w:t> </w:t>
      </w:r>
      <w:r>
        <w:rPr>
          <w:color w:val="231F20"/>
          <w:w w:val="105"/>
        </w:rPr>
        <w:t>Jalisco,</w:t>
      </w:r>
      <w:r>
        <w:rPr>
          <w:color w:val="231F20"/>
          <w:spacing w:val="-13"/>
          <w:w w:val="105"/>
        </w:rPr>
        <w:t> </w:t>
      </w:r>
      <w:r>
        <w:rPr>
          <w:color w:val="231F20"/>
          <w:w w:val="105"/>
        </w:rPr>
        <w:t>Michoacán</w:t>
      </w:r>
      <w:r>
        <w:rPr>
          <w:color w:val="231F20"/>
          <w:spacing w:val="-7"/>
          <w:w w:val="105"/>
        </w:rPr>
        <w:t> </w:t>
      </w:r>
      <w:r>
        <w:rPr>
          <w:color w:val="231F20"/>
          <w:w w:val="105"/>
        </w:rPr>
        <w:t>y</w:t>
      </w:r>
      <w:r>
        <w:rPr>
          <w:color w:val="231F20"/>
          <w:spacing w:val="-7"/>
          <w:w w:val="105"/>
        </w:rPr>
        <w:t> </w:t>
      </w:r>
      <w:r>
        <w:rPr>
          <w:color w:val="231F20"/>
          <w:w w:val="105"/>
        </w:rPr>
        <w:t>Guanajuato,</w:t>
      </w:r>
      <w:r>
        <w:rPr>
          <w:color w:val="231F20"/>
          <w:spacing w:val="-13"/>
          <w:w w:val="105"/>
        </w:rPr>
        <w:t> </w:t>
      </w:r>
      <w:r>
        <w:rPr>
          <w:color w:val="231F20"/>
          <w:w w:val="105"/>
        </w:rPr>
        <w:t>que obtuvieron</w:t>
      </w:r>
      <w:r>
        <w:rPr>
          <w:color w:val="231F20"/>
          <w:spacing w:val="-5"/>
          <w:w w:val="105"/>
        </w:rPr>
        <w:t> </w:t>
      </w:r>
      <w:r>
        <w:rPr>
          <w:color w:val="231F20"/>
          <w:w w:val="105"/>
        </w:rPr>
        <w:t>14.8%,</w:t>
      </w:r>
      <w:r>
        <w:rPr>
          <w:color w:val="231F20"/>
          <w:spacing w:val="-11"/>
          <w:w w:val="105"/>
        </w:rPr>
        <w:t> </w:t>
      </w:r>
      <w:r>
        <w:rPr>
          <w:color w:val="231F20"/>
          <w:w w:val="105"/>
        </w:rPr>
        <w:t>11.5%</w:t>
      </w:r>
      <w:r>
        <w:rPr>
          <w:color w:val="231F20"/>
          <w:spacing w:val="-5"/>
          <w:w w:val="105"/>
        </w:rPr>
        <w:t> </w:t>
      </w:r>
      <w:r>
        <w:rPr>
          <w:color w:val="231F20"/>
          <w:w w:val="105"/>
        </w:rPr>
        <w:t>y</w:t>
      </w:r>
      <w:r>
        <w:rPr>
          <w:color w:val="231F20"/>
          <w:spacing w:val="-5"/>
          <w:w w:val="105"/>
        </w:rPr>
        <w:t> </w:t>
      </w:r>
      <w:r>
        <w:rPr>
          <w:color w:val="231F20"/>
          <w:w w:val="105"/>
        </w:rPr>
        <w:t>10.7%,</w:t>
      </w:r>
      <w:r>
        <w:rPr>
          <w:color w:val="231F20"/>
          <w:spacing w:val="-11"/>
          <w:w w:val="105"/>
        </w:rPr>
        <w:t> </w:t>
      </w:r>
      <w:r>
        <w:rPr>
          <w:color w:val="231F20"/>
          <w:w w:val="105"/>
        </w:rPr>
        <w:t>respectivamente.</w:t>
      </w:r>
      <w:r>
        <w:rPr>
          <w:color w:val="231F20"/>
          <w:spacing w:val="-11"/>
          <w:w w:val="105"/>
        </w:rPr>
        <w:t> </w:t>
      </w:r>
      <w:r>
        <w:rPr>
          <w:color w:val="231F20"/>
          <w:spacing w:val="-4"/>
          <w:w w:val="105"/>
        </w:rPr>
        <w:t>Para</w:t>
      </w:r>
      <w:r>
        <w:rPr>
          <w:color w:val="231F20"/>
          <w:spacing w:val="-5"/>
          <w:w w:val="105"/>
        </w:rPr>
        <w:t> </w:t>
      </w:r>
      <w:r>
        <w:rPr>
          <w:color w:val="231F20"/>
          <w:w w:val="105"/>
        </w:rPr>
        <w:t>el</w:t>
      </w:r>
      <w:r>
        <w:rPr>
          <w:color w:val="231F20"/>
          <w:spacing w:val="-5"/>
          <w:w w:val="105"/>
        </w:rPr>
        <w:t> </w:t>
      </w:r>
      <w:r>
        <w:rPr>
          <w:color w:val="231F20"/>
          <w:w w:val="105"/>
        </w:rPr>
        <w:t>total</w:t>
      </w:r>
      <w:r>
        <w:rPr>
          <w:color w:val="231F20"/>
          <w:spacing w:val="-5"/>
          <w:w w:val="105"/>
        </w:rPr>
        <w:t> </w:t>
      </w:r>
      <w:r>
        <w:rPr>
          <w:color w:val="231F20"/>
          <w:w w:val="105"/>
        </w:rPr>
        <w:t>de</w:t>
      </w:r>
      <w:r>
        <w:rPr>
          <w:color w:val="231F20"/>
          <w:spacing w:val="-5"/>
          <w:w w:val="105"/>
        </w:rPr>
        <w:t> </w:t>
      </w:r>
      <w:r>
        <w:rPr>
          <w:color w:val="231F20"/>
          <w:w w:val="105"/>
        </w:rPr>
        <w:t>los migantes en flujo, la distribución por sexo indicó que 67.7% eran hom- bres y 32.3% mujeres, proporciones diferentes de las obtenidas entre los</w:t>
      </w:r>
      <w:r>
        <w:rPr>
          <w:color w:val="231F20"/>
          <w:spacing w:val="-19"/>
          <w:w w:val="105"/>
        </w:rPr>
        <w:t> </w:t>
      </w:r>
      <w:r>
        <w:rPr>
          <w:color w:val="231F20"/>
          <w:w w:val="105"/>
        </w:rPr>
        <w:t>nacidos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Estado</w:t>
      </w:r>
      <w:r>
        <w:rPr>
          <w:color w:val="231F20"/>
          <w:spacing w:val="-19"/>
          <w:w w:val="105"/>
        </w:rPr>
        <w:t> </w:t>
      </w:r>
      <w:r>
        <w:rPr>
          <w:color w:val="231F20"/>
          <w:w w:val="105"/>
        </w:rPr>
        <w:t>de</w:t>
      </w:r>
      <w:r>
        <w:rPr>
          <w:color w:val="231F20"/>
          <w:spacing w:val="-19"/>
          <w:w w:val="105"/>
        </w:rPr>
        <w:t> </w:t>
      </w:r>
      <w:r>
        <w:rPr>
          <w:color w:val="231F20"/>
          <w:w w:val="105"/>
        </w:rPr>
        <w:t>México,</w:t>
      </w:r>
      <w:r>
        <w:rPr>
          <w:color w:val="231F20"/>
          <w:spacing w:val="-24"/>
          <w:w w:val="105"/>
        </w:rPr>
        <w:t> </w:t>
      </w:r>
      <w:r>
        <w:rPr>
          <w:color w:val="231F20"/>
          <w:w w:val="105"/>
        </w:rPr>
        <w:t>donde</w:t>
      </w:r>
      <w:r>
        <w:rPr>
          <w:color w:val="231F20"/>
          <w:spacing w:val="-19"/>
          <w:w w:val="105"/>
        </w:rPr>
        <w:t> </w:t>
      </w:r>
      <w:r>
        <w:rPr>
          <w:color w:val="231F20"/>
          <w:w w:val="105"/>
        </w:rPr>
        <w:t>58.3%</w:t>
      </w:r>
      <w:r>
        <w:rPr>
          <w:color w:val="231F20"/>
          <w:spacing w:val="-19"/>
          <w:w w:val="105"/>
        </w:rPr>
        <w:t> </w:t>
      </w:r>
      <w:r>
        <w:rPr>
          <w:color w:val="231F20"/>
          <w:w w:val="105"/>
        </w:rPr>
        <w:t>eran</w:t>
      </w:r>
      <w:r>
        <w:rPr>
          <w:color w:val="231F20"/>
          <w:spacing w:val="-19"/>
          <w:w w:val="105"/>
        </w:rPr>
        <w:t> </w:t>
      </w:r>
      <w:r>
        <w:rPr>
          <w:color w:val="231F20"/>
          <w:w w:val="105"/>
        </w:rPr>
        <w:t>hombres</w:t>
      </w:r>
      <w:r>
        <w:rPr>
          <w:color w:val="231F20"/>
          <w:spacing w:val="-19"/>
          <w:w w:val="105"/>
        </w:rPr>
        <w:t> </w:t>
      </w:r>
      <w:r>
        <w:rPr>
          <w:color w:val="231F20"/>
          <w:w w:val="105"/>
        </w:rPr>
        <w:t>y</w:t>
      </w:r>
      <w:r>
        <w:rPr>
          <w:color w:val="231F20"/>
          <w:spacing w:val="-19"/>
          <w:w w:val="105"/>
        </w:rPr>
        <w:t> </w:t>
      </w:r>
      <w:r>
        <w:rPr>
          <w:color w:val="231F20"/>
          <w:w w:val="105"/>
        </w:rPr>
        <w:t>41.7% mujeres (véase cuadro 1.1), lo cual corresponde con la mayor partici- pación de las mujeres en los procesos migratorios que ha registrado la entidad</w:t>
      </w:r>
      <w:r>
        <w:rPr>
          <w:color w:val="231F20"/>
          <w:spacing w:val="-1"/>
          <w:w w:val="105"/>
        </w:rPr>
        <w:t> </w:t>
      </w:r>
      <w:r>
        <w:rPr>
          <w:color w:val="231F20"/>
          <w:w w:val="105"/>
        </w:rPr>
        <w:t>mexiquense.</w:t>
      </w:r>
    </w:p>
    <w:p>
      <w:pPr>
        <w:pStyle w:val="BodyText"/>
        <w:spacing w:line="261" w:lineRule="auto" w:before="1"/>
        <w:ind w:left="1723" w:right="1834" w:firstLine="567"/>
        <w:jc w:val="both"/>
      </w:pPr>
      <w:r>
        <w:rPr>
          <w:color w:val="231F20"/>
          <w:spacing w:val="-6"/>
          <w:w w:val="105"/>
        </w:rPr>
        <w:t>Por </w:t>
      </w:r>
      <w:r>
        <w:rPr>
          <w:color w:val="231F20"/>
          <w:w w:val="105"/>
        </w:rPr>
        <w:t>grupos de edad se observa que las mayores proporciones de migrantes en flujo procedentes de Estados Unidos tenían una edad de </w:t>
      </w:r>
      <w:r>
        <w:rPr>
          <w:color w:val="231F20"/>
          <w:spacing w:val="-3"/>
          <w:w w:val="105"/>
        </w:rPr>
        <w:t>entre</w:t>
      </w:r>
      <w:r>
        <w:rPr>
          <w:color w:val="231F20"/>
          <w:spacing w:val="-28"/>
          <w:w w:val="105"/>
        </w:rPr>
        <w:t> </w:t>
      </w:r>
      <w:r>
        <w:rPr>
          <w:color w:val="231F20"/>
          <w:w w:val="105"/>
        </w:rPr>
        <w:t>45</w:t>
      </w:r>
      <w:r>
        <w:rPr>
          <w:color w:val="231F20"/>
          <w:spacing w:val="-28"/>
          <w:w w:val="105"/>
        </w:rPr>
        <w:t> </w:t>
      </w:r>
      <w:r>
        <w:rPr>
          <w:color w:val="231F20"/>
          <w:w w:val="105"/>
        </w:rPr>
        <w:t>a</w:t>
      </w:r>
      <w:r>
        <w:rPr>
          <w:color w:val="231F20"/>
          <w:spacing w:val="-28"/>
          <w:w w:val="105"/>
        </w:rPr>
        <w:t> </w:t>
      </w:r>
      <w:r>
        <w:rPr>
          <w:color w:val="231F20"/>
          <w:w w:val="105"/>
        </w:rPr>
        <w:t>49</w:t>
      </w:r>
      <w:r>
        <w:rPr>
          <w:color w:val="231F20"/>
          <w:spacing w:val="-28"/>
          <w:w w:val="105"/>
        </w:rPr>
        <w:t> </w:t>
      </w:r>
      <w:r>
        <w:rPr>
          <w:color w:val="231F20"/>
          <w:spacing w:val="-3"/>
          <w:w w:val="105"/>
        </w:rPr>
        <w:t>años</w:t>
      </w:r>
      <w:r>
        <w:rPr>
          <w:color w:val="231F20"/>
          <w:spacing w:val="-28"/>
          <w:w w:val="105"/>
        </w:rPr>
        <w:t> </w:t>
      </w:r>
      <w:r>
        <w:rPr>
          <w:color w:val="231F20"/>
          <w:w w:val="105"/>
        </w:rPr>
        <w:t>y</w:t>
      </w:r>
      <w:r>
        <w:rPr>
          <w:color w:val="231F20"/>
          <w:spacing w:val="-28"/>
          <w:w w:val="105"/>
        </w:rPr>
        <w:t> </w:t>
      </w:r>
      <w:r>
        <w:rPr>
          <w:color w:val="231F20"/>
          <w:w w:val="105"/>
        </w:rPr>
        <w:t>40</w:t>
      </w:r>
      <w:r>
        <w:rPr>
          <w:color w:val="231F20"/>
          <w:spacing w:val="-28"/>
          <w:w w:val="105"/>
        </w:rPr>
        <w:t> </w:t>
      </w:r>
      <w:r>
        <w:rPr>
          <w:color w:val="231F20"/>
          <w:w w:val="105"/>
        </w:rPr>
        <w:t>a</w:t>
      </w:r>
      <w:r>
        <w:rPr>
          <w:color w:val="231F20"/>
          <w:spacing w:val="-28"/>
          <w:w w:val="105"/>
        </w:rPr>
        <w:t> </w:t>
      </w:r>
      <w:r>
        <w:rPr>
          <w:color w:val="231F20"/>
          <w:w w:val="105"/>
        </w:rPr>
        <w:t>44</w:t>
      </w:r>
      <w:r>
        <w:rPr>
          <w:color w:val="231F20"/>
          <w:spacing w:val="-28"/>
          <w:w w:val="105"/>
        </w:rPr>
        <w:t> </w:t>
      </w:r>
      <w:r>
        <w:rPr>
          <w:color w:val="231F20"/>
          <w:spacing w:val="-3"/>
          <w:w w:val="105"/>
        </w:rPr>
        <w:t>años,</w:t>
      </w:r>
      <w:r>
        <w:rPr>
          <w:color w:val="231F20"/>
          <w:spacing w:val="-33"/>
          <w:w w:val="105"/>
        </w:rPr>
        <w:t> </w:t>
      </w:r>
      <w:r>
        <w:rPr>
          <w:color w:val="231F20"/>
          <w:w w:val="105"/>
        </w:rPr>
        <w:t>con</w:t>
      </w:r>
      <w:r>
        <w:rPr>
          <w:color w:val="231F20"/>
          <w:spacing w:val="-28"/>
          <w:w w:val="105"/>
        </w:rPr>
        <w:t> </w:t>
      </w:r>
      <w:r>
        <w:rPr>
          <w:color w:val="231F20"/>
          <w:spacing w:val="-3"/>
          <w:w w:val="105"/>
        </w:rPr>
        <w:t>15.4%</w:t>
      </w:r>
      <w:r>
        <w:rPr>
          <w:color w:val="231F20"/>
          <w:spacing w:val="-28"/>
          <w:w w:val="105"/>
        </w:rPr>
        <w:t> </w:t>
      </w:r>
      <w:r>
        <w:rPr>
          <w:color w:val="231F20"/>
          <w:w w:val="105"/>
        </w:rPr>
        <w:t>y</w:t>
      </w:r>
      <w:r>
        <w:rPr>
          <w:color w:val="231F20"/>
          <w:spacing w:val="-28"/>
          <w:w w:val="105"/>
        </w:rPr>
        <w:t> </w:t>
      </w:r>
      <w:r>
        <w:rPr>
          <w:color w:val="231F20"/>
          <w:spacing w:val="-3"/>
          <w:w w:val="105"/>
        </w:rPr>
        <w:t>15.3%,</w:t>
      </w:r>
      <w:r>
        <w:rPr>
          <w:color w:val="231F20"/>
          <w:spacing w:val="-33"/>
          <w:w w:val="105"/>
        </w:rPr>
        <w:t> </w:t>
      </w:r>
      <w:r>
        <w:rPr>
          <w:color w:val="231F20"/>
          <w:spacing w:val="-3"/>
          <w:w w:val="105"/>
        </w:rPr>
        <w:t>respectivamente.</w:t>
      </w:r>
      <w:r>
        <w:rPr>
          <w:color w:val="231F20"/>
          <w:spacing w:val="-32"/>
          <w:w w:val="105"/>
        </w:rPr>
        <w:t> </w:t>
      </w:r>
      <w:r>
        <w:rPr>
          <w:color w:val="231F20"/>
          <w:w w:val="105"/>
        </w:rPr>
        <w:t>Es importante</w:t>
      </w:r>
      <w:r>
        <w:rPr>
          <w:color w:val="231F20"/>
          <w:spacing w:val="-5"/>
          <w:w w:val="105"/>
        </w:rPr>
        <w:t> </w:t>
      </w:r>
      <w:r>
        <w:rPr>
          <w:color w:val="231F20"/>
          <w:w w:val="105"/>
        </w:rPr>
        <w:t>mencionar,</w:t>
      </w:r>
      <w:r>
        <w:rPr>
          <w:color w:val="231F20"/>
          <w:spacing w:val="-11"/>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grupos</w:t>
      </w:r>
      <w:r>
        <w:rPr>
          <w:color w:val="231F20"/>
          <w:spacing w:val="-5"/>
          <w:w w:val="105"/>
        </w:rPr>
        <w:t> </w:t>
      </w:r>
      <w:r>
        <w:rPr>
          <w:color w:val="231F20"/>
          <w:w w:val="105"/>
        </w:rPr>
        <w:t>de</w:t>
      </w:r>
      <w:r>
        <w:rPr>
          <w:color w:val="231F20"/>
          <w:spacing w:val="-5"/>
          <w:w w:val="105"/>
        </w:rPr>
        <w:t> </w:t>
      </w:r>
      <w:r>
        <w:rPr>
          <w:color w:val="231F20"/>
          <w:w w:val="105"/>
        </w:rPr>
        <w:t>edad</w:t>
      </w:r>
      <w:r>
        <w:rPr>
          <w:color w:val="231F20"/>
          <w:spacing w:val="-5"/>
          <w:w w:val="105"/>
        </w:rPr>
        <w:t> </w:t>
      </w:r>
      <w:r>
        <w:rPr>
          <w:color w:val="231F20"/>
          <w:w w:val="105"/>
        </w:rPr>
        <w:t>de</w:t>
      </w:r>
      <w:r>
        <w:rPr>
          <w:color w:val="231F20"/>
          <w:spacing w:val="-5"/>
          <w:w w:val="105"/>
        </w:rPr>
        <w:t> </w:t>
      </w:r>
      <w:r>
        <w:rPr>
          <w:color w:val="231F20"/>
          <w:w w:val="105"/>
        </w:rPr>
        <w:t>entre</w:t>
      </w:r>
      <w:r>
        <w:rPr>
          <w:color w:val="231F20"/>
          <w:spacing w:val="-5"/>
          <w:w w:val="105"/>
        </w:rPr>
        <w:t> </w:t>
      </w:r>
      <w:r>
        <w:rPr>
          <w:color w:val="231F20"/>
          <w:w w:val="105"/>
        </w:rPr>
        <w:t>15</w:t>
      </w:r>
      <w:r>
        <w:rPr>
          <w:color w:val="231F20"/>
          <w:spacing w:val="-5"/>
          <w:w w:val="105"/>
        </w:rPr>
        <w:t> </w:t>
      </w:r>
      <w:r>
        <w:rPr>
          <w:color w:val="231F20"/>
          <w:w w:val="105"/>
        </w:rPr>
        <w:t>y</w:t>
      </w:r>
      <w:r>
        <w:rPr>
          <w:color w:val="231F20"/>
          <w:spacing w:val="-5"/>
          <w:w w:val="105"/>
        </w:rPr>
        <w:t> </w:t>
      </w:r>
      <w:r>
        <w:rPr>
          <w:color w:val="231F20"/>
          <w:w w:val="105"/>
        </w:rPr>
        <w:t>49</w:t>
      </w:r>
      <w:r>
        <w:rPr>
          <w:color w:val="231F20"/>
          <w:spacing w:val="-5"/>
          <w:w w:val="105"/>
        </w:rPr>
        <w:t> </w:t>
      </w:r>
      <w:r>
        <w:rPr>
          <w:color w:val="231F20"/>
          <w:w w:val="105"/>
        </w:rPr>
        <w:t>años</w:t>
      </w:r>
      <w:r>
        <w:rPr>
          <w:color w:val="231F20"/>
          <w:spacing w:val="-5"/>
          <w:w w:val="105"/>
        </w:rPr>
        <w:t> </w:t>
      </w:r>
      <w:r>
        <w:rPr>
          <w:color w:val="231F20"/>
          <w:w w:val="105"/>
        </w:rPr>
        <w:t>fue mayor la proporción de hombres con respecto a las mujeres; situación inversa</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observada</w:t>
      </w:r>
      <w:r>
        <w:rPr>
          <w:color w:val="231F20"/>
          <w:spacing w:val="-19"/>
          <w:w w:val="105"/>
        </w:rPr>
        <w:t> </w:t>
      </w:r>
      <w:r>
        <w:rPr>
          <w:color w:val="231F20"/>
          <w:w w:val="105"/>
        </w:rPr>
        <w:t>después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49</w:t>
      </w:r>
      <w:r>
        <w:rPr>
          <w:color w:val="231F20"/>
          <w:spacing w:val="-19"/>
          <w:w w:val="105"/>
        </w:rPr>
        <w:t> </w:t>
      </w:r>
      <w:r>
        <w:rPr>
          <w:color w:val="231F20"/>
          <w:w w:val="105"/>
        </w:rPr>
        <w:t>años,</w:t>
      </w:r>
      <w:r>
        <w:rPr>
          <w:color w:val="231F20"/>
          <w:spacing w:val="-25"/>
          <w:w w:val="105"/>
        </w:rPr>
        <w:t> </w:t>
      </w:r>
      <w:r>
        <w:rPr>
          <w:color w:val="231F20"/>
          <w:w w:val="105"/>
        </w:rPr>
        <w:t>pues</w:t>
      </w:r>
      <w:r>
        <w:rPr>
          <w:color w:val="231F20"/>
          <w:spacing w:val="-19"/>
          <w:w w:val="105"/>
        </w:rPr>
        <w:t> </w:t>
      </w:r>
      <w:r>
        <w:rPr>
          <w:color w:val="231F20"/>
          <w:w w:val="105"/>
        </w:rPr>
        <w:t>en</w:t>
      </w:r>
      <w:r>
        <w:rPr>
          <w:color w:val="231F20"/>
          <w:spacing w:val="-19"/>
          <w:w w:val="105"/>
        </w:rPr>
        <w:t> </w:t>
      </w:r>
      <w:r>
        <w:rPr>
          <w:color w:val="231F20"/>
          <w:w w:val="105"/>
        </w:rPr>
        <w:t>todos</w:t>
      </w:r>
      <w:r>
        <w:rPr>
          <w:color w:val="231F20"/>
          <w:spacing w:val="-19"/>
          <w:w w:val="105"/>
        </w:rPr>
        <w:t> </w:t>
      </w:r>
      <w:r>
        <w:rPr>
          <w:color w:val="231F20"/>
          <w:w w:val="105"/>
        </w:rPr>
        <w:t>los</w:t>
      </w:r>
      <w:r>
        <w:rPr>
          <w:color w:val="231F20"/>
          <w:spacing w:val="-19"/>
          <w:w w:val="105"/>
        </w:rPr>
        <w:t> </w:t>
      </w:r>
      <w:r>
        <w:rPr>
          <w:color w:val="231F20"/>
          <w:w w:val="105"/>
        </w:rPr>
        <w:t>grupos señalados</w:t>
      </w:r>
      <w:r>
        <w:rPr>
          <w:color w:val="231F20"/>
          <w:spacing w:val="-20"/>
          <w:w w:val="105"/>
        </w:rPr>
        <w:t> </w:t>
      </w:r>
      <w:r>
        <w:rPr>
          <w:color w:val="231F20"/>
          <w:w w:val="105"/>
        </w:rPr>
        <w:t>es</w:t>
      </w:r>
      <w:r>
        <w:rPr>
          <w:color w:val="231F20"/>
          <w:spacing w:val="-20"/>
          <w:w w:val="105"/>
        </w:rPr>
        <w:t> </w:t>
      </w:r>
      <w:r>
        <w:rPr>
          <w:color w:val="231F20"/>
          <w:w w:val="105"/>
        </w:rPr>
        <w:t>superior</w:t>
      </w:r>
      <w:r>
        <w:rPr>
          <w:color w:val="231F20"/>
          <w:spacing w:val="-20"/>
          <w:w w:val="105"/>
        </w:rPr>
        <w:t> </w:t>
      </w:r>
      <w:r>
        <w:rPr>
          <w:color w:val="231F20"/>
          <w:w w:val="105"/>
        </w:rPr>
        <w:t>la</w:t>
      </w:r>
      <w:r>
        <w:rPr>
          <w:color w:val="231F20"/>
          <w:spacing w:val="-20"/>
          <w:w w:val="105"/>
        </w:rPr>
        <w:t> </w:t>
      </w:r>
      <w:r>
        <w:rPr>
          <w:color w:val="231F20"/>
          <w:w w:val="105"/>
        </w:rPr>
        <w:t>proporción</w:t>
      </w:r>
      <w:r>
        <w:rPr>
          <w:color w:val="231F20"/>
          <w:spacing w:val="-20"/>
          <w:w w:val="105"/>
        </w:rPr>
        <w:t> </w:t>
      </w:r>
      <w:r>
        <w:rPr>
          <w:color w:val="231F20"/>
          <w:w w:val="105"/>
        </w:rPr>
        <w:t>de</w:t>
      </w:r>
      <w:r>
        <w:rPr>
          <w:color w:val="231F20"/>
          <w:spacing w:val="-20"/>
          <w:w w:val="105"/>
        </w:rPr>
        <w:t> </w:t>
      </w:r>
      <w:r>
        <w:rPr>
          <w:color w:val="231F20"/>
          <w:w w:val="105"/>
        </w:rPr>
        <w:t>mujeres</w:t>
      </w:r>
      <w:r>
        <w:rPr>
          <w:color w:val="231F20"/>
          <w:spacing w:val="-20"/>
          <w:w w:val="105"/>
        </w:rPr>
        <w:t> </w:t>
      </w:r>
      <w:r>
        <w:rPr>
          <w:color w:val="231F20"/>
          <w:w w:val="105"/>
        </w:rPr>
        <w:t>migrantes</w:t>
      </w:r>
      <w:r>
        <w:rPr>
          <w:color w:val="231F20"/>
          <w:spacing w:val="-20"/>
          <w:w w:val="105"/>
        </w:rPr>
        <w:t> </w:t>
      </w:r>
      <w:r>
        <w:rPr>
          <w:color w:val="231F20"/>
          <w:w w:val="105"/>
        </w:rPr>
        <w:t>en</w:t>
      </w:r>
      <w:r>
        <w:rPr>
          <w:color w:val="231F20"/>
          <w:spacing w:val="-20"/>
          <w:w w:val="105"/>
        </w:rPr>
        <w:t> </w:t>
      </w:r>
      <w:r>
        <w:rPr>
          <w:color w:val="231F20"/>
          <w:w w:val="105"/>
        </w:rPr>
        <w:t>flujo</w:t>
      </w:r>
      <w:r>
        <w:rPr>
          <w:color w:val="231F20"/>
          <w:spacing w:val="-20"/>
          <w:w w:val="105"/>
        </w:rPr>
        <w:t> </w:t>
      </w:r>
      <w:r>
        <w:rPr>
          <w:color w:val="231F20"/>
          <w:w w:val="105"/>
        </w:rPr>
        <w:t>capta- das</w:t>
      </w:r>
      <w:r>
        <w:rPr>
          <w:color w:val="231F20"/>
          <w:spacing w:val="-27"/>
          <w:w w:val="105"/>
        </w:rPr>
        <w:t> </w:t>
      </w:r>
      <w:r>
        <w:rPr>
          <w:color w:val="231F20"/>
          <w:w w:val="105"/>
        </w:rPr>
        <w:t>por</w:t>
      </w:r>
      <w:r>
        <w:rPr>
          <w:color w:val="231F20"/>
          <w:spacing w:val="-27"/>
          <w:w w:val="105"/>
        </w:rPr>
        <w:t> </w:t>
      </w:r>
      <w:r>
        <w:rPr>
          <w:color w:val="231F20"/>
          <w:w w:val="105"/>
        </w:rPr>
        <w:t>la</w:t>
      </w:r>
      <w:r>
        <w:rPr>
          <w:color w:val="231F20"/>
          <w:spacing w:val="-27"/>
          <w:w w:val="105"/>
        </w:rPr>
        <w:t> </w:t>
      </w:r>
      <w:r>
        <w:rPr>
          <w:color w:val="231F20"/>
          <w:w w:val="105"/>
        </w:rPr>
        <w:t>encuesta</w:t>
      </w:r>
      <w:r>
        <w:rPr>
          <w:color w:val="231F20"/>
          <w:spacing w:val="-27"/>
          <w:w w:val="105"/>
        </w:rPr>
        <w:t> </w:t>
      </w:r>
      <w:r>
        <w:rPr>
          <w:color w:val="231F20"/>
          <w:w w:val="105"/>
        </w:rPr>
        <w:t>(véase</w:t>
      </w:r>
      <w:r>
        <w:rPr>
          <w:color w:val="231F20"/>
          <w:spacing w:val="-27"/>
          <w:w w:val="105"/>
        </w:rPr>
        <w:t> </w:t>
      </w:r>
      <w:r>
        <w:rPr>
          <w:color w:val="231F20"/>
          <w:w w:val="105"/>
        </w:rPr>
        <w:t>cuadro</w:t>
      </w:r>
      <w:r>
        <w:rPr>
          <w:color w:val="231F20"/>
          <w:spacing w:val="-27"/>
          <w:w w:val="105"/>
        </w:rPr>
        <w:t> </w:t>
      </w:r>
      <w:r>
        <w:rPr>
          <w:color w:val="231F20"/>
          <w:w w:val="105"/>
        </w:rPr>
        <w:t>1.2).</w:t>
      </w:r>
    </w:p>
    <w:p>
      <w:pPr>
        <w:pStyle w:val="BodyText"/>
        <w:spacing w:line="261" w:lineRule="auto" w:before="1"/>
        <w:ind w:left="1723" w:right="1834" w:firstLine="567"/>
        <w:jc w:val="both"/>
      </w:pPr>
      <w:r>
        <w:rPr>
          <w:color w:val="231F20"/>
          <w:w w:val="105"/>
        </w:rPr>
        <w:t>Ahora</w:t>
      </w:r>
      <w:r>
        <w:rPr>
          <w:color w:val="231F20"/>
          <w:spacing w:val="-9"/>
          <w:w w:val="105"/>
        </w:rPr>
        <w:t> </w:t>
      </w:r>
      <w:r>
        <w:rPr>
          <w:color w:val="231F20"/>
          <w:w w:val="105"/>
        </w:rPr>
        <w:t>bien,</w:t>
      </w:r>
      <w:r>
        <w:rPr>
          <w:color w:val="231F20"/>
          <w:spacing w:val="-15"/>
          <w:w w:val="105"/>
        </w:rPr>
        <w:t> </w:t>
      </w:r>
      <w:r>
        <w:rPr>
          <w:color w:val="231F20"/>
          <w:w w:val="105"/>
        </w:rPr>
        <w:t>para</w:t>
      </w:r>
      <w:r>
        <w:rPr>
          <w:color w:val="231F20"/>
          <w:spacing w:val="-9"/>
          <w:w w:val="105"/>
        </w:rPr>
        <w:t> </w:t>
      </w:r>
      <w:r>
        <w:rPr>
          <w:color w:val="231F20"/>
          <w:w w:val="105"/>
        </w:rPr>
        <w:t>los</w:t>
      </w:r>
      <w:r>
        <w:rPr>
          <w:color w:val="231F20"/>
          <w:spacing w:val="-9"/>
          <w:w w:val="105"/>
        </w:rPr>
        <w:t> </w:t>
      </w:r>
      <w:r>
        <w:rPr>
          <w:color w:val="231F20"/>
          <w:w w:val="105"/>
        </w:rPr>
        <w:t>migrantes</w:t>
      </w:r>
      <w:r>
        <w:rPr>
          <w:color w:val="231F20"/>
          <w:spacing w:val="-9"/>
          <w:w w:val="105"/>
        </w:rPr>
        <w:t> </w:t>
      </w:r>
      <w:r>
        <w:rPr>
          <w:color w:val="231F20"/>
          <w:w w:val="105"/>
        </w:rPr>
        <w:t>nacidos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Estado</w:t>
      </w:r>
      <w:r>
        <w:rPr>
          <w:color w:val="231F20"/>
          <w:spacing w:val="-9"/>
          <w:w w:val="105"/>
        </w:rPr>
        <w:t> </w:t>
      </w:r>
      <w:r>
        <w:rPr>
          <w:color w:val="231F20"/>
          <w:w w:val="105"/>
        </w:rPr>
        <w:t>de</w:t>
      </w:r>
      <w:r>
        <w:rPr>
          <w:color w:val="231F20"/>
          <w:spacing w:val="-9"/>
          <w:w w:val="105"/>
        </w:rPr>
        <w:t> </w:t>
      </w:r>
      <w:r>
        <w:rPr>
          <w:color w:val="231F20"/>
          <w:w w:val="105"/>
        </w:rPr>
        <w:t>México,</w:t>
      </w:r>
      <w:r>
        <w:rPr>
          <w:color w:val="231F20"/>
          <w:spacing w:val="-15"/>
          <w:w w:val="105"/>
        </w:rPr>
        <w:t> </w:t>
      </w:r>
      <w:r>
        <w:rPr>
          <w:color w:val="231F20"/>
          <w:w w:val="105"/>
        </w:rPr>
        <w:t>la mayor proporción tenía una edad de entre 25 y 29 años cuando fueron entrevistados</w:t>
      </w:r>
      <w:r>
        <w:rPr>
          <w:color w:val="231F20"/>
          <w:spacing w:val="-11"/>
          <w:w w:val="105"/>
        </w:rPr>
        <w:t> </w:t>
      </w:r>
      <w:r>
        <w:rPr>
          <w:color w:val="231F20"/>
          <w:w w:val="105"/>
        </w:rPr>
        <w:t>en</w:t>
      </w:r>
      <w:r>
        <w:rPr>
          <w:color w:val="231F20"/>
          <w:spacing w:val="-11"/>
          <w:w w:val="105"/>
        </w:rPr>
        <w:t> </w:t>
      </w:r>
      <w:r>
        <w:rPr>
          <w:color w:val="231F20"/>
          <w:w w:val="105"/>
        </w:rPr>
        <w:t>2013</w:t>
      </w:r>
      <w:r>
        <w:rPr>
          <w:color w:val="231F20"/>
          <w:spacing w:val="-11"/>
          <w:w w:val="105"/>
        </w:rPr>
        <w:t> </w:t>
      </w:r>
      <w:r>
        <w:rPr>
          <w:color w:val="231F20"/>
          <w:w w:val="105"/>
        </w:rPr>
        <w:t>(14.6%),</w:t>
      </w:r>
      <w:r>
        <w:rPr>
          <w:color w:val="231F20"/>
          <w:spacing w:val="-17"/>
          <w:w w:val="105"/>
        </w:rPr>
        <w:t> </w:t>
      </w:r>
      <w:r>
        <w:rPr>
          <w:color w:val="231F20"/>
          <w:w w:val="105"/>
        </w:rPr>
        <w:t>seguido</w:t>
      </w:r>
      <w:r>
        <w:rPr>
          <w:color w:val="231F20"/>
          <w:spacing w:val="-11"/>
          <w:w w:val="105"/>
        </w:rPr>
        <w:t> </w:t>
      </w:r>
      <w:r>
        <w:rPr>
          <w:color w:val="231F20"/>
          <w:w w:val="105"/>
        </w:rPr>
        <w:t>de</w:t>
      </w:r>
      <w:r>
        <w:rPr>
          <w:color w:val="231F20"/>
          <w:spacing w:val="-11"/>
          <w:w w:val="105"/>
        </w:rPr>
        <w:t> </w:t>
      </w:r>
      <w:r>
        <w:rPr>
          <w:color w:val="231F20"/>
          <w:w w:val="105"/>
        </w:rPr>
        <w:t>aquellos</w:t>
      </w:r>
      <w:r>
        <w:rPr>
          <w:color w:val="231F20"/>
          <w:spacing w:val="-11"/>
          <w:w w:val="105"/>
        </w:rPr>
        <w:t> </w:t>
      </w:r>
      <w:r>
        <w:rPr>
          <w:color w:val="231F20"/>
          <w:w w:val="105"/>
        </w:rPr>
        <w:t>que</w:t>
      </w:r>
      <w:r>
        <w:rPr>
          <w:color w:val="231F20"/>
          <w:spacing w:val="-11"/>
          <w:w w:val="105"/>
        </w:rPr>
        <w:t> </w:t>
      </w:r>
      <w:r>
        <w:rPr>
          <w:color w:val="231F20"/>
          <w:w w:val="105"/>
        </w:rPr>
        <w:t>tenían</w:t>
      </w:r>
      <w:r>
        <w:rPr>
          <w:color w:val="231F20"/>
          <w:spacing w:val="-11"/>
          <w:w w:val="105"/>
        </w:rPr>
        <w:t> </w:t>
      </w:r>
      <w:r>
        <w:rPr>
          <w:color w:val="231F20"/>
          <w:w w:val="105"/>
        </w:rPr>
        <w:t>entre</w:t>
      </w:r>
      <w:r>
        <w:rPr>
          <w:color w:val="231F20"/>
          <w:spacing w:val="-11"/>
          <w:w w:val="105"/>
        </w:rPr>
        <w:t> </w:t>
      </w:r>
      <w:r>
        <w:rPr>
          <w:color w:val="231F20"/>
          <w:w w:val="105"/>
        </w:rPr>
        <w:t>45 y</w:t>
      </w:r>
      <w:r>
        <w:rPr>
          <w:color w:val="231F20"/>
          <w:spacing w:val="-6"/>
          <w:w w:val="105"/>
        </w:rPr>
        <w:t> </w:t>
      </w:r>
      <w:r>
        <w:rPr>
          <w:color w:val="231F20"/>
          <w:w w:val="105"/>
        </w:rPr>
        <w:t>49</w:t>
      </w:r>
      <w:r>
        <w:rPr>
          <w:color w:val="231F20"/>
          <w:spacing w:val="-6"/>
          <w:w w:val="105"/>
        </w:rPr>
        <w:t> </w:t>
      </w:r>
      <w:r>
        <w:rPr>
          <w:color w:val="231F20"/>
          <w:w w:val="105"/>
        </w:rPr>
        <w:t>años,</w:t>
      </w:r>
      <w:r>
        <w:rPr>
          <w:color w:val="231F20"/>
          <w:spacing w:val="-12"/>
          <w:w w:val="105"/>
        </w:rPr>
        <w:t> </w:t>
      </w:r>
      <w:r>
        <w:rPr>
          <w:color w:val="231F20"/>
          <w:w w:val="105"/>
        </w:rPr>
        <w:t>con</w:t>
      </w:r>
      <w:r>
        <w:rPr>
          <w:color w:val="231F20"/>
          <w:spacing w:val="-6"/>
          <w:w w:val="105"/>
        </w:rPr>
        <w:t> </w:t>
      </w:r>
      <w:r>
        <w:rPr>
          <w:color w:val="231F20"/>
          <w:w w:val="105"/>
        </w:rPr>
        <w:t>12.6%.</w:t>
      </w:r>
      <w:r>
        <w:rPr>
          <w:color w:val="231F20"/>
          <w:spacing w:val="-12"/>
          <w:w w:val="105"/>
        </w:rPr>
        <w:t> </w:t>
      </w:r>
      <w:r>
        <w:rPr>
          <w:color w:val="231F20"/>
          <w:w w:val="105"/>
        </w:rPr>
        <w:t>Como</w:t>
      </w:r>
      <w:r>
        <w:rPr>
          <w:color w:val="231F20"/>
          <w:spacing w:val="-6"/>
          <w:w w:val="105"/>
        </w:rPr>
        <w:t> </w:t>
      </w:r>
      <w:r>
        <w:rPr>
          <w:color w:val="231F20"/>
          <w:w w:val="105"/>
        </w:rPr>
        <w:t>lo</w:t>
      </w:r>
      <w:r>
        <w:rPr>
          <w:color w:val="231F20"/>
          <w:spacing w:val="-6"/>
          <w:w w:val="105"/>
        </w:rPr>
        <w:t> </w:t>
      </w:r>
      <w:r>
        <w:rPr>
          <w:color w:val="231F20"/>
          <w:w w:val="105"/>
        </w:rPr>
        <w:t>sucedido</w:t>
      </w:r>
      <w:r>
        <w:rPr>
          <w:color w:val="231F20"/>
          <w:spacing w:val="-6"/>
          <w:w w:val="105"/>
        </w:rPr>
        <w:t> </w:t>
      </w:r>
      <w:r>
        <w:rPr>
          <w:color w:val="231F20"/>
          <w:w w:val="105"/>
        </w:rPr>
        <w:t>a</w:t>
      </w:r>
      <w:r>
        <w:rPr>
          <w:color w:val="231F20"/>
          <w:spacing w:val="-6"/>
          <w:w w:val="105"/>
        </w:rPr>
        <w:t> </w:t>
      </w:r>
      <w:r>
        <w:rPr>
          <w:color w:val="231F20"/>
          <w:w w:val="105"/>
        </w:rPr>
        <w:t>nivel</w:t>
      </w:r>
      <w:r>
        <w:rPr>
          <w:color w:val="231F20"/>
          <w:spacing w:val="-6"/>
          <w:w w:val="105"/>
        </w:rPr>
        <w:t> </w:t>
      </w:r>
      <w:r>
        <w:rPr>
          <w:color w:val="231F20"/>
          <w:w w:val="105"/>
        </w:rPr>
        <w:t>nacional,</w:t>
      </w:r>
      <w:r>
        <w:rPr>
          <w:color w:val="231F20"/>
          <w:spacing w:val="-12"/>
          <w:w w:val="105"/>
        </w:rPr>
        <w:t> </w:t>
      </w:r>
      <w:r>
        <w:rPr>
          <w:color w:val="231F20"/>
          <w:w w:val="105"/>
        </w:rPr>
        <w:t>la</w:t>
      </w:r>
      <w:r>
        <w:rPr>
          <w:color w:val="231F20"/>
          <w:spacing w:val="-6"/>
          <w:w w:val="105"/>
        </w:rPr>
        <w:t> </w:t>
      </w:r>
      <w:r>
        <w:rPr>
          <w:color w:val="231F20"/>
          <w:w w:val="105"/>
        </w:rPr>
        <w:t>menor</w:t>
      </w:r>
      <w:r>
        <w:rPr>
          <w:color w:val="231F20"/>
          <w:spacing w:val="-6"/>
          <w:w w:val="105"/>
        </w:rPr>
        <w:t> </w:t>
      </w:r>
      <w:r>
        <w:rPr>
          <w:color w:val="231F20"/>
          <w:w w:val="105"/>
        </w:rPr>
        <w:t>pro- porción</w:t>
      </w:r>
      <w:r>
        <w:rPr>
          <w:color w:val="231F20"/>
          <w:spacing w:val="-5"/>
          <w:w w:val="105"/>
        </w:rPr>
        <w:t> </w:t>
      </w:r>
      <w:r>
        <w:rPr>
          <w:color w:val="231F20"/>
          <w:w w:val="105"/>
        </w:rPr>
        <w:t>de</w:t>
      </w:r>
      <w:r>
        <w:rPr>
          <w:color w:val="231F20"/>
          <w:spacing w:val="-5"/>
          <w:w w:val="105"/>
        </w:rPr>
        <w:t> </w:t>
      </w:r>
      <w:r>
        <w:rPr>
          <w:color w:val="231F20"/>
          <w:w w:val="105"/>
        </w:rPr>
        <w:t>migrantes</w:t>
      </w:r>
      <w:r>
        <w:rPr>
          <w:color w:val="231F20"/>
          <w:spacing w:val="-5"/>
          <w:w w:val="105"/>
        </w:rPr>
        <w:t> </w:t>
      </w:r>
      <w:r>
        <w:rPr>
          <w:color w:val="231F20"/>
          <w:w w:val="105"/>
        </w:rPr>
        <w:t>tenía</w:t>
      </w:r>
      <w:r>
        <w:rPr>
          <w:color w:val="231F20"/>
          <w:spacing w:val="-5"/>
          <w:w w:val="105"/>
        </w:rPr>
        <w:t> </w:t>
      </w:r>
      <w:r>
        <w:rPr>
          <w:color w:val="231F20"/>
          <w:w w:val="105"/>
        </w:rPr>
        <w:t>una</w:t>
      </w:r>
      <w:r>
        <w:rPr>
          <w:color w:val="231F20"/>
          <w:spacing w:val="-5"/>
          <w:w w:val="105"/>
        </w:rPr>
        <w:t> </w:t>
      </w:r>
      <w:r>
        <w:rPr>
          <w:color w:val="231F20"/>
          <w:w w:val="105"/>
        </w:rPr>
        <w:t>edad</w:t>
      </w:r>
      <w:r>
        <w:rPr>
          <w:color w:val="231F20"/>
          <w:spacing w:val="-5"/>
          <w:w w:val="105"/>
        </w:rPr>
        <w:t> </w:t>
      </w:r>
      <w:r>
        <w:rPr>
          <w:color w:val="231F20"/>
          <w:w w:val="105"/>
        </w:rPr>
        <w:t>entre</w:t>
      </w:r>
      <w:r>
        <w:rPr>
          <w:color w:val="231F20"/>
          <w:spacing w:val="-5"/>
          <w:w w:val="105"/>
        </w:rPr>
        <w:t> </w:t>
      </w:r>
      <w:r>
        <w:rPr>
          <w:color w:val="231F20"/>
          <w:w w:val="105"/>
        </w:rPr>
        <w:t>15</w:t>
      </w:r>
      <w:r>
        <w:rPr>
          <w:color w:val="231F20"/>
          <w:spacing w:val="-5"/>
          <w:w w:val="105"/>
        </w:rPr>
        <w:t> </w:t>
      </w:r>
      <w:r>
        <w:rPr>
          <w:color w:val="231F20"/>
          <w:w w:val="105"/>
        </w:rPr>
        <w:t>y</w:t>
      </w:r>
      <w:r>
        <w:rPr>
          <w:color w:val="231F20"/>
          <w:spacing w:val="-5"/>
          <w:w w:val="105"/>
        </w:rPr>
        <w:t> </w:t>
      </w:r>
      <w:r>
        <w:rPr>
          <w:color w:val="231F20"/>
          <w:w w:val="105"/>
        </w:rPr>
        <w:t>19</w:t>
      </w:r>
      <w:r>
        <w:rPr>
          <w:color w:val="231F20"/>
          <w:spacing w:val="-5"/>
          <w:w w:val="105"/>
        </w:rPr>
        <w:t> </w:t>
      </w:r>
      <w:r>
        <w:rPr>
          <w:color w:val="231F20"/>
          <w:w w:val="105"/>
        </w:rPr>
        <w:t>años</w:t>
      </w:r>
      <w:r>
        <w:rPr>
          <w:color w:val="231F20"/>
          <w:spacing w:val="-5"/>
          <w:w w:val="105"/>
        </w:rPr>
        <w:t> </w:t>
      </w:r>
      <w:r>
        <w:rPr>
          <w:color w:val="231F20"/>
          <w:w w:val="105"/>
        </w:rPr>
        <w:t>de</w:t>
      </w:r>
      <w:r>
        <w:rPr>
          <w:color w:val="231F20"/>
          <w:spacing w:val="-5"/>
          <w:w w:val="105"/>
        </w:rPr>
        <w:t> </w:t>
      </w:r>
      <w:r>
        <w:rPr>
          <w:color w:val="231F20"/>
          <w:w w:val="105"/>
        </w:rPr>
        <w:t>edad</w:t>
      </w:r>
      <w:r>
        <w:rPr>
          <w:color w:val="231F20"/>
          <w:spacing w:val="-5"/>
          <w:w w:val="105"/>
        </w:rPr>
        <w:t> </w:t>
      </w:r>
      <w:r>
        <w:rPr>
          <w:color w:val="231F20"/>
          <w:w w:val="105"/>
        </w:rPr>
        <w:t>al</w:t>
      </w:r>
      <w:r>
        <w:rPr>
          <w:color w:val="231F20"/>
          <w:spacing w:val="-5"/>
          <w:w w:val="105"/>
        </w:rPr>
        <w:t> </w:t>
      </w:r>
      <w:r>
        <w:rPr>
          <w:color w:val="231F20"/>
          <w:w w:val="105"/>
        </w:rPr>
        <w:t>mo- mento</w:t>
      </w:r>
      <w:r>
        <w:rPr>
          <w:color w:val="231F20"/>
          <w:spacing w:val="-20"/>
          <w:w w:val="105"/>
        </w:rPr>
        <w:t> </w:t>
      </w:r>
      <w:r>
        <w:rPr>
          <w:color w:val="231F20"/>
          <w:w w:val="105"/>
        </w:rPr>
        <w:t>del</w:t>
      </w:r>
      <w:r>
        <w:rPr>
          <w:color w:val="231F20"/>
          <w:spacing w:val="-20"/>
          <w:w w:val="105"/>
        </w:rPr>
        <w:t> </w:t>
      </w:r>
      <w:r>
        <w:rPr>
          <w:color w:val="231F20"/>
          <w:w w:val="105"/>
        </w:rPr>
        <w:t>levantamiento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encuesta</w:t>
      </w:r>
      <w:r>
        <w:rPr>
          <w:color w:val="231F20"/>
          <w:spacing w:val="-20"/>
          <w:w w:val="105"/>
        </w:rPr>
        <w:t> </w:t>
      </w:r>
      <w:r>
        <w:rPr>
          <w:color w:val="231F20"/>
          <w:w w:val="105"/>
        </w:rPr>
        <w:t>(véase</w:t>
      </w:r>
      <w:r>
        <w:rPr>
          <w:color w:val="231F20"/>
          <w:spacing w:val="-20"/>
          <w:w w:val="105"/>
        </w:rPr>
        <w:t> </w:t>
      </w:r>
      <w:r>
        <w:rPr>
          <w:color w:val="231F20"/>
          <w:w w:val="105"/>
        </w:rPr>
        <w:t>cuadro</w:t>
      </w:r>
      <w:r>
        <w:rPr>
          <w:color w:val="231F20"/>
          <w:spacing w:val="-20"/>
          <w:w w:val="105"/>
        </w:rPr>
        <w:t> </w:t>
      </w:r>
      <w:r>
        <w:rPr>
          <w:color w:val="231F20"/>
          <w:w w:val="105"/>
        </w:rPr>
        <w:t>1.2).</w:t>
      </w:r>
    </w:p>
    <w:p>
      <w:pPr>
        <w:pStyle w:val="BodyText"/>
        <w:spacing w:before="4"/>
      </w:pPr>
    </w:p>
    <w:p>
      <w:pPr>
        <w:spacing w:line="249" w:lineRule="auto" w:before="0"/>
        <w:ind w:left="3106" w:right="1832" w:hanging="1286"/>
        <w:jc w:val="left"/>
        <w:rPr>
          <w:rFonts w:ascii="Arial" w:hAnsi="Arial"/>
          <w:sz w:val="18"/>
        </w:rPr>
      </w:pPr>
      <w:r>
        <w:rPr>
          <w:rFonts w:ascii="Arial" w:hAnsi="Arial"/>
          <w:color w:val="231F20"/>
          <w:w w:val="105"/>
          <w:sz w:val="18"/>
        </w:rPr>
        <w:t>Cuadro 1.1 Distribución de los migrantes en flujo procedentes de Estados Unidos por entidad federativa de nacimiento y sexo, 2013</w:t>
      </w:r>
    </w:p>
    <w:p>
      <w:pPr>
        <w:pStyle w:val="BodyText"/>
        <w:spacing w:before="9"/>
        <w:rPr>
          <w:rFonts w:ascii="Arial"/>
          <w:sz w:val="12"/>
        </w:rPr>
      </w:pPr>
    </w:p>
    <w:tbl>
      <w:tblPr>
        <w:tblW w:w="0" w:type="auto"/>
        <w:jc w:val="left"/>
        <w:tblInd w:w="169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24"/>
        <w:gridCol w:w="852"/>
        <w:gridCol w:w="825"/>
        <w:gridCol w:w="952"/>
        <w:gridCol w:w="794"/>
        <w:gridCol w:w="725"/>
        <w:gridCol w:w="703"/>
        <w:gridCol w:w="697"/>
      </w:tblGrid>
      <w:tr>
        <w:trPr>
          <w:trHeight w:val="340" w:hRule="exact"/>
        </w:trPr>
        <w:tc>
          <w:tcPr>
            <w:tcW w:w="1424" w:type="dxa"/>
            <w:vMerge w:val="restart"/>
          </w:tcPr>
          <w:p>
            <w:pPr>
              <w:pStyle w:val="TableParagraph"/>
              <w:spacing w:before="1"/>
              <w:rPr>
                <w:rFonts w:ascii="Arial"/>
                <w:sz w:val="14"/>
              </w:rPr>
            </w:pPr>
          </w:p>
          <w:p>
            <w:pPr>
              <w:pStyle w:val="TableParagraph"/>
              <w:spacing w:line="249" w:lineRule="auto" w:before="0"/>
              <w:ind w:left="280" w:right="269" w:firstLine="109"/>
              <w:rPr>
                <w:rFonts w:ascii="Arial"/>
                <w:sz w:val="18"/>
              </w:rPr>
            </w:pPr>
            <w:r>
              <w:rPr>
                <w:rFonts w:ascii="Arial"/>
                <w:color w:val="231F20"/>
                <w:w w:val="105"/>
                <w:sz w:val="18"/>
              </w:rPr>
              <w:t>Entidad </w:t>
            </w:r>
            <w:r>
              <w:rPr>
                <w:rFonts w:ascii="Arial"/>
                <w:color w:val="231F20"/>
                <w:sz w:val="18"/>
              </w:rPr>
              <w:t>Federativa</w:t>
            </w:r>
          </w:p>
        </w:tc>
        <w:tc>
          <w:tcPr>
            <w:tcW w:w="2629" w:type="dxa"/>
            <w:gridSpan w:val="3"/>
          </w:tcPr>
          <w:p>
            <w:pPr>
              <w:pStyle w:val="TableParagraph"/>
              <w:spacing w:before="88"/>
              <w:ind w:left="868"/>
              <w:rPr>
                <w:rFonts w:ascii="Arial"/>
                <w:sz w:val="18"/>
              </w:rPr>
            </w:pPr>
            <w:r>
              <w:rPr>
                <w:rFonts w:ascii="Arial"/>
                <w:color w:val="231F20"/>
                <w:sz w:val="18"/>
              </w:rPr>
              <w:t>Frecuencia</w:t>
            </w:r>
          </w:p>
        </w:tc>
        <w:tc>
          <w:tcPr>
            <w:tcW w:w="2222" w:type="dxa"/>
            <w:gridSpan w:val="3"/>
          </w:tcPr>
          <w:p>
            <w:pPr>
              <w:pStyle w:val="TableParagraph"/>
              <w:spacing w:before="88"/>
              <w:ind w:left="677"/>
              <w:rPr>
                <w:rFonts w:ascii="Arial"/>
                <w:sz w:val="18"/>
              </w:rPr>
            </w:pPr>
            <w:r>
              <w:rPr>
                <w:rFonts w:ascii="Arial"/>
                <w:color w:val="231F20"/>
                <w:w w:val="105"/>
                <w:sz w:val="18"/>
              </w:rPr>
              <w:t>Porcentaje</w:t>
            </w:r>
          </w:p>
        </w:tc>
        <w:tc>
          <w:tcPr>
            <w:tcW w:w="697" w:type="dxa"/>
            <w:vMerge w:val="restart"/>
          </w:tcPr>
          <w:p>
            <w:pPr>
              <w:pStyle w:val="TableParagraph"/>
              <w:spacing w:line="249" w:lineRule="auto" w:before="87"/>
              <w:ind w:left="80" w:right="78"/>
              <w:jc w:val="center"/>
              <w:rPr>
                <w:rFonts w:ascii="Arial"/>
                <w:sz w:val="16"/>
              </w:rPr>
            </w:pPr>
            <w:r>
              <w:rPr>
                <w:rFonts w:ascii="Arial"/>
                <w:color w:val="231F20"/>
                <w:w w:val="105"/>
                <w:sz w:val="16"/>
              </w:rPr>
              <w:t>Por- </w:t>
            </w:r>
            <w:r>
              <w:rPr>
                <w:rFonts w:ascii="Arial"/>
                <w:color w:val="231F20"/>
                <w:sz w:val="16"/>
              </w:rPr>
              <w:t>centaje </w:t>
            </w:r>
            <w:r>
              <w:rPr>
                <w:rFonts w:ascii="Arial"/>
                <w:color w:val="231F20"/>
                <w:w w:val="105"/>
                <w:sz w:val="16"/>
              </w:rPr>
              <w:t>total</w:t>
            </w:r>
          </w:p>
        </w:tc>
      </w:tr>
      <w:tr>
        <w:trPr>
          <w:trHeight w:val="364" w:hRule="exact"/>
        </w:trPr>
        <w:tc>
          <w:tcPr>
            <w:tcW w:w="1424" w:type="dxa"/>
            <w:vMerge/>
          </w:tcPr>
          <w:p>
            <w:pPr/>
          </w:p>
        </w:tc>
        <w:tc>
          <w:tcPr>
            <w:tcW w:w="852" w:type="dxa"/>
          </w:tcPr>
          <w:p>
            <w:pPr>
              <w:pStyle w:val="TableParagraph"/>
              <w:spacing w:before="100"/>
              <w:ind w:left="85"/>
              <w:rPr>
                <w:rFonts w:ascii="Arial"/>
                <w:sz w:val="18"/>
              </w:rPr>
            </w:pPr>
            <w:r>
              <w:rPr>
                <w:rFonts w:ascii="Arial"/>
                <w:color w:val="231F20"/>
                <w:w w:val="105"/>
                <w:sz w:val="18"/>
              </w:rPr>
              <w:t>Hombre</w:t>
            </w:r>
          </w:p>
        </w:tc>
        <w:tc>
          <w:tcPr>
            <w:tcW w:w="825" w:type="dxa"/>
          </w:tcPr>
          <w:p>
            <w:pPr>
              <w:pStyle w:val="TableParagraph"/>
              <w:spacing w:before="100"/>
              <w:ind w:right="169"/>
              <w:jc w:val="right"/>
              <w:rPr>
                <w:rFonts w:ascii="Arial"/>
                <w:sz w:val="18"/>
              </w:rPr>
            </w:pPr>
            <w:r>
              <w:rPr>
                <w:rFonts w:ascii="Arial"/>
                <w:color w:val="231F20"/>
                <w:w w:val="105"/>
                <w:sz w:val="18"/>
              </w:rPr>
              <w:t>Mujer</w:t>
            </w:r>
          </w:p>
        </w:tc>
        <w:tc>
          <w:tcPr>
            <w:tcW w:w="952" w:type="dxa"/>
          </w:tcPr>
          <w:p>
            <w:pPr>
              <w:pStyle w:val="TableParagraph"/>
              <w:spacing w:before="100"/>
              <w:ind w:left="275"/>
              <w:rPr>
                <w:rFonts w:ascii="Arial"/>
                <w:sz w:val="18"/>
              </w:rPr>
            </w:pPr>
            <w:r>
              <w:rPr>
                <w:rFonts w:ascii="Arial"/>
                <w:color w:val="231F20"/>
                <w:w w:val="105"/>
                <w:sz w:val="18"/>
              </w:rPr>
              <w:t>Total</w:t>
            </w:r>
          </w:p>
        </w:tc>
        <w:tc>
          <w:tcPr>
            <w:tcW w:w="794" w:type="dxa"/>
          </w:tcPr>
          <w:p>
            <w:pPr>
              <w:pStyle w:val="TableParagraph"/>
              <w:spacing w:before="100"/>
              <w:ind w:left="38" w:right="38"/>
              <w:jc w:val="center"/>
              <w:rPr>
                <w:rFonts w:ascii="Arial"/>
                <w:sz w:val="18"/>
              </w:rPr>
            </w:pPr>
            <w:r>
              <w:rPr>
                <w:rFonts w:ascii="Arial"/>
                <w:color w:val="231F20"/>
                <w:w w:val="105"/>
                <w:sz w:val="18"/>
              </w:rPr>
              <w:t>Hombre</w:t>
            </w:r>
          </w:p>
        </w:tc>
        <w:tc>
          <w:tcPr>
            <w:tcW w:w="725" w:type="dxa"/>
          </w:tcPr>
          <w:p>
            <w:pPr>
              <w:pStyle w:val="TableParagraph"/>
              <w:spacing w:before="100"/>
              <w:ind w:right="119"/>
              <w:jc w:val="right"/>
              <w:rPr>
                <w:rFonts w:ascii="Arial"/>
                <w:sz w:val="18"/>
              </w:rPr>
            </w:pPr>
            <w:r>
              <w:rPr>
                <w:rFonts w:ascii="Arial"/>
                <w:color w:val="231F20"/>
                <w:w w:val="105"/>
                <w:sz w:val="18"/>
              </w:rPr>
              <w:t>Mujer</w:t>
            </w:r>
          </w:p>
        </w:tc>
        <w:tc>
          <w:tcPr>
            <w:tcW w:w="703" w:type="dxa"/>
          </w:tcPr>
          <w:p>
            <w:pPr>
              <w:pStyle w:val="TableParagraph"/>
              <w:spacing w:before="100"/>
              <w:ind w:right="150"/>
              <w:jc w:val="right"/>
              <w:rPr>
                <w:rFonts w:ascii="Arial"/>
                <w:sz w:val="18"/>
              </w:rPr>
            </w:pPr>
            <w:r>
              <w:rPr>
                <w:rFonts w:ascii="Arial"/>
                <w:color w:val="231F20"/>
                <w:w w:val="105"/>
                <w:sz w:val="18"/>
              </w:rPr>
              <w:t>Total</w:t>
            </w:r>
          </w:p>
        </w:tc>
        <w:tc>
          <w:tcPr>
            <w:tcW w:w="697" w:type="dxa"/>
            <w:vMerge/>
          </w:tcPr>
          <w:p>
            <w:pPr/>
          </w:p>
        </w:tc>
      </w:tr>
      <w:tr>
        <w:trPr>
          <w:trHeight w:val="340" w:hRule="exact"/>
        </w:trPr>
        <w:tc>
          <w:tcPr>
            <w:tcW w:w="1424" w:type="dxa"/>
          </w:tcPr>
          <w:p>
            <w:pPr>
              <w:pStyle w:val="TableParagraph"/>
              <w:spacing w:before="88"/>
              <w:ind w:left="77"/>
              <w:rPr>
                <w:rFonts w:ascii="Arial"/>
                <w:sz w:val="18"/>
              </w:rPr>
            </w:pPr>
            <w:r>
              <w:rPr>
                <w:rFonts w:ascii="Arial"/>
                <w:color w:val="231F20"/>
                <w:w w:val="105"/>
                <w:sz w:val="18"/>
              </w:rPr>
              <w:t>Aguascalientes</w:t>
            </w:r>
          </w:p>
        </w:tc>
        <w:tc>
          <w:tcPr>
            <w:tcW w:w="852" w:type="dxa"/>
          </w:tcPr>
          <w:p>
            <w:pPr>
              <w:pStyle w:val="TableParagraph"/>
              <w:ind w:left="116"/>
              <w:rPr>
                <w:sz w:val="18"/>
              </w:rPr>
            </w:pPr>
            <w:r>
              <w:rPr>
                <w:color w:val="231F20"/>
                <w:w w:val="105"/>
                <w:sz w:val="18"/>
              </w:rPr>
              <w:t>14 719</w:t>
            </w:r>
          </w:p>
        </w:tc>
        <w:tc>
          <w:tcPr>
            <w:tcW w:w="825" w:type="dxa"/>
          </w:tcPr>
          <w:p>
            <w:pPr>
              <w:pStyle w:val="TableParagraph"/>
              <w:ind w:right="166"/>
              <w:jc w:val="right"/>
              <w:rPr>
                <w:sz w:val="18"/>
              </w:rPr>
            </w:pPr>
            <w:r>
              <w:rPr>
                <w:color w:val="231F20"/>
                <w:w w:val="105"/>
                <w:sz w:val="18"/>
              </w:rPr>
              <w:t>7 287</w:t>
            </w:r>
          </w:p>
        </w:tc>
        <w:tc>
          <w:tcPr>
            <w:tcW w:w="952" w:type="dxa"/>
          </w:tcPr>
          <w:p>
            <w:pPr>
              <w:pStyle w:val="TableParagraph"/>
              <w:ind w:left="216"/>
              <w:rPr>
                <w:sz w:val="18"/>
              </w:rPr>
            </w:pPr>
            <w:r>
              <w:rPr>
                <w:color w:val="231F20"/>
                <w:w w:val="105"/>
                <w:sz w:val="18"/>
              </w:rPr>
              <w:t>22 006</w:t>
            </w:r>
          </w:p>
        </w:tc>
        <w:tc>
          <w:tcPr>
            <w:tcW w:w="794" w:type="dxa"/>
          </w:tcPr>
          <w:p>
            <w:pPr>
              <w:pStyle w:val="TableParagraph"/>
              <w:ind w:left="133" w:right="38"/>
              <w:jc w:val="center"/>
              <w:rPr>
                <w:sz w:val="18"/>
              </w:rPr>
            </w:pPr>
            <w:r>
              <w:rPr>
                <w:color w:val="231F20"/>
                <w:w w:val="105"/>
                <w:sz w:val="18"/>
              </w:rPr>
              <w:t>66.9</w:t>
            </w:r>
          </w:p>
        </w:tc>
        <w:tc>
          <w:tcPr>
            <w:tcW w:w="725" w:type="dxa"/>
          </w:tcPr>
          <w:p>
            <w:pPr>
              <w:pStyle w:val="TableParagraph"/>
              <w:ind w:right="166"/>
              <w:jc w:val="right"/>
              <w:rPr>
                <w:sz w:val="18"/>
              </w:rPr>
            </w:pPr>
            <w:r>
              <w:rPr>
                <w:color w:val="231F20"/>
                <w:sz w:val="18"/>
              </w:rPr>
              <w:t>33.1</w:t>
            </w:r>
          </w:p>
        </w:tc>
        <w:tc>
          <w:tcPr>
            <w:tcW w:w="703" w:type="dxa"/>
          </w:tcPr>
          <w:p>
            <w:pPr>
              <w:pStyle w:val="TableParagraph"/>
              <w:ind w:right="168"/>
              <w:jc w:val="right"/>
              <w:rPr>
                <w:sz w:val="18"/>
              </w:rPr>
            </w:pPr>
            <w:r>
              <w:rPr>
                <w:color w:val="231F20"/>
                <w:sz w:val="18"/>
              </w:rPr>
              <w:t>100.0</w:t>
            </w:r>
          </w:p>
        </w:tc>
        <w:tc>
          <w:tcPr>
            <w:tcW w:w="697" w:type="dxa"/>
          </w:tcPr>
          <w:p>
            <w:pPr>
              <w:pStyle w:val="TableParagraph"/>
              <w:ind w:right="166"/>
              <w:jc w:val="right"/>
              <w:rPr>
                <w:sz w:val="18"/>
              </w:rPr>
            </w:pPr>
            <w:r>
              <w:rPr>
                <w:color w:val="231F20"/>
                <w:sz w:val="18"/>
              </w:rPr>
              <w:t>1.3</w:t>
            </w:r>
          </w:p>
        </w:tc>
      </w:tr>
      <w:tr>
        <w:trPr>
          <w:trHeight w:val="340" w:hRule="exact"/>
        </w:trPr>
        <w:tc>
          <w:tcPr>
            <w:tcW w:w="1424" w:type="dxa"/>
          </w:tcPr>
          <w:p>
            <w:pPr>
              <w:pStyle w:val="TableParagraph"/>
              <w:spacing w:before="88"/>
              <w:ind w:left="77"/>
              <w:rPr>
                <w:rFonts w:ascii="Arial"/>
                <w:sz w:val="18"/>
              </w:rPr>
            </w:pPr>
            <w:r>
              <w:rPr>
                <w:rFonts w:ascii="Arial"/>
                <w:color w:val="231F20"/>
                <w:sz w:val="18"/>
              </w:rPr>
              <w:t>Baja California</w:t>
            </w:r>
          </w:p>
        </w:tc>
        <w:tc>
          <w:tcPr>
            <w:tcW w:w="852" w:type="dxa"/>
          </w:tcPr>
          <w:p>
            <w:pPr>
              <w:pStyle w:val="TableParagraph"/>
              <w:ind w:left="220"/>
              <w:rPr>
                <w:sz w:val="18"/>
              </w:rPr>
            </w:pPr>
            <w:r>
              <w:rPr>
                <w:color w:val="231F20"/>
                <w:w w:val="105"/>
                <w:sz w:val="18"/>
              </w:rPr>
              <w:t>3 695</w:t>
            </w:r>
          </w:p>
        </w:tc>
        <w:tc>
          <w:tcPr>
            <w:tcW w:w="825" w:type="dxa"/>
          </w:tcPr>
          <w:p>
            <w:pPr>
              <w:pStyle w:val="TableParagraph"/>
              <w:ind w:right="166"/>
              <w:jc w:val="right"/>
              <w:rPr>
                <w:sz w:val="18"/>
              </w:rPr>
            </w:pPr>
            <w:r>
              <w:rPr>
                <w:color w:val="231F20"/>
                <w:w w:val="105"/>
                <w:sz w:val="18"/>
              </w:rPr>
              <w:t>2 060</w:t>
            </w:r>
          </w:p>
        </w:tc>
        <w:tc>
          <w:tcPr>
            <w:tcW w:w="952" w:type="dxa"/>
          </w:tcPr>
          <w:p>
            <w:pPr>
              <w:pStyle w:val="TableParagraph"/>
              <w:ind w:left="319"/>
              <w:rPr>
                <w:sz w:val="18"/>
              </w:rPr>
            </w:pPr>
            <w:r>
              <w:rPr>
                <w:color w:val="231F20"/>
                <w:w w:val="105"/>
                <w:sz w:val="18"/>
              </w:rPr>
              <w:t>5 755</w:t>
            </w:r>
          </w:p>
        </w:tc>
        <w:tc>
          <w:tcPr>
            <w:tcW w:w="794" w:type="dxa"/>
          </w:tcPr>
          <w:p>
            <w:pPr>
              <w:pStyle w:val="TableParagraph"/>
              <w:ind w:left="132" w:right="38"/>
              <w:jc w:val="center"/>
              <w:rPr>
                <w:sz w:val="18"/>
              </w:rPr>
            </w:pPr>
            <w:r>
              <w:rPr>
                <w:color w:val="231F20"/>
                <w:w w:val="105"/>
                <w:sz w:val="18"/>
              </w:rPr>
              <w:t>64.2</w:t>
            </w:r>
          </w:p>
        </w:tc>
        <w:tc>
          <w:tcPr>
            <w:tcW w:w="725" w:type="dxa"/>
          </w:tcPr>
          <w:p>
            <w:pPr>
              <w:pStyle w:val="TableParagraph"/>
              <w:ind w:right="166"/>
              <w:jc w:val="right"/>
              <w:rPr>
                <w:sz w:val="18"/>
              </w:rPr>
            </w:pPr>
            <w:r>
              <w:rPr>
                <w:color w:val="231F20"/>
                <w:sz w:val="18"/>
              </w:rPr>
              <w:t>35.8</w:t>
            </w:r>
          </w:p>
        </w:tc>
        <w:tc>
          <w:tcPr>
            <w:tcW w:w="703" w:type="dxa"/>
          </w:tcPr>
          <w:p>
            <w:pPr>
              <w:pStyle w:val="TableParagraph"/>
              <w:ind w:right="168"/>
              <w:jc w:val="right"/>
              <w:rPr>
                <w:sz w:val="18"/>
              </w:rPr>
            </w:pPr>
            <w:r>
              <w:rPr>
                <w:color w:val="231F20"/>
                <w:sz w:val="18"/>
              </w:rPr>
              <w:t>100.0</w:t>
            </w:r>
          </w:p>
        </w:tc>
        <w:tc>
          <w:tcPr>
            <w:tcW w:w="697" w:type="dxa"/>
          </w:tcPr>
          <w:p>
            <w:pPr>
              <w:pStyle w:val="TableParagraph"/>
              <w:ind w:right="167"/>
              <w:jc w:val="right"/>
              <w:rPr>
                <w:sz w:val="18"/>
              </w:rPr>
            </w:pPr>
            <w:r>
              <w:rPr>
                <w:color w:val="231F20"/>
                <w:sz w:val="18"/>
              </w:rPr>
              <w:t>0.4</w:t>
            </w:r>
          </w:p>
        </w:tc>
      </w:tr>
      <w:tr>
        <w:trPr>
          <w:trHeight w:val="556" w:hRule="exact"/>
        </w:trPr>
        <w:tc>
          <w:tcPr>
            <w:tcW w:w="1424" w:type="dxa"/>
          </w:tcPr>
          <w:p>
            <w:pPr>
              <w:pStyle w:val="TableParagraph"/>
              <w:spacing w:line="249" w:lineRule="auto" w:before="88"/>
              <w:ind w:left="76"/>
              <w:rPr>
                <w:rFonts w:ascii="Arial"/>
                <w:sz w:val="18"/>
              </w:rPr>
            </w:pPr>
            <w:r>
              <w:rPr>
                <w:rFonts w:ascii="Arial"/>
                <w:color w:val="231F20"/>
                <w:w w:val="105"/>
                <w:sz w:val="18"/>
              </w:rPr>
              <w:t>Baja California Sur</w:t>
            </w:r>
          </w:p>
        </w:tc>
        <w:tc>
          <w:tcPr>
            <w:tcW w:w="852" w:type="dxa"/>
          </w:tcPr>
          <w:p>
            <w:pPr>
              <w:pStyle w:val="TableParagraph"/>
              <w:ind w:left="367"/>
              <w:rPr>
                <w:sz w:val="18"/>
              </w:rPr>
            </w:pPr>
            <w:r>
              <w:rPr>
                <w:color w:val="231F20"/>
                <w:w w:val="105"/>
                <w:sz w:val="18"/>
              </w:rPr>
              <w:t>814</w:t>
            </w:r>
          </w:p>
        </w:tc>
        <w:tc>
          <w:tcPr>
            <w:tcW w:w="825" w:type="dxa"/>
          </w:tcPr>
          <w:p>
            <w:pPr>
              <w:pStyle w:val="TableParagraph"/>
              <w:ind w:right="167"/>
              <w:jc w:val="right"/>
              <w:rPr>
                <w:sz w:val="18"/>
              </w:rPr>
            </w:pPr>
            <w:r>
              <w:rPr>
                <w:color w:val="231F20"/>
                <w:w w:val="105"/>
                <w:sz w:val="18"/>
              </w:rPr>
              <w:t>1 328</w:t>
            </w:r>
          </w:p>
        </w:tc>
        <w:tc>
          <w:tcPr>
            <w:tcW w:w="952" w:type="dxa"/>
          </w:tcPr>
          <w:p>
            <w:pPr>
              <w:pStyle w:val="TableParagraph"/>
              <w:ind w:left="319"/>
              <w:rPr>
                <w:sz w:val="18"/>
              </w:rPr>
            </w:pPr>
            <w:r>
              <w:rPr>
                <w:color w:val="231F20"/>
                <w:w w:val="105"/>
                <w:sz w:val="18"/>
              </w:rPr>
              <w:t>2 142</w:t>
            </w:r>
          </w:p>
        </w:tc>
        <w:tc>
          <w:tcPr>
            <w:tcW w:w="794" w:type="dxa"/>
          </w:tcPr>
          <w:p>
            <w:pPr>
              <w:pStyle w:val="TableParagraph"/>
              <w:ind w:left="131" w:right="38"/>
              <w:jc w:val="center"/>
              <w:rPr>
                <w:sz w:val="18"/>
              </w:rPr>
            </w:pPr>
            <w:r>
              <w:rPr>
                <w:color w:val="231F20"/>
                <w:w w:val="105"/>
                <w:sz w:val="18"/>
              </w:rPr>
              <w:t>38.0</w:t>
            </w:r>
          </w:p>
        </w:tc>
        <w:tc>
          <w:tcPr>
            <w:tcW w:w="725" w:type="dxa"/>
          </w:tcPr>
          <w:p>
            <w:pPr>
              <w:pStyle w:val="TableParagraph"/>
              <w:ind w:right="167"/>
              <w:jc w:val="right"/>
              <w:rPr>
                <w:sz w:val="18"/>
              </w:rPr>
            </w:pPr>
            <w:r>
              <w:rPr>
                <w:color w:val="231F20"/>
                <w:sz w:val="18"/>
              </w:rPr>
              <w:t>62.0</w:t>
            </w:r>
          </w:p>
        </w:tc>
        <w:tc>
          <w:tcPr>
            <w:tcW w:w="703" w:type="dxa"/>
          </w:tcPr>
          <w:p>
            <w:pPr>
              <w:pStyle w:val="TableParagraph"/>
              <w:ind w:right="168"/>
              <w:jc w:val="right"/>
              <w:rPr>
                <w:sz w:val="18"/>
              </w:rPr>
            </w:pPr>
            <w:r>
              <w:rPr>
                <w:color w:val="231F20"/>
                <w:sz w:val="18"/>
              </w:rPr>
              <w:t>100.0</w:t>
            </w:r>
          </w:p>
        </w:tc>
        <w:tc>
          <w:tcPr>
            <w:tcW w:w="697" w:type="dxa"/>
          </w:tcPr>
          <w:p>
            <w:pPr>
              <w:pStyle w:val="TableParagraph"/>
              <w:ind w:right="167"/>
              <w:jc w:val="right"/>
              <w:rPr>
                <w:sz w:val="18"/>
              </w:rPr>
            </w:pPr>
            <w:r>
              <w:rPr>
                <w:color w:val="231F20"/>
                <w:sz w:val="18"/>
              </w:rPr>
              <w:t>0.1</w:t>
            </w:r>
          </w:p>
        </w:tc>
      </w:tr>
      <w:tr>
        <w:trPr>
          <w:trHeight w:val="340" w:hRule="exact"/>
        </w:trPr>
        <w:tc>
          <w:tcPr>
            <w:tcW w:w="1424" w:type="dxa"/>
          </w:tcPr>
          <w:p>
            <w:pPr>
              <w:pStyle w:val="TableParagraph"/>
              <w:spacing w:before="89"/>
              <w:ind w:left="76" w:right="269"/>
              <w:rPr>
                <w:rFonts w:ascii="Arial"/>
                <w:sz w:val="18"/>
              </w:rPr>
            </w:pPr>
            <w:r>
              <w:rPr>
                <w:rFonts w:ascii="Arial"/>
                <w:color w:val="231F20"/>
                <w:w w:val="105"/>
                <w:sz w:val="18"/>
              </w:rPr>
              <w:t>Campeche</w:t>
            </w:r>
          </w:p>
        </w:tc>
        <w:tc>
          <w:tcPr>
            <w:tcW w:w="852" w:type="dxa"/>
          </w:tcPr>
          <w:p>
            <w:pPr>
              <w:pStyle w:val="TableParagraph"/>
              <w:ind w:left="219"/>
              <w:rPr>
                <w:sz w:val="18"/>
              </w:rPr>
            </w:pPr>
            <w:r>
              <w:rPr>
                <w:color w:val="231F20"/>
                <w:w w:val="105"/>
                <w:sz w:val="18"/>
              </w:rPr>
              <w:t>2 413</w:t>
            </w:r>
          </w:p>
        </w:tc>
        <w:tc>
          <w:tcPr>
            <w:tcW w:w="825" w:type="dxa"/>
          </w:tcPr>
          <w:p>
            <w:pPr>
              <w:pStyle w:val="TableParagraph"/>
              <w:ind w:right="167"/>
              <w:jc w:val="right"/>
              <w:rPr>
                <w:sz w:val="18"/>
              </w:rPr>
            </w:pPr>
            <w:r>
              <w:rPr>
                <w:color w:val="231F20"/>
                <w:w w:val="105"/>
                <w:sz w:val="18"/>
              </w:rPr>
              <w:t>1 176</w:t>
            </w:r>
          </w:p>
        </w:tc>
        <w:tc>
          <w:tcPr>
            <w:tcW w:w="952" w:type="dxa"/>
          </w:tcPr>
          <w:p>
            <w:pPr>
              <w:pStyle w:val="TableParagraph"/>
              <w:ind w:left="319"/>
              <w:rPr>
                <w:sz w:val="18"/>
              </w:rPr>
            </w:pPr>
            <w:r>
              <w:rPr>
                <w:color w:val="231F20"/>
                <w:w w:val="105"/>
                <w:sz w:val="18"/>
              </w:rPr>
              <w:t>3 590</w:t>
            </w:r>
          </w:p>
        </w:tc>
        <w:tc>
          <w:tcPr>
            <w:tcW w:w="794" w:type="dxa"/>
          </w:tcPr>
          <w:p>
            <w:pPr>
              <w:pStyle w:val="TableParagraph"/>
              <w:ind w:left="131" w:right="38"/>
              <w:jc w:val="center"/>
              <w:rPr>
                <w:sz w:val="18"/>
              </w:rPr>
            </w:pPr>
            <w:r>
              <w:rPr>
                <w:color w:val="231F20"/>
                <w:w w:val="105"/>
                <w:sz w:val="18"/>
              </w:rPr>
              <w:t>67.2</w:t>
            </w:r>
          </w:p>
        </w:tc>
        <w:tc>
          <w:tcPr>
            <w:tcW w:w="725" w:type="dxa"/>
          </w:tcPr>
          <w:p>
            <w:pPr>
              <w:pStyle w:val="TableParagraph"/>
              <w:ind w:right="167"/>
              <w:jc w:val="right"/>
              <w:rPr>
                <w:sz w:val="18"/>
              </w:rPr>
            </w:pPr>
            <w:r>
              <w:rPr>
                <w:color w:val="231F20"/>
                <w:sz w:val="18"/>
              </w:rPr>
              <w:t>32.8</w:t>
            </w:r>
          </w:p>
        </w:tc>
        <w:tc>
          <w:tcPr>
            <w:tcW w:w="703" w:type="dxa"/>
          </w:tcPr>
          <w:p>
            <w:pPr>
              <w:pStyle w:val="TableParagraph"/>
              <w:ind w:right="169"/>
              <w:jc w:val="right"/>
              <w:rPr>
                <w:sz w:val="18"/>
              </w:rPr>
            </w:pPr>
            <w:r>
              <w:rPr>
                <w:color w:val="231F20"/>
                <w:sz w:val="18"/>
              </w:rPr>
              <w:t>100.0</w:t>
            </w:r>
          </w:p>
        </w:tc>
        <w:tc>
          <w:tcPr>
            <w:tcW w:w="697" w:type="dxa"/>
          </w:tcPr>
          <w:p>
            <w:pPr>
              <w:pStyle w:val="TableParagraph"/>
              <w:ind w:right="167"/>
              <w:jc w:val="right"/>
              <w:rPr>
                <w:sz w:val="18"/>
              </w:rPr>
            </w:pPr>
            <w:r>
              <w:rPr>
                <w:color w:val="231F20"/>
                <w:sz w:val="18"/>
              </w:rPr>
              <w:t>0.2</w:t>
            </w:r>
          </w:p>
        </w:tc>
      </w:tr>
      <w:tr>
        <w:trPr>
          <w:trHeight w:val="340" w:hRule="exact"/>
        </w:trPr>
        <w:tc>
          <w:tcPr>
            <w:tcW w:w="1424" w:type="dxa"/>
          </w:tcPr>
          <w:p>
            <w:pPr>
              <w:pStyle w:val="TableParagraph"/>
              <w:spacing w:before="89"/>
              <w:ind w:left="76" w:right="269"/>
              <w:rPr>
                <w:rFonts w:ascii="Arial"/>
                <w:sz w:val="18"/>
              </w:rPr>
            </w:pPr>
            <w:r>
              <w:rPr>
                <w:rFonts w:ascii="Arial"/>
                <w:color w:val="231F20"/>
                <w:w w:val="105"/>
                <w:sz w:val="18"/>
              </w:rPr>
              <w:t>Coahuila</w:t>
            </w:r>
          </w:p>
        </w:tc>
        <w:tc>
          <w:tcPr>
            <w:tcW w:w="852" w:type="dxa"/>
          </w:tcPr>
          <w:p>
            <w:pPr>
              <w:pStyle w:val="TableParagraph"/>
              <w:ind w:left="115"/>
              <w:rPr>
                <w:sz w:val="18"/>
              </w:rPr>
            </w:pPr>
            <w:r>
              <w:rPr>
                <w:color w:val="231F20"/>
                <w:w w:val="105"/>
                <w:sz w:val="18"/>
              </w:rPr>
              <w:t>24 242</w:t>
            </w:r>
          </w:p>
        </w:tc>
        <w:tc>
          <w:tcPr>
            <w:tcW w:w="825" w:type="dxa"/>
          </w:tcPr>
          <w:p>
            <w:pPr>
              <w:pStyle w:val="TableParagraph"/>
              <w:ind w:right="167"/>
              <w:jc w:val="right"/>
              <w:rPr>
                <w:sz w:val="18"/>
              </w:rPr>
            </w:pPr>
            <w:r>
              <w:rPr>
                <w:color w:val="231F20"/>
                <w:w w:val="105"/>
                <w:sz w:val="18"/>
              </w:rPr>
              <w:t>13 315</w:t>
            </w:r>
          </w:p>
        </w:tc>
        <w:tc>
          <w:tcPr>
            <w:tcW w:w="952" w:type="dxa"/>
          </w:tcPr>
          <w:p>
            <w:pPr>
              <w:pStyle w:val="TableParagraph"/>
              <w:ind w:left="215"/>
              <w:rPr>
                <w:sz w:val="18"/>
              </w:rPr>
            </w:pPr>
            <w:r>
              <w:rPr>
                <w:color w:val="231F20"/>
                <w:w w:val="105"/>
                <w:sz w:val="18"/>
              </w:rPr>
              <w:t>37 557</w:t>
            </w:r>
          </w:p>
        </w:tc>
        <w:tc>
          <w:tcPr>
            <w:tcW w:w="794" w:type="dxa"/>
          </w:tcPr>
          <w:p>
            <w:pPr>
              <w:pStyle w:val="TableParagraph"/>
              <w:ind w:left="130" w:right="38"/>
              <w:jc w:val="center"/>
              <w:rPr>
                <w:sz w:val="18"/>
              </w:rPr>
            </w:pPr>
            <w:r>
              <w:rPr>
                <w:color w:val="231F20"/>
                <w:w w:val="105"/>
                <w:sz w:val="18"/>
              </w:rPr>
              <w:t>64.5</w:t>
            </w:r>
          </w:p>
        </w:tc>
        <w:tc>
          <w:tcPr>
            <w:tcW w:w="725" w:type="dxa"/>
          </w:tcPr>
          <w:p>
            <w:pPr>
              <w:pStyle w:val="TableParagraph"/>
              <w:ind w:right="167"/>
              <w:jc w:val="right"/>
              <w:rPr>
                <w:sz w:val="18"/>
              </w:rPr>
            </w:pPr>
            <w:r>
              <w:rPr>
                <w:color w:val="231F20"/>
                <w:sz w:val="18"/>
              </w:rPr>
              <w:t>35.5</w:t>
            </w:r>
          </w:p>
        </w:tc>
        <w:tc>
          <w:tcPr>
            <w:tcW w:w="703" w:type="dxa"/>
          </w:tcPr>
          <w:p>
            <w:pPr>
              <w:pStyle w:val="TableParagraph"/>
              <w:ind w:right="169"/>
              <w:jc w:val="right"/>
              <w:rPr>
                <w:sz w:val="18"/>
              </w:rPr>
            </w:pPr>
            <w:r>
              <w:rPr>
                <w:color w:val="231F20"/>
                <w:sz w:val="18"/>
              </w:rPr>
              <w:t>100.0</w:t>
            </w:r>
          </w:p>
        </w:tc>
        <w:tc>
          <w:tcPr>
            <w:tcW w:w="697" w:type="dxa"/>
          </w:tcPr>
          <w:p>
            <w:pPr>
              <w:pStyle w:val="TableParagraph"/>
              <w:ind w:right="167"/>
              <w:jc w:val="right"/>
              <w:rPr>
                <w:sz w:val="18"/>
              </w:rPr>
            </w:pPr>
            <w:r>
              <w:rPr>
                <w:color w:val="231F20"/>
                <w:sz w:val="18"/>
              </w:rPr>
              <w:t>2.3</w:t>
            </w:r>
          </w:p>
        </w:tc>
      </w:tr>
    </w:tbl>
    <w:p>
      <w:pPr>
        <w:pStyle w:val="BodyText"/>
        <w:rPr>
          <w:rFonts w:ascii="Arial"/>
          <w:sz w:val="20"/>
        </w:rPr>
      </w:pPr>
    </w:p>
    <w:p>
      <w:pPr>
        <w:pStyle w:val="BodyText"/>
        <w:rPr>
          <w:rFonts w:ascii="Arial"/>
          <w:sz w:val="20"/>
        </w:rPr>
      </w:pPr>
    </w:p>
    <w:p>
      <w:pPr>
        <w:pStyle w:val="BodyText"/>
        <w:spacing w:before="1"/>
        <w:rPr>
          <w:rFonts w:ascii="Arial"/>
          <w:sz w:val="29"/>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69984" from="131.551193pt,3.703715pt" to="131.551193pt,39.506114pt" stroked="true" strokeweight=".35pt" strokecolor="#231f20">
            <w10:wrap type="none"/>
          </v:line>
        </w:pict>
      </w:r>
      <w:r>
        <w:rPr/>
        <w:pict>
          <v:line style="position:absolute;mso-position-horizontal-relative:page;mso-position-vertical-relative:paragraph;z-index:-469912" from="15pt,39.505917pt" to="0pt,39.505917pt" stroked="true" strokeweight=".25pt" strokecolor="#000000">
            <w10:wrap type="none"/>
          </v:line>
        </w:pict>
      </w:r>
      <w:r>
        <w:rPr/>
        <w:pict>
          <v:line style="position:absolute;mso-position-horizontal-relative:page;mso-position-vertical-relative:paragraph;z-index:20296" from="508.890015pt,39.505917pt" to="523.890015pt,39.505917pt" stroked="true" strokeweight=".25pt" strokecolor="#000000">
            <w10:wrap type="none"/>
          </v:line>
        </w:pict>
      </w:r>
      <w:r>
        <w:rPr>
          <w:rFonts w:ascii="Arial" w:hAnsi="Arial"/>
          <w:color w:val="414042"/>
          <w:w w:val="105"/>
          <w:position w:val="-5"/>
          <w:sz w:val="20"/>
        </w:rPr>
        <w:t>180</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0320" from="405.061005pt,-27.904295pt" to="405.061005pt,6.961579pt" stroked="true" strokeweight=".35pt" strokecolor="#231f20">
            <w10:wrap type="none"/>
          </v:line>
        </w:pict>
      </w:r>
      <w:r>
        <w:rPr/>
        <w:pict>
          <v:line style="position:absolute;mso-position-horizontal-relative:page;mso-position-vertical-relative:paragraph;z-index:20344" from="15pt,-27.90452pt" to="0pt,-27.90452pt" stroked="true" strokeweight=".25pt" strokecolor="#000000">
            <w10:wrap type="none"/>
          </v:line>
        </w:pict>
      </w:r>
      <w:r>
        <w:rPr/>
        <w:pict>
          <v:line style="position:absolute;mso-position-horizontal-relative:page;mso-position-vertical-relative:paragraph;z-index:20368"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181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4"/>
        <w:rPr>
          <w:rFonts w:ascii="Arial"/>
          <w:sz w:val="20"/>
        </w:rPr>
      </w:pPr>
    </w:p>
    <w:tbl>
      <w:tblPr>
        <w:tblW w:w="0" w:type="auto"/>
        <w:jc w:val="left"/>
        <w:tblInd w:w="18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24"/>
        <w:gridCol w:w="852"/>
        <w:gridCol w:w="825"/>
        <w:gridCol w:w="952"/>
        <w:gridCol w:w="794"/>
        <w:gridCol w:w="725"/>
        <w:gridCol w:w="703"/>
        <w:gridCol w:w="697"/>
      </w:tblGrid>
      <w:tr>
        <w:trPr>
          <w:trHeight w:val="340" w:hRule="exact"/>
        </w:trPr>
        <w:tc>
          <w:tcPr>
            <w:tcW w:w="1424" w:type="dxa"/>
          </w:tcPr>
          <w:p>
            <w:pPr>
              <w:pStyle w:val="TableParagraph"/>
              <w:spacing w:before="88"/>
              <w:ind w:left="77" w:right="269"/>
              <w:rPr>
                <w:rFonts w:ascii="Arial"/>
                <w:sz w:val="18"/>
              </w:rPr>
            </w:pPr>
            <w:r>
              <w:rPr>
                <w:rFonts w:ascii="Arial"/>
                <w:color w:val="231F20"/>
                <w:w w:val="105"/>
                <w:sz w:val="18"/>
              </w:rPr>
              <w:t>Colima</w:t>
            </w:r>
          </w:p>
        </w:tc>
        <w:tc>
          <w:tcPr>
            <w:tcW w:w="852" w:type="dxa"/>
          </w:tcPr>
          <w:p>
            <w:pPr>
              <w:pStyle w:val="TableParagraph"/>
              <w:ind w:left="117"/>
              <w:rPr>
                <w:sz w:val="18"/>
              </w:rPr>
            </w:pPr>
            <w:r>
              <w:rPr>
                <w:color w:val="231F20"/>
                <w:w w:val="105"/>
                <w:sz w:val="18"/>
              </w:rPr>
              <w:t>24 473</w:t>
            </w:r>
          </w:p>
        </w:tc>
        <w:tc>
          <w:tcPr>
            <w:tcW w:w="825" w:type="dxa"/>
          </w:tcPr>
          <w:p>
            <w:pPr>
              <w:pStyle w:val="TableParagraph"/>
              <w:ind w:left="89"/>
              <w:rPr>
                <w:sz w:val="18"/>
              </w:rPr>
            </w:pPr>
            <w:r>
              <w:rPr>
                <w:color w:val="231F20"/>
                <w:w w:val="105"/>
                <w:sz w:val="18"/>
              </w:rPr>
              <w:t>11 264</w:t>
            </w:r>
          </w:p>
        </w:tc>
        <w:tc>
          <w:tcPr>
            <w:tcW w:w="952" w:type="dxa"/>
          </w:tcPr>
          <w:p>
            <w:pPr>
              <w:pStyle w:val="TableParagraph"/>
              <w:ind w:right="166"/>
              <w:jc w:val="right"/>
              <w:rPr>
                <w:sz w:val="18"/>
              </w:rPr>
            </w:pPr>
            <w:r>
              <w:rPr>
                <w:color w:val="231F20"/>
                <w:w w:val="105"/>
                <w:sz w:val="18"/>
              </w:rPr>
              <w:t>35 737</w:t>
            </w:r>
          </w:p>
        </w:tc>
        <w:tc>
          <w:tcPr>
            <w:tcW w:w="794" w:type="dxa"/>
          </w:tcPr>
          <w:p>
            <w:pPr>
              <w:pStyle w:val="TableParagraph"/>
              <w:ind w:right="166"/>
              <w:jc w:val="right"/>
              <w:rPr>
                <w:sz w:val="18"/>
              </w:rPr>
            </w:pPr>
            <w:r>
              <w:rPr>
                <w:color w:val="231F20"/>
                <w:sz w:val="18"/>
              </w:rPr>
              <w:t>68.5</w:t>
            </w:r>
          </w:p>
        </w:tc>
        <w:tc>
          <w:tcPr>
            <w:tcW w:w="725" w:type="dxa"/>
          </w:tcPr>
          <w:p>
            <w:pPr>
              <w:pStyle w:val="TableParagraph"/>
              <w:ind w:right="166"/>
              <w:jc w:val="right"/>
              <w:rPr>
                <w:sz w:val="18"/>
              </w:rPr>
            </w:pPr>
            <w:r>
              <w:rPr>
                <w:color w:val="231F20"/>
                <w:sz w:val="18"/>
              </w:rPr>
              <w:t>31.5</w:t>
            </w:r>
          </w:p>
        </w:tc>
        <w:tc>
          <w:tcPr>
            <w:tcW w:w="703" w:type="dxa"/>
          </w:tcPr>
          <w:p>
            <w:pPr>
              <w:pStyle w:val="TableParagraph"/>
              <w:ind w:left="77"/>
              <w:rPr>
                <w:sz w:val="18"/>
              </w:rPr>
            </w:pPr>
            <w:r>
              <w:rPr>
                <w:color w:val="231F20"/>
                <w:w w:val="105"/>
                <w:sz w:val="18"/>
              </w:rPr>
              <w:t>100.0</w:t>
            </w:r>
          </w:p>
        </w:tc>
        <w:tc>
          <w:tcPr>
            <w:tcW w:w="697" w:type="dxa"/>
          </w:tcPr>
          <w:p>
            <w:pPr>
              <w:pStyle w:val="TableParagraph"/>
              <w:ind w:right="166"/>
              <w:jc w:val="right"/>
              <w:rPr>
                <w:sz w:val="18"/>
              </w:rPr>
            </w:pPr>
            <w:r>
              <w:rPr>
                <w:color w:val="231F20"/>
                <w:sz w:val="18"/>
              </w:rPr>
              <w:t>2.2</w:t>
            </w:r>
          </w:p>
        </w:tc>
      </w:tr>
      <w:tr>
        <w:trPr>
          <w:trHeight w:val="340" w:hRule="exact"/>
        </w:trPr>
        <w:tc>
          <w:tcPr>
            <w:tcW w:w="1424" w:type="dxa"/>
          </w:tcPr>
          <w:p>
            <w:pPr>
              <w:pStyle w:val="TableParagraph"/>
              <w:spacing w:before="88"/>
              <w:ind w:left="77" w:right="269"/>
              <w:rPr>
                <w:rFonts w:ascii="Arial"/>
                <w:sz w:val="18"/>
              </w:rPr>
            </w:pPr>
            <w:r>
              <w:rPr>
                <w:rFonts w:ascii="Arial"/>
                <w:color w:val="231F20"/>
                <w:sz w:val="18"/>
              </w:rPr>
              <w:t>Chiapas</w:t>
            </w:r>
          </w:p>
        </w:tc>
        <w:tc>
          <w:tcPr>
            <w:tcW w:w="852" w:type="dxa"/>
          </w:tcPr>
          <w:p>
            <w:pPr>
              <w:pStyle w:val="TableParagraph"/>
              <w:ind w:left="116"/>
              <w:rPr>
                <w:sz w:val="18"/>
              </w:rPr>
            </w:pPr>
            <w:r>
              <w:rPr>
                <w:color w:val="231F20"/>
                <w:w w:val="105"/>
                <w:sz w:val="18"/>
              </w:rPr>
              <w:t>16 494</w:t>
            </w:r>
          </w:p>
        </w:tc>
        <w:tc>
          <w:tcPr>
            <w:tcW w:w="825" w:type="dxa"/>
          </w:tcPr>
          <w:p>
            <w:pPr>
              <w:pStyle w:val="TableParagraph"/>
              <w:ind w:left="193"/>
              <w:rPr>
                <w:sz w:val="18"/>
              </w:rPr>
            </w:pPr>
            <w:r>
              <w:rPr>
                <w:color w:val="231F20"/>
                <w:w w:val="105"/>
                <w:sz w:val="18"/>
              </w:rPr>
              <w:t>4 552</w:t>
            </w:r>
          </w:p>
        </w:tc>
        <w:tc>
          <w:tcPr>
            <w:tcW w:w="952" w:type="dxa"/>
          </w:tcPr>
          <w:p>
            <w:pPr>
              <w:pStyle w:val="TableParagraph"/>
              <w:ind w:right="166"/>
              <w:jc w:val="right"/>
              <w:rPr>
                <w:sz w:val="18"/>
              </w:rPr>
            </w:pPr>
            <w:r>
              <w:rPr>
                <w:color w:val="231F20"/>
                <w:w w:val="105"/>
                <w:sz w:val="18"/>
              </w:rPr>
              <w:t>21 046</w:t>
            </w:r>
          </w:p>
        </w:tc>
        <w:tc>
          <w:tcPr>
            <w:tcW w:w="794" w:type="dxa"/>
          </w:tcPr>
          <w:p>
            <w:pPr>
              <w:pStyle w:val="TableParagraph"/>
              <w:ind w:right="166"/>
              <w:jc w:val="right"/>
              <w:rPr>
                <w:sz w:val="18"/>
              </w:rPr>
            </w:pPr>
            <w:r>
              <w:rPr>
                <w:color w:val="231F20"/>
                <w:sz w:val="18"/>
              </w:rPr>
              <w:t>78.4</w:t>
            </w:r>
          </w:p>
        </w:tc>
        <w:tc>
          <w:tcPr>
            <w:tcW w:w="725" w:type="dxa"/>
          </w:tcPr>
          <w:p>
            <w:pPr>
              <w:pStyle w:val="TableParagraph"/>
              <w:ind w:right="166"/>
              <w:jc w:val="right"/>
              <w:rPr>
                <w:sz w:val="18"/>
              </w:rPr>
            </w:pPr>
            <w:r>
              <w:rPr>
                <w:color w:val="231F20"/>
                <w:sz w:val="18"/>
              </w:rPr>
              <w:t>21.6</w:t>
            </w:r>
          </w:p>
        </w:tc>
        <w:tc>
          <w:tcPr>
            <w:tcW w:w="703" w:type="dxa"/>
          </w:tcPr>
          <w:p>
            <w:pPr>
              <w:pStyle w:val="TableParagraph"/>
              <w:ind w:left="77"/>
              <w:rPr>
                <w:sz w:val="18"/>
              </w:rPr>
            </w:pPr>
            <w:r>
              <w:rPr>
                <w:color w:val="231F20"/>
                <w:w w:val="105"/>
                <w:sz w:val="18"/>
              </w:rPr>
              <w:t>100.0</w:t>
            </w:r>
          </w:p>
        </w:tc>
        <w:tc>
          <w:tcPr>
            <w:tcW w:w="697" w:type="dxa"/>
          </w:tcPr>
          <w:p>
            <w:pPr>
              <w:pStyle w:val="TableParagraph"/>
              <w:ind w:right="166"/>
              <w:jc w:val="right"/>
              <w:rPr>
                <w:sz w:val="18"/>
              </w:rPr>
            </w:pPr>
            <w:r>
              <w:rPr>
                <w:color w:val="231F20"/>
                <w:sz w:val="18"/>
              </w:rPr>
              <w:t>1.3</w:t>
            </w:r>
          </w:p>
        </w:tc>
      </w:tr>
      <w:tr>
        <w:trPr>
          <w:trHeight w:val="340" w:hRule="exact"/>
        </w:trPr>
        <w:tc>
          <w:tcPr>
            <w:tcW w:w="1424" w:type="dxa"/>
          </w:tcPr>
          <w:p>
            <w:pPr>
              <w:pStyle w:val="TableParagraph"/>
              <w:spacing w:before="88"/>
              <w:ind w:left="77" w:right="269"/>
              <w:rPr>
                <w:rFonts w:ascii="Arial"/>
                <w:sz w:val="18"/>
              </w:rPr>
            </w:pPr>
            <w:r>
              <w:rPr>
                <w:rFonts w:ascii="Arial"/>
                <w:color w:val="231F20"/>
                <w:w w:val="105"/>
                <w:sz w:val="18"/>
              </w:rPr>
              <w:t>Chihuahua</w:t>
            </w:r>
          </w:p>
        </w:tc>
        <w:tc>
          <w:tcPr>
            <w:tcW w:w="852" w:type="dxa"/>
          </w:tcPr>
          <w:p>
            <w:pPr>
              <w:pStyle w:val="TableParagraph"/>
              <w:ind w:left="116"/>
              <w:rPr>
                <w:sz w:val="18"/>
              </w:rPr>
            </w:pPr>
            <w:r>
              <w:rPr>
                <w:color w:val="231F20"/>
                <w:w w:val="105"/>
                <w:sz w:val="18"/>
              </w:rPr>
              <w:t>35 466</w:t>
            </w:r>
          </w:p>
        </w:tc>
        <w:tc>
          <w:tcPr>
            <w:tcW w:w="825" w:type="dxa"/>
          </w:tcPr>
          <w:p>
            <w:pPr>
              <w:pStyle w:val="TableParagraph"/>
              <w:ind w:left="89"/>
              <w:rPr>
                <w:sz w:val="18"/>
              </w:rPr>
            </w:pPr>
            <w:r>
              <w:rPr>
                <w:color w:val="231F20"/>
                <w:w w:val="105"/>
                <w:sz w:val="18"/>
              </w:rPr>
              <w:t>19 410</w:t>
            </w:r>
          </w:p>
        </w:tc>
        <w:tc>
          <w:tcPr>
            <w:tcW w:w="952" w:type="dxa"/>
          </w:tcPr>
          <w:p>
            <w:pPr>
              <w:pStyle w:val="TableParagraph"/>
              <w:ind w:right="166"/>
              <w:jc w:val="right"/>
              <w:rPr>
                <w:sz w:val="18"/>
              </w:rPr>
            </w:pPr>
            <w:r>
              <w:rPr>
                <w:color w:val="231F20"/>
                <w:w w:val="105"/>
                <w:sz w:val="18"/>
              </w:rPr>
              <w:t>54 876</w:t>
            </w:r>
          </w:p>
        </w:tc>
        <w:tc>
          <w:tcPr>
            <w:tcW w:w="794" w:type="dxa"/>
          </w:tcPr>
          <w:p>
            <w:pPr>
              <w:pStyle w:val="TableParagraph"/>
              <w:ind w:right="166"/>
              <w:jc w:val="right"/>
              <w:rPr>
                <w:sz w:val="18"/>
              </w:rPr>
            </w:pPr>
            <w:r>
              <w:rPr>
                <w:color w:val="231F20"/>
                <w:sz w:val="18"/>
              </w:rPr>
              <w:t>64.6</w:t>
            </w:r>
          </w:p>
        </w:tc>
        <w:tc>
          <w:tcPr>
            <w:tcW w:w="725" w:type="dxa"/>
          </w:tcPr>
          <w:p>
            <w:pPr>
              <w:pStyle w:val="TableParagraph"/>
              <w:ind w:right="166"/>
              <w:jc w:val="right"/>
              <w:rPr>
                <w:sz w:val="18"/>
              </w:rPr>
            </w:pPr>
            <w:r>
              <w:rPr>
                <w:color w:val="231F20"/>
                <w:sz w:val="18"/>
              </w:rPr>
              <w:t>35.4</w:t>
            </w:r>
          </w:p>
        </w:tc>
        <w:tc>
          <w:tcPr>
            <w:tcW w:w="703" w:type="dxa"/>
          </w:tcPr>
          <w:p>
            <w:pPr>
              <w:pStyle w:val="TableParagraph"/>
              <w:ind w:left="77"/>
              <w:rPr>
                <w:sz w:val="18"/>
              </w:rPr>
            </w:pPr>
            <w:r>
              <w:rPr>
                <w:color w:val="231F20"/>
                <w:w w:val="105"/>
                <w:sz w:val="18"/>
              </w:rPr>
              <w:t>100.0</w:t>
            </w:r>
          </w:p>
        </w:tc>
        <w:tc>
          <w:tcPr>
            <w:tcW w:w="697" w:type="dxa"/>
          </w:tcPr>
          <w:p>
            <w:pPr>
              <w:pStyle w:val="TableParagraph"/>
              <w:ind w:right="166"/>
              <w:jc w:val="right"/>
              <w:rPr>
                <w:sz w:val="18"/>
              </w:rPr>
            </w:pPr>
            <w:r>
              <w:rPr>
                <w:color w:val="231F20"/>
                <w:sz w:val="18"/>
              </w:rPr>
              <w:t>3.4</w:t>
            </w:r>
          </w:p>
        </w:tc>
      </w:tr>
      <w:tr>
        <w:trPr>
          <w:trHeight w:val="340" w:hRule="exact"/>
        </w:trPr>
        <w:tc>
          <w:tcPr>
            <w:tcW w:w="1424" w:type="dxa"/>
          </w:tcPr>
          <w:p>
            <w:pPr>
              <w:pStyle w:val="TableParagraph"/>
              <w:spacing w:before="88"/>
              <w:ind w:left="76"/>
              <w:rPr>
                <w:rFonts w:ascii="Arial"/>
                <w:sz w:val="18"/>
              </w:rPr>
            </w:pPr>
            <w:r>
              <w:rPr>
                <w:rFonts w:ascii="Arial"/>
                <w:color w:val="231F20"/>
                <w:w w:val="105"/>
                <w:sz w:val="18"/>
              </w:rPr>
              <w:t>Distrito Federal</w:t>
            </w:r>
          </w:p>
        </w:tc>
        <w:tc>
          <w:tcPr>
            <w:tcW w:w="852" w:type="dxa"/>
          </w:tcPr>
          <w:p>
            <w:pPr>
              <w:pStyle w:val="TableParagraph"/>
              <w:ind w:left="116"/>
              <w:rPr>
                <w:sz w:val="18"/>
              </w:rPr>
            </w:pPr>
            <w:r>
              <w:rPr>
                <w:color w:val="231F20"/>
                <w:w w:val="105"/>
                <w:sz w:val="18"/>
              </w:rPr>
              <w:t>44 230</w:t>
            </w:r>
          </w:p>
        </w:tc>
        <w:tc>
          <w:tcPr>
            <w:tcW w:w="825" w:type="dxa"/>
          </w:tcPr>
          <w:p>
            <w:pPr>
              <w:pStyle w:val="TableParagraph"/>
              <w:ind w:left="89"/>
              <w:rPr>
                <w:sz w:val="18"/>
              </w:rPr>
            </w:pPr>
            <w:r>
              <w:rPr>
                <w:color w:val="231F20"/>
                <w:w w:val="105"/>
                <w:sz w:val="18"/>
              </w:rPr>
              <w:t>39 490</w:t>
            </w:r>
          </w:p>
        </w:tc>
        <w:tc>
          <w:tcPr>
            <w:tcW w:w="952" w:type="dxa"/>
          </w:tcPr>
          <w:p>
            <w:pPr>
              <w:pStyle w:val="TableParagraph"/>
              <w:ind w:right="166"/>
              <w:jc w:val="right"/>
              <w:rPr>
                <w:sz w:val="18"/>
              </w:rPr>
            </w:pPr>
            <w:r>
              <w:rPr>
                <w:color w:val="231F20"/>
                <w:w w:val="105"/>
                <w:sz w:val="18"/>
              </w:rPr>
              <w:t>83 720</w:t>
            </w:r>
          </w:p>
        </w:tc>
        <w:tc>
          <w:tcPr>
            <w:tcW w:w="794" w:type="dxa"/>
          </w:tcPr>
          <w:p>
            <w:pPr>
              <w:pStyle w:val="TableParagraph"/>
              <w:ind w:right="168"/>
              <w:jc w:val="right"/>
              <w:rPr>
                <w:sz w:val="18"/>
              </w:rPr>
            </w:pPr>
            <w:r>
              <w:rPr>
                <w:color w:val="231F20"/>
                <w:sz w:val="18"/>
              </w:rPr>
              <w:t>52.8</w:t>
            </w:r>
          </w:p>
        </w:tc>
        <w:tc>
          <w:tcPr>
            <w:tcW w:w="725" w:type="dxa"/>
          </w:tcPr>
          <w:p>
            <w:pPr>
              <w:pStyle w:val="TableParagraph"/>
              <w:ind w:right="167"/>
              <w:jc w:val="right"/>
              <w:rPr>
                <w:sz w:val="18"/>
              </w:rPr>
            </w:pPr>
            <w:r>
              <w:rPr>
                <w:color w:val="231F20"/>
                <w:sz w:val="18"/>
              </w:rPr>
              <w:t>47.2</w:t>
            </w:r>
          </w:p>
        </w:tc>
        <w:tc>
          <w:tcPr>
            <w:tcW w:w="703" w:type="dxa"/>
          </w:tcPr>
          <w:p>
            <w:pPr>
              <w:pStyle w:val="TableParagraph"/>
              <w:ind w:left="76"/>
              <w:rPr>
                <w:sz w:val="18"/>
              </w:rPr>
            </w:pPr>
            <w:r>
              <w:rPr>
                <w:color w:val="231F20"/>
                <w:w w:val="105"/>
                <w:sz w:val="18"/>
              </w:rPr>
              <w:t>100.0</w:t>
            </w:r>
          </w:p>
        </w:tc>
        <w:tc>
          <w:tcPr>
            <w:tcW w:w="697" w:type="dxa"/>
          </w:tcPr>
          <w:p>
            <w:pPr>
              <w:pStyle w:val="TableParagraph"/>
              <w:ind w:right="167"/>
              <w:jc w:val="right"/>
              <w:rPr>
                <w:sz w:val="18"/>
              </w:rPr>
            </w:pPr>
            <w:r>
              <w:rPr>
                <w:color w:val="231F20"/>
                <w:sz w:val="18"/>
              </w:rPr>
              <w:t>5.1</w:t>
            </w:r>
          </w:p>
        </w:tc>
      </w:tr>
      <w:tr>
        <w:trPr>
          <w:trHeight w:val="340" w:hRule="exact"/>
        </w:trPr>
        <w:tc>
          <w:tcPr>
            <w:tcW w:w="1424" w:type="dxa"/>
          </w:tcPr>
          <w:p>
            <w:pPr>
              <w:pStyle w:val="TableParagraph"/>
              <w:spacing w:before="88"/>
              <w:ind w:left="76" w:right="269"/>
              <w:rPr>
                <w:rFonts w:ascii="Arial"/>
                <w:sz w:val="18"/>
              </w:rPr>
            </w:pPr>
            <w:r>
              <w:rPr>
                <w:rFonts w:ascii="Arial"/>
                <w:color w:val="231F20"/>
                <w:w w:val="105"/>
                <w:sz w:val="18"/>
              </w:rPr>
              <w:t>Durango</w:t>
            </w:r>
          </w:p>
        </w:tc>
        <w:tc>
          <w:tcPr>
            <w:tcW w:w="852" w:type="dxa"/>
          </w:tcPr>
          <w:p>
            <w:pPr>
              <w:pStyle w:val="TableParagraph"/>
              <w:ind w:left="116"/>
              <w:rPr>
                <w:sz w:val="18"/>
              </w:rPr>
            </w:pPr>
            <w:r>
              <w:rPr>
                <w:color w:val="231F20"/>
                <w:w w:val="105"/>
                <w:sz w:val="18"/>
              </w:rPr>
              <w:t>47 048</w:t>
            </w:r>
          </w:p>
        </w:tc>
        <w:tc>
          <w:tcPr>
            <w:tcW w:w="825" w:type="dxa"/>
          </w:tcPr>
          <w:p>
            <w:pPr>
              <w:pStyle w:val="TableParagraph"/>
              <w:ind w:left="89"/>
              <w:rPr>
                <w:sz w:val="18"/>
              </w:rPr>
            </w:pPr>
            <w:r>
              <w:rPr>
                <w:color w:val="231F20"/>
                <w:w w:val="105"/>
                <w:sz w:val="18"/>
              </w:rPr>
              <w:t>14 250</w:t>
            </w:r>
          </w:p>
        </w:tc>
        <w:tc>
          <w:tcPr>
            <w:tcW w:w="952" w:type="dxa"/>
          </w:tcPr>
          <w:p>
            <w:pPr>
              <w:pStyle w:val="TableParagraph"/>
              <w:ind w:right="167"/>
              <w:jc w:val="right"/>
              <w:rPr>
                <w:sz w:val="18"/>
              </w:rPr>
            </w:pPr>
            <w:r>
              <w:rPr>
                <w:color w:val="231F20"/>
                <w:w w:val="105"/>
                <w:sz w:val="18"/>
              </w:rPr>
              <w:t>61 298</w:t>
            </w:r>
          </w:p>
        </w:tc>
        <w:tc>
          <w:tcPr>
            <w:tcW w:w="794" w:type="dxa"/>
          </w:tcPr>
          <w:p>
            <w:pPr>
              <w:pStyle w:val="TableParagraph"/>
              <w:ind w:right="167"/>
              <w:jc w:val="right"/>
              <w:rPr>
                <w:sz w:val="18"/>
              </w:rPr>
            </w:pPr>
            <w:r>
              <w:rPr>
                <w:color w:val="231F20"/>
                <w:sz w:val="18"/>
              </w:rPr>
              <w:t>76.8</w:t>
            </w:r>
          </w:p>
        </w:tc>
        <w:tc>
          <w:tcPr>
            <w:tcW w:w="725" w:type="dxa"/>
          </w:tcPr>
          <w:p>
            <w:pPr>
              <w:pStyle w:val="TableParagraph"/>
              <w:ind w:right="167"/>
              <w:jc w:val="right"/>
              <w:rPr>
                <w:sz w:val="18"/>
              </w:rPr>
            </w:pPr>
            <w:r>
              <w:rPr>
                <w:color w:val="231F20"/>
                <w:sz w:val="18"/>
              </w:rPr>
              <w:t>23.2</w:t>
            </w:r>
          </w:p>
        </w:tc>
        <w:tc>
          <w:tcPr>
            <w:tcW w:w="703" w:type="dxa"/>
          </w:tcPr>
          <w:p>
            <w:pPr>
              <w:pStyle w:val="TableParagraph"/>
              <w:ind w:left="76"/>
              <w:rPr>
                <w:sz w:val="18"/>
              </w:rPr>
            </w:pPr>
            <w:r>
              <w:rPr>
                <w:color w:val="231F20"/>
                <w:w w:val="105"/>
                <w:sz w:val="18"/>
              </w:rPr>
              <w:t>100.0</w:t>
            </w:r>
          </w:p>
        </w:tc>
        <w:tc>
          <w:tcPr>
            <w:tcW w:w="697" w:type="dxa"/>
          </w:tcPr>
          <w:p>
            <w:pPr>
              <w:pStyle w:val="TableParagraph"/>
              <w:ind w:right="167"/>
              <w:jc w:val="right"/>
              <w:rPr>
                <w:sz w:val="18"/>
              </w:rPr>
            </w:pPr>
            <w:r>
              <w:rPr>
                <w:color w:val="231F20"/>
                <w:sz w:val="18"/>
              </w:rPr>
              <w:t>3.7</w:t>
            </w:r>
          </w:p>
        </w:tc>
      </w:tr>
      <w:tr>
        <w:trPr>
          <w:trHeight w:val="340" w:hRule="exact"/>
        </w:trPr>
        <w:tc>
          <w:tcPr>
            <w:tcW w:w="1424" w:type="dxa"/>
          </w:tcPr>
          <w:p>
            <w:pPr>
              <w:pStyle w:val="TableParagraph"/>
              <w:spacing w:before="88"/>
              <w:ind w:left="76" w:right="269"/>
              <w:rPr>
                <w:rFonts w:ascii="Arial"/>
                <w:sz w:val="18"/>
              </w:rPr>
            </w:pPr>
            <w:r>
              <w:rPr>
                <w:rFonts w:ascii="Arial"/>
                <w:color w:val="231F20"/>
                <w:w w:val="105"/>
                <w:sz w:val="18"/>
              </w:rPr>
              <w:t>Guanajuato</w:t>
            </w:r>
          </w:p>
        </w:tc>
        <w:tc>
          <w:tcPr>
            <w:tcW w:w="852" w:type="dxa"/>
          </w:tcPr>
          <w:p>
            <w:pPr>
              <w:pStyle w:val="TableParagraph"/>
              <w:ind w:left="69"/>
              <w:rPr>
                <w:sz w:val="18"/>
              </w:rPr>
            </w:pPr>
            <w:r>
              <w:rPr>
                <w:color w:val="231F20"/>
                <w:w w:val="105"/>
                <w:sz w:val="18"/>
              </w:rPr>
              <w:t>124 549</w:t>
            </w:r>
          </w:p>
        </w:tc>
        <w:tc>
          <w:tcPr>
            <w:tcW w:w="825" w:type="dxa"/>
          </w:tcPr>
          <w:p>
            <w:pPr>
              <w:pStyle w:val="TableParagraph"/>
              <w:ind w:left="88"/>
              <w:rPr>
                <w:sz w:val="18"/>
              </w:rPr>
            </w:pPr>
            <w:r>
              <w:rPr>
                <w:color w:val="231F20"/>
                <w:w w:val="105"/>
                <w:sz w:val="18"/>
              </w:rPr>
              <w:t>49 987</w:t>
            </w:r>
          </w:p>
        </w:tc>
        <w:tc>
          <w:tcPr>
            <w:tcW w:w="952" w:type="dxa"/>
          </w:tcPr>
          <w:p>
            <w:pPr>
              <w:pStyle w:val="TableParagraph"/>
              <w:ind w:right="167"/>
              <w:jc w:val="right"/>
              <w:rPr>
                <w:sz w:val="18"/>
              </w:rPr>
            </w:pPr>
            <w:r>
              <w:rPr>
                <w:color w:val="231F20"/>
                <w:w w:val="105"/>
                <w:sz w:val="18"/>
              </w:rPr>
              <w:t>174 536</w:t>
            </w:r>
          </w:p>
        </w:tc>
        <w:tc>
          <w:tcPr>
            <w:tcW w:w="794" w:type="dxa"/>
          </w:tcPr>
          <w:p>
            <w:pPr>
              <w:pStyle w:val="TableParagraph"/>
              <w:ind w:right="167"/>
              <w:jc w:val="right"/>
              <w:rPr>
                <w:sz w:val="18"/>
              </w:rPr>
            </w:pPr>
            <w:r>
              <w:rPr>
                <w:color w:val="231F20"/>
                <w:sz w:val="18"/>
              </w:rPr>
              <w:t>71.4</w:t>
            </w:r>
          </w:p>
        </w:tc>
        <w:tc>
          <w:tcPr>
            <w:tcW w:w="725" w:type="dxa"/>
          </w:tcPr>
          <w:p>
            <w:pPr>
              <w:pStyle w:val="TableParagraph"/>
              <w:ind w:right="167"/>
              <w:jc w:val="right"/>
              <w:rPr>
                <w:sz w:val="18"/>
              </w:rPr>
            </w:pPr>
            <w:r>
              <w:rPr>
                <w:color w:val="231F20"/>
                <w:sz w:val="18"/>
              </w:rPr>
              <w:t>28.6</w:t>
            </w:r>
          </w:p>
        </w:tc>
        <w:tc>
          <w:tcPr>
            <w:tcW w:w="703" w:type="dxa"/>
          </w:tcPr>
          <w:p>
            <w:pPr>
              <w:pStyle w:val="TableParagraph"/>
              <w:ind w:left="76"/>
              <w:rPr>
                <w:sz w:val="18"/>
              </w:rPr>
            </w:pPr>
            <w:r>
              <w:rPr>
                <w:color w:val="231F20"/>
                <w:w w:val="105"/>
                <w:sz w:val="18"/>
              </w:rPr>
              <w:t>100.0</w:t>
            </w:r>
          </w:p>
        </w:tc>
        <w:tc>
          <w:tcPr>
            <w:tcW w:w="697" w:type="dxa"/>
          </w:tcPr>
          <w:p>
            <w:pPr>
              <w:pStyle w:val="TableParagraph"/>
              <w:ind w:right="167"/>
              <w:jc w:val="right"/>
              <w:rPr>
                <w:sz w:val="18"/>
              </w:rPr>
            </w:pPr>
            <w:r>
              <w:rPr>
                <w:color w:val="231F20"/>
                <w:sz w:val="18"/>
              </w:rPr>
              <w:t>10.7</w:t>
            </w:r>
          </w:p>
        </w:tc>
      </w:tr>
      <w:tr>
        <w:trPr>
          <w:trHeight w:val="340" w:hRule="exact"/>
        </w:trPr>
        <w:tc>
          <w:tcPr>
            <w:tcW w:w="1424" w:type="dxa"/>
          </w:tcPr>
          <w:p>
            <w:pPr>
              <w:pStyle w:val="TableParagraph"/>
              <w:spacing w:before="88"/>
              <w:ind w:left="76" w:right="269"/>
              <w:rPr>
                <w:rFonts w:ascii="Arial"/>
                <w:sz w:val="18"/>
              </w:rPr>
            </w:pPr>
            <w:r>
              <w:rPr>
                <w:rFonts w:ascii="Arial"/>
                <w:color w:val="231F20"/>
                <w:w w:val="105"/>
                <w:sz w:val="18"/>
              </w:rPr>
              <w:t>Guerrero</w:t>
            </w:r>
          </w:p>
        </w:tc>
        <w:tc>
          <w:tcPr>
            <w:tcW w:w="852" w:type="dxa"/>
          </w:tcPr>
          <w:p>
            <w:pPr>
              <w:pStyle w:val="TableParagraph"/>
              <w:ind w:left="115"/>
              <w:rPr>
                <w:sz w:val="18"/>
              </w:rPr>
            </w:pPr>
            <w:r>
              <w:rPr>
                <w:color w:val="231F20"/>
                <w:w w:val="105"/>
                <w:sz w:val="18"/>
              </w:rPr>
              <w:t>37 682</w:t>
            </w:r>
          </w:p>
        </w:tc>
        <w:tc>
          <w:tcPr>
            <w:tcW w:w="825" w:type="dxa"/>
          </w:tcPr>
          <w:p>
            <w:pPr>
              <w:pStyle w:val="TableParagraph"/>
              <w:ind w:left="88"/>
              <w:rPr>
                <w:sz w:val="18"/>
              </w:rPr>
            </w:pPr>
            <w:r>
              <w:rPr>
                <w:color w:val="231F20"/>
                <w:w w:val="105"/>
                <w:sz w:val="18"/>
              </w:rPr>
              <w:t>22 104</w:t>
            </w:r>
          </w:p>
        </w:tc>
        <w:tc>
          <w:tcPr>
            <w:tcW w:w="952" w:type="dxa"/>
          </w:tcPr>
          <w:p>
            <w:pPr>
              <w:pStyle w:val="TableParagraph"/>
              <w:ind w:right="167"/>
              <w:jc w:val="right"/>
              <w:rPr>
                <w:sz w:val="18"/>
              </w:rPr>
            </w:pPr>
            <w:r>
              <w:rPr>
                <w:color w:val="231F20"/>
                <w:w w:val="105"/>
                <w:sz w:val="18"/>
              </w:rPr>
              <w:t>59 786</w:t>
            </w:r>
          </w:p>
        </w:tc>
        <w:tc>
          <w:tcPr>
            <w:tcW w:w="794" w:type="dxa"/>
          </w:tcPr>
          <w:p>
            <w:pPr>
              <w:pStyle w:val="TableParagraph"/>
              <w:ind w:right="167"/>
              <w:jc w:val="right"/>
              <w:rPr>
                <w:sz w:val="18"/>
              </w:rPr>
            </w:pPr>
            <w:r>
              <w:rPr>
                <w:color w:val="231F20"/>
                <w:sz w:val="18"/>
              </w:rPr>
              <w:t>63.0</w:t>
            </w:r>
          </w:p>
        </w:tc>
        <w:tc>
          <w:tcPr>
            <w:tcW w:w="725" w:type="dxa"/>
          </w:tcPr>
          <w:p>
            <w:pPr>
              <w:pStyle w:val="TableParagraph"/>
              <w:ind w:right="167"/>
              <w:jc w:val="right"/>
              <w:rPr>
                <w:sz w:val="18"/>
              </w:rPr>
            </w:pPr>
            <w:r>
              <w:rPr>
                <w:color w:val="231F20"/>
                <w:sz w:val="18"/>
              </w:rPr>
              <w:t>37.0</w:t>
            </w:r>
          </w:p>
        </w:tc>
        <w:tc>
          <w:tcPr>
            <w:tcW w:w="703" w:type="dxa"/>
          </w:tcPr>
          <w:p>
            <w:pPr>
              <w:pStyle w:val="TableParagraph"/>
              <w:ind w:left="76"/>
              <w:rPr>
                <w:sz w:val="18"/>
              </w:rPr>
            </w:pPr>
            <w:r>
              <w:rPr>
                <w:color w:val="231F20"/>
                <w:w w:val="105"/>
                <w:sz w:val="18"/>
              </w:rPr>
              <w:t>100.0</w:t>
            </w:r>
          </w:p>
        </w:tc>
        <w:tc>
          <w:tcPr>
            <w:tcW w:w="697" w:type="dxa"/>
          </w:tcPr>
          <w:p>
            <w:pPr>
              <w:pStyle w:val="TableParagraph"/>
              <w:ind w:right="167"/>
              <w:jc w:val="right"/>
              <w:rPr>
                <w:sz w:val="18"/>
              </w:rPr>
            </w:pPr>
            <w:r>
              <w:rPr>
                <w:color w:val="231F20"/>
                <w:sz w:val="18"/>
              </w:rPr>
              <w:t>3.7</w:t>
            </w:r>
          </w:p>
        </w:tc>
      </w:tr>
      <w:tr>
        <w:trPr>
          <w:trHeight w:val="340" w:hRule="exact"/>
        </w:trPr>
        <w:tc>
          <w:tcPr>
            <w:tcW w:w="1424" w:type="dxa"/>
          </w:tcPr>
          <w:p>
            <w:pPr>
              <w:pStyle w:val="TableParagraph"/>
              <w:spacing w:before="89"/>
              <w:ind w:left="76" w:right="269"/>
              <w:rPr>
                <w:rFonts w:ascii="Arial"/>
                <w:sz w:val="18"/>
              </w:rPr>
            </w:pPr>
            <w:r>
              <w:rPr>
                <w:rFonts w:ascii="Arial"/>
                <w:color w:val="231F20"/>
                <w:w w:val="110"/>
                <w:sz w:val="18"/>
              </w:rPr>
              <w:t>Hidalgo</w:t>
            </w:r>
          </w:p>
        </w:tc>
        <w:tc>
          <w:tcPr>
            <w:tcW w:w="852" w:type="dxa"/>
          </w:tcPr>
          <w:p>
            <w:pPr>
              <w:pStyle w:val="TableParagraph"/>
              <w:ind w:left="115"/>
              <w:rPr>
                <w:sz w:val="18"/>
              </w:rPr>
            </w:pPr>
            <w:r>
              <w:rPr>
                <w:color w:val="231F20"/>
                <w:w w:val="105"/>
                <w:sz w:val="18"/>
              </w:rPr>
              <w:t>20 878</w:t>
            </w:r>
          </w:p>
        </w:tc>
        <w:tc>
          <w:tcPr>
            <w:tcW w:w="825" w:type="dxa"/>
          </w:tcPr>
          <w:p>
            <w:pPr>
              <w:pStyle w:val="TableParagraph"/>
              <w:ind w:left="88"/>
              <w:rPr>
                <w:sz w:val="18"/>
              </w:rPr>
            </w:pPr>
            <w:r>
              <w:rPr>
                <w:color w:val="231F20"/>
                <w:w w:val="105"/>
                <w:sz w:val="18"/>
              </w:rPr>
              <w:t>14 669</w:t>
            </w:r>
          </w:p>
        </w:tc>
        <w:tc>
          <w:tcPr>
            <w:tcW w:w="952" w:type="dxa"/>
          </w:tcPr>
          <w:p>
            <w:pPr>
              <w:pStyle w:val="TableParagraph"/>
              <w:ind w:right="167"/>
              <w:jc w:val="right"/>
              <w:rPr>
                <w:sz w:val="18"/>
              </w:rPr>
            </w:pPr>
            <w:r>
              <w:rPr>
                <w:color w:val="231F20"/>
                <w:w w:val="105"/>
                <w:sz w:val="18"/>
              </w:rPr>
              <w:t>35 547</w:t>
            </w:r>
          </w:p>
        </w:tc>
        <w:tc>
          <w:tcPr>
            <w:tcW w:w="794" w:type="dxa"/>
          </w:tcPr>
          <w:p>
            <w:pPr>
              <w:pStyle w:val="TableParagraph"/>
              <w:ind w:right="167"/>
              <w:jc w:val="right"/>
              <w:rPr>
                <w:sz w:val="18"/>
              </w:rPr>
            </w:pPr>
            <w:r>
              <w:rPr>
                <w:color w:val="231F20"/>
                <w:sz w:val="18"/>
              </w:rPr>
              <w:t>58.7</w:t>
            </w:r>
          </w:p>
        </w:tc>
        <w:tc>
          <w:tcPr>
            <w:tcW w:w="725" w:type="dxa"/>
          </w:tcPr>
          <w:p>
            <w:pPr>
              <w:pStyle w:val="TableParagraph"/>
              <w:ind w:right="167"/>
              <w:jc w:val="right"/>
              <w:rPr>
                <w:sz w:val="18"/>
              </w:rPr>
            </w:pPr>
            <w:r>
              <w:rPr>
                <w:color w:val="231F20"/>
                <w:sz w:val="18"/>
              </w:rPr>
              <w:t>41.3</w:t>
            </w:r>
          </w:p>
        </w:tc>
        <w:tc>
          <w:tcPr>
            <w:tcW w:w="703" w:type="dxa"/>
          </w:tcPr>
          <w:p>
            <w:pPr>
              <w:pStyle w:val="TableParagraph"/>
              <w:ind w:left="75"/>
              <w:rPr>
                <w:sz w:val="18"/>
              </w:rPr>
            </w:pPr>
            <w:r>
              <w:rPr>
                <w:color w:val="231F20"/>
                <w:w w:val="105"/>
                <w:sz w:val="18"/>
              </w:rPr>
              <w:t>100.0</w:t>
            </w:r>
          </w:p>
        </w:tc>
        <w:tc>
          <w:tcPr>
            <w:tcW w:w="697" w:type="dxa"/>
          </w:tcPr>
          <w:p>
            <w:pPr>
              <w:pStyle w:val="TableParagraph"/>
              <w:ind w:right="168"/>
              <w:jc w:val="right"/>
              <w:rPr>
                <w:sz w:val="18"/>
              </w:rPr>
            </w:pPr>
            <w:r>
              <w:rPr>
                <w:color w:val="231F20"/>
                <w:sz w:val="18"/>
              </w:rPr>
              <w:t>2.2</w:t>
            </w:r>
          </w:p>
        </w:tc>
      </w:tr>
      <w:tr>
        <w:trPr>
          <w:trHeight w:val="340" w:hRule="exact"/>
        </w:trPr>
        <w:tc>
          <w:tcPr>
            <w:tcW w:w="1424" w:type="dxa"/>
          </w:tcPr>
          <w:p>
            <w:pPr>
              <w:pStyle w:val="TableParagraph"/>
              <w:spacing w:before="89"/>
              <w:ind w:left="75" w:right="269"/>
              <w:rPr>
                <w:rFonts w:ascii="Arial"/>
                <w:sz w:val="18"/>
              </w:rPr>
            </w:pPr>
            <w:r>
              <w:rPr>
                <w:rFonts w:ascii="Arial"/>
                <w:color w:val="231F20"/>
                <w:sz w:val="18"/>
              </w:rPr>
              <w:t>Jalisco</w:t>
            </w:r>
          </w:p>
        </w:tc>
        <w:tc>
          <w:tcPr>
            <w:tcW w:w="852" w:type="dxa"/>
          </w:tcPr>
          <w:p>
            <w:pPr>
              <w:pStyle w:val="TableParagraph"/>
              <w:ind w:left="68"/>
              <w:rPr>
                <w:sz w:val="18"/>
              </w:rPr>
            </w:pPr>
            <w:r>
              <w:rPr>
                <w:color w:val="231F20"/>
                <w:w w:val="105"/>
                <w:sz w:val="18"/>
              </w:rPr>
              <w:t>171 656</w:t>
            </w:r>
          </w:p>
        </w:tc>
        <w:tc>
          <w:tcPr>
            <w:tcW w:w="825" w:type="dxa"/>
          </w:tcPr>
          <w:p>
            <w:pPr>
              <w:pStyle w:val="TableParagraph"/>
              <w:ind w:left="87"/>
              <w:rPr>
                <w:sz w:val="18"/>
              </w:rPr>
            </w:pPr>
            <w:r>
              <w:rPr>
                <w:color w:val="231F20"/>
                <w:w w:val="105"/>
                <w:sz w:val="18"/>
              </w:rPr>
              <w:t>70 272</w:t>
            </w:r>
          </w:p>
        </w:tc>
        <w:tc>
          <w:tcPr>
            <w:tcW w:w="952" w:type="dxa"/>
          </w:tcPr>
          <w:p>
            <w:pPr>
              <w:pStyle w:val="TableParagraph"/>
              <w:ind w:right="168"/>
              <w:jc w:val="right"/>
              <w:rPr>
                <w:sz w:val="18"/>
              </w:rPr>
            </w:pPr>
            <w:r>
              <w:rPr>
                <w:color w:val="231F20"/>
                <w:w w:val="105"/>
                <w:sz w:val="18"/>
              </w:rPr>
              <w:t>241 928</w:t>
            </w:r>
          </w:p>
        </w:tc>
        <w:tc>
          <w:tcPr>
            <w:tcW w:w="794" w:type="dxa"/>
          </w:tcPr>
          <w:p>
            <w:pPr>
              <w:pStyle w:val="TableParagraph"/>
              <w:ind w:right="168"/>
              <w:jc w:val="right"/>
              <w:rPr>
                <w:sz w:val="18"/>
              </w:rPr>
            </w:pPr>
            <w:r>
              <w:rPr>
                <w:color w:val="231F20"/>
                <w:sz w:val="18"/>
              </w:rPr>
              <w:t>71.0</w:t>
            </w:r>
          </w:p>
        </w:tc>
        <w:tc>
          <w:tcPr>
            <w:tcW w:w="725" w:type="dxa"/>
          </w:tcPr>
          <w:p>
            <w:pPr>
              <w:pStyle w:val="TableParagraph"/>
              <w:ind w:right="168"/>
              <w:jc w:val="right"/>
              <w:rPr>
                <w:sz w:val="18"/>
              </w:rPr>
            </w:pPr>
            <w:r>
              <w:rPr>
                <w:color w:val="231F20"/>
                <w:sz w:val="18"/>
              </w:rPr>
              <w:t>29.0</w:t>
            </w:r>
          </w:p>
        </w:tc>
        <w:tc>
          <w:tcPr>
            <w:tcW w:w="703" w:type="dxa"/>
          </w:tcPr>
          <w:p>
            <w:pPr>
              <w:pStyle w:val="TableParagraph"/>
              <w:ind w:left="75"/>
              <w:rPr>
                <w:sz w:val="18"/>
              </w:rPr>
            </w:pPr>
            <w:r>
              <w:rPr>
                <w:color w:val="231F20"/>
                <w:w w:val="105"/>
                <w:sz w:val="18"/>
              </w:rPr>
              <w:t>100.0</w:t>
            </w:r>
          </w:p>
        </w:tc>
        <w:tc>
          <w:tcPr>
            <w:tcW w:w="697" w:type="dxa"/>
          </w:tcPr>
          <w:p>
            <w:pPr>
              <w:pStyle w:val="TableParagraph"/>
              <w:ind w:right="168"/>
              <w:jc w:val="right"/>
              <w:rPr>
                <w:sz w:val="18"/>
              </w:rPr>
            </w:pPr>
            <w:r>
              <w:rPr>
                <w:color w:val="231F20"/>
                <w:sz w:val="18"/>
              </w:rPr>
              <w:t>14.8</w:t>
            </w:r>
          </w:p>
        </w:tc>
      </w:tr>
      <w:tr>
        <w:trPr>
          <w:trHeight w:val="340" w:hRule="exact"/>
        </w:trPr>
        <w:tc>
          <w:tcPr>
            <w:tcW w:w="1424" w:type="dxa"/>
          </w:tcPr>
          <w:p>
            <w:pPr>
              <w:pStyle w:val="TableParagraph"/>
              <w:spacing w:before="89"/>
              <w:ind w:left="75" w:right="269"/>
              <w:rPr>
                <w:rFonts w:ascii="Arial" w:hAnsi="Arial"/>
                <w:sz w:val="18"/>
              </w:rPr>
            </w:pPr>
            <w:r>
              <w:rPr>
                <w:rFonts w:ascii="Arial" w:hAnsi="Arial"/>
                <w:color w:val="231F20"/>
                <w:w w:val="105"/>
                <w:sz w:val="18"/>
              </w:rPr>
              <w:t>México</w:t>
            </w:r>
          </w:p>
        </w:tc>
        <w:tc>
          <w:tcPr>
            <w:tcW w:w="852" w:type="dxa"/>
          </w:tcPr>
          <w:p>
            <w:pPr>
              <w:pStyle w:val="TableParagraph"/>
              <w:ind w:left="115"/>
              <w:rPr>
                <w:sz w:val="18"/>
              </w:rPr>
            </w:pPr>
            <w:r>
              <w:rPr>
                <w:color w:val="231F20"/>
                <w:w w:val="105"/>
                <w:sz w:val="18"/>
              </w:rPr>
              <w:t>29 362</w:t>
            </w:r>
          </w:p>
        </w:tc>
        <w:tc>
          <w:tcPr>
            <w:tcW w:w="825" w:type="dxa"/>
          </w:tcPr>
          <w:p>
            <w:pPr>
              <w:pStyle w:val="TableParagraph"/>
              <w:ind w:left="87"/>
              <w:rPr>
                <w:sz w:val="18"/>
              </w:rPr>
            </w:pPr>
            <w:r>
              <w:rPr>
                <w:color w:val="231F20"/>
                <w:w w:val="105"/>
                <w:sz w:val="18"/>
              </w:rPr>
              <w:t>20 981</w:t>
            </w:r>
          </w:p>
        </w:tc>
        <w:tc>
          <w:tcPr>
            <w:tcW w:w="952" w:type="dxa"/>
          </w:tcPr>
          <w:p>
            <w:pPr>
              <w:pStyle w:val="TableParagraph"/>
              <w:ind w:right="168"/>
              <w:jc w:val="right"/>
              <w:rPr>
                <w:sz w:val="18"/>
              </w:rPr>
            </w:pPr>
            <w:r>
              <w:rPr>
                <w:color w:val="231F20"/>
                <w:w w:val="105"/>
                <w:sz w:val="18"/>
              </w:rPr>
              <w:t>50 343</w:t>
            </w:r>
          </w:p>
        </w:tc>
        <w:tc>
          <w:tcPr>
            <w:tcW w:w="794" w:type="dxa"/>
          </w:tcPr>
          <w:p>
            <w:pPr>
              <w:pStyle w:val="TableParagraph"/>
              <w:ind w:right="168"/>
              <w:jc w:val="right"/>
              <w:rPr>
                <w:sz w:val="18"/>
              </w:rPr>
            </w:pPr>
            <w:r>
              <w:rPr>
                <w:color w:val="231F20"/>
                <w:sz w:val="18"/>
              </w:rPr>
              <w:t>58.3</w:t>
            </w:r>
          </w:p>
        </w:tc>
        <w:tc>
          <w:tcPr>
            <w:tcW w:w="725" w:type="dxa"/>
          </w:tcPr>
          <w:p>
            <w:pPr>
              <w:pStyle w:val="TableParagraph"/>
              <w:ind w:right="168"/>
              <w:jc w:val="right"/>
              <w:rPr>
                <w:sz w:val="18"/>
              </w:rPr>
            </w:pPr>
            <w:r>
              <w:rPr>
                <w:color w:val="231F20"/>
                <w:sz w:val="18"/>
              </w:rPr>
              <w:t>41.7</w:t>
            </w:r>
          </w:p>
        </w:tc>
        <w:tc>
          <w:tcPr>
            <w:tcW w:w="703" w:type="dxa"/>
          </w:tcPr>
          <w:p>
            <w:pPr>
              <w:pStyle w:val="TableParagraph"/>
              <w:ind w:left="75"/>
              <w:rPr>
                <w:sz w:val="18"/>
              </w:rPr>
            </w:pPr>
            <w:r>
              <w:rPr>
                <w:color w:val="231F20"/>
                <w:w w:val="105"/>
                <w:sz w:val="18"/>
              </w:rPr>
              <w:t>100.0</w:t>
            </w:r>
          </w:p>
        </w:tc>
        <w:tc>
          <w:tcPr>
            <w:tcW w:w="697" w:type="dxa"/>
          </w:tcPr>
          <w:p>
            <w:pPr>
              <w:pStyle w:val="TableParagraph"/>
              <w:ind w:right="168"/>
              <w:jc w:val="right"/>
              <w:rPr>
                <w:sz w:val="18"/>
              </w:rPr>
            </w:pPr>
            <w:r>
              <w:rPr>
                <w:color w:val="231F20"/>
                <w:sz w:val="18"/>
              </w:rPr>
              <w:t>3.1</w:t>
            </w:r>
          </w:p>
        </w:tc>
      </w:tr>
      <w:tr>
        <w:trPr>
          <w:trHeight w:val="340" w:hRule="exact"/>
        </w:trPr>
        <w:tc>
          <w:tcPr>
            <w:tcW w:w="1424" w:type="dxa"/>
          </w:tcPr>
          <w:p>
            <w:pPr>
              <w:pStyle w:val="TableParagraph"/>
              <w:spacing w:before="89"/>
              <w:ind w:left="75" w:right="269"/>
              <w:rPr>
                <w:rFonts w:ascii="Arial" w:hAnsi="Arial"/>
                <w:sz w:val="18"/>
              </w:rPr>
            </w:pPr>
            <w:r>
              <w:rPr>
                <w:rFonts w:ascii="Arial" w:hAnsi="Arial"/>
                <w:color w:val="231F20"/>
                <w:w w:val="105"/>
                <w:sz w:val="18"/>
              </w:rPr>
              <w:t>Michoacán</w:t>
            </w:r>
          </w:p>
        </w:tc>
        <w:tc>
          <w:tcPr>
            <w:tcW w:w="852" w:type="dxa"/>
          </w:tcPr>
          <w:p>
            <w:pPr>
              <w:pStyle w:val="TableParagraph"/>
              <w:ind w:left="67"/>
              <w:rPr>
                <w:sz w:val="18"/>
              </w:rPr>
            </w:pPr>
            <w:r>
              <w:rPr>
                <w:color w:val="231F20"/>
                <w:w w:val="105"/>
                <w:sz w:val="18"/>
              </w:rPr>
              <w:t>136 112</w:t>
            </w:r>
          </w:p>
        </w:tc>
        <w:tc>
          <w:tcPr>
            <w:tcW w:w="825" w:type="dxa"/>
          </w:tcPr>
          <w:p>
            <w:pPr>
              <w:pStyle w:val="TableParagraph"/>
              <w:ind w:left="87"/>
              <w:rPr>
                <w:sz w:val="18"/>
              </w:rPr>
            </w:pPr>
            <w:r>
              <w:rPr>
                <w:color w:val="231F20"/>
                <w:w w:val="105"/>
                <w:sz w:val="18"/>
              </w:rPr>
              <w:t>51 664</w:t>
            </w:r>
          </w:p>
        </w:tc>
        <w:tc>
          <w:tcPr>
            <w:tcW w:w="952" w:type="dxa"/>
          </w:tcPr>
          <w:p>
            <w:pPr>
              <w:pStyle w:val="TableParagraph"/>
              <w:ind w:right="168"/>
              <w:jc w:val="right"/>
              <w:rPr>
                <w:sz w:val="18"/>
              </w:rPr>
            </w:pPr>
            <w:r>
              <w:rPr>
                <w:color w:val="231F20"/>
                <w:w w:val="105"/>
                <w:sz w:val="18"/>
              </w:rPr>
              <w:t>187 776</w:t>
            </w:r>
          </w:p>
        </w:tc>
        <w:tc>
          <w:tcPr>
            <w:tcW w:w="794" w:type="dxa"/>
          </w:tcPr>
          <w:p>
            <w:pPr>
              <w:pStyle w:val="TableParagraph"/>
              <w:ind w:right="168"/>
              <w:jc w:val="right"/>
              <w:rPr>
                <w:sz w:val="18"/>
              </w:rPr>
            </w:pPr>
            <w:r>
              <w:rPr>
                <w:color w:val="231F20"/>
                <w:sz w:val="18"/>
              </w:rPr>
              <w:t>72.5</w:t>
            </w:r>
          </w:p>
        </w:tc>
        <w:tc>
          <w:tcPr>
            <w:tcW w:w="725" w:type="dxa"/>
          </w:tcPr>
          <w:p>
            <w:pPr>
              <w:pStyle w:val="TableParagraph"/>
              <w:ind w:right="168"/>
              <w:jc w:val="right"/>
              <w:rPr>
                <w:sz w:val="18"/>
              </w:rPr>
            </w:pPr>
            <w:r>
              <w:rPr>
                <w:color w:val="231F20"/>
                <w:sz w:val="18"/>
              </w:rPr>
              <w:t>27.5</w:t>
            </w:r>
          </w:p>
        </w:tc>
        <w:tc>
          <w:tcPr>
            <w:tcW w:w="703" w:type="dxa"/>
          </w:tcPr>
          <w:p>
            <w:pPr>
              <w:pStyle w:val="TableParagraph"/>
              <w:ind w:left="75"/>
              <w:rPr>
                <w:sz w:val="18"/>
              </w:rPr>
            </w:pPr>
            <w:r>
              <w:rPr>
                <w:color w:val="231F20"/>
                <w:w w:val="105"/>
                <w:sz w:val="18"/>
              </w:rPr>
              <w:t>100.0</w:t>
            </w:r>
          </w:p>
        </w:tc>
        <w:tc>
          <w:tcPr>
            <w:tcW w:w="697" w:type="dxa"/>
          </w:tcPr>
          <w:p>
            <w:pPr>
              <w:pStyle w:val="TableParagraph"/>
              <w:ind w:right="168"/>
              <w:jc w:val="right"/>
              <w:rPr>
                <w:sz w:val="18"/>
              </w:rPr>
            </w:pPr>
            <w:r>
              <w:rPr>
                <w:color w:val="231F20"/>
                <w:sz w:val="18"/>
              </w:rPr>
              <w:t>11.5</w:t>
            </w:r>
          </w:p>
        </w:tc>
      </w:tr>
      <w:tr>
        <w:trPr>
          <w:trHeight w:val="340" w:hRule="exact"/>
        </w:trPr>
        <w:tc>
          <w:tcPr>
            <w:tcW w:w="1424" w:type="dxa"/>
          </w:tcPr>
          <w:p>
            <w:pPr>
              <w:pStyle w:val="TableParagraph"/>
              <w:spacing w:before="89"/>
              <w:ind w:left="74" w:right="269"/>
              <w:rPr>
                <w:rFonts w:ascii="Arial"/>
                <w:sz w:val="18"/>
              </w:rPr>
            </w:pPr>
            <w:r>
              <w:rPr>
                <w:rFonts w:ascii="Arial"/>
                <w:color w:val="231F20"/>
                <w:w w:val="105"/>
                <w:sz w:val="18"/>
              </w:rPr>
              <w:t>Morelos</w:t>
            </w:r>
          </w:p>
        </w:tc>
        <w:tc>
          <w:tcPr>
            <w:tcW w:w="852" w:type="dxa"/>
          </w:tcPr>
          <w:p>
            <w:pPr>
              <w:pStyle w:val="TableParagraph"/>
              <w:ind w:left="114"/>
              <w:rPr>
                <w:sz w:val="18"/>
              </w:rPr>
            </w:pPr>
            <w:r>
              <w:rPr>
                <w:color w:val="231F20"/>
                <w:w w:val="105"/>
                <w:sz w:val="18"/>
              </w:rPr>
              <w:t>13 121</w:t>
            </w:r>
          </w:p>
        </w:tc>
        <w:tc>
          <w:tcPr>
            <w:tcW w:w="825" w:type="dxa"/>
          </w:tcPr>
          <w:p>
            <w:pPr>
              <w:pStyle w:val="TableParagraph"/>
              <w:ind w:left="87"/>
              <w:rPr>
                <w:sz w:val="18"/>
              </w:rPr>
            </w:pPr>
            <w:r>
              <w:rPr>
                <w:color w:val="231F20"/>
                <w:w w:val="105"/>
                <w:sz w:val="18"/>
              </w:rPr>
              <w:t>13 310</w:t>
            </w:r>
          </w:p>
        </w:tc>
        <w:tc>
          <w:tcPr>
            <w:tcW w:w="952" w:type="dxa"/>
          </w:tcPr>
          <w:p>
            <w:pPr>
              <w:pStyle w:val="TableParagraph"/>
              <w:ind w:right="168"/>
              <w:jc w:val="right"/>
              <w:rPr>
                <w:sz w:val="18"/>
              </w:rPr>
            </w:pPr>
            <w:r>
              <w:rPr>
                <w:color w:val="231F20"/>
                <w:w w:val="105"/>
                <w:sz w:val="18"/>
              </w:rPr>
              <w:t>26 431</w:t>
            </w:r>
          </w:p>
        </w:tc>
        <w:tc>
          <w:tcPr>
            <w:tcW w:w="794" w:type="dxa"/>
          </w:tcPr>
          <w:p>
            <w:pPr>
              <w:pStyle w:val="TableParagraph"/>
              <w:ind w:right="168"/>
              <w:jc w:val="right"/>
              <w:rPr>
                <w:sz w:val="18"/>
              </w:rPr>
            </w:pPr>
            <w:r>
              <w:rPr>
                <w:color w:val="231F20"/>
                <w:sz w:val="18"/>
              </w:rPr>
              <w:t>49.6</w:t>
            </w:r>
          </w:p>
        </w:tc>
        <w:tc>
          <w:tcPr>
            <w:tcW w:w="725" w:type="dxa"/>
          </w:tcPr>
          <w:p>
            <w:pPr>
              <w:pStyle w:val="TableParagraph"/>
              <w:ind w:right="169"/>
              <w:jc w:val="right"/>
              <w:rPr>
                <w:sz w:val="18"/>
              </w:rPr>
            </w:pPr>
            <w:r>
              <w:rPr>
                <w:color w:val="231F20"/>
                <w:sz w:val="18"/>
              </w:rPr>
              <w:t>50.4</w:t>
            </w:r>
          </w:p>
        </w:tc>
        <w:tc>
          <w:tcPr>
            <w:tcW w:w="703" w:type="dxa"/>
          </w:tcPr>
          <w:p>
            <w:pPr>
              <w:pStyle w:val="TableParagraph"/>
              <w:ind w:left="74"/>
              <w:rPr>
                <w:sz w:val="18"/>
              </w:rPr>
            </w:pPr>
            <w:r>
              <w:rPr>
                <w:color w:val="231F20"/>
                <w:w w:val="105"/>
                <w:sz w:val="18"/>
              </w:rPr>
              <w:t>100.0</w:t>
            </w:r>
          </w:p>
        </w:tc>
        <w:tc>
          <w:tcPr>
            <w:tcW w:w="697" w:type="dxa"/>
          </w:tcPr>
          <w:p>
            <w:pPr>
              <w:pStyle w:val="TableParagraph"/>
              <w:ind w:right="169"/>
              <w:jc w:val="right"/>
              <w:rPr>
                <w:sz w:val="18"/>
              </w:rPr>
            </w:pPr>
            <w:r>
              <w:rPr>
                <w:color w:val="231F20"/>
                <w:sz w:val="18"/>
              </w:rPr>
              <w:t>1.6</w:t>
            </w:r>
          </w:p>
        </w:tc>
      </w:tr>
      <w:tr>
        <w:trPr>
          <w:trHeight w:val="340" w:hRule="exact"/>
        </w:trPr>
        <w:tc>
          <w:tcPr>
            <w:tcW w:w="1424" w:type="dxa"/>
          </w:tcPr>
          <w:p>
            <w:pPr>
              <w:pStyle w:val="TableParagraph"/>
              <w:spacing w:before="89"/>
              <w:ind w:left="74" w:right="269"/>
              <w:rPr>
                <w:rFonts w:ascii="Arial"/>
                <w:sz w:val="18"/>
              </w:rPr>
            </w:pPr>
            <w:r>
              <w:rPr>
                <w:rFonts w:ascii="Arial"/>
                <w:color w:val="231F20"/>
                <w:w w:val="105"/>
                <w:sz w:val="18"/>
              </w:rPr>
              <w:t>Nayarit</w:t>
            </w:r>
          </w:p>
        </w:tc>
        <w:tc>
          <w:tcPr>
            <w:tcW w:w="852" w:type="dxa"/>
          </w:tcPr>
          <w:p>
            <w:pPr>
              <w:pStyle w:val="TableParagraph"/>
              <w:spacing w:before="92"/>
              <w:ind w:left="114"/>
              <w:rPr>
                <w:sz w:val="18"/>
              </w:rPr>
            </w:pPr>
            <w:r>
              <w:rPr>
                <w:color w:val="231F20"/>
                <w:w w:val="105"/>
                <w:sz w:val="18"/>
              </w:rPr>
              <w:t>21 003</w:t>
            </w:r>
          </w:p>
        </w:tc>
        <w:tc>
          <w:tcPr>
            <w:tcW w:w="825" w:type="dxa"/>
          </w:tcPr>
          <w:p>
            <w:pPr>
              <w:pStyle w:val="TableParagraph"/>
              <w:spacing w:before="92"/>
              <w:ind w:left="190"/>
              <w:rPr>
                <w:sz w:val="18"/>
              </w:rPr>
            </w:pPr>
            <w:r>
              <w:rPr>
                <w:color w:val="231F20"/>
                <w:w w:val="105"/>
                <w:sz w:val="18"/>
              </w:rPr>
              <w:t>9 337</w:t>
            </w:r>
          </w:p>
        </w:tc>
        <w:tc>
          <w:tcPr>
            <w:tcW w:w="952" w:type="dxa"/>
          </w:tcPr>
          <w:p>
            <w:pPr>
              <w:pStyle w:val="TableParagraph"/>
              <w:spacing w:before="92"/>
              <w:ind w:right="169"/>
              <w:jc w:val="right"/>
              <w:rPr>
                <w:sz w:val="18"/>
              </w:rPr>
            </w:pPr>
            <w:r>
              <w:rPr>
                <w:color w:val="231F20"/>
                <w:w w:val="105"/>
                <w:sz w:val="18"/>
              </w:rPr>
              <w:t>30 340</w:t>
            </w:r>
          </w:p>
        </w:tc>
        <w:tc>
          <w:tcPr>
            <w:tcW w:w="794" w:type="dxa"/>
          </w:tcPr>
          <w:p>
            <w:pPr>
              <w:pStyle w:val="TableParagraph"/>
              <w:spacing w:before="92"/>
              <w:ind w:right="169"/>
              <w:jc w:val="right"/>
              <w:rPr>
                <w:sz w:val="18"/>
              </w:rPr>
            </w:pPr>
            <w:r>
              <w:rPr>
                <w:color w:val="231F20"/>
                <w:sz w:val="18"/>
              </w:rPr>
              <w:t>69.2</w:t>
            </w:r>
          </w:p>
        </w:tc>
        <w:tc>
          <w:tcPr>
            <w:tcW w:w="725" w:type="dxa"/>
          </w:tcPr>
          <w:p>
            <w:pPr>
              <w:pStyle w:val="TableParagraph"/>
              <w:spacing w:before="92"/>
              <w:ind w:right="169"/>
              <w:jc w:val="right"/>
              <w:rPr>
                <w:sz w:val="18"/>
              </w:rPr>
            </w:pPr>
            <w:r>
              <w:rPr>
                <w:color w:val="231F20"/>
                <w:sz w:val="18"/>
              </w:rPr>
              <w:t>30.8</w:t>
            </w:r>
          </w:p>
        </w:tc>
        <w:tc>
          <w:tcPr>
            <w:tcW w:w="703" w:type="dxa"/>
          </w:tcPr>
          <w:p>
            <w:pPr>
              <w:pStyle w:val="TableParagraph"/>
              <w:spacing w:before="92"/>
              <w:ind w:left="74"/>
              <w:rPr>
                <w:sz w:val="18"/>
              </w:rPr>
            </w:pPr>
            <w:r>
              <w:rPr>
                <w:color w:val="231F20"/>
                <w:w w:val="105"/>
                <w:sz w:val="18"/>
              </w:rPr>
              <w:t>100.0</w:t>
            </w:r>
          </w:p>
        </w:tc>
        <w:tc>
          <w:tcPr>
            <w:tcW w:w="697" w:type="dxa"/>
          </w:tcPr>
          <w:p>
            <w:pPr>
              <w:pStyle w:val="TableParagraph"/>
              <w:spacing w:before="92"/>
              <w:ind w:right="169"/>
              <w:jc w:val="right"/>
              <w:rPr>
                <w:sz w:val="18"/>
              </w:rPr>
            </w:pPr>
            <w:r>
              <w:rPr>
                <w:color w:val="231F20"/>
                <w:sz w:val="18"/>
              </w:rPr>
              <w:t>1.9</w:t>
            </w:r>
          </w:p>
        </w:tc>
      </w:tr>
      <w:tr>
        <w:trPr>
          <w:trHeight w:val="340" w:hRule="exact"/>
        </w:trPr>
        <w:tc>
          <w:tcPr>
            <w:tcW w:w="1424" w:type="dxa"/>
          </w:tcPr>
          <w:p>
            <w:pPr>
              <w:pStyle w:val="TableParagraph"/>
              <w:spacing w:before="89"/>
              <w:ind w:left="74" w:right="269"/>
              <w:rPr>
                <w:rFonts w:ascii="Arial" w:hAnsi="Arial"/>
                <w:sz w:val="18"/>
              </w:rPr>
            </w:pPr>
            <w:r>
              <w:rPr>
                <w:rFonts w:ascii="Arial" w:hAnsi="Arial"/>
                <w:color w:val="231F20"/>
                <w:w w:val="105"/>
                <w:sz w:val="18"/>
              </w:rPr>
              <w:t>Nuevo León</w:t>
            </w:r>
          </w:p>
        </w:tc>
        <w:tc>
          <w:tcPr>
            <w:tcW w:w="852" w:type="dxa"/>
          </w:tcPr>
          <w:p>
            <w:pPr>
              <w:pStyle w:val="TableParagraph"/>
              <w:spacing w:before="92"/>
              <w:ind w:left="114"/>
              <w:rPr>
                <w:sz w:val="18"/>
              </w:rPr>
            </w:pPr>
            <w:r>
              <w:rPr>
                <w:color w:val="231F20"/>
                <w:w w:val="105"/>
                <w:sz w:val="18"/>
              </w:rPr>
              <w:t>11 771</w:t>
            </w:r>
          </w:p>
        </w:tc>
        <w:tc>
          <w:tcPr>
            <w:tcW w:w="825" w:type="dxa"/>
          </w:tcPr>
          <w:p>
            <w:pPr>
              <w:pStyle w:val="TableParagraph"/>
              <w:spacing w:before="92"/>
              <w:ind w:left="190"/>
              <w:rPr>
                <w:sz w:val="18"/>
              </w:rPr>
            </w:pPr>
            <w:r>
              <w:rPr>
                <w:color w:val="231F20"/>
                <w:w w:val="105"/>
                <w:sz w:val="18"/>
              </w:rPr>
              <w:t>8 190</w:t>
            </w:r>
          </w:p>
        </w:tc>
        <w:tc>
          <w:tcPr>
            <w:tcW w:w="952" w:type="dxa"/>
          </w:tcPr>
          <w:p>
            <w:pPr>
              <w:pStyle w:val="TableParagraph"/>
              <w:spacing w:before="92"/>
              <w:ind w:right="169"/>
              <w:jc w:val="right"/>
              <w:rPr>
                <w:sz w:val="18"/>
              </w:rPr>
            </w:pPr>
            <w:r>
              <w:rPr>
                <w:color w:val="231F20"/>
                <w:w w:val="105"/>
                <w:sz w:val="18"/>
              </w:rPr>
              <w:t>19 961</w:t>
            </w:r>
          </w:p>
        </w:tc>
        <w:tc>
          <w:tcPr>
            <w:tcW w:w="794" w:type="dxa"/>
          </w:tcPr>
          <w:p>
            <w:pPr>
              <w:pStyle w:val="TableParagraph"/>
              <w:spacing w:before="92"/>
              <w:ind w:right="169"/>
              <w:jc w:val="right"/>
              <w:rPr>
                <w:sz w:val="18"/>
              </w:rPr>
            </w:pPr>
            <w:r>
              <w:rPr>
                <w:color w:val="231F20"/>
                <w:sz w:val="18"/>
              </w:rPr>
              <w:t>59.0</w:t>
            </w:r>
          </w:p>
        </w:tc>
        <w:tc>
          <w:tcPr>
            <w:tcW w:w="725" w:type="dxa"/>
          </w:tcPr>
          <w:p>
            <w:pPr>
              <w:pStyle w:val="TableParagraph"/>
              <w:spacing w:before="92"/>
              <w:ind w:right="169"/>
              <w:jc w:val="right"/>
              <w:rPr>
                <w:sz w:val="18"/>
              </w:rPr>
            </w:pPr>
            <w:r>
              <w:rPr>
                <w:color w:val="231F20"/>
                <w:sz w:val="18"/>
              </w:rPr>
              <w:t>41.0</w:t>
            </w:r>
          </w:p>
        </w:tc>
        <w:tc>
          <w:tcPr>
            <w:tcW w:w="703" w:type="dxa"/>
          </w:tcPr>
          <w:p>
            <w:pPr>
              <w:pStyle w:val="TableParagraph"/>
              <w:spacing w:before="92"/>
              <w:ind w:left="74"/>
              <w:rPr>
                <w:sz w:val="18"/>
              </w:rPr>
            </w:pPr>
            <w:r>
              <w:rPr>
                <w:color w:val="231F20"/>
                <w:w w:val="105"/>
                <w:sz w:val="18"/>
              </w:rPr>
              <w:t>100.0</w:t>
            </w:r>
          </w:p>
        </w:tc>
        <w:tc>
          <w:tcPr>
            <w:tcW w:w="697" w:type="dxa"/>
          </w:tcPr>
          <w:p>
            <w:pPr>
              <w:pStyle w:val="TableParagraph"/>
              <w:spacing w:before="92"/>
              <w:ind w:right="169"/>
              <w:jc w:val="right"/>
              <w:rPr>
                <w:sz w:val="18"/>
              </w:rPr>
            </w:pPr>
            <w:r>
              <w:rPr>
                <w:color w:val="231F20"/>
                <w:sz w:val="18"/>
              </w:rPr>
              <w:t>1.2</w:t>
            </w:r>
          </w:p>
        </w:tc>
      </w:tr>
      <w:tr>
        <w:trPr>
          <w:trHeight w:val="340" w:hRule="exact"/>
        </w:trPr>
        <w:tc>
          <w:tcPr>
            <w:tcW w:w="1424" w:type="dxa"/>
          </w:tcPr>
          <w:p>
            <w:pPr>
              <w:pStyle w:val="TableParagraph"/>
              <w:spacing w:before="89"/>
              <w:ind w:left="74" w:right="269"/>
              <w:rPr>
                <w:rFonts w:ascii="Arial"/>
                <w:sz w:val="18"/>
              </w:rPr>
            </w:pPr>
            <w:r>
              <w:rPr>
                <w:rFonts w:ascii="Arial"/>
                <w:color w:val="231F20"/>
                <w:sz w:val="18"/>
              </w:rPr>
              <w:t>Oaxaca</w:t>
            </w:r>
          </w:p>
        </w:tc>
        <w:tc>
          <w:tcPr>
            <w:tcW w:w="852" w:type="dxa"/>
          </w:tcPr>
          <w:p>
            <w:pPr>
              <w:pStyle w:val="TableParagraph"/>
              <w:spacing w:before="92"/>
              <w:ind w:left="113"/>
              <w:rPr>
                <w:sz w:val="18"/>
              </w:rPr>
            </w:pPr>
            <w:r>
              <w:rPr>
                <w:color w:val="231F20"/>
                <w:w w:val="105"/>
                <w:sz w:val="18"/>
              </w:rPr>
              <w:t>29 338</w:t>
            </w:r>
          </w:p>
        </w:tc>
        <w:tc>
          <w:tcPr>
            <w:tcW w:w="825" w:type="dxa"/>
          </w:tcPr>
          <w:p>
            <w:pPr>
              <w:pStyle w:val="TableParagraph"/>
              <w:spacing w:before="92"/>
              <w:ind w:left="86"/>
              <w:rPr>
                <w:sz w:val="18"/>
              </w:rPr>
            </w:pPr>
            <w:r>
              <w:rPr>
                <w:color w:val="231F20"/>
                <w:w w:val="105"/>
                <w:sz w:val="18"/>
              </w:rPr>
              <w:t>14 140</w:t>
            </w:r>
          </w:p>
        </w:tc>
        <w:tc>
          <w:tcPr>
            <w:tcW w:w="952" w:type="dxa"/>
          </w:tcPr>
          <w:p>
            <w:pPr>
              <w:pStyle w:val="TableParagraph"/>
              <w:spacing w:before="92"/>
              <w:ind w:right="169"/>
              <w:jc w:val="right"/>
              <w:rPr>
                <w:sz w:val="18"/>
              </w:rPr>
            </w:pPr>
            <w:r>
              <w:rPr>
                <w:color w:val="231F20"/>
                <w:w w:val="105"/>
                <w:sz w:val="18"/>
              </w:rPr>
              <w:t>43 478</w:t>
            </w:r>
          </w:p>
        </w:tc>
        <w:tc>
          <w:tcPr>
            <w:tcW w:w="794" w:type="dxa"/>
          </w:tcPr>
          <w:p>
            <w:pPr>
              <w:pStyle w:val="TableParagraph"/>
              <w:spacing w:before="92"/>
              <w:ind w:right="169"/>
              <w:jc w:val="right"/>
              <w:rPr>
                <w:sz w:val="18"/>
              </w:rPr>
            </w:pPr>
            <w:r>
              <w:rPr>
                <w:color w:val="231F20"/>
                <w:sz w:val="18"/>
              </w:rPr>
              <w:t>67.5</w:t>
            </w:r>
          </w:p>
        </w:tc>
        <w:tc>
          <w:tcPr>
            <w:tcW w:w="725" w:type="dxa"/>
          </w:tcPr>
          <w:p>
            <w:pPr>
              <w:pStyle w:val="TableParagraph"/>
              <w:spacing w:before="92"/>
              <w:ind w:right="169"/>
              <w:jc w:val="right"/>
              <w:rPr>
                <w:sz w:val="18"/>
              </w:rPr>
            </w:pPr>
            <w:r>
              <w:rPr>
                <w:color w:val="231F20"/>
                <w:sz w:val="18"/>
              </w:rPr>
              <w:t>32.5</w:t>
            </w:r>
          </w:p>
        </w:tc>
        <w:tc>
          <w:tcPr>
            <w:tcW w:w="703" w:type="dxa"/>
          </w:tcPr>
          <w:p>
            <w:pPr>
              <w:pStyle w:val="TableParagraph"/>
              <w:spacing w:before="92"/>
              <w:ind w:left="74"/>
              <w:rPr>
                <w:sz w:val="18"/>
              </w:rPr>
            </w:pPr>
            <w:r>
              <w:rPr>
                <w:color w:val="231F20"/>
                <w:w w:val="105"/>
                <w:sz w:val="18"/>
              </w:rPr>
              <w:t>100.0</w:t>
            </w:r>
          </w:p>
        </w:tc>
        <w:tc>
          <w:tcPr>
            <w:tcW w:w="697" w:type="dxa"/>
          </w:tcPr>
          <w:p>
            <w:pPr>
              <w:pStyle w:val="TableParagraph"/>
              <w:spacing w:before="92"/>
              <w:ind w:right="169"/>
              <w:jc w:val="right"/>
              <w:rPr>
                <w:sz w:val="18"/>
              </w:rPr>
            </w:pPr>
            <w:r>
              <w:rPr>
                <w:color w:val="231F20"/>
                <w:sz w:val="18"/>
              </w:rPr>
              <w:t>2.7</w:t>
            </w:r>
          </w:p>
        </w:tc>
      </w:tr>
      <w:tr>
        <w:trPr>
          <w:trHeight w:val="340" w:hRule="exact"/>
        </w:trPr>
        <w:tc>
          <w:tcPr>
            <w:tcW w:w="1424" w:type="dxa"/>
          </w:tcPr>
          <w:p>
            <w:pPr>
              <w:pStyle w:val="TableParagraph"/>
              <w:spacing w:before="89"/>
              <w:ind w:left="74" w:right="269"/>
              <w:rPr>
                <w:rFonts w:ascii="Arial"/>
                <w:sz w:val="18"/>
              </w:rPr>
            </w:pPr>
            <w:r>
              <w:rPr>
                <w:rFonts w:ascii="Arial"/>
                <w:color w:val="231F20"/>
                <w:w w:val="105"/>
                <w:sz w:val="18"/>
              </w:rPr>
              <w:t>Puebla</w:t>
            </w:r>
          </w:p>
        </w:tc>
        <w:tc>
          <w:tcPr>
            <w:tcW w:w="852" w:type="dxa"/>
          </w:tcPr>
          <w:p>
            <w:pPr>
              <w:pStyle w:val="TableParagraph"/>
              <w:spacing w:before="92"/>
              <w:ind w:left="113"/>
              <w:rPr>
                <w:sz w:val="18"/>
              </w:rPr>
            </w:pPr>
            <w:r>
              <w:rPr>
                <w:color w:val="231F20"/>
                <w:w w:val="105"/>
                <w:sz w:val="18"/>
              </w:rPr>
              <w:t>37 637</w:t>
            </w:r>
          </w:p>
        </w:tc>
        <w:tc>
          <w:tcPr>
            <w:tcW w:w="825" w:type="dxa"/>
          </w:tcPr>
          <w:p>
            <w:pPr>
              <w:pStyle w:val="TableParagraph"/>
              <w:spacing w:before="92"/>
              <w:ind w:left="86"/>
              <w:rPr>
                <w:sz w:val="18"/>
              </w:rPr>
            </w:pPr>
            <w:r>
              <w:rPr>
                <w:color w:val="231F20"/>
                <w:w w:val="105"/>
                <w:sz w:val="18"/>
              </w:rPr>
              <w:t>17 236</w:t>
            </w:r>
          </w:p>
        </w:tc>
        <w:tc>
          <w:tcPr>
            <w:tcW w:w="952" w:type="dxa"/>
          </w:tcPr>
          <w:p>
            <w:pPr>
              <w:pStyle w:val="TableParagraph"/>
              <w:spacing w:before="92"/>
              <w:ind w:right="169"/>
              <w:jc w:val="right"/>
              <w:rPr>
                <w:sz w:val="18"/>
              </w:rPr>
            </w:pPr>
            <w:r>
              <w:rPr>
                <w:color w:val="231F20"/>
                <w:w w:val="105"/>
                <w:sz w:val="18"/>
              </w:rPr>
              <w:t>54 873</w:t>
            </w:r>
          </w:p>
        </w:tc>
        <w:tc>
          <w:tcPr>
            <w:tcW w:w="794" w:type="dxa"/>
          </w:tcPr>
          <w:p>
            <w:pPr>
              <w:pStyle w:val="TableParagraph"/>
              <w:spacing w:before="92"/>
              <w:ind w:right="169"/>
              <w:jc w:val="right"/>
              <w:rPr>
                <w:sz w:val="18"/>
              </w:rPr>
            </w:pPr>
            <w:r>
              <w:rPr>
                <w:color w:val="231F20"/>
                <w:sz w:val="18"/>
              </w:rPr>
              <w:t>68.6</w:t>
            </w:r>
          </w:p>
        </w:tc>
        <w:tc>
          <w:tcPr>
            <w:tcW w:w="725" w:type="dxa"/>
          </w:tcPr>
          <w:p>
            <w:pPr>
              <w:pStyle w:val="TableParagraph"/>
              <w:spacing w:before="92"/>
              <w:ind w:right="169"/>
              <w:jc w:val="right"/>
              <w:rPr>
                <w:sz w:val="18"/>
              </w:rPr>
            </w:pPr>
            <w:r>
              <w:rPr>
                <w:color w:val="231F20"/>
                <w:sz w:val="18"/>
              </w:rPr>
              <w:t>31.4</w:t>
            </w:r>
          </w:p>
        </w:tc>
        <w:tc>
          <w:tcPr>
            <w:tcW w:w="703" w:type="dxa"/>
          </w:tcPr>
          <w:p>
            <w:pPr>
              <w:pStyle w:val="TableParagraph"/>
              <w:spacing w:before="92"/>
              <w:ind w:left="74"/>
              <w:rPr>
                <w:sz w:val="18"/>
              </w:rPr>
            </w:pPr>
            <w:r>
              <w:rPr>
                <w:color w:val="231F20"/>
                <w:w w:val="105"/>
                <w:sz w:val="18"/>
              </w:rPr>
              <w:t>100.0</w:t>
            </w:r>
          </w:p>
        </w:tc>
        <w:tc>
          <w:tcPr>
            <w:tcW w:w="697" w:type="dxa"/>
          </w:tcPr>
          <w:p>
            <w:pPr>
              <w:pStyle w:val="TableParagraph"/>
              <w:spacing w:before="92"/>
              <w:ind w:right="169"/>
              <w:jc w:val="right"/>
              <w:rPr>
                <w:sz w:val="18"/>
              </w:rPr>
            </w:pPr>
            <w:r>
              <w:rPr>
                <w:color w:val="231F20"/>
                <w:sz w:val="18"/>
              </w:rPr>
              <w:t>3.4</w:t>
            </w:r>
          </w:p>
        </w:tc>
      </w:tr>
      <w:tr>
        <w:trPr>
          <w:trHeight w:val="340" w:hRule="exact"/>
        </w:trPr>
        <w:tc>
          <w:tcPr>
            <w:tcW w:w="1424" w:type="dxa"/>
          </w:tcPr>
          <w:p>
            <w:pPr>
              <w:pStyle w:val="TableParagraph"/>
              <w:spacing w:before="89"/>
              <w:ind w:left="74" w:right="269"/>
              <w:rPr>
                <w:rFonts w:ascii="Arial" w:hAnsi="Arial"/>
                <w:sz w:val="18"/>
              </w:rPr>
            </w:pPr>
            <w:r>
              <w:rPr>
                <w:rFonts w:ascii="Arial" w:hAnsi="Arial"/>
                <w:color w:val="231F20"/>
                <w:w w:val="105"/>
                <w:sz w:val="18"/>
              </w:rPr>
              <w:t>Querétaro</w:t>
            </w:r>
          </w:p>
        </w:tc>
        <w:tc>
          <w:tcPr>
            <w:tcW w:w="852" w:type="dxa"/>
          </w:tcPr>
          <w:p>
            <w:pPr>
              <w:pStyle w:val="TableParagraph"/>
              <w:spacing w:before="92"/>
              <w:ind w:left="113"/>
              <w:rPr>
                <w:sz w:val="18"/>
              </w:rPr>
            </w:pPr>
            <w:r>
              <w:rPr>
                <w:color w:val="231F20"/>
                <w:w w:val="105"/>
                <w:sz w:val="18"/>
              </w:rPr>
              <w:t>11 048</w:t>
            </w:r>
          </w:p>
        </w:tc>
        <w:tc>
          <w:tcPr>
            <w:tcW w:w="825" w:type="dxa"/>
          </w:tcPr>
          <w:p>
            <w:pPr>
              <w:pStyle w:val="TableParagraph"/>
              <w:spacing w:before="92"/>
              <w:ind w:left="189"/>
              <w:rPr>
                <w:sz w:val="18"/>
              </w:rPr>
            </w:pPr>
            <w:r>
              <w:rPr>
                <w:color w:val="231F20"/>
                <w:w w:val="105"/>
                <w:sz w:val="18"/>
              </w:rPr>
              <w:t>3 596</w:t>
            </w:r>
          </w:p>
        </w:tc>
        <w:tc>
          <w:tcPr>
            <w:tcW w:w="952" w:type="dxa"/>
          </w:tcPr>
          <w:p>
            <w:pPr>
              <w:pStyle w:val="TableParagraph"/>
              <w:spacing w:before="92"/>
              <w:ind w:right="169"/>
              <w:jc w:val="right"/>
              <w:rPr>
                <w:sz w:val="18"/>
              </w:rPr>
            </w:pPr>
            <w:r>
              <w:rPr>
                <w:color w:val="231F20"/>
                <w:w w:val="105"/>
                <w:sz w:val="18"/>
              </w:rPr>
              <w:t>14 644</w:t>
            </w:r>
          </w:p>
        </w:tc>
        <w:tc>
          <w:tcPr>
            <w:tcW w:w="794" w:type="dxa"/>
          </w:tcPr>
          <w:p>
            <w:pPr>
              <w:pStyle w:val="TableParagraph"/>
              <w:spacing w:before="92"/>
              <w:ind w:right="169"/>
              <w:jc w:val="right"/>
              <w:rPr>
                <w:sz w:val="18"/>
              </w:rPr>
            </w:pPr>
            <w:r>
              <w:rPr>
                <w:color w:val="231F20"/>
                <w:sz w:val="18"/>
              </w:rPr>
              <w:t>75.4</w:t>
            </w:r>
          </w:p>
        </w:tc>
        <w:tc>
          <w:tcPr>
            <w:tcW w:w="725" w:type="dxa"/>
          </w:tcPr>
          <w:p>
            <w:pPr>
              <w:pStyle w:val="TableParagraph"/>
              <w:spacing w:before="92"/>
              <w:ind w:right="169"/>
              <w:jc w:val="right"/>
              <w:rPr>
                <w:sz w:val="18"/>
              </w:rPr>
            </w:pPr>
            <w:r>
              <w:rPr>
                <w:color w:val="231F20"/>
                <w:sz w:val="18"/>
              </w:rPr>
              <w:t>24.6</w:t>
            </w:r>
          </w:p>
        </w:tc>
        <w:tc>
          <w:tcPr>
            <w:tcW w:w="703" w:type="dxa"/>
          </w:tcPr>
          <w:p>
            <w:pPr>
              <w:pStyle w:val="TableParagraph"/>
              <w:spacing w:before="92"/>
              <w:ind w:left="73"/>
              <w:rPr>
                <w:sz w:val="18"/>
              </w:rPr>
            </w:pPr>
            <w:r>
              <w:rPr>
                <w:color w:val="231F20"/>
                <w:w w:val="105"/>
                <w:sz w:val="18"/>
              </w:rPr>
              <w:t>100.0</w:t>
            </w:r>
          </w:p>
        </w:tc>
        <w:tc>
          <w:tcPr>
            <w:tcW w:w="697" w:type="dxa"/>
          </w:tcPr>
          <w:p>
            <w:pPr>
              <w:pStyle w:val="TableParagraph"/>
              <w:spacing w:before="92"/>
              <w:ind w:right="170"/>
              <w:jc w:val="right"/>
              <w:rPr>
                <w:sz w:val="18"/>
              </w:rPr>
            </w:pPr>
            <w:r>
              <w:rPr>
                <w:color w:val="231F20"/>
                <w:sz w:val="18"/>
              </w:rPr>
              <w:t>0.9</w:t>
            </w:r>
          </w:p>
        </w:tc>
      </w:tr>
      <w:tr>
        <w:trPr>
          <w:trHeight w:val="340" w:hRule="exact"/>
        </w:trPr>
        <w:tc>
          <w:tcPr>
            <w:tcW w:w="1424" w:type="dxa"/>
          </w:tcPr>
          <w:p>
            <w:pPr>
              <w:pStyle w:val="TableParagraph"/>
              <w:spacing w:before="89"/>
              <w:ind w:left="73"/>
              <w:rPr>
                <w:rFonts w:ascii="Arial"/>
                <w:sz w:val="18"/>
              </w:rPr>
            </w:pPr>
            <w:r>
              <w:rPr>
                <w:rFonts w:ascii="Arial"/>
                <w:color w:val="231F20"/>
                <w:w w:val="105"/>
                <w:sz w:val="18"/>
              </w:rPr>
              <w:t>Quintana Roo</w:t>
            </w:r>
          </w:p>
        </w:tc>
        <w:tc>
          <w:tcPr>
            <w:tcW w:w="852" w:type="dxa"/>
          </w:tcPr>
          <w:p>
            <w:pPr>
              <w:pStyle w:val="TableParagraph"/>
              <w:spacing w:before="92"/>
              <w:ind w:left="364"/>
              <w:rPr>
                <w:sz w:val="18"/>
              </w:rPr>
            </w:pPr>
            <w:r>
              <w:rPr>
                <w:color w:val="231F20"/>
                <w:w w:val="105"/>
                <w:sz w:val="18"/>
              </w:rPr>
              <w:t>465</w:t>
            </w:r>
          </w:p>
        </w:tc>
        <w:tc>
          <w:tcPr>
            <w:tcW w:w="825" w:type="dxa"/>
          </w:tcPr>
          <w:p>
            <w:pPr>
              <w:pStyle w:val="TableParagraph"/>
              <w:spacing w:before="92"/>
              <w:ind w:left="337"/>
              <w:rPr>
                <w:sz w:val="18"/>
              </w:rPr>
            </w:pPr>
            <w:r>
              <w:rPr>
                <w:color w:val="231F20"/>
                <w:w w:val="105"/>
                <w:sz w:val="18"/>
              </w:rPr>
              <w:t>158</w:t>
            </w:r>
          </w:p>
        </w:tc>
        <w:tc>
          <w:tcPr>
            <w:tcW w:w="952" w:type="dxa"/>
          </w:tcPr>
          <w:p>
            <w:pPr>
              <w:pStyle w:val="TableParagraph"/>
              <w:spacing w:before="92"/>
              <w:ind w:right="170"/>
              <w:jc w:val="right"/>
              <w:rPr>
                <w:sz w:val="18"/>
              </w:rPr>
            </w:pPr>
            <w:r>
              <w:rPr>
                <w:color w:val="231F20"/>
                <w:w w:val="105"/>
                <w:sz w:val="18"/>
              </w:rPr>
              <w:t>623</w:t>
            </w:r>
          </w:p>
        </w:tc>
        <w:tc>
          <w:tcPr>
            <w:tcW w:w="794" w:type="dxa"/>
          </w:tcPr>
          <w:p>
            <w:pPr>
              <w:pStyle w:val="TableParagraph"/>
              <w:spacing w:before="92"/>
              <w:ind w:right="170"/>
              <w:jc w:val="right"/>
              <w:rPr>
                <w:sz w:val="18"/>
              </w:rPr>
            </w:pPr>
            <w:r>
              <w:rPr>
                <w:color w:val="231F20"/>
                <w:sz w:val="18"/>
              </w:rPr>
              <w:t>74.6</w:t>
            </w:r>
          </w:p>
        </w:tc>
        <w:tc>
          <w:tcPr>
            <w:tcW w:w="725" w:type="dxa"/>
          </w:tcPr>
          <w:p>
            <w:pPr>
              <w:pStyle w:val="TableParagraph"/>
              <w:spacing w:before="92"/>
              <w:ind w:right="170"/>
              <w:jc w:val="right"/>
              <w:rPr>
                <w:sz w:val="18"/>
              </w:rPr>
            </w:pPr>
            <w:r>
              <w:rPr>
                <w:color w:val="231F20"/>
                <w:sz w:val="18"/>
              </w:rPr>
              <w:t>25.4</w:t>
            </w:r>
          </w:p>
        </w:tc>
        <w:tc>
          <w:tcPr>
            <w:tcW w:w="703" w:type="dxa"/>
          </w:tcPr>
          <w:p>
            <w:pPr>
              <w:pStyle w:val="TableParagraph"/>
              <w:spacing w:before="92"/>
              <w:ind w:left="73"/>
              <w:rPr>
                <w:sz w:val="18"/>
              </w:rPr>
            </w:pPr>
            <w:r>
              <w:rPr>
                <w:color w:val="231F20"/>
                <w:w w:val="105"/>
                <w:sz w:val="18"/>
              </w:rPr>
              <w:t>100.0</w:t>
            </w:r>
          </w:p>
        </w:tc>
        <w:tc>
          <w:tcPr>
            <w:tcW w:w="697" w:type="dxa"/>
          </w:tcPr>
          <w:p>
            <w:pPr>
              <w:pStyle w:val="TableParagraph"/>
              <w:spacing w:before="92"/>
              <w:ind w:right="170"/>
              <w:jc w:val="right"/>
              <w:rPr>
                <w:sz w:val="18"/>
              </w:rPr>
            </w:pPr>
            <w:r>
              <w:rPr>
                <w:color w:val="231F20"/>
                <w:sz w:val="18"/>
              </w:rPr>
              <w:t>0.0</w:t>
            </w:r>
          </w:p>
        </w:tc>
      </w:tr>
      <w:tr>
        <w:trPr>
          <w:trHeight w:val="340" w:hRule="exact"/>
        </w:trPr>
        <w:tc>
          <w:tcPr>
            <w:tcW w:w="1424" w:type="dxa"/>
          </w:tcPr>
          <w:p>
            <w:pPr>
              <w:pStyle w:val="TableParagraph"/>
              <w:spacing w:before="89"/>
              <w:ind w:left="73"/>
              <w:rPr>
                <w:rFonts w:ascii="Arial" w:hAnsi="Arial"/>
                <w:sz w:val="18"/>
              </w:rPr>
            </w:pPr>
            <w:r>
              <w:rPr>
                <w:rFonts w:ascii="Arial" w:hAnsi="Arial"/>
                <w:color w:val="231F20"/>
                <w:sz w:val="18"/>
              </w:rPr>
              <w:t>San Luis Potosí</w:t>
            </w:r>
          </w:p>
        </w:tc>
        <w:tc>
          <w:tcPr>
            <w:tcW w:w="852" w:type="dxa"/>
          </w:tcPr>
          <w:p>
            <w:pPr>
              <w:pStyle w:val="TableParagraph"/>
              <w:spacing w:before="92"/>
              <w:ind w:left="113"/>
              <w:rPr>
                <w:sz w:val="18"/>
              </w:rPr>
            </w:pPr>
            <w:r>
              <w:rPr>
                <w:color w:val="231F20"/>
                <w:w w:val="105"/>
                <w:sz w:val="18"/>
              </w:rPr>
              <w:t>11 199</w:t>
            </w:r>
          </w:p>
        </w:tc>
        <w:tc>
          <w:tcPr>
            <w:tcW w:w="825" w:type="dxa"/>
          </w:tcPr>
          <w:p>
            <w:pPr>
              <w:pStyle w:val="TableParagraph"/>
              <w:spacing w:before="92"/>
              <w:ind w:left="189"/>
              <w:rPr>
                <w:sz w:val="18"/>
              </w:rPr>
            </w:pPr>
            <w:r>
              <w:rPr>
                <w:color w:val="231F20"/>
                <w:w w:val="105"/>
                <w:sz w:val="18"/>
              </w:rPr>
              <w:t>5 425</w:t>
            </w:r>
          </w:p>
        </w:tc>
        <w:tc>
          <w:tcPr>
            <w:tcW w:w="952" w:type="dxa"/>
          </w:tcPr>
          <w:p>
            <w:pPr>
              <w:pStyle w:val="TableParagraph"/>
              <w:spacing w:before="92"/>
              <w:ind w:right="170"/>
              <w:jc w:val="right"/>
              <w:rPr>
                <w:sz w:val="18"/>
              </w:rPr>
            </w:pPr>
            <w:r>
              <w:rPr>
                <w:color w:val="231F20"/>
                <w:w w:val="105"/>
                <w:sz w:val="18"/>
              </w:rPr>
              <w:t>16 624</w:t>
            </w:r>
          </w:p>
        </w:tc>
        <w:tc>
          <w:tcPr>
            <w:tcW w:w="794" w:type="dxa"/>
          </w:tcPr>
          <w:p>
            <w:pPr>
              <w:pStyle w:val="TableParagraph"/>
              <w:spacing w:before="92"/>
              <w:ind w:right="170"/>
              <w:jc w:val="right"/>
              <w:rPr>
                <w:sz w:val="18"/>
              </w:rPr>
            </w:pPr>
            <w:r>
              <w:rPr>
                <w:color w:val="231F20"/>
                <w:sz w:val="18"/>
              </w:rPr>
              <w:t>67.4</w:t>
            </w:r>
          </w:p>
        </w:tc>
        <w:tc>
          <w:tcPr>
            <w:tcW w:w="725" w:type="dxa"/>
          </w:tcPr>
          <w:p>
            <w:pPr>
              <w:pStyle w:val="TableParagraph"/>
              <w:spacing w:before="92"/>
              <w:ind w:right="170"/>
              <w:jc w:val="right"/>
              <w:rPr>
                <w:sz w:val="18"/>
              </w:rPr>
            </w:pPr>
            <w:r>
              <w:rPr>
                <w:color w:val="231F20"/>
                <w:sz w:val="18"/>
              </w:rPr>
              <w:t>32.6</w:t>
            </w:r>
          </w:p>
        </w:tc>
        <w:tc>
          <w:tcPr>
            <w:tcW w:w="703" w:type="dxa"/>
          </w:tcPr>
          <w:p>
            <w:pPr>
              <w:pStyle w:val="TableParagraph"/>
              <w:spacing w:before="92"/>
              <w:ind w:left="73"/>
              <w:rPr>
                <w:sz w:val="18"/>
              </w:rPr>
            </w:pPr>
            <w:r>
              <w:rPr>
                <w:color w:val="231F20"/>
                <w:w w:val="105"/>
                <w:sz w:val="18"/>
              </w:rPr>
              <w:t>100.0</w:t>
            </w:r>
          </w:p>
        </w:tc>
        <w:tc>
          <w:tcPr>
            <w:tcW w:w="697" w:type="dxa"/>
          </w:tcPr>
          <w:p>
            <w:pPr>
              <w:pStyle w:val="TableParagraph"/>
              <w:spacing w:before="92"/>
              <w:ind w:right="170"/>
              <w:jc w:val="right"/>
              <w:rPr>
                <w:sz w:val="18"/>
              </w:rPr>
            </w:pPr>
            <w:r>
              <w:rPr>
                <w:color w:val="231F20"/>
                <w:sz w:val="18"/>
              </w:rPr>
              <w:t>1.0</w:t>
            </w:r>
          </w:p>
        </w:tc>
      </w:tr>
      <w:tr>
        <w:trPr>
          <w:trHeight w:val="340" w:hRule="exact"/>
        </w:trPr>
        <w:tc>
          <w:tcPr>
            <w:tcW w:w="1424" w:type="dxa"/>
          </w:tcPr>
          <w:p>
            <w:pPr>
              <w:pStyle w:val="TableParagraph"/>
              <w:spacing w:before="89"/>
              <w:ind w:left="73" w:right="269"/>
              <w:rPr>
                <w:rFonts w:ascii="Arial"/>
                <w:sz w:val="18"/>
              </w:rPr>
            </w:pPr>
            <w:r>
              <w:rPr>
                <w:rFonts w:ascii="Arial"/>
                <w:color w:val="231F20"/>
                <w:sz w:val="18"/>
              </w:rPr>
              <w:t>Sinaloa</w:t>
            </w:r>
          </w:p>
        </w:tc>
        <w:tc>
          <w:tcPr>
            <w:tcW w:w="852" w:type="dxa"/>
          </w:tcPr>
          <w:p>
            <w:pPr>
              <w:pStyle w:val="TableParagraph"/>
              <w:spacing w:before="92"/>
              <w:ind w:left="112"/>
              <w:rPr>
                <w:sz w:val="18"/>
              </w:rPr>
            </w:pPr>
            <w:r>
              <w:rPr>
                <w:color w:val="231F20"/>
                <w:w w:val="105"/>
                <w:sz w:val="18"/>
              </w:rPr>
              <w:t>22 198</w:t>
            </w:r>
          </w:p>
        </w:tc>
        <w:tc>
          <w:tcPr>
            <w:tcW w:w="825" w:type="dxa"/>
          </w:tcPr>
          <w:p>
            <w:pPr>
              <w:pStyle w:val="TableParagraph"/>
              <w:spacing w:before="92"/>
              <w:ind w:left="85"/>
              <w:rPr>
                <w:sz w:val="18"/>
              </w:rPr>
            </w:pPr>
            <w:r>
              <w:rPr>
                <w:color w:val="231F20"/>
                <w:w w:val="105"/>
                <w:sz w:val="18"/>
              </w:rPr>
              <w:t>18 778</w:t>
            </w:r>
          </w:p>
        </w:tc>
        <w:tc>
          <w:tcPr>
            <w:tcW w:w="952" w:type="dxa"/>
          </w:tcPr>
          <w:p>
            <w:pPr>
              <w:pStyle w:val="TableParagraph"/>
              <w:spacing w:before="92"/>
              <w:ind w:right="170"/>
              <w:jc w:val="right"/>
              <w:rPr>
                <w:sz w:val="18"/>
              </w:rPr>
            </w:pPr>
            <w:r>
              <w:rPr>
                <w:color w:val="231F20"/>
                <w:w w:val="105"/>
                <w:sz w:val="18"/>
              </w:rPr>
              <w:t>40 976</w:t>
            </w:r>
          </w:p>
        </w:tc>
        <w:tc>
          <w:tcPr>
            <w:tcW w:w="794" w:type="dxa"/>
          </w:tcPr>
          <w:p>
            <w:pPr>
              <w:pStyle w:val="TableParagraph"/>
              <w:spacing w:before="92"/>
              <w:ind w:right="170"/>
              <w:jc w:val="right"/>
              <w:rPr>
                <w:sz w:val="18"/>
              </w:rPr>
            </w:pPr>
            <w:r>
              <w:rPr>
                <w:color w:val="231F20"/>
                <w:sz w:val="18"/>
              </w:rPr>
              <w:t>54.2</w:t>
            </w:r>
          </w:p>
        </w:tc>
        <w:tc>
          <w:tcPr>
            <w:tcW w:w="725" w:type="dxa"/>
          </w:tcPr>
          <w:p>
            <w:pPr>
              <w:pStyle w:val="TableParagraph"/>
              <w:spacing w:before="92"/>
              <w:ind w:right="170"/>
              <w:jc w:val="right"/>
              <w:rPr>
                <w:sz w:val="18"/>
              </w:rPr>
            </w:pPr>
            <w:r>
              <w:rPr>
                <w:color w:val="231F20"/>
                <w:sz w:val="18"/>
              </w:rPr>
              <w:t>45.8</w:t>
            </w:r>
          </w:p>
        </w:tc>
        <w:tc>
          <w:tcPr>
            <w:tcW w:w="703" w:type="dxa"/>
          </w:tcPr>
          <w:p>
            <w:pPr>
              <w:pStyle w:val="TableParagraph"/>
              <w:spacing w:before="92"/>
              <w:ind w:left="73"/>
              <w:rPr>
                <w:sz w:val="18"/>
              </w:rPr>
            </w:pPr>
            <w:r>
              <w:rPr>
                <w:color w:val="231F20"/>
                <w:w w:val="105"/>
                <w:sz w:val="18"/>
              </w:rPr>
              <w:t>100.0</w:t>
            </w:r>
          </w:p>
        </w:tc>
        <w:tc>
          <w:tcPr>
            <w:tcW w:w="697" w:type="dxa"/>
          </w:tcPr>
          <w:p>
            <w:pPr>
              <w:pStyle w:val="TableParagraph"/>
              <w:spacing w:before="92"/>
              <w:ind w:right="170"/>
              <w:jc w:val="right"/>
              <w:rPr>
                <w:sz w:val="18"/>
              </w:rPr>
            </w:pPr>
            <w:r>
              <w:rPr>
                <w:color w:val="231F20"/>
                <w:sz w:val="18"/>
              </w:rPr>
              <w:t>2.5</w:t>
            </w:r>
          </w:p>
        </w:tc>
      </w:tr>
      <w:tr>
        <w:trPr>
          <w:trHeight w:val="340" w:hRule="exact"/>
        </w:trPr>
        <w:tc>
          <w:tcPr>
            <w:tcW w:w="1424" w:type="dxa"/>
          </w:tcPr>
          <w:p>
            <w:pPr>
              <w:pStyle w:val="TableParagraph"/>
              <w:spacing w:before="89"/>
              <w:ind w:left="73" w:right="269"/>
              <w:rPr>
                <w:rFonts w:ascii="Arial"/>
                <w:sz w:val="18"/>
              </w:rPr>
            </w:pPr>
            <w:r>
              <w:rPr>
                <w:rFonts w:ascii="Arial"/>
                <w:color w:val="231F20"/>
                <w:sz w:val="18"/>
              </w:rPr>
              <w:t>Sonora</w:t>
            </w:r>
          </w:p>
        </w:tc>
        <w:tc>
          <w:tcPr>
            <w:tcW w:w="852" w:type="dxa"/>
          </w:tcPr>
          <w:p>
            <w:pPr>
              <w:pStyle w:val="TableParagraph"/>
              <w:spacing w:before="92"/>
              <w:ind w:left="112"/>
              <w:rPr>
                <w:sz w:val="18"/>
              </w:rPr>
            </w:pPr>
            <w:r>
              <w:rPr>
                <w:color w:val="231F20"/>
                <w:w w:val="105"/>
                <w:sz w:val="18"/>
              </w:rPr>
              <w:t>20 492</w:t>
            </w:r>
          </w:p>
        </w:tc>
        <w:tc>
          <w:tcPr>
            <w:tcW w:w="825" w:type="dxa"/>
          </w:tcPr>
          <w:p>
            <w:pPr>
              <w:pStyle w:val="TableParagraph"/>
              <w:spacing w:before="92"/>
              <w:ind w:left="85"/>
              <w:rPr>
                <w:sz w:val="18"/>
              </w:rPr>
            </w:pPr>
            <w:r>
              <w:rPr>
                <w:color w:val="231F20"/>
                <w:w w:val="105"/>
                <w:sz w:val="18"/>
              </w:rPr>
              <w:t>14 227</w:t>
            </w:r>
          </w:p>
        </w:tc>
        <w:tc>
          <w:tcPr>
            <w:tcW w:w="952" w:type="dxa"/>
          </w:tcPr>
          <w:p>
            <w:pPr>
              <w:pStyle w:val="TableParagraph"/>
              <w:spacing w:before="92"/>
              <w:ind w:right="170"/>
              <w:jc w:val="right"/>
              <w:rPr>
                <w:sz w:val="18"/>
              </w:rPr>
            </w:pPr>
            <w:r>
              <w:rPr>
                <w:color w:val="231F20"/>
                <w:w w:val="105"/>
                <w:sz w:val="18"/>
              </w:rPr>
              <w:t>34 719</w:t>
            </w:r>
          </w:p>
        </w:tc>
        <w:tc>
          <w:tcPr>
            <w:tcW w:w="794" w:type="dxa"/>
          </w:tcPr>
          <w:p>
            <w:pPr>
              <w:pStyle w:val="TableParagraph"/>
              <w:spacing w:before="92"/>
              <w:ind w:right="170"/>
              <w:jc w:val="right"/>
              <w:rPr>
                <w:sz w:val="18"/>
              </w:rPr>
            </w:pPr>
            <w:r>
              <w:rPr>
                <w:color w:val="231F20"/>
                <w:sz w:val="18"/>
              </w:rPr>
              <w:t>59.0</w:t>
            </w:r>
          </w:p>
        </w:tc>
        <w:tc>
          <w:tcPr>
            <w:tcW w:w="725" w:type="dxa"/>
          </w:tcPr>
          <w:p>
            <w:pPr>
              <w:pStyle w:val="TableParagraph"/>
              <w:spacing w:before="92"/>
              <w:ind w:right="170"/>
              <w:jc w:val="right"/>
              <w:rPr>
                <w:sz w:val="18"/>
              </w:rPr>
            </w:pPr>
            <w:r>
              <w:rPr>
                <w:color w:val="231F20"/>
                <w:sz w:val="18"/>
              </w:rPr>
              <w:t>41.0</w:t>
            </w:r>
          </w:p>
        </w:tc>
        <w:tc>
          <w:tcPr>
            <w:tcW w:w="703" w:type="dxa"/>
          </w:tcPr>
          <w:p>
            <w:pPr>
              <w:pStyle w:val="TableParagraph"/>
              <w:spacing w:before="92"/>
              <w:ind w:left="73"/>
              <w:rPr>
                <w:sz w:val="18"/>
              </w:rPr>
            </w:pPr>
            <w:r>
              <w:rPr>
                <w:color w:val="231F20"/>
                <w:w w:val="105"/>
                <w:sz w:val="18"/>
              </w:rPr>
              <w:t>100.0</w:t>
            </w:r>
          </w:p>
        </w:tc>
        <w:tc>
          <w:tcPr>
            <w:tcW w:w="697" w:type="dxa"/>
          </w:tcPr>
          <w:p>
            <w:pPr>
              <w:pStyle w:val="TableParagraph"/>
              <w:spacing w:before="92"/>
              <w:ind w:right="170"/>
              <w:jc w:val="right"/>
              <w:rPr>
                <w:sz w:val="18"/>
              </w:rPr>
            </w:pPr>
            <w:r>
              <w:rPr>
                <w:color w:val="231F20"/>
                <w:sz w:val="18"/>
              </w:rPr>
              <w:t>2.1</w:t>
            </w:r>
          </w:p>
        </w:tc>
      </w:tr>
      <w:tr>
        <w:trPr>
          <w:trHeight w:val="340" w:hRule="exact"/>
        </w:trPr>
        <w:tc>
          <w:tcPr>
            <w:tcW w:w="1424" w:type="dxa"/>
          </w:tcPr>
          <w:p>
            <w:pPr>
              <w:pStyle w:val="TableParagraph"/>
              <w:spacing w:before="89"/>
              <w:ind w:left="72" w:right="269"/>
              <w:rPr>
                <w:rFonts w:ascii="Arial"/>
                <w:sz w:val="18"/>
              </w:rPr>
            </w:pPr>
            <w:r>
              <w:rPr>
                <w:rFonts w:ascii="Arial"/>
                <w:color w:val="231F20"/>
                <w:sz w:val="18"/>
              </w:rPr>
              <w:t>Tabasco</w:t>
            </w:r>
          </w:p>
        </w:tc>
        <w:tc>
          <w:tcPr>
            <w:tcW w:w="852" w:type="dxa"/>
          </w:tcPr>
          <w:p>
            <w:pPr>
              <w:pStyle w:val="TableParagraph"/>
              <w:spacing w:before="92"/>
              <w:ind w:left="215"/>
              <w:rPr>
                <w:sz w:val="18"/>
              </w:rPr>
            </w:pPr>
            <w:r>
              <w:rPr>
                <w:color w:val="231F20"/>
                <w:w w:val="105"/>
                <w:sz w:val="18"/>
              </w:rPr>
              <w:t>1 528</w:t>
            </w:r>
          </w:p>
        </w:tc>
        <w:tc>
          <w:tcPr>
            <w:tcW w:w="825" w:type="dxa"/>
          </w:tcPr>
          <w:p>
            <w:pPr>
              <w:pStyle w:val="TableParagraph"/>
              <w:spacing w:before="92"/>
              <w:ind w:left="188"/>
              <w:rPr>
                <w:sz w:val="18"/>
              </w:rPr>
            </w:pPr>
            <w:r>
              <w:rPr>
                <w:color w:val="231F20"/>
                <w:w w:val="105"/>
                <w:sz w:val="18"/>
              </w:rPr>
              <w:t>2 558</w:t>
            </w:r>
          </w:p>
        </w:tc>
        <w:tc>
          <w:tcPr>
            <w:tcW w:w="952" w:type="dxa"/>
          </w:tcPr>
          <w:p>
            <w:pPr>
              <w:pStyle w:val="TableParagraph"/>
              <w:spacing w:before="92"/>
              <w:ind w:right="171"/>
              <w:jc w:val="right"/>
              <w:rPr>
                <w:sz w:val="18"/>
              </w:rPr>
            </w:pPr>
            <w:r>
              <w:rPr>
                <w:color w:val="231F20"/>
                <w:w w:val="105"/>
                <w:sz w:val="18"/>
              </w:rPr>
              <w:t>4 086</w:t>
            </w:r>
          </w:p>
        </w:tc>
        <w:tc>
          <w:tcPr>
            <w:tcW w:w="794" w:type="dxa"/>
          </w:tcPr>
          <w:p>
            <w:pPr>
              <w:pStyle w:val="TableParagraph"/>
              <w:spacing w:before="92"/>
              <w:ind w:right="171"/>
              <w:jc w:val="right"/>
              <w:rPr>
                <w:sz w:val="18"/>
              </w:rPr>
            </w:pPr>
            <w:r>
              <w:rPr>
                <w:color w:val="231F20"/>
                <w:sz w:val="18"/>
              </w:rPr>
              <w:t>37.4</w:t>
            </w:r>
          </w:p>
        </w:tc>
        <w:tc>
          <w:tcPr>
            <w:tcW w:w="725" w:type="dxa"/>
          </w:tcPr>
          <w:p>
            <w:pPr>
              <w:pStyle w:val="TableParagraph"/>
              <w:spacing w:before="92"/>
              <w:ind w:right="171"/>
              <w:jc w:val="right"/>
              <w:rPr>
                <w:sz w:val="18"/>
              </w:rPr>
            </w:pPr>
            <w:r>
              <w:rPr>
                <w:color w:val="231F20"/>
                <w:sz w:val="18"/>
              </w:rPr>
              <w:t>62.6</w:t>
            </w:r>
          </w:p>
        </w:tc>
        <w:tc>
          <w:tcPr>
            <w:tcW w:w="703" w:type="dxa"/>
          </w:tcPr>
          <w:p>
            <w:pPr>
              <w:pStyle w:val="TableParagraph"/>
              <w:spacing w:before="92"/>
              <w:ind w:left="72"/>
              <w:rPr>
                <w:sz w:val="18"/>
              </w:rPr>
            </w:pPr>
            <w:r>
              <w:rPr>
                <w:color w:val="231F20"/>
                <w:w w:val="105"/>
                <w:sz w:val="18"/>
              </w:rPr>
              <w:t>100.0</w:t>
            </w:r>
          </w:p>
        </w:tc>
        <w:tc>
          <w:tcPr>
            <w:tcW w:w="697" w:type="dxa"/>
          </w:tcPr>
          <w:p>
            <w:pPr>
              <w:pStyle w:val="TableParagraph"/>
              <w:spacing w:before="92"/>
              <w:ind w:right="171"/>
              <w:jc w:val="right"/>
              <w:rPr>
                <w:sz w:val="18"/>
              </w:rPr>
            </w:pPr>
            <w:r>
              <w:rPr>
                <w:color w:val="231F20"/>
                <w:sz w:val="18"/>
              </w:rPr>
              <w:t>0.2</w:t>
            </w:r>
          </w:p>
        </w:tc>
      </w:tr>
      <w:tr>
        <w:trPr>
          <w:trHeight w:val="340" w:hRule="exact"/>
        </w:trPr>
        <w:tc>
          <w:tcPr>
            <w:tcW w:w="1424" w:type="dxa"/>
          </w:tcPr>
          <w:p>
            <w:pPr>
              <w:pStyle w:val="TableParagraph"/>
              <w:spacing w:before="89"/>
              <w:ind w:left="72" w:right="269"/>
              <w:rPr>
                <w:rFonts w:ascii="Arial"/>
                <w:sz w:val="18"/>
              </w:rPr>
            </w:pPr>
            <w:r>
              <w:rPr>
                <w:rFonts w:ascii="Arial"/>
                <w:color w:val="231F20"/>
                <w:sz w:val="18"/>
              </w:rPr>
              <w:t>Tamaulipas</w:t>
            </w:r>
          </w:p>
        </w:tc>
        <w:tc>
          <w:tcPr>
            <w:tcW w:w="852" w:type="dxa"/>
          </w:tcPr>
          <w:p>
            <w:pPr>
              <w:pStyle w:val="TableParagraph"/>
              <w:spacing w:before="92"/>
              <w:ind w:left="112"/>
              <w:rPr>
                <w:sz w:val="18"/>
              </w:rPr>
            </w:pPr>
            <w:r>
              <w:rPr>
                <w:color w:val="231F20"/>
                <w:w w:val="105"/>
                <w:sz w:val="18"/>
              </w:rPr>
              <w:t>12 285</w:t>
            </w:r>
          </w:p>
        </w:tc>
        <w:tc>
          <w:tcPr>
            <w:tcW w:w="825" w:type="dxa"/>
          </w:tcPr>
          <w:p>
            <w:pPr>
              <w:pStyle w:val="TableParagraph"/>
              <w:spacing w:before="92"/>
              <w:ind w:left="188"/>
              <w:rPr>
                <w:sz w:val="18"/>
              </w:rPr>
            </w:pPr>
            <w:r>
              <w:rPr>
                <w:color w:val="231F20"/>
                <w:w w:val="105"/>
                <w:sz w:val="18"/>
              </w:rPr>
              <w:t>4 285</w:t>
            </w:r>
          </w:p>
        </w:tc>
        <w:tc>
          <w:tcPr>
            <w:tcW w:w="952" w:type="dxa"/>
          </w:tcPr>
          <w:p>
            <w:pPr>
              <w:pStyle w:val="TableParagraph"/>
              <w:spacing w:before="92"/>
              <w:ind w:right="171"/>
              <w:jc w:val="right"/>
              <w:rPr>
                <w:sz w:val="18"/>
              </w:rPr>
            </w:pPr>
            <w:r>
              <w:rPr>
                <w:color w:val="231F20"/>
                <w:w w:val="105"/>
                <w:sz w:val="18"/>
              </w:rPr>
              <w:t>16 570</w:t>
            </w:r>
          </w:p>
        </w:tc>
        <w:tc>
          <w:tcPr>
            <w:tcW w:w="794" w:type="dxa"/>
          </w:tcPr>
          <w:p>
            <w:pPr>
              <w:pStyle w:val="TableParagraph"/>
              <w:spacing w:before="92"/>
              <w:ind w:right="171"/>
              <w:jc w:val="right"/>
              <w:rPr>
                <w:sz w:val="18"/>
              </w:rPr>
            </w:pPr>
            <w:r>
              <w:rPr>
                <w:color w:val="231F20"/>
                <w:sz w:val="18"/>
              </w:rPr>
              <w:t>74.1</w:t>
            </w:r>
          </w:p>
        </w:tc>
        <w:tc>
          <w:tcPr>
            <w:tcW w:w="725" w:type="dxa"/>
          </w:tcPr>
          <w:p>
            <w:pPr>
              <w:pStyle w:val="TableParagraph"/>
              <w:spacing w:before="92"/>
              <w:ind w:right="171"/>
              <w:jc w:val="right"/>
              <w:rPr>
                <w:sz w:val="18"/>
              </w:rPr>
            </w:pPr>
            <w:r>
              <w:rPr>
                <w:color w:val="231F20"/>
                <w:sz w:val="18"/>
              </w:rPr>
              <w:t>25.9</w:t>
            </w:r>
          </w:p>
        </w:tc>
        <w:tc>
          <w:tcPr>
            <w:tcW w:w="703" w:type="dxa"/>
          </w:tcPr>
          <w:p>
            <w:pPr>
              <w:pStyle w:val="TableParagraph"/>
              <w:spacing w:before="92"/>
              <w:ind w:left="72"/>
              <w:rPr>
                <w:sz w:val="18"/>
              </w:rPr>
            </w:pPr>
            <w:r>
              <w:rPr>
                <w:color w:val="231F20"/>
                <w:w w:val="105"/>
                <w:sz w:val="18"/>
              </w:rPr>
              <w:t>100.0</w:t>
            </w:r>
          </w:p>
        </w:tc>
        <w:tc>
          <w:tcPr>
            <w:tcW w:w="697" w:type="dxa"/>
          </w:tcPr>
          <w:p>
            <w:pPr>
              <w:pStyle w:val="TableParagraph"/>
              <w:spacing w:before="92"/>
              <w:ind w:right="171"/>
              <w:jc w:val="right"/>
              <w:rPr>
                <w:sz w:val="18"/>
              </w:rPr>
            </w:pPr>
            <w:r>
              <w:rPr>
                <w:color w:val="231F20"/>
                <w:sz w:val="18"/>
              </w:rPr>
              <w:t>1.0</w:t>
            </w:r>
          </w:p>
        </w:tc>
      </w:tr>
      <w:tr>
        <w:trPr>
          <w:trHeight w:val="340" w:hRule="exact"/>
        </w:trPr>
        <w:tc>
          <w:tcPr>
            <w:tcW w:w="1424" w:type="dxa"/>
          </w:tcPr>
          <w:p>
            <w:pPr>
              <w:pStyle w:val="TableParagraph"/>
              <w:spacing w:before="89"/>
              <w:ind w:left="72" w:right="269"/>
              <w:rPr>
                <w:rFonts w:ascii="Arial"/>
                <w:sz w:val="18"/>
              </w:rPr>
            </w:pPr>
            <w:r>
              <w:rPr>
                <w:rFonts w:ascii="Arial"/>
                <w:color w:val="231F20"/>
                <w:sz w:val="18"/>
              </w:rPr>
              <w:t>Tlaxcala</w:t>
            </w:r>
          </w:p>
        </w:tc>
        <w:tc>
          <w:tcPr>
            <w:tcW w:w="852" w:type="dxa"/>
          </w:tcPr>
          <w:p>
            <w:pPr>
              <w:pStyle w:val="TableParagraph"/>
              <w:spacing w:before="92"/>
              <w:ind w:left="215"/>
              <w:rPr>
                <w:sz w:val="18"/>
              </w:rPr>
            </w:pPr>
            <w:r>
              <w:rPr>
                <w:color w:val="231F20"/>
                <w:w w:val="105"/>
                <w:sz w:val="18"/>
              </w:rPr>
              <w:t>8 109</w:t>
            </w:r>
          </w:p>
        </w:tc>
        <w:tc>
          <w:tcPr>
            <w:tcW w:w="825" w:type="dxa"/>
          </w:tcPr>
          <w:p>
            <w:pPr>
              <w:pStyle w:val="TableParagraph"/>
              <w:spacing w:before="92"/>
              <w:ind w:left="188"/>
              <w:rPr>
                <w:sz w:val="18"/>
              </w:rPr>
            </w:pPr>
            <w:r>
              <w:rPr>
                <w:color w:val="231F20"/>
                <w:w w:val="105"/>
                <w:sz w:val="18"/>
              </w:rPr>
              <w:t>2 386</w:t>
            </w:r>
          </w:p>
        </w:tc>
        <w:tc>
          <w:tcPr>
            <w:tcW w:w="952" w:type="dxa"/>
          </w:tcPr>
          <w:p>
            <w:pPr>
              <w:pStyle w:val="TableParagraph"/>
              <w:spacing w:before="92"/>
              <w:ind w:right="171"/>
              <w:jc w:val="right"/>
              <w:rPr>
                <w:sz w:val="18"/>
              </w:rPr>
            </w:pPr>
            <w:r>
              <w:rPr>
                <w:color w:val="231F20"/>
                <w:w w:val="105"/>
                <w:sz w:val="18"/>
              </w:rPr>
              <w:t>10 495</w:t>
            </w:r>
          </w:p>
        </w:tc>
        <w:tc>
          <w:tcPr>
            <w:tcW w:w="794" w:type="dxa"/>
          </w:tcPr>
          <w:p>
            <w:pPr>
              <w:pStyle w:val="TableParagraph"/>
              <w:spacing w:before="92"/>
              <w:ind w:right="171"/>
              <w:jc w:val="right"/>
              <w:rPr>
                <w:sz w:val="18"/>
              </w:rPr>
            </w:pPr>
            <w:r>
              <w:rPr>
                <w:color w:val="231F20"/>
                <w:sz w:val="18"/>
              </w:rPr>
              <w:t>77.3</w:t>
            </w:r>
          </w:p>
        </w:tc>
        <w:tc>
          <w:tcPr>
            <w:tcW w:w="725" w:type="dxa"/>
          </w:tcPr>
          <w:p>
            <w:pPr>
              <w:pStyle w:val="TableParagraph"/>
              <w:spacing w:before="92"/>
              <w:ind w:right="171"/>
              <w:jc w:val="right"/>
              <w:rPr>
                <w:sz w:val="18"/>
              </w:rPr>
            </w:pPr>
            <w:r>
              <w:rPr>
                <w:color w:val="231F20"/>
                <w:sz w:val="18"/>
              </w:rPr>
              <w:t>22.7</w:t>
            </w:r>
          </w:p>
        </w:tc>
        <w:tc>
          <w:tcPr>
            <w:tcW w:w="703" w:type="dxa"/>
          </w:tcPr>
          <w:p>
            <w:pPr>
              <w:pStyle w:val="TableParagraph"/>
              <w:spacing w:before="92"/>
              <w:ind w:left="72"/>
              <w:rPr>
                <w:sz w:val="18"/>
              </w:rPr>
            </w:pPr>
            <w:r>
              <w:rPr>
                <w:color w:val="231F20"/>
                <w:w w:val="105"/>
                <w:sz w:val="18"/>
              </w:rPr>
              <w:t>100.0</w:t>
            </w:r>
          </w:p>
        </w:tc>
        <w:tc>
          <w:tcPr>
            <w:tcW w:w="697" w:type="dxa"/>
          </w:tcPr>
          <w:p>
            <w:pPr>
              <w:pStyle w:val="TableParagraph"/>
              <w:spacing w:before="92"/>
              <w:ind w:right="171"/>
              <w:jc w:val="right"/>
              <w:rPr>
                <w:sz w:val="18"/>
              </w:rPr>
            </w:pPr>
            <w:r>
              <w:rPr>
                <w:color w:val="231F20"/>
                <w:sz w:val="18"/>
              </w:rPr>
              <w:t>0.6</w:t>
            </w:r>
          </w:p>
        </w:tc>
      </w:tr>
      <w:tr>
        <w:trPr>
          <w:trHeight w:val="340" w:hRule="exact"/>
        </w:trPr>
        <w:tc>
          <w:tcPr>
            <w:tcW w:w="1424" w:type="dxa"/>
          </w:tcPr>
          <w:p>
            <w:pPr>
              <w:pStyle w:val="TableParagraph"/>
              <w:spacing w:before="89"/>
              <w:ind w:left="72" w:right="269"/>
              <w:rPr>
                <w:rFonts w:ascii="Arial"/>
                <w:sz w:val="18"/>
              </w:rPr>
            </w:pPr>
            <w:r>
              <w:rPr>
                <w:rFonts w:ascii="Arial"/>
                <w:color w:val="231F20"/>
                <w:sz w:val="18"/>
              </w:rPr>
              <w:t>Veracruz</w:t>
            </w:r>
          </w:p>
        </w:tc>
        <w:tc>
          <w:tcPr>
            <w:tcW w:w="852" w:type="dxa"/>
          </w:tcPr>
          <w:p>
            <w:pPr>
              <w:pStyle w:val="TableParagraph"/>
              <w:spacing w:before="92"/>
              <w:ind w:left="111"/>
              <w:rPr>
                <w:sz w:val="18"/>
              </w:rPr>
            </w:pPr>
            <w:r>
              <w:rPr>
                <w:color w:val="231F20"/>
                <w:w w:val="105"/>
                <w:sz w:val="18"/>
              </w:rPr>
              <w:t>14 322</w:t>
            </w:r>
          </w:p>
        </w:tc>
        <w:tc>
          <w:tcPr>
            <w:tcW w:w="825" w:type="dxa"/>
          </w:tcPr>
          <w:p>
            <w:pPr>
              <w:pStyle w:val="TableParagraph"/>
              <w:spacing w:before="92"/>
              <w:ind w:left="187"/>
              <w:rPr>
                <w:sz w:val="18"/>
              </w:rPr>
            </w:pPr>
            <w:r>
              <w:rPr>
                <w:color w:val="231F20"/>
                <w:w w:val="105"/>
                <w:sz w:val="18"/>
              </w:rPr>
              <w:t>5 351</w:t>
            </w:r>
          </w:p>
        </w:tc>
        <w:tc>
          <w:tcPr>
            <w:tcW w:w="952" w:type="dxa"/>
          </w:tcPr>
          <w:p>
            <w:pPr>
              <w:pStyle w:val="TableParagraph"/>
              <w:spacing w:before="92"/>
              <w:ind w:right="171"/>
              <w:jc w:val="right"/>
              <w:rPr>
                <w:sz w:val="18"/>
              </w:rPr>
            </w:pPr>
            <w:r>
              <w:rPr>
                <w:color w:val="231F20"/>
                <w:w w:val="105"/>
                <w:sz w:val="18"/>
              </w:rPr>
              <w:t>19 673</w:t>
            </w:r>
          </w:p>
        </w:tc>
        <w:tc>
          <w:tcPr>
            <w:tcW w:w="794" w:type="dxa"/>
          </w:tcPr>
          <w:p>
            <w:pPr>
              <w:pStyle w:val="TableParagraph"/>
              <w:spacing w:before="92"/>
              <w:ind w:right="171"/>
              <w:jc w:val="right"/>
              <w:rPr>
                <w:sz w:val="18"/>
              </w:rPr>
            </w:pPr>
            <w:r>
              <w:rPr>
                <w:color w:val="231F20"/>
                <w:sz w:val="18"/>
              </w:rPr>
              <w:t>72.8</w:t>
            </w:r>
          </w:p>
        </w:tc>
        <w:tc>
          <w:tcPr>
            <w:tcW w:w="725" w:type="dxa"/>
          </w:tcPr>
          <w:p>
            <w:pPr>
              <w:pStyle w:val="TableParagraph"/>
              <w:spacing w:before="92"/>
              <w:ind w:right="171"/>
              <w:jc w:val="right"/>
              <w:rPr>
                <w:sz w:val="18"/>
              </w:rPr>
            </w:pPr>
            <w:r>
              <w:rPr>
                <w:color w:val="231F20"/>
                <w:sz w:val="18"/>
              </w:rPr>
              <w:t>27.2</w:t>
            </w:r>
          </w:p>
        </w:tc>
        <w:tc>
          <w:tcPr>
            <w:tcW w:w="703" w:type="dxa"/>
          </w:tcPr>
          <w:p>
            <w:pPr>
              <w:pStyle w:val="TableParagraph"/>
              <w:spacing w:before="92"/>
              <w:ind w:left="72"/>
              <w:rPr>
                <w:sz w:val="18"/>
              </w:rPr>
            </w:pPr>
            <w:r>
              <w:rPr>
                <w:color w:val="231F20"/>
                <w:w w:val="105"/>
                <w:sz w:val="18"/>
              </w:rPr>
              <w:t>100.0</w:t>
            </w:r>
          </w:p>
        </w:tc>
        <w:tc>
          <w:tcPr>
            <w:tcW w:w="697" w:type="dxa"/>
          </w:tcPr>
          <w:p>
            <w:pPr>
              <w:pStyle w:val="TableParagraph"/>
              <w:spacing w:before="92"/>
              <w:ind w:right="173"/>
              <w:jc w:val="right"/>
              <w:rPr>
                <w:sz w:val="18"/>
              </w:rPr>
            </w:pPr>
            <w:r>
              <w:rPr>
                <w:color w:val="231F20"/>
                <w:sz w:val="18"/>
              </w:rPr>
              <w:t>1.2</w:t>
            </w:r>
          </w:p>
        </w:tc>
      </w:tr>
      <w:tr>
        <w:trPr>
          <w:trHeight w:val="340" w:hRule="exact"/>
        </w:trPr>
        <w:tc>
          <w:tcPr>
            <w:tcW w:w="1424" w:type="dxa"/>
          </w:tcPr>
          <w:p>
            <w:pPr>
              <w:pStyle w:val="TableParagraph"/>
              <w:spacing w:before="89"/>
              <w:ind w:left="71" w:right="269"/>
              <w:rPr>
                <w:rFonts w:ascii="Arial" w:hAnsi="Arial"/>
                <w:sz w:val="18"/>
              </w:rPr>
            </w:pPr>
            <w:r>
              <w:rPr>
                <w:rFonts w:ascii="Arial" w:hAnsi="Arial"/>
                <w:color w:val="231F20"/>
                <w:sz w:val="18"/>
              </w:rPr>
              <w:t>Yucatán</w:t>
            </w:r>
          </w:p>
        </w:tc>
        <w:tc>
          <w:tcPr>
            <w:tcW w:w="852" w:type="dxa"/>
          </w:tcPr>
          <w:p>
            <w:pPr>
              <w:pStyle w:val="TableParagraph"/>
              <w:spacing w:before="92"/>
              <w:ind w:left="214"/>
              <w:rPr>
                <w:sz w:val="18"/>
              </w:rPr>
            </w:pPr>
            <w:r>
              <w:rPr>
                <w:color w:val="231F20"/>
                <w:w w:val="105"/>
                <w:sz w:val="18"/>
              </w:rPr>
              <w:t>2 328</w:t>
            </w:r>
          </w:p>
        </w:tc>
        <w:tc>
          <w:tcPr>
            <w:tcW w:w="825" w:type="dxa"/>
          </w:tcPr>
          <w:p>
            <w:pPr>
              <w:pStyle w:val="TableParagraph"/>
              <w:spacing w:before="92"/>
              <w:ind w:left="335"/>
              <w:rPr>
                <w:sz w:val="18"/>
              </w:rPr>
            </w:pPr>
            <w:r>
              <w:rPr>
                <w:color w:val="231F20"/>
                <w:w w:val="105"/>
                <w:sz w:val="18"/>
              </w:rPr>
              <w:t>859</w:t>
            </w:r>
          </w:p>
        </w:tc>
        <w:tc>
          <w:tcPr>
            <w:tcW w:w="952" w:type="dxa"/>
          </w:tcPr>
          <w:p>
            <w:pPr>
              <w:pStyle w:val="TableParagraph"/>
              <w:spacing w:before="92"/>
              <w:ind w:right="172"/>
              <w:jc w:val="right"/>
              <w:rPr>
                <w:sz w:val="18"/>
              </w:rPr>
            </w:pPr>
            <w:r>
              <w:rPr>
                <w:color w:val="231F20"/>
                <w:w w:val="105"/>
                <w:sz w:val="18"/>
              </w:rPr>
              <w:t>3 187</w:t>
            </w:r>
          </w:p>
        </w:tc>
        <w:tc>
          <w:tcPr>
            <w:tcW w:w="794" w:type="dxa"/>
          </w:tcPr>
          <w:p>
            <w:pPr>
              <w:pStyle w:val="TableParagraph"/>
              <w:spacing w:before="92"/>
              <w:ind w:right="172"/>
              <w:jc w:val="right"/>
              <w:rPr>
                <w:sz w:val="18"/>
              </w:rPr>
            </w:pPr>
            <w:r>
              <w:rPr>
                <w:color w:val="231F20"/>
                <w:sz w:val="18"/>
              </w:rPr>
              <w:t>73.0</w:t>
            </w:r>
          </w:p>
        </w:tc>
        <w:tc>
          <w:tcPr>
            <w:tcW w:w="725" w:type="dxa"/>
          </w:tcPr>
          <w:p>
            <w:pPr>
              <w:pStyle w:val="TableParagraph"/>
              <w:spacing w:before="92"/>
              <w:ind w:right="172"/>
              <w:jc w:val="right"/>
              <w:rPr>
                <w:sz w:val="18"/>
              </w:rPr>
            </w:pPr>
            <w:r>
              <w:rPr>
                <w:color w:val="231F20"/>
                <w:sz w:val="18"/>
              </w:rPr>
              <w:t>27.0</w:t>
            </w:r>
          </w:p>
        </w:tc>
        <w:tc>
          <w:tcPr>
            <w:tcW w:w="703" w:type="dxa"/>
          </w:tcPr>
          <w:p>
            <w:pPr>
              <w:pStyle w:val="TableParagraph"/>
              <w:spacing w:before="92"/>
              <w:ind w:left="71"/>
              <w:rPr>
                <w:sz w:val="18"/>
              </w:rPr>
            </w:pPr>
            <w:r>
              <w:rPr>
                <w:color w:val="231F20"/>
                <w:w w:val="105"/>
                <w:sz w:val="18"/>
              </w:rPr>
              <w:t>100.0</w:t>
            </w:r>
          </w:p>
        </w:tc>
        <w:tc>
          <w:tcPr>
            <w:tcW w:w="697" w:type="dxa"/>
          </w:tcPr>
          <w:p>
            <w:pPr>
              <w:pStyle w:val="TableParagraph"/>
              <w:spacing w:before="92"/>
              <w:ind w:right="172"/>
              <w:jc w:val="right"/>
              <w:rPr>
                <w:sz w:val="18"/>
              </w:rPr>
            </w:pPr>
            <w:r>
              <w:rPr>
                <w:color w:val="231F20"/>
                <w:sz w:val="18"/>
              </w:rPr>
              <w:t>0.2</w:t>
            </w:r>
          </w:p>
        </w:tc>
      </w:tr>
      <w:tr>
        <w:trPr>
          <w:trHeight w:val="340" w:hRule="exact"/>
        </w:trPr>
        <w:tc>
          <w:tcPr>
            <w:tcW w:w="1424" w:type="dxa"/>
          </w:tcPr>
          <w:p>
            <w:pPr>
              <w:pStyle w:val="TableParagraph"/>
              <w:spacing w:before="89"/>
              <w:ind w:left="71" w:right="269"/>
              <w:rPr>
                <w:rFonts w:ascii="Arial"/>
                <w:sz w:val="18"/>
              </w:rPr>
            </w:pPr>
            <w:r>
              <w:rPr>
                <w:rFonts w:ascii="Arial"/>
                <w:color w:val="231F20"/>
                <w:sz w:val="18"/>
              </w:rPr>
              <w:t>Zacatecas</w:t>
            </w:r>
          </w:p>
        </w:tc>
        <w:tc>
          <w:tcPr>
            <w:tcW w:w="852" w:type="dxa"/>
          </w:tcPr>
          <w:p>
            <w:pPr>
              <w:pStyle w:val="TableParagraph"/>
              <w:spacing w:before="92"/>
              <w:ind w:left="111"/>
              <w:rPr>
                <w:sz w:val="18"/>
              </w:rPr>
            </w:pPr>
            <w:r>
              <w:rPr>
                <w:color w:val="231F20"/>
                <w:w w:val="105"/>
                <w:sz w:val="18"/>
              </w:rPr>
              <w:t>38 536</w:t>
            </w:r>
          </w:p>
        </w:tc>
        <w:tc>
          <w:tcPr>
            <w:tcW w:w="825" w:type="dxa"/>
          </w:tcPr>
          <w:p>
            <w:pPr>
              <w:pStyle w:val="TableParagraph"/>
              <w:spacing w:before="92"/>
              <w:ind w:left="83"/>
              <w:rPr>
                <w:sz w:val="18"/>
              </w:rPr>
            </w:pPr>
            <w:r>
              <w:rPr>
                <w:color w:val="231F20"/>
                <w:w w:val="105"/>
                <w:sz w:val="18"/>
              </w:rPr>
              <w:t>14 633</w:t>
            </w:r>
          </w:p>
        </w:tc>
        <w:tc>
          <w:tcPr>
            <w:tcW w:w="952" w:type="dxa"/>
          </w:tcPr>
          <w:p>
            <w:pPr>
              <w:pStyle w:val="TableParagraph"/>
              <w:spacing w:before="92"/>
              <w:ind w:right="172"/>
              <w:jc w:val="right"/>
              <w:rPr>
                <w:sz w:val="18"/>
              </w:rPr>
            </w:pPr>
            <w:r>
              <w:rPr>
                <w:color w:val="231F20"/>
                <w:w w:val="105"/>
                <w:sz w:val="18"/>
              </w:rPr>
              <w:t>53 169</w:t>
            </w:r>
          </w:p>
        </w:tc>
        <w:tc>
          <w:tcPr>
            <w:tcW w:w="794" w:type="dxa"/>
          </w:tcPr>
          <w:p>
            <w:pPr>
              <w:pStyle w:val="TableParagraph"/>
              <w:spacing w:before="92"/>
              <w:ind w:right="172"/>
              <w:jc w:val="right"/>
              <w:rPr>
                <w:sz w:val="18"/>
              </w:rPr>
            </w:pPr>
            <w:r>
              <w:rPr>
                <w:color w:val="231F20"/>
                <w:sz w:val="18"/>
              </w:rPr>
              <w:t>72.5</w:t>
            </w:r>
          </w:p>
        </w:tc>
        <w:tc>
          <w:tcPr>
            <w:tcW w:w="725" w:type="dxa"/>
          </w:tcPr>
          <w:p>
            <w:pPr>
              <w:pStyle w:val="TableParagraph"/>
              <w:spacing w:before="92"/>
              <w:ind w:right="172"/>
              <w:jc w:val="right"/>
              <w:rPr>
                <w:sz w:val="18"/>
              </w:rPr>
            </w:pPr>
            <w:r>
              <w:rPr>
                <w:color w:val="231F20"/>
                <w:sz w:val="18"/>
              </w:rPr>
              <w:t>27.5</w:t>
            </w:r>
          </w:p>
        </w:tc>
        <w:tc>
          <w:tcPr>
            <w:tcW w:w="703" w:type="dxa"/>
          </w:tcPr>
          <w:p>
            <w:pPr>
              <w:pStyle w:val="TableParagraph"/>
              <w:spacing w:before="92"/>
              <w:ind w:left="71"/>
              <w:rPr>
                <w:sz w:val="18"/>
              </w:rPr>
            </w:pPr>
            <w:r>
              <w:rPr>
                <w:color w:val="231F20"/>
                <w:w w:val="105"/>
                <w:sz w:val="18"/>
              </w:rPr>
              <w:t>100.0</w:t>
            </w:r>
          </w:p>
        </w:tc>
        <w:tc>
          <w:tcPr>
            <w:tcW w:w="697" w:type="dxa"/>
          </w:tcPr>
          <w:p>
            <w:pPr>
              <w:pStyle w:val="TableParagraph"/>
              <w:spacing w:before="92"/>
              <w:ind w:right="172"/>
              <w:jc w:val="right"/>
              <w:rPr>
                <w:sz w:val="18"/>
              </w:rPr>
            </w:pPr>
            <w:r>
              <w:rPr>
                <w:color w:val="231F20"/>
                <w:sz w:val="18"/>
              </w:rPr>
              <w:t>3.3</w:t>
            </w:r>
          </w:p>
        </w:tc>
      </w:tr>
      <w:tr>
        <w:trPr>
          <w:trHeight w:val="340" w:hRule="exact"/>
        </w:trPr>
        <w:tc>
          <w:tcPr>
            <w:tcW w:w="1424" w:type="dxa"/>
          </w:tcPr>
          <w:p>
            <w:pPr>
              <w:pStyle w:val="TableParagraph"/>
              <w:spacing w:before="89"/>
              <w:ind w:left="71" w:right="269"/>
              <w:rPr>
                <w:rFonts w:ascii="Arial"/>
                <w:sz w:val="18"/>
              </w:rPr>
            </w:pPr>
            <w:r>
              <w:rPr>
                <w:rFonts w:ascii="Arial"/>
                <w:color w:val="231F20"/>
                <w:w w:val="105"/>
                <w:sz w:val="18"/>
              </w:rPr>
              <w:t>No sabe</w:t>
            </w:r>
          </w:p>
        </w:tc>
        <w:tc>
          <w:tcPr>
            <w:tcW w:w="852" w:type="dxa"/>
          </w:tcPr>
          <w:p>
            <w:pPr>
              <w:pStyle w:val="TableParagraph"/>
              <w:spacing w:before="92"/>
              <w:ind w:left="361"/>
              <w:rPr>
                <w:sz w:val="18"/>
              </w:rPr>
            </w:pPr>
            <w:r>
              <w:rPr>
                <w:color w:val="231F20"/>
                <w:w w:val="105"/>
                <w:sz w:val="18"/>
              </w:rPr>
              <w:t>179</w:t>
            </w:r>
          </w:p>
        </w:tc>
        <w:tc>
          <w:tcPr>
            <w:tcW w:w="825" w:type="dxa"/>
          </w:tcPr>
          <w:p>
            <w:pPr>
              <w:pStyle w:val="TableParagraph"/>
              <w:spacing w:before="92"/>
              <w:ind w:left="334"/>
              <w:rPr>
                <w:sz w:val="18"/>
              </w:rPr>
            </w:pPr>
            <w:r>
              <w:rPr>
                <w:color w:val="231F20"/>
                <w:w w:val="105"/>
                <w:sz w:val="18"/>
              </w:rPr>
              <w:t>482</w:t>
            </w:r>
          </w:p>
        </w:tc>
        <w:tc>
          <w:tcPr>
            <w:tcW w:w="952" w:type="dxa"/>
          </w:tcPr>
          <w:p>
            <w:pPr>
              <w:pStyle w:val="TableParagraph"/>
              <w:spacing w:before="92"/>
              <w:ind w:right="172"/>
              <w:jc w:val="right"/>
              <w:rPr>
                <w:sz w:val="18"/>
              </w:rPr>
            </w:pPr>
            <w:r>
              <w:rPr>
                <w:color w:val="231F20"/>
                <w:w w:val="105"/>
                <w:sz w:val="18"/>
              </w:rPr>
              <w:t>661</w:t>
            </w:r>
          </w:p>
        </w:tc>
        <w:tc>
          <w:tcPr>
            <w:tcW w:w="794" w:type="dxa"/>
          </w:tcPr>
          <w:p>
            <w:pPr>
              <w:pStyle w:val="TableParagraph"/>
              <w:spacing w:before="92"/>
              <w:ind w:right="172"/>
              <w:jc w:val="right"/>
              <w:rPr>
                <w:sz w:val="18"/>
              </w:rPr>
            </w:pPr>
            <w:r>
              <w:rPr>
                <w:color w:val="231F20"/>
                <w:sz w:val="18"/>
              </w:rPr>
              <w:t>27.1</w:t>
            </w:r>
          </w:p>
        </w:tc>
        <w:tc>
          <w:tcPr>
            <w:tcW w:w="725" w:type="dxa"/>
          </w:tcPr>
          <w:p>
            <w:pPr>
              <w:pStyle w:val="TableParagraph"/>
              <w:spacing w:before="92"/>
              <w:ind w:right="172"/>
              <w:jc w:val="right"/>
              <w:rPr>
                <w:sz w:val="18"/>
              </w:rPr>
            </w:pPr>
            <w:r>
              <w:rPr>
                <w:color w:val="231F20"/>
                <w:sz w:val="18"/>
              </w:rPr>
              <w:t>72.9</w:t>
            </w:r>
          </w:p>
        </w:tc>
        <w:tc>
          <w:tcPr>
            <w:tcW w:w="703" w:type="dxa"/>
          </w:tcPr>
          <w:p>
            <w:pPr>
              <w:pStyle w:val="TableParagraph"/>
              <w:spacing w:before="92"/>
              <w:ind w:left="71"/>
              <w:rPr>
                <w:sz w:val="18"/>
              </w:rPr>
            </w:pPr>
            <w:r>
              <w:rPr>
                <w:color w:val="231F20"/>
                <w:w w:val="105"/>
                <w:sz w:val="18"/>
              </w:rPr>
              <w:t>100.0</w:t>
            </w:r>
          </w:p>
        </w:tc>
        <w:tc>
          <w:tcPr>
            <w:tcW w:w="697" w:type="dxa"/>
          </w:tcPr>
          <w:p>
            <w:pPr>
              <w:pStyle w:val="TableParagraph"/>
              <w:spacing w:before="92"/>
              <w:ind w:right="172"/>
              <w:jc w:val="right"/>
              <w:rPr>
                <w:sz w:val="18"/>
              </w:rPr>
            </w:pPr>
            <w:r>
              <w:rPr>
                <w:color w:val="231F20"/>
                <w:sz w:val="18"/>
              </w:rPr>
              <w:t>0.0</w:t>
            </w:r>
          </w:p>
        </w:tc>
      </w:tr>
      <w:tr>
        <w:trPr>
          <w:trHeight w:val="340" w:hRule="exact"/>
        </w:trPr>
        <w:tc>
          <w:tcPr>
            <w:tcW w:w="1424" w:type="dxa"/>
          </w:tcPr>
          <w:p>
            <w:pPr>
              <w:pStyle w:val="TableParagraph"/>
              <w:spacing w:before="89"/>
              <w:ind w:left="71"/>
              <w:rPr>
                <w:rFonts w:ascii="Arial"/>
                <w:sz w:val="18"/>
              </w:rPr>
            </w:pPr>
            <w:r>
              <w:rPr>
                <w:rFonts w:ascii="Arial"/>
                <w:color w:val="231F20"/>
                <w:w w:val="105"/>
                <w:sz w:val="18"/>
              </w:rPr>
              <w:t>No responde</w:t>
            </w:r>
          </w:p>
        </w:tc>
        <w:tc>
          <w:tcPr>
            <w:tcW w:w="852" w:type="dxa"/>
          </w:tcPr>
          <w:p>
            <w:pPr>
              <w:pStyle w:val="TableParagraph"/>
              <w:spacing w:before="92"/>
              <w:ind w:left="68"/>
              <w:rPr>
                <w:sz w:val="18"/>
              </w:rPr>
            </w:pPr>
            <w:r>
              <w:rPr>
                <w:color w:val="231F20"/>
                <w:w w:val="105"/>
                <w:sz w:val="18"/>
              </w:rPr>
              <w:t>116 466</w:t>
            </w:r>
          </w:p>
        </w:tc>
        <w:tc>
          <w:tcPr>
            <w:tcW w:w="825" w:type="dxa"/>
          </w:tcPr>
          <w:p>
            <w:pPr>
              <w:pStyle w:val="TableParagraph"/>
              <w:spacing w:before="92"/>
              <w:ind w:left="83"/>
              <w:rPr>
                <w:sz w:val="18"/>
              </w:rPr>
            </w:pPr>
            <w:r>
              <w:rPr>
                <w:color w:val="231F20"/>
                <w:w w:val="105"/>
                <w:sz w:val="18"/>
              </w:rPr>
              <w:t>48 722</w:t>
            </w:r>
          </w:p>
        </w:tc>
        <w:tc>
          <w:tcPr>
            <w:tcW w:w="952" w:type="dxa"/>
          </w:tcPr>
          <w:p>
            <w:pPr>
              <w:pStyle w:val="TableParagraph"/>
              <w:spacing w:before="92"/>
              <w:ind w:right="173"/>
              <w:jc w:val="right"/>
              <w:rPr>
                <w:sz w:val="18"/>
              </w:rPr>
            </w:pPr>
            <w:r>
              <w:rPr>
                <w:color w:val="231F20"/>
                <w:w w:val="105"/>
                <w:sz w:val="18"/>
              </w:rPr>
              <w:t>165 188</w:t>
            </w:r>
          </w:p>
        </w:tc>
        <w:tc>
          <w:tcPr>
            <w:tcW w:w="794" w:type="dxa"/>
          </w:tcPr>
          <w:p>
            <w:pPr>
              <w:pStyle w:val="TableParagraph"/>
              <w:spacing w:before="92"/>
              <w:ind w:right="173"/>
              <w:jc w:val="right"/>
              <w:rPr>
                <w:sz w:val="18"/>
              </w:rPr>
            </w:pPr>
            <w:r>
              <w:rPr>
                <w:color w:val="231F20"/>
                <w:sz w:val="18"/>
              </w:rPr>
              <w:t>70.5</w:t>
            </w:r>
          </w:p>
        </w:tc>
        <w:tc>
          <w:tcPr>
            <w:tcW w:w="725" w:type="dxa"/>
          </w:tcPr>
          <w:p>
            <w:pPr>
              <w:pStyle w:val="TableParagraph"/>
              <w:spacing w:before="92"/>
              <w:ind w:right="173"/>
              <w:jc w:val="right"/>
              <w:rPr>
                <w:sz w:val="18"/>
              </w:rPr>
            </w:pPr>
            <w:r>
              <w:rPr>
                <w:color w:val="231F20"/>
                <w:sz w:val="18"/>
              </w:rPr>
              <w:t>29.5</w:t>
            </w:r>
          </w:p>
        </w:tc>
        <w:tc>
          <w:tcPr>
            <w:tcW w:w="703" w:type="dxa"/>
          </w:tcPr>
          <w:p>
            <w:pPr>
              <w:pStyle w:val="TableParagraph"/>
              <w:spacing w:before="92"/>
              <w:ind w:left="70"/>
              <w:rPr>
                <w:sz w:val="18"/>
              </w:rPr>
            </w:pPr>
            <w:r>
              <w:rPr>
                <w:color w:val="231F20"/>
                <w:w w:val="105"/>
                <w:sz w:val="18"/>
              </w:rPr>
              <w:t>100.0</w:t>
            </w:r>
          </w:p>
        </w:tc>
        <w:tc>
          <w:tcPr>
            <w:tcW w:w="697" w:type="dxa"/>
          </w:tcPr>
          <w:p>
            <w:pPr>
              <w:pStyle w:val="TableParagraph"/>
              <w:spacing w:before="92"/>
              <w:ind w:right="173"/>
              <w:jc w:val="right"/>
              <w:rPr>
                <w:sz w:val="18"/>
              </w:rPr>
            </w:pPr>
            <w:r>
              <w:rPr>
                <w:color w:val="231F20"/>
                <w:sz w:val="18"/>
              </w:rPr>
              <w:t>10.1</w:t>
            </w:r>
          </w:p>
        </w:tc>
      </w:tr>
      <w:tr>
        <w:trPr>
          <w:trHeight w:val="340" w:hRule="exact"/>
        </w:trPr>
        <w:tc>
          <w:tcPr>
            <w:tcW w:w="1424" w:type="dxa"/>
          </w:tcPr>
          <w:p>
            <w:pPr>
              <w:pStyle w:val="TableParagraph"/>
              <w:spacing w:before="89"/>
              <w:ind w:left="47"/>
              <w:rPr>
                <w:rFonts w:ascii="Arial"/>
                <w:sz w:val="18"/>
              </w:rPr>
            </w:pPr>
            <w:r>
              <w:rPr>
                <w:rFonts w:ascii="Arial"/>
                <w:color w:val="231F20"/>
                <w:w w:val="105"/>
                <w:sz w:val="18"/>
              </w:rPr>
              <w:t>No especificado</w:t>
            </w:r>
          </w:p>
        </w:tc>
        <w:tc>
          <w:tcPr>
            <w:tcW w:w="852" w:type="dxa"/>
          </w:tcPr>
          <w:p>
            <w:pPr>
              <w:pStyle w:val="TableParagraph"/>
              <w:spacing w:before="92"/>
              <w:ind w:left="213"/>
              <w:rPr>
                <w:sz w:val="18"/>
              </w:rPr>
            </w:pPr>
            <w:r>
              <w:rPr>
                <w:color w:val="231F20"/>
                <w:w w:val="105"/>
                <w:sz w:val="18"/>
              </w:rPr>
              <w:t>1 321</w:t>
            </w:r>
          </w:p>
        </w:tc>
        <w:tc>
          <w:tcPr>
            <w:tcW w:w="825" w:type="dxa"/>
          </w:tcPr>
          <w:p>
            <w:pPr>
              <w:pStyle w:val="TableParagraph"/>
              <w:spacing w:before="92"/>
              <w:ind w:left="186"/>
              <w:rPr>
                <w:sz w:val="18"/>
              </w:rPr>
            </w:pPr>
            <w:r>
              <w:rPr>
                <w:color w:val="231F20"/>
                <w:w w:val="105"/>
                <w:sz w:val="18"/>
              </w:rPr>
              <w:t>1 196</w:t>
            </w:r>
          </w:p>
        </w:tc>
        <w:tc>
          <w:tcPr>
            <w:tcW w:w="952" w:type="dxa"/>
          </w:tcPr>
          <w:p>
            <w:pPr>
              <w:pStyle w:val="TableParagraph"/>
              <w:spacing w:before="92"/>
              <w:ind w:right="173"/>
              <w:jc w:val="right"/>
              <w:rPr>
                <w:sz w:val="18"/>
              </w:rPr>
            </w:pPr>
            <w:r>
              <w:rPr>
                <w:color w:val="231F20"/>
                <w:w w:val="105"/>
                <w:sz w:val="18"/>
              </w:rPr>
              <w:t>2 517</w:t>
            </w:r>
          </w:p>
        </w:tc>
        <w:tc>
          <w:tcPr>
            <w:tcW w:w="794" w:type="dxa"/>
          </w:tcPr>
          <w:p>
            <w:pPr>
              <w:pStyle w:val="TableParagraph"/>
              <w:spacing w:before="92"/>
              <w:ind w:right="173"/>
              <w:jc w:val="right"/>
              <w:rPr>
                <w:sz w:val="18"/>
              </w:rPr>
            </w:pPr>
            <w:r>
              <w:rPr>
                <w:color w:val="231F20"/>
                <w:sz w:val="18"/>
              </w:rPr>
              <w:t>52.5</w:t>
            </w:r>
          </w:p>
        </w:tc>
        <w:tc>
          <w:tcPr>
            <w:tcW w:w="725" w:type="dxa"/>
          </w:tcPr>
          <w:p>
            <w:pPr>
              <w:pStyle w:val="TableParagraph"/>
              <w:spacing w:before="92"/>
              <w:ind w:right="173"/>
              <w:jc w:val="right"/>
              <w:rPr>
                <w:sz w:val="18"/>
              </w:rPr>
            </w:pPr>
            <w:r>
              <w:rPr>
                <w:color w:val="231F20"/>
                <w:sz w:val="18"/>
              </w:rPr>
              <w:t>47.5</w:t>
            </w:r>
          </w:p>
        </w:tc>
        <w:tc>
          <w:tcPr>
            <w:tcW w:w="703" w:type="dxa"/>
          </w:tcPr>
          <w:p>
            <w:pPr>
              <w:pStyle w:val="TableParagraph"/>
              <w:spacing w:before="92"/>
              <w:ind w:left="70"/>
              <w:rPr>
                <w:sz w:val="18"/>
              </w:rPr>
            </w:pPr>
            <w:r>
              <w:rPr>
                <w:color w:val="231F20"/>
                <w:w w:val="105"/>
                <w:sz w:val="18"/>
              </w:rPr>
              <w:t>100.0</w:t>
            </w:r>
          </w:p>
        </w:tc>
        <w:tc>
          <w:tcPr>
            <w:tcW w:w="697" w:type="dxa"/>
          </w:tcPr>
          <w:p>
            <w:pPr>
              <w:pStyle w:val="TableParagraph"/>
              <w:spacing w:before="92"/>
              <w:ind w:right="173"/>
              <w:jc w:val="right"/>
              <w:rPr>
                <w:sz w:val="18"/>
              </w:rPr>
            </w:pPr>
            <w:r>
              <w:rPr>
                <w:color w:val="231F20"/>
                <w:sz w:val="18"/>
              </w:rPr>
              <w:t>0.2</w:t>
            </w:r>
          </w:p>
        </w:tc>
      </w:tr>
      <w:tr>
        <w:trPr>
          <w:trHeight w:val="340" w:hRule="exact"/>
        </w:trPr>
        <w:tc>
          <w:tcPr>
            <w:tcW w:w="1424" w:type="dxa"/>
          </w:tcPr>
          <w:p>
            <w:pPr>
              <w:pStyle w:val="TableParagraph"/>
              <w:spacing w:before="89"/>
              <w:ind w:left="70" w:right="269"/>
              <w:rPr>
                <w:rFonts w:ascii="Arial"/>
                <w:i/>
                <w:sz w:val="18"/>
              </w:rPr>
            </w:pPr>
            <w:r>
              <w:rPr>
                <w:rFonts w:ascii="Arial"/>
                <w:i/>
                <w:color w:val="231F20"/>
                <w:w w:val="105"/>
                <w:sz w:val="18"/>
              </w:rPr>
              <w:t>Total</w:t>
            </w:r>
          </w:p>
        </w:tc>
        <w:tc>
          <w:tcPr>
            <w:tcW w:w="852" w:type="dxa"/>
          </w:tcPr>
          <w:p>
            <w:pPr>
              <w:pStyle w:val="TableParagraph"/>
              <w:spacing w:before="90"/>
              <w:ind w:left="69"/>
              <w:rPr>
                <w:sz w:val="16"/>
              </w:rPr>
            </w:pPr>
            <w:r>
              <w:rPr>
                <w:color w:val="231F20"/>
                <w:w w:val="105"/>
                <w:sz w:val="16"/>
              </w:rPr>
              <w:t>1 107 183</w:t>
            </w:r>
          </w:p>
        </w:tc>
        <w:tc>
          <w:tcPr>
            <w:tcW w:w="825" w:type="dxa"/>
          </w:tcPr>
          <w:p>
            <w:pPr>
              <w:pStyle w:val="TableParagraph"/>
              <w:spacing w:before="90"/>
              <w:ind w:left="173"/>
              <w:rPr>
                <w:sz w:val="16"/>
              </w:rPr>
            </w:pPr>
            <w:r>
              <w:rPr>
                <w:color w:val="231F20"/>
                <w:w w:val="105"/>
                <w:sz w:val="16"/>
              </w:rPr>
              <w:t>528 678</w:t>
            </w:r>
          </w:p>
        </w:tc>
        <w:tc>
          <w:tcPr>
            <w:tcW w:w="952" w:type="dxa"/>
          </w:tcPr>
          <w:p>
            <w:pPr>
              <w:pStyle w:val="TableParagraph"/>
              <w:spacing w:before="90"/>
              <w:ind w:right="109"/>
              <w:jc w:val="right"/>
              <w:rPr>
                <w:sz w:val="16"/>
              </w:rPr>
            </w:pPr>
            <w:r>
              <w:rPr>
                <w:color w:val="231F20"/>
                <w:w w:val="105"/>
                <w:sz w:val="16"/>
              </w:rPr>
              <w:t>1 635 861</w:t>
            </w:r>
          </w:p>
        </w:tc>
        <w:tc>
          <w:tcPr>
            <w:tcW w:w="794" w:type="dxa"/>
          </w:tcPr>
          <w:p>
            <w:pPr>
              <w:pStyle w:val="TableParagraph"/>
              <w:spacing w:before="90"/>
              <w:ind w:right="166"/>
              <w:jc w:val="right"/>
              <w:rPr>
                <w:sz w:val="16"/>
              </w:rPr>
            </w:pPr>
            <w:r>
              <w:rPr>
                <w:color w:val="231F20"/>
                <w:sz w:val="16"/>
              </w:rPr>
              <w:t>67.7</w:t>
            </w:r>
          </w:p>
        </w:tc>
        <w:tc>
          <w:tcPr>
            <w:tcW w:w="725" w:type="dxa"/>
          </w:tcPr>
          <w:p>
            <w:pPr>
              <w:pStyle w:val="TableParagraph"/>
              <w:spacing w:before="90"/>
              <w:ind w:right="166"/>
              <w:jc w:val="right"/>
              <w:rPr>
                <w:sz w:val="16"/>
              </w:rPr>
            </w:pPr>
            <w:r>
              <w:rPr>
                <w:color w:val="231F20"/>
                <w:sz w:val="16"/>
              </w:rPr>
              <w:t>32.3</w:t>
            </w:r>
          </w:p>
        </w:tc>
        <w:tc>
          <w:tcPr>
            <w:tcW w:w="703" w:type="dxa"/>
          </w:tcPr>
          <w:p>
            <w:pPr>
              <w:pStyle w:val="TableParagraph"/>
              <w:spacing w:before="90"/>
              <w:ind w:left="121"/>
              <w:rPr>
                <w:sz w:val="16"/>
              </w:rPr>
            </w:pPr>
            <w:r>
              <w:rPr>
                <w:color w:val="231F20"/>
                <w:w w:val="105"/>
                <w:sz w:val="16"/>
              </w:rPr>
              <w:t>100.0</w:t>
            </w:r>
          </w:p>
        </w:tc>
        <w:tc>
          <w:tcPr>
            <w:tcW w:w="697" w:type="dxa"/>
          </w:tcPr>
          <w:p>
            <w:pPr>
              <w:pStyle w:val="TableParagraph"/>
              <w:spacing w:before="90"/>
              <w:ind w:right="166"/>
              <w:jc w:val="right"/>
              <w:rPr>
                <w:sz w:val="16"/>
              </w:rPr>
            </w:pPr>
            <w:r>
              <w:rPr>
                <w:color w:val="231F20"/>
                <w:sz w:val="16"/>
              </w:rPr>
              <w:t>100.0</w:t>
            </w:r>
          </w:p>
        </w:tc>
      </w:tr>
    </w:tbl>
    <w:p>
      <w:pPr>
        <w:spacing w:line="254" w:lineRule="auto" w:before="78"/>
        <w:ind w:left="1837" w:right="1486" w:firstLine="0"/>
        <w:jc w:val="left"/>
        <w:rPr>
          <w:sz w:val="16"/>
        </w:rPr>
      </w:pPr>
      <w:r>
        <w:rPr/>
        <w:pict>
          <v:line style="position:absolute;mso-position-horizontal-relative:page;mso-position-vertical-relative:paragraph;z-index:-469792" from="15pt,96.379906pt" to="0pt,96.379906pt" stroked="true" strokeweight=".25pt" strokecolor="#000000">
            <w10:wrap type="none"/>
          </v:line>
        </w:pict>
      </w:r>
      <w:r>
        <w:rPr/>
        <w:pict>
          <v:line style="position:absolute;mso-position-horizontal-relative:page;mso-position-vertical-relative:paragraph;z-index:20416" from="508.890015pt,96.379906pt" to="523.890015pt,96.379906pt" stroked="true" strokeweight=".25pt" strokecolor="#000000">
            <w10:wrap type="none"/>
          </v:line>
        </w:pict>
      </w:r>
      <w:r>
        <w:rPr>
          <w:color w:val="231F20"/>
          <w:w w:val="105"/>
          <w:sz w:val="16"/>
        </w:rPr>
        <w:t>Fuente: elaboración propia con datos de la Encuesta de Migración de la Frontera Norte, 2013 </w:t>
      </w:r>
      <w:r>
        <w:rPr>
          <w:color w:val="231F20"/>
          <w:sz w:val="16"/>
        </w:rPr>
        <w:t>(</w:t>
      </w:r>
      <w:r>
        <w:rPr>
          <w:color w:val="231F20"/>
          <w:sz w:val="14"/>
        </w:rPr>
        <w:t>CONAPO</w:t>
      </w:r>
      <w:r>
        <w:rPr>
          <w:color w:val="231F20"/>
          <w:sz w:val="16"/>
        </w:rPr>
        <w:t>, 2015).</w:t>
      </w:r>
    </w:p>
    <w:p>
      <w:pPr>
        <w:spacing w:after="0" w:line="254" w:lineRule="auto"/>
        <w:jc w:val="left"/>
        <w:rPr>
          <w:sz w:val="16"/>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20464" from="15pt,-71.68644pt" to="0pt,-71.68644pt" stroked="true" strokeweight=".25pt" strokecolor="#000000">
            <w10:wrap type="none"/>
          </v:line>
        </w:pict>
      </w:r>
      <w:r>
        <w:rPr/>
        <w:pict>
          <v:line style="position:absolute;mso-position-horizontal-relative:page;mso-position-vertical-relative:paragraph;z-index:20488" from="508.890015pt,-71.68644pt" to="523.890015pt,-71.68644pt" stroked="true" strokeweight=".25pt" strokecolor="#000000">
            <w10:wrap type="none"/>
          </v:line>
        </w:pict>
      </w:r>
      <w:r>
        <w:rPr>
          <w:color w:val="231F20"/>
          <w:spacing w:val="-6"/>
          <w:w w:val="105"/>
        </w:rPr>
        <w:t>Por</w:t>
      </w:r>
      <w:r>
        <w:rPr>
          <w:color w:val="231F20"/>
          <w:spacing w:val="-15"/>
          <w:w w:val="105"/>
        </w:rPr>
        <w:t> </w:t>
      </w:r>
      <w:r>
        <w:rPr>
          <w:color w:val="231F20"/>
          <w:w w:val="105"/>
        </w:rPr>
        <w:t>otro</w:t>
      </w:r>
      <w:r>
        <w:rPr>
          <w:color w:val="231F20"/>
          <w:spacing w:val="-15"/>
          <w:w w:val="105"/>
        </w:rPr>
        <w:t> </w:t>
      </w:r>
      <w:r>
        <w:rPr>
          <w:color w:val="231F20"/>
          <w:w w:val="105"/>
        </w:rPr>
        <w:t>lado,</w:t>
      </w:r>
      <w:r>
        <w:rPr>
          <w:color w:val="231F20"/>
          <w:spacing w:val="-21"/>
          <w:w w:val="105"/>
        </w:rPr>
        <w:t> </w:t>
      </w:r>
      <w:r>
        <w:rPr>
          <w:color w:val="231F20"/>
          <w:w w:val="105"/>
        </w:rPr>
        <w:t>4%</w:t>
      </w:r>
      <w:r>
        <w:rPr>
          <w:color w:val="231F20"/>
          <w:spacing w:val="-15"/>
          <w:w w:val="105"/>
        </w:rPr>
        <w:t> </w:t>
      </w:r>
      <w:r>
        <w:rPr>
          <w:color w:val="231F20"/>
          <w:w w:val="105"/>
        </w:rPr>
        <w:t>del</w:t>
      </w:r>
      <w:r>
        <w:rPr>
          <w:color w:val="231F20"/>
          <w:spacing w:val="-15"/>
          <w:w w:val="105"/>
        </w:rPr>
        <w:t> </w:t>
      </w:r>
      <w:r>
        <w:rPr>
          <w:color w:val="231F20"/>
          <w:w w:val="105"/>
        </w:rPr>
        <w:t>total</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migrantes</w:t>
      </w:r>
      <w:r>
        <w:rPr>
          <w:color w:val="231F20"/>
          <w:spacing w:val="-15"/>
          <w:w w:val="105"/>
        </w:rPr>
        <w:t> </w:t>
      </w:r>
      <w:r>
        <w:rPr>
          <w:color w:val="231F20"/>
          <w:w w:val="105"/>
        </w:rPr>
        <w:t>en</w:t>
      </w:r>
      <w:r>
        <w:rPr>
          <w:color w:val="231F20"/>
          <w:spacing w:val="-15"/>
          <w:w w:val="105"/>
        </w:rPr>
        <w:t> </w:t>
      </w:r>
      <w:r>
        <w:rPr>
          <w:color w:val="231F20"/>
          <w:w w:val="105"/>
        </w:rPr>
        <w:t>flujo</w:t>
      </w:r>
      <w:r>
        <w:rPr>
          <w:color w:val="231F20"/>
          <w:spacing w:val="-15"/>
          <w:w w:val="105"/>
        </w:rPr>
        <w:t> </w:t>
      </w:r>
      <w:r>
        <w:rPr>
          <w:color w:val="231F20"/>
          <w:w w:val="105"/>
        </w:rPr>
        <w:t>procedentes</w:t>
      </w:r>
      <w:r>
        <w:rPr>
          <w:color w:val="231F20"/>
          <w:spacing w:val="-15"/>
          <w:w w:val="105"/>
        </w:rPr>
        <w:t> </w:t>
      </w:r>
      <w:r>
        <w:rPr>
          <w:color w:val="231F20"/>
          <w:w w:val="105"/>
        </w:rPr>
        <w:t>de</w:t>
      </w:r>
      <w:r>
        <w:rPr>
          <w:color w:val="231F20"/>
          <w:spacing w:val="-15"/>
          <w:w w:val="105"/>
        </w:rPr>
        <w:t> </w:t>
      </w:r>
      <w:r>
        <w:rPr>
          <w:color w:val="231F20"/>
          <w:w w:val="105"/>
        </w:rPr>
        <w:t>Esta- dos Unidos hablaban alguna lengua indígena, proporción inferior entre los</w:t>
      </w:r>
      <w:r>
        <w:rPr>
          <w:color w:val="231F20"/>
          <w:spacing w:val="-20"/>
          <w:w w:val="105"/>
        </w:rPr>
        <w:t> </w:t>
      </w:r>
      <w:r>
        <w:rPr>
          <w:color w:val="231F20"/>
          <w:w w:val="105"/>
        </w:rPr>
        <w:t>nacidos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entidad</w:t>
      </w:r>
      <w:r>
        <w:rPr>
          <w:color w:val="231F20"/>
          <w:spacing w:val="-20"/>
          <w:w w:val="105"/>
        </w:rPr>
        <w:t> </w:t>
      </w:r>
      <w:r>
        <w:rPr>
          <w:color w:val="231F20"/>
          <w:w w:val="105"/>
        </w:rPr>
        <w:t>mexiquense,</w:t>
      </w:r>
      <w:r>
        <w:rPr>
          <w:color w:val="231F20"/>
          <w:spacing w:val="-25"/>
          <w:w w:val="105"/>
        </w:rPr>
        <w:t> </w:t>
      </w:r>
      <w:r>
        <w:rPr>
          <w:color w:val="231F20"/>
          <w:w w:val="105"/>
        </w:rPr>
        <w:t>alcanzando</w:t>
      </w:r>
      <w:r>
        <w:rPr>
          <w:color w:val="231F20"/>
          <w:spacing w:val="-20"/>
          <w:w w:val="105"/>
        </w:rPr>
        <w:t> </w:t>
      </w:r>
      <w:r>
        <w:rPr>
          <w:color w:val="231F20"/>
          <w:w w:val="105"/>
        </w:rPr>
        <w:t>2.3%.</w:t>
      </w:r>
      <w:r>
        <w:rPr>
          <w:color w:val="231F20"/>
          <w:spacing w:val="-25"/>
          <w:w w:val="105"/>
        </w:rPr>
        <w:t> </w:t>
      </w:r>
      <w:r>
        <w:rPr>
          <w:color w:val="231F20"/>
          <w:w w:val="105"/>
        </w:rPr>
        <w:t>En</w:t>
      </w:r>
      <w:r>
        <w:rPr>
          <w:color w:val="231F20"/>
          <w:spacing w:val="-20"/>
          <w:w w:val="105"/>
        </w:rPr>
        <w:t> </w:t>
      </w:r>
      <w:r>
        <w:rPr>
          <w:color w:val="231F20"/>
          <w:w w:val="105"/>
        </w:rPr>
        <w:t>relación</w:t>
      </w:r>
      <w:r>
        <w:rPr>
          <w:color w:val="231F20"/>
          <w:spacing w:val="-20"/>
          <w:w w:val="105"/>
        </w:rPr>
        <w:t> </w:t>
      </w:r>
      <w:r>
        <w:rPr>
          <w:color w:val="231F20"/>
          <w:w w:val="105"/>
        </w:rPr>
        <w:t>con el último nivel de estudios de la población total de migrantes en flujo procedentes</w:t>
      </w:r>
      <w:r>
        <w:rPr>
          <w:color w:val="231F20"/>
          <w:spacing w:val="-14"/>
          <w:w w:val="105"/>
        </w:rPr>
        <w:t> </w:t>
      </w:r>
      <w:r>
        <w:rPr>
          <w:color w:val="231F20"/>
          <w:w w:val="105"/>
        </w:rPr>
        <w:t>de</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8"/>
          <w:w w:val="105"/>
        </w:rPr>
        <w:t> </w:t>
      </w:r>
      <w:r>
        <w:rPr>
          <w:color w:val="231F20"/>
          <w:w w:val="105"/>
        </w:rPr>
        <w:t>se</w:t>
      </w:r>
      <w:r>
        <w:rPr>
          <w:color w:val="231F20"/>
          <w:spacing w:val="-14"/>
          <w:w w:val="105"/>
        </w:rPr>
        <w:t> </w:t>
      </w:r>
      <w:r>
        <w:rPr>
          <w:color w:val="231F20"/>
          <w:w w:val="105"/>
        </w:rPr>
        <w:t>estima</w:t>
      </w:r>
      <w:r>
        <w:rPr>
          <w:color w:val="231F20"/>
          <w:spacing w:val="-14"/>
          <w:w w:val="105"/>
        </w:rPr>
        <w:t> </w:t>
      </w:r>
      <w:r>
        <w:rPr>
          <w:color w:val="231F20"/>
          <w:w w:val="105"/>
        </w:rPr>
        <w:t>que</w:t>
      </w:r>
      <w:r>
        <w:rPr>
          <w:color w:val="231F20"/>
          <w:spacing w:val="-14"/>
          <w:w w:val="105"/>
        </w:rPr>
        <w:t> </w:t>
      </w:r>
      <w:r>
        <w:rPr>
          <w:color w:val="231F20"/>
          <w:w w:val="105"/>
        </w:rPr>
        <w:t>36.6%</w:t>
      </w:r>
      <w:r>
        <w:rPr>
          <w:color w:val="231F20"/>
          <w:spacing w:val="-14"/>
          <w:w w:val="105"/>
        </w:rPr>
        <w:t> </w:t>
      </w:r>
      <w:r>
        <w:rPr>
          <w:color w:val="231F20"/>
          <w:w w:val="105"/>
        </w:rPr>
        <w:t>tenía</w:t>
      </w:r>
      <w:r>
        <w:rPr>
          <w:color w:val="231F20"/>
          <w:spacing w:val="-14"/>
          <w:w w:val="105"/>
        </w:rPr>
        <w:t> </w:t>
      </w:r>
      <w:r>
        <w:rPr>
          <w:color w:val="231F20"/>
          <w:w w:val="105"/>
        </w:rPr>
        <w:t>algún</w:t>
      </w:r>
      <w:r>
        <w:rPr>
          <w:color w:val="231F20"/>
          <w:spacing w:val="-14"/>
          <w:w w:val="105"/>
        </w:rPr>
        <w:t> </w:t>
      </w:r>
      <w:r>
        <w:rPr>
          <w:color w:val="231F20"/>
          <w:w w:val="105"/>
        </w:rPr>
        <w:t>grado de</w:t>
      </w:r>
      <w:r>
        <w:rPr>
          <w:color w:val="231F20"/>
          <w:spacing w:val="-6"/>
          <w:w w:val="105"/>
        </w:rPr>
        <w:t> </w:t>
      </w:r>
      <w:r>
        <w:rPr>
          <w:color w:val="231F20"/>
          <w:w w:val="105"/>
        </w:rPr>
        <w:t>secundaria</w:t>
      </w:r>
      <w:r>
        <w:rPr>
          <w:color w:val="231F20"/>
          <w:spacing w:val="-6"/>
          <w:w w:val="105"/>
        </w:rPr>
        <w:t> </w:t>
      </w:r>
      <w:r>
        <w:rPr>
          <w:color w:val="231F20"/>
          <w:w w:val="105"/>
        </w:rPr>
        <w:t>y</w:t>
      </w:r>
      <w:r>
        <w:rPr>
          <w:color w:val="231F20"/>
          <w:spacing w:val="-6"/>
          <w:w w:val="105"/>
        </w:rPr>
        <w:t> </w:t>
      </w:r>
      <w:r>
        <w:rPr>
          <w:color w:val="231F20"/>
          <w:w w:val="105"/>
        </w:rPr>
        <w:t>30.3%</w:t>
      </w:r>
      <w:r>
        <w:rPr>
          <w:color w:val="231F20"/>
          <w:spacing w:val="-6"/>
          <w:w w:val="105"/>
        </w:rPr>
        <w:t> </w:t>
      </w:r>
      <w:r>
        <w:rPr>
          <w:color w:val="231F20"/>
          <w:w w:val="105"/>
        </w:rPr>
        <w:t>algún</w:t>
      </w:r>
      <w:r>
        <w:rPr>
          <w:color w:val="231F20"/>
          <w:spacing w:val="-6"/>
          <w:w w:val="105"/>
        </w:rPr>
        <w:t> </w:t>
      </w:r>
      <w:r>
        <w:rPr>
          <w:color w:val="231F20"/>
          <w:w w:val="105"/>
        </w:rPr>
        <w:t>grado</w:t>
      </w:r>
      <w:r>
        <w:rPr>
          <w:color w:val="231F20"/>
          <w:spacing w:val="-6"/>
          <w:w w:val="105"/>
        </w:rPr>
        <w:t> </w:t>
      </w:r>
      <w:r>
        <w:rPr>
          <w:color w:val="231F20"/>
          <w:w w:val="105"/>
        </w:rPr>
        <w:t>de</w:t>
      </w:r>
      <w:r>
        <w:rPr>
          <w:color w:val="231F20"/>
          <w:spacing w:val="-6"/>
          <w:w w:val="105"/>
        </w:rPr>
        <w:t> </w:t>
      </w:r>
      <w:r>
        <w:rPr>
          <w:color w:val="231F20"/>
          <w:w w:val="105"/>
        </w:rPr>
        <w:t>primaria,</w:t>
      </w:r>
      <w:r>
        <w:rPr>
          <w:color w:val="231F20"/>
          <w:spacing w:val="-12"/>
          <w:w w:val="105"/>
        </w:rPr>
        <w:t> </w:t>
      </w:r>
      <w:r>
        <w:rPr>
          <w:color w:val="231F20"/>
          <w:w w:val="105"/>
        </w:rPr>
        <w:t>proporciones</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el caso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migrantes</w:t>
      </w:r>
      <w:r>
        <w:rPr>
          <w:color w:val="231F20"/>
          <w:spacing w:val="-6"/>
          <w:w w:val="105"/>
        </w:rPr>
        <w:t> </w:t>
      </w:r>
      <w:r>
        <w:rPr>
          <w:color w:val="231F20"/>
          <w:w w:val="105"/>
        </w:rPr>
        <w:t>nacidos</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Estado</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6"/>
          <w:w w:val="105"/>
        </w:rPr>
        <w:t> </w:t>
      </w:r>
      <w:r>
        <w:rPr>
          <w:color w:val="231F20"/>
          <w:w w:val="105"/>
        </w:rPr>
        <w:t>fueron</w:t>
      </w:r>
      <w:r>
        <w:rPr>
          <w:color w:val="231F20"/>
          <w:spacing w:val="-6"/>
          <w:w w:val="105"/>
        </w:rPr>
        <w:t> </w:t>
      </w:r>
      <w:r>
        <w:rPr>
          <w:color w:val="231F20"/>
          <w:w w:val="105"/>
        </w:rPr>
        <w:t>de</w:t>
      </w:r>
      <w:r>
        <w:rPr>
          <w:color w:val="231F20"/>
          <w:spacing w:val="-6"/>
          <w:w w:val="105"/>
        </w:rPr>
        <w:t> </w:t>
      </w:r>
      <w:r>
        <w:rPr>
          <w:color w:val="231F20"/>
          <w:w w:val="105"/>
        </w:rPr>
        <w:t>33.6% y</w:t>
      </w:r>
      <w:r>
        <w:rPr>
          <w:color w:val="231F20"/>
          <w:spacing w:val="-22"/>
          <w:w w:val="105"/>
        </w:rPr>
        <w:t> </w:t>
      </w:r>
      <w:r>
        <w:rPr>
          <w:color w:val="231F20"/>
          <w:w w:val="105"/>
        </w:rPr>
        <w:t>29.6%</w:t>
      </w:r>
      <w:r>
        <w:rPr>
          <w:color w:val="231F20"/>
          <w:spacing w:val="-22"/>
          <w:w w:val="105"/>
        </w:rPr>
        <w:t> </w:t>
      </w:r>
      <w:r>
        <w:rPr>
          <w:color w:val="231F20"/>
          <w:w w:val="105"/>
        </w:rPr>
        <w:t>de</w:t>
      </w:r>
      <w:r>
        <w:rPr>
          <w:color w:val="231F20"/>
          <w:spacing w:val="-22"/>
          <w:w w:val="105"/>
        </w:rPr>
        <w:t> </w:t>
      </w:r>
      <w:r>
        <w:rPr>
          <w:color w:val="231F20"/>
          <w:w w:val="105"/>
        </w:rPr>
        <w:t>manera</w:t>
      </w:r>
      <w:r>
        <w:rPr>
          <w:color w:val="231F20"/>
          <w:spacing w:val="-22"/>
          <w:w w:val="105"/>
        </w:rPr>
        <w:t> </w:t>
      </w:r>
      <w:r>
        <w:rPr>
          <w:color w:val="231F20"/>
          <w:w w:val="105"/>
        </w:rPr>
        <w:t>respectiva.</w:t>
      </w:r>
      <w:r>
        <w:rPr>
          <w:color w:val="231F20"/>
          <w:spacing w:val="-31"/>
          <w:w w:val="105"/>
        </w:rPr>
        <w:t> </w:t>
      </w:r>
      <w:r>
        <w:rPr>
          <w:color w:val="231F20"/>
          <w:spacing w:val="-5"/>
          <w:w w:val="105"/>
        </w:rPr>
        <w:t>Tanto</w:t>
      </w:r>
      <w:r>
        <w:rPr>
          <w:color w:val="231F20"/>
          <w:spacing w:val="-22"/>
          <w:w w:val="105"/>
        </w:rPr>
        <w:t> </w:t>
      </w:r>
      <w:r>
        <w:rPr>
          <w:color w:val="231F20"/>
          <w:w w:val="105"/>
        </w:rPr>
        <w:t>a</w:t>
      </w:r>
      <w:r>
        <w:rPr>
          <w:color w:val="231F20"/>
          <w:spacing w:val="-22"/>
          <w:w w:val="105"/>
        </w:rPr>
        <w:t> </w:t>
      </w:r>
      <w:r>
        <w:rPr>
          <w:color w:val="231F20"/>
          <w:w w:val="105"/>
        </w:rPr>
        <w:t>nivel</w:t>
      </w:r>
      <w:r>
        <w:rPr>
          <w:color w:val="231F20"/>
          <w:spacing w:val="-22"/>
          <w:w w:val="105"/>
        </w:rPr>
        <w:t> </w:t>
      </w:r>
      <w:r>
        <w:rPr>
          <w:color w:val="231F20"/>
          <w:w w:val="105"/>
        </w:rPr>
        <w:t>nacional</w:t>
      </w:r>
      <w:r>
        <w:rPr>
          <w:color w:val="231F20"/>
          <w:spacing w:val="-22"/>
          <w:w w:val="105"/>
        </w:rPr>
        <w:t> </w:t>
      </w:r>
      <w:r>
        <w:rPr>
          <w:color w:val="231F20"/>
          <w:w w:val="105"/>
        </w:rPr>
        <w:t>como</w:t>
      </w:r>
      <w:r>
        <w:rPr>
          <w:color w:val="231F20"/>
          <w:spacing w:val="-22"/>
          <w:w w:val="105"/>
        </w:rPr>
        <w:t> </w:t>
      </w:r>
      <w:r>
        <w:rPr>
          <w:color w:val="231F20"/>
          <w:w w:val="105"/>
        </w:rPr>
        <w:t>para</w:t>
      </w:r>
      <w:r>
        <w:rPr>
          <w:color w:val="231F20"/>
          <w:spacing w:val="-22"/>
          <w:w w:val="105"/>
        </w:rPr>
        <w:t> </w:t>
      </w:r>
      <w:r>
        <w:rPr>
          <w:color w:val="231F20"/>
          <w:w w:val="105"/>
        </w:rPr>
        <w:t>los</w:t>
      </w:r>
      <w:r>
        <w:rPr>
          <w:color w:val="231F20"/>
          <w:spacing w:val="-22"/>
          <w:w w:val="105"/>
        </w:rPr>
        <w:t> </w:t>
      </w:r>
      <w:r>
        <w:rPr>
          <w:color w:val="231F20"/>
          <w:w w:val="105"/>
        </w:rPr>
        <w:t>naci- dos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entidad</w:t>
      </w:r>
      <w:r>
        <w:rPr>
          <w:color w:val="231F20"/>
          <w:spacing w:val="-11"/>
          <w:w w:val="105"/>
        </w:rPr>
        <w:t> </w:t>
      </w:r>
      <w:r>
        <w:rPr>
          <w:color w:val="231F20"/>
          <w:w w:val="105"/>
        </w:rPr>
        <w:t>mexiquense,</w:t>
      </w:r>
      <w:r>
        <w:rPr>
          <w:color w:val="231F20"/>
          <w:spacing w:val="-16"/>
          <w:w w:val="105"/>
        </w:rPr>
        <w:t> </w:t>
      </w:r>
      <w:r>
        <w:rPr>
          <w:color w:val="231F20"/>
          <w:w w:val="105"/>
        </w:rPr>
        <w:t>alrededor</w:t>
      </w:r>
      <w:r>
        <w:rPr>
          <w:color w:val="231F20"/>
          <w:spacing w:val="-11"/>
          <w:w w:val="105"/>
        </w:rPr>
        <w:t> </w:t>
      </w:r>
      <w:r>
        <w:rPr>
          <w:color w:val="231F20"/>
          <w:w w:val="105"/>
        </w:rPr>
        <w:t>del</w:t>
      </w:r>
      <w:r>
        <w:rPr>
          <w:color w:val="231F20"/>
          <w:spacing w:val="-11"/>
          <w:w w:val="105"/>
        </w:rPr>
        <w:t> </w:t>
      </w:r>
      <w:r>
        <w:rPr>
          <w:color w:val="231F20"/>
          <w:w w:val="105"/>
        </w:rPr>
        <w:t>10%</w:t>
      </w:r>
      <w:r>
        <w:rPr>
          <w:color w:val="231F20"/>
          <w:spacing w:val="-11"/>
          <w:w w:val="105"/>
        </w:rPr>
        <w:t> </w:t>
      </w:r>
      <w:r>
        <w:rPr>
          <w:color w:val="231F20"/>
          <w:w w:val="105"/>
        </w:rPr>
        <w:t>alcanzaron</w:t>
      </w:r>
      <w:r>
        <w:rPr>
          <w:color w:val="231F20"/>
          <w:spacing w:val="-11"/>
          <w:w w:val="105"/>
        </w:rPr>
        <w:t> </w:t>
      </w:r>
      <w:r>
        <w:rPr>
          <w:color w:val="231F20"/>
          <w:w w:val="105"/>
        </w:rPr>
        <w:t>algún</w:t>
      </w:r>
      <w:r>
        <w:rPr>
          <w:color w:val="231F20"/>
          <w:spacing w:val="-11"/>
          <w:w w:val="105"/>
        </w:rPr>
        <w:t> </w:t>
      </w:r>
      <w:r>
        <w:rPr>
          <w:color w:val="231F20"/>
          <w:w w:val="105"/>
        </w:rPr>
        <w:t>gra- do</w:t>
      </w:r>
      <w:r>
        <w:rPr>
          <w:color w:val="231F20"/>
          <w:spacing w:val="-20"/>
          <w:w w:val="105"/>
        </w:rPr>
        <w:t> </w:t>
      </w:r>
      <w:r>
        <w:rPr>
          <w:color w:val="231F20"/>
          <w:w w:val="105"/>
        </w:rPr>
        <w:t>del</w:t>
      </w:r>
      <w:r>
        <w:rPr>
          <w:color w:val="231F20"/>
          <w:spacing w:val="-20"/>
          <w:w w:val="105"/>
        </w:rPr>
        <w:t> </w:t>
      </w:r>
      <w:r>
        <w:rPr>
          <w:color w:val="231F20"/>
          <w:w w:val="105"/>
        </w:rPr>
        <w:t>nivel</w:t>
      </w:r>
      <w:r>
        <w:rPr>
          <w:color w:val="231F20"/>
          <w:spacing w:val="-20"/>
          <w:w w:val="105"/>
        </w:rPr>
        <w:t> </w:t>
      </w:r>
      <w:r>
        <w:rPr>
          <w:color w:val="231F20"/>
          <w:w w:val="105"/>
        </w:rPr>
        <w:t>profesional</w:t>
      </w:r>
      <w:r>
        <w:rPr>
          <w:color w:val="231F20"/>
          <w:spacing w:val="-20"/>
          <w:w w:val="105"/>
        </w:rPr>
        <w:t> </w:t>
      </w:r>
      <w:r>
        <w:rPr>
          <w:color w:val="231F20"/>
          <w:w w:val="105"/>
        </w:rPr>
        <w:t>(véase</w:t>
      </w:r>
      <w:r>
        <w:rPr>
          <w:color w:val="231F20"/>
          <w:spacing w:val="-20"/>
          <w:w w:val="105"/>
        </w:rPr>
        <w:t> </w:t>
      </w:r>
      <w:r>
        <w:rPr>
          <w:color w:val="231F20"/>
          <w:w w:val="105"/>
        </w:rPr>
        <w:t>gráfica</w:t>
      </w:r>
      <w:r>
        <w:rPr>
          <w:color w:val="231F20"/>
          <w:spacing w:val="-20"/>
          <w:w w:val="105"/>
        </w:rPr>
        <w:t> </w:t>
      </w:r>
      <w:r>
        <w:rPr>
          <w:color w:val="231F20"/>
          <w:w w:val="105"/>
        </w:rPr>
        <w:t>1.1).</w:t>
      </w:r>
    </w:p>
    <w:p>
      <w:pPr>
        <w:pStyle w:val="BodyText"/>
        <w:spacing w:before="4"/>
      </w:pPr>
    </w:p>
    <w:p>
      <w:pPr>
        <w:spacing w:line="249" w:lineRule="auto" w:before="0"/>
        <w:ind w:left="2914" w:right="2173" w:hanging="769"/>
        <w:jc w:val="left"/>
        <w:rPr>
          <w:rFonts w:ascii="Arial" w:hAnsi="Arial"/>
          <w:sz w:val="18"/>
        </w:rPr>
      </w:pPr>
      <w:r>
        <w:rPr>
          <w:rFonts w:ascii="Arial" w:hAnsi="Arial"/>
          <w:color w:val="231F20"/>
          <w:w w:val="105"/>
          <w:sz w:val="18"/>
        </w:rPr>
        <w:t>Cuadro 1.2 Distribución porcentual de los migrantes en flujo procedentes de Estados Unidos según grupos de edad y sexo, 2013</w:t>
      </w:r>
    </w:p>
    <w:p>
      <w:pPr>
        <w:pStyle w:val="BodyText"/>
        <w:spacing w:before="9"/>
        <w:rPr>
          <w:rFonts w:ascii="Arial"/>
          <w:sz w:val="12"/>
        </w:rPr>
      </w:pPr>
    </w:p>
    <w:tbl>
      <w:tblPr>
        <w:tblW w:w="0" w:type="auto"/>
        <w:jc w:val="left"/>
        <w:tblInd w:w="1708"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160"/>
        <w:gridCol w:w="964"/>
        <w:gridCol w:w="964"/>
        <w:gridCol w:w="964"/>
        <w:gridCol w:w="964"/>
        <w:gridCol w:w="964"/>
        <w:gridCol w:w="964"/>
      </w:tblGrid>
      <w:tr>
        <w:trPr>
          <w:trHeight w:val="340" w:hRule="exact"/>
        </w:trPr>
        <w:tc>
          <w:tcPr>
            <w:tcW w:w="1160" w:type="dxa"/>
            <w:vMerge w:val="restart"/>
          </w:tcPr>
          <w:p>
            <w:pPr>
              <w:pStyle w:val="TableParagraph"/>
              <w:spacing w:line="249" w:lineRule="auto" w:before="88"/>
              <w:ind w:left="234" w:right="217" w:firstLine="38"/>
              <w:rPr>
                <w:rFonts w:ascii="Arial"/>
                <w:sz w:val="18"/>
              </w:rPr>
            </w:pPr>
            <w:r>
              <w:rPr>
                <w:rFonts w:ascii="Arial"/>
                <w:color w:val="231F20"/>
                <w:w w:val="105"/>
                <w:sz w:val="18"/>
              </w:rPr>
              <w:t>Grupos de edad</w:t>
            </w:r>
          </w:p>
        </w:tc>
        <w:tc>
          <w:tcPr>
            <w:tcW w:w="2891" w:type="dxa"/>
            <w:gridSpan w:val="3"/>
          </w:tcPr>
          <w:p>
            <w:pPr>
              <w:pStyle w:val="TableParagraph"/>
              <w:spacing w:before="88"/>
              <w:ind w:left="1055" w:right="1055"/>
              <w:jc w:val="center"/>
              <w:rPr>
                <w:rFonts w:ascii="Arial"/>
                <w:sz w:val="18"/>
              </w:rPr>
            </w:pPr>
            <w:r>
              <w:rPr>
                <w:rFonts w:ascii="Arial"/>
                <w:color w:val="231F20"/>
                <w:w w:val="105"/>
                <w:sz w:val="18"/>
              </w:rPr>
              <w:t>Nacional</w:t>
            </w:r>
          </w:p>
        </w:tc>
        <w:tc>
          <w:tcPr>
            <w:tcW w:w="2891" w:type="dxa"/>
            <w:gridSpan w:val="3"/>
          </w:tcPr>
          <w:p>
            <w:pPr>
              <w:pStyle w:val="TableParagraph"/>
              <w:spacing w:before="88"/>
              <w:ind w:left="711"/>
              <w:rPr>
                <w:rFonts w:ascii="Arial" w:hAnsi="Arial"/>
                <w:sz w:val="18"/>
              </w:rPr>
            </w:pPr>
            <w:r>
              <w:rPr>
                <w:rFonts w:ascii="Arial" w:hAnsi="Arial"/>
                <w:color w:val="231F20"/>
                <w:w w:val="105"/>
                <w:sz w:val="18"/>
              </w:rPr>
              <w:t>Estado de México</w:t>
            </w:r>
          </w:p>
        </w:tc>
      </w:tr>
      <w:tr>
        <w:trPr>
          <w:trHeight w:val="340" w:hRule="exact"/>
        </w:trPr>
        <w:tc>
          <w:tcPr>
            <w:tcW w:w="1160" w:type="dxa"/>
            <w:vMerge/>
          </w:tcPr>
          <w:p>
            <w:pPr/>
          </w:p>
        </w:tc>
        <w:tc>
          <w:tcPr>
            <w:tcW w:w="964" w:type="dxa"/>
          </w:tcPr>
          <w:p>
            <w:pPr>
              <w:pStyle w:val="TableParagraph"/>
              <w:spacing w:before="88"/>
              <w:ind w:left="101"/>
              <w:rPr>
                <w:rFonts w:ascii="Arial"/>
                <w:sz w:val="18"/>
              </w:rPr>
            </w:pPr>
            <w:r>
              <w:rPr>
                <w:rFonts w:ascii="Arial"/>
                <w:color w:val="231F20"/>
                <w:w w:val="105"/>
                <w:sz w:val="18"/>
              </w:rPr>
              <w:t>Hombres</w:t>
            </w:r>
          </w:p>
        </w:tc>
        <w:tc>
          <w:tcPr>
            <w:tcW w:w="964" w:type="dxa"/>
          </w:tcPr>
          <w:p>
            <w:pPr>
              <w:pStyle w:val="TableParagraph"/>
              <w:spacing w:before="88"/>
              <w:ind w:left="150"/>
              <w:rPr>
                <w:rFonts w:ascii="Arial"/>
                <w:sz w:val="18"/>
              </w:rPr>
            </w:pPr>
            <w:r>
              <w:rPr>
                <w:rFonts w:ascii="Arial"/>
                <w:color w:val="231F20"/>
                <w:w w:val="105"/>
                <w:sz w:val="18"/>
              </w:rPr>
              <w:t>Mujeres</w:t>
            </w:r>
          </w:p>
        </w:tc>
        <w:tc>
          <w:tcPr>
            <w:tcW w:w="964" w:type="dxa"/>
          </w:tcPr>
          <w:p>
            <w:pPr>
              <w:pStyle w:val="TableParagraph"/>
              <w:spacing w:before="88"/>
              <w:ind w:left="281"/>
              <w:rPr>
                <w:rFonts w:ascii="Arial"/>
                <w:sz w:val="18"/>
              </w:rPr>
            </w:pPr>
            <w:r>
              <w:rPr>
                <w:rFonts w:ascii="Arial"/>
                <w:color w:val="231F20"/>
                <w:w w:val="105"/>
                <w:sz w:val="18"/>
              </w:rPr>
              <w:t>Total</w:t>
            </w:r>
          </w:p>
        </w:tc>
        <w:tc>
          <w:tcPr>
            <w:tcW w:w="964" w:type="dxa"/>
          </w:tcPr>
          <w:p>
            <w:pPr>
              <w:pStyle w:val="TableParagraph"/>
              <w:spacing w:before="88"/>
              <w:ind w:left="101"/>
              <w:rPr>
                <w:rFonts w:ascii="Arial"/>
                <w:sz w:val="18"/>
              </w:rPr>
            </w:pPr>
            <w:r>
              <w:rPr>
                <w:rFonts w:ascii="Arial"/>
                <w:color w:val="231F20"/>
                <w:w w:val="105"/>
                <w:sz w:val="18"/>
              </w:rPr>
              <w:t>Hombres</w:t>
            </w:r>
          </w:p>
        </w:tc>
        <w:tc>
          <w:tcPr>
            <w:tcW w:w="964" w:type="dxa"/>
          </w:tcPr>
          <w:p>
            <w:pPr>
              <w:pStyle w:val="TableParagraph"/>
              <w:spacing w:before="88"/>
              <w:ind w:left="150"/>
              <w:rPr>
                <w:rFonts w:ascii="Arial"/>
                <w:sz w:val="18"/>
              </w:rPr>
            </w:pPr>
            <w:r>
              <w:rPr>
                <w:rFonts w:ascii="Arial"/>
                <w:color w:val="231F20"/>
                <w:w w:val="105"/>
                <w:sz w:val="18"/>
              </w:rPr>
              <w:t>Mujeres</w:t>
            </w:r>
          </w:p>
        </w:tc>
        <w:tc>
          <w:tcPr>
            <w:tcW w:w="964" w:type="dxa"/>
          </w:tcPr>
          <w:p>
            <w:pPr>
              <w:pStyle w:val="TableParagraph"/>
              <w:spacing w:before="88"/>
              <w:ind w:right="280"/>
              <w:jc w:val="right"/>
              <w:rPr>
                <w:rFonts w:ascii="Arial"/>
                <w:sz w:val="18"/>
              </w:rPr>
            </w:pPr>
            <w:r>
              <w:rPr>
                <w:rFonts w:ascii="Arial"/>
                <w:color w:val="231F20"/>
                <w:w w:val="105"/>
                <w:sz w:val="18"/>
              </w:rPr>
              <w:t>Total</w:t>
            </w:r>
          </w:p>
        </w:tc>
      </w:tr>
      <w:tr>
        <w:trPr>
          <w:trHeight w:val="340" w:hRule="exact"/>
        </w:trPr>
        <w:tc>
          <w:tcPr>
            <w:tcW w:w="1160" w:type="dxa"/>
          </w:tcPr>
          <w:p>
            <w:pPr>
              <w:pStyle w:val="TableParagraph"/>
              <w:spacing w:before="88"/>
              <w:ind w:left="77" w:right="217"/>
              <w:rPr>
                <w:rFonts w:ascii="Arial"/>
                <w:sz w:val="18"/>
              </w:rPr>
            </w:pPr>
            <w:r>
              <w:rPr>
                <w:rFonts w:ascii="Arial"/>
                <w:color w:val="231F20"/>
                <w:w w:val="105"/>
                <w:sz w:val="18"/>
              </w:rPr>
              <w:t>15-19</w:t>
            </w:r>
          </w:p>
        </w:tc>
        <w:tc>
          <w:tcPr>
            <w:tcW w:w="964" w:type="dxa"/>
          </w:tcPr>
          <w:p>
            <w:pPr>
              <w:pStyle w:val="TableParagraph"/>
              <w:ind w:left="480"/>
              <w:rPr>
                <w:sz w:val="18"/>
              </w:rPr>
            </w:pPr>
            <w:r>
              <w:rPr>
                <w:color w:val="231F20"/>
                <w:sz w:val="18"/>
              </w:rPr>
              <w:t>2.2</w:t>
            </w:r>
          </w:p>
        </w:tc>
        <w:tc>
          <w:tcPr>
            <w:tcW w:w="964" w:type="dxa"/>
          </w:tcPr>
          <w:p>
            <w:pPr>
              <w:pStyle w:val="TableParagraph"/>
              <w:ind w:left="480"/>
              <w:rPr>
                <w:sz w:val="18"/>
              </w:rPr>
            </w:pPr>
            <w:r>
              <w:rPr>
                <w:color w:val="231F20"/>
                <w:sz w:val="18"/>
              </w:rPr>
              <w:t>1.7</w:t>
            </w:r>
          </w:p>
        </w:tc>
        <w:tc>
          <w:tcPr>
            <w:tcW w:w="964" w:type="dxa"/>
          </w:tcPr>
          <w:p>
            <w:pPr>
              <w:pStyle w:val="TableParagraph"/>
              <w:ind w:right="223"/>
              <w:jc w:val="right"/>
              <w:rPr>
                <w:sz w:val="18"/>
              </w:rPr>
            </w:pPr>
            <w:r>
              <w:rPr>
                <w:color w:val="231F20"/>
                <w:sz w:val="18"/>
              </w:rPr>
              <w:t>2.0</w:t>
            </w:r>
          </w:p>
        </w:tc>
        <w:tc>
          <w:tcPr>
            <w:tcW w:w="964" w:type="dxa"/>
          </w:tcPr>
          <w:p>
            <w:pPr>
              <w:pStyle w:val="TableParagraph"/>
              <w:ind w:left="480"/>
              <w:rPr>
                <w:sz w:val="18"/>
              </w:rPr>
            </w:pPr>
            <w:r>
              <w:rPr>
                <w:color w:val="231F20"/>
                <w:sz w:val="18"/>
              </w:rPr>
              <w:t>4.1</w:t>
            </w:r>
          </w:p>
        </w:tc>
        <w:tc>
          <w:tcPr>
            <w:tcW w:w="964" w:type="dxa"/>
          </w:tcPr>
          <w:p>
            <w:pPr>
              <w:pStyle w:val="TableParagraph"/>
              <w:ind w:left="480"/>
              <w:rPr>
                <w:sz w:val="18"/>
              </w:rPr>
            </w:pPr>
            <w:r>
              <w:rPr>
                <w:color w:val="231F20"/>
                <w:sz w:val="18"/>
              </w:rPr>
              <w:t>3.3</w:t>
            </w:r>
          </w:p>
        </w:tc>
        <w:tc>
          <w:tcPr>
            <w:tcW w:w="964" w:type="dxa"/>
          </w:tcPr>
          <w:p>
            <w:pPr>
              <w:pStyle w:val="TableParagraph"/>
              <w:ind w:right="223"/>
              <w:jc w:val="right"/>
              <w:rPr>
                <w:sz w:val="18"/>
              </w:rPr>
            </w:pPr>
            <w:r>
              <w:rPr>
                <w:color w:val="231F20"/>
                <w:sz w:val="18"/>
              </w:rPr>
              <w:t>3.8</w:t>
            </w:r>
          </w:p>
        </w:tc>
      </w:tr>
      <w:tr>
        <w:trPr>
          <w:trHeight w:val="340" w:hRule="exact"/>
        </w:trPr>
        <w:tc>
          <w:tcPr>
            <w:tcW w:w="1160" w:type="dxa"/>
          </w:tcPr>
          <w:p>
            <w:pPr>
              <w:pStyle w:val="TableParagraph"/>
              <w:spacing w:before="88"/>
              <w:ind w:left="77" w:right="217"/>
              <w:rPr>
                <w:rFonts w:ascii="Arial"/>
                <w:sz w:val="18"/>
              </w:rPr>
            </w:pPr>
            <w:r>
              <w:rPr>
                <w:rFonts w:ascii="Arial"/>
                <w:color w:val="231F20"/>
                <w:w w:val="105"/>
                <w:sz w:val="18"/>
              </w:rPr>
              <w:t>20-24</w:t>
            </w:r>
          </w:p>
        </w:tc>
        <w:tc>
          <w:tcPr>
            <w:tcW w:w="964" w:type="dxa"/>
          </w:tcPr>
          <w:p>
            <w:pPr>
              <w:pStyle w:val="TableParagraph"/>
              <w:ind w:left="480"/>
              <w:rPr>
                <w:sz w:val="18"/>
              </w:rPr>
            </w:pPr>
            <w:r>
              <w:rPr>
                <w:color w:val="231F20"/>
                <w:sz w:val="18"/>
              </w:rPr>
              <w:t>6.5</w:t>
            </w:r>
          </w:p>
        </w:tc>
        <w:tc>
          <w:tcPr>
            <w:tcW w:w="964" w:type="dxa"/>
          </w:tcPr>
          <w:p>
            <w:pPr>
              <w:pStyle w:val="TableParagraph"/>
              <w:ind w:left="480"/>
              <w:rPr>
                <w:sz w:val="18"/>
              </w:rPr>
            </w:pPr>
            <w:r>
              <w:rPr>
                <w:color w:val="231F20"/>
                <w:sz w:val="18"/>
              </w:rPr>
              <w:t>5.6</w:t>
            </w:r>
          </w:p>
        </w:tc>
        <w:tc>
          <w:tcPr>
            <w:tcW w:w="964" w:type="dxa"/>
          </w:tcPr>
          <w:p>
            <w:pPr>
              <w:pStyle w:val="TableParagraph"/>
              <w:ind w:right="223"/>
              <w:jc w:val="right"/>
              <w:rPr>
                <w:sz w:val="18"/>
              </w:rPr>
            </w:pPr>
            <w:r>
              <w:rPr>
                <w:color w:val="231F20"/>
                <w:sz w:val="18"/>
              </w:rPr>
              <w:t>6.2</w:t>
            </w:r>
          </w:p>
        </w:tc>
        <w:tc>
          <w:tcPr>
            <w:tcW w:w="964" w:type="dxa"/>
          </w:tcPr>
          <w:p>
            <w:pPr>
              <w:pStyle w:val="TableParagraph"/>
              <w:ind w:left="480"/>
              <w:rPr>
                <w:sz w:val="18"/>
              </w:rPr>
            </w:pPr>
            <w:r>
              <w:rPr>
                <w:color w:val="231F20"/>
                <w:sz w:val="18"/>
              </w:rPr>
              <w:t>5.8</w:t>
            </w:r>
          </w:p>
        </w:tc>
        <w:tc>
          <w:tcPr>
            <w:tcW w:w="964" w:type="dxa"/>
          </w:tcPr>
          <w:p>
            <w:pPr>
              <w:pStyle w:val="TableParagraph"/>
              <w:ind w:left="480"/>
              <w:rPr>
                <w:sz w:val="18"/>
              </w:rPr>
            </w:pPr>
            <w:r>
              <w:rPr>
                <w:color w:val="231F20"/>
                <w:sz w:val="18"/>
              </w:rPr>
              <w:t>5.2</w:t>
            </w:r>
          </w:p>
        </w:tc>
        <w:tc>
          <w:tcPr>
            <w:tcW w:w="964" w:type="dxa"/>
          </w:tcPr>
          <w:p>
            <w:pPr>
              <w:pStyle w:val="TableParagraph"/>
              <w:ind w:right="223"/>
              <w:jc w:val="right"/>
              <w:rPr>
                <w:sz w:val="18"/>
              </w:rPr>
            </w:pPr>
            <w:r>
              <w:rPr>
                <w:color w:val="231F20"/>
                <w:sz w:val="18"/>
              </w:rPr>
              <w:t>5.5</w:t>
            </w:r>
          </w:p>
        </w:tc>
      </w:tr>
      <w:tr>
        <w:trPr>
          <w:trHeight w:val="340" w:hRule="exact"/>
        </w:trPr>
        <w:tc>
          <w:tcPr>
            <w:tcW w:w="1160" w:type="dxa"/>
          </w:tcPr>
          <w:p>
            <w:pPr>
              <w:pStyle w:val="TableParagraph"/>
              <w:spacing w:before="88"/>
              <w:ind w:left="77" w:right="217"/>
              <w:rPr>
                <w:rFonts w:ascii="Arial"/>
                <w:sz w:val="18"/>
              </w:rPr>
            </w:pPr>
            <w:r>
              <w:rPr>
                <w:rFonts w:ascii="Arial"/>
                <w:color w:val="231F20"/>
                <w:w w:val="105"/>
                <w:sz w:val="18"/>
              </w:rPr>
              <w:t>25-29</w:t>
            </w:r>
          </w:p>
        </w:tc>
        <w:tc>
          <w:tcPr>
            <w:tcW w:w="964" w:type="dxa"/>
          </w:tcPr>
          <w:p>
            <w:pPr>
              <w:pStyle w:val="TableParagraph"/>
              <w:ind w:left="376"/>
              <w:rPr>
                <w:sz w:val="18"/>
              </w:rPr>
            </w:pPr>
            <w:r>
              <w:rPr>
                <w:color w:val="231F20"/>
                <w:w w:val="105"/>
                <w:sz w:val="18"/>
              </w:rPr>
              <w:t>10.3</w:t>
            </w:r>
          </w:p>
        </w:tc>
        <w:tc>
          <w:tcPr>
            <w:tcW w:w="964" w:type="dxa"/>
          </w:tcPr>
          <w:p>
            <w:pPr>
              <w:pStyle w:val="TableParagraph"/>
              <w:ind w:left="480"/>
              <w:rPr>
                <w:sz w:val="18"/>
              </w:rPr>
            </w:pPr>
            <w:r>
              <w:rPr>
                <w:color w:val="231F20"/>
                <w:sz w:val="18"/>
              </w:rPr>
              <w:t>6.0</w:t>
            </w:r>
          </w:p>
        </w:tc>
        <w:tc>
          <w:tcPr>
            <w:tcW w:w="964" w:type="dxa"/>
          </w:tcPr>
          <w:p>
            <w:pPr>
              <w:pStyle w:val="TableParagraph"/>
              <w:ind w:right="223"/>
              <w:jc w:val="right"/>
              <w:rPr>
                <w:sz w:val="18"/>
              </w:rPr>
            </w:pPr>
            <w:r>
              <w:rPr>
                <w:color w:val="231F20"/>
                <w:sz w:val="18"/>
              </w:rPr>
              <w:t>8.9</w:t>
            </w:r>
          </w:p>
        </w:tc>
        <w:tc>
          <w:tcPr>
            <w:tcW w:w="964" w:type="dxa"/>
          </w:tcPr>
          <w:p>
            <w:pPr>
              <w:pStyle w:val="TableParagraph"/>
              <w:spacing w:before="88"/>
              <w:ind w:left="368"/>
              <w:rPr>
                <w:rFonts w:ascii="Arial"/>
                <w:sz w:val="18"/>
              </w:rPr>
            </w:pPr>
            <w:r>
              <w:rPr>
                <w:rFonts w:ascii="Arial"/>
                <w:color w:val="231F20"/>
                <w:w w:val="105"/>
                <w:sz w:val="18"/>
              </w:rPr>
              <w:t>18.4</w:t>
            </w:r>
          </w:p>
        </w:tc>
        <w:tc>
          <w:tcPr>
            <w:tcW w:w="964" w:type="dxa"/>
          </w:tcPr>
          <w:p>
            <w:pPr>
              <w:pStyle w:val="TableParagraph"/>
              <w:spacing w:before="88"/>
              <w:ind w:left="474"/>
              <w:rPr>
                <w:rFonts w:ascii="Arial"/>
                <w:sz w:val="18"/>
              </w:rPr>
            </w:pPr>
            <w:r>
              <w:rPr>
                <w:rFonts w:ascii="Arial"/>
                <w:color w:val="231F20"/>
                <w:w w:val="105"/>
                <w:sz w:val="18"/>
              </w:rPr>
              <w:t>9.3</w:t>
            </w:r>
          </w:p>
        </w:tc>
        <w:tc>
          <w:tcPr>
            <w:tcW w:w="964" w:type="dxa"/>
          </w:tcPr>
          <w:p>
            <w:pPr>
              <w:pStyle w:val="TableParagraph"/>
              <w:spacing w:before="88"/>
              <w:ind w:right="223"/>
              <w:jc w:val="right"/>
              <w:rPr>
                <w:rFonts w:ascii="Arial"/>
                <w:sz w:val="18"/>
              </w:rPr>
            </w:pPr>
            <w:r>
              <w:rPr>
                <w:rFonts w:ascii="Arial"/>
                <w:color w:val="231F20"/>
                <w:w w:val="105"/>
                <w:sz w:val="18"/>
              </w:rPr>
              <w:t>14.6</w:t>
            </w:r>
          </w:p>
        </w:tc>
      </w:tr>
      <w:tr>
        <w:trPr>
          <w:trHeight w:val="340" w:hRule="exact"/>
        </w:trPr>
        <w:tc>
          <w:tcPr>
            <w:tcW w:w="1160" w:type="dxa"/>
          </w:tcPr>
          <w:p>
            <w:pPr>
              <w:pStyle w:val="TableParagraph"/>
              <w:spacing w:before="88"/>
              <w:ind w:left="76" w:right="217"/>
              <w:rPr>
                <w:rFonts w:ascii="Arial"/>
                <w:sz w:val="18"/>
              </w:rPr>
            </w:pPr>
            <w:r>
              <w:rPr>
                <w:rFonts w:ascii="Arial"/>
                <w:color w:val="231F20"/>
                <w:w w:val="105"/>
                <w:sz w:val="18"/>
              </w:rPr>
              <w:t>30-34</w:t>
            </w:r>
          </w:p>
        </w:tc>
        <w:tc>
          <w:tcPr>
            <w:tcW w:w="964" w:type="dxa"/>
          </w:tcPr>
          <w:p>
            <w:pPr>
              <w:pStyle w:val="TableParagraph"/>
              <w:ind w:left="376"/>
              <w:rPr>
                <w:sz w:val="18"/>
              </w:rPr>
            </w:pPr>
            <w:r>
              <w:rPr>
                <w:color w:val="231F20"/>
                <w:w w:val="105"/>
                <w:sz w:val="18"/>
              </w:rPr>
              <w:t>10.4</w:t>
            </w:r>
          </w:p>
        </w:tc>
        <w:tc>
          <w:tcPr>
            <w:tcW w:w="964" w:type="dxa"/>
          </w:tcPr>
          <w:p>
            <w:pPr>
              <w:pStyle w:val="TableParagraph"/>
              <w:ind w:left="480"/>
              <w:rPr>
                <w:sz w:val="18"/>
              </w:rPr>
            </w:pPr>
            <w:r>
              <w:rPr>
                <w:color w:val="231F20"/>
                <w:sz w:val="18"/>
              </w:rPr>
              <w:t>6.3</w:t>
            </w:r>
          </w:p>
        </w:tc>
        <w:tc>
          <w:tcPr>
            <w:tcW w:w="964" w:type="dxa"/>
          </w:tcPr>
          <w:p>
            <w:pPr>
              <w:pStyle w:val="TableParagraph"/>
              <w:ind w:right="223"/>
              <w:jc w:val="right"/>
              <w:rPr>
                <w:sz w:val="18"/>
              </w:rPr>
            </w:pPr>
            <w:r>
              <w:rPr>
                <w:color w:val="231F20"/>
                <w:sz w:val="18"/>
              </w:rPr>
              <w:t>9.1</w:t>
            </w:r>
          </w:p>
        </w:tc>
        <w:tc>
          <w:tcPr>
            <w:tcW w:w="964" w:type="dxa"/>
          </w:tcPr>
          <w:p>
            <w:pPr>
              <w:pStyle w:val="TableParagraph"/>
              <w:ind w:left="376"/>
              <w:rPr>
                <w:sz w:val="18"/>
              </w:rPr>
            </w:pPr>
            <w:r>
              <w:rPr>
                <w:color w:val="231F20"/>
                <w:w w:val="105"/>
                <w:sz w:val="18"/>
              </w:rPr>
              <w:t>14.6</w:t>
            </w:r>
          </w:p>
        </w:tc>
        <w:tc>
          <w:tcPr>
            <w:tcW w:w="964" w:type="dxa"/>
          </w:tcPr>
          <w:p>
            <w:pPr>
              <w:pStyle w:val="TableParagraph"/>
              <w:ind w:left="479"/>
              <w:rPr>
                <w:sz w:val="18"/>
              </w:rPr>
            </w:pPr>
            <w:r>
              <w:rPr>
                <w:color w:val="231F20"/>
                <w:sz w:val="18"/>
              </w:rPr>
              <w:t>9.4</w:t>
            </w:r>
          </w:p>
        </w:tc>
        <w:tc>
          <w:tcPr>
            <w:tcW w:w="964" w:type="dxa"/>
          </w:tcPr>
          <w:p>
            <w:pPr>
              <w:pStyle w:val="TableParagraph"/>
              <w:ind w:right="224"/>
              <w:jc w:val="right"/>
              <w:rPr>
                <w:sz w:val="18"/>
              </w:rPr>
            </w:pPr>
            <w:r>
              <w:rPr>
                <w:color w:val="231F20"/>
                <w:sz w:val="18"/>
              </w:rPr>
              <w:t>12.5</w:t>
            </w:r>
          </w:p>
        </w:tc>
      </w:tr>
      <w:tr>
        <w:trPr>
          <w:trHeight w:val="340" w:hRule="exact"/>
        </w:trPr>
        <w:tc>
          <w:tcPr>
            <w:tcW w:w="1160" w:type="dxa"/>
          </w:tcPr>
          <w:p>
            <w:pPr>
              <w:pStyle w:val="TableParagraph"/>
              <w:spacing w:before="88"/>
              <w:ind w:left="76" w:right="217"/>
              <w:rPr>
                <w:rFonts w:ascii="Arial"/>
                <w:sz w:val="18"/>
              </w:rPr>
            </w:pPr>
            <w:r>
              <w:rPr>
                <w:rFonts w:ascii="Arial"/>
                <w:color w:val="231F20"/>
                <w:w w:val="105"/>
                <w:sz w:val="18"/>
              </w:rPr>
              <w:t>35-39</w:t>
            </w:r>
          </w:p>
        </w:tc>
        <w:tc>
          <w:tcPr>
            <w:tcW w:w="964" w:type="dxa"/>
          </w:tcPr>
          <w:p>
            <w:pPr>
              <w:pStyle w:val="TableParagraph"/>
              <w:ind w:left="376"/>
              <w:rPr>
                <w:sz w:val="18"/>
              </w:rPr>
            </w:pPr>
            <w:r>
              <w:rPr>
                <w:color w:val="231F20"/>
                <w:w w:val="105"/>
                <w:sz w:val="18"/>
              </w:rPr>
              <w:t>12.0</w:t>
            </w:r>
          </w:p>
        </w:tc>
        <w:tc>
          <w:tcPr>
            <w:tcW w:w="964" w:type="dxa"/>
          </w:tcPr>
          <w:p>
            <w:pPr>
              <w:pStyle w:val="TableParagraph"/>
              <w:ind w:left="479"/>
              <w:rPr>
                <w:sz w:val="18"/>
              </w:rPr>
            </w:pPr>
            <w:r>
              <w:rPr>
                <w:color w:val="231F20"/>
                <w:sz w:val="18"/>
              </w:rPr>
              <w:t>9.3</w:t>
            </w:r>
          </w:p>
        </w:tc>
        <w:tc>
          <w:tcPr>
            <w:tcW w:w="964" w:type="dxa"/>
          </w:tcPr>
          <w:p>
            <w:pPr>
              <w:pStyle w:val="TableParagraph"/>
              <w:ind w:right="224"/>
              <w:jc w:val="right"/>
              <w:rPr>
                <w:sz w:val="18"/>
              </w:rPr>
            </w:pPr>
            <w:r>
              <w:rPr>
                <w:color w:val="231F20"/>
                <w:sz w:val="18"/>
              </w:rPr>
              <w:t>11.2</w:t>
            </w:r>
          </w:p>
        </w:tc>
        <w:tc>
          <w:tcPr>
            <w:tcW w:w="964" w:type="dxa"/>
          </w:tcPr>
          <w:p>
            <w:pPr>
              <w:pStyle w:val="TableParagraph"/>
              <w:ind w:left="479"/>
              <w:rPr>
                <w:sz w:val="18"/>
              </w:rPr>
            </w:pPr>
            <w:r>
              <w:rPr>
                <w:color w:val="231F20"/>
                <w:sz w:val="18"/>
              </w:rPr>
              <w:t>9.2</w:t>
            </w:r>
          </w:p>
        </w:tc>
        <w:tc>
          <w:tcPr>
            <w:tcW w:w="964" w:type="dxa"/>
          </w:tcPr>
          <w:p>
            <w:pPr>
              <w:pStyle w:val="TableParagraph"/>
              <w:ind w:left="479"/>
              <w:rPr>
                <w:sz w:val="18"/>
              </w:rPr>
            </w:pPr>
            <w:r>
              <w:rPr>
                <w:color w:val="231F20"/>
                <w:sz w:val="18"/>
              </w:rPr>
              <w:t>6.9</w:t>
            </w:r>
          </w:p>
        </w:tc>
        <w:tc>
          <w:tcPr>
            <w:tcW w:w="964" w:type="dxa"/>
          </w:tcPr>
          <w:p>
            <w:pPr>
              <w:pStyle w:val="TableParagraph"/>
              <w:ind w:right="224"/>
              <w:jc w:val="right"/>
              <w:rPr>
                <w:sz w:val="18"/>
              </w:rPr>
            </w:pPr>
            <w:r>
              <w:rPr>
                <w:color w:val="231F20"/>
                <w:sz w:val="18"/>
              </w:rPr>
              <w:t>8.2</w:t>
            </w:r>
          </w:p>
        </w:tc>
      </w:tr>
      <w:tr>
        <w:trPr>
          <w:trHeight w:val="340" w:hRule="exact"/>
        </w:trPr>
        <w:tc>
          <w:tcPr>
            <w:tcW w:w="1160" w:type="dxa"/>
          </w:tcPr>
          <w:p>
            <w:pPr>
              <w:pStyle w:val="TableParagraph"/>
              <w:spacing w:before="89"/>
              <w:ind w:left="76" w:right="217"/>
              <w:rPr>
                <w:rFonts w:ascii="Arial"/>
                <w:sz w:val="18"/>
              </w:rPr>
            </w:pPr>
            <w:r>
              <w:rPr>
                <w:rFonts w:ascii="Arial"/>
                <w:color w:val="231F20"/>
                <w:w w:val="105"/>
                <w:sz w:val="18"/>
              </w:rPr>
              <w:t>40-44</w:t>
            </w:r>
          </w:p>
        </w:tc>
        <w:tc>
          <w:tcPr>
            <w:tcW w:w="964" w:type="dxa"/>
          </w:tcPr>
          <w:p>
            <w:pPr>
              <w:pStyle w:val="TableParagraph"/>
              <w:spacing w:before="89"/>
              <w:ind w:left="368"/>
              <w:rPr>
                <w:rFonts w:ascii="Arial"/>
                <w:sz w:val="18"/>
              </w:rPr>
            </w:pPr>
            <w:r>
              <w:rPr>
                <w:rFonts w:ascii="Arial"/>
                <w:color w:val="231F20"/>
                <w:w w:val="105"/>
                <w:sz w:val="18"/>
              </w:rPr>
              <w:t>16.0</w:t>
            </w:r>
          </w:p>
        </w:tc>
        <w:tc>
          <w:tcPr>
            <w:tcW w:w="964" w:type="dxa"/>
          </w:tcPr>
          <w:p>
            <w:pPr>
              <w:pStyle w:val="TableParagraph"/>
              <w:spacing w:before="89"/>
              <w:ind w:left="368"/>
              <w:rPr>
                <w:rFonts w:ascii="Arial"/>
                <w:sz w:val="18"/>
              </w:rPr>
            </w:pPr>
            <w:r>
              <w:rPr>
                <w:rFonts w:ascii="Arial"/>
                <w:color w:val="231F20"/>
                <w:w w:val="105"/>
                <w:sz w:val="18"/>
              </w:rPr>
              <w:t>13.8</w:t>
            </w:r>
          </w:p>
        </w:tc>
        <w:tc>
          <w:tcPr>
            <w:tcW w:w="964" w:type="dxa"/>
          </w:tcPr>
          <w:p>
            <w:pPr>
              <w:pStyle w:val="TableParagraph"/>
              <w:spacing w:before="89"/>
              <w:ind w:right="224"/>
              <w:jc w:val="right"/>
              <w:rPr>
                <w:rFonts w:ascii="Arial"/>
                <w:sz w:val="18"/>
              </w:rPr>
            </w:pPr>
            <w:r>
              <w:rPr>
                <w:rFonts w:ascii="Arial"/>
                <w:color w:val="231F20"/>
                <w:w w:val="105"/>
                <w:sz w:val="18"/>
              </w:rPr>
              <w:t>15.3</w:t>
            </w:r>
          </w:p>
        </w:tc>
        <w:tc>
          <w:tcPr>
            <w:tcW w:w="964" w:type="dxa"/>
          </w:tcPr>
          <w:p>
            <w:pPr>
              <w:pStyle w:val="TableParagraph"/>
              <w:ind w:left="376"/>
              <w:rPr>
                <w:sz w:val="18"/>
              </w:rPr>
            </w:pPr>
            <w:r>
              <w:rPr>
                <w:color w:val="231F20"/>
                <w:w w:val="105"/>
                <w:sz w:val="18"/>
              </w:rPr>
              <w:t>13.2</w:t>
            </w:r>
          </w:p>
        </w:tc>
        <w:tc>
          <w:tcPr>
            <w:tcW w:w="964" w:type="dxa"/>
          </w:tcPr>
          <w:p>
            <w:pPr>
              <w:pStyle w:val="TableParagraph"/>
              <w:ind w:left="479"/>
              <w:rPr>
                <w:sz w:val="18"/>
              </w:rPr>
            </w:pPr>
            <w:r>
              <w:rPr>
                <w:color w:val="231F20"/>
                <w:sz w:val="18"/>
              </w:rPr>
              <w:t>9.5</w:t>
            </w:r>
          </w:p>
        </w:tc>
        <w:tc>
          <w:tcPr>
            <w:tcW w:w="964" w:type="dxa"/>
          </w:tcPr>
          <w:p>
            <w:pPr>
              <w:pStyle w:val="TableParagraph"/>
              <w:ind w:right="224"/>
              <w:jc w:val="right"/>
              <w:rPr>
                <w:sz w:val="18"/>
              </w:rPr>
            </w:pPr>
            <w:r>
              <w:rPr>
                <w:color w:val="231F20"/>
                <w:sz w:val="18"/>
              </w:rPr>
              <w:t>11.7</w:t>
            </w:r>
          </w:p>
        </w:tc>
      </w:tr>
      <w:tr>
        <w:trPr>
          <w:trHeight w:val="340" w:hRule="exact"/>
        </w:trPr>
        <w:tc>
          <w:tcPr>
            <w:tcW w:w="1160" w:type="dxa"/>
          </w:tcPr>
          <w:p>
            <w:pPr>
              <w:pStyle w:val="TableParagraph"/>
              <w:spacing w:before="89"/>
              <w:ind w:left="76" w:right="217"/>
              <w:rPr>
                <w:rFonts w:ascii="Arial"/>
                <w:sz w:val="18"/>
              </w:rPr>
            </w:pPr>
            <w:r>
              <w:rPr>
                <w:rFonts w:ascii="Arial"/>
                <w:color w:val="231F20"/>
                <w:w w:val="105"/>
                <w:sz w:val="18"/>
              </w:rPr>
              <w:t>45-49</w:t>
            </w:r>
          </w:p>
        </w:tc>
        <w:tc>
          <w:tcPr>
            <w:tcW w:w="964" w:type="dxa"/>
          </w:tcPr>
          <w:p>
            <w:pPr>
              <w:pStyle w:val="TableParagraph"/>
              <w:spacing w:before="89"/>
              <w:ind w:left="367"/>
              <w:rPr>
                <w:rFonts w:ascii="Arial"/>
                <w:sz w:val="18"/>
              </w:rPr>
            </w:pPr>
            <w:r>
              <w:rPr>
                <w:rFonts w:ascii="Arial"/>
                <w:color w:val="231F20"/>
                <w:w w:val="105"/>
                <w:sz w:val="18"/>
              </w:rPr>
              <w:t>15.7</w:t>
            </w:r>
          </w:p>
        </w:tc>
        <w:tc>
          <w:tcPr>
            <w:tcW w:w="964" w:type="dxa"/>
          </w:tcPr>
          <w:p>
            <w:pPr>
              <w:pStyle w:val="TableParagraph"/>
              <w:spacing w:before="89"/>
              <w:ind w:left="367"/>
              <w:rPr>
                <w:rFonts w:ascii="Arial"/>
                <w:sz w:val="18"/>
              </w:rPr>
            </w:pPr>
            <w:r>
              <w:rPr>
                <w:rFonts w:ascii="Arial"/>
                <w:color w:val="231F20"/>
                <w:w w:val="105"/>
                <w:sz w:val="18"/>
              </w:rPr>
              <w:t>14.9</w:t>
            </w:r>
          </w:p>
        </w:tc>
        <w:tc>
          <w:tcPr>
            <w:tcW w:w="964" w:type="dxa"/>
          </w:tcPr>
          <w:p>
            <w:pPr>
              <w:pStyle w:val="TableParagraph"/>
              <w:spacing w:before="89"/>
              <w:ind w:right="224"/>
              <w:jc w:val="right"/>
              <w:rPr>
                <w:rFonts w:ascii="Arial"/>
                <w:sz w:val="18"/>
              </w:rPr>
            </w:pPr>
            <w:r>
              <w:rPr>
                <w:rFonts w:ascii="Arial"/>
                <w:color w:val="231F20"/>
                <w:w w:val="105"/>
                <w:sz w:val="18"/>
              </w:rPr>
              <w:t>15.4</w:t>
            </w:r>
          </w:p>
        </w:tc>
        <w:tc>
          <w:tcPr>
            <w:tcW w:w="964" w:type="dxa"/>
          </w:tcPr>
          <w:p>
            <w:pPr>
              <w:pStyle w:val="TableParagraph"/>
              <w:spacing w:before="89"/>
              <w:ind w:left="474"/>
              <w:rPr>
                <w:rFonts w:ascii="Arial"/>
                <w:sz w:val="18"/>
              </w:rPr>
            </w:pPr>
            <w:r>
              <w:rPr>
                <w:rFonts w:ascii="Arial"/>
                <w:color w:val="231F20"/>
                <w:w w:val="105"/>
                <w:sz w:val="18"/>
              </w:rPr>
              <w:t>9.2</w:t>
            </w:r>
          </w:p>
        </w:tc>
        <w:tc>
          <w:tcPr>
            <w:tcW w:w="964" w:type="dxa"/>
          </w:tcPr>
          <w:p>
            <w:pPr>
              <w:pStyle w:val="TableParagraph"/>
              <w:spacing w:before="89"/>
              <w:ind w:left="367"/>
              <w:rPr>
                <w:rFonts w:ascii="Arial"/>
                <w:sz w:val="18"/>
              </w:rPr>
            </w:pPr>
            <w:r>
              <w:rPr>
                <w:rFonts w:ascii="Arial"/>
                <w:color w:val="231F20"/>
                <w:w w:val="105"/>
                <w:sz w:val="18"/>
              </w:rPr>
              <w:t>17.4</w:t>
            </w:r>
          </w:p>
        </w:tc>
        <w:tc>
          <w:tcPr>
            <w:tcW w:w="964" w:type="dxa"/>
          </w:tcPr>
          <w:p>
            <w:pPr>
              <w:pStyle w:val="TableParagraph"/>
              <w:spacing w:before="89"/>
              <w:ind w:right="224"/>
              <w:jc w:val="right"/>
              <w:rPr>
                <w:rFonts w:ascii="Arial"/>
                <w:sz w:val="18"/>
              </w:rPr>
            </w:pPr>
            <w:r>
              <w:rPr>
                <w:rFonts w:ascii="Arial"/>
                <w:color w:val="231F20"/>
                <w:w w:val="105"/>
                <w:sz w:val="18"/>
              </w:rPr>
              <w:t>12.6</w:t>
            </w:r>
          </w:p>
        </w:tc>
      </w:tr>
      <w:tr>
        <w:trPr>
          <w:trHeight w:val="340" w:hRule="exact"/>
        </w:trPr>
        <w:tc>
          <w:tcPr>
            <w:tcW w:w="1160" w:type="dxa"/>
          </w:tcPr>
          <w:p>
            <w:pPr>
              <w:pStyle w:val="TableParagraph"/>
              <w:spacing w:before="89"/>
              <w:ind w:left="76" w:right="217"/>
              <w:rPr>
                <w:rFonts w:ascii="Arial"/>
                <w:sz w:val="18"/>
              </w:rPr>
            </w:pPr>
            <w:r>
              <w:rPr>
                <w:rFonts w:ascii="Arial"/>
                <w:color w:val="231F20"/>
                <w:w w:val="105"/>
                <w:sz w:val="18"/>
              </w:rPr>
              <w:t>50-54</w:t>
            </w:r>
          </w:p>
        </w:tc>
        <w:tc>
          <w:tcPr>
            <w:tcW w:w="964" w:type="dxa"/>
          </w:tcPr>
          <w:p>
            <w:pPr>
              <w:pStyle w:val="TableParagraph"/>
              <w:ind w:left="375"/>
              <w:rPr>
                <w:sz w:val="18"/>
              </w:rPr>
            </w:pPr>
            <w:r>
              <w:rPr>
                <w:color w:val="231F20"/>
                <w:w w:val="105"/>
                <w:sz w:val="18"/>
              </w:rPr>
              <w:t>11.5</w:t>
            </w:r>
          </w:p>
        </w:tc>
        <w:tc>
          <w:tcPr>
            <w:tcW w:w="964" w:type="dxa"/>
          </w:tcPr>
          <w:p>
            <w:pPr>
              <w:pStyle w:val="TableParagraph"/>
              <w:ind w:left="375"/>
              <w:rPr>
                <w:sz w:val="18"/>
              </w:rPr>
            </w:pPr>
            <w:r>
              <w:rPr>
                <w:color w:val="231F20"/>
                <w:w w:val="105"/>
                <w:sz w:val="18"/>
              </w:rPr>
              <w:t>13.2</w:t>
            </w:r>
          </w:p>
        </w:tc>
        <w:tc>
          <w:tcPr>
            <w:tcW w:w="964" w:type="dxa"/>
          </w:tcPr>
          <w:p>
            <w:pPr>
              <w:pStyle w:val="TableParagraph"/>
              <w:ind w:right="224"/>
              <w:jc w:val="right"/>
              <w:rPr>
                <w:sz w:val="18"/>
              </w:rPr>
            </w:pPr>
            <w:r>
              <w:rPr>
                <w:color w:val="231F20"/>
                <w:sz w:val="18"/>
              </w:rPr>
              <w:t>12.0</w:t>
            </w:r>
          </w:p>
        </w:tc>
        <w:tc>
          <w:tcPr>
            <w:tcW w:w="964" w:type="dxa"/>
          </w:tcPr>
          <w:p>
            <w:pPr>
              <w:pStyle w:val="TableParagraph"/>
              <w:ind w:left="375"/>
              <w:rPr>
                <w:sz w:val="18"/>
              </w:rPr>
            </w:pPr>
            <w:r>
              <w:rPr>
                <w:color w:val="231F20"/>
                <w:w w:val="105"/>
                <w:sz w:val="18"/>
              </w:rPr>
              <w:t>15.0</w:t>
            </w:r>
          </w:p>
        </w:tc>
        <w:tc>
          <w:tcPr>
            <w:tcW w:w="964" w:type="dxa"/>
          </w:tcPr>
          <w:p>
            <w:pPr>
              <w:pStyle w:val="TableParagraph"/>
              <w:ind w:left="479"/>
              <w:rPr>
                <w:sz w:val="18"/>
              </w:rPr>
            </w:pPr>
            <w:r>
              <w:rPr>
                <w:color w:val="231F20"/>
                <w:sz w:val="18"/>
              </w:rPr>
              <w:t>7.1</w:t>
            </w:r>
          </w:p>
        </w:tc>
        <w:tc>
          <w:tcPr>
            <w:tcW w:w="964" w:type="dxa"/>
          </w:tcPr>
          <w:p>
            <w:pPr>
              <w:pStyle w:val="TableParagraph"/>
              <w:ind w:right="224"/>
              <w:jc w:val="right"/>
              <w:rPr>
                <w:sz w:val="18"/>
              </w:rPr>
            </w:pPr>
            <w:r>
              <w:rPr>
                <w:color w:val="231F20"/>
                <w:sz w:val="18"/>
              </w:rPr>
              <w:t>11.7</w:t>
            </w:r>
          </w:p>
        </w:tc>
      </w:tr>
      <w:tr>
        <w:trPr>
          <w:trHeight w:val="340" w:hRule="exact"/>
        </w:trPr>
        <w:tc>
          <w:tcPr>
            <w:tcW w:w="1160" w:type="dxa"/>
          </w:tcPr>
          <w:p>
            <w:pPr>
              <w:pStyle w:val="TableParagraph"/>
              <w:spacing w:before="89"/>
              <w:ind w:left="75" w:right="217"/>
              <w:rPr>
                <w:rFonts w:ascii="Arial"/>
                <w:sz w:val="18"/>
              </w:rPr>
            </w:pPr>
            <w:r>
              <w:rPr>
                <w:rFonts w:ascii="Arial"/>
                <w:color w:val="231F20"/>
                <w:w w:val="105"/>
                <w:sz w:val="18"/>
              </w:rPr>
              <w:t>55-59</w:t>
            </w:r>
          </w:p>
        </w:tc>
        <w:tc>
          <w:tcPr>
            <w:tcW w:w="964" w:type="dxa"/>
          </w:tcPr>
          <w:p>
            <w:pPr>
              <w:pStyle w:val="TableParagraph"/>
              <w:ind w:left="479"/>
              <w:rPr>
                <w:sz w:val="18"/>
              </w:rPr>
            </w:pPr>
            <w:r>
              <w:rPr>
                <w:color w:val="231F20"/>
                <w:sz w:val="18"/>
              </w:rPr>
              <w:t>6.8</w:t>
            </w:r>
          </w:p>
        </w:tc>
        <w:tc>
          <w:tcPr>
            <w:tcW w:w="964" w:type="dxa"/>
          </w:tcPr>
          <w:p>
            <w:pPr>
              <w:pStyle w:val="TableParagraph"/>
              <w:ind w:left="375"/>
              <w:rPr>
                <w:sz w:val="18"/>
              </w:rPr>
            </w:pPr>
            <w:r>
              <w:rPr>
                <w:color w:val="231F20"/>
                <w:w w:val="105"/>
                <w:sz w:val="18"/>
              </w:rPr>
              <w:t>10.8</w:t>
            </w:r>
          </w:p>
        </w:tc>
        <w:tc>
          <w:tcPr>
            <w:tcW w:w="964" w:type="dxa"/>
          </w:tcPr>
          <w:p>
            <w:pPr>
              <w:pStyle w:val="TableParagraph"/>
              <w:ind w:right="224"/>
              <w:jc w:val="right"/>
              <w:rPr>
                <w:sz w:val="18"/>
              </w:rPr>
            </w:pPr>
            <w:r>
              <w:rPr>
                <w:color w:val="231F20"/>
                <w:sz w:val="18"/>
              </w:rPr>
              <w:t>8.1</w:t>
            </w:r>
          </w:p>
        </w:tc>
        <w:tc>
          <w:tcPr>
            <w:tcW w:w="964" w:type="dxa"/>
          </w:tcPr>
          <w:p>
            <w:pPr>
              <w:pStyle w:val="TableParagraph"/>
              <w:ind w:left="479"/>
              <w:rPr>
                <w:sz w:val="18"/>
              </w:rPr>
            </w:pPr>
            <w:r>
              <w:rPr>
                <w:color w:val="231F20"/>
                <w:sz w:val="18"/>
              </w:rPr>
              <w:t>2.2</w:t>
            </w:r>
          </w:p>
        </w:tc>
        <w:tc>
          <w:tcPr>
            <w:tcW w:w="964" w:type="dxa"/>
          </w:tcPr>
          <w:p>
            <w:pPr>
              <w:pStyle w:val="TableParagraph"/>
              <w:ind w:left="375"/>
              <w:rPr>
                <w:sz w:val="18"/>
              </w:rPr>
            </w:pPr>
            <w:r>
              <w:rPr>
                <w:color w:val="231F20"/>
                <w:w w:val="105"/>
                <w:sz w:val="18"/>
              </w:rPr>
              <w:t>13.6</w:t>
            </w:r>
          </w:p>
        </w:tc>
        <w:tc>
          <w:tcPr>
            <w:tcW w:w="964" w:type="dxa"/>
          </w:tcPr>
          <w:p>
            <w:pPr>
              <w:pStyle w:val="TableParagraph"/>
              <w:ind w:right="224"/>
              <w:jc w:val="right"/>
              <w:rPr>
                <w:sz w:val="18"/>
              </w:rPr>
            </w:pPr>
            <w:r>
              <w:rPr>
                <w:color w:val="231F20"/>
                <w:sz w:val="18"/>
              </w:rPr>
              <w:t>7.0</w:t>
            </w:r>
          </w:p>
        </w:tc>
      </w:tr>
      <w:tr>
        <w:trPr>
          <w:trHeight w:val="340" w:hRule="exact"/>
        </w:trPr>
        <w:tc>
          <w:tcPr>
            <w:tcW w:w="1160" w:type="dxa"/>
          </w:tcPr>
          <w:p>
            <w:pPr>
              <w:pStyle w:val="TableParagraph"/>
              <w:spacing w:before="89"/>
              <w:ind w:left="75" w:right="217"/>
              <w:rPr>
                <w:rFonts w:ascii="Arial"/>
                <w:sz w:val="18"/>
              </w:rPr>
            </w:pPr>
            <w:r>
              <w:rPr>
                <w:rFonts w:ascii="Arial"/>
                <w:color w:val="231F20"/>
                <w:w w:val="105"/>
                <w:sz w:val="18"/>
              </w:rPr>
              <w:t>60-64</w:t>
            </w:r>
          </w:p>
        </w:tc>
        <w:tc>
          <w:tcPr>
            <w:tcW w:w="964" w:type="dxa"/>
          </w:tcPr>
          <w:p>
            <w:pPr>
              <w:pStyle w:val="TableParagraph"/>
              <w:ind w:left="479"/>
              <w:rPr>
                <w:sz w:val="18"/>
              </w:rPr>
            </w:pPr>
            <w:r>
              <w:rPr>
                <w:color w:val="231F20"/>
                <w:sz w:val="18"/>
              </w:rPr>
              <w:t>3.7</w:t>
            </w:r>
          </w:p>
        </w:tc>
        <w:tc>
          <w:tcPr>
            <w:tcW w:w="964" w:type="dxa"/>
          </w:tcPr>
          <w:p>
            <w:pPr>
              <w:pStyle w:val="TableParagraph"/>
              <w:ind w:left="478"/>
              <w:rPr>
                <w:sz w:val="18"/>
              </w:rPr>
            </w:pPr>
            <w:r>
              <w:rPr>
                <w:color w:val="231F20"/>
                <w:sz w:val="18"/>
              </w:rPr>
              <w:t>8.7</w:t>
            </w:r>
          </w:p>
        </w:tc>
        <w:tc>
          <w:tcPr>
            <w:tcW w:w="964" w:type="dxa"/>
          </w:tcPr>
          <w:p>
            <w:pPr>
              <w:pStyle w:val="TableParagraph"/>
              <w:ind w:right="224"/>
              <w:jc w:val="right"/>
              <w:rPr>
                <w:sz w:val="18"/>
              </w:rPr>
            </w:pPr>
            <w:r>
              <w:rPr>
                <w:color w:val="231F20"/>
                <w:sz w:val="18"/>
              </w:rPr>
              <w:t>5.4</w:t>
            </w:r>
          </w:p>
        </w:tc>
        <w:tc>
          <w:tcPr>
            <w:tcW w:w="964" w:type="dxa"/>
          </w:tcPr>
          <w:p>
            <w:pPr>
              <w:pStyle w:val="TableParagraph"/>
              <w:ind w:left="478"/>
              <w:rPr>
                <w:sz w:val="18"/>
              </w:rPr>
            </w:pPr>
            <w:r>
              <w:rPr>
                <w:color w:val="231F20"/>
                <w:sz w:val="18"/>
              </w:rPr>
              <w:t>5.4</w:t>
            </w:r>
          </w:p>
        </w:tc>
        <w:tc>
          <w:tcPr>
            <w:tcW w:w="964" w:type="dxa"/>
          </w:tcPr>
          <w:p>
            <w:pPr>
              <w:pStyle w:val="TableParagraph"/>
              <w:ind w:left="375"/>
              <w:rPr>
                <w:sz w:val="18"/>
              </w:rPr>
            </w:pPr>
            <w:r>
              <w:rPr>
                <w:color w:val="231F20"/>
                <w:w w:val="105"/>
                <w:sz w:val="18"/>
              </w:rPr>
              <w:t>10.6</w:t>
            </w:r>
          </w:p>
        </w:tc>
        <w:tc>
          <w:tcPr>
            <w:tcW w:w="964" w:type="dxa"/>
          </w:tcPr>
          <w:p>
            <w:pPr>
              <w:pStyle w:val="TableParagraph"/>
              <w:ind w:right="225"/>
              <w:jc w:val="right"/>
              <w:rPr>
                <w:sz w:val="18"/>
              </w:rPr>
            </w:pPr>
            <w:r>
              <w:rPr>
                <w:color w:val="231F20"/>
                <w:sz w:val="18"/>
              </w:rPr>
              <w:t>7.6</w:t>
            </w:r>
          </w:p>
        </w:tc>
      </w:tr>
      <w:tr>
        <w:trPr>
          <w:trHeight w:val="340" w:hRule="exact"/>
        </w:trPr>
        <w:tc>
          <w:tcPr>
            <w:tcW w:w="1160" w:type="dxa"/>
          </w:tcPr>
          <w:p>
            <w:pPr>
              <w:pStyle w:val="TableParagraph"/>
              <w:spacing w:before="89"/>
              <w:ind w:left="75" w:right="217"/>
              <w:rPr>
                <w:rFonts w:ascii="Arial" w:hAnsi="Arial"/>
                <w:sz w:val="18"/>
              </w:rPr>
            </w:pPr>
            <w:r>
              <w:rPr>
                <w:rFonts w:ascii="Arial" w:hAnsi="Arial"/>
                <w:color w:val="231F20"/>
                <w:sz w:val="18"/>
              </w:rPr>
              <w:t>65 y más</w:t>
            </w:r>
          </w:p>
        </w:tc>
        <w:tc>
          <w:tcPr>
            <w:tcW w:w="964" w:type="dxa"/>
          </w:tcPr>
          <w:p>
            <w:pPr>
              <w:pStyle w:val="TableParagraph"/>
              <w:spacing w:before="92"/>
              <w:ind w:left="478"/>
              <w:rPr>
                <w:sz w:val="18"/>
              </w:rPr>
            </w:pPr>
            <w:r>
              <w:rPr>
                <w:color w:val="231F20"/>
                <w:sz w:val="18"/>
              </w:rPr>
              <w:t>4.9</w:t>
            </w:r>
          </w:p>
        </w:tc>
        <w:tc>
          <w:tcPr>
            <w:tcW w:w="964" w:type="dxa"/>
          </w:tcPr>
          <w:p>
            <w:pPr>
              <w:pStyle w:val="TableParagraph"/>
              <w:spacing w:before="92"/>
              <w:ind w:left="478"/>
              <w:rPr>
                <w:sz w:val="18"/>
              </w:rPr>
            </w:pPr>
            <w:r>
              <w:rPr>
                <w:color w:val="231F20"/>
                <w:sz w:val="18"/>
              </w:rPr>
              <w:t>9.7</w:t>
            </w:r>
          </w:p>
        </w:tc>
        <w:tc>
          <w:tcPr>
            <w:tcW w:w="964" w:type="dxa"/>
          </w:tcPr>
          <w:p>
            <w:pPr>
              <w:pStyle w:val="TableParagraph"/>
              <w:spacing w:before="92"/>
              <w:ind w:right="225"/>
              <w:jc w:val="right"/>
              <w:rPr>
                <w:sz w:val="18"/>
              </w:rPr>
            </w:pPr>
            <w:r>
              <w:rPr>
                <w:color w:val="231F20"/>
                <w:sz w:val="18"/>
              </w:rPr>
              <w:t>6.5</w:t>
            </w:r>
          </w:p>
        </w:tc>
        <w:tc>
          <w:tcPr>
            <w:tcW w:w="964" w:type="dxa"/>
          </w:tcPr>
          <w:p>
            <w:pPr>
              <w:pStyle w:val="TableParagraph"/>
              <w:spacing w:before="92"/>
              <w:ind w:left="478"/>
              <w:rPr>
                <w:sz w:val="18"/>
              </w:rPr>
            </w:pPr>
            <w:r>
              <w:rPr>
                <w:color w:val="231F20"/>
                <w:sz w:val="18"/>
              </w:rPr>
              <w:t>2.8</w:t>
            </w:r>
          </w:p>
        </w:tc>
        <w:tc>
          <w:tcPr>
            <w:tcW w:w="964" w:type="dxa"/>
          </w:tcPr>
          <w:p>
            <w:pPr>
              <w:pStyle w:val="TableParagraph"/>
              <w:spacing w:before="92"/>
              <w:ind w:left="478"/>
              <w:rPr>
                <w:sz w:val="18"/>
              </w:rPr>
            </w:pPr>
            <w:r>
              <w:rPr>
                <w:color w:val="231F20"/>
                <w:sz w:val="18"/>
              </w:rPr>
              <w:t>7.7</w:t>
            </w:r>
          </w:p>
        </w:tc>
        <w:tc>
          <w:tcPr>
            <w:tcW w:w="964" w:type="dxa"/>
          </w:tcPr>
          <w:p>
            <w:pPr>
              <w:pStyle w:val="TableParagraph"/>
              <w:spacing w:before="92"/>
              <w:ind w:right="225"/>
              <w:jc w:val="right"/>
              <w:rPr>
                <w:sz w:val="18"/>
              </w:rPr>
            </w:pPr>
            <w:r>
              <w:rPr>
                <w:color w:val="231F20"/>
                <w:sz w:val="18"/>
              </w:rPr>
              <w:t>4.8</w:t>
            </w:r>
          </w:p>
        </w:tc>
      </w:tr>
      <w:tr>
        <w:trPr>
          <w:trHeight w:val="340" w:hRule="exact"/>
        </w:trPr>
        <w:tc>
          <w:tcPr>
            <w:tcW w:w="1160" w:type="dxa"/>
          </w:tcPr>
          <w:p>
            <w:pPr>
              <w:pStyle w:val="TableParagraph"/>
              <w:spacing w:before="89"/>
              <w:ind w:left="75" w:right="217"/>
              <w:rPr>
                <w:rFonts w:ascii="Arial"/>
                <w:i/>
                <w:sz w:val="18"/>
              </w:rPr>
            </w:pPr>
            <w:r>
              <w:rPr>
                <w:rFonts w:ascii="Arial"/>
                <w:i/>
                <w:color w:val="231F20"/>
                <w:w w:val="105"/>
                <w:sz w:val="18"/>
              </w:rPr>
              <w:t>Total</w:t>
            </w:r>
          </w:p>
        </w:tc>
        <w:tc>
          <w:tcPr>
            <w:tcW w:w="964" w:type="dxa"/>
          </w:tcPr>
          <w:p>
            <w:pPr>
              <w:pStyle w:val="TableParagraph"/>
              <w:spacing w:before="92"/>
              <w:ind w:left="271"/>
              <w:rPr>
                <w:sz w:val="18"/>
              </w:rPr>
            </w:pPr>
            <w:r>
              <w:rPr>
                <w:color w:val="231F20"/>
                <w:w w:val="105"/>
                <w:sz w:val="18"/>
              </w:rPr>
              <w:t>100.0</w:t>
            </w:r>
          </w:p>
        </w:tc>
        <w:tc>
          <w:tcPr>
            <w:tcW w:w="964" w:type="dxa"/>
          </w:tcPr>
          <w:p>
            <w:pPr>
              <w:pStyle w:val="TableParagraph"/>
              <w:spacing w:before="92"/>
              <w:ind w:left="271"/>
              <w:rPr>
                <w:sz w:val="18"/>
              </w:rPr>
            </w:pPr>
            <w:r>
              <w:rPr>
                <w:color w:val="231F20"/>
                <w:w w:val="105"/>
                <w:sz w:val="18"/>
              </w:rPr>
              <w:t>100.0</w:t>
            </w:r>
          </w:p>
        </w:tc>
        <w:tc>
          <w:tcPr>
            <w:tcW w:w="964" w:type="dxa"/>
          </w:tcPr>
          <w:p>
            <w:pPr>
              <w:pStyle w:val="TableParagraph"/>
              <w:spacing w:before="92"/>
              <w:ind w:left="271"/>
              <w:rPr>
                <w:sz w:val="18"/>
              </w:rPr>
            </w:pPr>
            <w:r>
              <w:rPr>
                <w:color w:val="231F20"/>
                <w:w w:val="105"/>
                <w:sz w:val="18"/>
              </w:rPr>
              <w:t>100.0</w:t>
            </w:r>
          </w:p>
        </w:tc>
        <w:tc>
          <w:tcPr>
            <w:tcW w:w="964" w:type="dxa"/>
          </w:tcPr>
          <w:p>
            <w:pPr>
              <w:pStyle w:val="TableParagraph"/>
              <w:spacing w:before="92"/>
              <w:ind w:left="271"/>
              <w:rPr>
                <w:sz w:val="18"/>
              </w:rPr>
            </w:pPr>
            <w:r>
              <w:rPr>
                <w:color w:val="231F20"/>
                <w:w w:val="105"/>
                <w:sz w:val="18"/>
              </w:rPr>
              <w:t>100.0</w:t>
            </w:r>
          </w:p>
        </w:tc>
        <w:tc>
          <w:tcPr>
            <w:tcW w:w="964" w:type="dxa"/>
          </w:tcPr>
          <w:p>
            <w:pPr>
              <w:pStyle w:val="TableParagraph"/>
              <w:spacing w:before="92"/>
              <w:ind w:left="271"/>
              <w:rPr>
                <w:sz w:val="18"/>
              </w:rPr>
            </w:pPr>
            <w:r>
              <w:rPr>
                <w:color w:val="231F20"/>
                <w:w w:val="105"/>
                <w:sz w:val="18"/>
              </w:rPr>
              <w:t>100.0</w:t>
            </w:r>
          </w:p>
        </w:tc>
        <w:tc>
          <w:tcPr>
            <w:tcW w:w="964" w:type="dxa"/>
          </w:tcPr>
          <w:p>
            <w:pPr>
              <w:pStyle w:val="TableParagraph"/>
              <w:spacing w:before="92"/>
              <w:ind w:right="225"/>
              <w:jc w:val="right"/>
              <w:rPr>
                <w:sz w:val="18"/>
              </w:rPr>
            </w:pPr>
            <w:r>
              <w:rPr>
                <w:color w:val="231F20"/>
                <w:sz w:val="18"/>
              </w:rPr>
              <w:t>100.0</w:t>
            </w:r>
          </w:p>
        </w:tc>
      </w:tr>
    </w:tbl>
    <w:p>
      <w:pPr>
        <w:spacing w:line="254" w:lineRule="auto" w:before="78"/>
        <w:ind w:left="1723" w:right="1683" w:firstLine="0"/>
        <w:jc w:val="left"/>
        <w:rPr>
          <w:sz w:val="16"/>
        </w:rPr>
      </w:pPr>
      <w:r>
        <w:rPr>
          <w:color w:val="231F20"/>
          <w:w w:val="105"/>
          <w:sz w:val="16"/>
        </w:rPr>
        <w:t>Fuente: elaboración propia con datos de la Encuesta de Migración de la Frontera Norte, 2013 </w:t>
      </w:r>
      <w:r>
        <w:rPr>
          <w:color w:val="231F20"/>
          <w:sz w:val="16"/>
        </w:rPr>
        <w:t>(</w:t>
      </w:r>
      <w:r>
        <w:rPr>
          <w:color w:val="231F20"/>
          <w:sz w:val="14"/>
        </w:rPr>
        <w:t>CONAPO</w:t>
      </w:r>
      <w:r>
        <w:rPr>
          <w:color w:val="231F20"/>
          <w:sz w:val="16"/>
        </w:rPr>
        <w:t>,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69744" from="131.551193pt,3.703715pt" to="131.551193pt,39.506114pt" stroked="true" strokeweight=".35pt" strokecolor="#231f20">
            <w10:wrap type="none"/>
          </v:line>
        </w:pict>
      </w:r>
      <w:r>
        <w:rPr/>
        <w:pict>
          <v:line style="position:absolute;mso-position-horizontal-relative:page;mso-position-vertical-relative:paragraph;z-index:-469672" from="15pt,39.505917pt" to="0pt,39.505917pt" stroked="true" strokeweight=".25pt" strokecolor="#000000">
            <w10:wrap type="none"/>
          </v:line>
        </w:pict>
      </w:r>
      <w:r>
        <w:rPr/>
        <w:pict>
          <v:line style="position:absolute;mso-position-horizontal-relative:page;mso-position-vertical-relative:paragraph;z-index:20536" from="508.890015pt,39.505917pt" to="523.890015pt,39.505917pt" stroked="true" strokeweight=".25pt" strokecolor="#000000">
            <w10:wrap type="none"/>
          </v:line>
        </w:pict>
      </w:r>
      <w:r>
        <w:rPr>
          <w:rFonts w:ascii="Arial" w:hAnsi="Arial"/>
          <w:color w:val="414042"/>
          <w:w w:val="105"/>
          <w:position w:val="-5"/>
          <w:sz w:val="20"/>
        </w:rPr>
        <w:t>182</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0560" from="405.061005pt,-27.904295pt" to="405.061005pt,6.961579pt" stroked="true" strokeweight=".35pt" strokecolor="#231f20">
            <w10:wrap type="none"/>
          </v:line>
        </w:pict>
      </w:r>
      <w:r>
        <w:rPr/>
        <w:pict>
          <v:line style="position:absolute;mso-position-horizontal-relative:page;mso-position-vertical-relative:paragraph;z-index:21280" from="15pt,-27.90452pt" to="0pt,-27.90452pt" stroked="true" strokeweight=".25pt" strokecolor="#000000">
            <w10:wrap type="none"/>
          </v:line>
        </w:pict>
      </w:r>
      <w:r>
        <w:rPr/>
        <w:pict>
          <v:line style="position:absolute;mso-position-horizontal-relative:page;mso-position-vertical-relative:paragraph;z-index:21304"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183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22"/>
        </w:rPr>
      </w:pPr>
    </w:p>
    <w:p>
      <w:pPr>
        <w:spacing w:line="249" w:lineRule="auto" w:before="63"/>
        <w:ind w:left="3138" w:right="2068" w:hanging="867"/>
        <w:jc w:val="left"/>
        <w:rPr>
          <w:rFonts w:ascii="Arial" w:hAnsi="Arial"/>
          <w:sz w:val="18"/>
        </w:rPr>
      </w:pPr>
      <w:r>
        <w:rPr/>
        <w:pict>
          <v:group style="position:absolute;margin-left:127.531097pt;margin-top:30.569736pt;width:185.95pt;height:146.050pt;mso-position-horizontal-relative:page;mso-position-vertical-relative:paragraph;z-index:20872" coordorigin="2551,611" coordsize="3719,2921">
            <v:shape style="position:absolute;left:0;top:12873;width:510;height:1674" coordorigin="0,12873" coordsize="510,1674" path="m3062,616l3062,833m3062,1173l3062,1515m3062,1629l3062,2289m3571,1173l3571,1515m3571,1629l3571,2289e" filled="false" stroked="true" strokeweight=".414pt" strokecolor="#e2e3e4">
              <v:path arrowok="t"/>
            </v:shape>
            <v:shape style="position:absolute;left:2556;top:1740;width:42;height:114" type="#_x0000_t75" stroked="false">
              <v:imagedata r:id="rId155" o:title=""/>
            </v:shape>
            <v:shape style="position:absolute;left:2556;top:1629;width:93;height:111" type="#_x0000_t75" stroked="false">
              <v:imagedata r:id="rId156" o:title=""/>
            </v:shape>
            <v:shape style="position:absolute;left:2556;top:1515;width:1095;height:114" type="#_x0000_t75" stroked="false">
              <v:imagedata r:id="rId157" o:title=""/>
            </v:shape>
            <v:shape style="position:absolute;left:2556;top:1401;width:72;height:114" type="#_x0000_t75" stroked="false">
              <v:imagedata r:id="rId158" o:title=""/>
            </v:shape>
            <v:shape style="position:absolute;left:2556;top:1287;width:34;height:114" type="#_x0000_t75" stroked="false">
              <v:imagedata r:id="rId159" o:title=""/>
            </v:shape>
            <v:shape style="position:absolute;left:1018;top:13430;width:507;height:1117" coordorigin="1018,13430" coordsize="507,1117" path="m4080,1173l4080,2289m4587,1173l4587,2289e" filled="false" stroked="true" strokeweight=".414pt" strokecolor="#e2e3e4">
              <v:path arrowok="t"/>
            </v:shape>
            <v:shape style="position:absolute;left:2556;top:1061;width:2344;height:111" type="#_x0000_t75" stroked="false">
              <v:imagedata r:id="rId160" o:title=""/>
            </v:shape>
            <v:shape style="position:absolute;left:0;top:14886;width:510;height:899" coordorigin="0,14886" coordsize="510,899" path="m3062,2629l3062,2971m3062,3085l3062,3527m3571,2629l3571,2971m3571,3085l3571,3527e" filled="false" stroked="true" strokeweight=".414pt" strokecolor="#e2e3e4">
              <v:path arrowok="t"/>
            </v:shape>
            <v:line style="position:absolute" from="2560,3310" to="2560,3424" stroked="true" strokeweight=".398pt" strokecolor="#a1a3a5"/>
            <v:shape style="position:absolute;left:2556;top:3196;width:11;height:114" type="#_x0000_t75" stroked="false">
              <v:imagedata r:id="rId161" o:title=""/>
            </v:shape>
            <v:shape style="position:absolute;left:2556;top:3085;width:85;height:111" type="#_x0000_t75" stroked="false">
              <v:imagedata r:id="rId162" o:title=""/>
            </v:shape>
            <v:shape style="position:absolute;left:2556;top:2971;width:1042;height:114" type="#_x0000_t75" stroked="false">
              <v:imagedata r:id="rId163" o:title=""/>
            </v:shape>
            <v:shape style="position:absolute;left:2556;top:2857;width:34;height:114" type="#_x0000_t75" stroked="false">
              <v:imagedata r:id="rId164" o:title=""/>
            </v:shape>
            <v:shape style="position:absolute;left:2556;top:2743;width:77;height:114" type="#_x0000_t75" stroked="false">
              <v:imagedata r:id="rId165" o:title=""/>
            </v:shape>
            <v:line style="position:absolute" from="2561,2629" to="2561,2743" stroked="true" strokeweight=".53pt" strokecolor="#231f20"/>
            <v:line style="position:absolute" from="4080,2629" to="4080,3527" stroked="true" strokeweight=".414pt" strokecolor="#e2e3e4"/>
            <v:shape style="position:absolute;left:2556;top:2515;width:1928;height:114" type="#_x0000_t75" stroked="false">
              <v:imagedata r:id="rId166" o:title=""/>
            </v:shape>
            <v:shape style="position:absolute;left:1525;top:12873;width:1525;height:2912" coordorigin="1525,12873" coordsize="1525,2912" path="m4587,2515l4587,3527m5096,2515l5096,3527m5602,2515l5602,3527m6111,616l6111,2403m6111,2515l6111,3527e" filled="false" stroked="true" strokeweight=".414pt" strokecolor="#e2e3e4">
              <v:path arrowok="t"/>
            </v:shape>
            <v:shape style="position:absolute;left:2556;top:2403;width:3712;height:111" type="#_x0000_t75" stroked="false">
              <v:imagedata r:id="rId167" o:title=""/>
            </v:shape>
            <v:shape style="position:absolute;left:2034;top:12873;width:507;height:1674" coordorigin="2034,12873" coordsize="507,1674" path="m5096,1061l5096,2289m5602,616l5602,947m5602,1061l5602,2289e" filled="false" stroked="true" strokeweight=".414pt" strokecolor="#e2e3e4">
              <v:path arrowok="t"/>
            </v:shape>
            <v:shape style="position:absolute;left:2556;top:947;width:3415;height:114" type="#_x0000_t75" stroked="false">
              <v:imagedata r:id="rId168" o:title=""/>
            </v:shape>
            <v:shape style="position:absolute;left:2556;top:2289;width:3081;height:114" type="#_x0000_t75" stroked="false">
              <v:imagedata r:id="rId169" o:title=""/>
            </v:shape>
            <v:shape style="position:absolute;left:509;top:12873;width:1525;height:218" coordorigin="509,12873" coordsize="1525,218" path="m3571,616l3571,833m4080,616l4080,833m4587,616l4587,833m5096,616l5096,833e" filled="false" stroked="true" strokeweight=".414pt" strokecolor="#e2e3e4">
              <v:path arrowok="t"/>
            </v:shape>
            <v:shape style="position:absolute;left:2556;top:833;width:3002;height:114" type="#_x0000_t75" stroked="false">
              <v:imagedata r:id="rId170" o:title=""/>
            </v:shape>
            <v:shape style="position:absolute;left:2556;top:2175;width:159;height:114" type="#_x0000_t75" stroked="false">
              <v:imagedata r:id="rId171" o:title=""/>
            </v:shape>
            <v:shape style="position:absolute;left:2556;top:719;width:56;height:114" type="#_x0000_t75" stroked="false">
              <v:imagedata r:id="rId172" o:title=""/>
            </v:shape>
            <v:shape style="position:absolute;left:-159;top:11304;width:160;height:1570" coordorigin="-159,11304" coordsize="160,1570" path="m2715,2289l2556,2289,2556,2175,2715,2175,2715,2289xm2611,833l2556,833,2556,719,2611,719,2611,833xe" filled="false" stroked="true" strokeweight=".414pt" strokecolor="#231f20">
              <v:path arrowok="t"/>
            </v:shape>
            <v:line style="position:absolute" from="2555,3527" to="2555,616" stroked="true" strokeweight=".414pt" strokecolor="#e2e3e4"/>
            <v:shape style="position:absolute;left:2555;top:1117;width:507;height:455" type="#_x0000_t202" filled="false" stroked="false">
              <v:textbox inset="0,0,0,0">
                <w:txbxContent>
                  <w:p>
                    <w:pPr>
                      <w:spacing w:line="240" w:lineRule="auto" w:before="10"/>
                      <w:rPr>
                        <w:sz w:val="13"/>
                      </w:rPr>
                    </w:pPr>
                  </w:p>
                  <w:p>
                    <w:pPr>
                      <w:spacing w:line="120" w:lineRule="exact" w:before="0"/>
                      <w:ind w:left="116" w:right="0" w:firstLine="0"/>
                      <w:jc w:val="left"/>
                      <w:rPr>
                        <w:rFonts w:ascii="Arial"/>
                        <w:sz w:val="11"/>
                      </w:rPr>
                    </w:pPr>
                    <w:r>
                      <w:rPr>
                        <w:rFonts w:ascii="Arial"/>
                        <w:color w:val="231F20"/>
                        <w:w w:val="105"/>
                        <w:sz w:val="11"/>
                      </w:rPr>
                      <w:t>0.3</w:t>
                    </w:r>
                  </w:p>
                  <w:p>
                    <w:pPr>
                      <w:spacing w:line="120" w:lineRule="exact" w:before="0"/>
                      <w:ind w:left="154" w:right="0" w:firstLine="0"/>
                      <w:jc w:val="left"/>
                      <w:rPr>
                        <w:rFonts w:ascii="Arial"/>
                        <w:sz w:val="11"/>
                      </w:rPr>
                    </w:pPr>
                    <w:r>
                      <w:rPr>
                        <w:rFonts w:ascii="Arial"/>
                        <w:color w:val="231F20"/>
                        <w:w w:val="105"/>
                        <w:sz w:val="11"/>
                      </w:rPr>
                      <w:t>0.7</w:t>
                    </w:r>
                  </w:p>
                </w:txbxContent>
              </v:textbox>
              <w10:wrap type="none"/>
            </v:shape>
            <v:shape style="position:absolute;left:2692;top:729;width:157;height:111" type="#_x0000_t202" filled="false" stroked="false">
              <v:textbox inset="0,0,0,0">
                <w:txbxContent>
                  <w:p>
                    <w:pPr>
                      <w:spacing w:line="104" w:lineRule="exact" w:before="0"/>
                      <w:ind w:left="0" w:right="-16" w:firstLine="0"/>
                      <w:jc w:val="left"/>
                      <w:rPr>
                        <w:rFonts w:ascii="Arial"/>
                        <w:sz w:val="11"/>
                      </w:rPr>
                    </w:pPr>
                    <w:r>
                      <w:rPr>
                        <w:rFonts w:ascii="Arial"/>
                        <w:color w:val="231F20"/>
                        <w:sz w:val="11"/>
                      </w:rPr>
                      <w:t>0.6</w:t>
                    </w:r>
                  </w:p>
                </w:txbxContent>
              </v:textbox>
              <w10:wrap type="none"/>
            </v:shape>
            <v:shape style="position:absolute;left:5635;top:843;width:221;height:111" type="#_x0000_t202" filled="false" stroked="false">
              <v:textbox inset="0,0,0,0">
                <w:txbxContent>
                  <w:p>
                    <w:pPr>
                      <w:spacing w:line="104" w:lineRule="exact" w:before="0"/>
                      <w:ind w:left="0" w:right="-14" w:firstLine="0"/>
                      <w:jc w:val="left"/>
                      <w:rPr>
                        <w:rFonts w:ascii="Arial"/>
                        <w:sz w:val="11"/>
                      </w:rPr>
                    </w:pPr>
                    <w:r>
                      <w:rPr>
                        <w:rFonts w:ascii="Arial"/>
                        <w:color w:val="231F20"/>
                        <w:sz w:val="11"/>
                      </w:rPr>
                      <w:t>29.6</w:t>
                    </w:r>
                  </w:p>
                </w:txbxContent>
              </v:textbox>
              <w10:wrap type="none"/>
            </v:shape>
            <v:shape style="position:absolute;left:6048;top:967;width:221;height:111" type="#_x0000_t202" filled="false" stroked="false">
              <v:textbox inset="0,0,0,0">
                <w:txbxContent>
                  <w:p>
                    <w:pPr>
                      <w:spacing w:line="104" w:lineRule="exact" w:before="0"/>
                      <w:ind w:left="0" w:right="-14" w:firstLine="0"/>
                      <w:jc w:val="left"/>
                      <w:rPr>
                        <w:rFonts w:ascii="Arial"/>
                        <w:sz w:val="11"/>
                      </w:rPr>
                    </w:pPr>
                    <w:r>
                      <w:rPr>
                        <w:rFonts w:ascii="Arial"/>
                        <w:color w:val="231F20"/>
                        <w:sz w:val="11"/>
                      </w:rPr>
                      <w:t>33.6</w:t>
                    </w:r>
                  </w:p>
                </w:txbxContent>
              </v:textbox>
              <w10:wrap type="none"/>
            </v:shape>
            <v:shape style="position:absolute;left:4978;top:1081;width:221;height:111" type="#_x0000_t202" filled="false" stroked="false">
              <v:textbox inset="0,0,0,0">
                <w:txbxContent>
                  <w:p>
                    <w:pPr>
                      <w:spacing w:line="104" w:lineRule="exact" w:before="0"/>
                      <w:ind w:left="0" w:right="-14" w:firstLine="0"/>
                      <w:jc w:val="left"/>
                      <w:rPr>
                        <w:rFonts w:ascii="Arial"/>
                        <w:sz w:val="11"/>
                      </w:rPr>
                    </w:pPr>
                    <w:r>
                      <w:rPr>
                        <w:rFonts w:ascii="Arial"/>
                        <w:color w:val="231F20"/>
                        <w:sz w:val="11"/>
                      </w:rPr>
                      <w:t>23.1</w:t>
                    </w:r>
                  </w:p>
                </w:txbxContent>
              </v:textbox>
              <w10:wrap type="none"/>
            </v:shape>
            <v:shape style="position:absolute;left:3727;top:1535;width:221;height:111" type="#_x0000_t202" filled="false" stroked="false">
              <v:textbox inset="0,0,0,0">
                <w:txbxContent>
                  <w:p>
                    <w:pPr>
                      <w:spacing w:line="104" w:lineRule="exact" w:before="0"/>
                      <w:ind w:left="0" w:right="-14" w:firstLine="0"/>
                      <w:jc w:val="left"/>
                      <w:rPr>
                        <w:rFonts w:ascii="Arial"/>
                        <w:sz w:val="11"/>
                      </w:rPr>
                    </w:pPr>
                    <w:r>
                      <w:rPr>
                        <w:rFonts w:ascii="Arial"/>
                        <w:color w:val="231F20"/>
                        <w:sz w:val="11"/>
                      </w:rPr>
                      <w:t>10.8</w:t>
                    </w:r>
                  </w:p>
                </w:txbxContent>
              </v:textbox>
              <w10:wrap type="none"/>
            </v:shape>
            <v:shape style="position:absolute;left:2680;top:1648;width:269;height:636" type="#_x0000_t202" filled="false" stroked="false">
              <v:textbox inset="0,0,0,0">
                <w:txbxContent>
                  <w:p>
                    <w:pPr>
                      <w:spacing w:line="98" w:lineRule="exact" w:before="0"/>
                      <w:ind w:left="49" w:right="-15" w:firstLine="0"/>
                      <w:jc w:val="left"/>
                      <w:rPr>
                        <w:rFonts w:ascii="Arial"/>
                        <w:sz w:val="11"/>
                      </w:rPr>
                    </w:pPr>
                    <w:r>
                      <w:rPr>
                        <w:rFonts w:ascii="Arial"/>
                        <w:color w:val="231F20"/>
                        <w:w w:val="105"/>
                        <w:sz w:val="11"/>
                      </w:rPr>
                      <w:t>0.9</w:t>
                    </w:r>
                  </w:p>
                  <w:p>
                    <w:pPr>
                      <w:spacing w:line="120" w:lineRule="exact" w:before="0"/>
                      <w:ind w:left="0" w:right="-15" w:firstLine="0"/>
                      <w:jc w:val="left"/>
                      <w:rPr>
                        <w:rFonts w:ascii="Arial"/>
                        <w:sz w:val="11"/>
                      </w:rPr>
                    </w:pPr>
                    <w:r>
                      <w:rPr>
                        <w:rFonts w:ascii="Arial"/>
                        <w:color w:val="231F20"/>
                        <w:w w:val="105"/>
                        <w:sz w:val="11"/>
                      </w:rPr>
                      <w:t>0.4</w:t>
                    </w:r>
                  </w:p>
                  <w:p>
                    <w:pPr>
                      <w:spacing w:line="240" w:lineRule="auto" w:before="0"/>
                      <w:rPr>
                        <w:sz w:val="10"/>
                      </w:rPr>
                    </w:pPr>
                  </w:p>
                  <w:p>
                    <w:pPr>
                      <w:spacing w:line="240" w:lineRule="auto" w:before="0"/>
                      <w:rPr>
                        <w:sz w:val="10"/>
                      </w:rPr>
                    </w:pPr>
                  </w:p>
                  <w:p>
                    <w:pPr>
                      <w:spacing w:before="59"/>
                      <w:ind w:left="111" w:right="-15" w:firstLine="0"/>
                      <w:jc w:val="left"/>
                      <w:rPr>
                        <w:rFonts w:ascii="Arial"/>
                        <w:sz w:val="11"/>
                      </w:rPr>
                    </w:pPr>
                    <w:r>
                      <w:rPr>
                        <w:rFonts w:ascii="Arial"/>
                        <w:color w:val="231F20"/>
                        <w:sz w:val="11"/>
                      </w:rPr>
                      <w:t>1.6</w:t>
                    </w:r>
                  </w:p>
                </w:txbxContent>
              </v:textbox>
              <w10:wrap type="none"/>
            </v:shape>
            <v:shape style="position:absolute;left:5715;top:2298;width:221;height:111" type="#_x0000_t202" filled="false" stroked="false">
              <v:textbox inset="0,0,0,0">
                <w:txbxContent>
                  <w:p>
                    <w:pPr>
                      <w:spacing w:line="104" w:lineRule="exact" w:before="0"/>
                      <w:ind w:left="0" w:right="-14" w:firstLine="0"/>
                      <w:jc w:val="left"/>
                      <w:rPr>
                        <w:rFonts w:ascii="Arial"/>
                        <w:sz w:val="11"/>
                      </w:rPr>
                    </w:pPr>
                    <w:r>
                      <w:rPr>
                        <w:rFonts w:ascii="Arial"/>
                        <w:color w:val="231F20"/>
                        <w:sz w:val="11"/>
                      </w:rPr>
                      <w:t>30.3</w:t>
                    </w:r>
                  </w:p>
                </w:txbxContent>
              </v:textbox>
              <w10:wrap type="none"/>
            </v:shape>
            <v:shape style="position:absolute;left:4560;top:2536;width:221;height:111" type="#_x0000_t202" filled="false" stroked="false">
              <v:textbox inset="0,0,0,0">
                <w:txbxContent>
                  <w:p>
                    <w:pPr>
                      <w:spacing w:line="104" w:lineRule="exact" w:before="0"/>
                      <w:ind w:left="0" w:right="-14" w:firstLine="0"/>
                      <w:jc w:val="left"/>
                      <w:rPr>
                        <w:rFonts w:ascii="Arial"/>
                        <w:sz w:val="11"/>
                      </w:rPr>
                    </w:pPr>
                    <w:r>
                      <w:rPr>
                        <w:rFonts w:ascii="Arial"/>
                        <w:color w:val="231F20"/>
                        <w:sz w:val="11"/>
                      </w:rPr>
                      <w:t>19.0</w:t>
                    </w:r>
                  </w:p>
                </w:txbxContent>
              </v:textbox>
              <w10:wrap type="none"/>
            </v:shape>
            <v:shape style="position:absolute;left:2649;top:2650;width:224;height:338" type="#_x0000_t202" filled="false" stroked="false">
              <v:textbox inset="0,0,0,0">
                <w:txbxContent>
                  <w:p>
                    <w:pPr>
                      <w:spacing w:line="92" w:lineRule="exact" w:before="0"/>
                      <w:ind w:left="0" w:right="-15" w:firstLine="0"/>
                      <w:jc w:val="left"/>
                      <w:rPr>
                        <w:rFonts w:ascii="Arial"/>
                        <w:sz w:val="11"/>
                      </w:rPr>
                    </w:pPr>
                    <w:r>
                      <w:rPr>
                        <w:rFonts w:ascii="Arial"/>
                        <w:color w:val="231F20"/>
                        <w:w w:val="105"/>
                        <w:sz w:val="11"/>
                      </w:rPr>
                      <w:t>0.1</w:t>
                    </w:r>
                  </w:p>
                  <w:p>
                    <w:pPr>
                      <w:spacing w:line="113" w:lineRule="exact" w:before="0"/>
                      <w:ind w:left="66" w:right="-15" w:firstLine="0"/>
                      <w:jc w:val="left"/>
                      <w:rPr>
                        <w:rFonts w:ascii="Arial"/>
                        <w:sz w:val="11"/>
                      </w:rPr>
                    </w:pPr>
                    <w:r>
                      <w:rPr>
                        <w:rFonts w:ascii="Arial"/>
                        <w:color w:val="231F20"/>
                        <w:sz w:val="11"/>
                      </w:rPr>
                      <w:t>0.8</w:t>
                    </w:r>
                  </w:p>
                  <w:p>
                    <w:pPr>
                      <w:spacing w:line="126" w:lineRule="exact" w:before="0"/>
                      <w:ind w:left="21" w:right="-15" w:firstLine="0"/>
                      <w:jc w:val="left"/>
                      <w:rPr>
                        <w:rFonts w:ascii="Arial"/>
                        <w:sz w:val="11"/>
                      </w:rPr>
                    </w:pPr>
                    <w:r>
                      <w:rPr>
                        <w:rFonts w:ascii="Arial"/>
                        <w:color w:val="231F20"/>
                        <w:w w:val="105"/>
                        <w:sz w:val="11"/>
                      </w:rPr>
                      <w:t>0.3</w:t>
                    </w:r>
                  </w:p>
                </w:txbxContent>
              </v:textbox>
              <w10:wrap type="none"/>
            </v:shape>
            <v:shape style="position:absolute;left:3674;top:2990;width:221;height:111" type="#_x0000_t202" filled="false" stroked="false">
              <v:textbox inset="0,0,0,0">
                <w:txbxContent>
                  <w:p>
                    <w:pPr>
                      <w:spacing w:line="104" w:lineRule="exact" w:before="0"/>
                      <w:ind w:left="0" w:right="-14" w:firstLine="0"/>
                      <w:jc w:val="left"/>
                      <w:rPr>
                        <w:rFonts w:ascii="Arial"/>
                        <w:sz w:val="11"/>
                      </w:rPr>
                    </w:pPr>
                    <w:r>
                      <w:rPr>
                        <w:rFonts w:ascii="Arial"/>
                        <w:color w:val="231F20"/>
                        <w:sz w:val="11"/>
                      </w:rPr>
                      <w:t>10.3</w:t>
                    </w:r>
                  </w:p>
                </w:txbxContent>
              </v:textbox>
              <w10:wrap type="none"/>
            </v:shape>
            <v:shape style="position:absolute;left:2644;top:3104;width:236;height:338" type="#_x0000_t202" filled="false" stroked="false">
              <v:textbox inset="0,0,0,0">
                <w:txbxContent>
                  <w:p>
                    <w:pPr>
                      <w:spacing w:line="98" w:lineRule="exact" w:before="0"/>
                      <w:ind w:left="78" w:right="-15" w:firstLine="0"/>
                      <w:jc w:val="left"/>
                      <w:rPr>
                        <w:rFonts w:ascii="Arial"/>
                        <w:sz w:val="11"/>
                      </w:rPr>
                    </w:pPr>
                    <w:r>
                      <w:rPr>
                        <w:rFonts w:ascii="Arial"/>
                        <w:color w:val="231F20"/>
                        <w:sz w:val="11"/>
                      </w:rPr>
                      <w:t>0.8</w:t>
                    </w:r>
                  </w:p>
                  <w:p>
                    <w:pPr>
                      <w:spacing w:line="114" w:lineRule="exact" w:before="0"/>
                      <w:ind w:left="4" w:right="-15" w:firstLine="0"/>
                      <w:jc w:val="left"/>
                      <w:rPr>
                        <w:rFonts w:ascii="Arial"/>
                        <w:sz w:val="11"/>
                      </w:rPr>
                    </w:pPr>
                    <w:r>
                      <w:rPr>
                        <w:rFonts w:ascii="Arial"/>
                        <w:color w:val="231F20"/>
                        <w:w w:val="105"/>
                        <w:sz w:val="11"/>
                      </w:rPr>
                      <w:t>0.1</w:t>
                    </w:r>
                  </w:p>
                  <w:p>
                    <w:pPr>
                      <w:spacing w:line="120" w:lineRule="exact" w:before="0"/>
                      <w:ind w:left="0" w:right="-15" w:firstLine="0"/>
                      <w:jc w:val="left"/>
                      <w:rPr>
                        <w:rFonts w:ascii="Arial"/>
                        <w:sz w:val="11"/>
                      </w:rPr>
                    </w:pPr>
                    <w:r>
                      <w:rPr>
                        <w:rFonts w:ascii="Arial"/>
                        <w:color w:val="231F20"/>
                        <w:w w:val="105"/>
                        <w:sz w:val="11"/>
                      </w:rPr>
                      <w:t>0.1</w:t>
                    </w:r>
                  </w:p>
                </w:txbxContent>
              </v:textbox>
              <w10:wrap type="none"/>
            </v:shape>
            <w10:wrap type="none"/>
          </v:group>
        </w:pict>
      </w:r>
      <w:r>
        <w:rPr>
          <w:rFonts w:ascii="Arial" w:hAnsi="Arial"/>
          <w:color w:val="231F20"/>
          <w:w w:val="105"/>
          <w:sz w:val="18"/>
        </w:rPr>
        <w:t>Gráfica 1.1 Distribución porcentual de los migrantes en flujo procedentes de Estados Unidos según nivel de escolaridad, 2013</w:t>
      </w:r>
    </w:p>
    <w:p>
      <w:pPr>
        <w:pStyle w:val="BodyText"/>
        <w:rPr>
          <w:rFonts w:ascii="Arial"/>
          <w:sz w:val="20"/>
        </w:rPr>
      </w:pPr>
    </w:p>
    <w:p>
      <w:pPr>
        <w:pStyle w:val="BodyText"/>
        <w:spacing w:before="1"/>
        <w:rPr>
          <w:rFonts w:ascii="Arial"/>
          <w:sz w:val="22"/>
        </w:rPr>
      </w:pPr>
    </w:p>
    <w:p>
      <w:pPr>
        <w:spacing w:after="0"/>
        <w:rPr>
          <w:rFonts w:ascii="Arial"/>
          <w:sz w:val="22"/>
        </w:rPr>
        <w:sectPr>
          <w:type w:val="continuous"/>
          <w:pgSz w:w="10480" w:h="14730"/>
          <w:pgMar w:top="0" w:bottom="0" w:left="0" w:right="0"/>
        </w:sectPr>
      </w:pPr>
    </w:p>
    <w:p>
      <w:pPr>
        <w:pStyle w:val="BodyText"/>
        <w:rPr>
          <w:rFonts w:ascii="Arial"/>
          <w:sz w:val="12"/>
        </w:rPr>
      </w:pPr>
    </w:p>
    <w:p>
      <w:pPr>
        <w:pStyle w:val="BodyText"/>
        <w:spacing w:before="1"/>
        <w:rPr>
          <w:rFonts w:ascii="Arial"/>
          <w:sz w:val="14"/>
        </w:rPr>
      </w:pPr>
    </w:p>
    <w:p>
      <w:pPr>
        <w:spacing w:before="0"/>
        <w:ind w:left="1826" w:right="0" w:firstLine="202"/>
        <w:jc w:val="right"/>
        <w:rPr>
          <w:rFonts w:ascii="Tahoma" w:hAnsi="Tahoma"/>
          <w:b/>
          <w:sz w:val="12"/>
        </w:rPr>
      </w:pPr>
      <w:r>
        <w:rPr>
          <w:rFonts w:ascii="Tahoma" w:hAnsi="Tahoma"/>
          <w:b/>
          <w:color w:val="231F20"/>
          <w:w w:val="95"/>
          <w:sz w:val="12"/>
        </w:rPr>
        <w:t>Estado</w:t>
      </w:r>
      <w:r>
        <w:rPr>
          <w:rFonts w:ascii="Tahoma" w:hAnsi="Tahoma"/>
          <w:b/>
          <w:color w:val="231F20"/>
          <w:w w:val="95"/>
          <w:sz w:val="12"/>
        </w:rPr>
        <w:t> </w:t>
      </w:r>
      <w:r>
        <w:rPr>
          <w:rFonts w:ascii="Tahoma" w:hAnsi="Tahoma"/>
          <w:b/>
          <w:color w:val="231F20"/>
          <w:sz w:val="12"/>
        </w:rPr>
        <w:t>de México</w:t>
      </w:r>
    </w:p>
    <w:p>
      <w:pPr>
        <w:pStyle w:val="BodyText"/>
        <w:rPr>
          <w:rFonts w:ascii="Tahoma"/>
          <w:b/>
          <w:sz w:val="12"/>
        </w:rPr>
      </w:pPr>
    </w:p>
    <w:p>
      <w:pPr>
        <w:pStyle w:val="BodyText"/>
        <w:rPr>
          <w:rFonts w:ascii="Tahoma"/>
          <w:b/>
          <w:sz w:val="12"/>
        </w:rPr>
      </w:pPr>
    </w:p>
    <w:p>
      <w:pPr>
        <w:pStyle w:val="BodyText"/>
        <w:rPr>
          <w:rFonts w:ascii="Tahoma"/>
          <w:b/>
          <w:sz w:val="12"/>
        </w:rPr>
      </w:pPr>
    </w:p>
    <w:p>
      <w:pPr>
        <w:pStyle w:val="BodyText"/>
        <w:rPr>
          <w:rFonts w:ascii="Tahoma"/>
          <w:b/>
          <w:sz w:val="12"/>
        </w:rPr>
      </w:pPr>
    </w:p>
    <w:p>
      <w:pPr>
        <w:pStyle w:val="BodyText"/>
        <w:rPr>
          <w:rFonts w:ascii="Tahoma"/>
          <w:b/>
          <w:sz w:val="12"/>
        </w:rPr>
      </w:pPr>
    </w:p>
    <w:p>
      <w:pPr>
        <w:pStyle w:val="BodyText"/>
        <w:rPr>
          <w:rFonts w:ascii="Tahoma"/>
          <w:b/>
          <w:sz w:val="12"/>
        </w:rPr>
      </w:pPr>
    </w:p>
    <w:p>
      <w:pPr>
        <w:pStyle w:val="BodyText"/>
        <w:rPr>
          <w:rFonts w:ascii="Tahoma"/>
          <w:b/>
          <w:sz w:val="12"/>
        </w:rPr>
      </w:pPr>
    </w:p>
    <w:p>
      <w:pPr>
        <w:pStyle w:val="BodyText"/>
        <w:spacing w:before="7"/>
        <w:rPr>
          <w:rFonts w:ascii="Tahoma"/>
          <w:b/>
          <w:sz w:val="11"/>
        </w:rPr>
      </w:pPr>
    </w:p>
    <w:p>
      <w:pPr>
        <w:spacing w:before="1"/>
        <w:ind w:left="0" w:right="29" w:firstLine="0"/>
        <w:jc w:val="right"/>
        <w:rPr>
          <w:rFonts w:ascii="Tahoma"/>
          <w:b/>
          <w:sz w:val="12"/>
        </w:rPr>
      </w:pPr>
      <w:r>
        <w:rPr>
          <w:rFonts w:ascii="Tahoma"/>
          <w:b/>
          <w:color w:val="231F20"/>
          <w:w w:val="95"/>
          <w:sz w:val="12"/>
        </w:rPr>
        <w:t>Nacional</w:t>
      </w:r>
    </w:p>
    <w:p>
      <w:pPr>
        <w:pStyle w:val="BodyText"/>
        <w:rPr>
          <w:rFonts w:ascii="Tahoma"/>
          <w:b/>
          <w:sz w:val="10"/>
        </w:rPr>
      </w:pPr>
      <w:r>
        <w:rPr/>
        <w:br w:type="column"/>
      </w:r>
      <w:r>
        <w:rPr>
          <w:rFonts w:ascii="Tahoma"/>
          <w:b/>
          <w:sz w:val="10"/>
        </w:rPr>
      </w:r>
    </w:p>
    <w:p>
      <w:pPr>
        <w:pStyle w:val="BodyText"/>
        <w:rPr>
          <w:rFonts w:ascii="Tahoma"/>
          <w:b/>
          <w:sz w:val="10"/>
        </w:rPr>
      </w:pPr>
    </w:p>
    <w:p>
      <w:pPr>
        <w:pStyle w:val="BodyText"/>
        <w:rPr>
          <w:rFonts w:ascii="Tahoma"/>
          <w:b/>
          <w:sz w:val="10"/>
        </w:rPr>
      </w:pPr>
    </w:p>
    <w:p>
      <w:pPr>
        <w:pStyle w:val="BodyText"/>
        <w:rPr>
          <w:rFonts w:ascii="Tahoma"/>
          <w:b/>
          <w:sz w:val="10"/>
        </w:rPr>
      </w:pPr>
    </w:p>
    <w:p>
      <w:pPr>
        <w:pStyle w:val="BodyText"/>
        <w:rPr>
          <w:rFonts w:ascii="Tahoma"/>
          <w:b/>
          <w:sz w:val="10"/>
        </w:rPr>
      </w:pPr>
    </w:p>
    <w:p>
      <w:pPr>
        <w:pStyle w:val="BodyText"/>
        <w:rPr>
          <w:rFonts w:ascii="Tahoma"/>
          <w:b/>
          <w:sz w:val="10"/>
        </w:rPr>
      </w:pPr>
    </w:p>
    <w:p>
      <w:pPr>
        <w:pStyle w:val="BodyText"/>
        <w:rPr>
          <w:rFonts w:ascii="Tahoma"/>
          <w:b/>
          <w:sz w:val="10"/>
        </w:rPr>
      </w:pPr>
    </w:p>
    <w:p>
      <w:pPr>
        <w:pStyle w:val="BodyText"/>
        <w:rPr>
          <w:rFonts w:ascii="Tahoma"/>
          <w:b/>
          <w:sz w:val="10"/>
        </w:rPr>
      </w:pPr>
    </w:p>
    <w:p>
      <w:pPr>
        <w:pStyle w:val="BodyText"/>
        <w:rPr>
          <w:rFonts w:ascii="Tahoma"/>
          <w:b/>
          <w:sz w:val="10"/>
        </w:rPr>
      </w:pPr>
    </w:p>
    <w:p>
      <w:pPr>
        <w:pStyle w:val="BodyText"/>
        <w:rPr>
          <w:rFonts w:ascii="Tahoma"/>
          <w:b/>
          <w:sz w:val="10"/>
        </w:rPr>
      </w:pPr>
    </w:p>
    <w:p>
      <w:pPr>
        <w:pStyle w:val="BodyText"/>
        <w:rPr>
          <w:rFonts w:ascii="Tahoma"/>
          <w:b/>
          <w:sz w:val="10"/>
        </w:rPr>
      </w:pPr>
    </w:p>
    <w:p>
      <w:pPr>
        <w:spacing w:before="72"/>
        <w:ind w:left="0" w:right="0" w:firstLine="0"/>
        <w:jc w:val="right"/>
        <w:rPr>
          <w:rFonts w:ascii="Arial"/>
          <w:sz w:val="11"/>
        </w:rPr>
      </w:pPr>
      <w:r>
        <w:rPr>
          <w:rFonts w:ascii="Arial"/>
          <w:color w:val="231F20"/>
          <w:sz w:val="11"/>
        </w:rPr>
        <w:t>36.6</w:t>
      </w:r>
    </w:p>
    <w:p>
      <w:pPr>
        <w:spacing w:line="384" w:lineRule="auto" w:before="77"/>
        <w:ind w:left="390" w:right="1887" w:firstLine="0"/>
        <w:jc w:val="left"/>
        <w:rPr>
          <w:rFonts w:ascii="Arial" w:hAnsi="Arial"/>
          <w:sz w:val="12"/>
        </w:rPr>
      </w:pPr>
      <w:r>
        <w:rPr/>
        <w:br w:type="column"/>
      </w:r>
      <w:r>
        <w:rPr>
          <w:rFonts w:ascii="Arial" w:hAnsi="Arial"/>
          <w:color w:val="231F20"/>
          <w:w w:val="105"/>
          <w:sz w:val="12"/>
        </w:rPr>
        <w:t>Ninguno Primaria/</w:t>
      </w:r>
      <w:r>
        <w:rPr>
          <w:rFonts w:ascii="Arial" w:hAnsi="Arial"/>
          <w:i/>
          <w:color w:val="231F20"/>
          <w:w w:val="105"/>
          <w:sz w:val="12"/>
        </w:rPr>
        <w:t>Elementary </w:t>
      </w:r>
      <w:r>
        <w:rPr>
          <w:rFonts w:ascii="Arial" w:hAnsi="Arial"/>
          <w:color w:val="231F20"/>
          <w:w w:val="105"/>
          <w:sz w:val="12"/>
        </w:rPr>
        <w:t>Secundaria Preparatoria/</w:t>
      </w:r>
      <w:r>
        <w:rPr>
          <w:rFonts w:ascii="Arial" w:hAnsi="Arial"/>
          <w:i/>
          <w:color w:val="231F20"/>
          <w:w w:val="105"/>
          <w:sz w:val="12"/>
        </w:rPr>
        <w:t>High School </w:t>
      </w:r>
      <w:r>
        <w:rPr>
          <w:rFonts w:ascii="Arial" w:hAnsi="Arial"/>
          <w:color w:val="231F20"/>
          <w:w w:val="105"/>
          <w:sz w:val="12"/>
        </w:rPr>
        <w:t>Escuela</w:t>
      </w:r>
      <w:r>
        <w:rPr>
          <w:rFonts w:ascii="Arial" w:hAnsi="Arial"/>
          <w:color w:val="231F20"/>
          <w:spacing w:val="-12"/>
          <w:w w:val="105"/>
          <w:sz w:val="12"/>
        </w:rPr>
        <w:t> </w:t>
      </w:r>
      <w:r>
        <w:rPr>
          <w:rFonts w:ascii="Arial" w:hAnsi="Arial"/>
          <w:color w:val="231F20"/>
          <w:w w:val="105"/>
          <w:sz w:val="12"/>
        </w:rPr>
        <w:t>técnica</w:t>
      </w:r>
      <w:r>
        <w:rPr>
          <w:rFonts w:ascii="Arial" w:hAnsi="Arial"/>
          <w:color w:val="231F20"/>
          <w:spacing w:val="-12"/>
          <w:w w:val="105"/>
          <w:sz w:val="12"/>
        </w:rPr>
        <w:t> </w:t>
      </w:r>
      <w:r>
        <w:rPr>
          <w:rFonts w:ascii="Arial" w:hAnsi="Arial"/>
          <w:color w:val="231F20"/>
          <w:w w:val="105"/>
          <w:sz w:val="12"/>
        </w:rPr>
        <w:t>con</w:t>
      </w:r>
      <w:r>
        <w:rPr>
          <w:rFonts w:ascii="Arial" w:hAnsi="Arial"/>
          <w:color w:val="231F20"/>
          <w:spacing w:val="-12"/>
          <w:w w:val="105"/>
          <w:sz w:val="12"/>
        </w:rPr>
        <w:t> </w:t>
      </w:r>
      <w:r>
        <w:rPr>
          <w:rFonts w:ascii="Arial" w:hAnsi="Arial"/>
          <w:color w:val="231F20"/>
          <w:w w:val="105"/>
          <w:sz w:val="12"/>
        </w:rPr>
        <w:t>primaria</w:t>
      </w:r>
    </w:p>
    <w:p>
      <w:pPr>
        <w:spacing w:line="388" w:lineRule="auto" w:before="5"/>
        <w:ind w:left="402" w:right="1677" w:firstLine="0"/>
        <w:jc w:val="left"/>
        <w:rPr>
          <w:rFonts w:ascii="Arial" w:hAnsi="Arial"/>
          <w:sz w:val="12"/>
        </w:rPr>
      </w:pPr>
      <w:r>
        <w:rPr/>
        <w:pict>
          <v:line style="position:absolute;mso-position-horizontal-relative:page;mso-position-vertical-relative:paragraph;z-index:20896" from="330.961609pt,-76.996284pt" to="330.961609pt,68.574716pt" stroked="true" strokeweight=".414pt" strokecolor="#e2e3e4">
            <w10:wrap type="none"/>
          </v:line>
        </w:pict>
      </w:r>
      <w:r>
        <w:rPr/>
        <w:pict>
          <v:group style="position:absolute;margin-left:343.08429pt;margin-top:-53.748482pt;width:4.45pt;height:4.45pt;mso-position-horizontal-relative:page;mso-position-vertical-relative:paragraph;z-index:20920" coordorigin="6862,-1075" coordsize="89,89">
            <v:shape style="position:absolute;left:6866;top:-1070;width:80;height:80" type="#_x0000_t75" stroked="false">
              <v:imagedata r:id="rId173" o:title=""/>
            </v:shape>
            <v:rect style="position:absolute;left:6866;top:-1070;width:80;height:80" filled="false" stroked="true" strokeweight=".414pt" strokecolor="#231f20"/>
            <w10:wrap type="none"/>
          </v:group>
        </w:pict>
      </w:r>
      <w:r>
        <w:rPr/>
        <w:drawing>
          <wp:anchor distT="0" distB="0" distL="0" distR="0" allowOverlap="1" layoutInCell="1" locked="0" behindDoc="0" simplePos="0" relativeHeight="20944">
            <wp:simplePos x="0" y="0"/>
            <wp:positionH relativeFrom="page">
              <wp:posOffset>4360024</wp:posOffset>
            </wp:positionH>
            <wp:positionV relativeFrom="paragraph">
              <wp:posOffset>-542473</wp:posOffset>
            </wp:positionV>
            <wp:extent cx="50685" cy="50685"/>
            <wp:effectExtent l="0" t="0" r="0" b="0"/>
            <wp:wrapNone/>
            <wp:docPr id="21" name="image68.png" descr=""/>
            <wp:cNvGraphicFramePr>
              <a:graphicFrameLocks noChangeAspect="1"/>
            </wp:cNvGraphicFramePr>
            <a:graphic>
              <a:graphicData uri="http://schemas.openxmlformats.org/drawingml/2006/picture">
                <pic:pic>
                  <pic:nvPicPr>
                    <pic:cNvPr id="22" name="image68.png"/>
                    <pic:cNvPicPr/>
                  </pic:nvPicPr>
                  <pic:blipFill>
                    <a:blip r:embed="rId174" cstate="print"/>
                    <a:stretch>
                      <a:fillRect/>
                    </a:stretch>
                  </pic:blipFill>
                  <pic:spPr>
                    <a:xfrm>
                      <a:off x="0" y="0"/>
                      <a:ext cx="50685" cy="50685"/>
                    </a:xfrm>
                    <a:prstGeom prst="rect">
                      <a:avLst/>
                    </a:prstGeom>
                  </pic:spPr>
                </pic:pic>
              </a:graphicData>
            </a:graphic>
          </wp:anchor>
        </w:drawing>
      </w:r>
      <w:r>
        <w:rPr/>
        <w:drawing>
          <wp:anchor distT="0" distB="0" distL="0" distR="0" allowOverlap="1" layoutInCell="1" locked="0" behindDoc="0" simplePos="0" relativeHeight="20968">
            <wp:simplePos x="0" y="0"/>
            <wp:positionH relativeFrom="page">
              <wp:posOffset>4360024</wp:posOffset>
            </wp:positionH>
            <wp:positionV relativeFrom="paragraph">
              <wp:posOffset>-397376</wp:posOffset>
            </wp:positionV>
            <wp:extent cx="50685" cy="50685"/>
            <wp:effectExtent l="0" t="0" r="0" b="0"/>
            <wp:wrapNone/>
            <wp:docPr id="23" name="image69.png" descr=""/>
            <wp:cNvGraphicFramePr>
              <a:graphicFrameLocks noChangeAspect="1"/>
            </wp:cNvGraphicFramePr>
            <a:graphic>
              <a:graphicData uri="http://schemas.openxmlformats.org/drawingml/2006/picture">
                <pic:pic>
                  <pic:nvPicPr>
                    <pic:cNvPr id="24" name="image69.png"/>
                    <pic:cNvPicPr/>
                  </pic:nvPicPr>
                  <pic:blipFill>
                    <a:blip r:embed="rId175" cstate="print"/>
                    <a:stretch>
                      <a:fillRect/>
                    </a:stretch>
                  </pic:blipFill>
                  <pic:spPr>
                    <a:xfrm>
                      <a:off x="0" y="0"/>
                      <a:ext cx="50685" cy="50685"/>
                    </a:xfrm>
                    <a:prstGeom prst="rect">
                      <a:avLst/>
                    </a:prstGeom>
                  </pic:spPr>
                </pic:pic>
              </a:graphicData>
            </a:graphic>
          </wp:anchor>
        </w:drawing>
      </w:r>
      <w:r>
        <w:rPr/>
        <w:drawing>
          <wp:anchor distT="0" distB="0" distL="0" distR="0" allowOverlap="1" layoutInCell="1" locked="0" behindDoc="0" simplePos="0" relativeHeight="20992">
            <wp:simplePos x="0" y="0"/>
            <wp:positionH relativeFrom="page">
              <wp:posOffset>4360024</wp:posOffset>
            </wp:positionH>
            <wp:positionV relativeFrom="paragraph">
              <wp:posOffset>-252291</wp:posOffset>
            </wp:positionV>
            <wp:extent cx="50685" cy="50685"/>
            <wp:effectExtent l="0" t="0" r="0" b="0"/>
            <wp:wrapNone/>
            <wp:docPr id="25" name="image70.png" descr=""/>
            <wp:cNvGraphicFramePr>
              <a:graphicFrameLocks noChangeAspect="1"/>
            </wp:cNvGraphicFramePr>
            <a:graphic>
              <a:graphicData uri="http://schemas.openxmlformats.org/drawingml/2006/picture">
                <pic:pic>
                  <pic:nvPicPr>
                    <pic:cNvPr id="26" name="image70.png"/>
                    <pic:cNvPicPr/>
                  </pic:nvPicPr>
                  <pic:blipFill>
                    <a:blip r:embed="rId176" cstate="print"/>
                    <a:stretch>
                      <a:fillRect/>
                    </a:stretch>
                  </pic:blipFill>
                  <pic:spPr>
                    <a:xfrm>
                      <a:off x="0" y="0"/>
                      <a:ext cx="50685" cy="50685"/>
                    </a:xfrm>
                    <a:prstGeom prst="rect">
                      <a:avLst/>
                    </a:prstGeom>
                  </pic:spPr>
                </pic:pic>
              </a:graphicData>
            </a:graphic>
          </wp:anchor>
        </w:drawing>
      </w:r>
      <w:r>
        <w:rPr/>
        <w:pict>
          <v:line style="position:absolute;mso-position-horizontal-relative:page;mso-position-vertical-relative:paragraph;z-index:21016" from="343.30899pt,-7.678983pt" to="347.29999pt,-7.678983pt" stroked="true" strokeweight="3.991pt" strokecolor="#231f20">
            <w10:wrap type="none"/>
          </v:line>
        </w:pict>
      </w:r>
      <w:r>
        <w:rPr/>
        <w:drawing>
          <wp:anchor distT="0" distB="0" distL="0" distR="0" allowOverlap="1" layoutInCell="1" locked="0" behindDoc="0" simplePos="0" relativeHeight="21040">
            <wp:simplePos x="0" y="0"/>
            <wp:positionH relativeFrom="page">
              <wp:posOffset>4360024</wp:posOffset>
            </wp:positionH>
            <wp:positionV relativeFrom="paragraph">
              <wp:posOffset>22231</wp:posOffset>
            </wp:positionV>
            <wp:extent cx="50685" cy="50685"/>
            <wp:effectExtent l="0" t="0" r="0" b="0"/>
            <wp:wrapNone/>
            <wp:docPr id="27" name="image71.png" descr=""/>
            <wp:cNvGraphicFramePr>
              <a:graphicFrameLocks noChangeAspect="1"/>
            </wp:cNvGraphicFramePr>
            <a:graphic>
              <a:graphicData uri="http://schemas.openxmlformats.org/drawingml/2006/picture">
                <pic:pic>
                  <pic:nvPicPr>
                    <pic:cNvPr id="28" name="image71.png"/>
                    <pic:cNvPicPr/>
                  </pic:nvPicPr>
                  <pic:blipFill>
                    <a:blip r:embed="rId177" cstate="print"/>
                    <a:stretch>
                      <a:fillRect/>
                    </a:stretch>
                  </pic:blipFill>
                  <pic:spPr>
                    <a:xfrm>
                      <a:off x="0" y="0"/>
                      <a:ext cx="50685" cy="50685"/>
                    </a:xfrm>
                    <a:prstGeom prst="rect">
                      <a:avLst/>
                    </a:prstGeom>
                  </pic:spPr>
                </pic:pic>
              </a:graphicData>
            </a:graphic>
          </wp:anchor>
        </w:drawing>
      </w:r>
      <w:r>
        <w:rPr/>
        <w:drawing>
          <wp:anchor distT="0" distB="0" distL="0" distR="0" allowOverlap="1" layoutInCell="1" locked="0" behindDoc="0" simplePos="0" relativeHeight="21064">
            <wp:simplePos x="0" y="0"/>
            <wp:positionH relativeFrom="page">
              <wp:posOffset>4360024</wp:posOffset>
            </wp:positionH>
            <wp:positionV relativeFrom="paragraph">
              <wp:posOffset>167329</wp:posOffset>
            </wp:positionV>
            <wp:extent cx="50685" cy="50685"/>
            <wp:effectExtent l="0" t="0" r="0" b="0"/>
            <wp:wrapNone/>
            <wp:docPr id="29" name="image72.png" descr=""/>
            <wp:cNvGraphicFramePr>
              <a:graphicFrameLocks noChangeAspect="1"/>
            </wp:cNvGraphicFramePr>
            <a:graphic>
              <a:graphicData uri="http://schemas.openxmlformats.org/drawingml/2006/picture">
                <pic:pic>
                  <pic:nvPicPr>
                    <pic:cNvPr id="30" name="image72.png"/>
                    <pic:cNvPicPr/>
                  </pic:nvPicPr>
                  <pic:blipFill>
                    <a:blip r:embed="rId178" cstate="print"/>
                    <a:stretch>
                      <a:fillRect/>
                    </a:stretch>
                  </pic:blipFill>
                  <pic:spPr>
                    <a:xfrm>
                      <a:off x="0" y="0"/>
                      <a:ext cx="50685" cy="50685"/>
                    </a:xfrm>
                    <a:prstGeom prst="rect">
                      <a:avLst/>
                    </a:prstGeom>
                  </pic:spPr>
                </pic:pic>
              </a:graphicData>
            </a:graphic>
          </wp:anchor>
        </w:drawing>
      </w:r>
      <w:r>
        <w:rPr>
          <w:rFonts w:ascii="Arial" w:hAnsi="Arial"/>
          <w:color w:val="231F20"/>
          <w:w w:val="105"/>
          <w:sz w:val="12"/>
        </w:rPr>
        <w:t>Escuela técnica con secundaria Normal</w:t>
      </w:r>
    </w:p>
    <w:p>
      <w:pPr>
        <w:spacing w:line="400" w:lineRule="auto" w:before="0"/>
        <w:ind w:left="402" w:right="2252" w:firstLine="0"/>
        <w:jc w:val="left"/>
        <w:rPr>
          <w:rFonts w:ascii="Arial" w:hAnsi="Arial"/>
          <w:i/>
          <w:sz w:val="12"/>
        </w:rPr>
      </w:pPr>
      <w:r>
        <w:rPr/>
        <w:drawing>
          <wp:anchor distT="0" distB="0" distL="0" distR="0" allowOverlap="1" layoutInCell="1" locked="0" behindDoc="0" simplePos="0" relativeHeight="21088">
            <wp:simplePos x="0" y="0"/>
            <wp:positionH relativeFrom="page">
              <wp:posOffset>4360024</wp:posOffset>
            </wp:positionH>
            <wp:positionV relativeFrom="paragraph">
              <wp:posOffset>29160</wp:posOffset>
            </wp:positionV>
            <wp:extent cx="50685" cy="50685"/>
            <wp:effectExtent l="0" t="0" r="0" b="0"/>
            <wp:wrapNone/>
            <wp:docPr id="31" name="image73.png" descr=""/>
            <wp:cNvGraphicFramePr>
              <a:graphicFrameLocks noChangeAspect="1"/>
            </wp:cNvGraphicFramePr>
            <a:graphic>
              <a:graphicData uri="http://schemas.openxmlformats.org/drawingml/2006/picture">
                <pic:pic>
                  <pic:nvPicPr>
                    <pic:cNvPr id="32" name="image73.png"/>
                    <pic:cNvPicPr/>
                  </pic:nvPicPr>
                  <pic:blipFill>
                    <a:blip r:embed="rId179" cstate="print"/>
                    <a:stretch>
                      <a:fillRect/>
                    </a:stretch>
                  </pic:blipFill>
                  <pic:spPr>
                    <a:xfrm>
                      <a:off x="0" y="0"/>
                      <a:ext cx="50685" cy="50685"/>
                    </a:xfrm>
                    <a:prstGeom prst="rect">
                      <a:avLst/>
                    </a:prstGeom>
                  </pic:spPr>
                </pic:pic>
              </a:graphicData>
            </a:graphic>
          </wp:anchor>
        </w:drawing>
      </w:r>
      <w:r>
        <w:rPr/>
        <w:drawing>
          <wp:anchor distT="0" distB="0" distL="0" distR="0" allowOverlap="1" layoutInCell="1" locked="0" behindDoc="0" simplePos="0" relativeHeight="21112">
            <wp:simplePos x="0" y="0"/>
            <wp:positionH relativeFrom="page">
              <wp:posOffset>4360024</wp:posOffset>
            </wp:positionH>
            <wp:positionV relativeFrom="paragraph">
              <wp:posOffset>158599</wp:posOffset>
            </wp:positionV>
            <wp:extent cx="50685" cy="50685"/>
            <wp:effectExtent l="0" t="0" r="0" b="0"/>
            <wp:wrapNone/>
            <wp:docPr id="33" name="image74.png" descr=""/>
            <wp:cNvGraphicFramePr>
              <a:graphicFrameLocks noChangeAspect="1"/>
            </wp:cNvGraphicFramePr>
            <a:graphic>
              <a:graphicData uri="http://schemas.openxmlformats.org/drawingml/2006/picture">
                <pic:pic>
                  <pic:nvPicPr>
                    <pic:cNvPr id="34" name="image74.png"/>
                    <pic:cNvPicPr/>
                  </pic:nvPicPr>
                  <pic:blipFill>
                    <a:blip r:embed="rId180" cstate="print"/>
                    <a:stretch>
                      <a:fillRect/>
                    </a:stretch>
                  </pic:blipFill>
                  <pic:spPr>
                    <a:xfrm>
                      <a:off x="0" y="0"/>
                      <a:ext cx="50685" cy="50685"/>
                    </a:xfrm>
                    <a:prstGeom prst="rect">
                      <a:avLst/>
                    </a:prstGeom>
                  </pic:spPr>
                </pic:pic>
              </a:graphicData>
            </a:graphic>
          </wp:anchor>
        </w:drawing>
      </w:r>
      <w:r>
        <w:rPr/>
        <w:drawing>
          <wp:anchor distT="0" distB="0" distL="0" distR="0" allowOverlap="1" layoutInCell="1" locked="0" behindDoc="0" simplePos="0" relativeHeight="21136">
            <wp:simplePos x="0" y="0"/>
            <wp:positionH relativeFrom="page">
              <wp:posOffset>4360024</wp:posOffset>
            </wp:positionH>
            <wp:positionV relativeFrom="paragraph">
              <wp:posOffset>311520</wp:posOffset>
            </wp:positionV>
            <wp:extent cx="50685" cy="50685"/>
            <wp:effectExtent l="0" t="0" r="0" b="0"/>
            <wp:wrapNone/>
            <wp:docPr id="35" name="image75.png" descr=""/>
            <wp:cNvGraphicFramePr>
              <a:graphicFrameLocks noChangeAspect="1"/>
            </wp:cNvGraphicFramePr>
            <a:graphic>
              <a:graphicData uri="http://schemas.openxmlformats.org/drawingml/2006/picture">
                <pic:pic>
                  <pic:nvPicPr>
                    <pic:cNvPr id="36" name="image75.png"/>
                    <pic:cNvPicPr/>
                  </pic:nvPicPr>
                  <pic:blipFill>
                    <a:blip r:embed="rId181" cstate="print"/>
                    <a:stretch>
                      <a:fillRect/>
                    </a:stretch>
                  </pic:blipFill>
                  <pic:spPr>
                    <a:xfrm>
                      <a:off x="0" y="0"/>
                      <a:ext cx="50685" cy="50685"/>
                    </a:xfrm>
                    <a:prstGeom prst="rect">
                      <a:avLst/>
                    </a:prstGeom>
                  </pic:spPr>
                </pic:pic>
              </a:graphicData>
            </a:graphic>
          </wp:anchor>
        </w:drawing>
      </w:r>
      <w:r>
        <w:rPr>
          <w:rFonts w:ascii="Arial" w:hAnsi="Arial"/>
          <w:color w:val="231F20"/>
          <w:w w:val="105"/>
          <w:sz w:val="12"/>
        </w:rPr>
        <w:t>Profesional/</w:t>
      </w:r>
      <w:r>
        <w:rPr>
          <w:rFonts w:ascii="Arial" w:hAnsi="Arial"/>
          <w:i/>
          <w:color w:val="231F20"/>
          <w:w w:val="105"/>
          <w:sz w:val="12"/>
        </w:rPr>
        <w:t>College </w:t>
      </w:r>
      <w:r>
        <w:rPr>
          <w:rFonts w:ascii="Arial" w:hAnsi="Arial"/>
          <w:color w:val="231F20"/>
          <w:w w:val="105"/>
          <w:sz w:val="12"/>
        </w:rPr>
        <w:t>Maestría/</w:t>
      </w:r>
      <w:r>
        <w:rPr>
          <w:rFonts w:ascii="Arial" w:hAnsi="Arial"/>
          <w:i/>
          <w:color w:val="231F20"/>
          <w:w w:val="105"/>
          <w:sz w:val="12"/>
        </w:rPr>
        <w:t>Master </w:t>
      </w:r>
      <w:r>
        <w:rPr>
          <w:rFonts w:ascii="Arial" w:hAnsi="Arial"/>
          <w:color w:val="231F20"/>
          <w:w w:val="105"/>
          <w:sz w:val="12"/>
        </w:rPr>
        <w:t>Doctorado/</w:t>
      </w:r>
      <w:r>
        <w:rPr>
          <w:rFonts w:ascii="Arial" w:hAnsi="Arial"/>
          <w:i/>
          <w:color w:val="231F20"/>
          <w:w w:val="105"/>
          <w:sz w:val="12"/>
        </w:rPr>
        <w:t>PH Doctor</w:t>
      </w:r>
    </w:p>
    <w:p>
      <w:pPr>
        <w:spacing w:line="155" w:lineRule="exact" w:before="0"/>
        <w:ind w:left="402" w:right="1887" w:firstLine="0"/>
        <w:jc w:val="left"/>
        <w:rPr>
          <w:rFonts w:ascii="Lucida Sans Unicode" w:hAnsi="Lucida Sans Unicode"/>
          <w:sz w:val="12"/>
        </w:rPr>
      </w:pPr>
      <w:r>
        <w:rPr/>
        <w:pict>
          <v:line style="position:absolute;mso-position-horizontal-relative:page;mso-position-vertical-relative:paragraph;z-index:21160" from="343.30899pt,2.96093pt" to="347.29999pt,2.96093pt" stroked="true" strokeweight="3.989pt" strokecolor="#a1a3a5">
            <w10:wrap type="none"/>
          </v:line>
        </w:pict>
      </w:r>
      <w:r>
        <w:rPr>
          <w:rFonts w:ascii="Lucida Sans Unicode" w:hAnsi="Lucida Sans Unicode"/>
          <w:color w:val="231F20"/>
          <w:sz w:val="12"/>
        </w:rPr>
        <w:t>No especiﬁcado</w:t>
      </w:r>
    </w:p>
    <w:p>
      <w:pPr>
        <w:spacing w:after="0" w:line="155" w:lineRule="exact"/>
        <w:jc w:val="left"/>
        <w:rPr>
          <w:rFonts w:ascii="Lucida Sans Unicode" w:hAnsi="Lucida Sans Unicode"/>
          <w:sz w:val="12"/>
        </w:rPr>
        <w:sectPr>
          <w:type w:val="continuous"/>
          <w:pgSz w:w="10480" w:h="14730"/>
          <w:pgMar w:top="0" w:bottom="0" w:left="0" w:right="0"/>
          <w:cols w:num="3" w:equalWidth="0">
            <w:col w:w="2465" w:space="2007"/>
            <w:col w:w="2096" w:space="40"/>
            <w:col w:w="3872"/>
          </w:cols>
        </w:sectPr>
      </w:pPr>
    </w:p>
    <w:p>
      <w:pPr>
        <w:pStyle w:val="BodyText"/>
        <w:spacing w:before="12"/>
        <w:rPr>
          <w:rFonts w:ascii="Lucida Sans Unicode"/>
          <w:sz w:val="8"/>
        </w:rPr>
      </w:pPr>
    </w:p>
    <w:p>
      <w:pPr>
        <w:tabs>
          <w:tab w:pos="507" w:val="left" w:leader="none"/>
          <w:tab w:pos="988" w:val="left" w:leader="none"/>
          <w:tab w:pos="1496" w:val="left" w:leader="none"/>
          <w:tab w:pos="2004" w:val="left" w:leader="none"/>
          <w:tab w:pos="2512" w:val="left" w:leader="none"/>
          <w:tab w:pos="3020" w:val="left" w:leader="none"/>
          <w:tab w:pos="3528" w:val="left" w:leader="none"/>
          <w:tab w:pos="4036" w:val="left" w:leader="none"/>
        </w:tabs>
        <w:spacing w:before="0"/>
        <w:ind w:left="0" w:right="1243" w:firstLine="0"/>
        <w:jc w:val="center"/>
        <w:rPr>
          <w:rFonts w:ascii="Arial"/>
          <w:sz w:val="12"/>
        </w:rPr>
      </w:pPr>
      <w:r>
        <w:rPr>
          <w:rFonts w:ascii="Arial"/>
          <w:color w:val="231F20"/>
          <w:w w:val="105"/>
          <w:sz w:val="12"/>
        </w:rPr>
        <w:t>0</w:t>
        <w:tab/>
        <w:t>5</w:t>
        <w:tab/>
        <w:t>10</w:t>
        <w:tab/>
        <w:t>15</w:t>
        <w:tab/>
        <w:t>20</w:t>
        <w:tab/>
        <w:t>25</w:t>
        <w:tab/>
        <w:t>30</w:t>
        <w:tab/>
        <w:t>35</w:t>
        <w:tab/>
        <w:t>40</w:t>
      </w:r>
    </w:p>
    <w:p>
      <w:pPr>
        <w:spacing w:before="37"/>
        <w:ind w:left="1597" w:right="2804" w:firstLine="0"/>
        <w:jc w:val="center"/>
        <w:rPr>
          <w:rFonts w:ascii="Tahoma"/>
          <w:b/>
          <w:sz w:val="12"/>
        </w:rPr>
      </w:pPr>
      <w:r>
        <w:rPr>
          <w:rFonts w:ascii="Tahoma"/>
          <w:b/>
          <w:color w:val="231F20"/>
          <w:sz w:val="12"/>
        </w:rPr>
        <w:t>Porcentaje</w:t>
      </w:r>
    </w:p>
    <w:p>
      <w:pPr>
        <w:spacing w:line="254" w:lineRule="auto" w:before="37"/>
        <w:ind w:left="1837" w:right="1722" w:firstLine="0"/>
        <w:jc w:val="both"/>
        <w:rPr>
          <w:sz w:val="16"/>
        </w:rPr>
      </w:pPr>
      <w:r>
        <w:rPr>
          <w:color w:val="231F20"/>
          <w:w w:val="105"/>
          <w:sz w:val="16"/>
        </w:rPr>
        <w:t>Fuente: elaboración propia con datos de la Encuesta de Migración de la </w:t>
      </w:r>
      <w:r>
        <w:rPr>
          <w:color w:val="231F20"/>
          <w:spacing w:val="-3"/>
          <w:w w:val="105"/>
          <w:sz w:val="16"/>
        </w:rPr>
        <w:t>Frontera </w:t>
      </w:r>
      <w:r>
        <w:rPr>
          <w:color w:val="231F20"/>
          <w:w w:val="105"/>
          <w:sz w:val="16"/>
        </w:rPr>
        <w:t>Norte, 2013 </w:t>
      </w:r>
      <w:r>
        <w:rPr>
          <w:color w:val="231F20"/>
          <w:sz w:val="16"/>
        </w:rPr>
        <w:t>(</w:t>
      </w:r>
      <w:r>
        <w:rPr>
          <w:color w:val="231F20"/>
          <w:sz w:val="14"/>
        </w:rPr>
        <w:t>CONAPO</w:t>
      </w:r>
      <w:r>
        <w:rPr>
          <w:color w:val="231F20"/>
          <w:sz w:val="16"/>
        </w:rPr>
        <w:t>, 2015).</w:t>
      </w:r>
    </w:p>
    <w:p>
      <w:pPr>
        <w:pStyle w:val="BodyText"/>
        <w:rPr>
          <w:sz w:val="16"/>
        </w:rPr>
      </w:pPr>
    </w:p>
    <w:p>
      <w:pPr>
        <w:pStyle w:val="BodyText"/>
        <w:spacing w:line="261" w:lineRule="auto" w:before="101"/>
        <w:ind w:left="1837" w:right="1720"/>
        <w:jc w:val="both"/>
      </w:pPr>
      <w:r>
        <w:rPr>
          <w:color w:val="231F20"/>
          <w:w w:val="105"/>
        </w:rPr>
        <w:t>En</w:t>
      </w:r>
      <w:r>
        <w:rPr>
          <w:color w:val="231F20"/>
          <w:spacing w:val="-20"/>
          <w:w w:val="105"/>
        </w:rPr>
        <w:t> </w:t>
      </w:r>
      <w:r>
        <w:rPr>
          <w:color w:val="231F20"/>
          <w:w w:val="105"/>
        </w:rPr>
        <w:t>cuanto</w:t>
      </w:r>
      <w:r>
        <w:rPr>
          <w:color w:val="231F20"/>
          <w:spacing w:val="-20"/>
          <w:w w:val="105"/>
        </w:rPr>
        <w:t> </w:t>
      </w:r>
      <w:r>
        <w:rPr>
          <w:color w:val="231F20"/>
          <w:w w:val="105"/>
        </w:rPr>
        <w:t>al</w:t>
      </w:r>
      <w:r>
        <w:rPr>
          <w:color w:val="231F20"/>
          <w:spacing w:val="-20"/>
          <w:w w:val="105"/>
        </w:rPr>
        <w:t> </w:t>
      </w:r>
      <w:r>
        <w:rPr>
          <w:color w:val="231F20"/>
          <w:w w:val="105"/>
        </w:rPr>
        <w:t>estado</w:t>
      </w:r>
      <w:r>
        <w:rPr>
          <w:color w:val="231F20"/>
          <w:spacing w:val="-20"/>
          <w:w w:val="105"/>
        </w:rPr>
        <w:t> </w:t>
      </w:r>
      <w:r>
        <w:rPr>
          <w:color w:val="231F20"/>
          <w:w w:val="105"/>
        </w:rPr>
        <w:t>civil</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población</w:t>
      </w:r>
      <w:r>
        <w:rPr>
          <w:color w:val="231F20"/>
          <w:spacing w:val="-20"/>
          <w:w w:val="105"/>
        </w:rPr>
        <w:t> </w:t>
      </w:r>
      <w:r>
        <w:rPr>
          <w:color w:val="231F20"/>
          <w:w w:val="105"/>
        </w:rPr>
        <w:t>de</w:t>
      </w:r>
      <w:r>
        <w:rPr>
          <w:color w:val="231F20"/>
          <w:spacing w:val="-20"/>
          <w:w w:val="105"/>
        </w:rPr>
        <w:t> </w:t>
      </w:r>
      <w:r>
        <w:rPr>
          <w:color w:val="231F20"/>
          <w:w w:val="105"/>
        </w:rPr>
        <w:t>estudio,</w:t>
      </w:r>
      <w:r>
        <w:rPr>
          <w:color w:val="231F20"/>
          <w:spacing w:val="-26"/>
          <w:w w:val="105"/>
        </w:rPr>
        <w:t> </w:t>
      </w:r>
      <w:r>
        <w:rPr>
          <w:color w:val="231F20"/>
          <w:w w:val="105"/>
        </w:rPr>
        <w:t>tanto</w:t>
      </w:r>
      <w:r>
        <w:rPr>
          <w:color w:val="231F20"/>
          <w:spacing w:val="-20"/>
          <w:w w:val="105"/>
        </w:rPr>
        <w:t> </w:t>
      </w:r>
      <w:r>
        <w:rPr>
          <w:color w:val="231F20"/>
          <w:w w:val="105"/>
        </w:rPr>
        <w:t>a</w:t>
      </w:r>
      <w:r>
        <w:rPr>
          <w:color w:val="231F20"/>
          <w:spacing w:val="-20"/>
          <w:w w:val="105"/>
        </w:rPr>
        <w:t> </w:t>
      </w:r>
      <w:r>
        <w:rPr>
          <w:color w:val="231F20"/>
          <w:w w:val="105"/>
        </w:rPr>
        <w:t>nivel</w:t>
      </w:r>
      <w:r>
        <w:rPr>
          <w:color w:val="231F20"/>
          <w:spacing w:val="-20"/>
          <w:w w:val="105"/>
        </w:rPr>
        <w:t> </w:t>
      </w:r>
      <w:r>
        <w:rPr>
          <w:color w:val="231F20"/>
          <w:w w:val="105"/>
        </w:rPr>
        <w:t>nacional como</w:t>
      </w:r>
      <w:r>
        <w:rPr>
          <w:color w:val="231F20"/>
          <w:spacing w:val="-17"/>
          <w:w w:val="105"/>
        </w:rPr>
        <w:t> </w:t>
      </w:r>
      <w:r>
        <w:rPr>
          <w:color w:val="231F20"/>
          <w:w w:val="105"/>
        </w:rPr>
        <w:t>del</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23"/>
          <w:w w:val="105"/>
        </w:rPr>
        <w:t> </w:t>
      </w:r>
      <w:r>
        <w:rPr>
          <w:color w:val="231F20"/>
          <w:w w:val="105"/>
        </w:rPr>
        <w:t>la</w:t>
      </w:r>
      <w:r>
        <w:rPr>
          <w:color w:val="231F20"/>
          <w:spacing w:val="-17"/>
          <w:w w:val="105"/>
        </w:rPr>
        <w:t> </w:t>
      </w:r>
      <w:r>
        <w:rPr>
          <w:color w:val="231F20"/>
          <w:w w:val="105"/>
        </w:rPr>
        <w:t>mayor</w:t>
      </w:r>
      <w:r>
        <w:rPr>
          <w:color w:val="231F20"/>
          <w:spacing w:val="-17"/>
          <w:w w:val="105"/>
        </w:rPr>
        <w:t> </w:t>
      </w:r>
      <w:r>
        <w:rPr>
          <w:color w:val="231F20"/>
          <w:w w:val="105"/>
        </w:rPr>
        <w:t>proporción</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migrantes</w:t>
      </w:r>
      <w:r>
        <w:rPr>
          <w:color w:val="231F20"/>
          <w:spacing w:val="-17"/>
          <w:w w:val="105"/>
        </w:rPr>
        <w:t> </w:t>
      </w:r>
      <w:r>
        <w:rPr>
          <w:color w:val="231F20"/>
          <w:w w:val="105"/>
        </w:rPr>
        <w:t>en</w:t>
      </w:r>
      <w:r>
        <w:rPr>
          <w:color w:val="231F20"/>
          <w:spacing w:val="-17"/>
          <w:w w:val="105"/>
        </w:rPr>
        <w:t> </w:t>
      </w:r>
      <w:r>
        <w:rPr>
          <w:color w:val="231F20"/>
          <w:w w:val="105"/>
        </w:rPr>
        <w:t>flu- jo</w:t>
      </w:r>
      <w:r>
        <w:rPr>
          <w:color w:val="231F20"/>
          <w:spacing w:val="-32"/>
          <w:w w:val="105"/>
        </w:rPr>
        <w:t> </w:t>
      </w:r>
      <w:r>
        <w:rPr>
          <w:color w:val="231F20"/>
          <w:w w:val="105"/>
        </w:rPr>
        <w:t>procedentes</w:t>
      </w:r>
      <w:r>
        <w:rPr>
          <w:color w:val="231F20"/>
          <w:spacing w:val="-32"/>
          <w:w w:val="105"/>
        </w:rPr>
        <w:t> </w:t>
      </w:r>
      <w:r>
        <w:rPr>
          <w:color w:val="231F20"/>
          <w:w w:val="105"/>
        </w:rPr>
        <w:t>de</w:t>
      </w:r>
      <w:r>
        <w:rPr>
          <w:color w:val="231F20"/>
          <w:spacing w:val="-32"/>
          <w:w w:val="105"/>
        </w:rPr>
        <w:t> </w:t>
      </w:r>
      <w:r>
        <w:rPr>
          <w:color w:val="231F20"/>
          <w:w w:val="105"/>
        </w:rPr>
        <w:t>Estados</w:t>
      </w:r>
      <w:r>
        <w:rPr>
          <w:color w:val="231F20"/>
          <w:spacing w:val="-32"/>
          <w:w w:val="105"/>
        </w:rPr>
        <w:t> </w:t>
      </w:r>
      <w:r>
        <w:rPr>
          <w:color w:val="231F20"/>
          <w:w w:val="105"/>
        </w:rPr>
        <w:t>Unidos</w:t>
      </w:r>
      <w:r>
        <w:rPr>
          <w:color w:val="231F20"/>
          <w:spacing w:val="-32"/>
          <w:w w:val="105"/>
        </w:rPr>
        <w:t> </w:t>
      </w:r>
      <w:r>
        <w:rPr>
          <w:color w:val="231F20"/>
          <w:w w:val="105"/>
        </w:rPr>
        <w:t>eran</w:t>
      </w:r>
      <w:r>
        <w:rPr>
          <w:color w:val="231F20"/>
          <w:spacing w:val="-32"/>
          <w:w w:val="105"/>
        </w:rPr>
        <w:t> </w:t>
      </w:r>
      <w:r>
        <w:rPr>
          <w:color w:val="231F20"/>
          <w:w w:val="105"/>
        </w:rPr>
        <w:t>casados:</w:t>
      </w:r>
      <w:r>
        <w:rPr>
          <w:color w:val="231F20"/>
          <w:spacing w:val="-32"/>
          <w:w w:val="105"/>
        </w:rPr>
        <w:t> </w:t>
      </w:r>
      <w:r>
        <w:rPr>
          <w:color w:val="231F20"/>
          <w:w w:val="105"/>
        </w:rPr>
        <w:t>70.2%</w:t>
      </w:r>
      <w:r>
        <w:rPr>
          <w:color w:val="231F20"/>
          <w:spacing w:val="-32"/>
          <w:w w:val="105"/>
        </w:rPr>
        <w:t> </w:t>
      </w:r>
      <w:r>
        <w:rPr>
          <w:color w:val="231F20"/>
          <w:w w:val="105"/>
        </w:rPr>
        <w:t>y</w:t>
      </w:r>
      <w:r>
        <w:rPr>
          <w:color w:val="231F20"/>
          <w:spacing w:val="-32"/>
          <w:w w:val="105"/>
        </w:rPr>
        <w:t> </w:t>
      </w:r>
      <w:r>
        <w:rPr>
          <w:color w:val="231F20"/>
          <w:w w:val="105"/>
        </w:rPr>
        <w:t>64.6%</w:t>
      </w:r>
      <w:r>
        <w:rPr>
          <w:color w:val="231F20"/>
          <w:spacing w:val="-32"/>
          <w:w w:val="105"/>
        </w:rPr>
        <w:t> </w:t>
      </w:r>
      <w:r>
        <w:rPr>
          <w:color w:val="231F20"/>
          <w:w w:val="105"/>
        </w:rPr>
        <w:t>respecti- vamente,</w:t>
      </w:r>
      <w:r>
        <w:rPr>
          <w:color w:val="231F20"/>
          <w:spacing w:val="-25"/>
          <w:w w:val="105"/>
        </w:rPr>
        <w:t> </w:t>
      </w:r>
      <w:r>
        <w:rPr>
          <w:color w:val="231F20"/>
          <w:w w:val="105"/>
        </w:rPr>
        <w:t>seguido</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solteros,</w:t>
      </w:r>
      <w:r>
        <w:rPr>
          <w:color w:val="231F20"/>
          <w:spacing w:val="-25"/>
          <w:w w:val="105"/>
        </w:rPr>
        <w:t> </w:t>
      </w:r>
      <w:r>
        <w:rPr>
          <w:color w:val="231F20"/>
          <w:w w:val="105"/>
        </w:rPr>
        <w:t>con</w:t>
      </w:r>
      <w:r>
        <w:rPr>
          <w:color w:val="231F20"/>
          <w:spacing w:val="-21"/>
          <w:w w:val="105"/>
        </w:rPr>
        <w:t> </w:t>
      </w:r>
      <w:r>
        <w:rPr>
          <w:color w:val="231F20"/>
          <w:w w:val="105"/>
        </w:rPr>
        <w:t>15.6%</w:t>
      </w:r>
      <w:r>
        <w:rPr>
          <w:color w:val="231F20"/>
          <w:spacing w:val="-21"/>
          <w:w w:val="105"/>
        </w:rPr>
        <w:t> </w:t>
      </w:r>
      <w:r>
        <w:rPr>
          <w:color w:val="231F20"/>
          <w:w w:val="105"/>
        </w:rPr>
        <w:t>y</w:t>
      </w:r>
      <w:r>
        <w:rPr>
          <w:color w:val="231F20"/>
          <w:spacing w:val="-21"/>
          <w:w w:val="105"/>
        </w:rPr>
        <w:t> </w:t>
      </w:r>
      <w:r>
        <w:rPr>
          <w:color w:val="231F20"/>
          <w:w w:val="105"/>
        </w:rPr>
        <w:t>20.9%</w:t>
      </w:r>
      <w:r>
        <w:rPr>
          <w:color w:val="231F20"/>
          <w:spacing w:val="-21"/>
          <w:w w:val="105"/>
        </w:rPr>
        <w:t> </w:t>
      </w:r>
      <w:r>
        <w:rPr>
          <w:color w:val="231F20"/>
          <w:w w:val="105"/>
        </w:rPr>
        <w:t>comparativamente </w:t>
      </w:r>
      <w:r>
        <w:rPr>
          <w:color w:val="231F20"/>
        </w:rPr>
        <w:t>(véase gráfica</w:t>
      </w:r>
      <w:r>
        <w:rPr>
          <w:color w:val="231F20"/>
          <w:spacing w:val="-17"/>
        </w:rPr>
        <w:t> </w:t>
      </w:r>
      <w:r>
        <w:rPr>
          <w:color w:val="231F20"/>
        </w:rPr>
        <w:t>1.2).</w:t>
      </w:r>
    </w:p>
    <w:p>
      <w:pPr>
        <w:pStyle w:val="BodyText"/>
        <w:spacing w:before="4"/>
      </w:pPr>
    </w:p>
    <w:p>
      <w:pPr>
        <w:spacing w:line="249" w:lineRule="auto" w:before="0"/>
        <w:ind w:left="3505" w:right="2068" w:hanging="1234"/>
        <w:jc w:val="left"/>
        <w:rPr>
          <w:rFonts w:ascii="Arial" w:hAnsi="Arial"/>
          <w:sz w:val="18"/>
        </w:rPr>
      </w:pPr>
      <w:r>
        <w:rPr>
          <w:rFonts w:ascii="Arial" w:hAnsi="Arial"/>
          <w:color w:val="231F20"/>
          <w:w w:val="105"/>
          <w:sz w:val="18"/>
        </w:rPr>
        <w:t>Gráfica 1.2 Distribución porcentual de los migrantes en flujo procedentes de Estados Unidos según estado civil, 2013</w:t>
      </w:r>
    </w:p>
    <w:p>
      <w:pPr>
        <w:pStyle w:val="BodyText"/>
        <w:spacing w:before="10"/>
        <w:rPr>
          <w:rFonts w:ascii="Arial"/>
          <w:sz w:val="9"/>
        </w:rPr>
      </w:pPr>
    </w:p>
    <w:p>
      <w:pPr>
        <w:spacing w:before="0"/>
        <w:ind w:left="2687" w:right="6753" w:firstLine="0"/>
        <w:jc w:val="left"/>
        <w:rPr>
          <w:rFonts w:ascii="Arial"/>
          <w:sz w:val="12"/>
        </w:rPr>
      </w:pPr>
      <w:r>
        <w:rPr/>
        <w:pict>
          <v:line style="position:absolute;mso-position-horizontal-relative:page;mso-position-vertical-relative:paragraph;z-index:21208" from="145.628098pt,3.165328pt" to="408.943pt,3.165328pt" stroked="true" strokeweight=".457pt" strokecolor="#e2e3e4">
            <w10:wrap type="none"/>
          </v:line>
        </w:pict>
      </w:r>
      <w:r>
        <w:rPr>
          <w:rFonts w:ascii="Arial"/>
          <w:color w:val="231F20"/>
          <w:w w:val="105"/>
          <w:sz w:val="12"/>
        </w:rPr>
        <w:t>80</w:t>
      </w:r>
    </w:p>
    <w:p>
      <w:pPr>
        <w:spacing w:before="20"/>
        <w:ind w:left="875" w:right="2804" w:firstLine="0"/>
        <w:jc w:val="center"/>
        <w:rPr>
          <w:rFonts w:ascii="Arial"/>
          <w:sz w:val="12"/>
        </w:rPr>
      </w:pPr>
      <w:r>
        <w:rPr>
          <w:rFonts w:ascii="Arial"/>
          <w:color w:val="231F20"/>
          <w:w w:val="105"/>
          <w:sz w:val="12"/>
        </w:rPr>
        <w:t>70.2</w:t>
      </w:r>
    </w:p>
    <w:p>
      <w:pPr>
        <w:tabs>
          <w:tab w:pos="4628" w:val="left" w:leader="none"/>
        </w:tabs>
        <w:spacing w:before="13"/>
        <w:ind w:left="2687" w:right="0" w:firstLine="0"/>
        <w:jc w:val="left"/>
        <w:rPr>
          <w:rFonts w:ascii="Arial"/>
          <w:sz w:val="12"/>
        </w:rPr>
      </w:pPr>
      <w:r>
        <w:rPr/>
        <w:pict>
          <v:group style="position:absolute;margin-left:145.378098pt;margin-top:3.256315pt;width:263.850pt;height:107.4pt;mso-position-horizontal-relative:page;mso-position-vertical-relative:paragraph;z-index:-469000" coordorigin="2908,65" coordsize="5277,2148">
            <v:shape style="position:absolute;left:0;top:4057;width:5267;height:1832" coordorigin="0,4057" coordsize="5267,1832" path="m4923,1903l8179,1903m4446,1903l4548,1903m3866,1903l4071,1903m4446,1598l4548,1598m3866,1598l4071,1598m4446,1291l4548,1291m2913,1291l4071,1291m4446,987l4548,987m2913,987l4071,987m4446,683l4548,683m2913,683l4071,683m4446,378l4548,378m2913,378l4071,378m2913,71l8179,71e" filled="false" stroked="true" strokeweight=".457pt" strokecolor="#e2e3e4">
              <v:path arrowok="t"/>
            </v:shape>
            <v:shape style="position:absolute;left:4071;top:65;width:375;height:2142" type="#_x0000_t75" stroked="false">
              <v:imagedata r:id="rId182" o:title=""/>
            </v:shape>
            <v:shape style="position:absolute;left:5128;top:2028;width:375;height:178" type="#_x0000_t75" stroked="false">
              <v:imagedata r:id="rId183" o:title=""/>
            </v:shape>
            <v:shape style="position:absolute;left:6181;top:2049;width:377;height:158" type="#_x0000_t75" stroked="false">
              <v:imagedata r:id="rId184" o:title=""/>
            </v:shape>
            <v:shape style="position:absolute;left:7237;top:2113;width:377;height:94" type="#_x0000_t75" stroked="false">
              <v:imagedata r:id="rId185" o:title=""/>
            </v:shape>
            <v:shape style="position:absolute;left:0;top:5888;width:580;height:2" coordorigin="0,5888" coordsize="580,0" path="m3389,1903l3492,1903m2913,1903l3015,1903e" filled="false" stroked="true" strokeweight=".457pt" strokecolor="#e2e3e4">
              <v:path arrowok="t"/>
            </v:shape>
            <v:shape style="position:absolute;left:3015;top:1733;width:375;height:474" type="#_x0000_t75" stroked="false">
              <v:imagedata r:id="rId186" o:title=""/>
            </v:shape>
            <v:shape style="position:absolute;left:3492;top:1569;width:375;height:638" type="#_x0000_t75" stroked="false">
              <v:imagedata r:id="rId187" o:title=""/>
            </v:shape>
            <v:shape style="position:absolute;left:2010;top:4364;width:3257;height:1221" coordorigin="2010,4364" coordsize="3257,1221" path="m4923,1598l8179,1598m4923,1291l8179,1291m4923,987l8179,987m4923,683l8179,683m4923,378l8179,378e" filled="false" stroked="true" strokeweight=".457pt" strokecolor="#e2e3e4">
              <v:path arrowok="t"/>
            </v:shape>
            <v:shape style="position:absolute;left:4548;top:238;width:375;height:1969" type="#_x0000_t75" stroked="false">
              <v:imagedata r:id="rId188" o:title=""/>
            </v:shape>
            <v:shape style="position:absolute;left:5604;top:2028;width:375;height:178" type="#_x0000_t75" stroked="false">
              <v:imagedata r:id="rId189" o:title=""/>
            </v:shape>
            <v:shape style="position:absolute;left:6661;top:2064;width:375;height:143" type="#_x0000_t75" stroked="false">
              <v:imagedata r:id="rId190" o:title=""/>
            </v:shape>
            <v:shape style="position:absolute;left:7714;top:2090;width:377;height:117" type="#_x0000_t75" stroked="false">
              <v:imagedata r:id="rId191" o:title=""/>
            </v:shape>
            <v:line style="position:absolute" from="2913,2207" to="8179,2207" stroked="true" strokeweight=".457pt" strokecolor="#e2e3e4"/>
            <w10:wrap type="none"/>
          </v:group>
        </w:pict>
      </w:r>
      <w:r>
        <w:rPr>
          <w:rFonts w:ascii="Arial"/>
          <w:color w:val="231F20"/>
          <w:w w:val="105"/>
          <w:position w:val="2"/>
          <w:sz w:val="12"/>
        </w:rPr>
        <w:t>70</w:t>
        <w:tab/>
      </w:r>
      <w:r>
        <w:rPr>
          <w:rFonts w:ascii="Arial"/>
          <w:color w:val="231F20"/>
          <w:w w:val="105"/>
          <w:sz w:val="12"/>
        </w:rPr>
        <w:t>64.6</w:t>
      </w:r>
    </w:p>
    <w:p>
      <w:pPr>
        <w:pStyle w:val="BodyText"/>
        <w:spacing w:before="4"/>
        <w:rPr>
          <w:rFonts w:ascii="Arial"/>
          <w:sz w:val="12"/>
        </w:rPr>
      </w:pPr>
    </w:p>
    <w:p>
      <w:pPr>
        <w:spacing w:before="0"/>
        <w:ind w:left="2687" w:right="6753" w:firstLine="0"/>
        <w:jc w:val="left"/>
        <w:rPr>
          <w:rFonts w:ascii="Arial"/>
          <w:sz w:val="12"/>
        </w:rPr>
      </w:pPr>
      <w:r>
        <w:rPr>
          <w:rFonts w:ascii="Arial"/>
          <w:color w:val="231F20"/>
          <w:w w:val="105"/>
          <w:sz w:val="12"/>
        </w:rPr>
        <w:t>60</w:t>
      </w:r>
    </w:p>
    <w:p>
      <w:pPr>
        <w:pStyle w:val="BodyText"/>
        <w:spacing w:before="6"/>
        <w:rPr>
          <w:rFonts w:ascii="Arial"/>
          <w:sz w:val="14"/>
        </w:rPr>
      </w:pPr>
    </w:p>
    <w:p>
      <w:pPr>
        <w:spacing w:before="0"/>
        <w:ind w:left="2687" w:right="6753" w:firstLine="0"/>
        <w:jc w:val="left"/>
        <w:rPr>
          <w:rFonts w:ascii="Arial"/>
          <w:sz w:val="12"/>
        </w:rPr>
      </w:pPr>
      <w:r>
        <w:rPr/>
        <w:pict>
          <v:shape style="position:absolute;margin-left:121.888458pt;margin-top:1.260814pt;width:8.1pt;height:32.15pt;mso-position-horizontal-relative:page;mso-position-vertical-relative:paragraph;z-index:21376" type="#_x0000_t202" filled="false" stroked="false">
            <v:textbox inset="0,0,0,0" style="layout-flow:vertical;mso-layout-flow-alt:bottom-to-top">
              <w:txbxContent>
                <w:p>
                  <w:pPr>
                    <w:spacing w:line="135" w:lineRule="exact" w:before="0"/>
                    <w:ind w:left="20" w:right="-480" w:firstLine="0"/>
                    <w:jc w:val="left"/>
                    <w:rPr>
                      <w:rFonts w:ascii="Arial"/>
                      <w:b/>
                      <w:sz w:val="12"/>
                    </w:rPr>
                  </w:pPr>
                  <w:r>
                    <w:rPr>
                      <w:rFonts w:ascii="Arial"/>
                      <w:b/>
                      <w:color w:val="231F20"/>
                      <w:w w:val="96"/>
                      <w:sz w:val="12"/>
                    </w:rPr>
                    <w:t>Po</w:t>
                  </w:r>
                  <w:r>
                    <w:rPr>
                      <w:rFonts w:ascii="Arial"/>
                      <w:b/>
                      <w:color w:val="231F20"/>
                      <w:spacing w:val="-3"/>
                      <w:w w:val="95"/>
                      <w:sz w:val="12"/>
                    </w:rPr>
                    <w:t>r</w:t>
                  </w:r>
                  <w:r>
                    <w:rPr>
                      <w:rFonts w:ascii="Arial"/>
                      <w:b/>
                      <w:color w:val="231F20"/>
                      <w:w w:val="99"/>
                      <w:sz w:val="12"/>
                    </w:rPr>
                    <w:t>centaje</w:t>
                  </w:r>
                </w:p>
              </w:txbxContent>
            </v:textbox>
            <w10:wrap type="none"/>
          </v:shape>
        </w:pict>
      </w:r>
      <w:r>
        <w:rPr>
          <w:rFonts w:ascii="Arial"/>
          <w:color w:val="231F20"/>
          <w:w w:val="105"/>
          <w:sz w:val="12"/>
        </w:rPr>
        <w:t>50</w:t>
      </w:r>
    </w:p>
    <w:p>
      <w:pPr>
        <w:pStyle w:val="BodyText"/>
        <w:spacing w:before="6"/>
        <w:rPr>
          <w:rFonts w:ascii="Arial"/>
          <w:sz w:val="14"/>
        </w:rPr>
      </w:pPr>
    </w:p>
    <w:p>
      <w:pPr>
        <w:spacing w:before="0"/>
        <w:ind w:left="2687" w:right="6753" w:firstLine="0"/>
        <w:jc w:val="left"/>
        <w:rPr>
          <w:rFonts w:ascii="Arial"/>
          <w:sz w:val="12"/>
        </w:rPr>
      </w:pPr>
      <w:r>
        <w:rPr>
          <w:rFonts w:ascii="Arial"/>
          <w:color w:val="231F20"/>
          <w:w w:val="105"/>
          <w:sz w:val="12"/>
        </w:rPr>
        <w:t>40</w:t>
      </w:r>
    </w:p>
    <w:p>
      <w:pPr>
        <w:spacing w:after="0"/>
        <w:jc w:val="left"/>
        <w:rPr>
          <w:rFonts w:ascii="Arial"/>
          <w:sz w:val="12"/>
        </w:rPr>
        <w:sectPr>
          <w:type w:val="continuous"/>
          <w:pgSz w:w="10480" w:h="14730"/>
          <w:pgMar w:top="0" w:bottom="0" w:left="0" w:right="0"/>
        </w:sectPr>
      </w:pPr>
    </w:p>
    <w:p>
      <w:pPr>
        <w:pStyle w:val="BodyText"/>
        <w:spacing w:before="6"/>
        <w:rPr>
          <w:rFonts w:ascii="Arial"/>
          <w:sz w:val="14"/>
        </w:rPr>
      </w:pPr>
    </w:p>
    <w:p>
      <w:pPr>
        <w:spacing w:before="0"/>
        <w:ind w:left="0" w:right="661" w:firstLine="0"/>
        <w:jc w:val="right"/>
        <w:rPr>
          <w:rFonts w:ascii="Arial"/>
          <w:sz w:val="12"/>
        </w:rPr>
      </w:pPr>
      <w:r>
        <w:rPr>
          <w:rFonts w:ascii="Arial"/>
          <w:color w:val="231F20"/>
          <w:w w:val="105"/>
          <w:sz w:val="12"/>
        </w:rPr>
        <w:t>30</w:t>
      </w:r>
    </w:p>
    <w:p>
      <w:pPr>
        <w:pStyle w:val="BodyText"/>
        <w:spacing w:before="7"/>
        <w:rPr>
          <w:rFonts w:ascii="Arial"/>
          <w:sz w:val="13"/>
        </w:rPr>
      </w:pPr>
    </w:p>
    <w:p>
      <w:pPr>
        <w:spacing w:before="0"/>
        <w:ind w:left="0" w:right="0" w:firstLine="0"/>
        <w:jc w:val="right"/>
        <w:rPr>
          <w:rFonts w:ascii="Arial"/>
          <w:sz w:val="12"/>
        </w:rPr>
      </w:pPr>
      <w:r>
        <w:rPr>
          <w:rFonts w:ascii="Arial"/>
          <w:color w:val="231F20"/>
          <w:w w:val="105"/>
          <w:sz w:val="12"/>
        </w:rPr>
        <w:t>20       </w:t>
      </w:r>
      <w:r>
        <w:rPr>
          <w:rFonts w:ascii="Arial"/>
          <w:strike/>
          <w:color w:val="231F20"/>
          <w:w w:val="105"/>
          <w:position w:val="1"/>
          <w:sz w:val="12"/>
        </w:rPr>
        <w:t>15.6</w:t>
      </w:r>
      <w:r>
        <w:rPr>
          <w:rFonts w:ascii="Arial"/>
          <w:strike/>
          <w:color w:val="231F20"/>
          <w:position w:val="1"/>
          <w:sz w:val="12"/>
        </w:rPr>
        <w:t> </w:t>
      </w:r>
    </w:p>
    <w:p>
      <w:pPr>
        <w:pStyle w:val="BodyText"/>
        <w:spacing w:before="6"/>
        <w:rPr>
          <w:rFonts w:ascii="Arial"/>
          <w:sz w:val="14"/>
        </w:rPr>
      </w:pPr>
    </w:p>
    <w:p>
      <w:pPr>
        <w:spacing w:before="0"/>
        <w:ind w:left="0" w:right="661" w:firstLine="0"/>
        <w:jc w:val="right"/>
        <w:rPr>
          <w:rFonts w:ascii="Arial"/>
          <w:sz w:val="12"/>
        </w:rPr>
      </w:pPr>
      <w:r>
        <w:rPr>
          <w:rFonts w:ascii="Arial"/>
          <w:color w:val="231F20"/>
          <w:w w:val="105"/>
          <w:sz w:val="12"/>
        </w:rPr>
        <w:t>10</w:t>
      </w:r>
    </w:p>
    <w:p>
      <w:pPr>
        <w:pStyle w:val="BodyText"/>
        <w:spacing w:before="6"/>
        <w:rPr>
          <w:rFonts w:ascii="Arial"/>
          <w:sz w:val="14"/>
        </w:rPr>
      </w:pPr>
    </w:p>
    <w:p>
      <w:pPr>
        <w:spacing w:before="0"/>
        <w:ind w:left="0" w:right="671" w:firstLine="0"/>
        <w:jc w:val="right"/>
        <w:rPr>
          <w:rFonts w:ascii="Arial"/>
          <w:sz w:val="12"/>
        </w:rPr>
      </w:pPr>
      <w:r>
        <w:rPr>
          <w:rFonts w:ascii="Arial"/>
          <w:color w:val="231F20"/>
          <w:w w:val="105"/>
          <w:sz w:val="12"/>
        </w:rPr>
        <w:t>0</w:t>
      </w:r>
    </w:p>
    <w:p>
      <w:pPr>
        <w:pStyle w:val="BodyText"/>
        <w:rPr>
          <w:rFonts w:ascii="Arial"/>
          <w:sz w:val="12"/>
        </w:rPr>
      </w:pPr>
      <w:r>
        <w:rPr/>
        <w:br w:type="column"/>
      </w:r>
      <w:r>
        <w:rPr>
          <w:rFonts w:ascii="Arial"/>
          <w:sz w:val="12"/>
        </w:rPr>
      </w:r>
    </w:p>
    <w:p>
      <w:pPr>
        <w:pStyle w:val="BodyText"/>
        <w:spacing w:before="5"/>
        <w:rPr>
          <w:rFonts w:ascii="Arial"/>
          <w:sz w:val="14"/>
        </w:rPr>
      </w:pPr>
    </w:p>
    <w:p>
      <w:pPr>
        <w:spacing w:before="0"/>
        <w:ind w:left="40" w:right="-9" w:firstLine="0"/>
        <w:jc w:val="left"/>
        <w:rPr>
          <w:rFonts w:ascii="Arial"/>
          <w:sz w:val="12"/>
        </w:rPr>
      </w:pPr>
      <w:r>
        <w:rPr>
          <w:rFonts w:ascii="Arial"/>
          <w:color w:val="231F20"/>
          <w:sz w:val="12"/>
        </w:rPr>
        <w:t>20.9</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spacing w:before="72"/>
        <w:ind w:left="0" w:right="0" w:firstLine="0"/>
        <w:jc w:val="right"/>
        <w:rPr>
          <w:rFonts w:ascii="Arial"/>
          <w:sz w:val="12"/>
        </w:rPr>
      </w:pPr>
      <w:r>
        <w:rPr>
          <w:rFonts w:ascii="Arial"/>
          <w:color w:val="231F20"/>
          <w:sz w:val="12"/>
        </w:rPr>
        <w:t>5.9</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spacing w:before="73"/>
        <w:ind w:left="264" w:right="-13" w:firstLine="0"/>
        <w:jc w:val="left"/>
        <w:rPr>
          <w:rFonts w:ascii="Arial"/>
          <w:sz w:val="12"/>
        </w:rPr>
      </w:pPr>
      <w:r>
        <w:rPr>
          <w:rFonts w:ascii="Arial"/>
          <w:color w:val="231F20"/>
          <w:sz w:val="12"/>
        </w:rPr>
        <w:t>5.9</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spacing w:before="94"/>
        <w:ind w:left="0" w:right="0" w:firstLine="0"/>
        <w:jc w:val="right"/>
        <w:rPr>
          <w:rFonts w:ascii="Arial"/>
          <w:sz w:val="12"/>
        </w:rPr>
      </w:pPr>
      <w:r>
        <w:rPr>
          <w:rFonts w:ascii="Arial"/>
          <w:color w:val="231F20"/>
          <w:w w:val="105"/>
          <w:sz w:val="12"/>
        </w:rPr>
        <w:t>5.2</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5"/>
        <w:rPr>
          <w:rFonts w:ascii="Arial"/>
          <w:sz w:val="9"/>
        </w:rPr>
      </w:pPr>
    </w:p>
    <w:p>
      <w:pPr>
        <w:spacing w:before="0"/>
        <w:ind w:left="263" w:right="-13" w:firstLine="0"/>
        <w:jc w:val="left"/>
        <w:rPr>
          <w:rFonts w:ascii="Arial"/>
          <w:sz w:val="12"/>
        </w:rPr>
      </w:pPr>
      <w:r>
        <w:rPr>
          <w:rFonts w:ascii="Arial"/>
          <w:color w:val="231F20"/>
          <w:sz w:val="12"/>
        </w:rPr>
        <w:t>4.7</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7"/>
        <w:rPr>
          <w:rFonts w:ascii="Arial"/>
          <w:sz w:val="13"/>
        </w:rPr>
      </w:pPr>
    </w:p>
    <w:p>
      <w:pPr>
        <w:spacing w:before="0"/>
        <w:ind w:left="0" w:right="0" w:firstLine="0"/>
        <w:jc w:val="right"/>
        <w:rPr>
          <w:rFonts w:ascii="Arial"/>
          <w:sz w:val="12"/>
        </w:rPr>
      </w:pPr>
      <w:r>
        <w:rPr>
          <w:rFonts w:ascii="Arial"/>
          <w:color w:val="231F20"/>
          <w:w w:val="105"/>
          <w:sz w:val="12"/>
        </w:rPr>
        <w:t>3.1</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6"/>
        <w:rPr>
          <w:rFonts w:ascii="Arial"/>
          <w:sz w:val="11"/>
        </w:rPr>
      </w:pPr>
    </w:p>
    <w:p>
      <w:pPr>
        <w:spacing w:before="0"/>
        <w:ind w:left="264" w:right="0" w:firstLine="0"/>
        <w:jc w:val="left"/>
        <w:rPr>
          <w:rFonts w:ascii="Arial"/>
          <w:sz w:val="12"/>
        </w:rPr>
      </w:pPr>
      <w:r>
        <w:rPr>
          <w:rFonts w:ascii="Arial"/>
          <w:color w:val="231F20"/>
          <w:w w:val="105"/>
          <w:sz w:val="12"/>
        </w:rPr>
        <w:t>3.9</w:t>
      </w:r>
    </w:p>
    <w:p>
      <w:pPr>
        <w:spacing w:after="0"/>
        <w:jc w:val="left"/>
        <w:rPr>
          <w:rFonts w:ascii="Arial"/>
          <w:sz w:val="12"/>
        </w:rPr>
        <w:sectPr>
          <w:type w:val="continuous"/>
          <w:pgSz w:w="10480" w:h="14730"/>
          <w:pgMar w:top="0" w:bottom="0" w:left="0" w:right="0"/>
          <w:cols w:num="8" w:equalWidth="0">
            <w:col w:w="3492" w:space="40"/>
            <w:col w:w="285" w:space="40"/>
            <w:col w:w="1558" w:space="40"/>
            <w:col w:w="438" w:space="40"/>
            <w:col w:w="539" w:space="40"/>
            <w:col w:w="437" w:space="40"/>
            <w:col w:w="539" w:space="40"/>
            <w:col w:w="2912"/>
          </w:cols>
        </w:sectPr>
      </w:pPr>
    </w:p>
    <w:p>
      <w:pPr>
        <w:tabs>
          <w:tab w:pos="1028" w:val="left" w:leader="none"/>
          <w:tab w:pos="2123" w:val="left" w:leader="none"/>
          <w:tab w:pos="3104" w:val="left" w:leader="none"/>
        </w:tabs>
        <w:spacing w:line="145" w:lineRule="exact" w:before="0"/>
        <w:ind w:left="0" w:right="46" w:firstLine="0"/>
        <w:jc w:val="right"/>
        <w:rPr>
          <w:rFonts w:ascii="Arial"/>
          <w:sz w:val="12"/>
        </w:rPr>
      </w:pPr>
      <w:r>
        <w:rPr>
          <w:rFonts w:ascii="Arial"/>
          <w:color w:val="231F20"/>
          <w:w w:val="105"/>
          <w:sz w:val="12"/>
        </w:rPr>
        <w:t>Soltero</w:t>
        <w:tab/>
        <w:t>Casado</w:t>
        <w:tab/>
        <w:t>Unido</w:t>
        <w:tab/>
      </w:r>
      <w:r>
        <w:rPr>
          <w:rFonts w:ascii="Arial"/>
          <w:color w:val="231F20"/>
          <w:position w:val="1"/>
          <w:sz w:val="12"/>
        </w:rPr>
        <w:t>Separado</w:t>
      </w:r>
    </w:p>
    <w:p>
      <w:pPr>
        <w:spacing w:before="0"/>
        <w:ind w:left="0" w:right="0" w:firstLine="0"/>
        <w:jc w:val="right"/>
        <w:rPr>
          <w:rFonts w:ascii="Arial"/>
          <w:sz w:val="12"/>
        </w:rPr>
      </w:pPr>
      <w:r>
        <w:rPr>
          <w:rFonts w:ascii="Arial"/>
          <w:color w:val="231F20"/>
          <w:w w:val="110"/>
          <w:sz w:val="12"/>
        </w:rPr>
        <w:t>o divorciado</w:t>
      </w:r>
    </w:p>
    <w:p>
      <w:pPr>
        <w:tabs>
          <w:tab w:pos="5552" w:val="left" w:leader="none"/>
        </w:tabs>
        <w:spacing w:before="89"/>
        <w:ind w:left="4507" w:right="0" w:firstLine="0"/>
        <w:jc w:val="left"/>
        <w:rPr>
          <w:rFonts w:ascii="Arial" w:hAnsi="Arial"/>
          <w:sz w:val="12"/>
        </w:rPr>
      </w:pPr>
      <w:r>
        <w:rPr/>
        <w:drawing>
          <wp:anchor distT="0" distB="0" distL="0" distR="0" allowOverlap="1" layoutInCell="1" locked="0" behindDoc="0" simplePos="0" relativeHeight="21232">
            <wp:simplePos x="0" y="0"/>
            <wp:positionH relativeFrom="page">
              <wp:posOffset>2708655</wp:posOffset>
            </wp:positionH>
            <wp:positionV relativeFrom="paragraph">
              <wp:posOffset>74012</wp:posOffset>
            </wp:positionV>
            <wp:extent cx="73698" cy="73672"/>
            <wp:effectExtent l="0" t="0" r="0" b="0"/>
            <wp:wrapNone/>
            <wp:docPr id="37" name="image86.png" descr=""/>
            <wp:cNvGraphicFramePr>
              <a:graphicFrameLocks noChangeAspect="1"/>
            </wp:cNvGraphicFramePr>
            <a:graphic>
              <a:graphicData uri="http://schemas.openxmlformats.org/drawingml/2006/picture">
                <pic:pic>
                  <pic:nvPicPr>
                    <pic:cNvPr id="38" name="image86.png"/>
                    <pic:cNvPicPr/>
                  </pic:nvPicPr>
                  <pic:blipFill>
                    <a:blip r:embed="rId192" cstate="print"/>
                    <a:stretch>
                      <a:fillRect/>
                    </a:stretch>
                  </pic:blipFill>
                  <pic:spPr>
                    <a:xfrm>
                      <a:off x="0" y="0"/>
                      <a:ext cx="73698" cy="73672"/>
                    </a:xfrm>
                    <a:prstGeom prst="rect">
                      <a:avLst/>
                    </a:prstGeom>
                  </pic:spPr>
                </pic:pic>
              </a:graphicData>
            </a:graphic>
          </wp:anchor>
        </w:drawing>
      </w:r>
      <w:r>
        <w:rPr/>
        <w:drawing>
          <wp:anchor distT="0" distB="0" distL="0" distR="0" allowOverlap="1" layoutInCell="1" locked="0" behindDoc="1" simplePos="0" relativeHeight="267966527">
            <wp:simplePos x="0" y="0"/>
            <wp:positionH relativeFrom="page">
              <wp:posOffset>3393452</wp:posOffset>
            </wp:positionH>
            <wp:positionV relativeFrom="paragraph">
              <wp:posOffset>74012</wp:posOffset>
            </wp:positionV>
            <wp:extent cx="73685" cy="73685"/>
            <wp:effectExtent l="0" t="0" r="0" b="0"/>
            <wp:wrapNone/>
            <wp:docPr id="39" name="image87.png" descr=""/>
            <wp:cNvGraphicFramePr>
              <a:graphicFrameLocks noChangeAspect="1"/>
            </wp:cNvGraphicFramePr>
            <a:graphic>
              <a:graphicData uri="http://schemas.openxmlformats.org/drawingml/2006/picture">
                <pic:pic>
                  <pic:nvPicPr>
                    <pic:cNvPr id="40" name="image87.png"/>
                    <pic:cNvPicPr/>
                  </pic:nvPicPr>
                  <pic:blipFill>
                    <a:blip r:embed="rId193" cstate="print"/>
                    <a:stretch>
                      <a:fillRect/>
                    </a:stretch>
                  </pic:blipFill>
                  <pic:spPr>
                    <a:xfrm>
                      <a:off x="0" y="0"/>
                      <a:ext cx="73685" cy="73685"/>
                    </a:xfrm>
                    <a:prstGeom prst="rect">
                      <a:avLst/>
                    </a:prstGeom>
                  </pic:spPr>
                </pic:pic>
              </a:graphicData>
            </a:graphic>
          </wp:anchor>
        </w:drawing>
      </w:r>
      <w:r>
        <w:rPr>
          <w:rFonts w:ascii="Arial" w:hAnsi="Arial"/>
          <w:color w:val="231F20"/>
          <w:w w:val="105"/>
          <w:sz w:val="12"/>
        </w:rPr>
        <w:t>Nacional</w:t>
        <w:tab/>
        <w:t>Estado de</w:t>
      </w:r>
      <w:r>
        <w:rPr>
          <w:rFonts w:ascii="Arial" w:hAnsi="Arial"/>
          <w:color w:val="231F20"/>
          <w:spacing w:val="-9"/>
          <w:w w:val="105"/>
          <w:sz w:val="12"/>
        </w:rPr>
        <w:t> </w:t>
      </w:r>
      <w:r>
        <w:rPr>
          <w:rFonts w:ascii="Arial" w:hAnsi="Arial"/>
          <w:color w:val="231F20"/>
          <w:w w:val="105"/>
          <w:sz w:val="12"/>
        </w:rPr>
        <w:t>México</w:t>
      </w:r>
    </w:p>
    <w:p>
      <w:pPr>
        <w:spacing w:before="7"/>
        <w:ind w:left="496" w:right="0" w:firstLine="0"/>
        <w:jc w:val="left"/>
        <w:rPr>
          <w:rFonts w:ascii="Arial"/>
          <w:sz w:val="12"/>
        </w:rPr>
      </w:pPr>
      <w:r>
        <w:rPr/>
        <w:br w:type="column"/>
      </w:r>
      <w:r>
        <w:rPr>
          <w:rFonts w:ascii="Arial"/>
          <w:color w:val="231F20"/>
          <w:w w:val="110"/>
          <w:sz w:val="12"/>
        </w:rPr>
        <w:t>Viudo</w:t>
      </w:r>
    </w:p>
    <w:p>
      <w:pPr>
        <w:spacing w:after="0"/>
        <w:jc w:val="left"/>
        <w:rPr>
          <w:rFonts w:ascii="Arial"/>
          <w:sz w:val="12"/>
        </w:rPr>
        <w:sectPr>
          <w:type w:val="continuous"/>
          <w:pgSz w:w="10480" w:h="14730"/>
          <w:pgMar w:top="0" w:bottom="0" w:left="0" w:right="0"/>
          <w:cols w:num="2" w:equalWidth="0">
            <w:col w:w="6942" w:space="40"/>
            <w:col w:w="3498"/>
          </w:cols>
        </w:sectPr>
      </w:pPr>
    </w:p>
    <w:p>
      <w:pPr>
        <w:spacing w:line="254" w:lineRule="auto" w:before="62"/>
        <w:ind w:left="2460" w:right="2263" w:firstLine="0"/>
        <w:jc w:val="left"/>
        <w:rPr>
          <w:sz w:val="16"/>
        </w:rPr>
      </w:pPr>
      <w:r>
        <w:rPr/>
        <w:pict>
          <v:line style="position:absolute;mso-position-horizontal-relative:page;mso-position-vertical-relative:page;z-index:-468856" from="15pt,715.487793pt" to="0pt,715.487793pt" stroked="true" strokeweight=".25pt" strokecolor="#000000">
            <w10:wrap type="none"/>
          </v:line>
        </w:pict>
      </w:r>
      <w:r>
        <w:rPr/>
        <w:pict>
          <v:line style="position:absolute;mso-position-horizontal-relative:page;mso-position-vertical-relative:page;z-index:21352" from="508.890015pt,715.487793pt" to="523.890015pt,715.487793pt" stroked="true" strokeweight=".25pt" strokecolor="#000000">
            <w10:wrap type="none"/>
          </v:line>
        </w:pict>
      </w:r>
      <w:r>
        <w:rPr>
          <w:color w:val="231F20"/>
          <w:w w:val="105"/>
          <w:sz w:val="16"/>
        </w:rPr>
        <w:t>Fuente:</w:t>
      </w:r>
      <w:r>
        <w:rPr>
          <w:color w:val="231F20"/>
          <w:spacing w:val="-16"/>
          <w:w w:val="105"/>
          <w:sz w:val="16"/>
        </w:rPr>
        <w:t> </w:t>
      </w:r>
      <w:r>
        <w:rPr>
          <w:color w:val="231F20"/>
          <w:w w:val="105"/>
          <w:sz w:val="16"/>
        </w:rPr>
        <w:t>elaboración</w:t>
      </w:r>
      <w:r>
        <w:rPr>
          <w:color w:val="231F20"/>
          <w:spacing w:val="-16"/>
          <w:w w:val="105"/>
          <w:sz w:val="16"/>
        </w:rPr>
        <w:t> </w:t>
      </w:r>
      <w:r>
        <w:rPr>
          <w:color w:val="231F20"/>
          <w:w w:val="105"/>
          <w:sz w:val="16"/>
        </w:rPr>
        <w:t>propia</w:t>
      </w:r>
      <w:r>
        <w:rPr>
          <w:color w:val="231F20"/>
          <w:spacing w:val="-16"/>
          <w:w w:val="105"/>
          <w:sz w:val="16"/>
        </w:rPr>
        <w:t> </w:t>
      </w:r>
      <w:r>
        <w:rPr>
          <w:color w:val="231F20"/>
          <w:w w:val="105"/>
          <w:sz w:val="16"/>
        </w:rPr>
        <w:t>con</w:t>
      </w:r>
      <w:r>
        <w:rPr>
          <w:color w:val="231F20"/>
          <w:spacing w:val="-16"/>
          <w:w w:val="105"/>
          <w:sz w:val="16"/>
        </w:rPr>
        <w:t> </w:t>
      </w:r>
      <w:r>
        <w:rPr>
          <w:color w:val="231F20"/>
          <w:w w:val="105"/>
          <w:sz w:val="16"/>
        </w:rPr>
        <w:t>datos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Encuesta</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Migración</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la</w:t>
      </w:r>
      <w:r>
        <w:rPr>
          <w:color w:val="231F20"/>
          <w:spacing w:val="-16"/>
          <w:w w:val="105"/>
          <w:sz w:val="16"/>
        </w:rPr>
        <w:t> </w:t>
      </w:r>
      <w:r>
        <w:rPr>
          <w:color w:val="231F20"/>
          <w:spacing w:val="-3"/>
          <w:w w:val="105"/>
          <w:sz w:val="16"/>
        </w:rPr>
        <w:t>Fronte- </w:t>
      </w:r>
      <w:r>
        <w:rPr>
          <w:color w:val="231F20"/>
          <w:w w:val="105"/>
          <w:sz w:val="16"/>
        </w:rPr>
        <w:t>ra</w:t>
      </w:r>
      <w:r>
        <w:rPr>
          <w:color w:val="231F20"/>
          <w:spacing w:val="-27"/>
          <w:w w:val="105"/>
          <w:sz w:val="16"/>
        </w:rPr>
        <w:t> </w:t>
      </w:r>
      <w:r>
        <w:rPr>
          <w:color w:val="231F20"/>
          <w:w w:val="105"/>
          <w:sz w:val="16"/>
        </w:rPr>
        <w:t>Norte,</w:t>
      </w:r>
      <w:r>
        <w:rPr>
          <w:color w:val="231F20"/>
          <w:spacing w:val="-29"/>
          <w:w w:val="105"/>
          <w:sz w:val="16"/>
        </w:rPr>
        <w:t> </w:t>
      </w:r>
      <w:r>
        <w:rPr>
          <w:color w:val="231F20"/>
          <w:w w:val="105"/>
          <w:sz w:val="16"/>
        </w:rPr>
        <w:t>2013</w:t>
      </w:r>
      <w:r>
        <w:rPr>
          <w:color w:val="231F20"/>
          <w:spacing w:val="-27"/>
          <w:w w:val="105"/>
          <w:sz w:val="16"/>
        </w:rPr>
        <w:t> </w:t>
      </w:r>
      <w:r>
        <w:rPr>
          <w:color w:val="231F20"/>
          <w:w w:val="105"/>
          <w:sz w:val="16"/>
        </w:rPr>
        <w:t>(</w:t>
      </w:r>
      <w:r>
        <w:rPr>
          <w:color w:val="231F20"/>
          <w:w w:val="105"/>
          <w:sz w:val="14"/>
        </w:rPr>
        <w:t>CONAPO</w:t>
      </w:r>
      <w:r>
        <w:rPr>
          <w:color w:val="231F20"/>
          <w:w w:val="105"/>
          <w:sz w:val="16"/>
        </w:rPr>
        <w:t>,</w:t>
      </w:r>
      <w:r>
        <w:rPr>
          <w:color w:val="231F20"/>
          <w:spacing w:val="-29"/>
          <w:w w:val="105"/>
          <w:sz w:val="16"/>
        </w:rPr>
        <w:t> </w:t>
      </w:r>
      <w:r>
        <w:rPr>
          <w:color w:val="231F20"/>
          <w:w w:val="105"/>
          <w:sz w:val="16"/>
        </w:rPr>
        <w:t>2015).</w:t>
      </w:r>
    </w:p>
    <w:p>
      <w:pPr>
        <w:spacing w:after="0" w:line="254" w:lineRule="auto"/>
        <w:jc w:val="left"/>
        <w:rPr>
          <w:sz w:val="16"/>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90"/>
        <w:ind w:left="1723"/>
      </w:pPr>
      <w:r>
        <w:rPr/>
        <w:pict>
          <v:line style="position:absolute;mso-position-horizontal-relative:page;mso-position-vertical-relative:paragraph;z-index:21424" from="15pt,-62.04826pt" to="0pt,-62.04826pt" stroked="true" strokeweight=".25pt" strokecolor="#000000">
            <w10:wrap type="none"/>
          </v:line>
        </w:pict>
      </w:r>
      <w:r>
        <w:rPr/>
        <w:pict>
          <v:line style="position:absolute;mso-position-horizontal-relative:page;mso-position-vertical-relative:paragraph;z-index:21448" from="508.890015pt,-62.04826pt" to="523.890015pt,-62.04826pt" stroked="true" strokeweight=".25pt" strokecolor="#000000">
            <w10:wrap type="none"/>
          </v:line>
        </w:pict>
      </w:r>
      <w:r>
        <w:rPr>
          <w:color w:val="231F20"/>
        </w:rPr>
        <w:t>Acceso a servicios de salud y solicitud de atención médica</w:t>
      </w:r>
    </w:p>
    <w:p>
      <w:pPr>
        <w:pStyle w:val="BodyText"/>
        <w:rPr>
          <w:rFonts w:ascii="Arial"/>
          <w:b/>
          <w:sz w:val="22"/>
        </w:rPr>
      </w:pPr>
    </w:p>
    <w:p>
      <w:pPr>
        <w:pStyle w:val="BodyText"/>
        <w:spacing w:line="261" w:lineRule="auto" w:before="163"/>
        <w:ind w:left="1723" w:right="1828"/>
        <w:jc w:val="both"/>
      </w:pPr>
      <w:r>
        <w:rPr>
          <w:color w:val="231F20"/>
        </w:rPr>
        <w:t>Del total de migrantes en flujo procedentes de Estados Unidos y origi- narios del Estado de México (50 062), se estima que 5.2% tenía acceso a </w:t>
      </w:r>
      <w:r>
        <w:rPr>
          <w:rFonts w:ascii="Arial" w:hAnsi="Arial"/>
          <w:i/>
          <w:color w:val="231F20"/>
        </w:rPr>
        <w:t>Medicare</w:t>
      </w:r>
      <w:r>
        <w:rPr>
          <w:color w:val="231F20"/>
        </w:rPr>
        <w:t>, cifra inferior a la registrada para el total nacional, la cual fue de 12.3%. Esta proporción registra diferencias importantes por sexo, pues mientras que en los hombres mexiquenses fue de 76.2%, en las mujeres sólo alcanza 23.8% de ellas. Por grupos de edad se observa que quienes tenían entre 30 y 34 años registraron la mayor proporción con 38.4%, seguido de los de 45 a 49 años, con 22.4% (véase cuadro  2.1).</w:t>
      </w:r>
    </w:p>
    <w:p>
      <w:pPr>
        <w:pStyle w:val="BodyText"/>
        <w:spacing w:before="4"/>
      </w:pPr>
    </w:p>
    <w:p>
      <w:pPr>
        <w:spacing w:line="249" w:lineRule="auto" w:before="0"/>
        <w:ind w:left="1836" w:right="1947" w:hanging="1"/>
        <w:jc w:val="center"/>
        <w:rPr>
          <w:rFonts w:ascii="Arial" w:hAnsi="Arial"/>
          <w:sz w:val="18"/>
        </w:rPr>
      </w:pPr>
      <w:r>
        <w:rPr>
          <w:rFonts w:ascii="Arial" w:hAnsi="Arial"/>
          <w:color w:val="231F20"/>
          <w:w w:val="105"/>
          <w:sz w:val="18"/>
        </w:rPr>
        <w:t>Cuadro 2.1 Porcentaje de migrantes en flujo procedentes de Estados Unidos nacidos</w:t>
      </w:r>
      <w:r>
        <w:rPr>
          <w:rFonts w:ascii="Arial" w:hAnsi="Arial"/>
          <w:color w:val="231F20"/>
          <w:spacing w:val="-12"/>
          <w:w w:val="105"/>
          <w:sz w:val="18"/>
        </w:rPr>
        <w:t> </w:t>
      </w:r>
      <w:r>
        <w:rPr>
          <w:rFonts w:ascii="Arial" w:hAnsi="Arial"/>
          <w:color w:val="231F20"/>
          <w:w w:val="105"/>
          <w:sz w:val="18"/>
        </w:rPr>
        <w:t>en</w:t>
      </w:r>
      <w:r>
        <w:rPr>
          <w:rFonts w:ascii="Arial" w:hAnsi="Arial"/>
          <w:color w:val="231F20"/>
          <w:spacing w:val="-12"/>
          <w:w w:val="105"/>
          <w:sz w:val="18"/>
        </w:rPr>
        <w:t> </w:t>
      </w:r>
      <w:r>
        <w:rPr>
          <w:rFonts w:ascii="Arial" w:hAnsi="Arial"/>
          <w:color w:val="231F20"/>
          <w:w w:val="105"/>
          <w:sz w:val="18"/>
        </w:rPr>
        <w:t>el</w:t>
      </w:r>
      <w:r>
        <w:rPr>
          <w:rFonts w:ascii="Arial" w:hAnsi="Arial"/>
          <w:color w:val="231F20"/>
          <w:spacing w:val="-12"/>
          <w:w w:val="105"/>
          <w:sz w:val="18"/>
        </w:rPr>
        <w:t> </w:t>
      </w:r>
      <w:r>
        <w:rPr>
          <w:rFonts w:ascii="Arial" w:hAnsi="Arial"/>
          <w:color w:val="231F20"/>
          <w:w w:val="105"/>
          <w:sz w:val="18"/>
        </w:rPr>
        <w:t>Estado</w:t>
      </w:r>
      <w:r>
        <w:rPr>
          <w:rFonts w:ascii="Arial" w:hAnsi="Arial"/>
          <w:color w:val="231F20"/>
          <w:spacing w:val="-12"/>
          <w:w w:val="105"/>
          <w:sz w:val="18"/>
        </w:rPr>
        <w:t> </w:t>
      </w:r>
      <w:r>
        <w:rPr>
          <w:rFonts w:ascii="Arial" w:hAnsi="Arial"/>
          <w:color w:val="231F20"/>
          <w:w w:val="105"/>
          <w:sz w:val="18"/>
        </w:rPr>
        <w:t>de</w:t>
      </w:r>
      <w:r>
        <w:rPr>
          <w:rFonts w:ascii="Arial" w:hAnsi="Arial"/>
          <w:color w:val="231F20"/>
          <w:spacing w:val="-12"/>
          <w:w w:val="105"/>
          <w:sz w:val="18"/>
        </w:rPr>
        <w:t> </w:t>
      </w:r>
      <w:r>
        <w:rPr>
          <w:rFonts w:ascii="Arial" w:hAnsi="Arial"/>
          <w:color w:val="231F20"/>
          <w:w w:val="105"/>
          <w:sz w:val="18"/>
        </w:rPr>
        <w:t>México</w:t>
      </w:r>
      <w:r>
        <w:rPr>
          <w:rFonts w:ascii="Arial" w:hAnsi="Arial"/>
          <w:color w:val="231F20"/>
          <w:spacing w:val="-12"/>
          <w:w w:val="105"/>
          <w:sz w:val="18"/>
        </w:rPr>
        <w:t> </w:t>
      </w:r>
      <w:r>
        <w:rPr>
          <w:rFonts w:ascii="Arial" w:hAnsi="Arial"/>
          <w:color w:val="231F20"/>
          <w:w w:val="105"/>
          <w:sz w:val="18"/>
        </w:rPr>
        <w:t>que</w:t>
      </w:r>
      <w:r>
        <w:rPr>
          <w:rFonts w:ascii="Arial" w:hAnsi="Arial"/>
          <w:color w:val="231F20"/>
          <w:spacing w:val="-12"/>
          <w:w w:val="105"/>
          <w:sz w:val="18"/>
        </w:rPr>
        <w:t> </w:t>
      </w:r>
      <w:r>
        <w:rPr>
          <w:rFonts w:ascii="Arial" w:hAnsi="Arial"/>
          <w:color w:val="231F20"/>
          <w:w w:val="105"/>
          <w:sz w:val="18"/>
        </w:rPr>
        <w:t>tienen</w:t>
      </w:r>
      <w:r>
        <w:rPr>
          <w:rFonts w:ascii="Arial" w:hAnsi="Arial"/>
          <w:color w:val="231F20"/>
          <w:spacing w:val="-12"/>
          <w:w w:val="105"/>
          <w:sz w:val="18"/>
        </w:rPr>
        <w:t> </w:t>
      </w:r>
      <w:r>
        <w:rPr>
          <w:rFonts w:ascii="Arial" w:hAnsi="Arial"/>
          <w:color w:val="231F20"/>
          <w:w w:val="105"/>
          <w:sz w:val="18"/>
        </w:rPr>
        <w:t>acceso</w:t>
      </w:r>
      <w:r>
        <w:rPr>
          <w:rFonts w:ascii="Arial" w:hAnsi="Arial"/>
          <w:color w:val="231F20"/>
          <w:spacing w:val="-12"/>
          <w:w w:val="105"/>
          <w:sz w:val="18"/>
        </w:rPr>
        <w:t> </w:t>
      </w:r>
      <w:r>
        <w:rPr>
          <w:rFonts w:ascii="Arial" w:hAnsi="Arial"/>
          <w:color w:val="231F20"/>
          <w:w w:val="105"/>
          <w:sz w:val="18"/>
        </w:rPr>
        <w:t>algún</w:t>
      </w:r>
      <w:r>
        <w:rPr>
          <w:rFonts w:ascii="Arial" w:hAnsi="Arial"/>
          <w:color w:val="231F20"/>
          <w:spacing w:val="-12"/>
          <w:w w:val="105"/>
          <w:sz w:val="18"/>
        </w:rPr>
        <w:t> </w:t>
      </w:r>
      <w:r>
        <w:rPr>
          <w:rFonts w:ascii="Arial" w:hAnsi="Arial"/>
          <w:color w:val="231F20"/>
          <w:w w:val="105"/>
          <w:sz w:val="18"/>
        </w:rPr>
        <w:t>servicio</w:t>
      </w:r>
      <w:r>
        <w:rPr>
          <w:rFonts w:ascii="Arial" w:hAnsi="Arial"/>
          <w:color w:val="231F20"/>
          <w:spacing w:val="-12"/>
          <w:w w:val="105"/>
          <w:sz w:val="18"/>
        </w:rPr>
        <w:t> </w:t>
      </w:r>
      <w:r>
        <w:rPr>
          <w:rFonts w:ascii="Arial" w:hAnsi="Arial"/>
          <w:color w:val="231F20"/>
          <w:w w:val="105"/>
          <w:sz w:val="18"/>
        </w:rPr>
        <w:t>de</w:t>
      </w:r>
      <w:r>
        <w:rPr>
          <w:rFonts w:ascii="Arial" w:hAnsi="Arial"/>
          <w:color w:val="231F20"/>
          <w:spacing w:val="-12"/>
          <w:w w:val="105"/>
          <w:sz w:val="18"/>
        </w:rPr>
        <w:t> </w:t>
      </w:r>
      <w:r>
        <w:rPr>
          <w:rFonts w:ascii="Arial" w:hAnsi="Arial"/>
          <w:color w:val="231F20"/>
          <w:w w:val="105"/>
          <w:sz w:val="18"/>
        </w:rPr>
        <w:t>salud,</w:t>
      </w:r>
      <w:r>
        <w:rPr>
          <w:rFonts w:ascii="Arial" w:hAnsi="Arial"/>
          <w:color w:val="231F20"/>
          <w:spacing w:val="-18"/>
          <w:w w:val="105"/>
          <w:sz w:val="18"/>
        </w:rPr>
        <w:t> </w:t>
      </w:r>
      <w:r>
        <w:rPr>
          <w:rFonts w:ascii="Arial" w:hAnsi="Arial"/>
          <w:color w:val="231F20"/>
          <w:w w:val="105"/>
          <w:sz w:val="18"/>
        </w:rPr>
        <w:t>según algunas</w:t>
      </w:r>
      <w:r>
        <w:rPr>
          <w:rFonts w:ascii="Arial" w:hAnsi="Arial"/>
          <w:color w:val="231F20"/>
          <w:spacing w:val="-22"/>
          <w:w w:val="105"/>
          <w:sz w:val="18"/>
        </w:rPr>
        <w:t> </w:t>
      </w:r>
      <w:r>
        <w:rPr>
          <w:rFonts w:ascii="Arial" w:hAnsi="Arial"/>
          <w:color w:val="231F20"/>
          <w:w w:val="105"/>
          <w:sz w:val="18"/>
        </w:rPr>
        <w:t>variables</w:t>
      </w:r>
      <w:r>
        <w:rPr>
          <w:rFonts w:ascii="Arial" w:hAnsi="Arial"/>
          <w:color w:val="231F20"/>
          <w:spacing w:val="-22"/>
          <w:w w:val="105"/>
          <w:sz w:val="18"/>
        </w:rPr>
        <w:t> </w:t>
      </w:r>
      <w:r>
        <w:rPr>
          <w:rFonts w:ascii="Arial" w:hAnsi="Arial"/>
          <w:color w:val="231F20"/>
          <w:w w:val="105"/>
          <w:sz w:val="18"/>
        </w:rPr>
        <w:t>sociodemográficas,</w:t>
      </w:r>
      <w:r>
        <w:rPr>
          <w:rFonts w:ascii="Arial" w:hAnsi="Arial"/>
          <w:color w:val="231F20"/>
          <w:spacing w:val="-26"/>
          <w:w w:val="105"/>
          <w:sz w:val="18"/>
        </w:rPr>
        <w:t> </w:t>
      </w:r>
      <w:r>
        <w:rPr>
          <w:rFonts w:ascii="Arial" w:hAnsi="Arial"/>
          <w:color w:val="231F20"/>
          <w:w w:val="105"/>
          <w:sz w:val="18"/>
        </w:rPr>
        <w:t>2013</w:t>
      </w:r>
    </w:p>
    <w:p>
      <w:pPr>
        <w:pStyle w:val="BodyText"/>
        <w:spacing w:before="9"/>
        <w:rPr>
          <w:rFonts w:ascii="Arial"/>
          <w:sz w:val="12"/>
        </w:rPr>
      </w:pPr>
    </w:p>
    <w:tbl>
      <w:tblPr>
        <w:tblW w:w="0" w:type="auto"/>
        <w:jc w:val="left"/>
        <w:tblInd w:w="1738"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271"/>
        <w:gridCol w:w="1473"/>
        <w:gridCol w:w="1020"/>
        <w:gridCol w:w="1020"/>
        <w:gridCol w:w="1020"/>
        <w:gridCol w:w="1077"/>
      </w:tblGrid>
      <w:tr>
        <w:trPr>
          <w:trHeight w:val="556" w:hRule="exact"/>
        </w:trPr>
        <w:tc>
          <w:tcPr>
            <w:tcW w:w="1271" w:type="dxa"/>
          </w:tcPr>
          <w:p>
            <w:pPr>
              <w:pStyle w:val="TableParagraph"/>
              <w:spacing w:before="1"/>
              <w:rPr>
                <w:rFonts w:ascii="Arial"/>
                <w:sz w:val="17"/>
              </w:rPr>
            </w:pPr>
          </w:p>
          <w:p>
            <w:pPr>
              <w:pStyle w:val="TableParagraph"/>
              <w:spacing w:before="0"/>
              <w:ind w:left="257"/>
              <w:rPr>
                <w:rFonts w:ascii="Arial"/>
                <w:sz w:val="18"/>
              </w:rPr>
            </w:pPr>
            <w:r>
              <w:rPr>
                <w:rFonts w:ascii="Arial"/>
                <w:color w:val="231F20"/>
                <w:w w:val="105"/>
                <w:sz w:val="18"/>
              </w:rPr>
              <w:t>Variables</w:t>
            </w:r>
          </w:p>
        </w:tc>
        <w:tc>
          <w:tcPr>
            <w:tcW w:w="1473" w:type="dxa"/>
          </w:tcPr>
          <w:p>
            <w:pPr>
              <w:pStyle w:val="TableParagraph"/>
              <w:spacing w:before="1"/>
              <w:rPr>
                <w:rFonts w:ascii="Arial"/>
                <w:sz w:val="17"/>
              </w:rPr>
            </w:pPr>
          </w:p>
          <w:p>
            <w:pPr>
              <w:pStyle w:val="TableParagraph"/>
              <w:spacing w:before="0"/>
              <w:ind w:left="290"/>
              <w:rPr>
                <w:rFonts w:ascii="Arial" w:hAnsi="Arial"/>
                <w:sz w:val="18"/>
              </w:rPr>
            </w:pPr>
            <w:r>
              <w:rPr>
                <w:rFonts w:ascii="Arial" w:hAnsi="Arial"/>
                <w:color w:val="231F20"/>
                <w:w w:val="105"/>
                <w:sz w:val="18"/>
              </w:rPr>
              <w:t>Categorías</w:t>
            </w:r>
          </w:p>
        </w:tc>
        <w:tc>
          <w:tcPr>
            <w:tcW w:w="1020" w:type="dxa"/>
          </w:tcPr>
          <w:p>
            <w:pPr>
              <w:pStyle w:val="TableParagraph"/>
              <w:spacing w:before="1"/>
              <w:rPr>
                <w:rFonts w:ascii="Arial"/>
                <w:sz w:val="17"/>
              </w:rPr>
            </w:pPr>
          </w:p>
          <w:p>
            <w:pPr>
              <w:pStyle w:val="TableParagraph"/>
              <w:spacing w:before="0"/>
              <w:ind w:right="123"/>
              <w:jc w:val="right"/>
              <w:rPr>
                <w:rFonts w:ascii="Arial"/>
                <w:i/>
                <w:sz w:val="18"/>
              </w:rPr>
            </w:pPr>
            <w:r>
              <w:rPr>
                <w:rFonts w:ascii="Arial"/>
                <w:i/>
                <w:color w:val="231F20"/>
                <w:w w:val="105"/>
                <w:sz w:val="18"/>
              </w:rPr>
              <w:t>Medicare</w:t>
            </w:r>
          </w:p>
        </w:tc>
        <w:tc>
          <w:tcPr>
            <w:tcW w:w="1020" w:type="dxa"/>
          </w:tcPr>
          <w:p>
            <w:pPr>
              <w:pStyle w:val="TableParagraph"/>
              <w:spacing w:before="1"/>
              <w:rPr>
                <w:rFonts w:ascii="Arial"/>
                <w:sz w:val="17"/>
              </w:rPr>
            </w:pPr>
          </w:p>
          <w:p>
            <w:pPr>
              <w:pStyle w:val="TableParagraph"/>
              <w:spacing w:before="0"/>
              <w:ind w:right="125"/>
              <w:jc w:val="right"/>
              <w:rPr>
                <w:rFonts w:ascii="Arial"/>
                <w:i/>
                <w:sz w:val="18"/>
              </w:rPr>
            </w:pPr>
            <w:r>
              <w:rPr>
                <w:rFonts w:ascii="Arial"/>
                <w:i/>
                <w:color w:val="231F20"/>
                <w:w w:val="105"/>
                <w:sz w:val="18"/>
              </w:rPr>
              <w:t>Medicaid</w:t>
            </w:r>
          </w:p>
        </w:tc>
        <w:tc>
          <w:tcPr>
            <w:tcW w:w="1020" w:type="dxa"/>
          </w:tcPr>
          <w:p>
            <w:pPr>
              <w:pStyle w:val="TableParagraph"/>
              <w:spacing w:line="249" w:lineRule="auto" w:before="88"/>
              <w:ind w:left="191" w:right="184" w:firstLine="20"/>
              <w:rPr>
                <w:rFonts w:ascii="Arial"/>
                <w:sz w:val="18"/>
              </w:rPr>
            </w:pPr>
            <w:r>
              <w:rPr>
                <w:rFonts w:ascii="Arial"/>
                <w:color w:val="231F20"/>
                <w:sz w:val="18"/>
              </w:rPr>
              <w:t>Seguro </w:t>
            </w:r>
            <w:r>
              <w:rPr>
                <w:rFonts w:ascii="Arial"/>
                <w:color w:val="231F20"/>
                <w:w w:val="105"/>
                <w:sz w:val="18"/>
              </w:rPr>
              <w:t>privado</w:t>
            </w:r>
          </w:p>
        </w:tc>
        <w:tc>
          <w:tcPr>
            <w:tcW w:w="1077" w:type="dxa"/>
          </w:tcPr>
          <w:p>
            <w:pPr>
              <w:pStyle w:val="TableParagraph"/>
              <w:spacing w:line="249" w:lineRule="auto" w:before="88"/>
              <w:ind w:left="94" w:firstLine="66"/>
              <w:rPr>
                <w:rFonts w:ascii="Arial"/>
                <w:sz w:val="18"/>
              </w:rPr>
            </w:pPr>
            <w:r>
              <w:rPr>
                <w:rFonts w:ascii="Arial"/>
                <w:color w:val="231F20"/>
                <w:w w:val="105"/>
                <w:sz w:val="18"/>
              </w:rPr>
              <w:t>Otro tipo de servicio</w:t>
            </w:r>
          </w:p>
        </w:tc>
      </w:tr>
      <w:tr>
        <w:trPr>
          <w:trHeight w:val="340" w:hRule="exact"/>
        </w:trPr>
        <w:tc>
          <w:tcPr>
            <w:tcW w:w="1271" w:type="dxa"/>
            <w:vMerge w:val="restart"/>
          </w:tcPr>
          <w:p>
            <w:pPr>
              <w:pStyle w:val="TableParagraph"/>
              <w:spacing w:before="0"/>
              <w:rPr>
                <w:rFonts w:ascii="Arial"/>
                <w:sz w:val="18"/>
              </w:rPr>
            </w:pPr>
          </w:p>
          <w:p>
            <w:pPr>
              <w:pStyle w:val="TableParagraph"/>
              <w:spacing w:before="3"/>
              <w:rPr>
                <w:rFonts w:ascii="Arial"/>
                <w:sz w:val="19"/>
              </w:rPr>
            </w:pPr>
          </w:p>
          <w:p>
            <w:pPr>
              <w:pStyle w:val="TableParagraph"/>
              <w:spacing w:before="0"/>
              <w:ind w:left="77"/>
              <w:rPr>
                <w:rFonts w:ascii="Arial"/>
                <w:sz w:val="18"/>
              </w:rPr>
            </w:pPr>
            <w:r>
              <w:rPr>
                <w:rFonts w:ascii="Arial"/>
                <w:color w:val="231F20"/>
                <w:sz w:val="18"/>
              </w:rPr>
              <w:t>Sexo</w:t>
            </w:r>
          </w:p>
        </w:tc>
        <w:tc>
          <w:tcPr>
            <w:tcW w:w="1473" w:type="dxa"/>
          </w:tcPr>
          <w:p>
            <w:pPr>
              <w:pStyle w:val="TableParagraph"/>
              <w:ind w:left="77"/>
              <w:rPr>
                <w:sz w:val="18"/>
              </w:rPr>
            </w:pPr>
            <w:r>
              <w:rPr>
                <w:color w:val="231F20"/>
                <w:w w:val="105"/>
                <w:sz w:val="18"/>
              </w:rPr>
              <w:t>Hombre</w:t>
            </w:r>
          </w:p>
        </w:tc>
        <w:tc>
          <w:tcPr>
            <w:tcW w:w="1020" w:type="dxa"/>
          </w:tcPr>
          <w:p>
            <w:pPr>
              <w:pStyle w:val="TableParagraph"/>
              <w:ind w:left="434"/>
              <w:rPr>
                <w:sz w:val="18"/>
              </w:rPr>
            </w:pPr>
            <w:r>
              <w:rPr>
                <w:color w:val="231F20"/>
                <w:w w:val="105"/>
                <w:sz w:val="18"/>
              </w:rPr>
              <w:t>76.2</w:t>
            </w:r>
          </w:p>
        </w:tc>
        <w:tc>
          <w:tcPr>
            <w:tcW w:w="1020" w:type="dxa"/>
          </w:tcPr>
          <w:p>
            <w:pPr>
              <w:pStyle w:val="TableParagraph"/>
              <w:ind w:left="433"/>
              <w:rPr>
                <w:sz w:val="18"/>
              </w:rPr>
            </w:pPr>
            <w:r>
              <w:rPr>
                <w:color w:val="231F20"/>
                <w:w w:val="105"/>
                <w:sz w:val="18"/>
              </w:rPr>
              <w:t>76.3</w:t>
            </w:r>
          </w:p>
        </w:tc>
        <w:tc>
          <w:tcPr>
            <w:tcW w:w="1020" w:type="dxa"/>
          </w:tcPr>
          <w:p>
            <w:pPr>
              <w:pStyle w:val="TableParagraph"/>
              <w:ind w:right="223"/>
              <w:jc w:val="right"/>
              <w:rPr>
                <w:sz w:val="18"/>
              </w:rPr>
            </w:pPr>
            <w:r>
              <w:rPr>
                <w:color w:val="231F20"/>
                <w:sz w:val="18"/>
              </w:rPr>
              <w:t>56.7</w:t>
            </w:r>
          </w:p>
        </w:tc>
        <w:tc>
          <w:tcPr>
            <w:tcW w:w="1077" w:type="dxa"/>
          </w:tcPr>
          <w:p>
            <w:pPr>
              <w:pStyle w:val="TableParagraph"/>
              <w:ind w:right="223"/>
              <w:jc w:val="right"/>
              <w:rPr>
                <w:sz w:val="18"/>
              </w:rPr>
            </w:pPr>
            <w:r>
              <w:rPr>
                <w:color w:val="231F20"/>
                <w:sz w:val="18"/>
              </w:rPr>
              <w:t>49.4</w:t>
            </w:r>
          </w:p>
        </w:tc>
      </w:tr>
      <w:tr>
        <w:trPr>
          <w:trHeight w:val="340" w:hRule="exact"/>
        </w:trPr>
        <w:tc>
          <w:tcPr>
            <w:tcW w:w="1271" w:type="dxa"/>
            <w:vMerge/>
          </w:tcPr>
          <w:p>
            <w:pPr/>
          </w:p>
        </w:tc>
        <w:tc>
          <w:tcPr>
            <w:tcW w:w="1473" w:type="dxa"/>
          </w:tcPr>
          <w:p>
            <w:pPr>
              <w:pStyle w:val="TableParagraph"/>
              <w:ind w:left="77"/>
              <w:rPr>
                <w:sz w:val="18"/>
              </w:rPr>
            </w:pPr>
            <w:r>
              <w:rPr>
                <w:color w:val="231F20"/>
                <w:w w:val="105"/>
                <w:sz w:val="18"/>
              </w:rPr>
              <w:t>Mujer</w:t>
            </w:r>
          </w:p>
        </w:tc>
        <w:tc>
          <w:tcPr>
            <w:tcW w:w="1020" w:type="dxa"/>
          </w:tcPr>
          <w:p>
            <w:pPr>
              <w:pStyle w:val="TableParagraph"/>
              <w:ind w:left="433"/>
              <w:rPr>
                <w:sz w:val="18"/>
              </w:rPr>
            </w:pPr>
            <w:r>
              <w:rPr>
                <w:color w:val="231F20"/>
                <w:w w:val="105"/>
                <w:sz w:val="18"/>
              </w:rPr>
              <w:t>23.8</w:t>
            </w:r>
          </w:p>
        </w:tc>
        <w:tc>
          <w:tcPr>
            <w:tcW w:w="1020" w:type="dxa"/>
          </w:tcPr>
          <w:p>
            <w:pPr>
              <w:pStyle w:val="TableParagraph"/>
              <w:ind w:left="433"/>
              <w:rPr>
                <w:sz w:val="18"/>
              </w:rPr>
            </w:pPr>
            <w:r>
              <w:rPr>
                <w:color w:val="231F20"/>
                <w:w w:val="105"/>
                <w:sz w:val="18"/>
              </w:rPr>
              <w:t>23.7</w:t>
            </w:r>
          </w:p>
        </w:tc>
        <w:tc>
          <w:tcPr>
            <w:tcW w:w="1020" w:type="dxa"/>
          </w:tcPr>
          <w:p>
            <w:pPr>
              <w:pStyle w:val="TableParagraph"/>
              <w:ind w:right="223"/>
              <w:jc w:val="right"/>
              <w:rPr>
                <w:sz w:val="18"/>
              </w:rPr>
            </w:pPr>
            <w:r>
              <w:rPr>
                <w:color w:val="231F20"/>
                <w:sz w:val="18"/>
              </w:rPr>
              <w:t>43.3</w:t>
            </w:r>
          </w:p>
        </w:tc>
        <w:tc>
          <w:tcPr>
            <w:tcW w:w="1077" w:type="dxa"/>
          </w:tcPr>
          <w:p>
            <w:pPr>
              <w:pStyle w:val="TableParagraph"/>
              <w:ind w:right="223"/>
              <w:jc w:val="right"/>
              <w:rPr>
                <w:sz w:val="18"/>
              </w:rPr>
            </w:pPr>
            <w:r>
              <w:rPr>
                <w:color w:val="231F20"/>
                <w:sz w:val="18"/>
              </w:rPr>
              <w:t>50.6</w:t>
            </w:r>
          </w:p>
        </w:tc>
      </w:tr>
      <w:tr>
        <w:trPr>
          <w:trHeight w:val="340" w:hRule="exact"/>
        </w:trPr>
        <w:tc>
          <w:tcPr>
            <w:tcW w:w="1271" w:type="dxa"/>
            <w:vMerge/>
          </w:tcPr>
          <w:p>
            <w:pPr/>
          </w:p>
        </w:tc>
        <w:tc>
          <w:tcPr>
            <w:tcW w:w="1473" w:type="dxa"/>
          </w:tcPr>
          <w:p>
            <w:pPr>
              <w:pStyle w:val="TableParagraph"/>
              <w:spacing w:before="88"/>
              <w:ind w:left="77"/>
              <w:rPr>
                <w:rFonts w:ascii="Arial"/>
                <w:sz w:val="18"/>
              </w:rPr>
            </w:pPr>
            <w:r>
              <w:rPr>
                <w:rFonts w:ascii="Arial"/>
                <w:color w:val="231F20"/>
                <w:w w:val="105"/>
                <w:sz w:val="18"/>
              </w:rPr>
              <w:t>Total</w:t>
            </w:r>
          </w:p>
        </w:tc>
        <w:tc>
          <w:tcPr>
            <w:tcW w:w="1020" w:type="dxa"/>
          </w:tcPr>
          <w:p>
            <w:pPr>
              <w:pStyle w:val="TableParagraph"/>
              <w:spacing w:before="88"/>
              <w:ind w:left="319"/>
              <w:rPr>
                <w:rFonts w:ascii="Arial"/>
                <w:sz w:val="18"/>
              </w:rPr>
            </w:pPr>
            <w:r>
              <w:rPr>
                <w:rFonts w:ascii="Arial"/>
                <w:color w:val="231F20"/>
                <w:w w:val="105"/>
                <w:sz w:val="18"/>
              </w:rPr>
              <w:t>100.0</w:t>
            </w:r>
          </w:p>
        </w:tc>
        <w:tc>
          <w:tcPr>
            <w:tcW w:w="1020" w:type="dxa"/>
          </w:tcPr>
          <w:p>
            <w:pPr>
              <w:pStyle w:val="TableParagraph"/>
              <w:spacing w:before="88"/>
              <w:ind w:left="319"/>
              <w:rPr>
                <w:rFonts w:ascii="Arial"/>
                <w:sz w:val="18"/>
              </w:rPr>
            </w:pPr>
            <w:r>
              <w:rPr>
                <w:rFonts w:ascii="Arial"/>
                <w:color w:val="231F20"/>
                <w:w w:val="105"/>
                <w:sz w:val="18"/>
              </w:rPr>
              <w:t>100.0</w:t>
            </w:r>
          </w:p>
        </w:tc>
        <w:tc>
          <w:tcPr>
            <w:tcW w:w="1020" w:type="dxa"/>
          </w:tcPr>
          <w:p>
            <w:pPr>
              <w:pStyle w:val="TableParagraph"/>
              <w:spacing w:before="88"/>
              <w:ind w:right="223"/>
              <w:jc w:val="right"/>
              <w:rPr>
                <w:rFonts w:ascii="Arial"/>
                <w:sz w:val="18"/>
              </w:rPr>
            </w:pPr>
            <w:r>
              <w:rPr>
                <w:rFonts w:ascii="Arial"/>
                <w:color w:val="231F20"/>
                <w:w w:val="105"/>
                <w:sz w:val="18"/>
              </w:rPr>
              <w:t>100.0</w:t>
            </w:r>
          </w:p>
        </w:tc>
        <w:tc>
          <w:tcPr>
            <w:tcW w:w="1077" w:type="dxa"/>
          </w:tcPr>
          <w:p>
            <w:pPr>
              <w:pStyle w:val="TableParagraph"/>
              <w:spacing w:before="88"/>
              <w:ind w:right="223"/>
              <w:jc w:val="right"/>
              <w:rPr>
                <w:rFonts w:ascii="Arial"/>
                <w:sz w:val="18"/>
              </w:rPr>
            </w:pPr>
            <w:r>
              <w:rPr>
                <w:rFonts w:ascii="Arial"/>
                <w:color w:val="231F20"/>
                <w:w w:val="105"/>
                <w:sz w:val="18"/>
              </w:rPr>
              <w:t>100.0</w:t>
            </w:r>
          </w:p>
        </w:tc>
      </w:tr>
      <w:tr>
        <w:trPr>
          <w:trHeight w:val="340" w:hRule="exact"/>
        </w:trPr>
        <w:tc>
          <w:tcPr>
            <w:tcW w:w="1271" w:type="dxa"/>
            <w:vMerge w:val="restart"/>
          </w:tcPr>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10"/>
              <w:rPr>
                <w:rFonts w:ascii="Arial"/>
                <w:sz w:val="16"/>
              </w:rPr>
            </w:pPr>
          </w:p>
          <w:p>
            <w:pPr>
              <w:pStyle w:val="TableParagraph"/>
              <w:spacing w:line="249" w:lineRule="auto" w:before="1"/>
              <w:ind w:left="77"/>
              <w:rPr>
                <w:rFonts w:ascii="Arial"/>
                <w:sz w:val="18"/>
              </w:rPr>
            </w:pPr>
            <w:r>
              <w:rPr>
                <w:rFonts w:ascii="Arial"/>
                <w:color w:val="231F20"/>
                <w:w w:val="105"/>
                <w:sz w:val="18"/>
              </w:rPr>
              <w:t>Grupos de edad</w:t>
            </w:r>
          </w:p>
        </w:tc>
        <w:tc>
          <w:tcPr>
            <w:tcW w:w="1473" w:type="dxa"/>
          </w:tcPr>
          <w:p>
            <w:pPr>
              <w:pStyle w:val="TableParagraph"/>
              <w:ind w:left="77"/>
              <w:rPr>
                <w:sz w:val="18"/>
              </w:rPr>
            </w:pPr>
            <w:r>
              <w:rPr>
                <w:color w:val="231F20"/>
                <w:w w:val="105"/>
                <w:sz w:val="18"/>
              </w:rPr>
              <w:t>15-19</w:t>
            </w:r>
          </w:p>
        </w:tc>
        <w:tc>
          <w:tcPr>
            <w:tcW w:w="1020" w:type="dxa"/>
          </w:tcPr>
          <w:p>
            <w:pPr>
              <w:pStyle w:val="TableParagraph"/>
              <w:ind w:right="223"/>
              <w:jc w:val="right"/>
              <w:rPr>
                <w:sz w:val="18"/>
              </w:rPr>
            </w:pPr>
            <w:r>
              <w:rPr>
                <w:color w:val="231F20"/>
                <w:sz w:val="18"/>
              </w:rPr>
              <w:t>0.0</w:t>
            </w:r>
          </w:p>
        </w:tc>
        <w:tc>
          <w:tcPr>
            <w:tcW w:w="1020" w:type="dxa"/>
          </w:tcPr>
          <w:p>
            <w:pPr>
              <w:pStyle w:val="TableParagraph"/>
              <w:ind w:right="223"/>
              <w:jc w:val="right"/>
              <w:rPr>
                <w:sz w:val="18"/>
              </w:rPr>
            </w:pPr>
            <w:r>
              <w:rPr>
                <w:color w:val="231F20"/>
                <w:sz w:val="18"/>
              </w:rPr>
              <w:t>0.0</w:t>
            </w:r>
          </w:p>
        </w:tc>
        <w:tc>
          <w:tcPr>
            <w:tcW w:w="1020" w:type="dxa"/>
          </w:tcPr>
          <w:p>
            <w:pPr>
              <w:pStyle w:val="TableParagraph"/>
              <w:ind w:right="223"/>
              <w:jc w:val="right"/>
              <w:rPr>
                <w:sz w:val="18"/>
              </w:rPr>
            </w:pPr>
            <w:r>
              <w:rPr>
                <w:color w:val="231F20"/>
                <w:sz w:val="18"/>
              </w:rPr>
              <w:t>0.3</w:t>
            </w:r>
          </w:p>
        </w:tc>
        <w:tc>
          <w:tcPr>
            <w:tcW w:w="1077" w:type="dxa"/>
          </w:tcPr>
          <w:p>
            <w:pPr>
              <w:pStyle w:val="TableParagraph"/>
              <w:ind w:right="223"/>
              <w:jc w:val="right"/>
              <w:rPr>
                <w:sz w:val="18"/>
              </w:rPr>
            </w:pPr>
            <w:r>
              <w:rPr>
                <w:color w:val="231F20"/>
                <w:sz w:val="18"/>
              </w:rPr>
              <w:t>16.7</w:t>
            </w:r>
          </w:p>
        </w:tc>
      </w:tr>
      <w:tr>
        <w:trPr>
          <w:trHeight w:val="340" w:hRule="exact"/>
        </w:trPr>
        <w:tc>
          <w:tcPr>
            <w:tcW w:w="1271" w:type="dxa"/>
            <w:vMerge/>
          </w:tcPr>
          <w:p>
            <w:pPr/>
          </w:p>
        </w:tc>
        <w:tc>
          <w:tcPr>
            <w:tcW w:w="1473" w:type="dxa"/>
          </w:tcPr>
          <w:p>
            <w:pPr>
              <w:pStyle w:val="TableParagraph"/>
              <w:ind w:left="76"/>
              <w:rPr>
                <w:sz w:val="18"/>
              </w:rPr>
            </w:pPr>
            <w:r>
              <w:rPr>
                <w:color w:val="231F20"/>
                <w:w w:val="105"/>
                <w:sz w:val="18"/>
              </w:rPr>
              <w:t>20-24</w:t>
            </w:r>
          </w:p>
        </w:tc>
        <w:tc>
          <w:tcPr>
            <w:tcW w:w="1020" w:type="dxa"/>
          </w:tcPr>
          <w:p>
            <w:pPr>
              <w:pStyle w:val="TableParagraph"/>
              <w:ind w:right="223"/>
              <w:jc w:val="right"/>
              <w:rPr>
                <w:sz w:val="18"/>
              </w:rPr>
            </w:pPr>
            <w:r>
              <w:rPr>
                <w:color w:val="231F20"/>
                <w:sz w:val="18"/>
              </w:rPr>
              <w:t>0.0</w:t>
            </w:r>
          </w:p>
        </w:tc>
        <w:tc>
          <w:tcPr>
            <w:tcW w:w="1020" w:type="dxa"/>
          </w:tcPr>
          <w:p>
            <w:pPr>
              <w:pStyle w:val="TableParagraph"/>
              <w:ind w:right="223"/>
              <w:jc w:val="right"/>
              <w:rPr>
                <w:sz w:val="18"/>
              </w:rPr>
            </w:pPr>
            <w:r>
              <w:rPr>
                <w:color w:val="231F20"/>
                <w:sz w:val="18"/>
              </w:rPr>
              <w:t>0.0</w:t>
            </w:r>
          </w:p>
        </w:tc>
        <w:tc>
          <w:tcPr>
            <w:tcW w:w="1020" w:type="dxa"/>
          </w:tcPr>
          <w:p>
            <w:pPr>
              <w:pStyle w:val="TableParagraph"/>
              <w:ind w:right="223"/>
              <w:jc w:val="right"/>
              <w:rPr>
                <w:sz w:val="18"/>
              </w:rPr>
            </w:pPr>
            <w:r>
              <w:rPr>
                <w:color w:val="231F20"/>
                <w:sz w:val="18"/>
              </w:rPr>
              <w:t>2.5</w:t>
            </w:r>
          </w:p>
        </w:tc>
        <w:tc>
          <w:tcPr>
            <w:tcW w:w="1077" w:type="dxa"/>
          </w:tcPr>
          <w:p>
            <w:pPr>
              <w:pStyle w:val="TableParagraph"/>
              <w:ind w:right="223"/>
              <w:jc w:val="right"/>
              <w:rPr>
                <w:sz w:val="18"/>
              </w:rPr>
            </w:pPr>
            <w:r>
              <w:rPr>
                <w:color w:val="231F20"/>
                <w:sz w:val="18"/>
              </w:rPr>
              <w:t>1.3</w:t>
            </w:r>
          </w:p>
        </w:tc>
      </w:tr>
      <w:tr>
        <w:trPr>
          <w:trHeight w:val="340" w:hRule="exact"/>
        </w:trPr>
        <w:tc>
          <w:tcPr>
            <w:tcW w:w="1271" w:type="dxa"/>
            <w:vMerge/>
          </w:tcPr>
          <w:p>
            <w:pPr/>
          </w:p>
        </w:tc>
        <w:tc>
          <w:tcPr>
            <w:tcW w:w="1473" w:type="dxa"/>
          </w:tcPr>
          <w:p>
            <w:pPr>
              <w:pStyle w:val="TableParagraph"/>
              <w:ind w:left="76"/>
              <w:rPr>
                <w:sz w:val="18"/>
              </w:rPr>
            </w:pPr>
            <w:r>
              <w:rPr>
                <w:color w:val="231F20"/>
                <w:w w:val="105"/>
                <w:sz w:val="18"/>
              </w:rPr>
              <w:t>25-29</w:t>
            </w:r>
          </w:p>
        </w:tc>
        <w:tc>
          <w:tcPr>
            <w:tcW w:w="1020" w:type="dxa"/>
          </w:tcPr>
          <w:p>
            <w:pPr>
              <w:pStyle w:val="TableParagraph"/>
              <w:ind w:right="223"/>
              <w:jc w:val="right"/>
              <w:rPr>
                <w:sz w:val="18"/>
              </w:rPr>
            </w:pPr>
            <w:r>
              <w:rPr>
                <w:color w:val="231F20"/>
                <w:sz w:val="18"/>
              </w:rPr>
              <w:t>2.1</w:t>
            </w:r>
          </w:p>
        </w:tc>
        <w:tc>
          <w:tcPr>
            <w:tcW w:w="1020" w:type="dxa"/>
          </w:tcPr>
          <w:p>
            <w:pPr>
              <w:pStyle w:val="TableParagraph"/>
              <w:ind w:right="224"/>
              <w:jc w:val="right"/>
              <w:rPr>
                <w:sz w:val="18"/>
              </w:rPr>
            </w:pPr>
            <w:r>
              <w:rPr>
                <w:color w:val="231F20"/>
                <w:sz w:val="18"/>
              </w:rPr>
              <w:t>0.0</w:t>
            </w:r>
          </w:p>
        </w:tc>
        <w:tc>
          <w:tcPr>
            <w:tcW w:w="1020" w:type="dxa"/>
          </w:tcPr>
          <w:p>
            <w:pPr>
              <w:pStyle w:val="TableParagraph"/>
              <w:ind w:right="224"/>
              <w:jc w:val="right"/>
              <w:rPr>
                <w:sz w:val="18"/>
              </w:rPr>
            </w:pPr>
            <w:r>
              <w:rPr>
                <w:color w:val="231F20"/>
                <w:sz w:val="18"/>
              </w:rPr>
              <w:t>5.2</w:t>
            </w:r>
          </w:p>
        </w:tc>
        <w:tc>
          <w:tcPr>
            <w:tcW w:w="1077" w:type="dxa"/>
          </w:tcPr>
          <w:p>
            <w:pPr>
              <w:pStyle w:val="TableParagraph"/>
              <w:ind w:right="224"/>
              <w:jc w:val="right"/>
              <w:rPr>
                <w:sz w:val="18"/>
              </w:rPr>
            </w:pPr>
            <w:r>
              <w:rPr>
                <w:color w:val="231F20"/>
                <w:sz w:val="18"/>
              </w:rPr>
              <w:t>30.3</w:t>
            </w:r>
          </w:p>
        </w:tc>
      </w:tr>
      <w:tr>
        <w:trPr>
          <w:trHeight w:val="340" w:hRule="exact"/>
        </w:trPr>
        <w:tc>
          <w:tcPr>
            <w:tcW w:w="1271" w:type="dxa"/>
            <w:vMerge/>
          </w:tcPr>
          <w:p>
            <w:pPr/>
          </w:p>
        </w:tc>
        <w:tc>
          <w:tcPr>
            <w:tcW w:w="1473" w:type="dxa"/>
          </w:tcPr>
          <w:p>
            <w:pPr>
              <w:pStyle w:val="TableParagraph"/>
              <w:ind w:left="76"/>
              <w:rPr>
                <w:sz w:val="18"/>
              </w:rPr>
            </w:pPr>
            <w:r>
              <w:rPr>
                <w:color w:val="231F20"/>
                <w:w w:val="105"/>
                <w:sz w:val="18"/>
              </w:rPr>
              <w:t>30-34</w:t>
            </w:r>
          </w:p>
        </w:tc>
        <w:tc>
          <w:tcPr>
            <w:tcW w:w="1020" w:type="dxa"/>
          </w:tcPr>
          <w:p>
            <w:pPr>
              <w:pStyle w:val="TableParagraph"/>
              <w:ind w:left="432"/>
              <w:rPr>
                <w:sz w:val="18"/>
              </w:rPr>
            </w:pPr>
            <w:r>
              <w:rPr>
                <w:color w:val="231F20"/>
                <w:w w:val="105"/>
                <w:sz w:val="18"/>
              </w:rPr>
              <w:t>38.4</w:t>
            </w:r>
          </w:p>
        </w:tc>
        <w:tc>
          <w:tcPr>
            <w:tcW w:w="1020" w:type="dxa"/>
          </w:tcPr>
          <w:p>
            <w:pPr>
              <w:pStyle w:val="TableParagraph"/>
              <w:ind w:left="432"/>
              <w:rPr>
                <w:sz w:val="18"/>
              </w:rPr>
            </w:pPr>
            <w:r>
              <w:rPr>
                <w:color w:val="231F20"/>
                <w:w w:val="105"/>
                <w:sz w:val="18"/>
              </w:rPr>
              <w:t>22.2</w:t>
            </w:r>
          </w:p>
        </w:tc>
        <w:tc>
          <w:tcPr>
            <w:tcW w:w="1020" w:type="dxa"/>
          </w:tcPr>
          <w:p>
            <w:pPr>
              <w:pStyle w:val="TableParagraph"/>
              <w:ind w:right="224"/>
              <w:jc w:val="right"/>
              <w:rPr>
                <w:sz w:val="18"/>
              </w:rPr>
            </w:pPr>
            <w:r>
              <w:rPr>
                <w:color w:val="231F20"/>
                <w:sz w:val="18"/>
              </w:rPr>
              <w:t>10.6</w:t>
            </w:r>
          </w:p>
        </w:tc>
        <w:tc>
          <w:tcPr>
            <w:tcW w:w="1077" w:type="dxa"/>
          </w:tcPr>
          <w:p>
            <w:pPr>
              <w:pStyle w:val="TableParagraph"/>
              <w:ind w:right="224"/>
              <w:jc w:val="right"/>
              <w:rPr>
                <w:sz w:val="18"/>
              </w:rPr>
            </w:pPr>
            <w:r>
              <w:rPr>
                <w:color w:val="231F20"/>
                <w:sz w:val="18"/>
              </w:rPr>
              <w:t>0.5</w:t>
            </w:r>
          </w:p>
        </w:tc>
      </w:tr>
      <w:tr>
        <w:trPr>
          <w:trHeight w:val="340" w:hRule="exact"/>
        </w:trPr>
        <w:tc>
          <w:tcPr>
            <w:tcW w:w="1271" w:type="dxa"/>
            <w:vMerge/>
          </w:tcPr>
          <w:p>
            <w:pPr/>
          </w:p>
        </w:tc>
        <w:tc>
          <w:tcPr>
            <w:tcW w:w="1473" w:type="dxa"/>
          </w:tcPr>
          <w:p>
            <w:pPr>
              <w:pStyle w:val="TableParagraph"/>
              <w:ind w:left="76"/>
              <w:rPr>
                <w:sz w:val="18"/>
              </w:rPr>
            </w:pPr>
            <w:r>
              <w:rPr>
                <w:color w:val="231F20"/>
                <w:w w:val="105"/>
                <w:sz w:val="18"/>
              </w:rPr>
              <w:t>35-39</w:t>
            </w:r>
          </w:p>
        </w:tc>
        <w:tc>
          <w:tcPr>
            <w:tcW w:w="1020" w:type="dxa"/>
          </w:tcPr>
          <w:p>
            <w:pPr>
              <w:pStyle w:val="TableParagraph"/>
              <w:ind w:right="224"/>
              <w:jc w:val="right"/>
              <w:rPr>
                <w:sz w:val="18"/>
              </w:rPr>
            </w:pPr>
            <w:r>
              <w:rPr>
                <w:color w:val="231F20"/>
                <w:sz w:val="18"/>
              </w:rPr>
              <w:t>6.4</w:t>
            </w:r>
          </w:p>
        </w:tc>
        <w:tc>
          <w:tcPr>
            <w:tcW w:w="1020" w:type="dxa"/>
          </w:tcPr>
          <w:p>
            <w:pPr>
              <w:pStyle w:val="TableParagraph"/>
              <w:ind w:right="224"/>
              <w:jc w:val="right"/>
              <w:rPr>
                <w:sz w:val="18"/>
              </w:rPr>
            </w:pPr>
            <w:r>
              <w:rPr>
                <w:color w:val="231F20"/>
                <w:sz w:val="18"/>
              </w:rPr>
              <w:t>9.0</w:t>
            </w:r>
          </w:p>
        </w:tc>
        <w:tc>
          <w:tcPr>
            <w:tcW w:w="1020" w:type="dxa"/>
          </w:tcPr>
          <w:p>
            <w:pPr>
              <w:pStyle w:val="TableParagraph"/>
              <w:ind w:right="224"/>
              <w:jc w:val="right"/>
              <w:rPr>
                <w:sz w:val="18"/>
              </w:rPr>
            </w:pPr>
            <w:r>
              <w:rPr>
                <w:color w:val="231F20"/>
                <w:sz w:val="18"/>
              </w:rPr>
              <w:t>14.7</w:t>
            </w:r>
          </w:p>
        </w:tc>
        <w:tc>
          <w:tcPr>
            <w:tcW w:w="1077" w:type="dxa"/>
          </w:tcPr>
          <w:p>
            <w:pPr>
              <w:pStyle w:val="TableParagraph"/>
              <w:ind w:right="224"/>
              <w:jc w:val="right"/>
              <w:rPr>
                <w:sz w:val="18"/>
              </w:rPr>
            </w:pPr>
            <w:r>
              <w:rPr>
                <w:color w:val="231F20"/>
                <w:sz w:val="18"/>
              </w:rPr>
              <w:t>0.0</w:t>
            </w:r>
          </w:p>
        </w:tc>
      </w:tr>
      <w:tr>
        <w:trPr>
          <w:trHeight w:val="340" w:hRule="exact"/>
        </w:trPr>
        <w:tc>
          <w:tcPr>
            <w:tcW w:w="1271" w:type="dxa"/>
            <w:vMerge/>
          </w:tcPr>
          <w:p>
            <w:pPr/>
          </w:p>
        </w:tc>
        <w:tc>
          <w:tcPr>
            <w:tcW w:w="1473" w:type="dxa"/>
          </w:tcPr>
          <w:p>
            <w:pPr>
              <w:pStyle w:val="TableParagraph"/>
              <w:ind w:left="76"/>
              <w:rPr>
                <w:sz w:val="18"/>
              </w:rPr>
            </w:pPr>
            <w:r>
              <w:rPr>
                <w:color w:val="231F20"/>
                <w:w w:val="105"/>
                <w:sz w:val="18"/>
              </w:rPr>
              <w:t>40-44</w:t>
            </w:r>
          </w:p>
        </w:tc>
        <w:tc>
          <w:tcPr>
            <w:tcW w:w="1020" w:type="dxa"/>
          </w:tcPr>
          <w:p>
            <w:pPr>
              <w:pStyle w:val="TableParagraph"/>
              <w:ind w:left="432"/>
              <w:rPr>
                <w:sz w:val="18"/>
              </w:rPr>
            </w:pPr>
            <w:r>
              <w:rPr>
                <w:color w:val="231F20"/>
                <w:w w:val="105"/>
                <w:sz w:val="18"/>
              </w:rPr>
              <w:t>10.9</w:t>
            </w:r>
          </w:p>
        </w:tc>
        <w:tc>
          <w:tcPr>
            <w:tcW w:w="1020" w:type="dxa"/>
          </w:tcPr>
          <w:p>
            <w:pPr>
              <w:pStyle w:val="TableParagraph"/>
              <w:ind w:left="432"/>
              <w:rPr>
                <w:sz w:val="18"/>
              </w:rPr>
            </w:pPr>
            <w:r>
              <w:rPr>
                <w:color w:val="231F20"/>
                <w:w w:val="105"/>
                <w:sz w:val="18"/>
              </w:rPr>
              <w:t>11.9</w:t>
            </w:r>
          </w:p>
        </w:tc>
        <w:tc>
          <w:tcPr>
            <w:tcW w:w="1020" w:type="dxa"/>
          </w:tcPr>
          <w:p>
            <w:pPr>
              <w:pStyle w:val="TableParagraph"/>
              <w:ind w:right="224"/>
              <w:jc w:val="right"/>
              <w:rPr>
                <w:sz w:val="18"/>
              </w:rPr>
            </w:pPr>
            <w:r>
              <w:rPr>
                <w:color w:val="231F20"/>
                <w:sz w:val="18"/>
              </w:rPr>
              <w:t>14.4</w:t>
            </w:r>
          </w:p>
        </w:tc>
        <w:tc>
          <w:tcPr>
            <w:tcW w:w="1077" w:type="dxa"/>
          </w:tcPr>
          <w:p>
            <w:pPr>
              <w:pStyle w:val="TableParagraph"/>
              <w:ind w:right="224"/>
              <w:jc w:val="right"/>
              <w:rPr>
                <w:sz w:val="18"/>
              </w:rPr>
            </w:pPr>
            <w:r>
              <w:rPr>
                <w:color w:val="231F20"/>
                <w:sz w:val="18"/>
              </w:rPr>
              <w:t>10.8</w:t>
            </w:r>
          </w:p>
        </w:tc>
      </w:tr>
      <w:tr>
        <w:trPr>
          <w:trHeight w:val="340" w:hRule="exact"/>
        </w:trPr>
        <w:tc>
          <w:tcPr>
            <w:tcW w:w="1271" w:type="dxa"/>
            <w:vMerge/>
          </w:tcPr>
          <w:p>
            <w:pPr/>
          </w:p>
        </w:tc>
        <w:tc>
          <w:tcPr>
            <w:tcW w:w="1473" w:type="dxa"/>
          </w:tcPr>
          <w:p>
            <w:pPr>
              <w:pStyle w:val="TableParagraph"/>
              <w:ind w:left="76"/>
              <w:rPr>
                <w:sz w:val="18"/>
              </w:rPr>
            </w:pPr>
            <w:r>
              <w:rPr>
                <w:color w:val="231F20"/>
                <w:w w:val="105"/>
                <w:sz w:val="18"/>
              </w:rPr>
              <w:t>45-49</w:t>
            </w:r>
          </w:p>
        </w:tc>
        <w:tc>
          <w:tcPr>
            <w:tcW w:w="1020" w:type="dxa"/>
          </w:tcPr>
          <w:p>
            <w:pPr>
              <w:pStyle w:val="TableParagraph"/>
              <w:ind w:left="432"/>
              <w:rPr>
                <w:sz w:val="18"/>
              </w:rPr>
            </w:pPr>
            <w:r>
              <w:rPr>
                <w:color w:val="231F20"/>
                <w:w w:val="105"/>
                <w:sz w:val="18"/>
              </w:rPr>
              <w:t>22.4</w:t>
            </w:r>
          </w:p>
        </w:tc>
        <w:tc>
          <w:tcPr>
            <w:tcW w:w="1020" w:type="dxa"/>
          </w:tcPr>
          <w:p>
            <w:pPr>
              <w:pStyle w:val="TableParagraph"/>
              <w:ind w:left="432"/>
              <w:rPr>
                <w:sz w:val="18"/>
              </w:rPr>
            </w:pPr>
            <w:r>
              <w:rPr>
                <w:color w:val="231F20"/>
                <w:w w:val="105"/>
                <w:sz w:val="18"/>
              </w:rPr>
              <w:t>23.5</w:t>
            </w:r>
          </w:p>
        </w:tc>
        <w:tc>
          <w:tcPr>
            <w:tcW w:w="1020" w:type="dxa"/>
          </w:tcPr>
          <w:p>
            <w:pPr>
              <w:pStyle w:val="TableParagraph"/>
              <w:ind w:right="224"/>
              <w:jc w:val="right"/>
              <w:rPr>
                <w:sz w:val="18"/>
              </w:rPr>
            </w:pPr>
            <w:r>
              <w:rPr>
                <w:color w:val="231F20"/>
                <w:sz w:val="18"/>
              </w:rPr>
              <w:t>20.1</w:t>
            </w:r>
          </w:p>
        </w:tc>
        <w:tc>
          <w:tcPr>
            <w:tcW w:w="1077" w:type="dxa"/>
          </w:tcPr>
          <w:p>
            <w:pPr>
              <w:pStyle w:val="TableParagraph"/>
              <w:ind w:right="224"/>
              <w:jc w:val="right"/>
              <w:rPr>
                <w:sz w:val="18"/>
              </w:rPr>
            </w:pPr>
            <w:r>
              <w:rPr>
                <w:color w:val="231F20"/>
                <w:sz w:val="18"/>
              </w:rPr>
              <w:t>5.3</w:t>
            </w:r>
          </w:p>
        </w:tc>
      </w:tr>
      <w:tr>
        <w:trPr>
          <w:trHeight w:val="340" w:hRule="exact"/>
        </w:trPr>
        <w:tc>
          <w:tcPr>
            <w:tcW w:w="1271" w:type="dxa"/>
            <w:vMerge/>
          </w:tcPr>
          <w:p>
            <w:pPr/>
          </w:p>
        </w:tc>
        <w:tc>
          <w:tcPr>
            <w:tcW w:w="1473" w:type="dxa"/>
          </w:tcPr>
          <w:p>
            <w:pPr>
              <w:pStyle w:val="TableParagraph"/>
              <w:ind w:left="75"/>
              <w:rPr>
                <w:sz w:val="18"/>
              </w:rPr>
            </w:pPr>
            <w:r>
              <w:rPr>
                <w:color w:val="231F20"/>
                <w:w w:val="105"/>
                <w:sz w:val="18"/>
              </w:rPr>
              <w:t>50-54</w:t>
            </w:r>
          </w:p>
        </w:tc>
        <w:tc>
          <w:tcPr>
            <w:tcW w:w="1020" w:type="dxa"/>
          </w:tcPr>
          <w:p>
            <w:pPr>
              <w:pStyle w:val="TableParagraph"/>
              <w:ind w:right="224"/>
              <w:jc w:val="right"/>
              <w:rPr>
                <w:sz w:val="18"/>
              </w:rPr>
            </w:pPr>
            <w:r>
              <w:rPr>
                <w:color w:val="231F20"/>
                <w:sz w:val="18"/>
              </w:rPr>
              <w:t>0.2</w:t>
            </w:r>
          </w:p>
        </w:tc>
        <w:tc>
          <w:tcPr>
            <w:tcW w:w="1020" w:type="dxa"/>
          </w:tcPr>
          <w:p>
            <w:pPr>
              <w:pStyle w:val="TableParagraph"/>
              <w:ind w:left="432"/>
              <w:rPr>
                <w:sz w:val="18"/>
              </w:rPr>
            </w:pPr>
            <w:r>
              <w:rPr>
                <w:color w:val="231F20"/>
                <w:w w:val="105"/>
                <w:sz w:val="18"/>
              </w:rPr>
              <w:t>30.3</w:t>
            </w:r>
          </w:p>
        </w:tc>
        <w:tc>
          <w:tcPr>
            <w:tcW w:w="1020" w:type="dxa"/>
          </w:tcPr>
          <w:p>
            <w:pPr>
              <w:pStyle w:val="TableParagraph"/>
              <w:ind w:right="224"/>
              <w:jc w:val="right"/>
              <w:rPr>
                <w:sz w:val="18"/>
              </w:rPr>
            </w:pPr>
            <w:r>
              <w:rPr>
                <w:color w:val="231F20"/>
                <w:sz w:val="18"/>
              </w:rPr>
              <w:t>13.1</w:t>
            </w:r>
          </w:p>
        </w:tc>
        <w:tc>
          <w:tcPr>
            <w:tcW w:w="1077" w:type="dxa"/>
          </w:tcPr>
          <w:p>
            <w:pPr>
              <w:pStyle w:val="TableParagraph"/>
              <w:ind w:right="226"/>
              <w:jc w:val="right"/>
              <w:rPr>
                <w:sz w:val="18"/>
              </w:rPr>
            </w:pPr>
            <w:r>
              <w:rPr>
                <w:color w:val="231F20"/>
                <w:sz w:val="18"/>
              </w:rPr>
              <w:t>5.6</w:t>
            </w:r>
          </w:p>
        </w:tc>
      </w:tr>
      <w:tr>
        <w:trPr>
          <w:trHeight w:val="340" w:hRule="exact"/>
        </w:trPr>
        <w:tc>
          <w:tcPr>
            <w:tcW w:w="1271" w:type="dxa"/>
            <w:vMerge/>
          </w:tcPr>
          <w:p>
            <w:pPr/>
          </w:p>
        </w:tc>
        <w:tc>
          <w:tcPr>
            <w:tcW w:w="1473" w:type="dxa"/>
          </w:tcPr>
          <w:p>
            <w:pPr>
              <w:pStyle w:val="TableParagraph"/>
              <w:spacing w:before="92"/>
              <w:ind w:left="75"/>
              <w:rPr>
                <w:sz w:val="18"/>
              </w:rPr>
            </w:pPr>
            <w:r>
              <w:rPr>
                <w:color w:val="231F20"/>
                <w:w w:val="105"/>
                <w:sz w:val="18"/>
              </w:rPr>
              <w:t>55-59</w:t>
            </w:r>
          </w:p>
        </w:tc>
        <w:tc>
          <w:tcPr>
            <w:tcW w:w="1020" w:type="dxa"/>
          </w:tcPr>
          <w:p>
            <w:pPr>
              <w:pStyle w:val="TableParagraph"/>
              <w:spacing w:before="92"/>
              <w:ind w:right="225"/>
              <w:jc w:val="right"/>
              <w:rPr>
                <w:sz w:val="18"/>
              </w:rPr>
            </w:pPr>
            <w:r>
              <w:rPr>
                <w:color w:val="231F20"/>
                <w:sz w:val="18"/>
              </w:rPr>
              <w:t>7.0</w:t>
            </w:r>
          </w:p>
        </w:tc>
        <w:tc>
          <w:tcPr>
            <w:tcW w:w="1020" w:type="dxa"/>
          </w:tcPr>
          <w:p>
            <w:pPr>
              <w:pStyle w:val="TableParagraph"/>
              <w:spacing w:before="92"/>
              <w:ind w:right="225"/>
              <w:jc w:val="right"/>
              <w:rPr>
                <w:sz w:val="18"/>
              </w:rPr>
            </w:pPr>
            <w:r>
              <w:rPr>
                <w:color w:val="231F20"/>
                <w:sz w:val="18"/>
              </w:rPr>
              <w:t>3.1</w:t>
            </w:r>
          </w:p>
        </w:tc>
        <w:tc>
          <w:tcPr>
            <w:tcW w:w="1020" w:type="dxa"/>
          </w:tcPr>
          <w:p>
            <w:pPr>
              <w:pStyle w:val="TableParagraph"/>
              <w:spacing w:before="92"/>
              <w:ind w:right="225"/>
              <w:jc w:val="right"/>
              <w:rPr>
                <w:sz w:val="18"/>
              </w:rPr>
            </w:pPr>
            <w:r>
              <w:rPr>
                <w:color w:val="231F20"/>
                <w:sz w:val="18"/>
              </w:rPr>
              <w:t>8.5</w:t>
            </w:r>
          </w:p>
        </w:tc>
        <w:tc>
          <w:tcPr>
            <w:tcW w:w="1077" w:type="dxa"/>
          </w:tcPr>
          <w:p>
            <w:pPr>
              <w:pStyle w:val="TableParagraph"/>
              <w:spacing w:before="92"/>
              <w:ind w:right="225"/>
              <w:jc w:val="right"/>
              <w:rPr>
                <w:sz w:val="18"/>
              </w:rPr>
            </w:pPr>
            <w:r>
              <w:rPr>
                <w:color w:val="231F20"/>
                <w:sz w:val="18"/>
              </w:rPr>
              <w:t>19.0</w:t>
            </w:r>
          </w:p>
        </w:tc>
      </w:tr>
      <w:tr>
        <w:trPr>
          <w:trHeight w:val="340" w:hRule="exact"/>
        </w:trPr>
        <w:tc>
          <w:tcPr>
            <w:tcW w:w="1271" w:type="dxa"/>
            <w:vMerge/>
          </w:tcPr>
          <w:p>
            <w:pPr/>
          </w:p>
        </w:tc>
        <w:tc>
          <w:tcPr>
            <w:tcW w:w="1473" w:type="dxa"/>
          </w:tcPr>
          <w:p>
            <w:pPr>
              <w:pStyle w:val="TableParagraph"/>
              <w:spacing w:before="92"/>
              <w:ind w:left="75"/>
              <w:rPr>
                <w:sz w:val="18"/>
              </w:rPr>
            </w:pPr>
            <w:r>
              <w:rPr>
                <w:color w:val="231F20"/>
                <w:w w:val="105"/>
                <w:sz w:val="18"/>
              </w:rPr>
              <w:t>60-64</w:t>
            </w:r>
          </w:p>
        </w:tc>
        <w:tc>
          <w:tcPr>
            <w:tcW w:w="1020" w:type="dxa"/>
          </w:tcPr>
          <w:p>
            <w:pPr>
              <w:pStyle w:val="TableParagraph"/>
              <w:spacing w:before="92"/>
              <w:ind w:right="225"/>
              <w:jc w:val="right"/>
              <w:rPr>
                <w:sz w:val="18"/>
              </w:rPr>
            </w:pPr>
            <w:r>
              <w:rPr>
                <w:color w:val="231F20"/>
                <w:sz w:val="18"/>
              </w:rPr>
              <w:t>6.6</w:t>
            </w:r>
          </w:p>
        </w:tc>
        <w:tc>
          <w:tcPr>
            <w:tcW w:w="1020" w:type="dxa"/>
          </w:tcPr>
          <w:p>
            <w:pPr>
              <w:pStyle w:val="TableParagraph"/>
              <w:spacing w:before="92"/>
              <w:ind w:right="225"/>
              <w:jc w:val="right"/>
              <w:rPr>
                <w:sz w:val="18"/>
              </w:rPr>
            </w:pPr>
            <w:r>
              <w:rPr>
                <w:color w:val="231F20"/>
                <w:sz w:val="18"/>
              </w:rPr>
              <w:t>0.0</w:t>
            </w:r>
          </w:p>
        </w:tc>
        <w:tc>
          <w:tcPr>
            <w:tcW w:w="1020" w:type="dxa"/>
          </w:tcPr>
          <w:p>
            <w:pPr>
              <w:pStyle w:val="TableParagraph"/>
              <w:spacing w:before="92"/>
              <w:ind w:right="225"/>
              <w:jc w:val="right"/>
              <w:rPr>
                <w:sz w:val="18"/>
              </w:rPr>
            </w:pPr>
            <w:r>
              <w:rPr>
                <w:color w:val="231F20"/>
                <w:sz w:val="18"/>
              </w:rPr>
              <w:t>7.9</w:t>
            </w:r>
          </w:p>
        </w:tc>
        <w:tc>
          <w:tcPr>
            <w:tcW w:w="1077" w:type="dxa"/>
          </w:tcPr>
          <w:p>
            <w:pPr>
              <w:pStyle w:val="TableParagraph"/>
              <w:spacing w:before="92"/>
              <w:ind w:right="225"/>
              <w:jc w:val="right"/>
              <w:rPr>
                <w:sz w:val="18"/>
              </w:rPr>
            </w:pPr>
            <w:r>
              <w:rPr>
                <w:color w:val="231F20"/>
                <w:sz w:val="18"/>
              </w:rPr>
              <w:t>4.8</w:t>
            </w:r>
          </w:p>
        </w:tc>
      </w:tr>
      <w:tr>
        <w:trPr>
          <w:trHeight w:val="340" w:hRule="exact"/>
        </w:trPr>
        <w:tc>
          <w:tcPr>
            <w:tcW w:w="1271" w:type="dxa"/>
            <w:vMerge/>
          </w:tcPr>
          <w:p>
            <w:pPr/>
          </w:p>
        </w:tc>
        <w:tc>
          <w:tcPr>
            <w:tcW w:w="1473" w:type="dxa"/>
          </w:tcPr>
          <w:p>
            <w:pPr>
              <w:pStyle w:val="TableParagraph"/>
              <w:spacing w:before="92"/>
              <w:ind w:left="75"/>
              <w:rPr>
                <w:sz w:val="18"/>
              </w:rPr>
            </w:pPr>
            <w:r>
              <w:rPr>
                <w:color w:val="231F20"/>
                <w:sz w:val="18"/>
              </w:rPr>
              <w:t>65 y más</w:t>
            </w:r>
          </w:p>
        </w:tc>
        <w:tc>
          <w:tcPr>
            <w:tcW w:w="1020" w:type="dxa"/>
          </w:tcPr>
          <w:p>
            <w:pPr>
              <w:pStyle w:val="TableParagraph"/>
              <w:spacing w:before="92"/>
              <w:ind w:right="225"/>
              <w:jc w:val="right"/>
              <w:rPr>
                <w:sz w:val="18"/>
              </w:rPr>
            </w:pPr>
            <w:r>
              <w:rPr>
                <w:color w:val="231F20"/>
                <w:sz w:val="18"/>
              </w:rPr>
              <w:t>6.0</w:t>
            </w:r>
          </w:p>
        </w:tc>
        <w:tc>
          <w:tcPr>
            <w:tcW w:w="1020" w:type="dxa"/>
          </w:tcPr>
          <w:p>
            <w:pPr>
              <w:pStyle w:val="TableParagraph"/>
              <w:spacing w:before="92"/>
              <w:ind w:right="225"/>
              <w:jc w:val="right"/>
              <w:rPr>
                <w:sz w:val="18"/>
              </w:rPr>
            </w:pPr>
            <w:r>
              <w:rPr>
                <w:color w:val="231F20"/>
                <w:sz w:val="18"/>
              </w:rPr>
              <w:t>0.0</w:t>
            </w:r>
          </w:p>
        </w:tc>
        <w:tc>
          <w:tcPr>
            <w:tcW w:w="1020" w:type="dxa"/>
          </w:tcPr>
          <w:p>
            <w:pPr>
              <w:pStyle w:val="TableParagraph"/>
              <w:spacing w:before="92"/>
              <w:ind w:right="225"/>
              <w:jc w:val="right"/>
              <w:rPr>
                <w:sz w:val="18"/>
              </w:rPr>
            </w:pPr>
            <w:r>
              <w:rPr>
                <w:color w:val="231F20"/>
                <w:sz w:val="18"/>
              </w:rPr>
              <w:t>2.7</w:t>
            </w:r>
          </w:p>
        </w:tc>
        <w:tc>
          <w:tcPr>
            <w:tcW w:w="1077" w:type="dxa"/>
          </w:tcPr>
          <w:p>
            <w:pPr>
              <w:pStyle w:val="TableParagraph"/>
              <w:spacing w:before="92"/>
              <w:ind w:right="225"/>
              <w:jc w:val="right"/>
              <w:rPr>
                <w:sz w:val="18"/>
              </w:rPr>
            </w:pPr>
            <w:r>
              <w:rPr>
                <w:color w:val="231F20"/>
                <w:sz w:val="18"/>
              </w:rPr>
              <w:t>5.7</w:t>
            </w:r>
          </w:p>
        </w:tc>
      </w:tr>
      <w:tr>
        <w:trPr>
          <w:trHeight w:val="340" w:hRule="exact"/>
        </w:trPr>
        <w:tc>
          <w:tcPr>
            <w:tcW w:w="1271" w:type="dxa"/>
            <w:vMerge/>
          </w:tcPr>
          <w:p>
            <w:pPr/>
          </w:p>
        </w:tc>
        <w:tc>
          <w:tcPr>
            <w:tcW w:w="1473" w:type="dxa"/>
          </w:tcPr>
          <w:p>
            <w:pPr>
              <w:pStyle w:val="TableParagraph"/>
              <w:spacing w:before="89"/>
              <w:ind w:left="75"/>
              <w:rPr>
                <w:rFonts w:ascii="Arial"/>
                <w:sz w:val="18"/>
              </w:rPr>
            </w:pPr>
            <w:r>
              <w:rPr>
                <w:rFonts w:ascii="Arial"/>
                <w:color w:val="231F20"/>
                <w:w w:val="105"/>
                <w:sz w:val="18"/>
              </w:rPr>
              <w:t>Total</w:t>
            </w:r>
          </w:p>
        </w:tc>
        <w:tc>
          <w:tcPr>
            <w:tcW w:w="1020" w:type="dxa"/>
          </w:tcPr>
          <w:p>
            <w:pPr>
              <w:pStyle w:val="TableParagraph"/>
              <w:spacing w:before="89"/>
              <w:ind w:left="317" w:right="184"/>
              <w:rPr>
                <w:rFonts w:ascii="Arial"/>
                <w:sz w:val="18"/>
              </w:rPr>
            </w:pPr>
            <w:r>
              <w:rPr>
                <w:rFonts w:ascii="Arial"/>
                <w:color w:val="231F20"/>
                <w:w w:val="105"/>
                <w:sz w:val="18"/>
              </w:rPr>
              <w:t>100.0</w:t>
            </w:r>
          </w:p>
        </w:tc>
        <w:tc>
          <w:tcPr>
            <w:tcW w:w="1020" w:type="dxa"/>
          </w:tcPr>
          <w:p>
            <w:pPr>
              <w:pStyle w:val="TableParagraph"/>
              <w:spacing w:before="89"/>
              <w:ind w:left="317" w:right="184"/>
              <w:rPr>
                <w:rFonts w:ascii="Arial"/>
                <w:sz w:val="18"/>
              </w:rPr>
            </w:pPr>
            <w:r>
              <w:rPr>
                <w:rFonts w:ascii="Arial"/>
                <w:color w:val="231F20"/>
                <w:w w:val="105"/>
                <w:sz w:val="18"/>
              </w:rPr>
              <w:t>100.0</w:t>
            </w:r>
          </w:p>
        </w:tc>
        <w:tc>
          <w:tcPr>
            <w:tcW w:w="1020" w:type="dxa"/>
          </w:tcPr>
          <w:p>
            <w:pPr>
              <w:pStyle w:val="TableParagraph"/>
              <w:spacing w:before="89"/>
              <w:ind w:right="225"/>
              <w:jc w:val="right"/>
              <w:rPr>
                <w:rFonts w:ascii="Arial"/>
                <w:sz w:val="18"/>
              </w:rPr>
            </w:pPr>
            <w:r>
              <w:rPr>
                <w:rFonts w:ascii="Arial"/>
                <w:color w:val="231F20"/>
                <w:w w:val="105"/>
                <w:sz w:val="18"/>
              </w:rPr>
              <w:t>100.0</w:t>
            </w:r>
          </w:p>
        </w:tc>
        <w:tc>
          <w:tcPr>
            <w:tcW w:w="1077" w:type="dxa"/>
          </w:tcPr>
          <w:p>
            <w:pPr>
              <w:pStyle w:val="TableParagraph"/>
              <w:spacing w:before="89"/>
              <w:ind w:right="225"/>
              <w:jc w:val="right"/>
              <w:rPr>
                <w:rFonts w:ascii="Arial"/>
                <w:sz w:val="18"/>
              </w:rPr>
            </w:pPr>
            <w:r>
              <w:rPr>
                <w:rFonts w:ascii="Arial"/>
                <w:color w:val="231F20"/>
                <w:w w:val="105"/>
                <w:sz w:val="18"/>
              </w:rPr>
              <w:t>100.0</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9"/>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68784" from="131.551193pt,.203715pt" to="131.551193pt,36.006114pt" stroked="true" strokeweight=".35pt" strokecolor="#231f20">
            <w10:wrap type="none"/>
          </v:line>
        </w:pict>
      </w:r>
      <w:r>
        <w:rPr/>
        <w:pict>
          <v:line style="position:absolute;mso-position-horizontal-relative:page;mso-position-vertical-relative:paragraph;z-index:-468712" from="15pt,36.005917pt" to="0pt,36.005917pt" stroked="true" strokeweight=".25pt" strokecolor="#000000">
            <w10:wrap type="none"/>
          </v:line>
        </w:pict>
      </w:r>
      <w:r>
        <w:rPr/>
        <w:pict>
          <v:line style="position:absolute;mso-position-horizontal-relative:page;mso-position-vertical-relative:paragraph;z-index:21496" from="508.890015pt,36.005917pt" to="523.890015pt,36.005917pt" stroked="true" strokeweight=".25pt" strokecolor="#000000">
            <w10:wrap type="none"/>
          </v:line>
        </w:pict>
      </w:r>
      <w:r>
        <w:rPr>
          <w:rFonts w:ascii="Arial" w:hAnsi="Arial"/>
          <w:color w:val="414042"/>
          <w:w w:val="105"/>
          <w:position w:val="-5"/>
          <w:sz w:val="20"/>
        </w:rPr>
        <w:t>184</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1520" from="405.061005pt,-27.904295pt" to="405.061005pt,6.961579pt" stroked="true" strokeweight=".35pt" strokecolor="#231f20">
            <w10:wrap type="none"/>
          </v:line>
        </w:pict>
      </w:r>
      <w:r>
        <w:rPr/>
        <w:pict>
          <v:line style="position:absolute;mso-position-horizontal-relative:page;mso-position-vertical-relative:paragraph;z-index:21544" from="15pt,-27.90452pt" to="0pt,-27.90452pt" stroked="true" strokeweight=".25pt" strokecolor="#000000">
            <w10:wrap type="none"/>
          </v:line>
        </w:pict>
      </w:r>
      <w:r>
        <w:rPr/>
        <w:pict>
          <v:line style="position:absolute;mso-position-horizontal-relative:page;mso-position-vertical-relative:paragraph;z-index:21568"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185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4"/>
        <w:rPr>
          <w:rFonts w:ascii="Arial"/>
          <w:sz w:val="20"/>
        </w:rPr>
      </w:pPr>
    </w:p>
    <w:tbl>
      <w:tblPr>
        <w:tblW w:w="0" w:type="auto"/>
        <w:jc w:val="left"/>
        <w:tblInd w:w="185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271"/>
        <w:gridCol w:w="1473"/>
        <w:gridCol w:w="1020"/>
        <w:gridCol w:w="1020"/>
        <w:gridCol w:w="1020"/>
        <w:gridCol w:w="1077"/>
      </w:tblGrid>
      <w:tr>
        <w:trPr>
          <w:trHeight w:val="340" w:hRule="exact"/>
        </w:trPr>
        <w:tc>
          <w:tcPr>
            <w:tcW w:w="1271" w:type="dxa"/>
            <w:vMerge w:val="restart"/>
          </w:tcPr>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3"/>
              <w:rPr>
                <w:rFonts w:ascii="Arial"/>
                <w:sz w:val="16"/>
              </w:rPr>
            </w:pPr>
          </w:p>
          <w:p>
            <w:pPr>
              <w:pStyle w:val="TableParagraph"/>
              <w:spacing w:line="249" w:lineRule="auto" w:before="1"/>
              <w:ind w:left="77"/>
              <w:rPr>
                <w:rFonts w:ascii="Arial"/>
                <w:sz w:val="18"/>
              </w:rPr>
            </w:pPr>
            <w:r>
              <w:rPr>
                <w:rFonts w:ascii="Arial"/>
                <w:color w:val="231F20"/>
                <w:w w:val="105"/>
                <w:sz w:val="18"/>
              </w:rPr>
              <w:t>Nivel de escolaridad</w:t>
            </w:r>
          </w:p>
        </w:tc>
        <w:tc>
          <w:tcPr>
            <w:tcW w:w="1473" w:type="dxa"/>
          </w:tcPr>
          <w:p>
            <w:pPr>
              <w:pStyle w:val="TableParagraph"/>
              <w:ind w:left="77"/>
              <w:rPr>
                <w:sz w:val="18"/>
              </w:rPr>
            </w:pPr>
            <w:r>
              <w:rPr>
                <w:color w:val="231F20"/>
                <w:w w:val="105"/>
                <w:sz w:val="18"/>
              </w:rPr>
              <w:t>Ninguno</w:t>
            </w:r>
          </w:p>
        </w:tc>
        <w:tc>
          <w:tcPr>
            <w:tcW w:w="1020" w:type="dxa"/>
          </w:tcPr>
          <w:p>
            <w:pPr>
              <w:pStyle w:val="TableParagraph"/>
              <w:ind w:right="223"/>
              <w:jc w:val="right"/>
              <w:rPr>
                <w:sz w:val="18"/>
              </w:rPr>
            </w:pPr>
            <w:r>
              <w:rPr>
                <w:color w:val="231F20"/>
                <w:sz w:val="18"/>
              </w:rPr>
              <w:t>0.0</w:t>
            </w:r>
          </w:p>
        </w:tc>
        <w:tc>
          <w:tcPr>
            <w:tcW w:w="1020" w:type="dxa"/>
          </w:tcPr>
          <w:p>
            <w:pPr>
              <w:pStyle w:val="TableParagraph"/>
              <w:ind w:right="223"/>
              <w:jc w:val="right"/>
              <w:rPr>
                <w:sz w:val="18"/>
              </w:rPr>
            </w:pPr>
            <w:r>
              <w:rPr>
                <w:color w:val="231F20"/>
                <w:sz w:val="18"/>
              </w:rPr>
              <w:t>0.0</w:t>
            </w:r>
          </w:p>
        </w:tc>
        <w:tc>
          <w:tcPr>
            <w:tcW w:w="1020" w:type="dxa"/>
          </w:tcPr>
          <w:p>
            <w:pPr>
              <w:pStyle w:val="TableParagraph"/>
              <w:ind w:right="223"/>
              <w:jc w:val="right"/>
              <w:rPr>
                <w:sz w:val="18"/>
              </w:rPr>
            </w:pPr>
            <w:r>
              <w:rPr>
                <w:color w:val="231F20"/>
                <w:sz w:val="18"/>
              </w:rPr>
              <w:t>0.6</w:t>
            </w:r>
          </w:p>
        </w:tc>
        <w:tc>
          <w:tcPr>
            <w:tcW w:w="1077" w:type="dxa"/>
          </w:tcPr>
          <w:p>
            <w:pPr>
              <w:pStyle w:val="TableParagraph"/>
              <w:ind w:right="223"/>
              <w:jc w:val="right"/>
              <w:rPr>
                <w:sz w:val="18"/>
              </w:rPr>
            </w:pPr>
            <w:r>
              <w:rPr>
                <w:color w:val="231F20"/>
                <w:sz w:val="18"/>
              </w:rPr>
              <w:t>0.0</w:t>
            </w:r>
          </w:p>
        </w:tc>
      </w:tr>
      <w:tr>
        <w:trPr>
          <w:trHeight w:val="556" w:hRule="exact"/>
        </w:trPr>
        <w:tc>
          <w:tcPr>
            <w:tcW w:w="1271" w:type="dxa"/>
            <w:vMerge/>
          </w:tcPr>
          <w:p>
            <w:pPr/>
          </w:p>
        </w:tc>
        <w:tc>
          <w:tcPr>
            <w:tcW w:w="1473" w:type="dxa"/>
          </w:tcPr>
          <w:p>
            <w:pPr>
              <w:pStyle w:val="TableParagraph"/>
              <w:ind w:left="77"/>
              <w:rPr>
                <w:sz w:val="18"/>
              </w:rPr>
            </w:pPr>
            <w:r>
              <w:rPr>
                <w:color w:val="231F20"/>
                <w:w w:val="105"/>
                <w:sz w:val="18"/>
              </w:rPr>
              <w:t>Primaria/</w:t>
            </w:r>
          </w:p>
          <w:p>
            <w:pPr>
              <w:pStyle w:val="TableParagraph"/>
              <w:spacing w:before="9"/>
              <w:ind w:left="77"/>
              <w:rPr>
                <w:rFonts w:ascii="Arial"/>
                <w:i/>
                <w:sz w:val="18"/>
              </w:rPr>
            </w:pPr>
            <w:r>
              <w:rPr>
                <w:rFonts w:ascii="Arial"/>
                <w:i/>
                <w:color w:val="231F20"/>
                <w:sz w:val="18"/>
              </w:rPr>
              <w:t>Elementary</w:t>
            </w:r>
          </w:p>
        </w:tc>
        <w:tc>
          <w:tcPr>
            <w:tcW w:w="1020" w:type="dxa"/>
          </w:tcPr>
          <w:p>
            <w:pPr>
              <w:pStyle w:val="TableParagraph"/>
              <w:spacing w:before="4"/>
              <w:rPr>
                <w:rFonts w:ascii="Arial"/>
                <w:sz w:val="17"/>
              </w:rPr>
            </w:pPr>
          </w:p>
          <w:p>
            <w:pPr>
              <w:pStyle w:val="TableParagraph"/>
              <w:spacing w:before="0"/>
              <w:ind w:right="223"/>
              <w:jc w:val="right"/>
              <w:rPr>
                <w:sz w:val="18"/>
              </w:rPr>
            </w:pPr>
            <w:r>
              <w:rPr>
                <w:color w:val="231F20"/>
                <w:sz w:val="18"/>
              </w:rPr>
              <w:t>7.0</w:t>
            </w:r>
          </w:p>
        </w:tc>
        <w:tc>
          <w:tcPr>
            <w:tcW w:w="1020" w:type="dxa"/>
          </w:tcPr>
          <w:p>
            <w:pPr>
              <w:pStyle w:val="TableParagraph"/>
              <w:spacing w:before="4"/>
              <w:rPr>
                <w:rFonts w:ascii="Arial"/>
                <w:sz w:val="17"/>
              </w:rPr>
            </w:pPr>
          </w:p>
          <w:p>
            <w:pPr>
              <w:pStyle w:val="TableParagraph"/>
              <w:spacing w:before="0"/>
              <w:ind w:right="223"/>
              <w:jc w:val="right"/>
              <w:rPr>
                <w:sz w:val="18"/>
              </w:rPr>
            </w:pPr>
            <w:r>
              <w:rPr>
                <w:color w:val="231F20"/>
                <w:sz w:val="18"/>
              </w:rPr>
              <w:t>30.9</w:t>
            </w:r>
          </w:p>
        </w:tc>
        <w:tc>
          <w:tcPr>
            <w:tcW w:w="1020" w:type="dxa"/>
          </w:tcPr>
          <w:p>
            <w:pPr>
              <w:pStyle w:val="TableParagraph"/>
              <w:spacing w:before="4"/>
              <w:rPr>
                <w:rFonts w:ascii="Arial"/>
                <w:sz w:val="17"/>
              </w:rPr>
            </w:pPr>
          </w:p>
          <w:p>
            <w:pPr>
              <w:pStyle w:val="TableParagraph"/>
              <w:spacing w:before="0"/>
              <w:ind w:right="223"/>
              <w:jc w:val="right"/>
              <w:rPr>
                <w:sz w:val="18"/>
              </w:rPr>
            </w:pPr>
            <w:r>
              <w:rPr>
                <w:color w:val="231F20"/>
                <w:sz w:val="18"/>
              </w:rPr>
              <w:t>18.0</w:t>
            </w:r>
          </w:p>
        </w:tc>
        <w:tc>
          <w:tcPr>
            <w:tcW w:w="1077" w:type="dxa"/>
          </w:tcPr>
          <w:p>
            <w:pPr>
              <w:pStyle w:val="TableParagraph"/>
              <w:spacing w:before="4"/>
              <w:rPr>
                <w:rFonts w:ascii="Arial"/>
                <w:sz w:val="17"/>
              </w:rPr>
            </w:pPr>
          </w:p>
          <w:p>
            <w:pPr>
              <w:pStyle w:val="TableParagraph"/>
              <w:spacing w:before="0"/>
              <w:ind w:right="223"/>
              <w:jc w:val="right"/>
              <w:rPr>
                <w:sz w:val="18"/>
              </w:rPr>
            </w:pPr>
            <w:r>
              <w:rPr>
                <w:color w:val="231F20"/>
                <w:sz w:val="18"/>
              </w:rPr>
              <w:t>13.0</w:t>
            </w:r>
          </w:p>
        </w:tc>
      </w:tr>
      <w:tr>
        <w:trPr>
          <w:trHeight w:val="340" w:hRule="exact"/>
        </w:trPr>
        <w:tc>
          <w:tcPr>
            <w:tcW w:w="1271" w:type="dxa"/>
            <w:vMerge/>
          </w:tcPr>
          <w:p>
            <w:pPr/>
          </w:p>
        </w:tc>
        <w:tc>
          <w:tcPr>
            <w:tcW w:w="1473" w:type="dxa"/>
          </w:tcPr>
          <w:p>
            <w:pPr>
              <w:pStyle w:val="TableParagraph"/>
              <w:ind w:left="77"/>
              <w:rPr>
                <w:sz w:val="18"/>
              </w:rPr>
            </w:pPr>
            <w:r>
              <w:rPr>
                <w:color w:val="231F20"/>
                <w:sz w:val="18"/>
              </w:rPr>
              <w:t>Secundaria</w:t>
            </w:r>
          </w:p>
        </w:tc>
        <w:tc>
          <w:tcPr>
            <w:tcW w:w="1020" w:type="dxa"/>
          </w:tcPr>
          <w:p>
            <w:pPr>
              <w:pStyle w:val="TableParagraph"/>
              <w:ind w:right="223"/>
              <w:jc w:val="right"/>
              <w:rPr>
                <w:sz w:val="18"/>
              </w:rPr>
            </w:pPr>
            <w:r>
              <w:rPr>
                <w:color w:val="231F20"/>
                <w:sz w:val="18"/>
              </w:rPr>
              <w:t>24.2</w:t>
            </w:r>
          </w:p>
        </w:tc>
        <w:tc>
          <w:tcPr>
            <w:tcW w:w="1020" w:type="dxa"/>
          </w:tcPr>
          <w:p>
            <w:pPr>
              <w:pStyle w:val="TableParagraph"/>
              <w:ind w:right="223"/>
              <w:jc w:val="right"/>
              <w:rPr>
                <w:sz w:val="18"/>
              </w:rPr>
            </w:pPr>
            <w:r>
              <w:rPr>
                <w:color w:val="231F20"/>
                <w:sz w:val="18"/>
              </w:rPr>
              <w:t>12.5</w:t>
            </w:r>
          </w:p>
        </w:tc>
        <w:tc>
          <w:tcPr>
            <w:tcW w:w="1020" w:type="dxa"/>
          </w:tcPr>
          <w:p>
            <w:pPr>
              <w:pStyle w:val="TableParagraph"/>
              <w:ind w:right="223"/>
              <w:jc w:val="right"/>
              <w:rPr>
                <w:sz w:val="18"/>
              </w:rPr>
            </w:pPr>
            <w:r>
              <w:rPr>
                <w:color w:val="231F20"/>
                <w:sz w:val="18"/>
              </w:rPr>
              <w:t>35.1</w:t>
            </w:r>
          </w:p>
        </w:tc>
        <w:tc>
          <w:tcPr>
            <w:tcW w:w="1077" w:type="dxa"/>
          </w:tcPr>
          <w:p>
            <w:pPr>
              <w:pStyle w:val="TableParagraph"/>
              <w:ind w:right="223"/>
              <w:jc w:val="right"/>
              <w:rPr>
                <w:sz w:val="18"/>
              </w:rPr>
            </w:pPr>
            <w:r>
              <w:rPr>
                <w:color w:val="231F20"/>
                <w:sz w:val="18"/>
              </w:rPr>
              <w:t>43.0</w:t>
            </w:r>
          </w:p>
        </w:tc>
      </w:tr>
      <w:tr>
        <w:trPr>
          <w:trHeight w:val="556" w:hRule="exact"/>
        </w:trPr>
        <w:tc>
          <w:tcPr>
            <w:tcW w:w="1271" w:type="dxa"/>
            <w:vMerge/>
          </w:tcPr>
          <w:p>
            <w:pPr/>
          </w:p>
        </w:tc>
        <w:tc>
          <w:tcPr>
            <w:tcW w:w="1473" w:type="dxa"/>
          </w:tcPr>
          <w:p>
            <w:pPr>
              <w:pStyle w:val="TableParagraph"/>
              <w:ind w:left="76"/>
              <w:rPr>
                <w:sz w:val="18"/>
              </w:rPr>
            </w:pPr>
            <w:r>
              <w:rPr>
                <w:color w:val="231F20"/>
                <w:w w:val="105"/>
                <w:sz w:val="18"/>
              </w:rPr>
              <w:t>Preparatoria/</w:t>
            </w:r>
          </w:p>
          <w:p>
            <w:pPr>
              <w:pStyle w:val="TableParagraph"/>
              <w:spacing w:before="9"/>
              <w:ind w:left="76"/>
              <w:rPr>
                <w:rFonts w:ascii="Arial"/>
                <w:i/>
                <w:sz w:val="18"/>
              </w:rPr>
            </w:pPr>
            <w:r>
              <w:rPr>
                <w:rFonts w:ascii="Arial"/>
                <w:i/>
                <w:color w:val="231F20"/>
                <w:w w:val="105"/>
                <w:sz w:val="18"/>
              </w:rPr>
              <w:t>High school</w:t>
            </w:r>
          </w:p>
        </w:tc>
        <w:tc>
          <w:tcPr>
            <w:tcW w:w="1020" w:type="dxa"/>
          </w:tcPr>
          <w:p>
            <w:pPr>
              <w:pStyle w:val="TableParagraph"/>
              <w:spacing w:before="4"/>
              <w:rPr>
                <w:rFonts w:ascii="Arial"/>
                <w:sz w:val="17"/>
              </w:rPr>
            </w:pPr>
          </w:p>
          <w:p>
            <w:pPr>
              <w:pStyle w:val="TableParagraph"/>
              <w:spacing w:before="0"/>
              <w:ind w:right="223"/>
              <w:jc w:val="right"/>
              <w:rPr>
                <w:sz w:val="18"/>
              </w:rPr>
            </w:pPr>
            <w:r>
              <w:rPr>
                <w:color w:val="231F20"/>
                <w:sz w:val="18"/>
              </w:rPr>
              <w:t>53.8</w:t>
            </w:r>
          </w:p>
        </w:tc>
        <w:tc>
          <w:tcPr>
            <w:tcW w:w="1020" w:type="dxa"/>
          </w:tcPr>
          <w:p>
            <w:pPr>
              <w:pStyle w:val="TableParagraph"/>
              <w:spacing w:before="4"/>
              <w:rPr>
                <w:rFonts w:ascii="Arial"/>
                <w:sz w:val="17"/>
              </w:rPr>
            </w:pPr>
          </w:p>
          <w:p>
            <w:pPr>
              <w:pStyle w:val="TableParagraph"/>
              <w:spacing w:before="0"/>
              <w:ind w:right="223"/>
              <w:jc w:val="right"/>
              <w:rPr>
                <w:sz w:val="18"/>
              </w:rPr>
            </w:pPr>
            <w:r>
              <w:rPr>
                <w:color w:val="231F20"/>
                <w:sz w:val="18"/>
              </w:rPr>
              <w:t>44.2</w:t>
            </w:r>
          </w:p>
        </w:tc>
        <w:tc>
          <w:tcPr>
            <w:tcW w:w="1020" w:type="dxa"/>
          </w:tcPr>
          <w:p>
            <w:pPr>
              <w:pStyle w:val="TableParagraph"/>
              <w:spacing w:before="4"/>
              <w:rPr>
                <w:rFonts w:ascii="Arial"/>
                <w:sz w:val="17"/>
              </w:rPr>
            </w:pPr>
          </w:p>
          <w:p>
            <w:pPr>
              <w:pStyle w:val="TableParagraph"/>
              <w:spacing w:before="0"/>
              <w:ind w:right="223"/>
              <w:jc w:val="right"/>
              <w:rPr>
                <w:sz w:val="18"/>
              </w:rPr>
            </w:pPr>
            <w:r>
              <w:rPr>
                <w:color w:val="231F20"/>
                <w:sz w:val="18"/>
              </w:rPr>
              <w:t>24.3</w:t>
            </w:r>
          </w:p>
        </w:tc>
        <w:tc>
          <w:tcPr>
            <w:tcW w:w="1077" w:type="dxa"/>
          </w:tcPr>
          <w:p>
            <w:pPr>
              <w:pStyle w:val="TableParagraph"/>
              <w:spacing w:before="4"/>
              <w:rPr>
                <w:rFonts w:ascii="Arial"/>
                <w:sz w:val="17"/>
              </w:rPr>
            </w:pPr>
          </w:p>
          <w:p>
            <w:pPr>
              <w:pStyle w:val="TableParagraph"/>
              <w:spacing w:before="0"/>
              <w:ind w:right="223"/>
              <w:jc w:val="right"/>
              <w:rPr>
                <w:sz w:val="18"/>
              </w:rPr>
            </w:pPr>
            <w:r>
              <w:rPr>
                <w:color w:val="231F20"/>
                <w:sz w:val="18"/>
              </w:rPr>
              <w:t>38.1</w:t>
            </w:r>
          </w:p>
        </w:tc>
      </w:tr>
      <w:tr>
        <w:trPr>
          <w:trHeight w:val="556" w:hRule="exact"/>
        </w:trPr>
        <w:tc>
          <w:tcPr>
            <w:tcW w:w="1271" w:type="dxa"/>
            <w:vMerge/>
          </w:tcPr>
          <w:p>
            <w:pPr/>
          </w:p>
        </w:tc>
        <w:tc>
          <w:tcPr>
            <w:tcW w:w="1473" w:type="dxa"/>
          </w:tcPr>
          <w:p>
            <w:pPr>
              <w:pStyle w:val="TableParagraph"/>
              <w:spacing w:line="254" w:lineRule="auto"/>
              <w:ind w:left="76"/>
              <w:rPr>
                <w:sz w:val="18"/>
              </w:rPr>
            </w:pPr>
            <w:r>
              <w:rPr>
                <w:color w:val="231F20"/>
                <w:sz w:val="18"/>
              </w:rPr>
              <w:t>Escuela técnica con secundaria</w:t>
            </w:r>
          </w:p>
        </w:tc>
        <w:tc>
          <w:tcPr>
            <w:tcW w:w="1020" w:type="dxa"/>
          </w:tcPr>
          <w:p>
            <w:pPr>
              <w:pStyle w:val="TableParagraph"/>
              <w:spacing w:before="4"/>
              <w:rPr>
                <w:rFonts w:ascii="Arial"/>
                <w:sz w:val="17"/>
              </w:rPr>
            </w:pPr>
          </w:p>
          <w:p>
            <w:pPr>
              <w:pStyle w:val="TableParagraph"/>
              <w:spacing w:before="0"/>
              <w:ind w:right="223"/>
              <w:jc w:val="right"/>
              <w:rPr>
                <w:sz w:val="18"/>
              </w:rPr>
            </w:pPr>
            <w:r>
              <w:rPr>
                <w:color w:val="231F20"/>
                <w:sz w:val="18"/>
              </w:rPr>
              <w:t>0.0</w:t>
            </w:r>
          </w:p>
        </w:tc>
        <w:tc>
          <w:tcPr>
            <w:tcW w:w="1020" w:type="dxa"/>
          </w:tcPr>
          <w:p>
            <w:pPr>
              <w:pStyle w:val="TableParagraph"/>
              <w:spacing w:before="4"/>
              <w:rPr>
                <w:rFonts w:ascii="Arial"/>
                <w:sz w:val="17"/>
              </w:rPr>
            </w:pPr>
          </w:p>
          <w:p>
            <w:pPr>
              <w:pStyle w:val="TableParagraph"/>
              <w:spacing w:before="0"/>
              <w:ind w:right="223"/>
              <w:jc w:val="right"/>
              <w:rPr>
                <w:sz w:val="18"/>
              </w:rPr>
            </w:pPr>
            <w:r>
              <w:rPr>
                <w:color w:val="231F20"/>
                <w:sz w:val="18"/>
              </w:rPr>
              <w:t>0.0</w:t>
            </w:r>
          </w:p>
        </w:tc>
        <w:tc>
          <w:tcPr>
            <w:tcW w:w="1020" w:type="dxa"/>
          </w:tcPr>
          <w:p>
            <w:pPr>
              <w:pStyle w:val="TableParagraph"/>
              <w:spacing w:before="4"/>
              <w:rPr>
                <w:rFonts w:ascii="Arial"/>
                <w:sz w:val="17"/>
              </w:rPr>
            </w:pPr>
          </w:p>
          <w:p>
            <w:pPr>
              <w:pStyle w:val="TableParagraph"/>
              <w:spacing w:before="0"/>
              <w:ind w:right="223"/>
              <w:jc w:val="right"/>
              <w:rPr>
                <w:sz w:val="18"/>
              </w:rPr>
            </w:pPr>
            <w:r>
              <w:rPr>
                <w:color w:val="231F20"/>
                <w:sz w:val="18"/>
              </w:rPr>
              <w:t>0.3</w:t>
            </w:r>
          </w:p>
        </w:tc>
        <w:tc>
          <w:tcPr>
            <w:tcW w:w="1077" w:type="dxa"/>
          </w:tcPr>
          <w:p>
            <w:pPr>
              <w:pStyle w:val="TableParagraph"/>
              <w:spacing w:before="4"/>
              <w:rPr>
                <w:rFonts w:ascii="Arial"/>
                <w:sz w:val="17"/>
              </w:rPr>
            </w:pPr>
          </w:p>
          <w:p>
            <w:pPr>
              <w:pStyle w:val="TableParagraph"/>
              <w:spacing w:before="0"/>
              <w:ind w:right="224"/>
              <w:jc w:val="right"/>
              <w:rPr>
                <w:sz w:val="18"/>
              </w:rPr>
            </w:pPr>
            <w:r>
              <w:rPr>
                <w:color w:val="231F20"/>
                <w:sz w:val="18"/>
              </w:rPr>
              <w:t>0.0</w:t>
            </w:r>
          </w:p>
        </w:tc>
      </w:tr>
      <w:tr>
        <w:trPr>
          <w:trHeight w:val="340" w:hRule="exact"/>
        </w:trPr>
        <w:tc>
          <w:tcPr>
            <w:tcW w:w="1271" w:type="dxa"/>
            <w:vMerge/>
          </w:tcPr>
          <w:p>
            <w:pPr/>
          </w:p>
        </w:tc>
        <w:tc>
          <w:tcPr>
            <w:tcW w:w="1473" w:type="dxa"/>
          </w:tcPr>
          <w:p>
            <w:pPr>
              <w:pStyle w:val="TableParagraph"/>
              <w:ind w:left="76"/>
              <w:rPr>
                <w:sz w:val="18"/>
              </w:rPr>
            </w:pPr>
            <w:r>
              <w:rPr>
                <w:color w:val="231F20"/>
                <w:w w:val="105"/>
                <w:sz w:val="18"/>
              </w:rPr>
              <w:t>Normal</w:t>
            </w:r>
          </w:p>
        </w:tc>
        <w:tc>
          <w:tcPr>
            <w:tcW w:w="1020" w:type="dxa"/>
          </w:tcPr>
          <w:p>
            <w:pPr>
              <w:pStyle w:val="TableParagraph"/>
              <w:ind w:right="224"/>
              <w:jc w:val="right"/>
              <w:rPr>
                <w:sz w:val="18"/>
              </w:rPr>
            </w:pPr>
            <w:r>
              <w:rPr>
                <w:color w:val="231F20"/>
                <w:sz w:val="18"/>
              </w:rPr>
              <w:t>0.0</w:t>
            </w:r>
          </w:p>
        </w:tc>
        <w:tc>
          <w:tcPr>
            <w:tcW w:w="1020" w:type="dxa"/>
          </w:tcPr>
          <w:p>
            <w:pPr>
              <w:pStyle w:val="TableParagraph"/>
              <w:ind w:right="224"/>
              <w:jc w:val="right"/>
              <w:rPr>
                <w:sz w:val="18"/>
              </w:rPr>
            </w:pPr>
            <w:r>
              <w:rPr>
                <w:color w:val="231F20"/>
                <w:sz w:val="18"/>
              </w:rPr>
              <w:t>0.0</w:t>
            </w:r>
          </w:p>
        </w:tc>
        <w:tc>
          <w:tcPr>
            <w:tcW w:w="1020" w:type="dxa"/>
          </w:tcPr>
          <w:p>
            <w:pPr>
              <w:pStyle w:val="TableParagraph"/>
              <w:ind w:right="224"/>
              <w:jc w:val="right"/>
              <w:rPr>
                <w:sz w:val="18"/>
              </w:rPr>
            </w:pPr>
            <w:r>
              <w:rPr>
                <w:color w:val="231F20"/>
                <w:sz w:val="18"/>
              </w:rPr>
              <w:t>1.2</w:t>
            </w:r>
          </w:p>
        </w:tc>
        <w:tc>
          <w:tcPr>
            <w:tcW w:w="1077" w:type="dxa"/>
          </w:tcPr>
          <w:p>
            <w:pPr>
              <w:pStyle w:val="TableParagraph"/>
              <w:ind w:right="224"/>
              <w:jc w:val="right"/>
              <w:rPr>
                <w:sz w:val="18"/>
              </w:rPr>
            </w:pPr>
            <w:r>
              <w:rPr>
                <w:color w:val="231F20"/>
                <w:sz w:val="18"/>
              </w:rPr>
              <w:t>0.0</w:t>
            </w:r>
          </w:p>
        </w:tc>
      </w:tr>
      <w:tr>
        <w:trPr>
          <w:trHeight w:val="556" w:hRule="exact"/>
        </w:trPr>
        <w:tc>
          <w:tcPr>
            <w:tcW w:w="1271" w:type="dxa"/>
            <w:vMerge/>
          </w:tcPr>
          <w:p>
            <w:pPr/>
          </w:p>
        </w:tc>
        <w:tc>
          <w:tcPr>
            <w:tcW w:w="1473" w:type="dxa"/>
          </w:tcPr>
          <w:p>
            <w:pPr>
              <w:pStyle w:val="TableParagraph"/>
              <w:ind w:left="76"/>
              <w:rPr>
                <w:sz w:val="18"/>
              </w:rPr>
            </w:pPr>
            <w:r>
              <w:rPr>
                <w:color w:val="231F20"/>
                <w:w w:val="105"/>
                <w:sz w:val="18"/>
              </w:rPr>
              <w:t>Profesional/</w:t>
            </w:r>
          </w:p>
          <w:p>
            <w:pPr>
              <w:pStyle w:val="TableParagraph"/>
              <w:spacing w:before="9"/>
              <w:ind w:left="76"/>
              <w:rPr>
                <w:rFonts w:ascii="Arial"/>
                <w:i/>
                <w:sz w:val="18"/>
              </w:rPr>
            </w:pPr>
            <w:r>
              <w:rPr>
                <w:rFonts w:ascii="Arial"/>
                <w:i/>
                <w:color w:val="231F20"/>
                <w:w w:val="105"/>
                <w:sz w:val="18"/>
              </w:rPr>
              <w:t>College</w:t>
            </w:r>
          </w:p>
        </w:tc>
        <w:tc>
          <w:tcPr>
            <w:tcW w:w="1020" w:type="dxa"/>
          </w:tcPr>
          <w:p>
            <w:pPr>
              <w:pStyle w:val="TableParagraph"/>
              <w:spacing w:before="4"/>
              <w:rPr>
                <w:rFonts w:ascii="Arial"/>
                <w:sz w:val="17"/>
              </w:rPr>
            </w:pPr>
          </w:p>
          <w:p>
            <w:pPr>
              <w:pStyle w:val="TableParagraph"/>
              <w:spacing w:before="0"/>
              <w:ind w:right="224"/>
              <w:jc w:val="right"/>
              <w:rPr>
                <w:sz w:val="18"/>
              </w:rPr>
            </w:pPr>
            <w:r>
              <w:rPr>
                <w:color w:val="231F20"/>
                <w:sz w:val="18"/>
              </w:rPr>
              <w:t>15.0</w:t>
            </w:r>
          </w:p>
        </w:tc>
        <w:tc>
          <w:tcPr>
            <w:tcW w:w="1020" w:type="dxa"/>
          </w:tcPr>
          <w:p>
            <w:pPr>
              <w:pStyle w:val="TableParagraph"/>
              <w:spacing w:before="4"/>
              <w:rPr>
                <w:rFonts w:ascii="Arial"/>
                <w:sz w:val="17"/>
              </w:rPr>
            </w:pPr>
          </w:p>
          <w:p>
            <w:pPr>
              <w:pStyle w:val="TableParagraph"/>
              <w:spacing w:before="0"/>
              <w:ind w:right="224"/>
              <w:jc w:val="right"/>
              <w:rPr>
                <w:sz w:val="18"/>
              </w:rPr>
            </w:pPr>
            <w:r>
              <w:rPr>
                <w:color w:val="231F20"/>
                <w:sz w:val="18"/>
              </w:rPr>
              <w:t>12.4</w:t>
            </w:r>
          </w:p>
        </w:tc>
        <w:tc>
          <w:tcPr>
            <w:tcW w:w="1020" w:type="dxa"/>
          </w:tcPr>
          <w:p>
            <w:pPr>
              <w:pStyle w:val="TableParagraph"/>
              <w:spacing w:before="4"/>
              <w:rPr>
                <w:rFonts w:ascii="Arial"/>
                <w:sz w:val="17"/>
              </w:rPr>
            </w:pPr>
          </w:p>
          <w:p>
            <w:pPr>
              <w:pStyle w:val="TableParagraph"/>
              <w:spacing w:before="0"/>
              <w:ind w:right="224"/>
              <w:jc w:val="right"/>
              <w:rPr>
                <w:sz w:val="18"/>
              </w:rPr>
            </w:pPr>
            <w:r>
              <w:rPr>
                <w:color w:val="231F20"/>
                <w:sz w:val="18"/>
              </w:rPr>
              <w:t>19.2</w:t>
            </w:r>
          </w:p>
        </w:tc>
        <w:tc>
          <w:tcPr>
            <w:tcW w:w="1077" w:type="dxa"/>
          </w:tcPr>
          <w:p>
            <w:pPr>
              <w:pStyle w:val="TableParagraph"/>
              <w:spacing w:before="4"/>
              <w:rPr>
                <w:rFonts w:ascii="Arial"/>
                <w:sz w:val="17"/>
              </w:rPr>
            </w:pPr>
          </w:p>
          <w:p>
            <w:pPr>
              <w:pStyle w:val="TableParagraph"/>
              <w:spacing w:before="0"/>
              <w:ind w:right="224"/>
              <w:jc w:val="right"/>
              <w:rPr>
                <w:sz w:val="18"/>
              </w:rPr>
            </w:pPr>
            <w:r>
              <w:rPr>
                <w:color w:val="231F20"/>
                <w:sz w:val="18"/>
              </w:rPr>
              <w:t>5.9</w:t>
            </w:r>
          </w:p>
        </w:tc>
      </w:tr>
      <w:tr>
        <w:trPr>
          <w:trHeight w:val="340" w:hRule="exact"/>
        </w:trPr>
        <w:tc>
          <w:tcPr>
            <w:tcW w:w="1271" w:type="dxa"/>
            <w:vMerge/>
          </w:tcPr>
          <w:p>
            <w:pPr/>
          </w:p>
        </w:tc>
        <w:tc>
          <w:tcPr>
            <w:tcW w:w="1473" w:type="dxa"/>
          </w:tcPr>
          <w:p>
            <w:pPr>
              <w:pStyle w:val="TableParagraph"/>
              <w:spacing w:before="89"/>
              <w:ind w:left="76"/>
              <w:rPr>
                <w:rFonts w:ascii="Arial" w:hAnsi="Arial"/>
                <w:i/>
                <w:sz w:val="18"/>
              </w:rPr>
            </w:pPr>
            <w:r>
              <w:rPr>
                <w:color w:val="231F20"/>
                <w:w w:val="105"/>
                <w:sz w:val="18"/>
              </w:rPr>
              <w:t>Maestría/</w:t>
            </w:r>
            <w:r>
              <w:rPr>
                <w:rFonts w:ascii="Arial" w:hAnsi="Arial"/>
                <w:i/>
                <w:color w:val="231F20"/>
                <w:w w:val="105"/>
                <w:sz w:val="18"/>
              </w:rPr>
              <w:t>Master</w:t>
            </w:r>
          </w:p>
        </w:tc>
        <w:tc>
          <w:tcPr>
            <w:tcW w:w="1020" w:type="dxa"/>
          </w:tcPr>
          <w:p>
            <w:pPr>
              <w:pStyle w:val="TableParagraph"/>
              <w:ind w:right="224"/>
              <w:jc w:val="right"/>
              <w:rPr>
                <w:sz w:val="18"/>
              </w:rPr>
            </w:pPr>
            <w:r>
              <w:rPr>
                <w:color w:val="231F20"/>
                <w:sz w:val="18"/>
              </w:rPr>
              <w:t>0.0</w:t>
            </w:r>
          </w:p>
        </w:tc>
        <w:tc>
          <w:tcPr>
            <w:tcW w:w="1020" w:type="dxa"/>
          </w:tcPr>
          <w:p>
            <w:pPr>
              <w:pStyle w:val="TableParagraph"/>
              <w:ind w:right="224"/>
              <w:jc w:val="right"/>
              <w:rPr>
                <w:sz w:val="18"/>
              </w:rPr>
            </w:pPr>
            <w:r>
              <w:rPr>
                <w:color w:val="231F20"/>
                <w:sz w:val="18"/>
              </w:rPr>
              <w:t>0.0</w:t>
            </w:r>
          </w:p>
        </w:tc>
        <w:tc>
          <w:tcPr>
            <w:tcW w:w="1020" w:type="dxa"/>
          </w:tcPr>
          <w:p>
            <w:pPr>
              <w:pStyle w:val="TableParagraph"/>
              <w:ind w:right="224"/>
              <w:jc w:val="right"/>
              <w:rPr>
                <w:sz w:val="18"/>
              </w:rPr>
            </w:pPr>
            <w:r>
              <w:rPr>
                <w:color w:val="231F20"/>
                <w:sz w:val="18"/>
              </w:rPr>
              <w:t>0.7</w:t>
            </w:r>
          </w:p>
        </w:tc>
        <w:tc>
          <w:tcPr>
            <w:tcW w:w="1077" w:type="dxa"/>
          </w:tcPr>
          <w:p>
            <w:pPr>
              <w:pStyle w:val="TableParagraph"/>
              <w:ind w:right="224"/>
              <w:jc w:val="right"/>
              <w:rPr>
                <w:sz w:val="18"/>
              </w:rPr>
            </w:pPr>
            <w:r>
              <w:rPr>
                <w:color w:val="231F20"/>
                <w:sz w:val="18"/>
              </w:rPr>
              <w:t>0.0</w:t>
            </w:r>
          </w:p>
        </w:tc>
      </w:tr>
      <w:tr>
        <w:trPr>
          <w:trHeight w:val="556" w:hRule="exact"/>
        </w:trPr>
        <w:tc>
          <w:tcPr>
            <w:tcW w:w="1271" w:type="dxa"/>
            <w:vMerge/>
          </w:tcPr>
          <w:p>
            <w:pPr/>
          </w:p>
        </w:tc>
        <w:tc>
          <w:tcPr>
            <w:tcW w:w="1473" w:type="dxa"/>
          </w:tcPr>
          <w:p>
            <w:pPr>
              <w:pStyle w:val="TableParagraph"/>
              <w:spacing w:line="249" w:lineRule="auto" w:before="89"/>
              <w:ind w:left="76"/>
              <w:rPr>
                <w:rFonts w:ascii="Arial"/>
                <w:i/>
                <w:sz w:val="18"/>
              </w:rPr>
            </w:pPr>
            <w:r>
              <w:rPr>
                <w:color w:val="231F20"/>
                <w:w w:val="105"/>
                <w:sz w:val="18"/>
              </w:rPr>
              <w:t>Doctorado/</w:t>
            </w:r>
            <w:r>
              <w:rPr>
                <w:rFonts w:ascii="Arial"/>
                <w:i/>
                <w:color w:val="231F20"/>
                <w:w w:val="105"/>
                <w:sz w:val="18"/>
              </w:rPr>
              <w:t>PH </w:t>
            </w:r>
            <w:r>
              <w:rPr>
                <w:rFonts w:ascii="Arial"/>
                <w:i/>
                <w:color w:val="231F20"/>
                <w:w w:val="105"/>
                <w:sz w:val="18"/>
              </w:rPr>
              <w:t>Doctor</w:t>
            </w:r>
          </w:p>
        </w:tc>
        <w:tc>
          <w:tcPr>
            <w:tcW w:w="1020" w:type="dxa"/>
          </w:tcPr>
          <w:p>
            <w:pPr>
              <w:pStyle w:val="TableParagraph"/>
              <w:spacing w:before="4"/>
              <w:rPr>
                <w:rFonts w:ascii="Arial"/>
                <w:sz w:val="17"/>
              </w:rPr>
            </w:pPr>
          </w:p>
          <w:p>
            <w:pPr>
              <w:pStyle w:val="TableParagraph"/>
              <w:spacing w:before="0"/>
              <w:ind w:right="224"/>
              <w:jc w:val="right"/>
              <w:rPr>
                <w:sz w:val="18"/>
              </w:rPr>
            </w:pPr>
            <w:r>
              <w:rPr>
                <w:color w:val="231F20"/>
                <w:sz w:val="18"/>
              </w:rPr>
              <w:t>0.0</w:t>
            </w:r>
          </w:p>
        </w:tc>
        <w:tc>
          <w:tcPr>
            <w:tcW w:w="1020" w:type="dxa"/>
          </w:tcPr>
          <w:p>
            <w:pPr>
              <w:pStyle w:val="TableParagraph"/>
              <w:spacing w:before="4"/>
              <w:rPr>
                <w:rFonts w:ascii="Arial"/>
                <w:sz w:val="17"/>
              </w:rPr>
            </w:pPr>
          </w:p>
          <w:p>
            <w:pPr>
              <w:pStyle w:val="TableParagraph"/>
              <w:spacing w:before="0"/>
              <w:ind w:right="224"/>
              <w:jc w:val="right"/>
              <w:rPr>
                <w:sz w:val="18"/>
              </w:rPr>
            </w:pPr>
            <w:r>
              <w:rPr>
                <w:color w:val="231F20"/>
                <w:sz w:val="18"/>
              </w:rPr>
              <w:t>0.0</w:t>
            </w:r>
          </w:p>
        </w:tc>
        <w:tc>
          <w:tcPr>
            <w:tcW w:w="1020" w:type="dxa"/>
          </w:tcPr>
          <w:p>
            <w:pPr>
              <w:pStyle w:val="TableParagraph"/>
              <w:spacing w:before="4"/>
              <w:rPr>
                <w:rFonts w:ascii="Arial"/>
                <w:sz w:val="17"/>
              </w:rPr>
            </w:pPr>
          </w:p>
          <w:p>
            <w:pPr>
              <w:pStyle w:val="TableParagraph"/>
              <w:spacing w:before="0"/>
              <w:ind w:right="224"/>
              <w:jc w:val="right"/>
              <w:rPr>
                <w:sz w:val="18"/>
              </w:rPr>
            </w:pPr>
            <w:r>
              <w:rPr>
                <w:color w:val="231F20"/>
                <w:sz w:val="18"/>
              </w:rPr>
              <w:t>0.6</w:t>
            </w:r>
          </w:p>
        </w:tc>
        <w:tc>
          <w:tcPr>
            <w:tcW w:w="1077" w:type="dxa"/>
          </w:tcPr>
          <w:p>
            <w:pPr>
              <w:pStyle w:val="TableParagraph"/>
              <w:spacing w:before="4"/>
              <w:rPr>
                <w:rFonts w:ascii="Arial"/>
                <w:sz w:val="17"/>
              </w:rPr>
            </w:pPr>
          </w:p>
          <w:p>
            <w:pPr>
              <w:pStyle w:val="TableParagraph"/>
              <w:spacing w:before="0"/>
              <w:ind w:right="224"/>
              <w:jc w:val="right"/>
              <w:rPr>
                <w:sz w:val="18"/>
              </w:rPr>
            </w:pPr>
            <w:r>
              <w:rPr>
                <w:color w:val="231F20"/>
                <w:sz w:val="18"/>
              </w:rPr>
              <w:t>0.0</w:t>
            </w:r>
          </w:p>
        </w:tc>
      </w:tr>
      <w:tr>
        <w:trPr>
          <w:trHeight w:val="340" w:hRule="exact"/>
        </w:trPr>
        <w:tc>
          <w:tcPr>
            <w:tcW w:w="1271" w:type="dxa"/>
            <w:vMerge/>
          </w:tcPr>
          <w:p>
            <w:pPr/>
          </w:p>
        </w:tc>
        <w:tc>
          <w:tcPr>
            <w:tcW w:w="1473" w:type="dxa"/>
          </w:tcPr>
          <w:p>
            <w:pPr>
              <w:pStyle w:val="TableParagraph"/>
              <w:spacing w:before="89"/>
              <w:ind w:left="75"/>
              <w:rPr>
                <w:rFonts w:ascii="Arial"/>
                <w:sz w:val="18"/>
              </w:rPr>
            </w:pPr>
            <w:r>
              <w:rPr>
                <w:rFonts w:ascii="Arial"/>
                <w:color w:val="231F20"/>
                <w:w w:val="105"/>
                <w:sz w:val="18"/>
              </w:rPr>
              <w:t>Total</w:t>
            </w:r>
          </w:p>
        </w:tc>
        <w:tc>
          <w:tcPr>
            <w:tcW w:w="1020" w:type="dxa"/>
          </w:tcPr>
          <w:p>
            <w:pPr>
              <w:pStyle w:val="TableParagraph"/>
              <w:spacing w:before="89"/>
              <w:ind w:right="224"/>
              <w:jc w:val="right"/>
              <w:rPr>
                <w:rFonts w:ascii="Arial"/>
                <w:sz w:val="18"/>
              </w:rPr>
            </w:pPr>
            <w:r>
              <w:rPr>
                <w:rFonts w:ascii="Arial"/>
                <w:color w:val="231F20"/>
                <w:w w:val="105"/>
                <w:sz w:val="18"/>
              </w:rPr>
              <w:t>100.0</w:t>
            </w:r>
          </w:p>
        </w:tc>
        <w:tc>
          <w:tcPr>
            <w:tcW w:w="1020" w:type="dxa"/>
          </w:tcPr>
          <w:p>
            <w:pPr>
              <w:pStyle w:val="TableParagraph"/>
              <w:spacing w:before="89"/>
              <w:ind w:right="224"/>
              <w:jc w:val="right"/>
              <w:rPr>
                <w:rFonts w:ascii="Arial"/>
                <w:sz w:val="18"/>
              </w:rPr>
            </w:pPr>
            <w:r>
              <w:rPr>
                <w:rFonts w:ascii="Arial"/>
                <w:color w:val="231F20"/>
                <w:w w:val="105"/>
                <w:sz w:val="18"/>
              </w:rPr>
              <w:t>100.0</w:t>
            </w:r>
          </w:p>
        </w:tc>
        <w:tc>
          <w:tcPr>
            <w:tcW w:w="1020" w:type="dxa"/>
          </w:tcPr>
          <w:p>
            <w:pPr>
              <w:pStyle w:val="TableParagraph"/>
              <w:spacing w:before="89"/>
              <w:ind w:right="224"/>
              <w:jc w:val="right"/>
              <w:rPr>
                <w:rFonts w:ascii="Arial"/>
                <w:sz w:val="18"/>
              </w:rPr>
            </w:pPr>
            <w:r>
              <w:rPr>
                <w:rFonts w:ascii="Arial"/>
                <w:color w:val="231F20"/>
                <w:w w:val="105"/>
                <w:sz w:val="18"/>
              </w:rPr>
              <w:t>100.0</w:t>
            </w:r>
          </w:p>
        </w:tc>
        <w:tc>
          <w:tcPr>
            <w:tcW w:w="1077" w:type="dxa"/>
          </w:tcPr>
          <w:p>
            <w:pPr>
              <w:pStyle w:val="TableParagraph"/>
              <w:spacing w:before="89"/>
              <w:ind w:right="224"/>
              <w:jc w:val="right"/>
              <w:rPr>
                <w:rFonts w:ascii="Arial"/>
                <w:sz w:val="18"/>
              </w:rPr>
            </w:pPr>
            <w:r>
              <w:rPr>
                <w:rFonts w:ascii="Arial"/>
                <w:color w:val="231F20"/>
                <w:w w:val="105"/>
                <w:sz w:val="18"/>
              </w:rPr>
              <w:t>100.0</w:t>
            </w:r>
          </w:p>
        </w:tc>
      </w:tr>
      <w:tr>
        <w:trPr>
          <w:trHeight w:val="340" w:hRule="exact"/>
        </w:trPr>
        <w:tc>
          <w:tcPr>
            <w:tcW w:w="1271" w:type="dxa"/>
            <w:vMerge w:val="restart"/>
          </w:tcPr>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line="249" w:lineRule="auto" w:before="111"/>
              <w:ind w:left="75"/>
              <w:rPr>
                <w:rFonts w:ascii="Arial"/>
                <w:sz w:val="18"/>
              </w:rPr>
            </w:pPr>
            <w:r>
              <w:rPr>
                <w:rFonts w:ascii="Arial"/>
                <w:color w:val="231F20"/>
                <w:w w:val="105"/>
                <w:sz w:val="18"/>
              </w:rPr>
              <w:t>Estado conyugal</w:t>
            </w:r>
          </w:p>
        </w:tc>
        <w:tc>
          <w:tcPr>
            <w:tcW w:w="1473" w:type="dxa"/>
          </w:tcPr>
          <w:p>
            <w:pPr>
              <w:pStyle w:val="TableParagraph"/>
              <w:ind w:left="75"/>
              <w:rPr>
                <w:sz w:val="18"/>
              </w:rPr>
            </w:pPr>
            <w:r>
              <w:rPr>
                <w:color w:val="231F20"/>
                <w:w w:val="105"/>
                <w:sz w:val="18"/>
              </w:rPr>
              <w:t>Soltero</w:t>
            </w:r>
          </w:p>
        </w:tc>
        <w:tc>
          <w:tcPr>
            <w:tcW w:w="1020" w:type="dxa"/>
          </w:tcPr>
          <w:p>
            <w:pPr>
              <w:pStyle w:val="TableParagraph"/>
              <w:ind w:right="224"/>
              <w:jc w:val="right"/>
              <w:rPr>
                <w:sz w:val="18"/>
              </w:rPr>
            </w:pPr>
            <w:r>
              <w:rPr>
                <w:color w:val="231F20"/>
                <w:sz w:val="18"/>
              </w:rPr>
              <w:t>0.0</w:t>
            </w:r>
          </w:p>
        </w:tc>
        <w:tc>
          <w:tcPr>
            <w:tcW w:w="1020" w:type="dxa"/>
          </w:tcPr>
          <w:p>
            <w:pPr>
              <w:pStyle w:val="TableParagraph"/>
              <w:ind w:right="226"/>
              <w:jc w:val="right"/>
              <w:rPr>
                <w:sz w:val="18"/>
              </w:rPr>
            </w:pPr>
            <w:r>
              <w:rPr>
                <w:color w:val="231F20"/>
                <w:sz w:val="18"/>
              </w:rPr>
              <w:t>0.0</w:t>
            </w:r>
          </w:p>
        </w:tc>
        <w:tc>
          <w:tcPr>
            <w:tcW w:w="1020" w:type="dxa"/>
          </w:tcPr>
          <w:p>
            <w:pPr>
              <w:pStyle w:val="TableParagraph"/>
              <w:ind w:right="225"/>
              <w:jc w:val="right"/>
              <w:rPr>
                <w:sz w:val="18"/>
              </w:rPr>
            </w:pPr>
            <w:r>
              <w:rPr>
                <w:color w:val="231F20"/>
                <w:sz w:val="18"/>
              </w:rPr>
              <w:t>7.6</w:t>
            </w:r>
          </w:p>
        </w:tc>
        <w:tc>
          <w:tcPr>
            <w:tcW w:w="1077" w:type="dxa"/>
          </w:tcPr>
          <w:p>
            <w:pPr>
              <w:pStyle w:val="TableParagraph"/>
              <w:ind w:right="225"/>
              <w:jc w:val="right"/>
              <w:rPr>
                <w:sz w:val="18"/>
              </w:rPr>
            </w:pPr>
            <w:r>
              <w:rPr>
                <w:color w:val="231F20"/>
                <w:sz w:val="18"/>
              </w:rPr>
              <w:t>36.4</w:t>
            </w:r>
          </w:p>
        </w:tc>
      </w:tr>
      <w:tr>
        <w:trPr>
          <w:trHeight w:val="340" w:hRule="exact"/>
        </w:trPr>
        <w:tc>
          <w:tcPr>
            <w:tcW w:w="1271" w:type="dxa"/>
            <w:vMerge/>
          </w:tcPr>
          <w:p>
            <w:pPr/>
          </w:p>
        </w:tc>
        <w:tc>
          <w:tcPr>
            <w:tcW w:w="1473" w:type="dxa"/>
          </w:tcPr>
          <w:p>
            <w:pPr>
              <w:pStyle w:val="TableParagraph"/>
              <w:ind w:left="75"/>
              <w:rPr>
                <w:sz w:val="18"/>
              </w:rPr>
            </w:pPr>
            <w:r>
              <w:rPr>
                <w:color w:val="231F20"/>
                <w:sz w:val="18"/>
              </w:rPr>
              <w:t>Casado</w:t>
            </w:r>
          </w:p>
        </w:tc>
        <w:tc>
          <w:tcPr>
            <w:tcW w:w="1020" w:type="dxa"/>
          </w:tcPr>
          <w:p>
            <w:pPr>
              <w:pStyle w:val="TableParagraph"/>
              <w:ind w:right="225"/>
              <w:jc w:val="right"/>
              <w:rPr>
                <w:sz w:val="18"/>
              </w:rPr>
            </w:pPr>
            <w:r>
              <w:rPr>
                <w:color w:val="231F20"/>
                <w:sz w:val="18"/>
              </w:rPr>
              <w:t>84.5</w:t>
            </w:r>
          </w:p>
        </w:tc>
        <w:tc>
          <w:tcPr>
            <w:tcW w:w="1020" w:type="dxa"/>
          </w:tcPr>
          <w:p>
            <w:pPr>
              <w:pStyle w:val="TableParagraph"/>
              <w:ind w:right="225"/>
              <w:jc w:val="right"/>
              <w:rPr>
                <w:sz w:val="18"/>
              </w:rPr>
            </w:pPr>
            <w:r>
              <w:rPr>
                <w:color w:val="231F20"/>
                <w:sz w:val="18"/>
              </w:rPr>
              <w:t>92.1</w:t>
            </w:r>
          </w:p>
        </w:tc>
        <w:tc>
          <w:tcPr>
            <w:tcW w:w="1020" w:type="dxa"/>
          </w:tcPr>
          <w:p>
            <w:pPr>
              <w:pStyle w:val="TableParagraph"/>
              <w:ind w:right="225"/>
              <w:jc w:val="right"/>
              <w:rPr>
                <w:sz w:val="18"/>
              </w:rPr>
            </w:pPr>
            <w:r>
              <w:rPr>
                <w:color w:val="231F20"/>
                <w:sz w:val="18"/>
              </w:rPr>
              <w:t>81.2</w:t>
            </w:r>
          </w:p>
        </w:tc>
        <w:tc>
          <w:tcPr>
            <w:tcW w:w="1077" w:type="dxa"/>
          </w:tcPr>
          <w:p>
            <w:pPr>
              <w:pStyle w:val="TableParagraph"/>
              <w:ind w:right="225"/>
              <w:jc w:val="right"/>
              <w:rPr>
                <w:sz w:val="18"/>
              </w:rPr>
            </w:pPr>
            <w:r>
              <w:rPr>
                <w:color w:val="231F20"/>
                <w:sz w:val="18"/>
              </w:rPr>
              <w:t>57.2</w:t>
            </w:r>
          </w:p>
        </w:tc>
      </w:tr>
      <w:tr>
        <w:trPr>
          <w:trHeight w:val="340" w:hRule="exact"/>
        </w:trPr>
        <w:tc>
          <w:tcPr>
            <w:tcW w:w="1271" w:type="dxa"/>
            <w:vMerge/>
          </w:tcPr>
          <w:p>
            <w:pPr/>
          </w:p>
        </w:tc>
        <w:tc>
          <w:tcPr>
            <w:tcW w:w="1473" w:type="dxa"/>
          </w:tcPr>
          <w:p>
            <w:pPr>
              <w:pStyle w:val="TableParagraph"/>
              <w:spacing w:before="92"/>
              <w:ind w:left="75"/>
              <w:rPr>
                <w:sz w:val="18"/>
              </w:rPr>
            </w:pPr>
            <w:r>
              <w:rPr>
                <w:color w:val="231F20"/>
                <w:w w:val="105"/>
                <w:sz w:val="18"/>
              </w:rPr>
              <w:t>Unido</w:t>
            </w:r>
          </w:p>
        </w:tc>
        <w:tc>
          <w:tcPr>
            <w:tcW w:w="1020" w:type="dxa"/>
          </w:tcPr>
          <w:p>
            <w:pPr>
              <w:pStyle w:val="TableParagraph"/>
              <w:spacing w:before="92"/>
              <w:ind w:right="225"/>
              <w:jc w:val="right"/>
              <w:rPr>
                <w:sz w:val="18"/>
              </w:rPr>
            </w:pPr>
            <w:r>
              <w:rPr>
                <w:color w:val="231F20"/>
                <w:sz w:val="18"/>
              </w:rPr>
              <w:t>4.7</w:t>
            </w:r>
          </w:p>
        </w:tc>
        <w:tc>
          <w:tcPr>
            <w:tcW w:w="1020" w:type="dxa"/>
          </w:tcPr>
          <w:p>
            <w:pPr>
              <w:pStyle w:val="TableParagraph"/>
              <w:spacing w:before="92"/>
              <w:ind w:right="225"/>
              <w:jc w:val="right"/>
              <w:rPr>
                <w:sz w:val="18"/>
              </w:rPr>
            </w:pPr>
            <w:r>
              <w:rPr>
                <w:color w:val="231F20"/>
                <w:sz w:val="18"/>
              </w:rPr>
              <w:t>0.0</w:t>
            </w:r>
          </w:p>
        </w:tc>
        <w:tc>
          <w:tcPr>
            <w:tcW w:w="1020" w:type="dxa"/>
          </w:tcPr>
          <w:p>
            <w:pPr>
              <w:pStyle w:val="TableParagraph"/>
              <w:spacing w:before="92"/>
              <w:ind w:right="225"/>
              <w:jc w:val="right"/>
              <w:rPr>
                <w:sz w:val="18"/>
              </w:rPr>
            </w:pPr>
            <w:r>
              <w:rPr>
                <w:color w:val="231F20"/>
                <w:sz w:val="18"/>
              </w:rPr>
              <w:t>5.1</w:t>
            </w:r>
          </w:p>
        </w:tc>
        <w:tc>
          <w:tcPr>
            <w:tcW w:w="1077" w:type="dxa"/>
          </w:tcPr>
          <w:p>
            <w:pPr>
              <w:pStyle w:val="TableParagraph"/>
              <w:spacing w:before="92"/>
              <w:ind w:right="225"/>
              <w:jc w:val="right"/>
              <w:rPr>
                <w:sz w:val="18"/>
              </w:rPr>
            </w:pPr>
            <w:r>
              <w:rPr>
                <w:color w:val="231F20"/>
                <w:sz w:val="18"/>
              </w:rPr>
              <w:t>0.0</w:t>
            </w:r>
          </w:p>
        </w:tc>
      </w:tr>
      <w:tr>
        <w:trPr>
          <w:trHeight w:val="556" w:hRule="exact"/>
        </w:trPr>
        <w:tc>
          <w:tcPr>
            <w:tcW w:w="1271" w:type="dxa"/>
            <w:vMerge/>
          </w:tcPr>
          <w:p>
            <w:pPr/>
          </w:p>
        </w:tc>
        <w:tc>
          <w:tcPr>
            <w:tcW w:w="1473" w:type="dxa"/>
          </w:tcPr>
          <w:p>
            <w:pPr>
              <w:pStyle w:val="TableParagraph"/>
              <w:spacing w:line="254" w:lineRule="auto" w:before="92"/>
              <w:ind w:left="75"/>
              <w:rPr>
                <w:sz w:val="18"/>
              </w:rPr>
            </w:pPr>
            <w:r>
              <w:rPr>
                <w:color w:val="231F20"/>
                <w:w w:val="105"/>
                <w:sz w:val="18"/>
              </w:rPr>
              <w:t>Separado o di- vorciado</w:t>
            </w:r>
          </w:p>
        </w:tc>
        <w:tc>
          <w:tcPr>
            <w:tcW w:w="1020" w:type="dxa"/>
          </w:tcPr>
          <w:p>
            <w:pPr>
              <w:pStyle w:val="TableParagraph"/>
              <w:spacing w:before="4"/>
              <w:rPr>
                <w:rFonts w:ascii="Arial"/>
                <w:sz w:val="17"/>
              </w:rPr>
            </w:pPr>
          </w:p>
          <w:p>
            <w:pPr>
              <w:pStyle w:val="TableParagraph"/>
              <w:spacing w:before="0"/>
              <w:ind w:right="225"/>
              <w:jc w:val="right"/>
              <w:rPr>
                <w:sz w:val="18"/>
              </w:rPr>
            </w:pPr>
            <w:r>
              <w:rPr>
                <w:color w:val="231F20"/>
                <w:sz w:val="18"/>
              </w:rPr>
              <w:t>6.5</w:t>
            </w:r>
          </w:p>
        </w:tc>
        <w:tc>
          <w:tcPr>
            <w:tcW w:w="1020" w:type="dxa"/>
          </w:tcPr>
          <w:p>
            <w:pPr>
              <w:pStyle w:val="TableParagraph"/>
              <w:spacing w:before="4"/>
              <w:rPr>
                <w:rFonts w:ascii="Arial"/>
                <w:sz w:val="17"/>
              </w:rPr>
            </w:pPr>
          </w:p>
          <w:p>
            <w:pPr>
              <w:pStyle w:val="TableParagraph"/>
              <w:spacing w:before="0"/>
              <w:ind w:right="225"/>
              <w:jc w:val="right"/>
              <w:rPr>
                <w:sz w:val="18"/>
              </w:rPr>
            </w:pPr>
            <w:r>
              <w:rPr>
                <w:color w:val="231F20"/>
                <w:sz w:val="18"/>
              </w:rPr>
              <w:t>5.3</w:t>
            </w:r>
          </w:p>
        </w:tc>
        <w:tc>
          <w:tcPr>
            <w:tcW w:w="1020" w:type="dxa"/>
          </w:tcPr>
          <w:p>
            <w:pPr>
              <w:pStyle w:val="TableParagraph"/>
              <w:spacing w:before="4"/>
              <w:rPr>
                <w:rFonts w:ascii="Arial"/>
                <w:sz w:val="17"/>
              </w:rPr>
            </w:pPr>
          </w:p>
          <w:p>
            <w:pPr>
              <w:pStyle w:val="TableParagraph"/>
              <w:spacing w:before="0"/>
              <w:ind w:right="225"/>
              <w:jc w:val="right"/>
              <w:rPr>
                <w:sz w:val="18"/>
              </w:rPr>
            </w:pPr>
            <w:r>
              <w:rPr>
                <w:color w:val="231F20"/>
                <w:sz w:val="18"/>
              </w:rPr>
              <w:t>4.2</w:t>
            </w:r>
          </w:p>
        </w:tc>
        <w:tc>
          <w:tcPr>
            <w:tcW w:w="1077" w:type="dxa"/>
          </w:tcPr>
          <w:p>
            <w:pPr>
              <w:pStyle w:val="TableParagraph"/>
              <w:spacing w:before="4"/>
              <w:rPr>
                <w:rFonts w:ascii="Arial"/>
                <w:sz w:val="17"/>
              </w:rPr>
            </w:pPr>
          </w:p>
          <w:p>
            <w:pPr>
              <w:pStyle w:val="TableParagraph"/>
              <w:spacing w:before="0"/>
              <w:ind w:right="225"/>
              <w:jc w:val="right"/>
              <w:rPr>
                <w:sz w:val="18"/>
              </w:rPr>
            </w:pPr>
            <w:r>
              <w:rPr>
                <w:color w:val="231F20"/>
                <w:sz w:val="18"/>
              </w:rPr>
              <w:t>5.2</w:t>
            </w:r>
          </w:p>
        </w:tc>
      </w:tr>
      <w:tr>
        <w:trPr>
          <w:trHeight w:val="340" w:hRule="exact"/>
        </w:trPr>
        <w:tc>
          <w:tcPr>
            <w:tcW w:w="1271" w:type="dxa"/>
            <w:vMerge/>
          </w:tcPr>
          <w:p>
            <w:pPr/>
          </w:p>
        </w:tc>
        <w:tc>
          <w:tcPr>
            <w:tcW w:w="1473" w:type="dxa"/>
          </w:tcPr>
          <w:p>
            <w:pPr>
              <w:pStyle w:val="TableParagraph"/>
              <w:spacing w:before="92"/>
              <w:ind w:left="75"/>
              <w:rPr>
                <w:sz w:val="18"/>
              </w:rPr>
            </w:pPr>
            <w:r>
              <w:rPr>
                <w:color w:val="231F20"/>
                <w:w w:val="105"/>
                <w:sz w:val="18"/>
              </w:rPr>
              <w:t>Viudo</w:t>
            </w:r>
          </w:p>
        </w:tc>
        <w:tc>
          <w:tcPr>
            <w:tcW w:w="1020" w:type="dxa"/>
          </w:tcPr>
          <w:p>
            <w:pPr>
              <w:pStyle w:val="TableParagraph"/>
              <w:spacing w:before="92"/>
              <w:ind w:right="225"/>
              <w:jc w:val="right"/>
              <w:rPr>
                <w:sz w:val="18"/>
              </w:rPr>
            </w:pPr>
            <w:r>
              <w:rPr>
                <w:color w:val="231F20"/>
                <w:sz w:val="18"/>
              </w:rPr>
              <w:t>4.3</w:t>
            </w:r>
          </w:p>
        </w:tc>
        <w:tc>
          <w:tcPr>
            <w:tcW w:w="1020" w:type="dxa"/>
          </w:tcPr>
          <w:p>
            <w:pPr>
              <w:pStyle w:val="TableParagraph"/>
              <w:spacing w:before="92"/>
              <w:ind w:right="225"/>
              <w:jc w:val="right"/>
              <w:rPr>
                <w:sz w:val="18"/>
              </w:rPr>
            </w:pPr>
            <w:r>
              <w:rPr>
                <w:color w:val="231F20"/>
                <w:sz w:val="18"/>
              </w:rPr>
              <w:t>2.6</w:t>
            </w:r>
          </w:p>
        </w:tc>
        <w:tc>
          <w:tcPr>
            <w:tcW w:w="1020" w:type="dxa"/>
          </w:tcPr>
          <w:p>
            <w:pPr>
              <w:pStyle w:val="TableParagraph"/>
              <w:spacing w:before="92"/>
              <w:ind w:right="225"/>
              <w:jc w:val="right"/>
              <w:rPr>
                <w:sz w:val="18"/>
              </w:rPr>
            </w:pPr>
            <w:r>
              <w:rPr>
                <w:color w:val="231F20"/>
                <w:sz w:val="18"/>
              </w:rPr>
              <w:t>1.9</w:t>
            </w:r>
          </w:p>
        </w:tc>
        <w:tc>
          <w:tcPr>
            <w:tcW w:w="1077" w:type="dxa"/>
          </w:tcPr>
          <w:p>
            <w:pPr>
              <w:pStyle w:val="TableParagraph"/>
              <w:spacing w:before="92"/>
              <w:ind w:right="225"/>
              <w:jc w:val="right"/>
              <w:rPr>
                <w:sz w:val="18"/>
              </w:rPr>
            </w:pPr>
            <w:r>
              <w:rPr>
                <w:color w:val="231F20"/>
                <w:sz w:val="18"/>
              </w:rPr>
              <w:t>1.2</w:t>
            </w:r>
          </w:p>
        </w:tc>
      </w:tr>
      <w:tr>
        <w:trPr>
          <w:trHeight w:val="340" w:hRule="exact"/>
        </w:trPr>
        <w:tc>
          <w:tcPr>
            <w:tcW w:w="1271" w:type="dxa"/>
            <w:vMerge/>
          </w:tcPr>
          <w:p>
            <w:pPr/>
          </w:p>
        </w:tc>
        <w:tc>
          <w:tcPr>
            <w:tcW w:w="1473" w:type="dxa"/>
          </w:tcPr>
          <w:p>
            <w:pPr>
              <w:pStyle w:val="TableParagraph"/>
              <w:spacing w:before="89"/>
              <w:ind w:left="74"/>
              <w:rPr>
                <w:rFonts w:ascii="Arial"/>
                <w:sz w:val="18"/>
              </w:rPr>
            </w:pPr>
            <w:r>
              <w:rPr>
                <w:rFonts w:ascii="Arial"/>
                <w:color w:val="231F20"/>
                <w:w w:val="105"/>
                <w:sz w:val="18"/>
              </w:rPr>
              <w:t>Total</w:t>
            </w:r>
          </w:p>
        </w:tc>
        <w:tc>
          <w:tcPr>
            <w:tcW w:w="1020" w:type="dxa"/>
          </w:tcPr>
          <w:p>
            <w:pPr>
              <w:pStyle w:val="TableParagraph"/>
              <w:spacing w:before="89"/>
              <w:ind w:right="225"/>
              <w:jc w:val="right"/>
              <w:rPr>
                <w:rFonts w:ascii="Arial"/>
                <w:sz w:val="18"/>
              </w:rPr>
            </w:pPr>
            <w:r>
              <w:rPr>
                <w:rFonts w:ascii="Arial"/>
                <w:color w:val="231F20"/>
                <w:w w:val="105"/>
                <w:sz w:val="18"/>
              </w:rPr>
              <w:t>100.0</w:t>
            </w:r>
          </w:p>
        </w:tc>
        <w:tc>
          <w:tcPr>
            <w:tcW w:w="1020" w:type="dxa"/>
          </w:tcPr>
          <w:p>
            <w:pPr>
              <w:pStyle w:val="TableParagraph"/>
              <w:spacing w:before="89"/>
              <w:ind w:right="225"/>
              <w:jc w:val="right"/>
              <w:rPr>
                <w:rFonts w:ascii="Arial"/>
                <w:sz w:val="18"/>
              </w:rPr>
            </w:pPr>
            <w:r>
              <w:rPr>
                <w:rFonts w:ascii="Arial"/>
                <w:color w:val="231F20"/>
                <w:w w:val="105"/>
                <w:sz w:val="18"/>
              </w:rPr>
              <w:t>100.0</w:t>
            </w:r>
          </w:p>
        </w:tc>
        <w:tc>
          <w:tcPr>
            <w:tcW w:w="1020" w:type="dxa"/>
          </w:tcPr>
          <w:p>
            <w:pPr>
              <w:pStyle w:val="TableParagraph"/>
              <w:spacing w:before="89"/>
              <w:ind w:right="225"/>
              <w:jc w:val="right"/>
              <w:rPr>
                <w:rFonts w:ascii="Arial"/>
                <w:sz w:val="18"/>
              </w:rPr>
            </w:pPr>
            <w:r>
              <w:rPr>
                <w:rFonts w:ascii="Arial"/>
                <w:color w:val="231F20"/>
                <w:w w:val="105"/>
                <w:sz w:val="18"/>
              </w:rPr>
              <w:t>100.0</w:t>
            </w:r>
          </w:p>
        </w:tc>
        <w:tc>
          <w:tcPr>
            <w:tcW w:w="1077" w:type="dxa"/>
          </w:tcPr>
          <w:p>
            <w:pPr>
              <w:pStyle w:val="TableParagraph"/>
              <w:spacing w:before="89"/>
              <w:ind w:right="227"/>
              <w:jc w:val="right"/>
              <w:rPr>
                <w:rFonts w:ascii="Arial"/>
                <w:sz w:val="18"/>
              </w:rPr>
            </w:pPr>
            <w:r>
              <w:rPr>
                <w:rFonts w:ascii="Arial"/>
                <w:color w:val="231F20"/>
                <w:w w:val="105"/>
                <w:sz w:val="18"/>
              </w:rPr>
              <w:t>100.0</w:t>
            </w:r>
          </w:p>
        </w:tc>
      </w:tr>
      <w:tr>
        <w:trPr>
          <w:trHeight w:val="340" w:hRule="exact"/>
        </w:trPr>
        <w:tc>
          <w:tcPr>
            <w:tcW w:w="1271" w:type="dxa"/>
          </w:tcPr>
          <w:p>
            <w:pPr>
              <w:pStyle w:val="TableParagraph"/>
              <w:spacing w:before="89"/>
              <w:ind w:left="74"/>
              <w:rPr>
                <w:rFonts w:ascii="Arial"/>
                <w:i/>
                <w:sz w:val="18"/>
              </w:rPr>
            </w:pPr>
            <w:r>
              <w:rPr>
                <w:rFonts w:ascii="Arial"/>
                <w:i/>
                <w:color w:val="231F20"/>
                <w:w w:val="105"/>
                <w:sz w:val="18"/>
              </w:rPr>
              <w:t>Total</w:t>
            </w:r>
          </w:p>
        </w:tc>
        <w:tc>
          <w:tcPr>
            <w:tcW w:w="1473" w:type="dxa"/>
          </w:tcPr>
          <w:p>
            <w:pPr/>
          </w:p>
        </w:tc>
        <w:tc>
          <w:tcPr>
            <w:tcW w:w="1020" w:type="dxa"/>
          </w:tcPr>
          <w:p>
            <w:pPr>
              <w:pStyle w:val="TableParagraph"/>
              <w:spacing w:before="89"/>
              <w:ind w:right="226"/>
              <w:jc w:val="right"/>
              <w:rPr>
                <w:rFonts w:ascii="Arial"/>
                <w:sz w:val="18"/>
              </w:rPr>
            </w:pPr>
            <w:r>
              <w:rPr>
                <w:rFonts w:ascii="Arial"/>
                <w:color w:val="231F20"/>
                <w:w w:val="105"/>
                <w:sz w:val="18"/>
              </w:rPr>
              <w:t>5.2</w:t>
            </w:r>
          </w:p>
        </w:tc>
        <w:tc>
          <w:tcPr>
            <w:tcW w:w="1020" w:type="dxa"/>
          </w:tcPr>
          <w:p>
            <w:pPr>
              <w:pStyle w:val="TableParagraph"/>
              <w:spacing w:before="89"/>
              <w:ind w:right="226"/>
              <w:jc w:val="right"/>
              <w:rPr>
                <w:rFonts w:ascii="Arial"/>
                <w:sz w:val="18"/>
              </w:rPr>
            </w:pPr>
            <w:r>
              <w:rPr>
                <w:rFonts w:ascii="Arial"/>
                <w:color w:val="231F20"/>
                <w:w w:val="105"/>
                <w:sz w:val="18"/>
              </w:rPr>
              <w:t>3.9</w:t>
            </w:r>
          </w:p>
        </w:tc>
        <w:tc>
          <w:tcPr>
            <w:tcW w:w="1020" w:type="dxa"/>
          </w:tcPr>
          <w:p>
            <w:pPr>
              <w:pStyle w:val="TableParagraph"/>
              <w:spacing w:before="89"/>
              <w:ind w:right="226"/>
              <w:jc w:val="right"/>
              <w:rPr>
                <w:rFonts w:ascii="Arial"/>
                <w:sz w:val="18"/>
              </w:rPr>
            </w:pPr>
            <w:r>
              <w:rPr>
                <w:rFonts w:ascii="Arial"/>
                <w:color w:val="231F20"/>
                <w:w w:val="105"/>
                <w:sz w:val="18"/>
              </w:rPr>
              <w:t>31.5</w:t>
            </w:r>
          </w:p>
        </w:tc>
        <w:tc>
          <w:tcPr>
            <w:tcW w:w="1077" w:type="dxa"/>
          </w:tcPr>
          <w:p>
            <w:pPr>
              <w:pStyle w:val="TableParagraph"/>
              <w:spacing w:before="89"/>
              <w:ind w:right="226"/>
              <w:jc w:val="right"/>
              <w:rPr>
                <w:rFonts w:ascii="Arial"/>
                <w:sz w:val="18"/>
              </w:rPr>
            </w:pPr>
            <w:r>
              <w:rPr>
                <w:rFonts w:ascii="Arial"/>
                <w:color w:val="231F20"/>
                <w:w w:val="105"/>
                <w:sz w:val="18"/>
              </w:rPr>
              <w:t>6.7</w:t>
            </w:r>
          </w:p>
        </w:tc>
      </w:tr>
    </w:tbl>
    <w:p>
      <w:pPr>
        <w:spacing w:line="254" w:lineRule="auto" w:before="78"/>
        <w:ind w:left="1837" w:right="1722" w:firstLine="0"/>
        <w:jc w:val="both"/>
        <w:rPr>
          <w:sz w:val="16"/>
        </w:rPr>
      </w:pPr>
      <w:r>
        <w:rPr>
          <w:color w:val="231F20"/>
          <w:w w:val="105"/>
          <w:sz w:val="16"/>
        </w:rPr>
        <w:t>Fuente: elaboración propia con datos de la Encuesta de Migración de la </w:t>
      </w:r>
      <w:r>
        <w:rPr>
          <w:color w:val="231F20"/>
          <w:spacing w:val="-3"/>
          <w:w w:val="105"/>
          <w:sz w:val="16"/>
        </w:rPr>
        <w:t>Frontera </w:t>
      </w:r>
      <w:r>
        <w:rPr>
          <w:color w:val="231F20"/>
          <w:w w:val="105"/>
          <w:sz w:val="16"/>
        </w:rPr>
        <w:t>Norte, 2013 </w:t>
      </w:r>
      <w:r>
        <w:rPr>
          <w:color w:val="231F20"/>
          <w:sz w:val="16"/>
        </w:rPr>
        <w:t>(</w:t>
      </w:r>
      <w:r>
        <w:rPr>
          <w:color w:val="231F20"/>
          <w:sz w:val="14"/>
        </w:rPr>
        <w:t>CONAPO</w:t>
      </w:r>
      <w:r>
        <w:rPr>
          <w:color w:val="231F20"/>
          <w:sz w:val="16"/>
        </w:rPr>
        <w:t>, 2015).</w:t>
      </w:r>
    </w:p>
    <w:p>
      <w:pPr>
        <w:pStyle w:val="BodyText"/>
        <w:rPr>
          <w:sz w:val="16"/>
        </w:rPr>
      </w:pPr>
    </w:p>
    <w:p>
      <w:pPr>
        <w:pStyle w:val="BodyText"/>
        <w:spacing w:line="261" w:lineRule="auto" w:before="101"/>
        <w:ind w:left="1837" w:right="1719"/>
        <w:jc w:val="both"/>
      </w:pPr>
      <w:r>
        <w:rPr>
          <w:color w:val="231F20"/>
          <w:spacing w:val="-4"/>
          <w:w w:val="105"/>
        </w:rPr>
        <w:t>Por </w:t>
      </w:r>
      <w:r>
        <w:rPr>
          <w:color w:val="231F20"/>
          <w:w w:val="105"/>
        </w:rPr>
        <w:t>nivel de escolaridad, los que alcanzaron al menos un grado de</w:t>
      </w:r>
      <w:r>
        <w:rPr>
          <w:color w:val="231F20"/>
          <w:spacing w:val="-30"/>
          <w:w w:val="105"/>
        </w:rPr>
        <w:t> </w:t>
      </w:r>
      <w:r>
        <w:rPr>
          <w:color w:val="231F20"/>
          <w:w w:val="105"/>
        </w:rPr>
        <w:t>pre- paratoria (</w:t>
      </w:r>
      <w:r>
        <w:rPr>
          <w:rFonts w:ascii="Arial" w:hAnsi="Arial"/>
          <w:i/>
          <w:color w:val="231F20"/>
          <w:w w:val="105"/>
        </w:rPr>
        <w:t>High school</w:t>
      </w:r>
      <w:r>
        <w:rPr>
          <w:color w:val="231F20"/>
          <w:w w:val="105"/>
        </w:rPr>
        <w:t>) fueron quienes tenían acceso a </w:t>
      </w:r>
      <w:r>
        <w:rPr>
          <w:rFonts w:ascii="Arial" w:hAnsi="Arial"/>
          <w:i/>
          <w:color w:val="231F20"/>
          <w:w w:val="105"/>
        </w:rPr>
        <w:t>Medicare </w:t>
      </w:r>
      <w:r>
        <w:rPr>
          <w:color w:val="231F20"/>
          <w:w w:val="105"/>
        </w:rPr>
        <w:t>en mayor medida (53.8%), seguido de los que obtuvieron algún grado de secundaria, con 24.2%. Asimismo, los casados presentaron la mayor proporción de acceso a </w:t>
      </w:r>
      <w:r>
        <w:rPr>
          <w:rFonts w:ascii="Arial" w:hAnsi="Arial"/>
          <w:i/>
          <w:color w:val="231F20"/>
          <w:w w:val="105"/>
        </w:rPr>
        <w:t>Medicare</w:t>
      </w:r>
      <w:r>
        <w:rPr>
          <w:color w:val="231F20"/>
          <w:w w:val="105"/>
        </w:rPr>
        <w:t>, con 84.5%, seguido en segundo tér- mino por quienes se encontraban separados o divorciados, con 6.5% (véase</w:t>
      </w:r>
      <w:r>
        <w:rPr>
          <w:color w:val="231F20"/>
          <w:spacing w:val="-28"/>
          <w:w w:val="105"/>
        </w:rPr>
        <w:t> </w:t>
      </w:r>
      <w:r>
        <w:rPr>
          <w:color w:val="231F20"/>
          <w:w w:val="105"/>
        </w:rPr>
        <w:t>cuadro</w:t>
      </w:r>
      <w:r>
        <w:rPr>
          <w:color w:val="231F20"/>
          <w:spacing w:val="-28"/>
          <w:w w:val="105"/>
        </w:rPr>
        <w:t> </w:t>
      </w:r>
      <w:r>
        <w:rPr>
          <w:color w:val="231F20"/>
          <w:w w:val="105"/>
        </w:rPr>
        <w:t>2.1).</w:t>
      </w:r>
    </w:p>
    <w:p>
      <w:pPr>
        <w:pStyle w:val="BodyText"/>
        <w:spacing w:line="261" w:lineRule="auto"/>
        <w:ind w:left="1837" w:right="1715" w:firstLine="567"/>
        <w:jc w:val="both"/>
      </w:pPr>
      <w:r>
        <w:rPr/>
        <w:pict>
          <v:line style="position:absolute;mso-position-horizontal-relative:page;mso-position-vertical-relative:paragraph;z-index:-468592" from="15pt,141.558472pt" to="0pt,141.558472pt" stroked="true" strokeweight=".25pt" strokecolor="#000000">
            <w10:wrap type="none"/>
          </v:line>
        </w:pict>
      </w:r>
      <w:r>
        <w:rPr/>
        <w:pict>
          <v:line style="position:absolute;mso-position-horizontal-relative:page;mso-position-vertical-relative:paragraph;z-index:21616" from="508.890015pt,141.558472pt" to="523.890015pt,141.558472pt" stroked="true" strokeweight=".25pt" strokecolor="#000000">
            <w10:wrap type="none"/>
          </v:line>
        </w:pict>
      </w:r>
      <w:r>
        <w:rPr>
          <w:color w:val="231F20"/>
        </w:rPr>
        <w:t>Respecto al acceso a </w:t>
      </w:r>
      <w:r>
        <w:rPr>
          <w:rFonts w:ascii="Arial" w:hAnsi="Arial"/>
          <w:i/>
          <w:color w:val="231F20"/>
        </w:rPr>
        <w:t>Medicaid</w:t>
      </w:r>
      <w:r>
        <w:rPr>
          <w:color w:val="231F20"/>
        </w:rPr>
        <w:t>,</w:t>
      </w:r>
      <w:r>
        <w:rPr>
          <w:color w:val="231F20"/>
          <w:spacing w:val="-41"/>
        </w:rPr>
        <w:t> </w:t>
      </w:r>
      <w:r>
        <w:rPr>
          <w:color w:val="231F20"/>
        </w:rPr>
        <w:t>sólo 3.9% de los nacidos en el Esta- do de México tuvieron acceso a este servicio de salud cuando estuvieron en Estados Unidos, siendo casi la mitad de lo obtenido a nivel nacional (6.8%). Nuevamente se aprecian diferencias significativas según  sexo, con 76.3% entre los varones y 23.7% en las mujeres. </w:t>
      </w:r>
      <w:r>
        <w:rPr>
          <w:color w:val="231F20"/>
          <w:spacing w:val="-6"/>
        </w:rPr>
        <w:t>Por </w:t>
      </w:r>
      <w:r>
        <w:rPr>
          <w:color w:val="231F20"/>
        </w:rPr>
        <w:t>grupos de</w:t>
      </w:r>
      <w:r>
        <w:rPr>
          <w:color w:val="231F20"/>
          <w:spacing w:val="42"/>
        </w:rPr>
        <w:t> </w:t>
      </w:r>
      <w:r>
        <w:rPr>
          <w:color w:val="231F20"/>
        </w:rPr>
        <w:t>edad,</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21664" from="15pt,-71.68644pt" to="0pt,-71.68644pt" stroked="true" strokeweight=".25pt" strokecolor="#000000">
            <w10:wrap type="none"/>
          </v:line>
        </w:pict>
      </w:r>
      <w:r>
        <w:rPr/>
        <w:pict>
          <v:line style="position:absolute;mso-position-horizontal-relative:page;mso-position-vertical-relative:paragraph;z-index:21688" from="508.890015pt,-71.68644pt" to="523.890015pt,-71.68644pt" stroked="true" strokeweight=".25pt" strokecolor="#000000">
            <w10:wrap type="none"/>
          </v:line>
        </w:pict>
      </w:r>
      <w:r>
        <w:rPr>
          <w:color w:val="231F20"/>
          <w:w w:val="105"/>
        </w:rPr>
        <w:t>los migrantes en flujo de 50 a 54 años presentaron la mayor</w:t>
      </w:r>
      <w:r>
        <w:rPr>
          <w:color w:val="231F20"/>
          <w:spacing w:val="-40"/>
          <w:w w:val="105"/>
        </w:rPr>
        <w:t> </w:t>
      </w:r>
      <w:r>
        <w:rPr>
          <w:color w:val="231F20"/>
          <w:w w:val="105"/>
        </w:rPr>
        <w:t>proporción con</w:t>
      </w:r>
      <w:r>
        <w:rPr>
          <w:color w:val="231F20"/>
          <w:spacing w:val="-24"/>
          <w:w w:val="105"/>
        </w:rPr>
        <w:t> </w:t>
      </w:r>
      <w:r>
        <w:rPr>
          <w:color w:val="231F20"/>
          <w:w w:val="105"/>
        </w:rPr>
        <w:t>30.3%,</w:t>
      </w:r>
      <w:r>
        <w:rPr>
          <w:color w:val="231F20"/>
          <w:spacing w:val="-30"/>
          <w:w w:val="105"/>
        </w:rPr>
        <w:t> </w:t>
      </w:r>
      <w:r>
        <w:rPr>
          <w:color w:val="231F20"/>
          <w:w w:val="105"/>
        </w:rPr>
        <w:t>seguido</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que</w:t>
      </w:r>
      <w:r>
        <w:rPr>
          <w:color w:val="231F20"/>
          <w:spacing w:val="-24"/>
          <w:w w:val="105"/>
        </w:rPr>
        <w:t> </w:t>
      </w:r>
      <w:r>
        <w:rPr>
          <w:color w:val="231F20"/>
          <w:w w:val="105"/>
        </w:rPr>
        <w:t>tenían</w:t>
      </w:r>
      <w:r>
        <w:rPr>
          <w:color w:val="231F20"/>
          <w:spacing w:val="-24"/>
          <w:w w:val="105"/>
        </w:rPr>
        <w:t> </w:t>
      </w:r>
      <w:r>
        <w:rPr>
          <w:color w:val="231F20"/>
          <w:w w:val="105"/>
        </w:rPr>
        <w:t>entre</w:t>
      </w:r>
      <w:r>
        <w:rPr>
          <w:color w:val="231F20"/>
          <w:spacing w:val="-24"/>
          <w:w w:val="105"/>
        </w:rPr>
        <w:t> </w:t>
      </w:r>
      <w:r>
        <w:rPr>
          <w:color w:val="231F20"/>
          <w:w w:val="105"/>
        </w:rPr>
        <w:t>45</w:t>
      </w:r>
      <w:r>
        <w:rPr>
          <w:color w:val="231F20"/>
          <w:spacing w:val="-24"/>
          <w:w w:val="105"/>
        </w:rPr>
        <w:t> </w:t>
      </w:r>
      <w:r>
        <w:rPr>
          <w:color w:val="231F20"/>
          <w:w w:val="105"/>
        </w:rPr>
        <w:t>y</w:t>
      </w:r>
      <w:r>
        <w:rPr>
          <w:color w:val="231F20"/>
          <w:spacing w:val="-24"/>
          <w:w w:val="105"/>
        </w:rPr>
        <w:t> </w:t>
      </w:r>
      <w:r>
        <w:rPr>
          <w:color w:val="231F20"/>
          <w:w w:val="105"/>
        </w:rPr>
        <w:t>49</w:t>
      </w:r>
      <w:r>
        <w:rPr>
          <w:color w:val="231F20"/>
          <w:spacing w:val="-24"/>
          <w:w w:val="105"/>
        </w:rPr>
        <w:t> </w:t>
      </w:r>
      <w:r>
        <w:rPr>
          <w:color w:val="231F20"/>
          <w:w w:val="105"/>
        </w:rPr>
        <w:t>años,</w:t>
      </w:r>
      <w:r>
        <w:rPr>
          <w:color w:val="231F20"/>
          <w:spacing w:val="-30"/>
          <w:w w:val="105"/>
        </w:rPr>
        <w:t> </w:t>
      </w:r>
      <w:r>
        <w:rPr>
          <w:color w:val="231F20"/>
          <w:w w:val="105"/>
        </w:rPr>
        <w:t>con</w:t>
      </w:r>
      <w:r>
        <w:rPr>
          <w:color w:val="231F20"/>
          <w:spacing w:val="-24"/>
          <w:w w:val="105"/>
        </w:rPr>
        <w:t> </w:t>
      </w:r>
      <w:r>
        <w:rPr>
          <w:color w:val="231F20"/>
          <w:w w:val="105"/>
        </w:rPr>
        <w:t>23.5%</w:t>
      </w:r>
      <w:r>
        <w:rPr>
          <w:color w:val="231F20"/>
          <w:spacing w:val="-24"/>
          <w:w w:val="105"/>
        </w:rPr>
        <w:t> </w:t>
      </w:r>
      <w:r>
        <w:rPr>
          <w:color w:val="231F20"/>
          <w:w w:val="105"/>
        </w:rPr>
        <w:t>(véa- se</w:t>
      </w:r>
      <w:r>
        <w:rPr>
          <w:color w:val="231F20"/>
          <w:spacing w:val="-30"/>
          <w:w w:val="105"/>
        </w:rPr>
        <w:t> </w:t>
      </w:r>
      <w:r>
        <w:rPr>
          <w:color w:val="231F20"/>
          <w:w w:val="105"/>
        </w:rPr>
        <w:t>cuadro</w:t>
      </w:r>
      <w:r>
        <w:rPr>
          <w:color w:val="231F20"/>
          <w:spacing w:val="-30"/>
          <w:w w:val="105"/>
        </w:rPr>
        <w:t> </w:t>
      </w:r>
      <w:r>
        <w:rPr>
          <w:color w:val="231F20"/>
          <w:w w:val="105"/>
        </w:rPr>
        <w:t>2.1).</w:t>
      </w:r>
    </w:p>
    <w:p>
      <w:pPr>
        <w:pStyle w:val="BodyText"/>
        <w:spacing w:line="261" w:lineRule="auto"/>
        <w:ind w:left="1723" w:right="1834" w:firstLine="567"/>
        <w:jc w:val="both"/>
      </w:pPr>
      <w:r>
        <w:rPr>
          <w:color w:val="231F20"/>
          <w:spacing w:val="-6"/>
          <w:w w:val="105"/>
        </w:rPr>
        <w:t>Por </w:t>
      </w:r>
      <w:r>
        <w:rPr>
          <w:color w:val="231F20"/>
          <w:w w:val="105"/>
        </w:rPr>
        <w:t>nivel de escolaridad, el acceso a </w:t>
      </w:r>
      <w:r>
        <w:rPr>
          <w:rFonts w:ascii="Arial" w:hAnsi="Arial"/>
          <w:i/>
          <w:color w:val="231F20"/>
          <w:w w:val="105"/>
        </w:rPr>
        <w:t>Medicaid </w:t>
      </w:r>
      <w:r>
        <w:rPr>
          <w:color w:val="231F20"/>
          <w:w w:val="105"/>
        </w:rPr>
        <w:t>registró la mayor proporción entre los migrantes nacidos en la entidad mexiquense con al</w:t>
      </w:r>
      <w:r>
        <w:rPr>
          <w:color w:val="231F20"/>
          <w:spacing w:val="-5"/>
          <w:w w:val="105"/>
        </w:rPr>
        <w:t> </w:t>
      </w:r>
      <w:r>
        <w:rPr>
          <w:color w:val="231F20"/>
          <w:w w:val="105"/>
        </w:rPr>
        <w:t>menos</w:t>
      </w:r>
      <w:r>
        <w:rPr>
          <w:color w:val="231F20"/>
          <w:spacing w:val="-5"/>
          <w:w w:val="105"/>
        </w:rPr>
        <w:t> </w:t>
      </w:r>
      <w:r>
        <w:rPr>
          <w:color w:val="231F20"/>
          <w:w w:val="105"/>
        </w:rPr>
        <w:t>el</w:t>
      </w:r>
      <w:r>
        <w:rPr>
          <w:color w:val="231F20"/>
          <w:spacing w:val="-5"/>
          <w:w w:val="105"/>
        </w:rPr>
        <w:t> </w:t>
      </w:r>
      <w:r>
        <w:rPr>
          <w:color w:val="231F20"/>
          <w:w w:val="105"/>
        </w:rPr>
        <w:t>grado</w:t>
      </w:r>
      <w:r>
        <w:rPr>
          <w:color w:val="231F20"/>
          <w:spacing w:val="-5"/>
          <w:w w:val="105"/>
        </w:rPr>
        <w:t> </w:t>
      </w:r>
      <w:r>
        <w:rPr>
          <w:color w:val="231F20"/>
          <w:w w:val="105"/>
        </w:rPr>
        <w:t>de</w:t>
      </w:r>
      <w:r>
        <w:rPr>
          <w:color w:val="231F20"/>
          <w:spacing w:val="-5"/>
          <w:w w:val="105"/>
        </w:rPr>
        <w:t> </w:t>
      </w:r>
      <w:r>
        <w:rPr>
          <w:color w:val="231F20"/>
          <w:w w:val="105"/>
        </w:rPr>
        <w:t>preparatoria,</w:t>
      </w:r>
      <w:r>
        <w:rPr>
          <w:color w:val="231F20"/>
          <w:spacing w:val="-12"/>
          <w:w w:val="105"/>
        </w:rPr>
        <w:t> </w:t>
      </w:r>
      <w:r>
        <w:rPr>
          <w:color w:val="231F20"/>
          <w:w w:val="105"/>
        </w:rPr>
        <w:t>44.2%,</w:t>
      </w:r>
      <w:r>
        <w:rPr>
          <w:color w:val="231F20"/>
          <w:spacing w:val="-12"/>
          <w:w w:val="105"/>
        </w:rPr>
        <w:t> </w:t>
      </w:r>
      <w:r>
        <w:rPr>
          <w:color w:val="231F20"/>
          <w:w w:val="105"/>
        </w:rPr>
        <w:t>seguido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que</w:t>
      </w:r>
      <w:r>
        <w:rPr>
          <w:color w:val="231F20"/>
          <w:spacing w:val="-5"/>
          <w:w w:val="105"/>
        </w:rPr>
        <w:t> </w:t>
      </w:r>
      <w:r>
        <w:rPr>
          <w:color w:val="231F20"/>
          <w:w w:val="105"/>
        </w:rPr>
        <w:t>contaban con</w:t>
      </w:r>
      <w:r>
        <w:rPr>
          <w:color w:val="231F20"/>
          <w:spacing w:val="-20"/>
          <w:w w:val="105"/>
        </w:rPr>
        <w:t> </w:t>
      </w:r>
      <w:r>
        <w:rPr>
          <w:color w:val="231F20"/>
          <w:w w:val="105"/>
        </w:rPr>
        <w:t>el</w:t>
      </w:r>
      <w:r>
        <w:rPr>
          <w:color w:val="231F20"/>
          <w:spacing w:val="-20"/>
          <w:w w:val="105"/>
        </w:rPr>
        <w:t> </w:t>
      </w:r>
      <w:r>
        <w:rPr>
          <w:color w:val="231F20"/>
          <w:w w:val="105"/>
        </w:rPr>
        <w:t>grado</w:t>
      </w:r>
      <w:r>
        <w:rPr>
          <w:color w:val="231F20"/>
          <w:spacing w:val="-20"/>
          <w:w w:val="105"/>
        </w:rPr>
        <w:t> </w:t>
      </w:r>
      <w:r>
        <w:rPr>
          <w:color w:val="231F20"/>
          <w:w w:val="105"/>
        </w:rPr>
        <w:t>de</w:t>
      </w:r>
      <w:r>
        <w:rPr>
          <w:color w:val="231F20"/>
          <w:spacing w:val="-20"/>
          <w:w w:val="105"/>
        </w:rPr>
        <w:t> </w:t>
      </w:r>
      <w:r>
        <w:rPr>
          <w:color w:val="231F20"/>
          <w:w w:val="105"/>
        </w:rPr>
        <w:t>primaria</w:t>
      </w:r>
      <w:r>
        <w:rPr>
          <w:color w:val="231F20"/>
          <w:spacing w:val="-20"/>
          <w:w w:val="105"/>
        </w:rPr>
        <w:t> </w:t>
      </w:r>
      <w:r>
        <w:rPr>
          <w:color w:val="231F20"/>
          <w:w w:val="105"/>
        </w:rPr>
        <w:t>(</w:t>
      </w:r>
      <w:r>
        <w:rPr>
          <w:rFonts w:ascii="Arial" w:hAnsi="Arial"/>
          <w:i/>
          <w:color w:val="231F20"/>
          <w:w w:val="105"/>
        </w:rPr>
        <w:t>Elementary</w:t>
      </w:r>
      <w:r>
        <w:rPr>
          <w:color w:val="231F20"/>
          <w:w w:val="105"/>
        </w:rPr>
        <w:t>),</w:t>
      </w:r>
      <w:r>
        <w:rPr>
          <w:color w:val="231F20"/>
          <w:spacing w:val="-24"/>
          <w:w w:val="105"/>
        </w:rPr>
        <w:t> </w:t>
      </w:r>
      <w:r>
        <w:rPr>
          <w:color w:val="231F20"/>
          <w:w w:val="105"/>
        </w:rPr>
        <w:t>30.9%.</w:t>
      </w:r>
      <w:r>
        <w:rPr>
          <w:color w:val="231F20"/>
          <w:spacing w:val="-27"/>
          <w:w w:val="105"/>
        </w:rPr>
        <w:t> </w:t>
      </w:r>
      <w:r>
        <w:rPr>
          <w:color w:val="231F20"/>
          <w:w w:val="105"/>
        </w:rPr>
        <w:t>Asimismo,</w:t>
      </w:r>
      <w:r>
        <w:rPr>
          <w:color w:val="231F20"/>
          <w:spacing w:val="-24"/>
          <w:w w:val="105"/>
        </w:rPr>
        <w:t> </w:t>
      </w:r>
      <w:r>
        <w:rPr>
          <w:color w:val="231F20"/>
          <w:w w:val="105"/>
        </w:rPr>
        <w:t>92.1%</w:t>
      </w:r>
      <w:r>
        <w:rPr>
          <w:color w:val="231F20"/>
          <w:spacing w:val="-20"/>
          <w:w w:val="105"/>
        </w:rPr>
        <w:t> </w:t>
      </w:r>
      <w:r>
        <w:rPr>
          <w:color w:val="231F20"/>
          <w:w w:val="105"/>
        </w:rPr>
        <w:t>eran</w:t>
      </w:r>
      <w:r>
        <w:rPr>
          <w:color w:val="231F20"/>
          <w:spacing w:val="-20"/>
          <w:w w:val="105"/>
        </w:rPr>
        <w:t> </w:t>
      </w:r>
      <w:r>
        <w:rPr>
          <w:color w:val="231F20"/>
          <w:w w:val="105"/>
        </w:rPr>
        <w:t>ca- sados</w:t>
      </w:r>
      <w:r>
        <w:rPr>
          <w:color w:val="231F20"/>
          <w:spacing w:val="-29"/>
          <w:w w:val="105"/>
        </w:rPr>
        <w:t> </w:t>
      </w:r>
      <w:r>
        <w:rPr>
          <w:color w:val="231F20"/>
          <w:w w:val="105"/>
        </w:rPr>
        <w:t>y</w:t>
      </w:r>
      <w:r>
        <w:rPr>
          <w:color w:val="231F20"/>
          <w:spacing w:val="-29"/>
          <w:w w:val="105"/>
        </w:rPr>
        <w:t> </w:t>
      </w:r>
      <w:r>
        <w:rPr>
          <w:color w:val="231F20"/>
          <w:w w:val="105"/>
        </w:rPr>
        <w:t>5.3%</w:t>
      </w:r>
      <w:r>
        <w:rPr>
          <w:color w:val="231F20"/>
          <w:spacing w:val="-29"/>
          <w:w w:val="105"/>
        </w:rPr>
        <w:t> </w:t>
      </w:r>
      <w:r>
        <w:rPr>
          <w:color w:val="231F20"/>
          <w:w w:val="105"/>
        </w:rPr>
        <w:t>separados</w:t>
      </w:r>
      <w:r>
        <w:rPr>
          <w:color w:val="231F20"/>
          <w:spacing w:val="-29"/>
          <w:w w:val="105"/>
        </w:rPr>
        <w:t> </w:t>
      </w:r>
      <w:r>
        <w:rPr>
          <w:color w:val="231F20"/>
          <w:w w:val="105"/>
        </w:rPr>
        <w:t>o</w:t>
      </w:r>
      <w:r>
        <w:rPr>
          <w:color w:val="231F20"/>
          <w:spacing w:val="-29"/>
          <w:w w:val="105"/>
        </w:rPr>
        <w:t> </w:t>
      </w:r>
      <w:r>
        <w:rPr>
          <w:color w:val="231F20"/>
          <w:w w:val="105"/>
        </w:rPr>
        <w:t>divorciados</w:t>
      </w:r>
      <w:r>
        <w:rPr>
          <w:color w:val="231F20"/>
          <w:spacing w:val="-29"/>
          <w:w w:val="105"/>
        </w:rPr>
        <w:t> </w:t>
      </w:r>
      <w:r>
        <w:rPr>
          <w:color w:val="231F20"/>
          <w:w w:val="105"/>
        </w:rPr>
        <w:t>(véase</w:t>
      </w:r>
      <w:r>
        <w:rPr>
          <w:color w:val="231F20"/>
          <w:spacing w:val="-29"/>
          <w:w w:val="105"/>
        </w:rPr>
        <w:t> </w:t>
      </w:r>
      <w:r>
        <w:rPr>
          <w:color w:val="231F20"/>
          <w:w w:val="105"/>
        </w:rPr>
        <w:t>cuadro</w:t>
      </w:r>
      <w:r>
        <w:rPr>
          <w:color w:val="231F20"/>
          <w:spacing w:val="-29"/>
          <w:w w:val="105"/>
        </w:rPr>
        <w:t> </w:t>
      </w:r>
      <w:r>
        <w:rPr>
          <w:color w:val="231F20"/>
          <w:w w:val="105"/>
        </w:rPr>
        <w:t>2.1).</w:t>
      </w:r>
    </w:p>
    <w:p>
      <w:pPr>
        <w:pStyle w:val="BodyText"/>
        <w:spacing w:line="261" w:lineRule="auto" w:before="1"/>
        <w:ind w:left="1723" w:right="1834" w:firstLine="567"/>
        <w:jc w:val="both"/>
      </w:pPr>
      <w:r>
        <w:rPr>
          <w:color w:val="231F20"/>
          <w:w w:val="105"/>
        </w:rPr>
        <w:t>En el mismo orden de ideas, 31.5% de los migrantes en flujo</w:t>
      </w:r>
      <w:r>
        <w:rPr>
          <w:color w:val="231F20"/>
          <w:spacing w:val="-17"/>
          <w:w w:val="105"/>
        </w:rPr>
        <w:t> </w:t>
      </w:r>
      <w:r>
        <w:rPr>
          <w:color w:val="231F20"/>
          <w:w w:val="105"/>
        </w:rPr>
        <w:t>pro- cedentes</w:t>
      </w:r>
      <w:r>
        <w:rPr>
          <w:color w:val="231F20"/>
          <w:spacing w:val="-25"/>
          <w:w w:val="105"/>
        </w:rPr>
        <w:t> </w:t>
      </w:r>
      <w:r>
        <w:rPr>
          <w:color w:val="231F20"/>
          <w:w w:val="105"/>
        </w:rPr>
        <w:t>de</w:t>
      </w:r>
      <w:r>
        <w:rPr>
          <w:color w:val="231F20"/>
          <w:spacing w:val="-25"/>
          <w:w w:val="105"/>
        </w:rPr>
        <w:t> </w:t>
      </w:r>
      <w:r>
        <w:rPr>
          <w:color w:val="231F20"/>
          <w:w w:val="105"/>
        </w:rPr>
        <w:t>Estados</w:t>
      </w:r>
      <w:r>
        <w:rPr>
          <w:color w:val="231F20"/>
          <w:spacing w:val="-25"/>
          <w:w w:val="105"/>
        </w:rPr>
        <w:t> </w:t>
      </w:r>
      <w:r>
        <w:rPr>
          <w:color w:val="231F20"/>
          <w:w w:val="105"/>
        </w:rPr>
        <w:t>Unidos,</w:t>
      </w:r>
      <w:r>
        <w:rPr>
          <w:color w:val="231F20"/>
          <w:spacing w:val="-30"/>
          <w:w w:val="105"/>
        </w:rPr>
        <w:t> </w:t>
      </w:r>
      <w:r>
        <w:rPr>
          <w:color w:val="231F20"/>
          <w:w w:val="105"/>
        </w:rPr>
        <w:t>y</w:t>
      </w:r>
      <w:r>
        <w:rPr>
          <w:color w:val="231F20"/>
          <w:spacing w:val="-25"/>
          <w:w w:val="105"/>
        </w:rPr>
        <w:t> </w:t>
      </w:r>
      <w:r>
        <w:rPr>
          <w:color w:val="231F20"/>
          <w:w w:val="105"/>
        </w:rPr>
        <w:t>nacidos</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Estado</w:t>
      </w:r>
      <w:r>
        <w:rPr>
          <w:color w:val="231F20"/>
          <w:spacing w:val="-25"/>
          <w:w w:val="105"/>
        </w:rPr>
        <w:t> </w:t>
      </w:r>
      <w:r>
        <w:rPr>
          <w:color w:val="231F20"/>
          <w:w w:val="105"/>
        </w:rPr>
        <w:t>de</w:t>
      </w:r>
      <w:r>
        <w:rPr>
          <w:color w:val="231F20"/>
          <w:spacing w:val="-25"/>
          <w:w w:val="105"/>
        </w:rPr>
        <w:t> </w:t>
      </w:r>
      <w:r>
        <w:rPr>
          <w:color w:val="231F20"/>
          <w:w w:val="105"/>
        </w:rPr>
        <w:t>México,</w:t>
      </w:r>
      <w:r>
        <w:rPr>
          <w:color w:val="231F20"/>
          <w:spacing w:val="-30"/>
          <w:w w:val="105"/>
        </w:rPr>
        <w:t> </w:t>
      </w:r>
      <w:r>
        <w:rPr>
          <w:color w:val="231F20"/>
          <w:w w:val="105"/>
        </w:rPr>
        <w:t>tenían</w:t>
      </w:r>
      <w:r>
        <w:rPr>
          <w:color w:val="231F20"/>
          <w:spacing w:val="-25"/>
          <w:w w:val="105"/>
        </w:rPr>
        <w:t> </w:t>
      </w:r>
      <w:r>
        <w:rPr>
          <w:color w:val="231F20"/>
          <w:w w:val="105"/>
        </w:rPr>
        <w:t>un seguro</w:t>
      </w:r>
      <w:r>
        <w:rPr>
          <w:color w:val="231F20"/>
          <w:spacing w:val="-14"/>
          <w:w w:val="105"/>
        </w:rPr>
        <w:t> </w:t>
      </w:r>
      <w:r>
        <w:rPr>
          <w:color w:val="231F20"/>
          <w:w w:val="105"/>
        </w:rPr>
        <w:t>médico</w:t>
      </w:r>
      <w:r>
        <w:rPr>
          <w:color w:val="231F20"/>
          <w:spacing w:val="-14"/>
          <w:w w:val="105"/>
        </w:rPr>
        <w:t> </w:t>
      </w:r>
      <w:r>
        <w:rPr>
          <w:color w:val="231F20"/>
          <w:w w:val="105"/>
        </w:rPr>
        <w:t>privado</w:t>
      </w:r>
      <w:r>
        <w:rPr>
          <w:color w:val="231F20"/>
          <w:spacing w:val="-14"/>
          <w:w w:val="105"/>
        </w:rPr>
        <w:t> </w:t>
      </w:r>
      <w:r>
        <w:rPr>
          <w:color w:val="231F20"/>
          <w:w w:val="105"/>
        </w:rPr>
        <w:t>en</w:t>
      </w:r>
      <w:r>
        <w:rPr>
          <w:color w:val="231F20"/>
          <w:spacing w:val="-14"/>
          <w:w w:val="105"/>
        </w:rPr>
        <w:t> </w:t>
      </w:r>
      <w:r>
        <w:rPr>
          <w:color w:val="231F20"/>
          <w:w w:val="105"/>
        </w:rPr>
        <w:t>esa</w:t>
      </w:r>
      <w:r>
        <w:rPr>
          <w:color w:val="231F20"/>
          <w:spacing w:val="-14"/>
          <w:w w:val="105"/>
        </w:rPr>
        <w:t> </w:t>
      </w:r>
      <w:r>
        <w:rPr>
          <w:color w:val="231F20"/>
          <w:w w:val="105"/>
        </w:rPr>
        <w:t>nación,</w:t>
      </w:r>
      <w:r>
        <w:rPr>
          <w:color w:val="231F20"/>
          <w:spacing w:val="-19"/>
          <w:w w:val="105"/>
        </w:rPr>
        <w:t> </w:t>
      </w:r>
      <w:r>
        <w:rPr>
          <w:color w:val="231F20"/>
          <w:w w:val="105"/>
        </w:rPr>
        <w:t>cifra</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encuentra</w:t>
      </w:r>
      <w:r>
        <w:rPr>
          <w:color w:val="231F20"/>
          <w:spacing w:val="-14"/>
          <w:w w:val="105"/>
        </w:rPr>
        <w:t> </w:t>
      </w:r>
      <w:r>
        <w:rPr>
          <w:color w:val="231F20"/>
          <w:w w:val="105"/>
        </w:rPr>
        <w:t>ligeramen- te</w:t>
      </w:r>
      <w:r>
        <w:rPr>
          <w:color w:val="231F20"/>
          <w:spacing w:val="-10"/>
          <w:w w:val="105"/>
        </w:rPr>
        <w:t> </w:t>
      </w:r>
      <w:r>
        <w:rPr>
          <w:color w:val="231F20"/>
          <w:w w:val="105"/>
        </w:rPr>
        <w:t>por</w:t>
      </w:r>
      <w:r>
        <w:rPr>
          <w:color w:val="231F20"/>
          <w:spacing w:val="-10"/>
          <w:w w:val="105"/>
        </w:rPr>
        <w:t> </w:t>
      </w:r>
      <w:r>
        <w:rPr>
          <w:color w:val="231F20"/>
          <w:w w:val="105"/>
        </w:rPr>
        <w:t>encima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obtenida</w:t>
      </w:r>
      <w:r>
        <w:rPr>
          <w:color w:val="231F20"/>
          <w:spacing w:val="-10"/>
          <w:w w:val="105"/>
        </w:rPr>
        <w:t> </w:t>
      </w:r>
      <w:r>
        <w:rPr>
          <w:color w:val="231F20"/>
          <w:w w:val="105"/>
        </w:rPr>
        <w:t>a</w:t>
      </w:r>
      <w:r>
        <w:rPr>
          <w:color w:val="231F20"/>
          <w:spacing w:val="-10"/>
          <w:w w:val="105"/>
        </w:rPr>
        <w:t> </w:t>
      </w:r>
      <w:r>
        <w:rPr>
          <w:color w:val="231F20"/>
          <w:w w:val="105"/>
        </w:rPr>
        <w:t>nivel</w:t>
      </w:r>
      <w:r>
        <w:rPr>
          <w:color w:val="231F20"/>
          <w:spacing w:val="-10"/>
          <w:w w:val="105"/>
        </w:rPr>
        <w:t> </w:t>
      </w:r>
      <w:r>
        <w:rPr>
          <w:color w:val="231F20"/>
          <w:w w:val="105"/>
        </w:rPr>
        <w:t>nacional</w:t>
      </w:r>
      <w:r>
        <w:rPr>
          <w:color w:val="231F20"/>
          <w:spacing w:val="-10"/>
          <w:w w:val="105"/>
        </w:rPr>
        <w:t> </w:t>
      </w:r>
      <w:r>
        <w:rPr>
          <w:color w:val="231F20"/>
          <w:w w:val="105"/>
        </w:rPr>
        <w:t>(30.4%).</w:t>
      </w:r>
      <w:r>
        <w:rPr>
          <w:color w:val="231F20"/>
          <w:spacing w:val="-16"/>
          <w:w w:val="105"/>
        </w:rPr>
        <w:t> </w:t>
      </w:r>
      <w:r>
        <w:rPr>
          <w:color w:val="231F20"/>
          <w:spacing w:val="-6"/>
          <w:w w:val="105"/>
        </w:rPr>
        <w:t>Por</w:t>
      </w:r>
      <w:r>
        <w:rPr>
          <w:color w:val="231F20"/>
          <w:spacing w:val="-10"/>
          <w:w w:val="105"/>
        </w:rPr>
        <w:t> </w:t>
      </w:r>
      <w:r>
        <w:rPr>
          <w:color w:val="231F20"/>
          <w:w w:val="105"/>
        </w:rPr>
        <w:t>sexo,</w:t>
      </w:r>
      <w:r>
        <w:rPr>
          <w:color w:val="231F20"/>
          <w:spacing w:val="-16"/>
          <w:w w:val="105"/>
        </w:rPr>
        <w:t> </w:t>
      </w:r>
      <w:r>
        <w:rPr>
          <w:color w:val="231F20"/>
          <w:w w:val="105"/>
        </w:rPr>
        <w:t>la</w:t>
      </w:r>
      <w:r>
        <w:rPr>
          <w:color w:val="231F20"/>
          <w:spacing w:val="-10"/>
          <w:w w:val="105"/>
        </w:rPr>
        <w:t> </w:t>
      </w:r>
      <w:r>
        <w:rPr>
          <w:color w:val="231F20"/>
          <w:w w:val="105"/>
        </w:rPr>
        <w:t>distri- bución observa un comportamiento poco más equilibrado en compara- ción</w:t>
      </w:r>
      <w:r>
        <w:rPr>
          <w:color w:val="231F20"/>
          <w:spacing w:val="-21"/>
          <w:w w:val="105"/>
        </w:rPr>
        <w:t> </w:t>
      </w:r>
      <w:r>
        <w:rPr>
          <w:color w:val="231F20"/>
          <w:w w:val="105"/>
        </w:rPr>
        <w:t>con</w:t>
      </w:r>
      <w:r>
        <w:rPr>
          <w:color w:val="231F20"/>
          <w:spacing w:val="-21"/>
          <w:w w:val="105"/>
        </w:rPr>
        <w:t> </w:t>
      </w:r>
      <w:r>
        <w:rPr>
          <w:color w:val="231F20"/>
          <w:w w:val="105"/>
        </w:rPr>
        <w:t>los</w:t>
      </w:r>
      <w:r>
        <w:rPr>
          <w:color w:val="231F20"/>
          <w:spacing w:val="-21"/>
          <w:w w:val="105"/>
        </w:rPr>
        <w:t> </w:t>
      </w:r>
      <w:r>
        <w:rPr>
          <w:color w:val="231F20"/>
          <w:w w:val="105"/>
        </w:rPr>
        <w:t>servicios</w:t>
      </w:r>
      <w:r>
        <w:rPr>
          <w:color w:val="231F20"/>
          <w:spacing w:val="-20"/>
          <w:w w:val="105"/>
        </w:rPr>
        <w:t> </w:t>
      </w:r>
      <w:r>
        <w:rPr>
          <w:color w:val="231F20"/>
          <w:w w:val="105"/>
        </w:rPr>
        <w:t>de</w:t>
      </w:r>
      <w:r>
        <w:rPr>
          <w:color w:val="231F20"/>
          <w:spacing w:val="-21"/>
          <w:w w:val="105"/>
        </w:rPr>
        <w:t> </w:t>
      </w:r>
      <w:r>
        <w:rPr>
          <w:color w:val="231F20"/>
          <w:w w:val="105"/>
        </w:rPr>
        <w:t>salud</w:t>
      </w:r>
      <w:r>
        <w:rPr>
          <w:color w:val="231F20"/>
          <w:spacing w:val="-21"/>
          <w:w w:val="105"/>
        </w:rPr>
        <w:t> </w:t>
      </w:r>
      <w:r>
        <w:rPr>
          <w:color w:val="231F20"/>
          <w:w w:val="105"/>
        </w:rPr>
        <w:t>públicos,</w:t>
      </w:r>
      <w:r>
        <w:rPr>
          <w:color w:val="231F20"/>
          <w:spacing w:val="-26"/>
          <w:w w:val="105"/>
        </w:rPr>
        <w:t> </w:t>
      </w:r>
      <w:r>
        <w:rPr>
          <w:color w:val="231F20"/>
          <w:w w:val="105"/>
        </w:rPr>
        <w:t>siendo</w:t>
      </w:r>
      <w:r>
        <w:rPr>
          <w:color w:val="231F20"/>
          <w:spacing w:val="-21"/>
          <w:w w:val="105"/>
        </w:rPr>
        <w:t> </w:t>
      </w:r>
      <w:r>
        <w:rPr>
          <w:color w:val="231F20"/>
          <w:w w:val="105"/>
        </w:rPr>
        <w:t>de</w:t>
      </w:r>
      <w:r>
        <w:rPr>
          <w:color w:val="231F20"/>
          <w:spacing w:val="-21"/>
          <w:w w:val="105"/>
        </w:rPr>
        <w:t> </w:t>
      </w:r>
      <w:r>
        <w:rPr>
          <w:color w:val="231F20"/>
          <w:w w:val="105"/>
        </w:rPr>
        <w:t>56.7%</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hombres y 43.3% en las mujeres. El grupo de edad de 45 a 49 años presentó la mayor</w:t>
      </w:r>
      <w:r>
        <w:rPr>
          <w:color w:val="231F20"/>
          <w:spacing w:val="-21"/>
          <w:w w:val="105"/>
        </w:rPr>
        <w:t> </w:t>
      </w:r>
      <w:r>
        <w:rPr>
          <w:color w:val="231F20"/>
          <w:w w:val="105"/>
        </w:rPr>
        <w:t>proporción,</w:t>
      </w:r>
      <w:r>
        <w:rPr>
          <w:color w:val="231F20"/>
          <w:spacing w:val="-26"/>
          <w:w w:val="105"/>
        </w:rPr>
        <w:t> </w:t>
      </w:r>
      <w:r>
        <w:rPr>
          <w:color w:val="231F20"/>
          <w:w w:val="105"/>
        </w:rPr>
        <w:t>con</w:t>
      </w:r>
      <w:r>
        <w:rPr>
          <w:color w:val="231F20"/>
          <w:spacing w:val="-21"/>
          <w:w w:val="105"/>
        </w:rPr>
        <w:t> </w:t>
      </w:r>
      <w:r>
        <w:rPr>
          <w:color w:val="231F20"/>
          <w:w w:val="105"/>
        </w:rPr>
        <w:t>20.1%,</w:t>
      </w:r>
      <w:r>
        <w:rPr>
          <w:color w:val="231F20"/>
          <w:spacing w:val="-26"/>
          <w:w w:val="105"/>
        </w:rPr>
        <w:t> </w:t>
      </w:r>
      <w:r>
        <w:rPr>
          <w:color w:val="231F20"/>
          <w:w w:val="105"/>
        </w:rPr>
        <w:t>seguido</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de</w:t>
      </w:r>
      <w:r>
        <w:rPr>
          <w:color w:val="231F20"/>
          <w:spacing w:val="-21"/>
          <w:w w:val="105"/>
        </w:rPr>
        <w:t> </w:t>
      </w:r>
      <w:r>
        <w:rPr>
          <w:color w:val="231F20"/>
          <w:w w:val="105"/>
        </w:rPr>
        <w:t>35</w:t>
      </w:r>
      <w:r>
        <w:rPr>
          <w:color w:val="231F20"/>
          <w:spacing w:val="-21"/>
          <w:w w:val="105"/>
        </w:rPr>
        <w:t> </w:t>
      </w:r>
      <w:r>
        <w:rPr>
          <w:color w:val="231F20"/>
          <w:w w:val="105"/>
        </w:rPr>
        <w:t>a</w:t>
      </w:r>
      <w:r>
        <w:rPr>
          <w:color w:val="231F20"/>
          <w:spacing w:val="-21"/>
          <w:w w:val="105"/>
        </w:rPr>
        <w:t> </w:t>
      </w:r>
      <w:r>
        <w:rPr>
          <w:color w:val="231F20"/>
          <w:w w:val="105"/>
        </w:rPr>
        <w:t>39</w:t>
      </w:r>
      <w:r>
        <w:rPr>
          <w:color w:val="231F20"/>
          <w:spacing w:val="-21"/>
          <w:w w:val="105"/>
        </w:rPr>
        <w:t> </w:t>
      </w:r>
      <w:r>
        <w:rPr>
          <w:color w:val="231F20"/>
          <w:w w:val="105"/>
        </w:rPr>
        <w:t>años,</w:t>
      </w:r>
      <w:r>
        <w:rPr>
          <w:color w:val="231F20"/>
          <w:spacing w:val="-26"/>
          <w:w w:val="105"/>
        </w:rPr>
        <w:t> </w:t>
      </w:r>
      <w:r>
        <w:rPr>
          <w:color w:val="231F20"/>
          <w:w w:val="105"/>
        </w:rPr>
        <w:t>con</w:t>
      </w:r>
      <w:r>
        <w:rPr>
          <w:color w:val="231F20"/>
          <w:spacing w:val="-21"/>
          <w:w w:val="105"/>
        </w:rPr>
        <w:t> </w:t>
      </w:r>
      <w:r>
        <w:rPr>
          <w:color w:val="231F20"/>
          <w:w w:val="105"/>
        </w:rPr>
        <w:t>14.7% </w:t>
      </w:r>
      <w:r>
        <w:rPr>
          <w:color w:val="231F20"/>
        </w:rPr>
        <w:t>(véase cuadro</w:t>
      </w:r>
      <w:r>
        <w:rPr>
          <w:color w:val="231F20"/>
          <w:spacing w:val="-3"/>
        </w:rPr>
        <w:t> </w:t>
      </w:r>
      <w:r>
        <w:rPr>
          <w:color w:val="231F20"/>
        </w:rPr>
        <w:t>2.1).</w:t>
      </w:r>
    </w:p>
    <w:p>
      <w:pPr>
        <w:pStyle w:val="BodyText"/>
        <w:spacing w:line="261" w:lineRule="auto" w:before="1"/>
        <w:ind w:left="1723" w:right="1834" w:firstLine="567"/>
        <w:jc w:val="both"/>
      </w:pPr>
      <w:r>
        <w:rPr>
          <w:color w:val="231F20"/>
          <w:w w:val="105"/>
        </w:rPr>
        <w:t>Igualmente,</w:t>
      </w:r>
      <w:r>
        <w:rPr>
          <w:color w:val="231F20"/>
          <w:spacing w:val="-21"/>
          <w:w w:val="105"/>
        </w:rPr>
        <w:t> </w:t>
      </w:r>
      <w:r>
        <w:rPr>
          <w:color w:val="231F20"/>
          <w:w w:val="105"/>
        </w:rPr>
        <w:t>la</w:t>
      </w:r>
      <w:r>
        <w:rPr>
          <w:color w:val="231F20"/>
          <w:spacing w:val="-15"/>
          <w:w w:val="105"/>
        </w:rPr>
        <w:t> </w:t>
      </w:r>
      <w:r>
        <w:rPr>
          <w:color w:val="231F20"/>
          <w:w w:val="105"/>
        </w:rPr>
        <w:t>mayoría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migrantes</w:t>
      </w:r>
      <w:r>
        <w:rPr>
          <w:color w:val="231F20"/>
          <w:spacing w:val="-15"/>
          <w:w w:val="105"/>
        </w:rPr>
        <w:t> </w:t>
      </w:r>
      <w:r>
        <w:rPr>
          <w:color w:val="231F20"/>
          <w:w w:val="105"/>
        </w:rPr>
        <w:t>en</w:t>
      </w:r>
      <w:r>
        <w:rPr>
          <w:color w:val="231F20"/>
          <w:spacing w:val="-15"/>
          <w:w w:val="105"/>
        </w:rPr>
        <w:t> </w:t>
      </w:r>
      <w:r>
        <w:rPr>
          <w:color w:val="231F20"/>
          <w:w w:val="105"/>
        </w:rPr>
        <w:t>flujo</w:t>
      </w:r>
      <w:r>
        <w:rPr>
          <w:color w:val="231F20"/>
          <w:spacing w:val="-15"/>
          <w:w w:val="105"/>
        </w:rPr>
        <w:t> </w:t>
      </w:r>
      <w:r>
        <w:rPr>
          <w:color w:val="231F20"/>
          <w:w w:val="105"/>
        </w:rPr>
        <w:t>nacidos</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enti- dad mexiquense que contaban con el grado de secundaria fueron</w:t>
      </w:r>
      <w:r>
        <w:rPr>
          <w:color w:val="231F20"/>
          <w:spacing w:val="-39"/>
          <w:w w:val="105"/>
        </w:rPr>
        <w:t> </w:t>
      </w:r>
      <w:r>
        <w:rPr>
          <w:color w:val="231F20"/>
          <w:w w:val="105"/>
        </w:rPr>
        <w:t>quie- nes contaban con algún seguro médico privado, 43%, seguido de los que</w:t>
      </w:r>
      <w:r>
        <w:rPr>
          <w:color w:val="231F20"/>
          <w:spacing w:val="-20"/>
          <w:w w:val="105"/>
        </w:rPr>
        <w:t> </w:t>
      </w:r>
      <w:r>
        <w:rPr>
          <w:color w:val="231F20"/>
          <w:w w:val="105"/>
        </w:rPr>
        <w:t>tienen</w:t>
      </w:r>
      <w:r>
        <w:rPr>
          <w:color w:val="231F20"/>
          <w:spacing w:val="-20"/>
          <w:w w:val="105"/>
        </w:rPr>
        <w:t> </w:t>
      </w:r>
      <w:r>
        <w:rPr>
          <w:color w:val="231F20"/>
          <w:w w:val="105"/>
        </w:rPr>
        <w:t>preparatoria</w:t>
      </w:r>
      <w:r>
        <w:rPr>
          <w:color w:val="231F20"/>
          <w:spacing w:val="-20"/>
          <w:w w:val="105"/>
        </w:rPr>
        <w:t> </w:t>
      </w:r>
      <w:r>
        <w:rPr>
          <w:color w:val="231F20"/>
          <w:w w:val="105"/>
        </w:rPr>
        <w:t>con</w:t>
      </w:r>
      <w:r>
        <w:rPr>
          <w:color w:val="231F20"/>
          <w:spacing w:val="-20"/>
          <w:w w:val="105"/>
        </w:rPr>
        <w:t> </w:t>
      </w:r>
      <w:r>
        <w:rPr>
          <w:color w:val="231F20"/>
          <w:w w:val="105"/>
        </w:rPr>
        <w:t>38.1%.</w:t>
      </w:r>
      <w:r>
        <w:rPr>
          <w:color w:val="231F20"/>
          <w:spacing w:val="-26"/>
          <w:w w:val="105"/>
        </w:rPr>
        <w:t> </w:t>
      </w:r>
      <w:r>
        <w:rPr>
          <w:color w:val="231F20"/>
          <w:spacing w:val="-6"/>
          <w:w w:val="105"/>
        </w:rPr>
        <w:t>Por</w:t>
      </w:r>
      <w:r>
        <w:rPr>
          <w:color w:val="231F20"/>
          <w:spacing w:val="-20"/>
          <w:w w:val="105"/>
        </w:rPr>
        <w:t> </w:t>
      </w:r>
      <w:r>
        <w:rPr>
          <w:color w:val="231F20"/>
          <w:w w:val="105"/>
        </w:rPr>
        <w:t>estado</w:t>
      </w:r>
      <w:r>
        <w:rPr>
          <w:color w:val="231F20"/>
          <w:spacing w:val="-20"/>
          <w:w w:val="105"/>
        </w:rPr>
        <w:t> </w:t>
      </w:r>
      <w:r>
        <w:rPr>
          <w:color w:val="231F20"/>
          <w:w w:val="105"/>
        </w:rPr>
        <w:t>conyugal</w:t>
      </w:r>
      <w:r>
        <w:rPr>
          <w:color w:val="231F20"/>
          <w:spacing w:val="-20"/>
          <w:w w:val="105"/>
        </w:rPr>
        <w:t> </w:t>
      </w:r>
      <w:r>
        <w:rPr>
          <w:color w:val="231F20"/>
          <w:w w:val="105"/>
        </w:rPr>
        <w:t>nuevamente</w:t>
      </w:r>
      <w:r>
        <w:rPr>
          <w:color w:val="231F20"/>
          <w:spacing w:val="-20"/>
          <w:w w:val="105"/>
        </w:rPr>
        <w:t> </w:t>
      </w:r>
      <w:r>
        <w:rPr>
          <w:color w:val="231F20"/>
          <w:w w:val="105"/>
        </w:rPr>
        <w:t>los casados</w:t>
      </w:r>
      <w:r>
        <w:rPr>
          <w:color w:val="231F20"/>
          <w:spacing w:val="-21"/>
          <w:w w:val="105"/>
        </w:rPr>
        <w:t> </w:t>
      </w:r>
      <w:r>
        <w:rPr>
          <w:color w:val="231F20"/>
          <w:w w:val="105"/>
        </w:rPr>
        <w:t>tuvieron</w:t>
      </w:r>
      <w:r>
        <w:rPr>
          <w:color w:val="231F20"/>
          <w:spacing w:val="-21"/>
          <w:w w:val="105"/>
        </w:rPr>
        <w:t> </w:t>
      </w:r>
      <w:r>
        <w:rPr>
          <w:color w:val="231F20"/>
          <w:w w:val="105"/>
        </w:rPr>
        <w:t>una</w:t>
      </w:r>
      <w:r>
        <w:rPr>
          <w:color w:val="231F20"/>
          <w:spacing w:val="-21"/>
          <w:w w:val="105"/>
        </w:rPr>
        <w:t> </w:t>
      </w:r>
      <w:r>
        <w:rPr>
          <w:color w:val="231F20"/>
          <w:w w:val="105"/>
        </w:rPr>
        <w:t>mayor</w:t>
      </w:r>
      <w:r>
        <w:rPr>
          <w:color w:val="231F20"/>
          <w:spacing w:val="-21"/>
          <w:w w:val="105"/>
        </w:rPr>
        <w:t> </w:t>
      </w:r>
      <w:r>
        <w:rPr>
          <w:color w:val="231F20"/>
          <w:w w:val="105"/>
        </w:rPr>
        <w:t>participación</w:t>
      </w:r>
      <w:r>
        <w:rPr>
          <w:color w:val="231F20"/>
          <w:spacing w:val="-21"/>
          <w:w w:val="105"/>
        </w:rPr>
        <w:t> </w:t>
      </w:r>
      <w:r>
        <w:rPr>
          <w:color w:val="231F20"/>
          <w:w w:val="105"/>
        </w:rPr>
        <w:t>con</w:t>
      </w:r>
      <w:r>
        <w:rPr>
          <w:color w:val="231F20"/>
          <w:spacing w:val="-21"/>
          <w:w w:val="105"/>
        </w:rPr>
        <w:t> </w:t>
      </w:r>
      <w:r>
        <w:rPr>
          <w:color w:val="231F20"/>
          <w:w w:val="105"/>
        </w:rPr>
        <w:t>81.2%,</w:t>
      </w:r>
      <w:r>
        <w:rPr>
          <w:color w:val="231F20"/>
          <w:spacing w:val="-25"/>
          <w:w w:val="105"/>
        </w:rPr>
        <w:t> </w:t>
      </w:r>
      <w:r>
        <w:rPr>
          <w:color w:val="231F20"/>
          <w:w w:val="105"/>
        </w:rPr>
        <w:t>los</w:t>
      </w:r>
      <w:r>
        <w:rPr>
          <w:color w:val="231F20"/>
          <w:spacing w:val="-21"/>
          <w:w w:val="105"/>
        </w:rPr>
        <w:t> </w:t>
      </w:r>
      <w:r>
        <w:rPr>
          <w:color w:val="231F20"/>
          <w:w w:val="105"/>
        </w:rPr>
        <w:t>solteros</w:t>
      </w:r>
      <w:r>
        <w:rPr>
          <w:color w:val="231F20"/>
          <w:spacing w:val="-21"/>
          <w:w w:val="105"/>
        </w:rPr>
        <w:t> </w:t>
      </w:r>
      <w:r>
        <w:rPr>
          <w:color w:val="231F20"/>
          <w:w w:val="105"/>
        </w:rPr>
        <w:t>se</w:t>
      </w:r>
      <w:r>
        <w:rPr>
          <w:color w:val="231F20"/>
          <w:spacing w:val="-21"/>
          <w:w w:val="105"/>
        </w:rPr>
        <w:t> </w:t>
      </w:r>
      <w:r>
        <w:rPr>
          <w:color w:val="231F20"/>
          <w:w w:val="105"/>
        </w:rPr>
        <w:t>ubi- caron</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segunda</w:t>
      </w:r>
      <w:r>
        <w:rPr>
          <w:color w:val="231F20"/>
          <w:spacing w:val="-23"/>
          <w:w w:val="105"/>
        </w:rPr>
        <w:t> </w:t>
      </w:r>
      <w:r>
        <w:rPr>
          <w:color w:val="231F20"/>
          <w:w w:val="105"/>
        </w:rPr>
        <w:t>posición</w:t>
      </w:r>
      <w:r>
        <w:rPr>
          <w:color w:val="231F20"/>
          <w:spacing w:val="-23"/>
          <w:w w:val="105"/>
        </w:rPr>
        <w:t> </w:t>
      </w:r>
      <w:r>
        <w:rPr>
          <w:color w:val="231F20"/>
          <w:w w:val="105"/>
        </w:rPr>
        <w:t>con</w:t>
      </w:r>
      <w:r>
        <w:rPr>
          <w:color w:val="231F20"/>
          <w:spacing w:val="-23"/>
          <w:w w:val="105"/>
        </w:rPr>
        <w:t> </w:t>
      </w:r>
      <w:r>
        <w:rPr>
          <w:color w:val="231F20"/>
          <w:w w:val="105"/>
        </w:rPr>
        <w:t>7.6%</w:t>
      </w:r>
      <w:r>
        <w:rPr>
          <w:color w:val="231F20"/>
          <w:spacing w:val="-23"/>
          <w:w w:val="105"/>
        </w:rPr>
        <w:t> </w:t>
      </w:r>
      <w:r>
        <w:rPr>
          <w:color w:val="231F20"/>
          <w:w w:val="105"/>
        </w:rPr>
        <w:t>(véase</w:t>
      </w:r>
      <w:r>
        <w:rPr>
          <w:color w:val="231F20"/>
          <w:spacing w:val="-23"/>
          <w:w w:val="105"/>
        </w:rPr>
        <w:t> </w:t>
      </w:r>
      <w:r>
        <w:rPr>
          <w:color w:val="231F20"/>
          <w:w w:val="105"/>
        </w:rPr>
        <w:t>cuadro</w:t>
      </w:r>
      <w:r>
        <w:rPr>
          <w:color w:val="231F20"/>
          <w:spacing w:val="-23"/>
          <w:w w:val="105"/>
        </w:rPr>
        <w:t> </w:t>
      </w:r>
      <w:r>
        <w:rPr>
          <w:color w:val="231F20"/>
          <w:w w:val="105"/>
        </w:rPr>
        <w:t>2.1).</w:t>
      </w:r>
    </w:p>
    <w:p>
      <w:pPr>
        <w:pStyle w:val="BodyText"/>
        <w:spacing w:line="261" w:lineRule="auto" w:before="1"/>
        <w:ind w:left="1723" w:right="1834" w:firstLine="567"/>
        <w:jc w:val="both"/>
      </w:pPr>
      <w:r>
        <w:rPr>
          <w:color w:val="231F20"/>
          <w:w w:val="105"/>
        </w:rPr>
        <w:t>El</w:t>
      </w:r>
      <w:r>
        <w:rPr>
          <w:color w:val="231F20"/>
          <w:spacing w:val="-16"/>
          <w:w w:val="105"/>
        </w:rPr>
        <w:t> </w:t>
      </w:r>
      <w:r>
        <w:rPr>
          <w:color w:val="231F20"/>
          <w:w w:val="105"/>
        </w:rPr>
        <w:t>6.7%</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migrantes</w:t>
      </w:r>
      <w:r>
        <w:rPr>
          <w:color w:val="231F20"/>
          <w:spacing w:val="-16"/>
          <w:w w:val="105"/>
        </w:rPr>
        <w:t> </w:t>
      </w:r>
      <w:r>
        <w:rPr>
          <w:color w:val="231F20"/>
          <w:w w:val="105"/>
        </w:rPr>
        <w:t>procedentes</w:t>
      </w:r>
      <w:r>
        <w:rPr>
          <w:color w:val="231F20"/>
          <w:spacing w:val="-16"/>
          <w:w w:val="105"/>
        </w:rPr>
        <w:t> </w:t>
      </w:r>
      <w:r>
        <w:rPr>
          <w:color w:val="231F20"/>
          <w:w w:val="105"/>
        </w:rPr>
        <w:t>de</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21"/>
          <w:w w:val="105"/>
        </w:rPr>
        <w:t> </w:t>
      </w:r>
      <w:r>
        <w:rPr>
          <w:color w:val="231F20"/>
          <w:w w:val="105"/>
        </w:rPr>
        <w:t>nacidos en el Estado de México,</w:t>
      </w:r>
      <w:r>
        <w:rPr>
          <w:color w:val="231F20"/>
          <w:spacing w:val="-42"/>
          <w:w w:val="105"/>
        </w:rPr>
        <w:t> </w:t>
      </w:r>
      <w:r>
        <w:rPr>
          <w:color w:val="231F20"/>
          <w:w w:val="105"/>
        </w:rPr>
        <w:t>tuvieron otro tipo de seguro médico durante su estadía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país</w:t>
      </w:r>
      <w:r>
        <w:rPr>
          <w:color w:val="231F20"/>
          <w:spacing w:val="-6"/>
          <w:w w:val="105"/>
        </w:rPr>
        <w:t> </w:t>
      </w:r>
      <w:r>
        <w:rPr>
          <w:color w:val="231F20"/>
          <w:w w:val="105"/>
        </w:rPr>
        <w:t>del</w:t>
      </w:r>
      <w:r>
        <w:rPr>
          <w:color w:val="231F20"/>
          <w:spacing w:val="-6"/>
          <w:w w:val="105"/>
        </w:rPr>
        <w:t> </w:t>
      </w:r>
      <w:r>
        <w:rPr>
          <w:color w:val="231F20"/>
          <w:w w:val="105"/>
        </w:rPr>
        <w:t>norte,</w:t>
      </w:r>
      <w:r>
        <w:rPr>
          <w:color w:val="231F20"/>
          <w:spacing w:val="-11"/>
          <w:w w:val="105"/>
        </w:rPr>
        <w:t> </w:t>
      </w:r>
      <w:r>
        <w:rPr>
          <w:color w:val="231F20"/>
          <w:w w:val="105"/>
        </w:rPr>
        <w:t>proporción</w:t>
      </w:r>
      <w:r>
        <w:rPr>
          <w:color w:val="231F20"/>
          <w:spacing w:val="-6"/>
          <w:w w:val="105"/>
        </w:rPr>
        <w:t> </w:t>
      </w:r>
      <w:r>
        <w:rPr>
          <w:color w:val="231F20"/>
          <w:w w:val="105"/>
        </w:rPr>
        <w:t>muy</w:t>
      </w:r>
      <w:r>
        <w:rPr>
          <w:color w:val="231F20"/>
          <w:spacing w:val="-6"/>
          <w:w w:val="105"/>
        </w:rPr>
        <w:t> </w:t>
      </w:r>
      <w:r>
        <w:rPr>
          <w:color w:val="231F20"/>
          <w:w w:val="105"/>
        </w:rPr>
        <w:t>similar</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obtenida</w:t>
      </w:r>
      <w:r>
        <w:rPr>
          <w:color w:val="231F20"/>
          <w:spacing w:val="-6"/>
          <w:w w:val="105"/>
        </w:rPr>
        <w:t> </w:t>
      </w:r>
      <w:r>
        <w:rPr>
          <w:color w:val="231F20"/>
          <w:w w:val="105"/>
        </w:rPr>
        <w:t>a</w:t>
      </w:r>
      <w:r>
        <w:rPr>
          <w:color w:val="231F20"/>
          <w:spacing w:val="-6"/>
          <w:w w:val="105"/>
        </w:rPr>
        <w:t> </w:t>
      </w:r>
      <w:r>
        <w:rPr>
          <w:color w:val="231F20"/>
          <w:w w:val="105"/>
        </w:rPr>
        <w:t>nivel nacional,</w:t>
      </w:r>
      <w:r>
        <w:rPr>
          <w:color w:val="231F20"/>
          <w:spacing w:val="-9"/>
          <w:w w:val="105"/>
        </w:rPr>
        <w:t> </w:t>
      </w:r>
      <w:r>
        <w:rPr>
          <w:color w:val="231F20"/>
          <w:w w:val="105"/>
        </w:rPr>
        <w:t>la</w:t>
      </w:r>
      <w:r>
        <w:rPr>
          <w:color w:val="231F20"/>
          <w:spacing w:val="-4"/>
          <w:w w:val="105"/>
        </w:rPr>
        <w:t> </w:t>
      </w:r>
      <w:r>
        <w:rPr>
          <w:color w:val="231F20"/>
          <w:w w:val="105"/>
        </w:rPr>
        <w:t>cual</w:t>
      </w:r>
      <w:r>
        <w:rPr>
          <w:color w:val="231F20"/>
          <w:spacing w:val="-4"/>
          <w:w w:val="105"/>
        </w:rPr>
        <w:t> </w:t>
      </w:r>
      <w:r>
        <w:rPr>
          <w:color w:val="231F20"/>
          <w:w w:val="105"/>
        </w:rPr>
        <w:t>fluctuó</w:t>
      </w:r>
      <w:r>
        <w:rPr>
          <w:color w:val="231F20"/>
          <w:spacing w:val="-4"/>
          <w:w w:val="105"/>
        </w:rPr>
        <w:t> </w:t>
      </w:r>
      <w:r>
        <w:rPr>
          <w:color w:val="231F20"/>
          <w:w w:val="105"/>
        </w:rPr>
        <w:t>en</w:t>
      </w:r>
      <w:r>
        <w:rPr>
          <w:color w:val="231F20"/>
          <w:spacing w:val="-4"/>
          <w:w w:val="105"/>
        </w:rPr>
        <w:t> </w:t>
      </w:r>
      <w:r>
        <w:rPr>
          <w:color w:val="231F20"/>
          <w:w w:val="105"/>
        </w:rPr>
        <w:t>6%.</w:t>
      </w:r>
      <w:r>
        <w:rPr>
          <w:color w:val="231F20"/>
          <w:spacing w:val="-9"/>
          <w:w w:val="105"/>
        </w:rPr>
        <w:t> </w:t>
      </w:r>
      <w:r>
        <w:rPr>
          <w:color w:val="231F20"/>
          <w:w w:val="105"/>
        </w:rPr>
        <w:t>De</w:t>
      </w:r>
      <w:r>
        <w:rPr>
          <w:color w:val="231F20"/>
          <w:spacing w:val="-4"/>
          <w:w w:val="105"/>
        </w:rPr>
        <w:t> </w:t>
      </w:r>
      <w:r>
        <w:rPr>
          <w:color w:val="231F20"/>
          <w:w w:val="105"/>
        </w:rPr>
        <w:t>estos,</w:t>
      </w:r>
      <w:r>
        <w:rPr>
          <w:color w:val="231F20"/>
          <w:spacing w:val="-9"/>
          <w:w w:val="105"/>
        </w:rPr>
        <w:t> </w:t>
      </w:r>
      <w:r>
        <w:rPr>
          <w:color w:val="231F20"/>
          <w:w w:val="105"/>
        </w:rPr>
        <w:t>49.4%</w:t>
      </w:r>
      <w:r>
        <w:rPr>
          <w:color w:val="231F20"/>
          <w:spacing w:val="-4"/>
          <w:w w:val="105"/>
        </w:rPr>
        <w:t> </w:t>
      </w:r>
      <w:r>
        <w:rPr>
          <w:color w:val="231F20"/>
          <w:w w:val="105"/>
        </w:rPr>
        <w:t>eran</w:t>
      </w:r>
      <w:r>
        <w:rPr>
          <w:color w:val="231F20"/>
          <w:spacing w:val="-4"/>
          <w:w w:val="105"/>
        </w:rPr>
        <w:t> </w:t>
      </w:r>
      <w:r>
        <w:rPr>
          <w:color w:val="231F20"/>
          <w:w w:val="105"/>
        </w:rPr>
        <w:t>hombres</w:t>
      </w:r>
      <w:r>
        <w:rPr>
          <w:color w:val="231F20"/>
          <w:spacing w:val="-4"/>
          <w:w w:val="105"/>
        </w:rPr>
        <w:t> </w:t>
      </w:r>
      <w:r>
        <w:rPr>
          <w:color w:val="231F20"/>
          <w:w w:val="105"/>
        </w:rPr>
        <w:t>y</w:t>
      </w:r>
      <w:r>
        <w:rPr>
          <w:color w:val="231F20"/>
          <w:spacing w:val="-4"/>
          <w:w w:val="105"/>
        </w:rPr>
        <w:t> </w:t>
      </w:r>
      <w:r>
        <w:rPr>
          <w:color w:val="231F20"/>
          <w:w w:val="105"/>
        </w:rPr>
        <w:t>50.6% mujeres.</w:t>
      </w:r>
      <w:r>
        <w:rPr>
          <w:color w:val="231F20"/>
          <w:spacing w:val="-15"/>
          <w:w w:val="105"/>
        </w:rPr>
        <w:t> </w:t>
      </w:r>
      <w:r>
        <w:rPr>
          <w:color w:val="231F20"/>
          <w:spacing w:val="-6"/>
          <w:w w:val="105"/>
        </w:rPr>
        <w:t>Por</w:t>
      </w:r>
      <w:r>
        <w:rPr>
          <w:color w:val="231F20"/>
          <w:spacing w:val="-10"/>
          <w:w w:val="105"/>
        </w:rPr>
        <w:t> </w:t>
      </w:r>
      <w:r>
        <w:rPr>
          <w:color w:val="231F20"/>
          <w:w w:val="105"/>
        </w:rPr>
        <w:t>grupos</w:t>
      </w:r>
      <w:r>
        <w:rPr>
          <w:color w:val="231F20"/>
          <w:spacing w:val="-10"/>
          <w:w w:val="105"/>
        </w:rPr>
        <w:t> </w:t>
      </w:r>
      <w:r>
        <w:rPr>
          <w:color w:val="231F20"/>
          <w:w w:val="105"/>
        </w:rPr>
        <w:t>de</w:t>
      </w:r>
      <w:r>
        <w:rPr>
          <w:color w:val="231F20"/>
          <w:spacing w:val="-10"/>
          <w:w w:val="105"/>
        </w:rPr>
        <w:t> </w:t>
      </w:r>
      <w:r>
        <w:rPr>
          <w:color w:val="231F20"/>
          <w:w w:val="105"/>
        </w:rPr>
        <w:t>edad</w:t>
      </w:r>
      <w:r>
        <w:rPr>
          <w:color w:val="231F20"/>
          <w:spacing w:val="-10"/>
          <w:w w:val="105"/>
        </w:rPr>
        <w:t> </w:t>
      </w:r>
      <w:r>
        <w:rPr>
          <w:color w:val="231F20"/>
          <w:w w:val="105"/>
        </w:rPr>
        <w:t>se</w:t>
      </w:r>
      <w:r>
        <w:rPr>
          <w:color w:val="231F20"/>
          <w:spacing w:val="-10"/>
          <w:w w:val="105"/>
        </w:rPr>
        <w:t> </w:t>
      </w:r>
      <w:r>
        <w:rPr>
          <w:color w:val="231F20"/>
          <w:w w:val="105"/>
        </w:rPr>
        <w:t>observa</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mayor</w:t>
      </w:r>
      <w:r>
        <w:rPr>
          <w:color w:val="231F20"/>
          <w:spacing w:val="-10"/>
          <w:w w:val="105"/>
        </w:rPr>
        <w:t> </w:t>
      </w:r>
      <w:r>
        <w:rPr>
          <w:color w:val="231F20"/>
          <w:w w:val="105"/>
        </w:rPr>
        <w:t>proporción</w:t>
      </w:r>
      <w:r>
        <w:rPr>
          <w:color w:val="231F20"/>
          <w:spacing w:val="-10"/>
          <w:w w:val="105"/>
        </w:rPr>
        <w:t> </w:t>
      </w:r>
      <w:r>
        <w:rPr>
          <w:color w:val="231F20"/>
          <w:w w:val="105"/>
        </w:rPr>
        <w:t>de</w:t>
      </w:r>
      <w:r>
        <w:rPr>
          <w:color w:val="231F20"/>
          <w:spacing w:val="-10"/>
          <w:w w:val="105"/>
        </w:rPr>
        <w:t> </w:t>
      </w:r>
      <w:r>
        <w:rPr>
          <w:color w:val="231F20"/>
          <w:w w:val="105"/>
        </w:rPr>
        <w:t>los que</w:t>
      </w:r>
      <w:r>
        <w:rPr>
          <w:color w:val="231F20"/>
          <w:spacing w:val="-3"/>
          <w:w w:val="105"/>
        </w:rPr>
        <w:t> </w:t>
      </w:r>
      <w:r>
        <w:rPr>
          <w:color w:val="231F20"/>
          <w:w w:val="105"/>
        </w:rPr>
        <w:t>tuvieron</w:t>
      </w:r>
      <w:r>
        <w:rPr>
          <w:color w:val="231F20"/>
          <w:spacing w:val="-3"/>
          <w:w w:val="105"/>
        </w:rPr>
        <w:t> </w:t>
      </w:r>
      <w:r>
        <w:rPr>
          <w:color w:val="231F20"/>
          <w:w w:val="105"/>
        </w:rPr>
        <w:t>otro</w:t>
      </w:r>
      <w:r>
        <w:rPr>
          <w:color w:val="231F20"/>
          <w:spacing w:val="-3"/>
          <w:w w:val="105"/>
        </w:rPr>
        <w:t> </w:t>
      </w:r>
      <w:r>
        <w:rPr>
          <w:color w:val="231F20"/>
          <w:w w:val="105"/>
        </w:rPr>
        <w:t>tipo</w:t>
      </w:r>
      <w:r>
        <w:rPr>
          <w:color w:val="231F20"/>
          <w:spacing w:val="-3"/>
          <w:w w:val="105"/>
        </w:rPr>
        <w:t> </w:t>
      </w:r>
      <w:r>
        <w:rPr>
          <w:color w:val="231F20"/>
          <w:w w:val="105"/>
        </w:rPr>
        <w:t>de</w:t>
      </w:r>
      <w:r>
        <w:rPr>
          <w:color w:val="231F20"/>
          <w:spacing w:val="-3"/>
          <w:w w:val="105"/>
        </w:rPr>
        <w:t> </w:t>
      </w:r>
      <w:r>
        <w:rPr>
          <w:color w:val="231F20"/>
          <w:w w:val="105"/>
        </w:rPr>
        <w:t>servicio</w:t>
      </w:r>
      <w:r>
        <w:rPr>
          <w:color w:val="231F20"/>
          <w:spacing w:val="-3"/>
          <w:w w:val="105"/>
        </w:rPr>
        <w:t> </w:t>
      </w:r>
      <w:r>
        <w:rPr>
          <w:color w:val="231F20"/>
          <w:w w:val="105"/>
        </w:rPr>
        <w:t>médico</w:t>
      </w:r>
      <w:r>
        <w:rPr>
          <w:color w:val="231F20"/>
          <w:spacing w:val="-3"/>
          <w:w w:val="105"/>
        </w:rPr>
        <w:t> </w:t>
      </w:r>
      <w:r>
        <w:rPr>
          <w:color w:val="231F20"/>
          <w:w w:val="105"/>
        </w:rPr>
        <w:t>tenían</w:t>
      </w:r>
      <w:r>
        <w:rPr>
          <w:color w:val="231F20"/>
          <w:spacing w:val="-3"/>
          <w:w w:val="105"/>
        </w:rPr>
        <w:t> </w:t>
      </w:r>
      <w:r>
        <w:rPr>
          <w:color w:val="231F20"/>
          <w:w w:val="105"/>
        </w:rPr>
        <w:t>entre</w:t>
      </w:r>
      <w:r>
        <w:rPr>
          <w:color w:val="231F20"/>
          <w:spacing w:val="-3"/>
          <w:w w:val="105"/>
        </w:rPr>
        <w:t> </w:t>
      </w:r>
      <w:r>
        <w:rPr>
          <w:color w:val="231F20"/>
          <w:w w:val="105"/>
        </w:rPr>
        <w:t>25</w:t>
      </w:r>
      <w:r>
        <w:rPr>
          <w:color w:val="231F20"/>
          <w:spacing w:val="-3"/>
          <w:w w:val="105"/>
        </w:rPr>
        <w:t> </w:t>
      </w:r>
      <w:r>
        <w:rPr>
          <w:color w:val="231F20"/>
          <w:w w:val="105"/>
        </w:rPr>
        <w:t>y</w:t>
      </w:r>
      <w:r>
        <w:rPr>
          <w:color w:val="231F20"/>
          <w:spacing w:val="-3"/>
          <w:w w:val="105"/>
        </w:rPr>
        <w:t> </w:t>
      </w:r>
      <w:r>
        <w:rPr>
          <w:color w:val="231F20"/>
          <w:w w:val="105"/>
        </w:rPr>
        <w:t>29</w:t>
      </w:r>
      <w:r>
        <w:rPr>
          <w:color w:val="231F20"/>
          <w:spacing w:val="-3"/>
          <w:w w:val="105"/>
        </w:rPr>
        <w:t> </w:t>
      </w:r>
      <w:r>
        <w:rPr>
          <w:color w:val="231F20"/>
          <w:w w:val="105"/>
        </w:rPr>
        <w:t>años,</w:t>
      </w:r>
      <w:r>
        <w:rPr>
          <w:color w:val="231F20"/>
          <w:spacing w:val="-10"/>
          <w:w w:val="105"/>
        </w:rPr>
        <w:t> </w:t>
      </w:r>
      <w:r>
        <w:rPr>
          <w:color w:val="231F20"/>
          <w:w w:val="105"/>
        </w:rPr>
        <w:t>con 30.3%, seguido de quienes tenían entre 55 y 59 años, con 19%</w:t>
      </w:r>
      <w:r>
        <w:rPr>
          <w:color w:val="231F20"/>
          <w:spacing w:val="25"/>
          <w:w w:val="105"/>
        </w:rPr>
        <w:t> </w:t>
      </w:r>
      <w:r>
        <w:rPr>
          <w:color w:val="231F20"/>
          <w:w w:val="105"/>
        </w:rPr>
        <w:t>(véase</w:t>
      </w:r>
    </w:p>
    <w:p>
      <w:pPr>
        <w:pStyle w:val="BodyText"/>
        <w:spacing w:before="1"/>
        <w:ind w:left="1723"/>
        <w:jc w:val="both"/>
      </w:pPr>
      <w:r>
        <w:rPr>
          <w:color w:val="231F20"/>
        </w:rPr>
        <w:t>cuadro 2.1).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68544" from="131.551193pt,3.753715pt" to="131.551193pt,39.556114pt" stroked="true" strokeweight=".35pt" strokecolor="#231f20">
            <w10:wrap type="none"/>
          </v:line>
        </w:pict>
      </w:r>
      <w:r>
        <w:rPr/>
        <w:pict>
          <v:line style="position:absolute;mso-position-horizontal-relative:page;mso-position-vertical-relative:paragraph;z-index:-468472" from="15pt,39.555916pt" to="0pt,39.555916pt" stroked="true" strokeweight=".25pt" strokecolor="#000000">
            <w10:wrap type="none"/>
          </v:line>
        </w:pict>
      </w:r>
      <w:r>
        <w:rPr/>
        <w:pict>
          <v:line style="position:absolute;mso-position-horizontal-relative:page;mso-position-vertical-relative:paragraph;z-index:21736" from="508.890015pt,39.555916pt" to="523.890015pt,39.555916pt" stroked="true" strokeweight=".25pt" strokecolor="#000000">
            <w10:wrap type="none"/>
          </v:line>
        </w:pict>
      </w:r>
      <w:r>
        <w:rPr>
          <w:rFonts w:ascii="Arial" w:hAnsi="Arial"/>
          <w:color w:val="414042"/>
          <w:w w:val="105"/>
          <w:position w:val="-5"/>
          <w:sz w:val="20"/>
        </w:rPr>
        <w:t>186</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1760" from="405.061005pt,-27.904295pt" to="405.061005pt,6.961579pt" stroked="true" strokeweight=".35pt" strokecolor="#231f20">
            <w10:wrap type="none"/>
          </v:line>
        </w:pict>
      </w:r>
      <w:r>
        <w:rPr/>
        <w:pict>
          <v:line style="position:absolute;mso-position-horizontal-relative:page;mso-position-vertical-relative:paragraph;z-index:21952" from="15pt,-27.90452pt" to="0pt,-27.90452pt" stroked="true" strokeweight=".25pt" strokecolor="#000000">
            <w10:wrap type="none"/>
          </v:line>
        </w:pict>
      </w:r>
      <w:r>
        <w:rPr/>
        <w:pict>
          <v:line style="position:absolute;mso-position-horizontal-relative:page;mso-position-vertical-relative:paragraph;z-index:21976"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187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9"/>
        <w:rPr>
          <w:rFonts w:ascii="Arial"/>
          <w:sz w:val="15"/>
        </w:rPr>
      </w:pPr>
    </w:p>
    <w:p>
      <w:pPr>
        <w:spacing w:line="249" w:lineRule="auto" w:before="63"/>
        <w:ind w:left="2655" w:right="2494" w:hanging="46"/>
        <w:jc w:val="center"/>
        <w:rPr>
          <w:rFonts w:ascii="Arial" w:hAnsi="Arial"/>
          <w:sz w:val="18"/>
        </w:rPr>
      </w:pPr>
      <w:r>
        <w:rPr>
          <w:rFonts w:ascii="Arial" w:hAnsi="Arial"/>
          <w:color w:val="231F20"/>
          <w:w w:val="105"/>
          <w:sz w:val="18"/>
        </w:rPr>
        <w:t>Gráfica 2.1 Distribución porcentual de los migrantes en flujo procedentes</w:t>
      </w:r>
      <w:r>
        <w:rPr>
          <w:rFonts w:ascii="Arial" w:hAnsi="Arial"/>
          <w:color w:val="231F20"/>
          <w:spacing w:val="-14"/>
          <w:w w:val="105"/>
          <w:sz w:val="18"/>
        </w:rPr>
        <w:t> </w:t>
      </w:r>
      <w:r>
        <w:rPr>
          <w:rFonts w:ascii="Arial" w:hAnsi="Arial"/>
          <w:color w:val="231F20"/>
          <w:w w:val="105"/>
          <w:sz w:val="18"/>
        </w:rPr>
        <w:t>de</w:t>
      </w:r>
      <w:r>
        <w:rPr>
          <w:rFonts w:ascii="Arial" w:hAnsi="Arial"/>
          <w:color w:val="231F20"/>
          <w:spacing w:val="-14"/>
          <w:w w:val="105"/>
          <w:sz w:val="18"/>
        </w:rPr>
        <w:t> </w:t>
      </w:r>
      <w:r>
        <w:rPr>
          <w:rFonts w:ascii="Arial" w:hAnsi="Arial"/>
          <w:color w:val="231F20"/>
          <w:w w:val="105"/>
          <w:sz w:val="18"/>
        </w:rPr>
        <w:t>Estados</w:t>
      </w:r>
      <w:r>
        <w:rPr>
          <w:rFonts w:ascii="Arial" w:hAnsi="Arial"/>
          <w:color w:val="231F20"/>
          <w:spacing w:val="-14"/>
          <w:w w:val="105"/>
          <w:sz w:val="18"/>
        </w:rPr>
        <w:t> </w:t>
      </w:r>
      <w:r>
        <w:rPr>
          <w:rFonts w:ascii="Arial" w:hAnsi="Arial"/>
          <w:color w:val="231F20"/>
          <w:w w:val="105"/>
          <w:sz w:val="18"/>
        </w:rPr>
        <w:t>Unidos,</w:t>
      </w:r>
      <w:r>
        <w:rPr>
          <w:rFonts w:ascii="Arial" w:hAnsi="Arial"/>
          <w:color w:val="231F20"/>
          <w:spacing w:val="-19"/>
          <w:w w:val="105"/>
          <w:sz w:val="18"/>
        </w:rPr>
        <w:t> </w:t>
      </w:r>
      <w:r>
        <w:rPr>
          <w:rFonts w:ascii="Arial" w:hAnsi="Arial"/>
          <w:color w:val="231F20"/>
          <w:w w:val="105"/>
          <w:sz w:val="18"/>
        </w:rPr>
        <w:t>nacidos</w:t>
      </w:r>
      <w:r>
        <w:rPr>
          <w:rFonts w:ascii="Arial" w:hAnsi="Arial"/>
          <w:color w:val="231F20"/>
          <w:spacing w:val="-14"/>
          <w:w w:val="105"/>
          <w:sz w:val="18"/>
        </w:rPr>
        <w:t> </w:t>
      </w:r>
      <w:r>
        <w:rPr>
          <w:rFonts w:ascii="Arial" w:hAnsi="Arial"/>
          <w:color w:val="231F20"/>
          <w:w w:val="105"/>
          <w:sz w:val="18"/>
        </w:rPr>
        <w:t>en</w:t>
      </w:r>
      <w:r>
        <w:rPr>
          <w:rFonts w:ascii="Arial" w:hAnsi="Arial"/>
          <w:color w:val="231F20"/>
          <w:spacing w:val="-14"/>
          <w:w w:val="105"/>
          <w:sz w:val="18"/>
        </w:rPr>
        <w:t> </w:t>
      </w:r>
      <w:r>
        <w:rPr>
          <w:rFonts w:ascii="Arial" w:hAnsi="Arial"/>
          <w:color w:val="231F20"/>
          <w:w w:val="105"/>
          <w:sz w:val="18"/>
        </w:rPr>
        <w:t>el</w:t>
      </w:r>
      <w:r>
        <w:rPr>
          <w:rFonts w:ascii="Arial" w:hAnsi="Arial"/>
          <w:color w:val="231F20"/>
          <w:spacing w:val="-14"/>
          <w:w w:val="105"/>
          <w:sz w:val="18"/>
        </w:rPr>
        <w:t> </w:t>
      </w:r>
      <w:r>
        <w:rPr>
          <w:rFonts w:ascii="Arial" w:hAnsi="Arial"/>
          <w:color w:val="231F20"/>
          <w:w w:val="105"/>
          <w:sz w:val="18"/>
        </w:rPr>
        <w:t>Estado</w:t>
      </w:r>
      <w:r>
        <w:rPr>
          <w:rFonts w:ascii="Arial" w:hAnsi="Arial"/>
          <w:color w:val="231F20"/>
          <w:spacing w:val="-14"/>
          <w:w w:val="105"/>
          <w:sz w:val="18"/>
        </w:rPr>
        <w:t> </w:t>
      </w:r>
      <w:r>
        <w:rPr>
          <w:rFonts w:ascii="Arial" w:hAnsi="Arial"/>
          <w:color w:val="231F20"/>
          <w:w w:val="105"/>
          <w:sz w:val="18"/>
        </w:rPr>
        <w:t>de</w:t>
      </w:r>
      <w:r>
        <w:rPr>
          <w:rFonts w:ascii="Arial" w:hAnsi="Arial"/>
          <w:color w:val="231F20"/>
          <w:spacing w:val="-14"/>
          <w:w w:val="105"/>
          <w:sz w:val="18"/>
        </w:rPr>
        <w:t> </w:t>
      </w:r>
      <w:r>
        <w:rPr>
          <w:rFonts w:ascii="Arial" w:hAnsi="Arial"/>
          <w:color w:val="231F20"/>
          <w:w w:val="105"/>
          <w:sz w:val="18"/>
        </w:rPr>
        <w:t>México</w:t>
      </w:r>
    </w:p>
    <w:p>
      <w:pPr>
        <w:spacing w:line="249" w:lineRule="auto" w:before="1"/>
        <w:ind w:left="2160" w:right="2039" w:firstLine="0"/>
        <w:jc w:val="center"/>
        <w:rPr>
          <w:rFonts w:ascii="Arial" w:hAnsi="Arial"/>
          <w:sz w:val="18"/>
        </w:rPr>
      </w:pPr>
      <w:r>
        <w:rPr/>
        <w:pict>
          <v:shape style="position:absolute;margin-left:108.608047pt;margin-top:87.585419pt;width:9.35pt;height:57.15pt;mso-position-horizontal-relative:page;mso-position-vertical-relative:paragraph;z-index:-468088" type="#_x0000_t202" filled="false" stroked="false">
            <v:textbox inset="0,0,0,0" style="layout-flow:vertical;mso-layout-flow-alt:bottom-to-top">
              <w:txbxContent>
                <w:p>
                  <w:pPr>
                    <w:spacing w:line="156" w:lineRule="exact" w:before="0"/>
                    <w:ind w:left="20" w:right="-354" w:firstLine="0"/>
                    <w:jc w:val="left"/>
                    <w:rPr>
                      <w:rFonts w:ascii="Tahoma"/>
                      <w:b/>
                      <w:sz w:val="14"/>
                    </w:rPr>
                  </w:pPr>
                  <w:r>
                    <w:rPr>
                      <w:rFonts w:ascii="Tahoma"/>
                      <w:b/>
                      <w:color w:val="231F20"/>
                      <w:w w:val="99"/>
                      <w:sz w:val="14"/>
                    </w:rPr>
                    <w:t>Grupos</w:t>
                  </w:r>
                  <w:r>
                    <w:rPr>
                      <w:rFonts w:ascii="Tahoma"/>
                      <w:b/>
                      <w:color w:val="231F20"/>
                      <w:spacing w:val="-5"/>
                      <w:sz w:val="14"/>
                    </w:rPr>
                    <w:t> </w:t>
                  </w:r>
                  <w:r>
                    <w:rPr>
                      <w:rFonts w:ascii="Tahoma"/>
                      <w:b/>
                      <w:color w:val="231F20"/>
                      <w:w w:val="103"/>
                      <w:sz w:val="14"/>
                    </w:rPr>
                    <w:t>de</w:t>
                  </w:r>
                  <w:r>
                    <w:rPr>
                      <w:rFonts w:ascii="Tahoma"/>
                      <w:b/>
                      <w:color w:val="231F20"/>
                      <w:spacing w:val="-5"/>
                      <w:sz w:val="14"/>
                    </w:rPr>
                    <w:t> </w:t>
                  </w:r>
                  <w:r>
                    <w:rPr>
                      <w:rFonts w:ascii="Tahoma"/>
                      <w:b/>
                      <w:color w:val="231F20"/>
                      <w:w w:val="102"/>
                      <w:sz w:val="14"/>
                    </w:rPr>
                    <w:t>edad</w:t>
                  </w:r>
                </w:p>
              </w:txbxContent>
            </v:textbox>
            <w10:wrap type="none"/>
          </v:shape>
        </w:pict>
      </w:r>
      <w:r>
        <w:rPr/>
        <w:pict>
          <v:shape style="position:absolute;margin-left:108.608047pt;margin-top:31.240511pt;width:9.35pt;height:18.9pt;mso-position-horizontal-relative:page;mso-position-vertical-relative:paragraph;z-index:-468064" type="#_x0000_t202" filled="false" stroked="false">
            <v:textbox inset="0,0,0,0" style="layout-flow:vertical;mso-layout-flow-alt:bottom-to-top">
              <w:txbxContent>
                <w:p>
                  <w:pPr>
                    <w:spacing w:line="156" w:lineRule="exact" w:before="0"/>
                    <w:ind w:left="20" w:right="-191" w:firstLine="0"/>
                    <w:jc w:val="left"/>
                    <w:rPr>
                      <w:rFonts w:ascii="Tahoma"/>
                      <w:b/>
                      <w:sz w:val="14"/>
                    </w:rPr>
                  </w:pPr>
                  <w:r>
                    <w:rPr>
                      <w:rFonts w:ascii="Tahoma"/>
                      <w:b/>
                      <w:color w:val="231F20"/>
                      <w:w w:val="98"/>
                      <w:sz w:val="14"/>
                    </w:rPr>
                    <w:t>Sexo</w:t>
                  </w:r>
                </w:p>
              </w:txbxContent>
            </v:textbox>
            <w10:wrap type="none"/>
          </v:shape>
        </w:pict>
      </w:r>
      <w:r>
        <w:rPr>
          <w:rFonts w:ascii="Arial" w:hAnsi="Arial"/>
          <w:color w:val="231F20"/>
          <w:w w:val="105"/>
          <w:sz w:val="18"/>
        </w:rPr>
        <w:t>que</w:t>
      </w:r>
      <w:r>
        <w:rPr>
          <w:rFonts w:ascii="Arial" w:hAnsi="Arial"/>
          <w:color w:val="231F20"/>
          <w:spacing w:val="-11"/>
          <w:w w:val="105"/>
          <w:sz w:val="18"/>
        </w:rPr>
        <w:t> </w:t>
      </w:r>
      <w:r>
        <w:rPr>
          <w:rFonts w:ascii="Arial" w:hAnsi="Arial"/>
          <w:color w:val="231F20"/>
          <w:w w:val="105"/>
          <w:sz w:val="18"/>
        </w:rPr>
        <w:t>durante</w:t>
      </w:r>
      <w:r>
        <w:rPr>
          <w:rFonts w:ascii="Arial" w:hAnsi="Arial"/>
          <w:color w:val="231F20"/>
          <w:spacing w:val="-11"/>
          <w:w w:val="105"/>
          <w:sz w:val="18"/>
        </w:rPr>
        <w:t> </w:t>
      </w:r>
      <w:r>
        <w:rPr>
          <w:rFonts w:ascii="Arial" w:hAnsi="Arial"/>
          <w:color w:val="231F20"/>
          <w:w w:val="105"/>
          <w:sz w:val="18"/>
        </w:rPr>
        <w:t>su</w:t>
      </w:r>
      <w:r>
        <w:rPr>
          <w:rFonts w:ascii="Arial" w:hAnsi="Arial"/>
          <w:color w:val="231F20"/>
          <w:spacing w:val="-11"/>
          <w:w w:val="105"/>
          <w:sz w:val="18"/>
        </w:rPr>
        <w:t> </w:t>
      </w:r>
      <w:r>
        <w:rPr>
          <w:rFonts w:ascii="Arial" w:hAnsi="Arial"/>
          <w:color w:val="231F20"/>
          <w:w w:val="105"/>
          <w:sz w:val="18"/>
        </w:rPr>
        <w:t>estancia</w:t>
      </w:r>
      <w:r>
        <w:rPr>
          <w:rFonts w:ascii="Arial" w:hAnsi="Arial"/>
          <w:color w:val="231F20"/>
          <w:spacing w:val="-11"/>
          <w:w w:val="105"/>
          <w:sz w:val="18"/>
        </w:rPr>
        <w:t> </w:t>
      </w:r>
      <w:r>
        <w:rPr>
          <w:rFonts w:ascii="Arial" w:hAnsi="Arial"/>
          <w:color w:val="231F20"/>
          <w:w w:val="105"/>
          <w:sz w:val="18"/>
        </w:rPr>
        <w:t>en</w:t>
      </w:r>
      <w:r>
        <w:rPr>
          <w:rFonts w:ascii="Arial" w:hAnsi="Arial"/>
          <w:color w:val="231F20"/>
          <w:spacing w:val="-11"/>
          <w:w w:val="105"/>
          <w:sz w:val="18"/>
        </w:rPr>
        <w:t> </w:t>
      </w:r>
      <w:r>
        <w:rPr>
          <w:rFonts w:ascii="Arial" w:hAnsi="Arial"/>
          <w:color w:val="231F20"/>
          <w:w w:val="105"/>
          <w:sz w:val="18"/>
        </w:rPr>
        <w:t>el</w:t>
      </w:r>
      <w:r>
        <w:rPr>
          <w:rFonts w:ascii="Arial" w:hAnsi="Arial"/>
          <w:color w:val="231F20"/>
          <w:spacing w:val="-11"/>
          <w:w w:val="105"/>
          <w:sz w:val="18"/>
        </w:rPr>
        <w:t> </w:t>
      </w:r>
      <w:r>
        <w:rPr>
          <w:rFonts w:ascii="Arial" w:hAnsi="Arial"/>
          <w:color w:val="231F20"/>
          <w:w w:val="105"/>
          <w:sz w:val="18"/>
        </w:rPr>
        <w:t>país</w:t>
      </w:r>
      <w:r>
        <w:rPr>
          <w:rFonts w:ascii="Arial" w:hAnsi="Arial"/>
          <w:color w:val="231F20"/>
          <w:spacing w:val="-11"/>
          <w:w w:val="105"/>
          <w:sz w:val="18"/>
        </w:rPr>
        <w:t> </w:t>
      </w:r>
      <w:r>
        <w:rPr>
          <w:rFonts w:ascii="Arial" w:hAnsi="Arial"/>
          <w:color w:val="231F20"/>
          <w:w w:val="105"/>
          <w:sz w:val="18"/>
        </w:rPr>
        <w:t>del</w:t>
      </w:r>
      <w:r>
        <w:rPr>
          <w:rFonts w:ascii="Arial" w:hAnsi="Arial"/>
          <w:color w:val="231F20"/>
          <w:spacing w:val="-11"/>
          <w:w w:val="105"/>
          <w:sz w:val="18"/>
        </w:rPr>
        <w:t> </w:t>
      </w:r>
      <w:r>
        <w:rPr>
          <w:rFonts w:ascii="Arial" w:hAnsi="Arial"/>
          <w:color w:val="231F20"/>
          <w:w w:val="105"/>
          <w:sz w:val="18"/>
        </w:rPr>
        <w:t>norte</w:t>
      </w:r>
      <w:r>
        <w:rPr>
          <w:rFonts w:ascii="Arial" w:hAnsi="Arial"/>
          <w:color w:val="231F20"/>
          <w:spacing w:val="-11"/>
          <w:w w:val="105"/>
          <w:sz w:val="18"/>
        </w:rPr>
        <w:t> </w:t>
      </w:r>
      <w:r>
        <w:rPr>
          <w:rFonts w:ascii="Arial" w:hAnsi="Arial"/>
          <w:color w:val="231F20"/>
          <w:w w:val="105"/>
          <w:sz w:val="18"/>
        </w:rPr>
        <w:t>solicitaron</w:t>
      </w:r>
      <w:r>
        <w:rPr>
          <w:rFonts w:ascii="Arial" w:hAnsi="Arial"/>
          <w:color w:val="231F20"/>
          <w:spacing w:val="-11"/>
          <w:w w:val="105"/>
          <w:sz w:val="18"/>
        </w:rPr>
        <w:t> </w:t>
      </w:r>
      <w:r>
        <w:rPr>
          <w:rFonts w:ascii="Arial" w:hAnsi="Arial"/>
          <w:color w:val="231F20"/>
          <w:w w:val="105"/>
          <w:sz w:val="18"/>
        </w:rPr>
        <w:t>atención</w:t>
      </w:r>
      <w:r>
        <w:rPr>
          <w:rFonts w:ascii="Arial" w:hAnsi="Arial"/>
          <w:color w:val="231F20"/>
          <w:spacing w:val="-11"/>
          <w:w w:val="105"/>
          <w:sz w:val="18"/>
        </w:rPr>
        <w:t> </w:t>
      </w:r>
      <w:r>
        <w:rPr>
          <w:rFonts w:ascii="Arial" w:hAnsi="Arial"/>
          <w:color w:val="231F20"/>
          <w:w w:val="105"/>
          <w:sz w:val="18"/>
        </w:rPr>
        <w:t>de</w:t>
      </w:r>
      <w:r>
        <w:rPr>
          <w:rFonts w:ascii="Arial" w:hAnsi="Arial"/>
          <w:color w:val="231F20"/>
          <w:spacing w:val="-11"/>
          <w:w w:val="105"/>
          <w:sz w:val="18"/>
        </w:rPr>
        <w:t> </w:t>
      </w:r>
      <w:r>
        <w:rPr>
          <w:rFonts w:ascii="Arial" w:hAnsi="Arial"/>
          <w:color w:val="231F20"/>
          <w:w w:val="105"/>
          <w:sz w:val="18"/>
        </w:rPr>
        <w:t>salud, según</w:t>
      </w:r>
      <w:r>
        <w:rPr>
          <w:rFonts w:ascii="Arial" w:hAnsi="Arial"/>
          <w:color w:val="231F20"/>
          <w:spacing w:val="-20"/>
          <w:w w:val="105"/>
          <w:sz w:val="18"/>
        </w:rPr>
        <w:t> </w:t>
      </w:r>
      <w:r>
        <w:rPr>
          <w:rFonts w:ascii="Arial" w:hAnsi="Arial"/>
          <w:color w:val="231F20"/>
          <w:w w:val="105"/>
          <w:sz w:val="18"/>
        </w:rPr>
        <w:t>algunas</w:t>
      </w:r>
      <w:r>
        <w:rPr>
          <w:rFonts w:ascii="Arial" w:hAnsi="Arial"/>
          <w:color w:val="231F20"/>
          <w:spacing w:val="-20"/>
          <w:w w:val="105"/>
          <w:sz w:val="18"/>
        </w:rPr>
        <w:t> </w:t>
      </w:r>
      <w:r>
        <w:rPr>
          <w:rFonts w:ascii="Arial" w:hAnsi="Arial"/>
          <w:color w:val="231F20"/>
          <w:w w:val="105"/>
          <w:sz w:val="18"/>
        </w:rPr>
        <w:t>variables</w:t>
      </w:r>
      <w:r>
        <w:rPr>
          <w:rFonts w:ascii="Arial" w:hAnsi="Arial"/>
          <w:color w:val="231F20"/>
          <w:spacing w:val="-20"/>
          <w:w w:val="105"/>
          <w:sz w:val="18"/>
        </w:rPr>
        <w:t> </w:t>
      </w:r>
      <w:r>
        <w:rPr>
          <w:rFonts w:ascii="Arial" w:hAnsi="Arial"/>
          <w:color w:val="231F20"/>
          <w:w w:val="105"/>
          <w:sz w:val="18"/>
        </w:rPr>
        <w:t>sociodemográficas,</w:t>
      </w:r>
      <w:r>
        <w:rPr>
          <w:rFonts w:ascii="Arial" w:hAnsi="Arial"/>
          <w:color w:val="231F20"/>
          <w:spacing w:val="-25"/>
          <w:w w:val="105"/>
          <w:sz w:val="18"/>
        </w:rPr>
        <w:t> </w:t>
      </w:r>
      <w:r>
        <w:rPr>
          <w:rFonts w:ascii="Arial" w:hAnsi="Arial"/>
          <w:color w:val="231F20"/>
          <w:w w:val="105"/>
          <w:sz w:val="18"/>
        </w:rPr>
        <w:t>2013</w:t>
      </w:r>
    </w:p>
    <w:p>
      <w:pPr>
        <w:pStyle w:val="BodyText"/>
        <w:rPr>
          <w:rFonts w:ascii="Arial"/>
          <w:sz w:val="20"/>
        </w:rPr>
      </w:pPr>
    </w:p>
    <w:p>
      <w:pPr>
        <w:pStyle w:val="BodyText"/>
        <w:spacing w:before="7"/>
        <w:rPr>
          <w:rFonts w:ascii="Arial"/>
          <w:sz w:val="13"/>
        </w:rPr>
      </w:pPr>
    </w:p>
    <w:tbl>
      <w:tblPr>
        <w:tblW w:w="0" w:type="auto"/>
        <w:jc w:val="left"/>
        <w:tblInd w:w="20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4"/>
        <w:gridCol w:w="2190"/>
        <w:gridCol w:w="404"/>
        <w:gridCol w:w="601"/>
        <w:gridCol w:w="435"/>
        <w:gridCol w:w="428"/>
      </w:tblGrid>
      <w:tr>
        <w:trPr>
          <w:trHeight w:val="226" w:hRule="exact"/>
        </w:trPr>
        <w:tc>
          <w:tcPr>
            <w:tcW w:w="384" w:type="dxa"/>
            <w:vMerge w:val="restart"/>
          </w:tcPr>
          <w:p>
            <w:pPr/>
          </w:p>
        </w:tc>
        <w:tc>
          <w:tcPr>
            <w:tcW w:w="2190" w:type="dxa"/>
            <w:tcBorders>
              <w:bottom w:val="single" w:sz="5" w:space="0" w:color="D7D8D8"/>
            </w:tcBorders>
          </w:tcPr>
          <w:p>
            <w:pPr>
              <w:pStyle w:val="TableParagraph"/>
              <w:spacing w:before="45"/>
              <w:ind w:right="113"/>
              <w:jc w:val="right"/>
              <w:rPr>
                <w:rFonts w:ascii="Arial"/>
                <w:sz w:val="14"/>
              </w:rPr>
            </w:pPr>
            <w:r>
              <w:rPr>
                <w:rFonts w:ascii="Arial"/>
                <w:color w:val="231F20"/>
                <w:w w:val="110"/>
                <w:sz w:val="14"/>
              </w:rPr>
              <w:t>Mujer</w:t>
            </w:r>
          </w:p>
        </w:tc>
        <w:tc>
          <w:tcPr>
            <w:tcW w:w="1006" w:type="dxa"/>
            <w:gridSpan w:val="2"/>
          </w:tcPr>
          <w:p>
            <w:pPr/>
          </w:p>
        </w:tc>
        <w:tc>
          <w:tcPr>
            <w:tcW w:w="435" w:type="dxa"/>
          </w:tcPr>
          <w:p>
            <w:pPr/>
          </w:p>
        </w:tc>
        <w:tc>
          <w:tcPr>
            <w:tcW w:w="428" w:type="dxa"/>
            <w:vMerge w:val="restart"/>
          </w:tcPr>
          <w:p>
            <w:pPr/>
          </w:p>
        </w:tc>
      </w:tr>
      <w:tr>
        <w:trPr>
          <w:trHeight w:val="258" w:hRule="exact"/>
        </w:trPr>
        <w:tc>
          <w:tcPr>
            <w:tcW w:w="384" w:type="dxa"/>
            <w:vMerge/>
          </w:tcPr>
          <w:p>
            <w:pPr/>
          </w:p>
        </w:tc>
        <w:tc>
          <w:tcPr>
            <w:tcW w:w="2190" w:type="dxa"/>
            <w:tcBorders>
              <w:top w:val="single" w:sz="5" w:space="0" w:color="D7D8D8"/>
            </w:tcBorders>
          </w:tcPr>
          <w:p>
            <w:pPr>
              <w:pStyle w:val="TableParagraph"/>
              <w:spacing w:before="40"/>
              <w:ind w:right="137"/>
              <w:jc w:val="right"/>
              <w:rPr>
                <w:rFonts w:ascii="Arial"/>
                <w:sz w:val="14"/>
              </w:rPr>
            </w:pPr>
            <w:r>
              <w:rPr>
                <w:rFonts w:ascii="Arial"/>
                <w:color w:val="231F20"/>
                <w:w w:val="110"/>
                <w:sz w:val="14"/>
              </w:rPr>
              <w:t>15 - 19</w:t>
            </w:r>
          </w:p>
        </w:tc>
        <w:tc>
          <w:tcPr>
            <w:tcW w:w="1006" w:type="dxa"/>
            <w:gridSpan w:val="2"/>
          </w:tcPr>
          <w:p>
            <w:pPr>
              <w:pStyle w:val="TableParagraph"/>
              <w:spacing w:before="47"/>
              <w:ind w:left="128"/>
              <w:rPr>
                <w:rFonts w:ascii="Arial"/>
                <w:sz w:val="14"/>
              </w:rPr>
            </w:pPr>
            <w:r>
              <w:rPr>
                <w:rFonts w:ascii="Arial"/>
                <w:color w:val="231F20"/>
                <w:w w:val="105"/>
                <w:sz w:val="14"/>
              </w:rPr>
              <w:t>0.3</w:t>
            </w:r>
          </w:p>
        </w:tc>
        <w:tc>
          <w:tcPr>
            <w:tcW w:w="435" w:type="dxa"/>
          </w:tcPr>
          <w:p>
            <w:pPr/>
          </w:p>
        </w:tc>
        <w:tc>
          <w:tcPr>
            <w:tcW w:w="428" w:type="dxa"/>
            <w:vMerge/>
          </w:tcPr>
          <w:p>
            <w:pPr/>
          </w:p>
        </w:tc>
      </w:tr>
      <w:tr>
        <w:trPr>
          <w:trHeight w:val="227" w:hRule="exact"/>
        </w:trPr>
        <w:tc>
          <w:tcPr>
            <w:tcW w:w="384" w:type="dxa"/>
            <w:vMerge/>
          </w:tcPr>
          <w:p>
            <w:pPr/>
          </w:p>
        </w:tc>
        <w:tc>
          <w:tcPr>
            <w:tcW w:w="2190" w:type="dxa"/>
          </w:tcPr>
          <w:p>
            <w:pPr>
              <w:pStyle w:val="TableParagraph"/>
              <w:spacing w:before="16"/>
              <w:ind w:right="137"/>
              <w:jc w:val="right"/>
              <w:rPr>
                <w:rFonts w:ascii="Arial"/>
                <w:sz w:val="14"/>
              </w:rPr>
            </w:pPr>
            <w:r>
              <w:rPr>
                <w:rFonts w:ascii="Arial"/>
                <w:color w:val="231F20"/>
                <w:w w:val="110"/>
                <w:sz w:val="14"/>
              </w:rPr>
              <w:t>20 - 24</w:t>
            </w:r>
          </w:p>
        </w:tc>
        <w:tc>
          <w:tcPr>
            <w:tcW w:w="1006" w:type="dxa"/>
            <w:gridSpan w:val="2"/>
          </w:tcPr>
          <w:p>
            <w:pPr>
              <w:pStyle w:val="TableParagraph"/>
              <w:spacing w:before="17"/>
              <w:ind w:left="229"/>
              <w:rPr>
                <w:rFonts w:ascii="Arial"/>
                <w:sz w:val="14"/>
              </w:rPr>
            </w:pPr>
            <w:r>
              <w:rPr>
                <w:rFonts w:ascii="Arial"/>
                <w:color w:val="231F20"/>
                <w:w w:val="105"/>
                <w:sz w:val="14"/>
              </w:rPr>
              <w:t>2.8</w:t>
            </w:r>
          </w:p>
        </w:tc>
        <w:tc>
          <w:tcPr>
            <w:tcW w:w="435" w:type="dxa"/>
          </w:tcPr>
          <w:p>
            <w:pPr/>
          </w:p>
        </w:tc>
        <w:tc>
          <w:tcPr>
            <w:tcW w:w="428" w:type="dxa"/>
            <w:vMerge/>
          </w:tcPr>
          <w:p>
            <w:pPr/>
          </w:p>
        </w:tc>
      </w:tr>
      <w:tr>
        <w:trPr>
          <w:trHeight w:val="227" w:hRule="exact"/>
        </w:trPr>
        <w:tc>
          <w:tcPr>
            <w:tcW w:w="384" w:type="dxa"/>
            <w:vMerge/>
          </w:tcPr>
          <w:p>
            <w:pPr/>
          </w:p>
        </w:tc>
        <w:tc>
          <w:tcPr>
            <w:tcW w:w="2190" w:type="dxa"/>
          </w:tcPr>
          <w:p>
            <w:pPr>
              <w:pStyle w:val="TableParagraph"/>
              <w:spacing w:before="16"/>
              <w:ind w:right="137"/>
              <w:jc w:val="right"/>
              <w:rPr>
                <w:rFonts w:ascii="Arial"/>
                <w:sz w:val="14"/>
              </w:rPr>
            </w:pPr>
            <w:r>
              <w:rPr>
                <w:rFonts w:ascii="Arial"/>
                <w:color w:val="231F20"/>
                <w:w w:val="110"/>
                <w:sz w:val="14"/>
              </w:rPr>
              <w:t>25 - 29</w:t>
            </w:r>
          </w:p>
        </w:tc>
        <w:tc>
          <w:tcPr>
            <w:tcW w:w="1006" w:type="dxa"/>
            <w:gridSpan w:val="2"/>
          </w:tcPr>
          <w:p>
            <w:pPr>
              <w:pStyle w:val="TableParagraph"/>
              <w:spacing w:before="17"/>
              <w:ind w:left="501"/>
              <w:rPr>
                <w:rFonts w:ascii="Arial"/>
                <w:sz w:val="14"/>
              </w:rPr>
            </w:pPr>
            <w:r>
              <w:rPr>
                <w:rFonts w:ascii="Arial"/>
                <w:color w:val="231F20"/>
                <w:w w:val="105"/>
                <w:sz w:val="14"/>
              </w:rPr>
              <w:t>9.5</w:t>
            </w:r>
          </w:p>
        </w:tc>
        <w:tc>
          <w:tcPr>
            <w:tcW w:w="435" w:type="dxa"/>
          </w:tcPr>
          <w:p>
            <w:pPr/>
          </w:p>
        </w:tc>
        <w:tc>
          <w:tcPr>
            <w:tcW w:w="428" w:type="dxa"/>
            <w:vMerge/>
          </w:tcPr>
          <w:p>
            <w:pPr/>
          </w:p>
        </w:tc>
      </w:tr>
      <w:tr>
        <w:trPr>
          <w:trHeight w:val="227" w:hRule="exact"/>
        </w:trPr>
        <w:tc>
          <w:tcPr>
            <w:tcW w:w="384" w:type="dxa"/>
            <w:vMerge/>
          </w:tcPr>
          <w:p>
            <w:pPr/>
          </w:p>
        </w:tc>
        <w:tc>
          <w:tcPr>
            <w:tcW w:w="2190" w:type="dxa"/>
          </w:tcPr>
          <w:p>
            <w:pPr>
              <w:pStyle w:val="TableParagraph"/>
              <w:spacing w:before="16"/>
              <w:ind w:right="137"/>
              <w:jc w:val="right"/>
              <w:rPr>
                <w:rFonts w:ascii="Arial"/>
                <w:sz w:val="14"/>
              </w:rPr>
            </w:pPr>
            <w:r>
              <w:rPr>
                <w:rFonts w:ascii="Arial"/>
                <w:color w:val="231F20"/>
                <w:w w:val="110"/>
                <w:sz w:val="14"/>
              </w:rPr>
              <w:t>30 - 34</w:t>
            </w:r>
          </w:p>
        </w:tc>
        <w:tc>
          <w:tcPr>
            <w:tcW w:w="1006" w:type="dxa"/>
            <w:gridSpan w:val="2"/>
          </w:tcPr>
          <w:p>
            <w:pPr>
              <w:pStyle w:val="TableParagraph"/>
              <w:spacing w:before="17"/>
              <w:ind w:right="-30"/>
              <w:jc w:val="right"/>
              <w:rPr>
                <w:rFonts w:ascii="Arial"/>
                <w:sz w:val="14"/>
              </w:rPr>
            </w:pPr>
            <w:r>
              <w:rPr>
                <w:rFonts w:ascii="Arial"/>
                <w:color w:val="231F20"/>
                <w:w w:val="105"/>
                <w:sz w:val="14"/>
              </w:rPr>
              <w:t>15.5</w:t>
            </w:r>
          </w:p>
        </w:tc>
        <w:tc>
          <w:tcPr>
            <w:tcW w:w="435" w:type="dxa"/>
          </w:tcPr>
          <w:p>
            <w:pPr/>
          </w:p>
        </w:tc>
        <w:tc>
          <w:tcPr>
            <w:tcW w:w="428" w:type="dxa"/>
            <w:vMerge/>
          </w:tcPr>
          <w:p>
            <w:pPr/>
          </w:p>
        </w:tc>
      </w:tr>
      <w:tr>
        <w:trPr>
          <w:trHeight w:val="227" w:hRule="exact"/>
        </w:trPr>
        <w:tc>
          <w:tcPr>
            <w:tcW w:w="384" w:type="dxa"/>
            <w:vMerge/>
          </w:tcPr>
          <w:p>
            <w:pPr/>
          </w:p>
        </w:tc>
        <w:tc>
          <w:tcPr>
            <w:tcW w:w="2190" w:type="dxa"/>
          </w:tcPr>
          <w:p>
            <w:pPr>
              <w:pStyle w:val="TableParagraph"/>
              <w:spacing w:before="16"/>
              <w:ind w:right="137"/>
              <w:jc w:val="right"/>
              <w:rPr>
                <w:rFonts w:ascii="Arial"/>
                <w:sz w:val="14"/>
              </w:rPr>
            </w:pPr>
            <w:r>
              <w:rPr>
                <w:rFonts w:ascii="Arial"/>
                <w:color w:val="231F20"/>
                <w:w w:val="110"/>
                <w:sz w:val="14"/>
              </w:rPr>
              <w:t>35 - 39</w:t>
            </w:r>
          </w:p>
        </w:tc>
        <w:tc>
          <w:tcPr>
            <w:tcW w:w="1006" w:type="dxa"/>
            <w:gridSpan w:val="2"/>
          </w:tcPr>
          <w:p>
            <w:pPr>
              <w:pStyle w:val="TableParagraph"/>
              <w:spacing w:before="17"/>
              <w:ind w:left="536"/>
              <w:rPr>
                <w:rFonts w:ascii="Arial"/>
                <w:sz w:val="14"/>
              </w:rPr>
            </w:pPr>
            <w:r>
              <w:rPr>
                <w:rFonts w:ascii="Arial"/>
                <w:color w:val="231F20"/>
                <w:w w:val="110"/>
                <w:sz w:val="14"/>
              </w:rPr>
              <w:t>10.4</w:t>
            </w:r>
          </w:p>
        </w:tc>
        <w:tc>
          <w:tcPr>
            <w:tcW w:w="435" w:type="dxa"/>
          </w:tcPr>
          <w:p>
            <w:pPr/>
          </w:p>
        </w:tc>
        <w:tc>
          <w:tcPr>
            <w:tcW w:w="428" w:type="dxa"/>
            <w:vMerge/>
          </w:tcPr>
          <w:p>
            <w:pPr/>
          </w:p>
        </w:tc>
      </w:tr>
      <w:tr>
        <w:trPr>
          <w:trHeight w:val="198" w:hRule="exact"/>
        </w:trPr>
        <w:tc>
          <w:tcPr>
            <w:tcW w:w="384" w:type="dxa"/>
            <w:vMerge/>
          </w:tcPr>
          <w:p>
            <w:pPr/>
          </w:p>
        </w:tc>
        <w:tc>
          <w:tcPr>
            <w:tcW w:w="2190" w:type="dxa"/>
          </w:tcPr>
          <w:p>
            <w:pPr>
              <w:pStyle w:val="TableParagraph"/>
              <w:spacing w:before="16"/>
              <w:ind w:right="137"/>
              <w:jc w:val="right"/>
              <w:rPr>
                <w:rFonts w:ascii="Arial"/>
                <w:sz w:val="14"/>
              </w:rPr>
            </w:pPr>
            <w:r>
              <w:rPr>
                <w:rFonts w:ascii="Arial"/>
                <w:color w:val="231F20"/>
                <w:w w:val="110"/>
                <w:sz w:val="14"/>
              </w:rPr>
              <w:t>40 - 44</w:t>
            </w:r>
          </w:p>
        </w:tc>
        <w:tc>
          <w:tcPr>
            <w:tcW w:w="1006" w:type="dxa"/>
            <w:gridSpan w:val="2"/>
          </w:tcPr>
          <w:p>
            <w:pPr>
              <w:pStyle w:val="TableParagraph"/>
              <w:spacing w:before="17"/>
              <w:ind w:left="601"/>
              <w:rPr>
                <w:rFonts w:ascii="Arial"/>
                <w:sz w:val="14"/>
              </w:rPr>
            </w:pPr>
            <w:r>
              <w:rPr>
                <w:rFonts w:ascii="Arial"/>
                <w:color w:val="231F20"/>
                <w:w w:val="110"/>
                <w:sz w:val="14"/>
              </w:rPr>
              <w:t>12.0</w:t>
            </w:r>
          </w:p>
        </w:tc>
        <w:tc>
          <w:tcPr>
            <w:tcW w:w="435" w:type="dxa"/>
          </w:tcPr>
          <w:p>
            <w:pPr/>
          </w:p>
        </w:tc>
        <w:tc>
          <w:tcPr>
            <w:tcW w:w="428" w:type="dxa"/>
            <w:vMerge/>
          </w:tcPr>
          <w:p>
            <w:pPr/>
          </w:p>
        </w:tc>
      </w:tr>
      <w:tr>
        <w:trPr>
          <w:trHeight w:val="257" w:hRule="exact"/>
        </w:trPr>
        <w:tc>
          <w:tcPr>
            <w:tcW w:w="384" w:type="dxa"/>
            <w:vMerge/>
          </w:tcPr>
          <w:p>
            <w:pPr/>
          </w:p>
        </w:tc>
        <w:tc>
          <w:tcPr>
            <w:tcW w:w="2190" w:type="dxa"/>
          </w:tcPr>
          <w:p>
            <w:pPr>
              <w:pStyle w:val="TableParagraph"/>
              <w:spacing w:before="45"/>
              <w:ind w:right="137"/>
              <w:jc w:val="right"/>
              <w:rPr>
                <w:rFonts w:ascii="Arial"/>
                <w:sz w:val="14"/>
              </w:rPr>
            </w:pPr>
            <w:r>
              <w:rPr>
                <w:rFonts w:ascii="Arial"/>
                <w:color w:val="231F20"/>
                <w:w w:val="110"/>
                <w:sz w:val="14"/>
              </w:rPr>
              <w:t>45 - 49</w:t>
            </w:r>
          </w:p>
        </w:tc>
        <w:tc>
          <w:tcPr>
            <w:tcW w:w="1006" w:type="dxa"/>
            <w:gridSpan w:val="2"/>
          </w:tcPr>
          <w:p>
            <w:pPr/>
          </w:p>
        </w:tc>
        <w:tc>
          <w:tcPr>
            <w:tcW w:w="435" w:type="dxa"/>
          </w:tcPr>
          <w:p>
            <w:pPr>
              <w:pStyle w:val="TableParagraph"/>
              <w:spacing w:before="47"/>
              <w:ind w:left="77" w:right="-37"/>
              <w:rPr>
                <w:rFonts w:ascii="Arial"/>
                <w:sz w:val="14"/>
              </w:rPr>
            </w:pPr>
            <w:r>
              <w:rPr>
                <w:rFonts w:ascii="Arial"/>
                <w:color w:val="231F20"/>
                <w:w w:val="110"/>
                <w:sz w:val="14"/>
              </w:rPr>
              <w:t>23.9</w:t>
            </w:r>
          </w:p>
        </w:tc>
        <w:tc>
          <w:tcPr>
            <w:tcW w:w="428" w:type="dxa"/>
            <w:vMerge/>
          </w:tcPr>
          <w:p>
            <w:pPr/>
          </w:p>
        </w:tc>
      </w:tr>
      <w:tr>
        <w:trPr>
          <w:trHeight w:val="227" w:hRule="exact"/>
        </w:trPr>
        <w:tc>
          <w:tcPr>
            <w:tcW w:w="384" w:type="dxa"/>
            <w:vMerge/>
          </w:tcPr>
          <w:p>
            <w:pPr/>
          </w:p>
        </w:tc>
        <w:tc>
          <w:tcPr>
            <w:tcW w:w="2190" w:type="dxa"/>
          </w:tcPr>
          <w:p>
            <w:pPr>
              <w:pStyle w:val="TableParagraph"/>
              <w:spacing w:before="16"/>
              <w:ind w:right="137"/>
              <w:jc w:val="right"/>
              <w:rPr>
                <w:rFonts w:ascii="Arial"/>
                <w:sz w:val="14"/>
              </w:rPr>
            </w:pPr>
            <w:r>
              <w:rPr>
                <w:rFonts w:ascii="Arial"/>
                <w:color w:val="231F20"/>
                <w:w w:val="110"/>
                <w:sz w:val="14"/>
              </w:rPr>
              <w:t>50 - 54</w:t>
            </w:r>
          </w:p>
        </w:tc>
        <w:tc>
          <w:tcPr>
            <w:tcW w:w="1006" w:type="dxa"/>
            <w:gridSpan w:val="2"/>
          </w:tcPr>
          <w:p>
            <w:pPr>
              <w:pStyle w:val="TableParagraph"/>
              <w:spacing w:before="17"/>
              <w:ind w:left="467"/>
              <w:rPr>
                <w:rFonts w:ascii="Arial"/>
                <w:sz w:val="14"/>
              </w:rPr>
            </w:pPr>
            <w:r>
              <w:rPr>
                <w:rFonts w:ascii="Arial"/>
                <w:color w:val="231F20"/>
                <w:w w:val="105"/>
                <w:sz w:val="14"/>
              </w:rPr>
              <w:t>8.6</w:t>
            </w:r>
          </w:p>
        </w:tc>
        <w:tc>
          <w:tcPr>
            <w:tcW w:w="435" w:type="dxa"/>
          </w:tcPr>
          <w:p>
            <w:pPr/>
          </w:p>
        </w:tc>
        <w:tc>
          <w:tcPr>
            <w:tcW w:w="428" w:type="dxa"/>
            <w:vMerge/>
          </w:tcPr>
          <w:p>
            <w:pPr/>
          </w:p>
        </w:tc>
      </w:tr>
      <w:tr>
        <w:trPr>
          <w:trHeight w:val="227" w:hRule="exact"/>
        </w:trPr>
        <w:tc>
          <w:tcPr>
            <w:tcW w:w="384" w:type="dxa"/>
            <w:vMerge/>
          </w:tcPr>
          <w:p>
            <w:pPr/>
          </w:p>
        </w:tc>
        <w:tc>
          <w:tcPr>
            <w:tcW w:w="2190" w:type="dxa"/>
          </w:tcPr>
          <w:p>
            <w:pPr>
              <w:pStyle w:val="TableParagraph"/>
              <w:spacing w:before="16"/>
              <w:ind w:right="137"/>
              <w:jc w:val="right"/>
              <w:rPr>
                <w:rFonts w:ascii="Arial"/>
                <w:sz w:val="14"/>
              </w:rPr>
            </w:pPr>
            <w:r>
              <w:rPr>
                <w:rFonts w:ascii="Arial"/>
                <w:color w:val="231F20"/>
                <w:w w:val="110"/>
                <w:sz w:val="14"/>
              </w:rPr>
              <w:t>55 - 59</w:t>
            </w:r>
          </w:p>
        </w:tc>
        <w:tc>
          <w:tcPr>
            <w:tcW w:w="1006" w:type="dxa"/>
            <w:gridSpan w:val="2"/>
          </w:tcPr>
          <w:p>
            <w:pPr>
              <w:pStyle w:val="TableParagraph"/>
              <w:spacing w:before="17"/>
              <w:ind w:left="350" w:right="347"/>
              <w:jc w:val="center"/>
              <w:rPr>
                <w:rFonts w:ascii="Arial"/>
                <w:sz w:val="14"/>
              </w:rPr>
            </w:pPr>
            <w:r>
              <w:rPr>
                <w:rFonts w:ascii="Arial"/>
                <w:color w:val="231F20"/>
                <w:w w:val="105"/>
                <w:sz w:val="14"/>
              </w:rPr>
              <w:t>7.0</w:t>
            </w:r>
          </w:p>
        </w:tc>
        <w:tc>
          <w:tcPr>
            <w:tcW w:w="435" w:type="dxa"/>
          </w:tcPr>
          <w:p>
            <w:pPr/>
          </w:p>
        </w:tc>
        <w:tc>
          <w:tcPr>
            <w:tcW w:w="428" w:type="dxa"/>
            <w:vMerge/>
          </w:tcPr>
          <w:p>
            <w:pPr/>
          </w:p>
        </w:tc>
      </w:tr>
      <w:tr>
        <w:trPr>
          <w:trHeight w:val="227" w:hRule="exact"/>
        </w:trPr>
        <w:tc>
          <w:tcPr>
            <w:tcW w:w="384" w:type="dxa"/>
            <w:vMerge/>
          </w:tcPr>
          <w:p>
            <w:pPr/>
          </w:p>
        </w:tc>
        <w:tc>
          <w:tcPr>
            <w:tcW w:w="2190" w:type="dxa"/>
          </w:tcPr>
          <w:p>
            <w:pPr>
              <w:pStyle w:val="TableParagraph"/>
              <w:spacing w:before="16"/>
              <w:ind w:right="137"/>
              <w:jc w:val="right"/>
              <w:rPr>
                <w:rFonts w:ascii="Arial"/>
                <w:sz w:val="14"/>
              </w:rPr>
            </w:pPr>
            <w:r>
              <w:rPr>
                <w:rFonts w:ascii="Arial"/>
                <w:color w:val="231F20"/>
                <w:w w:val="110"/>
                <w:sz w:val="14"/>
              </w:rPr>
              <w:t>60 - 64</w:t>
            </w:r>
          </w:p>
        </w:tc>
        <w:tc>
          <w:tcPr>
            <w:tcW w:w="1006" w:type="dxa"/>
            <w:gridSpan w:val="2"/>
          </w:tcPr>
          <w:p>
            <w:pPr>
              <w:pStyle w:val="TableParagraph"/>
              <w:spacing w:before="17"/>
              <w:ind w:left="382" w:right="315"/>
              <w:jc w:val="center"/>
              <w:rPr>
                <w:rFonts w:ascii="Arial"/>
                <w:sz w:val="14"/>
              </w:rPr>
            </w:pPr>
            <w:r>
              <w:rPr>
                <w:rFonts w:ascii="Arial"/>
                <w:color w:val="231F20"/>
                <w:w w:val="105"/>
                <w:sz w:val="14"/>
              </w:rPr>
              <w:t>7.8</w:t>
            </w:r>
          </w:p>
        </w:tc>
        <w:tc>
          <w:tcPr>
            <w:tcW w:w="435" w:type="dxa"/>
          </w:tcPr>
          <w:p>
            <w:pPr/>
          </w:p>
        </w:tc>
        <w:tc>
          <w:tcPr>
            <w:tcW w:w="428" w:type="dxa"/>
            <w:vMerge/>
          </w:tcPr>
          <w:p>
            <w:pPr/>
          </w:p>
        </w:tc>
      </w:tr>
      <w:tr>
        <w:trPr>
          <w:trHeight w:val="199" w:hRule="exact"/>
        </w:trPr>
        <w:tc>
          <w:tcPr>
            <w:tcW w:w="384" w:type="dxa"/>
          </w:tcPr>
          <w:p>
            <w:pPr>
              <w:pStyle w:val="TableParagraph"/>
              <w:tabs>
                <w:tab w:pos="348" w:val="left" w:leader="none"/>
              </w:tabs>
              <w:spacing w:before="16"/>
              <w:jc w:val="right"/>
              <w:rPr>
                <w:rFonts w:ascii="Arial"/>
                <w:sz w:val="14"/>
              </w:rPr>
            </w:pPr>
            <w:r>
              <w:rPr>
                <w:rFonts w:ascii="Arial"/>
                <w:color w:val="231F20"/>
                <w:w w:val="94"/>
                <w:sz w:val="14"/>
                <w:u w:val="single" w:color="E2E3E4"/>
              </w:rPr>
              <w:t> </w:t>
            </w:r>
            <w:r>
              <w:rPr>
                <w:rFonts w:ascii="Arial"/>
                <w:color w:val="231F20"/>
                <w:sz w:val="14"/>
                <w:u w:val="single" w:color="E2E3E4"/>
              </w:rPr>
              <w:tab/>
            </w:r>
          </w:p>
        </w:tc>
        <w:tc>
          <w:tcPr>
            <w:tcW w:w="2190" w:type="dxa"/>
            <w:tcBorders>
              <w:bottom w:val="single" w:sz="5" w:space="0" w:color="D7D8D8"/>
            </w:tcBorders>
          </w:tcPr>
          <w:p>
            <w:pPr>
              <w:pStyle w:val="TableParagraph"/>
              <w:spacing w:before="16"/>
              <w:ind w:right="113"/>
              <w:jc w:val="right"/>
              <w:rPr>
                <w:rFonts w:ascii="Arial" w:hAnsi="Arial"/>
                <w:sz w:val="14"/>
              </w:rPr>
            </w:pPr>
            <w:r>
              <w:rPr>
                <w:rFonts w:ascii="Arial" w:hAnsi="Arial"/>
                <w:color w:val="231F20"/>
                <w:w w:val="105"/>
                <w:sz w:val="14"/>
              </w:rPr>
              <w:t>65 y más</w:t>
            </w:r>
          </w:p>
        </w:tc>
        <w:tc>
          <w:tcPr>
            <w:tcW w:w="1006" w:type="dxa"/>
            <w:gridSpan w:val="2"/>
          </w:tcPr>
          <w:p>
            <w:pPr>
              <w:pStyle w:val="TableParagraph"/>
              <w:spacing w:before="17"/>
              <w:ind w:left="208"/>
              <w:rPr>
                <w:rFonts w:ascii="Arial"/>
                <w:sz w:val="14"/>
              </w:rPr>
            </w:pPr>
            <w:r>
              <w:rPr>
                <w:rFonts w:ascii="Arial"/>
                <w:color w:val="231F20"/>
                <w:w w:val="105"/>
                <w:sz w:val="14"/>
              </w:rPr>
              <w:t>2.3</w:t>
            </w:r>
          </w:p>
        </w:tc>
        <w:tc>
          <w:tcPr>
            <w:tcW w:w="435" w:type="dxa"/>
          </w:tcPr>
          <w:p>
            <w:pPr/>
          </w:p>
        </w:tc>
        <w:tc>
          <w:tcPr>
            <w:tcW w:w="428" w:type="dxa"/>
            <w:vMerge/>
          </w:tcPr>
          <w:p>
            <w:pPr/>
          </w:p>
        </w:tc>
      </w:tr>
      <w:tr>
        <w:trPr>
          <w:trHeight w:val="256" w:hRule="exact"/>
        </w:trPr>
        <w:tc>
          <w:tcPr>
            <w:tcW w:w="384" w:type="dxa"/>
          </w:tcPr>
          <w:p>
            <w:pPr/>
          </w:p>
        </w:tc>
        <w:tc>
          <w:tcPr>
            <w:tcW w:w="2190" w:type="dxa"/>
            <w:tcBorders>
              <w:top w:val="single" w:sz="5" w:space="0" w:color="D7D8D8"/>
            </w:tcBorders>
          </w:tcPr>
          <w:p>
            <w:pPr>
              <w:pStyle w:val="TableParagraph"/>
              <w:spacing w:before="38"/>
              <w:ind w:right="113"/>
              <w:jc w:val="right"/>
              <w:rPr>
                <w:rFonts w:ascii="Arial"/>
                <w:sz w:val="14"/>
              </w:rPr>
            </w:pPr>
            <w:r>
              <w:rPr>
                <w:rFonts w:ascii="Arial"/>
                <w:color w:val="231F20"/>
                <w:w w:val="110"/>
                <w:sz w:val="14"/>
              </w:rPr>
              <w:t>Ninguno</w:t>
            </w:r>
          </w:p>
        </w:tc>
        <w:tc>
          <w:tcPr>
            <w:tcW w:w="1006" w:type="dxa"/>
            <w:gridSpan w:val="2"/>
          </w:tcPr>
          <w:p>
            <w:pPr>
              <w:pStyle w:val="TableParagraph"/>
              <w:spacing w:before="45"/>
              <w:ind w:left="137"/>
              <w:rPr>
                <w:rFonts w:ascii="Arial"/>
                <w:sz w:val="14"/>
              </w:rPr>
            </w:pPr>
            <w:r>
              <w:rPr>
                <w:rFonts w:ascii="Arial"/>
                <w:color w:val="231F20"/>
                <w:w w:val="105"/>
                <w:sz w:val="14"/>
              </w:rPr>
              <w:t>0.5</w:t>
            </w:r>
          </w:p>
        </w:tc>
        <w:tc>
          <w:tcPr>
            <w:tcW w:w="435" w:type="dxa"/>
          </w:tcPr>
          <w:p>
            <w:pPr/>
          </w:p>
        </w:tc>
        <w:tc>
          <w:tcPr>
            <w:tcW w:w="428" w:type="dxa"/>
            <w:vMerge/>
          </w:tcPr>
          <w:p>
            <w:pPr/>
          </w:p>
        </w:tc>
      </w:tr>
      <w:tr>
        <w:trPr>
          <w:trHeight w:val="197" w:hRule="exact"/>
        </w:trPr>
        <w:tc>
          <w:tcPr>
            <w:tcW w:w="384" w:type="dxa"/>
          </w:tcPr>
          <w:p>
            <w:pPr/>
          </w:p>
        </w:tc>
        <w:tc>
          <w:tcPr>
            <w:tcW w:w="2190" w:type="dxa"/>
          </w:tcPr>
          <w:p>
            <w:pPr>
              <w:pStyle w:val="TableParagraph"/>
              <w:spacing w:before="16"/>
              <w:ind w:right="123"/>
              <w:jc w:val="right"/>
              <w:rPr>
                <w:rFonts w:ascii="Arial"/>
                <w:i/>
                <w:sz w:val="14"/>
              </w:rPr>
            </w:pPr>
            <w:r>
              <w:rPr>
                <w:rFonts w:ascii="Arial"/>
                <w:color w:val="231F20"/>
                <w:w w:val="105"/>
                <w:sz w:val="14"/>
              </w:rPr>
              <w:t>Primaria/</w:t>
            </w:r>
            <w:r>
              <w:rPr>
                <w:rFonts w:ascii="Arial"/>
                <w:i/>
                <w:color w:val="231F20"/>
                <w:w w:val="105"/>
                <w:sz w:val="14"/>
              </w:rPr>
              <w:t>Elementary</w:t>
            </w:r>
          </w:p>
        </w:tc>
        <w:tc>
          <w:tcPr>
            <w:tcW w:w="1006" w:type="dxa"/>
            <w:gridSpan w:val="2"/>
          </w:tcPr>
          <w:p>
            <w:pPr/>
          </w:p>
        </w:tc>
        <w:tc>
          <w:tcPr>
            <w:tcW w:w="435" w:type="dxa"/>
          </w:tcPr>
          <w:p>
            <w:pPr>
              <w:pStyle w:val="TableParagraph"/>
              <w:spacing w:before="17"/>
              <w:ind w:left="20" w:right="-37"/>
              <w:rPr>
                <w:rFonts w:ascii="Arial"/>
                <w:sz w:val="14"/>
              </w:rPr>
            </w:pPr>
            <w:r>
              <w:rPr>
                <w:rFonts w:ascii="Arial"/>
                <w:color w:val="231F20"/>
                <w:w w:val="110"/>
                <w:sz w:val="14"/>
              </w:rPr>
              <w:t>22.5</w:t>
            </w:r>
          </w:p>
        </w:tc>
        <w:tc>
          <w:tcPr>
            <w:tcW w:w="428" w:type="dxa"/>
            <w:vMerge/>
          </w:tcPr>
          <w:p>
            <w:pPr/>
          </w:p>
        </w:tc>
      </w:tr>
      <w:tr>
        <w:trPr>
          <w:trHeight w:val="218" w:hRule="exact"/>
        </w:trPr>
        <w:tc>
          <w:tcPr>
            <w:tcW w:w="384" w:type="dxa"/>
          </w:tcPr>
          <w:p>
            <w:pPr/>
          </w:p>
        </w:tc>
        <w:tc>
          <w:tcPr>
            <w:tcW w:w="2190" w:type="dxa"/>
          </w:tcPr>
          <w:p>
            <w:pPr>
              <w:pStyle w:val="TableParagraph"/>
              <w:spacing w:before="46"/>
              <w:ind w:right="113"/>
              <w:jc w:val="right"/>
              <w:rPr>
                <w:rFonts w:ascii="Arial"/>
                <w:sz w:val="14"/>
              </w:rPr>
            </w:pPr>
            <w:r>
              <w:rPr>
                <w:rFonts w:ascii="Arial"/>
                <w:color w:val="231F20"/>
                <w:w w:val="105"/>
                <w:sz w:val="14"/>
              </w:rPr>
              <w:t>Secundaria</w:t>
            </w:r>
          </w:p>
        </w:tc>
        <w:tc>
          <w:tcPr>
            <w:tcW w:w="1006" w:type="dxa"/>
            <w:gridSpan w:val="2"/>
          </w:tcPr>
          <w:p>
            <w:pPr/>
          </w:p>
        </w:tc>
        <w:tc>
          <w:tcPr>
            <w:tcW w:w="435" w:type="dxa"/>
          </w:tcPr>
          <w:p>
            <w:pPr/>
          </w:p>
        </w:tc>
        <w:tc>
          <w:tcPr>
            <w:tcW w:w="428" w:type="dxa"/>
          </w:tcPr>
          <w:p>
            <w:pPr>
              <w:pStyle w:val="TableParagraph"/>
              <w:spacing w:before="47"/>
              <w:ind w:left="63"/>
              <w:rPr>
                <w:rFonts w:ascii="Arial"/>
                <w:sz w:val="14"/>
              </w:rPr>
            </w:pPr>
            <w:r>
              <w:rPr>
                <w:rFonts w:ascii="Arial"/>
                <w:color w:val="231F20"/>
                <w:w w:val="110"/>
                <w:sz w:val="14"/>
              </w:rPr>
              <w:t>34.3</w:t>
            </w:r>
          </w:p>
        </w:tc>
      </w:tr>
      <w:tr>
        <w:trPr>
          <w:trHeight w:val="534" w:hRule="exact"/>
        </w:trPr>
        <w:tc>
          <w:tcPr>
            <w:tcW w:w="384" w:type="dxa"/>
          </w:tcPr>
          <w:p>
            <w:pPr/>
          </w:p>
        </w:tc>
        <w:tc>
          <w:tcPr>
            <w:tcW w:w="2190" w:type="dxa"/>
          </w:tcPr>
          <w:p>
            <w:pPr>
              <w:pStyle w:val="TableParagraph"/>
              <w:spacing w:before="55"/>
              <w:ind w:left="373"/>
              <w:rPr>
                <w:rFonts w:ascii="Arial"/>
                <w:i/>
                <w:sz w:val="14"/>
              </w:rPr>
            </w:pPr>
            <w:r>
              <w:rPr>
                <w:rFonts w:ascii="Arial"/>
                <w:color w:val="231F20"/>
                <w:w w:val="110"/>
                <w:sz w:val="14"/>
              </w:rPr>
              <w:t>Preparatoria/</w:t>
            </w:r>
            <w:r>
              <w:rPr>
                <w:rFonts w:ascii="Arial"/>
                <w:i/>
                <w:color w:val="231F20"/>
                <w:w w:val="110"/>
                <w:sz w:val="14"/>
              </w:rPr>
              <w:t>High School</w:t>
            </w:r>
          </w:p>
          <w:p>
            <w:pPr>
              <w:pStyle w:val="TableParagraph"/>
              <w:spacing w:before="66"/>
              <w:ind w:left="-8"/>
              <w:rPr>
                <w:rFonts w:ascii="Arial" w:hAnsi="Arial"/>
                <w:sz w:val="14"/>
              </w:rPr>
            </w:pPr>
            <w:r>
              <w:rPr>
                <w:rFonts w:ascii="Arial" w:hAnsi="Arial"/>
                <w:color w:val="231F20"/>
                <w:w w:val="105"/>
                <w:sz w:val="14"/>
              </w:rPr>
              <w:t>Escuela técnica con secundaria</w:t>
            </w:r>
          </w:p>
        </w:tc>
        <w:tc>
          <w:tcPr>
            <w:tcW w:w="1006" w:type="dxa"/>
            <w:gridSpan w:val="2"/>
          </w:tcPr>
          <w:p>
            <w:pPr>
              <w:pStyle w:val="TableParagraph"/>
              <w:spacing w:before="0"/>
              <w:rPr>
                <w:rFonts w:ascii="Arial"/>
                <w:sz w:val="14"/>
              </w:rPr>
            </w:pPr>
          </w:p>
          <w:p>
            <w:pPr>
              <w:pStyle w:val="TableParagraph"/>
              <w:spacing w:before="123"/>
              <w:ind w:left="129"/>
              <w:rPr>
                <w:rFonts w:ascii="Arial"/>
                <w:sz w:val="14"/>
              </w:rPr>
            </w:pPr>
            <w:r>
              <w:rPr>
                <w:rFonts w:ascii="Arial"/>
                <w:color w:val="231F20"/>
                <w:w w:val="105"/>
                <w:sz w:val="14"/>
              </w:rPr>
              <w:t>0.3</w:t>
            </w:r>
          </w:p>
        </w:tc>
        <w:tc>
          <w:tcPr>
            <w:tcW w:w="435" w:type="dxa"/>
          </w:tcPr>
          <w:p>
            <w:pPr>
              <w:pStyle w:val="TableParagraph"/>
              <w:spacing w:before="56"/>
              <w:ind w:left="247" w:right="-37"/>
              <w:rPr>
                <w:rFonts w:ascii="Arial"/>
                <w:sz w:val="14"/>
              </w:rPr>
            </w:pPr>
            <w:r>
              <w:rPr>
                <w:rFonts w:ascii="Arial"/>
                <w:color w:val="231F20"/>
                <w:w w:val="105"/>
                <w:sz w:val="14"/>
              </w:rPr>
              <w:t>28.</w:t>
            </w:r>
          </w:p>
        </w:tc>
        <w:tc>
          <w:tcPr>
            <w:tcW w:w="428" w:type="dxa"/>
          </w:tcPr>
          <w:p>
            <w:pPr>
              <w:pStyle w:val="TableParagraph"/>
              <w:spacing w:before="56"/>
              <w:ind w:left="21"/>
              <w:rPr>
                <w:rFonts w:ascii="Arial"/>
                <w:sz w:val="14"/>
              </w:rPr>
            </w:pPr>
            <w:r>
              <w:rPr>
                <w:rFonts w:ascii="Arial"/>
                <w:color w:val="231F20"/>
                <w:w w:val="109"/>
                <w:sz w:val="14"/>
              </w:rPr>
              <w:t>1</w:t>
            </w:r>
          </w:p>
        </w:tc>
      </w:tr>
      <w:tr>
        <w:trPr>
          <w:trHeight w:val="184" w:hRule="exact"/>
        </w:trPr>
        <w:tc>
          <w:tcPr>
            <w:tcW w:w="384" w:type="dxa"/>
          </w:tcPr>
          <w:p>
            <w:pPr/>
          </w:p>
        </w:tc>
        <w:tc>
          <w:tcPr>
            <w:tcW w:w="2190" w:type="dxa"/>
          </w:tcPr>
          <w:p>
            <w:pPr>
              <w:pStyle w:val="TableParagraph"/>
              <w:spacing w:line="137" w:lineRule="exact" w:before="0"/>
              <w:ind w:right="113"/>
              <w:jc w:val="right"/>
              <w:rPr>
                <w:rFonts w:ascii="Arial"/>
                <w:sz w:val="14"/>
              </w:rPr>
            </w:pPr>
            <w:r>
              <w:rPr>
                <w:rFonts w:ascii="Arial"/>
                <w:color w:val="231F20"/>
                <w:w w:val="110"/>
                <w:sz w:val="14"/>
              </w:rPr>
              <w:t>Normal</w:t>
            </w:r>
          </w:p>
        </w:tc>
        <w:tc>
          <w:tcPr>
            <w:tcW w:w="404" w:type="dxa"/>
          </w:tcPr>
          <w:p>
            <w:pPr>
              <w:pStyle w:val="TableParagraph"/>
              <w:spacing w:line="138" w:lineRule="exact" w:before="0"/>
              <w:ind w:right="38"/>
              <w:jc w:val="right"/>
              <w:rPr>
                <w:rFonts w:ascii="Arial"/>
                <w:sz w:val="14"/>
              </w:rPr>
            </w:pPr>
            <w:r>
              <w:rPr>
                <w:rFonts w:ascii="Arial"/>
                <w:color w:val="231F20"/>
                <w:w w:val="105"/>
                <w:sz w:val="14"/>
              </w:rPr>
              <w:t>1.0</w:t>
            </w:r>
          </w:p>
        </w:tc>
        <w:tc>
          <w:tcPr>
            <w:tcW w:w="1464" w:type="dxa"/>
            <w:gridSpan w:val="3"/>
          </w:tcPr>
          <w:p>
            <w:pPr/>
          </w:p>
        </w:tc>
      </w:tr>
      <w:tr>
        <w:trPr>
          <w:trHeight w:val="231" w:hRule="exact"/>
        </w:trPr>
        <w:tc>
          <w:tcPr>
            <w:tcW w:w="384" w:type="dxa"/>
          </w:tcPr>
          <w:p>
            <w:pPr/>
          </w:p>
        </w:tc>
        <w:tc>
          <w:tcPr>
            <w:tcW w:w="2190" w:type="dxa"/>
          </w:tcPr>
          <w:p>
            <w:pPr>
              <w:pStyle w:val="TableParagraph"/>
              <w:spacing w:before="19"/>
              <w:ind w:right="118"/>
              <w:jc w:val="right"/>
              <w:rPr>
                <w:rFonts w:ascii="Arial"/>
                <w:i/>
                <w:sz w:val="14"/>
              </w:rPr>
            </w:pPr>
            <w:r>
              <w:rPr>
                <w:rFonts w:ascii="Arial"/>
                <w:color w:val="231F20"/>
                <w:w w:val="105"/>
                <w:sz w:val="14"/>
              </w:rPr>
              <w:t>Profesional/</w:t>
            </w:r>
            <w:r>
              <w:rPr>
                <w:rFonts w:ascii="Arial"/>
                <w:i/>
                <w:color w:val="231F20"/>
                <w:w w:val="105"/>
                <w:sz w:val="14"/>
              </w:rPr>
              <w:t>College</w:t>
            </w:r>
          </w:p>
        </w:tc>
        <w:tc>
          <w:tcPr>
            <w:tcW w:w="404" w:type="dxa"/>
            <w:tcBorders>
              <w:right w:val="single" w:sz="5" w:space="0" w:color="E2E3E4"/>
            </w:tcBorders>
          </w:tcPr>
          <w:p>
            <w:pPr/>
          </w:p>
        </w:tc>
        <w:tc>
          <w:tcPr>
            <w:tcW w:w="1464" w:type="dxa"/>
            <w:gridSpan w:val="3"/>
            <w:tcBorders>
              <w:left w:val="single" w:sz="5" w:space="0" w:color="E2E3E4"/>
            </w:tcBorders>
          </w:tcPr>
          <w:p>
            <w:pPr>
              <w:pStyle w:val="TableParagraph"/>
              <w:spacing w:before="20"/>
              <w:ind w:left="210"/>
              <w:rPr>
                <w:rFonts w:ascii="Arial"/>
                <w:sz w:val="14"/>
              </w:rPr>
            </w:pPr>
            <w:r>
              <w:rPr>
                <w:rFonts w:ascii="Arial"/>
                <w:color w:val="231F20"/>
                <w:w w:val="110"/>
                <w:sz w:val="14"/>
              </w:rPr>
              <w:t>12.5</w:t>
            </w:r>
          </w:p>
        </w:tc>
      </w:tr>
      <w:tr>
        <w:trPr>
          <w:trHeight w:val="227" w:hRule="exact"/>
        </w:trPr>
        <w:tc>
          <w:tcPr>
            <w:tcW w:w="384" w:type="dxa"/>
          </w:tcPr>
          <w:p>
            <w:pPr/>
          </w:p>
        </w:tc>
        <w:tc>
          <w:tcPr>
            <w:tcW w:w="2190" w:type="dxa"/>
          </w:tcPr>
          <w:p>
            <w:pPr>
              <w:pStyle w:val="TableParagraph"/>
              <w:spacing w:before="16"/>
              <w:ind w:right="117"/>
              <w:jc w:val="right"/>
              <w:rPr>
                <w:rFonts w:ascii="Arial" w:hAnsi="Arial"/>
                <w:i/>
                <w:sz w:val="14"/>
              </w:rPr>
            </w:pPr>
            <w:r>
              <w:rPr>
                <w:rFonts w:ascii="Arial" w:hAnsi="Arial"/>
                <w:color w:val="231F20"/>
                <w:w w:val="105"/>
                <w:sz w:val="14"/>
              </w:rPr>
              <w:t>Maestría/</w:t>
            </w:r>
            <w:r>
              <w:rPr>
                <w:rFonts w:ascii="Arial" w:hAnsi="Arial"/>
                <w:i/>
                <w:color w:val="231F20"/>
                <w:w w:val="105"/>
                <w:sz w:val="14"/>
              </w:rPr>
              <w:t>Master</w:t>
            </w:r>
          </w:p>
        </w:tc>
        <w:tc>
          <w:tcPr>
            <w:tcW w:w="404" w:type="dxa"/>
            <w:tcBorders>
              <w:right w:val="single" w:sz="5" w:space="0" w:color="E2E3E4"/>
            </w:tcBorders>
          </w:tcPr>
          <w:p>
            <w:pPr>
              <w:pStyle w:val="TableParagraph"/>
              <w:spacing w:before="17"/>
              <w:ind w:right="58"/>
              <w:jc w:val="right"/>
              <w:rPr>
                <w:rFonts w:ascii="Arial"/>
                <w:sz w:val="14"/>
              </w:rPr>
            </w:pPr>
            <w:r>
              <w:rPr>
                <w:rFonts w:ascii="Arial"/>
                <w:color w:val="231F20"/>
                <w:w w:val="105"/>
                <w:sz w:val="14"/>
              </w:rPr>
              <w:t>0.3</w:t>
            </w:r>
          </w:p>
        </w:tc>
        <w:tc>
          <w:tcPr>
            <w:tcW w:w="1464" w:type="dxa"/>
            <w:gridSpan w:val="3"/>
            <w:tcBorders>
              <w:left w:val="single" w:sz="5" w:space="0" w:color="E2E3E4"/>
            </w:tcBorders>
          </w:tcPr>
          <w:p>
            <w:pPr/>
          </w:p>
        </w:tc>
      </w:tr>
      <w:tr>
        <w:trPr>
          <w:trHeight w:val="188" w:hRule="exact"/>
        </w:trPr>
        <w:tc>
          <w:tcPr>
            <w:tcW w:w="384" w:type="dxa"/>
          </w:tcPr>
          <w:p>
            <w:pPr>
              <w:pStyle w:val="TableParagraph"/>
              <w:tabs>
                <w:tab w:pos="348" w:val="left" w:leader="none"/>
              </w:tabs>
              <w:spacing w:before="16"/>
              <w:jc w:val="right"/>
              <w:rPr>
                <w:rFonts w:ascii="Arial"/>
                <w:sz w:val="14"/>
              </w:rPr>
            </w:pPr>
            <w:r>
              <w:rPr>
                <w:rFonts w:ascii="Arial"/>
                <w:color w:val="231F20"/>
                <w:w w:val="94"/>
                <w:sz w:val="14"/>
                <w:u w:val="single" w:color="E2E3E4"/>
              </w:rPr>
              <w:t> </w:t>
            </w:r>
            <w:r>
              <w:rPr>
                <w:rFonts w:ascii="Arial"/>
                <w:color w:val="231F20"/>
                <w:sz w:val="14"/>
                <w:u w:val="single" w:color="E2E3E4"/>
              </w:rPr>
              <w:tab/>
            </w:r>
          </w:p>
        </w:tc>
        <w:tc>
          <w:tcPr>
            <w:tcW w:w="2190" w:type="dxa"/>
            <w:tcBorders>
              <w:bottom w:val="single" w:sz="5" w:space="0" w:color="D7D8D8"/>
            </w:tcBorders>
          </w:tcPr>
          <w:p>
            <w:pPr>
              <w:pStyle w:val="TableParagraph"/>
              <w:spacing w:before="16"/>
              <w:ind w:right="122"/>
              <w:jc w:val="right"/>
              <w:rPr>
                <w:rFonts w:ascii="Arial"/>
                <w:i/>
                <w:sz w:val="14"/>
              </w:rPr>
            </w:pPr>
            <w:r>
              <w:rPr>
                <w:rFonts w:ascii="Arial"/>
                <w:color w:val="231F20"/>
                <w:w w:val="110"/>
                <w:sz w:val="14"/>
              </w:rPr>
              <w:t>Doctorado/</w:t>
            </w:r>
            <w:r>
              <w:rPr>
                <w:rFonts w:ascii="Arial"/>
                <w:i/>
                <w:color w:val="231F20"/>
                <w:w w:val="110"/>
                <w:sz w:val="14"/>
              </w:rPr>
              <w:t>PH Doctor</w:t>
            </w:r>
          </w:p>
        </w:tc>
        <w:tc>
          <w:tcPr>
            <w:tcW w:w="404" w:type="dxa"/>
            <w:tcBorders>
              <w:right w:val="single" w:sz="5" w:space="0" w:color="E2E3E4"/>
            </w:tcBorders>
          </w:tcPr>
          <w:p>
            <w:pPr>
              <w:pStyle w:val="TableParagraph"/>
              <w:spacing w:before="17"/>
              <w:ind w:right="50"/>
              <w:jc w:val="right"/>
              <w:rPr>
                <w:rFonts w:ascii="Arial"/>
                <w:sz w:val="14"/>
              </w:rPr>
            </w:pPr>
            <w:r>
              <w:rPr>
                <w:rFonts w:ascii="Arial"/>
                <w:color w:val="231F20"/>
                <w:w w:val="105"/>
                <w:sz w:val="14"/>
              </w:rPr>
              <w:t>0.5</w:t>
            </w:r>
          </w:p>
        </w:tc>
        <w:tc>
          <w:tcPr>
            <w:tcW w:w="1464" w:type="dxa"/>
            <w:gridSpan w:val="3"/>
            <w:tcBorders>
              <w:left w:val="single" w:sz="5" w:space="0" w:color="E2E3E4"/>
            </w:tcBorders>
          </w:tcPr>
          <w:p>
            <w:pPr/>
          </w:p>
        </w:tc>
      </w:tr>
      <w:tr>
        <w:trPr>
          <w:trHeight w:val="307" w:hRule="exact"/>
        </w:trPr>
        <w:tc>
          <w:tcPr>
            <w:tcW w:w="384" w:type="dxa"/>
          </w:tcPr>
          <w:p>
            <w:pPr/>
          </w:p>
        </w:tc>
        <w:tc>
          <w:tcPr>
            <w:tcW w:w="2190" w:type="dxa"/>
            <w:tcBorders>
              <w:top w:val="single" w:sz="5" w:space="0" w:color="D7D8D8"/>
            </w:tcBorders>
          </w:tcPr>
          <w:p>
            <w:pPr>
              <w:pStyle w:val="TableParagraph"/>
              <w:spacing w:before="40"/>
              <w:ind w:right="94"/>
              <w:jc w:val="right"/>
              <w:rPr>
                <w:rFonts w:ascii="Arial"/>
                <w:sz w:val="14"/>
              </w:rPr>
            </w:pPr>
            <w:r>
              <w:rPr>
                <w:rFonts w:ascii="Arial"/>
                <w:color w:val="231F20"/>
                <w:w w:val="110"/>
                <w:sz w:val="14"/>
              </w:rPr>
              <w:t>Soltero</w:t>
            </w:r>
          </w:p>
        </w:tc>
        <w:tc>
          <w:tcPr>
            <w:tcW w:w="404" w:type="dxa"/>
            <w:tcBorders>
              <w:right w:val="single" w:sz="5" w:space="0" w:color="E2E3E4"/>
            </w:tcBorders>
          </w:tcPr>
          <w:p>
            <w:pPr/>
          </w:p>
        </w:tc>
        <w:tc>
          <w:tcPr>
            <w:tcW w:w="1464" w:type="dxa"/>
            <w:gridSpan w:val="3"/>
            <w:tcBorders>
              <w:left w:val="single" w:sz="5" w:space="0" w:color="E2E3E4"/>
            </w:tcBorders>
          </w:tcPr>
          <w:p>
            <w:pPr>
              <w:pStyle w:val="TableParagraph"/>
              <w:spacing w:before="56"/>
              <w:ind w:left="18"/>
              <w:rPr>
                <w:rFonts w:ascii="Arial"/>
                <w:sz w:val="14"/>
              </w:rPr>
            </w:pPr>
            <w:r>
              <w:rPr>
                <w:rFonts w:ascii="Arial"/>
                <w:color w:val="231F20"/>
                <w:w w:val="105"/>
                <w:sz w:val="14"/>
              </w:rPr>
              <w:t>7.7</w:t>
            </w:r>
          </w:p>
        </w:tc>
      </w:tr>
    </w:tbl>
    <w:p>
      <w:pPr>
        <w:spacing w:line="138" w:lineRule="exact" w:before="0"/>
        <w:ind w:left="1516" w:right="2218" w:firstLine="0"/>
        <w:jc w:val="right"/>
        <w:rPr>
          <w:rFonts w:ascii="Arial"/>
          <w:sz w:val="14"/>
        </w:rPr>
      </w:pPr>
      <w:r>
        <w:rPr/>
        <w:pict>
          <v:group style="position:absolute;margin-left:105.714401pt;margin-top:-265.392548pt;width:289.650pt;height:307.7pt;mso-position-horizontal-relative:page;mso-position-vertical-relative:paragraph;z-index:-468280" coordorigin="2114,-5308" coordsize="5793,6154">
            <v:shape style="position:absolute;left:0;top:6558;width:2837;height:6141" coordorigin="0,6558" coordsize="2837,6141" path="m5064,-5301l5064,-5274m5064,-5100l5064,-5046m5064,-4873l5064,-4137m5064,-3963l5064,-3682m5064,-3281l5064,-2090m5064,-1916l5064,-1863m5064,-1689l5064,-1635m5064,-1462l5064,-953m5064,130l5064,839m5471,-1462l5471,-43m5471,130l5471,839m5875,-1689l5875,-43m5875,130l5875,839m6282,-4873l6282,-43m6282,130l6282,839m6686,-5100l6686,-43m6686,130l6686,839m7093,-5301l7093,-43m7093,130l7093,839m7497,-5301l7497,-43m7497,130l7497,839m7901,-5301l7901,839e" filled="false" stroked="true" strokeweight=".612pt" strokecolor="#e2e3e4">
              <v:path arrowok="t"/>
            </v:shape>
            <v:shape style="position:absolute;left:4659;top:639;width:93;height:174" type="#_x0000_t75" stroked="false">
              <v:imagedata r:id="rId194" o:title=""/>
            </v:shape>
            <v:shape style="position:absolute;left:4659;top:412;width:247;height:174" type="#_x0000_t75" stroked="false">
              <v:imagedata r:id="rId195" o:title=""/>
            </v:shape>
            <v:shape style="position:absolute;left:4659;top:184;width:211;height:174" type="#_x0000_t75" stroked="false">
              <v:imagedata r:id="rId196" o:title=""/>
            </v:shape>
            <v:shape style="position:absolute;left:4659;top:-43;width:3190;height:174" type="#_x0000_t75" stroked="false">
              <v:imagedata r:id="rId197" o:title=""/>
            </v:shape>
            <v:shape style="position:absolute;left:4659;top:-271;width:312;height:174" type="#_x0000_t75" stroked="false">
              <v:imagedata r:id="rId198" o:title=""/>
            </v:shape>
            <v:shape style="position:absolute;left:4659;top:-953;width:507;height:174" type="#_x0000_t75" stroked="false">
              <v:imagedata r:id="rId199" o:title=""/>
            </v:shape>
            <v:shape style="position:absolute;left:4659;top:-1180;width:41;height:174" type="#_x0000_t75" stroked="false">
              <v:imagedata r:id="rId200" o:title=""/>
            </v:shape>
            <v:line style="position:absolute" from="5471,-1689" to="5471,-1635" stroked="true" strokeweight=".612pt" strokecolor="#e2e3e4"/>
            <v:shape style="position:absolute;left:4659;top:-1635;width:1139;height:174" type="#_x0000_t75" stroked="false">
              <v:imagedata r:id="rId201" o:title=""/>
            </v:shape>
            <v:shape style="position:absolute;left:408;top:6987;width:404;height:3011" coordorigin="408,6987" coordsize="404,3011" path="m5471,-1916l5471,-1863m5875,-4873l5875,-1863e" filled="false" stroked="true" strokeweight=".612pt" strokecolor="#e2e3e4">
              <v:path arrowok="t"/>
            </v:shape>
            <v:shape style="position:absolute;left:4659;top:-1863;width:1390;height:174" type="#_x0000_t75" stroked="false">
              <v:imagedata r:id="rId202" o:title=""/>
            </v:shape>
            <v:line style="position:absolute" from="5471,-3281" to="5471,-2090" stroked="true" strokeweight=".612pt" strokecolor="#e2e3e4"/>
            <v:shape style="position:absolute;left:4659;top:-2090;width:912;height:174" type="#_x0000_t75" stroked="false">
              <v:imagedata r:id="rId203" o:title=""/>
            </v:shape>
            <v:shape style="position:absolute;left:4659;top:-2317;width:20;height:174" type="#_x0000_t75" stroked="false">
              <v:imagedata r:id="rId204" o:title=""/>
            </v:shape>
            <v:shape style="position:absolute;left:4659;top:-2545;width:92;height:174" type="#_x0000_t75" stroked="false">
              <v:imagedata r:id="rId205" o:title=""/>
            </v:shape>
            <v:shape style="position:absolute;left:4659;top:-2772;width:315;height:174" type="#_x0000_t75" stroked="false">
              <v:imagedata r:id="rId206" o:title=""/>
            </v:shape>
            <v:shape style="position:absolute;left:4659;top:-3000;width:283;height:174" type="#_x0000_t75" stroked="false">
              <v:imagedata r:id="rId207" o:title=""/>
            </v:shape>
            <v:shape style="position:absolute;left:4659;top:-3227;width:350;height:174" type="#_x0000_t75" stroked="false">
              <v:imagedata r:id="rId208" o:title=""/>
            </v:shape>
            <v:line style="position:absolute" from="5471,-4873" to="5471,-3454" stroked="true" strokeweight=".612pt" strokecolor="#e2e3e4"/>
            <v:shape style="position:absolute;left:4659;top:-3454;width:969;height:174" type="#_x0000_t75" stroked="false">
              <v:imagedata r:id="rId209" o:title=""/>
            </v:shape>
            <v:shape style="position:absolute;left:4659;top:-3682;width:487;height:174" type="#_x0000_t75" stroked="false">
              <v:imagedata r:id="rId210" o:title=""/>
            </v:shape>
            <v:rect style="position:absolute;left:4659;top:-3909;width:422;height:174" filled="true" fillcolor="#ffffff" stroked="false">
              <v:fill type="solid"/>
            </v:rect>
            <v:shape style="position:absolute;left:4659;top:-3909;width:422;height:174" type="#_x0000_t75" stroked="false">
              <v:imagedata r:id="rId211" o:title=""/>
            </v:shape>
            <v:shape style="position:absolute;left:4659;top:-4137;width:627;height:174" type="#_x0000_t75" stroked="false">
              <v:imagedata r:id="rId212" o:title=""/>
            </v:shape>
            <v:shape style="position:absolute;left:4659;top:-4364;width:385;height:174" type="#_x0000_t75" stroked="false">
              <v:imagedata r:id="rId213" o:title=""/>
            </v:shape>
            <v:shape style="position:absolute;left:4659;top:-4592;width:112;height:174" type="#_x0000_t75" stroked="false">
              <v:imagedata r:id="rId214" o:title=""/>
            </v:shape>
            <v:shape style="position:absolute;left:408;top:6759;width:812;height:54" coordorigin="408,6759" coordsize="812,54" path="m5471,-5100l5471,-5046m5875,-5100l5875,-5046m6282,-5100l6282,-5046e" filled="false" stroked="true" strokeweight=".612pt" strokecolor="#e2e3e4">
              <v:path arrowok="t"/>
            </v:shape>
            <v:shape style="position:absolute;left:4659;top:-5046;width:1967;height:174" type="#_x0000_t75" stroked="false">
              <v:imagedata r:id="rId215" o:title=""/>
            </v:shape>
            <v:shape style="position:absolute;left:408;top:6558;width:1215;height:28" coordorigin="408,6558" coordsize="1215,28" path="m5471,-5301l5471,-5274m5875,-5301l5875,-5274m6282,-5301l6282,-5274m6686,-5301l6686,-5274e" filled="false" stroked="true" strokeweight=".612pt" strokecolor="#e2e3e4">
              <v:path arrowok="t"/>
            </v:shape>
            <v:shape style="position:absolute;left:4659;top:-5274;width:2087;height:174" type="#_x0000_t75" stroked="false">
              <v:imagedata r:id="rId216" o:title=""/>
            </v:shape>
            <v:shape style="position:absolute;left:4666;top:-4819;width:2;height:4268" coordorigin="4666,-4819" coordsize="0,4268" path="m4666,-4819l4666,-4647m4666,-1406l4666,-1234m4666,-725l4666,-552e" filled="false" stroked="true" strokeweight=".589pt" strokecolor="#231f20">
              <v:path arrowok="t"/>
            </v:shape>
            <v:line style="position:absolute" from="4670,-497" to="4670,-325" stroked="true" strokeweight=".98pt" strokecolor="#231f20"/>
            <v:line style="position:absolute" from="4659,840" to="4659,-5301" stroked="true" strokeweight=".612pt" strokecolor="#e2e3e4"/>
            <v:shape style="position:absolute;left:0;top:418;width:2190;height:6141" coordorigin="0,418" coordsize="2190,6141" path="m2470,839l4659,839m2470,-5301l4659,-5301e" filled="false" stroked="true" strokeweight=".612pt" strokecolor="#d7d8d8">
              <v:path arrowok="t"/>
            </v:shape>
            <v:line style="position:absolute" from="2121,-5301" to="2470,-5301" stroked="true" strokeweight=".612pt" strokecolor="#e2e3e4"/>
            <v:shape style="position:absolute;left:3986;top:-5232;width:556;height:147" type="#_x0000_t202" filled="false" stroked="false">
              <v:textbox inset="0,0,0,0">
                <w:txbxContent>
                  <w:p>
                    <w:pPr>
                      <w:spacing w:line="137" w:lineRule="exact" w:before="0"/>
                      <w:ind w:left="0" w:right="-12" w:firstLine="0"/>
                      <w:jc w:val="left"/>
                      <w:rPr>
                        <w:rFonts w:ascii="Arial"/>
                        <w:sz w:val="14"/>
                      </w:rPr>
                    </w:pPr>
                    <w:r>
                      <w:rPr>
                        <w:rFonts w:ascii="Arial"/>
                        <w:color w:val="231F20"/>
                        <w:w w:val="110"/>
                        <w:sz w:val="14"/>
                      </w:rPr>
                      <w:t>Hombre</w:t>
                    </w:r>
                  </w:p>
                </w:txbxContent>
              </v:textbox>
              <w10:wrap type="none"/>
            </v:shape>
            <v:shape style="position:absolute;left:6741;top:-5231;width:415;height:375" type="#_x0000_t202" filled="false" stroked="false">
              <v:textbox inset="0,0,0,0">
                <w:txbxContent>
                  <w:p>
                    <w:pPr>
                      <w:spacing w:line="137" w:lineRule="exact" w:before="0"/>
                      <w:ind w:left="120" w:right="-12" w:firstLine="0"/>
                      <w:jc w:val="left"/>
                      <w:rPr>
                        <w:rFonts w:ascii="Arial"/>
                        <w:sz w:val="14"/>
                      </w:rPr>
                    </w:pPr>
                    <w:r>
                      <w:rPr>
                        <w:rFonts w:ascii="Arial"/>
                        <w:color w:val="231F20"/>
                        <w:w w:val="105"/>
                        <w:sz w:val="14"/>
                      </w:rPr>
                      <w:t>51.5</w:t>
                    </w:r>
                  </w:p>
                  <w:p>
                    <w:pPr>
                      <w:spacing w:before="66"/>
                      <w:ind w:left="0" w:right="-12" w:firstLine="0"/>
                      <w:jc w:val="left"/>
                      <w:rPr>
                        <w:rFonts w:ascii="Arial"/>
                        <w:sz w:val="14"/>
                      </w:rPr>
                    </w:pPr>
                    <w:r>
                      <w:rPr>
                        <w:rFonts w:ascii="Arial"/>
                        <w:color w:val="231F20"/>
                        <w:w w:val="110"/>
                        <w:sz w:val="14"/>
                      </w:rPr>
                      <w:t>48.5</w:t>
                    </w:r>
                  </w:p>
                </w:txbxContent>
              </v:textbox>
              <w10:wrap type="none"/>
            </v:shape>
            <v:shape style="position:absolute;left:2121;top:650;width:349;height:147" type="#_x0000_t202" filled="false" stroked="false">
              <v:textbox inset="0,0,0,0">
                <w:txbxContent>
                  <w:p>
                    <w:pPr>
                      <w:tabs>
                        <w:tab w:pos="348" w:val="left" w:leader="none"/>
                      </w:tabs>
                      <w:spacing w:line="137" w:lineRule="exact" w:before="0"/>
                      <w:ind w:left="0" w:right="0" w:firstLine="0"/>
                      <w:jc w:val="left"/>
                      <w:rPr>
                        <w:rFonts w:ascii="Arial"/>
                        <w:sz w:val="14"/>
                      </w:rPr>
                    </w:pPr>
                    <w:r>
                      <w:rPr>
                        <w:rFonts w:ascii="Arial"/>
                        <w:color w:val="231F20"/>
                        <w:w w:val="94"/>
                        <w:sz w:val="14"/>
                        <w:u w:val="single" w:color="E2E3E4"/>
                      </w:rPr>
                      <w:t> </w:t>
                    </w:r>
                    <w:r>
                      <w:rPr>
                        <w:rFonts w:ascii="Arial"/>
                        <w:color w:val="231F20"/>
                        <w:sz w:val="14"/>
                        <w:u w:val="single" w:color="E2E3E4"/>
                      </w:rPr>
                      <w:tab/>
                    </w:r>
                  </w:p>
                </w:txbxContent>
              </v:textbox>
              <w10:wrap type="none"/>
            </v:shape>
            <v:shape style="position:absolute;left:3029;top:0;width:1534;height:797" type="#_x0000_t202" filled="false" stroked="false">
              <v:textbox inset="0,0,0,0">
                <w:txbxContent>
                  <w:p>
                    <w:pPr>
                      <w:spacing w:line="137" w:lineRule="exact" w:before="0"/>
                      <w:ind w:left="0" w:right="0" w:firstLine="0"/>
                      <w:jc w:val="right"/>
                      <w:rPr>
                        <w:rFonts w:ascii="Arial"/>
                        <w:sz w:val="14"/>
                      </w:rPr>
                    </w:pPr>
                    <w:r>
                      <w:rPr>
                        <w:rFonts w:ascii="Arial"/>
                        <w:color w:val="231F20"/>
                        <w:w w:val="105"/>
                        <w:sz w:val="14"/>
                      </w:rPr>
                      <w:t>Casado</w:t>
                    </w:r>
                  </w:p>
                  <w:p>
                    <w:pPr>
                      <w:spacing w:line="314" w:lineRule="auto" w:before="66"/>
                      <w:ind w:left="0" w:right="0" w:firstLine="1123"/>
                      <w:jc w:val="right"/>
                      <w:rPr>
                        <w:rFonts w:ascii="Arial"/>
                        <w:sz w:val="14"/>
                      </w:rPr>
                    </w:pPr>
                    <w:r>
                      <w:rPr>
                        <w:rFonts w:ascii="Arial"/>
                        <w:color w:val="231F20"/>
                        <w:w w:val="110"/>
                        <w:sz w:val="14"/>
                      </w:rPr>
                      <w:t>Unido Separado o</w:t>
                    </w:r>
                    <w:r>
                      <w:rPr>
                        <w:rFonts w:ascii="Arial"/>
                        <w:color w:val="231F20"/>
                        <w:spacing w:val="-10"/>
                        <w:w w:val="110"/>
                        <w:sz w:val="14"/>
                      </w:rPr>
                      <w:t> </w:t>
                    </w:r>
                    <w:r>
                      <w:rPr>
                        <w:rFonts w:ascii="Arial"/>
                        <w:color w:val="231F20"/>
                        <w:w w:val="110"/>
                        <w:sz w:val="14"/>
                      </w:rPr>
                      <w:t>divorciado</w:t>
                    </w:r>
                  </w:p>
                  <w:p>
                    <w:pPr>
                      <w:spacing w:before="1"/>
                      <w:ind w:left="0" w:right="0" w:firstLine="0"/>
                      <w:jc w:val="right"/>
                      <w:rPr>
                        <w:rFonts w:ascii="Arial"/>
                        <w:sz w:val="14"/>
                      </w:rPr>
                    </w:pPr>
                    <w:r>
                      <w:rPr>
                        <w:rFonts w:ascii="Arial"/>
                        <w:color w:val="231F20"/>
                        <w:w w:val="110"/>
                        <w:sz w:val="14"/>
                      </w:rPr>
                      <w:t>Viudo</w:t>
                    </w:r>
                  </w:p>
                </w:txbxContent>
              </v:textbox>
              <w10:wrap type="none"/>
            </v:shape>
            <v:shape style="position:absolute;left:4869;top:229;width:363;height:602" type="#_x0000_t202" filled="false" stroked="false">
              <v:textbox inset="0,0,0,0">
                <w:txbxContent>
                  <w:p>
                    <w:pPr>
                      <w:spacing w:line="137" w:lineRule="exact" w:before="0"/>
                      <w:ind w:left="117" w:right="-15" w:firstLine="0"/>
                      <w:jc w:val="left"/>
                      <w:rPr>
                        <w:rFonts w:ascii="Arial"/>
                        <w:sz w:val="14"/>
                      </w:rPr>
                    </w:pPr>
                    <w:r>
                      <w:rPr>
                        <w:rFonts w:ascii="Arial"/>
                        <w:color w:val="231F20"/>
                        <w:w w:val="105"/>
                        <w:sz w:val="14"/>
                      </w:rPr>
                      <w:t>5.2</w:t>
                    </w:r>
                  </w:p>
                  <w:p>
                    <w:pPr>
                      <w:spacing w:before="66"/>
                      <w:ind w:left="153" w:right="-15" w:firstLine="0"/>
                      <w:jc w:val="left"/>
                      <w:rPr>
                        <w:rFonts w:ascii="Arial"/>
                        <w:sz w:val="14"/>
                      </w:rPr>
                    </w:pPr>
                    <w:r>
                      <w:rPr>
                        <w:rFonts w:ascii="Arial"/>
                        <w:color w:val="231F20"/>
                        <w:w w:val="105"/>
                        <w:sz w:val="14"/>
                      </w:rPr>
                      <w:t>6.1</w:t>
                    </w:r>
                  </w:p>
                  <w:p>
                    <w:pPr>
                      <w:spacing w:before="66"/>
                      <w:ind w:left="0" w:right="-15" w:firstLine="0"/>
                      <w:jc w:val="left"/>
                      <w:rPr>
                        <w:rFonts w:ascii="Arial"/>
                        <w:sz w:val="14"/>
                      </w:rPr>
                    </w:pPr>
                    <w:r>
                      <w:rPr>
                        <w:rFonts w:ascii="Arial"/>
                        <w:color w:val="231F20"/>
                        <w:w w:val="105"/>
                        <w:sz w:val="14"/>
                      </w:rPr>
                      <w:t>2.3</w:t>
                    </w:r>
                  </w:p>
                </w:txbxContent>
              </v:textbox>
              <w10:wrap type="none"/>
            </v:shape>
            <w10:wrap type="none"/>
          </v:group>
        </w:pict>
      </w:r>
      <w:r>
        <w:rPr/>
        <w:pict>
          <v:line style="position:absolute;mso-position-horizontal-relative:page;mso-position-vertical-relative:paragraph;z-index:21928" from="415.385193pt,-265.067535pt" to="415.385193pt,41.944465pt" stroked="true" strokeweight=".612pt" strokecolor="#e2e3e4">
            <w10:wrap type="none"/>
          </v:line>
        </w:pict>
      </w:r>
      <w:r>
        <w:rPr/>
        <w:pict>
          <v:shape style="position:absolute;margin-left:108.608047pt;margin-top:-15.841868pt;width:9.35pt;height:58.3pt;mso-position-horizontal-relative:page;mso-position-vertical-relative:paragraph;z-index:-468136" type="#_x0000_t202" filled="false" stroked="false">
            <v:textbox inset="0,0,0,0" style="layout-flow:vertical;mso-layout-flow-alt:bottom-to-top">
              <w:txbxContent>
                <w:p>
                  <w:pPr>
                    <w:spacing w:line="156" w:lineRule="exact" w:before="0"/>
                    <w:ind w:left="20" w:right="-474" w:firstLine="0"/>
                    <w:jc w:val="left"/>
                    <w:rPr>
                      <w:rFonts w:ascii="Tahoma"/>
                      <w:b/>
                      <w:sz w:val="14"/>
                    </w:rPr>
                  </w:pPr>
                  <w:r>
                    <w:rPr>
                      <w:rFonts w:ascii="Tahoma"/>
                      <w:b/>
                      <w:color w:val="231F20"/>
                      <w:w w:val="98"/>
                      <w:sz w:val="14"/>
                    </w:rPr>
                    <w:t>Estado</w:t>
                  </w:r>
                  <w:r>
                    <w:rPr>
                      <w:rFonts w:ascii="Tahoma"/>
                      <w:b/>
                      <w:color w:val="231F20"/>
                      <w:spacing w:val="-5"/>
                      <w:sz w:val="14"/>
                    </w:rPr>
                    <w:t> </w:t>
                  </w:r>
                  <w:r>
                    <w:rPr>
                      <w:rFonts w:ascii="Tahoma"/>
                      <w:b/>
                      <w:color w:val="231F20"/>
                      <w:w w:val="97"/>
                      <w:sz w:val="14"/>
                    </w:rPr>
                    <w:t>conyugal</w:t>
                  </w:r>
                </w:p>
              </w:txbxContent>
            </v:textbox>
            <w10:wrap type="none"/>
          </v:shape>
        </w:pict>
      </w:r>
      <w:r>
        <w:rPr/>
        <w:pict>
          <v:shape style="position:absolute;margin-left:108.608047pt;margin-top:-100.333519pt;width:9.35pt;height:71.8pt;mso-position-horizontal-relative:page;mso-position-vertical-relative:paragraph;z-index:-468112" type="#_x0000_t202" filled="false" stroked="false">
            <v:textbox inset="0,0,0,0" style="layout-flow:vertical;mso-layout-flow-alt:bottom-to-top">
              <w:txbxContent>
                <w:p>
                  <w:pPr>
                    <w:spacing w:line="156" w:lineRule="exact" w:before="0"/>
                    <w:ind w:left="20" w:right="0" w:firstLine="0"/>
                    <w:jc w:val="left"/>
                    <w:rPr>
                      <w:rFonts w:ascii="Tahoma"/>
                      <w:b/>
                      <w:sz w:val="14"/>
                    </w:rPr>
                  </w:pPr>
                  <w:r>
                    <w:rPr>
                      <w:rFonts w:ascii="Tahoma"/>
                      <w:b/>
                      <w:color w:val="231F20"/>
                      <w:w w:val="99"/>
                      <w:sz w:val="14"/>
                    </w:rPr>
                    <w:t>Nivel</w:t>
                  </w:r>
                  <w:r>
                    <w:rPr>
                      <w:rFonts w:ascii="Tahoma"/>
                      <w:b/>
                      <w:color w:val="231F20"/>
                      <w:spacing w:val="-5"/>
                      <w:sz w:val="14"/>
                    </w:rPr>
                    <w:t> </w:t>
                  </w:r>
                  <w:r>
                    <w:rPr>
                      <w:rFonts w:ascii="Tahoma"/>
                      <w:b/>
                      <w:color w:val="231F20"/>
                      <w:w w:val="103"/>
                      <w:sz w:val="14"/>
                    </w:rPr>
                    <w:t>de</w:t>
                  </w:r>
                  <w:r>
                    <w:rPr>
                      <w:rFonts w:ascii="Tahoma"/>
                      <w:b/>
                      <w:color w:val="231F20"/>
                      <w:spacing w:val="-5"/>
                      <w:sz w:val="14"/>
                    </w:rPr>
                    <w:t> </w:t>
                  </w:r>
                  <w:r>
                    <w:rPr>
                      <w:rFonts w:ascii="Tahoma"/>
                      <w:b/>
                      <w:color w:val="231F20"/>
                      <w:w w:val="98"/>
                      <w:sz w:val="14"/>
                    </w:rPr>
                    <w:t>escolaridad</w:t>
                  </w:r>
                </w:p>
              </w:txbxContent>
            </v:textbox>
            <w10:wrap type="none"/>
          </v:shape>
        </w:pict>
      </w:r>
      <w:r>
        <w:rPr>
          <w:rFonts w:ascii="Arial"/>
          <w:color w:val="231F20"/>
          <w:w w:val="105"/>
          <w:sz w:val="14"/>
        </w:rPr>
        <w:t>78.7</w:t>
      </w:r>
    </w:p>
    <w:p>
      <w:pPr>
        <w:pStyle w:val="BodyText"/>
        <w:rPr>
          <w:rFonts w:ascii="Arial"/>
          <w:sz w:val="20"/>
        </w:rPr>
      </w:pPr>
    </w:p>
    <w:p>
      <w:pPr>
        <w:pStyle w:val="BodyText"/>
        <w:rPr>
          <w:rFonts w:ascii="Arial"/>
          <w:sz w:val="20"/>
        </w:rPr>
      </w:pPr>
    </w:p>
    <w:p>
      <w:pPr>
        <w:pStyle w:val="BodyText"/>
        <w:spacing w:before="5"/>
        <w:rPr>
          <w:rFonts w:ascii="Arial"/>
          <w:sz w:val="25"/>
        </w:rPr>
      </w:pPr>
    </w:p>
    <w:p>
      <w:pPr>
        <w:tabs>
          <w:tab w:pos="2902" w:val="left" w:leader="none"/>
          <w:tab w:pos="3308" w:val="left" w:leader="none"/>
          <w:tab w:pos="3713" w:val="left" w:leader="none"/>
          <w:tab w:pos="4118" w:val="left" w:leader="none"/>
          <w:tab w:pos="4524" w:val="left" w:leader="none"/>
          <w:tab w:pos="4929" w:val="left" w:leader="none"/>
          <w:tab w:pos="5335" w:val="left" w:leader="none"/>
          <w:tab w:pos="5740" w:val="left" w:leader="none"/>
          <w:tab w:pos="6146" w:val="left" w:leader="none"/>
        </w:tabs>
        <w:spacing w:before="76"/>
        <w:ind w:left="2538" w:right="0" w:firstLine="0"/>
        <w:jc w:val="center"/>
        <w:rPr>
          <w:rFonts w:ascii="Arial"/>
          <w:sz w:val="14"/>
        </w:rPr>
      </w:pPr>
      <w:r>
        <w:rPr>
          <w:rFonts w:ascii="Arial"/>
          <w:color w:val="231F20"/>
          <w:w w:val="110"/>
          <w:sz w:val="14"/>
        </w:rPr>
        <w:t>0</w:t>
        <w:tab/>
        <w:t>10</w:t>
        <w:tab/>
        <w:t>20</w:t>
        <w:tab/>
        <w:t>30</w:t>
        <w:tab/>
        <w:t>40</w:t>
        <w:tab/>
        <w:t>50</w:t>
        <w:tab/>
        <w:t>60</w:t>
        <w:tab/>
        <w:t>70</w:t>
        <w:tab/>
        <w:t>80</w:t>
        <w:tab/>
        <w:t>90</w:t>
      </w:r>
    </w:p>
    <w:p>
      <w:pPr>
        <w:spacing w:before="84"/>
        <w:ind w:left="2989" w:right="524" w:firstLine="0"/>
        <w:jc w:val="center"/>
        <w:rPr>
          <w:rFonts w:ascii="Tahoma"/>
          <w:b/>
          <w:sz w:val="14"/>
        </w:rPr>
      </w:pPr>
      <w:r>
        <w:rPr>
          <w:rFonts w:ascii="Tahoma"/>
          <w:b/>
          <w:color w:val="231F20"/>
          <w:sz w:val="14"/>
        </w:rPr>
        <w:t>Porcentaje</w:t>
      </w:r>
    </w:p>
    <w:p>
      <w:pPr>
        <w:spacing w:line="254" w:lineRule="auto" w:before="67"/>
        <w:ind w:left="2120" w:right="1738" w:firstLine="0"/>
        <w:jc w:val="left"/>
        <w:rPr>
          <w:sz w:val="16"/>
        </w:rPr>
      </w:pPr>
      <w:r>
        <w:rPr>
          <w:color w:val="231F20"/>
          <w:w w:val="105"/>
          <w:sz w:val="16"/>
        </w:rPr>
        <w:t>Fuente:</w:t>
      </w:r>
      <w:r>
        <w:rPr>
          <w:color w:val="231F20"/>
          <w:spacing w:val="-12"/>
          <w:w w:val="105"/>
          <w:sz w:val="16"/>
        </w:rPr>
        <w:t> </w:t>
      </w:r>
      <w:r>
        <w:rPr>
          <w:color w:val="231F20"/>
          <w:w w:val="105"/>
          <w:sz w:val="16"/>
        </w:rPr>
        <w:t>elaboración</w:t>
      </w:r>
      <w:r>
        <w:rPr>
          <w:color w:val="231F20"/>
          <w:spacing w:val="-12"/>
          <w:w w:val="105"/>
          <w:sz w:val="16"/>
        </w:rPr>
        <w:t> </w:t>
      </w:r>
      <w:r>
        <w:rPr>
          <w:color w:val="231F20"/>
          <w:w w:val="105"/>
          <w:sz w:val="16"/>
        </w:rPr>
        <w:t>propia</w:t>
      </w:r>
      <w:r>
        <w:rPr>
          <w:color w:val="231F20"/>
          <w:spacing w:val="-12"/>
          <w:w w:val="105"/>
          <w:sz w:val="16"/>
        </w:rPr>
        <w:t> </w:t>
      </w:r>
      <w:r>
        <w:rPr>
          <w:color w:val="231F20"/>
          <w:w w:val="105"/>
          <w:sz w:val="16"/>
        </w:rPr>
        <w:t>con</w:t>
      </w:r>
      <w:r>
        <w:rPr>
          <w:color w:val="231F20"/>
          <w:spacing w:val="-12"/>
          <w:w w:val="105"/>
          <w:sz w:val="16"/>
        </w:rPr>
        <w:t> </w:t>
      </w:r>
      <w:r>
        <w:rPr>
          <w:color w:val="231F20"/>
          <w:w w:val="105"/>
          <w:sz w:val="16"/>
        </w:rPr>
        <w:t>datos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Encuesta</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Migración</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la</w:t>
      </w:r>
      <w:r>
        <w:rPr>
          <w:color w:val="231F20"/>
          <w:spacing w:val="-12"/>
          <w:w w:val="105"/>
          <w:sz w:val="16"/>
        </w:rPr>
        <w:t> </w:t>
      </w:r>
      <w:r>
        <w:rPr>
          <w:color w:val="231F20"/>
          <w:spacing w:val="-3"/>
          <w:w w:val="105"/>
          <w:sz w:val="16"/>
        </w:rPr>
        <w:t>Frontera</w:t>
      </w:r>
      <w:r>
        <w:rPr>
          <w:color w:val="231F20"/>
          <w:spacing w:val="-12"/>
          <w:w w:val="105"/>
          <w:sz w:val="16"/>
        </w:rPr>
        <w:t> </w:t>
      </w:r>
      <w:r>
        <w:rPr>
          <w:color w:val="231F20"/>
          <w:w w:val="105"/>
          <w:sz w:val="16"/>
        </w:rPr>
        <w:t>Norte, </w:t>
      </w:r>
      <w:r>
        <w:rPr>
          <w:color w:val="231F20"/>
          <w:sz w:val="16"/>
        </w:rPr>
        <w:t>2013 (</w:t>
      </w:r>
      <w:r>
        <w:rPr>
          <w:color w:val="231F20"/>
          <w:sz w:val="14"/>
        </w:rPr>
        <w:t>CONAPO</w:t>
      </w:r>
      <w:r>
        <w:rPr>
          <w:color w:val="231F20"/>
          <w:sz w:val="16"/>
        </w:rPr>
        <w:t>, 2015).</w:t>
      </w:r>
    </w:p>
    <w:p>
      <w:pPr>
        <w:pStyle w:val="BodyText"/>
        <w:rPr>
          <w:sz w:val="16"/>
        </w:rPr>
      </w:pPr>
    </w:p>
    <w:p>
      <w:pPr>
        <w:pStyle w:val="BodyText"/>
        <w:spacing w:line="261" w:lineRule="auto" w:before="101"/>
        <w:ind w:left="1837" w:right="1716"/>
        <w:jc w:val="both"/>
      </w:pPr>
      <w:r>
        <w:rPr>
          <w:color w:val="231F20"/>
          <w:w w:val="105"/>
        </w:rPr>
        <w:t>La</w:t>
      </w:r>
      <w:r>
        <w:rPr>
          <w:color w:val="231F20"/>
          <w:spacing w:val="-6"/>
          <w:w w:val="105"/>
        </w:rPr>
        <w:t> </w:t>
      </w:r>
      <w:r>
        <w:rPr>
          <w:color w:val="231F20"/>
          <w:w w:val="105"/>
        </w:rPr>
        <w:t>mayor</w:t>
      </w:r>
      <w:r>
        <w:rPr>
          <w:color w:val="231F20"/>
          <w:spacing w:val="-6"/>
          <w:w w:val="105"/>
        </w:rPr>
        <w:t> </w:t>
      </w:r>
      <w:r>
        <w:rPr>
          <w:color w:val="231F20"/>
          <w:w w:val="105"/>
        </w:rPr>
        <w:t>parte</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contaban</w:t>
      </w:r>
      <w:r>
        <w:rPr>
          <w:color w:val="231F20"/>
          <w:spacing w:val="-6"/>
          <w:w w:val="105"/>
        </w:rPr>
        <w:t> </w:t>
      </w:r>
      <w:r>
        <w:rPr>
          <w:color w:val="231F20"/>
          <w:w w:val="105"/>
        </w:rPr>
        <w:t>con</w:t>
      </w:r>
      <w:r>
        <w:rPr>
          <w:color w:val="231F20"/>
          <w:spacing w:val="-6"/>
          <w:w w:val="105"/>
        </w:rPr>
        <w:t> </w:t>
      </w:r>
      <w:r>
        <w:rPr>
          <w:color w:val="231F20"/>
          <w:w w:val="105"/>
        </w:rPr>
        <w:t>otro</w:t>
      </w:r>
      <w:r>
        <w:rPr>
          <w:color w:val="231F20"/>
          <w:spacing w:val="-6"/>
          <w:w w:val="105"/>
        </w:rPr>
        <w:t> </w:t>
      </w:r>
      <w:r>
        <w:rPr>
          <w:color w:val="231F20"/>
          <w:w w:val="105"/>
        </w:rPr>
        <w:t>tipo</w:t>
      </w:r>
      <w:r>
        <w:rPr>
          <w:color w:val="231F20"/>
          <w:spacing w:val="-6"/>
          <w:w w:val="105"/>
        </w:rPr>
        <w:t> </w:t>
      </w:r>
      <w:r>
        <w:rPr>
          <w:color w:val="231F20"/>
          <w:w w:val="105"/>
        </w:rPr>
        <w:t>de</w:t>
      </w:r>
      <w:r>
        <w:rPr>
          <w:color w:val="231F20"/>
          <w:spacing w:val="-6"/>
          <w:w w:val="105"/>
        </w:rPr>
        <w:t> </w:t>
      </w:r>
      <w:r>
        <w:rPr>
          <w:color w:val="231F20"/>
          <w:w w:val="105"/>
        </w:rPr>
        <w:t>servicio</w:t>
      </w:r>
      <w:r>
        <w:rPr>
          <w:color w:val="231F20"/>
          <w:spacing w:val="-6"/>
          <w:w w:val="105"/>
        </w:rPr>
        <w:t> </w:t>
      </w:r>
      <w:r>
        <w:rPr>
          <w:color w:val="231F20"/>
          <w:w w:val="105"/>
        </w:rPr>
        <w:t>médico</w:t>
      </w:r>
      <w:r>
        <w:rPr>
          <w:color w:val="231F20"/>
          <w:spacing w:val="-6"/>
          <w:w w:val="105"/>
        </w:rPr>
        <w:t> </w:t>
      </w:r>
      <w:r>
        <w:rPr>
          <w:color w:val="231F20"/>
          <w:w w:val="105"/>
        </w:rPr>
        <w:t>te- nían</w:t>
      </w:r>
      <w:r>
        <w:rPr>
          <w:color w:val="231F20"/>
          <w:spacing w:val="-23"/>
          <w:w w:val="105"/>
        </w:rPr>
        <w:t> </w:t>
      </w:r>
      <w:r>
        <w:rPr>
          <w:color w:val="231F20"/>
          <w:w w:val="105"/>
        </w:rPr>
        <w:t>algún</w:t>
      </w:r>
      <w:r>
        <w:rPr>
          <w:color w:val="231F20"/>
          <w:spacing w:val="-23"/>
          <w:w w:val="105"/>
        </w:rPr>
        <w:t> </w:t>
      </w:r>
      <w:r>
        <w:rPr>
          <w:color w:val="231F20"/>
          <w:w w:val="105"/>
        </w:rPr>
        <w:t>grado</w:t>
      </w:r>
      <w:r>
        <w:rPr>
          <w:color w:val="231F20"/>
          <w:spacing w:val="-23"/>
          <w:w w:val="105"/>
        </w:rPr>
        <w:t> </w:t>
      </w:r>
      <w:r>
        <w:rPr>
          <w:color w:val="231F20"/>
          <w:w w:val="105"/>
        </w:rPr>
        <w:t>de</w:t>
      </w:r>
      <w:r>
        <w:rPr>
          <w:color w:val="231F20"/>
          <w:spacing w:val="-23"/>
          <w:w w:val="105"/>
        </w:rPr>
        <w:t> </w:t>
      </w:r>
      <w:r>
        <w:rPr>
          <w:color w:val="231F20"/>
          <w:w w:val="105"/>
        </w:rPr>
        <w:t>secundaria</w:t>
      </w:r>
      <w:r>
        <w:rPr>
          <w:color w:val="231F20"/>
          <w:spacing w:val="-23"/>
          <w:w w:val="105"/>
        </w:rPr>
        <w:t> </w:t>
      </w:r>
      <w:r>
        <w:rPr>
          <w:color w:val="231F20"/>
          <w:w w:val="105"/>
        </w:rPr>
        <w:t>(43%)</w:t>
      </w:r>
      <w:r>
        <w:rPr>
          <w:color w:val="231F20"/>
          <w:spacing w:val="-23"/>
          <w:w w:val="105"/>
        </w:rPr>
        <w:t> </w:t>
      </w:r>
      <w:r>
        <w:rPr>
          <w:color w:val="231F20"/>
          <w:w w:val="105"/>
        </w:rPr>
        <w:t>o</w:t>
      </w:r>
      <w:r>
        <w:rPr>
          <w:color w:val="231F20"/>
          <w:spacing w:val="-23"/>
          <w:w w:val="105"/>
        </w:rPr>
        <w:t> </w:t>
      </w:r>
      <w:r>
        <w:rPr>
          <w:color w:val="231F20"/>
          <w:w w:val="105"/>
        </w:rPr>
        <w:t>preparatoria</w:t>
      </w:r>
      <w:r>
        <w:rPr>
          <w:color w:val="231F20"/>
          <w:spacing w:val="-23"/>
          <w:w w:val="105"/>
        </w:rPr>
        <w:t> </w:t>
      </w:r>
      <w:r>
        <w:rPr>
          <w:color w:val="231F20"/>
          <w:w w:val="105"/>
        </w:rPr>
        <w:t>(38.1%).</w:t>
      </w:r>
      <w:r>
        <w:rPr>
          <w:color w:val="231F20"/>
          <w:spacing w:val="-30"/>
          <w:w w:val="105"/>
        </w:rPr>
        <w:t> </w:t>
      </w:r>
      <w:r>
        <w:rPr>
          <w:color w:val="231F20"/>
          <w:w w:val="105"/>
        </w:rPr>
        <w:t>Asimismo, 57.2%</w:t>
      </w:r>
      <w:r>
        <w:rPr>
          <w:color w:val="231F20"/>
          <w:spacing w:val="-35"/>
          <w:w w:val="105"/>
        </w:rPr>
        <w:t> </w:t>
      </w:r>
      <w:r>
        <w:rPr>
          <w:color w:val="231F20"/>
          <w:w w:val="105"/>
        </w:rPr>
        <w:t>eran</w:t>
      </w:r>
      <w:r>
        <w:rPr>
          <w:color w:val="231F20"/>
          <w:spacing w:val="-35"/>
          <w:w w:val="105"/>
        </w:rPr>
        <w:t> </w:t>
      </w:r>
      <w:r>
        <w:rPr>
          <w:color w:val="231F20"/>
          <w:w w:val="105"/>
        </w:rPr>
        <w:t>casados</w:t>
      </w:r>
      <w:r>
        <w:rPr>
          <w:color w:val="231F20"/>
          <w:spacing w:val="-35"/>
          <w:w w:val="105"/>
        </w:rPr>
        <w:t> </w:t>
      </w:r>
      <w:r>
        <w:rPr>
          <w:color w:val="231F20"/>
          <w:w w:val="105"/>
        </w:rPr>
        <w:t>y</w:t>
      </w:r>
      <w:r>
        <w:rPr>
          <w:color w:val="231F20"/>
          <w:spacing w:val="-35"/>
          <w:w w:val="105"/>
        </w:rPr>
        <w:t> </w:t>
      </w:r>
      <w:r>
        <w:rPr>
          <w:color w:val="231F20"/>
          <w:w w:val="105"/>
        </w:rPr>
        <w:t>36.4%</w:t>
      </w:r>
      <w:r>
        <w:rPr>
          <w:color w:val="231F20"/>
          <w:spacing w:val="-35"/>
          <w:w w:val="105"/>
        </w:rPr>
        <w:t> </w:t>
      </w:r>
      <w:r>
        <w:rPr>
          <w:color w:val="231F20"/>
          <w:w w:val="105"/>
        </w:rPr>
        <w:t>solteros</w:t>
      </w:r>
      <w:r>
        <w:rPr>
          <w:color w:val="231F20"/>
          <w:spacing w:val="-35"/>
          <w:w w:val="105"/>
        </w:rPr>
        <w:t> </w:t>
      </w:r>
      <w:r>
        <w:rPr>
          <w:color w:val="231F20"/>
          <w:w w:val="105"/>
        </w:rPr>
        <w:t>(véase</w:t>
      </w:r>
      <w:r>
        <w:rPr>
          <w:color w:val="231F20"/>
          <w:spacing w:val="-35"/>
          <w:w w:val="105"/>
        </w:rPr>
        <w:t> </w:t>
      </w:r>
      <w:r>
        <w:rPr>
          <w:color w:val="231F20"/>
          <w:w w:val="105"/>
        </w:rPr>
        <w:t>cuadro</w:t>
      </w:r>
      <w:r>
        <w:rPr>
          <w:color w:val="231F20"/>
          <w:spacing w:val="-35"/>
          <w:w w:val="105"/>
        </w:rPr>
        <w:t> </w:t>
      </w:r>
      <w:r>
        <w:rPr>
          <w:color w:val="231F20"/>
          <w:w w:val="105"/>
        </w:rPr>
        <w:t>2.1).</w:t>
      </w:r>
    </w:p>
    <w:p>
      <w:pPr>
        <w:pStyle w:val="BodyText"/>
        <w:spacing w:line="261" w:lineRule="auto" w:before="1"/>
        <w:ind w:left="1837" w:right="1716" w:firstLine="567"/>
        <w:jc w:val="both"/>
      </w:pPr>
      <w:r>
        <w:rPr/>
        <w:pict>
          <v:line style="position:absolute;mso-position-horizontal-relative:page;mso-position-vertical-relative:paragraph;z-index:-468184" from="15pt,162.225494pt" to="0pt,162.225494pt" stroked="true" strokeweight=".25pt" strokecolor="#000000">
            <w10:wrap type="none"/>
          </v:line>
        </w:pict>
      </w:r>
      <w:r>
        <w:rPr/>
        <w:pict>
          <v:line style="position:absolute;mso-position-horizontal-relative:page;mso-position-vertical-relative:paragraph;z-index:22024" from="508.890015pt,162.225494pt" to="523.890015pt,162.225494pt" stroked="true" strokeweight=".25pt" strokecolor="#000000">
            <w10:wrap type="none"/>
          </v:line>
        </w:pict>
      </w:r>
      <w:r>
        <w:rPr>
          <w:color w:val="231F20"/>
        </w:rPr>
        <w:t>En otro orden de ideas, 37.3% de los migrantes en flujo proceden- tes de Estados Unidos originarios del Estado de México solicitaron aten- ción médica durante su estadía en el vecino país del norte, proporción superior a la obtenida a nivel nacional (34.4%). De estos mexiquenses  que</w:t>
      </w:r>
      <w:r>
        <w:rPr>
          <w:color w:val="231F20"/>
          <w:spacing w:val="33"/>
        </w:rPr>
        <w:t> </w:t>
      </w:r>
      <w:r>
        <w:rPr>
          <w:color w:val="231F20"/>
        </w:rPr>
        <w:t>solicitaron</w:t>
      </w:r>
      <w:r>
        <w:rPr>
          <w:color w:val="231F20"/>
          <w:spacing w:val="33"/>
        </w:rPr>
        <w:t> </w:t>
      </w:r>
      <w:r>
        <w:rPr>
          <w:color w:val="231F20"/>
        </w:rPr>
        <w:t>atención</w:t>
      </w:r>
      <w:r>
        <w:rPr>
          <w:color w:val="231F20"/>
          <w:spacing w:val="33"/>
        </w:rPr>
        <w:t> </w:t>
      </w:r>
      <w:r>
        <w:rPr>
          <w:color w:val="231F20"/>
        </w:rPr>
        <w:t>médica</w:t>
      </w:r>
      <w:r>
        <w:rPr>
          <w:color w:val="231F20"/>
          <w:spacing w:val="33"/>
        </w:rPr>
        <w:t> </w:t>
      </w:r>
      <w:r>
        <w:rPr>
          <w:color w:val="231F20"/>
        </w:rPr>
        <w:t>51.5%</w:t>
      </w:r>
      <w:r>
        <w:rPr>
          <w:color w:val="231F20"/>
          <w:spacing w:val="33"/>
        </w:rPr>
        <w:t> </w:t>
      </w:r>
      <w:r>
        <w:rPr>
          <w:color w:val="231F20"/>
        </w:rPr>
        <w:t>eran</w:t>
      </w:r>
      <w:r>
        <w:rPr>
          <w:color w:val="231F20"/>
          <w:spacing w:val="33"/>
        </w:rPr>
        <w:t> </w:t>
      </w:r>
      <w:r>
        <w:rPr>
          <w:color w:val="231F20"/>
        </w:rPr>
        <w:t>hombres</w:t>
      </w:r>
      <w:r>
        <w:rPr>
          <w:color w:val="231F20"/>
          <w:spacing w:val="33"/>
        </w:rPr>
        <w:t> </w:t>
      </w:r>
      <w:r>
        <w:rPr>
          <w:color w:val="231F20"/>
        </w:rPr>
        <w:t>y</w:t>
      </w:r>
      <w:r>
        <w:rPr>
          <w:color w:val="231F20"/>
          <w:spacing w:val="33"/>
        </w:rPr>
        <w:t> </w:t>
      </w:r>
      <w:r>
        <w:rPr>
          <w:color w:val="231F20"/>
        </w:rPr>
        <w:t>48.5%</w:t>
      </w:r>
      <w:r>
        <w:rPr>
          <w:color w:val="231F20"/>
          <w:spacing w:val="33"/>
        </w:rPr>
        <w:t> </w:t>
      </w:r>
      <w:r>
        <w:rPr>
          <w:color w:val="231F20"/>
        </w:rPr>
        <w:t>mujeres,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pPr>
      <w:r>
        <w:rPr/>
        <w:pict>
          <v:line style="position:absolute;mso-position-horizontal-relative:page;mso-position-vertical-relative:paragraph;z-index:22168" from="15pt,-71.68644pt" to="0pt,-71.68644pt" stroked="true" strokeweight=".25pt" strokecolor="#000000">
            <w10:wrap type="none"/>
          </v:line>
        </w:pict>
      </w:r>
      <w:r>
        <w:rPr/>
        <w:pict>
          <v:line style="position:absolute;mso-position-horizontal-relative:page;mso-position-vertical-relative:paragraph;z-index:22192" from="508.890015pt,-71.68644pt" to="523.890015pt,-71.68644pt" stroked="true" strokeweight=".25pt" strokecolor="#000000">
            <w10:wrap type="none"/>
          </v:line>
        </w:pict>
      </w:r>
      <w:r>
        <w:rPr>
          <w:color w:val="231F20"/>
          <w:w w:val="105"/>
        </w:rPr>
        <w:t>además de que la mayor proporción tenía una edad de entre 45 y 49 años (23.9%), seguido de quienes tenían entre 30 a 34 años y 40 a  44</w:t>
      </w:r>
    </w:p>
    <w:p>
      <w:pPr>
        <w:pStyle w:val="BodyText"/>
        <w:spacing w:before="1"/>
        <w:ind w:left="1723"/>
      </w:pPr>
      <w:r>
        <w:rPr>
          <w:color w:val="231F20"/>
        </w:rPr>
        <w:t>años, con 15.5% y 12% respectivamente (véase gráfica 2.1).</w:t>
      </w:r>
    </w:p>
    <w:p>
      <w:pPr>
        <w:pStyle w:val="BodyText"/>
        <w:spacing w:line="261" w:lineRule="auto" w:before="22"/>
        <w:ind w:left="1723" w:right="1834" w:firstLine="567"/>
        <w:jc w:val="both"/>
      </w:pPr>
      <w:r>
        <w:rPr>
          <w:color w:val="231F20"/>
          <w:spacing w:val="-6"/>
          <w:w w:val="105"/>
        </w:rPr>
        <w:t>Por </w:t>
      </w:r>
      <w:r>
        <w:rPr>
          <w:color w:val="231F20"/>
          <w:w w:val="105"/>
        </w:rPr>
        <w:t>nivel de escolaridad, la mayoría de los migrantes mexiquen- ses que solicitaron atención en salud tenían algún grado de</w:t>
      </w:r>
      <w:r>
        <w:rPr>
          <w:color w:val="231F20"/>
          <w:spacing w:val="-27"/>
          <w:w w:val="105"/>
        </w:rPr>
        <w:t> </w:t>
      </w:r>
      <w:r>
        <w:rPr>
          <w:color w:val="231F20"/>
          <w:w w:val="105"/>
        </w:rPr>
        <w:t>secundaria (34.3%),</w:t>
      </w:r>
      <w:r>
        <w:rPr>
          <w:color w:val="231F20"/>
          <w:spacing w:val="-18"/>
          <w:w w:val="105"/>
        </w:rPr>
        <w:t> </w:t>
      </w:r>
      <w:r>
        <w:rPr>
          <w:color w:val="231F20"/>
          <w:w w:val="105"/>
        </w:rPr>
        <w:t>así</w:t>
      </w:r>
      <w:r>
        <w:rPr>
          <w:color w:val="231F20"/>
          <w:spacing w:val="-13"/>
          <w:w w:val="105"/>
        </w:rPr>
        <w:t> </w:t>
      </w:r>
      <w:r>
        <w:rPr>
          <w:color w:val="231F20"/>
          <w:w w:val="105"/>
        </w:rPr>
        <w:t>como</w:t>
      </w:r>
      <w:r>
        <w:rPr>
          <w:color w:val="231F20"/>
          <w:spacing w:val="-13"/>
          <w:w w:val="105"/>
        </w:rPr>
        <w:t> </w:t>
      </w:r>
      <w:r>
        <w:rPr>
          <w:color w:val="231F20"/>
          <w:w w:val="105"/>
        </w:rPr>
        <w:t>preparatoria</w:t>
      </w:r>
      <w:r>
        <w:rPr>
          <w:color w:val="231F20"/>
          <w:spacing w:val="-13"/>
          <w:w w:val="105"/>
        </w:rPr>
        <w:t> </w:t>
      </w:r>
      <w:r>
        <w:rPr>
          <w:color w:val="231F20"/>
          <w:w w:val="105"/>
        </w:rPr>
        <w:t>y</w:t>
      </w:r>
      <w:r>
        <w:rPr>
          <w:color w:val="231F20"/>
          <w:spacing w:val="-13"/>
          <w:w w:val="105"/>
        </w:rPr>
        <w:t> </w:t>
      </w:r>
      <w:r>
        <w:rPr>
          <w:color w:val="231F20"/>
          <w:w w:val="105"/>
        </w:rPr>
        <w:t>primaria,</w:t>
      </w:r>
      <w:r>
        <w:rPr>
          <w:color w:val="231F20"/>
          <w:spacing w:val="-18"/>
          <w:w w:val="105"/>
        </w:rPr>
        <w:t> </w:t>
      </w:r>
      <w:r>
        <w:rPr>
          <w:color w:val="231F20"/>
          <w:w w:val="105"/>
        </w:rPr>
        <w:t>con</w:t>
      </w:r>
      <w:r>
        <w:rPr>
          <w:color w:val="231F20"/>
          <w:spacing w:val="-13"/>
          <w:w w:val="105"/>
        </w:rPr>
        <w:t> </w:t>
      </w:r>
      <w:r>
        <w:rPr>
          <w:color w:val="231F20"/>
          <w:w w:val="105"/>
        </w:rPr>
        <w:t>28.1%</w:t>
      </w:r>
      <w:r>
        <w:rPr>
          <w:color w:val="231F20"/>
          <w:spacing w:val="-13"/>
          <w:w w:val="105"/>
        </w:rPr>
        <w:t> </w:t>
      </w:r>
      <w:r>
        <w:rPr>
          <w:color w:val="231F20"/>
          <w:w w:val="105"/>
        </w:rPr>
        <w:t>y</w:t>
      </w:r>
      <w:r>
        <w:rPr>
          <w:color w:val="231F20"/>
          <w:spacing w:val="-13"/>
          <w:w w:val="105"/>
        </w:rPr>
        <w:t> </w:t>
      </w:r>
      <w:r>
        <w:rPr>
          <w:color w:val="231F20"/>
          <w:w w:val="105"/>
        </w:rPr>
        <w:t>22.5%</w:t>
      </w:r>
      <w:r>
        <w:rPr>
          <w:color w:val="231F20"/>
          <w:spacing w:val="-13"/>
          <w:w w:val="105"/>
        </w:rPr>
        <w:t> </w:t>
      </w:r>
      <w:r>
        <w:rPr>
          <w:color w:val="231F20"/>
          <w:w w:val="105"/>
        </w:rPr>
        <w:t>compara- tivamente.</w:t>
      </w:r>
      <w:r>
        <w:rPr>
          <w:color w:val="231F20"/>
          <w:spacing w:val="-12"/>
          <w:w w:val="105"/>
        </w:rPr>
        <w:t> </w:t>
      </w:r>
      <w:r>
        <w:rPr>
          <w:color w:val="231F20"/>
          <w:w w:val="105"/>
        </w:rPr>
        <w:t>De</w:t>
      </w:r>
      <w:r>
        <w:rPr>
          <w:color w:val="231F20"/>
          <w:spacing w:val="-7"/>
          <w:w w:val="105"/>
        </w:rPr>
        <w:t> </w:t>
      </w:r>
      <w:r>
        <w:rPr>
          <w:color w:val="231F20"/>
          <w:w w:val="105"/>
        </w:rPr>
        <w:t>igual</w:t>
      </w:r>
      <w:r>
        <w:rPr>
          <w:color w:val="231F20"/>
          <w:spacing w:val="-7"/>
          <w:w w:val="105"/>
        </w:rPr>
        <w:t> </w:t>
      </w:r>
      <w:r>
        <w:rPr>
          <w:color w:val="231F20"/>
          <w:w w:val="105"/>
        </w:rPr>
        <w:t>manera,</w:t>
      </w:r>
      <w:r>
        <w:rPr>
          <w:color w:val="231F20"/>
          <w:spacing w:val="-12"/>
          <w:w w:val="105"/>
        </w:rPr>
        <w:t> </w:t>
      </w:r>
      <w:r>
        <w:rPr>
          <w:color w:val="231F20"/>
          <w:w w:val="105"/>
        </w:rPr>
        <w:t>la</w:t>
      </w:r>
      <w:r>
        <w:rPr>
          <w:color w:val="231F20"/>
          <w:spacing w:val="-7"/>
          <w:w w:val="105"/>
        </w:rPr>
        <w:t> </w:t>
      </w:r>
      <w:r>
        <w:rPr>
          <w:color w:val="231F20"/>
          <w:w w:val="105"/>
        </w:rPr>
        <w:t>mayoría</w:t>
      </w:r>
      <w:r>
        <w:rPr>
          <w:color w:val="231F20"/>
          <w:spacing w:val="-7"/>
          <w:w w:val="105"/>
        </w:rPr>
        <w:t> </w:t>
      </w:r>
      <w:r>
        <w:rPr>
          <w:color w:val="231F20"/>
          <w:w w:val="105"/>
        </w:rPr>
        <w:t>eran</w:t>
      </w:r>
      <w:r>
        <w:rPr>
          <w:color w:val="231F20"/>
          <w:spacing w:val="-7"/>
          <w:w w:val="105"/>
        </w:rPr>
        <w:t> </w:t>
      </w:r>
      <w:r>
        <w:rPr>
          <w:color w:val="231F20"/>
          <w:w w:val="105"/>
        </w:rPr>
        <w:t>casados,</w:t>
      </w:r>
      <w:r>
        <w:rPr>
          <w:color w:val="231F20"/>
          <w:spacing w:val="-12"/>
          <w:w w:val="105"/>
        </w:rPr>
        <w:t> </w:t>
      </w:r>
      <w:r>
        <w:rPr>
          <w:color w:val="231F20"/>
          <w:w w:val="105"/>
        </w:rPr>
        <w:t>con</w:t>
      </w:r>
      <w:r>
        <w:rPr>
          <w:color w:val="231F20"/>
          <w:spacing w:val="-7"/>
          <w:w w:val="105"/>
        </w:rPr>
        <w:t> </w:t>
      </w:r>
      <w:r>
        <w:rPr>
          <w:color w:val="231F20"/>
          <w:w w:val="105"/>
        </w:rPr>
        <w:t>78.7%</w:t>
      </w:r>
      <w:r>
        <w:rPr>
          <w:color w:val="231F20"/>
          <w:spacing w:val="-7"/>
          <w:w w:val="105"/>
        </w:rPr>
        <w:t> </w:t>
      </w:r>
      <w:r>
        <w:rPr>
          <w:color w:val="231F20"/>
          <w:w w:val="105"/>
        </w:rPr>
        <w:t>y</w:t>
      </w:r>
      <w:r>
        <w:rPr>
          <w:color w:val="231F20"/>
          <w:spacing w:val="-7"/>
          <w:w w:val="105"/>
        </w:rPr>
        <w:t> </w:t>
      </w:r>
      <w:r>
        <w:rPr>
          <w:color w:val="231F20"/>
          <w:w w:val="105"/>
        </w:rPr>
        <w:t>sólo 7.7%</w:t>
      </w:r>
      <w:r>
        <w:rPr>
          <w:color w:val="231F20"/>
          <w:spacing w:val="-6"/>
          <w:w w:val="105"/>
        </w:rPr>
        <w:t> </w:t>
      </w:r>
      <w:r>
        <w:rPr>
          <w:color w:val="231F20"/>
          <w:w w:val="105"/>
        </w:rPr>
        <w:t>solteros</w:t>
      </w:r>
      <w:r>
        <w:rPr>
          <w:color w:val="231F20"/>
          <w:spacing w:val="-6"/>
          <w:w w:val="105"/>
        </w:rPr>
        <w:t> </w:t>
      </w:r>
      <w:r>
        <w:rPr>
          <w:color w:val="231F20"/>
          <w:w w:val="105"/>
        </w:rPr>
        <w:t>(véase</w:t>
      </w:r>
      <w:r>
        <w:rPr>
          <w:color w:val="231F20"/>
          <w:spacing w:val="-6"/>
          <w:w w:val="105"/>
        </w:rPr>
        <w:t> </w:t>
      </w:r>
      <w:r>
        <w:rPr>
          <w:color w:val="231F20"/>
          <w:w w:val="105"/>
        </w:rPr>
        <w:t>gráfica</w:t>
      </w:r>
      <w:r>
        <w:rPr>
          <w:color w:val="231F20"/>
          <w:spacing w:val="-6"/>
          <w:w w:val="105"/>
        </w:rPr>
        <w:t> </w:t>
      </w:r>
      <w:r>
        <w:rPr>
          <w:color w:val="231F20"/>
          <w:w w:val="105"/>
        </w:rPr>
        <w:t>2.1).</w:t>
      </w:r>
      <w:r>
        <w:rPr>
          <w:color w:val="231F20"/>
          <w:spacing w:val="-14"/>
          <w:w w:val="105"/>
        </w:rPr>
        <w:t> </w:t>
      </w:r>
      <w:r>
        <w:rPr>
          <w:color w:val="231F20"/>
          <w:w w:val="105"/>
        </w:rPr>
        <w:t>Ahora</w:t>
      </w:r>
      <w:r>
        <w:rPr>
          <w:color w:val="231F20"/>
          <w:spacing w:val="-6"/>
          <w:w w:val="105"/>
        </w:rPr>
        <w:t> </w:t>
      </w:r>
      <w:r>
        <w:rPr>
          <w:color w:val="231F20"/>
          <w:w w:val="105"/>
        </w:rPr>
        <w:t>bien,</w:t>
      </w:r>
      <w:r>
        <w:rPr>
          <w:color w:val="231F20"/>
          <w:spacing w:val="-11"/>
          <w:w w:val="105"/>
        </w:rPr>
        <w:t> </w:t>
      </w:r>
      <w:r>
        <w:rPr>
          <w:color w:val="231F20"/>
          <w:w w:val="105"/>
        </w:rPr>
        <w:t>de</w:t>
      </w:r>
      <w:r>
        <w:rPr>
          <w:color w:val="231F20"/>
          <w:spacing w:val="-6"/>
          <w:w w:val="105"/>
        </w:rPr>
        <w:t> </w:t>
      </w:r>
      <w:r>
        <w:rPr>
          <w:color w:val="231F20"/>
          <w:w w:val="105"/>
        </w:rPr>
        <w:t>aquellos</w:t>
      </w:r>
      <w:r>
        <w:rPr>
          <w:color w:val="231F20"/>
          <w:spacing w:val="-6"/>
          <w:w w:val="105"/>
        </w:rPr>
        <w:t> </w:t>
      </w:r>
      <w:r>
        <w:rPr>
          <w:color w:val="231F20"/>
          <w:w w:val="105"/>
        </w:rPr>
        <w:t>migrantes</w:t>
      </w:r>
      <w:r>
        <w:rPr>
          <w:color w:val="231F20"/>
          <w:spacing w:val="-6"/>
          <w:w w:val="105"/>
        </w:rPr>
        <w:t> </w:t>
      </w:r>
      <w:r>
        <w:rPr>
          <w:color w:val="231F20"/>
          <w:w w:val="105"/>
        </w:rPr>
        <w:t>en flujo</w:t>
      </w:r>
      <w:r>
        <w:rPr>
          <w:color w:val="231F20"/>
          <w:spacing w:val="-19"/>
          <w:w w:val="105"/>
        </w:rPr>
        <w:t> </w:t>
      </w:r>
      <w:r>
        <w:rPr>
          <w:color w:val="231F20"/>
          <w:w w:val="105"/>
        </w:rPr>
        <w:t>que</w:t>
      </w:r>
      <w:r>
        <w:rPr>
          <w:color w:val="231F20"/>
          <w:spacing w:val="-19"/>
          <w:w w:val="105"/>
        </w:rPr>
        <w:t> </w:t>
      </w:r>
      <w:r>
        <w:rPr>
          <w:color w:val="231F20"/>
          <w:w w:val="105"/>
        </w:rPr>
        <w:t>no</w:t>
      </w:r>
      <w:r>
        <w:rPr>
          <w:color w:val="231F20"/>
          <w:spacing w:val="-19"/>
          <w:w w:val="105"/>
        </w:rPr>
        <w:t> </w:t>
      </w:r>
      <w:r>
        <w:rPr>
          <w:color w:val="231F20"/>
          <w:w w:val="105"/>
        </w:rPr>
        <w:t>solicitaron</w:t>
      </w:r>
      <w:r>
        <w:rPr>
          <w:color w:val="231F20"/>
          <w:spacing w:val="-19"/>
          <w:w w:val="105"/>
        </w:rPr>
        <w:t> </w:t>
      </w:r>
      <w:r>
        <w:rPr>
          <w:color w:val="231F20"/>
          <w:w w:val="105"/>
        </w:rPr>
        <w:t>atención</w:t>
      </w:r>
      <w:r>
        <w:rPr>
          <w:color w:val="231F20"/>
          <w:spacing w:val="-19"/>
          <w:w w:val="105"/>
        </w:rPr>
        <w:t> </w:t>
      </w:r>
      <w:r>
        <w:rPr>
          <w:color w:val="231F20"/>
          <w:w w:val="105"/>
        </w:rPr>
        <w:t>en</w:t>
      </w:r>
      <w:r>
        <w:rPr>
          <w:color w:val="231F20"/>
          <w:spacing w:val="-19"/>
          <w:w w:val="105"/>
        </w:rPr>
        <w:t> </w:t>
      </w:r>
      <w:r>
        <w:rPr>
          <w:color w:val="231F20"/>
          <w:w w:val="105"/>
        </w:rPr>
        <w:t>salud</w:t>
      </w:r>
      <w:r>
        <w:rPr>
          <w:color w:val="231F20"/>
          <w:spacing w:val="-19"/>
          <w:w w:val="105"/>
        </w:rPr>
        <w:t> </w:t>
      </w:r>
      <w:r>
        <w:rPr>
          <w:color w:val="231F20"/>
          <w:w w:val="105"/>
        </w:rPr>
        <w:t>durante</w:t>
      </w:r>
      <w:r>
        <w:rPr>
          <w:color w:val="231F20"/>
          <w:spacing w:val="-19"/>
          <w:w w:val="105"/>
        </w:rPr>
        <w:t> </w:t>
      </w:r>
      <w:r>
        <w:rPr>
          <w:color w:val="231F20"/>
          <w:w w:val="105"/>
        </w:rPr>
        <w:t>su</w:t>
      </w:r>
      <w:r>
        <w:rPr>
          <w:color w:val="231F20"/>
          <w:spacing w:val="-19"/>
          <w:w w:val="105"/>
        </w:rPr>
        <w:t> </w:t>
      </w:r>
      <w:r>
        <w:rPr>
          <w:color w:val="231F20"/>
          <w:w w:val="105"/>
        </w:rPr>
        <w:t>estancia</w:t>
      </w:r>
      <w:r>
        <w:rPr>
          <w:color w:val="231F20"/>
          <w:spacing w:val="-19"/>
          <w:w w:val="105"/>
        </w:rPr>
        <w:t> </w:t>
      </w:r>
      <w:r>
        <w:rPr>
          <w:color w:val="231F20"/>
          <w:w w:val="105"/>
        </w:rPr>
        <w:t>en</w:t>
      </w:r>
      <w:r>
        <w:rPr>
          <w:color w:val="231F20"/>
          <w:spacing w:val="-19"/>
          <w:w w:val="105"/>
        </w:rPr>
        <w:t> </w:t>
      </w:r>
      <w:r>
        <w:rPr>
          <w:color w:val="231F20"/>
          <w:w w:val="105"/>
        </w:rPr>
        <w:t>Estados Unidos,</w:t>
      </w:r>
      <w:r>
        <w:rPr>
          <w:color w:val="231F20"/>
          <w:spacing w:val="-24"/>
          <w:w w:val="105"/>
        </w:rPr>
        <w:t> </w:t>
      </w:r>
      <w:r>
        <w:rPr>
          <w:color w:val="231F20"/>
          <w:w w:val="105"/>
        </w:rPr>
        <w:t>la</w:t>
      </w:r>
      <w:r>
        <w:rPr>
          <w:color w:val="231F20"/>
          <w:spacing w:val="-19"/>
          <w:w w:val="105"/>
        </w:rPr>
        <w:t> </w:t>
      </w:r>
      <w:r>
        <w:rPr>
          <w:color w:val="231F20"/>
          <w:w w:val="105"/>
        </w:rPr>
        <w:t>gran</w:t>
      </w:r>
      <w:r>
        <w:rPr>
          <w:color w:val="231F20"/>
          <w:spacing w:val="-19"/>
          <w:w w:val="105"/>
        </w:rPr>
        <w:t> </w:t>
      </w:r>
      <w:r>
        <w:rPr>
          <w:color w:val="231F20"/>
          <w:w w:val="105"/>
        </w:rPr>
        <w:t>mayoría</w:t>
      </w:r>
      <w:r>
        <w:rPr>
          <w:color w:val="231F20"/>
          <w:spacing w:val="-19"/>
          <w:w w:val="105"/>
        </w:rPr>
        <w:t> </w:t>
      </w:r>
      <w:r>
        <w:rPr>
          <w:color w:val="231F20"/>
          <w:w w:val="105"/>
        </w:rPr>
        <w:t>expresó</w:t>
      </w:r>
      <w:r>
        <w:rPr>
          <w:color w:val="231F20"/>
          <w:spacing w:val="-19"/>
          <w:w w:val="105"/>
        </w:rPr>
        <w:t> </w:t>
      </w:r>
      <w:r>
        <w:rPr>
          <w:color w:val="231F20"/>
          <w:w w:val="105"/>
        </w:rPr>
        <w:t>como</w:t>
      </w:r>
      <w:r>
        <w:rPr>
          <w:color w:val="231F20"/>
          <w:spacing w:val="-19"/>
          <w:w w:val="105"/>
        </w:rPr>
        <w:t> </w:t>
      </w:r>
      <w:r>
        <w:rPr>
          <w:color w:val="231F20"/>
          <w:w w:val="105"/>
        </w:rPr>
        <w:t>razón</w:t>
      </w:r>
      <w:r>
        <w:rPr>
          <w:color w:val="231F20"/>
          <w:spacing w:val="-19"/>
          <w:w w:val="105"/>
        </w:rPr>
        <w:t> </w:t>
      </w:r>
      <w:r>
        <w:rPr>
          <w:color w:val="231F20"/>
          <w:w w:val="105"/>
        </w:rPr>
        <w:t>para</w:t>
      </w:r>
      <w:r>
        <w:rPr>
          <w:color w:val="231F20"/>
          <w:spacing w:val="-19"/>
          <w:w w:val="105"/>
        </w:rPr>
        <w:t> </w:t>
      </w:r>
      <w:r>
        <w:rPr>
          <w:color w:val="231F20"/>
          <w:w w:val="105"/>
        </w:rPr>
        <w:t>no</w:t>
      </w:r>
      <w:r>
        <w:rPr>
          <w:color w:val="231F20"/>
          <w:spacing w:val="-19"/>
          <w:w w:val="105"/>
        </w:rPr>
        <w:t> </w:t>
      </w:r>
      <w:r>
        <w:rPr>
          <w:color w:val="231F20"/>
          <w:w w:val="105"/>
        </w:rPr>
        <w:t>usarlos</w:t>
      </w:r>
      <w:r>
        <w:rPr>
          <w:color w:val="231F20"/>
          <w:spacing w:val="-19"/>
          <w:w w:val="105"/>
        </w:rPr>
        <w:t> </w:t>
      </w:r>
      <w:r>
        <w:rPr>
          <w:color w:val="231F20"/>
          <w:w w:val="105"/>
        </w:rPr>
        <w:t>el</w:t>
      </w:r>
      <w:r>
        <w:rPr>
          <w:color w:val="231F20"/>
          <w:spacing w:val="-19"/>
          <w:w w:val="105"/>
        </w:rPr>
        <w:t> </w:t>
      </w:r>
      <w:r>
        <w:rPr>
          <w:color w:val="231F20"/>
          <w:w w:val="105"/>
        </w:rPr>
        <w:t>hecho</w:t>
      </w:r>
      <w:r>
        <w:rPr>
          <w:color w:val="231F20"/>
          <w:spacing w:val="-19"/>
          <w:w w:val="105"/>
        </w:rPr>
        <w:t> </w:t>
      </w:r>
      <w:r>
        <w:rPr>
          <w:color w:val="231F20"/>
          <w:w w:val="105"/>
        </w:rPr>
        <w:t>de no</w:t>
      </w:r>
      <w:r>
        <w:rPr>
          <w:color w:val="231F20"/>
          <w:spacing w:val="-24"/>
          <w:w w:val="105"/>
        </w:rPr>
        <w:t> </w:t>
      </w:r>
      <w:r>
        <w:rPr>
          <w:color w:val="231F20"/>
          <w:w w:val="105"/>
        </w:rPr>
        <w:t>haberlos</w:t>
      </w:r>
      <w:r>
        <w:rPr>
          <w:color w:val="231F20"/>
          <w:spacing w:val="-24"/>
          <w:w w:val="105"/>
        </w:rPr>
        <w:t> </w:t>
      </w:r>
      <w:r>
        <w:rPr>
          <w:color w:val="231F20"/>
          <w:w w:val="105"/>
        </w:rPr>
        <w:t>necesitado,</w:t>
      </w:r>
      <w:r>
        <w:rPr>
          <w:color w:val="231F20"/>
          <w:spacing w:val="-28"/>
          <w:w w:val="105"/>
        </w:rPr>
        <w:t> </w:t>
      </w:r>
      <w:r>
        <w:rPr>
          <w:color w:val="231F20"/>
          <w:w w:val="105"/>
        </w:rPr>
        <w:t>con</w:t>
      </w:r>
      <w:r>
        <w:rPr>
          <w:color w:val="231F20"/>
          <w:spacing w:val="-24"/>
          <w:w w:val="105"/>
        </w:rPr>
        <w:t> </w:t>
      </w:r>
      <w:r>
        <w:rPr>
          <w:color w:val="231F20"/>
          <w:w w:val="105"/>
        </w:rPr>
        <w:t>98.4%.</w:t>
      </w:r>
    </w:p>
    <w:p>
      <w:pPr>
        <w:pStyle w:val="BodyText"/>
        <w:spacing w:line="261" w:lineRule="auto" w:before="1"/>
        <w:ind w:left="1723" w:right="1835" w:firstLine="567"/>
        <w:jc w:val="both"/>
      </w:pPr>
      <w:r>
        <w:rPr>
          <w:color w:val="231F20"/>
          <w:w w:val="105"/>
        </w:rPr>
        <w:t>Al consultar entre los migrantes en flujo procedentes de Estados Unidos y que nacieron en la entidad mexiquense sobre si recibieron al- gún</w:t>
      </w:r>
      <w:r>
        <w:rPr>
          <w:color w:val="231F20"/>
          <w:spacing w:val="-7"/>
          <w:w w:val="105"/>
        </w:rPr>
        <w:t> </w:t>
      </w:r>
      <w:r>
        <w:rPr>
          <w:color w:val="231F20"/>
          <w:w w:val="105"/>
        </w:rPr>
        <w:t>servicio</w:t>
      </w:r>
      <w:r>
        <w:rPr>
          <w:color w:val="231F20"/>
          <w:spacing w:val="-7"/>
          <w:w w:val="105"/>
        </w:rPr>
        <w:t> </w:t>
      </w:r>
      <w:r>
        <w:rPr>
          <w:color w:val="231F20"/>
          <w:w w:val="105"/>
        </w:rPr>
        <w:t>de</w:t>
      </w:r>
      <w:r>
        <w:rPr>
          <w:color w:val="231F20"/>
          <w:spacing w:val="-7"/>
          <w:w w:val="105"/>
        </w:rPr>
        <w:t> </w:t>
      </w:r>
      <w:r>
        <w:rPr>
          <w:color w:val="231F20"/>
          <w:w w:val="105"/>
        </w:rPr>
        <w:t>atención</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salud</w:t>
      </w:r>
      <w:r>
        <w:rPr>
          <w:color w:val="231F20"/>
          <w:spacing w:val="-7"/>
          <w:w w:val="105"/>
        </w:rPr>
        <w:t> </w:t>
      </w:r>
      <w:r>
        <w:rPr>
          <w:color w:val="231F20"/>
          <w:w w:val="105"/>
        </w:rPr>
        <w:t>durante</w:t>
      </w:r>
      <w:r>
        <w:rPr>
          <w:color w:val="231F20"/>
          <w:spacing w:val="-7"/>
          <w:w w:val="105"/>
        </w:rPr>
        <w:t> </w:t>
      </w:r>
      <w:r>
        <w:rPr>
          <w:color w:val="231F20"/>
          <w:w w:val="105"/>
        </w:rPr>
        <w:t>su</w:t>
      </w:r>
      <w:r>
        <w:rPr>
          <w:color w:val="231F20"/>
          <w:spacing w:val="-7"/>
          <w:w w:val="105"/>
        </w:rPr>
        <w:t> </w:t>
      </w:r>
      <w:r>
        <w:rPr>
          <w:color w:val="231F20"/>
          <w:w w:val="105"/>
        </w:rPr>
        <w:t>última</w:t>
      </w:r>
      <w:r>
        <w:rPr>
          <w:color w:val="231F20"/>
          <w:spacing w:val="-7"/>
          <w:w w:val="105"/>
        </w:rPr>
        <w:t> </w:t>
      </w:r>
      <w:r>
        <w:rPr>
          <w:color w:val="231F20"/>
          <w:w w:val="105"/>
        </w:rPr>
        <w:t>estancia</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país vecino, 16.9% respondió de manera afirmativa, proporción inferior a la registrada</w:t>
      </w:r>
      <w:r>
        <w:rPr>
          <w:color w:val="231F20"/>
          <w:spacing w:val="-21"/>
          <w:w w:val="105"/>
        </w:rPr>
        <w:t> </w:t>
      </w:r>
      <w:r>
        <w:rPr>
          <w:color w:val="231F20"/>
          <w:w w:val="105"/>
        </w:rPr>
        <w:t>a</w:t>
      </w:r>
      <w:r>
        <w:rPr>
          <w:color w:val="231F20"/>
          <w:spacing w:val="-21"/>
          <w:w w:val="105"/>
        </w:rPr>
        <w:t> </w:t>
      </w:r>
      <w:r>
        <w:rPr>
          <w:color w:val="231F20"/>
          <w:w w:val="105"/>
        </w:rPr>
        <w:t>nivel</w:t>
      </w:r>
      <w:r>
        <w:rPr>
          <w:color w:val="231F20"/>
          <w:spacing w:val="-21"/>
          <w:w w:val="105"/>
        </w:rPr>
        <w:t> </w:t>
      </w:r>
      <w:r>
        <w:rPr>
          <w:color w:val="231F20"/>
          <w:w w:val="105"/>
        </w:rPr>
        <w:t>nacional,</w:t>
      </w:r>
      <w:r>
        <w:rPr>
          <w:color w:val="231F20"/>
          <w:spacing w:val="-25"/>
          <w:w w:val="105"/>
        </w:rPr>
        <w:t> </w:t>
      </w:r>
      <w:r>
        <w:rPr>
          <w:color w:val="231F20"/>
          <w:w w:val="105"/>
        </w:rPr>
        <w:t>la</w:t>
      </w:r>
      <w:r>
        <w:rPr>
          <w:color w:val="231F20"/>
          <w:spacing w:val="-21"/>
          <w:w w:val="105"/>
        </w:rPr>
        <w:t> </w:t>
      </w:r>
      <w:r>
        <w:rPr>
          <w:color w:val="231F20"/>
          <w:w w:val="105"/>
        </w:rPr>
        <w:t>cual</w:t>
      </w:r>
      <w:r>
        <w:rPr>
          <w:color w:val="231F20"/>
          <w:spacing w:val="-21"/>
          <w:w w:val="105"/>
        </w:rPr>
        <w:t> </w:t>
      </w:r>
      <w:r>
        <w:rPr>
          <w:color w:val="231F20"/>
          <w:w w:val="105"/>
        </w:rPr>
        <w:t>fue</w:t>
      </w:r>
      <w:r>
        <w:rPr>
          <w:color w:val="231F20"/>
          <w:spacing w:val="-21"/>
          <w:w w:val="105"/>
        </w:rPr>
        <w:t> </w:t>
      </w:r>
      <w:r>
        <w:rPr>
          <w:color w:val="231F20"/>
          <w:w w:val="105"/>
        </w:rPr>
        <w:t>de</w:t>
      </w:r>
      <w:r>
        <w:rPr>
          <w:color w:val="231F20"/>
          <w:spacing w:val="-21"/>
          <w:w w:val="105"/>
        </w:rPr>
        <w:t> </w:t>
      </w:r>
      <w:r>
        <w:rPr>
          <w:color w:val="231F20"/>
          <w:w w:val="105"/>
        </w:rPr>
        <w:t>19.6%.</w:t>
      </w:r>
    </w:p>
    <w:p>
      <w:pPr>
        <w:pStyle w:val="BodyText"/>
        <w:spacing w:line="261" w:lineRule="auto" w:before="1"/>
        <w:ind w:left="1723" w:right="1834" w:firstLine="567"/>
        <w:jc w:val="both"/>
      </w:pP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migrantes</w:t>
      </w:r>
      <w:r>
        <w:rPr>
          <w:color w:val="231F20"/>
          <w:spacing w:val="-30"/>
          <w:w w:val="105"/>
        </w:rPr>
        <w:t> </w:t>
      </w:r>
      <w:r>
        <w:rPr>
          <w:color w:val="231F20"/>
          <w:w w:val="105"/>
        </w:rPr>
        <w:t>mexiquenses</w:t>
      </w:r>
      <w:r>
        <w:rPr>
          <w:color w:val="231F20"/>
          <w:spacing w:val="-30"/>
          <w:w w:val="105"/>
        </w:rPr>
        <w:t> </w:t>
      </w:r>
      <w:r>
        <w:rPr>
          <w:color w:val="231F20"/>
          <w:w w:val="105"/>
        </w:rPr>
        <w:t>quienes</w:t>
      </w:r>
      <w:r>
        <w:rPr>
          <w:color w:val="231F20"/>
          <w:spacing w:val="-30"/>
          <w:w w:val="105"/>
        </w:rPr>
        <w:t> </w:t>
      </w:r>
      <w:r>
        <w:rPr>
          <w:color w:val="231F20"/>
          <w:w w:val="105"/>
        </w:rPr>
        <w:t>recibieron</w:t>
      </w:r>
      <w:r>
        <w:rPr>
          <w:color w:val="231F20"/>
          <w:spacing w:val="-30"/>
          <w:w w:val="105"/>
        </w:rPr>
        <w:t> </w:t>
      </w:r>
      <w:r>
        <w:rPr>
          <w:color w:val="231F20"/>
          <w:w w:val="105"/>
        </w:rPr>
        <w:t>algún</w:t>
      </w:r>
      <w:r>
        <w:rPr>
          <w:color w:val="231F20"/>
          <w:spacing w:val="-30"/>
          <w:w w:val="105"/>
        </w:rPr>
        <w:t> </w:t>
      </w:r>
      <w:r>
        <w:rPr>
          <w:color w:val="231F20"/>
          <w:w w:val="105"/>
        </w:rPr>
        <w:t>servicio</w:t>
      </w:r>
      <w:r>
        <w:rPr>
          <w:color w:val="231F20"/>
          <w:spacing w:val="-30"/>
          <w:w w:val="105"/>
        </w:rPr>
        <w:t> </w:t>
      </w:r>
      <w:r>
        <w:rPr>
          <w:color w:val="231F20"/>
          <w:w w:val="105"/>
        </w:rPr>
        <w:t>de atención</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salud</w:t>
      </w:r>
      <w:r>
        <w:rPr>
          <w:color w:val="231F20"/>
          <w:spacing w:val="-8"/>
          <w:w w:val="105"/>
        </w:rPr>
        <w:t> </w:t>
      </w:r>
      <w:r>
        <w:rPr>
          <w:color w:val="231F20"/>
          <w:w w:val="105"/>
        </w:rPr>
        <w:t>en</w:t>
      </w:r>
      <w:r>
        <w:rPr>
          <w:color w:val="231F20"/>
          <w:spacing w:val="-8"/>
          <w:w w:val="105"/>
        </w:rPr>
        <w:t> </w:t>
      </w:r>
      <w:r>
        <w:rPr>
          <w:color w:val="231F20"/>
          <w:w w:val="105"/>
        </w:rPr>
        <w:t>Estados</w:t>
      </w:r>
      <w:r>
        <w:rPr>
          <w:color w:val="231F20"/>
          <w:spacing w:val="-8"/>
          <w:w w:val="105"/>
        </w:rPr>
        <w:t> </w:t>
      </w:r>
      <w:r>
        <w:rPr>
          <w:color w:val="231F20"/>
          <w:w w:val="105"/>
        </w:rPr>
        <w:t>Unidos</w:t>
      </w:r>
      <w:r>
        <w:rPr>
          <w:color w:val="231F20"/>
          <w:spacing w:val="-8"/>
          <w:w w:val="105"/>
        </w:rPr>
        <w:t> </w:t>
      </w:r>
      <w:r>
        <w:rPr>
          <w:color w:val="231F20"/>
          <w:w w:val="105"/>
        </w:rPr>
        <w:t>durante</w:t>
      </w:r>
      <w:r>
        <w:rPr>
          <w:color w:val="231F20"/>
          <w:spacing w:val="-8"/>
          <w:w w:val="105"/>
        </w:rPr>
        <w:t> </w:t>
      </w:r>
      <w:r>
        <w:rPr>
          <w:color w:val="231F20"/>
          <w:w w:val="105"/>
        </w:rPr>
        <w:t>su</w:t>
      </w:r>
      <w:r>
        <w:rPr>
          <w:color w:val="231F20"/>
          <w:spacing w:val="-8"/>
          <w:w w:val="105"/>
        </w:rPr>
        <w:t> </w:t>
      </w:r>
      <w:r>
        <w:rPr>
          <w:color w:val="231F20"/>
          <w:w w:val="105"/>
        </w:rPr>
        <w:t>última</w:t>
      </w:r>
      <w:r>
        <w:rPr>
          <w:color w:val="231F20"/>
          <w:spacing w:val="-8"/>
          <w:w w:val="105"/>
        </w:rPr>
        <w:t> </w:t>
      </w:r>
      <w:r>
        <w:rPr>
          <w:color w:val="231F20"/>
          <w:w w:val="105"/>
        </w:rPr>
        <w:t>estadía,</w:t>
      </w:r>
      <w:r>
        <w:rPr>
          <w:color w:val="231F20"/>
          <w:spacing w:val="-13"/>
          <w:w w:val="105"/>
        </w:rPr>
        <w:t> </w:t>
      </w:r>
      <w:r>
        <w:rPr>
          <w:color w:val="231F20"/>
          <w:w w:val="105"/>
        </w:rPr>
        <w:t>54.1% eran</w:t>
      </w:r>
      <w:r>
        <w:rPr>
          <w:color w:val="231F20"/>
          <w:spacing w:val="-8"/>
          <w:w w:val="105"/>
        </w:rPr>
        <w:t> </w:t>
      </w:r>
      <w:r>
        <w:rPr>
          <w:color w:val="231F20"/>
          <w:w w:val="105"/>
        </w:rPr>
        <w:t>hombres</w:t>
      </w:r>
      <w:r>
        <w:rPr>
          <w:color w:val="231F20"/>
          <w:spacing w:val="-8"/>
          <w:w w:val="105"/>
        </w:rPr>
        <w:t> </w:t>
      </w:r>
      <w:r>
        <w:rPr>
          <w:color w:val="231F20"/>
          <w:w w:val="105"/>
        </w:rPr>
        <w:t>y</w:t>
      </w:r>
      <w:r>
        <w:rPr>
          <w:color w:val="231F20"/>
          <w:spacing w:val="-8"/>
          <w:w w:val="105"/>
        </w:rPr>
        <w:t> </w:t>
      </w:r>
      <w:r>
        <w:rPr>
          <w:color w:val="231F20"/>
          <w:w w:val="105"/>
        </w:rPr>
        <w:t>45.9%</w:t>
      </w:r>
      <w:r>
        <w:rPr>
          <w:color w:val="231F20"/>
          <w:spacing w:val="-8"/>
          <w:w w:val="105"/>
        </w:rPr>
        <w:t> </w:t>
      </w:r>
      <w:r>
        <w:rPr>
          <w:color w:val="231F20"/>
          <w:w w:val="105"/>
        </w:rPr>
        <w:t>mujeres.</w:t>
      </w:r>
      <w:r>
        <w:rPr>
          <w:color w:val="231F20"/>
          <w:spacing w:val="-13"/>
          <w:w w:val="105"/>
        </w:rPr>
        <w:t> </w:t>
      </w:r>
      <w:r>
        <w:rPr>
          <w:color w:val="231F20"/>
          <w:w w:val="105"/>
        </w:rPr>
        <w:t>Sobresalen</w:t>
      </w:r>
      <w:r>
        <w:rPr>
          <w:color w:val="231F20"/>
          <w:spacing w:val="-8"/>
          <w:w w:val="105"/>
        </w:rPr>
        <w:t> </w:t>
      </w:r>
      <w:r>
        <w:rPr>
          <w:color w:val="231F20"/>
          <w:w w:val="105"/>
        </w:rPr>
        <w:t>los</w:t>
      </w:r>
      <w:r>
        <w:rPr>
          <w:color w:val="231F20"/>
          <w:spacing w:val="-8"/>
          <w:w w:val="105"/>
        </w:rPr>
        <w:t> </w:t>
      </w:r>
      <w:r>
        <w:rPr>
          <w:color w:val="231F20"/>
          <w:w w:val="105"/>
        </w:rPr>
        <w:t>grupos</w:t>
      </w:r>
      <w:r>
        <w:rPr>
          <w:color w:val="231F20"/>
          <w:spacing w:val="-8"/>
          <w:w w:val="105"/>
        </w:rPr>
        <w:t> </w:t>
      </w:r>
      <w:r>
        <w:rPr>
          <w:color w:val="231F20"/>
          <w:w w:val="105"/>
        </w:rPr>
        <w:t>de</w:t>
      </w:r>
      <w:r>
        <w:rPr>
          <w:color w:val="231F20"/>
          <w:spacing w:val="-8"/>
          <w:w w:val="105"/>
        </w:rPr>
        <w:t> </w:t>
      </w:r>
      <w:r>
        <w:rPr>
          <w:color w:val="231F20"/>
          <w:w w:val="105"/>
        </w:rPr>
        <w:t>edad</w:t>
      </w:r>
      <w:r>
        <w:rPr>
          <w:color w:val="231F20"/>
          <w:spacing w:val="-8"/>
          <w:w w:val="105"/>
        </w:rPr>
        <w:t> </w:t>
      </w:r>
      <w:r>
        <w:rPr>
          <w:color w:val="231F20"/>
          <w:w w:val="105"/>
        </w:rPr>
        <w:t>de</w:t>
      </w:r>
      <w:r>
        <w:rPr>
          <w:color w:val="231F20"/>
          <w:spacing w:val="-8"/>
          <w:w w:val="105"/>
        </w:rPr>
        <w:t> </w:t>
      </w:r>
      <w:r>
        <w:rPr>
          <w:color w:val="231F20"/>
          <w:w w:val="105"/>
        </w:rPr>
        <w:t>45</w:t>
      </w:r>
      <w:r>
        <w:rPr>
          <w:color w:val="231F20"/>
          <w:spacing w:val="-8"/>
          <w:w w:val="105"/>
        </w:rPr>
        <w:t> </w:t>
      </w:r>
      <w:r>
        <w:rPr>
          <w:color w:val="231F20"/>
          <w:w w:val="105"/>
        </w:rPr>
        <w:t>a 49</w:t>
      </w:r>
      <w:r>
        <w:rPr>
          <w:color w:val="231F20"/>
          <w:spacing w:val="-4"/>
          <w:w w:val="105"/>
        </w:rPr>
        <w:t> </w:t>
      </w:r>
      <w:r>
        <w:rPr>
          <w:color w:val="231F20"/>
          <w:w w:val="105"/>
        </w:rPr>
        <w:t>años</w:t>
      </w:r>
      <w:r>
        <w:rPr>
          <w:color w:val="231F20"/>
          <w:spacing w:val="-4"/>
          <w:w w:val="105"/>
        </w:rPr>
        <w:t> </w:t>
      </w:r>
      <w:r>
        <w:rPr>
          <w:color w:val="231F20"/>
          <w:w w:val="105"/>
        </w:rPr>
        <w:t>(28.9%)</w:t>
      </w:r>
      <w:r>
        <w:rPr>
          <w:color w:val="231F20"/>
          <w:spacing w:val="-4"/>
          <w:w w:val="105"/>
        </w:rPr>
        <w:t> </w:t>
      </w:r>
      <w:r>
        <w:rPr>
          <w:color w:val="231F20"/>
          <w:w w:val="105"/>
        </w:rPr>
        <w:t>y</w:t>
      </w:r>
      <w:r>
        <w:rPr>
          <w:color w:val="231F20"/>
          <w:spacing w:val="-4"/>
          <w:w w:val="105"/>
        </w:rPr>
        <w:t> </w:t>
      </w:r>
      <w:r>
        <w:rPr>
          <w:color w:val="231F20"/>
          <w:w w:val="105"/>
        </w:rPr>
        <w:t>de</w:t>
      </w:r>
      <w:r>
        <w:rPr>
          <w:color w:val="231F20"/>
          <w:spacing w:val="-4"/>
          <w:w w:val="105"/>
        </w:rPr>
        <w:t> </w:t>
      </w:r>
      <w:r>
        <w:rPr>
          <w:color w:val="231F20"/>
          <w:w w:val="105"/>
        </w:rPr>
        <w:t>30</w:t>
      </w:r>
      <w:r>
        <w:rPr>
          <w:color w:val="231F20"/>
          <w:spacing w:val="-4"/>
          <w:w w:val="105"/>
        </w:rPr>
        <w:t> </w:t>
      </w:r>
      <w:r>
        <w:rPr>
          <w:color w:val="231F20"/>
          <w:w w:val="105"/>
        </w:rPr>
        <w:t>a</w:t>
      </w:r>
      <w:r>
        <w:rPr>
          <w:color w:val="231F20"/>
          <w:spacing w:val="-4"/>
          <w:w w:val="105"/>
        </w:rPr>
        <w:t> </w:t>
      </w:r>
      <w:r>
        <w:rPr>
          <w:color w:val="231F20"/>
          <w:w w:val="105"/>
        </w:rPr>
        <w:t>34</w:t>
      </w:r>
      <w:r>
        <w:rPr>
          <w:color w:val="231F20"/>
          <w:spacing w:val="-4"/>
          <w:w w:val="105"/>
        </w:rPr>
        <w:t> </w:t>
      </w:r>
      <w:r>
        <w:rPr>
          <w:color w:val="231F20"/>
          <w:w w:val="105"/>
        </w:rPr>
        <w:t>años</w:t>
      </w:r>
      <w:r>
        <w:rPr>
          <w:color w:val="231F20"/>
          <w:spacing w:val="-4"/>
          <w:w w:val="105"/>
        </w:rPr>
        <w:t> </w:t>
      </w:r>
      <w:r>
        <w:rPr>
          <w:color w:val="231F20"/>
          <w:w w:val="105"/>
        </w:rPr>
        <w:t>(19.1%)</w:t>
      </w:r>
      <w:r>
        <w:rPr>
          <w:color w:val="231F20"/>
          <w:spacing w:val="-4"/>
          <w:w w:val="105"/>
        </w:rPr>
        <w:t> </w:t>
      </w:r>
      <w:r>
        <w:rPr>
          <w:color w:val="231F20"/>
          <w:w w:val="105"/>
        </w:rPr>
        <w:t>con</w:t>
      </w:r>
      <w:r>
        <w:rPr>
          <w:color w:val="231F20"/>
          <w:spacing w:val="-4"/>
          <w:w w:val="105"/>
        </w:rPr>
        <w:t> </w:t>
      </w:r>
      <w:r>
        <w:rPr>
          <w:color w:val="231F20"/>
          <w:w w:val="105"/>
        </w:rPr>
        <w:t>las</w:t>
      </w:r>
      <w:r>
        <w:rPr>
          <w:color w:val="231F20"/>
          <w:spacing w:val="-4"/>
          <w:w w:val="105"/>
        </w:rPr>
        <w:t> </w:t>
      </w:r>
      <w:r>
        <w:rPr>
          <w:color w:val="231F20"/>
          <w:w w:val="105"/>
        </w:rPr>
        <w:t>mayores</w:t>
      </w:r>
      <w:r>
        <w:rPr>
          <w:color w:val="231F20"/>
          <w:spacing w:val="-4"/>
          <w:w w:val="105"/>
        </w:rPr>
        <w:t> </w:t>
      </w:r>
      <w:r>
        <w:rPr>
          <w:color w:val="231F20"/>
          <w:w w:val="105"/>
        </w:rPr>
        <w:t>proporcio- nes.</w:t>
      </w:r>
      <w:r>
        <w:rPr>
          <w:color w:val="231F20"/>
          <w:spacing w:val="-14"/>
          <w:w w:val="105"/>
        </w:rPr>
        <w:t> </w:t>
      </w:r>
      <w:r>
        <w:rPr>
          <w:color w:val="231F20"/>
          <w:spacing w:val="-6"/>
          <w:w w:val="105"/>
        </w:rPr>
        <w:t>Por</w:t>
      </w:r>
      <w:r>
        <w:rPr>
          <w:color w:val="231F20"/>
          <w:spacing w:val="-9"/>
          <w:w w:val="105"/>
        </w:rPr>
        <w:t> </w:t>
      </w:r>
      <w:r>
        <w:rPr>
          <w:color w:val="231F20"/>
          <w:w w:val="105"/>
        </w:rPr>
        <w:t>nivel</w:t>
      </w:r>
      <w:r>
        <w:rPr>
          <w:color w:val="231F20"/>
          <w:spacing w:val="-9"/>
          <w:w w:val="105"/>
        </w:rPr>
        <w:t> </w:t>
      </w:r>
      <w:r>
        <w:rPr>
          <w:color w:val="231F20"/>
          <w:w w:val="105"/>
        </w:rPr>
        <w:t>de</w:t>
      </w:r>
      <w:r>
        <w:rPr>
          <w:color w:val="231F20"/>
          <w:spacing w:val="-9"/>
          <w:w w:val="105"/>
        </w:rPr>
        <w:t> </w:t>
      </w:r>
      <w:r>
        <w:rPr>
          <w:color w:val="231F20"/>
          <w:w w:val="105"/>
        </w:rPr>
        <w:t>escolaridad</w:t>
      </w:r>
      <w:r>
        <w:rPr>
          <w:color w:val="231F20"/>
          <w:spacing w:val="-9"/>
          <w:w w:val="105"/>
        </w:rPr>
        <w:t> </w:t>
      </w:r>
      <w:r>
        <w:rPr>
          <w:color w:val="231F20"/>
          <w:w w:val="105"/>
        </w:rPr>
        <w:t>se</w:t>
      </w:r>
      <w:r>
        <w:rPr>
          <w:color w:val="231F20"/>
          <w:spacing w:val="-9"/>
          <w:w w:val="105"/>
        </w:rPr>
        <w:t> </w:t>
      </w:r>
      <w:r>
        <w:rPr>
          <w:color w:val="231F20"/>
          <w:w w:val="105"/>
        </w:rPr>
        <w:t>observa</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mayor</w:t>
      </w:r>
      <w:r>
        <w:rPr>
          <w:color w:val="231F20"/>
          <w:spacing w:val="-9"/>
          <w:w w:val="105"/>
        </w:rPr>
        <w:t> </w:t>
      </w:r>
      <w:r>
        <w:rPr>
          <w:color w:val="231F20"/>
          <w:w w:val="105"/>
        </w:rPr>
        <w:t>proporción</w:t>
      </w:r>
      <w:r>
        <w:rPr>
          <w:color w:val="231F20"/>
          <w:spacing w:val="-9"/>
          <w:w w:val="105"/>
        </w:rPr>
        <w:t> </w:t>
      </w:r>
      <w:r>
        <w:rPr>
          <w:color w:val="231F20"/>
          <w:w w:val="105"/>
        </w:rPr>
        <w:t>de</w:t>
      </w:r>
      <w:r>
        <w:rPr>
          <w:color w:val="231F20"/>
          <w:spacing w:val="-9"/>
          <w:w w:val="105"/>
        </w:rPr>
        <w:t> </w:t>
      </w:r>
      <w:r>
        <w:rPr>
          <w:color w:val="231F20"/>
          <w:w w:val="105"/>
        </w:rPr>
        <w:t>los migrantes mexiquenses que recibieron atención en salud cuentan con algún nivel de preparatoria (34.8%), así como con educación primaria  y</w:t>
      </w:r>
      <w:r>
        <w:rPr>
          <w:color w:val="231F20"/>
          <w:spacing w:val="-17"/>
          <w:w w:val="105"/>
        </w:rPr>
        <w:t> </w:t>
      </w:r>
      <w:r>
        <w:rPr>
          <w:color w:val="231F20"/>
          <w:w w:val="105"/>
        </w:rPr>
        <w:t>secundaria,</w:t>
      </w:r>
      <w:r>
        <w:rPr>
          <w:color w:val="231F20"/>
          <w:spacing w:val="-21"/>
          <w:w w:val="105"/>
        </w:rPr>
        <w:t> </w:t>
      </w:r>
      <w:r>
        <w:rPr>
          <w:color w:val="231F20"/>
          <w:w w:val="105"/>
        </w:rPr>
        <w:t>con</w:t>
      </w:r>
      <w:r>
        <w:rPr>
          <w:color w:val="231F20"/>
          <w:spacing w:val="-17"/>
          <w:w w:val="105"/>
        </w:rPr>
        <w:t> </w:t>
      </w:r>
      <w:r>
        <w:rPr>
          <w:color w:val="231F20"/>
          <w:w w:val="105"/>
        </w:rPr>
        <w:t>27.4%</w:t>
      </w:r>
      <w:r>
        <w:rPr>
          <w:color w:val="231F20"/>
          <w:spacing w:val="-17"/>
          <w:w w:val="105"/>
        </w:rPr>
        <w:t> </w:t>
      </w:r>
      <w:r>
        <w:rPr>
          <w:color w:val="231F20"/>
          <w:w w:val="105"/>
        </w:rPr>
        <w:t>y</w:t>
      </w:r>
      <w:r>
        <w:rPr>
          <w:color w:val="231F20"/>
          <w:spacing w:val="-17"/>
          <w:w w:val="105"/>
        </w:rPr>
        <w:t> </w:t>
      </w:r>
      <w:r>
        <w:rPr>
          <w:color w:val="231F20"/>
          <w:w w:val="105"/>
        </w:rPr>
        <w:t>26%</w:t>
      </w:r>
      <w:r>
        <w:rPr>
          <w:color w:val="231F20"/>
          <w:spacing w:val="-17"/>
          <w:w w:val="105"/>
        </w:rPr>
        <w:t> </w:t>
      </w:r>
      <w:r>
        <w:rPr>
          <w:color w:val="231F20"/>
          <w:w w:val="105"/>
        </w:rPr>
        <w:t>respectivamente.</w:t>
      </w:r>
      <w:r>
        <w:rPr>
          <w:color w:val="231F20"/>
          <w:spacing w:val="-23"/>
          <w:w w:val="105"/>
        </w:rPr>
        <w:t> </w:t>
      </w:r>
      <w:r>
        <w:rPr>
          <w:color w:val="231F20"/>
          <w:w w:val="105"/>
        </w:rPr>
        <w:t>Asimismo,</w:t>
      </w:r>
      <w:r>
        <w:rPr>
          <w:color w:val="231F20"/>
          <w:spacing w:val="-21"/>
          <w:w w:val="105"/>
        </w:rPr>
        <w:t> </w:t>
      </w:r>
      <w:r>
        <w:rPr>
          <w:color w:val="231F20"/>
          <w:w w:val="105"/>
        </w:rPr>
        <w:t>80.3%</w:t>
      </w:r>
      <w:r>
        <w:rPr>
          <w:color w:val="231F20"/>
          <w:spacing w:val="-17"/>
          <w:w w:val="105"/>
        </w:rPr>
        <w:t> </w:t>
      </w:r>
      <w:r>
        <w:rPr>
          <w:color w:val="231F20"/>
          <w:w w:val="105"/>
        </w:rPr>
        <w:t>eran casados</w:t>
      </w:r>
      <w:r>
        <w:rPr>
          <w:color w:val="231F20"/>
          <w:spacing w:val="-39"/>
          <w:w w:val="105"/>
        </w:rPr>
        <w:t> </w:t>
      </w:r>
      <w:r>
        <w:rPr>
          <w:color w:val="231F20"/>
          <w:w w:val="105"/>
        </w:rPr>
        <w:t>y</w:t>
      </w:r>
      <w:r>
        <w:rPr>
          <w:color w:val="231F20"/>
          <w:spacing w:val="-39"/>
          <w:w w:val="105"/>
        </w:rPr>
        <w:t> </w:t>
      </w:r>
      <w:r>
        <w:rPr>
          <w:color w:val="231F20"/>
          <w:w w:val="105"/>
        </w:rPr>
        <w:t>7.9%</w:t>
      </w:r>
      <w:r>
        <w:rPr>
          <w:color w:val="231F20"/>
          <w:spacing w:val="-39"/>
          <w:w w:val="105"/>
        </w:rPr>
        <w:t> </w:t>
      </w:r>
      <w:r>
        <w:rPr>
          <w:color w:val="231F20"/>
          <w:w w:val="105"/>
        </w:rPr>
        <w:t>solteros</w:t>
      </w:r>
      <w:r>
        <w:rPr>
          <w:color w:val="231F20"/>
          <w:spacing w:val="-39"/>
          <w:w w:val="105"/>
        </w:rPr>
        <w:t> </w:t>
      </w:r>
      <w:r>
        <w:rPr>
          <w:color w:val="231F20"/>
          <w:w w:val="105"/>
        </w:rPr>
        <w:t>(véase</w:t>
      </w:r>
      <w:r>
        <w:rPr>
          <w:color w:val="231F20"/>
          <w:spacing w:val="-39"/>
          <w:w w:val="105"/>
        </w:rPr>
        <w:t> </w:t>
      </w:r>
      <w:r>
        <w:rPr>
          <w:color w:val="231F20"/>
          <w:w w:val="105"/>
        </w:rPr>
        <w:t>gráfica</w:t>
      </w:r>
      <w:r>
        <w:rPr>
          <w:color w:val="231F20"/>
          <w:spacing w:val="-39"/>
          <w:w w:val="105"/>
        </w:rPr>
        <w:t> </w:t>
      </w:r>
      <w:r>
        <w:rPr>
          <w:color w:val="231F20"/>
          <w:w w:val="105"/>
        </w:rPr>
        <w:t>2.2).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68040" from="131.551193pt,3.753715pt" to="131.551193pt,39.556114pt" stroked="true" strokeweight=".35pt" strokecolor="#231f20">
            <w10:wrap type="none"/>
          </v:line>
        </w:pict>
      </w:r>
      <w:r>
        <w:rPr/>
        <w:pict>
          <v:line style="position:absolute;mso-position-horizontal-relative:page;mso-position-vertical-relative:paragraph;z-index:-467968" from="15pt,39.555916pt" to="0pt,39.555916pt" stroked="true" strokeweight=".25pt" strokecolor="#000000">
            <w10:wrap type="none"/>
          </v:line>
        </w:pict>
      </w:r>
      <w:r>
        <w:rPr/>
        <w:pict>
          <v:line style="position:absolute;mso-position-horizontal-relative:page;mso-position-vertical-relative:paragraph;z-index:22240" from="508.890015pt,39.555916pt" to="523.890015pt,39.555916pt" stroked="true" strokeweight=".25pt" strokecolor="#000000">
            <w10:wrap type="none"/>
          </v:line>
        </w:pict>
      </w:r>
      <w:r>
        <w:rPr>
          <w:rFonts w:ascii="Arial" w:hAnsi="Arial"/>
          <w:color w:val="414042"/>
          <w:w w:val="105"/>
          <w:position w:val="-5"/>
          <w:sz w:val="20"/>
        </w:rPr>
        <w:t>188</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2264" from="405.061005pt,-27.904295pt" to="405.061005pt,6.961579pt" stroked="true" strokeweight=".35pt" strokecolor="#231f20">
            <w10:wrap type="none"/>
          </v:line>
        </w:pict>
      </w:r>
      <w:r>
        <w:rPr/>
        <w:pict>
          <v:line style="position:absolute;mso-position-horizontal-relative:page;mso-position-vertical-relative:paragraph;z-index:22720" from="15pt,-27.90452pt" to="0pt,-27.90452pt" stroked="true" strokeweight=".25pt" strokecolor="#000000">
            <w10:wrap type="none"/>
          </v:line>
        </w:pict>
      </w:r>
      <w:r>
        <w:rPr/>
        <w:pict>
          <v:line style="position:absolute;mso-position-horizontal-relative:page;mso-position-vertical-relative:paragraph;z-index:22744"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189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67416" from="15pt,715.487793pt" to="0pt,715.487793pt" stroked="true" strokeweight=".25pt" strokecolor="#000000">
            <w10:wrap type="none"/>
          </v:line>
        </w:pict>
      </w:r>
      <w:r>
        <w:rPr/>
        <w:pict>
          <v:line style="position:absolute;mso-position-horizontal-relative:page;mso-position-vertical-relative:page;z-index:22792" from="508.890015pt,715.487793pt" to="523.890015pt,715.487793pt" stroked="true" strokeweight=".25pt" strokecolor="#000000">
            <w10:wrap type="none"/>
          </v:line>
        </w:pict>
      </w:r>
    </w:p>
    <w:p>
      <w:pPr>
        <w:pStyle w:val="BodyText"/>
        <w:spacing w:before="9"/>
        <w:rPr>
          <w:rFonts w:ascii="Arial"/>
          <w:sz w:val="15"/>
        </w:rPr>
      </w:pPr>
    </w:p>
    <w:p>
      <w:pPr>
        <w:spacing w:line="249" w:lineRule="auto" w:before="63"/>
        <w:ind w:left="1906" w:right="1790" w:hanging="1"/>
        <w:jc w:val="center"/>
        <w:rPr>
          <w:rFonts w:ascii="Arial" w:hAnsi="Arial"/>
          <w:sz w:val="18"/>
        </w:rPr>
      </w:pPr>
      <w:r>
        <w:rPr/>
        <w:pict>
          <v:shape style="position:absolute;margin-left:104.487045pt;margin-top:100.065804pt;width:9.1pt;height:56.6pt;mso-position-horizontal-relative:page;mso-position-vertical-relative:paragraph;z-index:22864" type="#_x0000_t202" filled="false" stroked="false">
            <v:textbox inset="0,0,0,0" style="layout-flow:vertical;mso-layout-flow-alt:bottom-to-top">
              <w:txbxContent>
                <w:p>
                  <w:pPr>
                    <w:spacing w:line="153" w:lineRule="exact" w:before="0"/>
                    <w:ind w:left="20" w:right="-354" w:firstLine="0"/>
                    <w:jc w:val="left"/>
                    <w:rPr>
                      <w:rFonts w:ascii="Tahoma"/>
                      <w:b/>
                      <w:sz w:val="14"/>
                    </w:rPr>
                  </w:pPr>
                  <w:r>
                    <w:rPr>
                      <w:rFonts w:ascii="Tahoma"/>
                      <w:b/>
                      <w:color w:val="231F20"/>
                      <w:w w:val="98"/>
                      <w:sz w:val="14"/>
                    </w:rPr>
                    <w:t>Grupos</w:t>
                  </w:r>
                  <w:r>
                    <w:rPr>
                      <w:rFonts w:ascii="Tahoma"/>
                      <w:b/>
                      <w:color w:val="231F20"/>
                      <w:spacing w:val="-5"/>
                      <w:sz w:val="14"/>
                    </w:rPr>
                    <w:t> </w:t>
                  </w:r>
                  <w:r>
                    <w:rPr>
                      <w:rFonts w:ascii="Tahoma"/>
                      <w:b/>
                      <w:color w:val="231F20"/>
                      <w:w w:val="102"/>
                      <w:sz w:val="14"/>
                    </w:rPr>
                    <w:t>de</w:t>
                  </w:r>
                  <w:r>
                    <w:rPr>
                      <w:rFonts w:ascii="Tahoma"/>
                      <w:b/>
                      <w:color w:val="231F20"/>
                      <w:spacing w:val="-5"/>
                      <w:sz w:val="14"/>
                    </w:rPr>
                    <w:t> </w:t>
                  </w:r>
                  <w:r>
                    <w:rPr>
                      <w:rFonts w:ascii="Tahoma"/>
                      <w:b/>
                      <w:color w:val="231F20"/>
                      <w:w w:val="101"/>
                      <w:sz w:val="14"/>
                    </w:rPr>
                    <w:t>edad</w:t>
                  </w:r>
                </w:p>
              </w:txbxContent>
            </v:textbox>
            <w10:wrap type="none"/>
          </v:shape>
        </w:pict>
      </w:r>
      <w:r>
        <w:rPr/>
        <w:pict>
          <v:shape style="position:absolute;margin-left:104.487045pt;margin-top:54.929741pt;width:9.1pt;height:18.7pt;mso-position-horizontal-relative:page;mso-position-vertical-relative:paragraph;z-index:22888" type="#_x0000_t202" filled="false" stroked="false">
            <v:textbox inset="0,0,0,0" style="layout-flow:vertical;mso-layout-flow-alt:bottom-to-top">
              <w:txbxContent>
                <w:p>
                  <w:pPr>
                    <w:spacing w:line="153" w:lineRule="exact" w:before="0"/>
                    <w:ind w:left="20" w:right="-192" w:firstLine="0"/>
                    <w:jc w:val="left"/>
                    <w:rPr>
                      <w:rFonts w:ascii="Tahoma"/>
                      <w:b/>
                      <w:sz w:val="14"/>
                    </w:rPr>
                  </w:pPr>
                  <w:r>
                    <w:rPr>
                      <w:rFonts w:ascii="Tahoma"/>
                      <w:b/>
                      <w:color w:val="231F20"/>
                      <w:w w:val="97"/>
                      <w:sz w:val="14"/>
                    </w:rPr>
                    <w:t>Sexo</w:t>
                  </w:r>
                </w:p>
              </w:txbxContent>
            </v:textbox>
            <w10:wrap type="none"/>
          </v:shape>
        </w:pict>
      </w:r>
      <w:r>
        <w:rPr>
          <w:rFonts w:ascii="Arial" w:hAnsi="Arial"/>
          <w:color w:val="231F20"/>
          <w:w w:val="105"/>
          <w:sz w:val="18"/>
        </w:rPr>
        <w:t>Gráfica 2.2 Distribución porcentual de los migrantes en flujo procedentes de Estados</w:t>
      </w:r>
      <w:r>
        <w:rPr>
          <w:rFonts w:ascii="Arial" w:hAnsi="Arial"/>
          <w:color w:val="231F20"/>
          <w:spacing w:val="-14"/>
          <w:w w:val="105"/>
          <w:sz w:val="18"/>
        </w:rPr>
        <w:t> </w:t>
      </w:r>
      <w:r>
        <w:rPr>
          <w:rFonts w:ascii="Arial" w:hAnsi="Arial"/>
          <w:color w:val="231F20"/>
          <w:w w:val="105"/>
          <w:sz w:val="18"/>
        </w:rPr>
        <w:t>Unidos,</w:t>
      </w:r>
      <w:r>
        <w:rPr>
          <w:rFonts w:ascii="Arial" w:hAnsi="Arial"/>
          <w:color w:val="231F20"/>
          <w:spacing w:val="-19"/>
          <w:w w:val="105"/>
          <w:sz w:val="18"/>
        </w:rPr>
        <w:t> </w:t>
      </w:r>
      <w:r>
        <w:rPr>
          <w:rFonts w:ascii="Arial" w:hAnsi="Arial"/>
          <w:color w:val="231F20"/>
          <w:w w:val="105"/>
          <w:sz w:val="18"/>
        </w:rPr>
        <w:t>nacidos</w:t>
      </w:r>
      <w:r>
        <w:rPr>
          <w:rFonts w:ascii="Arial" w:hAnsi="Arial"/>
          <w:color w:val="231F20"/>
          <w:spacing w:val="-14"/>
          <w:w w:val="105"/>
          <w:sz w:val="18"/>
        </w:rPr>
        <w:t> </w:t>
      </w:r>
      <w:r>
        <w:rPr>
          <w:rFonts w:ascii="Arial" w:hAnsi="Arial"/>
          <w:color w:val="231F20"/>
          <w:w w:val="105"/>
          <w:sz w:val="18"/>
        </w:rPr>
        <w:t>en</w:t>
      </w:r>
      <w:r>
        <w:rPr>
          <w:rFonts w:ascii="Arial" w:hAnsi="Arial"/>
          <w:color w:val="231F20"/>
          <w:spacing w:val="-14"/>
          <w:w w:val="105"/>
          <w:sz w:val="18"/>
        </w:rPr>
        <w:t> </w:t>
      </w:r>
      <w:r>
        <w:rPr>
          <w:rFonts w:ascii="Arial" w:hAnsi="Arial"/>
          <w:color w:val="231F20"/>
          <w:w w:val="105"/>
          <w:sz w:val="18"/>
        </w:rPr>
        <w:t>el</w:t>
      </w:r>
      <w:r>
        <w:rPr>
          <w:rFonts w:ascii="Arial" w:hAnsi="Arial"/>
          <w:color w:val="231F20"/>
          <w:spacing w:val="-14"/>
          <w:w w:val="105"/>
          <w:sz w:val="18"/>
        </w:rPr>
        <w:t> </w:t>
      </w:r>
      <w:r>
        <w:rPr>
          <w:rFonts w:ascii="Arial" w:hAnsi="Arial"/>
          <w:color w:val="231F20"/>
          <w:w w:val="105"/>
          <w:sz w:val="18"/>
        </w:rPr>
        <w:t>Estado</w:t>
      </w:r>
      <w:r>
        <w:rPr>
          <w:rFonts w:ascii="Arial" w:hAnsi="Arial"/>
          <w:color w:val="231F20"/>
          <w:spacing w:val="-14"/>
          <w:w w:val="105"/>
          <w:sz w:val="18"/>
        </w:rPr>
        <w:t> </w:t>
      </w:r>
      <w:r>
        <w:rPr>
          <w:rFonts w:ascii="Arial" w:hAnsi="Arial"/>
          <w:color w:val="231F20"/>
          <w:w w:val="105"/>
          <w:sz w:val="18"/>
        </w:rPr>
        <w:t>de</w:t>
      </w:r>
      <w:r>
        <w:rPr>
          <w:rFonts w:ascii="Arial" w:hAnsi="Arial"/>
          <w:color w:val="231F20"/>
          <w:spacing w:val="-14"/>
          <w:w w:val="105"/>
          <w:sz w:val="18"/>
        </w:rPr>
        <w:t> </w:t>
      </w:r>
      <w:r>
        <w:rPr>
          <w:rFonts w:ascii="Arial" w:hAnsi="Arial"/>
          <w:color w:val="231F20"/>
          <w:w w:val="105"/>
          <w:sz w:val="18"/>
        </w:rPr>
        <w:t>México</w:t>
      </w:r>
      <w:r>
        <w:rPr>
          <w:rFonts w:ascii="Arial" w:hAnsi="Arial"/>
          <w:color w:val="231F20"/>
          <w:spacing w:val="-14"/>
          <w:w w:val="105"/>
          <w:sz w:val="18"/>
        </w:rPr>
        <w:t> </w:t>
      </w:r>
      <w:r>
        <w:rPr>
          <w:rFonts w:ascii="Arial" w:hAnsi="Arial"/>
          <w:color w:val="231F20"/>
          <w:w w:val="105"/>
          <w:sz w:val="18"/>
        </w:rPr>
        <w:t>que</w:t>
      </w:r>
      <w:r>
        <w:rPr>
          <w:rFonts w:ascii="Arial" w:hAnsi="Arial"/>
          <w:color w:val="231F20"/>
          <w:spacing w:val="-14"/>
          <w:w w:val="105"/>
          <w:sz w:val="18"/>
        </w:rPr>
        <w:t> </w:t>
      </w:r>
      <w:r>
        <w:rPr>
          <w:rFonts w:ascii="Arial" w:hAnsi="Arial"/>
          <w:color w:val="231F20"/>
          <w:w w:val="105"/>
          <w:sz w:val="18"/>
        </w:rPr>
        <w:t>durante</w:t>
      </w:r>
      <w:r>
        <w:rPr>
          <w:rFonts w:ascii="Arial" w:hAnsi="Arial"/>
          <w:color w:val="231F20"/>
          <w:spacing w:val="-14"/>
          <w:w w:val="105"/>
          <w:sz w:val="18"/>
        </w:rPr>
        <w:t> </w:t>
      </w:r>
      <w:r>
        <w:rPr>
          <w:rFonts w:ascii="Arial" w:hAnsi="Arial"/>
          <w:color w:val="231F20"/>
          <w:w w:val="105"/>
          <w:sz w:val="18"/>
        </w:rPr>
        <w:t>su</w:t>
      </w:r>
      <w:r>
        <w:rPr>
          <w:rFonts w:ascii="Arial" w:hAnsi="Arial"/>
          <w:color w:val="231F20"/>
          <w:spacing w:val="-14"/>
          <w:w w:val="105"/>
          <w:sz w:val="18"/>
        </w:rPr>
        <w:t> </w:t>
      </w:r>
      <w:r>
        <w:rPr>
          <w:rFonts w:ascii="Arial" w:hAnsi="Arial"/>
          <w:color w:val="231F20"/>
          <w:w w:val="105"/>
          <w:sz w:val="18"/>
        </w:rPr>
        <w:t>última</w:t>
      </w:r>
      <w:r>
        <w:rPr>
          <w:rFonts w:ascii="Arial" w:hAnsi="Arial"/>
          <w:color w:val="231F20"/>
          <w:spacing w:val="-14"/>
          <w:w w:val="105"/>
          <w:sz w:val="18"/>
        </w:rPr>
        <w:t> </w:t>
      </w:r>
      <w:r>
        <w:rPr>
          <w:rFonts w:ascii="Arial" w:hAnsi="Arial"/>
          <w:color w:val="231F20"/>
          <w:w w:val="105"/>
          <w:sz w:val="18"/>
        </w:rPr>
        <w:t>estancia en</w:t>
      </w:r>
      <w:r>
        <w:rPr>
          <w:rFonts w:ascii="Arial" w:hAnsi="Arial"/>
          <w:color w:val="231F20"/>
          <w:spacing w:val="-11"/>
          <w:w w:val="105"/>
          <w:sz w:val="18"/>
        </w:rPr>
        <w:t> </w:t>
      </w:r>
      <w:r>
        <w:rPr>
          <w:rFonts w:ascii="Arial" w:hAnsi="Arial"/>
          <w:color w:val="231F20"/>
          <w:w w:val="105"/>
          <w:sz w:val="18"/>
        </w:rPr>
        <w:t>el</w:t>
      </w:r>
      <w:r>
        <w:rPr>
          <w:rFonts w:ascii="Arial" w:hAnsi="Arial"/>
          <w:color w:val="231F20"/>
          <w:spacing w:val="-11"/>
          <w:w w:val="105"/>
          <w:sz w:val="18"/>
        </w:rPr>
        <w:t> </w:t>
      </w:r>
      <w:r>
        <w:rPr>
          <w:rFonts w:ascii="Arial" w:hAnsi="Arial"/>
          <w:color w:val="231F20"/>
          <w:w w:val="105"/>
          <w:sz w:val="18"/>
        </w:rPr>
        <w:t>país</w:t>
      </w:r>
      <w:r>
        <w:rPr>
          <w:rFonts w:ascii="Arial" w:hAnsi="Arial"/>
          <w:color w:val="231F20"/>
          <w:spacing w:val="-11"/>
          <w:w w:val="105"/>
          <w:sz w:val="18"/>
        </w:rPr>
        <w:t> </w:t>
      </w:r>
      <w:r>
        <w:rPr>
          <w:rFonts w:ascii="Arial" w:hAnsi="Arial"/>
          <w:color w:val="231F20"/>
          <w:w w:val="105"/>
          <w:sz w:val="18"/>
        </w:rPr>
        <w:t>del</w:t>
      </w:r>
      <w:r>
        <w:rPr>
          <w:rFonts w:ascii="Arial" w:hAnsi="Arial"/>
          <w:color w:val="231F20"/>
          <w:spacing w:val="-11"/>
          <w:w w:val="105"/>
          <w:sz w:val="18"/>
        </w:rPr>
        <w:t> </w:t>
      </w:r>
      <w:r>
        <w:rPr>
          <w:rFonts w:ascii="Arial" w:hAnsi="Arial"/>
          <w:color w:val="231F20"/>
          <w:w w:val="105"/>
          <w:sz w:val="18"/>
        </w:rPr>
        <w:t>norte</w:t>
      </w:r>
      <w:r>
        <w:rPr>
          <w:rFonts w:ascii="Arial" w:hAnsi="Arial"/>
          <w:color w:val="231F20"/>
          <w:spacing w:val="-11"/>
          <w:w w:val="105"/>
          <w:sz w:val="18"/>
        </w:rPr>
        <w:t> </w:t>
      </w:r>
      <w:r>
        <w:rPr>
          <w:rFonts w:ascii="Arial" w:hAnsi="Arial"/>
          <w:color w:val="231F20"/>
          <w:w w:val="105"/>
          <w:sz w:val="18"/>
        </w:rPr>
        <w:t>recibieron</w:t>
      </w:r>
      <w:r>
        <w:rPr>
          <w:rFonts w:ascii="Arial" w:hAnsi="Arial"/>
          <w:color w:val="231F20"/>
          <w:spacing w:val="-11"/>
          <w:w w:val="105"/>
          <w:sz w:val="18"/>
        </w:rPr>
        <w:t> </w:t>
      </w:r>
      <w:r>
        <w:rPr>
          <w:rFonts w:ascii="Arial" w:hAnsi="Arial"/>
          <w:color w:val="231F20"/>
          <w:w w:val="105"/>
          <w:sz w:val="18"/>
        </w:rPr>
        <w:t>algún</w:t>
      </w:r>
      <w:r>
        <w:rPr>
          <w:rFonts w:ascii="Arial" w:hAnsi="Arial"/>
          <w:color w:val="231F20"/>
          <w:spacing w:val="-11"/>
          <w:w w:val="105"/>
          <w:sz w:val="18"/>
        </w:rPr>
        <w:t> </w:t>
      </w:r>
      <w:r>
        <w:rPr>
          <w:rFonts w:ascii="Arial" w:hAnsi="Arial"/>
          <w:color w:val="231F20"/>
          <w:w w:val="105"/>
          <w:sz w:val="18"/>
        </w:rPr>
        <w:t>servicio</w:t>
      </w:r>
      <w:r>
        <w:rPr>
          <w:rFonts w:ascii="Arial" w:hAnsi="Arial"/>
          <w:color w:val="231F20"/>
          <w:spacing w:val="-11"/>
          <w:w w:val="105"/>
          <w:sz w:val="18"/>
        </w:rPr>
        <w:t> </w:t>
      </w:r>
      <w:r>
        <w:rPr>
          <w:rFonts w:ascii="Arial" w:hAnsi="Arial"/>
          <w:color w:val="231F20"/>
          <w:w w:val="105"/>
          <w:sz w:val="18"/>
        </w:rPr>
        <w:t>de</w:t>
      </w:r>
      <w:r>
        <w:rPr>
          <w:rFonts w:ascii="Arial" w:hAnsi="Arial"/>
          <w:color w:val="231F20"/>
          <w:spacing w:val="-11"/>
          <w:w w:val="105"/>
          <w:sz w:val="18"/>
        </w:rPr>
        <w:t> </w:t>
      </w:r>
      <w:r>
        <w:rPr>
          <w:rFonts w:ascii="Arial" w:hAnsi="Arial"/>
          <w:color w:val="231F20"/>
          <w:w w:val="105"/>
          <w:sz w:val="18"/>
        </w:rPr>
        <w:t>atención</w:t>
      </w:r>
      <w:r>
        <w:rPr>
          <w:rFonts w:ascii="Arial" w:hAnsi="Arial"/>
          <w:color w:val="231F20"/>
          <w:spacing w:val="-11"/>
          <w:w w:val="105"/>
          <w:sz w:val="18"/>
        </w:rPr>
        <w:t> </w:t>
      </w:r>
      <w:r>
        <w:rPr>
          <w:rFonts w:ascii="Arial" w:hAnsi="Arial"/>
          <w:color w:val="231F20"/>
          <w:w w:val="105"/>
          <w:sz w:val="18"/>
        </w:rPr>
        <w:t>a</w:t>
      </w:r>
      <w:r>
        <w:rPr>
          <w:rFonts w:ascii="Arial" w:hAnsi="Arial"/>
          <w:color w:val="231F20"/>
          <w:spacing w:val="-11"/>
          <w:w w:val="105"/>
          <w:sz w:val="18"/>
        </w:rPr>
        <w:t> </w:t>
      </w:r>
      <w:r>
        <w:rPr>
          <w:rFonts w:ascii="Arial" w:hAnsi="Arial"/>
          <w:color w:val="231F20"/>
          <w:w w:val="105"/>
          <w:sz w:val="18"/>
        </w:rPr>
        <w:t>la</w:t>
      </w:r>
      <w:r>
        <w:rPr>
          <w:rFonts w:ascii="Arial" w:hAnsi="Arial"/>
          <w:color w:val="231F20"/>
          <w:spacing w:val="-11"/>
          <w:w w:val="105"/>
          <w:sz w:val="18"/>
        </w:rPr>
        <w:t> </w:t>
      </w:r>
      <w:r>
        <w:rPr>
          <w:rFonts w:ascii="Arial" w:hAnsi="Arial"/>
          <w:color w:val="231F20"/>
          <w:w w:val="105"/>
          <w:sz w:val="18"/>
        </w:rPr>
        <w:t>salud,</w:t>
      </w:r>
      <w:r>
        <w:rPr>
          <w:rFonts w:ascii="Arial" w:hAnsi="Arial"/>
          <w:color w:val="231F20"/>
          <w:spacing w:val="-16"/>
          <w:w w:val="105"/>
          <w:sz w:val="18"/>
        </w:rPr>
        <w:t> </w:t>
      </w:r>
      <w:r>
        <w:rPr>
          <w:rFonts w:ascii="Arial" w:hAnsi="Arial"/>
          <w:color w:val="231F20"/>
          <w:w w:val="105"/>
          <w:sz w:val="18"/>
        </w:rPr>
        <w:t>según</w:t>
      </w:r>
      <w:r>
        <w:rPr>
          <w:rFonts w:ascii="Arial" w:hAnsi="Arial"/>
          <w:color w:val="231F20"/>
          <w:spacing w:val="-11"/>
          <w:w w:val="105"/>
          <w:sz w:val="18"/>
        </w:rPr>
        <w:t> </w:t>
      </w:r>
      <w:r>
        <w:rPr>
          <w:rFonts w:ascii="Arial" w:hAnsi="Arial"/>
          <w:color w:val="231F20"/>
          <w:w w:val="105"/>
          <w:sz w:val="18"/>
        </w:rPr>
        <w:t>algunas variables</w:t>
      </w:r>
      <w:r>
        <w:rPr>
          <w:rFonts w:ascii="Arial" w:hAnsi="Arial"/>
          <w:color w:val="231F20"/>
          <w:spacing w:val="-20"/>
          <w:w w:val="105"/>
          <w:sz w:val="18"/>
        </w:rPr>
        <w:t> </w:t>
      </w:r>
      <w:r>
        <w:rPr>
          <w:rFonts w:ascii="Arial" w:hAnsi="Arial"/>
          <w:color w:val="231F20"/>
          <w:w w:val="105"/>
          <w:sz w:val="18"/>
        </w:rPr>
        <w:t>sociodemográficas,</w:t>
      </w:r>
      <w:r>
        <w:rPr>
          <w:rFonts w:ascii="Arial" w:hAnsi="Arial"/>
          <w:color w:val="231F20"/>
          <w:spacing w:val="-25"/>
          <w:w w:val="105"/>
          <w:sz w:val="18"/>
        </w:rPr>
        <w:t> </w:t>
      </w:r>
      <w:r>
        <w:rPr>
          <w:rFonts w:ascii="Arial" w:hAnsi="Arial"/>
          <w:color w:val="231F20"/>
          <w:w w:val="105"/>
          <w:sz w:val="18"/>
        </w:rPr>
        <w:t>2013</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2"/>
        </w:rPr>
      </w:pPr>
    </w:p>
    <w:p>
      <w:pPr>
        <w:spacing w:before="75"/>
        <w:ind w:left="1516" w:right="2031" w:firstLine="0"/>
        <w:jc w:val="right"/>
        <w:rPr>
          <w:rFonts w:ascii="Arial"/>
          <w:sz w:val="14"/>
        </w:rPr>
      </w:pPr>
      <w:r>
        <w:rPr/>
        <w:pict>
          <v:group style="position:absolute;margin-left:92.266556pt;margin-top:-200.651093pt;width:310.3pt;height:243.45pt;mso-position-horizontal-relative:page;mso-position-vertical-relative:paragraph;z-index:22672" coordorigin="1845,-4013" coordsize="6206,4869">
            <v:shape style="position:absolute;left:0;top:1840;width:4157;height:6010" coordorigin="0,1840" coordsize="4157,6010" path="m4763,-3982l4763,-4007m4763,-3780l4763,-3828m4763,-3173l4763,-3625m4763,-2970l4763,-3018m4763,-2363l4763,-2816m4763,-1149l4763,-2209m4763,-947l4763,-995m4763,-745l4763,-793m4763,64l4763,-590m4763,849l4763,219m5232,64l5232,-590m5232,849l5232,219m5697,64l5697,-590m5697,849l5697,219m6166,64l6166,-3625m6166,849l6166,219m6635,64l6635,-3828m6635,849l6635,219m7100,64l7100,-4007m7100,849l7100,219m7569,64l7569,-4007m7569,849l7569,219m8037,-4007l8037,849e" filled="false" stroked="true" strokeweight=".598374pt" strokecolor="#e2e3e4">
              <v:path arrowok="t"/>
            </v:shape>
            <v:shape style="position:absolute;left:4296;top:671;width:142;height:154" type="#_x0000_t75" stroked="false">
              <v:imagedata r:id="rId217" o:title=""/>
            </v:shape>
            <v:shape style="position:absolute;left:4296;top:469;width:214;height:154" type="#_x0000_t75" stroked="false">
              <v:imagedata r:id="rId218" o:title=""/>
            </v:shape>
            <v:shape style="position:absolute;left:4296;top:267;width:198;height:154" type="#_x0000_t75" stroked="false">
              <v:imagedata r:id="rId219" o:title=""/>
            </v:shape>
            <v:rect style="position:absolute;left:4296;top:64;width:3755;height:154" filled="true" fillcolor="#ffffff" stroked="false">
              <v:fill type="solid"/>
            </v:rect>
            <v:shape style="position:absolute;left:4296;top:64;width:3755;height:154" type="#_x0000_t75" stroked="false">
              <v:imagedata r:id="rId220" o:title=""/>
            </v:shape>
            <v:shape style="position:absolute;left:4296;top:-138;width:367;height:154" type="#_x0000_t75" stroked="false">
              <v:imagedata r:id="rId221" o:title=""/>
            </v:shape>
            <v:shape style="position:absolute;left:4296;top:-340;width:426;height:154" type="#_x0000_t75" stroked="false">
              <v:imagedata r:id="rId222" o:title=""/>
            </v:shape>
            <v:shape style="position:absolute;left:4296;top:-543;width:70;height:154" type="#_x0000_t75" stroked="false">
              <v:imagedata r:id="rId223" o:title=""/>
            </v:shape>
            <v:shape style="position:absolute;left:595;top:3813;width:591;height:3565" coordorigin="595,3813" coordsize="591,3565" path="m5232,-745l5232,-793m5697,-745l5697,-3625e" filled="false" stroked="true" strokeweight=".598374pt" strokecolor="#e2e3e4">
              <v:path arrowok="t"/>
            </v:shape>
            <v:shape style="position:absolute;left:4296;top:-745;width:1627;height:154" type="#_x0000_t75" stroked="false">
              <v:imagedata r:id="rId224" o:title=""/>
            </v:shape>
            <v:line style="position:absolute" from="5232,-947" to="5232,-995" stroked="true" strokeweight=".590764pt" strokecolor="#e2e3e4"/>
            <v:shape style="position:absolute;left:4296;top:-947;width:1216;height:154" type="#_x0000_t75" stroked="false">
              <v:imagedata r:id="rId225" o:title=""/>
            </v:shape>
            <v:line style="position:absolute" from="5232,-1149" to="5232,-2209" stroked="true" strokeweight=".590764pt" strokecolor="#e2e3e4"/>
            <v:shape style="position:absolute;left:4296;top:-1149;width:1281;height:154" type="#_x0000_t75" stroked="false">
              <v:imagedata r:id="rId226" o:title=""/>
            </v:shape>
            <v:shape style="position:absolute;left:4296;top:-1352;width:56;height:154" type="#_x0000_t75" stroked="false">
              <v:imagedata r:id="rId227" o:title=""/>
            </v:shape>
            <v:shape style="position:absolute;left:4296;top:-1554;width:189;height:154" type="#_x0000_t75" stroked="false">
              <v:imagedata r:id="rId228" o:title=""/>
            </v:shape>
            <v:shape style="position:absolute;left:4296;top:-1756;width:271;height:154" type="#_x0000_t75" stroked="false">
              <v:imagedata r:id="rId229" o:title=""/>
            </v:shape>
            <v:shape style="position:absolute;left:4296;top:-1959;width:158;height:154" type="#_x0000_t75" stroked="false">
              <v:imagedata r:id="rId230" o:title=""/>
            </v:shape>
            <v:shape style="position:absolute;left:4296;top:-2161;width:478;height:154" type="#_x0000_t75" stroked="false">
              <v:imagedata r:id="rId231" o:title=""/>
            </v:shape>
            <v:line style="position:absolute" from="5232,-2363" to="5232,-3625" stroked="true" strokeweight=".590764pt" strokecolor="#e2e3e4"/>
            <v:shape style="position:absolute;left:4296;top:-2363;width:1352;height:154" type="#_x0000_t75" stroked="false">
              <v:imagedata r:id="rId232" o:title=""/>
            </v:shape>
            <v:shape style="position:absolute;left:4296;top:-2566;width:311;height:154" type="#_x0000_t75" stroked="false">
              <v:imagedata r:id="rId233" o:title=""/>
            </v:shape>
            <v:shape style="position:absolute;left:4296;top:-2768;width:317;height:154" type="#_x0000_t75" stroked="false">
              <v:imagedata r:id="rId234" o:title=""/>
            </v:shape>
            <v:shape style="position:absolute;left:4296;top:-2970;width:894;height:154" type="#_x0000_t75" stroked="false">
              <v:imagedata r:id="rId235" o:title=""/>
            </v:shape>
            <v:shape style="position:absolute;left:4296;top:-3173;width:610;height:154" type="#_x0000_t75" stroked="false">
              <v:imagedata r:id="rId236" o:title=""/>
            </v:shape>
            <v:shape style="position:absolute;left:4296;top:-3375;width:77;height:154" type="#_x0000_t75" stroked="false">
              <v:imagedata r:id="rId237" o:title=""/>
            </v:shape>
            <v:shape style="position:absolute;left:595;top:7569;width:1186;height:60" coordorigin="595,7569" coordsize="1186,60" path="m5232,-3780l5232,-3828m5697,-3780l5697,-3828m6166,-3780l6166,-3828e" filled="false" stroked="true" strokeweight=".598374pt" strokecolor="#e2e3e4">
              <v:path arrowok="t"/>
            </v:shape>
            <v:shape style="position:absolute;left:4296;top:-3780;width:2145;height:154" type="#_x0000_t75" stroked="false">
              <v:imagedata r:id="rId238" o:title=""/>
            </v:shape>
            <v:shape style="position:absolute;left:595;top:7819;width:1781;height:31" coordorigin="595,7819" coordsize="1781,31" path="m5232,-3982l5232,-4007m5697,-3982l5697,-4007m6166,-3982l6166,-4007m6635,-3982l6635,-4007e" filled="false" stroked="true" strokeweight=".598374pt" strokecolor="#e2e3e4">
              <v:path arrowok="t"/>
            </v:shape>
            <v:shape style="position:absolute;left:4296;top:-3982;width:2531;height:154" type="#_x0000_t75" stroked="false">
              <v:imagedata r:id="rId239" o:title=""/>
            </v:shape>
            <v:line style="position:absolute" from="4306,-3576" to="4306,-3425" stroked="true" strokeweight="1.134267pt" strokecolor="#231f20"/>
            <v:line style="position:absolute" from="4296,850" to="4296,-4006" stroked="true" strokeweight=".590764pt" strokecolor="#e2e3e4"/>
            <v:shape style="position:absolute;left:0;top:7850;width:2434;height:6010" coordorigin="0,7850" coordsize="2434,6010" path="m2377,849l4294,849m2377,-1377l4294,-1377m2377,-3599l4294,-3599m2377,-4007l4294,-4007e" filled="false" stroked="true" strokeweight=".598374pt" strokecolor="#d7d8d8">
              <v:path arrowok="t"/>
            </v:shape>
            <v:shape style="position:absolute;left:0;top:7850;width:668;height:6010" coordorigin="0,7850" coordsize="668,6010" path="m1852,849l2377,849m1852,-1377l2377,-1377m1852,-3599l2377,-3599m1852,-4007l2377,-4007e" filled="false" stroked="true" strokeweight=".598374pt" strokecolor="#d7d8d8">
              <v:path arrowok="t"/>
            </v:shape>
            <v:shape style="position:absolute;left:3588;top:-3962;width:569;height:2574" type="#_x0000_t202" filled="false" stroked="false">
              <v:textbox inset="0,0,0,0">
                <w:txbxContent>
                  <w:p>
                    <w:pPr>
                      <w:spacing w:line="136" w:lineRule="exact" w:before="0"/>
                      <w:ind w:left="192" w:right="-5" w:hanging="161"/>
                      <w:jc w:val="left"/>
                      <w:rPr>
                        <w:rFonts w:ascii="Arial"/>
                        <w:sz w:val="14"/>
                      </w:rPr>
                    </w:pPr>
                    <w:r>
                      <w:rPr>
                        <w:rFonts w:ascii="Arial"/>
                        <w:color w:val="231F20"/>
                        <w:w w:val="105"/>
                        <w:sz w:val="14"/>
                      </w:rPr>
                      <w:t>Hombre</w:t>
                    </w:r>
                  </w:p>
                  <w:p>
                    <w:pPr>
                      <w:spacing w:line="302" w:lineRule="auto" w:before="41"/>
                      <w:ind w:left="123" w:right="0" w:firstLine="69"/>
                      <w:jc w:val="center"/>
                      <w:rPr>
                        <w:rFonts w:ascii="Arial"/>
                        <w:sz w:val="14"/>
                      </w:rPr>
                    </w:pPr>
                    <w:r>
                      <w:rPr>
                        <w:rFonts w:ascii="Arial"/>
                        <w:color w:val="231F20"/>
                        <w:w w:val="105"/>
                        <w:sz w:val="14"/>
                      </w:rPr>
                      <w:t>Mujer 15 -</w:t>
                    </w:r>
                    <w:r>
                      <w:rPr>
                        <w:rFonts w:ascii="Arial"/>
                        <w:color w:val="231F20"/>
                        <w:spacing w:val="-14"/>
                        <w:w w:val="105"/>
                        <w:sz w:val="14"/>
                      </w:rPr>
                      <w:t> </w:t>
                    </w:r>
                    <w:r>
                      <w:rPr>
                        <w:rFonts w:ascii="Arial"/>
                        <w:color w:val="231F20"/>
                        <w:w w:val="105"/>
                        <w:sz w:val="14"/>
                      </w:rPr>
                      <w:t>19</w:t>
                    </w:r>
                  </w:p>
                  <w:p>
                    <w:pPr>
                      <w:spacing w:before="0"/>
                      <w:ind w:left="123" w:right="-18" w:firstLine="0"/>
                      <w:jc w:val="left"/>
                      <w:rPr>
                        <w:rFonts w:ascii="Arial"/>
                        <w:sz w:val="14"/>
                      </w:rPr>
                    </w:pPr>
                    <w:r>
                      <w:rPr>
                        <w:rFonts w:ascii="Arial"/>
                        <w:color w:val="231F20"/>
                        <w:w w:val="105"/>
                        <w:sz w:val="14"/>
                      </w:rPr>
                      <w:t>20 -</w:t>
                    </w:r>
                    <w:r>
                      <w:rPr>
                        <w:rFonts w:ascii="Arial"/>
                        <w:color w:val="231F20"/>
                        <w:spacing w:val="-14"/>
                        <w:w w:val="105"/>
                        <w:sz w:val="14"/>
                      </w:rPr>
                      <w:t> </w:t>
                    </w:r>
                    <w:r>
                      <w:rPr>
                        <w:rFonts w:ascii="Arial"/>
                        <w:color w:val="231F20"/>
                        <w:w w:val="105"/>
                        <w:sz w:val="14"/>
                      </w:rPr>
                      <w:t>24</w:t>
                    </w:r>
                  </w:p>
                  <w:p>
                    <w:pPr>
                      <w:spacing w:before="41"/>
                      <w:ind w:left="123" w:right="-18" w:firstLine="0"/>
                      <w:jc w:val="left"/>
                      <w:rPr>
                        <w:rFonts w:ascii="Arial"/>
                        <w:sz w:val="14"/>
                      </w:rPr>
                    </w:pPr>
                    <w:r>
                      <w:rPr>
                        <w:rFonts w:ascii="Arial"/>
                        <w:color w:val="231F20"/>
                        <w:w w:val="105"/>
                        <w:sz w:val="14"/>
                      </w:rPr>
                      <w:t>25 -</w:t>
                    </w:r>
                    <w:r>
                      <w:rPr>
                        <w:rFonts w:ascii="Arial"/>
                        <w:color w:val="231F20"/>
                        <w:spacing w:val="-14"/>
                        <w:w w:val="105"/>
                        <w:sz w:val="14"/>
                      </w:rPr>
                      <w:t> </w:t>
                    </w:r>
                    <w:r>
                      <w:rPr>
                        <w:rFonts w:ascii="Arial"/>
                        <w:color w:val="231F20"/>
                        <w:w w:val="105"/>
                        <w:sz w:val="14"/>
                      </w:rPr>
                      <w:t>29</w:t>
                    </w:r>
                  </w:p>
                  <w:p>
                    <w:pPr>
                      <w:spacing w:before="41"/>
                      <w:ind w:left="123" w:right="-18" w:firstLine="0"/>
                      <w:jc w:val="left"/>
                      <w:rPr>
                        <w:rFonts w:ascii="Arial"/>
                        <w:sz w:val="14"/>
                      </w:rPr>
                    </w:pPr>
                    <w:r>
                      <w:rPr>
                        <w:rFonts w:ascii="Arial"/>
                        <w:color w:val="231F20"/>
                        <w:w w:val="105"/>
                        <w:sz w:val="14"/>
                      </w:rPr>
                      <w:t>30 -</w:t>
                    </w:r>
                    <w:r>
                      <w:rPr>
                        <w:rFonts w:ascii="Arial"/>
                        <w:color w:val="231F20"/>
                        <w:spacing w:val="-14"/>
                        <w:w w:val="105"/>
                        <w:sz w:val="14"/>
                      </w:rPr>
                      <w:t> </w:t>
                    </w:r>
                    <w:r>
                      <w:rPr>
                        <w:rFonts w:ascii="Arial"/>
                        <w:color w:val="231F20"/>
                        <w:w w:val="105"/>
                        <w:sz w:val="14"/>
                      </w:rPr>
                      <w:t>34</w:t>
                    </w:r>
                  </w:p>
                  <w:p>
                    <w:pPr>
                      <w:spacing w:before="41"/>
                      <w:ind w:left="123" w:right="-18" w:firstLine="0"/>
                      <w:jc w:val="left"/>
                      <w:rPr>
                        <w:rFonts w:ascii="Arial"/>
                        <w:sz w:val="14"/>
                      </w:rPr>
                    </w:pPr>
                    <w:r>
                      <w:rPr>
                        <w:rFonts w:ascii="Arial"/>
                        <w:color w:val="231F20"/>
                        <w:w w:val="105"/>
                        <w:sz w:val="14"/>
                      </w:rPr>
                      <w:t>35 -</w:t>
                    </w:r>
                    <w:r>
                      <w:rPr>
                        <w:rFonts w:ascii="Arial"/>
                        <w:color w:val="231F20"/>
                        <w:spacing w:val="-14"/>
                        <w:w w:val="105"/>
                        <w:sz w:val="14"/>
                      </w:rPr>
                      <w:t> </w:t>
                    </w:r>
                    <w:r>
                      <w:rPr>
                        <w:rFonts w:ascii="Arial"/>
                        <w:color w:val="231F20"/>
                        <w:w w:val="105"/>
                        <w:sz w:val="14"/>
                      </w:rPr>
                      <w:t>39</w:t>
                    </w:r>
                  </w:p>
                  <w:p>
                    <w:pPr>
                      <w:spacing w:before="41"/>
                      <w:ind w:left="123" w:right="-18" w:firstLine="0"/>
                      <w:jc w:val="left"/>
                      <w:rPr>
                        <w:rFonts w:ascii="Arial"/>
                        <w:sz w:val="14"/>
                      </w:rPr>
                    </w:pPr>
                    <w:r>
                      <w:rPr>
                        <w:rFonts w:ascii="Arial"/>
                        <w:color w:val="231F20"/>
                        <w:w w:val="105"/>
                        <w:sz w:val="14"/>
                      </w:rPr>
                      <w:t>40 -</w:t>
                    </w:r>
                    <w:r>
                      <w:rPr>
                        <w:rFonts w:ascii="Arial"/>
                        <w:color w:val="231F20"/>
                        <w:spacing w:val="-14"/>
                        <w:w w:val="105"/>
                        <w:sz w:val="14"/>
                      </w:rPr>
                      <w:t> </w:t>
                    </w:r>
                    <w:r>
                      <w:rPr>
                        <w:rFonts w:ascii="Arial"/>
                        <w:color w:val="231F20"/>
                        <w:w w:val="105"/>
                        <w:sz w:val="14"/>
                      </w:rPr>
                      <w:t>44</w:t>
                    </w:r>
                  </w:p>
                  <w:p>
                    <w:pPr>
                      <w:spacing w:before="41"/>
                      <w:ind w:left="123" w:right="-18" w:firstLine="0"/>
                      <w:jc w:val="left"/>
                      <w:rPr>
                        <w:rFonts w:ascii="Arial"/>
                        <w:sz w:val="14"/>
                      </w:rPr>
                    </w:pPr>
                    <w:r>
                      <w:rPr>
                        <w:rFonts w:ascii="Arial"/>
                        <w:color w:val="231F20"/>
                        <w:w w:val="105"/>
                        <w:sz w:val="14"/>
                      </w:rPr>
                      <w:t>45 -</w:t>
                    </w:r>
                    <w:r>
                      <w:rPr>
                        <w:rFonts w:ascii="Arial"/>
                        <w:color w:val="231F20"/>
                        <w:spacing w:val="-14"/>
                        <w:w w:val="105"/>
                        <w:sz w:val="14"/>
                      </w:rPr>
                      <w:t> </w:t>
                    </w:r>
                    <w:r>
                      <w:rPr>
                        <w:rFonts w:ascii="Arial"/>
                        <w:color w:val="231F20"/>
                        <w:w w:val="105"/>
                        <w:sz w:val="14"/>
                      </w:rPr>
                      <w:t>49</w:t>
                    </w:r>
                  </w:p>
                  <w:p>
                    <w:pPr>
                      <w:spacing w:before="41"/>
                      <w:ind w:left="123" w:right="-18" w:firstLine="0"/>
                      <w:jc w:val="left"/>
                      <w:rPr>
                        <w:rFonts w:ascii="Arial"/>
                        <w:sz w:val="14"/>
                      </w:rPr>
                    </w:pPr>
                    <w:r>
                      <w:rPr>
                        <w:rFonts w:ascii="Arial"/>
                        <w:color w:val="231F20"/>
                        <w:w w:val="105"/>
                        <w:sz w:val="14"/>
                      </w:rPr>
                      <w:t>50 -</w:t>
                    </w:r>
                    <w:r>
                      <w:rPr>
                        <w:rFonts w:ascii="Arial"/>
                        <w:color w:val="231F20"/>
                        <w:spacing w:val="-14"/>
                        <w:w w:val="105"/>
                        <w:sz w:val="14"/>
                      </w:rPr>
                      <w:t> </w:t>
                    </w:r>
                    <w:r>
                      <w:rPr>
                        <w:rFonts w:ascii="Arial"/>
                        <w:color w:val="231F20"/>
                        <w:w w:val="105"/>
                        <w:sz w:val="14"/>
                      </w:rPr>
                      <w:t>54</w:t>
                    </w:r>
                  </w:p>
                  <w:p>
                    <w:pPr>
                      <w:spacing w:before="41"/>
                      <w:ind w:left="123" w:right="-18" w:firstLine="0"/>
                      <w:jc w:val="left"/>
                      <w:rPr>
                        <w:rFonts w:ascii="Arial"/>
                        <w:sz w:val="14"/>
                      </w:rPr>
                    </w:pPr>
                    <w:r>
                      <w:rPr>
                        <w:rFonts w:ascii="Arial"/>
                        <w:color w:val="231F20"/>
                        <w:w w:val="105"/>
                        <w:sz w:val="14"/>
                      </w:rPr>
                      <w:t>55 -</w:t>
                    </w:r>
                    <w:r>
                      <w:rPr>
                        <w:rFonts w:ascii="Arial"/>
                        <w:color w:val="231F20"/>
                        <w:spacing w:val="-14"/>
                        <w:w w:val="105"/>
                        <w:sz w:val="14"/>
                      </w:rPr>
                      <w:t> </w:t>
                    </w:r>
                    <w:r>
                      <w:rPr>
                        <w:rFonts w:ascii="Arial"/>
                        <w:color w:val="231F20"/>
                        <w:w w:val="105"/>
                        <w:sz w:val="14"/>
                      </w:rPr>
                      <w:t>59</w:t>
                    </w:r>
                  </w:p>
                  <w:p>
                    <w:pPr>
                      <w:spacing w:before="41"/>
                      <w:ind w:left="123" w:right="-18" w:firstLine="0"/>
                      <w:jc w:val="left"/>
                      <w:rPr>
                        <w:rFonts w:ascii="Arial"/>
                        <w:sz w:val="14"/>
                      </w:rPr>
                    </w:pPr>
                    <w:r>
                      <w:rPr>
                        <w:rFonts w:ascii="Arial"/>
                        <w:color w:val="231F20"/>
                        <w:w w:val="105"/>
                        <w:sz w:val="14"/>
                      </w:rPr>
                      <w:t>60 -</w:t>
                    </w:r>
                    <w:r>
                      <w:rPr>
                        <w:rFonts w:ascii="Arial"/>
                        <w:color w:val="231F20"/>
                        <w:spacing w:val="-14"/>
                        <w:w w:val="105"/>
                        <w:sz w:val="14"/>
                      </w:rPr>
                      <w:t> </w:t>
                    </w:r>
                    <w:r>
                      <w:rPr>
                        <w:rFonts w:ascii="Arial"/>
                        <w:color w:val="231F20"/>
                        <w:w w:val="105"/>
                        <w:sz w:val="14"/>
                      </w:rPr>
                      <w:t>64</w:t>
                    </w:r>
                  </w:p>
                  <w:p>
                    <w:pPr>
                      <w:spacing w:before="41"/>
                      <w:ind w:left="0" w:right="0" w:firstLine="0"/>
                      <w:jc w:val="center"/>
                      <w:rPr>
                        <w:rFonts w:ascii="Arial" w:hAnsi="Arial"/>
                        <w:sz w:val="14"/>
                      </w:rPr>
                    </w:pPr>
                    <w:r>
                      <w:rPr>
                        <w:rFonts w:ascii="Arial" w:hAnsi="Arial"/>
                        <w:color w:val="231F20"/>
                        <w:sz w:val="14"/>
                      </w:rPr>
                      <w:t>65 y más</w:t>
                    </w:r>
                  </w:p>
                </w:txbxContent>
              </v:textbox>
              <w10:wrap type="none"/>
            </v:shape>
            <v:shape style="position:absolute;left:6937;top:-3946;width:284;height:146" type="#_x0000_t202" filled="false" stroked="false">
              <v:textbox inset="0,0,0,0">
                <w:txbxContent>
                  <w:p>
                    <w:pPr>
                      <w:spacing w:line="136" w:lineRule="exact" w:before="0"/>
                      <w:ind w:left="0" w:right="-9" w:firstLine="0"/>
                      <w:jc w:val="left"/>
                      <w:rPr>
                        <w:rFonts w:ascii="Arial"/>
                        <w:sz w:val="14"/>
                      </w:rPr>
                    </w:pPr>
                    <w:r>
                      <w:rPr>
                        <w:rFonts w:ascii="Arial"/>
                        <w:color w:val="231F20"/>
                        <w:sz w:val="14"/>
                      </w:rPr>
                      <w:t>54.1</w:t>
                    </w:r>
                  </w:p>
                </w:txbxContent>
              </v:textbox>
              <w10:wrap type="none"/>
            </v:shape>
            <v:shape style="position:absolute;left:6551;top:-3744;width:284;height:146" type="#_x0000_t202" filled="false" stroked="false">
              <v:textbox inset="0,0,0,0">
                <w:txbxContent>
                  <w:p>
                    <w:pPr>
                      <w:spacing w:line="136" w:lineRule="exact" w:before="0"/>
                      <w:ind w:left="0" w:right="-9" w:firstLine="0"/>
                      <w:jc w:val="left"/>
                      <w:rPr>
                        <w:rFonts w:ascii="Arial"/>
                        <w:sz w:val="14"/>
                      </w:rPr>
                    </w:pPr>
                    <w:r>
                      <w:rPr>
                        <w:rFonts w:ascii="Arial"/>
                        <w:color w:val="231F20"/>
                        <w:sz w:val="14"/>
                      </w:rPr>
                      <w:t>45.9</w:t>
                    </w:r>
                  </w:p>
                </w:txbxContent>
              </v:textbox>
              <w10:wrap type="none"/>
            </v:shape>
            <v:shape style="position:absolute;left:4433;top:-3542;width:252;height:348" type="#_x0000_t202" filled="false" stroked="false">
              <v:textbox inset="0,0,0,0">
                <w:txbxContent>
                  <w:p>
                    <w:pPr>
                      <w:spacing w:line="136" w:lineRule="exact" w:before="0"/>
                      <w:ind w:left="0" w:right="-13" w:firstLine="0"/>
                      <w:jc w:val="left"/>
                      <w:rPr>
                        <w:rFonts w:ascii="Arial"/>
                        <w:sz w:val="14"/>
                      </w:rPr>
                    </w:pPr>
                    <w:r>
                      <w:rPr>
                        <w:rFonts w:ascii="Arial"/>
                        <w:color w:val="231F20"/>
                        <w:w w:val="105"/>
                        <w:sz w:val="14"/>
                      </w:rPr>
                      <w:t>0.4</w:t>
                    </w:r>
                  </w:p>
                  <w:p>
                    <w:pPr>
                      <w:spacing w:before="41"/>
                      <w:ind w:left="50" w:right="-13" w:firstLine="0"/>
                      <w:jc w:val="left"/>
                      <w:rPr>
                        <w:rFonts w:ascii="Arial"/>
                        <w:sz w:val="14"/>
                      </w:rPr>
                    </w:pPr>
                    <w:r>
                      <w:rPr>
                        <w:rFonts w:ascii="Arial"/>
                        <w:color w:val="231F20"/>
                        <w:sz w:val="14"/>
                      </w:rPr>
                      <w:t>1.7</w:t>
                    </w:r>
                  </w:p>
                </w:txbxContent>
              </v:textbox>
              <w10:wrap type="none"/>
            </v:shape>
            <v:shape style="position:absolute;left:5016;top:-3137;width:284;height:146" type="#_x0000_t202" filled="false" stroked="false">
              <v:textbox inset="0,0,0,0">
                <w:txbxContent>
                  <w:p>
                    <w:pPr>
                      <w:spacing w:line="136" w:lineRule="exact" w:before="0"/>
                      <w:ind w:left="0" w:right="-9" w:firstLine="0"/>
                      <w:jc w:val="left"/>
                      <w:rPr>
                        <w:rFonts w:ascii="Arial"/>
                        <w:sz w:val="14"/>
                      </w:rPr>
                    </w:pPr>
                    <w:r>
                      <w:rPr>
                        <w:rFonts w:ascii="Arial"/>
                        <w:color w:val="231F20"/>
                        <w:sz w:val="14"/>
                      </w:rPr>
                      <w:t>13.0</w:t>
                    </w:r>
                  </w:p>
                </w:txbxContent>
              </v:textbox>
              <w10:wrap type="none"/>
            </v:shape>
            <v:shape style="position:absolute;left:5300;top:-2935;width:284;height:146" type="#_x0000_t202" filled="false" stroked="false">
              <v:textbox inset="0,0,0,0">
                <w:txbxContent>
                  <w:p>
                    <w:pPr>
                      <w:spacing w:line="136" w:lineRule="exact" w:before="0"/>
                      <w:ind w:left="0" w:right="-9" w:firstLine="0"/>
                      <w:jc w:val="left"/>
                      <w:rPr>
                        <w:rFonts w:ascii="Arial"/>
                        <w:sz w:val="14"/>
                      </w:rPr>
                    </w:pPr>
                    <w:r>
                      <w:rPr>
                        <w:rFonts w:ascii="Arial"/>
                        <w:color w:val="231F20"/>
                        <w:sz w:val="14"/>
                      </w:rPr>
                      <w:t>19.1</w:t>
                    </w:r>
                  </w:p>
                </w:txbxContent>
              </v:textbox>
              <w10:wrap type="none"/>
            </v:shape>
            <v:shape style="position:absolute;left:4725;top:-2732;width:208;height:348" type="#_x0000_t202" filled="false" stroked="false">
              <v:textbox inset="0,0,0,0">
                <w:txbxContent>
                  <w:p>
                    <w:pPr>
                      <w:spacing w:line="136" w:lineRule="exact" w:before="0"/>
                      <w:ind w:left="6" w:right="-13" w:firstLine="0"/>
                      <w:jc w:val="left"/>
                      <w:rPr>
                        <w:rFonts w:ascii="Arial"/>
                        <w:sz w:val="14"/>
                      </w:rPr>
                    </w:pPr>
                    <w:r>
                      <w:rPr>
                        <w:rFonts w:ascii="Arial"/>
                        <w:color w:val="231F20"/>
                        <w:sz w:val="14"/>
                      </w:rPr>
                      <w:t>6.8</w:t>
                    </w:r>
                  </w:p>
                  <w:p>
                    <w:pPr>
                      <w:spacing w:before="41"/>
                      <w:ind w:left="0" w:right="-17" w:firstLine="0"/>
                      <w:jc w:val="left"/>
                      <w:rPr>
                        <w:rFonts w:ascii="Arial"/>
                        <w:sz w:val="14"/>
                      </w:rPr>
                    </w:pPr>
                    <w:r>
                      <w:rPr>
                        <w:rFonts w:ascii="Arial"/>
                        <w:color w:val="231F20"/>
                        <w:w w:val="105"/>
                        <w:sz w:val="14"/>
                      </w:rPr>
                      <w:t>6.7</w:t>
                    </w:r>
                  </w:p>
                </w:txbxContent>
              </v:textbox>
              <w10:wrap type="none"/>
            </v:shape>
            <v:shape style="position:absolute;left:5758;top:-2328;width:284;height:146" type="#_x0000_t202" filled="false" stroked="false">
              <v:textbox inset="0,0,0,0">
                <w:txbxContent>
                  <w:p>
                    <w:pPr>
                      <w:spacing w:line="136" w:lineRule="exact" w:before="0"/>
                      <w:ind w:left="0" w:right="-9" w:firstLine="0"/>
                      <w:jc w:val="left"/>
                      <w:rPr>
                        <w:rFonts w:ascii="Arial"/>
                        <w:sz w:val="14"/>
                      </w:rPr>
                    </w:pPr>
                    <w:r>
                      <w:rPr>
                        <w:rFonts w:ascii="Arial"/>
                        <w:color w:val="231F20"/>
                        <w:sz w:val="14"/>
                      </w:rPr>
                      <w:t>28.9</w:t>
                    </w:r>
                  </w:p>
                </w:txbxContent>
              </v:textbox>
              <w10:wrap type="none"/>
            </v:shape>
            <v:shape style="position:absolute;left:4884;top:-2125;width:284;height:146" type="#_x0000_t202" filled="false" stroked="false">
              <v:textbox inset="0,0,0,0">
                <w:txbxContent>
                  <w:p>
                    <w:pPr>
                      <w:spacing w:line="136" w:lineRule="exact" w:before="0"/>
                      <w:ind w:left="0" w:right="-9" w:firstLine="0"/>
                      <w:jc w:val="left"/>
                      <w:rPr>
                        <w:rFonts w:ascii="Arial"/>
                        <w:sz w:val="14"/>
                      </w:rPr>
                    </w:pPr>
                    <w:r>
                      <w:rPr>
                        <w:rFonts w:ascii="Arial"/>
                        <w:color w:val="231F20"/>
                        <w:sz w:val="14"/>
                      </w:rPr>
                      <w:t>10.2</w:t>
                    </w:r>
                  </w:p>
                </w:txbxContent>
              </v:textbox>
              <w10:wrap type="none"/>
            </v:shape>
            <v:shape style="position:absolute;left:4462;top:-1923;width:425;height:753" type="#_x0000_t202" filled="false" stroked="false">
              <v:textbox inset="0,0,0,0">
                <w:txbxContent>
                  <w:p>
                    <w:pPr>
                      <w:spacing w:line="136" w:lineRule="exact" w:before="0"/>
                      <w:ind w:left="109" w:right="-12" w:firstLine="0"/>
                      <w:jc w:val="left"/>
                      <w:rPr>
                        <w:rFonts w:ascii="Arial"/>
                        <w:sz w:val="14"/>
                      </w:rPr>
                    </w:pPr>
                    <w:r>
                      <w:rPr>
                        <w:rFonts w:ascii="Arial"/>
                        <w:color w:val="231F20"/>
                        <w:w w:val="105"/>
                        <w:sz w:val="14"/>
                      </w:rPr>
                      <w:t>3.4</w:t>
                    </w:r>
                  </w:p>
                  <w:p>
                    <w:pPr>
                      <w:spacing w:before="41"/>
                      <w:ind w:left="222" w:right="-12" w:firstLine="0"/>
                      <w:jc w:val="left"/>
                      <w:rPr>
                        <w:rFonts w:ascii="Arial"/>
                        <w:sz w:val="14"/>
                      </w:rPr>
                    </w:pPr>
                    <w:r>
                      <w:rPr>
                        <w:rFonts w:ascii="Arial"/>
                        <w:color w:val="231F20"/>
                        <w:sz w:val="14"/>
                      </w:rPr>
                      <w:t>5.8</w:t>
                    </w:r>
                  </w:p>
                  <w:p>
                    <w:pPr>
                      <w:spacing w:before="41"/>
                      <w:ind w:left="140" w:right="-12" w:firstLine="0"/>
                      <w:jc w:val="left"/>
                      <w:rPr>
                        <w:rFonts w:ascii="Arial"/>
                        <w:sz w:val="14"/>
                      </w:rPr>
                    </w:pPr>
                    <w:r>
                      <w:rPr>
                        <w:rFonts w:ascii="Arial"/>
                        <w:color w:val="231F20"/>
                        <w:w w:val="105"/>
                        <w:sz w:val="14"/>
                      </w:rPr>
                      <w:t>4.0</w:t>
                    </w:r>
                  </w:p>
                  <w:p>
                    <w:pPr>
                      <w:spacing w:before="41"/>
                      <w:ind w:left="0" w:right="-12" w:firstLine="0"/>
                      <w:jc w:val="left"/>
                      <w:rPr>
                        <w:rFonts w:ascii="Arial"/>
                        <w:sz w:val="14"/>
                      </w:rPr>
                    </w:pPr>
                    <w:r>
                      <w:rPr>
                        <w:rFonts w:ascii="Arial"/>
                        <w:color w:val="231F20"/>
                        <w:w w:val="105"/>
                        <w:sz w:val="14"/>
                      </w:rPr>
                      <w:t>1.2</w:t>
                    </w:r>
                  </w:p>
                </w:txbxContent>
              </v:textbox>
              <w10:wrap type="none"/>
            </v:shape>
            <v:shape style="position:absolute;left:1852;top:-1130;width:2404;height:1967" type="#_x0000_t202" filled="false" stroked="false">
              <v:textbox inset="0,0,0,0">
                <w:txbxContent>
                  <w:p>
                    <w:pPr>
                      <w:spacing w:line="136" w:lineRule="exact" w:before="0"/>
                      <w:ind w:left="0" w:right="96" w:firstLine="0"/>
                      <w:jc w:val="right"/>
                      <w:rPr>
                        <w:rFonts w:ascii="Arial"/>
                        <w:i/>
                        <w:sz w:val="14"/>
                      </w:rPr>
                    </w:pPr>
                    <w:r>
                      <w:rPr>
                        <w:rFonts w:ascii="Arial"/>
                        <w:color w:val="231F20"/>
                        <w:sz w:val="14"/>
                      </w:rPr>
                      <w:t>Primaria/</w:t>
                    </w:r>
                    <w:r>
                      <w:rPr>
                        <w:rFonts w:ascii="Arial"/>
                        <w:i/>
                        <w:color w:val="231F20"/>
                        <w:sz w:val="14"/>
                      </w:rPr>
                      <w:t>Elementary</w:t>
                    </w:r>
                  </w:p>
                  <w:p>
                    <w:pPr>
                      <w:spacing w:line="302" w:lineRule="auto" w:before="41"/>
                      <w:ind w:left="628" w:right="96" w:firstLine="907"/>
                      <w:jc w:val="right"/>
                      <w:rPr>
                        <w:rFonts w:ascii="Arial"/>
                        <w:i/>
                        <w:sz w:val="14"/>
                      </w:rPr>
                    </w:pPr>
                    <w:r>
                      <w:rPr>
                        <w:rFonts w:ascii="Arial"/>
                        <w:color w:val="231F20"/>
                        <w:sz w:val="14"/>
                      </w:rPr>
                      <w:t>Secundaria </w:t>
                    </w:r>
                    <w:r>
                      <w:rPr>
                        <w:rFonts w:ascii="Arial"/>
                        <w:color w:val="231F20"/>
                        <w:w w:val="105"/>
                        <w:sz w:val="14"/>
                      </w:rPr>
                      <w:t>Preparatoria/</w:t>
                    </w:r>
                    <w:r>
                      <w:rPr>
                        <w:rFonts w:ascii="Arial"/>
                        <w:i/>
                        <w:color w:val="231F20"/>
                        <w:w w:val="105"/>
                        <w:sz w:val="14"/>
                      </w:rPr>
                      <w:t>High School</w:t>
                    </w:r>
                  </w:p>
                  <w:p>
                    <w:pPr>
                      <w:spacing w:before="0"/>
                      <w:ind w:left="0" w:right="96" w:firstLine="0"/>
                      <w:jc w:val="right"/>
                      <w:rPr>
                        <w:rFonts w:ascii="Arial"/>
                        <w:sz w:val="14"/>
                      </w:rPr>
                    </w:pPr>
                    <w:r>
                      <w:rPr>
                        <w:rFonts w:ascii="Arial"/>
                        <w:color w:val="231F20"/>
                        <w:w w:val="105"/>
                        <w:sz w:val="14"/>
                      </w:rPr>
                      <w:t>Normal</w:t>
                    </w:r>
                  </w:p>
                  <w:p>
                    <w:pPr>
                      <w:tabs>
                        <w:tab w:pos="1023" w:val="left" w:leader="none"/>
                      </w:tabs>
                      <w:spacing w:before="41"/>
                      <w:ind w:left="0" w:right="0" w:firstLine="0"/>
                      <w:jc w:val="right"/>
                      <w:rPr>
                        <w:rFonts w:ascii="Arial"/>
                        <w:i/>
                        <w:sz w:val="14"/>
                      </w:rPr>
                    </w:pPr>
                    <w:r>
                      <w:rPr>
                        <w:rFonts w:ascii="Arial"/>
                        <w:color w:val="231F20"/>
                        <w:w w:val="91"/>
                        <w:sz w:val="14"/>
                        <w:u w:val="single" w:color="D7D8D8"/>
                      </w:rPr>
                      <w:t> </w:t>
                    </w:r>
                    <w:r>
                      <w:rPr>
                        <w:rFonts w:ascii="Arial"/>
                        <w:color w:val="231F20"/>
                        <w:sz w:val="14"/>
                        <w:u w:val="single" w:color="D7D8D8"/>
                      </w:rPr>
                      <w:tab/>
                    </w:r>
                    <w:r>
                      <w:rPr>
                        <w:rFonts w:ascii="Arial"/>
                        <w:color w:val="231F20"/>
                        <w:w w:val="105"/>
                        <w:sz w:val="14"/>
                        <w:u w:val="single" w:color="D7D8D8"/>
                      </w:rPr>
                      <w:t>Profesional/</w:t>
                    </w:r>
                    <w:r>
                      <w:rPr>
                        <w:rFonts w:ascii="Arial"/>
                        <w:i/>
                        <w:color w:val="231F20"/>
                        <w:w w:val="105"/>
                        <w:sz w:val="14"/>
                        <w:u w:val="single" w:color="D7D8D8"/>
                      </w:rPr>
                      <w:t>College</w:t>
                    </w:r>
                    <w:r>
                      <w:rPr>
                        <w:rFonts w:ascii="Arial"/>
                        <w:i/>
                        <w:color w:val="231F20"/>
                        <w:spacing w:val="-19"/>
                        <w:sz w:val="14"/>
                        <w:u w:val="single" w:color="D7D8D8"/>
                      </w:rPr>
                      <w:t> </w:t>
                    </w:r>
                  </w:p>
                  <w:p>
                    <w:pPr>
                      <w:spacing w:line="302" w:lineRule="auto" w:before="41"/>
                      <w:ind w:left="1811" w:right="96" w:firstLine="27"/>
                      <w:jc w:val="right"/>
                      <w:rPr>
                        <w:rFonts w:ascii="Arial"/>
                        <w:sz w:val="14"/>
                      </w:rPr>
                    </w:pPr>
                    <w:r>
                      <w:rPr>
                        <w:rFonts w:ascii="Arial"/>
                        <w:color w:val="231F20"/>
                        <w:w w:val="105"/>
                        <w:sz w:val="14"/>
                      </w:rPr>
                      <w:t>Soltero</w:t>
                    </w:r>
                    <w:r>
                      <w:rPr>
                        <w:rFonts w:ascii="Arial"/>
                        <w:color w:val="231F20"/>
                        <w:w w:val="105"/>
                        <w:sz w:val="14"/>
                      </w:rPr>
                      <w:t> </w:t>
                    </w:r>
                    <w:r>
                      <w:rPr>
                        <w:rFonts w:ascii="Arial"/>
                        <w:color w:val="231F20"/>
                        <w:sz w:val="14"/>
                      </w:rPr>
                      <w:t>Casado </w:t>
                    </w:r>
                    <w:r>
                      <w:rPr>
                        <w:rFonts w:ascii="Arial"/>
                        <w:color w:val="231F20"/>
                        <w:w w:val="105"/>
                        <w:sz w:val="14"/>
                      </w:rPr>
                      <w:t>Unido</w:t>
                    </w:r>
                  </w:p>
                  <w:p>
                    <w:pPr>
                      <w:spacing w:before="0"/>
                      <w:ind w:left="0" w:right="96" w:firstLine="0"/>
                      <w:jc w:val="right"/>
                      <w:rPr>
                        <w:rFonts w:ascii="Arial"/>
                        <w:sz w:val="14"/>
                      </w:rPr>
                    </w:pPr>
                    <w:r>
                      <w:rPr>
                        <w:rFonts w:ascii="Arial"/>
                        <w:color w:val="231F20"/>
                        <w:w w:val="105"/>
                        <w:sz w:val="14"/>
                      </w:rPr>
                      <w:t>Separado o divorciado</w:t>
                    </w:r>
                  </w:p>
                  <w:p>
                    <w:pPr>
                      <w:spacing w:before="41"/>
                      <w:ind w:left="0" w:right="96" w:firstLine="0"/>
                      <w:jc w:val="right"/>
                      <w:rPr>
                        <w:rFonts w:ascii="Arial"/>
                        <w:sz w:val="14"/>
                      </w:rPr>
                    </w:pPr>
                    <w:r>
                      <w:rPr>
                        <w:rFonts w:ascii="Arial"/>
                        <w:color w:val="231F20"/>
                        <w:w w:val="105"/>
                        <w:sz w:val="14"/>
                      </w:rPr>
                      <w:t>Viudo</w:t>
                    </w:r>
                  </w:p>
                </w:txbxContent>
              </v:textbox>
              <w10:wrap type="none"/>
            </v:shape>
            <v:shape style="position:absolute;left:5622;top:-1114;width:350;height:348" type="#_x0000_t202" filled="false" stroked="false">
              <v:textbox inset="0,0,0,0">
                <w:txbxContent>
                  <w:p>
                    <w:pPr>
                      <w:spacing w:line="136" w:lineRule="exact" w:before="0"/>
                      <w:ind w:left="65" w:right="-8" w:firstLine="0"/>
                      <w:jc w:val="left"/>
                      <w:rPr>
                        <w:rFonts w:ascii="Arial"/>
                        <w:sz w:val="14"/>
                      </w:rPr>
                    </w:pPr>
                    <w:r>
                      <w:rPr>
                        <w:rFonts w:ascii="Arial"/>
                        <w:color w:val="231F20"/>
                        <w:sz w:val="14"/>
                      </w:rPr>
                      <w:t>27.4</w:t>
                    </w:r>
                  </w:p>
                  <w:p>
                    <w:pPr>
                      <w:spacing w:before="41"/>
                      <w:ind w:left="0" w:right="-8" w:firstLine="0"/>
                      <w:jc w:val="left"/>
                      <w:rPr>
                        <w:rFonts w:ascii="Arial"/>
                        <w:sz w:val="14"/>
                      </w:rPr>
                    </w:pPr>
                    <w:r>
                      <w:rPr>
                        <w:rFonts w:ascii="Arial"/>
                        <w:color w:val="231F20"/>
                        <w:w w:val="105"/>
                        <w:sz w:val="14"/>
                      </w:rPr>
                      <w:t>26.0</w:t>
                    </w:r>
                  </w:p>
                </w:txbxContent>
              </v:textbox>
              <w10:wrap type="none"/>
            </v:shape>
            <v:shape style="position:absolute;left:6033;top:-709;width:284;height:146" type="#_x0000_t202" filled="false" stroked="false">
              <v:textbox inset="0,0,0,0">
                <w:txbxContent>
                  <w:p>
                    <w:pPr>
                      <w:spacing w:line="136" w:lineRule="exact" w:before="0"/>
                      <w:ind w:left="0" w:right="-9" w:firstLine="0"/>
                      <w:jc w:val="left"/>
                      <w:rPr>
                        <w:rFonts w:ascii="Arial"/>
                        <w:sz w:val="14"/>
                      </w:rPr>
                    </w:pPr>
                    <w:r>
                      <w:rPr>
                        <w:rFonts w:ascii="Arial"/>
                        <w:color w:val="231F20"/>
                        <w:sz w:val="14"/>
                      </w:rPr>
                      <w:t>34.8</w:t>
                    </w:r>
                  </w:p>
                </w:txbxContent>
              </v:textbox>
              <w10:wrap type="none"/>
            </v:shape>
            <v:shape style="position:absolute;left:4476;top:-507;width:202;height:146" type="#_x0000_t202" filled="false" stroked="false">
              <v:textbox inset="0,0,0,0">
                <w:txbxContent>
                  <w:p>
                    <w:pPr>
                      <w:spacing w:line="136" w:lineRule="exact" w:before="0"/>
                      <w:ind w:left="0" w:right="-13" w:firstLine="0"/>
                      <w:jc w:val="left"/>
                      <w:rPr>
                        <w:rFonts w:ascii="Arial"/>
                        <w:sz w:val="14"/>
                      </w:rPr>
                    </w:pPr>
                    <w:r>
                      <w:rPr>
                        <w:rFonts w:ascii="Arial"/>
                        <w:color w:val="231F20"/>
                        <w:sz w:val="14"/>
                      </w:rPr>
                      <w:t>1.5</w:t>
                    </w:r>
                  </w:p>
                </w:txbxContent>
              </v:textbox>
              <w10:wrap type="none"/>
            </v:shape>
            <v:shape style="position:absolute;left:4781;top:-305;width:260;height:348" type="#_x0000_t202" filled="false" stroked="false">
              <v:textbox inset="0,0,0,0">
                <w:txbxContent>
                  <w:p>
                    <w:pPr>
                      <w:spacing w:line="136" w:lineRule="exact" w:before="0"/>
                      <w:ind w:left="58" w:right="-13" w:firstLine="0"/>
                      <w:jc w:val="left"/>
                      <w:rPr>
                        <w:rFonts w:ascii="Arial"/>
                        <w:sz w:val="14"/>
                      </w:rPr>
                    </w:pPr>
                    <w:r>
                      <w:rPr>
                        <w:rFonts w:ascii="Arial"/>
                        <w:color w:val="231F20"/>
                        <w:sz w:val="14"/>
                      </w:rPr>
                      <w:t>9.1</w:t>
                    </w:r>
                  </w:p>
                  <w:p>
                    <w:pPr>
                      <w:spacing w:before="41"/>
                      <w:ind w:left="0" w:right="-13" w:firstLine="0"/>
                      <w:jc w:val="left"/>
                      <w:rPr>
                        <w:rFonts w:ascii="Arial"/>
                        <w:sz w:val="14"/>
                      </w:rPr>
                    </w:pPr>
                    <w:r>
                      <w:rPr>
                        <w:rFonts w:ascii="Arial"/>
                        <w:color w:val="231F20"/>
                        <w:w w:val="105"/>
                        <w:sz w:val="14"/>
                      </w:rPr>
                      <w:t>7.9</w:t>
                    </w:r>
                  </w:p>
                </w:txbxContent>
              </v:textbox>
              <w10:wrap type="none"/>
            </v:shape>
            <v:shape style="position:absolute;left:4556;top:302;width:273;height:551" type="#_x0000_t202" filled="false" stroked="false">
              <v:textbox inset="0,0,0,0">
                <w:txbxContent>
                  <w:p>
                    <w:pPr>
                      <w:spacing w:line="136" w:lineRule="exact" w:before="0"/>
                      <w:ind w:left="55" w:right="-7" w:firstLine="0"/>
                      <w:jc w:val="left"/>
                      <w:rPr>
                        <w:rFonts w:ascii="Arial"/>
                        <w:sz w:val="14"/>
                      </w:rPr>
                    </w:pPr>
                    <w:r>
                      <w:rPr>
                        <w:rFonts w:ascii="Arial"/>
                        <w:color w:val="231F20"/>
                        <w:w w:val="105"/>
                        <w:sz w:val="14"/>
                      </w:rPr>
                      <w:t>4.2</w:t>
                    </w:r>
                  </w:p>
                  <w:p>
                    <w:pPr>
                      <w:spacing w:before="41"/>
                      <w:ind w:left="71" w:right="-13" w:firstLine="0"/>
                      <w:jc w:val="left"/>
                      <w:rPr>
                        <w:rFonts w:ascii="Arial"/>
                        <w:sz w:val="14"/>
                      </w:rPr>
                    </w:pPr>
                    <w:r>
                      <w:rPr>
                        <w:rFonts w:ascii="Arial"/>
                        <w:color w:val="231F20"/>
                        <w:sz w:val="14"/>
                      </w:rPr>
                      <w:t>4.6</w:t>
                    </w:r>
                  </w:p>
                  <w:p>
                    <w:pPr>
                      <w:spacing w:before="41"/>
                      <w:ind w:left="0" w:right="-7" w:firstLine="0"/>
                      <w:jc w:val="left"/>
                      <w:rPr>
                        <w:rFonts w:ascii="Arial"/>
                        <w:sz w:val="14"/>
                      </w:rPr>
                    </w:pPr>
                    <w:r>
                      <w:rPr>
                        <w:rFonts w:ascii="Arial"/>
                        <w:color w:val="231F20"/>
                        <w:w w:val="105"/>
                        <w:sz w:val="14"/>
                      </w:rPr>
                      <w:t>3.0</w:t>
                    </w:r>
                  </w:p>
                </w:txbxContent>
              </v:textbox>
              <w10:wrap type="none"/>
            </v:shape>
            <w10:wrap type="none"/>
          </v:group>
        </w:pict>
      </w:r>
      <w:r>
        <w:rPr/>
        <w:pict>
          <v:line style="position:absolute;mso-position-horizontal-relative:page;mso-position-vertical-relative:paragraph;z-index:22696" from="425.120575pt,-200.326508pt" to="425.120575pt,42.455019pt" stroked="true" strokeweight=".590764pt" strokecolor="#e2e3e4">
            <w10:wrap type="none"/>
          </v:line>
        </w:pict>
      </w:r>
      <w:r>
        <w:rPr/>
        <w:pict>
          <v:shape style="position:absolute;margin-left:95.034851pt;margin-top:.242196pt;width:18.55pt;height:32.75pt;mso-position-horizontal-relative:page;mso-position-vertical-relative:paragraph;z-index:22816" type="#_x0000_t202" filled="false" stroked="false">
            <v:textbox inset="0,0,0,0" style="layout-flow:vertical;mso-layout-flow-alt:bottom-to-top">
              <w:txbxContent>
                <w:p>
                  <w:pPr>
                    <w:spacing w:line="153" w:lineRule="exact" w:before="0"/>
                    <w:ind w:left="20" w:right="-209" w:firstLine="76"/>
                    <w:jc w:val="left"/>
                    <w:rPr>
                      <w:rFonts w:ascii="Tahoma"/>
                      <w:b/>
                      <w:sz w:val="14"/>
                    </w:rPr>
                  </w:pPr>
                  <w:r>
                    <w:rPr>
                      <w:rFonts w:ascii="Tahoma"/>
                      <w:b/>
                      <w:color w:val="231F20"/>
                      <w:w w:val="97"/>
                      <w:sz w:val="14"/>
                    </w:rPr>
                    <w:t>Estado</w:t>
                  </w:r>
                </w:p>
                <w:p>
                  <w:pPr>
                    <w:spacing w:before="20"/>
                    <w:ind w:left="20" w:right="-284" w:firstLine="0"/>
                    <w:jc w:val="left"/>
                    <w:rPr>
                      <w:rFonts w:ascii="Tahoma"/>
                      <w:b/>
                      <w:sz w:val="14"/>
                    </w:rPr>
                  </w:pPr>
                  <w:r>
                    <w:rPr>
                      <w:rFonts w:ascii="Tahoma"/>
                      <w:b/>
                      <w:color w:val="231F20"/>
                      <w:w w:val="96"/>
                      <w:sz w:val="14"/>
                    </w:rPr>
                    <w:t>conyugal</w:t>
                  </w:r>
                </w:p>
              </w:txbxContent>
            </v:textbox>
            <w10:wrap type="none"/>
          </v:shape>
        </w:pict>
      </w:r>
      <w:r>
        <w:rPr/>
        <w:pict>
          <v:shape style="position:absolute;margin-left:95.034851pt;margin-top:-60.042919pt;width:18.55pt;height:41.2pt;mso-position-horizontal-relative:page;mso-position-vertical-relative:paragraph;z-index:22840" type="#_x0000_t202" filled="false" stroked="false">
            <v:textbox inset="0,0,0,0" style="layout-flow:vertical;mso-layout-flow-alt:bottom-to-top">
              <w:txbxContent>
                <w:p>
                  <w:pPr>
                    <w:spacing w:line="153" w:lineRule="exact" w:before="0"/>
                    <w:ind w:left="20" w:right="-19" w:firstLine="91"/>
                    <w:jc w:val="left"/>
                    <w:rPr>
                      <w:rFonts w:ascii="Tahoma"/>
                      <w:b/>
                      <w:sz w:val="14"/>
                    </w:rPr>
                  </w:pPr>
                  <w:r>
                    <w:rPr>
                      <w:rFonts w:ascii="Tahoma"/>
                      <w:b/>
                      <w:color w:val="231F20"/>
                      <w:w w:val="98"/>
                      <w:sz w:val="14"/>
                    </w:rPr>
                    <w:t>Nivel</w:t>
                  </w:r>
                  <w:r>
                    <w:rPr>
                      <w:rFonts w:ascii="Tahoma"/>
                      <w:b/>
                      <w:color w:val="231F20"/>
                      <w:spacing w:val="-5"/>
                      <w:sz w:val="14"/>
                    </w:rPr>
                    <w:t> </w:t>
                  </w:r>
                  <w:r>
                    <w:rPr>
                      <w:rFonts w:ascii="Tahoma"/>
                      <w:b/>
                      <w:color w:val="231F20"/>
                      <w:w w:val="102"/>
                      <w:sz w:val="14"/>
                    </w:rPr>
                    <w:t>de</w:t>
                  </w:r>
                </w:p>
                <w:p>
                  <w:pPr>
                    <w:spacing w:before="20"/>
                    <w:ind w:left="20" w:right="-453" w:firstLine="0"/>
                    <w:jc w:val="left"/>
                    <w:rPr>
                      <w:rFonts w:ascii="Tahoma"/>
                      <w:b/>
                      <w:sz w:val="14"/>
                    </w:rPr>
                  </w:pPr>
                  <w:r>
                    <w:rPr>
                      <w:rFonts w:ascii="Tahoma"/>
                      <w:b/>
                      <w:color w:val="231F20"/>
                      <w:w w:val="97"/>
                      <w:sz w:val="14"/>
                    </w:rPr>
                    <w:t>escolaridad</w:t>
                  </w:r>
                </w:p>
              </w:txbxContent>
            </v:textbox>
            <w10:wrap type="none"/>
          </v:shape>
        </w:pict>
      </w:r>
      <w:r>
        <w:rPr>
          <w:rFonts w:ascii="Arial"/>
          <w:color w:val="231F20"/>
          <w:w w:val="105"/>
          <w:sz w:val="14"/>
        </w:rPr>
        <w:t>80.3</w:t>
      </w:r>
    </w:p>
    <w:p>
      <w:pPr>
        <w:pStyle w:val="BodyText"/>
        <w:rPr>
          <w:rFonts w:ascii="Arial"/>
          <w:sz w:val="20"/>
        </w:rPr>
      </w:pPr>
    </w:p>
    <w:p>
      <w:pPr>
        <w:pStyle w:val="BodyText"/>
        <w:rPr>
          <w:rFonts w:ascii="Arial"/>
          <w:sz w:val="20"/>
        </w:rPr>
      </w:pPr>
    </w:p>
    <w:p>
      <w:pPr>
        <w:pStyle w:val="BodyText"/>
        <w:spacing w:before="9"/>
        <w:rPr>
          <w:rFonts w:ascii="Arial"/>
          <w:sz w:val="17"/>
        </w:rPr>
      </w:pPr>
    </w:p>
    <w:p>
      <w:pPr>
        <w:tabs>
          <w:tab w:pos="2796" w:val="left" w:leader="none"/>
          <w:tab w:pos="3264" w:val="left" w:leader="none"/>
          <w:tab w:pos="3731" w:val="left" w:leader="none"/>
          <w:tab w:pos="4199" w:val="left" w:leader="none"/>
          <w:tab w:pos="4666" w:val="left" w:leader="none"/>
          <w:tab w:pos="5134" w:val="left" w:leader="none"/>
          <w:tab w:pos="5602" w:val="left" w:leader="none"/>
          <w:tab w:pos="6069" w:val="left" w:leader="none"/>
          <w:tab w:pos="6537" w:val="left" w:leader="none"/>
        </w:tabs>
        <w:spacing w:before="76"/>
        <w:ind w:left="2368" w:right="0" w:firstLine="0"/>
        <w:jc w:val="center"/>
        <w:rPr>
          <w:rFonts w:ascii="Arial"/>
          <w:sz w:val="14"/>
        </w:rPr>
      </w:pPr>
      <w:r>
        <w:rPr>
          <w:rFonts w:ascii="Arial"/>
          <w:color w:val="231F20"/>
          <w:w w:val="105"/>
          <w:sz w:val="14"/>
        </w:rPr>
        <w:t>0</w:t>
        <w:tab/>
        <w:t>10</w:t>
        <w:tab/>
        <w:t>20</w:t>
        <w:tab/>
        <w:t>30</w:t>
        <w:tab/>
        <w:t>40</w:t>
        <w:tab/>
        <w:t>50</w:t>
        <w:tab/>
        <w:t>60</w:t>
        <w:tab/>
        <w:t>70</w:t>
        <w:tab/>
        <w:t>80</w:t>
        <w:tab/>
        <w:t>90</w:t>
      </w:r>
    </w:p>
    <w:p>
      <w:pPr>
        <w:spacing w:before="80"/>
        <w:ind w:left="2989" w:right="685" w:firstLine="0"/>
        <w:jc w:val="center"/>
        <w:rPr>
          <w:rFonts w:ascii="Tahoma"/>
          <w:b/>
          <w:sz w:val="14"/>
        </w:rPr>
      </w:pPr>
      <w:r>
        <w:rPr>
          <w:rFonts w:ascii="Tahoma"/>
          <w:b/>
          <w:color w:val="231F20"/>
          <w:sz w:val="14"/>
        </w:rPr>
        <w:t>Porcentaje</w:t>
      </w:r>
    </w:p>
    <w:p>
      <w:pPr>
        <w:spacing w:line="254" w:lineRule="auto" w:before="71"/>
        <w:ind w:left="1837" w:right="1722" w:firstLine="0"/>
        <w:jc w:val="both"/>
        <w:rPr>
          <w:sz w:val="16"/>
        </w:rPr>
      </w:pPr>
      <w:r>
        <w:rPr>
          <w:color w:val="231F20"/>
          <w:w w:val="105"/>
          <w:sz w:val="16"/>
        </w:rPr>
        <w:t>Fuente: elaboración propia con datos de la Encuesta de Migración de la </w:t>
      </w:r>
      <w:r>
        <w:rPr>
          <w:color w:val="231F20"/>
          <w:spacing w:val="-3"/>
          <w:w w:val="105"/>
          <w:sz w:val="16"/>
        </w:rPr>
        <w:t>Frontera </w:t>
      </w:r>
      <w:r>
        <w:rPr>
          <w:color w:val="231F20"/>
          <w:w w:val="105"/>
          <w:sz w:val="16"/>
        </w:rPr>
        <w:t>Norte, 2013 </w:t>
      </w:r>
      <w:r>
        <w:rPr>
          <w:color w:val="231F20"/>
          <w:sz w:val="16"/>
        </w:rPr>
        <w:t>(</w:t>
      </w:r>
      <w:r>
        <w:rPr>
          <w:color w:val="231F20"/>
          <w:sz w:val="14"/>
        </w:rPr>
        <w:t>CONAPO</w:t>
      </w:r>
      <w:r>
        <w:rPr>
          <w:color w:val="231F20"/>
          <w:sz w:val="16"/>
        </w:rPr>
        <w:t>, 2015).</w:t>
      </w:r>
    </w:p>
    <w:p>
      <w:pPr>
        <w:pStyle w:val="BodyText"/>
        <w:rPr>
          <w:sz w:val="16"/>
        </w:rPr>
      </w:pPr>
    </w:p>
    <w:p>
      <w:pPr>
        <w:pStyle w:val="BodyText"/>
        <w:rPr>
          <w:sz w:val="16"/>
        </w:rPr>
      </w:pPr>
    </w:p>
    <w:p>
      <w:pPr>
        <w:pStyle w:val="Heading3"/>
        <w:spacing w:line="252" w:lineRule="auto" w:before="120"/>
        <w:ind w:right="1722"/>
        <w:rPr>
          <w:rFonts w:ascii="Tahoma" w:hAnsi="Tahoma"/>
        </w:rPr>
      </w:pPr>
      <w:r>
        <w:rPr>
          <w:color w:val="231F20"/>
        </w:rPr>
        <w:t>Presencia</w:t>
      </w:r>
      <w:r>
        <w:rPr>
          <w:color w:val="231F20"/>
          <w:spacing w:val="-31"/>
        </w:rPr>
        <w:t> </w:t>
      </w:r>
      <w:r>
        <w:rPr>
          <w:color w:val="231F20"/>
        </w:rPr>
        <w:t>de</w:t>
      </w:r>
      <w:r>
        <w:rPr>
          <w:color w:val="231F20"/>
          <w:spacing w:val="-31"/>
        </w:rPr>
        <w:t> </w:t>
      </w:r>
      <w:r>
        <w:rPr>
          <w:color w:val="231F20"/>
        </w:rPr>
        <w:t>algún</w:t>
      </w:r>
      <w:r>
        <w:rPr>
          <w:color w:val="231F20"/>
          <w:spacing w:val="-31"/>
        </w:rPr>
        <w:t> </w:t>
      </w:r>
      <w:r>
        <w:rPr>
          <w:color w:val="231F20"/>
        </w:rPr>
        <w:t>accidente,</w:t>
      </w:r>
      <w:r>
        <w:rPr>
          <w:color w:val="231F20"/>
          <w:spacing w:val="-36"/>
        </w:rPr>
        <w:t> </w:t>
      </w:r>
      <w:r>
        <w:rPr>
          <w:color w:val="231F20"/>
        </w:rPr>
        <w:t>padecimiento</w:t>
      </w:r>
      <w:r>
        <w:rPr>
          <w:color w:val="231F20"/>
          <w:spacing w:val="-31"/>
        </w:rPr>
        <w:t> </w:t>
      </w:r>
      <w:r>
        <w:rPr>
          <w:color w:val="231F20"/>
        </w:rPr>
        <w:t>o</w:t>
      </w:r>
      <w:r>
        <w:rPr>
          <w:color w:val="231F20"/>
          <w:spacing w:val="-31"/>
        </w:rPr>
        <w:t> </w:t>
      </w:r>
      <w:r>
        <w:rPr>
          <w:color w:val="231F20"/>
        </w:rPr>
        <w:t>enfermedad</w:t>
      </w:r>
      <w:r>
        <w:rPr>
          <w:color w:val="231F20"/>
          <w:spacing w:val="-31"/>
        </w:rPr>
        <w:t> </w:t>
      </w:r>
      <w:r>
        <w:rPr>
          <w:color w:val="231F20"/>
        </w:rPr>
        <w:t>y</w:t>
      </w:r>
      <w:r>
        <w:rPr>
          <w:color w:val="231F20"/>
          <w:spacing w:val="-31"/>
        </w:rPr>
        <w:t> </w:t>
      </w:r>
      <w:r>
        <w:rPr>
          <w:color w:val="231F20"/>
        </w:rPr>
        <w:t>percep- </w:t>
      </w:r>
      <w:r>
        <w:rPr>
          <w:rFonts w:ascii="Tahoma" w:hAnsi="Tahoma"/>
          <w:color w:val="231F20"/>
          <w:w w:val="95"/>
        </w:rPr>
        <w:t>ción</w:t>
      </w:r>
      <w:r>
        <w:rPr>
          <w:rFonts w:ascii="Tahoma" w:hAnsi="Tahoma"/>
          <w:color w:val="231F20"/>
          <w:spacing w:val="-24"/>
          <w:w w:val="95"/>
        </w:rPr>
        <w:t> </w:t>
      </w:r>
      <w:r>
        <w:rPr>
          <w:rFonts w:ascii="Tahoma" w:hAnsi="Tahoma"/>
          <w:color w:val="231F20"/>
          <w:w w:val="95"/>
        </w:rPr>
        <w:t>del</w:t>
      </w:r>
      <w:r>
        <w:rPr>
          <w:rFonts w:ascii="Tahoma" w:hAnsi="Tahoma"/>
          <w:color w:val="231F20"/>
          <w:spacing w:val="-24"/>
          <w:w w:val="95"/>
        </w:rPr>
        <w:t> </w:t>
      </w:r>
      <w:r>
        <w:rPr>
          <w:rFonts w:ascii="Tahoma" w:hAnsi="Tahoma"/>
          <w:color w:val="231F20"/>
          <w:w w:val="95"/>
        </w:rPr>
        <w:t>estado</w:t>
      </w:r>
      <w:r>
        <w:rPr>
          <w:rFonts w:ascii="Tahoma" w:hAnsi="Tahoma"/>
          <w:color w:val="231F20"/>
          <w:spacing w:val="-24"/>
          <w:w w:val="95"/>
        </w:rPr>
        <w:t> </w:t>
      </w:r>
      <w:r>
        <w:rPr>
          <w:rFonts w:ascii="Tahoma" w:hAnsi="Tahoma"/>
          <w:color w:val="231F20"/>
          <w:w w:val="95"/>
        </w:rPr>
        <w:t>de</w:t>
      </w:r>
      <w:r>
        <w:rPr>
          <w:rFonts w:ascii="Tahoma" w:hAnsi="Tahoma"/>
          <w:color w:val="231F20"/>
          <w:spacing w:val="-24"/>
          <w:w w:val="95"/>
        </w:rPr>
        <w:t> </w:t>
      </w:r>
      <w:r>
        <w:rPr>
          <w:rFonts w:ascii="Tahoma" w:hAnsi="Tahoma"/>
          <w:color w:val="231F20"/>
          <w:w w:val="95"/>
        </w:rPr>
        <w:t>salud</w:t>
      </w:r>
      <w:r>
        <w:rPr>
          <w:rFonts w:ascii="Tahoma" w:hAnsi="Tahoma"/>
          <w:color w:val="231F20"/>
          <w:spacing w:val="-24"/>
          <w:w w:val="95"/>
        </w:rPr>
        <w:t> </w:t>
      </w:r>
      <w:r>
        <w:rPr>
          <w:rFonts w:ascii="Tahoma" w:hAnsi="Tahoma"/>
          <w:color w:val="231F20"/>
          <w:w w:val="95"/>
        </w:rPr>
        <w:t>entre</w:t>
      </w:r>
      <w:r>
        <w:rPr>
          <w:rFonts w:ascii="Tahoma" w:hAnsi="Tahoma"/>
          <w:color w:val="231F20"/>
          <w:spacing w:val="-24"/>
          <w:w w:val="95"/>
        </w:rPr>
        <w:t> </w:t>
      </w:r>
      <w:r>
        <w:rPr>
          <w:rFonts w:ascii="Tahoma" w:hAnsi="Tahoma"/>
          <w:color w:val="231F20"/>
          <w:w w:val="95"/>
        </w:rPr>
        <w:t>los</w:t>
      </w:r>
      <w:r>
        <w:rPr>
          <w:rFonts w:ascii="Tahoma" w:hAnsi="Tahoma"/>
          <w:color w:val="231F20"/>
          <w:spacing w:val="-24"/>
          <w:w w:val="95"/>
        </w:rPr>
        <w:t> </w:t>
      </w:r>
      <w:r>
        <w:rPr>
          <w:rFonts w:ascii="Tahoma" w:hAnsi="Tahoma"/>
          <w:color w:val="231F20"/>
          <w:w w:val="95"/>
        </w:rPr>
        <w:t>migrantes</w:t>
      </w:r>
      <w:r>
        <w:rPr>
          <w:rFonts w:ascii="Tahoma" w:hAnsi="Tahoma"/>
          <w:color w:val="231F20"/>
          <w:spacing w:val="-24"/>
          <w:w w:val="95"/>
        </w:rPr>
        <w:t> </w:t>
      </w:r>
      <w:r>
        <w:rPr>
          <w:rFonts w:ascii="Tahoma" w:hAnsi="Tahoma"/>
          <w:color w:val="231F20"/>
          <w:w w:val="95"/>
        </w:rPr>
        <w:t>mexiquenses</w:t>
      </w:r>
    </w:p>
    <w:p>
      <w:pPr>
        <w:pStyle w:val="BodyText"/>
        <w:rPr>
          <w:rFonts w:ascii="Tahoma"/>
          <w:b/>
          <w:sz w:val="22"/>
        </w:rPr>
      </w:pPr>
    </w:p>
    <w:p>
      <w:pPr>
        <w:pStyle w:val="BodyText"/>
        <w:spacing w:line="261" w:lineRule="auto" w:before="139"/>
        <w:ind w:left="1837" w:right="1721"/>
        <w:jc w:val="both"/>
      </w:pPr>
      <w:r>
        <w:rPr>
          <w:color w:val="231F20"/>
          <w:w w:val="105"/>
        </w:rPr>
        <w:t>Al indagar entre los migrantes en flujo procedentes de Estados Unidos que nacieron en el Estado de México sobre la presencia de algún acci- dente, padecimiento o enfermedad durante los últimos 12 meses de su estadía en el vecino país del norte, se estima según la </w:t>
      </w:r>
      <w:r>
        <w:rPr>
          <w:color w:val="231F20"/>
          <w:w w:val="105"/>
          <w:sz w:val="17"/>
        </w:rPr>
        <w:t>EMIF</w:t>
      </w:r>
      <w:r>
        <w:rPr>
          <w:color w:val="231F20"/>
          <w:w w:val="105"/>
        </w:rPr>
        <w:t>-Norte que 6.6%</w:t>
      </w:r>
      <w:r>
        <w:rPr>
          <w:color w:val="231F20"/>
          <w:spacing w:val="-28"/>
          <w:w w:val="105"/>
        </w:rPr>
        <w:t> </w:t>
      </w:r>
      <w:r>
        <w:rPr>
          <w:color w:val="231F20"/>
          <w:w w:val="105"/>
        </w:rPr>
        <w:t>sufrió</w:t>
      </w:r>
      <w:r>
        <w:rPr>
          <w:color w:val="231F20"/>
          <w:spacing w:val="-28"/>
          <w:w w:val="105"/>
        </w:rPr>
        <w:t> </w:t>
      </w:r>
      <w:r>
        <w:rPr>
          <w:color w:val="231F20"/>
          <w:w w:val="105"/>
        </w:rPr>
        <w:t>alguna</w:t>
      </w:r>
      <w:r>
        <w:rPr>
          <w:color w:val="231F20"/>
          <w:spacing w:val="-28"/>
          <w:w w:val="105"/>
        </w:rPr>
        <w:t> </w:t>
      </w:r>
      <w:r>
        <w:rPr>
          <w:color w:val="231F20"/>
          <w:w w:val="105"/>
        </w:rPr>
        <w:t>de</w:t>
      </w:r>
      <w:r>
        <w:rPr>
          <w:color w:val="231F20"/>
          <w:spacing w:val="-28"/>
          <w:w w:val="105"/>
        </w:rPr>
        <w:t> </w:t>
      </w:r>
      <w:r>
        <w:rPr>
          <w:color w:val="231F20"/>
          <w:w w:val="105"/>
        </w:rPr>
        <w:t>estas</w:t>
      </w:r>
      <w:r>
        <w:rPr>
          <w:color w:val="231F20"/>
          <w:spacing w:val="-28"/>
          <w:w w:val="105"/>
        </w:rPr>
        <w:t> </w:t>
      </w:r>
      <w:r>
        <w:rPr>
          <w:color w:val="231F20"/>
          <w:w w:val="105"/>
        </w:rPr>
        <w:t>situaciones,</w:t>
      </w:r>
      <w:r>
        <w:rPr>
          <w:color w:val="231F20"/>
          <w:spacing w:val="-32"/>
          <w:w w:val="105"/>
        </w:rPr>
        <w:t> </w:t>
      </w:r>
      <w:r>
        <w:rPr>
          <w:color w:val="231F20"/>
          <w:w w:val="105"/>
        </w:rPr>
        <w:t>proporción</w:t>
      </w:r>
      <w:r>
        <w:rPr>
          <w:color w:val="231F20"/>
          <w:spacing w:val="-28"/>
          <w:w w:val="105"/>
        </w:rPr>
        <w:t> </w:t>
      </w:r>
      <w:r>
        <w:rPr>
          <w:color w:val="231F20"/>
          <w:w w:val="105"/>
        </w:rPr>
        <w:t>que</w:t>
      </w:r>
      <w:r>
        <w:rPr>
          <w:color w:val="231F20"/>
          <w:spacing w:val="-28"/>
          <w:w w:val="105"/>
        </w:rPr>
        <w:t> </w:t>
      </w:r>
      <w:r>
        <w:rPr>
          <w:color w:val="231F20"/>
          <w:w w:val="105"/>
        </w:rPr>
        <w:t>incluso</w:t>
      </w:r>
      <w:r>
        <w:rPr>
          <w:color w:val="231F20"/>
          <w:spacing w:val="-28"/>
          <w:w w:val="105"/>
        </w:rPr>
        <w:t> </w:t>
      </w:r>
      <w:r>
        <w:rPr>
          <w:color w:val="231F20"/>
          <w:w w:val="105"/>
        </w:rPr>
        <w:t>fue</w:t>
      </w:r>
      <w:r>
        <w:rPr>
          <w:color w:val="231F20"/>
          <w:spacing w:val="-28"/>
          <w:w w:val="105"/>
        </w:rPr>
        <w:t> </w:t>
      </w:r>
      <w:r>
        <w:rPr>
          <w:color w:val="231F20"/>
          <w:w w:val="105"/>
        </w:rPr>
        <w:t>supe- rior</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obtenida</w:t>
      </w:r>
      <w:r>
        <w:rPr>
          <w:color w:val="231F20"/>
          <w:spacing w:val="-14"/>
          <w:w w:val="105"/>
        </w:rPr>
        <w:t> </w:t>
      </w:r>
      <w:r>
        <w:rPr>
          <w:color w:val="231F20"/>
          <w:w w:val="105"/>
        </w:rPr>
        <w:t>a</w:t>
      </w:r>
      <w:r>
        <w:rPr>
          <w:color w:val="231F20"/>
          <w:spacing w:val="-14"/>
          <w:w w:val="105"/>
        </w:rPr>
        <w:t> </w:t>
      </w:r>
      <w:r>
        <w:rPr>
          <w:color w:val="231F20"/>
          <w:w w:val="105"/>
        </w:rPr>
        <w:t>nivel</w:t>
      </w:r>
      <w:r>
        <w:rPr>
          <w:color w:val="231F20"/>
          <w:spacing w:val="-14"/>
          <w:w w:val="105"/>
        </w:rPr>
        <w:t> </w:t>
      </w:r>
      <w:r>
        <w:rPr>
          <w:color w:val="231F20"/>
          <w:w w:val="105"/>
        </w:rPr>
        <w:t>nacional,</w:t>
      </w:r>
      <w:r>
        <w:rPr>
          <w:color w:val="231F20"/>
          <w:spacing w:val="-19"/>
          <w:w w:val="105"/>
        </w:rPr>
        <w:t> </w:t>
      </w:r>
      <w:r>
        <w:rPr>
          <w:color w:val="231F20"/>
          <w:w w:val="105"/>
        </w:rPr>
        <w:t>la</w:t>
      </w:r>
      <w:r>
        <w:rPr>
          <w:color w:val="231F20"/>
          <w:spacing w:val="-14"/>
          <w:w w:val="105"/>
        </w:rPr>
        <w:t> </w:t>
      </w:r>
      <w:r>
        <w:rPr>
          <w:color w:val="231F20"/>
          <w:w w:val="105"/>
        </w:rPr>
        <w:t>cual</w:t>
      </w:r>
      <w:r>
        <w:rPr>
          <w:color w:val="231F20"/>
          <w:spacing w:val="-14"/>
          <w:w w:val="105"/>
        </w:rPr>
        <w:t> </w:t>
      </w:r>
      <w:r>
        <w:rPr>
          <w:color w:val="231F20"/>
          <w:w w:val="105"/>
        </w:rPr>
        <w:t>fue</w:t>
      </w:r>
      <w:r>
        <w:rPr>
          <w:color w:val="231F20"/>
          <w:spacing w:val="-14"/>
          <w:w w:val="105"/>
        </w:rPr>
        <w:t> </w:t>
      </w:r>
      <w:r>
        <w:rPr>
          <w:color w:val="231F20"/>
          <w:w w:val="105"/>
        </w:rPr>
        <w:t>de</w:t>
      </w:r>
      <w:r>
        <w:rPr>
          <w:color w:val="231F20"/>
          <w:spacing w:val="-14"/>
          <w:w w:val="105"/>
        </w:rPr>
        <w:t> </w:t>
      </w:r>
      <w:r>
        <w:rPr>
          <w:color w:val="231F20"/>
          <w:w w:val="105"/>
        </w:rPr>
        <w:t>3.9%.</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line="249" w:lineRule="auto" w:before="0"/>
        <w:ind w:left="1744" w:right="1855" w:firstLine="0"/>
        <w:jc w:val="center"/>
        <w:rPr>
          <w:rFonts w:ascii="Arial" w:hAnsi="Arial"/>
          <w:sz w:val="18"/>
        </w:rPr>
      </w:pPr>
      <w:r>
        <w:rPr/>
        <w:pict>
          <v:line style="position:absolute;mso-position-horizontal-relative:page;mso-position-vertical-relative:paragraph;z-index:23200" from="15pt,-71.424232pt" to="0pt,-71.424232pt" stroked="true" strokeweight=".25pt" strokecolor="#000000">
            <w10:wrap type="none"/>
          </v:line>
        </w:pict>
      </w:r>
      <w:r>
        <w:rPr/>
        <w:pict>
          <v:line style="position:absolute;mso-position-horizontal-relative:page;mso-position-vertical-relative:paragraph;z-index:23224" from="508.890015pt,-71.424232pt" to="523.890015pt,-71.424232pt" stroked="true" strokeweight=".25pt" strokecolor="#000000">
            <w10:wrap type="none"/>
          </v:line>
        </w:pict>
      </w:r>
      <w:r>
        <w:rPr/>
        <w:pict>
          <v:shape style="position:absolute;margin-left:119.948135pt;margin-top:115.278366pt;width:9.3pt;height:56.45pt;mso-position-horizontal-relative:page;mso-position-vertical-relative:paragraph;z-index:23320" type="#_x0000_t202" filled="false" stroked="false">
            <v:textbox inset="0,0,0,0" style="layout-flow:vertical;mso-layout-flow-alt:bottom-to-top">
              <w:txbxContent>
                <w:p>
                  <w:pPr>
                    <w:spacing w:line="155" w:lineRule="exact" w:before="0"/>
                    <w:ind w:left="20" w:right="-349" w:firstLine="0"/>
                    <w:jc w:val="left"/>
                    <w:rPr>
                      <w:rFonts w:ascii="Tahoma"/>
                      <w:b/>
                      <w:sz w:val="14"/>
                    </w:rPr>
                  </w:pPr>
                  <w:r>
                    <w:rPr>
                      <w:rFonts w:ascii="Tahoma"/>
                      <w:b/>
                      <w:color w:val="231F20"/>
                      <w:w w:val="98"/>
                      <w:sz w:val="14"/>
                    </w:rPr>
                    <w:t>Grupos</w:t>
                  </w:r>
                  <w:r>
                    <w:rPr>
                      <w:rFonts w:ascii="Tahoma"/>
                      <w:b/>
                      <w:color w:val="231F20"/>
                      <w:spacing w:val="-5"/>
                      <w:sz w:val="14"/>
                    </w:rPr>
                    <w:t> </w:t>
                  </w:r>
                  <w:r>
                    <w:rPr>
                      <w:rFonts w:ascii="Tahoma"/>
                      <w:b/>
                      <w:color w:val="231F20"/>
                      <w:w w:val="102"/>
                      <w:sz w:val="14"/>
                    </w:rPr>
                    <w:t>de</w:t>
                  </w:r>
                  <w:r>
                    <w:rPr>
                      <w:rFonts w:ascii="Tahoma"/>
                      <w:b/>
                      <w:color w:val="231F20"/>
                      <w:spacing w:val="-5"/>
                      <w:sz w:val="14"/>
                    </w:rPr>
                    <w:t> </w:t>
                  </w:r>
                  <w:r>
                    <w:rPr>
                      <w:rFonts w:ascii="Tahoma"/>
                      <w:b/>
                      <w:color w:val="231F20"/>
                      <w:w w:val="101"/>
                      <w:sz w:val="14"/>
                    </w:rPr>
                    <w:t>edad</w:t>
                  </w:r>
                </w:p>
              </w:txbxContent>
            </v:textbox>
            <w10:wrap type="none"/>
          </v:shape>
        </w:pict>
      </w:r>
      <w:r>
        <w:rPr/>
        <w:pict>
          <v:shape style="position:absolute;margin-left:119.948135pt;margin-top:52.341793pt;width:9.3pt;height:18.650pt;mso-position-horizontal-relative:page;mso-position-vertical-relative:paragraph;z-index:23344" type="#_x0000_t202" filled="false" stroked="false">
            <v:textbox inset="0,0,0,0" style="layout-flow:vertical;mso-layout-flow-alt:bottom-to-top">
              <w:txbxContent>
                <w:p>
                  <w:pPr>
                    <w:spacing w:line="155" w:lineRule="exact" w:before="0"/>
                    <w:ind w:left="20" w:right="-187" w:firstLine="0"/>
                    <w:jc w:val="left"/>
                    <w:rPr>
                      <w:rFonts w:ascii="Tahoma"/>
                      <w:b/>
                      <w:sz w:val="14"/>
                    </w:rPr>
                  </w:pPr>
                  <w:r>
                    <w:rPr>
                      <w:rFonts w:ascii="Tahoma"/>
                      <w:b/>
                      <w:color w:val="231F20"/>
                      <w:w w:val="97"/>
                      <w:sz w:val="14"/>
                    </w:rPr>
                    <w:t>Sexo</w:t>
                  </w:r>
                </w:p>
              </w:txbxContent>
            </v:textbox>
            <w10:wrap type="none"/>
          </v:shape>
        </w:pict>
      </w:r>
      <w:r>
        <w:rPr>
          <w:rFonts w:ascii="Arial" w:hAnsi="Arial"/>
          <w:color w:val="231F20"/>
          <w:w w:val="105"/>
          <w:sz w:val="18"/>
        </w:rPr>
        <w:t>Gráfica 3.1 Distribución porcentual de los migrantes en flujo procedentes de Estados Unidos, nacidos en el Estado de México que durante los últimos 12 meses</w:t>
      </w:r>
      <w:r>
        <w:rPr>
          <w:rFonts w:ascii="Arial" w:hAnsi="Arial"/>
          <w:color w:val="231F20"/>
          <w:spacing w:val="-10"/>
          <w:w w:val="105"/>
          <w:sz w:val="18"/>
        </w:rPr>
        <w:t> </w:t>
      </w:r>
      <w:r>
        <w:rPr>
          <w:rFonts w:ascii="Arial" w:hAnsi="Arial"/>
          <w:color w:val="231F20"/>
          <w:w w:val="105"/>
          <w:sz w:val="18"/>
        </w:rPr>
        <w:t>de</w:t>
      </w:r>
      <w:r>
        <w:rPr>
          <w:rFonts w:ascii="Arial" w:hAnsi="Arial"/>
          <w:color w:val="231F20"/>
          <w:spacing w:val="-10"/>
          <w:w w:val="105"/>
          <w:sz w:val="18"/>
        </w:rPr>
        <w:t> </w:t>
      </w:r>
      <w:r>
        <w:rPr>
          <w:rFonts w:ascii="Arial" w:hAnsi="Arial"/>
          <w:color w:val="231F20"/>
          <w:w w:val="105"/>
          <w:sz w:val="18"/>
        </w:rPr>
        <w:t>estancia</w:t>
      </w:r>
      <w:r>
        <w:rPr>
          <w:rFonts w:ascii="Arial" w:hAnsi="Arial"/>
          <w:color w:val="231F20"/>
          <w:spacing w:val="-10"/>
          <w:w w:val="105"/>
          <w:sz w:val="18"/>
        </w:rPr>
        <w:t> </w:t>
      </w:r>
      <w:r>
        <w:rPr>
          <w:rFonts w:ascii="Arial" w:hAnsi="Arial"/>
          <w:color w:val="231F20"/>
          <w:w w:val="105"/>
          <w:sz w:val="18"/>
        </w:rPr>
        <w:t>en</w:t>
      </w:r>
      <w:r>
        <w:rPr>
          <w:rFonts w:ascii="Arial" w:hAnsi="Arial"/>
          <w:color w:val="231F20"/>
          <w:spacing w:val="-10"/>
          <w:w w:val="105"/>
          <w:sz w:val="18"/>
        </w:rPr>
        <w:t> </w:t>
      </w:r>
      <w:r>
        <w:rPr>
          <w:rFonts w:ascii="Arial" w:hAnsi="Arial"/>
          <w:color w:val="231F20"/>
          <w:w w:val="105"/>
          <w:sz w:val="18"/>
        </w:rPr>
        <w:t>el</w:t>
      </w:r>
      <w:r>
        <w:rPr>
          <w:rFonts w:ascii="Arial" w:hAnsi="Arial"/>
          <w:color w:val="231F20"/>
          <w:spacing w:val="-10"/>
          <w:w w:val="105"/>
          <w:sz w:val="18"/>
        </w:rPr>
        <w:t> </w:t>
      </w:r>
      <w:r>
        <w:rPr>
          <w:rFonts w:ascii="Arial" w:hAnsi="Arial"/>
          <w:color w:val="231F20"/>
          <w:w w:val="105"/>
          <w:sz w:val="18"/>
        </w:rPr>
        <w:t>país</w:t>
      </w:r>
      <w:r>
        <w:rPr>
          <w:rFonts w:ascii="Arial" w:hAnsi="Arial"/>
          <w:color w:val="231F20"/>
          <w:spacing w:val="-10"/>
          <w:w w:val="105"/>
          <w:sz w:val="18"/>
        </w:rPr>
        <w:t> </w:t>
      </w:r>
      <w:r>
        <w:rPr>
          <w:rFonts w:ascii="Arial" w:hAnsi="Arial"/>
          <w:color w:val="231F20"/>
          <w:w w:val="105"/>
          <w:sz w:val="18"/>
        </w:rPr>
        <w:t>del</w:t>
      </w:r>
      <w:r>
        <w:rPr>
          <w:rFonts w:ascii="Arial" w:hAnsi="Arial"/>
          <w:color w:val="231F20"/>
          <w:spacing w:val="-10"/>
          <w:w w:val="105"/>
          <w:sz w:val="18"/>
        </w:rPr>
        <w:t> </w:t>
      </w:r>
      <w:r>
        <w:rPr>
          <w:rFonts w:ascii="Arial" w:hAnsi="Arial"/>
          <w:color w:val="231F20"/>
          <w:w w:val="105"/>
          <w:sz w:val="18"/>
        </w:rPr>
        <w:t>norte</w:t>
      </w:r>
      <w:r>
        <w:rPr>
          <w:rFonts w:ascii="Arial" w:hAnsi="Arial"/>
          <w:color w:val="231F20"/>
          <w:spacing w:val="-10"/>
          <w:w w:val="105"/>
          <w:sz w:val="18"/>
        </w:rPr>
        <w:t> </w:t>
      </w:r>
      <w:r>
        <w:rPr>
          <w:rFonts w:ascii="Arial" w:hAnsi="Arial"/>
          <w:color w:val="231F20"/>
          <w:w w:val="105"/>
          <w:sz w:val="18"/>
        </w:rPr>
        <w:t>sufrieron</w:t>
      </w:r>
      <w:r>
        <w:rPr>
          <w:rFonts w:ascii="Arial" w:hAnsi="Arial"/>
          <w:color w:val="231F20"/>
          <w:spacing w:val="-10"/>
          <w:w w:val="105"/>
          <w:sz w:val="18"/>
        </w:rPr>
        <w:t> </w:t>
      </w:r>
      <w:r>
        <w:rPr>
          <w:rFonts w:ascii="Arial" w:hAnsi="Arial"/>
          <w:color w:val="231F20"/>
          <w:w w:val="105"/>
          <w:sz w:val="18"/>
        </w:rPr>
        <w:t>algún</w:t>
      </w:r>
      <w:r>
        <w:rPr>
          <w:rFonts w:ascii="Arial" w:hAnsi="Arial"/>
          <w:color w:val="231F20"/>
          <w:spacing w:val="-10"/>
          <w:w w:val="105"/>
          <w:sz w:val="18"/>
        </w:rPr>
        <w:t> </w:t>
      </w:r>
      <w:r>
        <w:rPr>
          <w:rFonts w:ascii="Arial" w:hAnsi="Arial"/>
          <w:color w:val="231F20"/>
          <w:w w:val="105"/>
          <w:sz w:val="18"/>
        </w:rPr>
        <w:t>accidente,</w:t>
      </w:r>
      <w:r>
        <w:rPr>
          <w:rFonts w:ascii="Arial" w:hAnsi="Arial"/>
          <w:color w:val="231F20"/>
          <w:spacing w:val="-16"/>
          <w:w w:val="105"/>
          <w:sz w:val="18"/>
        </w:rPr>
        <w:t> </w:t>
      </w:r>
      <w:r>
        <w:rPr>
          <w:rFonts w:ascii="Arial" w:hAnsi="Arial"/>
          <w:color w:val="231F20"/>
          <w:w w:val="105"/>
          <w:sz w:val="18"/>
        </w:rPr>
        <w:t>padecimiento</w:t>
      </w:r>
      <w:r>
        <w:rPr>
          <w:rFonts w:ascii="Arial" w:hAnsi="Arial"/>
          <w:color w:val="231F20"/>
          <w:spacing w:val="-10"/>
          <w:w w:val="105"/>
          <w:sz w:val="18"/>
        </w:rPr>
        <w:t> </w:t>
      </w:r>
      <w:r>
        <w:rPr>
          <w:rFonts w:ascii="Arial" w:hAnsi="Arial"/>
          <w:color w:val="231F20"/>
          <w:w w:val="105"/>
          <w:sz w:val="18"/>
        </w:rPr>
        <w:t>o enfermedad,</w:t>
      </w:r>
      <w:r>
        <w:rPr>
          <w:rFonts w:ascii="Arial" w:hAnsi="Arial"/>
          <w:color w:val="231F20"/>
          <w:spacing w:val="-22"/>
          <w:w w:val="105"/>
          <w:sz w:val="18"/>
        </w:rPr>
        <w:t> </w:t>
      </w:r>
      <w:r>
        <w:rPr>
          <w:rFonts w:ascii="Arial" w:hAnsi="Arial"/>
          <w:color w:val="231F20"/>
          <w:w w:val="105"/>
          <w:sz w:val="18"/>
        </w:rPr>
        <w:t>según</w:t>
      </w:r>
      <w:r>
        <w:rPr>
          <w:rFonts w:ascii="Arial" w:hAnsi="Arial"/>
          <w:color w:val="231F20"/>
          <w:spacing w:val="-17"/>
          <w:w w:val="105"/>
          <w:sz w:val="18"/>
        </w:rPr>
        <w:t> </w:t>
      </w:r>
      <w:r>
        <w:rPr>
          <w:rFonts w:ascii="Arial" w:hAnsi="Arial"/>
          <w:color w:val="231F20"/>
          <w:w w:val="105"/>
          <w:sz w:val="18"/>
        </w:rPr>
        <w:t>algunas</w:t>
      </w:r>
      <w:r>
        <w:rPr>
          <w:rFonts w:ascii="Arial" w:hAnsi="Arial"/>
          <w:color w:val="231F20"/>
          <w:spacing w:val="-17"/>
          <w:w w:val="105"/>
          <w:sz w:val="18"/>
        </w:rPr>
        <w:t> </w:t>
      </w:r>
      <w:r>
        <w:rPr>
          <w:rFonts w:ascii="Arial" w:hAnsi="Arial"/>
          <w:color w:val="231F20"/>
          <w:w w:val="105"/>
          <w:sz w:val="18"/>
        </w:rPr>
        <w:t>variables</w:t>
      </w:r>
      <w:r>
        <w:rPr>
          <w:rFonts w:ascii="Arial" w:hAnsi="Arial"/>
          <w:color w:val="231F20"/>
          <w:spacing w:val="-17"/>
          <w:w w:val="105"/>
          <w:sz w:val="18"/>
        </w:rPr>
        <w:t> </w:t>
      </w:r>
      <w:r>
        <w:rPr>
          <w:rFonts w:ascii="Arial" w:hAnsi="Arial"/>
          <w:color w:val="231F20"/>
          <w:w w:val="105"/>
          <w:sz w:val="18"/>
        </w:rPr>
        <w:t>sociodemográficas,</w:t>
      </w:r>
      <w:r>
        <w:rPr>
          <w:rFonts w:ascii="Arial" w:hAnsi="Arial"/>
          <w:color w:val="231F20"/>
          <w:spacing w:val="-22"/>
          <w:w w:val="105"/>
          <w:sz w:val="18"/>
        </w:rPr>
        <w:t> </w:t>
      </w:r>
      <w:r>
        <w:rPr>
          <w:rFonts w:ascii="Arial" w:hAnsi="Arial"/>
          <w:color w:val="231F20"/>
          <w:w w:val="105"/>
          <w:sz w:val="18"/>
        </w:rPr>
        <w:t>2013</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17"/>
        </w:rPr>
      </w:pPr>
    </w:p>
    <w:p>
      <w:pPr>
        <w:spacing w:before="0"/>
        <w:ind w:left="1516" w:right="2324" w:firstLine="0"/>
        <w:jc w:val="right"/>
        <w:rPr>
          <w:rFonts w:ascii="Arial"/>
          <w:sz w:val="14"/>
        </w:rPr>
      </w:pPr>
      <w:r>
        <w:rPr/>
        <w:pict>
          <v:group style="position:absolute;margin-left:107.428299pt;margin-top:-234.686462pt;width:279.850pt;height:283.350pt;mso-position-horizontal-relative:page;mso-position-vertical-relative:paragraph;z-index:23152" coordorigin="2149,-4694" coordsize="5597,5667">
            <v:shape style="position:absolute;left:0;top:7213;width:2620;height:5653" coordorigin="0,7213" coordsize="2620,5653" path="m5033,-4687l5033,-4656m5033,-4460l5033,-4399m5033,-4203l5033,-3371m5033,-3175l5033,-3115m5033,-2918l5033,-2601m5033,-2405l5033,-2344m5033,-2148l5033,-1316m5033,-1120l5033,-1059m5033,-606l5033,-545m5033,-349l5033,-31m5033,165l5033,965m5405,-1120l5405,-31m5405,165l5405,965m6155,-1120l6155,-31m6155,165l6155,965m6531,-1120l6531,-31m6531,165l6531,965m6902,-4687l6902,-31m6902,165l6902,965m7277,-4687l7277,-31m7277,165l7277,965m7653,-4687l7653,-31m7653,165l7653,965e" filled="false" stroked="true" strokeweight=".605pt" strokecolor="#e2e3e4">
              <v:path arrowok="t"/>
            </v:shape>
            <v:shape style="position:absolute;left:4658;top:740;width:120;height:196" type="#_x0000_t75" stroked="false">
              <v:imagedata r:id="rId240" o:title=""/>
            </v:shape>
            <v:shape style="position:absolute;left:4658;top:483;width:281;height:196" type="#_x0000_t75" stroked="false">
              <v:imagedata r:id="rId241" o:title=""/>
            </v:shape>
            <v:shape style="position:absolute;left:4658;top:226;width:138;height:196" type="#_x0000_t75" stroked="false">
              <v:imagedata r:id="rId242" o:title=""/>
            </v:shape>
            <v:shape style="position:absolute;left:4658;top:-31;width:3087;height:196" type="#_x0000_t75" stroked="false">
              <v:imagedata r:id="rId243" o:title=""/>
            </v:shape>
            <v:shape style="position:absolute;left:4658;top:-288;width:116;height:196" type="#_x0000_t75" stroked="false">
              <v:imagedata r:id="rId244" o:title=""/>
            </v:shape>
            <v:shape style="position:absolute;left:4658;top:-545;width:636;height:196" type="#_x0000_t75" stroked="false">
              <v:imagedata r:id="rId245" o:title=""/>
            </v:shape>
            <v:shape style="position:absolute;left:4658;top:-802;width:408;height:196" type="#_x0000_t75" stroked="false">
              <v:imagedata r:id="rId246" o:title=""/>
            </v:shape>
            <v:shape style="position:absolute;left:4658;top:-1059;width:475;height:196" type="#_x0000_t75" stroked="false">
              <v:imagedata r:id="rId247" o:title=""/>
            </v:shape>
            <v:shape style="position:absolute;left:371;top:7697;width:1126;height:2888" coordorigin="371,7697" coordsize="1126,2888" path="m5405,-2148l5405,-1316m5780,-3175l5780,-1316m6155,-4203l6155,-1316m6531,-4203l6531,-1316e" filled="false" stroked="true" strokeweight=".605pt" strokecolor="#e2e3e4">
              <v:path arrowok="t"/>
            </v:shape>
            <v:shape style="position:absolute;left:4658;top:-1316;width:2223;height:196" type="#_x0000_t75" stroked="false">
              <v:imagedata r:id="rId248" o:title=""/>
            </v:shape>
            <v:shape style="position:absolute;left:4658;top:-1573;width:79;height:196" type="#_x0000_t75" stroked="false">
              <v:imagedata r:id="rId249" o:title=""/>
            </v:shape>
            <v:shape style="position:absolute;left:4658;top:-1830;width:94;height:196" type="#_x0000_t75" stroked="false">
              <v:imagedata r:id="rId250" o:title=""/>
            </v:shape>
            <v:shape style="position:absolute;left:4658;top:-2087;width:165;height:196" type="#_x0000_t75" stroked="false">
              <v:imagedata r:id="rId251" o:title=""/>
            </v:shape>
            <v:line style="position:absolute" from="5405,-3175" to="5405,-2344" stroked="true" strokeweight=".605pt" strokecolor="#e2e3e4"/>
            <v:shape style="position:absolute;left:4658;top:-2344;width:778;height:196" type="#_x0000_t75" stroked="false">
              <v:imagedata r:id="rId252" o:title=""/>
            </v:shape>
            <v:shape style="position:absolute;left:4658;top:-2601;width:520;height:196" type="#_x0000_t75" stroked="false">
              <v:imagedata r:id="rId253" o:title=""/>
            </v:shape>
            <v:shape style="position:absolute;left:4658;top:-2858;width:180;height:196" type="#_x0000_t75" stroked="false">
              <v:imagedata r:id="rId254" o:title=""/>
            </v:shape>
            <v:shape style="position:absolute;left:4658;top:-3115;width:468;height:196" type="#_x0000_t75" stroked="false">
              <v:imagedata r:id="rId255" o:title=""/>
            </v:shape>
            <v:shape style="position:absolute;left:371;top:7697;width:376;height:832" coordorigin="371,7697" coordsize="376,832" path="m5405,-4203l5405,-3371m5780,-4203l5780,-3371e" filled="false" stroked="true" strokeweight=".605pt" strokecolor="#e2e3e4">
              <v:path arrowok="t"/>
            </v:shape>
            <v:shape style="position:absolute;left:4658;top:-3371;width:1287;height:196" type="#_x0000_t75" stroked="false">
              <v:imagedata r:id="rId256" o:title=""/>
            </v:shape>
            <v:shape style="position:absolute;left:4658;top:-3628;width:52;height:196" type="#_x0000_t75" stroked="false">
              <v:imagedata r:id="rId257" o:title=""/>
            </v:shape>
            <v:shape style="position:absolute;left:4658;top:-3885;width:60;height:196" type="#_x0000_t75" stroked="false">
              <v:imagedata r:id="rId258" o:title=""/>
            </v:shape>
            <v:shape style="position:absolute;left:4658;top:-4142;width:60;height:196" type="#_x0000_t75" stroked="false">
              <v:imagedata r:id="rId259" o:title=""/>
            </v:shape>
            <v:shape style="position:absolute;left:371;top:7213;width:1126;height:288" coordorigin="371,7213" coordsize="1126,288" path="m5405,-4460l5405,-4399m5780,-4460l5780,-4399m6155,-4460l6155,-4399m6531,-4687l6531,-4399e" filled="false" stroked="true" strokeweight=".605pt" strokecolor="#e2e3e4">
              <v:path arrowok="t"/>
            </v:shape>
            <v:shape style="position:absolute;left:4658;top:-4399;width:2121;height:196" type="#_x0000_t75" stroked="false">
              <v:imagedata r:id="rId260" o:title=""/>
            </v:shape>
            <v:shape style="position:absolute;left:371;top:7213;width:751;height:32" coordorigin="371,7213" coordsize="751,32" path="m5405,-4687l5405,-4656m5780,-4687l5780,-4656m6155,-4687l6155,-4656e" filled="false" stroked="true" strokeweight=".605pt" strokecolor="#e2e3e4">
              <v:path arrowok="t"/>
            </v:shape>
            <v:shape style="position:absolute;left:4658;top:-4656;width:1621;height:196" type="#_x0000_t75" stroked="false">
              <v:imagedata r:id="rId261" o:title=""/>
            </v:shape>
            <v:line style="position:absolute" from="4658,966" to="4658,-4687" stroked="true" strokeweight=".605pt" strokecolor="#e2e3e4"/>
            <v:shape style="position:absolute;left:0;top:1561;width:1966;height:5653" coordorigin="0,1561" coordsize="1966,5653" path="m2693,965l4658,965m2693,-319l4658,-319m2693,-1345l4658,-1345m2693,-4173l4658,-4173m2693,-4687l4658,-4687e" filled="false" stroked="true" strokeweight=".605pt" strokecolor="#d7d8d8">
              <v:path arrowok="t"/>
            </v:shape>
            <v:shape style="position:absolute;left:0;top:1561;width:538;height:5653" coordorigin="0,1561" coordsize="538,5653" path="m2155,965l2693,965m2155,-319l2693,-319m2155,-1345l2693,-1345m2155,-4173l2693,-4173m2155,-4687l2693,-4687e" filled="false" stroked="true" strokeweight=".605pt" strokecolor="#d7d8d8">
              <v:path arrowok="t"/>
            </v:shape>
            <v:shape style="position:absolute;left:3989;top:-4592;width:549;height:2458" type="#_x0000_t202" filled="false" stroked="false">
              <v:textbox inset="0,0,0,0">
                <w:txbxContent>
                  <w:p>
                    <w:pPr>
                      <w:spacing w:line="136" w:lineRule="exact" w:before="0"/>
                      <w:ind w:left="164" w:right="-18" w:hanging="165"/>
                      <w:jc w:val="left"/>
                      <w:rPr>
                        <w:rFonts w:ascii="Arial"/>
                        <w:sz w:val="14"/>
                      </w:rPr>
                    </w:pPr>
                    <w:r>
                      <w:rPr>
                        <w:rFonts w:ascii="Arial"/>
                        <w:color w:val="231F20"/>
                        <w:w w:val="110"/>
                        <w:sz w:val="14"/>
                      </w:rPr>
                      <w:t>Hombre</w:t>
                    </w:r>
                  </w:p>
                  <w:p>
                    <w:pPr>
                      <w:spacing w:line="384" w:lineRule="auto" w:before="96"/>
                      <w:ind w:left="92" w:right="-20" w:firstLine="71"/>
                      <w:jc w:val="left"/>
                      <w:rPr>
                        <w:rFonts w:ascii="Arial"/>
                        <w:sz w:val="14"/>
                      </w:rPr>
                    </w:pPr>
                    <w:r>
                      <w:rPr>
                        <w:rFonts w:ascii="Arial"/>
                        <w:color w:val="231F20"/>
                        <w:w w:val="110"/>
                        <w:sz w:val="14"/>
                      </w:rPr>
                      <w:t>Mujer</w:t>
                    </w:r>
                    <w:r>
                      <w:rPr>
                        <w:rFonts w:ascii="Arial"/>
                        <w:color w:val="231F20"/>
                        <w:w w:val="109"/>
                        <w:sz w:val="14"/>
                      </w:rPr>
                      <w:t> </w:t>
                    </w:r>
                    <w:r>
                      <w:rPr>
                        <w:rFonts w:ascii="Arial"/>
                        <w:color w:val="231F20"/>
                        <w:w w:val="110"/>
                        <w:sz w:val="14"/>
                      </w:rPr>
                      <w:t>15 -</w:t>
                    </w:r>
                    <w:r>
                      <w:rPr>
                        <w:rFonts w:ascii="Arial"/>
                        <w:color w:val="231F20"/>
                        <w:spacing w:val="-25"/>
                        <w:w w:val="110"/>
                        <w:sz w:val="14"/>
                      </w:rPr>
                      <w:t> </w:t>
                    </w:r>
                    <w:r>
                      <w:rPr>
                        <w:rFonts w:ascii="Arial"/>
                        <w:color w:val="231F20"/>
                        <w:w w:val="110"/>
                        <w:sz w:val="14"/>
                      </w:rPr>
                      <w:t>19</w:t>
                    </w:r>
                  </w:p>
                  <w:p>
                    <w:pPr>
                      <w:spacing w:before="2"/>
                      <w:ind w:left="92" w:right="-18" w:firstLine="0"/>
                      <w:jc w:val="left"/>
                      <w:rPr>
                        <w:rFonts w:ascii="Arial"/>
                        <w:sz w:val="14"/>
                      </w:rPr>
                    </w:pPr>
                    <w:r>
                      <w:rPr>
                        <w:rFonts w:ascii="Arial"/>
                        <w:color w:val="231F20"/>
                        <w:w w:val="105"/>
                        <w:sz w:val="14"/>
                      </w:rPr>
                      <w:t>20 -</w:t>
                    </w:r>
                    <w:r>
                      <w:rPr>
                        <w:rFonts w:ascii="Arial"/>
                        <w:color w:val="231F20"/>
                        <w:spacing w:val="-3"/>
                        <w:w w:val="105"/>
                        <w:sz w:val="14"/>
                      </w:rPr>
                      <w:t> </w:t>
                    </w:r>
                    <w:r>
                      <w:rPr>
                        <w:rFonts w:ascii="Arial"/>
                        <w:color w:val="231F20"/>
                        <w:w w:val="105"/>
                        <w:sz w:val="14"/>
                      </w:rPr>
                      <w:t>24</w:t>
                    </w:r>
                  </w:p>
                  <w:p>
                    <w:pPr>
                      <w:spacing w:before="96"/>
                      <w:ind w:left="92" w:right="-18" w:firstLine="0"/>
                      <w:jc w:val="left"/>
                      <w:rPr>
                        <w:rFonts w:ascii="Arial"/>
                        <w:sz w:val="14"/>
                      </w:rPr>
                    </w:pPr>
                    <w:r>
                      <w:rPr>
                        <w:rFonts w:ascii="Arial"/>
                        <w:color w:val="231F20"/>
                        <w:w w:val="105"/>
                        <w:sz w:val="14"/>
                      </w:rPr>
                      <w:t>25 -</w:t>
                    </w:r>
                    <w:r>
                      <w:rPr>
                        <w:rFonts w:ascii="Arial"/>
                        <w:color w:val="231F20"/>
                        <w:spacing w:val="-3"/>
                        <w:w w:val="105"/>
                        <w:sz w:val="14"/>
                      </w:rPr>
                      <w:t> </w:t>
                    </w:r>
                    <w:r>
                      <w:rPr>
                        <w:rFonts w:ascii="Arial"/>
                        <w:color w:val="231F20"/>
                        <w:w w:val="105"/>
                        <w:sz w:val="14"/>
                      </w:rPr>
                      <w:t>29</w:t>
                    </w:r>
                  </w:p>
                  <w:p>
                    <w:pPr>
                      <w:spacing w:before="96"/>
                      <w:ind w:left="92" w:right="-18" w:firstLine="0"/>
                      <w:jc w:val="left"/>
                      <w:rPr>
                        <w:rFonts w:ascii="Arial"/>
                        <w:sz w:val="14"/>
                      </w:rPr>
                    </w:pPr>
                    <w:r>
                      <w:rPr>
                        <w:rFonts w:ascii="Arial"/>
                        <w:color w:val="231F20"/>
                        <w:w w:val="105"/>
                        <w:sz w:val="14"/>
                      </w:rPr>
                      <w:t>30 -</w:t>
                    </w:r>
                    <w:r>
                      <w:rPr>
                        <w:rFonts w:ascii="Arial"/>
                        <w:color w:val="231F20"/>
                        <w:spacing w:val="-3"/>
                        <w:w w:val="105"/>
                        <w:sz w:val="14"/>
                      </w:rPr>
                      <w:t> </w:t>
                    </w:r>
                    <w:r>
                      <w:rPr>
                        <w:rFonts w:ascii="Arial"/>
                        <w:color w:val="231F20"/>
                        <w:w w:val="105"/>
                        <w:sz w:val="14"/>
                      </w:rPr>
                      <w:t>34</w:t>
                    </w:r>
                  </w:p>
                  <w:p>
                    <w:pPr>
                      <w:spacing w:before="96"/>
                      <w:ind w:left="92" w:right="-18" w:firstLine="0"/>
                      <w:jc w:val="left"/>
                      <w:rPr>
                        <w:rFonts w:ascii="Arial"/>
                        <w:sz w:val="14"/>
                      </w:rPr>
                    </w:pPr>
                    <w:r>
                      <w:rPr>
                        <w:rFonts w:ascii="Arial"/>
                        <w:color w:val="231F20"/>
                        <w:w w:val="105"/>
                        <w:sz w:val="14"/>
                      </w:rPr>
                      <w:t>35 -</w:t>
                    </w:r>
                    <w:r>
                      <w:rPr>
                        <w:rFonts w:ascii="Arial"/>
                        <w:color w:val="231F20"/>
                        <w:spacing w:val="-3"/>
                        <w:w w:val="105"/>
                        <w:sz w:val="14"/>
                      </w:rPr>
                      <w:t> </w:t>
                    </w:r>
                    <w:r>
                      <w:rPr>
                        <w:rFonts w:ascii="Arial"/>
                        <w:color w:val="231F20"/>
                        <w:w w:val="105"/>
                        <w:sz w:val="14"/>
                      </w:rPr>
                      <w:t>39</w:t>
                    </w:r>
                  </w:p>
                  <w:p>
                    <w:pPr>
                      <w:spacing w:before="96"/>
                      <w:ind w:left="92" w:right="-18" w:firstLine="0"/>
                      <w:jc w:val="left"/>
                      <w:rPr>
                        <w:rFonts w:ascii="Arial"/>
                        <w:sz w:val="14"/>
                      </w:rPr>
                    </w:pPr>
                    <w:r>
                      <w:rPr>
                        <w:rFonts w:ascii="Arial"/>
                        <w:color w:val="231F20"/>
                        <w:w w:val="105"/>
                        <w:sz w:val="14"/>
                      </w:rPr>
                      <w:t>40 -</w:t>
                    </w:r>
                    <w:r>
                      <w:rPr>
                        <w:rFonts w:ascii="Arial"/>
                        <w:color w:val="231F20"/>
                        <w:spacing w:val="-3"/>
                        <w:w w:val="105"/>
                        <w:sz w:val="14"/>
                      </w:rPr>
                      <w:t> </w:t>
                    </w:r>
                    <w:r>
                      <w:rPr>
                        <w:rFonts w:ascii="Arial"/>
                        <w:color w:val="231F20"/>
                        <w:w w:val="105"/>
                        <w:sz w:val="14"/>
                      </w:rPr>
                      <w:t>44</w:t>
                    </w:r>
                  </w:p>
                  <w:p>
                    <w:pPr>
                      <w:spacing w:before="96"/>
                      <w:ind w:left="92" w:right="-18" w:firstLine="0"/>
                      <w:jc w:val="left"/>
                      <w:rPr>
                        <w:rFonts w:ascii="Arial"/>
                        <w:sz w:val="14"/>
                      </w:rPr>
                    </w:pPr>
                    <w:r>
                      <w:rPr>
                        <w:rFonts w:ascii="Arial"/>
                        <w:color w:val="231F20"/>
                        <w:w w:val="105"/>
                        <w:sz w:val="14"/>
                      </w:rPr>
                      <w:t>45 -</w:t>
                    </w:r>
                    <w:r>
                      <w:rPr>
                        <w:rFonts w:ascii="Arial"/>
                        <w:color w:val="231F20"/>
                        <w:spacing w:val="-3"/>
                        <w:w w:val="105"/>
                        <w:sz w:val="14"/>
                      </w:rPr>
                      <w:t> </w:t>
                    </w:r>
                    <w:r>
                      <w:rPr>
                        <w:rFonts w:ascii="Arial"/>
                        <w:color w:val="231F20"/>
                        <w:w w:val="105"/>
                        <w:sz w:val="14"/>
                      </w:rPr>
                      <w:t>49</w:t>
                    </w:r>
                  </w:p>
                  <w:p>
                    <w:pPr>
                      <w:spacing w:before="96"/>
                      <w:ind w:left="92" w:right="-18" w:firstLine="0"/>
                      <w:jc w:val="left"/>
                      <w:rPr>
                        <w:rFonts w:ascii="Arial"/>
                        <w:sz w:val="14"/>
                      </w:rPr>
                    </w:pPr>
                    <w:r>
                      <w:rPr>
                        <w:rFonts w:ascii="Arial"/>
                        <w:color w:val="231F20"/>
                        <w:w w:val="105"/>
                        <w:sz w:val="14"/>
                      </w:rPr>
                      <w:t>50 -</w:t>
                    </w:r>
                    <w:r>
                      <w:rPr>
                        <w:rFonts w:ascii="Arial"/>
                        <w:color w:val="231F20"/>
                        <w:spacing w:val="-3"/>
                        <w:w w:val="105"/>
                        <w:sz w:val="14"/>
                      </w:rPr>
                      <w:t> </w:t>
                    </w:r>
                    <w:r>
                      <w:rPr>
                        <w:rFonts w:ascii="Arial"/>
                        <w:color w:val="231F20"/>
                        <w:w w:val="105"/>
                        <w:sz w:val="14"/>
                      </w:rPr>
                      <w:t>54</w:t>
                    </w:r>
                  </w:p>
                </w:txbxContent>
              </v:textbox>
              <w10:wrap type="none"/>
            </v:shape>
            <v:shape style="position:absolute;left:6395;top:-4600;width:291;height:146" type="#_x0000_t202" filled="false" stroked="false">
              <v:textbox inset="0,0,0,0">
                <w:txbxContent>
                  <w:p>
                    <w:pPr>
                      <w:spacing w:line="136" w:lineRule="exact" w:before="0"/>
                      <w:ind w:left="0" w:right="-16" w:firstLine="0"/>
                      <w:jc w:val="left"/>
                      <w:rPr>
                        <w:rFonts w:ascii="Arial"/>
                        <w:sz w:val="14"/>
                      </w:rPr>
                    </w:pPr>
                    <w:r>
                      <w:rPr>
                        <w:rFonts w:ascii="Arial"/>
                        <w:color w:val="231F20"/>
                        <w:w w:val="105"/>
                        <w:sz w:val="14"/>
                      </w:rPr>
                      <w:t>43.3</w:t>
                    </w:r>
                  </w:p>
                </w:txbxContent>
              </v:textbox>
              <w10:wrap type="none"/>
            </v:shape>
            <v:shape style="position:absolute;left:6895;top:-4343;width:291;height:146" type="#_x0000_t202" filled="false" stroked="false">
              <v:textbox inset="0,0,0,0">
                <w:txbxContent>
                  <w:p>
                    <w:pPr>
                      <w:spacing w:line="136" w:lineRule="exact" w:before="0"/>
                      <w:ind w:left="0" w:right="-16" w:firstLine="0"/>
                      <w:jc w:val="left"/>
                      <w:rPr>
                        <w:rFonts w:ascii="Arial"/>
                        <w:sz w:val="14"/>
                      </w:rPr>
                    </w:pPr>
                    <w:r>
                      <w:rPr>
                        <w:rFonts w:ascii="Arial"/>
                        <w:color w:val="231F20"/>
                        <w:w w:val="105"/>
                        <w:sz w:val="14"/>
                      </w:rPr>
                      <w:t>56.7</w:t>
                    </w:r>
                  </w:p>
                </w:txbxContent>
              </v:textbox>
              <w10:wrap type="none"/>
            </v:shape>
            <v:shape style="position:absolute;left:4823;top:-4086;width:214;height:659" type="#_x0000_t202" filled="false" stroked="false">
              <v:textbox inset="0,0,0,0">
                <w:txbxContent>
                  <w:p>
                    <w:pPr>
                      <w:spacing w:line="136" w:lineRule="exact" w:before="0"/>
                      <w:ind w:left="7" w:right="-18" w:firstLine="0"/>
                      <w:jc w:val="left"/>
                      <w:rPr>
                        <w:rFonts w:ascii="Arial"/>
                        <w:sz w:val="14"/>
                      </w:rPr>
                    </w:pPr>
                    <w:r>
                      <w:rPr>
                        <w:rFonts w:ascii="Arial"/>
                        <w:color w:val="231F20"/>
                        <w:w w:val="105"/>
                        <w:sz w:val="14"/>
                      </w:rPr>
                      <w:t>1.6</w:t>
                    </w:r>
                  </w:p>
                  <w:p>
                    <w:pPr>
                      <w:spacing w:before="96"/>
                      <w:ind w:left="7" w:right="-18" w:firstLine="0"/>
                      <w:jc w:val="left"/>
                      <w:rPr>
                        <w:rFonts w:ascii="Arial"/>
                        <w:sz w:val="14"/>
                      </w:rPr>
                    </w:pPr>
                    <w:r>
                      <w:rPr>
                        <w:rFonts w:ascii="Arial"/>
                        <w:color w:val="231F20"/>
                        <w:w w:val="105"/>
                        <w:sz w:val="14"/>
                      </w:rPr>
                      <w:t>1.6</w:t>
                    </w:r>
                  </w:p>
                  <w:p>
                    <w:pPr>
                      <w:spacing w:before="96"/>
                      <w:ind w:left="0" w:right="-11" w:firstLine="0"/>
                      <w:jc w:val="left"/>
                      <w:rPr>
                        <w:rFonts w:ascii="Arial"/>
                        <w:sz w:val="14"/>
                      </w:rPr>
                    </w:pPr>
                    <w:r>
                      <w:rPr>
                        <w:rFonts w:ascii="Arial"/>
                        <w:color w:val="231F20"/>
                        <w:w w:val="105"/>
                        <w:sz w:val="14"/>
                      </w:rPr>
                      <w:t>1.4</w:t>
                    </w:r>
                  </w:p>
                </w:txbxContent>
              </v:textbox>
              <w10:wrap type="none"/>
            </v:shape>
            <v:shape style="position:absolute;left:6061;top:-3315;width:291;height:146" type="#_x0000_t202" filled="false" stroked="false">
              <v:textbox inset="0,0,0,0">
                <w:txbxContent>
                  <w:p>
                    <w:pPr>
                      <w:spacing w:line="136" w:lineRule="exact" w:before="0"/>
                      <w:ind w:left="0" w:right="-16" w:firstLine="0"/>
                      <w:jc w:val="left"/>
                      <w:rPr>
                        <w:rFonts w:ascii="Arial"/>
                        <w:sz w:val="14"/>
                      </w:rPr>
                    </w:pPr>
                    <w:r>
                      <w:rPr>
                        <w:rFonts w:ascii="Arial"/>
                        <w:color w:val="231F20"/>
                        <w:w w:val="105"/>
                        <w:sz w:val="14"/>
                      </w:rPr>
                      <w:t>34.4</w:t>
                    </w:r>
                  </w:p>
                </w:txbxContent>
              </v:textbox>
              <w10:wrap type="none"/>
            </v:shape>
            <v:shape style="position:absolute;left:5239;top:-3058;width:291;height:146" type="#_x0000_t202" filled="false" stroked="false">
              <v:textbox inset="0,0,0,0">
                <w:txbxContent>
                  <w:p>
                    <w:pPr>
                      <w:spacing w:line="136" w:lineRule="exact" w:before="0"/>
                      <w:ind w:left="0" w:right="-16" w:firstLine="0"/>
                      <w:jc w:val="left"/>
                      <w:rPr>
                        <w:rFonts w:ascii="Arial"/>
                        <w:sz w:val="14"/>
                      </w:rPr>
                    </w:pPr>
                    <w:r>
                      <w:rPr>
                        <w:rFonts w:ascii="Arial"/>
                        <w:color w:val="231F20"/>
                        <w:w w:val="105"/>
                        <w:sz w:val="14"/>
                      </w:rPr>
                      <w:t>12.5</w:t>
                    </w:r>
                  </w:p>
                </w:txbxContent>
              </v:textbox>
              <w10:wrap type="none"/>
            </v:shape>
            <v:shape style="position:absolute;left:4951;top:-2801;width:206;height:146" type="#_x0000_t202" filled="false" stroked="false">
              <v:textbox inset="0,0,0,0">
                <w:txbxContent>
                  <w:p>
                    <w:pPr>
                      <w:spacing w:line="136" w:lineRule="exact" w:before="0"/>
                      <w:ind w:left="0" w:right="-19" w:firstLine="0"/>
                      <w:jc w:val="left"/>
                      <w:rPr>
                        <w:rFonts w:ascii="Arial"/>
                        <w:sz w:val="14"/>
                      </w:rPr>
                    </w:pPr>
                    <w:r>
                      <w:rPr>
                        <w:rFonts w:ascii="Arial"/>
                        <w:color w:val="231F20"/>
                        <w:w w:val="105"/>
                        <w:sz w:val="14"/>
                      </w:rPr>
                      <w:t>4.8</w:t>
                    </w:r>
                  </w:p>
                </w:txbxContent>
              </v:textbox>
              <w10:wrap type="none"/>
            </v:shape>
            <v:shape style="position:absolute;left:5291;top:-2544;width:552;height:403" type="#_x0000_t202" filled="false" stroked="false">
              <v:textbox inset="0,0,0,0">
                <w:txbxContent>
                  <w:p>
                    <w:pPr>
                      <w:spacing w:line="136" w:lineRule="exact" w:before="0"/>
                      <w:ind w:left="0" w:right="-16" w:firstLine="0"/>
                      <w:jc w:val="left"/>
                      <w:rPr>
                        <w:rFonts w:ascii="Arial"/>
                        <w:sz w:val="14"/>
                      </w:rPr>
                    </w:pPr>
                    <w:r>
                      <w:rPr>
                        <w:rFonts w:ascii="Arial"/>
                        <w:color w:val="231F20"/>
                        <w:w w:val="105"/>
                        <w:sz w:val="14"/>
                      </w:rPr>
                      <w:t>13.9</w:t>
                    </w:r>
                  </w:p>
                  <w:p>
                    <w:pPr>
                      <w:spacing w:before="96"/>
                      <w:ind w:left="261" w:right="-16" w:firstLine="0"/>
                      <w:jc w:val="left"/>
                      <w:rPr>
                        <w:rFonts w:ascii="Arial"/>
                        <w:sz w:val="14"/>
                      </w:rPr>
                    </w:pPr>
                    <w:r>
                      <w:rPr>
                        <w:rFonts w:ascii="Arial"/>
                        <w:color w:val="231F20"/>
                        <w:w w:val="105"/>
                        <w:sz w:val="14"/>
                      </w:rPr>
                      <w:t>20.8</w:t>
                    </w:r>
                  </w:p>
                </w:txbxContent>
              </v:textbox>
              <w10:wrap type="none"/>
            </v:shape>
            <v:shape style="position:absolute;left:6997;top:-1260;width:291;height:146" type="#_x0000_t202" filled="false" stroked="false">
              <v:textbox inset="0,0,0,0">
                <w:txbxContent>
                  <w:p>
                    <w:pPr>
                      <w:spacing w:line="136" w:lineRule="exact" w:before="0"/>
                      <w:ind w:left="0" w:right="-16" w:firstLine="0"/>
                      <w:jc w:val="left"/>
                      <w:rPr>
                        <w:rFonts w:ascii="Arial"/>
                        <w:sz w:val="14"/>
                      </w:rPr>
                    </w:pPr>
                    <w:r>
                      <w:rPr>
                        <w:rFonts w:ascii="Arial"/>
                        <w:color w:val="231F20"/>
                        <w:w w:val="105"/>
                        <w:sz w:val="14"/>
                      </w:rPr>
                      <w:t>59.4</w:t>
                    </w:r>
                  </w:p>
                </w:txbxContent>
              </v:textbox>
              <w10:wrap type="none"/>
            </v:shape>
            <w10:wrap type="none"/>
          </v:group>
        </w:pict>
      </w:r>
      <w:r>
        <w:rPr/>
        <w:pict>
          <v:line style="position:absolute;mso-position-horizontal-relative:page;mso-position-vertical-relative:paragraph;z-index:-467008" from="401.306885pt,-234.36145pt" to="401.306885pt,48.25855pt" stroked="true" strokeweight=".605pt" strokecolor="#e2e3e4">
            <w10:wrap type="none"/>
          </v:line>
        </w:pict>
      </w:r>
      <w:r>
        <w:rPr/>
        <w:pict>
          <v:shape style="position:absolute;margin-left:110.275932pt;margin-top:-63.433029pt;width:18.95pt;height:107.7pt;mso-position-horizontal-relative:page;mso-position-vertical-relative:paragraph;z-index:23296" type="#_x0000_t202" filled="false" stroked="false">
            <v:textbox inset="0,0,0,0" style="layout-flow:vertical;mso-layout-flow-alt:bottom-to-top">
              <w:txbxContent>
                <w:p>
                  <w:pPr>
                    <w:spacing w:line="155" w:lineRule="exact" w:before="0"/>
                    <w:ind w:left="1443" w:right="0" w:firstLine="0"/>
                    <w:jc w:val="left"/>
                    <w:rPr>
                      <w:rFonts w:ascii="Tahoma"/>
                      <w:b/>
                      <w:sz w:val="14"/>
                    </w:rPr>
                  </w:pPr>
                  <w:r>
                    <w:rPr>
                      <w:rFonts w:ascii="Tahoma"/>
                      <w:b/>
                      <w:color w:val="231F20"/>
                      <w:w w:val="97"/>
                      <w:sz w:val="14"/>
                    </w:rPr>
                    <w:t>Nivel</w:t>
                  </w:r>
                  <w:r>
                    <w:rPr>
                      <w:rFonts w:ascii="Tahoma"/>
                      <w:b/>
                      <w:color w:val="231F20"/>
                      <w:spacing w:val="-5"/>
                      <w:sz w:val="14"/>
                    </w:rPr>
                    <w:t> </w:t>
                  </w:r>
                  <w:r>
                    <w:rPr>
                      <w:rFonts w:ascii="Tahoma"/>
                      <w:b/>
                      <w:color w:val="231F20"/>
                      <w:w w:val="102"/>
                      <w:sz w:val="14"/>
                    </w:rPr>
                    <w:t>de</w:t>
                  </w:r>
                </w:p>
                <w:p>
                  <w:pPr>
                    <w:tabs>
                      <w:tab w:pos="1351" w:val="left" w:leader="none"/>
                    </w:tabs>
                    <w:spacing w:before="24"/>
                    <w:ind w:left="20" w:right="0" w:firstLine="0"/>
                    <w:jc w:val="left"/>
                    <w:rPr>
                      <w:rFonts w:ascii="Tahoma"/>
                      <w:b/>
                      <w:sz w:val="14"/>
                    </w:rPr>
                  </w:pPr>
                  <w:r>
                    <w:rPr>
                      <w:rFonts w:ascii="Tahoma"/>
                      <w:b/>
                      <w:color w:val="231F20"/>
                      <w:w w:val="97"/>
                      <w:sz w:val="14"/>
                    </w:rPr>
                    <w:t>Estado</w:t>
                  </w:r>
                  <w:r>
                    <w:rPr>
                      <w:rFonts w:ascii="Tahoma"/>
                      <w:b/>
                      <w:color w:val="231F20"/>
                      <w:spacing w:val="-5"/>
                      <w:sz w:val="14"/>
                    </w:rPr>
                    <w:t> </w:t>
                  </w:r>
                  <w:r>
                    <w:rPr>
                      <w:rFonts w:ascii="Tahoma"/>
                      <w:b/>
                      <w:color w:val="231F20"/>
                      <w:w w:val="96"/>
                      <w:sz w:val="14"/>
                    </w:rPr>
                    <w:t>conyugal</w:t>
                  </w:r>
                  <w:r>
                    <w:rPr>
                      <w:rFonts w:ascii="Tahoma"/>
                      <w:b/>
                      <w:color w:val="231F20"/>
                      <w:sz w:val="14"/>
                    </w:rPr>
                    <w:tab/>
                  </w:r>
                  <w:r>
                    <w:rPr>
                      <w:rFonts w:ascii="Tahoma"/>
                      <w:b/>
                      <w:color w:val="231F20"/>
                      <w:w w:val="97"/>
                      <w:sz w:val="14"/>
                    </w:rPr>
                    <w:t>escolaridad</w:t>
                  </w:r>
                </w:p>
              </w:txbxContent>
            </v:textbox>
            <w10:wrap type="none"/>
          </v:shape>
        </w:pict>
      </w:r>
      <w:r>
        <w:rPr/>
        <w:pict>
          <v:shape style="position:absolute;margin-left:141.608521pt;margin-top:-107.37883pt;width:147.75pt;height:155.65pt;mso-position-horizontal-relative:page;mso-position-vertical-relative:paragraph;z-index:233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26"/>
                    <w:gridCol w:w="502"/>
                    <w:gridCol w:w="620"/>
                  </w:tblGrid>
                  <w:tr>
                    <w:trPr>
                      <w:trHeight w:val="322" w:hRule="exact"/>
                    </w:trPr>
                    <w:tc>
                      <w:tcPr>
                        <w:tcW w:w="1826" w:type="dxa"/>
                      </w:tcPr>
                      <w:p>
                        <w:pPr>
                          <w:pStyle w:val="TableParagraph"/>
                          <w:spacing w:before="100"/>
                          <w:ind w:right="118"/>
                          <w:jc w:val="right"/>
                          <w:rPr>
                            <w:rFonts w:ascii="Arial"/>
                            <w:sz w:val="14"/>
                          </w:rPr>
                        </w:pPr>
                        <w:r>
                          <w:rPr>
                            <w:rFonts w:ascii="Arial"/>
                            <w:color w:val="231F20"/>
                            <w:w w:val="105"/>
                            <w:sz w:val="14"/>
                          </w:rPr>
                          <w:t>55 - 59</w:t>
                        </w:r>
                      </w:p>
                    </w:tc>
                    <w:tc>
                      <w:tcPr>
                        <w:tcW w:w="502" w:type="dxa"/>
                      </w:tcPr>
                      <w:p>
                        <w:pPr>
                          <w:pStyle w:val="TableParagraph"/>
                          <w:spacing w:before="92"/>
                          <w:ind w:left="277"/>
                          <w:rPr>
                            <w:rFonts w:ascii="Arial"/>
                            <w:sz w:val="14"/>
                          </w:rPr>
                        </w:pPr>
                        <w:r>
                          <w:rPr>
                            <w:rFonts w:ascii="Arial"/>
                            <w:color w:val="231F20"/>
                            <w:w w:val="105"/>
                            <w:sz w:val="14"/>
                          </w:rPr>
                          <w:t>4.4</w:t>
                        </w:r>
                      </w:p>
                    </w:tc>
                    <w:tc>
                      <w:tcPr>
                        <w:tcW w:w="620" w:type="dxa"/>
                        <w:vMerge w:val="restart"/>
                      </w:tcPr>
                      <w:p>
                        <w:pPr/>
                      </w:p>
                    </w:tc>
                  </w:tr>
                  <w:tr>
                    <w:trPr>
                      <w:trHeight w:val="257" w:hRule="exact"/>
                    </w:trPr>
                    <w:tc>
                      <w:tcPr>
                        <w:tcW w:w="1826" w:type="dxa"/>
                      </w:tcPr>
                      <w:p>
                        <w:pPr>
                          <w:pStyle w:val="TableParagraph"/>
                          <w:spacing w:before="35"/>
                          <w:ind w:right="118"/>
                          <w:jc w:val="right"/>
                          <w:rPr>
                            <w:rFonts w:ascii="Arial"/>
                            <w:sz w:val="14"/>
                          </w:rPr>
                        </w:pPr>
                        <w:r>
                          <w:rPr>
                            <w:rFonts w:ascii="Arial"/>
                            <w:color w:val="231F20"/>
                            <w:w w:val="105"/>
                            <w:sz w:val="14"/>
                          </w:rPr>
                          <w:t>60 - 64</w:t>
                        </w:r>
                      </w:p>
                    </w:tc>
                    <w:tc>
                      <w:tcPr>
                        <w:tcW w:w="502" w:type="dxa"/>
                      </w:tcPr>
                      <w:p>
                        <w:pPr>
                          <w:pStyle w:val="TableParagraph"/>
                          <w:spacing w:before="27"/>
                          <w:ind w:left="206"/>
                          <w:rPr>
                            <w:rFonts w:ascii="Arial"/>
                            <w:sz w:val="14"/>
                          </w:rPr>
                        </w:pPr>
                        <w:r>
                          <w:rPr>
                            <w:rFonts w:ascii="Arial"/>
                            <w:color w:val="231F20"/>
                            <w:w w:val="105"/>
                            <w:sz w:val="14"/>
                          </w:rPr>
                          <w:t>2.5</w:t>
                        </w:r>
                      </w:p>
                    </w:tc>
                    <w:tc>
                      <w:tcPr>
                        <w:tcW w:w="620" w:type="dxa"/>
                        <w:vMerge/>
                      </w:tcPr>
                      <w:p>
                        <w:pPr/>
                      </w:p>
                    </w:tc>
                  </w:tr>
                  <w:tr>
                    <w:trPr>
                      <w:trHeight w:val="224" w:hRule="exact"/>
                    </w:trPr>
                    <w:tc>
                      <w:tcPr>
                        <w:tcW w:w="1826" w:type="dxa"/>
                      </w:tcPr>
                      <w:p>
                        <w:pPr>
                          <w:pStyle w:val="TableParagraph"/>
                          <w:spacing w:before="35"/>
                          <w:ind w:right="118"/>
                          <w:jc w:val="right"/>
                          <w:rPr>
                            <w:rFonts w:ascii="Arial" w:hAnsi="Arial"/>
                            <w:sz w:val="14"/>
                          </w:rPr>
                        </w:pPr>
                        <w:r>
                          <w:rPr>
                            <w:rFonts w:ascii="Arial" w:hAnsi="Arial"/>
                            <w:color w:val="231F20"/>
                            <w:w w:val="105"/>
                            <w:sz w:val="14"/>
                          </w:rPr>
                          <w:t>65 y más</w:t>
                        </w:r>
                      </w:p>
                    </w:tc>
                    <w:tc>
                      <w:tcPr>
                        <w:tcW w:w="502" w:type="dxa"/>
                      </w:tcPr>
                      <w:p>
                        <w:pPr>
                          <w:pStyle w:val="TableParagraph"/>
                          <w:spacing w:before="27"/>
                          <w:ind w:left="191"/>
                          <w:rPr>
                            <w:rFonts w:ascii="Arial"/>
                            <w:sz w:val="14"/>
                          </w:rPr>
                        </w:pPr>
                        <w:r>
                          <w:rPr>
                            <w:rFonts w:ascii="Arial"/>
                            <w:color w:val="231F20"/>
                            <w:w w:val="105"/>
                            <w:sz w:val="14"/>
                          </w:rPr>
                          <w:t>2.1</w:t>
                        </w:r>
                      </w:p>
                    </w:tc>
                    <w:tc>
                      <w:tcPr>
                        <w:tcW w:w="620" w:type="dxa"/>
                        <w:vMerge/>
                      </w:tcPr>
                      <w:p>
                        <w:pPr/>
                      </w:p>
                    </w:tc>
                  </w:tr>
                  <w:tr>
                    <w:trPr>
                      <w:trHeight w:val="255" w:hRule="exact"/>
                    </w:trPr>
                    <w:tc>
                      <w:tcPr>
                        <w:tcW w:w="1826" w:type="dxa"/>
                      </w:tcPr>
                      <w:p>
                        <w:pPr>
                          <w:pStyle w:val="TableParagraph"/>
                          <w:spacing w:before="68"/>
                          <w:ind w:right="118"/>
                          <w:jc w:val="right"/>
                          <w:rPr>
                            <w:rFonts w:ascii="Arial"/>
                            <w:i/>
                            <w:sz w:val="14"/>
                          </w:rPr>
                        </w:pPr>
                        <w:r>
                          <w:rPr>
                            <w:rFonts w:ascii="Arial"/>
                            <w:color w:val="231F20"/>
                            <w:w w:val="105"/>
                            <w:sz w:val="14"/>
                          </w:rPr>
                          <w:t>Primaria/</w:t>
                        </w:r>
                        <w:r>
                          <w:rPr>
                            <w:rFonts w:ascii="Arial"/>
                            <w:i/>
                            <w:color w:val="231F20"/>
                            <w:w w:val="105"/>
                            <w:sz w:val="14"/>
                          </w:rPr>
                          <w:t>Elementary</w:t>
                        </w:r>
                      </w:p>
                    </w:tc>
                    <w:tc>
                      <w:tcPr>
                        <w:tcW w:w="502" w:type="dxa"/>
                      </w:tcPr>
                      <w:p>
                        <w:pPr/>
                      </w:p>
                    </w:tc>
                    <w:tc>
                      <w:tcPr>
                        <w:tcW w:w="620" w:type="dxa"/>
                        <w:vMerge/>
                      </w:tcPr>
                      <w:p>
                        <w:pPr/>
                      </w:p>
                    </w:tc>
                  </w:tr>
                  <w:tr>
                    <w:trPr>
                      <w:trHeight w:val="257" w:hRule="exact"/>
                    </w:trPr>
                    <w:tc>
                      <w:tcPr>
                        <w:tcW w:w="1826" w:type="dxa"/>
                      </w:tcPr>
                      <w:p>
                        <w:pPr>
                          <w:pStyle w:val="TableParagraph"/>
                          <w:spacing w:before="69"/>
                          <w:ind w:right="118"/>
                          <w:jc w:val="right"/>
                          <w:rPr>
                            <w:rFonts w:ascii="Arial"/>
                            <w:sz w:val="14"/>
                          </w:rPr>
                        </w:pPr>
                        <w:r>
                          <w:rPr>
                            <w:rFonts w:ascii="Arial"/>
                            <w:color w:val="231F20"/>
                            <w:w w:val="105"/>
                            <w:sz w:val="14"/>
                          </w:rPr>
                          <w:t>Secundaria</w:t>
                        </w:r>
                      </w:p>
                    </w:tc>
                    <w:tc>
                      <w:tcPr>
                        <w:tcW w:w="502" w:type="dxa"/>
                      </w:tcPr>
                      <w:p>
                        <w:pPr/>
                      </w:p>
                    </w:tc>
                    <w:tc>
                      <w:tcPr>
                        <w:tcW w:w="620" w:type="dxa"/>
                        <w:tcBorders>
                          <w:right w:val="single" w:sz="5" w:space="0" w:color="E2E3E4"/>
                        </w:tcBorders>
                      </w:tcPr>
                      <w:p>
                        <w:pPr>
                          <w:pStyle w:val="TableParagraph"/>
                          <w:spacing w:before="61"/>
                          <w:ind w:left="85"/>
                          <w:rPr>
                            <w:rFonts w:ascii="Arial"/>
                            <w:sz w:val="14"/>
                          </w:rPr>
                        </w:pPr>
                        <w:r>
                          <w:rPr>
                            <w:rFonts w:ascii="Arial"/>
                            <w:color w:val="231F20"/>
                            <w:w w:val="105"/>
                            <w:sz w:val="14"/>
                          </w:rPr>
                          <w:t>12.7</w:t>
                        </w:r>
                      </w:p>
                    </w:tc>
                  </w:tr>
                  <w:tr>
                    <w:trPr>
                      <w:trHeight w:val="257" w:hRule="exact"/>
                    </w:trPr>
                    <w:tc>
                      <w:tcPr>
                        <w:tcW w:w="1826" w:type="dxa"/>
                      </w:tcPr>
                      <w:p>
                        <w:pPr>
                          <w:pStyle w:val="TableParagraph"/>
                          <w:spacing w:before="69"/>
                          <w:ind w:right="118"/>
                          <w:jc w:val="right"/>
                          <w:rPr>
                            <w:rFonts w:ascii="Arial"/>
                            <w:i/>
                            <w:sz w:val="14"/>
                          </w:rPr>
                        </w:pPr>
                        <w:r>
                          <w:rPr>
                            <w:rFonts w:ascii="Arial"/>
                            <w:color w:val="231F20"/>
                            <w:w w:val="105"/>
                            <w:sz w:val="14"/>
                          </w:rPr>
                          <w:t>Preparatoria/</w:t>
                        </w:r>
                        <w:r>
                          <w:rPr>
                            <w:rFonts w:ascii="Arial"/>
                            <w:i/>
                            <w:color w:val="231F20"/>
                            <w:w w:val="105"/>
                            <w:sz w:val="14"/>
                          </w:rPr>
                          <w:t>High School</w:t>
                        </w:r>
                      </w:p>
                    </w:tc>
                    <w:tc>
                      <w:tcPr>
                        <w:tcW w:w="502" w:type="dxa"/>
                      </w:tcPr>
                      <w:p>
                        <w:pPr/>
                      </w:p>
                    </w:tc>
                    <w:tc>
                      <w:tcPr>
                        <w:tcW w:w="620" w:type="dxa"/>
                        <w:tcBorders>
                          <w:right w:val="single" w:sz="5" w:space="0" w:color="E2E3E4"/>
                        </w:tcBorders>
                      </w:tcPr>
                      <w:p>
                        <w:pPr>
                          <w:pStyle w:val="TableParagraph"/>
                          <w:spacing w:before="61"/>
                          <w:ind w:left="18"/>
                          <w:rPr>
                            <w:rFonts w:ascii="Arial"/>
                            <w:sz w:val="14"/>
                          </w:rPr>
                        </w:pPr>
                        <w:r>
                          <w:rPr>
                            <w:rFonts w:ascii="Arial"/>
                            <w:color w:val="231F20"/>
                            <w:w w:val="105"/>
                            <w:sz w:val="14"/>
                          </w:rPr>
                          <w:t>10.9</w:t>
                        </w:r>
                      </w:p>
                    </w:tc>
                  </w:tr>
                  <w:tr>
                    <w:trPr>
                      <w:trHeight w:val="256" w:hRule="exact"/>
                    </w:trPr>
                    <w:tc>
                      <w:tcPr>
                        <w:tcW w:w="1826" w:type="dxa"/>
                      </w:tcPr>
                      <w:p>
                        <w:pPr>
                          <w:pStyle w:val="TableParagraph"/>
                          <w:spacing w:before="69"/>
                          <w:ind w:right="118"/>
                          <w:jc w:val="right"/>
                          <w:rPr>
                            <w:rFonts w:ascii="Arial"/>
                            <w:i/>
                            <w:sz w:val="14"/>
                          </w:rPr>
                        </w:pPr>
                        <w:r>
                          <w:rPr>
                            <w:rFonts w:ascii="Arial"/>
                            <w:color w:val="231F20"/>
                            <w:w w:val="105"/>
                            <w:sz w:val="14"/>
                          </w:rPr>
                          <w:t>Profesional/</w:t>
                        </w:r>
                        <w:r>
                          <w:rPr>
                            <w:rFonts w:ascii="Arial"/>
                            <w:i/>
                            <w:color w:val="231F20"/>
                            <w:w w:val="105"/>
                            <w:sz w:val="14"/>
                          </w:rPr>
                          <w:t>College</w:t>
                        </w:r>
                      </w:p>
                    </w:tc>
                    <w:tc>
                      <w:tcPr>
                        <w:tcW w:w="502" w:type="dxa"/>
                      </w:tcPr>
                      <w:p>
                        <w:pPr/>
                      </w:p>
                    </w:tc>
                    <w:tc>
                      <w:tcPr>
                        <w:tcW w:w="620" w:type="dxa"/>
                        <w:tcBorders>
                          <w:right w:val="single" w:sz="5" w:space="0" w:color="E2E3E4"/>
                        </w:tcBorders>
                      </w:tcPr>
                      <w:p>
                        <w:pPr>
                          <w:pStyle w:val="TableParagraph"/>
                          <w:spacing w:before="61"/>
                          <w:ind w:left="246"/>
                          <w:rPr>
                            <w:rFonts w:ascii="Arial"/>
                            <w:sz w:val="14"/>
                          </w:rPr>
                        </w:pPr>
                        <w:r>
                          <w:rPr>
                            <w:rFonts w:ascii="Arial"/>
                            <w:color w:val="231F20"/>
                            <w:w w:val="105"/>
                            <w:sz w:val="14"/>
                          </w:rPr>
                          <w:t>17.0</w:t>
                        </w:r>
                      </w:p>
                    </w:tc>
                  </w:tr>
                  <w:tr>
                    <w:trPr>
                      <w:trHeight w:val="288" w:hRule="exact"/>
                    </w:trPr>
                    <w:tc>
                      <w:tcPr>
                        <w:tcW w:w="1826" w:type="dxa"/>
                      </w:tcPr>
                      <w:p>
                        <w:pPr>
                          <w:pStyle w:val="TableParagraph"/>
                          <w:spacing w:before="70"/>
                          <w:ind w:right="118"/>
                          <w:jc w:val="right"/>
                          <w:rPr>
                            <w:rFonts w:ascii="Arial"/>
                            <w:sz w:val="14"/>
                          </w:rPr>
                        </w:pPr>
                        <w:r>
                          <w:rPr>
                            <w:rFonts w:ascii="Arial"/>
                            <w:color w:val="231F20"/>
                            <w:w w:val="105"/>
                            <w:sz w:val="14"/>
                          </w:rPr>
                          <w:t>Soltero</w:t>
                        </w:r>
                      </w:p>
                    </w:tc>
                    <w:tc>
                      <w:tcPr>
                        <w:tcW w:w="502" w:type="dxa"/>
                      </w:tcPr>
                      <w:p>
                        <w:pPr>
                          <w:pStyle w:val="TableParagraph"/>
                          <w:spacing w:before="62"/>
                          <w:ind w:left="228"/>
                          <w:rPr>
                            <w:rFonts w:ascii="Arial"/>
                            <w:sz w:val="14"/>
                          </w:rPr>
                        </w:pPr>
                        <w:r>
                          <w:rPr>
                            <w:rFonts w:ascii="Arial"/>
                            <w:color w:val="231F20"/>
                            <w:w w:val="105"/>
                            <w:sz w:val="14"/>
                          </w:rPr>
                          <w:t>3.1</w:t>
                        </w:r>
                      </w:p>
                    </w:tc>
                    <w:tc>
                      <w:tcPr>
                        <w:tcW w:w="620" w:type="dxa"/>
                        <w:tcBorders>
                          <w:right w:val="single" w:sz="5" w:space="0" w:color="E2E3E4"/>
                        </w:tcBorders>
                      </w:tcPr>
                      <w:p>
                        <w:pPr/>
                      </w:p>
                    </w:tc>
                  </w:tr>
                  <w:tr>
                    <w:trPr>
                      <w:trHeight w:val="261" w:hRule="exact"/>
                    </w:trPr>
                    <w:tc>
                      <w:tcPr>
                        <w:tcW w:w="1826" w:type="dxa"/>
                      </w:tcPr>
                      <w:p>
                        <w:pPr>
                          <w:pStyle w:val="TableParagraph"/>
                          <w:spacing w:before="39"/>
                          <w:ind w:right="118"/>
                          <w:jc w:val="right"/>
                          <w:rPr>
                            <w:rFonts w:ascii="Arial"/>
                            <w:sz w:val="14"/>
                          </w:rPr>
                        </w:pPr>
                        <w:r>
                          <w:rPr>
                            <w:rFonts w:ascii="Arial"/>
                            <w:color w:val="231F20"/>
                            <w:sz w:val="14"/>
                          </w:rPr>
                          <w:t>Casado</w:t>
                        </w:r>
                      </w:p>
                    </w:tc>
                    <w:tc>
                      <w:tcPr>
                        <w:tcW w:w="502" w:type="dxa"/>
                      </w:tcPr>
                      <w:p>
                        <w:pPr/>
                      </w:p>
                    </w:tc>
                    <w:tc>
                      <w:tcPr>
                        <w:tcW w:w="620" w:type="dxa"/>
                        <w:tcBorders>
                          <w:right w:val="single" w:sz="5" w:space="0" w:color="E2E3E4"/>
                        </w:tcBorders>
                      </w:tcPr>
                      <w:p>
                        <w:pPr/>
                      </w:p>
                    </w:tc>
                  </w:tr>
                  <w:tr>
                    <w:trPr>
                      <w:trHeight w:val="205" w:hRule="exact"/>
                    </w:trPr>
                    <w:tc>
                      <w:tcPr>
                        <w:tcW w:w="1826" w:type="dxa"/>
                      </w:tcPr>
                      <w:p>
                        <w:pPr>
                          <w:pStyle w:val="TableParagraph"/>
                          <w:spacing w:before="35"/>
                          <w:ind w:right="118"/>
                          <w:jc w:val="right"/>
                          <w:rPr>
                            <w:rFonts w:ascii="Arial"/>
                            <w:sz w:val="14"/>
                          </w:rPr>
                        </w:pPr>
                        <w:r>
                          <w:rPr>
                            <w:rFonts w:ascii="Arial"/>
                            <w:color w:val="231F20"/>
                            <w:w w:val="110"/>
                            <w:sz w:val="14"/>
                          </w:rPr>
                          <w:t>Unido</w:t>
                        </w:r>
                      </w:p>
                    </w:tc>
                    <w:tc>
                      <w:tcPr>
                        <w:tcW w:w="502" w:type="dxa"/>
                      </w:tcPr>
                      <w:p>
                        <w:pPr>
                          <w:pStyle w:val="TableParagraph"/>
                          <w:spacing w:before="27"/>
                          <w:ind w:left="251"/>
                          <w:rPr>
                            <w:rFonts w:ascii="Arial"/>
                            <w:sz w:val="14"/>
                          </w:rPr>
                        </w:pPr>
                        <w:r>
                          <w:rPr>
                            <w:rFonts w:ascii="Arial"/>
                            <w:color w:val="231F20"/>
                            <w:w w:val="105"/>
                            <w:sz w:val="14"/>
                          </w:rPr>
                          <w:t>3.7</w:t>
                        </w:r>
                      </w:p>
                    </w:tc>
                    <w:tc>
                      <w:tcPr>
                        <w:tcW w:w="620" w:type="dxa"/>
                        <w:tcBorders>
                          <w:right w:val="single" w:sz="5" w:space="0" w:color="E2E3E4"/>
                        </w:tcBorders>
                      </w:tcPr>
                      <w:p>
                        <w:pPr/>
                      </w:p>
                    </w:tc>
                  </w:tr>
                  <w:tr>
                    <w:trPr>
                      <w:trHeight w:val="530" w:hRule="exact"/>
                    </w:trPr>
                    <w:tc>
                      <w:tcPr>
                        <w:tcW w:w="1826" w:type="dxa"/>
                      </w:tcPr>
                      <w:p>
                        <w:pPr>
                          <w:pStyle w:val="TableParagraph"/>
                          <w:spacing w:before="86"/>
                          <w:ind w:right="118"/>
                          <w:jc w:val="right"/>
                          <w:rPr>
                            <w:rFonts w:ascii="Arial"/>
                            <w:sz w:val="14"/>
                          </w:rPr>
                        </w:pPr>
                        <w:r>
                          <w:rPr>
                            <w:rFonts w:ascii="Arial"/>
                            <w:color w:val="231F20"/>
                            <w:w w:val="110"/>
                            <w:sz w:val="14"/>
                          </w:rPr>
                          <w:t>Separado o divorciado</w:t>
                        </w:r>
                      </w:p>
                      <w:p>
                        <w:pPr>
                          <w:pStyle w:val="TableParagraph"/>
                          <w:spacing w:before="96"/>
                          <w:ind w:right="118"/>
                          <w:jc w:val="right"/>
                          <w:rPr>
                            <w:rFonts w:ascii="Arial"/>
                            <w:sz w:val="14"/>
                          </w:rPr>
                        </w:pPr>
                        <w:r>
                          <w:rPr>
                            <w:rFonts w:ascii="Arial"/>
                            <w:color w:val="231F20"/>
                            <w:w w:val="110"/>
                            <w:sz w:val="14"/>
                          </w:rPr>
                          <w:t>Viudo</w:t>
                        </w:r>
                      </w:p>
                    </w:tc>
                    <w:tc>
                      <w:tcPr>
                        <w:tcW w:w="502" w:type="dxa"/>
                      </w:tcPr>
                      <w:p>
                        <w:pPr>
                          <w:pStyle w:val="TableParagraph"/>
                          <w:spacing w:before="78"/>
                          <w:ind w:right="-14"/>
                          <w:jc w:val="right"/>
                          <w:rPr>
                            <w:rFonts w:ascii="Arial"/>
                            <w:sz w:val="14"/>
                          </w:rPr>
                        </w:pPr>
                        <w:r>
                          <w:rPr>
                            <w:rFonts w:ascii="Arial"/>
                            <w:color w:val="231F20"/>
                            <w:sz w:val="14"/>
                          </w:rPr>
                          <w:t>7.</w:t>
                        </w:r>
                      </w:p>
                      <w:p>
                        <w:pPr>
                          <w:pStyle w:val="TableParagraph"/>
                          <w:spacing w:before="96"/>
                          <w:ind w:right="61"/>
                          <w:jc w:val="right"/>
                          <w:rPr>
                            <w:rFonts w:ascii="Arial"/>
                            <w:sz w:val="14"/>
                          </w:rPr>
                        </w:pPr>
                        <w:r>
                          <w:rPr>
                            <w:rFonts w:ascii="Arial"/>
                            <w:color w:val="231F20"/>
                            <w:w w:val="105"/>
                            <w:sz w:val="14"/>
                          </w:rPr>
                          <w:t>3.2</w:t>
                        </w:r>
                      </w:p>
                    </w:tc>
                    <w:tc>
                      <w:tcPr>
                        <w:tcW w:w="620" w:type="dxa"/>
                        <w:tcBorders>
                          <w:right w:val="single" w:sz="5" w:space="0" w:color="E2E3E4"/>
                        </w:tcBorders>
                      </w:tcPr>
                      <w:p>
                        <w:pPr>
                          <w:pStyle w:val="TableParagraph"/>
                          <w:spacing w:before="78"/>
                          <w:ind w:left="13"/>
                          <w:rPr>
                            <w:rFonts w:ascii="Arial"/>
                            <w:sz w:val="14"/>
                          </w:rPr>
                        </w:pPr>
                        <w:r>
                          <w:rPr>
                            <w:rFonts w:ascii="Arial"/>
                            <w:color w:val="231F20"/>
                            <w:w w:val="108"/>
                            <w:sz w:val="14"/>
                          </w:rPr>
                          <w:t>5</w:t>
                        </w:r>
                      </w:p>
                    </w:tc>
                  </w:tr>
                </w:tbl>
                <w:p>
                  <w:pPr>
                    <w:pStyle w:val="BodyText"/>
                  </w:pPr>
                </w:p>
              </w:txbxContent>
            </v:textbox>
            <w10:wrap type="none"/>
          </v:shape>
        </w:pict>
      </w:r>
      <w:r>
        <w:rPr>
          <w:rFonts w:ascii="Arial"/>
          <w:color w:val="231F20"/>
          <w:w w:val="105"/>
          <w:sz w:val="14"/>
        </w:rPr>
        <w:t>82.5</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20"/>
        </w:rPr>
      </w:pPr>
    </w:p>
    <w:p>
      <w:pPr>
        <w:tabs>
          <w:tab w:pos="2587" w:val="left" w:leader="none"/>
          <w:tab w:pos="2961" w:val="left" w:leader="none"/>
          <w:tab w:pos="3335" w:val="left" w:leader="none"/>
          <w:tab w:pos="3709" w:val="left" w:leader="none"/>
          <w:tab w:pos="4084" w:val="left" w:leader="none"/>
          <w:tab w:pos="4458" w:val="left" w:leader="none"/>
          <w:tab w:pos="4832" w:val="left" w:leader="none"/>
          <w:tab w:pos="5206" w:val="left" w:leader="none"/>
          <w:tab w:pos="5580" w:val="left" w:leader="none"/>
        </w:tabs>
        <w:spacing w:before="1"/>
        <w:ind w:left="2253" w:right="0" w:firstLine="0"/>
        <w:jc w:val="center"/>
        <w:rPr>
          <w:rFonts w:ascii="Arial"/>
          <w:sz w:val="14"/>
        </w:rPr>
      </w:pPr>
      <w:r>
        <w:rPr>
          <w:rFonts w:ascii="Arial"/>
          <w:color w:val="231F20"/>
          <w:w w:val="110"/>
          <w:sz w:val="14"/>
        </w:rPr>
        <w:t>0</w:t>
        <w:tab/>
        <w:t>10</w:t>
        <w:tab/>
        <w:t>20</w:t>
        <w:tab/>
        <w:t>30</w:t>
        <w:tab/>
        <w:t>40</w:t>
        <w:tab/>
        <w:t>50</w:t>
        <w:tab/>
        <w:t>60</w:t>
        <w:tab/>
        <w:t>70</w:t>
        <w:tab/>
        <w:t>80</w:t>
        <w:tab/>
        <w:t>90</w:t>
      </w:r>
    </w:p>
    <w:p>
      <w:pPr>
        <w:spacing w:before="80"/>
        <w:ind w:left="2989" w:right="806" w:firstLine="0"/>
        <w:jc w:val="center"/>
        <w:rPr>
          <w:rFonts w:ascii="Tahoma"/>
          <w:b/>
          <w:sz w:val="14"/>
        </w:rPr>
      </w:pPr>
      <w:r>
        <w:rPr>
          <w:rFonts w:ascii="Tahoma"/>
          <w:b/>
          <w:color w:val="231F20"/>
          <w:sz w:val="14"/>
        </w:rPr>
        <w:t>Porcentaje</w:t>
      </w:r>
    </w:p>
    <w:p>
      <w:pPr>
        <w:spacing w:line="254" w:lineRule="auto" w:before="86"/>
        <w:ind w:left="2120" w:right="1920" w:firstLine="0"/>
        <w:jc w:val="left"/>
        <w:rPr>
          <w:sz w:val="16"/>
        </w:rPr>
      </w:pPr>
      <w:r>
        <w:rPr>
          <w:color w:val="231F20"/>
          <w:w w:val="105"/>
          <w:sz w:val="16"/>
        </w:rPr>
        <w:t>Fuente: elaboración propia con datos de la Encuesta de Migración de la Frontera Norte, 2013 (</w:t>
      </w:r>
      <w:r>
        <w:rPr>
          <w:color w:val="231F20"/>
          <w:w w:val="105"/>
          <w:sz w:val="14"/>
        </w:rPr>
        <w:t>CONAPO</w:t>
      </w:r>
      <w:r>
        <w:rPr>
          <w:color w:val="231F20"/>
          <w:w w:val="105"/>
          <w:sz w:val="16"/>
        </w:rPr>
        <w:t>, 2015).</w:t>
      </w:r>
    </w:p>
    <w:p>
      <w:pPr>
        <w:pStyle w:val="BodyText"/>
        <w:rPr>
          <w:sz w:val="16"/>
        </w:rPr>
      </w:pPr>
    </w:p>
    <w:p>
      <w:pPr>
        <w:pStyle w:val="BodyText"/>
        <w:spacing w:line="261" w:lineRule="auto" w:before="101"/>
        <w:ind w:left="1723" w:right="1829"/>
        <w:jc w:val="both"/>
      </w:pPr>
      <w:r>
        <w:rPr>
          <w:color w:val="231F20"/>
          <w:w w:val="105"/>
        </w:rPr>
        <w:t>Dichas</w:t>
      </w:r>
      <w:r>
        <w:rPr>
          <w:color w:val="231F20"/>
          <w:spacing w:val="-35"/>
          <w:w w:val="105"/>
        </w:rPr>
        <w:t> </w:t>
      </w:r>
      <w:r>
        <w:rPr>
          <w:color w:val="231F20"/>
          <w:w w:val="105"/>
        </w:rPr>
        <w:t>situaciones</w:t>
      </w:r>
      <w:r>
        <w:rPr>
          <w:color w:val="231F20"/>
          <w:spacing w:val="-35"/>
          <w:w w:val="105"/>
        </w:rPr>
        <w:t> </w:t>
      </w:r>
      <w:r>
        <w:rPr>
          <w:color w:val="231F20"/>
          <w:w w:val="105"/>
        </w:rPr>
        <w:t>se</w:t>
      </w:r>
      <w:r>
        <w:rPr>
          <w:color w:val="231F20"/>
          <w:spacing w:val="-35"/>
          <w:w w:val="105"/>
        </w:rPr>
        <w:t> </w:t>
      </w:r>
      <w:r>
        <w:rPr>
          <w:color w:val="231F20"/>
          <w:w w:val="105"/>
        </w:rPr>
        <w:t>registraron</w:t>
      </w:r>
      <w:r>
        <w:rPr>
          <w:color w:val="231F20"/>
          <w:spacing w:val="-35"/>
          <w:w w:val="105"/>
        </w:rPr>
        <w:t> </w:t>
      </w:r>
      <w:r>
        <w:rPr>
          <w:color w:val="231F20"/>
          <w:w w:val="105"/>
        </w:rPr>
        <w:t>mayormente</w:t>
      </w:r>
      <w:r>
        <w:rPr>
          <w:color w:val="231F20"/>
          <w:spacing w:val="-35"/>
          <w:w w:val="105"/>
        </w:rPr>
        <w:t> </w:t>
      </w:r>
      <w:r>
        <w:rPr>
          <w:color w:val="231F20"/>
          <w:w w:val="105"/>
        </w:rPr>
        <w:t>en</w:t>
      </w:r>
      <w:r>
        <w:rPr>
          <w:color w:val="231F20"/>
          <w:spacing w:val="-35"/>
          <w:w w:val="105"/>
        </w:rPr>
        <w:t> </w:t>
      </w:r>
      <w:r>
        <w:rPr>
          <w:color w:val="231F20"/>
          <w:w w:val="105"/>
        </w:rPr>
        <w:t>las</w:t>
      </w:r>
      <w:r>
        <w:rPr>
          <w:color w:val="231F20"/>
          <w:spacing w:val="-35"/>
          <w:w w:val="105"/>
        </w:rPr>
        <w:t> </w:t>
      </w:r>
      <w:r>
        <w:rPr>
          <w:color w:val="231F20"/>
          <w:w w:val="105"/>
        </w:rPr>
        <w:t>mujeres,</w:t>
      </w:r>
      <w:r>
        <w:rPr>
          <w:color w:val="231F20"/>
          <w:spacing w:val="-38"/>
          <w:w w:val="105"/>
        </w:rPr>
        <w:t> </w:t>
      </w:r>
      <w:r>
        <w:rPr>
          <w:color w:val="231F20"/>
          <w:w w:val="105"/>
        </w:rPr>
        <w:t>con</w:t>
      </w:r>
      <w:r>
        <w:rPr>
          <w:color w:val="231F20"/>
          <w:spacing w:val="-35"/>
          <w:w w:val="105"/>
        </w:rPr>
        <w:t> </w:t>
      </w:r>
      <w:r>
        <w:rPr>
          <w:color w:val="231F20"/>
          <w:w w:val="105"/>
        </w:rPr>
        <w:t>56.7%, así</w:t>
      </w:r>
      <w:r>
        <w:rPr>
          <w:color w:val="231F20"/>
          <w:spacing w:val="-9"/>
          <w:w w:val="105"/>
        </w:rPr>
        <w:t> </w:t>
      </w:r>
      <w:r>
        <w:rPr>
          <w:color w:val="231F20"/>
          <w:w w:val="105"/>
        </w:rPr>
        <w:t>como</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grupos</w:t>
      </w:r>
      <w:r>
        <w:rPr>
          <w:color w:val="231F20"/>
          <w:spacing w:val="-9"/>
          <w:w w:val="105"/>
        </w:rPr>
        <w:t> </w:t>
      </w:r>
      <w:r>
        <w:rPr>
          <w:color w:val="231F20"/>
          <w:w w:val="105"/>
        </w:rPr>
        <w:t>de</w:t>
      </w:r>
      <w:r>
        <w:rPr>
          <w:color w:val="231F20"/>
          <w:spacing w:val="-9"/>
          <w:w w:val="105"/>
        </w:rPr>
        <w:t> </w:t>
      </w:r>
      <w:r>
        <w:rPr>
          <w:color w:val="231F20"/>
          <w:w w:val="105"/>
        </w:rPr>
        <w:t>edad</w:t>
      </w:r>
      <w:r>
        <w:rPr>
          <w:color w:val="231F20"/>
          <w:spacing w:val="-9"/>
          <w:w w:val="105"/>
        </w:rPr>
        <w:t> </w:t>
      </w:r>
      <w:r>
        <w:rPr>
          <w:color w:val="231F20"/>
          <w:w w:val="105"/>
        </w:rPr>
        <w:t>de</w:t>
      </w:r>
      <w:r>
        <w:rPr>
          <w:color w:val="231F20"/>
          <w:spacing w:val="-9"/>
          <w:w w:val="105"/>
        </w:rPr>
        <w:t> </w:t>
      </w:r>
      <w:r>
        <w:rPr>
          <w:color w:val="231F20"/>
          <w:w w:val="105"/>
        </w:rPr>
        <w:t>30</w:t>
      </w:r>
      <w:r>
        <w:rPr>
          <w:color w:val="231F20"/>
          <w:spacing w:val="-9"/>
          <w:w w:val="105"/>
        </w:rPr>
        <w:t> </w:t>
      </w:r>
      <w:r>
        <w:rPr>
          <w:color w:val="231F20"/>
          <w:w w:val="105"/>
        </w:rPr>
        <w:t>a</w:t>
      </w:r>
      <w:r>
        <w:rPr>
          <w:color w:val="231F20"/>
          <w:spacing w:val="-9"/>
          <w:w w:val="105"/>
        </w:rPr>
        <w:t> </w:t>
      </w:r>
      <w:r>
        <w:rPr>
          <w:color w:val="231F20"/>
          <w:w w:val="105"/>
        </w:rPr>
        <w:t>34</w:t>
      </w:r>
      <w:r>
        <w:rPr>
          <w:color w:val="231F20"/>
          <w:spacing w:val="-9"/>
          <w:w w:val="105"/>
        </w:rPr>
        <w:t> </w:t>
      </w:r>
      <w:r>
        <w:rPr>
          <w:color w:val="231F20"/>
          <w:w w:val="105"/>
        </w:rPr>
        <w:t>años</w:t>
      </w:r>
      <w:r>
        <w:rPr>
          <w:color w:val="231F20"/>
          <w:spacing w:val="-9"/>
          <w:w w:val="105"/>
        </w:rPr>
        <w:t> </w:t>
      </w:r>
      <w:r>
        <w:rPr>
          <w:color w:val="231F20"/>
          <w:w w:val="105"/>
        </w:rPr>
        <w:t>(34.4%)</w:t>
      </w:r>
      <w:r>
        <w:rPr>
          <w:color w:val="231F20"/>
          <w:spacing w:val="-9"/>
          <w:w w:val="105"/>
        </w:rPr>
        <w:t> </w:t>
      </w:r>
      <w:r>
        <w:rPr>
          <w:color w:val="231F20"/>
          <w:w w:val="105"/>
        </w:rPr>
        <w:t>y</w:t>
      </w:r>
      <w:r>
        <w:rPr>
          <w:color w:val="231F20"/>
          <w:spacing w:val="-9"/>
          <w:w w:val="105"/>
        </w:rPr>
        <w:t> </w:t>
      </w:r>
      <w:r>
        <w:rPr>
          <w:color w:val="231F20"/>
          <w:w w:val="105"/>
        </w:rPr>
        <w:t>50</w:t>
      </w:r>
      <w:r>
        <w:rPr>
          <w:color w:val="231F20"/>
          <w:spacing w:val="-9"/>
          <w:w w:val="105"/>
        </w:rPr>
        <w:t> </w:t>
      </w:r>
      <w:r>
        <w:rPr>
          <w:color w:val="231F20"/>
          <w:w w:val="105"/>
        </w:rPr>
        <w:t>a</w:t>
      </w:r>
      <w:r>
        <w:rPr>
          <w:color w:val="231F20"/>
          <w:spacing w:val="-9"/>
          <w:w w:val="105"/>
        </w:rPr>
        <w:t> </w:t>
      </w:r>
      <w:r>
        <w:rPr>
          <w:color w:val="231F20"/>
          <w:w w:val="105"/>
        </w:rPr>
        <w:t>54</w:t>
      </w:r>
      <w:r>
        <w:rPr>
          <w:color w:val="231F20"/>
          <w:spacing w:val="-9"/>
          <w:w w:val="105"/>
        </w:rPr>
        <w:t> </w:t>
      </w:r>
      <w:r>
        <w:rPr>
          <w:color w:val="231F20"/>
          <w:w w:val="105"/>
        </w:rPr>
        <w:t>años (20.8%).</w:t>
      </w:r>
      <w:r>
        <w:rPr>
          <w:color w:val="231F20"/>
          <w:spacing w:val="-30"/>
          <w:w w:val="105"/>
        </w:rPr>
        <w:t> </w:t>
      </w:r>
      <w:r>
        <w:rPr>
          <w:color w:val="231F20"/>
          <w:w w:val="105"/>
        </w:rPr>
        <w:t>En</w:t>
      </w:r>
      <w:r>
        <w:rPr>
          <w:color w:val="231F20"/>
          <w:spacing w:val="-26"/>
          <w:w w:val="105"/>
        </w:rPr>
        <w:t> </w:t>
      </w:r>
      <w:r>
        <w:rPr>
          <w:color w:val="231F20"/>
          <w:w w:val="105"/>
        </w:rPr>
        <w:t>cuanto</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escolaridad</w:t>
      </w:r>
      <w:r>
        <w:rPr>
          <w:color w:val="231F20"/>
          <w:spacing w:val="-26"/>
          <w:w w:val="105"/>
        </w:rPr>
        <w:t> </w:t>
      </w:r>
      <w:r>
        <w:rPr>
          <w:color w:val="231F20"/>
          <w:w w:val="105"/>
        </w:rPr>
        <w:t>observamos</w:t>
      </w:r>
      <w:r>
        <w:rPr>
          <w:color w:val="231F20"/>
          <w:spacing w:val="-26"/>
          <w:w w:val="105"/>
        </w:rPr>
        <w:t> </w:t>
      </w:r>
      <w:r>
        <w:rPr>
          <w:color w:val="231F20"/>
          <w:w w:val="105"/>
        </w:rPr>
        <w:t>una</w:t>
      </w:r>
      <w:r>
        <w:rPr>
          <w:color w:val="231F20"/>
          <w:spacing w:val="-26"/>
          <w:w w:val="105"/>
        </w:rPr>
        <w:t> </w:t>
      </w:r>
      <w:r>
        <w:rPr>
          <w:color w:val="231F20"/>
          <w:w w:val="105"/>
        </w:rPr>
        <w:t>distribución</w:t>
      </w:r>
      <w:r>
        <w:rPr>
          <w:color w:val="231F20"/>
          <w:spacing w:val="-26"/>
          <w:w w:val="105"/>
        </w:rPr>
        <w:t> </w:t>
      </w:r>
      <w:r>
        <w:rPr>
          <w:color w:val="231F20"/>
          <w:w w:val="105"/>
        </w:rPr>
        <w:t>diferen- te</w:t>
      </w:r>
      <w:r>
        <w:rPr>
          <w:color w:val="231F20"/>
          <w:spacing w:val="-23"/>
          <w:w w:val="105"/>
        </w:rPr>
        <w:t> </w:t>
      </w:r>
      <w:r>
        <w:rPr>
          <w:color w:val="231F20"/>
          <w:w w:val="105"/>
        </w:rPr>
        <w:t>respecto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registrada</w:t>
      </w:r>
      <w:r>
        <w:rPr>
          <w:color w:val="231F20"/>
          <w:spacing w:val="-23"/>
          <w:w w:val="105"/>
        </w:rPr>
        <w:t> </w:t>
      </w:r>
      <w:r>
        <w:rPr>
          <w:color w:val="231F20"/>
          <w:w w:val="105"/>
        </w:rPr>
        <w:t>en</w:t>
      </w:r>
      <w:r>
        <w:rPr>
          <w:color w:val="231F20"/>
          <w:spacing w:val="-23"/>
          <w:w w:val="105"/>
        </w:rPr>
        <w:t> </w:t>
      </w:r>
      <w:r>
        <w:rPr>
          <w:color w:val="231F20"/>
          <w:w w:val="105"/>
        </w:rPr>
        <w:t>materia</w:t>
      </w:r>
      <w:r>
        <w:rPr>
          <w:color w:val="231F20"/>
          <w:spacing w:val="-23"/>
          <w:w w:val="105"/>
        </w:rPr>
        <w:t> </w:t>
      </w:r>
      <w:r>
        <w:rPr>
          <w:color w:val="231F20"/>
          <w:w w:val="105"/>
        </w:rPr>
        <w:t>de</w:t>
      </w:r>
      <w:r>
        <w:rPr>
          <w:color w:val="231F20"/>
          <w:spacing w:val="-23"/>
          <w:w w:val="105"/>
        </w:rPr>
        <w:t> </w:t>
      </w:r>
      <w:r>
        <w:rPr>
          <w:color w:val="231F20"/>
          <w:w w:val="105"/>
        </w:rPr>
        <w:t>acceso</w:t>
      </w:r>
      <w:r>
        <w:rPr>
          <w:color w:val="231F20"/>
          <w:spacing w:val="-23"/>
          <w:w w:val="105"/>
        </w:rPr>
        <w:t> </w:t>
      </w:r>
      <w:r>
        <w:rPr>
          <w:color w:val="231F20"/>
          <w:w w:val="105"/>
        </w:rPr>
        <w:t>a</w:t>
      </w:r>
      <w:r>
        <w:rPr>
          <w:color w:val="231F20"/>
          <w:spacing w:val="-23"/>
          <w:w w:val="105"/>
        </w:rPr>
        <w:t> </w:t>
      </w:r>
      <w:r>
        <w:rPr>
          <w:color w:val="231F20"/>
          <w:w w:val="105"/>
        </w:rPr>
        <w:t>los</w:t>
      </w:r>
      <w:r>
        <w:rPr>
          <w:color w:val="231F20"/>
          <w:spacing w:val="-23"/>
          <w:w w:val="105"/>
        </w:rPr>
        <w:t> </w:t>
      </w:r>
      <w:r>
        <w:rPr>
          <w:color w:val="231F20"/>
          <w:w w:val="105"/>
        </w:rPr>
        <w:t>servicios</w:t>
      </w:r>
      <w:r>
        <w:rPr>
          <w:color w:val="231F20"/>
          <w:spacing w:val="-23"/>
          <w:w w:val="105"/>
        </w:rPr>
        <w:t> </w:t>
      </w:r>
      <w:r>
        <w:rPr>
          <w:color w:val="231F20"/>
          <w:w w:val="105"/>
        </w:rPr>
        <w:t>de</w:t>
      </w:r>
      <w:r>
        <w:rPr>
          <w:color w:val="231F20"/>
          <w:spacing w:val="-23"/>
          <w:w w:val="105"/>
        </w:rPr>
        <w:t> </w:t>
      </w:r>
      <w:r>
        <w:rPr>
          <w:color w:val="231F20"/>
          <w:w w:val="105"/>
        </w:rPr>
        <w:t>salud, pues</w:t>
      </w:r>
      <w:r>
        <w:rPr>
          <w:color w:val="231F20"/>
          <w:spacing w:val="-21"/>
          <w:w w:val="105"/>
        </w:rPr>
        <w:t> </w:t>
      </w:r>
      <w:r>
        <w:rPr>
          <w:color w:val="231F20"/>
          <w:w w:val="105"/>
        </w:rPr>
        <w:t>en</w:t>
      </w:r>
      <w:r>
        <w:rPr>
          <w:color w:val="231F20"/>
          <w:spacing w:val="-21"/>
          <w:w w:val="105"/>
        </w:rPr>
        <w:t> </w:t>
      </w:r>
      <w:r>
        <w:rPr>
          <w:color w:val="231F20"/>
          <w:w w:val="105"/>
        </w:rPr>
        <w:t>este</w:t>
      </w:r>
      <w:r>
        <w:rPr>
          <w:color w:val="231F20"/>
          <w:spacing w:val="-21"/>
          <w:w w:val="105"/>
        </w:rPr>
        <w:t> </w:t>
      </w:r>
      <w:r>
        <w:rPr>
          <w:color w:val="231F20"/>
          <w:w w:val="105"/>
        </w:rPr>
        <w:t>caso</w:t>
      </w:r>
      <w:r>
        <w:rPr>
          <w:color w:val="231F20"/>
          <w:spacing w:val="-21"/>
          <w:w w:val="105"/>
        </w:rPr>
        <w:t> </w:t>
      </w:r>
      <w:r>
        <w:rPr>
          <w:color w:val="231F20"/>
          <w:w w:val="105"/>
        </w:rPr>
        <w:t>59.4%</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migrantes</w:t>
      </w:r>
      <w:r>
        <w:rPr>
          <w:color w:val="231F20"/>
          <w:spacing w:val="-21"/>
          <w:w w:val="105"/>
        </w:rPr>
        <w:t> </w:t>
      </w:r>
      <w:r>
        <w:rPr>
          <w:color w:val="231F20"/>
          <w:w w:val="105"/>
        </w:rPr>
        <w:t>mexiquenses</w:t>
      </w:r>
      <w:r>
        <w:rPr>
          <w:color w:val="231F20"/>
          <w:spacing w:val="-21"/>
          <w:w w:val="105"/>
        </w:rPr>
        <w:t> </w:t>
      </w:r>
      <w:r>
        <w:rPr>
          <w:color w:val="231F20"/>
          <w:w w:val="105"/>
        </w:rPr>
        <w:t>con</w:t>
      </w:r>
      <w:r>
        <w:rPr>
          <w:color w:val="231F20"/>
          <w:spacing w:val="-21"/>
          <w:w w:val="105"/>
        </w:rPr>
        <w:t> </w:t>
      </w:r>
      <w:r>
        <w:rPr>
          <w:color w:val="231F20"/>
          <w:w w:val="105"/>
        </w:rPr>
        <w:t>algún</w:t>
      </w:r>
      <w:r>
        <w:rPr>
          <w:color w:val="231F20"/>
          <w:spacing w:val="-21"/>
          <w:w w:val="105"/>
        </w:rPr>
        <w:t> </w:t>
      </w:r>
      <w:r>
        <w:rPr>
          <w:color w:val="231F20"/>
          <w:w w:val="105"/>
        </w:rPr>
        <w:t>grado de</w:t>
      </w:r>
      <w:r>
        <w:rPr>
          <w:color w:val="231F20"/>
          <w:spacing w:val="-9"/>
          <w:w w:val="105"/>
        </w:rPr>
        <w:t> </w:t>
      </w:r>
      <w:r>
        <w:rPr>
          <w:color w:val="231F20"/>
          <w:w w:val="105"/>
        </w:rPr>
        <w:t>primaria</w:t>
      </w:r>
      <w:r>
        <w:rPr>
          <w:color w:val="231F20"/>
          <w:spacing w:val="-9"/>
          <w:w w:val="105"/>
        </w:rPr>
        <w:t> </w:t>
      </w:r>
      <w:r>
        <w:rPr>
          <w:color w:val="231F20"/>
          <w:w w:val="105"/>
        </w:rPr>
        <w:t>fueron</w:t>
      </w:r>
      <w:r>
        <w:rPr>
          <w:color w:val="231F20"/>
          <w:spacing w:val="-9"/>
          <w:w w:val="105"/>
        </w:rPr>
        <w:t> </w:t>
      </w:r>
      <w:r>
        <w:rPr>
          <w:color w:val="231F20"/>
          <w:w w:val="105"/>
        </w:rPr>
        <w:t>quienes</w:t>
      </w:r>
      <w:r>
        <w:rPr>
          <w:color w:val="231F20"/>
          <w:spacing w:val="-9"/>
          <w:w w:val="105"/>
        </w:rPr>
        <w:t> </w:t>
      </w:r>
      <w:r>
        <w:rPr>
          <w:color w:val="231F20"/>
          <w:w w:val="105"/>
        </w:rPr>
        <w:t>experimentaron</w:t>
      </w:r>
      <w:r>
        <w:rPr>
          <w:color w:val="231F20"/>
          <w:spacing w:val="-9"/>
          <w:w w:val="105"/>
        </w:rPr>
        <w:t> </w:t>
      </w:r>
      <w:r>
        <w:rPr>
          <w:color w:val="231F20"/>
          <w:w w:val="105"/>
        </w:rPr>
        <w:t>en</w:t>
      </w:r>
      <w:r>
        <w:rPr>
          <w:color w:val="231F20"/>
          <w:spacing w:val="-9"/>
          <w:w w:val="105"/>
        </w:rPr>
        <w:t> </w:t>
      </w:r>
      <w:r>
        <w:rPr>
          <w:color w:val="231F20"/>
          <w:w w:val="105"/>
        </w:rPr>
        <w:t>mayor</w:t>
      </w:r>
      <w:r>
        <w:rPr>
          <w:color w:val="231F20"/>
          <w:spacing w:val="-9"/>
          <w:w w:val="105"/>
        </w:rPr>
        <w:t> </w:t>
      </w:r>
      <w:r>
        <w:rPr>
          <w:color w:val="231F20"/>
          <w:w w:val="105"/>
        </w:rPr>
        <w:t>medida</w:t>
      </w:r>
      <w:r>
        <w:rPr>
          <w:color w:val="231F20"/>
          <w:spacing w:val="-9"/>
          <w:w w:val="105"/>
        </w:rPr>
        <w:t> </w:t>
      </w:r>
      <w:r>
        <w:rPr>
          <w:color w:val="231F20"/>
          <w:w w:val="105"/>
        </w:rPr>
        <w:t>algún</w:t>
      </w:r>
      <w:r>
        <w:rPr>
          <w:color w:val="231F20"/>
          <w:spacing w:val="-9"/>
          <w:w w:val="105"/>
        </w:rPr>
        <w:t> </w:t>
      </w:r>
      <w:r>
        <w:rPr>
          <w:color w:val="231F20"/>
          <w:w w:val="105"/>
        </w:rPr>
        <w:t>tipo de</w:t>
      </w:r>
      <w:r>
        <w:rPr>
          <w:color w:val="231F20"/>
          <w:spacing w:val="-11"/>
          <w:w w:val="105"/>
        </w:rPr>
        <w:t> </w:t>
      </w:r>
      <w:r>
        <w:rPr>
          <w:color w:val="231F20"/>
          <w:w w:val="105"/>
        </w:rPr>
        <w:t>padecimiento,</w:t>
      </w:r>
      <w:r>
        <w:rPr>
          <w:color w:val="231F20"/>
          <w:spacing w:val="-17"/>
          <w:w w:val="105"/>
        </w:rPr>
        <w:t> </w:t>
      </w:r>
      <w:r>
        <w:rPr>
          <w:color w:val="231F20"/>
          <w:w w:val="105"/>
        </w:rPr>
        <w:t>accidente</w:t>
      </w:r>
      <w:r>
        <w:rPr>
          <w:color w:val="231F20"/>
          <w:spacing w:val="-11"/>
          <w:w w:val="105"/>
        </w:rPr>
        <w:t> </w:t>
      </w:r>
      <w:r>
        <w:rPr>
          <w:color w:val="231F20"/>
          <w:w w:val="105"/>
        </w:rPr>
        <w:t>o</w:t>
      </w:r>
      <w:r>
        <w:rPr>
          <w:color w:val="231F20"/>
          <w:spacing w:val="-11"/>
          <w:w w:val="105"/>
        </w:rPr>
        <w:t> </w:t>
      </w:r>
      <w:r>
        <w:rPr>
          <w:color w:val="231F20"/>
          <w:w w:val="105"/>
        </w:rPr>
        <w:t>enfermedad,</w:t>
      </w:r>
      <w:r>
        <w:rPr>
          <w:color w:val="231F20"/>
          <w:spacing w:val="-17"/>
          <w:w w:val="105"/>
        </w:rPr>
        <w:t> </w:t>
      </w:r>
      <w:r>
        <w:rPr>
          <w:color w:val="231F20"/>
          <w:w w:val="105"/>
        </w:rPr>
        <w:t>cuando</w:t>
      </w:r>
      <w:r>
        <w:rPr>
          <w:color w:val="231F20"/>
          <w:spacing w:val="-11"/>
          <w:w w:val="105"/>
        </w:rPr>
        <w:t> </w:t>
      </w:r>
      <w:r>
        <w:rPr>
          <w:color w:val="231F20"/>
          <w:w w:val="105"/>
        </w:rPr>
        <w:t>paradójicamente</w:t>
      </w:r>
      <w:r>
        <w:rPr>
          <w:color w:val="231F20"/>
          <w:spacing w:val="-11"/>
          <w:w w:val="105"/>
        </w:rPr>
        <w:t> </w:t>
      </w:r>
      <w:r>
        <w:rPr>
          <w:color w:val="231F20"/>
          <w:w w:val="105"/>
        </w:rPr>
        <w:t>es- tos</w:t>
      </w:r>
      <w:r>
        <w:rPr>
          <w:color w:val="231F20"/>
          <w:spacing w:val="-12"/>
          <w:w w:val="105"/>
        </w:rPr>
        <w:t> </w:t>
      </w:r>
      <w:r>
        <w:rPr>
          <w:color w:val="231F20"/>
          <w:w w:val="105"/>
        </w:rPr>
        <w:t>registran</w:t>
      </w:r>
      <w:r>
        <w:rPr>
          <w:color w:val="231F20"/>
          <w:spacing w:val="-12"/>
          <w:w w:val="105"/>
        </w:rPr>
        <w:t> </w:t>
      </w:r>
      <w:r>
        <w:rPr>
          <w:color w:val="231F20"/>
          <w:w w:val="105"/>
        </w:rPr>
        <w:t>menor</w:t>
      </w:r>
      <w:r>
        <w:rPr>
          <w:color w:val="231F20"/>
          <w:spacing w:val="-12"/>
          <w:w w:val="105"/>
        </w:rPr>
        <w:t> </w:t>
      </w:r>
      <w:r>
        <w:rPr>
          <w:color w:val="231F20"/>
          <w:w w:val="105"/>
        </w:rPr>
        <w:t>acceso</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servicios</w:t>
      </w:r>
      <w:r>
        <w:rPr>
          <w:color w:val="231F20"/>
          <w:spacing w:val="-12"/>
          <w:w w:val="105"/>
        </w:rPr>
        <w:t> </w:t>
      </w:r>
      <w:r>
        <w:rPr>
          <w:color w:val="231F20"/>
          <w:w w:val="105"/>
        </w:rPr>
        <w:t>de</w:t>
      </w:r>
      <w:r>
        <w:rPr>
          <w:color w:val="231F20"/>
          <w:spacing w:val="-12"/>
          <w:w w:val="105"/>
        </w:rPr>
        <w:t> </w:t>
      </w:r>
      <w:r>
        <w:rPr>
          <w:color w:val="231F20"/>
          <w:w w:val="105"/>
        </w:rPr>
        <w:t>salud.</w:t>
      </w:r>
      <w:r>
        <w:rPr>
          <w:color w:val="231F20"/>
          <w:spacing w:val="-17"/>
          <w:w w:val="105"/>
        </w:rPr>
        <w:t> </w:t>
      </w:r>
      <w:r>
        <w:rPr>
          <w:color w:val="231F20"/>
          <w:spacing w:val="-6"/>
          <w:w w:val="105"/>
        </w:rPr>
        <w:t>Por</w:t>
      </w:r>
      <w:r>
        <w:rPr>
          <w:color w:val="231F20"/>
          <w:spacing w:val="-12"/>
          <w:w w:val="105"/>
        </w:rPr>
        <w:t> </w:t>
      </w:r>
      <w:r>
        <w:rPr>
          <w:color w:val="231F20"/>
          <w:w w:val="105"/>
        </w:rPr>
        <w:t>otro</w:t>
      </w:r>
      <w:r>
        <w:rPr>
          <w:color w:val="231F20"/>
          <w:spacing w:val="-12"/>
          <w:w w:val="105"/>
        </w:rPr>
        <w:t> </w:t>
      </w:r>
      <w:r>
        <w:rPr>
          <w:color w:val="231F20"/>
          <w:w w:val="105"/>
        </w:rPr>
        <w:t>lado,</w:t>
      </w:r>
      <w:r>
        <w:rPr>
          <w:color w:val="231F20"/>
          <w:spacing w:val="-17"/>
          <w:w w:val="105"/>
        </w:rPr>
        <w:t> </w:t>
      </w:r>
      <w:r>
        <w:rPr>
          <w:color w:val="231F20"/>
          <w:w w:val="105"/>
        </w:rPr>
        <w:t>la</w:t>
      </w:r>
      <w:r>
        <w:rPr>
          <w:color w:val="231F20"/>
          <w:spacing w:val="-12"/>
          <w:w w:val="105"/>
        </w:rPr>
        <w:t> </w:t>
      </w:r>
      <w:r>
        <w:rPr>
          <w:color w:val="231F20"/>
          <w:w w:val="105"/>
        </w:rPr>
        <w:t>ma- yoría de los migrantes eran casados, con 82.5%, seguido de los que</w:t>
      </w:r>
      <w:r>
        <w:rPr>
          <w:color w:val="231F20"/>
          <w:spacing w:val="-36"/>
          <w:w w:val="105"/>
        </w:rPr>
        <w:t> </w:t>
      </w:r>
      <w:r>
        <w:rPr>
          <w:color w:val="231F20"/>
          <w:w w:val="105"/>
        </w:rPr>
        <w:t>se encontraban</w:t>
      </w:r>
      <w:r>
        <w:rPr>
          <w:color w:val="231F20"/>
          <w:spacing w:val="-28"/>
          <w:w w:val="105"/>
        </w:rPr>
        <w:t> </w:t>
      </w:r>
      <w:r>
        <w:rPr>
          <w:color w:val="231F20"/>
          <w:w w:val="105"/>
        </w:rPr>
        <w:t>separados</w:t>
      </w:r>
      <w:r>
        <w:rPr>
          <w:color w:val="231F20"/>
          <w:spacing w:val="-28"/>
          <w:w w:val="105"/>
        </w:rPr>
        <w:t> </w:t>
      </w:r>
      <w:r>
        <w:rPr>
          <w:color w:val="231F20"/>
          <w:w w:val="105"/>
        </w:rPr>
        <w:t>o</w:t>
      </w:r>
      <w:r>
        <w:rPr>
          <w:color w:val="231F20"/>
          <w:spacing w:val="-28"/>
          <w:w w:val="105"/>
        </w:rPr>
        <w:t> </w:t>
      </w:r>
      <w:r>
        <w:rPr>
          <w:color w:val="231F20"/>
          <w:w w:val="105"/>
        </w:rPr>
        <w:t>divorciados,</w:t>
      </w:r>
      <w:r>
        <w:rPr>
          <w:color w:val="231F20"/>
          <w:spacing w:val="-32"/>
          <w:w w:val="105"/>
        </w:rPr>
        <w:t> </w:t>
      </w:r>
      <w:r>
        <w:rPr>
          <w:color w:val="231F20"/>
          <w:w w:val="105"/>
        </w:rPr>
        <w:t>con</w:t>
      </w:r>
      <w:r>
        <w:rPr>
          <w:color w:val="231F20"/>
          <w:spacing w:val="-28"/>
          <w:w w:val="105"/>
        </w:rPr>
        <w:t> </w:t>
      </w:r>
      <w:r>
        <w:rPr>
          <w:color w:val="231F20"/>
          <w:w w:val="105"/>
        </w:rPr>
        <w:t>7.5%</w:t>
      </w:r>
      <w:r>
        <w:rPr>
          <w:color w:val="231F20"/>
          <w:spacing w:val="-28"/>
          <w:w w:val="105"/>
        </w:rPr>
        <w:t> </w:t>
      </w:r>
      <w:r>
        <w:rPr>
          <w:color w:val="231F20"/>
          <w:w w:val="105"/>
        </w:rPr>
        <w:t>(véase</w:t>
      </w:r>
      <w:r>
        <w:rPr>
          <w:color w:val="231F20"/>
          <w:spacing w:val="-28"/>
          <w:w w:val="105"/>
        </w:rPr>
        <w:t> </w:t>
      </w:r>
      <w:r>
        <w:rPr>
          <w:color w:val="231F20"/>
          <w:w w:val="105"/>
        </w:rPr>
        <w:t>gráfica</w:t>
      </w:r>
      <w:r>
        <w:rPr>
          <w:color w:val="231F20"/>
          <w:spacing w:val="-28"/>
          <w:w w:val="105"/>
        </w:rPr>
        <w:t> </w:t>
      </w:r>
      <w:r>
        <w:rPr>
          <w:color w:val="231F20"/>
          <w:w w:val="105"/>
        </w:rPr>
        <w:t>3.1).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67272" from="131.551193pt,3.753715pt" to="131.551193pt,39.556114pt" stroked="true" strokeweight=".35pt" strokecolor="#231f20">
            <w10:wrap type="none"/>
          </v:line>
        </w:pict>
      </w:r>
      <w:r>
        <w:rPr/>
        <w:pict>
          <v:line style="position:absolute;mso-position-horizontal-relative:page;mso-position-vertical-relative:paragraph;z-index:-466936" from="15pt,39.555916pt" to="0pt,39.555916pt" stroked="true" strokeweight=".25pt" strokecolor="#000000">
            <w10:wrap type="none"/>
          </v:line>
        </w:pict>
      </w:r>
      <w:r>
        <w:rPr/>
        <w:pict>
          <v:line style="position:absolute;mso-position-horizontal-relative:page;mso-position-vertical-relative:paragraph;z-index:23272" from="508.890015pt,39.555916pt" to="523.890015pt,39.555916pt" stroked="true" strokeweight=".25pt" strokecolor="#000000">
            <w10:wrap type="none"/>
          </v:line>
        </w:pict>
      </w:r>
      <w:r>
        <w:rPr>
          <w:rFonts w:ascii="Arial" w:hAnsi="Arial"/>
          <w:color w:val="414042"/>
          <w:w w:val="105"/>
          <w:position w:val="-5"/>
          <w:sz w:val="20"/>
        </w:rPr>
        <w:t>190</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3392" from="405.061005pt,-27.904295pt" to="405.061005pt,6.961579pt" stroked="true" strokeweight=".35pt" strokecolor="#231f20">
            <w10:wrap type="none"/>
          </v:line>
        </w:pict>
      </w:r>
      <w:r>
        <w:rPr/>
        <w:pict>
          <v:line style="position:absolute;mso-position-horizontal-relative:page;mso-position-vertical-relative:paragraph;z-index:23656" from="15pt,-27.90452pt" to="0pt,-27.90452pt" stroked="true" strokeweight=".25pt" strokecolor="#000000">
            <w10:wrap type="none"/>
          </v:line>
        </w:pict>
      </w:r>
      <w:r>
        <w:rPr/>
        <w:pict>
          <v:line style="position:absolute;mso-position-horizontal-relative:page;mso-position-vertical-relative:paragraph;z-index:23680"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191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9"/>
        <w:rPr>
          <w:rFonts w:ascii="Arial"/>
          <w:sz w:val="16"/>
        </w:rPr>
      </w:pPr>
    </w:p>
    <w:p>
      <w:pPr>
        <w:pStyle w:val="BodyText"/>
        <w:spacing w:line="261" w:lineRule="auto" w:before="1"/>
        <w:ind w:left="1837" w:right="1714"/>
        <w:jc w:val="both"/>
      </w:pPr>
      <w:r>
        <w:rPr>
          <w:color w:val="231F20"/>
          <w:w w:val="105"/>
        </w:rPr>
        <w:t>Entre</w:t>
      </w:r>
      <w:r>
        <w:rPr>
          <w:color w:val="231F20"/>
          <w:spacing w:val="-12"/>
          <w:w w:val="105"/>
        </w:rPr>
        <w:t> </w:t>
      </w:r>
      <w:r>
        <w:rPr>
          <w:color w:val="231F20"/>
          <w:w w:val="105"/>
        </w:rPr>
        <w:t>55.2%</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migrantes</w:t>
      </w:r>
      <w:r>
        <w:rPr>
          <w:color w:val="231F20"/>
          <w:spacing w:val="-12"/>
          <w:w w:val="105"/>
        </w:rPr>
        <w:t> </w:t>
      </w:r>
      <w:r>
        <w:rPr>
          <w:color w:val="231F20"/>
          <w:w w:val="105"/>
        </w:rPr>
        <w:t>en</w:t>
      </w:r>
      <w:r>
        <w:rPr>
          <w:color w:val="231F20"/>
          <w:spacing w:val="-12"/>
          <w:w w:val="105"/>
        </w:rPr>
        <w:t> </w:t>
      </w:r>
      <w:r>
        <w:rPr>
          <w:color w:val="231F20"/>
          <w:w w:val="105"/>
        </w:rPr>
        <w:t>flujo</w:t>
      </w:r>
      <w:r>
        <w:rPr>
          <w:color w:val="231F20"/>
          <w:spacing w:val="-12"/>
          <w:w w:val="105"/>
        </w:rPr>
        <w:t> </w:t>
      </w:r>
      <w:r>
        <w:rPr>
          <w:color w:val="231F20"/>
          <w:w w:val="105"/>
        </w:rPr>
        <w:t>nacidos</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entidad</w:t>
      </w:r>
      <w:r>
        <w:rPr>
          <w:color w:val="231F20"/>
          <w:spacing w:val="-12"/>
          <w:w w:val="105"/>
        </w:rPr>
        <w:t> </w:t>
      </w:r>
      <w:r>
        <w:rPr>
          <w:color w:val="231F20"/>
          <w:w w:val="105"/>
        </w:rPr>
        <w:t>mexiquense que</w:t>
      </w:r>
      <w:r>
        <w:rPr>
          <w:color w:val="231F20"/>
          <w:spacing w:val="-4"/>
          <w:w w:val="105"/>
        </w:rPr>
        <w:t> </w:t>
      </w:r>
      <w:r>
        <w:rPr>
          <w:color w:val="231F20"/>
          <w:w w:val="105"/>
        </w:rPr>
        <w:t>sufrieron</w:t>
      </w:r>
      <w:r>
        <w:rPr>
          <w:color w:val="231F20"/>
          <w:spacing w:val="-4"/>
          <w:w w:val="105"/>
        </w:rPr>
        <w:t> </w:t>
      </w:r>
      <w:r>
        <w:rPr>
          <w:color w:val="231F20"/>
          <w:w w:val="105"/>
        </w:rPr>
        <w:t>un</w:t>
      </w:r>
      <w:r>
        <w:rPr>
          <w:color w:val="231F20"/>
          <w:spacing w:val="-4"/>
          <w:w w:val="105"/>
        </w:rPr>
        <w:t> </w:t>
      </w:r>
      <w:r>
        <w:rPr>
          <w:color w:val="231F20"/>
          <w:w w:val="105"/>
        </w:rPr>
        <w:t>accidente,</w:t>
      </w:r>
      <w:r>
        <w:rPr>
          <w:color w:val="231F20"/>
          <w:spacing w:val="-10"/>
          <w:w w:val="105"/>
        </w:rPr>
        <w:t> </w:t>
      </w:r>
      <w:r>
        <w:rPr>
          <w:color w:val="231F20"/>
          <w:w w:val="105"/>
        </w:rPr>
        <w:t>padecimiento</w:t>
      </w:r>
      <w:r>
        <w:rPr>
          <w:color w:val="231F20"/>
          <w:spacing w:val="-4"/>
          <w:w w:val="105"/>
        </w:rPr>
        <w:t> </w:t>
      </w:r>
      <w:r>
        <w:rPr>
          <w:color w:val="231F20"/>
          <w:w w:val="105"/>
        </w:rPr>
        <w:t>o</w:t>
      </w:r>
      <w:r>
        <w:rPr>
          <w:color w:val="231F20"/>
          <w:spacing w:val="-4"/>
          <w:w w:val="105"/>
        </w:rPr>
        <w:t> </w:t>
      </w:r>
      <w:r>
        <w:rPr>
          <w:color w:val="231F20"/>
          <w:w w:val="105"/>
        </w:rPr>
        <w:t>enfermedad,</w:t>
      </w:r>
      <w:r>
        <w:rPr>
          <w:color w:val="231F20"/>
          <w:spacing w:val="-10"/>
          <w:w w:val="105"/>
        </w:rPr>
        <w:t> </w:t>
      </w:r>
      <w:r>
        <w:rPr>
          <w:color w:val="231F20"/>
          <w:w w:val="105"/>
        </w:rPr>
        <w:t>los</w:t>
      </w:r>
      <w:r>
        <w:rPr>
          <w:color w:val="231F20"/>
          <w:spacing w:val="-4"/>
          <w:w w:val="105"/>
        </w:rPr>
        <w:t> </w:t>
      </w:r>
      <w:r>
        <w:rPr>
          <w:color w:val="231F20"/>
          <w:w w:val="105"/>
        </w:rPr>
        <w:t>motivos</w:t>
      </w:r>
      <w:r>
        <w:rPr>
          <w:color w:val="231F20"/>
          <w:spacing w:val="-4"/>
          <w:w w:val="105"/>
        </w:rPr>
        <w:t> </w:t>
      </w:r>
      <w:r>
        <w:rPr>
          <w:color w:val="231F20"/>
          <w:w w:val="105"/>
        </w:rPr>
        <w:t>se encuentran relacionados con los riesgos en su trabajo. En esa ocasión destaca que 70% utilizó los servicios médicos, proporción también su- perior</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mujeres</w:t>
      </w:r>
      <w:r>
        <w:rPr>
          <w:color w:val="231F20"/>
          <w:spacing w:val="-23"/>
          <w:w w:val="105"/>
        </w:rPr>
        <w:t> </w:t>
      </w:r>
      <w:r>
        <w:rPr>
          <w:color w:val="231F20"/>
          <w:w w:val="105"/>
        </w:rPr>
        <w:t>con</w:t>
      </w:r>
      <w:r>
        <w:rPr>
          <w:color w:val="231F20"/>
          <w:spacing w:val="-23"/>
          <w:w w:val="105"/>
        </w:rPr>
        <w:t> </w:t>
      </w:r>
      <w:r>
        <w:rPr>
          <w:color w:val="231F20"/>
          <w:w w:val="105"/>
        </w:rPr>
        <w:t>58.7%,</w:t>
      </w:r>
      <w:r>
        <w:rPr>
          <w:color w:val="231F20"/>
          <w:spacing w:val="-27"/>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varones</w:t>
      </w:r>
      <w:r>
        <w:rPr>
          <w:color w:val="231F20"/>
          <w:spacing w:val="-23"/>
          <w:w w:val="105"/>
        </w:rPr>
        <w:t> </w:t>
      </w:r>
      <w:r>
        <w:rPr>
          <w:color w:val="231F20"/>
          <w:w w:val="105"/>
        </w:rPr>
        <w:t>fue</w:t>
      </w:r>
      <w:r>
        <w:rPr>
          <w:color w:val="231F20"/>
          <w:spacing w:val="-23"/>
          <w:w w:val="105"/>
        </w:rPr>
        <w:t> </w:t>
      </w:r>
      <w:r>
        <w:rPr>
          <w:color w:val="231F20"/>
          <w:w w:val="105"/>
        </w:rPr>
        <w:t>de</w:t>
      </w:r>
      <w:r>
        <w:rPr>
          <w:color w:val="231F20"/>
          <w:spacing w:val="-23"/>
          <w:w w:val="105"/>
        </w:rPr>
        <w:t> </w:t>
      </w:r>
      <w:r>
        <w:rPr>
          <w:color w:val="231F20"/>
          <w:w w:val="105"/>
        </w:rPr>
        <w:t>41.3%.</w:t>
      </w:r>
      <w:r>
        <w:rPr>
          <w:color w:val="231F20"/>
          <w:spacing w:val="-30"/>
          <w:w w:val="105"/>
        </w:rPr>
        <w:t> </w:t>
      </w:r>
      <w:r>
        <w:rPr>
          <w:color w:val="231F20"/>
          <w:w w:val="105"/>
        </w:rPr>
        <w:t>Asimismo, dos</w:t>
      </w:r>
      <w:r>
        <w:rPr>
          <w:color w:val="231F20"/>
          <w:spacing w:val="-6"/>
          <w:w w:val="105"/>
        </w:rPr>
        <w:t> </w:t>
      </w:r>
      <w:r>
        <w:rPr>
          <w:color w:val="231F20"/>
          <w:w w:val="105"/>
        </w:rPr>
        <w:t>grupos</w:t>
      </w:r>
      <w:r>
        <w:rPr>
          <w:color w:val="231F20"/>
          <w:spacing w:val="-6"/>
          <w:w w:val="105"/>
        </w:rPr>
        <w:t> </w:t>
      </w:r>
      <w:r>
        <w:rPr>
          <w:color w:val="231F20"/>
          <w:w w:val="105"/>
        </w:rPr>
        <w:t>de</w:t>
      </w:r>
      <w:r>
        <w:rPr>
          <w:color w:val="231F20"/>
          <w:spacing w:val="-6"/>
          <w:w w:val="105"/>
        </w:rPr>
        <w:t> </w:t>
      </w:r>
      <w:r>
        <w:rPr>
          <w:color w:val="231F20"/>
          <w:w w:val="105"/>
        </w:rPr>
        <w:t>edad</w:t>
      </w:r>
      <w:r>
        <w:rPr>
          <w:color w:val="231F20"/>
          <w:spacing w:val="-6"/>
          <w:w w:val="105"/>
        </w:rPr>
        <w:t> </w:t>
      </w:r>
      <w:r>
        <w:rPr>
          <w:color w:val="231F20"/>
          <w:w w:val="105"/>
        </w:rPr>
        <w:t>sobresalen</w:t>
      </w:r>
      <w:r>
        <w:rPr>
          <w:color w:val="231F20"/>
          <w:spacing w:val="-6"/>
          <w:w w:val="105"/>
        </w:rPr>
        <w:t> </w:t>
      </w:r>
      <w:r>
        <w:rPr>
          <w:color w:val="231F20"/>
          <w:w w:val="105"/>
        </w:rPr>
        <w:t>con</w:t>
      </w:r>
      <w:r>
        <w:rPr>
          <w:color w:val="231F20"/>
          <w:spacing w:val="-6"/>
          <w:w w:val="105"/>
        </w:rPr>
        <w:t> </w:t>
      </w:r>
      <w:r>
        <w:rPr>
          <w:color w:val="231F20"/>
          <w:w w:val="105"/>
        </w:rPr>
        <w:t>las</w:t>
      </w:r>
      <w:r>
        <w:rPr>
          <w:color w:val="231F20"/>
          <w:spacing w:val="-6"/>
          <w:w w:val="105"/>
        </w:rPr>
        <w:t> </w:t>
      </w:r>
      <w:r>
        <w:rPr>
          <w:color w:val="231F20"/>
          <w:w w:val="105"/>
        </w:rPr>
        <w:t>mayores</w:t>
      </w:r>
      <w:r>
        <w:rPr>
          <w:color w:val="231F20"/>
          <w:spacing w:val="-6"/>
          <w:w w:val="105"/>
        </w:rPr>
        <w:t> </w:t>
      </w:r>
      <w:r>
        <w:rPr>
          <w:color w:val="231F20"/>
          <w:w w:val="105"/>
        </w:rPr>
        <w:t>proporciones,</w:t>
      </w:r>
      <w:r>
        <w:rPr>
          <w:color w:val="231F20"/>
          <w:spacing w:val="-11"/>
          <w:w w:val="105"/>
        </w:rPr>
        <w:t> </w:t>
      </w:r>
      <w:r>
        <w:rPr>
          <w:color w:val="231F20"/>
          <w:w w:val="105"/>
        </w:rPr>
        <w:t>el</w:t>
      </w:r>
      <w:r>
        <w:rPr>
          <w:color w:val="231F20"/>
          <w:spacing w:val="-6"/>
          <w:w w:val="105"/>
        </w:rPr>
        <w:t> </w:t>
      </w:r>
      <w:r>
        <w:rPr>
          <w:color w:val="231F20"/>
          <w:w w:val="105"/>
        </w:rPr>
        <w:t>de</w:t>
      </w:r>
      <w:r>
        <w:rPr>
          <w:color w:val="231F20"/>
          <w:spacing w:val="-6"/>
          <w:w w:val="105"/>
        </w:rPr>
        <w:t> </w:t>
      </w:r>
      <w:r>
        <w:rPr>
          <w:color w:val="231F20"/>
          <w:w w:val="105"/>
        </w:rPr>
        <w:t>30 a</w:t>
      </w:r>
      <w:r>
        <w:rPr>
          <w:color w:val="231F20"/>
          <w:spacing w:val="-18"/>
          <w:w w:val="105"/>
        </w:rPr>
        <w:t> </w:t>
      </w:r>
      <w:r>
        <w:rPr>
          <w:color w:val="231F20"/>
          <w:w w:val="105"/>
        </w:rPr>
        <w:t>34</w:t>
      </w:r>
      <w:r>
        <w:rPr>
          <w:color w:val="231F20"/>
          <w:spacing w:val="-18"/>
          <w:w w:val="105"/>
        </w:rPr>
        <w:t> </w:t>
      </w:r>
      <w:r>
        <w:rPr>
          <w:color w:val="231F20"/>
          <w:w w:val="105"/>
        </w:rPr>
        <w:t>años</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de</w:t>
      </w:r>
      <w:r>
        <w:rPr>
          <w:color w:val="231F20"/>
          <w:spacing w:val="-18"/>
          <w:w w:val="105"/>
        </w:rPr>
        <w:t> </w:t>
      </w:r>
      <w:r>
        <w:rPr>
          <w:color w:val="231F20"/>
          <w:w w:val="105"/>
        </w:rPr>
        <w:t>50</w:t>
      </w:r>
      <w:r>
        <w:rPr>
          <w:color w:val="231F20"/>
          <w:spacing w:val="-18"/>
          <w:w w:val="105"/>
        </w:rPr>
        <w:t> </w:t>
      </w:r>
      <w:r>
        <w:rPr>
          <w:color w:val="231F20"/>
          <w:w w:val="105"/>
        </w:rPr>
        <w:t>a</w:t>
      </w:r>
      <w:r>
        <w:rPr>
          <w:color w:val="231F20"/>
          <w:spacing w:val="-18"/>
          <w:w w:val="105"/>
        </w:rPr>
        <w:t> </w:t>
      </w:r>
      <w:r>
        <w:rPr>
          <w:color w:val="231F20"/>
          <w:w w:val="105"/>
        </w:rPr>
        <w:t>54</w:t>
      </w:r>
      <w:r>
        <w:rPr>
          <w:color w:val="231F20"/>
          <w:spacing w:val="-18"/>
          <w:w w:val="105"/>
        </w:rPr>
        <w:t> </w:t>
      </w:r>
      <w:r>
        <w:rPr>
          <w:color w:val="231F20"/>
          <w:w w:val="105"/>
        </w:rPr>
        <w:t>años,</w:t>
      </w:r>
      <w:r>
        <w:rPr>
          <w:color w:val="231F20"/>
          <w:spacing w:val="-23"/>
          <w:w w:val="105"/>
        </w:rPr>
        <w:t> </w:t>
      </w:r>
      <w:r>
        <w:rPr>
          <w:color w:val="231F20"/>
          <w:w w:val="105"/>
        </w:rPr>
        <w:t>con</w:t>
      </w:r>
      <w:r>
        <w:rPr>
          <w:color w:val="231F20"/>
          <w:spacing w:val="-18"/>
          <w:w w:val="105"/>
        </w:rPr>
        <w:t> </w:t>
      </w:r>
      <w:r>
        <w:rPr>
          <w:color w:val="231F20"/>
          <w:w w:val="105"/>
        </w:rPr>
        <w:t>46.7%</w:t>
      </w:r>
      <w:r>
        <w:rPr>
          <w:color w:val="231F20"/>
          <w:spacing w:val="-18"/>
          <w:w w:val="105"/>
        </w:rPr>
        <w:t> </w:t>
      </w:r>
      <w:r>
        <w:rPr>
          <w:color w:val="231F20"/>
          <w:w w:val="105"/>
        </w:rPr>
        <w:t>y</w:t>
      </w:r>
      <w:r>
        <w:rPr>
          <w:color w:val="231F20"/>
          <w:spacing w:val="-18"/>
          <w:w w:val="105"/>
        </w:rPr>
        <w:t> </w:t>
      </w:r>
      <w:r>
        <w:rPr>
          <w:color w:val="231F20"/>
          <w:w w:val="105"/>
        </w:rPr>
        <w:t>22.3%,</w:t>
      </w:r>
      <w:r>
        <w:rPr>
          <w:color w:val="231F20"/>
          <w:spacing w:val="-23"/>
          <w:w w:val="105"/>
        </w:rPr>
        <w:t> </w:t>
      </w:r>
      <w:r>
        <w:rPr>
          <w:color w:val="231F20"/>
          <w:w w:val="105"/>
        </w:rPr>
        <w:t>respectivamente.</w:t>
      </w:r>
      <w:r>
        <w:rPr>
          <w:color w:val="231F20"/>
          <w:spacing w:val="-23"/>
          <w:w w:val="105"/>
        </w:rPr>
        <w:t> </w:t>
      </w:r>
      <w:r>
        <w:rPr>
          <w:color w:val="231F20"/>
          <w:spacing w:val="-6"/>
          <w:w w:val="105"/>
        </w:rPr>
        <w:t>Por </w:t>
      </w:r>
      <w:r>
        <w:rPr>
          <w:color w:val="231F20"/>
          <w:w w:val="105"/>
        </w:rPr>
        <w:t>nivel de escolaridad, 75.6% de quienes utilizaron los servicios médicos alcanzaron</w:t>
      </w:r>
      <w:r>
        <w:rPr>
          <w:color w:val="231F20"/>
          <w:spacing w:val="-11"/>
          <w:w w:val="105"/>
        </w:rPr>
        <w:t> </w:t>
      </w:r>
      <w:r>
        <w:rPr>
          <w:color w:val="231F20"/>
          <w:w w:val="105"/>
        </w:rPr>
        <w:t>algún</w:t>
      </w:r>
      <w:r>
        <w:rPr>
          <w:color w:val="231F20"/>
          <w:spacing w:val="-11"/>
          <w:w w:val="105"/>
        </w:rPr>
        <w:t> </w:t>
      </w:r>
      <w:r>
        <w:rPr>
          <w:color w:val="231F20"/>
          <w:w w:val="105"/>
        </w:rPr>
        <w:t>grado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primaria</w:t>
      </w:r>
      <w:r>
        <w:rPr>
          <w:color w:val="231F20"/>
          <w:spacing w:val="-11"/>
          <w:w w:val="105"/>
        </w:rPr>
        <w:t> </w:t>
      </w:r>
      <w:r>
        <w:rPr>
          <w:color w:val="231F20"/>
          <w:w w:val="105"/>
        </w:rPr>
        <w:t>y</w:t>
      </w:r>
      <w:r>
        <w:rPr>
          <w:color w:val="231F20"/>
          <w:spacing w:val="-11"/>
          <w:w w:val="105"/>
        </w:rPr>
        <w:t> </w:t>
      </w:r>
      <w:r>
        <w:rPr>
          <w:color w:val="231F20"/>
          <w:w w:val="105"/>
        </w:rPr>
        <w:t>9.7%</w:t>
      </w:r>
      <w:r>
        <w:rPr>
          <w:color w:val="231F20"/>
          <w:spacing w:val="-11"/>
          <w:w w:val="105"/>
        </w:rPr>
        <w:t> </w:t>
      </w:r>
      <w:r>
        <w:rPr>
          <w:color w:val="231F20"/>
          <w:w w:val="105"/>
        </w:rPr>
        <w:t>de</w:t>
      </w:r>
      <w:r>
        <w:rPr>
          <w:color w:val="231F20"/>
          <w:spacing w:val="-11"/>
          <w:w w:val="105"/>
        </w:rPr>
        <w:t> </w:t>
      </w:r>
      <w:r>
        <w:rPr>
          <w:color w:val="231F20"/>
          <w:w w:val="105"/>
        </w:rPr>
        <w:t>secundaria.</w:t>
      </w:r>
      <w:r>
        <w:rPr>
          <w:color w:val="231F20"/>
          <w:spacing w:val="-16"/>
          <w:w w:val="105"/>
        </w:rPr>
        <w:t> </w:t>
      </w:r>
      <w:r>
        <w:rPr>
          <w:color w:val="231F20"/>
          <w:w w:val="105"/>
        </w:rPr>
        <w:t>Del</w:t>
      </w:r>
      <w:r>
        <w:rPr>
          <w:color w:val="231F20"/>
          <w:spacing w:val="-11"/>
          <w:w w:val="105"/>
        </w:rPr>
        <w:t> </w:t>
      </w:r>
      <w:r>
        <w:rPr>
          <w:color w:val="231F20"/>
          <w:w w:val="105"/>
        </w:rPr>
        <w:t>mismo modo, 89.6% eran casados, seguido de los que se encontraban</w:t>
      </w:r>
      <w:r>
        <w:rPr>
          <w:color w:val="231F20"/>
          <w:spacing w:val="-12"/>
          <w:w w:val="105"/>
        </w:rPr>
        <w:t> </w:t>
      </w:r>
      <w:r>
        <w:rPr>
          <w:color w:val="231F20"/>
          <w:w w:val="105"/>
        </w:rPr>
        <w:t>unidos </w:t>
      </w:r>
      <w:r>
        <w:rPr>
          <w:color w:val="231F20"/>
        </w:rPr>
        <w:t>con</w:t>
      </w:r>
      <w:r>
        <w:rPr>
          <w:color w:val="231F20"/>
          <w:spacing w:val="3"/>
        </w:rPr>
        <w:t> </w:t>
      </w:r>
      <w:r>
        <w:rPr>
          <w:color w:val="231F20"/>
        </w:rPr>
        <w:t>5.2%.</w:t>
      </w:r>
    </w:p>
    <w:p>
      <w:pPr>
        <w:pStyle w:val="BodyText"/>
        <w:spacing w:line="261" w:lineRule="auto" w:before="1"/>
        <w:ind w:left="1837" w:right="1720" w:firstLine="567"/>
        <w:jc w:val="both"/>
      </w:pPr>
      <w:r>
        <w:rPr>
          <w:color w:val="231F20"/>
          <w:spacing w:val="-6"/>
        </w:rPr>
        <w:t>Por </w:t>
      </w:r>
      <w:r>
        <w:rPr>
          <w:color w:val="231F20"/>
        </w:rPr>
        <w:t>otro lado, de acuerdo con la </w:t>
      </w:r>
      <w:r>
        <w:rPr>
          <w:color w:val="231F20"/>
          <w:sz w:val="17"/>
        </w:rPr>
        <w:t>EMIF</w:t>
      </w:r>
      <w:r>
        <w:rPr>
          <w:color w:val="231F20"/>
        </w:rPr>
        <w:t>-Norte, 75.5% de los migran- tes mexiquenses en flujo procedentes de Estados Unidos consideran su estado de salud como bueno. Este concepto se encuentra seguido por     el 13.9% quienes señalaron contar con una muy buena salud. En tal senti- do, destaca que sólo 0.6% ve su estado de salud como muy malo (véase gráfica</w:t>
      </w:r>
      <w:r>
        <w:rPr>
          <w:color w:val="231F20"/>
          <w:spacing w:val="8"/>
        </w:rPr>
        <w:t> </w:t>
      </w:r>
      <w:r>
        <w:rPr>
          <w:color w:val="231F20"/>
        </w:rPr>
        <w:t>3.2).</w:t>
      </w:r>
    </w:p>
    <w:p>
      <w:pPr>
        <w:pStyle w:val="BodyText"/>
        <w:spacing w:line="261" w:lineRule="auto" w:before="1"/>
        <w:ind w:left="1837" w:right="1721" w:firstLine="567"/>
        <w:jc w:val="both"/>
      </w:pPr>
      <w:r>
        <w:rPr>
          <w:color w:val="231F20"/>
          <w:w w:val="105"/>
        </w:rPr>
        <w:t>Del mismo modo, al preguntarle a los migrantes mexiquenses en flujo</w:t>
      </w:r>
      <w:r>
        <w:rPr>
          <w:color w:val="231F20"/>
          <w:spacing w:val="-26"/>
          <w:w w:val="105"/>
        </w:rPr>
        <w:t> </w:t>
      </w:r>
      <w:r>
        <w:rPr>
          <w:color w:val="231F20"/>
          <w:w w:val="105"/>
        </w:rPr>
        <w:t>sobre</w:t>
      </w:r>
      <w:r>
        <w:rPr>
          <w:color w:val="231F20"/>
          <w:spacing w:val="-26"/>
          <w:w w:val="105"/>
        </w:rPr>
        <w:t> </w:t>
      </w:r>
      <w:r>
        <w:rPr>
          <w:color w:val="231F20"/>
          <w:w w:val="105"/>
        </w:rPr>
        <w:t>la</w:t>
      </w:r>
      <w:r>
        <w:rPr>
          <w:color w:val="231F20"/>
          <w:spacing w:val="-26"/>
          <w:w w:val="105"/>
        </w:rPr>
        <w:t> </w:t>
      </w:r>
      <w:r>
        <w:rPr>
          <w:color w:val="231F20"/>
          <w:w w:val="105"/>
        </w:rPr>
        <w:t>presencia</w:t>
      </w:r>
      <w:r>
        <w:rPr>
          <w:color w:val="231F20"/>
          <w:spacing w:val="-26"/>
          <w:w w:val="105"/>
        </w:rPr>
        <w:t> </w:t>
      </w:r>
      <w:r>
        <w:rPr>
          <w:color w:val="231F20"/>
          <w:w w:val="105"/>
        </w:rPr>
        <w:t>de</w:t>
      </w:r>
      <w:r>
        <w:rPr>
          <w:color w:val="231F20"/>
          <w:spacing w:val="-26"/>
          <w:w w:val="105"/>
        </w:rPr>
        <w:t> </w:t>
      </w:r>
      <w:r>
        <w:rPr>
          <w:color w:val="231F20"/>
          <w:w w:val="105"/>
        </w:rPr>
        <w:t>síntomas</w:t>
      </w:r>
      <w:r>
        <w:rPr>
          <w:color w:val="231F20"/>
          <w:spacing w:val="-26"/>
          <w:w w:val="105"/>
        </w:rPr>
        <w:t> </w:t>
      </w:r>
      <w:r>
        <w:rPr>
          <w:color w:val="231F20"/>
          <w:w w:val="105"/>
        </w:rPr>
        <w:t>o</w:t>
      </w:r>
      <w:r>
        <w:rPr>
          <w:color w:val="231F20"/>
          <w:spacing w:val="-26"/>
          <w:w w:val="105"/>
        </w:rPr>
        <w:t> </w:t>
      </w:r>
      <w:r>
        <w:rPr>
          <w:color w:val="231F20"/>
          <w:w w:val="105"/>
        </w:rPr>
        <w:t>malestares</w:t>
      </w:r>
      <w:r>
        <w:rPr>
          <w:color w:val="231F20"/>
          <w:spacing w:val="-26"/>
          <w:w w:val="105"/>
        </w:rPr>
        <w:t> </w:t>
      </w:r>
      <w:r>
        <w:rPr>
          <w:color w:val="231F20"/>
          <w:w w:val="105"/>
        </w:rPr>
        <w:t>físicos</w:t>
      </w:r>
      <w:r>
        <w:rPr>
          <w:color w:val="231F20"/>
          <w:spacing w:val="-26"/>
          <w:w w:val="105"/>
        </w:rPr>
        <w:t> </w:t>
      </w:r>
      <w:r>
        <w:rPr>
          <w:color w:val="231F20"/>
          <w:w w:val="105"/>
        </w:rPr>
        <w:t>en</w:t>
      </w:r>
      <w:r>
        <w:rPr>
          <w:color w:val="231F20"/>
          <w:spacing w:val="-26"/>
          <w:w w:val="105"/>
        </w:rPr>
        <w:t> </w:t>
      </w:r>
      <w:r>
        <w:rPr>
          <w:color w:val="231F20"/>
          <w:w w:val="105"/>
        </w:rPr>
        <w:t>los</w:t>
      </w:r>
      <w:r>
        <w:rPr>
          <w:color w:val="231F20"/>
          <w:spacing w:val="-26"/>
          <w:w w:val="105"/>
        </w:rPr>
        <w:t> </w:t>
      </w:r>
      <w:r>
        <w:rPr>
          <w:color w:val="231F20"/>
          <w:w w:val="105"/>
        </w:rPr>
        <w:t>últimos</w:t>
      </w:r>
      <w:r>
        <w:rPr>
          <w:color w:val="231F20"/>
          <w:spacing w:val="-26"/>
          <w:w w:val="105"/>
        </w:rPr>
        <w:t> </w:t>
      </w:r>
      <w:r>
        <w:rPr>
          <w:color w:val="231F20"/>
          <w:w w:val="105"/>
        </w:rPr>
        <w:t>15 días</w:t>
      </w:r>
      <w:r>
        <w:rPr>
          <w:color w:val="231F20"/>
          <w:spacing w:val="-22"/>
          <w:w w:val="105"/>
        </w:rPr>
        <w:t> </w:t>
      </w:r>
      <w:r>
        <w:rPr>
          <w:color w:val="231F20"/>
          <w:w w:val="105"/>
        </w:rPr>
        <w:t>se</w:t>
      </w:r>
      <w:r>
        <w:rPr>
          <w:color w:val="231F20"/>
          <w:spacing w:val="-22"/>
          <w:w w:val="105"/>
        </w:rPr>
        <w:t> </w:t>
      </w:r>
      <w:r>
        <w:rPr>
          <w:color w:val="231F20"/>
          <w:w w:val="105"/>
        </w:rPr>
        <w:t>obtuvieron</w:t>
      </w:r>
      <w:r>
        <w:rPr>
          <w:color w:val="231F20"/>
          <w:spacing w:val="-22"/>
          <w:w w:val="105"/>
        </w:rPr>
        <w:t> </w:t>
      </w:r>
      <w:r>
        <w:rPr>
          <w:color w:val="231F20"/>
          <w:w w:val="105"/>
        </w:rPr>
        <w:t>porcentajes</w:t>
      </w:r>
      <w:r>
        <w:rPr>
          <w:color w:val="231F20"/>
          <w:spacing w:val="-22"/>
          <w:w w:val="105"/>
        </w:rPr>
        <w:t> </w:t>
      </w:r>
      <w:r>
        <w:rPr>
          <w:color w:val="231F20"/>
          <w:w w:val="105"/>
        </w:rPr>
        <w:t>bajos.</w:t>
      </w:r>
      <w:r>
        <w:rPr>
          <w:color w:val="231F20"/>
          <w:spacing w:val="-26"/>
          <w:w w:val="105"/>
        </w:rPr>
        <w:t> </w:t>
      </w:r>
      <w:r>
        <w:rPr>
          <w:color w:val="231F20"/>
          <w:w w:val="105"/>
        </w:rPr>
        <w:t>En</w:t>
      </w:r>
      <w:r>
        <w:rPr>
          <w:color w:val="231F20"/>
          <w:spacing w:val="-22"/>
          <w:w w:val="105"/>
        </w:rPr>
        <w:t> </w:t>
      </w:r>
      <w:r>
        <w:rPr>
          <w:color w:val="231F20"/>
          <w:w w:val="105"/>
        </w:rPr>
        <w:t>términos</w:t>
      </w:r>
      <w:r>
        <w:rPr>
          <w:color w:val="231F20"/>
          <w:spacing w:val="-22"/>
          <w:w w:val="105"/>
        </w:rPr>
        <w:t> </w:t>
      </w:r>
      <w:r>
        <w:rPr>
          <w:color w:val="231F20"/>
          <w:w w:val="105"/>
        </w:rPr>
        <w:t>generales,</w:t>
      </w:r>
      <w:r>
        <w:rPr>
          <w:color w:val="231F20"/>
          <w:spacing w:val="-26"/>
          <w:w w:val="105"/>
        </w:rPr>
        <w:t> </w:t>
      </w:r>
      <w:r>
        <w:rPr>
          <w:color w:val="231F20"/>
          <w:w w:val="105"/>
        </w:rPr>
        <w:t>sobresalen aquellos</w:t>
      </w:r>
      <w:r>
        <w:rPr>
          <w:color w:val="231F20"/>
          <w:spacing w:val="-4"/>
          <w:w w:val="105"/>
        </w:rPr>
        <w:t> </w:t>
      </w:r>
      <w:r>
        <w:rPr>
          <w:color w:val="231F20"/>
          <w:w w:val="105"/>
        </w:rPr>
        <w:t>que</w:t>
      </w:r>
      <w:r>
        <w:rPr>
          <w:color w:val="231F20"/>
          <w:spacing w:val="-4"/>
          <w:w w:val="105"/>
        </w:rPr>
        <w:t> </w:t>
      </w:r>
      <w:r>
        <w:rPr>
          <w:color w:val="231F20"/>
          <w:w w:val="105"/>
        </w:rPr>
        <w:t>manifestaron</w:t>
      </w:r>
      <w:r>
        <w:rPr>
          <w:color w:val="231F20"/>
          <w:spacing w:val="-4"/>
          <w:w w:val="105"/>
        </w:rPr>
        <w:t> </w:t>
      </w:r>
      <w:r>
        <w:rPr>
          <w:color w:val="231F20"/>
          <w:w w:val="105"/>
        </w:rPr>
        <w:t>haber</w:t>
      </w:r>
      <w:r>
        <w:rPr>
          <w:color w:val="231F20"/>
          <w:spacing w:val="-4"/>
          <w:w w:val="105"/>
        </w:rPr>
        <w:t> </w:t>
      </w:r>
      <w:r>
        <w:rPr>
          <w:color w:val="231F20"/>
          <w:w w:val="105"/>
        </w:rPr>
        <w:t>presentado</w:t>
      </w:r>
      <w:r>
        <w:rPr>
          <w:color w:val="231F20"/>
          <w:spacing w:val="-4"/>
          <w:w w:val="105"/>
        </w:rPr>
        <w:t> </w:t>
      </w:r>
      <w:r>
        <w:rPr>
          <w:color w:val="231F20"/>
          <w:w w:val="105"/>
        </w:rPr>
        <w:t>tos,</w:t>
      </w:r>
      <w:r>
        <w:rPr>
          <w:color w:val="231F20"/>
          <w:spacing w:val="-10"/>
          <w:w w:val="105"/>
        </w:rPr>
        <w:t> </w:t>
      </w:r>
      <w:r>
        <w:rPr>
          <w:color w:val="231F20"/>
          <w:w w:val="105"/>
        </w:rPr>
        <w:t>con</w:t>
      </w:r>
      <w:r>
        <w:rPr>
          <w:color w:val="231F20"/>
          <w:spacing w:val="-4"/>
          <w:w w:val="105"/>
        </w:rPr>
        <w:t> </w:t>
      </w:r>
      <w:r>
        <w:rPr>
          <w:color w:val="231F20"/>
          <w:w w:val="105"/>
        </w:rPr>
        <w:t>8.1%,</w:t>
      </w:r>
      <w:r>
        <w:rPr>
          <w:color w:val="231F20"/>
          <w:spacing w:val="-10"/>
          <w:w w:val="105"/>
        </w:rPr>
        <w:t> </w:t>
      </w:r>
      <w:r>
        <w:rPr>
          <w:color w:val="231F20"/>
          <w:w w:val="105"/>
        </w:rPr>
        <w:t>seguido</w:t>
      </w:r>
      <w:r>
        <w:rPr>
          <w:color w:val="231F20"/>
          <w:spacing w:val="-4"/>
          <w:w w:val="105"/>
        </w:rPr>
        <w:t> </w:t>
      </w:r>
      <w:r>
        <w:rPr>
          <w:color w:val="231F20"/>
          <w:w w:val="105"/>
        </w:rPr>
        <w:t>de quienes</w:t>
      </w:r>
      <w:r>
        <w:rPr>
          <w:color w:val="231F20"/>
          <w:spacing w:val="-29"/>
          <w:w w:val="105"/>
        </w:rPr>
        <w:t> </w:t>
      </w:r>
      <w:r>
        <w:rPr>
          <w:color w:val="231F20"/>
          <w:w w:val="105"/>
        </w:rPr>
        <w:t>señalaron</w:t>
      </w:r>
      <w:r>
        <w:rPr>
          <w:color w:val="231F20"/>
          <w:spacing w:val="-29"/>
          <w:w w:val="105"/>
        </w:rPr>
        <w:t> </w:t>
      </w:r>
      <w:r>
        <w:rPr>
          <w:color w:val="231F20"/>
          <w:w w:val="105"/>
        </w:rPr>
        <w:t>haber</w:t>
      </w:r>
      <w:r>
        <w:rPr>
          <w:color w:val="231F20"/>
          <w:spacing w:val="-29"/>
          <w:w w:val="105"/>
        </w:rPr>
        <w:t> </w:t>
      </w:r>
      <w:r>
        <w:rPr>
          <w:color w:val="231F20"/>
          <w:w w:val="105"/>
        </w:rPr>
        <w:t>sentido</w:t>
      </w:r>
      <w:r>
        <w:rPr>
          <w:color w:val="231F20"/>
          <w:spacing w:val="-29"/>
          <w:w w:val="105"/>
        </w:rPr>
        <w:t> </w:t>
      </w:r>
      <w:r>
        <w:rPr>
          <w:color w:val="231F20"/>
          <w:w w:val="105"/>
        </w:rPr>
        <w:t>tristeza,</w:t>
      </w:r>
      <w:r>
        <w:rPr>
          <w:color w:val="231F20"/>
          <w:spacing w:val="-32"/>
          <w:w w:val="105"/>
        </w:rPr>
        <w:t> </w:t>
      </w:r>
      <w:r>
        <w:rPr>
          <w:color w:val="231F20"/>
          <w:w w:val="105"/>
        </w:rPr>
        <w:t>4.3%,</w:t>
      </w:r>
      <w:r>
        <w:rPr>
          <w:color w:val="231F20"/>
          <w:spacing w:val="-32"/>
          <w:w w:val="105"/>
        </w:rPr>
        <w:t> </w:t>
      </w:r>
      <w:r>
        <w:rPr>
          <w:color w:val="231F20"/>
          <w:w w:val="105"/>
        </w:rPr>
        <w:t>o</w:t>
      </w:r>
      <w:r>
        <w:rPr>
          <w:color w:val="231F20"/>
          <w:spacing w:val="-29"/>
          <w:w w:val="105"/>
        </w:rPr>
        <w:t> </w:t>
      </w:r>
      <w:r>
        <w:rPr>
          <w:color w:val="231F20"/>
          <w:w w:val="105"/>
        </w:rPr>
        <w:t>presentado</w:t>
      </w:r>
      <w:r>
        <w:rPr>
          <w:color w:val="231F20"/>
          <w:spacing w:val="-29"/>
          <w:w w:val="105"/>
        </w:rPr>
        <w:t> </w:t>
      </w:r>
      <w:r>
        <w:rPr>
          <w:color w:val="231F20"/>
          <w:w w:val="105"/>
        </w:rPr>
        <w:t>diarrea,</w:t>
      </w:r>
      <w:r>
        <w:rPr>
          <w:color w:val="231F20"/>
          <w:spacing w:val="-32"/>
          <w:w w:val="105"/>
        </w:rPr>
        <w:t> </w:t>
      </w:r>
      <w:r>
        <w:rPr>
          <w:color w:val="231F20"/>
          <w:w w:val="105"/>
        </w:rPr>
        <w:t>2% </w:t>
      </w:r>
      <w:r>
        <w:rPr>
          <w:color w:val="231F20"/>
        </w:rPr>
        <w:t>(véase gráfica</w:t>
      </w:r>
      <w:r>
        <w:rPr>
          <w:color w:val="231F20"/>
          <w:spacing w:val="-17"/>
        </w:rPr>
        <w:t> </w:t>
      </w:r>
      <w:r>
        <w:rPr>
          <w:color w:val="231F20"/>
        </w:rPr>
        <w:t>3.3).</w:t>
      </w:r>
    </w:p>
    <w:p>
      <w:pPr>
        <w:pStyle w:val="BodyText"/>
        <w:spacing w:before="4"/>
      </w:pPr>
    </w:p>
    <w:p>
      <w:pPr>
        <w:spacing w:line="249" w:lineRule="auto" w:before="0"/>
        <w:ind w:left="2154" w:right="2039" w:firstLine="0"/>
        <w:jc w:val="center"/>
        <w:rPr>
          <w:rFonts w:ascii="Arial" w:hAnsi="Arial"/>
          <w:sz w:val="18"/>
        </w:rPr>
      </w:pPr>
      <w:r>
        <w:rPr>
          <w:rFonts w:ascii="Arial" w:hAnsi="Arial"/>
          <w:color w:val="231F20"/>
          <w:w w:val="105"/>
          <w:sz w:val="18"/>
        </w:rPr>
        <w:t>Gráfica 3.2 Distribución porcentual sobre la percepción que los migrantes en flujo procedentes de Estados Unidos, nacidos en el Estado de México tienen sobre su estado de salud, 2013</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15"/>
        </w:rPr>
      </w:pPr>
    </w:p>
    <w:p>
      <w:pPr>
        <w:spacing w:line="283" w:lineRule="auto" w:before="48"/>
        <w:ind w:left="6850" w:right="2805" w:firstLine="0"/>
        <w:jc w:val="left"/>
        <w:rPr>
          <w:rFonts w:ascii="Lucida Sans Unicode"/>
          <w:sz w:val="15"/>
        </w:rPr>
      </w:pPr>
      <w:r>
        <w:rPr/>
        <w:pict>
          <v:group style="position:absolute;margin-left:141.921143pt;margin-top:-46.424938pt;width:159.75pt;height:171.35pt;mso-position-horizontal-relative:page;mso-position-vertical-relative:paragraph;z-index:23512" coordorigin="2838,-928" coordsize="3195,3427">
            <v:shape style="position:absolute;left:4436;top:-685;width:1213;height:1585" type="#_x0000_t75" stroked="false">
              <v:imagedata r:id="rId262" o:title=""/>
            </v:shape>
            <v:shape style="position:absolute;left:2850;top:-343;width:3171;height:2830" coordorigin="2850,-343" coordsize="3171,2830" path="m3453,-343l3443,-335,3434,-328,3424,-320,3415,-312,3357,-261,3303,-208,3251,-153,3203,-96,3158,-38,3115,23,3076,85,3040,148,3007,213,2977,279,2950,346,2927,414,2906,483,2889,553,2875,623,2864,694,2856,765,2852,837,2850,908,2852,980,2857,1051,2866,1123,2877,1194,2892,1265,2911,1335,2932,1404,2957,1473,2985,1541,3016,1607,3051,1673,3089,1737,3130,1800,3175,1862,3223,1922,3274,1979,3327,2034,3382,2085,3439,2134,3498,2179,3558,2222,3620,2261,3683,2297,3748,2330,3814,2360,3881,2386,3949,2410,4018,2430,4088,2448,4158,2462,4229,2473,4300,2481,4372,2485,4443,2486,4515,2484,4586,2479,4658,2471,4729,2459,4800,2444,4870,2426,4939,2405,5008,2380,5076,2352,5142,2321,5208,2286,5272,2248,5335,2207,5397,2162,5457,2114,5514,2063,5569,2010,5621,1955,5669,1898,5714,1839,5757,1779,5796,1717,5832,1653,5865,1589,5895,1523,5922,1456,5945,1388,5966,1319,5983,1249,5997,1179,6008,1108,6016,1037,6020,965,6021,901,4436,901,3453,-343xm5649,-120l4436,901,6021,901,6021,894,6020,822,6014,750,6006,679,5994,608,5979,537,5961,467,5940,398,5915,329,5887,261,5856,194,5821,129,5783,64,5742,1,5697,-60,5649,-120xe" filled="true" fillcolor="#ffffff" stroked="false">
              <v:path arrowok="t"/>
              <v:fill type="solid"/>
            </v:shape>
            <v:shape style="position:absolute;left:2850;top:-343;width:3171;height:2829" type="#_x0000_t75" stroked="false">
              <v:imagedata r:id="rId263" o:title=""/>
            </v:shape>
            <v:shape style="position:absolute;left:2850;top:-343;width:3171;height:2830" coordorigin="2850,-343" coordsize="3171,2830" path="m5649,-120l5697,-60,5742,1,5783,64,5821,129,5856,194,5887,261,5915,329,5940,398,5961,467,5979,537,5994,608,6006,679,6014,750,6020,822,6021,894,6020,965,6016,1037,6008,1108,5997,1179,5983,1249,5966,1319,5945,1388,5922,1456,5895,1523,5865,1589,5832,1653,5796,1717,5757,1779,5714,1839,5669,1898,5621,1955,5569,2010,5514,2063,5457,2114,5397,2162,5335,2207,5272,2248,5208,2286,5142,2321,5076,2352,5008,2380,4939,2405,4870,2426,4800,2444,4729,2459,4658,2471,4586,2479,4515,2484,4443,2486,4372,2485,4300,2481,4229,2473,4158,2462,4088,2448,4018,2430,3949,2410,3881,2386,3814,2360,3748,2330,3683,2297,3620,2261,3558,2222,3498,2179,3439,2134,3382,2085,3327,2034,3274,1979,3223,1922,3175,1862,3130,1800,3089,1737,3051,1673,3016,1607,2985,1541,2957,1473,2932,1404,2911,1335,2892,1265,2877,1194,2866,1123,2857,1051,2852,980,2850,908,2852,837,2856,765,2864,694,2875,623,2889,553,2906,483,2927,414,2950,346,2977,279,3007,213,3040,148,3076,85,3115,23,3158,-38,3203,-96,3251,-153,3303,-208,3357,-261,3415,-312,3453,-343,4436,901,5649,-120xe" filled="false" stroked="true" strokeweight="1.156pt" strokecolor="#ffffff">
              <v:path arrowok="t"/>
            </v:shape>
            <v:shape style="position:absolute;left:3453;top:-663;width:983;height:1565" coordorigin="3453,-663" coordsize="983,1565" path="m4177,-663l4098,-648,4020,-629,3943,-606,3868,-579,3794,-549,3722,-515,3652,-477,3584,-436,3517,-391,3453,-343,4436,901,4177,-663xe" filled="true" fillcolor="#ffffff" stroked="false">
              <v:path arrowok="t"/>
              <v:fill type="solid"/>
            </v:shape>
            <v:shape style="position:absolute;left:3453;top:-663;width:983;height:1564" type="#_x0000_t75" stroked="false">
              <v:imagedata r:id="rId264" o:title=""/>
            </v:shape>
            <v:shape style="position:absolute;left:3453;top:-663;width:983;height:1565" coordorigin="3453,-663" coordsize="983,1565" path="m3453,-343l3517,-391,3584,-436,3652,-477,3722,-515,3794,-549,3868,-579,3943,-606,4020,-629,4098,-648,4177,-663,4436,901,3453,-343xe" filled="false" stroked="true" strokeweight="1.156pt" strokecolor="#ffffff">
              <v:path arrowok="t"/>
            </v:shape>
            <v:shape style="position:absolute;left:4154;top:-829;width:260;height:1574" coordorigin="4154,-829" coordsize="260,1574" path="m4217,-829l4201,-827,4185,-825,4169,-823,4154,-820,4413,744,4217,-829xe" filled="true" fillcolor="#ffffff" stroked="false">
              <v:path arrowok="t"/>
              <v:fill type="solid"/>
            </v:shape>
            <v:shape style="position:absolute;left:4154;top:-829;width:259;height:1573" type="#_x0000_t75" stroked="false">
              <v:imagedata r:id="rId265" o:title=""/>
            </v:shape>
            <v:shape style="position:absolute;left:4154;top:-829;width:260;height:1574" coordorigin="4154,-829" coordsize="260,1574" path="m4154,-820l4169,-823,4185,-825,4201,-827,4217,-829,4413,744,4154,-820xe" filled="false" stroked="true" strokeweight="1.156pt" strokecolor="#ffffff">
              <v:path arrowok="t"/>
            </v:shape>
            <v:shape style="position:absolute;left:4240;top:-685;width:197;height:1586" coordorigin="4240,-685" coordsize="197,1586" path="m4436,-685l4387,-684,4338,-682,4289,-678,4240,-672,4436,901,4436,-685xe" filled="true" fillcolor="#ffffff" stroked="false">
              <v:path arrowok="t"/>
              <v:fill type="solid"/>
            </v:shape>
            <v:shape style="position:absolute;left:4240;top:-685;width:196;height:1585" type="#_x0000_t75" stroked="false">
              <v:imagedata r:id="rId266" o:title=""/>
            </v:shape>
            <v:shape style="position:absolute;left:4240;top:-685;width:197;height:1586" coordorigin="4240,-685" coordsize="197,1586" path="m4240,-672l4289,-678,4338,-682,4387,-684,4436,-685,4436,901,4240,-672xe" filled="false" stroked="true" strokeweight="1.156pt" strokecolor="#ffffff">
              <v:path arrowok="t"/>
            </v:shape>
            <v:shape style="position:absolute;left:3978;top:-928;width:219;height:155" type="#_x0000_t202" filled="false" stroked="false">
              <v:textbox inset="0,0,0,0">
                <w:txbxContent>
                  <w:p>
                    <w:pPr>
                      <w:spacing w:line="154" w:lineRule="exact" w:before="0"/>
                      <w:ind w:left="0" w:right="-15" w:firstLine="0"/>
                      <w:jc w:val="left"/>
                      <w:rPr>
                        <w:rFonts w:ascii="Lucida Sans Unicode"/>
                        <w:sz w:val="15"/>
                      </w:rPr>
                    </w:pPr>
                    <w:r>
                      <w:rPr>
                        <w:rFonts w:ascii="Lucida Sans Unicode"/>
                        <w:color w:val="231F20"/>
                        <w:w w:val="90"/>
                        <w:sz w:val="15"/>
                      </w:rPr>
                      <w:t>0.6</w:t>
                    </w:r>
                  </w:p>
                </w:txbxContent>
              </v:textbox>
              <w10:wrap type="none"/>
            </v:shape>
            <v:shape style="position:absolute;left:4299;top:-827;width:219;height:155" type="#_x0000_t202" filled="false" stroked="false">
              <v:textbox inset="0,0,0,0">
                <w:txbxContent>
                  <w:p>
                    <w:pPr>
                      <w:spacing w:line="154" w:lineRule="exact" w:before="0"/>
                      <w:ind w:left="0" w:right="-15" w:firstLine="0"/>
                      <w:jc w:val="left"/>
                      <w:rPr>
                        <w:rFonts w:ascii="Lucida Sans Unicode"/>
                        <w:sz w:val="15"/>
                      </w:rPr>
                    </w:pPr>
                    <w:r>
                      <w:rPr>
                        <w:rFonts w:ascii="Lucida Sans Unicode"/>
                        <w:color w:val="231F20"/>
                        <w:w w:val="90"/>
                        <w:sz w:val="15"/>
                      </w:rPr>
                      <w:t>2.0</w:t>
                    </w:r>
                  </w:p>
                </w:txbxContent>
              </v:textbox>
              <w10:wrap type="none"/>
            </v:shape>
            <v:shape style="position:absolute;left:3583;top:-673;width:219;height:155" type="#_x0000_t202" filled="false" stroked="false">
              <v:textbox inset="0,0,0,0">
                <w:txbxContent>
                  <w:p>
                    <w:pPr>
                      <w:spacing w:line="154" w:lineRule="exact" w:before="0"/>
                      <w:ind w:left="0" w:right="-15" w:firstLine="0"/>
                      <w:jc w:val="left"/>
                      <w:rPr>
                        <w:rFonts w:ascii="Lucida Sans Unicode"/>
                        <w:sz w:val="15"/>
                      </w:rPr>
                    </w:pPr>
                    <w:r>
                      <w:rPr>
                        <w:rFonts w:ascii="Lucida Sans Unicode"/>
                        <w:color w:val="231F20"/>
                        <w:w w:val="90"/>
                        <w:sz w:val="15"/>
                      </w:rPr>
                      <w:t>8.0</w:t>
                    </w:r>
                  </w:p>
                </w:txbxContent>
              </v:textbox>
              <w10:wrap type="none"/>
            </v:shape>
            <v:shape style="position:absolute;left:5078;top:-666;width:309;height:155" type="#_x0000_t202" filled="false" stroked="false">
              <v:textbox inset="0,0,0,0">
                <w:txbxContent>
                  <w:p>
                    <w:pPr>
                      <w:spacing w:line="154" w:lineRule="exact" w:before="0"/>
                      <w:ind w:left="0" w:right="-10" w:firstLine="0"/>
                      <w:jc w:val="left"/>
                      <w:rPr>
                        <w:rFonts w:ascii="Lucida Sans Unicode"/>
                        <w:sz w:val="15"/>
                      </w:rPr>
                    </w:pPr>
                    <w:r>
                      <w:rPr>
                        <w:rFonts w:ascii="Lucida Sans Unicode"/>
                        <w:color w:val="231F20"/>
                        <w:w w:val="90"/>
                        <w:sz w:val="15"/>
                      </w:rPr>
                      <w:t>13.9</w:t>
                    </w:r>
                  </w:p>
                </w:txbxContent>
              </v:textbox>
              <w10:wrap type="none"/>
            </v:shape>
            <w10:wrap type="none"/>
          </v:group>
        </w:pict>
      </w:r>
      <w:r>
        <w:rPr/>
        <w:drawing>
          <wp:anchor distT="0" distB="0" distL="0" distR="0" allowOverlap="1" layoutInCell="1" locked="0" behindDoc="0" simplePos="0" relativeHeight="23536">
            <wp:simplePos x="0" y="0"/>
            <wp:positionH relativeFrom="page">
              <wp:posOffset>4175645</wp:posOffset>
            </wp:positionH>
            <wp:positionV relativeFrom="paragraph">
              <wp:posOffset>47543</wp:posOffset>
            </wp:positionV>
            <wp:extent cx="96304" cy="96291"/>
            <wp:effectExtent l="0" t="0" r="0" b="0"/>
            <wp:wrapNone/>
            <wp:docPr id="41" name="image161.png" descr=""/>
            <wp:cNvGraphicFramePr>
              <a:graphicFrameLocks noChangeAspect="1"/>
            </wp:cNvGraphicFramePr>
            <a:graphic>
              <a:graphicData uri="http://schemas.openxmlformats.org/drawingml/2006/picture">
                <pic:pic>
                  <pic:nvPicPr>
                    <pic:cNvPr id="42" name="image161.png"/>
                    <pic:cNvPicPr/>
                  </pic:nvPicPr>
                  <pic:blipFill>
                    <a:blip r:embed="rId267" cstate="print"/>
                    <a:stretch>
                      <a:fillRect/>
                    </a:stretch>
                  </pic:blipFill>
                  <pic:spPr>
                    <a:xfrm>
                      <a:off x="0" y="0"/>
                      <a:ext cx="96304" cy="96291"/>
                    </a:xfrm>
                    <a:prstGeom prst="rect">
                      <a:avLst/>
                    </a:prstGeom>
                  </pic:spPr>
                </pic:pic>
              </a:graphicData>
            </a:graphic>
          </wp:anchor>
        </w:drawing>
      </w:r>
      <w:r>
        <w:rPr/>
        <w:drawing>
          <wp:anchor distT="0" distB="0" distL="0" distR="0" allowOverlap="1" layoutInCell="1" locked="0" behindDoc="0" simplePos="0" relativeHeight="23560">
            <wp:simplePos x="0" y="0"/>
            <wp:positionH relativeFrom="page">
              <wp:posOffset>4179074</wp:posOffset>
            </wp:positionH>
            <wp:positionV relativeFrom="paragraph">
              <wp:posOffset>221228</wp:posOffset>
            </wp:positionV>
            <wp:extent cx="96304" cy="96304"/>
            <wp:effectExtent l="0" t="0" r="0" b="0"/>
            <wp:wrapNone/>
            <wp:docPr id="43" name="image162.png" descr=""/>
            <wp:cNvGraphicFramePr>
              <a:graphicFrameLocks noChangeAspect="1"/>
            </wp:cNvGraphicFramePr>
            <a:graphic>
              <a:graphicData uri="http://schemas.openxmlformats.org/drawingml/2006/picture">
                <pic:pic>
                  <pic:nvPicPr>
                    <pic:cNvPr id="44" name="image162.png"/>
                    <pic:cNvPicPr/>
                  </pic:nvPicPr>
                  <pic:blipFill>
                    <a:blip r:embed="rId268" cstate="print"/>
                    <a:stretch>
                      <a:fillRect/>
                    </a:stretch>
                  </pic:blipFill>
                  <pic:spPr>
                    <a:xfrm>
                      <a:off x="0" y="0"/>
                      <a:ext cx="96304" cy="96304"/>
                    </a:xfrm>
                    <a:prstGeom prst="rect">
                      <a:avLst/>
                    </a:prstGeom>
                  </pic:spPr>
                </pic:pic>
              </a:graphicData>
            </a:graphic>
          </wp:anchor>
        </w:drawing>
      </w:r>
      <w:r>
        <w:rPr/>
        <w:drawing>
          <wp:anchor distT="0" distB="0" distL="0" distR="0" allowOverlap="1" layoutInCell="1" locked="0" behindDoc="0" simplePos="0" relativeHeight="23584">
            <wp:simplePos x="0" y="0"/>
            <wp:positionH relativeFrom="page">
              <wp:posOffset>4178515</wp:posOffset>
            </wp:positionH>
            <wp:positionV relativeFrom="paragraph">
              <wp:posOffset>397428</wp:posOffset>
            </wp:positionV>
            <wp:extent cx="96304" cy="96316"/>
            <wp:effectExtent l="0" t="0" r="0" b="0"/>
            <wp:wrapNone/>
            <wp:docPr id="45" name="image163.png" descr=""/>
            <wp:cNvGraphicFramePr>
              <a:graphicFrameLocks noChangeAspect="1"/>
            </wp:cNvGraphicFramePr>
            <a:graphic>
              <a:graphicData uri="http://schemas.openxmlformats.org/drawingml/2006/picture">
                <pic:pic>
                  <pic:nvPicPr>
                    <pic:cNvPr id="46" name="image163.png"/>
                    <pic:cNvPicPr/>
                  </pic:nvPicPr>
                  <pic:blipFill>
                    <a:blip r:embed="rId269" cstate="print"/>
                    <a:stretch>
                      <a:fillRect/>
                    </a:stretch>
                  </pic:blipFill>
                  <pic:spPr>
                    <a:xfrm>
                      <a:off x="0" y="0"/>
                      <a:ext cx="96304" cy="96316"/>
                    </a:xfrm>
                    <a:prstGeom prst="rect">
                      <a:avLst/>
                    </a:prstGeom>
                  </pic:spPr>
                </pic:pic>
              </a:graphicData>
            </a:graphic>
          </wp:anchor>
        </w:drawing>
      </w:r>
      <w:r>
        <w:rPr/>
        <w:drawing>
          <wp:anchor distT="0" distB="0" distL="0" distR="0" allowOverlap="1" layoutInCell="1" locked="0" behindDoc="0" simplePos="0" relativeHeight="23608">
            <wp:simplePos x="0" y="0"/>
            <wp:positionH relativeFrom="page">
              <wp:posOffset>4180573</wp:posOffset>
            </wp:positionH>
            <wp:positionV relativeFrom="paragraph">
              <wp:posOffset>579749</wp:posOffset>
            </wp:positionV>
            <wp:extent cx="96304" cy="96304"/>
            <wp:effectExtent l="0" t="0" r="0" b="0"/>
            <wp:wrapNone/>
            <wp:docPr id="47" name="image164.png" descr=""/>
            <wp:cNvGraphicFramePr>
              <a:graphicFrameLocks noChangeAspect="1"/>
            </wp:cNvGraphicFramePr>
            <a:graphic>
              <a:graphicData uri="http://schemas.openxmlformats.org/drawingml/2006/picture">
                <pic:pic>
                  <pic:nvPicPr>
                    <pic:cNvPr id="48" name="image164.png"/>
                    <pic:cNvPicPr/>
                  </pic:nvPicPr>
                  <pic:blipFill>
                    <a:blip r:embed="rId270" cstate="print"/>
                    <a:stretch>
                      <a:fillRect/>
                    </a:stretch>
                  </pic:blipFill>
                  <pic:spPr>
                    <a:xfrm>
                      <a:off x="0" y="0"/>
                      <a:ext cx="96304" cy="96304"/>
                    </a:xfrm>
                    <a:prstGeom prst="rect">
                      <a:avLst/>
                    </a:prstGeom>
                  </pic:spPr>
                </pic:pic>
              </a:graphicData>
            </a:graphic>
          </wp:anchor>
        </w:drawing>
      </w:r>
      <w:r>
        <w:rPr>
          <w:rFonts w:ascii="Lucida Sans Unicode"/>
          <w:color w:val="231F20"/>
          <w:sz w:val="15"/>
        </w:rPr>
        <w:t>Muy bueno Bueno Regular Malo</w:t>
      </w:r>
    </w:p>
    <w:p>
      <w:pPr>
        <w:spacing w:before="13"/>
        <w:ind w:left="6850" w:right="0" w:firstLine="0"/>
        <w:jc w:val="left"/>
        <w:rPr>
          <w:rFonts w:ascii="Lucida Sans Unicode"/>
          <w:sz w:val="15"/>
        </w:rPr>
      </w:pPr>
      <w:r>
        <w:rPr/>
        <w:drawing>
          <wp:anchor distT="0" distB="0" distL="0" distR="0" allowOverlap="1" layoutInCell="1" locked="0" behindDoc="0" simplePos="0" relativeHeight="23632">
            <wp:simplePos x="0" y="0"/>
            <wp:positionH relativeFrom="page">
              <wp:posOffset>4183430</wp:posOffset>
            </wp:positionH>
            <wp:positionV relativeFrom="paragraph">
              <wp:posOffset>32901</wp:posOffset>
            </wp:positionV>
            <wp:extent cx="96304" cy="96291"/>
            <wp:effectExtent l="0" t="0" r="0" b="0"/>
            <wp:wrapNone/>
            <wp:docPr id="49" name="image165.png" descr=""/>
            <wp:cNvGraphicFramePr>
              <a:graphicFrameLocks noChangeAspect="1"/>
            </wp:cNvGraphicFramePr>
            <a:graphic>
              <a:graphicData uri="http://schemas.openxmlformats.org/drawingml/2006/picture">
                <pic:pic>
                  <pic:nvPicPr>
                    <pic:cNvPr id="50" name="image165.png"/>
                    <pic:cNvPicPr/>
                  </pic:nvPicPr>
                  <pic:blipFill>
                    <a:blip r:embed="rId271" cstate="print"/>
                    <a:stretch>
                      <a:fillRect/>
                    </a:stretch>
                  </pic:blipFill>
                  <pic:spPr>
                    <a:xfrm>
                      <a:off x="0" y="0"/>
                      <a:ext cx="96304" cy="96291"/>
                    </a:xfrm>
                    <a:prstGeom prst="rect">
                      <a:avLst/>
                    </a:prstGeom>
                  </pic:spPr>
                </pic:pic>
              </a:graphicData>
            </a:graphic>
          </wp:anchor>
        </w:drawing>
      </w:r>
      <w:r>
        <w:rPr>
          <w:rFonts w:ascii="Lucida Sans Unicode"/>
          <w:color w:val="231F20"/>
          <w:sz w:val="15"/>
        </w:rPr>
        <w:t>No responde</w:t>
      </w:r>
    </w:p>
    <w:p>
      <w:pPr>
        <w:pStyle w:val="BodyText"/>
        <w:rPr>
          <w:rFonts w:ascii="Lucida Sans Unicode"/>
          <w:sz w:val="20"/>
        </w:rPr>
      </w:pPr>
    </w:p>
    <w:p>
      <w:pPr>
        <w:pStyle w:val="BodyText"/>
        <w:rPr>
          <w:rFonts w:ascii="Lucida Sans Unicode"/>
          <w:sz w:val="20"/>
        </w:rPr>
      </w:pPr>
    </w:p>
    <w:p>
      <w:pPr>
        <w:pStyle w:val="BodyText"/>
        <w:spacing w:before="11"/>
        <w:rPr>
          <w:rFonts w:ascii="Lucida Sans Unicode"/>
          <w:sz w:val="29"/>
        </w:rPr>
      </w:pPr>
    </w:p>
    <w:p>
      <w:pPr>
        <w:spacing w:before="49"/>
        <w:ind w:left="664" w:right="2804" w:firstLine="0"/>
        <w:jc w:val="center"/>
        <w:rPr>
          <w:rFonts w:ascii="Lucida Sans Unicode"/>
          <w:sz w:val="15"/>
        </w:rPr>
      </w:pPr>
      <w:r>
        <w:rPr>
          <w:rFonts w:ascii="Lucida Sans Unicode"/>
          <w:color w:val="231F20"/>
          <w:sz w:val="15"/>
        </w:rPr>
        <w:t>75.5</w:t>
      </w:r>
    </w:p>
    <w:p>
      <w:pPr>
        <w:spacing w:line="254" w:lineRule="auto" w:before="14"/>
        <w:ind w:left="2857" w:right="2675" w:firstLine="0"/>
        <w:jc w:val="left"/>
        <w:rPr>
          <w:sz w:val="16"/>
        </w:rPr>
      </w:pPr>
      <w:r>
        <w:rPr/>
        <w:pict>
          <v:line style="position:absolute;mso-position-horizontal-relative:page;mso-position-vertical-relative:paragraph;z-index:-466480" from="15pt,90.427696pt" to="0pt,90.427696pt" stroked="true" strokeweight=".25pt" strokecolor="#000000">
            <w10:wrap type="none"/>
          </v:line>
        </w:pict>
      </w:r>
      <w:r>
        <w:rPr/>
        <w:pict>
          <v:line style="position:absolute;mso-position-horizontal-relative:page;mso-position-vertical-relative:paragraph;z-index:23728" from="508.890015pt,90.427696pt" to="523.890015pt,90.427696pt" stroked="true" strokeweight=".25pt" strokecolor="#000000">
            <w10:wrap type="none"/>
          </v:line>
        </w:pict>
      </w:r>
      <w:r>
        <w:rPr>
          <w:color w:val="231F20"/>
          <w:w w:val="105"/>
          <w:sz w:val="16"/>
        </w:rPr>
        <w:t>Fuente: elaboración propia con datos de la Encuesta de Migración de la Frontera Norte, 2013 (</w:t>
      </w:r>
      <w:r>
        <w:rPr>
          <w:color w:val="231F20"/>
          <w:w w:val="105"/>
          <w:sz w:val="14"/>
        </w:rPr>
        <w:t>CONAPO</w:t>
      </w:r>
      <w:r>
        <w:rPr>
          <w:color w:val="231F20"/>
          <w:w w:val="105"/>
          <w:sz w:val="16"/>
        </w:rPr>
        <w:t>, 2015).</w:t>
      </w:r>
    </w:p>
    <w:p>
      <w:pPr>
        <w:spacing w:after="0" w:line="254" w:lineRule="auto"/>
        <w:jc w:val="left"/>
        <w:rPr>
          <w:sz w:val="16"/>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line="249" w:lineRule="auto" w:before="0"/>
        <w:ind w:left="1899" w:right="2010" w:hanging="1"/>
        <w:jc w:val="center"/>
        <w:rPr>
          <w:rFonts w:ascii="Arial" w:hAnsi="Arial"/>
          <w:sz w:val="18"/>
        </w:rPr>
      </w:pPr>
      <w:r>
        <w:rPr/>
        <w:pict>
          <v:line style="position:absolute;mso-position-horizontal-relative:page;mso-position-vertical-relative:paragraph;z-index:23968" from="15pt,-71.424232pt" to="0pt,-71.424232pt" stroked="true" strokeweight=".25pt" strokecolor="#000000">
            <w10:wrap type="none"/>
          </v:line>
        </w:pict>
      </w:r>
      <w:r>
        <w:rPr/>
        <w:pict>
          <v:line style="position:absolute;mso-position-horizontal-relative:page;mso-position-vertical-relative:paragraph;z-index:23992" from="508.890015pt,-71.424232pt" to="523.890015pt,-71.424232pt" stroked="true" strokeweight=".25pt" strokecolor="#000000">
            <w10:wrap type="none"/>
          </v:line>
        </w:pict>
      </w:r>
      <w:r>
        <w:rPr>
          <w:rFonts w:ascii="Arial" w:hAnsi="Arial"/>
          <w:color w:val="231F20"/>
          <w:w w:val="105"/>
          <w:sz w:val="18"/>
        </w:rPr>
        <w:t>Gráfica 3.3 Distribución porcentual de los migrantes en flujo procedentes de Estados</w:t>
      </w:r>
      <w:r>
        <w:rPr>
          <w:rFonts w:ascii="Arial" w:hAnsi="Arial"/>
          <w:color w:val="231F20"/>
          <w:spacing w:val="-17"/>
          <w:w w:val="105"/>
          <w:sz w:val="18"/>
        </w:rPr>
        <w:t> </w:t>
      </w:r>
      <w:r>
        <w:rPr>
          <w:rFonts w:ascii="Arial" w:hAnsi="Arial"/>
          <w:color w:val="231F20"/>
          <w:w w:val="105"/>
          <w:sz w:val="18"/>
        </w:rPr>
        <w:t>Unidos,</w:t>
      </w:r>
      <w:r>
        <w:rPr>
          <w:rFonts w:ascii="Arial" w:hAnsi="Arial"/>
          <w:color w:val="231F20"/>
          <w:spacing w:val="-21"/>
          <w:w w:val="105"/>
          <w:sz w:val="18"/>
        </w:rPr>
        <w:t> </w:t>
      </w:r>
      <w:r>
        <w:rPr>
          <w:rFonts w:ascii="Arial" w:hAnsi="Arial"/>
          <w:color w:val="231F20"/>
          <w:w w:val="105"/>
          <w:sz w:val="18"/>
        </w:rPr>
        <w:t>nacidos</w:t>
      </w:r>
      <w:r>
        <w:rPr>
          <w:rFonts w:ascii="Arial" w:hAnsi="Arial"/>
          <w:color w:val="231F20"/>
          <w:spacing w:val="-17"/>
          <w:w w:val="105"/>
          <w:sz w:val="18"/>
        </w:rPr>
        <w:t> </w:t>
      </w:r>
      <w:r>
        <w:rPr>
          <w:rFonts w:ascii="Arial" w:hAnsi="Arial"/>
          <w:color w:val="231F20"/>
          <w:w w:val="105"/>
          <w:sz w:val="18"/>
        </w:rPr>
        <w:t>en</w:t>
      </w:r>
      <w:r>
        <w:rPr>
          <w:rFonts w:ascii="Arial" w:hAnsi="Arial"/>
          <w:color w:val="231F20"/>
          <w:spacing w:val="-17"/>
          <w:w w:val="105"/>
          <w:sz w:val="18"/>
        </w:rPr>
        <w:t> </w:t>
      </w:r>
      <w:r>
        <w:rPr>
          <w:rFonts w:ascii="Arial" w:hAnsi="Arial"/>
          <w:color w:val="231F20"/>
          <w:w w:val="105"/>
          <w:sz w:val="18"/>
        </w:rPr>
        <w:t>el</w:t>
      </w:r>
      <w:r>
        <w:rPr>
          <w:rFonts w:ascii="Arial" w:hAnsi="Arial"/>
          <w:color w:val="231F20"/>
          <w:spacing w:val="-17"/>
          <w:w w:val="105"/>
          <w:sz w:val="18"/>
        </w:rPr>
        <w:t> </w:t>
      </w:r>
      <w:r>
        <w:rPr>
          <w:rFonts w:ascii="Arial" w:hAnsi="Arial"/>
          <w:color w:val="231F20"/>
          <w:w w:val="105"/>
          <w:sz w:val="18"/>
        </w:rPr>
        <w:t>Estado</w:t>
      </w:r>
      <w:r>
        <w:rPr>
          <w:rFonts w:ascii="Arial" w:hAnsi="Arial"/>
          <w:color w:val="231F20"/>
          <w:spacing w:val="-17"/>
          <w:w w:val="105"/>
          <w:sz w:val="18"/>
        </w:rPr>
        <w:t> </w:t>
      </w:r>
      <w:r>
        <w:rPr>
          <w:rFonts w:ascii="Arial" w:hAnsi="Arial"/>
          <w:color w:val="231F20"/>
          <w:w w:val="105"/>
          <w:sz w:val="18"/>
        </w:rPr>
        <w:t>de</w:t>
      </w:r>
      <w:r>
        <w:rPr>
          <w:rFonts w:ascii="Arial" w:hAnsi="Arial"/>
          <w:color w:val="231F20"/>
          <w:spacing w:val="-17"/>
          <w:w w:val="105"/>
          <w:sz w:val="18"/>
        </w:rPr>
        <w:t> </w:t>
      </w:r>
      <w:r>
        <w:rPr>
          <w:rFonts w:ascii="Arial" w:hAnsi="Arial"/>
          <w:color w:val="231F20"/>
          <w:w w:val="105"/>
          <w:sz w:val="18"/>
        </w:rPr>
        <w:t>México,</w:t>
      </w:r>
      <w:r>
        <w:rPr>
          <w:rFonts w:ascii="Arial" w:hAnsi="Arial"/>
          <w:color w:val="231F20"/>
          <w:spacing w:val="-21"/>
          <w:w w:val="105"/>
          <w:sz w:val="18"/>
        </w:rPr>
        <w:t> </w:t>
      </w:r>
      <w:r>
        <w:rPr>
          <w:rFonts w:ascii="Arial" w:hAnsi="Arial"/>
          <w:color w:val="231F20"/>
          <w:w w:val="105"/>
          <w:sz w:val="18"/>
        </w:rPr>
        <w:t>según</w:t>
      </w:r>
      <w:r>
        <w:rPr>
          <w:rFonts w:ascii="Arial" w:hAnsi="Arial"/>
          <w:color w:val="231F20"/>
          <w:spacing w:val="-17"/>
          <w:w w:val="105"/>
          <w:sz w:val="18"/>
        </w:rPr>
        <w:t> </w:t>
      </w:r>
      <w:r>
        <w:rPr>
          <w:rFonts w:ascii="Arial" w:hAnsi="Arial"/>
          <w:color w:val="231F20"/>
          <w:w w:val="105"/>
          <w:sz w:val="18"/>
        </w:rPr>
        <w:t>la</w:t>
      </w:r>
      <w:r>
        <w:rPr>
          <w:rFonts w:ascii="Arial" w:hAnsi="Arial"/>
          <w:color w:val="231F20"/>
          <w:spacing w:val="-17"/>
          <w:w w:val="105"/>
          <w:sz w:val="18"/>
        </w:rPr>
        <w:t> </w:t>
      </w:r>
      <w:r>
        <w:rPr>
          <w:rFonts w:ascii="Arial" w:hAnsi="Arial"/>
          <w:color w:val="231F20"/>
          <w:w w:val="105"/>
          <w:sz w:val="18"/>
        </w:rPr>
        <w:t>presencia</w:t>
      </w:r>
      <w:r>
        <w:rPr>
          <w:rFonts w:ascii="Arial" w:hAnsi="Arial"/>
          <w:color w:val="231F20"/>
          <w:spacing w:val="-17"/>
          <w:w w:val="105"/>
          <w:sz w:val="18"/>
        </w:rPr>
        <w:t> </w:t>
      </w:r>
      <w:r>
        <w:rPr>
          <w:rFonts w:ascii="Arial" w:hAnsi="Arial"/>
          <w:color w:val="231F20"/>
          <w:w w:val="105"/>
          <w:sz w:val="18"/>
        </w:rPr>
        <w:t>de</w:t>
      </w:r>
      <w:r>
        <w:rPr>
          <w:rFonts w:ascii="Arial" w:hAnsi="Arial"/>
          <w:color w:val="231F20"/>
          <w:spacing w:val="-17"/>
          <w:w w:val="105"/>
          <w:sz w:val="18"/>
        </w:rPr>
        <w:t> </w:t>
      </w:r>
      <w:r>
        <w:rPr>
          <w:rFonts w:ascii="Arial" w:hAnsi="Arial"/>
          <w:color w:val="231F20"/>
          <w:w w:val="105"/>
          <w:sz w:val="18"/>
        </w:rPr>
        <w:t>algunos síntomas</w:t>
      </w:r>
      <w:r>
        <w:rPr>
          <w:rFonts w:ascii="Arial" w:hAnsi="Arial"/>
          <w:color w:val="231F20"/>
          <w:spacing w:val="-19"/>
          <w:w w:val="105"/>
          <w:sz w:val="18"/>
        </w:rPr>
        <w:t> </w:t>
      </w:r>
      <w:r>
        <w:rPr>
          <w:rFonts w:ascii="Arial" w:hAnsi="Arial"/>
          <w:color w:val="231F20"/>
          <w:w w:val="105"/>
          <w:sz w:val="18"/>
        </w:rPr>
        <w:t>o</w:t>
      </w:r>
      <w:r>
        <w:rPr>
          <w:rFonts w:ascii="Arial" w:hAnsi="Arial"/>
          <w:color w:val="231F20"/>
          <w:spacing w:val="-19"/>
          <w:w w:val="105"/>
          <w:sz w:val="18"/>
        </w:rPr>
        <w:t> </w:t>
      </w:r>
      <w:r>
        <w:rPr>
          <w:rFonts w:ascii="Arial" w:hAnsi="Arial"/>
          <w:color w:val="231F20"/>
          <w:w w:val="105"/>
          <w:sz w:val="18"/>
        </w:rPr>
        <w:t>malestares</w:t>
      </w:r>
      <w:r>
        <w:rPr>
          <w:rFonts w:ascii="Arial" w:hAnsi="Arial"/>
          <w:color w:val="231F20"/>
          <w:spacing w:val="-19"/>
          <w:w w:val="105"/>
          <w:sz w:val="18"/>
        </w:rPr>
        <w:t> </w:t>
      </w:r>
      <w:r>
        <w:rPr>
          <w:rFonts w:ascii="Arial" w:hAnsi="Arial"/>
          <w:color w:val="231F20"/>
          <w:w w:val="105"/>
          <w:sz w:val="18"/>
        </w:rPr>
        <w:t>físicos</w:t>
      </w:r>
      <w:r>
        <w:rPr>
          <w:rFonts w:ascii="Arial" w:hAnsi="Arial"/>
          <w:color w:val="231F20"/>
          <w:spacing w:val="-19"/>
          <w:w w:val="105"/>
          <w:sz w:val="18"/>
        </w:rPr>
        <w:t> </w:t>
      </w:r>
      <w:r>
        <w:rPr>
          <w:rFonts w:ascii="Arial" w:hAnsi="Arial"/>
          <w:color w:val="231F20"/>
          <w:w w:val="105"/>
          <w:sz w:val="18"/>
        </w:rPr>
        <w:t>en</w:t>
      </w:r>
      <w:r>
        <w:rPr>
          <w:rFonts w:ascii="Arial" w:hAnsi="Arial"/>
          <w:color w:val="231F20"/>
          <w:spacing w:val="-19"/>
          <w:w w:val="105"/>
          <w:sz w:val="18"/>
        </w:rPr>
        <w:t> </w:t>
      </w:r>
      <w:r>
        <w:rPr>
          <w:rFonts w:ascii="Arial" w:hAnsi="Arial"/>
          <w:color w:val="231F20"/>
          <w:w w:val="105"/>
          <w:sz w:val="18"/>
        </w:rPr>
        <w:t>los</w:t>
      </w:r>
      <w:r>
        <w:rPr>
          <w:rFonts w:ascii="Arial" w:hAnsi="Arial"/>
          <w:color w:val="231F20"/>
          <w:spacing w:val="-19"/>
          <w:w w:val="105"/>
          <w:sz w:val="18"/>
        </w:rPr>
        <w:t> </w:t>
      </w:r>
      <w:r>
        <w:rPr>
          <w:rFonts w:ascii="Arial" w:hAnsi="Arial"/>
          <w:color w:val="231F20"/>
          <w:w w:val="105"/>
          <w:sz w:val="18"/>
        </w:rPr>
        <w:t>últimos</w:t>
      </w:r>
      <w:r>
        <w:rPr>
          <w:rFonts w:ascii="Arial" w:hAnsi="Arial"/>
          <w:color w:val="231F20"/>
          <w:spacing w:val="-19"/>
          <w:w w:val="105"/>
          <w:sz w:val="18"/>
        </w:rPr>
        <w:t> </w:t>
      </w:r>
      <w:r>
        <w:rPr>
          <w:rFonts w:ascii="Arial" w:hAnsi="Arial"/>
          <w:color w:val="231F20"/>
          <w:w w:val="105"/>
          <w:sz w:val="18"/>
        </w:rPr>
        <w:t>15</w:t>
      </w:r>
      <w:r>
        <w:rPr>
          <w:rFonts w:ascii="Arial" w:hAnsi="Arial"/>
          <w:color w:val="231F20"/>
          <w:spacing w:val="-19"/>
          <w:w w:val="105"/>
          <w:sz w:val="18"/>
        </w:rPr>
        <w:t> </w:t>
      </w:r>
      <w:r>
        <w:rPr>
          <w:rFonts w:ascii="Arial" w:hAnsi="Arial"/>
          <w:color w:val="231F20"/>
          <w:w w:val="105"/>
          <w:sz w:val="18"/>
        </w:rPr>
        <w:t>días,</w:t>
      </w:r>
      <w:r>
        <w:rPr>
          <w:rFonts w:ascii="Arial" w:hAnsi="Arial"/>
          <w:color w:val="231F20"/>
          <w:spacing w:val="-24"/>
          <w:w w:val="105"/>
          <w:sz w:val="18"/>
        </w:rPr>
        <w:t> </w:t>
      </w:r>
      <w:r>
        <w:rPr>
          <w:rFonts w:ascii="Arial" w:hAnsi="Arial"/>
          <w:color w:val="231F20"/>
          <w:w w:val="105"/>
          <w:sz w:val="18"/>
        </w:rPr>
        <w:t>2013</w:t>
      </w:r>
    </w:p>
    <w:p>
      <w:pPr>
        <w:pStyle w:val="BodyText"/>
        <w:spacing w:before="11"/>
        <w:rPr>
          <w:rFonts w:ascii="Arial"/>
          <w:sz w:val="10"/>
        </w:rPr>
      </w:pPr>
    </w:p>
    <w:p>
      <w:pPr>
        <w:spacing w:before="56"/>
        <w:ind w:left="2423" w:right="0" w:firstLine="0"/>
        <w:jc w:val="left"/>
        <w:rPr>
          <w:rFonts w:ascii="Tahoma"/>
          <w:sz w:val="16"/>
        </w:rPr>
      </w:pPr>
      <w:r>
        <w:rPr/>
        <w:pict>
          <v:group style="position:absolute;margin-left:128.114395pt;margin-top:7.377356pt;width:278.7pt;height:146.15pt;mso-position-horizontal-relative:page;mso-position-vertical-relative:paragraph;z-index:23944" coordorigin="2562,148" coordsize="5574,2923">
            <v:shape style="position:absolute;left:0;top:12108;width:8188;height:2" coordorigin="0,12108" coordsize="8188,0" path="m8083,2701l8132,2701m3478,2701l3576,2701m2605,2701l2655,2701e" filled="false" stroked="true" strokeweight=".367213pt" strokecolor="#a9abad">
              <v:path arrowok="t"/>
            </v:shape>
            <v:shape style="position:absolute;left:2655;top:2560;width:822;height:459" type="#_x0000_t75" stroked="false">
              <v:imagedata r:id="rId272" o:title=""/>
            </v:shape>
            <v:line style="position:absolute" from="2605,2381" to="4497,2381" stroked="true" strokeweight=".39690pt" strokecolor="#a9abad"/>
            <v:shape style="position:absolute;left:3576;top:2398;width:822;height:621" type="#_x0000_t75" stroked="false">
              <v:imagedata r:id="rId273" o:title=""/>
            </v:shape>
            <v:shape style="position:absolute;left:0;top:12511;width:8188;height:2405" coordorigin="0,12511" coordsize="8188,2405" path="m5320,2381l6339,2381m5320,2064l6339,2064m2605,2064l4497,2064m5320,1744l6339,1744m2605,1744l4497,1744m5320,1428l8132,1428m2605,1428l4497,1428m5320,1108l8132,1108m2605,1108l4497,1108m5320,788l8132,788m2605,788l4497,788m5320,472l8132,472m2605,472l4497,472e" filled="false" stroked="true" strokeweight=".367213pt" strokecolor="#a9abad">
              <v:path arrowok="t"/>
            </v:shape>
            <v:shape style="position:absolute;left:4497;top:444;width:822;height:2575" type="#_x0000_t75" stroked="false">
              <v:imagedata r:id="rId274" o:title=""/>
            </v:shape>
            <v:shape style="position:absolute;left:5418;top:2786;width:822;height:233" type="#_x0000_t75" stroked="false">
              <v:imagedata r:id="rId275" o:title=""/>
            </v:shape>
            <v:shape style="position:absolute;left:6750;top:12909;width:1438;height:404" coordorigin="6750,12909" coordsize="1438,404" path="m7162,2064l8132,2064m7162,1744l8132,1744e" filled="false" stroked="true" strokeweight=".367213pt" strokecolor="#a9abad">
              <v:path arrowok="t"/>
            </v:shape>
            <v:shape style="position:absolute;left:6339;top:1657;width:822;height:1362" type="#_x0000_t75" stroked="false">
              <v:imagedata r:id="rId276" o:title=""/>
            </v:shape>
            <v:shape style="position:absolute;left:7261;top:2505;width:822;height:514" type="#_x0000_t75" stroked="false">
              <v:imagedata r:id="rId277" o:title=""/>
            </v:shape>
            <v:line style="position:absolute" from="2605,152" to="8132,152" stroked="true" strokeweight=".39690pt" strokecolor="#a9abad"/>
            <v:line style="position:absolute" from="2606,3019" to="2606,152" stroked="true" strokeweight=".337526pt" strokecolor="#a9abad"/>
            <v:shape style="position:absolute;left:0;top:12108;width:58;height:3613" coordorigin="0,12108" coordsize="58,3613" path="m2566,3019l2605,3019m2566,2701l2605,2701m2566,2381l2605,2381m2566,2064l2605,2064m2566,1744l2605,1744m2566,1428l2605,1428m2566,1108l2605,1108m2566,788l2605,788m2566,472l2605,472m2566,152l2605,152e" filled="false" stroked="true" strokeweight=".367213pt" strokecolor="#a9abad">
              <v:path arrowok="t"/>
            </v:shape>
            <v:line style="position:absolute" from="2606,3019" to="8132,3019" stroked="true" strokeweight=".39690pt" strokecolor="#a9abad"/>
            <v:shape style="position:absolute;left:0;top:12050;width:8188;height:58" coordorigin="0,12050" coordsize="8188,58" path="m2605,3021l2605,3066m3529,3021l3529,3066m4449,3021l4449,3066m5369,3021l5369,3066m6289,3021l6289,3066m7213,3021l7213,3066m8132,3021l8132,3066e" filled="false" stroked="true" strokeweight=".367213pt" strokecolor="#a9abad">
              <v:path arrowok="t"/>
            </v:shape>
            <v:shape style="position:absolute;left:4824;top:209;width:192;height:159" type="#_x0000_t202" filled="false" stroked="false">
              <v:textbox inset="0,0,0,0">
                <w:txbxContent>
                  <w:p>
                    <w:pPr>
                      <w:spacing w:line="149" w:lineRule="exact" w:before="0"/>
                      <w:ind w:left="0" w:right="-18" w:firstLine="0"/>
                      <w:jc w:val="left"/>
                      <w:rPr>
                        <w:rFonts w:ascii="Tahoma"/>
                        <w:sz w:val="16"/>
                      </w:rPr>
                    </w:pPr>
                    <w:r>
                      <w:rPr>
                        <w:rFonts w:ascii="Tahoma"/>
                        <w:color w:val="231F20"/>
                        <w:w w:val="85"/>
                        <w:sz w:val="16"/>
                      </w:rPr>
                      <w:t>8.1</w:t>
                    </w:r>
                  </w:p>
                </w:txbxContent>
              </v:textbox>
              <w10:wrap type="none"/>
            </v:shape>
            <v:shape style="position:absolute;left:6666;top:1421;width:192;height:159" type="#_x0000_t202" filled="false" stroked="false">
              <v:textbox inset="0,0,0,0">
                <w:txbxContent>
                  <w:p>
                    <w:pPr>
                      <w:spacing w:line="149" w:lineRule="exact" w:before="0"/>
                      <w:ind w:left="0" w:right="-18" w:firstLine="0"/>
                      <w:jc w:val="left"/>
                      <w:rPr>
                        <w:rFonts w:ascii="Tahoma"/>
                        <w:sz w:val="16"/>
                      </w:rPr>
                    </w:pPr>
                    <w:r>
                      <w:rPr>
                        <w:rFonts w:ascii="Tahoma"/>
                        <w:color w:val="231F20"/>
                        <w:w w:val="85"/>
                        <w:sz w:val="16"/>
                      </w:rPr>
                      <w:t>4.3</w:t>
                    </w:r>
                  </w:p>
                </w:txbxContent>
              </v:textbox>
              <w10:wrap type="none"/>
            </v:shape>
            <v:shape style="position:absolute;left:3903;top:2162;width:192;height:159" type="#_x0000_t202" filled="false" stroked="false">
              <v:textbox inset="0,0,0,0">
                <w:txbxContent>
                  <w:p>
                    <w:pPr>
                      <w:spacing w:line="149" w:lineRule="exact" w:before="0"/>
                      <w:ind w:left="0" w:right="-18" w:firstLine="0"/>
                      <w:jc w:val="left"/>
                      <w:rPr>
                        <w:rFonts w:ascii="Tahoma"/>
                        <w:sz w:val="16"/>
                      </w:rPr>
                    </w:pPr>
                    <w:r>
                      <w:rPr>
                        <w:rFonts w:ascii="Tahoma"/>
                        <w:color w:val="231F20"/>
                        <w:w w:val="85"/>
                        <w:sz w:val="16"/>
                      </w:rPr>
                      <w:t>2.0</w:t>
                    </w:r>
                  </w:p>
                </w:txbxContent>
              </v:textbox>
              <w10:wrap type="none"/>
            </v:shape>
            <v:shape style="position:absolute;left:2982;top:2325;width:192;height:159" type="#_x0000_t202" filled="false" stroked="false">
              <v:textbox inset="0,0,0,0">
                <w:txbxContent>
                  <w:p>
                    <w:pPr>
                      <w:spacing w:line="149" w:lineRule="exact" w:before="0"/>
                      <w:ind w:left="0" w:right="-18" w:firstLine="0"/>
                      <w:jc w:val="left"/>
                      <w:rPr>
                        <w:rFonts w:ascii="Tahoma"/>
                        <w:sz w:val="16"/>
                      </w:rPr>
                    </w:pPr>
                    <w:r>
                      <w:rPr>
                        <w:rFonts w:ascii="Tahoma"/>
                        <w:color w:val="231F20"/>
                        <w:w w:val="85"/>
                        <w:sz w:val="16"/>
                      </w:rPr>
                      <w:t>1.4</w:t>
                    </w:r>
                  </w:p>
                </w:txbxContent>
              </v:textbox>
              <w10:wrap type="none"/>
            </v:shape>
            <v:shape style="position:absolute;left:4399;top:2550;width:99;height:159" type="#_x0000_t202" filled="false" stroked="false">
              <v:textbox inset="0,0,0,0">
                <w:txbxContent>
                  <w:p>
                    <w:pPr>
                      <w:spacing w:line="149" w:lineRule="exact" w:before="0"/>
                      <w:ind w:left="0" w:right="0" w:firstLine="0"/>
                      <w:jc w:val="left"/>
                      <w:rPr>
                        <w:rFonts w:ascii="Tahoma"/>
                        <w:sz w:val="16"/>
                      </w:rPr>
                    </w:pPr>
                    <w:r>
                      <w:rPr>
                        <w:rFonts w:ascii="Tahoma"/>
                        <w:color w:val="231F20"/>
                        <w:w w:val="67"/>
                        <w:sz w:val="16"/>
                        <w:u w:val="single" w:color="A9ABAD"/>
                      </w:rPr>
                      <w:t> </w:t>
                    </w:r>
                    <w:r>
                      <w:rPr>
                        <w:rFonts w:ascii="Tahoma"/>
                        <w:color w:val="231F20"/>
                        <w:spacing w:val="14"/>
                        <w:sz w:val="16"/>
                        <w:u w:val="single" w:color="A9ABAD"/>
                      </w:rPr>
                      <w:t> </w:t>
                    </w:r>
                  </w:p>
                </w:txbxContent>
              </v:textbox>
              <w10:wrap type="none"/>
            </v:shape>
            <v:shape style="position:absolute;left:5320;top:2550;width:1020;height:159" type="#_x0000_t202" filled="false" stroked="false">
              <v:textbox inset="0,0,0,0">
                <w:txbxContent>
                  <w:p>
                    <w:pPr>
                      <w:tabs>
                        <w:tab w:pos="425" w:val="left" w:leader="none"/>
                        <w:tab w:pos="1019" w:val="left" w:leader="none"/>
                      </w:tabs>
                      <w:spacing w:line="149" w:lineRule="exact" w:before="0"/>
                      <w:ind w:left="0" w:right="0" w:firstLine="0"/>
                      <w:jc w:val="left"/>
                      <w:rPr>
                        <w:rFonts w:ascii="Tahoma"/>
                        <w:sz w:val="16"/>
                      </w:rPr>
                    </w:pPr>
                    <w:r>
                      <w:rPr>
                        <w:rFonts w:ascii="Tahoma"/>
                        <w:color w:val="231F20"/>
                        <w:w w:val="67"/>
                        <w:sz w:val="16"/>
                        <w:u w:val="single" w:color="A9ABAD"/>
                      </w:rPr>
                      <w:t> </w:t>
                    </w:r>
                    <w:r>
                      <w:rPr>
                        <w:rFonts w:ascii="Tahoma"/>
                        <w:color w:val="231F20"/>
                        <w:sz w:val="16"/>
                        <w:u w:val="single" w:color="A9ABAD"/>
                      </w:rPr>
                      <w:tab/>
                    </w:r>
                    <w:r>
                      <w:rPr>
                        <w:rFonts w:ascii="Tahoma"/>
                        <w:color w:val="231F20"/>
                        <w:w w:val="95"/>
                        <w:sz w:val="16"/>
                        <w:u w:val="single" w:color="A9ABAD"/>
                      </w:rPr>
                      <w:t>0.7</w:t>
                    </w:r>
                    <w:r>
                      <w:rPr>
                        <w:rFonts w:ascii="Tahoma"/>
                        <w:color w:val="231F20"/>
                        <w:sz w:val="16"/>
                        <w:u w:val="single" w:color="A9ABAD"/>
                      </w:rPr>
                      <w:tab/>
                    </w:r>
                  </w:p>
                </w:txbxContent>
              </v:textbox>
              <w10:wrap type="none"/>
            </v:shape>
            <v:shape style="position:absolute;left:7162;top:2270;width:971;height:440" type="#_x0000_t202" filled="false" stroked="false">
              <v:textbox inset="0,0,0,0">
                <w:txbxContent>
                  <w:p>
                    <w:pPr>
                      <w:tabs>
                        <w:tab w:pos="425" w:val="left" w:leader="none"/>
                        <w:tab w:pos="970" w:val="left" w:leader="none"/>
                      </w:tabs>
                      <w:spacing w:line="149" w:lineRule="exact" w:before="0"/>
                      <w:ind w:left="0" w:right="0" w:firstLine="0"/>
                      <w:jc w:val="left"/>
                      <w:rPr>
                        <w:rFonts w:ascii="Tahoma"/>
                        <w:sz w:val="16"/>
                      </w:rPr>
                    </w:pPr>
                    <w:r>
                      <w:rPr>
                        <w:rFonts w:ascii="Tahoma"/>
                        <w:color w:val="231F20"/>
                        <w:w w:val="67"/>
                        <w:sz w:val="16"/>
                        <w:u w:val="single" w:color="A9ABAD"/>
                      </w:rPr>
                      <w:t> </w:t>
                    </w:r>
                    <w:r>
                      <w:rPr>
                        <w:rFonts w:ascii="Tahoma"/>
                        <w:color w:val="231F20"/>
                        <w:sz w:val="16"/>
                        <w:u w:val="single" w:color="A9ABAD"/>
                      </w:rPr>
                      <w:tab/>
                    </w:r>
                    <w:r>
                      <w:rPr>
                        <w:rFonts w:ascii="Tahoma"/>
                        <w:color w:val="231F20"/>
                        <w:w w:val="95"/>
                        <w:sz w:val="16"/>
                        <w:u w:val="single" w:color="A9ABAD"/>
                      </w:rPr>
                      <w:t>1.6</w:t>
                    </w:r>
                    <w:r>
                      <w:rPr>
                        <w:rFonts w:ascii="Tahoma"/>
                        <w:color w:val="231F20"/>
                        <w:sz w:val="16"/>
                        <w:u w:val="single" w:color="A9ABAD"/>
                      </w:rPr>
                      <w:tab/>
                    </w:r>
                  </w:p>
                  <w:p>
                    <w:pPr>
                      <w:spacing w:before="87"/>
                      <w:ind w:left="0" w:right="0" w:firstLine="0"/>
                      <w:jc w:val="left"/>
                      <w:rPr>
                        <w:rFonts w:ascii="Tahoma"/>
                        <w:sz w:val="16"/>
                      </w:rPr>
                    </w:pPr>
                    <w:r>
                      <w:rPr>
                        <w:rFonts w:ascii="Tahoma"/>
                        <w:color w:val="231F20"/>
                        <w:w w:val="67"/>
                        <w:sz w:val="16"/>
                        <w:u w:val="single" w:color="A9ABAD"/>
                      </w:rPr>
                      <w:t> </w:t>
                    </w:r>
                    <w:r>
                      <w:rPr>
                        <w:rFonts w:ascii="Tahoma"/>
                        <w:color w:val="231F20"/>
                        <w:spacing w:val="14"/>
                        <w:sz w:val="16"/>
                        <w:u w:val="single" w:color="A9ABAD"/>
                      </w:rPr>
                      <w:t> </w:t>
                    </w:r>
                  </w:p>
                </w:txbxContent>
              </v:textbox>
              <w10:wrap type="none"/>
            </v:shape>
            <w10:wrap type="none"/>
          </v:group>
        </w:pict>
      </w:r>
      <w:r>
        <w:rPr>
          <w:rFonts w:ascii="Tahoma"/>
          <w:color w:val="231F20"/>
          <w:w w:val="89"/>
          <w:sz w:val="16"/>
        </w:rPr>
        <w:t>9</w:t>
      </w:r>
    </w:p>
    <w:p>
      <w:pPr>
        <w:spacing w:before="125"/>
        <w:ind w:left="2423" w:right="0" w:firstLine="0"/>
        <w:jc w:val="left"/>
        <w:rPr>
          <w:rFonts w:ascii="Tahoma"/>
          <w:sz w:val="16"/>
        </w:rPr>
      </w:pPr>
      <w:r>
        <w:rPr>
          <w:rFonts w:ascii="Tahoma"/>
          <w:color w:val="231F20"/>
          <w:w w:val="89"/>
          <w:sz w:val="16"/>
        </w:rPr>
        <w:t>8</w:t>
      </w:r>
    </w:p>
    <w:p>
      <w:pPr>
        <w:spacing w:before="125"/>
        <w:ind w:left="2423" w:right="0" w:firstLine="0"/>
        <w:jc w:val="left"/>
        <w:rPr>
          <w:rFonts w:ascii="Tahoma"/>
          <w:sz w:val="16"/>
        </w:rPr>
      </w:pPr>
      <w:r>
        <w:rPr>
          <w:rFonts w:ascii="Tahoma"/>
          <w:color w:val="231F20"/>
          <w:w w:val="89"/>
          <w:sz w:val="16"/>
        </w:rPr>
        <w:t>7</w:t>
      </w:r>
    </w:p>
    <w:p>
      <w:pPr>
        <w:spacing w:before="125"/>
        <w:ind w:left="2423" w:right="0" w:firstLine="0"/>
        <w:jc w:val="left"/>
        <w:rPr>
          <w:rFonts w:ascii="Tahoma"/>
          <w:sz w:val="16"/>
        </w:rPr>
      </w:pPr>
      <w:r>
        <w:rPr/>
        <w:pict>
          <v:shape style="position:absolute;margin-left:107.477898pt;margin-top:12.948845pt;width:8.75pt;height:41.25pt;mso-position-horizontal-relative:page;mso-position-vertical-relative:paragraph;z-index:24064" type="#_x0000_t202" filled="false" stroked="false">
            <v:textbox inset="0,0,0,0" style="layout-flow:vertical;mso-layout-flow-alt:bottom-to-top">
              <w:txbxContent>
                <w:p>
                  <w:pPr>
                    <w:spacing w:line="146" w:lineRule="exact" w:before="0"/>
                    <w:ind w:left="20" w:right="-650" w:firstLine="0"/>
                    <w:jc w:val="left"/>
                    <w:rPr>
                      <w:rFonts w:ascii="Arial"/>
                      <w:b/>
                      <w:sz w:val="13"/>
                    </w:rPr>
                  </w:pPr>
                  <w:r>
                    <w:rPr>
                      <w:rFonts w:ascii="Arial"/>
                      <w:b/>
                      <w:color w:val="231F20"/>
                      <w:w w:val="116"/>
                      <w:sz w:val="13"/>
                    </w:rPr>
                    <w:t>Po</w:t>
                  </w:r>
                  <w:r>
                    <w:rPr>
                      <w:rFonts w:ascii="Arial"/>
                      <w:b/>
                      <w:color w:val="231F20"/>
                      <w:spacing w:val="-3"/>
                      <w:w w:val="114"/>
                      <w:sz w:val="13"/>
                    </w:rPr>
                    <w:t>r</w:t>
                  </w:r>
                  <w:r>
                    <w:rPr>
                      <w:rFonts w:ascii="Arial"/>
                      <w:b/>
                      <w:color w:val="231F20"/>
                      <w:w w:val="119"/>
                      <w:sz w:val="13"/>
                    </w:rPr>
                    <w:t>centaje</w:t>
                  </w:r>
                </w:p>
              </w:txbxContent>
            </v:textbox>
            <w10:wrap type="none"/>
          </v:shape>
        </w:pict>
      </w:r>
      <w:r>
        <w:rPr>
          <w:rFonts w:ascii="Tahoma"/>
          <w:color w:val="231F20"/>
          <w:w w:val="89"/>
          <w:sz w:val="16"/>
        </w:rPr>
        <w:t>6</w:t>
      </w:r>
    </w:p>
    <w:p>
      <w:pPr>
        <w:spacing w:before="125"/>
        <w:ind w:left="2423" w:right="0" w:firstLine="0"/>
        <w:jc w:val="left"/>
        <w:rPr>
          <w:rFonts w:ascii="Tahoma"/>
          <w:sz w:val="16"/>
        </w:rPr>
      </w:pPr>
      <w:r>
        <w:rPr>
          <w:rFonts w:ascii="Tahoma"/>
          <w:color w:val="231F20"/>
          <w:w w:val="89"/>
          <w:sz w:val="16"/>
        </w:rPr>
        <w:t>5</w:t>
      </w:r>
    </w:p>
    <w:p>
      <w:pPr>
        <w:spacing w:before="125"/>
        <w:ind w:left="2423" w:right="0" w:firstLine="0"/>
        <w:jc w:val="left"/>
        <w:rPr>
          <w:rFonts w:ascii="Tahoma"/>
          <w:sz w:val="16"/>
        </w:rPr>
      </w:pPr>
      <w:r>
        <w:rPr>
          <w:rFonts w:ascii="Tahoma"/>
          <w:color w:val="231F20"/>
          <w:w w:val="89"/>
          <w:sz w:val="16"/>
        </w:rPr>
        <w:t>4</w:t>
      </w:r>
    </w:p>
    <w:p>
      <w:pPr>
        <w:spacing w:before="125"/>
        <w:ind w:left="2423" w:right="0" w:firstLine="0"/>
        <w:jc w:val="left"/>
        <w:rPr>
          <w:rFonts w:ascii="Tahoma"/>
          <w:sz w:val="16"/>
        </w:rPr>
      </w:pPr>
      <w:r>
        <w:rPr>
          <w:rFonts w:ascii="Tahoma"/>
          <w:color w:val="231F20"/>
          <w:w w:val="89"/>
          <w:sz w:val="16"/>
        </w:rPr>
        <w:t>3</w:t>
      </w:r>
    </w:p>
    <w:p>
      <w:pPr>
        <w:spacing w:before="125"/>
        <w:ind w:left="2423" w:right="0" w:firstLine="0"/>
        <w:jc w:val="left"/>
        <w:rPr>
          <w:rFonts w:ascii="Tahoma"/>
          <w:sz w:val="16"/>
        </w:rPr>
      </w:pPr>
      <w:r>
        <w:rPr>
          <w:rFonts w:ascii="Tahoma"/>
          <w:color w:val="231F20"/>
          <w:w w:val="89"/>
          <w:sz w:val="16"/>
        </w:rPr>
        <w:t>2</w:t>
      </w:r>
    </w:p>
    <w:p>
      <w:pPr>
        <w:spacing w:before="125"/>
        <w:ind w:left="2423" w:right="0" w:firstLine="0"/>
        <w:jc w:val="left"/>
        <w:rPr>
          <w:rFonts w:ascii="Tahoma"/>
          <w:sz w:val="16"/>
        </w:rPr>
      </w:pPr>
      <w:r>
        <w:rPr>
          <w:rFonts w:ascii="Tahoma"/>
          <w:color w:val="231F20"/>
          <w:w w:val="89"/>
          <w:sz w:val="16"/>
        </w:rPr>
        <w:t>1</w:t>
      </w:r>
    </w:p>
    <w:p>
      <w:pPr>
        <w:spacing w:after="0"/>
        <w:jc w:val="left"/>
        <w:rPr>
          <w:rFonts w:ascii="Tahoma"/>
          <w:sz w:val="16"/>
        </w:rPr>
        <w:sectPr>
          <w:pgSz w:w="10480" w:h="14730"/>
          <w:pgMar w:header="0" w:footer="103" w:top="300" w:bottom="300" w:left="0" w:right="0"/>
        </w:sectPr>
      </w:pPr>
    </w:p>
    <w:p>
      <w:pPr>
        <w:spacing w:line="192" w:lineRule="exact" w:before="125"/>
        <w:ind w:left="0" w:right="1448" w:firstLine="0"/>
        <w:jc w:val="center"/>
        <w:rPr>
          <w:rFonts w:ascii="Tahoma"/>
          <w:sz w:val="16"/>
        </w:rPr>
      </w:pPr>
      <w:r>
        <w:rPr>
          <w:rFonts w:ascii="Tahoma"/>
          <w:color w:val="231F20"/>
          <w:w w:val="89"/>
          <w:sz w:val="16"/>
        </w:rPr>
        <w:t>0</w:t>
      </w:r>
    </w:p>
    <w:p>
      <w:pPr>
        <w:tabs>
          <w:tab w:pos="893" w:val="left" w:leader="none"/>
          <w:tab w:pos="1917" w:val="left" w:leader="none"/>
          <w:tab w:pos="2522" w:val="left" w:leader="none"/>
        </w:tabs>
        <w:spacing w:line="190" w:lineRule="exact" w:before="0"/>
        <w:ind w:left="0" w:right="0" w:firstLine="0"/>
        <w:jc w:val="right"/>
        <w:rPr>
          <w:rFonts w:ascii="Tahoma" w:hAnsi="Tahoma"/>
          <w:sz w:val="16"/>
        </w:rPr>
      </w:pPr>
      <w:r>
        <w:rPr>
          <w:rFonts w:ascii="Tahoma" w:hAnsi="Tahoma"/>
          <w:color w:val="231F20"/>
          <w:sz w:val="16"/>
        </w:rPr>
        <w:t>Fiebre</w:t>
        <w:tab/>
        <w:t>Diarrea</w:t>
        <w:tab/>
      </w:r>
      <w:r>
        <w:rPr>
          <w:rFonts w:ascii="Tahoma" w:hAnsi="Tahoma"/>
          <w:color w:val="231F20"/>
          <w:spacing w:val="-4"/>
          <w:sz w:val="16"/>
        </w:rPr>
        <w:t>Tos</w:t>
        <w:tab/>
      </w:r>
      <w:r>
        <w:rPr>
          <w:rFonts w:ascii="Tahoma" w:hAnsi="Tahoma"/>
          <w:color w:val="231F20"/>
          <w:w w:val="95"/>
          <w:sz w:val="16"/>
        </w:rPr>
        <w:t>Poco</w:t>
      </w:r>
      <w:r>
        <w:rPr>
          <w:rFonts w:ascii="Tahoma" w:hAnsi="Tahoma"/>
          <w:color w:val="231F20"/>
          <w:spacing w:val="-37"/>
          <w:w w:val="95"/>
          <w:sz w:val="16"/>
        </w:rPr>
        <w:t> </w:t>
      </w:r>
      <w:r>
        <w:rPr>
          <w:rFonts w:ascii="Tahoma" w:hAnsi="Tahoma"/>
          <w:color w:val="231F20"/>
          <w:w w:val="95"/>
          <w:sz w:val="16"/>
        </w:rPr>
        <w:t>interés</w:t>
      </w:r>
      <w:r>
        <w:rPr>
          <w:rFonts w:ascii="Tahoma" w:hAnsi="Tahoma"/>
          <w:color w:val="231F20"/>
          <w:spacing w:val="-37"/>
          <w:w w:val="95"/>
          <w:sz w:val="16"/>
        </w:rPr>
        <w:t> </w:t>
      </w:r>
      <w:r>
        <w:rPr>
          <w:rFonts w:ascii="Tahoma" w:hAnsi="Tahoma"/>
          <w:color w:val="231F20"/>
          <w:w w:val="95"/>
          <w:sz w:val="16"/>
        </w:rPr>
        <w:t>de</w:t>
      </w:r>
    </w:p>
    <w:p>
      <w:pPr>
        <w:spacing w:line="192" w:lineRule="exact" w:before="0"/>
        <w:ind w:left="0" w:right="26" w:firstLine="0"/>
        <w:jc w:val="right"/>
        <w:rPr>
          <w:rFonts w:ascii="Tahoma"/>
          <w:sz w:val="16"/>
        </w:rPr>
      </w:pPr>
      <w:r>
        <w:rPr>
          <w:rFonts w:ascii="Tahoma"/>
          <w:color w:val="231F20"/>
          <w:w w:val="90"/>
          <w:sz w:val="16"/>
        </w:rPr>
        <w:t>hacer las cosas</w:t>
      </w:r>
    </w:p>
    <w:p>
      <w:pPr>
        <w:pStyle w:val="BodyText"/>
        <w:rPr>
          <w:rFonts w:ascii="Tahoma"/>
          <w:sz w:val="16"/>
        </w:rPr>
      </w:pPr>
      <w:r>
        <w:rPr/>
        <w:br w:type="column"/>
      </w:r>
      <w:r>
        <w:rPr>
          <w:rFonts w:ascii="Tahoma"/>
          <w:sz w:val="16"/>
        </w:rPr>
      </w:r>
    </w:p>
    <w:p>
      <w:pPr>
        <w:tabs>
          <w:tab w:pos="859" w:val="left" w:leader="none"/>
        </w:tabs>
        <w:spacing w:before="122"/>
        <w:ind w:left="118" w:right="0" w:firstLine="0"/>
        <w:jc w:val="left"/>
        <w:rPr>
          <w:rFonts w:ascii="Tahoma" w:hAnsi="Tahoma"/>
          <w:sz w:val="16"/>
        </w:rPr>
      </w:pPr>
      <w:r>
        <w:rPr>
          <w:rFonts w:ascii="Tahoma" w:hAnsi="Tahoma"/>
          <w:color w:val="231F20"/>
          <w:w w:val="95"/>
          <w:sz w:val="16"/>
        </w:rPr>
        <w:t>Tristeza</w:t>
        <w:tab/>
      </w:r>
      <w:r>
        <w:rPr>
          <w:rFonts w:ascii="Tahoma" w:hAnsi="Tahoma"/>
          <w:color w:val="231F20"/>
          <w:sz w:val="16"/>
        </w:rPr>
        <w:t>Desesperación</w:t>
      </w:r>
    </w:p>
    <w:p>
      <w:pPr>
        <w:spacing w:after="0"/>
        <w:jc w:val="left"/>
        <w:rPr>
          <w:rFonts w:ascii="Tahoma" w:hAnsi="Tahoma"/>
          <w:sz w:val="16"/>
        </w:rPr>
        <w:sectPr>
          <w:type w:val="continuous"/>
          <w:pgSz w:w="10480" w:h="14730"/>
          <w:pgMar w:top="0" w:bottom="0" w:left="0" w:right="0"/>
          <w:cols w:num="2" w:equalWidth="0">
            <w:col w:w="6377" w:space="40"/>
            <w:col w:w="4063"/>
          </w:cols>
        </w:sectPr>
      </w:pPr>
    </w:p>
    <w:p>
      <w:pPr>
        <w:spacing w:line="254" w:lineRule="auto" w:before="106"/>
        <w:ind w:left="2120" w:right="1920" w:firstLine="0"/>
        <w:jc w:val="left"/>
        <w:rPr>
          <w:sz w:val="16"/>
        </w:rPr>
      </w:pPr>
      <w:r>
        <w:rPr>
          <w:color w:val="231F20"/>
          <w:w w:val="105"/>
          <w:sz w:val="16"/>
        </w:rPr>
        <w:t>Fuente: elaboración propia con datos de la Encuesta de Migración de la Frontera Norte, 2013 (</w:t>
      </w:r>
      <w:r>
        <w:rPr>
          <w:color w:val="231F20"/>
          <w:w w:val="105"/>
          <w:sz w:val="14"/>
        </w:rPr>
        <w:t>CONAPO</w:t>
      </w:r>
      <w:r>
        <w:rPr>
          <w:color w:val="231F20"/>
          <w:w w:val="105"/>
          <w:sz w:val="16"/>
        </w:rPr>
        <w:t>, 2015).</w:t>
      </w:r>
    </w:p>
    <w:p>
      <w:pPr>
        <w:pStyle w:val="BodyText"/>
        <w:rPr>
          <w:sz w:val="16"/>
        </w:rPr>
      </w:pPr>
    </w:p>
    <w:p>
      <w:pPr>
        <w:pStyle w:val="BodyText"/>
        <w:rPr>
          <w:sz w:val="16"/>
        </w:rPr>
      </w:pPr>
    </w:p>
    <w:p>
      <w:pPr>
        <w:pStyle w:val="Heading3"/>
        <w:spacing w:line="266" w:lineRule="auto" w:before="120"/>
        <w:ind w:left="1723" w:right="1835"/>
      </w:pPr>
      <w:r>
        <w:rPr>
          <w:color w:val="231F20"/>
        </w:rPr>
        <w:t>Prevalencia de alguna enfermedad diagnosticada por un médico</w:t>
      </w:r>
      <w:r>
        <w:rPr>
          <w:color w:val="231F20"/>
          <w:spacing w:val="-15"/>
        </w:rPr>
        <w:t> </w:t>
      </w:r>
      <w:r>
        <w:rPr>
          <w:color w:val="231F20"/>
        </w:rPr>
        <w:t>o profesional</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salud</w:t>
      </w:r>
    </w:p>
    <w:p>
      <w:pPr>
        <w:pStyle w:val="BodyText"/>
        <w:rPr>
          <w:rFonts w:ascii="Arial"/>
          <w:b/>
          <w:sz w:val="22"/>
        </w:rPr>
      </w:pPr>
    </w:p>
    <w:p>
      <w:pPr>
        <w:pStyle w:val="BodyText"/>
        <w:spacing w:line="261" w:lineRule="auto" w:before="136"/>
        <w:ind w:left="1723" w:right="1828"/>
        <w:jc w:val="both"/>
      </w:pPr>
      <w:r>
        <w:rPr>
          <w:color w:val="231F20"/>
          <w:w w:val="105"/>
        </w:rPr>
        <w:t>Al</w:t>
      </w:r>
      <w:r>
        <w:rPr>
          <w:color w:val="231F20"/>
          <w:spacing w:val="-12"/>
          <w:w w:val="105"/>
        </w:rPr>
        <w:t> </w:t>
      </w:r>
      <w:r>
        <w:rPr>
          <w:color w:val="231F20"/>
          <w:w w:val="105"/>
        </w:rPr>
        <w:t>consultar</w:t>
      </w:r>
      <w:r>
        <w:rPr>
          <w:color w:val="231F20"/>
          <w:spacing w:val="-12"/>
          <w:w w:val="105"/>
        </w:rPr>
        <w:t> </w:t>
      </w:r>
      <w:r>
        <w:rPr>
          <w:color w:val="231F20"/>
          <w:w w:val="105"/>
        </w:rPr>
        <w:t>entre</w:t>
      </w:r>
      <w:r>
        <w:rPr>
          <w:color w:val="231F20"/>
          <w:spacing w:val="-12"/>
          <w:w w:val="105"/>
        </w:rPr>
        <w:t> </w:t>
      </w:r>
      <w:r>
        <w:rPr>
          <w:color w:val="231F20"/>
          <w:w w:val="105"/>
        </w:rPr>
        <w:t>los</w:t>
      </w:r>
      <w:r>
        <w:rPr>
          <w:color w:val="231F20"/>
          <w:spacing w:val="-12"/>
          <w:w w:val="105"/>
        </w:rPr>
        <w:t> </w:t>
      </w:r>
      <w:r>
        <w:rPr>
          <w:color w:val="231F20"/>
          <w:w w:val="105"/>
        </w:rPr>
        <w:t>migrantes</w:t>
      </w:r>
      <w:r>
        <w:rPr>
          <w:color w:val="231F20"/>
          <w:spacing w:val="-12"/>
          <w:w w:val="105"/>
        </w:rPr>
        <w:t> </w:t>
      </w:r>
      <w:r>
        <w:rPr>
          <w:color w:val="231F20"/>
          <w:w w:val="105"/>
        </w:rPr>
        <w:t>en</w:t>
      </w:r>
      <w:r>
        <w:rPr>
          <w:color w:val="231F20"/>
          <w:spacing w:val="-12"/>
          <w:w w:val="105"/>
        </w:rPr>
        <w:t> </w:t>
      </w:r>
      <w:r>
        <w:rPr>
          <w:color w:val="231F20"/>
          <w:w w:val="105"/>
        </w:rPr>
        <w:t>flujo</w:t>
      </w:r>
      <w:r>
        <w:rPr>
          <w:color w:val="231F20"/>
          <w:spacing w:val="-12"/>
          <w:w w:val="105"/>
        </w:rPr>
        <w:t> </w:t>
      </w:r>
      <w:r>
        <w:rPr>
          <w:color w:val="231F20"/>
          <w:w w:val="105"/>
        </w:rPr>
        <w:t>procedentes</w:t>
      </w:r>
      <w:r>
        <w:rPr>
          <w:color w:val="231F20"/>
          <w:spacing w:val="-12"/>
          <w:w w:val="105"/>
        </w:rPr>
        <w:t> </w:t>
      </w:r>
      <w:r>
        <w:rPr>
          <w:color w:val="231F20"/>
          <w:w w:val="105"/>
        </w:rPr>
        <w:t>de</w:t>
      </w:r>
      <w:r>
        <w:rPr>
          <w:color w:val="231F20"/>
          <w:spacing w:val="-12"/>
          <w:w w:val="105"/>
        </w:rPr>
        <w:t> </w:t>
      </w:r>
      <w:r>
        <w:rPr>
          <w:color w:val="231F20"/>
          <w:w w:val="105"/>
        </w:rPr>
        <w:t>Estados</w:t>
      </w:r>
      <w:r>
        <w:rPr>
          <w:color w:val="231F20"/>
          <w:spacing w:val="-12"/>
          <w:w w:val="105"/>
        </w:rPr>
        <w:t> </w:t>
      </w:r>
      <w:r>
        <w:rPr>
          <w:color w:val="231F20"/>
          <w:w w:val="105"/>
        </w:rPr>
        <w:t>Unidos nacidos en el Estado de México sobre el diagnóstico de enfermedades por</w:t>
      </w:r>
      <w:r>
        <w:rPr>
          <w:color w:val="231F20"/>
          <w:spacing w:val="-15"/>
          <w:w w:val="105"/>
        </w:rPr>
        <w:t> </w:t>
      </w:r>
      <w:r>
        <w:rPr>
          <w:color w:val="231F20"/>
          <w:w w:val="105"/>
        </w:rPr>
        <w:t>parte</w:t>
      </w:r>
      <w:r>
        <w:rPr>
          <w:color w:val="231F20"/>
          <w:spacing w:val="-15"/>
          <w:w w:val="105"/>
        </w:rPr>
        <w:t> </w:t>
      </w:r>
      <w:r>
        <w:rPr>
          <w:color w:val="231F20"/>
          <w:w w:val="105"/>
        </w:rPr>
        <w:t>de</w:t>
      </w:r>
      <w:r>
        <w:rPr>
          <w:color w:val="231F20"/>
          <w:spacing w:val="-15"/>
          <w:w w:val="105"/>
        </w:rPr>
        <w:t> </w:t>
      </w:r>
      <w:r>
        <w:rPr>
          <w:color w:val="231F20"/>
          <w:w w:val="105"/>
        </w:rPr>
        <w:t>personal</w:t>
      </w:r>
      <w:r>
        <w:rPr>
          <w:color w:val="231F20"/>
          <w:spacing w:val="-15"/>
          <w:w w:val="105"/>
        </w:rPr>
        <w:t> </w:t>
      </w:r>
      <w:r>
        <w:rPr>
          <w:color w:val="231F20"/>
          <w:w w:val="105"/>
        </w:rPr>
        <w:t>médico</w:t>
      </w:r>
      <w:r>
        <w:rPr>
          <w:color w:val="231F20"/>
          <w:spacing w:val="-15"/>
          <w:w w:val="105"/>
        </w:rPr>
        <w:t> </w:t>
      </w:r>
      <w:r>
        <w:rPr>
          <w:color w:val="231F20"/>
          <w:w w:val="105"/>
        </w:rPr>
        <w:t>o</w:t>
      </w:r>
      <w:r>
        <w:rPr>
          <w:color w:val="231F20"/>
          <w:spacing w:val="-15"/>
          <w:w w:val="105"/>
        </w:rPr>
        <w:t> </w:t>
      </w:r>
      <w:r>
        <w:rPr>
          <w:color w:val="231F20"/>
          <w:w w:val="105"/>
        </w:rPr>
        <w:t>profesional</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salud,</w:t>
      </w:r>
      <w:r>
        <w:rPr>
          <w:color w:val="231F20"/>
          <w:spacing w:val="-22"/>
          <w:w w:val="105"/>
        </w:rPr>
        <w:t> </w:t>
      </w:r>
      <w:r>
        <w:rPr>
          <w:color w:val="231F20"/>
          <w:w w:val="105"/>
        </w:rPr>
        <w:t>8%</w:t>
      </w:r>
      <w:r>
        <w:rPr>
          <w:color w:val="231F20"/>
          <w:spacing w:val="-15"/>
          <w:w w:val="105"/>
        </w:rPr>
        <w:t> </w:t>
      </w:r>
      <w:r>
        <w:rPr>
          <w:color w:val="231F20"/>
          <w:w w:val="105"/>
        </w:rPr>
        <w:t>señaló</w:t>
      </w:r>
      <w:r>
        <w:rPr>
          <w:color w:val="231F20"/>
          <w:spacing w:val="-15"/>
          <w:w w:val="105"/>
        </w:rPr>
        <w:t> </w:t>
      </w:r>
      <w:r>
        <w:rPr>
          <w:color w:val="231F20"/>
          <w:w w:val="105"/>
        </w:rPr>
        <w:t>que</w:t>
      </w:r>
      <w:r>
        <w:rPr>
          <w:color w:val="231F20"/>
          <w:spacing w:val="-15"/>
          <w:w w:val="105"/>
        </w:rPr>
        <w:t> </w:t>
      </w:r>
      <w:r>
        <w:rPr>
          <w:color w:val="231F20"/>
          <w:w w:val="105"/>
        </w:rPr>
        <w:t>le diagnosticaron</w:t>
      </w:r>
      <w:r>
        <w:rPr>
          <w:color w:val="231F20"/>
          <w:spacing w:val="-14"/>
          <w:w w:val="105"/>
        </w:rPr>
        <w:t> </w:t>
      </w:r>
      <w:r>
        <w:rPr>
          <w:color w:val="231F20"/>
          <w:w w:val="105"/>
        </w:rPr>
        <w:t>hipertensión</w:t>
      </w:r>
      <w:r>
        <w:rPr>
          <w:color w:val="231F20"/>
          <w:spacing w:val="-14"/>
          <w:w w:val="105"/>
        </w:rPr>
        <w:t> </w:t>
      </w:r>
      <w:r>
        <w:rPr>
          <w:color w:val="231F20"/>
          <w:w w:val="105"/>
        </w:rPr>
        <w:t>y</w:t>
      </w:r>
      <w:r>
        <w:rPr>
          <w:color w:val="231F20"/>
          <w:spacing w:val="-14"/>
          <w:w w:val="105"/>
        </w:rPr>
        <w:t> </w:t>
      </w:r>
      <w:r>
        <w:rPr>
          <w:color w:val="231F20"/>
          <w:w w:val="105"/>
        </w:rPr>
        <w:t>7.8%</w:t>
      </w:r>
      <w:r>
        <w:rPr>
          <w:color w:val="231F20"/>
          <w:spacing w:val="-14"/>
          <w:w w:val="105"/>
        </w:rPr>
        <w:t> </w:t>
      </w:r>
      <w:r>
        <w:rPr>
          <w:color w:val="231F20"/>
          <w:w w:val="105"/>
        </w:rPr>
        <w:t>diabetes.</w:t>
      </w:r>
      <w:r>
        <w:rPr>
          <w:color w:val="231F20"/>
          <w:spacing w:val="-18"/>
          <w:w w:val="105"/>
        </w:rPr>
        <w:t> </w:t>
      </w:r>
      <w:r>
        <w:rPr>
          <w:color w:val="231F20"/>
          <w:w w:val="105"/>
        </w:rPr>
        <w:t>Estas</w:t>
      </w:r>
      <w:r>
        <w:rPr>
          <w:color w:val="231F20"/>
          <w:spacing w:val="-14"/>
          <w:w w:val="105"/>
        </w:rPr>
        <w:t> </w:t>
      </w:r>
      <w:r>
        <w:rPr>
          <w:color w:val="231F20"/>
          <w:w w:val="105"/>
        </w:rPr>
        <w:t>proporciones</w:t>
      </w:r>
      <w:r>
        <w:rPr>
          <w:color w:val="231F20"/>
          <w:spacing w:val="-14"/>
          <w:w w:val="105"/>
        </w:rPr>
        <w:t> </w:t>
      </w:r>
      <w:r>
        <w:rPr>
          <w:color w:val="231F20"/>
          <w:w w:val="105"/>
        </w:rPr>
        <w:t>fueron muy</w:t>
      </w:r>
      <w:r>
        <w:rPr>
          <w:color w:val="231F20"/>
          <w:spacing w:val="-27"/>
          <w:w w:val="105"/>
        </w:rPr>
        <w:t> </w:t>
      </w:r>
      <w:r>
        <w:rPr>
          <w:color w:val="231F20"/>
          <w:w w:val="105"/>
        </w:rPr>
        <w:t>similares</w:t>
      </w:r>
      <w:r>
        <w:rPr>
          <w:color w:val="231F20"/>
          <w:spacing w:val="-27"/>
          <w:w w:val="105"/>
        </w:rPr>
        <w:t> </w:t>
      </w:r>
      <w:r>
        <w:rPr>
          <w:color w:val="231F20"/>
          <w:w w:val="105"/>
        </w:rPr>
        <w:t>a</w:t>
      </w:r>
      <w:r>
        <w:rPr>
          <w:color w:val="231F20"/>
          <w:spacing w:val="-27"/>
          <w:w w:val="105"/>
        </w:rPr>
        <w:t> </w:t>
      </w:r>
      <w:r>
        <w:rPr>
          <w:color w:val="231F20"/>
          <w:w w:val="105"/>
        </w:rPr>
        <w:t>las</w:t>
      </w:r>
      <w:r>
        <w:rPr>
          <w:color w:val="231F20"/>
          <w:spacing w:val="-27"/>
          <w:w w:val="105"/>
        </w:rPr>
        <w:t> </w:t>
      </w:r>
      <w:r>
        <w:rPr>
          <w:color w:val="231F20"/>
          <w:w w:val="105"/>
        </w:rPr>
        <w:t>registradas</w:t>
      </w:r>
      <w:r>
        <w:rPr>
          <w:color w:val="231F20"/>
          <w:spacing w:val="-27"/>
          <w:w w:val="105"/>
        </w:rPr>
        <w:t> </w:t>
      </w:r>
      <w:r>
        <w:rPr>
          <w:color w:val="231F20"/>
          <w:w w:val="105"/>
        </w:rPr>
        <w:t>a</w:t>
      </w:r>
      <w:r>
        <w:rPr>
          <w:color w:val="231F20"/>
          <w:spacing w:val="-27"/>
          <w:w w:val="105"/>
        </w:rPr>
        <w:t> </w:t>
      </w:r>
      <w:r>
        <w:rPr>
          <w:color w:val="231F20"/>
          <w:w w:val="105"/>
        </w:rPr>
        <w:t>nivel</w:t>
      </w:r>
      <w:r>
        <w:rPr>
          <w:color w:val="231F20"/>
          <w:spacing w:val="-27"/>
          <w:w w:val="105"/>
        </w:rPr>
        <w:t> </w:t>
      </w:r>
      <w:r>
        <w:rPr>
          <w:color w:val="231F20"/>
          <w:w w:val="105"/>
        </w:rPr>
        <w:t>nacional,</w:t>
      </w:r>
      <w:r>
        <w:rPr>
          <w:color w:val="231F20"/>
          <w:spacing w:val="-31"/>
          <w:w w:val="105"/>
        </w:rPr>
        <w:t> </w:t>
      </w:r>
      <w:r>
        <w:rPr>
          <w:color w:val="231F20"/>
          <w:w w:val="105"/>
        </w:rPr>
        <w:t>siendo</w:t>
      </w:r>
      <w:r>
        <w:rPr>
          <w:color w:val="231F20"/>
          <w:spacing w:val="-27"/>
          <w:w w:val="105"/>
        </w:rPr>
        <w:t> </w:t>
      </w:r>
      <w:r>
        <w:rPr>
          <w:color w:val="231F20"/>
          <w:w w:val="105"/>
        </w:rPr>
        <w:t>las</w:t>
      </w:r>
      <w:r>
        <w:rPr>
          <w:color w:val="231F20"/>
          <w:spacing w:val="-27"/>
          <w:w w:val="105"/>
        </w:rPr>
        <w:t> </w:t>
      </w:r>
      <w:r>
        <w:rPr>
          <w:color w:val="231F20"/>
          <w:w w:val="105"/>
        </w:rPr>
        <w:t>enfermedades </w:t>
      </w:r>
      <w:r>
        <w:rPr>
          <w:color w:val="231F20"/>
        </w:rPr>
        <w:t>más frecuentes. Problemas como el colesterol (2.4%), tuberculosis</w:t>
      </w:r>
      <w:r>
        <w:rPr>
          <w:color w:val="231F20"/>
          <w:spacing w:val="-32"/>
        </w:rPr>
        <w:t> </w:t>
      </w:r>
      <w:r>
        <w:rPr>
          <w:color w:val="231F20"/>
        </w:rPr>
        <w:t>(0.2%), </w:t>
      </w:r>
      <w:r>
        <w:rPr>
          <w:color w:val="231F20"/>
          <w:w w:val="105"/>
        </w:rPr>
        <w:t>depresión</w:t>
      </w:r>
      <w:r>
        <w:rPr>
          <w:color w:val="231F20"/>
          <w:spacing w:val="-14"/>
          <w:w w:val="105"/>
        </w:rPr>
        <w:t> </w:t>
      </w:r>
      <w:r>
        <w:rPr>
          <w:color w:val="231F20"/>
          <w:w w:val="105"/>
        </w:rPr>
        <w:t>(0.4%)</w:t>
      </w:r>
      <w:r>
        <w:rPr>
          <w:color w:val="231F20"/>
          <w:spacing w:val="-14"/>
          <w:w w:val="105"/>
        </w:rPr>
        <w:t> </w:t>
      </w:r>
      <w:r>
        <w:rPr>
          <w:color w:val="231F20"/>
          <w:w w:val="105"/>
        </w:rPr>
        <w:t>y</w:t>
      </w:r>
      <w:r>
        <w:rPr>
          <w:color w:val="231F20"/>
          <w:spacing w:val="-14"/>
          <w:w w:val="105"/>
        </w:rPr>
        <w:t> </w:t>
      </w:r>
      <w:r>
        <w:rPr>
          <w:color w:val="231F20"/>
          <w:w w:val="105"/>
        </w:rPr>
        <w:t>ansiedad</w:t>
      </w:r>
      <w:r>
        <w:rPr>
          <w:color w:val="231F20"/>
          <w:spacing w:val="-14"/>
          <w:w w:val="105"/>
        </w:rPr>
        <w:t> </w:t>
      </w:r>
      <w:r>
        <w:rPr>
          <w:color w:val="231F20"/>
          <w:w w:val="105"/>
        </w:rPr>
        <w:t>(0.3%)</w:t>
      </w:r>
      <w:r>
        <w:rPr>
          <w:color w:val="231F20"/>
          <w:spacing w:val="-14"/>
          <w:w w:val="105"/>
        </w:rPr>
        <w:t> </w:t>
      </w:r>
      <w:r>
        <w:rPr>
          <w:color w:val="231F20"/>
          <w:w w:val="105"/>
        </w:rPr>
        <w:t>obtuvieron</w:t>
      </w:r>
      <w:r>
        <w:rPr>
          <w:color w:val="231F20"/>
          <w:spacing w:val="-14"/>
          <w:w w:val="105"/>
        </w:rPr>
        <w:t> </w:t>
      </w:r>
      <w:r>
        <w:rPr>
          <w:color w:val="231F20"/>
          <w:w w:val="105"/>
        </w:rPr>
        <w:t>porcentajes</w:t>
      </w:r>
      <w:r>
        <w:rPr>
          <w:color w:val="231F20"/>
          <w:spacing w:val="-14"/>
          <w:w w:val="105"/>
        </w:rPr>
        <w:t> </w:t>
      </w:r>
      <w:r>
        <w:rPr>
          <w:color w:val="231F20"/>
          <w:w w:val="105"/>
        </w:rPr>
        <w:t>bastante</w:t>
      </w:r>
      <w:r>
        <w:rPr>
          <w:color w:val="231F20"/>
          <w:spacing w:val="-14"/>
          <w:w w:val="105"/>
        </w:rPr>
        <w:t> </w:t>
      </w:r>
      <w:r>
        <w:rPr>
          <w:color w:val="231F20"/>
          <w:w w:val="105"/>
        </w:rPr>
        <w:t>re- ducidos</w:t>
      </w:r>
      <w:r>
        <w:rPr>
          <w:color w:val="231F20"/>
          <w:spacing w:val="-10"/>
          <w:w w:val="105"/>
        </w:rPr>
        <w:t> </w:t>
      </w:r>
      <w:r>
        <w:rPr>
          <w:color w:val="231F20"/>
          <w:w w:val="105"/>
        </w:rPr>
        <w:t>de</w:t>
      </w:r>
      <w:r>
        <w:rPr>
          <w:color w:val="231F20"/>
          <w:spacing w:val="-10"/>
          <w:w w:val="105"/>
        </w:rPr>
        <w:t> </w:t>
      </w:r>
      <w:r>
        <w:rPr>
          <w:color w:val="231F20"/>
          <w:w w:val="105"/>
        </w:rPr>
        <w:t>acuerdo</w:t>
      </w:r>
      <w:r>
        <w:rPr>
          <w:color w:val="231F20"/>
          <w:spacing w:val="-10"/>
          <w:w w:val="105"/>
        </w:rPr>
        <w:t> </w:t>
      </w:r>
      <w:r>
        <w:rPr>
          <w:color w:val="231F20"/>
          <w:w w:val="105"/>
        </w:rPr>
        <w:t>a</w:t>
      </w:r>
      <w:r>
        <w:rPr>
          <w:color w:val="231F20"/>
          <w:spacing w:val="-10"/>
          <w:w w:val="105"/>
        </w:rPr>
        <w:t> </w:t>
      </w:r>
      <w:r>
        <w:rPr>
          <w:color w:val="231F20"/>
          <w:w w:val="105"/>
        </w:rPr>
        <w:t>lo</w:t>
      </w:r>
      <w:r>
        <w:rPr>
          <w:color w:val="231F20"/>
          <w:spacing w:val="-10"/>
          <w:w w:val="105"/>
        </w:rPr>
        <w:t> </w:t>
      </w:r>
      <w:r>
        <w:rPr>
          <w:color w:val="231F20"/>
          <w:w w:val="105"/>
        </w:rPr>
        <w:t>mencionado</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w w:val="105"/>
        </w:rPr>
        <w:t>migrantes</w:t>
      </w:r>
      <w:r>
        <w:rPr>
          <w:color w:val="231F20"/>
          <w:spacing w:val="-10"/>
          <w:w w:val="105"/>
        </w:rPr>
        <w:t> </w:t>
      </w:r>
      <w:r>
        <w:rPr>
          <w:color w:val="231F20"/>
          <w:w w:val="105"/>
        </w:rPr>
        <w:t>entrevistados.</w:t>
      </w:r>
    </w:p>
    <w:p>
      <w:pPr>
        <w:pStyle w:val="BodyText"/>
        <w:spacing w:line="261" w:lineRule="auto" w:before="1"/>
        <w:ind w:left="1723" w:right="1828" w:firstLine="567"/>
        <w:jc w:val="both"/>
      </w:pPr>
      <w:r>
        <w:rPr>
          <w:color w:val="231F20"/>
          <w:w w:val="105"/>
        </w:rPr>
        <w:t>Ahora bien, de los migrantes diagnosticados con hipertensión, la mayoría eran mujeres, con 79.5%. </w:t>
      </w:r>
      <w:r>
        <w:rPr>
          <w:color w:val="231F20"/>
          <w:spacing w:val="-6"/>
          <w:w w:val="105"/>
        </w:rPr>
        <w:t>Por </w:t>
      </w:r>
      <w:r>
        <w:rPr>
          <w:color w:val="231F20"/>
          <w:w w:val="105"/>
        </w:rPr>
        <w:t>grupos de edad se observó que la mayor proporción se encuentra en el rango de 60 a 64 años</w:t>
      </w:r>
      <w:r>
        <w:rPr>
          <w:color w:val="231F20"/>
          <w:spacing w:val="-39"/>
          <w:w w:val="105"/>
        </w:rPr>
        <w:t> </w:t>
      </w:r>
      <w:r>
        <w:rPr>
          <w:color w:val="231F20"/>
          <w:w w:val="105"/>
        </w:rPr>
        <w:t>(25.2%), seguido</w:t>
      </w:r>
      <w:r>
        <w:rPr>
          <w:color w:val="231F20"/>
          <w:spacing w:val="-2"/>
          <w:w w:val="105"/>
        </w:rPr>
        <w:t> </w:t>
      </w:r>
      <w:r>
        <w:rPr>
          <w:color w:val="231F20"/>
          <w:w w:val="105"/>
        </w:rPr>
        <w:t>de</w:t>
      </w:r>
      <w:r>
        <w:rPr>
          <w:color w:val="231F20"/>
          <w:spacing w:val="-2"/>
          <w:w w:val="105"/>
        </w:rPr>
        <w:t> </w:t>
      </w:r>
      <w:r>
        <w:rPr>
          <w:color w:val="231F20"/>
          <w:w w:val="105"/>
        </w:rPr>
        <w:t>los</w:t>
      </w:r>
      <w:r>
        <w:rPr>
          <w:color w:val="231F20"/>
          <w:spacing w:val="-2"/>
          <w:w w:val="105"/>
        </w:rPr>
        <w:t> </w:t>
      </w:r>
      <w:r>
        <w:rPr>
          <w:color w:val="231F20"/>
          <w:w w:val="105"/>
        </w:rPr>
        <w:t>de</w:t>
      </w:r>
      <w:r>
        <w:rPr>
          <w:color w:val="231F20"/>
          <w:spacing w:val="-2"/>
          <w:w w:val="105"/>
        </w:rPr>
        <w:t> </w:t>
      </w:r>
      <w:r>
        <w:rPr>
          <w:color w:val="231F20"/>
          <w:w w:val="105"/>
        </w:rPr>
        <w:t>65</w:t>
      </w:r>
      <w:r>
        <w:rPr>
          <w:color w:val="231F20"/>
          <w:spacing w:val="-2"/>
          <w:w w:val="105"/>
        </w:rPr>
        <w:t> </w:t>
      </w:r>
      <w:r>
        <w:rPr>
          <w:color w:val="231F20"/>
          <w:w w:val="105"/>
        </w:rPr>
        <w:t>años</w:t>
      </w:r>
      <w:r>
        <w:rPr>
          <w:color w:val="231F20"/>
          <w:spacing w:val="-2"/>
          <w:w w:val="105"/>
        </w:rPr>
        <w:t> </w:t>
      </w:r>
      <w:r>
        <w:rPr>
          <w:color w:val="231F20"/>
          <w:w w:val="105"/>
        </w:rPr>
        <w:t>y</w:t>
      </w:r>
      <w:r>
        <w:rPr>
          <w:color w:val="231F20"/>
          <w:spacing w:val="-2"/>
          <w:w w:val="105"/>
        </w:rPr>
        <w:t> </w:t>
      </w:r>
      <w:r>
        <w:rPr>
          <w:color w:val="231F20"/>
          <w:w w:val="105"/>
        </w:rPr>
        <w:t>más,</w:t>
      </w:r>
      <w:r>
        <w:rPr>
          <w:color w:val="231F20"/>
          <w:spacing w:val="-8"/>
          <w:w w:val="105"/>
        </w:rPr>
        <w:t> </w:t>
      </w:r>
      <w:r>
        <w:rPr>
          <w:color w:val="231F20"/>
          <w:w w:val="105"/>
        </w:rPr>
        <w:t>y</w:t>
      </w:r>
      <w:r>
        <w:rPr>
          <w:color w:val="231F20"/>
          <w:spacing w:val="-2"/>
          <w:w w:val="105"/>
        </w:rPr>
        <w:t> </w:t>
      </w:r>
      <w:r>
        <w:rPr>
          <w:color w:val="231F20"/>
          <w:w w:val="105"/>
        </w:rPr>
        <w:t>de</w:t>
      </w:r>
      <w:r>
        <w:rPr>
          <w:color w:val="231F20"/>
          <w:spacing w:val="-2"/>
          <w:w w:val="105"/>
        </w:rPr>
        <w:t> </w:t>
      </w:r>
      <w:r>
        <w:rPr>
          <w:color w:val="231F20"/>
          <w:w w:val="105"/>
        </w:rPr>
        <w:t>50</w:t>
      </w:r>
      <w:r>
        <w:rPr>
          <w:color w:val="231F20"/>
          <w:spacing w:val="-2"/>
          <w:w w:val="105"/>
        </w:rPr>
        <w:t> </w:t>
      </w:r>
      <w:r>
        <w:rPr>
          <w:color w:val="231F20"/>
          <w:w w:val="105"/>
        </w:rPr>
        <w:t>a</w:t>
      </w:r>
      <w:r>
        <w:rPr>
          <w:color w:val="231F20"/>
          <w:spacing w:val="-2"/>
          <w:w w:val="105"/>
        </w:rPr>
        <w:t> </w:t>
      </w:r>
      <w:r>
        <w:rPr>
          <w:color w:val="231F20"/>
          <w:w w:val="105"/>
        </w:rPr>
        <w:t>54</w:t>
      </w:r>
      <w:r>
        <w:rPr>
          <w:color w:val="231F20"/>
          <w:spacing w:val="-2"/>
          <w:w w:val="105"/>
        </w:rPr>
        <w:t> </w:t>
      </w:r>
      <w:r>
        <w:rPr>
          <w:color w:val="231F20"/>
          <w:w w:val="105"/>
        </w:rPr>
        <w:t>años,</w:t>
      </w:r>
      <w:r>
        <w:rPr>
          <w:color w:val="231F20"/>
          <w:spacing w:val="-8"/>
          <w:w w:val="105"/>
        </w:rPr>
        <w:t> </w:t>
      </w:r>
      <w:r>
        <w:rPr>
          <w:color w:val="231F20"/>
          <w:w w:val="105"/>
        </w:rPr>
        <w:t>con</w:t>
      </w:r>
      <w:r>
        <w:rPr>
          <w:color w:val="231F20"/>
          <w:spacing w:val="-2"/>
          <w:w w:val="105"/>
        </w:rPr>
        <w:t> </w:t>
      </w:r>
      <w:r>
        <w:rPr>
          <w:color w:val="231F20"/>
          <w:w w:val="105"/>
        </w:rPr>
        <w:t>18%</w:t>
      </w:r>
      <w:r>
        <w:rPr>
          <w:color w:val="231F20"/>
          <w:spacing w:val="-2"/>
          <w:w w:val="105"/>
        </w:rPr>
        <w:t> </w:t>
      </w:r>
      <w:r>
        <w:rPr>
          <w:color w:val="231F20"/>
          <w:w w:val="105"/>
        </w:rPr>
        <w:t>y</w:t>
      </w:r>
      <w:r>
        <w:rPr>
          <w:color w:val="231F20"/>
          <w:spacing w:val="-2"/>
          <w:w w:val="105"/>
        </w:rPr>
        <w:t> </w:t>
      </w:r>
      <w:r>
        <w:rPr>
          <w:color w:val="231F20"/>
          <w:w w:val="105"/>
        </w:rPr>
        <w:t>17.7%, respectivamente.</w:t>
      </w:r>
      <w:r>
        <w:rPr>
          <w:color w:val="231F20"/>
          <w:spacing w:val="-28"/>
          <w:w w:val="105"/>
        </w:rPr>
        <w:t> </w:t>
      </w:r>
      <w:r>
        <w:rPr>
          <w:color w:val="231F20"/>
          <w:w w:val="105"/>
        </w:rPr>
        <w:t>En</w:t>
      </w:r>
      <w:r>
        <w:rPr>
          <w:color w:val="231F20"/>
          <w:spacing w:val="-23"/>
          <w:w w:val="105"/>
        </w:rPr>
        <w:t> </w:t>
      </w:r>
      <w:r>
        <w:rPr>
          <w:color w:val="231F20"/>
          <w:w w:val="105"/>
        </w:rPr>
        <w:t>cuanto</w:t>
      </w:r>
      <w:r>
        <w:rPr>
          <w:color w:val="231F20"/>
          <w:spacing w:val="-23"/>
          <w:w w:val="105"/>
        </w:rPr>
        <w:t> </w:t>
      </w:r>
      <w:r>
        <w:rPr>
          <w:color w:val="231F20"/>
          <w:w w:val="105"/>
        </w:rPr>
        <w:t>al</w:t>
      </w:r>
      <w:r>
        <w:rPr>
          <w:color w:val="231F20"/>
          <w:spacing w:val="-23"/>
          <w:w w:val="105"/>
        </w:rPr>
        <w:t> </w:t>
      </w:r>
      <w:r>
        <w:rPr>
          <w:color w:val="231F20"/>
          <w:w w:val="105"/>
        </w:rPr>
        <w:t>nivel</w:t>
      </w:r>
      <w:r>
        <w:rPr>
          <w:color w:val="231F20"/>
          <w:spacing w:val="-23"/>
          <w:w w:val="105"/>
        </w:rPr>
        <w:t> </w:t>
      </w:r>
      <w:r>
        <w:rPr>
          <w:color w:val="231F20"/>
          <w:w w:val="105"/>
        </w:rPr>
        <w:t>de</w:t>
      </w:r>
      <w:r>
        <w:rPr>
          <w:color w:val="231F20"/>
          <w:spacing w:val="-23"/>
          <w:w w:val="105"/>
        </w:rPr>
        <w:t> </w:t>
      </w:r>
      <w:r>
        <w:rPr>
          <w:color w:val="231F20"/>
          <w:w w:val="105"/>
        </w:rPr>
        <w:t>escolaridad,</w:t>
      </w:r>
      <w:r>
        <w:rPr>
          <w:color w:val="231F20"/>
          <w:spacing w:val="-28"/>
          <w:w w:val="105"/>
        </w:rPr>
        <w:t> </w:t>
      </w:r>
      <w:r>
        <w:rPr>
          <w:color w:val="231F20"/>
          <w:w w:val="105"/>
        </w:rPr>
        <w:t>56.5%</w:t>
      </w:r>
      <w:r>
        <w:rPr>
          <w:color w:val="231F20"/>
          <w:spacing w:val="-23"/>
          <w:w w:val="105"/>
        </w:rPr>
        <w:t> </w:t>
      </w:r>
      <w:r>
        <w:rPr>
          <w:color w:val="231F20"/>
          <w:w w:val="105"/>
        </w:rPr>
        <w:t>alcanzó</w:t>
      </w:r>
      <w:r>
        <w:rPr>
          <w:color w:val="231F20"/>
          <w:spacing w:val="-23"/>
          <w:w w:val="105"/>
        </w:rPr>
        <w:t> </w:t>
      </w:r>
      <w:r>
        <w:rPr>
          <w:color w:val="231F20"/>
          <w:w w:val="105"/>
        </w:rPr>
        <w:t>algún grado</w:t>
      </w:r>
      <w:r>
        <w:rPr>
          <w:color w:val="231F20"/>
          <w:spacing w:val="-21"/>
          <w:w w:val="105"/>
        </w:rPr>
        <w:t> </w:t>
      </w:r>
      <w:r>
        <w:rPr>
          <w:color w:val="231F20"/>
          <w:w w:val="105"/>
        </w:rPr>
        <w:t>de</w:t>
      </w:r>
      <w:r>
        <w:rPr>
          <w:color w:val="231F20"/>
          <w:spacing w:val="-21"/>
          <w:w w:val="105"/>
        </w:rPr>
        <w:t> </w:t>
      </w:r>
      <w:r>
        <w:rPr>
          <w:color w:val="231F20"/>
          <w:w w:val="105"/>
        </w:rPr>
        <w:t>primaria</w:t>
      </w:r>
      <w:r>
        <w:rPr>
          <w:color w:val="231F20"/>
          <w:spacing w:val="-21"/>
          <w:w w:val="105"/>
        </w:rPr>
        <w:t> </w:t>
      </w:r>
      <w:r>
        <w:rPr>
          <w:color w:val="231F20"/>
          <w:w w:val="105"/>
        </w:rPr>
        <w:t>y</w:t>
      </w:r>
      <w:r>
        <w:rPr>
          <w:color w:val="231F20"/>
          <w:spacing w:val="-21"/>
          <w:w w:val="105"/>
        </w:rPr>
        <w:t> </w:t>
      </w:r>
      <w:r>
        <w:rPr>
          <w:color w:val="231F20"/>
          <w:w w:val="105"/>
        </w:rPr>
        <w:t>23.4%</w:t>
      </w:r>
      <w:r>
        <w:rPr>
          <w:color w:val="231F20"/>
          <w:spacing w:val="-21"/>
          <w:w w:val="105"/>
        </w:rPr>
        <w:t> </w:t>
      </w:r>
      <w:r>
        <w:rPr>
          <w:color w:val="231F20"/>
          <w:w w:val="105"/>
        </w:rPr>
        <w:t>de</w:t>
      </w:r>
      <w:r>
        <w:rPr>
          <w:color w:val="231F20"/>
          <w:spacing w:val="-21"/>
          <w:w w:val="105"/>
        </w:rPr>
        <w:t> </w:t>
      </w:r>
      <w:r>
        <w:rPr>
          <w:color w:val="231F20"/>
          <w:w w:val="105"/>
        </w:rPr>
        <w:t>secundaria.</w:t>
      </w:r>
      <w:r>
        <w:rPr>
          <w:color w:val="231F20"/>
          <w:spacing w:val="-25"/>
          <w:w w:val="105"/>
        </w:rPr>
        <w:t> </w:t>
      </w:r>
      <w:r>
        <w:rPr>
          <w:color w:val="231F20"/>
          <w:spacing w:val="-4"/>
          <w:w w:val="105"/>
        </w:rPr>
        <w:t>Para</w:t>
      </w:r>
      <w:r>
        <w:rPr>
          <w:color w:val="231F20"/>
          <w:spacing w:val="-21"/>
          <w:w w:val="105"/>
        </w:rPr>
        <w:t> </w:t>
      </w:r>
      <w:r>
        <w:rPr>
          <w:color w:val="231F20"/>
          <w:w w:val="105"/>
        </w:rPr>
        <w:t>finalizar,</w:t>
      </w:r>
      <w:r>
        <w:rPr>
          <w:color w:val="231F20"/>
          <w:spacing w:val="-25"/>
          <w:w w:val="105"/>
        </w:rPr>
        <w:t> </w:t>
      </w:r>
      <w:r>
        <w:rPr>
          <w:color w:val="231F20"/>
          <w:w w:val="105"/>
        </w:rPr>
        <w:t>75.9%</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mi- grantes</w:t>
      </w:r>
      <w:r>
        <w:rPr>
          <w:color w:val="231F20"/>
          <w:spacing w:val="-21"/>
          <w:w w:val="105"/>
        </w:rPr>
        <w:t> </w:t>
      </w:r>
      <w:r>
        <w:rPr>
          <w:color w:val="231F20"/>
          <w:w w:val="105"/>
        </w:rPr>
        <w:t>eran</w:t>
      </w:r>
      <w:r>
        <w:rPr>
          <w:color w:val="231F20"/>
          <w:spacing w:val="-21"/>
          <w:w w:val="105"/>
        </w:rPr>
        <w:t> </w:t>
      </w:r>
      <w:r>
        <w:rPr>
          <w:color w:val="231F20"/>
          <w:w w:val="105"/>
        </w:rPr>
        <w:t>casados,</w:t>
      </w:r>
      <w:r>
        <w:rPr>
          <w:color w:val="231F20"/>
          <w:spacing w:val="-26"/>
          <w:w w:val="105"/>
        </w:rPr>
        <w:t> </w:t>
      </w:r>
      <w:r>
        <w:rPr>
          <w:color w:val="231F20"/>
          <w:w w:val="105"/>
        </w:rPr>
        <w:t>llamando</w:t>
      </w:r>
      <w:r>
        <w:rPr>
          <w:color w:val="231F20"/>
          <w:spacing w:val="-21"/>
          <w:w w:val="105"/>
        </w:rPr>
        <w:t> </w:t>
      </w:r>
      <w:r>
        <w:rPr>
          <w:color w:val="231F20"/>
          <w:w w:val="105"/>
        </w:rPr>
        <w:t>la</w:t>
      </w:r>
      <w:r>
        <w:rPr>
          <w:color w:val="231F20"/>
          <w:spacing w:val="-21"/>
          <w:w w:val="105"/>
        </w:rPr>
        <w:t> </w:t>
      </w:r>
      <w:r>
        <w:rPr>
          <w:color w:val="231F20"/>
          <w:w w:val="105"/>
        </w:rPr>
        <w:t>atención</w:t>
      </w:r>
      <w:r>
        <w:rPr>
          <w:color w:val="231F20"/>
          <w:spacing w:val="-21"/>
          <w:w w:val="105"/>
        </w:rPr>
        <w:t> </w:t>
      </w:r>
      <w:r>
        <w:rPr>
          <w:color w:val="231F20"/>
          <w:w w:val="105"/>
        </w:rPr>
        <w:t>que</w:t>
      </w:r>
      <w:r>
        <w:rPr>
          <w:color w:val="231F20"/>
          <w:spacing w:val="-21"/>
          <w:w w:val="105"/>
        </w:rPr>
        <w:t> </w:t>
      </w:r>
      <w:r>
        <w:rPr>
          <w:color w:val="231F20"/>
          <w:w w:val="105"/>
        </w:rPr>
        <w:t>18.3%</w:t>
      </w:r>
      <w:r>
        <w:rPr>
          <w:color w:val="231F20"/>
          <w:spacing w:val="-21"/>
          <w:w w:val="105"/>
        </w:rPr>
        <w:t> </w:t>
      </w:r>
      <w:r>
        <w:rPr>
          <w:color w:val="231F20"/>
          <w:w w:val="105"/>
        </w:rPr>
        <w:t>eran</w:t>
      </w:r>
      <w:r>
        <w:rPr>
          <w:color w:val="231F20"/>
          <w:spacing w:val="-21"/>
          <w:w w:val="105"/>
        </w:rPr>
        <w:t> </w:t>
      </w:r>
      <w:r>
        <w:rPr>
          <w:color w:val="231F20"/>
          <w:w w:val="105"/>
        </w:rPr>
        <w:t>viudos</w:t>
      </w:r>
      <w:r>
        <w:rPr>
          <w:color w:val="231F20"/>
          <w:spacing w:val="-21"/>
          <w:w w:val="105"/>
        </w:rPr>
        <w:t> </w:t>
      </w:r>
      <w:r>
        <w:rPr>
          <w:color w:val="231F20"/>
          <w:w w:val="105"/>
        </w:rPr>
        <w:t>(véa- se</w:t>
      </w:r>
      <w:r>
        <w:rPr>
          <w:color w:val="231F20"/>
          <w:spacing w:val="-30"/>
          <w:w w:val="105"/>
        </w:rPr>
        <w:t> </w:t>
      </w:r>
      <w:r>
        <w:rPr>
          <w:color w:val="231F20"/>
          <w:w w:val="105"/>
        </w:rPr>
        <w:t>cuadro</w:t>
      </w:r>
      <w:r>
        <w:rPr>
          <w:color w:val="231F20"/>
          <w:spacing w:val="-30"/>
          <w:w w:val="105"/>
        </w:rPr>
        <w:t> </w:t>
      </w:r>
      <w:r>
        <w:rPr>
          <w:color w:val="231F20"/>
          <w:w w:val="105"/>
        </w:rPr>
        <w:t>4.1).</w:t>
      </w:r>
    </w:p>
    <w:p>
      <w:pPr>
        <w:pStyle w:val="BodyText"/>
        <w:spacing w:line="261" w:lineRule="auto" w:before="1"/>
        <w:ind w:left="1723" w:right="1828" w:firstLine="567"/>
        <w:jc w:val="both"/>
      </w:pPr>
      <w:r>
        <w:rPr>
          <w:color w:val="231F20"/>
          <w:w w:val="105"/>
        </w:rPr>
        <w:t>Respecto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diabetes,</w:t>
      </w:r>
      <w:r>
        <w:rPr>
          <w:color w:val="231F20"/>
          <w:spacing w:val="-18"/>
          <w:w w:val="105"/>
        </w:rPr>
        <w:t> </w:t>
      </w:r>
      <w:r>
        <w:rPr>
          <w:color w:val="231F20"/>
          <w:w w:val="105"/>
        </w:rPr>
        <w:t>también</w:t>
      </w:r>
      <w:r>
        <w:rPr>
          <w:color w:val="231F20"/>
          <w:spacing w:val="-13"/>
          <w:w w:val="105"/>
        </w:rPr>
        <w:t> </w:t>
      </w:r>
      <w:r>
        <w:rPr>
          <w:color w:val="231F20"/>
          <w:w w:val="105"/>
        </w:rPr>
        <w:t>las</w:t>
      </w:r>
      <w:r>
        <w:rPr>
          <w:color w:val="231F20"/>
          <w:spacing w:val="-13"/>
          <w:w w:val="105"/>
        </w:rPr>
        <w:t> </w:t>
      </w:r>
      <w:r>
        <w:rPr>
          <w:color w:val="231F20"/>
          <w:w w:val="105"/>
        </w:rPr>
        <w:t>mujeres</w:t>
      </w:r>
      <w:r>
        <w:rPr>
          <w:color w:val="231F20"/>
          <w:spacing w:val="-13"/>
          <w:w w:val="105"/>
        </w:rPr>
        <w:t> </w:t>
      </w:r>
      <w:r>
        <w:rPr>
          <w:color w:val="231F20"/>
          <w:w w:val="105"/>
        </w:rPr>
        <w:t>presentaron</w:t>
      </w:r>
      <w:r>
        <w:rPr>
          <w:color w:val="231F20"/>
          <w:spacing w:val="-13"/>
          <w:w w:val="105"/>
        </w:rPr>
        <w:t> </w:t>
      </w:r>
      <w:r>
        <w:rPr>
          <w:color w:val="231F20"/>
          <w:w w:val="105"/>
        </w:rPr>
        <w:t>la</w:t>
      </w:r>
      <w:r>
        <w:rPr>
          <w:color w:val="231F20"/>
          <w:spacing w:val="-13"/>
          <w:w w:val="105"/>
        </w:rPr>
        <w:t> </w:t>
      </w:r>
      <w:r>
        <w:rPr>
          <w:color w:val="231F20"/>
          <w:w w:val="105"/>
        </w:rPr>
        <w:t>mayor proporción (68.2%), el doble de lo registrado por los hombres</w:t>
      </w:r>
      <w:r>
        <w:rPr>
          <w:color w:val="231F20"/>
          <w:spacing w:val="45"/>
          <w:w w:val="105"/>
        </w:rPr>
        <w:t> </w:t>
      </w:r>
      <w:r>
        <w:rPr>
          <w:color w:val="231F20"/>
          <w:w w:val="105"/>
        </w:rPr>
        <w:t>(31.8%).</w:t>
      </w:r>
    </w:p>
    <w:p>
      <w:pPr>
        <w:pStyle w:val="BodyText"/>
        <w:rPr>
          <w:sz w:val="20"/>
        </w:rPr>
      </w:pPr>
    </w:p>
    <w:p>
      <w:pPr>
        <w:pStyle w:val="BodyText"/>
        <w:rPr>
          <w:sz w:val="20"/>
        </w:rPr>
      </w:pPr>
    </w:p>
    <w:p>
      <w:pPr>
        <w:pStyle w:val="BodyText"/>
        <w:rPr>
          <w:sz w:val="20"/>
        </w:rPr>
      </w:pPr>
    </w:p>
    <w:p>
      <w:pPr>
        <w:tabs>
          <w:tab w:pos="2937" w:val="left" w:leader="none"/>
        </w:tabs>
        <w:spacing w:before="191"/>
        <w:ind w:left="1832" w:right="0" w:firstLine="0"/>
        <w:jc w:val="left"/>
        <w:rPr>
          <w:rFonts w:ascii="Calibri" w:hAnsi="Calibri"/>
          <w:sz w:val="15"/>
        </w:rPr>
      </w:pPr>
      <w:r>
        <w:rPr/>
        <w:pict>
          <v:line style="position:absolute;mso-position-horizontal-relative:page;mso-position-vertical-relative:paragraph;z-index:-466432" from="131.551193pt,9.753715pt" to="131.551193pt,45.556113pt" stroked="true" strokeweight=".35pt" strokecolor="#231f20">
            <w10:wrap type="none"/>
          </v:line>
        </w:pict>
      </w:r>
      <w:r>
        <w:rPr/>
        <w:pict>
          <v:line style="position:absolute;mso-position-horizontal-relative:page;mso-position-vertical-relative:paragraph;z-index:-466168" from="15pt,45.555916pt" to="0pt,45.555916pt" stroked="true" strokeweight=".25pt" strokecolor="#000000">
            <w10:wrap type="none"/>
          </v:line>
        </w:pict>
      </w:r>
      <w:r>
        <w:rPr/>
        <w:pict>
          <v:line style="position:absolute;mso-position-horizontal-relative:page;mso-position-vertical-relative:paragraph;z-index:24040" from="508.890015pt,45.555916pt" to="523.890015pt,45.555916pt" stroked="true" strokeweight=".25pt" strokecolor="#000000">
            <w10:wrap type="none"/>
          </v:line>
        </w:pict>
      </w:r>
      <w:r>
        <w:rPr>
          <w:rFonts w:ascii="Arial" w:hAnsi="Arial"/>
          <w:color w:val="414042"/>
          <w:w w:val="105"/>
          <w:position w:val="-5"/>
          <w:sz w:val="20"/>
        </w:rPr>
        <w:t>192</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type w:val="continuous"/>
          <w:pgSz w:w="10480" w:h="14730"/>
          <w:pgMar w:top="0" w:bottom="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4088" from="405.061005pt,-27.904295pt" to="405.061005pt,6.961579pt" stroked="true" strokeweight=".35pt" strokecolor="#231f20">
            <w10:wrap type="none"/>
          </v:line>
        </w:pict>
      </w:r>
      <w:r>
        <w:rPr/>
        <w:pict>
          <v:line style="position:absolute;mso-position-horizontal-relative:page;mso-position-vertical-relative:paragraph;z-index:24112" from="15pt,-27.90452pt" to="0pt,-27.90452pt" stroked="true" strokeweight=".25pt" strokecolor="#000000">
            <w10:wrap type="none"/>
          </v:line>
        </w:pict>
      </w:r>
      <w:r>
        <w:rPr/>
        <w:pict>
          <v:line style="position:absolute;mso-position-horizontal-relative:page;mso-position-vertical-relative:paragraph;z-index:24136"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193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66024" from="15pt,715.487793pt" to="0pt,715.487793pt" stroked="true" strokeweight=".25pt" strokecolor="#000000">
            <w10:wrap type="none"/>
          </v:line>
        </w:pict>
      </w:r>
      <w:r>
        <w:rPr/>
        <w:pict>
          <v:line style="position:absolute;mso-position-horizontal-relative:page;mso-position-vertical-relative:page;z-index:24184" from="508.890015pt,715.487793pt" to="523.890015pt,715.487793pt" stroked="true" strokeweight=".25pt" strokecolor="#000000">
            <w10:wrap type="none"/>
          </v:line>
        </w:pict>
      </w:r>
    </w:p>
    <w:p>
      <w:pPr>
        <w:pStyle w:val="BodyText"/>
        <w:spacing w:before="6"/>
        <w:rPr>
          <w:rFonts w:ascii="Arial"/>
          <w:sz w:val="16"/>
        </w:rPr>
      </w:pPr>
    </w:p>
    <w:p>
      <w:pPr>
        <w:pStyle w:val="BodyText"/>
        <w:spacing w:line="261" w:lineRule="auto" w:before="60"/>
        <w:ind w:left="1837" w:right="1715"/>
        <w:jc w:val="both"/>
      </w:pPr>
      <w:r>
        <w:rPr>
          <w:color w:val="231F20"/>
          <w:w w:val="105"/>
        </w:rPr>
        <w:t>Los grupos de edad de 45 a 49 años y de 60 a 64 años registraron las mayores</w:t>
      </w:r>
      <w:r>
        <w:rPr>
          <w:color w:val="231F20"/>
          <w:spacing w:val="-16"/>
          <w:w w:val="105"/>
        </w:rPr>
        <w:t> </w:t>
      </w:r>
      <w:r>
        <w:rPr>
          <w:color w:val="231F20"/>
          <w:w w:val="105"/>
        </w:rPr>
        <w:t>proporciones,</w:t>
      </w:r>
      <w:r>
        <w:rPr>
          <w:color w:val="231F20"/>
          <w:spacing w:val="-20"/>
          <w:w w:val="105"/>
        </w:rPr>
        <w:t> </w:t>
      </w:r>
      <w:r>
        <w:rPr>
          <w:color w:val="231F20"/>
          <w:w w:val="105"/>
        </w:rPr>
        <w:t>con</w:t>
      </w:r>
      <w:r>
        <w:rPr>
          <w:color w:val="231F20"/>
          <w:spacing w:val="-16"/>
          <w:w w:val="105"/>
        </w:rPr>
        <w:t> </w:t>
      </w:r>
      <w:r>
        <w:rPr>
          <w:color w:val="231F20"/>
          <w:w w:val="105"/>
        </w:rPr>
        <w:t>23.7%</w:t>
      </w:r>
      <w:r>
        <w:rPr>
          <w:color w:val="231F20"/>
          <w:spacing w:val="-16"/>
          <w:w w:val="105"/>
        </w:rPr>
        <w:t> </w:t>
      </w:r>
      <w:r>
        <w:rPr>
          <w:color w:val="231F20"/>
          <w:w w:val="105"/>
        </w:rPr>
        <w:t>y</w:t>
      </w:r>
      <w:r>
        <w:rPr>
          <w:color w:val="231F20"/>
          <w:spacing w:val="-16"/>
          <w:w w:val="105"/>
        </w:rPr>
        <w:t> </w:t>
      </w:r>
      <w:r>
        <w:rPr>
          <w:color w:val="231F20"/>
          <w:w w:val="105"/>
        </w:rPr>
        <w:t>20.8%,</w:t>
      </w:r>
      <w:r>
        <w:rPr>
          <w:color w:val="231F20"/>
          <w:spacing w:val="-20"/>
          <w:w w:val="105"/>
        </w:rPr>
        <w:t> </w:t>
      </w:r>
      <w:r>
        <w:rPr>
          <w:color w:val="231F20"/>
          <w:w w:val="105"/>
        </w:rPr>
        <w:t>comparativamente.</w:t>
      </w:r>
      <w:r>
        <w:rPr>
          <w:color w:val="231F20"/>
          <w:spacing w:val="-20"/>
          <w:w w:val="105"/>
        </w:rPr>
        <w:t> </w:t>
      </w:r>
      <w:r>
        <w:rPr>
          <w:color w:val="231F20"/>
          <w:w w:val="105"/>
        </w:rPr>
        <w:t>Del</w:t>
      </w:r>
      <w:r>
        <w:rPr>
          <w:color w:val="231F20"/>
          <w:spacing w:val="-16"/>
          <w:w w:val="105"/>
        </w:rPr>
        <w:t> </w:t>
      </w:r>
      <w:r>
        <w:rPr>
          <w:color w:val="231F20"/>
          <w:w w:val="105"/>
        </w:rPr>
        <w:t>mis- mo modo, como lo ocurrido con la hipertensión, los migrantes con al- gún</w:t>
      </w:r>
      <w:r>
        <w:rPr>
          <w:color w:val="231F20"/>
          <w:spacing w:val="-13"/>
          <w:w w:val="105"/>
        </w:rPr>
        <w:t> </w:t>
      </w:r>
      <w:r>
        <w:rPr>
          <w:color w:val="231F20"/>
          <w:w w:val="105"/>
        </w:rPr>
        <w:t>grado</w:t>
      </w:r>
      <w:r>
        <w:rPr>
          <w:color w:val="231F20"/>
          <w:spacing w:val="-13"/>
          <w:w w:val="105"/>
        </w:rPr>
        <w:t> </w:t>
      </w:r>
      <w:r>
        <w:rPr>
          <w:color w:val="231F20"/>
          <w:w w:val="105"/>
        </w:rPr>
        <w:t>de</w:t>
      </w:r>
      <w:r>
        <w:rPr>
          <w:color w:val="231F20"/>
          <w:spacing w:val="-13"/>
          <w:w w:val="105"/>
        </w:rPr>
        <w:t> </w:t>
      </w:r>
      <w:r>
        <w:rPr>
          <w:color w:val="231F20"/>
          <w:w w:val="105"/>
        </w:rPr>
        <w:t>primaria</w:t>
      </w:r>
      <w:r>
        <w:rPr>
          <w:color w:val="231F20"/>
          <w:spacing w:val="-13"/>
          <w:w w:val="105"/>
        </w:rPr>
        <w:t> </w:t>
      </w:r>
      <w:r>
        <w:rPr>
          <w:color w:val="231F20"/>
          <w:w w:val="105"/>
        </w:rPr>
        <w:t>y</w:t>
      </w:r>
      <w:r>
        <w:rPr>
          <w:color w:val="231F20"/>
          <w:spacing w:val="-13"/>
          <w:w w:val="105"/>
        </w:rPr>
        <w:t> </w:t>
      </w:r>
      <w:r>
        <w:rPr>
          <w:color w:val="231F20"/>
          <w:w w:val="105"/>
        </w:rPr>
        <w:t>secundaria</w:t>
      </w:r>
      <w:r>
        <w:rPr>
          <w:color w:val="231F20"/>
          <w:spacing w:val="-13"/>
          <w:w w:val="105"/>
        </w:rPr>
        <w:t> </w:t>
      </w:r>
      <w:r>
        <w:rPr>
          <w:color w:val="231F20"/>
          <w:w w:val="105"/>
        </w:rPr>
        <w:t>obtuvieron</w:t>
      </w:r>
      <w:r>
        <w:rPr>
          <w:color w:val="231F20"/>
          <w:spacing w:val="-13"/>
          <w:w w:val="105"/>
        </w:rPr>
        <w:t> </w:t>
      </w:r>
      <w:r>
        <w:rPr>
          <w:color w:val="231F20"/>
          <w:w w:val="105"/>
        </w:rPr>
        <w:t>la</w:t>
      </w:r>
      <w:r>
        <w:rPr>
          <w:color w:val="231F20"/>
          <w:spacing w:val="-13"/>
          <w:w w:val="105"/>
        </w:rPr>
        <w:t> </w:t>
      </w:r>
      <w:r>
        <w:rPr>
          <w:color w:val="231F20"/>
          <w:w w:val="105"/>
        </w:rPr>
        <w:t>mayor</w:t>
      </w:r>
      <w:r>
        <w:rPr>
          <w:color w:val="231F20"/>
          <w:spacing w:val="-13"/>
          <w:w w:val="105"/>
        </w:rPr>
        <w:t> </w:t>
      </w:r>
      <w:r>
        <w:rPr>
          <w:color w:val="231F20"/>
          <w:w w:val="105"/>
        </w:rPr>
        <w:t>representación, 48.2%</w:t>
      </w:r>
      <w:r>
        <w:rPr>
          <w:color w:val="231F20"/>
          <w:spacing w:val="-23"/>
          <w:w w:val="105"/>
        </w:rPr>
        <w:t> </w:t>
      </w:r>
      <w:r>
        <w:rPr>
          <w:color w:val="231F20"/>
          <w:w w:val="105"/>
        </w:rPr>
        <w:t>y</w:t>
      </w:r>
      <w:r>
        <w:rPr>
          <w:color w:val="231F20"/>
          <w:spacing w:val="-23"/>
          <w:w w:val="105"/>
        </w:rPr>
        <w:t> </w:t>
      </w:r>
      <w:r>
        <w:rPr>
          <w:color w:val="231F20"/>
          <w:w w:val="105"/>
        </w:rPr>
        <w:t>25.9%,</w:t>
      </w:r>
      <w:r>
        <w:rPr>
          <w:color w:val="231F20"/>
          <w:spacing w:val="-27"/>
          <w:w w:val="105"/>
        </w:rPr>
        <w:t> </w:t>
      </w:r>
      <w:r>
        <w:rPr>
          <w:color w:val="231F20"/>
          <w:w w:val="105"/>
        </w:rPr>
        <w:t>respectivamente.</w:t>
      </w:r>
      <w:r>
        <w:rPr>
          <w:color w:val="231F20"/>
          <w:spacing w:val="-27"/>
          <w:w w:val="105"/>
        </w:rPr>
        <w:t> </w:t>
      </w:r>
      <w:r>
        <w:rPr>
          <w:color w:val="231F20"/>
          <w:w w:val="105"/>
        </w:rPr>
        <w:t>De</w:t>
      </w:r>
      <w:r>
        <w:rPr>
          <w:color w:val="231F20"/>
          <w:spacing w:val="-23"/>
          <w:w w:val="105"/>
        </w:rPr>
        <w:t> </w:t>
      </w:r>
      <w:r>
        <w:rPr>
          <w:color w:val="231F20"/>
          <w:w w:val="105"/>
        </w:rPr>
        <w:t>nuevo</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casados</w:t>
      </w:r>
      <w:r>
        <w:rPr>
          <w:color w:val="231F20"/>
          <w:spacing w:val="-23"/>
          <w:w w:val="105"/>
        </w:rPr>
        <w:t> </w:t>
      </w:r>
      <w:r>
        <w:rPr>
          <w:color w:val="231F20"/>
          <w:w w:val="105"/>
        </w:rPr>
        <w:t>se</w:t>
      </w:r>
      <w:r>
        <w:rPr>
          <w:color w:val="231F20"/>
          <w:spacing w:val="-23"/>
          <w:w w:val="105"/>
        </w:rPr>
        <w:t> </w:t>
      </w:r>
      <w:r>
        <w:rPr>
          <w:color w:val="231F20"/>
          <w:w w:val="105"/>
        </w:rPr>
        <w:t>observó</w:t>
      </w:r>
      <w:r>
        <w:rPr>
          <w:color w:val="231F20"/>
          <w:spacing w:val="-23"/>
          <w:w w:val="105"/>
        </w:rPr>
        <w:t> </w:t>
      </w:r>
      <w:r>
        <w:rPr>
          <w:color w:val="231F20"/>
          <w:w w:val="105"/>
        </w:rPr>
        <w:t>la mayor presencia de esta enfermedad (80.1%), situándose en segundo orden</w:t>
      </w:r>
      <w:r>
        <w:rPr>
          <w:color w:val="231F20"/>
          <w:spacing w:val="-25"/>
          <w:w w:val="105"/>
        </w:rPr>
        <w:t> </w:t>
      </w:r>
      <w:r>
        <w:rPr>
          <w:color w:val="231F20"/>
          <w:w w:val="105"/>
        </w:rPr>
        <w:t>los</w:t>
      </w:r>
      <w:r>
        <w:rPr>
          <w:color w:val="231F20"/>
          <w:spacing w:val="-25"/>
          <w:w w:val="105"/>
        </w:rPr>
        <w:t> </w:t>
      </w:r>
      <w:r>
        <w:rPr>
          <w:color w:val="231F20"/>
          <w:w w:val="105"/>
        </w:rPr>
        <w:t>viudos,</w:t>
      </w:r>
      <w:r>
        <w:rPr>
          <w:color w:val="231F20"/>
          <w:spacing w:val="-29"/>
          <w:w w:val="105"/>
        </w:rPr>
        <w:t> </w:t>
      </w:r>
      <w:r>
        <w:rPr>
          <w:color w:val="231F20"/>
          <w:w w:val="105"/>
        </w:rPr>
        <w:t>con</w:t>
      </w:r>
      <w:r>
        <w:rPr>
          <w:color w:val="231F20"/>
          <w:spacing w:val="-25"/>
          <w:w w:val="105"/>
        </w:rPr>
        <w:t> </w:t>
      </w:r>
      <w:r>
        <w:rPr>
          <w:color w:val="231F20"/>
          <w:w w:val="105"/>
        </w:rPr>
        <w:t>11.2%</w:t>
      </w:r>
      <w:r>
        <w:rPr>
          <w:color w:val="231F20"/>
          <w:spacing w:val="-25"/>
          <w:w w:val="105"/>
        </w:rPr>
        <w:t> </w:t>
      </w:r>
      <w:r>
        <w:rPr>
          <w:color w:val="231F20"/>
          <w:w w:val="105"/>
        </w:rPr>
        <w:t>(véase</w:t>
      </w:r>
      <w:r>
        <w:rPr>
          <w:color w:val="231F20"/>
          <w:spacing w:val="-25"/>
          <w:w w:val="105"/>
        </w:rPr>
        <w:t> </w:t>
      </w:r>
      <w:r>
        <w:rPr>
          <w:color w:val="231F20"/>
          <w:w w:val="105"/>
        </w:rPr>
        <w:t>cuadro</w:t>
      </w:r>
      <w:r>
        <w:rPr>
          <w:color w:val="231F20"/>
          <w:spacing w:val="-25"/>
          <w:w w:val="105"/>
        </w:rPr>
        <w:t> </w:t>
      </w:r>
      <w:r>
        <w:rPr>
          <w:color w:val="231F20"/>
          <w:w w:val="105"/>
        </w:rPr>
        <w:t>4.1).</w:t>
      </w:r>
    </w:p>
    <w:p>
      <w:pPr>
        <w:pStyle w:val="BodyText"/>
        <w:spacing w:before="4"/>
      </w:pPr>
    </w:p>
    <w:p>
      <w:pPr>
        <w:spacing w:line="249" w:lineRule="auto" w:before="0"/>
        <w:ind w:left="2154" w:right="2039" w:firstLine="0"/>
        <w:jc w:val="center"/>
        <w:rPr>
          <w:rFonts w:ascii="Arial" w:hAnsi="Arial"/>
          <w:sz w:val="18"/>
        </w:rPr>
      </w:pPr>
      <w:r>
        <w:rPr>
          <w:rFonts w:ascii="Arial" w:hAnsi="Arial"/>
          <w:color w:val="231F20"/>
          <w:w w:val="105"/>
          <w:sz w:val="18"/>
        </w:rPr>
        <w:t>Cuadro 4.1 Distribución porcentual de los migrantes en flujo procedentes de</w:t>
      </w:r>
      <w:r>
        <w:rPr>
          <w:rFonts w:ascii="Arial" w:hAnsi="Arial"/>
          <w:color w:val="231F20"/>
          <w:spacing w:val="-15"/>
          <w:w w:val="105"/>
          <w:sz w:val="18"/>
        </w:rPr>
        <w:t> </w:t>
      </w:r>
      <w:r>
        <w:rPr>
          <w:rFonts w:ascii="Arial" w:hAnsi="Arial"/>
          <w:color w:val="231F20"/>
          <w:w w:val="105"/>
          <w:sz w:val="18"/>
        </w:rPr>
        <w:t>Estados</w:t>
      </w:r>
      <w:r>
        <w:rPr>
          <w:rFonts w:ascii="Arial" w:hAnsi="Arial"/>
          <w:color w:val="231F20"/>
          <w:spacing w:val="-15"/>
          <w:w w:val="105"/>
          <w:sz w:val="18"/>
        </w:rPr>
        <w:t> </w:t>
      </w:r>
      <w:r>
        <w:rPr>
          <w:rFonts w:ascii="Arial" w:hAnsi="Arial"/>
          <w:color w:val="231F20"/>
          <w:w w:val="105"/>
          <w:sz w:val="18"/>
        </w:rPr>
        <w:t>Unidos,</w:t>
      </w:r>
      <w:r>
        <w:rPr>
          <w:rFonts w:ascii="Arial" w:hAnsi="Arial"/>
          <w:color w:val="231F20"/>
          <w:spacing w:val="-20"/>
          <w:w w:val="105"/>
          <w:sz w:val="18"/>
        </w:rPr>
        <w:t> </w:t>
      </w:r>
      <w:r>
        <w:rPr>
          <w:rFonts w:ascii="Arial" w:hAnsi="Arial"/>
          <w:color w:val="231F20"/>
          <w:w w:val="105"/>
          <w:sz w:val="18"/>
        </w:rPr>
        <w:t>nacidos</w:t>
      </w:r>
      <w:r>
        <w:rPr>
          <w:rFonts w:ascii="Arial" w:hAnsi="Arial"/>
          <w:color w:val="231F20"/>
          <w:spacing w:val="-15"/>
          <w:w w:val="105"/>
          <w:sz w:val="18"/>
        </w:rPr>
        <w:t> </w:t>
      </w:r>
      <w:r>
        <w:rPr>
          <w:rFonts w:ascii="Arial" w:hAnsi="Arial"/>
          <w:color w:val="231F20"/>
          <w:w w:val="105"/>
          <w:sz w:val="18"/>
        </w:rPr>
        <w:t>en</w:t>
      </w:r>
      <w:r>
        <w:rPr>
          <w:rFonts w:ascii="Arial" w:hAnsi="Arial"/>
          <w:color w:val="231F20"/>
          <w:spacing w:val="-15"/>
          <w:w w:val="105"/>
          <w:sz w:val="18"/>
        </w:rPr>
        <w:t> </w:t>
      </w:r>
      <w:r>
        <w:rPr>
          <w:rFonts w:ascii="Arial" w:hAnsi="Arial"/>
          <w:color w:val="231F20"/>
          <w:w w:val="105"/>
          <w:sz w:val="18"/>
        </w:rPr>
        <w:t>el</w:t>
      </w:r>
      <w:r>
        <w:rPr>
          <w:rFonts w:ascii="Arial" w:hAnsi="Arial"/>
          <w:color w:val="231F20"/>
          <w:spacing w:val="-15"/>
          <w:w w:val="105"/>
          <w:sz w:val="18"/>
        </w:rPr>
        <w:t> </w:t>
      </w:r>
      <w:r>
        <w:rPr>
          <w:rFonts w:ascii="Arial" w:hAnsi="Arial"/>
          <w:color w:val="231F20"/>
          <w:w w:val="105"/>
          <w:sz w:val="18"/>
        </w:rPr>
        <w:t>Estado</w:t>
      </w:r>
      <w:r>
        <w:rPr>
          <w:rFonts w:ascii="Arial" w:hAnsi="Arial"/>
          <w:color w:val="231F20"/>
          <w:spacing w:val="-15"/>
          <w:w w:val="105"/>
          <w:sz w:val="18"/>
        </w:rPr>
        <w:t> </w:t>
      </w:r>
      <w:r>
        <w:rPr>
          <w:rFonts w:ascii="Arial" w:hAnsi="Arial"/>
          <w:color w:val="231F20"/>
          <w:w w:val="105"/>
          <w:sz w:val="18"/>
        </w:rPr>
        <w:t>de</w:t>
      </w:r>
      <w:r>
        <w:rPr>
          <w:rFonts w:ascii="Arial" w:hAnsi="Arial"/>
          <w:color w:val="231F20"/>
          <w:spacing w:val="-15"/>
          <w:w w:val="105"/>
          <w:sz w:val="18"/>
        </w:rPr>
        <w:t> </w:t>
      </w:r>
      <w:r>
        <w:rPr>
          <w:rFonts w:ascii="Arial" w:hAnsi="Arial"/>
          <w:color w:val="231F20"/>
          <w:w w:val="105"/>
          <w:sz w:val="18"/>
        </w:rPr>
        <w:t>México,</w:t>
      </w:r>
      <w:r>
        <w:rPr>
          <w:rFonts w:ascii="Arial" w:hAnsi="Arial"/>
          <w:color w:val="231F20"/>
          <w:spacing w:val="-20"/>
          <w:w w:val="105"/>
          <w:sz w:val="18"/>
        </w:rPr>
        <w:t> </w:t>
      </w:r>
      <w:r>
        <w:rPr>
          <w:rFonts w:ascii="Arial" w:hAnsi="Arial"/>
          <w:color w:val="231F20"/>
          <w:w w:val="105"/>
          <w:sz w:val="18"/>
        </w:rPr>
        <w:t>según</w:t>
      </w:r>
      <w:r>
        <w:rPr>
          <w:rFonts w:ascii="Arial" w:hAnsi="Arial"/>
          <w:color w:val="231F20"/>
          <w:spacing w:val="-15"/>
          <w:w w:val="105"/>
          <w:sz w:val="18"/>
        </w:rPr>
        <w:t> </w:t>
      </w:r>
      <w:r>
        <w:rPr>
          <w:rFonts w:ascii="Arial" w:hAnsi="Arial"/>
          <w:color w:val="231F20"/>
          <w:w w:val="105"/>
          <w:sz w:val="18"/>
        </w:rPr>
        <w:t>la</w:t>
      </w:r>
      <w:r>
        <w:rPr>
          <w:rFonts w:ascii="Arial" w:hAnsi="Arial"/>
          <w:color w:val="231F20"/>
          <w:spacing w:val="-15"/>
          <w:w w:val="105"/>
          <w:sz w:val="18"/>
        </w:rPr>
        <w:t> </w:t>
      </w:r>
      <w:r>
        <w:rPr>
          <w:rFonts w:ascii="Arial" w:hAnsi="Arial"/>
          <w:color w:val="231F20"/>
          <w:w w:val="105"/>
          <w:sz w:val="18"/>
        </w:rPr>
        <w:t>prevalencia</w:t>
      </w:r>
      <w:r>
        <w:rPr>
          <w:rFonts w:ascii="Arial" w:hAnsi="Arial"/>
          <w:color w:val="231F20"/>
          <w:spacing w:val="-15"/>
          <w:w w:val="105"/>
          <w:sz w:val="18"/>
        </w:rPr>
        <w:t> </w:t>
      </w:r>
      <w:r>
        <w:rPr>
          <w:rFonts w:ascii="Arial" w:hAnsi="Arial"/>
          <w:color w:val="231F20"/>
          <w:w w:val="105"/>
          <w:sz w:val="18"/>
        </w:rPr>
        <w:t>de hipertensión y diabetes,</w:t>
      </w:r>
      <w:r>
        <w:rPr>
          <w:rFonts w:ascii="Arial" w:hAnsi="Arial"/>
          <w:color w:val="231F20"/>
          <w:spacing w:val="-17"/>
          <w:w w:val="105"/>
          <w:sz w:val="18"/>
        </w:rPr>
        <w:t> </w:t>
      </w:r>
      <w:r>
        <w:rPr>
          <w:rFonts w:ascii="Arial" w:hAnsi="Arial"/>
          <w:color w:val="231F20"/>
          <w:w w:val="105"/>
          <w:sz w:val="18"/>
        </w:rPr>
        <w:t>2013</w:t>
      </w:r>
    </w:p>
    <w:p>
      <w:pPr>
        <w:pStyle w:val="BodyText"/>
        <w:spacing w:before="9"/>
        <w:rPr>
          <w:rFonts w:ascii="Arial"/>
          <w:sz w:val="12"/>
        </w:rPr>
      </w:pPr>
    </w:p>
    <w:tbl>
      <w:tblPr>
        <w:tblW w:w="0" w:type="auto"/>
        <w:jc w:val="left"/>
        <w:tblInd w:w="209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561"/>
        <w:gridCol w:w="2381"/>
        <w:gridCol w:w="1247"/>
        <w:gridCol w:w="1200"/>
      </w:tblGrid>
      <w:tr>
        <w:trPr>
          <w:trHeight w:val="452" w:hRule="exact"/>
        </w:trPr>
        <w:tc>
          <w:tcPr>
            <w:tcW w:w="1561" w:type="dxa"/>
          </w:tcPr>
          <w:p>
            <w:pPr>
              <w:pStyle w:val="TableParagraph"/>
              <w:spacing w:before="144"/>
              <w:ind w:left="402"/>
              <w:rPr>
                <w:rFonts w:ascii="Arial"/>
                <w:sz w:val="18"/>
              </w:rPr>
            </w:pPr>
            <w:r>
              <w:rPr>
                <w:rFonts w:ascii="Arial"/>
                <w:color w:val="231F20"/>
                <w:w w:val="105"/>
                <w:sz w:val="18"/>
              </w:rPr>
              <w:t>Variables</w:t>
            </w:r>
          </w:p>
        </w:tc>
        <w:tc>
          <w:tcPr>
            <w:tcW w:w="2381" w:type="dxa"/>
          </w:tcPr>
          <w:p>
            <w:pPr>
              <w:pStyle w:val="TableParagraph"/>
              <w:spacing w:before="144"/>
              <w:ind w:left="744"/>
              <w:rPr>
                <w:rFonts w:ascii="Arial" w:hAnsi="Arial"/>
                <w:sz w:val="18"/>
              </w:rPr>
            </w:pPr>
            <w:r>
              <w:rPr>
                <w:rFonts w:ascii="Arial" w:hAnsi="Arial"/>
                <w:color w:val="231F20"/>
                <w:w w:val="105"/>
                <w:sz w:val="18"/>
              </w:rPr>
              <w:t>Categorías</w:t>
            </w:r>
          </w:p>
        </w:tc>
        <w:tc>
          <w:tcPr>
            <w:tcW w:w="1247" w:type="dxa"/>
          </w:tcPr>
          <w:p>
            <w:pPr>
              <w:pStyle w:val="TableParagraph"/>
              <w:spacing w:before="144"/>
              <w:ind w:left="93"/>
              <w:rPr>
                <w:rFonts w:ascii="Arial" w:hAnsi="Arial"/>
                <w:sz w:val="18"/>
              </w:rPr>
            </w:pPr>
            <w:r>
              <w:rPr>
                <w:rFonts w:ascii="Arial" w:hAnsi="Arial"/>
                <w:color w:val="231F20"/>
                <w:w w:val="105"/>
                <w:sz w:val="18"/>
              </w:rPr>
              <w:t>Hipertensión</w:t>
            </w:r>
          </w:p>
        </w:tc>
        <w:tc>
          <w:tcPr>
            <w:tcW w:w="1200" w:type="dxa"/>
          </w:tcPr>
          <w:p>
            <w:pPr>
              <w:pStyle w:val="TableParagraph"/>
              <w:spacing w:before="144"/>
              <w:ind w:right="228"/>
              <w:jc w:val="right"/>
              <w:rPr>
                <w:rFonts w:ascii="Arial"/>
                <w:sz w:val="18"/>
              </w:rPr>
            </w:pPr>
            <w:r>
              <w:rPr>
                <w:rFonts w:ascii="Arial"/>
                <w:color w:val="231F20"/>
                <w:sz w:val="18"/>
              </w:rPr>
              <w:t>Diabetes</w:t>
            </w:r>
          </w:p>
        </w:tc>
      </w:tr>
      <w:tr>
        <w:trPr>
          <w:trHeight w:val="340" w:hRule="exact"/>
        </w:trPr>
        <w:tc>
          <w:tcPr>
            <w:tcW w:w="1561" w:type="dxa"/>
            <w:vMerge w:val="restart"/>
          </w:tcPr>
          <w:p>
            <w:pPr>
              <w:pStyle w:val="TableParagraph"/>
              <w:spacing w:before="0"/>
              <w:rPr>
                <w:rFonts w:ascii="Arial"/>
                <w:sz w:val="18"/>
              </w:rPr>
            </w:pPr>
          </w:p>
          <w:p>
            <w:pPr>
              <w:pStyle w:val="TableParagraph"/>
              <w:spacing w:before="3"/>
              <w:rPr>
                <w:rFonts w:ascii="Arial"/>
                <w:sz w:val="19"/>
              </w:rPr>
            </w:pPr>
          </w:p>
          <w:p>
            <w:pPr>
              <w:pStyle w:val="TableParagraph"/>
              <w:spacing w:before="0"/>
              <w:ind w:left="77"/>
              <w:rPr>
                <w:rFonts w:ascii="Arial"/>
                <w:sz w:val="18"/>
              </w:rPr>
            </w:pPr>
            <w:r>
              <w:rPr>
                <w:rFonts w:ascii="Arial"/>
                <w:color w:val="231F20"/>
                <w:sz w:val="18"/>
              </w:rPr>
              <w:t>Sexo</w:t>
            </w:r>
          </w:p>
        </w:tc>
        <w:tc>
          <w:tcPr>
            <w:tcW w:w="2381" w:type="dxa"/>
          </w:tcPr>
          <w:p>
            <w:pPr>
              <w:pStyle w:val="TableParagraph"/>
              <w:ind w:left="77"/>
              <w:rPr>
                <w:sz w:val="18"/>
              </w:rPr>
            </w:pPr>
            <w:r>
              <w:rPr>
                <w:color w:val="231F20"/>
                <w:w w:val="105"/>
                <w:sz w:val="18"/>
              </w:rPr>
              <w:t>Hombre</w:t>
            </w:r>
          </w:p>
        </w:tc>
        <w:tc>
          <w:tcPr>
            <w:tcW w:w="1247" w:type="dxa"/>
          </w:tcPr>
          <w:p>
            <w:pPr>
              <w:pStyle w:val="TableParagraph"/>
              <w:ind w:left="661"/>
              <w:rPr>
                <w:sz w:val="18"/>
              </w:rPr>
            </w:pPr>
            <w:r>
              <w:rPr>
                <w:color w:val="231F20"/>
                <w:w w:val="105"/>
                <w:sz w:val="18"/>
              </w:rPr>
              <w:t>20.5</w:t>
            </w:r>
          </w:p>
        </w:tc>
        <w:tc>
          <w:tcPr>
            <w:tcW w:w="1200" w:type="dxa"/>
          </w:tcPr>
          <w:p>
            <w:pPr>
              <w:pStyle w:val="TableParagraph"/>
              <w:ind w:right="222"/>
              <w:jc w:val="right"/>
              <w:rPr>
                <w:sz w:val="18"/>
              </w:rPr>
            </w:pPr>
            <w:r>
              <w:rPr>
                <w:color w:val="231F20"/>
                <w:sz w:val="18"/>
              </w:rPr>
              <w:t>31.8</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Mujer</w:t>
            </w:r>
          </w:p>
        </w:tc>
        <w:tc>
          <w:tcPr>
            <w:tcW w:w="1247" w:type="dxa"/>
          </w:tcPr>
          <w:p>
            <w:pPr>
              <w:pStyle w:val="TableParagraph"/>
              <w:ind w:left="661"/>
              <w:rPr>
                <w:sz w:val="18"/>
              </w:rPr>
            </w:pPr>
            <w:r>
              <w:rPr>
                <w:color w:val="231F20"/>
                <w:w w:val="105"/>
                <w:sz w:val="18"/>
              </w:rPr>
              <w:t>79.5</w:t>
            </w:r>
          </w:p>
        </w:tc>
        <w:tc>
          <w:tcPr>
            <w:tcW w:w="1200" w:type="dxa"/>
          </w:tcPr>
          <w:p>
            <w:pPr>
              <w:pStyle w:val="TableParagraph"/>
              <w:ind w:right="222"/>
              <w:jc w:val="right"/>
              <w:rPr>
                <w:sz w:val="18"/>
              </w:rPr>
            </w:pPr>
            <w:r>
              <w:rPr>
                <w:color w:val="231F20"/>
                <w:sz w:val="18"/>
              </w:rPr>
              <w:t>68.2</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Total</w:t>
            </w:r>
          </w:p>
        </w:tc>
        <w:tc>
          <w:tcPr>
            <w:tcW w:w="1247" w:type="dxa"/>
          </w:tcPr>
          <w:p>
            <w:pPr>
              <w:pStyle w:val="TableParagraph"/>
              <w:ind w:left="557"/>
              <w:rPr>
                <w:sz w:val="18"/>
              </w:rPr>
            </w:pPr>
            <w:r>
              <w:rPr>
                <w:color w:val="231F20"/>
                <w:w w:val="105"/>
                <w:sz w:val="18"/>
              </w:rPr>
              <w:t>100.0</w:t>
            </w:r>
          </w:p>
        </w:tc>
        <w:tc>
          <w:tcPr>
            <w:tcW w:w="1200" w:type="dxa"/>
          </w:tcPr>
          <w:p>
            <w:pPr>
              <w:pStyle w:val="TableParagraph"/>
              <w:ind w:right="222"/>
              <w:jc w:val="right"/>
              <w:rPr>
                <w:sz w:val="18"/>
              </w:rPr>
            </w:pPr>
            <w:r>
              <w:rPr>
                <w:color w:val="231F20"/>
                <w:sz w:val="18"/>
              </w:rPr>
              <w:t>100.0</w:t>
            </w:r>
          </w:p>
        </w:tc>
      </w:tr>
      <w:tr>
        <w:trPr>
          <w:trHeight w:val="340" w:hRule="exact"/>
        </w:trPr>
        <w:tc>
          <w:tcPr>
            <w:tcW w:w="1561" w:type="dxa"/>
            <w:vMerge w:val="restart"/>
          </w:tcPr>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8"/>
              <w:rPr>
                <w:rFonts w:ascii="Arial"/>
                <w:sz w:val="14"/>
              </w:rPr>
            </w:pPr>
          </w:p>
          <w:p>
            <w:pPr>
              <w:pStyle w:val="TableParagraph"/>
              <w:spacing w:before="1"/>
              <w:ind w:left="77"/>
              <w:rPr>
                <w:rFonts w:ascii="Arial"/>
                <w:sz w:val="18"/>
              </w:rPr>
            </w:pPr>
            <w:r>
              <w:rPr>
                <w:rFonts w:ascii="Arial"/>
                <w:color w:val="231F20"/>
                <w:w w:val="105"/>
                <w:sz w:val="18"/>
              </w:rPr>
              <w:t>Grupos de edad</w:t>
            </w:r>
          </w:p>
        </w:tc>
        <w:tc>
          <w:tcPr>
            <w:tcW w:w="2381" w:type="dxa"/>
          </w:tcPr>
          <w:p>
            <w:pPr>
              <w:pStyle w:val="TableParagraph"/>
              <w:ind w:left="77"/>
              <w:rPr>
                <w:sz w:val="18"/>
              </w:rPr>
            </w:pPr>
            <w:r>
              <w:rPr>
                <w:color w:val="231F20"/>
                <w:w w:val="105"/>
                <w:sz w:val="18"/>
              </w:rPr>
              <w:t>25-29</w:t>
            </w:r>
          </w:p>
        </w:tc>
        <w:tc>
          <w:tcPr>
            <w:tcW w:w="1247" w:type="dxa"/>
          </w:tcPr>
          <w:p>
            <w:pPr>
              <w:pStyle w:val="TableParagraph"/>
              <w:ind w:left="764"/>
              <w:rPr>
                <w:sz w:val="18"/>
              </w:rPr>
            </w:pPr>
            <w:r>
              <w:rPr>
                <w:color w:val="231F20"/>
                <w:sz w:val="18"/>
              </w:rPr>
              <w:t>2.3</w:t>
            </w:r>
          </w:p>
        </w:tc>
        <w:tc>
          <w:tcPr>
            <w:tcW w:w="1200" w:type="dxa"/>
          </w:tcPr>
          <w:p>
            <w:pPr>
              <w:pStyle w:val="TableParagraph"/>
              <w:ind w:right="222"/>
              <w:jc w:val="right"/>
              <w:rPr>
                <w:sz w:val="18"/>
              </w:rPr>
            </w:pPr>
            <w:r>
              <w:rPr>
                <w:color w:val="231F20"/>
                <w:sz w:val="18"/>
              </w:rPr>
              <w:t>4.5</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30-34</w:t>
            </w:r>
          </w:p>
        </w:tc>
        <w:tc>
          <w:tcPr>
            <w:tcW w:w="1247" w:type="dxa"/>
          </w:tcPr>
          <w:p>
            <w:pPr>
              <w:pStyle w:val="TableParagraph"/>
              <w:ind w:left="764"/>
              <w:rPr>
                <w:sz w:val="18"/>
              </w:rPr>
            </w:pPr>
            <w:r>
              <w:rPr>
                <w:color w:val="231F20"/>
                <w:sz w:val="18"/>
              </w:rPr>
              <w:t>0.3</w:t>
            </w:r>
          </w:p>
        </w:tc>
        <w:tc>
          <w:tcPr>
            <w:tcW w:w="1200" w:type="dxa"/>
          </w:tcPr>
          <w:p>
            <w:pPr>
              <w:pStyle w:val="TableParagraph"/>
              <w:ind w:right="222"/>
              <w:jc w:val="right"/>
              <w:rPr>
                <w:sz w:val="18"/>
              </w:rPr>
            </w:pPr>
            <w:r>
              <w:rPr>
                <w:color w:val="231F20"/>
                <w:sz w:val="18"/>
              </w:rPr>
              <w:t>0.0</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35-39</w:t>
            </w:r>
          </w:p>
        </w:tc>
        <w:tc>
          <w:tcPr>
            <w:tcW w:w="1247" w:type="dxa"/>
          </w:tcPr>
          <w:p>
            <w:pPr>
              <w:pStyle w:val="TableParagraph"/>
              <w:ind w:left="764"/>
              <w:rPr>
                <w:sz w:val="18"/>
              </w:rPr>
            </w:pPr>
            <w:r>
              <w:rPr>
                <w:color w:val="231F20"/>
                <w:sz w:val="18"/>
              </w:rPr>
              <w:t>2.1</w:t>
            </w:r>
          </w:p>
        </w:tc>
        <w:tc>
          <w:tcPr>
            <w:tcW w:w="1200" w:type="dxa"/>
          </w:tcPr>
          <w:p>
            <w:pPr>
              <w:pStyle w:val="TableParagraph"/>
              <w:ind w:right="222"/>
              <w:jc w:val="right"/>
              <w:rPr>
                <w:sz w:val="18"/>
              </w:rPr>
            </w:pPr>
            <w:r>
              <w:rPr>
                <w:color w:val="231F20"/>
                <w:sz w:val="18"/>
              </w:rPr>
              <w:t>3.2</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40-44</w:t>
            </w:r>
          </w:p>
        </w:tc>
        <w:tc>
          <w:tcPr>
            <w:tcW w:w="1247" w:type="dxa"/>
          </w:tcPr>
          <w:p>
            <w:pPr>
              <w:pStyle w:val="TableParagraph"/>
              <w:ind w:left="764"/>
              <w:rPr>
                <w:sz w:val="18"/>
              </w:rPr>
            </w:pPr>
            <w:r>
              <w:rPr>
                <w:color w:val="231F20"/>
                <w:sz w:val="18"/>
              </w:rPr>
              <w:t>4.3</w:t>
            </w:r>
          </w:p>
        </w:tc>
        <w:tc>
          <w:tcPr>
            <w:tcW w:w="1200" w:type="dxa"/>
          </w:tcPr>
          <w:p>
            <w:pPr>
              <w:pStyle w:val="TableParagraph"/>
              <w:ind w:right="222"/>
              <w:jc w:val="right"/>
              <w:rPr>
                <w:sz w:val="18"/>
              </w:rPr>
            </w:pPr>
            <w:r>
              <w:rPr>
                <w:color w:val="231F20"/>
                <w:sz w:val="18"/>
              </w:rPr>
              <w:t>3.4</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45-49</w:t>
            </w:r>
          </w:p>
        </w:tc>
        <w:tc>
          <w:tcPr>
            <w:tcW w:w="1247" w:type="dxa"/>
          </w:tcPr>
          <w:p>
            <w:pPr>
              <w:pStyle w:val="TableParagraph"/>
              <w:ind w:left="661"/>
              <w:rPr>
                <w:sz w:val="18"/>
              </w:rPr>
            </w:pPr>
            <w:r>
              <w:rPr>
                <w:color w:val="231F20"/>
                <w:w w:val="105"/>
                <w:sz w:val="18"/>
              </w:rPr>
              <w:t>16.7</w:t>
            </w:r>
          </w:p>
        </w:tc>
        <w:tc>
          <w:tcPr>
            <w:tcW w:w="1200" w:type="dxa"/>
          </w:tcPr>
          <w:p>
            <w:pPr>
              <w:pStyle w:val="TableParagraph"/>
              <w:ind w:right="222"/>
              <w:jc w:val="right"/>
              <w:rPr>
                <w:sz w:val="18"/>
              </w:rPr>
            </w:pPr>
            <w:r>
              <w:rPr>
                <w:color w:val="231F20"/>
                <w:sz w:val="18"/>
              </w:rPr>
              <w:t>23.7</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50-54</w:t>
            </w:r>
          </w:p>
        </w:tc>
        <w:tc>
          <w:tcPr>
            <w:tcW w:w="1247" w:type="dxa"/>
          </w:tcPr>
          <w:p>
            <w:pPr>
              <w:pStyle w:val="TableParagraph"/>
              <w:ind w:left="661"/>
              <w:rPr>
                <w:sz w:val="18"/>
              </w:rPr>
            </w:pPr>
            <w:r>
              <w:rPr>
                <w:color w:val="231F20"/>
                <w:w w:val="105"/>
                <w:sz w:val="18"/>
              </w:rPr>
              <w:t>17.7</w:t>
            </w:r>
          </w:p>
        </w:tc>
        <w:tc>
          <w:tcPr>
            <w:tcW w:w="1200" w:type="dxa"/>
          </w:tcPr>
          <w:p>
            <w:pPr>
              <w:pStyle w:val="TableParagraph"/>
              <w:ind w:right="222"/>
              <w:jc w:val="right"/>
              <w:rPr>
                <w:sz w:val="18"/>
              </w:rPr>
            </w:pPr>
            <w:r>
              <w:rPr>
                <w:color w:val="231F20"/>
                <w:sz w:val="18"/>
              </w:rPr>
              <w:t>10.6</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55-59</w:t>
            </w:r>
          </w:p>
        </w:tc>
        <w:tc>
          <w:tcPr>
            <w:tcW w:w="1247" w:type="dxa"/>
          </w:tcPr>
          <w:p>
            <w:pPr>
              <w:pStyle w:val="TableParagraph"/>
              <w:ind w:left="661"/>
              <w:rPr>
                <w:sz w:val="18"/>
              </w:rPr>
            </w:pPr>
            <w:r>
              <w:rPr>
                <w:color w:val="231F20"/>
                <w:w w:val="105"/>
                <w:sz w:val="18"/>
              </w:rPr>
              <w:t>13.4</w:t>
            </w:r>
          </w:p>
        </w:tc>
        <w:tc>
          <w:tcPr>
            <w:tcW w:w="1200" w:type="dxa"/>
          </w:tcPr>
          <w:p>
            <w:pPr>
              <w:pStyle w:val="TableParagraph"/>
              <w:ind w:right="222"/>
              <w:jc w:val="right"/>
              <w:rPr>
                <w:sz w:val="18"/>
              </w:rPr>
            </w:pPr>
            <w:r>
              <w:rPr>
                <w:color w:val="231F20"/>
                <w:sz w:val="18"/>
              </w:rPr>
              <w:t>17.5</w:t>
            </w:r>
          </w:p>
        </w:tc>
      </w:tr>
      <w:tr>
        <w:trPr>
          <w:trHeight w:val="340" w:hRule="exact"/>
        </w:trPr>
        <w:tc>
          <w:tcPr>
            <w:tcW w:w="1561" w:type="dxa"/>
            <w:vMerge/>
          </w:tcPr>
          <w:p>
            <w:pPr/>
          </w:p>
        </w:tc>
        <w:tc>
          <w:tcPr>
            <w:tcW w:w="2381" w:type="dxa"/>
          </w:tcPr>
          <w:p>
            <w:pPr>
              <w:pStyle w:val="TableParagraph"/>
              <w:spacing w:before="92"/>
              <w:ind w:left="77"/>
              <w:rPr>
                <w:sz w:val="18"/>
              </w:rPr>
            </w:pPr>
            <w:r>
              <w:rPr>
                <w:color w:val="231F20"/>
                <w:w w:val="105"/>
                <w:sz w:val="18"/>
              </w:rPr>
              <w:t>60-64</w:t>
            </w:r>
          </w:p>
        </w:tc>
        <w:tc>
          <w:tcPr>
            <w:tcW w:w="1247" w:type="dxa"/>
          </w:tcPr>
          <w:p>
            <w:pPr>
              <w:pStyle w:val="TableParagraph"/>
              <w:spacing w:before="92"/>
              <w:ind w:left="661"/>
              <w:rPr>
                <w:sz w:val="18"/>
              </w:rPr>
            </w:pPr>
            <w:r>
              <w:rPr>
                <w:color w:val="231F20"/>
                <w:w w:val="105"/>
                <w:sz w:val="18"/>
              </w:rPr>
              <w:t>25.2</w:t>
            </w:r>
          </w:p>
        </w:tc>
        <w:tc>
          <w:tcPr>
            <w:tcW w:w="1200" w:type="dxa"/>
          </w:tcPr>
          <w:p>
            <w:pPr>
              <w:pStyle w:val="TableParagraph"/>
              <w:spacing w:before="92"/>
              <w:ind w:right="222"/>
              <w:jc w:val="right"/>
              <w:rPr>
                <w:sz w:val="18"/>
              </w:rPr>
            </w:pPr>
            <w:r>
              <w:rPr>
                <w:color w:val="231F20"/>
                <w:sz w:val="18"/>
              </w:rPr>
              <w:t>20.8</w:t>
            </w:r>
          </w:p>
        </w:tc>
      </w:tr>
      <w:tr>
        <w:trPr>
          <w:trHeight w:val="340" w:hRule="exact"/>
        </w:trPr>
        <w:tc>
          <w:tcPr>
            <w:tcW w:w="1561" w:type="dxa"/>
            <w:vMerge/>
          </w:tcPr>
          <w:p>
            <w:pPr/>
          </w:p>
        </w:tc>
        <w:tc>
          <w:tcPr>
            <w:tcW w:w="2381" w:type="dxa"/>
          </w:tcPr>
          <w:p>
            <w:pPr>
              <w:pStyle w:val="TableParagraph"/>
              <w:spacing w:before="92"/>
              <w:ind w:left="77"/>
              <w:rPr>
                <w:sz w:val="18"/>
              </w:rPr>
            </w:pPr>
            <w:r>
              <w:rPr>
                <w:color w:val="231F20"/>
                <w:sz w:val="18"/>
              </w:rPr>
              <w:t>65 y más</w:t>
            </w:r>
          </w:p>
        </w:tc>
        <w:tc>
          <w:tcPr>
            <w:tcW w:w="1247" w:type="dxa"/>
          </w:tcPr>
          <w:p>
            <w:pPr>
              <w:pStyle w:val="TableParagraph"/>
              <w:spacing w:before="92"/>
              <w:ind w:left="661"/>
              <w:rPr>
                <w:sz w:val="18"/>
              </w:rPr>
            </w:pPr>
            <w:r>
              <w:rPr>
                <w:color w:val="231F20"/>
                <w:w w:val="105"/>
                <w:sz w:val="18"/>
              </w:rPr>
              <w:t>18.0</w:t>
            </w:r>
          </w:p>
        </w:tc>
        <w:tc>
          <w:tcPr>
            <w:tcW w:w="1200" w:type="dxa"/>
          </w:tcPr>
          <w:p>
            <w:pPr>
              <w:pStyle w:val="TableParagraph"/>
              <w:spacing w:before="92"/>
              <w:ind w:right="222"/>
              <w:jc w:val="right"/>
              <w:rPr>
                <w:sz w:val="18"/>
              </w:rPr>
            </w:pPr>
            <w:r>
              <w:rPr>
                <w:color w:val="231F20"/>
                <w:sz w:val="18"/>
              </w:rPr>
              <w:t>16.3</w:t>
            </w:r>
          </w:p>
        </w:tc>
      </w:tr>
      <w:tr>
        <w:trPr>
          <w:trHeight w:val="340" w:hRule="exact"/>
        </w:trPr>
        <w:tc>
          <w:tcPr>
            <w:tcW w:w="1561" w:type="dxa"/>
            <w:vMerge/>
          </w:tcPr>
          <w:p>
            <w:pPr/>
          </w:p>
        </w:tc>
        <w:tc>
          <w:tcPr>
            <w:tcW w:w="2381" w:type="dxa"/>
          </w:tcPr>
          <w:p>
            <w:pPr>
              <w:pStyle w:val="TableParagraph"/>
              <w:spacing w:before="89"/>
              <w:ind w:left="77"/>
              <w:rPr>
                <w:rFonts w:ascii="Arial"/>
                <w:sz w:val="18"/>
              </w:rPr>
            </w:pPr>
            <w:r>
              <w:rPr>
                <w:rFonts w:ascii="Arial"/>
                <w:color w:val="231F20"/>
                <w:w w:val="105"/>
                <w:sz w:val="18"/>
              </w:rPr>
              <w:t>Total</w:t>
            </w:r>
          </w:p>
        </w:tc>
        <w:tc>
          <w:tcPr>
            <w:tcW w:w="1247" w:type="dxa"/>
          </w:tcPr>
          <w:p>
            <w:pPr>
              <w:pStyle w:val="TableParagraph"/>
              <w:spacing w:before="89"/>
              <w:ind w:left="546"/>
              <w:rPr>
                <w:rFonts w:ascii="Arial"/>
                <w:sz w:val="18"/>
              </w:rPr>
            </w:pPr>
            <w:r>
              <w:rPr>
                <w:rFonts w:ascii="Arial"/>
                <w:color w:val="231F20"/>
                <w:w w:val="105"/>
                <w:sz w:val="18"/>
              </w:rPr>
              <w:t>100.0</w:t>
            </w:r>
          </w:p>
        </w:tc>
        <w:tc>
          <w:tcPr>
            <w:tcW w:w="1200" w:type="dxa"/>
          </w:tcPr>
          <w:p>
            <w:pPr>
              <w:pStyle w:val="TableParagraph"/>
              <w:spacing w:before="89"/>
              <w:ind w:right="222"/>
              <w:jc w:val="right"/>
              <w:rPr>
                <w:rFonts w:ascii="Arial"/>
                <w:sz w:val="18"/>
              </w:rPr>
            </w:pPr>
            <w:r>
              <w:rPr>
                <w:rFonts w:ascii="Arial"/>
                <w:color w:val="231F20"/>
                <w:w w:val="105"/>
                <w:sz w:val="18"/>
              </w:rPr>
              <w:t>100.0</w:t>
            </w:r>
          </w:p>
        </w:tc>
      </w:tr>
      <w:tr>
        <w:trPr>
          <w:trHeight w:val="340" w:hRule="exact"/>
        </w:trPr>
        <w:tc>
          <w:tcPr>
            <w:tcW w:w="1561" w:type="dxa"/>
            <w:vMerge w:val="restart"/>
          </w:tcPr>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5"/>
              </w:rPr>
            </w:pPr>
          </w:p>
          <w:p>
            <w:pPr>
              <w:pStyle w:val="TableParagraph"/>
              <w:spacing w:line="249" w:lineRule="auto" w:before="0"/>
              <w:ind w:left="77"/>
              <w:rPr>
                <w:rFonts w:ascii="Arial"/>
                <w:sz w:val="18"/>
              </w:rPr>
            </w:pPr>
            <w:r>
              <w:rPr>
                <w:rFonts w:ascii="Arial"/>
                <w:color w:val="231F20"/>
                <w:w w:val="105"/>
                <w:sz w:val="18"/>
              </w:rPr>
              <w:t>Nivel de escolaridad</w:t>
            </w:r>
          </w:p>
        </w:tc>
        <w:tc>
          <w:tcPr>
            <w:tcW w:w="2381" w:type="dxa"/>
          </w:tcPr>
          <w:p>
            <w:pPr>
              <w:pStyle w:val="TableParagraph"/>
              <w:spacing w:before="92"/>
              <w:ind w:left="77"/>
              <w:rPr>
                <w:sz w:val="18"/>
              </w:rPr>
            </w:pPr>
            <w:r>
              <w:rPr>
                <w:color w:val="231F20"/>
                <w:w w:val="105"/>
                <w:sz w:val="18"/>
              </w:rPr>
              <w:t>Ninguno</w:t>
            </w:r>
          </w:p>
        </w:tc>
        <w:tc>
          <w:tcPr>
            <w:tcW w:w="1247" w:type="dxa"/>
          </w:tcPr>
          <w:p>
            <w:pPr>
              <w:pStyle w:val="TableParagraph"/>
              <w:spacing w:before="92"/>
              <w:ind w:left="764"/>
              <w:rPr>
                <w:sz w:val="18"/>
              </w:rPr>
            </w:pPr>
            <w:r>
              <w:rPr>
                <w:color w:val="231F20"/>
                <w:sz w:val="18"/>
              </w:rPr>
              <w:t>1.0</w:t>
            </w:r>
          </w:p>
        </w:tc>
        <w:tc>
          <w:tcPr>
            <w:tcW w:w="1200" w:type="dxa"/>
          </w:tcPr>
          <w:p>
            <w:pPr>
              <w:pStyle w:val="TableParagraph"/>
              <w:spacing w:before="92"/>
              <w:ind w:right="222"/>
              <w:jc w:val="right"/>
              <w:rPr>
                <w:sz w:val="18"/>
              </w:rPr>
            </w:pPr>
            <w:r>
              <w:rPr>
                <w:color w:val="231F20"/>
                <w:sz w:val="18"/>
              </w:rPr>
              <w:t>0.0</w:t>
            </w:r>
          </w:p>
        </w:tc>
      </w:tr>
      <w:tr>
        <w:trPr>
          <w:trHeight w:val="340" w:hRule="exact"/>
        </w:trPr>
        <w:tc>
          <w:tcPr>
            <w:tcW w:w="1561" w:type="dxa"/>
            <w:vMerge/>
          </w:tcPr>
          <w:p>
            <w:pPr/>
          </w:p>
        </w:tc>
        <w:tc>
          <w:tcPr>
            <w:tcW w:w="2381" w:type="dxa"/>
          </w:tcPr>
          <w:p>
            <w:pPr>
              <w:pStyle w:val="TableParagraph"/>
              <w:spacing w:before="89"/>
              <w:ind w:left="77"/>
              <w:rPr>
                <w:rFonts w:ascii="Arial"/>
                <w:i/>
                <w:sz w:val="18"/>
              </w:rPr>
            </w:pPr>
            <w:r>
              <w:rPr>
                <w:color w:val="231F20"/>
                <w:sz w:val="18"/>
              </w:rPr>
              <w:t>Primaria/</w:t>
            </w:r>
            <w:r>
              <w:rPr>
                <w:rFonts w:ascii="Arial"/>
                <w:i/>
                <w:color w:val="231F20"/>
                <w:sz w:val="18"/>
              </w:rPr>
              <w:t>Elementary</w:t>
            </w:r>
          </w:p>
        </w:tc>
        <w:tc>
          <w:tcPr>
            <w:tcW w:w="1247" w:type="dxa"/>
          </w:tcPr>
          <w:p>
            <w:pPr>
              <w:pStyle w:val="TableParagraph"/>
              <w:spacing w:before="92"/>
              <w:ind w:left="661"/>
              <w:rPr>
                <w:sz w:val="18"/>
              </w:rPr>
            </w:pPr>
            <w:r>
              <w:rPr>
                <w:color w:val="231F20"/>
                <w:w w:val="105"/>
                <w:sz w:val="18"/>
              </w:rPr>
              <w:t>56.5</w:t>
            </w:r>
          </w:p>
        </w:tc>
        <w:tc>
          <w:tcPr>
            <w:tcW w:w="1200" w:type="dxa"/>
          </w:tcPr>
          <w:p>
            <w:pPr>
              <w:pStyle w:val="TableParagraph"/>
              <w:spacing w:before="92"/>
              <w:ind w:right="222"/>
              <w:jc w:val="right"/>
              <w:rPr>
                <w:sz w:val="18"/>
              </w:rPr>
            </w:pPr>
            <w:r>
              <w:rPr>
                <w:color w:val="231F20"/>
                <w:sz w:val="18"/>
              </w:rPr>
              <w:t>48.2</w:t>
            </w:r>
          </w:p>
        </w:tc>
      </w:tr>
      <w:tr>
        <w:trPr>
          <w:trHeight w:val="340" w:hRule="exact"/>
        </w:trPr>
        <w:tc>
          <w:tcPr>
            <w:tcW w:w="1561" w:type="dxa"/>
            <w:vMerge/>
          </w:tcPr>
          <w:p>
            <w:pPr/>
          </w:p>
        </w:tc>
        <w:tc>
          <w:tcPr>
            <w:tcW w:w="2381" w:type="dxa"/>
          </w:tcPr>
          <w:p>
            <w:pPr>
              <w:pStyle w:val="TableParagraph"/>
              <w:spacing w:before="92"/>
              <w:ind w:left="77"/>
              <w:rPr>
                <w:sz w:val="18"/>
              </w:rPr>
            </w:pPr>
            <w:r>
              <w:rPr>
                <w:color w:val="231F20"/>
                <w:sz w:val="18"/>
              </w:rPr>
              <w:t>Secundaria</w:t>
            </w:r>
          </w:p>
        </w:tc>
        <w:tc>
          <w:tcPr>
            <w:tcW w:w="1247" w:type="dxa"/>
          </w:tcPr>
          <w:p>
            <w:pPr>
              <w:pStyle w:val="TableParagraph"/>
              <w:spacing w:before="92"/>
              <w:ind w:left="661"/>
              <w:rPr>
                <w:sz w:val="18"/>
              </w:rPr>
            </w:pPr>
            <w:r>
              <w:rPr>
                <w:color w:val="231F20"/>
                <w:w w:val="105"/>
                <w:sz w:val="18"/>
              </w:rPr>
              <w:t>23.4</w:t>
            </w:r>
          </w:p>
        </w:tc>
        <w:tc>
          <w:tcPr>
            <w:tcW w:w="1200" w:type="dxa"/>
          </w:tcPr>
          <w:p>
            <w:pPr>
              <w:pStyle w:val="TableParagraph"/>
              <w:spacing w:before="92"/>
              <w:ind w:right="222"/>
              <w:jc w:val="right"/>
              <w:rPr>
                <w:sz w:val="18"/>
              </w:rPr>
            </w:pPr>
            <w:r>
              <w:rPr>
                <w:color w:val="231F20"/>
                <w:sz w:val="18"/>
              </w:rPr>
              <w:t>25.9</w:t>
            </w:r>
          </w:p>
        </w:tc>
      </w:tr>
      <w:tr>
        <w:trPr>
          <w:trHeight w:val="340" w:hRule="exact"/>
        </w:trPr>
        <w:tc>
          <w:tcPr>
            <w:tcW w:w="1561" w:type="dxa"/>
            <w:vMerge/>
          </w:tcPr>
          <w:p>
            <w:pPr/>
          </w:p>
        </w:tc>
        <w:tc>
          <w:tcPr>
            <w:tcW w:w="2381" w:type="dxa"/>
          </w:tcPr>
          <w:p>
            <w:pPr>
              <w:pStyle w:val="TableParagraph"/>
              <w:spacing w:before="89"/>
              <w:ind w:left="77"/>
              <w:rPr>
                <w:rFonts w:ascii="Arial"/>
                <w:i/>
                <w:sz w:val="18"/>
              </w:rPr>
            </w:pPr>
            <w:r>
              <w:rPr>
                <w:color w:val="231F20"/>
                <w:sz w:val="18"/>
              </w:rPr>
              <w:t>Preparatoria/</w:t>
            </w:r>
            <w:r>
              <w:rPr>
                <w:rFonts w:ascii="Arial"/>
                <w:i/>
                <w:color w:val="231F20"/>
                <w:sz w:val="18"/>
              </w:rPr>
              <w:t>High  School</w:t>
            </w:r>
          </w:p>
        </w:tc>
        <w:tc>
          <w:tcPr>
            <w:tcW w:w="1247" w:type="dxa"/>
          </w:tcPr>
          <w:p>
            <w:pPr>
              <w:pStyle w:val="TableParagraph"/>
              <w:spacing w:before="92"/>
              <w:ind w:left="764"/>
              <w:rPr>
                <w:sz w:val="18"/>
              </w:rPr>
            </w:pPr>
            <w:r>
              <w:rPr>
                <w:color w:val="231F20"/>
                <w:sz w:val="18"/>
              </w:rPr>
              <w:t>5.4</w:t>
            </w:r>
          </w:p>
        </w:tc>
        <w:tc>
          <w:tcPr>
            <w:tcW w:w="1200" w:type="dxa"/>
          </w:tcPr>
          <w:p>
            <w:pPr>
              <w:pStyle w:val="TableParagraph"/>
              <w:spacing w:before="92"/>
              <w:ind w:right="222"/>
              <w:jc w:val="right"/>
              <w:rPr>
                <w:sz w:val="18"/>
              </w:rPr>
            </w:pPr>
            <w:r>
              <w:rPr>
                <w:color w:val="231F20"/>
                <w:sz w:val="18"/>
              </w:rPr>
              <w:t>16.4</w:t>
            </w:r>
          </w:p>
        </w:tc>
      </w:tr>
      <w:tr>
        <w:trPr>
          <w:trHeight w:val="340" w:hRule="exact"/>
        </w:trPr>
        <w:tc>
          <w:tcPr>
            <w:tcW w:w="1561" w:type="dxa"/>
            <w:vMerge/>
          </w:tcPr>
          <w:p>
            <w:pPr/>
          </w:p>
        </w:tc>
        <w:tc>
          <w:tcPr>
            <w:tcW w:w="2381" w:type="dxa"/>
          </w:tcPr>
          <w:p>
            <w:pPr>
              <w:pStyle w:val="TableParagraph"/>
              <w:spacing w:before="92"/>
              <w:ind w:left="77"/>
              <w:rPr>
                <w:sz w:val="18"/>
              </w:rPr>
            </w:pPr>
            <w:r>
              <w:rPr>
                <w:color w:val="231F20"/>
                <w:w w:val="105"/>
                <w:sz w:val="18"/>
              </w:rPr>
              <w:t>Normal</w:t>
            </w:r>
          </w:p>
        </w:tc>
        <w:tc>
          <w:tcPr>
            <w:tcW w:w="1247" w:type="dxa"/>
          </w:tcPr>
          <w:p>
            <w:pPr>
              <w:pStyle w:val="TableParagraph"/>
              <w:spacing w:before="92"/>
              <w:ind w:left="764"/>
              <w:rPr>
                <w:sz w:val="18"/>
              </w:rPr>
            </w:pPr>
            <w:r>
              <w:rPr>
                <w:color w:val="231F20"/>
                <w:sz w:val="18"/>
              </w:rPr>
              <w:t>0.0</w:t>
            </w:r>
          </w:p>
        </w:tc>
        <w:tc>
          <w:tcPr>
            <w:tcW w:w="1200" w:type="dxa"/>
          </w:tcPr>
          <w:p>
            <w:pPr>
              <w:pStyle w:val="TableParagraph"/>
              <w:spacing w:before="92"/>
              <w:ind w:right="222"/>
              <w:jc w:val="right"/>
              <w:rPr>
                <w:sz w:val="18"/>
              </w:rPr>
            </w:pPr>
            <w:r>
              <w:rPr>
                <w:color w:val="231F20"/>
                <w:sz w:val="18"/>
              </w:rPr>
              <w:t>1.6</w:t>
            </w:r>
          </w:p>
        </w:tc>
      </w:tr>
      <w:tr>
        <w:trPr>
          <w:trHeight w:val="340" w:hRule="exact"/>
        </w:trPr>
        <w:tc>
          <w:tcPr>
            <w:tcW w:w="1561" w:type="dxa"/>
            <w:vMerge/>
          </w:tcPr>
          <w:p>
            <w:pPr/>
          </w:p>
        </w:tc>
        <w:tc>
          <w:tcPr>
            <w:tcW w:w="2381" w:type="dxa"/>
          </w:tcPr>
          <w:p>
            <w:pPr>
              <w:pStyle w:val="TableParagraph"/>
              <w:spacing w:before="89"/>
              <w:ind w:left="77"/>
              <w:rPr>
                <w:rFonts w:ascii="Arial"/>
                <w:i/>
                <w:sz w:val="18"/>
              </w:rPr>
            </w:pPr>
            <w:r>
              <w:rPr>
                <w:color w:val="231F20"/>
                <w:w w:val="105"/>
                <w:sz w:val="18"/>
              </w:rPr>
              <w:t>Profesional/</w:t>
            </w:r>
            <w:r>
              <w:rPr>
                <w:rFonts w:ascii="Arial"/>
                <w:i/>
                <w:color w:val="231F20"/>
                <w:w w:val="105"/>
                <w:sz w:val="18"/>
              </w:rPr>
              <w:t>College</w:t>
            </w:r>
          </w:p>
        </w:tc>
        <w:tc>
          <w:tcPr>
            <w:tcW w:w="1247" w:type="dxa"/>
          </w:tcPr>
          <w:p>
            <w:pPr>
              <w:pStyle w:val="TableParagraph"/>
              <w:spacing w:before="92"/>
              <w:ind w:left="661"/>
              <w:rPr>
                <w:sz w:val="18"/>
              </w:rPr>
            </w:pPr>
            <w:r>
              <w:rPr>
                <w:color w:val="231F20"/>
                <w:w w:val="105"/>
                <w:sz w:val="18"/>
              </w:rPr>
              <w:t>13.7</w:t>
            </w:r>
          </w:p>
        </w:tc>
        <w:tc>
          <w:tcPr>
            <w:tcW w:w="1200" w:type="dxa"/>
          </w:tcPr>
          <w:p>
            <w:pPr>
              <w:pStyle w:val="TableParagraph"/>
              <w:spacing w:before="92"/>
              <w:ind w:right="222"/>
              <w:jc w:val="right"/>
              <w:rPr>
                <w:sz w:val="18"/>
              </w:rPr>
            </w:pPr>
            <w:r>
              <w:rPr>
                <w:color w:val="231F20"/>
                <w:sz w:val="18"/>
              </w:rPr>
              <w:t>7.9</w:t>
            </w:r>
          </w:p>
        </w:tc>
      </w:tr>
      <w:tr>
        <w:trPr>
          <w:trHeight w:val="340" w:hRule="exact"/>
        </w:trPr>
        <w:tc>
          <w:tcPr>
            <w:tcW w:w="1561" w:type="dxa"/>
            <w:vMerge/>
          </w:tcPr>
          <w:p>
            <w:pPr/>
          </w:p>
        </w:tc>
        <w:tc>
          <w:tcPr>
            <w:tcW w:w="2381" w:type="dxa"/>
          </w:tcPr>
          <w:p>
            <w:pPr>
              <w:pStyle w:val="TableParagraph"/>
              <w:spacing w:before="89"/>
              <w:ind w:left="77"/>
              <w:rPr>
                <w:rFonts w:ascii="Arial"/>
                <w:sz w:val="18"/>
              </w:rPr>
            </w:pPr>
            <w:r>
              <w:rPr>
                <w:rFonts w:ascii="Arial"/>
                <w:color w:val="231F20"/>
                <w:w w:val="105"/>
                <w:sz w:val="18"/>
              </w:rPr>
              <w:t>Total</w:t>
            </w:r>
          </w:p>
        </w:tc>
        <w:tc>
          <w:tcPr>
            <w:tcW w:w="1247" w:type="dxa"/>
          </w:tcPr>
          <w:p>
            <w:pPr>
              <w:pStyle w:val="TableParagraph"/>
              <w:spacing w:before="89"/>
              <w:ind w:left="546"/>
              <w:rPr>
                <w:rFonts w:ascii="Arial"/>
                <w:sz w:val="18"/>
              </w:rPr>
            </w:pPr>
            <w:r>
              <w:rPr>
                <w:rFonts w:ascii="Arial"/>
                <w:color w:val="231F20"/>
                <w:w w:val="105"/>
                <w:sz w:val="18"/>
              </w:rPr>
              <w:t>100.0</w:t>
            </w:r>
          </w:p>
        </w:tc>
        <w:tc>
          <w:tcPr>
            <w:tcW w:w="1200" w:type="dxa"/>
          </w:tcPr>
          <w:p>
            <w:pPr>
              <w:pStyle w:val="TableParagraph"/>
              <w:spacing w:before="89"/>
              <w:ind w:right="222"/>
              <w:jc w:val="right"/>
              <w:rPr>
                <w:rFonts w:ascii="Arial"/>
                <w:sz w:val="18"/>
              </w:rPr>
            </w:pPr>
            <w:r>
              <w:rPr>
                <w:rFonts w:ascii="Arial"/>
                <w:color w:val="231F20"/>
                <w:w w:val="105"/>
                <w:sz w:val="18"/>
              </w:rPr>
              <w:t>100.0</w:t>
            </w:r>
          </w:p>
        </w:tc>
      </w:tr>
    </w:tbl>
    <w:p>
      <w:pPr>
        <w:spacing w:after="0"/>
        <w:jc w:val="right"/>
        <w:rPr>
          <w:rFonts w:ascii="Arial"/>
          <w:sz w:val="18"/>
        </w:rPr>
        <w:sectPr>
          <w:type w:val="continuous"/>
          <w:pgSz w:w="10480" w:h="14730"/>
          <w:pgMar w:top="0" w:bottom="0" w:left="0" w:right="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13"/>
        </w:rPr>
      </w:pPr>
    </w:p>
    <w:tbl>
      <w:tblPr>
        <w:tblW w:w="0" w:type="auto"/>
        <w:jc w:val="left"/>
        <w:tblInd w:w="198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561"/>
        <w:gridCol w:w="2381"/>
        <w:gridCol w:w="1247"/>
        <w:gridCol w:w="1200"/>
      </w:tblGrid>
      <w:tr>
        <w:trPr>
          <w:trHeight w:val="340" w:hRule="exact"/>
        </w:trPr>
        <w:tc>
          <w:tcPr>
            <w:tcW w:w="1561" w:type="dxa"/>
            <w:vMerge w:val="restart"/>
          </w:tcPr>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110"/>
              <w:ind w:left="77"/>
              <w:rPr>
                <w:rFonts w:ascii="Arial"/>
                <w:sz w:val="18"/>
              </w:rPr>
            </w:pPr>
            <w:r>
              <w:rPr>
                <w:rFonts w:ascii="Arial"/>
                <w:color w:val="231F20"/>
                <w:sz w:val="18"/>
              </w:rPr>
              <w:t>Estado conyugal</w:t>
            </w:r>
          </w:p>
        </w:tc>
        <w:tc>
          <w:tcPr>
            <w:tcW w:w="2381" w:type="dxa"/>
          </w:tcPr>
          <w:p>
            <w:pPr>
              <w:pStyle w:val="TableParagraph"/>
              <w:ind w:left="77"/>
              <w:rPr>
                <w:sz w:val="18"/>
              </w:rPr>
            </w:pPr>
            <w:r>
              <w:rPr>
                <w:color w:val="231F20"/>
                <w:w w:val="105"/>
                <w:sz w:val="18"/>
              </w:rPr>
              <w:t>Soltero</w:t>
            </w:r>
          </w:p>
        </w:tc>
        <w:tc>
          <w:tcPr>
            <w:tcW w:w="1247" w:type="dxa"/>
          </w:tcPr>
          <w:p>
            <w:pPr>
              <w:pStyle w:val="TableParagraph"/>
              <w:ind w:right="223"/>
              <w:jc w:val="right"/>
              <w:rPr>
                <w:sz w:val="18"/>
              </w:rPr>
            </w:pPr>
            <w:r>
              <w:rPr>
                <w:color w:val="231F20"/>
                <w:sz w:val="18"/>
              </w:rPr>
              <w:t>1.0</w:t>
            </w:r>
          </w:p>
        </w:tc>
        <w:tc>
          <w:tcPr>
            <w:tcW w:w="1200" w:type="dxa"/>
          </w:tcPr>
          <w:p>
            <w:pPr>
              <w:pStyle w:val="TableParagraph"/>
              <w:ind w:right="223"/>
              <w:jc w:val="right"/>
              <w:rPr>
                <w:sz w:val="18"/>
              </w:rPr>
            </w:pPr>
            <w:r>
              <w:rPr>
                <w:color w:val="231F20"/>
                <w:sz w:val="18"/>
              </w:rPr>
              <w:t>2.7</w:t>
            </w:r>
          </w:p>
        </w:tc>
      </w:tr>
      <w:tr>
        <w:trPr>
          <w:trHeight w:val="340" w:hRule="exact"/>
        </w:trPr>
        <w:tc>
          <w:tcPr>
            <w:tcW w:w="1561" w:type="dxa"/>
            <w:vMerge/>
          </w:tcPr>
          <w:p>
            <w:pPr/>
          </w:p>
        </w:tc>
        <w:tc>
          <w:tcPr>
            <w:tcW w:w="2381" w:type="dxa"/>
          </w:tcPr>
          <w:p>
            <w:pPr>
              <w:pStyle w:val="TableParagraph"/>
              <w:ind w:left="77"/>
              <w:rPr>
                <w:sz w:val="18"/>
              </w:rPr>
            </w:pPr>
            <w:r>
              <w:rPr>
                <w:color w:val="231F20"/>
                <w:sz w:val="18"/>
              </w:rPr>
              <w:t>Casado</w:t>
            </w:r>
          </w:p>
        </w:tc>
        <w:tc>
          <w:tcPr>
            <w:tcW w:w="1247" w:type="dxa"/>
          </w:tcPr>
          <w:p>
            <w:pPr>
              <w:pStyle w:val="TableParagraph"/>
              <w:ind w:right="223"/>
              <w:jc w:val="right"/>
              <w:rPr>
                <w:sz w:val="18"/>
              </w:rPr>
            </w:pPr>
            <w:r>
              <w:rPr>
                <w:color w:val="231F20"/>
                <w:sz w:val="18"/>
              </w:rPr>
              <w:t>75.9</w:t>
            </w:r>
          </w:p>
        </w:tc>
        <w:tc>
          <w:tcPr>
            <w:tcW w:w="1200" w:type="dxa"/>
          </w:tcPr>
          <w:p>
            <w:pPr>
              <w:pStyle w:val="TableParagraph"/>
              <w:ind w:right="223"/>
              <w:jc w:val="right"/>
              <w:rPr>
                <w:sz w:val="18"/>
              </w:rPr>
            </w:pPr>
            <w:r>
              <w:rPr>
                <w:color w:val="231F20"/>
                <w:sz w:val="18"/>
              </w:rPr>
              <w:t>80.1</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Unido</w:t>
            </w:r>
          </w:p>
        </w:tc>
        <w:tc>
          <w:tcPr>
            <w:tcW w:w="1247" w:type="dxa"/>
          </w:tcPr>
          <w:p>
            <w:pPr>
              <w:pStyle w:val="TableParagraph"/>
              <w:ind w:right="223"/>
              <w:jc w:val="right"/>
              <w:rPr>
                <w:sz w:val="18"/>
              </w:rPr>
            </w:pPr>
            <w:r>
              <w:rPr>
                <w:color w:val="231F20"/>
                <w:sz w:val="18"/>
              </w:rPr>
              <w:t>0.0</w:t>
            </w:r>
          </w:p>
        </w:tc>
        <w:tc>
          <w:tcPr>
            <w:tcW w:w="1200" w:type="dxa"/>
          </w:tcPr>
          <w:p>
            <w:pPr>
              <w:pStyle w:val="TableParagraph"/>
              <w:ind w:right="223"/>
              <w:jc w:val="right"/>
              <w:rPr>
                <w:sz w:val="18"/>
              </w:rPr>
            </w:pPr>
            <w:r>
              <w:rPr>
                <w:color w:val="231F20"/>
                <w:sz w:val="18"/>
              </w:rPr>
              <w:t>5.2</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Separado o divorciado</w:t>
            </w:r>
          </w:p>
        </w:tc>
        <w:tc>
          <w:tcPr>
            <w:tcW w:w="1247" w:type="dxa"/>
          </w:tcPr>
          <w:p>
            <w:pPr>
              <w:pStyle w:val="TableParagraph"/>
              <w:ind w:right="223"/>
              <w:jc w:val="right"/>
              <w:rPr>
                <w:sz w:val="18"/>
              </w:rPr>
            </w:pPr>
            <w:r>
              <w:rPr>
                <w:color w:val="231F20"/>
                <w:sz w:val="18"/>
              </w:rPr>
              <w:t>4.8</w:t>
            </w:r>
          </w:p>
        </w:tc>
        <w:tc>
          <w:tcPr>
            <w:tcW w:w="1200" w:type="dxa"/>
          </w:tcPr>
          <w:p>
            <w:pPr>
              <w:pStyle w:val="TableParagraph"/>
              <w:ind w:right="223"/>
              <w:jc w:val="right"/>
              <w:rPr>
                <w:sz w:val="18"/>
              </w:rPr>
            </w:pPr>
            <w:r>
              <w:rPr>
                <w:color w:val="231F20"/>
                <w:sz w:val="18"/>
              </w:rPr>
              <w:t>0.8</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Viudo</w:t>
            </w:r>
          </w:p>
        </w:tc>
        <w:tc>
          <w:tcPr>
            <w:tcW w:w="1247" w:type="dxa"/>
          </w:tcPr>
          <w:p>
            <w:pPr>
              <w:pStyle w:val="TableParagraph"/>
              <w:ind w:right="223"/>
              <w:jc w:val="right"/>
              <w:rPr>
                <w:sz w:val="18"/>
              </w:rPr>
            </w:pPr>
            <w:r>
              <w:rPr>
                <w:color w:val="231F20"/>
                <w:sz w:val="18"/>
              </w:rPr>
              <w:t>18.3</w:t>
            </w:r>
          </w:p>
        </w:tc>
        <w:tc>
          <w:tcPr>
            <w:tcW w:w="1200" w:type="dxa"/>
          </w:tcPr>
          <w:p>
            <w:pPr>
              <w:pStyle w:val="TableParagraph"/>
              <w:ind w:right="223"/>
              <w:jc w:val="right"/>
              <w:rPr>
                <w:sz w:val="18"/>
              </w:rPr>
            </w:pPr>
            <w:r>
              <w:rPr>
                <w:color w:val="231F20"/>
                <w:sz w:val="18"/>
              </w:rPr>
              <w:t>11.2</w:t>
            </w:r>
          </w:p>
        </w:tc>
      </w:tr>
      <w:tr>
        <w:trPr>
          <w:trHeight w:val="340" w:hRule="exact"/>
        </w:trPr>
        <w:tc>
          <w:tcPr>
            <w:tcW w:w="1561" w:type="dxa"/>
            <w:vMerge/>
          </w:tcPr>
          <w:p>
            <w:pPr/>
          </w:p>
        </w:tc>
        <w:tc>
          <w:tcPr>
            <w:tcW w:w="2381" w:type="dxa"/>
          </w:tcPr>
          <w:p>
            <w:pPr>
              <w:pStyle w:val="TableParagraph"/>
              <w:ind w:left="77"/>
              <w:rPr>
                <w:sz w:val="18"/>
              </w:rPr>
            </w:pPr>
            <w:r>
              <w:rPr>
                <w:color w:val="231F20"/>
                <w:w w:val="105"/>
                <w:sz w:val="18"/>
              </w:rPr>
              <w:t>Total</w:t>
            </w:r>
          </w:p>
        </w:tc>
        <w:tc>
          <w:tcPr>
            <w:tcW w:w="1247" w:type="dxa"/>
          </w:tcPr>
          <w:p>
            <w:pPr>
              <w:pStyle w:val="TableParagraph"/>
              <w:ind w:right="223"/>
              <w:jc w:val="right"/>
              <w:rPr>
                <w:sz w:val="18"/>
              </w:rPr>
            </w:pPr>
            <w:r>
              <w:rPr>
                <w:color w:val="231F20"/>
                <w:sz w:val="18"/>
              </w:rPr>
              <w:t>100.0</w:t>
            </w:r>
          </w:p>
        </w:tc>
        <w:tc>
          <w:tcPr>
            <w:tcW w:w="1200" w:type="dxa"/>
          </w:tcPr>
          <w:p>
            <w:pPr>
              <w:pStyle w:val="TableParagraph"/>
              <w:ind w:right="223"/>
              <w:jc w:val="right"/>
              <w:rPr>
                <w:sz w:val="18"/>
              </w:rPr>
            </w:pPr>
            <w:r>
              <w:rPr>
                <w:color w:val="231F20"/>
                <w:sz w:val="18"/>
              </w:rPr>
              <w:t>100.0</w:t>
            </w:r>
          </w:p>
        </w:tc>
      </w:tr>
      <w:tr>
        <w:trPr>
          <w:trHeight w:val="340" w:hRule="exact"/>
        </w:trPr>
        <w:tc>
          <w:tcPr>
            <w:tcW w:w="1561" w:type="dxa"/>
          </w:tcPr>
          <w:p>
            <w:pPr>
              <w:pStyle w:val="TableParagraph"/>
              <w:spacing w:before="89"/>
              <w:ind w:left="77"/>
              <w:rPr>
                <w:rFonts w:ascii="Arial"/>
                <w:i/>
                <w:sz w:val="18"/>
              </w:rPr>
            </w:pPr>
            <w:r>
              <w:rPr>
                <w:rFonts w:ascii="Arial"/>
                <w:i/>
                <w:color w:val="231F20"/>
                <w:w w:val="105"/>
                <w:sz w:val="18"/>
              </w:rPr>
              <w:t>Total</w:t>
            </w:r>
          </w:p>
        </w:tc>
        <w:tc>
          <w:tcPr>
            <w:tcW w:w="2381" w:type="dxa"/>
          </w:tcPr>
          <w:p>
            <w:pPr/>
          </w:p>
        </w:tc>
        <w:tc>
          <w:tcPr>
            <w:tcW w:w="1247" w:type="dxa"/>
          </w:tcPr>
          <w:p>
            <w:pPr>
              <w:pStyle w:val="TableParagraph"/>
              <w:spacing w:before="89"/>
              <w:ind w:right="223"/>
              <w:jc w:val="right"/>
              <w:rPr>
                <w:rFonts w:ascii="Arial"/>
                <w:sz w:val="18"/>
              </w:rPr>
            </w:pPr>
            <w:r>
              <w:rPr>
                <w:rFonts w:ascii="Arial"/>
                <w:color w:val="231F20"/>
                <w:w w:val="105"/>
                <w:sz w:val="18"/>
              </w:rPr>
              <w:t>8.0</w:t>
            </w:r>
          </w:p>
        </w:tc>
        <w:tc>
          <w:tcPr>
            <w:tcW w:w="1200" w:type="dxa"/>
          </w:tcPr>
          <w:p>
            <w:pPr>
              <w:pStyle w:val="TableParagraph"/>
              <w:spacing w:before="89"/>
              <w:ind w:right="223"/>
              <w:jc w:val="right"/>
              <w:rPr>
                <w:rFonts w:ascii="Arial"/>
                <w:sz w:val="18"/>
              </w:rPr>
            </w:pPr>
            <w:r>
              <w:rPr>
                <w:rFonts w:ascii="Arial"/>
                <w:color w:val="231F20"/>
                <w:w w:val="105"/>
                <w:sz w:val="18"/>
              </w:rPr>
              <w:t>7.8</w:t>
            </w:r>
          </w:p>
        </w:tc>
      </w:tr>
    </w:tbl>
    <w:p>
      <w:pPr>
        <w:spacing w:line="254" w:lineRule="auto" w:before="78"/>
        <w:ind w:left="1950" w:right="1683" w:firstLine="0"/>
        <w:jc w:val="left"/>
        <w:rPr>
          <w:sz w:val="16"/>
        </w:rPr>
      </w:pPr>
      <w:r>
        <w:rPr>
          <w:color w:val="231F20"/>
          <w:w w:val="105"/>
          <w:sz w:val="16"/>
        </w:rPr>
        <w:t>Fuente:</w:t>
      </w:r>
      <w:r>
        <w:rPr>
          <w:color w:val="231F20"/>
          <w:spacing w:val="-17"/>
          <w:w w:val="105"/>
          <w:sz w:val="16"/>
        </w:rPr>
        <w:t> </w:t>
      </w:r>
      <w:r>
        <w:rPr>
          <w:color w:val="231F20"/>
          <w:w w:val="105"/>
          <w:sz w:val="16"/>
        </w:rPr>
        <w:t>elaboración</w:t>
      </w:r>
      <w:r>
        <w:rPr>
          <w:color w:val="231F20"/>
          <w:spacing w:val="-17"/>
          <w:w w:val="105"/>
          <w:sz w:val="16"/>
        </w:rPr>
        <w:t> </w:t>
      </w:r>
      <w:r>
        <w:rPr>
          <w:color w:val="231F20"/>
          <w:w w:val="105"/>
          <w:sz w:val="16"/>
        </w:rPr>
        <w:t>propia</w:t>
      </w:r>
      <w:r>
        <w:rPr>
          <w:color w:val="231F20"/>
          <w:spacing w:val="-17"/>
          <w:w w:val="105"/>
          <w:sz w:val="16"/>
        </w:rPr>
        <w:t> </w:t>
      </w:r>
      <w:r>
        <w:rPr>
          <w:color w:val="231F20"/>
          <w:w w:val="105"/>
          <w:sz w:val="16"/>
        </w:rPr>
        <w:t>con</w:t>
      </w:r>
      <w:r>
        <w:rPr>
          <w:color w:val="231F20"/>
          <w:spacing w:val="-17"/>
          <w:w w:val="105"/>
          <w:sz w:val="16"/>
        </w:rPr>
        <w:t> </w:t>
      </w:r>
      <w:r>
        <w:rPr>
          <w:color w:val="231F20"/>
          <w:w w:val="105"/>
          <w:sz w:val="16"/>
        </w:rPr>
        <w:t>datos</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Encuesta</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Migración</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la</w:t>
      </w:r>
      <w:r>
        <w:rPr>
          <w:color w:val="231F20"/>
          <w:spacing w:val="-17"/>
          <w:w w:val="105"/>
          <w:sz w:val="16"/>
        </w:rPr>
        <w:t> </w:t>
      </w:r>
      <w:r>
        <w:rPr>
          <w:color w:val="231F20"/>
          <w:spacing w:val="-3"/>
          <w:w w:val="105"/>
          <w:sz w:val="16"/>
        </w:rPr>
        <w:t>Frontera</w:t>
      </w:r>
      <w:r>
        <w:rPr>
          <w:color w:val="231F20"/>
          <w:spacing w:val="-17"/>
          <w:w w:val="105"/>
          <w:sz w:val="16"/>
        </w:rPr>
        <w:t> </w:t>
      </w:r>
      <w:r>
        <w:rPr>
          <w:color w:val="231F20"/>
          <w:w w:val="105"/>
          <w:sz w:val="16"/>
        </w:rPr>
        <w:t>Norte,</w:t>
      </w:r>
      <w:r>
        <w:rPr>
          <w:color w:val="231F20"/>
          <w:spacing w:val="-21"/>
          <w:w w:val="105"/>
          <w:sz w:val="16"/>
        </w:rPr>
        <w:t> </w:t>
      </w:r>
      <w:r>
        <w:rPr>
          <w:color w:val="231F20"/>
          <w:w w:val="105"/>
          <w:sz w:val="16"/>
        </w:rPr>
        <w:t>2013 </w:t>
      </w:r>
      <w:r>
        <w:rPr>
          <w:color w:val="231F20"/>
          <w:sz w:val="16"/>
        </w:rPr>
        <w:t>(</w:t>
      </w:r>
      <w:r>
        <w:rPr>
          <w:color w:val="231F20"/>
          <w:sz w:val="14"/>
        </w:rPr>
        <w:t>CONAPO</w:t>
      </w:r>
      <w:r>
        <w:rPr>
          <w:color w:val="231F20"/>
          <w:sz w:val="16"/>
        </w:rPr>
        <w:t>,</w:t>
      </w:r>
      <w:r>
        <w:rPr>
          <w:color w:val="231F20"/>
          <w:spacing w:val="-7"/>
          <w:sz w:val="16"/>
        </w:rPr>
        <w:t> </w:t>
      </w:r>
      <w:r>
        <w:rPr>
          <w:color w:val="231F20"/>
          <w:sz w:val="16"/>
        </w:rPr>
        <w:t>2015).</w:t>
      </w:r>
    </w:p>
    <w:p>
      <w:pPr>
        <w:pStyle w:val="BodyText"/>
        <w:rPr>
          <w:sz w:val="16"/>
        </w:rPr>
      </w:pPr>
    </w:p>
    <w:p>
      <w:pPr>
        <w:pStyle w:val="BodyText"/>
        <w:rPr>
          <w:sz w:val="16"/>
        </w:rPr>
      </w:pPr>
    </w:p>
    <w:p>
      <w:pPr>
        <w:pStyle w:val="Heading3"/>
        <w:spacing w:before="120"/>
        <w:ind w:left="1723"/>
      </w:pPr>
      <w:r>
        <w:rPr>
          <w:color w:val="231F20"/>
        </w:rPr>
        <w:t>Conocimiento de los programas de salud en México</w:t>
      </w:r>
    </w:p>
    <w:p>
      <w:pPr>
        <w:pStyle w:val="BodyText"/>
        <w:rPr>
          <w:rFonts w:ascii="Arial"/>
          <w:b/>
          <w:sz w:val="22"/>
        </w:rPr>
      </w:pPr>
    </w:p>
    <w:p>
      <w:pPr>
        <w:pStyle w:val="BodyText"/>
        <w:spacing w:line="261" w:lineRule="auto" w:before="163"/>
        <w:ind w:left="1723" w:right="1829"/>
        <w:jc w:val="both"/>
      </w:pPr>
      <w:r>
        <w:rPr>
          <w:color w:val="231F20"/>
          <w:w w:val="105"/>
        </w:rPr>
        <w:t>En</w:t>
      </w:r>
      <w:r>
        <w:rPr>
          <w:color w:val="231F20"/>
          <w:spacing w:val="-8"/>
          <w:w w:val="105"/>
        </w:rPr>
        <w:t> </w:t>
      </w:r>
      <w:r>
        <w:rPr>
          <w:color w:val="231F20"/>
          <w:w w:val="105"/>
        </w:rPr>
        <w:t>cuanto</w:t>
      </w:r>
      <w:r>
        <w:rPr>
          <w:color w:val="231F20"/>
          <w:spacing w:val="-8"/>
          <w:w w:val="105"/>
        </w:rPr>
        <w:t> </w:t>
      </w:r>
      <w:r>
        <w:rPr>
          <w:color w:val="231F20"/>
          <w:w w:val="105"/>
        </w:rPr>
        <w:t>al</w:t>
      </w:r>
      <w:r>
        <w:rPr>
          <w:color w:val="231F20"/>
          <w:spacing w:val="-8"/>
          <w:w w:val="105"/>
        </w:rPr>
        <w:t> </w:t>
      </w:r>
      <w:r>
        <w:rPr>
          <w:color w:val="231F20"/>
          <w:w w:val="105"/>
        </w:rPr>
        <w:t>conocimiento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migrantes</w:t>
      </w:r>
      <w:r>
        <w:rPr>
          <w:color w:val="231F20"/>
          <w:spacing w:val="-8"/>
          <w:w w:val="105"/>
        </w:rPr>
        <w:t> </w:t>
      </w:r>
      <w:r>
        <w:rPr>
          <w:color w:val="231F20"/>
          <w:w w:val="105"/>
        </w:rPr>
        <w:t>en</w:t>
      </w:r>
      <w:r>
        <w:rPr>
          <w:color w:val="231F20"/>
          <w:spacing w:val="-8"/>
          <w:w w:val="105"/>
        </w:rPr>
        <w:t> </w:t>
      </w:r>
      <w:r>
        <w:rPr>
          <w:color w:val="231F20"/>
          <w:w w:val="105"/>
        </w:rPr>
        <w:t>flujo</w:t>
      </w:r>
      <w:r>
        <w:rPr>
          <w:color w:val="231F20"/>
          <w:spacing w:val="-8"/>
          <w:w w:val="105"/>
        </w:rPr>
        <w:t> </w:t>
      </w:r>
      <w:r>
        <w:rPr>
          <w:color w:val="231F20"/>
          <w:w w:val="105"/>
        </w:rPr>
        <w:t>procedentes</w:t>
      </w:r>
      <w:r>
        <w:rPr>
          <w:color w:val="231F20"/>
          <w:spacing w:val="-8"/>
          <w:w w:val="105"/>
        </w:rPr>
        <w:t> </w:t>
      </w:r>
      <w:r>
        <w:rPr>
          <w:color w:val="231F20"/>
          <w:w w:val="105"/>
        </w:rPr>
        <w:t>de</w:t>
      </w:r>
      <w:r>
        <w:rPr>
          <w:color w:val="231F20"/>
          <w:spacing w:val="-8"/>
          <w:w w:val="105"/>
        </w:rPr>
        <w:t> </w:t>
      </w:r>
      <w:r>
        <w:rPr>
          <w:color w:val="231F20"/>
          <w:w w:val="105"/>
        </w:rPr>
        <w:t>Es- tados Unidos nacidos en el Estado de México sobre los programas de salud que el gobierno mexicano tiene para apoyar y cuidar de su</w:t>
      </w:r>
      <w:r>
        <w:rPr>
          <w:color w:val="231F20"/>
          <w:spacing w:val="-36"/>
          <w:w w:val="105"/>
        </w:rPr>
        <w:t> </w:t>
      </w:r>
      <w:r>
        <w:rPr>
          <w:color w:val="231F20"/>
          <w:w w:val="105"/>
        </w:rPr>
        <w:t>salud, los</w:t>
      </w:r>
      <w:r>
        <w:rPr>
          <w:color w:val="231F20"/>
          <w:spacing w:val="-36"/>
          <w:w w:val="105"/>
        </w:rPr>
        <w:t> </w:t>
      </w:r>
      <w:r>
        <w:rPr>
          <w:color w:val="231F20"/>
          <w:w w:val="105"/>
        </w:rPr>
        <w:t>resultados</w:t>
      </w:r>
      <w:r>
        <w:rPr>
          <w:color w:val="231F20"/>
          <w:spacing w:val="-36"/>
          <w:w w:val="105"/>
        </w:rPr>
        <w:t> </w:t>
      </w:r>
      <w:r>
        <w:rPr>
          <w:color w:val="231F20"/>
          <w:w w:val="105"/>
        </w:rPr>
        <w:t>obtenidos</w:t>
      </w:r>
      <w:r>
        <w:rPr>
          <w:color w:val="231F20"/>
          <w:spacing w:val="-36"/>
          <w:w w:val="105"/>
        </w:rPr>
        <w:t> </w:t>
      </w:r>
      <w:r>
        <w:rPr>
          <w:color w:val="231F20"/>
          <w:w w:val="105"/>
        </w:rPr>
        <w:t>son</w:t>
      </w:r>
      <w:r>
        <w:rPr>
          <w:color w:val="231F20"/>
          <w:spacing w:val="-36"/>
          <w:w w:val="105"/>
        </w:rPr>
        <w:t> </w:t>
      </w:r>
      <w:r>
        <w:rPr>
          <w:color w:val="231F20"/>
          <w:w w:val="105"/>
        </w:rPr>
        <w:t>escasamente</w:t>
      </w:r>
      <w:r>
        <w:rPr>
          <w:color w:val="231F20"/>
          <w:spacing w:val="-36"/>
          <w:w w:val="105"/>
        </w:rPr>
        <w:t> </w:t>
      </w:r>
      <w:r>
        <w:rPr>
          <w:color w:val="231F20"/>
          <w:w w:val="105"/>
        </w:rPr>
        <w:t>alentadores,</w:t>
      </w:r>
      <w:r>
        <w:rPr>
          <w:color w:val="231F20"/>
          <w:spacing w:val="-39"/>
          <w:w w:val="105"/>
        </w:rPr>
        <w:t> </w:t>
      </w:r>
      <w:r>
        <w:rPr>
          <w:color w:val="231F20"/>
          <w:w w:val="105"/>
        </w:rPr>
        <w:t>pues</w:t>
      </w:r>
      <w:r>
        <w:rPr>
          <w:color w:val="231F20"/>
          <w:spacing w:val="-36"/>
          <w:w w:val="105"/>
        </w:rPr>
        <w:t> </w:t>
      </w:r>
      <w:r>
        <w:rPr>
          <w:color w:val="231F20"/>
          <w:w w:val="105"/>
        </w:rPr>
        <w:t>únicamente 3.2% mencionó tener conocimiento de estos programas, siendo el de Salud</w:t>
      </w:r>
      <w:r>
        <w:rPr>
          <w:color w:val="231F20"/>
          <w:spacing w:val="-21"/>
          <w:w w:val="105"/>
        </w:rPr>
        <w:t> </w:t>
      </w:r>
      <w:r>
        <w:rPr>
          <w:color w:val="231F20"/>
          <w:w w:val="105"/>
        </w:rPr>
        <w:t>del</w:t>
      </w:r>
      <w:r>
        <w:rPr>
          <w:color w:val="231F20"/>
          <w:spacing w:val="-21"/>
          <w:w w:val="105"/>
        </w:rPr>
        <w:t> </w:t>
      </w:r>
      <w:r>
        <w:rPr>
          <w:color w:val="231F20"/>
          <w:w w:val="105"/>
        </w:rPr>
        <w:t>Migrante</w:t>
      </w:r>
      <w:r>
        <w:rPr>
          <w:color w:val="231F20"/>
          <w:spacing w:val="-21"/>
          <w:w w:val="105"/>
        </w:rPr>
        <w:t> </w:t>
      </w:r>
      <w:r>
        <w:rPr>
          <w:color w:val="231F20"/>
          <w:w w:val="105"/>
        </w:rPr>
        <w:t>el</w:t>
      </w:r>
      <w:r>
        <w:rPr>
          <w:color w:val="231F20"/>
          <w:spacing w:val="-21"/>
          <w:w w:val="105"/>
        </w:rPr>
        <w:t> </w:t>
      </w:r>
      <w:r>
        <w:rPr>
          <w:color w:val="231F20"/>
          <w:w w:val="105"/>
        </w:rPr>
        <w:t>más</w:t>
      </w:r>
      <w:r>
        <w:rPr>
          <w:color w:val="231F20"/>
          <w:spacing w:val="-21"/>
          <w:w w:val="105"/>
        </w:rPr>
        <w:t> </w:t>
      </w:r>
      <w:r>
        <w:rPr>
          <w:color w:val="231F20"/>
          <w:w w:val="105"/>
        </w:rPr>
        <w:t>reconocido</w:t>
      </w:r>
      <w:r>
        <w:rPr>
          <w:color w:val="231F20"/>
          <w:spacing w:val="-21"/>
          <w:w w:val="105"/>
        </w:rPr>
        <w:t> </w:t>
      </w:r>
      <w:r>
        <w:rPr>
          <w:color w:val="231F20"/>
          <w:w w:val="105"/>
        </w:rPr>
        <w:t>(véase</w:t>
      </w:r>
      <w:r>
        <w:rPr>
          <w:color w:val="231F20"/>
          <w:spacing w:val="-21"/>
          <w:w w:val="105"/>
        </w:rPr>
        <w:t> </w:t>
      </w:r>
      <w:r>
        <w:rPr>
          <w:color w:val="231F20"/>
          <w:w w:val="105"/>
        </w:rPr>
        <w:t>gráfica</w:t>
      </w:r>
      <w:r>
        <w:rPr>
          <w:color w:val="231F20"/>
          <w:spacing w:val="-21"/>
          <w:w w:val="105"/>
        </w:rPr>
        <w:t> </w:t>
      </w:r>
      <w:r>
        <w:rPr>
          <w:color w:val="231F20"/>
          <w:w w:val="105"/>
        </w:rPr>
        <w:t>5.1).</w:t>
      </w:r>
    </w:p>
    <w:p>
      <w:pPr>
        <w:pStyle w:val="BodyText"/>
        <w:spacing w:before="4"/>
      </w:pPr>
    </w:p>
    <w:p>
      <w:pPr>
        <w:spacing w:line="249" w:lineRule="auto" w:before="0"/>
        <w:ind w:left="2693" w:right="2804" w:firstLine="0"/>
        <w:jc w:val="center"/>
        <w:rPr>
          <w:rFonts w:ascii="Arial" w:hAnsi="Arial"/>
          <w:sz w:val="18"/>
        </w:rPr>
      </w:pPr>
      <w:r>
        <w:rPr>
          <w:rFonts w:ascii="Arial" w:hAnsi="Arial"/>
          <w:color w:val="231F20"/>
          <w:w w:val="105"/>
          <w:sz w:val="18"/>
        </w:rPr>
        <w:t>Gráfica</w:t>
      </w:r>
      <w:r>
        <w:rPr>
          <w:rFonts w:ascii="Arial" w:hAnsi="Arial"/>
          <w:color w:val="231F20"/>
          <w:spacing w:val="-13"/>
          <w:w w:val="105"/>
          <w:sz w:val="18"/>
        </w:rPr>
        <w:t> </w:t>
      </w:r>
      <w:r>
        <w:rPr>
          <w:rFonts w:ascii="Arial" w:hAnsi="Arial"/>
          <w:color w:val="231F20"/>
          <w:w w:val="105"/>
          <w:sz w:val="18"/>
        </w:rPr>
        <w:t>5.1</w:t>
      </w:r>
      <w:r>
        <w:rPr>
          <w:rFonts w:ascii="Arial" w:hAnsi="Arial"/>
          <w:color w:val="231F20"/>
          <w:spacing w:val="-13"/>
          <w:w w:val="105"/>
          <w:sz w:val="18"/>
        </w:rPr>
        <w:t> </w:t>
      </w:r>
      <w:r>
        <w:rPr>
          <w:rFonts w:ascii="Arial" w:hAnsi="Arial"/>
          <w:color w:val="231F20"/>
          <w:w w:val="105"/>
          <w:sz w:val="18"/>
        </w:rPr>
        <w:t>Porcentaje</w:t>
      </w:r>
      <w:r>
        <w:rPr>
          <w:rFonts w:ascii="Arial" w:hAnsi="Arial"/>
          <w:color w:val="231F20"/>
          <w:spacing w:val="-13"/>
          <w:w w:val="105"/>
          <w:sz w:val="18"/>
        </w:rPr>
        <w:t> </w:t>
      </w:r>
      <w:r>
        <w:rPr>
          <w:rFonts w:ascii="Arial" w:hAnsi="Arial"/>
          <w:color w:val="231F20"/>
          <w:w w:val="105"/>
          <w:sz w:val="18"/>
        </w:rPr>
        <w:t>de</w:t>
      </w:r>
      <w:r>
        <w:rPr>
          <w:rFonts w:ascii="Arial" w:hAnsi="Arial"/>
          <w:color w:val="231F20"/>
          <w:spacing w:val="-13"/>
          <w:w w:val="105"/>
          <w:sz w:val="18"/>
        </w:rPr>
        <w:t> </w:t>
      </w:r>
      <w:r>
        <w:rPr>
          <w:rFonts w:ascii="Arial" w:hAnsi="Arial"/>
          <w:color w:val="231F20"/>
          <w:w w:val="105"/>
          <w:sz w:val="18"/>
        </w:rPr>
        <w:t>los</w:t>
      </w:r>
      <w:r>
        <w:rPr>
          <w:rFonts w:ascii="Arial" w:hAnsi="Arial"/>
          <w:color w:val="231F20"/>
          <w:spacing w:val="-13"/>
          <w:w w:val="105"/>
          <w:sz w:val="18"/>
        </w:rPr>
        <w:t> </w:t>
      </w:r>
      <w:r>
        <w:rPr>
          <w:rFonts w:ascii="Arial" w:hAnsi="Arial"/>
          <w:color w:val="231F20"/>
          <w:w w:val="105"/>
          <w:sz w:val="18"/>
        </w:rPr>
        <w:t>migrantes</w:t>
      </w:r>
      <w:r>
        <w:rPr>
          <w:rFonts w:ascii="Arial" w:hAnsi="Arial"/>
          <w:color w:val="231F20"/>
          <w:spacing w:val="-13"/>
          <w:w w:val="105"/>
          <w:sz w:val="18"/>
        </w:rPr>
        <w:t> </w:t>
      </w:r>
      <w:r>
        <w:rPr>
          <w:rFonts w:ascii="Arial" w:hAnsi="Arial"/>
          <w:color w:val="231F20"/>
          <w:w w:val="105"/>
          <w:sz w:val="18"/>
        </w:rPr>
        <w:t>en</w:t>
      </w:r>
      <w:r>
        <w:rPr>
          <w:rFonts w:ascii="Arial" w:hAnsi="Arial"/>
          <w:color w:val="231F20"/>
          <w:spacing w:val="-13"/>
          <w:w w:val="105"/>
          <w:sz w:val="18"/>
        </w:rPr>
        <w:t> </w:t>
      </w:r>
      <w:r>
        <w:rPr>
          <w:rFonts w:ascii="Arial" w:hAnsi="Arial"/>
          <w:color w:val="231F20"/>
          <w:w w:val="105"/>
          <w:sz w:val="18"/>
        </w:rPr>
        <w:t>flujo</w:t>
      </w:r>
      <w:r>
        <w:rPr>
          <w:rFonts w:ascii="Arial" w:hAnsi="Arial"/>
          <w:color w:val="231F20"/>
          <w:spacing w:val="-13"/>
          <w:w w:val="105"/>
          <w:sz w:val="18"/>
        </w:rPr>
        <w:t> </w:t>
      </w:r>
      <w:r>
        <w:rPr>
          <w:rFonts w:ascii="Arial" w:hAnsi="Arial"/>
          <w:color w:val="231F20"/>
          <w:w w:val="105"/>
          <w:sz w:val="18"/>
        </w:rPr>
        <w:t>procedentes de</w:t>
      </w:r>
      <w:r>
        <w:rPr>
          <w:rFonts w:ascii="Arial" w:hAnsi="Arial"/>
          <w:color w:val="231F20"/>
          <w:spacing w:val="-10"/>
          <w:w w:val="105"/>
          <w:sz w:val="18"/>
        </w:rPr>
        <w:t> </w:t>
      </w:r>
      <w:r>
        <w:rPr>
          <w:rFonts w:ascii="Arial" w:hAnsi="Arial"/>
          <w:color w:val="231F20"/>
          <w:w w:val="105"/>
          <w:sz w:val="18"/>
        </w:rPr>
        <w:t>Estados</w:t>
      </w:r>
      <w:r>
        <w:rPr>
          <w:rFonts w:ascii="Arial" w:hAnsi="Arial"/>
          <w:color w:val="231F20"/>
          <w:spacing w:val="-10"/>
          <w:w w:val="105"/>
          <w:sz w:val="18"/>
        </w:rPr>
        <w:t> </w:t>
      </w:r>
      <w:r>
        <w:rPr>
          <w:rFonts w:ascii="Arial" w:hAnsi="Arial"/>
          <w:color w:val="231F20"/>
          <w:w w:val="105"/>
          <w:sz w:val="18"/>
        </w:rPr>
        <w:t>Unidos,</w:t>
      </w:r>
      <w:r>
        <w:rPr>
          <w:rFonts w:ascii="Arial" w:hAnsi="Arial"/>
          <w:color w:val="231F20"/>
          <w:spacing w:val="-16"/>
          <w:w w:val="105"/>
          <w:sz w:val="18"/>
        </w:rPr>
        <w:t> </w:t>
      </w:r>
      <w:r>
        <w:rPr>
          <w:rFonts w:ascii="Arial" w:hAnsi="Arial"/>
          <w:color w:val="231F20"/>
          <w:w w:val="105"/>
          <w:sz w:val="18"/>
        </w:rPr>
        <w:t>según</w:t>
      </w:r>
      <w:r>
        <w:rPr>
          <w:rFonts w:ascii="Arial" w:hAnsi="Arial"/>
          <w:color w:val="231F20"/>
          <w:spacing w:val="-10"/>
          <w:w w:val="105"/>
          <w:sz w:val="18"/>
        </w:rPr>
        <w:t> </w:t>
      </w:r>
      <w:r>
        <w:rPr>
          <w:rFonts w:ascii="Arial" w:hAnsi="Arial"/>
          <w:color w:val="231F20"/>
          <w:w w:val="105"/>
          <w:sz w:val="18"/>
        </w:rPr>
        <w:t>el</w:t>
      </w:r>
      <w:r>
        <w:rPr>
          <w:rFonts w:ascii="Arial" w:hAnsi="Arial"/>
          <w:color w:val="231F20"/>
          <w:spacing w:val="-10"/>
          <w:w w:val="105"/>
          <w:sz w:val="18"/>
        </w:rPr>
        <w:t> </w:t>
      </w:r>
      <w:r>
        <w:rPr>
          <w:rFonts w:ascii="Arial" w:hAnsi="Arial"/>
          <w:color w:val="231F20"/>
          <w:w w:val="105"/>
          <w:sz w:val="18"/>
        </w:rPr>
        <w:t>conocimiento</w:t>
      </w:r>
      <w:r>
        <w:rPr>
          <w:rFonts w:ascii="Arial" w:hAnsi="Arial"/>
          <w:color w:val="231F20"/>
          <w:spacing w:val="-10"/>
          <w:w w:val="105"/>
          <w:sz w:val="18"/>
        </w:rPr>
        <w:t> </w:t>
      </w:r>
      <w:r>
        <w:rPr>
          <w:rFonts w:ascii="Arial" w:hAnsi="Arial"/>
          <w:color w:val="231F20"/>
          <w:w w:val="105"/>
          <w:sz w:val="18"/>
        </w:rPr>
        <w:t>que</w:t>
      </w:r>
      <w:r>
        <w:rPr>
          <w:rFonts w:ascii="Arial" w:hAnsi="Arial"/>
          <w:color w:val="231F20"/>
          <w:spacing w:val="-10"/>
          <w:w w:val="105"/>
          <w:sz w:val="18"/>
        </w:rPr>
        <w:t> </w:t>
      </w:r>
      <w:r>
        <w:rPr>
          <w:rFonts w:ascii="Arial" w:hAnsi="Arial"/>
          <w:color w:val="231F20"/>
          <w:w w:val="105"/>
          <w:sz w:val="18"/>
        </w:rPr>
        <w:t>tienen</w:t>
      </w:r>
      <w:r>
        <w:rPr>
          <w:rFonts w:ascii="Arial" w:hAnsi="Arial"/>
          <w:color w:val="231F20"/>
          <w:spacing w:val="-10"/>
          <w:w w:val="105"/>
          <w:sz w:val="18"/>
        </w:rPr>
        <w:t> </w:t>
      </w:r>
      <w:r>
        <w:rPr>
          <w:rFonts w:ascii="Arial" w:hAnsi="Arial"/>
          <w:color w:val="231F20"/>
          <w:w w:val="105"/>
          <w:sz w:val="18"/>
        </w:rPr>
        <w:t>sobre los</w:t>
      </w:r>
      <w:r>
        <w:rPr>
          <w:rFonts w:ascii="Arial" w:hAnsi="Arial"/>
          <w:color w:val="231F20"/>
          <w:spacing w:val="-11"/>
          <w:w w:val="105"/>
          <w:sz w:val="18"/>
        </w:rPr>
        <w:t> </w:t>
      </w:r>
      <w:r>
        <w:rPr>
          <w:rFonts w:ascii="Arial" w:hAnsi="Arial"/>
          <w:color w:val="231F20"/>
          <w:w w:val="105"/>
          <w:sz w:val="18"/>
        </w:rPr>
        <w:t>programas</w:t>
      </w:r>
      <w:r>
        <w:rPr>
          <w:rFonts w:ascii="Arial" w:hAnsi="Arial"/>
          <w:color w:val="231F20"/>
          <w:spacing w:val="-11"/>
          <w:w w:val="105"/>
          <w:sz w:val="18"/>
        </w:rPr>
        <w:t> </w:t>
      </w:r>
      <w:r>
        <w:rPr>
          <w:rFonts w:ascii="Arial" w:hAnsi="Arial"/>
          <w:color w:val="231F20"/>
          <w:w w:val="105"/>
          <w:sz w:val="18"/>
        </w:rPr>
        <w:t>de</w:t>
      </w:r>
      <w:r>
        <w:rPr>
          <w:rFonts w:ascii="Arial" w:hAnsi="Arial"/>
          <w:color w:val="231F20"/>
          <w:spacing w:val="-11"/>
          <w:w w:val="105"/>
          <w:sz w:val="18"/>
        </w:rPr>
        <w:t> </w:t>
      </w:r>
      <w:r>
        <w:rPr>
          <w:rFonts w:ascii="Arial" w:hAnsi="Arial"/>
          <w:color w:val="231F20"/>
          <w:w w:val="105"/>
          <w:sz w:val="18"/>
        </w:rPr>
        <w:t>salud</w:t>
      </w:r>
      <w:r>
        <w:rPr>
          <w:rFonts w:ascii="Arial" w:hAnsi="Arial"/>
          <w:color w:val="231F20"/>
          <w:spacing w:val="-11"/>
          <w:w w:val="105"/>
          <w:sz w:val="18"/>
        </w:rPr>
        <w:t> </w:t>
      </w:r>
      <w:r>
        <w:rPr>
          <w:rFonts w:ascii="Arial" w:hAnsi="Arial"/>
          <w:color w:val="231F20"/>
          <w:w w:val="105"/>
          <w:sz w:val="18"/>
        </w:rPr>
        <w:t>para</w:t>
      </w:r>
      <w:r>
        <w:rPr>
          <w:rFonts w:ascii="Arial" w:hAnsi="Arial"/>
          <w:color w:val="231F20"/>
          <w:spacing w:val="-11"/>
          <w:w w:val="105"/>
          <w:sz w:val="18"/>
        </w:rPr>
        <w:t> </w:t>
      </w:r>
      <w:r>
        <w:rPr>
          <w:rFonts w:ascii="Arial" w:hAnsi="Arial"/>
          <w:color w:val="231F20"/>
          <w:w w:val="105"/>
          <w:sz w:val="18"/>
        </w:rPr>
        <w:t>migrantes</w:t>
      </w:r>
      <w:r>
        <w:rPr>
          <w:rFonts w:ascii="Arial" w:hAnsi="Arial"/>
          <w:color w:val="231F20"/>
          <w:spacing w:val="-11"/>
          <w:w w:val="105"/>
          <w:sz w:val="18"/>
        </w:rPr>
        <w:t> </w:t>
      </w:r>
      <w:r>
        <w:rPr>
          <w:rFonts w:ascii="Arial" w:hAnsi="Arial"/>
          <w:color w:val="231F20"/>
          <w:w w:val="105"/>
          <w:sz w:val="18"/>
        </w:rPr>
        <w:t>en</w:t>
      </w:r>
      <w:r>
        <w:rPr>
          <w:rFonts w:ascii="Arial" w:hAnsi="Arial"/>
          <w:color w:val="231F20"/>
          <w:spacing w:val="-11"/>
          <w:w w:val="105"/>
          <w:sz w:val="18"/>
        </w:rPr>
        <w:t> </w:t>
      </w:r>
      <w:r>
        <w:rPr>
          <w:rFonts w:ascii="Arial" w:hAnsi="Arial"/>
          <w:color w:val="231F20"/>
          <w:w w:val="105"/>
          <w:sz w:val="18"/>
        </w:rPr>
        <w:t>México,</w:t>
      </w:r>
      <w:r>
        <w:rPr>
          <w:rFonts w:ascii="Arial" w:hAnsi="Arial"/>
          <w:color w:val="231F20"/>
          <w:spacing w:val="-17"/>
          <w:w w:val="105"/>
          <w:sz w:val="18"/>
        </w:rPr>
        <w:t> </w:t>
      </w:r>
      <w:r>
        <w:rPr>
          <w:rFonts w:ascii="Arial" w:hAnsi="Arial"/>
          <w:color w:val="231F20"/>
          <w:w w:val="105"/>
          <w:sz w:val="18"/>
        </w:rPr>
        <w:t>2013</w:t>
      </w:r>
    </w:p>
    <w:p>
      <w:pPr>
        <w:pStyle w:val="BodyText"/>
        <w:spacing w:before="10"/>
        <w:rPr>
          <w:rFonts w:ascii="Arial"/>
          <w:sz w:val="29"/>
        </w:rPr>
      </w:pPr>
    </w:p>
    <w:p>
      <w:pPr>
        <w:spacing w:before="70"/>
        <w:ind w:left="2675" w:right="0" w:firstLine="0"/>
        <w:jc w:val="left"/>
        <w:rPr>
          <w:rFonts w:ascii="Tahoma"/>
          <w:sz w:val="13"/>
        </w:rPr>
      </w:pPr>
      <w:r>
        <w:rPr/>
        <w:pict>
          <v:group style="position:absolute;margin-left:195.741531pt;margin-top:-10.737pt;width:152.85pt;height:144.7pt;mso-position-horizontal-relative:page;mso-position-vertical-relative:paragraph;z-index:24424" coordorigin="3915,-215" coordsize="3057,2894">
            <v:shape style="position:absolute;left:0;top:4835;width:1109;height:1268" coordorigin="0,4835" coordsize="1109,1268" path="m4711,-58l4711,-211m4711,652l4711,348m5464,652l5464,348e" filled="false" stroked="true" strokeweight=".340173pt" strokecolor="#a9abad">
              <v:path arrowok="t"/>
            </v:shape>
            <v:shape style="position:absolute;left:3958;top:145;width:1882;height:203" type="#_x0000_t75" stroked="false">
              <v:imagedata r:id="rId278" o:title=""/>
            </v:shape>
            <v:shape style="position:absolute;left:0;top:3788;width:1109;height:447" coordorigin="0,3788" coordsize="1109,447" path="m4711,1365l4711,1061m5464,1365l5464,1061e" filled="false" stroked="true" strokeweight=".340173pt" strokecolor="#a9abad">
              <v:path arrowok="t"/>
            </v:shape>
            <v:shape style="position:absolute;left:3958;top:858;width:1882;height:203" type="#_x0000_t75" stroked="false">
              <v:imagedata r:id="rId279" o:title=""/>
            </v:shape>
            <v:shape style="position:absolute;left:0;top:1926;width:2213;height:1268" coordorigin="0,1926" coordsize="2213,1268" path="m4711,2075l4711,1770m5464,2075l5464,1770m6214,2634l6214,1770e" filled="false" stroked="true" strokeweight=".340173pt" strokecolor="#a9abad">
              <v:path arrowok="t"/>
            </v:shape>
            <v:shape style="position:absolute;left:3958;top:1568;width:2407;height:203" type="#_x0000_t75" stroked="false">
              <v:imagedata r:id="rId280" o:title=""/>
            </v:shape>
            <v:line style="position:absolute" from="4711,2634" to="4711,2483" stroked="true" strokeweight=".339712pt" strokecolor="#a9abad"/>
            <v:shape style="position:absolute;left:3958;top:2277;width:903;height:206" type="#_x0000_t75" stroked="false">
              <v:imagedata r:id="rId281" o:title=""/>
            </v:shape>
            <v:line style="position:absolute" from="5464,2634" to="5464,2277" stroked="true" strokeweight=".339712pt" strokecolor="#a9abad"/>
            <v:shape style="position:absolute;left:3958;top:2075;width:2032;height:203" type="#_x0000_t75" stroked="false">
              <v:imagedata r:id="rId282" o:title=""/>
            </v:shape>
            <v:line style="position:absolute" from="6214,1365" to="6214,145" stroked="true" strokeweight=".339712pt" strokecolor="#a9abad"/>
            <v:shape style="position:absolute;left:3958;top:1365;width:2635;height:203" type="#_x0000_t75" stroked="false">
              <v:imagedata r:id="rId283" o:title=""/>
            </v:shape>
            <v:shape style="position:absolute;left:3958;top:652;width:2257;height:206" type="#_x0000_t75" stroked="false">
              <v:imagedata r:id="rId284" o:title=""/>
            </v:shape>
            <v:shape style="position:absolute;left:1109;top:5876;width:1105;height:226" coordorigin="1109,5876" coordsize="1105,226" path="m5464,-58l5464,-211m6214,-58l6214,-211e" filled="false" stroked="true" strokeweight=".340173pt" strokecolor="#a9abad">
              <v:path arrowok="t"/>
            </v:shape>
            <v:shape style="position:absolute;left:3958;top:-58;width:2560;height:203" type="#_x0000_t75" stroked="false">
              <v:imagedata r:id="rId285" o:title=""/>
            </v:shape>
            <v:line style="position:absolute" from="6967,-211" to="6967,2634" stroked="true" strokeweight=".339712pt" strokecolor="#a9abad"/>
            <v:line style="position:absolute" from="3958,2634" to="6967,2634" stroked="true" strokeweight=".340634pt" strokecolor="#a9abad"/>
            <v:shape style="position:absolute;left:0;top:6042;width:4431;height:61" coordorigin="0,6042" coordsize="4431,61" path="m3957,2634l3957,2675m4711,2634l4711,2675m5464,2634l5464,2675m6214,2634l6214,2675m6967,2634l6967,2675e" filled="false" stroked="true" strokeweight=".340173pt" strokecolor="#a9abad">
              <v:path arrowok="t"/>
            </v:shape>
            <v:line style="position:absolute" from="3958,2634" to="3958,-210" stroked="true" strokeweight=".339712pt" strokecolor="#a9abad"/>
            <v:shape style="position:absolute;left:0;top:6102;width:58;height:4176" coordorigin="0,6102" coordsize="58,4176" path="m3918,2634l3957,2634m3918,1924l3957,1924m3918,1211l3957,1211m3918,502l3957,502m3918,-211l3957,-211e" filled="false" stroked="true" strokeweight=".340173pt" strokecolor="#a9abad">
              <v:path arrowok="t"/>
            </v:shape>
            <v:shape style="position:absolute;left:6614;top:-1;width:193;height:137" type="#_x0000_t202" filled="false" stroked="false">
              <v:textbox inset="0,0,0,0">
                <w:txbxContent>
                  <w:p>
                    <w:pPr>
                      <w:spacing w:line="127" w:lineRule="exact" w:before="0"/>
                      <w:ind w:left="0" w:right="-18" w:firstLine="0"/>
                      <w:jc w:val="left"/>
                      <w:rPr>
                        <w:rFonts w:ascii="Tahoma"/>
                        <w:sz w:val="13"/>
                      </w:rPr>
                    </w:pPr>
                    <w:r>
                      <w:rPr>
                        <w:rFonts w:ascii="Tahoma"/>
                        <w:color w:val="231F20"/>
                        <w:w w:val="105"/>
                        <w:sz w:val="13"/>
                      </w:rPr>
                      <w:t>3.4</w:t>
                    </w:r>
                  </w:p>
                </w:txbxContent>
              </v:textbox>
              <w10:wrap type="none"/>
            </v:shape>
            <v:shape style="position:absolute;left:5937;top:202;width:193;height:137" type="#_x0000_t202" filled="false" stroked="false">
              <v:textbox inset="0,0,0,0">
                <w:txbxContent>
                  <w:p>
                    <w:pPr>
                      <w:spacing w:line="127" w:lineRule="exact" w:before="0"/>
                      <w:ind w:left="0" w:right="-18" w:firstLine="0"/>
                      <w:jc w:val="left"/>
                      <w:rPr>
                        <w:rFonts w:ascii="Tahoma"/>
                        <w:sz w:val="13"/>
                      </w:rPr>
                    </w:pPr>
                    <w:r>
                      <w:rPr>
                        <w:rFonts w:ascii="Tahoma"/>
                        <w:color w:val="231F20"/>
                        <w:w w:val="105"/>
                        <w:sz w:val="13"/>
                      </w:rPr>
                      <w:t>2.5</w:t>
                    </w:r>
                  </w:p>
                </w:txbxContent>
              </v:textbox>
              <w10:wrap type="none"/>
            </v:shape>
            <v:shape style="position:absolute;left:6313;top:710;width:193;height:137" type="#_x0000_t202" filled="false" stroked="false">
              <v:textbox inset="0,0,0,0">
                <w:txbxContent>
                  <w:p>
                    <w:pPr>
                      <w:spacing w:line="127" w:lineRule="exact" w:before="0"/>
                      <w:ind w:left="0" w:right="-18" w:firstLine="0"/>
                      <w:jc w:val="left"/>
                      <w:rPr>
                        <w:rFonts w:ascii="Tahoma"/>
                        <w:sz w:val="13"/>
                      </w:rPr>
                    </w:pPr>
                    <w:r>
                      <w:rPr>
                        <w:rFonts w:ascii="Tahoma"/>
                        <w:color w:val="231F20"/>
                        <w:w w:val="105"/>
                        <w:sz w:val="13"/>
                      </w:rPr>
                      <w:t>3.0</w:t>
                    </w:r>
                  </w:p>
                </w:txbxContent>
              </v:textbox>
              <w10:wrap type="none"/>
            </v:shape>
            <v:shape style="position:absolute;left:5937;top:913;width:193;height:137" type="#_x0000_t202" filled="false" stroked="false">
              <v:textbox inset="0,0,0,0">
                <w:txbxContent>
                  <w:p>
                    <w:pPr>
                      <w:spacing w:line="127" w:lineRule="exact" w:before="0"/>
                      <w:ind w:left="0" w:right="-18" w:firstLine="0"/>
                      <w:jc w:val="left"/>
                      <w:rPr>
                        <w:rFonts w:ascii="Tahoma"/>
                        <w:sz w:val="13"/>
                      </w:rPr>
                    </w:pPr>
                    <w:r>
                      <w:rPr>
                        <w:rFonts w:ascii="Tahoma"/>
                        <w:color w:val="231F20"/>
                        <w:w w:val="105"/>
                        <w:sz w:val="13"/>
                      </w:rPr>
                      <w:t>2.5</w:t>
                    </w:r>
                  </w:p>
                </w:txbxContent>
              </v:textbox>
              <w10:wrap type="none"/>
            </v:shape>
            <v:shape style="position:absolute;left:6689;top:1421;width:193;height:137" type="#_x0000_t202" filled="false" stroked="false">
              <v:textbox inset="0,0,0,0">
                <w:txbxContent>
                  <w:p>
                    <w:pPr>
                      <w:spacing w:line="127" w:lineRule="exact" w:before="0"/>
                      <w:ind w:left="0" w:right="-18" w:firstLine="0"/>
                      <w:jc w:val="left"/>
                      <w:rPr>
                        <w:rFonts w:ascii="Tahoma"/>
                        <w:sz w:val="13"/>
                      </w:rPr>
                    </w:pPr>
                    <w:r>
                      <w:rPr>
                        <w:rFonts w:ascii="Tahoma"/>
                        <w:color w:val="231F20"/>
                        <w:w w:val="105"/>
                        <w:sz w:val="13"/>
                      </w:rPr>
                      <w:t>3.5</w:t>
                    </w:r>
                  </w:p>
                </w:txbxContent>
              </v:textbox>
              <w10:wrap type="none"/>
            </v:shape>
            <v:shape style="position:absolute;left:6463;top:1624;width:193;height:137" type="#_x0000_t202" filled="false" stroked="false">
              <v:textbox inset="0,0,0,0">
                <w:txbxContent>
                  <w:p>
                    <w:pPr>
                      <w:spacing w:line="127" w:lineRule="exact" w:before="0"/>
                      <w:ind w:left="0" w:right="-18" w:firstLine="0"/>
                      <w:jc w:val="left"/>
                      <w:rPr>
                        <w:rFonts w:ascii="Tahoma"/>
                        <w:sz w:val="13"/>
                      </w:rPr>
                    </w:pPr>
                    <w:r>
                      <w:rPr>
                        <w:rFonts w:ascii="Tahoma"/>
                        <w:color w:val="231F20"/>
                        <w:w w:val="105"/>
                        <w:sz w:val="13"/>
                      </w:rPr>
                      <w:t>3.2</w:t>
                    </w:r>
                  </w:p>
                </w:txbxContent>
              </v:textbox>
              <w10:wrap type="none"/>
            </v:shape>
            <v:shape style="position:absolute;left:6087;top:2132;width:193;height:137" type="#_x0000_t202" filled="false" stroked="false">
              <v:textbox inset="0,0,0,0">
                <w:txbxContent>
                  <w:p>
                    <w:pPr>
                      <w:spacing w:line="127" w:lineRule="exact" w:before="0"/>
                      <w:ind w:left="0" w:right="-18" w:firstLine="0"/>
                      <w:jc w:val="left"/>
                      <w:rPr>
                        <w:rFonts w:ascii="Tahoma"/>
                        <w:sz w:val="13"/>
                      </w:rPr>
                    </w:pPr>
                    <w:r>
                      <w:rPr>
                        <w:rFonts w:ascii="Tahoma"/>
                        <w:color w:val="231F20"/>
                        <w:w w:val="105"/>
                        <w:sz w:val="13"/>
                      </w:rPr>
                      <w:t>2.7</w:t>
                    </w:r>
                  </w:p>
                </w:txbxContent>
              </v:textbox>
              <w10:wrap type="none"/>
            </v:shape>
            <v:shape style="position:absolute;left:4956;top:2349;width:193;height:137" type="#_x0000_t202" filled="false" stroked="false">
              <v:textbox inset="0,0,0,0">
                <w:txbxContent>
                  <w:p>
                    <w:pPr>
                      <w:spacing w:line="127" w:lineRule="exact" w:before="0"/>
                      <w:ind w:left="0" w:right="-18" w:firstLine="0"/>
                      <w:jc w:val="left"/>
                      <w:rPr>
                        <w:rFonts w:ascii="Tahoma"/>
                        <w:sz w:val="13"/>
                      </w:rPr>
                    </w:pPr>
                    <w:r>
                      <w:rPr>
                        <w:rFonts w:ascii="Tahoma"/>
                        <w:color w:val="231F20"/>
                        <w:w w:val="105"/>
                        <w:sz w:val="13"/>
                      </w:rPr>
                      <w:t>1.2</w:t>
                    </w:r>
                  </w:p>
                </w:txbxContent>
              </v:textbox>
              <w10:wrap type="none"/>
            </v:shape>
            <w10:wrap type="none"/>
          </v:group>
        </w:pict>
      </w:r>
      <w:r>
        <w:rPr>
          <w:rFonts w:ascii="Tahoma"/>
          <w:color w:val="231F20"/>
          <w:w w:val="110"/>
          <w:sz w:val="13"/>
        </w:rPr>
        <w:t>Ventanillas de Salud</w:t>
      </w:r>
    </w:p>
    <w:p>
      <w:pPr>
        <w:pStyle w:val="BodyText"/>
        <w:rPr>
          <w:rFonts w:ascii="Tahoma"/>
          <w:sz w:val="20"/>
        </w:rPr>
      </w:pPr>
    </w:p>
    <w:p>
      <w:pPr>
        <w:pStyle w:val="BodyText"/>
        <w:rPr>
          <w:rFonts w:ascii="Tahoma"/>
          <w:sz w:val="19"/>
        </w:rPr>
      </w:pPr>
    </w:p>
    <w:p>
      <w:pPr>
        <w:spacing w:line="145" w:lineRule="exact" w:before="70"/>
        <w:ind w:left="2380" w:right="0" w:firstLine="0"/>
        <w:jc w:val="left"/>
        <w:rPr>
          <w:rFonts w:ascii="Tahoma"/>
          <w:sz w:val="13"/>
        </w:rPr>
      </w:pPr>
      <w:r>
        <w:rPr>
          <w:rFonts w:ascii="Tahoma"/>
          <w:color w:val="231F20"/>
          <w:w w:val="110"/>
          <w:sz w:val="13"/>
        </w:rPr>
        <w:t>Vete Sano, Regresa Sano</w:t>
      </w:r>
    </w:p>
    <w:p>
      <w:pPr>
        <w:spacing w:line="145" w:lineRule="exact" w:before="0"/>
        <w:ind w:left="1516" w:right="2282" w:firstLine="0"/>
        <w:jc w:val="right"/>
        <w:rPr>
          <w:rFonts w:ascii="Tahoma"/>
          <w:sz w:val="13"/>
        </w:rPr>
      </w:pPr>
      <w:r>
        <w:rPr/>
        <w:drawing>
          <wp:anchor distT="0" distB="0" distL="0" distR="0" allowOverlap="1" layoutInCell="1" locked="0" behindDoc="0" simplePos="0" relativeHeight="24448">
            <wp:simplePos x="0" y="0"/>
            <wp:positionH relativeFrom="page">
              <wp:posOffset>4525090</wp:posOffset>
            </wp:positionH>
            <wp:positionV relativeFrom="paragraph">
              <wp:posOffset>8099</wp:posOffset>
            </wp:positionV>
            <wp:extent cx="77226" cy="77445"/>
            <wp:effectExtent l="0" t="0" r="0" b="0"/>
            <wp:wrapNone/>
            <wp:docPr id="51" name="image180.png" descr=""/>
            <wp:cNvGraphicFramePr>
              <a:graphicFrameLocks noChangeAspect="1"/>
            </wp:cNvGraphicFramePr>
            <a:graphic>
              <a:graphicData uri="http://schemas.openxmlformats.org/drawingml/2006/picture">
                <pic:pic>
                  <pic:nvPicPr>
                    <pic:cNvPr id="52" name="image180.png"/>
                    <pic:cNvPicPr/>
                  </pic:nvPicPr>
                  <pic:blipFill>
                    <a:blip r:embed="rId286" cstate="print"/>
                    <a:stretch>
                      <a:fillRect/>
                    </a:stretch>
                  </pic:blipFill>
                  <pic:spPr>
                    <a:xfrm>
                      <a:off x="0" y="0"/>
                      <a:ext cx="77226" cy="77445"/>
                    </a:xfrm>
                    <a:prstGeom prst="rect">
                      <a:avLst/>
                    </a:prstGeom>
                  </pic:spPr>
                </pic:pic>
              </a:graphicData>
            </a:graphic>
          </wp:anchor>
        </w:drawing>
      </w:r>
      <w:r>
        <w:rPr>
          <w:rFonts w:ascii="Tahoma"/>
          <w:color w:val="231F20"/>
          <w:w w:val="110"/>
          <w:sz w:val="13"/>
        </w:rPr>
        <w:t>Nivel nacional</w:t>
      </w:r>
    </w:p>
    <w:p>
      <w:pPr>
        <w:pStyle w:val="BodyText"/>
        <w:spacing w:before="2"/>
        <w:rPr>
          <w:rFonts w:ascii="Tahoma"/>
          <w:sz w:val="11"/>
        </w:rPr>
      </w:pPr>
    </w:p>
    <w:p>
      <w:pPr>
        <w:spacing w:after="0"/>
        <w:rPr>
          <w:rFonts w:ascii="Tahoma"/>
          <w:sz w:val="11"/>
        </w:rPr>
        <w:sectPr>
          <w:pgSz w:w="10480" w:h="14730"/>
          <w:pgMar w:header="0" w:footer="103" w:top="300" w:bottom="300" w:left="0" w:right="0"/>
        </w:sectPr>
      </w:pPr>
    </w:p>
    <w:p>
      <w:pPr>
        <w:pStyle w:val="BodyText"/>
        <w:rPr>
          <w:rFonts w:ascii="Tahoma"/>
          <w:sz w:val="14"/>
        </w:rPr>
      </w:pPr>
    </w:p>
    <w:p>
      <w:pPr>
        <w:spacing w:before="118"/>
        <w:ind w:left="0" w:right="0" w:firstLine="0"/>
        <w:jc w:val="right"/>
        <w:rPr>
          <w:rFonts w:ascii="Tahoma"/>
          <w:sz w:val="13"/>
        </w:rPr>
      </w:pPr>
      <w:r>
        <w:rPr/>
        <w:drawing>
          <wp:anchor distT="0" distB="0" distL="0" distR="0" allowOverlap="1" layoutInCell="1" locked="0" behindDoc="0" simplePos="0" relativeHeight="24472">
            <wp:simplePos x="0" y="0"/>
            <wp:positionH relativeFrom="page">
              <wp:posOffset>4525090</wp:posOffset>
            </wp:positionH>
            <wp:positionV relativeFrom="paragraph">
              <wp:posOffset>-48775</wp:posOffset>
            </wp:positionV>
            <wp:extent cx="77226" cy="77445"/>
            <wp:effectExtent l="0" t="0" r="0" b="0"/>
            <wp:wrapNone/>
            <wp:docPr id="53" name="image181.png" descr=""/>
            <wp:cNvGraphicFramePr>
              <a:graphicFrameLocks noChangeAspect="1"/>
            </wp:cNvGraphicFramePr>
            <a:graphic>
              <a:graphicData uri="http://schemas.openxmlformats.org/drawingml/2006/picture">
                <pic:pic>
                  <pic:nvPicPr>
                    <pic:cNvPr id="54" name="image181.png"/>
                    <pic:cNvPicPr/>
                  </pic:nvPicPr>
                  <pic:blipFill>
                    <a:blip r:embed="rId287" cstate="print"/>
                    <a:stretch>
                      <a:fillRect/>
                    </a:stretch>
                  </pic:blipFill>
                  <pic:spPr>
                    <a:xfrm>
                      <a:off x="0" y="0"/>
                      <a:ext cx="77226" cy="77445"/>
                    </a:xfrm>
                    <a:prstGeom prst="rect">
                      <a:avLst/>
                    </a:prstGeom>
                  </pic:spPr>
                </pic:pic>
              </a:graphicData>
            </a:graphic>
          </wp:anchor>
        </w:drawing>
      </w:r>
      <w:r>
        <w:rPr>
          <w:rFonts w:ascii="Tahoma"/>
          <w:color w:val="231F20"/>
          <w:w w:val="115"/>
          <w:sz w:val="13"/>
        </w:rPr>
        <w:t>Salud del Migrante</w:t>
      </w:r>
    </w:p>
    <w:p>
      <w:pPr>
        <w:spacing w:line="249" w:lineRule="auto" w:before="70"/>
        <w:ind w:left="2735" w:right="1770" w:firstLine="0"/>
        <w:jc w:val="left"/>
        <w:rPr>
          <w:rFonts w:ascii="Tahoma" w:hAnsi="Tahoma"/>
          <w:sz w:val="13"/>
        </w:rPr>
      </w:pPr>
      <w:r>
        <w:rPr/>
        <w:br w:type="column"/>
      </w:r>
      <w:r>
        <w:rPr>
          <w:rFonts w:ascii="Tahoma" w:hAnsi="Tahoma"/>
          <w:color w:val="231F20"/>
          <w:w w:val="115"/>
          <w:sz w:val="13"/>
        </w:rPr>
        <w:t>Nacidos en el Estado de México</w:t>
      </w:r>
    </w:p>
    <w:p>
      <w:pPr>
        <w:spacing w:after="0" w:line="249" w:lineRule="auto"/>
        <w:jc w:val="left"/>
        <w:rPr>
          <w:rFonts w:ascii="Tahoma" w:hAnsi="Tahoma"/>
          <w:sz w:val="13"/>
        </w:rPr>
        <w:sectPr>
          <w:type w:val="continuous"/>
          <w:pgSz w:w="10480" w:h="14730"/>
          <w:pgMar w:top="0" w:bottom="0" w:left="0" w:right="0"/>
          <w:cols w:num="2" w:equalWidth="0">
            <w:col w:w="3913" w:space="672"/>
            <w:col w:w="5895"/>
          </w:cols>
        </w:sectPr>
      </w:pPr>
    </w:p>
    <w:p>
      <w:pPr>
        <w:pStyle w:val="BodyText"/>
        <w:rPr>
          <w:rFonts w:ascii="Tahoma"/>
          <w:sz w:val="20"/>
        </w:rPr>
      </w:pPr>
      <w:r>
        <w:rPr/>
        <w:pict>
          <v:line style="position:absolute;mso-position-horizontal-relative:page;mso-position-vertical-relative:page;z-index:24496" from="15pt,20.999777pt" to="0pt,20.999777pt" stroked="true" strokeweight=".25pt" strokecolor="#000000">
            <w10:wrap type="none"/>
          </v:line>
        </w:pict>
      </w:r>
      <w:r>
        <w:rPr/>
        <w:pict>
          <v:line style="position:absolute;mso-position-horizontal-relative:page;mso-position-vertical-relative:page;z-index:24520" from="508.890015pt,20.999777pt" to="523.890015pt,20.999777pt" stroked="true" strokeweight=".25pt" strokecolor="#000000">
            <w10:wrap type="none"/>
          </v:line>
        </w:pict>
      </w:r>
    </w:p>
    <w:p>
      <w:pPr>
        <w:pStyle w:val="BodyText"/>
        <w:rPr>
          <w:rFonts w:ascii="Tahoma"/>
          <w:sz w:val="19"/>
        </w:rPr>
      </w:pPr>
    </w:p>
    <w:p>
      <w:pPr>
        <w:spacing w:before="70"/>
        <w:ind w:left="1778" w:right="0" w:firstLine="0"/>
        <w:jc w:val="left"/>
        <w:rPr>
          <w:rFonts w:ascii="Tahoma"/>
          <w:sz w:val="13"/>
        </w:rPr>
      </w:pPr>
      <w:r>
        <w:rPr>
          <w:rFonts w:ascii="Tahoma"/>
          <w:color w:val="231F20"/>
          <w:w w:val="110"/>
          <w:sz w:val="13"/>
        </w:rPr>
        <w:t>Asistencia a Repatriados Enfermos</w:t>
      </w:r>
    </w:p>
    <w:p>
      <w:pPr>
        <w:pStyle w:val="BodyText"/>
        <w:spacing w:before="5"/>
        <w:rPr>
          <w:rFonts w:ascii="Tahoma"/>
          <w:sz w:val="26"/>
        </w:rPr>
      </w:pPr>
    </w:p>
    <w:p>
      <w:pPr>
        <w:tabs>
          <w:tab w:pos="1211" w:val="left" w:leader="none"/>
          <w:tab w:pos="1963" w:val="left" w:leader="none"/>
          <w:tab w:pos="2715" w:val="left" w:leader="none"/>
          <w:tab w:pos="3467" w:val="left" w:leader="none"/>
        </w:tabs>
        <w:spacing w:before="70"/>
        <w:ind w:left="458" w:right="0" w:firstLine="0"/>
        <w:jc w:val="center"/>
        <w:rPr>
          <w:rFonts w:ascii="Tahoma"/>
          <w:sz w:val="13"/>
        </w:rPr>
      </w:pPr>
      <w:r>
        <w:rPr>
          <w:rFonts w:ascii="Tahoma"/>
          <w:color w:val="231F20"/>
          <w:w w:val="110"/>
          <w:sz w:val="13"/>
        </w:rPr>
        <w:t>0</w:t>
        <w:tab/>
        <w:t>1</w:t>
        <w:tab/>
        <w:t>2</w:t>
        <w:tab/>
        <w:t>3</w:t>
        <w:tab/>
        <w:t>4</w:t>
      </w:r>
    </w:p>
    <w:p>
      <w:pPr>
        <w:spacing w:before="62"/>
        <w:ind w:left="2989" w:right="2491" w:firstLine="0"/>
        <w:jc w:val="center"/>
        <w:rPr>
          <w:rFonts w:ascii="Arial"/>
          <w:b/>
          <w:sz w:val="13"/>
        </w:rPr>
      </w:pPr>
      <w:r>
        <w:rPr>
          <w:rFonts w:ascii="Arial"/>
          <w:b/>
          <w:color w:val="231F20"/>
          <w:sz w:val="13"/>
        </w:rPr>
        <w:t>Porcentaje</w:t>
      </w:r>
    </w:p>
    <w:p>
      <w:pPr>
        <w:spacing w:line="254" w:lineRule="auto" w:before="113"/>
        <w:ind w:left="1723" w:right="1683" w:firstLine="0"/>
        <w:jc w:val="left"/>
        <w:rPr>
          <w:sz w:val="16"/>
        </w:rPr>
      </w:pPr>
      <w:r>
        <w:rPr>
          <w:color w:val="231F20"/>
          <w:w w:val="105"/>
          <w:sz w:val="16"/>
        </w:rPr>
        <w:t>Fuente: elaboración propia con datos de la Encuesta de Migración de la Frontera Norte, 2013 </w:t>
      </w:r>
      <w:r>
        <w:rPr>
          <w:color w:val="231F20"/>
          <w:sz w:val="16"/>
        </w:rPr>
        <w:t>(</w:t>
      </w:r>
      <w:r>
        <w:rPr>
          <w:color w:val="231F20"/>
          <w:sz w:val="14"/>
        </w:rPr>
        <w:t>CONAPO</w:t>
      </w:r>
      <w:r>
        <w:rPr>
          <w:color w:val="231F20"/>
          <w:sz w:val="16"/>
        </w:rPr>
        <w:t>,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65976" from="131.551193pt,.203715pt" to="131.551193pt,36.006114pt" stroked="true" strokeweight=".35pt" strokecolor="#231f20">
            <w10:wrap type="none"/>
          </v:line>
        </w:pict>
      </w:r>
      <w:r>
        <w:rPr/>
        <w:pict>
          <v:line style="position:absolute;mso-position-horizontal-relative:page;mso-position-vertical-relative:paragraph;z-index:-465640" from="15pt,36.005917pt" to="0pt,36.005917pt" stroked="true" strokeweight=".25pt" strokecolor="#000000">
            <w10:wrap type="none"/>
          </v:line>
        </w:pict>
      </w:r>
      <w:r>
        <w:rPr/>
        <w:pict>
          <v:line style="position:absolute;mso-position-horizontal-relative:page;mso-position-vertical-relative:paragraph;z-index:24568" from="508.890015pt,36.005917pt" to="523.890015pt,36.005917pt" stroked="true" strokeweight=".25pt" strokecolor="#000000">
            <w10:wrap type="none"/>
          </v:line>
        </w:pict>
      </w:r>
      <w:r>
        <w:rPr>
          <w:rFonts w:ascii="Arial" w:hAnsi="Arial"/>
          <w:color w:val="414042"/>
          <w:w w:val="105"/>
          <w:position w:val="-5"/>
          <w:sz w:val="20"/>
        </w:rPr>
        <w:t>194</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type w:val="continuous"/>
          <w:pgSz w:w="10480" w:h="14730"/>
          <w:pgMar w:top="0" w:bottom="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4592" from="405.061005pt,-27.904295pt" to="405.061005pt,6.961579pt" stroked="true" strokeweight=".35pt" strokecolor="#231f20">
            <w10:wrap type="none"/>
          </v:line>
        </w:pict>
      </w:r>
      <w:r>
        <w:rPr/>
        <w:pict>
          <v:line style="position:absolute;mso-position-horizontal-relative:page;mso-position-vertical-relative:paragraph;z-index:24616" from="15pt,-27.90452pt" to="0pt,-27.90452pt" stroked="true" strokeweight=".25pt" strokecolor="#000000">
            <w10:wrap type="none"/>
          </v:line>
        </w:pict>
      </w:r>
      <w:r>
        <w:rPr/>
        <w:pict>
          <v:line style="position:absolute;mso-position-horizontal-relative:page;mso-position-vertical-relative:paragraph;z-index:24640"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195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21"/>
        <w:jc w:val="both"/>
      </w:pPr>
      <w:r>
        <w:rPr>
          <w:color w:val="231F20"/>
          <w:w w:val="105"/>
        </w:rPr>
        <w:t>En</w:t>
      </w:r>
      <w:r>
        <w:rPr>
          <w:color w:val="231F20"/>
          <w:spacing w:val="-16"/>
          <w:w w:val="105"/>
        </w:rPr>
        <w:t> </w:t>
      </w:r>
      <w:r>
        <w:rPr>
          <w:color w:val="231F20"/>
          <w:w w:val="105"/>
        </w:rPr>
        <w:t>todos</w:t>
      </w:r>
      <w:r>
        <w:rPr>
          <w:color w:val="231F20"/>
          <w:spacing w:val="-16"/>
          <w:w w:val="105"/>
        </w:rPr>
        <w:t> </w:t>
      </w:r>
      <w:r>
        <w:rPr>
          <w:color w:val="231F20"/>
          <w:w w:val="105"/>
        </w:rPr>
        <w:t>los</w:t>
      </w:r>
      <w:r>
        <w:rPr>
          <w:color w:val="231F20"/>
          <w:spacing w:val="-16"/>
          <w:w w:val="105"/>
        </w:rPr>
        <w:t> </w:t>
      </w:r>
      <w:r>
        <w:rPr>
          <w:color w:val="231F20"/>
          <w:w w:val="105"/>
        </w:rPr>
        <w:t>programas,</w:t>
      </w:r>
      <w:r>
        <w:rPr>
          <w:color w:val="231F20"/>
          <w:spacing w:val="-22"/>
          <w:w w:val="105"/>
        </w:rPr>
        <w:t> </w:t>
      </w:r>
      <w:r>
        <w:rPr>
          <w:color w:val="231F20"/>
          <w:w w:val="105"/>
        </w:rPr>
        <w:t>el</w:t>
      </w:r>
      <w:r>
        <w:rPr>
          <w:color w:val="231F20"/>
          <w:spacing w:val="-16"/>
          <w:w w:val="105"/>
        </w:rPr>
        <w:t> </w:t>
      </w:r>
      <w:r>
        <w:rPr>
          <w:color w:val="231F20"/>
          <w:w w:val="105"/>
        </w:rPr>
        <w:t>desconocimiento</w:t>
      </w:r>
      <w:r>
        <w:rPr>
          <w:color w:val="231F20"/>
          <w:spacing w:val="-16"/>
          <w:w w:val="105"/>
        </w:rPr>
        <w:t> </w:t>
      </w:r>
      <w:r>
        <w:rPr>
          <w:color w:val="231F20"/>
          <w:w w:val="105"/>
        </w:rPr>
        <w:t>fue</w:t>
      </w:r>
      <w:r>
        <w:rPr>
          <w:color w:val="231F20"/>
          <w:spacing w:val="-16"/>
          <w:w w:val="105"/>
        </w:rPr>
        <w:t> </w:t>
      </w:r>
      <w:r>
        <w:rPr>
          <w:color w:val="231F20"/>
          <w:w w:val="105"/>
        </w:rPr>
        <w:t>mayor</w:t>
      </w:r>
      <w:r>
        <w:rPr>
          <w:color w:val="231F20"/>
          <w:spacing w:val="-16"/>
          <w:w w:val="105"/>
        </w:rPr>
        <w:t> </w:t>
      </w:r>
      <w:r>
        <w:rPr>
          <w:color w:val="231F20"/>
          <w:w w:val="105"/>
        </w:rPr>
        <w:t>entre</w:t>
      </w:r>
      <w:r>
        <w:rPr>
          <w:color w:val="231F20"/>
          <w:spacing w:val="-16"/>
          <w:w w:val="105"/>
        </w:rPr>
        <w:t> </w:t>
      </w:r>
      <w:r>
        <w:rPr>
          <w:color w:val="231F20"/>
          <w:w w:val="105"/>
        </w:rPr>
        <w:t>los</w:t>
      </w:r>
      <w:r>
        <w:rPr>
          <w:color w:val="231F20"/>
          <w:spacing w:val="-16"/>
          <w:w w:val="105"/>
        </w:rPr>
        <w:t> </w:t>
      </w:r>
      <w:r>
        <w:rPr>
          <w:color w:val="231F20"/>
          <w:w w:val="105"/>
        </w:rPr>
        <w:t>migran- tes</w:t>
      </w:r>
      <w:r>
        <w:rPr>
          <w:color w:val="231F20"/>
          <w:spacing w:val="-16"/>
          <w:w w:val="105"/>
        </w:rPr>
        <w:t> </w:t>
      </w:r>
      <w:r>
        <w:rPr>
          <w:color w:val="231F20"/>
          <w:w w:val="105"/>
        </w:rPr>
        <w:t>nacidos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16"/>
          <w:w w:val="105"/>
        </w:rPr>
        <w:t> </w:t>
      </w:r>
      <w:r>
        <w:rPr>
          <w:color w:val="231F20"/>
          <w:w w:val="105"/>
        </w:rPr>
        <w:t>en</w:t>
      </w:r>
      <w:r>
        <w:rPr>
          <w:color w:val="231F20"/>
          <w:spacing w:val="-16"/>
          <w:w w:val="105"/>
        </w:rPr>
        <w:t> </w:t>
      </w:r>
      <w:r>
        <w:rPr>
          <w:color w:val="231F20"/>
          <w:w w:val="105"/>
        </w:rPr>
        <w:t>comparación</w:t>
      </w:r>
      <w:r>
        <w:rPr>
          <w:color w:val="231F20"/>
          <w:spacing w:val="-16"/>
          <w:w w:val="105"/>
        </w:rPr>
        <w:t> </w:t>
      </w:r>
      <w:r>
        <w:rPr>
          <w:color w:val="231F20"/>
          <w:w w:val="105"/>
        </w:rPr>
        <w:t>con</w:t>
      </w:r>
      <w:r>
        <w:rPr>
          <w:color w:val="231F20"/>
          <w:spacing w:val="-16"/>
          <w:w w:val="105"/>
        </w:rPr>
        <w:t> </w:t>
      </w:r>
      <w:r>
        <w:rPr>
          <w:color w:val="231F20"/>
          <w:w w:val="105"/>
        </w:rPr>
        <w:t>lo</w:t>
      </w:r>
      <w:r>
        <w:rPr>
          <w:color w:val="231F20"/>
          <w:spacing w:val="-16"/>
          <w:w w:val="105"/>
        </w:rPr>
        <w:t> </w:t>
      </w:r>
      <w:r>
        <w:rPr>
          <w:color w:val="231F20"/>
          <w:w w:val="105"/>
        </w:rPr>
        <w:t>obtenido</w:t>
      </w:r>
      <w:r>
        <w:rPr>
          <w:color w:val="231F20"/>
          <w:spacing w:val="-16"/>
          <w:w w:val="105"/>
        </w:rPr>
        <w:t> </w:t>
      </w:r>
      <w:r>
        <w:rPr>
          <w:color w:val="231F20"/>
          <w:w w:val="105"/>
        </w:rPr>
        <w:t>a</w:t>
      </w:r>
      <w:r>
        <w:rPr>
          <w:color w:val="231F20"/>
          <w:spacing w:val="-16"/>
          <w:w w:val="105"/>
        </w:rPr>
        <w:t> </w:t>
      </w:r>
      <w:r>
        <w:rPr>
          <w:color w:val="231F20"/>
          <w:w w:val="105"/>
        </w:rPr>
        <w:t>ni- vel</w:t>
      </w:r>
      <w:r>
        <w:rPr>
          <w:color w:val="231F20"/>
          <w:spacing w:val="-25"/>
          <w:w w:val="105"/>
        </w:rPr>
        <w:t> </w:t>
      </w:r>
      <w:r>
        <w:rPr>
          <w:color w:val="231F20"/>
          <w:w w:val="105"/>
        </w:rPr>
        <w:t>nacional,</w:t>
      </w:r>
      <w:r>
        <w:rPr>
          <w:color w:val="231F20"/>
          <w:spacing w:val="-30"/>
          <w:w w:val="105"/>
        </w:rPr>
        <w:t> </w:t>
      </w:r>
      <w:r>
        <w:rPr>
          <w:color w:val="231F20"/>
          <w:w w:val="105"/>
        </w:rPr>
        <w:t>siendo</w:t>
      </w:r>
      <w:r>
        <w:rPr>
          <w:color w:val="231F20"/>
          <w:spacing w:val="-25"/>
          <w:w w:val="105"/>
        </w:rPr>
        <w:t> </w:t>
      </w:r>
      <w:r>
        <w:rPr>
          <w:color w:val="231F20"/>
          <w:w w:val="105"/>
        </w:rPr>
        <w:t>el</w:t>
      </w:r>
      <w:r>
        <w:rPr>
          <w:color w:val="231F20"/>
          <w:spacing w:val="-25"/>
          <w:w w:val="105"/>
        </w:rPr>
        <w:t> </w:t>
      </w:r>
      <w:r>
        <w:rPr>
          <w:color w:val="231F20"/>
          <w:w w:val="105"/>
        </w:rPr>
        <w:t>de</w:t>
      </w:r>
      <w:r>
        <w:rPr>
          <w:color w:val="231F20"/>
          <w:spacing w:val="-28"/>
          <w:w w:val="105"/>
        </w:rPr>
        <w:t> </w:t>
      </w:r>
      <w:r>
        <w:rPr>
          <w:color w:val="231F20"/>
          <w:w w:val="105"/>
        </w:rPr>
        <w:t>Asistencia</w:t>
      </w:r>
      <w:r>
        <w:rPr>
          <w:color w:val="231F20"/>
          <w:spacing w:val="-25"/>
          <w:w w:val="105"/>
        </w:rPr>
        <w:t> </w:t>
      </w:r>
      <w:r>
        <w:rPr>
          <w:color w:val="231F20"/>
          <w:w w:val="105"/>
        </w:rPr>
        <w:t>a</w:t>
      </w:r>
      <w:r>
        <w:rPr>
          <w:color w:val="231F20"/>
          <w:spacing w:val="-25"/>
          <w:w w:val="105"/>
        </w:rPr>
        <w:t> </w:t>
      </w:r>
      <w:r>
        <w:rPr>
          <w:color w:val="231F20"/>
          <w:w w:val="105"/>
        </w:rPr>
        <w:t>Repatriados</w:t>
      </w:r>
      <w:r>
        <w:rPr>
          <w:color w:val="231F20"/>
          <w:spacing w:val="-25"/>
          <w:w w:val="105"/>
        </w:rPr>
        <w:t> </w:t>
      </w:r>
      <w:r>
        <w:rPr>
          <w:color w:val="231F20"/>
          <w:w w:val="105"/>
        </w:rPr>
        <w:t>Enfermos</w:t>
      </w:r>
      <w:r>
        <w:rPr>
          <w:color w:val="231F20"/>
          <w:spacing w:val="-25"/>
          <w:w w:val="105"/>
        </w:rPr>
        <w:t> </w:t>
      </w:r>
      <w:r>
        <w:rPr>
          <w:color w:val="231F20"/>
          <w:w w:val="105"/>
        </w:rPr>
        <w:t>el</w:t>
      </w:r>
      <w:r>
        <w:rPr>
          <w:color w:val="231F20"/>
          <w:spacing w:val="-25"/>
          <w:w w:val="105"/>
        </w:rPr>
        <w:t> </w:t>
      </w:r>
      <w:r>
        <w:rPr>
          <w:color w:val="231F20"/>
          <w:w w:val="105"/>
        </w:rPr>
        <w:t>de</w:t>
      </w:r>
      <w:r>
        <w:rPr>
          <w:color w:val="231F20"/>
          <w:spacing w:val="-25"/>
          <w:w w:val="105"/>
        </w:rPr>
        <w:t> </w:t>
      </w:r>
      <w:r>
        <w:rPr>
          <w:color w:val="231F20"/>
          <w:w w:val="105"/>
        </w:rPr>
        <w:t>menor porcentaje</w:t>
      </w:r>
      <w:r>
        <w:rPr>
          <w:color w:val="231F20"/>
          <w:spacing w:val="-38"/>
          <w:w w:val="105"/>
        </w:rPr>
        <w:t> </w:t>
      </w:r>
      <w:r>
        <w:rPr>
          <w:color w:val="231F20"/>
          <w:w w:val="105"/>
        </w:rPr>
        <w:t>(véase</w:t>
      </w:r>
      <w:r>
        <w:rPr>
          <w:color w:val="231F20"/>
          <w:spacing w:val="-38"/>
          <w:w w:val="105"/>
        </w:rPr>
        <w:t> </w:t>
      </w:r>
      <w:r>
        <w:rPr>
          <w:color w:val="231F20"/>
          <w:w w:val="105"/>
        </w:rPr>
        <w:t>gráfica</w:t>
      </w:r>
      <w:r>
        <w:rPr>
          <w:color w:val="231F20"/>
          <w:spacing w:val="-38"/>
          <w:w w:val="105"/>
        </w:rPr>
        <w:t> </w:t>
      </w:r>
      <w:r>
        <w:rPr>
          <w:color w:val="231F20"/>
          <w:w w:val="105"/>
        </w:rPr>
        <w:t>5.1).</w:t>
      </w:r>
    </w:p>
    <w:p>
      <w:pPr>
        <w:pStyle w:val="BodyText"/>
        <w:rPr>
          <w:sz w:val="20"/>
        </w:rPr>
      </w:pPr>
    </w:p>
    <w:p>
      <w:pPr>
        <w:pStyle w:val="BodyText"/>
        <w:spacing w:before="9"/>
        <w:rPr>
          <w:sz w:val="20"/>
        </w:rPr>
      </w:pPr>
    </w:p>
    <w:p>
      <w:pPr>
        <w:pStyle w:val="Heading3"/>
      </w:pPr>
      <w:r>
        <w:rPr>
          <w:color w:val="231F20"/>
        </w:rPr>
        <w:t>Conclusiones</w:t>
      </w:r>
    </w:p>
    <w:p>
      <w:pPr>
        <w:pStyle w:val="BodyText"/>
        <w:rPr>
          <w:rFonts w:ascii="Arial"/>
          <w:b/>
          <w:sz w:val="22"/>
        </w:rPr>
      </w:pPr>
    </w:p>
    <w:p>
      <w:pPr>
        <w:pStyle w:val="BodyText"/>
        <w:spacing w:line="261" w:lineRule="auto" w:before="163"/>
        <w:ind w:left="1837" w:right="1721"/>
        <w:jc w:val="both"/>
      </w:pPr>
      <w:r>
        <w:rPr>
          <w:color w:val="231F20"/>
          <w:w w:val="105"/>
        </w:rPr>
        <w:t>Muchos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estudios</w:t>
      </w:r>
      <w:r>
        <w:rPr>
          <w:color w:val="231F20"/>
          <w:spacing w:val="-22"/>
          <w:w w:val="105"/>
        </w:rPr>
        <w:t> </w:t>
      </w:r>
      <w:r>
        <w:rPr>
          <w:color w:val="231F20"/>
          <w:w w:val="105"/>
        </w:rPr>
        <w:t>sobre</w:t>
      </w:r>
      <w:r>
        <w:rPr>
          <w:color w:val="231F20"/>
          <w:spacing w:val="-22"/>
          <w:w w:val="105"/>
        </w:rPr>
        <w:t> </w:t>
      </w:r>
      <w:r>
        <w:rPr>
          <w:color w:val="231F20"/>
          <w:w w:val="105"/>
        </w:rPr>
        <w:t>migración</w:t>
      </w:r>
      <w:r>
        <w:rPr>
          <w:color w:val="231F20"/>
          <w:spacing w:val="-22"/>
          <w:w w:val="105"/>
        </w:rPr>
        <w:t> </w:t>
      </w:r>
      <w:r>
        <w:rPr>
          <w:color w:val="231F20"/>
          <w:w w:val="105"/>
        </w:rPr>
        <w:t>de</w:t>
      </w:r>
      <w:r>
        <w:rPr>
          <w:color w:val="231F20"/>
          <w:spacing w:val="-22"/>
          <w:w w:val="105"/>
        </w:rPr>
        <w:t> </w:t>
      </w:r>
      <w:r>
        <w:rPr>
          <w:color w:val="231F20"/>
          <w:w w:val="105"/>
        </w:rPr>
        <w:t>mexicanos</w:t>
      </w:r>
      <w:r>
        <w:rPr>
          <w:color w:val="231F20"/>
          <w:spacing w:val="-22"/>
          <w:w w:val="105"/>
        </w:rPr>
        <w:t> </w:t>
      </w:r>
      <w:r>
        <w:rPr>
          <w:color w:val="231F20"/>
          <w:w w:val="105"/>
        </w:rPr>
        <w:t>a</w:t>
      </w:r>
      <w:r>
        <w:rPr>
          <w:color w:val="231F20"/>
          <w:spacing w:val="-22"/>
          <w:w w:val="105"/>
        </w:rPr>
        <w:t> </w:t>
      </w:r>
      <w:r>
        <w:rPr>
          <w:color w:val="231F20"/>
          <w:w w:val="105"/>
        </w:rPr>
        <w:t>Estados</w:t>
      </w:r>
      <w:r>
        <w:rPr>
          <w:color w:val="231F20"/>
          <w:spacing w:val="-22"/>
          <w:w w:val="105"/>
        </w:rPr>
        <w:t> </w:t>
      </w:r>
      <w:r>
        <w:rPr>
          <w:color w:val="231F20"/>
          <w:w w:val="105"/>
        </w:rPr>
        <w:t>Unidos han señalado que los hombres emigran en mayor medida en compara- ción</w:t>
      </w:r>
      <w:r>
        <w:rPr>
          <w:color w:val="231F20"/>
          <w:spacing w:val="-13"/>
          <w:w w:val="105"/>
        </w:rPr>
        <w:t> </w:t>
      </w:r>
      <w:r>
        <w:rPr>
          <w:color w:val="231F20"/>
          <w:w w:val="105"/>
        </w:rPr>
        <w:t>con</w:t>
      </w:r>
      <w:r>
        <w:rPr>
          <w:color w:val="231F20"/>
          <w:spacing w:val="-13"/>
          <w:w w:val="105"/>
        </w:rPr>
        <w:t> </w:t>
      </w:r>
      <w:r>
        <w:rPr>
          <w:color w:val="231F20"/>
          <w:w w:val="105"/>
        </w:rPr>
        <w:t>las</w:t>
      </w:r>
      <w:r>
        <w:rPr>
          <w:color w:val="231F20"/>
          <w:spacing w:val="-13"/>
          <w:w w:val="105"/>
        </w:rPr>
        <w:t> </w:t>
      </w:r>
      <w:r>
        <w:rPr>
          <w:color w:val="231F20"/>
          <w:w w:val="105"/>
        </w:rPr>
        <w:t>mujeres,</w:t>
      </w:r>
      <w:r>
        <w:rPr>
          <w:color w:val="231F20"/>
          <w:spacing w:val="-18"/>
          <w:w w:val="105"/>
        </w:rPr>
        <w:t> </w:t>
      </w:r>
      <w:r>
        <w:rPr>
          <w:color w:val="231F20"/>
          <w:w w:val="105"/>
        </w:rPr>
        <w:t>buscando</w:t>
      </w:r>
      <w:r>
        <w:rPr>
          <w:color w:val="231F20"/>
          <w:spacing w:val="-13"/>
          <w:w w:val="105"/>
        </w:rPr>
        <w:t> </w:t>
      </w:r>
      <w:r>
        <w:rPr>
          <w:color w:val="231F20"/>
          <w:w w:val="105"/>
        </w:rPr>
        <w:t>mejorar</w:t>
      </w:r>
      <w:r>
        <w:rPr>
          <w:color w:val="231F20"/>
          <w:spacing w:val="-13"/>
          <w:w w:val="105"/>
        </w:rPr>
        <w:t> </w:t>
      </w:r>
      <w:r>
        <w:rPr>
          <w:color w:val="231F20"/>
          <w:w w:val="105"/>
        </w:rPr>
        <w:t>tanto</w:t>
      </w:r>
      <w:r>
        <w:rPr>
          <w:color w:val="231F20"/>
          <w:spacing w:val="-13"/>
          <w:w w:val="105"/>
        </w:rPr>
        <w:t> </w:t>
      </w:r>
      <w:r>
        <w:rPr>
          <w:color w:val="231F20"/>
          <w:w w:val="105"/>
        </w:rPr>
        <w:t>sus</w:t>
      </w:r>
      <w:r>
        <w:rPr>
          <w:color w:val="231F20"/>
          <w:spacing w:val="-13"/>
          <w:w w:val="105"/>
        </w:rPr>
        <w:t> </w:t>
      </w:r>
      <w:r>
        <w:rPr>
          <w:color w:val="231F20"/>
          <w:w w:val="105"/>
        </w:rPr>
        <w:t>condiciones</w:t>
      </w:r>
      <w:r>
        <w:rPr>
          <w:color w:val="231F20"/>
          <w:spacing w:val="-13"/>
          <w:w w:val="105"/>
        </w:rPr>
        <w:t> </w:t>
      </w:r>
      <w:r>
        <w:rPr>
          <w:color w:val="231F20"/>
          <w:w w:val="105"/>
        </w:rPr>
        <w:t>económi- cas y nivel de vida, como las de su núcleo familiar. Dicho escenario no difiere de los resultados obtenidos en este estudio, donde se reconoce la presencia de la mujer en el flujo migratorio, pero particularmente el predominio de los hombres. </w:t>
      </w:r>
      <w:r>
        <w:rPr>
          <w:color w:val="231F20"/>
          <w:spacing w:val="-6"/>
          <w:w w:val="105"/>
        </w:rPr>
        <w:t>Por </w:t>
      </w:r>
      <w:r>
        <w:rPr>
          <w:color w:val="231F20"/>
          <w:w w:val="105"/>
        </w:rPr>
        <w:t>su edad, prevalecen las edades</w:t>
      </w:r>
      <w:r>
        <w:rPr>
          <w:color w:val="231F20"/>
          <w:spacing w:val="-21"/>
          <w:w w:val="105"/>
        </w:rPr>
        <w:t> </w:t>
      </w:r>
      <w:r>
        <w:rPr>
          <w:color w:val="231F20"/>
          <w:w w:val="105"/>
        </w:rPr>
        <w:t>plena- mente</w:t>
      </w:r>
      <w:r>
        <w:rPr>
          <w:color w:val="231F20"/>
          <w:spacing w:val="-17"/>
          <w:w w:val="105"/>
        </w:rPr>
        <w:t> </w:t>
      </w:r>
      <w:r>
        <w:rPr>
          <w:color w:val="231F20"/>
          <w:w w:val="105"/>
        </w:rPr>
        <w:t>productivas,</w:t>
      </w:r>
      <w:r>
        <w:rPr>
          <w:color w:val="231F20"/>
          <w:spacing w:val="-22"/>
          <w:w w:val="105"/>
        </w:rPr>
        <w:t> </w:t>
      </w:r>
      <w:r>
        <w:rPr>
          <w:color w:val="231F20"/>
          <w:w w:val="105"/>
        </w:rPr>
        <w:t>así</w:t>
      </w:r>
      <w:r>
        <w:rPr>
          <w:color w:val="231F20"/>
          <w:spacing w:val="-17"/>
          <w:w w:val="105"/>
        </w:rPr>
        <w:t> </w:t>
      </w:r>
      <w:r>
        <w:rPr>
          <w:color w:val="231F20"/>
          <w:w w:val="105"/>
        </w:rPr>
        <w:t>como</w:t>
      </w:r>
      <w:r>
        <w:rPr>
          <w:color w:val="231F20"/>
          <w:spacing w:val="-17"/>
          <w:w w:val="105"/>
        </w:rPr>
        <w:t> </w:t>
      </w:r>
      <w:r>
        <w:rPr>
          <w:color w:val="231F20"/>
          <w:w w:val="105"/>
        </w:rPr>
        <w:t>la</w:t>
      </w:r>
      <w:r>
        <w:rPr>
          <w:color w:val="231F20"/>
          <w:spacing w:val="-17"/>
          <w:w w:val="105"/>
        </w:rPr>
        <w:t> </w:t>
      </w:r>
      <w:r>
        <w:rPr>
          <w:color w:val="231F20"/>
          <w:w w:val="105"/>
        </w:rPr>
        <w:t>mayor</w:t>
      </w:r>
      <w:r>
        <w:rPr>
          <w:color w:val="231F20"/>
          <w:spacing w:val="-17"/>
          <w:w w:val="105"/>
        </w:rPr>
        <w:t> </w:t>
      </w:r>
      <w:r>
        <w:rPr>
          <w:color w:val="231F20"/>
          <w:w w:val="105"/>
        </w:rPr>
        <w:t>proporción</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casados.</w:t>
      </w:r>
      <w:r>
        <w:rPr>
          <w:color w:val="231F20"/>
          <w:spacing w:val="-26"/>
          <w:w w:val="105"/>
        </w:rPr>
        <w:t> </w:t>
      </w:r>
      <w:r>
        <w:rPr>
          <w:color w:val="231F20"/>
          <w:w w:val="105"/>
        </w:rPr>
        <w:t>A</w:t>
      </w:r>
      <w:r>
        <w:rPr>
          <w:color w:val="231F20"/>
          <w:spacing w:val="-20"/>
          <w:w w:val="105"/>
        </w:rPr>
        <w:t> </w:t>
      </w:r>
      <w:r>
        <w:rPr>
          <w:color w:val="231F20"/>
          <w:w w:val="105"/>
        </w:rPr>
        <w:t>nivel de la población migrante nacida en el Estado de México se observa un mismo</w:t>
      </w:r>
      <w:r>
        <w:rPr>
          <w:color w:val="231F20"/>
          <w:spacing w:val="-14"/>
          <w:w w:val="105"/>
        </w:rPr>
        <w:t> </w:t>
      </w:r>
      <w:r>
        <w:rPr>
          <w:color w:val="231F20"/>
          <w:w w:val="105"/>
        </w:rPr>
        <w:t>patrón.</w:t>
      </w:r>
    </w:p>
    <w:p>
      <w:pPr>
        <w:pStyle w:val="BodyText"/>
        <w:spacing w:line="261" w:lineRule="auto" w:before="1"/>
        <w:ind w:left="1837" w:right="1720" w:firstLine="567"/>
        <w:jc w:val="both"/>
      </w:pP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mismo</w:t>
      </w:r>
      <w:r>
        <w:rPr>
          <w:color w:val="231F20"/>
          <w:spacing w:val="-5"/>
          <w:w w:val="105"/>
        </w:rPr>
        <w:t> </w:t>
      </w:r>
      <w:r>
        <w:rPr>
          <w:color w:val="231F20"/>
          <w:w w:val="105"/>
        </w:rPr>
        <w:t>orden</w:t>
      </w:r>
      <w:r>
        <w:rPr>
          <w:color w:val="231F20"/>
          <w:spacing w:val="-5"/>
          <w:w w:val="105"/>
        </w:rPr>
        <w:t> </w:t>
      </w:r>
      <w:r>
        <w:rPr>
          <w:color w:val="231F20"/>
          <w:w w:val="105"/>
        </w:rPr>
        <w:t>de</w:t>
      </w:r>
      <w:r>
        <w:rPr>
          <w:color w:val="231F20"/>
          <w:spacing w:val="-5"/>
          <w:w w:val="105"/>
        </w:rPr>
        <w:t> </w:t>
      </w:r>
      <w:r>
        <w:rPr>
          <w:color w:val="231F20"/>
          <w:w w:val="105"/>
        </w:rPr>
        <w:t>ideas,</w:t>
      </w:r>
      <w:r>
        <w:rPr>
          <w:color w:val="231F20"/>
          <w:spacing w:val="-12"/>
          <w:w w:val="105"/>
        </w:rPr>
        <w:t> </w:t>
      </w:r>
      <w:r>
        <w:rPr>
          <w:color w:val="231F20"/>
          <w:w w:val="105"/>
        </w:rPr>
        <w:t>45%</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migrantes</w:t>
      </w:r>
      <w:r>
        <w:rPr>
          <w:color w:val="231F20"/>
          <w:spacing w:val="-5"/>
          <w:w w:val="105"/>
        </w:rPr>
        <w:t> </w:t>
      </w:r>
      <w:r>
        <w:rPr>
          <w:color w:val="231F20"/>
          <w:w w:val="105"/>
        </w:rPr>
        <w:t>en</w:t>
      </w:r>
      <w:r>
        <w:rPr>
          <w:color w:val="231F20"/>
          <w:spacing w:val="-5"/>
          <w:w w:val="105"/>
        </w:rPr>
        <w:t> </w:t>
      </w:r>
      <w:r>
        <w:rPr>
          <w:color w:val="231F20"/>
          <w:w w:val="105"/>
        </w:rPr>
        <w:t>flujo</w:t>
      </w:r>
      <w:r>
        <w:rPr>
          <w:color w:val="231F20"/>
          <w:spacing w:val="-5"/>
          <w:w w:val="105"/>
        </w:rPr>
        <w:t> </w:t>
      </w:r>
      <w:r>
        <w:rPr>
          <w:color w:val="231F20"/>
          <w:w w:val="105"/>
        </w:rPr>
        <w:t>proce- dentes</w:t>
      </w:r>
      <w:r>
        <w:rPr>
          <w:color w:val="231F20"/>
          <w:spacing w:val="-15"/>
          <w:w w:val="105"/>
        </w:rPr>
        <w:t> </w:t>
      </w:r>
      <w:r>
        <w:rPr>
          <w:color w:val="231F20"/>
          <w:w w:val="105"/>
        </w:rPr>
        <w:t>de</w:t>
      </w:r>
      <w:r>
        <w:rPr>
          <w:color w:val="231F20"/>
          <w:spacing w:val="-15"/>
          <w:w w:val="105"/>
        </w:rPr>
        <w:t> </w:t>
      </w:r>
      <w:r>
        <w:rPr>
          <w:color w:val="231F20"/>
          <w:w w:val="105"/>
        </w:rPr>
        <w:t>Estados</w:t>
      </w:r>
      <w:r>
        <w:rPr>
          <w:color w:val="231F20"/>
          <w:spacing w:val="-15"/>
          <w:w w:val="105"/>
        </w:rPr>
        <w:t> </w:t>
      </w:r>
      <w:r>
        <w:rPr>
          <w:color w:val="231F20"/>
          <w:w w:val="105"/>
        </w:rPr>
        <w:t>Unidos</w:t>
      </w:r>
      <w:r>
        <w:rPr>
          <w:color w:val="231F20"/>
          <w:spacing w:val="-15"/>
          <w:w w:val="105"/>
        </w:rPr>
        <w:t> </w:t>
      </w:r>
      <w:r>
        <w:rPr>
          <w:color w:val="231F20"/>
          <w:w w:val="105"/>
        </w:rPr>
        <w:t>no</w:t>
      </w:r>
      <w:r>
        <w:rPr>
          <w:color w:val="231F20"/>
          <w:spacing w:val="-15"/>
          <w:w w:val="105"/>
        </w:rPr>
        <w:t> </w:t>
      </w:r>
      <w:r>
        <w:rPr>
          <w:color w:val="231F20"/>
          <w:w w:val="105"/>
        </w:rPr>
        <w:t>contaban</w:t>
      </w:r>
      <w:r>
        <w:rPr>
          <w:color w:val="231F20"/>
          <w:spacing w:val="-15"/>
          <w:w w:val="105"/>
        </w:rPr>
        <w:t> </w:t>
      </w:r>
      <w:r>
        <w:rPr>
          <w:color w:val="231F20"/>
          <w:w w:val="105"/>
        </w:rPr>
        <w:t>con</w:t>
      </w:r>
      <w:r>
        <w:rPr>
          <w:color w:val="231F20"/>
          <w:spacing w:val="-15"/>
          <w:w w:val="105"/>
        </w:rPr>
        <w:t> </w:t>
      </w:r>
      <w:r>
        <w:rPr>
          <w:color w:val="231F20"/>
          <w:w w:val="105"/>
        </w:rPr>
        <w:t>algún</w:t>
      </w:r>
      <w:r>
        <w:rPr>
          <w:color w:val="231F20"/>
          <w:spacing w:val="-15"/>
          <w:w w:val="105"/>
        </w:rPr>
        <w:t> </w:t>
      </w:r>
      <w:r>
        <w:rPr>
          <w:color w:val="231F20"/>
          <w:w w:val="105"/>
        </w:rPr>
        <w:t>tipo</w:t>
      </w:r>
      <w:r>
        <w:rPr>
          <w:color w:val="231F20"/>
          <w:spacing w:val="-15"/>
          <w:w w:val="105"/>
        </w:rPr>
        <w:t> </w:t>
      </w:r>
      <w:r>
        <w:rPr>
          <w:color w:val="231F20"/>
          <w:w w:val="105"/>
        </w:rPr>
        <w:t>de</w:t>
      </w:r>
      <w:r>
        <w:rPr>
          <w:color w:val="231F20"/>
          <w:spacing w:val="-15"/>
          <w:w w:val="105"/>
        </w:rPr>
        <w:t> </w:t>
      </w:r>
      <w:r>
        <w:rPr>
          <w:color w:val="231F20"/>
          <w:w w:val="105"/>
        </w:rPr>
        <w:t>seguro</w:t>
      </w:r>
      <w:r>
        <w:rPr>
          <w:color w:val="231F20"/>
          <w:spacing w:val="-15"/>
          <w:w w:val="105"/>
        </w:rPr>
        <w:t> </w:t>
      </w:r>
      <w:r>
        <w:rPr>
          <w:color w:val="231F20"/>
          <w:w w:val="105"/>
        </w:rPr>
        <w:t>médico en ese país. Sin embargo, es importante destacar que este porcentaje disminuyó</w:t>
      </w:r>
      <w:r>
        <w:rPr>
          <w:color w:val="231F20"/>
          <w:spacing w:val="-16"/>
          <w:w w:val="105"/>
        </w:rPr>
        <w:t> </w:t>
      </w:r>
      <w:r>
        <w:rPr>
          <w:color w:val="231F20"/>
          <w:w w:val="105"/>
        </w:rPr>
        <w:t>en</w:t>
      </w:r>
      <w:r>
        <w:rPr>
          <w:color w:val="231F20"/>
          <w:spacing w:val="-16"/>
          <w:w w:val="105"/>
        </w:rPr>
        <w:t> </w:t>
      </w:r>
      <w:r>
        <w:rPr>
          <w:color w:val="231F20"/>
          <w:w w:val="105"/>
        </w:rPr>
        <w:t>comparación</w:t>
      </w:r>
      <w:r>
        <w:rPr>
          <w:color w:val="231F20"/>
          <w:spacing w:val="-16"/>
          <w:w w:val="105"/>
        </w:rPr>
        <w:t> </w:t>
      </w:r>
      <w:r>
        <w:rPr>
          <w:color w:val="231F20"/>
          <w:w w:val="105"/>
        </w:rPr>
        <w:t>con</w:t>
      </w:r>
      <w:r>
        <w:rPr>
          <w:color w:val="231F20"/>
          <w:spacing w:val="-16"/>
          <w:w w:val="105"/>
        </w:rPr>
        <w:t> </w:t>
      </w:r>
      <w:r>
        <w:rPr>
          <w:color w:val="231F20"/>
          <w:w w:val="105"/>
        </w:rPr>
        <w:t>lo</w:t>
      </w:r>
      <w:r>
        <w:rPr>
          <w:color w:val="231F20"/>
          <w:spacing w:val="-16"/>
          <w:w w:val="105"/>
        </w:rPr>
        <w:t> </w:t>
      </w:r>
      <w:r>
        <w:rPr>
          <w:color w:val="231F20"/>
          <w:w w:val="105"/>
        </w:rPr>
        <w:t>obtenido</w:t>
      </w:r>
      <w:r>
        <w:rPr>
          <w:color w:val="231F20"/>
          <w:spacing w:val="-16"/>
          <w:w w:val="105"/>
        </w:rPr>
        <w:t> </w:t>
      </w:r>
      <w:r>
        <w:rPr>
          <w:color w:val="231F20"/>
          <w:w w:val="105"/>
        </w:rPr>
        <w:t>por</w:t>
      </w:r>
      <w:r>
        <w:rPr>
          <w:color w:val="231F20"/>
          <w:spacing w:val="-16"/>
          <w:w w:val="105"/>
        </w:rPr>
        <w:t> </w:t>
      </w:r>
      <w:r>
        <w:rPr>
          <w:color w:val="231F20"/>
          <w:w w:val="105"/>
        </w:rPr>
        <w:t>esta</w:t>
      </w:r>
      <w:r>
        <w:rPr>
          <w:color w:val="231F20"/>
          <w:spacing w:val="-16"/>
          <w:w w:val="105"/>
        </w:rPr>
        <w:t> </w:t>
      </w:r>
      <w:r>
        <w:rPr>
          <w:color w:val="231F20"/>
          <w:w w:val="105"/>
        </w:rPr>
        <w:t>misma</w:t>
      </w:r>
      <w:r>
        <w:rPr>
          <w:color w:val="231F20"/>
          <w:spacing w:val="-16"/>
          <w:w w:val="105"/>
        </w:rPr>
        <w:t> </w:t>
      </w:r>
      <w:r>
        <w:rPr>
          <w:color w:val="231F20"/>
          <w:w w:val="105"/>
        </w:rPr>
        <w:t>encuesta</w:t>
      </w:r>
      <w:r>
        <w:rPr>
          <w:color w:val="231F20"/>
          <w:spacing w:val="-16"/>
          <w:w w:val="105"/>
        </w:rPr>
        <w:t> </w:t>
      </w:r>
      <w:r>
        <w:rPr>
          <w:color w:val="231F20"/>
          <w:w w:val="105"/>
        </w:rPr>
        <w:t>en- tre el año 2004 y 2005, cuya cifra alcanzó 52.7%, según los resultados del</w:t>
      </w:r>
      <w:r>
        <w:rPr>
          <w:color w:val="231F20"/>
          <w:spacing w:val="-21"/>
          <w:w w:val="105"/>
        </w:rPr>
        <w:t> </w:t>
      </w:r>
      <w:r>
        <w:rPr>
          <w:color w:val="231F20"/>
          <w:w w:val="105"/>
        </w:rPr>
        <w:t>estudio</w:t>
      </w:r>
      <w:r>
        <w:rPr>
          <w:color w:val="231F20"/>
          <w:spacing w:val="-21"/>
          <w:w w:val="105"/>
        </w:rPr>
        <w:t> </w:t>
      </w:r>
      <w:r>
        <w:rPr>
          <w:color w:val="231F20"/>
          <w:w w:val="105"/>
        </w:rPr>
        <w:t>de</w:t>
      </w:r>
      <w:r>
        <w:rPr>
          <w:color w:val="231F20"/>
          <w:spacing w:val="-21"/>
          <w:w w:val="105"/>
        </w:rPr>
        <w:t> </w:t>
      </w:r>
      <w:r>
        <w:rPr>
          <w:color w:val="231F20"/>
          <w:w w:val="105"/>
        </w:rPr>
        <w:t>Macías</w:t>
      </w:r>
      <w:r>
        <w:rPr>
          <w:color w:val="231F20"/>
          <w:spacing w:val="-21"/>
          <w:w w:val="105"/>
        </w:rPr>
        <w:t> </w:t>
      </w:r>
      <w:r>
        <w:rPr>
          <w:rFonts w:ascii="Arial" w:hAnsi="Arial"/>
          <w:i/>
          <w:color w:val="231F20"/>
          <w:w w:val="105"/>
        </w:rPr>
        <w:t>et</w:t>
      </w:r>
      <w:r>
        <w:rPr>
          <w:rFonts w:ascii="Arial" w:hAnsi="Arial"/>
          <w:i/>
          <w:color w:val="231F20"/>
          <w:spacing w:val="-24"/>
          <w:w w:val="105"/>
        </w:rPr>
        <w:t> </w:t>
      </w:r>
      <w:r>
        <w:rPr>
          <w:rFonts w:ascii="Arial" w:hAnsi="Arial"/>
          <w:i/>
          <w:color w:val="231F20"/>
          <w:w w:val="105"/>
        </w:rPr>
        <w:t>al.</w:t>
      </w:r>
      <w:r>
        <w:rPr>
          <w:rFonts w:ascii="Arial" w:hAnsi="Arial"/>
          <w:i/>
          <w:color w:val="231F20"/>
          <w:spacing w:val="-29"/>
          <w:w w:val="105"/>
        </w:rPr>
        <w:t> </w:t>
      </w:r>
      <w:r>
        <w:rPr>
          <w:color w:val="231F20"/>
          <w:w w:val="105"/>
        </w:rPr>
        <w:t>(2009),</w:t>
      </w:r>
      <w:r>
        <w:rPr>
          <w:color w:val="231F20"/>
          <w:spacing w:val="-26"/>
          <w:w w:val="105"/>
        </w:rPr>
        <w:t> </w:t>
      </w:r>
      <w:r>
        <w:rPr>
          <w:color w:val="231F20"/>
          <w:w w:val="105"/>
        </w:rPr>
        <w:t>donde</w:t>
      </w:r>
      <w:r>
        <w:rPr>
          <w:color w:val="231F20"/>
          <w:spacing w:val="-21"/>
          <w:w w:val="105"/>
        </w:rPr>
        <w:t> </w:t>
      </w:r>
      <w:r>
        <w:rPr>
          <w:color w:val="231F20"/>
          <w:w w:val="105"/>
        </w:rPr>
        <w:t>se</w:t>
      </w:r>
      <w:r>
        <w:rPr>
          <w:color w:val="231F20"/>
          <w:spacing w:val="-21"/>
          <w:w w:val="105"/>
        </w:rPr>
        <w:t> </w:t>
      </w:r>
      <w:r>
        <w:rPr>
          <w:color w:val="231F20"/>
          <w:w w:val="105"/>
        </w:rPr>
        <w:t>analizan</w:t>
      </w:r>
      <w:r>
        <w:rPr>
          <w:color w:val="231F20"/>
          <w:spacing w:val="-21"/>
          <w:w w:val="105"/>
        </w:rPr>
        <w:t> </w:t>
      </w:r>
      <w:r>
        <w:rPr>
          <w:color w:val="231F20"/>
          <w:w w:val="105"/>
        </w:rPr>
        <w:t>los</w:t>
      </w:r>
      <w:r>
        <w:rPr>
          <w:color w:val="231F20"/>
          <w:spacing w:val="-21"/>
          <w:w w:val="105"/>
        </w:rPr>
        <w:t> </w:t>
      </w:r>
      <w:r>
        <w:rPr>
          <w:color w:val="231F20"/>
          <w:w w:val="105"/>
        </w:rPr>
        <w:t>servicios</w:t>
      </w:r>
      <w:r>
        <w:rPr>
          <w:color w:val="231F20"/>
          <w:spacing w:val="-21"/>
          <w:w w:val="105"/>
        </w:rPr>
        <w:t> </w:t>
      </w:r>
      <w:r>
        <w:rPr>
          <w:color w:val="231F20"/>
          <w:w w:val="105"/>
        </w:rPr>
        <w:t>de</w:t>
      </w:r>
      <w:r>
        <w:rPr>
          <w:color w:val="231F20"/>
          <w:spacing w:val="-21"/>
          <w:w w:val="105"/>
        </w:rPr>
        <w:t> </w:t>
      </w:r>
      <w:r>
        <w:rPr>
          <w:color w:val="231F20"/>
          <w:w w:val="105"/>
        </w:rPr>
        <w:t>sa- lud</w:t>
      </w:r>
      <w:r>
        <w:rPr>
          <w:color w:val="231F20"/>
          <w:spacing w:val="-14"/>
          <w:w w:val="105"/>
        </w:rPr>
        <w:t> </w:t>
      </w:r>
      <w:r>
        <w:rPr>
          <w:color w:val="231F20"/>
          <w:w w:val="105"/>
        </w:rPr>
        <w:t>de</w:t>
      </w:r>
      <w:r>
        <w:rPr>
          <w:color w:val="231F20"/>
          <w:spacing w:val="-14"/>
          <w:w w:val="105"/>
        </w:rPr>
        <w:t> </w:t>
      </w:r>
      <w:r>
        <w:rPr>
          <w:color w:val="231F20"/>
          <w:w w:val="105"/>
        </w:rPr>
        <w:t>losigrantes</w:t>
      </w:r>
      <w:r>
        <w:rPr>
          <w:color w:val="231F20"/>
          <w:spacing w:val="-14"/>
          <w:w w:val="105"/>
        </w:rPr>
        <w:t> </w:t>
      </w:r>
      <w:r>
        <w:rPr>
          <w:color w:val="231F20"/>
          <w:w w:val="105"/>
        </w:rPr>
        <w:t>mexicanos.</w:t>
      </w:r>
      <w:r>
        <w:rPr>
          <w:color w:val="231F20"/>
          <w:spacing w:val="-23"/>
          <w:w w:val="105"/>
        </w:rPr>
        <w:t> </w:t>
      </w:r>
      <w:r>
        <w:rPr>
          <w:color w:val="231F20"/>
          <w:w w:val="105"/>
        </w:rPr>
        <w:t>A</w:t>
      </w:r>
      <w:r>
        <w:rPr>
          <w:color w:val="231F20"/>
          <w:spacing w:val="-17"/>
          <w:w w:val="105"/>
        </w:rPr>
        <w:t> </w:t>
      </w:r>
      <w:r>
        <w:rPr>
          <w:color w:val="231F20"/>
          <w:w w:val="105"/>
        </w:rPr>
        <w:t>nivel</w:t>
      </w:r>
      <w:r>
        <w:rPr>
          <w:color w:val="231F20"/>
          <w:spacing w:val="-14"/>
          <w:w w:val="105"/>
        </w:rPr>
        <w:t> </w:t>
      </w:r>
      <w:r>
        <w:rPr>
          <w:color w:val="231F20"/>
          <w:w w:val="105"/>
        </w:rPr>
        <w:t>de</w:t>
      </w:r>
      <w:r>
        <w:rPr>
          <w:color w:val="231F20"/>
          <w:spacing w:val="-14"/>
          <w:w w:val="105"/>
        </w:rPr>
        <w:t> </w:t>
      </w:r>
      <w:r>
        <w:rPr>
          <w:color w:val="231F20"/>
          <w:w w:val="105"/>
        </w:rPr>
        <w:t>entidad</w:t>
      </w:r>
      <w:r>
        <w:rPr>
          <w:color w:val="231F20"/>
          <w:spacing w:val="-14"/>
          <w:w w:val="105"/>
        </w:rPr>
        <w:t> </w:t>
      </w:r>
      <w:r>
        <w:rPr>
          <w:color w:val="231F20"/>
          <w:w w:val="105"/>
        </w:rPr>
        <w:t>federativa,</w:t>
      </w:r>
      <w:r>
        <w:rPr>
          <w:color w:val="231F20"/>
          <w:spacing w:val="-20"/>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Estado de México, la proporción de migrantes sin algún seguro médico fue de 52.7%,</w:t>
      </w:r>
      <w:r>
        <w:rPr>
          <w:color w:val="231F20"/>
          <w:spacing w:val="-23"/>
          <w:w w:val="105"/>
        </w:rPr>
        <w:t> </w:t>
      </w:r>
      <w:r>
        <w:rPr>
          <w:color w:val="231F20"/>
          <w:w w:val="105"/>
        </w:rPr>
        <w:t>cifra</w:t>
      </w:r>
      <w:r>
        <w:rPr>
          <w:color w:val="231F20"/>
          <w:spacing w:val="-17"/>
          <w:w w:val="105"/>
        </w:rPr>
        <w:t> </w:t>
      </w:r>
      <w:r>
        <w:rPr>
          <w:color w:val="231F20"/>
          <w:w w:val="105"/>
        </w:rPr>
        <w:t>muy</w:t>
      </w:r>
      <w:r>
        <w:rPr>
          <w:color w:val="231F20"/>
          <w:spacing w:val="-17"/>
          <w:w w:val="105"/>
        </w:rPr>
        <w:t> </w:t>
      </w:r>
      <w:r>
        <w:rPr>
          <w:color w:val="231F20"/>
          <w:w w:val="105"/>
        </w:rPr>
        <w:t>similar</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obtenida</w:t>
      </w:r>
      <w:r>
        <w:rPr>
          <w:color w:val="231F20"/>
          <w:spacing w:val="-17"/>
          <w:w w:val="105"/>
        </w:rPr>
        <w:t> </w:t>
      </w:r>
      <w:r>
        <w:rPr>
          <w:color w:val="231F20"/>
          <w:w w:val="105"/>
        </w:rPr>
        <w:t>entre</w:t>
      </w:r>
      <w:r>
        <w:rPr>
          <w:color w:val="231F20"/>
          <w:spacing w:val="-17"/>
          <w:w w:val="105"/>
        </w:rPr>
        <w:t> </w:t>
      </w:r>
      <w:r>
        <w:rPr>
          <w:color w:val="231F20"/>
          <w:w w:val="105"/>
        </w:rPr>
        <w:t>2004</w:t>
      </w:r>
      <w:r>
        <w:rPr>
          <w:color w:val="231F20"/>
          <w:spacing w:val="-17"/>
          <w:w w:val="105"/>
        </w:rPr>
        <w:t> </w:t>
      </w:r>
      <w:r>
        <w:rPr>
          <w:color w:val="231F20"/>
          <w:w w:val="105"/>
        </w:rPr>
        <w:t>y</w:t>
      </w:r>
      <w:r>
        <w:rPr>
          <w:color w:val="231F20"/>
          <w:spacing w:val="-17"/>
          <w:w w:val="105"/>
        </w:rPr>
        <w:t> </w:t>
      </w:r>
      <w:r>
        <w:rPr>
          <w:color w:val="231F20"/>
          <w:w w:val="105"/>
        </w:rPr>
        <w:t>2005</w:t>
      </w:r>
      <w:r>
        <w:rPr>
          <w:color w:val="231F20"/>
          <w:spacing w:val="-17"/>
          <w:w w:val="105"/>
        </w:rPr>
        <w:t> </w:t>
      </w:r>
      <w:r>
        <w:rPr>
          <w:color w:val="231F20"/>
          <w:w w:val="105"/>
        </w:rPr>
        <w:t>para</w:t>
      </w:r>
      <w:r>
        <w:rPr>
          <w:color w:val="231F20"/>
          <w:spacing w:val="-17"/>
          <w:w w:val="105"/>
        </w:rPr>
        <w:t> </w:t>
      </w:r>
      <w:r>
        <w:rPr>
          <w:color w:val="231F20"/>
          <w:w w:val="105"/>
        </w:rPr>
        <w:t>los</w:t>
      </w:r>
      <w:r>
        <w:rPr>
          <w:color w:val="231F20"/>
          <w:spacing w:val="-17"/>
          <w:w w:val="105"/>
        </w:rPr>
        <w:t> </w:t>
      </w:r>
      <w:r>
        <w:rPr>
          <w:color w:val="231F20"/>
          <w:w w:val="105"/>
        </w:rPr>
        <w:t>migran- tes</w:t>
      </w:r>
      <w:r>
        <w:rPr>
          <w:color w:val="231F20"/>
          <w:spacing w:val="-14"/>
          <w:w w:val="105"/>
        </w:rPr>
        <w:t> </w:t>
      </w:r>
      <w:r>
        <w:rPr>
          <w:color w:val="231F20"/>
          <w:w w:val="105"/>
        </w:rPr>
        <w:t>procedentes</w:t>
      </w:r>
      <w:r>
        <w:rPr>
          <w:color w:val="231F20"/>
          <w:spacing w:val="-14"/>
          <w:w w:val="105"/>
        </w:rPr>
        <w:t> </w:t>
      </w:r>
      <w:r>
        <w:rPr>
          <w:color w:val="231F20"/>
          <w:w w:val="105"/>
        </w:rPr>
        <w:t>de</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oriundos</w:t>
      </w:r>
      <w:r>
        <w:rPr>
          <w:color w:val="231F20"/>
          <w:spacing w:val="-14"/>
          <w:w w:val="105"/>
        </w:rPr>
        <w:t> </w:t>
      </w:r>
      <w:r>
        <w:rPr>
          <w:color w:val="231F20"/>
          <w:w w:val="105"/>
        </w:rPr>
        <w:t>de</w:t>
      </w:r>
      <w:r>
        <w:rPr>
          <w:color w:val="231F20"/>
          <w:spacing w:val="-14"/>
          <w:w w:val="105"/>
        </w:rPr>
        <w:t> </w:t>
      </w:r>
      <w:r>
        <w:rPr>
          <w:color w:val="231F20"/>
          <w:w w:val="105"/>
        </w:rPr>
        <w:t>Guanajuato,</w:t>
      </w:r>
      <w:r>
        <w:rPr>
          <w:color w:val="231F20"/>
          <w:spacing w:val="-19"/>
          <w:w w:val="105"/>
        </w:rPr>
        <w:t> </w:t>
      </w:r>
      <w:r>
        <w:rPr>
          <w:color w:val="231F20"/>
          <w:w w:val="105"/>
        </w:rPr>
        <w:t>con</w:t>
      </w:r>
      <w:r>
        <w:rPr>
          <w:color w:val="231F20"/>
          <w:spacing w:val="-14"/>
          <w:w w:val="105"/>
        </w:rPr>
        <w:t> </w:t>
      </w:r>
      <w:r>
        <w:rPr>
          <w:color w:val="231F20"/>
          <w:w w:val="105"/>
        </w:rPr>
        <w:t>48.7% </w:t>
      </w:r>
      <w:r>
        <w:rPr>
          <w:color w:val="231F20"/>
        </w:rPr>
        <w:t>(Rangel y Macías,</w:t>
      </w:r>
      <w:r>
        <w:rPr>
          <w:color w:val="231F20"/>
          <w:spacing w:val="-32"/>
        </w:rPr>
        <w:t> </w:t>
      </w:r>
      <w:r>
        <w:rPr>
          <w:color w:val="231F20"/>
        </w:rPr>
        <w:t>2007).</w:t>
      </w:r>
    </w:p>
    <w:p>
      <w:pPr>
        <w:pStyle w:val="BodyText"/>
        <w:spacing w:line="261" w:lineRule="auto" w:before="1"/>
        <w:ind w:left="1837" w:right="1721" w:firstLine="567"/>
        <w:jc w:val="both"/>
      </w:pPr>
      <w:r>
        <w:rPr>
          <w:color w:val="231F20"/>
          <w:w w:val="105"/>
        </w:rPr>
        <w:t>Las anteriores cifras no difieren en gran medida con los resulta- dos de un estudio de corte cualitativo realizado por Gonzáles y colabo- radores</w:t>
      </w:r>
      <w:r>
        <w:rPr>
          <w:color w:val="231F20"/>
          <w:spacing w:val="-5"/>
          <w:w w:val="105"/>
        </w:rPr>
        <w:t> </w:t>
      </w:r>
      <w:r>
        <w:rPr>
          <w:color w:val="231F20"/>
          <w:w w:val="105"/>
        </w:rPr>
        <w:t>en</w:t>
      </w:r>
      <w:r>
        <w:rPr>
          <w:color w:val="231F20"/>
          <w:spacing w:val="-5"/>
          <w:w w:val="105"/>
        </w:rPr>
        <w:t> </w:t>
      </w:r>
      <w:r>
        <w:rPr>
          <w:color w:val="231F20"/>
          <w:w w:val="105"/>
        </w:rPr>
        <w:t>2010,</w:t>
      </w:r>
      <w:r>
        <w:rPr>
          <w:color w:val="231F20"/>
          <w:spacing w:val="-10"/>
          <w:w w:val="105"/>
        </w:rPr>
        <w:t> </w:t>
      </w:r>
      <w:r>
        <w:rPr>
          <w:color w:val="231F20"/>
          <w:w w:val="105"/>
        </w:rPr>
        <w:t>donde</w:t>
      </w:r>
      <w:r>
        <w:rPr>
          <w:color w:val="231F20"/>
          <w:spacing w:val="-5"/>
          <w:w w:val="105"/>
        </w:rPr>
        <w:t> </w:t>
      </w:r>
      <w:r>
        <w:rPr>
          <w:color w:val="231F20"/>
          <w:w w:val="105"/>
        </w:rPr>
        <w:t>se</w:t>
      </w:r>
      <w:r>
        <w:rPr>
          <w:color w:val="231F20"/>
          <w:spacing w:val="-5"/>
          <w:w w:val="105"/>
        </w:rPr>
        <w:t> </w:t>
      </w:r>
      <w:r>
        <w:rPr>
          <w:color w:val="231F20"/>
          <w:w w:val="105"/>
        </w:rPr>
        <w:t>analiza</w:t>
      </w:r>
      <w:r>
        <w:rPr>
          <w:color w:val="231F20"/>
          <w:spacing w:val="-5"/>
          <w:w w:val="105"/>
        </w:rPr>
        <w:t> </w:t>
      </w:r>
      <w:r>
        <w:rPr>
          <w:color w:val="231F20"/>
          <w:w w:val="105"/>
        </w:rPr>
        <w:t>el</w:t>
      </w:r>
      <w:r>
        <w:rPr>
          <w:color w:val="231F20"/>
          <w:spacing w:val="-5"/>
          <w:w w:val="105"/>
        </w:rPr>
        <w:t> </w:t>
      </w:r>
      <w:r>
        <w:rPr>
          <w:color w:val="231F20"/>
          <w:w w:val="105"/>
        </w:rPr>
        <w:t>uso</w:t>
      </w:r>
      <w:r>
        <w:rPr>
          <w:color w:val="231F20"/>
          <w:spacing w:val="-5"/>
          <w:w w:val="105"/>
        </w:rPr>
        <w:t> </w:t>
      </w:r>
      <w:r>
        <w:rPr>
          <w:color w:val="231F20"/>
          <w:w w:val="105"/>
        </w:rPr>
        <w:t>transnacional</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servicios de</w:t>
      </w:r>
      <w:r>
        <w:rPr>
          <w:color w:val="231F20"/>
          <w:spacing w:val="-14"/>
          <w:w w:val="105"/>
        </w:rPr>
        <w:t> </w:t>
      </w:r>
      <w:r>
        <w:rPr>
          <w:color w:val="231F20"/>
          <w:w w:val="105"/>
        </w:rPr>
        <w:t>salud</w:t>
      </w:r>
      <w:r>
        <w:rPr>
          <w:color w:val="231F20"/>
          <w:spacing w:val="-14"/>
          <w:w w:val="105"/>
        </w:rPr>
        <w:t> </w:t>
      </w:r>
      <w:r>
        <w:rPr>
          <w:color w:val="231F20"/>
          <w:w w:val="105"/>
        </w:rPr>
        <w:t>por</w:t>
      </w:r>
      <w:r>
        <w:rPr>
          <w:color w:val="231F20"/>
          <w:spacing w:val="-14"/>
          <w:w w:val="105"/>
        </w:rPr>
        <w:t> </w:t>
      </w:r>
      <w:r>
        <w:rPr>
          <w:color w:val="231F20"/>
          <w:w w:val="105"/>
        </w:rPr>
        <w:t>parte</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mexicanos</w:t>
      </w:r>
      <w:r>
        <w:rPr>
          <w:color w:val="231F20"/>
          <w:spacing w:val="-14"/>
          <w:w w:val="105"/>
        </w:rPr>
        <w:t> </w:t>
      </w:r>
      <w:r>
        <w:rPr>
          <w:color w:val="231F20"/>
          <w:w w:val="105"/>
        </w:rPr>
        <w:t>en</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9"/>
          <w:w w:val="105"/>
        </w:rPr>
        <w:t> </w:t>
      </w:r>
      <w:r>
        <w:rPr>
          <w:color w:val="231F20"/>
          <w:w w:val="105"/>
        </w:rPr>
        <w:t>pues en</w:t>
      </w:r>
      <w:r>
        <w:rPr>
          <w:color w:val="231F20"/>
          <w:spacing w:val="-10"/>
          <w:w w:val="105"/>
        </w:rPr>
        <w:t> </w:t>
      </w:r>
      <w:r>
        <w:rPr>
          <w:color w:val="231F20"/>
          <w:w w:val="105"/>
        </w:rPr>
        <w:t>ese</w:t>
      </w:r>
      <w:r>
        <w:rPr>
          <w:color w:val="231F20"/>
          <w:spacing w:val="-10"/>
          <w:w w:val="105"/>
        </w:rPr>
        <w:t> </w:t>
      </w:r>
      <w:r>
        <w:rPr>
          <w:color w:val="231F20"/>
          <w:w w:val="105"/>
        </w:rPr>
        <w:t>caso</w:t>
      </w:r>
      <w:r>
        <w:rPr>
          <w:color w:val="231F20"/>
          <w:spacing w:val="-10"/>
          <w:w w:val="105"/>
        </w:rPr>
        <w:t> </w:t>
      </w:r>
      <w:r>
        <w:rPr>
          <w:color w:val="231F20"/>
          <w:w w:val="105"/>
        </w:rPr>
        <w:t>se</w:t>
      </w:r>
      <w:r>
        <w:rPr>
          <w:color w:val="231F20"/>
          <w:spacing w:val="-10"/>
          <w:w w:val="105"/>
        </w:rPr>
        <w:t> </w:t>
      </w:r>
      <w:r>
        <w:rPr>
          <w:color w:val="231F20"/>
          <w:w w:val="105"/>
        </w:rPr>
        <w:t>estima</w:t>
      </w:r>
      <w:r>
        <w:rPr>
          <w:color w:val="231F20"/>
          <w:spacing w:val="-10"/>
          <w:w w:val="105"/>
        </w:rPr>
        <w:t> </w:t>
      </w:r>
      <w:r>
        <w:rPr>
          <w:color w:val="231F20"/>
          <w:w w:val="105"/>
        </w:rPr>
        <w:t>que</w:t>
      </w:r>
      <w:r>
        <w:rPr>
          <w:color w:val="231F20"/>
          <w:spacing w:val="-10"/>
          <w:w w:val="105"/>
        </w:rPr>
        <w:t> </w:t>
      </w:r>
      <w:r>
        <w:rPr>
          <w:color w:val="231F20"/>
          <w:w w:val="105"/>
        </w:rPr>
        <w:t>54.6%</w:t>
      </w:r>
      <w:r>
        <w:rPr>
          <w:color w:val="231F20"/>
          <w:spacing w:val="-10"/>
          <w:w w:val="105"/>
        </w:rPr>
        <w:t> </w:t>
      </w:r>
      <w:r>
        <w:rPr>
          <w:color w:val="231F20"/>
          <w:w w:val="105"/>
        </w:rPr>
        <w:t>carecía</w:t>
      </w:r>
      <w:r>
        <w:rPr>
          <w:color w:val="231F20"/>
          <w:spacing w:val="-10"/>
          <w:w w:val="105"/>
        </w:rPr>
        <w:t> </w:t>
      </w:r>
      <w:r>
        <w:rPr>
          <w:color w:val="231F20"/>
          <w:w w:val="105"/>
        </w:rPr>
        <w:t>de</w:t>
      </w:r>
      <w:r>
        <w:rPr>
          <w:color w:val="231F20"/>
          <w:spacing w:val="-10"/>
          <w:w w:val="105"/>
        </w:rPr>
        <w:t> </w:t>
      </w:r>
      <w:r>
        <w:rPr>
          <w:color w:val="231F20"/>
          <w:w w:val="105"/>
        </w:rPr>
        <w:t>seguro</w:t>
      </w:r>
      <w:r>
        <w:rPr>
          <w:color w:val="231F20"/>
          <w:spacing w:val="-10"/>
          <w:w w:val="105"/>
        </w:rPr>
        <w:t> </w:t>
      </w:r>
      <w:r>
        <w:rPr>
          <w:color w:val="231F20"/>
          <w:w w:val="105"/>
        </w:rPr>
        <w:t>de</w:t>
      </w:r>
      <w:r>
        <w:rPr>
          <w:color w:val="231F20"/>
          <w:spacing w:val="-10"/>
          <w:w w:val="105"/>
        </w:rPr>
        <w:t> </w:t>
      </w:r>
      <w:r>
        <w:rPr>
          <w:color w:val="231F20"/>
          <w:w w:val="105"/>
        </w:rPr>
        <w:t>salud</w:t>
      </w:r>
      <w:r>
        <w:rPr>
          <w:color w:val="231F20"/>
          <w:spacing w:val="-10"/>
          <w:w w:val="105"/>
        </w:rPr>
        <w:t> </w:t>
      </w:r>
      <w:r>
        <w:rPr>
          <w:color w:val="231F20"/>
          <w:w w:val="105"/>
        </w:rPr>
        <w:t>en</w:t>
      </w:r>
      <w:r>
        <w:rPr>
          <w:color w:val="231F20"/>
          <w:spacing w:val="-10"/>
          <w:w w:val="105"/>
        </w:rPr>
        <w:t> </w:t>
      </w:r>
      <w:r>
        <w:rPr>
          <w:color w:val="231F20"/>
          <w:w w:val="105"/>
        </w:rPr>
        <w:t>tal</w:t>
      </w:r>
      <w:r>
        <w:rPr>
          <w:color w:val="231F20"/>
          <w:spacing w:val="-10"/>
          <w:w w:val="105"/>
        </w:rPr>
        <w:t> </w:t>
      </w:r>
      <w:r>
        <w:rPr>
          <w:color w:val="231F20"/>
          <w:w w:val="105"/>
        </w:rPr>
        <w:t>país (González</w:t>
      </w:r>
      <w:r>
        <w:rPr>
          <w:color w:val="231F20"/>
          <w:spacing w:val="-36"/>
          <w:w w:val="105"/>
        </w:rPr>
        <w:t> </w:t>
      </w:r>
      <w:r>
        <w:rPr>
          <w:rFonts w:ascii="Arial" w:hAnsi="Arial"/>
          <w:i/>
          <w:color w:val="231F20"/>
          <w:w w:val="105"/>
        </w:rPr>
        <w:t>et</w:t>
      </w:r>
      <w:r>
        <w:rPr>
          <w:rFonts w:ascii="Arial" w:hAnsi="Arial"/>
          <w:i/>
          <w:color w:val="231F20"/>
          <w:spacing w:val="-38"/>
          <w:w w:val="105"/>
        </w:rPr>
        <w:t> </w:t>
      </w:r>
      <w:r>
        <w:rPr>
          <w:rFonts w:ascii="Arial" w:hAnsi="Arial"/>
          <w:i/>
          <w:color w:val="231F20"/>
          <w:w w:val="105"/>
        </w:rPr>
        <w:t>al.,</w:t>
      </w:r>
      <w:r>
        <w:rPr>
          <w:rFonts w:ascii="Arial" w:hAnsi="Arial"/>
          <w:i/>
          <w:color w:val="231F20"/>
          <w:spacing w:val="-42"/>
          <w:w w:val="105"/>
        </w:rPr>
        <w:t> </w:t>
      </w:r>
      <w:r>
        <w:rPr>
          <w:color w:val="231F20"/>
          <w:w w:val="105"/>
        </w:rPr>
        <w:t>2013);</w:t>
      </w:r>
      <w:r>
        <w:rPr>
          <w:color w:val="231F20"/>
          <w:spacing w:val="-36"/>
          <w:w w:val="105"/>
        </w:rPr>
        <w:t> </w:t>
      </w:r>
      <w:r>
        <w:rPr>
          <w:color w:val="231F20"/>
          <w:w w:val="105"/>
        </w:rPr>
        <w:t>de</w:t>
      </w:r>
      <w:r>
        <w:rPr>
          <w:color w:val="231F20"/>
          <w:spacing w:val="-36"/>
          <w:w w:val="105"/>
        </w:rPr>
        <w:t> </w:t>
      </w:r>
      <w:r>
        <w:rPr>
          <w:color w:val="231F20"/>
          <w:w w:val="105"/>
        </w:rPr>
        <w:t>igual</w:t>
      </w:r>
      <w:r>
        <w:rPr>
          <w:color w:val="231F20"/>
          <w:spacing w:val="-36"/>
          <w:w w:val="105"/>
        </w:rPr>
        <w:t> </w:t>
      </w:r>
      <w:r>
        <w:rPr>
          <w:color w:val="231F20"/>
          <w:w w:val="105"/>
        </w:rPr>
        <w:t>manera,</w:t>
      </w:r>
      <w:r>
        <w:rPr>
          <w:color w:val="231F20"/>
          <w:spacing w:val="-39"/>
          <w:w w:val="105"/>
        </w:rPr>
        <w:t> </w:t>
      </w:r>
      <w:r>
        <w:rPr>
          <w:color w:val="231F20"/>
          <w:w w:val="105"/>
        </w:rPr>
        <w:t>las</w:t>
      </w:r>
      <w:r>
        <w:rPr>
          <w:color w:val="231F20"/>
          <w:spacing w:val="-36"/>
          <w:w w:val="105"/>
        </w:rPr>
        <w:t> </w:t>
      </w:r>
      <w:r>
        <w:rPr>
          <w:color w:val="231F20"/>
          <w:w w:val="105"/>
        </w:rPr>
        <w:t>estimaciones</w:t>
      </w:r>
      <w:r>
        <w:rPr>
          <w:color w:val="231F20"/>
          <w:spacing w:val="-36"/>
          <w:w w:val="105"/>
        </w:rPr>
        <w:t> </w:t>
      </w:r>
      <w:r>
        <w:rPr>
          <w:color w:val="231F20"/>
          <w:w w:val="105"/>
        </w:rPr>
        <w:t>de</w:t>
      </w:r>
      <w:r>
        <w:rPr>
          <w:color w:val="231F20"/>
          <w:spacing w:val="-36"/>
          <w:w w:val="105"/>
        </w:rPr>
        <w:t> </w:t>
      </w:r>
      <w:r>
        <w:rPr>
          <w:color w:val="231F20"/>
          <w:w w:val="105"/>
        </w:rPr>
        <w:t>Rubio</w:t>
      </w:r>
      <w:r>
        <w:rPr>
          <w:color w:val="231F20"/>
          <w:spacing w:val="-36"/>
          <w:w w:val="105"/>
        </w:rPr>
        <w:t> </w:t>
      </w:r>
      <w:r>
        <w:rPr>
          <w:color w:val="231F20"/>
          <w:w w:val="105"/>
        </w:rPr>
        <w:t>(2014) muestran</w:t>
      </w:r>
      <w:r>
        <w:rPr>
          <w:color w:val="231F20"/>
          <w:spacing w:val="-15"/>
          <w:w w:val="105"/>
        </w:rPr>
        <w:t> </w:t>
      </w:r>
      <w:r>
        <w:rPr>
          <w:color w:val="231F20"/>
          <w:w w:val="105"/>
        </w:rPr>
        <w:t>que</w:t>
      </w:r>
      <w:r>
        <w:rPr>
          <w:color w:val="231F20"/>
          <w:spacing w:val="-15"/>
          <w:w w:val="105"/>
        </w:rPr>
        <w:t> </w:t>
      </w:r>
      <w:r>
        <w:rPr>
          <w:color w:val="231F20"/>
          <w:w w:val="105"/>
        </w:rPr>
        <w:t>53%</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nacidos</w:t>
      </w:r>
      <w:r>
        <w:rPr>
          <w:color w:val="231F20"/>
          <w:spacing w:val="-15"/>
          <w:w w:val="105"/>
        </w:rPr>
        <w:t> </w:t>
      </w:r>
      <w:r>
        <w:rPr>
          <w:color w:val="231F20"/>
          <w:w w:val="105"/>
        </w:rPr>
        <w:t>en</w:t>
      </w:r>
      <w:r>
        <w:rPr>
          <w:color w:val="231F20"/>
          <w:spacing w:val="-15"/>
          <w:w w:val="105"/>
        </w:rPr>
        <w:t> </w:t>
      </w:r>
      <w:r>
        <w:rPr>
          <w:color w:val="231F20"/>
          <w:w w:val="105"/>
        </w:rPr>
        <w:t>México</w:t>
      </w:r>
      <w:r>
        <w:rPr>
          <w:color w:val="231F20"/>
          <w:spacing w:val="-15"/>
          <w:w w:val="105"/>
        </w:rPr>
        <w:t> </w:t>
      </w:r>
      <w:r>
        <w:rPr>
          <w:color w:val="231F20"/>
          <w:w w:val="105"/>
        </w:rPr>
        <w:t>residentes</w:t>
      </w:r>
      <w:r>
        <w:rPr>
          <w:color w:val="231F20"/>
          <w:spacing w:val="-15"/>
          <w:w w:val="105"/>
        </w:rPr>
        <w:t> </w:t>
      </w:r>
      <w:r>
        <w:rPr>
          <w:color w:val="231F20"/>
          <w:w w:val="105"/>
        </w:rPr>
        <w:t>en</w:t>
      </w:r>
      <w:r>
        <w:rPr>
          <w:color w:val="231F20"/>
          <w:spacing w:val="-15"/>
          <w:w w:val="105"/>
        </w:rPr>
        <w:t> </w:t>
      </w:r>
      <w:r>
        <w:rPr>
          <w:color w:val="231F20"/>
          <w:w w:val="105"/>
        </w:rPr>
        <w:t>Estados</w:t>
      </w:r>
      <w:r>
        <w:rPr>
          <w:color w:val="231F20"/>
          <w:spacing w:val="-15"/>
          <w:w w:val="105"/>
        </w:rPr>
        <w:t> </w:t>
      </w:r>
      <w:r>
        <w:rPr>
          <w:color w:val="231F20"/>
          <w:w w:val="105"/>
        </w:rPr>
        <w:t>Uni- dos carecía de todo tipo de cobertura médica en</w:t>
      </w:r>
      <w:r>
        <w:rPr>
          <w:color w:val="231F20"/>
          <w:spacing w:val="-41"/>
          <w:w w:val="105"/>
        </w:rPr>
        <w:t> </w:t>
      </w:r>
      <w:r>
        <w:rPr>
          <w:color w:val="231F20"/>
          <w:w w:val="105"/>
        </w:rPr>
        <w:t>2012.</w:t>
      </w:r>
    </w:p>
    <w:p>
      <w:pPr>
        <w:pStyle w:val="BodyText"/>
        <w:spacing w:line="261" w:lineRule="auto" w:before="1"/>
        <w:ind w:left="1837" w:right="1721" w:firstLine="567"/>
        <w:jc w:val="both"/>
      </w:pPr>
      <w:r>
        <w:rPr/>
        <w:pict>
          <v:line style="position:absolute;mso-position-horizontal-relative:page;mso-position-vertical-relative:paragraph;z-index:-465520" from="15pt,137.360886pt" to="0pt,137.360886pt" stroked="true" strokeweight=".25pt" strokecolor="#000000">
            <w10:wrap type="none"/>
          </v:line>
        </w:pict>
      </w:r>
      <w:r>
        <w:rPr/>
        <w:pict>
          <v:line style="position:absolute;mso-position-horizontal-relative:page;mso-position-vertical-relative:paragraph;z-index:24688" from="508.890015pt,137.360886pt" to="523.890015pt,137.360886pt" stroked="true" strokeweight=".25pt" strokecolor="#000000">
            <w10:wrap type="none"/>
          </v:line>
        </w:pict>
      </w:r>
      <w:r>
        <w:rPr>
          <w:color w:val="231F20"/>
          <w:w w:val="105"/>
        </w:rPr>
        <w:t>En</w:t>
      </w:r>
      <w:r>
        <w:rPr>
          <w:color w:val="231F20"/>
          <w:spacing w:val="-22"/>
          <w:w w:val="105"/>
        </w:rPr>
        <w:t> </w:t>
      </w:r>
      <w:r>
        <w:rPr>
          <w:color w:val="231F20"/>
          <w:spacing w:val="-3"/>
          <w:w w:val="105"/>
        </w:rPr>
        <w:t>suma,</w:t>
      </w:r>
      <w:r>
        <w:rPr>
          <w:color w:val="231F20"/>
          <w:spacing w:val="-27"/>
          <w:w w:val="105"/>
        </w:rPr>
        <w:t> </w:t>
      </w:r>
      <w:r>
        <w:rPr>
          <w:color w:val="231F20"/>
          <w:spacing w:val="-3"/>
          <w:w w:val="105"/>
        </w:rPr>
        <w:t>esta</w:t>
      </w:r>
      <w:r>
        <w:rPr>
          <w:color w:val="231F20"/>
          <w:spacing w:val="-22"/>
          <w:w w:val="105"/>
        </w:rPr>
        <w:t> </w:t>
      </w:r>
      <w:r>
        <w:rPr>
          <w:color w:val="231F20"/>
          <w:spacing w:val="-3"/>
          <w:w w:val="105"/>
        </w:rPr>
        <w:t>falta</w:t>
      </w:r>
      <w:r>
        <w:rPr>
          <w:color w:val="231F20"/>
          <w:spacing w:val="-22"/>
          <w:w w:val="105"/>
        </w:rPr>
        <w:t> </w:t>
      </w:r>
      <w:r>
        <w:rPr>
          <w:color w:val="231F20"/>
          <w:w w:val="105"/>
        </w:rPr>
        <w:t>de</w:t>
      </w:r>
      <w:r>
        <w:rPr>
          <w:color w:val="231F20"/>
          <w:spacing w:val="-22"/>
          <w:w w:val="105"/>
        </w:rPr>
        <w:t> </w:t>
      </w:r>
      <w:r>
        <w:rPr>
          <w:color w:val="231F20"/>
          <w:spacing w:val="-3"/>
          <w:w w:val="105"/>
        </w:rPr>
        <w:t>acceso</w:t>
      </w:r>
      <w:r>
        <w:rPr>
          <w:color w:val="231F20"/>
          <w:spacing w:val="-22"/>
          <w:w w:val="105"/>
        </w:rPr>
        <w:t> </w:t>
      </w:r>
      <w:r>
        <w:rPr>
          <w:color w:val="231F20"/>
          <w:w w:val="105"/>
        </w:rPr>
        <w:t>a</w:t>
      </w:r>
      <w:r>
        <w:rPr>
          <w:color w:val="231F20"/>
          <w:spacing w:val="-22"/>
          <w:w w:val="105"/>
        </w:rPr>
        <w:t> </w:t>
      </w:r>
      <w:r>
        <w:rPr>
          <w:color w:val="231F20"/>
          <w:w w:val="105"/>
        </w:rPr>
        <w:t>los</w:t>
      </w:r>
      <w:r>
        <w:rPr>
          <w:color w:val="231F20"/>
          <w:spacing w:val="-22"/>
          <w:w w:val="105"/>
        </w:rPr>
        <w:t> </w:t>
      </w:r>
      <w:r>
        <w:rPr>
          <w:color w:val="231F20"/>
          <w:spacing w:val="-3"/>
          <w:w w:val="105"/>
        </w:rPr>
        <w:t>servicios</w:t>
      </w:r>
      <w:r>
        <w:rPr>
          <w:color w:val="231F20"/>
          <w:spacing w:val="-22"/>
          <w:w w:val="105"/>
        </w:rPr>
        <w:t> </w:t>
      </w:r>
      <w:r>
        <w:rPr>
          <w:color w:val="231F20"/>
          <w:w w:val="105"/>
        </w:rPr>
        <w:t>de</w:t>
      </w:r>
      <w:r>
        <w:rPr>
          <w:color w:val="231F20"/>
          <w:spacing w:val="-22"/>
          <w:w w:val="105"/>
        </w:rPr>
        <w:t> </w:t>
      </w:r>
      <w:r>
        <w:rPr>
          <w:color w:val="231F20"/>
          <w:spacing w:val="-3"/>
          <w:w w:val="105"/>
        </w:rPr>
        <w:t>salud</w:t>
      </w:r>
      <w:r>
        <w:rPr>
          <w:color w:val="231F20"/>
          <w:spacing w:val="-22"/>
          <w:w w:val="105"/>
        </w:rPr>
        <w:t> </w:t>
      </w:r>
      <w:r>
        <w:rPr>
          <w:color w:val="231F20"/>
          <w:w w:val="105"/>
        </w:rPr>
        <w:t>por</w:t>
      </w:r>
      <w:r>
        <w:rPr>
          <w:color w:val="231F20"/>
          <w:spacing w:val="-22"/>
          <w:w w:val="105"/>
        </w:rPr>
        <w:t> </w:t>
      </w:r>
      <w:r>
        <w:rPr>
          <w:color w:val="231F20"/>
          <w:spacing w:val="-3"/>
          <w:w w:val="105"/>
        </w:rPr>
        <w:t>parte</w:t>
      </w:r>
      <w:r>
        <w:rPr>
          <w:color w:val="231F20"/>
          <w:spacing w:val="-22"/>
          <w:w w:val="105"/>
        </w:rPr>
        <w:t> </w:t>
      </w:r>
      <w:r>
        <w:rPr>
          <w:color w:val="231F20"/>
          <w:w w:val="105"/>
        </w:rPr>
        <w:t>de</w:t>
      </w:r>
      <w:r>
        <w:rPr>
          <w:color w:val="231F20"/>
          <w:spacing w:val="-22"/>
          <w:w w:val="105"/>
        </w:rPr>
        <w:t> </w:t>
      </w:r>
      <w:r>
        <w:rPr>
          <w:color w:val="231F20"/>
          <w:spacing w:val="-3"/>
          <w:w w:val="105"/>
        </w:rPr>
        <w:t>la población</w:t>
      </w:r>
      <w:r>
        <w:rPr>
          <w:color w:val="231F20"/>
          <w:spacing w:val="-15"/>
          <w:w w:val="105"/>
        </w:rPr>
        <w:t> </w:t>
      </w:r>
      <w:r>
        <w:rPr>
          <w:color w:val="231F20"/>
          <w:spacing w:val="-3"/>
          <w:w w:val="105"/>
        </w:rPr>
        <w:t>mexicana</w:t>
      </w:r>
      <w:r>
        <w:rPr>
          <w:color w:val="231F20"/>
          <w:spacing w:val="-15"/>
          <w:w w:val="105"/>
        </w:rPr>
        <w:t> </w:t>
      </w:r>
      <w:r>
        <w:rPr>
          <w:color w:val="231F20"/>
          <w:w w:val="105"/>
        </w:rPr>
        <w:t>en</w:t>
      </w:r>
      <w:r>
        <w:rPr>
          <w:color w:val="231F20"/>
          <w:spacing w:val="-15"/>
          <w:w w:val="105"/>
        </w:rPr>
        <w:t> </w:t>
      </w:r>
      <w:r>
        <w:rPr>
          <w:color w:val="231F20"/>
          <w:spacing w:val="-3"/>
          <w:w w:val="105"/>
        </w:rPr>
        <w:t>general,</w:t>
      </w:r>
      <w:r>
        <w:rPr>
          <w:color w:val="231F20"/>
          <w:spacing w:val="-20"/>
          <w:w w:val="105"/>
        </w:rPr>
        <w:t> </w:t>
      </w:r>
      <w:r>
        <w:rPr>
          <w:color w:val="231F20"/>
          <w:w w:val="105"/>
        </w:rPr>
        <w:t>así</w:t>
      </w:r>
      <w:r>
        <w:rPr>
          <w:color w:val="231F20"/>
          <w:spacing w:val="-15"/>
          <w:w w:val="105"/>
        </w:rPr>
        <w:t> </w:t>
      </w:r>
      <w:r>
        <w:rPr>
          <w:color w:val="231F20"/>
          <w:spacing w:val="-3"/>
          <w:w w:val="105"/>
        </w:rPr>
        <w:t>como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spacing w:val="-3"/>
          <w:w w:val="105"/>
        </w:rPr>
        <w:t>originarios</w:t>
      </w:r>
      <w:r>
        <w:rPr>
          <w:color w:val="231F20"/>
          <w:spacing w:val="-15"/>
          <w:w w:val="105"/>
        </w:rPr>
        <w:t> </w:t>
      </w:r>
      <w:r>
        <w:rPr>
          <w:color w:val="231F20"/>
          <w:w w:val="105"/>
        </w:rPr>
        <w:t>del</w:t>
      </w:r>
      <w:r>
        <w:rPr>
          <w:color w:val="231F20"/>
          <w:spacing w:val="-15"/>
          <w:w w:val="105"/>
        </w:rPr>
        <w:t> </w:t>
      </w:r>
      <w:r>
        <w:rPr>
          <w:color w:val="231F20"/>
          <w:spacing w:val="-3"/>
          <w:w w:val="105"/>
        </w:rPr>
        <w:t>Estado</w:t>
      </w:r>
      <w:r>
        <w:rPr>
          <w:color w:val="231F20"/>
          <w:spacing w:val="-15"/>
          <w:w w:val="105"/>
        </w:rPr>
        <w:t> </w:t>
      </w:r>
      <w:r>
        <w:rPr>
          <w:color w:val="231F20"/>
          <w:spacing w:val="-3"/>
          <w:w w:val="105"/>
        </w:rPr>
        <w:t>de México </w:t>
      </w:r>
      <w:r>
        <w:rPr>
          <w:color w:val="231F20"/>
          <w:w w:val="105"/>
        </w:rPr>
        <w:t>se </w:t>
      </w:r>
      <w:r>
        <w:rPr>
          <w:color w:val="231F20"/>
          <w:spacing w:val="-3"/>
          <w:w w:val="105"/>
        </w:rPr>
        <w:t>debe </w:t>
      </w:r>
      <w:r>
        <w:rPr>
          <w:color w:val="231F20"/>
          <w:w w:val="105"/>
        </w:rPr>
        <w:t>a la </w:t>
      </w:r>
      <w:r>
        <w:rPr>
          <w:color w:val="231F20"/>
          <w:spacing w:val="-3"/>
          <w:w w:val="105"/>
        </w:rPr>
        <w:t>alta concentración </w:t>
      </w:r>
      <w:r>
        <w:rPr>
          <w:color w:val="231F20"/>
          <w:w w:val="105"/>
        </w:rPr>
        <w:t>en </w:t>
      </w:r>
      <w:r>
        <w:rPr>
          <w:color w:val="231F20"/>
          <w:spacing w:val="-3"/>
          <w:w w:val="105"/>
        </w:rPr>
        <w:t>actividades poco calificadas </w:t>
      </w:r>
      <w:r>
        <w:rPr>
          <w:color w:val="231F20"/>
          <w:w w:val="105"/>
        </w:rPr>
        <w:t>y de</w:t>
      </w:r>
      <w:r>
        <w:rPr>
          <w:color w:val="231F20"/>
          <w:spacing w:val="-15"/>
          <w:w w:val="105"/>
        </w:rPr>
        <w:t> </w:t>
      </w:r>
      <w:r>
        <w:rPr>
          <w:color w:val="231F20"/>
          <w:spacing w:val="-3"/>
          <w:w w:val="105"/>
        </w:rPr>
        <w:t>baja</w:t>
      </w:r>
      <w:r>
        <w:rPr>
          <w:color w:val="231F20"/>
          <w:spacing w:val="-15"/>
          <w:w w:val="105"/>
        </w:rPr>
        <w:t> </w:t>
      </w:r>
      <w:r>
        <w:rPr>
          <w:color w:val="231F20"/>
          <w:spacing w:val="-4"/>
          <w:w w:val="105"/>
        </w:rPr>
        <w:t>remuneración,</w:t>
      </w:r>
      <w:r>
        <w:rPr>
          <w:color w:val="231F20"/>
          <w:spacing w:val="-21"/>
          <w:w w:val="105"/>
        </w:rPr>
        <w:t> </w:t>
      </w:r>
      <w:r>
        <w:rPr>
          <w:color w:val="231F20"/>
          <w:spacing w:val="-3"/>
          <w:w w:val="105"/>
        </w:rPr>
        <w:t>pues</w:t>
      </w:r>
      <w:r>
        <w:rPr>
          <w:color w:val="231F20"/>
          <w:spacing w:val="-15"/>
          <w:w w:val="105"/>
        </w:rPr>
        <w:t> </w:t>
      </w:r>
      <w:r>
        <w:rPr>
          <w:color w:val="231F20"/>
          <w:spacing w:val="-3"/>
          <w:w w:val="105"/>
        </w:rPr>
        <w:t>generalmente</w:t>
      </w:r>
      <w:r>
        <w:rPr>
          <w:color w:val="231F20"/>
          <w:spacing w:val="-15"/>
          <w:w w:val="105"/>
        </w:rPr>
        <w:t> </w:t>
      </w:r>
      <w:r>
        <w:rPr>
          <w:color w:val="231F20"/>
          <w:spacing w:val="-3"/>
          <w:w w:val="105"/>
        </w:rPr>
        <w:t>éstas</w:t>
      </w:r>
      <w:r>
        <w:rPr>
          <w:color w:val="231F20"/>
          <w:spacing w:val="-15"/>
          <w:w w:val="105"/>
        </w:rPr>
        <w:t> </w:t>
      </w:r>
      <w:r>
        <w:rPr>
          <w:color w:val="231F20"/>
          <w:w w:val="105"/>
        </w:rPr>
        <w:t>no</w:t>
      </w:r>
      <w:r>
        <w:rPr>
          <w:color w:val="231F20"/>
          <w:spacing w:val="-15"/>
          <w:w w:val="105"/>
        </w:rPr>
        <w:t> </w:t>
      </w:r>
      <w:r>
        <w:rPr>
          <w:color w:val="231F20"/>
          <w:spacing w:val="-3"/>
          <w:w w:val="105"/>
        </w:rPr>
        <w:t>incluyen</w:t>
      </w:r>
      <w:r>
        <w:rPr>
          <w:color w:val="231F20"/>
          <w:spacing w:val="-15"/>
          <w:w w:val="105"/>
        </w:rPr>
        <w:t> </w:t>
      </w:r>
      <w:r>
        <w:rPr>
          <w:color w:val="231F20"/>
          <w:w w:val="105"/>
        </w:rPr>
        <w:t>la</w:t>
      </w:r>
      <w:r>
        <w:rPr>
          <w:color w:val="231F20"/>
          <w:spacing w:val="-15"/>
          <w:w w:val="105"/>
        </w:rPr>
        <w:t> </w:t>
      </w:r>
      <w:r>
        <w:rPr>
          <w:color w:val="231F20"/>
          <w:spacing w:val="-4"/>
          <w:w w:val="105"/>
        </w:rPr>
        <w:t>prestación </w:t>
      </w:r>
      <w:r>
        <w:rPr>
          <w:color w:val="231F20"/>
          <w:w w:val="105"/>
        </w:rPr>
        <w:t>de </w:t>
      </w:r>
      <w:r>
        <w:rPr>
          <w:color w:val="231F20"/>
          <w:spacing w:val="-3"/>
          <w:w w:val="105"/>
        </w:rPr>
        <w:t>beneficios </w:t>
      </w:r>
      <w:r>
        <w:rPr>
          <w:color w:val="231F20"/>
          <w:w w:val="105"/>
        </w:rPr>
        <w:t>por </w:t>
      </w:r>
      <w:r>
        <w:rPr>
          <w:color w:val="231F20"/>
          <w:spacing w:val="-3"/>
          <w:w w:val="105"/>
        </w:rPr>
        <w:t>parte </w:t>
      </w:r>
      <w:r>
        <w:rPr>
          <w:color w:val="231F20"/>
          <w:w w:val="105"/>
        </w:rPr>
        <w:t>de los </w:t>
      </w:r>
      <w:r>
        <w:rPr>
          <w:color w:val="231F20"/>
          <w:spacing w:val="-4"/>
          <w:w w:val="105"/>
        </w:rPr>
        <w:t>patrones. </w:t>
      </w:r>
      <w:r>
        <w:rPr>
          <w:color w:val="231F20"/>
          <w:w w:val="105"/>
        </w:rPr>
        <w:t>En </w:t>
      </w:r>
      <w:r>
        <w:rPr>
          <w:color w:val="231F20"/>
          <w:spacing w:val="-3"/>
          <w:w w:val="105"/>
        </w:rPr>
        <w:t>dicho contexto, </w:t>
      </w:r>
      <w:r>
        <w:rPr>
          <w:color w:val="231F20"/>
          <w:w w:val="105"/>
        </w:rPr>
        <w:t>el </w:t>
      </w:r>
      <w:r>
        <w:rPr>
          <w:color w:val="231F20"/>
          <w:spacing w:val="-3"/>
          <w:w w:val="105"/>
        </w:rPr>
        <w:t>grupo</w:t>
      </w:r>
      <w:r>
        <w:rPr>
          <w:color w:val="231F20"/>
          <w:spacing w:val="4"/>
          <w:w w:val="105"/>
        </w:rPr>
        <w:t> </w:t>
      </w:r>
      <w:r>
        <w:rPr>
          <w:color w:val="231F20"/>
          <w:w w:val="105"/>
        </w:rPr>
        <w:t>me-</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0"/>
        <w:jc w:val="both"/>
      </w:pPr>
      <w:r>
        <w:rPr/>
        <w:pict>
          <v:line style="position:absolute;mso-position-horizontal-relative:page;mso-position-vertical-relative:paragraph;z-index:24736" from="15pt,-71.68644pt" to="0pt,-71.68644pt" stroked="true" strokeweight=".25pt" strokecolor="#000000">
            <w10:wrap type="none"/>
          </v:line>
        </w:pict>
      </w:r>
      <w:r>
        <w:rPr/>
        <w:pict>
          <v:line style="position:absolute;mso-position-horizontal-relative:page;mso-position-vertical-relative:paragraph;z-index:24760" from="508.890015pt,-71.68644pt" to="523.890015pt,-71.68644pt" stroked="true" strokeweight=".25pt" strokecolor="#000000">
            <w10:wrap type="none"/>
          </v:line>
        </w:pict>
      </w:r>
      <w:r>
        <w:rPr>
          <w:color w:val="231F20"/>
          <w:w w:val="105"/>
        </w:rPr>
        <w:t>nos</w:t>
      </w:r>
      <w:r>
        <w:rPr>
          <w:color w:val="231F20"/>
          <w:spacing w:val="-28"/>
          <w:w w:val="105"/>
        </w:rPr>
        <w:t> </w:t>
      </w:r>
      <w:r>
        <w:rPr>
          <w:color w:val="231F20"/>
          <w:spacing w:val="-3"/>
          <w:w w:val="105"/>
        </w:rPr>
        <w:t>favorecido</w:t>
      </w:r>
      <w:r>
        <w:rPr>
          <w:color w:val="231F20"/>
          <w:spacing w:val="-28"/>
          <w:w w:val="105"/>
        </w:rPr>
        <w:t> </w:t>
      </w:r>
      <w:r>
        <w:rPr>
          <w:color w:val="231F20"/>
          <w:spacing w:val="-3"/>
          <w:w w:val="105"/>
        </w:rPr>
        <w:t>resulta</w:t>
      </w:r>
      <w:r>
        <w:rPr>
          <w:color w:val="231F20"/>
          <w:spacing w:val="-28"/>
          <w:w w:val="105"/>
        </w:rPr>
        <w:t> </w:t>
      </w:r>
      <w:r>
        <w:rPr>
          <w:color w:val="231F20"/>
          <w:w w:val="105"/>
        </w:rPr>
        <w:t>ser</w:t>
      </w:r>
      <w:r>
        <w:rPr>
          <w:color w:val="231F20"/>
          <w:spacing w:val="-28"/>
          <w:w w:val="105"/>
        </w:rPr>
        <w:t> </w:t>
      </w:r>
      <w:r>
        <w:rPr>
          <w:color w:val="231F20"/>
          <w:w w:val="105"/>
        </w:rPr>
        <w:t>el</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spacing w:val="-3"/>
          <w:w w:val="105"/>
        </w:rPr>
        <w:t>inmigrantes</w:t>
      </w:r>
      <w:r>
        <w:rPr>
          <w:color w:val="231F20"/>
          <w:spacing w:val="-28"/>
          <w:w w:val="105"/>
        </w:rPr>
        <w:t> </w:t>
      </w:r>
      <w:r>
        <w:rPr>
          <w:color w:val="231F20"/>
          <w:w w:val="105"/>
        </w:rPr>
        <w:t>no</w:t>
      </w:r>
      <w:r>
        <w:rPr>
          <w:color w:val="231F20"/>
          <w:spacing w:val="-28"/>
          <w:w w:val="105"/>
        </w:rPr>
        <w:t> </w:t>
      </w:r>
      <w:r>
        <w:rPr>
          <w:color w:val="231F20"/>
          <w:spacing w:val="-3"/>
          <w:w w:val="105"/>
        </w:rPr>
        <w:t>documentados,</w:t>
      </w:r>
      <w:r>
        <w:rPr>
          <w:color w:val="231F20"/>
          <w:spacing w:val="-33"/>
          <w:w w:val="105"/>
        </w:rPr>
        <w:t> </w:t>
      </w:r>
      <w:r>
        <w:rPr>
          <w:color w:val="231F20"/>
          <w:spacing w:val="-3"/>
          <w:w w:val="105"/>
        </w:rPr>
        <w:t>quienes </w:t>
      </w:r>
      <w:r>
        <w:rPr>
          <w:color w:val="231F20"/>
          <w:w w:val="105"/>
        </w:rPr>
        <w:t>por</w:t>
      </w:r>
      <w:r>
        <w:rPr>
          <w:color w:val="231F20"/>
          <w:spacing w:val="-13"/>
          <w:w w:val="105"/>
        </w:rPr>
        <w:t> </w:t>
      </w:r>
      <w:r>
        <w:rPr>
          <w:color w:val="231F20"/>
          <w:spacing w:val="-3"/>
          <w:w w:val="105"/>
        </w:rPr>
        <w:t>desempeñarse</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spacing w:val="-3"/>
          <w:w w:val="105"/>
        </w:rPr>
        <w:t>actividades</w:t>
      </w:r>
      <w:r>
        <w:rPr>
          <w:color w:val="231F20"/>
          <w:spacing w:val="-13"/>
          <w:w w:val="105"/>
        </w:rPr>
        <w:t> </w:t>
      </w:r>
      <w:r>
        <w:rPr>
          <w:color w:val="231F20"/>
          <w:spacing w:val="-3"/>
          <w:w w:val="105"/>
        </w:rPr>
        <w:t>menos</w:t>
      </w:r>
      <w:r>
        <w:rPr>
          <w:color w:val="231F20"/>
          <w:spacing w:val="-13"/>
          <w:w w:val="105"/>
        </w:rPr>
        <w:t> </w:t>
      </w:r>
      <w:r>
        <w:rPr>
          <w:color w:val="231F20"/>
          <w:spacing w:val="-3"/>
          <w:w w:val="105"/>
        </w:rPr>
        <w:t>valoradas</w:t>
      </w:r>
      <w:r>
        <w:rPr>
          <w:color w:val="231F20"/>
          <w:spacing w:val="-13"/>
          <w:w w:val="105"/>
        </w:rPr>
        <w:t> </w:t>
      </w:r>
      <w:r>
        <w:rPr>
          <w:color w:val="231F20"/>
          <w:spacing w:val="-3"/>
          <w:w w:val="105"/>
        </w:rPr>
        <w:t>económicamente </w:t>
      </w:r>
      <w:r>
        <w:rPr>
          <w:color w:val="231F20"/>
          <w:w w:val="105"/>
        </w:rPr>
        <w:t>no </w:t>
      </w:r>
      <w:r>
        <w:rPr>
          <w:color w:val="231F20"/>
          <w:spacing w:val="-3"/>
          <w:w w:val="105"/>
        </w:rPr>
        <w:t>cuentan </w:t>
      </w:r>
      <w:r>
        <w:rPr>
          <w:color w:val="231F20"/>
          <w:w w:val="105"/>
        </w:rPr>
        <w:t>con las </w:t>
      </w:r>
      <w:r>
        <w:rPr>
          <w:color w:val="231F20"/>
          <w:spacing w:val="-3"/>
          <w:w w:val="105"/>
        </w:rPr>
        <w:t>mínimas posibilidades </w:t>
      </w:r>
      <w:r>
        <w:rPr>
          <w:color w:val="231F20"/>
          <w:w w:val="105"/>
        </w:rPr>
        <w:t>de </w:t>
      </w:r>
      <w:r>
        <w:rPr>
          <w:color w:val="231F20"/>
          <w:spacing w:val="-3"/>
          <w:w w:val="105"/>
        </w:rPr>
        <w:t>negociar </w:t>
      </w:r>
      <w:r>
        <w:rPr>
          <w:color w:val="231F20"/>
          <w:w w:val="105"/>
        </w:rPr>
        <w:t>las </w:t>
      </w:r>
      <w:r>
        <w:rPr>
          <w:color w:val="231F20"/>
          <w:spacing w:val="-4"/>
          <w:w w:val="105"/>
        </w:rPr>
        <w:t>prestaciones </w:t>
      </w:r>
      <w:r>
        <w:rPr>
          <w:color w:val="231F20"/>
          <w:spacing w:val="-3"/>
          <w:w w:val="105"/>
        </w:rPr>
        <w:t>laborales (Leite </w:t>
      </w:r>
      <w:r>
        <w:rPr>
          <w:color w:val="231F20"/>
          <w:w w:val="105"/>
        </w:rPr>
        <w:t>y </w:t>
      </w:r>
      <w:r>
        <w:rPr>
          <w:color w:val="231F20"/>
          <w:spacing w:val="-3"/>
          <w:w w:val="105"/>
        </w:rPr>
        <w:t>Castañeda, 2008). </w:t>
      </w:r>
      <w:r>
        <w:rPr>
          <w:color w:val="231F20"/>
          <w:w w:val="105"/>
        </w:rPr>
        <w:t>La </w:t>
      </w:r>
      <w:r>
        <w:rPr>
          <w:color w:val="231F20"/>
          <w:spacing w:val="-3"/>
          <w:w w:val="105"/>
        </w:rPr>
        <w:t>situación tiende </w:t>
      </w:r>
      <w:r>
        <w:rPr>
          <w:color w:val="231F20"/>
          <w:w w:val="105"/>
        </w:rPr>
        <w:t>a </w:t>
      </w:r>
      <w:r>
        <w:rPr>
          <w:color w:val="231F20"/>
          <w:spacing w:val="-3"/>
          <w:w w:val="105"/>
        </w:rPr>
        <w:t>agravarse por </w:t>
      </w:r>
      <w:r>
        <w:rPr>
          <w:color w:val="231F20"/>
          <w:w w:val="105"/>
        </w:rPr>
        <w:t>la</w:t>
      </w:r>
      <w:r>
        <w:rPr>
          <w:color w:val="231F20"/>
          <w:spacing w:val="-20"/>
          <w:w w:val="105"/>
        </w:rPr>
        <w:t> </w:t>
      </w:r>
      <w:r>
        <w:rPr>
          <w:color w:val="231F20"/>
          <w:spacing w:val="-3"/>
          <w:w w:val="105"/>
        </w:rPr>
        <w:t>interacción</w:t>
      </w:r>
      <w:r>
        <w:rPr>
          <w:color w:val="231F20"/>
          <w:spacing w:val="-20"/>
          <w:w w:val="105"/>
        </w:rPr>
        <w:t> </w:t>
      </w:r>
      <w:r>
        <w:rPr>
          <w:color w:val="231F20"/>
          <w:spacing w:val="-3"/>
          <w:w w:val="105"/>
        </w:rPr>
        <w:t>continua</w:t>
      </w:r>
      <w:r>
        <w:rPr>
          <w:color w:val="231F20"/>
          <w:spacing w:val="-20"/>
          <w:w w:val="105"/>
        </w:rPr>
        <w:t> </w:t>
      </w:r>
      <w:r>
        <w:rPr>
          <w:color w:val="231F20"/>
          <w:w w:val="105"/>
        </w:rPr>
        <w:t>con</w:t>
      </w:r>
      <w:r>
        <w:rPr>
          <w:color w:val="231F20"/>
          <w:spacing w:val="-20"/>
          <w:w w:val="105"/>
        </w:rPr>
        <w:t> </w:t>
      </w:r>
      <w:r>
        <w:rPr>
          <w:color w:val="231F20"/>
          <w:spacing w:val="-3"/>
          <w:w w:val="105"/>
        </w:rPr>
        <w:t>otros</w:t>
      </w:r>
      <w:r>
        <w:rPr>
          <w:color w:val="231F20"/>
          <w:spacing w:val="-20"/>
          <w:w w:val="105"/>
        </w:rPr>
        <w:t> </w:t>
      </w:r>
      <w:r>
        <w:rPr>
          <w:color w:val="231F20"/>
          <w:spacing w:val="-3"/>
          <w:w w:val="105"/>
        </w:rPr>
        <w:t>individuos</w:t>
      </w:r>
      <w:r>
        <w:rPr>
          <w:color w:val="231F20"/>
          <w:spacing w:val="-20"/>
          <w:w w:val="105"/>
        </w:rPr>
        <w:t> </w:t>
      </w:r>
      <w:r>
        <w:rPr>
          <w:color w:val="231F20"/>
          <w:w w:val="105"/>
        </w:rPr>
        <w:t>de</w:t>
      </w:r>
      <w:r>
        <w:rPr>
          <w:color w:val="231F20"/>
          <w:spacing w:val="-20"/>
          <w:w w:val="105"/>
        </w:rPr>
        <w:t> </w:t>
      </w:r>
      <w:r>
        <w:rPr>
          <w:color w:val="231F20"/>
          <w:spacing w:val="-3"/>
          <w:w w:val="105"/>
        </w:rPr>
        <w:t>características</w:t>
      </w:r>
      <w:r>
        <w:rPr>
          <w:color w:val="231F20"/>
          <w:spacing w:val="-20"/>
          <w:w w:val="105"/>
        </w:rPr>
        <w:t> </w:t>
      </w:r>
      <w:r>
        <w:rPr>
          <w:color w:val="231F20"/>
          <w:spacing w:val="-3"/>
          <w:w w:val="105"/>
        </w:rPr>
        <w:t>semejantes, debido</w:t>
      </w:r>
      <w:r>
        <w:rPr>
          <w:color w:val="231F20"/>
          <w:spacing w:val="-17"/>
          <w:w w:val="105"/>
        </w:rPr>
        <w:t> </w:t>
      </w:r>
      <w:r>
        <w:rPr>
          <w:color w:val="231F20"/>
          <w:w w:val="105"/>
        </w:rPr>
        <w:t>a</w:t>
      </w:r>
      <w:r>
        <w:rPr>
          <w:color w:val="231F20"/>
          <w:spacing w:val="-17"/>
          <w:w w:val="105"/>
        </w:rPr>
        <w:t> </w:t>
      </w:r>
      <w:r>
        <w:rPr>
          <w:color w:val="231F20"/>
          <w:w w:val="105"/>
        </w:rPr>
        <w:t>su</w:t>
      </w:r>
      <w:r>
        <w:rPr>
          <w:color w:val="231F20"/>
          <w:spacing w:val="-17"/>
          <w:w w:val="105"/>
        </w:rPr>
        <w:t> </w:t>
      </w:r>
      <w:r>
        <w:rPr>
          <w:color w:val="231F20"/>
          <w:spacing w:val="-3"/>
          <w:w w:val="105"/>
        </w:rPr>
        <w:t>exposición</w:t>
      </w:r>
      <w:r>
        <w:rPr>
          <w:color w:val="231F20"/>
          <w:spacing w:val="-17"/>
          <w:w w:val="105"/>
        </w:rPr>
        <w:t> </w:t>
      </w:r>
      <w:r>
        <w:rPr>
          <w:color w:val="231F20"/>
          <w:w w:val="105"/>
        </w:rPr>
        <w:t>y</w:t>
      </w:r>
      <w:r>
        <w:rPr>
          <w:color w:val="231F20"/>
          <w:spacing w:val="-17"/>
          <w:w w:val="105"/>
        </w:rPr>
        <w:t> </w:t>
      </w:r>
      <w:r>
        <w:rPr>
          <w:color w:val="231F20"/>
          <w:spacing w:val="-3"/>
          <w:w w:val="105"/>
        </w:rPr>
        <w:t>mayor</w:t>
      </w:r>
      <w:r>
        <w:rPr>
          <w:color w:val="231F20"/>
          <w:spacing w:val="-17"/>
          <w:w w:val="105"/>
        </w:rPr>
        <w:t> </w:t>
      </w:r>
      <w:r>
        <w:rPr>
          <w:color w:val="231F20"/>
          <w:spacing w:val="-3"/>
          <w:w w:val="105"/>
        </w:rPr>
        <w:t>situación</w:t>
      </w:r>
      <w:r>
        <w:rPr>
          <w:color w:val="231F20"/>
          <w:spacing w:val="-17"/>
          <w:w w:val="105"/>
        </w:rPr>
        <w:t> </w:t>
      </w:r>
      <w:r>
        <w:rPr>
          <w:color w:val="231F20"/>
          <w:w w:val="105"/>
        </w:rPr>
        <w:t>de</w:t>
      </w:r>
      <w:r>
        <w:rPr>
          <w:color w:val="231F20"/>
          <w:spacing w:val="-17"/>
          <w:w w:val="105"/>
        </w:rPr>
        <w:t> </w:t>
      </w:r>
      <w:r>
        <w:rPr>
          <w:color w:val="231F20"/>
          <w:spacing w:val="-3"/>
          <w:w w:val="105"/>
        </w:rPr>
        <w:t>vulnerabilidad</w:t>
      </w:r>
      <w:r>
        <w:rPr>
          <w:color w:val="231F20"/>
          <w:spacing w:val="-17"/>
          <w:w w:val="105"/>
        </w:rPr>
        <w:t> </w:t>
      </w:r>
      <w:r>
        <w:rPr>
          <w:color w:val="231F20"/>
          <w:w w:val="105"/>
        </w:rPr>
        <w:t>al</w:t>
      </w:r>
      <w:r>
        <w:rPr>
          <w:color w:val="231F20"/>
          <w:spacing w:val="-17"/>
          <w:w w:val="105"/>
        </w:rPr>
        <w:t> </w:t>
      </w:r>
      <w:r>
        <w:rPr>
          <w:color w:val="231F20"/>
          <w:spacing w:val="-3"/>
          <w:w w:val="105"/>
        </w:rPr>
        <w:t>posible</w:t>
      </w:r>
      <w:r>
        <w:rPr>
          <w:color w:val="231F20"/>
          <w:spacing w:val="-17"/>
          <w:w w:val="105"/>
        </w:rPr>
        <w:t> </w:t>
      </w:r>
      <w:r>
        <w:rPr>
          <w:color w:val="231F20"/>
          <w:spacing w:val="-3"/>
          <w:w w:val="105"/>
        </w:rPr>
        <w:t>con- tagio</w:t>
      </w:r>
      <w:r>
        <w:rPr>
          <w:color w:val="231F20"/>
          <w:spacing w:val="-26"/>
          <w:w w:val="105"/>
        </w:rPr>
        <w:t> </w:t>
      </w:r>
      <w:r>
        <w:rPr>
          <w:color w:val="231F20"/>
          <w:w w:val="105"/>
        </w:rPr>
        <w:t>de</w:t>
      </w:r>
      <w:r>
        <w:rPr>
          <w:color w:val="231F20"/>
          <w:spacing w:val="-26"/>
          <w:w w:val="105"/>
        </w:rPr>
        <w:t> </w:t>
      </w:r>
      <w:r>
        <w:rPr>
          <w:color w:val="231F20"/>
          <w:spacing w:val="-3"/>
          <w:w w:val="105"/>
        </w:rPr>
        <w:t>ciertas</w:t>
      </w:r>
      <w:r>
        <w:rPr>
          <w:color w:val="231F20"/>
          <w:spacing w:val="-26"/>
          <w:w w:val="105"/>
        </w:rPr>
        <w:t> </w:t>
      </w:r>
      <w:r>
        <w:rPr>
          <w:color w:val="231F20"/>
          <w:spacing w:val="-3"/>
          <w:w w:val="105"/>
        </w:rPr>
        <w:t>enfermedades</w:t>
      </w:r>
      <w:r>
        <w:rPr>
          <w:color w:val="231F20"/>
          <w:spacing w:val="-26"/>
          <w:w w:val="105"/>
        </w:rPr>
        <w:t> </w:t>
      </w:r>
      <w:r>
        <w:rPr>
          <w:color w:val="231F20"/>
          <w:spacing w:val="-3"/>
          <w:w w:val="105"/>
        </w:rPr>
        <w:t>(Macías</w:t>
      </w:r>
      <w:r>
        <w:rPr>
          <w:color w:val="231F20"/>
          <w:spacing w:val="-26"/>
          <w:w w:val="105"/>
        </w:rPr>
        <w:t> </w:t>
      </w:r>
      <w:r>
        <w:rPr>
          <w:rFonts w:ascii="Arial" w:hAnsi="Arial"/>
          <w:i/>
          <w:color w:val="231F20"/>
          <w:w w:val="105"/>
        </w:rPr>
        <w:t>et</w:t>
      </w:r>
      <w:r>
        <w:rPr>
          <w:rFonts w:ascii="Arial" w:hAnsi="Arial"/>
          <w:i/>
          <w:color w:val="231F20"/>
          <w:spacing w:val="-29"/>
          <w:w w:val="105"/>
        </w:rPr>
        <w:t> </w:t>
      </w:r>
      <w:r>
        <w:rPr>
          <w:rFonts w:ascii="Arial" w:hAnsi="Arial"/>
          <w:i/>
          <w:color w:val="231F20"/>
          <w:spacing w:val="-3"/>
          <w:w w:val="105"/>
        </w:rPr>
        <w:t>al.,</w:t>
      </w:r>
      <w:r>
        <w:rPr>
          <w:rFonts w:ascii="Arial" w:hAnsi="Arial"/>
          <w:i/>
          <w:color w:val="231F20"/>
          <w:spacing w:val="-33"/>
          <w:w w:val="105"/>
        </w:rPr>
        <w:t> </w:t>
      </w:r>
      <w:r>
        <w:rPr>
          <w:color w:val="231F20"/>
          <w:spacing w:val="-3"/>
          <w:w w:val="105"/>
        </w:rPr>
        <w:t>2009).</w:t>
      </w:r>
    </w:p>
    <w:p>
      <w:pPr>
        <w:pStyle w:val="BodyText"/>
        <w:spacing w:line="261" w:lineRule="auto"/>
        <w:ind w:left="1723" w:right="1829" w:firstLine="567"/>
        <w:jc w:val="right"/>
      </w:pPr>
      <w:r>
        <w:rPr>
          <w:color w:val="231F20"/>
          <w:w w:val="105"/>
        </w:rPr>
        <w:t>A pesar de las dificultades de los migrantes con el acceso</w:t>
      </w:r>
      <w:r>
        <w:rPr>
          <w:color w:val="231F20"/>
          <w:spacing w:val="42"/>
          <w:w w:val="105"/>
        </w:rPr>
        <w:t> </w:t>
      </w:r>
      <w:r>
        <w:rPr>
          <w:color w:val="231F20"/>
          <w:w w:val="105"/>
        </w:rPr>
        <w:t>a</w:t>
      </w:r>
      <w:r>
        <w:rPr>
          <w:color w:val="231F20"/>
          <w:spacing w:val="14"/>
          <w:w w:val="105"/>
        </w:rPr>
        <w:t> </w:t>
      </w:r>
      <w:r>
        <w:rPr>
          <w:color w:val="231F20"/>
          <w:w w:val="105"/>
        </w:rPr>
        <w:t>los</w:t>
      </w:r>
      <w:r>
        <w:rPr>
          <w:color w:val="231F20"/>
          <w:w w:val="101"/>
        </w:rPr>
        <w:t> </w:t>
      </w:r>
      <w:r>
        <w:rPr>
          <w:color w:val="231F20"/>
          <w:w w:val="105"/>
        </w:rPr>
        <w:t>servicios</w:t>
      </w:r>
      <w:r>
        <w:rPr>
          <w:color w:val="231F20"/>
          <w:spacing w:val="-6"/>
          <w:w w:val="105"/>
        </w:rPr>
        <w:t> </w:t>
      </w:r>
      <w:r>
        <w:rPr>
          <w:color w:val="231F20"/>
          <w:w w:val="105"/>
        </w:rPr>
        <w:t>de</w:t>
      </w:r>
      <w:r>
        <w:rPr>
          <w:color w:val="231F20"/>
          <w:spacing w:val="-6"/>
          <w:w w:val="105"/>
        </w:rPr>
        <w:t> </w:t>
      </w:r>
      <w:r>
        <w:rPr>
          <w:color w:val="231F20"/>
          <w:w w:val="105"/>
        </w:rPr>
        <w:t>salud,</w:t>
      </w:r>
      <w:r>
        <w:rPr>
          <w:color w:val="231F20"/>
          <w:spacing w:val="-12"/>
          <w:w w:val="105"/>
        </w:rPr>
        <w:t> </w:t>
      </w:r>
      <w:r>
        <w:rPr>
          <w:color w:val="231F20"/>
          <w:w w:val="105"/>
        </w:rPr>
        <w:t>y</w:t>
      </w:r>
      <w:r>
        <w:rPr>
          <w:color w:val="231F20"/>
          <w:spacing w:val="-6"/>
          <w:w w:val="105"/>
        </w:rPr>
        <w:t> </w:t>
      </w:r>
      <w:r>
        <w:rPr>
          <w:color w:val="231F20"/>
          <w:w w:val="105"/>
        </w:rPr>
        <w:t>dependiendo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gravedad</w:t>
      </w:r>
      <w:r>
        <w:rPr>
          <w:color w:val="231F20"/>
          <w:spacing w:val="-6"/>
          <w:w w:val="105"/>
        </w:rPr>
        <w:t> </w:t>
      </w:r>
      <w:r>
        <w:rPr>
          <w:color w:val="231F20"/>
          <w:w w:val="105"/>
        </w:rPr>
        <w:t>de</w:t>
      </w:r>
      <w:r>
        <w:rPr>
          <w:color w:val="231F20"/>
          <w:spacing w:val="-6"/>
          <w:w w:val="105"/>
        </w:rPr>
        <w:t> </w:t>
      </w:r>
      <w:r>
        <w:rPr>
          <w:color w:val="231F20"/>
          <w:w w:val="105"/>
        </w:rPr>
        <w:t>su</w:t>
      </w:r>
      <w:r>
        <w:rPr>
          <w:color w:val="231F20"/>
          <w:spacing w:val="-6"/>
          <w:w w:val="105"/>
        </w:rPr>
        <w:t> </w:t>
      </w:r>
      <w:r>
        <w:rPr>
          <w:color w:val="231F20"/>
          <w:w w:val="105"/>
        </w:rPr>
        <w:t>padecimiento</w:t>
      </w:r>
      <w:r>
        <w:rPr>
          <w:color w:val="231F20"/>
          <w:spacing w:val="-6"/>
          <w:w w:val="105"/>
        </w:rPr>
        <w:t> </w:t>
      </w:r>
      <w:r>
        <w:rPr>
          <w:color w:val="231F20"/>
          <w:w w:val="105"/>
        </w:rPr>
        <w:t>o</w:t>
      </w:r>
      <w:r>
        <w:rPr>
          <w:color w:val="231F20"/>
          <w:w w:val="109"/>
        </w:rPr>
        <w:t> </w:t>
      </w:r>
      <w:r>
        <w:rPr>
          <w:color w:val="231F20"/>
          <w:w w:val="105"/>
        </w:rPr>
        <w:t>enfermedad, buscan una serie de estrategias que los ayude</w:t>
      </w:r>
      <w:r>
        <w:rPr>
          <w:color w:val="231F20"/>
          <w:spacing w:val="6"/>
          <w:w w:val="105"/>
        </w:rPr>
        <w:t> </w:t>
      </w:r>
      <w:r>
        <w:rPr>
          <w:color w:val="231F20"/>
          <w:w w:val="105"/>
        </w:rPr>
        <w:t>al</w:t>
      </w:r>
      <w:r>
        <w:rPr>
          <w:color w:val="231F20"/>
          <w:spacing w:val="1"/>
          <w:w w:val="105"/>
        </w:rPr>
        <w:t> </w:t>
      </w:r>
      <w:r>
        <w:rPr>
          <w:color w:val="231F20"/>
          <w:w w:val="105"/>
        </w:rPr>
        <w:t>cuidado</w:t>
      </w:r>
      <w:r>
        <w:rPr>
          <w:color w:val="231F20"/>
          <w:w w:val="106"/>
        </w:rPr>
        <w:t> </w:t>
      </w:r>
      <w:r>
        <w:rPr>
          <w:color w:val="231F20"/>
          <w:w w:val="105"/>
        </w:rPr>
        <w:t>y atención de su salud. Como lo mencionan Nigenda</w:t>
      </w:r>
      <w:r>
        <w:rPr>
          <w:color w:val="231F20"/>
          <w:spacing w:val="4"/>
          <w:w w:val="105"/>
        </w:rPr>
        <w:t> </w:t>
      </w:r>
      <w:r>
        <w:rPr>
          <w:color w:val="231F20"/>
          <w:w w:val="105"/>
        </w:rPr>
        <w:t>y</w:t>
      </w:r>
      <w:r>
        <w:rPr>
          <w:color w:val="231F20"/>
          <w:spacing w:val="14"/>
          <w:w w:val="105"/>
        </w:rPr>
        <w:t> </w:t>
      </w:r>
      <w:r>
        <w:rPr>
          <w:color w:val="231F20"/>
          <w:w w:val="105"/>
        </w:rPr>
        <w:t>colaboradores</w:t>
      </w:r>
      <w:r>
        <w:rPr>
          <w:color w:val="231F20"/>
          <w:w w:val="96"/>
        </w:rPr>
        <w:t> </w:t>
      </w:r>
      <w:r>
        <w:rPr>
          <w:color w:val="231F20"/>
          <w:w w:val="105"/>
        </w:rPr>
        <w:t>(2009), en un estudio de tipo transversal desarrollado en</w:t>
      </w:r>
      <w:r>
        <w:rPr>
          <w:color w:val="231F20"/>
          <w:spacing w:val="-11"/>
          <w:w w:val="105"/>
        </w:rPr>
        <w:t> </w:t>
      </w:r>
      <w:r>
        <w:rPr>
          <w:color w:val="231F20"/>
          <w:w w:val="105"/>
        </w:rPr>
        <w:t>cinco</w:t>
      </w:r>
      <w:r>
        <w:rPr>
          <w:color w:val="231F20"/>
          <w:spacing w:val="-1"/>
          <w:w w:val="105"/>
        </w:rPr>
        <w:t> </w:t>
      </w:r>
      <w:r>
        <w:rPr>
          <w:color w:val="231F20"/>
          <w:w w:val="105"/>
        </w:rPr>
        <w:t>estados</w:t>
      </w:r>
      <w:r>
        <w:rPr>
          <w:color w:val="231F20"/>
          <w:w w:val="101"/>
        </w:rPr>
        <w:t> </w:t>
      </w:r>
      <w:r>
        <w:rPr>
          <w:color w:val="231F20"/>
          <w:w w:val="105"/>
        </w:rPr>
        <w:t>de la república mediante la aplicación de encuestas y</w:t>
      </w:r>
      <w:r>
        <w:rPr>
          <w:color w:val="231F20"/>
          <w:spacing w:val="-25"/>
          <w:w w:val="105"/>
        </w:rPr>
        <w:t> </w:t>
      </w:r>
      <w:r>
        <w:rPr>
          <w:color w:val="231F20"/>
          <w:w w:val="105"/>
        </w:rPr>
        <w:t>trabajo</w:t>
      </w:r>
      <w:r>
        <w:rPr>
          <w:color w:val="231F20"/>
          <w:spacing w:val="-3"/>
          <w:w w:val="105"/>
        </w:rPr>
        <w:t> </w:t>
      </w:r>
      <w:r>
        <w:rPr>
          <w:color w:val="231F20"/>
          <w:w w:val="105"/>
        </w:rPr>
        <w:t>etnográfi-</w:t>
      </w:r>
      <w:r>
        <w:rPr>
          <w:color w:val="231F20"/>
          <w:w w:val="96"/>
        </w:rPr>
        <w:t> </w:t>
      </w:r>
      <w:r>
        <w:rPr>
          <w:color w:val="231F20"/>
          <w:w w:val="105"/>
        </w:rPr>
        <w:t>co, se trata de un grupo de población que identifica y</w:t>
      </w:r>
      <w:r>
        <w:rPr>
          <w:color w:val="231F20"/>
          <w:spacing w:val="4"/>
          <w:w w:val="105"/>
        </w:rPr>
        <w:t> </w:t>
      </w:r>
      <w:r>
        <w:rPr>
          <w:color w:val="231F20"/>
          <w:w w:val="105"/>
        </w:rPr>
        <w:t>promueve</w:t>
      </w:r>
      <w:r>
        <w:rPr>
          <w:color w:val="231F20"/>
          <w:spacing w:val="6"/>
          <w:w w:val="105"/>
        </w:rPr>
        <w:t> </w:t>
      </w:r>
      <w:r>
        <w:rPr>
          <w:color w:val="231F20"/>
          <w:w w:val="105"/>
        </w:rPr>
        <w:t>varias</w:t>
      </w:r>
      <w:r>
        <w:rPr>
          <w:color w:val="231F20"/>
          <w:w w:val="97"/>
        </w:rPr>
        <w:t> </w:t>
      </w:r>
      <w:r>
        <w:rPr>
          <w:color w:val="231F20"/>
          <w:w w:val="105"/>
        </w:rPr>
        <w:t>estrategias</w:t>
      </w:r>
      <w:r>
        <w:rPr>
          <w:color w:val="231F20"/>
          <w:spacing w:val="-24"/>
          <w:w w:val="105"/>
        </w:rPr>
        <w:t> </w:t>
      </w:r>
      <w:r>
        <w:rPr>
          <w:color w:val="231F20"/>
          <w:w w:val="105"/>
        </w:rPr>
        <w:t>para</w:t>
      </w:r>
      <w:r>
        <w:rPr>
          <w:color w:val="231F20"/>
          <w:spacing w:val="-24"/>
          <w:w w:val="105"/>
        </w:rPr>
        <w:t> </w:t>
      </w:r>
      <w:r>
        <w:rPr>
          <w:color w:val="231F20"/>
          <w:w w:val="105"/>
        </w:rPr>
        <w:t>disponer</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servicios</w:t>
      </w:r>
      <w:r>
        <w:rPr>
          <w:color w:val="231F20"/>
          <w:spacing w:val="-24"/>
          <w:w w:val="105"/>
        </w:rPr>
        <w:t> </w:t>
      </w:r>
      <w:r>
        <w:rPr>
          <w:color w:val="231F20"/>
          <w:w w:val="105"/>
        </w:rPr>
        <w:t>de</w:t>
      </w:r>
      <w:r>
        <w:rPr>
          <w:color w:val="231F20"/>
          <w:spacing w:val="-24"/>
          <w:w w:val="105"/>
        </w:rPr>
        <w:t> </w:t>
      </w:r>
      <w:r>
        <w:rPr>
          <w:color w:val="231F20"/>
          <w:w w:val="105"/>
        </w:rPr>
        <w:t>salud</w:t>
      </w:r>
      <w:r>
        <w:rPr>
          <w:color w:val="231F20"/>
          <w:spacing w:val="-24"/>
          <w:w w:val="105"/>
        </w:rPr>
        <w:t> </w:t>
      </w:r>
      <w:r>
        <w:rPr>
          <w:color w:val="231F20"/>
          <w:w w:val="105"/>
        </w:rPr>
        <w:t>(Nigenda</w:t>
      </w:r>
      <w:r>
        <w:rPr>
          <w:color w:val="231F20"/>
          <w:spacing w:val="-24"/>
          <w:w w:val="105"/>
        </w:rPr>
        <w:t> </w:t>
      </w:r>
      <w:r>
        <w:rPr>
          <w:rFonts w:ascii="Arial" w:hAnsi="Arial"/>
          <w:i/>
          <w:color w:val="231F20"/>
          <w:w w:val="105"/>
        </w:rPr>
        <w:t>et</w:t>
      </w:r>
      <w:r>
        <w:rPr>
          <w:rFonts w:ascii="Arial" w:hAnsi="Arial"/>
          <w:i/>
          <w:color w:val="231F20"/>
          <w:spacing w:val="-26"/>
          <w:w w:val="105"/>
        </w:rPr>
        <w:t> </w:t>
      </w:r>
      <w:r>
        <w:rPr>
          <w:rFonts w:ascii="Arial" w:hAnsi="Arial"/>
          <w:i/>
          <w:color w:val="231F20"/>
          <w:w w:val="105"/>
        </w:rPr>
        <w:t>al.,</w:t>
      </w:r>
      <w:r>
        <w:rPr>
          <w:rFonts w:ascii="Arial" w:hAnsi="Arial"/>
          <w:i/>
          <w:color w:val="231F20"/>
          <w:spacing w:val="-31"/>
          <w:w w:val="105"/>
        </w:rPr>
        <w:t> </w:t>
      </w:r>
      <w:r>
        <w:rPr>
          <w:color w:val="231F20"/>
          <w:w w:val="105"/>
        </w:rPr>
        <w:t>2009).</w:t>
      </w:r>
    </w:p>
    <w:p>
      <w:pPr>
        <w:pStyle w:val="BodyText"/>
        <w:spacing w:line="261" w:lineRule="auto"/>
        <w:ind w:left="1723" w:right="1834" w:firstLine="567"/>
        <w:jc w:val="both"/>
      </w:pPr>
      <w:r>
        <w:rPr>
          <w:color w:val="231F20"/>
          <w:w w:val="105"/>
        </w:rPr>
        <w:t>Sin</w:t>
      </w:r>
      <w:r>
        <w:rPr>
          <w:color w:val="231F20"/>
          <w:spacing w:val="-9"/>
          <w:w w:val="105"/>
        </w:rPr>
        <w:t> </w:t>
      </w:r>
      <w:r>
        <w:rPr>
          <w:color w:val="231F20"/>
          <w:w w:val="105"/>
        </w:rPr>
        <w:t>embargo,</w:t>
      </w:r>
      <w:r>
        <w:rPr>
          <w:color w:val="231F20"/>
          <w:spacing w:val="-15"/>
          <w:w w:val="105"/>
        </w:rPr>
        <w:t> </w:t>
      </w:r>
      <w:r>
        <w:rPr>
          <w:color w:val="231F20"/>
          <w:w w:val="105"/>
        </w:rPr>
        <w:t>cabe</w:t>
      </w:r>
      <w:r>
        <w:rPr>
          <w:color w:val="231F20"/>
          <w:spacing w:val="-9"/>
          <w:w w:val="105"/>
        </w:rPr>
        <w:t> </w:t>
      </w:r>
      <w:r>
        <w:rPr>
          <w:color w:val="231F20"/>
          <w:w w:val="105"/>
        </w:rPr>
        <w:t>decir</w:t>
      </w:r>
      <w:r>
        <w:rPr>
          <w:color w:val="231F20"/>
          <w:spacing w:val="-9"/>
          <w:w w:val="105"/>
        </w:rPr>
        <w:t> </w:t>
      </w:r>
      <w:r>
        <w:rPr>
          <w:color w:val="231F20"/>
          <w:w w:val="105"/>
        </w:rPr>
        <w:t>que</w:t>
      </w:r>
      <w:r>
        <w:rPr>
          <w:color w:val="231F20"/>
          <w:spacing w:val="-9"/>
          <w:w w:val="105"/>
        </w:rPr>
        <w:t> </w:t>
      </w:r>
      <w:r>
        <w:rPr>
          <w:color w:val="231F20"/>
          <w:w w:val="105"/>
        </w:rPr>
        <w:t>dichas</w:t>
      </w:r>
      <w:r>
        <w:rPr>
          <w:color w:val="231F20"/>
          <w:spacing w:val="-9"/>
          <w:w w:val="105"/>
        </w:rPr>
        <w:t> </w:t>
      </w:r>
      <w:r>
        <w:rPr>
          <w:color w:val="231F20"/>
          <w:w w:val="105"/>
        </w:rPr>
        <w:t>estrategias</w:t>
      </w:r>
      <w:r>
        <w:rPr>
          <w:color w:val="231F20"/>
          <w:spacing w:val="-9"/>
          <w:w w:val="105"/>
        </w:rPr>
        <w:t> </w:t>
      </w:r>
      <w:r>
        <w:rPr>
          <w:color w:val="231F20"/>
          <w:w w:val="105"/>
        </w:rPr>
        <w:t>se</w:t>
      </w:r>
      <w:r>
        <w:rPr>
          <w:color w:val="231F20"/>
          <w:spacing w:val="-9"/>
          <w:w w:val="105"/>
        </w:rPr>
        <w:t> </w:t>
      </w:r>
      <w:r>
        <w:rPr>
          <w:color w:val="231F20"/>
          <w:w w:val="105"/>
        </w:rPr>
        <w:t>relacionan</w:t>
      </w:r>
      <w:r>
        <w:rPr>
          <w:color w:val="231F20"/>
          <w:spacing w:val="-9"/>
          <w:w w:val="105"/>
        </w:rPr>
        <w:t> </w:t>
      </w:r>
      <w:r>
        <w:rPr>
          <w:color w:val="231F20"/>
          <w:w w:val="105"/>
        </w:rPr>
        <w:t>con la</w:t>
      </w:r>
      <w:r>
        <w:rPr>
          <w:color w:val="231F20"/>
          <w:spacing w:val="-12"/>
          <w:w w:val="105"/>
        </w:rPr>
        <w:t> </w:t>
      </w:r>
      <w:r>
        <w:rPr>
          <w:color w:val="231F20"/>
          <w:w w:val="105"/>
        </w:rPr>
        <w:t>utilización</w:t>
      </w:r>
      <w:r>
        <w:rPr>
          <w:color w:val="231F20"/>
          <w:spacing w:val="-12"/>
          <w:w w:val="105"/>
        </w:rPr>
        <w:t> </w:t>
      </w:r>
      <w:r>
        <w:rPr>
          <w:color w:val="231F20"/>
          <w:w w:val="105"/>
        </w:rPr>
        <w:t>de</w:t>
      </w:r>
      <w:r>
        <w:rPr>
          <w:color w:val="231F20"/>
          <w:spacing w:val="-12"/>
          <w:w w:val="105"/>
        </w:rPr>
        <w:t> </w:t>
      </w:r>
      <w:r>
        <w:rPr>
          <w:color w:val="231F20"/>
          <w:w w:val="105"/>
        </w:rPr>
        <w:t>remedios</w:t>
      </w:r>
      <w:r>
        <w:rPr>
          <w:color w:val="231F20"/>
          <w:spacing w:val="-12"/>
          <w:w w:val="105"/>
        </w:rPr>
        <w:t> </w:t>
      </w:r>
      <w:r>
        <w:rPr>
          <w:color w:val="231F20"/>
          <w:w w:val="105"/>
        </w:rPr>
        <w:t>caseros</w:t>
      </w:r>
      <w:r>
        <w:rPr>
          <w:color w:val="231F20"/>
          <w:spacing w:val="-12"/>
          <w:w w:val="105"/>
        </w:rPr>
        <w:t> </w:t>
      </w:r>
      <w:r>
        <w:rPr>
          <w:color w:val="231F20"/>
          <w:w w:val="105"/>
        </w:rPr>
        <w:t>o</w:t>
      </w:r>
      <w:r>
        <w:rPr>
          <w:color w:val="231F20"/>
          <w:spacing w:val="-12"/>
          <w:w w:val="105"/>
        </w:rPr>
        <w:t> </w:t>
      </w:r>
      <w:r>
        <w:rPr>
          <w:color w:val="231F20"/>
          <w:w w:val="105"/>
        </w:rPr>
        <w:t>automedicación,</w:t>
      </w:r>
      <w:r>
        <w:rPr>
          <w:color w:val="231F20"/>
          <w:spacing w:val="-17"/>
          <w:w w:val="105"/>
        </w:rPr>
        <w:t> </w:t>
      </w:r>
      <w:r>
        <w:rPr>
          <w:color w:val="231F20"/>
          <w:w w:val="105"/>
        </w:rPr>
        <w:t>esto</w:t>
      </w:r>
      <w:r>
        <w:rPr>
          <w:color w:val="231F20"/>
          <w:spacing w:val="-12"/>
          <w:w w:val="105"/>
        </w:rPr>
        <w:t> </w:t>
      </w:r>
      <w:r>
        <w:rPr>
          <w:color w:val="231F20"/>
          <w:w w:val="105"/>
        </w:rPr>
        <w:t>ha</w:t>
      </w:r>
      <w:r>
        <w:rPr>
          <w:color w:val="231F20"/>
          <w:spacing w:val="-12"/>
          <w:w w:val="105"/>
        </w:rPr>
        <w:t> </w:t>
      </w:r>
      <w:r>
        <w:rPr>
          <w:color w:val="231F20"/>
          <w:w w:val="105"/>
        </w:rPr>
        <w:t>promovido el</w:t>
      </w:r>
      <w:r>
        <w:rPr>
          <w:color w:val="231F20"/>
          <w:spacing w:val="-12"/>
          <w:w w:val="105"/>
        </w:rPr>
        <w:t> </w:t>
      </w:r>
      <w:r>
        <w:rPr>
          <w:color w:val="231F20"/>
          <w:w w:val="105"/>
        </w:rPr>
        <w:t>autoconsumo</w:t>
      </w:r>
      <w:r>
        <w:rPr>
          <w:color w:val="231F20"/>
          <w:spacing w:val="-12"/>
          <w:w w:val="105"/>
        </w:rPr>
        <w:t> </w:t>
      </w:r>
      <w:r>
        <w:rPr>
          <w:color w:val="231F20"/>
          <w:w w:val="105"/>
        </w:rPr>
        <w:t>de</w:t>
      </w:r>
      <w:r>
        <w:rPr>
          <w:color w:val="231F20"/>
          <w:spacing w:val="-12"/>
          <w:w w:val="105"/>
        </w:rPr>
        <w:t> </w:t>
      </w:r>
      <w:r>
        <w:rPr>
          <w:color w:val="231F20"/>
          <w:w w:val="105"/>
        </w:rPr>
        <w:t>fármacos</w:t>
      </w:r>
      <w:r>
        <w:rPr>
          <w:color w:val="231F20"/>
          <w:spacing w:val="-12"/>
          <w:w w:val="105"/>
        </w:rPr>
        <w:t> </w:t>
      </w:r>
      <w:r>
        <w:rPr>
          <w:color w:val="231F20"/>
          <w:w w:val="105"/>
        </w:rPr>
        <w:t>en</w:t>
      </w:r>
      <w:r>
        <w:rPr>
          <w:color w:val="231F20"/>
          <w:spacing w:val="-12"/>
          <w:w w:val="105"/>
        </w:rPr>
        <w:t> </w:t>
      </w:r>
      <w:r>
        <w:rPr>
          <w:color w:val="231F20"/>
          <w:w w:val="105"/>
        </w:rPr>
        <w:t>niveles</w:t>
      </w:r>
      <w:r>
        <w:rPr>
          <w:color w:val="231F20"/>
          <w:spacing w:val="-12"/>
          <w:w w:val="105"/>
        </w:rPr>
        <w:t> </w:t>
      </w:r>
      <w:r>
        <w:rPr>
          <w:color w:val="231F20"/>
          <w:w w:val="105"/>
        </w:rPr>
        <w:t>bastante</w:t>
      </w:r>
      <w:r>
        <w:rPr>
          <w:color w:val="231F20"/>
          <w:spacing w:val="-12"/>
          <w:w w:val="105"/>
        </w:rPr>
        <w:t> </w:t>
      </w:r>
      <w:r>
        <w:rPr>
          <w:color w:val="231F20"/>
          <w:w w:val="105"/>
        </w:rPr>
        <w:t>altos,</w:t>
      </w:r>
      <w:r>
        <w:rPr>
          <w:color w:val="231F20"/>
          <w:spacing w:val="-17"/>
          <w:w w:val="105"/>
        </w:rPr>
        <w:t> </w:t>
      </w:r>
      <w:r>
        <w:rPr>
          <w:color w:val="231F20"/>
          <w:w w:val="105"/>
        </w:rPr>
        <w:t>al</w:t>
      </w:r>
      <w:r>
        <w:rPr>
          <w:color w:val="231F20"/>
          <w:spacing w:val="-12"/>
          <w:w w:val="105"/>
        </w:rPr>
        <w:t> </w:t>
      </w:r>
      <w:r>
        <w:rPr>
          <w:color w:val="231F20"/>
          <w:w w:val="105"/>
        </w:rPr>
        <w:t>mismo</w:t>
      </w:r>
      <w:r>
        <w:rPr>
          <w:color w:val="231F20"/>
          <w:spacing w:val="-12"/>
          <w:w w:val="105"/>
        </w:rPr>
        <w:t> </w:t>
      </w:r>
      <w:r>
        <w:rPr>
          <w:color w:val="231F20"/>
          <w:w w:val="105"/>
        </w:rPr>
        <w:t>tiempo ha</w:t>
      </w:r>
      <w:r>
        <w:rPr>
          <w:color w:val="231F20"/>
          <w:spacing w:val="-11"/>
          <w:w w:val="105"/>
        </w:rPr>
        <w:t> </w:t>
      </w:r>
      <w:r>
        <w:rPr>
          <w:color w:val="231F20"/>
          <w:w w:val="105"/>
        </w:rPr>
        <w:t>generado</w:t>
      </w:r>
      <w:r>
        <w:rPr>
          <w:color w:val="231F20"/>
          <w:spacing w:val="-11"/>
          <w:w w:val="105"/>
        </w:rPr>
        <w:t> </w:t>
      </w:r>
      <w:r>
        <w:rPr>
          <w:color w:val="231F20"/>
          <w:w w:val="105"/>
        </w:rPr>
        <w:t>la</w:t>
      </w:r>
      <w:r>
        <w:rPr>
          <w:color w:val="231F20"/>
          <w:spacing w:val="-11"/>
          <w:w w:val="105"/>
        </w:rPr>
        <w:t> </w:t>
      </w:r>
      <w:r>
        <w:rPr>
          <w:color w:val="231F20"/>
          <w:w w:val="105"/>
        </w:rPr>
        <w:t>venta</w:t>
      </w:r>
      <w:r>
        <w:rPr>
          <w:color w:val="231F20"/>
          <w:spacing w:val="-11"/>
          <w:w w:val="105"/>
        </w:rPr>
        <w:t> </w:t>
      </w:r>
      <w:r>
        <w:rPr>
          <w:color w:val="231F20"/>
          <w:w w:val="105"/>
        </w:rPr>
        <w:t>de</w:t>
      </w:r>
      <w:r>
        <w:rPr>
          <w:color w:val="231F20"/>
          <w:spacing w:val="-11"/>
          <w:w w:val="105"/>
        </w:rPr>
        <w:t> </w:t>
      </w:r>
      <w:r>
        <w:rPr>
          <w:color w:val="231F20"/>
          <w:w w:val="105"/>
        </w:rPr>
        <w:t>medicamentos</w:t>
      </w:r>
      <w:r>
        <w:rPr>
          <w:color w:val="231F20"/>
          <w:spacing w:val="-11"/>
          <w:w w:val="105"/>
        </w:rPr>
        <w:t> </w:t>
      </w:r>
      <w:r>
        <w:rPr>
          <w:color w:val="231F20"/>
          <w:w w:val="105"/>
        </w:rPr>
        <w:t>sin</w:t>
      </w:r>
      <w:r>
        <w:rPr>
          <w:color w:val="231F20"/>
          <w:spacing w:val="-11"/>
          <w:w w:val="105"/>
        </w:rPr>
        <w:t> </w:t>
      </w:r>
      <w:r>
        <w:rPr>
          <w:color w:val="231F20"/>
          <w:w w:val="105"/>
        </w:rPr>
        <w:t>control</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ciudades</w:t>
      </w:r>
      <w:r>
        <w:rPr>
          <w:color w:val="231F20"/>
          <w:spacing w:val="-11"/>
          <w:w w:val="105"/>
        </w:rPr>
        <w:t> </w:t>
      </w:r>
      <w:r>
        <w:rPr>
          <w:color w:val="231F20"/>
          <w:w w:val="105"/>
        </w:rPr>
        <w:t>fron- terizas</w:t>
      </w:r>
      <w:r>
        <w:rPr>
          <w:color w:val="231F20"/>
          <w:spacing w:val="-18"/>
          <w:w w:val="105"/>
        </w:rPr>
        <w:t> </w:t>
      </w:r>
      <w:r>
        <w:rPr>
          <w:color w:val="231F20"/>
          <w:w w:val="105"/>
        </w:rPr>
        <w:t>mexicanas.</w:t>
      </w:r>
      <w:r>
        <w:rPr>
          <w:color w:val="231F20"/>
          <w:spacing w:val="-24"/>
          <w:w w:val="105"/>
        </w:rPr>
        <w:t> </w:t>
      </w:r>
      <w:r>
        <w:rPr>
          <w:color w:val="231F20"/>
          <w:spacing w:val="-3"/>
          <w:w w:val="105"/>
        </w:rPr>
        <w:t>También,</w:t>
      </w:r>
      <w:r>
        <w:rPr>
          <w:color w:val="231F20"/>
          <w:spacing w:val="-21"/>
          <w:w w:val="105"/>
        </w:rPr>
        <w:t> </w:t>
      </w:r>
      <w:r>
        <w:rPr>
          <w:color w:val="231F20"/>
          <w:w w:val="105"/>
        </w:rPr>
        <w:t>entre</w:t>
      </w:r>
      <w:r>
        <w:rPr>
          <w:color w:val="231F20"/>
          <w:spacing w:val="-18"/>
          <w:w w:val="105"/>
        </w:rPr>
        <w:t> </w:t>
      </w:r>
      <w:r>
        <w:rPr>
          <w:color w:val="231F20"/>
          <w:w w:val="105"/>
        </w:rPr>
        <w:t>otras</w:t>
      </w:r>
      <w:r>
        <w:rPr>
          <w:color w:val="231F20"/>
          <w:spacing w:val="-18"/>
          <w:w w:val="105"/>
        </w:rPr>
        <w:t> </w:t>
      </w:r>
      <w:r>
        <w:rPr>
          <w:color w:val="231F20"/>
          <w:w w:val="105"/>
        </w:rPr>
        <w:t>estrategias</w:t>
      </w:r>
      <w:r>
        <w:rPr>
          <w:color w:val="231F20"/>
          <w:spacing w:val="-18"/>
          <w:w w:val="105"/>
        </w:rPr>
        <w:t> </w:t>
      </w:r>
      <w:r>
        <w:rPr>
          <w:color w:val="231F20"/>
          <w:w w:val="105"/>
        </w:rPr>
        <w:t>se</w:t>
      </w:r>
      <w:r>
        <w:rPr>
          <w:color w:val="231F20"/>
          <w:spacing w:val="-18"/>
          <w:w w:val="105"/>
        </w:rPr>
        <w:t> </w:t>
      </w:r>
      <w:r>
        <w:rPr>
          <w:color w:val="231F20"/>
          <w:w w:val="105"/>
        </w:rPr>
        <w:t>encuentra</w:t>
      </w:r>
      <w:r>
        <w:rPr>
          <w:color w:val="231F20"/>
          <w:spacing w:val="-18"/>
          <w:w w:val="105"/>
        </w:rPr>
        <w:t> </w:t>
      </w:r>
      <w:r>
        <w:rPr>
          <w:color w:val="231F20"/>
          <w:w w:val="105"/>
        </w:rPr>
        <w:t>la</w:t>
      </w:r>
      <w:r>
        <w:rPr>
          <w:color w:val="231F20"/>
          <w:spacing w:val="-18"/>
          <w:w w:val="105"/>
        </w:rPr>
        <w:t> </w:t>
      </w:r>
      <w:r>
        <w:rPr>
          <w:color w:val="231F20"/>
          <w:w w:val="105"/>
        </w:rPr>
        <w:t>con- sulta</w:t>
      </w:r>
      <w:r>
        <w:rPr>
          <w:color w:val="231F20"/>
          <w:spacing w:val="-10"/>
          <w:w w:val="105"/>
        </w:rPr>
        <w:t> </w:t>
      </w:r>
      <w:r>
        <w:rPr>
          <w:color w:val="231F20"/>
          <w:w w:val="105"/>
        </w:rPr>
        <w:t>telefónica</w:t>
      </w:r>
      <w:r>
        <w:rPr>
          <w:color w:val="231F20"/>
          <w:spacing w:val="-10"/>
          <w:w w:val="105"/>
        </w:rPr>
        <w:t> </w:t>
      </w:r>
      <w:r>
        <w:rPr>
          <w:color w:val="231F20"/>
          <w:w w:val="105"/>
        </w:rPr>
        <w:t>con</w:t>
      </w:r>
      <w:r>
        <w:rPr>
          <w:color w:val="231F20"/>
          <w:spacing w:val="-10"/>
          <w:w w:val="105"/>
        </w:rPr>
        <w:t> </w:t>
      </w:r>
      <w:r>
        <w:rPr>
          <w:color w:val="231F20"/>
          <w:w w:val="105"/>
        </w:rPr>
        <w:t>familiares,</w:t>
      </w:r>
      <w:r>
        <w:rPr>
          <w:color w:val="231F20"/>
          <w:spacing w:val="-15"/>
          <w:w w:val="105"/>
        </w:rPr>
        <w:t> </w:t>
      </w:r>
      <w:r>
        <w:rPr>
          <w:color w:val="231F20"/>
          <w:w w:val="105"/>
        </w:rPr>
        <w:t>donde</w:t>
      </w:r>
      <w:r>
        <w:rPr>
          <w:color w:val="231F20"/>
          <w:spacing w:val="-10"/>
          <w:w w:val="105"/>
        </w:rPr>
        <w:t> </w:t>
      </w:r>
      <w:r>
        <w:rPr>
          <w:color w:val="231F20"/>
          <w:w w:val="105"/>
        </w:rPr>
        <w:t>a</w:t>
      </w:r>
      <w:r>
        <w:rPr>
          <w:color w:val="231F20"/>
          <w:spacing w:val="-10"/>
          <w:w w:val="105"/>
        </w:rPr>
        <w:t> </w:t>
      </w:r>
      <w:r>
        <w:rPr>
          <w:color w:val="231F20"/>
          <w:w w:val="105"/>
        </w:rPr>
        <w:t>través</w:t>
      </w:r>
      <w:r>
        <w:rPr>
          <w:color w:val="231F20"/>
          <w:spacing w:val="-10"/>
          <w:w w:val="105"/>
        </w:rPr>
        <w:t> </w:t>
      </w:r>
      <w:r>
        <w:rPr>
          <w:color w:val="231F20"/>
          <w:w w:val="105"/>
        </w:rPr>
        <w:t>de</w:t>
      </w:r>
      <w:r>
        <w:rPr>
          <w:color w:val="231F20"/>
          <w:spacing w:val="-10"/>
          <w:w w:val="105"/>
        </w:rPr>
        <w:t> </w:t>
      </w:r>
      <w:r>
        <w:rPr>
          <w:color w:val="231F20"/>
          <w:w w:val="105"/>
        </w:rPr>
        <w:t>una</w:t>
      </w:r>
      <w:r>
        <w:rPr>
          <w:color w:val="231F20"/>
          <w:spacing w:val="-10"/>
          <w:w w:val="105"/>
        </w:rPr>
        <w:t> </w:t>
      </w:r>
      <w:r>
        <w:rPr>
          <w:color w:val="231F20"/>
          <w:w w:val="105"/>
        </w:rPr>
        <w:t>llamada</w:t>
      </w:r>
      <w:r>
        <w:rPr>
          <w:color w:val="231F20"/>
          <w:spacing w:val="-10"/>
          <w:w w:val="105"/>
        </w:rPr>
        <w:t> </w:t>
      </w:r>
      <w:r>
        <w:rPr>
          <w:color w:val="231F20"/>
          <w:w w:val="105"/>
        </w:rPr>
        <w:t>el</w:t>
      </w:r>
      <w:r>
        <w:rPr>
          <w:color w:val="231F20"/>
          <w:spacing w:val="-10"/>
          <w:w w:val="105"/>
        </w:rPr>
        <w:t> </w:t>
      </w:r>
      <w:r>
        <w:rPr>
          <w:color w:val="231F20"/>
          <w:w w:val="105"/>
        </w:rPr>
        <w:t>o</w:t>
      </w:r>
      <w:r>
        <w:rPr>
          <w:color w:val="231F20"/>
          <w:spacing w:val="-10"/>
          <w:w w:val="105"/>
        </w:rPr>
        <w:t> </w:t>
      </w:r>
      <w:r>
        <w:rPr>
          <w:color w:val="231F20"/>
          <w:w w:val="105"/>
        </w:rPr>
        <w:t>la</w:t>
      </w:r>
      <w:r>
        <w:rPr>
          <w:color w:val="231F20"/>
          <w:spacing w:val="-10"/>
          <w:w w:val="105"/>
        </w:rPr>
        <w:t> </w:t>
      </w:r>
      <w:r>
        <w:rPr>
          <w:color w:val="231F20"/>
          <w:w w:val="105"/>
        </w:rPr>
        <w:t>mi- grante</w:t>
      </w:r>
      <w:r>
        <w:rPr>
          <w:color w:val="231F20"/>
          <w:spacing w:val="-22"/>
          <w:w w:val="105"/>
        </w:rPr>
        <w:t> </w:t>
      </w:r>
      <w:r>
        <w:rPr>
          <w:color w:val="231F20"/>
          <w:w w:val="105"/>
        </w:rPr>
        <w:t>expresa</w:t>
      </w:r>
      <w:r>
        <w:rPr>
          <w:color w:val="231F20"/>
          <w:spacing w:val="-22"/>
          <w:w w:val="105"/>
        </w:rPr>
        <w:t> </w:t>
      </w:r>
      <w:r>
        <w:rPr>
          <w:color w:val="231F20"/>
          <w:w w:val="105"/>
        </w:rPr>
        <w:t>los</w:t>
      </w:r>
      <w:r>
        <w:rPr>
          <w:color w:val="231F20"/>
          <w:spacing w:val="-22"/>
          <w:w w:val="105"/>
        </w:rPr>
        <w:t> </w:t>
      </w:r>
      <w:r>
        <w:rPr>
          <w:color w:val="231F20"/>
          <w:w w:val="105"/>
        </w:rPr>
        <w:t>síntomas</w:t>
      </w:r>
      <w:r>
        <w:rPr>
          <w:color w:val="231F20"/>
          <w:spacing w:val="-22"/>
          <w:w w:val="105"/>
        </w:rPr>
        <w:t> </w:t>
      </w:r>
      <w:r>
        <w:rPr>
          <w:color w:val="231F20"/>
          <w:w w:val="105"/>
        </w:rPr>
        <w:t>y</w:t>
      </w:r>
      <w:r>
        <w:rPr>
          <w:color w:val="231F20"/>
          <w:spacing w:val="-22"/>
          <w:w w:val="105"/>
        </w:rPr>
        <w:t> </w:t>
      </w:r>
      <w:r>
        <w:rPr>
          <w:color w:val="231F20"/>
          <w:w w:val="105"/>
        </w:rPr>
        <w:t>los</w:t>
      </w:r>
      <w:r>
        <w:rPr>
          <w:color w:val="231F20"/>
          <w:spacing w:val="-22"/>
          <w:w w:val="105"/>
        </w:rPr>
        <w:t> </w:t>
      </w:r>
      <w:r>
        <w:rPr>
          <w:color w:val="231F20"/>
          <w:w w:val="105"/>
        </w:rPr>
        <w:t>familiares</w:t>
      </w:r>
      <w:r>
        <w:rPr>
          <w:color w:val="231F20"/>
          <w:spacing w:val="-22"/>
          <w:w w:val="105"/>
        </w:rPr>
        <w:t> </w:t>
      </w:r>
      <w:r>
        <w:rPr>
          <w:color w:val="231F20"/>
          <w:w w:val="105"/>
        </w:rPr>
        <w:t>acuden</w:t>
      </w:r>
      <w:r>
        <w:rPr>
          <w:color w:val="231F20"/>
          <w:spacing w:val="-22"/>
          <w:w w:val="105"/>
        </w:rPr>
        <w:t> </w:t>
      </w:r>
      <w:r>
        <w:rPr>
          <w:color w:val="231F20"/>
          <w:w w:val="105"/>
        </w:rPr>
        <w:t>a</w:t>
      </w:r>
      <w:r>
        <w:rPr>
          <w:color w:val="231F20"/>
          <w:spacing w:val="-22"/>
          <w:w w:val="105"/>
        </w:rPr>
        <w:t> </w:t>
      </w:r>
      <w:r>
        <w:rPr>
          <w:color w:val="231F20"/>
          <w:w w:val="105"/>
        </w:rPr>
        <w:t>una</w:t>
      </w:r>
      <w:r>
        <w:rPr>
          <w:color w:val="231F20"/>
          <w:spacing w:val="-22"/>
          <w:w w:val="105"/>
        </w:rPr>
        <w:t> </w:t>
      </w:r>
      <w:r>
        <w:rPr>
          <w:color w:val="231F20"/>
          <w:w w:val="105"/>
        </w:rPr>
        <w:t>unidad</w:t>
      </w:r>
      <w:r>
        <w:rPr>
          <w:color w:val="231F20"/>
          <w:spacing w:val="-22"/>
          <w:w w:val="105"/>
        </w:rPr>
        <w:t> </w:t>
      </w:r>
      <w:r>
        <w:rPr>
          <w:color w:val="231F20"/>
          <w:w w:val="105"/>
        </w:rPr>
        <w:t>médica de</w:t>
      </w:r>
      <w:r>
        <w:rPr>
          <w:color w:val="231F20"/>
          <w:spacing w:val="-16"/>
          <w:w w:val="105"/>
        </w:rPr>
        <w:t> </w:t>
      </w:r>
      <w:r>
        <w:rPr>
          <w:color w:val="231F20"/>
          <w:w w:val="105"/>
        </w:rPr>
        <w:t>salud</w:t>
      </w:r>
      <w:r>
        <w:rPr>
          <w:color w:val="231F20"/>
          <w:spacing w:val="-16"/>
          <w:w w:val="105"/>
        </w:rPr>
        <w:t> </w:t>
      </w:r>
      <w:r>
        <w:rPr>
          <w:color w:val="231F20"/>
          <w:w w:val="105"/>
        </w:rPr>
        <w:t>pública</w:t>
      </w:r>
      <w:r>
        <w:rPr>
          <w:color w:val="231F20"/>
          <w:spacing w:val="-16"/>
          <w:w w:val="105"/>
        </w:rPr>
        <w:t> </w:t>
      </w:r>
      <w:r>
        <w:rPr>
          <w:color w:val="231F20"/>
          <w:w w:val="105"/>
        </w:rPr>
        <w:t>o</w:t>
      </w:r>
      <w:r>
        <w:rPr>
          <w:color w:val="231F20"/>
          <w:spacing w:val="-16"/>
          <w:w w:val="105"/>
        </w:rPr>
        <w:t> </w:t>
      </w:r>
      <w:r>
        <w:rPr>
          <w:color w:val="231F20"/>
          <w:w w:val="105"/>
        </w:rPr>
        <w:t>privada</w:t>
      </w:r>
      <w:r>
        <w:rPr>
          <w:color w:val="231F20"/>
          <w:spacing w:val="-16"/>
          <w:w w:val="105"/>
        </w:rPr>
        <w:t> </w:t>
      </w:r>
      <w:r>
        <w:rPr>
          <w:color w:val="231F20"/>
          <w:w w:val="105"/>
        </w:rPr>
        <w:t>para</w:t>
      </w:r>
      <w:r>
        <w:rPr>
          <w:color w:val="231F20"/>
          <w:spacing w:val="-16"/>
          <w:w w:val="105"/>
        </w:rPr>
        <w:t> </w:t>
      </w:r>
      <w:r>
        <w:rPr>
          <w:color w:val="231F20"/>
          <w:w w:val="105"/>
        </w:rPr>
        <w:t>consultarle</w:t>
      </w:r>
      <w:r>
        <w:rPr>
          <w:color w:val="231F20"/>
          <w:spacing w:val="-16"/>
          <w:w w:val="105"/>
        </w:rPr>
        <w:t> </w:t>
      </w:r>
      <w:r>
        <w:rPr>
          <w:color w:val="231F20"/>
          <w:w w:val="105"/>
        </w:rPr>
        <w:t>al</w:t>
      </w:r>
      <w:r>
        <w:rPr>
          <w:color w:val="231F20"/>
          <w:spacing w:val="-16"/>
          <w:w w:val="105"/>
        </w:rPr>
        <w:t> </w:t>
      </w:r>
      <w:r>
        <w:rPr>
          <w:color w:val="231F20"/>
          <w:w w:val="105"/>
        </w:rPr>
        <w:t>médico</w:t>
      </w:r>
      <w:r>
        <w:rPr>
          <w:color w:val="231F20"/>
          <w:spacing w:val="-16"/>
          <w:w w:val="105"/>
        </w:rPr>
        <w:t> </w:t>
      </w:r>
      <w:r>
        <w:rPr>
          <w:color w:val="231F20"/>
          <w:w w:val="105"/>
        </w:rPr>
        <w:t>sobre</w:t>
      </w:r>
      <w:r>
        <w:rPr>
          <w:color w:val="231F20"/>
          <w:spacing w:val="-16"/>
          <w:w w:val="105"/>
        </w:rPr>
        <w:t> </w:t>
      </w:r>
      <w:r>
        <w:rPr>
          <w:color w:val="231F20"/>
          <w:w w:val="105"/>
        </w:rPr>
        <w:t>los</w:t>
      </w:r>
      <w:r>
        <w:rPr>
          <w:color w:val="231F20"/>
          <w:spacing w:val="-16"/>
          <w:w w:val="105"/>
        </w:rPr>
        <w:t> </w:t>
      </w:r>
      <w:r>
        <w:rPr>
          <w:color w:val="231F20"/>
          <w:w w:val="105"/>
        </w:rPr>
        <w:t>síntomas expresados y formular un diagnóstico aproximado para la prescripción de algunos fármacos. De igual forma, cuando el padecimiento es</w:t>
      </w:r>
      <w:r>
        <w:rPr>
          <w:color w:val="231F20"/>
          <w:spacing w:val="-30"/>
          <w:w w:val="105"/>
        </w:rPr>
        <w:t> </w:t>
      </w:r>
      <w:r>
        <w:rPr>
          <w:color w:val="231F20"/>
          <w:w w:val="105"/>
        </w:rPr>
        <w:t>grave y</w:t>
      </w:r>
      <w:r>
        <w:rPr>
          <w:color w:val="231F20"/>
          <w:spacing w:val="-18"/>
          <w:w w:val="105"/>
        </w:rPr>
        <w:t> </w:t>
      </w:r>
      <w:r>
        <w:rPr>
          <w:color w:val="231F20"/>
          <w:w w:val="105"/>
        </w:rPr>
        <w:t>se</w:t>
      </w:r>
      <w:r>
        <w:rPr>
          <w:color w:val="231F20"/>
          <w:spacing w:val="-18"/>
          <w:w w:val="105"/>
        </w:rPr>
        <w:t> </w:t>
      </w:r>
      <w:r>
        <w:rPr>
          <w:color w:val="231F20"/>
          <w:w w:val="105"/>
        </w:rPr>
        <w:t>requiere</w:t>
      </w:r>
      <w:r>
        <w:rPr>
          <w:color w:val="231F20"/>
          <w:spacing w:val="-18"/>
          <w:w w:val="105"/>
        </w:rPr>
        <w:t> </w:t>
      </w:r>
      <w:r>
        <w:rPr>
          <w:color w:val="231F20"/>
          <w:w w:val="105"/>
        </w:rPr>
        <w:t>atención</w:t>
      </w:r>
      <w:r>
        <w:rPr>
          <w:color w:val="231F20"/>
          <w:spacing w:val="-18"/>
          <w:w w:val="105"/>
        </w:rPr>
        <w:t> </w:t>
      </w:r>
      <w:r>
        <w:rPr>
          <w:color w:val="231F20"/>
          <w:w w:val="105"/>
        </w:rPr>
        <w:t>de</w:t>
      </w:r>
      <w:r>
        <w:rPr>
          <w:color w:val="231F20"/>
          <w:spacing w:val="-18"/>
          <w:w w:val="105"/>
        </w:rPr>
        <w:t> </w:t>
      </w:r>
      <w:r>
        <w:rPr>
          <w:color w:val="231F20"/>
          <w:w w:val="105"/>
        </w:rPr>
        <w:t>urgencias,</w:t>
      </w:r>
      <w:r>
        <w:rPr>
          <w:color w:val="231F20"/>
          <w:spacing w:val="-23"/>
          <w:w w:val="105"/>
        </w:rPr>
        <w:t> </w:t>
      </w:r>
      <w:r>
        <w:rPr>
          <w:color w:val="231F20"/>
          <w:w w:val="105"/>
        </w:rPr>
        <w:t>la</w:t>
      </w:r>
      <w:r>
        <w:rPr>
          <w:color w:val="231F20"/>
          <w:spacing w:val="-18"/>
          <w:w w:val="105"/>
        </w:rPr>
        <w:t> </w:t>
      </w:r>
      <w:r>
        <w:rPr>
          <w:color w:val="231F20"/>
          <w:w w:val="105"/>
        </w:rPr>
        <w:t>única</w:t>
      </w:r>
      <w:r>
        <w:rPr>
          <w:color w:val="231F20"/>
          <w:spacing w:val="-18"/>
          <w:w w:val="105"/>
        </w:rPr>
        <w:t> </w:t>
      </w:r>
      <w:r>
        <w:rPr>
          <w:color w:val="231F20"/>
          <w:w w:val="105"/>
        </w:rPr>
        <w:t>opción</w:t>
      </w:r>
      <w:r>
        <w:rPr>
          <w:color w:val="231F20"/>
          <w:spacing w:val="-18"/>
          <w:w w:val="105"/>
        </w:rPr>
        <w:t> </w:t>
      </w:r>
      <w:r>
        <w:rPr>
          <w:color w:val="231F20"/>
          <w:w w:val="105"/>
        </w:rPr>
        <w:t>es</w:t>
      </w:r>
      <w:r>
        <w:rPr>
          <w:color w:val="231F20"/>
          <w:spacing w:val="-18"/>
          <w:w w:val="105"/>
        </w:rPr>
        <w:t> </w:t>
      </w:r>
      <w:r>
        <w:rPr>
          <w:color w:val="231F20"/>
          <w:w w:val="105"/>
        </w:rPr>
        <w:t>la</w:t>
      </w:r>
      <w:r>
        <w:rPr>
          <w:color w:val="231F20"/>
          <w:spacing w:val="-18"/>
          <w:w w:val="105"/>
        </w:rPr>
        <w:t> </w:t>
      </w:r>
      <w:r>
        <w:rPr>
          <w:color w:val="231F20"/>
          <w:w w:val="105"/>
        </w:rPr>
        <w:t>atención</w:t>
      </w:r>
      <w:r>
        <w:rPr>
          <w:color w:val="231F20"/>
          <w:spacing w:val="-18"/>
          <w:w w:val="105"/>
        </w:rPr>
        <w:t> </w:t>
      </w:r>
      <w:r>
        <w:rPr>
          <w:color w:val="231F20"/>
          <w:w w:val="105"/>
        </w:rPr>
        <w:t>en</w:t>
      </w:r>
      <w:r>
        <w:rPr>
          <w:color w:val="231F20"/>
          <w:spacing w:val="-18"/>
          <w:w w:val="105"/>
        </w:rPr>
        <w:t> </w:t>
      </w:r>
      <w:r>
        <w:rPr>
          <w:color w:val="231F20"/>
          <w:w w:val="105"/>
        </w:rPr>
        <w:t>los servicios</w:t>
      </w:r>
      <w:r>
        <w:rPr>
          <w:color w:val="231F20"/>
          <w:spacing w:val="-14"/>
          <w:w w:val="105"/>
        </w:rPr>
        <w:t> </w:t>
      </w:r>
      <w:r>
        <w:rPr>
          <w:color w:val="231F20"/>
          <w:w w:val="105"/>
        </w:rPr>
        <w:t>de</w:t>
      </w:r>
      <w:r>
        <w:rPr>
          <w:color w:val="231F20"/>
          <w:spacing w:val="-14"/>
          <w:w w:val="105"/>
        </w:rPr>
        <w:t> </w:t>
      </w:r>
      <w:r>
        <w:rPr>
          <w:color w:val="231F20"/>
          <w:w w:val="105"/>
        </w:rPr>
        <w:t>salud</w:t>
      </w:r>
      <w:r>
        <w:rPr>
          <w:color w:val="231F20"/>
          <w:spacing w:val="-14"/>
          <w:w w:val="105"/>
        </w:rPr>
        <w:t> </w:t>
      </w:r>
      <w:r>
        <w:rPr>
          <w:color w:val="231F20"/>
          <w:w w:val="105"/>
        </w:rPr>
        <w:t>privados,</w:t>
      </w:r>
      <w:r>
        <w:rPr>
          <w:color w:val="231F20"/>
          <w:spacing w:val="-20"/>
          <w:w w:val="105"/>
        </w:rPr>
        <w:t> </w:t>
      </w:r>
      <w:r>
        <w:rPr>
          <w:color w:val="231F20"/>
          <w:w w:val="105"/>
        </w:rPr>
        <w:t>pero</w:t>
      </w:r>
      <w:r>
        <w:rPr>
          <w:color w:val="231F20"/>
          <w:spacing w:val="-14"/>
          <w:w w:val="105"/>
        </w:rPr>
        <w:t> </w:t>
      </w:r>
      <w:r>
        <w:rPr>
          <w:color w:val="231F20"/>
          <w:w w:val="105"/>
        </w:rPr>
        <w:t>siempre</w:t>
      </w:r>
      <w:r>
        <w:rPr>
          <w:color w:val="231F20"/>
          <w:spacing w:val="-14"/>
          <w:w w:val="105"/>
        </w:rPr>
        <w:t> </w:t>
      </w:r>
      <w:r>
        <w:rPr>
          <w:color w:val="231F20"/>
          <w:w w:val="105"/>
        </w:rPr>
        <w:t>buscando</w:t>
      </w:r>
      <w:r>
        <w:rPr>
          <w:color w:val="231F20"/>
          <w:spacing w:val="-14"/>
          <w:w w:val="105"/>
        </w:rPr>
        <w:t> </w:t>
      </w:r>
      <w:r>
        <w:rPr>
          <w:color w:val="231F20"/>
          <w:w w:val="105"/>
        </w:rPr>
        <w:t>la</w:t>
      </w:r>
      <w:r>
        <w:rPr>
          <w:color w:val="231F20"/>
          <w:spacing w:val="-14"/>
          <w:w w:val="105"/>
        </w:rPr>
        <w:t> </w:t>
      </w:r>
      <w:r>
        <w:rPr>
          <w:color w:val="231F20"/>
          <w:w w:val="105"/>
        </w:rPr>
        <w:t>atención</w:t>
      </w:r>
      <w:r>
        <w:rPr>
          <w:color w:val="231F20"/>
          <w:spacing w:val="-14"/>
          <w:w w:val="105"/>
        </w:rPr>
        <w:t> </w:t>
      </w:r>
      <w:r>
        <w:rPr>
          <w:color w:val="231F20"/>
          <w:w w:val="105"/>
        </w:rPr>
        <w:t>con</w:t>
      </w:r>
      <w:r>
        <w:rPr>
          <w:color w:val="231F20"/>
          <w:spacing w:val="-14"/>
          <w:w w:val="105"/>
        </w:rPr>
        <w:t> </w:t>
      </w:r>
      <w:r>
        <w:rPr>
          <w:color w:val="231F20"/>
          <w:w w:val="105"/>
        </w:rPr>
        <w:t>pro- fesionales que no los delaten con las autoridades migratorias</w:t>
      </w:r>
      <w:r>
        <w:rPr>
          <w:color w:val="231F20"/>
          <w:spacing w:val="-18"/>
          <w:w w:val="105"/>
        </w:rPr>
        <w:t> </w:t>
      </w:r>
      <w:r>
        <w:rPr>
          <w:color w:val="231F20"/>
          <w:w w:val="105"/>
        </w:rPr>
        <w:t>(Nigenda </w:t>
      </w:r>
      <w:r>
        <w:rPr>
          <w:rFonts w:ascii="Arial" w:hAnsi="Arial"/>
          <w:i/>
          <w:color w:val="231F20"/>
          <w:w w:val="105"/>
        </w:rPr>
        <w:t>et</w:t>
      </w:r>
      <w:r>
        <w:rPr>
          <w:rFonts w:ascii="Arial" w:hAnsi="Arial"/>
          <w:i/>
          <w:color w:val="231F20"/>
          <w:spacing w:val="-31"/>
          <w:w w:val="105"/>
        </w:rPr>
        <w:t> </w:t>
      </w:r>
      <w:r>
        <w:rPr>
          <w:rFonts w:ascii="Arial" w:hAnsi="Arial"/>
          <w:i/>
          <w:color w:val="231F20"/>
          <w:w w:val="105"/>
        </w:rPr>
        <w:t>al.,</w:t>
      </w:r>
      <w:r>
        <w:rPr>
          <w:rFonts w:ascii="Arial" w:hAnsi="Arial"/>
          <w:i/>
          <w:color w:val="231F20"/>
          <w:spacing w:val="-35"/>
          <w:w w:val="105"/>
        </w:rPr>
        <w:t> </w:t>
      </w:r>
      <w:r>
        <w:rPr>
          <w:color w:val="231F20"/>
          <w:w w:val="105"/>
        </w:rPr>
        <w:t>2009).</w:t>
      </w:r>
    </w:p>
    <w:p>
      <w:pPr>
        <w:pStyle w:val="BodyText"/>
        <w:spacing w:line="261" w:lineRule="auto"/>
        <w:ind w:left="1723" w:right="1835" w:firstLine="567"/>
        <w:jc w:val="both"/>
      </w:pPr>
      <w:r>
        <w:rPr>
          <w:color w:val="231F20"/>
          <w:w w:val="105"/>
        </w:rPr>
        <w:t>En el </w:t>
      </w:r>
      <w:r>
        <w:rPr>
          <w:color w:val="231F20"/>
          <w:spacing w:val="-3"/>
          <w:w w:val="105"/>
        </w:rPr>
        <w:t>mismo orden </w:t>
      </w:r>
      <w:r>
        <w:rPr>
          <w:color w:val="231F20"/>
          <w:w w:val="105"/>
        </w:rPr>
        <w:t>de </w:t>
      </w:r>
      <w:r>
        <w:rPr>
          <w:color w:val="231F20"/>
          <w:spacing w:val="-3"/>
          <w:w w:val="105"/>
        </w:rPr>
        <w:t>ideas, otra </w:t>
      </w:r>
      <w:r>
        <w:rPr>
          <w:color w:val="231F20"/>
          <w:spacing w:val="-4"/>
          <w:w w:val="105"/>
        </w:rPr>
        <w:t>estrategia </w:t>
      </w:r>
      <w:r>
        <w:rPr>
          <w:color w:val="231F20"/>
          <w:spacing w:val="-3"/>
          <w:w w:val="105"/>
        </w:rPr>
        <w:t>importante </w:t>
      </w:r>
      <w:r>
        <w:rPr>
          <w:color w:val="231F20"/>
          <w:w w:val="105"/>
        </w:rPr>
        <w:t>es la </w:t>
      </w:r>
      <w:r>
        <w:rPr>
          <w:color w:val="231F20"/>
          <w:spacing w:val="-3"/>
          <w:w w:val="105"/>
        </w:rPr>
        <w:t>de trasladarse</w:t>
      </w:r>
      <w:r>
        <w:rPr>
          <w:color w:val="231F20"/>
          <w:spacing w:val="-11"/>
          <w:w w:val="105"/>
        </w:rPr>
        <w:t> </w:t>
      </w:r>
      <w:r>
        <w:rPr>
          <w:color w:val="231F20"/>
          <w:w w:val="105"/>
        </w:rPr>
        <w:t>a</w:t>
      </w:r>
      <w:r>
        <w:rPr>
          <w:color w:val="231F20"/>
          <w:spacing w:val="-11"/>
          <w:w w:val="105"/>
        </w:rPr>
        <w:t> </w:t>
      </w:r>
      <w:r>
        <w:rPr>
          <w:color w:val="231F20"/>
          <w:spacing w:val="-3"/>
          <w:w w:val="105"/>
        </w:rPr>
        <w:t>ciudades</w:t>
      </w:r>
      <w:r>
        <w:rPr>
          <w:color w:val="231F20"/>
          <w:spacing w:val="-11"/>
          <w:w w:val="105"/>
        </w:rPr>
        <w:t> </w:t>
      </w:r>
      <w:r>
        <w:rPr>
          <w:color w:val="231F20"/>
          <w:spacing w:val="-3"/>
          <w:w w:val="105"/>
        </w:rPr>
        <w:t>fronterizas,</w:t>
      </w:r>
      <w:r>
        <w:rPr>
          <w:color w:val="231F20"/>
          <w:spacing w:val="-16"/>
          <w:w w:val="105"/>
        </w:rPr>
        <w:t> </w:t>
      </w:r>
      <w:r>
        <w:rPr>
          <w:color w:val="231F20"/>
          <w:w w:val="105"/>
        </w:rPr>
        <w:t>no</w:t>
      </w:r>
      <w:r>
        <w:rPr>
          <w:color w:val="231F20"/>
          <w:spacing w:val="-11"/>
          <w:w w:val="105"/>
        </w:rPr>
        <w:t> </w:t>
      </w:r>
      <w:r>
        <w:rPr>
          <w:color w:val="231F20"/>
          <w:spacing w:val="-3"/>
          <w:w w:val="105"/>
        </w:rPr>
        <w:t>obstante,</w:t>
      </w:r>
      <w:r>
        <w:rPr>
          <w:color w:val="231F20"/>
          <w:spacing w:val="-16"/>
          <w:w w:val="105"/>
        </w:rPr>
        <w:t> </w:t>
      </w:r>
      <w:r>
        <w:rPr>
          <w:color w:val="231F20"/>
          <w:w w:val="105"/>
        </w:rPr>
        <w:t>se</w:t>
      </w:r>
      <w:r>
        <w:rPr>
          <w:color w:val="231F20"/>
          <w:spacing w:val="-11"/>
          <w:w w:val="105"/>
        </w:rPr>
        <w:t> </w:t>
      </w:r>
      <w:r>
        <w:rPr>
          <w:color w:val="231F20"/>
          <w:spacing w:val="-3"/>
          <w:w w:val="105"/>
        </w:rPr>
        <w:t>encuentra</w:t>
      </w:r>
      <w:r>
        <w:rPr>
          <w:color w:val="231F20"/>
          <w:spacing w:val="-11"/>
          <w:w w:val="105"/>
        </w:rPr>
        <w:t> </w:t>
      </w:r>
      <w:r>
        <w:rPr>
          <w:color w:val="231F20"/>
          <w:w w:val="105"/>
        </w:rPr>
        <w:t>el</w:t>
      </w:r>
      <w:r>
        <w:rPr>
          <w:color w:val="231F20"/>
          <w:spacing w:val="-11"/>
          <w:w w:val="105"/>
        </w:rPr>
        <w:t> </w:t>
      </w:r>
      <w:r>
        <w:rPr>
          <w:color w:val="231F20"/>
          <w:spacing w:val="-3"/>
          <w:w w:val="105"/>
        </w:rPr>
        <w:t>riesgo</w:t>
      </w:r>
      <w:r>
        <w:rPr>
          <w:color w:val="231F20"/>
          <w:spacing w:val="-11"/>
          <w:w w:val="105"/>
        </w:rPr>
        <w:t> </w:t>
      </w:r>
      <w:r>
        <w:rPr>
          <w:color w:val="231F20"/>
          <w:spacing w:val="-3"/>
          <w:w w:val="105"/>
        </w:rPr>
        <w:t>de </w:t>
      </w:r>
      <w:r>
        <w:rPr>
          <w:color w:val="231F20"/>
          <w:w w:val="105"/>
        </w:rPr>
        <w:t>ser </w:t>
      </w:r>
      <w:r>
        <w:rPr>
          <w:color w:val="231F20"/>
          <w:spacing w:val="-3"/>
          <w:w w:val="105"/>
        </w:rPr>
        <w:t>detenidos </w:t>
      </w:r>
      <w:r>
        <w:rPr>
          <w:color w:val="231F20"/>
          <w:w w:val="105"/>
        </w:rPr>
        <w:t>por las </w:t>
      </w:r>
      <w:r>
        <w:rPr>
          <w:color w:val="231F20"/>
          <w:spacing w:val="-3"/>
          <w:w w:val="105"/>
        </w:rPr>
        <w:t>autoridades </w:t>
      </w:r>
      <w:r>
        <w:rPr>
          <w:color w:val="231F20"/>
          <w:spacing w:val="-4"/>
          <w:w w:val="105"/>
        </w:rPr>
        <w:t>migratorias </w:t>
      </w:r>
      <w:r>
        <w:rPr>
          <w:color w:val="231F20"/>
          <w:spacing w:val="-3"/>
          <w:w w:val="105"/>
        </w:rPr>
        <w:t>estadounidenses. </w:t>
      </w:r>
      <w:r>
        <w:rPr>
          <w:color w:val="231F20"/>
          <w:spacing w:val="-6"/>
          <w:w w:val="105"/>
        </w:rPr>
        <w:t>También </w:t>
      </w:r>
      <w:r>
        <w:rPr>
          <w:color w:val="231F20"/>
          <w:spacing w:val="-3"/>
          <w:w w:val="105"/>
        </w:rPr>
        <w:t>existe </w:t>
      </w:r>
      <w:r>
        <w:rPr>
          <w:color w:val="231F20"/>
          <w:w w:val="105"/>
        </w:rPr>
        <w:t>la </w:t>
      </w:r>
      <w:r>
        <w:rPr>
          <w:color w:val="231F20"/>
          <w:spacing w:val="-3"/>
          <w:w w:val="105"/>
        </w:rPr>
        <w:t>posibilidad </w:t>
      </w:r>
      <w:r>
        <w:rPr>
          <w:color w:val="231F20"/>
          <w:w w:val="105"/>
        </w:rPr>
        <w:t>de </w:t>
      </w:r>
      <w:r>
        <w:rPr>
          <w:color w:val="231F20"/>
          <w:spacing w:val="-3"/>
          <w:w w:val="105"/>
        </w:rPr>
        <w:t>retornar </w:t>
      </w:r>
      <w:r>
        <w:rPr>
          <w:color w:val="231F20"/>
          <w:w w:val="105"/>
        </w:rPr>
        <w:t>al </w:t>
      </w:r>
      <w:r>
        <w:rPr>
          <w:color w:val="231F20"/>
          <w:spacing w:val="-3"/>
          <w:w w:val="105"/>
        </w:rPr>
        <w:t>lugar </w:t>
      </w:r>
      <w:r>
        <w:rPr>
          <w:color w:val="231F20"/>
          <w:w w:val="105"/>
        </w:rPr>
        <w:t>de </w:t>
      </w:r>
      <w:r>
        <w:rPr>
          <w:color w:val="231F20"/>
          <w:spacing w:val="-3"/>
          <w:w w:val="105"/>
        </w:rPr>
        <w:t>origen, sobre todo cuando el migrante tiene algún problema </w:t>
      </w:r>
      <w:r>
        <w:rPr>
          <w:color w:val="231F20"/>
          <w:w w:val="105"/>
        </w:rPr>
        <w:t>de </w:t>
      </w:r>
      <w:r>
        <w:rPr>
          <w:color w:val="231F20"/>
          <w:spacing w:val="-3"/>
          <w:w w:val="105"/>
        </w:rPr>
        <w:t>salud </w:t>
      </w:r>
      <w:r>
        <w:rPr>
          <w:color w:val="231F20"/>
          <w:w w:val="105"/>
        </w:rPr>
        <w:t>que le </w:t>
      </w:r>
      <w:r>
        <w:rPr>
          <w:color w:val="231F20"/>
          <w:spacing w:val="-3"/>
          <w:w w:val="105"/>
        </w:rPr>
        <w:t>impide </w:t>
      </w:r>
      <w:r>
        <w:rPr>
          <w:color w:val="231F20"/>
          <w:spacing w:val="-4"/>
          <w:w w:val="105"/>
        </w:rPr>
        <w:t>trabajar, </w:t>
      </w:r>
      <w:r>
        <w:rPr>
          <w:color w:val="231F20"/>
          <w:w w:val="105"/>
        </w:rPr>
        <w:t>o </w:t>
      </w:r>
      <w:r>
        <w:rPr>
          <w:color w:val="231F20"/>
          <w:spacing w:val="-3"/>
          <w:w w:val="105"/>
        </w:rPr>
        <w:t>bien es </w:t>
      </w:r>
      <w:r>
        <w:rPr>
          <w:color w:val="231F20"/>
          <w:w w:val="105"/>
        </w:rPr>
        <w:t>una</w:t>
      </w:r>
      <w:r>
        <w:rPr>
          <w:color w:val="231F20"/>
          <w:spacing w:val="-15"/>
          <w:w w:val="105"/>
        </w:rPr>
        <w:t> </w:t>
      </w:r>
      <w:r>
        <w:rPr>
          <w:color w:val="231F20"/>
          <w:spacing w:val="-3"/>
          <w:w w:val="105"/>
        </w:rPr>
        <w:t>enfermedad</w:t>
      </w:r>
      <w:r>
        <w:rPr>
          <w:color w:val="231F20"/>
          <w:spacing w:val="-15"/>
          <w:w w:val="105"/>
        </w:rPr>
        <w:t> </w:t>
      </w:r>
      <w:r>
        <w:rPr>
          <w:color w:val="231F20"/>
          <w:w w:val="105"/>
        </w:rPr>
        <w:t>con</w:t>
      </w:r>
      <w:r>
        <w:rPr>
          <w:color w:val="231F20"/>
          <w:spacing w:val="-15"/>
          <w:w w:val="105"/>
        </w:rPr>
        <w:t> </w:t>
      </w:r>
      <w:r>
        <w:rPr>
          <w:color w:val="231F20"/>
          <w:spacing w:val="-3"/>
          <w:w w:val="105"/>
        </w:rPr>
        <w:t>costos</w:t>
      </w:r>
      <w:r>
        <w:rPr>
          <w:color w:val="231F20"/>
          <w:spacing w:val="-15"/>
          <w:w w:val="105"/>
        </w:rPr>
        <w:t> </w:t>
      </w:r>
      <w:r>
        <w:rPr>
          <w:color w:val="231F20"/>
          <w:w w:val="105"/>
        </w:rPr>
        <w:t>muy</w:t>
      </w:r>
      <w:r>
        <w:rPr>
          <w:color w:val="231F20"/>
          <w:spacing w:val="-15"/>
          <w:w w:val="105"/>
        </w:rPr>
        <w:t> </w:t>
      </w:r>
      <w:r>
        <w:rPr>
          <w:color w:val="231F20"/>
          <w:spacing w:val="-3"/>
          <w:w w:val="105"/>
        </w:rPr>
        <w:t>elevados</w:t>
      </w:r>
      <w:r>
        <w:rPr>
          <w:color w:val="231F20"/>
          <w:spacing w:val="-15"/>
          <w:w w:val="105"/>
        </w:rPr>
        <w:t> </w:t>
      </w:r>
      <w:r>
        <w:rPr>
          <w:color w:val="231F20"/>
          <w:spacing w:val="-3"/>
          <w:w w:val="105"/>
        </w:rPr>
        <w:t>para</w:t>
      </w:r>
      <w:r>
        <w:rPr>
          <w:color w:val="231F20"/>
          <w:spacing w:val="-15"/>
          <w:w w:val="105"/>
        </w:rPr>
        <w:t> </w:t>
      </w:r>
      <w:r>
        <w:rPr>
          <w:color w:val="231F20"/>
          <w:w w:val="105"/>
        </w:rPr>
        <w:t>su</w:t>
      </w:r>
      <w:r>
        <w:rPr>
          <w:color w:val="231F20"/>
          <w:spacing w:val="-15"/>
          <w:w w:val="105"/>
        </w:rPr>
        <w:t> </w:t>
      </w:r>
      <w:r>
        <w:rPr>
          <w:color w:val="231F20"/>
          <w:spacing w:val="-4"/>
          <w:w w:val="105"/>
        </w:rPr>
        <w:t>tratamiento.</w:t>
      </w:r>
      <w:r>
        <w:rPr>
          <w:color w:val="231F20"/>
          <w:spacing w:val="-20"/>
          <w:w w:val="105"/>
        </w:rPr>
        <w:t> </w:t>
      </w:r>
      <w:r>
        <w:rPr>
          <w:color w:val="231F20"/>
          <w:spacing w:val="-7"/>
          <w:w w:val="105"/>
        </w:rPr>
        <w:t>Por</w:t>
      </w:r>
      <w:r>
        <w:rPr>
          <w:color w:val="231F20"/>
          <w:spacing w:val="-15"/>
          <w:w w:val="105"/>
        </w:rPr>
        <w:t> </w:t>
      </w:r>
      <w:r>
        <w:rPr>
          <w:color w:val="231F20"/>
          <w:spacing w:val="-3"/>
          <w:w w:val="105"/>
        </w:rPr>
        <w:t>último </w:t>
      </w:r>
      <w:r>
        <w:rPr>
          <w:color w:val="231F20"/>
          <w:w w:val="105"/>
        </w:rPr>
        <w:t>se</w:t>
      </w:r>
      <w:r>
        <w:rPr>
          <w:color w:val="231F20"/>
          <w:spacing w:val="-22"/>
          <w:w w:val="105"/>
        </w:rPr>
        <w:t> </w:t>
      </w:r>
      <w:r>
        <w:rPr>
          <w:color w:val="231F20"/>
          <w:spacing w:val="-3"/>
          <w:w w:val="105"/>
        </w:rPr>
        <w:t>encuentra</w:t>
      </w:r>
      <w:r>
        <w:rPr>
          <w:color w:val="231F20"/>
          <w:spacing w:val="-22"/>
          <w:w w:val="105"/>
        </w:rPr>
        <w:t> </w:t>
      </w:r>
      <w:r>
        <w:rPr>
          <w:color w:val="231F20"/>
          <w:w w:val="105"/>
        </w:rPr>
        <w:t>la</w:t>
      </w:r>
      <w:r>
        <w:rPr>
          <w:color w:val="231F20"/>
          <w:spacing w:val="-22"/>
          <w:w w:val="105"/>
        </w:rPr>
        <w:t> </w:t>
      </w:r>
      <w:r>
        <w:rPr>
          <w:color w:val="231F20"/>
          <w:spacing w:val="-3"/>
          <w:w w:val="105"/>
        </w:rPr>
        <w:t>opción</w:t>
      </w:r>
      <w:r>
        <w:rPr>
          <w:color w:val="231F20"/>
          <w:spacing w:val="-22"/>
          <w:w w:val="105"/>
        </w:rPr>
        <w:t> </w:t>
      </w:r>
      <w:r>
        <w:rPr>
          <w:color w:val="231F20"/>
          <w:w w:val="105"/>
        </w:rPr>
        <w:t>de</w:t>
      </w:r>
      <w:r>
        <w:rPr>
          <w:color w:val="231F20"/>
          <w:spacing w:val="-22"/>
          <w:w w:val="105"/>
        </w:rPr>
        <w:t> </w:t>
      </w:r>
      <w:r>
        <w:rPr>
          <w:color w:val="231F20"/>
          <w:spacing w:val="-3"/>
          <w:w w:val="105"/>
        </w:rPr>
        <w:t>atenderse</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spacing w:val="-3"/>
          <w:w w:val="105"/>
        </w:rPr>
        <w:t>comunidades</w:t>
      </w:r>
      <w:r>
        <w:rPr>
          <w:color w:val="231F20"/>
          <w:spacing w:val="-22"/>
          <w:w w:val="105"/>
        </w:rPr>
        <w:t> </w:t>
      </w:r>
      <w:r>
        <w:rPr>
          <w:color w:val="231F20"/>
          <w:w w:val="105"/>
        </w:rPr>
        <w:t>de</w:t>
      </w:r>
      <w:r>
        <w:rPr>
          <w:color w:val="231F20"/>
          <w:spacing w:val="-22"/>
          <w:w w:val="105"/>
        </w:rPr>
        <w:t> </w:t>
      </w:r>
      <w:r>
        <w:rPr>
          <w:color w:val="231F20"/>
          <w:spacing w:val="-3"/>
          <w:w w:val="105"/>
        </w:rPr>
        <w:t>origen</w:t>
      </w:r>
      <w:r>
        <w:rPr>
          <w:color w:val="231F20"/>
          <w:spacing w:val="-22"/>
          <w:w w:val="105"/>
        </w:rPr>
        <w:t> </w:t>
      </w:r>
      <w:r>
        <w:rPr>
          <w:color w:val="231F20"/>
          <w:spacing w:val="-3"/>
          <w:w w:val="105"/>
        </w:rPr>
        <w:t>duran- </w:t>
      </w:r>
      <w:r>
        <w:rPr>
          <w:color w:val="231F20"/>
          <w:w w:val="105"/>
        </w:rPr>
        <w:t>te</w:t>
      </w:r>
      <w:r>
        <w:rPr>
          <w:color w:val="231F20"/>
          <w:spacing w:val="-21"/>
          <w:w w:val="105"/>
        </w:rPr>
        <w:t> </w:t>
      </w:r>
      <w:r>
        <w:rPr>
          <w:color w:val="231F20"/>
          <w:w w:val="105"/>
        </w:rPr>
        <w:t>las</w:t>
      </w:r>
      <w:r>
        <w:rPr>
          <w:color w:val="231F20"/>
          <w:spacing w:val="-21"/>
          <w:w w:val="105"/>
        </w:rPr>
        <w:t> </w:t>
      </w:r>
      <w:r>
        <w:rPr>
          <w:color w:val="231F20"/>
          <w:spacing w:val="-3"/>
          <w:w w:val="105"/>
        </w:rPr>
        <w:t>visitas</w:t>
      </w:r>
      <w:r>
        <w:rPr>
          <w:color w:val="231F20"/>
          <w:spacing w:val="-21"/>
          <w:w w:val="105"/>
        </w:rPr>
        <w:t> </w:t>
      </w:r>
      <w:r>
        <w:rPr>
          <w:color w:val="231F20"/>
          <w:spacing w:val="-3"/>
          <w:w w:val="105"/>
        </w:rPr>
        <w:t>cortas</w:t>
      </w:r>
      <w:r>
        <w:rPr>
          <w:color w:val="231F20"/>
          <w:spacing w:val="-21"/>
          <w:w w:val="105"/>
        </w:rPr>
        <w:t> </w:t>
      </w:r>
      <w:r>
        <w:rPr>
          <w:color w:val="231F20"/>
          <w:w w:val="105"/>
        </w:rPr>
        <w:t>que</w:t>
      </w:r>
      <w:r>
        <w:rPr>
          <w:color w:val="231F20"/>
          <w:spacing w:val="-21"/>
          <w:w w:val="105"/>
        </w:rPr>
        <w:t> </w:t>
      </w:r>
      <w:r>
        <w:rPr>
          <w:color w:val="231F20"/>
          <w:spacing w:val="-4"/>
          <w:w w:val="105"/>
        </w:rPr>
        <w:t>realizan</w:t>
      </w:r>
      <w:r>
        <w:rPr>
          <w:color w:val="231F20"/>
          <w:spacing w:val="-21"/>
          <w:w w:val="105"/>
        </w:rPr>
        <w:t> </w:t>
      </w:r>
      <w:r>
        <w:rPr>
          <w:color w:val="231F20"/>
          <w:spacing w:val="-3"/>
          <w:w w:val="105"/>
        </w:rPr>
        <w:t>(Nigenda</w:t>
      </w:r>
      <w:r>
        <w:rPr>
          <w:color w:val="231F20"/>
          <w:spacing w:val="-21"/>
          <w:w w:val="105"/>
        </w:rPr>
        <w:t> </w:t>
      </w:r>
      <w:r>
        <w:rPr>
          <w:rFonts w:ascii="Arial" w:hAnsi="Arial"/>
          <w:i/>
          <w:color w:val="231F20"/>
          <w:w w:val="105"/>
        </w:rPr>
        <w:t>et</w:t>
      </w:r>
      <w:r>
        <w:rPr>
          <w:rFonts w:ascii="Arial" w:hAnsi="Arial"/>
          <w:i/>
          <w:color w:val="231F20"/>
          <w:spacing w:val="-23"/>
          <w:w w:val="105"/>
        </w:rPr>
        <w:t> </w:t>
      </w:r>
      <w:r>
        <w:rPr>
          <w:rFonts w:ascii="Arial" w:hAnsi="Arial"/>
          <w:i/>
          <w:color w:val="231F20"/>
          <w:spacing w:val="-3"/>
          <w:w w:val="105"/>
        </w:rPr>
        <w:t>al.,</w:t>
      </w:r>
      <w:r>
        <w:rPr>
          <w:rFonts w:ascii="Arial" w:hAnsi="Arial"/>
          <w:i/>
          <w:color w:val="231F20"/>
          <w:spacing w:val="-29"/>
          <w:w w:val="105"/>
        </w:rPr>
        <w:t> </w:t>
      </w:r>
      <w:r>
        <w:rPr>
          <w:color w:val="231F20"/>
          <w:spacing w:val="-3"/>
          <w:w w:val="105"/>
        </w:rPr>
        <w:t>2009),</w:t>
      </w:r>
      <w:r>
        <w:rPr>
          <w:color w:val="231F20"/>
          <w:spacing w:val="-26"/>
          <w:w w:val="105"/>
        </w:rPr>
        <w:t> </w:t>
      </w:r>
      <w:r>
        <w:rPr>
          <w:color w:val="231F20"/>
          <w:w w:val="105"/>
        </w:rPr>
        <w:t>lo</w:t>
      </w:r>
      <w:r>
        <w:rPr>
          <w:color w:val="231F20"/>
          <w:spacing w:val="-21"/>
          <w:w w:val="105"/>
        </w:rPr>
        <w:t> </w:t>
      </w:r>
      <w:r>
        <w:rPr>
          <w:color w:val="231F20"/>
          <w:spacing w:val="-3"/>
          <w:w w:val="105"/>
        </w:rPr>
        <w:t>cual</w:t>
      </w:r>
      <w:r>
        <w:rPr>
          <w:color w:val="231F20"/>
          <w:spacing w:val="-21"/>
          <w:w w:val="105"/>
        </w:rPr>
        <w:t> </w:t>
      </w:r>
      <w:r>
        <w:rPr>
          <w:color w:val="231F20"/>
          <w:w w:val="105"/>
        </w:rPr>
        <w:t>sin</w:t>
      </w:r>
      <w:r>
        <w:rPr>
          <w:color w:val="231F20"/>
          <w:spacing w:val="-21"/>
          <w:w w:val="105"/>
        </w:rPr>
        <w:t> </w:t>
      </w:r>
      <w:r>
        <w:rPr>
          <w:color w:val="231F20"/>
          <w:spacing w:val="-4"/>
          <w:w w:val="105"/>
        </w:rPr>
        <w:t>embargo </w:t>
      </w:r>
      <w:r>
        <w:rPr>
          <w:color w:val="231F20"/>
          <w:spacing w:val="-3"/>
          <w:w w:val="105"/>
        </w:rPr>
        <w:t>cada </w:t>
      </w:r>
      <w:r>
        <w:rPr>
          <w:color w:val="231F20"/>
          <w:w w:val="105"/>
        </w:rPr>
        <w:t>vez es </w:t>
      </w:r>
      <w:r>
        <w:rPr>
          <w:color w:val="231F20"/>
          <w:spacing w:val="-3"/>
          <w:w w:val="105"/>
        </w:rPr>
        <w:t>menos probable debido </w:t>
      </w:r>
      <w:r>
        <w:rPr>
          <w:color w:val="231F20"/>
          <w:w w:val="105"/>
        </w:rPr>
        <w:t>al </w:t>
      </w:r>
      <w:r>
        <w:rPr>
          <w:color w:val="231F20"/>
          <w:spacing w:val="-3"/>
          <w:w w:val="105"/>
        </w:rPr>
        <w:t>endurecimiento </w:t>
      </w:r>
      <w:r>
        <w:rPr>
          <w:color w:val="231F20"/>
          <w:w w:val="105"/>
        </w:rPr>
        <w:t>y </w:t>
      </w:r>
      <w:r>
        <w:rPr>
          <w:color w:val="231F20"/>
          <w:spacing w:val="-3"/>
          <w:w w:val="105"/>
        </w:rPr>
        <w:t>mayor </w:t>
      </w:r>
      <w:r>
        <w:rPr>
          <w:color w:val="231F20"/>
          <w:spacing w:val="-4"/>
          <w:w w:val="105"/>
        </w:rPr>
        <w:t>control </w:t>
      </w:r>
      <w:r>
        <w:rPr>
          <w:color w:val="231F20"/>
          <w:w w:val="105"/>
        </w:rPr>
        <w:t>de</w:t>
      </w:r>
      <w:r>
        <w:rPr>
          <w:color w:val="231F20"/>
          <w:spacing w:val="-13"/>
          <w:w w:val="105"/>
        </w:rPr>
        <w:t> </w:t>
      </w:r>
      <w:r>
        <w:rPr>
          <w:color w:val="231F20"/>
          <w:w w:val="105"/>
        </w:rPr>
        <w:t>la</w:t>
      </w:r>
      <w:r>
        <w:rPr>
          <w:color w:val="231F20"/>
          <w:spacing w:val="-13"/>
          <w:w w:val="105"/>
        </w:rPr>
        <w:t> </w:t>
      </w:r>
      <w:r>
        <w:rPr>
          <w:color w:val="231F20"/>
          <w:spacing w:val="-4"/>
          <w:w w:val="105"/>
        </w:rPr>
        <w:t>frontera</w:t>
      </w:r>
      <w:r>
        <w:rPr>
          <w:color w:val="231F20"/>
          <w:spacing w:val="-13"/>
          <w:w w:val="105"/>
        </w:rPr>
        <w:t> </w:t>
      </w:r>
      <w:r>
        <w:rPr>
          <w:color w:val="231F20"/>
          <w:spacing w:val="-3"/>
          <w:w w:val="105"/>
        </w:rPr>
        <w:t>estadounidense,</w:t>
      </w:r>
      <w:r>
        <w:rPr>
          <w:color w:val="231F20"/>
          <w:spacing w:val="-20"/>
          <w:w w:val="105"/>
        </w:rPr>
        <w:t> </w:t>
      </w:r>
      <w:r>
        <w:rPr>
          <w:color w:val="231F20"/>
          <w:w w:val="105"/>
        </w:rPr>
        <w:t>el</w:t>
      </w:r>
      <w:r>
        <w:rPr>
          <w:color w:val="231F20"/>
          <w:spacing w:val="-13"/>
          <w:w w:val="105"/>
        </w:rPr>
        <w:t> </w:t>
      </w:r>
      <w:r>
        <w:rPr>
          <w:color w:val="231F20"/>
          <w:spacing w:val="-3"/>
          <w:w w:val="105"/>
        </w:rPr>
        <w:t>cual</w:t>
      </w:r>
      <w:r>
        <w:rPr>
          <w:color w:val="231F20"/>
          <w:spacing w:val="-13"/>
          <w:w w:val="105"/>
        </w:rPr>
        <w:t> </w:t>
      </w:r>
      <w:r>
        <w:rPr>
          <w:color w:val="231F20"/>
          <w:spacing w:val="-3"/>
          <w:w w:val="105"/>
        </w:rPr>
        <w:t>dificulta</w:t>
      </w:r>
      <w:r>
        <w:rPr>
          <w:color w:val="231F20"/>
          <w:spacing w:val="-13"/>
          <w:w w:val="105"/>
        </w:rPr>
        <w:t> </w:t>
      </w:r>
      <w:r>
        <w:rPr>
          <w:color w:val="231F20"/>
          <w:w w:val="105"/>
        </w:rPr>
        <w:t>el</w:t>
      </w:r>
      <w:r>
        <w:rPr>
          <w:color w:val="231F20"/>
          <w:spacing w:val="-13"/>
          <w:w w:val="105"/>
        </w:rPr>
        <w:t> </w:t>
      </w:r>
      <w:r>
        <w:rPr>
          <w:color w:val="231F20"/>
          <w:spacing w:val="-3"/>
          <w:w w:val="105"/>
        </w:rPr>
        <w:t>retorno</w:t>
      </w:r>
      <w:r>
        <w:rPr>
          <w:color w:val="231F20"/>
          <w:spacing w:val="-13"/>
          <w:w w:val="105"/>
        </w:rPr>
        <w:t> </w:t>
      </w:r>
      <w:r>
        <w:rPr>
          <w:color w:val="231F20"/>
          <w:w w:val="105"/>
        </w:rPr>
        <w:t>y</w:t>
      </w:r>
      <w:r>
        <w:rPr>
          <w:color w:val="231F20"/>
          <w:spacing w:val="-13"/>
          <w:w w:val="105"/>
        </w:rPr>
        <w:t> </w:t>
      </w:r>
      <w:r>
        <w:rPr>
          <w:color w:val="231F20"/>
          <w:w w:val="105"/>
        </w:rPr>
        <w:t>los</w:t>
      </w:r>
      <w:r>
        <w:rPr>
          <w:color w:val="231F20"/>
          <w:spacing w:val="-13"/>
          <w:w w:val="105"/>
        </w:rPr>
        <w:t> </w:t>
      </w:r>
      <w:r>
        <w:rPr>
          <w:color w:val="231F20"/>
          <w:spacing w:val="-4"/>
          <w:w w:val="105"/>
        </w:rPr>
        <w:t>patrones</w:t>
      </w:r>
      <w:r>
        <w:rPr>
          <w:color w:val="231F20"/>
          <w:spacing w:val="-13"/>
          <w:w w:val="105"/>
        </w:rPr>
        <w:t> </w:t>
      </w:r>
      <w:r>
        <w:rPr>
          <w:color w:val="231F20"/>
          <w:spacing w:val="-3"/>
          <w:w w:val="105"/>
        </w:rPr>
        <w:t>de circularidad</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spacing w:val="-3"/>
          <w:w w:val="105"/>
        </w:rPr>
        <w:t>migrantes</w:t>
      </w:r>
      <w:r>
        <w:rPr>
          <w:color w:val="231F20"/>
          <w:spacing w:val="-16"/>
          <w:w w:val="105"/>
        </w:rPr>
        <w:t> </w:t>
      </w:r>
      <w:r>
        <w:rPr>
          <w:color w:val="231F20"/>
          <w:spacing w:val="-3"/>
          <w:w w:val="105"/>
        </w:rPr>
        <w:t>hacia</w:t>
      </w:r>
      <w:r>
        <w:rPr>
          <w:color w:val="231F20"/>
          <w:spacing w:val="-16"/>
          <w:w w:val="105"/>
        </w:rPr>
        <w:t> </w:t>
      </w:r>
      <w:r>
        <w:rPr>
          <w:color w:val="231F20"/>
          <w:w w:val="105"/>
        </w:rPr>
        <w:t>sus</w:t>
      </w:r>
      <w:r>
        <w:rPr>
          <w:color w:val="231F20"/>
          <w:spacing w:val="-16"/>
          <w:w w:val="105"/>
        </w:rPr>
        <w:t> </w:t>
      </w:r>
      <w:r>
        <w:rPr>
          <w:color w:val="231F20"/>
          <w:spacing w:val="-3"/>
          <w:w w:val="105"/>
        </w:rPr>
        <w:t>lugares</w:t>
      </w:r>
      <w:r>
        <w:rPr>
          <w:color w:val="231F20"/>
          <w:spacing w:val="-16"/>
          <w:w w:val="105"/>
        </w:rPr>
        <w:t> </w:t>
      </w:r>
      <w:r>
        <w:rPr>
          <w:color w:val="231F20"/>
          <w:w w:val="105"/>
        </w:rPr>
        <w:t>de</w:t>
      </w:r>
      <w:r>
        <w:rPr>
          <w:color w:val="231F20"/>
          <w:spacing w:val="-16"/>
          <w:w w:val="105"/>
        </w:rPr>
        <w:t> </w:t>
      </w:r>
      <w:r>
        <w:rPr>
          <w:color w:val="231F20"/>
          <w:spacing w:val="-3"/>
          <w:w w:val="105"/>
        </w:rPr>
        <w:t>origen.</w:t>
      </w:r>
      <w:r>
        <w:rPr>
          <w:color w:val="231F20"/>
          <w:spacing w:val="-21"/>
          <w:w w:val="105"/>
        </w:rPr>
        <w:t> </w:t>
      </w:r>
      <w:r>
        <w:rPr>
          <w:color w:val="231F20"/>
          <w:w w:val="105"/>
        </w:rPr>
        <w:t>No</w:t>
      </w:r>
      <w:r>
        <w:rPr>
          <w:color w:val="231F20"/>
          <w:spacing w:val="-16"/>
          <w:w w:val="105"/>
        </w:rPr>
        <w:t> </w:t>
      </w:r>
      <w:r>
        <w:rPr>
          <w:color w:val="231F20"/>
          <w:spacing w:val="-3"/>
          <w:w w:val="105"/>
        </w:rPr>
        <w:t>obstante</w:t>
      </w:r>
      <w:r>
        <w:rPr>
          <w:color w:val="231F20"/>
          <w:spacing w:val="-16"/>
          <w:w w:val="105"/>
        </w:rPr>
        <w:t> </w:t>
      </w:r>
      <w:r>
        <w:rPr>
          <w:color w:val="231F20"/>
          <w:spacing w:val="-3"/>
          <w:w w:val="105"/>
        </w:rPr>
        <w:t>las cada</w:t>
      </w:r>
      <w:r>
        <w:rPr>
          <w:color w:val="231F20"/>
          <w:spacing w:val="-20"/>
          <w:w w:val="105"/>
        </w:rPr>
        <w:t> </w:t>
      </w:r>
      <w:r>
        <w:rPr>
          <w:color w:val="231F20"/>
          <w:w w:val="105"/>
        </w:rPr>
        <w:t>vez</w:t>
      </w:r>
      <w:r>
        <w:rPr>
          <w:color w:val="231F20"/>
          <w:spacing w:val="-20"/>
          <w:w w:val="105"/>
        </w:rPr>
        <w:t> </w:t>
      </w:r>
      <w:r>
        <w:rPr>
          <w:color w:val="231F20"/>
          <w:spacing w:val="-3"/>
          <w:w w:val="105"/>
        </w:rPr>
        <w:t>mayores</w:t>
      </w:r>
      <w:r>
        <w:rPr>
          <w:color w:val="231F20"/>
          <w:spacing w:val="-20"/>
          <w:w w:val="105"/>
        </w:rPr>
        <w:t> </w:t>
      </w:r>
      <w:r>
        <w:rPr>
          <w:color w:val="231F20"/>
          <w:spacing w:val="-3"/>
          <w:w w:val="105"/>
        </w:rPr>
        <w:t>adversidades</w:t>
      </w:r>
      <w:r>
        <w:rPr>
          <w:color w:val="231F20"/>
          <w:spacing w:val="-20"/>
          <w:w w:val="105"/>
        </w:rPr>
        <w:t> </w:t>
      </w:r>
      <w:r>
        <w:rPr>
          <w:color w:val="231F20"/>
          <w:w w:val="105"/>
        </w:rPr>
        <w:t>que</w:t>
      </w:r>
      <w:r>
        <w:rPr>
          <w:color w:val="231F20"/>
          <w:spacing w:val="-20"/>
          <w:w w:val="105"/>
        </w:rPr>
        <w:t> </w:t>
      </w:r>
      <w:r>
        <w:rPr>
          <w:color w:val="231F20"/>
          <w:spacing w:val="-3"/>
          <w:w w:val="105"/>
        </w:rPr>
        <w:t>dificultan</w:t>
      </w:r>
      <w:r>
        <w:rPr>
          <w:color w:val="231F20"/>
          <w:spacing w:val="-20"/>
          <w:w w:val="105"/>
        </w:rPr>
        <w:t> </w:t>
      </w:r>
      <w:r>
        <w:rPr>
          <w:color w:val="231F20"/>
          <w:w w:val="105"/>
        </w:rPr>
        <w:t>el</w:t>
      </w:r>
      <w:r>
        <w:rPr>
          <w:color w:val="231F20"/>
          <w:spacing w:val="-20"/>
          <w:w w:val="105"/>
        </w:rPr>
        <w:t> </w:t>
      </w:r>
      <w:r>
        <w:rPr>
          <w:color w:val="231F20"/>
          <w:spacing w:val="-3"/>
          <w:w w:val="105"/>
        </w:rPr>
        <w:t>acceso</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spacing w:val="-3"/>
          <w:w w:val="105"/>
        </w:rPr>
        <w:t>servicios</w:t>
      </w:r>
      <w:r>
        <w:rPr>
          <w:color w:val="231F20"/>
          <w:spacing w:val="-20"/>
          <w:w w:val="105"/>
        </w:rPr>
        <w:t> </w:t>
      </w:r>
      <w:r>
        <w:rPr>
          <w:color w:val="231F20"/>
          <w:spacing w:val="-3"/>
          <w:w w:val="105"/>
        </w:rPr>
        <w:t>de salud</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3"/>
          <w:w w:val="105"/>
        </w:rPr>
        <w:t>vecino</w:t>
      </w:r>
      <w:r>
        <w:rPr>
          <w:color w:val="231F20"/>
          <w:spacing w:val="-18"/>
          <w:w w:val="105"/>
        </w:rPr>
        <w:t> </w:t>
      </w:r>
      <w:r>
        <w:rPr>
          <w:color w:val="231F20"/>
          <w:spacing w:val="-3"/>
          <w:w w:val="105"/>
        </w:rPr>
        <w:t>país,</w:t>
      </w:r>
      <w:r>
        <w:rPr>
          <w:color w:val="231F20"/>
          <w:spacing w:val="-23"/>
          <w:w w:val="105"/>
        </w:rPr>
        <w:t> </w:t>
      </w:r>
      <w:r>
        <w:rPr>
          <w:color w:val="231F20"/>
          <w:w w:val="105"/>
        </w:rPr>
        <w:t>la</w:t>
      </w:r>
      <w:r>
        <w:rPr>
          <w:color w:val="231F20"/>
          <w:spacing w:val="-18"/>
          <w:w w:val="105"/>
        </w:rPr>
        <w:t> </w:t>
      </w:r>
      <w:r>
        <w:rPr>
          <w:color w:val="231F20"/>
          <w:spacing w:val="-3"/>
          <w:w w:val="105"/>
        </w:rPr>
        <w:t>población</w:t>
      </w:r>
      <w:r>
        <w:rPr>
          <w:color w:val="231F20"/>
          <w:spacing w:val="-18"/>
          <w:w w:val="105"/>
        </w:rPr>
        <w:t> </w:t>
      </w:r>
      <w:r>
        <w:rPr>
          <w:color w:val="231F20"/>
          <w:spacing w:val="-3"/>
          <w:w w:val="105"/>
        </w:rPr>
        <w:t>migrante</w:t>
      </w:r>
      <w:r>
        <w:rPr>
          <w:color w:val="231F20"/>
          <w:spacing w:val="-18"/>
          <w:w w:val="105"/>
        </w:rPr>
        <w:t> </w:t>
      </w:r>
      <w:r>
        <w:rPr>
          <w:color w:val="231F20"/>
          <w:spacing w:val="-3"/>
          <w:w w:val="105"/>
        </w:rPr>
        <w:t>busca</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color w:val="231F20"/>
          <w:w w:val="105"/>
        </w:rPr>
        <w:t>u</w:t>
      </w:r>
      <w:r>
        <w:rPr>
          <w:color w:val="231F20"/>
          <w:spacing w:val="-18"/>
          <w:w w:val="105"/>
        </w:rPr>
        <w:t> </w:t>
      </w:r>
      <w:r>
        <w:rPr>
          <w:color w:val="231F20"/>
          <w:spacing w:val="-3"/>
          <w:w w:val="105"/>
        </w:rPr>
        <w:t>otra</w:t>
      </w:r>
      <w:r>
        <w:rPr>
          <w:color w:val="231F20"/>
          <w:spacing w:val="-18"/>
          <w:w w:val="105"/>
        </w:rPr>
        <w:t> </w:t>
      </w:r>
      <w:r>
        <w:rPr>
          <w:color w:val="231F20"/>
          <w:spacing w:val="-3"/>
          <w:w w:val="105"/>
        </w:rPr>
        <w:t>manera</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65472" from="131.551193pt,3.703715pt" to="131.551193pt,39.506114pt" stroked="true" strokeweight=".35pt" strokecolor="#231f20">
            <w10:wrap type="none"/>
          </v:line>
        </w:pict>
      </w:r>
      <w:r>
        <w:rPr/>
        <w:pict>
          <v:line style="position:absolute;mso-position-horizontal-relative:page;mso-position-vertical-relative:paragraph;z-index:-465400" from="15pt,39.505917pt" to="0pt,39.505917pt" stroked="true" strokeweight=".25pt" strokecolor="#000000">
            <w10:wrap type="none"/>
          </v:line>
        </w:pict>
      </w:r>
      <w:r>
        <w:rPr/>
        <w:pict>
          <v:line style="position:absolute;mso-position-horizontal-relative:page;mso-position-vertical-relative:paragraph;z-index:24808" from="508.890015pt,39.505917pt" to="523.890015pt,39.505917pt" stroked="true" strokeweight=".25pt" strokecolor="#000000">
            <w10:wrap type="none"/>
          </v:line>
        </w:pict>
      </w:r>
      <w:r>
        <w:rPr>
          <w:rFonts w:ascii="Arial" w:hAnsi="Arial"/>
          <w:color w:val="414042"/>
          <w:w w:val="105"/>
          <w:position w:val="-5"/>
          <w:sz w:val="20"/>
        </w:rPr>
        <w:t>196</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4832" from="405.061005pt,-27.904295pt" to="405.061005pt,6.961579pt" stroked="true" strokeweight=".35pt" strokecolor="#231f20">
            <w10:wrap type="none"/>
          </v:line>
        </w:pict>
      </w:r>
      <w:r>
        <w:rPr/>
        <w:pict>
          <v:line style="position:absolute;mso-position-horizontal-relative:page;mso-position-vertical-relative:paragraph;z-index:24856" from="15pt,-27.90452pt" to="0pt,-27.90452pt" stroked="true" strokeweight=".25pt" strokecolor="#000000">
            <w10:wrap type="none"/>
          </v:line>
        </w:pict>
      </w:r>
      <w:r>
        <w:rPr/>
        <w:pict>
          <v:line style="position:absolute;mso-position-horizontal-relative:page;mso-position-vertical-relative:paragraph;z-index:24880"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197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683"/>
      </w:pPr>
      <w:r>
        <w:rPr>
          <w:color w:val="231F20"/>
        </w:rPr>
        <w:t>atenderse, aunque ello signifique la atención en servicios privados o en el peor de los escenarios, el retorno a su lugar de   origen.</w:t>
      </w:r>
    </w:p>
    <w:p>
      <w:pPr>
        <w:pStyle w:val="BodyText"/>
        <w:spacing w:line="261" w:lineRule="auto" w:before="1"/>
        <w:ind w:left="1837" w:right="1721" w:firstLine="567"/>
        <w:jc w:val="both"/>
      </w:pPr>
      <w:r>
        <w:rPr>
          <w:color w:val="231F20"/>
          <w:w w:val="105"/>
        </w:rPr>
        <w:t>Siguiendo con los </w:t>
      </w:r>
      <w:r>
        <w:rPr>
          <w:color w:val="231F20"/>
          <w:spacing w:val="-3"/>
          <w:w w:val="105"/>
        </w:rPr>
        <w:t>resultados </w:t>
      </w:r>
      <w:r>
        <w:rPr>
          <w:color w:val="231F20"/>
          <w:w w:val="105"/>
        </w:rPr>
        <w:t>obtenidos en este estudio, se pudo identificar que la </w:t>
      </w:r>
      <w:r>
        <w:rPr>
          <w:color w:val="231F20"/>
          <w:spacing w:val="-3"/>
          <w:w w:val="105"/>
        </w:rPr>
        <w:t>proporción </w:t>
      </w:r>
      <w:r>
        <w:rPr>
          <w:color w:val="231F20"/>
          <w:w w:val="105"/>
        </w:rPr>
        <w:t>de migrantes mexiquenses </w:t>
      </w:r>
      <w:r>
        <w:rPr>
          <w:color w:val="231F20"/>
          <w:spacing w:val="-3"/>
          <w:w w:val="105"/>
        </w:rPr>
        <w:t>procedentes </w:t>
      </w:r>
      <w:r>
        <w:rPr>
          <w:color w:val="231F20"/>
          <w:w w:val="105"/>
        </w:rPr>
        <w:t>de Estados Unidos que </w:t>
      </w:r>
      <w:r>
        <w:rPr>
          <w:color w:val="231F20"/>
          <w:spacing w:val="-3"/>
          <w:w w:val="105"/>
        </w:rPr>
        <w:t>sufrieron </w:t>
      </w:r>
      <w:r>
        <w:rPr>
          <w:color w:val="231F20"/>
          <w:w w:val="105"/>
        </w:rPr>
        <w:t>algún tipo de accidente, padecimiento o enfermedad</w:t>
      </w:r>
      <w:r>
        <w:rPr>
          <w:color w:val="231F20"/>
          <w:spacing w:val="-28"/>
          <w:w w:val="105"/>
        </w:rPr>
        <w:t> </w:t>
      </w:r>
      <w:r>
        <w:rPr>
          <w:color w:val="231F20"/>
          <w:w w:val="105"/>
        </w:rPr>
        <w:t>durante</w:t>
      </w:r>
      <w:r>
        <w:rPr>
          <w:color w:val="231F20"/>
          <w:spacing w:val="-28"/>
          <w:w w:val="105"/>
        </w:rPr>
        <w:t> </w:t>
      </w:r>
      <w:r>
        <w:rPr>
          <w:color w:val="231F20"/>
          <w:w w:val="105"/>
        </w:rPr>
        <w:t>los</w:t>
      </w:r>
      <w:r>
        <w:rPr>
          <w:color w:val="231F20"/>
          <w:spacing w:val="-28"/>
          <w:w w:val="105"/>
        </w:rPr>
        <w:t> </w:t>
      </w:r>
      <w:r>
        <w:rPr>
          <w:color w:val="231F20"/>
          <w:w w:val="105"/>
        </w:rPr>
        <w:t>últimos</w:t>
      </w:r>
      <w:r>
        <w:rPr>
          <w:color w:val="231F20"/>
          <w:spacing w:val="-28"/>
          <w:w w:val="105"/>
        </w:rPr>
        <w:t> </w:t>
      </w:r>
      <w:r>
        <w:rPr>
          <w:color w:val="231F20"/>
          <w:w w:val="105"/>
        </w:rPr>
        <w:t>12</w:t>
      </w:r>
      <w:r>
        <w:rPr>
          <w:color w:val="231F20"/>
          <w:spacing w:val="-28"/>
          <w:w w:val="105"/>
        </w:rPr>
        <w:t> </w:t>
      </w:r>
      <w:r>
        <w:rPr>
          <w:color w:val="231F20"/>
          <w:w w:val="105"/>
        </w:rPr>
        <w:t>meses</w:t>
      </w:r>
      <w:r>
        <w:rPr>
          <w:color w:val="231F20"/>
          <w:spacing w:val="-28"/>
          <w:w w:val="105"/>
        </w:rPr>
        <w:t> </w:t>
      </w:r>
      <w:r>
        <w:rPr>
          <w:color w:val="231F20"/>
          <w:spacing w:val="-3"/>
          <w:w w:val="105"/>
        </w:rPr>
        <w:t>previos</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aplicación</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en- cuesta</w:t>
      </w:r>
      <w:r>
        <w:rPr>
          <w:color w:val="231F20"/>
          <w:spacing w:val="-24"/>
          <w:w w:val="105"/>
        </w:rPr>
        <w:t> </w:t>
      </w:r>
      <w:r>
        <w:rPr>
          <w:color w:val="231F20"/>
          <w:w w:val="105"/>
        </w:rPr>
        <w:t>fue</w:t>
      </w:r>
      <w:r>
        <w:rPr>
          <w:color w:val="231F20"/>
          <w:spacing w:val="-24"/>
          <w:w w:val="105"/>
        </w:rPr>
        <w:t> </w:t>
      </w:r>
      <w:r>
        <w:rPr>
          <w:color w:val="231F20"/>
          <w:w w:val="105"/>
        </w:rPr>
        <w:t>baja</w:t>
      </w:r>
      <w:r>
        <w:rPr>
          <w:color w:val="231F20"/>
          <w:spacing w:val="-24"/>
          <w:w w:val="105"/>
        </w:rPr>
        <w:t> </w:t>
      </w:r>
      <w:r>
        <w:rPr>
          <w:color w:val="231F20"/>
          <w:w w:val="105"/>
        </w:rPr>
        <w:t>(6.6%),</w:t>
      </w:r>
      <w:r>
        <w:rPr>
          <w:color w:val="231F20"/>
          <w:spacing w:val="-28"/>
          <w:w w:val="105"/>
        </w:rPr>
        <w:t> </w:t>
      </w:r>
      <w:r>
        <w:rPr>
          <w:color w:val="231F20"/>
          <w:w w:val="105"/>
        </w:rPr>
        <w:t>siendo</w:t>
      </w:r>
      <w:r>
        <w:rPr>
          <w:color w:val="231F20"/>
          <w:spacing w:val="-24"/>
          <w:w w:val="105"/>
        </w:rPr>
        <w:t> </w:t>
      </w:r>
      <w:r>
        <w:rPr>
          <w:color w:val="231F20"/>
          <w:w w:val="105"/>
        </w:rPr>
        <w:t>todavía</w:t>
      </w:r>
      <w:r>
        <w:rPr>
          <w:color w:val="231F20"/>
          <w:spacing w:val="-24"/>
          <w:w w:val="105"/>
        </w:rPr>
        <w:t> </w:t>
      </w:r>
      <w:r>
        <w:rPr>
          <w:color w:val="231F20"/>
          <w:w w:val="105"/>
        </w:rPr>
        <w:t>menor</w:t>
      </w:r>
      <w:r>
        <w:rPr>
          <w:color w:val="231F20"/>
          <w:spacing w:val="-24"/>
          <w:w w:val="105"/>
        </w:rPr>
        <w:t> </w:t>
      </w:r>
      <w:r>
        <w:rPr>
          <w:color w:val="231F20"/>
          <w:w w:val="105"/>
        </w:rPr>
        <w:t>la</w:t>
      </w:r>
      <w:r>
        <w:rPr>
          <w:color w:val="231F20"/>
          <w:spacing w:val="-24"/>
          <w:w w:val="105"/>
        </w:rPr>
        <w:t> </w:t>
      </w:r>
      <w:r>
        <w:rPr>
          <w:color w:val="231F20"/>
          <w:spacing w:val="-3"/>
          <w:w w:val="105"/>
        </w:rPr>
        <w:t>presentada</w:t>
      </w:r>
      <w:r>
        <w:rPr>
          <w:color w:val="231F20"/>
          <w:spacing w:val="-24"/>
          <w:w w:val="105"/>
        </w:rPr>
        <w:t> </w:t>
      </w:r>
      <w:r>
        <w:rPr>
          <w:color w:val="231F20"/>
          <w:w w:val="105"/>
        </w:rPr>
        <w:t>a</w:t>
      </w:r>
      <w:r>
        <w:rPr>
          <w:color w:val="231F20"/>
          <w:spacing w:val="-24"/>
          <w:w w:val="105"/>
        </w:rPr>
        <w:t> </w:t>
      </w:r>
      <w:r>
        <w:rPr>
          <w:color w:val="231F20"/>
          <w:w w:val="105"/>
        </w:rPr>
        <w:t>nivel</w:t>
      </w:r>
      <w:r>
        <w:rPr>
          <w:color w:val="231F20"/>
          <w:spacing w:val="-24"/>
          <w:w w:val="105"/>
        </w:rPr>
        <w:t> </w:t>
      </w:r>
      <w:r>
        <w:rPr>
          <w:color w:val="231F20"/>
          <w:w w:val="105"/>
        </w:rPr>
        <w:t>nacio- nal</w:t>
      </w:r>
      <w:r>
        <w:rPr>
          <w:color w:val="231F20"/>
          <w:spacing w:val="-32"/>
          <w:w w:val="105"/>
        </w:rPr>
        <w:t> </w:t>
      </w:r>
      <w:r>
        <w:rPr>
          <w:color w:val="231F20"/>
          <w:w w:val="105"/>
        </w:rPr>
        <w:t>(3.9%).</w:t>
      </w:r>
      <w:r>
        <w:rPr>
          <w:color w:val="231F20"/>
          <w:spacing w:val="-36"/>
          <w:w w:val="105"/>
        </w:rPr>
        <w:t> </w:t>
      </w:r>
      <w:r>
        <w:rPr>
          <w:color w:val="231F20"/>
          <w:w w:val="105"/>
        </w:rPr>
        <w:t>Más</w:t>
      </w:r>
      <w:r>
        <w:rPr>
          <w:color w:val="231F20"/>
          <w:spacing w:val="-32"/>
          <w:w w:val="105"/>
        </w:rPr>
        <w:t> </w:t>
      </w:r>
      <w:r>
        <w:rPr>
          <w:color w:val="231F20"/>
          <w:w w:val="105"/>
        </w:rPr>
        <w:t>del</w:t>
      </w:r>
      <w:r>
        <w:rPr>
          <w:color w:val="231F20"/>
          <w:spacing w:val="-32"/>
          <w:w w:val="105"/>
        </w:rPr>
        <w:t> </w:t>
      </w:r>
      <w:r>
        <w:rPr>
          <w:color w:val="231F20"/>
          <w:w w:val="105"/>
        </w:rPr>
        <w:t>50%</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nacidos</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Estado</w:t>
      </w:r>
      <w:r>
        <w:rPr>
          <w:color w:val="231F20"/>
          <w:spacing w:val="-32"/>
          <w:w w:val="105"/>
        </w:rPr>
        <w:t> </w:t>
      </w:r>
      <w:r>
        <w:rPr>
          <w:color w:val="231F20"/>
          <w:w w:val="105"/>
        </w:rPr>
        <w:t>de</w:t>
      </w:r>
      <w:r>
        <w:rPr>
          <w:color w:val="231F20"/>
          <w:spacing w:val="-32"/>
          <w:w w:val="105"/>
        </w:rPr>
        <w:t> </w:t>
      </w:r>
      <w:r>
        <w:rPr>
          <w:color w:val="231F20"/>
          <w:w w:val="105"/>
        </w:rPr>
        <w:t>México</w:t>
      </w:r>
      <w:r>
        <w:rPr>
          <w:color w:val="231F20"/>
          <w:spacing w:val="-32"/>
          <w:w w:val="105"/>
        </w:rPr>
        <w:t> </w:t>
      </w:r>
      <w:r>
        <w:rPr>
          <w:color w:val="231F20"/>
          <w:w w:val="105"/>
        </w:rPr>
        <w:t>señaló</w:t>
      </w:r>
      <w:r>
        <w:rPr>
          <w:color w:val="231F20"/>
          <w:spacing w:val="-32"/>
          <w:w w:val="105"/>
        </w:rPr>
        <w:t> </w:t>
      </w:r>
      <w:r>
        <w:rPr>
          <w:color w:val="231F20"/>
          <w:spacing w:val="-2"/>
          <w:w w:val="105"/>
        </w:rPr>
        <w:t>que </w:t>
      </w:r>
      <w:r>
        <w:rPr>
          <w:color w:val="231F20"/>
          <w:w w:val="105"/>
        </w:rPr>
        <w:t>dichos</w:t>
      </w:r>
      <w:r>
        <w:rPr>
          <w:color w:val="231F20"/>
          <w:spacing w:val="-12"/>
          <w:w w:val="105"/>
        </w:rPr>
        <w:t> </w:t>
      </w:r>
      <w:r>
        <w:rPr>
          <w:color w:val="231F20"/>
          <w:spacing w:val="-3"/>
          <w:w w:val="105"/>
        </w:rPr>
        <w:t>percances</w:t>
      </w:r>
      <w:r>
        <w:rPr>
          <w:color w:val="231F20"/>
          <w:spacing w:val="-12"/>
          <w:w w:val="105"/>
        </w:rPr>
        <w:t> </w:t>
      </w:r>
      <w:r>
        <w:rPr>
          <w:color w:val="231F20"/>
          <w:spacing w:val="-3"/>
          <w:w w:val="105"/>
        </w:rPr>
        <w:t>ocurrieron</w:t>
      </w:r>
      <w:r>
        <w:rPr>
          <w:color w:val="231F20"/>
          <w:spacing w:val="-12"/>
          <w:w w:val="105"/>
        </w:rPr>
        <w:t> </w:t>
      </w:r>
      <w:r>
        <w:rPr>
          <w:color w:val="231F20"/>
          <w:w w:val="105"/>
        </w:rPr>
        <w:t>en</w:t>
      </w:r>
      <w:r>
        <w:rPr>
          <w:color w:val="231F20"/>
          <w:spacing w:val="-12"/>
          <w:w w:val="105"/>
        </w:rPr>
        <w:t> </w:t>
      </w:r>
      <w:r>
        <w:rPr>
          <w:color w:val="231F20"/>
          <w:w w:val="105"/>
        </w:rPr>
        <w:t>su</w:t>
      </w:r>
      <w:r>
        <w:rPr>
          <w:color w:val="231F20"/>
          <w:spacing w:val="-12"/>
          <w:w w:val="105"/>
        </w:rPr>
        <w:t> </w:t>
      </w:r>
      <w:r>
        <w:rPr>
          <w:color w:val="231F20"/>
          <w:w w:val="105"/>
        </w:rPr>
        <w:t>lugar</w:t>
      </w:r>
      <w:r>
        <w:rPr>
          <w:color w:val="231F20"/>
          <w:spacing w:val="-12"/>
          <w:w w:val="105"/>
        </w:rPr>
        <w:t> </w:t>
      </w:r>
      <w:r>
        <w:rPr>
          <w:color w:val="231F20"/>
          <w:w w:val="105"/>
        </w:rPr>
        <w:t>de</w:t>
      </w:r>
      <w:r>
        <w:rPr>
          <w:color w:val="231F20"/>
          <w:spacing w:val="-12"/>
          <w:w w:val="105"/>
        </w:rPr>
        <w:t> </w:t>
      </w:r>
      <w:r>
        <w:rPr>
          <w:color w:val="231F20"/>
          <w:spacing w:val="-3"/>
          <w:w w:val="105"/>
        </w:rPr>
        <w:t>trabajo.</w:t>
      </w:r>
      <w:r>
        <w:rPr>
          <w:color w:val="231F20"/>
          <w:spacing w:val="-20"/>
          <w:w w:val="105"/>
        </w:rPr>
        <w:t> </w:t>
      </w:r>
      <w:r>
        <w:rPr>
          <w:color w:val="231F20"/>
          <w:w w:val="105"/>
        </w:rPr>
        <w:t>A</w:t>
      </w:r>
      <w:r>
        <w:rPr>
          <w:color w:val="231F20"/>
          <w:spacing w:val="-15"/>
          <w:w w:val="105"/>
        </w:rPr>
        <w:t> </w:t>
      </w:r>
      <w:r>
        <w:rPr>
          <w:color w:val="231F20"/>
          <w:w w:val="105"/>
        </w:rPr>
        <w:t>nivel</w:t>
      </w:r>
      <w:r>
        <w:rPr>
          <w:color w:val="231F20"/>
          <w:spacing w:val="-12"/>
          <w:w w:val="105"/>
        </w:rPr>
        <w:t> </w:t>
      </w:r>
      <w:r>
        <w:rPr>
          <w:color w:val="231F20"/>
          <w:w w:val="105"/>
        </w:rPr>
        <w:t>nacional</w:t>
      </w:r>
      <w:r>
        <w:rPr>
          <w:color w:val="231F20"/>
          <w:spacing w:val="-12"/>
          <w:w w:val="105"/>
        </w:rPr>
        <w:t> </w:t>
      </w:r>
      <w:r>
        <w:rPr>
          <w:color w:val="231F20"/>
          <w:w w:val="105"/>
        </w:rPr>
        <w:t>este concepto</w:t>
      </w:r>
      <w:r>
        <w:rPr>
          <w:color w:val="231F20"/>
          <w:spacing w:val="-8"/>
          <w:w w:val="105"/>
        </w:rPr>
        <w:t> </w:t>
      </w:r>
      <w:r>
        <w:rPr>
          <w:color w:val="231F20"/>
          <w:w w:val="105"/>
        </w:rPr>
        <w:t>se</w:t>
      </w:r>
      <w:r>
        <w:rPr>
          <w:color w:val="231F20"/>
          <w:spacing w:val="-8"/>
          <w:w w:val="105"/>
        </w:rPr>
        <w:t> </w:t>
      </w:r>
      <w:r>
        <w:rPr>
          <w:color w:val="231F20"/>
          <w:spacing w:val="-3"/>
          <w:w w:val="105"/>
        </w:rPr>
        <w:t>registró</w:t>
      </w:r>
      <w:r>
        <w:rPr>
          <w:color w:val="231F20"/>
          <w:spacing w:val="-8"/>
          <w:w w:val="105"/>
        </w:rPr>
        <w:t> </w:t>
      </w:r>
      <w:r>
        <w:rPr>
          <w:color w:val="231F20"/>
          <w:w w:val="105"/>
        </w:rPr>
        <w:t>en</w:t>
      </w:r>
      <w:r>
        <w:rPr>
          <w:color w:val="231F20"/>
          <w:spacing w:val="-8"/>
          <w:w w:val="105"/>
        </w:rPr>
        <w:t> </w:t>
      </w:r>
      <w:r>
        <w:rPr>
          <w:color w:val="231F20"/>
          <w:w w:val="105"/>
        </w:rPr>
        <w:t>sólo</w:t>
      </w:r>
      <w:r>
        <w:rPr>
          <w:color w:val="231F20"/>
          <w:spacing w:val="-8"/>
          <w:w w:val="105"/>
        </w:rPr>
        <w:t> </w:t>
      </w:r>
      <w:r>
        <w:rPr>
          <w:color w:val="231F20"/>
          <w:w w:val="105"/>
        </w:rPr>
        <w:t>14.5%</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migrantes</w:t>
      </w:r>
      <w:r>
        <w:rPr>
          <w:color w:val="231F20"/>
          <w:spacing w:val="-8"/>
          <w:w w:val="105"/>
        </w:rPr>
        <w:t> </w:t>
      </w:r>
      <w:r>
        <w:rPr>
          <w:color w:val="231F20"/>
          <w:w w:val="105"/>
        </w:rPr>
        <w:t>en</w:t>
      </w:r>
      <w:r>
        <w:rPr>
          <w:color w:val="231F20"/>
          <w:spacing w:val="-8"/>
          <w:w w:val="105"/>
        </w:rPr>
        <w:t> </w:t>
      </w:r>
      <w:r>
        <w:rPr>
          <w:color w:val="231F20"/>
          <w:spacing w:val="-2"/>
          <w:w w:val="105"/>
        </w:rPr>
        <w:t>flujo,</w:t>
      </w:r>
      <w:r>
        <w:rPr>
          <w:color w:val="231F20"/>
          <w:spacing w:val="-13"/>
          <w:w w:val="105"/>
        </w:rPr>
        <w:t> </w:t>
      </w:r>
      <w:r>
        <w:rPr>
          <w:color w:val="231F20"/>
          <w:w w:val="105"/>
        </w:rPr>
        <w:t>cifras</w:t>
      </w:r>
      <w:r>
        <w:rPr>
          <w:color w:val="231F20"/>
          <w:spacing w:val="-8"/>
          <w:w w:val="105"/>
        </w:rPr>
        <w:t> </w:t>
      </w:r>
      <w:r>
        <w:rPr>
          <w:color w:val="231F20"/>
          <w:w w:val="105"/>
        </w:rPr>
        <w:t>bas- tante</w:t>
      </w:r>
      <w:r>
        <w:rPr>
          <w:color w:val="231F20"/>
          <w:spacing w:val="-20"/>
          <w:w w:val="105"/>
        </w:rPr>
        <w:t> </w:t>
      </w:r>
      <w:r>
        <w:rPr>
          <w:color w:val="231F20"/>
          <w:spacing w:val="-3"/>
          <w:w w:val="105"/>
        </w:rPr>
        <w:t>diferentes</w:t>
      </w:r>
      <w:r>
        <w:rPr>
          <w:color w:val="231F20"/>
          <w:spacing w:val="-20"/>
          <w:w w:val="105"/>
        </w:rPr>
        <w:t> </w:t>
      </w:r>
      <w:r>
        <w:rPr>
          <w:color w:val="231F20"/>
          <w:w w:val="105"/>
        </w:rPr>
        <w:t>a</w:t>
      </w:r>
      <w:r>
        <w:rPr>
          <w:color w:val="231F20"/>
          <w:spacing w:val="-20"/>
          <w:w w:val="105"/>
        </w:rPr>
        <w:t> </w:t>
      </w:r>
      <w:r>
        <w:rPr>
          <w:color w:val="231F20"/>
          <w:w w:val="105"/>
        </w:rPr>
        <w:t>las</w:t>
      </w:r>
      <w:r>
        <w:rPr>
          <w:color w:val="231F20"/>
          <w:spacing w:val="-20"/>
          <w:w w:val="105"/>
        </w:rPr>
        <w:t> </w:t>
      </w:r>
      <w:r>
        <w:rPr>
          <w:color w:val="231F20"/>
          <w:w w:val="105"/>
        </w:rPr>
        <w:t>obtenidas</w:t>
      </w:r>
      <w:r>
        <w:rPr>
          <w:color w:val="231F20"/>
          <w:spacing w:val="-20"/>
          <w:w w:val="105"/>
        </w:rPr>
        <w:t> </w:t>
      </w:r>
      <w:r>
        <w:rPr>
          <w:color w:val="231F20"/>
          <w:spacing w:val="-3"/>
          <w:w w:val="105"/>
        </w:rPr>
        <w:t>entre</w:t>
      </w:r>
      <w:r>
        <w:rPr>
          <w:color w:val="231F20"/>
          <w:spacing w:val="-20"/>
          <w:w w:val="105"/>
        </w:rPr>
        <w:t> </w:t>
      </w:r>
      <w:r>
        <w:rPr>
          <w:color w:val="231F20"/>
          <w:w w:val="105"/>
        </w:rPr>
        <w:t>2004</w:t>
      </w:r>
      <w:r>
        <w:rPr>
          <w:color w:val="231F20"/>
          <w:spacing w:val="-20"/>
          <w:w w:val="105"/>
        </w:rPr>
        <w:t> </w:t>
      </w:r>
      <w:r>
        <w:rPr>
          <w:color w:val="231F20"/>
          <w:w w:val="105"/>
        </w:rPr>
        <w:t>y</w:t>
      </w:r>
      <w:r>
        <w:rPr>
          <w:color w:val="231F20"/>
          <w:spacing w:val="-20"/>
          <w:w w:val="105"/>
        </w:rPr>
        <w:t> </w:t>
      </w:r>
      <w:r>
        <w:rPr>
          <w:color w:val="231F20"/>
          <w:w w:val="105"/>
        </w:rPr>
        <w:t>2005</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migrantes</w:t>
      </w:r>
      <w:r>
        <w:rPr>
          <w:color w:val="231F20"/>
          <w:spacing w:val="-20"/>
          <w:w w:val="105"/>
        </w:rPr>
        <w:t> </w:t>
      </w:r>
      <w:r>
        <w:rPr>
          <w:color w:val="231F20"/>
          <w:w w:val="105"/>
        </w:rPr>
        <w:t>mexi- canos</w:t>
      </w:r>
      <w:r>
        <w:rPr>
          <w:color w:val="231F20"/>
          <w:spacing w:val="-19"/>
          <w:w w:val="105"/>
        </w:rPr>
        <w:t> </w:t>
      </w:r>
      <w:r>
        <w:rPr>
          <w:color w:val="231F20"/>
          <w:spacing w:val="-3"/>
          <w:w w:val="105"/>
        </w:rPr>
        <w:t>procedentes</w:t>
      </w:r>
      <w:r>
        <w:rPr>
          <w:color w:val="231F20"/>
          <w:spacing w:val="-19"/>
          <w:w w:val="105"/>
        </w:rPr>
        <w:t> </w:t>
      </w:r>
      <w:r>
        <w:rPr>
          <w:color w:val="231F20"/>
          <w:w w:val="105"/>
        </w:rPr>
        <w:t>de</w:t>
      </w:r>
      <w:r>
        <w:rPr>
          <w:color w:val="231F20"/>
          <w:spacing w:val="-19"/>
          <w:w w:val="105"/>
        </w:rPr>
        <w:t> </w:t>
      </w:r>
      <w:r>
        <w:rPr>
          <w:color w:val="231F20"/>
          <w:w w:val="105"/>
        </w:rPr>
        <w:t>Estados</w:t>
      </w:r>
      <w:r>
        <w:rPr>
          <w:color w:val="231F20"/>
          <w:spacing w:val="-19"/>
          <w:w w:val="105"/>
        </w:rPr>
        <w:t> </w:t>
      </w:r>
      <w:r>
        <w:rPr>
          <w:color w:val="231F20"/>
          <w:w w:val="105"/>
        </w:rPr>
        <w:t>Unidos,</w:t>
      </w:r>
      <w:r>
        <w:rPr>
          <w:color w:val="231F20"/>
          <w:spacing w:val="-24"/>
          <w:w w:val="105"/>
        </w:rPr>
        <w:t> </w:t>
      </w:r>
      <w:r>
        <w:rPr>
          <w:color w:val="231F20"/>
          <w:w w:val="105"/>
        </w:rPr>
        <w:t>donde</w:t>
      </w:r>
      <w:r>
        <w:rPr>
          <w:color w:val="231F20"/>
          <w:spacing w:val="-19"/>
          <w:w w:val="105"/>
        </w:rPr>
        <w:t> </w:t>
      </w:r>
      <w:r>
        <w:rPr>
          <w:color w:val="231F20"/>
          <w:w w:val="105"/>
        </w:rPr>
        <w:t>74.8%</w:t>
      </w:r>
      <w:r>
        <w:rPr>
          <w:color w:val="231F20"/>
          <w:spacing w:val="-19"/>
          <w:w w:val="105"/>
        </w:rPr>
        <w:t> </w:t>
      </w:r>
      <w:r>
        <w:rPr>
          <w:color w:val="231F20"/>
          <w:w w:val="105"/>
        </w:rPr>
        <w:t>sufrió</w:t>
      </w:r>
      <w:r>
        <w:rPr>
          <w:color w:val="231F20"/>
          <w:spacing w:val="-19"/>
          <w:w w:val="105"/>
        </w:rPr>
        <w:t> </w:t>
      </w:r>
      <w:r>
        <w:rPr>
          <w:color w:val="231F20"/>
          <w:w w:val="105"/>
        </w:rPr>
        <w:t>algún</w:t>
      </w:r>
      <w:r>
        <w:rPr>
          <w:color w:val="231F20"/>
          <w:spacing w:val="-19"/>
          <w:w w:val="105"/>
        </w:rPr>
        <w:t> </w:t>
      </w:r>
      <w:r>
        <w:rPr>
          <w:color w:val="231F20"/>
          <w:w w:val="105"/>
        </w:rPr>
        <w:t>tipo</w:t>
      </w:r>
      <w:r>
        <w:rPr>
          <w:color w:val="231F20"/>
          <w:spacing w:val="-19"/>
          <w:w w:val="105"/>
        </w:rPr>
        <w:t> </w:t>
      </w:r>
      <w:r>
        <w:rPr>
          <w:color w:val="231F20"/>
          <w:w w:val="105"/>
        </w:rPr>
        <w:t>de accidente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lugar</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17"/>
          <w:w w:val="105"/>
        </w:rPr>
        <w:t> </w:t>
      </w:r>
      <w:r>
        <w:rPr>
          <w:color w:val="231F20"/>
          <w:w w:val="105"/>
        </w:rPr>
        <w:t>(Macías</w:t>
      </w:r>
      <w:r>
        <w:rPr>
          <w:color w:val="231F20"/>
          <w:spacing w:val="-17"/>
          <w:w w:val="105"/>
        </w:rPr>
        <w:t> </w:t>
      </w:r>
      <w:r>
        <w:rPr>
          <w:rFonts w:ascii="Arial" w:hAnsi="Arial"/>
          <w:i/>
          <w:color w:val="231F20"/>
          <w:w w:val="105"/>
        </w:rPr>
        <w:t>et</w:t>
      </w:r>
      <w:r>
        <w:rPr>
          <w:rFonts w:ascii="Arial" w:hAnsi="Arial"/>
          <w:i/>
          <w:color w:val="231F20"/>
          <w:spacing w:val="-19"/>
          <w:w w:val="105"/>
        </w:rPr>
        <w:t> </w:t>
      </w:r>
      <w:r>
        <w:rPr>
          <w:rFonts w:ascii="Arial" w:hAnsi="Arial"/>
          <w:i/>
          <w:color w:val="231F20"/>
          <w:w w:val="105"/>
        </w:rPr>
        <w:t>al.,</w:t>
      </w:r>
      <w:r>
        <w:rPr>
          <w:rFonts w:ascii="Arial" w:hAnsi="Arial"/>
          <w:i/>
          <w:color w:val="231F20"/>
          <w:spacing w:val="-24"/>
          <w:w w:val="105"/>
        </w:rPr>
        <w:t> </w:t>
      </w:r>
      <w:r>
        <w:rPr>
          <w:color w:val="231F20"/>
          <w:w w:val="105"/>
        </w:rPr>
        <w:t>2009).</w:t>
      </w:r>
      <w:r>
        <w:rPr>
          <w:color w:val="231F20"/>
          <w:spacing w:val="-24"/>
          <w:w w:val="105"/>
        </w:rPr>
        <w:t> </w:t>
      </w:r>
      <w:r>
        <w:rPr>
          <w:color w:val="231F20"/>
          <w:w w:val="105"/>
        </w:rPr>
        <w:t>Además,</w:t>
      </w:r>
      <w:r>
        <w:rPr>
          <w:color w:val="231F20"/>
          <w:spacing w:val="-21"/>
          <w:w w:val="105"/>
        </w:rPr>
        <w:t> </w:t>
      </w:r>
      <w:r>
        <w:rPr>
          <w:color w:val="231F20"/>
          <w:w w:val="105"/>
        </w:rPr>
        <w:t>si</w:t>
      </w:r>
      <w:r>
        <w:rPr>
          <w:color w:val="231F20"/>
          <w:spacing w:val="-17"/>
          <w:w w:val="105"/>
        </w:rPr>
        <w:t> </w:t>
      </w:r>
      <w:r>
        <w:rPr>
          <w:color w:val="231F20"/>
          <w:w w:val="105"/>
        </w:rPr>
        <w:t>bien</w:t>
      </w:r>
      <w:r>
        <w:rPr>
          <w:color w:val="231F20"/>
          <w:spacing w:val="-17"/>
          <w:w w:val="105"/>
        </w:rPr>
        <w:t> </w:t>
      </w:r>
      <w:r>
        <w:rPr>
          <w:color w:val="231F20"/>
          <w:w w:val="105"/>
        </w:rPr>
        <w:t>en el</w:t>
      </w:r>
      <w:r>
        <w:rPr>
          <w:color w:val="231F20"/>
          <w:spacing w:val="-24"/>
          <w:w w:val="105"/>
        </w:rPr>
        <w:t> </w:t>
      </w:r>
      <w:r>
        <w:rPr>
          <w:color w:val="231F20"/>
          <w:spacing w:val="-3"/>
          <w:w w:val="105"/>
        </w:rPr>
        <w:t>presente</w:t>
      </w:r>
      <w:r>
        <w:rPr>
          <w:color w:val="231F20"/>
          <w:spacing w:val="-24"/>
          <w:w w:val="105"/>
        </w:rPr>
        <w:t> </w:t>
      </w:r>
      <w:r>
        <w:rPr>
          <w:color w:val="231F20"/>
          <w:w w:val="105"/>
        </w:rPr>
        <w:t>estudio</w:t>
      </w:r>
      <w:r>
        <w:rPr>
          <w:color w:val="231F20"/>
          <w:spacing w:val="-24"/>
          <w:w w:val="105"/>
        </w:rPr>
        <w:t> </w:t>
      </w:r>
      <w:r>
        <w:rPr>
          <w:color w:val="231F20"/>
          <w:w w:val="105"/>
        </w:rPr>
        <w:t>se</w:t>
      </w:r>
      <w:r>
        <w:rPr>
          <w:color w:val="231F20"/>
          <w:spacing w:val="-24"/>
          <w:w w:val="105"/>
        </w:rPr>
        <w:t> </w:t>
      </w:r>
      <w:r>
        <w:rPr>
          <w:color w:val="231F20"/>
          <w:spacing w:val="-3"/>
          <w:w w:val="105"/>
        </w:rPr>
        <w:t>registró</w:t>
      </w:r>
      <w:r>
        <w:rPr>
          <w:color w:val="231F20"/>
          <w:spacing w:val="-24"/>
          <w:w w:val="105"/>
        </w:rPr>
        <w:t> </w:t>
      </w:r>
      <w:r>
        <w:rPr>
          <w:color w:val="231F20"/>
          <w:w w:val="105"/>
        </w:rPr>
        <w:t>una</w:t>
      </w:r>
      <w:r>
        <w:rPr>
          <w:color w:val="231F20"/>
          <w:spacing w:val="-24"/>
          <w:w w:val="105"/>
        </w:rPr>
        <w:t> </w:t>
      </w:r>
      <w:r>
        <w:rPr>
          <w:color w:val="231F20"/>
          <w:w w:val="105"/>
        </w:rPr>
        <w:t>disminución</w:t>
      </w:r>
      <w:r>
        <w:rPr>
          <w:color w:val="231F20"/>
          <w:spacing w:val="-24"/>
          <w:w w:val="105"/>
        </w:rPr>
        <w:t> </w:t>
      </w:r>
      <w:r>
        <w:rPr>
          <w:color w:val="231F20"/>
          <w:w w:val="105"/>
        </w:rPr>
        <w:t>a</w:t>
      </w:r>
      <w:r>
        <w:rPr>
          <w:color w:val="231F20"/>
          <w:spacing w:val="-24"/>
          <w:w w:val="105"/>
        </w:rPr>
        <w:t> </w:t>
      </w:r>
      <w:r>
        <w:rPr>
          <w:color w:val="231F20"/>
          <w:w w:val="105"/>
        </w:rPr>
        <w:t>nivel</w:t>
      </w:r>
      <w:r>
        <w:rPr>
          <w:color w:val="231F20"/>
          <w:spacing w:val="-24"/>
          <w:w w:val="105"/>
        </w:rPr>
        <w:t> </w:t>
      </w:r>
      <w:r>
        <w:rPr>
          <w:color w:val="231F20"/>
          <w:w w:val="105"/>
        </w:rPr>
        <w:t>nacional</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ocu- </w:t>
      </w:r>
      <w:r>
        <w:rPr>
          <w:color w:val="231F20"/>
          <w:spacing w:val="-3"/>
          <w:w w:val="105"/>
        </w:rPr>
        <w:t>rrencia</w:t>
      </w:r>
      <w:r>
        <w:rPr>
          <w:color w:val="231F20"/>
          <w:spacing w:val="-14"/>
          <w:w w:val="105"/>
        </w:rPr>
        <w:t> </w:t>
      </w:r>
      <w:r>
        <w:rPr>
          <w:color w:val="231F20"/>
          <w:w w:val="105"/>
        </w:rPr>
        <w:t>de</w:t>
      </w:r>
      <w:r>
        <w:rPr>
          <w:color w:val="231F20"/>
          <w:spacing w:val="-14"/>
          <w:w w:val="105"/>
        </w:rPr>
        <w:t> </w:t>
      </w:r>
      <w:r>
        <w:rPr>
          <w:color w:val="231F20"/>
          <w:w w:val="105"/>
        </w:rPr>
        <w:t>este</w:t>
      </w:r>
      <w:r>
        <w:rPr>
          <w:color w:val="231F20"/>
          <w:spacing w:val="-14"/>
          <w:w w:val="105"/>
        </w:rPr>
        <w:t> </w:t>
      </w:r>
      <w:r>
        <w:rPr>
          <w:color w:val="231F20"/>
          <w:w w:val="105"/>
        </w:rPr>
        <w:t>tipo</w:t>
      </w:r>
      <w:r>
        <w:rPr>
          <w:color w:val="231F20"/>
          <w:spacing w:val="-14"/>
          <w:w w:val="105"/>
        </w:rPr>
        <w:t> </w:t>
      </w:r>
      <w:r>
        <w:rPr>
          <w:color w:val="231F20"/>
          <w:w w:val="105"/>
        </w:rPr>
        <w:t>de</w:t>
      </w:r>
      <w:r>
        <w:rPr>
          <w:color w:val="231F20"/>
          <w:spacing w:val="-14"/>
          <w:w w:val="105"/>
        </w:rPr>
        <w:t> </w:t>
      </w:r>
      <w:r>
        <w:rPr>
          <w:color w:val="231F20"/>
          <w:w w:val="105"/>
        </w:rPr>
        <w:t>eventos,</w:t>
      </w:r>
      <w:r>
        <w:rPr>
          <w:color w:val="231F20"/>
          <w:spacing w:val="-20"/>
          <w:w w:val="105"/>
        </w:rPr>
        <w:t> </w:t>
      </w:r>
      <w:r>
        <w:rPr>
          <w:color w:val="231F20"/>
          <w:w w:val="105"/>
        </w:rPr>
        <w:t>en</w:t>
      </w:r>
      <w:r>
        <w:rPr>
          <w:color w:val="231F20"/>
          <w:spacing w:val="-14"/>
          <w:w w:val="105"/>
        </w:rPr>
        <w:t> </w:t>
      </w:r>
      <w:r>
        <w:rPr>
          <w:color w:val="231F20"/>
          <w:w w:val="105"/>
        </w:rPr>
        <w:t>los</w:t>
      </w:r>
      <w:r>
        <w:rPr>
          <w:color w:val="231F20"/>
          <w:spacing w:val="-14"/>
          <w:w w:val="105"/>
        </w:rPr>
        <w:t> </w:t>
      </w:r>
      <w:r>
        <w:rPr>
          <w:color w:val="231F20"/>
          <w:w w:val="105"/>
        </w:rPr>
        <w:t>nacidos</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entidad</w:t>
      </w:r>
      <w:r>
        <w:rPr>
          <w:color w:val="231F20"/>
          <w:spacing w:val="-14"/>
          <w:w w:val="105"/>
        </w:rPr>
        <w:t> </w:t>
      </w:r>
      <w:r>
        <w:rPr>
          <w:color w:val="231F20"/>
          <w:spacing w:val="-3"/>
          <w:w w:val="105"/>
        </w:rPr>
        <w:t>mexiquense </w:t>
      </w:r>
      <w:r>
        <w:rPr>
          <w:color w:val="231F20"/>
          <w:w w:val="105"/>
        </w:rPr>
        <w:t>se</w:t>
      </w:r>
      <w:r>
        <w:rPr>
          <w:color w:val="231F20"/>
          <w:spacing w:val="-17"/>
          <w:w w:val="105"/>
        </w:rPr>
        <w:t> </w:t>
      </w:r>
      <w:r>
        <w:rPr>
          <w:color w:val="231F20"/>
          <w:w w:val="105"/>
        </w:rPr>
        <w:t>conservó</w:t>
      </w:r>
      <w:r>
        <w:rPr>
          <w:color w:val="231F20"/>
          <w:spacing w:val="-17"/>
          <w:w w:val="105"/>
        </w:rPr>
        <w:t> </w:t>
      </w:r>
      <w:r>
        <w:rPr>
          <w:color w:val="231F20"/>
          <w:w w:val="105"/>
        </w:rPr>
        <w:t>una</w:t>
      </w:r>
      <w:r>
        <w:rPr>
          <w:color w:val="231F20"/>
          <w:spacing w:val="-17"/>
          <w:w w:val="105"/>
        </w:rPr>
        <w:t> </w:t>
      </w:r>
      <w:r>
        <w:rPr>
          <w:color w:val="231F20"/>
          <w:spacing w:val="-3"/>
          <w:w w:val="105"/>
        </w:rPr>
        <w:t>proporción</w:t>
      </w:r>
      <w:r>
        <w:rPr>
          <w:color w:val="231F20"/>
          <w:spacing w:val="-17"/>
          <w:w w:val="105"/>
        </w:rPr>
        <w:t> </w:t>
      </w:r>
      <w:r>
        <w:rPr>
          <w:color w:val="231F20"/>
          <w:w w:val="105"/>
        </w:rPr>
        <w:t>bastante</w:t>
      </w:r>
      <w:r>
        <w:rPr>
          <w:color w:val="231F20"/>
          <w:spacing w:val="-17"/>
          <w:w w:val="105"/>
        </w:rPr>
        <w:t> </w:t>
      </w:r>
      <w:r>
        <w:rPr>
          <w:color w:val="231F20"/>
          <w:w w:val="105"/>
        </w:rPr>
        <w:t>alta,</w:t>
      </w:r>
      <w:r>
        <w:rPr>
          <w:color w:val="231F20"/>
          <w:spacing w:val="-22"/>
          <w:w w:val="105"/>
        </w:rPr>
        <w:t> </w:t>
      </w:r>
      <w:r>
        <w:rPr>
          <w:color w:val="231F20"/>
          <w:w w:val="105"/>
        </w:rPr>
        <w:t>lo</w:t>
      </w:r>
      <w:r>
        <w:rPr>
          <w:color w:val="231F20"/>
          <w:spacing w:val="-17"/>
          <w:w w:val="105"/>
        </w:rPr>
        <w:t> </w:t>
      </w:r>
      <w:r>
        <w:rPr>
          <w:color w:val="231F20"/>
          <w:w w:val="105"/>
        </w:rPr>
        <w:t>cual</w:t>
      </w:r>
      <w:r>
        <w:rPr>
          <w:color w:val="231F20"/>
          <w:spacing w:val="-17"/>
          <w:w w:val="105"/>
        </w:rPr>
        <w:t> </w:t>
      </w:r>
      <w:r>
        <w:rPr>
          <w:color w:val="231F20"/>
          <w:w w:val="105"/>
        </w:rPr>
        <w:t>puede</w:t>
      </w:r>
      <w:r>
        <w:rPr>
          <w:color w:val="231F20"/>
          <w:spacing w:val="-17"/>
          <w:w w:val="105"/>
        </w:rPr>
        <w:t> </w:t>
      </w:r>
      <w:r>
        <w:rPr>
          <w:color w:val="231F20"/>
          <w:w w:val="105"/>
        </w:rPr>
        <w:t>ser</w:t>
      </w:r>
      <w:r>
        <w:rPr>
          <w:color w:val="231F20"/>
          <w:spacing w:val="-17"/>
          <w:w w:val="105"/>
        </w:rPr>
        <w:t> </w:t>
      </w:r>
      <w:r>
        <w:rPr>
          <w:color w:val="231F20"/>
          <w:spacing w:val="-3"/>
          <w:w w:val="105"/>
        </w:rPr>
        <w:t>reflejo</w:t>
      </w:r>
      <w:r>
        <w:rPr>
          <w:color w:val="231F20"/>
          <w:spacing w:val="-17"/>
          <w:w w:val="105"/>
        </w:rPr>
        <w:t> </w:t>
      </w:r>
      <w:r>
        <w:rPr>
          <w:color w:val="231F20"/>
          <w:w w:val="105"/>
        </w:rPr>
        <w:t>de</w:t>
      </w:r>
      <w:r>
        <w:rPr>
          <w:color w:val="231F20"/>
          <w:spacing w:val="-17"/>
          <w:w w:val="105"/>
        </w:rPr>
        <w:t> </w:t>
      </w:r>
      <w:r>
        <w:rPr>
          <w:color w:val="231F20"/>
          <w:spacing w:val="-2"/>
          <w:w w:val="105"/>
        </w:rPr>
        <w:t>las </w:t>
      </w:r>
      <w:r>
        <w:rPr>
          <w:color w:val="231F20"/>
          <w:w w:val="105"/>
        </w:rPr>
        <w:t>malas</w:t>
      </w:r>
      <w:r>
        <w:rPr>
          <w:color w:val="231F20"/>
          <w:spacing w:val="-30"/>
          <w:w w:val="105"/>
        </w:rPr>
        <w:t> </w:t>
      </w:r>
      <w:r>
        <w:rPr>
          <w:color w:val="231F20"/>
          <w:w w:val="105"/>
        </w:rPr>
        <w:t>condiciones</w:t>
      </w:r>
      <w:r>
        <w:rPr>
          <w:color w:val="231F20"/>
          <w:spacing w:val="-30"/>
          <w:w w:val="105"/>
        </w:rPr>
        <w:t> </w:t>
      </w:r>
      <w:r>
        <w:rPr>
          <w:color w:val="231F20"/>
          <w:spacing w:val="-2"/>
          <w:w w:val="105"/>
        </w:rPr>
        <w:t>laborales</w:t>
      </w:r>
      <w:r>
        <w:rPr>
          <w:color w:val="231F20"/>
          <w:spacing w:val="-30"/>
          <w:w w:val="105"/>
        </w:rPr>
        <w:t> </w:t>
      </w:r>
      <w:r>
        <w:rPr>
          <w:color w:val="231F20"/>
          <w:w w:val="105"/>
        </w:rPr>
        <w:t>y</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falta</w:t>
      </w:r>
      <w:r>
        <w:rPr>
          <w:color w:val="231F20"/>
          <w:spacing w:val="-30"/>
          <w:w w:val="105"/>
        </w:rPr>
        <w:t> </w:t>
      </w:r>
      <w:r>
        <w:rPr>
          <w:color w:val="231F20"/>
          <w:w w:val="105"/>
        </w:rPr>
        <w:t>de</w:t>
      </w:r>
      <w:r>
        <w:rPr>
          <w:color w:val="231F20"/>
          <w:spacing w:val="-30"/>
          <w:w w:val="105"/>
        </w:rPr>
        <w:t> </w:t>
      </w:r>
      <w:r>
        <w:rPr>
          <w:color w:val="231F20"/>
          <w:w w:val="105"/>
        </w:rPr>
        <w:t>servicios</w:t>
      </w:r>
      <w:r>
        <w:rPr>
          <w:color w:val="231F20"/>
          <w:spacing w:val="-30"/>
          <w:w w:val="105"/>
        </w:rPr>
        <w:t> </w:t>
      </w:r>
      <w:r>
        <w:rPr>
          <w:color w:val="231F20"/>
          <w:w w:val="105"/>
        </w:rPr>
        <w:t>médicos.</w:t>
      </w:r>
    </w:p>
    <w:p>
      <w:pPr>
        <w:pStyle w:val="BodyText"/>
        <w:spacing w:line="261" w:lineRule="auto" w:before="1"/>
        <w:ind w:left="1837" w:right="1715" w:firstLine="567"/>
        <w:jc w:val="both"/>
      </w:pPr>
      <w:r>
        <w:rPr>
          <w:color w:val="231F20"/>
          <w:w w:val="105"/>
        </w:rPr>
        <w:t>En</w:t>
      </w:r>
      <w:r>
        <w:rPr>
          <w:color w:val="231F20"/>
          <w:spacing w:val="-10"/>
          <w:w w:val="105"/>
        </w:rPr>
        <w:t> </w:t>
      </w:r>
      <w:r>
        <w:rPr>
          <w:color w:val="231F20"/>
          <w:w w:val="105"/>
        </w:rPr>
        <w:t>cuanto</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morbilidad</w:t>
      </w:r>
      <w:r>
        <w:rPr>
          <w:color w:val="231F20"/>
          <w:spacing w:val="-10"/>
          <w:w w:val="105"/>
        </w:rPr>
        <w:t> </w:t>
      </w:r>
      <w:r>
        <w:rPr>
          <w:color w:val="231F20"/>
          <w:w w:val="105"/>
        </w:rPr>
        <w:t>reportada</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w w:val="105"/>
        </w:rPr>
        <w:t>migrantes</w:t>
      </w:r>
      <w:r>
        <w:rPr>
          <w:color w:val="231F20"/>
          <w:spacing w:val="-10"/>
          <w:w w:val="105"/>
        </w:rPr>
        <w:t> </w:t>
      </w:r>
      <w:r>
        <w:rPr>
          <w:color w:val="231F20"/>
          <w:w w:val="105"/>
        </w:rPr>
        <w:t>en</w:t>
      </w:r>
      <w:r>
        <w:rPr>
          <w:color w:val="231F20"/>
          <w:spacing w:val="-10"/>
          <w:w w:val="105"/>
        </w:rPr>
        <w:t> </w:t>
      </w:r>
      <w:r>
        <w:rPr>
          <w:color w:val="231F20"/>
          <w:w w:val="105"/>
        </w:rPr>
        <w:t>flujo</w:t>
      </w:r>
      <w:r>
        <w:rPr>
          <w:color w:val="231F20"/>
          <w:spacing w:val="-10"/>
          <w:w w:val="105"/>
        </w:rPr>
        <w:t> </w:t>
      </w:r>
      <w:r>
        <w:rPr>
          <w:color w:val="231F20"/>
          <w:w w:val="105"/>
        </w:rPr>
        <w:t>pro- cedentes</w:t>
      </w:r>
      <w:r>
        <w:rPr>
          <w:color w:val="231F20"/>
          <w:spacing w:val="-14"/>
          <w:w w:val="105"/>
        </w:rPr>
        <w:t> </w:t>
      </w:r>
      <w:r>
        <w:rPr>
          <w:color w:val="231F20"/>
          <w:w w:val="105"/>
        </w:rPr>
        <w:t>de</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oriundos</w:t>
      </w:r>
      <w:r>
        <w:rPr>
          <w:color w:val="231F20"/>
          <w:spacing w:val="-14"/>
          <w:w w:val="105"/>
        </w:rPr>
        <w:t> </w:t>
      </w:r>
      <w:r>
        <w:rPr>
          <w:color w:val="231F20"/>
          <w:w w:val="105"/>
        </w:rPr>
        <w:t>del</w:t>
      </w:r>
      <w:r>
        <w:rPr>
          <w:color w:val="231F20"/>
          <w:spacing w:val="-14"/>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México,</w:t>
      </w:r>
      <w:r>
        <w:rPr>
          <w:color w:val="231F20"/>
          <w:spacing w:val="-20"/>
          <w:w w:val="105"/>
        </w:rPr>
        <w:t> </w:t>
      </w:r>
      <w:r>
        <w:rPr>
          <w:color w:val="231F20"/>
          <w:w w:val="105"/>
        </w:rPr>
        <w:t>los</w:t>
      </w:r>
      <w:r>
        <w:rPr>
          <w:color w:val="231F20"/>
          <w:spacing w:val="-14"/>
          <w:w w:val="105"/>
        </w:rPr>
        <w:t> </w:t>
      </w:r>
      <w:r>
        <w:rPr>
          <w:color w:val="231F20"/>
          <w:w w:val="105"/>
        </w:rPr>
        <w:t>padeci- mientos</w:t>
      </w:r>
      <w:r>
        <w:rPr>
          <w:color w:val="231F20"/>
          <w:spacing w:val="-16"/>
          <w:w w:val="105"/>
        </w:rPr>
        <w:t> </w:t>
      </w:r>
      <w:r>
        <w:rPr>
          <w:color w:val="231F20"/>
          <w:w w:val="105"/>
        </w:rPr>
        <w:t>más</w:t>
      </w:r>
      <w:r>
        <w:rPr>
          <w:color w:val="231F20"/>
          <w:spacing w:val="-16"/>
          <w:w w:val="105"/>
        </w:rPr>
        <w:t> </w:t>
      </w:r>
      <w:r>
        <w:rPr>
          <w:color w:val="231F20"/>
          <w:w w:val="105"/>
        </w:rPr>
        <w:t>frecuentes</w:t>
      </w:r>
      <w:r>
        <w:rPr>
          <w:color w:val="231F20"/>
          <w:spacing w:val="-16"/>
          <w:w w:val="105"/>
        </w:rPr>
        <w:t> </w:t>
      </w:r>
      <w:r>
        <w:rPr>
          <w:color w:val="231F20"/>
          <w:w w:val="105"/>
        </w:rPr>
        <w:t>fueron</w:t>
      </w:r>
      <w:r>
        <w:rPr>
          <w:color w:val="231F20"/>
          <w:spacing w:val="-16"/>
          <w:w w:val="105"/>
        </w:rPr>
        <w:t> </w:t>
      </w:r>
      <w:r>
        <w:rPr>
          <w:color w:val="231F20"/>
          <w:w w:val="105"/>
        </w:rPr>
        <w:t>la</w:t>
      </w:r>
      <w:r>
        <w:rPr>
          <w:color w:val="231F20"/>
          <w:spacing w:val="-16"/>
          <w:w w:val="105"/>
        </w:rPr>
        <w:t> </w:t>
      </w:r>
      <w:r>
        <w:rPr>
          <w:color w:val="231F20"/>
          <w:w w:val="105"/>
        </w:rPr>
        <w:t>hipertensión</w:t>
      </w:r>
      <w:r>
        <w:rPr>
          <w:color w:val="231F20"/>
          <w:spacing w:val="-16"/>
          <w:w w:val="105"/>
        </w:rPr>
        <w:t> </w:t>
      </w:r>
      <w:r>
        <w:rPr>
          <w:color w:val="231F20"/>
          <w:w w:val="105"/>
        </w:rPr>
        <w:t>arterial</w:t>
      </w:r>
      <w:r>
        <w:rPr>
          <w:color w:val="231F20"/>
          <w:spacing w:val="-16"/>
          <w:w w:val="105"/>
        </w:rPr>
        <w:t> </w:t>
      </w:r>
      <w:r>
        <w:rPr>
          <w:color w:val="231F20"/>
          <w:w w:val="105"/>
        </w:rPr>
        <w:t>(8%)</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diabetes mellitus</w:t>
      </w:r>
      <w:r>
        <w:rPr>
          <w:color w:val="231F20"/>
          <w:spacing w:val="-7"/>
          <w:w w:val="105"/>
        </w:rPr>
        <w:t> </w:t>
      </w:r>
      <w:r>
        <w:rPr>
          <w:color w:val="231F20"/>
          <w:w w:val="105"/>
        </w:rPr>
        <w:t>(7.8%),</w:t>
      </w:r>
      <w:r>
        <w:rPr>
          <w:color w:val="231F20"/>
          <w:spacing w:val="-12"/>
          <w:w w:val="105"/>
        </w:rPr>
        <w:t> </w:t>
      </w:r>
      <w:r>
        <w:rPr>
          <w:color w:val="231F20"/>
          <w:w w:val="105"/>
        </w:rPr>
        <w:t>mismos</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2013</w:t>
      </w:r>
      <w:r>
        <w:rPr>
          <w:color w:val="231F20"/>
          <w:spacing w:val="-7"/>
          <w:w w:val="105"/>
        </w:rPr>
        <w:t> </w:t>
      </w:r>
      <w:r>
        <w:rPr>
          <w:color w:val="231F20"/>
          <w:w w:val="105"/>
        </w:rPr>
        <w:t>se</w:t>
      </w:r>
      <w:r>
        <w:rPr>
          <w:color w:val="231F20"/>
          <w:spacing w:val="-7"/>
          <w:w w:val="105"/>
        </w:rPr>
        <w:t> </w:t>
      </w:r>
      <w:r>
        <w:rPr>
          <w:color w:val="231F20"/>
          <w:w w:val="105"/>
        </w:rPr>
        <w:t>encontraban</w:t>
      </w:r>
      <w:r>
        <w:rPr>
          <w:color w:val="231F20"/>
          <w:spacing w:val="-7"/>
          <w:w w:val="105"/>
        </w:rPr>
        <w:t> </w:t>
      </w:r>
      <w:r>
        <w:rPr>
          <w:color w:val="231F20"/>
          <w:w w:val="105"/>
        </w:rPr>
        <w:t>dentro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diez primeras causas de enfermedad, al ocupar el quinto y sexto lugar en el Estado</w:t>
      </w:r>
      <w:r>
        <w:rPr>
          <w:color w:val="231F20"/>
          <w:spacing w:val="-5"/>
          <w:w w:val="105"/>
        </w:rPr>
        <w:t> </w:t>
      </w:r>
      <w:r>
        <w:rPr>
          <w:color w:val="231F20"/>
          <w:w w:val="105"/>
        </w:rPr>
        <w:t>de</w:t>
      </w:r>
      <w:r>
        <w:rPr>
          <w:color w:val="231F20"/>
          <w:spacing w:val="-5"/>
          <w:w w:val="105"/>
        </w:rPr>
        <w:t> </w:t>
      </w:r>
      <w:r>
        <w:rPr>
          <w:color w:val="231F20"/>
          <w:w w:val="105"/>
        </w:rPr>
        <w:t>México,</w:t>
      </w:r>
      <w:r>
        <w:rPr>
          <w:color w:val="231F20"/>
          <w:spacing w:val="-10"/>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séptimo</w:t>
      </w:r>
      <w:r>
        <w:rPr>
          <w:color w:val="231F20"/>
          <w:spacing w:val="-5"/>
          <w:w w:val="105"/>
        </w:rPr>
        <w:t> </w:t>
      </w:r>
      <w:r>
        <w:rPr>
          <w:color w:val="231F20"/>
          <w:w w:val="105"/>
        </w:rPr>
        <w:t>y</w:t>
      </w:r>
      <w:r>
        <w:rPr>
          <w:color w:val="231F20"/>
          <w:spacing w:val="-5"/>
          <w:w w:val="105"/>
        </w:rPr>
        <w:t> </w:t>
      </w:r>
      <w:r>
        <w:rPr>
          <w:color w:val="231F20"/>
          <w:w w:val="105"/>
        </w:rPr>
        <w:t>noveno</w:t>
      </w:r>
      <w:r>
        <w:rPr>
          <w:color w:val="231F20"/>
          <w:spacing w:val="-5"/>
          <w:w w:val="105"/>
        </w:rPr>
        <w:t> </w:t>
      </w:r>
      <w:r>
        <w:rPr>
          <w:color w:val="231F20"/>
          <w:w w:val="105"/>
        </w:rPr>
        <w:t>lugar</w:t>
      </w:r>
      <w:r>
        <w:rPr>
          <w:color w:val="231F20"/>
          <w:spacing w:val="-5"/>
          <w:w w:val="105"/>
        </w:rPr>
        <w:t> </w:t>
      </w:r>
      <w:r>
        <w:rPr>
          <w:color w:val="231F20"/>
          <w:w w:val="105"/>
        </w:rPr>
        <w:t>a</w:t>
      </w:r>
      <w:r>
        <w:rPr>
          <w:color w:val="231F20"/>
          <w:spacing w:val="-5"/>
          <w:w w:val="105"/>
        </w:rPr>
        <w:t> </w:t>
      </w:r>
      <w:r>
        <w:rPr>
          <w:color w:val="231F20"/>
          <w:w w:val="105"/>
        </w:rPr>
        <w:t>nivel</w:t>
      </w:r>
      <w:r>
        <w:rPr>
          <w:color w:val="231F20"/>
          <w:spacing w:val="-5"/>
          <w:w w:val="105"/>
        </w:rPr>
        <w:t> </w:t>
      </w:r>
      <w:r>
        <w:rPr>
          <w:color w:val="231F20"/>
          <w:w w:val="105"/>
        </w:rPr>
        <w:t>nacional</w:t>
      </w:r>
      <w:r>
        <w:rPr>
          <w:color w:val="231F20"/>
          <w:spacing w:val="-5"/>
          <w:w w:val="105"/>
        </w:rPr>
        <w:t> </w:t>
      </w:r>
      <w:r>
        <w:rPr>
          <w:color w:val="231F20"/>
          <w:w w:val="105"/>
        </w:rPr>
        <w:t>(SUIVE, 2013).</w:t>
      </w:r>
      <w:r>
        <w:rPr>
          <w:color w:val="231F20"/>
          <w:spacing w:val="-25"/>
          <w:w w:val="105"/>
        </w:rPr>
        <w:t> </w:t>
      </w:r>
      <w:r>
        <w:rPr>
          <w:color w:val="231F20"/>
          <w:w w:val="105"/>
        </w:rPr>
        <w:t>Asimismo,</w:t>
      </w:r>
      <w:r>
        <w:rPr>
          <w:color w:val="231F20"/>
          <w:spacing w:val="-21"/>
          <w:w w:val="105"/>
        </w:rPr>
        <w:t> </w:t>
      </w:r>
      <w:r>
        <w:rPr>
          <w:color w:val="231F20"/>
          <w:w w:val="105"/>
        </w:rPr>
        <w:t>la</w:t>
      </w:r>
      <w:r>
        <w:rPr>
          <w:color w:val="231F20"/>
          <w:spacing w:val="-16"/>
          <w:w w:val="105"/>
        </w:rPr>
        <w:t> </w:t>
      </w:r>
      <w:r>
        <w:rPr>
          <w:color w:val="231F20"/>
          <w:w w:val="105"/>
        </w:rPr>
        <w:t>diabetes</w:t>
      </w:r>
      <w:r>
        <w:rPr>
          <w:color w:val="231F20"/>
          <w:spacing w:val="-16"/>
          <w:w w:val="105"/>
        </w:rPr>
        <w:t> </w:t>
      </w:r>
      <w:r>
        <w:rPr>
          <w:color w:val="231F20"/>
          <w:w w:val="105"/>
        </w:rPr>
        <w:t>mellitus</w:t>
      </w:r>
      <w:r>
        <w:rPr>
          <w:color w:val="231F20"/>
          <w:spacing w:val="-16"/>
          <w:w w:val="105"/>
        </w:rPr>
        <w:t> </w:t>
      </w:r>
      <w:r>
        <w:rPr>
          <w:color w:val="231F20"/>
          <w:w w:val="105"/>
        </w:rPr>
        <w:t>fue</w:t>
      </w:r>
      <w:r>
        <w:rPr>
          <w:color w:val="231F20"/>
          <w:spacing w:val="-16"/>
          <w:w w:val="105"/>
        </w:rPr>
        <w:t> </w:t>
      </w:r>
      <w:r>
        <w:rPr>
          <w:color w:val="231F20"/>
          <w:w w:val="105"/>
        </w:rPr>
        <w:t>la</w:t>
      </w:r>
      <w:r>
        <w:rPr>
          <w:color w:val="231F20"/>
          <w:spacing w:val="-16"/>
          <w:w w:val="105"/>
        </w:rPr>
        <w:t> </w:t>
      </w:r>
      <w:r>
        <w:rPr>
          <w:color w:val="231F20"/>
          <w:w w:val="105"/>
        </w:rPr>
        <w:t>primera</w:t>
      </w:r>
      <w:r>
        <w:rPr>
          <w:color w:val="231F20"/>
          <w:spacing w:val="-16"/>
          <w:w w:val="105"/>
        </w:rPr>
        <w:t> </w:t>
      </w:r>
      <w:r>
        <w:rPr>
          <w:color w:val="231F20"/>
          <w:w w:val="105"/>
        </w:rPr>
        <w:t>causa</w:t>
      </w:r>
      <w:r>
        <w:rPr>
          <w:color w:val="231F20"/>
          <w:spacing w:val="-16"/>
          <w:w w:val="105"/>
        </w:rPr>
        <w:t> </w:t>
      </w:r>
      <w:r>
        <w:rPr>
          <w:color w:val="231F20"/>
          <w:w w:val="105"/>
        </w:rPr>
        <w:t>de</w:t>
      </w:r>
      <w:r>
        <w:rPr>
          <w:color w:val="231F20"/>
          <w:spacing w:val="-16"/>
          <w:w w:val="105"/>
        </w:rPr>
        <w:t> </w:t>
      </w:r>
      <w:r>
        <w:rPr>
          <w:color w:val="231F20"/>
          <w:w w:val="105"/>
        </w:rPr>
        <w:t>mortalidad en la entidad mexiquense en 2013 y la segunda a nivel nacional (</w:t>
      </w:r>
      <w:r>
        <w:rPr>
          <w:color w:val="231F20"/>
          <w:w w:val="105"/>
          <w:sz w:val="17"/>
        </w:rPr>
        <w:t>INEGI</w:t>
      </w:r>
      <w:r>
        <w:rPr>
          <w:color w:val="231F20"/>
          <w:w w:val="105"/>
        </w:rPr>
        <w:t>, 2015), lo que sin lugar a dudas pone de manifiesto la presencia de</w:t>
      </w:r>
      <w:r>
        <w:rPr>
          <w:color w:val="231F20"/>
          <w:spacing w:val="-31"/>
          <w:w w:val="105"/>
        </w:rPr>
        <w:t> </w:t>
      </w:r>
      <w:r>
        <w:rPr>
          <w:color w:val="231F20"/>
          <w:w w:val="105"/>
        </w:rPr>
        <w:t>pro- blemas de salud pública para la atención y cuidado de un importante sector</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población</w:t>
      </w:r>
      <w:r>
        <w:rPr>
          <w:color w:val="231F20"/>
          <w:spacing w:val="-12"/>
          <w:w w:val="105"/>
        </w:rPr>
        <w:t> </w:t>
      </w:r>
      <w:r>
        <w:rPr>
          <w:color w:val="231F20"/>
          <w:w w:val="105"/>
        </w:rPr>
        <w:t>mexiquense.</w:t>
      </w:r>
    </w:p>
    <w:p>
      <w:pPr>
        <w:pStyle w:val="BodyText"/>
        <w:spacing w:line="261" w:lineRule="auto" w:before="1"/>
        <w:ind w:left="1837" w:right="1721" w:firstLine="567"/>
        <w:jc w:val="both"/>
      </w:pPr>
      <w:r>
        <w:rPr>
          <w:color w:val="231F20"/>
          <w:w w:val="105"/>
        </w:rPr>
        <w:t>Estos</w:t>
      </w:r>
      <w:r>
        <w:rPr>
          <w:color w:val="231F20"/>
          <w:spacing w:val="-20"/>
          <w:w w:val="105"/>
        </w:rPr>
        <w:t> </w:t>
      </w:r>
      <w:r>
        <w:rPr>
          <w:color w:val="231F20"/>
          <w:w w:val="105"/>
        </w:rPr>
        <w:t>resultados</w:t>
      </w:r>
      <w:r>
        <w:rPr>
          <w:color w:val="231F20"/>
          <w:spacing w:val="-20"/>
          <w:w w:val="105"/>
        </w:rPr>
        <w:t> </w:t>
      </w:r>
      <w:r>
        <w:rPr>
          <w:color w:val="231F20"/>
          <w:w w:val="105"/>
        </w:rPr>
        <w:t>fueron</w:t>
      </w:r>
      <w:r>
        <w:rPr>
          <w:color w:val="231F20"/>
          <w:spacing w:val="-20"/>
          <w:w w:val="105"/>
        </w:rPr>
        <w:t> </w:t>
      </w:r>
      <w:r>
        <w:rPr>
          <w:color w:val="231F20"/>
          <w:w w:val="105"/>
        </w:rPr>
        <w:t>muy</w:t>
      </w:r>
      <w:r>
        <w:rPr>
          <w:color w:val="231F20"/>
          <w:spacing w:val="-20"/>
          <w:w w:val="105"/>
        </w:rPr>
        <w:t> </w:t>
      </w:r>
      <w:r>
        <w:rPr>
          <w:color w:val="231F20"/>
          <w:w w:val="105"/>
        </w:rPr>
        <w:t>similares</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obtenidos</w:t>
      </w:r>
      <w:r>
        <w:rPr>
          <w:color w:val="231F20"/>
          <w:spacing w:val="-20"/>
          <w:w w:val="105"/>
        </w:rPr>
        <w:t> </w:t>
      </w:r>
      <w:r>
        <w:rPr>
          <w:color w:val="231F20"/>
          <w:w w:val="105"/>
        </w:rPr>
        <w:t>entre</w:t>
      </w:r>
      <w:r>
        <w:rPr>
          <w:color w:val="231F20"/>
          <w:spacing w:val="-20"/>
          <w:w w:val="105"/>
        </w:rPr>
        <w:t> </w:t>
      </w:r>
      <w:r>
        <w:rPr>
          <w:color w:val="231F20"/>
          <w:w w:val="105"/>
        </w:rPr>
        <w:t>2004</w:t>
      </w:r>
      <w:r>
        <w:rPr>
          <w:color w:val="231F20"/>
          <w:spacing w:val="-20"/>
          <w:w w:val="105"/>
        </w:rPr>
        <w:t> </w:t>
      </w:r>
      <w:r>
        <w:rPr>
          <w:color w:val="231F20"/>
          <w:w w:val="105"/>
        </w:rPr>
        <w:t>y 2005</w:t>
      </w:r>
      <w:r>
        <w:rPr>
          <w:color w:val="231F20"/>
          <w:spacing w:val="-6"/>
          <w:w w:val="105"/>
        </w:rPr>
        <w:t> </w:t>
      </w:r>
      <w:r>
        <w:rPr>
          <w:color w:val="231F20"/>
          <w:w w:val="105"/>
        </w:rPr>
        <w:t>en</w:t>
      </w:r>
      <w:r>
        <w:rPr>
          <w:color w:val="231F20"/>
          <w:spacing w:val="-6"/>
          <w:w w:val="105"/>
        </w:rPr>
        <w:t> </w:t>
      </w:r>
      <w:r>
        <w:rPr>
          <w:color w:val="231F20"/>
          <w:w w:val="105"/>
        </w:rPr>
        <w:t>migrantes</w:t>
      </w:r>
      <w:r>
        <w:rPr>
          <w:color w:val="231F20"/>
          <w:spacing w:val="-5"/>
          <w:w w:val="105"/>
        </w:rPr>
        <w:t> </w:t>
      </w:r>
      <w:r>
        <w:rPr>
          <w:color w:val="231F20"/>
          <w:w w:val="105"/>
        </w:rPr>
        <w:t>procedentes</w:t>
      </w:r>
      <w:r>
        <w:rPr>
          <w:color w:val="231F20"/>
          <w:spacing w:val="-6"/>
          <w:w w:val="105"/>
        </w:rPr>
        <w:t> </w:t>
      </w:r>
      <w:r>
        <w:rPr>
          <w:color w:val="231F20"/>
          <w:w w:val="105"/>
        </w:rPr>
        <w:t>de</w:t>
      </w:r>
      <w:r>
        <w:rPr>
          <w:color w:val="231F20"/>
          <w:spacing w:val="-6"/>
          <w:w w:val="105"/>
        </w:rPr>
        <w:t> </w:t>
      </w:r>
      <w:r>
        <w:rPr>
          <w:color w:val="231F20"/>
          <w:w w:val="105"/>
        </w:rPr>
        <w:t>Estados</w:t>
      </w:r>
      <w:r>
        <w:rPr>
          <w:color w:val="231F20"/>
          <w:spacing w:val="-6"/>
          <w:w w:val="105"/>
        </w:rPr>
        <w:t> </w:t>
      </w:r>
      <w:r>
        <w:rPr>
          <w:color w:val="231F20"/>
          <w:w w:val="105"/>
        </w:rPr>
        <w:t>Unidos,</w:t>
      </w:r>
      <w:r>
        <w:rPr>
          <w:color w:val="231F20"/>
          <w:spacing w:val="-11"/>
          <w:w w:val="105"/>
        </w:rPr>
        <w:t> </w:t>
      </w:r>
      <w:r>
        <w:rPr>
          <w:color w:val="231F20"/>
          <w:w w:val="105"/>
        </w:rPr>
        <w:t>tanto</w:t>
      </w:r>
      <w:r>
        <w:rPr>
          <w:color w:val="231F20"/>
          <w:spacing w:val="-5"/>
          <w:w w:val="105"/>
        </w:rPr>
        <w:t> </w:t>
      </w:r>
      <w:r>
        <w:rPr>
          <w:color w:val="231F20"/>
          <w:w w:val="105"/>
        </w:rPr>
        <w:t>a</w:t>
      </w:r>
      <w:r>
        <w:rPr>
          <w:color w:val="231F20"/>
          <w:spacing w:val="-6"/>
          <w:w w:val="105"/>
        </w:rPr>
        <w:t> </w:t>
      </w:r>
      <w:r>
        <w:rPr>
          <w:color w:val="231F20"/>
          <w:w w:val="105"/>
        </w:rPr>
        <w:t>nivel</w:t>
      </w:r>
      <w:r>
        <w:rPr>
          <w:color w:val="231F20"/>
          <w:spacing w:val="-6"/>
          <w:w w:val="105"/>
        </w:rPr>
        <w:t> </w:t>
      </w:r>
      <w:r>
        <w:rPr>
          <w:color w:val="231F20"/>
          <w:w w:val="105"/>
        </w:rPr>
        <w:t>nacio- nal,</w:t>
      </w:r>
      <w:r>
        <w:rPr>
          <w:color w:val="231F20"/>
          <w:spacing w:val="-17"/>
          <w:w w:val="105"/>
        </w:rPr>
        <w:t> </w:t>
      </w:r>
      <w:r>
        <w:rPr>
          <w:color w:val="231F20"/>
          <w:w w:val="105"/>
        </w:rPr>
        <w:t>como</w:t>
      </w:r>
      <w:r>
        <w:rPr>
          <w:color w:val="231F20"/>
          <w:spacing w:val="-13"/>
          <w:w w:val="105"/>
        </w:rPr>
        <w:t> </w:t>
      </w:r>
      <w:r>
        <w:rPr>
          <w:color w:val="231F20"/>
          <w:w w:val="105"/>
        </w:rPr>
        <w:t>entre</w:t>
      </w:r>
      <w:r>
        <w:rPr>
          <w:color w:val="231F20"/>
          <w:spacing w:val="-13"/>
          <w:w w:val="105"/>
        </w:rPr>
        <w:t> </w:t>
      </w:r>
      <w:r>
        <w:rPr>
          <w:color w:val="231F20"/>
          <w:w w:val="105"/>
        </w:rPr>
        <w:t>los</w:t>
      </w:r>
      <w:r>
        <w:rPr>
          <w:color w:val="231F20"/>
          <w:spacing w:val="-13"/>
          <w:w w:val="105"/>
        </w:rPr>
        <w:t> </w:t>
      </w:r>
      <w:r>
        <w:rPr>
          <w:color w:val="231F20"/>
          <w:w w:val="105"/>
        </w:rPr>
        <w:t>nacidos</w:t>
      </w:r>
      <w:r>
        <w:rPr>
          <w:color w:val="231F20"/>
          <w:spacing w:val="-13"/>
          <w:w w:val="105"/>
        </w:rPr>
        <w:t> </w:t>
      </w:r>
      <w:r>
        <w:rPr>
          <w:color w:val="231F20"/>
          <w:w w:val="105"/>
        </w:rPr>
        <w:t>en</w:t>
      </w:r>
      <w:r>
        <w:rPr>
          <w:color w:val="231F20"/>
          <w:spacing w:val="-13"/>
          <w:w w:val="105"/>
        </w:rPr>
        <w:t> </w:t>
      </w:r>
      <w:r>
        <w:rPr>
          <w:color w:val="231F20"/>
          <w:w w:val="105"/>
        </w:rPr>
        <w:t>Guanajuato</w:t>
      </w:r>
      <w:r>
        <w:rPr>
          <w:color w:val="231F20"/>
          <w:spacing w:val="-13"/>
          <w:w w:val="105"/>
        </w:rPr>
        <w:t> </w:t>
      </w:r>
      <w:r>
        <w:rPr>
          <w:color w:val="231F20"/>
          <w:w w:val="105"/>
        </w:rPr>
        <w:t>(Rangel</w:t>
      </w:r>
      <w:r>
        <w:rPr>
          <w:color w:val="231F20"/>
          <w:spacing w:val="-13"/>
          <w:w w:val="105"/>
        </w:rPr>
        <w:t> </w:t>
      </w:r>
      <w:r>
        <w:rPr>
          <w:color w:val="231F20"/>
          <w:w w:val="105"/>
        </w:rPr>
        <w:t>y</w:t>
      </w:r>
      <w:r>
        <w:rPr>
          <w:color w:val="231F20"/>
          <w:spacing w:val="-13"/>
          <w:w w:val="105"/>
        </w:rPr>
        <w:t> </w:t>
      </w:r>
      <w:r>
        <w:rPr>
          <w:color w:val="231F20"/>
          <w:w w:val="105"/>
        </w:rPr>
        <w:t>Macías,</w:t>
      </w:r>
      <w:r>
        <w:rPr>
          <w:color w:val="231F20"/>
          <w:spacing w:val="-17"/>
          <w:w w:val="105"/>
        </w:rPr>
        <w:t> </w:t>
      </w:r>
      <w:r>
        <w:rPr>
          <w:color w:val="231F20"/>
          <w:w w:val="105"/>
        </w:rPr>
        <w:t>2007),</w:t>
      </w:r>
      <w:r>
        <w:rPr>
          <w:color w:val="231F20"/>
          <w:spacing w:val="-17"/>
          <w:w w:val="105"/>
        </w:rPr>
        <w:t> </w:t>
      </w:r>
      <w:r>
        <w:rPr>
          <w:color w:val="231F20"/>
          <w:w w:val="105"/>
        </w:rPr>
        <w:t>por lo cual, parece advertirse que dichas patologías se generan en mayor medida por los hábitos poco saludables adquiridos por los migrantes durante</w:t>
      </w:r>
      <w:r>
        <w:rPr>
          <w:color w:val="231F20"/>
          <w:spacing w:val="-14"/>
          <w:w w:val="105"/>
        </w:rPr>
        <w:t> </w:t>
      </w:r>
      <w:r>
        <w:rPr>
          <w:color w:val="231F20"/>
          <w:w w:val="105"/>
        </w:rPr>
        <w:t>su</w:t>
      </w:r>
      <w:r>
        <w:rPr>
          <w:color w:val="231F20"/>
          <w:spacing w:val="-14"/>
          <w:w w:val="105"/>
        </w:rPr>
        <w:t> </w:t>
      </w:r>
      <w:r>
        <w:rPr>
          <w:color w:val="231F20"/>
          <w:w w:val="105"/>
        </w:rPr>
        <w:t>estadía</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vecino</w:t>
      </w:r>
      <w:r>
        <w:rPr>
          <w:color w:val="231F20"/>
          <w:spacing w:val="-14"/>
          <w:w w:val="105"/>
        </w:rPr>
        <w:t> </w:t>
      </w:r>
      <w:r>
        <w:rPr>
          <w:color w:val="231F20"/>
          <w:w w:val="105"/>
        </w:rPr>
        <w:t>país</w:t>
      </w:r>
      <w:r>
        <w:rPr>
          <w:color w:val="231F20"/>
          <w:spacing w:val="-14"/>
          <w:w w:val="105"/>
        </w:rPr>
        <w:t> </w:t>
      </w:r>
      <w:r>
        <w:rPr>
          <w:color w:val="231F20"/>
          <w:w w:val="105"/>
        </w:rPr>
        <w:t>del</w:t>
      </w:r>
      <w:r>
        <w:rPr>
          <w:color w:val="231F20"/>
          <w:spacing w:val="-14"/>
          <w:w w:val="105"/>
        </w:rPr>
        <w:t> </w:t>
      </w:r>
      <w:r>
        <w:rPr>
          <w:color w:val="231F20"/>
          <w:w w:val="105"/>
        </w:rPr>
        <w:t>norte.</w:t>
      </w:r>
    </w:p>
    <w:p>
      <w:pPr>
        <w:pStyle w:val="BodyText"/>
        <w:spacing w:line="261" w:lineRule="auto" w:before="1"/>
        <w:ind w:left="1837" w:right="1714" w:firstLine="567"/>
        <w:jc w:val="both"/>
      </w:pPr>
      <w:r>
        <w:rPr/>
        <w:pict>
          <v:line style="position:absolute;mso-position-horizontal-relative:page;mso-position-vertical-relative:paragraph;z-index:-465280" from="15pt,180.861588pt" to="0pt,180.861588pt" stroked="true" strokeweight=".25pt" strokecolor="#000000">
            <w10:wrap type="none"/>
          </v:line>
        </w:pict>
      </w:r>
      <w:r>
        <w:rPr/>
        <w:pict>
          <v:line style="position:absolute;mso-position-horizontal-relative:page;mso-position-vertical-relative:paragraph;z-index:24928" from="508.890015pt,180.861588pt" to="523.890015pt,180.861588pt" stroked="true" strokeweight=".25pt" strokecolor="#000000">
            <w10:wrap type="none"/>
          </v:line>
        </w:pict>
      </w:r>
      <w:r>
        <w:rPr>
          <w:color w:val="231F20"/>
          <w:w w:val="105"/>
        </w:rPr>
        <w:t>Respecto al conocimiento de los migrantes en flujo procedentes de</w:t>
      </w:r>
      <w:r>
        <w:rPr>
          <w:color w:val="231F20"/>
          <w:spacing w:val="-7"/>
          <w:w w:val="105"/>
        </w:rPr>
        <w:t> </w:t>
      </w:r>
      <w:r>
        <w:rPr>
          <w:color w:val="231F20"/>
          <w:w w:val="105"/>
        </w:rPr>
        <w:t>Estados</w:t>
      </w:r>
      <w:r>
        <w:rPr>
          <w:color w:val="231F20"/>
          <w:spacing w:val="-7"/>
          <w:w w:val="105"/>
        </w:rPr>
        <w:t> </w:t>
      </w:r>
      <w:r>
        <w:rPr>
          <w:color w:val="231F20"/>
          <w:w w:val="105"/>
        </w:rPr>
        <w:t>Unidos</w:t>
      </w:r>
      <w:r>
        <w:rPr>
          <w:color w:val="231F20"/>
          <w:spacing w:val="-7"/>
          <w:w w:val="105"/>
        </w:rPr>
        <w:t> </w:t>
      </w:r>
      <w:r>
        <w:rPr>
          <w:color w:val="231F20"/>
          <w:w w:val="105"/>
        </w:rPr>
        <w:t>sobre</w:t>
      </w:r>
      <w:r>
        <w:rPr>
          <w:color w:val="231F20"/>
          <w:spacing w:val="-7"/>
          <w:w w:val="105"/>
        </w:rPr>
        <w:t> </w:t>
      </w:r>
      <w:r>
        <w:rPr>
          <w:color w:val="231F20"/>
          <w:w w:val="105"/>
        </w:rPr>
        <w:t>los</w:t>
      </w:r>
      <w:r>
        <w:rPr>
          <w:color w:val="231F20"/>
          <w:spacing w:val="-7"/>
          <w:w w:val="105"/>
        </w:rPr>
        <w:t> </w:t>
      </w:r>
      <w:r>
        <w:rPr>
          <w:color w:val="231F20"/>
          <w:w w:val="105"/>
        </w:rPr>
        <w:t>programas</w:t>
      </w:r>
      <w:r>
        <w:rPr>
          <w:color w:val="231F20"/>
          <w:spacing w:val="-7"/>
          <w:w w:val="105"/>
        </w:rPr>
        <w:t> </w:t>
      </w:r>
      <w:r>
        <w:rPr>
          <w:color w:val="231F20"/>
          <w:w w:val="105"/>
        </w:rPr>
        <w:t>de</w:t>
      </w:r>
      <w:r>
        <w:rPr>
          <w:color w:val="231F20"/>
          <w:spacing w:val="-7"/>
          <w:w w:val="105"/>
        </w:rPr>
        <w:t> </w:t>
      </w:r>
      <w:r>
        <w:rPr>
          <w:color w:val="231F20"/>
          <w:w w:val="105"/>
        </w:rPr>
        <w:t>salud</w:t>
      </w:r>
      <w:r>
        <w:rPr>
          <w:color w:val="231F20"/>
          <w:spacing w:val="-7"/>
          <w:w w:val="105"/>
        </w:rPr>
        <w:t> </w:t>
      </w:r>
      <w:r>
        <w:rPr>
          <w:color w:val="231F20"/>
          <w:w w:val="105"/>
        </w:rPr>
        <w:t>que</w:t>
      </w:r>
      <w:r>
        <w:rPr>
          <w:color w:val="231F20"/>
          <w:spacing w:val="-7"/>
          <w:w w:val="105"/>
        </w:rPr>
        <w:t> </w:t>
      </w:r>
      <w:r>
        <w:rPr>
          <w:color w:val="231F20"/>
          <w:w w:val="105"/>
        </w:rPr>
        <w:t>el</w:t>
      </w:r>
      <w:r>
        <w:rPr>
          <w:color w:val="231F20"/>
          <w:spacing w:val="-7"/>
          <w:w w:val="105"/>
        </w:rPr>
        <w:t> </w:t>
      </w:r>
      <w:r>
        <w:rPr>
          <w:color w:val="231F20"/>
          <w:w w:val="105"/>
        </w:rPr>
        <w:t>gobierno</w:t>
      </w:r>
      <w:r>
        <w:rPr>
          <w:color w:val="231F20"/>
          <w:spacing w:val="-7"/>
          <w:w w:val="105"/>
        </w:rPr>
        <w:t> </w:t>
      </w:r>
      <w:r>
        <w:rPr>
          <w:color w:val="231F20"/>
          <w:w w:val="105"/>
        </w:rPr>
        <w:t>mexi- cano</w:t>
      </w:r>
      <w:r>
        <w:rPr>
          <w:color w:val="231F20"/>
          <w:spacing w:val="-17"/>
          <w:w w:val="105"/>
        </w:rPr>
        <w:t> </w:t>
      </w:r>
      <w:r>
        <w:rPr>
          <w:color w:val="231F20"/>
          <w:w w:val="105"/>
        </w:rPr>
        <w:t>implementa</w:t>
      </w:r>
      <w:r>
        <w:rPr>
          <w:color w:val="231F20"/>
          <w:spacing w:val="-17"/>
          <w:w w:val="105"/>
        </w:rPr>
        <w:t> </w:t>
      </w:r>
      <w:r>
        <w:rPr>
          <w:color w:val="231F20"/>
          <w:w w:val="105"/>
        </w:rPr>
        <w:t>para</w:t>
      </w:r>
      <w:r>
        <w:rPr>
          <w:color w:val="231F20"/>
          <w:spacing w:val="-17"/>
          <w:w w:val="105"/>
        </w:rPr>
        <w:t> </w:t>
      </w:r>
      <w:r>
        <w:rPr>
          <w:color w:val="231F20"/>
          <w:w w:val="105"/>
        </w:rPr>
        <w:t>la</w:t>
      </w:r>
      <w:r>
        <w:rPr>
          <w:color w:val="231F20"/>
          <w:spacing w:val="-17"/>
          <w:w w:val="105"/>
        </w:rPr>
        <w:t> </w:t>
      </w:r>
      <w:r>
        <w:rPr>
          <w:color w:val="231F20"/>
          <w:w w:val="105"/>
        </w:rPr>
        <w:t>atención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población</w:t>
      </w:r>
      <w:r>
        <w:rPr>
          <w:color w:val="231F20"/>
          <w:spacing w:val="-17"/>
          <w:w w:val="105"/>
        </w:rPr>
        <w:t> </w:t>
      </w:r>
      <w:r>
        <w:rPr>
          <w:color w:val="231F20"/>
          <w:w w:val="105"/>
        </w:rPr>
        <w:t>migrante,</w:t>
      </w:r>
      <w:r>
        <w:rPr>
          <w:color w:val="231F20"/>
          <w:spacing w:val="-22"/>
          <w:w w:val="105"/>
        </w:rPr>
        <w:t> </w:t>
      </w:r>
      <w:r>
        <w:rPr>
          <w:color w:val="231F20"/>
          <w:w w:val="105"/>
        </w:rPr>
        <w:t>se</w:t>
      </w:r>
      <w:r>
        <w:rPr>
          <w:color w:val="231F20"/>
          <w:spacing w:val="-17"/>
          <w:w w:val="105"/>
        </w:rPr>
        <w:t> </w:t>
      </w:r>
      <w:r>
        <w:rPr>
          <w:color w:val="231F20"/>
          <w:w w:val="105"/>
        </w:rPr>
        <w:t>observan resultados</w:t>
      </w:r>
      <w:r>
        <w:rPr>
          <w:color w:val="231F20"/>
          <w:spacing w:val="-7"/>
          <w:w w:val="105"/>
        </w:rPr>
        <w:t> </w:t>
      </w:r>
      <w:r>
        <w:rPr>
          <w:color w:val="231F20"/>
          <w:w w:val="105"/>
        </w:rPr>
        <w:t>poco</w:t>
      </w:r>
      <w:r>
        <w:rPr>
          <w:color w:val="231F20"/>
          <w:spacing w:val="-7"/>
          <w:w w:val="105"/>
        </w:rPr>
        <w:t> </w:t>
      </w:r>
      <w:r>
        <w:rPr>
          <w:color w:val="231F20"/>
          <w:w w:val="105"/>
        </w:rPr>
        <w:t>favorables</w:t>
      </w:r>
      <w:r>
        <w:rPr>
          <w:color w:val="231F20"/>
          <w:spacing w:val="-7"/>
          <w:w w:val="105"/>
        </w:rPr>
        <w:t> </w:t>
      </w:r>
      <w:r>
        <w:rPr>
          <w:color w:val="231F20"/>
          <w:w w:val="105"/>
        </w:rPr>
        <w:t>tanto</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nacidos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Estado</w:t>
      </w:r>
      <w:r>
        <w:rPr>
          <w:color w:val="231F20"/>
          <w:spacing w:val="-7"/>
          <w:w w:val="105"/>
        </w:rPr>
        <w:t> </w:t>
      </w:r>
      <w:r>
        <w:rPr>
          <w:color w:val="231F20"/>
          <w:w w:val="105"/>
        </w:rPr>
        <w:t>de</w:t>
      </w:r>
      <w:r>
        <w:rPr>
          <w:color w:val="231F20"/>
          <w:spacing w:val="-7"/>
          <w:w w:val="105"/>
        </w:rPr>
        <w:t> </w:t>
      </w:r>
      <w:r>
        <w:rPr>
          <w:color w:val="231F20"/>
          <w:w w:val="105"/>
        </w:rPr>
        <w:t>México como</w:t>
      </w:r>
      <w:r>
        <w:rPr>
          <w:color w:val="231F20"/>
          <w:spacing w:val="-18"/>
          <w:w w:val="105"/>
        </w:rPr>
        <w:t> </w:t>
      </w:r>
      <w:r>
        <w:rPr>
          <w:color w:val="231F20"/>
          <w:w w:val="105"/>
        </w:rPr>
        <w:t>a</w:t>
      </w:r>
      <w:r>
        <w:rPr>
          <w:color w:val="231F20"/>
          <w:spacing w:val="-18"/>
          <w:w w:val="105"/>
        </w:rPr>
        <w:t> </w:t>
      </w:r>
      <w:r>
        <w:rPr>
          <w:color w:val="231F20"/>
          <w:w w:val="105"/>
        </w:rPr>
        <w:t>nivel</w:t>
      </w:r>
      <w:r>
        <w:rPr>
          <w:color w:val="231F20"/>
          <w:spacing w:val="-18"/>
          <w:w w:val="105"/>
        </w:rPr>
        <w:t> </w:t>
      </w:r>
      <w:r>
        <w:rPr>
          <w:color w:val="231F20"/>
          <w:w w:val="105"/>
        </w:rPr>
        <w:t>nacional,</w:t>
      </w:r>
      <w:r>
        <w:rPr>
          <w:color w:val="231F20"/>
          <w:spacing w:val="-24"/>
          <w:w w:val="105"/>
        </w:rPr>
        <w:t> </w:t>
      </w:r>
      <w:r>
        <w:rPr>
          <w:color w:val="231F20"/>
          <w:w w:val="105"/>
        </w:rPr>
        <w:t>pues</w:t>
      </w:r>
      <w:r>
        <w:rPr>
          <w:color w:val="231F20"/>
          <w:spacing w:val="-18"/>
          <w:w w:val="105"/>
        </w:rPr>
        <w:t> </w:t>
      </w:r>
      <w:r>
        <w:rPr>
          <w:color w:val="231F20"/>
          <w:w w:val="105"/>
        </w:rPr>
        <w:t>la</w:t>
      </w:r>
      <w:r>
        <w:rPr>
          <w:color w:val="231F20"/>
          <w:spacing w:val="-18"/>
          <w:w w:val="105"/>
        </w:rPr>
        <w:t> </w:t>
      </w:r>
      <w:r>
        <w:rPr>
          <w:color w:val="231F20"/>
          <w:w w:val="105"/>
        </w:rPr>
        <w:t>proporción</w:t>
      </w:r>
      <w:r>
        <w:rPr>
          <w:color w:val="231F20"/>
          <w:spacing w:val="-18"/>
          <w:w w:val="105"/>
        </w:rPr>
        <w:t> </w:t>
      </w:r>
      <w:r>
        <w:rPr>
          <w:color w:val="231F20"/>
          <w:w w:val="105"/>
        </w:rPr>
        <w:t>de</w:t>
      </w:r>
      <w:r>
        <w:rPr>
          <w:color w:val="231F20"/>
          <w:spacing w:val="-18"/>
          <w:w w:val="105"/>
        </w:rPr>
        <w:t> </w:t>
      </w:r>
      <w:r>
        <w:rPr>
          <w:color w:val="231F20"/>
          <w:w w:val="105"/>
        </w:rPr>
        <w:t>quienes</w:t>
      </w:r>
      <w:r>
        <w:rPr>
          <w:color w:val="231F20"/>
          <w:spacing w:val="-18"/>
          <w:w w:val="105"/>
        </w:rPr>
        <w:t> </w:t>
      </w:r>
      <w:r>
        <w:rPr>
          <w:color w:val="231F20"/>
          <w:w w:val="105"/>
        </w:rPr>
        <w:t>tienen</w:t>
      </w:r>
      <w:r>
        <w:rPr>
          <w:color w:val="231F20"/>
          <w:spacing w:val="-18"/>
          <w:w w:val="105"/>
        </w:rPr>
        <w:t> </w:t>
      </w:r>
      <w:r>
        <w:rPr>
          <w:color w:val="231F20"/>
          <w:w w:val="105"/>
        </w:rPr>
        <w:t>conocimien- to sobre estos programas es mínima. Sin embargo, el</w:t>
      </w:r>
      <w:r>
        <w:rPr>
          <w:color w:val="231F20"/>
          <w:spacing w:val="-23"/>
          <w:w w:val="105"/>
        </w:rPr>
        <w:t> </w:t>
      </w:r>
      <w:r>
        <w:rPr>
          <w:color w:val="231F20"/>
          <w:w w:val="105"/>
        </w:rPr>
        <w:t>desconocimiento por</w:t>
      </w:r>
      <w:r>
        <w:rPr>
          <w:color w:val="231F20"/>
          <w:spacing w:val="-5"/>
          <w:w w:val="105"/>
        </w:rPr>
        <w:t> </w:t>
      </w:r>
      <w:r>
        <w:rPr>
          <w:color w:val="231F20"/>
          <w:w w:val="105"/>
        </w:rPr>
        <w:t>parte</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población</w:t>
      </w:r>
      <w:r>
        <w:rPr>
          <w:color w:val="231F20"/>
          <w:spacing w:val="-5"/>
          <w:w w:val="105"/>
        </w:rPr>
        <w:t> </w:t>
      </w:r>
      <w:r>
        <w:rPr>
          <w:color w:val="231F20"/>
          <w:w w:val="105"/>
        </w:rPr>
        <w:t>migrante</w:t>
      </w:r>
      <w:r>
        <w:rPr>
          <w:color w:val="231F20"/>
          <w:spacing w:val="-5"/>
          <w:w w:val="105"/>
        </w:rPr>
        <w:t> </w:t>
      </w:r>
      <w:r>
        <w:rPr>
          <w:color w:val="231F20"/>
          <w:w w:val="105"/>
        </w:rPr>
        <w:t>no</w:t>
      </w:r>
      <w:r>
        <w:rPr>
          <w:color w:val="231F20"/>
          <w:spacing w:val="-5"/>
          <w:w w:val="105"/>
        </w:rPr>
        <w:t> </w:t>
      </w:r>
      <w:r>
        <w:rPr>
          <w:color w:val="231F20"/>
          <w:w w:val="105"/>
        </w:rPr>
        <w:t>es</w:t>
      </w:r>
      <w:r>
        <w:rPr>
          <w:color w:val="231F20"/>
          <w:spacing w:val="-5"/>
          <w:w w:val="105"/>
        </w:rPr>
        <w:t> </w:t>
      </w:r>
      <w:r>
        <w:rPr>
          <w:color w:val="231F20"/>
          <w:w w:val="105"/>
        </w:rPr>
        <w:t>exclusivo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mexiquenses, por</w:t>
      </w:r>
      <w:r>
        <w:rPr>
          <w:color w:val="231F20"/>
          <w:spacing w:val="-15"/>
          <w:w w:val="105"/>
        </w:rPr>
        <w:t> </w:t>
      </w:r>
      <w:r>
        <w:rPr>
          <w:color w:val="231F20"/>
          <w:w w:val="105"/>
        </w:rPr>
        <w:t>ejemplo,</w:t>
      </w:r>
      <w:r>
        <w:rPr>
          <w:color w:val="231F20"/>
          <w:spacing w:val="-21"/>
          <w:w w:val="105"/>
        </w:rPr>
        <w:t> </w:t>
      </w:r>
      <w:r>
        <w:rPr>
          <w:color w:val="231F20"/>
          <w:w w:val="105"/>
        </w:rPr>
        <w:t>se</w:t>
      </w:r>
      <w:r>
        <w:rPr>
          <w:color w:val="231F20"/>
          <w:spacing w:val="-15"/>
          <w:w w:val="105"/>
        </w:rPr>
        <w:t> </w:t>
      </w:r>
      <w:r>
        <w:rPr>
          <w:color w:val="231F20"/>
          <w:w w:val="105"/>
        </w:rPr>
        <w:t>registra</w:t>
      </w:r>
      <w:r>
        <w:rPr>
          <w:color w:val="231F20"/>
          <w:spacing w:val="-15"/>
          <w:w w:val="105"/>
        </w:rPr>
        <w:t> </w:t>
      </w:r>
      <w:r>
        <w:rPr>
          <w:color w:val="231F20"/>
          <w:w w:val="105"/>
        </w:rPr>
        <w:t>una</w:t>
      </w:r>
      <w:r>
        <w:rPr>
          <w:color w:val="231F20"/>
          <w:spacing w:val="-15"/>
          <w:w w:val="105"/>
        </w:rPr>
        <w:t> </w:t>
      </w:r>
      <w:r>
        <w:rPr>
          <w:color w:val="231F20"/>
          <w:w w:val="105"/>
        </w:rPr>
        <w:t>misma</w:t>
      </w:r>
      <w:r>
        <w:rPr>
          <w:color w:val="231F20"/>
          <w:spacing w:val="-15"/>
          <w:w w:val="105"/>
        </w:rPr>
        <w:t> </w:t>
      </w:r>
      <w:r>
        <w:rPr>
          <w:color w:val="231F20"/>
          <w:w w:val="105"/>
        </w:rPr>
        <w:t>tendencia</w:t>
      </w:r>
      <w:r>
        <w:rPr>
          <w:color w:val="231F20"/>
          <w:spacing w:val="-15"/>
          <w:w w:val="105"/>
        </w:rPr>
        <w:t> </w:t>
      </w:r>
      <w:r>
        <w:rPr>
          <w:color w:val="231F20"/>
          <w:w w:val="105"/>
        </w:rPr>
        <w:t>entre</w:t>
      </w:r>
      <w:r>
        <w:rPr>
          <w:color w:val="231F20"/>
          <w:spacing w:val="-15"/>
          <w:w w:val="105"/>
        </w:rPr>
        <w:t> </w:t>
      </w:r>
      <w:r>
        <w:rPr>
          <w:color w:val="231F20"/>
          <w:w w:val="105"/>
        </w:rPr>
        <w:t>los</w:t>
      </w:r>
      <w:r>
        <w:rPr>
          <w:color w:val="231F20"/>
          <w:spacing w:val="-15"/>
          <w:w w:val="105"/>
        </w:rPr>
        <w:t> </w:t>
      </w:r>
      <w:r>
        <w:rPr>
          <w:color w:val="231F20"/>
          <w:w w:val="105"/>
        </w:rPr>
        <w:t>migrantes</w:t>
      </w:r>
      <w:r>
        <w:rPr>
          <w:color w:val="231F20"/>
          <w:spacing w:val="-15"/>
          <w:w w:val="105"/>
        </w:rPr>
        <w:t> </w:t>
      </w:r>
      <w:r>
        <w:rPr>
          <w:color w:val="231F20"/>
          <w:w w:val="105"/>
        </w:rPr>
        <w:t>prove-</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BodyText"/>
        <w:spacing w:line="261" w:lineRule="auto" w:before="57"/>
        <w:ind w:left="1723" w:right="1683"/>
      </w:pPr>
      <w:r>
        <w:rPr/>
        <w:pict>
          <v:line style="position:absolute;mso-position-horizontal-relative:page;mso-position-vertical-relative:paragraph;z-index:24976" from="15pt,-65.832596pt" to="0pt,-65.832596pt" stroked="true" strokeweight=".25pt" strokecolor="#000000">
            <w10:wrap type="none"/>
          </v:line>
        </w:pict>
      </w:r>
      <w:r>
        <w:rPr/>
        <w:pict>
          <v:line style="position:absolute;mso-position-horizontal-relative:page;mso-position-vertical-relative:paragraph;z-index:25000" from="508.890015pt,-65.832596pt" to="523.890015pt,-65.832596pt" stroked="true" strokeweight=".25pt" strokecolor="#000000">
            <w10:wrap type="none"/>
          </v:line>
        </w:pict>
      </w:r>
      <w:r>
        <w:rPr>
          <w:color w:val="231F20"/>
        </w:rPr>
        <w:t>nientes de Estados Unidos nacidos en Guanajuato (Macías </w:t>
      </w:r>
      <w:r>
        <w:rPr>
          <w:rFonts w:ascii="Arial" w:hAnsi="Arial"/>
          <w:i/>
          <w:color w:val="231F20"/>
        </w:rPr>
        <w:t>et al., </w:t>
      </w:r>
      <w:r>
        <w:rPr>
          <w:color w:val="231F20"/>
        </w:rPr>
        <w:t>2009; Rangel y Macías, 2007).</w:t>
      </w:r>
    </w:p>
    <w:p>
      <w:pPr>
        <w:pStyle w:val="BodyText"/>
        <w:spacing w:line="261" w:lineRule="auto" w:before="1"/>
        <w:ind w:left="1723" w:right="1828" w:firstLine="567"/>
        <w:jc w:val="both"/>
      </w:pPr>
      <w:r>
        <w:rPr>
          <w:color w:val="231F20"/>
        </w:rPr>
        <w:t>Dentro de estas iniciativas que brinda el gobierno se destacan el </w:t>
      </w:r>
      <w:r>
        <w:rPr>
          <w:color w:val="231F20"/>
          <w:spacing w:val="-3"/>
        </w:rPr>
        <w:t>Programa </w:t>
      </w:r>
      <w:r>
        <w:rPr>
          <w:color w:val="231F20"/>
        </w:rPr>
        <w:t>para la Salud del Migrante, cuya finalidad es promover el ac- ceso a los servicios de salud entre mexicanos residentes en el exterior, brindar información y facilitar una respuesta coordinada por parte del gobierno. Se encuentra también el </w:t>
      </w:r>
      <w:r>
        <w:rPr>
          <w:color w:val="231F20"/>
          <w:spacing w:val="-3"/>
        </w:rPr>
        <w:t>Programa </w:t>
      </w:r>
      <w:r>
        <w:rPr>
          <w:color w:val="231F20"/>
        </w:rPr>
        <w:t>de Ventanillas de Salud a través del cual se busca facilitar el acceso de los inmigrantes mexicanos   a los servicios de salud, asimismo, generar una cultura de la prevención, información y participación en materia de salud. Asimismo el </w:t>
      </w:r>
      <w:r>
        <w:rPr>
          <w:color w:val="231F20"/>
          <w:spacing w:val="-3"/>
        </w:rPr>
        <w:t>Programa  Vete </w:t>
      </w:r>
      <w:r>
        <w:rPr>
          <w:color w:val="231F20"/>
        </w:rPr>
        <w:t>Sano, Regresa Sano, cuyo propósito es ofrecer un blindaje en salud a través de servicios de promoción, prevención y atención para mejorar   la salud durante la línea de vida con calidad, calidez y seguridad. Otro es el </w:t>
      </w:r>
      <w:r>
        <w:rPr>
          <w:color w:val="231F20"/>
          <w:spacing w:val="-3"/>
        </w:rPr>
        <w:t>Programa </w:t>
      </w:r>
      <w:r>
        <w:rPr>
          <w:color w:val="231F20"/>
        </w:rPr>
        <w:t>de Repatriación de Connacionales Enfermos Graves, el cual consiste en proporcionar la asistencia médica necesaria a los connacio- nales enfermos graves que están siendo atendidos en otros países por presentar alguna enfermedad de especialidad o por haber sufrido un accidente y requerir tratamiento a largo plazo; también existen activida- des de promoción y prevención de la salud en la frontera México-Estados Unidos (</w:t>
      </w:r>
      <w:r>
        <w:rPr>
          <w:color w:val="231F20"/>
          <w:sz w:val="17"/>
        </w:rPr>
        <w:t>OIM </w:t>
      </w:r>
      <w:r>
        <w:rPr>
          <w:color w:val="231F20"/>
        </w:rPr>
        <w:t>y </w:t>
      </w:r>
      <w:r>
        <w:rPr>
          <w:color w:val="231F20"/>
          <w:sz w:val="17"/>
        </w:rPr>
        <w:t>OMS</w:t>
      </w:r>
      <w:r>
        <w:rPr>
          <w:color w:val="231F20"/>
        </w:rPr>
        <w:t>, 2010; SS, 2007; Rangel,</w:t>
      </w:r>
      <w:r>
        <w:rPr>
          <w:color w:val="231F20"/>
          <w:spacing w:val="-3"/>
        </w:rPr>
        <w:t> </w:t>
      </w:r>
      <w:r>
        <w:rPr>
          <w:color w:val="231F20"/>
        </w:rPr>
        <w:t>2013).</w:t>
      </w:r>
    </w:p>
    <w:p>
      <w:pPr>
        <w:pStyle w:val="BodyText"/>
        <w:spacing w:line="261" w:lineRule="auto" w:before="1"/>
        <w:ind w:left="1723" w:right="1835" w:firstLine="567"/>
        <w:jc w:val="both"/>
      </w:pPr>
      <w:r>
        <w:rPr>
          <w:color w:val="231F20"/>
          <w:w w:val="105"/>
        </w:rPr>
        <w:t>Aunque</w:t>
      </w:r>
      <w:r>
        <w:rPr>
          <w:color w:val="231F20"/>
          <w:spacing w:val="-10"/>
          <w:w w:val="105"/>
        </w:rPr>
        <w:t> </w:t>
      </w:r>
      <w:r>
        <w:rPr>
          <w:color w:val="231F20"/>
          <w:w w:val="105"/>
        </w:rPr>
        <w:t>la</w:t>
      </w:r>
      <w:r>
        <w:rPr>
          <w:color w:val="231F20"/>
          <w:spacing w:val="-10"/>
          <w:w w:val="105"/>
        </w:rPr>
        <w:t> </w:t>
      </w:r>
      <w:r>
        <w:rPr>
          <w:color w:val="231F20"/>
          <w:w w:val="105"/>
        </w:rPr>
        <w:t>implementación</w:t>
      </w:r>
      <w:r>
        <w:rPr>
          <w:color w:val="231F20"/>
          <w:spacing w:val="-10"/>
          <w:w w:val="105"/>
        </w:rPr>
        <w:t> </w:t>
      </w:r>
      <w:r>
        <w:rPr>
          <w:color w:val="231F20"/>
          <w:w w:val="105"/>
        </w:rPr>
        <w:t>de</w:t>
      </w:r>
      <w:r>
        <w:rPr>
          <w:color w:val="231F20"/>
          <w:spacing w:val="-10"/>
          <w:w w:val="105"/>
        </w:rPr>
        <w:t> </w:t>
      </w:r>
      <w:r>
        <w:rPr>
          <w:color w:val="231F20"/>
          <w:w w:val="105"/>
        </w:rPr>
        <w:t>estos</w:t>
      </w:r>
      <w:r>
        <w:rPr>
          <w:color w:val="231F20"/>
          <w:spacing w:val="-10"/>
          <w:w w:val="105"/>
        </w:rPr>
        <w:t> </w:t>
      </w:r>
      <w:r>
        <w:rPr>
          <w:color w:val="231F20"/>
          <w:w w:val="105"/>
        </w:rPr>
        <w:t>programas</w:t>
      </w:r>
      <w:r>
        <w:rPr>
          <w:color w:val="231F20"/>
          <w:spacing w:val="-10"/>
          <w:w w:val="105"/>
        </w:rPr>
        <w:t> </w:t>
      </w:r>
      <w:r>
        <w:rPr>
          <w:color w:val="231F20"/>
          <w:w w:val="105"/>
        </w:rPr>
        <w:t>pudiera</w:t>
      </w:r>
      <w:r>
        <w:rPr>
          <w:color w:val="231F20"/>
          <w:spacing w:val="-10"/>
          <w:w w:val="105"/>
        </w:rPr>
        <w:t> </w:t>
      </w:r>
      <w:r>
        <w:rPr>
          <w:color w:val="231F20"/>
          <w:w w:val="105"/>
        </w:rPr>
        <w:t>beneficiar notablemente</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migrantes,</w:t>
      </w:r>
      <w:r>
        <w:rPr>
          <w:color w:val="231F20"/>
          <w:spacing w:val="-11"/>
          <w:w w:val="105"/>
        </w:rPr>
        <w:t> </w:t>
      </w:r>
      <w:r>
        <w:rPr>
          <w:color w:val="231F20"/>
          <w:w w:val="105"/>
        </w:rPr>
        <w:t>el</w:t>
      </w:r>
      <w:r>
        <w:rPr>
          <w:color w:val="231F20"/>
          <w:spacing w:val="-5"/>
          <w:w w:val="105"/>
        </w:rPr>
        <w:t> </w:t>
      </w:r>
      <w:r>
        <w:rPr>
          <w:color w:val="231F20"/>
          <w:w w:val="105"/>
        </w:rPr>
        <w:t>problema</w:t>
      </w:r>
      <w:r>
        <w:rPr>
          <w:color w:val="231F20"/>
          <w:spacing w:val="-5"/>
          <w:w w:val="105"/>
        </w:rPr>
        <w:t> </w:t>
      </w:r>
      <w:r>
        <w:rPr>
          <w:color w:val="231F20"/>
          <w:w w:val="105"/>
        </w:rPr>
        <w:t>radica</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desconocimien- to de la población directamente relacionada, esto plantea la necesidad de</w:t>
      </w:r>
      <w:r>
        <w:rPr>
          <w:color w:val="231F20"/>
          <w:spacing w:val="-13"/>
          <w:w w:val="105"/>
        </w:rPr>
        <w:t> </w:t>
      </w:r>
      <w:r>
        <w:rPr>
          <w:color w:val="231F20"/>
          <w:w w:val="105"/>
        </w:rPr>
        <w:t>buscar</w:t>
      </w:r>
      <w:r>
        <w:rPr>
          <w:color w:val="231F20"/>
          <w:spacing w:val="-13"/>
          <w:w w:val="105"/>
        </w:rPr>
        <w:t> </w:t>
      </w:r>
      <w:r>
        <w:rPr>
          <w:color w:val="231F20"/>
          <w:w w:val="105"/>
        </w:rPr>
        <w:t>posibles</w:t>
      </w:r>
      <w:r>
        <w:rPr>
          <w:color w:val="231F20"/>
          <w:spacing w:val="-13"/>
          <w:w w:val="105"/>
        </w:rPr>
        <w:t> </w:t>
      </w:r>
      <w:r>
        <w:rPr>
          <w:color w:val="231F20"/>
          <w:w w:val="105"/>
        </w:rPr>
        <w:t>acciones</w:t>
      </w:r>
      <w:r>
        <w:rPr>
          <w:color w:val="231F20"/>
          <w:spacing w:val="-13"/>
          <w:w w:val="105"/>
        </w:rPr>
        <w:t> </w:t>
      </w:r>
      <w:r>
        <w:rPr>
          <w:color w:val="231F20"/>
          <w:w w:val="105"/>
        </w:rPr>
        <w:t>de</w:t>
      </w:r>
      <w:r>
        <w:rPr>
          <w:color w:val="231F20"/>
          <w:spacing w:val="-13"/>
          <w:w w:val="105"/>
        </w:rPr>
        <w:t> </w:t>
      </w:r>
      <w:r>
        <w:rPr>
          <w:color w:val="231F20"/>
          <w:w w:val="105"/>
        </w:rPr>
        <w:t>difusión</w:t>
      </w:r>
      <w:r>
        <w:rPr>
          <w:color w:val="231F20"/>
          <w:spacing w:val="-13"/>
          <w:w w:val="105"/>
        </w:rPr>
        <w:t> </w:t>
      </w:r>
      <w:r>
        <w:rPr>
          <w:color w:val="231F20"/>
          <w:w w:val="105"/>
        </w:rPr>
        <w:t>efectivas</w:t>
      </w:r>
      <w:r>
        <w:rPr>
          <w:color w:val="231F20"/>
          <w:spacing w:val="-13"/>
          <w:w w:val="105"/>
        </w:rPr>
        <w:t> </w:t>
      </w:r>
      <w:r>
        <w:rPr>
          <w:color w:val="231F20"/>
          <w:w w:val="105"/>
        </w:rPr>
        <w:t>sobre</w:t>
      </w:r>
      <w:r>
        <w:rPr>
          <w:color w:val="231F20"/>
          <w:spacing w:val="-13"/>
          <w:w w:val="105"/>
        </w:rPr>
        <w:t> </w:t>
      </w:r>
      <w:r>
        <w:rPr>
          <w:color w:val="231F20"/>
          <w:w w:val="105"/>
        </w:rPr>
        <w:t>el</w:t>
      </w:r>
      <w:r>
        <w:rPr>
          <w:color w:val="231F20"/>
          <w:spacing w:val="-13"/>
          <w:w w:val="105"/>
        </w:rPr>
        <w:t> </w:t>
      </w:r>
      <w:r>
        <w:rPr>
          <w:color w:val="231F20"/>
          <w:w w:val="105"/>
        </w:rPr>
        <w:t>conocimiento y uso de este conjunto de programas, con la finalidad de garantizar la prestación</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servicios,</w:t>
      </w:r>
      <w:r>
        <w:rPr>
          <w:color w:val="231F20"/>
          <w:spacing w:val="-9"/>
          <w:w w:val="105"/>
        </w:rPr>
        <w:t> </w:t>
      </w:r>
      <w:r>
        <w:rPr>
          <w:color w:val="231F20"/>
          <w:w w:val="105"/>
        </w:rPr>
        <w:t>así</w:t>
      </w:r>
      <w:r>
        <w:rPr>
          <w:color w:val="231F20"/>
          <w:spacing w:val="-4"/>
          <w:w w:val="105"/>
        </w:rPr>
        <w:t> </w:t>
      </w:r>
      <w:r>
        <w:rPr>
          <w:color w:val="231F20"/>
          <w:w w:val="105"/>
        </w:rPr>
        <w:t>como</w:t>
      </w:r>
      <w:r>
        <w:rPr>
          <w:color w:val="231F20"/>
          <w:spacing w:val="-4"/>
          <w:w w:val="105"/>
        </w:rPr>
        <w:t> </w:t>
      </w:r>
      <w:r>
        <w:rPr>
          <w:color w:val="231F20"/>
          <w:w w:val="105"/>
        </w:rPr>
        <w:t>su</w:t>
      </w:r>
      <w:r>
        <w:rPr>
          <w:color w:val="231F20"/>
          <w:spacing w:val="-4"/>
          <w:w w:val="105"/>
        </w:rPr>
        <w:t> </w:t>
      </w:r>
      <w:r>
        <w:rPr>
          <w:color w:val="231F20"/>
          <w:w w:val="105"/>
        </w:rPr>
        <w:t>eficiencia</w:t>
      </w:r>
      <w:r>
        <w:rPr>
          <w:color w:val="231F20"/>
          <w:spacing w:val="-4"/>
          <w:w w:val="105"/>
        </w:rPr>
        <w:t> </w:t>
      </w:r>
      <w:r>
        <w:rPr>
          <w:color w:val="231F20"/>
          <w:w w:val="105"/>
        </w:rPr>
        <w:t>y</w:t>
      </w:r>
      <w:r>
        <w:rPr>
          <w:color w:val="231F20"/>
          <w:spacing w:val="-4"/>
          <w:w w:val="105"/>
        </w:rPr>
        <w:t> </w:t>
      </w:r>
      <w:r>
        <w:rPr>
          <w:color w:val="231F20"/>
          <w:w w:val="105"/>
        </w:rPr>
        <w:t>calidad,</w:t>
      </w:r>
      <w:r>
        <w:rPr>
          <w:color w:val="231F20"/>
          <w:spacing w:val="-9"/>
          <w:w w:val="105"/>
        </w:rPr>
        <w:t> </w:t>
      </w:r>
      <w:r>
        <w:rPr>
          <w:color w:val="231F20"/>
          <w:w w:val="105"/>
        </w:rPr>
        <w:t>pero</w:t>
      </w:r>
      <w:r>
        <w:rPr>
          <w:color w:val="231F20"/>
          <w:spacing w:val="-4"/>
          <w:w w:val="105"/>
        </w:rPr>
        <w:t> </w:t>
      </w:r>
      <w:r>
        <w:rPr>
          <w:color w:val="231F20"/>
          <w:w w:val="105"/>
        </w:rPr>
        <w:t>sobre todo que verdaderamente puedan mejorar y prevenir el proceso de sa- lud</w:t>
      </w:r>
      <w:r>
        <w:rPr>
          <w:color w:val="231F20"/>
          <w:spacing w:val="-12"/>
          <w:w w:val="105"/>
        </w:rPr>
        <w:t> </w:t>
      </w:r>
      <w:r>
        <w:rPr>
          <w:color w:val="231F20"/>
          <w:w w:val="105"/>
        </w:rPr>
        <w:t>y</w:t>
      </w:r>
      <w:r>
        <w:rPr>
          <w:color w:val="231F20"/>
          <w:spacing w:val="-12"/>
          <w:w w:val="105"/>
        </w:rPr>
        <w:t> </w:t>
      </w:r>
      <w:r>
        <w:rPr>
          <w:color w:val="231F20"/>
          <w:w w:val="105"/>
        </w:rPr>
        <w:t>enfermedad,</w:t>
      </w:r>
      <w:r>
        <w:rPr>
          <w:color w:val="231F20"/>
          <w:spacing w:val="-17"/>
          <w:w w:val="105"/>
        </w:rPr>
        <w:t> </w:t>
      </w:r>
      <w:r>
        <w:rPr>
          <w:color w:val="231F20"/>
          <w:w w:val="105"/>
        </w:rPr>
        <w:t>y</w:t>
      </w:r>
      <w:r>
        <w:rPr>
          <w:color w:val="231F20"/>
          <w:spacing w:val="-12"/>
          <w:w w:val="105"/>
        </w:rPr>
        <w:t> </w:t>
      </w:r>
      <w:r>
        <w:rPr>
          <w:color w:val="231F20"/>
          <w:w w:val="105"/>
        </w:rPr>
        <w:t>una</w:t>
      </w:r>
      <w:r>
        <w:rPr>
          <w:color w:val="231F20"/>
          <w:spacing w:val="-12"/>
          <w:w w:val="105"/>
        </w:rPr>
        <w:t> </w:t>
      </w:r>
      <w:r>
        <w:rPr>
          <w:color w:val="231F20"/>
          <w:w w:val="105"/>
        </w:rPr>
        <w:t>vez</w:t>
      </w:r>
      <w:r>
        <w:rPr>
          <w:color w:val="231F20"/>
          <w:spacing w:val="-12"/>
          <w:w w:val="105"/>
        </w:rPr>
        <w:t> </w:t>
      </w:r>
      <w:r>
        <w:rPr>
          <w:color w:val="231F20"/>
          <w:w w:val="105"/>
        </w:rPr>
        <w:t>alcanzada</w:t>
      </w:r>
      <w:r>
        <w:rPr>
          <w:color w:val="231F20"/>
          <w:spacing w:val="-12"/>
          <w:w w:val="105"/>
        </w:rPr>
        <w:t> </w:t>
      </w:r>
      <w:r>
        <w:rPr>
          <w:color w:val="231F20"/>
          <w:w w:val="105"/>
        </w:rPr>
        <w:t>esta</w:t>
      </w:r>
      <w:r>
        <w:rPr>
          <w:color w:val="231F20"/>
          <w:spacing w:val="-12"/>
          <w:w w:val="105"/>
        </w:rPr>
        <w:t> </w:t>
      </w:r>
      <w:r>
        <w:rPr>
          <w:color w:val="231F20"/>
          <w:w w:val="105"/>
        </w:rPr>
        <w:t>meta,</w:t>
      </w:r>
      <w:r>
        <w:rPr>
          <w:color w:val="231F20"/>
          <w:spacing w:val="-17"/>
          <w:w w:val="105"/>
        </w:rPr>
        <w:t> </w:t>
      </w:r>
      <w:r>
        <w:rPr>
          <w:color w:val="231F20"/>
          <w:w w:val="105"/>
        </w:rPr>
        <w:t>pueda</w:t>
      </w:r>
      <w:r>
        <w:rPr>
          <w:color w:val="231F20"/>
          <w:spacing w:val="-12"/>
          <w:w w:val="105"/>
        </w:rPr>
        <w:t> </w:t>
      </w:r>
      <w:r>
        <w:rPr>
          <w:color w:val="231F20"/>
          <w:w w:val="105"/>
        </w:rPr>
        <w:t>incrementarse la</w:t>
      </w:r>
      <w:r>
        <w:rPr>
          <w:color w:val="231F20"/>
          <w:spacing w:val="-11"/>
          <w:w w:val="105"/>
        </w:rPr>
        <w:t> </w:t>
      </w:r>
      <w:r>
        <w:rPr>
          <w:color w:val="231F20"/>
          <w:w w:val="105"/>
        </w:rPr>
        <w:t>demanda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servicios</w:t>
      </w:r>
      <w:r>
        <w:rPr>
          <w:color w:val="231F20"/>
          <w:spacing w:val="-11"/>
          <w:w w:val="105"/>
        </w:rPr>
        <w:t> </w:t>
      </w:r>
      <w:r>
        <w:rPr>
          <w:color w:val="231F20"/>
          <w:w w:val="105"/>
        </w:rPr>
        <w:t>ofrecidos</w:t>
      </w:r>
      <w:r>
        <w:rPr>
          <w:color w:val="231F20"/>
          <w:spacing w:val="-11"/>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w w:val="105"/>
        </w:rPr>
        <w:t>gobierno</w:t>
      </w:r>
      <w:r>
        <w:rPr>
          <w:color w:val="231F20"/>
          <w:spacing w:val="-11"/>
          <w:w w:val="105"/>
        </w:rPr>
        <w:t> </w:t>
      </w:r>
      <w:r>
        <w:rPr>
          <w:color w:val="231F20"/>
          <w:spacing w:val="-3"/>
          <w:w w:val="105"/>
        </w:rPr>
        <w:t>(Fromow,</w:t>
      </w:r>
      <w:r>
        <w:rPr>
          <w:color w:val="231F20"/>
          <w:spacing w:val="-16"/>
          <w:w w:val="105"/>
        </w:rPr>
        <w:t> </w:t>
      </w:r>
      <w:r>
        <w:rPr>
          <w:color w:val="231F20"/>
          <w:w w:val="105"/>
        </w:rPr>
        <w:t>2010).</w:t>
      </w:r>
    </w:p>
    <w:p>
      <w:pPr>
        <w:pStyle w:val="BodyText"/>
        <w:spacing w:line="261" w:lineRule="auto" w:before="1"/>
        <w:ind w:left="1723" w:right="1834" w:firstLine="567"/>
        <w:jc w:val="both"/>
      </w:pPr>
      <w:r>
        <w:rPr>
          <w:color w:val="231F20"/>
          <w:w w:val="105"/>
        </w:rPr>
        <w:t>En términos generales, la obtención de cobertura a los servicios de salud por parte de los migrantes mexicanos sigue siendo incierta y poco esperanzadora, aun cuando en 2010 el gobierno de Estados Uni- dos</w:t>
      </w:r>
      <w:r>
        <w:rPr>
          <w:color w:val="231F20"/>
          <w:spacing w:val="-8"/>
          <w:w w:val="105"/>
        </w:rPr>
        <w:t> </w:t>
      </w:r>
      <w:r>
        <w:rPr>
          <w:color w:val="231F20"/>
          <w:w w:val="105"/>
        </w:rPr>
        <w:t>aprobó</w:t>
      </w:r>
      <w:r>
        <w:rPr>
          <w:color w:val="231F20"/>
          <w:spacing w:val="-8"/>
          <w:w w:val="105"/>
        </w:rPr>
        <w:t> </w:t>
      </w:r>
      <w:r>
        <w:rPr>
          <w:color w:val="231F20"/>
          <w:w w:val="105"/>
        </w:rPr>
        <w:t>un</w:t>
      </w:r>
      <w:r>
        <w:rPr>
          <w:color w:val="231F20"/>
          <w:spacing w:val="-8"/>
          <w:w w:val="105"/>
        </w:rPr>
        <w:t> </w:t>
      </w:r>
      <w:r>
        <w:rPr>
          <w:color w:val="231F20"/>
          <w:w w:val="105"/>
        </w:rPr>
        <w:t>plan</w:t>
      </w:r>
      <w:r>
        <w:rPr>
          <w:color w:val="231F20"/>
          <w:spacing w:val="-8"/>
          <w:w w:val="105"/>
        </w:rPr>
        <w:t> </w:t>
      </w:r>
      <w:r>
        <w:rPr>
          <w:color w:val="231F20"/>
          <w:w w:val="105"/>
        </w:rPr>
        <w:t>de</w:t>
      </w:r>
      <w:r>
        <w:rPr>
          <w:color w:val="231F20"/>
          <w:spacing w:val="-8"/>
          <w:w w:val="105"/>
        </w:rPr>
        <w:t> </w:t>
      </w:r>
      <w:r>
        <w:rPr>
          <w:color w:val="231F20"/>
          <w:w w:val="105"/>
        </w:rPr>
        <w:t>reforma</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industria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cuidados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salud emitiendo</w:t>
      </w:r>
      <w:r>
        <w:rPr>
          <w:color w:val="231F20"/>
          <w:spacing w:val="-7"/>
          <w:w w:val="105"/>
        </w:rPr>
        <w:t> </w:t>
      </w:r>
      <w:r>
        <w:rPr>
          <w:color w:val="231F20"/>
          <w:w w:val="105"/>
        </w:rPr>
        <w:t>la</w:t>
      </w:r>
      <w:r>
        <w:rPr>
          <w:color w:val="231F20"/>
          <w:spacing w:val="-7"/>
          <w:w w:val="105"/>
        </w:rPr>
        <w:t> </w:t>
      </w:r>
      <w:r>
        <w:rPr>
          <w:color w:val="231F20"/>
          <w:w w:val="105"/>
        </w:rPr>
        <w:t>llamada</w:t>
      </w:r>
      <w:r>
        <w:rPr>
          <w:color w:val="231F20"/>
          <w:spacing w:val="-7"/>
          <w:w w:val="105"/>
        </w:rPr>
        <w:t> </w:t>
      </w:r>
      <w:r>
        <w:rPr>
          <w:rFonts w:ascii="Arial" w:hAnsi="Arial"/>
          <w:i/>
          <w:color w:val="231F20"/>
          <w:w w:val="105"/>
        </w:rPr>
        <w:t>Affordable</w:t>
      </w:r>
      <w:r>
        <w:rPr>
          <w:rFonts w:ascii="Arial" w:hAnsi="Arial"/>
          <w:i/>
          <w:color w:val="231F20"/>
          <w:spacing w:val="-10"/>
          <w:w w:val="105"/>
        </w:rPr>
        <w:t> </w:t>
      </w:r>
      <w:r>
        <w:rPr>
          <w:rFonts w:ascii="Arial" w:hAnsi="Arial"/>
          <w:i/>
          <w:color w:val="231F20"/>
          <w:w w:val="105"/>
        </w:rPr>
        <w:t>Care</w:t>
      </w:r>
      <w:r>
        <w:rPr>
          <w:rFonts w:ascii="Arial" w:hAnsi="Arial"/>
          <w:i/>
          <w:color w:val="231F20"/>
          <w:spacing w:val="-14"/>
          <w:w w:val="105"/>
        </w:rPr>
        <w:t> </w:t>
      </w:r>
      <w:r>
        <w:rPr>
          <w:rFonts w:ascii="Arial" w:hAnsi="Arial"/>
          <w:i/>
          <w:color w:val="231F20"/>
          <w:w w:val="105"/>
        </w:rPr>
        <w:t>Act,</w:t>
      </w:r>
      <w:r>
        <w:rPr>
          <w:rFonts w:ascii="Arial" w:hAnsi="Arial"/>
          <w:i/>
          <w:color w:val="231F20"/>
          <w:spacing w:val="-10"/>
          <w:w w:val="105"/>
        </w:rPr>
        <w:t> </w:t>
      </w:r>
      <w:r>
        <w:rPr>
          <w:color w:val="231F20"/>
          <w:w w:val="105"/>
        </w:rPr>
        <w:t>con</w:t>
      </w:r>
      <w:r>
        <w:rPr>
          <w:color w:val="231F20"/>
          <w:spacing w:val="-7"/>
          <w:w w:val="105"/>
        </w:rPr>
        <w:t> </w:t>
      </w:r>
      <w:r>
        <w:rPr>
          <w:color w:val="231F20"/>
          <w:w w:val="105"/>
        </w:rPr>
        <w:t>los</w:t>
      </w:r>
      <w:r>
        <w:rPr>
          <w:color w:val="231F20"/>
          <w:spacing w:val="-7"/>
          <w:w w:val="105"/>
        </w:rPr>
        <w:t> </w:t>
      </w:r>
      <w:r>
        <w:rPr>
          <w:color w:val="231F20"/>
          <w:w w:val="105"/>
        </w:rPr>
        <w:t>propósitos</w:t>
      </w:r>
      <w:r>
        <w:rPr>
          <w:color w:val="231F20"/>
          <w:spacing w:val="-7"/>
          <w:w w:val="105"/>
        </w:rPr>
        <w:t> </w:t>
      </w:r>
      <w:r>
        <w:rPr>
          <w:color w:val="231F20"/>
          <w:w w:val="105"/>
        </w:rPr>
        <w:t>de</w:t>
      </w:r>
      <w:r>
        <w:rPr>
          <w:color w:val="231F20"/>
          <w:spacing w:val="-7"/>
          <w:w w:val="105"/>
        </w:rPr>
        <w:t> </w:t>
      </w:r>
      <w:r>
        <w:rPr>
          <w:color w:val="231F20"/>
          <w:w w:val="105"/>
        </w:rPr>
        <w:t>ampliar el</w:t>
      </w:r>
      <w:r>
        <w:rPr>
          <w:color w:val="231F20"/>
          <w:spacing w:val="-13"/>
          <w:w w:val="105"/>
        </w:rPr>
        <w:t> </w:t>
      </w:r>
      <w:r>
        <w:rPr>
          <w:color w:val="231F20"/>
          <w:w w:val="105"/>
        </w:rPr>
        <w:t>acceso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cobertura</w:t>
      </w:r>
      <w:r>
        <w:rPr>
          <w:color w:val="231F20"/>
          <w:spacing w:val="-13"/>
          <w:w w:val="105"/>
        </w:rPr>
        <w:t> </w:t>
      </w:r>
      <w:r>
        <w:rPr>
          <w:color w:val="231F20"/>
          <w:w w:val="105"/>
        </w:rPr>
        <w:t>sanitaria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mayoría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población</w:t>
      </w:r>
      <w:r>
        <w:rPr>
          <w:color w:val="231F20"/>
          <w:spacing w:val="-13"/>
          <w:w w:val="105"/>
        </w:rPr>
        <w:t> </w:t>
      </w:r>
      <w:r>
        <w:rPr>
          <w:color w:val="231F20"/>
          <w:w w:val="105"/>
        </w:rPr>
        <w:t>estadou- nidense, mejorar el sistema público de atención a la salud y reformar</w:t>
      </w:r>
      <w:r>
        <w:rPr>
          <w:color w:val="231F20"/>
          <w:spacing w:val="-29"/>
          <w:w w:val="105"/>
        </w:rPr>
        <w:t> </w:t>
      </w:r>
      <w:r>
        <w:rPr>
          <w:color w:val="231F20"/>
          <w:w w:val="105"/>
        </w:rPr>
        <w:t>el mercado privado de seguridad médica; los inmigrantes no documenta- dos no tendrán cobertura federal, como tampoco se les permitirá com- prar</w:t>
      </w:r>
      <w:r>
        <w:rPr>
          <w:color w:val="231F20"/>
          <w:spacing w:val="-23"/>
          <w:w w:val="105"/>
        </w:rPr>
        <w:t> </w:t>
      </w:r>
      <w:r>
        <w:rPr>
          <w:color w:val="231F20"/>
          <w:w w:val="105"/>
        </w:rPr>
        <w:t>un</w:t>
      </w:r>
      <w:r>
        <w:rPr>
          <w:color w:val="231F20"/>
          <w:spacing w:val="-23"/>
          <w:w w:val="105"/>
        </w:rPr>
        <w:t> </w:t>
      </w:r>
      <w:r>
        <w:rPr>
          <w:color w:val="231F20"/>
          <w:w w:val="105"/>
        </w:rPr>
        <w:t>seguro</w:t>
      </w:r>
      <w:r>
        <w:rPr>
          <w:color w:val="231F20"/>
          <w:spacing w:val="-23"/>
          <w:w w:val="105"/>
        </w:rPr>
        <w:t> </w:t>
      </w:r>
      <w:r>
        <w:rPr>
          <w:color w:val="231F20"/>
          <w:w w:val="105"/>
        </w:rPr>
        <w:t>médico,</w:t>
      </w:r>
      <w:r>
        <w:rPr>
          <w:color w:val="231F20"/>
          <w:spacing w:val="-29"/>
          <w:w w:val="105"/>
        </w:rPr>
        <w:t> </w:t>
      </w:r>
      <w:r>
        <w:rPr>
          <w:color w:val="231F20"/>
          <w:w w:val="105"/>
        </w:rPr>
        <w:t>lo</w:t>
      </w:r>
      <w:r>
        <w:rPr>
          <w:color w:val="231F20"/>
          <w:spacing w:val="-23"/>
          <w:w w:val="105"/>
        </w:rPr>
        <w:t> </w:t>
      </w:r>
      <w:r>
        <w:rPr>
          <w:color w:val="231F20"/>
          <w:w w:val="105"/>
        </w:rPr>
        <w:t>cual</w:t>
      </w:r>
      <w:r>
        <w:rPr>
          <w:color w:val="231F20"/>
          <w:spacing w:val="-23"/>
          <w:w w:val="105"/>
        </w:rPr>
        <w:t> </w:t>
      </w:r>
      <w:r>
        <w:rPr>
          <w:color w:val="231F20"/>
          <w:w w:val="105"/>
        </w:rPr>
        <w:t>hace</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rFonts w:ascii="Arial" w:hAnsi="Arial"/>
          <w:i/>
          <w:color w:val="231F20"/>
          <w:w w:val="105"/>
        </w:rPr>
        <w:t>Affordable</w:t>
      </w:r>
      <w:r>
        <w:rPr>
          <w:rFonts w:ascii="Arial" w:hAnsi="Arial"/>
          <w:i/>
          <w:color w:val="231F20"/>
          <w:spacing w:val="-26"/>
          <w:w w:val="105"/>
        </w:rPr>
        <w:t> </w:t>
      </w:r>
      <w:r>
        <w:rPr>
          <w:rFonts w:ascii="Arial" w:hAnsi="Arial"/>
          <w:i/>
          <w:color w:val="231F20"/>
          <w:w w:val="105"/>
        </w:rPr>
        <w:t>Care</w:t>
      </w:r>
      <w:r>
        <w:rPr>
          <w:rFonts w:ascii="Arial" w:hAnsi="Arial"/>
          <w:i/>
          <w:color w:val="231F20"/>
          <w:spacing w:val="-29"/>
          <w:w w:val="105"/>
        </w:rPr>
        <w:t> </w:t>
      </w:r>
      <w:r>
        <w:rPr>
          <w:rFonts w:ascii="Arial" w:hAnsi="Arial"/>
          <w:i/>
          <w:color w:val="231F20"/>
          <w:w w:val="105"/>
        </w:rPr>
        <w:t>Act</w:t>
      </w:r>
      <w:r>
        <w:rPr>
          <w:rFonts w:ascii="Arial" w:hAnsi="Arial"/>
          <w:i/>
          <w:color w:val="231F20"/>
          <w:spacing w:val="-26"/>
          <w:w w:val="105"/>
        </w:rPr>
        <w:t> </w:t>
      </w:r>
      <w:r>
        <w:rPr>
          <w:color w:val="231F20"/>
          <w:w w:val="105"/>
        </w:rPr>
        <w:t>una</w:t>
      </w:r>
      <w:r>
        <w:rPr>
          <w:color w:val="231F20"/>
          <w:spacing w:val="-23"/>
          <w:w w:val="105"/>
        </w:rPr>
        <w:t> </w:t>
      </w:r>
      <w:r>
        <w:rPr>
          <w:color w:val="231F20"/>
          <w:w w:val="105"/>
        </w:rPr>
        <w:t>medida irresponsable</w:t>
      </w:r>
      <w:r>
        <w:rPr>
          <w:color w:val="231F20"/>
          <w:spacing w:val="-17"/>
          <w:w w:val="105"/>
        </w:rPr>
        <w:t> </w:t>
      </w:r>
      <w:r>
        <w:rPr>
          <w:color w:val="231F20"/>
          <w:w w:val="105"/>
        </w:rPr>
        <w:t>si</w:t>
      </w:r>
      <w:r>
        <w:rPr>
          <w:color w:val="231F20"/>
          <w:spacing w:val="-17"/>
          <w:w w:val="105"/>
        </w:rPr>
        <w:t> </w:t>
      </w:r>
      <w:r>
        <w:rPr>
          <w:color w:val="231F20"/>
          <w:w w:val="105"/>
        </w:rPr>
        <w:t>se</w:t>
      </w:r>
      <w:r>
        <w:rPr>
          <w:color w:val="231F20"/>
          <w:spacing w:val="-17"/>
          <w:w w:val="105"/>
        </w:rPr>
        <w:t> </w:t>
      </w:r>
      <w:r>
        <w:rPr>
          <w:color w:val="231F20"/>
          <w:w w:val="105"/>
        </w:rPr>
        <w:t>toma</w:t>
      </w:r>
      <w:r>
        <w:rPr>
          <w:color w:val="231F20"/>
          <w:spacing w:val="-17"/>
          <w:w w:val="105"/>
        </w:rPr>
        <w:t> </w:t>
      </w:r>
      <w:r>
        <w:rPr>
          <w:color w:val="231F20"/>
          <w:w w:val="105"/>
        </w:rPr>
        <w:t>en</w:t>
      </w:r>
      <w:r>
        <w:rPr>
          <w:color w:val="231F20"/>
          <w:spacing w:val="-17"/>
          <w:w w:val="105"/>
        </w:rPr>
        <w:t> </w:t>
      </w:r>
      <w:r>
        <w:rPr>
          <w:color w:val="231F20"/>
          <w:w w:val="105"/>
        </w:rPr>
        <w:t>cuenta</w:t>
      </w:r>
      <w:r>
        <w:rPr>
          <w:color w:val="231F20"/>
          <w:spacing w:val="-17"/>
          <w:w w:val="105"/>
        </w:rPr>
        <w:t> </w:t>
      </w:r>
      <w:r>
        <w:rPr>
          <w:color w:val="231F20"/>
          <w:w w:val="105"/>
        </w:rPr>
        <w:t>la</w:t>
      </w:r>
      <w:r>
        <w:rPr>
          <w:color w:val="231F20"/>
          <w:spacing w:val="-17"/>
          <w:w w:val="105"/>
        </w:rPr>
        <w:t> </w:t>
      </w:r>
      <w:r>
        <w:rPr>
          <w:color w:val="231F20"/>
          <w:w w:val="105"/>
        </w:rPr>
        <w:t>numerosa</w:t>
      </w:r>
      <w:r>
        <w:rPr>
          <w:color w:val="231F20"/>
          <w:spacing w:val="-17"/>
          <w:w w:val="105"/>
        </w:rPr>
        <w:t> </w:t>
      </w:r>
      <w:r>
        <w:rPr>
          <w:color w:val="231F20"/>
          <w:w w:val="105"/>
        </w:rPr>
        <w:t>cantidad</w:t>
      </w:r>
      <w:r>
        <w:rPr>
          <w:color w:val="231F20"/>
          <w:spacing w:val="-17"/>
          <w:w w:val="105"/>
        </w:rPr>
        <w:t> </w:t>
      </w:r>
      <w:r>
        <w:rPr>
          <w:color w:val="231F20"/>
          <w:w w:val="105"/>
        </w:rPr>
        <w:t>de</w:t>
      </w:r>
      <w:r>
        <w:rPr>
          <w:color w:val="231F20"/>
          <w:spacing w:val="-17"/>
          <w:w w:val="105"/>
        </w:rPr>
        <w:t> </w:t>
      </w:r>
      <w:r>
        <w:rPr>
          <w:color w:val="231F20"/>
          <w:w w:val="105"/>
        </w:rPr>
        <w:t>inmigrantes radicados</w:t>
      </w:r>
      <w:r>
        <w:rPr>
          <w:color w:val="231F20"/>
          <w:spacing w:val="-28"/>
          <w:w w:val="105"/>
        </w:rPr>
        <w:t> </w:t>
      </w:r>
      <w:r>
        <w:rPr>
          <w:color w:val="231F20"/>
          <w:w w:val="105"/>
        </w:rPr>
        <w:t>en</w:t>
      </w:r>
      <w:r>
        <w:rPr>
          <w:color w:val="231F20"/>
          <w:spacing w:val="-28"/>
          <w:w w:val="105"/>
        </w:rPr>
        <w:t> </w:t>
      </w:r>
      <w:r>
        <w:rPr>
          <w:color w:val="231F20"/>
          <w:w w:val="105"/>
        </w:rPr>
        <w:t>Estados</w:t>
      </w:r>
      <w:r>
        <w:rPr>
          <w:color w:val="231F20"/>
          <w:spacing w:val="-28"/>
          <w:w w:val="105"/>
        </w:rPr>
        <w:t> </w:t>
      </w:r>
      <w:r>
        <w:rPr>
          <w:color w:val="231F20"/>
          <w:w w:val="105"/>
        </w:rPr>
        <w:t>Unidos</w:t>
      </w:r>
      <w:r>
        <w:rPr>
          <w:color w:val="231F20"/>
          <w:spacing w:val="-28"/>
          <w:w w:val="105"/>
        </w:rPr>
        <w:t> </w:t>
      </w:r>
      <w:r>
        <w:rPr>
          <w:color w:val="231F20"/>
          <w:w w:val="105"/>
        </w:rPr>
        <w:t>y</w:t>
      </w:r>
      <w:r>
        <w:rPr>
          <w:color w:val="231F20"/>
          <w:spacing w:val="-28"/>
          <w:w w:val="105"/>
        </w:rPr>
        <w:t> </w:t>
      </w:r>
      <w:r>
        <w:rPr>
          <w:color w:val="231F20"/>
          <w:w w:val="105"/>
        </w:rPr>
        <w:t>particularmente,</w:t>
      </w:r>
      <w:r>
        <w:rPr>
          <w:color w:val="231F20"/>
          <w:spacing w:val="-32"/>
          <w:w w:val="105"/>
        </w:rPr>
        <w:t> </w:t>
      </w:r>
      <w:r>
        <w:rPr>
          <w:color w:val="231F20"/>
          <w:w w:val="105"/>
        </w:rPr>
        <w:t>lo</w:t>
      </w:r>
      <w:r>
        <w:rPr>
          <w:color w:val="231F20"/>
          <w:spacing w:val="-28"/>
          <w:w w:val="105"/>
        </w:rPr>
        <w:t> </w:t>
      </w:r>
      <w:r>
        <w:rPr>
          <w:color w:val="231F20"/>
          <w:w w:val="105"/>
        </w:rPr>
        <w:t>que</w:t>
      </w:r>
      <w:r>
        <w:rPr>
          <w:color w:val="231F20"/>
          <w:spacing w:val="-28"/>
          <w:w w:val="105"/>
        </w:rPr>
        <w:t> </w:t>
      </w:r>
      <w:r>
        <w:rPr>
          <w:color w:val="231F20"/>
          <w:w w:val="105"/>
        </w:rPr>
        <w:t>representa</w:t>
      </w:r>
      <w:r>
        <w:rPr>
          <w:color w:val="231F20"/>
          <w:spacing w:val="-28"/>
          <w:w w:val="105"/>
        </w:rPr>
        <w:t> </w:t>
      </w:r>
      <w:r>
        <w:rPr>
          <w:color w:val="231F20"/>
          <w:w w:val="105"/>
        </w:rPr>
        <w:t>la</w:t>
      </w:r>
      <w:r>
        <w:rPr>
          <w:color w:val="231F20"/>
          <w:spacing w:val="-28"/>
          <w:w w:val="105"/>
        </w:rPr>
        <w:t> </w:t>
      </w:r>
      <w:r>
        <w:rPr>
          <w:color w:val="231F20"/>
          <w:w w:val="105"/>
        </w:rPr>
        <w:t>fuer- za</w:t>
      </w:r>
      <w:r>
        <w:rPr>
          <w:color w:val="231F20"/>
          <w:spacing w:val="-21"/>
          <w:w w:val="105"/>
        </w:rPr>
        <w:t> </w:t>
      </w:r>
      <w:r>
        <w:rPr>
          <w:color w:val="231F20"/>
          <w:w w:val="105"/>
        </w:rPr>
        <w:t>laboral</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mexicanos</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economía</w:t>
      </w:r>
      <w:r>
        <w:rPr>
          <w:color w:val="231F20"/>
          <w:spacing w:val="-21"/>
          <w:w w:val="105"/>
        </w:rPr>
        <w:t> </w:t>
      </w:r>
      <w:r>
        <w:rPr>
          <w:color w:val="231F20"/>
          <w:w w:val="105"/>
        </w:rPr>
        <w:t>de</w:t>
      </w:r>
      <w:r>
        <w:rPr>
          <w:color w:val="231F20"/>
          <w:spacing w:val="-21"/>
          <w:w w:val="105"/>
        </w:rPr>
        <w:t> </w:t>
      </w:r>
      <w:r>
        <w:rPr>
          <w:color w:val="231F20"/>
          <w:w w:val="105"/>
        </w:rPr>
        <w:t>este</w:t>
      </w:r>
      <w:r>
        <w:rPr>
          <w:color w:val="231F20"/>
          <w:spacing w:val="-21"/>
          <w:w w:val="105"/>
        </w:rPr>
        <w:t> </w:t>
      </w:r>
      <w:r>
        <w:rPr>
          <w:color w:val="231F20"/>
          <w:w w:val="105"/>
        </w:rPr>
        <w:t>país</w:t>
      </w:r>
      <w:r>
        <w:rPr>
          <w:color w:val="231F20"/>
          <w:spacing w:val="-21"/>
          <w:w w:val="105"/>
        </w:rPr>
        <w:t> </w:t>
      </w:r>
      <w:r>
        <w:rPr>
          <w:color w:val="231F20"/>
          <w:w w:val="105"/>
        </w:rPr>
        <w:t>(Rubio,</w:t>
      </w:r>
      <w:r>
        <w:rPr>
          <w:color w:val="231F20"/>
          <w:spacing w:val="-25"/>
          <w:w w:val="105"/>
        </w:rPr>
        <w:t> </w:t>
      </w:r>
      <w:r>
        <w:rPr>
          <w:color w:val="231F20"/>
          <w:w w:val="105"/>
        </w:rPr>
        <w:t>2014).</w:t>
      </w:r>
    </w:p>
    <w:p>
      <w:pPr>
        <w:pStyle w:val="BodyText"/>
        <w:rPr>
          <w:sz w:val="20"/>
        </w:rPr>
      </w:pPr>
    </w:p>
    <w:p>
      <w:pPr>
        <w:pStyle w:val="BodyText"/>
        <w:rPr>
          <w:sz w:val="20"/>
        </w:rPr>
      </w:pPr>
    </w:p>
    <w:p>
      <w:pPr>
        <w:pStyle w:val="BodyText"/>
        <w:rPr>
          <w:sz w:val="20"/>
        </w:rPr>
      </w:pPr>
    </w:p>
    <w:p>
      <w:pPr>
        <w:tabs>
          <w:tab w:pos="2937" w:val="left" w:leader="none"/>
        </w:tabs>
        <w:spacing w:before="195"/>
        <w:ind w:left="1832" w:right="0" w:firstLine="0"/>
        <w:jc w:val="left"/>
        <w:rPr>
          <w:rFonts w:ascii="Calibri" w:hAnsi="Calibri"/>
          <w:sz w:val="15"/>
        </w:rPr>
      </w:pPr>
      <w:r>
        <w:rPr/>
        <w:pict>
          <v:line style="position:absolute;mso-position-horizontal-relative:page;mso-position-vertical-relative:paragraph;z-index:-465232" from="131.551193pt,9.953715pt" to="131.551193pt,45.756114pt" stroked="true" strokeweight=".35pt" strokecolor="#231f20">
            <w10:wrap type="none"/>
          </v:line>
        </w:pict>
      </w:r>
      <w:r>
        <w:rPr/>
        <w:pict>
          <v:line style="position:absolute;mso-position-horizontal-relative:page;mso-position-vertical-relative:paragraph;z-index:-465160" from="15pt,45.755917pt" to="0pt,45.755917pt" stroked="true" strokeweight=".25pt" strokecolor="#000000">
            <w10:wrap type="none"/>
          </v:line>
        </w:pict>
      </w:r>
      <w:r>
        <w:rPr/>
        <w:pict>
          <v:line style="position:absolute;mso-position-horizontal-relative:page;mso-position-vertical-relative:paragraph;z-index:25048" from="508.890015pt,45.755917pt" to="523.890015pt,45.755917pt" stroked="true" strokeweight=".25pt" strokecolor="#000000">
            <w10:wrap type="none"/>
          </v:line>
        </w:pict>
      </w:r>
      <w:r>
        <w:rPr>
          <w:rFonts w:ascii="Arial" w:hAnsi="Arial"/>
          <w:color w:val="414042"/>
          <w:w w:val="105"/>
          <w:position w:val="-5"/>
          <w:sz w:val="20"/>
        </w:rPr>
        <w:t>198</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5072" from="405.061005pt,-27.904295pt" to="405.061005pt,6.961579pt" stroked="true" strokeweight=".35pt" strokecolor="#231f20">
            <w10:wrap type="none"/>
          </v:line>
        </w:pict>
      </w:r>
      <w:r>
        <w:rPr/>
        <w:pict>
          <v:line style="position:absolute;mso-position-horizontal-relative:page;mso-position-vertical-relative:paragraph;z-index:25096" from="15pt,-27.90452pt" to="0pt,-27.90452pt" stroked="true" strokeweight=".25pt" strokecolor="#000000">
            <w10:wrap type="none"/>
          </v:line>
        </w:pict>
      </w:r>
      <w:r>
        <w:rPr/>
        <w:pict>
          <v:line style="position:absolute;mso-position-horizontal-relative:page;mso-position-vertical-relative:paragraph;z-index:25120"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199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21"/>
        <w:jc w:val="both"/>
      </w:pPr>
      <w:r>
        <w:rPr>
          <w:color w:val="231F20"/>
          <w:w w:val="105"/>
        </w:rPr>
        <w:t>Solo una reforma migratoria facilitaría a los migrantes mexicanos la</w:t>
      </w:r>
      <w:r>
        <w:rPr>
          <w:color w:val="231F20"/>
          <w:spacing w:val="-27"/>
          <w:w w:val="105"/>
        </w:rPr>
        <w:t> </w:t>
      </w:r>
      <w:r>
        <w:rPr>
          <w:color w:val="231F20"/>
          <w:w w:val="105"/>
        </w:rPr>
        <w:t>ob- tención</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seguro</w:t>
      </w:r>
      <w:r>
        <w:rPr>
          <w:color w:val="231F20"/>
          <w:spacing w:val="-21"/>
          <w:w w:val="105"/>
        </w:rPr>
        <w:t> </w:t>
      </w:r>
      <w:r>
        <w:rPr>
          <w:color w:val="231F20"/>
          <w:w w:val="105"/>
        </w:rPr>
        <w:t>médico,</w:t>
      </w:r>
      <w:r>
        <w:rPr>
          <w:color w:val="231F20"/>
          <w:spacing w:val="-27"/>
          <w:w w:val="105"/>
        </w:rPr>
        <w:t> </w:t>
      </w:r>
      <w:r>
        <w:rPr>
          <w:color w:val="231F20"/>
          <w:w w:val="105"/>
        </w:rPr>
        <w:t>no</w:t>
      </w:r>
      <w:r>
        <w:rPr>
          <w:color w:val="231F20"/>
          <w:spacing w:val="-21"/>
          <w:w w:val="105"/>
        </w:rPr>
        <w:t> </w:t>
      </w:r>
      <w:r>
        <w:rPr>
          <w:color w:val="231F20"/>
          <w:w w:val="105"/>
        </w:rPr>
        <w:t>obstante,</w:t>
      </w:r>
      <w:r>
        <w:rPr>
          <w:color w:val="231F20"/>
          <w:spacing w:val="-27"/>
          <w:w w:val="105"/>
        </w:rPr>
        <w:t> </w:t>
      </w:r>
      <w:r>
        <w:rPr>
          <w:color w:val="231F20"/>
          <w:w w:val="105"/>
        </w:rPr>
        <w:t>si</w:t>
      </w:r>
      <w:r>
        <w:rPr>
          <w:color w:val="231F20"/>
          <w:spacing w:val="-21"/>
          <w:w w:val="105"/>
        </w:rPr>
        <w:t> </w:t>
      </w:r>
      <w:r>
        <w:rPr>
          <w:color w:val="231F20"/>
          <w:w w:val="105"/>
        </w:rPr>
        <w:t>bien</w:t>
      </w:r>
      <w:r>
        <w:rPr>
          <w:color w:val="231F20"/>
          <w:spacing w:val="-21"/>
          <w:w w:val="105"/>
        </w:rPr>
        <w:t> </w:t>
      </w:r>
      <w:r>
        <w:rPr>
          <w:color w:val="231F20"/>
          <w:w w:val="105"/>
        </w:rPr>
        <w:t>se</w:t>
      </w:r>
      <w:r>
        <w:rPr>
          <w:color w:val="231F20"/>
          <w:spacing w:val="-21"/>
          <w:w w:val="105"/>
        </w:rPr>
        <w:t> </w:t>
      </w:r>
      <w:r>
        <w:rPr>
          <w:color w:val="231F20"/>
          <w:w w:val="105"/>
        </w:rPr>
        <w:t>ha</w:t>
      </w:r>
      <w:r>
        <w:rPr>
          <w:color w:val="231F20"/>
          <w:spacing w:val="-21"/>
          <w:w w:val="105"/>
        </w:rPr>
        <w:t> </w:t>
      </w:r>
      <w:r>
        <w:rPr>
          <w:color w:val="231F20"/>
          <w:w w:val="105"/>
        </w:rPr>
        <w:t>referido</w:t>
      </w:r>
      <w:r>
        <w:rPr>
          <w:color w:val="231F20"/>
          <w:spacing w:val="-21"/>
          <w:w w:val="105"/>
        </w:rPr>
        <w:t> </w:t>
      </w:r>
      <w:r>
        <w:rPr>
          <w:color w:val="231F20"/>
          <w:w w:val="105"/>
        </w:rPr>
        <w:t>a</w:t>
      </w:r>
      <w:r>
        <w:rPr>
          <w:color w:val="231F20"/>
          <w:spacing w:val="-21"/>
          <w:w w:val="105"/>
        </w:rPr>
        <w:t> </w:t>
      </w:r>
      <w:r>
        <w:rPr>
          <w:color w:val="231F20"/>
          <w:w w:val="105"/>
        </w:rPr>
        <w:t>ésta</w:t>
      </w:r>
      <w:r>
        <w:rPr>
          <w:color w:val="231F20"/>
          <w:spacing w:val="-21"/>
          <w:w w:val="105"/>
        </w:rPr>
        <w:t> </w:t>
      </w:r>
      <w:r>
        <w:rPr>
          <w:color w:val="231F20"/>
          <w:w w:val="105"/>
        </w:rPr>
        <w:t>en los</w:t>
      </w:r>
      <w:r>
        <w:rPr>
          <w:color w:val="231F20"/>
          <w:spacing w:val="-11"/>
          <w:w w:val="105"/>
        </w:rPr>
        <w:t> </w:t>
      </w:r>
      <w:r>
        <w:rPr>
          <w:color w:val="231F20"/>
          <w:w w:val="105"/>
        </w:rPr>
        <w:t>últimos</w:t>
      </w:r>
      <w:r>
        <w:rPr>
          <w:color w:val="231F20"/>
          <w:spacing w:val="-11"/>
          <w:w w:val="105"/>
        </w:rPr>
        <w:t> </w:t>
      </w:r>
      <w:r>
        <w:rPr>
          <w:color w:val="231F20"/>
          <w:w w:val="105"/>
        </w:rPr>
        <w:t>años,</w:t>
      </w:r>
      <w:r>
        <w:rPr>
          <w:color w:val="231F20"/>
          <w:spacing w:val="-16"/>
          <w:w w:val="105"/>
        </w:rPr>
        <w:t> </w:t>
      </w:r>
      <w:r>
        <w:rPr>
          <w:color w:val="231F20"/>
          <w:w w:val="105"/>
        </w:rPr>
        <w:t>hasta</w:t>
      </w:r>
      <w:r>
        <w:rPr>
          <w:color w:val="231F20"/>
          <w:spacing w:val="-11"/>
          <w:w w:val="105"/>
        </w:rPr>
        <w:t> </w:t>
      </w:r>
      <w:r>
        <w:rPr>
          <w:color w:val="231F20"/>
          <w:w w:val="105"/>
        </w:rPr>
        <w:t>el</w:t>
      </w:r>
      <w:r>
        <w:rPr>
          <w:color w:val="231F20"/>
          <w:spacing w:val="-11"/>
          <w:w w:val="105"/>
        </w:rPr>
        <w:t> </w:t>
      </w:r>
      <w:r>
        <w:rPr>
          <w:color w:val="231F20"/>
          <w:w w:val="105"/>
        </w:rPr>
        <w:t>día</w:t>
      </w:r>
      <w:r>
        <w:rPr>
          <w:color w:val="231F20"/>
          <w:spacing w:val="-11"/>
          <w:w w:val="105"/>
        </w:rPr>
        <w:t> </w:t>
      </w:r>
      <w:r>
        <w:rPr>
          <w:color w:val="231F20"/>
          <w:w w:val="105"/>
        </w:rPr>
        <w:t>de</w:t>
      </w:r>
      <w:r>
        <w:rPr>
          <w:color w:val="231F20"/>
          <w:spacing w:val="-11"/>
          <w:w w:val="105"/>
        </w:rPr>
        <w:t> </w:t>
      </w:r>
      <w:r>
        <w:rPr>
          <w:color w:val="231F20"/>
          <w:w w:val="105"/>
        </w:rPr>
        <w:t>hoy</w:t>
      </w:r>
      <w:r>
        <w:rPr>
          <w:color w:val="231F20"/>
          <w:spacing w:val="-11"/>
          <w:w w:val="105"/>
        </w:rPr>
        <w:t> </w:t>
      </w:r>
      <w:r>
        <w:rPr>
          <w:color w:val="231F20"/>
          <w:w w:val="105"/>
        </w:rPr>
        <w:t>todavía</w:t>
      </w:r>
      <w:r>
        <w:rPr>
          <w:color w:val="231F20"/>
          <w:spacing w:val="-11"/>
          <w:w w:val="105"/>
        </w:rPr>
        <w:t> </w:t>
      </w:r>
      <w:r>
        <w:rPr>
          <w:color w:val="231F20"/>
          <w:w w:val="105"/>
        </w:rPr>
        <w:t>no</w:t>
      </w:r>
      <w:r>
        <w:rPr>
          <w:color w:val="231F20"/>
          <w:spacing w:val="-11"/>
          <w:w w:val="105"/>
        </w:rPr>
        <w:t> </w:t>
      </w:r>
      <w:r>
        <w:rPr>
          <w:color w:val="231F20"/>
          <w:w w:val="105"/>
        </w:rPr>
        <w:t>ha</w:t>
      </w:r>
      <w:r>
        <w:rPr>
          <w:color w:val="231F20"/>
          <w:spacing w:val="-11"/>
          <w:w w:val="105"/>
        </w:rPr>
        <w:t> </w:t>
      </w:r>
      <w:r>
        <w:rPr>
          <w:color w:val="231F20"/>
          <w:w w:val="105"/>
        </w:rPr>
        <w:t>procedido,</w:t>
      </w:r>
      <w:r>
        <w:rPr>
          <w:color w:val="231F20"/>
          <w:spacing w:val="-16"/>
          <w:w w:val="105"/>
        </w:rPr>
        <w:t> </w:t>
      </w:r>
      <w:r>
        <w:rPr>
          <w:color w:val="231F20"/>
          <w:w w:val="105"/>
        </w:rPr>
        <w:t>lo</w:t>
      </w:r>
      <w:r>
        <w:rPr>
          <w:color w:val="231F20"/>
          <w:spacing w:val="-11"/>
          <w:w w:val="105"/>
        </w:rPr>
        <w:t> </w:t>
      </w:r>
      <w:r>
        <w:rPr>
          <w:color w:val="231F20"/>
          <w:w w:val="105"/>
        </w:rPr>
        <w:t>anterior sugiere que los problemas de accesibilidad a los servicios médicos por parte</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migrantes</w:t>
      </w:r>
      <w:r>
        <w:rPr>
          <w:color w:val="231F20"/>
          <w:spacing w:val="-21"/>
          <w:w w:val="105"/>
        </w:rPr>
        <w:t> </w:t>
      </w:r>
      <w:r>
        <w:rPr>
          <w:color w:val="231F20"/>
          <w:w w:val="105"/>
        </w:rPr>
        <w:t>mexicanos</w:t>
      </w:r>
      <w:r>
        <w:rPr>
          <w:color w:val="231F20"/>
          <w:spacing w:val="-21"/>
          <w:w w:val="105"/>
        </w:rPr>
        <w:t> </w:t>
      </w:r>
      <w:r>
        <w:rPr>
          <w:color w:val="231F20"/>
          <w:w w:val="105"/>
        </w:rPr>
        <w:t>continuarán.</w:t>
      </w:r>
    </w:p>
    <w:p>
      <w:pPr>
        <w:pStyle w:val="BodyText"/>
        <w:spacing w:line="261" w:lineRule="auto" w:before="1"/>
        <w:ind w:left="1837" w:right="1721" w:firstLine="567"/>
        <w:jc w:val="both"/>
      </w:pPr>
      <w:r>
        <w:rPr>
          <w:color w:val="231F20"/>
          <w:spacing w:val="-5"/>
          <w:w w:val="105"/>
        </w:rPr>
        <w:t>Para</w:t>
      </w:r>
      <w:r>
        <w:rPr>
          <w:color w:val="231F20"/>
          <w:spacing w:val="-9"/>
          <w:w w:val="105"/>
        </w:rPr>
        <w:t> </w:t>
      </w:r>
      <w:r>
        <w:rPr>
          <w:color w:val="231F20"/>
          <w:spacing w:val="-3"/>
          <w:w w:val="105"/>
        </w:rPr>
        <w:t>finalizar,</w:t>
      </w:r>
      <w:r>
        <w:rPr>
          <w:color w:val="231F20"/>
          <w:spacing w:val="-14"/>
          <w:w w:val="105"/>
        </w:rPr>
        <w:t> </w:t>
      </w:r>
      <w:r>
        <w:rPr>
          <w:color w:val="231F20"/>
          <w:w w:val="105"/>
        </w:rPr>
        <w:t>el</w:t>
      </w:r>
      <w:r>
        <w:rPr>
          <w:color w:val="231F20"/>
          <w:spacing w:val="-9"/>
          <w:w w:val="105"/>
        </w:rPr>
        <w:t> </w:t>
      </w:r>
      <w:r>
        <w:rPr>
          <w:color w:val="231F20"/>
          <w:spacing w:val="-3"/>
          <w:w w:val="105"/>
        </w:rPr>
        <w:t>presente</w:t>
      </w:r>
      <w:r>
        <w:rPr>
          <w:color w:val="231F20"/>
          <w:spacing w:val="-9"/>
          <w:w w:val="105"/>
        </w:rPr>
        <w:t> </w:t>
      </w:r>
      <w:r>
        <w:rPr>
          <w:color w:val="231F20"/>
          <w:w w:val="105"/>
        </w:rPr>
        <w:t>estudio</w:t>
      </w:r>
      <w:r>
        <w:rPr>
          <w:color w:val="231F20"/>
          <w:spacing w:val="-9"/>
          <w:w w:val="105"/>
        </w:rPr>
        <w:t> </w:t>
      </w:r>
      <w:r>
        <w:rPr>
          <w:color w:val="231F20"/>
          <w:w w:val="105"/>
        </w:rPr>
        <w:t>ha</w:t>
      </w:r>
      <w:r>
        <w:rPr>
          <w:color w:val="231F20"/>
          <w:spacing w:val="-9"/>
          <w:w w:val="105"/>
        </w:rPr>
        <w:t> </w:t>
      </w:r>
      <w:r>
        <w:rPr>
          <w:color w:val="231F20"/>
          <w:w w:val="105"/>
        </w:rPr>
        <w:t>puesto</w:t>
      </w:r>
      <w:r>
        <w:rPr>
          <w:color w:val="231F20"/>
          <w:spacing w:val="-9"/>
          <w:w w:val="105"/>
        </w:rPr>
        <w:t> </w:t>
      </w:r>
      <w:r>
        <w:rPr>
          <w:color w:val="231F20"/>
          <w:w w:val="105"/>
        </w:rPr>
        <w:t>de</w:t>
      </w:r>
      <w:r>
        <w:rPr>
          <w:color w:val="231F20"/>
          <w:spacing w:val="-9"/>
          <w:w w:val="105"/>
        </w:rPr>
        <w:t> </w:t>
      </w:r>
      <w:r>
        <w:rPr>
          <w:color w:val="231F20"/>
          <w:spacing w:val="-3"/>
          <w:w w:val="105"/>
        </w:rPr>
        <w:t>relieve</w:t>
      </w:r>
      <w:r>
        <w:rPr>
          <w:color w:val="231F20"/>
          <w:spacing w:val="-9"/>
          <w:w w:val="105"/>
        </w:rPr>
        <w:t> </w:t>
      </w:r>
      <w:r>
        <w:rPr>
          <w:color w:val="231F20"/>
          <w:w w:val="105"/>
        </w:rPr>
        <w:t>algunas</w:t>
      </w:r>
      <w:r>
        <w:rPr>
          <w:color w:val="231F20"/>
          <w:spacing w:val="-9"/>
          <w:w w:val="105"/>
        </w:rPr>
        <w:t> </w:t>
      </w:r>
      <w:r>
        <w:rPr>
          <w:color w:val="231F20"/>
          <w:w w:val="105"/>
        </w:rPr>
        <w:t>ca- racterísticas</w:t>
      </w:r>
      <w:r>
        <w:rPr>
          <w:color w:val="231F20"/>
          <w:spacing w:val="-29"/>
          <w:w w:val="105"/>
        </w:rPr>
        <w:t> </w:t>
      </w:r>
      <w:r>
        <w:rPr>
          <w:color w:val="231F20"/>
          <w:w w:val="105"/>
        </w:rPr>
        <w:t>y</w:t>
      </w:r>
      <w:r>
        <w:rPr>
          <w:color w:val="231F20"/>
          <w:spacing w:val="-29"/>
          <w:w w:val="105"/>
        </w:rPr>
        <w:t> </w:t>
      </w:r>
      <w:r>
        <w:rPr>
          <w:color w:val="231F20"/>
          <w:w w:val="105"/>
        </w:rPr>
        <w:t>necesidades</w:t>
      </w:r>
      <w:r>
        <w:rPr>
          <w:color w:val="231F20"/>
          <w:spacing w:val="-29"/>
          <w:w w:val="105"/>
        </w:rPr>
        <w:t> </w:t>
      </w:r>
      <w:r>
        <w:rPr>
          <w:color w:val="231F20"/>
          <w:w w:val="105"/>
        </w:rPr>
        <w:t>en</w:t>
      </w:r>
      <w:r>
        <w:rPr>
          <w:color w:val="231F20"/>
          <w:spacing w:val="-29"/>
          <w:w w:val="105"/>
        </w:rPr>
        <w:t> </w:t>
      </w:r>
      <w:r>
        <w:rPr>
          <w:color w:val="231F20"/>
          <w:w w:val="105"/>
        </w:rPr>
        <w:t>cuanto</w:t>
      </w:r>
      <w:r>
        <w:rPr>
          <w:color w:val="231F20"/>
          <w:spacing w:val="-29"/>
          <w:w w:val="105"/>
        </w:rPr>
        <w:t> </w:t>
      </w:r>
      <w:r>
        <w:rPr>
          <w:color w:val="231F20"/>
          <w:w w:val="105"/>
        </w:rPr>
        <w:t>a</w:t>
      </w:r>
      <w:r>
        <w:rPr>
          <w:color w:val="231F20"/>
          <w:spacing w:val="-29"/>
          <w:w w:val="105"/>
        </w:rPr>
        <w:t> </w:t>
      </w:r>
      <w:r>
        <w:rPr>
          <w:color w:val="231F20"/>
          <w:w w:val="105"/>
        </w:rPr>
        <w:t>servicios</w:t>
      </w:r>
      <w:r>
        <w:rPr>
          <w:color w:val="231F20"/>
          <w:spacing w:val="-29"/>
          <w:w w:val="105"/>
        </w:rPr>
        <w:t> </w:t>
      </w:r>
      <w:r>
        <w:rPr>
          <w:color w:val="231F20"/>
          <w:w w:val="105"/>
        </w:rPr>
        <w:t>de</w:t>
      </w:r>
      <w:r>
        <w:rPr>
          <w:color w:val="231F20"/>
          <w:spacing w:val="-29"/>
          <w:w w:val="105"/>
        </w:rPr>
        <w:t> </w:t>
      </w:r>
      <w:r>
        <w:rPr>
          <w:color w:val="231F20"/>
          <w:w w:val="105"/>
        </w:rPr>
        <w:t>salud</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población migrante</w:t>
      </w:r>
      <w:r>
        <w:rPr>
          <w:color w:val="231F20"/>
          <w:spacing w:val="-9"/>
          <w:w w:val="105"/>
        </w:rPr>
        <w:t> </w:t>
      </w:r>
      <w:r>
        <w:rPr>
          <w:color w:val="231F20"/>
          <w:w w:val="105"/>
        </w:rPr>
        <w:t>de</w:t>
      </w:r>
      <w:r>
        <w:rPr>
          <w:color w:val="231F20"/>
          <w:spacing w:val="-9"/>
          <w:w w:val="105"/>
        </w:rPr>
        <w:t> </w:t>
      </w:r>
      <w:r>
        <w:rPr>
          <w:color w:val="231F20"/>
          <w:w w:val="105"/>
        </w:rPr>
        <w:t>origen</w:t>
      </w:r>
      <w:r>
        <w:rPr>
          <w:color w:val="231F20"/>
          <w:spacing w:val="-9"/>
          <w:w w:val="105"/>
        </w:rPr>
        <w:t> </w:t>
      </w:r>
      <w:r>
        <w:rPr>
          <w:color w:val="231F20"/>
          <w:w w:val="105"/>
        </w:rPr>
        <w:t>mexiquense</w:t>
      </w:r>
      <w:r>
        <w:rPr>
          <w:color w:val="231F20"/>
          <w:spacing w:val="-9"/>
          <w:w w:val="105"/>
        </w:rPr>
        <w:t> </w:t>
      </w:r>
      <w:r>
        <w:rPr>
          <w:color w:val="231F20"/>
          <w:spacing w:val="-3"/>
          <w:w w:val="105"/>
        </w:rPr>
        <w:t>procedente</w:t>
      </w:r>
      <w:r>
        <w:rPr>
          <w:color w:val="231F20"/>
          <w:spacing w:val="-9"/>
          <w:w w:val="105"/>
        </w:rPr>
        <w:t> </w:t>
      </w:r>
      <w:r>
        <w:rPr>
          <w:color w:val="231F20"/>
          <w:w w:val="105"/>
        </w:rPr>
        <w:t>de</w:t>
      </w:r>
      <w:r>
        <w:rPr>
          <w:color w:val="231F20"/>
          <w:spacing w:val="-9"/>
          <w:w w:val="105"/>
        </w:rPr>
        <w:t> </w:t>
      </w:r>
      <w:r>
        <w:rPr>
          <w:color w:val="231F20"/>
          <w:w w:val="105"/>
        </w:rPr>
        <w:t>Estados</w:t>
      </w:r>
      <w:r>
        <w:rPr>
          <w:color w:val="231F20"/>
          <w:spacing w:val="-9"/>
          <w:w w:val="105"/>
        </w:rPr>
        <w:t> </w:t>
      </w:r>
      <w:r>
        <w:rPr>
          <w:color w:val="231F20"/>
          <w:w w:val="105"/>
        </w:rPr>
        <w:t>Unidos,</w:t>
      </w:r>
      <w:r>
        <w:rPr>
          <w:color w:val="231F20"/>
          <w:spacing w:val="-14"/>
          <w:w w:val="105"/>
        </w:rPr>
        <w:t> </w:t>
      </w:r>
      <w:r>
        <w:rPr>
          <w:color w:val="231F20"/>
          <w:w w:val="105"/>
        </w:rPr>
        <w:t>en</w:t>
      </w:r>
      <w:r>
        <w:rPr>
          <w:color w:val="231F20"/>
          <w:spacing w:val="-9"/>
          <w:w w:val="105"/>
        </w:rPr>
        <w:t> </w:t>
      </w:r>
      <w:r>
        <w:rPr>
          <w:color w:val="231F20"/>
          <w:w w:val="105"/>
        </w:rPr>
        <w:t>este sentido,</w:t>
      </w:r>
      <w:r>
        <w:rPr>
          <w:color w:val="231F20"/>
          <w:spacing w:val="-23"/>
          <w:w w:val="105"/>
        </w:rPr>
        <w:t> </w:t>
      </w:r>
      <w:r>
        <w:rPr>
          <w:color w:val="231F20"/>
          <w:w w:val="105"/>
        </w:rPr>
        <w:t>la</w:t>
      </w:r>
      <w:r>
        <w:rPr>
          <w:color w:val="231F20"/>
          <w:spacing w:val="-19"/>
          <w:w w:val="105"/>
        </w:rPr>
        <w:t> </w:t>
      </w:r>
      <w:r>
        <w:rPr>
          <w:color w:val="231F20"/>
          <w:w w:val="105"/>
        </w:rPr>
        <w:t>intención</w:t>
      </w:r>
      <w:r>
        <w:rPr>
          <w:color w:val="231F20"/>
          <w:spacing w:val="-19"/>
          <w:w w:val="105"/>
        </w:rPr>
        <w:t> </w:t>
      </w:r>
      <w:r>
        <w:rPr>
          <w:color w:val="231F20"/>
          <w:w w:val="105"/>
        </w:rPr>
        <w:t>de</w:t>
      </w:r>
      <w:r>
        <w:rPr>
          <w:color w:val="231F20"/>
          <w:spacing w:val="-19"/>
          <w:w w:val="105"/>
        </w:rPr>
        <w:t> </w:t>
      </w:r>
      <w:r>
        <w:rPr>
          <w:color w:val="231F20"/>
          <w:w w:val="105"/>
        </w:rPr>
        <w:t>este</w:t>
      </w:r>
      <w:r>
        <w:rPr>
          <w:color w:val="231F20"/>
          <w:spacing w:val="-19"/>
          <w:w w:val="105"/>
        </w:rPr>
        <w:t> </w:t>
      </w:r>
      <w:r>
        <w:rPr>
          <w:color w:val="231F20"/>
          <w:w w:val="105"/>
        </w:rPr>
        <w:t>trabajo</w:t>
      </w:r>
      <w:r>
        <w:rPr>
          <w:color w:val="231F20"/>
          <w:spacing w:val="-19"/>
          <w:w w:val="105"/>
        </w:rPr>
        <w:t> </w:t>
      </w:r>
      <w:r>
        <w:rPr>
          <w:color w:val="231F20"/>
          <w:w w:val="105"/>
        </w:rPr>
        <w:t>es</w:t>
      </w:r>
      <w:r>
        <w:rPr>
          <w:color w:val="231F20"/>
          <w:spacing w:val="-19"/>
          <w:w w:val="105"/>
        </w:rPr>
        <w:t> </w:t>
      </w:r>
      <w:r>
        <w:rPr>
          <w:color w:val="231F20"/>
          <w:w w:val="105"/>
        </w:rPr>
        <w:t>aportar</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discusión,</w:t>
      </w:r>
      <w:r>
        <w:rPr>
          <w:color w:val="231F20"/>
          <w:spacing w:val="-23"/>
          <w:w w:val="105"/>
        </w:rPr>
        <w:t> </w:t>
      </w:r>
      <w:r>
        <w:rPr>
          <w:color w:val="231F20"/>
          <w:w w:val="105"/>
        </w:rPr>
        <w:t>además</w:t>
      </w:r>
      <w:r>
        <w:rPr>
          <w:color w:val="231F20"/>
          <w:spacing w:val="-19"/>
          <w:w w:val="105"/>
        </w:rPr>
        <w:t> </w:t>
      </w:r>
      <w:r>
        <w:rPr>
          <w:color w:val="231F20"/>
          <w:w w:val="105"/>
        </w:rPr>
        <w:t>de </w:t>
      </w:r>
      <w:r>
        <w:rPr>
          <w:color w:val="231F20"/>
          <w:spacing w:val="-3"/>
          <w:w w:val="105"/>
        </w:rPr>
        <w:t>representar</w:t>
      </w:r>
      <w:r>
        <w:rPr>
          <w:color w:val="231F20"/>
          <w:spacing w:val="-26"/>
          <w:w w:val="105"/>
        </w:rPr>
        <w:t> </w:t>
      </w:r>
      <w:r>
        <w:rPr>
          <w:color w:val="231F20"/>
          <w:w w:val="105"/>
        </w:rPr>
        <w:t>un</w:t>
      </w:r>
      <w:r>
        <w:rPr>
          <w:color w:val="231F20"/>
          <w:spacing w:val="-26"/>
          <w:w w:val="105"/>
        </w:rPr>
        <w:t> </w:t>
      </w:r>
      <w:r>
        <w:rPr>
          <w:color w:val="231F20"/>
          <w:w w:val="105"/>
        </w:rPr>
        <w:t>insumo</w:t>
      </w:r>
      <w:r>
        <w:rPr>
          <w:color w:val="231F20"/>
          <w:spacing w:val="-26"/>
          <w:w w:val="105"/>
        </w:rPr>
        <w:t> </w:t>
      </w:r>
      <w:r>
        <w:rPr>
          <w:color w:val="231F20"/>
          <w:w w:val="105"/>
        </w:rPr>
        <w:t>para</w:t>
      </w:r>
      <w:r>
        <w:rPr>
          <w:color w:val="231F20"/>
          <w:spacing w:val="-26"/>
          <w:w w:val="105"/>
        </w:rPr>
        <w:t> </w:t>
      </w:r>
      <w:r>
        <w:rPr>
          <w:color w:val="231F20"/>
          <w:w w:val="105"/>
        </w:rPr>
        <w:t>que</w:t>
      </w:r>
      <w:r>
        <w:rPr>
          <w:color w:val="231F20"/>
          <w:spacing w:val="-26"/>
          <w:w w:val="105"/>
        </w:rPr>
        <w:t> </w:t>
      </w:r>
      <w:r>
        <w:rPr>
          <w:color w:val="231F20"/>
          <w:w w:val="105"/>
        </w:rPr>
        <w:t>las</w:t>
      </w:r>
      <w:r>
        <w:rPr>
          <w:color w:val="231F20"/>
          <w:spacing w:val="-26"/>
          <w:w w:val="105"/>
        </w:rPr>
        <w:t> </w:t>
      </w:r>
      <w:r>
        <w:rPr>
          <w:color w:val="231F20"/>
          <w:w w:val="105"/>
        </w:rPr>
        <w:t>autoridades</w:t>
      </w:r>
      <w:r>
        <w:rPr>
          <w:color w:val="231F20"/>
          <w:spacing w:val="-26"/>
          <w:w w:val="105"/>
        </w:rPr>
        <w:t> </w:t>
      </w:r>
      <w:r>
        <w:rPr>
          <w:color w:val="231F20"/>
          <w:spacing w:val="-3"/>
          <w:w w:val="105"/>
        </w:rPr>
        <w:t>encargadas</w:t>
      </w:r>
      <w:r>
        <w:rPr>
          <w:color w:val="231F20"/>
          <w:spacing w:val="-26"/>
          <w:w w:val="105"/>
        </w:rPr>
        <w:t> </w:t>
      </w:r>
      <w:r>
        <w:rPr>
          <w:color w:val="231F20"/>
          <w:w w:val="105"/>
        </w:rPr>
        <w:t>de</w:t>
      </w:r>
      <w:r>
        <w:rPr>
          <w:color w:val="231F20"/>
          <w:spacing w:val="-26"/>
          <w:w w:val="105"/>
        </w:rPr>
        <w:t> </w:t>
      </w:r>
      <w:r>
        <w:rPr>
          <w:color w:val="231F20"/>
          <w:w w:val="105"/>
        </w:rPr>
        <w:t>tomar</w:t>
      </w:r>
      <w:r>
        <w:rPr>
          <w:color w:val="231F20"/>
          <w:spacing w:val="-26"/>
          <w:w w:val="105"/>
        </w:rPr>
        <w:t> </w:t>
      </w:r>
      <w:r>
        <w:rPr>
          <w:color w:val="231F20"/>
          <w:w w:val="105"/>
        </w:rPr>
        <w:t>de- cisiones</w:t>
      </w:r>
      <w:r>
        <w:rPr>
          <w:color w:val="231F20"/>
          <w:spacing w:val="-18"/>
          <w:w w:val="105"/>
        </w:rPr>
        <w:t> </w:t>
      </w:r>
      <w:r>
        <w:rPr>
          <w:color w:val="231F20"/>
          <w:spacing w:val="-3"/>
          <w:w w:val="105"/>
        </w:rPr>
        <w:t>reconozcan</w:t>
      </w:r>
      <w:r>
        <w:rPr>
          <w:color w:val="231F20"/>
          <w:spacing w:val="-18"/>
          <w:w w:val="105"/>
        </w:rPr>
        <w:t> </w:t>
      </w:r>
      <w:r>
        <w:rPr>
          <w:color w:val="231F20"/>
          <w:w w:val="105"/>
        </w:rPr>
        <w:t>la</w:t>
      </w:r>
      <w:r>
        <w:rPr>
          <w:color w:val="231F20"/>
          <w:spacing w:val="-18"/>
          <w:w w:val="105"/>
        </w:rPr>
        <w:t> </w:t>
      </w:r>
      <w:r>
        <w:rPr>
          <w:color w:val="231F20"/>
          <w:w w:val="105"/>
        </w:rPr>
        <w:t>importancia</w:t>
      </w:r>
      <w:r>
        <w:rPr>
          <w:color w:val="231F20"/>
          <w:spacing w:val="-18"/>
          <w:w w:val="105"/>
        </w:rPr>
        <w:t> </w:t>
      </w:r>
      <w:r>
        <w:rPr>
          <w:color w:val="231F20"/>
          <w:w w:val="105"/>
        </w:rPr>
        <w:t>del</w:t>
      </w:r>
      <w:r>
        <w:rPr>
          <w:color w:val="231F20"/>
          <w:spacing w:val="-18"/>
          <w:w w:val="105"/>
        </w:rPr>
        <w:t> </w:t>
      </w:r>
      <w:r>
        <w:rPr>
          <w:color w:val="231F20"/>
          <w:w w:val="105"/>
        </w:rPr>
        <w:t>tema</w:t>
      </w:r>
      <w:r>
        <w:rPr>
          <w:color w:val="231F20"/>
          <w:spacing w:val="-18"/>
          <w:w w:val="105"/>
        </w:rPr>
        <w:t> </w:t>
      </w:r>
      <w:r>
        <w:rPr>
          <w:color w:val="231F20"/>
          <w:w w:val="105"/>
        </w:rPr>
        <w:t>y</w:t>
      </w:r>
      <w:r>
        <w:rPr>
          <w:color w:val="231F20"/>
          <w:spacing w:val="-18"/>
          <w:w w:val="105"/>
        </w:rPr>
        <w:t> </w:t>
      </w:r>
      <w:r>
        <w:rPr>
          <w:color w:val="231F20"/>
          <w:spacing w:val="-3"/>
          <w:w w:val="105"/>
        </w:rPr>
        <w:t>promuevan</w:t>
      </w:r>
      <w:r>
        <w:rPr>
          <w:color w:val="231F20"/>
          <w:spacing w:val="-18"/>
          <w:w w:val="105"/>
        </w:rPr>
        <w:t> </w:t>
      </w:r>
      <w:r>
        <w:rPr>
          <w:color w:val="231F20"/>
          <w:w w:val="105"/>
        </w:rPr>
        <w:t>la</w:t>
      </w:r>
      <w:r>
        <w:rPr>
          <w:color w:val="231F20"/>
          <w:spacing w:val="-18"/>
          <w:w w:val="105"/>
        </w:rPr>
        <w:t> </w:t>
      </w:r>
      <w:r>
        <w:rPr>
          <w:color w:val="231F20"/>
          <w:w w:val="105"/>
        </w:rPr>
        <w:t>formulación de</w:t>
      </w:r>
      <w:r>
        <w:rPr>
          <w:color w:val="231F20"/>
          <w:spacing w:val="-22"/>
          <w:w w:val="105"/>
        </w:rPr>
        <w:t> </w:t>
      </w:r>
      <w:r>
        <w:rPr>
          <w:color w:val="231F20"/>
          <w:w w:val="105"/>
        </w:rPr>
        <w:t>políticas</w:t>
      </w:r>
      <w:r>
        <w:rPr>
          <w:color w:val="231F20"/>
          <w:spacing w:val="-22"/>
          <w:w w:val="105"/>
        </w:rPr>
        <w:t> </w:t>
      </w:r>
      <w:r>
        <w:rPr>
          <w:color w:val="231F20"/>
          <w:w w:val="105"/>
        </w:rPr>
        <w:t>públicas</w:t>
      </w:r>
      <w:r>
        <w:rPr>
          <w:color w:val="231F20"/>
          <w:spacing w:val="-22"/>
          <w:w w:val="105"/>
        </w:rPr>
        <w:t> </w:t>
      </w:r>
      <w:r>
        <w:rPr>
          <w:color w:val="231F20"/>
          <w:w w:val="105"/>
        </w:rPr>
        <w:t>encaminadas</w:t>
      </w:r>
      <w:r>
        <w:rPr>
          <w:color w:val="231F20"/>
          <w:spacing w:val="-22"/>
          <w:w w:val="105"/>
        </w:rPr>
        <w:t> </w:t>
      </w:r>
      <w:r>
        <w:rPr>
          <w:color w:val="231F20"/>
          <w:w w:val="105"/>
        </w:rPr>
        <w:t>a</w:t>
      </w:r>
      <w:r>
        <w:rPr>
          <w:color w:val="231F20"/>
          <w:spacing w:val="-22"/>
          <w:w w:val="105"/>
        </w:rPr>
        <w:t> </w:t>
      </w:r>
      <w:r>
        <w:rPr>
          <w:color w:val="231F20"/>
          <w:w w:val="105"/>
        </w:rPr>
        <w:t>mejorar</w:t>
      </w:r>
      <w:r>
        <w:rPr>
          <w:color w:val="231F20"/>
          <w:spacing w:val="-22"/>
          <w:w w:val="105"/>
        </w:rPr>
        <w:t> </w:t>
      </w:r>
      <w:r>
        <w:rPr>
          <w:color w:val="231F20"/>
          <w:w w:val="105"/>
        </w:rPr>
        <w:t>las</w:t>
      </w:r>
      <w:r>
        <w:rPr>
          <w:color w:val="231F20"/>
          <w:spacing w:val="-22"/>
          <w:w w:val="105"/>
        </w:rPr>
        <w:t> </w:t>
      </w:r>
      <w:r>
        <w:rPr>
          <w:color w:val="231F20"/>
          <w:w w:val="105"/>
        </w:rPr>
        <w:t>condiciones</w:t>
      </w:r>
      <w:r>
        <w:rPr>
          <w:color w:val="231F20"/>
          <w:spacing w:val="-22"/>
          <w:w w:val="105"/>
        </w:rPr>
        <w:t> </w:t>
      </w:r>
      <w:r>
        <w:rPr>
          <w:color w:val="231F20"/>
          <w:w w:val="105"/>
        </w:rPr>
        <w:t>de</w:t>
      </w:r>
      <w:r>
        <w:rPr>
          <w:color w:val="231F20"/>
          <w:spacing w:val="-22"/>
          <w:w w:val="105"/>
        </w:rPr>
        <w:t> </w:t>
      </w:r>
      <w:r>
        <w:rPr>
          <w:color w:val="231F20"/>
          <w:w w:val="105"/>
        </w:rPr>
        <w:t>salud</w:t>
      </w:r>
      <w:r>
        <w:rPr>
          <w:color w:val="231F20"/>
          <w:spacing w:val="-22"/>
          <w:w w:val="105"/>
        </w:rPr>
        <w:t> </w:t>
      </w:r>
      <w:r>
        <w:rPr>
          <w:color w:val="231F20"/>
          <w:w w:val="105"/>
        </w:rPr>
        <w:t>de los</w:t>
      </w:r>
      <w:r>
        <w:rPr>
          <w:color w:val="231F20"/>
          <w:spacing w:val="-28"/>
          <w:w w:val="105"/>
        </w:rPr>
        <w:t> </w:t>
      </w:r>
      <w:r>
        <w:rPr>
          <w:color w:val="231F20"/>
          <w:w w:val="105"/>
        </w:rPr>
        <w:t>migrantes,</w:t>
      </w:r>
      <w:r>
        <w:rPr>
          <w:color w:val="231F20"/>
          <w:spacing w:val="-33"/>
          <w:w w:val="105"/>
        </w:rPr>
        <w:t> </w:t>
      </w:r>
      <w:r>
        <w:rPr>
          <w:color w:val="231F20"/>
          <w:w w:val="105"/>
        </w:rPr>
        <w:t>las</w:t>
      </w:r>
      <w:r>
        <w:rPr>
          <w:color w:val="231F20"/>
          <w:spacing w:val="-28"/>
          <w:w w:val="105"/>
        </w:rPr>
        <w:t> </w:t>
      </w:r>
      <w:r>
        <w:rPr>
          <w:color w:val="231F20"/>
          <w:w w:val="105"/>
        </w:rPr>
        <w:t>cuales</w:t>
      </w:r>
      <w:r>
        <w:rPr>
          <w:color w:val="231F20"/>
          <w:spacing w:val="-28"/>
          <w:w w:val="105"/>
        </w:rPr>
        <w:t> </w:t>
      </w:r>
      <w:r>
        <w:rPr>
          <w:color w:val="231F20"/>
          <w:spacing w:val="-3"/>
          <w:w w:val="105"/>
        </w:rPr>
        <w:t>requieren</w:t>
      </w:r>
      <w:r>
        <w:rPr>
          <w:color w:val="231F20"/>
          <w:spacing w:val="-28"/>
          <w:w w:val="105"/>
        </w:rPr>
        <w:t> </w:t>
      </w:r>
      <w:r>
        <w:rPr>
          <w:color w:val="231F20"/>
          <w:w w:val="105"/>
        </w:rPr>
        <w:t>de</w:t>
      </w:r>
      <w:r>
        <w:rPr>
          <w:color w:val="231F20"/>
          <w:spacing w:val="-28"/>
          <w:w w:val="105"/>
        </w:rPr>
        <w:t> </w:t>
      </w:r>
      <w:r>
        <w:rPr>
          <w:color w:val="231F20"/>
          <w:w w:val="105"/>
        </w:rPr>
        <w:t>un</w:t>
      </w:r>
      <w:r>
        <w:rPr>
          <w:color w:val="231F20"/>
          <w:spacing w:val="-28"/>
          <w:w w:val="105"/>
        </w:rPr>
        <w:t> </w:t>
      </w:r>
      <w:r>
        <w:rPr>
          <w:color w:val="231F20"/>
          <w:w w:val="105"/>
        </w:rPr>
        <w:t>enfoque</w:t>
      </w:r>
      <w:r>
        <w:rPr>
          <w:color w:val="231F20"/>
          <w:spacing w:val="-28"/>
          <w:w w:val="105"/>
        </w:rPr>
        <w:t> </w:t>
      </w:r>
      <w:r>
        <w:rPr>
          <w:color w:val="231F20"/>
          <w:w w:val="105"/>
        </w:rPr>
        <w:t>binacional</w:t>
      </w:r>
      <w:r>
        <w:rPr>
          <w:color w:val="231F20"/>
          <w:spacing w:val="-28"/>
          <w:w w:val="105"/>
        </w:rPr>
        <w:t> </w:t>
      </w:r>
      <w:r>
        <w:rPr>
          <w:color w:val="231F20"/>
          <w:spacing w:val="-3"/>
          <w:w w:val="105"/>
        </w:rPr>
        <w:t>entre</w:t>
      </w:r>
      <w:r>
        <w:rPr>
          <w:color w:val="231F20"/>
          <w:spacing w:val="-28"/>
          <w:w w:val="105"/>
        </w:rPr>
        <w:t> </w:t>
      </w:r>
      <w:r>
        <w:rPr>
          <w:color w:val="231F20"/>
          <w:w w:val="105"/>
        </w:rPr>
        <w:t>ambos países</w:t>
      </w:r>
      <w:r>
        <w:rPr>
          <w:color w:val="231F20"/>
          <w:spacing w:val="-28"/>
          <w:w w:val="105"/>
        </w:rPr>
        <w:t> </w:t>
      </w:r>
      <w:r>
        <w:rPr>
          <w:color w:val="231F20"/>
          <w:w w:val="105"/>
        </w:rPr>
        <w:t>con</w:t>
      </w:r>
      <w:r>
        <w:rPr>
          <w:color w:val="231F20"/>
          <w:spacing w:val="-28"/>
          <w:w w:val="105"/>
        </w:rPr>
        <w:t> </w:t>
      </w:r>
      <w:r>
        <w:rPr>
          <w:color w:val="231F20"/>
          <w:w w:val="105"/>
        </w:rPr>
        <w:t>la</w:t>
      </w:r>
      <w:r>
        <w:rPr>
          <w:color w:val="231F20"/>
          <w:spacing w:val="-28"/>
          <w:w w:val="105"/>
        </w:rPr>
        <w:t> </w:t>
      </w:r>
      <w:r>
        <w:rPr>
          <w:color w:val="231F20"/>
          <w:w w:val="105"/>
        </w:rPr>
        <w:t>finalidad</w:t>
      </w:r>
      <w:r>
        <w:rPr>
          <w:color w:val="231F20"/>
          <w:spacing w:val="-28"/>
          <w:w w:val="105"/>
        </w:rPr>
        <w:t> </w:t>
      </w:r>
      <w:r>
        <w:rPr>
          <w:color w:val="231F20"/>
          <w:w w:val="105"/>
        </w:rPr>
        <w:t>de</w:t>
      </w:r>
      <w:r>
        <w:rPr>
          <w:color w:val="231F20"/>
          <w:spacing w:val="-28"/>
          <w:w w:val="105"/>
        </w:rPr>
        <w:t> </w:t>
      </w:r>
      <w:r>
        <w:rPr>
          <w:color w:val="231F20"/>
          <w:w w:val="105"/>
        </w:rPr>
        <w:t>asegurar</w:t>
      </w:r>
      <w:r>
        <w:rPr>
          <w:color w:val="231F20"/>
          <w:spacing w:val="-28"/>
          <w:w w:val="105"/>
        </w:rPr>
        <w:t> </w:t>
      </w:r>
      <w:r>
        <w:rPr>
          <w:color w:val="231F20"/>
          <w:spacing w:val="-3"/>
          <w:w w:val="105"/>
        </w:rPr>
        <w:t>mayores</w:t>
      </w:r>
      <w:r>
        <w:rPr>
          <w:color w:val="231F20"/>
          <w:spacing w:val="-28"/>
          <w:w w:val="105"/>
        </w:rPr>
        <w:t> </w:t>
      </w:r>
      <w:r>
        <w:rPr>
          <w:color w:val="231F20"/>
          <w:w w:val="105"/>
        </w:rPr>
        <w:t>y</w:t>
      </w:r>
      <w:r>
        <w:rPr>
          <w:color w:val="231F20"/>
          <w:spacing w:val="-28"/>
          <w:w w:val="105"/>
        </w:rPr>
        <w:t> </w:t>
      </w:r>
      <w:r>
        <w:rPr>
          <w:color w:val="231F20"/>
          <w:spacing w:val="-3"/>
          <w:w w:val="105"/>
        </w:rPr>
        <w:t>mejores</w:t>
      </w:r>
      <w:r>
        <w:rPr>
          <w:color w:val="231F20"/>
          <w:spacing w:val="-28"/>
          <w:w w:val="105"/>
        </w:rPr>
        <w:t> </w:t>
      </w:r>
      <w:r>
        <w:rPr>
          <w:color w:val="231F20"/>
          <w:w w:val="105"/>
        </w:rPr>
        <w:t>impactos.</w:t>
      </w:r>
    </w:p>
    <w:p>
      <w:pPr>
        <w:pStyle w:val="BodyText"/>
        <w:rPr>
          <w:sz w:val="20"/>
        </w:rPr>
      </w:pPr>
    </w:p>
    <w:p>
      <w:pPr>
        <w:pStyle w:val="BodyText"/>
        <w:spacing w:before="9"/>
        <w:rPr>
          <w:sz w:val="20"/>
        </w:rPr>
      </w:pPr>
    </w:p>
    <w:p>
      <w:pPr>
        <w:pStyle w:val="Heading3"/>
      </w:pPr>
      <w:r>
        <w:rPr>
          <w:color w:val="231F20"/>
        </w:rPr>
        <w:t>Bibliografía</w:t>
      </w:r>
    </w:p>
    <w:p>
      <w:pPr>
        <w:pStyle w:val="BodyText"/>
        <w:rPr>
          <w:rFonts w:ascii="Arial"/>
          <w:b/>
          <w:sz w:val="22"/>
        </w:rPr>
      </w:pPr>
    </w:p>
    <w:p>
      <w:pPr>
        <w:spacing w:line="259" w:lineRule="auto" w:before="163"/>
        <w:ind w:left="2574" w:right="1721" w:hanging="738"/>
        <w:jc w:val="both"/>
        <w:rPr>
          <w:sz w:val="21"/>
        </w:rPr>
      </w:pPr>
      <w:r>
        <w:rPr>
          <w:color w:val="231F20"/>
          <w:sz w:val="21"/>
        </w:rPr>
        <w:t>Álvarez, Gerardo y Reguera, María Elena, (2009), “Pobreza, migración y salud”, </w:t>
      </w:r>
      <w:r>
        <w:rPr>
          <w:rFonts w:ascii="Arial" w:hAnsi="Arial"/>
          <w:i/>
          <w:color w:val="231F20"/>
          <w:sz w:val="21"/>
        </w:rPr>
        <w:t>Revista Universidad de Sonora, </w:t>
      </w:r>
      <w:r>
        <w:rPr>
          <w:color w:val="231F20"/>
          <w:sz w:val="21"/>
        </w:rPr>
        <w:t>núm. 26.</w:t>
      </w:r>
    </w:p>
    <w:p>
      <w:pPr>
        <w:spacing w:line="259" w:lineRule="auto" w:before="3"/>
        <w:ind w:left="1837" w:right="1715" w:firstLine="0"/>
        <w:jc w:val="right"/>
        <w:rPr>
          <w:rFonts w:ascii="Arial" w:hAnsi="Arial"/>
          <w:i/>
          <w:sz w:val="21"/>
        </w:rPr>
      </w:pPr>
      <w:r>
        <w:rPr>
          <w:color w:val="231F20"/>
          <w:spacing w:val="-3"/>
          <w:w w:val="105"/>
          <w:sz w:val="21"/>
        </w:rPr>
        <w:t>Anguiano,</w:t>
      </w:r>
      <w:r>
        <w:rPr>
          <w:color w:val="231F20"/>
          <w:spacing w:val="-14"/>
          <w:w w:val="105"/>
          <w:sz w:val="21"/>
        </w:rPr>
        <w:t> </w:t>
      </w:r>
      <w:r>
        <w:rPr>
          <w:color w:val="231F20"/>
          <w:spacing w:val="-3"/>
          <w:w w:val="105"/>
          <w:sz w:val="21"/>
        </w:rPr>
        <w:t>María</w:t>
      </w:r>
      <w:r>
        <w:rPr>
          <w:color w:val="231F20"/>
          <w:spacing w:val="-10"/>
          <w:w w:val="105"/>
          <w:sz w:val="21"/>
        </w:rPr>
        <w:t> </w:t>
      </w:r>
      <w:r>
        <w:rPr>
          <w:color w:val="231F20"/>
          <w:spacing w:val="-3"/>
          <w:w w:val="105"/>
          <w:sz w:val="21"/>
        </w:rPr>
        <w:t>Eugenia</w:t>
      </w:r>
      <w:r>
        <w:rPr>
          <w:color w:val="231F20"/>
          <w:spacing w:val="-10"/>
          <w:w w:val="105"/>
          <w:sz w:val="21"/>
        </w:rPr>
        <w:t> </w:t>
      </w:r>
      <w:r>
        <w:rPr>
          <w:color w:val="231F20"/>
          <w:w w:val="105"/>
          <w:sz w:val="21"/>
        </w:rPr>
        <w:t>y</w:t>
      </w:r>
      <w:r>
        <w:rPr>
          <w:color w:val="231F20"/>
          <w:spacing w:val="-10"/>
          <w:w w:val="105"/>
          <w:sz w:val="21"/>
        </w:rPr>
        <w:t> </w:t>
      </w:r>
      <w:r>
        <w:rPr>
          <w:color w:val="231F20"/>
          <w:spacing w:val="-4"/>
          <w:w w:val="105"/>
          <w:sz w:val="21"/>
        </w:rPr>
        <w:t>Cardoso,</w:t>
      </w:r>
      <w:r>
        <w:rPr>
          <w:color w:val="231F20"/>
          <w:spacing w:val="-14"/>
          <w:w w:val="105"/>
          <w:sz w:val="21"/>
        </w:rPr>
        <w:t> </w:t>
      </w:r>
      <w:r>
        <w:rPr>
          <w:color w:val="231F20"/>
          <w:spacing w:val="-3"/>
          <w:w w:val="105"/>
          <w:sz w:val="21"/>
        </w:rPr>
        <w:t>Melissa,</w:t>
      </w:r>
      <w:r>
        <w:rPr>
          <w:color w:val="231F20"/>
          <w:spacing w:val="-14"/>
          <w:w w:val="105"/>
          <w:sz w:val="21"/>
        </w:rPr>
        <w:t> </w:t>
      </w:r>
      <w:r>
        <w:rPr>
          <w:color w:val="231F20"/>
          <w:spacing w:val="-3"/>
          <w:w w:val="105"/>
          <w:sz w:val="21"/>
        </w:rPr>
        <w:t>(2012),</w:t>
      </w:r>
      <w:r>
        <w:rPr>
          <w:color w:val="231F20"/>
          <w:spacing w:val="-14"/>
          <w:w w:val="105"/>
          <w:sz w:val="21"/>
        </w:rPr>
        <w:t> </w:t>
      </w:r>
      <w:r>
        <w:rPr>
          <w:color w:val="231F20"/>
          <w:spacing w:val="-3"/>
          <w:w w:val="105"/>
          <w:sz w:val="21"/>
        </w:rPr>
        <w:t>“Redes</w:t>
      </w:r>
      <w:r>
        <w:rPr>
          <w:color w:val="231F20"/>
          <w:spacing w:val="-10"/>
          <w:w w:val="105"/>
          <w:sz w:val="21"/>
        </w:rPr>
        <w:t> </w:t>
      </w:r>
      <w:r>
        <w:rPr>
          <w:color w:val="231F20"/>
          <w:spacing w:val="-3"/>
          <w:w w:val="105"/>
          <w:sz w:val="21"/>
        </w:rPr>
        <w:t>sociales</w:t>
      </w:r>
      <w:r>
        <w:rPr>
          <w:color w:val="231F20"/>
          <w:spacing w:val="-10"/>
          <w:w w:val="105"/>
          <w:sz w:val="21"/>
        </w:rPr>
        <w:t> </w:t>
      </w:r>
      <w:r>
        <w:rPr>
          <w:color w:val="231F20"/>
          <w:spacing w:val="-3"/>
          <w:w w:val="105"/>
          <w:sz w:val="21"/>
        </w:rPr>
        <w:t>en</w:t>
      </w:r>
      <w:r>
        <w:rPr>
          <w:color w:val="231F20"/>
          <w:spacing w:val="-3"/>
          <w:w w:val="103"/>
          <w:sz w:val="21"/>
        </w:rPr>
        <w:t> </w:t>
      </w:r>
      <w:r>
        <w:rPr>
          <w:color w:val="231F20"/>
          <w:w w:val="105"/>
          <w:sz w:val="21"/>
        </w:rPr>
        <w:t>la</w:t>
      </w:r>
      <w:r>
        <w:rPr>
          <w:color w:val="231F20"/>
          <w:spacing w:val="-25"/>
          <w:w w:val="105"/>
          <w:sz w:val="21"/>
        </w:rPr>
        <w:t> </w:t>
      </w:r>
      <w:r>
        <w:rPr>
          <w:color w:val="231F20"/>
          <w:spacing w:val="-3"/>
          <w:w w:val="105"/>
          <w:sz w:val="21"/>
        </w:rPr>
        <w:t>migración</w:t>
      </w:r>
      <w:r>
        <w:rPr>
          <w:color w:val="231F20"/>
          <w:spacing w:val="-25"/>
          <w:w w:val="105"/>
          <w:sz w:val="21"/>
        </w:rPr>
        <w:t> </w:t>
      </w:r>
      <w:r>
        <w:rPr>
          <w:color w:val="231F20"/>
          <w:spacing w:val="-3"/>
          <w:w w:val="105"/>
          <w:sz w:val="21"/>
        </w:rPr>
        <w:t>internacional</w:t>
      </w:r>
      <w:r>
        <w:rPr>
          <w:color w:val="231F20"/>
          <w:spacing w:val="-25"/>
          <w:w w:val="105"/>
          <w:sz w:val="21"/>
        </w:rPr>
        <w:t> </w:t>
      </w:r>
      <w:r>
        <w:rPr>
          <w:color w:val="231F20"/>
          <w:spacing w:val="-5"/>
          <w:w w:val="105"/>
          <w:sz w:val="21"/>
        </w:rPr>
        <w:t>mexiquense”,</w:t>
      </w:r>
      <w:r>
        <w:rPr>
          <w:color w:val="231F20"/>
          <w:spacing w:val="-29"/>
          <w:w w:val="105"/>
          <w:sz w:val="21"/>
        </w:rPr>
        <w:t> </w:t>
      </w:r>
      <w:r>
        <w:rPr>
          <w:color w:val="231F20"/>
          <w:w w:val="105"/>
          <w:sz w:val="21"/>
        </w:rPr>
        <w:t>en</w:t>
      </w:r>
      <w:r>
        <w:rPr>
          <w:color w:val="231F20"/>
          <w:spacing w:val="-27"/>
          <w:w w:val="105"/>
          <w:sz w:val="21"/>
        </w:rPr>
        <w:t> </w:t>
      </w:r>
      <w:r>
        <w:rPr>
          <w:color w:val="231F20"/>
          <w:spacing w:val="-3"/>
          <w:w w:val="105"/>
          <w:sz w:val="21"/>
        </w:rPr>
        <w:t>Juan</w:t>
      </w:r>
      <w:r>
        <w:rPr>
          <w:color w:val="231F20"/>
          <w:spacing w:val="-25"/>
          <w:w w:val="105"/>
          <w:sz w:val="21"/>
        </w:rPr>
        <w:t> </w:t>
      </w:r>
      <w:r>
        <w:rPr>
          <w:color w:val="231F20"/>
          <w:spacing w:val="-3"/>
          <w:w w:val="105"/>
          <w:sz w:val="21"/>
        </w:rPr>
        <w:t>Gabino</w:t>
      </w:r>
      <w:r>
        <w:rPr>
          <w:color w:val="231F20"/>
          <w:spacing w:val="-25"/>
          <w:w w:val="105"/>
          <w:sz w:val="21"/>
        </w:rPr>
        <w:t> </w:t>
      </w:r>
      <w:r>
        <w:rPr>
          <w:color w:val="231F20"/>
          <w:spacing w:val="-3"/>
          <w:w w:val="105"/>
          <w:sz w:val="21"/>
        </w:rPr>
        <w:t>González</w:t>
      </w:r>
      <w:r>
        <w:rPr>
          <w:color w:val="231F20"/>
          <w:spacing w:val="-3"/>
          <w:w w:val="99"/>
          <w:sz w:val="21"/>
        </w:rPr>
        <w:t> </w:t>
      </w:r>
      <w:r>
        <w:rPr>
          <w:color w:val="231F20"/>
          <w:spacing w:val="-3"/>
          <w:w w:val="102"/>
          <w:sz w:val="21"/>
        </w:rPr>
        <w:t> </w:t>
      </w:r>
      <w:r>
        <w:rPr>
          <w:color w:val="231F20"/>
          <w:spacing w:val="-3"/>
          <w:w w:val="105"/>
          <w:sz w:val="21"/>
        </w:rPr>
        <w:t>Becerril</w:t>
      </w:r>
      <w:r>
        <w:rPr>
          <w:color w:val="231F20"/>
          <w:spacing w:val="-9"/>
          <w:w w:val="105"/>
          <w:sz w:val="21"/>
        </w:rPr>
        <w:t> </w:t>
      </w:r>
      <w:r>
        <w:rPr>
          <w:color w:val="231F20"/>
          <w:w w:val="105"/>
          <w:sz w:val="21"/>
        </w:rPr>
        <w:t>y</w:t>
      </w:r>
      <w:r>
        <w:rPr>
          <w:color w:val="231F20"/>
          <w:spacing w:val="-12"/>
          <w:w w:val="105"/>
          <w:sz w:val="21"/>
        </w:rPr>
        <w:t> </w:t>
      </w:r>
      <w:r>
        <w:rPr>
          <w:color w:val="231F20"/>
          <w:spacing w:val="-3"/>
          <w:w w:val="105"/>
          <w:sz w:val="21"/>
        </w:rPr>
        <w:t>Jaciel</w:t>
      </w:r>
      <w:r>
        <w:rPr>
          <w:color w:val="231F20"/>
          <w:spacing w:val="-9"/>
          <w:w w:val="105"/>
          <w:sz w:val="21"/>
        </w:rPr>
        <w:t> </w:t>
      </w:r>
      <w:r>
        <w:rPr>
          <w:color w:val="231F20"/>
          <w:spacing w:val="-3"/>
          <w:w w:val="105"/>
          <w:sz w:val="21"/>
        </w:rPr>
        <w:t>Montoya</w:t>
      </w:r>
      <w:r>
        <w:rPr>
          <w:color w:val="231F20"/>
          <w:spacing w:val="-13"/>
          <w:w w:val="105"/>
          <w:sz w:val="21"/>
        </w:rPr>
        <w:t> </w:t>
      </w:r>
      <w:r>
        <w:rPr>
          <w:color w:val="231F20"/>
          <w:spacing w:val="-3"/>
          <w:w w:val="105"/>
          <w:sz w:val="21"/>
        </w:rPr>
        <w:t>Arce</w:t>
      </w:r>
      <w:r>
        <w:rPr>
          <w:color w:val="231F20"/>
          <w:spacing w:val="-10"/>
          <w:w w:val="105"/>
          <w:sz w:val="21"/>
        </w:rPr>
        <w:t> </w:t>
      </w:r>
      <w:r>
        <w:rPr>
          <w:color w:val="231F20"/>
          <w:spacing w:val="-3"/>
          <w:w w:val="105"/>
          <w:sz w:val="21"/>
        </w:rPr>
        <w:t>(comps.),</w:t>
      </w:r>
      <w:r>
        <w:rPr>
          <w:color w:val="231F20"/>
          <w:spacing w:val="-15"/>
          <w:w w:val="105"/>
          <w:sz w:val="21"/>
        </w:rPr>
        <w:t> </w:t>
      </w:r>
      <w:r>
        <w:rPr>
          <w:rFonts w:ascii="Arial" w:hAnsi="Arial"/>
          <w:i/>
          <w:color w:val="231F20"/>
          <w:spacing w:val="-3"/>
          <w:w w:val="105"/>
          <w:sz w:val="21"/>
        </w:rPr>
        <w:t>Migración</w:t>
      </w:r>
      <w:r>
        <w:rPr>
          <w:rFonts w:ascii="Arial" w:hAnsi="Arial"/>
          <w:i/>
          <w:color w:val="231F20"/>
          <w:spacing w:val="-12"/>
          <w:w w:val="105"/>
          <w:sz w:val="21"/>
        </w:rPr>
        <w:t> </w:t>
      </w:r>
      <w:r>
        <w:rPr>
          <w:rFonts w:ascii="Arial" w:hAnsi="Arial"/>
          <w:i/>
          <w:color w:val="231F20"/>
          <w:spacing w:val="-3"/>
          <w:w w:val="105"/>
          <w:sz w:val="21"/>
        </w:rPr>
        <w:t>mexiquense</w:t>
      </w:r>
      <w:r>
        <w:rPr>
          <w:rFonts w:ascii="Arial" w:hAnsi="Arial"/>
          <w:i/>
          <w:color w:val="231F20"/>
          <w:spacing w:val="-12"/>
          <w:w w:val="105"/>
          <w:sz w:val="21"/>
        </w:rPr>
        <w:t> </w:t>
      </w:r>
      <w:r>
        <w:rPr>
          <w:rFonts w:ascii="Arial" w:hAnsi="Arial"/>
          <w:i/>
          <w:color w:val="231F20"/>
          <w:w w:val="105"/>
          <w:sz w:val="21"/>
        </w:rPr>
        <w:t>a</w:t>
      </w:r>
      <w:r>
        <w:rPr>
          <w:rFonts w:ascii="Arial" w:hAnsi="Arial"/>
          <w:i/>
          <w:color w:val="231F20"/>
          <w:w w:val="96"/>
          <w:sz w:val="21"/>
        </w:rPr>
        <w:t> </w:t>
      </w:r>
      <w:r>
        <w:rPr>
          <w:rFonts w:ascii="Arial" w:hAnsi="Arial"/>
          <w:i/>
          <w:color w:val="231F20"/>
          <w:spacing w:val="-3"/>
          <w:w w:val="97"/>
          <w:sz w:val="21"/>
        </w:rPr>
        <w:t> </w:t>
      </w:r>
      <w:r>
        <w:rPr>
          <w:rFonts w:ascii="Arial" w:hAnsi="Arial"/>
          <w:i/>
          <w:color w:val="231F20"/>
          <w:spacing w:val="-3"/>
          <w:w w:val="105"/>
          <w:sz w:val="21"/>
        </w:rPr>
        <w:t>Estados</w:t>
      </w:r>
      <w:r>
        <w:rPr>
          <w:rFonts w:ascii="Arial" w:hAnsi="Arial"/>
          <w:i/>
          <w:color w:val="231F20"/>
          <w:spacing w:val="-47"/>
          <w:w w:val="105"/>
          <w:sz w:val="21"/>
        </w:rPr>
        <w:t> </w:t>
      </w:r>
      <w:r>
        <w:rPr>
          <w:rFonts w:ascii="Arial" w:hAnsi="Arial"/>
          <w:i/>
          <w:color w:val="231F20"/>
          <w:spacing w:val="-3"/>
          <w:w w:val="105"/>
          <w:sz w:val="21"/>
        </w:rPr>
        <w:t>Unidos:</w:t>
      </w:r>
      <w:r>
        <w:rPr>
          <w:rFonts w:ascii="Arial" w:hAnsi="Arial"/>
          <w:i/>
          <w:color w:val="231F20"/>
          <w:spacing w:val="-47"/>
          <w:w w:val="105"/>
          <w:sz w:val="21"/>
        </w:rPr>
        <w:t> </w:t>
      </w:r>
      <w:r>
        <w:rPr>
          <w:rFonts w:ascii="Arial" w:hAnsi="Arial"/>
          <w:i/>
          <w:color w:val="231F20"/>
          <w:w w:val="105"/>
          <w:sz w:val="21"/>
        </w:rPr>
        <w:t>un</w:t>
      </w:r>
      <w:r>
        <w:rPr>
          <w:rFonts w:ascii="Arial" w:hAnsi="Arial"/>
          <w:i/>
          <w:color w:val="231F20"/>
          <w:spacing w:val="-47"/>
          <w:w w:val="105"/>
          <w:sz w:val="21"/>
        </w:rPr>
        <w:t> </w:t>
      </w:r>
      <w:r>
        <w:rPr>
          <w:rFonts w:ascii="Arial" w:hAnsi="Arial"/>
          <w:i/>
          <w:color w:val="231F20"/>
          <w:spacing w:val="-3"/>
          <w:w w:val="105"/>
          <w:sz w:val="21"/>
        </w:rPr>
        <w:t>análisis</w:t>
      </w:r>
      <w:r>
        <w:rPr>
          <w:rFonts w:ascii="Arial" w:hAnsi="Arial"/>
          <w:i/>
          <w:color w:val="231F20"/>
          <w:spacing w:val="-47"/>
          <w:w w:val="105"/>
          <w:sz w:val="21"/>
        </w:rPr>
        <w:t> </w:t>
      </w:r>
      <w:r>
        <w:rPr>
          <w:rFonts w:ascii="Arial" w:hAnsi="Arial"/>
          <w:i/>
          <w:color w:val="231F20"/>
          <w:spacing w:val="-3"/>
          <w:w w:val="105"/>
          <w:sz w:val="21"/>
        </w:rPr>
        <w:t>interdisciplinario</w:t>
      </w:r>
      <w:r>
        <w:rPr>
          <w:color w:val="231F20"/>
          <w:spacing w:val="-3"/>
          <w:w w:val="105"/>
          <w:sz w:val="21"/>
        </w:rPr>
        <w:t>,</w:t>
      </w:r>
      <w:r>
        <w:rPr>
          <w:color w:val="231F20"/>
          <w:spacing w:val="-48"/>
          <w:w w:val="105"/>
          <w:sz w:val="21"/>
        </w:rPr>
        <w:t> </w:t>
      </w:r>
      <w:r>
        <w:rPr>
          <w:color w:val="231F20"/>
          <w:spacing w:val="-6"/>
          <w:w w:val="105"/>
          <w:sz w:val="21"/>
        </w:rPr>
        <w:t>Toluca,</w:t>
      </w:r>
      <w:r>
        <w:rPr>
          <w:color w:val="231F20"/>
          <w:spacing w:val="-47"/>
          <w:w w:val="105"/>
          <w:sz w:val="21"/>
        </w:rPr>
        <w:t> </w:t>
      </w:r>
      <w:r>
        <w:rPr>
          <w:color w:val="231F20"/>
          <w:spacing w:val="-3"/>
          <w:w w:val="105"/>
          <w:sz w:val="21"/>
        </w:rPr>
        <w:t>México:</w:t>
      </w:r>
      <w:r>
        <w:rPr>
          <w:color w:val="231F20"/>
          <w:spacing w:val="-45"/>
          <w:w w:val="105"/>
          <w:sz w:val="21"/>
        </w:rPr>
        <w:t> </w:t>
      </w:r>
      <w:r>
        <w:rPr>
          <w:color w:val="231F20"/>
          <w:w w:val="105"/>
          <w:sz w:val="17"/>
        </w:rPr>
        <w:t>UAEM</w:t>
      </w:r>
      <w:r>
        <w:rPr>
          <w:color w:val="231F20"/>
          <w:w w:val="105"/>
          <w:sz w:val="21"/>
        </w:rPr>
        <w:t>.</w:t>
      </w:r>
      <w:r>
        <w:rPr>
          <w:color w:val="231F20"/>
          <w:w w:val="93"/>
          <w:sz w:val="21"/>
        </w:rPr>
        <w:t> </w:t>
      </w:r>
      <w:r>
        <w:rPr>
          <w:color w:val="231F20"/>
          <w:w w:val="105"/>
          <w:sz w:val="21"/>
        </w:rPr>
        <w:t>Consejo</w:t>
      </w:r>
      <w:r>
        <w:rPr>
          <w:color w:val="231F20"/>
          <w:spacing w:val="-28"/>
          <w:w w:val="105"/>
          <w:sz w:val="21"/>
        </w:rPr>
        <w:t> </w:t>
      </w:r>
      <w:r>
        <w:rPr>
          <w:color w:val="231F20"/>
          <w:w w:val="105"/>
          <w:sz w:val="21"/>
        </w:rPr>
        <w:t>Nacional</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Población</w:t>
      </w:r>
      <w:r>
        <w:rPr>
          <w:color w:val="231F20"/>
          <w:spacing w:val="-28"/>
          <w:w w:val="105"/>
          <w:sz w:val="21"/>
        </w:rPr>
        <w:t> </w:t>
      </w:r>
      <w:r>
        <w:rPr>
          <w:color w:val="231F20"/>
          <w:w w:val="105"/>
          <w:sz w:val="21"/>
        </w:rPr>
        <w:t>(</w:t>
      </w:r>
      <w:r>
        <w:rPr>
          <w:color w:val="231F20"/>
          <w:w w:val="105"/>
          <w:sz w:val="17"/>
        </w:rPr>
        <w:t>CONAPO</w:t>
      </w:r>
      <w:r>
        <w:rPr>
          <w:color w:val="231F20"/>
          <w:w w:val="105"/>
          <w:sz w:val="21"/>
        </w:rPr>
        <w:t>),</w:t>
      </w:r>
      <w:r>
        <w:rPr>
          <w:color w:val="231F20"/>
          <w:spacing w:val="-33"/>
          <w:w w:val="105"/>
          <w:sz w:val="21"/>
        </w:rPr>
        <w:t> </w:t>
      </w:r>
      <w:r>
        <w:rPr>
          <w:color w:val="231F20"/>
          <w:w w:val="105"/>
          <w:sz w:val="21"/>
        </w:rPr>
        <w:t>(2002),</w:t>
      </w:r>
      <w:r>
        <w:rPr>
          <w:color w:val="231F20"/>
          <w:spacing w:val="-33"/>
          <w:w w:val="105"/>
          <w:sz w:val="21"/>
        </w:rPr>
        <w:t> </w:t>
      </w:r>
      <w:r>
        <w:rPr>
          <w:rFonts w:ascii="Arial" w:hAnsi="Arial"/>
          <w:i/>
          <w:color w:val="231F20"/>
          <w:w w:val="105"/>
          <w:sz w:val="21"/>
        </w:rPr>
        <w:t>“</w:t>
      </w:r>
      <w:r>
        <w:rPr>
          <w:color w:val="231F20"/>
          <w:w w:val="105"/>
          <w:sz w:val="21"/>
        </w:rPr>
        <w:t>Cobertura</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salud</w:t>
      </w:r>
      <w:r>
        <w:rPr>
          <w:color w:val="231F20"/>
          <w:spacing w:val="-28"/>
          <w:w w:val="105"/>
          <w:sz w:val="21"/>
        </w:rPr>
        <w:t> </w:t>
      </w:r>
      <w:r>
        <w:rPr>
          <w:color w:val="231F20"/>
          <w:w w:val="105"/>
          <w:sz w:val="21"/>
        </w:rPr>
        <w:t>de</w:t>
      </w:r>
      <w:r>
        <w:rPr>
          <w:color w:val="231F20"/>
          <w:w w:val="108"/>
          <w:sz w:val="21"/>
        </w:rPr>
        <w:t> </w:t>
      </w:r>
      <w:r>
        <w:rPr>
          <w:color w:val="231F20"/>
          <w:w w:val="105"/>
          <w:sz w:val="21"/>
        </w:rPr>
        <w:t>la</w:t>
      </w:r>
      <w:r>
        <w:rPr>
          <w:color w:val="231F20"/>
          <w:spacing w:val="-8"/>
          <w:w w:val="105"/>
          <w:sz w:val="21"/>
        </w:rPr>
        <w:t> </w:t>
      </w:r>
      <w:r>
        <w:rPr>
          <w:color w:val="231F20"/>
          <w:w w:val="105"/>
          <w:sz w:val="21"/>
        </w:rPr>
        <w:t>población</w:t>
      </w:r>
      <w:r>
        <w:rPr>
          <w:color w:val="231F20"/>
          <w:spacing w:val="-8"/>
          <w:w w:val="105"/>
          <w:sz w:val="21"/>
        </w:rPr>
        <w:t> </w:t>
      </w:r>
      <w:r>
        <w:rPr>
          <w:color w:val="231F20"/>
          <w:w w:val="105"/>
          <w:sz w:val="21"/>
        </w:rPr>
        <w:t>de</w:t>
      </w:r>
      <w:r>
        <w:rPr>
          <w:color w:val="231F20"/>
          <w:spacing w:val="-8"/>
          <w:w w:val="105"/>
          <w:sz w:val="21"/>
        </w:rPr>
        <w:t> </w:t>
      </w:r>
      <w:r>
        <w:rPr>
          <w:color w:val="231F20"/>
          <w:w w:val="105"/>
          <w:sz w:val="21"/>
        </w:rPr>
        <w:t>origen</w:t>
      </w:r>
      <w:r>
        <w:rPr>
          <w:color w:val="231F20"/>
          <w:spacing w:val="-8"/>
          <w:w w:val="105"/>
          <w:sz w:val="21"/>
        </w:rPr>
        <w:t> </w:t>
      </w:r>
      <w:r>
        <w:rPr>
          <w:color w:val="231F20"/>
          <w:w w:val="105"/>
          <w:sz w:val="21"/>
        </w:rPr>
        <w:t>mexicano</w:t>
      </w:r>
      <w:r>
        <w:rPr>
          <w:color w:val="231F20"/>
          <w:spacing w:val="-8"/>
          <w:w w:val="105"/>
          <w:sz w:val="21"/>
        </w:rPr>
        <w:t> </w:t>
      </w:r>
      <w:r>
        <w:rPr>
          <w:color w:val="231F20"/>
          <w:w w:val="105"/>
          <w:sz w:val="21"/>
        </w:rPr>
        <w:t>en</w:t>
      </w:r>
      <w:r>
        <w:rPr>
          <w:color w:val="231F20"/>
          <w:spacing w:val="-8"/>
          <w:w w:val="105"/>
          <w:sz w:val="21"/>
        </w:rPr>
        <w:t> </w:t>
      </w:r>
      <w:r>
        <w:rPr>
          <w:color w:val="231F20"/>
          <w:w w:val="105"/>
          <w:sz w:val="21"/>
        </w:rPr>
        <w:t>Estados</w:t>
      </w:r>
      <w:r>
        <w:rPr>
          <w:color w:val="231F20"/>
          <w:spacing w:val="-8"/>
          <w:w w:val="105"/>
          <w:sz w:val="21"/>
        </w:rPr>
        <w:t> </w:t>
      </w:r>
      <w:r>
        <w:rPr>
          <w:color w:val="231F20"/>
          <w:w w:val="105"/>
          <w:sz w:val="21"/>
        </w:rPr>
        <w:t>Unidos”</w:t>
      </w:r>
      <w:r>
        <w:rPr>
          <w:rFonts w:ascii="Arial" w:hAnsi="Arial"/>
          <w:i/>
          <w:color w:val="231F20"/>
          <w:w w:val="105"/>
          <w:sz w:val="21"/>
        </w:rPr>
        <w:t>,</w:t>
      </w:r>
      <w:r>
        <w:rPr>
          <w:rFonts w:ascii="Arial" w:hAnsi="Arial"/>
          <w:i/>
          <w:color w:val="231F20"/>
          <w:spacing w:val="-11"/>
          <w:w w:val="105"/>
          <w:sz w:val="21"/>
        </w:rPr>
        <w:t> </w:t>
      </w:r>
      <w:r>
        <w:rPr>
          <w:rFonts w:ascii="Arial" w:hAnsi="Arial"/>
          <w:i/>
          <w:color w:val="231F20"/>
          <w:w w:val="105"/>
          <w:sz w:val="21"/>
        </w:rPr>
        <w:t>Boletín</w:t>
      </w:r>
      <w:r>
        <w:rPr>
          <w:rFonts w:ascii="Arial" w:hAnsi="Arial"/>
          <w:i/>
          <w:color w:val="231F20"/>
          <w:spacing w:val="-11"/>
          <w:w w:val="105"/>
          <w:sz w:val="21"/>
        </w:rPr>
        <w:t> </w:t>
      </w:r>
      <w:r>
        <w:rPr>
          <w:rFonts w:ascii="Arial" w:hAnsi="Arial"/>
          <w:i/>
          <w:color w:val="231F20"/>
          <w:w w:val="105"/>
          <w:sz w:val="21"/>
        </w:rPr>
        <w:t>de</w:t>
      </w:r>
    </w:p>
    <w:p>
      <w:pPr>
        <w:spacing w:line="241" w:lineRule="exact" w:before="0"/>
        <w:ind w:left="2574" w:right="0" w:firstLine="0"/>
        <w:jc w:val="left"/>
        <w:rPr>
          <w:sz w:val="21"/>
        </w:rPr>
      </w:pPr>
      <w:r>
        <w:rPr>
          <w:rFonts w:ascii="Arial" w:hAnsi="Arial"/>
          <w:i/>
          <w:color w:val="231F20"/>
          <w:w w:val="105"/>
          <w:sz w:val="21"/>
        </w:rPr>
        <w:t>Migración Internacional</w:t>
      </w:r>
      <w:r>
        <w:rPr>
          <w:color w:val="231F20"/>
          <w:w w:val="105"/>
          <w:sz w:val="21"/>
        </w:rPr>
        <w:t>, núm. 17.</w:t>
      </w:r>
    </w:p>
    <w:p>
      <w:pPr>
        <w:tabs>
          <w:tab w:pos="2677" w:val="left" w:leader="none"/>
        </w:tabs>
        <w:spacing w:line="261" w:lineRule="auto" w:before="18"/>
        <w:ind w:left="2574" w:right="1720" w:hanging="738"/>
        <w:jc w:val="both"/>
        <w:rPr>
          <w:sz w:val="21"/>
        </w:rPr>
      </w:pPr>
      <w:r>
        <w:rPr>
          <w:color w:val="19171C"/>
          <w:w w:val="94"/>
          <w:sz w:val="21"/>
          <w:u w:val="single" w:color="18161B"/>
        </w:rPr>
        <w:t> </w:t>
      </w:r>
      <w:r>
        <w:rPr>
          <w:color w:val="19171C"/>
          <w:sz w:val="21"/>
          <w:u w:val="single" w:color="18161B"/>
        </w:rPr>
        <w:tab/>
        <w:tab/>
      </w:r>
      <w:r>
        <w:rPr>
          <w:color w:val="19171C"/>
          <w:sz w:val="21"/>
        </w:rPr>
        <w:t> </w:t>
      </w:r>
      <w:r>
        <w:rPr>
          <w:color w:val="19171C"/>
          <w:spacing w:val="16"/>
          <w:sz w:val="21"/>
        </w:rPr>
        <w:t> </w:t>
      </w:r>
      <w:r>
        <w:rPr>
          <w:color w:val="19171C"/>
          <w:w w:val="105"/>
          <w:sz w:val="21"/>
        </w:rPr>
        <w:t>(2015),  </w:t>
      </w:r>
      <w:r>
        <w:rPr>
          <w:rFonts w:ascii="Arial" w:hAnsi="Arial"/>
          <w:i/>
          <w:color w:val="19171C"/>
          <w:w w:val="105"/>
          <w:sz w:val="21"/>
        </w:rPr>
        <w:t>Encuesta  sobre  migración  de  la  frontera</w:t>
      </w:r>
      <w:r>
        <w:rPr>
          <w:rFonts w:ascii="Arial" w:hAnsi="Arial"/>
          <w:i/>
          <w:color w:val="19171C"/>
          <w:spacing w:val="-12"/>
          <w:w w:val="105"/>
          <w:sz w:val="21"/>
        </w:rPr>
        <w:t> </w:t>
      </w:r>
      <w:r>
        <w:rPr>
          <w:rFonts w:ascii="Arial" w:hAnsi="Arial"/>
          <w:i/>
          <w:color w:val="19171C"/>
          <w:w w:val="105"/>
          <w:sz w:val="21"/>
        </w:rPr>
        <w:t>norte</w:t>
      </w:r>
      <w:r>
        <w:rPr>
          <w:rFonts w:ascii="Arial" w:hAnsi="Arial"/>
          <w:i/>
          <w:color w:val="19171C"/>
          <w:spacing w:val="50"/>
          <w:w w:val="105"/>
          <w:sz w:val="21"/>
        </w:rPr>
        <w:t> </w:t>
      </w:r>
      <w:r>
        <w:rPr>
          <w:rFonts w:ascii="Arial" w:hAnsi="Arial"/>
          <w:i/>
          <w:color w:val="19171C"/>
          <w:w w:val="105"/>
          <w:sz w:val="21"/>
        </w:rPr>
        <w:t>de</w:t>
      </w:r>
      <w:r>
        <w:rPr>
          <w:rFonts w:ascii="Arial" w:hAnsi="Arial"/>
          <w:i/>
          <w:color w:val="19171C"/>
          <w:w w:val="106"/>
          <w:sz w:val="21"/>
        </w:rPr>
        <w:t> </w:t>
      </w:r>
      <w:r>
        <w:rPr>
          <w:rFonts w:ascii="Arial" w:hAnsi="Arial"/>
          <w:i/>
          <w:color w:val="19171C"/>
          <w:w w:val="105"/>
          <w:sz w:val="21"/>
        </w:rPr>
        <w:t>México </w:t>
      </w:r>
      <w:r>
        <w:rPr>
          <w:color w:val="19171C"/>
          <w:w w:val="105"/>
          <w:sz w:val="21"/>
        </w:rPr>
        <w:t>(</w:t>
      </w:r>
      <w:r>
        <w:rPr>
          <w:color w:val="19171C"/>
          <w:w w:val="105"/>
          <w:sz w:val="17"/>
        </w:rPr>
        <w:t>EMIF</w:t>
      </w:r>
      <w:r>
        <w:rPr>
          <w:color w:val="19171C"/>
          <w:w w:val="105"/>
          <w:sz w:val="21"/>
        </w:rPr>
        <w:t>-Norte), </w:t>
      </w:r>
      <w:r>
        <w:rPr>
          <w:color w:val="231F20"/>
          <w:w w:val="105"/>
          <w:sz w:val="17"/>
        </w:rPr>
        <w:t>CONAPO</w:t>
      </w:r>
      <w:r>
        <w:rPr>
          <w:color w:val="19171C"/>
          <w:w w:val="105"/>
          <w:sz w:val="21"/>
        </w:rPr>
        <w:t>/</w:t>
      </w:r>
      <w:r>
        <w:rPr>
          <w:color w:val="19171C"/>
          <w:w w:val="105"/>
          <w:sz w:val="17"/>
        </w:rPr>
        <w:t>COLEF</w:t>
      </w:r>
      <w:r>
        <w:rPr>
          <w:color w:val="19171C"/>
          <w:w w:val="105"/>
          <w:sz w:val="21"/>
        </w:rPr>
        <w:t>/</w:t>
      </w:r>
      <w:r>
        <w:rPr>
          <w:color w:val="19171C"/>
          <w:w w:val="105"/>
          <w:sz w:val="17"/>
        </w:rPr>
        <w:t>SRE</w:t>
      </w:r>
      <w:r>
        <w:rPr>
          <w:color w:val="19171C"/>
          <w:w w:val="105"/>
          <w:sz w:val="21"/>
        </w:rPr>
        <w:t>/</w:t>
      </w:r>
      <w:r>
        <w:rPr>
          <w:color w:val="19171C"/>
          <w:w w:val="105"/>
          <w:sz w:val="17"/>
        </w:rPr>
        <w:t>SEGOB</w:t>
      </w:r>
      <w:r>
        <w:rPr>
          <w:color w:val="19171C"/>
          <w:w w:val="105"/>
          <w:sz w:val="21"/>
        </w:rPr>
        <w:t>, recuperado de </w:t>
      </w:r>
      <w:hyperlink r:id="rId288">
        <w:r>
          <w:rPr>
            <w:color w:val="231F20"/>
            <w:spacing w:val="8"/>
            <w:w w:val="105"/>
            <w:sz w:val="21"/>
          </w:rPr>
          <w:t>http://www.portal.conapo.gob.mx/index.php?option=com_</w:t>
        </w:r>
      </w:hyperlink>
      <w:r>
        <w:rPr>
          <w:color w:val="231F20"/>
          <w:spacing w:val="8"/>
          <w:w w:val="105"/>
          <w:sz w:val="21"/>
        </w:rPr>
        <w:t> </w:t>
      </w:r>
      <w:r>
        <w:rPr>
          <w:color w:val="231F20"/>
          <w:w w:val="105"/>
          <w:sz w:val="21"/>
        </w:rPr>
        <w:t>content&amp;view=article&amp;id=94&amp;Itemid=252</w:t>
      </w:r>
    </w:p>
    <w:p>
      <w:pPr>
        <w:pStyle w:val="BodyText"/>
        <w:spacing w:line="261" w:lineRule="auto" w:before="1"/>
        <w:ind w:left="2574" w:right="1715" w:hanging="738"/>
        <w:jc w:val="both"/>
      </w:pPr>
      <w:r>
        <w:rPr>
          <w:color w:val="231F20"/>
        </w:rPr>
        <w:t>Escobar, Agustín, Martin, Susan, Lowell, Lindsay y Fernández de Castro, Rafael, (2013), “Estudio binacional sobre migrantes mexicanos en Estados Unidos y en México”, </w:t>
      </w:r>
      <w:r>
        <w:rPr>
          <w:rFonts w:ascii="Arial" w:hAnsi="Arial"/>
          <w:i/>
          <w:color w:val="231F20"/>
        </w:rPr>
        <w:t>Foreign Affairs Latinoamérica</w:t>
      </w:r>
      <w:r>
        <w:rPr>
          <w:color w:val="231F20"/>
        </w:rPr>
        <w:t>, vol. 13, núm. 3.</w:t>
      </w:r>
    </w:p>
    <w:p>
      <w:pPr>
        <w:spacing w:line="259" w:lineRule="auto" w:before="0"/>
        <w:ind w:left="2574" w:right="1721" w:hanging="738"/>
        <w:jc w:val="both"/>
        <w:rPr>
          <w:sz w:val="21"/>
        </w:rPr>
      </w:pPr>
      <w:r>
        <w:rPr/>
        <w:pict>
          <v:line style="position:absolute;mso-position-horizontal-relative:page;mso-position-vertical-relative:paragraph;z-index:-465040" from="15pt,163.458084pt" to="0pt,163.458084pt" stroked="true" strokeweight=".25pt" strokecolor="#000000">
            <w10:wrap type="none"/>
          </v:line>
        </w:pict>
      </w:r>
      <w:r>
        <w:rPr/>
        <w:pict>
          <v:line style="position:absolute;mso-position-horizontal-relative:page;mso-position-vertical-relative:paragraph;z-index:25168" from="508.890015pt,163.458084pt" to="523.890015pt,163.458084pt" stroked="true" strokeweight=".25pt" strokecolor="#000000">
            <w10:wrap type="none"/>
          </v:line>
        </w:pict>
      </w:r>
      <w:r>
        <w:rPr>
          <w:color w:val="231F20"/>
          <w:spacing w:val="-3"/>
          <w:w w:val="105"/>
          <w:sz w:val="21"/>
        </w:rPr>
        <w:t>Fromow</w:t>
      </w:r>
      <w:r>
        <w:rPr>
          <w:color w:val="231F20"/>
          <w:spacing w:val="-10"/>
          <w:w w:val="105"/>
          <w:sz w:val="21"/>
        </w:rPr>
        <w:t> </w:t>
      </w:r>
      <w:r>
        <w:rPr>
          <w:color w:val="231F20"/>
          <w:w w:val="105"/>
          <w:sz w:val="21"/>
        </w:rPr>
        <w:t>Rangel,</w:t>
      </w:r>
      <w:r>
        <w:rPr>
          <w:color w:val="231F20"/>
          <w:spacing w:val="-14"/>
          <w:w w:val="105"/>
          <w:sz w:val="21"/>
        </w:rPr>
        <w:t> </w:t>
      </w:r>
      <w:r>
        <w:rPr>
          <w:color w:val="231F20"/>
          <w:w w:val="105"/>
          <w:sz w:val="21"/>
        </w:rPr>
        <w:t>María</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los</w:t>
      </w:r>
      <w:r>
        <w:rPr>
          <w:color w:val="231F20"/>
          <w:spacing w:val="-12"/>
          <w:w w:val="105"/>
          <w:sz w:val="21"/>
        </w:rPr>
        <w:t> </w:t>
      </w:r>
      <w:r>
        <w:rPr>
          <w:color w:val="231F20"/>
          <w:w w:val="105"/>
          <w:sz w:val="21"/>
        </w:rPr>
        <w:t>Ángeles,</w:t>
      </w:r>
      <w:r>
        <w:rPr>
          <w:color w:val="231F20"/>
          <w:spacing w:val="-14"/>
          <w:w w:val="105"/>
          <w:sz w:val="21"/>
        </w:rPr>
        <w:t> </w:t>
      </w:r>
      <w:r>
        <w:rPr>
          <w:color w:val="231F20"/>
          <w:w w:val="105"/>
          <w:sz w:val="21"/>
        </w:rPr>
        <w:t>(2010),</w:t>
      </w:r>
      <w:r>
        <w:rPr>
          <w:color w:val="231F20"/>
          <w:spacing w:val="-14"/>
          <w:w w:val="105"/>
          <w:sz w:val="21"/>
        </w:rPr>
        <w:t> </w:t>
      </w:r>
      <w:r>
        <w:rPr>
          <w:rFonts w:ascii="Arial" w:hAnsi="Arial"/>
          <w:i/>
          <w:color w:val="231F20"/>
          <w:w w:val="105"/>
          <w:sz w:val="21"/>
        </w:rPr>
        <w:t>Proyecto</w:t>
      </w:r>
      <w:r>
        <w:rPr>
          <w:rFonts w:ascii="Arial" w:hAnsi="Arial"/>
          <w:i/>
          <w:color w:val="231F20"/>
          <w:spacing w:val="-12"/>
          <w:w w:val="105"/>
          <w:sz w:val="21"/>
        </w:rPr>
        <w:t> </w:t>
      </w:r>
      <w:r>
        <w:rPr>
          <w:rFonts w:ascii="Arial" w:hAnsi="Arial"/>
          <w:i/>
          <w:color w:val="231F20"/>
          <w:w w:val="105"/>
          <w:sz w:val="21"/>
        </w:rPr>
        <w:t>de</w:t>
      </w:r>
      <w:r>
        <w:rPr>
          <w:rFonts w:ascii="Arial" w:hAnsi="Arial"/>
          <w:i/>
          <w:color w:val="231F20"/>
          <w:spacing w:val="-12"/>
          <w:w w:val="105"/>
          <w:sz w:val="21"/>
        </w:rPr>
        <w:t> </w:t>
      </w:r>
      <w:r>
        <w:rPr>
          <w:rFonts w:ascii="Arial" w:hAnsi="Arial"/>
          <w:i/>
          <w:color w:val="231F20"/>
          <w:w w:val="105"/>
          <w:sz w:val="21"/>
        </w:rPr>
        <w:t>intervención </w:t>
      </w:r>
      <w:r>
        <w:rPr>
          <w:rFonts w:ascii="Arial" w:hAnsi="Arial"/>
          <w:i/>
          <w:color w:val="231F20"/>
          <w:w w:val="105"/>
          <w:sz w:val="21"/>
        </w:rPr>
        <w:t>para</w:t>
      </w:r>
      <w:r>
        <w:rPr>
          <w:rFonts w:ascii="Arial" w:hAnsi="Arial"/>
          <w:i/>
          <w:color w:val="231F20"/>
          <w:spacing w:val="-17"/>
          <w:w w:val="105"/>
          <w:sz w:val="21"/>
        </w:rPr>
        <w:t> </w:t>
      </w:r>
      <w:r>
        <w:rPr>
          <w:rFonts w:ascii="Arial" w:hAnsi="Arial"/>
          <w:i/>
          <w:color w:val="231F20"/>
          <w:w w:val="105"/>
          <w:sz w:val="21"/>
        </w:rPr>
        <w:t>la</w:t>
      </w:r>
      <w:r>
        <w:rPr>
          <w:rFonts w:ascii="Arial" w:hAnsi="Arial"/>
          <w:i/>
          <w:color w:val="231F20"/>
          <w:spacing w:val="-17"/>
          <w:w w:val="105"/>
          <w:sz w:val="21"/>
        </w:rPr>
        <w:t> </w:t>
      </w:r>
      <w:r>
        <w:rPr>
          <w:rFonts w:ascii="Arial" w:hAnsi="Arial"/>
          <w:i/>
          <w:color w:val="231F20"/>
          <w:w w:val="105"/>
          <w:sz w:val="21"/>
        </w:rPr>
        <w:t>difusión</w:t>
      </w:r>
      <w:r>
        <w:rPr>
          <w:rFonts w:ascii="Arial" w:hAnsi="Arial"/>
          <w:i/>
          <w:color w:val="231F20"/>
          <w:spacing w:val="-17"/>
          <w:w w:val="105"/>
          <w:sz w:val="21"/>
        </w:rPr>
        <w:t> </w:t>
      </w:r>
      <w:r>
        <w:rPr>
          <w:rFonts w:ascii="Arial" w:hAnsi="Arial"/>
          <w:i/>
          <w:color w:val="231F20"/>
          <w:w w:val="105"/>
          <w:sz w:val="21"/>
        </w:rPr>
        <w:t>de</w:t>
      </w:r>
      <w:r>
        <w:rPr>
          <w:rFonts w:ascii="Arial" w:hAnsi="Arial"/>
          <w:i/>
          <w:color w:val="231F20"/>
          <w:spacing w:val="-17"/>
          <w:w w:val="105"/>
          <w:sz w:val="21"/>
        </w:rPr>
        <w:t> </w:t>
      </w:r>
      <w:r>
        <w:rPr>
          <w:rFonts w:ascii="Arial" w:hAnsi="Arial"/>
          <w:i/>
          <w:color w:val="231F20"/>
          <w:w w:val="105"/>
          <w:sz w:val="21"/>
        </w:rPr>
        <w:t>la</w:t>
      </w:r>
      <w:r>
        <w:rPr>
          <w:rFonts w:ascii="Arial" w:hAnsi="Arial"/>
          <w:i/>
          <w:color w:val="231F20"/>
          <w:spacing w:val="-21"/>
          <w:w w:val="105"/>
          <w:sz w:val="21"/>
        </w:rPr>
        <w:t> </w:t>
      </w:r>
      <w:r>
        <w:rPr>
          <w:rFonts w:ascii="Arial" w:hAnsi="Arial"/>
          <w:i/>
          <w:color w:val="231F20"/>
          <w:w w:val="105"/>
          <w:sz w:val="21"/>
        </w:rPr>
        <w:t>Ventanilla</w:t>
      </w:r>
      <w:r>
        <w:rPr>
          <w:rFonts w:ascii="Arial" w:hAnsi="Arial"/>
          <w:i/>
          <w:color w:val="231F20"/>
          <w:spacing w:val="-17"/>
          <w:w w:val="105"/>
          <w:sz w:val="21"/>
        </w:rPr>
        <w:t> </w:t>
      </w:r>
      <w:r>
        <w:rPr>
          <w:rFonts w:ascii="Arial" w:hAnsi="Arial"/>
          <w:i/>
          <w:color w:val="231F20"/>
          <w:w w:val="105"/>
          <w:sz w:val="21"/>
        </w:rPr>
        <w:t>de</w:t>
      </w:r>
      <w:r>
        <w:rPr>
          <w:rFonts w:ascii="Arial" w:hAnsi="Arial"/>
          <w:i/>
          <w:color w:val="231F20"/>
          <w:spacing w:val="-17"/>
          <w:w w:val="105"/>
          <w:sz w:val="21"/>
        </w:rPr>
        <w:t> </w:t>
      </w:r>
      <w:r>
        <w:rPr>
          <w:rFonts w:ascii="Arial" w:hAnsi="Arial"/>
          <w:i/>
          <w:color w:val="231F20"/>
          <w:w w:val="105"/>
          <w:sz w:val="21"/>
        </w:rPr>
        <w:t>Salud</w:t>
      </w:r>
      <w:r>
        <w:rPr>
          <w:rFonts w:ascii="Arial" w:hAnsi="Arial"/>
          <w:i/>
          <w:color w:val="231F20"/>
          <w:spacing w:val="-17"/>
          <w:w w:val="105"/>
          <w:sz w:val="21"/>
        </w:rPr>
        <w:t> </w:t>
      </w:r>
      <w:r>
        <w:rPr>
          <w:rFonts w:ascii="Arial" w:hAnsi="Arial"/>
          <w:i/>
          <w:color w:val="231F20"/>
          <w:w w:val="105"/>
          <w:sz w:val="21"/>
        </w:rPr>
        <w:t>como</w:t>
      </w:r>
      <w:r>
        <w:rPr>
          <w:rFonts w:ascii="Arial" w:hAnsi="Arial"/>
          <w:i/>
          <w:color w:val="231F20"/>
          <w:spacing w:val="-17"/>
          <w:w w:val="105"/>
          <w:sz w:val="21"/>
        </w:rPr>
        <w:t> </w:t>
      </w:r>
      <w:r>
        <w:rPr>
          <w:rFonts w:ascii="Arial" w:hAnsi="Arial"/>
          <w:i/>
          <w:color w:val="231F20"/>
          <w:w w:val="105"/>
          <w:sz w:val="21"/>
        </w:rPr>
        <w:t>estrategia</w:t>
      </w:r>
      <w:r>
        <w:rPr>
          <w:rFonts w:ascii="Arial" w:hAnsi="Arial"/>
          <w:i/>
          <w:color w:val="231F20"/>
          <w:spacing w:val="-17"/>
          <w:w w:val="105"/>
          <w:sz w:val="21"/>
        </w:rPr>
        <w:t> </w:t>
      </w:r>
      <w:r>
        <w:rPr>
          <w:rFonts w:ascii="Arial" w:hAnsi="Arial"/>
          <w:i/>
          <w:color w:val="231F20"/>
          <w:w w:val="105"/>
          <w:sz w:val="21"/>
        </w:rPr>
        <w:t>para</w:t>
      </w:r>
      <w:r>
        <w:rPr>
          <w:rFonts w:ascii="Arial" w:hAnsi="Arial"/>
          <w:i/>
          <w:color w:val="231F20"/>
          <w:spacing w:val="-17"/>
          <w:w w:val="105"/>
          <w:sz w:val="21"/>
        </w:rPr>
        <w:t> </w:t>
      </w:r>
      <w:r>
        <w:rPr>
          <w:rFonts w:ascii="Arial" w:hAnsi="Arial"/>
          <w:i/>
          <w:color w:val="231F20"/>
          <w:w w:val="105"/>
          <w:sz w:val="21"/>
        </w:rPr>
        <w:t>la promoción de hábitos saludables y prevención para la salud en población</w:t>
      </w:r>
      <w:r>
        <w:rPr>
          <w:rFonts w:ascii="Arial" w:hAnsi="Arial"/>
          <w:i/>
          <w:color w:val="231F20"/>
          <w:spacing w:val="-17"/>
          <w:w w:val="105"/>
          <w:sz w:val="21"/>
        </w:rPr>
        <w:t> </w:t>
      </w:r>
      <w:r>
        <w:rPr>
          <w:rFonts w:ascii="Arial" w:hAnsi="Arial"/>
          <w:i/>
          <w:color w:val="231F20"/>
          <w:w w:val="105"/>
          <w:sz w:val="21"/>
        </w:rPr>
        <w:t>migrante</w:t>
      </w:r>
      <w:r>
        <w:rPr>
          <w:rFonts w:ascii="Arial" w:hAnsi="Arial"/>
          <w:i/>
          <w:color w:val="231F20"/>
          <w:spacing w:val="-17"/>
          <w:w w:val="105"/>
          <w:sz w:val="21"/>
        </w:rPr>
        <w:t> </w:t>
      </w:r>
      <w:r>
        <w:rPr>
          <w:rFonts w:ascii="Arial" w:hAnsi="Arial"/>
          <w:i/>
          <w:color w:val="231F20"/>
          <w:w w:val="105"/>
          <w:sz w:val="21"/>
        </w:rPr>
        <w:t>que</w:t>
      </w:r>
      <w:r>
        <w:rPr>
          <w:rFonts w:ascii="Arial" w:hAnsi="Arial"/>
          <w:i/>
          <w:color w:val="231F20"/>
          <w:spacing w:val="-17"/>
          <w:w w:val="105"/>
          <w:sz w:val="21"/>
        </w:rPr>
        <w:t> </w:t>
      </w:r>
      <w:r>
        <w:rPr>
          <w:rFonts w:ascii="Arial" w:hAnsi="Arial"/>
          <w:i/>
          <w:color w:val="231F20"/>
          <w:w w:val="105"/>
          <w:sz w:val="21"/>
        </w:rPr>
        <w:t>acude</w:t>
      </w:r>
      <w:r>
        <w:rPr>
          <w:rFonts w:ascii="Arial" w:hAnsi="Arial"/>
          <w:i/>
          <w:color w:val="231F20"/>
          <w:spacing w:val="-17"/>
          <w:w w:val="105"/>
          <w:sz w:val="21"/>
        </w:rPr>
        <w:t> </w:t>
      </w:r>
      <w:r>
        <w:rPr>
          <w:rFonts w:ascii="Arial" w:hAnsi="Arial"/>
          <w:i/>
          <w:color w:val="231F20"/>
          <w:w w:val="105"/>
          <w:sz w:val="21"/>
        </w:rPr>
        <w:t>al</w:t>
      </w:r>
      <w:r>
        <w:rPr>
          <w:rFonts w:ascii="Arial" w:hAnsi="Arial"/>
          <w:i/>
          <w:color w:val="231F20"/>
          <w:spacing w:val="-17"/>
          <w:w w:val="105"/>
          <w:sz w:val="21"/>
        </w:rPr>
        <w:t> </w:t>
      </w:r>
      <w:r>
        <w:rPr>
          <w:rFonts w:ascii="Arial" w:hAnsi="Arial"/>
          <w:i/>
          <w:color w:val="231F20"/>
          <w:w w:val="105"/>
          <w:sz w:val="21"/>
        </w:rPr>
        <w:t>Consulado</w:t>
      </w:r>
      <w:r>
        <w:rPr>
          <w:rFonts w:ascii="Arial" w:hAnsi="Arial"/>
          <w:i/>
          <w:color w:val="231F20"/>
          <w:spacing w:val="-17"/>
          <w:w w:val="105"/>
          <w:sz w:val="21"/>
        </w:rPr>
        <w:t> </w:t>
      </w:r>
      <w:r>
        <w:rPr>
          <w:rFonts w:ascii="Arial" w:hAnsi="Arial"/>
          <w:i/>
          <w:color w:val="231F20"/>
          <w:w w:val="105"/>
          <w:sz w:val="21"/>
        </w:rPr>
        <w:t>Mexicano</w:t>
      </w:r>
      <w:r>
        <w:rPr>
          <w:rFonts w:ascii="Arial" w:hAnsi="Arial"/>
          <w:i/>
          <w:color w:val="231F20"/>
          <w:spacing w:val="-17"/>
          <w:w w:val="105"/>
          <w:sz w:val="21"/>
        </w:rPr>
        <w:t> </w:t>
      </w:r>
      <w:r>
        <w:rPr>
          <w:rFonts w:ascii="Arial" w:hAnsi="Arial"/>
          <w:i/>
          <w:color w:val="231F20"/>
          <w:w w:val="105"/>
          <w:sz w:val="21"/>
        </w:rPr>
        <w:t>de</w:t>
      </w:r>
      <w:r>
        <w:rPr>
          <w:rFonts w:ascii="Arial" w:hAnsi="Arial"/>
          <w:i/>
          <w:color w:val="231F20"/>
          <w:spacing w:val="-17"/>
          <w:w w:val="105"/>
          <w:sz w:val="21"/>
        </w:rPr>
        <w:t> </w:t>
      </w:r>
      <w:r>
        <w:rPr>
          <w:rFonts w:ascii="Arial" w:hAnsi="Arial"/>
          <w:i/>
          <w:color w:val="231F20"/>
          <w:w w:val="105"/>
          <w:sz w:val="21"/>
        </w:rPr>
        <w:t>Nueva </w:t>
      </w:r>
      <w:r>
        <w:rPr>
          <w:rFonts w:ascii="Arial" w:hAnsi="Arial"/>
          <w:i/>
          <w:color w:val="231F20"/>
          <w:spacing w:val="-4"/>
          <w:w w:val="105"/>
          <w:sz w:val="21"/>
        </w:rPr>
        <w:t>York </w:t>
      </w:r>
      <w:r>
        <w:rPr>
          <w:rFonts w:ascii="Arial" w:hAnsi="Arial"/>
          <w:i/>
          <w:color w:val="231F20"/>
          <w:w w:val="105"/>
          <w:sz w:val="21"/>
        </w:rPr>
        <w:t>en 2010 </w:t>
      </w:r>
      <w:r>
        <w:rPr>
          <w:color w:val="231F20"/>
          <w:w w:val="105"/>
          <w:sz w:val="21"/>
        </w:rPr>
        <w:t>(Proyecto terminal profesional), Instituto Nacional </w:t>
      </w:r>
      <w:r>
        <w:rPr>
          <w:color w:val="231F20"/>
          <w:sz w:val="21"/>
        </w:rPr>
        <w:t>de Salud Pública, Cuernavaca,</w:t>
      </w:r>
      <w:r>
        <w:rPr>
          <w:color w:val="231F20"/>
          <w:spacing w:val="4"/>
          <w:sz w:val="21"/>
        </w:rPr>
        <w:t> </w:t>
      </w:r>
      <w:r>
        <w:rPr>
          <w:color w:val="231F20"/>
          <w:sz w:val="21"/>
        </w:rPr>
        <w:t>México.</w:t>
      </w:r>
    </w:p>
    <w:p>
      <w:pPr>
        <w:spacing w:after="0" w:line="259" w:lineRule="auto"/>
        <w:jc w:val="both"/>
        <w:rPr>
          <w:sz w:val="21"/>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2461" w:right="1778" w:hanging="738"/>
        <w:jc w:val="both"/>
      </w:pPr>
      <w:r>
        <w:rPr/>
        <w:pict>
          <v:line style="position:absolute;mso-position-horizontal-relative:page;mso-position-vertical-relative:paragraph;z-index:25216" from="15pt,-71.68644pt" to="0pt,-71.68644pt" stroked="true" strokeweight=".25pt" strokecolor="#000000">
            <w10:wrap type="none"/>
          </v:line>
        </w:pict>
      </w:r>
      <w:r>
        <w:rPr/>
        <w:pict>
          <v:line style="position:absolute;mso-position-horizontal-relative:page;mso-position-vertical-relative:paragraph;z-index:25240" from="508.890015pt,-71.68644pt" to="523.890015pt,-71.68644pt" stroked="true" strokeweight=".25pt" strokecolor="#000000">
            <w10:wrap type="none"/>
          </v:line>
        </w:pict>
      </w:r>
      <w:r>
        <w:rPr>
          <w:color w:val="231F20"/>
          <w:w w:val="105"/>
        </w:rPr>
        <w:t>González</w:t>
      </w:r>
      <w:r>
        <w:rPr>
          <w:color w:val="231F20"/>
          <w:spacing w:val="-31"/>
          <w:w w:val="105"/>
        </w:rPr>
        <w:t> </w:t>
      </w:r>
      <w:r>
        <w:rPr>
          <w:color w:val="231F20"/>
          <w:w w:val="105"/>
        </w:rPr>
        <w:t>Vásquez,</w:t>
      </w:r>
      <w:r>
        <w:rPr>
          <w:color w:val="231F20"/>
          <w:spacing w:val="-35"/>
          <w:w w:val="105"/>
        </w:rPr>
        <w:t> </w:t>
      </w:r>
      <w:r>
        <w:rPr>
          <w:color w:val="231F20"/>
          <w:spacing w:val="-3"/>
          <w:w w:val="105"/>
        </w:rPr>
        <w:t>Tonatiuh,</w:t>
      </w:r>
      <w:r>
        <w:rPr>
          <w:color w:val="231F20"/>
          <w:spacing w:val="-34"/>
          <w:w w:val="105"/>
        </w:rPr>
        <w:t> </w:t>
      </w:r>
      <w:r>
        <w:rPr>
          <w:color w:val="231F20"/>
          <w:spacing w:val="-5"/>
          <w:w w:val="105"/>
        </w:rPr>
        <w:t>Torres</w:t>
      </w:r>
      <w:r>
        <w:rPr>
          <w:color w:val="231F20"/>
          <w:spacing w:val="-29"/>
          <w:w w:val="105"/>
        </w:rPr>
        <w:t> </w:t>
      </w:r>
      <w:r>
        <w:rPr>
          <w:color w:val="231F20"/>
          <w:w w:val="105"/>
        </w:rPr>
        <w:t>Robles,</w:t>
      </w:r>
      <w:r>
        <w:rPr>
          <w:color w:val="231F20"/>
          <w:spacing w:val="-32"/>
          <w:w w:val="105"/>
        </w:rPr>
        <w:t> </w:t>
      </w:r>
      <w:r>
        <w:rPr>
          <w:color w:val="231F20"/>
          <w:w w:val="105"/>
        </w:rPr>
        <w:t>Cristian</w:t>
      </w:r>
      <w:r>
        <w:rPr>
          <w:color w:val="231F20"/>
          <w:spacing w:val="-31"/>
          <w:w w:val="105"/>
        </w:rPr>
        <w:t> </w:t>
      </w:r>
      <w:r>
        <w:rPr>
          <w:color w:val="231F20"/>
          <w:w w:val="105"/>
        </w:rPr>
        <w:t>Armando</w:t>
      </w:r>
      <w:r>
        <w:rPr>
          <w:color w:val="231F20"/>
          <w:spacing w:val="-29"/>
          <w:w w:val="105"/>
        </w:rPr>
        <w:t> </w:t>
      </w:r>
      <w:r>
        <w:rPr>
          <w:color w:val="231F20"/>
          <w:w w:val="105"/>
        </w:rPr>
        <w:t>y</w:t>
      </w:r>
      <w:r>
        <w:rPr>
          <w:color w:val="231F20"/>
          <w:spacing w:val="-29"/>
          <w:w w:val="105"/>
        </w:rPr>
        <w:t> </w:t>
      </w:r>
      <w:r>
        <w:rPr>
          <w:color w:val="231F20"/>
          <w:spacing w:val="-3"/>
          <w:w w:val="105"/>
        </w:rPr>
        <w:t>Pelcastre </w:t>
      </w:r>
      <w:r>
        <w:rPr>
          <w:color w:val="231F20"/>
          <w:w w:val="105"/>
        </w:rPr>
        <w:t>Villafuerte,</w:t>
      </w:r>
      <w:r>
        <w:rPr>
          <w:color w:val="231F20"/>
          <w:spacing w:val="-43"/>
          <w:w w:val="105"/>
        </w:rPr>
        <w:t> </w:t>
      </w:r>
      <w:r>
        <w:rPr>
          <w:color w:val="231F20"/>
          <w:w w:val="105"/>
        </w:rPr>
        <w:t>Blanca</w:t>
      </w:r>
      <w:r>
        <w:rPr>
          <w:color w:val="231F20"/>
          <w:spacing w:val="-41"/>
          <w:w w:val="105"/>
        </w:rPr>
        <w:t> </w:t>
      </w:r>
      <w:r>
        <w:rPr>
          <w:color w:val="231F20"/>
          <w:w w:val="105"/>
        </w:rPr>
        <w:t>Estela,</w:t>
      </w:r>
      <w:r>
        <w:rPr>
          <w:color w:val="231F20"/>
          <w:spacing w:val="-43"/>
          <w:w w:val="105"/>
        </w:rPr>
        <w:t> </w:t>
      </w:r>
      <w:r>
        <w:rPr>
          <w:color w:val="231F20"/>
          <w:w w:val="105"/>
        </w:rPr>
        <w:t>(2013),</w:t>
      </w:r>
      <w:r>
        <w:rPr>
          <w:color w:val="231F20"/>
          <w:spacing w:val="-43"/>
          <w:w w:val="105"/>
        </w:rPr>
        <w:t> </w:t>
      </w:r>
      <w:r>
        <w:rPr>
          <w:color w:val="231F20"/>
          <w:w w:val="105"/>
        </w:rPr>
        <w:t>“Utilización</w:t>
      </w:r>
      <w:r>
        <w:rPr>
          <w:color w:val="231F20"/>
          <w:spacing w:val="-41"/>
          <w:w w:val="105"/>
        </w:rPr>
        <w:t> </w:t>
      </w:r>
      <w:r>
        <w:rPr>
          <w:color w:val="231F20"/>
          <w:w w:val="105"/>
        </w:rPr>
        <w:t>transnacional</w:t>
      </w:r>
      <w:r>
        <w:rPr>
          <w:color w:val="231F20"/>
          <w:spacing w:val="-41"/>
          <w:w w:val="105"/>
        </w:rPr>
        <w:t> </w:t>
      </w:r>
      <w:r>
        <w:rPr>
          <w:color w:val="231F20"/>
          <w:w w:val="105"/>
        </w:rPr>
        <w:t>de</w:t>
      </w:r>
      <w:r>
        <w:rPr>
          <w:color w:val="231F20"/>
          <w:spacing w:val="-41"/>
          <w:w w:val="105"/>
        </w:rPr>
        <w:t> </w:t>
      </w:r>
      <w:r>
        <w:rPr>
          <w:color w:val="231F20"/>
          <w:w w:val="105"/>
        </w:rPr>
        <w:t>ser- vicios</w:t>
      </w:r>
      <w:r>
        <w:rPr>
          <w:color w:val="231F20"/>
          <w:spacing w:val="-10"/>
          <w:w w:val="105"/>
        </w:rPr>
        <w:t> </w:t>
      </w:r>
      <w:r>
        <w:rPr>
          <w:color w:val="231F20"/>
          <w:w w:val="105"/>
        </w:rPr>
        <w:t>de</w:t>
      </w:r>
      <w:r>
        <w:rPr>
          <w:color w:val="231F20"/>
          <w:spacing w:val="-10"/>
          <w:w w:val="105"/>
        </w:rPr>
        <w:t> </w:t>
      </w:r>
      <w:r>
        <w:rPr>
          <w:color w:val="231F20"/>
          <w:w w:val="105"/>
        </w:rPr>
        <w:t>salud</w:t>
      </w:r>
      <w:r>
        <w:rPr>
          <w:color w:val="231F20"/>
          <w:spacing w:val="-10"/>
          <w:w w:val="105"/>
        </w:rPr>
        <w:t> </w:t>
      </w:r>
      <w:r>
        <w:rPr>
          <w:color w:val="231F20"/>
          <w:w w:val="105"/>
        </w:rPr>
        <w:t>por</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migrantes</w:t>
      </w:r>
      <w:r>
        <w:rPr>
          <w:color w:val="231F20"/>
          <w:spacing w:val="-10"/>
          <w:w w:val="105"/>
        </w:rPr>
        <w:t> </w:t>
      </w:r>
      <w:r>
        <w:rPr>
          <w:color w:val="231F20"/>
          <w:w w:val="105"/>
        </w:rPr>
        <w:t>mexicanos</w:t>
      </w:r>
      <w:r>
        <w:rPr>
          <w:color w:val="231F20"/>
          <w:spacing w:val="-10"/>
          <w:w w:val="105"/>
        </w:rPr>
        <w:t> </w:t>
      </w:r>
      <w:r>
        <w:rPr>
          <w:color w:val="231F20"/>
          <w:w w:val="105"/>
        </w:rPr>
        <w:t>en</w:t>
      </w:r>
      <w:r>
        <w:rPr>
          <w:color w:val="231F20"/>
          <w:spacing w:val="-10"/>
          <w:w w:val="105"/>
        </w:rPr>
        <w:t> </w:t>
      </w:r>
      <w:r>
        <w:rPr>
          <w:color w:val="231F20"/>
          <w:w w:val="105"/>
        </w:rPr>
        <w:t>Estados </w:t>
      </w:r>
      <w:r>
        <w:rPr>
          <w:color w:val="231F20"/>
          <w:spacing w:val="-4"/>
          <w:w w:val="105"/>
        </w:rPr>
        <w:t>Unidos”,</w:t>
      </w:r>
      <w:r>
        <w:rPr>
          <w:color w:val="231F20"/>
          <w:spacing w:val="-26"/>
          <w:w w:val="105"/>
        </w:rPr>
        <w:t> </w:t>
      </w:r>
      <w:r>
        <w:rPr>
          <w:rFonts w:ascii="Arial" w:hAnsi="Arial"/>
          <w:i/>
          <w:color w:val="231F20"/>
          <w:w w:val="105"/>
        </w:rPr>
        <w:t>Salud</w:t>
      </w:r>
      <w:r>
        <w:rPr>
          <w:rFonts w:ascii="Arial" w:hAnsi="Arial"/>
          <w:i/>
          <w:color w:val="231F20"/>
          <w:spacing w:val="-24"/>
          <w:w w:val="105"/>
        </w:rPr>
        <w:t> </w:t>
      </w:r>
      <w:r>
        <w:rPr>
          <w:rFonts w:ascii="Arial" w:hAnsi="Arial"/>
          <w:i/>
          <w:color w:val="231F20"/>
          <w:w w:val="105"/>
        </w:rPr>
        <w:t>Pública</w:t>
      </w:r>
      <w:r>
        <w:rPr>
          <w:rFonts w:ascii="Arial" w:hAnsi="Arial"/>
          <w:i/>
          <w:color w:val="231F20"/>
          <w:spacing w:val="-24"/>
          <w:w w:val="105"/>
        </w:rPr>
        <w:t> </w:t>
      </w:r>
      <w:r>
        <w:rPr>
          <w:rFonts w:ascii="Arial" w:hAnsi="Arial"/>
          <w:i/>
          <w:color w:val="231F20"/>
          <w:w w:val="105"/>
        </w:rPr>
        <w:t>de</w:t>
      </w:r>
      <w:r>
        <w:rPr>
          <w:rFonts w:ascii="Arial" w:hAnsi="Arial"/>
          <w:i/>
          <w:color w:val="231F20"/>
          <w:spacing w:val="-24"/>
          <w:w w:val="105"/>
        </w:rPr>
        <w:t> </w:t>
      </w:r>
      <w:r>
        <w:rPr>
          <w:rFonts w:ascii="Arial" w:hAnsi="Arial"/>
          <w:i/>
          <w:color w:val="231F20"/>
          <w:w w:val="105"/>
        </w:rPr>
        <w:t>México</w:t>
      </w:r>
      <w:r>
        <w:rPr>
          <w:color w:val="231F20"/>
          <w:w w:val="105"/>
        </w:rPr>
        <w:t>,</w:t>
      </w:r>
      <w:r>
        <w:rPr>
          <w:color w:val="231F20"/>
          <w:spacing w:val="-26"/>
          <w:w w:val="105"/>
        </w:rPr>
        <w:t> </w:t>
      </w:r>
      <w:r>
        <w:rPr>
          <w:color w:val="231F20"/>
          <w:w w:val="105"/>
        </w:rPr>
        <w:t>vol.</w:t>
      </w:r>
      <w:r>
        <w:rPr>
          <w:color w:val="231F20"/>
          <w:spacing w:val="-26"/>
          <w:w w:val="105"/>
        </w:rPr>
        <w:t> </w:t>
      </w:r>
      <w:r>
        <w:rPr>
          <w:color w:val="231F20"/>
          <w:w w:val="105"/>
        </w:rPr>
        <w:t>55,</w:t>
      </w:r>
      <w:r>
        <w:rPr>
          <w:color w:val="231F20"/>
          <w:spacing w:val="-26"/>
          <w:w w:val="105"/>
        </w:rPr>
        <w:t> </w:t>
      </w:r>
      <w:r>
        <w:rPr>
          <w:color w:val="231F20"/>
          <w:w w:val="105"/>
        </w:rPr>
        <w:t>núm.</w:t>
      </w:r>
      <w:r>
        <w:rPr>
          <w:color w:val="231F20"/>
          <w:spacing w:val="-26"/>
          <w:w w:val="105"/>
        </w:rPr>
        <w:t> </w:t>
      </w:r>
      <w:r>
        <w:rPr>
          <w:color w:val="231F20"/>
          <w:w w:val="105"/>
        </w:rPr>
        <w:t>4.</w:t>
      </w:r>
    </w:p>
    <w:p>
      <w:pPr>
        <w:spacing w:line="259" w:lineRule="auto" w:before="0"/>
        <w:ind w:left="2460" w:right="1778" w:hanging="737"/>
        <w:jc w:val="both"/>
        <w:rPr>
          <w:sz w:val="21"/>
        </w:rPr>
      </w:pPr>
      <w:r>
        <w:rPr>
          <w:color w:val="231F20"/>
          <w:sz w:val="21"/>
        </w:rPr>
        <w:t>Instituto Nacional de Estadística y Geografía (</w:t>
      </w:r>
      <w:r>
        <w:rPr>
          <w:color w:val="231F20"/>
          <w:sz w:val="17"/>
        </w:rPr>
        <w:t>INEGI</w:t>
      </w:r>
      <w:r>
        <w:rPr>
          <w:color w:val="231F20"/>
          <w:sz w:val="21"/>
        </w:rPr>
        <w:t>), </w:t>
      </w:r>
      <w:r>
        <w:rPr>
          <w:rFonts w:ascii="Arial" w:hAnsi="Arial"/>
          <w:i/>
          <w:color w:val="231F20"/>
          <w:sz w:val="21"/>
        </w:rPr>
        <w:t>Estadísticas de morta- </w:t>
      </w:r>
      <w:r>
        <w:rPr>
          <w:rFonts w:ascii="Arial" w:hAnsi="Arial"/>
          <w:i/>
          <w:color w:val="231F20"/>
          <w:sz w:val="21"/>
        </w:rPr>
        <w:t>lidad</w:t>
      </w:r>
      <w:r>
        <w:rPr>
          <w:color w:val="231F20"/>
          <w:sz w:val="21"/>
        </w:rPr>
        <w:t>, </w:t>
      </w:r>
      <w:r>
        <w:rPr>
          <w:rFonts w:ascii="Arial" w:hAnsi="Arial"/>
          <w:i/>
          <w:color w:val="231F20"/>
          <w:sz w:val="21"/>
        </w:rPr>
        <w:t>2015</w:t>
      </w:r>
      <w:r>
        <w:rPr>
          <w:color w:val="231F20"/>
          <w:sz w:val="21"/>
        </w:rPr>
        <w:t>, Aguascalientes, México:</w:t>
      </w:r>
      <w:r>
        <w:rPr>
          <w:color w:val="231F20"/>
          <w:spacing w:val="51"/>
          <w:sz w:val="21"/>
        </w:rPr>
        <w:t> </w:t>
      </w:r>
      <w:r>
        <w:rPr>
          <w:color w:val="231F20"/>
          <w:sz w:val="17"/>
        </w:rPr>
        <w:t>INEGI</w:t>
      </w:r>
      <w:r>
        <w:rPr>
          <w:color w:val="231F20"/>
          <w:sz w:val="21"/>
        </w:rPr>
        <w:t>.</w:t>
      </w:r>
    </w:p>
    <w:p>
      <w:pPr>
        <w:spacing w:line="259" w:lineRule="auto" w:before="3"/>
        <w:ind w:left="2460" w:right="1779" w:hanging="738"/>
        <w:jc w:val="both"/>
        <w:rPr>
          <w:sz w:val="21"/>
        </w:rPr>
      </w:pPr>
      <w:r>
        <w:rPr>
          <w:color w:val="231F20"/>
          <w:w w:val="105"/>
          <w:sz w:val="21"/>
        </w:rPr>
        <w:t>Leite,</w:t>
      </w:r>
      <w:r>
        <w:rPr>
          <w:color w:val="231F20"/>
          <w:spacing w:val="-28"/>
          <w:w w:val="105"/>
          <w:sz w:val="21"/>
        </w:rPr>
        <w:t> </w:t>
      </w:r>
      <w:r>
        <w:rPr>
          <w:color w:val="231F20"/>
          <w:spacing w:val="-3"/>
          <w:w w:val="105"/>
          <w:sz w:val="21"/>
        </w:rPr>
        <w:t>Paula</w:t>
      </w:r>
      <w:r>
        <w:rPr>
          <w:color w:val="231F20"/>
          <w:spacing w:val="-24"/>
          <w:w w:val="105"/>
          <w:sz w:val="21"/>
        </w:rPr>
        <w:t> </w:t>
      </w:r>
      <w:r>
        <w:rPr>
          <w:color w:val="231F20"/>
          <w:w w:val="105"/>
          <w:sz w:val="21"/>
        </w:rPr>
        <w:t>y</w:t>
      </w:r>
      <w:r>
        <w:rPr>
          <w:color w:val="231F20"/>
          <w:spacing w:val="-24"/>
          <w:w w:val="105"/>
          <w:sz w:val="21"/>
        </w:rPr>
        <w:t> </w:t>
      </w:r>
      <w:r>
        <w:rPr>
          <w:color w:val="231F20"/>
          <w:w w:val="105"/>
          <w:sz w:val="21"/>
        </w:rPr>
        <w:t>Castañeda,</w:t>
      </w:r>
      <w:r>
        <w:rPr>
          <w:color w:val="231F20"/>
          <w:spacing w:val="-29"/>
          <w:w w:val="105"/>
          <w:sz w:val="21"/>
        </w:rPr>
        <w:t> </w:t>
      </w:r>
      <w:r>
        <w:rPr>
          <w:color w:val="231F20"/>
          <w:w w:val="105"/>
          <w:sz w:val="21"/>
        </w:rPr>
        <w:t>Xóchitl,</w:t>
      </w:r>
      <w:r>
        <w:rPr>
          <w:color w:val="231F20"/>
          <w:spacing w:val="-28"/>
          <w:w w:val="105"/>
          <w:sz w:val="21"/>
        </w:rPr>
        <w:t> </w:t>
      </w:r>
      <w:r>
        <w:rPr>
          <w:color w:val="231F20"/>
          <w:w w:val="105"/>
          <w:sz w:val="21"/>
        </w:rPr>
        <w:t>(2008),</w:t>
      </w:r>
      <w:r>
        <w:rPr>
          <w:color w:val="231F20"/>
          <w:spacing w:val="-28"/>
          <w:w w:val="105"/>
          <w:sz w:val="21"/>
        </w:rPr>
        <w:t> </w:t>
      </w:r>
      <w:r>
        <w:rPr>
          <w:color w:val="231F20"/>
          <w:w w:val="105"/>
          <w:sz w:val="21"/>
        </w:rPr>
        <w:t>“Mexicanos</w:t>
      </w:r>
      <w:r>
        <w:rPr>
          <w:color w:val="231F20"/>
          <w:spacing w:val="-24"/>
          <w:w w:val="105"/>
          <w:sz w:val="21"/>
        </w:rPr>
        <w:t> </w:t>
      </w:r>
      <w:r>
        <w:rPr>
          <w:color w:val="231F20"/>
          <w:w w:val="105"/>
          <w:sz w:val="21"/>
        </w:rPr>
        <w:t>en</w:t>
      </w:r>
      <w:r>
        <w:rPr>
          <w:color w:val="231F20"/>
          <w:spacing w:val="-24"/>
          <w:w w:val="105"/>
          <w:sz w:val="21"/>
        </w:rPr>
        <w:t> </w:t>
      </w:r>
      <w:r>
        <w:rPr>
          <w:color w:val="231F20"/>
          <w:w w:val="105"/>
          <w:sz w:val="21"/>
        </w:rPr>
        <w:t>Estados</w:t>
      </w:r>
      <w:r>
        <w:rPr>
          <w:color w:val="231F20"/>
          <w:spacing w:val="-24"/>
          <w:w w:val="105"/>
          <w:sz w:val="21"/>
        </w:rPr>
        <w:t> </w:t>
      </w:r>
      <w:r>
        <w:rPr>
          <w:color w:val="231F20"/>
          <w:w w:val="105"/>
          <w:sz w:val="21"/>
        </w:rPr>
        <w:t>Unidos: falta</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acceso</w:t>
      </w:r>
      <w:r>
        <w:rPr>
          <w:color w:val="231F20"/>
          <w:spacing w:val="-21"/>
          <w:w w:val="105"/>
          <w:sz w:val="21"/>
        </w:rPr>
        <w:t> </w:t>
      </w:r>
      <w:r>
        <w:rPr>
          <w:color w:val="231F20"/>
          <w:w w:val="105"/>
          <w:sz w:val="21"/>
        </w:rPr>
        <w:t>a</w:t>
      </w:r>
      <w:r>
        <w:rPr>
          <w:color w:val="231F20"/>
          <w:spacing w:val="-21"/>
          <w:w w:val="105"/>
          <w:sz w:val="21"/>
        </w:rPr>
        <w:t> </w:t>
      </w:r>
      <w:r>
        <w:rPr>
          <w:color w:val="231F20"/>
          <w:w w:val="105"/>
          <w:sz w:val="21"/>
        </w:rPr>
        <w:t>la</w:t>
      </w:r>
      <w:r>
        <w:rPr>
          <w:color w:val="231F20"/>
          <w:spacing w:val="-21"/>
          <w:w w:val="105"/>
          <w:sz w:val="21"/>
        </w:rPr>
        <w:t> </w:t>
      </w:r>
      <w:r>
        <w:rPr>
          <w:color w:val="231F20"/>
          <w:spacing w:val="-4"/>
          <w:w w:val="105"/>
          <w:sz w:val="21"/>
        </w:rPr>
        <w:t>salud”,</w:t>
      </w:r>
      <w:r>
        <w:rPr>
          <w:color w:val="231F20"/>
          <w:spacing w:val="-25"/>
          <w:w w:val="105"/>
          <w:sz w:val="21"/>
        </w:rPr>
        <w:t> </w:t>
      </w:r>
      <w:r>
        <w:rPr>
          <w:color w:val="231F20"/>
          <w:w w:val="105"/>
          <w:sz w:val="21"/>
        </w:rPr>
        <w:t>en</w:t>
      </w:r>
      <w:r>
        <w:rPr>
          <w:color w:val="231F20"/>
          <w:spacing w:val="-21"/>
          <w:w w:val="105"/>
          <w:sz w:val="21"/>
        </w:rPr>
        <w:t> </w:t>
      </w:r>
      <w:r>
        <w:rPr>
          <w:rFonts w:ascii="Arial" w:hAnsi="Arial"/>
          <w:i/>
          <w:color w:val="231F20"/>
          <w:w w:val="105"/>
          <w:sz w:val="21"/>
        </w:rPr>
        <w:t>La</w:t>
      </w:r>
      <w:r>
        <w:rPr>
          <w:rFonts w:ascii="Arial" w:hAnsi="Arial"/>
          <w:i/>
          <w:color w:val="231F20"/>
          <w:spacing w:val="-23"/>
          <w:w w:val="105"/>
          <w:sz w:val="21"/>
        </w:rPr>
        <w:t> </w:t>
      </w:r>
      <w:r>
        <w:rPr>
          <w:rFonts w:ascii="Arial" w:hAnsi="Arial"/>
          <w:i/>
          <w:color w:val="231F20"/>
          <w:w w:val="105"/>
          <w:sz w:val="21"/>
        </w:rPr>
        <w:t>situación</w:t>
      </w:r>
      <w:r>
        <w:rPr>
          <w:rFonts w:ascii="Arial" w:hAnsi="Arial"/>
          <w:i/>
          <w:color w:val="231F20"/>
          <w:spacing w:val="-23"/>
          <w:w w:val="105"/>
          <w:sz w:val="21"/>
        </w:rPr>
        <w:t> </w:t>
      </w:r>
      <w:r>
        <w:rPr>
          <w:rFonts w:ascii="Arial" w:hAnsi="Arial"/>
          <w:i/>
          <w:color w:val="231F20"/>
          <w:w w:val="105"/>
          <w:sz w:val="21"/>
        </w:rPr>
        <w:t>demográfica</w:t>
      </w:r>
      <w:r>
        <w:rPr>
          <w:rFonts w:ascii="Arial" w:hAnsi="Arial"/>
          <w:i/>
          <w:color w:val="231F20"/>
          <w:spacing w:val="-23"/>
          <w:w w:val="105"/>
          <w:sz w:val="21"/>
        </w:rPr>
        <w:t> </w:t>
      </w:r>
      <w:r>
        <w:rPr>
          <w:rFonts w:ascii="Arial" w:hAnsi="Arial"/>
          <w:i/>
          <w:color w:val="231F20"/>
          <w:w w:val="105"/>
          <w:sz w:val="21"/>
        </w:rPr>
        <w:t>de</w:t>
      </w:r>
      <w:r>
        <w:rPr>
          <w:rFonts w:ascii="Arial" w:hAnsi="Arial"/>
          <w:i/>
          <w:color w:val="231F20"/>
          <w:spacing w:val="-23"/>
          <w:w w:val="105"/>
          <w:sz w:val="21"/>
        </w:rPr>
        <w:t> </w:t>
      </w:r>
      <w:r>
        <w:rPr>
          <w:rFonts w:ascii="Arial" w:hAnsi="Arial"/>
          <w:i/>
          <w:color w:val="231F20"/>
          <w:w w:val="105"/>
          <w:sz w:val="21"/>
        </w:rPr>
        <w:t>México </w:t>
      </w:r>
      <w:r>
        <w:rPr>
          <w:rFonts w:ascii="Arial" w:hAnsi="Arial"/>
          <w:i/>
          <w:color w:val="231F20"/>
          <w:w w:val="105"/>
          <w:sz w:val="21"/>
        </w:rPr>
        <w:t>2008,</w:t>
      </w:r>
      <w:r>
        <w:rPr>
          <w:rFonts w:ascii="Arial" w:hAnsi="Arial"/>
          <w:i/>
          <w:color w:val="231F20"/>
          <w:spacing w:val="-23"/>
          <w:w w:val="105"/>
          <w:sz w:val="21"/>
        </w:rPr>
        <w:t> </w:t>
      </w:r>
      <w:r>
        <w:rPr>
          <w:color w:val="231F20"/>
          <w:w w:val="105"/>
          <w:sz w:val="21"/>
        </w:rPr>
        <w:t>México:</w:t>
      </w:r>
      <w:r>
        <w:rPr>
          <w:color w:val="231F20"/>
          <w:spacing w:val="-21"/>
          <w:w w:val="105"/>
          <w:sz w:val="21"/>
        </w:rPr>
        <w:t> </w:t>
      </w:r>
      <w:r>
        <w:rPr>
          <w:color w:val="231F20"/>
          <w:w w:val="105"/>
          <w:sz w:val="17"/>
        </w:rPr>
        <w:t>CONAPO</w:t>
      </w:r>
      <w:r>
        <w:rPr>
          <w:color w:val="231F20"/>
          <w:w w:val="105"/>
          <w:sz w:val="21"/>
        </w:rPr>
        <w:t>/Universidad</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California.</w:t>
      </w:r>
    </w:p>
    <w:p>
      <w:pPr>
        <w:pStyle w:val="BodyText"/>
        <w:spacing w:line="261" w:lineRule="auto" w:before="3"/>
        <w:ind w:left="2461" w:right="1771" w:hanging="738"/>
        <w:jc w:val="both"/>
        <w:rPr>
          <w:sz w:val="17"/>
        </w:rPr>
      </w:pPr>
      <w:r>
        <w:rPr>
          <w:color w:val="231F20"/>
          <w:w w:val="105"/>
        </w:rPr>
        <w:t>Macías</w:t>
      </w:r>
      <w:r>
        <w:rPr>
          <w:color w:val="231F20"/>
          <w:spacing w:val="-31"/>
          <w:w w:val="105"/>
        </w:rPr>
        <w:t> </w:t>
      </w:r>
      <w:r>
        <w:rPr>
          <w:color w:val="231F20"/>
          <w:w w:val="105"/>
        </w:rPr>
        <w:t>Suárez,</w:t>
      </w:r>
      <w:r>
        <w:rPr>
          <w:color w:val="231F20"/>
          <w:spacing w:val="-34"/>
          <w:w w:val="105"/>
        </w:rPr>
        <w:t> </w:t>
      </w:r>
      <w:r>
        <w:rPr>
          <w:color w:val="231F20"/>
          <w:w w:val="105"/>
        </w:rPr>
        <w:t>Giovanni,</w:t>
      </w:r>
      <w:r>
        <w:rPr>
          <w:color w:val="231F20"/>
          <w:spacing w:val="-34"/>
          <w:w w:val="105"/>
        </w:rPr>
        <w:t> </w:t>
      </w:r>
      <w:r>
        <w:rPr>
          <w:color w:val="231F20"/>
          <w:w w:val="105"/>
        </w:rPr>
        <w:t>Rangel</w:t>
      </w:r>
      <w:r>
        <w:rPr>
          <w:color w:val="231F20"/>
          <w:spacing w:val="-31"/>
          <w:w w:val="105"/>
        </w:rPr>
        <w:t> </w:t>
      </w:r>
      <w:r>
        <w:rPr>
          <w:color w:val="231F20"/>
          <w:w w:val="105"/>
        </w:rPr>
        <w:t>Gómez,</w:t>
      </w:r>
      <w:r>
        <w:rPr>
          <w:color w:val="231F20"/>
          <w:spacing w:val="-34"/>
          <w:w w:val="105"/>
        </w:rPr>
        <w:t> </w:t>
      </w:r>
      <w:r>
        <w:rPr>
          <w:color w:val="231F20"/>
          <w:w w:val="105"/>
        </w:rPr>
        <w:t>Gudelia</w:t>
      </w:r>
      <w:r>
        <w:rPr>
          <w:color w:val="231F20"/>
          <w:spacing w:val="-31"/>
          <w:w w:val="105"/>
        </w:rPr>
        <w:t> </w:t>
      </w:r>
      <w:r>
        <w:rPr>
          <w:color w:val="231F20"/>
          <w:w w:val="105"/>
        </w:rPr>
        <w:t>y</w:t>
      </w:r>
      <w:r>
        <w:rPr>
          <w:color w:val="231F20"/>
          <w:spacing w:val="-31"/>
          <w:w w:val="105"/>
        </w:rPr>
        <w:t> </w:t>
      </w:r>
      <w:r>
        <w:rPr>
          <w:color w:val="231F20"/>
          <w:w w:val="105"/>
        </w:rPr>
        <w:t>Corona</w:t>
      </w:r>
      <w:r>
        <w:rPr>
          <w:color w:val="231F20"/>
          <w:spacing w:val="-32"/>
          <w:w w:val="105"/>
        </w:rPr>
        <w:t> </w:t>
      </w:r>
      <w:r>
        <w:rPr>
          <w:color w:val="231F20"/>
          <w:w w:val="105"/>
        </w:rPr>
        <w:t>Vázquez,</w:t>
      </w:r>
      <w:r>
        <w:rPr>
          <w:color w:val="231F20"/>
          <w:spacing w:val="-34"/>
          <w:w w:val="105"/>
        </w:rPr>
        <w:t> </w:t>
      </w:r>
      <w:r>
        <w:rPr>
          <w:color w:val="231F20"/>
          <w:w w:val="105"/>
        </w:rPr>
        <w:t>Ro- dolfo, (2009), “Servicios de salud de los migrantes </w:t>
      </w:r>
      <w:r>
        <w:rPr>
          <w:color w:val="231F20"/>
          <w:spacing w:val="-3"/>
          <w:w w:val="105"/>
        </w:rPr>
        <w:t>mexicanos”, </w:t>
      </w:r>
      <w:r>
        <w:rPr>
          <w:color w:val="231F20"/>
          <w:w w:val="105"/>
        </w:rPr>
        <w:t>en</w:t>
      </w:r>
      <w:r>
        <w:rPr>
          <w:color w:val="231F20"/>
          <w:spacing w:val="-11"/>
          <w:w w:val="105"/>
        </w:rPr>
        <w:t> </w:t>
      </w:r>
      <w:r>
        <w:rPr>
          <w:color w:val="231F20"/>
          <w:w w:val="105"/>
        </w:rPr>
        <w:t>Gudelia</w:t>
      </w:r>
      <w:r>
        <w:rPr>
          <w:color w:val="231F20"/>
          <w:spacing w:val="-11"/>
          <w:w w:val="105"/>
        </w:rPr>
        <w:t> </w:t>
      </w:r>
      <w:r>
        <w:rPr>
          <w:color w:val="231F20"/>
          <w:w w:val="105"/>
        </w:rPr>
        <w:t>Rangel</w:t>
      </w:r>
      <w:r>
        <w:rPr>
          <w:color w:val="231F20"/>
          <w:spacing w:val="-11"/>
          <w:w w:val="105"/>
        </w:rPr>
        <w:t> </w:t>
      </w:r>
      <w:r>
        <w:rPr>
          <w:color w:val="231F20"/>
          <w:w w:val="105"/>
        </w:rPr>
        <w:t>Gómez</w:t>
      </w:r>
      <w:r>
        <w:rPr>
          <w:color w:val="231F20"/>
          <w:spacing w:val="-11"/>
          <w:w w:val="105"/>
        </w:rPr>
        <w:t> </w:t>
      </w:r>
      <w:r>
        <w:rPr>
          <w:color w:val="231F20"/>
          <w:w w:val="105"/>
        </w:rPr>
        <w:t>y</w:t>
      </w:r>
      <w:r>
        <w:rPr>
          <w:color w:val="231F20"/>
          <w:spacing w:val="-11"/>
          <w:w w:val="105"/>
        </w:rPr>
        <w:t> </w:t>
      </w:r>
      <w:r>
        <w:rPr>
          <w:color w:val="231F20"/>
          <w:w w:val="105"/>
        </w:rPr>
        <w:t>Mauricio</w:t>
      </w:r>
      <w:r>
        <w:rPr>
          <w:color w:val="231F20"/>
          <w:spacing w:val="-11"/>
          <w:w w:val="105"/>
        </w:rPr>
        <w:t> </w:t>
      </w:r>
      <w:r>
        <w:rPr>
          <w:color w:val="231F20"/>
          <w:w w:val="105"/>
        </w:rPr>
        <w:t>Hernández</w:t>
      </w:r>
      <w:r>
        <w:rPr>
          <w:color w:val="231F20"/>
          <w:spacing w:val="-13"/>
          <w:w w:val="105"/>
        </w:rPr>
        <w:t> </w:t>
      </w:r>
      <w:r>
        <w:rPr>
          <w:color w:val="231F20"/>
          <w:w w:val="105"/>
        </w:rPr>
        <w:t>Ávila</w:t>
      </w:r>
      <w:r>
        <w:rPr>
          <w:color w:val="231F20"/>
          <w:spacing w:val="-11"/>
          <w:w w:val="105"/>
        </w:rPr>
        <w:t> </w:t>
      </w:r>
      <w:r>
        <w:rPr>
          <w:color w:val="231F20"/>
          <w:w w:val="105"/>
        </w:rPr>
        <w:t>(coords.), </w:t>
      </w:r>
      <w:r>
        <w:rPr>
          <w:rFonts w:ascii="Arial" w:hAnsi="Arial"/>
          <w:i/>
          <w:color w:val="231F20"/>
          <w:w w:val="105"/>
        </w:rPr>
        <w:t>Condiciones</w:t>
      </w:r>
      <w:r>
        <w:rPr>
          <w:rFonts w:ascii="Arial" w:hAnsi="Arial"/>
          <w:i/>
          <w:color w:val="231F20"/>
          <w:spacing w:val="-15"/>
          <w:w w:val="105"/>
        </w:rPr>
        <w:t> </w:t>
      </w:r>
      <w:r>
        <w:rPr>
          <w:rFonts w:ascii="Arial" w:hAnsi="Arial"/>
          <w:i/>
          <w:color w:val="231F20"/>
          <w:w w:val="105"/>
        </w:rPr>
        <w:t>de</w:t>
      </w:r>
      <w:r>
        <w:rPr>
          <w:rFonts w:ascii="Arial" w:hAnsi="Arial"/>
          <w:i/>
          <w:color w:val="231F20"/>
          <w:spacing w:val="-15"/>
          <w:w w:val="105"/>
        </w:rPr>
        <w:t> </w:t>
      </w:r>
      <w:r>
        <w:rPr>
          <w:rFonts w:ascii="Arial" w:hAnsi="Arial"/>
          <w:i/>
          <w:color w:val="231F20"/>
          <w:w w:val="105"/>
        </w:rPr>
        <w:t>salud</w:t>
      </w:r>
      <w:r>
        <w:rPr>
          <w:rFonts w:ascii="Arial" w:hAnsi="Arial"/>
          <w:i/>
          <w:color w:val="231F20"/>
          <w:spacing w:val="-15"/>
          <w:w w:val="105"/>
        </w:rPr>
        <w:t> </w:t>
      </w:r>
      <w:r>
        <w:rPr>
          <w:rFonts w:ascii="Arial" w:hAnsi="Arial"/>
          <w:i/>
          <w:color w:val="231F20"/>
          <w:w w:val="105"/>
        </w:rPr>
        <w:t>en</w:t>
      </w:r>
      <w:r>
        <w:rPr>
          <w:rFonts w:ascii="Arial" w:hAnsi="Arial"/>
          <w:i/>
          <w:color w:val="231F20"/>
          <w:spacing w:val="-15"/>
          <w:w w:val="105"/>
        </w:rPr>
        <w:t> </w:t>
      </w:r>
      <w:r>
        <w:rPr>
          <w:rFonts w:ascii="Arial" w:hAnsi="Arial"/>
          <w:i/>
          <w:color w:val="231F20"/>
          <w:w w:val="105"/>
        </w:rPr>
        <w:t>la</w:t>
      </w:r>
      <w:r>
        <w:rPr>
          <w:rFonts w:ascii="Arial" w:hAnsi="Arial"/>
          <w:i/>
          <w:color w:val="231F20"/>
          <w:spacing w:val="-15"/>
          <w:w w:val="105"/>
        </w:rPr>
        <w:t> </w:t>
      </w:r>
      <w:r>
        <w:rPr>
          <w:rFonts w:ascii="Arial" w:hAnsi="Arial"/>
          <w:i/>
          <w:color w:val="231F20"/>
          <w:w w:val="105"/>
        </w:rPr>
        <w:t>frontera</w:t>
      </w:r>
      <w:r>
        <w:rPr>
          <w:rFonts w:ascii="Arial" w:hAnsi="Arial"/>
          <w:i/>
          <w:color w:val="231F20"/>
          <w:spacing w:val="-15"/>
          <w:w w:val="105"/>
        </w:rPr>
        <w:t> </w:t>
      </w:r>
      <w:r>
        <w:rPr>
          <w:rFonts w:ascii="Arial" w:hAnsi="Arial"/>
          <w:i/>
          <w:color w:val="231F20"/>
          <w:w w:val="105"/>
        </w:rPr>
        <w:t>norte</w:t>
      </w:r>
      <w:r>
        <w:rPr>
          <w:rFonts w:ascii="Arial" w:hAnsi="Arial"/>
          <w:i/>
          <w:color w:val="231F20"/>
          <w:spacing w:val="-15"/>
          <w:w w:val="105"/>
        </w:rPr>
        <w:t> </w:t>
      </w:r>
      <w:r>
        <w:rPr>
          <w:rFonts w:ascii="Arial" w:hAnsi="Arial"/>
          <w:i/>
          <w:color w:val="231F20"/>
          <w:w w:val="105"/>
        </w:rPr>
        <w:t>de</w:t>
      </w:r>
      <w:r>
        <w:rPr>
          <w:rFonts w:ascii="Arial" w:hAnsi="Arial"/>
          <w:i/>
          <w:color w:val="231F20"/>
          <w:spacing w:val="-15"/>
          <w:w w:val="105"/>
        </w:rPr>
        <w:t> </w:t>
      </w:r>
      <w:r>
        <w:rPr>
          <w:rFonts w:ascii="Arial" w:hAnsi="Arial"/>
          <w:i/>
          <w:color w:val="231F20"/>
          <w:w w:val="105"/>
        </w:rPr>
        <w:t>México</w:t>
      </w:r>
      <w:r>
        <w:rPr>
          <w:color w:val="231F20"/>
          <w:w w:val="105"/>
        </w:rPr>
        <w:t>,</w:t>
      </w:r>
      <w:r>
        <w:rPr>
          <w:color w:val="231F20"/>
          <w:spacing w:val="-18"/>
          <w:w w:val="105"/>
        </w:rPr>
        <w:t> </w:t>
      </w:r>
      <w:r>
        <w:rPr>
          <w:color w:val="231F20"/>
          <w:w w:val="105"/>
        </w:rPr>
        <w:t>México:</w:t>
      </w:r>
      <w:r>
        <w:rPr>
          <w:color w:val="231F20"/>
          <w:spacing w:val="-12"/>
          <w:w w:val="105"/>
        </w:rPr>
        <w:t> </w:t>
      </w:r>
      <w:r>
        <w:rPr>
          <w:color w:val="231F20"/>
          <w:w w:val="105"/>
        </w:rPr>
        <w:t>Se- cretaría de Salud/Comisión de Salud Fronteriza</w:t>
      </w:r>
      <w:r>
        <w:rPr>
          <w:color w:val="231F20"/>
          <w:spacing w:val="-21"/>
          <w:w w:val="105"/>
        </w:rPr>
        <w:t> </w:t>
      </w:r>
      <w:r>
        <w:rPr>
          <w:color w:val="231F20"/>
          <w:w w:val="105"/>
        </w:rPr>
        <w:t>México-Estados Unidos/Instituto</w:t>
      </w:r>
      <w:r>
        <w:rPr>
          <w:color w:val="231F20"/>
          <w:spacing w:val="-26"/>
          <w:w w:val="105"/>
        </w:rPr>
        <w:t> </w:t>
      </w:r>
      <w:r>
        <w:rPr>
          <w:color w:val="231F20"/>
          <w:w w:val="105"/>
        </w:rPr>
        <w:t>Nacional</w:t>
      </w:r>
      <w:r>
        <w:rPr>
          <w:color w:val="231F20"/>
          <w:spacing w:val="-26"/>
          <w:w w:val="105"/>
        </w:rPr>
        <w:t> </w:t>
      </w:r>
      <w:r>
        <w:rPr>
          <w:color w:val="231F20"/>
          <w:w w:val="105"/>
        </w:rPr>
        <w:t>de</w:t>
      </w:r>
      <w:r>
        <w:rPr>
          <w:color w:val="231F20"/>
          <w:spacing w:val="-26"/>
          <w:w w:val="105"/>
        </w:rPr>
        <w:t> </w:t>
      </w:r>
      <w:r>
        <w:rPr>
          <w:color w:val="231F20"/>
          <w:w w:val="105"/>
        </w:rPr>
        <w:t>Salud</w:t>
      </w:r>
      <w:r>
        <w:rPr>
          <w:color w:val="231F20"/>
          <w:spacing w:val="-26"/>
          <w:w w:val="105"/>
        </w:rPr>
        <w:t> </w:t>
      </w:r>
      <w:r>
        <w:rPr>
          <w:color w:val="231F20"/>
          <w:spacing w:val="-3"/>
          <w:w w:val="105"/>
        </w:rPr>
        <w:t>Pública/</w:t>
      </w:r>
      <w:r>
        <w:rPr>
          <w:color w:val="231F20"/>
          <w:spacing w:val="-3"/>
          <w:w w:val="105"/>
          <w:sz w:val="17"/>
        </w:rPr>
        <w:t>COLEF.</w:t>
      </w:r>
    </w:p>
    <w:p>
      <w:pPr>
        <w:pStyle w:val="BodyText"/>
        <w:spacing w:line="261" w:lineRule="auto"/>
        <w:ind w:left="2461" w:right="1778" w:hanging="738"/>
        <w:jc w:val="both"/>
      </w:pPr>
      <w:r>
        <w:rPr>
          <w:color w:val="231F20"/>
        </w:rPr>
        <w:t>Nigenda, Gustavo </w:t>
      </w:r>
      <w:r>
        <w:rPr>
          <w:rFonts w:ascii="Arial" w:hAnsi="Arial"/>
          <w:i/>
          <w:color w:val="231F20"/>
        </w:rPr>
        <w:t>et al. </w:t>
      </w:r>
      <w:r>
        <w:rPr>
          <w:color w:val="231F20"/>
        </w:rPr>
        <w:t>(2009), “Análisis de las alternativas de los migran- tes mexicanos en Estados Unidos de América para atender sus problemas de salud”, </w:t>
      </w:r>
      <w:r>
        <w:rPr>
          <w:rFonts w:ascii="Arial" w:hAnsi="Arial"/>
          <w:i/>
          <w:color w:val="231F20"/>
        </w:rPr>
        <w:t>Salud Pública de México</w:t>
      </w:r>
      <w:r>
        <w:rPr>
          <w:color w:val="231F20"/>
        </w:rPr>
        <w:t>, vol. 51, núm.  5.</w:t>
      </w:r>
    </w:p>
    <w:p>
      <w:pPr>
        <w:pStyle w:val="BodyText"/>
        <w:spacing w:line="261" w:lineRule="auto"/>
        <w:ind w:left="2460" w:right="1780" w:hanging="738"/>
        <w:jc w:val="both"/>
      </w:pPr>
      <w:r>
        <w:rPr>
          <w:color w:val="231F20"/>
          <w:spacing w:val="-3"/>
          <w:w w:val="105"/>
        </w:rPr>
        <w:t>Organización Internacional para </w:t>
      </w:r>
      <w:r>
        <w:rPr>
          <w:color w:val="231F20"/>
          <w:w w:val="105"/>
        </w:rPr>
        <w:t>las </w:t>
      </w:r>
      <w:r>
        <w:rPr>
          <w:color w:val="231F20"/>
          <w:spacing w:val="-3"/>
          <w:w w:val="105"/>
        </w:rPr>
        <w:t>Migraciones </w:t>
      </w:r>
      <w:r>
        <w:rPr>
          <w:color w:val="231F20"/>
          <w:w w:val="105"/>
        </w:rPr>
        <w:t>(</w:t>
      </w:r>
      <w:r>
        <w:rPr>
          <w:color w:val="231F20"/>
          <w:w w:val="105"/>
          <w:sz w:val="17"/>
        </w:rPr>
        <w:t>OIM</w:t>
      </w:r>
      <w:r>
        <w:rPr>
          <w:color w:val="231F20"/>
          <w:w w:val="105"/>
        </w:rPr>
        <w:t>) y </w:t>
      </w:r>
      <w:r>
        <w:rPr>
          <w:color w:val="231F20"/>
          <w:spacing w:val="-4"/>
          <w:w w:val="105"/>
        </w:rPr>
        <w:t>Organización </w:t>
      </w:r>
      <w:r>
        <w:rPr>
          <w:color w:val="231F20"/>
          <w:spacing w:val="-3"/>
          <w:w w:val="105"/>
        </w:rPr>
        <w:t>Mundial</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Salud</w:t>
      </w:r>
      <w:r>
        <w:rPr>
          <w:color w:val="231F20"/>
          <w:spacing w:val="-29"/>
          <w:w w:val="105"/>
        </w:rPr>
        <w:t> </w:t>
      </w:r>
      <w:r>
        <w:rPr>
          <w:color w:val="231F20"/>
          <w:w w:val="105"/>
        </w:rPr>
        <w:t>(</w:t>
      </w:r>
      <w:r>
        <w:rPr>
          <w:color w:val="231F20"/>
          <w:w w:val="105"/>
          <w:sz w:val="17"/>
        </w:rPr>
        <w:t>OMS</w:t>
      </w:r>
      <w:r>
        <w:rPr>
          <w:color w:val="231F20"/>
          <w:w w:val="105"/>
        </w:rPr>
        <w:t>),</w:t>
      </w:r>
      <w:r>
        <w:rPr>
          <w:color w:val="231F20"/>
          <w:spacing w:val="-34"/>
          <w:w w:val="105"/>
        </w:rPr>
        <w:t> </w:t>
      </w:r>
      <w:r>
        <w:rPr>
          <w:color w:val="231F20"/>
          <w:spacing w:val="-3"/>
          <w:w w:val="105"/>
        </w:rPr>
        <w:t>(2010),</w:t>
      </w:r>
      <w:r>
        <w:rPr>
          <w:color w:val="231F20"/>
          <w:spacing w:val="-34"/>
          <w:w w:val="105"/>
        </w:rPr>
        <w:t> </w:t>
      </w:r>
      <w:r>
        <w:rPr>
          <w:color w:val="231F20"/>
          <w:spacing w:val="-6"/>
          <w:w w:val="105"/>
        </w:rPr>
        <w:t>“Anexo</w:t>
      </w:r>
      <w:r>
        <w:rPr>
          <w:color w:val="231F20"/>
          <w:spacing w:val="-29"/>
          <w:w w:val="105"/>
        </w:rPr>
        <w:t> </w:t>
      </w:r>
      <w:r>
        <w:rPr>
          <w:color w:val="231F20"/>
          <w:w w:val="105"/>
        </w:rPr>
        <w:t>1.</w:t>
      </w:r>
      <w:r>
        <w:rPr>
          <w:color w:val="231F20"/>
          <w:spacing w:val="-34"/>
          <w:w w:val="105"/>
        </w:rPr>
        <w:t> </w:t>
      </w:r>
      <w:r>
        <w:rPr>
          <w:color w:val="231F20"/>
          <w:spacing w:val="-3"/>
          <w:w w:val="105"/>
        </w:rPr>
        <w:t>Ejemplo</w:t>
      </w:r>
      <w:r>
        <w:rPr>
          <w:color w:val="231F20"/>
          <w:spacing w:val="-29"/>
          <w:w w:val="105"/>
        </w:rPr>
        <w:t> </w:t>
      </w:r>
      <w:r>
        <w:rPr>
          <w:color w:val="231F20"/>
          <w:w w:val="105"/>
        </w:rPr>
        <w:t>de</w:t>
      </w:r>
      <w:r>
        <w:rPr>
          <w:color w:val="231F20"/>
          <w:spacing w:val="-29"/>
          <w:w w:val="105"/>
        </w:rPr>
        <w:t> </w:t>
      </w:r>
      <w:r>
        <w:rPr>
          <w:color w:val="231F20"/>
          <w:spacing w:val="-4"/>
          <w:w w:val="105"/>
        </w:rPr>
        <w:t>respuestas </w:t>
      </w:r>
      <w:r>
        <w:rPr>
          <w:color w:val="231F20"/>
          <w:w w:val="105"/>
        </w:rPr>
        <w:t>en el </w:t>
      </w:r>
      <w:r>
        <w:rPr>
          <w:color w:val="231F20"/>
          <w:spacing w:val="-3"/>
          <w:w w:val="105"/>
        </w:rPr>
        <w:t>mundo </w:t>
      </w:r>
      <w:r>
        <w:rPr>
          <w:color w:val="231F20"/>
          <w:w w:val="105"/>
        </w:rPr>
        <w:t>en </w:t>
      </w:r>
      <w:r>
        <w:rPr>
          <w:color w:val="231F20"/>
          <w:spacing w:val="-3"/>
          <w:w w:val="105"/>
        </w:rPr>
        <w:t>materia </w:t>
      </w:r>
      <w:r>
        <w:rPr>
          <w:color w:val="231F20"/>
          <w:w w:val="105"/>
        </w:rPr>
        <w:t>de </w:t>
      </w:r>
      <w:r>
        <w:rPr>
          <w:color w:val="231F20"/>
          <w:spacing w:val="-3"/>
          <w:w w:val="105"/>
        </w:rPr>
        <w:t>salud </w:t>
      </w:r>
      <w:r>
        <w:rPr>
          <w:color w:val="231F20"/>
          <w:w w:val="105"/>
        </w:rPr>
        <w:t>de los </w:t>
      </w:r>
      <w:r>
        <w:rPr>
          <w:color w:val="231F20"/>
          <w:spacing w:val="-6"/>
          <w:w w:val="105"/>
        </w:rPr>
        <w:t>migrantes”, </w:t>
      </w:r>
      <w:r>
        <w:rPr>
          <w:color w:val="231F20"/>
          <w:w w:val="105"/>
        </w:rPr>
        <w:t>en </w:t>
      </w:r>
      <w:r>
        <w:rPr>
          <w:rFonts w:ascii="Arial" w:hAnsi="Arial"/>
          <w:i/>
          <w:color w:val="231F20"/>
          <w:spacing w:val="-3"/>
          <w:w w:val="105"/>
        </w:rPr>
        <w:t>Global </w:t>
      </w:r>
      <w:r>
        <w:rPr>
          <w:rFonts w:ascii="Arial" w:hAnsi="Arial"/>
          <w:i/>
          <w:color w:val="231F20"/>
          <w:spacing w:val="-5"/>
          <w:w w:val="105"/>
        </w:rPr>
        <w:t>Forum </w:t>
      </w:r>
      <w:r>
        <w:rPr>
          <w:rFonts w:ascii="Arial" w:hAnsi="Arial"/>
          <w:i/>
          <w:color w:val="231F20"/>
          <w:w w:val="105"/>
        </w:rPr>
        <w:t>on </w:t>
      </w:r>
      <w:r>
        <w:rPr>
          <w:rFonts w:ascii="Arial" w:hAnsi="Arial"/>
          <w:i/>
          <w:color w:val="231F20"/>
          <w:spacing w:val="-4"/>
          <w:w w:val="105"/>
        </w:rPr>
        <w:t>Migration </w:t>
      </w:r>
      <w:r>
        <w:rPr>
          <w:rFonts w:ascii="Arial" w:hAnsi="Arial"/>
          <w:i/>
          <w:color w:val="231F20"/>
          <w:w w:val="105"/>
        </w:rPr>
        <w:t>&amp; </w:t>
      </w:r>
      <w:r>
        <w:rPr>
          <w:rFonts w:ascii="Arial" w:hAnsi="Arial"/>
          <w:i/>
          <w:color w:val="231F20"/>
          <w:spacing w:val="-3"/>
          <w:w w:val="105"/>
        </w:rPr>
        <w:t>Development</w:t>
      </w:r>
      <w:r>
        <w:rPr>
          <w:color w:val="231F20"/>
          <w:spacing w:val="-3"/>
          <w:w w:val="105"/>
        </w:rPr>
        <w:t>, </w:t>
      </w:r>
      <w:r>
        <w:rPr>
          <w:color w:val="231F20"/>
          <w:w w:val="105"/>
          <w:sz w:val="17"/>
        </w:rPr>
        <w:t>OIM</w:t>
      </w:r>
      <w:r>
        <w:rPr>
          <w:color w:val="231F20"/>
          <w:w w:val="105"/>
        </w:rPr>
        <w:t>/</w:t>
      </w:r>
      <w:r>
        <w:rPr>
          <w:color w:val="231F20"/>
          <w:w w:val="105"/>
          <w:sz w:val="17"/>
        </w:rPr>
        <w:t>OMS</w:t>
      </w:r>
      <w:r>
        <w:rPr>
          <w:color w:val="231F20"/>
          <w:w w:val="105"/>
        </w:rPr>
        <w:t>, </w:t>
      </w:r>
      <w:r>
        <w:rPr>
          <w:color w:val="231F20"/>
          <w:spacing w:val="-4"/>
          <w:w w:val="105"/>
        </w:rPr>
        <w:t>recuperado </w:t>
      </w:r>
      <w:r>
        <w:rPr>
          <w:color w:val="231F20"/>
          <w:spacing w:val="-3"/>
          <w:w w:val="105"/>
        </w:rPr>
        <w:t>de </w:t>
      </w:r>
      <w:r>
        <w:rPr>
          <w:color w:val="231F20"/>
          <w:spacing w:val="-4"/>
          <w:w w:val="105"/>
        </w:rPr>
        <w:t>ht</w:t>
      </w:r>
      <w:hyperlink r:id="rId289">
        <w:r>
          <w:rPr>
            <w:color w:val="231F20"/>
            <w:spacing w:val="-4"/>
            <w:w w:val="105"/>
          </w:rPr>
          <w:t>tps://www.gfmd.org/docs/mexico-2010</w:t>
        </w:r>
      </w:hyperlink>
    </w:p>
    <w:p>
      <w:pPr>
        <w:spacing w:line="259" w:lineRule="auto" w:before="1"/>
        <w:ind w:left="2460" w:right="1772" w:hanging="738"/>
        <w:jc w:val="both"/>
        <w:rPr>
          <w:sz w:val="21"/>
        </w:rPr>
      </w:pPr>
      <w:r>
        <w:rPr>
          <w:color w:val="231F20"/>
          <w:w w:val="105"/>
          <w:sz w:val="21"/>
        </w:rPr>
        <w:t>Rangel</w:t>
      </w:r>
      <w:r>
        <w:rPr>
          <w:color w:val="231F20"/>
          <w:spacing w:val="-9"/>
          <w:w w:val="105"/>
          <w:sz w:val="21"/>
        </w:rPr>
        <w:t> </w:t>
      </w:r>
      <w:r>
        <w:rPr>
          <w:color w:val="231F20"/>
          <w:w w:val="105"/>
          <w:sz w:val="21"/>
        </w:rPr>
        <w:t>Gómez,</w:t>
      </w:r>
      <w:r>
        <w:rPr>
          <w:color w:val="231F20"/>
          <w:spacing w:val="-13"/>
          <w:w w:val="105"/>
          <w:sz w:val="21"/>
        </w:rPr>
        <w:t> </w:t>
      </w:r>
      <w:r>
        <w:rPr>
          <w:color w:val="231F20"/>
          <w:w w:val="105"/>
          <w:sz w:val="21"/>
        </w:rPr>
        <w:t>Gudelia,</w:t>
      </w:r>
      <w:r>
        <w:rPr>
          <w:color w:val="231F20"/>
          <w:spacing w:val="-13"/>
          <w:w w:val="105"/>
          <w:sz w:val="21"/>
        </w:rPr>
        <w:t> </w:t>
      </w:r>
      <w:r>
        <w:rPr>
          <w:color w:val="231F20"/>
          <w:w w:val="105"/>
          <w:sz w:val="21"/>
        </w:rPr>
        <w:t>(2013),</w:t>
      </w:r>
      <w:r>
        <w:rPr>
          <w:color w:val="231F20"/>
          <w:spacing w:val="-13"/>
          <w:w w:val="105"/>
          <w:sz w:val="21"/>
        </w:rPr>
        <w:t> </w:t>
      </w:r>
      <w:r>
        <w:rPr>
          <w:color w:val="231F20"/>
          <w:w w:val="105"/>
          <w:sz w:val="21"/>
        </w:rPr>
        <w:t>“Programa</w:t>
      </w:r>
      <w:r>
        <w:rPr>
          <w:color w:val="231F20"/>
          <w:spacing w:val="-9"/>
          <w:w w:val="105"/>
          <w:sz w:val="21"/>
        </w:rPr>
        <w:t> </w:t>
      </w:r>
      <w:r>
        <w:rPr>
          <w:color w:val="231F20"/>
          <w:w w:val="105"/>
          <w:sz w:val="21"/>
        </w:rPr>
        <w:t>de</w:t>
      </w:r>
      <w:r>
        <w:rPr>
          <w:color w:val="231F20"/>
          <w:spacing w:val="-9"/>
          <w:w w:val="105"/>
          <w:sz w:val="21"/>
        </w:rPr>
        <w:t> </w:t>
      </w:r>
      <w:r>
        <w:rPr>
          <w:color w:val="231F20"/>
          <w:w w:val="105"/>
          <w:sz w:val="21"/>
        </w:rPr>
        <w:t>salud</w:t>
      </w:r>
      <w:r>
        <w:rPr>
          <w:color w:val="231F20"/>
          <w:spacing w:val="-9"/>
          <w:w w:val="105"/>
          <w:sz w:val="21"/>
        </w:rPr>
        <w:t> </w:t>
      </w:r>
      <w:r>
        <w:rPr>
          <w:color w:val="231F20"/>
          <w:w w:val="105"/>
          <w:sz w:val="21"/>
        </w:rPr>
        <w:t>del</w:t>
      </w:r>
      <w:r>
        <w:rPr>
          <w:color w:val="231F20"/>
          <w:spacing w:val="-9"/>
          <w:w w:val="105"/>
          <w:sz w:val="21"/>
        </w:rPr>
        <w:t> </w:t>
      </w:r>
      <w:r>
        <w:rPr>
          <w:color w:val="231F20"/>
          <w:w w:val="105"/>
          <w:sz w:val="21"/>
        </w:rPr>
        <w:t>migrante:</w:t>
      </w:r>
      <w:r>
        <w:rPr>
          <w:color w:val="231F20"/>
          <w:spacing w:val="-9"/>
          <w:w w:val="105"/>
          <w:sz w:val="21"/>
        </w:rPr>
        <w:t> </w:t>
      </w:r>
      <w:r>
        <w:rPr>
          <w:color w:val="231F20"/>
          <w:w w:val="105"/>
          <w:sz w:val="21"/>
        </w:rPr>
        <w:t>infor- mación,</w:t>
      </w:r>
      <w:r>
        <w:rPr>
          <w:color w:val="231F20"/>
          <w:spacing w:val="-29"/>
          <w:w w:val="105"/>
          <w:sz w:val="21"/>
        </w:rPr>
        <w:t> </w:t>
      </w:r>
      <w:r>
        <w:rPr>
          <w:color w:val="231F20"/>
          <w:w w:val="105"/>
          <w:sz w:val="21"/>
        </w:rPr>
        <w:t>consejería</w:t>
      </w:r>
      <w:r>
        <w:rPr>
          <w:color w:val="231F20"/>
          <w:spacing w:val="-24"/>
          <w:w w:val="105"/>
          <w:sz w:val="21"/>
        </w:rPr>
        <w:t> </w:t>
      </w:r>
      <w:r>
        <w:rPr>
          <w:color w:val="231F20"/>
          <w:w w:val="105"/>
          <w:sz w:val="21"/>
        </w:rPr>
        <w:t>y</w:t>
      </w:r>
      <w:r>
        <w:rPr>
          <w:color w:val="231F20"/>
          <w:spacing w:val="-24"/>
          <w:w w:val="105"/>
          <w:sz w:val="21"/>
        </w:rPr>
        <w:t> </w:t>
      </w:r>
      <w:r>
        <w:rPr>
          <w:color w:val="231F20"/>
          <w:w w:val="105"/>
          <w:sz w:val="21"/>
        </w:rPr>
        <w:t>referencia</w:t>
      </w:r>
      <w:r>
        <w:rPr>
          <w:color w:val="231F20"/>
          <w:spacing w:val="-24"/>
          <w:w w:val="105"/>
          <w:sz w:val="21"/>
        </w:rPr>
        <w:t> </w:t>
      </w:r>
      <w:r>
        <w:rPr>
          <w:color w:val="231F20"/>
          <w:w w:val="105"/>
          <w:sz w:val="21"/>
        </w:rPr>
        <w:t>a</w:t>
      </w:r>
      <w:r>
        <w:rPr>
          <w:color w:val="231F20"/>
          <w:spacing w:val="-24"/>
          <w:w w:val="105"/>
          <w:sz w:val="21"/>
        </w:rPr>
        <w:t> </w:t>
      </w:r>
      <w:r>
        <w:rPr>
          <w:color w:val="231F20"/>
          <w:w w:val="105"/>
          <w:sz w:val="21"/>
        </w:rPr>
        <w:t>servicios</w:t>
      </w:r>
      <w:r>
        <w:rPr>
          <w:color w:val="231F20"/>
          <w:spacing w:val="-24"/>
          <w:w w:val="105"/>
          <w:sz w:val="21"/>
        </w:rPr>
        <w:t> </w:t>
      </w:r>
      <w:r>
        <w:rPr>
          <w:color w:val="231F20"/>
          <w:w w:val="105"/>
          <w:sz w:val="21"/>
        </w:rPr>
        <w:t>de</w:t>
      </w:r>
      <w:r>
        <w:rPr>
          <w:color w:val="231F20"/>
          <w:spacing w:val="-24"/>
          <w:w w:val="105"/>
          <w:sz w:val="21"/>
        </w:rPr>
        <w:t> </w:t>
      </w:r>
      <w:r>
        <w:rPr>
          <w:color w:val="231F20"/>
          <w:spacing w:val="-4"/>
          <w:w w:val="105"/>
          <w:sz w:val="21"/>
        </w:rPr>
        <w:t>salud”,</w:t>
      </w:r>
      <w:r>
        <w:rPr>
          <w:color w:val="231F20"/>
          <w:spacing w:val="-29"/>
          <w:w w:val="105"/>
          <w:sz w:val="21"/>
        </w:rPr>
        <w:t> </w:t>
      </w:r>
      <w:r>
        <w:rPr>
          <w:color w:val="231F20"/>
          <w:w w:val="105"/>
          <w:sz w:val="21"/>
        </w:rPr>
        <w:t>en</w:t>
      </w:r>
      <w:r>
        <w:rPr>
          <w:color w:val="231F20"/>
          <w:spacing w:val="-24"/>
          <w:w w:val="105"/>
          <w:sz w:val="21"/>
        </w:rPr>
        <w:t> </w:t>
      </w:r>
      <w:r>
        <w:rPr>
          <w:rFonts w:ascii="Arial" w:hAnsi="Arial"/>
          <w:i/>
          <w:color w:val="231F20"/>
          <w:w w:val="105"/>
          <w:sz w:val="21"/>
        </w:rPr>
        <w:t>II</w:t>
      </w:r>
      <w:r>
        <w:rPr>
          <w:rFonts w:ascii="Arial" w:hAnsi="Arial"/>
          <w:i/>
          <w:color w:val="231F20"/>
          <w:spacing w:val="-27"/>
          <w:w w:val="105"/>
          <w:sz w:val="21"/>
        </w:rPr>
        <w:t> </w:t>
      </w:r>
      <w:r>
        <w:rPr>
          <w:rFonts w:ascii="Arial" w:hAnsi="Arial"/>
          <w:i/>
          <w:color w:val="231F20"/>
          <w:w w:val="105"/>
          <w:sz w:val="21"/>
        </w:rPr>
        <w:t>Congre- </w:t>
      </w:r>
      <w:r>
        <w:rPr>
          <w:rFonts w:ascii="Arial" w:hAnsi="Arial"/>
          <w:i/>
          <w:color w:val="231F20"/>
          <w:w w:val="105"/>
          <w:sz w:val="21"/>
        </w:rPr>
        <w:t>so</w:t>
      </w:r>
      <w:r>
        <w:rPr>
          <w:rFonts w:ascii="Arial" w:hAnsi="Arial"/>
          <w:i/>
          <w:color w:val="231F20"/>
          <w:spacing w:val="-27"/>
          <w:w w:val="105"/>
          <w:sz w:val="21"/>
        </w:rPr>
        <w:t> </w:t>
      </w:r>
      <w:r>
        <w:rPr>
          <w:rFonts w:ascii="Arial" w:hAnsi="Arial"/>
          <w:i/>
          <w:color w:val="231F20"/>
          <w:w w:val="105"/>
          <w:sz w:val="21"/>
        </w:rPr>
        <w:t>Internacional</w:t>
      </w:r>
      <w:r>
        <w:rPr>
          <w:rFonts w:ascii="Arial" w:hAnsi="Arial"/>
          <w:i/>
          <w:color w:val="231F20"/>
          <w:spacing w:val="-27"/>
          <w:w w:val="105"/>
          <w:sz w:val="21"/>
        </w:rPr>
        <w:t> </w:t>
      </w:r>
      <w:r>
        <w:rPr>
          <w:rFonts w:ascii="Arial" w:hAnsi="Arial"/>
          <w:i/>
          <w:color w:val="231F20"/>
          <w:w w:val="105"/>
          <w:sz w:val="21"/>
        </w:rPr>
        <w:t>de</w:t>
      </w:r>
      <w:r>
        <w:rPr>
          <w:rFonts w:ascii="Arial" w:hAnsi="Arial"/>
          <w:i/>
          <w:color w:val="231F20"/>
          <w:spacing w:val="-27"/>
          <w:w w:val="105"/>
          <w:sz w:val="21"/>
        </w:rPr>
        <w:t> </w:t>
      </w:r>
      <w:r>
        <w:rPr>
          <w:rFonts w:ascii="Arial" w:hAnsi="Arial"/>
          <w:i/>
          <w:color w:val="231F20"/>
          <w:w w:val="105"/>
          <w:sz w:val="21"/>
        </w:rPr>
        <w:t>Promoción</w:t>
      </w:r>
      <w:r>
        <w:rPr>
          <w:rFonts w:ascii="Arial" w:hAnsi="Arial"/>
          <w:i/>
          <w:color w:val="231F20"/>
          <w:spacing w:val="-27"/>
          <w:w w:val="105"/>
          <w:sz w:val="21"/>
        </w:rPr>
        <w:t> </w:t>
      </w:r>
      <w:r>
        <w:rPr>
          <w:rFonts w:ascii="Arial" w:hAnsi="Arial"/>
          <w:i/>
          <w:color w:val="231F20"/>
          <w:w w:val="105"/>
          <w:sz w:val="21"/>
        </w:rPr>
        <w:t>de</w:t>
      </w:r>
      <w:r>
        <w:rPr>
          <w:rFonts w:ascii="Arial" w:hAnsi="Arial"/>
          <w:i/>
          <w:color w:val="231F20"/>
          <w:spacing w:val="-27"/>
          <w:w w:val="105"/>
          <w:sz w:val="21"/>
        </w:rPr>
        <w:t> </w:t>
      </w:r>
      <w:r>
        <w:rPr>
          <w:rFonts w:ascii="Arial" w:hAnsi="Arial"/>
          <w:i/>
          <w:color w:val="231F20"/>
          <w:w w:val="105"/>
          <w:sz w:val="21"/>
        </w:rPr>
        <w:t>la</w:t>
      </w:r>
      <w:r>
        <w:rPr>
          <w:rFonts w:ascii="Arial" w:hAnsi="Arial"/>
          <w:i/>
          <w:color w:val="231F20"/>
          <w:spacing w:val="-27"/>
          <w:w w:val="105"/>
          <w:sz w:val="21"/>
        </w:rPr>
        <w:t> </w:t>
      </w:r>
      <w:r>
        <w:rPr>
          <w:rFonts w:ascii="Arial" w:hAnsi="Arial"/>
          <w:i/>
          <w:color w:val="231F20"/>
          <w:w w:val="105"/>
          <w:sz w:val="21"/>
        </w:rPr>
        <w:t>Salud</w:t>
      </w:r>
      <w:r>
        <w:rPr>
          <w:color w:val="231F20"/>
          <w:w w:val="105"/>
          <w:sz w:val="21"/>
        </w:rPr>
        <w:t>,</w:t>
      </w:r>
      <w:r>
        <w:rPr>
          <w:color w:val="231F20"/>
          <w:spacing w:val="-28"/>
          <w:w w:val="105"/>
          <w:sz w:val="21"/>
        </w:rPr>
        <w:t> </w:t>
      </w:r>
      <w:r>
        <w:rPr>
          <w:rFonts w:ascii="Arial" w:hAnsi="Arial"/>
          <w:i/>
          <w:color w:val="231F20"/>
          <w:w w:val="105"/>
          <w:sz w:val="21"/>
        </w:rPr>
        <w:t>La</w:t>
      </w:r>
      <w:r>
        <w:rPr>
          <w:rFonts w:ascii="Arial" w:hAnsi="Arial"/>
          <w:i/>
          <w:color w:val="231F20"/>
          <w:spacing w:val="-27"/>
          <w:w w:val="105"/>
          <w:sz w:val="21"/>
        </w:rPr>
        <w:t> </w:t>
      </w:r>
      <w:r>
        <w:rPr>
          <w:rFonts w:ascii="Arial" w:hAnsi="Arial"/>
          <w:i/>
          <w:color w:val="231F20"/>
          <w:w w:val="105"/>
          <w:sz w:val="21"/>
        </w:rPr>
        <w:t>participación</w:t>
      </w:r>
      <w:r>
        <w:rPr>
          <w:rFonts w:ascii="Arial" w:hAnsi="Arial"/>
          <w:i/>
          <w:color w:val="231F20"/>
          <w:spacing w:val="-27"/>
          <w:w w:val="105"/>
          <w:sz w:val="21"/>
        </w:rPr>
        <w:t> </w:t>
      </w:r>
      <w:r>
        <w:rPr>
          <w:rFonts w:ascii="Arial" w:hAnsi="Arial"/>
          <w:i/>
          <w:color w:val="231F20"/>
          <w:w w:val="105"/>
          <w:sz w:val="21"/>
        </w:rPr>
        <w:t>ciuda- </w:t>
      </w:r>
      <w:r>
        <w:rPr>
          <w:rFonts w:ascii="Arial" w:hAnsi="Arial"/>
          <w:i/>
          <w:color w:val="231F20"/>
          <w:w w:val="105"/>
          <w:sz w:val="21"/>
        </w:rPr>
        <w:t>dana</w:t>
      </w:r>
      <w:r>
        <w:rPr>
          <w:rFonts w:ascii="Arial" w:hAnsi="Arial"/>
          <w:i/>
          <w:color w:val="231F20"/>
          <w:spacing w:val="-12"/>
          <w:w w:val="105"/>
          <w:sz w:val="21"/>
        </w:rPr>
        <w:t> </w:t>
      </w:r>
      <w:r>
        <w:rPr>
          <w:rFonts w:ascii="Arial" w:hAnsi="Arial"/>
          <w:i/>
          <w:color w:val="231F20"/>
          <w:w w:val="105"/>
          <w:sz w:val="21"/>
        </w:rPr>
        <w:t>en</w:t>
      </w:r>
      <w:r>
        <w:rPr>
          <w:rFonts w:ascii="Arial" w:hAnsi="Arial"/>
          <w:i/>
          <w:color w:val="231F20"/>
          <w:spacing w:val="-12"/>
          <w:w w:val="105"/>
          <w:sz w:val="21"/>
        </w:rPr>
        <w:t> </w:t>
      </w:r>
      <w:r>
        <w:rPr>
          <w:rFonts w:ascii="Arial" w:hAnsi="Arial"/>
          <w:i/>
          <w:color w:val="231F20"/>
          <w:w w:val="105"/>
          <w:sz w:val="21"/>
        </w:rPr>
        <w:t>la</w:t>
      </w:r>
      <w:r>
        <w:rPr>
          <w:rFonts w:ascii="Arial" w:hAnsi="Arial"/>
          <w:i/>
          <w:color w:val="231F20"/>
          <w:spacing w:val="-12"/>
          <w:w w:val="105"/>
          <w:sz w:val="21"/>
        </w:rPr>
        <w:t> </w:t>
      </w:r>
      <w:r>
        <w:rPr>
          <w:rFonts w:ascii="Arial" w:hAnsi="Arial"/>
          <w:i/>
          <w:color w:val="231F20"/>
          <w:w w:val="105"/>
          <w:sz w:val="21"/>
        </w:rPr>
        <w:t>construcción</w:t>
      </w:r>
      <w:r>
        <w:rPr>
          <w:rFonts w:ascii="Arial" w:hAnsi="Arial"/>
          <w:i/>
          <w:color w:val="231F20"/>
          <w:spacing w:val="-12"/>
          <w:w w:val="105"/>
          <w:sz w:val="21"/>
        </w:rPr>
        <w:t> </w:t>
      </w:r>
      <w:r>
        <w:rPr>
          <w:rFonts w:ascii="Arial" w:hAnsi="Arial"/>
          <w:i/>
          <w:color w:val="231F20"/>
          <w:w w:val="105"/>
          <w:sz w:val="21"/>
        </w:rPr>
        <w:t>de</w:t>
      </w:r>
      <w:r>
        <w:rPr>
          <w:rFonts w:ascii="Arial" w:hAnsi="Arial"/>
          <w:i/>
          <w:color w:val="231F20"/>
          <w:spacing w:val="-12"/>
          <w:w w:val="105"/>
          <w:sz w:val="21"/>
        </w:rPr>
        <w:t> </w:t>
      </w:r>
      <w:r>
        <w:rPr>
          <w:rFonts w:ascii="Arial" w:hAnsi="Arial"/>
          <w:i/>
          <w:color w:val="231F20"/>
          <w:w w:val="105"/>
          <w:sz w:val="21"/>
        </w:rPr>
        <w:t>una</w:t>
      </w:r>
      <w:r>
        <w:rPr>
          <w:rFonts w:ascii="Arial" w:hAnsi="Arial"/>
          <w:i/>
          <w:color w:val="231F20"/>
          <w:spacing w:val="-12"/>
          <w:w w:val="105"/>
          <w:sz w:val="21"/>
        </w:rPr>
        <w:t> </w:t>
      </w:r>
      <w:r>
        <w:rPr>
          <w:rFonts w:ascii="Arial" w:hAnsi="Arial"/>
          <w:i/>
          <w:color w:val="231F20"/>
          <w:w w:val="105"/>
          <w:sz w:val="21"/>
        </w:rPr>
        <w:t>vida</w:t>
      </w:r>
      <w:r>
        <w:rPr>
          <w:rFonts w:ascii="Arial" w:hAnsi="Arial"/>
          <w:i/>
          <w:color w:val="231F20"/>
          <w:spacing w:val="-12"/>
          <w:w w:val="105"/>
          <w:sz w:val="21"/>
        </w:rPr>
        <w:t> </w:t>
      </w:r>
      <w:r>
        <w:rPr>
          <w:rFonts w:ascii="Arial" w:hAnsi="Arial"/>
          <w:i/>
          <w:color w:val="231F20"/>
          <w:w w:val="105"/>
          <w:sz w:val="21"/>
        </w:rPr>
        <w:t>saludable</w:t>
      </w:r>
      <w:r>
        <w:rPr>
          <w:color w:val="231F20"/>
          <w:w w:val="105"/>
          <w:sz w:val="21"/>
        </w:rPr>
        <w:t>,</w:t>
      </w:r>
      <w:r>
        <w:rPr>
          <w:color w:val="231F20"/>
          <w:spacing w:val="-15"/>
          <w:w w:val="105"/>
          <w:sz w:val="21"/>
        </w:rPr>
        <w:t> </w:t>
      </w:r>
      <w:r>
        <w:rPr>
          <w:color w:val="231F20"/>
          <w:w w:val="105"/>
          <w:sz w:val="21"/>
        </w:rPr>
        <w:t>14</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noviembre, </w:t>
      </w:r>
      <w:r>
        <w:rPr>
          <w:color w:val="231F20"/>
          <w:sz w:val="21"/>
        </w:rPr>
        <w:t>Universidad de Guadalajara, Guadalajara, </w:t>
      </w:r>
      <w:r>
        <w:rPr>
          <w:color w:val="231F20"/>
          <w:spacing w:val="6"/>
          <w:sz w:val="21"/>
        </w:rPr>
        <w:t> </w:t>
      </w:r>
      <w:r>
        <w:rPr>
          <w:color w:val="231F20"/>
          <w:sz w:val="21"/>
        </w:rPr>
        <w:t>México.</w:t>
      </w:r>
    </w:p>
    <w:p>
      <w:pPr>
        <w:spacing w:line="261" w:lineRule="auto" w:before="3"/>
        <w:ind w:left="2460" w:right="1772" w:hanging="738"/>
        <w:jc w:val="both"/>
        <w:rPr>
          <w:sz w:val="21"/>
        </w:rPr>
      </w:pPr>
      <w:r>
        <w:rPr>
          <w:color w:val="231F20"/>
          <w:sz w:val="21"/>
        </w:rPr>
        <w:t>Rangel Gómez, Gudelia y Macías Suárez, Giovanni, (2007), “Servicios de salud de los migrantes guanajuatenses”, en Rodolfo Corona Váz- quez, Laura Ortega González y Gudelia Rangel Gómez (coords.), </w:t>
      </w:r>
      <w:r>
        <w:rPr>
          <w:rFonts w:ascii="Arial" w:hAnsi="Arial"/>
          <w:i/>
          <w:color w:val="231F20"/>
          <w:sz w:val="21"/>
        </w:rPr>
        <w:t>Las migraciones Guanajuato-Estados Unidos: Un acercamiento a </w:t>
      </w:r>
      <w:r>
        <w:rPr>
          <w:rFonts w:ascii="Arial" w:hAnsi="Arial"/>
          <w:i/>
          <w:color w:val="231F20"/>
          <w:sz w:val="21"/>
        </w:rPr>
        <w:t>las distintas dimensiones del fenómeno</w:t>
      </w:r>
      <w:r>
        <w:rPr>
          <w:color w:val="231F20"/>
          <w:sz w:val="21"/>
        </w:rPr>
        <w:t>, Guanajuato, México: Go- bierno del Estado de  Guanajuato/</w:t>
      </w:r>
      <w:r>
        <w:rPr>
          <w:color w:val="231F20"/>
          <w:sz w:val="17"/>
        </w:rPr>
        <w:t>COLEF</w:t>
      </w:r>
      <w:r>
        <w:rPr>
          <w:color w:val="231F20"/>
          <w:sz w:val="21"/>
        </w:rPr>
        <w:t>.</w:t>
      </w:r>
    </w:p>
    <w:p>
      <w:pPr>
        <w:spacing w:line="261" w:lineRule="auto" w:before="1"/>
        <w:ind w:left="2460" w:right="1778" w:hanging="738"/>
        <w:jc w:val="both"/>
        <w:rPr>
          <w:sz w:val="21"/>
        </w:rPr>
      </w:pPr>
      <w:r>
        <w:rPr>
          <w:color w:val="19171C"/>
          <w:spacing w:val="-3"/>
          <w:w w:val="105"/>
          <w:sz w:val="21"/>
        </w:rPr>
        <w:t>Rubio</w:t>
      </w:r>
      <w:r>
        <w:rPr>
          <w:color w:val="19171C"/>
          <w:spacing w:val="-7"/>
          <w:w w:val="105"/>
          <w:sz w:val="21"/>
        </w:rPr>
        <w:t> </w:t>
      </w:r>
      <w:r>
        <w:rPr>
          <w:color w:val="19171C"/>
          <w:spacing w:val="-4"/>
          <w:w w:val="105"/>
          <w:sz w:val="21"/>
        </w:rPr>
        <w:t>Jardón,</w:t>
      </w:r>
      <w:r>
        <w:rPr>
          <w:color w:val="19171C"/>
          <w:spacing w:val="-10"/>
          <w:w w:val="105"/>
          <w:sz w:val="21"/>
        </w:rPr>
        <w:t> </w:t>
      </w:r>
      <w:r>
        <w:rPr>
          <w:color w:val="19171C"/>
          <w:spacing w:val="-4"/>
          <w:w w:val="105"/>
          <w:sz w:val="21"/>
        </w:rPr>
        <w:t>Nallely,</w:t>
      </w:r>
      <w:r>
        <w:rPr>
          <w:color w:val="19171C"/>
          <w:spacing w:val="-10"/>
          <w:w w:val="105"/>
          <w:sz w:val="21"/>
        </w:rPr>
        <w:t> </w:t>
      </w:r>
      <w:r>
        <w:rPr>
          <w:color w:val="19171C"/>
          <w:spacing w:val="-3"/>
          <w:w w:val="105"/>
          <w:sz w:val="21"/>
        </w:rPr>
        <w:t>(2014),</w:t>
      </w:r>
      <w:r>
        <w:rPr>
          <w:color w:val="19171C"/>
          <w:spacing w:val="-10"/>
          <w:w w:val="105"/>
          <w:sz w:val="21"/>
        </w:rPr>
        <w:t> </w:t>
      </w:r>
      <w:r>
        <w:rPr>
          <w:color w:val="19171C"/>
          <w:w w:val="105"/>
          <w:sz w:val="21"/>
        </w:rPr>
        <w:t>“La</w:t>
      </w:r>
      <w:r>
        <w:rPr>
          <w:color w:val="19171C"/>
          <w:spacing w:val="-5"/>
          <w:w w:val="105"/>
          <w:sz w:val="21"/>
        </w:rPr>
        <w:t> </w:t>
      </w:r>
      <w:r>
        <w:rPr>
          <w:color w:val="19171C"/>
          <w:spacing w:val="-3"/>
          <w:w w:val="105"/>
          <w:sz w:val="21"/>
        </w:rPr>
        <w:t>salud</w:t>
      </w:r>
      <w:r>
        <w:rPr>
          <w:color w:val="19171C"/>
          <w:spacing w:val="-5"/>
          <w:w w:val="105"/>
          <w:sz w:val="21"/>
        </w:rPr>
        <w:t> </w:t>
      </w:r>
      <w:r>
        <w:rPr>
          <w:color w:val="19171C"/>
          <w:w w:val="105"/>
          <w:sz w:val="21"/>
        </w:rPr>
        <w:t>de</w:t>
      </w:r>
      <w:r>
        <w:rPr>
          <w:color w:val="19171C"/>
          <w:spacing w:val="-5"/>
          <w:w w:val="105"/>
          <w:sz w:val="21"/>
        </w:rPr>
        <w:t> </w:t>
      </w:r>
      <w:r>
        <w:rPr>
          <w:color w:val="19171C"/>
          <w:w w:val="105"/>
          <w:sz w:val="21"/>
        </w:rPr>
        <w:t>los</w:t>
      </w:r>
      <w:r>
        <w:rPr>
          <w:color w:val="19171C"/>
          <w:spacing w:val="-5"/>
          <w:w w:val="105"/>
          <w:sz w:val="21"/>
        </w:rPr>
        <w:t> </w:t>
      </w:r>
      <w:r>
        <w:rPr>
          <w:color w:val="19171C"/>
          <w:spacing w:val="-3"/>
          <w:w w:val="105"/>
          <w:sz w:val="21"/>
        </w:rPr>
        <w:t>migrantes</w:t>
      </w:r>
      <w:r>
        <w:rPr>
          <w:color w:val="19171C"/>
          <w:spacing w:val="-5"/>
          <w:w w:val="105"/>
          <w:sz w:val="21"/>
        </w:rPr>
        <w:t> </w:t>
      </w:r>
      <w:r>
        <w:rPr>
          <w:color w:val="19171C"/>
          <w:w w:val="105"/>
          <w:sz w:val="21"/>
        </w:rPr>
        <w:t>en</w:t>
      </w:r>
      <w:r>
        <w:rPr>
          <w:color w:val="19171C"/>
          <w:spacing w:val="-5"/>
          <w:w w:val="105"/>
          <w:sz w:val="21"/>
        </w:rPr>
        <w:t> </w:t>
      </w:r>
      <w:r>
        <w:rPr>
          <w:color w:val="19171C"/>
          <w:spacing w:val="-3"/>
          <w:w w:val="105"/>
          <w:sz w:val="21"/>
        </w:rPr>
        <w:t>Estados</w:t>
      </w:r>
      <w:r>
        <w:rPr>
          <w:color w:val="19171C"/>
          <w:spacing w:val="-5"/>
          <w:w w:val="105"/>
          <w:sz w:val="21"/>
        </w:rPr>
        <w:t> </w:t>
      </w:r>
      <w:r>
        <w:rPr>
          <w:color w:val="19171C"/>
          <w:spacing w:val="-3"/>
          <w:w w:val="105"/>
          <w:sz w:val="21"/>
        </w:rPr>
        <w:t>Uni- dos:</w:t>
      </w:r>
      <w:r>
        <w:rPr>
          <w:color w:val="19171C"/>
          <w:spacing w:val="-30"/>
          <w:w w:val="105"/>
          <w:sz w:val="21"/>
        </w:rPr>
        <w:t> </w:t>
      </w:r>
      <w:r>
        <w:rPr>
          <w:color w:val="19171C"/>
          <w:w w:val="105"/>
          <w:sz w:val="21"/>
        </w:rPr>
        <w:t>El</w:t>
      </w:r>
      <w:r>
        <w:rPr>
          <w:color w:val="19171C"/>
          <w:spacing w:val="-30"/>
          <w:w w:val="105"/>
          <w:sz w:val="21"/>
        </w:rPr>
        <w:t> </w:t>
      </w:r>
      <w:r>
        <w:rPr>
          <w:color w:val="19171C"/>
          <w:spacing w:val="-3"/>
          <w:w w:val="105"/>
          <w:sz w:val="21"/>
        </w:rPr>
        <w:t>estudio</w:t>
      </w:r>
      <w:r>
        <w:rPr>
          <w:color w:val="19171C"/>
          <w:spacing w:val="-30"/>
          <w:w w:val="105"/>
          <w:sz w:val="21"/>
        </w:rPr>
        <w:t> </w:t>
      </w:r>
      <w:r>
        <w:rPr>
          <w:color w:val="19171C"/>
          <w:w w:val="105"/>
          <w:sz w:val="21"/>
        </w:rPr>
        <w:t>de</w:t>
      </w:r>
      <w:r>
        <w:rPr>
          <w:color w:val="19171C"/>
          <w:spacing w:val="-30"/>
          <w:w w:val="105"/>
          <w:sz w:val="21"/>
        </w:rPr>
        <w:t> </w:t>
      </w:r>
      <w:r>
        <w:rPr>
          <w:color w:val="19171C"/>
          <w:spacing w:val="-3"/>
          <w:w w:val="105"/>
          <w:sz w:val="21"/>
        </w:rPr>
        <w:t>caso</w:t>
      </w:r>
      <w:r>
        <w:rPr>
          <w:color w:val="19171C"/>
          <w:spacing w:val="-30"/>
          <w:w w:val="105"/>
          <w:sz w:val="21"/>
        </w:rPr>
        <w:t> </w:t>
      </w:r>
      <w:r>
        <w:rPr>
          <w:color w:val="19171C"/>
          <w:w w:val="105"/>
          <w:sz w:val="21"/>
        </w:rPr>
        <w:t>de</w:t>
      </w:r>
      <w:r>
        <w:rPr>
          <w:color w:val="19171C"/>
          <w:spacing w:val="-30"/>
          <w:w w:val="105"/>
          <w:sz w:val="21"/>
        </w:rPr>
        <w:t> </w:t>
      </w:r>
      <w:r>
        <w:rPr>
          <w:color w:val="19171C"/>
          <w:w w:val="105"/>
          <w:sz w:val="21"/>
        </w:rPr>
        <w:t>la</w:t>
      </w:r>
      <w:r>
        <w:rPr>
          <w:color w:val="19171C"/>
          <w:spacing w:val="-30"/>
          <w:w w:val="105"/>
          <w:sz w:val="21"/>
        </w:rPr>
        <w:t> </w:t>
      </w:r>
      <w:r>
        <w:rPr>
          <w:color w:val="19171C"/>
          <w:spacing w:val="-3"/>
          <w:w w:val="105"/>
          <w:sz w:val="21"/>
        </w:rPr>
        <w:t>Semana</w:t>
      </w:r>
      <w:r>
        <w:rPr>
          <w:color w:val="19171C"/>
          <w:spacing w:val="-30"/>
          <w:w w:val="105"/>
          <w:sz w:val="21"/>
        </w:rPr>
        <w:t> </w:t>
      </w:r>
      <w:r>
        <w:rPr>
          <w:color w:val="19171C"/>
          <w:spacing w:val="-3"/>
          <w:w w:val="105"/>
          <w:sz w:val="21"/>
        </w:rPr>
        <w:t>Binacional</w:t>
      </w:r>
      <w:r>
        <w:rPr>
          <w:color w:val="19171C"/>
          <w:spacing w:val="-30"/>
          <w:w w:val="105"/>
          <w:sz w:val="21"/>
        </w:rPr>
        <w:t> </w:t>
      </w:r>
      <w:r>
        <w:rPr>
          <w:color w:val="19171C"/>
          <w:w w:val="105"/>
          <w:sz w:val="21"/>
        </w:rPr>
        <w:t>de</w:t>
      </w:r>
      <w:r>
        <w:rPr>
          <w:color w:val="19171C"/>
          <w:spacing w:val="-30"/>
          <w:w w:val="105"/>
          <w:sz w:val="21"/>
        </w:rPr>
        <w:t> </w:t>
      </w:r>
      <w:r>
        <w:rPr>
          <w:color w:val="19171C"/>
          <w:spacing w:val="-3"/>
          <w:w w:val="105"/>
          <w:sz w:val="21"/>
        </w:rPr>
        <w:t>Salud</w:t>
      </w:r>
      <w:r>
        <w:rPr>
          <w:color w:val="19171C"/>
          <w:spacing w:val="-30"/>
          <w:w w:val="105"/>
          <w:sz w:val="21"/>
        </w:rPr>
        <w:t> </w:t>
      </w:r>
      <w:r>
        <w:rPr>
          <w:color w:val="19171C"/>
          <w:w w:val="105"/>
          <w:sz w:val="21"/>
        </w:rPr>
        <w:t>y</w:t>
      </w:r>
      <w:r>
        <w:rPr>
          <w:color w:val="19171C"/>
          <w:spacing w:val="-30"/>
          <w:w w:val="105"/>
          <w:sz w:val="21"/>
        </w:rPr>
        <w:t> </w:t>
      </w:r>
      <w:r>
        <w:rPr>
          <w:color w:val="19171C"/>
          <w:w w:val="105"/>
          <w:sz w:val="21"/>
        </w:rPr>
        <w:t>las</w:t>
      </w:r>
      <w:r>
        <w:rPr>
          <w:color w:val="19171C"/>
          <w:spacing w:val="-33"/>
          <w:w w:val="105"/>
          <w:sz w:val="21"/>
        </w:rPr>
        <w:t> </w:t>
      </w:r>
      <w:r>
        <w:rPr>
          <w:color w:val="19171C"/>
          <w:spacing w:val="-5"/>
          <w:w w:val="105"/>
          <w:sz w:val="21"/>
        </w:rPr>
        <w:t>Ven- </w:t>
      </w:r>
      <w:r>
        <w:rPr>
          <w:color w:val="19171C"/>
          <w:spacing w:val="-6"/>
          <w:w w:val="105"/>
          <w:sz w:val="21"/>
        </w:rPr>
        <w:t>tanilla”,</w:t>
      </w:r>
      <w:r>
        <w:rPr>
          <w:color w:val="19171C"/>
          <w:spacing w:val="-19"/>
          <w:w w:val="105"/>
          <w:sz w:val="21"/>
        </w:rPr>
        <w:t> </w:t>
      </w:r>
      <w:r>
        <w:rPr>
          <w:color w:val="231F20"/>
          <w:spacing w:val="-3"/>
          <w:w w:val="105"/>
          <w:sz w:val="21"/>
        </w:rPr>
        <w:t>ponencia</w:t>
      </w:r>
      <w:r>
        <w:rPr>
          <w:color w:val="231F20"/>
          <w:spacing w:val="-14"/>
          <w:w w:val="105"/>
          <w:sz w:val="21"/>
        </w:rPr>
        <w:t> </w:t>
      </w:r>
      <w:r>
        <w:rPr>
          <w:color w:val="231F20"/>
          <w:spacing w:val="-3"/>
          <w:w w:val="105"/>
          <w:sz w:val="21"/>
        </w:rPr>
        <w:t>presentada</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el</w:t>
      </w:r>
      <w:r>
        <w:rPr>
          <w:color w:val="231F20"/>
          <w:spacing w:val="-14"/>
          <w:w w:val="105"/>
          <w:sz w:val="21"/>
        </w:rPr>
        <w:t> </w:t>
      </w:r>
      <w:r>
        <w:rPr>
          <w:rFonts w:ascii="Arial" w:hAnsi="Arial"/>
          <w:i/>
          <w:color w:val="231F20"/>
          <w:w w:val="105"/>
          <w:sz w:val="21"/>
        </w:rPr>
        <w:t>2°</w:t>
      </w:r>
      <w:r>
        <w:rPr>
          <w:rFonts w:ascii="Arial" w:hAnsi="Arial"/>
          <w:i/>
          <w:color w:val="231F20"/>
          <w:spacing w:val="-16"/>
          <w:w w:val="105"/>
          <w:sz w:val="21"/>
        </w:rPr>
        <w:t> </w:t>
      </w:r>
      <w:r>
        <w:rPr>
          <w:rFonts w:ascii="Arial" w:hAnsi="Arial"/>
          <w:i/>
          <w:color w:val="231F20"/>
          <w:spacing w:val="-4"/>
          <w:w w:val="105"/>
          <w:sz w:val="21"/>
        </w:rPr>
        <w:t>Congreso</w:t>
      </w:r>
      <w:r>
        <w:rPr>
          <w:rFonts w:ascii="Arial" w:hAnsi="Arial"/>
          <w:i/>
          <w:color w:val="231F20"/>
          <w:spacing w:val="-16"/>
          <w:w w:val="105"/>
          <w:sz w:val="21"/>
        </w:rPr>
        <w:t> </w:t>
      </w:r>
      <w:r>
        <w:rPr>
          <w:rFonts w:ascii="Arial" w:hAnsi="Arial"/>
          <w:i/>
          <w:color w:val="231F20"/>
          <w:spacing w:val="-3"/>
          <w:w w:val="105"/>
          <w:sz w:val="21"/>
        </w:rPr>
        <w:t>Internacional</w:t>
      </w:r>
      <w:r>
        <w:rPr>
          <w:rFonts w:ascii="Arial" w:hAnsi="Arial"/>
          <w:i/>
          <w:color w:val="231F20"/>
          <w:spacing w:val="-16"/>
          <w:w w:val="105"/>
          <w:sz w:val="21"/>
        </w:rPr>
        <w:t> </w:t>
      </w:r>
      <w:r>
        <w:rPr>
          <w:rFonts w:ascii="Arial" w:hAnsi="Arial"/>
          <w:i/>
          <w:color w:val="231F20"/>
          <w:w w:val="105"/>
          <w:sz w:val="21"/>
        </w:rPr>
        <w:t>de</w:t>
      </w:r>
      <w:r>
        <w:rPr>
          <w:rFonts w:ascii="Arial" w:hAnsi="Arial"/>
          <w:i/>
          <w:color w:val="231F20"/>
          <w:spacing w:val="-16"/>
          <w:w w:val="105"/>
          <w:sz w:val="21"/>
        </w:rPr>
        <w:t> </w:t>
      </w:r>
      <w:r>
        <w:rPr>
          <w:rFonts w:ascii="Arial" w:hAnsi="Arial"/>
          <w:i/>
          <w:color w:val="231F20"/>
          <w:spacing w:val="-3"/>
          <w:w w:val="105"/>
          <w:sz w:val="21"/>
        </w:rPr>
        <w:t>la </w:t>
      </w:r>
      <w:r>
        <w:rPr>
          <w:rFonts w:ascii="Arial" w:hAnsi="Arial"/>
          <w:i/>
          <w:color w:val="231F20"/>
          <w:spacing w:val="-3"/>
          <w:w w:val="105"/>
          <w:sz w:val="21"/>
        </w:rPr>
        <w:t>Asociación</w:t>
      </w:r>
      <w:r>
        <w:rPr>
          <w:rFonts w:ascii="Arial" w:hAnsi="Arial"/>
          <w:i/>
          <w:color w:val="231F20"/>
          <w:spacing w:val="-31"/>
          <w:w w:val="105"/>
          <w:sz w:val="21"/>
        </w:rPr>
        <w:t> </w:t>
      </w:r>
      <w:r>
        <w:rPr>
          <w:rFonts w:ascii="Arial" w:hAnsi="Arial"/>
          <w:i/>
          <w:color w:val="231F20"/>
          <w:spacing w:val="-3"/>
          <w:w w:val="105"/>
          <w:sz w:val="21"/>
        </w:rPr>
        <w:t>Mexicana</w:t>
      </w:r>
      <w:r>
        <w:rPr>
          <w:rFonts w:ascii="Arial" w:hAnsi="Arial"/>
          <w:i/>
          <w:color w:val="231F20"/>
          <w:spacing w:val="-31"/>
          <w:w w:val="105"/>
          <w:sz w:val="21"/>
        </w:rPr>
        <w:t> </w:t>
      </w:r>
      <w:r>
        <w:rPr>
          <w:rFonts w:ascii="Arial" w:hAnsi="Arial"/>
          <w:i/>
          <w:color w:val="231F20"/>
          <w:w w:val="105"/>
          <w:sz w:val="21"/>
        </w:rPr>
        <w:t>de</w:t>
      </w:r>
      <w:r>
        <w:rPr>
          <w:rFonts w:ascii="Arial" w:hAnsi="Arial"/>
          <w:i/>
          <w:color w:val="231F20"/>
          <w:spacing w:val="-31"/>
          <w:w w:val="105"/>
          <w:sz w:val="21"/>
        </w:rPr>
        <w:t> </w:t>
      </w:r>
      <w:r>
        <w:rPr>
          <w:rFonts w:ascii="Arial" w:hAnsi="Arial"/>
          <w:i/>
          <w:color w:val="231F20"/>
          <w:spacing w:val="-3"/>
          <w:w w:val="105"/>
          <w:sz w:val="21"/>
        </w:rPr>
        <w:t>Ciencia</w:t>
      </w:r>
      <w:r>
        <w:rPr>
          <w:rFonts w:ascii="Arial" w:hAnsi="Arial"/>
          <w:i/>
          <w:color w:val="231F20"/>
          <w:spacing w:val="-31"/>
          <w:w w:val="105"/>
          <w:sz w:val="21"/>
        </w:rPr>
        <w:t> </w:t>
      </w:r>
      <w:r>
        <w:rPr>
          <w:rFonts w:ascii="Arial" w:hAnsi="Arial"/>
          <w:i/>
          <w:color w:val="231F20"/>
          <w:spacing w:val="-5"/>
          <w:w w:val="105"/>
          <w:sz w:val="21"/>
        </w:rPr>
        <w:t>Política</w:t>
      </w:r>
      <w:r>
        <w:rPr>
          <w:rFonts w:ascii="Arial" w:hAnsi="Arial"/>
          <w:i/>
          <w:color w:val="231F20"/>
          <w:spacing w:val="-31"/>
          <w:w w:val="105"/>
          <w:sz w:val="21"/>
        </w:rPr>
        <w:t> </w:t>
      </w:r>
      <w:r>
        <w:rPr>
          <w:rFonts w:ascii="Arial" w:hAnsi="Arial"/>
          <w:i/>
          <w:color w:val="231F20"/>
          <w:spacing w:val="-2"/>
          <w:w w:val="105"/>
          <w:sz w:val="21"/>
        </w:rPr>
        <w:t>(</w:t>
      </w:r>
      <w:r>
        <w:rPr>
          <w:rFonts w:ascii="Arial" w:hAnsi="Arial"/>
          <w:i/>
          <w:color w:val="231F20"/>
          <w:spacing w:val="-2"/>
          <w:w w:val="105"/>
          <w:sz w:val="17"/>
        </w:rPr>
        <w:t>AMECIP</w:t>
      </w:r>
      <w:r>
        <w:rPr>
          <w:rFonts w:ascii="Arial" w:hAnsi="Arial"/>
          <w:i/>
          <w:color w:val="231F20"/>
          <w:spacing w:val="-2"/>
          <w:w w:val="105"/>
          <w:sz w:val="21"/>
        </w:rPr>
        <w:t>)</w:t>
      </w:r>
      <w:r>
        <w:rPr>
          <w:color w:val="231F20"/>
          <w:spacing w:val="-2"/>
          <w:w w:val="105"/>
          <w:sz w:val="21"/>
        </w:rPr>
        <w:t>,</w:t>
      </w:r>
      <w:r>
        <w:rPr>
          <w:color w:val="231F20"/>
          <w:spacing w:val="-32"/>
          <w:w w:val="105"/>
          <w:sz w:val="21"/>
        </w:rPr>
        <w:t> </w:t>
      </w:r>
      <w:r>
        <w:rPr>
          <w:color w:val="231F20"/>
          <w:spacing w:val="-3"/>
          <w:w w:val="105"/>
          <w:sz w:val="21"/>
        </w:rPr>
        <w:t>11-3</w:t>
      </w:r>
      <w:r>
        <w:rPr>
          <w:color w:val="231F20"/>
          <w:spacing w:val="-28"/>
          <w:w w:val="105"/>
          <w:sz w:val="21"/>
        </w:rPr>
        <w:t> </w:t>
      </w:r>
      <w:r>
        <w:rPr>
          <w:color w:val="231F20"/>
          <w:w w:val="105"/>
          <w:sz w:val="21"/>
        </w:rPr>
        <w:t>de</w:t>
      </w:r>
      <w:r>
        <w:rPr>
          <w:color w:val="231F20"/>
          <w:spacing w:val="-28"/>
          <w:w w:val="105"/>
          <w:sz w:val="21"/>
        </w:rPr>
        <w:t> </w:t>
      </w:r>
      <w:r>
        <w:rPr>
          <w:color w:val="231F20"/>
          <w:spacing w:val="-3"/>
          <w:w w:val="105"/>
          <w:sz w:val="21"/>
        </w:rPr>
        <w:t>septiem- bre,</w:t>
      </w:r>
      <w:r>
        <w:rPr>
          <w:color w:val="231F20"/>
          <w:spacing w:val="-25"/>
          <w:w w:val="105"/>
          <w:sz w:val="21"/>
        </w:rPr>
        <w:t> </w:t>
      </w:r>
      <w:r>
        <w:rPr>
          <w:color w:val="231F20"/>
          <w:spacing w:val="-3"/>
          <w:w w:val="105"/>
          <w:sz w:val="21"/>
        </w:rPr>
        <w:t>Universidad</w:t>
      </w:r>
      <w:r>
        <w:rPr>
          <w:color w:val="231F20"/>
          <w:spacing w:val="-24"/>
          <w:w w:val="105"/>
          <w:sz w:val="21"/>
        </w:rPr>
        <w:t> </w:t>
      </w:r>
      <w:r>
        <w:rPr>
          <w:color w:val="231F20"/>
          <w:spacing w:val="-3"/>
          <w:w w:val="105"/>
          <w:sz w:val="21"/>
        </w:rPr>
        <w:t>Autónoma</w:t>
      </w:r>
      <w:r>
        <w:rPr>
          <w:color w:val="231F20"/>
          <w:spacing w:val="-20"/>
          <w:w w:val="105"/>
          <w:sz w:val="21"/>
        </w:rPr>
        <w:t> </w:t>
      </w:r>
      <w:r>
        <w:rPr>
          <w:color w:val="231F20"/>
          <w:w w:val="105"/>
          <w:sz w:val="21"/>
        </w:rPr>
        <w:t>del</w:t>
      </w:r>
      <w:r>
        <w:rPr>
          <w:color w:val="231F20"/>
          <w:spacing w:val="-20"/>
          <w:w w:val="105"/>
          <w:sz w:val="21"/>
        </w:rPr>
        <w:t> </w:t>
      </w:r>
      <w:r>
        <w:rPr>
          <w:color w:val="231F20"/>
          <w:spacing w:val="-3"/>
          <w:w w:val="105"/>
          <w:sz w:val="21"/>
        </w:rPr>
        <w:t>Estado</w:t>
      </w:r>
      <w:r>
        <w:rPr>
          <w:color w:val="231F20"/>
          <w:spacing w:val="-20"/>
          <w:w w:val="105"/>
          <w:sz w:val="21"/>
        </w:rPr>
        <w:t> </w:t>
      </w:r>
      <w:r>
        <w:rPr>
          <w:color w:val="231F20"/>
          <w:w w:val="105"/>
          <w:sz w:val="21"/>
        </w:rPr>
        <w:t>de</w:t>
      </w:r>
      <w:r>
        <w:rPr>
          <w:color w:val="231F20"/>
          <w:spacing w:val="-20"/>
          <w:w w:val="105"/>
          <w:sz w:val="21"/>
        </w:rPr>
        <w:t> </w:t>
      </w:r>
      <w:r>
        <w:rPr>
          <w:color w:val="231F20"/>
          <w:spacing w:val="-3"/>
          <w:w w:val="105"/>
          <w:sz w:val="21"/>
        </w:rPr>
        <w:t>México,</w:t>
      </w:r>
      <w:r>
        <w:rPr>
          <w:color w:val="231F20"/>
          <w:spacing w:val="-29"/>
          <w:w w:val="105"/>
          <w:sz w:val="21"/>
        </w:rPr>
        <w:t> </w:t>
      </w:r>
      <w:r>
        <w:rPr>
          <w:color w:val="231F20"/>
          <w:spacing w:val="-6"/>
          <w:w w:val="105"/>
          <w:sz w:val="21"/>
        </w:rPr>
        <w:t>Toluca,</w:t>
      </w:r>
      <w:r>
        <w:rPr>
          <w:color w:val="231F20"/>
          <w:spacing w:val="-25"/>
          <w:w w:val="105"/>
          <w:sz w:val="21"/>
        </w:rPr>
        <w:t> </w:t>
      </w:r>
      <w:r>
        <w:rPr>
          <w:color w:val="231F20"/>
          <w:spacing w:val="-3"/>
          <w:w w:val="105"/>
          <w:sz w:val="21"/>
        </w:rPr>
        <w:t>México.</w:t>
      </w:r>
    </w:p>
    <w:p>
      <w:pPr>
        <w:spacing w:line="259" w:lineRule="auto" w:before="0"/>
        <w:ind w:left="2460" w:right="1778" w:hanging="738"/>
        <w:jc w:val="both"/>
        <w:rPr>
          <w:sz w:val="21"/>
        </w:rPr>
      </w:pPr>
      <w:r>
        <w:rPr>
          <w:color w:val="231F20"/>
          <w:sz w:val="21"/>
        </w:rPr>
        <w:t>Secretaría</w:t>
      </w:r>
      <w:r>
        <w:rPr>
          <w:color w:val="231F20"/>
          <w:spacing w:val="-10"/>
          <w:sz w:val="21"/>
        </w:rPr>
        <w:t> </w:t>
      </w:r>
      <w:r>
        <w:rPr>
          <w:color w:val="231F20"/>
          <w:sz w:val="21"/>
        </w:rPr>
        <w:t>de</w:t>
      </w:r>
      <w:r>
        <w:rPr>
          <w:color w:val="231F20"/>
          <w:spacing w:val="-10"/>
          <w:sz w:val="21"/>
        </w:rPr>
        <w:t> </w:t>
      </w:r>
      <w:r>
        <w:rPr>
          <w:color w:val="231F20"/>
          <w:sz w:val="21"/>
        </w:rPr>
        <w:t>Salud</w:t>
      </w:r>
      <w:r>
        <w:rPr>
          <w:color w:val="231F20"/>
          <w:spacing w:val="-10"/>
          <w:sz w:val="21"/>
        </w:rPr>
        <w:t> </w:t>
      </w:r>
      <w:r>
        <w:rPr>
          <w:color w:val="231F20"/>
          <w:sz w:val="21"/>
        </w:rPr>
        <w:t>(</w:t>
      </w:r>
      <w:r>
        <w:rPr>
          <w:color w:val="231F20"/>
          <w:sz w:val="17"/>
        </w:rPr>
        <w:t>SS</w:t>
      </w:r>
      <w:r>
        <w:rPr>
          <w:color w:val="231F20"/>
          <w:sz w:val="21"/>
        </w:rPr>
        <w:t>),</w:t>
      </w:r>
      <w:r>
        <w:rPr>
          <w:color w:val="231F20"/>
          <w:spacing w:val="-17"/>
          <w:sz w:val="21"/>
        </w:rPr>
        <w:t> </w:t>
      </w:r>
      <w:r>
        <w:rPr>
          <w:color w:val="231F20"/>
          <w:sz w:val="21"/>
        </w:rPr>
        <w:t>(2007),</w:t>
      </w:r>
      <w:r>
        <w:rPr>
          <w:color w:val="231F20"/>
          <w:spacing w:val="-10"/>
          <w:sz w:val="21"/>
        </w:rPr>
        <w:t> </w:t>
      </w:r>
      <w:r>
        <w:rPr>
          <w:rFonts w:ascii="Arial" w:hAnsi="Arial"/>
          <w:i/>
          <w:color w:val="231F20"/>
          <w:spacing w:val="-3"/>
          <w:sz w:val="21"/>
        </w:rPr>
        <w:t>Programa</w:t>
      </w:r>
      <w:r>
        <w:rPr>
          <w:rFonts w:ascii="Arial" w:hAnsi="Arial"/>
          <w:i/>
          <w:color w:val="231F20"/>
          <w:spacing w:val="-12"/>
          <w:sz w:val="21"/>
        </w:rPr>
        <w:t> </w:t>
      </w:r>
      <w:r>
        <w:rPr>
          <w:rFonts w:ascii="Arial" w:hAnsi="Arial"/>
          <w:i/>
          <w:color w:val="231F20"/>
          <w:sz w:val="21"/>
        </w:rPr>
        <w:t>de</w:t>
      </w:r>
      <w:r>
        <w:rPr>
          <w:rFonts w:ascii="Arial" w:hAnsi="Arial"/>
          <w:i/>
          <w:color w:val="231F20"/>
          <w:spacing w:val="-16"/>
          <w:sz w:val="21"/>
        </w:rPr>
        <w:t> </w:t>
      </w:r>
      <w:r>
        <w:rPr>
          <w:rFonts w:ascii="Arial" w:hAnsi="Arial"/>
          <w:i/>
          <w:color w:val="231F20"/>
          <w:sz w:val="21"/>
        </w:rPr>
        <w:t>Acción</w:t>
      </w:r>
      <w:r>
        <w:rPr>
          <w:rFonts w:ascii="Arial" w:hAnsi="Arial"/>
          <w:i/>
          <w:color w:val="231F20"/>
          <w:spacing w:val="-12"/>
          <w:sz w:val="21"/>
        </w:rPr>
        <w:t> </w:t>
      </w:r>
      <w:r>
        <w:rPr>
          <w:rFonts w:ascii="Arial" w:hAnsi="Arial"/>
          <w:i/>
          <w:color w:val="231F20"/>
          <w:sz w:val="21"/>
        </w:rPr>
        <w:t>Específico</w:t>
      </w:r>
      <w:r>
        <w:rPr>
          <w:rFonts w:ascii="Arial" w:hAnsi="Arial"/>
          <w:i/>
          <w:color w:val="231F20"/>
          <w:spacing w:val="-12"/>
          <w:sz w:val="21"/>
        </w:rPr>
        <w:t> </w:t>
      </w:r>
      <w:r>
        <w:rPr>
          <w:rFonts w:ascii="Arial" w:hAnsi="Arial"/>
          <w:i/>
          <w:color w:val="231F20"/>
          <w:sz w:val="21"/>
        </w:rPr>
        <w:t>2007-2012 </w:t>
      </w:r>
      <w:r>
        <w:rPr>
          <w:rFonts w:ascii="Arial" w:hAnsi="Arial"/>
          <w:i/>
          <w:color w:val="231F20"/>
          <w:sz w:val="21"/>
        </w:rPr>
        <w:t>Vete Sano, Regresa Sano</w:t>
      </w:r>
      <w:r>
        <w:rPr>
          <w:color w:val="231F20"/>
          <w:sz w:val="21"/>
        </w:rPr>
        <w:t>, México: Subsecretaría de Prevención y Promoción de la</w:t>
      </w:r>
      <w:r>
        <w:rPr>
          <w:color w:val="231F20"/>
          <w:spacing w:val="33"/>
          <w:sz w:val="21"/>
        </w:rPr>
        <w:t> </w:t>
      </w:r>
      <w:r>
        <w:rPr>
          <w:color w:val="231F20"/>
          <w:sz w:val="21"/>
        </w:rPr>
        <w:t>Salud.</w:t>
      </w:r>
    </w:p>
    <w:p>
      <w:pPr>
        <w:pStyle w:val="BodyText"/>
        <w:rPr>
          <w:sz w:val="20"/>
        </w:rPr>
      </w:pPr>
    </w:p>
    <w:p>
      <w:pPr>
        <w:pStyle w:val="BodyText"/>
        <w:rPr>
          <w:sz w:val="20"/>
        </w:rPr>
      </w:pPr>
    </w:p>
    <w:p>
      <w:pPr>
        <w:pStyle w:val="BodyText"/>
        <w:spacing w:before="2"/>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64992" from="131.551193pt,3.703715pt" to="131.551193pt,39.506114pt" stroked="true" strokeweight=".35pt" strokecolor="#231f20">
            <w10:wrap type="none"/>
          </v:line>
        </w:pict>
      </w:r>
      <w:r>
        <w:rPr/>
        <w:pict>
          <v:line style="position:absolute;mso-position-horizontal-relative:page;mso-position-vertical-relative:paragraph;z-index:-464920" from="15pt,39.505917pt" to="0pt,39.505917pt" stroked="true" strokeweight=".25pt" strokecolor="#000000">
            <w10:wrap type="none"/>
          </v:line>
        </w:pict>
      </w:r>
      <w:r>
        <w:rPr/>
        <w:pict>
          <v:line style="position:absolute;mso-position-horizontal-relative:page;mso-position-vertical-relative:paragraph;z-index:25288" from="508.890015pt,39.505917pt" to="523.890015pt,39.505917pt" stroked="true" strokeweight=".25pt" strokecolor="#000000">
            <w10:wrap type="none"/>
          </v:line>
        </w:pict>
      </w:r>
      <w:r>
        <w:rPr>
          <w:rFonts w:ascii="Arial" w:hAnsi="Arial"/>
          <w:color w:val="414042"/>
          <w:w w:val="105"/>
          <w:position w:val="-5"/>
          <w:sz w:val="20"/>
        </w:rPr>
        <w:t>200</w:t>
        <w:tab/>
      </w:r>
      <w:r>
        <w:rPr>
          <w:rFonts w:ascii="Calibri" w:hAnsi="Calibri"/>
          <w:color w:val="6D6E71"/>
          <w:w w:val="105"/>
          <w:sz w:val="15"/>
        </w:rPr>
        <w:t>Giovanni</w:t>
      </w:r>
      <w:r>
        <w:rPr>
          <w:rFonts w:ascii="Calibri" w:hAnsi="Calibri"/>
          <w:color w:val="6D6E71"/>
          <w:spacing w:val="-14"/>
          <w:w w:val="105"/>
          <w:sz w:val="15"/>
        </w:rPr>
        <w:t> </w:t>
      </w:r>
      <w:r>
        <w:rPr>
          <w:rFonts w:ascii="Calibri" w:hAnsi="Calibri"/>
          <w:color w:val="6D6E71"/>
          <w:w w:val="105"/>
          <w:sz w:val="15"/>
        </w:rPr>
        <w:t>Alberto</w:t>
      </w:r>
      <w:r>
        <w:rPr>
          <w:rFonts w:ascii="Calibri" w:hAnsi="Calibri"/>
          <w:color w:val="6D6E71"/>
          <w:spacing w:val="-14"/>
          <w:w w:val="105"/>
          <w:sz w:val="15"/>
        </w:rPr>
        <w:t> </w:t>
      </w:r>
      <w:r>
        <w:rPr>
          <w:rFonts w:ascii="Calibri" w:hAnsi="Calibri"/>
          <w:color w:val="6D6E71"/>
          <w:w w:val="105"/>
          <w:sz w:val="15"/>
        </w:rPr>
        <w:t>Macías</w:t>
      </w:r>
      <w:r>
        <w:rPr>
          <w:rFonts w:ascii="Calibri" w:hAnsi="Calibri"/>
          <w:color w:val="6D6E71"/>
          <w:spacing w:val="-14"/>
          <w:w w:val="105"/>
          <w:sz w:val="15"/>
        </w:rPr>
        <w:t> </w:t>
      </w:r>
      <w:r>
        <w:rPr>
          <w:rFonts w:ascii="Calibri" w:hAnsi="Calibri"/>
          <w:color w:val="6D6E71"/>
          <w:w w:val="105"/>
          <w:sz w:val="15"/>
        </w:rPr>
        <w:t>Suárez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footerReference w:type="default" r:id="rId290"/>
          <w:pgSz w:w="10480" w:h="14730"/>
          <w:pgMar w:footer="223" w:header="0" w:top="300" w:bottom="420" w:left="0" w:right="0"/>
        </w:sectPr>
      </w:pPr>
    </w:p>
    <w:p>
      <w:pPr>
        <w:pStyle w:val="BodyText"/>
        <w:spacing w:before="4"/>
        <w:rPr>
          <w:rFonts w:ascii="Calibri"/>
          <w:sz w:val="15"/>
        </w:rPr>
      </w:pPr>
    </w:p>
    <w:p>
      <w:pPr>
        <w:spacing w:line="198" w:lineRule="exact" w:before="0"/>
        <w:ind w:left="3932" w:right="-6" w:firstLine="0"/>
        <w:jc w:val="left"/>
        <w:rPr>
          <w:rFonts w:ascii="Lucida Sans Unicode"/>
          <w:sz w:val="14"/>
        </w:rPr>
      </w:pPr>
      <w:r>
        <w:rPr/>
        <w:pict>
          <v:line style="position:absolute;mso-position-horizontal-relative:page;mso-position-vertical-relative:paragraph;z-index:25312" from="405.061005pt,-27.904295pt" to="405.061005pt,6.961579pt" stroked="true" strokeweight=".35pt" strokecolor="#231f20">
            <w10:wrap type="none"/>
          </v:line>
        </w:pict>
      </w:r>
      <w:r>
        <w:rPr/>
        <w:pict>
          <v:line style="position:absolute;mso-position-horizontal-relative:page;mso-position-vertical-relative:paragraph;z-index:25336" from="15pt,-27.90452pt" to="0pt,-27.90452pt" stroked="true" strokeweight=".25pt" strokecolor="#000000">
            <w10:wrap type="none"/>
          </v:line>
        </w:pict>
      </w:r>
      <w:r>
        <w:rPr/>
        <w:pict>
          <v:line style="position:absolute;mso-position-horizontal-relative:page;mso-position-vertical-relative:paragraph;z-index:25360" from="508.890015pt,-27.90452pt" to="523.890015pt,-27.90452pt" stroked="true" strokeweight=".25pt" strokecolor="#000000">
            <w10:wrap type="none"/>
          </v:line>
        </w:pict>
      </w:r>
      <w:r>
        <w:rPr>
          <w:rFonts w:ascii="Lucida Sans Unicode"/>
          <w:color w:val="6D6E71"/>
          <w:w w:val="105"/>
          <w:sz w:val="14"/>
        </w:rPr>
        <w:t>Acceso</w:t>
      </w:r>
      <w:r>
        <w:rPr>
          <w:rFonts w:ascii="Lucida Sans Unicode"/>
          <w:color w:val="6D6E71"/>
          <w:spacing w:val="-24"/>
          <w:w w:val="105"/>
          <w:sz w:val="14"/>
        </w:rPr>
        <w:t> </w:t>
      </w:r>
      <w:r>
        <w:rPr>
          <w:rFonts w:ascii="Lucida Sans Unicode"/>
          <w:color w:val="6D6E71"/>
          <w:w w:val="105"/>
          <w:sz w:val="14"/>
        </w:rPr>
        <w:t>A</w:t>
      </w:r>
      <w:r>
        <w:rPr>
          <w:rFonts w:ascii="Lucida Sans Unicode"/>
          <w:color w:val="6D6E71"/>
          <w:spacing w:val="-24"/>
          <w:w w:val="105"/>
          <w:sz w:val="14"/>
        </w:rPr>
        <w:t> </w:t>
      </w:r>
      <w:r>
        <w:rPr>
          <w:rFonts w:ascii="Lucida Sans Unicode"/>
          <w:color w:val="6D6E71"/>
          <w:w w:val="105"/>
          <w:sz w:val="14"/>
        </w:rPr>
        <w:t>los</w:t>
      </w:r>
      <w:r>
        <w:rPr>
          <w:rFonts w:ascii="Lucida Sans Unicode"/>
          <w:color w:val="6D6E71"/>
          <w:spacing w:val="-24"/>
          <w:w w:val="105"/>
          <w:sz w:val="14"/>
        </w:rPr>
        <w:t> </w:t>
      </w:r>
      <w:r>
        <w:rPr>
          <w:rFonts w:ascii="Lucida Sans Unicode"/>
          <w:color w:val="6D6E71"/>
          <w:w w:val="105"/>
          <w:sz w:val="14"/>
        </w:rPr>
        <w:t>servicios</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sAlud</w:t>
      </w:r>
      <w:r>
        <w:rPr>
          <w:rFonts w:ascii="Lucida Sans Unicode"/>
          <w:color w:val="6D6E71"/>
          <w:spacing w:val="-24"/>
          <w:w w:val="105"/>
          <w:sz w:val="14"/>
        </w:rPr>
        <w:t> </w:t>
      </w:r>
      <w:r>
        <w:rPr>
          <w:rFonts w:ascii="Lucida Sans Unicode"/>
          <w:color w:val="6D6E71"/>
          <w:w w:val="105"/>
          <w:sz w:val="14"/>
        </w:rPr>
        <w:t>de</w:t>
      </w:r>
      <w:r>
        <w:rPr>
          <w:rFonts w:ascii="Lucida Sans Unicode"/>
          <w:color w:val="6D6E71"/>
          <w:spacing w:val="-24"/>
          <w:w w:val="105"/>
          <w:sz w:val="14"/>
        </w:rPr>
        <w:t> </w:t>
      </w:r>
      <w:r>
        <w:rPr>
          <w:rFonts w:ascii="Lucida Sans Unicode"/>
          <w:color w:val="6D6E71"/>
          <w:w w:val="105"/>
          <w:sz w:val="14"/>
        </w:rPr>
        <w:t>migrAntes</w:t>
      </w:r>
      <w:r>
        <w:rPr>
          <w:rFonts w:ascii="Lucida Sans Unicode"/>
          <w:color w:val="6D6E71"/>
          <w:spacing w:val="-24"/>
          <w:w w:val="105"/>
          <w:sz w:val="14"/>
        </w:rPr>
        <w:t> </w:t>
      </w:r>
      <w:r>
        <w:rPr>
          <w:rFonts w:ascii="Lucida Sans Unicode"/>
          <w:color w:val="6D6E71"/>
          <w:w w:val="105"/>
          <w:sz w:val="14"/>
        </w:rPr>
        <w:t>mexiquenses</w:t>
      </w:r>
    </w:p>
    <w:p>
      <w:pPr>
        <w:spacing w:line="198" w:lineRule="exact" w:before="0"/>
        <w:ind w:left="5165" w:right="-13" w:firstLine="0"/>
        <w:jc w:val="left"/>
        <w:rPr>
          <w:rFonts w:ascii="Lucida Sans Unicode"/>
          <w:sz w:val="14"/>
        </w:rPr>
      </w:pPr>
      <w:r>
        <w:rPr>
          <w:rFonts w:ascii="Lucida Sans Unicode"/>
          <w:color w:val="6D6E71"/>
          <w:w w:val="105"/>
          <w:sz w:val="14"/>
        </w:rPr>
        <w:t>en flujo procedentes de estAdos</w:t>
      </w:r>
      <w:r>
        <w:rPr>
          <w:rFonts w:ascii="Lucida Sans Unicode"/>
          <w:color w:val="6D6E71"/>
          <w:spacing w:val="-26"/>
          <w:w w:val="105"/>
          <w:sz w:val="14"/>
        </w:rPr>
        <w:t> </w:t>
      </w:r>
      <w:r>
        <w:rPr>
          <w:rFonts w:asci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201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spacing w:line="259" w:lineRule="auto" w:before="60"/>
        <w:ind w:left="2574" w:right="1724" w:hanging="738"/>
        <w:jc w:val="both"/>
        <w:rPr>
          <w:sz w:val="21"/>
        </w:rPr>
      </w:pPr>
      <w:r>
        <w:rPr>
          <w:color w:val="231F20"/>
          <w:spacing w:val="-4"/>
          <w:sz w:val="21"/>
        </w:rPr>
        <w:t>Secretaría </w:t>
      </w:r>
      <w:r>
        <w:rPr>
          <w:color w:val="231F20"/>
          <w:spacing w:val="-3"/>
          <w:sz w:val="21"/>
        </w:rPr>
        <w:t>del </w:t>
      </w:r>
      <w:r>
        <w:rPr>
          <w:color w:val="231F20"/>
          <w:spacing w:val="-7"/>
          <w:sz w:val="21"/>
        </w:rPr>
        <w:t>Trabajo </w:t>
      </w:r>
      <w:r>
        <w:rPr>
          <w:color w:val="231F20"/>
          <w:sz w:val="21"/>
        </w:rPr>
        <w:t>y </w:t>
      </w:r>
      <w:r>
        <w:rPr>
          <w:color w:val="231F20"/>
          <w:spacing w:val="-5"/>
          <w:sz w:val="21"/>
        </w:rPr>
        <w:t>Previsión </w:t>
      </w:r>
      <w:r>
        <w:rPr>
          <w:color w:val="231F20"/>
          <w:spacing w:val="-4"/>
          <w:sz w:val="21"/>
        </w:rPr>
        <w:t>Social, Instituto Nacional </w:t>
      </w:r>
      <w:r>
        <w:rPr>
          <w:color w:val="231F20"/>
          <w:sz w:val="21"/>
        </w:rPr>
        <w:t>de </w:t>
      </w:r>
      <w:r>
        <w:rPr>
          <w:color w:val="231F20"/>
          <w:spacing w:val="-4"/>
          <w:sz w:val="21"/>
        </w:rPr>
        <w:t>Migración </w:t>
      </w:r>
      <w:r>
        <w:rPr>
          <w:color w:val="231F20"/>
          <w:sz w:val="21"/>
        </w:rPr>
        <w:t>y </w:t>
      </w:r>
      <w:r>
        <w:rPr>
          <w:color w:val="231F20"/>
          <w:spacing w:val="-4"/>
          <w:sz w:val="21"/>
        </w:rPr>
        <w:t>El Colegio </w:t>
      </w:r>
      <w:r>
        <w:rPr>
          <w:color w:val="231F20"/>
          <w:sz w:val="21"/>
        </w:rPr>
        <w:t>de la </w:t>
      </w:r>
      <w:r>
        <w:rPr>
          <w:color w:val="231F20"/>
          <w:spacing w:val="-6"/>
          <w:sz w:val="21"/>
        </w:rPr>
        <w:t>Frontera </w:t>
      </w:r>
      <w:r>
        <w:rPr>
          <w:color w:val="231F20"/>
          <w:spacing w:val="-4"/>
          <w:sz w:val="21"/>
        </w:rPr>
        <w:t>Norte, (2002), </w:t>
      </w:r>
      <w:r>
        <w:rPr>
          <w:rFonts w:ascii="Arial" w:hAnsi="Arial"/>
          <w:i/>
          <w:color w:val="231F20"/>
          <w:spacing w:val="-4"/>
          <w:sz w:val="21"/>
        </w:rPr>
        <w:t>Encuesta sobre Migración en </w:t>
      </w:r>
      <w:r>
        <w:rPr>
          <w:rFonts w:ascii="Arial" w:hAnsi="Arial"/>
          <w:i/>
          <w:color w:val="231F20"/>
          <w:spacing w:val="50"/>
          <w:sz w:val="21"/>
        </w:rPr>
        <w:t> </w:t>
      </w:r>
      <w:r>
        <w:rPr>
          <w:rFonts w:ascii="Arial" w:hAnsi="Arial"/>
          <w:i/>
          <w:color w:val="231F20"/>
          <w:sz w:val="21"/>
        </w:rPr>
        <w:t>la </w:t>
      </w:r>
      <w:r>
        <w:rPr>
          <w:rFonts w:ascii="Arial" w:hAnsi="Arial"/>
          <w:i/>
          <w:color w:val="231F20"/>
          <w:spacing w:val="-5"/>
          <w:sz w:val="21"/>
        </w:rPr>
        <w:t>Frontera </w:t>
      </w:r>
      <w:r>
        <w:rPr>
          <w:rFonts w:ascii="Arial" w:hAnsi="Arial"/>
          <w:i/>
          <w:color w:val="231F20"/>
          <w:spacing w:val="-4"/>
          <w:sz w:val="21"/>
        </w:rPr>
        <w:t>Norte </w:t>
      </w:r>
      <w:r>
        <w:rPr>
          <w:rFonts w:ascii="Arial" w:hAnsi="Arial"/>
          <w:i/>
          <w:color w:val="231F20"/>
          <w:sz w:val="21"/>
        </w:rPr>
        <w:t>de </w:t>
      </w:r>
      <w:r>
        <w:rPr>
          <w:rFonts w:ascii="Arial" w:hAnsi="Arial"/>
          <w:i/>
          <w:color w:val="231F20"/>
          <w:spacing w:val="-4"/>
          <w:sz w:val="21"/>
        </w:rPr>
        <w:t>México 1999-2000</w:t>
      </w:r>
      <w:r>
        <w:rPr>
          <w:color w:val="231F20"/>
          <w:spacing w:val="-4"/>
          <w:sz w:val="21"/>
        </w:rPr>
        <w:t>, México: </w:t>
      </w:r>
      <w:r>
        <w:rPr>
          <w:color w:val="231F20"/>
          <w:spacing w:val="2"/>
          <w:sz w:val="21"/>
        </w:rPr>
        <w:t> </w:t>
      </w:r>
      <w:r>
        <w:rPr>
          <w:color w:val="231F20"/>
          <w:spacing w:val="-4"/>
          <w:sz w:val="17"/>
        </w:rPr>
        <w:t>ST</w:t>
      </w:r>
      <w:r>
        <w:rPr>
          <w:color w:val="231F20"/>
          <w:spacing w:val="-4"/>
          <w:sz w:val="21"/>
        </w:rPr>
        <w:t>y</w:t>
      </w:r>
      <w:r>
        <w:rPr>
          <w:color w:val="231F20"/>
          <w:spacing w:val="-4"/>
          <w:sz w:val="17"/>
        </w:rPr>
        <w:t>PS</w:t>
      </w:r>
      <w:r>
        <w:rPr>
          <w:color w:val="231F20"/>
          <w:spacing w:val="-4"/>
          <w:sz w:val="21"/>
        </w:rPr>
        <w:t>/</w:t>
      </w:r>
      <w:r>
        <w:rPr>
          <w:color w:val="231F20"/>
          <w:spacing w:val="-4"/>
          <w:sz w:val="17"/>
        </w:rPr>
        <w:t>INM</w:t>
      </w:r>
      <w:r>
        <w:rPr>
          <w:color w:val="231F20"/>
          <w:spacing w:val="-4"/>
          <w:sz w:val="21"/>
        </w:rPr>
        <w:t>/</w:t>
      </w:r>
      <w:r>
        <w:rPr>
          <w:color w:val="231F20"/>
          <w:spacing w:val="-4"/>
          <w:sz w:val="17"/>
        </w:rPr>
        <w:t>COLEF</w:t>
      </w:r>
      <w:r>
        <w:rPr>
          <w:color w:val="231F20"/>
          <w:spacing w:val="-4"/>
          <w:sz w:val="21"/>
        </w:rPr>
        <w:t>.</w:t>
      </w:r>
    </w:p>
    <w:p>
      <w:pPr>
        <w:pStyle w:val="BodyText"/>
        <w:spacing w:line="261" w:lineRule="auto" w:before="3"/>
        <w:ind w:left="2574" w:right="1715" w:hanging="737"/>
        <w:jc w:val="both"/>
      </w:pPr>
      <w:r>
        <w:rPr>
          <w:color w:val="231F20"/>
          <w:w w:val="105"/>
        </w:rPr>
        <w:t>Sistema</w:t>
      </w:r>
      <w:r>
        <w:rPr>
          <w:color w:val="231F20"/>
          <w:spacing w:val="-15"/>
          <w:w w:val="105"/>
        </w:rPr>
        <w:t> </w:t>
      </w:r>
      <w:r>
        <w:rPr>
          <w:color w:val="231F20"/>
          <w:w w:val="105"/>
        </w:rPr>
        <w:t>Único</w:t>
      </w:r>
      <w:r>
        <w:rPr>
          <w:color w:val="231F20"/>
          <w:spacing w:val="-15"/>
          <w:w w:val="105"/>
        </w:rPr>
        <w:t> </w:t>
      </w:r>
      <w:r>
        <w:rPr>
          <w:color w:val="231F20"/>
          <w:w w:val="105"/>
        </w:rPr>
        <w:t>de</w:t>
      </w:r>
      <w:r>
        <w:rPr>
          <w:color w:val="231F20"/>
          <w:spacing w:val="-15"/>
          <w:w w:val="105"/>
        </w:rPr>
        <w:t> </w:t>
      </w:r>
      <w:r>
        <w:rPr>
          <w:color w:val="231F20"/>
          <w:w w:val="105"/>
        </w:rPr>
        <w:t>Información</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7"/>
          <w:w w:val="105"/>
        </w:rPr>
        <w:t> </w:t>
      </w:r>
      <w:r>
        <w:rPr>
          <w:color w:val="231F20"/>
          <w:w w:val="105"/>
        </w:rPr>
        <w:t>Vigilancia</w:t>
      </w:r>
      <w:r>
        <w:rPr>
          <w:color w:val="231F20"/>
          <w:spacing w:val="-15"/>
          <w:w w:val="105"/>
        </w:rPr>
        <w:t> </w:t>
      </w:r>
      <w:r>
        <w:rPr>
          <w:color w:val="231F20"/>
          <w:w w:val="105"/>
        </w:rPr>
        <w:t>Epidemiológica</w:t>
      </w:r>
      <w:r>
        <w:rPr>
          <w:color w:val="231F20"/>
          <w:spacing w:val="-15"/>
          <w:w w:val="105"/>
        </w:rPr>
        <w:t> </w:t>
      </w:r>
      <w:r>
        <w:rPr>
          <w:color w:val="231F20"/>
          <w:w w:val="105"/>
        </w:rPr>
        <w:t>(</w:t>
      </w:r>
      <w:r>
        <w:rPr>
          <w:color w:val="231F20"/>
          <w:w w:val="105"/>
          <w:sz w:val="17"/>
        </w:rPr>
        <w:t>SUIVE</w:t>
      </w:r>
      <w:r>
        <w:rPr>
          <w:color w:val="231F20"/>
          <w:w w:val="105"/>
        </w:rPr>
        <w:t>), (2013), </w:t>
      </w:r>
      <w:r>
        <w:rPr>
          <w:rFonts w:ascii="Arial" w:hAnsi="Arial"/>
          <w:i/>
          <w:color w:val="231F20"/>
          <w:w w:val="105"/>
        </w:rPr>
        <w:t>Informe epidemiológico</w:t>
      </w:r>
      <w:r>
        <w:rPr>
          <w:color w:val="231F20"/>
          <w:w w:val="105"/>
        </w:rPr>
        <w:t>, México: Dirección General de Epidemiología/Secretaría</w:t>
      </w:r>
      <w:r>
        <w:rPr>
          <w:color w:val="231F20"/>
          <w:spacing w:val="-28"/>
          <w:w w:val="105"/>
        </w:rPr>
        <w:t> </w:t>
      </w:r>
      <w:r>
        <w:rPr>
          <w:color w:val="231F20"/>
          <w:w w:val="105"/>
        </w:rPr>
        <w:t>de</w:t>
      </w:r>
      <w:r>
        <w:rPr>
          <w:color w:val="231F20"/>
          <w:spacing w:val="-28"/>
          <w:w w:val="105"/>
        </w:rPr>
        <w:t> </w:t>
      </w:r>
      <w:r>
        <w:rPr>
          <w:color w:val="231F20"/>
          <w:w w:val="105"/>
        </w:rPr>
        <w:t>Salud.</w:t>
      </w:r>
    </w:p>
    <w:p>
      <w:pPr>
        <w:spacing w:after="0" w:line="261" w:lineRule="auto"/>
        <w:jc w:val="both"/>
        <w:sectPr>
          <w:type w:val="continuous"/>
          <w:pgSz w:w="10480" w:h="14730"/>
          <w:pgMar w:top="0" w:bottom="0" w:left="0" w:right="0"/>
        </w:sectPr>
      </w:pPr>
    </w:p>
    <w:p>
      <w:pPr>
        <w:pStyle w:val="BodyText"/>
        <w:spacing w:before="4"/>
        <w:rPr>
          <w:rFonts w:ascii="Times New Roman"/>
          <w:sz w:val="17"/>
        </w:rPr>
      </w:pPr>
    </w:p>
    <w:p>
      <w:pPr>
        <w:spacing w:after="0"/>
        <w:rPr>
          <w:rFonts w:ascii="Times New Roman"/>
          <w:sz w:val="17"/>
        </w:rPr>
        <w:sectPr>
          <w:headerReference w:type="default" r:id="rId291"/>
          <w:footerReference w:type="default" r:id="rId292"/>
          <w:pgSz w:w="10480" w:h="14730"/>
          <w:pgMar w:header="0" w:footer="223" w:top="420" w:bottom="420" w:left="0" w:right="0"/>
        </w:sectPr>
      </w:pPr>
    </w:p>
    <w:p>
      <w:pPr>
        <w:pStyle w:val="BodyText"/>
        <w:rPr>
          <w:rFonts w:ascii="Times New Roman"/>
          <w:sz w:val="20"/>
        </w:rPr>
      </w:pPr>
      <w:r>
        <w:rPr/>
        <w:pict>
          <v:group style="position:absolute;margin-left:21pt;margin-top:20.999975pt;width:481.9pt;height:694.5pt;mso-position-horizontal-relative:page;mso-position-vertical-relative:page;z-index:-464800" coordorigin="420,420" coordsize="9638,13890">
            <v:rect style="position:absolute;left:420;top:420;width:9638;height:13890" filled="true" fillcolor="#77787b" stroked="false">
              <v:fill type="solid"/>
            </v:rect>
            <v:shape style="position:absolute;left:420;top:6577;width:9638;height:7733" type="#_x0000_t75" stroked="false">
              <v:imagedata r:id="rId101"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9"/>
        </w:rPr>
      </w:pPr>
    </w:p>
    <w:p>
      <w:pPr>
        <w:pStyle w:val="Heading2"/>
        <w:spacing w:line="187" w:lineRule="auto"/>
        <w:ind w:left="2457" w:right="4687" w:firstLine="417"/>
      </w:pPr>
      <w:r>
        <w:rPr>
          <w:color w:val="FFFFFF"/>
          <w:w w:val="95"/>
        </w:rPr>
        <w:t>DE REftRESO AL TERRUñO: </w:t>
      </w:r>
      <w:r>
        <w:rPr>
          <w:color w:val="FFFFFF"/>
          <w:w w:val="90"/>
        </w:rPr>
        <w:t>REINSERCIÓN SOCIOCULTURAL</w:t>
      </w:r>
    </w:p>
    <w:p>
      <w:pPr>
        <w:spacing w:line="187" w:lineRule="auto" w:before="0"/>
        <w:ind w:left="2606" w:right="4922" w:firstLine="278"/>
        <w:jc w:val="left"/>
        <w:rPr>
          <w:rFonts w:ascii="Lucida Sans Unicode"/>
          <w:sz w:val="24"/>
        </w:rPr>
      </w:pPr>
      <w:r>
        <w:rPr>
          <w:rFonts w:ascii="Lucida Sans Unicode"/>
          <w:color w:val="FFFFFF"/>
          <w:sz w:val="24"/>
        </w:rPr>
        <w:t>DE MIftRANTES IND </w:t>
      </w:r>
      <w:r>
        <w:rPr>
          <w:rFonts w:ascii="Lucida Sans Unicode"/>
          <w:color w:val="FFFFFF"/>
          <w:w w:val="90"/>
          <w:sz w:val="24"/>
        </w:rPr>
        <w:t>MAzAHUAS RETORNADOS</w:t>
      </w:r>
    </w:p>
    <w:p>
      <w:pPr>
        <w:tabs>
          <w:tab w:pos="1188" w:val="left" w:leader="none"/>
        </w:tabs>
        <w:spacing w:line="311" w:lineRule="exact" w:before="0"/>
        <w:ind w:left="0" w:right="952" w:firstLine="0"/>
        <w:jc w:val="center"/>
        <w:rPr>
          <w:rFonts w:ascii="Lucida Sans Unicode"/>
          <w:sz w:val="24"/>
        </w:rPr>
      </w:pPr>
      <w:r>
        <w:rPr>
          <w:rFonts w:ascii="Lucida Sans Unicode"/>
          <w:color w:val="FFFFFF"/>
          <w:sz w:val="24"/>
        </w:rPr>
        <w:t>ESTADOS</w:t>
        <w:tab/>
        <w:t>NIDOS</w:t>
      </w:r>
    </w:p>
    <w:p>
      <w:pPr>
        <w:pStyle w:val="Heading4"/>
        <w:spacing w:before="81"/>
        <w:rPr>
          <w:sz w:val="18"/>
        </w:rPr>
      </w:pPr>
      <w:r>
        <w:rPr>
          <w:color w:val="FFFFFF"/>
          <w:w w:val="105"/>
        </w:rPr>
        <w:t>Patricia Nicolás Flores</w:t>
      </w:r>
      <w:r>
        <w:rPr>
          <w:color w:val="FFFFFF"/>
          <w:w w:val="105"/>
          <w:sz w:val="18"/>
        </w:rPr>
        <w:t>*</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line="180" w:lineRule="exact" w:before="193"/>
        <w:ind w:left="2126" w:right="1683" w:firstLine="0"/>
        <w:jc w:val="left"/>
        <w:rPr>
          <w:rFonts w:ascii="Calibri" w:hAnsi="Calibri"/>
          <w:sz w:val="15"/>
        </w:rPr>
      </w:pPr>
      <w:r>
        <w:rPr>
          <w:rFonts w:ascii="Calibri" w:hAnsi="Calibri"/>
          <w:color w:val="FFFFFF"/>
          <w:sz w:val="15"/>
        </w:rPr>
        <w:t>* Candidata a Maestra en Estudios Políticos y Sociales en Ciencias Políticas y Sociales de la Universidad Nacional  Autónoma  de México.</w:t>
      </w:r>
    </w:p>
    <w:p>
      <w:pPr>
        <w:spacing w:before="1"/>
        <w:ind w:left="2126" w:right="0" w:firstLine="0"/>
        <w:jc w:val="left"/>
        <w:rPr>
          <w:rFonts w:ascii="Calibri"/>
          <w:i/>
          <w:sz w:val="15"/>
        </w:rPr>
      </w:pPr>
      <w:hyperlink r:id="rId293">
        <w:r>
          <w:rPr>
            <w:rFonts w:ascii="Calibri"/>
            <w:i/>
            <w:color w:val="FFFFFF"/>
            <w:sz w:val="15"/>
          </w:rPr>
          <w:t>patricianicolasf@comunidad.unam.mx</w:t>
        </w:r>
      </w:hyperlink>
    </w:p>
    <w:p>
      <w:pPr>
        <w:spacing w:after="0"/>
        <w:jc w:val="left"/>
        <w:rPr>
          <w:rFonts w:ascii="Calibri"/>
          <w:sz w:val="15"/>
        </w:rPr>
        <w:sectPr>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294"/>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line="261" w:lineRule="auto" w:before="186"/>
        <w:ind w:left="2900" w:right="1721"/>
        <w:jc w:val="both"/>
      </w:pPr>
      <w:r>
        <w:rPr/>
        <w:pict>
          <v:shape style="position:absolute;margin-left:103.218903pt;margin-top:22.413521pt;width:31.2pt;height:51pt;mso-position-horizontal-relative:page;mso-position-vertical-relative:paragraph;z-index:25432"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w:t>
      </w:r>
      <w:r>
        <w:rPr>
          <w:color w:val="231F20"/>
          <w:spacing w:val="-8"/>
          <w:w w:val="105"/>
        </w:rPr>
        <w:t> </w:t>
      </w:r>
      <w:r>
        <w:rPr>
          <w:color w:val="231F20"/>
          <w:w w:val="105"/>
        </w:rPr>
        <w:t>objetivo</w:t>
      </w:r>
      <w:r>
        <w:rPr>
          <w:color w:val="231F20"/>
          <w:spacing w:val="-8"/>
          <w:w w:val="105"/>
        </w:rPr>
        <w:t> </w:t>
      </w:r>
      <w:r>
        <w:rPr>
          <w:color w:val="231F20"/>
          <w:w w:val="105"/>
        </w:rPr>
        <w:t>del</w:t>
      </w:r>
      <w:r>
        <w:rPr>
          <w:color w:val="231F20"/>
          <w:spacing w:val="-8"/>
          <w:w w:val="105"/>
        </w:rPr>
        <w:t> </w:t>
      </w:r>
      <w:r>
        <w:rPr>
          <w:color w:val="231F20"/>
          <w:w w:val="105"/>
        </w:rPr>
        <w:t>presente</w:t>
      </w:r>
      <w:r>
        <w:rPr>
          <w:color w:val="231F20"/>
          <w:spacing w:val="-8"/>
          <w:w w:val="105"/>
        </w:rPr>
        <w:t> </w:t>
      </w:r>
      <w:r>
        <w:rPr>
          <w:color w:val="231F20"/>
          <w:w w:val="105"/>
        </w:rPr>
        <w:t>escrito</w:t>
      </w:r>
      <w:r>
        <w:rPr>
          <w:color w:val="231F20"/>
          <w:spacing w:val="-8"/>
          <w:w w:val="105"/>
        </w:rPr>
        <w:t> </w:t>
      </w:r>
      <w:r>
        <w:rPr>
          <w:color w:val="231F20"/>
          <w:w w:val="105"/>
        </w:rPr>
        <w:t>es</w:t>
      </w:r>
      <w:r>
        <w:rPr>
          <w:color w:val="231F20"/>
          <w:spacing w:val="-8"/>
          <w:w w:val="105"/>
        </w:rPr>
        <w:t> </w:t>
      </w:r>
      <w:r>
        <w:rPr>
          <w:color w:val="231F20"/>
          <w:w w:val="105"/>
        </w:rPr>
        <w:t>reflexionar</w:t>
      </w:r>
      <w:r>
        <w:rPr>
          <w:color w:val="231F20"/>
          <w:spacing w:val="-8"/>
          <w:w w:val="105"/>
        </w:rPr>
        <w:t> </w:t>
      </w:r>
      <w:r>
        <w:rPr>
          <w:color w:val="231F20"/>
          <w:w w:val="105"/>
        </w:rPr>
        <w:t>sobre</w:t>
      </w:r>
      <w:r>
        <w:rPr>
          <w:color w:val="231F20"/>
          <w:spacing w:val="-8"/>
          <w:w w:val="105"/>
        </w:rPr>
        <w:t> </w:t>
      </w:r>
      <w:r>
        <w:rPr>
          <w:color w:val="231F20"/>
          <w:w w:val="105"/>
        </w:rPr>
        <w:t>el</w:t>
      </w:r>
      <w:r>
        <w:rPr>
          <w:color w:val="231F20"/>
          <w:spacing w:val="-8"/>
          <w:w w:val="105"/>
        </w:rPr>
        <w:t> </w:t>
      </w:r>
      <w:r>
        <w:rPr>
          <w:color w:val="231F20"/>
          <w:w w:val="105"/>
        </w:rPr>
        <w:t>proceso de reinserción sociocultural de los migrantes indígenas ma- zahuas</w:t>
      </w:r>
      <w:r>
        <w:rPr>
          <w:color w:val="231F20"/>
          <w:spacing w:val="-20"/>
          <w:w w:val="105"/>
        </w:rPr>
        <w:t> </w:t>
      </w:r>
      <w:r>
        <w:rPr>
          <w:color w:val="231F20"/>
          <w:w w:val="105"/>
        </w:rPr>
        <w:t>retornados</w:t>
      </w:r>
      <w:r>
        <w:rPr>
          <w:color w:val="231F20"/>
          <w:spacing w:val="-20"/>
          <w:w w:val="105"/>
        </w:rPr>
        <w:t> </w:t>
      </w:r>
      <w:r>
        <w:rPr>
          <w:color w:val="231F20"/>
          <w:w w:val="105"/>
        </w:rPr>
        <w:t>de</w:t>
      </w:r>
      <w:r>
        <w:rPr>
          <w:color w:val="231F20"/>
          <w:spacing w:val="-20"/>
          <w:w w:val="105"/>
        </w:rPr>
        <w:t> </w:t>
      </w:r>
      <w:r>
        <w:rPr>
          <w:color w:val="231F20"/>
          <w:w w:val="105"/>
        </w:rPr>
        <w:t>Estados</w:t>
      </w:r>
      <w:r>
        <w:rPr>
          <w:color w:val="231F20"/>
          <w:spacing w:val="-20"/>
          <w:w w:val="105"/>
        </w:rPr>
        <w:t> </w:t>
      </w:r>
      <w:r>
        <w:rPr>
          <w:color w:val="231F20"/>
          <w:w w:val="105"/>
        </w:rPr>
        <w:t>Unidos</w:t>
      </w:r>
      <w:r>
        <w:rPr>
          <w:color w:val="231F20"/>
          <w:spacing w:val="-20"/>
          <w:w w:val="105"/>
        </w:rPr>
        <w:t> </w:t>
      </w:r>
      <w:r>
        <w:rPr>
          <w:color w:val="231F20"/>
          <w:w w:val="105"/>
        </w:rPr>
        <w:t>y</w:t>
      </w:r>
      <w:r>
        <w:rPr>
          <w:color w:val="231F20"/>
          <w:spacing w:val="-20"/>
          <w:w w:val="105"/>
        </w:rPr>
        <w:t> </w:t>
      </w:r>
      <w:r>
        <w:rPr>
          <w:color w:val="231F20"/>
          <w:w w:val="105"/>
        </w:rPr>
        <w:t>las</w:t>
      </w:r>
      <w:r>
        <w:rPr>
          <w:color w:val="231F20"/>
          <w:spacing w:val="-20"/>
          <w:w w:val="105"/>
        </w:rPr>
        <w:t> </w:t>
      </w:r>
      <w:r>
        <w:rPr>
          <w:color w:val="231F20"/>
          <w:w w:val="105"/>
        </w:rPr>
        <w:t>transformaciones que se producen por la experiencia migratoria internacional como factor de cambio en el lugar de origen.</w:t>
      </w:r>
      <w:r>
        <w:rPr>
          <w:color w:val="231F20"/>
          <w:w w:val="105"/>
          <w:position w:val="7"/>
          <w:sz w:val="12"/>
        </w:rPr>
        <w:t>1  </w:t>
      </w:r>
      <w:r>
        <w:rPr>
          <w:color w:val="231F20"/>
          <w:w w:val="105"/>
        </w:rPr>
        <w:t>Cruzar</w:t>
      </w:r>
      <w:r>
        <w:rPr>
          <w:color w:val="231F20"/>
          <w:spacing w:val="2"/>
          <w:w w:val="105"/>
        </w:rPr>
        <w:t> </w:t>
      </w:r>
      <w:r>
        <w:rPr>
          <w:color w:val="231F20"/>
          <w:w w:val="105"/>
        </w:rPr>
        <w:t>fronte-</w:t>
      </w:r>
    </w:p>
    <w:p>
      <w:pPr>
        <w:pStyle w:val="BodyText"/>
        <w:spacing w:line="261" w:lineRule="auto" w:before="1"/>
        <w:ind w:left="1837" w:right="1715"/>
        <w:jc w:val="both"/>
      </w:pPr>
      <w:r>
        <w:rPr>
          <w:color w:val="231F20"/>
          <w:w w:val="105"/>
        </w:rPr>
        <w:t>ras</w:t>
      </w:r>
      <w:r>
        <w:rPr>
          <w:color w:val="231F20"/>
          <w:spacing w:val="-15"/>
          <w:w w:val="105"/>
        </w:rPr>
        <w:t> </w:t>
      </w:r>
      <w:r>
        <w:rPr>
          <w:color w:val="231F20"/>
          <w:w w:val="105"/>
        </w:rPr>
        <w:t>físicas</w:t>
      </w:r>
      <w:r>
        <w:rPr>
          <w:color w:val="231F20"/>
          <w:spacing w:val="-15"/>
          <w:w w:val="105"/>
        </w:rPr>
        <w:t> </w:t>
      </w:r>
      <w:r>
        <w:rPr>
          <w:color w:val="231F20"/>
          <w:w w:val="105"/>
        </w:rPr>
        <w:t>y</w:t>
      </w:r>
      <w:r>
        <w:rPr>
          <w:color w:val="231F20"/>
          <w:spacing w:val="-15"/>
          <w:w w:val="105"/>
        </w:rPr>
        <w:t> </w:t>
      </w:r>
      <w:r>
        <w:rPr>
          <w:color w:val="231F20"/>
          <w:w w:val="105"/>
        </w:rPr>
        <w:t>simbólicas</w:t>
      </w:r>
      <w:r>
        <w:rPr>
          <w:color w:val="231F20"/>
          <w:spacing w:val="-15"/>
          <w:w w:val="105"/>
        </w:rPr>
        <w:t> </w:t>
      </w:r>
      <w:r>
        <w:rPr>
          <w:color w:val="231F20"/>
          <w:w w:val="105"/>
        </w:rPr>
        <w:t>es</w:t>
      </w:r>
      <w:r>
        <w:rPr>
          <w:color w:val="231F20"/>
          <w:spacing w:val="-15"/>
          <w:w w:val="105"/>
        </w:rPr>
        <w:t> </w:t>
      </w:r>
      <w:r>
        <w:rPr>
          <w:color w:val="231F20"/>
          <w:w w:val="105"/>
        </w:rPr>
        <w:t>un</w:t>
      </w:r>
      <w:r>
        <w:rPr>
          <w:color w:val="231F20"/>
          <w:spacing w:val="-15"/>
          <w:w w:val="105"/>
        </w:rPr>
        <w:t> </w:t>
      </w:r>
      <w:r>
        <w:rPr>
          <w:color w:val="231F20"/>
          <w:w w:val="105"/>
        </w:rPr>
        <w:t>proceso</w:t>
      </w:r>
      <w:r>
        <w:rPr>
          <w:color w:val="231F20"/>
          <w:spacing w:val="-15"/>
          <w:w w:val="105"/>
        </w:rPr>
        <w:t> </w:t>
      </w:r>
      <w:r>
        <w:rPr>
          <w:color w:val="231F20"/>
          <w:w w:val="105"/>
        </w:rPr>
        <w:t>social</w:t>
      </w:r>
      <w:r>
        <w:rPr>
          <w:color w:val="231F20"/>
          <w:spacing w:val="-15"/>
          <w:w w:val="105"/>
        </w:rPr>
        <w:t> </w:t>
      </w:r>
      <w:r>
        <w:rPr>
          <w:color w:val="231F20"/>
          <w:w w:val="105"/>
        </w:rPr>
        <w:t>que</w:t>
      </w:r>
      <w:r>
        <w:rPr>
          <w:color w:val="231F20"/>
          <w:spacing w:val="-15"/>
          <w:w w:val="105"/>
        </w:rPr>
        <w:t> </w:t>
      </w:r>
      <w:r>
        <w:rPr>
          <w:color w:val="231F20"/>
          <w:w w:val="105"/>
        </w:rPr>
        <w:t>modifica</w:t>
      </w:r>
      <w:r>
        <w:rPr>
          <w:color w:val="231F20"/>
          <w:spacing w:val="-15"/>
          <w:w w:val="105"/>
        </w:rPr>
        <w:t> </w:t>
      </w:r>
      <w:r>
        <w:rPr>
          <w:color w:val="231F20"/>
          <w:w w:val="105"/>
        </w:rPr>
        <w:t>el</w:t>
      </w:r>
      <w:r>
        <w:rPr>
          <w:color w:val="231F20"/>
          <w:spacing w:val="-15"/>
          <w:w w:val="105"/>
        </w:rPr>
        <w:t> </w:t>
      </w:r>
      <w:r>
        <w:rPr>
          <w:color w:val="231F20"/>
          <w:w w:val="105"/>
        </w:rPr>
        <w:t>ciclo</w:t>
      </w:r>
      <w:r>
        <w:rPr>
          <w:color w:val="231F20"/>
          <w:spacing w:val="-15"/>
          <w:w w:val="105"/>
        </w:rPr>
        <w:t> </w:t>
      </w:r>
      <w:r>
        <w:rPr>
          <w:color w:val="231F20"/>
          <w:w w:val="105"/>
        </w:rPr>
        <w:t>vital</w:t>
      </w:r>
      <w:r>
        <w:rPr>
          <w:color w:val="231F20"/>
          <w:spacing w:val="-15"/>
          <w:w w:val="105"/>
        </w:rPr>
        <w:t> </w:t>
      </w:r>
      <w:r>
        <w:rPr>
          <w:color w:val="231F20"/>
          <w:w w:val="105"/>
        </w:rPr>
        <w:t>de las</w:t>
      </w:r>
      <w:r>
        <w:rPr>
          <w:color w:val="231F20"/>
          <w:spacing w:val="-25"/>
          <w:w w:val="105"/>
        </w:rPr>
        <w:t> </w:t>
      </w:r>
      <w:r>
        <w:rPr>
          <w:color w:val="231F20"/>
          <w:w w:val="105"/>
        </w:rPr>
        <w:t>personas</w:t>
      </w:r>
      <w:r>
        <w:rPr>
          <w:color w:val="231F20"/>
          <w:spacing w:val="-25"/>
          <w:w w:val="105"/>
        </w:rPr>
        <w:t> </w:t>
      </w:r>
      <w:r>
        <w:rPr>
          <w:color w:val="231F20"/>
          <w:w w:val="105"/>
        </w:rPr>
        <w:t>y</w:t>
      </w:r>
      <w:r>
        <w:rPr>
          <w:color w:val="231F20"/>
          <w:spacing w:val="-25"/>
          <w:w w:val="105"/>
        </w:rPr>
        <w:t> </w:t>
      </w:r>
      <w:r>
        <w:rPr>
          <w:color w:val="231F20"/>
          <w:w w:val="105"/>
        </w:rPr>
        <w:t>sus</w:t>
      </w:r>
      <w:r>
        <w:rPr>
          <w:color w:val="231F20"/>
          <w:spacing w:val="-25"/>
          <w:w w:val="105"/>
        </w:rPr>
        <w:t> </w:t>
      </w:r>
      <w:r>
        <w:rPr>
          <w:color w:val="231F20"/>
          <w:w w:val="105"/>
        </w:rPr>
        <w:t>grupos</w:t>
      </w:r>
      <w:r>
        <w:rPr>
          <w:color w:val="231F20"/>
          <w:spacing w:val="-25"/>
          <w:w w:val="105"/>
        </w:rPr>
        <w:t> </w:t>
      </w:r>
      <w:r>
        <w:rPr>
          <w:color w:val="231F20"/>
          <w:w w:val="105"/>
        </w:rPr>
        <w:t>inmediatos</w:t>
      </w:r>
      <w:r>
        <w:rPr>
          <w:color w:val="231F20"/>
          <w:spacing w:val="-25"/>
          <w:w w:val="105"/>
        </w:rPr>
        <w:t>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diferentes</w:t>
      </w:r>
      <w:r>
        <w:rPr>
          <w:color w:val="231F20"/>
          <w:spacing w:val="-25"/>
          <w:w w:val="105"/>
        </w:rPr>
        <w:t> </w:t>
      </w:r>
      <w:r>
        <w:rPr>
          <w:color w:val="231F20"/>
          <w:w w:val="105"/>
        </w:rPr>
        <w:t>ámbitos</w:t>
      </w:r>
      <w:r>
        <w:rPr>
          <w:color w:val="231F20"/>
          <w:spacing w:val="-25"/>
          <w:w w:val="105"/>
        </w:rPr>
        <w:t> </w:t>
      </w:r>
      <w:r>
        <w:rPr>
          <w:color w:val="231F20"/>
          <w:w w:val="105"/>
        </w:rPr>
        <w:t>de</w:t>
      </w:r>
      <w:r>
        <w:rPr>
          <w:color w:val="231F20"/>
          <w:spacing w:val="-25"/>
          <w:w w:val="105"/>
        </w:rPr>
        <w:t> </w:t>
      </w:r>
      <w:r>
        <w:rPr>
          <w:color w:val="231F20"/>
          <w:w w:val="105"/>
        </w:rPr>
        <w:t>acción y</w:t>
      </w:r>
      <w:r>
        <w:rPr>
          <w:color w:val="231F20"/>
          <w:spacing w:val="-23"/>
          <w:w w:val="105"/>
        </w:rPr>
        <w:t> </w:t>
      </w:r>
      <w:r>
        <w:rPr>
          <w:color w:val="231F20"/>
          <w:w w:val="105"/>
        </w:rPr>
        <w:t>convivencia</w:t>
      </w:r>
      <w:r>
        <w:rPr>
          <w:color w:val="231F20"/>
          <w:spacing w:val="-23"/>
          <w:w w:val="105"/>
        </w:rPr>
        <w:t> </w:t>
      </w:r>
      <w:r>
        <w:rPr>
          <w:color w:val="231F20"/>
          <w:w w:val="105"/>
        </w:rPr>
        <w:t>en</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desenvuelven.</w:t>
      </w:r>
      <w:r>
        <w:rPr>
          <w:color w:val="231F20"/>
          <w:spacing w:val="-28"/>
          <w:w w:val="105"/>
        </w:rPr>
        <w:t> </w:t>
      </w:r>
      <w:r>
        <w:rPr>
          <w:color w:val="231F20"/>
          <w:w w:val="105"/>
        </w:rPr>
        <w:t>Regresar</w:t>
      </w:r>
      <w:r>
        <w:rPr>
          <w:color w:val="231F20"/>
          <w:spacing w:val="-23"/>
          <w:w w:val="105"/>
        </w:rPr>
        <w:t> </w:t>
      </w:r>
      <w:r>
        <w:rPr>
          <w:color w:val="231F20"/>
          <w:w w:val="105"/>
        </w:rPr>
        <w:t>al</w:t>
      </w:r>
      <w:r>
        <w:rPr>
          <w:color w:val="231F20"/>
          <w:spacing w:val="-23"/>
          <w:w w:val="105"/>
        </w:rPr>
        <w:t> </w:t>
      </w:r>
      <w:r>
        <w:rPr>
          <w:color w:val="231F20"/>
          <w:w w:val="105"/>
        </w:rPr>
        <w:t>terruño,</w:t>
      </w:r>
      <w:r>
        <w:rPr>
          <w:color w:val="231F20"/>
          <w:spacing w:val="-28"/>
          <w:w w:val="105"/>
        </w:rPr>
        <w:t> </w:t>
      </w:r>
      <w:r>
        <w:rPr>
          <w:color w:val="231F20"/>
          <w:w w:val="105"/>
        </w:rPr>
        <w:t>luego</w:t>
      </w:r>
      <w:r>
        <w:rPr>
          <w:color w:val="231F20"/>
          <w:spacing w:val="-23"/>
          <w:w w:val="105"/>
        </w:rPr>
        <w:t> </w:t>
      </w:r>
      <w:r>
        <w:rPr>
          <w:color w:val="231F20"/>
          <w:w w:val="105"/>
        </w:rPr>
        <w:t>de</w:t>
      </w:r>
      <w:r>
        <w:rPr>
          <w:color w:val="231F20"/>
          <w:spacing w:val="-23"/>
          <w:w w:val="105"/>
        </w:rPr>
        <w:t> </w:t>
      </w:r>
      <w:r>
        <w:rPr>
          <w:color w:val="231F20"/>
          <w:w w:val="105"/>
        </w:rPr>
        <w:t>una estancia</w:t>
      </w:r>
      <w:r>
        <w:rPr>
          <w:color w:val="231F20"/>
          <w:spacing w:val="-13"/>
          <w:w w:val="105"/>
        </w:rPr>
        <w:t> </w:t>
      </w:r>
      <w:r>
        <w:rPr>
          <w:color w:val="231F20"/>
          <w:w w:val="105"/>
        </w:rPr>
        <w:t>temporal</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extranjero</w:t>
      </w:r>
      <w:r>
        <w:rPr>
          <w:color w:val="231F20"/>
          <w:spacing w:val="-13"/>
          <w:w w:val="105"/>
        </w:rPr>
        <w:t> </w:t>
      </w:r>
      <w:r>
        <w:rPr>
          <w:color w:val="231F20"/>
          <w:w w:val="105"/>
        </w:rPr>
        <w:t>donde</w:t>
      </w:r>
      <w:r>
        <w:rPr>
          <w:color w:val="231F20"/>
          <w:spacing w:val="-13"/>
          <w:w w:val="105"/>
        </w:rPr>
        <w:t> </w:t>
      </w:r>
      <w:r>
        <w:rPr>
          <w:color w:val="231F20"/>
          <w:w w:val="105"/>
        </w:rPr>
        <w:t>se</w:t>
      </w:r>
      <w:r>
        <w:rPr>
          <w:color w:val="231F20"/>
          <w:spacing w:val="-13"/>
          <w:w w:val="105"/>
        </w:rPr>
        <w:t> </w:t>
      </w:r>
      <w:r>
        <w:rPr>
          <w:color w:val="231F20"/>
          <w:w w:val="105"/>
        </w:rPr>
        <w:t>estuvo</w:t>
      </w:r>
      <w:r>
        <w:rPr>
          <w:color w:val="231F20"/>
          <w:spacing w:val="-13"/>
          <w:w w:val="105"/>
        </w:rPr>
        <w:t> </w:t>
      </w:r>
      <w:r>
        <w:rPr>
          <w:color w:val="231F20"/>
          <w:w w:val="105"/>
        </w:rPr>
        <w:t>en</w:t>
      </w:r>
      <w:r>
        <w:rPr>
          <w:color w:val="231F20"/>
          <w:spacing w:val="-13"/>
          <w:w w:val="105"/>
        </w:rPr>
        <w:t> </w:t>
      </w:r>
      <w:r>
        <w:rPr>
          <w:color w:val="231F20"/>
          <w:w w:val="105"/>
        </w:rPr>
        <w:t>contacto</w:t>
      </w:r>
      <w:r>
        <w:rPr>
          <w:color w:val="231F20"/>
          <w:spacing w:val="-13"/>
          <w:w w:val="105"/>
        </w:rPr>
        <w:t> </w:t>
      </w:r>
      <w:r>
        <w:rPr>
          <w:color w:val="231F20"/>
          <w:w w:val="105"/>
        </w:rPr>
        <w:t>con</w:t>
      </w:r>
      <w:r>
        <w:rPr>
          <w:color w:val="231F20"/>
          <w:spacing w:val="-13"/>
          <w:w w:val="105"/>
        </w:rPr>
        <w:t> </w:t>
      </w:r>
      <w:r>
        <w:rPr>
          <w:color w:val="231F20"/>
          <w:w w:val="105"/>
        </w:rPr>
        <w:t>per- sonas</w:t>
      </w:r>
      <w:r>
        <w:rPr>
          <w:color w:val="231F20"/>
          <w:spacing w:val="-17"/>
          <w:w w:val="105"/>
        </w:rPr>
        <w:t> </w:t>
      </w:r>
      <w:r>
        <w:rPr>
          <w:color w:val="231F20"/>
          <w:w w:val="105"/>
        </w:rPr>
        <w:t>y</w:t>
      </w:r>
      <w:r>
        <w:rPr>
          <w:color w:val="231F20"/>
          <w:spacing w:val="-17"/>
          <w:w w:val="105"/>
        </w:rPr>
        <w:t> </w:t>
      </w:r>
      <w:r>
        <w:rPr>
          <w:color w:val="231F20"/>
          <w:w w:val="105"/>
        </w:rPr>
        <w:t>espacios</w:t>
      </w:r>
      <w:r>
        <w:rPr>
          <w:color w:val="231F20"/>
          <w:spacing w:val="-17"/>
          <w:w w:val="105"/>
        </w:rPr>
        <w:t> </w:t>
      </w:r>
      <w:r>
        <w:rPr>
          <w:color w:val="231F20"/>
          <w:w w:val="105"/>
        </w:rPr>
        <w:t>distintos</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w w:val="105"/>
        </w:rPr>
        <w:t>propios,</w:t>
      </w:r>
      <w:r>
        <w:rPr>
          <w:color w:val="231F20"/>
          <w:spacing w:val="-22"/>
          <w:w w:val="105"/>
        </w:rPr>
        <w:t> </w:t>
      </w:r>
      <w:r>
        <w:rPr>
          <w:color w:val="231F20"/>
          <w:w w:val="105"/>
        </w:rPr>
        <w:t>replantea</w:t>
      </w:r>
      <w:r>
        <w:rPr>
          <w:color w:val="231F20"/>
          <w:spacing w:val="-17"/>
          <w:w w:val="105"/>
        </w:rPr>
        <w:t> </w:t>
      </w:r>
      <w:r>
        <w:rPr>
          <w:color w:val="231F20"/>
          <w:w w:val="105"/>
        </w:rPr>
        <w:t>el</w:t>
      </w:r>
      <w:r>
        <w:rPr>
          <w:color w:val="231F20"/>
          <w:spacing w:val="-17"/>
          <w:w w:val="105"/>
        </w:rPr>
        <w:t> </w:t>
      </w:r>
      <w:r>
        <w:rPr>
          <w:color w:val="231F20"/>
          <w:w w:val="105"/>
        </w:rPr>
        <w:t>modo</w:t>
      </w:r>
      <w:r>
        <w:rPr>
          <w:color w:val="231F20"/>
          <w:spacing w:val="-17"/>
          <w:w w:val="105"/>
        </w:rPr>
        <w:t> </w:t>
      </w:r>
      <w:r>
        <w:rPr>
          <w:color w:val="231F20"/>
          <w:w w:val="105"/>
        </w:rPr>
        <w:t>ser</w:t>
      </w:r>
      <w:r>
        <w:rPr>
          <w:color w:val="231F20"/>
          <w:spacing w:val="-17"/>
          <w:w w:val="105"/>
        </w:rPr>
        <w:t> </w:t>
      </w:r>
      <w:r>
        <w:rPr>
          <w:color w:val="231F20"/>
          <w:w w:val="105"/>
        </w:rPr>
        <w:t>y</w:t>
      </w:r>
      <w:r>
        <w:rPr>
          <w:color w:val="231F20"/>
          <w:spacing w:val="-17"/>
          <w:w w:val="105"/>
        </w:rPr>
        <w:t> </w:t>
      </w:r>
      <w:r>
        <w:rPr>
          <w:color w:val="231F20"/>
          <w:w w:val="105"/>
        </w:rPr>
        <w:t>estar</w:t>
      </w:r>
      <w:r>
        <w:rPr>
          <w:color w:val="231F20"/>
          <w:spacing w:val="-17"/>
          <w:w w:val="105"/>
        </w:rPr>
        <w:t> </w:t>
      </w:r>
      <w:r>
        <w:rPr>
          <w:color w:val="231F20"/>
          <w:w w:val="105"/>
        </w:rPr>
        <w:t>en el mundo. Aprendizaje, entendimiento, negociación, añoranza, planes, anhelos</w:t>
      </w:r>
      <w:r>
        <w:rPr>
          <w:color w:val="231F20"/>
          <w:spacing w:val="-15"/>
          <w:w w:val="105"/>
        </w:rPr>
        <w:t> </w:t>
      </w:r>
      <w:r>
        <w:rPr>
          <w:color w:val="231F20"/>
          <w:w w:val="105"/>
        </w:rPr>
        <w:t>son</w:t>
      </w:r>
      <w:r>
        <w:rPr>
          <w:color w:val="231F20"/>
          <w:spacing w:val="-15"/>
          <w:w w:val="105"/>
        </w:rPr>
        <w:t> </w:t>
      </w:r>
      <w:r>
        <w:rPr>
          <w:color w:val="231F20"/>
          <w:w w:val="105"/>
        </w:rPr>
        <w:t>parte</w:t>
      </w:r>
      <w:r>
        <w:rPr>
          <w:color w:val="231F20"/>
          <w:spacing w:val="-15"/>
          <w:w w:val="105"/>
        </w:rPr>
        <w:t> </w:t>
      </w:r>
      <w:r>
        <w:rPr>
          <w:color w:val="231F20"/>
          <w:w w:val="105"/>
        </w:rPr>
        <w:t>de</w:t>
      </w:r>
      <w:r>
        <w:rPr>
          <w:color w:val="231F20"/>
          <w:spacing w:val="-15"/>
          <w:w w:val="105"/>
        </w:rPr>
        <w:t> </w:t>
      </w:r>
      <w:r>
        <w:rPr>
          <w:color w:val="231F20"/>
          <w:w w:val="105"/>
        </w:rPr>
        <w:t>lo</w:t>
      </w:r>
      <w:r>
        <w:rPr>
          <w:color w:val="231F20"/>
          <w:spacing w:val="-15"/>
          <w:w w:val="105"/>
        </w:rPr>
        <w:t> </w:t>
      </w:r>
      <w:r>
        <w:rPr>
          <w:color w:val="231F20"/>
          <w:w w:val="105"/>
        </w:rPr>
        <w:t>vivido</w:t>
      </w:r>
      <w:r>
        <w:rPr>
          <w:color w:val="231F20"/>
          <w:spacing w:val="-15"/>
          <w:w w:val="105"/>
        </w:rPr>
        <w:t> </w:t>
      </w:r>
      <w:r>
        <w:rPr>
          <w:color w:val="231F20"/>
          <w:spacing w:val="-3"/>
          <w:w w:val="105"/>
        </w:rPr>
        <w:t>“allá”</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regreso</w:t>
      </w:r>
      <w:r>
        <w:rPr>
          <w:color w:val="231F20"/>
          <w:spacing w:val="-15"/>
          <w:w w:val="105"/>
        </w:rPr>
        <w:t> </w:t>
      </w:r>
      <w:r>
        <w:rPr>
          <w:color w:val="231F20"/>
          <w:w w:val="105"/>
        </w:rPr>
        <w:t>a</w:t>
      </w:r>
      <w:r>
        <w:rPr>
          <w:color w:val="231F20"/>
          <w:spacing w:val="-15"/>
          <w:w w:val="105"/>
        </w:rPr>
        <w:t> </w:t>
      </w:r>
      <w:r>
        <w:rPr>
          <w:color w:val="231F20"/>
          <w:w w:val="105"/>
        </w:rPr>
        <w:t>casa,</w:t>
      </w:r>
      <w:r>
        <w:rPr>
          <w:color w:val="231F20"/>
          <w:spacing w:val="-20"/>
          <w:w w:val="105"/>
        </w:rPr>
        <w:t> </w:t>
      </w:r>
      <w:r>
        <w:rPr>
          <w:color w:val="231F20"/>
          <w:w w:val="105"/>
        </w:rPr>
        <w:t>donde</w:t>
      </w:r>
      <w:r>
        <w:rPr>
          <w:color w:val="231F20"/>
          <w:spacing w:val="-15"/>
          <w:w w:val="105"/>
        </w:rPr>
        <w:t> </w:t>
      </w:r>
      <w:r>
        <w:rPr>
          <w:color w:val="231F20"/>
          <w:w w:val="105"/>
        </w:rPr>
        <w:t>las</w:t>
      </w:r>
      <w:r>
        <w:rPr>
          <w:color w:val="231F20"/>
          <w:spacing w:val="-15"/>
          <w:w w:val="105"/>
        </w:rPr>
        <w:t> </w:t>
      </w:r>
      <w:r>
        <w:rPr>
          <w:color w:val="231F20"/>
          <w:w w:val="105"/>
        </w:rPr>
        <w:t>perso- nas,</w:t>
      </w:r>
      <w:r>
        <w:rPr>
          <w:color w:val="231F20"/>
          <w:spacing w:val="-18"/>
          <w:w w:val="105"/>
        </w:rPr>
        <w:t> </w:t>
      </w:r>
      <w:r>
        <w:rPr>
          <w:color w:val="231F20"/>
          <w:w w:val="105"/>
        </w:rPr>
        <w:t>el</w:t>
      </w:r>
      <w:r>
        <w:rPr>
          <w:color w:val="231F20"/>
          <w:spacing w:val="-13"/>
          <w:w w:val="105"/>
        </w:rPr>
        <w:t> </w:t>
      </w:r>
      <w:r>
        <w:rPr>
          <w:color w:val="231F20"/>
          <w:w w:val="105"/>
        </w:rPr>
        <w:t>entorno</w:t>
      </w:r>
      <w:r>
        <w:rPr>
          <w:color w:val="231F20"/>
          <w:spacing w:val="-13"/>
          <w:w w:val="105"/>
        </w:rPr>
        <w:t> </w:t>
      </w:r>
      <w:r>
        <w:rPr>
          <w:color w:val="231F20"/>
          <w:w w:val="105"/>
        </w:rPr>
        <w:t>y</w:t>
      </w:r>
      <w:r>
        <w:rPr>
          <w:color w:val="231F20"/>
          <w:spacing w:val="-13"/>
          <w:w w:val="105"/>
        </w:rPr>
        <w:t> </w:t>
      </w:r>
      <w:r>
        <w:rPr>
          <w:color w:val="231F20"/>
          <w:w w:val="105"/>
        </w:rPr>
        <w:t>las</w:t>
      </w:r>
      <w:r>
        <w:rPr>
          <w:color w:val="231F20"/>
          <w:spacing w:val="-13"/>
          <w:w w:val="105"/>
        </w:rPr>
        <w:t> </w:t>
      </w:r>
      <w:r>
        <w:rPr>
          <w:color w:val="231F20"/>
          <w:w w:val="105"/>
        </w:rPr>
        <w:t>prácticas</w:t>
      </w:r>
      <w:r>
        <w:rPr>
          <w:color w:val="231F20"/>
          <w:spacing w:val="-13"/>
          <w:w w:val="105"/>
        </w:rPr>
        <w:t> </w:t>
      </w:r>
      <w:r>
        <w:rPr>
          <w:color w:val="231F20"/>
          <w:w w:val="105"/>
        </w:rPr>
        <w:t>también</w:t>
      </w:r>
      <w:r>
        <w:rPr>
          <w:color w:val="231F20"/>
          <w:spacing w:val="-13"/>
          <w:w w:val="105"/>
        </w:rPr>
        <w:t> </w:t>
      </w:r>
      <w:r>
        <w:rPr>
          <w:color w:val="231F20"/>
          <w:w w:val="105"/>
        </w:rPr>
        <w:t>han</w:t>
      </w:r>
      <w:r>
        <w:rPr>
          <w:color w:val="231F20"/>
          <w:spacing w:val="-13"/>
          <w:w w:val="105"/>
        </w:rPr>
        <w:t> </w:t>
      </w:r>
      <w:r>
        <w:rPr>
          <w:color w:val="231F20"/>
          <w:w w:val="105"/>
        </w:rPr>
        <w:t>cambiado,</w:t>
      </w:r>
      <w:r>
        <w:rPr>
          <w:color w:val="231F20"/>
          <w:spacing w:val="-18"/>
          <w:w w:val="105"/>
        </w:rPr>
        <w:t> </w:t>
      </w:r>
      <w:r>
        <w:rPr>
          <w:color w:val="231F20"/>
          <w:w w:val="105"/>
        </w:rPr>
        <w:t>pone</w:t>
      </w:r>
      <w:r>
        <w:rPr>
          <w:color w:val="231F20"/>
          <w:spacing w:val="-13"/>
          <w:w w:val="105"/>
        </w:rPr>
        <w:t> </w:t>
      </w:r>
      <w:r>
        <w:rPr>
          <w:color w:val="231F20"/>
          <w:w w:val="105"/>
        </w:rPr>
        <w:t>de</w:t>
      </w:r>
      <w:r>
        <w:rPr>
          <w:color w:val="231F20"/>
          <w:spacing w:val="-13"/>
          <w:w w:val="105"/>
        </w:rPr>
        <w:t> </w:t>
      </w:r>
      <w:r>
        <w:rPr>
          <w:color w:val="231F20"/>
          <w:w w:val="105"/>
        </w:rPr>
        <w:t>nuevo</w:t>
      </w:r>
      <w:r>
        <w:rPr>
          <w:color w:val="231F20"/>
          <w:spacing w:val="-13"/>
          <w:w w:val="105"/>
        </w:rPr>
        <w:t> </w:t>
      </w:r>
      <w:r>
        <w:rPr>
          <w:color w:val="231F20"/>
          <w:w w:val="105"/>
        </w:rPr>
        <w:t>en juego este proceso de</w:t>
      </w:r>
      <w:r>
        <w:rPr>
          <w:color w:val="231F20"/>
          <w:spacing w:val="-34"/>
          <w:w w:val="105"/>
        </w:rPr>
        <w:t> </w:t>
      </w:r>
      <w:r>
        <w:rPr>
          <w:color w:val="231F20"/>
          <w:w w:val="105"/>
        </w:rPr>
        <w:t>adaptación.</w:t>
      </w:r>
    </w:p>
    <w:p>
      <w:pPr>
        <w:pStyle w:val="BodyText"/>
        <w:spacing w:line="261" w:lineRule="auto" w:before="1"/>
        <w:ind w:left="1837" w:right="1714" w:firstLine="567"/>
        <w:jc w:val="both"/>
      </w:pPr>
      <w:r>
        <w:rPr>
          <w:color w:val="231F20"/>
          <w:w w:val="105"/>
        </w:rPr>
        <w:t>El</w:t>
      </w:r>
      <w:r>
        <w:rPr>
          <w:color w:val="231F20"/>
          <w:spacing w:val="-5"/>
          <w:w w:val="105"/>
        </w:rPr>
        <w:t> </w:t>
      </w:r>
      <w:r>
        <w:rPr>
          <w:color w:val="231F20"/>
          <w:spacing w:val="-3"/>
          <w:w w:val="105"/>
        </w:rPr>
        <w:t>proceso</w:t>
      </w:r>
      <w:r>
        <w:rPr>
          <w:color w:val="231F20"/>
          <w:spacing w:val="-5"/>
          <w:w w:val="105"/>
        </w:rPr>
        <w:t> </w:t>
      </w:r>
      <w:r>
        <w:rPr>
          <w:color w:val="231F20"/>
          <w:w w:val="105"/>
        </w:rPr>
        <w:t>de</w:t>
      </w:r>
      <w:r>
        <w:rPr>
          <w:color w:val="231F20"/>
          <w:spacing w:val="-5"/>
          <w:w w:val="105"/>
        </w:rPr>
        <w:t> </w:t>
      </w:r>
      <w:r>
        <w:rPr>
          <w:color w:val="231F20"/>
          <w:spacing w:val="-3"/>
          <w:w w:val="105"/>
        </w:rPr>
        <w:t>retorno,</w:t>
      </w:r>
      <w:r>
        <w:rPr>
          <w:color w:val="231F20"/>
          <w:spacing w:val="-10"/>
          <w:w w:val="105"/>
        </w:rPr>
        <w:t> </w:t>
      </w:r>
      <w:r>
        <w:rPr>
          <w:color w:val="231F20"/>
          <w:w w:val="105"/>
        </w:rPr>
        <w:t>al</w:t>
      </w:r>
      <w:r>
        <w:rPr>
          <w:color w:val="231F20"/>
          <w:spacing w:val="-5"/>
          <w:w w:val="105"/>
        </w:rPr>
        <w:t> </w:t>
      </w:r>
      <w:r>
        <w:rPr>
          <w:color w:val="231F20"/>
          <w:w w:val="105"/>
        </w:rPr>
        <w:t>igual</w:t>
      </w:r>
      <w:r>
        <w:rPr>
          <w:color w:val="231F20"/>
          <w:spacing w:val="-5"/>
          <w:w w:val="105"/>
        </w:rPr>
        <w:t> </w:t>
      </w:r>
      <w:r>
        <w:rPr>
          <w:color w:val="231F20"/>
          <w:w w:val="105"/>
        </w:rPr>
        <w:t>que</w:t>
      </w:r>
      <w:r>
        <w:rPr>
          <w:color w:val="231F20"/>
          <w:spacing w:val="-5"/>
          <w:w w:val="105"/>
        </w:rPr>
        <w:t> </w:t>
      </w:r>
      <w:r>
        <w:rPr>
          <w:color w:val="231F20"/>
          <w:w w:val="105"/>
        </w:rPr>
        <w:t>las</w:t>
      </w:r>
      <w:r>
        <w:rPr>
          <w:color w:val="231F20"/>
          <w:spacing w:val="-5"/>
          <w:w w:val="105"/>
        </w:rPr>
        <w:t> </w:t>
      </w:r>
      <w:r>
        <w:rPr>
          <w:color w:val="231F20"/>
          <w:spacing w:val="-2"/>
          <w:w w:val="105"/>
        </w:rPr>
        <w:t>migraciones,</w:t>
      </w:r>
      <w:r>
        <w:rPr>
          <w:color w:val="231F20"/>
          <w:spacing w:val="-10"/>
          <w:w w:val="105"/>
        </w:rPr>
        <w:t> </w:t>
      </w:r>
      <w:r>
        <w:rPr>
          <w:color w:val="231F20"/>
          <w:w w:val="105"/>
        </w:rPr>
        <w:t>tiene</w:t>
      </w:r>
      <w:r>
        <w:rPr>
          <w:color w:val="231F20"/>
          <w:spacing w:val="-5"/>
          <w:w w:val="105"/>
        </w:rPr>
        <w:t> </w:t>
      </w:r>
      <w:r>
        <w:rPr>
          <w:color w:val="231F20"/>
          <w:w w:val="105"/>
        </w:rPr>
        <w:t>formas</w:t>
      </w:r>
      <w:r>
        <w:rPr>
          <w:color w:val="231F20"/>
          <w:spacing w:val="-5"/>
          <w:w w:val="105"/>
        </w:rPr>
        <w:t> </w:t>
      </w:r>
      <w:r>
        <w:rPr>
          <w:color w:val="231F20"/>
          <w:w w:val="105"/>
        </w:rPr>
        <w:t>y experiencias múltiples. Como </w:t>
      </w:r>
      <w:r>
        <w:rPr>
          <w:color w:val="231F20"/>
          <w:spacing w:val="-3"/>
          <w:w w:val="105"/>
        </w:rPr>
        <w:t>subproceso </w:t>
      </w:r>
      <w:r>
        <w:rPr>
          <w:color w:val="231F20"/>
          <w:w w:val="105"/>
        </w:rPr>
        <w:t>de la migración, el </w:t>
      </w:r>
      <w:r>
        <w:rPr>
          <w:color w:val="231F20"/>
          <w:spacing w:val="-3"/>
          <w:w w:val="105"/>
        </w:rPr>
        <w:t>retorno </w:t>
      </w:r>
      <w:r>
        <w:rPr>
          <w:color w:val="231F20"/>
          <w:w w:val="105"/>
        </w:rPr>
        <w:t>es un acontecimiento en el itinerario de las movilidades que </w:t>
      </w:r>
      <w:r>
        <w:rPr>
          <w:color w:val="231F20"/>
          <w:spacing w:val="-3"/>
          <w:w w:val="105"/>
        </w:rPr>
        <w:t>requiere rea- </w:t>
      </w:r>
      <w:r>
        <w:rPr>
          <w:color w:val="231F20"/>
          <w:w w:val="105"/>
        </w:rPr>
        <w:t>daptación</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espacios</w:t>
      </w:r>
      <w:r>
        <w:rPr>
          <w:color w:val="231F20"/>
          <w:spacing w:val="-15"/>
          <w:w w:val="105"/>
        </w:rPr>
        <w:t> </w:t>
      </w:r>
      <w:r>
        <w:rPr>
          <w:color w:val="231F20"/>
          <w:w w:val="105"/>
        </w:rPr>
        <w:t>y</w:t>
      </w:r>
      <w:r>
        <w:rPr>
          <w:color w:val="231F20"/>
          <w:spacing w:val="-15"/>
          <w:w w:val="105"/>
        </w:rPr>
        <w:t> </w:t>
      </w:r>
      <w:r>
        <w:rPr>
          <w:color w:val="231F20"/>
          <w:w w:val="105"/>
        </w:rPr>
        <w:t>las</w:t>
      </w:r>
      <w:r>
        <w:rPr>
          <w:color w:val="231F20"/>
          <w:spacing w:val="-15"/>
          <w:w w:val="105"/>
        </w:rPr>
        <w:t> </w:t>
      </w:r>
      <w:r>
        <w:rPr>
          <w:color w:val="231F20"/>
          <w:w w:val="105"/>
        </w:rPr>
        <w:t>prácticas,</w:t>
      </w:r>
      <w:r>
        <w:rPr>
          <w:color w:val="231F20"/>
          <w:spacing w:val="-19"/>
          <w:w w:val="105"/>
        </w:rPr>
        <w:t> </w:t>
      </w:r>
      <w:r>
        <w:rPr>
          <w:color w:val="231F20"/>
          <w:spacing w:val="-3"/>
          <w:w w:val="105"/>
        </w:rPr>
        <w:t>reconstrucción</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identifica- ciones y pertenencias, así como </w:t>
      </w:r>
      <w:r>
        <w:rPr>
          <w:color w:val="231F20"/>
          <w:spacing w:val="-3"/>
          <w:w w:val="105"/>
        </w:rPr>
        <w:t>renegociación </w:t>
      </w:r>
      <w:r>
        <w:rPr>
          <w:color w:val="231F20"/>
          <w:w w:val="105"/>
        </w:rPr>
        <w:t>de lo </w:t>
      </w:r>
      <w:r>
        <w:rPr>
          <w:color w:val="231F20"/>
          <w:spacing w:val="-3"/>
          <w:w w:val="105"/>
        </w:rPr>
        <w:t>propio </w:t>
      </w:r>
      <w:r>
        <w:rPr>
          <w:color w:val="231F20"/>
          <w:w w:val="105"/>
        </w:rPr>
        <w:t>y lo </w:t>
      </w:r>
      <w:r>
        <w:rPr>
          <w:color w:val="231F20"/>
          <w:spacing w:val="-2"/>
          <w:w w:val="105"/>
        </w:rPr>
        <w:t>ajeno. </w:t>
      </w:r>
      <w:r>
        <w:rPr>
          <w:color w:val="231F20"/>
          <w:w w:val="105"/>
        </w:rPr>
        <w:t>El</w:t>
      </w:r>
      <w:r>
        <w:rPr>
          <w:color w:val="231F20"/>
          <w:spacing w:val="22"/>
          <w:w w:val="105"/>
        </w:rPr>
        <w:t> </w:t>
      </w:r>
      <w:r>
        <w:rPr>
          <w:color w:val="231F20"/>
          <w:w w:val="105"/>
        </w:rPr>
        <w:t>presente</w:t>
      </w:r>
      <w:r>
        <w:rPr>
          <w:color w:val="231F20"/>
          <w:spacing w:val="22"/>
          <w:w w:val="105"/>
        </w:rPr>
        <w:t> </w:t>
      </w:r>
      <w:r>
        <w:rPr>
          <w:color w:val="231F20"/>
          <w:w w:val="105"/>
        </w:rPr>
        <w:t>escrito</w:t>
      </w:r>
      <w:r>
        <w:rPr>
          <w:color w:val="231F20"/>
          <w:spacing w:val="22"/>
          <w:w w:val="105"/>
        </w:rPr>
        <w:t> </w:t>
      </w:r>
      <w:r>
        <w:rPr>
          <w:color w:val="231F20"/>
          <w:w w:val="105"/>
        </w:rPr>
        <w:t>aborda</w:t>
      </w:r>
      <w:r>
        <w:rPr>
          <w:color w:val="231F20"/>
          <w:spacing w:val="22"/>
          <w:w w:val="105"/>
        </w:rPr>
        <w:t> </w:t>
      </w:r>
      <w:r>
        <w:rPr>
          <w:color w:val="231F20"/>
          <w:w w:val="105"/>
        </w:rPr>
        <w:t>el</w:t>
      </w:r>
      <w:r>
        <w:rPr>
          <w:color w:val="231F20"/>
          <w:spacing w:val="22"/>
          <w:w w:val="105"/>
        </w:rPr>
        <w:t> </w:t>
      </w:r>
      <w:r>
        <w:rPr>
          <w:color w:val="231F20"/>
          <w:w w:val="105"/>
        </w:rPr>
        <w:t>retorno</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reinserción</w:t>
      </w:r>
      <w:r>
        <w:rPr>
          <w:color w:val="231F20"/>
          <w:spacing w:val="22"/>
          <w:w w:val="105"/>
        </w:rPr>
        <w:t> </w:t>
      </w:r>
      <w:r>
        <w:rPr>
          <w:color w:val="231F20"/>
          <w:w w:val="105"/>
        </w:rPr>
        <w:t>sociocultural</w:t>
      </w:r>
      <w:r>
        <w:rPr>
          <w:color w:val="231F20"/>
          <w:spacing w:val="22"/>
          <w:w w:val="105"/>
        </w:rPr>
        <w:t> </w:t>
      </w:r>
      <w:r>
        <w:rPr>
          <w:color w:val="231F20"/>
          <w:w w:val="105"/>
        </w:rPr>
        <w:t>en</w:t>
      </w:r>
    </w:p>
    <w:p>
      <w:pPr>
        <w:pStyle w:val="BodyText"/>
        <w:spacing w:before="10"/>
        <w:rPr>
          <w:sz w:val="17"/>
        </w:rPr>
      </w:pPr>
      <w:r>
        <w:rPr/>
        <w:pict>
          <v:line style="position:absolute;mso-position-horizontal-relative:page;mso-position-vertical-relative:paragraph;z-index:25408;mso-wrap-distance-left:0;mso-wrap-distance-right:0" from="91.866096pt,12.229018pt" to="205.252096pt,12.229018pt" stroked="true" strokeweight=".25pt" strokecolor="#231f20">
            <w10:wrap type="topAndBottom"/>
          </v:line>
        </w:pict>
      </w:r>
    </w:p>
    <w:p>
      <w:pPr>
        <w:spacing w:line="192" w:lineRule="exact" w:before="7"/>
        <w:ind w:left="1837" w:right="1721" w:hanging="1"/>
        <w:jc w:val="both"/>
        <w:rPr>
          <w:rFonts w:ascii="Calibri" w:hAnsi="Calibri"/>
          <w:sz w:val="16"/>
        </w:rPr>
      </w:pPr>
      <w:r>
        <w:rPr>
          <w:rFonts w:ascii="Calibri" w:hAnsi="Calibri"/>
          <w:color w:val="414042"/>
          <w:position w:val="5"/>
          <w:sz w:val="9"/>
        </w:rPr>
        <w:t>1 </w:t>
      </w:r>
      <w:r>
        <w:rPr>
          <w:rFonts w:ascii="Calibri" w:hAnsi="Calibri"/>
          <w:color w:val="414042"/>
          <w:sz w:val="16"/>
        </w:rPr>
        <w:t>El presente capítulo, a modo de ensayo reflexivo, contiene planteamientos teórico-metodológicos para  el estudio del proceso de retorno en su dimensión sociocultural. Los esbozos aquí vertidos sustentan la investigación, “Reinserción sociocultural de migrantes indígenas mazahuas retornados de Estados Unidos  y transformaciones comunitarias en el lugar de </w:t>
      </w:r>
      <w:r>
        <w:rPr>
          <w:rFonts w:ascii="Calibri" w:hAnsi="Calibri"/>
          <w:color w:val="414042"/>
          <w:spacing w:val="-3"/>
          <w:sz w:val="16"/>
        </w:rPr>
        <w:t>origen”, </w:t>
      </w:r>
      <w:r>
        <w:rPr>
          <w:rFonts w:ascii="Calibri" w:hAnsi="Calibri"/>
          <w:color w:val="414042"/>
          <w:sz w:val="16"/>
        </w:rPr>
        <w:t>que actualmente desarrollo dentro del programa de Maestría en Estudios Políticos y Sociales de la Universidad Nacional Autónoma de México </w:t>
      </w:r>
      <w:r>
        <w:rPr>
          <w:rFonts w:ascii="Calibri" w:hAnsi="Calibri"/>
          <w:color w:val="414042"/>
          <w:spacing w:val="25"/>
          <w:sz w:val="16"/>
        </w:rPr>
        <w:t> </w:t>
      </w:r>
      <w:r>
        <w:rPr>
          <w:rFonts w:ascii="Calibri" w:hAnsi="Calibri"/>
          <w:color w:val="414042"/>
          <w:sz w:val="16"/>
        </w:rPr>
        <w:t>(</w:t>
      </w:r>
      <w:r>
        <w:rPr>
          <w:rFonts w:ascii="Calibri" w:hAnsi="Calibri"/>
          <w:color w:val="414042"/>
          <w:sz w:val="13"/>
        </w:rPr>
        <w:t>UNAM</w:t>
      </w:r>
      <w:r>
        <w:rPr>
          <w:rFonts w:ascii="Calibri" w:hAnsi="Calibri"/>
          <w:color w:val="414042"/>
          <w:sz w:val="16"/>
        </w:rPr>
        <w:t>).</w:t>
      </w:r>
    </w:p>
    <w:p>
      <w:pPr>
        <w:spacing w:after="0" w:line="192" w:lineRule="exact"/>
        <w:jc w:val="both"/>
        <w:rPr>
          <w:rFonts w:ascii="Calibri" w:hAnsi="Calibri"/>
          <w:sz w:val="16"/>
        </w:rPr>
        <w:sectPr>
          <w:pgSz w:w="10480" w:h="14730"/>
          <w:pgMar w:header="0" w:footer="223" w:top="42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7"/>
        </w:rPr>
      </w:pPr>
    </w:p>
    <w:p>
      <w:pPr>
        <w:pStyle w:val="BodyText"/>
        <w:spacing w:line="261" w:lineRule="auto"/>
        <w:ind w:left="1723" w:right="1834"/>
        <w:jc w:val="both"/>
      </w:pPr>
      <w:r>
        <w:rPr>
          <w:color w:val="231F20"/>
          <w:w w:val="105"/>
        </w:rPr>
        <w:t>cinco apartados. En primera instancia contextualiza el escenario de</w:t>
      </w:r>
      <w:r>
        <w:rPr>
          <w:color w:val="231F20"/>
          <w:spacing w:val="-11"/>
          <w:w w:val="105"/>
        </w:rPr>
        <w:t> </w:t>
      </w:r>
      <w:r>
        <w:rPr>
          <w:color w:val="231F20"/>
          <w:w w:val="105"/>
        </w:rPr>
        <w:t>las migraciones contemporáneas para describir el contexto en que tienen lugar las movilidades actuales. Posteriormente, se aborda la migración internacional en el Estado de México a partir de datos nacionales que destacan el protagonismo de la entidad en la migración internacional México-Estados</w:t>
      </w:r>
      <w:r>
        <w:rPr>
          <w:color w:val="231F20"/>
          <w:spacing w:val="-27"/>
          <w:w w:val="105"/>
        </w:rPr>
        <w:t> </w:t>
      </w:r>
      <w:r>
        <w:rPr>
          <w:color w:val="231F20"/>
          <w:w w:val="105"/>
        </w:rPr>
        <w:t>Unidos.</w:t>
      </w:r>
      <w:r>
        <w:rPr>
          <w:color w:val="231F20"/>
          <w:spacing w:val="-32"/>
          <w:w w:val="105"/>
        </w:rPr>
        <w:t> </w:t>
      </w:r>
      <w:r>
        <w:rPr>
          <w:color w:val="231F20"/>
          <w:w w:val="105"/>
        </w:rPr>
        <w:t>El</w:t>
      </w:r>
      <w:r>
        <w:rPr>
          <w:color w:val="231F20"/>
          <w:spacing w:val="-27"/>
          <w:w w:val="105"/>
        </w:rPr>
        <w:t> </w:t>
      </w:r>
      <w:r>
        <w:rPr>
          <w:color w:val="231F20"/>
          <w:w w:val="105"/>
        </w:rPr>
        <w:t>tercer</w:t>
      </w:r>
      <w:r>
        <w:rPr>
          <w:color w:val="231F20"/>
          <w:spacing w:val="-27"/>
          <w:w w:val="105"/>
        </w:rPr>
        <w:t> </w:t>
      </w:r>
      <w:r>
        <w:rPr>
          <w:color w:val="231F20"/>
          <w:w w:val="105"/>
        </w:rPr>
        <w:t>apartado</w:t>
      </w:r>
      <w:r>
        <w:rPr>
          <w:color w:val="231F20"/>
          <w:spacing w:val="-27"/>
          <w:w w:val="105"/>
        </w:rPr>
        <w:t> </w:t>
      </w:r>
      <w:r>
        <w:rPr>
          <w:color w:val="231F20"/>
          <w:w w:val="105"/>
        </w:rPr>
        <w:t>focaliza</w:t>
      </w:r>
      <w:r>
        <w:rPr>
          <w:color w:val="231F20"/>
          <w:spacing w:val="-27"/>
          <w:w w:val="105"/>
        </w:rPr>
        <w:t> </w:t>
      </w:r>
      <w:r>
        <w:rPr>
          <w:color w:val="231F20"/>
          <w:w w:val="105"/>
        </w:rPr>
        <w:t>la</w:t>
      </w:r>
      <w:r>
        <w:rPr>
          <w:color w:val="231F20"/>
          <w:spacing w:val="-27"/>
          <w:w w:val="105"/>
        </w:rPr>
        <w:t> </w:t>
      </w:r>
      <w:r>
        <w:rPr>
          <w:color w:val="231F20"/>
          <w:w w:val="105"/>
        </w:rPr>
        <w:t>migración</w:t>
      </w:r>
      <w:r>
        <w:rPr>
          <w:color w:val="231F20"/>
          <w:spacing w:val="-27"/>
          <w:w w:val="105"/>
        </w:rPr>
        <w:t> </w:t>
      </w:r>
      <w:r>
        <w:rPr>
          <w:color w:val="231F20"/>
          <w:w w:val="105"/>
        </w:rPr>
        <w:t>indígena mazahua</w:t>
      </w:r>
      <w:r>
        <w:rPr>
          <w:color w:val="231F20"/>
          <w:spacing w:val="-27"/>
          <w:w w:val="105"/>
        </w:rPr>
        <w:t> </w:t>
      </w:r>
      <w:r>
        <w:rPr>
          <w:color w:val="231F20"/>
          <w:w w:val="105"/>
        </w:rPr>
        <w:t>en</w:t>
      </w:r>
      <w:r>
        <w:rPr>
          <w:color w:val="231F20"/>
          <w:spacing w:val="-27"/>
          <w:w w:val="105"/>
        </w:rPr>
        <w:t> </w:t>
      </w:r>
      <w:r>
        <w:rPr>
          <w:color w:val="231F20"/>
          <w:w w:val="105"/>
        </w:rPr>
        <w:t>relación</w:t>
      </w:r>
      <w:r>
        <w:rPr>
          <w:color w:val="231F20"/>
          <w:spacing w:val="-27"/>
          <w:w w:val="105"/>
        </w:rPr>
        <w:t> </w:t>
      </w:r>
      <w:r>
        <w:rPr>
          <w:color w:val="231F20"/>
          <w:w w:val="105"/>
        </w:rPr>
        <w:t>a</w:t>
      </w:r>
      <w:r>
        <w:rPr>
          <w:color w:val="231F20"/>
          <w:spacing w:val="-27"/>
          <w:w w:val="105"/>
        </w:rPr>
        <w:t> </w:t>
      </w:r>
      <w:r>
        <w:rPr>
          <w:color w:val="231F20"/>
          <w:w w:val="105"/>
        </w:rPr>
        <w:t>otras</w:t>
      </w:r>
      <w:r>
        <w:rPr>
          <w:color w:val="231F20"/>
          <w:spacing w:val="-27"/>
          <w:w w:val="105"/>
        </w:rPr>
        <w:t> </w:t>
      </w:r>
      <w:r>
        <w:rPr>
          <w:color w:val="231F20"/>
          <w:w w:val="105"/>
        </w:rPr>
        <w:t>migraciones</w:t>
      </w:r>
      <w:r>
        <w:rPr>
          <w:color w:val="231F20"/>
          <w:spacing w:val="-27"/>
          <w:w w:val="105"/>
        </w:rPr>
        <w:t> </w:t>
      </w:r>
      <w:r>
        <w:rPr>
          <w:color w:val="231F20"/>
          <w:w w:val="105"/>
        </w:rPr>
        <w:t>indígenas</w:t>
      </w:r>
      <w:r>
        <w:rPr>
          <w:color w:val="231F20"/>
          <w:spacing w:val="-27"/>
          <w:w w:val="105"/>
        </w:rPr>
        <w:t> </w:t>
      </w:r>
      <w:r>
        <w:rPr>
          <w:color w:val="231F20"/>
          <w:w w:val="105"/>
        </w:rPr>
        <w:t>del</w:t>
      </w:r>
      <w:r>
        <w:rPr>
          <w:color w:val="231F20"/>
          <w:spacing w:val="-27"/>
          <w:w w:val="105"/>
        </w:rPr>
        <w:t> </w:t>
      </w:r>
      <w:r>
        <w:rPr>
          <w:color w:val="231F20"/>
          <w:w w:val="105"/>
        </w:rPr>
        <w:t>país.</w:t>
      </w:r>
      <w:r>
        <w:rPr>
          <w:color w:val="231F20"/>
          <w:spacing w:val="-31"/>
          <w:w w:val="105"/>
        </w:rPr>
        <w:t> </w:t>
      </w:r>
      <w:r>
        <w:rPr>
          <w:color w:val="231F20"/>
          <w:w w:val="105"/>
        </w:rPr>
        <w:t>Mediante</w:t>
      </w:r>
      <w:r>
        <w:rPr>
          <w:color w:val="231F20"/>
          <w:spacing w:val="-27"/>
          <w:w w:val="105"/>
        </w:rPr>
        <w:t> </w:t>
      </w:r>
      <w:r>
        <w:rPr>
          <w:color w:val="231F20"/>
          <w:w w:val="105"/>
        </w:rPr>
        <w:t>un recorrido</w:t>
      </w:r>
      <w:r>
        <w:rPr>
          <w:color w:val="231F20"/>
          <w:spacing w:val="-28"/>
          <w:w w:val="105"/>
        </w:rPr>
        <w:t> </w:t>
      </w:r>
      <w:r>
        <w:rPr>
          <w:color w:val="231F20"/>
          <w:w w:val="105"/>
        </w:rPr>
        <w:t>histórico,</w:t>
      </w:r>
      <w:r>
        <w:rPr>
          <w:color w:val="231F20"/>
          <w:spacing w:val="-32"/>
          <w:w w:val="105"/>
        </w:rPr>
        <w:t> </w:t>
      </w:r>
      <w:r>
        <w:rPr>
          <w:color w:val="231F20"/>
          <w:w w:val="105"/>
        </w:rPr>
        <w:t>sustentado</w:t>
      </w:r>
      <w:r>
        <w:rPr>
          <w:color w:val="231F20"/>
          <w:spacing w:val="-28"/>
          <w:w w:val="105"/>
        </w:rPr>
        <w:t> </w:t>
      </w:r>
      <w:r>
        <w:rPr>
          <w:color w:val="231F20"/>
          <w:w w:val="105"/>
        </w:rPr>
        <w:t>en</w:t>
      </w:r>
      <w:r>
        <w:rPr>
          <w:color w:val="231F20"/>
          <w:spacing w:val="2"/>
          <w:w w:val="105"/>
        </w:rPr>
        <w:t> </w:t>
      </w:r>
      <w:r>
        <w:rPr>
          <w:color w:val="231F20"/>
          <w:w w:val="105"/>
        </w:rPr>
        <w:t>estudios</w:t>
      </w:r>
      <w:r>
        <w:rPr>
          <w:color w:val="231F20"/>
          <w:spacing w:val="-28"/>
          <w:w w:val="105"/>
        </w:rPr>
        <w:t> </w:t>
      </w:r>
      <w:r>
        <w:rPr>
          <w:color w:val="231F20"/>
          <w:w w:val="105"/>
        </w:rPr>
        <w:t>previos,</w:t>
      </w:r>
      <w:r>
        <w:rPr>
          <w:color w:val="231F20"/>
          <w:spacing w:val="-32"/>
          <w:w w:val="105"/>
        </w:rPr>
        <w:t> </w:t>
      </w:r>
      <w:r>
        <w:rPr>
          <w:color w:val="231F20"/>
          <w:w w:val="105"/>
        </w:rPr>
        <w:t>se</w:t>
      </w:r>
      <w:r>
        <w:rPr>
          <w:color w:val="231F20"/>
          <w:spacing w:val="-28"/>
          <w:w w:val="105"/>
        </w:rPr>
        <w:t> </w:t>
      </w:r>
      <w:r>
        <w:rPr>
          <w:color w:val="231F20"/>
          <w:w w:val="105"/>
        </w:rPr>
        <w:t>aterriza</w:t>
      </w:r>
      <w:r>
        <w:rPr>
          <w:color w:val="231F20"/>
          <w:spacing w:val="-28"/>
          <w:w w:val="105"/>
        </w:rPr>
        <w:t> </w:t>
      </w:r>
      <w:r>
        <w:rPr>
          <w:color w:val="231F20"/>
          <w:w w:val="105"/>
        </w:rPr>
        <w:t>la</w:t>
      </w:r>
      <w:r>
        <w:rPr>
          <w:color w:val="231F20"/>
          <w:spacing w:val="-28"/>
          <w:w w:val="105"/>
        </w:rPr>
        <w:t> </w:t>
      </w:r>
      <w:r>
        <w:rPr>
          <w:color w:val="231F20"/>
          <w:w w:val="105"/>
        </w:rPr>
        <w:t>trascen- dencia</w:t>
      </w:r>
      <w:r>
        <w:rPr>
          <w:color w:val="231F20"/>
          <w:spacing w:val="-13"/>
          <w:w w:val="105"/>
        </w:rPr>
        <w:t> </w:t>
      </w:r>
      <w:r>
        <w:rPr>
          <w:color w:val="231F20"/>
          <w:w w:val="105"/>
        </w:rPr>
        <w:t>de</w:t>
      </w:r>
      <w:r>
        <w:rPr>
          <w:color w:val="231F20"/>
          <w:spacing w:val="-13"/>
          <w:w w:val="105"/>
        </w:rPr>
        <w:t> </w:t>
      </w:r>
      <w:r>
        <w:rPr>
          <w:color w:val="231F20"/>
          <w:w w:val="105"/>
        </w:rPr>
        <w:t>conocer</w:t>
      </w:r>
      <w:r>
        <w:rPr>
          <w:color w:val="231F20"/>
          <w:spacing w:val="-13"/>
          <w:w w:val="105"/>
        </w:rPr>
        <w:t> </w:t>
      </w:r>
      <w:r>
        <w:rPr>
          <w:color w:val="231F20"/>
          <w:w w:val="105"/>
        </w:rPr>
        <w:t>el</w:t>
      </w:r>
      <w:r>
        <w:rPr>
          <w:color w:val="231F20"/>
          <w:spacing w:val="-13"/>
          <w:w w:val="105"/>
        </w:rPr>
        <w:t> </w:t>
      </w:r>
      <w:r>
        <w:rPr>
          <w:color w:val="231F20"/>
          <w:w w:val="105"/>
        </w:rPr>
        <w:t>modo</w:t>
      </w:r>
      <w:r>
        <w:rPr>
          <w:color w:val="231F20"/>
          <w:spacing w:val="-13"/>
          <w:w w:val="105"/>
        </w:rPr>
        <w:t> </w:t>
      </w:r>
      <w:r>
        <w:rPr>
          <w:color w:val="231F20"/>
          <w:w w:val="105"/>
        </w:rPr>
        <w:t>en</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poblaciones</w:t>
      </w:r>
      <w:r>
        <w:rPr>
          <w:color w:val="231F20"/>
          <w:spacing w:val="-13"/>
          <w:w w:val="105"/>
        </w:rPr>
        <w:t> </w:t>
      </w:r>
      <w:r>
        <w:rPr>
          <w:color w:val="231F20"/>
          <w:w w:val="105"/>
        </w:rPr>
        <w:t>mazahuas</w:t>
      </w:r>
      <w:r>
        <w:rPr>
          <w:color w:val="231F20"/>
          <w:spacing w:val="-13"/>
          <w:w w:val="105"/>
        </w:rPr>
        <w:t> </w:t>
      </w:r>
      <w:r>
        <w:rPr>
          <w:color w:val="231F20"/>
          <w:w w:val="105"/>
        </w:rPr>
        <w:t>participan en</w:t>
      </w:r>
      <w:r>
        <w:rPr>
          <w:color w:val="231F20"/>
          <w:spacing w:val="-19"/>
          <w:w w:val="105"/>
        </w:rPr>
        <w:t> </w:t>
      </w:r>
      <w:r>
        <w:rPr>
          <w:color w:val="231F20"/>
          <w:w w:val="105"/>
        </w:rPr>
        <w:t>las</w:t>
      </w:r>
      <w:r>
        <w:rPr>
          <w:color w:val="231F20"/>
          <w:spacing w:val="-19"/>
          <w:w w:val="105"/>
        </w:rPr>
        <w:t> </w:t>
      </w:r>
      <w:r>
        <w:rPr>
          <w:color w:val="231F20"/>
          <w:w w:val="105"/>
        </w:rPr>
        <w:t>movilidades</w:t>
      </w:r>
      <w:r>
        <w:rPr>
          <w:color w:val="231F20"/>
          <w:spacing w:val="-19"/>
          <w:w w:val="105"/>
        </w:rPr>
        <w:t> </w:t>
      </w:r>
      <w:r>
        <w:rPr>
          <w:color w:val="231F20"/>
          <w:w w:val="105"/>
        </w:rPr>
        <w:t>contemporáneas.</w:t>
      </w:r>
      <w:r>
        <w:rPr>
          <w:color w:val="231F20"/>
          <w:spacing w:val="-24"/>
          <w:w w:val="105"/>
        </w:rPr>
        <w:t> </w:t>
      </w:r>
      <w:r>
        <w:rPr>
          <w:color w:val="231F20"/>
          <w:w w:val="105"/>
        </w:rPr>
        <w:t>En</w:t>
      </w:r>
      <w:r>
        <w:rPr>
          <w:color w:val="231F20"/>
          <w:spacing w:val="-19"/>
          <w:w w:val="105"/>
        </w:rPr>
        <w:t> </w:t>
      </w:r>
      <w:r>
        <w:rPr>
          <w:color w:val="231F20"/>
          <w:w w:val="105"/>
        </w:rPr>
        <w:t>un</w:t>
      </w:r>
      <w:r>
        <w:rPr>
          <w:color w:val="231F20"/>
          <w:spacing w:val="-19"/>
          <w:w w:val="105"/>
        </w:rPr>
        <w:t> </w:t>
      </w:r>
      <w:r>
        <w:rPr>
          <w:color w:val="231F20"/>
          <w:w w:val="105"/>
        </w:rPr>
        <w:t>cuarto</w:t>
      </w:r>
      <w:r>
        <w:rPr>
          <w:color w:val="231F20"/>
          <w:spacing w:val="-19"/>
          <w:w w:val="105"/>
        </w:rPr>
        <w:t> </w:t>
      </w:r>
      <w:r>
        <w:rPr>
          <w:color w:val="231F20"/>
          <w:w w:val="105"/>
        </w:rPr>
        <w:t>apartado</w:t>
      </w:r>
      <w:r>
        <w:rPr>
          <w:color w:val="231F20"/>
          <w:spacing w:val="-19"/>
          <w:w w:val="105"/>
        </w:rPr>
        <w:t> </w:t>
      </w:r>
      <w:r>
        <w:rPr>
          <w:color w:val="231F20"/>
          <w:w w:val="105"/>
        </w:rPr>
        <w:t>se</w:t>
      </w:r>
      <w:r>
        <w:rPr>
          <w:color w:val="231F20"/>
          <w:spacing w:val="-19"/>
          <w:w w:val="105"/>
        </w:rPr>
        <w:t> </w:t>
      </w:r>
      <w:r>
        <w:rPr>
          <w:color w:val="231F20"/>
          <w:w w:val="105"/>
        </w:rPr>
        <w:t>delinea</w:t>
      </w:r>
      <w:r>
        <w:rPr>
          <w:color w:val="231F20"/>
          <w:spacing w:val="-19"/>
          <w:w w:val="105"/>
        </w:rPr>
        <w:t> </w:t>
      </w:r>
      <w:r>
        <w:rPr>
          <w:color w:val="231F20"/>
          <w:w w:val="105"/>
        </w:rPr>
        <w:t>la centralidad</w:t>
      </w:r>
      <w:r>
        <w:rPr>
          <w:color w:val="231F20"/>
          <w:spacing w:val="-5"/>
          <w:w w:val="105"/>
        </w:rPr>
        <w:t> </w:t>
      </w:r>
      <w:r>
        <w:rPr>
          <w:color w:val="231F20"/>
          <w:w w:val="105"/>
        </w:rPr>
        <w:t>del</w:t>
      </w:r>
      <w:r>
        <w:rPr>
          <w:color w:val="231F20"/>
          <w:spacing w:val="-5"/>
          <w:w w:val="105"/>
        </w:rPr>
        <w:t> </w:t>
      </w:r>
      <w:r>
        <w:rPr>
          <w:color w:val="231F20"/>
          <w:w w:val="105"/>
        </w:rPr>
        <w:t>retorno</w:t>
      </w:r>
      <w:r>
        <w:rPr>
          <w:color w:val="231F20"/>
          <w:spacing w:val="-5"/>
          <w:w w:val="105"/>
        </w:rPr>
        <w:t> </w:t>
      </w:r>
      <w:r>
        <w:rPr>
          <w:color w:val="231F20"/>
          <w:w w:val="105"/>
        </w:rPr>
        <w:t>migratorio</w:t>
      </w:r>
      <w:r>
        <w:rPr>
          <w:color w:val="231F20"/>
          <w:spacing w:val="-5"/>
          <w:w w:val="105"/>
        </w:rPr>
        <w:t> </w:t>
      </w:r>
      <w:r>
        <w:rPr>
          <w:color w:val="231F20"/>
          <w:w w:val="105"/>
        </w:rPr>
        <w:t>y</w:t>
      </w:r>
      <w:r>
        <w:rPr>
          <w:color w:val="231F20"/>
          <w:spacing w:val="-5"/>
          <w:w w:val="105"/>
        </w:rPr>
        <w:t> </w:t>
      </w:r>
      <w:r>
        <w:rPr>
          <w:color w:val="231F20"/>
          <w:w w:val="105"/>
        </w:rPr>
        <w:t>su</w:t>
      </w:r>
      <w:r>
        <w:rPr>
          <w:color w:val="231F20"/>
          <w:spacing w:val="-5"/>
          <w:w w:val="105"/>
        </w:rPr>
        <w:t> </w:t>
      </w:r>
      <w:r>
        <w:rPr>
          <w:color w:val="231F20"/>
          <w:w w:val="105"/>
        </w:rPr>
        <w:t>relación</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reinserción</w:t>
      </w:r>
      <w:r>
        <w:rPr>
          <w:color w:val="231F20"/>
          <w:spacing w:val="-5"/>
          <w:w w:val="105"/>
        </w:rPr>
        <w:t> </w:t>
      </w:r>
      <w:r>
        <w:rPr>
          <w:color w:val="231F20"/>
          <w:w w:val="105"/>
        </w:rPr>
        <w:t>socio- cultural como eje analítico basado en la experiencia a lo largo del pro- yecto migratorio. Atención primordial tiene la reelaboración de códigos culturales</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reconstruyen</w:t>
      </w:r>
      <w:r>
        <w:rPr>
          <w:color w:val="231F20"/>
          <w:spacing w:val="-11"/>
          <w:w w:val="105"/>
        </w:rPr>
        <w:t> </w:t>
      </w:r>
      <w:r>
        <w:rPr>
          <w:color w:val="231F20"/>
          <w:w w:val="105"/>
        </w:rPr>
        <w:t>las</w:t>
      </w:r>
      <w:r>
        <w:rPr>
          <w:color w:val="231F20"/>
          <w:spacing w:val="-11"/>
          <w:w w:val="105"/>
        </w:rPr>
        <w:t> </w:t>
      </w:r>
      <w:r>
        <w:rPr>
          <w:color w:val="231F20"/>
          <w:w w:val="105"/>
        </w:rPr>
        <w:t>identificaciones</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w w:val="105"/>
        </w:rPr>
        <w:t>sentido</w:t>
      </w:r>
      <w:r>
        <w:rPr>
          <w:color w:val="231F20"/>
          <w:spacing w:val="-11"/>
          <w:w w:val="105"/>
        </w:rPr>
        <w:t> </w:t>
      </w:r>
      <w:r>
        <w:rPr>
          <w:color w:val="231F20"/>
          <w:w w:val="105"/>
        </w:rPr>
        <w:t>de pertenencia, destacando los procesos diferenciados en los espacios y temporalidades</w:t>
      </w:r>
      <w:r>
        <w:rPr>
          <w:color w:val="231F20"/>
          <w:spacing w:val="-14"/>
          <w:w w:val="105"/>
        </w:rPr>
        <w:t> </w:t>
      </w:r>
      <w:r>
        <w:rPr>
          <w:color w:val="231F20"/>
          <w:w w:val="105"/>
        </w:rPr>
        <w:t>migratorias.</w:t>
      </w:r>
      <w:r>
        <w:rPr>
          <w:color w:val="231F20"/>
          <w:spacing w:val="-18"/>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último</w:t>
      </w:r>
      <w:r>
        <w:rPr>
          <w:color w:val="231F20"/>
          <w:spacing w:val="-14"/>
          <w:w w:val="105"/>
        </w:rPr>
        <w:t> </w:t>
      </w:r>
      <w:r>
        <w:rPr>
          <w:color w:val="231F20"/>
          <w:w w:val="105"/>
        </w:rPr>
        <w:t>apartado</w:t>
      </w:r>
      <w:r>
        <w:rPr>
          <w:color w:val="231F20"/>
          <w:spacing w:val="-14"/>
          <w:w w:val="105"/>
        </w:rPr>
        <w:t> </w:t>
      </w:r>
      <w:r>
        <w:rPr>
          <w:color w:val="231F20"/>
          <w:w w:val="105"/>
        </w:rPr>
        <w:t>se</w:t>
      </w:r>
      <w:r>
        <w:rPr>
          <w:color w:val="231F20"/>
          <w:spacing w:val="-14"/>
          <w:w w:val="105"/>
        </w:rPr>
        <w:t> </w:t>
      </w:r>
      <w:r>
        <w:rPr>
          <w:color w:val="231F20"/>
          <w:w w:val="105"/>
        </w:rPr>
        <w:t>presentan</w:t>
      </w:r>
      <w:r>
        <w:rPr>
          <w:color w:val="231F20"/>
          <w:spacing w:val="-14"/>
          <w:w w:val="105"/>
        </w:rPr>
        <w:t> </w:t>
      </w:r>
      <w:r>
        <w:rPr>
          <w:color w:val="231F20"/>
          <w:w w:val="105"/>
        </w:rPr>
        <w:t>algunas reflexiones</w:t>
      </w:r>
      <w:r>
        <w:rPr>
          <w:color w:val="231F20"/>
          <w:spacing w:val="-16"/>
          <w:w w:val="105"/>
        </w:rPr>
        <w:t> </w:t>
      </w:r>
      <w:r>
        <w:rPr>
          <w:color w:val="231F20"/>
          <w:w w:val="105"/>
        </w:rPr>
        <w:t>finales</w:t>
      </w:r>
      <w:r>
        <w:rPr>
          <w:color w:val="231F20"/>
          <w:spacing w:val="-16"/>
          <w:w w:val="105"/>
        </w:rPr>
        <w:t> </w:t>
      </w:r>
      <w:r>
        <w:rPr>
          <w:color w:val="231F20"/>
          <w:w w:val="105"/>
        </w:rPr>
        <w:t>a</w:t>
      </w:r>
      <w:r>
        <w:rPr>
          <w:color w:val="231F20"/>
          <w:spacing w:val="-16"/>
          <w:w w:val="105"/>
        </w:rPr>
        <w:t> </w:t>
      </w:r>
      <w:r>
        <w:rPr>
          <w:color w:val="231F20"/>
          <w:w w:val="105"/>
        </w:rPr>
        <w:t>modo</w:t>
      </w:r>
      <w:r>
        <w:rPr>
          <w:color w:val="231F20"/>
          <w:spacing w:val="-16"/>
          <w:w w:val="105"/>
        </w:rPr>
        <w:t> </w:t>
      </w:r>
      <w:r>
        <w:rPr>
          <w:color w:val="231F20"/>
          <w:w w:val="105"/>
        </w:rPr>
        <w:t>de</w:t>
      </w:r>
      <w:r>
        <w:rPr>
          <w:color w:val="231F20"/>
          <w:spacing w:val="-16"/>
          <w:w w:val="105"/>
        </w:rPr>
        <w:t> </w:t>
      </w:r>
      <w:r>
        <w:rPr>
          <w:color w:val="231F20"/>
          <w:w w:val="105"/>
        </w:rPr>
        <w:t>fundamentos</w:t>
      </w:r>
      <w:r>
        <w:rPr>
          <w:color w:val="231F20"/>
          <w:spacing w:val="-16"/>
          <w:w w:val="105"/>
        </w:rPr>
        <w:t> </w:t>
      </w:r>
      <w:r>
        <w:rPr>
          <w:color w:val="231F20"/>
          <w:w w:val="105"/>
        </w:rPr>
        <w:t>analíticos</w:t>
      </w:r>
      <w:r>
        <w:rPr>
          <w:color w:val="231F20"/>
          <w:spacing w:val="-16"/>
          <w:w w:val="105"/>
        </w:rPr>
        <w:t> </w:t>
      </w:r>
      <w:r>
        <w:rPr>
          <w:color w:val="231F20"/>
          <w:w w:val="105"/>
        </w:rPr>
        <w:t>y</w:t>
      </w:r>
      <w:r>
        <w:rPr>
          <w:color w:val="231F20"/>
          <w:spacing w:val="-16"/>
          <w:w w:val="105"/>
        </w:rPr>
        <w:t> </w:t>
      </w:r>
      <w:r>
        <w:rPr>
          <w:color w:val="231F20"/>
          <w:w w:val="105"/>
        </w:rPr>
        <w:t>rutas</w:t>
      </w:r>
      <w:r>
        <w:rPr>
          <w:color w:val="231F20"/>
          <w:spacing w:val="-16"/>
          <w:w w:val="105"/>
        </w:rPr>
        <w:t> </w:t>
      </w:r>
      <w:r>
        <w:rPr>
          <w:color w:val="231F20"/>
          <w:w w:val="105"/>
        </w:rPr>
        <w:t>posibles</w:t>
      </w:r>
      <w:r>
        <w:rPr>
          <w:color w:val="231F20"/>
          <w:spacing w:val="-16"/>
          <w:w w:val="105"/>
        </w:rPr>
        <w:t> </w:t>
      </w:r>
      <w:r>
        <w:rPr>
          <w:color w:val="231F20"/>
          <w:w w:val="105"/>
        </w:rPr>
        <w:t>de investigación para contribuir al conocimiento de los retornos</w:t>
      </w:r>
      <w:r>
        <w:rPr>
          <w:color w:val="231F20"/>
          <w:spacing w:val="-40"/>
          <w:w w:val="105"/>
        </w:rPr>
        <w:t> </w:t>
      </w:r>
      <w:r>
        <w:rPr>
          <w:color w:val="231F20"/>
          <w:w w:val="105"/>
        </w:rPr>
        <w:t>contempo- ráneos</w:t>
      </w:r>
      <w:r>
        <w:rPr>
          <w:color w:val="231F20"/>
          <w:spacing w:val="-17"/>
          <w:w w:val="105"/>
        </w:rPr>
        <w:t> </w:t>
      </w:r>
      <w:r>
        <w:rPr>
          <w:color w:val="231F20"/>
          <w:w w:val="105"/>
        </w:rPr>
        <w:t>en</w:t>
      </w:r>
      <w:r>
        <w:rPr>
          <w:color w:val="231F20"/>
          <w:spacing w:val="-17"/>
          <w:w w:val="105"/>
        </w:rPr>
        <w:t> </w:t>
      </w:r>
      <w:r>
        <w:rPr>
          <w:color w:val="231F20"/>
          <w:w w:val="105"/>
        </w:rPr>
        <w:t>contextos</w:t>
      </w:r>
      <w:r>
        <w:rPr>
          <w:color w:val="231F20"/>
          <w:spacing w:val="-17"/>
          <w:w w:val="105"/>
        </w:rPr>
        <w:t> </w:t>
      </w:r>
      <w:r>
        <w:rPr>
          <w:color w:val="231F20"/>
          <w:w w:val="105"/>
        </w:rPr>
        <w:t>de</w:t>
      </w:r>
      <w:r>
        <w:rPr>
          <w:color w:val="231F20"/>
          <w:spacing w:val="-17"/>
          <w:w w:val="105"/>
        </w:rPr>
        <w:t> </w:t>
      </w:r>
      <w:r>
        <w:rPr>
          <w:color w:val="231F20"/>
          <w:w w:val="105"/>
        </w:rPr>
        <w:t>composición</w:t>
      </w:r>
      <w:r>
        <w:rPr>
          <w:color w:val="231F20"/>
          <w:spacing w:val="-17"/>
          <w:w w:val="105"/>
        </w:rPr>
        <w:t> </w:t>
      </w:r>
      <w:r>
        <w:rPr>
          <w:color w:val="231F20"/>
          <w:w w:val="105"/>
        </w:rPr>
        <w:t>étnica.</w:t>
      </w:r>
    </w:p>
    <w:p>
      <w:pPr>
        <w:pStyle w:val="BodyText"/>
        <w:rPr>
          <w:sz w:val="20"/>
        </w:rPr>
      </w:pPr>
    </w:p>
    <w:p>
      <w:pPr>
        <w:pStyle w:val="BodyText"/>
        <w:spacing w:before="9"/>
        <w:rPr>
          <w:sz w:val="20"/>
        </w:rPr>
      </w:pPr>
    </w:p>
    <w:p>
      <w:pPr>
        <w:pStyle w:val="Heading3"/>
        <w:ind w:left="1723"/>
      </w:pPr>
      <w:r>
        <w:rPr>
          <w:color w:val="231F20"/>
        </w:rPr>
        <w:t>El contexto de las migraciones contemporáneas</w:t>
      </w:r>
    </w:p>
    <w:p>
      <w:pPr>
        <w:pStyle w:val="BodyText"/>
        <w:rPr>
          <w:rFonts w:ascii="Arial"/>
          <w:b/>
          <w:sz w:val="22"/>
        </w:rPr>
      </w:pPr>
    </w:p>
    <w:p>
      <w:pPr>
        <w:pStyle w:val="BodyText"/>
        <w:spacing w:line="261" w:lineRule="auto" w:before="163"/>
        <w:ind w:left="1723" w:right="1828"/>
        <w:jc w:val="both"/>
      </w:pPr>
      <w:r>
        <w:rPr>
          <w:color w:val="231F20"/>
          <w:w w:val="105"/>
        </w:rPr>
        <w:t>La interconexión, la interdependencia y el predominio de la competen- cia comercial en nuestros días son pilares en la globalización. La dupla vigente entre el modelo económico neoliberal y el auge de la dinámica global incluyen una segregación, separación y marginación social pro- gresiva</w:t>
      </w:r>
      <w:r>
        <w:rPr>
          <w:color w:val="231F20"/>
          <w:spacing w:val="-6"/>
          <w:w w:val="105"/>
        </w:rPr>
        <w:t> </w:t>
      </w:r>
      <w:r>
        <w:rPr>
          <w:color w:val="231F20"/>
          <w:w w:val="105"/>
        </w:rPr>
        <w:t>(Bauman,</w:t>
      </w:r>
      <w:r>
        <w:rPr>
          <w:color w:val="231F20"/>
          <w:spacing w:val="-10"/>
          <w:w w:val="105"/>
        </w:rPr>
        <w:t> </w:t>
      </w:r>
      <w:r>
        <w:rPr>
          <w:color w:val="231F20"/>
          <w:w w:val="105"/>
        </w:rPr>
        <w:t>2010).</w:t>
      </w:r>
      <w:r>
        <w:rPr>
          <w:color w:val="231F20"/>
          <w:spacing w:val="-10"/>
          <w:w w:val="105"/>
        </w:rPr>
        <w:t> </w:t>
      </w:r>
      <w:r>
        <w:rPr>
          <w:color w:val="231F20"/>
          <w:w w:val="105"/>
        </w:rPr>
        <w:t>Las</w:t>
      </w:r>
      <w:r>
        <w:rPr>
          <w:color w:val="231F20"/>
          <w:spacing w:val="-6"/>
          <w:w w:val="105"/>
        </w:rPr>
        <w:t> </w:t>
      </w:r>
      <w:r>
        <w:rPr>
          <w:color w:val="231F20"/>
          <w:w w:val="105"/>
        </w:rPr>
        <w:t>disparidades</w:t>
      </w:r>
      <w:r>
        <w:rPr>
          <w:color w:val="231F20"/>
          <w:spacing w:val="-6"/>
          <w:w w:val="105"/>
        </w:rPr>
        <w:t> </w:t>
      </w:r>
      <w:r>
        <w:rPr>
          <w:color w:val="231F20"/>
          <w:w w:val="105"/>
        </w:rPr>
        <w:t>económicas</w:t>
      </w:r>
      <w:r>
        <w:rPr>
          <w:color w:val="231F20"/>
          <w:spacing w:val="-6"/>
          <w:w w:val="105"/>
        </w:rPr>
        <w:t> </w:t>
      </w:r>
      <w:r>
        <w:rPr>
          <w:color w:val="231F20"/>
          <w:w w:val="105"/>
        </w:rPr>
        <w:t>entre</w:t>
      </w:r>
      <w:r>
        <w:rPr>
          <w:color w:val="231F20"/>
          <w:spacing w:val="-6"/>
          <w:w w:val="105"/>
        </w:rPr>
        <w:t> </w:t>
      </w:r>
      <w:r>
        <w:rPr>
          <w:color w:val="231F20"/>
          <w:w w:val="105"/>
        </w:rPr>
        <w:t>los</w:t>
      </w:r>
      <w:r>
        <w:rPr>
          <w:color w:val="231F20"/>
          <w:spacing w:val="-6"/>
          <w:w w:val="105"/>
        </w:rPr>
        <w:t> </w:t>
      </w:r>
      <w:r>
        <w:rPr>
          <w:color w:val="231F20"/>
          <w:w w:val="105"/>
        </w:rPr>
        <w:t>países desarrollados</w:t>
      </w:r>
      <w:r>
        <w:rPr>
          <w:color w:val="231F20"/>
          <w:spacing w:val="-7"/>
          <w:w w:val="105"/>
        </w:rPr>
        <w:t> </w:t>
      </w:r>
      <w:r>
        <w:rPr>
          <w:color w:val="231F20"/>
          <w:w w:val="105"/>
        </w:rPr>
        <w:t>y</w:t>
      </w:r>
      <w:r>
        <w:rPr>
          <w:color w:val="231F20"/>
          <w:spacing w:val="-7"/>
          <w:w w:val="105"/>
        </w:rPr>
        <w:t> </w:t>
      </w:r>
      <w:r>
        <w:rPr>
          <w:color w:val="231F20"/>
          <w:w w:val="105"/>
        </w:rPr>
        <w:t>los</w:t>
      </w:r>
      <w:r>
        <w:rPr>
          <w:color w:val="231F20"/>
          <w:spacing w:val="-7"/>
          <w:w w:val="105"/>
        </w:rPr>
        <w:t> </w:t>
      </w:r>
      <w:r>
        <w:rPr>
          <w:color w:val="231F20"/>
          <w:w w:val="105"/>
        </w:rPr>
        <w:t>que</w:t>
      </w:r>
      <w:r>
        <w:rPr>
          <w:color w:val="231F20"/>
          <w:spacing w:val="-7"/>
          <w:w w:val="105"/>
        </w:rPr>
        <w:t> </w:t>
      </w:r>
      <w:r>
        <w:rPr>
          <w:color w:val="231F20"/>
          <w:w w:val="105"/>
        </w:rPr>
        <w:t>no</w:t>
      </w:r>
      <w:r>
        <w:rPr>
          <w:color w:val="231F20"/>
          <w:spacing w:val="-7"/>
          <w:w w:val="105"/>
        </w:rPr>
        <w:t> </w:t>
      </w:r>
      <w:r>
        <w:rPr>
          <w:color w:val="231F20"/>
          <w:w w:val="105"/>
        </w:rPr>
        <w:t>lo</w:t>
      </w:r>
      <w:r>
        <w:rPr>
          <w:color w:val="231F20"/>
          <w:spacing w:val="-7"/>
          <w:w w:val="105"/>
        </w:rPr>
        <w:t> </w:t>
      </w:r>
      <w:r>
        <w:rPr>
          <w:color w:val="231F20"/>
          <w:w w:val="105"/>
        </w:rPr>
        <w:t>son</w:t>
      </w:r>
      <w:r>
        <w:rPr>
          <w:color w:val="231F20"/>
          <w:spacing w:val="-7"/>
          <w:w w:val="105"/>
        </w:rPr>
        <w:t> </w:t>
      </w:r>
      <w:r>
        <w:rPr>
          <w:color w:val="231F20"/>
          <w:w w:val="105"/>
        </w:rPr>
        <w:t>reproduce</w:t>
      </w:r>
      <w:r>
        <w:rPr>
          <w:color w:val="231F20"/>
          <w:spacing w:val="-7"/>
          <w:w w:val="105"/>
        </w:rPr>
        <w:t> </w:t>
      </w:r>
      <w:r>
        <w:rPr>
          <w:color w:val="231F20"/>
          <w:w w:val="105"/>
        </w:rPr>
        <w:t>la</w:t>
      </w:r>
      <w:r>
        <w:rPr>
          <w:color w:val="231F20"/>
          <w:spacing w:val="-7"/>
          <w:w w:val="105"/>
        </w:rPr>
        <w:t> </w:t>
      </w:r>
      <w:r>
        <w:rPr>
          <w:color w:val="231F20"/>
          <w:w w:val="105"/>
        </w:rPr>
        <w:t>desigualdad</w:t>
      </w:r>
      <w:r>
        <w:rPr>
          <w:color w:val="231F20"/>
          <w:spacing w:val="-7"/>
          <w:w w:val="105"/>
        </w:rPr>
        <w:t> </w:t>
      </w:r>
      <w:r>
        <w:rPr>
          <w:color w:val="231F20"/>
          <w:w w:val="105"/>
        </w:rPr>
        <w:t>social</w:t>
      </w:r>
      <w:r>
        <w:rPr>
          <w:color w:val="231F20"/>
          <w:spacing w:val="-7"/>
          <w:w w:val="105"/>
        </w:rPr>
        <w:t> </w:t>
      </w:r>
      <w:r>
        <w:rPr>
          <w:color w:val="231F20"/>
          <w:w w:val="105"/>
        </w:rPr>
        <w:t>acen- tuando condiciones de pobreza y marginalidad. En la globalización de los</w:t>
      </w:r>
      <w:r>
        <w:rPr>
          <w:color w:val="231F20"/>
          <w:spacing w:val="-6"/>
          <w:w w:val="105"/>
        </w:rPr>
        <w:t> </w:t>
      </w:r>
      <w:r>
        <w:rPr>
          <w:color w:val="231F20"/>
          <w:w w:val="105"/>
        </w:rPr>
        <w:t>mercados</w:t>
      </w:r>
      <w:r>
        <w:rPr>
          <w:color w:val="231F20"/>
          <w:spacing w:val="-6"/>
          <w:w w:val="105"/>
        </w:rPr>
        <w:t> </w:t>
      </w:r>
      <w:r>
        <w:rPr>
          <w:color w:val="231F20"/>
          <w:w w:val="105"/>
        </w:rPr>
        <w:t>laborales</w:t>
      </w:r>
      <w:r>
        <w:rPr>
          <w:color w:val="231F20"/>
          <w:spacing w:val="-6"/>
          <w:w w:val="105"/>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capital,</w:t>
      </w:r>
      <w:r>
        <w:rPr>
          <w:color w:val="231F20"/>
          <w:spacing w:val="-12"/>
          <w:w w:val="105"/>
        </w:rPr>
        <w:t> </w:t>
      </w:r>
      <w:r>
        <w:rPr>
          <w:color w:val="231F20"/>
          <w:w w:val="105"/>
        </w:rPr>
        <w:t>así</w:t>
      </w:r>
      <w:r>
        <w:rPr>
          <w:color w:val="231F20"/>
          <w:spacing w:val="-6"/>
          <w:w w:val="105"/>
        </w:rPr>
        <w:t> </w:t>
      </w:r>
      <w:r>
        <w:rPr>
          <w:color w:val="231F20"/>
          <w:w w:val="105"/>
        </w:rPr>
        <w:t>como</w:t>
      </w:r>
      <w:r>
        <w:rPr>
          <w:color w:val="231F20"/>
          <w:spacing w:val="-6"/>
          <w:w w:val="105"/>
        </w:rPr>
        <w:t> </w:t>
      </w:r>
      <w:r>
        <w:rPr>
          <w:color w:val="231F20"/>
          <w:w w:val="105"/>
        </w:rPr>
        <w:t>la</w:t>
      </w:r>
      <w:r>
        <w:rPr>
          <w:color w:val="231F20"/>
          <w:spacing w:val="-6"/>
          <w:w w:val="105"/>
        </w:rPr>
        <w:t> </w:t>
      </w:r>
      <w:r>
        <w:rPr>
          <w:color w:val="231F20"/>
          <w:w w:val="105"/>
        </w:rPr>
        <w:t>internacionalización</w:t>
      </w:r>
      <w:r>
        <w:rPr>
          <w:color w:val="231F20"/>
          <w:spacing w:val="-6"/>
          <w:w w:val="105"/>
        </w:rPr>
        <w:t> </w:t>
      </w:r>
      <w:r>
        <w:rPr>
          <w:color w:val="231F20"/>
          <w:w w:val="105"/>
        </w:rPr>
        <w:t>de la</w:t>
      </w:r>
      <w:r>
        <w:rPr>
          <w:color w:val="231F20"/>
          <w:spacing w:val="-19"/>
          <w:w w:val="105"/>
        </w:rPr>
        <w:t> </w:t>
      </w:r>
      <w:r>
        <w:rPr>
          <w:color w:val="231F20"/>
          <w:w w:val="105"/>
        </w:rPr>
        <w:t>producción</w:t>
      </w:r>
      <w:r>
        <w:rPr>
          <w:color w:val="231F20"/>
          <w:spacing w:val="-19"/>
          <w:w w:val="105"/>
        </w:rPr>
        <w:t> </w:t>
      </w:r>
      <w:r>
        <w:rPr>
          <w:color w:val="231F20"/>
          <w:w w:val="105"/>
        </w:rPr>
        <w:t>(Durand</w:t>
      </w:r>
      <w:r>
        <w:rPr>
          <w:color w:val="231F20"/>
          <w:spacing w:val="-19"/>
          <w:w w:val="105"/>
        </w:rPr>
        <w:t> </w:t>
      </w:r>
      <w:r>
        <w:rPr>
          <w:color w:val="231F20"/>
          <w:w w:val="105"/>
        </w:rPr>
        <w:t>y</w:t>
      </w:r>
      <w:r>
        <w:rPr>
          <w:color w:val="231F20"/>
          <w:spacing w:val="-19"/>
          <w:w w:val="105"/>
        </w:rPr>
        <w:t> </w:t>
      </w:r>
      <w:r>
        <w:rPr>
          <w:color w:val="231F20"/>
          <w:w w:val="105"/>
        </w:rPr>
        <w:t>Massey,</w:t>
      </w:r>
      <w:r>
        <w:rPr>
          <w:color w:val="231F20"/>
          <w:spacing w:val="-25"/>
          <w:w w:val="105"/>
        </w:rPr>
        <w:t> </w:t>
      </w:r>
      <w:r>
        <w:rPr>
          <w:color w:val="231F20"/>
          <w:w w:val="105"/>
        </w:rPr>
        <w:t>2003),</w:t>
      </w:r>
      <w:r>
        <w:rPr>
          <w:color w:val="231F20"/>
          <w:spacing w:val="-25"/>
          <w:w w:val="105"/>
        </w:rPr>
        <w:t> </w:t>
      </w:r>
      <w:r>
        <w:rPr>
          <w:color w:val="231F20"/>
          <w:w w:val="105"/>
        </w:rPr>
        <w:t>la</w:t>
      </w:r>
      <w:r>
        <w:rPr>
          <w:color w:val="231F20"/>
          <w:spacing w:val="-19"/>
          <w:w w:val="105"/>
        </w:rPr>
        <w:t> </w:t>
      </w:r>
      <w:r>
        <w:rPr>
          <w:color w:val="231F20"/>
          <w:w w:val="105"/>
        </w:rPr>
        <w:t>migración</w:t>
      </w:r>
      <w:r>
        <w:rPr>
          <w:color w:val="231F20"/>
          <w:spacing w:val="-19"/>
          <w:w w:val="105"/>
        </w:rPr>
        <w:t> </w:t>
      </w:r>
      <w:r>
        <w:rPr>
          <w:color w:val="231F20"/>
          <w:w w:val="105"/>
        </w:rPr>
        <w:t>internacional</w:t>
      </w:r>
      <w:r>
        <w:rPr>
          <w:color w:val="231F20"/>
          <w:spacing w:val="-19"/>
          <w:w w:val="105"/>
        </w:rPr>
        <w:t> </w:t>
      </w:r>
      <w:r>
        <w:rPr>
          <w:color w:val="231F20"/>
          <w:w w:val="105"/>
        </w:rPr>
        <w:t>se</w:t>
      </w:r>
      <w:r>
        <w:rPr>
          <w:color w:val="231F20"/>
          <w:spacing w:val="-19"/>
          <w:w w:val="105"/>
        </w:rPr>
        <w:t> </w:t>
      </w:r>
      <w:r>
        <w:rPr>
          <w:color w:val="231F20"/>
          <w:w w:val="105"/>
        </w:rPr>
        <w:t>co- loca como un proceso social en un contexto de inequidad económica, social</w:t>
      </w:r>
      <w:r>
        <w:rPr>
          <w:color w:val="231F20"/>
          <w:spacing w:val="-21"/>
          <w:w w:val="105"/>
        </w:rPr>
        <w:t> </w:t>
      </w:r>
      <w:r>
        <w:rPr>
          <w:color w:val="231F20"/>
          <w:w w:val="105"/>
        </w:rPr>
        <w:t>y</w:t>
      </w:r>
      <w:r>
        <w:rPr>
          <w:color w:val="231F20"/>
          <w:spacing w:val="-21"/>
          <w:w w:val="105"/>
        </w:rPr>
        <w:t> </w:t>
      </w:r>
      <w:r>
        <w:rPr>
          <w:color w:val="231F20"/>
          <w:w w:val="105"/>
        </w:rPr>
        <w:t>política.</w:t>
      </w:r>
      <w:r>
        <w:rPr>
          <w:color w:val="231F20"/>
          <w:spacing w:val="-27"/>
          <w:w w:val="105"/>
        </w:rPr>
        <w:t> </w:t>
      </w:r>
      <w:r>
        <w:rPr>
          <w:color w:val="231F20"/>
          <w:w w:val="105"/>
        </w:rPr>
        <w:t>Como</w:t>
      </w:r>
      <w:r>
        <w:rPr>
          <w:color w:val="231F20"/>
          <w:spacing w:val="-21"/>
          <w:w w:val="105"/>
        </w:rPr>
        <w:t> </w:t>
      </w:r>
      <w:r>
        <w:rPr>
          <w:color w:val="231F20"/>
          <w:w w:val="105"/>
        </w:rPr>
        <w:t>resultado</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disímiles</w:t>
      </w:r>
      <w:r>
        <w:rPr>
          <w:color w:val="231F20"/>
          <w:spacing w:val="-21"/>
          <w:w w:val="105"/>
        </w:rPr>
        <w:t> </w:t>
      </w:r>
      <w:r>
        <w:rPr>
          <w:color w:val="231F20"/>
          <w:w w:val="105"/>
        </w:rPr>
        <w:t>posicionamientos</w:t>
      </w:r>
      <w:r>
        <w:rPr>
          <w:color w:val="231F20"/>
          <w:spacing w:val="-21"/>
          <w:w w:val="105"/>
        </w:rPr>
        <w:t> </w:t>
      </w:r>
      <w:r>
        <w:rPr>
          <w:color w:val="231F20"/>
          <w:w w:val="105"/>
        </w:rPr>
        <w:t>de</w:t>
      </w:r>
      <w:r>
        <w:rPr>
          <w:color w:val="231F20"/>
          <w:spacing w:val="-21"/>
          <w:w w:val="105"/>
        </w:rPr>
        <w:t> </w:t>
      </w:r>
      <w:r>
        <w:rPr>
          <w:color w:val="231F20"/>
          <w:w w:val="105"/>
        </w:rPr>
        <w:t>los actores</w:t>
      </w:r>
      <w:r>
        <w:rPr>
          <w:color w:val="231F20"/>
          <w:spacing w:val="-21"/>
          <w:w w:val="105"/>
        </w:rPr>
        <w:t> </w:t>
      </w:r>
      <w:r>
        <w:rPr>
          <w:color w:val="231F20"/>
          <w:w w:val="105"/>
        </w:rPr>
        <w:t>y</w:t>
      </w:r>
      <w:r>
        <w:rPr>
          <w:color w:val="231F20"/>
          <w:spacing w:val="-21"/>
          <w:w w:val="105"/>
        </w:rPr>
        <w:t> </w:t>
      </w:r>
      <w:r>
        <w:rPr>
          <w:color w:val="231F20"/>
          <w:w w:val="105"/>
        </w:rPr>
        <w:t>sus</w:t>
      </w:r>
      <w:r>
        <w:rPr>
          <w:color w:val="231F20"/>
          <w:spacing w:val="-21"/>
          <w:w w:val="105"/>
        </w:rPr>
        <w:t> </w:t>
      </w:r>
      <w:r>
        <w:rPr>
          <w:color w:val="231F20"/>
          <w:w w:val="105"/>
        </w:rPr>
        <w:t>grupos</w:t>
      </w:r>
      <w:r>
        <w:rPr>
          <w:color w:val="231F20"/>
          <w:spacing w:val="-21"/>
          <w:w w:val="105"/>
        </w:rPr>
        <w:t> </w:t>
      </w:r>
      <w:r>
        <w:rPr>
          <w:color w:val="231F20"/>
          <w:w w:val="105"/>
        </w:rPr>
        <w:t>(privilegiados</w:t>
      </w:r>
      <w:r>
        <w:rPr>
          <w:color w:val="231F20"/>
          <w:spacing w:val="-21"/>
          <w:w w:val="105"/>
        </w:rPr>
        <w:t> </w:t>
      </w:r>
      <w:r>
        <w:rPr>
          <w:color w:val="231F20"/>
          <w:w w:val="105"/>
        </w:rPr>
        <w:t>o</w:t>
      </w:r>
      <w:r>
        <w:rPr>
          <w:color w:val="231F20"/>
          <w:spacing w:val="-21"/>
          <w:w w:val="105"/>
        </w:rPr>
        <w:t> </w:t>
      </w:r>
      <w:r>
        <w:rPr>
          <w:color w:val="231F20"/>
          <w:w w:val="105"/>
        </w:rPr>
        <w:t>limitados),</w:t>
      </w:r>
      <w:r>
        <w:rPr>
          <w:color w:val="231F20"/>
          <w:spacing w:val="-26"/>
          <w:w w:val="105"/>
        </w:rPr>
        <w:t> </w:t>
      </w:r>
      <w:r>
        <w:rPr>
          <w:color w:val="231F20"/>
          <w:w w:val="105"/>
        </w:rPr>
        <w:t>su</w:t>
      </w:r>
      <w:r>
        <w:rPr>
          <w:color w:val="231F20"/>
          <w:spacing w:val="-21"/>
          <w:w w:val="105"/>
        </w:rPr>
        <w:t> </w:t>
      </w:r>
      <w:r>
        <w:rPr>
          <w:color w:val="231F20"/>
          <w:w w:val="105"/>
        </w:rPr>
        <w:t>participación</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en- tramado</w:t>
      </w:r>
      <w:r>
        <w:rPr>
          <w:color w:val="231F20"/>
          <w:spacing w:val="-20"/>
          <w:w w:val="105"/>
        </w:rPr>
        <w:t> </w:t>
      </w:r>
      <w:r>
        <w:rPr>
          <w:color w:val="231F20"/>
          <w:w w:val="105"/>
        </w:rPr>
        <w:t>social</w:t>
      </w:r>
      <w:r>
        <w:rPr>
          <w:color w:val="231F20"/>
          <w:spacing w:val="-20"/>
          <w:w w:val="105"/>
        </w:rPr>
        <w:t> </w:t>
      </w:r>
      <w:r>
        <w:rPr>
          <w:color w:val="231F20"/>
          <w:w w:val="105"/>
        </w:rPr>
        <w:t>es</w:t>
      </w:r>
      <w:r>
        <w:rPr>
          <w:color w:val="231F20"/>
          <w:spacing w:val="-20"/>
          <w:w w:val="105"/>
        </w:rPr>
        <w:t> </w:t>
      </w:r>
      <w:r>
        <w:rPr>
          <w:color w:val="231F20"/>
          <w:w w:val="105"/>
        </w:rPr>
        <w:t>diferenciada.</w:t>
      </w:r>
      <w:r>
        <w:rPr>
          <w:color w:val="231F20"/>
          <w:spacing w:val="-24"/>
          <w:w w:val="105"/>
        </w:rPr>
        <w:t> </w:t>
      </w:r>
      <w:r>
        <w:rPr>
          <w:color w:val="231F20"/>
          <w:spacing w:val="-3"/>
          <w:w w:val="105"/>
        </w:rPr>
        <w:t>Frente</w:t>
      </w:r>
      <w:r>
        <w:rPr>
          <w:color w:val="231F20"/>
          <w:spacing w:val="-20"/>
          <w:w w:val="105"/>
        </w:rPr>
        <w:t> </w:t>
      </w:r>
      <w:r>
        <w:rPr>
          <w:color w:val="231F20"/>
          <w:w w:val="105"/>
        </w:rPr>
        <w:t>a</w:t>
      </w:r>
      <w:r>
        <w:rPr>
          <w:color w:val="231F20"/>
          <w:spacing w:val="-20"/>
          <w:w w:val="105"/>
        </w:rPr>
        <w:t> </w:t>
      </w:r>
      <w:r>
        <w:rPr>
          <w:color w:val="231F20"/>
          <w:w w:val="105"/>
        </w:rPr>
        <w:t>estas</w:t>
      </w:r>
      <w:r>
        <w:rPr>
          <w:color w:val="231F20"/>
          <w:spacing w:val="-20"/>
          <w:w w:val="105"/>
        </w:rPr>
        <w:t> </w:t>
      </w:r>
      <w:r>
        <w:rPr>
          <w:color w:val="231F20"/>
          <w:w w:val="105"/>
        </w:rPr>
        <w:t>circunstancias</w:t>
      </w:r>
      <w:r>
        <w:rPr>
          <w:color w:val="231F20"/>
          <w:spacing w:val="-20"/>
          <w:w w:val="105"/>
        </w:rPr>
        <w:t> </w:t>
      </w:r>
      <w:r>
        <w:rPr>
          <w:color w:val="231F20"/>
          <w:w w:val="105"/>
        </w:rPr>
        <w:t>de</w:t>
      </w:r>
      <w:r>
        <w:rPr>
          <w:color w:val="231F20"/>
          <w:spacing w:val="-20"/>
          <w:w w:val="105"/>
        </w:rPr>
        <w:t> </w:t>
      </w:r>
      <w:r>
        <w:rPr>
          <w:color w:val="231F20"/>
          <w:w w:val="105"/>
        </w:rPr>
        <w:t>desven- taja, las personas optan por desplazarse, por buscar en otro lugar, otra tierra, otro espacio, aquello de lo que se carece en el lugar de origen. Esto</w:t>
      </w:r>
      <w:r>
        <w:rPr>
          <w:color w:val="231F20"/>
          <w:spacing w:val="-22"/>
          <w:w w:val="105"/>
        </w:rPr>
        <w:t> </w:t>
      </w:r>
      <w:r>
        <w:rPr>
          <w:color w:val="231F20"/>
          <w:w w:val="105"/>
        </w:rPr>
        <w:t>explica</w:t>
      </w:r>
      <w:r>
        <w:rPr>
          <w:color w:val="231F20"/>
          <w:spacing w:val="-22"/>
          <w:w w:val="105"/>
        </w:rPr>
        <w:t> </w:t>
      </w:r>
      <w:r>
        <w:rPr>
          <w:color w:val="231F20"/>
          <w:w w:val="105"/>
        </w:rPr>
        <w:t>porque</w:t>
      </w:r>
      <w:r>
        <w:rPr>
          <w:color w:val="231F20"/>
          <w:spacing w:val="-22"/>
          <w:w w:val="105"/>
        </w:rPr>
        <w:t> </w:t>
      </w:r>
      <w:r>
        <w:rPr>
          <w:color w:val="231F20"/>
          <w:w w:val="105"/>
        </w:rPr>
        <w:t>cerca</w:t>
      </w:r>
      <w:r>
        <w:rPr>
          <w:color w:val="231F20"/>
          <w:spacing w:val="-22"/>
          <w:w w:val="105"/>
        </w:rPr>
        <w:t> </w:t>
      </w:r>
      <w:r>
        <w:rPr>
          <w:color w:val="231F20"/>
          <w:w w:val="105"/>
        </w:rPr>
        <w:t>del</w:t>
      </w:r>
      <w:r>
        <w:rPr>
          <w:color w:val="231F20"/>
          <w:spacing w:val="-22"/>
          <w:w w:val="105"/>
        </w:rPr>
        <w:t> </w:t>
      </w:r>
      <w:r>
        <w:rPr>
          <w:color w:val="231F20"/>
          <w:w w:val="105"/>
        </w:rPr>
        <w:t>70%</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migraciones</w:t>
      </w:r>
      <w:r>
        <w:rPr>
          <w:color w:val="231F20"/>
          <w:spacing w:val="-22"/>
          <w:w w:val="105"/>
        </w:rPr>
        <w:t> </w:t>
      </w:r>
      <w:r>
        <w:rPr>
          <w:color w:val="231F20"/>
          <w:w w:val="105"/>
        </w:rPr>
        <w:t>internacionales</w:t>
      </w:r>
      <w:r>
        <w:rPr>
          <w:color w:val="231F20"/>
          <w:spacing w:val="-22"/>
          <w:w w:val="105"/>
        </w:rPr>
        <w:t> </w:t>
      </w:r>
      <w:r>
        <w:rPr>
          <w:color w:val="231F20"/>
          <w:w w:val="105"/>
        </w:rPr>
        <w:t>en el</w:t>
      </w:r>
      <w:r>
        <w:rPr>
          <w:color w:val="231F20"/>
          <w:spacing w:val="-17"/>
          <w:w w:val="105"/>
        </w:rPr>
        <w:t> </w:t>
      </w:r>
      <w:r>
        <w:rPr>
          <w:color w:val="231F20"/>
          <w:w w:val="105"/>
        </w:rPr>
        <w:t>mundo</w:t>
      </w:r>
      <w:r>
        <w:rPr>
          <w:color w:val="231F20"/>
          <w:spacing w:val="-17"/>
          <w:w w:val="105"/>
        </w:rPr>
        <w:t> </w:t>
      </w:r>
      <w:r>
        <w:rPr>
          <w:color w:val="231F20"/>
          <w:w w:val="105"/>
        </w:rPr>
        <w:t>sean</w:t>
      </w:r>
      <w:r>
        <w:rPr>
          <w:color w:val="231F20"/>
          <w:spacing w:val="-17"/>
          <w:w w:val="105"/>
        </w:rPr>
        <w:t> </w:t>
      </w:r>
      <w:r>
        <w:rPr>
          <w:color w:val="231F20"/>
          <w:w w:val="105"/>
        </w:rPr>
        <w:t>de</w:t>
      </w:r>
      <w:r>
        <w:rPr>
          <w:color w:val="231F20"/>
          <w:spacing w:val="-17"/>
          <w:w w:val="105"/>
        </w:rPr>
        <w:t> </w:t>
      </w:r>
      <w:r>
        <w:rPr>
          <w:color w:val="231F20"/>
          <w:w w:val="105"/>
        </w:rPr>
        <w:t>carácter</w:t>
      </w:r>
      <w:r>
        <w:rPr>
          <w:color w:val="231F20"/>
          <w:spacing w:val="-17"/>
          <w:w w:val="105"/>
        </w:rPr>
        <w:t> </w:t>
      </w:r>
      <w:r>
        <w:rPr>
          <w:color w:val="231F20"/>
          <w:w w:val="105"/>
        </w:rPr>
        <w:t>laboral</w:t>
      </w:r>
      <w:r>
        <w:rPr>
          <w:color w:val="231F20"/>
          <w:spacing w:val="-17"/>
          <w:w w:val="105"/>
        </w:rPr>
        <w:t> </w:t>
      </w:r>
      <w:r>
        <w:rPr>
          <w:color w:val="231F20"/>
          <w:w w:val="105"/>
        </w:rPr>
        <w:t>(</w:t>
      </w:r>
      <w:r>
        <w:rPr>
          <w:color w:val="231F20"/>
          <w:w w:val="105"/>
          <w:sz w:val="17"/>
        </w:rPr>
        <w:t>OIM</w:t>
      </w:r>
      <w:r>
        <w:rPr>
          <w:color w:val="231F20"/>
          <w:w w:val="105"/>
        </w:rPr>
        <w:t>,</w:t>
      </w:r>
      <w:r>
        <w:rPr>
          <w:color w:val="231F20"/>
          <w:spacing w:val="-22"/>
          <w:w w:val="105"/>
        </w:rPr>
        <w:t> </w:t>
      </w:r>
      <w:r>
        <w:rPr>
          <w:color w:val="231F20"/>
          <w:w w:val="105"/>
        </w:rPr>
        <w:t>2014).</w:t>
      </w:r>
    </w:p>
    <w:p>
      <w:pPr>
        <w:pStyle w:val="BodyText"/>
        <w:spacing w:line="261" w:lineRule="auto" w:before="1"/>
        <w:ind w:left="1723" w:right="1831" w:firstLine="567"/>
      </w:pPr>
      <w:r>
        <w:rPr>
          <w:color w:val="231F20"/>
          <w:w w:val="105"/>
        </w:rPr>
        <w:t>Las</w:t>
      </w:r>
      <w:r>
        <w:rPr>
          <w:color w:val="231F20"/>
          <w:spacing w:val="-17"/>
          <w:w w:val="105"/>
        </w:rPr>
        <w:t> </w:t>
      </w:r>
      <w:r>
        <w:rPr>
          <w:color w:val="231F20"/>
          <w:w w:val="105"/>
        </w:rPr>
        <w:t>sociedades</w:t>
      </w:r>
      <w:r>
        <w:rPr>
          <w:color w:val="231F20"/>
          <w:spacing w:val="-17"/>
          <w:w w:val="105"/>
        </w:rPr>
        <w:t> </w:t>
      </w:r>
      <w:r>
        <w:rPr>
          <w:color w:val="231F20"/>
          <w:w w:val="105"/>
        </w:rPr>
        <w:t>contemporáneas</w:t>
      </w:r>
      <w:r>
        <w:rPr>
          <w:color w:val="231F20"/>
          <w:spacing w:val="-17"/>
          <w:w w:val="105"/>
        </w:rPr>
        <w:t> </w:t>
      </w:r>
      <w:r>
        <w:rPr>
          <w:color w:val="231F20"/>
          <w:w w:val="105"/>
        </w:rPr>
        <w:t>se</w:t>
      </w:r>
      <w:r>
        <w:rPr>
          <w:color w:val="231F20"/>
          <w:spacing w:val="-17"/>
          <w:w w:val="105"/>
        </w:rPr>
        <w:t> </w:t>
      </w:r>
      <w:r>
        <w:rPr>
          <w:color w:val="231F20"/>
          <w:w w:val="105"/>
        </w:rPr>
        <w:t>distinguen</w:t>
      </w:r>
      <w:r>
        <w:rPr>
          <w:color w:val="231F20"/>
          <w:spacing w:val="-17"/>
          <w:w w:val="105"/>
        </w:rPr>
        <w:t> </w:t>
      </w:r>
      <w:r>
        <w:rPr>
          <w:color w:val="231F20"/>
          <w:w w:val="105"/>
        </w:rPr>
        <w:t>por</w:t>
      </w:r>
      <w:r>
        <w:rPr>
          <w:color w:val="231F20"/>
          <w:spacing w:val="-17"/>
          <w:w w:val="105"/>
        </w:rPr>
        <w:t> </w:t>
      </w:r>
      <w:r>
        <w:rPr>
          <w:color w:val="231F20"/>
          <w:w w:val="105"/>
        </w:rPr>
        <w:t>los</w:t>
      </w:r>
      <w:r>
        <w:rPr>
          <w:color w:val="231F20"/>
          <w:spacing w:val="-17"/>
          <w:w w:val="105"/>
        </w:rPr>
        <w:t> </w:t>
      </w:r>
      <w:r>
        <w:rPr>
          <w:color w:val="231F20"/>
          <w:w w:val="105"/>
        </w:rPr>
        <w:t>flujos</w:t>
      </w:r>
      <w:r>
        <w:rPr>
          <w:color w:val="231F20"/>
          <w:spacing w:val="-17"/>
          <w:w w:val="105"/>
        </w:rPr>
        <w:t> </w:t>
      </w:r>
      <w:r>
        <w:rPr>
          <w:color w:val="231F20"/>
          <w:w w:val="105"/>
        </w:rPr>
        <w:t>y</w:t>
      </w:r>
      <w:r>
        <w:rPr>
          <w:color w:val="231F20"/>
          <w:spacing w:val="-17"/>
          <w:w w:val="105"/>
        </w:rPr>
        <w:t> </w:t>
      </w:r>
      <w:r>
        <w:rPr>
          <w:color w:val="231F20"/>
          <w:w w:val="105"/>
        </w:rPr>
        <w:t>mo- vilidades,</w:t>
      </w:r>
      <w:r>
        <w:rPr>
          <w:color w:val="231F20"/>
          <w:spacing w:val="-21"/>
          <w:w w:val="105"/>
        </w:rPr>
        <w:t> </w:t>
      </w:r>
      <w:r>
        <w:rPr>
          <w:color w:val="231F20"/>
          <w:w w:val="105"/>
        </w:rPr>
        <w:t>así</w:t>
      </w:r>
      <w:r>
        <w:rPr>
          <w:color w:val="231F20"/>
          <w:spacing w:val="-16"/>
          <w:w w:val="105"/>
        </w:rPr>
        <w:t> </w:t>
      </w:r>
      <w:r>
        <w:rPr>
          <w:color w:val="231F20"/>
          <w:w w:val="105"/>
        </w:rPr>
        <w:t>como</w:t>
      </w:r>
      <w:r>
        <w:rPr>
          <w:color w:val="231F20"/>
          <w:spacing w:val="-16"/>
          <w:w w:val="105"/>
        </w:rPr>
        <w:t> </w:t>
      </w:r>
      <w:r>
        <w:rPr>
          <w:color w:val="231F20"/>
          <w:w w:val="105"/>
        </w:rPr>
        <w:t>por</w:t>
      </w:r>
      <w:r>
        <w:rPr>
          <w:color w:val="231F20"/>
          <w:spacing w:val="-16"/>
          <w:w w:val="105"/>
        </w:rPr>
        <w:t> </w:t>
      </w:r>
      <w:r>
        <w:rPr>
          <w:color w:val="231F20"/>
          <w:w w:val="105"/>
        </w:rPr>
        <w:t>la</w:t>
      </w:r>
      <w:r>
        <w:rPr>
          <w:color w:val="231F20"/>
          <w:spacing w:val="-16"/>
          <w:w w:val="105"/>
        </w:rPr>
        <w:t> </w:t>
      </w:r>
      <w:r>
        <w:rPr>
          <w:color w:val="231F20"/>
          <w:w w:val="105"/>
        </w:rPr>
        <w:t>interconexión</w:t>
      </w:r>
      <w:r>
        <w:rPr>
          <w:color w:val="231F20"/>
          <w:spacing w:val="-16"/>
          <w:w w:val="105"/>
        </w:rPr>
        <w:t> </w:t>
      </w:r>
      <w:r>
        <w:rPr>
          <w:color w:val="231F20"/>
          <w:w w:val="105"/>
        </w:rPr>
        <w:t>entre</w:t>
      </w:r>
      <w:r>
        <w:rPr>
          <w:color w:val="231F20"/>
          <w:spacing w:val="-16"/>
          <w:w w:val="105"/>
        </w:rPr>
        <w:t> </w:t>
      </w:r>
      <w:r>
        <w:rPr>
          <w:color w:val="231F20"/>
          <w:w w:val="105"/>
        </w:rPr>
        <w:t>diversos</w:t>
      </w:r>
      <w:r>
        <w:rPr>
          <w:color w:val="231F20"/>
          <w:spacing w:val="-16"/>
          <w:w w:val="105"/>
        </w:rPr>
        <w:t> </w:t>
      </w:r>
      <w:r>
        <w:rPr>
          <w:color w:val="231F20"/>
          <w:w w:val="105"/>
        </w:rPr>
        <w:t>anclajes</w:t>
      </w:r>
      <w:r>
        <w:rPr>
          <w:color w:val="231F20"/>
          <w:spacing w:val="-16"/>
          <w:w w:val="105"/>
        </w:rPr>
        <w:t> </w:t>
      </w:r>
      <w:r>
        <w:rPr>
          <w:color w:val="231F20"/>
          <w:w w:val="105"/>
        </w:rPr>
        <w:t>financie-</w:t>
      </w:r>
    </w:p>
    <w:p>
      <w:pPr>
        <w:pStyle w:val="BodyText"/>
        <w:rPr>
          <w:sz w:val="20"/>
        </w:rPr>
      </w:pPr>
    </w:p>
    <w:p>
      <w:pPr>
        <w:pStyle w:val="BodyText"/>
        <w:rPr>
          <w:sz w:val="20"/>
        </w:rPr>
      </w:pPr>
    </w:p>
    <w:p>
      <w:pPr>
        <w:pStyle w:val="BodyText"/>
        <w:spacing w:before="11"/>
        <w:rPr>
          <w:sz w:val="1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64728" from="131.551193pt,3.703715pt" to="131.551193pt,39.506114pt" stroked="true" strokeweight=".35pt" strokecolor="#231f20">
            <w10:wrap type="none"/>
          </v:line>
        </w:pict>
      </w:r>
      <w:r>
        <w:rPr/>
        <w:pict>
          <v:line style="position:absolute;mso-position-horizontal-relative:page;mso-position-vertical-relative:paragraph;z-index:-464704" from="15pt,39.505917pt" to="0pt,39.505917pt" stroked="true" strokeweight=".25pt" strokecolor="#000000">
            <w10:wrap type="none"/>
          </v:line>
        </w:pict>
      </w:r>
      <w:r>
        <w:rPr/>
        <w:pict>
          <v:line style="position:absolute;mso-position-horizontal-relative:page;mso-position-vertical-relative:paragraph;z-index:25504" from="508.890015pt,39.505917pt" to="523.890015pt,39.505917pt" stroked="true" strokeweight=".25pt" strokecolor="#000000">
            <w10:wrap type="none"/>
          </v:line>
        </w:pict>
      </w:r>
      <w:r>
        <w:rPr>
          <w:rFonts w:ascii="Arial" w:hAnsi="Arial"/>
          <w:color w:val="414042"/>
          <w:w w:val="105"/>
          <w:position w:val="-5"/>
          <w:sz w:val="20"/>
        </w:rPr>
        <w:t>206</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footerReference w:type="default" r:id="rId295"/>
          <w:pgSz w:w="10480" w:h="14730"/>
          <w:pgMar w:footer="103" w:header="0" w:top="42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headerReference w:type="default" r:id="rId296"/>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5528"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5552" from="15pt,-28.286539pt" to="0pt,-28.286539pt" stroked="true" strokeweight=".25pt" strokecolor="#000000">
            <w10:wrap type="none"/>
          </v:line>
        </w:pict>
      </w:r>
      <w:r>
        <w:rPr/>
        <w:pict>
          <v:line style="position:absolute;mso-position-horizontal-relative:page;mso-position-vertical-relative:paragraph;z-index:25576" from="508.890015pt,-28.286539pt" to="523.890015pt,-28.286539pt" stroked="true" strokeweight=".25pt" strokecolor="#000000">
            <w10:wrap type="none"/>
          </v:line>
        </w:pict>
      </w:r>
      <w:r>
        <w:rPr>
          <w:rFonts w:ascii="Arial"/>
          <w:color w:val="414042"/>
          <w:sz w:val="20"/>
        </w:rPr>
        <w:t>207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right"/>
      </w:pPr>
      <w:r>
        <w:rPr>
          <w:color w:val="231F20"/>
          <w:w w:val="105"/>
        </w:rPr>
        <w:t>ros</w:t>
      </w:r>
      <w:r>
        <w:rPr>
          <w:color w:val="231F20"/>
          <w:spacing w:val="-12"/>
          <w:w w:val="105"/>
        </w:rPr>
        <w:t> </w:t>
      </w:r>
      <w:r>
        <w:rPr>
          <w:color w:val="231F20"/>
          <w:w w:val="105"/>
        </w:rPr>
        <w:t>y</w:t>
      </w:r>
      <w:r>
        <w:rPr>
          <w:color w:val="231F20"/>
          <w:spacing w:val="-12"/>
          <w:w w:val="105"/>
        </w:rPr>
        <w:t> </w:t>
      </w:r>
      <w:r>
        <w:rPr>
          <w:color w:val="231F20"/>
          <w:w w:val="105"/>
        </w:rPr>
        <w:t>tecnológicos</w:t>
      </w:r>
      <w:r>
        <w:rPr>
          <w:color w:val="231F20"/>
          <w:spacing w:val="-12"/>
          <w:w w:val="105"/>
        </w:rPr>
        <w:t> </w:t>
      </w:r>
      <w:r>
        <w:rPr>
          <w:color w:val="231F20"/>
          <w:w w:val="105"/>
        </w:rPr>
        <w:t>que</w:t>
      </w:r>
      <w:r>
        <w:rPr>
          <w:color w:val="231F20"/>
          <w:spacing w:val="-12"/>
          <w:w w:val="105"/>
        </w:rPr>
        <w:t> </w:t>
      </w:r>
      <w:r>
        <w:rPr>
          <w:color w:val="231F20"/>
          <w:w w:val="105"/>
        </w:rPr>
        <w:t>fungen</w:t>
      </w:r>
      <w:r>
        <w:rPr>
          <w:color w:val="231F20"/>
          <w:spacing w:val="-12"/>
          <w:w w:val="105"/>
        </w:rPr>
        <w:t> </w:t>
      </w:r>
      <w:r>
        <w:rPr>
          <w:color w:val="231F20"/>
          <w:w w:val="105"/>
        </w:rPr>
        <w:t>como</w:t>
      </w:r>
      <w:r>
        <w:rPr>
          <w:color w:val="231F20"/>
          <w:spacing w:val="-12"/>
          <w:w w:val="105"/>
        </w:rPr>
        <w:t> </w:t>
      </w:r>
      <w:r>
        <w:rPr>
          <w:color w:val="231F20"/>
          <w:w w:val="105"/>
        </w:rPr>
        <w:t>centros,</w:t>
      </w:r>
      <w:r>
        <w:rPr>
          <w:color w:val="231F20"/>
          <w:spacing w:val="-18"/>
          <w:w w:val="105"/>
        </w:rPr>
        <w:t> </w:t>
      </w:r>
      <w:r>
        <w:rPr>
          <w:color w:val="231F20"/>
          <w:w w:val="105"/>
        </w:rPr>
        <w:t>territorios</w:t>
      </w:r>
      <w:r>
        <w:rPr>
          <w:color w:val="231F20"/>
          <w:spacing w:val="-12"/>
          <w:w w:val="105"/>
        </w:rPr>
        <w:t> </w:t>
      </w:r>
      <w:r>
        <w:rPr>
          <w:color w:val="231F20"/>
          <w:w w:val="105"/>
        </w:rPr>
        <w:t>estratégicos</w:t>
      </w:r>
      <w:r>
        <w:rPr>
          <w:color w:val="231F20"/>
          <w:spacing w:val="-12"/>
          <w:w w:val="105"/>
        </w:rPr>
        <w:t> </w:t>
      </w:r>
      <w:r>
        <w:rPr>
          <w:color w:val="231F20"/>
          <w:w w:val="105"/>
        </w:rPr>
        <w:t>que</w:t>
      </w:r>
      <w:r>
        <w:rPr>
          <w:color w:val="231F20"/>
          <w:w w:val="107"/>
        </w:rPr>
        <w:t> </w:t>
      </w:r>
      <w:r>
        <w:rPr>
          <w:color w:val="231F20"/>
          <w:w w:val="105"/>
        </w:rPr>
        <w:t>articulan</w:t>
      </w:r>
      <w:r>
        <w:rPr>
          <w:color w:val="231F20"/>
          <w:spacing w:val="-11"/>
          <w:w w:val="105"/>
        </w:rPr>
        <w:t> </w:t>
      </w:r>
      <w:r>
        <w:rPr>
          <w:color w:val="231F20"/>
          <w:w w:val="105"/>
        </w:rPr>
        <w:t>el</w:t>
      </w:r>
      <w:r>
        <w:rPr>
          <w:color w:val="231F20"/>
          <w:spacing w:val="-11"/>
          <w:w w:val="105"/>
        </w:rPr>
        <w:t> </w:t>
      </w:r>
      <w:r>
        <w:rPr>
          <w:color w:val="231F20"/>
          <w:w w:val="105"/>
        </w:rPr>
        <w:t>nuevo</w:t>
      </w:r>
      <w:r>
        <w:rPr>
          <w:color w:val="231F20"/>
          <w:spacing w:val="-11"/>
          <w:w w:val="105"/>
        </w:rPr>
        <w:t> </w:t>
      </w:r>
      <w:r>
        <w:rPr>
          <w:color w:val="231F20"/>
          <w:w w:val="105"/>
        </w:rPr>
        <w:t>sistema</w:t>
      </w:r>
      <w:r>
        <w:rPr>
          <w:color w:val="231F20"/>
          <w:spacing w:val="-11"/>
          <w:w w:val="105"/>
        </w:rPr>
        <w:t> </w:t>
      </w:r>
      <w:r>
        <w:rPr>
          <w:color w:val="231F20"/>
          <w:w w:val="105"/>
        </w:rPr>
        <w:t>(Sassen,</w:t>
      </w:r>
      <w:r>
        <w:rPr>
          <w:color w:val="231F20"/>
          <w:spacing w:val="-16"/>
          <w:w w:val="105"/>
        </w:rPr>
        <w:t> </w:t>
      </w:r>
      <w:r>
        <w:rPr>
          <w:color w:val="231F20"/>
          <w:w w:val="105"/>
        </w:rPr>
        <w:t>2001).</w:t>
      </w:r>
      <w:r>
        <w:rPr>
          <w:color w:val="231F20"/>
          <w:spacing w:val="-16"/>
          <w:w w:val="105"/>
        </w:rPr>
        <w:t> </w:t>
      </w:r>
      <w:r>
        <w:rPr>
          <w:color w:val="231F20"/>
          <w:w w:val="105"/>
        </w:rPr>
        <w:t>En</w:t>
      </w:r>
      <w:r>
        <w:rPr>
          <w:color w:val="231F20"/>
          <w:spacing w:val="-11"/>
          <w:w w:val="105"/>
        </w:rPr>
        <w:t> </w:t>
      </w:r>
      <w:r>
        <w:rPr>
          <w:color w:val="231F20"/>
          <w:w w:val="105"/>
        </w:rPr>
        <w:t>efecto,</w:t>
      </w:r>
      <w:r>
        <w:rPr>
          <w:color w:val="231F20"/>
          <w:spacing w:val="-16"/>
          <w:w w:val="105"/>
        </w:rPr>
        <w:t> </w:t>
      </w:r>
      <w:r>
        <w:rPr>
          <w:color w:val="231F20"/>
          <w:spacing w:val="-3"/>
          <w:w w:val="105"/>
        </w:rPr>
        <w:t>“en</w:t>
      </w:r>
      <w:r>
        <w:rPr>
          <w:color w:val="231F20"/>
          <w:spacing w:val="-11"/>
          <w:w w:val="105"/>
        </w:rPr>
        <w:t> </w:t>
      </w:r>
      <w:r>
        <w:rPr>
          <w:color w:val="231F20"/>
          <w:w w:val="105"/>
        </w:rPr>
        <w:t>un</w:t>
      </w:r>
      <w:r>
        <w:rPr>
          <w:color w:val="231F20"/>
          <w:spacing w:val="-11"/>
          <w:w w:val="105"/>
        </w:rPr>
        <w:t> </w:t>
      </w:r>
      <w:r>
        <w:rPr>
          <w:color w:val="231F20"/>
          <w:w w:val="105"/>
        </w:rPr>
        <w:t>mundo</w:t>
      </w:r>
      <w:r>
        <w:rPr>
          <w:color w:val="231F20"/>
          <w:spacing w:val="-11"/>
          <w:w w:val="105"/>
        </w:rPr>
        <w:t> </w:t>
      </w:r>
      <w:r>
        <w:rPr>
          <w:color w:val="231F20"/>
          <w:w w:val="105"/>
        </w:rPr>
        <w:t>glo-</w:t>
      </w:r>
      <w:r>
        <w:rPr>
          <w:color w:val="231F20"/>
          <w:w w:val="96"/>
        </w:rPr>
        <w:t> </w:t>
      </w:r>
      <w:r>
        <w:rPr>
          <w:color w:val="231F20"/>
          <w:w w:val="105"/>
        </w:rPr>
        <w:t>balizado, basado en modelos económicos y patrones</w:t>
      </w:r>
      <w:r>
        <w:rPr>
          <w:color w:val="231F20"/>
          <w:spacing w:val="48"/>
          <w:w w:val="105"/>
        </w:rPr>
        <w:t> </w:t>
      </w:r>
      <w:r>
        <w:rPr>
          <w:color w:val="231F20"/>
          <w:w w:val="105"/>
        </w:rPr>
        <w:t>de</w:t>
      </w:r>
      <w:r>
        <w:rPr>
          <w:color w:val="231F20"/>
          <w:spacing w:val="16"/>
          <w:w w:val="105"/>
        </w:rPr>
        <w:t> </w:t>
      </w:r>
      <w:r>
        <w:rPr>
          <w:color w:val="231F20"/>
          <w:w w:val="105"/>
        </w:rPr>
        <w:t>acumulación</w:t>
      </w:r>
      <w:r>
        <w:rPr>
          <w:color w:val="231F20"/>
          <w:w w:val="103"/>
        </w:rPr>
        <w:t> </w:t>
      </w:r>
      <w:r>
        <w:rPr>
          <w:color w:val="231F20"/>
          <w:w w:val="105"/>
        </w:rPr>
        <w:t>globales,</w:t>
      </w:r>
      <w:r>
        <w:rPr>
          <w:color w:val="231F20"/>
          <w:spacing w:val="-13"/>
          <w:w w:val="105"/>
        </w:rPr>
        <w:t> </w:t>
      </w:r>
      <w:r>
        <w:rPr>
          <w:color w:val="231F20"/>
          <w:w w:val="105"/>
        </w:rPr>
        <w:t>no</w:t>
      </w:r>
      <w:r>
        <w:rPr>
          <w:color w:val="231F20"/>
          <w:spacing w:val="-7"/>
          <w:w w:val="105"/>
        </w:rPr>
        <w:t> </w:t>
      </w:r>
      <w:r>
        <w:rPr>
          <w:color w:val="231F20"/>
          <w:w w:val="105"/>
        </w:rPr>
        <w:t>cabe</w:t>
      </w:r>
      <w:r>
        <w:rPr>
          <w:color w:val="231F20"/>
          <w:spacing w:val="-7"/>
          <w:w w:val="105"/>
        </w:rPr>
        <w:t> </w:t>
      </w:r>
      <w:r>
        <w:rPr>
          <w:color w:val="231F20"/>
          <w:w w:val="105"/>
        </w:rPr>
        <w:t>duda</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migración</w:t>
      </w:r>
      <w:r>
        <w:rPr>
          <w:color w:val="231F20"/>
          <w:spacing w:val="-7"/>
          <w:w w:val="105"/>
        </w:rPr>
        <w:t> </w:t>
      </w:r>
      <w:r>
        <w:rPr>
          <w:color w:val="231F20"/>
          <w:w w:val="105"/>
        </w:rPr>
        <w:t>ha</w:t>
      </w:r>
      <w:r>
        <w:rPr>
          <w:color w:val="231F20"/>
          <w:spacing w:val="-7"/>
          <w:w w:val="105"/>
        </w:rPr>
        <w:t> </w:t>
      </w:r>
      <w:r>
        <w:rPr>
          <w:color w:val="231F20"/>
          <w:w w:val="105"/>
        </w:rPr>
        <w:t>de</w:t>
      </w:r>
      <w:r>
        <w:rPr>
          <w:color w:val="231F20"/>
          <w:spacing w:val="-7"/>
          <w:w w:val="105"/>
        </w:rPr>
        <w:t> </w:t>
      </w:r>
      <w:r>
        <w:rPr>
          <w:color w:val="231F20"/>
          <w:w w:val="105"/>
        </w:rPr>
        <w:t>ser</w:t>
      </w:r>
      <w:r>
        <w:rPr>
          <w:color w:val="231F20"/>
          <w:spacing w:val="-7"/>
          <w:w w:val="105"/>
        </w:rPr>
        <w:t> </w:t>
      </w:r>
      <w:r>
        <w:rPr>
          <w:color w:val="231F20"/>
          <w:w w:val="105"/>
        </w:rPr>
        <w:t>pensada</w:t>
      </w:r>
      <w:r>
        <w:rPr>
          <w:color w:val="231F20"/>
          <w:spacing w:val="-7"/>
          <w:w w:val="105"/>
        </w:rPr>
        <w:t> </w:t>
      </w:r>
      <w:r>
        <w:rPr>
          <w:color w:val="231F20"/>
          <w:w w:val="105"/>
        </w:rPr>
        <w:t>y</w:t>
      </w:r>
      <w:r>
        <w:rPr>
          <w:color w:val="231F20"/>
          <w:spacing w:val="-7"/>
          <w:w w:val="105"/>
        </w:rPr>
        <w:t> </w:t>
      </w:r>
      <w:r>
        <w:rPr>
          <w:color w:val="231F20"/>
          <w:w w:val="105"/>
        </w:rPr>
        <w:t>analizada</w:t>
      </w:r>
      <w:r>
        <w:rPr>
          <w:color w:val="231F20"/>
          <w:w w:val="100"/>
        </w:rPr>
        <w:t> </w:t>
      </w:r>
      <w:r>
        <w:rPr>
          <w:color w:val="231F20"/>
          <w:w w:val="105"/>
        </w:rPr>
        <w:t>en</w:t>
      </w:r>
      <w:r>
        <w:rPr>
          <w:color w:val="231F20"/>
          <w:spacing w:val="-32"/>
          <w:w w:val="105"/>
        </w:rPr>
        <w:t> </w:t>
      </w:r>
      <w:r>
        <w:rPr>
          <w:color w:val="231F20"/>
          <w:w w:val="105"/>
        </w:rPr>
        <w:t>términos</w:t>
      </w:r>
      <w:r>
        <w:rPr>
          <w:color w:val="231F20"/>
          <w:spacing w:val="-32"/>
          <w:w w:val="105"/>
        </w:rPr>
        <w:t> </w:t>
      </w:r>
      <w:r>
        <w:rPr>
          <w:color w:val="231F20"/>
          <w:w w:val="105"/>
        </w:rPr>
        <w:t>de</w:t>
      </w:r>
      <w:r>
        <w:rPr>
          <w:color w:val="231F20"/>
          <w:spacing w:val="-32"/>
          <w:w w:val="105"/>
        </w:rPr>
        <w:t> </w:t>
      </w:r>
      <w:r>
        <w:rPr>
          <w:color w:val="231F20"/>
          <w:w w:val="105"/>
        </w:rPr>
        <w:t>su</w:t>
      </w:r>
      <w:r>
        <w:rPr>
          <w:color w:val="231F20"/>
          <w:spacing w:val="-32"/>
          <w:w w:val="105"/>
        </w:rPr>
        <w:t> </w:t>
      </w:r>
      <w:r>
        <w:rPr>
          <w:color w:val="231F20"/>
          <w:w w:val="105"/>
        </w:rPr>
        <w:t>globalización”</w:t>
      </w:r>
      <w:r>
        <w:rPr>
          <w:color w:val="231F20"/>
          <w:spacing w:val="-32"/>
          <w:w w:val="105"/>
        </w:rPr>
        <w:t> </w:t>
      </w:r>
      <w:r>
        <w:rPr>
          <w:color w:val="231F20"/>
          <w:w w:val="105"/>
        </w:rPr>
        <w:t>(Canales,</w:t>
      </w:r>
      <w:r>
        <w:rPr>
          <w:color w:val="231F20"/>
          <w:spacing w:val="-37"/>
          <w:w w:val="105"/>
        </w:rPr>
        <w:t> </w:t>
      </w:r>
      <w:r>
        <w:rPr>
          <w:color w:val="231F20"/>
          <w:w w:val="105"/>
        </w:rPr>
        <w:t>2013).</w:t>
      </w:r>
      <w:r>
        <w:rPr>
          <w:color w:val="231F20"/>
          <w:spacing w:val="-37"/>
          <w:w w:val="105"/>
        </w:rPr>
        <w:t> </w:t>
      </w:r>
      <w:r>
        <w:rPr>
          <w:color w:val="231F20"/>
          <w:w w:val="105"/>
        </w:rPr>
        <w:t>En</w:t>
      </w:r>
      <w:r>
        <w:rPr>
          <w:color w:val="231F20"/>
          <w:spacing w:val="-32"/>
          <w:w w:val="105"/>
        </w:rPr>
        <w:t> </w:t>
      </w:r>
      <w:r>
        <w:rPr>
          <w:color w:val="231F20"/>
          <w:w w:val="105"/>
        </w:rPr>
        <w:t>esta</w:t>
      </w:r>
      <w:r>
        <w:rPr>
          <w:color w:val="231F20"/>
          <w:spacing w:val="-32"/>
          <w:w w:val="105"/>
        </w:rPr>
        <w:t> </w:t>
      </w:r>
      <w:r>
        <w:rPr>
          <w:color w:val="231F20"/>
          <w:w w:val="105"/>
        </w:rPr>
        <w:t>trama</w:t>
      </w:r>
      <w:r>
        <w:rPr>
          <w:color w:val="231F20"/>
          <w:spacing w:val="-32"/>
          <w:w w:val="105"/>
        </w:rPr>
        <w:t> </w:t>
      </w:r>
      <w:r>
        <w:rPr>
          <w:color w:val="231F20"/>
          <w:w w:val="105"/>
        </w:rPr>
        <w:t>se</w:t>
      </w:r>
      <w:r>
        <w:rPr>
          <w:color w:val="231F20"/>
          <w:spacing w:val="-32"/>
          <w:w w:val="105"/>
        </w:rPr>
        <w:t> </w:t>
      </w:r>
      <w:r>
        <w:rPr>
          <w:color w:val="231F20"/>
          <w:w w:val="105"/>
        </w:rPr>
        <w:t>ubican</w:t>
      </w:r>
      <w:r>
        <w:rPr>
          <w:color w:val="231F20"/>
          <w:w w:val="104"/>
        </w:rPr>
        <w:t> </w:t>
      </w:r>
      <w:r>
        <w:rPr>
          <w:color w:val="231F20"/>
          <w:w w:val="105"/>
        </w:rPr>
        <w:t>las migraciones internacionales de nuestros días, en el</w:t>
      </w:r>
      <w:r>
        <w:rPr>
          <w:color w:val="231F20"/>
          <w:spacing w:val="47"/>
          <w:w w:val="105"/>
        </w:rPr>
        <w:t> </w:t>
      </w:r>
      <w:r>
        <w:rPr>
          <w:color w:val="231F20"/>
          <w:w w:val="105"/>
        </w:rPr>
        <w:t>predominio</w:t>
      </w:r>
      <w:r>
        <w:rPr>
          <w:color w:val="231F20"/>
          <w:spacing w:val="6"/>
          <w:w w:val="105"/>
        </w:rPr>
        <w:t> </w:t>
      </w:r>
      <w:r>
        <w:rPr>
          <w:color w:val="231F20"/>
          <w:w w:val="105"/>
        </w:rPr>
        <w:t>del</w:t>
      </w:r>
      <w:r>
        <w:rPr>
          <w:color w:val="231F20"/>
          <w:w w:val="109"/>
        </w:rPr>
        <w:t> </w:t>
      </w:r>
      <w:r>
        <w:rPr>
          <w:color w:val="231F20"/>
          <w:w w:val="105"/>
        </w:rPr>
        <w:t>neoliberalismo,</w:t>
      </w:r>
      <w:r>
        <w:rPr>
          <w:color w:val="231F20"/>
          <w:spacing w:val="-24"/>
          <w:w w:val="105"/>
        </w:rPr>
        <w:t> </w:t>
      </w:r>
      <w:r>
        <w:rPr>
          <w:color w:val="231F20"/>
          <w:w w:val="105"/>
        </w:rPr>
        <w:t>la</w:t>
      </w:r>
      <w:r>
        <w:rPr>
          <w:color w:val="231F20"/>
          <w:spacing w:val="-20"/>
          <w:w w:val="105"/>
        </w:rPr>
        <w:t> </w:t>
      </w:r>
      <w:r>
        <w:rPr>
          <w:color w:val="231F20"/>
          <w:w w:val="105"/>
        </w:rPr>
        <w:t>simultánea</w:t>
      </w:r>
      <w:r>
        <w:rPr>
          <w:color w:val="231F20"/>
          <w:spacing w:val="-20"/>
          <w:w w:val="105"/>
        </w:rPr>
        <w:t> </w:t>
      </w:r>
      <w:r>
        <w:rPr>
          <w:color w:val="231F20"/>
          <w:w w:val="105"/>
        </w:rPr>
        <w:t>integración</w:t>
      </w:r>
      <w:r>
        <w:rPr>
          <w:color w:val="231F20"/>
          <w:spacing w:val="-20"/>
          <w:w w:val="105"/>
        </w:rPr>
        <w:t> </w:t>
      </w:r>
      <w:r>
        <w:rPr>
          <w:color w:val="231F20"/>
          <w:w w:val="105"/>
        </w:rPr>
        <w:t>sistémica</w:t>
      </w:r>
      <w:r>
        <w:rPr>
          <w:color w:val="231F20"/>
          <w:spacing w:val="-20"/>
          <w:w w:val="105"/>
        </w:rPr>
        <w:t> </w:t>
      </w:r>
      <w:r>
        <w:rPr>
          <w:color w:val="231F20"/>
          <w:w w:val="105"/>
        </w:rPr>
        <w:t>de</w:t>
      </w:r>
      <w:r>
        <w:rPr>
          <w:color w:val="231F20"/>
          <w:spacing w:val="-20"/>
          <w:w w:val="105"/>
        </w:rPr>
        <w:t> </w:t>
      </w:r>
      <w:r>
        <w:rPr>
          <w:color w:val="231F20"/>
          <w:w w:val="105"/>
        </w:rPr>
        <w:t>actividades</w:t>
      </w:r>
      <w:r>
        <w:rPr>
          <w:color w:val="231F20"/>
          <w:spacing w:val="-20"/>
          <w:w w:val="105"/>
        </w:rPr>
        <w:t> </w:t>
      </w:r>
      <w:r>
        <w:rPr>
          <w:color w:val="231F20"/>
          <w:w w:val="105"/>
        </w:rPr>
        <w:t>finan-</w:t>
      </w:r>
      <w:r>
        <w:rPr>
          <w:color w:val="231F20"/>
          <w:w w:val="96"/>
        </w:rPr>
        <w:t> </w:t>
      </w:r>
      <w:r>
        <w:rPr>
          <w:color w:val="231F20"/>
          <w:w w:val="105"/>
        </w:rPr>
        <w:t>cieras</w:t>
      </w:r>
      <w:r>
        <w:rPr>
          <w:color w:val="231F20"/>
          <w:spacing w:val="-11"/>
          <w:w w:val="105"/>
        </w:rPr>
        <w:t> </w:t>
      </w:r>
      <w:r>
        <w:rPr>
          <w:color w:val="231F20"/>
          <w:w w:val="105"/>
        </w:rPr>
        <w:t>geográficamente</w:t>
      </w:r>
      <w:r>
        <w:rPr>
          <w:color w:val="231F20"/>
          <w:spacing w:val="-11"/>
          <w:w w:val="105"/>
        </w:rPr>
        <w:t> </w:t>
      </w:r>
      <w:r>
        <w:rPr>
          <w:color w:val="231F20"/>
          <w:w w:val="105"/>
        </w:rPr>
        <w:t>dispersas,</w:t>
      </w:r>
      <w:r>
        <w:rPr>
          <w:color w:val="231F20"/>
          <w:spacing w:val="-16"/>
          <w:w w:val="105"/>
        </w:rPr>
        <w:t> </w:t>
      </w:r>
      <w:r>
        <w:rPr>
          <w:color w:val="231F20"/>
          <w:w w:val="105"/>
        </w:rPr>
        <w:t>la</w:t>
      </w:r>
      <w:r>
        <w:rPr>
          <w:color w:val="231F20"/>
          <w:spacing w:val="-11"/>
          <w:w w:val="105"/>
        </w:rPr>
        <w:t> </w:t>
      </w:r>
      <w:r>
        <w:rPr>
          <w:color w:val="231F20"/>
          <w:w w:val="105"/>
        </w:rPr>
        <w:t>expansión</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tecnologías</w:t>
      </w:r>
      <w:r>
        <w:rPr>
          <w:color w:val="231F20"/>
          <w:spacing w:val="-11"/>
          <w:w w:val="105"/>
        </w:rPr>
        <w:t> </w:t>
      </w:r>
      <w:r>
        <w:rPr>
          <w:color w:val="231F20"/>
          <w:w w:val="105"/>
        </w:rPr>
        <w:t>de</w:t>
      </w:r>
      <w:r>
        <w:rPr>
          <w:color w:val="231F20"/>
          <w:spacing w:val="-11"/>
          <w:w w:val="105"/>
        </w:rPr>
        <w:t> </w:t>
      </w:r>
      <w:r>
        <w:rPr>
          <w:color w:val="231F20"/>
          <w:w w:val="105"/>
        </w:rPr>
        <w:t>la</w:t>
      </w:r>
      <w:r>
        <w:rPr>
          <w:color w:val="231F20"/>
          <w:w w:val="100"/>
        </w:rPr>
        <w:t> </w:t>
      </w:r>
      <w:r>
        <w:rPr>
          <w:color w:val="231F20"/>
          <w:w w:val="105"/>
        </w:rPr>
        <w:t>información</w:t>
      </w:r>
      <w:r>
        <w:rPr>
          <w:color w:val="231F20"/>
          <w:spacing w:val="-13"/>
          <w:w w:val="105"/>
        </w:rPr>
        <w:t> </w:t>
      </w:r>
      <w:r>
        <w:rPr>
          <w:color w:val="231F20"/>
          <w:w w:val="105"/>
        </w:rPr>
        <w:t>y</w:t>
      </w:r>
      <w:r>
        <w:rPr>
          <w:color w:val="231F20"/>
          <w:spacing w:val="-13"/>
          <w:w w:val="105"/>
        </w:rPr>
        <w:t> </w:t>
      </w:r>
      <w:r>
        <w:rPr>
          <w:color w:val="231F20"/>
          <w:w w:val="105"/>
        </w:rPr>
        <w:t>comunicación,</w:t>
      </w:r>
      <w:r>
        <w:rPr>
          <w:color w:val="231F20"/>
          <w:spacing w:val="-19"/>
          <w:w w:val="105"/>
        </w:rPr>
        <w:t> </w:t>
      </w:r>
      <w:r>
        <w:rPr>
          <w:color w:val="231F20"/>
          <w:w w:val="105"/>
        </w:rPr>
        <w:t>así</w:t>
      </w:r>
      <w:r>
        <w:rPr>
          <w:color w:val="231F20"/>
          <w:spacing w:val="-13"/>
          <w:w w:val="105"/>
        </w:rPr>
        <w:t> </w:t>
      </w:r>
      <w:r>
        <w:rPr>
          <w:color w:val="231F20"/>
          <w:w w:val="105"/>
        </w:rPr>
        <w:t>como</w:t>
      </w:r>
      <w:r>
        <w:rPr>
          <w:color w:val="231F20"/>
          <w:spacing w:val="-13"/>
          <w:w w:val="105"/>
        </w:rPr>
        <w:t> </w:t>
      </w:r>
      <w:r>
        <w:rPr>
          <w:color w:val="231F20"/>
          <w:w w:val="105"/>
        </w:rPr>
        <w:t>la</w:t>
      </w:r>
      <w:r>
        <w:rPr>
          <w:color w:val="231F20"/>
          <w:spacing w:val="-13"/>
          <w:w w:val="105"/>
        </w:rPr>
        <w:t> </w:t>
      </w:r>
      <w:r>
        <w:rPr>
          <w:color w:val="231F20"/>
          <w:w w:val="105"/>
        </w:rPr>
        <w:t>interdependencia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proce-</w:t>
      </w:r>
      <w:r>
        <w:rPr>
          <w:color w:val="231F20"/>
          <w:w w:val="96"/>
        </w:rPr>
        <w:t> </w:t>
      </w:r>
      <w:r>
        <w:rPr>
          <w:color w:val="231F20"/>
          <w:w w:val="105"/>
        </w:rPr>
        <w:t>sos</w:t>
      </w:r>
      <w:r>
        <w:rPr>
          <w:color w:val="231F20"/>
          <w:spacing w:val="-8"/>
          <w:w w:val="105"/>
        </w:rPr>
        <w:t> </w:t>
      </w:r>
      <w:r>
        <w:rPr>
          <w:color w:val="231F20"/>
          <w:w w:val="105"/>
        </w:rPr>
        <w:t>productivos,</w:t>
      </w:r>
      <w:r>
        <w:rPr>
          <w:color w:val="231F20"/>
          <w:spacing w:val="-14"/>
          <w:w w:val="105"/>
        </w:rPr>
        <w:t> </w:t>
      </w:r>
      <w:r>
        <w:rPr>
          <w:color w:val="231F20"/>
          <w:w w:val="105"/>
        </w:rPr>
        <w:t>la</w:t>
      </w:r>
      <w:r>
        <w:rPr>
          <w:color w:val="231F20"/>
          <w:spacing w:val="-8"/>
          <w:w w:val="105"/>
        </w:rPr>
        <w:t> </w:t>
      </w:r>
      <w:r>
        <w:rPr>
          <w:color w:val="231F20"/>
          <w:w w:val="105"/>
        </w:rPr>
        <w:t>ciencia,</w:t>
      </w:r>
      <w:r>
        <w:rPr>
          <w:color w:val="231F20"/>
          <w:spacing w:val="-14"/>
          <w:w w:val="105"/>
        </w:rPr>
        <w:t> </w:t>
      </w:r>
      <w:r>
        <w:rPr>
          <w:color w:val="231F20"/>
          <w:w w:val="105"/>
        </w:rPr>
        <w:t>la</w:t>
      </w:r>
      <w:r>
        <w:rPr>
          <w:color w:val="231F20"/>
          <w:spacing w:val="-8"/>
          <w:w w:val="105"/>
        </w:rPr>
        <w:t> </w:t>
      </w:r>
      <w:r>
        <w:rPr>
          <w:color w:val="231F20"/>
          <w:w w:val="105"/>
        </w:rPr>
        <w:t>tecnología</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ejercicio</w:t>
      </w:r>
      <w:r>
        <w:rPr>
          <w:color w:val="231F20"/>
          <w:spacing w:val="-8"/>
          <w:w w:val="105"/>
        </w:rPr>
        <w:t> </w:t>
      </w:r>
      <w:r>
        <w:rPr>
          <w:color w:val="231F20"/>
          <w:w w:val="105"/>
        </w:rPr>
        <w:t>del</w:t>
      </w:r>
      <w:r>
        <w:rPr>
          <w:color w:val="231F20"/>
          <w:spacing w:val="-8"/>
          <w:w w:val="105"/>
        </w:rPr>
        <w:t> </w:t>
      </w:r>
      <w:r>
        <w:rPr>
          <w:color w:val="231F20"/>
          <w:w w:val="105"/>
        </w:rPr>
        <w:t>poder</w:t>
      </w:r>
      <w:r>
        <w:rPr>
          <w:color w:val="231F20"/>
          <w:spacing w:val="-8"/>
          <w:w w:val="105"/>
        </w:rPr>
        <w:t> </w:t>
      </w:r>
      <w:r>
        <w:rPr>
          <w:color w:val="231F20"/>
          <w:w w:val="105"/>
        </w:rPr>
        <w:t>político.</w:t>
      </w:r>
      <w:r>
        <w:rPr>
          <w:color w:val="231F20"/>
          <w:w w:val="93"/>
        </w:rPr>
        <w:t> </w:t>
      </w:r>
      <w:r>
        <w:rPr>
          <w:color w:val="231F20"/>
          <w:w w:val="105"/>
        </w:rPr>
        <w:t>Es innegable que una causa importante de la migración es</w:t>
      </w:r>
      <w:r>
        <w:rPr>
          <w:color w:val="231F20"/>
          <w:spacing w:val="-39"/>
          <w:w w:val="105"/>
        </w:rPr>
        <w:t> </w:t>
      </w:r>
      <w:r>
        <w:rPr>
          <w:color w:val="231F20"/>
          <w:w w:val="105"/>
        </w:rPr>
        <w:t>la</w:t>
      </w:r>
      <w:r>
        <w:rPr>
          <w:color w:val="231F20"/>
          <w:spacing w:val="-4"/>
          <w:w w:val="105"/>
        </w:rPr>
        <w:t> </w:t>
      </w:r>
      <w:r>
        <w:rPr>
          <w:color w:val="231F20"/>
          <w:w w:val="105"/>
        </w:rPr>
        <w:t>cre-</w:t>
      </w:r>
      <w:r>
        <w:rPr>
          <w:color w:val="231F20"/>
          <w:w w:val="96"/>
        </w:rPr>
        <w:t> </w:t>
      </w:r>
      <w:r>
        <w:rPr>
          <w:color w:val="231F20"/>
          <w:w w:val="105"/>
        </w:rPr>
        <w:t>ciente</w:t>
      </w:r>
      <w:r>
        <w:rPr>
          <w:color w:val="231F20"/>
          <w:spacing w:val="-22"/>
          <w:w w:val="105"/>
        </w:rPr>
        <w:t> </w:t>
      </w:r>
      <w:r>
        <w:rPr>
          <w:color w:val="231F20"/>
          <w:w w:val="105"/>
        </w:rPr>
        <w:t>desigualdad</w:t>
      </w:r>
      <w:r>
        <w:rPr>
          <w:color w:val="231F20"/>
          <w:spacing w:val="-22"/>
          <w:w w:val="105"/>
        </w:rPr>
        <w:t> </w:t>
      </w:r>
      <w:r>
        <w:rPr>
          <w:color w:val="231F20"/>
          <w:w w:val="105"/>
        </w:rPr>
        <w:t>de</w:t>
      </w:r>
      <w:r>
        <w:rPr>
          <w:color w:val="231F20"/>
          <w:spacing w:val="-22"/>
          <w:w w:val="105"/>
        </w:rPr>
        <w:t> </w:t>
      </w:r>
      <w:r>
        <w:rPr>
          <w:color w:val="231F20"/>
          <w:w w:val="105"/>
        </w:rPr>
        <w:t>ingresos</w:t>
      </w:r>
      <w:r>
        <w:rPr>
          <w:color w:val="231F20"/>
          <w:spacing w:val="-22"/>
          <w:w w:val="105"/>
        </w:rPr>
        <w:t> </w:t>
      </w:r>
      <w:r>
        <w:rPr>
          <w:color w:val="231F20"/>
          <w:w w:val="105"/>
        </w:rPr>
        <w:t>y</w:t>
      </w:r>
      <w:r>
        <w:rPr>
          <w:color w:val="231F20"/>
          <w:spacing w:val="-22"/>
          <w:w w:val="105"/>
        </w:rPr>
        <w:t> </w:t>
      </w:r>
      <w:r>
        <w:rPr>
          <w:color w:val="231F20"/>
          <w:w w:val="105"/>
        </w:rPr>
        <w:t>de</w:t>
      </w:r>
      <w:r>
        <w:rPr>
          <w:color w:val="231F20"/>
          <w:spacing w:val="-22"/>
          <w:w w:val="105"/>
        </w:rPr>
        <w:t> </w:t>
      </w:r>
      <w:r>
        <w:rPr>
          <w:color w:val="231F20"/>
          <w:w w:val="105"/>
        </w:rPr>
        <w:t>seguridad</w:t>
      </w:r>
      <w:r>
        <w:rPr>
          <w:color w:val="231F20"/>
          <w:spacing w:val="-22"/>
          <w:w w:val="105"/>
        </w:rPr>
        <w:t> </w:t>
      </w:r>
      <w:r>
        <w:rPr>
          <w:color w:val="231F20"/>
          <w:w w:val="105"/>
        </w:rPr>
        <w:t>humana</w:t>
      </w:r>
      <w:r>
        <w:rPr>
          <w:color w:val="231F20"/>
          <w:spacing w:val="-22"/>
          <w:w w:val="105"/>
        </w:rPr>
        <w:t> </w:t>
      </w:r>
      <w:r>
        <w:rPr>
          <w:color w:val="231F20"/>
          <w:w w:val="105"/>
        </w:rPr>
        <w:t>entre</w:t>
      </w:r>
      <w:r>
        <w:rPr>
          <w:color w:val="231F20"/>
          <w:spacing w:val="-22"/>
          <w:w w:val="105"/>
        </w:rPr>
        <w:t> </w:t>
      </w:r>
      <w:r>
        <w:rPr>
          <w:color w:val="231F20"/>
          <w:w w:val="105"/>
        </w:rPr>
        <w:t>países</w:t>
      </w:r>
      <w:r>
        <w:rPr>
          <w:color w:val="231F20"/>
          <w:spacing w:val="-22"/>
          <w:w w:val="105"/>
        </w:rPr>
        <w:t> </w:t>
      </w:r>
      <w:r>
        <w:rPr>
          <w:color w:val="231F20"/>
          <w:w w:val="105"/>
        </w:rPr>
        <w:t>más</w:t>
      </w:r>
      <w:r>
        <w:rPr>
          <w:color w:val="231F20"/>
          <w:w w:val="98"/>
        </w:rPr>
        <w:t> </w:t>
      </w:r>
      <w:r>
        <w:rPr>
          <w:color w:val="231F20"/>
          <w:w w:val="105"/>
        </w:rPr>
        <w:t>y menos desarrollados. Es así que “10 de cada 100 personas</w:t>
      </w:r>
      <w:r>
        <w:rPr>
          <w:color w:val="231F20"/>
          <w:spacing w:val="-36"/>
          <w:w w:val="105"/>
        </w:rPr>
        <w:t> </w:t>
      </w:r>
      <w:r>
        <w:rPr>
          <w:color w:val="231F20"/>
          <w:w w:val="105"/>
        </w:rPr>
        <w:t>que</w:t>
      </w:r>
      <w:r>
        <w:rPr>
          <w:color w:val="231F20"/>
          <w:spacing w:val="-3"/>
          <w:w w:val="105"/>
        </w:rPr>
        <w:t> </w:t>
      </w:r>
      <w:r>
        <w:rPr>
          <w:color w:val="231F20"/>
          <w:w w:val="105"/>
        </w:rPr>
        <w:t>habi-</w:t>
      </w:r>
      <w:r>
        <w:rPr>
          <w:color w:val="231F20"/>
          <w:w w:val="96"/>
        </w:rPr>
        <w:t> </w:t>
      </w:r>
      <w:r>
        <w:rPr>
          <w:color w:val="231F20"/>
          <w:w w:val="105"/>
        </w:rPr>
        <w:t>taban</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países</w:t>
      </w:r>
      <w:r>
        <w:rPr>
          <w:color w:val="231F20"/>
          <w:spacing w:val="-16"/>
          <w:w w:val="105"/>
        </w:rPr>
        <w:t> </w:t>
      </w:r>
      <w:r>
        <w:rPr>
          <w:color w:val="231F20"/>
          <w:w w:val="105"/>
        </w:rPr>
        <w:t>desarrollados</w:t>
      </w:r>
      <w:r>
        <w:rPr>
          <w:color w:val="231F20"/>
          <w:spacing w:val="-16"/>
          <w:w w:val="105"/>
        </w:rPr>
        <w:t> </w:t>
      </w:r>
      <w:r>
        <w:rPr>
          <w:color w:val="231F20"/>
          <w:w w:val="105"/>
        </w:rPr>
        <w:t>eran</w:t>
      </w:r>
      <w:r>
        <w:rPr>
          <w:color w:val="231F20"/>
          <w:spacing w:val="-16"/>
          <w:w w:val="105"/>
        </w:rPr>
        <w:t> </w:t>
      </w:r>
      <w:r>
        <w:rPr>
          <w:color w:val="231F20"/>
          <w:w w:val="105"/>
        </w:rPr>
        <w:t>inmigrantes</w:t>
      </w:r>
      <w:r>
        <w:rPr>
          <w:color w:val="231F20"/>
          <w:spacing w:val="-16"/>
          <w:w w:val="105"/>
        </w:rPr>
        <w:t> </w:t>
      </w:r>
      <w:r>
        <w:rPr>
          <w:color w:val="231F20"/>
          <w:w w:val="105"/>
        </w:rPr>
        <w:t>en</w:t>
      </w:r>
      <w:r>
        <w:rPr>
          <w:color w:val="231F20"/>
          <w:spacing w:val="-16"/>
          <w:w w:val="105"/>
        </w:rPr>
        <w:t> </w:t>
      </w:r>
      <w:r>
        <w:rPr>
          <w:color w:val="231F20"/>
          <w:w w:val="105"/>
        </w:rPr>
        <w:t>2010,</w:t>
      </w:r>
      <w:r>
        <w:rPr>
          <w:color w:val="231F20"/>
          <w:spacing w:val="-21"/>
          <w:w w:val="105"/>
        </w:rPr>
        <w:t> </w:t>
      </w:r>
      <w:r>
        <w:rPr>
          <w:color w:val="231F20"/>
          <w:w w:val="105"/>
        </w:rPr>
        <w:t>comparado</w:t>
      </w:r>
      <w:r>
        <w:rPr>
          <w:color w:val="231F20"/>
          <w:w w:val="106"/>
        </w:rPr>
        <w:t> </w:t>
      </w:r>
      <w:r>
        <w:rPr>
          <w:color w:val="231F20"/>
          <w:w w:val="105"/>
        </w:rPr>
        <w:t>con</w:t>
      </w:r>
      <w:r>
        <w:rPr>
          <w:color w:val="231F20"/>
          <w:spacing w:val="-20"/>
          <w:w w:val="105"/>
        </w:rPr>
        <w:t> </w:t>
      </w:r>
      <w:r>
        <w:rPr>
          <w:color w:val="231F20"/>
          <w:w w:val="105"/>
        </w:rPr>
        <w:t>1.5</w:t>
      </w:r>
      <w:r>
        <w:rPr>
          <w:color w:val="231F20"/>
          <w:spacing w:val="-20"/>
          <w:w w:val="105"/>
        </w:rPr>
        <w:t> </w:t>
      </w:r>
      <w:r>
        <w:rPr>
          <w:color w:val="231F20"/>
          <w:w w:val="105"/>
        </w:rPr>
        <w:t>de</w:t>
      </w:r>
      <w:r>
        <w:rPr>
          <w:color w:val="231F20"/>
          <w:spacing w:val="-20"/>
          <w:w w:val="105"/>
        </w:rPr>
        <w:t> </w:t>
      </w:r>
      <w:r>
        <w:rPr>
          <w:color w:val="231F20"/>
          <w:w w:val="105"/>
        </w:rPr>
        <w:t>cada</w:t>
      </w:r>
      <w:r>
        <w:rPr>
          <w:color w:val="231F20"/>
          <w:spacing w:val="-20"/>
          <w:w w:val="105"/>
        </w:rPr>
        <w:t> </w:t>
      </w:r>
      <w:r>
        <w:rPr>
          <w:color w:val="231F20"/>
          <w:w w:val="105"/>
        </w:rPr>
        <w:t>100</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países</w:t>
      </w:r>
      <w:r>
        <w:rPr>
          <w:color w:val="231F20"/>
          <w:spacing w:val="-20"/>
          <w:w w:val="105"/>
        </w:rPr>
        <w:t> </w:t>
      </w:r>
      <w:r>
        <w:rPr>
          <w:color w:val="231F20"/>
          <w:w w:val="105"/>
        </w:rPr>
        <w:t>en</w:t>
      </w:r>
      <w:r>
        <w:rPr>
          <w:color w:val="231F20"/>
          <w:spacing w:val="-20"/>
          <w:w w:val="105"/>
        </w:rPr>
        <w:t> </w:t>
      </w:r>
      <w:r>
        <w:rPr>
          <w:color w:val="231F20"/>
          <w:w w:val="105"/>
        </w:rPr>
        <w:t>desarrollo”</w:t>
      </w:r>
      <w:r>
        <w:rPr>
          <w:color w:val="231F20"/>
          <w:spacing w:val="-20"/>
          <w:w w:val="105"/>
        </w:rPr>
        <w:t> </w:t>
      </w:r>
      <w:r>
        <w:rPr>
          <w:color w:val="231F20"/>
          <w:w w:val="105"/>
        </w:rPr>
        <w:t>(Castles,</w:t>
      </w:r>
      <w:r>
        <w:rPr>
          <w:color w:val="231F20"/>
          <w:spacing w:val="-26"/>
          <w:w w:val="105"/>
        </w:rPr>
        <w:t> </w:t>
      </w:r>
      <w:r>
        <w:rPr>
          <w:color w:val="231F20"/>
          <w:w w:val="105"/>
        </w:rPr>
        <w:t>2014:</w:t>
      </w:r>
      <w:r>
        <w:rPr>
          <w:color w:val="231F20"/>
          <w:spacing w:val="-20"/>
          <w:w w:val="105"/>
        </w:rPr>
        <w:t> </w:t>
      </w:r>
      <w:r>
        <w:rPr>
          <w:color w:val="231F20"/>
          <w:w w:val="105"/>
        </w:rPr>
        <w:t>236).</w:t>
      </w:r>
      <w:r>
        <w:rPr>
          <w:color w:val="231F20"/>
          <w:spacing w:val="-26"/>
          <w:w w:val="105"/>
        </w:rPr>
        <w:t> </w:t>
      </w:r>
      <w:r>
        <w:rPr>
          <w:color w:val="231F20"/>
          <w:w w:val="105"/>
        </w:rPr>
        <w:t>De</w:t>
      </w:r>
      <w:r>
        <w:rPr>
          <w:color w:val="231F20"/>
          <w:w w:val="103"/>
        </w:rPr>
        <w:t> </w:t>
      </w:r>
      <w:r>
        <w:rPr>
          <w:color w:val="231F20"/>
          <w:w w:val="105"/>
        </w:rPr>
        <w:t>acuerdo</w:t>
      </w:r>
      <w:r>
        <w:rPr>
          <w:color w:val="231F20"/>
          <w:spacing w:val="-23"/>
          <w:w w:val="105"/>
        </w:rPr>
        <w:t> </w:t>
      </w:r>
      <w:r>
        <w:rPr>
          <w:color w:val="231F20"/>
          <w:w w:val="105"/>
        </w:rPr>
        <w:t>con</w:t>
      </w:r>
      <w:r>
        <w:rPr>
          <w:color w:val="231F20"/>
          <w:spacing w:val="-23"/>
          <w:w w:val="105"/>
        </w:rPr>
        <w:t> </w:t>
      </w:r>
      <w:r>
        <w:rPr>
          <w:color w:val="231F20"/>
          <w:w w:val="105"/>
        </w:rPr>
        <w:t>datos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Organización</w:t>
      </w:r>
      <w:r>
        <w:rPr>
          <w:color w:val="231F20"/>
          <w:spacing w:val="-23"/>
          <w:w w:val="105"/>
        </w:rPr>
        <w:t> </w:t>
      </w:r>
      <w:r>
        <w:rPr>
          <w:color w:val="231F20"/>
          <w:w w:val="105"/>
        </w:rPr>
        <w:t>Internacional</w:t>
      </w:r>
      <w:r>
        <w:rPr>
          <w:color w:val="231F20"/>
          <w:spacing w:val="-23"/>
          <w:w w:val="105"/>
        </w:rPr>
        <w:t> </w:t>
      </w:r>
      <w:r>
        <w:rPr>
          <w:color w:val="231F20"/>
          <w:w w:val="105"/>
        </w:rPr>
        <w:t>para</w:t>
      </w:r>
      <w:r>
        <w:rPr>
          <w:color w:val="231F20"/>
          <w:spacing w:val="-23"/>
          <w:w w:val="105"/>
        </w:rPr>
        <w:t> </w:t>
      </w:r>
      <w:r>
        <w:rPr>
          <w:color w:val="231F20"/>
          <w:w w:val="105"/>
        </w:rPr>
        <w:t>las</w:t>
      </w:r>
      <w:r>
        <w:rPr>
          <w:color w:val="231F20"/>
          <w:spacing w:val="-23"/>
          <w:w w:val="105"/>
        </w:rPr>
        <w:t> </w:t>
      </w:r>
      <w:r>
        <w:rPr>
          <w:color w:val="231F20"/>
          <w:w w:val="105"/>
        </w:rPr>
        <w:t>Migraciones</w:t>
      </w:r>
      <w:r>
        <w:rPr>
          <w:color w:val="231F20"/>
          <w:w w:val="101"/>
        </w:rPr>
        <w:t> </w:t>
      </w:r>
      <w:r>
        <w:rPr>
          <w:color w:val="231F20"/>
          <w:w w:val="105"/>
        </w:rPr>
        <w:t>(</w:t>
      </w:r>
      <w:r>
        <w:rPr>
          <w:color w:val="231F20"/>
          <w:w w:val="105"/>
          <w:sz w:val="17"/>
        </w:rPr>
        <w:t>OIM</w:t>
      </w:r>
      <w:r>
        <w:rPr>
          <w:color w:val="231F20"/>
          <w:w w:val="105"/>
        </w:rPr>
        <w:t>, 2014), 3.2% de la población mundial son</w:t>
      </w:r>
      <w:r>
        <w:rPr>
          <w:color w:val="231F20"/>
          <w:spacing w:val="39"/>
          <w:w w:val="105"/>
        </w:rPr>
        <w:t> </w:t>
      </w:r>
      <w:r>
        <w:rPr>
          <w:color w:val="231F20"/>
          <w:w w:val="105"/>
        </w:rPr>
        <w:t>migrantes</w:t>
      </w:r>
      <w:r>
        <w:rPr>
          <w:color w:val="231F20"/>
          <w:spacing w:val="6"/>
          <w:w w:val="105"/>
        </w:rPr>
        <w:t> </w:t>
      </w:r>
      <w:r>
        <w:rPr>
          <w:color w:val="231F20"/>
          <w:w w:val="105"/>
        </w:rPr>
        <w:t>internaciona-</w:t>
      </w:r>
      <w:r>
        <w:rPr>
          <w:color w:val="231F20"/>
          <w:w w:val="96"/>
        </w:rPr>
        <w:t> </w:t>
      </w:r>
      <w:r>
        <w:rPr>
          <w:color w:val="231F20"/>
          <w:w w:val="105"/>
        </w:rPr>
        <w:t>les, un total de 214 millones de personas, que en conjunto</w:t>
      </w:r>
      <w:r>
        <w:rPr>
          <w:color w:val="231F20"/>
          <w:spacing w:val="4"/>
          <w:w w:val="105"/>
        </w:rPr>
        <w:t> </w:t>
      </w:r>
      <w:r>
        <w:rPr>
          <w:color w:val="231F20"/>
          <w:w w:val="105"/>
        </w:rPr>
        <w:t>formarían</w:t>
      </w:r>
      <w:r>
        <w:rPr>
          <w:color w:val="231F20"/>
          <w:spacing w:val="1"/>
          <w:w w:val="105"/>
        </w:rPr>
        <w:t> </w:t>
      </w:r>
      <w:r>
        <w:rPr>
          <w:color w:val="231F20"/>
          <w:w w:val="105"/>
        </w:rPr>
        <w:t>el</w:t>
      </w:r>
      <w:r>
        <w:rPr>
          <w:color w:val="231F20"/>
          <w:w w:val="105"/>
        </w:rPr>
        <w:t> </w:t>
      </w:r>
      <w:r>
        <w:rPr>
          <w:color w:val="231F20"/>
          <w:w w:val="105"/>
        </w:rPr>
        <w:t>quinto país más poblado del mundo (</w:t>
      </w:r>
      <w:r>
        <w:rPr>
          <w:color w:val="231F20"/>
          <w:w w:val="105"/>
          <w:sz w:val="17"/>
        </w:rPr>
        <w:t>OIM</w:t>
      </w:r>
      <w:r>
        <w:rPr>
          <w:color w:val="231F20"/>
          <w:w w:val="105"/>
        </w:rPr>
        <w:t>, 2014). La movilidad, y</w:t>
      </w:r>
      <w:r>
        <w:rPr>
          <w:color w:val="231F20"/>
          <w:spacing w:val="24"/>
          <w:w w:val="105"/>
        </w:rPr>
        <w:t> </w:t>
      </w:r>
      <w:r>
        <w:rPr>
          <w:color w:val="231F20"/>
          <w:w w:val="105"/>
        </w:rPr>
        <w:t>en</w:t>
      </w:r>
      <w:r>
        <w:rPr>
          <w:color w:val="231F20"/>
          <w:spacing w:val="3"/>
          <w:w w:val="105"/>
        </w:rPr>
        <w:t> </w:t>
      </w:r>
      <w:r>
        <w:rPr>
          <w:color w:val="231F20"/>
          <w:w w:val="105"/>
        </w:rPr>
        <w:t>es-</w:t>
      </w:r>
      <w:r>
        <w:rPr>
          <w:color w:val="231F20"/>
          <w:w w:val="96"/>
        </w:rPr>
        <w:t> </w:t>
      </w:r>
      <w:r>
        <w:rPr>
          <w:color w:val="231F20"/>
          <w:w w:val="105"/>
        </w:rPr>
        <w:t>pecífico las migraciones internacionales, se concibe como un</w:t>
      </w:r>
      <w:r>
        <w:rPr>
          <w:color w:val="231F20"/>
          <w:spacing w:val="30"/>
          <w:w w:val="105"/>
        </w:rPr>
        <w:t> </w:t>
      </w:r>
      <w:r>
        <w:rPr>
          <w:color w:val="231F20"/>
          <w:w w:val="105"/>
        </w:rPr>
        <w:t>factor</w:t>
      </w:r>
      <w:r>
        <w:rPr>
          <w:color w:val="231F20"/>
          <w:spacing w:val="4"/>
          <w:w w:val="105"/>
        </w:rPr>
        <w:t> </w:t>
      </w:r>
      <w:r>
        <w:rPr>
          <w:color w:val="231F20"/>
          <w:w w:val="105"/>
        </w:rPr>
        <w:t>de</w:t>
      </w:r>
      <w:r>
        <w:rPr>
          <w:color w:val="231F20"/>
          <w:w w:val="108"/>
        </w:rPr>
        <w:t> </w:t>
      </w:r>
      <w:r>
        <w:rPr>
          <w:color w:val="231F20"/>
          <w:w w:val="105"/>
        </w:rPr>
        <w:t>reproducción</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sociedad,</w:t>
      </w:r>
      <w:r>
        <w:rPr>
          <w:color w:val="231F20"/>
          <w:spacing w:val="-17"/>
          <w:w w:val="105"/>
        </w:rPr>
        <w:t> </w:t>
      </w:r>
      <w:r>
        <w:rPr>
          <w:color w:val="231F20"/>
          <w:w w:val="105"/>
        </w:rPr>
        <w:t>y</w:t>
      </w:r>
      <w:r>
        <w:rPr>
          <w:color w:val="231F20"/>
          <w:spacing w:val="-11"/>
          <w:w w:val="105"/>
        </w:rPr>
        <w:t> </w:t>
      </w:r>
      <w:r>
        <w:rPr>
          <w:color w:val="231F20"/>
          <w:w w:val="105"/>
        </w:rPr>
        <w:t>por</w:t>
      </w:r>
      <w:r>
        <w:rPr>
          <w:color w:val="231F20"/>
          <w:spacing w:val="-11"/>
          <w:w w:val="105"/>
        </w:rPr>
        <w:t> </w:t>
      </w:r>
      <w:r>
        <w:rPr>
          <w:color w:val="231F20"/>
          <w:w w:val="105"/>
        </w:rPr>
        <w:t>ese</w:t>
      </w:r>
      <w:r>
        <w:rPr>
          <w:color w:val="231F20"/>
          <w:spacing w:val="-11"/>
          <w:w w:val="105"/>
        </w:rPr>
        <w:t> </w:t>
      </w:r>
      <w:r>
        <w:rPr>
          <w:color w:val="231F20"/>
          <w:w w:val="105"/>
        </w:rPr>
        <w:t>medio</w:t>
      </w:r>
      <w:r>
        <w:rPr>
          <w:color w:val="231F20"/>
          <w:spacing w:val="-11"/>
          <w:w w:val="105"/>
        </w:rPr>
        <w:t> </w:t>
      </w:r>
      <w:r>
        <w:rPr>
          <w:color w:val="231F20"/>
          <w:w w:val="105"/>
        </w:rPr>
        <w:t>de</w:t>
      </w:r>
      <w:r>
        <w:rPr>
          <w:color w:val="231F20"/>
          <w:spacing w:val="-11"/>
          <w:w w:val="105"/>
        </w:rPr>
        <w:t> </w:t>
      </w:r>
      <w:r>
        <w:rPr>
          <w:color w:val="231F20"/>
          <w:w w:val="105"/>
        </w:rPr>
        <w:t>su</w:t>
      </w:r>
      <w:r>
        <w:rPr>
          <w:color w:val="231F20"/>
          <w:spacing w:val="-11"/>
          <w:w w:val="105"/>
        </w:rPr>
        <w:t> </w:t>
      </w:r>
      <w:r>
        <w:rPr>
          <w:color w:val="231F20"/>
          <w:w w:val="105"/>
        </w:rPr>
        <w:t>transformación</w:t>
      </w:r>
      <w:r>
        <w:rPr>
          <w:color w:val="231F20"/>
          <w:spacing w:val="-11"/>
          <w:w w:val="105"/>
        </w:rPr>
        <w:t> </w:t>
      </w:r>
      <w:r>
        <w:rPr>
          <w:color w:val="231F20"/>
          <w:w w:val="105"/>
        </w:rPr>
        <w:t>(Ca-</w:t>
      </w:r>
    </w:p>
    <w:p>
      <w:pPr>
        <w:pStyle w:val="BodyText"/>
        <w:spacing w:before="1"/>
        <w:ind w:left="1837" w:right="6753"/>
      </w:pPr>
      <w:r>
        <w:rPr>
          <w:color w:val="231F20"/>
        </w:rPr>
        <w:t>nales, 2013).</w:t>
      </w:r>
    </w:p>
    <w:p>
      <w:pPr>
        <w:pStyle w:val="BodyText"/>
        <w:spacing w:line="261" w:lineRule="auto" w:before="22"/>
        <w:ind w:left="1837" w:right="1715" w:firstLine="567"/>
        <w:jc w:val="both"/>
      </w:pPr>
      <w:r>
        <w:rPr>
          <w:color w:val="231F20"/>
          <w:w w:val="105"/>
        </w:rPr>
        <w:t>En México, el Instituto Nacional de Estadística y Geografía</w:t>
      </w:r>
      <w:r>
        <w:rPr>
          <w:color w:val="231F20"/>
          <w:spacing w:val="-27"/>
          <w:w w:val="105"/>
        </w:rPr>
        <w:t> </w:t>
      </w:r>
      <w:r>
        <w:rPr>
          <w:color w:val="231F20"/>
          <w:w w:val="105"/>
        </w:rPr>
        <w:t>(</w:t>
      </w:r>
      <w:r>
        <w:rPr>
          <w:color w:val="231F20"/>
          <w:w w:val="105"/>
          <w:sz w:val="17"/>
        </w:rPr>
        <w:t>INEGI</w:t>
      </w:r>
      <w:r>
        <w:rPr>
          <w:color w:val="231F20"/>
          <w:w w:val="105"/>
        </w:rPr>
        <w:t>, 2010) reportó que durante el período del 2006 al 2010, por cada 100 emigrantes internacionales, 75 señalaron el trabajo como motivo de su desplazamiento,</w:t>
      </w:r>
      <w:r>
        <w:rPr>
          <w:color w:val="231F20"/>
          <w:spacing w:val="-22"/>
          <w:w w:val="105"/>
        </w:rPr>
        <w:t> </w:t>
      </w:r>
      <w:r>
        <w:rPr>
          <w:color w:val="231F20"/>
          <w:w w:val="105"/>
        </w:rPr>
        <w:t>mientras</w:t>
      </w:r>
      <w:r>
        <w:rPr>
          <w:color w:val="231F20"/>
          <w:spacing w:val="-16"/>
          <w:w w:val="105"/>
        </w:rPr>
        <w:t> </w:t>
      </w:r>
      <w:r>
        <w:rPr>
          <w:color w:val="231F20"/>
          <w:w w:val="105"/>
        </w:rPr>
        <w:t>que</w:t>
      </w:r>
      <w:r>
        <w:rPr>
          <w:color w:val="231F20"/>
          <w:spacing w:val="-16"/>
          <w:w w:val="105"/>
        </w:rPr>
        <w:t> </w:t>
      </w:r>
      <w:r>
        <w:rPr>
          <w:color w:val="231F20"/>
          <w:w w:val="105"/>
        </w:rPr>
        <w:t>uno</w:t>
      </w:r>
      <w:r>
        <w:rPr>
          <w:color w:val="231F20"/>
          <w:spacing w:val="-16"/>
          <w:w w:val="105"/>
        </w:rPr>
        <w:t> </w:t>
      </w:r>
      <w:r>
        <w:rPr>
          <w:color w:val="231F20"/>
          <w:w w:val="105"/>
        </w:rPr>
        <w:t>de</w:t>
      </w:r>
      <w:r>
        <w:rPr>
          <w:color w:val="231F20"/>
          <w:spacing w:val="-16"/>
          <w:w w:val="105"/>
        </w:rPr>
        <w:t> </w:t>
      </w:r>
      <w:r>
        <w:rPr>
          <w:color w:val="231F20"/>
          <w:w w:val="105"/>
        </w:rPr>
        <w:t>cada</w:t>
      </w:r>
      <w:r>
        <w:rPr>
          <w:color w:val="231F20"/>
          <w:spacing w:val="-16"/>
          <w:w w:val="105"/>
        </w:rPr>
        <w:t> </w:t>
      </w:r>
      <w:r>
        <w:rPr>
          <w:color w:val="231F20"/>
          <w:w w:val="105"/>
        </w:rPr>
        <w:t>10,</w:t>
      </w:r>
      <w:r>
        <w:rPr>
          <w:color w:val="231F20"/>
          <w:spacing w:val="-22"/>
          <w:w w:val="105"/>
        </w:rPr>
        <w:t> </w:t>
      </w:r>
      <w:r>
        <w:rPr>
          <w:color w:val="231F20"/>
          <w:w w:val="105"/>
        </w:rPr>
        <w:t>emigró</w:t>
      </w:r>
      <w:r>
        <w:rPr>
          <w:color w:val="231F20"/>
          <w:spacing w:val="-16"/>
          <w:w w:val="105"/>
        </w:rPr>
        <w:t> </w:t>
      </w:r>
      <w:r>
        <w:rPr>
          <w:color w:val="231F20"/>
          <w:w w:val="105"/>
        </w:rPr>
        <w:t>para</w:t>
      </w:r>
      <w:r>
        <w:rPr>
          <w:color w:val="231F20"/>
          <w:spacing w:val="-16"/>
          <w:w w:val="105"/>
        </w:rPr>
        <w:t> </w:t>
      </w:r>
      <w:r>
        <w:rPr>
          <w:color w:val="231F20"/>
          <w:w w:val="105"/>
        </w:rPr>
        <w:t>reunirse</w:t>
      </w:r>
      <w:r>
        <w:rPr>
          <w:color w:val="231F20"/>
          <w:spacing w:val="-16"/>
          <w:w w:val="105"/>
        </w:rPr>
        <w:t> </w:t>
      </w:r>
      <w:r>
        <w:rPr>
          <w:color w:val="231F20"/>
          <w:w w:val="105"/>
        </w:rPr>
        <w:t>con su</w:t>
      </w:r>
      <w:r>
        <w:rPr>
          <w:color w:val="231F20"/>
          <w:spacing w:val="-8"/>
          <w:w w:val="105"/>
        </w:rPr>
        <w:t> </w:t>
      </w:r>
      <w:r>
        <w:rPr>
          <w:color w:val="231F20"/>
          <w:w w:val="105"/>
        </w:rPr>
        <w:t>familia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lugar</w:t>
      </w:r>
      <w:r>
        <w:rPr>
          <w:color w:val="231F20"/>
          <w:spacing w:val="-8"/>
          <w:w w:val="105"/>
        </w:rPr>
        <w:t> </w:t>
      </w:r>
      <w:r>
        <w:rPr>
          <w:color w:val="231F20"/>
          <w:w w:val="105"/>
        </w:rPr>
        <w:t>de</w:t>
      </w:r>
      <w:r>
        <w:rPr>
          <w:color w:val="231F20"/>
          <w:spacing w:val="-8"/>
          <w:w w:val="105"/>
        </w:rPr>
        <w:t> </w:t>
      </w:r>
      <w:r>
        <w:rPr>
          <w:color w:val="231F20"/>
          <w:w w:val="105"/>
        </w:rPr>
        <w:t>destino.</w:t>
      </w:r>
      <w:r>
        <w:rPr>
          <w:color w:val="231F20"/>
          <w:spacing w:val="-13"/>
          <w:w w:val="105"/>
        </w:rPr>
        <w:t> </w:t>
      </w:r>
      <w:r>
        <w:rPr>
          <w:color w:val="231F20"/>
          <w:w w:val="105"/>
        </w:rPr>
        <w:t>El</w:t>
      </w:r>
      <w:r>
        <w:rPr>
          <w:color w:val="231F20"/>
          <w:spacing w:val="-8"/>
          <w:w w:val="105"/>
        </w:rPr>
        <w:t> </w:t>
      </w:r>
      <w:r>
        <w:rPr>
          <w:color w:val="231F20"/>
          <w:w w:val="105"/>
        </w:rPr>
        <w:t>motivo</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cual</w:t>
      </w:r>
      <w:r>
        <w:rPr>
          <w:color w:val="231F20"/>
          <w:spacing w:val="-8"/>
          <w:w w:val="105"/>
        </w:rPr>
        <w:t> </w:t>
      </w:r>
      <w:r>
        <w:rPr>
          <w:color w:val="231F20"/>
          <w:w w:val="105"/>
        </w:rPr>
        <w:t>los</w:t>
      </w:r>
      <w:r>
        <w:rPr>
          <w:color w:val="231F20"/>
          <w:spacing w:val="-8"/>
          <w:w w:val="105"/>
        </w:rPr>
        <w:t> </w:t>
      </w:r>
      <w:r>
        <w:rPr>
          <w:color w:val="231F20"/>
          <w:w w:val="105"/>
        </w:rPr>
        <w:t>mexicanos</w:t>
      </w:r>
      <w:r>
        <w:rPr>
          <w:color w:val="231F20"/>
          <w:spacing w:val="-8"/>
          <w:w w:val="105"/>
        </w:rPr>
        <w:t> </w:t>
      </w:r>
      <w:r>
        <w:rPr>
          <w:color w:val="231F20"/>
          <w:w w:val="105"/>
        </w:rPr>
        <w:t>mi- gran sigue siendo</w:t>
      </w:r>
      <w:r>
        <w:rPr>
          <w:color w:val="231F20"/>
          <w:spacing w:val="-38"/>
          <w:w w:val="105"/>
        </w:rPr>
        <w:t> </w:t>
      </w:r>
      <w:r>
        <w:rPr>
          <w:color w:val="231F20"/>
          <w:w w:val="105"/>
        </w:rPr>
        <w:t>laboral.</w:t>
      </w:r>
    </w:p>
    <w:p>
      <w:pPr>
        <w:pStyle w:val="BodyText"/>
        <w:spacing w:line="261" w:lineRule="auto" w:before="1"/>
        <w:ind w:left="1837" w:right="1715" w:firstLine="567"/>
        <w:jc w:val="both"/>
      </w:pPr>
      <w:r>
        <w:rPr/>
        <w:pict>
          <v:line style="position:absolute;mso-position-horizontal-relative:page;mso-position-vertical-relative:paragraph;z-index:-464584" from="15pt,258.857605pt" to="0pt,258.857605pt" stroked="true" strokeweight=".25pt" strokecolor="#000000">
            <w10:wrap type="none"/>
          </v:line>
        </w:pict>
      </w:r>
      <w:r>
        <w:rPr/>
        <w:pict>
          <v:line style="position:absolute;mso-position-horizontal-relative:page;mso-position-vertical-relative:paragraph;z-index:25624" from="508.890015pt,258.857605pt" to="523.890015pt,258.857605pt" stroked="true" strokeweight=".25pt" strokecolor="#000000">
            <w10:wrap type="none"/>
          </v:line>
        </w:pict>
      </w:r>
      <w:r>
        <w:rPr>
          <w:color w:val="231F20"/>
        </w:rPr>
        <w:t>Los desplazamientos unidireccionales México-Estados Unidos, que </w:t>
      </w:r>
      <w:r>
        <w:rPr>
          <w:color w:val="231F20"/>
          <w:w w:val="105"/>
        </w:rPr>
        <w:t>se</w:t>
      </w:r>
      <w:r>
        <w:rPr>
          <w:color w:val="231F20"/>
          <w:spacing w:val="-11"/>
          <w:w w:val="105"/>
        </w:rPr>
        <w:t> </w:t>
      </w:r>
      <w:r>
        <w:rPr>
          <w:color w:val="231F20"/>
          <w:w w:val="105"/>
        </w:rPr>
        <w:t>intensificaron</w:t>
      </w:r>
      <w:r>
        <w:rPr>
          <w:color w:val="231F20"/>
          <w:spacing w:val="-11"/>
          <w:w w:val="105"/>
        </w:rPr>
        <w:t> </w:t>
      </w:r>
      <w:r>
        <w:rPr>
          <w:color w:val="231F20"/>
          <w:w w:val="105"/>
        </w:rPr>
        <w:t>a</w:t>
      </w:r>
      <w:r>
        <w:rPr>
          <w:color w:val="231F20"/>
          <w:spacing w:val="-11"/>
          <w:w w:val="105"/>
        </w:rPr>
        <w:t> </w:t>
      </w:r>
      <w:r>
        <w:rPr>
          <w:color w:val="231F20"/>
          <w:w w:val="105"/>
        </w:rPr>
        <w:t>partir</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década</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noventa</w:t>
      </w:r>
      <w:r>
        <w:rPr>
          <w:color w:val="231F20"/>
          <w:spacing w:val="-11"/>
          <w:w w:val="105"/>
        </w:rPr>
        <w:t> </w:t>
      </w:r>
      <w:r>
        <w:rPr>
          <w:color w:val="231F20"/>
          <w:w w:val="105"/>
        </w:rPr>
        <w:t>(Durand</w:t>
      </w:r>
      <w:r>
        <w:rPr>
          <w:color w:val="231F20"/>
          <w:spacing w:val="-11"/>
          <w:w w:val="105"/>
        </w:rPr>
        <w:t> </w:t>
      </w:r>
      <w:r>
        <w:rPr>
          <w:color w:val="231F20"/>
          <w:w w:val="105"/>
        </w:rPr>
        <w:t>y</w:t>
      </w:r>
      <w:r>
        <w:rPr>
          <w:color w:val="231F20"/>
          <w:spacing w:val="-11"/>
          <w:w w:val="105"/>
        </w:rPr>
        <w:t> </w:t>
      </w:r>
      <w:r>
        <w:rPr>
          <w:color w:val="231F20"/>
          <w:w w:val="105"/>
        </w:rPr>
        <w:t>Massey, 2003), fueron mayoritariamente de carácter no documentado. Este</w:t>
      </w:r>
      <w:r>
        <w:rPr>
          <w:color w:val="231F20"/>
          <w:spacing w:val="-28"/>
          <w:w w:val="105"/>
        </w:rPr>
        <w:t> </w:t>
      </w:r>
      <w:r>
        <w:rPr>
          <w:color w:val="231F20"/>
          <w:w w:val="105"/>
        </w:rPr>
        <w:t>pro- ceso fue facilitado por las redes de cooperación establecidas en uno y otro lado de la frontera; originadas históricamente en el marco del con- venio bilateral de trabajadores temporales conocido como el </w:t>
      </w:r>
      <w:r>
        <w:rPr>
          <w:color w:val="231F20"/>
          <w:spacing w:val="-3"/>
          <w:w w:val="105"/>
        </w:rPr>
        <w:t>Programa </w:t>
      </w:r>
      <w:r>
        <w:rPr>
          <w:color w:val="231F20"/>
          <w:w w:val="105"/>
        </w:rPr>
        <w:t>Bracero, que inició en 1942 y se prolongó hasta 1964. Debido a la</w:t>
      </w:r>
      <w:r>
        <w:rPr>
          <w:color w:val="231F20"/>
          <w:spacing w:val="-23"/>
          <w:w w:val="105"/>
        </w:rPr>
        <w:t> </w:t>
      </w:r>
      <w:r>
        <w:rPr>
          <w:color w:val="231F20"/>
          <w:w w:val="105"/>
        </w:rPr>
        <w:t>rele- vancia</w:t>
      </w:r>
      <w:r>
        <w:rPr>
          <w:color w:val="231F20"/>
          <w:spacing w:val="-13"/>
          <w:w w:val="105"/>
        </w:rPr>
        <w:t> </w:t>
      </w:r>
      <w:r>
        <w:rPr>
          <w:color w:val="231F20"/>
          <w:w w:val="105"/>
        </w:rPr>
        <w:t>sociodemográfica</w:t>
      </w:r>
      <w:r>
        <w:rPr>
          <w:color w:val="231F20"/>
          <w:spacing w:val="-13"/>
          <w:w w:val="105"/>
        </w:rPr>
        <w:t> </w:t>
      </w:r>
      <w:r>
        <w:rPr>
          <w:color w:val="231F20"/>
          <w:w w:val="105"/>
        </w:rPr>
        <w:t>de</w:t>
      </w:r>
      <w:r>
        <w:rPr>
          <w:color w:val="231F20"/>
          <w:spacing w:val="-13"/>
          <w:w w:val="105"/>
        </w:rPr>
        <w:t> </w:t>
      </w:r>
      <w:r>
        <w:rPr>
          <w:color w:val="231F20"/>
          <w:w w:val="105"/>
        </w:rPr>
        <w:t>estos</w:t>
      </w:r>
      <w:r>
        <w:rPr>
          <w:color w:val="231F20"/>
          <w:spacing w:val="-13"/>
          <w:w w:val="105"/>
        </w:rPr>
        <w:t> </w:t>
      </w:r>
      <w:r>
        <w:rPr>
          <w:color w:val="231F20"/>
          <w:w w:val="105"/>
        </w:rPr>
        <w:t>flujos,</w:t>
      </w:r>
      <w:r>
        <w:rPr>
          <w:color w:val="231F20"/>
          <w:spacing w:val="-19"/>
          <w:w w:val="105"/>
        </w:rPr>
        <w:t> </w:t>
      </w:r>
      <w:r>
        <w:rPr>
          <w:color w:val="231F20"/>
          <w:w w:val="105"/>
        </w:rPr>
        <w:t>el</w:t>
      </w:r>
      <w:r>
        <w:rPr>
          <w:color w:val="231F20"/>
          <w:spacing w:val="-13"/>
          <w:w w:val="105"/>
        </w:rPr>
        <w:t> </w:t>
      </w:r>
      <w:r>
        <w:rPr>
          <w:color w:val="231F20"/>
          <w:w w:val="105"/>
        </w:rPr>
        <w:t>interés</w:t>
      </w:r>
      <w:r>
        <w:rPr>
          <w:color w:val="231F20"/>
          <w:spacing w:val="-13"/>
          <w:w w:val="105"/>
        </w:rPr>
        <w:t> </w:t>
      </w:r>
      <w:r>
        <w:rPr>
          <w:color w:val="231F20"/>
          <w:w w:val="105"/>
        </w:rPr>
        <w:t>central</w:t>
      </w:r>
      <w:r>
        <w:rPr>
          <w:color w:val="231F20"/>
          <w:spacing w:val="-13"/>
          <w:w w:val="105"/>
        </w:rPr>
        <w:t> </w:t>
      </w:r>
      <w:r>
        <w:rPr>
          <w:color w:val="231F20"/>
          <w:w w:val="105"/>
        </w:rPr>
        <w:t>fue</w:t>
      </w:r>
      <w:r>
        <w:rPr>
          <w:color w:val="231F20"/>
          <w:spacing w:val="-13"/>
          <w:w w:val="105"/>
        </w:rPr>
        <w:t> </w:t>
      </w:r>
      <w:r>
        <w:rPr>
          <w:color w:val="231F20"/>
          <w:w w:val="105"/>
        </w:rPr>
        <w:t>documen- tar</w:t>
      </w:r>
      <w:r>
        <w:rPr>
          <w:color w:val="231F20"/>
          <w:spacing w:val="-17"/>
          <w:w w:val="105"/>
        </w:rPr>
        <w:t> </w:t>
      </w:r>
      <w:r>
        <w:rPr>
          <w:color w:val="231F20"/>
          <w:w w:val="105"/>
        </w:rPr>
        <w:t>las</w:t>
      </w:r>
      <w:r>
        <w:rPr>
          <w:color w:val="231F20"/>
          <w:spacing w:val="-17"/>
          <w:w w:val="105"/>
        </w:rPr>
        <w:t> </w:t>
      </w:r>
      <w:r>
        <w:rPr>
          <w:color w:val="231F20"/>
          <w:w w:val="105"/>
        </w:rPr>
        <w:t>salidas</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trascendencia</w:t>
      </w:r>
      <w:r>
        <w:rPr>
          <w:color w:val="231F20"/>
          <w:spacing w:val="-17"/>
          <w:w w:val="105"/>
        </w:rPr>
        <w:t> </w:t>
      </w:r>
      <w:r>
        <w:rPr>
          <w:color w:val="231F20"/>
          <w:w w:val="105"/>
        </w:rPr>
        <w:t>socioeconómica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remesas</w:t>
      </w:r>
      <w:r>
        <w:rPr>
          <w:color w:val="231F20"/>
          <w:spacing w:val="-17"/>
          <w:w w:val="105"/>
        </w:rPr>
        <w:t> </w:t>
      </w:r>
      <w:r>
        <w:rPr>
          <w:color w:val="231F20"/>
          <w:w w:val="105"/>
        </w:rPr>
        <w:t>para</w:t>
      </w:r>
      <w:r>
        <w:rPr>
          <w:color w:val="231F20"/>
          <w:spacing w:val="-17"/>
          <w:w w:val="105"/>
        </w:rPr>
        <w:t> </w:t>
      </w:r>
      <w:r>
        <w:rPr>
          <w:color w:val="231F20"/>
          <w:w w:val="105"/>
        </w:rPr>
        <w:t>el desarrollo de los lugares de origen. Este paradigma de cuantificación permaneció en el estudio de los retornos migratorios, el cual atrajo in- terés tras la crisis de 2007 y 2008 que alteró las economías de</w:t>
      </w:r>
      <w:r>
        <w:rPr>
          <w:color w:val="231F20"/>
          <w:spacing w:val="-40"/>
          <w:w w:val="105"/>
        </w:rPr>
        <w:t> </w:t>
      </w:r>
      <w:r>
        <w:rPr>
          <w:color w:val="231F20"/>
          <w:w w:val="105"/>
        </w:rPr>
        <w:t>Estados Unidos y Europa. Este desequilibrio generó preocupación de regresos masivos de migrantes laborales. Hasta entonces, el análisis del</w:t>
      </w:r>
      <w:r>
        <w:rPr>
          <w:color w:val="231F20"/>
          <w:spacing w:val="-36"/>
          <w:w w:val="105"/>
        </w:rPr>
        <w:t> </w:t>
      </w:r>
      <w:r>
        <w:rPr>
          <w:color w:val="231F20"/>
          <w:w w:val="105"/>
        </w:rPr>
        <w:t>retorno</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right"/>
      </w:pPr>
      <w:r>
        <w:rPr/>
        <w:pict>
          <v:line style="position:absolute;mso-position-horizontal-relative:page;mso-position-vertical-relative:paragraph;z-index:25696" from="15pt,-71.68644pt" to="0pt,-71.68644pt" stroked="true" strokeweight=".25pt" strokecolor="#000000">
            <w10:wrap type="none"/>
          </v:line>
        </w:pict>
      </w:r>
      <w:r>
        <w:rPr/>
        <w:pict>
          <v:line style="position:absolute;mso-position-horizontal-relative:page;mso-position-vertical-relative:paragraph;z-index:25720" from="508.890015pt,-71.68644pt" to="523.890015pt,-71.68644pt" stroked="true" strokeweight=".25pt" strokecolor="#000000">
            <w10:wrap type="none"/>
          </v:line>
        </w:pict>
      </w:r>
      <w:r>
        <w:rPr>
          <w:color w:val="231F20"/>
          <w:w w:val="105"/>
        </w:rPr>
        <w:t>respondía a una visión lineal que lo consideraba como “una</w:t>
      </w:r>
      <w:r>
        <w:rPr>
          <w:color w:val="231F20"/>
          <w:spacing w:val="51"/>
          <w:w w:val="105"/>
        </w:rPr>
        <w:t> </w:t>
      </w:r>
      <w:r>
        <w:rPr>
          <w:color w:val="231F20"/>
          <w:w w:val="105"/>
        </w:rPr>
        <w:t>forma</w:t>
      </w:r>
      <w:r>
        <w:rPr>
          <w:color w:val="231F20"/>
          <w:spacing w:val="16"/>
          <w:w w:val="105"/>
        </w:rPr>
        <w:t> </w:t>
      </w:r>
      <w:r>
        <w:rPr>
          <w:color w:val="231F20"/>
          <w:w w:val="105"/>
        </w:rPr>
        <w:t>de</w:t>
      </w:r>
      <w:r>
        <w:rPr>
          <w:color w:val="231F20"/>
          <w:w w:val="108"/>
        </w:rPr>
        <w:t> </w:t>
      </w:r>
      <w:r>
        <w:rPr>
          <w:color w:val="231F20"/>
          <w:w w:val="105"/>
        </w:rPr>
        <w:t>movilidad</w:t>
      </w:r>
      <w:r>
        <w:rPr>
          <w:color w:val="231F20"/>
          <w:spacing w:val="-11"/>
          <w:w w:val="105"/>
        </w:rPr>
        <w:t> </w:t>
      </w:r>
      <w:r>
        <w:rPr>
          <w:color w:val="231F20"/>
          <w:w w:val="105"/>
        </w:rPr>
        <w:t>de</w:t>
      </w:r>
      <w:r>
        <w:rPr>
          <w:color w:val="231F20"/>
          <w:spacing w:val="-11"/>
          <w:w w:val="105"/>
        </w:rPr>
        <w:t> </w:t>
      </w:r>
      <w:r>
        <w:rPr>
          <w:color w:val="231F20"/>
          <w:w w:val="105"/>
        </w:rPr>
        <w:t>migrantes</w:t>
      </w:r>
      <w:r>
        <w:rPr>
          <w:color w:val="231F20"/>
          <w:spacing w:val="-11"/>
          <w:w w:val="105"/>
        </w:rPr>
        <w:t> </w:t>
      </w:r>
      <w:r>
        <w:rPr>
          <w:color w:val="231F20"/>
          <w:w w:val="105"/>
        </w:rPr>
        <w:t>hacia</w:t>
      </w:r>
      <w:r>
        <w:rPr>
          <w:color w:val="231F20"/>
          <w:spacing w:val="-11"/>
          <w:w w:val="105"/>
        </w:rPr>
        <w:t> </w:t>
      </w:r>
      <w:r>
        <w:rPr>
          <w:color w:val="231F20"/>
          <w:w w:val="105"/>
        </w:rPr>
        <w:t>sus</w:t>
      </w:r>
      <w:r>
        <w:rPr>
          <w:color w:val="231F20"/>
          <w:spacing w:val="-11"/>
          <w:w w:val="105"/>
        </w:rPr>
        <w:t> </w:t>
      </w:r>
      <w:r>
        <w:rPr>
          <w:color w:val="231F20"/>
          <w:w w:val="105"/>
        </w:rPr>
        <w:t>lugares</w:t>
      </w:r>
      <w:r>
        <w:rPr>
          <w:color w:val="231F20"/>
          <w:spacing w:val="-11"/>
          <w:w w:val="105"/>
        </w:rPr>
        <w:t> </w:t>
      </w:r>
      <w:r>
        <w:rPr>
          <w:color w:val="231F20"/>
          <w:w w:val="105"/>
        </w:rPr>
        <w:t>de</w:t>
      </w:r>
      <w:r>
        <w:rPr>
          <w:color w:val="231F20"/>
          <w:spacing w:val="-11"/>
          <w:w w:val="105"/>
        </w:rPr>
        <w:t> </w:t>
      </w:r>
      <w:r>
        <w:rPr>
          <w:color w:val="231F20"/>
          <w:w w:val="105"/>
        </w:rPr>
        <w:t>origen</w:t>
      </w:r>
      <w:r>
        <w:rPr>
          <w:color w:val="231F20"/>
          <w:spacing w:val="-11"/>
          <w:w w:val="105"/>
        </w:rPr>
        <w:t> </w:t>
      </w:r>
      <w:r>
        <w:rPr>
          <w:color w:val="231F20"/>
          <w:w w:val="105"/>
        </w:rPr>
        <w:t>con</w:t>
      </w:r>
      <w:r>
        <w:rPr>
          <w:color w:val="231F20"/>
          <w:spacing w:val="-11"/>
          <w:w w:val="105"/>
        </w:rPr>
        <w:t> </w:t>
      </w:r>
      <w:r>
        <w:rPr>
          <w:color w:val="231F20"/>
          <w:w w:val="105"/>
        </w:rPr>
        <w:t>miras</w:t>
      </w:r>
      <w:r>
        <w:rPr>
          <w:color w:val="231F20"/>
          <w:spacing w:val="-11"/>
          <w:w w:val="105"/>
        </w:rPr>
        <w:t> </w:t>
      </w:r>
      <w:r>
        <w:rPr>
          <w:color w:val="231F20"/>
          <w:w w:val="105"/>
        </w:rPr>
        <w:t>a</w:t>
      </w:r>
      <w:r>
        <w:rPr>
          <w:color w:val="231F20"/>
          <w:spacing w:val="-11"/>
          <w:w w:val="105"/>
        </w:rPr>
        <w:t> </w:t>
      </w:r>
      <w:r>
        <w:rPr>
          <w:color w:val="231F20"/>
          <w:w w:val="105"/>
        </w:rPr>
        <w:t>volver</w:t>
      </w:r>
      <w:r>
        <w:rPr>
          <w:color w:val="231F20"/>
          <w:spacing w:val="-11"/>
          <w:w w:val="105"/>
        </w:rPr>
        <w:t> </w:t>
      </w:r>
      <w:r>
        <w:rPr>
          <w:color w:val="231F20"/>
          <w:w w:val="105"/>
        </w:rPr>
        <w:t>a</w:t>
      </w:r>
      <w:r>
        <w:rPr>
          <w:color w:val="231F20"/>
          <w:w w:val="96"/>
        </w:rPr>
        <w:t> </w:t>
      </w:r>
      <w:r>
        <w:rPr>
          <w:color w:val="231F20"/>
          <w:w w:val="105"/>
        </w:rPr>
        <w:t>establecerse</w:t>
      </w:r>
      <w:r>
        <w:rPr>
          <w:color w:val="231F20"/>
          <w:spacing w:val="-25"/>
          <w:w w:val="105"/>
        </w:rPr>
        <w:t> </w:t>
      </w:r>
      <w:r>
        <w:rPr>
          <w:color w:val="231F20"/>
          <w:w w:val="105"/>
        </w:rPr>
        <w:t>ahí,</w:t>
      </w:r>
      <w:r>
        <w:rPr>
          <w:color w:val="231F20"/>
          <w:spacing w:val="-29"/>
          <w:w w:val="105"/>
        </w:rPr>
        <w:t> </w:t>
      </w:r>
      <w:r>
        <w:rPr>
          <w:color w:val="231F20"/>
          <w:w w:val="105"/>
        </w:rPr>
        <w:t>o</w:t>
      </w:r>
      <w:r>
        <w:rPr>
          <w:color w:val="231F20"/>
          <w:spacing w:val="-25"/>
          <w:w w:val="105"/>
        </w:rPr>
        <w:t> </w:t>
      </w:r>
      <w:r>
        <w:rPr>
          <w:color w:val="231F20"/>
          <w:w w:val="105"/>
        </w:rPr>
        <w:t>bien</w:t>
      </w:r>
      <w:r>
        <w:rPr>
          <w:color w:val="231F20"/>
          <w:spacing w:val="-25"/>
          <w:w w:val="105"/>
        </w:rPr>
        <w:t> </w:t>
      </w:r>
      <w:r>
        <w:rPr>
          <w:color w:val="231F20"/>
          <w:w w:val="105"/>
        </w:rPr>
        <w:t>para</w:t>
      </w:r>
      <w:r>
        <w:rPr>
          <w:color w:val="231F20"/>
          <w:spacing w:val="-25"/>
          <w:w w:val="105"/>
        </w:rPr>
        <w:t> </w:t>
      </w:r>
      <w:r>
        <w:rPr>
          <w:color w:val="231F20"/>
          <w:w w:val="105"/>
        </w:rPr>
        <w:t>finalizar</w:t>
      </w:r>
      <w:r>
        <w:rPr>
          <w:color w:val="231F20"/>
          <w:spacing w:val="-25"/>
          <w:w w:val="105"/>
        </w:rPr>
        <w:t> </w:t>
      </w:r>
      <w:r>
        <w:rPr>
          <w:color w:val="231F20"/>
          <w:w w:val="105"/>
        </w:rPr>
        <w:t>el</w:t>
      </w:r>
      <w:r>
        <w:rPr>
          <w:color w:val="231F20"/>
          <w:spacing w:val="-25"/>
          <w:w w:val="105"/>
        </w:rPr>
        <w:t> </w:t>
      </w:r>
      <w:r>
        <w:rPr>
          <w:color w:val="231F20"/>
          <w:w w:val="105"/>
        </w:rPr>
        <w:t>ciclo</w:t>
      </w:r>
      <w:r>
        <w:rPr>
          <w:color w:val="231F20"/>
          <w:spacing w:val="-25"/>
          <w:w w:val="105"/>
        </w:rPr>
        <w:t> </w:t>
      </w:r>
      <w:r>
        <w:rPr>
          <w:color w:val="231F20"/>
          <w:w w:val="105"/>
        </w:rPr>
        <w:t>migratorio”</w:t>
      </w:r>
      <w:r>
        <w:rPr>
          <w:color w:val="231F20"/>
          <w:spacing w:val="-25"/>
          <w:w w:val="105"/>
        </w:rPr>
        <w:t> </w:t>
      </w:r>
      <w:r>
        <w:rPr>
          <w:color w:val="231F20"/>
          <w:w w:val="105"/>
        </w:rPr>
        <w:t>(Hirai,</w:t>
      </w:r>
      <w:r>
        <w:rPr>
          <w:color w:val="231F20"/>
          <w:spacing w:val="-29"/>
          <w:w w:val="105"/>
        </w:rPr>
        <w:t> </w:t>
      </w:r>
      <w:r>
        <w:rPr>
          <w:color w:val="231F20"/>
          <w:w w:val="105"/>
        </w:rPr>
        <w:t>2013:</w:t>
      </w:r>
      <w:r>
        <w:rPr>
          <w:color w:val="231F20"/>
          <w:spacing w:val="-25"/>
          <w:w w:val="105"/>
        </w:rPr>
        <w:t> </w:t>
      </w:r>
      <w:r>
        <w:rPr>
          <w:color w:val="231F20"/>
          <w:w w:val="105"/>
        </w:rPr>
        <w:t>95).</w:t>
      </w:r>
      <w:r>
        <w:rPr>
          <w:color w:val="231F20"/>
          <w:w w:val="99"/>
        </w:rPr>
        <w:t> </w:t>
      </w:r>
      <w:r>
        <w:rPr>
          <w:color w:val="231F20"/>
          <w:w w:val="105"/>
        </w:rPr>
        <w:t>Entendido como subproceso del proceso</w:t>
      </w:r>
      <w:r>
        <w:rPr>
          <w:color w:val="231F20"/>
          <w:spacing w:val="17"/>
          <w:w w:val="105"/>
        </w:rPr>
        <w:t> </w:t>
      </w:r>
      <w:r>
        <w:rPr>
          <w:color w:val="231F20"/>
          <w:w w:val="105"/>
        </w:rPr>
        <w:t>migratorio,</w:t>
      </w:r>
      <w:r>
        <w:rPr>
          <w:color w:val="231F20"/>
          <w:spacing w:val="44"/>
          <w:w w:val="105"/>
        </w:rPr>
        <w:t> </w:t>
      </w:r>
      <w:r>
        <w:rPr>
          <w:color w:val="231F20"/>
          <w:w w:val="105"/>
        </w:rPr>
        <w:t>histórica-</w:t>
      </w:r>
      <w:r>
        <w:rPr>
          <w:color w:val="231F20"/>
          <w:w w:val="96"/>
        </w:rPr>
        <w:t> </w:t>
      </w:r>
      <w:r>
        <w:rPr>
          <w:color w:val="231F20"/>
          <w:w w:val="105"/>
        </w:rPr>
        <w:t>mente el retorno se abordó en la misma lógica que éste.</w:t>
      </w:r>
      <w:r>
        <w:rPr>
          <w:color w:val="231F20"/>
          <w:spacing w:val="2"/>
          <w:w w:val="105"/>
        </w:rPr>
        <w:t> </w:t>
      </w:r>
      <w:r>
        <w:rPr>
          <w:color w:val="231F20"/>
          <w:w w:val="105"/>
        </w:rPr>
        <w:t>Sin</w:t>
      </w:r>
      <w:r>
        <w:rPr>
          <w:color w:val="231F20"/>
          <w:spacing w:val="6"/>
          <w:w w:val="105"/>
        </w:rPr>
        <w:t> </w:t>
      </w:r>
      <w:r>
        <w:rPr>
          <w:color w:val="231F20"/>
          <w:w w:val="105"/>
        </w:rPr>
        <w:t>embargo,</w:t>
      </w:r>
      <w:r>
        <w:rPr>
          <w:color w:val="231F20"/>
          <w:w w:val="93"/>
        </w:rPr>
        <w:t> </w:t>
      </w:r>
      <w:r>
        <w:rPr>
          <w:color w:val="231F20"/>
          <w:w w:val="105"/>
        </w:rPr>
        <w:t>las</w:t>
      </w:r>
      <w:r>
        <w:rPr>
          <w:color w:val="231F20"/>
          <w:spacing w:val="-14"/>
          <w:w w:val="105"/>
        </w:rPr>
        <w:t> </w:t>
      </w:r>
      <w:r>
        <w:rPr>
          <w:color w:val="231F20"/>
          <w:w w:val="105"/>
        </w:rPr>
        <w:t>diversas</w:t>
      </w:r>
      <w:r>
        <w:rPr>
          <w:color w:val="231F20"/>
          <w:spacing w:val="-14"/>
          <w:w w:val="105"/>
        </w:rPr>
        <w:t> </w:t>
      </w:r>
      <w:r>
        <w:rPr>
          <w:color w:val="231F20"/>
          <w:w w:val="105"/>
        </w:rPr>
        <w:t>perspectivas</w:t>
      </w:r>
      <w:r>
        <w:rPr>
          <w:color w:val="231F20"/>
          <w:spacing w:val="-14"/>
          <w:w w:val="105"/>
        </w:rPr>
        <w:t> </w:t>
      </w:r>
      <w:r>
        <w:rPr>
          <w:color w:val="231F20"/>
          <w:w w:val="105"/>
        </w:rPr>
        <w:t>teóricas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estudios</w:t>
      </w:r>
      <w:r>
        <w:rPr>
          <w:color w:val="231F20"/>
          <w:spacing w:val="-14"/>
          <w:w w:val="105"/>
        </w:rPr>
        <w:t> </w:t>
      </w:r>
      <w:r>
        <w:rPr>
          <w:color w:val="231F20"/>
          <w:w w:val="105"/>
        </w:rPr>
        <w:t>migratorios</w:t>
      </w:r>
      <w:r>
        <w:rPr>
          <w:color w:val="231F20"/>
          <w:spacing w:val="-14"/>
          <w:w w:val="105"/>
        </w:rPr>
        <w:t> </w:t>
      </w:r>
      <w:r>
        <w:rPr>
          <w:color w:val="231F20"/>
          <w:w w:val="105"/>
        </w:rPr>
        <w:t>no</w:t>
      </w:r>
      <w:r>
        <w:rPr>
          <w:color w:val="231F20"/>
          <w:spacing w:val="-14"/>
          <w:w w:val="105"/>
        </w:rPr>
        <w:t> </w:t>
      </w:r>
      <w:r>
        <w:rPr>
          <w:color w:val="231F20"/>
          <w:w w:val="105"/>
        </w:rPr>
        <w:t>profun-</w:t>
      </w:r>
      <w:r>
        <w:rPr>
          <w:color w:val="231F20"/>
          <w:w w:val="96"/>
        </w:rPr>
        <w:t> </w:t>
      </w:r>
      <w:r>
        <w:rPr>
          <w:color w:val="231F20"/>
          <w:w w:val="105"/>
        </w:rPr>
        <w:t>dizaron</w:t>
      </w:r>
      <w:r>
        <w:rPr>
          <w:color w:val="231F20"/>
          <w:spacing w:val="-11"/>
          <w:w w:val="105"/>
        </w:rPr>
        <w:t> </w:t>
      </w:r>
      <w:r>
        <w:rPr>
          <w:color w:val="231F20"/>
          <w:w w:val="105"/>
        </w:rPr>
        <w:t>en</w:t>
      </w:r>
      <w:r>
        <w:rPr>
          <w:color w:val="231F20"/>
          <w:spacing w:val="-11"/>
          <w:w w:val="105"/>
        </w:rPr>
        <w:t> </w:t>
      </w:r>
      <w:r>
        <w:rPr>
          <w:color w:val="231F20"/>
          <w:w w:val="105"/>
        </w:rPr>
        <w:t>él</w:t>
      </w:r>
      <w:r>
        <w:rPr>
          <w:color w:val="231F20"/>
          <w:spacing w:val="-11"/>
          <w:w w:val="105"/>
        </w:rPr>
        <w:t> </w:t>
      </w:r>
      <w:r>
        <w:rPr>
          <w:color w:val="231F20"/>
          <w:w w:val="105"/>
        </w:rPr>
        <w:t>por</w:t>
      </w:r>
      <w:r>
        <w:rPr>
          <w:color w:val="231F20"/>
          <w:spacing w:val="-11"/>
          <w:w w:val="105"/>
        </w:rPr>
        <w:t> </w:t>
      </w:r>
      <w:r>
        <w:rPr>
          <w:color w:val="231F20"/>
          <w:w w:val="105"/>
        </w:rPr>
        <w:t>considerarlo</w:t>
      </w:r>
      <w:r>
        <w:rPr>
          <w:color w:val="231F20"/>
          <w:spacing w:val="-11"/>
          <w:w w:val="105"/>
        </w:rPr>
        <w:t> </w:t>
      </w:r>
      <w:r>
        <w:rPr>
          <w:color w:val="231F20"/>
          <w:w w:val="105"/>
        </w:rPr>
        <w:t>el</w:t>
      </w:r>
      <w:r>
        <w:rPr>
          <w:color w:val="231F20"/>
          <w:spacing w:val="-11"/>
          <w:w w:val="105"/>
        </w:rPr>
        <w:t> </w:t>
      </w:r>
      <w:r>
        <w:rPr>
          <w:color w:val="231F20"/>
          <w:w w:val="105"/>
        </w:rPr>
        <w:t>momento</w:t>
      </w:r>
      <w:r>
        <w:rPr>
          <w:color w:val="231F20"/>
          <w:spacing w:val="-11"/>
          <w:w w:val="105"/>
        </w:rPr>
        <w:t> </w:t>
      </w:r>
      <w:r>
        <w:rPr>
          <w:color w:val="231F20"/>
          <w:w w:val="105"/>
        </w:rPr>
        <w:t>en</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proyecto</w:t>
      </w:r>
      <w:r>
        <w:rPr>
          <w:color w:val="231F20"/>
          <w:spacing w:val="-11"/>
          <w:w w:val="105"/>
        </w:rPr>
        <w:t> </w:t>
      </w:r>
      <w:r>
        <w:rPr>
          <w:color w:val="231F20"/>
          <w:w w:val="105"/>
        </w:rPr>
        <w:t>migratorio</w:t>
      </w:r>
      <w:r>
        <w:rPr>
          <w:color w:val="231F20"/>
          <w:w w:val="110"/>
        </w:rPr>
        <w:t> </w:t>
      </w:r>
      <w:r>
        <w:rPr>
          <w:color w:val="231F20"/>
          <w:w w:val="105"/>
        </w:rPr>
        <w:t>culmina y se da por terminado el ciclo de movilidad. Luego</w:t>
      </w:r>
      <w:r>
        <w:rPr>
          <w:color w:val="231F20"/>
          <w:spacing w:val="33"/>
          <w:w w:val="105"/>
        </w:rPr>
        <w:t> </w:t>
      </w:r>
      <w:r>
        <w:rPr>
          <w:color w:val="231F20"/>
          <w:w w:val="105"/>
        </w:rPr>
        <w:t>de</w:t>
      </w:r>
      <w:r>
        <w:rPr>
          <w:color w:val="231F20"/>
          <w:spacing w:val="3"/>
          <w:w w:val="105"/>
        </w:rPr>
        <w:t> </w:t>
      </w:r>
      <w:r>
        <w:rPr>
          <w:color w:val="231F20"/>
          <w:w w:val="105"/>
        </w:rPr>
        <w:t>explorar</w:t>
      </w:r>
      <w:r>
        <w:rPr>
          <w:color w:val="231F20"/>
          <w:w w:val="100"/>
        </w:rPr>
        <w:t> </w:t>
      </w:r>
      <w:r>
        <w:rPr>
          <w:color w:val="231F20"/>
          <w:w w:val="105"/>
        </w:rPr>
        <w:t>la trascendencia de la migración como experiencia de vida y</w:t>
      </w:r>
      <w:r>
        <w:rPr>
          <w:color w:val="231F20"/>
          <w:spacing w:val="35"/>
          <w:w w:val="105"/>
        </w:rPr>
        <w:t> </w:t>
      </w:r>
      <w:r>
        <w:rPr>
          <w:color w:val="231F20"/>
          <w:w w:val="105"/>
        </w:rPr>
        <w:t>las</w:t>
      </w:r>
      <w:r>
        <w:rPr>
          <w:color w:val="231F20"/>
          <w:spacing w:val="3"/>
          <w:w w:val="105"/>
        </w:rPr>
        <w:t> </w:t>
      </w:r>
      <w:r>
        <w:rPr>
          <w:color w:val="231F20"/>
          <w:w w:val="105"/>
        </w:rPr>
        <w:t>reper-</w:t>
      </w:r>
      <w:r>
        <w:rPr>
          <w:color w:val="231F20"/>
          <w:w w:val="96"/>
        </w:rPr>
        <w:t> </w:t>
      </w:r>
      <w:r>
        <w:rPr>
          <w:color w:val="231F20"/>
          <w:w w:val="105"/>
        </w:rPr>
        <w:t>cusiones</w:t>
      </w:r>
      <w:r>
        <w:rPr>
          <w:color w:val="231F20"/>
          <w:spacing w:val="-19"/>
          <w:w w:val="105"/>
        </w:rPr>
        <w:t> </w:t>
      </w:r>
      <w:r>
        <w:rPr>
          <w:color w:val="231F20"/>
          <w:w w:val="105"/>
        </w:rPr>
        <w:t>que</w:t>
      </w:r>
      <w:r>
        <w:rPr>
          <w:color w:val="231F20"/>
          <w:spacing w:val="-19"/>
          <w:w w:val="105"/>
        </w:rPr>
        <w:t> </w:t>
      </w:r>
      <w:r>
        <w:rPr>
          <w:color w:val="231F20"/>
          <w:w w:val="105"/>
        </w:rPr>
        <w:t>origina</w:t>
      </w:r>
      <w:r>
        <w:rPr>
          <w:color w:val="231F20"/>
          <w:spacing w:val="-19"/>
          <w:w w:val="105"/>
        </w:rPr>
        <w:t> </w:t>
      </w:r>
      <w:r>
        <w:rPr>
          <w:color w:val="231F20"/>
          <w:w w:val="105"/>
        </w:rPr>
        <w:t>en</w:t>
      </w:r>
      <w:r>
        <w:rPr>
          <w:color w:val="231F20"/>
          <w:spacing w:val="-19"/>
          <w:w w:val="105"/>
        </w:rPr>
        <w:t> </w:t>
      </w:r>
      <w:r>
        <w:rPr>
          <w:color w:val="231F20"/>
          <w:w w:val="105"/>
        </w:rPr>
        <w:t>las</w:t>
      </w:r>
      <w:r>
        <w:rPr>
          <w:color w:val="231F20"/>
          <w:spacing w:val="-19"/>
          <w:w w:val="105"/>
        </w:rPr>
        <w:t> </w:t>
      </w:r>
      <w:r>
        <w:rPr>
          <w:color w:val="231F20"/>
          <w:w w:val="105"/>
        </w:rPr>
        <w:t>personas</w:t>
      </w:r>
      <w:r>
        <w:rPr>
          <w:color w:val="231F20"/>
          <w:spacing w:val="-19"/>
          <w:w w:val="105"/>
        </w:rPr>
        <w:t> </w:t>
      </w:r>
      <w:r>
        <w:rPr>
          <w:color w:val="231F20"/>
          <w:w w:val="105"/>
        </w:rPr>
        <w:t>y</w:t>
      </w:r>
      <w:r>
        <w:rPr>
          <w:color w:val="231F20"/>
          <w:spacing w:val="-19"/>
          <w:w w:val="105"/>
        </w:rPr>
        <w:t> </w:t>
      </w:r>
      <w:r>
        <w:rPr>
          <w:color w:val="231F20"/>
          <w:w w:val="105"/>
        </w:rPr>
        <w:t>sus</w:t>
      </w:r>
      <w:r>
        <w:rPr>
          <w:color w:val="231F20"/>
          <w:spacing w:val="-19"/>
          <w:w w:val="105"/>
        </w:rPr>
        <w:t> </w:t>
      </w:r>
      <w:r>
        <w:rPr>
          <w:color w:val="231F20"/>
          <w:w w:val="105"/>
        </w:rPr>
        <w:t>espacios</w:t>
      </w:r>
      <w:r>
        <w:rPr>
          <w:color w:val="231F20"/>
          <w:spacing w:val="-19"/>
          <w:w w:val="105"/>
        </w:rPr>
        <w:t> </w:t>
      </w:r>
      <w:r>
        <w:rPr>
          <w:color w:val="231F20"/>
          <w:w w:val="105"/>
        </w:rPr>
        <w:t>sociales,</w:t>
      </w:r>
      <w:r>
        <w:rPr>
          <w:color w:val="231F20"/>
          <w:w w:val="105"/>
          <w:position w:val="7"/>
          <w:sz w:val="12"/>
        </w:rPr>
        <w:t>2</w:t>
      </w:r>
      <w:r>
        <w:rPr>
          <w:color w:val="231F20"/>
          <w:spacing w:val="6"/>
          <w:w w:val="105"/>
          <w:position w:val="7"/>
          <w:sz w:val="12"/>
        </w:rPr>
        <w:t> </w:t>
      </w:r>
      <w:r>
        <w:rPr>
          <w:color w:val="231F20"/>
          <w:w w:val="105"/>
        </w:rPr>
        <w:t>el</w:t>
      </w:r>
      <w:r>
        <w:rPr>
          <w:color w:val="231F20"/>
          <w:spacing w:val="-19"/>
          <w:w w:val="105"/>
        </w:rPr>
        <w:t> </w:t>
      </w:r>
      <w:r>
        <w:rPr>
          <w:color w:val="231F20"/>
          <w:w w:val="105"/>
        </w:rPr>
        <w:t>retorno</w:t>
      </w:r>
      <w:r>
        <w:rPr>
          <w:color w:val="231F20"/>
          <w:w w:val="107"/>
        </w:rPr>
        <w:t> </w:t>
      </w:r>
      <w:r>
        <w:rPr>
          <w:color w:val="231F20"/>
          <w:w w:val="105"/>
        </w:rPr>
        <w:t>adquirió</w:t>
      </w:r>
      <w:r>
        <w:rPr>
          <w:color w:val="231F20"/>
          <w:spacing w:val="-7"/>
          <w:w w:val="105"/>
        </w:rPr>
        <w:t> </w:t>
      </w:r>
      <w:r>
        <w:rPr>
          <w:color w:val="231F20"/>
          <w:w w:val="105"/>
        </w:rPr>
        <w:t>relevancia</w:t>
      </w:r>
      <w:r>
        <w:rPr>
          <w:color w:val="231F20"/>
          <w:spacing w:val="-7"/>
          <w:w w:val="105"/>
        </w:rPr>
        <w:t> </w:t>
      </w:r>
      <w:r>
        <w:rPr>
          <w:color w:val="231F20"/>
          <w:w w:val="105"/>
        </w:rPr>
        <w:t>al</w:t>
      </w:r>
      <w:r>
        <w:rPr>
          <w:color w:val="231F20"/>
          <w:spacing w:val="-7"/>
          <w:w w:val="105"/>
        </w:rPr>
        <w:t> </w:t>
      </w:r>
      <w:r>
        <w:rPr>
          <w:color w:val="231F20"/>
          <w:w w:val="105"/>
        </w:rPr>
        <w:t>reconocer</w:t>
      </w:r>
      <w:r>
        <w:rPr>
          <w:color w:val="231F20"/>
          <w:spacing w:val="-7"/>
          <w:w w:val="105"/>
        </w:rPr>
        <w:t> </w:t>
      </w:r>
      <w:r>
        <w:rPr>
          <w:color w:val="231F20"/>
          <w:w w:val="105"/>
        </w:rPr>
        <w:t>que</w:t>
      </w:r>
      <w:r>
        <w:rPr>
          <w:color w:val="231F20"/>
          <w:spacing w:val="-7"/>
          <w:w w:val="105"/>
        </w:rPr>
        <w:t> </w:t>
      </w:r>
      <w:r>
        <w:rPr>
          <w:color w:val="231F20"/>
          <w:w w:val="105"/>
        </w:rPr>
        <w:t>los</w:t>
      </w:r>
      <w:r>
        <w:rPr>
          <w:color w:val="231F20"/>
          <w:spacing w:val="-7"/>
          <w:w w:val="105"/>
        </w:rPr>
        <w:t> </w:t>
      </w:r>
      <w:r>
        <w:rPr>
          <w:color w:val="231F20"/>
          <w:w w:val="105"/>
        </w:rPr>
        <w:t>migrantes</w:t>
      </w:r>
      <w:r>
        <w:rPr>
          <w:color w:val="231F20"/>
          <w:spacing w:val="-7"/>
          <w:w w:val="105"/>
        </w:rPr>
        <w:t> </w:t>
      </w:r>
      <w:r>
        <w:rPr>
          <w:color w:val="231F20"/>
          <w:w w:val="105"/>
        </w:rPr>
        <w:t>“retornados</w:t>
      </w:r>
      <w:r>
        <w:rPr>
          <w:color w:val="231F20"/>
          <w:spacing w:val="-7"/>
          <w:w w:val="105"/>
        </w:rPr>
        <w:t> </w:t>
      </w:r>
      <w:r>
        <w:rPr>
          <w:color w:val="231F20"/>
          <w:w w:val="105"/>
        </w:rPr>
        <w:t>son</w:t>
      </w:r>
      <w:r>
        <w:rPr>
          <w:color w:val="231F20"/>
          <w:spacing w:val="-7"/>
          <w:w w:val="105"/>
        </w:rPr>
        <w:t> </w:t>
      </w:r>
      <w:r>
        <w:rPr>
          <w:color w:val="231F20"/>
          <w:w w:val="105"/>
        </w:rPr>
        <w:t>per-</w:t>
      </w:r>
      <w:r>
        <w:rPr>
          <w:color w:val="231F20"/>
          <w:w w:val="96"/>
        </w:rPr>
        <w:t> </w:t>
      </w:r>
      <w:r>
        <w:rPr>
          <w:color w:val="231F20"/>
          <w:w w:val="105"/>
        </w:rPr>
        <w:t>sonas con experiencias, mentalidades y activos diferentes,</w:t>
      </w:r>
      <w:r>
        <w:rPr>
          <w:color w:val="231F20"/>
          <w:spacing w:val="-42"/>
          <w:w w:val="105"/>
        </w:rPr>
        <w:t> </w:t>
      </w:r>
      <w:r>
        <w:rPr>
          <w:color w:val="231F20"/>
          <w:w w:val="105"/>
        </w:rPr>
        <w:t>que</w:t>
      </w:r>
      <w:r>
        <w:rPr>
          <w:color w:val="231F20"/>
          <w:spacing w:val="-5"/>
          <w:w w:val="105"/>
        </w:rPr>
        <w:t> </w:t>
      </w:r>
      <w:r>
        <w:rPr>
          <w:color w:val="231F20"/>
          <w:w w:val="105"/>
        </w:rPr>
        <w:t>pueden</w:t>
      </w:r>
      <w:r>
        <w:rPr>
          <w:color w:val="231F20"/>
          <w:w w:val="107"/>
        </w:rPr>
        <w:t> </w:t>
      </w:r>
      <w:r>
        <w:rPr>
          <w:color w:val="231F20"/>
          <w:w w:val="105"/>
        </w:rPr>
        <w:t>aportar</w:t>
      </w:r>
      <w:r>
        <w:rPr>
          <w:color w:val="231F20"/>
          <w:spacing w:val="-20"/>
          <w:w w:val="105"/>
        </w:rPr>
        <w:t> </w:t>
      </w:r>
      <w:r>
        <w:rPr>
          <w:color w:val="231F20"/>
          <w:w w:val="105"/>
        </w:rPr>
        <w:t>en</w:t>
      </w:r>
      <w:r>
        <w:rPr>
          <w:color w:val="231F20"/>
          <w:spacing w:val="-20"/>
          <w:w w:val="105"/>
        </w:rPr>
        <w:t> </w:t>
      </w:r>
      <w:r>
        <w:rPr>
          <w:color w:val="231F20"/>
          <w:w w:val="105"/>
        </w:rPr>
        <w:t>lo</w:t>
      </w:r>
      <w:r>
        <w:rPr>
          <w:color w:val="231F20"/>
          <w:spacing w:val="-20"/>
          <w:w w:val="105"/>
        </w:rPr>
        <w:t> </w:t>
      </w:r>
      <w:r>
        <w:rPr>
          <w:color w:val="231F20"/>
          <w:w w:val="105"/>
        </w:rPr>
        <w:t>económico</w:t>
      </w:r>
      <w:r>
        <w:rPr>
          <w:color w:val="231F20"/>
          <w:spacing w:val="-20"/>
          <w:w w:val="105"/>
        </w:rPr>
        <w:t> </w:t>
      </w:r>
      <w:r>
        <w:rPr>
          <w:color w:val="231F20"/>
          <w:w w:val="105"/>
        </w:rPr>
        <w:t>y</w:t>
      </w:r>
      <w:r>
        <w:rPr>
          <w:color w:val="231F20"/>
          <w:spacing w:val="-20"/>
          <w:w w:val="105"/>
        </w:rPr>
        <w:t> </w:t>
      </w:r>
      <w:r>
        <w:rPr>
          <w:color w:val="231F20"/>
          <w:w w:val="105"/>
        </w:rPr>
        <w:t>en</w:t>
      </w:r>
      <w:r>
        <w:rPr>
          <w:color w:val="231F20"/>
          <w:spacing w:val="-20"/>
          <w:w w:val="105"/>
        </w:rPr>
        <w:t> </w:t>
      </w:r>
      <w:r>
        <w:rPr>
          <w:color w:val="231F20"/>
          <w:w w:val="105"/>
        </w:rPr>
        <w:t>lo</w:t>
      </w:r>
      <w:r>
        <w:rPr>
          <w:color w:val="231F20"/>
          <w:spacing w:val="-20"/>
          <w:w w:val="105"/>
        </w:rPr>
        <w:t> </w:t>
      </w:r>
      <w:r>
        <w:rPr>
          <w:color w:val="231F20"/>
          <w:w w:val="105"/>
        </w:rPr>
        <w:t>social”</w:t>
      </w:r>
      <w:r>
        <w:rPr>
          <w:color w:val="231F20"/>
          <w:spacing w:val="-20"/>
          <w:w w:val="105"/>
        </w:rPr>
        <w:t> </w:t>
      </w:r>
      <w:r>
        <w:rPr>
          <w:color w:val="231F20"/>
          <w:w w:val="105"/>
        </w:rPr>
        <w:t>(Montoya,</w:t>
      </w:r>
      <w:r>
        <w:rPr>
          <w:color w:val="231F20"/>
          <w:spacing w:val="-24"/>
          <w:w w:val="105"/>
        </w:rPr>
        <w:t> </w:t>
      </w:r>
      <w:r>
        <w:rPr>
          <w:color w:val="231F20"/>
          <w:w w:val="105"/>
        </w:rPr>
        <w:t>Salas</w:t>
      </w:r>
      <w:r>
        <w:rPr>
          <w:color w:val="231F20"/>
          <w:spacing w:val="-19"/>
          <w:w w:val="105"/>
        </w:rPr>
        <w:t> </w:t>
      </w:r>
      <w:r>
        <w:rPr>
          <w:color w:val="231F20"/>
          <w:w w:val="105"/>
        </w:rPr>
        <w:t>y</w:t>
      </w:r>
      <w:r>
        <w:rPr>
          <w:color w:val="231F20"/>
          <w:spacing w:val="-19"/>
          <w:w w:val="105"/>
        </w:rPr>
        <w:t> </w:t>
      </w:r>
      <w:r>
        <w:rPr>
          <w:color w:val="231F20"/>
          <w:w w:val="105"/>
        </w:rPr>
        <w:t>Soberón,</w:t>
      </w:r>
      <w:r>
        <w:rPr>
          <w:color w:val="231F20"/>
          <w:spacing w:val="-24"/>
          <w:w w:val="105"/>
        </w:rPr>
        <w:t> </w:t>
      </w:r>
      <w:r>
        <w:rPr>
          <w:color w:val="231F20"/>
          <w:w w:val="105"/>
        </w:rPr>
        <w:t>2011:</w:t>
      </w:r>
      <w:r>
        <w:rPr>
          <w:color w:val="231F20"/>
          <w:w w:val="104"/>
        </w:rPr>
        <w:t> </w:t>
      </w:r>
      <w:r>
        <w:rPr>
          <w:color w:val="231F20"/>
          <w:w w:val="105"/>
        </w:rPr>
        <w:t>155), y que no necesariamente viajan al lugar de origen con el</w:t>
      </w:r>
      <w:r>
        <w:rPr>
          <w:color w:val="231F20"/>
          <w:spacing w:val="17"/>
          <w:w w:val="105"/>
        </w:rPr>
        <w:t> </w:t>
      </w:r>
      <w:r>
        <w:rPr>
          <w:color w:val="231F20"/>
          <w:w w:val="105"/>
        </w:rPr>
        <w:t>objetivo</w:t>
      </w:r>
    </w:p>
    <w:p>
      <w:pPr>
        <w:pStyle w:val="BodyText"/>
        <w:spacing w:before="1"/>
        <w:ind w:left="1723"/>
        <w:jc w:val="both"/>
      </w:pPr>
      <w:r>
        <w:rPr>
          <w:color w:val="231F20"/>
          <w:w w:val="105"/>
        </w:rPr>
        <w:t>de establecerse de manera definitiva.</w:t>
      </w:r>
    </w:p>
    <w:p>
      <w:pPr>
        <w:pStyle w:val="BodyText"/>
        <w:spacing w:line="261" w:lineRule="auto" w:before="22"/>
        <w:ind w:left="1723" w:right="1834" w:firstLine="567"/>
        <w:jc w:val="both"/>
      </w:pPr>
      <w:r>
        <w:rPr>
          <w:color w:val="231F20"/>
          <w:w w:val="105"/>
        </w:rPr>
        <w:t>Migrar a otro país en busca de un mejor empleo y mejores condi- ciones</w:t>
      </w:r>
      <w:r>
        <w:rPr>
          <w:color w:val="231F20"/>
          <w:spacing w:val="-18"/>
          <w:w w:val="105"/>
        </w:rPr>
        <w:t> </w:t>
      </w:r>
      <w:r>
        <w:rPr>
          <w:color w:val="231F20"/>
          <w:w w:val="105"/>
        </w:rPr>
        <w:t>de</w:t>
      </w:r>
      <w:r>
        <w:rPr>
          <w:color w:val="231F20"/>
          <w:spacing w:val="-18"/>
          <w:w w:val="105"/>
        </w:rPr>
        <w:t> </w:t>
      </w:r>
      <w:r>
        <w:rPr>
          <w:color w:val="231F20"/>
          <w:w w:val="105"/>
        </w:rPr>
        <w:t>subsistencia</w:t>
      </w:r>
      <w:r>
        <w:rPr>
          <w:color w:val="231F20"/>
          <w:spacing w:val="-18"/>
          <w:w w:val="105"/>
        </w:rPr>
        <w:t> </w:t>
      </w:r>
      <w:r>
        <w:rPr>
          <w:color w:val="231F20"/>
          <w:w w:val="105"/>
        </w:rPr>
        <w:t>es</w:t>
      </w:r>
      <w:r>
        <w:rPr>
          <w:color w:val="231F20"/>
          <w:spacing w:val="-18"/>
          <w:w w:val="105"/>
        </w:rPr>
        <w:t> </w:t>
      </w:r>
      <w:r>
        <w:rPr>
          <w:color w:val="231F20"/>
          <w:w w:val="105"/>
        </w:rPr>
        <w:t>una</w:t>
      </w:r>
      <w:r>
        <w:rPr>
          <w:color w:val="231F20"/>
          <w:spacing w:val="-18"/>
          <w:w w:val="105"/>
        </w:rPr>
        <w:t> </w:t>
      </w:r>
      <w:r>
        <w:rPr>
          <w:color w:val="231F20"/>
          <w:w w:val="105"/>
        </w:rPr>
        <w:t>práctica</w:t>
      </w:r>
      <w:r>
        <w:rPr>
          <w:color w:val="231F20"/>
          <w:spacing w:val="-18"/>
          <w:w w:val="105"/>
        </w:rPr>
        <w:t> </w:t>
      </w:r>
      <w:r>
        <w:rPr>
          <w:color w:val="231F20"/>
          <w:w w:val="105"/>
        </w:rPr>
        <w:t>que</w:t>
      </w:r>
      <w:r>
        <w:rPr>
          <w:color w:val="231F20"/>
          <w:spacing w:val="-18"/>
          <w:w w:val="105"/>
        </w:rPr>
        <w:t> </w:t>
      </w:r>
      <w:r>
        <w:rPr>
          <w:color w:val="231F20"/>
          <w:w w:val="105"/>
        </w:rPr>
        <w:t>modifica</w:t>
      </w:r>
      <w:r>
        <w:rPr>
          <w:color w:val="231F20"/>
          <w:spacing w:val="-18"/>
          <w:w w:val="105"/>
        </w:rPr>
        <w:t> </w:t>
      </w:r>
      <w:r>
        <w:rPr>
          <w:color w:val="231F20"/>
          <w:w w:val="105"/>
        </w:rPr>
        <w:t>el</w:t>
      </w:r>
      <w:r>
        <w:rPr>
          <w:color w:val="231F20"/>
          <w:spacing w:val="-18"/>
          <w:w w:val="105"/>
        </w:rPr>
        <w:t> </w:t>
      </w:r>
      <w:r>
        <w:rPr>
          <w:color w:val="231F20"/>
          <w:w w:val="105"/>
        </w:rPr>
        <w:t>curso</w:t>
      </w:r>
      <w:r>
        <w:rPr>
          <w:color w:val="231F20"/>
          <w:spacing w:val="-18"/>
          <w:w w:val="105"/>
        </w:rPr>
        <w:t> </w:t>
      </w:r>
      <w:r>
        <w:rPr>
          <w:color w:val="231F20"/>
          <w:w w:val="105"/>
        </w:rPr>
        <w:t>de</w:t>
      </w:r>
      <w:r>
        <w:rPr>
          <w:color w:val="231F20"/>
          <w:spacing w:val="-18"/>
          <w:w w:val="105"/>
        </w:rPr>
        <w:t> </w:t>
      </w:r>
      <w:r>
        <w:rPr>
          <w:color w:val="231F20"/>
          <w:w w:val="105"/>
        </w:rPr>
        <w:t>vida</w:t>
      </w:r>
      <w:r>
        <w:rPr>
          <w:color w:val="231F20"/>
          <w:spacing w:val="-18"/>
          <w:w w:val="105"/>
        </w:rPr>
        <w:t> </w:t>
      </w:r>
      <w:r>
        <w:rPr>
          <w:color w:val="231F20"/>
          <w:w w:val="105"/>
        </w:rPr>
        <w:t>per- sonal,</w:t>
      </w:r>
      <w:r>
        <w:rPr>
          <w:color w:val="231F20"/>
          <w:spacing w:val="-13"/>
          <w:w w:val="105"/>
        </w:rPr>
        <w:t> </w:t>
      </w:r>
      <w:r>
        <w:rPr>
          <w:color w:val="231F20"/>
          <w:w w:val="105"/>
        </w:rPr>
        <w:t>familiar</w:t>
      </w:r>
      <w:r>
        <w:rPr>
          <w:color w:val="231F20"/>
          <w:spacing w:val="-7"/>
          <w:w w:val="105"/>
        </w:rPr>
        <w:t> </w:t>
      </w:r>
      <w:r>
        <w:rPr>
          <w:color w:val="231F20"/>
          <w:w w:val="105"/>
        </w:rPr>
        <w:t>y</w:t>
      </w:r>
      <w:r>
        <w:rPr>
          <w:color w:val="231F20"/>
          <w:spacing w:val="-7"/>
          <w:w w:val="105"/>
        </w:rPr>
        <w:t> </w:t>
      </w:r>
      <w:r>
        <w:rPr>
          <w:color w:val="231F20"/>
          <w:w w:val="105"/>
        </w:rPr>
        <w:t>comunitaria.</w:t>
      </w:r>
      <w:r>
        <w:rPr>
          <w:color w:val="231F20"/>
          <w:spacing w:val="-13"/>
          <w:w w:val="105"/>
        </w:rPr>
        <w:t> </w:t>
      </w:r>
      <w:r>
        <w:rPr>
          <w:color w:val="231F20"/>
          <w:w w:val="105"/>
        </w:rPr>
        <w:t>La</w:t>
      </w:r>
      <w:r>
        <w:rPr>
          <w:color w:val="231F20"/>
          <w:spacing w:val="-7"/>
          <w:w w:val="105"/>
        </w:rPr>
        <w:t> </w:t>
      </w:r>
      <w:r>
        <w:rPr>
          <w:color w:val="231F20"/>
          <w:w w:val="105"/>
        </w:rPr>
        <w:t>experiencia</w:t>
      </w:r>
      <w:r>
        <w:rPr>
          <w:color w:val="231F20"/>
          <w:spacing w:val="-7"/>
          <w:w w:val="105"/>
        </w:rPr>
        <w:t> </w:t>
      </w:r>
      <w:r>
        <w:rPr>
          <w:color w:val="231F20"/>
          <w:w w:val="105"/>
        </w:rPr>
        <w:t>migratoria</w:t>
      </w:r>
      <w:r>
        <w:rPr>
          <w:color w:val="231F20"/>
          <w:spacing w:val="-7"/>
          <w:w w:val="105"/>
        </w:rPr>
        <w:t> </w:t>
      </w:r>
      <w:r>
        <w:rPr>
          <w:color w:val="231F20"/>
          <w:w w:val="105"/>
        </w:rPr>
        <w:t>reconfigura</w:t>
      </w:r>
      <w:r>
        <w:rPr>
          <w:color w:val="231F20"/>
          <w:spacing w:val="-7"/>
          <w:w w:val="105"/>
        </w:rPr>
        <w:t> </w:t>
      </w:r>
      <w:r>
        <w:rPr>
          <w:color w:val="231F20"/>
          <w:w w:val="105"/>
        </w:rPr>
        <w:t>sen- tidos</w:t>
      </w:r>
      <w:r>
        <w:rPr>
          <w:color w:val="231F20"/>
          <w:spacing w:val="-7"/>
          <w:w w:val="105"/>
        </w:rPr>
        <w:t> </w:t>
      </w:r>
      <w:r>
        <w:rPr>
          <w:color w:val="231F20"/>
          <w:w w:val="105"/>
        </w:rPr>
        <w:t>y</w:t>
      </w:r>
      <w:r>
        <w:rPr>
          <w:color w:val="231F20"/>
          <w:spacing w:val="-7"/>
          <w:w w:val="105"/>
        </w:rPr>
        <w:t> </w:t>
      </w:r>
      <w:r>
        <w:rPr>
          <w:color w:val="231F20"/>
          <w:w w:val="105"/>
        </w:rPr>
        <w:t>significados</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individuos,</w:t>
      </w:r>
      <w:r>
        <w:rPr>
          <w:color w:val="231F20"/>
          <w:spacing w:val="-13"/>
          <w:w w:val="105"/>
        </w:rPr>
        <w:t> </w:t>
      </w:r>
      <w:r>
        <w:rPr>
          <w:color w:val="231F20"/>
          <w:w w:val="105"/>
        </w:rPr>
        <w:t>sus</w:t>
      </w:r>
      <w:r>
        <w:rPr>
          <w:color w:val="231F20"/>
          <w:spacing w:val="-7"/>
          <w:w w:val="105"/>
        </w:rPr>
        <w:t> </w:t>
      </w:r>
      <w:r>
        <w:rPr>
          <w:color w:val="231F20"/>
          <w:w w:val="105"/>
        </w:rPr>
        <w:t>familias</w:t>
      </w:r>
      <w:r>
        <w:rPr>
          <w:color w:val="231F20"/>
          <w:spacing w:val="-7"/>
          <w:w w:val="105"/>
        </w:rPr>
        <w:t> </w:t>
      </w:r>
      <w:r>
        <w:rPr>
          <w:color w:val="231F20"/>
          <w:w w:val="105"/>
        </w:rPr>
        <w:t>y</w:t>
      </w:r>
      <w:r>
        <w:rPr>
          <w:color w:val="231F20"/>
          <w:spacing w:val="-7"/>
          <w:w w:val="105"/>
        </w:rPr>
        <w:t> </w:t>
      </w:r>
      <w:r>
        <w:rPr>
          <w:color w:val="231F20"/>
          <w:w w:val="105"/>
        </w:rPr>
        <w:t>los</w:t>
      </w:r>
      <w:r>
        <w:rPr>
          <w:color w:val="231F20"/>
          <w:spacing w:val="-7"/>
          <w:w w:val="105"/>
        </w:rPr>
        <w:t> </w:t>
      </w:r>
      <w:r>
        <w:rPr>
          <w:color w:val="231F20"/>
          <w:w w:val="105"/>
        </w:rPr>
        <w:t>grupos</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que pertenecen</w:t>
      </w:r>
      <w:r>
        <w:rPr>
          <w:color w:val="231F20"/>
          <w:spacing w:val="-9"/>
          <w:w w:val="105"/>
        </w:rPr>
        <w:t> </w:t>
      </w:r>
      <w:r>
        <w:rPr>
          <w:color w:val="231F20"/>
          <w:w w:val="105"/>
        </w:rPr>
        <w:t>a</w:t>
      </w:r>
      <w:r>
        <w:rPr>
          <w:color w:val="231F20"/>
          <w:spacing w:val="-9"/>
          <w:w w:val="105"/>
        </w:rPr>
        <w:t> </w:t>
      </w:r>
      <w:r>
        <w:rPr>
          <w:color w:val="231F20"/>
          <w:w w:val="105"/>
        </w:rPr>
        <w:t>lo</w:t>
      </w:r>
      <w:r>
        <w:rPr>
          <w:color w:val="231F20"/>
          <w:spacing w:val="-9"/>
          <w:w w:val="105"/>
        </w:rPr>
        <w:t> </w:t>
      </w:r>
      <w:r>
        <w:rPr>
          <w:color w:val="231F20"/>
          <w:w w:val="105"/>
        </w:rPr>
        <w:t>largo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trayectoria</w:t>
      </w:r>
      <w:r>
        <w:rPr>
          <w:color w:val="231F20"/>
          <w:spacing w:val="-9"/>
          <w:w w:val="105"/>
        </w:rPr>
        <w:t> </w:t>
      </w:r>
      <w:r>
        <w:rPr>
          <w:color w:val="231F20"/>
          <w:w w:val="105"/>
        </w:rPr>
        <w:t>migratoria.</w:t>
      </w:r>
      <w:r>
        <w:rPr>
          <w:color w:val="231F20"/>
          <w:spacing w:val="-16"/>
          <w:w w:val="105"/>
        </w:rPr>
        <w:t> </w:t>
      </w:r>
      <w:r>
        <w:rPr>
          <w:color w:val="231F20"/>
          <w:w w:val="105"/>
        </w:rPr>
        <w:t>El</w:t>
      </w:r>
      <w:r>
        <w:rPr>
          <w:color w:val="231F20"/>
          <w:spacing w:val="-9"/>
          <w:w w:val="105"/>
        </w:rPr>
        <w:t> </w:t>
      </w:r>
      <w:r>
        <w:rPr>
          <w:color w:val="231F20"/>
          <w:w w:val="105"/>
        </w:rPr>
        <w:t>conflicto,</w:t>
      </w:r>
      <w:r>
        <w:rPr>
          <w:color w:val="231F20"/>
          <w:spacing w:val="-16"/>
          <w:w w:val="105"/>
        </w:rPr>
        <w:t> </w:t>
      </w:r>
      <w:r>
        <w:rPr>
          <w:color w:val="231F20"/>
          <w:w w:val="105"/>
        </w:rPr>
        <w:t>entendido como</w:t>
      </w:r>
      <w:r>
        <w:rPr>
          <w:color w:val="231F20"/>
          <w:spacing w:val="-6"/>
          <w:w w:val="105"/>
        </w:rPr>
        <w:t> </w:t>
      </w:r>
      <w:r>
        <w:rPr>
          <w:color w:val="231F20"/>
          <w:w w:val="105"/>
        </w:rPr>
        <w:t>ruptura</w:t>
      </w:r>
      <w:r>
        <w:rPr>
          <w:color w:val="231F20"/>
          <w:spacing w:val="-6"/>
          <w:w w:val="105"/>
        </w:rPr>
        <w:t> </w:t>
      </w:r>
      <w:r>
        <w:rPr>
          <w:color w:val="231F20"/>
          <w:w w:val="105"/>
        </w:rPr>
        <w:t>y</w:t>
      </w:r>
      <w:r>
        <w:rPr>
          <w:color w:val="231F20"/>
          <w:spacing w:val="-6"/>
          <w:w w:val="105"/>
        </w:rPr>
        <w:t> </w:t>
      </w:r>
      <w:r>
        <w:rPr>
          <w:color w:val="231F20"/>
          <w:w w:val="105"/>
        </w:rPr>
        <w:t>oportunidad</w:t>
      </w:r>
      <w:r>
        <w:rPr>
          <w:color w:val="231F20"/>
          <w:spacing w:val="-6"/>
          <w:w w:val="105"/>
        </w:rPr>
        <w:t> </w:t>
      </w:r>
      <w:r>
        <w:rPr>
          <w:color w:val="231F20"/>
          <w:w w:val="105"/>
        </w:rPr>
        <w:t>para</w:t>
      </w:r>
      <w:r>
        <w:rPr>
          <w:color w:val="231F20"/>
          <w:spacing w:val="-6"/>
          <w:w w:val="105"/>
        </w:rPr>
        <w:t> </w:t>
      </w:r>
      <w:r>
        <w:rPr>
          <w:color w:val="231F20"/>
          <w:w w:val="105"/>
        </w:rPr>
        <w:t>el</w:t>
      </w:r>
      <w:r>
        <w:rPr>
          <w:color w:val="231F20"/>
          <w:spacing w:val="-6"/>
          <w:w w:val="105"/>
        </w:rPr>
        <w:t> </w:t>
      </w:r>
      <w:r>
        <w:rPr>
          <w:color w:val="231F20"/>
          <w:w w:val="105"/>
        </w:rPr>
        <w:t>cambio,</w:t>
      </w:r>
      <w:r>
        <w:rPr>
          <w:color w:val="231F20"/>
          <w:spacing w:val="-12"/>
          <w:w w:val="105"/>
        </w:rPr>
        <w:t> </w:t>
      </w:r>
      <w:r>
        <w:rPr>
          <w:color w:val="231F20"/>
          <w:w w:val="105"/>
        </w:rPr>
        <w:t>es</w:t>
      </w:r>
      <w:r>
        <w:rPr>
          <w:color w:val="231F20"/>
          <w:spacing w:val="-6"/>
          <w:w w:val="105"/>
        </w:rPr>
        <w:t> </w:t>
      </w:r>
      <w:r>
        <w:rPr>
          <w:color w:val="231F20"/>
          <w:w w:val="105"/>
        </w:rPr>
        <w:t>inherente</w:t>
      </w:r>
      <w:r>
        <w:rPr>
          <w:color w:val="231F20"/>
          <w:spacing w:val="-6"/>
          <w:w w:val="105"/>
        </w:rPr>
        <w:t> </w:t>
      </w:r>
      <w:r>
        <w:rPr>
          <w:color w:val="231F20"/>
          <w:w w:val="105"/>
        </w:rPr>
        <w:t>a</w:t>
      </w:r>
      <w:r>
        <w:rPr>
          <w:color w:val="231F20"/>
          <w:spacing w:val="-6"/>
          <w:w w:val="105"/>
        </w:rPr>
        <w:t> </w:t>
      </w:r>
      <w:r>
        <w:rPr>
          <w:color w:val="231F20"/>
          <w:w w:val="105"/>
        </w:rPr>
        <w:t>estos</w:t>
      </w:r>
      <w:r>
        <w:rPr>
          <w:color w:val="231F20"/>
          <w:spacing w:val="-6"/>
          <w:w w:val="105"/>
        </w:rPr>
        <w:t> </w:t>
      </w:r>
      <w:r>
        <w:rPr>
          <w:color w:val="231F20"/>
          <w:w w:val="105"/>
        </w:rPr>
        <w:t>proce- sos porque requieren de habilidades, negociaciones y evaluaciones de las</w:t>
      </w:r>
      <w:r>
        <w:rPr>
          <w:color w:val="231F20"/>
          <w:spacing w:val="-17"/>
          <w:w w:val="105"/>
        </w:rPr>
        <w:t> </w:t>
      </w:r>
      <w:r>
        <w:rPr>
          <w:color w:val="231F20"/>
          <w:w w:val="105"/>
        </w:rPr>
        <w:t>oportunidades</w:t>
      </w:r>
      <w:r>
        <w:rPr>
          <w:color w:val="231F20"/>
          <w:spacing w:val="-17"/>
          <w:w w:val="105"/>
        </w:rPr>
        <w:t> </w:t>
      </w:r>
      <w:r>
        <w:rPr>
          <w:color w:val="231F20"/>
          <w:w w:val="105"/>
        </w:rPr>
        <w:t>y</w:t>
      </w:r>
      <w:r>
        <w:rPr>
          <w:color w:val="231F20"/>
          <w:spacing w:val="-17"/>
          <w:w w:val="105"/>
        </w:rPr>
        <w:t> </w:t>
      </w:r>
      <w:r>
        <w:rPr>
          <w:color w:val="231F20"/>
          <w:w w:val="105"/>
        </w:rPr>
        <w:t>limitaciones</w:t>
      </w:r>
      <w:r>
        <w:rPr>
          <w:color w:val="231F20"/>
          <w:spacing w:val="-17"/>
          <w:w w:val="105"/>
        </w:rPr>
        <w:t> </w:t>
      </w:r>
      <w:r>
        <w:rPr>
          <w:color w:val="231F20"/>
          <w:w w:val="105"/>
        </w:rPr>
        <w:t>para</w:t>
      </w:r>
      <w:r>
        <w:rPr>
          <w:color w:val="231F20"/>
          <w:spacing w:val="-17"/>
          <w:w w:val="105"/>
        </w:rPr>
        <w:t> </w:t>
      </w:r>
      <w:r>
        <w:rPr>
          <w:color w:val="231F20"/>
          <w:w w:val="105"/>
        </w:rPr>
        <w:t>gestionar</w:t>
      </w:r>
      <w:r>
        <w:rPr>
          <w:color w:val="231F20"/>
          <w:spacing w:val="-17"/>
          <w:w w:val="105"/>
        </w:rPr>
        <w:t> </w:t>
      </w:r>
      <w:r>
        <w:rPr>
          <w:color w:val="231F20"/>
          <w:w w:val="105"/>
        </w:rPr>
        <w:t>la</w:t>
      </w:r>
      <w:r>
        <w:rPr>
          <w:color w:val="231F20"/>
          <w:spacing w:val="-17"/>
          <w:w w:val="105"/>
        </w:rPr>
        <w:t> </w:t>
      </w:r>
      <w:r>
        <w:rPr>
          <w:color w:val="231F20"/>
          <w:w w:val="105"/>
        </w:rPr>
        <w:t>salida,</w:t>
      </w:r>
      <w:r>
        <w:rPr>
          <w:color w:val="231F20"/>
          <w:spacing w:val="-21"/>
          <w:w w:val="105"/>
        </w:rPr>
        <w:t> </w:t>
      </w:r>
      <w:r>
        <w:rPr>
          <w:color w:val="231F20"/>
          <w:w w:val="105"/>
        </w:rPr>
        <w:t>la</w:t>
      </w:r>
      <w:r>
        <w:rPr>
          <w:color w:val="231F20"/>
          <w:spacing w:val="-17"/>
          <w:w w:val="105"/>
        </w:rPr>
        <w:t> </w:t>
      </w:r>
      <w:r>
        <w:rPr>
          <w:color w:val="231F20"/>
          <w:w w:val="105"/>
        </w:rPr>
        <w:t>ausencia</w:t>
      </w:r>
      <w:r>
        <w:rPr>
          <w:color w:val="231F20"/>
          <w:spacing w:val="-17"/>
          <w:w w:val="105"/>
        </w:rPr>
        <w:t> </w:t>
      </w:r>
      <w:r>
        <w:rPr>
          <w:color w:val="231F20"/>
          <w:w w:val="105"/>
        </w:rPr>
        <w:t>y</w:t>
      </w:r>
      <w:r>
        <w:rPr>
          <w:color w:val="231F20"/>
          <w:spacing w:val="-17"/>
          <w:w w:val="105"/>
        </w:rPr>
        <w:t> </w:t>
      </w:r>
      <w:r>
        <w:rPr>
          <w:color w:val="231F20"/>
          <w:w w:val="105"/>
        </w:rPr>
        <w:t>la re-adaptación en el</w:t>
      </w:r>
      <w:r>
        <w:rPr>
          <w:color w:val="231F20"/>
          <w:spacing w:val="-32"/>
          <w:w w:val="105"/>
        </w:rPr>
        <w:t> </w:t>
      </w:r>
      <w:r>
        <w:rPr>
          <w:color w:val="231F20"/>
          <w:w w:val="105"/>
        </w:rPr>
        <w:t>retorno.</w:t>
      </w:r>
    </w:p>
    <w:p>
      <w:pPr>
        <w:pStyle w:val="BodyText"/>
        <w:rPr>
          <w:sz w:val="20"/>
        </w:rPr>
      </w:pPr>
    </w:p>
    <w:p>
      <w:pPr>
        <w:pStyle w:val="BodyText"/>
        <w:spacing w:before="9"/>
        <w:rPr>
          <w:sz w:val="20"/>
        </w:rPr>
      </w:pPr>
    </w:p>
    <w:p>
      <w:pPr>
        <w:pStyle w:val="Heading3"/>
        <w:ind w:left="1723"/>
      </w:pPr>
      <w:r>
        <w:rPr>
          <w:color w:val="231F20"/>
        </w:rPr>
        <w:t>La migración internacional en el Estado de México</w:t>
      </w:r>
    </w:p>
    <w:p>
      <w:pPr>
        <w:pStyle w:val="BodyText"/>
        <w:rPr>
          <w:rFonts w:ascii="Arial"/>
          <w:b/>
          <w:sz w:val="22"/>
        </w:rPr>
      </w:pPr>
    </w:p>
    <w:p>
      <w:pPr>
        <w:pStyle w:val="BodyText"/>
        <w:spacing w:line="261" w:lineRule="auto" w:before="163"/>
        <w:ind w:left="1723" w:right="1828"/>
        <w:jc w:val="both"/>
      </w:pPr>
      <w:r>
        <w:rPr>
          <w:color w:val="231F20"/>
          <w:w w:val="105"/>
        </w:rPr>
        <w:t>Hoy sabemos que la dinámica de los mercados de trabajo está ínti- mamente vinculada con el papel estratégico de las ciudades globales (Saseen, 2001), pues fungen como centros de operación financiera,</w:t>
      </w:r>
      <w:r>
        <w:rPr>
          <w:color w:val="231F20"/>
          <w:spacing w:val="-16"/>
          <w:w w:val="105"/>
        </w:rPr>
        <w:t> </w:t>
      </w:r>
      <w:r>
        <w:rPr>
          <w:color w:val="231F20"/>
          <w:w w:val="105"/>
        </w:rPr>
        <w:t>in- formática y política. Son las prácticas, y no sólo la producción, lo que constituye lo que llamamos globalización económica y control global. Enfocarse</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prácticas</w:t>
      </w:r>
      <w:r>
        <w:rPr>
          <w:color w:val="231F20"/>
          <w:spacing w:val="-15"/>
          <w:w w:val="105"/>
        </w:rPr>
        <w:t> </w:t>
      </w:r>
      <w:r>
        <w:rPr>
          <w:color w:val="231F20"/>
          <w:w w:val="105"/>
        </w:rPr>
        <w:t>fija</w:t>
      </w:r>
      <w:r>
        <w:rPr>
          <w:color w:val="231F20"/>
          <w:spacing w:val="-15"/>
          <w:w w:val="105"/>
        </w:rPr>
        <w:t> </w:t>
      </w:r>
      <w:r>
        <w:rPr>
          <w:color w:val="231F20"/>
          <w:w w:val="105"/>
        </w:rPr>
        <w:t>la</w:t>
      </w:r>
      <w:r>
        <w:rPr>
          <w:color w:val="231F20"/>
          <w:spacing w:val="-15"/>
          <w:w w:val="105"/>
        </w:rPr>
        <w:t> </w:t>
      </w:r>
      <w:r>
        <w:rPr>
          <w:color w:val="231F20"/>
          <w:w w:val="105"/>
        </w:rPr>
        <w:t>atención</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categorías</w:t>
      </w:r>
      <w:r>
        <w:rPr>
          <w:color w:val="231F20"/>
          <w:spacing w:val="-15"/>
          <w:w w:val="105"/>
        </w:rPr>
        <w:t> </w:t>
      </w:r>
      <w:r>
        <w:rPr>
          <w:color w:val="231F20"/>
          <w:w w:val="105"/>
        </w:rPr>
        <w:t>de</w:t>
      </w:r>
      <w:r>
        <w:rPr>
          <w:color w:val="231F20"/>
          <w:spacing w:val="-15"/>
          <w:w w:val="105"/>
        </w:rPr>
        <w:t> </w:t>
      </w:r>
      <w:r>
        <w:rPr>
          <w:color w:val="231F20"/>
          <w:w w:val="105"/>
        </w:rPr>
        <w:t>lugar</w:t>
      </w:r>
      <w:r>
        <w:rPr>
          <w:color w:val="231F20"/>
          <w:spacing w:val="-15"/>
          <w:w w:val="105"/>
        </w:rPr>
        <w:t> </w:t>
      </w:r>
      <w:r>
        <w:rPr>
          <w:color w:val="231F20"/>
          <w:w w:val="105"/>
        </w:rPr>
        <w:t>y</w:t>
      </w:r>
      <w:r>
        <w:rPr>
          <w:color w:val="231F20"/>
          <w:spacing w:val="-15"/>
          <w:w w:val="105"/>
        </w:rPr>
        <w:t> </w:t>
      </w:r>
      <w:r>
        <w:rPr>
          <w:color w:val="231F20"/>
          <w:w w:val="105"/>
        </w:rPr>
        <w:t>de procesos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análisis</w:t>
      </w:r>
      <w:r>
        <w:rPr>
          <w:color w:val="231F20"/>
          <w:spacing w:val="-11"/>
          <w:w w:val="105"/>
        </w:rPr>
        <w:t> </w:t>
      </w:r>
      <w:r>
        <w:rPr>
          <w:color w:val="231F20"/>
          <w:w w:val="105"/>
        </w:rPr>
        <w:t>de</w:t>
      </w:r>
      <w:r>
        <w:rPr>
          <w:color w:val="231F20"/>
          <w:spacing w:val="-11"/>
          <w:w w:val="105"/>
        </w:rPr>
        <w:t> </w:t>
      </w:r>
      <w:r>
        <w:rPr>
          <w:color w:val="231F20"/>
          <w:w w:val="105"/>
        </w:rPr>
        <w:t>lo</w:t>
      </w:r>
      <w:r>
        <w:rPr>
          <w:color w:val="231F20"/>
          <w:spacing w:val="-11"/>
          <w:w w:val="105"/>
        </w:rPr>
        <w:t> </w:t>
      </w:r>
      <w:r>
        <w:rPr>
          <w:color w:val="231F20"/>
          <w:w w:val="105"/>
        </w:rPr>
        <w:t>global.</w:t>
      </w:r>
      <w:r>
        <w:rPr>
          <w:color w:val="231F20"/>
          <w:spacing w:val="-17"/>
          <w:w w:val="105"/>
        </w:rPr>
        <w:t> </w:t>
      </w:r>
      <w:r>
        <w:rPr>
          <w:color w:val="231F20"/>
          <w:w w:val="105"/>
        </w:rPr>
        <w:t>De</w:t>
      </w:r>
      <w:r>
        <w:rPr>
          <w:color w:val="231F20"/>
          <w:spacing w:val="-11"/>
          <w:w w:val="105"/>
        </w:rPr>
        <w:t> </w:t>
      </w:r>
      <w:r>
        <w:rPr>
          <w:color w:val="231F20"/>
          <w:w w:val="105"/>
        </w:rPr>
        <w:t>este</w:t>
      </w:r>
      <w:r>
        <w:rPr>
          <w:color w:val="231F20"/>
          <w:spacing w:val="-11"/>
          <w:w w:val="105"/>
        </w:rPr>
        <w:t> </w:t>
      </w:r>
      <w:r>
        <w:rPr>
          <w:color w:val="231F20"/>
          <w:w w:val="105"/>
        </w:rPr>
        <w:t>modo</w:t>
      </w:r>
      <w:r>
        <w:rPr>
          <w:color w:val="231F20"/>
          <w:spacing w:val="-11"/>
          <w:w w:val="105"/>
        </w:rPr>
        <w:t> </w:t>
      </w:r>
      <w:r>
        <w:rPr>
          <w:color w:val="231F20"/>
          <w:w w:val="105"/>
        </w:rPr>
        <w:t>se</w:t>
      </w:r>
      <w:r>
        <w:rPr>
          <w:color w:val="231F20"/>
          <w:spacing w:val="-11"/>
          <w:w w:val="105"/>
        </w:rPr>
        <w:t> </w:t>
      </w:r>
      <w:r>
        <w:rPr>
          <w:color w:val="231F20"/>
          <w:w w:val="105"/>
        </w:rPr>
        <w:t>reconoce</w:t>
      </w:r>
      <w:r>
        <w:rPr>
          <w:color w:val="231F20"/>
          <w:spacing w:val="-11"/>
          <w:w w:val="105"/>
        </w:rPr>
        <w:t> </w:t>
      </w:r>
      <w:r>
        <w:rPr>
          <w:color w:val="231F20"/>
          <w:w w:val="105"/>
        </w:rPr>
        <w:t>que</w:t>
      </w:r>
      <w:r>
        <w:rPr>
          <w:color w:val="231F20"/>
          <w:spacing w:val="-11"/>
          <w:w w:val="105"/>
        </w:rPr>
        <w:t> </w:t>
      </w:r>
      <w:r>
        <w:rPr>
          <w:color w:val="231F20"/>
          <w:w w:val="105"/>
        </w:rPr>
        <w:t>más allá de una modalidad de producción económica, se trata de un modo de organización (política, de poder), de comunicación (interconexión) y de</w:t>
      </w:r>
      <w:r>
        <w:rPr>
          <w:color w:val="231F20"/>
          <w:spacing w:val="-9"/>
          <w:w w:val="105"/>
        </w:rPr>
        <w:t> </w:t>
      </w:r>
      <w:r>
        <w:rPr>
          <w:color w:val="231F20"/>
          <w:w w:val="105"/>
        </w:rPr>
        <w:t>participación</w:t>
      </w:r>
      <w:r>
        <w:rPr>
          <w:color w:val="231F20"/>
          <w:spacing w:val="-9"/>
          <w:w w:val="105"/>
        </w:rPr>
        <w:t> </w:t>
      </w:r>
      <w:r>
        <w:rPr>
          <w:color w:val="231F20"/>
          <w:w w:val="105"/>
        </w:rPr>
        <w:t>social</w:t>
      </w:r>
      <w:r>
        <w:rPr>
          <w:color w:val="231F20"/>
          <w:spacing w:val="-9"/>
          <w:w w:val="105"/>
        </w:rPr>
        <w:t> </w:t>
      </w:r>
      <w:r>
        <w:rPr>
          <w:color w:val="231F20"/>
          <w:w w:val="105"/>
        </w:rPr>
        <w:t>(movilidad).</w:t>
      </w:r>
      <w:r>
        <w:rPr>
          <w:color w:val="231F20"/>
          <w:spacing w:val="-14"/>
          <w:w w:val="105"/>
        </w:rPr>
        <w:t> </w:t>
      </w:r>
      <w:r>
        <w:rPr>
          <w:color w:val="231F20"/>
          <w:w w:val="105"/>
        </w:rPr>
        <w:t>Este</w:t>
      </w:r>
      <w:r>
        <w:rPr>
          <w:color w:val="231F20"/>
          <w:spacing w:val="-9"/>
          <w:w w:val="105"/>
        </w:rPr>
        <w:t> </w:t>
      </w:r>
      <w:r>
        <w:rPr>
          <w:color w:val="231F20"/>
          <w:w w:val="105"/>
        </w:rPr>
        <w:t>trabajo</w:t>
      </w:r>
      <w:r>
        <w:rPr>
          <w:color w:val="231F20"/>
          <w:spacing w:val="-9"/>
          <w:w w:val="105"/>
        </w:rPr>
        <w:t> </w:t>
      </w:r>
      <w:r>
        <w:rPr>
          <w:color w:val="231F20"/>
          <w:w w:val="105"/>
        </w:rPr>
        <w:t>centra</w:t>
      </w:r>
      <w:r>
        <w:rPr>
          <w:color w:val="231F20"/>
          <w:spacing w:val="-9"/>
          <w:w w:val="105"/>
        </w:rPr>
        <w:t> </w:t>
      </w:r>
      <w:r>
        <w:rPr>
          <w:color w:val="231F20"/>
          <w:w w:val="105"/>
        </w:rPr>
        <w:t>su</w:t>
      </w:r>
      <w:r>
        <w:rPr>
          <w:color w:val="231F20"/>
          <w:spacing w:val="-9"/>
          <w:w w:val="105"/>
        </w:rPr>
        <w:t> </w:t>
      </w:r>
      <w:r>
        <w:rPr>
          <w:color w:val="231F20"/>
          <w:w w:val="105"/>
        </w:rPr>
        <w:t>atención</w:t>
      </w:r>
      <w:r>
        <w:rPr>
          <w:color w:val="231F20"/>
          <w:spacing w:val="-9"/>
          <w:w w:val="105"/>
        </w:rPr>
        <w:t> </w:t>
      </w:r>
      <w:r>
        <w:rPr>
          <w:color w:val="231F20"/>
          <w:w w:val="105"/>
        </w:rPr>
        <w:t>en</w:t>
      </w:r>
      <w:r>
        <w:rPr>
          <w:color w:val="231F20"/>
          <w:spacing w:val="-9"/>
          <w:w w:val="105"/>
        </w:rPr>
        <w:t> </w:t>
      </w:r>
      <w:r>
        <w:rPr>
          <w:color w:val="231F20"/>
          <w:w w:val="105"/>
        </w:rPr>
        <w:t>el proceso de retorno de la migración internacional como experiencia de movilidad</w:t>
      </w:r>
      <w:r>
        <w:rPr>
          <w:color w:val="231F20"/>
          <w:spacing w:val="-16"/>
          <w:w w:val="105"/>
        </w:rPr>
        <w:t> </w:t>
      </w:r>
      <w:r>
        <w:rPr>
          <w:color w:val="231F20"/>
          <w:w w:val="105"/>
        </w:rPr>
        <w:t>humana.</w:t>
      </w:r>
    </w:p>
    <w:p>
      <w:pPr>
        <w:pStyle w:val="BodyText"/>
        <w:spacing w:before="10"/>
        <w:rPr>
          <w:sz w:val="10"/>
        </w:rPr>
      </w:pPr>
      <w:r>
        <w:rPr/>
        <w:pict>
          <v:line style="position:absolute;mso-position-horizontal-relative:page;mso-position-vertical-relative:paragraph;z-index:25648;mso-wrap-distance-left:0;mso-wrap-distance-right:0" from="86.1968pt,8.273129pt" to="199.5828pt,8.273129pt" stroked="true" strokeweight=".25pt" strokecolor="#231f20">
            <w10:wrap type="topAndBottom"/>
          </v:line>
        </w:pict>
      </w:r>
    </w:p>
    <w:p>
      <w:pPr>
        <w:spacing w:line="192" w:lineRule="exact" w:before="7"/>
        <w:ind w:left="1723" w:right="1920" w:firstLine="0"/>
        <w:jc w:val="left"/>
        <w:rPr>
          <w:rFonts w:ascii="Calibri" w:hAnsi="Calibri"/>
          <w:sz w:val="16"/>
        </w:rPr>
      </w:pPr>
      <w:r>
        <w:rPr>
          <w:rFonts w:ascii="Calibri" w:hAnsi="Calibri"/>
          <w:color w:val="414042"/>
          <w:position w:val="5"/>
          <w:sz w:val="9"/>
        </w:rPr>
        <w:t>2 </w:t>
      </w:r>
      <w:r>
        <w:rPr>
          <w:rFonts w:ascii="Calibri" w:hAnsi="Calibri"/>
          <w:color w:val="414042"/>
          <w:sz w:val="16"/>
        </w:rPr>
        <w:t>En la lógica de los postulados Harvey (1989). </w:t>
      </w:r>
      <w:r>
        <w:rPr>
          <w:rFonts w:ascii="Calibri" w:hAnsi="Calibri"/>
          <w:i/>
          <w:color w:val="414042"/>
          <w:sz w:val="16"/>
        </w:rPr>
        <w:t>The condition of Postmodernity: An inquiry into the Origins </w:t>
      </w:r>
      <w:r>
        <w:rPr>
          <w:rFonts w:ascii="Calibri" w:hAnsi="Calibri"/>
          <w:i/>
          <w:color w:val="414042"/>
          <w:sz w:val="16"/>
        </w:rPr>
        <w:t>of Culture change</w:t>
      </w:r>
      <w:r>
        <w:rPr>
          <w:rFonts w:ascii="Calibri" w:hAnsi="Calibri"/>
          <w:color w:val="414042"/>
          <w:sz w:val="16"/>
        </w:rPr>
        <w:t>. Cambridge: Blackwell; retomados por Kearney  </w:t>
      </w:r>
      <w:r>
        <w:rPr>
          <w:rFonts w:ascii="Calibri" w:hAnsi="Calibri"/>
          <w:color w:val="414042"/>
          <w:spacing w:val="31"/>
          <w:sz w:val="16"/>
        </w:rPr>
        <w:t> </w:t>
      </w:r>
      <w:r>
        <w:rPr>
          <w:rFonts w:ascii="Calibri" w:hAnsi="Calibri"/>
          <w:color w:val="414042"/>
          <w:sz w:val="16"/>
        </w:rPr>
        <w:t>(2008).</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64512" from="131.551193pt,3.753715pt" to="131.551193pt,39.556114pt" stroked="true" strokeweight=".35pt" strokecolor="#231f20">
            <w10:wrap type="none"/>
          </v:line>
        </w:pict>
      </w:r>
      <w:r>
        <w:rPr/>
        <w:pict>
          <v:line style="position:absolute;mso-position-horizontal-relative:page;mso-position-vertical-relative:paragraph;z-index:-464440" from="15pt,39.555916pt" to="0pt,39.555916pt" stroked="true" strokeweight=".25pt" strokecolor="#000000">
            <w10:wrap type="none"/>
          </v:line>
        </w:pict>
      </w:r>
      <w:r>
        <w:rPr/>
        <w:pict>
          <v:line style="position:absolute;mso-position-horizontal-relative:page;mso-position-vertical-relative:paragraph;z-index:25768" from="508.890015pt,39.555916pt" to="523.890015pt,39.555916pt" stroked="true" strokeweight=".25pt" strokecolor="#000000">
            <w10:wrap type="none"/>
          </v:line>
        </w:pict>
      </w:r>
      <w:r>
        <w:rPr>
          <w:rFonts w:ascii="Arial" w:hAnsi="Arial"/>
          <w:color w:val="414042"/>
          <w:w w:val="105"/>
          <w:position w:val="-5"/>
          <w:sz w:val="20"/>
        </w:rPr>
        <w:t>208</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5792"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5816" from="15pt,-28.286539pt" to="0pt,-28.286539pt" stroked="true" strokeweight=".25pt" strokecolor="#000000">
            <w10:wrap type="none"/>
          </v:line>
        </w:pict>
      </w:r>
      <w:r>
        <w:rPr/>
        <w:pict>
          <v:line style="position:absolute;mso-position-horizontal-relative:page;mso-position-vertical-relative:paragraph;z-index:25840" from="508.890015pt,-28.286539pt" to="523.890015pt,-28.286539pt" stroked="true" strokeweight=".25pt" strokecolor="#000000">
            <w10:wrap type="none"/>
          </v:line>
        </w:pict>
      </w:r>
      <w:r>
        <w:rPr>
          <w:rFonts w:ascii="Arial"/>
          <w:color w:val="414042"/>
          <w:sz w:val="20"/>
        </w:rPr>
        <w:t>209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15"/>
        <w:jc w:val="both"/>
      </w:pPr>
      <w:r>
        <w:rPr>
          <w:color w:val="231F20"/>
          <w:w w:val="105"/>
        </w:rPr>
        <w:t>Al tratarse de desplazamientos centenarios, concebimos a la</w:t>
      </w:r>
      <w:r>
        <w:rPr>
          <w:color w:val="231F20"/>
          <w:spacing w:val="-37"/>
          <w:w w:val="105"/>
        </w:rPr>
        <w:t> </w:t>
      </w:r>
      <w:r>
        <w:rPr>
          <w:color w:val="231F20"/>
          <w:w w:val="105"/>
        </w:rPr>
        <w:t>migración México-Estados</w:t>
      </w:r>
      <w:r>
        <w:rPr>
          <w:color w:val="231F20"/>
          <w:spacing w:val="-41"/>
          <w:w w:val="105"/>
        </w:rPr>
        <w:t> </w:t>
      </w:r>
      <w:r>
        <w:rPr>
          <w:color w:val="231F20"/>
          <w:w w:val="105"/>
        </w:rPr>
        <w:t>Unidos</w:t>
      </w:r>
      <w:r>
        <w:rPr>
          <w:color w:val="231F20"/>
          <w:spacing w:val="-41"/>
          <w:w w:val="105"/>
        </w:rPr>
        <w:t> </w:t>
      </w:r>
      <w:r>
        <w:rPr>
          <w:color w:val="231F20"/>
          <w:w w:val="105"/>
        </w:rPr>
        <w:t>como</w:t>
      </w:r>
      <w:r>
        <w:rPr>
          <w:color w:val="231F20"/>
          <w:spacing w:val="-41"/>
          <w:w w:val="105"/>
        </w:rPr>
        <w:t> </w:t>
      </w:r>
      <w:r>
        <w:rPr>
          <w:color w:val="231F20"/>
          <w:w w:val="105"/>
        </w:rPr>
        <w:t>“múltiples</w:t>
      </w:r>
      <w:r>
        <w:rPr>
          <w:color w:val="231F20"/>
          <w:spacing w:val="-41"/>
          <w:w w:val="105"/>
        </w:rPr>
        <w:t> </w:t>
      </w:r>
      <w:r>
        <w:rPr>
          <w:color w:val="231F20"/>
          <w:w w:val="105"/>
        </w:rPr>
        <w:t>desplazamientos</w:t>
      </w:r>
      <w:r>
        <w:rPr>
          <w:color w:val="231F20"/>
          <w:spacing w:val="-41"/>
          <w:w w:val="105"/>
        </w:rPr>
        <w:t> </w:t>
      </w:r>
      <w:r>
        <w:rPr>
          <w:color w:val="231F20"/>
          <w:w w:val="105"/>
        </w:rPr>
        <w:t>espaciales,</w:t>
      </w:r>
      <w:r>
        <w:rPr>
          <w:color w:val="231F20"/>
          <w:spacing w:val="-43"/>
          <w:w w:val="105"/>
        </w:rPr>
        <w:t> </w:t>
      </w:r>
      <w:r>
        <w:rPr>
          <w:color w:val="231F20"/>
          <w:w w:val="105"/>
        </w:rPr>
        <w:t>so- ciales,</w:t>
      </w:r>
      <w:r>
        <w:rPr>
          <w:color w:val="231F20"/>
          <w:spacing w:val="-19"/>
          <w:w w:val="105"/>
        </w:rPr>
        <w:t> </w:t>
      </w:r>
      <w:r>
        <w:rPr>
          <w:color w:val="231F20"/>
          <w:w w:val="105"/>
        </w:rPr>
        <w:t>culturales</w:t>
      </w:r>
      <w:r>
        <w:rPr>
          <w:color w:val="231F20"/>
          <w:spacing w:val="-13"/>
          <w:w w:val="105"/>
        </w:rPr>
        <w:t> </w:t>
      </w:r>
      <w:r>
        <w:rPr>
          <w:color w:val="231F20"/>
          <w:w w:val="105"/>
        </w:rPr>
        <w:t>y</w:t>
      </w:r>
      <w:r>
        <w:rPr>
          <w:color w:val="231F20"/>
          <w:spacing w:val="-13"/>
          <w:w w:val="105"/>
        </w:rPr>
        <w:t> </w:t>
      </w:r>
      <w:r>
        <w:rPr>
          <w:color w:val="231F20"/>
          <w:w w:val="105"/>
        </w:rPr>
        <w:t>políticos;</w:t>
      </w:r>
      <w:r>
        <w:rPr>
          <w:color w:val="231F20"/>
          <w:spacing w:val="-13"/>
          <w:w w:val="105"/>
        </w:rPr>
        <w:t> </w:t>
      </w:r>
      <w:r>
        <w:rPr>
          <w:color w:val="231F20"/>
          <w:w w:val="105"/>
        </w:rPr>
        <w:t>un</w:t>
      </w:r>
      <w:r>
        <w:rPr>
          <w:color w:val="231F20"/>
          <w:spacing w:val="-13"/>
          <w:w w:val="105"/>
        </w:rPr>
        <w:t> </w:t>
      </w:r>
      <w:r>
        <w:rPr>
          <w:color w:val="231F20"/>
          <w:w w:val="105"/>
        </w:rPr>
        <w:t>ir</w:t>
      </w:r>
      <w:r>
        <w:rPr>
          <w:color w:val="231F20"/>
          <w:spacing w:val="-13"/>
          <w:w w:val="105"/>
        </w:rPr>
        <w:t> </w:t>
      </w:r>
      <w:r>
        <w:rPr>
          <w:color w:val="231F20"/>
          <w:w w:val="105"/>
        </w:rPr>
        <w:t>y</w:t>
      </w:r>
      <w:r>
        <w:rPr>
          <w:color w:val="231F20"/>
          <w:spacing w:val="-13"/>
          <w:w w:val="105"/>
        </w:rPr>
        <w:t> </w:t>
      </w:r>
      <w:r>
        <w:rPr>
          <w:color w:val="231F20"/>
          <w:w w:val="105"/>
        </w:rPr>
        <w:t>venir</w:t>
      </w:r>
      <w:r>
        <w:rPr>
          <w:color w:val="231F20"/>
          <w:spacing w:val="-13"/>
          <w:w w:val="105"/>
        </w:rPr>
        <w:t> </w:t>
      </w:r>
      <w:r>
        <w:rPr>
          <w:color w:val="231F20"/>
          <w:w w:val="105"/>
        </w:rPr>
        <w:t>que</w:t>
      </w:r>
      <w:r>
        <w:rPr>
          <w:color w:val="231F20"/>
          <w:spacing w:val="-13"/>
          <w:w w:val="105"/>
        </w:rPr>
        <w:t> </w:t>
      </w:r>
      <w:r>
        <w:rPr>
          <w:color w:val="231F20"/>
          <w:w w:val="105"/>
        </w:rPr>
        <w:t>incluye</w:t>
      </w:r>
      <w:r>
        <w:rPr>
          <w:color w:val="231F20"/>
          <w:spacing w:val="-13"/>
          <w:w w:val="105"/>
        </w:rPr>
        <w:t> </w:t>
      </w:r>
      <w:r>
        <w:rPr>
          <w:color w:val="231F20"/>
          <w:w w:val="105"/>
        </w:rPr>
        <w:t>no</w:t>
      </w:r>
      <w:r>
        <w:rPr>
          <w:color w:val="231F20"/>
          <w:spacing w:val="-13"/>
          <w:w w:val="105"/>
        </w:rPr>
        <w:t> </w:t>
      </w:r>
      <w:r>
        <w:rPr>
          <w:color w:val="231F20"/>
          <w:w w:val="105"/>
        </w:rPr>
        <w:t>sólo</w:t>
      </w:r>
      <w:r>
        <w:rPr>
          <w:color w:val="231F20"/>
          <w:spacing w:val="-13"/>
          <w:w w:val="105"/>
        </w:rPr>
        <w:t> </w:t>
      </w:r>
      <w:r>
        <w:rPr>
          <w:color w:val="231F20"/>
          <w:w w:val="105"/>
        </w:rPr>
        <w:t>la</w:t>
      </w:r>
      <w:r>
        <w:rPr>
          <w:color w:val="231F20"/>
          <w:spacing w:val="-13"/>
          <w:w w:val="105"/>
        </w:rPr>
        <w:t> </w:t>
      </w:r>
      <w:r>
        <w:rPr>
          <w:color w:val="231F20"/>
          <w:w w:val="105"/>
        </w:rPr>
        <w:t>movilidad espacial de personas, sino también el constante intercambio transfron- terizo</w:t>
      </w:r>
      <w:r>
        <w:rPr>
          <w:color w:val="231F20"/>
          <w:spacing w:val="-8"/>
          <w:w w:val="105"/>
        </w:rPr>
        <w:t> </w:t>
      </w:r>
      <w:r>
        <w:rPr>
          <w:color w:val="231F20"/>
          <w:w w:val="105"/>
        </w:rPr>
        <w:t>de</w:t>
      </w:r>
      <w:r>
        <w:rPr>
          <w:color w:val="231F20"/>
          <w:spacing w:val="-8"/>
          <w:w w:val="105"/>
        </w:rPr>
        <w:t> </w:t>
      </w:r>
      <w:r>
        <w:rPr>
          <w:color w:val="231F20"/>
          <w:w w:val="105"/>
        </w:rPr>
        <w:t>recursos</w:t>
      </w:r>
      <w:r>
        <w:rPr>
          <w:color w:val="231F20"/>
          <w:spacing w:val="-8"/>
          <w:w w:val="105"/>
        </w:rPr>
        <w:t> </w:t>
      </w:r>
      <w:r>
        <w:rPr>
          <w:color w:val="231F20"/>
          <w:w w:val="105"/>
        </w:rPr>
        <w:t>y</w:t>
      </w:r>
      <w:r>
        <w:rPr>
          <w:color w:val="231F20"/>
          <w:spacing w:val="-8"/>
          <w:w w:val="105"/>
        </w:rPr>
        <w:t> </w:t>
      </w:r>
      <w:r>
        <w:rPr>
          <w:color w:val="231F20"/>
          <w:w w:val="105"/>
        </w:rPr>
        <w:t>discursos;</w:t>
      </w:r>
      <w:r>
        <w:rPr>
          <w:color w:val="231F20"/>
          <w:spacing w:val="-8"/>
          <w:w w:val="105"/>
        </w:rPr>
        <w:t> </w:t>
      </w:r>
      <w:r>
        <w:rPr>
          <w:color w:val="231F20"/>
          <w:w w:val="105"/>
        </w:rPr>
        <w:t>prácticas</w:t>
      </w:r>
      <w:r>
        <w:rPr>
          <w:color w:val="231F20"/>
          <w:spacing w:val="-8"/>
          <w:w w:val="105"/>
        </w:rPr>
        <w:t> </w:t>
      </w:r>
      <w:r>
        <w:rPr>
          <w:color w:val="231F20"/>
          <w:w w:val="105"/>
        </w:rPr>
        <w:t>y</w:t>
      </w:r>
      <w:r>
        <w:rPr>
          <w:color w:val="231F20"/>
          <w:spacing w:val="-8"/>
          <w:w w:val="105"/>
        </w:rPr>
        <w:t> </w:t>
      </w:r>
      <w:r>
        <w:rPr>
          <w:color w:val="231F20"/>
          <w:w w:val="105"/>
        </w:rPr>
        <w:t>símbolos</w:t>
      </w:r>
      <w:r>
        <w:rPr>
          <w:color w:val="231F20"/>
          <w:spacing w:val="-8"/>
          <w:w w:val="105"/>
        </w:rPr>
        <w:t> </w:t>
      </w:r>
      <w:r>
        <w:rPr>
          <w:color w:val="231F20"/>
          <w:w w:val="105"/>
        </w:rPr>
        <w:t>sociales,</w:t>
      </w:r>
      <w:r>
        <w:rPr>
          <w:color w:val="231F20"/>
          <w:spacing w:val="-13"/>
          <w:w w:val="105"/>
        </w:rPr>
        <w:t> </w:t>
      </w:r>
      <w:r>
        <w:rPr>
          <w:color w:val="231F20"/>
          <w:w w:val="105"/>
        </w:rPr>
        <w:t>culturales, económicos,</w:t>
      </w:r>
      <w:r>
        <w:rPr>
          <w:color w:val="231F20"/>
          <w:spacing w:val="-11"/>
          <w:w w:val="105"/>
        </w:rPr>
        <w:t> </w:t>
      </w:r>
      <w:r>
        <w:rPr>
          <w:color w:val="231F20"/>
          <w:w w:val="105"/>
        </w:rPr>
        <w:t>políticos</w:t>
      </w:r>
      <w:r>
        <w:rPr>
          <w:color w:val="231F20"/>
          <w:spacing w:val="-6"/>
          <w:w w:val="105"/>
        </w:rPr>
        <w:t> </w:t>
      </w:r>
      <w:r>
        <w:rPr>
          <w:color w:val="231F20"/>
          <w:w w:val="105"/>
        </w:rPr>
        <w:t>y</w:t>
      </w:r>
      <w:r>
        <w:rPr>
          <w:color w:val="231F20"/>
          <w:spacing w:val="-6"/>
          <w:w w:val="105"/>
        </w:rPr>
        <w:t> </w:t>
      </w:r>
      <w:r>
        <w:rPr>
          <w:color w:val="231F20"/>
          <w:w w:val="105"/>
        </w:rPr>
        <w:t>demás,</w:t>
      </w:r>
      <w:r>
        <w:rPr>
          <w:color w:val="231F20"/>
          <w:spacing w:val="-11"/>
          <w:w w:val="105"/>
        </w:rPr>
        <w:t> </w:t>
      </w:r>
      <w:r>
        <w:rPr>
          <w:color w:val="231F20"/>
          <w:w w:val="105"/>
        </w:rPr>
        <w:t>que</w:t>
      </w:r>
      <w:r>
        <w:rPr>
          <w:color w:val="231F20"/>
          <w:spacing w:val="-6"/>
          <w:w w:val="105"/>
        </w:rPr>
        <w:t> </w:t>
      </w:r>
      <w:r>
        <w:rPr>
          <w:color w:val="231F20"/>
          <w:w w:val="105"/>
        </w:rPr>
        <w:t>engendra</w:t>
      </w:r>
      <w:r>
        <w:rPr>
          <w:color w:val="231F20"/>
          <w:spacing w:val="-6"/>
          <w:w w:val="105"/>
        </w:rPr>
        <w:t> </w:t>
      </w:r>
      <w:r>
        <w:rPr>
          <w:color w:val="231F20"/>
          <w:w w:val="105"/>
        </w:rPr>
        <w:t>la</w:t>
      </w:r>
      <w:r>
        <w:rPr>
          <w:color w:val="231F20"/>
          <w:spacing w:val="-6"/>
          <w:w w:val="105"/>
        </w:rPr>
        <w:t> </w:t>
      </w:r>
      <w:r>
        <w:rPr>
          <w:color w:val="231F20"/>
          <w:w w:val="105"/>
        </w:rPr>
        <w:t>formación</w:t>
      </w:r>
      <w:r>
        <w:rPr>
          <w:color w:val="231F20"/>
          <w:spacing w:val="-6"/>
          <w:w w:val="105"/>
        </w:rPr>
        <w:t> </w:t>
      </w:r>
      <w:r>
        <w:rPr>
          <w:color w:val="231F20"/>
          <w:w w:val="105"/>
        </w:rPr>
        <w:t>e</w:t>
      </w:r>
      <w:r>
        <w:rPr>
          <w:color w:val="231F20"/>
          <w:spacing w:val="-6"/>
          <w:w w:val="105"/>
        </w:rPr>
        <w:t> </w:t>
      </w:r>
      <w:r>
        <w:rPr>
          <w:color w:val="231F20"/>
          <w:w w:val="105"/>
        </w:rPr>
        <w:t>interpreta- ción de múltiples identidades y posicionalidades del sujeto” (Guarnizo, 2010:</w:t>
      </w:r>
      <w:r>
        <w:rPr>
          <w:color w:val="231F20"/>
          <w:spacing w:val="-22"/>
          <w:w w:val="105"/>
        </w:rPr>
        <w:t> </w:t>
      </w:r>
      <w:r>
        <w:rPr>
          <w:color w:val="231F20"/>
          <w:w w:val="105"/>
        </w:rPr>
        <w:t>60).</w:t>
      </w:r>
      <w:r>
        <w:rPr>
          <w:color w:val="231F20"/>
          <w:spacing w:val="-27"/>
          <w:w w:val="105"/>
        </w:rPr>
        <w:t> </w:t>
      </w:r>
      <w:r>
        <w:rPr>
          <w:color w:val="231F20"/>
          <w:w w:val="105"/>
        </w:rPr>
        <w:t>Este</w:t>
      </w:r>
      <w:r>
        <w:rPr>
          <w:color w:val="231F20"/>
          <w:spacing w:val="-22"/>
          <w:w w:val="105"/>
        </w:rPr>
        <w:t> </w:t>
      </w:r>
      <w:r>
        <w:rPr>
          <w:color w:val="231F20"/>
          <w:w w:val="105"/>
        </w:rPr>
        <w:t>planteamiento</w:t>
      </w:r>
      <w:r>
        <w:rPr>
          <w:color w:val="231F20"/>
          <w:spacing w:val="-22"/>
          <w:w w:val="105"/>
        </w:rPr>
        <w:t> </w:t>
      </w:r>
      <w:r>
        <w:rPr>
          <w:color w:val="231F20"/>
          <w:w w:val="105"/>
        </w:rPr>
        <w:t>que</w:t>
      </w:r>
      <w:r>
        <w:rPr>
          <w:color w:val="231F20"/>
          <w:spacing w:val="-22"/>
          <w:w w:val="105"/>
        </w:rPr>
        <w:t> </w:t>
      </w:r>
      <w:r>
        <w:rPr>
          <w:color w:val="231F20"/>
          <w:w w:val="105"/>
        </w:rPr>
        <w:t>conjuga</w:t>
      </w:r>
      <w:r>
        <w:rPr>
          <w:color w:val="231F20"/>
          <w:spacing w:val="-22"/>
          <w:w w:val="105"/>
        </w:rPr>
        <w:t> </w:t>
      </w:r>
      <w:r>
        <w:rPr>
          <w:color w:val="231F20"/>
          <w:w w:val="105"/>
        </w:rPr>
        <w:t>lo</w:t>
      </w:r>
      <w:r>
        <w:rPr>
          <w:color w:val="231F20"/>
          <w:spacing w:val="-22"/>
          <w:w w:val="105"/>
        </w:rPr>
        <w:t> </w:t>
      </w:r>
      <w:r>
        <w:rPr>
          <w:color w:val="231F20"/>
          <w:w w:val="105"/>
        </w:rPr>
        <w:t>material</w:t>
      </w:r>
      <w:r>
        <w:rPr>
          <w:color w:val="231F20"/>
          <w:spacing w:val="-22"/>
          <w:w w:val="105"/>
        </w:rPr>
        <w:t> </w:t>
      </w:r>
      <w:r>
        <w:rPr>
          <w:color w:val="231F20"/>
          <w:w w:val="105"/>
        </w:rPr>
        <w:t>y</w:t>
      </w:r>
      <w:r>
        <w:rPr>
          <w:color w:val="231F20"/>
          <w:spacing w:val="-22"/>
          <w:w w:val="105"/>
        </w:rPr>
        <w:t> </w:t>
      </w:r>
      <w:r>
        <w:rPr>
          <w:color w:val="231F20"/>
          <w:w w:val="105"/>
        </w:rPr>
        <w:t>lo</w:t>
      </w:r>
      <w:r>
        <w:rPr>
          <w:color w:val="231F20"/>
          <w:spacing w:val="-22"/>
          <w:w w:val="105"/>
        </w:rPr>
        <w:t> </w:t>
      </w:r>
      <w:r>
        <w:rPr>
          <w:color w:val="231F20"/>
          <w:w w:val="105"/>
        </w:rPr>
        <w:t>simbólico</w:t>
      </w:r>
      <w:r>
        <w:rPr>
          <w:color w:val="231F20"/>
          <w:spacing w:val="-22"/>
          <w:w w:val="105"/>
        </w:rPr>
        <w:t> </w:t>
      </w:r>
      <w:r>
        <w:rPr>
          <w:color w:val="231F20"/>
          <w:w w:val="105"/>
        </w:rPr>
        <w:t>es</w:t>
      </w:r>
      <w:r>
        <w:rPr>
          <w:color w:val="231F20"/>
          <w:spacing w:val="-22"/>
          <w:w w:val="105"/>
        </w:rPr>
        <w:t> </w:t>
      </w:r>
      <w:r>
        <w:rPr>
          <w:color w:val="231F20"/>
          <w:w w:val="105"/>
        </w:rPr>
        <w:t>el punto</w:t>
      </w:r>
      <w:r>
        <w:rPr>
          <w:color w:val="231F20"/>
          <w:spacing w:val="-8"/>
          <w:w w:val="105"/>
        </w:rPr>
        <w:t> </w:t>
      </w:r>
      <w:r>
        <w:rPr>
          <w:color w:val="231F20"/>
          <w:w w:val="105"/>
        </w:rPr>
        <w:t>de</w:t>
      </w:r>
      <w:r>
        <w:rPr>
          <w:color w:val="231F20"/>
          <w:spacing w:val="-8"/>
          <w:w w:val="105"/>
        </w:rPr>
        <w:t> </w:t>
      </w:r>
      <w:r>
        <w:rPr>
          <w:color w:val="231F20"/>
          <w:w w:val="105"/>
        </w:rPr>
        <w:t>partida</w:t>
      </w:r>
      <w:r>
        <w:rPr>
          <w:color w:val="231F20"/>
          <w:spacing w:val="-8"/>
          <w:w w:val="105"/>
        </w:rPr>
        <w:t> </w:t>
      </w:r>
      <w:r>
        <w:rPr>
          <w:color w:val="231F20"/>
          <w:w w:val="105"/>
        </w:rPr>
        <w:t>para</w:t>
      </w:r>
      <w:r>
        <w:rPr>
          <w:color w:val="231F20"/>
          <w:spacing w:val="-8"/>
          <w:w w:val="105"/>
        </w:rPr>
        <w:t> </w:t>
      </w:r>
      <w:r>
        <w:rPr>
          <w:color w:val="231F20"/>
          <w:w w:val="105"/>
        </w:rPr>
        <w:t>los</w:t>
      </w:r>
      <w:r>
        <w:rPr>
          <w:color w:val="231F20"/>
          <w:spacing w:val="-8"/>
          <w:w w:val="105"/>
        </w:rPr>
        <w:t> </w:t>
      </w:r>
      <w:r>
        <w:rPr>
          <w:color w:val="231F20"/>
          <w:w w:val="105"/>
        </w:rPr>
        <w:t>estudios</w:t>
      </w:r>
      <w:r>
        <w:rPr>
          <w:color w:val="231F20"/>
          <w:spacing w:val="-8"/>
          <w:w w:val="105"/>
        </w:rPr>
        <w:t> </w:t>
      </w:r>
      <w:r>
        <w:rPr>
          <w:color w:val="231F20"/>
          <w:w w:val="105"/>
        </w:rPr>
        <w:t>migratorios</w:t>
      </w:r>
      <w:r>
        <w:rPr>
          <w:color w:val="231F20"/>
          <w:spacing w:val="-8"/>
          <w:w w:val="105"/>
        </w:rPr>
        <w:t> </w:t>
      </w:r>
      <w:r>
        <w:rPr>
          <w:color w:val="231F20"/>
          <w:w w:val="105"/>
        </w:rPr>
        <w:t>contemporáneos.</w:t>
      </w:r>
    </w:p>
    <w:p>
      <w:pPr>
        <w:pStyle w:val="BodyText"/>
        <w:spacing w:line="261" w:lineRule="auto" w:before="1"/>
        <w:ind w:left="1837" w:right="1715" w:firstLine="567"/>
        <w:jc w:val="both"/>
      </w:pPr>
      <w:r>
        <w:rPr>
          <w:color w:val="231F20"/>
          <w:w w:val="105"/>
        </w:rPr>
        <w:t>Las cinco fases que conforman la movilidad México-Estados</w:t>
      </w:r>
      <w:r>
        <w:rPr>
          <w:color w:val="231F20"/>
          <w:spacing w:val="-9"/>
          <w:w w:val="105"/>
        </w:rPr>
        <w:t> </w:t>
      </w:r>
      <w:r>
        <w:rPr>
          <w:color w:val="231F20"/>
          <w:w w:val="105"/>
        </w:rPr>
        <w:t>Uni- dos,</w:t>
      </w:r>
      <w:r>
        <w:rPr>
          <w:color w:val="231F20"/>
          <w:spacing w:val="-20"/>
          <w:w w:val="105"/>
        </w:rPr>
        <w:t> </w:t>
      </w:r>
      <w:r>
        <w:rPr>
          <w:color w:val="231F20"/>
          <w:w w:val="105"/>
        </w:rPr>
        <w:t>el</w:t>
      </w:r>
      <w:r>
        <w:rPr>
          <w:color w:val="231F20"/>
          <w:spacing w:val="-15"/>
          <w:w w:val="105"/>
        </w:rPr>
        <w:t> </w:t>
      </w:r>
      <w:r>
        <w:rPr>
          <w:color w:val="231F20"/>
          <w:w w:val="105"/>
        </w:rPr>
        <w:t>enganche</w:t>
      </w:r>
      <w:r>
        <w:rPr>
          <w:color w:val="231F20"/>
          <w:spacing w:val="-15"/>
          <w:w w:val="105"/>
        </w:rPr>
        <w:t> </w:t>
      </w:r>
      <w:r>
        <w:rPr>
          <w:color w:val="231F20"/>
          <w:w w:val="105"/>
        </w:rPr>
        <w:t>(1900-1920),</w:t>
      </w:r>
      <w:r>
        <w:rPr>
          <w:color w:val="231F20"/>
          <w:spacing w:val="-20"/>
          <w:w w:val="105"/>
        </w:rPr>
        <w:t> </w:t>
      </w:r>
      <w:r>
        <w:rPr>
          <w:color w:val="231F20"/>
          <w:w w:val="105"/>
        </w:rPr>
        <w:t>las</w:t>
      </w:r>
      <w:r>
        <w:rPr>
          <w:color w:val="231F20"/>
          <w:spacing w:val="-15"/>
          <w:w w:val="105"/>
        </w:rPr>
        <w:t> </w:t>
      </w:r>
      <w:r>
        <w:rPr>
          <w:color w:val="231F20"/>
          <w:w w:val="105"/>
        </w:rPr>
        <w:t>deportaciones</w:t>
      </w:r>
      <w:r>
        <w:rPr>
          <w:color w:val="231F20"/>
          <w:spacing w:val="-15"/>
          <w:w w:val="105"/>
        </w:rPr>
        <w:t> </w:t>
      </w:r>
      <w:r>
        <w:rPr>
          <w:color w:val="231F20"/>
          <w:w w:val="105"/>
        </w:rPr>
        <w:t>(caracterizado</w:t>
      </w:r>
      <w:r>
        <w:rPr>
          <w:color w:val="231F20"/>
          <w:spacing w:val="-15"/>
          <w:w w:val="105"/>
        </w:rPr>
        <w:t> </w:t>
      </w:r>
      <w:r>
        <w:rPr>
          <w:color w:val="231F20"/>
          <w:w w:val="105"/>
        </w:rPr>
        <w:t>por</w:t>
      </w:r>
      <w:r>
        <w:rPr>
          <w:color w:val="231F20"/>
          <w:spacing w:val="-15"/>
          <w:w w:val="105"/>
        </w:rPr>
        <w:t> </w:t>
      </w:r>
      <w:r>
        <w:rPr>
          <w:color w:val="231F20"/>
          <w:w w:val="105"/>
        </w:rPr>
        <w:t>tres ciclos</w:t>
      </w:r>
      <w:r>
        <w:rPr>
          <w:color w:val="231F20"/>
          <w:spacing w:val="-10"/>
          <w:w w:val="105"/>
        </w:rPr>
        <w:t> </w:t>
      </w:r>
      <w:r>
        <w:rPr>
          <w:color w:val="231F20"/>
          <w:w w:val="105"/>
        </w:rPr>
        <w:t>de</w:t>
      </w:r>
      <w:r>
        <w:rPr>
          <w:color w:val="231F20"/>
          <w:spacing w:val="-10"/>
          <w:w w:val="105"/>
        </w:rPr>
        <w:t> </w:t>
      </w:r>
      <w:r>
        <w:rPr>
          <w:color w:val="231F20"/>
          <w:w w:val="105"/>
        </w:rPr>
        <w:t>retorno</w:t>
      </w:r>
      <w:r>
        <w:rPr>
          <w:color w:val="231F20"/>
          <w:spacing w:val="-10"/>
          <w:w w:val="105"/>
        </w:rPr>
        <w:t> </w:t>
      </w:r>
      <w:r>
        <w:rPr>
          <w:color w:val="231F20"/>
          <w:w w:val="105"/>
        </w:rPr>
        <w:t>masivo</w:t>
      </w:r>
      <w:r>
        <w:rPr>
          <w:color w:val="231F20"/>
          <w:spacing w:val="-10"/>
          <w:w w:val="105"/>
        </w:rPr>
        <w:t> </w:t>
      </w:r>
      <w:r>
        <w:rPr>
          <w:color w:val="231F20"/>
          <w:w w:val="105"/>
        </w:rPr>
        <w:t>1921,</w:t>
      </w:r>
      <w:r>
        <w:rPr>
          <w:color w:val="231F20"/>
          <w:spacing w:val="-15"/>
          <w:w w:val="105"/>
        </w:rPr>
        <w:t> </w:t>
      </w:r>
      <w:r>
        <w:rPr>
          <w:color w:val="231F20"/>
          <w:w w:val="105"/>
        </w:rPr>
        <w:t>1929-1932</w:t>
      </w:r>
      <w:r>
        <w:rPr>
          <w:color w:val="231F20"/>
          <w:spacing w:val="-10"/>
          <w:w w:val="105"/>
        </w:rPr>
        <w:t> </w:t>
      </w:r>
      <w:r>
        <w:rPr>
          <w:color w:val="231F20"/>
          <w:w w:val="105"/>
        </w:rPr>
        <w:t>y</w:t>
      </w:r>
      <w:r>
        <w:rPr>
          <w:color w:val="231F20"/>
          <w:spacing w:val="-10"/>
          <w:w w:val="105"/>
        </w:rPr>
        <w:t> </w:t>
      </w:r>
      <w:r>
        <w:rPr>
          <w:color w:val="231F20"/>
          <w:w w:val="105"/>
        </w:rPr>
        <w:t>1939),</w:t>
      </w:r>
      <w:r>
        <w:rPr>
          <w:color w:val="231F20"/>
          <w:spacing w:val="-15"/>
          <w:w w:val="105"/>
        </w:rPr>
        <w:t> </w:t>
      </w:r>
      <w:r>
        <w:rPr>
          <w:color w:val="231F20"/>
          <w:w w:val="105"/>
        </w:rPr>
        <w:t>el</w:t>
      </w:r>
      <w:r>
        <w:rPr>
          <w:color w:val="231F20"/>
          <w:spacing w:val="-10"/>
          <w:w w:val="105"/>
        </w:rPr>
        <w:t> </w:t>
      </w:r>
      <w:r>
        <w:rPr>
          <w:color w:val="231F20"/>
          <w:spacing w:val="-3"/>
          <w:w w:val="105"/>
        </w:rPr>
        <w:t>Programa</w:t>
      </w:r>
      <w:r>
        <w:rPr>
          <w:color w:val="231F20"/>
          <w:spacing w:val="-10"/>
          <w:w w:val="105"/>
        </w:rPr>
        <w:t> </w:t>
      </w:r>
      <w:r>
        <w:rPr>
          <w:color w:val="231F20"/>
          <w:w w:val="105"/>
        </w:rPr>
        <w:t>Bracero (1942-1964), la movilización sin documentos (1965-1986) y la legaliza- ción-clandestinidad (1987) que se presenta a partir de la amnistía otor- gada</w:t>
      </w:r>
      <w:r>
        <w:rPr>
          <w:color w:val="231F20"/>
          <w:spacing w:val="-20"/>
          <w:w w:val="105"/>
        </w:rPr>
        <w:t> </w:t>
      </w:r>
      <w:r>
        <w:rPr>
          <w:color w:val="231F20"/>
          <w:w w:val="105"/>
        </w:rPr>
        <w:t>por</w:t>
      </w:r>
      <w:r>
        <w:rPr>
          <w:color w:val="231F20"/>
          <w:spacing w:val="-20"/>
          <w:w w:val="105"/>
        </w:rPr>
        <w:t> </w:t>
      </w:r>
      <w:r>
        <w:rPr>
          <w:color w:val="231F20"/>
          <w:w w:val="105"/>
        </w:rPr>
        <w:t>la</w:t>
      </w:r>
      <w:r>
        <w:rPr>
          <w:color w:val="231F20"/>
          <w:spacing w:val="-20"/>
          <w:w w:val="105"/>
        </w:rPr>
        <w:t> </w:t>
      </w:r>
      <w:r>
        <w:rPr>
          <w:color w:val="231F20"/>
          <w:w w:val="105"/>
        </w:rPr>
        <w:t>Inmigration</w:t>
      </w:r>
      <w:r>
        <w:rPr>
          <w:color w:val="231F20"/>
          <w:spacing w:val="-20"/>
          <w:w w:val="105"/>
        </w:rPr>
        <w:t> </w:t>
      </w:r>
      <w:r>
        <w:rPr>
          <w:color w:val="231F20"/>
          <w:w w:val="105"/>
        </w:rPr>
        <w:t>Reform</w:t>
      </w:r>
      <w:r>
        <w:rPr>
          <w:color w:val="231F20"/>
          <w:spacing w:val="-20"/>
          <w:w w:val="105"/>
        </w:rPr>
        <w:t> </w:t>
      </w:r>
      <w:r>
        <w:rPr>
          <w:color w:val="231F20"/>
          <w:w w:val="105"/>
        </w:rPr>
        <w:t>and</w:t>
      </w:r>
      <w:r>
        <w:rPr>
          <w:color w:val="231F20"/>
          <w:spacing w:val="-20"/>
          <w:w w:val="105"/>
        </w:rPr>
        <w:t> </w:t>
      </w:r>
      <w:r>
        <w:rPr>
          <w:color w:val="231F20"/>
          <w:w w:val="105"/>
        </w:rPr>
        <w:t>Control</w:t>
      </w:r>
      <w:r>
        <w:rPr>
          <w:color w:val="231F20"/>
          <w:spacing w:val="-23"/>
          <w:w w:val="105"/>
        </w:rPr>
        <w:t> </w:t>
      </w:r>
      <w:r>
        <w:rPr>
          <w:color w:val="231F20"/>
          <w:w w:val="105"/>
        </w:rPr>
        <w:t>Act</w:t>
      </w:r>
      <w:r>
        <w:rPr>
          <w:color w:val="231F20"/>
          <w:spacing w:val="-20"/>
          <w:w w:val="105"/>
        </w:rPr>
        <w:t> </w:t>
      </w:r>
      <w:r>
        <w:rPr>
          <w:color w:val="231F20"/>
          <w:w w:val="105"/>
        </w:rPr>
        <w:t>(</w:t>
      </w:r>
      <w:r>
        <w:rPr>
          <w:color w:val="231F20"/>
          <w:w w:val="105"/>
          <w:sz w:val="17"/>
        </w:rPr>
        <w:t>IRCA</w:t>
      </w:r>
      <w:r>
        <w:rPr>
          <w:color w:val="231F20"/>
          <w:w w:val="105"/>
        </w:rPr>
        <w:t>)</w:t>
      </w:r>
      <w:r>
        <w:rPr>
          <w:color w:val="231F20"/>
          <w:spacing w:val="-20"/>
          <w:w w:val="105"/>
        </w:rPr>
        <w:t> </w:t>
      </w:r>
      <w:r>
        <w:rPr>
          <w:color w:val="231F20"/>
          <w:w w:val="105"/>
        </w:rPr>
        <w:t>(Durand</w:t>
      </w:r>
      <w:r>
        <w:rPr>
          <w:color w:val="231F20"/>
          <w:spacing w:val="-20"/>
          <w:w w:val="105"/>
        </w:rPr>
        <w:t> </w:t>
      </w:r>
      <w:r>
        <w:rPr>
          <w:color w:val="231F20"/>
          <w:w w:val="105"/>
        </w:rPr>
        <w:t>y</w:t>
      </w:r>
      <w:r>
        <w:rPr>
          <w:color w:val="231F20"/>
          <w:spacing w:val="-20"/>
          <w:w w:val="105"/>
        </w:rPr>
        <w:t> </w:t>
      </w:r>
      <w:r>
        <w:rPr>
          <w:color w:val="231F20"/>
          <w:w w:val="105"/>
        </w:rPr>
        <w:t>Massey, 2003),</w:t>
      </w:r>
      <w:r>
        <w:rPr>
          <w:color w:val="231F20"/>
          <w:spacing w:val="-33"/>
          <w:w w:val="105"/>
        </w:rPr>
        <w:t> </w:t>
      </w:r>
      <w:r>
        <w:rPr>
          <w:color w:val="231F20"/>
          <w:w w:val="105"/>
        </w:rPr>
        <w:t>están</w:t>
      </w:r>
      <w:r>
        <w:rPr>
          <w:color w:val="231F20"/>
          <w:spacing w:val="-30"/>
          <w:w w:val="105"/>
        </w:rPr>
        <w:t> </w:t>
      </w:r>
      <w:r>
        <w:rPr>
          <w:color w:val="231F20"/>
          <w:w w:val="105"/>
        </w:rPr>
        <w:t>marcadas</w:t>
      </w:r>
      <w:r>
        <w:rPr>
          <w:color w:val="231F20"/>
          <w:spacing w:val="-30"/>
          <w:w w:val="105"/>
        </w:rPr>
        <w:t> </w:t>
      </w:r>
      <w:r>
        <w:rPr>
          <w:color w:val="231F20"/>
          <w:w w:val="105"/>
        </w:rPr>
        <w:t>por</w:t>
      </w:r>
      <w:r>
        <w:rPr>
          <w:color w:val="231F20"/>
          <w:spacing w:val="-30"/>
          <w:w w:val="105"/>
        </w:rPr>
        <w:t> </w:t>
      </w:r>
      <w:r>
        <w:rPr>
          <w:color w:val="231F20"/>
          <w:w w:val="105"/>
        </w:rPr>
        <w:t>las</w:t>
      </w:r>
      <w:r>
        <w:rPr>
          <w:color w:val="231F20"/>
          <w:spacing w:val="-30"/>
          <w:w w:val="105"/>
        </w:rPr>
        <w:t> </w:t>
      </w:r>
      <w:r>
        <w:rPr>
          <w:color w:val="231F20"/>
          <w:w w:val="105"/>
        </w:rPr>
        <w:t>ventajas</w:t>
      </w:r>
      <w:r>
        <w:rPr>
          <w:color w:val="231F20"/>
          <w:spacing w:val="-30"/>
          <w:w w:val="105"/>
        </w:rPr>
        <w:t> </w:t>
      </w:r>
      <w:r>
        <w:rPr>
          <w:color w:val="231F20"/>
          <w:w w:val="105"/>
        </w:rPr>
        <w:t>económicas</w:t>
      </w:r>
      <w:r>
        <w:rPr>
          <w:color w:val="231F20"/>
          <w:spacing w:val="-30"/>
          <w:w w:val="105"/>
        </w:rPr>
        <w:t> </w:t>
      </w:r>
      <w:r>
        <w:rPr>
          <w:color w:val="231F20"/>
          <w:w w:val="105"/>
        </w:rPr>
        <w:t>que</w:t>
      </w:r>
      <w:r>
        <w:rPr>
          <w:color w:val="231F20"/>
          <w:spacing w:val="-30"/>
          <w:w w:val="105"/>
        </w:rPr>
        <w:t> </w:t>
      </w:r>
      <w:r>
        <w:rPr>
          <w:color w:val="231F20"/>
          <w:w w:val="105"/>
        </w:rPr>
        <w:t>los</w:t>
      </w:r>
      <w:r>
        <w:rPr>
          <w:color w:val="231F20"/>
          <w:spacing w:val="-30"/>
          <w:w w:val="105"/>
        </w:rPr>
        <w:t> </w:t>
      </w:r>
      <w:r>
        <w:rPr>
          <w:color w:val="231F20"/>
          <w:w w:val="105"/>
        </w:rPr>
        <w:t>mexicanos</w:t>
      </w:r>
      <w:r>
        <w:rPr>
          <w:color w:val="231F20"/>
          <w:spacing w:val="-30"/>
          <w:w w:val="105"/>
        </w:rPr>
        <w:t> </w:t>
      </w:r>
      <w:r>
        <w:rPr>
          <w:color w:val="231F20"/>
          <w:w w:val="105"/>
        </w:rPr>
        <w:t>(y sus</w:t>
      </w:r>
      <w:r>
        <w:rPr>
          <w:color w:val="231F20"/>
          <w:spacing w:val="-20"/>
          <w:w w:val="105"/>
        </w:rPr>
        <w:t> </w:t>
      </w:r>
      <w:r>
        <w:rPr>
          <w:color w:val="231F20"/>
          <w:w w:val="105"/>
        </w:rPr>
        <w:t>familias)</w:t>
      </w:r>
      <w:r>
        <w:rPr>
          <w:color w:val="231F20"/>
          <w:spacing w:val="-20"/>
          <w:w w:val="105"/>
        </w:rPr>
        <w:t> </w:t>
      </w:r>
      <w:r>
        <w:rPr>
          <w:color w:val="231F20"/>
          <w:w w:val="105"/>
        </w:rPr>
        <w:t>advierten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país</w:t>
      </w:r>
      <w:r>
        <w:rPr>
          <w:color w:val="231F20"/>
          <w:spacing w:val="-20"/>
          <w:w w:val="105"/>
        </w:rPr>
        <w:t> </w:t>
      </w:r>
      <w:r>
        <w:rPr>
          <w:color w:val="231F20"/>
          <w:w w:val="105"/>
        </w:rPr>
        <w:t>vecino.</w:t>
      </w:r>
      <w:r>
        <w:rPr>
          <w:color w:val="231F20"/>
          <w:spacing w:val="-24"/>
          <w:w w:val="105"/>
        </w:rPr>
        <w:t> </w:t>
      </w:r>
      <w:r>
        <w:rPr>
          <w:color w:val="231F20"/>
          <w:w w:val="105"/>
        </w:rPr>
        <w:t>En</w:t>
      </w:r>
      <w:r>
        <w:rPr>
          <w:color w:val="231F20"/>
          <w:spacing w:val="-20"/>
          <w:w w:val="105"/>
        </w:rPr>
        <w:t> </w:t>
      </w:r>
      <w:r>
        <w:rPr>
          <w:color w:val="231F20"/>
          <w:w w:val="105"/>
        </w:rPr>
        <w:t>consecuencia,</w:t>
      </w:r>
      <w:r>
        <w:rPr>
          <w:color w:val="231F20"/>
          <w:spacing w:val="-24"/>
          <w:w w:val="105"/>
        </w:rPr>
        <w:t> </w:t>
      </w:r>
      <w:r>
        <w:rPr>
          <w:color w:val="231F20"/>
          <w:w w:val="105"/>
        </w:rPr>
        <w:t>los</w:t>
      </w:r>
      <w:r>
        <w:rPr>
          <w:color w:val="231F20"/>
          <w:spacing w:val="-20"/>
          <w:w w:val="105"/>
        </w:rPr>
        <w:t> </w:t>
      </w:r>
      <w:r>
        <w:rPr>
          <w:color w:val="231F20"/>
          <w:w w:val="105"/>
        </w:rPr>
        <w:t>migrantes optan</w:t>
      </w:r>
      <w:r>
        <w:rPr>
          <w:color w:val="231F20"/>
          <w:spacing w:val="-6"/>
          <w:w w:val="105"/>
        </w:rPr>
        <w:t> </w:t>
      </w:r>
      <w:r>
        <w:rPr>
          <w:color w:val="231F20"/>
          <w:w w:val="105"/>
        </w:rPr>
        <w:t>por</w:t>
      </w:r>
      <w:r>
        <w:rPr>
          <w:color w:val="231F20"/>
          <w:spacing w:val="-6"/>
          <w:w w:val="105"/>
        </w:rPr>
        <w:t> </w:t>
      </w:r>
      <w:r>
        <w:rPr>
          <w:color w:val="231F20"/>
          <w:w w:val="105"/>
        </w:rPr>
        <w:t>perforar</w:t>
      </w:r>
      <w:r>
        <w:rPr>
          <w:color w:val="231F20"/>
          <w:spacing w:val="-6"/>
          <w:w w:val="105"/>
        </w:rPr>
        <w:t> </w:t>
      </w:r>
      <w:r>
        <w:rPr>
          <w:color w:val="231F20"/>
          <w:w w:val="105"/>
        </w:rPr>
        <w:t>las</w:t>
      </w:r>
      <w:r>
        <w:rPr>
          <w:color w:val="231F20"/>
          <w:spacing w:val="-6"/>
          <w:w w:val="105"/>
        </w:rPr>
        <w:t> </w:t>
      </w:r>
      <w:r>
        <w:rPr>
          <w:color w:val="231F20"/>
          <w:w w:val="105"/>
        </w:rPr>
        <w:t>fronteras</w:t>
      </w:r>
      <w:r>
        <w:rPr>
          <w:color w:val="231F20"/>
          <w:spacing w:val="-6"/>
          <w:w w:val="105"/>
        </w:rPr>
        <w:t> </w:t>
      </w:r>
      <w:r>
        <w:rPr>
          <w:color w:val="231F20"/>
          <w:w w:val="105"/>
        </w:rPr>
        <w:t>a</w:t>
      </w:r>
      <w:r>
        <w:rPr>
          <w:color w:val="231F20"/>
          <w:spacing w:val="-6"/>
          <w:w w:val="105"/>
        </w:rPr>
        <w:t> </w:t>
      </w:r>
      <w:r>
        <w:rPr>
          <w:color w:val="231F20"/>
          <w:w w:val="105"/>
        </w:rPr>
        <w:t>pesar</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peligros</w:t>
      </w:r>
      <w:r>
        <w:rPr>
          <w:color w:val="231F20"/>
          <w:spacing w:val="-6"/>
          <w:w w:val="105"/>
        </w:rPr>
        <w:t> </w:t>
      </w:r>
      <w:r>
        <w:rPr>
          <w:color w:val="231F20"/>
          <w:w w:val="105"/>
        </w:rPr>
        <w:t>y</w:t>
      </w:r>
      <w:r>
        <w:rPr>
          <w:color w:val="231F20"/>
          <w:spacing w:val="-6"/>
          <w:w w:val="105"/>
        </w:rPr>
        <w:t> </w:t>
      </w:r>
      <w:r>
        <w:rPr>
          <w:color w:val="231F20"/>
          <w:w w:val="105"/>
        </w:rPr>
        <w:t>amenazas</w:t>
      </w:r>
      <w:r>
        <w:rPr>
          <w:color w:val="231F20"/>
          <w:spacing w:val="-6"/>
          <w:w w:val="105"/>
        </w:rPr>
        <w:t> </w:t>
      </w:r>
      <w:r>
        <w:rPr>
          <w:color w:val="231F20"/>
          <w:w w:val="105"/>
        </w:rPr>
        <w:t>que representan las restricciones y operativos de seguridad por parte de la policía</w:t>
      </w:r>
      <w:r>
        <w:rPr>
          <w:color w:val="231F20"/>
          <w:spacing w:val="-23"/>
          <w:w w:val="105"/>
        </w:rPr>
        <w:t> </w:t>
      </w:r>
      <w:r>
        <w:rPr>
          <w:color w:val="231F20"/>
          <w:w w:val="105"/>
        </w:rPr>
        <w:t>fronteriza.</w:t>
      </w:r>
    </w:p>
    <w:p>
      <w:pPr>
        <w:pStyle w:val="BodyText"/>
        <w:spacing w:line="261" w:lineRule="auto" w:before="1"/>
        <w:ind w:left="1837" w:right="1720" w:firstLine="567"/>
        <w:jc w:val="both"/>
      </w:pPr>
      <w:r>
        <w:rPr>
          <w:color w:val="231F20"/>
          <w:w w:val="105"/>
        </w:rPr>
        <w:t>Indagar</w:t>
      </w:r>
      <w:r>
        <w:rPr>
          <w:color w:val="231F20"/>
          <w:spacing w:val="-17"/>
          <w:w w:val="105"/>
        </w:rPr>
        <w:t> </w:t>
      </w:r>
      <w:r>
        <w:rPr>
          <w:color w:val="231F20"/>
          <w:w w:val="105"/>
        </w:rPr>
        <w:t>sobre</w:t>
      </w:r>
      <w:r>
        <w:rPr>
          <w:color w:val="231F20"/>
          <w:spacing w:val="-17"/>
          <w:w w:val="105"/>
        </w:rPr>
        <w:t> </w:t>
      </w:r>
      <w:r>
        <w:rPr>
          <w:color w:val="231F20"/>
          <w:w w:val="105"/>
        </w:rPr>
        <w:t>las</w:t>
      </w:r>
      <w:r>
        <w:rPr>
          <w:color w:val="231F20"/>
          <w:spacing w:val="-17"/>
          <w:w w:val="105"/>
        </w:rPr>
        <w:t> </w:t>
      </w:r>
      <w:r>
        <w:rPr>
          <w:color w:val="231F20"/>
          <w:w w:val="105"/>
        </w:rPr>
        <w:t>movilidades</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 co</w:t>
      </w:r>
      <w:r>
        <w:rPr>
          <w:color w:val="231F20"/>
          <w:spacing w:val="-20"/>
          <w:w w:val="105"/>
        </w:rPr>
        <w:t> </w:t>
      </w:r>
      <w:r>
        <w:rPr>
          <w:color w:val="231F20"/>
          <w:w w:val="105"/>
        </w:rPr>
        <w:t>sienta</w:t>
      </w:r>
      <w:r>
        <w:rPr>
          <w:color w:val="231F20"/>
          <w:spacing w:val="-20"/>
          <w:w w:val="105"/>
        </w:rPr>
        <w:t> </w:t>
      </w:r>
      <w:r>
        <w:rPr>
          <w:color w:val="231F20"/>
          <w:w w:val="105"/>
        </w:rPr>
        <w:t>las</w:t>
      </w:r>
      <w:r>
        <w:rPr>
          <w:color w:val="231F20"/>
          <w:spacing w:val="-20"/>
          <w:w w:val="105"/>
        </w:rPr>
        <w:t> </w:t>
      </w:r>
      <w:r>
        <w:rPr>
          <w:color w:val="231F20"/>
          <w:w w:val="105"/>
        </w:rPr>
        <w:t>bases</w:t>
      </w:r>
      <w:r>
        <w:rPr>
          <w:color w:val="231F20"/>
          <w:spacing w:val="-20"/>
          <w:w w:val="105"/>
        </w:rPr>
        <w:t> </w:t>
      </w:r>
      <w:r>
        <w:rPr>
          <w:color w:val="231F20"/>
          <w:w w:val="105"/>
        </w:rPr>
        <w:t>para</w:t>
      </w:r>
      <w:r>
        <w:rPr>
          <w:color w:val="231F20"/>
          <w:spacing w:val="-20"/>
          <w:w w:val="105"/>
        </w:rPr>
        <w:t> </w:t>
      </w:r>
      <w:r>
        <w:rPr>
          <w:color w:val="231F20"/>
          <w:w w:val="105"/>
        </w:rPr>
        <w:t>comprender</w:t>
      </w:r>
      <w:r>
        <w:rPr>
          <w:color w:val="231F20"/>
          <w:spacing w:val="-20"/>
          <w:w w:val="105"/>
        </w:rPr>
        <w:t> </w:t>
      </w:r>
      <w:r>
        <w:rPr>
          <w:color w:val="231F20"/>
          <w:w w:val="105"/>
        </w:rPr>
        <w:t>el</w:t>
      </w:r>
      <w:r>
        <w:rPr>
          <w:color w:val="231F20"/>
          <w:spacing w:val="-20"/>
          <w:w w:val="105"/>
        </w:rPr>
        <w:t> </w:t>
      </w:r>
      <w:r>
        <w:rPr>
          <w:color w:val="231F20"/>
          <w:w w:val="105"/>
        </w:rPr>
        <w:t>modo</w:t>
      </w:r>
      <w:r>
        <w:rPr>
          <w:color w:val="231F20"/>
          <w:spacing w:val="-20"/>
          <w:w w:val="105"/>
        </w:rPr>
        <w:t> </w:t>
      </w:r>
      <w:r>
        <w:rPr>
          <w:color w:val="231F20"/>
          <w:w w:val="105"/>
        </w:rPr>
        <w:t>en</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w w:val="105"/>
        </w:rPr>
        <w:t>población</w:t>
      </w:r>
      <w:r>
        <w:rPr>
          <w:color w:val="231F20"/>
          <w:spacing w:val="-20"/>
          <w:w w:val="105"/>
        </w:rPr>
        <w:t> </w:t>
      </w:r>
      <w:r>
        <w:rPr>
          <w:color w:val="231F20"/>
          <w:w w:val="105"/>
        </w:rPr>
        <w:t>adopta estrategias de desplazamiento en la búsqueda de mejores</w:t>
      </w:r>
      <w:r>
        <w:rPr>
          <w:color w:val="231F20"/>
          <w:spacing w:val="-14"/>
          <w:w w:val="105"/>
        </w:rPr>
        <w:t> </w:t>
      </w:r>
      <w:r>
        <w:rPr>
          <w:color w:val="231F20"/>
          <w:w w:val="105"/>
        </w:rPr>
        <w:t>condiciones de</w:t>
      </w:r>
      <w:r>
        <w:rPr>
          <w:color w:val="231F20"/>
          <w:spacing w:val="-16"/>
          <w:w w:val="105"/>
        </w:rPr>
        <w:t> </w:t>
      </w:r>
      <w:r>
        <w:rPr>
          <w:color w:val="231F20"/>
          <w:w w:val="105"/>
        </w:rPr>
        <w:t>vida,</w:t>
      </w:r>
      <w:r>
        <w:rPr>
          <w:color w:val="231F20"/>
          <w:spacing w:val="-20"/>
          <w:w w:val="105"/>
        </w:rPr>
        <w:t> </w:t>
      </w:r>
      <w:r>
        <w:rPr>
          <w:color w:val="231F20"/>
          <w:w w:val="105"/>
        </w:rPr>
        <w:t>pues</w:t>
      </w:r>
      <w:r>
        <w:rPr>
          <w:color w:val="231F20"/>
          <w:spacing w:val="-16"/>
          <w:w w:val="105"/>
        </w:rPr>
        <w:t> </w:t>
      </w:r>
      <w:r>
        <w:rPr>
          <w:color w:val="231F20"/>
          <w:w w:val="105"/>
        </w:rPr>
        <w:t>si</w:t>
      </w:r>
      <w:r>
        <w:rPr>
          <w:color w:val="231F20"/>
          <w:spacing w:val="-16"/>
          <w:w w:val="105"/>
        </w:rPr>
        <w:t> </w:t>
      </w:r>
      <w:r>
        <w:rPr>
          <w:color w:val="231F20"/>
          <w:w w:val="105"/>
        </w:rPr>
        <w:t>bien</w:t>
      </w:r>
      <w:r>
        <w:rPr>
          <w:color w:val="231F20"/>
          <w:spacing w:val="-16"/>
          <w:w w:val="105"/>
        </w:rPr>
        <w:t> </w:t>
      </w:r>
      <w:r>
        <w:rPr>
          <w:color w:val="231F20"/>
          <w:w w:val="105"/>
        </w:rPr>
        <w:t>la</w:t>
      </w:r>
      <w:r>
        <w:rPr>
          <w:color w:val="231F20"/>
          <w:spacing w:val="-16"/>
          <w:w w:val="105"/>
        </w:rPr>
        <w:t> </w:t>
      </w:r>
      <w:r>
        <w:rPr>
          <w:color w:val="231F20"/>
          <w:w w:val="105"/>
        </w:rPr>
        <w:t>migración</w:t>
      </w:r>
      <w:r>
        <w:rPr>
          <w:color w:val="231F20"/>
          <w:spacing w:val="-16"/>
          <w:w w:val="105"/>
        </w:rPr>
        <w:t> </w:t>
      </w:r>
      <w:r>
        <w:rPr>
          <w:color w:val="231F20"/>
          <w:w w:val="105"/>
        </w:rPr>
        <w:t>estatal</w:t>
      </w:r>
      <w:r>
        <w:rPr>
          <w:color w:val="231F20"/>
          <w:spacing w:val="-16"/>
          <w:w w:val="105"/>
        </w:rPr>
        <w:t> </w:t>
      </w:r>
      <w:r>
        <w:rPr>
          <w:color w:val="231F20"/>
          <w:w w:val="105"/>
        </w:rPr>
        <w:t>está</w:t>
      </w:r>
      <w:r>
        <w:rPr>
          <w:color w:val="231F20"/>
          <w:spacing w:val="-16"/>
          <w:w w:val="105"/>
        </w:rPr>
        <w:t> </w:t>
      </w:r>
      <w:r>
        <w:rPr>
          <w:color w:val="231F20"/>
          <w:w w:val="105"/>
        </w:rPr>
        <w:t>inserta</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relevancia</w:t>
      </w:r>
      <w:r>
        <w:rPr>
          <w:color w:val="231F20"/>
          <w:spacing w:val="-16"/>
          <w:w w:val="105"/>
        </w:rPr>
        <w:t> </w:t>
      </w:r>
      <w:r>
        <w:rPr>
          <w:color w:val="231F20"/>
          <w:w w:val="105"/>
        </w:rPr>
        <w:t>del proceso</w:t>
      </w:r>
      <w:r>
        <w:rPr>
          <w:color w:val="231F20"/>
          <w:spacing w:val="-11"/>
          <w:w w:val="105"/>
        </w:rPr>
        <w:t> </w:t>
      </w:r>
      <w:r>
        <w:rPr>
          <w:color w:val="231F20"/>
          <w:w w:val="105"/>
        </w:rPr>
        <w:t>a</w:t>
      </w:r>
      <w:r>
        <w:rPr>
          <w:color w:val="231F20"/>
          <w:spacing w:val="-11"/>
          <w:w w:val="105"/>
        </w:rPr>
        <w:t> </w:t>
      </w:r>
      <w:r>
        <w:rPr>
          <w:color w:val="231F20"/>
          <w:w w:val="105"/>
        </w:rPr>
        <w:t>escala</w:t>
      </w:r>
      <w:r>
        <w:rPr>
          <w:color w:val="231F20"/>
          <w:spacing w:val="-11"/>
          <w:w w:val="105"/>
        </w:rPr>
        <w:t> </w:t>
      </w:r>
      <w:r>
        <w:rPr>
          <w:color w:val="231F20"/>
          <w:w w:val="105"/>
        </w:rPr>
        <w:t>nacional,</w:t>
      </w:r>
      <w:r>
        <w:rPr>
          <w:color w:val="231F20"/>
          <w:spacing w:val="-17"/>
          <w:w w:val="105"/>
        </w:rPr>
        <w:t> </w:t>
      </w:r>
      <w:r>
        <w:rPr>
          <w:color w:val="231F20"/>
          <w:w w:val="105"/>
        </w:rPr>
        <w:t>la</w:t>
      </w:r>
      <w:r>
        <w:rPr>
          <w:color w:val="231F20"/>
          <w:spacing w:val="-11"/>
          <w:w w:val="105"/>
        </w:rPr>
        <w:t> </w:t>
      </w:r>
      <w:r>
        <w:rPr>
          <w:color w:val="231F20"/>
          <w:w w:val="105"/>
        </w:rPr>
        <w:t>entidad</w:t>
      </w:r>
      <w:r>
        <w:rPr>
          <w:color w:val="231F20"/>
          <w:spacing w:val="-11"/>
          <w:w w:val="105"/>
        </w:rPr>
        <w:t> </w:t>
      </w:r>
      <w:r>
        <w:rPr>
          <w:color w:val="231F20"/>
          <w:w w:val="105"/>
        </w:rPr>
        <w:t>presenta</w:t>
      </w:r>
      <w:r>
        <w:rPr>
          <w:color w:val="231F20"/>
          <w:spacing w:val="-11"/>
          <w:w w:val="105"/>
        </w:rPr>
        <w:t> </w:t>
      </w:r>
      <w:r>
        <w:rPr>
          <w:color w:val="231F20"/>
          <w:w w:val="105"/>
        </w:rPr>
        <w:t>tres</w:t>
      </w:r>
      <w:r>
        <w:rPr>
          <w:color w:val="231F20"/>
          <w:spacing w:val="-11"/>
          <w:w w:val="105"/>
        </w:rPr>
        <w:t> </w:t>
      </w:r>
      <w:r>
        <w:rPr>
          <w:color w:val="231F20"/>
          <w:w w:val="105"/>
        </w:rPr>
        <w:t>aspectos</w:t>
      </w:r>
      <w:r>
        <w:rPr>
          <w:color w:val="231F20"/>
          <w:spacing w:val="-11"/>
          <w:w w:val="105"/>
        </w:rPr>
        <w:t> </w:t>
      </w:r>
      <w:r>
        <w:rPr>
          <w:color w:val="231F20"/>
          <w:w w:val="105"/>
        </w:rPr>
        <w:t>demográfi- </w:t>
      </w:r>
      <w:r>
        <w:rPr>
          <w:color w:val="231F20"/>
        </w:rPr>
        <w:t>camente</w:t>
      </w:r>
      <w:r>
        <w:rPr>
          <w:color w:val="231F20"/>
          <w:spacing w:val="49"/>
        </w:rPr>
        <w:t> </w:t>
      </w:r>
      <w:r>
        <w:rPr>
          <w:color w:val="231F20"/>
        </w:rPr>
        <w:t>sobresalientes:</w:t>
      </w:r>
    </w:p>
    <w:p>
      <w:pPr>
        <w:pStyle w:val="BodyText"/>
        <w:spacing w:before="7"/>
        <w:rPr>
          <w:sz w:val="18"/>
        </w:rPr>
      </w:pPr>
    </w:p>
    <w:p>
      <w:pPr>
        <w:spacing w:line="254" w:lineRule="auto" w:before="1"/>
        <w:ind w:left="2971" w:right="1721" w:firstLine="0"/>
        <w:jc w:val="both"/>
        <w:rPr>
          <w:sz w:val="18"/>
        </w:rPr>
      </w:pPr>
      <w:r>
        <w:rPr>
          <w:color w:val="231F20"/>
          <w:w w:val="105"/>
          <w:sz w:val="18"/>
        </w:rPr>
        <w:t>la</w:t>
      </w:r>
      <w:r>
        <w:rPr>
          <w:color w:val="231F20"/>
          <w:spacing w:val="-13"/>
          <w:w w:val="105"/>
          <w:sz w:val="18"/>
        </w:rPr>
        <w:t> </w:t>
      </w:r>
      <w:r>
        <w:rPr>
          <w:color w:val="231F20"/>
          <w:w w:val="105"/>
          <w:sz w:val="18"/>
        </w:rPr>
        <w:t>población</w:t>
      </w:r>
      <w:r>
        <w:rPr>
          <w:color w:val="231F20"/>
          <w:spacing w:val="-13"/>
          <w:w w:val="105"/>
          <w:sz w:val="18"/>
        </w:rPr>
        <w:t> </w:t>
      </w:r>
      <w:r>
        <w:rPr>
          <w:color w:val="231F20"/>
          <w:w w:val="105"/>
          <w:sz w:val="18"/>
        </w:rPr>
        <w:t>ha</w:t>
      </w:r>
      <w:r>
        <w:rPr>
          <w:color w:val="231F20"/>
          <w:spacing w:val="-13"/>
          <w:w w:val="105"/>
          <w:sz w:val="18"/>
        </w:rPr>
        <w:t> </w:t>
      </w:r>
      <w:r>
        <w:rPr>
          <w:color w:val="231F20"/>
          <w:w w:val="105"/>
          <w:sz w:val="18"/>
        </w:rPr>
        <w:t>experimentado</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emigración</w:t>
      </w:r>
      <w:r>
        <w:rPr>
          <w:color w:val="231F20"/>
          <w:spacing w:val="-13"/>
          <w:w w:val="105"/>
          <w:sz w:val="18"/>
        </w:rPr>
        <w:t> </w:t>
      </w:r>
      <w:r>
        <w:rPr>
          <w:color w:val="231F20"/>
          <w:w w:val="105"/>
          <w:sz w:val="18"/>
        </w:rPr>
        <w:t>internacional</w:t>
      </w:r>
      <w:r>
        <w:rPr>
          <w:color w:val="231F20"/>
          <w:spacing w:val="-13"/>
          <w:w w:val="105"/>
          <w:sz w:val="18"/>
        </w:rPr>
        <w:t> </w:t>
      </w:r>
      <w:r>
        <w:rPr>
          <w:color w:val="231F20"/>
          <w:w w:val="105"/>
          <w:sz w:val="18"/>
        </w:rPr>
        <w:t>en</w:t>
      </w:r>
      <w:r>
        <w:rPr>
          <w:color w:val="231F20"/>
          <w:spacing w:val="-13"/>
          <w:w w:val="105"/>
          <w:sz w:val="18"/>
        </w:rPr>
        <w:t> </w:t>
      </w:r>
      <w:r>
        <w:rPr>
          <w:color w:val="231F20"/>
          <w:w w:val="105"/>
          <w:sz w:val="18"/>
        </w:rPr>
        <w:t>distintas épocas,</w:t>
      </w:r>
      <w:r>
        <w:rPr>
          <w:color w:val="231F20"/>
          <w:spacing w:val="-14"/>
          <w:w w:val="105"/>
          <w:sz w:val="18"/>
        </w:rPr>
        <w:t> </w:t>
      </w:r>
      <w:r>
        <w:rPr>
          <w:color w:val="231F20"/>
          <w:w w:val="105"/>
          <w:sz w:val="18"/>
        </w:rPr>
        <w:t>configurando</w:t>
      </w:r>
      <w:r>
        <w:rPr>
          <w:color w:val="231F20"/>
          <w:spacing w:val="-10"/>
          <w:w w:val="105"/>
          <w:sz w:val="18"/>
        </w:rPr>
        <w:t> </w:t>
      </w:r>
      <w:r>
        <w:rPr>
          <w:color w:val="231F20"/>
          <w:w w:val="105"/>
          <w:sz w:val="18"/>
        </w:rPr>
        <w:t>zonas</w:t>
      </w:r>
      <w:r>
        <w:rPr>
          <w:color w:val="231F20"/>
          <w:spacing w:val="-10"/>
          <w:w w:val="105"/>
          <w:sz w:val="18"/>
        </w:rPr>
        <w:t> </w:t>
      </w:r>
      <w:r>
        <w:rPr>
          <w:color w:val="231F20"/>
          <w:w w:val="105"/>
          <w:sz w:val="18"/>
        </w:rPr>
        <w:t>tradicionales</w:t>
      </w:r>
      <w:r>
        <w:rPr>
          <w:color w:val="231F20"/>
          <w:spacing w:val="-10"/>
          <w:w w:val="105"/>
          <w:sz w:val="18"/>
        </w:rPr>
        <w:t> </w:t>
      </w:r>
      <w:r>
        <w:rPr>
          <w:color w:val="231F20"/>
          <w:w w:val="105"/>
          <w:sz w:val="18"/>
        </w:rPr>
        <w:t>y</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reciente</w:t>
      </w:r>
      <w:r>
        <w:rPr>
          <w:color w:val="231F20"/>
          <w:spacing w:val="-10"/>
          <w:w w:val="105"/>
          <w:sz w:val="18"/>
        </w:rPr>
        <w:t> </w:t>
      </w:r>
      <w:r>
        <w:rPr>
          <w:color w:val="231F20"/>
          <w:w w:val="105"/>
          <w:sz w:val="18"/>
        </w:rPr>
        <w:t>incorporación;</w:t>
      </w:r>
    </w:p>
    <w:p>
      <w:pPr>
        <w:spacing w:line="254" w:lineRule="auto" w:before="0"/>
        <w:ind w:left="2971" w:right="1715" w:firstLine="0"/>
        <w:jc w:val="both"/>
        <w:rPr>
          <w:sz w:val="18"/>
        </w:rPr>
      </w:pPr>
      <w:r>
        <w:rPr>
          <w:color w:val="231F20"/>
          <w:w w:val="105"/>
          <w:sz w:val="18"/>
        </w:rPr>
        <w:t>2)</w:t>
      </w:r>
      <w:r>
        <w:rPr>
          <w:color w:val="231F20"/>
          <w:spacing w:val="-8"/>
          <w:w w:val="105"/>
          <w:sz w:val="18"/>
        </w:rPr>
        <w:t> </w:t>
      </w:r>
      <w:r>
        <w:rPr>
          <w:color w:val="231F20"/>
          <w:w w:val="105"/>
          <w:sz w:val="18"/>
        </w:rPr>
        <w:t>es</w:t>
      </w:r>
      <w:r>
        <w:rPr>
          <w:color w:val="231F20"/>
          <w:spacing w:val="-8"/>
          <w:w w:val="105"/>
          <w:sz w:val="18"/>
        </w:rPr>
        <w:t> </w:t>
      </w:r>
      <w:r>
        <w:rPr>
          <w:color w:val="231F20"/>
          <w:w w:val="105"/>
          <w:sz w:val="18"/>
        </w:rPr>
        <w:t>el</w:t>
      </w:r>
      <w:r>
        <w:rPr>
          <w:color w:val="231F20"/>
          <w:spacing w:val="-8"/>
          <w:w w:val="105"/>
          <w:sz w:val="18"/>
        </w:rPr>
        <w:t> </w:t>
      </w:r>
      <w:r>
        <w:rPr>
          <w:color w:val="231F20"/>
          <w:w w:val="105"/>
          <w:sz w:val="18"/>
        </w:rPr>
        <w:t>estado</w:t>
      </w:r>
      <w:r>
        <w:rPr>
          <w:color w:val="231F20"/>
          <w:spacing w:val="-8"/>
          <w:w w:val="105"/>
          <w:sz w:val="18"/>
        </w:rPr>
        <w:t> </w:t>
      </w:r>
      <w:r>
        <w:rPr>
          <w:color w:val="231F20"/>
          <w:w w:val="105"/>
          <w:sz w:val="18"/>
        </w:rPr>
        <w:t>más</w:t>
      </w:r>
      <w:r>
        <w:rPr>
          <w:color w:val="231F20"/>
          <w:spacing w:val="-8"/>
          <w:w w:val="105"/>
          <w:sz w:val="18"/>
        </w:rPr>
        <w:t> </w:t>
      </w:r>
      <w:r>
        <w:rPr>
          <w:color w:val="231F20"/>
          <w:w w:val="105"/>
          <w:sz w:val="18"/>
        </w:rPr>
        <w:t>poblado</w:t>
      </w:r>
      <w:r>
        <w:rPr>
          <w:color w:val="231F20"/>
          <w:spacing w:val="-8"/>
          <w:w w:val="105"/>
          <w:sz w:val="18"/>
        </w:rPr>
        <w:t> </w:t>
      </w:r>
      <w:r>
        <w:rPr>
          <w:color w:val="231F20"/>
          <w:w w:val="105"/>
          <w:sz w:val="18"/>
        </w:rPr>
        <w:t>del</w:t>
      </w:r>
      <w:r>
        <w:rPr>
          <w:color w:val="231F20"/>
          <w:spacing w:val="-8"/>
          <w:w w:val="105"/>
          <w:sz w:val="18"/>
        </w:rPr>
        <w:t> </w:t>
      </w:r>
      <w:r>
        <w:rPr>
          <w:color w:val="231F20"/>
          <w:w w:val="105"/>
          <w:sz w:val="18"/>
        </w:rPr>
        <w:t>país,</w:t>
      </w:r>
      <w:r>
        <w:rPr>
          <w:color w:val="231F20"/>
          <w:spacing w:val="-13"/>
          <w:w w:val="105"/>
          <w:sz w:val="18"/>
        </w:rPr>
        <w:t> </w:t>
      </w:r>
      <w:r>
        <w:rPr>
          <w:color w:val="231F20"/>
          <w:w w:val="105"/>
          <w:sz w:val="18"/>
        </w:rPr>
        <w:t>con</w:t>
      </w:r>
      <w:r>
        <w:rPr>
          <w:color w:val="231F20"/>
          <w:spacing w:val="-8"/>
          <w:w w:val="105"/>
          <w:sz w:val="18"/>
        </w:rPr>
        <w:t> </w:t>
      </w:r>
      <w:r>
        <w:rPr>
          <w:color w:val="231F20"/>
          <w:w w:val="105"/>
          <w:sz w:val="18"/>
        </w:rPr>
        <w:t>una</w:t>
      </w:r>
      <w:r>
        <w:rPr>
          <w:color w:val="231F20"/>
          <w:spacing w:val="-8"/>
          <w:w w:val="105"/>
          <w:sz w:val="18"/>
        </w:rPr>
        <w:t> </w:t>
      </w:r>
      <w:r>
        <w:rPr>
          <w:color w:val="231F20"/>
          <w:w w:val="105"/>
          <w:sz w:val="18"/>
        </w:rPr>
        <w:t>fuerte</w:t>
      </w:r>
      <w:r>
        <w:rPr>
          <w:color w:val="231F20"/>
          <w:spacing w:val="-8"/>
          <w:w w:val="105"/>
          <w:sz w:val="18"/>
        </w:rPr>
        <w:t> </w:t>
      </w:r>
      <w:r>
        <w:rPr>
          <w:color w:val="231F20"/>
          <w:w w:val="105"/>
          <w:sz w:val="18"/>
        </w:rPr>
        <w:t>presión</w:t>
      </w:r>
      <w:r>
        <w:rPr>
          <w:color w:val="231F20"/>
          <w:spacing w:val="-8"/>
          <w:w w:val="105"/>
          <w:sz w:val="18"/>
        </w:rPr>
        <w:t> </w:t>
      </w:r>
      <w:r>
        <w:rPr>
          <w:color w:val="231F20"/>
          <w:w w:val="105"/>
          <w:sz w:val="18"/>
        </w:rPr>
        <w:t>y</w:t>
      </w:r>
      <w:r>
        <w:rPr>
          <w:color w:val="231F20"/>
          <w:spacing w:val="-8"/>
          <w:w w:val="105"/>
          <w:sz w:val="18"/>
        </w:rPr>
        <w:t> </w:t>
      </w:r>
      <w:r>
        <w:rPr>
          <w:color w:val="231F20"/>
          <w:w w:val="105"/>
          <w:sz w:val="18"/>
        </w:rPr>
        <w:t>presen- cia</w:t>
      </w:r>
      <w:r>
        <w:rPr>
          <w:color w:val="231F20"/>
          <w:spacing w:val="-8"/>
          <w:w w:val="105"/>
          <w:sz w:val="18"/>
        </w:rPr>
        <w:t> </w:t>
      </w:r>
      <w:r>
        <w:rPr>
          <w:color w:val="231F20"/>
          <w:w w:val="105"/>
          <w:sz w:val="18"/>
        </w:rPr>
        <w:t>en</w:t>
      </w:r>
      <w:r>
        <w:rPr>
          <w:color w:val="231F20"/>
          <w:spacing w:val="-8"/>
          <w:w w:val="105"/>
          <w:sz w:val="18"/>
        </w:rPr>
        <w:t> </w:t>
      </w:r>
      <w:r>
        <w:rPr>
          <w:color w:val="231F20"/>
          <w:w w:val="105"/>
          <w:sz w:val="18"/>
        </w:rPr>
        <w:t>los</w:t>
      </w:r>
      <w:r>
        <w:rPr>
          <w:color w:val="231F20"/>
          <w:spacing w:val="-8"/>
          <w:w w:val="105"/>
          <w:sz w:val="18"/>
        </w:rPr>
        <w:t> </w:t>
      </w:r>
      <w:r>
        <w:rPr>
          <w:color w:val="231F20"/>
          <w:w w:val="105"/>
          <w:sz w:val="18"/>
        </w:rPr>
        <w:t>mercados</w:t>
      </w:r>
      <w:r>
        <w:rPr>
          <w:color w:val="231F20"/>
          <w:spacing w:val="-8"/>
          <w:w w:val="105"/>
          <w:sz w:val="18"/>
        </w:rPr>
        <w:t> </w:t>
      </w:r>
      <w:r>
        <w:rPr>
          <w:color w:val="231F20"/>
          <w:w w:val="105"/>
          <w:sz w:val="18"/>
        </w:rPr>
        <w:t>de</w:t>
      </w:r>
      <w:r>
        <w:rPr>
          <w:color w:val="231F20"/>
          <w:spacing w:val="-8"/>
          <w:w w:val="105"/>
          <w:sz w:val="18"/>
        </w:rPr>
        <w:t> </w:t>
      </w:r>
      <w:r>
        <w:rPr>
          <w:color w:val="231F20"/>
          <w:w w:val="105"/>
          <w:sz w:val="18"/>
        </w:rPr>
        <w:t>trabajo</w:t>
      </w:r>
      <w:r>
        <w:rPr>
          <w:color w:val="231F20"/>
          <w:spacing w:val="-8"/>
          <w:w w:val="105"/>
          <w:sz w:val="18"/>
        </w:rPr>
        <w:t> </w:t>
      </w:r>
      <w:r>
        <w:rPr>
          <w:color w:val="231F20"/>
          <w:w w:val="105"/>
          <w:sz w:val="18"/>
        </w:rPr>
        <w:t>metropolitanos;</w:t>
      </w:r>
      <w:r>
        <w:rPr>
          <w:color w:val="231F20"/>
          <w:spacing w:val="-8"/>
          <w:w w:val="105"/>
          <w:sz w:val="18"/>
        </w:rPr>
        <w:t> </w:t>
      </w:r>
      <w:r>
        <w:rPr>
          <w:color w:val="231F20"/>
          <w:w w:val="105"/>
          <w:sz w:val="18"/>
        </w:rPr>
        <w:t>y</w:t>
      </w:r>
      <w:r>
        <w:rPr>
          <w:color w:val="231F20"/>
          <w:spacing w:val="-8"/>
          <w:w w:val="105"/>
          <w:sz w:val="18"/>
        </w:rPr>
        <w:t> </w:t>
      </w:r>
      <w:r>
        <w:rPr>
          <w:color w:val="231F20"/>
          <w:w w:val="105"/>
          <w:sz w:val="18"/>
        </w:rPr>
        <w:t>3)</w:t>
      </w:r>
      <w:r>
        <w:rPr>
          <w:color w:val="231F20"/>
          <w:spacing w:val="-8"/>
          <w:w w:val="105"/>
          <w:sz w:val="18"/>
        </w:rPr>
        <w:t> </w:t>
      </w:r>
      <w:r>
        <w:rPr>
          <w:color w:val="231F20"/>
          <w:w w:val="105"/>
          <w:sz w:val="18"/>
        </w:rPr>
        <w:t>en</w:t>
      </w:r>
      <w:r>
        <w:rPr>
          <w:color w:val="231F20"/>
          <w:spacing w:val="-8"/>
          <w:w w:val="105"/>
          <w:sz w:val="18"/>
        </w:rPr>
        <w:t> </w:t>
      </w:r>
      <w:r>
        <w:rPr>
          <w:color w:val="231F20"/>
          <w:w w:val="105"/>
          <w:sz w:val="18"/>
        </w:rPr>
        <w:t>años</w:t>
      </w:r>
      <w:r>
        <w:rPr>
          <w:color w:val="231F20"/>
          <w:spacing w:val="-8"/>
          <w:w w:val="105"/>
          <w:sz w:val="18"/>
        </w:rPr>
        <w:t> </w:t>
      </w:r>
      <w:r>
        <w:rPr>
          <w:color w:val="231F20"/>
          <w:w w:val="105"/>
          <w:sz w:val="18"/>
        </w:rPr>
        <w:t>recientes, el</w:t>
      </w:r>
      <w:r>
        <w:rPr>
          <w:color w:val="231F20"/>
          <w:spacing w:val="-16"/>
          <w:w w:val="105"/>
          <w:sz w:val="18"/>
        </w:rPr>
        <w:t> </w:t>
      </w:r>
      <w:r>
        <w:rPr>
          <w:color w:val="231F20"/>
          <w:w w:val="105"/>
          <w:sz w:val="18"/>
        </w:rPr>
        <w:t>número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personas</w:t>
      </w:r>
      <w:r>
        <w:rPr>
          <w:color w:val="231F20"/>
          <w:spacing w:val="-16"/>
          <w:w w:val="105"/>
          <w:sz w:val="18"/>
        </w:rPr>
        <w:t> </w:t>
      </w:r>
      <w:r>
        <w:rPr>
          <w:color w:val="231F20"/>
          <w:w w:val="105"/>
          <w:sz w:val="18"/>
        </w:rPr>
        <w:t>que</w:t>
      </w:r>
      <w:r>
        <w:rPr>
          <w:color w:val="231F20"/>
          <w:spacing w:val="-16"/>
          <w:w w:val="105"/>
          <w:sz w:val="18"/>
        </w:rPr>
        <w:t> </w:t>
      </w:r>
      <w:r>
        <w:rPr>
          <w:color w:val="231F20"/>
          <w:w w:val="105"/>
          <w:sz w:val="18"/>
        </w:rPr>
        <w:t>han</w:t>
      </w:r>
      <w:r>
        <w:rPr>
          <w:color w:val="231F20"/>
          <w:spacing w:val="-16"/>
          <w:w w:val="105"/>
          <w:sz w:val="18"/>
        </w:rPr>
        <w:t> </w:t>
      </w:r>
      <w:r>
        <w:rPr>
          <w:color w:val="231F20"/>
          <w:w w:val="105"/>
          <w:sz w:val="18"/>
        </w:rPr>
        <w:t>partido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entidad</w:t>
      </w:r>
      <w:r>
        <w:rPr>
          <w:color w:val="231F20"/>
          <w:spacing w:val="-16"/>
          <w:w w:val="105"/>
          <w:sz w:val="18"/>
        </w:rPr>
        <w:t> </w:t>
      </w:r>
      <w:r>
        <w:rPr>
          <w:color w:val="231F20"/>
          <w:w w:val="105"/>
          <w:sz w:val="18"/>
        </w:rPr>
        <w:t>hacia</w:t>
      </w:r>
      <w:r>
        <w:rPr>
          <w:color w:val="231F20"/>
          <w:spacing w:val="-16"/>
          <w:w w:val="105"/>
          <w:sz w:val="18"/>
        </w:rPr>
        <w:t> </w:t>
      </w:r>
      <w:r>
        <w:rPr>
          <w:color w:val="231F20"/>
          <w:w w:val="105"/>
          <w:sz w:val="18"/>
        </w:rPr>
        <w:t>otras</w:t>
      </w:r>
      <w:r>
        <w:rPr>
          <w:color w:val="231F20"/>
          <w:spacing w:val="-16"/>
          <w:w w:val="105"/>
          <w:sz w:val="18"/>
        </w:rPr>
        <w:t> </w:t>
      </w:r>
      <w:r>
        <w:rPr>
          <w:color w:val="231F20"/>
          <w:w w:val="105"/>
          <w:sz w:val="18"/>
        </w:rPr>
        <w:t>nacio- nes</w:t>
      </w:r>
      <w:r>
        <w:rPr>
          <w:color w:val="231F20"/>
          <w:spacing w:val="-6"/>
          <w:w w:val="105"/>
          <w:sz w:val="18"/>
        </w:rPr>
        <w:t> </w:t>
      </w:r>
      <w:r>
        <w:rPr>
          <w:color w:val="231F20"/>
          <w:w w:val="105"/>
          <w:sz w:val="18"/>
        </w:rPr>
        <w:t>la</w:t>
      </w:r>
      <w:r>
        <w:rPr>
          <w:color w:val="231F20"/>
          <w:spacing w:val="-6"/>
          <w:w w:val="105"/>
          <w:sz w:val="18"/>
        </w:rPr>
        <w:t> </w:t>
      </w:r>
      <w:r>
        <w:rPr>
          <w:color w:val="231F20"/>
          <w:w w:val="105"/>
          <w:sz w:val="18"/>
        </w:rPr>
        <w:t>sitúa</w:t>
      </w:r>
      <w:r>
        <w:rPr>
          <w:color w:val="231F20"/>
          <w:spacing w:val="-6"/>
          <w:w w:val="105"/>
          <w:sz w:val="18"/>
        </w:rPr>
        <w:t> </w:t>
      </w:r>
      <w:r>
        <w:rPr>
          <w:color w:val="231F20"/>
          <w:w w:val="105"/>
          <w:sz w:val="18"/>
        </w:rPr>
        <w:t>como</w:t>
      </w:r>
      <w:r>
        <w:rPr>
          <w:color w:val="231F20"/>
          <w:spacing w:val="-6"/>
          <w:w w:val="105"/>
          <w:sz w:val="18"/>
        </w:rPr>
        <w:t> </w:t>
      </w:r>
      <w:r>
        <w:rPr>
          <w:color w:val="231F20"/>
          <w:w w:val="105"/>
          <w:sz w:val="18"/>
        </w:rPr>
        <w:t>un</w:t>
      </w:r>
      <w:r>
        <w:rPr>
          <w:color w:val="231F20"/>
          <w:spacing w:val="-6"/>
          <w:w w:val="105"/>
          <w:sz w:val="18"/>
        </w:rPr>
        <w:t> </w:t>
      </w:r>
      <w:r>
        <w:rPr>
          <w:color w:val="231F20"/>
          <w:w w:val="105"/>
          <w:sz w:val="18"/>
        </w:rPr>
        <w:t>lugar</w:t>
      </w:r>
      <w:r>
        <w:rPr>
          <w:color w:val="231F20"/>
          <w:spacing w:val="-6"/>
          <w:w w:val="105"/>
          <w:sz w:val="18"/>
        </w:rPr>
        <w:t> </w:t>
      </w:r>
      <w:r>
        <w:rPr>
          <w:color w:val="231F20"/>
          <w:w w:val="105"/>
          <w:sz w:val="18"/>
        </w:rPr>
        <w:t>de</w:t>
      </w:r>
      <w:r>
        <w:rPr>
          <w:color w:val="231F20"/>
          <w:spacing w:val="-6"/>
          <w:w w:val="105"/>
          <w:sz w:val="18"/>
        </w:rPr>
        <w:t> </w:t>
      </w:r>
      <w:r>
        <w:rPr>
          <w:color w:val="231F20"/>
          <w:w w:val="105"/>
          <w:sz w:val="18"/>
        </w:rPr>
        <w:t>intensa</w:t>
      </w:r>
      <w:r>
        <w:rPr>
          <w:color w:val="231F20"/>
          <w:spacing w:val="-6"/>
          <w:w w:val="105"/>
          <w:sz w:val="18"/>
        </w:rPr>
        <w:t> </w:t>
      </w:r>
      <w:r>
        <w:rPr>
          <w:color w:val="231F20"/>
          <w:w w:val="105"/>
          <w:sz w:val="18"/>
        </w:rPr>
        <w:t>migración”</w:t>
      </w:r>
      <w:r>
        <w:rPr>
          <w:color w:val="231F20"/>
          <w:spacing w:val="-6"/>
          <w:w w:val="105"/>
          <w:sz w:val="18"/>
        </w:rPr>
        <w:t> </w:t>
      </w:r>
      <w:r>
        <w:rPr>
          <w:color w:val="231F20"/>
          <w:w w:val="105"/>
          <w:sz w:val="18"/>
        </w:rPr>
        <w:t>(González,</w:t>
      </w:r>
      <w:r>
        <w:rPr>
          <w:color w:val="231F20"/>
          <w:spacing w:val="-11"/>
          <w:w w:val="105"/>
          <w:sz w:val="18"/>
        </w:rPr>
        <w:t> </w:t>
      </w:r>
      <w:r>
        <w:rPr>
          <w:color w:val="231F20"/>
          <w:w w:val="105"/>
          <w:sz w:val="18"/>
        </w:rPr>
        <w:t>Montoya, López,</w:t>
      </w:r>
      <w:r>
        <w:rPr>
          <w:color w:val="231F20"/>
          <w:spacing w:val="-32"/>
          <w:w w:val="105"/>
          <w:sz w:val="18"/>
        </w:rPr>
        <w:t> </w:t>
      </w:r>
      <w:r>
        <w:rPr>
          <w:color w:val="231F20"/>
          <w:w w:val="105"/>
          <w:sz w:val="18"/>
        </w:rPr>
        <w:t>2012:</w:t>
      </w:r>
      <w:r>
        <w:rPr>
          <w:color w:val="231F20"/>
          <w:spacing w:val="-29"/>
          <w:w w:val="105"/>
          <w:sz w:val="18"/>
        </w:rPr>
        <w:t> </w:t>
      </w:r>
      <w:r>
        <w:rPr>
          <w:color w:val="231F20"/>
          <w:w w:val="105"/>
          <w:sz w:val="18"/>
        </w:rPr>
        <w:t>7).</w:t>
      </w:r>
    </w:p>
    <w:p>
      <w:pPr>
        <w:pStyle w:val="BodyText"/>
        <w:spacing w:before="5"/>
      </w:pPr>
    </w:p>
    <w:p>
      <w:pPr>
        <w:pStyle w:val="BodyText"/>
        <w:spacing w:line="261" w:lineRule="auto"/>
        <w:ind w:left="1837" w:right="1722"/>
        <w:jc w:val="both"/>
      </w:pPr>
      <w:r>
        <w:rPr>
          <w:color w:val="231F20"/>
          <w:w w:val="105"/>
        </w:rPr>
        <w:t>De</w:t>
      </w:r>
      <w:r>
        <w:rPr>
          <w:color w:val="231F20"/>
          <w:spacing w:val="-9"/>
          <w:w w:val="105"/>
        </w:rPr>
        <w:t> </w:t>
      </w:r>
      <w:r>
        <w:rPr>
          <w:color w:val="231F20"/>
          <w:w w:val="105"/>
        </w:rPr>
        <w:t>acuerdo</w:t>
      </w:r>
      <w:r>
        <w:rPr>
          <w:color w:val="231F20"/>
          <w:spacing w:val="-9"/>
          <w:w w:val="105"/>
        </w:rPr>
        <w:t> </w:t>
      </w:r>
      <w:r>
        <w:rPr>
          <w:color w:val="231F20"/>
          <w:w w:val="105"/>
        </w:rPr>
        <w:t>con</w:t>
      </w:r>
      <w:r>
        <w:rPr>
          <w:color w:val="231F20"/>
          <w:spacing w:val="-9"/>
          <w:w w:val="105"/>
        </w:rPr>
        <w:t> </w:t>
      </w:r>
      <w:r>
        <w:rPr>
          <w:color w:val="231F20"/>
          <w:w w:val="105"/>
        </w:rPr>
        <w:t>datos</w:t>
      </w:r>
      <w:r>
        <w:rPr>
          <w:color w:val="231F20"/>
          <w:spacing w:val="-9"/>
          <w:w w:val="105"/>
        </w:rPr>
        <w:t> </w:t>
      </w:r>
      <w:r>
        <w:rPr>
          <w:color w:val="231F20"/>
          <w:w w:val="105"/>
        </w:rPr>
        <w:t>del</w:t>
      </w:r>
      <w:r>
        <w:rPr>
          <w:color w:val="231F20"/>
          <w:spacing w:val="-9"/>
          <w:w w:val="105"/>
        </w:rPr>
        <w:t> </w:t>
      </w:r>
      <w:r>
        <w:rPr>
          <w:color w:val="231F20"/>
          <w:w w:val="105"/>
        </w:rPr>
        <w:t>Consejo</w:t>
      </w:r>
      <w:r>
        <w:rPr>
          <w:color w:val="231F20"/>
          <w:spacing w:val="-9"/>
          <w:w w:val="105"/>
        </w:rPr>
        <w:t> </w:t>
      </w:r>
      <w:r>
        <w:rPr>
          <w:color w:val="231F20"/>
          <w:w w:val="105"/>
        </w:rPr>
        <w:t>Nacional</w:t>
      </w:r>
      <w:r>
        <w:rPr>
          <w:color w:val="231F20"/>
          <w:spacing w:val="-9"/>
          <w:w w:val="105"/>
        </w:rPr>
        <w:t> </w:t>
      </w:r>
      <w:r>
        <w:rPr>
          <w:color w:val="231F20"/>
          <w:w w:val="105"/>
        </w:rPr>
        <w:t>de</w:t>
      </w:r>
      <w:r>
        <w:rPr>
          <w:color w:val="231F20"/>
          <w:spacing w:val="-9"/>
          <w:w w:val="105"/>
        </w:rPr>
        <w:t> </w:t>
      </w:r>
      <w:r>
        <w:rPr>
          <w:color w:val="231F20"/>
          <w:w w:val="105"/>
        </w:rPr>
        <w:t>Población</w:t>
      </w:r>
      <w:r>
        <w:rPr>
          <w:color w:val="231F20"/>
          <w:spacing w:val="-9"/>
          <w:w w:val="105"/>
        </w:rPr>
        <w:t> </w:t>
      </w:r>
      <w:r>
        <w:rPr>
          <w:color w:val="231F20"/>
          <w:w w:val="105"/>
        </w:rPr>
        <w:t>(</w:t>
      </w:r>
      <w:r>
        <w:rPr>
          <w:color w:val="231F20"/>
          <w:w w:val="105"/>
          <w:sz w:val="17"/>
        </w:rPr>
        <w:t>CONAPO</w:t>
      </w:r>
      <w:r>
        <w:rPr>
          <w:color w:val="231F20"/>
          <w:w w:val="105"/>
        </w:rPr>
        <w:t>),</w:t>
      </w:r>
      <w:r>
        <w:rPr>
          <w:color w:val="231F20"/>
          <w:spacing w:val="-13"/>
          <w:w w:val="105"/>
        </w:rPr>
        <w:t> </w:t>
      </w:r>
      <w:r>
        <w:rPr>
          <w:color w:val="231F20"/>
          <w:w w:val="105"/>
        </w:rPr>
        <w:t>re- portados en 2012, el Estado de México es la cuarta entidad con mayor expulsión migratoria hacia Estados Unidos (75 mil 694 personas), sólo por detrás de Guanajuato, Michoacán y Jalisco. Además es la entidad más poblada del país, con alrededor de 15 millones 175 mil 862 habi- tantes,</w:t>
      </w:r>
      <w:r>
        <w:rPr>
          <w:color w:val="231F20"/>
          <w:spacing w:val="-10"/>
          <w:w w:val="105"/>
        </w:rPr>
        <w:t> </w:t>
      </w:r>
      <w:r>
        <w:rPr>
          <w:color w:val="231F20"/>
          <w:w w:val="105"/>
        </w:rPr>
        <w:t>según</w:t>
      </w:r>
      <w:r>
        <w:rPr>
          <w:color w:val="231F20"/>
          <w:spacing w:val="-4"/>
          <w:w w:val="105"/>
        </w:rPr>
        <w:t> </w:t>
      </w:r>
      <w:r>
        <w:rPr>
          <w:color w:val="231F20"/>
          <w:w w:val="105"/>
        </w:rPr>
        <w:t>el</w:t>
      </w:r>
      <w:r>
        <w:rPr>
          <w:color w:val="231F20"/>
          <w:spacing w:val="-4"/>
          <w:w w:val="105"/>
        </w:rPr>
        <w:t> </w:t>
      </w:r>
      <w:r>
        <w:rPr>
          <w:color w:val="231F20"/>
          <w:w w:val="105"/>
        </w:rPr>
        <w:t>censo</w:t>
      </w:r>
      <w:r>
        <w:rPr>
          <w:color w:val="231F20"/>
          <w:spacing w:val="-4"/>
          <w:w w:val="105"/>
        </w:rPr>
        <w:t> </w:t>
      </w:r>
      <w:r>
        <w:rPr>
          <w:color w:val="231F20"/>
          <w:w w:val="105"/>
        </w:rPr>
        <w:t>de</w:t>
      </w:r>
      <w:r>
        <w:rPr>
          <w:color w:val="231F20"/>
          <w:spacing w:val="-4"/>
          <w:w w:val="105"/>
        </w:rPr>
        <w:t> </w:t>
      </w:r>
      <w:r>
        <w:rPr>
          <w:color w:val="231F20"/>
          <w:w w:val="105"/>
        </w:rPr>
        <w:t>población</w:t>
      </w:r>
      <w:r>
        <w:rPr>
          <w:color w:val="231F20"/>
          <w:spacing w:val="-4"/>
          <w:w w:val="105"/>
        </w:rPr>
        <w:t> </w:t>
      </w:r>
      <w:r>
        <w:rPr>
          <w:color w:val="231F20"/>
          <w:w w:val="105"/>
        </w:rPr>
        <w:t>y</w:t>
      </w:r>
      <w:r>
        <w:rPr>
          <w:color w:val="231F20"/>
          <w:spacing w:val="-4"/>
          <w:w w:val="105"/>
        </w:rPr>
        <w:t> </w:t>
      </w:r>
      <w:r>
        <w:rPr>
          <w:color w:val="231F20"/>
          <w:w w:val="105"/>
        </w:rPr>
        <w:t>vivienda</w:t>
      </w:r>
      <w:r>
        <w:rPr>
          <w:color w:val="231F20"/>
          <w:spacing w:val="-4"/>
          <w:w w:val="105"/>
        </w:rPr>
        <w:t> </w:t>
      </w:r>
      <w:r>
        <w:rPr>
          <w:color w:val="231F20"/>
          <w:w w:val="105"/>
        </w:rPr>
        <w:t>del</w:t>
      </w:r>
      <w:r>
        <w:rPr>
          <w:color w:val="231F20"/>
          <w:spacing w:val="-4"/>
          <w:w w:val="105"/>
        </w:rPr>
        <w:t> </w:t>
      </w:r>
      <w:r>
        <w:rPr>
          <w:color w:val="231F20"/>
          <w:w w:val="105"/>
        </w:rPr>
        <w:t>Instituto</w:t>
      </w:r>
      <w:r>
        <w:rPr>
          <w:color w:val="231F20"/>
          <w:spacing w:val="-4"/>
          <w:w w:val="105"/>
        </w:rPr>
        <w:t> </w:t>
      </w:r>
      <w:r>
        <w:rPr>
          <w:color w:val="231F20"/>
          <w:w w:val="105"/>
        </w:rPr>
        <w:t>Nacional</w:t>
      </w:r>
      <w:r>
        <w:rPr>
          <w:color w:val="231F20"/>
          <w:spacing w:val="-4"/>
          <w:w w:val="105"/>
        </w:rPr>
        <w:t> </w:t>
      </w:r>
      <w:r>
        <w:rPr>
          <w:color w:val="231F20"/>
          <w:w w:val="105"/>
        </w:rPr>
        <w:t>de </w:t>
      </w:r>
      <w:r>
        <w:rPr>
          <w:color w:val="231F20"/>
        </w:rPr>
        <w:t>Estadística y Geografía (</w:t>
      </w:r>
      <w:r>
        <w:rPr>
          <w:color w:val="231F20"/>
          <w:sz w:val="17"/>
        </w:rPr>
        <w:t>INEGI</w:t>
      </w:r>
      <w:r>
        <w:rPr>
          <w:color w:val="231F20"/>
        </w:rPr>
        <w:t>,</w:t>
      </w:r>
      <w:r>
        <w:rPr>
          <w:color w:val="231F20"/>
          <w:spacing w:val="-12"/>
        </w:rPr>
        <w:t> </w:t>
      </w:r>
      <w:r>
        <w:rPr>
          <w:color w:val="231F20"/>
        </w:rPr>
        <w:t>2010).</w:t>
      </w:r>
    </w:p>
    <w:p>
      <w:pPr>
        <w:pStyle w:val="BodyText"/>
        <w:spacing w:line="261" w:lineRule="auto" w:before="1"/>
        <w:ind w:left="1837" w:right="1722" w:firstLine="567"/>
        <w:jc w:val="both"/>
      </w:pPr>
      <w:r>
        <w:rPr/>
        <w:pict>
          <v:line style="position:absolute;mso-position-horizontal-relative:page;mso-position-vertical-relative:paragraph;z-index:-464320" from="15pt,95.575386pt" to="0pt,95.575386pt" stroked="true" strokeweight=".25pt" strokecolor="#000000">
            <w10:wrap type="none"/>
          </v:line>
        </w:pict>
      </w:r>
      <w:r>
        <w:rPr/>
        <w:pict>
          <v:line style="position:absolute;mso-position-horizontal-relative:page;mso-position-vertical-relative:paragraph;z-index:25888" from="508.890015pt,95.575386pt" to="523.890015pt,95.575386pt" stroked="true" strokeweight=".25pt" strokecolor="#000000">
            <w10:wrap type="none"/>
          </v:line>
        </w:pict>
      </w:r>
      <w:r>
        <w:rPr>
          <w:color w:val="231F20"/>
          <w:spacing w:val="-3"/>
          <w:w w:val="105"/>
        </w:rPr>
        <w:t>Dentro </w:t>
      </w:r>
      <w:r>
        <w:rPr>
          <w:color w:val="231F20"/>
          <w:w w:val="105"/>
        </w:rPr>
        <w:t>del </w:t>
      </w:r>
      <w:r>
        <w:rPr>
          <w:color w:val="231F20"/>
          <w:spacing w:val="-3"/>
          <w:w w:val="105"/>
        </w:rPr>
        <w:t>contexto nacional, </w:t>
      </w:r>
      <w:r>
        <w:rPr>
          <w:color w:val="231F20"/>
          <w:w w:val="105"/>
        </w:rPr>
        <w:t>la </w:t>
      </w:r>
      <w:r>
        <w:rPr>
          <w:color w:val="231F20"/>
          <w:spacing w:val="-3"/>
          <w:w w:val="105"/>
        </w:rPr>
        <w:t>migración </w:t>
      </w:r>
      <w:r>
        <w:rPr>
          <w:color w:val="231F20"/>
          <w:w w:val="105"/>
        </w:rPr>
        <w:t>no </w:t>
      </w:r>
      <w:r>
        <w:rPr>
          <w:color w:val="231F20"/>
          <w:spacing w:val="-3"/>
          <w:w w:val="105"/>
        </w:rPr>
        <w:t>documentada hacia Estados</w:t>
      </w:r>
      <w:r>
        <w:rPr>
          <w:color w:val="231F20"/>
          <w:spacing w:val="-30"/>
          <w:w w:val="105"/>
        </w:rPr>
        <w:t> </w:t>
      </w:r>
      <w:r>
        <w:rPr>
          <w:color w:val="231F20"/>
          <w:spacing w:val="-3"/>
          <w:w w:val="105"/>
        </w:rPr>
        <w:t>Unidos</w:t>
      </w:r>
      <w:r>
        <w:rPr>
          <w:color w:val="231F20"/>
          <w:spacing w:val="-30"/>
          <w:w w:val="105"/>
        </w:rPr>
        <w:t> </w:t>
      </w:r>
      <w:r>
        <w:rPr>
          <w:color w:val="231F20"/>
          <w:w w:val="105"/>
        </w:rPr>
        <w:t>se</w:t>
      </w:r>
      <w:r>
        <w:rPr>
          <w:color w:val="231F20"/>
          <w:spacing w:val="-30"/>
          <w:w w:val="105"/>
        </w:rPr>
        <w:t> </w:t>
      </w:r>
      <w:r>
        <w:rPr>
          <w:color w:val="231F20"/>
          <w:spacing w:val="-3"/>
          <w:w w:val="105"/>
        </w:rPr>
        <w:t>inserta</w:t>
      </w:r>
      <w:r>
        <w:rPr>
          <w:color w:val="231F20"/>
          <w:spacing w:val="-30"/>
          <w:w w:val="105"/>
        </w:rPr>
        <w:t> </w:t>
      </w:r>
      <w:r>
        <w:rPr>
          <w:color w:val="231F20"/>
          <w:w w:val="105"/>
        </w:rPr>
        <w:t>en</w:t>
      </w:r>
      <w:r>
        <w:rPr>
          <w:color w:val="231F20"/>
          <w:spacing w:val="-30"/>
          <w:w w:val="105"/>
        </w:rPr>
        <w:t> </w:t>
      </w:r>
      <w:r>
        <w:rPr>
          <w:color w:val="231F20"/>
          <w:w w:val="105"/>
        </w:rPr>
        <w:t>los</w:t>
      </w:r>
      <w:r>
        <w:rPr>
          <w:color w:val="231F20"/>
          <w:spacing w:val="-30"/>
          <w:w w:val="105"/>
        </w:rPr>
        <w:t> </w:t>
      </w:r>
      <w:r>
        <w:rPr>
          <w:color w:val="231F20"/>
          <w:spacing w:val="-3"/>
          <w:w w:val="105"/>
        </w:rPr>
        <w:t>sectores</w:t>
      </w:r>
      <w:r>
        <w:rPr>
          <w:color w:val="231F20"/>
          <w:spacing w:val="-30"/>
          <w:w w:val="105"/>
        </w:rPr>
        <w:t> </w:t>
      </w:r>
      <w:r>
        <w:rPr>
          <w:color w:val="231F20"/>
          <w:spacing w:val="-3"/>
          <w:w w:val="105"/>
        </w:rPr>
        <w:t>agrícolas</w:t>
      </w:r>
      <w:r>
        <w:rPr>
          <w:color w:val="231F20"/>
          <w:spacing w:val="-30"/>
          <w:w w:val="105"/>
        </w:rPr>
        <w:t> </w:t>
      </w:r>
      <w:r>
        <w:rPr>
          <w:color w:val="231F20"/>
          <w:w w:val="105"/>
        </w:rPr>
        <w:t>y</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spacing w:val="-3"/>
          <w:w w:val="105"/>
        </w:rPr>
        <w:t>mercado</w:t>
      </w:r>
      <w:r>
        <w:rPr>
          <w:color w:val="231F20"/>
          <w:spacing w:val="-30"/>
          <w:w w:val="105"/>
        </w:rPr>
        <w:t> </w:t>
      </w:r>
      <w:r>
        <w:rPr>
          <w:color w:val="231F20"/>
          <w:spacing w:val="-3"/>
          <w:w w:val="105"/>
        </w:rPr>
        <w:t>secun-</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25936" from="15pt,-71.68644pt" to="0pt,-71.68644pt" stroked="true" strokeweight=".25pt" strokecolor="#000000">
            <w10:wrap type="none"/>
          </v:line>
        </w:pict>
      </w:r>
      <w:r>
        <w:rPr/>
        <w:pict>
          <v:line style="position:absolute;mso-position-horizontal-relative:page;mso-position-vertical-relative:paragraph;z-index:25960" from="508.890015pt,-71.68644pt" to="523.890015pt,-71.68644pt" stroked="true" strokeweight=".25pt" strokecolor="#000000">
            <w10:wrap type="none"/>
          </v:line>
        </w:pict>
      </w:r>
      <w:r>
        <w:rPr>
          <w:color w:val="231F20"/>
          <w:spacing w:val="-3"/>
          <w:w w:val="105"/>
        </w:rPr>
        <w:t>dario</w:t>
      </w:r>
      <w:r>
        <w:rPr>
          <w:color w:val="231F20"/>
          <w:spacing w:val="-5"/>
          <w:w w:val="105"/>
        </w:rPr>
        <w:t> </w:t>
      </w:r>
      <w:r>
        <w:rPr>
          <w:color w:val="231F20"/>
          <w:w w:val="105"/>
        </w:rPr>
        <w:t>de</w:t>
      </w:r>
      <w:r>
        <w:rPr>
          <w:color w:val="231F20"/>
          <w:spacing w:val="-5"/>
          <w:w w:val="105"/>
        </w:rPr>
        <w:t> </w:t>
      </w:r>
      <w:r>
        <w:rPr>
          <w:color w:val="231F20"/>
          <w:spacing w:val="-4"/>
          <w:w w:val="105"/>
        </w:rPr>
        <w:t>trabajo.</w:t>
      </w:r>
      <w:r>
        <w:rPr>
          <w:color w:val="231F20"/>
          <w:spacing w:val="-12"/>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spacing w:val="-3"/>
          <w:w w:val="105"/>
        </w:rPr>
        <w:t>agricultura,</w:t>
      </w:r>
      <w:r>
        <w:rPr>
          <w:color w:val="231F20"/>
          <w:spacing w:val="-12"/>
          <w:w w:val="105"/>
        </w:rPr>
        <w:t> </w:t>
      </w:r>
      <w:r>
        <w:rPr>
          <w:color w:val="231F20"/>
          <w:w w:val="105"/>
        </w:rPr>
        <w:t>por</w:t>
      </w:r>
      <w:r>
        <w:rPr>
          <w:color w:val="231F20"/>
          <w:spacing w:val="-5"/>
          <w:w w:val="105"/>
        </w:rPr>
        <w:t> </w:t>
      </w:r>
      <w:r>
        <w:rPr>
          <w:color w:val="231F20"/>
          <w:spacing w:val="-3"/>
          <w:w w:val="105"/>
        </w:rPr>
        <w:t>ejemplo,</w:t>
      </w:r>
      <w:r>
        <w:rPr>
          <w:color w:val="231F20"/>
          <w:spacing w:val="-12"/>
          <w:w w:val="105"/>
        </w:rPr>
        <w:t> </w:t>
      </w:r>
      <w:r>
        <w:rPr>
          <w:color w:val="231F20"/>
          <w:spacing w:val="-3"/>
          <w:w w:val="105"/>
        </w:rPr>
        <w:t>“85%</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spacing w:val="-3"/>
          <w:w w:val="105"/>
        </w:rPr>
        <w:t>mano</w:t>
      </w:r>
      <w:r>
        <w:rPr>
          <w:color w:val="231F20"/>
          <w:spacing w:val="-5"/>
          <w:w w:val="105"/>
        </w:rPr>
        <w:t> </w:t>
      </w:r>
      <w:r>
        <w:rPr>
          <w:color w:val="231F20"/>
          <w:w w:val="105"/>
        </w:rPr>
        <w:t>de</w:t>
      </w:r>
      <w:r>
        <w:rPr>
          <w:color w:val="231F20"/>
          <w:spacing w:val="-5"/>
          <w:w w:val="105"/>
        </w:rPr>
        <w:t> </w:t>
      </w:r>
      <w:r>
        <w:rPr>
          <w:color w:val="231F20"/>
          <w:spacing w:val="-3"/>
          <w:w w:val="105"/>
        </w:rPr>
        <w:t>obra </w:t>
      </w:r>
      <w:r>
        <w:rPr>
          <w:color w:val="231F20"/>
          <w:w w:val="105"/>
        </w:rPr>
        <w:t>es</w:t>
      </w:r>
      <w:r>
        <w:rPr>
          <w:color w:val="231F20"/>
          <w:spacing w:val="-13"/>
          <w:w w:val="105"/>
        </w:rPr>
        <w:t> </w:t>
      </w:r>
      <w:r>
        <w:rPr>
          <w:color w:val="231F20"/>
          <w:spacing w:val="-4"/>
          <w:w w:val="105"/>
        </w:rPr>
        <w:t>mexicana”</w:t>
      </w:r>
      <w:r>
        <w:rPr>
          <w:color w:val="231F20"/>
          <w:spacing w:val="-13"/>
          <w:w w:val="105"/>
        </w:rPr>
        <w:t> </w:t>
      </w:r>
      <w:r>
        <w:rPr>
          <w:color w:val="231F20"/>
          <w:spacing w:val="-3"/>
          <w:w w:val="105"/>
        </w:rPr>
        <w:t>(Durand</w:t>
      </w:r>
      <w:r>
        <w:rPr>
          <w:color w:val="231F20"/>
          <w:spacing w:val="-13"/>
          <w:w w:val="105"/>
        </w:rPr>
        <w:t> </w:t>
      </w:r>
      <w:r>
        <w:rPr>
          <w:color w:val="231F20"/>
          <w:w w:val="105"/>
        </w:rPr>
        <w:t>y</w:t>
      </w:r>
      <w:r>
        <w:rPr>
          <w:color w:val="231F20"/>
          <w:spacing w:val="-13"/>
          <w:w w:val="105"/>
        </w:rPr>
        <w:t> </w:t>
      </w:r>
      <w:r>
        <w:rPr>
          <w:color w:val="231F20"/>
          <w:spacing w:val="-4"/>
          <w:w w:val="105"/>
        </w:rPr>
        <w:t>Massey,</w:t>
      </w:r>
      <w:r>
        <w:rPr>
          <w:color w:val="231F20"/>
          <w:spacing w:val="-18"/>
          <w:w w:val="105"/>
        </w:rPr>
        <w:t> </w:t>
      </w:r>
      <w:r>
        <w:rPr>
          <w:color w:val="231F20"/>
          <w:spacing w:val="-3"/>
          <w:w w:val="105"/>
        </w:rPr>
        <w:t>2003:</w:t>
      </w:r>
      <w:r>
        <w:rPr>
          <w:color w:val="231F20"/>
          <w:spacing w:val="-13"/>
          <w:w w:val="105"/>
        </w:rPr>
        <w:t> </w:t>
      </w:r>
      <w:r>
        <w:rPr>
          <w:color w:val="231F20"/>
          <w:spacing w:val="-3"/>
          <w:w w:val="105"/>
        </w:rPr>
        <w:t>49).</w:t>
      </w:r>
      <w:r>
        <w:rPr>
          <w:color w:val="231F20"/>
          <w:spacing w:val="-21"/>
          <w:w w:val="105"/>
        </w:rPr>
        <w:t> </w:t>
      </w:r>
      <w:r>
        <w:rPr>
          <w:color w:val="231F20"/>
          <w:w w:val="105"/>
        </w:rPr>
        <w:t>Al</w:t>
      </w:r>
      <w:r>
        <w:rPr>
          <w:color w:val="231F20"/>
          <w:spacing w:val="-13"/>
          <w:w w:val="105"/>
        </w:rPr>
        <w:t> </w:t>
      </w:r>
      <w:r>
        <w:rPr>
          <w:color w:val="231F20"/>
          <w:spacing w:val="-3"/>
          <w:w w:val="105"/>
        </w:rPr>
        <w:t>igual</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spacing w:val="-3"/>
          <w:w w:val="105"/>
        </w:rPr>
        <w:t>diversos</w:t>
      </w:r>
      <w:r>
        <w:rPr>
          <w:color w:val="231F20"/>
          <w:spacing w:val="-13"/>
          <w:w w:val="105"/>
        </w:rPr>
        <w:t> </w:t>
      </w:r>
      <w:r>
        <w:rPr>
          <w:color w:val="231F20"/>
          <w:spacing w:val="-3"/>
          <w:w w:val="105"/>
        </w:rPr>
        <w:t>luga- res </w:t>
      </w:r>
      <w:r>
        <w:rPr>
          <w:color w:val="231F20"/>
          <w:w w:val="105"/>
        </w:rPr>
        <w:t>del </w:t>
      </w:r>
      <w:r>
        <w:rPr>
          <w:color w:val="231F20"/>
          <w:spacing w:val="-3"/>
          <w:w w:val="105"/>
        </w:rPr>
        <w:t>país, </w:t>
      </w:r>
      <w:r>
        <w:rPr>
          <w:color w:val="231F20"/>
          <w:w w:val="105"/>
        </w:rPr>
        <w:t>la </w:t>
      </w:r>
      <w:r>
        <w:rPr>
          <w:color w:val="231F20"/>
          <w:spacing w:val="-3"/>
          <w:w w:val="105"/>
        </w:rPr>
        <w:t>migración </w:t>
      </w:r>
      <w:r>
        <w:rPr>
          <w:color w:val="231F20"/>
          <w:w w:val="105"/>
        </w:rPr>
        <w:t>de </w:t>
      </w:r>
      <w:r>
        <w:rPr>
          <w:color w:val="231F20"/>
          <w:spacing w:val="-3"/>
          <w:w w:val="105"/>
        </w:rPr>
        <w:t>mexiquenses </w:t>
      </w:r>
      <w:r>
        <w:rPr>
          <w:color w:val="231F20"/>
          <w:w w:val="105"/>
        </w:rPr>
        <w:t>a </w:t>
      </w:r>
      <w:r>
        <w:rPr>
          <w:color w:val="231F20"/>
          <w:spacing w:val="-3"/>
          <w:w w:val="105"/>
        </w:rPr>
        <w:t>Estados Unidos tiene como antecedente</w:t>
      </w:r>
      <w:r>
        <w:rPr>
          <w:color w:val="231F20"/>
          <w:spacing w:val="-14"/>
          <w:w w:val="105"/>
        </w:rPr>
        <w:t> </w:t>
      </w:r>
      <w:r>
        <w:rPr>
          <w:color w:val="231F20"/>
          <w:w w:val="105"/>
        </w:rPr>
        <w:t>la</w:t>
      </w:r>
      <w:r>
        <w:rPr>
          <w:color w:val="231F20"/>
          <w:spacing w:val="-14"/>
          <w:w w:val="105"/>
        </w:rPr>
        <w:t> </w:t>
      </w:r>
      <w:r>
        <w:rPr>
          <w:color w:val="231F20"/>
          <w:spacing w:val="-3"/>
          <w:w w:val="105"/>
        </w:rPr>
        <w:t>movilidad</w:t>
      </w:r>
      <w:r>
        <w:rPr>
          <w:color w:val="231F20"/>
          <w:spacing w:val="-14"/>
          <w:w w:val="105"/>
        </w:rPr>
        <w:t> </w:t>
      </w:r>
      <w:r>
        <w:rPr>
          <w:color w:val="231F20"/>
          <w:spacing w:val="-3"/>
          <w:w w:val="105"/>
        </w:rPr>
        <w:t>temporal</w:t>
      </w:r>
      <w:r>
        <w:rPr>
          <w:color w:val="231F20"/>
          <w:spacing w:val="-14"/>
          <w:w w:val="105"/>
        </w:rPr>
        <w:t> </w:t>
      </w:r>
      <w:r>
        <w:rPr>
          <w:color w:val="231F20"/>
          <w:w w:val="105"/>
        </w:rPr>
        <w:t>del</w:t>
      </w:r>
      <w:r>
        <w:rPr>
          <w:color w:val="231F20"/>
          <w:spacing w:val="-14"/>
          <w:w w:val="105"/>
        </w:rPr>
        <w:t> </w:t>
      </w:r>
      <w:r>
        <w:rPr>
          <w:color w:val="231F20"/>
          <w:spacing w:val="-5"/>
          <w:w w:val="105"/>
        </w:rPr>
        <w:t>Programa</w:t>
      </w:r>
      <w:r>
        <w:rPr>
          <w:color w:val="231F20"/>
          <w:spacing w:val="-14"/>
          <w:w w:val="105"/>
        </w:rPr>
        <w:t> </w:t>
      </w:r>
      <w:r>
        <w:rPr>
          <w:color w:val="231F20"/>
          <w:spacing w:val="-4"/>
          <w:w w:val="105"/>
        </w:rPr>
        <w:t>Bracero,</w:t>
      </w:r>
      <w:r>
        <w:rPr>
          <w:color w:val="231F20"/>
          <w:spacing w:val="-20"/>
          <w:w w:val="105"/>
        </w:rPr>
        <w:t> </w:t>
      </w:r>
      <w:r>
        <w:rPr>
          <w:color w:val="231F20"/>
          <w:w w:val="105"/>
        </w:rPr>
        <w:t>un</w:t>
      </w:r>
      <w:r>
        <w:rPr>
          <w:color w:val="231F20"/>
          <w:spacing w:val="-14"/>
          <w:w w:val="105"/>
        </w:rPr>
        <w:t> </w:t>
      </w:r>
      <w:r>
        <w:rPr>
          <w:color w:val="231F20"/>
          <w:spacing w:val="-3"/>
          <w:w w:val="105"/>
        </w:rPr>
        <w:t>convenio</w:t>
      </w:r>
      <w:r>
        <w:rPr>
          <w:color w:val="231F20"/>
          <w:spacing w:val="-14"/>
          <w:w w:val="105"/>
        </w:rPr>
        <w:t> </w:t>
      </w:r>
      <w:r>
        <w:rPr>
          <w:color w:val="231F20"/>
          <w:w w:val="105"/>
        </w:rPr>
        <w:t>bi- </w:t>
      </w:r>
      <w:r>
        <w:rPr>
          <w:color w:val="231F20"/>
          <w:spacing w:val="-4"/>
          <w:w w:val="105"/>
        </w:rPr>
        <w:t>lateral </w:t>
      </w:r>
      <w:r>
        <w:rPr>
          <w:color w:val="231F20"/>
          <w:spacing w:val="-3"/>
          <w:w w:val="105"/>
        </w:rPr>
        <w:t>para </w:t>
      </w:r>
      <w:r>
        <w:rPr>
          <w:color w:val="231F20"/>
          <w:w w:val="105"/>
        </w:rPr>
        <w:t>la </w:t>
      </w:r>
      <w:r>
        <w:rPr>
          <w:color w:val="231F20"/>
          <w:spacing w:val="-4"/>
          <w:w w:val="105"/>
        </w:rPr>
        <w:t>contratación </w:t>
      </w:r>
      <w:r>
        <w:rPr>
          <w:color w:val="231F20"/>
          <w:w w:val="105"/>
        </w:rPr>
        <w:t>de </w:t>
      </w:r>
      <w:r>
        <w:rPr>
          <w:color w:val="231F20"/>
          <w:spacing w:val="-4"/>
          <w:w w:val="105"/>
        </w:rPr>
        <w:t>trabajadores </w:t>
      </w:r>
      <w:r>
        <w:rPr>
          <w:color w:val="231F20"/>
          <w:spacing w:val="-3"/>
          <w:w w:val="105"/>
        </w:rPr>
        <w:t>mexicanos temporales </w:t>
      </w:r>
      <w:r>
        <w:rPr>
          <w:color w:val="231F20"/>
          <w:w w:val="105"/>
        </w:rPr>
        <w:t>con </w:t>
      </w:r>
      <w:r>
        <w:rPr>
          <w:color w:val="231F20"/>
          <w:spacing w:val="-3"/>
          <w:w w:val="105"/>
        </w:rPr>
        <w:t>la finalidad</w:t>
      </w:r>
      <w:r>
        <w:rPr>
          <w:color w:val="231F20"/>
          <w:spacing w:val="-19"/>
          <w:w w:val="105"/>
        </w:rPr>
        <w:t> </w:t>
      </w:r>
      <w:r>
        <w:rPr>
          <w:color w:val="231F20"/>
          <w:w w:val="105"/>
        </w:rPr>
        <w:t>de</w:t>
      </w:r>
      <w:r>
        <w:rPr>
          <w:color w:val="231F20"/>
          <w:spacing w:val="-19"/>
          <w:w w:val="105"/>
        </w:rPr>
        <w:t> </w:t>
      </w:r>
      <w:r>
        <w:rPr>
          <w:color w:val="231F20"/>
          <w:spacing w:val="-3"/>
          <w:w w:val="105"/>
        </w:rPr>
        <w:t>emplearlos</w:t>
      </w:r>
      <w:r>
        <w:rPr>
          <w:color w:val="231F20"/>
          <w:spacing w:val="-19"/>
          <w:w w:val="105"/>
        </w:rPr>
        <w:t> </w:t>
      </w:r>
      <w:r>
        <w:rPr>
          <w:color w:val="231F20"/>
          <w:w w:val="105"/>
        </w:rPr>
        <w:t>en</w:t>
      </w:r>
      <w:r>
        <w:rPr>
          <w:color w:val="231F20"/>
          <w:spacing w:val="-19"/>
          <w:w w:val="105"/>
        </w:rPr>
        <w:t> </w:t>
      </w:r>
      <w:r>
        <w:rPr>
          <w:color w:val="231F20"/>
          <w:spacing w:val="-3"/>
          <w:w w:val="105"/>
        </w:rPr>
        <w:t>actividades</w:t>
      </w:r>
      <w:r>
        <w:rPr>
          <w:color w:val="231F20"/>
          <w:spacing w:val="-19"/>
          <w:w w:val="105"/>
        </w:rPr>
        <w:t> </w:t>
      </w:r>
      <w:r>
        <w:rPr>
          <w:color w:val="231F20"/>
          <w:spacing w:val="-3"/>
          <w:w w:val="105"/>
        </w:rPr>
        <w:t>agrícolas</w:t>
      </w:r>
      <w:r>
        <w:rPr>
          <w:color w:val="231F20"/>
          <w:spacing w:val="-19"/>
          <w:w w:val="105"/>
        </w:rPr>
        <w:t> </w:t>
      </w:r>
      <w:r>
        <w:rPr>
          <w:color w:val="231F20"/>
          <w:w w:val="105"/>
        </w:rPr>
        <w:t>y</w:t>
      </w:r>
      <w:r>
        <w:rPr>
          <w:color w:val="231F20"/>
          <w:spacing w:val="-19"/>
          <w:w w:val="105"/>
        </w:rPr>
        <w:t> </w:t>
      </w:r>
      <w:r>
        <w:rPr>
          <w:color w:val="231F20"/>
          <w:spacing w:val="-3"/>
          <w:w w:val="105"/>
        </w:rPr>
        <w:t>obras</w:t>
      </w:r>
      <w:r>
        <w:rPr>
          <w:color w:val="231F20"/>
          <w:spacing w:val="-19"/>
          <w:w w:val="105"/>
        </w:rPr>
        <w:t> </w:t>
      </w:r>
      <w:r>
        <w:rPr>
          <w:color w:val="231F20"/>
          <w:w w:val="105"/>
        </w:rPr>
        <w:t>de</w:t>
      </w:r>
      <w:r>
        <w:rPr>
          <w:color w:val="231F20"/>
          <w:spacing w:val="-19"/>
          <w:w w:val="105"/>
        </w:rPr>
        <w:t> </w:t>
      </w:r>
      <w:r>
        <w:rPr>
          <w:color w:val="231F20"/>
          <w:spacing w:val="-4"/>
          <w:w w:val="105"/>
        </w:rPr>
        <w:t>infraestructura </w:t>
      </w:r>
      <w:r>
        <w:rPr>
          <w:color w:val="231F20"/>
          <w:spacing w:val="-3"/>
          <w:w w:val="105"/>
        </w:rPr>
        <w:t>como</w:t>
      </w:r>
      <w:r>
        <w:rPr>
          <w:color w:val="231F20"/>
          <w:spacing w:val="-19"/>
          <w:w w:val="105"/>
        </w:rPr>
        <w:t> </w:t>
      </w:r>
      <w:r>
        <w:rPr>
          <w:color w:val="231F20"/>
          <w:w w:val="105"/>
        </w:rPr>
        <w:t>la</w:t>
      </w:r>
      <w:r>
        <w:rPr>
          <w:color w:val="231F20"/>
          <w:spacing w:val="-19"/>
          <w:w w:val="105"/>
        </w:rPr>
        <w:t> </w:t>
      </w:r>
      <w:r>
        <w:rPr>
          <w:color w:val="231F20"/>
          <w:spacing w:val="-3"/>
          <w:w w:val="105"/>
        </w:rPr>
        <w:t>expansión</w:t>
      </w:r>
      <w:r>
        <w:rPr>
          <w:color w:val="231F20"/>
          <w:spacing w:val="-19"/>
          <w:w w:val="105"/>
        </w:rPr>
        <w:t> </w:t>
      </w:r>
      <w:r>
        <w:rPr>
          <w:color w:val="231F20"/>
          <w:spacing w:val="-4"/>
          <w:w w:val="105"/>
        </w:rPr>
        <w:t>ferrocarrilera</w:t>
      </w:r>
      <w:r>
        <w:rPr>
          <w:color w:val="231F20"/>
          <w:spacing w:val="-19"/>
          <w:w w:val="105"/>
        </w:rPr>
        <w:t> </w:t>
      </w:r>
      <w:r>
        <w:rPr>
          <w:color w:val="231F20"/>
          <w:spacing w:val="-3"/>
          <w:w w:val="105"/>
        </w:rPr>
        <w:t>(González,</w:t>
      </w:r>
      <w:r>
        <w:rPr>
          <w:color w:val="231F20"/>
          <w:spacing w:val="-23"/>
          <w:w w:val="105"/>
        </w:rPr>
        <w:t> </w:t>
      </w:r>
      <w:r>
        <w:rPr>
          <w:color w:val="231F20"/>
          <w:spacing w:val="-3"/>
          <w:w w:val="105"/>
        </w:rPr>
        <w:t>Montoya</w:t>
      </w:r>
      <w:r>
        <w:rPr>
          <w:color w:val="231F20"/>
          <w:spacing w:val="-19"/>
          <w:w w:val="105"/>
        </w:rPr>
        <w:t> </w:t>
      </w:r>
      <w:r>
        <w:rPr>
          <w:color w:val="231F20"/>
          <w:w w:val="105"/>
        </w:rPr>
        <w:t>y</w:t>
      </w:r>
      <w:r>
        <w:rPr>
          <w:color w:val="231F20"/>
          <w:spacing w:val="-19"/>
          <w:w w:val="105"/>
        </w:rPr>
        <w:t> </w:t>
      </w:r>
      <w:r>
        <w:rPr>
          <w:color w:val="231F20"/>
          <w:spacing w:val="-3"/>
          <w:w w:val="105"/>
        </w:rPr>
        <w:t>Montoya,</w:t>
      </w:r>
      <w:r>
        <w:rPr>
          <w:color w:val="231F20"/>
          <w:spacing w:val="-23"/>
          <w:w w:val="105"/>
        </w:rPr>
        <w:t> </w:t>
      </w:r>
      <w:r>
        <w:rPr>
          <w:color w:val="231F20"/>
          <w:spacing w:val="-3"/>
          <w:w w:val="105"/>
        </w:rPr>
        <w:t>2012).</w:t>
      </w:r>
      <w:r>
        <w:rPr>
          <w:color w:val="231F20"/>
          <w:spacing w:val="-23"/>
          <w:w w:val="105"/>
        </w:rPr>
        <w:t> </w:t>
      </w:r>
      <w:r>
        <w:rPr>
          <w:color w:val="231F20"/>
          <w:spacing w:val="-3"/>
          <w:w w:val="105"/>
        </w:rPr>
        <w:t>El Índice </w:t>
      </w:r>
      <w:r>
        <w:rPr>
          <w:color w:val="231F20"/>
          <w:w w:val="105"/>
        </w:rPr>
        <w:t>de </w:t>
      </w:r>
      <w:r>
        <w:rPr>
          <w:color w:val="231F20"/>
          <w:spacing w:val="-3"/>
          <w:w w:val="105"/>
        </w:rPr>
        <w:t>Intensidad </w:t>
      </w:r>
      <w:r>
        <w:rPr>
          <w:color w:val="231F20"/>
          <w:spacing w:val="-4"/>
          <w:w w:val="105"/>
        </w:rPr>
        <w:t>Migratoria </w:t>
      </w:r>
      <w:r>
        <w:rPr>
          <w:color w:val="231F20"/>
          <w:spacing w:val="-3"/>
          <w:w w:val="105"/>
        </w:rPr>
        <w:t>México-Estados Unidos 2010, </w:t>
      </w:r>
      <w:r>
        <w:rPr>
          <w:color w:val="231F20"/>
          <w:spacing w:val="-4"/>
          <w:w w:val="105"/>
        </w:rPr>
        <w:t>elaborado </w:t>
      </w:r>
      <w:r>
        <w:rPr>
          <w:color w:val="231F20"/>
          <w:w w:val="105"/>
        </w:rPr>
        <w:t>por el </w:t>
      </w:r>
      <w:r>
        <w:rPr>
          <w:color w:val="231F20"/>
          <w:spacing w:val="-2"/>
          <w:w w:val="105"/>
          <w:sz w:val="17"/>
        </w:rPr>
        <w:t>CONAPO </w:t>
      </w:r>
      <w:r>
        <w:rPr>
          <w:color w:val="231F20"/>
          <w:spacing w:val="-3"/>
          <w:w w:val="105"/>
        </w:rPr>
        <w:t>(2012), coloca </w:t>
      </w:r>
      <w:r>
        <w:rPr>
          <w:color w:val="231F20"/>
          <w:w w:val="105"/>
        </w:rPr>
        <w:t>al </w:t>
      </w:r>
      <w:r>
        <w:rPr>
          <w:color w:val="231F20"/>
          <w:spacing w:val="-3"/>
          <w:w w:val="105"/>
        </w:rPr>
        <w:t>Estado </w:t>
      </w:r>
      <w:r>
        <w:rPr>
          <w:color w:val="231F20"/>
          <w:w w:val="105"/>
        </w:rPr>
        <w:t>de </w:t>
      </w:r>
      <w:r>
        <w:rPr>
          <w:color w:val="231F20"/>
          <w:spacing w:val="-3"/>
          <w:w w:val="105"/>
        </w:rPr>
        <w:t>México como </w:t>
      </w:r>
      <w:r>
        <w:rPr>
          <w:color w:val="231F20"/>
          <w:w w:val="105"/>
        </w:rPr>
        <w:t>una </w:t>
      </w:r>
      <w:r>
        <w:rPr>
          <w:color w:val="231F20"/>
          <w:spacing w:val="-3"/>
          <w:w w:val="105"/>
        </w:rPr>
        <w:t>entidad de migración internacional activa. </w:t>
      </w:r>
      <w:r>
        <w:rPr>
          <w:color w:val="231F20"/>
          <w:w w:val="105"/>
        </w:rPr>
        <w:t>La </w:t>
      </w:r>
      <w:r>
        <w:rPr>
          <w:color w:val="231F20"/>
          <w:spacing w:val="-3"/>
          <w:w w:val="105"/>
        </w:rPr>
        <w:t>regionalización </w:t>
      </w:r>
      <w:r>
        <w:rPr>
          <w:color w:val="231F20"/>
          <w:spacing w:val="-4"/>
          <w:w w:val="105"/>
        </w:rPr>
        <w:t>migratoria propuesta </w:t>
      </w:r>
      <w:r>
        <w:rPr>
          <w:color w:val="231F20"/>
          <w:w w:val="105"/>
        </w:rPr>
        <w:t>por</w:t>
      </w:r>
      <w:r>
        <w:rPr>
          <w:color w:val="231F20"/>
          <w:spacing w:val="-10"/>
          <w:w w:val="105"/>
        </w:rPr>
        <w:t> </w:t>
      </w:r>
      <w:r>
        <w:rPr>
          <w:color w:val="231F20"/>
          <w:spacing w:val="-3"/>
          <w:w w:val="105"/>
        </w:rPr>
        <w:t>Durand</w:t>
      </w:r>
      <w:r>
        <w:rPr>
          <w:color w:val="231F20"/>
          <w:spacing w:val="-10"/>
          <w:w w:val="105"/>
        </w:rPr>
        <w:t> </w:t>
      </w:r>
      <w:r>
        <w:rPr>
          <w:color w:val="231F20"/>
          <w:w w:val="105"/>
        </w:rPr>
        <w:t>y</w:t>
      </w:r>
      <w:r>
        <w:rPr>
          <w:color w:val="231F20"/>
          <w:spacing w:val="-10"/>
          <w:w w:val="105"/>
        </w:rPr>
        <w:t> </w:t>
      </w:r>
      <w:r>
        <w:rPr>
          <w:color w:val="231F20"/>
          <w:spacing w:val="-3"/>
          <w:w w:val="105"/>
        </w:rPr>
        <w:t>Massey</w:t>
      </w:r>
      <w:r>
        <w:rPr>
          <w:color w:val="231F20"/>
          <w:spacing w:val="-10"/>
          <w:w w:val="105"/>
        </w:rPr>
        <w:t> </w:t>
      </w:r>
      <w:r>
        <w:rPr>
          <w:color w:val="231F20"/>
          <w:spacing w:val="-3"/>
          <w:w w:val="105"/>
        </w:rPr>
        <w:t>(2006)</w:t>
      </w:r>
      <w:r>
        <w:rPr>
          <w:color w:val="231F20"/>
          <w:spacing w:val="-10"/>
          <w:w w:val="105"/>
        </w:rPr>
        <w:t> </w:t>
      </w:r>
      <w:r>
        <w:rPr>
          <w:color w:val="231F20"/>
          <w:spacing w:val="-3"/>
          <w:w w:val="105"/>
        </w:rPr>
        <w:t>ubica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spacing w:val="-3"/>
          <w:w w:val="105"/>
        </w:rPr>
        <w:t>entidad</w:t>
      </w:r>
      <w:r>
        <w:rPr>
          <w:color w:val="231F20"/>
          <w:spacing w:val="-10"/>
          <w:w w:val="105"/>
        </w:rPr>
        <w:t> </w:t>
      </w:r>
      <w:r>
        <w:rPr>
          <w:color w:val="231F20"/>
          <w:spacing w:val="-3"/>
          <w:w w:val="105"/>
        </w:rPr>
        <w:t>dentro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spacing w:val="-3"/>
          <w:w w:val="105"/>
        </w:rPr>
        <w:t>región</w:t>
      </w:r>
      <w:r>
        <w:rPr>
          <w:color w:val="231F20"/>
          <w:spacing w:val="-10"/>
          <w:w w:val="105"/>
        </w:rPr>
        <w:t> </w:t>
      </w:r>
      <w:r>
        <w:rPr>
          <w:color w:val="231F20"/>
          <w:w w:val="105"/>
        </w:rPr>
        <w:t>de</w:t>
      </w:r>
      <w:r>
        <w:rPr>
          <w:color w:val="231F20"/>
          <w:spacing w:val="-10"/>
          <w:w w:val="105"/>
        </w:rPr>
        <w:t> </w:t>
      </w:r>
      <w:r>
        <w:rPr>
          <w:color w:val="231F20"/>
          <w:w w:val="105"/>
        </w:rPr>
        <w:t>mi- </w:t>
      </w:r>
      <w:r>
        <w:rPr>
          <w:color w:val="231F20"/>
          <w:spacing w:val="-3"/>
          <w:w w:val="105"/>
        </w:rPr>
        <w:t>gración</w:t>
      </w:r>
      <w:r>
        <w:rPr>
          <w:color w:val="231F20"/>
          <w:spacing w:val="-23"/>
          <w:w w:val="105"/>
        </w:rPr>
        <w:t> </w:t>
      </w:r>
      <w:r>
        <w:rPr>
          <w:color w:val="231F20"/>
          <w:spacing w:val="-3"/>
          <w:w w:val="105"/>
        </w:rPr>
        <w:t>emergente,</w:t>
      </w:r>
      <w:r>
        <w:rPr>
          <w:color w:val="231F20"/>
          <w:spacing w:val="-28"/>
          <w:w w:val="105"/>
        </w:rPr>
        <w:t> </w:t>
      </w:r>
      <w:r>
        <w:rPr>
          <w:color w:val="231F20"/>
          <w:spacing w:val="-3"/>
          <w:w w:val="105"/>
        </w:rPr>
        <w:t>caracterizada</w:t>
      </w:r>
      <w:r>
        <w:rPr>
          <w:color w:val="231F20"/>
          <w:spacing w:val="-23"/>
          <w:w w:val="105"/>
        </w:rPr>
        <w:t> </w:t>
      </w:r>
      <w:r>
        <w:rPr>
          <w:color w:val="231F20"/>
          <w:w w:val="105"/>
        </w:rPr>
        <w:t>por</w:t>
      </w:r>
      <w:r>
        <w:rPr>
          <w:color w:val="231F20"/>
          <w:spacing w:val="-23"/>
          <w:w w:val="105"/>
        </w:rPr>
        <w:t> </w:t>
      </w:r>
      <w:r>
        <w:rPr>
          <w:color w:val="231F20"/>
          <w:w w:val="105"/>
        </w:rPr>
        <w:t>la</w:t>
      </w:r>
      <w:r>
        <w:rPr>
          <w:color w:val="231F20"/>
          <w:spacing w:val="-23"/>
          <w:w w:val="105"/>
        </w:rPr>
        <w:t> </w:t>
      </w:r>
      <w:r>
        <w:rPr>
          <w:color w:val="231F20"/>
          <w:spacing w:val="-3"/>
          <w:w w:val="105"/>
        </w:rPr>
        <w:t>intensa</w:t>
      </w:r>
      <w:r>
        <w:rPr>
          <w:color w:val="231F20"/>
          <w:spacing w:val="-23"/>
          <w:w w:val="105"/>
        </w:rPr>
        <w:t> </w:t>
      </w:r>
      <w:r>
        <w:rPr>
          <w:color w:val="231F20"/>
          <w:spacing w:val="-3"/>
          <w:w w:val="105"/>
        </w:rPr>
        <w:t>expulsión</w:t>
      </w:r>
      <w:r>
        <w:rPr>
          <w:color w:val="231F20"/>
          <w:spacing w:val="-23"/>
          <w:w w:val="105"/>
        </w:rPr>
        <w:t> </w:t>
      </w:r>
      <w:r>
        <w:rPr>
          <w:color w:val="231F20"/>
          <w:spacing w:val="-4"/>
          <w:w w:val="105"/>
        </w:rPr>
        <w:t>migratoria</w:t>
      </w:r>
      <w:r>
        <w:rPr>
          <w:color w:val="231F20"/>
          <w:spacing w:val="-23"/>
          <w:w w:val="105"/>
        </w:rPr>
        <w:t> </w:t>
      </w:r>
      <w:r>
        <w:rPr>
          <w:color w:val="231F20"/>
          <w:spacing w:val="-4"/>
          <w:w w:val="105"/>
        </w:rPr>
        <w:t>inter- </w:t>
      </w:r>
      <w:r>
        <w:rPr>
          <w:color w:val="231F20"/>
          <w:spacing w:val="-3"/>
          <w:w w:val="105"/>
        </w:rPr>
        <w:t>nacional</w:t>
      </w:r>
      <w:r>
        <w:rPr>
          <w:color w:val="231F20"/>
          <w:spacing w:val="-19"/>
          <w:w w:val="105"/>
        </w:rPr>
        <w:t> </w:t>
      </w:r>
      <w:r>
        <w:rPr>
          <w:color w:val="231F20"/>
          <w:w w:val="105"/>
        </w:rPr>
        <w:t>a</w:t>
      </w:r>
      <w:r>
        <w:rPr>
          <w:color w:val="231F20"/>
          <w:spacing w:val="-19"/>
          <w:w w:val="105"/>
        </w:rPr>
        <w:t> </w:t>
      </w:r>
      <w:r>
        <w:rPr>
          <w:color w:val="231F20"/>
          <w:spacing w:val="-3"/>
          <w:w w:val="105"/>
        </w:rPr>
        <w:t>partir</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años</w:t>
      </w:r>
      <w:r>
        <w:rPr>
          <w:color w:val="231F20"/>
          <w:spacing w:val="-19"/>
          <w:w w:val="105"/>
        </w:rPr>
        <w:t> </w:t>
      </w:r>
      <w:r>
        <w:rPr>
          <w:color w:val="231F20"/>
          <w:spacing w:val="-3"/>
          <w:w w:val="105"/>
        </w:rPr>
        <w:t>ochenta</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spacing w:val="-3"/>
          <w:w w:val="105"/>
        </w:rPr>
        <w:t>década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noventa.</w:t>
      </w:r>
    </w:p>
    <w:p>
      <w:pPr>
        <w:pStyle w:val="BodyText"/>
        <w:spacing w:line="261" w:lineRule="auto" w:before="1"/>
        <w:ind w:left="1723" w:right="1828" w:firstLine="567"/>
        <w:jc w:val="both"/>
      </w:pPr>
      <w:r>
        <w:rPr>
          <w:color w:val="231F20"/>
          <w:w w:val="105"/>
        </w:rPr>
        <w:t>La</w:t>
      </w:r>
      <w:r>
        <w:rPr>
          <w:color w:val="231F20"/>
          <w:spacing w:val="-13"/>
          <w:w w:val="105"/>
        </w:rPr>
        <w:t> </w:t>
      </w:r>
      <w:r>
        <w:rPr>
          <w:color w:val="231F20"/>
          <w:w w:val="105"/>
        </w:rPr>
        <w:t>salida</w:t>
      </w:r>
      <w:r>
        <w:rPr>
          <w:color w:val="231F20"/>
          <w:spacing w:val="-13"/>
          <w:w w:val="105"/>
        </w:rPr>
        <w:t> </w:t>
      </w:r>
      <w:r>
        <w:rPr>
          <w:color w:val="231F20"/>
          <w:w w:val="105"/>
        </w:rPr>
        <w:t>de</w:t>
      </w:r>
      <w:r>
        <w:rPr>
          <w:color w:val="231F20"/>
          <w:spacing w:val="-13"/>
          <w:w w:val="105"/>
        </w:rPr>
        <w:t> </w:t>
      </w:r>
      <w:r>
        <w:rPr>
          <w:color w:val="231F20"/>
          <w:w w:val="105"/>
        </w:rPr>
        <w:t>migrantes</w:t>
      </w:r>
      <w:r>
        <w:rPr>
          <w:color w:val="231F20"/>
          <w:spacing w:val="-13"/>
          <w:w w:val="105"/>
        </w:rPr>
        <w:t> </w:t>
      </w:r>
      <w:r>
        <w:rPr>
          <w:color w:val="231F20"/>
          <w:w w:val="105"/>
        </w:rPr>
        <w:t>desde</w:t>
      </w:r>
      <w:r>
        <w:rPr>
          <w:color w:val="231F20"/>
          <w:spacing w:val="-13"/>
          <w:w w:val="105"/>
        </w:rPr>
        <w:t> </w:t>
      </w:r>
      <w:r>
        <w:rPr>
          <w:color w:val="231F20"/>
          <w:w w:val="105"/>
        </w:rPr>
        <w:t>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responde</w:t>
      </w:r>
      <w:r>
        <w:rPr>
          <w:color w:val="231F20"/>
          <w:spacing w:val="-13"/>
          <w:w w:val="105"/>
        </w:rPr>
        <w:t> </w:t>
      </w:r>
      <w:r>
        <w:rPr>
          <w:color w:val="231F20"/>
          <w:w w:val="105"/>
        </w:rPr>
        <w:t>a</w:t>
      </w:r>
      <w:r>
        <w:rPr>
          <w:color w:val="231F20"/>
          <w:spacing w:val="-13"/>
          <w:w w:val="105"/>
        </w:rPr>
        <w:t> </w:t>
      </w:r>
      <w:r>
        <w:rPr>
          <w:color w:val="231F20"/>
          <w:w w:val="105"/>
        </w:rPr>
        <w:t>“las condiciones locales de desigualdad social que obligan prácticamente   a los mexiquenses a migrar. El estancamiento económico de los años ochenta y noventa acentuó la precariedad laboral, generando pobreza, marginación y la desigualdad en la población mexiquense: un efecto masivo de ocupación informal de la fuerza de trabajo y de emigración internacional”</w:t>
      </w:r>
      <w:r>
        <w:rPr>
          <w:color w:val="231F20"/>
          <w:spacing w:val="-11"/>
          <w:w w:val="105"/>
        </w:rPr>
        <w:t> </w:t>
      </w:r>
      <w:r>
        <w:rPr>
          <w:color w:val="231F20"/>
          <w:w w:val="105"/>
        </w:rPr>
        <w:t>(González</w:t>
      </w:r>
      <w:r>
        <w:rPr>
          <w:color w:val="231F20"/>
          <w:spacing w:val="-11"/>
          <w:w w:val="105"/>
        </w:rPr>
        <w:t> </w:t>
      </w:r>
      <w:r>
        <w:rPr>
          <w:color w:val="231F20"/>
          <w:w w:val="105"/>
        </w:rPr>
        <w:t>y</w:t>
      </w:r>
      <w:r>
        <w:rPr>
          <w:color w:val="231F20"/>
          <w:spacing w:val="-11"/>
          <w:w w:val="105"/>
        </w:rPr>
        <w:t> </w:t>
      </w:r>
      <w:r>
        <w:rPr>
          <w:color w:val="231F20"/>
          <w:w w:val="105"/>
        </w:rPr>
        <w:t>Soberón,</w:t>
      </w:r>
      <w:r>
        <w:rPr>
          <w:color w:val="231F20"/>
          <w:spacing w:val="-16"/>
          <w:w w:val="105"/>
        </w:rPr>
        <w:t> </w:t>
      </w:r>
      <w:r>
        <w:rPr>
          <w:color w:val="231F20"/>
          <w:w w:val="105"/>
        </w:rPr>
        <w:t>2015:</w:t>
      </w:r>
      <w:r>
        <w:rPr>
          <w:color w:val="231F20"/>
          <w:spacing w:val="-11"/>
          <w:w w:val="105"/>
        </w:rPr>
        <w:t> </w:t>
      </w:r>
      <w:r>
        <w:rPr>
          <w:color w:val="231F20"/>
          <w:w w:val="105"/>
        </w:rPr>
        <w:t>42).</w:t>
      </w:r>
      <w:r>
        <w:rPr>
          <w:color w:val="231F20"/>
          <w:spacing w:val="-16"/>
          <w:w w:val="105"/>
        </w:rPr>
        <w:t> </w:t>
      </w:r>
      <w:r>
        <w:rPr>
          <w:color w:val="231F20"/>
          <w:w w:val="105"/>
        </w:rPr>
        <w:t>La</w:t>
      </w:r>
      <w:r>
        <w:rPr>
          <w:color w:val="231F20"/>
          <w:spacing w:val="-11"/>
          <w:w w:val="105"/>
        </w:rPr>
        <w:t> </w:t>
      </w:r>
      <w:r>
        <w:rPr>
          <w:color w:val="231F20"/>
          <w:w w:val="105"/>
        </w:rPr>
        <w:t>adopción</w:t>
      </w:r>
      <w:r>
        <w:rPr>
          <w:color w:val="231F20"/>
          <w:spacing w:val="-11"/>
          <w:w w:val="105"/>
        </w:rPr>
        <w:t> </w:t>
      </w:r>
      <w:r>
        <w:rPr>
          <w:color w:val="231F20"/>
          <w:w w:val="105"/>
        </w:rPr>
        <w:t>de</w:t>
      </w:r>
      <w:r>
        <w:rPr>
          <w:color w:val="231F20"/>
          <w:spacing w:val="-11"/>
          <w:w w:val="105"/>
        </w:rPr>
        <w:t> </w:t>
      </w:r>
      <w:r>
        <w:rPr>
          <w:color w:val="231F20"/>
          <w:w w:val="105"/>
        </w:rPr>
        <w:t>medidas económicas que privilegian la competencia en los mercados</w:t>
      </w:r>
      <w:r>
        <w:rPr>
          <w:color w:val="231F20"/>
          <w:spacing w:val="-25"/>
          <w:w w:val="105"/>
        </w:rPr>
        <w:t> </w:t>
      </w:r>
      <w:r>
        <w:rPr>
          <w:color w:val="231F20"/>
          <w:w w:val="105"/>
        </w:rPr>
        <w:t>mundiales representó un deterioro en la producción agrícola local debido a la im- posibilidad</w:t>
      </w:r>
      <w:r>
        <w:rPr>
          <w:color w:val="231F20"/>
          <w:spacing w:val="-18"/>
          <w:w w:val="105"/>
        </w:rPr>
        <w:t> </w:t>
      </w:r>
      <w:r>
        <w:rPr>
          <w:color w:val="231F20"/>
          <w:w w:val="105"/>
        </w:rPr>
        <w:t>de</w:t>
      </w:r>
      <w:r>
        <w:rPr>
          <w:color w:val="231F20"/>
          <w:spacing w:val="-18"/>
          <w:w w:val="105"/>
        </w:rPr>
        <w:t> </w:t>
      </w:r>
      <w:r>
        <w:rPr>
          <w:color w:val="231F20"/>
          <w:w w:val="105"/>
        </w:rPr>
        <w:t>competir</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producción</w:t>
      </w:r>
      <w:r>
        <w:rPr>
          <w:color w:val="231F20"/>
          <w:spacing w:val="-18"/>
          <w:w w:val="105"/>
        </w:rPr>
        <w:t> </w:t>
      </w:r>
      <w:r>
        <w:rPr>
          <w:color w:val="231F20"/>
          <w:w w:val="105"/>
        </w:rPr>
        <w:t>masiva</w:t>
      </w:r>
      <w:r>
        <w:rPr>
          <w:color w:val="231F20"/>
          <w:spacing w:val="-18"/>
          <w:w w:val="105"/>
        </w:rPr>
        <w:t> </w:t>
      </w:r>
      <w:r>
        <w:rPr>
          <w:color w:val="231F20"/>
          <w:w w:val="105"/>
        </w:rPr>
        <w:t>de</w:t>
      </w:r>
      <w:r>
        <w:rPr>
          <w:color w:val="231F20"/>
          <w:spacing w:val="-18"/>
          <w:w w:val="105"/>
        </w:rPr>
        <w:t> </w:t>
      </w:r>
      <w:r>
        <w:rPr>
          <w:color w:val="231F20"/>
          <w:w w:val="105"/>
        </w:rPr>
        <w:t>empresas</w:t>
      </w:r>
      <w:r>
        <w:rPr>
          <w:color w:val="231F20"/>
          <w:spacing w:val="-18"/>
          <w:w w:val="105"/>
        </w:rPr>
        <w:t> </w:t>
      </w:r>
      <w:r>
        <w:rPr>
          <w:color w:val="231F20"/>
          <w:w w:val="105"/>
        </w:rPr>
        <w:t>globales. Es</w:t>
      </w:r>
      <w:r>
        <w:rPr>
          <w:color w:val="231F20"/>
          <w:spacing w:val="-12"/>
          <w:w w:val="105"/>
        </w:rPr>
        <w:t> </w:t>
      </w:r>
      <w:r>
        <w:rPr>
          <w:color w:val="231F20"/>
          <w:w w:val="105"/>
        </w:rPr>
        <w:t>así</w:t>
      </w:r>
      <w:r>
        <w:rPr>
          <w:color w:val="231F20"/>
          <w:spacing w:val="-12"/>
          <w:w w:val="105"/>
        </w:rPr>
        <w:t> </w:t>
      </w:r>
      <w:r>
        <w:rPr>
          <w:color w:val="231F20"/>
          <w:w w:val="105"/>
        </w:rPr>
        <w:t>que,</w:t>
      </w:r>
      <w:r>
        <w:rPr>
          <w:color w:val="231F20"/>
          <w:spacing w:val="-18"/>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desplazamientos</w:t>
      </w:r>
      <w:r>
        <w:rPr>
          <w:color w:val="231F20"/>
          <w:spacing w:val="-12"/>
          <w:w w:val="105"/>
        </w:rPr>
        <w:t> </w:t>
      </w:r>
      <w:r>
        <w:rPr>
          <w:color w:val="231F20"/>
          <w:w w:val="105"/>
        </w:rPr>
        <w:t>del</w:t>
      </w:r>
      <w:r>
        <w:rPr>
          <w:color w:val="231F20"/>
          <w:spacing w:val="-12"/>
          <w:w w:val="105"/>
        </w:rPr>
        <w:t> </w:t>
      </w:r>
      <w:r>
        <w:rPr>
          <w:color w:val="231F20"/>
          <w:w w:val="105"/>
        </w:rPr>
        <w:t>campo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ciudad</w:t>
      </w:r>
      <w:r>
        <w:rPr>
          <w:color w:val="231F20"/>
          <w:spacing w:val="-12"/>
          <w:w w:val="105"/>
        </w:rPr>
        <w:t> </w:t>
      </w:r>
      <w:r>
        <w:rPr>
          <w:color w:val="231F20"/>
          <w:w w:val="105"/>
        </w:rPr>
        <w:t>se</w:t>
      </w:r>
      <w:r>
        <w:rPr>
          <w:color w:val="231F20"/>
          <w:spacing w:val="-12"/>
          <w:w w:val="105"/>
        </w:rPr>
        <w:t> </w:t>
      </w:r>
      <w:r>
        <w:rPr>
          <w:color w:val="231F20"/>
          <w:w w:val="105"/>
        </w:rPr>
        <w:t>sumaron</w:t>
      </w:r>
      <w:r>
        <w:rPr>
          <w:color w:val="231F20"/>
          <w:spacing w:val="-12"/>
          <w:w w:val="105"/>
        </w:rPr>
        <w:t> </w:t>
      </w:r>
      <w:r>
        <w:rPr>
          <w:color w:val="231F20"/>
          <w:w w:val="105"/>
        </w:rPr>
        <w:t>los traslados</w:t>
      </w:r>
      <w:r>
        <w:rPr>
          <w:color w:val="231F20"/>
          <w:spacing w:val="-41"/>
          <w:w w:val="105"/>
        </w:rPr>
        <w:t> </w:t>
      </w:r>
      <w:r>
        <w:rPr>
          <w:color w:val="231F20"/>
          <w:w w:val="105"/>
        </w:rPr>
        <w:t>a</w:t>
      </w:r>
      <w:r>
        <w:rPr>
          <w:color w:val="231F20"/>
          <w:spacing w:val="-41"/>
          <w:w w:val="105"/>
        </w:rPr>
        <w:t> </w:t>
      </w:r>
      <w:r>
        <w:rPr>
          <w:color w:val="231F20"/>
          <w:w w:val="105"/>
        </w:rPr>
        <w:t>Estados</w:t>
      </w:r>
      <w:r>
        <w:rPr>
          <w:color w:val="231F20"/>
          <w:spacing w:val="-41"/>
          <w:w w:val="105"/>
        </w:rPr>
        <w:t> </w:t>
      </w:r>
      <w:r>
        <w:rPr>
          <w:color w:val="231F20"/>
          <w:w w:val="105"/>
        </w:rPr>
        <w:t>Unidos.</w:t>
      </w:r>
    </w:p>
    <w:p>
      <w:pPr>
        <w:pStyle w:val="BodyText"/>
        <w:spacing w:line="261" w:lineRule="auto" w:before="1"/>
        <w:ind w:left="1723" w:right="1829" w:firstLine="567"/>
        <w:jc w:val="both"/>
      </w:pPr>
      <w:r>
        <w:rPr>
          <w:color w:val="231F20"/>
          <w:w w:val="105"/>
        </w:rPr>
        <w:t>La diversificación del tipo de personas y orígenes de quiénes mi- gran es un fenómeno que se extiende a lo largo y ancho de la entidad. Junto</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movimientos</w:t>
      </w:r>
      <w:r>
        <w:rPr>
          <w:color w:val="231F20"/>
          <w:spacing w:val="-5"/>
          <w:w w:val="105"/>
        </w:rPr>
        <w:t> </w:t>
      </w:r>
      <w:r>
        <w:rPr>
          <w:color w:val="231F20"/>
          <w:w w:val="105"/>
        </w:rPr>
        <w:t>concentrados</w:t>
      </w:r>
      <w:r>
        <w:rPr>
          <w:color w:val="231F20"/>
          <w:spacing w:val="-5"/>
          <w:w w:val="105"/>
        </w:rPr>
        <w:t> </w:t>
      </w:r>
      <w:r>
        <w:rPr>
          <w:color w:val="231F20"/>
          <w:w w:val="105"/>
        </w:rPr>
        <w:t>en</w:t>
      </w:r>
      <w:r>
        <w:rPr>
          <w:color w:val="231F20"/>
          <w:spacing w:val="-5"/>
          <w:w w:val="105"/>
        </w:rPr>
        <w:t> </w:t>
      </w:r>
      <w:r>
        <w:rPr>
          <w:color w:val="231F20"/>
          <w:w w:val="105"/>
        </w:rPr>
        <w:t>municipios</w:t>
      </w:r>
      <w:r>
        <w:rPr>
          <w:color w:val="231F20"/>
          <w:spacing w:val="-5"/>
          <w:w w:val="105"/>
        </w:rPr>
        <w:t> </w:t>
      </w:r>
      <w:r>
        <w:rPr>
          <w:color w:val="231F20"/>
          <w:w w:val="105"/>
        </w:rPr>
        <w:t>rurales,</w:t>
      </w:r>
      <w:r>
        <w:rPr>
          <w:color w:val="231F20"/>
          <w:spacing w:val="-11"/>
          <w:w w:val="105"/>
        </w:rPr>
        <w:t> </w:t>
      </w:r>
      <w:r>
        <w:rPr>
          <w:color w:val="231F20"/>
          <w:w w:val="105"/>
        </w:rPr>
        <w:t>donde</w:t>
      </w:r>
      <w:r>
        <w:rPr>
          <w:color w:val="231F20"/>
          <w:spacing w:val="-5"/>
          <w:w w:val="105"/>
        </w:rPr>
        <w:t> </w:t>
      </w:r>
      <w:r>
        <w:rPr>
          <w:color w:val="231F20"/>
          <w:w w:val="105"/>
        </w:rPr>
        <w:t>los migrantes</w:t>
      </w:r>
      <w:r>
        <w:rPr>
          <w:color w:val="231F20"/>
          <w:spacing w:val="-9"/>
          <w:w w:val="105"/>
        </w:rPr>
        <w:t> </w:t>
      </w:r>
      <w:r>
        <w:rPr>
          <w:color w:val="231F20"/>
          <w:w w:val="105"/>
        </w:rPr>
        <w:t>contaban</w:t>
      </w:r>
      <w:r>
        <w:rPr>
          <w:color w:val="231F20"/>
          <w:spacing w:val="-9"/>
          <w:w w:val="105"/>
        </w:rPr>
        <w:t> </w:t>
      </w:r>
      <w:r>
        <w:rPr>
          <w:color w:val="231F20"/>
          <w:w w:val="105"/>
        </w:rPr>
        <w:t>con</w:t>
      </w:r>
      <w:r>
        <w:rPr>
          <w:color w:val="231F20"/>
          <w:spacing w:val="-9"/>
          <w:w w:val="105"/>
        </w:rPr>
        <w:t> </w:t>
      </w:r>
      <w:r>
        <w:rPr>
          <w:color w:val="231F20"/>
          <w:w w:val="105"/>
        </w:rPr>
        <w:t>algunos</w:t>
      </w:r>
      <w:r>
        <w:rPr>
          <w:color w:val="231F20"/>
          <w:spacing w:val="-9"/>
          <w:w w:val="105"/>
        </w:rPr>
        <w:t> </w:t>
      </w:r>
      <w:r>
        <w:rPr>
          <w:color w:val="231F20"/>
          <w:w w:val="105"/>
        </w:rPr>
        <w:t>años</w:t>
      </w:r>
      <w:r>
        <w:rPr>
          <w:color w:val="231F20"/>
          <w:spacing w:val="-9"/>
          <w:w w:val="105"/>
        </w:rPr>
        <w:t> </w:t>
      </w:r>
      <w:r>
        <w:rPr>
          <w:color w:val="231F20"/>
          <w:w w:val="105"/>
        </w:rPr>
        <w:t>de</w:t>
      </w:r>
      <w:r>
        <w:rPr>
          <w:color w:val="231F20"/>
          <w:spacing w:val="-9"/>
          <w:w w:val="105"/>
        </w:rPr>
        <w:t> </w:t>
      </w:r>
      <w:r>
        <w:rPr>
          <w:color w:val="231F20"/>
          <w:w w:val="105"/>
        </w:rPr>
        <w:t>educación</w:t>
      </w:r>
      <w:r>
        <w:rPr>
          <w:color w:val="231F20"/>
          <w:spacing w:val="-9"/>
          <w:w w:val="105"/>
        </w:rPr>
        <w:t> </w:t>
      </w:r>
      <w:r>
        <w:rPr>
          <w:color w:val="231F20"/>
          <w:w w:val="105"/>
        </w:rPr>
        <w:t>básica,</w:t>
      </w:r>
      <w:r>
        <w:rPr>
          <w:color w:val="231F20"/>
          <w:spacing w:val="-14"/>
          <w:w w:val="105"/>
        </w:rPr>
        <w:t> </w:t>
      </w:r>
      <w:r>
        <w:rPr>
          <w:color w:val="231F20"/>
          <w:w w:val="105"/>
        </w:rPr>
        <w:t>se</w:t>
      </w:r>
      <w:r>
        <w:rPr>
          <w:color w:val="231F20"/>
          <w:spacing w:val="-9"/>
          <w:w w:val="105"/>
        </w:rPr>
        <w:t> </w:t>
      </w:r>
      <w:r>
        <w:rPr>
          <w:color w:val="231F20"/>
          <w:w w:val="105"/>
        </w:rPr>
        <w:t>incorpo- ran “migrantes que parten desde municipios urbanos cuyo grado aca- démico</w:t>
      </w:r>
      <w:r>
        <w:rPr>
          <w:color w:val="231F20"/>
          <w:spacing w:val="-7"/>
          <w:w w:val="105"/>
        </w:rPr>
        <w:t> </w:t>
      </w:r>
      <w:r>
        <w:rPr>
          <w:color w:val="231F20"/>
          <w:w w:val="105"/>
        </w:rPr>
        <w:t>es</w:t>
      </w:r>
      <w:r>
        <w:rPr>
          <w:color w:val="231F20"/>
          <w:spacing w:val="-7"/>
          <w:w w:val="105"/>
        </w:rPr>
        <w:t> </w:t>
      </w:r>
      <w:r>
        <w:rPr>
          <w:color w:val="231F20"/>
          <w:w w:val="105"/>
        </w:rPr>
        <w:t>de</w:t>
      </w:r>
      <w:r>
        <w:rPr>
          <w:color w:val="231F20"/>
          <w:spacing w:val="-7"/>
          <w:w w:val="105"/>
        </w:rPr>
        <w:t> </w:t>
      </w:r>
      <w:r>
        <w:rPr>
          <w:color w:val="231F20"/>
          <w:w w:val="105"/>
        </w:rPr>
        <w:t>nivel</w:t>
      </w:r>
      <w:r>
        <w:rPr>
          <w:color w:val="231F20"/>
          <w:spacing w:val="-7"/>
          <w:w w:val="105"/>
        </w:rPr>
        <w:t> </w:t>
      </w:r>
      <w:r>
        <w:rPr>
          <w:color w:val="231F20"/>
          <w:w w:val="105"/>
        </w:rPr>
        <w:t>medio</w:t>
      </w:r>
      <w:r>
        <w:rPr>
          <w:color w:val="231F20"/>
          <w:spacing w:val="-7"/>
          <w:w w:val="105"/>
        </w:rPr>
        <w:t> </w:t>
      </w:r>
      <w:r>
        <w:rPr>
          <w:color w:val="231F20"/>
          <w:w w:val="105"/>
        </w:rPr>
        <w:t>superior</w:t>
      </w:r>
      <w:r>
        <w:rPr>
          <w:color w:val="231F20"/>
          <w:spacing w:val="-7"/>
          <w:w w:val="105"/>
        </w:rPr>
        <w:t> </w:t>
      </w:r>
      <w:r>
        <w:rPr>
          <w:color w:val="231F20"/>
          <w:w w:val="105"/>
        </w:rPr>
        <w:t>y</w:t>
      </w:r>
      <w:r>
        <w:rPr>
          <w:color w:val="231F20"/>
          <w:spacing w:val="-7"/>
          <w:w w:val="105"/>
        </w:rPr>
        <w:t> </w:t>
      </w:r>
      <w:r>
        <w:rPr>
          <w:color w:val="231F20"/>
          <w:w w:val="105"/>
        </w:rPr>
        <w:t>superior.</w:t>
      </w:r>
      <w:r>
        <w:rPr>
          <w:color w:val="231F20"/>
          <w:spacing w:val="-13"/>
          <w:w w:val="105"/>
        </w:rPr>
        <w:t> </w:t>
      </w:r>
      <w:r>
        <w:rPr>
          <w:color w:val="231F20"/>
          <w:w w:val="105"/>
        </w:rPr>
        <w:t>La</w:t>
      </w:r>
      <w:r>
        <w:rPr>
          <w:color w:val="231F20"/>
          <w:spacing w:val="-7"/>
          <w:w w:val="105"/>
        </w:rPr>
        <w:t> </w:t>
      </w:r>
      <w:r>
        <w:rPr>
          <w:color w:val="231F20"/>
          <w:w w:val="105"/>
        </w:rPr>
        <w:t>zona</w:t>
      </w:r>
      <w:r>
        <w:rPr>
          <w:color w:val="231F20"/>
          <w:spacing w:val="-7"/>
          <w:w w:val="105"/>
        </w:rPr>
        <w:t> </w:t>
      </w:r>
      <w:r>
        <w:rPr>
          <w:color w:val="231F20"/>
          <w:w w:val="105"/>
        </w:rPr>
        <w:t>tradicional</w:t>
      </w:r>
      <w:r>
        <w:rPr>
          <w:color w:val="231F20"/>
          <w:spacing w:val="-7"/>
          <w:w w:val="105"/>
        </w:rPr>
        <w:t> </w:t>
      </w:r>
      <w:r>
        <w:rPr>
          <w:color w:val="231F20"/>
          <w:w w:val="105"/>
        </w:rPr>
        <w:t>de</w:t>
      </w:r>
      <w:r>
        <w:rPr>
          <w:color w:val="231F20"/>
          <w:spacing w:val="-7"/>
          <w:w w:val="105"/>
        </w:rPr>
        <w:t> </w:t>
      </w:r>
      <w:r>
        <w:rPr>
          <w:color w:val="231F20"/>
          <w:spacing w:val="-2"/>
          <w:w w:val="105"/>
        </w:rPr>
        <w:t>ex- </w:t>
      </w:r>
      <w:r>
        <w:rPr>
          <w:color w:val="231F20"/>
          <w:w w:val="105"/>
        </w:rPr>
        <w:t>pulsión</w:t>
      </w:r>
      <w:r>
        <w:rPr>
          <w:color w:val="231F20"/>
          <w:spacing w:val="-5"/>
          <w:w w:val="105"/>
        </w:rPr>
        <w:t> </w:t>
      </w:r>
      <w:r>
        <w:rPr>
          <w:color w:val="231F20"/>
          <w:w w:val="105"/>
        </w:rPr>
        <w:t>de</w:t>
      </w:r>
      <w:r>
        <w:rPr>
          <w:color w:val="231F20"/>
          <w:spacing w:val="-5"/>
          <w:w w:val="105"/>
        </w:rPr>
        <w:t> </w:t>
      </w:r>
      <w:r>
        <w:rPr>
          <w:color w:val="231F20"/>
          <w:w w:val="105"/>
        </w:rPr>
        <w:t>migrantes</w:t>
      </w:r>
      <w:r>
        <w:rPr>
          <w:color w:val="231F20"/>
          <w:spacing w:val="-5"/>
          <w:w w:val="105"/>
        </w:rPr>
        <w:t> </w:t>
      </w:r>
      <w:r>
        <w:rPr>
          <w:color w:val="231F20"/>
          <w:w w:val="105"/>
        </w:rPr>
        <w:t>se</w:t>
      </w:r>
      <w:r>
        <w:rPr>
          <w:color w:val="231F20"/>
          <w:spacing w:val="-5"/>
          <w:w w:val="105"/>
        </w:rPr>
        <w:t> </w:t>
      </w:r>
      <w:r>
        <w:rPr>
          <w:color w:val="231F20"/>
          <w:w w:val="105"/>
        </w:rPr>
        <w:t>situaba</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municipios</w:t>
      </w:r>
      <w:r>
        <w:rPr>
          <w:color w:val="231F20"/>
          <w:spacing w:val="-5"/>
          <w:w w:val="105"/>
        </w:rPr>
        <w:t> </w:t>
      </w:r>
      <w:r>
        <w:rPr>
          <w:color w:val="231F20"/>
          <w:w w:val="105"/>
        </w:rPr>
        <w:t>del</w:t>
      </w:r>
      <w:r>
        <w:rPr>
          <w:color w:val="231F20"/>
          <w:spacing w:val="-5"/>
          <w:w w:val="105"/>
        </w:rPr>
        <w:t> </w:t>
      </w:r>
      <w:r>
        <w:rPr>
          <w:color w:val="231F20"/>
          <w:w w:val="105"/>
        </w:rPr>
        <w:t>sur</w:t>
      </w:r>
      <w:r>
        <w:rPr>
          <w:color w:val="231F20"/>
          <w:spacing w:val="-5"/>
          <w:w w:val="105"/>
        </w:rPr>
        <w:t> </w:t>
      </w:r>
      <w:r>
        <w:rPr>
          <w:color w:val="231F20"/>
          <w:w w:val="105"/>
        </w:rPr>
        <w:t>del</w:t>
      </w:r>
      <w:r>
        <w:rPr>
          <w:color w:val="231F20"/>
          <w:spacing w:val="-5"/>
          <w:w w:val="105"/>
        </w:rPr>
        <w:t> </w:t>
      </w:r>
      <w:r>
        <w:rPr>
          <w:color w:val="231F20"/>
          <w:w w:val="105"/>
        </w:rPr>
        <w:t>Estado</w:t>
      </w:r>
      <w:r>
        <w:rPr>
          <w:color w:val="231F20"/>
          <w:spacing w:val="-5"/>
          <w:w w:val="105"/>
        </w:rPr>
        <w:t> </w:t>
      </w:r>
      <w:r>
        <w:rPr>
          <w:color w:val="231F20"/>
          <w:w w:val="105"/>
        </w:rPr>
        <w:t>de México;</w:t>
      </w:r>
      <w:r>
        <w:rPr>
          <w:color w:val="231F20"/>
          <w:spacing w:val="-23"/>
          <w:w w:val="105"/>
        </w:rPr>
        <w:t> </w:t>
      </w:r>
      <w:r>
        <w:rPr>
          <w:color w:val="231F20"/>
          <w:w w:val="105"/>
        </w:rPr>
        <w:t>hoy</w:t>
      </w:r>
      <w:r>
        <w:rPr>
          <w:color w:val="231F20"/>
          <w:spacing w:val="-23"/>
          <w:w w:val="105"/>
        </w:rPr>
        <w:t> </w:t>
      </w:r>
      <w:r>
        <w:rPr>
          <w:color w:val="231F20"/>
          <w:w w:val="105"/>
        </w:rPr>
        <w:t>la</w:t>
      </w:r>
      <w:r>
        <w:rPr>
          <w:color w:val="231F20"/>
          <w:spacing w:val="-23"/>
          <w:w w:val="105"/>
        </w:rPr>
        <w:t> </w:t>
      </w:r>
      <w:r>
        <w:rPr>
          <w:color w:val="231F20"/>
          <w:w w:val="105"/>
        </w:rPr>
        <w:t>mayoría</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migrantes</w:t>
      </w:r>
      <w:r>
        <w:rPr>
          <w:color w:val="231F20"/>
          <w:spacing w:val="-23"/>
          <w:w w:val="105"/>
        </w:rPr>
        <w:t> </w:t>
      </w:r>
      <w:r>
        <w:rPr>
          <w:color w:val="231F20"/>
          <w:w w:val="105"/>
        </w:rPr>
        <w:t>mexiquenses</w:t>
      </w:r>
      <w:r>
        <w:rPr>
          <w:color w:val="231F20"/>
          <w:spacing w:val="-23"/>
          <w:w w:val="105"/>
        </w:rPr>
        <w:t> </w:t>
      </w:r>
      <w:r>
        <w:rPr>
          <w:color w:val="231F20"/>
          <w:w w:val="105"/>
        </w:rPr>
        <w:t>salen</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zonas metropolitanas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ciudades</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y</w:t>
      </w:r>
      <w:r>
        <w:rPr>
          <w:color w:val="231F20"/>
          <w:spacing w:val="-22"/>
          <w:w w:val="105"/>
        </w:rPr>
        <w:t> </w:t>
      </w:r>
      <w:r>
        <w:rPr>
          <w:color w:val="231F20"/>
          <w:spacing w:val="-4"/>
          <w:w w:val="105"/>
        </w:rPr>
        <w:t>Toluca</w:t>
      </w:r>
      <w:r>
        <w:rPr>
          <w:color w:val="231F20"/>
          <w:spacing w:val="-17"/>
          <w:w w:val="105"/>
        </w:rPr>
        <w:t> </w:t>
      </w:r>
      <w:r>
        <w:rPr>
          <w:color w:val="231F20"/>
          <w:w w:val="105"/>
        </w:rPr>
        <w:t>así</w:t>
      </w:r>
      <w:r>
        <w:rPr>
          <w:color w:val="231F20"/>
          <w:spacing w:val="-17"/>
          <w:w w:val="105"/>
        </w:rPr>
        <w:t> </w:t>
      </w:r>
      <w:r>
        <w:rPr>
          <w:color w:val="231F20"/>
          <w:w w:val="105"/>
        </w:rPr>
        <w:t>como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región indígena” (González y Soberón, 2015: 42). Esta diversificación de</w:t>
      </w:r>
      <w:r>
        <w:rPr>
          <w:color w:val="231F20"/>
          <w:spacing w:val="-31"/>
          <w:w w:val="105"/>
        </w:rPr>
        <w:t> </w:t>
      </w:r>
      <w:r>
        <w:rPr>
          <w:color w:val="231F20"/>
          <w:w w:val="105"/>
        </w:rPr>
        <w:t>acto- res</w:t>
      </w:r>
      <w:r>
        <w:rPr>
          <w:color w:val="231F20"/>
          <w:spacing w:val="-20"/>
          <w:w w:val="105"/>
        </w:rPr>
        <w:t> </w:t>
      </w:r>
      <w:r>
        <w:rPr>
          <w:color w:val="231F20"/>
          <w:w w:val="105"/>
        </w:rPr>
        <w:t>con</w:t>
      </w:r>
      <w:r>
        <w:rPr>
          <w:color w:val="231F20"/>
          <w:spacing w:val="-20"/>
          <w:w w:val="105"/>
        </w:rPr>
        <w:t> </w:t>
      </w:r>
      <w:r>
        <w:rPr>
          <w:color w:val="231F20"/>
          <w:w w:val="105"/>
        </w:rPr>
        <w:t>posicionamientos</w:t>
      </w:r>
      <w:r>
        <w:rPr>
          <w:color w:val="231F20"/>
          <w:spacing w:val="-20"/>
          <w:w w:val="105"/>
        </w:rPr>
        <w:t> </w:t>
      </w:r>
      <w:r>
        <w:rPr>
          <w:color w:val="231F20"/>
          <w:w w:val="105"/>
        </w:rPr>
        <w:t>distintos,</w:t>
      </w:r>
      <w:r>
        <w:rPr>
          <w:color w:val="231F20"/>
          <w:spacing w:val="-24"/>
          <w:w w:val="105"/>
        </w:rPr>
        <w:t> </w:t>
      </w:r>
      <w:r>
        <w:rPr>
          <w:color w:val="231F20"/>
          <w:w w:val="105"/>
        </w:rPr>
        <w:t>recursos</w:t>
      </w:r>
      <w:r>
        <w:rPr>
          <w:color w:val="231F20"/>
          <w:spacing w:val="-20"/>
          <w:w w:val="105"/>
        </w:rPr>
        <w:t> </w:t>
      </w:r>
      <w:r>
        <w:rPr>
          <w:color w:val="231F20"/>
          <w:w w:val="105"/>
        </w:rPr>
        <w:t>diversos</w:t>
      </w:r>
      <w:r>
        <w:rPr>
          <w:color w:val="231F20"/>
          <w:spacing w:val="-20"/>
          <w:w w:val="105"/>
        </w:rPr>
        <w:t> </w:t>
      </w:r>
      <w:r>
        <w:rPr>
          <w:color w:val="231F20"/>
          <w:w w:val="105"/>
        </w:rPr>
        <w:t>y</w:t>
      </w:r>
      <w:r>
        <w:rPr>
          <w:color w:val="231F20"/>
          <w:spacing w:val="-20"/>
          <w:w w:val="105"/>
        </w:rPr>
        <w:t> </w:t>
      </w:r>
      <w:r>
        <w:rPr>
          <w:color w:val="231F20"/>
          <w:w w:val="105"/>
        </w:rPr>
        <w:t>trayectos</w:t>
      </w:r>
      <w:r>
        <w:rPr>
          <w:color w:val="231F20"/>
          <w:spacing w:val="-20"/>
          <w:w w:val="105"/>
        </w:rPr>
        <w:t> </w:t>
      </w:r>
      <w:r>
        <w:rPr>
          <w:color w:val="231F20"/>
          <w:w w:val="105"/>
        </w:rPr>
        <w:t>de</w:t>
      </w:r>
      <w:r>
        <w:rPr>
          <w:color w:val="231F20"/>
          <w:spacing w:val="-20"/>
          <w:w w:val="105"/>
        </w:rPr>
        <w:t> </w:t>
      </w:r>
      <w:r>
        <w:rPr>
          <w:color w:val="231F20"/>
          <w:w w:val="105"/>
        </w:rPr>
        <w:t>vida disímiles</w:t>
      </w:r>
      <w:r>
        <w:rPr>
          <w:color w:val="231F20"/>
          <w:spacing w:val="-6"/>
          <w:w w:val="105"/>
        </w:rPr>
        <w:t> </w:t>
      </w:r>
      <w:r>
        <w:rPr>
          <w:color w:val="231F20"/>
          <w:w w:val="105"/>
        </w:rPr>
        <w:t>son</w:t>
      </w:r>
      <w:r>
        <w:rPr>
          <w:color w:val="231F20"/>
          <w:spacing w:val="-6"/>
          <w:w w:val="105"/>
        </w:rPr>
        <w:t> </w:t>
      </w:r>
      <w:r>
        <w:rPr>
          <w:color w:val="231F20"/>
          <w:w w:val="105"/>
        </w:rPr>
        <w:t>la</w:t>
      </w:r>
      <w:r>
        <w:rPr>
          <w:color w:val="231F20"/>
          <w:spacing w:val="-6"/>
          <w:w w:val="105"/>
        </w:rPr>
        <w:t> </w:t>
      </w:r>
      <w:r>
        <w:rPr>
          <w:color w:val="231F20"/>
          <w:w w:val="105"/>
        </w:rPr>
        <w:t>base</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migraciones</w:t>
      </w:r>
      <w:r>
        <w:rPr>
          <w:color w:val="231F20"/>
          <w:spacing w:val="-6"/>
          <w:w w:val="105"/>
        </w:rPr>
        <w:t> </w:t>
      </w:r>
      <w:r>
        <w:rPr>
          <w:color w:val="231F20"/>
          <w:w w:val="105"/>
        </w:rPr>
        <w:t>diferenciadas,</w:t>
      </w:r>
      <w:r>
        <w:rPr>
          <w:color w:val="231F20"/>
          <w:spacing w:val="-12"/>
          <w:w w:val="105"/>
        </w:rPr>
        <w:t> </w:t>
      </w:r>
      <w:r>
        <w:rPr>
          <w:color w:val="231F20"/>
          <w:w w:val="105"/>
        </w:rPr>
        <w:t>es</w:t>
      </w:r>
      <w:r>
        <w:rPr>
          <w:color w:val="231F20"/>
          <w:spacing w:val="-6"/>
          <w:w w:val="105"/>
        </w:rPr>
        <w:t> </w:t>
      </w:r>
      <w:r>
        <w:rPr>
          <w:color w:val="231F20"/>
          <w:w w:val="105"/>
        </w:rPr>
        <w:t>decir,</w:t>
      </w:r>
      <w:r>
        <w:rPr>
          <w:color w:val="231F20"/>
          <w:spacing w:val="-12"/>
          <w:w w:val="105"/>
        </w:rPr>
        <w:t> </w:t>
      </w:r>
      <w:r>
        <w:rPr>
          <w:color w:val="231F20"/>
          <w:w w:val="105"/>
        </w:rPr>
        <w:t>formas desiguales</w:t>
      </w:r>
      <w:r>
        <w:rPr>
          <w:color w:val="231F20"/>
          <w:spacing w:val="-13"/>
          <w:w w:val="105"/>
        </w:rPr>
        <w:t> </w:t>
      </w:r>
      <w:r>
        <w:rPr>
          <w:color w:val="231F20"/>
          <w:w w:val="105"/>
        </w:rPr>
        <w:t>de</w:t>
      </w:r>
      <w:r>
        <w:rPr>
          <w:color w:val="231F20"/>
          <w:spacing w:val="-13"/>
          <w:w w:val="105"/>
        </w:rPr>
        <w:t> </w:t>
      </w:r>
      <w:r>
        <w:rPr>
          <w:color w:val="231F20"/>
          <w:w w:val="105"/>
        </w:rPr>
        <w:t>migrar</w:t>
      </w:r>
      <w:r>
        <w:rPr>
          <w:color w:val="231F20"/>
          <w:spacing w:val="-13"/>
          <w:w w:val="105"/>
        </w:rPr>
        <w:t> </w:t>
      </w:r>
      <w:r>
        <w:rPr>
          <w:color w:val="231F20"/>
          <w:w w:val="105"/>
        </w:rPr>
        <w:t>y</w:t>
      </w:r>
      <w:r>
        <w:rPr>
          <w:color w:val="231F20"/>
          <w:spacing w:val="-13"/>
          <w:w w:val="105"/>
        </w:rPr>
        <w:t> </w:t>
      </w:r>
      <w:r>
        <w:rPr>
          <w:color w:val="231F20"/>
          <w:w w:val="105"/>
        </w:rPr>
        <w:t>de</w:t>
      </w:r>
      <w:r>
        <w:rPr>
          <w:color w:val="231F20"/>
          <w:spacing w:val="-13"/>
          <w:w w:val="105"/>
        </w:rPr>
        <w:t> </w:t>
      </w:r>
      <w:r>
        <w:rPr>
          <w:color w:val="231F20"/>
          <w:w w:val="105"/>
        </w:rPr>
        <w:t>retornar.</w:t>
      </w:r>
    </w:p>
    <w:p>
      <w:pPr>
        <w:pStyle w:val="BodyText"/>
        <w:spacing w:line="261" w:lineRule="auto" w:before="1"/>
        <w:ind w:left="1723" w:right="1830" w:firstLine="567"/>
        <w:jc w:val="both"/>
      </w:pPr>
      <w:r>
        <w:rPr>
          <w:color w:val="231F20"/>
        </w:rPr>
        <w:t>Lo global se materializa en espacios concretos, en espacios territo- riales de acción y convivencia. </w:t>
      </w:r>
      <w:r>
        <w:rPr>
          <w:color w:val="231F20"/>
          <w:spacing w:val="-4"/>
        </w:rPr>
        <w:t>Para </w:t>
      </w:r>
      <w:r>
        <w:rPr>
          <w:color w:val="231F20"/>
        </w:rPr>
        <w:t>el caso de la investigación en curso, las comunidades rurales de Santa Ana la Ladera y Santa Ana Ixtlahua-  ca,</w:t>
      </w:r>
      <w:r>
        <w:rPr>
          <w:color w:val="231F20"/>
          <w:spacing w:val="32"/>
        </w:rPr>
        <w:t> </w:t>
      </w:r>
      <w:r>
        <w:rPr>
          <w:color w:val="231F20"/>
        </w:rPr>
        <w:t>ubicadas</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municipio</w:t>
      </w:r>
      <w:r>
        <w:rPr>
          <w:color w:val="231F20"/>
          <w:spacing w:val="39"/>
        </w:rPr>
        <w:t> </w:t>
      </w:r>
      <w:r>
        <w:rPr>
          <w:color w:val="231F20"/>
        </w:rPr>
        <w:t>mexiquense</w:t>
      </w:r>
      <w:r>
        <w:rPr>
          <w:color w:val="231F20"/>
          <w:spacing w:val="39"/>
        </w:rPr>
        <w:t> </w:t>
      </w:r>
      <w:r>
        <w:rPr>
          <w:color w:val="231F20"/>
        </w:rPr>
        <w:t>de</w:t>
      </w:r>
      <w:r>
        <w:rPr>
          <w:color w:val="231F20"/>
          <w:spacing w:val="39"/>
        </w:rPr>
        <w:t> </w:t>
      </w:r>
      <w:r>
        <w:rPr>
          <w:color w:val="231F20"/>
        </w:rPr>
        <w:t>Ixtlahuaca</w:t>
      </w:r>
      <w:r>
        <w:rPr>
          <w:color w:val="231F20"/>
          <w:spacing w:val="39"/>
        </w:rPr>
        <w:t> </w:t>
      </w:r>
      <w:r>
        <w:rPr>
          <w:color w:val="231F20"/>
        </w:rPr>
        <w:t>son</w:t>
      </w:r>
      <w:r>
        <w:rPr>
          <w:color w:val="231F20"/>
          <w:spacing w:val="39"/>
        </w:rPr>
        <w:t> </w:t>
      </w:r>
      <w:r>
        <w:rPr>
          <w:color w:val="231F20"/>
        </w:rPr>
        <w:t>el</w:t>
      </w:r>
      <w:r>
        <w:rPr>
          <w:color w:val="231F20"/>
          <w:spacing w:val="39"/>
        </w:rPr>
        <w:t> </w:t>
      </w:r>
      <w:r>
        <w:rPr>
          <w:color w:val="231F20"/>
        </w:rPr>
        <w:t>espacio</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64272" from="131.551193pt,3.703715pt" to="131.551193pt,39.506114pt" stroked="true" strokeweight=".35pt" strokecolor="#231f20">
            <w10:wrap type="none"/>
          </v:line>
        </w:pict>
      </w:r>
      <w:r>
        <w:rPr/>
        <w:pict>
          <v:line style="position:absolute;mso-position-horizontal-relative:page;mso-position-vertical-relative:paragraph;z-index:-464200" from="15pt,39.505917pt" to="0pt,39.505917pt" stroked="true" strokeweight=".25pt" strokecolor="#000000">
            <w10:wrap type="none"/>
          </v:line>
        </w:pict>
      </w:r>
      <w:r>
        <w:rPr/>
        <w:pict>
          <v:line style="position:absolute;mso-position-horizontal-relative:page;mso-position-vertical-relative:paragraph;z-index:26008" from="508.890015pt,39.505917pt" to="523.890015pt,39.505917pt" stroked="true" strokeweight=".25pt" strokecolor="#000000">
            <w10:wrap type="none"/>
          </v:line>
        </w:pict>
      </w:r>
      <w:r>
        <w:rPr>
          <w:rFonts w:ascii="Arial" w:hAnsi="Arial"/>
          <w:color w:val="414042"/>
          <w:w w:val="105"/>
          <w:position w:val="-5"/>
          <w:sz w:val="20"/>
        </w:rPr>
        <w:t>210</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6032"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6056" from="15pt,-28.286539pt" to="0pt,-28.286539pt" stroked="true" strokeweight=".25pt" strokecolor="#000000">
            <w10:wrap type="none"/>
          </v:line>
        </w:pict>
      </w:r>
      <w:r>
        <w:rPr/>
        <w:pict>
          <v:line style="position:absolute;mso-position-horizontal-relative:page;mso-position-vertical-relative:paragraph;z-index:26080" from="508.890015pt,-28.286539pt" to="523.890015pt,-28.286539pt" stroked="true" strokeweight=".25pt" strokecolor="#000000">
            <w10:wrap type="none"/>
          </v:line>
        </w:pict>
      </w:r>
      <w:r>
        <w:rPr>
          <w:rFonts w:ascii="Arial"/>
          <w:color w:val="414042"/>
          <w:sz w:val="20"/>
        </w:rPr>
        <w:t>211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w w:val="105"/>
        </w:rPr>
        <w:t>local para recoger la información referente a la experiencia de retorno de los migrantes indígenas mazahuas. El corpus teórico conceptual se construye</w:t>
      </w:r>
      <w:r>
        <w:rPr>
          <w:color w:val="231F20"/>
          <w:spacing w:val="-14"/>
          <w:w w:val="105"/>
        </w:rPr>
        <w:t> </w:t>
      </w:r>
      <w:r>
        <w:rPr>
          <w:color w:val="231F20"/>
          <w:w w:val="105"/>
        </w:rPr>
        <w:t>desde</w:t>
      </w:r>
      <w:r>
        <w:rPr>
          <w:color w:val="231F20"/>
          <w:spacing w:val="-14"/>
          <w:w w:val="105"/>
        </w:rPr>
        <w:t> </w:t>
      </w:r>
      <w:r>
        <w:rPr>
          <w:color w:val="231F20"/>
          <w:w w:val="105"/>
        </w:rPr>
        <w:t>la</w:t>
      </w:r>
      <w:r>
        <w:rPr>
          <w:color w:val="231F20"/>
          <w:spacing w:val="-14"/>
          <w:w w:val="105"/>
        </w:rPr>
        <w:t> </w:t>
      </w:r>
      <w:r>
        <w:rPr>
          <w:color w:val="231F20"/>
          <w:w w:val="105"/>
        </w:rPr>
        <w:t>óptica</w:t>
      </w:r>
      <w:r>
        <w:rPr>
          <w:color w:val="231F20"/>
          <w:spacing w:val="-14"/>
          <w:w w:val="105"/>
        </w:rPr>
        <w:t> </w:t>
      </w:r>
      <w:r>
        <w:rPr>
          <w:color w:val="231F20"/>
          <w:w w:val="105"/>
        </w:rPr>
        <w:t>global</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migraciones</w:t>
      </w:r>
      <w:r>
        <w:rPr>
          <w:color w:val="231F20"/>
          <w:spacing w:val="-14"/>
          <w:w w:val="105"/>
        </w:rPr>
        <w:t> </w:t>
      </w:r>
      <w:r>
        <w:rPr>
          <w:color w:val="231F20"/>
          <w:w w:val="105"/>
        </w:rPr>
        <w:t>(Glick-Schiller</w:t>
      </w:r>
      <w:r>
        <w:rPr>
          <w:color w:val="231F20"/>
          <w:spacing w:val="-14"/>
          <w:w w:val="105"/>
        </w:rPr>
        <w:t> </w:t>
      </w:r>
      <w:r>
        <w:rPr>
          <w:color w:val="231F20"/>
          <w:w w:val="105"/>
        </w:rPr>
        <w:t>y</w:t>
      </w:r>
      <w:r>
        <w:rPr>
          <w:color w:val="231F20"/>
          <w:spacing w:val="-14"/>
          <w:w w:val="105"/>
        </w:rPr>
        <w:t> </w:t>
      </w:r>
      <w:r>
        <w:rPr>
          <w:color w:val="231F20"/>
          <w:w w:val="105"/>
        </w:rPr>
        <w:t>Ca- glar</w:t>
      </w:r>
      <w:r>
        <w:rPr>
          <w:color w:val="231F20"/>
          <w:spacing w:val="-9"/>
          <w:w w:val="105"/>
        </w:rPr>
        <w:t> </w:t>
      </w:r>
      <w:r>
        <w:rPr>
          <w:color w:val="231F20"/>
          <w:w w:val="105"/>
        </w:rPr>
        <w:t>2011),</w:t>
      </w:r>
      <w:r>
        <w:rPr>
          <w:color w:val="231F20"/>
          <w:spacing w:val="-14"/>
          <w:w w:val="105"/>
        </w:rPr>
        <w:t> </w:t>
      </w:r>
      <w:r>
        <w:rPr>
          <w:color w:val="231F20"/>
          <w:w w:val="105"/>
        </w:rPr>
        <w:t>de</w:t>
      </w:r>
      <w:r>
        <w:rPr>
          <w:color w:val="231F20"/>
          <w:spacing w:val="-9"/>
          <w:w w:val="105"/>
        </w:rPr>
        <w:t> </w:t>
      </w:r>
      <w:r>
        <w:rPr>
          <w:color w:val="231F20"/>
          <w:w w:val="105"/>
        </w:rPr>
        <w:t>donde</w:t>
      </w:r>
      <w:r>
        <w:rPr>
          <w:color w:val="231F20"/>
          <w:spacing w:val="-9"/>
          <w:w w:val="105"/>
        </w:rPr>
        <w:t> </w:t>
      </w:r>
      <w:r>
        <w:rPr>
          <w:color w:val="231F20"/>
          <w:w w:val="105"/>
        </w:rPr>
        <w:t>se</w:t>
      </w:r>
      <w:r>
        <w:rPr>
          <w:color w:val="231F20"/>
          <w:spacing w:val="-9"/>
          <w:w w:val="105"/>
        </w:rPr>
        <w:t> </w:t>
      </w:r>
      <w:r>
        <w:rPr>
          <w:color w:val="231F20"/>
          <w:w w:val="105"/>
        </w:rPr>
        <w:t>desprenden</w:t>
      </w:r>
      <w:r>
        <w:rPr>
          <w:color w:val="231F20"/>
          <w:spacing w:val="-9"/>
          <w:w w:val="105"/>
        </w:rPr>
        <w:t> </w:t>
      </w:r>
      <w:r>
        <w:rPr>
          <w:color w:val="231F20"/>
          <w:w w:val="105"/>
        </w:rPr>
        <w:t>la</w:t>
      </w:r>
      <w:r>
        <w:rPr>
          <w:color w:val="231F20"/>
          <w:spacing w:val="-9"/>
          <w:w w:val="105"/>
        </w:rPr>
        <w:t> </w:t>
      </w:r>
      <w:r>
        <w:rPr>
          <w:color w:val="231F20"/>
          <w:w w:val="105"/>
        </w:rPr>
        <w:t>perspectiva</w:t>
      </w:r>
      <w:r>
        <w:rPr>
          <w:color w:val="231F20"/>
          <w:spacing w:val="-9"/>
          <w:w w:val="105"/>
        </w:rPr>
        <w:t> </w:t>
      </w:r>
      <w:r>
        <w:rPr>
          <w:color w:val="231F20"/>
          <w:w w:val="105"/>
        </w:rPr>
        <w:t>transnacional</w:t>
      </w:r>
      <w:r>
        <w:rPr>
          <w:color w:val="231F20"/>
          <w:spacing w:val="-9"/>
          <w:w w:val="105"/>
        </w:rPr>
        <w:t> </w:t>
      </w:r>
      <w:r>
        <w:rPr>
          <w:color w:val="231F20"/>
          <w:w w:val="105"/>
        </w:rPr>
        <w:t>(Levitt y</w:t>
      </w:r>
      <w:r>
        <w:rPr>
          <w:color w:val="231F20"/>
          <w:spacing w:val="-17"/>
          <w:w w:val="105"/>
        </w:rPr>
        <w:t> </w:t>
      </w:r>
      <w:r>
        <w:rPr>
          <w:color w:val="231F20"/>
          <w:w w:val="105"/>
        </w:rPr>
        <w:t>Glick-Schiller,</w:t>
      </w:r>
      <w:r>
        <w:rPr>
          <w:color w:val="231F20"/>
          <w:spacing w:val="-22"/>
          <w:w w:val="105"/>
        </w:rPr>
        <w:t> </w:t>
      </w:r>
      <w:r>
        <w:rPr>
          <w:color w:val="231F20"/>
          <w:w w:val="105"/>
        </w:rPr>
        <w:t>2004)</w:t>
      </w:r>
      <w:r>
        <w:rPr>
          <w:color w:val="231F20"/>
          <w:spacing w:val="-17"/>
          <w:w w:val="105"/>
        </w:rPr>
        <w:t> </w:t>
      </w:r>
      <w:r>
        <w:rPr>
          <w:color w:val="231F20"/>
          <w:w w:val="105"/>
        </w:rPr>
        <w:t>y</w:t>
      </w:r>
      <w:r>
        <w:rPr>
          <w:color w:val="231F20"/>
          <w:spacing w:val="-17"/>
          <w:w w:val="105"/>
        </w:rPr>
        <w:t> </w:t>
      </w:r>
      <w:r>
        <w:rPr>
          <w:color w:val="231F20"/>
          <w:w w:val="105"/>
        </w:rPr>
        <w:t>desde</w:t>
      </w:r>
      <w:r>
        <w:rPr>
          <w:color w:val="231F20"/>
          <w:spacing w:val="-17"/>
          <w:w w:val="105"/>
        </w:rPr>
        <w:t> </w:t>
      </w:r>
      <w:r>
        <w:rPr>
          <w:color w:val="231F20"/>
          <w:w w:val="105"/>
        </w:rPr>
        <w:t>la</w:t>
      </w:r>
      <w:r>
        <w:rPr>
          <w:color w:val="231F20"/>
          <w:spacing w:val="-17"/>
          <w:w w:val="105"/>
        </w:rPr>
        <w:t> </w:t>
      </w:r>
      <w:r>
        <w:rPr>
          <w:color w:val="231F20"/>
          <w:w w:val="105"/>
        </w:rPr>
        <w:t>perspectiva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movilidades</w:t>
      </w:r>
      <w:r>
        <w:rPr>
          <w:color w:val="231F20"/>
          <w:spacing w:val="-17"/>
          <w:w w:val="105"/>
        </w:rPr>
        <w:t> </w:t>
      </w:r>
      <w:r>
        <w:rPr>
          <w:color w:val="231F20"/>
          <w:w w:val="105"/>
        </w:rPr>
        <w:t>geográ- ficas</w:t>
      </w:r>
      <w:r>
        <w:rPr>
          <w:color w:val="231F20"/>
          <w:spacing w:val="-36"/>
          <w:w w:val="105"/>
        </w:rPr>
        <w:t> </w:t>
      </w:r>
      <w:r>
        <w:rPr>
          <w:color w:val="231F20"/>
          <w:w w:val="105"/>
        </w:rPr>
        <w:t>y/o</w:t>
      </w:r>
      <w:r>
        <w:rPr>
          <w:color w:val="231F20"/>
          <w:spacing w:val="-36"/>
          <w:w w:val="105"/>
        </w:rPr>
        <w:t> </w:t>
      </w:r>
      <w:r>
        <w:rPr>
          <w:color w:val="231F20"/>
          <w:w w:val="105"/>
        </w:rPr>
        <w:t>espaciales</w:t>
      </w:r>
      <w:r>
        <w:rPr>
          <w:color w:val="231F20"/>
          <w:spacing w:val="-36"/>
          <w:w w:val="105"/>
        </w:rPr>
        <w:t> </w:t>
      </w:r>
      <w:r>
        <w:rPr>
          <w:color w:val="231F20"/>
          <w:w w:val="105"/>
        </w:rPr>
        <w:t>(Urry,</w:t>
      </w:r>
      <w:r>
        <w:rPr>
          <w:color w:val="231F20"/>
          <w:spacing w:val="-39"/>
          <w:w w:val="105"/>
        </w:rPr>
        <w:t> </w:t>
      </w:r>
      <w:r>
        <w:rPr>
          <w:color w:val="231F20"/>
          <w:w w:val="105"/>
        </w:rPr>
        <w:t>2007;</w:t>
      </w:r>
      <w:r>
        <w:rPr>
          <w:color w:val="231F20"/>
          <w:spacing w:val="-36"/>
          <w:w w:val="105"/>
        </w:rPr>
        <w:t> </w:t>
      </w:r>
      <w:r>
        <w:rPr>
          <w:color w:val="231F20"/>
          <w:w w:val="105"/>
        </w:rPr>
        <w:t>Scheller,</w:t>
      </w:r>
      <w:r>
        <w:rPr>
          <w:color w:val="231F20"/>
          <w:spacing w:val="-39"/>
          <w:w w:val="105"/>
        </w:rPr>
        <w:t> </w:t>
      </w:r>
      <w:r>
        <w:rPr>
          <w:color w:val="231F20"/>
          <w:w w:val="105"/>
        </w:rPr>
        <w:t>2014,</w:t>
      </w:r>
      <w:r>
        <w:rPr>
          <w:color w:val="231F20"/>
          <w:spacing w:val="-39"/>
          <w:w w:val="105"/>
        </w:rPr>
        <w:t> </w:t>
      </w:r>
      <w:r>
        <w:rPr>
          <w:color w:val="231F20"/>
          <w:w w:val="105"/>
        </w:rPr>
        <w:t>en</w:t>
      </w:r>
      <w:r>
        <w:rPr>
          <w:color w:val="231F20"/>
          <w:spacing w:val="-36"/>
          <w:w w:val="105"/>
        </w:rPr>
        <w:t> </w:t>
      </w:r>
      <w:r>
        <w:rPr>
          <w:color w:val="231F20"/>
          <w:w w:val="105"/>
        </w:rPr>
        <w:t>Rivera,</w:t>
      </w:r>
      <w:r>
        <w:rPr>
          <w:color w:val="231F20"/>
          <w:spacing w:val="-39"/>
          <w:w w:val="105"/>
        </w:rPr>
        <w:t> </w:t>
      </w:r>
      <w:r>
        <w:rPr>
          <w:color w:val="231F20"/>
          <w:w w:val="105"/>
        </w:rPr>
        <w:t>2015).</w:t>
      </w:r>
    </w:p>
    <w:p>
      <w:pPr>
        <w:pStyle w:val="BodyText"/>
        <w:rPr>
          <w:sz w:val="20"/>
        </w:rPr>
      </w:pPr>
    </w:p>
    <w:p>
      <w:pPr>
        <w:pStyle w:val="BodyText"/>
        <w:spacing w:before="9"/>
        <w:rPr>
          <w:sz w:val="20"/>
        </w:rPr>
      </w:pPr>
    </w:p>
    <w:p>
      <w:pPr>
        <w:pStyle w:val="Heading3"/>
      </w:pPr>
      <w:r>
        <w:rPr>
          <w:color w:val="231F20"/>
        </w:rPr>
        <w:t>La migración indígena. Mazahuas en movimiento</w:t>
      </w:r>
    </w:p>
    <w:p>
      <w:pPr>
        <w:pStyle w:val="BodyText"/>
        <w:rPr>
          <w:rFonts w:ascii="Arial"/>
          <w:b/>
          <w:sz w:val="22"/>
        </w:rPr>
      </w:pPr>
    </w:p>
    <w:p>
      <w:pPr>
        <w:pStyle w:val="BodyText"/>
        <w:spacing w:line="261" w:lineRule="auto" w:before="163"/>
        <w:ind w:left="1837" w:right="1721"/>
        <w:jc w:val="both"/>
      </w:pPr>
      <w:r>
        <w:rPr>
          <w:color w:val="231F20"/>
          <w:w w:val="105"/>
        </w:rPr>
        <w:t>Las</w:t>
      </w:r>
      <w:r>
        <w:rPr>
          <w:color w:val="231F20"/>
          <w:spacing w:val="-33"/>
          <w:w w:val="105"/>
        </w:rPr>
        <w:t> </w:t>
      </w:r>
      <w:r>
        <w:rPr>
          <w:color w:val="231F20"/>
          <w:w w:val="105"/>
        </w:rPr>
        <w:t>migraciones</w:t>
      </w:r>
      <w:r>
        <w:rPr>
          <w:color w:val="231F20"/>
          <w:spacing w:val="-33"/>
          <w:w w:val="105"/>
        </w:rPr>
        <w:t> </w:t>
      </w:r>
      <w:r>
        <w:rPr>
          <w:color w:val="231F20"/>
          <w:w w:val="105"/>
        </w:rPr>
        <w:t>contemporáneas</w:t>
      </w:r>
      <w:r>
        <w:rPr>
          <w:color w:val="231F20"/>
          <w:spacing w:val="-33"/>
          <w:w w:val="105"/>
        </w:rPr>
        <w:t> </w:t>
      </w:r>
      <w:r>
        <w:rPr>
          <w:color w:val="231F20"/>
          <w:w w:val="105"/>
        </w:rPr>
        <w:t>se</w:t>
      </w:r>
      <w:r>
        <w:rPr>
          <w:color w:val="231F20"/>
          <w:spacing w:val="-33"/>
          <w:w w:val="105"/>
        </w:rPr>
        <w:t> </w:t>
      </w:r>
      <w:r>
        <w:rPr>
          <w:color w:val="231F20"/>
          <w:w w:val="105"/>
        </w:rPr>
        <w:t>caracterizan</w:t>
      </w:r>
      <w:r>
        <w:rPr>
          <w:color w:val="231F20"/>
          <w:spacing w:val="-33"/>
          <w:w w:val="105"/>
        </w:rPr>
        <w:t> </w:t>
      </w:r>
      <w:r>
        <w:rPr>
          <w:color w:val="231F20"/>
          <w:w w:val="105"/>
        </w:rPr>
        <w:t>por</w:t>
      </w:r>
      <w:r>
        <w:rPr>
          <w:color w:val="231F20"/>
          <w:spacing w:val="-33"/>
          <w:w w:val="105"/>
        </w:rPr>
        <w:t> </w:t>
      </w:r>
      <w:r>
        <w:rPr>
          <w:color w:val="231F20"/>
          <w:w w:val="105"/>
        </w:rPr>
        <w:t>la</w:t>
      </w:r>
      <w:r>
        <w:rPr>
          <w:color w:val="231F20"/>
          <w:spacing w:val="-33"/>
          <w:w w:val="105"/>
        </w:rPr>
        <w:t> </w:t>
      </w:r>
      <w:r>
        <w:rPr>
          <w:color w:val="231F20"/>
          <w:w w:val="105"/>
        </w:rPr>
        <w:t>diversidad</w:t>
      </w:r>
      <w:r>
        <w:rPr>
          <w:color w:val="231F20"/>
          <w:spacing w:val="-33"/>
          <w:w w:val="105"/>
        </w:rPr>
        <w:t> </w:t>
      </w:r>
      <w:r>
        <w:rPr>
          <w:color w:val="231F20"/>
          <w:w w:val="105"/>
        </w:rPr>
        <w:t>de</w:t>
      </w:r>
      <w:r>
        <w:rPr>
          <w:color w:val="231F20"/>
          <w:spacing w:val="-33"/>
          <w:w w:val="105"/>
        </w:rPr>
        <w:t> </w:t>
      </w:r>
      <w:r>
        <w:rPr>
          <w:color w:val="231F20"/>
          <w:w w:val="105"/>
        </w:rPr>
        <w:t>ac- tores,</w:t>
      </w:r>
      <w:r>
        <w:rPr>
          <w:color w:val="231F20"/>
          <w:spacing w:val="-13"/>
          <w:w w:val="105"/>
        </w:rPr>
        <w:t> </w:t>
      </w:r>
      <w:r>
        <w:rPr>
          <w:color w:val="231F20"/>
          <w:w w:val="105"/>
        </w:rPr>
        <w:t>recursos</w:t>
      </w:r>
      <w:r>
        <w:rPr>
          <w:color w:val="231F20"/>
          <w:spacing w:val="-8"/>
          <w:w w:val="105"/>
        </w:rPr>
        <w:t> </w:t>
      </w:r>
      <w:r>
        <w:rPr>
          <w:color w:val="231F20"/>
          <w:w w:val="105"/>
        </w:rPr>
        <w:t>e</w:t>
      </w:r>
      <w:r>
        <w:rPr>
          <w:color w:val="231F20"/>
          <w:spacing w:val="-8"/>
          <w:w w:val="105"/>
        </w:rPr>
        <w:t> </w:t>
      </w:r>
      <w:r>
        <w:rPr>
          <w:color w:val="231F20"/>
          <w:w w:val="105"/>
        </w:rPr>
        <w:t>intercambios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movilizan</w:t>
      </w:r>
      <w:r>
        <w:rPr>
          <w:color w:val="231F20"/>
          <w:spacing w:val="-8"/>
          <w:w w:val="105"/>
        </w:rPr>
        <w:t> </w:t>
      </w:r>
      <w:r>
        <w:rPr>
          <w:color w:val="231F20"/>
          <w:w w:val="105"/>
        </w:rPr>
        <w:t>a</w:t>
      </w:r>
      <w:r>
        <w:rPr>
          <w:color w:val="231F20"/>
          <w:spacing w:val="-8"/>
          <w:w w:val="105"/>
        </w:rPr>
        <w:t> </w:t>
      </w:r>
      <w:r>
        <w:rPr>
          <w:color w:val="231F20"/>
          <w:w w:val="105"/>
        </w:rPr>
        <w:t>través</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circuitos migratorios.</w:t>
      </w:r>
      <w:r>
        <w:rPr>
          <w:color w:val="231F20"/>
          <w:spacing w:val="-11"/>
          <w:w w:val="105"/>
        </w:rPr>
        <w:t> </w:t>
      </w:r>
      <w:r>
        <w:rPr>
          <w:color w:val="231F20"/>
          <w:w w:val="105"/>
        </w:rPr>
        <w:t>La</w:t>
      </w:r>
      <w:r>
        <w:rPr>
          <w:color w:val="231F20"/>
          <w:spacing w:val="-7"/>
          <w:w w:val="105"/>
        </w:rPr>
        <w:t> </w:t>
      </w:r>
      <w:r>
        <w:rPr>
          <w:color w:val="231F20"/>
          <w:w w:val="105"/>
        </w:rPr>
        <w:t>participación</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mujeres</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desplazamientos,</w:t>
      </w:r>
      <w:r>
        <w:rPr>
          <w:color w:val="231F20"/>
          <w:spacing w:val="-11"/>
          <w:w w:val="105"/>
        </w:rPr>
        <w:t> </w:t>
      </w:r>
      <w:r>
        <w:rPr>
          <w:color w:val="231F20"/>
          <w:w w:val="105"/>
        </w:rPr>
        <w:t>no sólo como acompañantes, sino como protagonistas (Ariza, 2000), con- centró</w:t>
      </w:r>
      <w:r>
        <w:rPr>
          <w:color w:val="231F20"/>
          <w:spacing w:val="-7"/>
          <w:w w:val="105"/>
        </w:rPr>
        <w:t> </w:t>
      </w:r>
      <w:r>
        <w:rPr>
          <w:color w:val="231F20"/>
          <w:w w:val="105"/>
        </w:rPr>
        <w:t>estudios</w:t>
      </w:r>
      <w:r>
        <w:rPr>
          <w:color w:val="231F20"/>
          <w:spacing w:val="-7"/>
          <w:w w:val="105"/>
        </w:rPr>
        <w:t> </w:t>
      </w:r>
      <w:r>
        <w:rPr>
          <w:color w:val="231F20"/>
          <w:w w:val="105"/>
        </w:rPr>
        <w:t>de</w:t>
      </w:r>
      <w:r>
        <w:rPr>
          <w:color w:val="231F20"/>
          <w:spacing w:val="-7"/>
          <w:w w:val="105"/>
        </w:rPr>
        <w:t> </w:t>
      </w:r>
      <w:r>
        <w:rPr>
          <w:color w:val="231F20"/>
          <w:w w:val="105"/>
        </w:rPr>
        <w:t>especificidad</w:t>
      </w:r>
      <w:r>
        <w:rPr>
          <w:color w:val="231F20"/>
          <w:spacing w:val="-7"/>
          <w:w w:val="105"/>
        </w:rPr>
        <w:t> </w:t>
      </w:r>
      <w:r>
        <w:rPr>
          <w:color w:val="231F20"/>
          <w:w w:val="105"/>
        </w:rPr>
        <w:t>tendientes</w:t>
      </w:r>
      <w:r>
        <w:rPr>
          <w:color w:val="231F20"/>
          <w:spacing w:val="-7"/>
          <w:w w:val="105"/>
        </w:rPr>
        <w:t> </w:t>
      </w:r>
      <w:r>
        <w:rPr>
          <w:color w:val="231F20"/>
          <w:w w:val="105"/>
        </w:rPr>
        <w:t>a</w:t>
      </w:r>
      <w:r>
        <w:rPr>
          <w:color w:val="231F20"/>
          <w:spacing w:val="-7"/>
          <w:w w:val="105"/>
        </w:rPr>
        <w:t> </w:t>
      </w:r>
      <w:r>
        <w:rPr>
          <w:color w:val="231F20"/>
          <w:w w:val="105"/>
        </w:rPr>
        <w:t>conocer</w:t>
      </w:r>
      <w:r>
        <w:rPr>
          <w:color w:val="231F20"/>
          <w:spacing w:val="-7"/>
          <w:w w:val="105"/>
        </w:rPr>
        <w:t> </w:t>
      </w:r>
      <w:r>
        <w:rPr>
          <w:color w:val="231F20"/>
          <w:w w:val="105"/>
        </w:rPr>
        <w:t>las</w:t>
      </w:r>
      <w:r>
        <w:rPr>
          <w:color w:val="231F20"/>
          <w:spacing w:val="-7"/>
          <w:w w:val="105"/>
        </w:rPr>
        <w:t> </w:t>
      </w:r>
      <w:r>
        <w:rPr>
          <w:color w:val="231F20"/>
          <w:w w:val="105"/>
        </w:rPr>
        <w:t>implicaciones de su carácter diferencial por sexo. Entendida como proceso social, el análisis de la migración conjuga la organización sexual del trabajo, el vínculo entre mercado y familia, el reparto de tareas en función de la adscripción sexual y las relaciones de poder entre hombres y mujeres; supuestos</w:t>
      </w:r>
      <w:r>
        <w:rPr>
          <w:color w:val="231F20"/>
          <w:spacing w:val="-4"/>
          <w:w w:val="105"/>
        </w:rPr>
        <w:t> </w:t>
      </w:r>
      <w:r>
        <w:rPr>
          <w:color w:val="231F20"/>
          <w:w w:val="105"/>
        </w:rPr>
        <w:t>que</w:t>
      </w:r>
      <w:r>
        <w:rPr>
          <w:color w:val="231F20"/>
          <w:spacing w:val="-4"/>
          <w:w w:val="105"/>
        </w:rPr>
        <w:t> </w:t>
      </w:r>
      <w:r>
        <w:rPr>
          <w:color w:val="231F20"/>
          <w:w w:val="105"/>
        </w:rPr>
        <w:t>dieron</w:t>
      </w:r>
      <w:r>
        <w:rPr>
          <w:color w:val="231F20"/>
          <w:spacing w:val="-4"/>
          <w:w w:val="105"/>
        </w:rPr>
        <w:t> </w:t>
      </w:r>
      <w:r>
        <w:rPr>
          <w:color w:val="231F20"/>
          <w:w w:val="105"/>
        </w:rPr>
        <w:t>origen</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línea</w:t>
      </w:r>
      <w:r>
        <w:rPr>
          <w:color w:val="231F20"/>
          <w:spacing w:val="-4"/>
          <w:w w:val="105"/>
        </w:rPr>
        <w:t> </w:t>
      </w:r>
      <w:r>
        <w:rPr>
          <w:color w:val="231F20"/>
          <w:w w:val="105"/>
        </w:rPr>
        <w:t>de</w:t>
      </w:r>
      <w:r>
        <w:rPr>
          <w:color w:val="231F20"/>
          <w:spacing w:val="-4"/>
          <w:w w:val="105"/>
        </w:rPr>
        <w:t> </w:t>
      </w:r>
      <w:r>
        <w:rPr>
          <w:color w:val="231F20"/>
          <w:w w:val="105"/>
        </w:rPr>
        <w:t>investigación</w:t>
      </w:r>
      <w:r>
        <w:rPr>
          <w:color w:val="231F20"/>
          <w:spacing w:val="-4"/>
          <w:w w:val="105"/>
        </w:rPr>
        <w:t> </w:t>
      </w:r>
      <w:r>
        <w:rPr>
          <w:color w:val="231F20"/>
          <w:w w:val="105"/>
        </w:rPr>
        <w:t>género</w:t>
      </w:r>
      <w:r>
        <w:rPr>
          <w:color w:val="231F20"/>
          <w:spacing w:val="-4"/>
          <w:w w:val="105"/>
        </w:rPr>
        <w:t> </w:t>
      </w:r>
      <w:r>
        <w:rPr>
          <w:color w:val="231F20"/>
          <w:w w:val="105"/>
        </w:rPr>
        <w:t>y</w:t>
      </w:r>
      <w:r>
        <w:rPr>
          <w:color w:val="231F20"/>
          <w:spacing w:val="-4"/>
          <w:w w:val="105"/>
        </w:rPr>
        <w:t> </w:t>
      </w:r>
      <w:r>
        <w:rPr>
          <w:color w:val="231F20"/>
          <w:w w:val="105"/>
        </w:rPr>
        <w:t>migra- ción. Este planteamiento que enfatiza el aspecto “diferenciado” de los desplazamientos</w:t>
      </w:r>
      <w:r>
        <w:rPr>
          <w:color w:val="231F20"/>
          <w:spacing w:val="-31"/>
          <w:w w:val="105"/>
        </w:rPr>
        <w:t> </w:t>
      </w:r>
      <w:r>
        <w:rPr>
          <w:color w:val="231F20"/>
          <w:w w:val="105"/>
        </w:rPr>
        <w:t>estableció</w:t>
      </w:r>
      <w:r>
        <w:rPr>
          <w:color w:val="231F20"/>
          <w:spacing w:val="-31"/>
          <w:w w:val="105"/>
        </w:rPr>
        <w:t> </w:t>
      </w:r>
      <w:r>
        <w:rPr>
          <w:color w:val="231F20"/>
          <w:w w:val="105"/>
        </w:rPr>
        <w:t>las</w:t>
      </w:r>
      <w:r>
        <w:rPr>
          <w:color w:val="231F20"/>
          <w:spacing w:val="-31"/>
          <w:w w:val="105"/>
        </w:rPr>
        <w:t> </w:t>
      </w:r>
      <w:r>
        <w:rPr>
          <w:color w:val="231F20"/>
          <w:w w:val="105"/>
        </w:rPr>
        <w:t>bases</w:t>
      </w:r>
      <w:r>
        <w:rPr>
          <w:color w:val="231F20"/>
          <w:spacing w:val="-31"/>
          <w:w w:val="105"/>
        </w:rPr>
        <w:t> </w:t>
      </w:r>
      <w:r>
        <w:rPr>
          <w:color w:val="231F20"/>
          <w:w w:val="105"/>
        </w:rPr>
        <w:t>analíticas</w:t>
      </w:r>
      <w:r>
        <w:rPr>
          <w:color w:val="231F20"/>
          <w:spacing w:val="-31"/>
          <w:w w:val="105"/>
        </w:rPr>
        <w:t> </w:t>
      </w:r>
      <w:r>
        <w:rPr>
          <w:color w:val="231F20"/>
          <w:w w:val="105"/>
        </w:rPr>
        <w:t>para</w:t>
      </w:r>
      <w:r>
        <w:rPr>
          <w:color w:val="231F20"/>
          <w:spacing w:val="-31"/>
          <w:w w:val="105"/>
        </w:rPr>
        <w:t> </w:t>
      </w:r>
      <w:r>
        <w:rPr>
          <w:color w:val="231F20"/>
          <w:w w:val="105"/>
        </w:rPr>
        <w:t>el</w:t>
      </w:r>
      <w:r>
        <w:rPr>
          <w:color w:val="231F20"/>
          <w:spacing w:val="-31"/>
          <w:w w:val="105"/>
        </w:rPr>
        <w:t> </w:t>
      </w:r>
      <w:r>
        <w:rPr>
          <w:color w:val="231F20"/>
          <w:w w:val="105"/>
        </w:rPr>
        <w:t>abordaje</w:t>
      </w:r>
      <w:r>
        <w:rPr>
          <w:color w:val="231F20"/>
          <w:spacing w:val="-31"/>
          <w:w w:val="105"/>
        </w:rPr>
        <w:t> </w:t>
      </w:r>
      <w:r>
        <w:rPr>
          <w:color w:val="231F20"/>
          <w:w w:val="105"/>
        </w:rPr>
        <w:t>de</w:t>
      </w:r>
      <w:r>
        <w:rPr>
          <w:color w:val="231F20"/>
          <w:spacing w:val="-31"/>
          <w:w w:val="105"/>
        </w:rPr>
        <w:t> </w:t>
      </w:r>
      <w:r>
        <w:rPr>
          <w:color w:val="231F20"/>
          <w:w w:val="105"/>
        </w:rPr>
        <w:t>otros grupos involucrados en la migración internacional. Ello derivó en estu- dios que retoman a los grupos étnicos, a los adolescentes y migrantes calificados, como sujetos que se incorporan de manera significativa en las</w:t>
      </w:r>
      <w:r>
        <w:rPr>
          <w:color w:val="231F20"/>
          <w:spacing w:val="-35"/>
          <w:w w:val="105"/>
        </w:rPr>
        <w:t> </w:t>
      </w:r>
      <w:r>
        <w:rPr>
          <w:color w:val="231F20"/>
          <w:w w:val="105"/>
        </w:rPr>
        <w:t>movilidades</w:t>
      </w:r>
      <w:r>
        <w:rPr>
          <w:color w:val="231F20"/>
          <w:spacing w:val="-35"/>
          <w:w w:val="105"/>
        </w:rPr>
        <w:t> </w:t>
      </w:r>
      <w:r>
        <w:rPr>
          <w:color w:val="231F20"/>
          <w:w w:val="105"/>
        </w:rPr>
        <w:t>contemporáneas.</w:t>
      </w:r>
    </w:p>
    <w:p>
      <w:pPr>
        <w:pStyle w:val="BodyText"/>
        <w:spacing w:line="261" w:lineRule="auto" w:before="1"/>
        <w:ind w:left="1837" w:right="1716" w:firstLine="567"/>
        <w:jc w:val="both"/>
      </w:pPr>
      <w:r>
        <w:rPr/>
        <w:pict>
          <v:line style="position:absolute;mso-position-horizontal-relative:page;mso-position-vertical-relative:paragraph;z-index:-464080" from="15pt,280.3479pt" to="0pt,280.3479pt" stroked="true" strokeweight=".25pt" strokecolor="#000000">
            <w10:wrap type="none"/>
          </v:line>
        </w:pict>
      </w:r>
      <w:r>
        <w:rPr/>
        <w:pict>
          <v:line style="position:absolute;mso-position-horizontal-relative:page;mso-position-vertical-relative:paragraph;z-index:26128" from="508.890015pt,280.3479pt" to="523.890015pt,280.3479pt" stroked="true" strokeweight=".25pt" strokecolor="#000000">
            <w10:wrap type="none"/>
          </v:line>
        </w:pict>
      </w:r>
      <w:r>
        <w:rPr>
          <w:color w:val="231F20"/>
          <w:spacing w:val="-5"/>
          <w:w w:val="105"/>
        </w:rPr>
        <w:t>Para</w:t>
      </w:r>
      <w:r>
        <w:rPr>
          <w:color w:val="231F20"/>
          <w:spacing w:val="-12"/>
          <w:w w:val="105"/>
        </w:rPr>
        <w:t> </w:t>
      </w:r>
      <w:r>
        <w:rPr>
          <w:color w:val="231F20"/>
          <w:w w:val="105"/>
        </w:rPr>
        <w:t>analizar</w:t>
      </w:r>
      <w:r>
        <w:rPr>
          <w:color w:val="231F20"/>
          <w:spacing w:val="-12"/>
          <w:w w:val="105"/>
        </w:rPr>
        <w:t> </w:t>
      </w:r>
      <w:r>
        <w:rPr>
          <w:color w:val="231F20"/>
          <w:w w:val="105"/>
        </w:rPr>
        <w:t>la</w:t>
      </w:r>
      <w:r>
        <w:rPr>
          <w:color w:val="231F20"/>
          <w:spacing w:val="-12"/>
          <w:w w:val="105"/>
        </w:rPr>
        <w:t> </w:t>
      </w:r>
      <w:r>
        <w:rPr>
          <w:color w:val="231F20"/>
          <w:spacing w:val="-3"/>
          <w:w w:val="105"/>
        </w:rPr>
        <w:t>relación</w:t>
      </w:r>
      <w:r>
        <w:rPr>
          <w:color w:val="231F20"/>
          <w:spacing w:val="-12"/>
          <w:w w:val="105"/>
        </w:rPr>
        <w:t> </w:t>
      </w:r>
      <w:r>
        <w:rPr>
          <w:color w:val="231F20"/>
          <w:w w:val="105"/>
        </w:rPr>
        <w:t>dialéctica</w:t>
      </w:r>
      <w:r>
        <w:rPr>
          <w:color w:val="231F20"/>
          <w:spacing w:val="-12"/>
          <w:w w:val="105"/>
        </w:rPr>
        <w:t> </w:t>
      </w:r>
      <w:r>
        <w:rPr>
          <w:color w:val="231F20"/>
          <w:w w:val="105"/>
        </w:rPr>
        <w:t>indígena-no</w:t>
      </w:r>
      <w:r>
        <w:rPr>
          <w:color w:val="231F20"/>
          <w:spacing w:val="-12"/>
          <w:w w:val="105"/>
        </w:rPr>
        <w:t> </w:t>
      </w:r>
      <w:r>
        <w:rPr>
          <w:color w:val="231F20"/>
          <w:w w:val="105"/>
        </w:rPr>
        <w:t>indígena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mi- </w:t>
      </w:r>
      <w:r>
        <w:rPr>
          <w:color w:val="231F20"/>
          <w:spacing w:val="-2"/>
          <w:w w:val="105"/>
        </w:rPr>
        <w:t>graciones</w:t>
      </w:r>
      <w:r>
        <w:rPr>
          <w:color w:val="231F20"/>
          <w:spacing w:val="-30"/>
          <w:w w:val="105"/>
        </w:rPr>
        <w:t> </w:t>
      </w:r>
      <w:r>
        <w:rPr>
          <w:color w:val="231F20"/>
          <w:w w:val="105"/>
        </w:rPr>
        <w:t>étnicas</w:t>
      </w:r>
      <w:r>
        <w:rPr>
          <w:color w:val="231F20"/>
          <w:spacing w:val="-30"/>
          <w:w w:val="105"/>
        </w:rPr>
        <w:t> </w:t>
      </w:r>
      <w:r>
        <w:rPr>
          <w:color w:val="231F20"/>
          <w:w w:val="105"/>
        </w:rPr>
        <w:t>actuales</w:t>
      </w:r>
      <w:r>
        <w:rPr>
          <w:color w:val="231F20"/>
          <w:spacing w:val="-30"/>
          <w:w w:val="105"/>
        </w:rPr>
        <w:t> </w:t>
      </w:r>
      <w:r>
        <w:rPr>
          <w:color w:val="231F20"/>
          <w:w w:val="105"/>
        </w:rPr>
        <w:t>es</w:t>
      </w:r>
      <w:r>
        <w:rPr>
          <w:color w:val="231F20"/>
          <w:spacing w:val="-30"/>
          <w:w w:val="105"/>
        </w:rPr>
        <w:t> </w:t>
      </w:r>
      <w:r>
        <w:rPr>
          <w:color w:val="231F20"/>
          <w:w w:val="105"/>
        </w:rPr>
        <w:t>indispensable</w:t>
      </w:r>
      <w:r>
        <w:rPr>
          <w:color w:val="231F20"/>
          <w:spacing w:val="-30"/>
          <w:w w:val="105"/>
        </w:rPr>
        <w:t> </w:t>
      </w:r>
      <w:r>
        <w:rPr>
          <w:color w:val="231F20"/>
          <w:w w:val="105"/>
        </w:rPr>
        <w:t>hacer</w:t>
      </w:r>
      <w:r>
        <w:rPr>
          <w:color w:val="231F20"/>
          <w:spacing w:val="-30"/>
          <w:w w:val="105"/>
        </w:rPr>
        <w:t> </w:t>
      </w:r>
      <w:r>
        <w:rPr>
          <w:color w:val="231F20"/>
          <w:spacing w:val="-3"/>
          <w:w w:val="105"/>
        </w:rPr>
        <w:t>referencia</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configu- </w:t>
      </w:r>
      <w:r>
        <w:rPr>
          <w:color w:val="231F20"/>
          <w:spacing w:val="-2"/>
          <w:w w:val="105"/>
        </w:rPr>
        <w:t>ración </w:t>
      </w:r>
      <w:r>
        <w:rPr>
          <w:color w:val="231F20"/>
          <w:w w:val="105"/>
        </w:rPr>
        <w:t>del estado nacional </w:t>
      </w:r>
      <w:r>
        <w:rPr>
          <w:color w:val="231F20"/>
          <w:spacing w:val="-3"/>
          <w:w w:val="105"/>
        </w:rPr>
        <w:t>mexicano. </w:t>
      </w:r>
      <w:r>
        <w:rPr>
          <w:color w:val="231F20"/>
          <w:w w:val="105"/>
        </w:rPr>
        <w:t>En primer lugar </w:t>
      </w:r>
      <w:r>
        <w:rPr>
          <w:color w:val="231F20"/>
          <w:spacing w:val="-3"/>
          <w:w w:val="105"/>
        </w:rPr>
        <w:t>porque </w:t>
      </w:r>
      <w:r>
        <w:rPr>
          <w:color w:val="231F20"/>
          <w:w w:val="105"/>
        </w:rPr>
        <w:t>la pugna histórica</w:t>
      </w:r>
      <w:r>
        <w:rPr>
          <w:color w:val="231F20"/>
          <w:spacing w:val="-18"/>
          <w:w w:val="105"/>
        </w:rPr>
        <w:t> </w:t>
      </w:r>
      <w:r>
        <w:rPr>
          <w:color w:val="231F20"/>
          <w:w w:val="105"/>
        </w:rPr>
        <w:t>por</w:t>
      </w:r>
      <w:r>
        <w:rPr>
          <w:color w:val="231F20"/>
          <w:spacing w:val="-18"/>
          <w:w w:val="105"/>
        </w:rPr>
        <w:t> </w:t>
      </w:r>
      <w:r>
        <w:rPr>
          <w:color w:val="231F20"/>
          <w:w w:val="105"/>
        </w:rPr>
        <w:t>el</w:t>
      </w:r>
      <w:r>
        <w:rPr>
          <w:color w:val="231F20"/>
          <w:spacing w:val="-18"/>
          <w:w w:val="105"/>
        </w:rPr>
        <w:t> </w:t>
      </w:r>
      <w:r>
        <w:rPr>
          <w:color w:val="231F20"/>
          <w:spacing w:val="-3"/>
          <w:w w:val="105"/>
        </w:rPr>
        <w:t>reconocimiento</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autonomía</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pueblos</w:t>
      </w:r>
      <w:r>
        <w:rPr>
          <w:color w:val="231F20"/>
          <w:spacing w:val="-18"/>
          <w:w w:val="105"/>
        </w:rPr>
        <w:t> </w:t>
      </w:r>
      <w:r>
        <w:rPr>
          <w:color w:val="231F20"/>
          <w:w w:val="105"/>
        </w:rPr>
        <w:t>está</w:t>
      </w:r>
      <w:r>
        <w:rPr>
          <w:color w:val="231F20"/>
          <w:spacing w:val="-18"/>
          <w:w w:val="105"/>
        </w:rPr>
        <w:t> </w:t>
      </w:r>
      <w:r>
        <w:rPr>
          <w:color w:val="231F20"/>
          <w:spacing w:val="-4"/>
          <w:w w:val="105"/>
        </w:rPr>
        <w:t>“enrai- </w:t>
      </w:r>
      <w:r>
        <w:rPr>
          <w:color w:val="231F20"/>
          <w:w w:val="105"/>
        </w:rPr>
        <w:t>zado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conquista</w:t>
      </w:r>
      <w:r>
        <w:rPr>
          <w:color w:val="231F20"/>
          <w:spacing w:val="-18"/>
          <w:w w:val="105"/>
        </w:rPr>
        <w:t> </w:t>
      </w:r>
      <w:r>
        <w:rPr>
          <w:color w:val="231F20"/>
          <w:w w:val="105"/>
        </w:rPr>
        <w:t>y</w:t>
      </w:r>
      <w:r>
        <w:rPr>
          <w:color w:val="231F20"/>
          <w:spacing w:val="-18"/>
          <w:w w:val="105"/>
        </w:rPr>
        <w:t> </w:t>
      </w:r>
      <w:r>
        <w:rPr>
          <w:color w:val="231F20"/>
          <w:w w:val="105"/>
        </w:rPr>
        <w:t>colonización</w:t>
      </w:r>
      <w:r>
        <w:rPr>
          <w:color w:val="231F20"/>
          <w:spacing w:val="-18"/>
          <w:w w:val="105"/>
        </w:rPr>
        <w:t> </w:t>
      </w:r>
      <w:r>
        <w:rPr>
          <w:color w:val="231F20"/>
          <w:spacing w:val="-3"/>
          <w:w w:val="105"/>
        </w:rPr>
        <w:t>europea</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persistencia</w:t>
      </w:r>
      <w:r>
        <w:rPr>
          <w:color w:val="231F20"/>
          <w:spacing w:val="-18"/>
          <w:w w:val="105"/>
        </w:rPr>
        <w:t> </w:t>
      </w:r>
      <w:r>
        <w:rPr>
          <w:color w:val="231F20"/>
          <w:w w:val="105"/>
        </w:rPr>
        <w:t>de</w:t>
      </w:r>
      <w:r>
        <w:rPr>
          <w:color w:val="231F20"/>
          <w:spacing w:val="-18"/>
          <w:w w:val="105"/>
        </w:rPr>
        <w:t> </w:t>
      </w:r>
      <w:r>
        <w:rPr>
          <w:color w:val="231F20"/>
          <w:w w:val="105"/>
        </w:rPr>
        <w:t>gran- des poblaciones originarias y el </w:t>
      </w:r>
      <w:r>
        <w:rPr>
          <w:color w:val="231F20"/>
          <w:spacing w:val="-3"/>
          <w:w w:val="105"/>
        </w:rPr>
        <w:t>proceso </w:t>
      </w:r>
      <w:r>
        <w:rPr>
          <w:color w:val="231F20"/>
          <w:w w:val="105"/>
        </w:rPr>
        <w:t>de mestizaje biológico y cultu- ral” </w:t>
      </w:r>
      <w:r>
        <w:rPr>
          <w:color w:val="231F20"/>
          <w:spacing w:val="-3"/>
          <w:w w:val="105"/>
        </w:rPr>
        <w:t>(Velasco, </w:t>
      </w:r>
      <w:r>
        <w:rPr>
          <w:color w:val="231F20"/>
          <w:w w:val="105"/>
        </w:rPr>
        <w:t>2010: 320). En segundo lugar </w:t>
      </w:r>
      <w:r>
        <w:rPr>
          <w:color w:val="231F20"/>
          <w:spacing w:val="-3"/>
          <w:w w:val="105"/>
        </w:rPr>
        <w:t>porque </w:t>
      </w:r>
      <w:r>
        <w:rPr>
          <w:color w:val="231F20"/>
          <w:w w:val="105"/>
        </w:rPr>
        <w:t>la homogenización que estableció lo “mestizo” como unicidad cultural ha sido un </w:t>
      </w:r>
      <w:r>
        <w:rPr>
          <w:color w:val="231F20"/>
          <w:spacing w:val="-3"/>
          <w:w w:val="105"/>
        </w:rPr>
        <w:t>proceso marcado </w:t>
      </w:r>
      <w:r>
        <w:rPr>
          <w:color w:val="231F20"/>
          <w:w w:val="105"/>
        </w:rPr>
        <w:t>de </w:t>
      </w:r>
      <w:r>
        <w:rPr>
          <w:color w:val="231F20"/>
          <w:spacing w:val="-2"/>
          <w:w w:val="105"/>
        </w:rPr>
        <w:t>exclusión </w:t>
      </w:r>
      <w:r>
        <w:rPr>
          <w:color w:val="231F20"/>
          <w:w w:val="105"/>
        </w:rPr>
        <w:t>social y política hacia las poblaciones indígenas. La</w:t>
      </w:r>
      <w:r>
        <w:rPr>
          <w:color w:val="231F20"/>
          <w:spacing w:val="-13"/>
          <w:w w:val="105"/>
        </w:rPr>
        <w:t> </w:t>
      </w:r>
      <w:r>
        <w:rPr>
          <w:color w:val="231F20"/>
          <w:spacing w:val="-2"/>
          <w:w w:val="105"/>
        </w:rPr>
        <w:t>categoría</w:t>
      </w:r>
      <w:r>
        <w:rPr>
          <w:color w:val="231F20"/>
          <w:spacing w:val="-13"/>
          <w:w w:val="105"/>
        </w:rPr>
        <w:t> </w:t>
      </w:r>
      <w:r>
        <w:rPr>
          <w:color w:val="231F20"/>
          <w:spacing w:val="-3"/>
          <w:w w:val="105"/>
        </w:rPr>
        <w:t>“Pueblos</w:t>
      </w:r>
      <w:r>
        <w:rPr>
          <w:color w:val="231F20"/>
          <w:spacing w:val="-13"/>
          <w:w w:val="105"/>
        </w:rPr>
        <w:t> </w:t>
      </w:r>
      <w:r>
        <w:rPr>
          <w:color w:val="231F20"/>
          <w:w w:val="105"/>
        </w:rPr>
        <w:t>Indígenas”</w:t>
      </w:r>
      <w:r>
        <w:rPr>
          <w:color w:val="231F20"/>
          <w:spacing w:val="-13"/>
          <w:w w:val="105"/>
        </w:rPr>
        <w:t> </w:t>
      </w:r>
      <w:r>
        <w:rPr>
          <w:color w:val="231F20"/>
          <w:w w:val="105"/>
        </w:rPr>
        <w:t>(</w:t>
      </w:r>
      <w:r>
        <w:rPr>
          <w:color w:val="231F20"/>
          <w:w w:val="105"/>
          <w:sz w:val="17"/>
        </w:rPr>
        <w:t>PI</w:t>
      </w:r>
      <w:r>
        <w:rPr>
          <w:color w:val="231F20"/>
          <w:w w:val="105"/>
        </w:rPr>
        <w:t>)</w:t>
      </w:r>
      <w:r>
        <w:rPr>
          <w:color w:val="231F20"/>
          <w:spacing w:val="-13"/>
          <w:w w:val="105"/>
        </w:rPr>
        <w:t> </w:t>
      </w:r>
      <w:r>
        <w:rPr>
          <w:color w:val="231F20"/>
          <w:w w:val="105"/>
        </w:rPr>
        <w:t>es</w:t>
      </w:r>
      <w:r>
        <w:rPr>
          <w:color w:val="231F20"/>
          <w:spacing w:val="-13"/>
          <w:w w:val="105"/>
        </w:rPr>
        <w:t> </w:t>
      </w:r>
      <w:r>
        <w:rPr>
          <w:color w:val="231F20"/>
          <w:w w:val="105"/>
        </w:rPr>
        <w:t>un</w:t>
      </w:r>
      <w:r>
        <w:rPr>
          <w:color w:val="231F20"/>
          <w:spacing w:val="-13"/>
          <w:w w:val="105"/>
        </w:rPr>
        <w:t> </w:t>
      </w:r>
      <w:r>
        <w:rPr>
          <w:color w:val="231F20"/>
          <w:w w:val="105"/>
        </w:rPr>
        <w:t>posicionamiento</w:t>
      </w:r>
      <w:r>
        <w:rPr>
          <w:color w:val="231F20"/>
          <w:spacing w:val="-13"/>
          <w:w w:val="105"/>
        </w:rPr>
        <w:t> </w:t>
      </w:r>
      <w:r>
        <w:rPr>
          <w:color w:val="231F20"/>
          <w:w w:val="105"/>
        </w:rPr>
        <w:t>que</w:t>
      </w:r>
      <w:r>
        <w:rPr>
          <w:color w:val="231F20"/>
          <w:spacing w:val="-13"/>
          <w:w w:val="105"/>
        </w:rPr>
        <w:t> </w:t>
      </w:r>
      <w:r>
        <w:rPr>
          <w:color w:val="231F20"/>
          <w:w w:val="105"/>
        </w:rPr>
        <w:t>incluye las</w:t>
      </w:r>
      <w:r>
        <w:rPr>
          <w:color w:val="231F20"/>
          <w:spacing w:val="-11"/>
          <w:w w:val="105"/>
        </w:rPr>
        <w:t> </w:t>
      </w:r>
      <w:r>
        <w:rPr>
          <w:color w:val="231F20"/>
          <w:spacing w:val="-3"/>
          <w:w w:val="105"/>
        </w:rPr>
        <w:t>propias</w:t>
      </w:r>
      <w:r>
        <w:rPr>
          <w:color w:val="231F20"/>
          <w:spacing w:val="-11"/>
          <w:w w:val="105"/>
        </w:rPr>
        <w:t> </w:t>
      </w:r>
      <w:r>
        <w:rPr>
          <w:color w:val="231F20"/>
          <w:w w:val="105"/>
        </w:rPr>
        <w:t>instituciones</w:t>
      </w:r>
      <w:r>
        <w:rPr>
          <w:color w:val="231F20"/>
          <w:spacing w:val="-11"/>
          <w:w w:val="105"/>
        </w:rPr>
        <w:t> </w:t>
      </w:r>
      <w:r>
        <w:rPr>
          <w:color w:val="231F20"/>
          <w:w w:val="105"/>
        </w:rPr>
        <w:t>indígenas</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w w:val="105"/>
        </w:rPr>
        <w:t>aspecto</w:t>
      </w:r>
      <w:r>
        <w:rPr>
          <w:color w:val="231F20"/>
          <w:spacing w:val="-11"/>
          <w:w w:val="105"/>
        </w:rPr>
        <w:t> </w:t>
      </w:r>
      <w:r>
        <w:rPr>
          <w:color w:val="231F20"/>
          <w:w w:val="105"/>
        </w:rPr>
        <w:t>subjetivo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identidad étnica</w:t>
      </w:r>
      <w:r>
        <w:rPr>
          <w:color w:val="231F20"/>
          <w:spacing w:val="-12"/>
          <w:w w:val="105"/>
        </w:rPr>
        <w:t> </w:t>
      </w:r>
      <w:r>
        <w:rPr>
          <w:color w:val="231F20"/>
          <w:w w:val="105"/>
        </w:rPr>
        <w:t>(Sandoval,</w:t>
      </w:r>
      <w:r>
        <w:rPr>
          <w:color w:val="231F20"/>
          <w:spacing w:val="-16"/>
          <w:w w:val="105"/>
        </w:rPr>
        <w:t> </w:t>
      </w:r>
      <w:r>
        <w:rPr>
          <w:color w:val="231F20"/>
          <w:w w:val="105"/>
        </w:rPr>
        <w:t>2014).</w:t>
      </w:r>
      <w:r>
        <w:rPr>
          <w:color w:val="231F20"/>
          <w:spacing w:val="-16"/>
          <w:w w:val="105"/>
        </w:rPr>
        <w:t> </w:t>
      </w:r>
      <w:r>
        <w:rPr>
          <w:color w:val="231F20"/>
          <w:w w:val="105"/>
        </w:rPr>
        <w:t>El</w:t>
      </w:r>
      <w:r>
        <w:rPr>
          <w:color w:val="231F20"/>
          <w:spacing w:val="-12"/>
          <w:w w:val="105"/>
        </w:rPr>
        <w:t> </w:t>
      </w:r>
      <w:r>
        <w:rPr>
          <w:color w:val="231F20"/>
          <w:w w:val="105"/>
        </w:rPr>
        <w:t>término</w:t>
      </w:r>
      <w:r>
        <w:rPr>
          <w:color w:val="231F20"/>
          <w:spacing w:val="-12"/>
          <w:w w:val="105"/>
        </w:rPr>
        <w:t> </w:t>
      </w:r>
      <w:r>
        <w:rPr>
          <w:color w:val="231F20"/>
          <w:w w:val="105"/>
          <w:sz w:val="17"/>
        </w:rPr>
        <w:t>PI</w:t>
      </w:r>
      <w:r>
        <w:rPr>
          <w:color w:val="231F20"/>
          <w:spacing w:val="-1"/>
          <w:w w:val="105"/>
          <w:sz w:val="17"/>
        </w:rPr>
        <w:t> </w:t>
      </w:r>
      <w:r>
        <w:rPr>
          <w:color w:val="231F20"/>
          <w:w w:val="105"/>
        </w:rPr>
        <w:t>utilizado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Convenio</w:t>
      </w:r>
      <w:r>
        <w:rPr>
          <w:color w:val="231F20"/>
          <w:spacing w:val="-12"/>
          <w:w w:val="105"/>
        </w:rPr>
        <w:t> </w:t>
      </w:r>
      <w:r>
        <w:rPr>
          <w:color w:val="231F20"/>
          <w:w w:val="105"/>
        </w:rPr>
        <w:t>169</w:t>
      </w:r>
      <w:r>
        <w:rPr>
          <w:color w:val="231F20"/>
          <w:spacing w:val="-12"/>
          <w:w w:val="105"/>
        </w:rPr>
        <w:t> </w:t>
      </w:r>
      <w:r>
        <w:rPr>
          <w:color w:val="231F20"/>
          <w:w w:val="105"/>
        </w:rPr>
        <w:t>de</w:t>
      </w:r>
      <w:r>
        <w:rPr>
          <w:color w:val="231F20"/>
          <w:spacing w:val="-12"/>
          <w:w w:val="105"/>
        </w:rPr>
        <w:t> </w:t>
      </w:r>
      <w:r>
        <w:rPr>
          <w:color w:val="231F20"/>
          <w:w w:val="105"/>
        </w:rPr>
        <w:t>la </w:t>
      </w:r>
      <w:r>
        <w:rPr>
          <w:color w:val="231F20"/>
          <w:spacing w:val="-3"/>
          <w:w w:val="105"/>
        </w:rPr>
        <w:t>Organización </w:t>
      </w:r>
      <w:r>
        <w:rPr>
          <w:color w:val="231F20"/>
          <w:w w:val="105"/>
        </w:rPr>
        <w:t>Internacional del trabajo (</w:t>
      </w:r>
      <w:r>
        <w:rPr>
          <w:color w:val="231F20"/>
          <w:w w:val="105"/>
          <w:sz w:val="17"/>
        </w:rPr>
        <w:t>OIT</w:t>
      </w:r>
      <w:r>
        <w:rPr>
          <w:color w:val="231F20"/>
          <w:w w:val="105"/>
        </w:rPr>
        <w:t>) </w:t>
      </w:r>
      <w:r>
        <w:rPr>
          <w:color w:val="231F20"/>
          <w:spacing w:val="-3"/>
          <w:w w:val="105"/>
        </w:rPr>
        <w:t>aprobado </w:t>
      </w:r>
      <w:r>
        <w:rPr>
          <w:color w:val="231F20"/>
          <w:w w:val="105"/>
        </w:rPr>
        <w:t>en 1989, significa el</w:t>
      </w:r>
      <w:r>
        <w:rPr>
          <w:color w:val="231F20"/>
          <w:spacing w:val="-21"/>
          <w:w w:val="105"/>
        </w:rPr>
        <w:t> </w:t>
      </w:r>
      <w:r>
        <w:rPr>
          <w:color w:val="231F20"/>
          <w:spacing w:val="-3"/>
          <w:w w:val="105"/>
        </w:rPr>
        <w:t>reconocimiento</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formas</w:t>
      </w:r>
      <w:r>
        <w:rPr>
          <w:color w:val="231F20"/>
          <w:spacing w:val="-21"/>
          <w:w w:val="105"/>
        </w:rPr>
        <w:t> </w:t>
      </w:r>
      <w:r>
        <w:rPr>
          <w:color w:val="231F20"/>
          <w:w w:val="105"/>
        </w:rPr>
        <w:t>de</w:t>
      </w:r>
      <w:r>
        <w:rPr>
          <w:color w:val="231F20"/>
          <w:spacing w:val="-21"/>
          <w:w w:val="105"/>
        </w:rPr>
        <w:t> </w:t>
      </w:r>
      <w:r>
        <w:rPr>
          <w:color w:val="231F20"/>
          <w:w w:val="105"/>
        </w:rPr>
        <w:t>identificación</w:t>
      </w:r>
      <w:r>
        <w:rPr>
          <w:color w:val="231F20"/>
          <w:spacing w:val="-21"/>
          <w:w w:val="105"/>
        </w:rPr>
        <w:t> </w:t>
      </w:r>
      <w:r>
        <w:rPr>
          <w:color w:val="231F20"/>
          <w:w w:val="105"/>
        </w:rPr>
        <w:t>indígena.</w:t>
      </w:r>
      <w:r>
        <w:rPr>
          <w:color w:val="231F20"/>
          <w:spacing w:val="-27"/>
          <w:w w:val="105"/>
        </w:rPr>
        <w:t> </w:t>
      </w:r>
      <w:r>
        <w:rPr>
          <w:color w:val="231F20"/>
          <w:spacing w:val="-2"/>
          <w:w w:val="105"/>
        </w:rPr>
        <w:t>Con</w:t>
      </w:r>
      <w:r>
        <w:rPr>
          <w:color w:val="231F20"/>
          <w:spacing w:val="-21"/>
          <w:w w:val="105"/>
        </w:rPr>
        <w:t> </w:t>
      </w:r>
      <w:r>
        <w:rPr>
          <w:color w:val="231F20"/>
          <w:w w:val="105"/>
        </w:rPr>
        <w:t>la</w:t>
      </w:r>
      <w:r>
        <w:rPr>
          <w:color w:val="231F20"/>
          <w:spacing w:val="-21"/>
          <w:w w:val="105"/>
        </w:rPr>
        <w:t> </w:t>
      </w:r>
      <w:r>
        <w:rPr>
          <w:color w:val="231F20"/>
          <w:w w:val="105"/>
        </w:rPr>
        <w:t>incorpo- </w:t>
      </w:r>
      <w:r>
        <w:rPr>
          <w:color w:val="231F20"/>
          <w:spacing w:val="-2"/>
          <w:w w:val="105"/>
        </w:rPr>
        <w:t>ración</w:t>
      </w:r>
      <w:r>
        <w:rPr>
          <w:color w:val="231F20"/>
          <w:spacing w:val="-25"/>
          <w:w w:val="105"/>
        </w:rPr>
        <w:t> </w:t>
      </w:r>
      <w:r>
        <w:rPr>
          <w:color w:val="231F20"/>
          <w:w w:val="105"/>
        </w:rPr>
        <w:t>de</w:t>
      </w:r>
      <w:r>
        <w:rPr>
          <w:color w:val="231F20"/>
          <w:spacing w:val="-25"/>
          <w:w w:val="105"/>
        </w:rPr>
        <w:t> </w:t>
      </w:r>
      <w:r>
        <w:rPr>
          <w:color w:val="231F20"/>
          <w:w w:val="105"/>
          <w:sz w:val="17"/>
        </w:rPr>
        <w:t>PI</w:t>
      </w:r>
      <w:r>
        <w:rPr>
          <w:color w:val="231F20"/>
          <w:spacing w:val="-14"/>
          <w:w w:val="105"/>
          <w:sz w:val="17"/>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constitución</w:t>
      </w:r>
      <w:r>
        <w:rPr>
          <w:color w:val="231F20"/>
          <w:spacing w:val="-25"/>
          <w:w w:val="105"/>
        </w:rPr>
        <w:t> </w:t>
      </w:r>
      <w:r>
        <w:rPr>
          <w:color w:val="231F20"/>
          <w:w w:val="105"/>
        </w:rPr>
        <w:t>mexicana,</w:t>
      </w:r>
      <w:r>
        <w:rPr>
          <w:color w:val="231F20"/>
          <w:spacing w:val="-30"/>
          <w:w w:val="105"/>
        </w:rPr>
        <w:t> </w:t>
      </w:r>
      <w:r>
        <w:rPr>
          <w:color w:val="231F20"/>
          <w:w w:val="105"/>
        </w:rPr>
        <w:t>los</w:t>
      </w:r>
      <w:r>
        <w:rPr>
          <w:color w:val="231F20"/>
          <w:spacing w:val="-25"/>
          <w:w w:val="105"/>
        </w:rPr>
        <w:t> </w:t>
      </w:r>
      <w:r>
        <w:rPr>
          <w:color w:val="231F20"/>
          <w:w w:val="105"/>
        </w:rPr>
        <w:t>gobiernos</w:t>
      </w:r>
      <w:r>
        <w:rPr>
          <w:color w:val="231F20"/>
          <w:spacing w:val="-25"/>
          <w:w w:val="105"/>
        </w:rPr>
        <w:t> </w:t>
      </w:r>
      <w:r>
        <w:rPr>
          <w:color w:val="231F20"/>
          <w:w w:val="105"/>
        </w:rPr>
        <w:t>se</w:t>
      </w:r>
      <w:r>
        <w:rPr>
          <w:color w:val="231F20"/>
          <w:spacing w:val="-25"/>
          <w:w w:val="105"/>
        </w:rPr>
        <w:t> </w:t>
      </w:r>
      <w:r>
        <w:rPr>
          <w:color w:val="231F20"/>
          <w:spacing w:val="-3"/>
          <w:w w:val="105"/>
        </w:rPr>
        <w:t>comprometen</w:t>
      </w:r>
      <w:r>
        <w:rPr>
          <w:color w:val="231F20"/>
          <w:spacing w:val="-25"/>
          <w:w w:val="105"/>
        </w:rPr>
        <w:t> </w:t>
      </w:r>
      <w:r>
        <w:rPr>
          <w:color w:val="231F20"/>
          <w:w w:val="105"/>
        </w:rPr>
        <w:t>a cumplir</w:t>
      </w:r>
      <w:r>
        <w:rPr>
          <w:color w:val="231F20"/>
          <w:spacing w:val="-23"/>
          <w:w w:val="105"/>
        </w:rPr>
        <w:t> </w:t>
      </w:r>
      <w:r>
        <w:rPr>
          <w:color w:val="231F20"/>
          <w:w w:val="105"/>
        </w:rPr>
        <w:t>el</w:t>
      </w:r>
      <w:r>
        <w:rPr>
          <w:color w:val="231F20"/>
          <w:spacing w:val="-23"/>
          <w:w w:val="105"/>
        </w:rPr>
        <w:t> </w:t>
      </w:r>
      <w:r>
        <w:rPr>
          <w:color w:val="231F20"/>
          <w:w w:val="105"/>
        </w:rPr>
        <w:t>mandato</w:t>
      </w:r>
      <w:r>
        <w:rPr>
          <w:color w:val="231F20"/>
          <w:spacing w:val="-23"/>
          <w:w w:val="105"/>
        </w:rPr>
        <w:t> </w:t>
      </w:r>
      <w:r>
        <w:rPr>
          <w:color w:val="231F20"/>
          <w:w w:val="105"/>
        </w:rPr>
        <w:t>constitucional</w:t>
      </w:r>
      <w:r>
        <w:rPr>
          <w:color w:val="231F20"/>
          <w:spacing w:val="-23"/>
          <w:w w:val="105"/>
        </w:rPr>
        <w:t> </w:t>
      </w:r>
      <w:r>
        <w:rPr>
          <w:color w:val="231F20"/>
          <w:w w:val="105"/>
        </w:rPr>
        <w:t>de</w:t>
      </w:r>
      <w:r>
        <w:rPr>
          <w:color w:val="231F20"/>
          <w:spacing w:val="-23"/>
          <w:w w:val="105"/>
        </w:rPr>
        <w:t> </w:t>
      </w:r>
      <w:r>
        <w:rPr>
          <w:color w:val="231F20"/>
          <w:w w:val="105"/>
        </w:rPr>
        <w:t>atender</w:t>
      </w:r>
      <w:r>
        <w:rPr>
          <w:color w:val="231F20"/>
          <w:spacing w:val="-23"/>
          <w:w w:val="105"/>
        </w:rPr>
        <w:t> </w:t>
      </w:r>
      <w:r>
        <w:rPr>
          <w:color w:val="231F20"/>
          <w:w w:val="105"/>
        </w:rPr>
        <w:t>el</w:t>
      </w:r>
      <w:r>
        <w:rPr>
          <w:color w:val="231F20"/>
          <w:spacing w:val="-23"/>
          <w:w w:val="105"/>
        </w:rPr>
        <w:t> </w:t>
      </w:r>
      <w:r>
        <w:rPr>
          <w:color w:val="231F20"/>
          <w:spacing w:val="-3"/>
          <w:w w:val="105"/>
        </w:rPr>
        <w:t>rezago</w:t>
      </w:r>
      <w:r>
        <w:rPr>
          <w:color w:val="231F20"/>
          <w:spacing w:val="-23"/>
          <w:w w:val="105"/>
        </w:rPr>
        <w:t> </w:t>
      </w:r>
      <w:r>
        <w:rPr>
          <w:color w:val="231F20"/>
          <w:w w:val="105"/>
        </w:rPr>
        <w:t>al</w:t>
      </w:r>
      <w:r>
        <w:rPr>
          <w:color w:val="231F20"/>
          <w:spacing w:val="-23"/>
          <w:w w:val="105"/>
        </w:rPr>
        <w:t> </w:t>
      </w:r>
      <w:r>
        <w:rPr>
          <w:color w:val="231F20"/>
          <w:w w:val="105"/>
        </w:rPr>
        <w:t>que</w:t>
      </w:r>
      <w:r>
        <w:rPr>
          <w:color w:val="231F20"/>
          <w:spacing w:val="-23"/>
          <w:w w:val="105"/>
        </w:rPr>
        <w:t> </w:t>
      </w:r>
      <w:r>
        <w:rPr>
          <w:color w:val="231F20"/>
          <w:w w:val="105"/>
        </w:rPr>
        <w:t>han</w:t>
      </w:r>
      <w:r>
        <w:rPr>
          <w:color w:val="231F20"/>
          <w:spacing w:val="-23"/>
          <w:w w:val="105"/>
        </w:rPr>
        <w:t> </w:t>
      </w:r>
      <w:r>
        <w:rPr>
          <w:color w:val="231F20"/>
          <w:spacing w:val="-2"/>
          <w:w w:val="105"/>
        </w:rPr>
        <w:t>estado</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BodyText"/>
        <w:spacing w:line="261" w:lineRule="auto" w:before="60"/>
        <w:ind w:left="1723" w:right="1835"/>
        <w:jc w:val="both"/>
      </w:pPr>
      <w:r>
        <w:rPr/>
        <w:pict>
          <v:line style="position:absolute;mso-position-horizontal-relative:page;mso-position-vertical-relative:paragraph;z-index:26200" from="15pt,-65.143227pt" to="0pt,-65.143227pt" stroked="true" strokeweight=".25pt" strokecolor="#000000">
            <w10:wrap type="none"/>
          </v:line>
        </w:pict>
      </w:r>
      <w:r>
        <w:rPr/>
        <w:pict>
          <v:line style="position:absolute;mso-position-horizontal-relative:page;mso-position-vertical-relative:paragraph;z-index:26224" from="508.890015pt,-65.143227pt" to="523.890015pt,-65.143227pt" stroked="true" strokeweight=".25pt" strokecolor="#000000">
            <w10:wrap type="none"/>
          </v:line>
        </w:pict>
      </w:r>
      <w:r>
        <w:rPr>
          <w:color w:val="231F20"/>
          <w:w w:val="105"/>
        </w:rPr>
        <w:t>sometidos</w:t>
      </w:r>
      <w:r>
        <w:rPr>
          <w:color w:val="231F20"/>
          <w:spacing w:val="-15"/>
          <w:w w:val="105"/>
        </w:rPr>
        <w:t> </w:t>
      </w:r>
      <w:r>
        <w:rPr>
          <w:color w:val="231F20"/>
          <w:w w:val="105"/>
        </w:rPr>
        <w:t>y</w:t>
      </w:r>
      <w:r>
        <w:rPr>
          <w:color w:val="231F20"/>
          <w:spacing w:val="-15"/>
          <w:w w:val="105"/>
        </w:rPr>
        <w:t> </w:t>
      </w:r>
      <w:r>
        <w:rPr>
          <w:color w:val="231F20"/>
          <w:spacing w:val="-3"/>
          <w:w w:val="105"/>
        </w:rPr>
        <w:t>respetar</w:t>
      </w:r>
      <w:r>
        <w:rPr>
          <w:color w:val="231F20"/>
          <w:spacing w:val="-15"/>
          <w:w w:val="105"/>
        </w:rPr>
        <w:t> </w:t>
      </w:r>
      <w:r>
        <w:rPr>
          <w:color w:val="231F20"/>
          <w:w w:val="105"/>
        </w:rPr>
        <w:t>los</w:t>
      </w:r>
      <w:r>
        <w:rPr>
          <w:color w:val="231F20"/>
          <w:spacing w:val="-15"/>
          <w:w w:val="105"/>
        </w:rPr>
        <w:t> </w:t>
      </w:r>
      <w:r>
        <w:rPr>
          <w:color w:val="231F20"/>
          <w:spacing w:val="-3"/>
          <w:w w:val="105"/>
        </w:rPr>
        <w:t>derechos</w:t>
      </w:r>
      <w:r>
        <w:rPr>
          <w:color w:val="231F20"/>
          <w:spacing w:val="-15"/>
          <w:w w:val="105"/>
        </w:rPr>
        <w:t> </w:t>
      </w:r>
      <w:r>
        <w:rPr>
          <w:color w:val="231F20"/>
          <w:w w:val="105"/>
        </w:rPr>
        <w:t>humanos</w:t>
      </w:r>
      <w:r>
        <w:rPr>
          <w:color w:val="231F20"/>
          <w:spacing w:val="-15"/>
          <w:w w:val="105"/>
        </w:rPr>
        <w:t> </w:t>
      </w:r>
      <w:r>
        <w:rPr>
          <w:color w:val="231F20"/>
          <w:w w:val="105"/>
        </w:rPr>
        <w:t>y</w:t>
      </w:r>
      <w:r>
        <w:rPr>
          <w:color w:val="231F20"/>
          <w:spacing w:val="-15"/>
          <w:w w:val="105"/>
        </w:rPr>
        <w:t> </w:t>
      </w:r>
      <w:r>
        <w:rPr>
          <w:color w:val="231F20"/>
          <w:w w:val="105"/>
        </w:rPr>
        <w:t>colectivos</w:t>
      </w:r>
      <w:r>
        <w:rPr>
          <w:color w:val="231F20"/>
          <w:spacing w:val="-15"/>
          <w:w w:val="105"/>
        </w:rPr>
        <w:t> </w:t>
      </w:r>
      <w:r>
        <w:rPr>
          <w:color w:val="231F20"/>
          <w:w w:val="105"/>
        </w:rPr>
        <w:t>de</w:t>
      </w:r>
      <w:r>
        <w:rPr>
          <w:color w:val="231F20"/>
          <w:spacing w:val="-15"/>
          <w:w w:val="105"/>
        </w:rPr>
        <w:t> </w:t>
      </w:r>
      <w:r>
        <w:rPr>
          <w:color w:val="231F20"/>
          <w:w w:val="105"/>
        </w:rPr>
        <w:t>estas</w:t>
      </w:r>
      <w:r>
        <w:rPr>
          <w:color w:val="231F20"/>
          <w:spacing w:val="-15"/>
          <w:w w:val="105"/>
        </w:rPr>
        <w:t> </w:t>
      </w:r>
      <w:r>
        <w:rPr>
          <w:color w:val="231F20"/>
          <w:w w:val="105"/>
        </w:rPr>
        <w:t>pobla- ciones.</w:t>
      </w:r>
      <w:r>
        <w:rPr>
          <w:color w:val="231F20"/>
          <w:spacing w:val="-34"/>
          <w:w w:val="105"/>
        </w:rPr>
        <w:t> </w:t>
      </w:r>
      <w:r>
        <w:rPr>
          <w:color w:val="231F20"/>
          <w:w w:val="105"/>
        </w:rPr>
        <w:t>Sin</w:t>
      </w:r>
      <w:r>
        <w:rPr>
          <w:color w:val="231F20"/>
          <w:spacing w:val="-30"/>
          <w:w w:val="105"/>
        </w:rPr>
        <w:t> </w:t>
      </w:r>
      <w:r>
        <w:rPr>
          <w:color w:val="231F20"/>
          <w:spacing w:val="-3"/>
          <w:w w:val="105"/>
        </w:rPr>
        <w:t>embargo,</w:t>
      </w:r>
      <w:r>
        <w:rPr>
          <w:color w:val="231F20"/>
          <w:spacing w:val="-34"/>
          <w:w w:val="105"/>
        </w:rPr>
        <w:t> </w:t>
      </w:r>
      <w:r>
        <w:rPr>
          <w:color w:val="231F20"/>
          <w:w w:val="105"/>
        </w:rPr>
        <w:t>persisten</w:t>
      </w:r>
      <w:r>
        <w:rPr>
          <w:color w:val="231F20"/>
          <w:spacing w:val="-30"/>
          <w:w w:val="105"/>
        </w:rPr>
        <w:t> </w:t>
      </w:r>
      <w:r>
        <w:rPr>
          <w:color w:val="231F20"/>
          <w:w w:val="105"/>
        </w:rPr>
        <w:t>limitaciones</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spacing w:val="-3"/>
          <w:w w:val="105"/>
        </w:rPr>
        <w:t>ejercicio</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spacing w:val="-3"/>
          <w:w w:val="105"/>
        </w:rPr>
        <w:t>derechos </w:t>
      </w:r>
      <w:r>
        <w:rPr>
          <w:color w:val="231F20"/>
          <w:w w:val="105"/>
        </w:rPr>
        <w:t>políticos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sz w:val="17"/>
        </w:rPr>
        <w:t>PI</w:t>
      </w:r>
      <w:r>
        <w:rPr>
          <w:color w:val="231F20"/>
          <w:w w:val="105"/>
        </w:rPr>
        <w:t>.</w:t>
      </w:r>
      <w:r>
        <w:rPr>
          <w:color w:val="231F20"/>
          <w:spacing w:val="-12"/>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spacing w:val="-2"/>
          <w:w w:val="105"/>
        </w:rPr>
        <w:t>práctica,</w:t>
      </w:r>
      <w:r>
        <w:rPr>
          <w:color w:val="231F20"/>
          <w:spacing w:val="-12"/>
          <w:w w:val="105"/>
        </w:rPr>
        <w:t> </w:t>
      </w:r>
      <w:r>
        <w:rPr>
          <w:color w:val="231F20"/>
          <w:w w:val="105"/>
        </w:rPr>
        <w:t>“no</w:t>
      </w:r>
      <w:r>
        <w:rPr>
          <w:color w:val="231F20"/>
          <w:spacing w:val="-7"/>
          <w:w w:val="105"/>
        </w:rPr>
        <w:t> </w:t>
      </w:r>
      <w:r>
        <w:rPr>
          <w:color w:val="231F20"/>
          <w:w w:val="105"/>
        </w:rPr>
        <w:t>se</w:t>
      </w:r>
      <w:r>
        <w:rPr>
          <w:color w:val="231F20"/>
          <w:spacing w:val="-7"/>
          <w:w w:val="105"/>
        </w:rPr>
        <w:t> </w:t>
      </w:r>
      <w:r>
        <w:rPr>
          <w:color w:val="231F20"/>
          <w:spacing w:val="-3"/>
          <w:w w:val="105"/>
        </w:rPr>
        <w:t>otorga</w:t>
      </w:r>
      <w:r>
        <w:rPr>
          <w:color w:val="231F20"/>
          <w:spacing w:val="-7"/>
          <w:w w:val="105"/>
        </w:rPr>
        <w:t> </w:t>
      </w:r>
      <w:r>
        <w:rPr>
          <w:color w:val="231F20"/>
          <w:w w:val="105"/>
        </w:rPr>
        <w:t>el</w:t>
      </w:r>
      <w:r>
        <w:rPr>
          <w:color w:val="231F20"/>
          <w:spacing w:val="-7"/>
          <w:w w:val="105"/>
        </w:rPr>
        <w:t> </w:t>
      </w:r>
      <w:r>
        <w:rPr>
          <w:color w:val="231F20"/>
          <w:spacing w:val="-3"/>
          <w:w w:val="105"/>
        </w:rPr>
        <w:t>derecho</w:t>
      </w:r>
      <w:r>
        <w:rPr>
          <w:color w:val="231F20"/>
          <w:spacing w:val="-7"/>
          <w:w w:val="105"/>
        </w:rPr>
        <w:t> </w:t>
      </w:r>
      <w:r>
        <w:rPr>
          <w:color w:val="231F20"/>
          <w:w w:val="105"/>
        </w:rPr>
        <w:t>absoluto</w:t>
      </w:r>
      <w:r>
        <w:rPr>
          <w:color w:val="231F20"/>
          <w:spacing w:val="-7"/>
          <w:w w:val="105"/>
        </w:rPr>
        <w:t> </w:t>
      </w:r>
      <w:r>
        <w:rPr>
          <w:color w:val="231F20"/>
          <w:w w:val="105"/>
        </w:rPr>
        <w:t>para decidir</w:t>
      </w:r>
      <w:r>
        <w:rPr>
          <w:color w:val="231F20"/>
          <w:spacing w:val="-26"/>
          <w:w w:val="105"/>
        </w:rPr>
        <w:t> </w:t>
      </w:r>
      <w:r>
        <w:rPr>
          <w:color w:val="231F20"/>
          <w:spacing w:val="-3"/>
          <w:w w:val="105"/>
        </w:rPr>
        <w:t>programas</w:t>
      </w:r>
      <w:r>
        <w:rPr>
          <w:color w:val="231F20"/>
          <w:spacing w:val="-26"/>
          <w:w w:val="105"/>
        </w:rPr>
        <w:t> </w:t>
      </w:r>
      <w:r>
        <w:rPr>
          <w:color w:val="231F20"/>
          <w:w w:val="105"/>
        </w:rPr>
        <w:t>y</w:t>
      </w:r>
      <w:r>
        <w:rPr>
          <w:color w:val="231F20"/>
          <w:spacing w:val="-26"/>
          <w:w w:val="105"/>
        </w:rPr>
        <w:t> </w:t>
      </w:r>
      <w:r>
        <w:rPr>
          <w:color w:val="231F20"/>
          <w:w w:val="105"/>
        </w:rPr>
        <w:t>estructuras</w:t>
      </w:r>
      <w:r>
        <w:rPr>
          <w:color w:val="231F20"/>
          <w:spacing w:val="-26"/>
          <w:w w:val="105"/>
        </w:rPr>
        <w:t> </w:t>
      </w:r>
      <w:r>
        <w:rPr>
          <w:color w:val="231F20"/>
          <w:w w:val="105"/>
        </w:rPr>
        <w:t>políticas,</w:t>
      </w:r>
      <w:r>
        <w:rPr>
          <w:color w:val="231F20"/>
          <w:spacing w:val="-29"/>
          <w:w w:val="105"/>
        </w:rPr>
        <w:t> </w:t>
      </w:r>
      <w:r>
        <w:rPr>
          <w:color w:val="231F20"/>
          <w:w w:val="105"/>
        </w:rPr>
        <w:t>económicas,</w:t>
      </w:r>
      <w:r>
        <w:rPr>
          <w:color w:val="231F20"/>
          <w:spacing w:val="-29"/>
          <w:w w:val="105"/>
        </w:rPr>
        <w:t> </w:t>
      </w:r>
      <w:r>
        <w:rPr>
          <w:color w:val="231F20"/>
          <w:w w:val="105"/>
        </w:rPr>
        <w:t>sociales</w:t>
      </w:r>
      <w:r>
        <w:rPr>
          <w:color w:val="231F20"/>
          <w:spacing w:val="-26"/>
          <w:w w:val="105"/>
        </w:rPr>
        <w:t> </w:t>
      </w:r>
      <w:r>
        <w:rPr>
          <w:color w:val="231F20"/>
          <w:w w:val="105"/>
        </w:rPr>
        <w:t>y</w:t>
      </w:r>
      <w:r>
        <w:rPr>
          <w:color w:val="231F20"/>
          <w:spacing w:val="-26"/>
          <w:w w:val="105"/>
        </w:rPr>
        <w:t> </w:t>
      </w:r>
      <w:r>
        <w:rPr>
          <w:color w:val="231F20"/>
          <w:w w:val="105"/>
        </w:rPr>
        <w:t>cultura- les</w:t>
      </w:r>
      <w:r>
        <w:rPr>
          <w:color w:val="231F20"/>
          <w:spacing w:val="-28"/>
          <w:w w:val="105"/>
        </w:rPr>
        <w:t> </w:t>
      </w:r>
      <w:r>
        <w:rPr>
          <w:color w:val="231F20"/>
          <w:w w:val="105"/>
        </w:rPr>
        <w:t>al</w:t>
      </w:r>
      <w:r>
        <w:rPr>
          <w:color w:val="231F20"/>
          <w:spacing w:val="-28"/>
          <w:w w:val="105"/>
        </w:rPr>
        <w:t> </w:t>
      </w:r>
      <w:r>
        <w:rPr>
          <w:color w:val="231F20"/>
          <w:spacing w:val="-3"/>
          <w:w w:val="105"/>
        </w:rPr>
        <w:t>margen</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decisión</w:t>
      </w:r>
      <w:r>
        <w:rPr>
          <w:color w:val="231F20"/>
          <w:spacing w:val="-28"/>
          <w:w w:val="105"/>
        </w:rPr>
        <w:t> </w:t>
      </w:r>
      <w:r>
        <w:rPr>
          <w:color w:val="231F20"/>
          <w:w w:val="105"/>
        </w:rPr>
        <w:t>del</w:t>
      </w:r>
      <w:r>
        <w:rPr>
          <w:color w:val="231F20"/>
          <w:spacing w:val="-28"/>
          <w:w w:val="105"/>
        </w:rPr>
        <w:t> </w:t>
      </w:r>
      <w:r>
        <w:rPr>
          <w:color w:val="231F20"/>
          <w:w w:val="105"/>
        </w:rPr>
        <w:t>Estado”</w:t>
      </w:r>
      <w:r>
        <w:rPr>
          <w:color w:val="231F20"/>
          <w:spacing w:val="-28"/>
          <w:w w:val="105"/>
        </w:rPr>
        <w:t> </w:t>
      </w:r>
      <w:r>
        <w:rPr>
          <w:color w:val="231F20"/>
          <w:w w:val="105"/>
        </w:rPr>
        <w:t>(Sandoval,</w:t>
      </w:r>
      <w:r>
        <w:rPr>
          <w:color w:val="231F20"/>
          <w:spacing w:val="-32"/>
          <w:w w:val="105"/>
        </w:rPr>
        <w:t> </w:t>
      </w:r>
      <w:r>
        <w:rPr>
          <w:color w:val="231F20"/>
          <w:w w:val="105"/>
        </w:rPr>
        <w:t>2014:</w:t>
      </w:r>
      <w:r>
        <w:rPr>
          <w:color w:val="231F20"/>
          <w:spacing w:val="-28"/>
          <w:w w:val="105"/>
        </w:rPr>
        <w:t> </w:t>
      </w:r>
      <w:r>
        <w:rPr>
          <w:color w:val="231F20"/>
          <w:w w:val="105"/>
        </w:rPr>
        <w:t>180).</w:t>
      </w:r>
    </w:p>
    <w:p>
      <w:pPr>
        <w:pStyle w:val="BodyText"/>
        <w:spacing w:line="261" w:lineRule="auto" w:before="1"/>
        <w:ind w:left="1723" w:right="1834" w:firstLine="567"/>
        <w:jc w:val="both"/>
      </w:pPr>
      <w:r>
        <w:rPr>
          <w:color w:val="231F20"/>
          <w:w w:val="105"/>
        </w:rPr>
        <w:t>La</w:t>
      </w:r>
      <w:r>
        <w:rPr>
          <w:color w:val="231F20"/>
          <w:spacing w:val="-22"/>
          <w:w w:val="105"/>
        </w:rPr>
        <w:t> </w:t>
      </w:r>
      <w:r>
        <w:rPr>
          <w:color w:val="231F20"/>
          <w:w w:val="105"/>
        </w:rPr>
        <w:t>presencia</w:t>
      </w:r>
      <w:r>
        <w:rPr>
          <w:color w:val="231F20"/>
          <w:spacing w:val="-22"/>
          <w:w w:val="105"/>
        </w:rPr>
        <w:t> </w:t>
      </w:r>
      <w:r>
        <w:rPr>
          <w:color w:val="231F20"/>
          <w:w w:val="105"/>
        </w:rPr>
        <w:t>de</w:t>
      </w:r>
      <w:r>
        <w:rPr>
          <w:color w:val="231F20"/>
          <w:spacing w:val="-22"/>
          <w:w w:val="105"/>
        </w:rPr>
        <w:t> </w:t>
      </w:r>
      <w:r>
        <w:rPr>
          <w:color w:val="231F20"/>
          <w:w w:val="105"/>
        </w:rPr>
        <w:t>grupos</w:t>
      </w:r>
      <w:r>
        <w:rPr>
          <w:color w:val="231F20"/>
          <w:spacing w:val="-22"/>
          <w:w w:val="105"/>
        </w:rPr>
        <w:t> </w:t>
      </w:r>
      <w:r>
        <w:rPr>
          <w:color w:val="231F20"/>
          <w:w w:val="105"/>
        </w:rPr>
        <w:t>indígenas</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circuitos</w:t>
      </w:r>
      <w:r>
        <w:rPr>
          <w:color w:val="231F20"/>
          <w:spacing w:val="-22"/>
          <w:w w:val="105"/>
        </w:rPr>
        <w:t> </w:t>
      </w:r>
      <w:r>
        <w:rPr>
          <w:color w:val="231F20"/>
          <w:w w:val="105"/>
        </w:rPr>
        <w:t>migratorios</w:t>
      </w:r>
      <w:r>
        <w:rPr>
          <w:color w:val="231F20"/>
          <w:spacing w:val="-22"/>
          <w:w w:val="105"/>
        </w:rPr>
        <w:t> </w:t>
      </w:r>
      <w:r>
        <w:rPr>
          <w:color w:val="231F20"/>
          <w:w w:val="105"/>
        </w:rPr>
        <w:t>se</w:t>
      </w:r>
      <w:r>
        <w:rPr>
          <w:color w:val="231F20"/>
          <w:spacing w:val="-22"/>
          <w:w w:val="105"/>
        </w:rPr>
        <w:t> </w:t>
      </w:r>
      <w:r>
        <w:rPr>
          <w:color w:val="231F20"/>
          <w:w w:val="105"/>
        </w:rPr>
        <w:t>ha documentado</w:t>
      </w:r>
      <w:r>
        <w:rPr>
          <w:color w:val="231F20"/>
          <w:spacing w:val="-6"/>
          <w:w w:val="105"/>
        </w:rPr>
        <w:t> </w:t>
      </w:r>
      <w:r>
        <w:rPr>
          <w:color w:val="231F20"/>
          <w:w w:val="105"/>
        </w:rPr>
        <w:t>recientemente</w:t>
      </w:r>
      <w:r>
        <w:rPr>
          <w:color w:val="231F20"/>
          <w:spacing w:val="-6"/>
          <w:w w:val="105"/>
        </w:rPr>
        <w:t> </w:t>
      </w:r>
      <w:r>
        <w:rPr>
          <w:color w:val="231F20"/>
          <w:w w:val="105"/>
        </w:rPr>
        <w:t>a</w:t>
      </w:r>
      <w:r>
        <w:rPr>
          <w:color w:val="231F20"/>
          <w:spacing w:val="-6"/>
          <w:w w:val="105"/>
        </w:rPr>
        <w:t> </w:t>
      </w:r>
      <w:r>
        <w:rPr>
          <w:color w:val="231F20"/>
          <w:w w:val="105"/>
        </w:rPr>
        <w:t>través</w:t>
      </w:r>
      <w:r>
        <w:rPr>
          <w:color w:val="231F20"/>
          <w:spacing w:val="-6"/>
          <w:w w:val="105"/>
        </w:rPr>
        <w:t> </w:t>
      </w:r>
      <w:r>
        <w:rPr>
          <w:color w:val="231F20"/>
          <w:w w:val="105"/>
        </w:rPr>
        <w:t>de</w:t>
      </w:r>
      <w:r>
        <w:rPr>
          <w:color w:val="231F20"/>
          <w:spacing w:val="-6"/>
          <w:w w:val="105"/>
        </w:rPr>
        <w:t> </w:t>
      </w:r>
      <w:r>
        <w:rPr>
          <w:color w:val="231F20"/>
          <w:w w:val="105"/>
        </w:rPr>
        <w:t>trabajo</w:t>
      </w:r>
      <w:r>
        <w:rPr>
          <w:color w:val="231F20"/>
          <w:spacing w:val="-6"/>
          <w:w w:val="105"/>
        </w:rPr>
        <w:t> </w:t>
      </w:r>
      <w:r>
        <w:rPr>
          <w:color w:val="231F20"/>
          <w:w w:val="105"/>
        </w:rPr>
        <w:t>etnográfico</w:t>
      </w:r>
      <w:r>
        <w:rPr>
          <w:color w:val="231F20"/>
          <w:spacing w:val="-6"/>
          <w:w w:val="105"/>
        </w:rPr>
        <w:t> </w:t>
      </w:r>
      <w:r>
        <w:rPr>
          <w:color w:val="231F20"/>
          <w:w w:val="105"/>
        </w:rPr>
        <w:t>debido</w:t>
      </w:r>
      <w:r>
        <w:rPr>
          <w:color w:val="231F20"/>
          <w:spacing w:val="-6"/>
          <w:w w:val="105"/>
        </w:rPr>
        <w:t> </w:t>
      </w:r>
      <w:r>
        <w:rPr>
          <w:color w:val="231F20"/>
          <w:w w:val="105"/>
        </w:rPr>
        <w:t>a</w:t>
      </w:r>
      <w:r>
        <w:rPr>
          <w:color w:val="231F20"/>
          <w:spacing w:val="-6"/>
          <w:w w:val="105"/>
        </w:rPr>
        <w:t> </w:t>
      </w:r>
      <w:r>
        <w:rPr>
          <w:color w:val="231F20"/>
          <w:w w:val="105"/>
        </w:rPr>
        <w:t>la carencia</w:t>
      </w:r>
      <w:r>
        <w:rPr>
          <w:color w:val="231F20"/>
          <w:spacing w:val="-32"/>
          <w:w w:val="105"/>
        </w:rPr>
        <w:t> </w:t>
      </w:r>
      <w:r>
        <w:rPr>
          <w:color w:val="231F20"/>
          <w:w w:val="105"/>
        </w:rPr>
        <w:t>de</w:t>
      </w:r>
      <w:r>
        <w:rPr>
          <w:color w:val="231F20"/>
          <w:spacing w:val="-32"/>
          <w:w w:val="105"/>
        </w:rPr>
        <w:t> </w:t>
      </w:r>
      <w:r>
        <w:rPr>
          <w:color w:val="231F20"/>
          <w:w w:val="105"/>
        </w:rPr>
        <w:t>información</w:t>
      </w:r>
      <w:r>
        <w:rPr>
          <w:color w:val="231F20"/>
          <w:spacing w:val="-32"/>
          <w:w w:val="105"/>
        </w:rPr>
        <w:t> </w:t>
      </w:r>
      <w:r>
        <w:rPr>
          <w:color w:val="231F20"/>
          <w:w w:val="105"/>
        </w:rPr>
        <w:t>específica.</w:t>
      </w:r>
      <w:r>
        <w:rPr>
          <w:color w:val="231F20"/>
          <w:spacing w:val="-36"/>
          <w:w w:val="105"/>
        </w:rPr>
        <w:t> </w:t>
      </w:r>
      <w:r>
        <w:rPr>
          <w:color w:val="231F20"/>
          <w:w w:val="105"/>
        </w:rPr>
        <w:t>Los</w:t>
      </w:r>
      <w:r>
        <w:rPr>
          <w:color w:val="231F20"/>
          <w:spacing w:val="-32"/>
          <w:w w:val="105"/>
        </w:rPr>
        <w:t> </w:t>
      </w:r>
      <w:r>
        <w:rPr>
          <w:color w:val="231F20"/>
          <w:w w:val="105"/>
        </w:rPr>
        <w:t>datos</w:t>
      </w:r>
      <w:r>
        <w:rPr>
          <w:color w:val="231F20"/>
          <w:spacing w:val="-32"/>
          <w:w w:val="105"/>
        </w:rPr>
        <w:t> </w:t>
      </w:r>
      <w:r>
        <w:rPr>
          <w:color w:val="231F20"/>
          <w:w w:val="105"/>
        </w:rPr>
        <w:t>históricos</w:t>
      </w:r>
      <w:r>
        <w:rPr>
          <w:color w:val="231F20"/>
          <w:spacing w:val="-32"/>
          <w:w w:val="105"/>
        </w:rPr>
        <w:t> </w:t>
      </w:r>
      <w:r>
        <w:rPr>
          <w:color w:val="231F20"/>
          <w:w w:val="105"/>
        </w:rPr>
        <w:t>no</w:t>
      </w:r>
      <w:r>
        <w:rPr>
          <w:color w:val="231F20"/>
          <w:spacing w:val="-32"/>
          <w:w w:val="105"/>
        </w:rPr>
        <w:t> </w:t>
      </w:r>
      <w:r>
        <w:rPr>
          <w:color w:val="231F20"/>
          <w:w w:val="105"/>
        </w:rPr>
        <w:t>desagregaron la</w:t>
      </w:r>
      <w:r>
        <w:rPr>
          <w:color w:val="231F20"/>
          <w:spacing w:val="-17"/>
          <w:w w:val="105"/>
        </w:rPr>
        <w:t> </w:t>
      </w:r>
      <w:r>
        <w:rPr>
          <w:color w:val="231F20"/>
          <w:w w:val="105"/>
        </w:rPr>
        <w:t>presencia</w:t>
      </w:r>
      <w:r>
        <w:rPr>
          <w:color w:val="231F20"/>
          <w:spacing w:val="-17"/>
          <w:w w:val="105"/>
        </w:rPr>
        <w:t> </w:t>
      </w:r>
      <w:r>
        <w:rPr>
          <w:color w:val="231F20"/>
          <w:w w:val="105"/>
        </w:rPr>
        <w:t>de</w:t>
      </w:r>
      <w:r>
        <w:rPr>
          <w:color w:val="231F20"/>
          <w:spacing w:val="-17"/>
          <w:w w:val="105"/>
        </w:rPr>
        <w:t> </w:t>
      </w:r>
      <w:r>
        <w:rPr>
          <w:color w:val="231F20"/>
          <w:w w:val="105"/>
        </w:rPr>
        <w:t>indígenas</w:t>
      </w:r>
      <w:r>
        <w:rPr>
          <w:color w:val="231F20"/>
          <w:spacing w:val="-17"/>
          <w:w w:val="105"/>
        </w:rPr>
        <w:t> </w:t>
      </w:r>
      <w:r>
        <w:rPr>
          <w:color w:val="231F20"/>
          <w:w w:val="105"/>
        </w:rPr>
        <w:t>en</w:t>
      </w:r>
      <w:r>
        <w:rPr>
          <w:color w:val="231F20"/>
          <w:spacing w:val="-17"/>
          <w:w w:val="105"/>
        </w:rPr>
        <w:t> </w:t>
      </w:r>
      <w:r>
        <w:rPr>
          <w:color w:val="231F20"/>
          <w:w w:val="105"/>
        </w:rPr>
        <w:t>las</w:t>
      </w:r>
      <w:r>
        <w:rPr>
          <w:color w:val="231F20"/>
          <w:spacing w:val="-17"/>
          <w:w w:val="105"/>
        </w:rPr>
        <w:t> </w:t>
      </w:r>
      <w:r>
        <w:rPr>
          <w:color w:val="231F20"/>
          <w:w w:val="105"/>
        </w:rPr>
        <w:t>corrientes</w:t>
      </w:r>
      <w:r>
        <w:rPr>
          <w:color w:val="231F20"/>
          <w:spacing w:val="-17"/>
          <w:w w:val="105"/>
        </w:rPr>
        <w:t> </w:t>
      </w:r>
      <w:r>
        <w:rPr>
          <w:color w:val="231F20"/>
          <w:w w:val="105"/>
        </w:rPr>
        <w:t>migratorias</w:t>
      </w:r>
      <w:r>
        <w:rPr>
          <w:color w:val="231F20"/>
          <w:spacing w:val="-17"/>
          <w:w w:val="105"/>
        </w:rPr>
        <w:t> </w:t>
      </w:r>
      <w:r>
        <w:rPr>
          <w:color w:val="231F20"/>
          <w:w w:val="105"/>
        </w:rPr>
        <w:t>hacía</w:t>
      </w:r>
      <w:r>
        <w:rPr>
          <w:color w:val="231F20"/>
          <w:spacing w:val="-17"/>
          <w:w w:val="105"/>
        </w:rPr>
        <w:t> </w:t>
      </w:r>
      <w:r>
        <w:rPr>
          <w:color w:val="231F20"/>
          <w:w w:val="105"/>
        </w:rPr>
        <w:t>el</w:t>
      </w:r>
      <w:r>
        <w:rPr>
          <w:color w:val="231F20"/>
          <w:spacing w:val="-17"/>
          <w:w w:val="105"/>
        </w:rPr>
        <w:t> </w:t>
      </w:r>
      <w:r>
        <w:rPr>
          <w:color w:val="231F20"/>
          <w:w w:val="105"/>
        </w:rPr>
        <w:t>norte.</w:t>
      </w:r>
      <w:r>
        <w:rPr>
          <w:color w:val="231F20"/>
          <w:spacing w:val="-23"/>
          <w:w w:val="105"/>
        </w:rPr>
        <w:t> </w:t>
      </w:r>
      <w:r>
        <w:rPr>
          <w:color w:val="231F20"/>
          <w:w w:val="105"/>
        </w:rPr>
        <w:t>De acuerdo</w:t>
      </w:r>
      <w:r>
        <w:rPr>
          <w:color w:val="231F20"/>
          <w:spacing w:val="-32"/>
          <w:w w:val="105"/>
        </w:rPr>
        <w:t> </w:t>
      </w:r>
      <w:r>
        <w:rPr>
          <w:color w:val="231F20"/>
          <w:w w:val="105"/>
        </w:rPr>
        <w:t>con</w:t>
      </w:r>
      <w:r>
        <w:rPr>
          <w:color w:val="231F20"/>
          <w:spacing w:val="-35"/>
          <w:w w:val="105"/>
        </w:rPr>
        <w:t> </w:t>
      </w:r>
      <w:r>
        <w:rPr>
          <w:color w:val="231F20"/>
          <w:w w:val="105"/>
        </w:rPr>
        <w:t>Velasco</w:t>
      </w:r>
      <w:r>
        <w:rPr>
          <w:color w:val="231F20"/>
          <w:spacing w:val="-32"/>
          <w:w w:val="105"/>
        </w:rPr>
        <w:t> </w:t>
      </w:r>
      <w:r>
        <w:rPr>
          <w:color w:val="231F20"/>
          <w:w w:val="105"/>
        </w:rPr>
        <w:t>(2010),</w:t>
      </w:r>
      <w:r>
        <w:rPr>
          <w:color w:val="231F20"/>
          <w:spacing w:val="-37"/>
          <w:w w:val="105"/>
        </w:rPr>
        <w:t> </w:t>
      </w:r>
      <w:r>
        <w:rPr>
          <w:color w:val="231F20"/>
          <w:w w:val="105"/>
        </w:rPr>
        <w:t>la</w:t>
      </w:r>
      <w:r>
        <w:rPr>
          <w:color w:val="231F20"/>
          <w:spacing w:val="-32"/>
          <w:w w:val="105"/>
        </w:rPr>
        <w:t> </w:t>
      </w:r>
      <w:r>
        <w:rPr>
          <w:color w:val="231F20"/>
          <w:w w:val="105"/>
        </w:rPr>
        <w:t>participación</w:t>
      </w:r>
      <w:r>
        <w:rPr>
          <w:color w:val="231F20"/>
          <w:spacing w:val="-32"/>
          <w:w w:val="105"/>
        </w:rPr>
        <w:t> </w:t>
      </w:r>
      <w:r>
        <w:rPr>
          <w:color w:val="231F20"/>
          <w:w w:val="105"/>
        </w:rPr>
        <w:t>étnica</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spacing w:val="-3"/>
          <w:w w:val="105"/>
        </w:rPr>
        <w:t>Programa</w:t>
      </w:r>
      <w:r>
        <w:rPr>
          <w:color w:val="231F20"/>
          <w:spacing w:val="-32"/>
          <w:w w:val="105"/>
        </w:rPr>
        <w:t> </w:t>
      </w:r>
      <w:r>
        <w:rPr>
          <w:color w:val="231F20"/>
          <w:w w:val="105"/>
        </w:rPr>
        <w:t>Brace- ro</w:t>
      </w:r>
      <w:r>
        <w:rPr>
          <w:color w:val="231F20"/>
          <w:spacing w:val="-15"/>
          <w:w w:val="105"/>
        </w:rPr>
        <w:t> </w:t>
      </w:r>
      <w:r>
        <w:rPr>
          <w:color w:val="231F20"/>
          <w:w w:val="105"/>
        </w:rPr>
        <w:t>es</w:t>
      </w:r>
      <w:r>
        <w:rPr>
          <w:color w:val="231F20"/>
          <w:spacing w:val="-15"/>
          <w:w w:val="105"/>
        </w:rPr>
        <w:t> </w:t>
      </w:r>
      <w:r>
        <w:rPr>
          <w:color w:val="231F20"/>
          <w:w w:val="105"/>
        </w:rPr>
        <w:t>el</w:t>
      </w:r>
      <w:r>
        <w:rPr>
          <w:color w:val="231F20"/>
          <w:spacing w:val="-15"/>
          <w:w w:val="105"/>
        </w:rPr>
        <w:t> </w:t>
      </w:r>
      <w:r>
        <w:rPr>
          <w:color w:val="231F20"/>
          <w:w w:val="105"/>
        </w:rPr>
        <w:t>punto</w:t>
      </w:r>
      <w:r>
        <w:rPr>
          <w:color w:val="231F20"/>
          <w:spacing w:val="-15"/>
          <w:w w:val="105"/>
        </w:rPr>
        <w:t> </w:t>
      </w:r>
      <w:r>
        <w:rPr>
          <w:color w:val="231F20"/>
          <w:w w:val="105"/>
        </w:rPr>
        <w:t>de</w:t>
      </w:r>
      <w:r>
        <w:rPr>
          <w:color w:val="231F20"/>
          <w:spacing w:val="-15"/>
          <w:w w:val="105"/>
        </w:rPr>
        <w:t> </w:t>
      </w:r>
      <w:r>
        <w:rPr>
          <w:color w:val="231F20"/>
          <w:w w:val="105"/>
        </w:rPr>
        <w:t>referencia</w:t>
      </w:r>
      <w:r>
        <w:rPr>
          <w:color w:val="231F20"/>
          <w:spacing w:val="-15"/>
          <w:w w:val="105"/>
        </w:rPr>
        <w:t> </w:t>
      </w:r>
      <w:r>
        <w:rPr>
          <w:color w:val="231F20"/>
          <w:w w:val="105"/>
        </w:rPr>
        <w:t>inicial</w:t>
      </w:r>
      <w:r>
        <w:rPr>
          <w:color w:val="231F20"/>
          <w:spacing w:val="-15"/>
          <w:w w:val="105"/>
        </w:rPr>
        <w:t> </w:t>
      </w:r>
      <w:r>
        <w:rPr>
          <w:color w:val="231F20"/>
          <w:w w:val="105"/>
        </w:rPr>
        <w:t>por</w:t>
      </w:r>
      <w:r>
        <w:rPr>
          <w:color w:val="231F20"/>
          <w:spacing w:val="-15"/>
          <w:w w:val="105"/>
        </w:rPr>
        <w:t> </w:t>
      </w:r>
      <w:r>
        <w:rPr>
          <w:color w:val="231F20"/>
          <w:w w:val="105"/>
        </w:rPr>
        <w:t>tratarse</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convenio</w:t>
      </w:r>
      <w:r>
        <w:rPr>
          <w:color w:val="231F20"/>
          <w:spacing w:val="-15"/>
          <w:w w:val="105"/>
        </w:rPr>
        <w:t> </w:t>
      </w:r>
      <w:r>
        <w:rPr>
          <w:color w:val="231F20"/>
          <w:w w:val="105"/>
        </w:rPr>
        <w:t>de</w:t>
      </w:r>
      <w:r>
        <w:rPr>
          <w:color w:val="231F20"/>
          <w:spacing w:val="-15"/>
          <w:w w:val="105"/>
        </w:rPr>
        <w:t> </w:t>
      </w:r>
      <w:r>
        <w:rPr>
          <w:color w:val="231F20"/>
          <w:w w:val="105"/>
        </w:rPr>
        <w:t>empleo temporal en campos de producción agrícola mediante el reclutamiento de</w:t>
      </w:r>
      <w:r>
        <w:rPr>
          <w:color w:val="231F20"/>
          <w:spacing w:val="-7"/>
          <w:w w:val="105"/>
        </w:rPr>
        <w:t> </w:t>
      </w:r>
      <w:r>
        <w:rPr>
          <w:color w:val="231F20"/>
          <w:w w:val="105"/>
        </w:rPr>
        <w:t>hombres</w:t>
      </w:r>
      <w:r>
        <w:rPr>
          <w:color w:val="231F20"/>
          <w:spacing w:val="-7"/>
          <w:w w:val="105"/>
        </w:rPr>
        <w:t> </w:t>
      </w:r>
      <w:r>
        <w:rPr>
          <w:color w:val="231F20"/>
          <w:w w:val="105"/>
        </w:rPr>
        <w:t>en</w:t>
      </w:r>
      <w:r>
        <w:rPr>
          <w:color w:val="231F20"/>
          <w:spacing w:val="-7"/>
          <w:w w:val="105"/>
        </w:rPr>
        <w:t> </w:t>
      </w:r>
      <w:r>
        <w:rPr>
          <w:color w:val="231F20"/>
          <w:w w:val="105"/>
        </w:rPr>
        <w:t>edad</w:t>
      </w:r>
      <w:r>
        <w:rPr>
          <w:color w:val="231F20"/>
          <w:spacing w:val="-7"/>
          <w:w w:val="105"/>
        </w:rPr>
        <w:t> </w:t>
      </w:r>
      <w:r>
        <w:rPr>
          <w:color w:val="231F20"/>
          <w:w w:val="105"/>
        </w:rPr>
        <w:t>productiva,</w:t>
      </w:r>
      <w:r>
        <w:rPr>
          <w:color w:val="231F20"/>
          <w:spacing w:val="-12"/>
          <w:w w:val="105"/>
        </w:rPr>
        <w:t> </w:t>
      </w:r>
      <w:r>
        <w:rPr>
          <w:color w:val="231F20"/>
          <w:w w:val="105"/>
        </w:rPr>
        <w:t>jefes</w:t>
      </w:r>
      <w:r>
        <w:rPr>
          <w:color w:val="231F20"/>
          <w:spacing w:val="-7"/>
          <w:w w:val="105"/>
        </w:rPr>
        <w:t> </w:t>
      </w:r>
      <w:r>
        <w:rPr>
          <w:color w:val="231F20"/>
          <w:w w:val="105"/>
        </w:rPr>
        <w:t>de</w:t>
      </w:r>
      <w:r>
        <w:rPr>
          <w:color w:val="231F20"/>
          <w:spacing w:val="-7"/>
          <w:w w:val="105"/>
        </w:rPr>
        <w:t> </w:t>
      </w:r>
      <w:r>
        <w:rPr>
          <w:color w:val="231F20"/>
          <w:w w:val="105"/>
        </w:rPr>
        <w:t>familia,</w:t>
      </w:r>
      <w:r>
        <w:rPr>
          <w:color w:val="231F20"/>
          <w:spacing w:val="-12"/>
          <w:w w:val="105"/>
        </w:rPr>
        <w:t> </w:t>
      </w:r>
      <w:r>
        <w:rPr>
          <w:color w:val="231F20"/>
          <w:w w:val="105"/>
        </w:rPr>
        <w:t>provenientes</w:t>
      </w:r>
      <w:r>
        <w:rPr>
          <w:color w:val="231F20"/>
          <w:spacing w:val="-7"/>
          <w:w w:val="105"/>
        </w:rPr>
        <w:t> </w:t>
      </w:r>
      <w:r>
        <w:rPr>
          <w:color w:val="231F20"/>
          <w:w w:val="105"/>
        </w:rPr>
        <w:t>de</w:t>
      </w:r>
      <w:r>
        <w:rPr>
          <w:color w:val="231F20"/>
          <w:spacing w:val="-7"/>
          <w:w w:val="105"/>
        </w:rPr>
        <w:t> </w:t>
      </w:r>
      <w:r>
        <w:rPr>
          <w:color w:val="231F20"/>
          <w:w w:val="105"/>
        </w:rPr>
        <w:t>diver- sas</w:t>
      </w:r>
      <w:r>
        <w:rPr>
          <w:color w:val="231F20"/>
          <w:spacing w:val="-6"/>
          <w:w w:val="105"/>
        </w:rPr>
        <w:t> </w:t>
      </w:r>
      <w:r>
        <w:rPr>
          <w:color w:val="231F20"/>
          <w:w w:val="105"/>
        </w:rPr>
        <w:t>partes</w:t>
      </w:r>
      <w:r>
        <w:rPr>
          <w:color w:val="231F20"/>
          <w:spacing w:val="-6"/>
          <w:w w:val="105"/>
        </w:rPr>
        <w:t> </w:t>
      </w:r>
      <w:r>
        <w:rPr>
          <w:color w:val="231F20"/>
          <w:w w:val="105"/>
        </w:rPr>
        <w:t>del</w:t>
      </w:r>
      <w:r>
        <w:rPr>
          <w:color w:val="231F20"/>
          <w:spacing w:val="-6"/>
          <w:w w:val="105"/>
        </w:rPr>
        <w:t> </w:t>
      </w:r>
      <w:r>
        <w:rPr>
          <w:color w:val="231F20"/>
          <w:w w:val="105"/>
        </w:rPr>
        <w:t>país.</w:t>
      </w:r>
      <w:r>
        <w:rPr>
          <w:color w:val="231F20"/>
          <w:spacing w:val="-11"/>
          <w:w w:val="105"/>
        </w:rPr>
        <w:t> </w:t>
      </w:r>
      <w:r>
        <w:rPr>
          <w:color w:val="231F20"/>
          <w:w w:val="105"/>
        </w:rPr>
        <w:t>En</w:t>
      </w:r>
      <w:r>
        <w:rPr>
          <w:color w:val="231F20"/>
          <w:spacing w:val="-6"/>
          <w:w w:val="105"/>
        </w:rPr>
        <w:t> </w:t>
      </w:r>
      <w:r>
        <w:rPr>
          <w:color w:val="231F20"/>
          <w:w w:val="105"/>
        </w:rPr>
        <w:t>este</w:t>
      </w:r>
      <w:r>
        <w:rPr>
          <w:color w:val="231F20"/>
          <w:spacing w:val="-6"/>
          <w:w w:val="105"/>
        </w:rPr>
        <w:t> </w:t>
      </w:r>
      <w:r>
        <w:rPr>
          <w:color w:val="231F20"/>
          <w:w w:val="105"/>
        </w:rPr>
        <w:t>sentido,</w:t>
      </w:r>
      <w:r>
        <w:rPr>
          <w:color w:val="231F20"/>
          <w:spacing w:val="-11"/>
          <w:w w:val="105"/>
        </w:rPr>
        <w:t> </w:t>
      </w:r>
      <w:r>
        <w:rPr>
          <w:color w:val="231F20"/>
          <w:w w:val="105"/>
        </w:rPr>
        <w:t>Laura</w:t>
      </w:r>
      <w:r>
        <w:rPr>
          <w:color w:val="231F20"/>
          <w:spacing w:val="-9"/>
          <w:w w:val="105"/>
        </w:rPr>
        <w:t> </w:t>
      </w:r>
      <w:r>
        <w:rPr>
          <w:color w:val="231F20"/>
          <w:w w:val="105"/>
        </w:rPr>
        <w:t>Velasco</w:t>
      </w:r>
      <w:r>
        <w:rPr>
          <w:color w:val="231F20"/>
          <w:spacing w:val="-6"/>
          <w:w w:val="105"/>
        </w:rPr>
        <w:t> </w:t>
      </w:r>
      <w:r>
        <w:rPr>
          <w:color w:val="231F20"/>
          <w:w w:val="105"/>
        </w:rPr>
        <w:t>refiere</w:t>
      </w:r>
      <w:r>
        <w:rPr>
          <w:color w:val="231F20"/>
          <w:spacing w:val="-6"/>
          <w:w w:val="105"/>
        </w:rPr>
        <w:t> </w:t>
      </w:r>
      <w:r>
        <w:rPr>
          <w:color w:val="231F20"/>
          <w:w w:val="105"/>
        </w:rPr>
        <w:t>el</w:t>
      </w:r>
      <w:r>
        <w:rPr>
          <w:color w:val="231F20"/>
          <w:spacing w:val="-6"/>
          <w:w w:val="105"/>
        </w:rPr>
        <w:t> </w:t>
      </w:r>
      <w:r>
        <w:rPr>
          <w:color w:val="231F20"/>
          <w:w w:val="105"/>
        </w:rPr>
        <w:t>estudio</w:t>
      </w:r>
      <w:r>
        <w:rPr>
          <w:color w:val="231F20"/>
          <w:spacing w:val="-6"/>
          <w:w w:val="105"/>
        </w:rPr>
        <w:t> </w:t>
      </w:r>
      <w:r>
        <w:rPr>
          <w:color w:val="231F20"/>
          <w:w w:val="105"/>
        </w:rPr>
        <w:t>de Bartolomé</w:t>
      </w:r>
      <w:r>
        <w:rPr>
          <w:color w:val="231F20"/>
          <w:spacing w:val="-6"/>
          <w:w w:val="105"/>
        </w:rPr>
        <w:t> </w:t>
      </w:r>
      <w:r>
        <w:rPr>
          <w:color w:val="231F20"/>
          <w:w w:val="105"/>
        </w:rPr>
        <w:t>y</w:t>
      </w:r>
      <w:r>
        <w:rPr>
          <w:color w:val="231F20"/>
          <w:spacing w:val="-6"/>
          <w:w w:val="105"/>
        </w:rPr>
        <w:t> </w:t>
      </w:r>
      <w:r>
        <w:rPr>
          <w:color w:val="231F20"/>
          <w:w w:val="105"/>
        </w:rPr>
        <w:t>Barabas,</w:t>
      </w:r>
      <w:r>
        <w:rPr>
          <w:color w:val="231F20"/>
          <w:spacing w:val="-12"/>
          <w:w w:val="105"/>
        </w:rPr>
        <w:t> </w:t>
      </w:r>
      <w:r>
        <w:rPr>
          <w:color w:val="231F20"/>
          <w:w w:val="105"/>
        </w:rPr>
        <w:t>quienes</w:t>
      </w:r>
      <w:r>
        <w:rPr>
          <w:color w:val="231F20"/>
          <w:spacing w:val="-6"/>
          <w:w w:val="105"/>
        </w:rPr>
        <w:t> </w:t>
      </w:r>
      <w:r>
        <w:rPr>
          <w:color w:val="231F20"/>
          <w:w w:val="105"/>
        </w:rPr>
        <w:t>desarrollan</w:t>
      </w:r>
      <w:r>
        <w:rPr>
          <w:color w:val="231F20"/>
          <w:spacing w:val="-6"/>
          <w:w w:val="105"/>
        </w:rPr>
        <w:t> </w:t>
      </w:r>
      <w:r>
        <w:rPr>
          <w:color w:val="231F20"/>
          <w:w w:val="105"/>
        </w:rPr>
        <w:t>el</w:t>
      </w:r>
      <w:r>
        <w:rPr>
          <w:color w:val="231F20"/>
          <w:spacing w:val="-6"/>
          <w:w w:val="105"/>
        </w:rPr>
        <w:t> </w:t>
      </w:r>
      <w:r>
        <w:rPr>
          <w:color w:val="231F20"/>
          <w:w w:val="105"/>
        </w:rPr>
        <w:t>concepto</w:t>
      </w:r>
      <w:r>
        <w:rPr>
          <w:color w:val="231F20"/>
          <w:spacing w:val="-6"/>
          <w:w w:val="105"/>
        </w:rPr>
        <w:t> </w:t>
      </w:r>
      <w:r>
        <w:rPr>
          <w:color w:val="231F20"/>
          <w:w w:val="105"/>
        </w:rPr>
        <w:t>de</w:t>
      </w:r>
      <w:r>
        <w:rPr>
          <w:color w:val="231F20"/>
          <w:spacing w:val="-6"/>
          <w:w w:val="105"/>
        </w:rPr>
        <w:t> </w:t>
      </w:r>
      <w:r>
        <w:rPr>
          <w:color w:val="231F20"/>
          <w:w w:val="105"/>
        </w:rPr>
        <w:t>configuración étnica</w:t>
      </w:r>
      <w:r>
        <w:rPr>
          <w:color w:val="231F20"/>
          <w:w w:val="105"/>
          <w:position w:val="7"/>
          <w:sz w:val="12"/>
        </w:rPr>
        <w:t>3</w:t>
      </w:r>
      <w:r>
        <w:rPr>
          <w:color w:val="231F20"/>
          <w:spacing w:val="1"/>
          <w:w w:val="105"/>
          <w:position w:val="7"/>
          <w:sz w:val="12"/>
        </w:rPr>
        <w:t> </w:t>
      </w:r>
      <w:r>
        <w:rPr>
          <w:color w:val="231F20"/>
          <w:w w:val="105"/>
        </w:rPr>
        <w:t>“para</w:t>
      </w:r>
      <w:r>
        <w:rPr>
          <w:color w:val="231F20"/>
          <w:spacing w:val="-24"/>
          <w:w w:val="105"/>
        </w:rPr>
        <w:t> </w:t>
      </w:r>
      <w:r>
        <w:rPr>
          <w:color w:val="231F20"/>
          <w:w w:val="105"/>
        </w:rPr>
        <w:t>abordar</w:t>
      </w:r>
      <w:r>
        <w:rPr>
          <w:color w:val="231F20"/>
          <w:spacing w:val="-24"/>
          <w:w w:val="105"/>
        </w:rPr>
        <w:t> </w:t>
      </w:r>
      <w:r>
        <w:rPr>
          <w:color w:val="231F20"/>
          <w:w w:val="105"/>
        </w:rPr>
        <w:t>la</w:t>
      </w:r>
      <w:r>
        <w:rPr>
          <w:color w:val="231F20"/>
          <w:spacing w:val="-24"/>
          <w:w w:val="105"/>
        </w:rPr>
        <w:t> </w:t>
      </w:r>
      <w:r>
        <w:rPr>
          <w:color w:val="231F20"/>
          <w:w w:val="105"/>
        </w:rPr>
        <w:t>diversidad</w:t>
      </w:r>
      <w:r>
        <w:rPr>
          <w:color w:val="231F20"/>
          <w:spacing w:val="-24"/>
          <w:w w:val="105"/>
        </w:rPr>
        <w:t> </w:t>
      </w:r>
      <w:r>
        <w:rPr>
          <w:color w:val="231F20"/>
          <w:w w:val="105"/>
        </w:rPr>
        <w:t>cultural</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estado</w:t>
      </w:r>
      <w:r>
        <w:rPr>
          <w:color w:val="231F20"/>
          <w:spacing w:val="-24"/>
          <w:w w:val="105"/>
        </w:rPr>
        <w:t> </w:t>
      </w:r>
      <w:r>
        <w:rPr>
          <w:color w:val="231F20"/>
          <w:w w:val="105"/>
        </w:rPr>
        <w:t>de</w:t>
      </w:r>
      <w:r>
        <w:rPr>
          <w:color w:val="231F20"/>
          <w:spacing w:val="-24"/>
          <w:w w:val="105"/>
        </w:rPr>
        <w:t> </w:t>
      </w:r>
      <w:r>
        <w:rPr>
          <w:color w:val="231F20"/>
          <w:w w:val="105"/>
        </w:rPr>
        <w:t>Oaxaca,</w:t>
      </w:r>
      <w:r>
        <w:rPr>
          <w:color w:val="231F20"/>
          <w:spacing w:val="-29"/>
          <w:w w:val="105"/>
        </w:rPr>
        <w:t> </w:t>
      </w:r>
      <w:r>
        <w:rPr>
          <w:color w:val="231F20"/>
          <w:w w:val="105"/>
        </w:rPr>
        <w:t>supo- niendo</w:t>
      </w:r>
      <w:r>
        <w:rPr>
          <w:color w:val="231F20"/>
          <w:spacing w:val="-13"/>
          <w:w w:val="105"/>
        </w:rPr>
        <w:t> </w:t>
      </w:r>
      <w:r>
        <w:rPr>
          <w:color w:val="231F20"/>
          <w:w w:val="105"/>
        </w:rPr>
        <w:t>un</w:t>
      </w:r>
      <w:r>
        <w:rPr>
          <w:color w:val="231F20"/>
          <w:spacing w:val="-13"/>
          <w:w w:val="105"/>
        </w:rPr>
        <w:t> </w:t>
      </w:r>
      <w:r>
        <w:rPr>
          <w:color w:val="231F20"/>
          <w:w w:val="105"/>
        </w:rPr>
        <w:t>sistema</w:t>
      </w:r>
      <w:r>
        <w:rPr>
          <w:color w:val="231F20"/>
          <w:spacing w:val="-13"/>
          <w:w w:val="105"/>
        </w:rPr>
        <w:t> </w:t>
      </w:r>
      <w:r>
        <w:rPr>
          <w:color w:val="231F20"/>
          <w:w w:val="105"/>
        </w:rPr>
        <w:t>de</w:t>
      </w:r>
      <w:r>
        <w:rPr>
          <w:color w:val="231F20"/>
          <w:spacing w:val="-13"/>
          <w:w w:val="105"/>
        </w:rPr>
        <w:t> </w:t>
      </w:r>
      <w:r>
        <w:rPr>
          <w:color w:val="231F20"/>
          <w:w w:val="105"/>
        </w:rPr>
        <w:t>relaciones</w:t>
      </w:r>
      <w:r>
        <w:rPr>
          <w:color w:val="231F20"/>
          <w:spacing w:val="-13"/>
          <w:w w:val="105"/>
        </w:rPr>
        <w:t> </w:t>
      </w:r>
      <w:r>
        <w:rPr>
          <w:color w:val="231F20"/>
          <w:w w:val="105"/>
        </w:rPr>
        <w:t>sociales</w:t>
      </w:r>
      <w:r>
        <w:rPr>
          <w:color w:val="231F20"/>
          <w:spacing w:val="-13"/>
          <w:w w:val="105"/>
        </w:rPr>
        <w:t> </w:t>
      </w:r>
      <w:r>
        <w:rPr>
          <w:color w:val="231F20"/>
          <w:w w:val="105"/>
        </w:rPr>
        <w:t>jerarquizadas</w:t>
      </w:r>
      <w:r>
        <w:rPr>
          <w:color w:val="231F20"/>
          <w:spacing w:val="-13"/>
          <w:w w:val="105"/>
        </w:rPr>
        <w:t> </w:t>
      </w:r>
      <w:r>
        <w:rPr>
          <w:color w:val="231F20"/>
          <w:w w:val="105"/>
        </w:rPr>
        <w:t>entre</w:t>
      </w:r>
      <w:r>
        <w:rPr>
          <w:color w:val="231F20"/>
          <w:spacing w:val="-13"/>
          <w:w w:val="105"/>
        </w:rPr>
        <w:t> </w:t>
      </w:r>
      <w:r>
        <w:rPr>
          <w:color w:val="231F20"/>
          <w:w w:val="105"/>
        </w:rPr>
        <w:t>los</w:t>
      </w:r>
      <w:r>
        <w:rPr>
          <w:color w:val="231F20"/>
          <w:spacing w:val="-13"/>
          <w:w w:val="105"/>
        </w:rPr>
        <w:t> </w:t>
      </w:r>
      <w:r>
        <w:rPr>
          <w:color w:val="231F20"/>
          <w:w w:val="105"/>
        </w:rPr>
        <w:t>indíge- nas</w:t>
      </w:r>
      <w:r>
        <w:rPr>
          <w:color w:val="231F20"/>
          <w:spacing w:val="-13"/>
          <w:w w:val="105"/>
        </w:rPr>
        <w:t> </w:t>
      </w:r>
      <w:r>
        <w:rPr>
          <w:color w:val="231F20"/>
          <w:w w:val="105"/>
        </w:rPr>
        <w:t>y</w:t>
      </w:r>
      <w:r>
        <w:rPr>
          <w:color w:val="231F20"/>
          <w:spacing w:val="-13"/>
          <w:w w:val="105"/>
        </w:rPr>
        <w:t> </w:t>
      </w:r>
      <w:r>
        <w:rPr>
          <w:color w:val="231F20"/>
          <w:w w:val="105"/>
        </w:rPr>
        <w:t>los</w:t>
      </w:r>
      <w:r>
        <w:rPr>
          <w:color w:val="231F20"/>
          <w:spacing w:val="-13"/>
          <w:w w:val="105"/>
        </w:rPr>
        <w:t> </w:t>
      </w:r>
      <w:r>
        <w:rPr>
          <w:color w:val="231F20"/>
          <w:w w:val="105"/>
        </w:rPr>
        <w:t>no</w:t>
      </w:r>
      <w:r>
        <w:rPr>
          <w:color w:val="231F20"/>
          <w:spacing w:val="-13"/>
          <w:w w:val="105"/>
        </w:rPr>
        <w:t> </w:t>
      </w:r>
      <w:r>
        <w:rPr>
          <w:color w:val="231F20"/>
          <w:w w:val="105"/>
        </w:rPr>
        <w:t>indígenas</w:t>
      </w:r>
      <w:r>
        <w:rPr>
          <w:color w:val="231F20"/>
          <w:spacing w:val="-13"/>
          <w:w w:val="105"/>
        </w:rPr>
        <w:t> </w:t>
      </w:r>
      <w:r>
        <w:rPr>
          <w:color w:val="231F20"/>
          <w:w w:val="105"/>
        </w:rPr>
        <w:t>en</w:t>
      </w:r>
      <w:r>
        <w:rPr>
          <w:color w:val="231F20"/>
          <w:spacing w:val="-13"/>
          <w:w w:val="105"/>
        </w:rPr>
        <w:t> </w:t>
      </w:r>
      <w:r>
        <w:rPr>
          <w:color w:val="231F20"/>
          <w:w w:val="105"/>
        </w:rPr>
        <w:t>marcos</w:t>
      </w:r>
      <w:r>
        <w:rPr>
          <w:color w:val="231F20"/>
          <w:spacing w:val="-13"/>
          <w:w w:val="105"/>
        </w:rPr>
        <w:t> </w:t>
      </w:r>
      <w:r>
        <w:rPr>
          <w:color w:val="231F20"/>
          <w:w w:val="105"/>
        </w:rPr>
        <w:t>regionales</w:t>
      </w:r>
      <w:r>
        <w:rPr>
          <w:color w:val="231F20"/>
          <w:spacing w:val="-13"/>
          <w:w w:val="105"/>
        </w:rPr>
        <w:t> </w:t>
      </w:r>
      <w:r>
        <w:rPr>
          <w:color w:val="231F20"/>
          <w:w w:val="105"/>
        </w:rPr>
        <w:t>específicos.</w:t>
      </w:r>
      <w:r>
        <w:rPr>
          <w:color w:val="231F20"/>
          <w:spacing w:val="-18"/>
          <w:w w:val="105"/>
        </w:rPr>
        <w:t> </w:t>
      </w:r>
      <w:r>
        <w:rPr>
          <w:color w:val="231F20"/>
          <w:w w:val="105"/>
        </w:rPr>
        <w:t>Esta</w:t>
      </w:r>
      <w:r>
        <w:rPr>
          <w:color w:val="231F20"/>
          <w:spacing w:val="-13"/>
          <w:w w:val="105"/>
        </w:rPr>
        <w:t> </w:t>
      </w:r>
      <w:r>
        <w:rPr>
          <w:color w:val="231F20"/>
          <w:w w:val="105"/>
        </w:rPr>
        <w:t>definición implica la existencia de categorías sociales que responden a la historia de</w:t>
      </w:r>
      <w:r>
        <w:rPr>
          <w:color w:val="231F20"/>
          <w:spacing w:val="-30"/>
          <w:w w:val="105"/>
        </w:rPr>
        <w:t> </w:t>
      </w:r>
      <w:r>
        <w:rPr>
          <w:color w:val="231F20"/>
          <w:w w:val="105"/>
        </w:rPr>
        <w:t>un</w:t>
      </w:r>
      <w:r>
        <w:rPr>
          <w:color w:val="231F20"/>
          <w:spacing w:val="-30"/>
          <w:w w:val="105"/>
        </w:rPr>
        <w:t> </w:t>
      </w:r>
      <w:r>
        <w:rPr>
          <w:color w:val="231F20"/>
          <w:w w:val="105"/>
        </w:rPr>
        <w:t>Estado-nación</w:t>
      </w:r>
      <w:r>
        <w:rPr>
          <w:color w:val="231F20"/>
          <w:spacing w:val="-30"/>
          <w:w w:val="105"/>
        </w:rPr>
        <w:t> </w:t>
      </w:r>
      <w:r>
        <w:rPr>
          <w:color w:val="231F20"/>
          <w:w w:val="105"/>
        </w:rPr>
        <w:t>específico”</w:t>
      </w:r>
      <w:r>
        <w:rPr>
          <w:color w:val="231F20"/>
          <w:spacing w:val="-30"/>
          <w:w w:val="105"/>
        </w:rPr>
        <w:t> </w:t>
      </w:r>
      <w:r>
        <w:rPr>
          <w:color w:val="231F20"/>
          <w:w w:val="105"/>
        </w:rPr>
        <w:t>(Velasco,</w:t>
      </w:r>
      <w:r>
        <w:rPr>
          <w:color w:val="231F20"/>
          <w:spacing w:val="-33"/>
          <w:w w:val="105"/>
        </w:rPr>
        <w:t> </w:t>
      </w:r>
      <w:r>
        <w:rPr>
          <w:color w:val="231F20"/>
          <w:w w:val="105"/>
        </w:rPr>
        <w:t>2010:</w:t>
      </w:r>
      <w:r>
        <w:rPr>
          <w:color w:val="231F20"/>
          <w:spacing w:val="-30"/>
          <w:w w:val="105"/>
        </w:rPr>
        <w:t> </w:t>
      </w:r>
      <w:r>
        <w:rPr>
          <w:color w:val="231F20"/>
          <w:w w:val="105"/>
        </w:rPr>
        <w:t>319).</w:t>
      </w:r>
    </w:p>
    <w:p>
      <w:pPr>
        <w:pStyle w:val="BodyText"/>
        <w:spacing w:line="261" w:lineRule="auto" w:before="1"/>
        <w:ind w:left="1723" w:right="1828" w:firstLine="567"/>
        <w:jc w:val="both"/>
      </w:pPr>
      <w:r>
        <w:rPr>
          <w:color w:val="231F20"/>
          <w:w w:val="105"/>
        </w:rPr>
        <w:t>En el estudio de los colectivos étnicos y su interrelación con las sociedades</w:t>
      </w:r>
      <w:r>
        <w:rPr>
          <w:color w:val="231F20"/>
          <w:spacing w:val="-9"/>
          <w:w w:val="105"/>
        </w:rPr>
        <w:t> </w:t>
      </w:r>
      <w:r>
        <w:rPr>
          <w:color w:val="231F20"/>
          <w:w w:val="105"/>
        </w:rPr>
        <w:t>actuales</w:t>
      </w:r>
      <w:r>
        <w:rPr>
          <w:color w:val="231F20"/>
          <w:spacing w:val="-9"/>
          <w:w w:val="105"/>
        </w:rPr>
        <w:t> </w:t>
      </w:r>
      <w:r>
        <w:rPr>
          <w:color w:val="231F20"/>
          <w:w w:val="105"/>
        </w:rPr>
        <w:t>confluyen</w:t>
      </w:r>
      <w:r>
        <w:rPr>
          <w:color w:val="231F20"/>
          <w:spacing w:val="-9"/>
          <w:w w:val="105"/>
        </w:rPr>
        <w:t> </w:t>
      </w:r>
      <w:r>
        <w:rPr>
          <w:color w:val="231F20"/>
          <w:w w:val="105"/>
        </w:rPr>
        <w:t>disciplinas</w:t>
      </w:r>
      <w:r>
        <w:rPr>
          <w:color w:val="231F20"/>
          <w:spacing w:val="-9"/>
          <w:w w:val="105"/>
        </w:rPr>
        <w:t> </w:t>
      </w:r>
      <w:r>
        <w:rPr>
          <w:color w:val="231F20"/>
          <w:w w:val="105"/>
        </w:rPr>
        <w:t>que,</w:t>
      </w:r>
      <w:r>
        <w:rPr>
          <w:color w:val="231F20"/>
          <w:spacing w:val="-14"/>
          <w:w w:val="105"/>
        </w:rPr>
        <w:t> </w:t>
      </w:r>
      <w:r>
        <w:rPr>
          <w:color w:val="231F20"/>
          <w:w w:val="105"/>
        </w:rPr>
        <w:t>más</w:t>
      </w:r>
      <w:r>
        <w:rPr>
          <w:color w:val="231F20"/>
          <w:spacing w:val="-9"/>
          <w:w w:val="105"/>
        </w:rPr>
        <w:t> </w:t>
      </w:r>
      <w:r>
        <w:rPr>
          <w:color w:val="231F20"/>
          <w:w w:val="105"/>
        </w:rPr>
        <w:t>allá</w:t>
      </w:r>
      <w:r>
        <w:rPr>
          <w:color w:val="231F20"/>
          <w:spacing w:val="-9"/>
          <w:w w:val="105"/>
        </w:rPr>
        <w:t> </w:t>
      </w:r>
      <w:r>
        <w:rPr>
          <w:color w:val="231F20"/>
          <w:w w:val="105"/>
        </w:rPr>
        <w:t>de</w:t>
      </w:r>
      <w:r>
        <w:rPr>
          <w:color w:val="231F20"/>
          <w:spacing w:val="-9"/>
          <w:w w:val="105"/>
        </w:rPr>
        <w:t> </w:t>
      </w:r>
      <w:r>
        <w:rPr>
          <w:color w:val="231F20"/>
          <w:w w:val="105"/>
        </w:rPr>
        <w:t>estudiar</w:t>
      </w:r>
      <w:r>
        <w:rPr>
          <w:color w:val="231F20"/>
          <w:spacing w:val="-9"/>
          <w:w w:val="105"/>
        </w:rPr>
        <w:t> </w:t>
      </w:r>
      <w:r>
        <w:rPr>
          <w:color w:val="231F20"/>
          <w:w w:val="105"/>
        </w:rPr>
        <w:t>sus particularidades (Antropología), analizan las relaciones de poder cons- truidas en torno a la diferenciación (Sociología), la libertad de ser en la diferencia</w:t>
      </w:r>
      <w:r>
        <w:rPr>
          <w:color w:val="231F20"/>
          <w:spacing w:val="-9"/>
          <w:w w:val="105"/>
        </w:rPr>
        <w:t> </w:t>
      </w:r>
      <w:r>
        <w:rPr>
          <w:color w:val="231F20"/>
          <w:w w:val="105"/>
        </w:rPr>
        <w:t>(Filosofía),</w:t>
      </w:r>
      <w:r>
        <w:rPr>
          <w:color w:val="231F20"/>
          <w:spacing w:val="-13"/>
          <w:w w:val="105"/>
        </w:rPr>
        <w:t> </w:t>
      </w:r>
      <w:r>
        <w:rPr>
          <w:color w:val="231F20"/>
          <w:w w:val="105"/>
        </w:rPr>
        <w:t>el</w:t>
      </w:r>
      <w:r>
        <w:rPr>
          <w:color w:val="231F20"/>
          <w:spacing w:val="-9"/>
          <w:w w:val="105"/>
        </w:rPr>
        <w:t> </w:t>
      </w:r>
      <w:r>
        <w:rPr>
          <w:color w:val="231F20"/>
          <w:w w:val="105"/>
        </w:rPr>
        <w:t>derecho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acción</w:t>
      </w:r>
      <w:r>
        <w:rPr>
          <w:color w:val="231F20"/>
          <w:spacing w:val="-9"/>
          <w:w w:val="105"/>
        </w:rPr>
        <w:t> </w:t>
      </w:r>
      <w:r>
        <w:rPr>
          <w:color w:val="231F20"/>
          <w:w w:val="105"/>
        </w:rPr>
        <w:t>individual</w:t>
      </w:r>
      <w:r>
        <w:rPr>
          <w:color w:val="231F20"/>
          <w:spacing w:val="-9"/>
          <w:w w:val="105"/>
        </w:rPr>
        <w:t> </w:t>
      </w:r>
      <w:r>
        <w:rPr>
          <w:color w:val="231F20"/>
          <w:w w:val="105"/>
        </w:rPr>
        <w:t>y</w:t>
      </w:r>
      <w:r>
        <w:rPr>
          <w:color w:val="231F20"/>
          <w:spacing w:val="-9"/>
          <w:w w:val="105"/>
        </w:rPr>
        <w:t> </w:t>
      </w:r>
      <w:r>
        <w:rPr>
          <w:color w:val="231F20"/>
          <w:w w:val="105"/>
        </w:rPr>
        <w:t>colectiva</w:t>
      </w:r>
      <w:r>
        <w:rPr>
          <w:color w:val="231F20"/>
          <w:spacing w:val="-9"/>
          <w:w w:val="105"/>
        </w:rPr>
        <w:t> </w:t>
      </w:r>
      <w:r>
        <w:rPr>
          <w:color w:val="231F20"/>
          <w:w w:val="105"/>
        </w:rPr>
        <w:t>(Dere- cho</w:t>
      </w:r>
      <w:r>
        <w:rPr>
          <w:color w:val="231F20"/>
          <w:spacing w:val="-28"/>
          <w:w w:val="105"/>
        </w:rPr>
        <w:t> </w:t>
      </w:r>
      <w:r>
        <w:rPr>
          <w:color w:val="231F20"/>
          <w:w w:val="105"/>
        </w:rPr>
        <w:t>y</w:t>
      </w:r>
      <w:r>
        <w:rPr>
          <w:color w:val="231F20"/>
          <w:spacing w:val="-28"/>
          <w:w w:val="105"/>
        </w:rPr>
        <w:t> </w:t>
      </w:r>
      <w:r>
        <w:rPr>
          <w:color w:val="231F20"/>
          <w:w w:val="105"/>
        </w:rPr>
        <w:t>Ciencias</w:t>
      </w:r>
      <w:r>
        <w:rPr>
          <w:color w:val="231F20"/>
          <w:spacing w:val="-28"/>
          <w:w w:val="105"/>
        </w:rPr>
        <w:t> </w:t>
      </w:r>
      <w:r>
        <w:rPr>
          <w:color w:val="231F20"/>
          <w:w w:val="105"/>
        </w:rPr>
        <w:t>Políticas),</w:t>
      </w:r>
      <w:r>
        <w:rPr>
          <w:color w:val="231F20"/>
          <w:spacing w:val="-33"/>
          <w:w w:val="105"/>
        </w:rPr>
        <w:t> </w:t>
      </w:r>
      <w:r>
        <w:rPr>
          <w:color w:val="231F20"/>
          <w:w w:val="105"/>
        </w:rPr>
        <w:t>y</w:t>
      </w:r>
      <w:r>
        <w:rPr>
          <w:color w:val="231F20"/>
          <w:spacing w:val="-28"/>
          <w:w w:val="105"/>
        </w:rPr>
        <w:t> </w:t>
      </w:r>
      <w:r>
        <w:rPr>
          <w:color w:val="231F20"/>
          <w:w w:val="105"/>
        </w:rPr>
        <w:t>actualmente,</w:t>
      </w:r>
      <w:r>
        <w:rPr>
          <w:color w:val="231F20"/>
          <w:spacing w:val="-33"/>
          <w:w w:val="105"/>
        </w:rPr>
        <w:t> </w:t>
      </w:r>
      <w:r>
        <w:rPr>
          <w:color w:val="231F20"/>
          <w:w w:val="105"/>
        </w:rPr>
        <w:t>su</w:t>
      </w:r>
      <w:r>
        <w:rPr>
          <w:color w:val="231F20"/>
          <w:spacing w:val="-28"/>
          <w:w w:val="105"/>
        </w:rPr>
        <w:t> </w:t>
      </w:r>
      <w:r>
        <w:rPr>
          <w:color w:val="231F20"/>
          <w:w w:val="105"/>
        </w:rPr>
        <w:t>participación</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mundo</w:t>
      </w:r>
      <w:r>
        <w:rPr>
          <w:color w:val="231F20"/>
          <w:spacing w:val="-28"/>
          <w:w w:val="105"/>
        </w:rPr>
        <w:t> </w:t>
      </w:r>
      <w:r>
        <w:rPr>
          <w:color w:val="231F20"/>
          <w:w w:val="105"/>
        </w:rPr>
        <w:t>glo- balizado</w:t>
      </w:r>
      <w:r>
        <w:rPr>
          <w:color w:val="231F20"/>
          <w:spacing w:val="-18"/>
          <w:w w:val="105"/>
        </w:rPr>
        <w:t> </w:t>
      </w:r>
      <w:r>
        <w:rPr>
          <w:color w:val="231F20"/>
          <w:w w:val="105"/>
        </w:rPr>
        <w:t>(Economía).</w:t>
      </w:r>
      <w:r>
        <w:rPr>
          <w:color w:val="231F20"/>
          <w:spacing w:val="-23"/>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campo</w:t>
      </w:r>
      <w:r>
        <w:rPr>
          <w:color w:val="231F20"/>
          <w:spacing w:val="-18"/>
          <w:w w:val="105"/>
        </w:rPr>
        <w:t> </w:t>
      </w:r>
      <w:r>
        <w:rPr>
          <w:color w:val="231F20"/>
          <w:w w:val="105"/>
        </w:rPr>
        <w:t>de</w:t>
      </w:r>
      <w:r>
        <w:rPr>
          <w:color w:val="231F20"/>
          <w:spacing w:val="-18"/>
          <w:w w:val="105"/>
        </w:rPr>
        <w:t> </w:t>
      </w:r>
      <w:r>
        <w:rPr>
          <w:color w:val="231F20"/>
          <w:w w:val="105"/>
        </w:rPr>
        <w:t>estudio</w:t>
      </w:r>
      <w:r>
        <w:rPr>
          <w:color w:val="231F20"/>
          <w:spacing w:val="-18"/>
          <w:w w:val="105"/>
        </w:rPr>
        <w:t> </w:t>
      </w:r>
      <w:r>
        <w:rPr>
          <w:color w:val="231F20"/>
          <w:w w:val="105"/>
        </w:rPr>
        <w:t>inter</w:t>
      </w:r>
      <w:r>
        <w:rPr>
          <w:color w:val="231F20"/>
          <w:spacing w:val="-18"/>
          <w:w w:val="105"/>
        </w:rPr>
        <w:t> </w:t>
      </w:r>
      <w:r>
        <w:rPr>
          <w:color w:val="231F20"/>
          <w:w w:val="105"/>
        </w:rPr>
        <w:t>y</w:t>
      </w:r>
      <w:r>
        <w:rPr>
          <w:color w:val="231F20"/>
          <w:spacing w:val="-18"/>
          <w:w w:val="105"/>
        </w:rPr>
        <w:t> </w:t>
      </w:r>
      <w:r>
        <w:rPr>
          <w:color w:val="231F20"/>
          <w:w w:val="105"/>
        </w:rPr>
        <w:t>transdisciplinario</w:t>
      </w:r>
      <w:r>
        <w:rPr>
          <w:color w:val="231F20"/>
          <w:spacing w:val="-18"/>
          <w:w w:val="105"/>
        </w:rPr>
        <w:t> </w:t>
      </w:r>
      <w:r>
        <w:rPr>
          <w:color w:val="231F20"/>
          <w:w w:val="105"/>
        </w:rPr>
        <w:t>de las</w:t>
      </w:r>
      <w:r>
        <w:rPr>
          <w:color w:val="231F20"/>
          <w:spacing w:val="-12"/>
          <w:w w:val="105"/>
        </w:rPr>
        <w:t> </w:t>
      </w:r>
      <w:r>
        <w:rPr>
          <w:color w:val="231F20"/>
          <w:w w:val="105"/>
        </w:rPr>
        <w:t>migraciones</w:t>
      </w:r>
      <w:r>
        <w:rPr>
          <w:color w:val="231F20"/>
          <w:spacing w:val="-12"/>
          <w:w w:val="105"/>
        </w:rPr>
        <w:t> </w:t>
      </w:r>
      <w:r>
        <w:rPr>
          <w:color w:val="231F20"/>
          <w:w w:val="105"/>
        </w:rPr>
        <w:t>internacionales</w:t>
      </w:r>
      <w:r>
        <w:rPr>
          <w:color w:val="231F20"/>
          <w:spacing w:val="-12"/>
          <w:w w:val="105"/>
        </w:rPr>
        <w:t> </w:t>
      </w:r>
      <w:r>
        <w:rPr>
          <w:color w:val="231F20"/>
          <w:w w:val="105"/>
        </w:rPr>
        <w:t>es</w:t>
      </w:r>
      <w:r>
        <w:rPr>
          <w:color w:val="231F20"/>
          <w:spacing w:val="-12"/>
          <w:w w:val="105"/>
        </w:rPr>
        <w:t> </w:t>
      </w:r>
      <w:r>
        <w:rPr>
          <w:color w:val="231F20"/>
          <w:w w:val="105"/>
        </w:rPr>
        <w:t>innegable</w:t>
      </w:r>
      <w:r>
        <w:rPr>
          <w:color w:val="231F20"/>
          <w:spacing w:val="-12"/>
          <w:w w:val="105"/>
        </w:rPr>
        <w:t> </w:t>
      </w:r>
      <w:r>
        <w:rPr>
          <w:color w:val="231F20"/>
          <w:w w:val="105"/>
        </w:rPr>
        <w:t>la</w:t>
      </w:r>
      <w:r>
        <w:rPr>
          <w:color w:val="231F20"/>
          <w:spacing w:val="-12"/>
          <w:w w:val="105"/>
        </w:rPr>
        <w:t> </w:t>
      </w:r>
      <w:r>
        <w:rPr>
          <w:color w:val="231F20"/>
          <w:w w:val="105"/>
        </w:rPr>
        <w:t>participación</w:t>
      </w:r>
      <w:r>
        <w:rPr>
          <w:color w:val="231F20"/>
          <w:spacing w:val="-12"/>
          <w:w w:val="105"/>
        </w:rPr>
        <w:t> </w:t>
      </w:r>
      <w:r>
        <w:rPr>
          <w:color w:val="231F20"/>
          <w:w w:val="105"/>
        </w:rPr>
        <w:t>de</w:t>
      </w:r>
      <w:r>
        <w:rPr>
          <w:color w:val="231F20"/>
          <w:spacing w:val="-12"/>
          <w:w w:val="105"/>
        </w:rPr>
        <w:t> </w:t>
      </w:r>
      <w:r>
        <w:rPr>
          <w:color w:val="231F20"/>
          <w:w w:val="105"/>
        </w:rPr>
        <w:t>actores de origen indígena. Actualmente “se reconoce que los indígenas tam- bién</w:t>
      </w:r>
      <w:r>
        <w:rPr>
          <w:color w:val="231F20"/>
          <w:spacing w:val="-4"/>
          <w:w w:val="105"/>
        </w:rPr>
        <w:t> </w:t>
      </w:r>
      <w:r>
        <w:rPr>
          <w:color w:val="231F20"/>
          <w:w w:val="105"/>
        </w:rPr>
        <w:t>están</w:t>
      </w:r>
      <w:r>
        <w:rPr>
          <w:color w:val="231F20"/>
          <w:spacing w:val="-4"/>
          <w:w w:val="105"/>
        </w:rPr>
        <w:t> </w:t>
      </w:r>
      <w:r>
        <w:rPr>
          <w:color w:val="231F20"/>
          <w:w w:val="105"/>
        </w:rPr>
        <w:t>presentes</w:t>
      </w:r>
      <w:r>
        <w:rPr>
          <w:color w:val="231F20"/>
          <w:spacing w:val="-4"/>
          <w:w w:val="105"/>
        </w:rPr>
        <w:t> </w:t>
      </w:r>
      <w:r>
        <w:rPr>
          <w:color w:val="231F20"/>
          <w:w w:val="105"/>
        </w:rPr>
        <w:t>en</w:t>
      </w:r>
      <w:r>
        <w:rPr>
          <w:color w:val="231F20"/>
          <w:spacing w:val="-4"/>
          <w:w w:val="105"/>
        </w:rPr>
        <w:t> </w:t>
      </w:r>
      <w:r>
        <w:rPr>
          <w:color w:val="231F20"/>
          <w:w w:val="105"/>
        </w:rPr>
        <w:t>todos</w:t>
      </w:r>
      <w:r>
        <w:rPr>
          <w:color w:val="231F20"/>
          <w:spacing w:val="-4"/>
          <w:w w:val="105"/>
        </w:rPr>
        <w:t> </w:t>
      </w:r>
      <w:r>
        <w:rPr>
          <w:color w:val="231F20"/>
          <w:w w:val="105"/>
        </w:rPr>
        <w:t>los</w:t>
      </w:r>
      <w:r>
        <w:rPr>
          <w:color w:val="231F20"/>
          <w:spacing w:val="-4"/>
          <w:w w:val="105"/>
        </w:rPr>
        <w:t> </w:t>
      </w:r>
      <w:r>
        <w:rPr>
          <w:color w:val="231F20"/>
          <w:w w:val="105"/>
        </w:rPr>
        <w:t>tipos</w:t>
      </w:r>
      <w:r>
        <w:rPr>
          <w:color w:val="231F20"/>
          <w:spacing w:val="-4"/>
          <w:w w:val="105"/>
        </w:rPr>
        <w:t> </w:t>
      </w:r>
      <w:r>
        <w:rPr>
          <w:color w:val="231F20"/>
          <w:w w:val="105"/>
        </w:rPr>
        <w:t>de</w:t>
      </w:r>
      <w:r>
        <w:rPr>
          <w:color w:val="231F20"/>
          <w:spacing w:val="-4"/>
          <w:w w:val="105"/>
        </w:rPr>
        <w:t> </w:t>
      </w:r>
      <w:r>
        <w:rPr>
          <w:color w:val="231F20"/>
          <w:w w:val="105"/>
        </w:rPr>
        <w:t>movilidad</w:t>
      </w:r>
      <w:r>
        <w:rPr>
          <w:color w:val="231F20"/>
          <w:spacing w:val="-4"/>
          <w:w w:val="105"/>
        </w:rPr>
        <w:t> </w:t>
      </w:r>
      <w:r>
        <w:rPr>
          <w:color w:val="231F20"/>
          <w:w w:val="105"/>
        </w:rPr>
        <w:t>territorial,</w:t>
      </w:r>
      <w:r>
        <w:rPr>
          <w:color w:val="231F20"/>
          <w:spacing w:val="-10"/>
          <w:w w:val="105"/>
        </w:rPr>
        <w:t> </w:t>
      </w:r>
      <w:r>
        <w:rPr>
          <w:color w:val="231F20"/>
          <w:w w:val="105"/>
        </w:rPr>
        <w:t>sea</w:t>
      </w:r>
      <w:r>
        <w:rPr>
          <w:color w:val="231F20"/>
          <w:spacing w:val="-4"/>
          <w:w w:val="105"/>
        </w:rPr>
        <w:t> </w:t>
      </w:r>
      <w:r>
        <w:rPr>
          <w:color w:val="231F20"/>
          <w:w w:val="105"/>
        </w:rPr>
        <w:t>per- manente o temporal, cíclica, pendular, estacional, o en los procesos de retorno”</w:t>
      </w:r>
      <w:r>
        <w:rPr>
          <w:color w:val="231F20"/>
          <w:spacing w:val="-15"/>
          <w:w w:val="105"/>
        </w:rPr>
        <w:t> </w:t>
      </w:r>
      <w:r>
        <w:rPr>
          <w:color w:val="231F20"/>
          <w:w w:val="105"/>
        </w:rPr>
        <w:t>(Del</w:t>
      </w:r>
      <w:r>
        <w:rPr>
          <w:color w:val="231F20"/>
          <w:spacing w:val="-15"/>
          <w:w w:val="105"/>
        </w:rPr>
        <w:t> </w:t>
      </w:r>
      <w:r>
        <w:rPr>
          <w:color w:val="231F20"/>
          <w:spacing w:val="-3"/>
          <w:w w:val="105"/>
        </w:rPr>
        <w:t>Popolo</w:t>
      </w:r>
      <w:r>
        <w:rPr>
          <w:color w:val="231F20"/>
          <w:spacing w:val="-15"/>
          <w:w w:val="105"/>
        </w:rPr>
        <w:t> </w:t>
      </w:r>
      <w:r>
        <w:rPr>
          <w:color w:val="231F20"/>
          <w:w w:val="105"/>
        </w:rPr>
        <w:t>y</w:t>
      </w:r>
      <w:r>
        <w:rPr>
          <w:color w:val="231F20"/>
          <w:spacing w:val="-15"/>
          <w:w w:val="105"/>
        </w:rPr>
        <w:t> </w:t>
      </w:r>
      <w:r>
        <w:rPr>
          <w:color w:val="231F20"/>
          <w:w w:val="105"/>
        </w:rPr>
        <w:t>Ribotta,</w:t>
      </w:r>
      <w:r>
        <w:rPr>
          <w:color w:val="231F20"/>
          <w:spacing w:val="-21"/>
          <w:w w:val="105"/>
        </w:rPr>
        <w:t> </w:t>
      </w:r>
      <w:r>
        <w:rPr>
          <w:color w:val="231F20"/>
          <w:w w:val="105"/>
        </w:rPr>
        <w:t>2011:</w:t>
      </w:r>
      <w:r>
        <w:rPr>
          <w:color w:val="231F20"/>
          <w:spacing w:val="-15"/>
          <w:w w:val="105"/>
        </w:rPr>
        <w:t> </w:t>
      </w:r>
      <w:r>
        <w:rPr>
          <w:color w:val="231F20"/>
          <w:w w:val="105"/>
        </w:rPr>
        <w:t>108).</w:t>
      </w:r>
      <w:r>
        <w:rPr>
          <w:color w:val="231F20"/>
          <w:spacing w:val="-21"/>
          <w:w w:val="105"/>
        </w:rPr>
        <w:t> </w:t>
      </w:r>
      <w:r>
        <w:rPr>
          <w:color w:val="231F20"/>
          <w:w w:val="105"/>
        </w:rPr>
        <w:t>Las</w:t>
      </w:r>
      <w:r>
        <w:rPr>
          <w:color w:val="231F20"/>
          <w:spacing w:val="-15"/>
          <w:w w:val="105"/>
        </w:rPr>
        <w:t> </w:t>
      </w:r>
      <w:r>
        <w:rPr>
          <w:color w:val="231F20"/>
          <w:w w:val="105"/>
        </w:rPr>
        <w:t>poblaciones</w:t>
      </w:r>
      <w:r>
        <w:rPr>
          <w:color w:val="231F20"/>
          <w:spacing w:val="-15"/>
          <w:w w:val="105"/>
        </w:rPr>
        <w:t> </w:t>
      </w:r>
      <w:r>
        <w:rPr>
          <w:color w:val="231F20"/>
          <w:w w:val="105"/>
        </w:rPr>
        <w:t>indígenas,</w:t>
      </w:r>
      <w:r>
        <w:rPr>
          <w:color w:val="231F20"/>
          <w:spacing w:val="-21"/>
          <w:w w:val="105"/>
        </w:rPr>
        <w:t> </w:t>
      </w:r>
      <w:r>
        <w:rPr>
          <w:color w:val="231F20"/>
          <w:w w:val="105"/>
        </w:rPr>
        <w:t>al igual</w:t>
      </w:r>
      <w:r>
        <w:rPr>
          <w:color w:val="231F20"/>
          <w:spacing w:val="-37"/>
          <w:w w:val="105"/>
        </w:rPr>
        <w:t> </w:t>
      </w:r>
      <w:r>
        <w:rPr>
          <w:color w:val="231F20"/>
          <w:w w:val="105"/>
        </w:rPr>
        <w:t>que</w:t>
      </w:r>
      <w:r>
        <w:rPr>
          <w:color w:val="231F20"/>
          <w:spacing w:val="-37"/>
          <w:w w:val="105"/>
        </w:rPr>
        <w:t> </w:t>
      </w:r>
      <w:r>
        <w:rPr>
          <w:color w:val="231F20"/>
          <w:w w:val="105"/>
        </w:rPr>
        <w:t>las</w:t>
      </w:r>
      <w:r>
        <w:rPr>
          <w:color w:val="231F20"/>
          <w:spacing w:val="-37"/>
          <w:w w:val="105"/>
        </w:rPr>
        <w:t> </w:t>
      </w:r>
      <w:r>
        <w:rPr>
          <w:color w:val="231F20"/>
          <w:w w:val="105"/>
        </w:rPr>
        <w:t>sociedades</w:t>
      </w:r>
      <w:r>
        <w:rPr>
          <w:color w:val="231F20"/>
          <w:spacing w:val="-37"/>
          <w:w w:val="105"/>
        </w:rPr>
        <w:t> </w:t>
      </w:r>
      <w:r>
        <w:rPr>
          <w:color w:val="231F20"/>
          <w:w w:val="105"/>
        </w:rPr>
        <w:t>mestizas,</w:t>
      </w:r>
      <w:r>
        <w:rPr>
          <w:color w:val="231F20"/>
          <w:spacing w:val="-40"/>
          <w:w w:val="105"/>
        </w:rPr>
        <w:t> </w:t>
      </w:r>
      <w:r>
        <w:rPr>
          <w:color w:val="231F20"/>
          <w:w w:val="105"/>
        </w:rPr>
        <w:t>también</w:t>
      </w:r>
      <w:r>
        <w:rPr>
          <w:color w:val="231F20"/>
          <w:spacing w:val="-37"/>
          <w:w w:val="105"/>
        </w:rPr>
        <w:t> </w:t>
      </w:r>
      <w:r>
        <w:rPr>
          <w:color w:val="231F20"/>
          <w:w w:val="105"/>
        </w:rPr>
        <w:t>se</w:t>
      </w:r>
      <w:r>
        <w:rPr>
          <w:color w:val="231F20"/>
          <w:spacing w:val="-37"/>
          <w:w w:val="105"/>
        </w:rPr>
        <w:t> </w:t>
      </w:r>
      <w:r>
        <w:rPr>
          <w:color w:val="231F20"/>
          <w:w w:val="105"/>
        </w:rPr>
        <w:t>mueven</w:t>
      </w:r>
      <w:r>
        <w:rPr>
          <w:color w:val="231F20"/>
          <w:spacing w:val="-37"/>
          <w:w w:val="105"/>
        </w:rPr>
        <w:t> </w:t>
      </w:r>
      <w:r>
        <w:rPr>
          <w:color w:val="231F20"/>
          <w:w w:val="105"/>
        </w:rPr>
        <w:t>y</w:t>
      </w:r>
      <w:r>
        <w:rPr>
          <w:color w:val="231F20"/>
          <w:spacing w:val="-37"/>
          <w:w w:val="105"/>
        </w:rPr>
        <w:t> </w:t>
      </w:r>
      <w:r>
        <w:rPr>
          <w:color w:val="231F20"/>
          <w:w w:val="105"/>
        </w:rPr>
        <w:t>esas</w:t>
      </w:r>
      <w:r>
        <w:rPr>
          <w:color w:val="231F20"/>
          <w:spacing w:val="-37"/>
          <w:w w:val="105"/>
        </w:rPr>
        <w:t> </w:t>
      </w:r>
      <w:r>
        <w:rPr>
          <w:color w:val="231F20"/>
          <w:w w:val="105"/>
        </w:rPr>
        <w:t>movilizacio- nes poseen rasgos particulares, pues el sentido de comunidad permea el</w:t>
      </w:r>
      <w:r>
        <w:rPr>
          <w:color w:val="231F20"/>
          <w:spacing w:val="-8"/>
          <w:w w:val="105"/>
        </w:rPr>
        <w:t> </w:t>
      </w:r>
      <w:r>
        <w:rPr>
          <w:color w:val="231F20"/>
          <w:w w:val="105"/>
        </w:rPr>
        <w:t>modo</w:t>
      </w:r>
      <w:r>
        <w:rPr>
          <w:color w:val="231F20"/>
          <w:spacing w:val="-8"/>
          <w:w w:val="105"/>
        </w:rPr>
        <w:t> </w:t>
      </w:r>
      <w:r>
        <w:rPr>
          <w:color w:val="231F20"/>
          <w:w w:val="105"/>
        </w:rPr>
        <w:t>en</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desplazan,</w:t>
      </w:r>
      <w:r>
        <w:rPr>
          <w:color w:val="231F20"/>
          <w:spacing w:val="-14"/>
          <w:w w:val="105"/>
        </w:rPr>
        <w:t> </w:t>
      </w:r>
      <w:r>
        <w:rPr>
          <w:color w:val="231F20"/>
          <w:w w:val="105"/>
        </w:rPr>
        <w:t>así</w:t>
      </w:r>
      <w:r>
        <w:rPr>
          <w:color w:val="231F20"/>
          <w:spacing w:val="-8"/>
          <w:w w:val="105"/>
        </w:rPr>
        <w:t> </w:t>
      </w:r>
      <w:r>
        <w:rPr>
          <w:color w:val="231F20"/>
          <w:w w:val="105"/>
        </w:rPr>
        <w:t>como</w:t>
      </w:r>
      <w:r>
        <w:rPr>
          <w:color w:val="231F20"/>
          <w:spacing w:val="-8"/>
          <w:w w:val="105"/>
        </w:rPr>
        <w:t> </w:t>
      </w:r>
      <w:r>
        <w:rPr>
          <w:color w:val="231F20"/>
          <w:w w:val="105"/>
        </w:rPr>
        <w:t>el</w:t>
      </w:r>
      <w:r>
        <w:rPr>
          <w:color w:val="231F20"/>
          <w:spacing w:val="-8"/>
          <w:w w:val="105"/>
        </w:rPr>
        <w:t> </w:t>
      </w:r>
      <w:r>
        <w:rPr>
          <w:color w:val="231F20"/>
          <w:w w:val="105"/>
        </w:rPr>
        <w:t>vínculo</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lugar</w:t>
      </w:r>
      <w:r>
        <w:rPr>
          <w:color w:val="231F20"/>
          <w:spacing w:val="-8"/>
          <w:w w:val="105"/>
        </w:rPr>
        <w:t> </w:t>
      </w:r>
      <w:r>
        <w:rPr>
          <w:color w:val="231F20"/>
          <w:w w:val="105"/>
        </w:rPr>
        <w:t>de</w:t>
      </w:r>
      <w:r>
        <w:rPr>
          <w:color w:val="231F20"/>
          <w:spacing w:val="-8"/>
          <w:w w:val="105"/>
        </w:rPr>
        <w:t> </w:t>
      </w:r>
      <w:r>
        <w:rPr>
          <w:color w:val="231F20"/>
          <w:w w:val="105"/>
        </w:rPr>
        <w:t>origen (territorio),</w:t>
      </w:r>
      <w:r>
        <w:rPr>
          <w:color w:val="231F20"/>
          <w:spacing w:val="-44"/>
          <w:w w:val="105"/>
        </w:rPr>
        <w:t> </w:t>
      </w:r>
      <w:r>
        <w:rPr>
          <w:color w:val="231F20"/>
          <w:w w:val="105"/>
        </w:rPr>
        <w:t>gracias</w:t>
      </w:r>
      <w:r>
        <w:rPr>
          <w:color w:val="231F20"/>
          <w:spacing w:val="-41"/>
          <w:w w:val="105"/>
        </w:rPr>
        <w:t> </w:t>
      </w:r>
      <w:r>
        <w:rPr>
          <w:color w:val="231F20"/>
          <w:w w:val="105"/>
        </w:rPr>
        <w:t>a</w:t>
      </w:r>
      <w:r>
        <w:rPr>
          <w:color w:val="231F20"/>
          <w:spacing w:val="-41"/>
          <w:w w:val="105"/>
        </w:rPr>
        <w:t> </w:t>
      </w:r>
      <w:r>
        <w:rPr>
          <w:color w:val="231F20"/>
          <w:w w:val="105"/>
        </w:rPr>
        <w:t>los</w:t>
      </w:r>
      <w:r>
        <w:rPr>
          <w:color w:val="231F20"/>
          <w:spacing w:val="-41"/>
          <w:w w:val="105"/>
        </w:rPr>
        <w:t> </w:t>
      </w:r>
      <w:r>
        <w:rPr>
          <w:color w:val="231F20"/>
          <w:w w:val="105"/>
        </w:rPr>
        <w:t>lazos</w:t>
      </w:r>
      <w:r>
        <w:rPr>
          <w:color w:val="231F20"/>
          <w:spacing w:val="-41"/>
          <w:w w:val="105"/>
        </w:rPr>
        <w:t> </w:t>
      </w:r>
      <w:r>
        <w:rPr>
          <w:color w:val="231F20"/>
          <w:w w:val="105"/>
        </w:rPr>
        <w:t>familiares</w:t>
      </w:r>
      <w:r>
        <w:rPr>
          <w:color w:val="231F20"/>
          <w:spacing w:val="-41"/>
          <w:w w:val="105"/>
        </w:rPr>
        <w:t> </w:t>
      </w:r>
      <w:r>
        <w:rPr>
          <w:color w:val="231F20"/>
          <w:w w:val="105"/>
        </w:rPr>
        <w:t>(Velasco,</w:t>
      </w:r>
      <w:r>
        <w:rPr>
          <w:color w:val="231F20"/>
          <w:spacing w:val="-44"/>
          <w:w w:val="105"/>
        </w:rPr>
        <w:t> </w:t>
      </w:r>
      <w:r>
        <w:rPr>
          <w:color w:val="231F20"/>
          <w:w w:val="105"/>
        </w:rPr>
        <w:t>2010)</w:t>
      </w:r>
      <w:r>
        <w:rPr>
          <w:color w:val="231F20"/>
          <w:spacing w:val="-41"/>
          <w:w w:val="105"/>
        </w:rPr>
        <w:t> </w:t>
      </w:r>
      <w:r>
        <w:rPr>
          <w:color w:val="231F20"/>
          <w:w w:val="105"/>
        </w:rPr>
        <w:t>y</w:t>
      </w:r>
      <w:r>
        <w:rPr>
          <w:color w:val="231F20"/>
          <w:spacing w:val="-41"/>
          <w:w w:val="105"/>
        </w:rPr>
        <w:t> </w:t>
      </w:r>
      <w:r>
        <w:rPr>
          <w:color w:val="231F20"/>
          <w:w w:val="105"/>
        </w:rPr>
        <w:t>a</w:t>
      </w:r>
      <w:r>
        <w:rPr>
          <w:color w:val="231F20"/>
          <w:spacing w:val="-41"/>
          <w:w w:val="105"/>
        </w:rPr>
        <w:t> </w:t>
      </w:r>
      <w:r>
        <w:rPr>
          <w:color w:val="231F20"/>
          <w:w w:val="105"/>
        </w:rPr>
        <w:t>las</w:t>
      </w:r>
      <w:r>
        <w:rPr>
          <w:color w:val="231F20"/>
          <w:spacing w:val="-41"/>
          <w:w w:val="105"/>
        </w:rPr>
        <w:t> </w:t>
      </w:r>
      <w:r>
        <w:rPr>
          <w:color w:val="231F20"/>
          <w:w w:val="105"/>
        </w:rPr>
        <w:t>tradiciones, costumbres,</w:t>
      </w:r>
      <w:r>
        <w:rPr>
          <w:color w:val="231F20"/>
          <w:spacing w:val="-35"/>
          <w:w w:val="105"/>
        </w:rPr>
        <w:t> </w:t>
      </w:r>
      <w:r>
        <w:rPr>
          <w:color w:val="231F20"/>
          <w:w w:val="105"/>
        </w:rPr>
        <w:t>festividades</w:t>
      </w:r>
      <w:r>
        <w:rPr>
          <w:color w:val="231F20"/>
          <w:spacing w:val="-32"/>
          <w:w w:val="105"/>
        </w:rPr>
        <w:t> </w:t>
      </w:r>
      <w:r>
        <w:rPr>
          <w:color w:val="231F20"/>
          <w:w w:val="105"/>
        </w:rPr>
        <w:t>y</w:t>
      </w:r>
      <w:r>
        <w:rPr>
          <w:color w:val="231F20"/>
          <w:spacing w:val="-32"/>
          <w:w w:val="105"/>
        </w:rPr>
        <w:t> </w:t>
      </w:r>
      <w:r>
        <w:rPr>
          <w:color w:val="231F20"/>
          <w:w w:val="105"/>
        </w:rPr>
        <w:t>ritualidades.</w:t>
      </w:r>
    </w:p>
    <w:p>
      <w:pPr>
        <w:pStyle w:val="BodyText"/>
        <w:spacing w:line="261" w:lineRule="auto" w:before="1"/>
        <w:ind w:left="1723" w:right="1828" w:firstLine="567"/>
        <w:jc w:val="both"/>
      </w:pPr>
      <w:r>
        <w:rPr>
          <w:color w:val="231F20"/>
          <w:w w:val="105"/>
        </w:rPr>
        <w:t>La cuantificación demográfica de población indígena en México sigue siendo tema de debate, por un lado porque los censos usan el indicador “hablante de lengua indígena” como referente de lo étnico.</w:t>
      </w:r>
    </w:p>
    <w:p>
      <w:pPr>
        <w:pStyle w:val="BodyText"/>
        <w:spacing w:before="8"/>
        <w:rPr>
          <w:sz w:val="10"/>
        </w:rPr>
      </w:pPr>
      <w:r>
        <w:rPr/>
        <w:pict>
          <v:line style="position:absolute;mso-position-horizontal-relative:page;mso-position-vertical-relative:paragraph;z-index:26152;mso-wrap-distance-left:0;mso-wrap-distance-right:0" from="86.1968pt,8.166326pt" to="199.5828pt,8.166326pt" stroked="true" strokeweight=".25pt" strokecolor="#231f20">
            <w10:wrap type="topAndBottom"/>
          </v:line>
        </w:pict>
      </w:r>
    </w:p>
    <w:p>
      <w:pPr>
        <w:spacing w:line="192" w:lineRule="exact" w:before="7"/>
        <w:ind w:left="1723" w:right="1835" w:firstLine="0"/>
        <w:jc w:val="both"/>
        <w:rPr>
          <w:rFonts w:ascii="Calibri" w:hAnsi="Calibri"/>
          <w:sz w:val="16"/>
        </w:rPr>
      </w:pPr>
      <w:r>
        <w:rPr>
          <w:rFonts w:ascii="Calibri" w:hAnsi="Calibri"/>
          <w:color w:val="414042"/>
          <w:w w:val="105"/>
          <w:position w:val="5"/>
          <w:sz w:val="9"/>
        </w:rPr>
        <w:t>3</w:t>
      </w:r>
      <w:r>
        <w:rPr>
          <w:rFonts w:ascii="Calibri" w:hAnsi="Calibri"/>
          <w:color w:val="414042"/>
          <w:spacing w:val="-4"/>
          <w:w w:val="105"/>
          <w:position w:val="5"/>
          <w:sz w:val="9"/>
        </w:rPr>
        <w:t> </w:t>
      </w:r>
      <w:r>
        <w:rPr>
          <w:rFonts w:ascii="Calibri" w:hAnsi="Calibri"/>
          <w:color w:val="414042"/>
          <w:w w:val="105"/>
          <w:sz w:val="16"/>
        </w:rPr>
        <w:t>Laura</w:t>
      </w:r>
      <w:r>
        <w:rPr>
          <w:rFonts w:ascii="Calibri" w:hAnsi="Calibri"/>
          <w:color w:val="414042"/>
          <w:spacing w:val="-23"/>
          <w:w w:val="105"/>
          <w:sz w:val="16"/>
        </w:rPr>
        <w:t> </w:t>
      </w:r>
      <w:r>
        <w:rPr>
          <w:rFonts w:ascii="Calibri" w:hAnsi="Calibri"/>
          <w:color w:val="414042"/>
          <w:w w:val="105"/>
          <w:sz w:val="16"/>
        </w:rPr>
        <w:t>Velasco</w:t>
      </w:r>
      <w:r>
        <w:rPr>
          <w:rFonts w:ascii="Calibri" w:hAnsi="Calibri"/>
          <w:color w:val="414042"/>
          <w:spacing w:val="-20"/>
          <w:w w:val="105"/>
          <w:sz w:val="16"/>
        </w:rPr>
        <w:t> </w:t>
      </w:r>
      <w:r>
        <w:rPr>
          <w:rFonts w:ascii="Calibri" w:hAnsi="Calibri"/>
          <w:color w:val="414042"/>
          <w:w w:val="105"/>
          <w:sz w:val="16"/>
        </w:rPr>
        <w:t>(2010)</w:t>
      </w:r>
      <w:r>
        <w:rPr>
          <w:rFonts w:ascii="Calibri" w:hAnsi="Calibri"/>
          <w:color w:val="414042"/>
          <w:spacing w:val="-20"/>
          <w:w w:val="105"/>
          <w:sz w:val="16"/>
        </w:rPr>
        <w:t> </w:t>
      </w:r>
      <w:r>
        <w:rPr>
          <w:rFonts w:ascii="Calibri" w:hAnsi="Calibri"/>
          <w:color w:val="414042"/>
          <w:w w:val="105"/>
          <w:sz w:val="16"/>
        </w:rPr>
        <w:t>desarrolla</w:t>
      </w:r>
      <w:r>
        <w:rPr>
          <w:rFonts w:ascii="Calibri" w:hAnsi="Calibri"/>
          <w:color w:val="414042"/>
          <w:spacing w:val="-20"/>
          <w:w w:val="105"/>
          <w:sz w:val="16"/>
        </w:rPr>
        <w:t> </w:t>
      </w:r>
      <w:r>
        <w:rPr>
          <w:rFonts w:ascii="Calibri" w:hAnsi="Calibri"/>
          <w:color w:val="414042"/>
          <w:w w:val="105"/>
          <w:sz w:val="16"/>
        </w:rPr>
        <w:t>el</w:t>
      </w:r>
      <w:r>
        <w:rPr>
          <w:rFonts w:ascii="Calibri" w:hAnsi="Calibri"/>
          <w:color w:val="414042"/>
          <w:spacing w:val="-20"/>
          <w:w w:val="105"/>
          <w:sz w:val="16"/>
        </w:rPr>
        <w:t> </w:t>
      </w:r>
      <w:r>
        <w:rPr>
          <w:rFonts w:ascii="Calibri" w:hAnsi="Calibri"/>
          <w:color w:val="414042"/>
          <w:w w:val="105"/>
          <w:sz w:val="16"/>
        </w:rPr>
        <w:t>concepto</w:t>
      </w:r>
      <w:r>
        <w:rPr>
          <w:rFonts w:ascii="Calibri" w:hAnsi="Calibri"/>
          <w:color w:val="414042"/>
          <w:spacing w:val="-20"/>
          <w:w w:val="105"/>
          <w:sz w:val="16"/>
        </w:rPr>
        <w:t> </w:t>
      </w:r>
      <w:r>
        <w:rPr>
          <w:rFonts w:ascii="Calibri" w:hAnsi="Calibri"/>
          <w:color w:val="414042"/>
          <w:w w:val="105"/>
          <w:sz w:val="16"/>
        </w:rPr>
        <w:t>configuración</w:t>
      </w:r>
      <w:r>
        <w:rPr>
          <w:rFonts w:ascii="Calibri" w:hAnsi="Calibri"/>
          <w:color w:val="414042"/>
          <w:spacing w:val="-20"/>
          <w:w w:val="105"/>
          <w:sz w:val="16"/>
        </w:rPr>
        <w:t> </w:t>
      </w:r>
      <w:r>
        <w:rPr>
          <w:rFonts w:ascii="Calibri" w:hAnsi="Calibri"/>
          <w:color w:val="414042"/>
          <w:w w:val="105"/>
          <w:sz w:val="16"/>
        </w:rPr>
        <w:t>étnica</w:t>
      </w:r>
      <w:r>
        <w:rPr>
          <w:rFonts w:ascii="Calibri" w:hAnsi="Calibri"/>
          <w:color w:val="414042"/>
          <w:spacing w:val="-20"/>
          <w:w w:val="105"/>
          <w:sz w:val="16"/>
        </w:rPr>
        <w:t> </w:t>
      </w:r>
      <w:r>
        <w:rPr>
          <w:rFonts w:ascii="Calibri" w:hAnsi="Calibri"/>
          <w:color w:val="414042"/>
          <w:w w:val="105"/>
          <w:sz w:val="16"/>
        </w:rPr>
        <w:t>transnacional</w:t>
      </w:r>
      <w:r>
        <w:rPr>
          <w:rFonts w:ascii="Calibri" w:hAnsi="Calibri"/>
          <w:color w:val="414042"/>
          <w:spacing w:val="-20"/>
          <w:w w:val="105"/>
          <w:sz w:val="16"/>
        </w:rPr>
        <w:t> </w:t>
      </w:r>
      <w:r>
        <w:rPr>
          <w:rFonts w:ascii="Calibri" w:hAnsi="Calibri"/>
          <w:color w:val="414042"/>
          <w:w w:val="105"/>
          <w:sz w:val="16"/>
        </w:rPr>
        <w:t>como</w:t>
      </w:r>
      <w:r>
        <w:rPr>
          <w:rFonts w:ascii="Calibri" w:hAnsi="Calibri"/>
          <w:color w:val="414042"/>
          <w:spacing w:val="-20"/>
          <w:w w:val="105"/>
          <w:sz w:val="16"/>
        </w:rPr>
        <w:t> </w:t>
      </w:r>
      <w:r>
        <w:rPr>
          <w:rFonts w:ascii="Calibri" w:hAnsi="Calibri"/>
          <w:color w:val="414042"/>
          <w:w w:val="105"/>
          <w:sz w:val="16"/>
        </w:rPr>
        <w:t>categoría</w:t>
      </w:r>
      <w:r>
        <w:rPr>
          <w:rFonts w:ascii="Calibri" w:hAnsi="Calibri"/>
          <w:color w:val="414042"/>
          <w:spacing w:val="-20"/>
          <w:w w:val="105"/>
          <w:sz w:val="16"/>
        </w:rPr>
        <w:t> </w:t>
      </w:r>
      <w:r>
        <w:rPr>
          <w:rFonts w:ascii="Calibri" w:hAnsi="Calibri"/>
          <w:color w:val="414042"/>
          <w:w w:val="105"/>
          <w:sz w:val="16"/>
        </w:rPr>
        <w:t>analítica para</w:t>
      </w:r>
      <w:r>
        <w:rPr>
          <w:rFonts w:ascii="Calibri" w:hAnsi="Calibri"/>
          <w:color w:val="414042"/>
          <w:spacing w:val="-11"/>
          <w:w w:val="105"/>
          <w:sz w:val="16"/>
        </w:rPr>
        <w:t> </w:t>
      </w:r>
      <w:r>
        <w:rPr>
          <w:rFonts w:ascii="Calibri" w:hAnsi="Calibri"/>
          <w:color w:val="414042"/>
          <w:w w:val="105"/>
          <w:sz w:val="16"/>
        </w:rPr>
        <w:t>estudiar</w:t>
      </w:r>
      <w:r>
        <w:rPr>
          <w:rFonts w:ascii="Calibri" w:hAnsi="Calibri"/>
          <w:color w:val="414042"/>
          <w:spacing w:val="-11"/>
          <w:w w:val="105"/>
          <w:sz w:val="16"/>
        </w:rPr>
        <w:t> </w:t>
      </w:r>
      <w:r>
        <w:rPr>
          <w:rFonts w:ascii="Calibri" w:hAnsi="Calibri"/>
          <w:color w:val="414042"/>
          <w:w w:val="105"/>
          <w:sz w:val="16"/>
        </w:rPr>
        <w:t>la</w:t>
      </w:r>
      <w:r>
        <w:rPr>
          <w:rFonts w:ascii="Calibri" w:hAnsi="Calibri"/>
          <w:color w:val="414042"/>
          <w:spacing w:val="-11"/>
          <w:w w:val="105"/>
          <w:sz w:val="16"/>
        </w:rPr>
        <w:t> </w:t>
      </w:r>
      <w:r>
        <w:rPr>
          <w:rFonts w:ascii="Calibri" w:hAnsi="Calibri"/>
          <w:color w:val="414042"/>
          <w:w w:val="105"/>
          <w:sz w:val="16"/>
        </w:rPr>
        <w:t>constitución</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las</w:t>
      </w:r>
      <w:r>
        <w:rPr>
          <w:rFonts w:ascii="Calibri" w:hAnsi="Calibri"/>
          <w:color w:val="414042"/>
          <w:spacing w:val="-11"/>
          <w:w w:val="105"/>
          <w:sz w:val="16"/>
        </w:rPr>
        <w:t> </w:t>
      </w:r>
      <w:r>
        <w:rPr>
          <w:rFonts w:ascii="Calibri" w:hAnsi="Calibri"/>
          <w:color w:val="414042"/>
          <w:w w:val="105"/>
          <w:sz w:val="16"/>
        </w:rPr>
        <w:t>identidades</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migrantes</w:t>
      </w:r>
      <w:r>
        <w:rPr>
          <w:rFonts w:ascii="Calibri" w:hAnsi="Calibri"/>
          <w:color w:val="414042"/>
          <w:spacing w:val="-11"/>
          <w:w w:val="105"/>
          <w:sz w:val="16"/>
        </w:rPr>
        <w:t> </w:t>
      </w:r>
      <w:r>
        <w:rPr>
          <w:rFonts w:ascii="Calibri" w:hAnsi="Calibri"/>
          <w:color w:val="414042"/>
          <w:w w:val="105"/>
          <w:sz w:val="16"/>
        </w:rPr>
        <w:t>en</w:t>
      </w:r>
      <w:r>
        <w:rPr>
          <w:rFonts w:ascii="Calibri" w:hAnsi="Calibri"/>
          <w:color w:val="414042"/>
          <w:spacing w:val="-11"/>
          <w:w w:val="105"/>
          <w:sz w:val="16"/>
        </w:rPr>
        <w:t> </w:t>
      </w:r>
      <w:r>
        <w:rPr>
          <w:rFonts w:ascii="Calibri" w:hAnsi="Calibri"/>
          <w:color w:val="414042"/>
          <w:w w:val="105"/>
          <w:sz w:val="16"/>
        </w:rPr>
        <w:t>el</w:t>
      </w:r>
      <w:r>
        <w:rPr>
          <w:rFonts w:ascii="Calibri" w:hAnsi="Calibri"/>
          <w:color w:val="414042"/>
          <w:spacing w:val="-11"/>
          <w:w w:val="105"/>
          <w:sz w:val="16"/>
        </w:rPr>
        <w:t> </w:t>
      </w:r>
      <w:r>
        <w:rPr>
          <w:rFonts w:ascii="Calibri" w:hAnsi="Calibri"/>
          <w:color w:val="414042"/>
          <w:w w:val="105"/>
          <w:sz w:val="16"/>
        </w:rPr>
        <w:t>marco</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múltiples</w:t>
      </w:r>
      <w:r>
        <w:rPr>
          <w:rFonts w:ascii="Calibri" w:hAnsi="Calibri"/>
          <w:color w:val="414042"/>
          <w:spacing w:val="-11"/>
          <w:w w:val="105"/>
          <w:sz w:val="16"/>
        </w:rPr>
        <w:t> </w:t>
      </w:r>
      <w:r>
        <w:rPr>
          <w:rFonts w:ascii="Calibri" w:hAnsi="Calibri"/>
          <w:color w:val="414042"/>
          <w:w w:val="105"/>
          <w:sz w:val="16"/>
        </w:rPr>
        <w:t>sistemas</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clasi- ficación</w:t>
      </w:r>
      <w:r>
        <w:rPr>
          <w:rFonts w:ascii="Calibri" w:hAnsi="Calibri"/>
          <w:color w:val="414042"/>
          <w:spacing w:val="-14"/>
          <w:w w:val="105"/>
          <w:sz w:val="16"/>
        </w:rPr>
        <w:t> </w:t>
      </w:r>
      <w:r>
        <w:rPr>
          <w:rFonts w:ascii="Calibri" w:hAnsi="Calibri"/>
          <w:color w:val="414042"/>
          <w:w w:val="105"/>
          <w:sz w:val="16"/>
        </w:rPr>
        <w:t>y</w:t>
      </w:r>
      <w:r>
        <w:rPr>
          <w:rFonts w:ascii="Calibri" w:hAnsi="Calibri"/>
          <w:color w:val="414042"/>
          <w:spacing w:val="-12"/>
          <w:w w:val="105"/>
          <w:sz w:val="16"/>
        </w:rPr>
        <w:t> </w:t>
      </w:r>
      <w:r>
        <w:rPr>
          <w:rFonts w:ascii="Calibri" w:hAnsi="Calibri"/>
          <w:color w:val="414042"/>
          <w:w w:val="105"/>
          <w:sz w:val="16"/>
        </w:rPr>
        <w:t>jerarquías</w:t>
      </w:r>
      <w:r>
        <w:rPr>
          <w:rFonts w:ascii="Calibri" w:hAnsi="Calibri"/>
          <w:color w:val="414042"/>
          <w:spacing w:val="-12"/>
          <w:w w:val="105"/>
          <w:sz w:val="16"/>
        </w:rPr>
        <w:t> </w:t>
      </w:r>
      <w:r>
        <w:rPr>
          <w:rFonts w:ascii="Calibri" w:hAnsi="Calibri"/>
          <w:color w:val="414042"/>
          <w:w w:val="105"/>
          <w:sz w:val="16"/>
        </w:rPr>
        <w:t>sociales</w:t>
      </w:r>
      <w:r>
        <w:rPr>
          <w:rFonts w:ascii="Calibri" w:hAnsi="Calibri"/>
          <w:color w:val="414042"/>
          <w:spacing w:val="-12"/>
          <w:w w:val="105"/>
          <w:sz w:val="16"/>
        </w:rPr>
        <w:t> </w:t>
      </w:r>
      <w:r>
        <w:rPr>
          <w:rFonts w:ascii="Calibri" w:hAnsi="Calibri"/>
          <w:color w:val="414042"/>
          <w:w w:val="105"/>
          <w:sz w:val="16"/>
        </w:rPr>
        <w:t>con</w:t>
      </w:r>
      <w:r>
        <w:rPr>
          <w:rFonts w:ascii="Calibri" w:hAnsi="Calibri"/>
          <w:color w:val="414042"/>
          <w:spacing w:val="-12"/>
          <w:w w:val="105"/>
          <w:sz w:val="16"/>
        </w:rPr>
        <w:t> </w:t>
      </w:r>
      <w:r>
        <w:rPr>
          <w:rFonts w:ascii="Calibri" w:hAnsi="Calibri"/>
          <w:color w:val="414042"/>
          <w:w w:val="105"/>
          <w:sz w:val="16"/>
        </w:rPr>
        <w:t>base</w:t>
      </w:r>
      <w:r>
        <w:rPr>
          <w:rFonts w:ascii="Calibri" w:hAnsi="Calibri"/>
          <w:color w:val="414042"/>
          <w:spacing w:val="-12"/>
          <w:w w:val="105"/>
          <w:sz w:val="16"/>
        </w:rPr>
        <w:t> </w:t>
      </w:r>
      <w:r>
        <w:rPr>
          <w:rFonts w:ascii="Calibri" w:hAnsi="Calibri"/>
          <w:color w:val="414042"/>
          <w:w w:val="105"/>
          <w:sz w:val="16"/>
        </w:rPr>
        <w:t>en</w:t>
      </w:r>
      <w:r>
        <w:rPr>
          <w:rFonts w:ascii="Calibri" w:hAnsi="Calibri"/>
          <w:color w:val="414042"/>
          <w:spacing w:val="-12"/>
          <w:w w:val="105"/>
          <w:sz w:val="16"/>
        </w:rPr>
        <w:t> </w:t>
      </w:r>
      <w:r>
        <w:rPr>
          <w:rFonts w:ascii="Calibri" w:hAnsi="Calibri"/>
          <w:color w:val="414042"/>
          <w:w w:val="105"/>
          <w:sz w:val="16"/>
        </w:rPr>
        <w:t>la</w:t>
      </w:r>
      <w:r>
        <w:rPr>
          <w:rFonts w:ascii="Calibri" w:hAnsi="Calibri"/>
          <w:color w:val="414042"/>
          <w:spacing w:val="-12"/>
          <w:w w:val="105"/>
          <w:sz w:val="16"/>
        </w:rPr>
        <w:t> </w:t>
      </w:r>
      <w:r>
        <w:rPr>
          <w:rFonts w:ascii="Calibri" w:hAnsi="Calibri"/>
          <w:color w:val="414042"/>
          <w:w w:val="105"/>
          <w:sz w:val="16"/>
        </w:rPr>
        <w:t>raza</w:t>
      </w:r>
      <w:r>
        <w:rPr>
          <w:rFonts w:ascii="Calibri" w:hAnsi="Calibri"/>
          <w:color w:val="414042"/>
          <w:spacing w:val="-14"/>
          <w:w w:val="105"/>
          <w:sz w:val="16"/>
        </w:rPr>
        <w:t> </w:t>
      </w:r>
      <w:r>
        <w:rPr>
          <w:rFonts w:ascii="Calibri" w:hAnsi="Calibri"/>
          <w:color w:val="414042"/>
          <w:w w:val="105"/>
          <w:sz w:val="16"/>
        </w:rPr>
        <w:t>y</w:t>
      </w:r>
      <w:r>
        <w:rPr>
          <w:rFonts w:ascii="Calibri" w:hAnsi="Calibri"/>
          <w:color w:val="414042"/>
          <w:spacing w:val="-12"/>
          <w:w w:val="105"/>
          <w:sz w:val="16"/>
        </w:rPr>
        <w:t> </w:t>
      </w:r>
      <w:r>
        <w:rPr>
          <w:rFonts w:ascii="Calibri" w:hAnsi="Calibri"/>
          <w:color w:val="414042"/>
          <w:w w:val="105"/>
          <w:sz w:val="16"/>
        </w:rPr>
        <w:t>la</w:t>
      </w:r>
      <w:r>
        <w:rPr>
          <w:rFonts w:ascii="Calibri" w:hAnsi="Calibri"/>
          <w:color w:val="414042"/>
          <w:spacing w:val="-12"/>
          <w:w w:val="105"/>
          <w:sz w:val="16"/>
        </w:rPr>
        <w:t> </w:t>
      </w:r>
      <w:r>
        <w:rPr>
          <w:rFonts w:ascii="Calibri" w:hAnsi="Calibri"/>
          <w:color w:val="414042"/>
          <w:w w:val="105"/>
          <w:sz w:val="16"/>
        </w:rPr>
        <w:t>etnicidad.</w:t>
      </w:r>
    </w:p>
    <w:p>
      <w:pPr>
        <w:pStyle w:val="BodyText"/>
        <w:rPr>
          <w:rFonts w:ascii="Calibri"/>
          <w:sz w:val="20"/>
        </w:rPr>
      </w:pPr>
    </w:p>
    <w:p>
      <w:pPr>
        <w:pStyle w:val="BodyText"/>
        <w:spacing w:before="10"/>
        <w:rPr>
          <w:rFonts w:ascii="Calibri"/>
          <w:sz w:val="25"/>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64008" from="131.551193pt,3.753715pt" to="131.551193pt,39.556114pt" stroked="true" strokeweight=".35pt" strokecolor="#231f20">
            <w10:wrap type="none"/>
          </v:line>
        </w:pict>
      </w:r>
      <w:r>
        <w:rPr/>
        <w:pict>
          <v:line style="position:absolute;mso-position-horizontal-relative:page;mso-position-vertical-relative:paragraph;z-index:-463936" from="15pt,39.555916pt" to="0pt,39.555916pt" stroked="true" strokeweight=".25pt" strokecolor="#000000">
            <w10:wrap type="none"/>
          </v:line>
        </w:pict>
      </w:r>
      <w:r>
        <w:rPr/>
        <w:pict>
          <v:line style="position:absolute;mso-position-horizontal-relative:page;mso-position-vertical-relative:paragraph;z-index:26272" from="508.890015pt,39.555916pt" to="523.890015pt,39.555916pt" stroked="true" strokeweight=".25pt" strokecolor="#000000">
            <w10:wrap type="none"/>
          </v:line>
        </w:pict>
      </w:r>
      <w:r>
        <w:rPr>
          <w:rFonts w:ascii="Arial" w:hAnsi="Arial"/>
          <w:color w:val="414042"/>
          <w:w w:val="105"/>
          <w:position w:val="-5"/>
          <w:sz w:val="20"/>
        </w:rPr>
        <w:t>212</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6320"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6344" from="15pt,-28.286539pt" to="0pt,-28.286539pt" stroked="true" strokeweight=".25pt" strokecolor="#000000">
            <w10:wrap type="none"/>
          </v:line>
        </w:pict>
      </w:r>
      <w:r>
        <w:rPr/>
        <w:pict>
          <v:line style="position:absolute;mso-position-horizontal-relative:page;mso-position-vertical-relative:paragraph;z-index:26368" from="508.890015pt,-28.286539pt" to="523.890015pt,-28.286539pt" stroked="true" strokeweight=".25pt" strokecolor="#000000">
            <w10:wrap type="none"/>
          </v:line>
        </w:pict>
      </w:r>
      <w:r>
        <w:rPr>
          <w:rFonts w:ascii="Arial"/>
          <w:color w:val="414042"/>
          <w:sz w:val="20"/>
        </w:rPr>
        <w:t>213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63792" from="15pt,715.487793pt" to="0pt,715.487793pt" stroked="true" strokeweight=".25pt" strokecolor="#000000">
            <w10:wrap type="none"/>
          </v:line>
        </w:pict>
      </w:r>
      <w:r>
        <w:rPr/>
        <w:pict>
          <v:line style="position:absolute;mso-position-horizontal-relative:page;mso-position-vertical-relative:page;z-index:26416" from="508.890015pt,715.487793pt" to="523.890015pt,715.487793pt" stroked="true" strokeweight=".25pt" strokecolor="#000000">
            <w10:wrap type="none"/>
          </v:line>
        </w:pict>
      </w:r>
    </w:p>
    <w:p>
      <w:pPr>
        <w:pStyle w:val="BodyText"/>
        <w:spacing w:line="261" w:lineRule="auto" w:before="177"/>
        <w:ind w:left="1837" w:right="1715"/>
        <w:jc w:val="both"/>
      </w:pPr>
      <w:r>
        <w:rPr>
          <w:color w:val="231F20"/>
          <w:spacing w:val="-6"/>
          <w:w w:val="105"/>
        </w:rPr>
        <w:t>Por </w:t>
      </w:r>
      <w:r>
        <w:rPr>
          <w:color w:val="231F20"/>
          <w:w w:val="105"/>
        </w:rPr>
        <w:t>otra parte, a pesar del componente de “autodefinición” o “autoads- cripción”</w:t>
      </w:r>
      <w:r>
        <w:rPr>
          <w:color w:val="231F20"/>
          <w:spacing w:val="-21"/>
          <w:w w:val="105"/>
        </w:rPr>
        <w:t> </w:t>
      </w:r>
      <w:r>
        <w:rPr>
          <w:color w:val="231F20"/>
          <w:w w:val="105"/>
        </w:rPr>
        <w:t>incorporado</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cuestionarios</w:t>
      </w:r>
      <w:r>
        <w:rPr>
          <w:color w:val="231F20"/>
          <w:spacing w:val="-21"/>
          <w:w w:val="105"/>
        </w:rPr>
        <w:t> </w:t>
      </w:r>
      <w:r>
        <w:rPr>
          <w:color w:val="231F20"/>
          <w:w w:val="105"/>
        </w:rPr>
        <w:t>censales</w:t>
      </w:r>
      <w:r>
        <w:rPr>
          <w:color w:val="231F20"/>
          <w:spacing w:val="-21"/>
          <w:w w:val="105"/>
        </w:rPr>
        <w:t> </w:t>
      </w:r>
      <w:r>
        <w:rPr>
          <w:color w:val="231F20"/>
          <w:w w:val="105"/>
        </w:rPr>
        <w:t>desde</w:t>
      </w:r>
      <w:r>
        <w:rPr>
          <w:color w:val="231F20"/>
          <w:spacing w:val="-21"/>
          <w:w w:val="105"/>
        </w:rPr>
        <w:t> </w:t>
      </w:r>
      <w:r>
        <w:rPr>
          <w:color w:val="231F20"/>
          <w:w w:val="105"/>
        </w:rPr>
        <w:t>1990,</w:t>
      </w:r>
      <w:r>
        <w:rPr>
          <w:color w:val="231F20"/>
          <w:spacing w:val="-27"/>
          <w:w w:val="105"/>
        </w:rPr>
        <w:t> </w:t>
      </w:r>
      <w:r>
        <w:rPr>
          <w:color w:val="231F20"/>
          <w:w w:val="105"/>
        </w:rPr>
        <w:t>es</w:t>
      </w:r>
      <w:r>
        <w:rPr>
          <w:color w:val="231F20"/>
          <w:spacing w:val="-21"/>
          <w:w w:val="105"/>
        </w:rPr>
        <w:t> </w:t>
      </w:r>
      <w:r>
        <w:rPr>
          <w:color w:val="231F20"/>
          <w:w w:val="105"/>
        </w:rPr>
        <w:t>indu- dable que el posicionamiento de los pueblos indígenas frente a las so- ciedades</w:t>
      </w:r>
      <w:r>
        <w:rPr>
          <w:color w:val="231F20"/>
          <w:spacing w:val="-7"/>
          <w:w w:val="105"/>
        </w:rPr>
        <w:t> </w:t>
      </w:r>
      <w:r>
        <w:rPr>
          <w:color w:val="231F20"/>
          <w:w w:val="105"/>
        </w:rPr>
        <w:t>mestizas</w:t>
      </w:r>
      <w:r>
        <w:rPr>
          <w:color w:val="231F20"/>
          <w:spacing w:val="-7"/>
          <w:w w:val="105"/>
        </w:rPr>
        <w:t> </w:t>
      </w:r>
      <w:r>
        <w:rPr>
          <w:color w:val="231F20"/>
          <w:w w:val="105"/>
        </w:rPr>
        <w:t>está</w:t>
      </w:r>
      <w:r>
        <w:rPr>
          <w:color w:val="231F20"/>
          <w:spacing w:val="-7"/>
          <w:w w:val="105"/>
        </w:rPr>
        <w:t> </w:t>
      </w:r>
      <w:r>
        <w:rPr>
          <w:color w:val="231F20"/>
          <w:w w:val="105"/>
        </w:rPr>
        <w:t>marcado</w:t>
      </w:r>
      <w:r>
        <w:rPr>
          <w:color w:val="231F20"/>
          <w:spacing w:val="-7"/>
          <w:w w:val="105"/>
        </w:rPr>
        <w:t> </w:t>
      </w:r>
      <w:r>
        <w:rPr>
          <w:color w:val="231F20"/>
          <w:w w:val="105"/>
        </w:rPr>
        <w:t>por</w:t>
      </w:r>
      <w:r>
        <w:rPr>
          <w:color w:val="231F20"/>
          <w:spacing w:val="-7"/>
          <w:w w:val="105"/>
        </w:rPr>
        <w:t> </w:t>
      </w:r>
      <w:r>
        <w:rPr>
          <w:color w:val="231F20"/>
          <w:w w:val="105"/>
        </w:rPr>
        <w:t>una</w:t>
      </w:r>
      <w:r>
        <w:rPr>
          <w:color w:val="231F20"/>
          <w:spacing w:val="-7"/>
          <w:w w:val="105"/>
        </w:rPr>
        <w:t> </w:t>
      </w:r>
      <w:r>
        <w:rPr>
          <w:color w:val="231F20"/>
          <w:w w:val="105"/>
        </w:rPr>
        <w:t>diferenciación</w:t>
      </w:r>
      <w:r>
        <w:rPr>
          <w:color w:val="231F20"/>
          <w:spacing w:val="-7"/>
          <w:w w:val="105"/>
        </w:rPr>
        <w:t> </w:t>
      </w:r>
      <w:r>
        <w:rPr>
          <w:color w:val="231F20"/>
          <w:w w:val="105"/>
        </w:rPr>
        <w:t>política</w:t>
      </w:r>
      <w:r>
        <w:rPr>
          <w:color w:val="231F20"/>
          <w:spacing w:val="-7"/>
          <w:w w:val="105"/>
        </w:rPr>
        <w:t> </w:t>
      </w:r>
      <w:r>
        <w:rPr>
          <w:color w:val="231F20"/>
          <w:w w:val="105"/>
        </w:rPr>
        <w:t>y</w:t>
      </w:r>
      <w:r>
        <w:rPr>
          <w:color w:val="231F20"/>
          <w:spacing w:val="-7"/>
          <w:w w:val="105"/>
        </w:rPr>
        <w:t> </w:t>
      </w:r>
      <w:r>
        <w:rPr>
          <w:color w:val="231F20"/>
          <w:w w:val="105"/>
        </w:rPr>
        <w:t>social fundada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racismo</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jerarquización.</w:t>
      </w:r>
      <w:r>
        <w:rPr>
          <w:color w:val="231F20"/>
          <w:spacing w:val="-23"/>
          <w:w w:val="105"/>
        </w:rPr>
        <w:t> </w:t>
      </w:r>
      <w:r>
        <w:rPr>
          <w:color w:val="231F20"/>
          <w:w w:val="105"/>
        </w:rPr>
        <w:t>Aunado</w:t>
      </w:r>
      <w:r>
        <w:rPr>
          <w:color w:val="231F20"/>
          <w:spacing w:val="-15"/>
          <w:w w:val="105"/>
        </w:rPr>
        <w:t> </w:t>
      </w:r>
      <w:r>
        <w:rPr>
          <w:color w:val="231F20"/>
          <w:w w:val="105"/>
        </w:rPr>
        <w:t>a</w:t>
      </w:r>
      <w:r>
        <w:rPr>
          <w:color w:val="231F20"/>
          <w:spacing w:val="-15"/>
          <w:w w:val="105"/>
        </w:rPr>
        <w:t> </w:t>
      </w:r>
      <w:r>
        <w:rPr>
          <w:color w:val="231F20"/>
          <w:w w:val="105"/>
        </w:rPr>
        <w:t>ello,</w:t>
      </w:r>
      <w:r>
        <w:rPr>
          <w:color w:val="231F20"/>
          <w:spacing w:val="-20"/>
          <w:w w:val="105"/>
        </w:rPr>
        <w:t> </w:t>
      </w:r>
      <w:r>
        <w:rPr>
          <w:color w:val="231F20"/>
          <w:w w:val="105"/>
        </w:rPr>
        <w:t>la</w:t>
      </w:r>
      <w:r>
        <w:rPr>
          <w:color w:val="231F20"/>
          <w:spacing w:val="-15"/>
          <w:w w:val="105"/>
        </w:rPr>
        <w:t> </w:t>
      </w:r>
      <w:r>
        <w:rPr>
          <w:color w:val="231F20"/>
          <w:w w:val="105"/>
        </w:rPr>
        <w:t>demarcación político-administrativa de los territorios que ocupan estas poblaciones impide</w:t>
      </w:r>
      <w:r>
        <w:rPr>
          <w:color w:val="231F20"/>
          <w:spacing w:val="-4"/>
          <w:w w:val="105"/>
        </w:rPr>
        <w:t> </w:t>
      </w:r>
      <w:r>
        <w:rPr>
          <w:color w:val="231F20"/>
          <w:w w:val="105"/>
        </w:rPr>
        <w:t>una</w:t>
      </w:r>
      <w:r>
        <w:rPr>
          <w:color w:val="231F20"/>
          <w:spacing w:val="-4"/>
          <w:w w:val="105"/>
        </w:rPr>
        <w:t> </w:t>
      </w:r>
      <w:r>
        <w:rPr>
          <w:color w:val="231F20"/>
          <w:w w:val="105"/>
        </w:rPr>
        <w:t>caracterización</w:t>
      </w:r>
      <w:r>
        <w:rPr>
          <w:color w:val="231F20"/>
          <w:spacing w:val="-4"/>
          <w:w w:val="105"/>
        </w:rPr>
        <w:t> </w:t>
      </w:r>
      <w:r>
        <w:rPr>
          <w:color w:val="231F20"/>
          <w:w w:val="105"/>
        </w:rPr>
        <w:t>más</w:t>
      </w:r>
      <w:r>
        <w:rPr>
          <w:color w:val="231F20"/>
          <w:spacing w:val="-4"/>
          <w:w w:val="105"/>
        </w:rPr>
        <w:t> </w:t>
      </w:r>
      <w:r>
        <w:rPr>
          <w:color w:val="231F20"/>
          <w:w w:val="105"/>
        </w:rPr>
        <w:t>allá</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límites</w:t>
      </w:r>
      <w:r>
        <w:rPr>
          <w:color w:val="231F20"/>
          <w:spacing w:val="-4"/>
          <w:w w:val="105"/>
        </w:rPr>
        <w:t> </w:t>
      </w:r>
      <w:r>
        <w:rPr>
          <w:color w:val="231F20"/>
          <w:w w:val="105"/>
        </w:rPr>
        <w:t>geográficos.</w:t>
      </w:r>
      <w:r>
        <w:rPr>
          <w:color w:val="231F20"/>
          <w:spacing w:val="-13"/>
          <w:w w:val="105"/>
        </w:rPr>
        <w:t> </w:t>
      </w:r>
      <w:r>
        <w:rPr>
          <w:color w:val="231F20"/>
          <w:spacing w:val="-7"/>
          <w:w w:val="105"/>
        </w:rPr>
        <w:t>Tal</w:t>
      </w:r>
      <w:r>
        <w:rPr>
          <w:color w:val="231F20"/>
          <w:spacing w:val="-4"/>
          <w:w w:val="105"/>
        </w:rPr>
        <w:t> </w:t>
      </w:r>
      <w:r>
        <w:rPr>
          <w:color w:val="231F20"/>
          <w:w w:val="105"/>
        </w:rPr>
        <w:t>es</w:t>
      </w:r>
      <w:r>
        <w:rPr>
          <w:color w:val="231F20"/>
          <w:spacing w:val="-4"/>
          <w:w w:val="105"/>
        </w:rPr>
        <w:t> </w:t>
      </w:r>
      <w:r>
        <w:rPr>
          <w:color w:val="231F20"/>
          <w:w w:val="105"/>
        </w:rPr>
        <w:t>el caso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mixtecos</w:t>
      </w:r>
      <w:r>
        <w:rPr>
          <w:color w:val="231F20"/>
          <w:spacing w:val="-10"/>
          <w:w w:val="105"/>
        </w:rPr>
        <w:t> </w:t>
      </w:r>
      <w:r>
        <w:rPr>
          <w:color w:val="231F20"/>
          <w:w w:val="105"/>
        </w:rPr>
        <w:t>quienes</w:t>
      </w:r>
      <w:r>
        <w:rPr>
          <w:color w:val="231F20"/>
          <w:spacing w:val="-10"/>
          <w:w w:val="105"/>
        </w:rPr>
        <w:t> </w:t>
      </w:r>
      <w:r>
        <w:rPr>
          <w:color w:val="231F20"/>
          <w:w w:val="105"/>
        </w:rPr>
        <w:t>se</w:t>
      </w:r>
      <w:r>
        <w:rPr>
          <w:color w:val="231F20"/>
          <w:spacing w:val="-10"/>
          <w:w w:val="105"/>
        </w:rPr>
        <w:t> </w:t>
      </w:r>
      <w:r>
        <w:rPr>
          <w:color w:val="231F20"/>
          <w:w w:val="105"/>
        </w:rPr>
        <w:t>encuentran</w:t>
      </w:r>
      <w:r>
        <w:rPr>
          <w:color w:val="231F20"/>
          <w:spacing w:val="-10"/>
          <w:w w:val="105"/>
        </w:rPr>
        <w:t> </w:t>
      </w:r>
      <w:r>
        <w:rPr>
          <w:color w:val="231F20"/>
          <w:w w:val="105"/>
        </w:rPr>
        <w:t>en</w:t>
      </w:r>
      <w:r>
        <w:rPr>
          <w:color w:val="231F20"/>
          <w:spacing w:val="-10"/>
          <w:w w:val="105"/>
        </w:rPr>
        <w:t> </w:t>
      </w:r>
      <w:r>
        <w:rPr>
          <w:color w:val="231F20"/>
          <w:w w:val="105"/>
        </w:rPr>
        <w:t>tres</w:t>
      </w:r>
      <w:r>
        <w:rPr>
          <w:color w:val="231F20"/>
          <w:spacing w:val="-10"/>
          <w:w w:val="105"/>
        </w:rPr>
        <w:t> </w:t>
      </w:r>
      <w:r>
        <w:rPr>
          <w:color w:val="231F20"/>
          <w:w w:val="105"/>
        </w:rPr>
        <w:t>entidades:</w:t>
      </w:r>
      <w:r>
        <w:rPr>
          <w:color w:val="231F20"/>
          <w:spacing w:val="-10"/>
          <w:w w:val="105"/>
        </w:rPr>
        <w:t> </w:t>
      </w:r>
      <w:r>
        <w:rPr>
          <w:color w:val="231F20"/>
          <w:w w:val="105"/>
        </w:rPr>
        <w:t>Oaxaca, Puebla</w:t>
      </w:r>
      <w:r>
        <w:rPr>
          <w:color w:val="231F20"/>
          <w:spacing w:val="-7"/>
          <w:w w:val="105"/>
        </w:rPr>
        <w:t> </w:t>
      </w:r>
      <w:r>
        <w:rPr>
          <w:color w:val="231F20"/>
          <w:w w:val="105"/>
        </w:rPr>
        <w:t>y</w:t>
      </w:r>
      <w:r>
        <w:rPr>
          <w:color w:val="231F20"/>
          <w:spacing w:val="-7"/>
          <w:w w:val="105"/>
        </w:rPr>
        <w:t> </w:t>
      </w:r>
      <w:r>
        <w:rPr>
          <w:color w:val="231F20"/>
          <w:w w:val="105"/>
        </w:rPr>
        <w:t>Guerrero</w:t>
      </w:r>
      <w:r>
        <w:rPr>
          <w:color w:val="231F20"/>
          <w:spacing w:val="-7"/>
          <w:w w:val="105"/>
        </w:rPr>
        <w:t> </w:t>
      </w:r>
      <w:r>
        <w:rPr>
          <w:color w:val="231F20"/>
          <w:w w:val="105"/>
        </w:rPr>
        <w:t>o</w:t>
      </w:r>
      <w:r>
        <w:rPr>
          <w:color w:val="231F20"/>
          <w:spacing w:val="-7"/>
          <w:w w:val="105"/>
        </w:rPr>
        <w:t> </w:t>
      </w:r>
      <w:r>
        <w:rPr>
          <w:color w:val="231F20"/>
          <w:w w:val="105"/>
        </w:rPr>
        <w:t>los</w:t>
      </w:r>
      <w:r>
        <w:rPr>
          <w:color w:val="231F20"/>
          <w:spacing w:val="-7"/>
          <w:w w:val="105"/>
        </w:rPr>
        <w:t> </w:t>
      </w:r>
      <w:r>
        <w:rPr>
          <w:color w:val="231F20"/>
          <w:w w:val="105"/>
        </w:rPr>
        <w:t>mayas</w:t>
      </w:r>
      <w:r>
        <w:rPr>
          <w:color w:val="231F20"/>
          <w:spacing w:val="-7"/>
          <w:w w:val="105"/>
        </w:rPr>
        <w:t> </w:t>
      </w:r>
      <w:r>
        <w:rPr>
          <w:color w:val="231F20"/>
          <w:w w:val="105"/>
        </w:rPr>
        <w:t>en:</w:t>
      </w:r>
      <w:r>
        <w:rPr>
          <w:color w:val="231F20"/>
          <w:spacing w:val="-7"/>
          <w:w w:val="105"/>
        </w:rPr>
        <w:t> </w:t>
      </w:r>
      <w:r>
        <w:rPr>
          <w:color w:val="231F20"/>
          <w:w w:val="105"/>
        </w:rPr>
        <w:t>Campeche,</w:t>
      </w:r>
      <w:r>
        <w:rPr>
          <w:color w:val="231F20"/>
          <w:spacing w:val="-11"/>
          <w:w w:val="105"/>
        </w:rPr>
        <w:t> </w:t>
      </w:r>
      <w:r>
        <w:rPr>
          <w:color w:val="231F20"/>
          <w:w w:val="105"/>
        </w:rPr>
        <w:t>Chiapas,</w:t>
      </w:r>
      <w:r>
        <w:rPr>
          <w:color w:val="231F20"/>
          <w:spacing w:val="-11"/>
          <w:w w:val="105"/>
        </w:rPr>
        <w:t> </w:t>
      </w:r>
      <w:r>
        <w:rPr>
          <w:color w:val="231F20"/>
          <w:w w:val="105"/>
        </w:rPr>
        <w:t>Quintana</w:t>
      </w:r>
      <w:r>
        <w:rPr>
          <w:color w:val="231F20"/>
          <w:spacing w:val="-7"/>
          <w:w w:val="105"/>
        </w:rPr>
        <w:t> </w:t>
      </w:r>
      <w:r>
        <w:rPr>
          <w:color w:val="231F20"/>
          <w:w w:val="105"/>
        </w:rPr>
        <w:t>Roo, </w:t>
      </w:r>
      <w:r>
        <w:rPr>
          <w:color w:val="231F20"/>
          <w:spacing w:val="-3"/>
        </w:rPr>
        <w:t>Tabasco </w:t>
      </w:r>
      <w:r>
        <w:rPr>
          <w:color w:val="231F20"/>
        </w:rPr>
        <w:t>y</w:t>
      </w:r>
      <w:r>
        <w:rPr>
          <w:color w:val="231F20"/>
          <w:spacing w:val="-18"/>
        </w:rPr>
        <w:t> </w:t>
      </w:r>
      <w:r>
        <w:rPr>
          <w:color w:val="231F20"/>
          <w:spacing w:val="-3"/>
        </w:rPr>
        <w:t>Yucatán.</w:t>
      </w:r>
    </w:p>
    <w:p>
      <w:pPr>
        <w:pStyle w:val="BodyText"/>
        <w:spacing w:line="261" w:lineRule="auto" w:before="1"/>
        <w:ind w:left="1837" w:right="1721" w:firstLine="567"/>
        <w:jc w:val="both"/>
      </w:pPr>
      <w:r>
        <w:rPr>
          <w:color w:val="231F20"/>
        </w:rPr>
        <w:t>Conocer dónde se ubican (espacialmente) los indígenas y cómo    se movilizan requiere romper con lugares comunes en los que se asocia   a lo indígena como netamente rural, “incivilizado”, grupos herméticos y monolingües. La dicotomía campo/ciudad ha contribuido con la propa- gación de estas concepciones. Ello explica </w:t>
      </w:r>
      <w:r>
        <w:rPr>
          <w:color w:val="231F20"/>
          <w:spacing w:val="51"/>
        </w:rPr>
        <w:t> </w:t>
      </w:r>
      <w:r>
        <w:rPr>
          <w:color w:val="231F20"/>
        </w:rPr>
        <w:t>que:</w:t>
      </w:r>
    </w:p>
    <w:p>
      <w:pPr>
        <w:pStyle w:val="BodyText"/>
        <w:spacing w:before="7"/>
        <w:rPr>
          <w:sz w:val="18"/>
        </w:rPr>
      </w:pPr>
    </w:p>
    <w:p>
      <w:pPr>
        <w:spacing w:line="254" w:lineRule="auto" w:before="1"/>
        <w:ind w:left="2971" w:right="1721" w:firstLine="0"/>
        <w:jc w:val="both"/>
        <w:rPr>
          <w:sz w:val="18"/>
        </w:rPr>
      </w:pPr>
      <w:r>
        <w:rPr>
          <w:color w:val="231F20"/>
          <w:sz w:val="18"/>
        </w:rPr>
        <w:t>por lo general, se asume que los pueblos indígenas (…) son eminen- temente rurales, idea asociada a la residencia en territorios ancestrales (</w:t>
      </w:r>
      <w:r>
        <w:rPr>
          <w:color w:val="231F20"/>
          <w:sz w:val="15"/>
        </w:rPr>
        <w:t>CEPAL</w:t>
      </w:r>
      <w:r>
        <w:rPr>
          <w:color w:val="231F20"/>
          <w:sz w:val="18"/>
        </w:rPr>
        <w:t>, 2006). Sin embargo, la creciente urbanización y las migraciones campo-ciudad también los han alcanzado, aunque con importantes di- ferencias respecto a los no indígenas en cuanto a las magnitudes re- lativas, causas, itinerarios, significados y consecuencias (Del Popolo y Ribotta, 2011: 109).</w:t>
      </w:r>
    </w:p>
    <w:p>
      <w:pPr>
        <w:pStyle w:val="BodyText"/>
        <w:spacing w:before="5"/>
      </w:pPr>
    </w:p>
    <w:p>
      <w:pPr>
        <w:pStyle w:val="BodyText"/>
        <w:spacing w:line="261" w:lineRule="auto"/>
        <w:ind w:left="1837" w:right="1721"/>
        <w:jc w:val="both"/>
      </w:pPr>
      <w:r>
        <w:rPr>
          <w:color w:val="231F20"/>
          <w:w w:val="105"/>
        </w:rPr>
        <w:t>La</w:t>
      </w:r>
      <w:r>
        <w:rPr>
          <w:color w:val="231F20"/>
          <w:spacing w:val="-21"/>
          <w:w w:val="105"/>
        </w:rPr>
        <w:t> </w:t>
      </w:r>
      <w:r>
        <w:rPr>
          <w:color w:val="231F20"/>
          <w:w w:val="105"/>
        </w:rPr>
        <w:t>dimensión</w:t>
      </w:r>
      <w:r>
        <w:rPr>
          <w:color w:val="231F20"/>
          <w:spacing w:val="-21"/>
          <w:w w:val="105"/>
        </w:rPr>
        <w:t> </w:t>
      </w:r>
      <w:r>
        <w:rPr>
          <w:color w:val="231F20"/>
          <w:w w:val="105"/>
        </w:rPr>
        <w:t>comunitaria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pueblos</w:t>
      </w:r>
      <w:r>
        <w:rPr>
          <w:color w:val="231F20"/>
          <w:spacing w:val="-21"/>
          <w:w w:val="105"/>
        </w:rPr>
        <w:t> </w:t>
      </w:r>
      <w:r>
        <w:rPr>
          <w:color w:val="231F20"/>
          <w:w w:val="105"/>
        </w:rPr>
        <w:t>indígenas</w:t>
      </w:r>
      <w:r>
        <w:rPr>
          <w:color w:val="231F20"/>
          <w:spacing w:val="-21"/>
          <w:w w:val="105"/>
        </w:rPr>
        <w:t> </w:t>
      </w:r>
      <w:r>
        <w:rPr>
          <w:color w:val="231F20"/>
          <w:w w:val="105"/>
        </w:rPr>
        <w:t>coloca</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migración (interna</w:t>
      </w:r>
      <w:r>
        <w:rPr>
          <w:color w:val="231F20"/>
          <w:spacing w:val="-22"/>
          <w:w w:val="105"/>
        </w:rPr>
        <w:t> </w:t>
      </w:r>
      <w:r>
        <w:rPr>
          <w:color w:val="231F20"/>
          <w:w w:val="105"/>
        </w:rPr>
        <w:t>e</w:t>
      </w:r>
      <w:r>
        <w:rPr>
          <w:color w:val="231F20"/>
          <w:spacing w:val="-22"/>
          <w:w w:val="105"/>
        </w:rPr>
        <w:t> </w:t>
      </w:r>
      <w:r>
        <w:rPr>
          <w:color w:val="231F20"/>
          <w:w w:val="105"/>
        </w:rPr>
        <w:t>internacional)</w:t>
      </w:r>
      <w:r>
        <w:rPr>
          <w:color w:val="231F20"/>
          <w:spacing w:val="-22"/>
          <w:w w:val="105"/>
        </w:rPr>
        <w:t> </w:t>
      </w:r>
      <w:r>
        <w:rPr>
          <w:color w:val="231F20"/>
          <w:w w:val="105"/>
        </w:rPr>
        <w:t>como</w:t>
      </w:r>
      <w:r>
        <w:rPr>
          <w:color w:val="231F20"/>
          <w:spacing w:val="-22"/>
          <w:w w:val="105"/>
        </w:rPr>
        <w:t> </w:t>
      </w:r>
      <w:r>
        <w:rPr>
          <w:color w:val="231F20"/>
          <w:w w:val="105"/>
        </w:rPr>
        <w:t>estrategia</w:t>
      </w:r>
      <w:r>
        <w:rPr>
          <w:color w:val="231F20"/>
          <w:spacing w:val="-22"/>
          <w:w w:val="105"/>
        </w:rPr>
        <w:t> </w:t>
      </w:r>
      <w:r>
        <w:rPr>
          <w:color w:val="231F20"/>
          <w:w w:val="105"/>
        </w:rPr>
        <w:t>de</w:t>
      </w:r>
      <w:r>
        <w:rPr>
          <w:color w:val="231F20"/>
          <w:spacing w:val="-22"/>
          <w:w w:val="105"/>
        </w:rPr>
        <w:t> </w:t>
      </w:r>
      <w:r>
        <w:rPr>
          <w:color w:val="231F20"/>
          <w:w w:val="105"/>
        </w:rPr>
        <w:t>apoyo</w:t>
      </w:r>
      <w:r>
        <w:rPr>
          <w:color w:val="231F20"/>
          <w:spacing w:val="-22"/>
          <w:w w:val="105"/>
        </w:rPr>
        <w:t> </w:t>
      </w:r>
      <w:r>
        <w:rPr>
          <w:color w:val="231F20"/>
          <w:w w:val="105"/>
        </w:rPr>
        <w:t>familiar,</w:t>
      </w:r>
      <w:r>
        <w:rPr>
          <w:color w:val="231F20"/>
          <w:spacing w:val="-27"/>
          <w:w w:val="105"/>
        </w:rPr>
        <w:t> </w:t>
      </w:r>
      <w:r>
        <w:rPr>
          <w:color w:val="231F20"/>
          <w:w w:val="105"/>
        </w:rPr>
        <w:t>donde</w:t>
      </w:r>
      <w:r>
        <w:rPr>
          <w:color w:val="231F20"/>
          <w:spacing w:val="-22"/>
          <w:w w:val="105"/>
        </w:rPr>
        <w:t> </w:t>
      </w:r>
      <w:r>
        <w:rPr>
          <w:color w:val="231F20"/>
          <w:w w:val="105"/>
        </w:rPr>
        <w:t>la</w:t>
      </w:r>
      <w:r>
        <w:rPr>
          <w:color w:val="231F20"/>
          <w:spacing w:val="-22"/>
          <w:w w:val="105"/>
        </w:rPr>
        <w:t> </w:t>
      </w:r>
      <w:r>
        <w:rPr>
          <w:color w:val="231F20"/>
          <w:w w:val="105"/>
        </w:rPr>
        <w:t>bús- queda</w:t>
      </w:r>
      <w:r>
        <w:rPr>
          <w:color w:val="231F20"/>
          <w:spacing w:val="-19"/>
          <w:w w:val="105"/>
        </w:rPr>
        <w:t> </w:t>
      </w:r>
      <w:r>
        <w:rPr>
          <w:color w:val="231F20"/>
          <w:w w:val="105"/>
        </w:rPr>
        <w:t>de</w:t>
      </w:r>
      <w:r>
        <w:rPr>
          <w:color w:val="231F20"/>
          <w:spacing w:val="-19"/>
          <w:w w:val="105"/>
        </w:rPr>
        <w:t> </w:t>
      </w:r>
      <w:r>
        <w:rPr>
          <w:color w:val="231F20"/>
          <w:w w:val="105"/>
        </w:rPr>
        <w:t>objetivos</w:t>
      </w:r>
      <w:r>
        <w:rPr>
          <w:color w:val="231F20"/>
          <w:spacing w:val="-19"/>
          <w:w w:val="105"/>
        </w:rPr>
        <w:t> </w:t>
      </w:r>
      <w:r>
        <w:rPr>
          <w:color w:val="231F20"/>
          <w:w w:val="105"/>
        </w:rPr>
        <w:t>comunes</w:t>
      </w:r>
      <w:r>
        <w:rPr>
          <w:color w:val="231F20"/>
          <w:spacing w:val="-19"/>
          <w:w w:val="105"/>
        </w:rPr>
        <w:t> </w:t>
      </w:r>
      <w:r>
        <w:rPr>
          <w:color w:val="231F20"/>
          <w:w w:val="105"/>
        </w:rPr>
        <w:t>guía</w:t>
      </w:r>
      <w:r>
        <w:rPr>
          <w:color w:val="231F20"/>
          <w:spacing w:val="-19"/>
          <w:w w:val="105"/>
        </w:rPr>
        <w:t> </w:t>
      </w:r>
      <w:r>
        <w:rPr>
          <w:color w:val="231F20"/>
          <w:w w:val="105"/>
        </w:rPr>
        <w:t>las</w:t>
      </w:r>
      <w:r>
        <w:rPr>
          <w:color w:val="231F20"/>
          <w:spacing w:val="-19"/>
          <w:w w:val="105"/>
        </w:rPr>
        <w:t> </w:t>
      </w:r>
      <w:r>
        <w:rPr>
          <w:color w:val="231F20"/>
          <w:w w:val="105"/>
        </w:rPr>
        <w:t>pericias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movilidad.</w:t>
      </w:r>
      <w:r>
        <w:rPr>
          <w:color w:val="231F20"/>
          <w:spacing w:val="-24"/>
          <w:w w:val="105"/>
        </w:rPr>
        <w:t> </w:t>
      </w:r>
      <w:r>
        <w:rPr>
          <w:color w:val="231F20"/>
          <w:w w:val="105"/>
        </w:rPr>
        <w:t>En</w:t>
      </w:r>
      <w:r>
        <w:rPr>
          <w:color w:val="231F20"/>
          <w:spacing w:val="-19"/>
          <w:w w:val="105"/>
        </w:rPr>
        <w:t> </w:t>
      </w:r>
      <w:r>
        <w:rPr>
          <w:color w:val="231F20"/>
          <w:w w:val="105"/>
        </w:rPr>
        <w:t>esta</w:t>
      </w:r>
      <w:r>
        <w:rPr>
          <w:color w:val="231F20"/>
          <w:spacing w:val="-19"/>
          <w:w w:val="105"/>
        </w:rPr>
        <w:t> </w:t>
      </w:r>
      <w:r>
        <w:rPr>
          <w:color w:val="231F20"/>
          <w:w w:val="105"/>
        </w:rPr>
        <w:t>ló- gica,</w:t>
      </w:r>
      <w:r>
        <w:rPr>
          <w:color w:val="231F20"/>
          <w:spacing w:val="-25"/>
          <w:w w:val="105"/>
        </w:rPr>
        <w:t> </w:t>
      </w:r>
      <w:r>
        <w:rPr>
          <w:color w:val="231F20"/>
          <w:w w:val="105"/>
        </w:rPr>
        <w:t>y</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contexto</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transformaciones</w:t>
      </w:r>
      <w:r>
        <w:rPr>
          <w:color w:val="231F20"/>
          <w:spacing w:val="-20"/>
          <w:w w:val="105"/>
        </w:rPr>
        <w:t> </w:t>
      </w:r>
      <w:r>
        <w:rPr>
          <w:color w:val="231F20"/>
          <w:w w:val="105"/>
        </w:rPr>
        <w:t>agrarias</w:t>
      </w:r>
      <w:r>
        <w:rPr>
          <w:color w:val="231F20"/>
          <w:spacing w:val="-20"/>
          <w:w w:val="105"/>
        </w:rPr>
        <w:t> </w:t>
      </w:r>
      <w:r>
        <w:rPr>
          <w:color w:val="231F20"/>
          <w:w w:val="105"/>
        </w:rPr>
        <w:t>de</w:t>
      </w:r>
      <w:r>
        <w:rPr>
          <w:color w:val="231F20"/>
          <w:spacing w:val="-20"/>
          <w:w w:val="105"/>
        </w:rPr>
        <w:t> </w:t>
      </w:r>
      <w:r>
        <w:rPr>
          <w:color w:val="231F20"/>
          <w:w w:val="105"/>
        </w:rPr>
        <w:t>1970</w:t>
      </w:r>
      <w:r>
        <w:rPr>
          <w:color w:val="231F20"/>
          <w:spacing w:val="-20"/>
          <w:w w:val="105"/>
        </w:rPr>
        <w:t> </w:t>
      </w:r>
      <w:r>
        <w:rPr>
          <w:color w:val="231F20"/>
          <w:w w:val="105"/>
        </w:rPr>
        <w:t>y</w:t>
      </w:r>
      <w:r>
        <w:rPr>
          <w:color w:val="231F20"/>
          <w:spacing w:val="-20"/>
          <w:w w:val="105"/>
        </w:rPr>
        <w:t> </w:t>
      </w:r>
      <w:r>
        <w:rPr>
          <w:color w:val="231F20"/>
          <w:w w:val="105"/>
        </w:rPr>
        <w:t>1980,</w:t>
      </w:r>
      <w:r>
        <w:rPr>
          <w:color w:val="231F20"/>
          <w:spacing w:val="-25"/>
          <w:w w:val="105"/>
        </w:rPr>
        <w:t> </w:t>
      </w:r>
      <w:r>
        <w:rPr>
          <w:color w:val="231F20"/>
          <w:w w:val="105"/>
        </w:rPr>
        <w:t>la migración</w:t>
      </w:r>
      <w:r>
        <w:rPr>
          <w:color w:val="231F20"/>
          <w:spacing w:val="-11"/>
          <w:w w:val="105"/>
        </w:rPr>
        <w:t> </w:t>
      </w:r>
      <w:r>
        <w:rPr>
          <w:color w:val="231F20"/>
          <w:w w:val="105"/>
        </w:rPr>
        <w:t>además</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estrategia</w:t>
      </w:r>
      <w:r>
        <w:rPr>
          <w:color w:val="231F20"/>
          <w:spacing w:val="-11"/>
          <w:w w:val="105"/>
        </w:rPr>
        <w:t> </w:t>
      </w:r>
      <w:r>
        <w:rPr>
          <w:color w:val="231F20"/>
          <w:w w:val="105"/>
        </w:rPr>
        <w:t>familiar</w:t>
      </w:r>
      <w:r>
        <w:rPr>
          <w:color w:val="231F20"/>
          <w:spacing w:val="-11"/>
          <w:w w:val="105"/>
        </w:rPr>
        <w:t> </w:t>
      </w:r>
      <w:r>
        <w:rPr>
          <w:color w:val="231F20"/>
          <w:w w:val="105"/>
        </w:rPr>
        <w:t>era</w:t>
      </w:r>
      <w:r>
        <w:rPr>
          <w:color w:val="231F20"/>
          <w:spacing w:val="-11"/>
          <w:w w:val="105"/>
        </w:rPr>
        <w:t> </w:t>
      </w:r>
      <w:r>
        <w:rPr>
          <w:color w:val="231F20"/>
          <w:w w:val="105"/>
        </w:rPr>
        <w:t>también</w:t>
      </w:r>
      <w:r>
        <w:rPr>
          <w:color w:val="231F20"/>
          <w:spacing w:val="-11"/>
          <w:w w:val="105"/>
        </w:rPr>
        <w:t> </w:t>
      </w:r>
      <w:r>
        <w:rPr>
          <w:color w:val="231F20"/>
          <w:w w:val="105"/>
        </w:rPr>
        <w:t>una</w:t>
      </w:r>
      <w:r>
        <w:rPr>
          <w:color w:val="231F20"/>
          <w:spacing w:val="-11"/>
          <w:w w:val="105"/>
        </w:rPr>
        <w:t> </w:t>
      </w:r>
      <w:r>
        <w:rPr>
          <w:color w:val="231F20"/>
          <w:w w:val="105"/>
        </w:rPr>
        <w:t>estrategia comunitaria-campesina de reproducción, es decir, unos salen para</w:t>
      </w:r>
      <w:r>
        <w:rPr>
          <w:color w:val="231F20"/>
          <w:spacing w:val="-13"/>
          <w:w w:val="105"/>
        </w:rPr>
        <w:t> </w:t>
      </w:r>
      <w:r>
        <w:rPr>
          <w:color w:val="231F20"/>
          <w:w w:val="105"/>
        </w:rPr>
        <w:t>que otros</w:t>
      </w:r>
      <w:r>
        <w:rPr>
          <w:color w:val="231F20"/>
          <w:spacing w:val="-17"/>
          <w:w w:val="105"/>
        </w:rPr>
        <w:t> </w:t>
      </w:r>
      <w:r>
        <w:rPr>
          <w:color w:val="231F20"/>
          <w:w w:val="105"/>
        </w:rPr>
        <w:t>sigan</w:t>
      </w:r>
      <w:r>
        <w:rPr>
          <w:color w:val="231F20"/>
          <w:spacing w:val="-17"/>
          <w:w w:val="105"/>
        </w:rPr>
        <w:t> </w:t>
      </w:r>
      <w:r>
        <w:rPr>
          <w:color w:val="231F20"/>
          <w:w w:val="105"/>
        </w:rPr>
        <w:t>siendo</w:t>
      </w:r>
      <w:r>
        <w:rPr>
          <w:color w:val="231F20"/>
          <w:spacing w:val="-17"/>
          <w:w w:val="105"/>
        </w:rPr>
        <w:t> </w:t>
      </w:r>
      <w:r>
        <w:rPr>
          <w:color w:val="231F20"/>
          <w:w w:val="105"/>
        </w:rPr>
        <w:t>campesinos</w:t>
      </w:r>
      <w:r>
        <w:rPr>
          <w:color w:val="231F20"/>
          <w:spacing w:val="-17"/>
          <w:w w:val="105"/>
        </w:rPr>
        <w:t> </w:t>
      </w:r>
      <w:r>
        <w:rPr>
          <w:color w:val="231F20"/>
          <w:w w:val="105"/>
        </w:rPr>
        <w:t>y</w:t>
      </w:r>
      <w:r>
        <w:rPr>
          <w:color w:val="231F20"/>
          <w:spacing w:val="-17"/>
          <w:w w:val="105"/>
        </w:rPr>
        <w:t> </w:t>
      </w:r>
      <w:r>
        <w:rPr>
          <w:color w:val="231F20"/>
          <w:w w:val="105"/>
        </w:rPr>
        <w:t>las</w:t>
      </w:r>
      <w:r>
        <w:rPr>
          <w:color w:val="231F20"/>
          <w:spacing w:val="-17"/>
          <w:w w:val="105"/>
        </w:rPr>
        <w:t> </w:t>
      </w:r>
      <w:r>
        <w:rPr>
          <w:color w:val="231F20"/>
          <w:w w:val="105"/>
        </w:rPr>
        <w:t>comunidades</w:t>
      </w:r>
      <w:r>
        <w:rPr>
          <w:color w:val="231F20"/>
          <w:spacing w:val="-17"/>
          <w:w w:val="105"/>
        </w:rPr>
        <w:t> </w:t>
      </w:r>
      <w:r>
        <w:rPr>
          <w:color w:val="231F20"/>
          <w:w w:val="105"/>
        </w:rPr>
        <w:t>sigan</w:t>
      </w:r>
      <w:r>
        <w:rPr>
          <w:color w:val="231F20"/>
          <w:spacing w:val="-17"/>
          <w:w w:val="105"/>
        </w:rPr>
        <w:t> </w:t>
      </w:r>
      <w:r>
        <w:rPr>
          <w:color w:val="231F20"/>
          <w:w w:val="105"/>
        </w:rPr>
        <w:t>siendo</w:t>
      </w:r>
      <w:r>
        <w:rPr>
          <w:color w:val="231F20"/>
          <w:spacing w:val="-17"/>
          <w:w w:val="105"/>
        </w:rPr>
        <w:t> </w:t>
      </w:r>
      <w:r>
        <w:rPr>
          <w:color w:val="231F20"/>
          <w:w w:val="105"/>
        </w:rPr>
        <w:t>el</w:t>
      </w:r>
      <w:r>
        <w:rPr>
          <w:color w:val="231F20"/>
          <w:spacing w:val="-17"/>
          <w:w w:val="105"/>
        </w:rPr>
        <w:t> </w:t>
      </w:r>
      <w:r>
        <w:rPr>
          <w:color w:val="231F20"/>
          <w:w w:val="105"/>
        </w:rPr>
        <w:t>eje</w:t>
      </w:r>
      <w:r>
        <w:rPr>
          <w:color w:val="231F20"/>
          <w:spacing w:val="-17"/>
          <w:w w:val="105"/>
        </w:rPr>
        <w:t> </w:t>
      </w:r>
      <w:r>
        <w:rPr>
          <w:color w:val="231F20"/>
          <w:w w:val="105"/>
        </w:rPr>
        <w:t>de referencia</w:t>
      </w:r>
      <w:r>
        <w:rPr>
          <w:color w:val="231F20"/>
          <w:spacing w:val="-17"/>
          <w:w w:val="105"/>
        </w:rPr>
        <w:t> </w:t>
      </w:r>
      <w:r>
        <w:rPr>
          <w:color w:val="231F20"/>
          <w:w w:val="105"/>
        </w:rPr>
        <w:t>cultural</w:t>
      </w:r>
      <w:r>
        <w:rPr>
          <w:color w:val="231F20"/>
          <w:spacing w:val="-17"/>
          <w:w w:val="105"/>
        </w:rPr>
        <w:t> </w:t>
      </w:r>
      <w:r>
        <w:rPr>
          <w:color w:val="231F20"/>
          <w:w w:val="105"/>
        </w:rPr>
        <w:t>para</w:t>
      </w:r>
      <w:r>
        <w:rPr>
          <w:color w:val="231F20"/>
          <w:spacing w:val="-17"/>
          <w:w w:val="105"/>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w w:val="105"/>
        </w:rPr>
        <w:t>migran</w:t>
      </w:r>
      <w:r>
        <w:rPr>
          <w:color w:val="231F20"/>
          <w:spacing w:val="-17"/>
          <w:w w:val="105"/>
        </w:rPr>
        <w:t> </w:t>
      </w:r>
      <w:r>
        <w:rPr>
          <w:color w:val="231F20"/>
          <w:w w:val="105"/>
        </w:rPr>
        <w:t>(Herrera,</w:t>
      </w:r>
      <w:r>
        <w:rPr>
          <w:color w:val="231F20"/>
          <w:spacing w:val="-21"/>
          <w:w w:val="105"/>
        </w:rPr>
        <w:t> </w:t>
      </w:r>
      <w:r>
        <w:rPr>
          <w:color w:val="231F20"/>
          <w:w w:val="105"/>
        </w:rPr>
        <w:t>2012).</w:t>
      </w:r>
      <w:r>
        <w:rPr>
          <w:color w:val="231F20"/>
          <w:spacing w:val="-21"/>
          <w:w w:val="105"/>
        </w:rPr>
        <w:t> </w:t>
      </w:r>
      <w:r>
        <w:rPr>
          <w:color w:val="231F20"/>
          <w:w w:val="105"/>
        </w:rPr>
        <w:t>Estos</w:t>
      </w:r>
      <w:r>
        <w:rPr>
          <w:color w:val="231F20"/>
          <w:spacing w:val="-17"/>
          <w:w w:val="105"/>
        </w:rPr>
        <w:t> </w:t>
      </w:r>
      <w:r>
        <w:rPr>
          <w:color w:val="231F20"/>
          <w:w w:val="105"/>
        </w:rPr>
        <w:t>elementos distintivos</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poblaciones</w:t>
      </w:r>
      <w:r>
        <w:rPr>
          <w:color w:val="231F20"/>
          <w:spacing w:val="-12"/>
          <w:w w:val="105"/>
        </w:rPr>
        <w:t> </w:t>
      </w:r>
      <w:r>
        <w:rPr>
          <w:color w:val="231F20"/>
          <w:w w:val="105"/>
        </w:rPr>
        <w:t>indígenas</w:t>
      </w:r>
      <w:r>
        <w:rPr>
          <w:color w:val="231F20"/>
          <w:spacing w:val="-12"/>
          <w:w w:val="105"/>
        </w:rPr>
        <w:t> </w:t>
      </w:r>
      <w:r>
        <w:rPr>
          <w:color w:val="231F20"/>
          <w:w w:val="105"/>
        </w:rPr>
        <w:t>suponen</w:t>
      </w:r>
      <w:r>
        <w:rPr>
          <w:color w:val="231F20"/>
          <w:spacing w:val="-12"/>
          <w:w w:val="105"/>
        </w:rPr>
        <w:t> </w:t>
      </w:r>
      <w:r>
        <w:rPr>
          <w:color w:val="231F20"/>
          <w:w w:val="105"/>
        </w:rPr>
        <w:t>formas</w:t>
      </w:r>
      <w:r>
        <w:rPr>
          <w:color w:val="231F20"/>
          <w:spacing w:val="-12"/>
          <w:w w:val="105"/>
        </w:rPr>
        <w:t> </w:t>
      </w:r>
      <w:r>
        <w:rPr>
          <w:color w:val="231F20"/>
          <w:w w:val="105"/>
        </w:rPr>
        <w:t>particulares</w:t>
      </w:r>
      <w:r>
        <w:rPr>
          <w:color w:val="231F20"/>
          <w:spacing w:val="-12"/>
          <w:w w:val="105"/>
        </w:rPr>
        <w:t> </w:t>
      </w:r>
      <w:r>
        <w:rPr>
          <w:color w:val="231F20"/>
          <w:w w:val="105"/>
        </w:rPr>
        <w:t>de organización social de la migración y de retorno “donde la vida se vive usando estrategias que articulan localidades situadas tanto en México como</w:t>
      </w:r>
      <w:r>
        <w:rPr>
          <w:color w:val="231F20"/>
          <w:spacing w:val="-29"/>
          <w:w w:val="105"/>
        </w:rPr>
        <w:t> </w:t>
      </w:r>
      <w:r>
        <w:rPr>
          <w:color w:val="231F20"/>
          <w:w w:val="105"/>
        </w:rPr>
        <w:t>en</w:t>
      </w:r>
      <w:r>
        <w:rPr>
          <w:color w:val="231F20"/>
          <w:spacing w:val="-29"/>
          <w:w w:val="105"/>
        </w:rPr>
        <w:t> </w:t>
      </w:r>
      <w:r>
        <w:rPr>
          <w:color w:val="231F20"/>
          <w:w w:val="105"/>
        </w:rPr>
        <w:t>Estados</w:t>
      </w:r>
      <w:r>
        <w:rPr>
          <w:color w:val="231F20"/>
          <w:spacing w:val="-29"/>
          <w:w w:val="105"/>
        </w:rPr>
        <w:t> </w:t>
      </w:r>
      <w:r>
        <w:rPr>
          <w:color w:val="231F20"/>
          <w:w w:val="105"/>
        </w:rPr>
        <w:t>Unidos”</w:t>
      </w:r>
      <w:r>
        <w:rPr>
          <w:color w:val="231F20"/>
          <w:spacing w:val="-29"/>
          <w:w w:val="105"/>
        </w:rPr>
        <w:t> </w:t>
      </w:r>
      <w:r>
        <w:rPr>
          <w:color w:val="231F20"/>
          <w:w w:val="105"/>
        </w:rPr>
        <w:t>(Besserer</w:t>
      </w:r>
      <w:r>
        <w:rPr>
          <w:color w:val="231F20"/>
          <w:spacing w:val="-29"/>
          <w:w w:val="105"/>
        </w:rPr>
        <w:t> </w:t>
      </w:r>
      <w:r>
        <w:rPr>
          <w:color w:val="231F20"/>
          <w:w w:val="105"/>
        </w:rPr>
        <w:t>y</w:t>
      </w:r>
      <w:r>
        <w:rPr>
          <w:color w:val="231F20"/>
          <w:spacing w:val="-29"/>
          <w:w w:val="105"/>
        </w:rPr>
        <w:t> </w:t>
      </w:r>
      <w:r>
        <w:rPr>
          <w:color w:val="231F20"/>
          <w:spacing w:val="-3"/>
          <w:w w:val="105"/>
        </w:rPr>
        <w:t>Kearney,</w:t>
      </w:r>
      <w:r>
        <w:rPr>
          <w:color w:val="231F20"/>
          <w:spacing w:val="-32"/>
          <w:w w:val="105"/>
        </w:rPr>
        <w:t> </w:t>
      </w:r>
      <w:r>
        <w:rPr>
          <w:color w:val="231F20"/>
          <w:w w:val="105"/>
        </w:rPr>
        <w:t>2006:</w:t>
      </w:r>
      <w:r>
        <w:rPr>
          <w:color w:val="231F20"/>
          <w:spacing w:val="-29"/>
          <w:w w:val="105"/>
        </w:rPr>
        <w:t> </w:t>
      </w:r>
      <w:r>
        <w:rPr>
          <w:color w:val="231F20"/>
          <w:w w:val="105"/>
        </w:rPr>
        <w:t>9).</w:t>
      </w:r>
    </w:p>
    <w:p>
      <w:pPr>
        <w:pStyle w:val="BodyText"/>
        <w:spacing w:line="261" w:lineRule="auto" w:before="1"/>
        <w:ind w:left="1837" w:right="1720" w:firstLine="567"/>
        <w:jc w:val="both"/>
      </w:pPr>
      <w:r>
        <w:rPr>
          <w:color w:val="231F20"/>
        </w:rPr>
        <w:t>En el estudio de las migraciones indígenas, las etnias que han con- centrado la atención no sólo por sus referentes históricos de movilidad interna e internacional, sino también por la conformación de comunida- des transnacionales</w:t>
      </w:r>
      <w:r>
        <w:rPr>
          <w:color w:val="231F20"/>
          <w:position w:val="7"/>
          <w:sz w:val="12"/>
        </w:rPr>
        <w:t>4  </w:t>
      </w:r>
      <w:r>
        <w:rPr>
          <w:color w:val="231F20"/>
        </w:rPr>
        <w:t>(estudiadas desde la antropología social y la    socio-</w:t>
      </w:r>
    </w:p>
    <w:p>
      <w:pPr>
        <w:pStyle w:val="BodyText"/>
        <w:spacing w:before="9"/>
        <w:rPr>
          <w:sz w:val="26"/>
        </w:rPr>
      </w:pPr>
      <w:r>
        <w:rPr/>
        <w:pict>
          <v:line style="position:absolute;mso-position-horizontal-relative:page;mso-position-vertical-relative:paragraph;z-index:26296;mso-wrap-distance-left:0;mso-wrap-distance-right:0" from="91.866096pt,17.265221pt" to="205.252096pt,17.265221pt" stroked="true" strokeweight=".25pt" strokecolor="#231f20">
            <w10:wrap type="topAndBottom"/>
          </v:line>
        </w:pict>
      </w:r>
    </w:p>
    <w:p>
      <w:pPr>
        <w:spacing w:line="192" w:lineRule="exact" w:before="7"/>
        <w:ind w:left="1837" w:right="1721" w:firstLine="0"/>
        <w:jc w:val="both"/>
        <w:rPr>
          <w:rFonts w:ascii="Calibri" w:hAnsi="Calibri"/>
          <w:sz w:val="16"/>
        </w:rPr>
      </w:pPr>
      <w:r>
        <w:rPr>
          <w:rFonts w:ascii="Calibri" w:hAnsi="Calibri"/>
          <w:color w:val="414042"/>
          <w:w w:val="105"/>
          <w:position w:val="5"/>
          <w:sz w:val="9"/>
        </w:rPr>
        <w:t>4</w:t>
      </w:r>
      <w:r>
        <w:rPr>
          <w:rFonts w:ascii="Calibri" w:hAnsi="Calibri"/>
          <w:color w:val="414042"/>
          <w:spacing w:val="10"/>
          <w:w w:val="105"/>
          <w:position w:val="5"/>
          <w:sz w:val="9"/>
        </w:rPr>
        <w:t> </w:t>
      </w:r>
      <w:r>
        <w:rPr>
          <w:rFonts w:ascii="Calibri" w:hAnsi="Calibri"/>
          <w:color w:val="414042"/>
          <w:w w:val="105"/>
          <w:sz w:val="16"/>
        </w:rPr>
        <w:t>Se</w:t>
      </w:r>
      <w:r>
        <w:rPr>
          <w:rFonts w:ascii="Calibri" w:hAnsi="Calibri"/>
          <w:color w:val="414042"/>
          <w:spacing w:val="-7"/>
          <w:w w:val="105"/>
          <w:sz w:val="16"/>
        </w:rPr>
        <w:t> </w:t>
      </w:r>
      <w:r>
        <w:rPr>
          <w:rFonts w:ascii="Calibri" w:hAnsi="Calibri"/>
          <w:color w:val="414042"/>
          <w:w w:val="105"/>
          <w:sz w:val="16"/>
        </w:rPr>
        <w:t>conocen</w:t>
      </w:r>
      <w:r>
        <w:rPr>
          <w:rFonts w:ascii="Calibri" w:hAnsi="Calibri"/>
          <w:color w:val="414042"/>
          <w:spacing w:val="-7"/>
          <w:w w:val="105"/>
          <w:sz w:val="16"/>
        </w:rPr>
        <w:t> </w:t>
      </w:r>
      <w:r>
        <w:rPr>
          <w:rFonts w:ascii="Calibri" w:hAnsi="Calibri"/>
          <w:color w:val="414042"/>
          <w:w w:val="105"/>
          <w:sz w:val="16"/>
        </w:rPr>
        <w:t>como</w:t>
      </w:r>
      <w:r>
        <w:rPr>
          <w:rFonts w:ascii="Calibri" w:hAnsi="Calibri"/>
          <w:color w:val="414042"/>
          <w:spacing w:val="-7"/>
          <w:w w:val="105"/>
          <w:sz w:val="16"/>
        </w:rPr>
        <w:t> </w:t>
      </w:r>
      <w:r>
        <w:rPr>
          <w:rFonts w:ascii="Calibri" w:hAnsi="Calibri"/>
          <w:color w:val="414042"/>
          <w:w w:val="105"/>
          <w:sz w:val="16"/>
        </w:rPr>
        <w:t>“comunidades</w:t>
      </w:r>
      <w:r>
        <w:rPr>
          <w:rFonts w:ascii="Calibri" w:hAnsi="Calibri"/>
          <w:color w:val="414042"/>
          <w:spacing w:val="-7"/>
          <w:w w:val="105"/>
          <w:sz w:val="16"/>
        </w:rPr>
        <w:t> </w:t>
      </w:r>
      <w:r>
        <w:rPr>
          <w:rFonts w:ascii="Calibri" w:hAnsi="Calibri"/>
          <w:color w:val="414042"/>
          <w:w w:val="105"/>
          <w:sz w:val="16"/>
        </w:rPr>
        <w:t>transnacionales”</w:t>
      </w:r>
      <w:r>
        <w:rPr>
          <w:rFonts w:ascii="Calibri" w:hAnsi="Calibri"/>
          <w:color w:val="414042"/>
          <w:spacing w:val="-7"/>
          <w:w w:val="105"/>
          <w:sz w:val="16"/>
        </w:rPr>
        <w:t> </w:t>
      </w:r>
      <w:r>
        <w:rPr>
          <w:rFonts w:ascii="Calibri" w:hAnsi="Calibri"/>
          <w:color w:val="414042"/>
          <w:w w:val="105"/>
          <w:sz w:val="16"/>
        </w:rPr>
        <w:t>a</w:t>
      </w:r>
      <w:r>
        <w:rPr>
          <w:rFonts w:ascii="Calibri" w:hAnsi="Calibri"/>
          <w:color w:val="414042"/>
          <w:spacing w:val="-7"/>
          <w:w w:val="105"/>
          <w:sz w:val="16"/>
        </w:rPr>
        <w:t> </w:t>
      </w:r>
      <w:r>
        <w:rPr>
          <w:rFonts w:ascii="Calibri" w:hAnsi="Calibri"/>
          <w:color w:val="414042"/>
          <w:w w:val="105"/>
          <w:sz w:val="16"/>
        </w:rPr>
        <w:t>aquellos</w:t>
      </w:r>
      <w:r>
        <w:rPr>
          <w:rFonts w:ascii="Calibri" w:hAnsi="Calibri"/>
          <w:color w:val="414042"/>
          <w:spacing w:val="-7"/>
          <w:w w:val="105"/>
          <w:sz w:val="16"/>
        </w:rPr>
        <w:t> </w:t>
      </w:r>
      <w:r>
        <w:rPr>
          <w:rFonts w:ascii="Calibri" w:hAnsi="Calibri"/>
          <w:color w:val="414042"/>
          <w:w w:val="105"/>
          <w:sz w:val="16"/>
        </w:rPr>
        <w:t>grupos</w:t>
      </w:r>
      <w:r>
        <w:rPr>
          <w:rFonts w:ascii="Calibri" w:hAnsi="Calibri"/>
          <w:color w:val="414042"/>
          <w:spacing w:val="-7"/>
          <w:w w:val="105"/>
          <w:sz w:val="16"/>
        </w:rPr>
        <w:t> </w:t>
      </w:r>
      <w:r>
        <w:rPr>
          <w:rFonts w:ascii="Calibri" w:hAnsi="Calibri"/>
          <w:color w:val="414042"/>
          <w:w w:val="105"/>
          <w:sz w:val="16"/>
        </w:rPr>
        <w:t>que</w:t>
      </w:r>
      <w:r>
        <w:rPr>
          <w:rFonts w:ascii="Calibri" w:hAnsi="Calibri"/>
          <w:color w:val="414042"/>
          <w:spacing w:val="-7"/>
          <w:w w:val="105"/>
          <w:sz w:val="16"/>
        </w:rPr>
        <w:t> </w:t>
      </w:r>
      <w:r>
        <w:rPr>
          <w:rFonts w:ascii="Calibri" w:hAnsi="Calibri"/>
          <w:color w:val="414042"/>
          <w:w w:val="105"/>
          <w:sz w:val="16"/>
        </w:rPr>
        <w:t>sostienen</w:t>
      </w:r>
      <w:r>
        <w:rPr>
          <w:rFonts w:ascii="Calibri" w:hAnsi="Calibri"/>
          <w:color w:val="414042"/>
          <w:spacing w:val="-7"/>
          <w:w w:val="105"/>
          <w:sz w:val="16"/>
        </w:rPr>
        <w:t> </w:t>
      </w:r>
      <w:r>
        <w:rPr>
          <w:rFonts w:ascii="Calibri" w:hAnsi="Calibri"/>
          <w:color w:val="414042"/>
          <w:w w:val="105"/>
          <w:sz w:val="16"/>
        </w:rPr>
        <w:t>prácticas</w:t>
      </w:r>
      <w:r>
        <w:rPr>
          <w:rFonts w:ascii="Calibri" w:hAnsi="Calibri"/>
          <w:color w:val="414042"/>
          <w:spacing w:val="-7"/>
          <w:w w:val="105"/>
          <w:sz w:val="16"/>
        </w:rPr>
        <w:t> </w:t>
      </w:r>
      <w:r>
        <w:rPr>
          <w:rFonts w:ascii="Calibri" w:hAnsi="Calibri"/>
          <w:color w:val="414042"/>
          <w:w w:val="105"/>
          <w:sz w:val="16"/>
        </w:rPr>
        <w:t>de</w:t>
      </w:r>
      <w:r>
        <w:rPr>
          <w:rFonts w:ascii="Calibri" w:hAnsi="Calibri"/>
          <w:color w:val="414042"/>
          <w:spacing w:val="-7"/>
          <w:w w:val="105"/>
          <w:sz w:val="16"/>
        </w:rPr>
        <w:t> </w:t>
      </w:r>
      <w:r>
        <w:rPr>
          <w:rFonts w:ascii="Calibri" w:hAnsi="Calibri"/>
          <w:color w:val="414042"/>
          <w:w w:val="105"/>
          <w:sz w:val="16"/>
        </w:rPr>
        <w:t>inter- cambio a través de las fronteras. Esta bifocalidad de la migración analiza los lazos que se mantienen, aquí</w:t>
      </w:r>
      <w:r>
        <w:rPr>
          <w:rFonts w:ascii="Calibri" w:hAnsi="Calibri"/>
          <w:color w:val="414042"/>
          <w:spacing w:val="-8"/>
          <w:w w:val="105"/>
          <w:sz w:val="16"/>
        </w:rPr>
        <w:t> </w:t>
      </w:r>
      <w:r>
        <w:rPr>
          <w:rFonts w:ascii="Calibri" w:hAnsi="Calibri"/>
          <w:color w:val="414042"/>
          <w:w w:val="105"/>
          <w:sz w:val="16"/>
        </w:rPr>
        <w:t>y</w:t>
      </w:r>
      <w:r>
        <w:rPr>
          <w:rFonts w:ascii="Calibri" w:hAnsi="Calibri"/>
          <w:color w:val="414042"/>
          <w:spacing w:val="-7"/>
          <w:w w:val="105"/>
          <w:sz w:val="16"/>
        </w:rPr>
        <w:t> </w:t>
      </w:r>
      <w:r>
        <w:rPr>
          <w:rFonts w:ascii="Calibri" w:hAnsi="Calibri"/>
          <w:color w:val="414042"/>
          <w:w w:val="105"/>
          <w:sz w:val="16"/>
        </w:rPr>
        <w:t>allá,</w:t>
      </w:r>
      <w:r>
        <w:rPr>
          <w:rFonts w:ascii="Calibri" w:hAnsi="Calibri"/>
          <w:color w:val="414042"/>
          <w:spacing w:val="-7"/>
          <w:w w:val="105"/>
          <w:sz w:val="16"/>
        </w:rPr>
        <w:t> </w:t>
      </w:r>
      <w:r>
        <w:rPr>
          <w:rFonts w:ascii="Calibri" w:hAnsi="Calibri"/>
          <w:color w:val="414042"/>
          <w:w w:val="105"/>
          <w:sz w:val="16"/>
        </w:rPr>
        <w:t>a</w:t>
      </w:r>
      <w:r>
        <w:rPr>
          <w:rFonts w:ascii="Calibri" w:hAnsi="Calibri"/>
          <w:color w:val="414042"/>
          <w:spacing w:val="-7"/>
          <w:w w:val="105"/>
          <w:sz w:val="16"/>
        </w:rPr>
        <w:t> </w:t>
      </w:r>
      <w:r>
        <w:rPr>
          <w:rFonts w:ascii="Calibri" w:hAnsi="Calibri"/>
          <w:color w:val="414042"/>
          <w:w w:val="105"/>
          <w:sz w:val="16"/>
        </w:rPr>
        <w:t>través</w:t>
      </w:r>
      <w:r>
        <w:rPr>
          <w:rFonts w:ascii="Calibri" w:hAnsi="Calibri"/>
          <w:color w:val="414042"/>
          <w:spacing w:val="-7"/>
          <w:w w:val="105"/>
          <w:sz w:val="16"/>
        </w:rPr>
        <w:t> </w:t>
      </w:r>
      <w:r>
        <w:rPr>
          <w:rFonts w:ascii="Calibri" w:hAnsi="Calibri"/>
          <w:color w:val="414042"/>
          <w:w w:val="105"/>
          <w:sz w:val="16"/>
        </w:rPr>
        <w:t>de</w:t>
      </w:r>
      <w:r>
        <w:rPr>
          <w:rFonts w:ascii="Calibri" w:hAnsi="Calibri"/>
          <w:color w:val="414042"/>
          <w:spacing w:val="-7"/>
          <w:w w:val="105"/>
          <w:sz w:val="16"/>
        </w:rPr>
        <w:t> </w:t>
      </w:r>
      <w:r>
        <w:rPr>
          <w:rFonts w:ascii="Calibri" w:hAnsi="Calibri"/>
          <w:color w:val="414042"/>
          <w:w w:val="105"/>
          <w:sz w:val="16"/>
        </w:rPr>
        <w:t>prácticas</w:t>
      </w:r>
      <w:r>
        <w:rPr>
          <w:rFonts w:ascii="Calibri" w:hAnsi="Calibri"/>
          <w:color w:val="414042"/>
          <w:spacing w:val="-8"/>
          <w:w w:val="105"/>
          <w:sz w:val="16"/>
        </w:rPr>
        <w:t> </w:t>
      </w:r>
      <w:r>
        <w:rPr>
          <w:rFonts w:ascii="Calibri" w:hAnsi="Calibri"/>
          <w:color w:val="414042"/>
          <w:w w:val="105"/>
          <w:sz w:val="16"/>
        </w:rPr>
        <w:t>y</w:t>
      </w:r>
      <w:r>
        <w:rPr>
          <w:rFonts w:ascii="Calibri" w:hAnsi="Calibri"/>
          <w:color w:val="414042"/>
          <w:spacing w:val="-7"/>
          <w:w w:val="105"/>
          <w:sz w:val="16"/>
        </w:rPr>
        <w:t> </w:t>
      </w:r>
      <w:r>
        <w:rPr>
          <w:rFonts w:ascii="Calibri" w:hAnsi="Calibri"/>
          <w:color w:val="414042"/>
          <w:w w:val="105"/>
          <w:sz w:val="16"/>
        </w:rPr>
        <w:t>relaciones</w:t>
      </w:r>
      <w:r>
        <w:rPr>
          <w:rFonts w:ascii="Calibri" w:hAnsi="Calibri"/>
          <w:color w:val="414042"/>
          <w:spacing w:val="-7"/>
          <w:w w:val="105"/>
          <w:sz w:val="16"/>
        </w:rPr>
        <w:t> </w:t>
      </w:r>
      <w:r>
        <w:rPr>
          <w:rFonts w:ascii="Calibri" w:hAnsi="Calibri"/>
          <w:color w:val="414042"/>
          <w:w w:val="105"/>
          <w:sz w:val="16"/>
        </w:rPr>
        <w:t>que</w:t>
      </w:r>
      <w:r>
        <w:rPr>
          <w:rFonts w:ascii="Calibri" w:hAnsi="Calibri"/>
          <w:color w:val="414042"/>
          <w:spacing w:val="-9"/>
          <w:w w:val="105"/>
          <w:sz w:val="16"/>
        </w:rPr>
        <w:t> </w:t>
      </w:r>
      <w:r>
        <w:rPr>
          <w:rFonts w:ascii="Calibri" w:hAnsi="Calibri"/>
          <w:color w:val="414042"/>
          <w:w w:val="105"/>
          <w:sz w:val="16"/>
        </w:rPr>
        <w:t>vinculan</w:t>
      </w:r>
      <w:r>
        <w:rPr>
          <w:rFonts w:ascii="Calibri" w:hAnsi="Calibri"/>
          <w:color w:val="414042"/>
          <w:spacing w:val="-7"/>
          <w:w w:val="105"/>
          <w:sz w:val="16"/>
        </w:rPr>
        <w:t> </w:t>
      </w:r>
      <w:r>
        <w:rPr>
          <w:rFonts w:ascii="Calibri" w:hAnsi="Calibri"/>
          <w:color w:val="414042"/>
          <w:w w:val="105"/>
          <w:sz w:val="16"/>
        </w:rPr>
        <w:t>el</w:t>
      </w:r>
      <w:r>
        <w:rPr>
          <w:rFonts w:ascii="Calibri" w:hAnsi="Calibri"/>
          <w:color w:val="414042"/>
          <w:spacing w:val="-7"/>
          <w:w w:val="105"/>
          <w:sz w:val="16"/>
        </w:rPr>
        <w:t> </w:t>
      </w:r>
      <w:r>
        <w:rPr>
          <w:rFonts w:ascii="Calibri" w:hAnsi="Calibri"/>
          <w:color w:val="414042"/>
          <w:w w:val="105"/>
          <w:sz w:val="16"/>
        </w:rPr>
        <w:t>terruño</w:t>
      </w:r>
      <w:r>
        <w:rPr>
          <w:rFonts w:ascii="Calibri" w:hAnsi="Calibri"/>
          <w:color w:val="414042"/>
          <w:spacing w:val="-8"/>
          <w:w w:val="105"/>
          <w:sz w:val="16"/>
        </w:rPr>
        <w:t> </w:t>
      </w:r>
      <w:r>
        <w:rPr>
          <w:rFonts w:ascii="Calibri" w:hAnsi="Calibri"/>
          <w:color w:val="414042"/>
          <w:w w:val="105"/>
          <w:sz w:val="16"/>
        </w:rPr>
        <w:t>y</w:t>
      </w:r>
      <w:r>
        <w:rPr>
          <w:rFonts w:ascii="Calibri" w:hAnsi="Calibri"/>
          <w:color w:val="414042"/>
          <w:spacing w:val="-7"/>
          <w:w w:val="105"/>
          <w:sz w:val="16"/>
        </w:rPr>
        <w:t> </w:t>
      </w:r>
      <w:r>
        <w:rPr>
          <w:rFonts w:ascii="Calibri" w:hAnsi="Calibri"/>
          <w:color w:val="414042"/>
          <w:w w:val="105"/>
          <w:sz w:val="16"/>
        </w:rPr>
        <w:t>el</w:t>
      </w:r>
      <w:r>
        <w:rPr>
          <w:rFonts w:ascii="Calibri" w:hAnsi="Calibri"/>
          <w:color w:val="414042"/>
          <w:spacing w:val="-7"/>
          <w:w w:val="105"/>
          <w:sz w:val="16"/>
        </w:rPr>
        <w:t> </w:t>
      </w:r>
      <w:r>
        <w:rPr>
          <w:rFonts w:ascii="Calibri" w:hAnsi="Calibri"/>
          <w:color w:val="414042"/>
          <w:w w:val="105"/>
          <w:sz w:val="16"/>
        </w:rPr>
        <w:t>lugar</w:t>
      </w:r>
      <w:r>
        <w:rPr>
          <w:rFonts w:ascii="Calibri" w:hAnsi="Calibri"/>
          <w:color w:val="414042"/>
          <w:spacing w:val="-7"/>
          <w:w w:val="105"/>
          <w:sz w:val="16"/>
        </w:rPr>
        <w:t> </w:t>
      </w:r>
      <w:r>
        <w:rPr>
          <w:rFonts w:ascii="Calibri" w:hAnsi="Calibri"/>
          <w:color w:val="414042"/>
          <w:w w:val="105"/>
          <w:sz w:val="16"/>
        </w:rPr>
        <w:t>en</w:t>
      </w:r>
      <w:r>
        <w:rPr>
          <w:rFonts w:ascii="Calibri" w:hAnsi="Calibri"/>
          <w:color w:val="414042"/>
          <w:spacing w:val="-7"/>
          <w:w w:val="105"/>
          <w:sz w:val="16"/>
        </w:rPr>
        <w:t> </w:t>
      </w:r>
      <w:r>
        <w:rPr>
          <w:rFonts w:ascii="Calibri" w:hAnsi="Calibri"/>
          <w:color w:val="414042"/>
          <w:w w:val="105"/>
          <w:sz w:val="16"/>
        </w:rPr>
        <w:t>el</w:t>
      </w:r>
      <w:r>
        <w:rPr>
          <w:rFonts w:ascii="Calibri" w:hAnsi="Calibri"/>
          <w:color w:val="414042"/>
          <w:spacing w:val="-7"/>
          <w:w w:val="105"/>
          <w:sz w:val="16"/>
        </w:rPr>
        <w:t> </w:t>
      </w:r>
      <w:r>
        <w:rPr>
          <w:rFonts w:ascii="Calibri" w:hAnsi="Calibri"/>
          <w:color w:val="414042"/>
          <w:w w:val="105"/>
          <w:sz w:val="16"/>
        </w:rPr>
        <w:t>extranjero</w:t>
      </w:r>
      <w:r>
        <w:rPr>
          <w:rFonts w:ascii="Calibri" w:hAnsi="Calibri"/>
          <w:color w:val="414042"/>
          <w:spacing w:val="-7"/>
          <w:w w:val="105"/>
          <w:sz w:val="16"/>
        </w:rPr>
        <w:t> </w:t>
      </w:r>
      <w:r>
        <w:rPr>
          <w:rFonts w:ascii="Calibri" w:hAnsi="Calibri"/>
          <w:color w:val="414042"/>
          <w:w w:val="105"/>
          <w:sz w:val="16"/>
        </w:rPr>
        <w:t>como</w:t>
      </w:r>
      <w:r>
        <w:rPr>
          <w:rFonts w:ascii="Calibri" w:hAnsi="Calibri"/>
          <w:color w:val="414042"/>
          <w:spacing w:val="-7"/>
          <w:w w:val="105"/>
          <w:sz w:val="16"/>
        </w:rPr>
        <w:t> </w:t>
      </w:r>
      <w:r>
        <w:rPr>
          <w:rFonts w:ascii="Calibri" w:hAnsi="Calibri"/>
          <w:color w:val="414042"/>
          <w:w w:val="105"/>
          <w:sz w:val="16"/>
        </w:rPr>
        <w:t>un “mundo</w:t>
      </w:r>
      <w:r>
        <w:rPr>
          <w:rFonts w:ascii="Calibri" w:hAnsi="Calibri"/>
          <w:color w:val="414042"/>
          <w:spacing w:val="-15"/>
          <w:w w:val="105"/>
          <w:sz w:val="16"/>
        </w:rPr>
        <w:t> </w:t>
      </w:r>
      <w:r>
        <w:rPr>
          <w:rFonts w:ascii="Calibri" w:hAnsi="Calibri"/>
          <w:color w:val="414042"/>
          <w:w w:val="105"/>
          <w:sz w:val="16"/>
        </w:rPr>
        <w:t>de</w:t>
      </w:r>
      <w:r>
        <w:rPr>
          <w:rFonts w:ascii="Calibri" w:hAnsi="Calibri"/>
          <w:color w:val="414042"/>
          <w:spacing w:val="-17"/>
          <w:w w:val="105"/>
          <w:sz w:val="16"/>
        </w:rPr>
        <w:t> </w:t>
      </w:r>
      <w:r>
        <w:rPr>
          <w:rFonts w:ascii="Calibri" w:hAnsi="Calibri"/>
          <w:color w:val="414042"/>
          <w:w w:val="105"/>
          <w:sz w:val="16"/>
        </w:rPr>
        <w:t>vida”</w:t>
      </w:r>
      <w:r>
        <w:rPr>
          <w:rFonts w:ascii="Calibri" w:hAnsi="Calibri"/>
          <w:color w:val="414042"/>
          <w:spacing w:val="-15"/>
          <w:w w:val="105"/>
          <w:sz w:val="16"/>
        </w:rPr>
        <w:t> </w:t>
      </w:r>
      <w:r>
        <w:rPr>
          <w:rFonts w:ascii="Calibri" w:hAnsi="Calibri"/>
          <w:color w:val="414042"/>
          <w:w w:val="105"/>
          <w:sz w:val="16"/>
        </w:rPr>
        <w:t>entre</w:t>
      </w:r>
      <w:r>
        <w:rPr>
          <w:rFonts w:ascii="Calibri" w:hAnsi="Calibri"/>
          <w:color w:val="414042"/>
          <w:spacing w:val="-15"/>
          <w:w w:val="105"/>
          <w:sz w:val="16"/>
        </w:rPr>
        <w:t> </w:t>
      </w:r>
      <w:r>
        <w:rPr>
          <w:rFonts w:ascii="Calibri" w:hAnsi="Calibri"/>
          <w:color w:val="414042"/>
          <w:w w:val="105"/>
          <w:sz w:val="16"/>
        </w:rPr>
        <w:t>los</w:t>
      </w:r>
      <w:r>
        <w:rPr>
          <w:rFonts w:ascii="Calibri" w:hAnsi="Calibri"/>
          <w:color w:val="414042"/>
          <w:spacing w:val="-15"/>
          <w:w w:val="105"/>
          <w:sz w:val="16"/>
        </w:rPr>
        <w:t> </w:t>
      </w:r>
      <w:r>
        <w:rPr>
          <w:rFonts w:ascii="Calibri" w:hAnsi="Calibri"/>
          <w:color w:val="414042"/>
          <w:w w:val="105"/>
          <w:sz w:val="16"/>
        </w:rPr>
        <w:t>migrantes</w:t>
      </w:r>
      <w:r>
        <w:rPr>
          <w:rFonts w:ascii="Calibri" w:hAnsi="Calibri"/>
          <w:color w:val="414042"/>
          <w:spacing w:val="-17"/>
          <w:w w:val="105"/>
          <w:sz w:val="16"/>
        </w:rPr>
        <w:t> </w:t>
      </w:r>
      <w:r>
        <w:rPr>
          <w:rFonts w:ascii="Calibri" w:hAnsi="Calibri"/>
          <w:color w:val="414042"/>
          <w:w w:val="105"/>
          <w:sz w:val="16"/>
        </w:rPr>
        <w:t>y</w:t>
      </w:r>
      <w:r>
        <w:rPr>
          <w:rFonts w:ascii="Calibri" w:hAnsi="Calibri"/>
          <w:color w:val="414042"/>
          <w:spacing w:val="-15"/>
          <w:w w:val="105"/>
          <w:sz w:val="16"/>
        </w:rPr>
        <w:t> </w:t>
      </w:r>
      <w:r>
        <w:rPr>
          <w:rFonts w:ascii="Calibri" w:hAnsi="Calibri"/>
          <w:color w:val="414042"/>
          <w:w w:val="105"/>
          <w:sz w:val="16"/>
        </w:rPr>
        <w:t>sus</w:t>
      </w:r>
      <w:r>
        <w:rPr>
          <w:rFonts w:ascii="Calibri" w:hAnsi="Calibri"/>
          <w:color w:val="414042"/>
          <w:spacing w:val="-15"/>
          <w:w w:val="105"/>
          <w:sz w:val="16"/>
        </w:rPr>
        <w:t> </w:t>
      </w:r>
      <w:r>
        <w:rPr>
          <w:rFonts w:ascii="Calibri" w:hAnsi="Calibri"/>
          <w:color w:val="414042"/>
          <w:w w:val="105"/>
          <w:sz w:val="16"/>
        </w:rPr>
        <w:t>semejantes.</w:t>
      </w:r>
    </w:p>
    <w:p>
      <w:pPr>
        <w:spacing w:after="0" w:line="192" w:lineRule="exact"/>
        <w:jc w:val="both"/>
        <w:rPr>
          <w:rFonts w:ascii="Calibri" w:hAnsi="Calibri"/>
          <w:sz w:val="16"/>
        </w:rPr>
        <w:sectPr>
          <w:type w:val="continuous"/>
          <w:pgSz w:w="10480" w:h="14730"/>
          <w:pgMar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before="61"/>
        <w:ind w:left="1723"/>
        <w:jc w:val="both"/>
      </w:pPr>
      <w:r>
        <w:rPr/>
        <w:pict>
          <v:line style="position:absolute;mso-position-horizontal-relative:page;mso-position-vertical-relative:paragraph;z-index:26464" from="15pt,-68.636444pt" to="0pt,-68.636444pt" stroked="true" strokeweight=".25pt" strokecolor="#000000">
            <w10:wrap type="none"/>
          </v:line>
        </w:pict>
      </w:r>
      <w:r>
        <w:rPr/>
        <w:pict>
          <v:line style="position:absolute;mso-position-horizontal-relative:page;mso-position-vertical-relative:paragraph;z-index:26488" from="508.890015pt,-68.636444pt" to="523.890015pt,-68.636444pt" stroked="true" strokeweight=".25pt" strokecolor="#000000">
            <w10:wrap type="none"/>
          </v:line>
        </w:pict>
      </w:r>
      <w:r>
        <w:rPr>
          <w:color w:val="231F20"/>
          <w:w w:val="105"/>
        </w:rPr>
        <w:t>logía de las migraciones), son los purépechas (Weber, 1999: 4; 2002: 35;</w:t>
      </w:r>
    </w:p>
    <w:p>
      <w:pPr>
        <w:pStyle w:val="BodyText"/>
        <w:spacing w:line="261" w:lineRule="auto" w:before="22"/>
        <w:ind w:left="1723" w:right="1828"/>
        <w:jc w:val="both"/>
      </w:pPr>
      <w:r>
        <w:rPr>
          <w:color w:val="231F20"/>
          <w:w w:val="105"/>
        </w:rPr>
        <w:t>2008; Anderson, 2004; Durand, 1995; </w:t>
      </w:r>
      <w:r>
        <w:rPr>
          <w:color w:val="231F20"/>
          <w:spacing w:val="-4"/>
          <w:w w:val="105"/>
        </w:rPr>
        <w:t>Foster, </w:t>
      </w:r>
      <w:r>
        <w:rPr>
          <w:color w:val="231F20"/>
          <w:w w:val="105"/>
        </w:rPr>
        <w:t>1967, en Velasco, 2010), nahuas</w:t>
      </w:r>
      <w:r>
        <w:rPr>
          <w:color w:val="231F20"/>
          <w:spacing w:val="-4"/>
          <w:w w:val="105"/>
        </w:rPr>
        <w:t> </w:t>
      </w:r>
      <w:r>
        <w:rPr>
          <w:color w:val="231F20"/>
          <w:w w:val="105"/>
        </w:rPr>
        <w:t>(García</w:t>
      </w:r>
      <w:r>
        <w:rPr>
          <w:color w:val="231F20"/>
          <w:spacing w:val="-4"/>
          <w:w w:val="105"/>
        </w:rPr>
        <w:t> </w:t>
      </w:r>
      <w:r>
        <w:rPr>
          <w:color w:val="231F20"/>
          <w:w w:val="105"/>
        </w:rPr>
        <w:t>Ortega,</w:t>
      </w:r>
      <w:r>
        <w:rPr>
          <w:color w:val="231F20"/>
          <w:spacing w:val="-9"/>
          <w:w w:val="105"/>
        </w:rPr>
        <w:t> </w:t>
      </w:r>
      <w:r>
        <w:rPr>
          <w:color w:val="231F20"/>
          <w:w w:val="105"/>
        </w:rPr>
        <w:t>2007;</w:t>
      </w:r>
      <w:r>
        <w:rPr>
          <w:color w:val="231F20"/>
          <w:spacing w:val="-4"/>
          <w:w w:val="105"/>
        </w:rPr>
        <w:t> </w:t>
      </w:r>
      <w:r>
        <w:rPr>
          <w:color w:val="231F20"/>
          <w:w w:val="105"/>
        </w:rPr>
        <w:t>en</w:t>
      </w:r>
      <w:r>
        <w:rPr>
          <w:color w:val="231F20"/>
          <w:spacing w:val="-7"/>
          <w:w w:val="105"/>
        </w:rPr>
        <w:t> </w:t>
      </w:r>
      <w:r>
        <w:rPr>
          <w:color w:val="231F20"/>
          <w:w w:val="105"/>
        </w:rPr>
        <w:t>Velasco,</w:t>
      </w:r>
      <w:r>
        <w:rPr>
          <w:color w:val="231F20"/>
          <w:spacing w:val="-9"/>
          <w:w w:val="105"/>
        </w:rPr>
        <w:t> </w:t>
      </w:r>
      <w:r>
        <w:rPr>
          <w:color w:val="231F20"/>
          <w:w w:val="105"/>
        </w:rPr>
        <w:t>2010),</w:t>
      </w:r>
      <w:r>
        <w:rPr>
          <w:color w:val="231F20"/>
          <w:spacing w:val="-9"/>
          <w:w w:val="105"/>
        </w:rPr>
        <w:t> </w:t>
      </w:r>
      <w:r>
        <w:rPr>
          <w:color w:val="231F20"/>
          <w:w w:val="105"/>
        </w:rPr>
        <w:t>zapotecos</w:t>
      </w:r>
      <w:r>
        <w:rPr>
          <w:color w:val="231F20"/>
          <w:spacing w:val="-4"/>
          <w:w w:val="105"/>
        </w:rPr>
        <w:t> </w:t>
      </w:r>
      <w:r>
        <w:rPr>
          <w:color w:val="231F20"/>
          <w:w w:val="105"/>
        </w:rPr>
        <w:t>y</w:t>
      </w:r>
      <w:r>
        <w:rPr>
          <w:color w:val="231F20"/>
          <w:spacing w:val="-4"/>
          <w:w w:val="105"/>
        </w:rPr>
        <w:t> </w:t>
      </w:r>
      <w:r>
        <w:rPr>
          <w:color w:val="231F20"/>
          <w:w w:val="105"/>
        </w:rPr>
        <w:t>mixtecos (Rivera</w:t>
      </w:r>
      <w:r>
        <w:rPr>
          <w:color w:val="231F20"/>
          <w:spacing w:val="-35"/>
          <w:w w:val="105"/>
        </w:rPr>
        <w:t> </w:t>
      </w:r>
      <w:r>
        <w:rPr>
          <w:color w:val="231F20"/>
          <w:w w:val="105"/>
        </w:rPr>
        <w:t>e</w:t>
      </w:r>
      <w:r>
        <w:rPr>
          <w:color w:val="231F20"/>
          <w:spacing w:val="-35"/>
          <w:w w:val="105"/>
        </w:rPr>
        <w:t> </w:t>
      </w:r>
      <w:r>
        <w:rPr>
          <w:color w:val="231F20"/>
          <w:w w:val="105"/>
        </w:rPr>
        <w:t>Ibarra,</w:t>
      </w:r>
      <w:r>
        <w:rPr>
          <w:color w:val="231F20"/>
          <w:spacing w:val="-39"/>
          <w:w w:val="105"/>
        </w:rPr>
        <w:t> </w:t>
      </w:r>
      <w:r>
        <w:rPr>
          <w:color w:val="231F20"/>
          <w:w w:val="105"/>
        </w:rPr>
        <w:t>2011;</w:t>
      </w:r>
      <w:r>
        <w:rPr>
          <w:color w:val="231F20"/>
          <w:spacing w:val="-35"/>
          <w:w w:val="105"/>
        </w:rPr>
        <w:t> </w:t>
      </w:r>
      <w:r>
        <w:rPr>
          <w:color w:val="231F20"/>
          <w:w w:val="105"/>
        </w:rPr>
        <w:t>D’</w:t>
      </w:r>
      <w:r>
        <w:rPr>
          <w:color w:val="231F20"/>
          <w:spacing w:val="-38"/>
          <w:w w:val="105"/>
        </w:rPr>
        <w:t> </w:t>
      </w:r>
      <w:r>
        <w:rPr>
          <w:color w:val="231F20"/>
          <w:w w:val="105"/>
        </w:rPr>
        <w:t>Auberrete</w:t>
      </w:r>
      <w:r>
        <w:rPr>
          <w:color w:val="231F20"/>
          <w:spacing w:val="-35"/>
          <w:w w:val="105"/>
        </w:rPr>
        <w:t> </w:t>
      </w:r>
      <w:r>
        <w:rPr>
          <w:color w:val="231F20"/>
          <w:w w:val="105"/>
        </w:rPr>
        <w:t>y</w:t>
      </w:r>
      <w:r>
        <w:rPr>
          <w:color w:val="231F20"/>
          <w:spacing w:val="-35"/>
          <w:w w:val="105"/>
        </w:rPr>
        <w:t> </w:t>
      </w:r>
      <w:r>
        <w:rPr>
          <w:color w:val="231F20"/>
          <w:w w:val="105"/>
        </w:rPr>
        <w:t>Rivermar,</w:t>
      </w:r>
      <w:r>
        <w:rPr>
          <w:color w:val="231F20"/>
          <w:spacing w:val="-39"/>
          <w:w w:val="105"/>
        </w:rPr>
        <w:t> </w:t>
      </w:r>
      <w:r>
        <w:rPr>
          <w:color w:val="231F20"/>
          <w:w w:val="105"/>
        </w:rPr>
        <w:t>2014;</w:t>
      </w:r>
      <w:r>
        <w:rPr>
          <w:color w:val="231F20"/>
          <w:spacing w:val="-35"/>
          <w:w w:val="105"/>
        </w:rPr>
        <w:t> </w:t>
      </w:r>
      <w:r>
        <w:rPr>
          <w:color w:val="231F20"/>
          <w:w w:val="105"/>
        </w:rPr>
        <w:t>Besserer</w:t>
      </w:r>
      <w:r>
        <w:rPr>
          <w:color w:val="231F20"/>
          <w:spacing w:val="-35"/>
          <w:w w:val="105"/>
        </w:rPr>
        <w:t> </w:t>
      </w:r>
      <w:r>
        <w:rPr>
          <w:color w:val="231F20"/>
          <w:w w:val="105"/>
        </w:rPr>
        <w:t>y</w:t>
      </w:r>
      <w:r>
        <w:rPr>
          <w:color w:val="231F20"/>
          <w:spacing w:val="-35"/>
          <w:w w:val="105"/>
        </w:rPr>
        <w:t> </w:t>
      </w:r>
      <w:r>
        <w:rPr>
          <w:color w:val="231F20"/>
          <w:spacing w:val="-3"/>
          <w:w w:val="105"/>
        </w:rPr>
        <w:t>Kearney, </w:t>
      </w:r>
      <w:r>
        <w:rPr>
          <w:color w:val="231F20"/>
          <w:w w:val="105"/>
        </w:rPr>
        <w:t>2006).</w:t>
      </w:r>
      <w:r>
        <w:rPr>
          <w:color w:val="231F20"/>
          <w:spacing w:val="-20"/>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registros</w:t>
      </w:r>
      <w:r>
        <w:rPr>
          <w:color w:val="231F20"/>
          <w:spacing w:val="-16"/>
          <w:w w:val="105"/>
        </w:rPr>
        <w:t> </w:t>
      </w:r>
      <w:r>
        <w:rPr>
          <w:color w:val="231F20"/>
          <w:w w:val="105"/>
        </w:rPr>
        <w:t>de</w:t>
      </w:r>
      <w:r>
        <w:rPr>
          <w:color w:val="231F20"/>
          <w:spacing w:val="-16"/>
          <w:w w:val="105"/>
        </w:rPr>
        <w:t> </w:t>
      </w:r>
      <w:r>
        <w:rPr>
          <w:color w:val="231F20"/>
          <w:w w:val="105"/>
        </w:rPr>
        <w:t>migraciones</w:t>
      </w:r>
      <w:r>
        <w:rPr>
          <w:color w:val="231F20"/>
          <w:spacing w:val="-16"/>
          <w:w w:val="105"/>
        </w:rPr>
        <w:t> </w:t>
      </w:r>
      <w:r>
        <w:rPr>
          <w:color w:val="231F20"/>
          <w:w w:val="105"/>
        </w:rPr>
        <w:t>indígenas</w:t>
      </w:r>
      <w:r>
        <w:rPr>
          <w:color w:val="231F20"/>
          <w:spacing w:val="-16"/>
          <w:w w:val="105"/>
        </w:rPr>
        <w:t> </w:t>
      </w:r>
      <w:r>
        <w:rPr>
          <w:color w:val="231F20"/>
          <w:w w:val="105"/>
        </w:rPr>
        <w:t>contemporáneas</w:t>
      </w:r>
      <w:r>
        <w:rPr>
          <w:color w:val="231F20"/>
          <w:spacing w:val="-16"/>
          <w:w w:val="105"/>
        </w:rPr>
        <w:t> </w:t>
      </w:r>
      <w:r>
        <w:rPr>
          <w:color w:val="231F20"/>
          <w:w w:val="105"/>
        </w:rPr>
        <w:t>se</w:t>
      </w:r>
      <w:r>
        <w:rPr>
          <w:color w:val="231F20"/>
          <w:spacing w:val="-16"/>
          <w:w w:val="105"/>
        </w:rPr>
        <w:t> </w:t>
      </w:r>
      <w:r>
        <w:rPr>
          <w:color w:val="231F20"/>
          <w:w w:val="105"/>
        </w:rPr>
        <w:t>ha documentado la participación de los indígenas como braceros, “ya sea mediante los relatos orales o bien por medio de los archivos de las ofi- cinas</w:t>
      </w:r>
      <w:r>
        <w:rPr>
          <w:color w:val="231F20"/>
          <w:spacing w:val="-14"/>
          <w:w w:val="105"/>
        </w:rPr>
        <w:t> </w:t>
      </w:r>
      <w:r>
        <w:rPr>
          <w:color w:val="231F20"/>
          <w:w w:val="105"/>
        </w:rPr>
        <w:t>estatales</w:t>
      </w:r>
      <w:r>
        <w:rPr>
          <w:color w:val="231F20"/>
          <w:spacing w:val="-14"/>
          <w:w w:val="105"/>
        </w:rPr>
        <w:t> </w:t>
      </w:r>
      <w:r>
        <w:rPr>
          <w:color w:val="231F20"/>
          <w:w w:val="105"/>
        </w:rPr>
        <w:t>de</w:t>
      </w:r>
      <w:r>
        <w:rPr>
          <w:color w:val="231F20"/>
          <w:spacing w:val="-14"/>
          <w:w w:val="105"/>
        </w:rPr>
        <w:t> </w:t>
      </w:r>
      <w:r>
        <w:rPr>
          <w:color w:val="231F20"/>
          <w:w w:val="105"/>
        </w:rPr>
        <w:t>atención</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8"/>
          <w:w w:val="105"/>
        </w:rPr>
        <w:t> </w:t>
      </w:r>
      <w:r>
        <w:rPr>
          <w:color w:val="231F20"/>
          <w:w w:val="105"/>
        </w:rPr>
        <w:t>donde</w:t>
      </w:r>
      <w:r>
        <w:rPr>
          <w:color w:val="231F20"/>
          <w:spacing w:val="-14"/>
          <w:w w:val="105"/>
        </w:rPr>
        <w:t> </w:t>
      </w:r>
      <w:r>
        <w:rPr>
          <w:color w:val="231F20"/>
          <w:w w:val="105"/>
        </w:rPr>
        <w:t>constan</w:t>
      </w:r>
      <w:r>
        <w:rPr>
          <w:color w:val="231F20"/>
          <w:spacing w:val="-14"/>
          <w:w w:val="105"/>
        </w:rPr>
        <w:t> </w:t>
      </w:r>
      <w:r>
        <w:rPr>
          <w:color w:val="231F20"/>
          <w:w w:val="105"/>
        </w:rPr>
        <w:t>los</w:t>
      </w:r>
      <w:r>
        <w:rPr>
          <w:color w:val="231F20"/>
          <w:spacing w:val="-14"/>
          <w:w w:val="105"/>
        </w:rPr>
        <w:t> </w:t>
      </w:r>
      <w:r>
        <w:rPr>
          <w:color w:val="231F20"/>
          <w:spacing w:val="-3"/>
          <w:w w:val="105"/>
        </w:rPr>
        <w:t>reclamos </w:t>
      </w:r>
      <w:r>
        <w:rPr>
          <w:color w:val="231F20"/>
          <w:w w:val="105"/>
        </w:rPr>
        <w:t>de</w:t>
      </w:r>
      <w:r>
        <w:rPr>
          <w:color w:val="231F20"/>
          <w:spacing w:val="-26"/>
          <w:w w:val="105"/>
        </w:rPr>
        <w:t> </w:t>
      </w:r>
      <w:r>
        <w:rPr>
          <w:color w:val="231F20"/>
          <w:w w:val="105"/>
        </w:rPr>
        <w:t>ex</w:t>
      </w:r>
      <w:r>
        <w:rPr>
          <w:color w:val="231F20"/>
          <w:spacing w:val="-26"/>
          <w:w w:val="105"/>
        </w:rPr>
        <w:t> </w:t>
      </w:r>
      <w:r>
        <w:rPr>
          <w:color w:val="231F20"/>
          <w:spacing w:val="-4"/>
          <w:w w:val="105"/>
        </w:rPr>
        <w:t>braceros</w:t>
      </w:r>
      <w:r>
        <w:rPr>
          <w:color w:val="231F20"/>
          <w:spacing w:val="-26"/>
          <w:w w:val="105"/>
        </w:rPr>
        <w:t> </w:t>
      </w:r>
      <w:r>
        <w:rPr>
          <w:color w:val="231F20"/>
          <w:w w:val="105"/>
        </w:rPr>
        <w:t>y</w:t>
      </w:r>
      <w:r>
        <w:rPr>
          <w:color w:val="231F20"/>
          <w:spacing w:val="-26"/>
          <w:w w:val="105"/>
        </w:rPr>
        <w:t> </w:t>
      </w:r>
      <w:r>
        <w:rPr>
          <w:color w:val="231F20"/>
          <w:w w:val="105"/>
        </w:rPr>
        <w:t>sus</w:t>
      </w:r>
      <w:r>
        <w:rPr>
          <w:color w:val="231F20"/>
          <w:spacing w:val="-26"/>
          <w:w w:val="105"/>
        </w:rPr>
        <w:t> </w:t>
      </w:r>
      <w:r>
        <w:rPr>
          <w:color w:val="231F20"/>
          <w:spacing w:val="-3"/>
          <w:w w:val="105"/>
        </w:rPr>
        <w:t>familiares</w:t>
      </w:r>
      <w:r>
        <w:rPr>
          <w:color w:val="231F20"/>
          <w:spacing w:val="-26"/>
          <w:w w:val="105"/>
        </w:rPr>
        <w:t> </w:t>
      </w:r>
      <w:r>
        <w:rPr>
          <w:color w:val="231F20"/>
          <w:w w:val="105"/>
        </w:rPr>
        <w:t>del</w:t>
      </w:r>
      <w:r>
        <w:rPr>
          <w:color w:val="231F20"/>
          <w:spacing w:val="-26"/>
          <w:w w:val="105"/>
        </w:rPr>
        <w:t> </w:t>
      </w:r>
      <w:r>
        <w:rPr>
          <w:color w:val="231F20"/>
          <w:spacing w:val="-5"/>
          <w:w w:val="105"/>
        </w:rPr>
        <w:t>Fondo</w:t>
      </w:r>
      <w:r>
        <w:rPr>
          <w:color w:val="231F20"/>
          <w:spacing w:val="-26"/>
          <w:w w:val="105"/>
        </w:rPr>
        <w:t> </w:t>
      </w:r>
      <w:r>
        <w:rPr>
          <w:color w:val="231F20"/>
          <w:w w:val="105"/>
        </w:rPr>
        <w:t>de</w:t>
      </w:r>
      <w:r>
        <w:rPr>
          <w:color w:val="231F20"/>
          <w:spacing w:val="-29"/>
          <w:w w:val="105"/>
        </w:rPr>
        <w:t> </w:t>
      </w:r>
      <w:r>
        <w:rPr>
          <w:color w:val="231F20"/>
          <w:spacing w:val="-3"/>
          <w:w w:val="105"/>
        </w:rPr>
        <w:t>Ahorro</w:t>
      </w:r>
      <w:r>
        <w:rPr>
          <w:color w:val="231F20"/>
          <w:spacing w:val="-26"/>
          <w:w w:val="105"/>
        </w:rPr>
        <w:t> </w:t>
      </w:r>
      <w:r>
        <w:rPr>
          <w:color w:val="231F20"/>
          <w:spacing w:val="-3"/>
          <w:w w:val="105"/>
        </w:rPr>
        <w:t>Campesino”</w:t>
      </w:r>
      <w:r>
        <w:rPr>
          <w:color w:val="231F20"/>
          <w:spacing w:val="-26"/>
          <w:w w:val="105"/>
        </w:rPr>
        <w:t> </w:t>
      </w:r>
      <w:r>
        <w:rPr>
          <w:color w:val="231F20"/>
          <w:w w:val="105"/>
        </w:rPr>
        <w:t>(Velasco, 2010:</w:t>
      </w:r>
      <w:r>
        <w:rPr>
          <w:color w:val="231F20"/>
          <w:spacing w:val="-28"/>
          <w:w w:val="105"/>
        </w:rPr>
        <w:t> </w:t>
      </w:r>
      <w:r>
        <w:rPr>
          <w:color w:val="231F20"/>
          <w:w w:val="105"/>
        </w:rPr>
        <w:t>325).</w:t>
      </w:r>
    </w:p>
    <w:p>
      <w:pPr>
        <w:pStyle w:val="BodyText"/>
        <w:spacing w:line="261" w:lineRule="auto" w:before="1"/>
        <w:ind w:left="1723" w:right="1829" w:firstLine="567"/>
        <w:jc w:val="both"/>
      </w:pPr>
      <w:r>
        <w:rPr>
          <w:color w:val="231F20"/>
          <w:w w:val="105"/>
        </w:rPr>
        <w:t>En el caso del Estado de México, y de acuerdo con el censo de población</w:t>
      </w:r>
      <w:r>
        <w:rPr>
          <w:color w:val="231F20"/>
          <w:spacing w:val="-7"/>
          <w:w w:val="105"/>
        </w:rPr>
        <w:t> </w:t>
      </w:r>
      <w:r>
        <w:rPr>
          <w:color w:val="231F20"/>
          <w:w w:val="105"/>
        </w:rPr>
        <w:t>y</w:t>
      </w:r>
      <w:r>
        <w:rPr>
          <w:color w:val="231F20"/>
          <w:spacing w:val="-7"/>
          <w:w w:val="105"/>
        </w:rPr>
        <w:t> </w:t>
      </w:r>
      <w:r>
        <w:rPr>
          <w:color w:val="231F20"/>
          <w:w w:val="105"/>
        </w:rPr>
        <w:t>vivienda</w:t>
      </w:r>
      <w:r>
        <w:rPr>
          <w:color w:val="231F20"/>
          <w:spacing w:val="-7"/>
          <w:w w:val="105"/>
        </w:rPr>
        <w:t> </w:t>
      </w:r>
      <w:r>
        <w:rPr>
          <w:color w:val="231F20"/>
          <w:w w:val="105"/>
        </w:rPr>
        <w:t>de</w:t>
      </w:r>
      <w:r>
        <w:rPr>
          <w:color w:val="231F20"/>
          <w:spacing w:val="-7"/>
          <w:w w:val="105"/>
        </w:rPr>
        <w:t> </w:t>
      </w:r>
      <w:r>
        <w:rPr>
          <w:color w:val="231F20"/>
          <w:w w:val="105"/>
        </w:rPr>
        <w:t>2010</w:t>
      </w:r>
      <w:r>
        <w:rPr>
          <w:color w:val="231F20"/>
          <w:spacing w:val="-7"/>
          <w:w w:val="105"/>
        </w:rPr>
        <w:t> </w:t>
      </w:r>
      <w:r>
        <w:rPr>
          <w:color w:val="231F20"/>
          <w:w w:val="105"/>
        </w:rPr>
        <w:t>(</w:t>
      </w:r>
      <w:r>
        <w:rPr>
          <w:color w:val="231F20"/>
          <w:w w:val="105"/>
          <w:sz w:val="17"/>
        </w:rPr>
        <w:t>INEGI</w:t>
      </w:r>
      <w:r>
        <w:rPr>
          <w:color w:val="231F20"/>
          <w:w w:val="105"/>
        </w:rPr>
        <w:t>),</w:t>
      </w:r>
      <w:r>
        <w:rPr>
          <w:color w:val="231F20"/>
          <w:spacing w:val="-12"/>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indígena</w:t>
      </w:r>
      <w:r>
        <w:rPr>
          <w:color w:val="231F20"/>
          <w:spacing w:val="-7"/>
          <w:w w:val="105"/>
        </w:rPr>
        <w:t> </w:t>
      </w:r>
      <w:r>
        <w:rPr>
          <w:color w:val="231F20"/>
          <w:w w:val="105"/>
        </w:rPr>
        <w:t>se</w:t>
      </w:r>
      <w:r>
        <w:rPr>
          <w:color w:val="231F20"/>
          <w:spacing w:val="-7"/>
          <w:w w:val="105"/>
        </w:rPr>
        <w:t> </w:t>
      </w:r>
      <w:r>
        <w:rPr>
          <w:color w:val="231F20"/>
          <w:w w:val="105"/>
        </w:rPr>
        <w:t>compone de</w:t>
      </w:r>
      <w:r>
        <w:rPr>
          <w:color w:val="231F20"/>
          <w:spacing w:val="-36"/>
          <w:w w:val="105"/>
        </w:rPr>
        <w:t> </w:t>
      </w:r>
      <w:r>
        <w:rPr>
          <w:color w:val="231F20"/>
          <w:w w:val="105"/>
        </w:rPr>
        <w:t>mazahuas,</w:t>
      </w:r>
      <w:r>
        <w:rPr>
          <w:color w:val="231F20"/>
          <w:spacing w:val="-39"/>
          <w:w w:val="105"/>
        </w:rPr>
        <w:t> </w:t>
      </w:r>
      <w:r>
        <w:rPr>
          <w:color w:val="231F20"/>
          <w:w w:val="105"/>
        </w:rPr>
        <w:t>otomíes,</w:t>
      </w:r>
      <w:r>
        <w:rPr>
          <w:color w:val="231F20"/>
          <w:spacing w:val="-39"/>
          <w:w w:val="105"/>
        </w:rPr>
        <w:t> </w:t>
      </w:r>
      <w:r>
        <w:rPr>
          <w:color w:val="231F20"/>
          <w:w w:val="105"/>
        </w:rPr>
        <w:t>nahuas,</w:t>
      </w:r>
      <w:r>
        <w:rPr>
          <w:color w:val="231F20"/>
          <w:spacing w:val="-39"/>
          <w:w w:val="105"/>
        </w:rPr>
        <w:t> </w:t>
      </w:r>
      <w:r>
        <w:rPr>
          <w:color w:val="231F20"/>
          <w:w w:val="105"/>
        </w:rPr>
        <w:t>tlahuicas</w:t>
      </w:r>
      <w:r>
        <w:rPr>
          <w:color w:val="231F20"/>
          <w:spacing w:val="-36"/>
          <w:w w:val="105"/>
        </w:rPr>
        <w:t> </w:t>
      </w:r>
      <w:r>
        <w:rPr>
          <w:color w:val="231F20"/>
          <w:w w:val="105"/>
        </w:rPr>
        <w:t>y</w:t>
      </w:r>
      <w:r>
        <w:rPr>
          <w:color w:val="231F20"/>
          <w:spacing w:val="-36"/>
          <w:w w:val="105"/>
        </w:rPr>
        <w:t> </w:t>
      </w:r>
      <w:r>
        <w:rPr>
          <w:color w:val="231F20"/>
          <w:w w:val="105"/>
        </w:rPr>
        <w:t>matlazincas.</w:t>
      </w:r>
      <w:r>
        <w:rPr>
          <w:color w:val="231F20"/>
          <w:spacing w:val="-39"/>
          <w:w w:val="105"/>
        </w:rPr>
        <w:t> </w:t>
      </w:r>
      <w:r>
        <w:rPr>
          <w:color w:val="231F20"/>
          <w:w w:val="105"/>
        </w:rPr>
        <w:t>La</w:t>
      </w:r>
      <w:r>
        <w:rPr>
          <w:color w:val="231F20"/>
          <w:spacing w:val="-36"/>
          <w:w w:val="105"/>
        </w:rPr>
        <w:t> </w:t>
      </w:r>
      <w:r>
        <w:rPr>
          <w:color w:val="231F20"/>
          <w:w w:val="105"/>
        </w:rPr>
        <w:t>población</w:t>
      </w:r>
      <w:r>
        <w:rPr>
          <w:color w:val="231F20"/>
          <w:spacing w:val="-36"/>
          <w:w w:val="105"/>
        </w:rPr>
        <w:t> </w:t>
      </w:r>
      <w:r>
        <w:rPr>
          <w:color w:val="231F20"/>
          <w:w w:val="105"/>
        </w:rPr>
        <w:t>ma- zahua</w:t>
      </w:r>
      <w:r>
        <w:rPr>
          <w:color w:val="231F20"/>
          <w:spacing w:val="-15"/>
          <w:w w:val="105"/>
        </w:rPr>
        <w:t> </w:t>
      </w:r>
      <w:r>
        <w:rPr>
          <w:color w:val="231F20"/>
          <w:w w:val="105"/>
        </w:rPr>
        <w:t>es</w:t>
      </w:r>
      <w:r>
        <w:rPr>
          <w:color w:val="231F20"/>
          <w:spacing w:val="-15"/>
          <w:w w:val="105"/>
        </w:rPr>
        <w:t> </w:t>
      </w:r>
      <w:r>
        <w:rPr>
          <w:color w:val="231F20"/>
          <w:w w:val="105"/>
        </w:rPr>
        <w:t>la</w:t>
      </w:r>
      <w:r>
        <w:rPr>
          <w:color w:val="231F20"/>
          <w:spacing w:val="-15"/>
          <w:w w:val="105"/>
        </w:rPr>
        <w:t> </w:t>
      </w:r>
      <w:r>
        <w:rPr>
          <w:color w:val="231F20"/>
          <w:w w:val="105"/>
        </w:rPr>
        <w:t>más</w:t>
      </w:r>
      <w:r>
        <w:rPr>
          <w:color w:val="231F20"/>
          <w:spacing w:val="-15"/>
          <w:w w:val="105"/>
        </w:rPr>
        <w:t> </w:t>
      </w:r>
      <w:r>
        <w:rPr>
          <w:color w:val="231F20"/>
          <w:w w:val="105"/>
        </w:rPr>
        <w:t>numerosa</w:t>
      </w:r>
      <w:r>
        <w:rPr>
          <w:color w:val="231F20"/>
          <w:spacing w:val="-15"/>
          <w:w w:val="105"/>
        </w:rPr>
        <w:t> </w:t>
      </w:r>
      <w:r>
        <w:rPr>
          <w:color w:val="231F20"/>
          <w:w w:val="105"/>
        </w:rPr>
        <w:t>de</w:t>
      </w:r>
      <w:r>
        <w:rPr>
          <w:color w:val="231F20"/>
          <w:spacing w:val="-15"/>
          <w:w w:val="105"/>
        </w:rPr>
        <w:t> </w:t>
      </w:r>
      <w:r>
        <w:rPr>
          <w:color w:val="231F20"/>
          <w:w w:val="105"/>
        </w:rPr>
        <w:t>acuerdo</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criterio</w:t>
      </w:r>
      <w:r>
        <w:rPr>
          <w:color w:val="231F20"/>
          <w:spacing w:val="-15"/>
          <w:w w:val="105"/>
        </w:rPr>
        <w:t> </w:t>
      </w:r>
      <w:r>
        <w:rPr>
          <w:color w:val="231F20"/>
          <w:w w:val="105"/>
        </w:rPr>
        <w:t>“hablante</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len- gua” con un total de 116,240 personas, que representan el 52.27%. De acuerdo con su localización geográfica, los municipios de San José</w:t>
      </w:r>
      <w:r>
        <w:rPr>
          <w:color w:val="231F20"/>
          <w:spacing w:val="-22"/>
          <w:w w:val="105"/>
        </w:rPr>
        <w:t> </w:t>
      </w:r>
      <w:r>
        <w:rPr>
          <w:color w:val="231F20"/>
          <w:w w:val="105"/>
        </w:rPr>
        <w:t>del Rincón,</w:t>
      </w:r>
      <w:r>
        <w:rPr>
          <w:color w:val="231F20"/>
          <w:spacing w:val="-18"/>
          <w:w w:val="105"/>
        </w:rPr>
        <w:t> </w:t>
      </w:r>
      <w:r>
        <w:rPr>
          <w:color w:val="231F20"/>
          <w:w w:val="105"/>
        </w:rPr>
        <w:t>San</w:t>
      </w:r>
      <w:r>
        <w:rPr>
          <w:color w:val="231F20"/>
          <w:spacing w:val="-14"/>
          <w:w w:val="105"/>
        </w:rPr>
        <w:t> </w:t>
      </w:r>
      <w:r>
        <w:rPr>
          <w:color w:val="231F20"/>
          <w:w w:val="105"/>
        </w:rPr>
        <w:t>Felipe</w:t>
      </w:r>
      <w:r>
        <w:rPr>
          <w:color w:val="231F20"/>
          <w:spacing w:val="-14"/>
          <w:w w:val="105"/>
        </w:rPr>
        <w:t> </w:t>
      </w:r>
      <w:r>
        <w:rPr>
          <w:color w:val="231F20"/>
          <w:w w:val="105"/>
        </w:rPr>
        <w:t>del</w:t>
      </w:r>
      <w:r>
        <w:rPr>
          <w:color w:val="231F20"/>
          <w:spacing w:val="-14"/>
          <w:w w:val="105"/>
        </w:rPr>
        <w:t> </w:t>
      </w:r>
      <w:r>
        <w:rPr>
          <w:color w:val="231F20"/>
          <w:spacing w:val="-3"/>
          <w:w w:val="105"/>
        </w:rPr>
        <w:t>Progreso,</w:t>
      </w:r>
      <w:r>
        <w:rPr>
          <w:color w:val="231F20"/>
          <w:spacing w:val="-21"/>
          <w:w w:val="105"/>
        </w:rPr>
        <w:t> </w:t>
      </w:r>
      <w:r>
        <w:rPr>
          <w:color w:val="231F20"/>
          <w:spacing w:val="-3"/>
          <w:w w:val="105"/>
        </w:rPr>
        <w:t>Temoaya,</w:t>
      </w:r>
      <w:r>
        <w:rPr>
          <w:color w:val="231F20"/>
          <w:spacing w:val="-18"/>
          <w:w w:val="105"/>
        </w:rPr>
        <w:t> </w:t>
      </w:r>
      <w:r>
        <w:rPr>
          <w:color w:val="231F20"/>
          <w:w w:val="105"/>
        </w:rPr>
        <w:t>Ixtlahuaca</w:t>
      </w:r>
      <w:r>
        <w:rPr>
          <w:color w:val="231F20"/>
          <w:spacing w:val="-14"/>
          <w:w w:val="105"/>
        </w:rPr>
        <w:t> </w:t>
      </w:r>
      <w:r>
        <w:rPr>
          <w:color w:val="231F20"/>
          <w:w w:val="105"/>
        </w:rPr>
        <w:t>y</w:t>
      </w:r>
      <w:r>
        <w:rPr>
          <w:color w:val="231F20"/>
          <w:spacing w:val="-17"/>
          <w:w w:val="105"/>
        </w:rPr>
        <w:t> </w:t>
      </w:r>
      <w:r>
        <w:rPr>
          <w:color w:val="231F20"/>
          <w:spacing w:val="-3"/>
          <w:w w:val="105"/>
        </w:rPr>
        <w:t>Toluca,</w:t>
      </w:r>
      <w:r>
        <w:rPr>
          <w:color w:val="231F20"/>
          <w:spacing w:val="-18"/>
          <w:w w:val="105"/>
        </w:rPr>
        <w:t> </w:t>
      </w:r>
      <w:r>
        <w:rPr>
          <w:color w:val="231F20"/>
          <w:w w:val="105"/>
        </w:rPr>
        <w:t>concen- tran la mayor cantidad de población indígena en la entidad. Además</w:t>
      </w:r>
      <w:r>
        <w:rPr>
          <w:color w:val="231F20"/>
          <w:spacing w:val="-19"/>
          <w:w w:val="105"/>
        </w:rPr>
        <w:t> </w:t>
      </w:r>
      <w:r>
        <w:rPr>
          <w:color w:val="231F20"/>
          <w:w w:val="105"/>
        </w:rPr>
        <w:t>de población</w:t>
      </w:r>
      <w:r>
        <w:rPr>
          <w:color w:val="231F20"/>
          <w:spacing w:val="-5"/>
          <w:w w:val="105"/>
        </w:rPr>
        <w:t> </w:t>
      </w:r>
      <w:r>
        <w:rPr>
          <w:color w:val="231F20"/>
          <w:w w:val="105"/>
        </w:rPr>
        <w:t>originaria,</w:t>
      </w:r>
      <w:r>
        <w:rPr>
          <w:color w:val="231F20"/>
          <w:spacing w:val="-13"/>
          <w:w w:val="105"/>
        </w:rPr>
        <w:t> </w:t>
      </w:r>
      <w:r>
        <w:rPr>
          <w:color w:val="231F20"/>
          <w:w w:val="105"/>
        </w:rPr>
        <w:t>el</w:t>
      </w:r>
      <w:r>
        <w:rPr>
          <w:color w:val="231F20"/>
          <w:spacing w:val="-5"/>
          <w:w w:val="105"/>
        </w:rPr>
        <w:t> </w:t>
      </w:r>
      <w:r>
        <w:rPr>
          <w:color w:val="231F20"/>
          <w:w w:val="105"/>
        </w:rPr>
        <w:t>conteo</w:t>
      </w:r>
      <w:r>
        <w:rPr>
          <w:color w:val="231F20"/>
          <w:spacing w:val="-5"/>
          <w:w w:val="105"/>
        </w:rPr>
        <w:t> </w:t>
      </w:r>
      <w:r>
        <w:rPr>
          <w:color w:val="231F20"/>
          <w:w w:val="105"/>
        </w:rPr>
        <w:t>poblacional</w:t>
      </w:r>
      <w:r>
        <w:rPr>
          <w:color w:val="231F20"/>
          <w:spacing w:val="-5"/>
          <w:w w:val="105"/>
        </w:rPr>
        <w:t> </w:t>
      </w:r>
      <w:r>
        <w:rPr>
          <w:color w:val="231F20"/>
          <w:w w:val="105"/>
        </w:rPr>
        <w:t>identificó</w:t>
      </w:r>
      <w:r>
        <w:rPr>
          <w:color w:val="231F20"/>
          <w:spacing w:val="-5"/>
          <w:w w:val="105"/>
        </w:rPr>
        <w:t> </w:t>
      </w:r>
      <w:r>
        <w:rPr>
          <w:color w:val="231F20"/>
          <w:w w:val="105"/>
        </w:rPr>
        <w:t>el</w:t>
      </w:r>
      <w:r>
        <w:rPr>
          <w:color w:val="231F20"/>
          <w:spacing w:val="-5"/>
          <w:w w:val="105"/>
        </w:rPr>
        <w:t> </w:t>
      </w:r>
      <w:r>
        <w:rPr>
          <w:color w:val="231F20"/>
          <w:w w:val="105"/>
        </w:rPr>
        <w:t>asentamiento</w:t>
      </w:r>
      <w:r>
        <w:rPr>
          <w:color w:val="231F20"/>
          <w:spacing w:val="-5"/>
          <w:w w:val="105"/>
        </w:rPr>
        <w:t> </w:t>
      </w:r>
      <w:r>
        <w:rPr>
          <w:color w:val="231F20"/>
          <w:w w:val="105"/>
        </w:rPr>
        <w:t>de pobladores indígenas en los municipios limítrofes a la ciudad de Méxi- co</w:t>
      </w:r>
      <w:r>
        <w:rPr>
          <w:color w:val="231F20"/>
          <w:spacing w:val="-30"/>
          <w:w w:val="105"/>
        </w:rPr>
        <w:t> </w:t>
      </w:r>
      <w:r>
        <w:rPr>
          <w:color w:val="231F20"/>
          <w:w w:val="105"/>
        </w:rPr>
        <w:t>como</w:t>
      </w:r>
      <w:r>
        <w:rPr>
          <w:color w:val="231F20"/>
          <w:spacing w:val="-30"/>
          <w:w w:val="105"/>
        </w:rPr>
        <w:t> </w:t>
      </w:r>
      <w:r>
        <w:rPr>
          <w:color w:val="231F20"/>
          <w:w w:val="105"/>
        </w:rPr>
        <w:t>Ecatepec,</w:t>
      </w:r>
      <w:r>
        <w:rPr>
          <w:color w:val="231F20"/>
          <w:spacing w:val="-34"/>
          <w:w w:val="105"/>
        </w:rPr>
        <w:t> </w:t>
      </w:r>
      <w:r>
        <w:rPr>
          <w:color w:val="231F20"/>
          <w:w w:val="105"/>
        </w:rPr>
        <w:t>Naucalpan,</w:t>
      </w:r>
      <w:r>
        <w:rPr>
          <w:color w:val="231F20"/>
          <w:spacing w:val="-34"/>
          <w:w w:val="105"/>
        </w:rPr>
        <w:t> </w:t>
      </w:r>
      <w:r>
        <w:rPr>
          <w:color w:val="231F20"/>
          <w:w w:val="105"/>
        </w:rPr>
        <w:t>Chimalhuacán,</w:t>
      </w:r>
      <w:r>
        <w:rPr>
          <w:color w:val="231F20"/>
          <w:spacing w:val="-34"/>
          <w:w w:val="105"/>
        </w:rPr>
        <w:t> </w:t>
      </w:r>
      <w:r>
        <w:rPr>
          <w:color w:val="231F20"/>
          <w:w w:val="105"/>
        </w:rPr>
        <w:t>Nezahualcóyotl</w:t>
      </w:r>
      <w:r>
        <w:rPr>
          <w:color w:val="231F20"/>
          <w:spacing w:val="-30"/>
          <w:w w:val="105"/>
        </w:rPr>
        <w:t> </w:t>
      </w:r>
      <w:r>
        <w:rPr>
          <w:color w:val="231F20"/>
          <w:w w:val="105"/>
        </w:rPr>
        <w:t>y</w:t>
      </w:r>
      <w:r>
        <w:rPr>
          <w:color w:val="231F20"/>
          <w:spacing w:val="-33"/>
          <w:w w:val="105"/>
        </w:rPr>
        <w:t> </w:t>
      </w:r>
      <w:r>
        <w:rPr>
          <w:color w:val="231F20"/>
          <w:w w:val="105"/>
        </w:rPr>
        <w:t>Valle</w:t>
      </w:r>
      <w:r>
        <w:rPr>
          <w:color w:val="231F20"/>
          <w:spacing w:val="-30"/>
          <w:w w:val="105"/>
        </w:rPr>
        <w:t> </w:t>
      </w:r>
      <w:r>
        <w:rPr>
          <w:color w:val="231F20"/>
          <w:w w:val="105"/>
        </w:rPr>
        <w:t>de Chalco</w:t>
      </w:r>
      <w:r>
        <w:rPr>
          <w:color w:val="231F20"/>
          <w:spacing w:val="-6"/>
          <w:w w:val="105"/>
        </w:rPr>
        <w:t> </w:t>
      </w:r>
      <w:r>
        <w:rPr>
          <w:color w:val="231F20"/>
          <w:w w:val="105"/>
        </w:rPr>
        <w:t>Solidaridad,</w:t>
      </w:r>
      <w:r>
        <w:rPr>
          <w:color w:val="231F20"/>
          <w:spacing w:val="-11"/>
          <w:w w:val="105"/>
        </w:rPr>
        <w:t> </w:t>
      </w:r>
      <w:r>
        <w:rPr>
          <w:color w:val="231F20"/>
          <w:w w:val="105"/>
        </w:rPr>
        <w:t>provenientes</w:t>
      </w:r>
      <w:r>
        <w:rPr>
          <w:color w:val="231F20"/>
          <w:spacing w:val="-6"/>
          <w:w w:val="105"/>
        </w:rPr>
        <w:t> </w:t>
      </w:r>
      <w:r>
        <w:rPr>
          <w:color w:val="231F20"/>
          <w:w w:val="105"/>
        </w:rPr>
        <w:t>de</w:t>
      </w:r>
      <w:r>
        <w:rPr>
          <w:color w:val="231F20"/>
          <w:spacing w:val="-6"/>
          <w:w w:val="105"/>
        </w:rPr>
        <w:t> </w:t>
      </w:r>
      <w:r>
        <w:rPr>
          <w:color w:val="231F20"/>
          <w:w w:val="105"/>
        </w:rPr>
        <w:t>entidades</w:t>
      </w:r>
      <w:r>
        <w:rPr>
          <w:color w:val="231F20"/>
          <w:spacing w:val="-6"/>
          <w:w w:val="105"/>
        </w:rPr>
        <w:t> </w:t>
      </w:r>
      <w:r>
        <w:rPr>
          <w:color w:val="231F20"/>
          <w:w w:val="105"/>
        </w:rPr>
        <w:t>vecinas</w:t>
      </w:r>
      <w:r>
        <w:rPr>
          <w:color w:val="231F20"/>
          <w:spacing w:val="-6"/>
          <w:w w:val="105"/>
        </w:rPr>
        <w:t> </w:t>
      </w:r>
      <w:r>
        <w:rPr>
          <w:color w:val="231F20"/>
          <w:w w:val="105"/>
        </w:rPr>
        <w:t>como</w:t>
      </w:r>
      <w:r>
        <w:rPr>
          <w:color w:val="231F20"/>
          <w:spacing w:val="-6"/>
          <w:w w:val="105"/>
        </w:rPr>
        <w:t> </w:t>
      </w:r>
      <w:r>
        <w:rPr>
          <w:color w:val="231F20"/>
          <w:w w:val="105"/>
        </w:rPr>
        <w:t>Guerrero, </w:t>
      </w:r>
      <w:r>
        <w:rPr>
          <w:color w:val="231F20"/>
        </w:rPr>
        <w:t>Puebla y</w:t>
      </w:r>
      <w:r>
        <w:rPr>
          <w:color w:val="231F20"/>
          <w:spacing w:val="-41"/>
        </w:rPr>
        <w:t> </w:t>
      </w:r>
      <w:r>
        <w:rPr>
          <w:color w:val="231F20"/>
        </w:rPr>
        <w:t>Tlaxcala.</w:t>
      </w:r>
    </w:p>
    <w:p>
      <w:pPr>
        <w:pStyle w:val="BodyText"/>
        <w:spacing w:line="261" w:lineRule="auto" w:before="1"/>
        <w:ind w:left="1723" w:right="1829" w:firstLine="567"/>
        <w:jc w:val="both"/>
      </w:pPr>
      <w:r>
        <w:rPr>
          <w:color w:val="231F20"/>
          <w:w w:val="105"/>
        </w:rPr>
        <w:t>Los</w:t>
      </w:r>
      <w:r>
        <w:rPr>
          <w:color w:val="231F20"/>
          <w:spacing w:val="-11"/>
          <w:w w:val="105"/>
        </w:rPr>
        <w:t> </w:t>
      </w:r>
      <w:r>
        <w:rPr>
          <w:color w:val="231F20"/>
          <w:w w:val="105"/>
        </w:rPr>
        <w:t>desplazamientos</w:t>
      </w:r>
      <w:r>
        <w:rPr>
          <w:color w:val="231F20"/>
          <w:spacing w:val="-11"/>
          <w:w w:val="105"/>
        </w:rPr>
        <w:t> </w:t>
      </w:r>
      <w:r>
        <w:rPr>
          <w:color w:val="231F20"/>
          <w:w w:val="105"/>
        </w:rPr>
        <w:t>del</w:t>
      </w:r>
      <w:r>
        <w:rPr>
          <w:color w:val="231F20"/>
          <w:spacing w:val="-11"/>
          <w:w w:val="105"/>
        </w:rPr>
        <w:t> </w:t>
      </w:r>
      <w:r>
        <w:rPr>
          <w:color w:val="231F20"/>
          <w:w w:val="105"/>
        </w:rPr>
        <w:t>lugar</w:t>
      </w:r>
      <w:r>
        <w:rPr>
          <w:color w:val="231F20"/>
          <w:spacing w:val="-11"/>
          <w:w w:val="105"/>
        </w:rPr>
        <w:t> </w:t>
      </w:r>
      <w:r>
        <w:rPr>
          <w:color w:val="231F20"/>
          <w:w w:val="105"/>
        </w:rPr>
        <w:t>de</w:t>
      </w:r>
      <w:r>
        <w:rPr>
          <w:color w:val="231F20"/>
          <w:spacing w:val="-11"/>
          <w:w w:val="105"/>
        </w:rPr>
        <w:t> </w:t>
      </w:r>
      <w:r>
        <w:rPr>
          <w:color w:val="231F20"/>
          <w:w w:val="105"/>
        </w:rPr>
        <w:t>residencia</w:t>
      </w:r>
      <w:r>
        <w:rPr>
          <w:color w:val="231F20"/>
          <w:spacing w:val="-11"/>
          <w:w w:val="105"/>
        </w:rPr>
        <w:t> </w:t>
      </w:r>
      <w:r>
        <w:rPr>
          <w:color w:val="231F20"/>
          <w:w w:val="105"/>
        </w:rPr>
        <w:t>al</w:t>
      </w:r>
      <w:r>
        <w:rPr>
          <w:color w:val="231F20"/>
          <w:spacing w:val="-11"/>
          <w:w w:val="105"/>
        </w:rPr>
        <w:t> </w:t>
      </w:r>
      <w:r>
        <w:rPr>
          <w:color w:val="231F20"/>
          <w:w w:val="105"/>
        </w:rPr>
        <w:t>lugar</w:t>
      </w:r>
      <w:r>
        <w:rPr>
          <w:color w:val="231F20"/>
          <w:spacing w:val="-11"/>
          <w:w w:val="105"/>
        </w:rPr>
        <w:t> </w:t>
      </w:r>
      <w:r>
        <w:rPr>
          <w:color w:val="231F20"/>
          <w:w w:val="105"/>
        </w:rPr>
        <w:t>de</w:t>
      </w:r>
      <w:r>
        <w:rPr>
          <w:color w:val="231F20"/>
          <w:spacing w:val="-11"/>
          <w:w w:val="105"/>
        </w:rPr>
        <w:t> </w:t>
      </w:r>
      <w:r>
        <w:rPr>
          <w:color w:val="231F20"/>
          <w:w w:val="105"/>
        </w:rPr>
        <w:t>trabajo</w:t>
      </w:r>
      <w:r>
        <w:rPr>
          <w:color w:val="231F20"/>
          <w:spacing w:val="-11"/>
          <w:w w:val="105"/>
        </w:rPr>
        <w:t> </w:t>
      </w:r>
      <w:r>
        <w:rPr>
          <w:color w:val="231F20"/>
          <w:w w:val="105"/>
        </w:rPr>
        <w:t>es el tipo de movilidad predominante en el Estado de México, y responde a</w:t>
      </w:r>
      <w:r>
        <w:rPr>
          <w:color w:val="231F20"/>
          <w:spacing w:val="-14"/>
          <w:w w:val="105"/>
        </w:rPr>
        <w:t> </w:t>
      </w:r>
      <w:r>
        <w:rPr>
          <w:color w:val="231F20"/>
          <w:w w:val="105"/>
        </w:rPr>
        <w:t>la</w:t>
      </w:r>
      <w:r>
        <w:rPr>
          <w:color w:val="231F20"/>
          <w:spacing w:val="-14"/>
          <w:w w:val="105"/>
        </w:rPr>
        <w:t> </w:t>
      </w:r>
      <w:r>
        <w:rPr>
          <w:color w:val="231F20"/>
          <w:w w:val="105"/>
        </w:rPr>
        <w:t>lógica</w:t>
      </w:r>
      <w:r>
        <w:rPr>
          <w:color w:val="231F20"/>
          <w:spacing w:val="-14"/>
          <w:w w:val="105"/>
        </w:rPr>
        <w:t> </w:t>
      </w:r>
      <w:r>
        <w:rPr>
          <w:color w:val="231F20"/>
          <w:w w:val="105"/>
        </w:rPr>
        <w:t>de</w:t>
      </w:r>
      <w:r>
        <w:rPr>
          <w:color w:val="231F20"/>
          <w:spacing w:val="-14"/>
          <w:w w:val="105"/>
        </w:rPr>
        <w:t> </w:t>
      </w:r>
      <w:r>
        <w:rPr>
          <w:color w:val="231F20"/>
          <w:w w:val="105"/>
        </w:rPr>
        <w:t>distribución</w:t>
      </w:r>
      <w:r>
        <w:rPr>
          <w:color w:val="231F20"/>
          <w:spacing w:val="-14"/>
          <w:w w:val="105"/>
        </w:rPr>
        <w:t> </w:t>
      </w:r>
      <w:r>
        <w:rPr>
          <w:color w:val="231F20"/>
          <w:w w:val="105"/>
        </w:rPr>
        <w:t>espacial</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mercados</w:t>
      </w:r>
      <w:r>
        <w:rPr>
          <w:color w:val="231F20"/>
          <w:spacing w:val="-14"/>
          <w:w w:val="105"/>
        </w:rPr>
        <w:t> </w:t>
      </w:r>
      <w:r>
        <w:rPr>
          <w:color w:val="231F20"/>
          <w:w w:val="105"/>
        </w:rPr>
        <w:t>de</w:t>
      </w:r>
      <w:r>
        <w:rPr>
          <w:color w:val="231F20"/>
          <w:spacing w:val="-14"/>
          <w:w w:val="105"/>
        </w:rPr>
        <w:t> </w:t>
      </w:r>
      <w:r>
        <w:rPr>
          <w:color w:val="231F20"/>
          <w:w w:val="105"/>
        </w:rPr>
        <w:t>trabajo</w:t>
      </w:r>
      <w:r>
        <w:rPr>
          <w:color w:val="231F20"/>
          <w:spacing w:val="-14"/>
          <w:w w:val="105"/>
        </w:rPr>
        <w:t> </w:t>
      </w:r>
      <w:r>
        <w:rPr>
          <w:color w:val="231F20"/>
          <w:w w:val="105"/>
        </w:rPr>
        <w:t>y</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vida económica</w:t>
      </w:r>
      <w:r>
        <w:rPr>
          <w:color w:val="231F20"/>
          <w:spacing w:val="-14"/>
          <w:w w:val="105"/>
        </w:rPr>
        <w:t> </w:t>
      </w:r>
      <w:r>
        <w:rPr>
          <w:color w:val="231F20"/>
          <w:w w:val="105"/>
        </w:rPr>
        <w:t>del</w:t>
      </w:r>
      <w:r>
        <w:rPr>
          <w:color w:val="231F20"/>
          <w:spacing w:val="-14"/>
          <w:w w:val="105"/>
        </w:rPr>
        <w:t> </w:t>
      </w:r>
      <w:r>
        <w:rPr>
          <w:color w:val="231F20"/>
          <w:w w:val="105"/>
        </w:rPr>
        <w:t>valle</w:t>
      </w:r>
      <w:r>
        <w:rPr>
          <w:color w:val="231F20"/>
          <w:spacing w:val="-14"/>
          <w:w w:val="105"/>
        </w:rPr>
        <w:t> </w:t>
      </w:r>
      <w:r>
        <w:rPr>
          <w:color w:val="231F20"/>
          <w:w w:val="105"/>
        </w:rPr>
        <w:t>de</w:t>
      </w:r>
      <w:r>
        <w:rPr>
          <w:color w:val="231F20"/>
          <w:spacing w:val="-14"/>
          <w:w w:val="105"/>
        </w:rPr>
        <w:t> </w:t>
      </w:r>
      <w:r>
        <w:rPr>
          <w:color w:val="231F20"/>
          <w:w w:val="105"/>
        </w:rPr>
        <w:t>México</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valle</w:t>
      </w:r>
      <w:r>
        <w:rPr>
          <w:color w:val="231F20"/>
          <w:spacing w:val="-14"/>
          <w:w w:val="105"/>
        </w:rPr>
        <w:t> </w:t>
      </w:r>
      <w:r>
        <w:rPr>
          <w:color w:val="231F20"/>
          <w:w w:val="105"/>
        </w:rPr>
        <w:t>de</w:t>
      </w:r>
      <w:r>
        <w:rPr>
          <w:color w:val="231F20"/>
          <w:spacing w:val="-18"/>
          <w:w w:val="105"/>
        </w:rPr>
        <w:t> </w:t>
      </w:r>
      <w:r>
        <w:rPr>
          <w:color w:val="231F20"/>
          <w:spacing w:val="-4"/>
          <w:w w:val="105"/>
        </w:rPr>
        <w:t>Toluca</w:t>
      </w:r>
      <w:r>
        <w:rPr>
          <w:color w:val="231F20"/>
          <w:spacing w:val="-14"/>
          <w:w w:val="105"/>
        </w:rPr>
        <w:t> </w:t>
      </w:r>
      <w:r>
        <w:rPr>
          <w:color w:val="231F20"/>
          <w:w w:val="105"/>
        </w:rPr>
        <w:t>(González,</w:t>
      </w:r>
      <w:r>
        <w:rPr>
          <w:color w:val="231F20"/>
          <w:spacing w:val="-19"/>
          <w:w w:val="105"/>
        </w:rPr>
        <w:t> </w:t>
      </w:r>
      <w:r>
        <w:rPr>
          <w:color w:val="231F20"/>
          <w:w w:val="105"/>
        </w:rPr>
        <w:t>Montoya, López,</w:t>
      </w:r>
      <w:r>
        <w:rPr>
          <w:color w:val="231F20"/>
          <w:spacing w:val="-13"/>
          <w:w w:val="105"/>
        </w:rPr>
        <w:t> </w:t>
      </w:r>
      <w:r>
        <w:rPr>
          <w:color w:val="231F20"/>
          <w:w w:val="105"/>
        </w:rPr>
        <w:t>2012).</w:t>
      </w:r>
      <w:r>
        <w:rPr>
          <w:color w:val="231F20"/>
          <w:spacing w:val="-13"/>
          <w:w w:val="105"/>
        </w:rPr>
        <w:t> </w:t>
      </w:r>
      <w:r>
        <w:rPr>
          <w:color w:val="231F20"/>
          <w:w w:val="105"/>
        </w:rPr>
        <w:t>De</w:t>
      </w:r>
      <w:r>
        <w:rPr>
          <w:color w:val="231F20"/>
          <w:spacing w:val="-7"/>
          <w:w w:val="105"/>
        </w:rPr>
        <w:t> </w:t>
      </w:r>
      <w:r>
        <w:rPr>
          <w:color w:val="231F20"/>
          <w:w w:val="105"/>
        </w:rPr>
        <w:t>acuerdo</w:t>
      </w:r>
      <w:r>
        <w:rPr>
          <w:color w:val="231F20"/>
          <w:spacing w:val="-7"/>
          <w:w w:val="105"/>
        </w:rPr>
        <w:t> </w:t>
      </w:r>
      <w:r>
        <w:rPr>
          <w:color w:val="231F20"/>
          <w:w w:val="105"/>
        </w:rPr>
        <w:t>con</w:t>
      </w:r>
      <w:r>
        <w:rPr>
          <w:color w:val="231F20"/>
          <w:spacing w:val="-7"/>
          <w:w w:val="105"/>
        </w:rPr>
        <w:t> </w:t>
      </w:r>
      <w:r>
        <w:rPr>
          <w:color w:val="231F20"/>
          <w:w w:val="105"/>
        </w:rPr>
        <w:t>datos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Encuesta</w:t>
      </w:r>
      <w:r>
        <w:rPr>
          <w:color w:val="231F20"/>
          <w:spacing w:val="-7"/>
          <w:w w:val="105"/>
        </w:rPr>
        <w:t> </w:t>
      </w:r>
      <w:r>
        <w:rPr>
          <w:color w:val="231F20"/>
          <w:w w:val="105"/>
        </w:rPr>
        <w:t>sobre</w:t>
      </w:r>
      <w:r>
        <w:rPr>
          <w:color w:val="231F20"/>
          <w:spacing w:val="-7"/>
          <w:w w:val="105"/>
        </w:rPr>
        <w:t> </w:t>
      </w:r>
      <w:r>
        <w:rPr>
          <w:color w:val="231F20"/>
          <w:w w:val="105"/>
        </w:rPr>
        <w:t>Migración</w:t>
      </w:r>
      <w:r>
        <w:rPr>
          <w:color w:val="231F20"/>
          <w:spacing w:val="-7"/>
          <w:w w:val="105"/>
        </w:rPr>
        <w:t> </w:t>
      </w:r>
      <w:r>
        <w:rPr>
          <w:color w:val="231F20"/>
          <w:w w:val="105"/>
        </w:rPr>
        <w:t>de Mexiquenses</w:t>
      </w:r>
      <w:r>
        <w:rPr>
          <w:color w:val="231F20"/>
          <w:spacing w:val="-37"/>
          <w:w w:val="105"/>
        </w:rPr>
        <w:t> </w:t>
      </w:r>
      <w:r>
        <w:rPr>
          <w:color w:val="231F20"/>
          <w:w w:val="105"/>
        </w:rPr>
        <w:t>a</w:t>
      </w:r>
      <w:r>
        <w:rPr>
          <w:color w:val="231F20"/>
          <w:spacing w:val="-37"/>
          <w:w w:val="105"/>
        </w:rPr>
        <w:t> </w:t>
      </w:r>
      <w:r>
        <w:rPr>
          <w:color w:val="231F20"/>
          <w:w w:val="105"/>
        </w:rPr>
        <w:t>Estados</w:t>
      </w:r>
      <w:r>
        <w:rPr>
          <w:color w:val="231F20"/>
          <w:spacing w:val="-37"/>
          <w:w w:val="105"/>
        </w:rPr>
        <w:t> </w:t>
      </w:r>
      <w:r>
        <w:rPr>
          <w:color w:val="231F20"/>
          <w:w w:val="105"/>
        </w:rPr>
        <w:t>Unidos</w:t>
      </w:r>
      <w:r>
        <w:rPr>
          <w:color w:val="231F20"/>
          <w:spacing w:val="-37"/>
          <w:w w:val="105"/>
        </w:rPr>
        <w:t> </w:t>
      </w:r>
      <w:r>
        <w:rPr>
          <w:color w:val="231F20"/>
          <w:w w:val="105"/>
        </w:rPr>
        <w:t>(</w:t>
      </w:r>
      <w:r>
        <w:rPr>
          <w:color w:val="231F20"/>
          <w:w w:val="105"/>
          <w:sz w:val="17"/>
        </w:rPr>
        <w:t>EMMEU</w:t>
      </w:r>
      <w:r>
        <w:rPr>
          <w:color w:val="231F20"/>
          <w:w w:val="105"/>
        </w:rPr>
        <w:t>)</w:t>
      </w:r>
      <w:r>
        <w:rPr>
          <w:color w:val="231F20"/>
          <w:spacing w:val="-37"/>
          <w:w w:val="105"/>
        </w:rPr>
        <w:t> </w:t>
      </w:r>
      <w:r>
        <w:rPr>
          <w:color w:val="231F20"/>
          <w:w w:val="105"/>
        </w:rPr>
        <w:t>de</w:t>
      </w:r>
      <w:r>
        <w:rPr>
          <w:color w:val="231F20"/>
          <w:spacing w:val="-37"/>
          <w:w w:val="105"/>
        </w:rPr>
        <w:t> </w:t>
      </w:r>
      <w:r>
        <w:rPr>
          <w:color w:val="231F20"/>
          <w:w w:val="105"/>
        </w:rPr>
        <w:t>2009,</w:t>
      </w:r>
      <w:r>
        <w:rPr>
          <w:color w:val="231F20"/>
          <w:spacing w:val="-40"/>
          <w:w w:val="105"/>
        </w:rPr>
        <w:t> </w:t>
      </w:r>
      <w:r>
        <w:rPr>
          <w:color w:val="231F20"/>
          <w:w w:val="105"/>
        </w:rPr>
        <w:t>Ixtlahuaca</w:t>
      </w:r>
      <w:r>
        <w:rPr>
          <w:color w:val="231F20"/>
          <w:spacing w:val="-37"/>
          <w:w w:val="105"/>
        </w:rPr>
        <w:t> </w:t>
      </w:r>
      <w:r>
        <w:rPr>
          <w:color w:val="231F20"/>
          <w:w w:val="105"/>
        </w:rPr>
        <w:t>es</w:t>
      </w:r>
      <w:r>
        <w:rPr>
          <w:color w:val="231F20"/>
          <w:spacing w:val="-37"/>
          <w:w w:val="105"/>
        </w:rPr>
        <w:t> </w:t>
      </w:r>
      <w:r>
        <w:rPr>
          <w:color w:val="231F20"/>
          <w:w w:val="105"/>
        </w:rPr>
        <w:t>el</w:t>
      </w:r>
      <w:r>
        <w:rPr>
          <w:color w:val="231F20"/>
          <w:spacing w:val="-37"/>
          <w:w w:val="105"/>
        </w:rPr>
        <w:t> </w:t>
      </w:r>
      <w:r>
        <w:rPr>
          <w:color w:val="231F20"/>
          <w:w w:val="105"/>
        </w:rPr>
        <w:t>séptimo municipio</w:t>
      </w:r>
      <w:r>
        <w:rPr>
          <w:color w:val="231F20"/>
          <w:spacing w:val="-11"/>
          <w:w w:val="105"/>
        </w:rPr>
        <w:t> </w:t>
      </w:r>
      <w:r>
        <w:rPr>
          <w:color w:val="231F20"/>
          <w:w w:val="105"/>
        </w:rPr>
        <w:t>con</w:t>
      </w:r>
      <w:r>
        <w:rPr>
          <w:color w:val="231F20"/>
          <w:spacing w:val="-11"/>
          <w:w w:val="105"/>
        </w:rPr>
        <w:t> </w:t>
      </w:r>
      <w:r>
        <w:rPr>
          <w:color w:val="231F20"/>
          <w:w w:val="105"/>
        </w:rPr>
        <w:t>mayor</w:t>
      </w:r>
      <w:r>
        <w:rPr>
          <w:color w:val="231F20"/>
          <w:spacing w:val="-11"/>
          <w:w w:val="105"/>
        </w:rPr>
        <w:t> </w:t>
      </w:r>
      <w:r>
        <w:rPr>
          <w:color w:val="231F20"/>
          <w:w w:val="105"/>
        </w:rPr>
        <w:t>migración</w:t>
      </w:r>
      <w:r>
        <w:rPr>
          <w:color w:val="231F20"/>
          <w:spacing w:val="-11"/>
          <w:w w:val="105"/>
        </w:rPr>
        <w:t> </w:t>
      </w:r>
      <w:r>
        <w:rPr>
          <w:color w:val="231F20"/>
          <w:w w:val="105"/>
        </w:rPr>
        <w:t>interestatal,</w:t>
      </w:r>
      <w:r>
        <w:rPr>
          <w:color w:val="231F20"/>
          <w:spacing w:val="-18"/>
          <w:w w:val="105"/>
        </w:rPr>
        <w:t> </w:t>
      </w:r>
      <w:r>
        <w:rPr>
          <w:color w:val="231F20"/>
          <w:w w:val="105"/>
        </w:rPr>
        <w:t>sólo</w:t>
      </w:r>
      <w:r>
        <w:rPr>
          <w:color w:val="231F20"/>
          <w:spacing w:val="-11"/>
          <w:w w:val="105"/>
        </w:rPr>
        <w:t> </w:t>
      </w:r>
      <w:r>
        <w:rPr>
          <w:color w:val="231F20"/>
          <w:w w:val="105"/>
        </w:rPr>
        <w:t>debajo</w:t>
      </w:r>
      <w:r>
        <w:rPr>
          <w:color w:val="231F20"/>
          <w:spacing w:val="-11"/>
          <w:w w:val="105"/>
        </w:rPr>
        <w:t> </w:t>
      </w:r>
      <w:r>
        <w:rPr>
          <w:color w:val="231F20"/>
          <w:w w:val="105"/>
        </w:rPr>
        <w:t>de</w:t>
      </w:r>
      <w:r>
        <w:rPr>
          <w:color w:val="231F20"/>
          <w:spacing w:val="-16"/>
          <w:w w:val="105"/>
        </w:rPr>
        <w:t> </w:t>
      </w:r>
      <w:r>
        <w:rPr>
          <w:color w:val="231F20"/>
          <w:spacing w:val="-3"/>
          <w:w w:val="105"/>
        </w:rPr>
        <w:t>Toluca,</w:t>
      </w:r>
      <w:r>
        <w:rPr>
          <w:color w:val="231F20"/>
          <w:spacing w:val="-18"/>
          <w:w w:val="105"/>
        </w:rPr>
        <w:t> </w:t>
      </w:r>
      <w:r>
        <w:rPr>
          <w:color w:val="231F20"/>
          <w:w w:val="105"/>
        </w:rPr>
        <w:t>capi- tal del estado, y de municipios colindantes con la ciudad de México.</w:t>
      </w:r>
      <w:r>
        <w:rPr>
          <w:color w:val="231F20"/>
          <w:spacing w:val="-37"/>
          <w:w w:val="105"/>
        </w:rPr>
        <w:t> </w:t>
      </w:r>
      <w:r>
        <w:rPr>
          <w:color w:val="231F20"/>
          <w:w w:val="105"/>
        </w:rPr>
        <w:t>De la población censada que declaró vivir en otro lugar cinco años previos al</w:t>
      </w:r>
      <w:r>
        <w:rPr>
          <w:color w:val="231F20"/>
          <w:spacing w:val="-21"/>
          <w:w w:val="105"/>
        </w:rPr>
        <w:t> </w:t>
      </w:r>
      <w:r>
        <w:rPr>
          <w:color w:val="231F20"/>
          <w:w w:val="105"/>
        </w:rPr>
        <w:t>levantamiento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encuesta,</w:t>
      </w:r>
      <w:r>
        <w:rPr>
          <w:color w:val="231F20"/>
          <w:spacing w:val="-26"/>
          <w:w w:val="105"/>
        </w:rPr>
        <w:t> </w:t>
      </w:r>
      <w:r>
        <w:rPr>
          <w:color w:val="231F20"/>
          <w:w w:val="105"/>
        </w:rPr>
        <w:t>cerca</w:t>
      </w:r>
      <w:r>
        <w:rPr>
          <w:color w:val="231F20"/>
          <w:spacing w:val="-21"/>
          <w:w w:val="105"/>
        </w:rPr>
        <w:t> </w:t>
      </w:r>
      <w:r>
        <w:rPr>
          <w:color w:val="231F20"/>
          <w:w w:val="105"/>
        </w:rPr>
        <w:t>del</w:t>
      </w:r>
      <w:r>
        <w:rPr>
          <w:color w:val="231F20"/>
          <w:spacing w:val="-21"/>
          <w:w w:val="105"/>
        </w:rPr>
        <w:t> </w:t>
      </w:r>
      <w:r>
        <w:rPr>
          <w:color w:val="231F20"/>
          <w:w w:val="105"/>
        </w:rPr>
        <w:t>30%</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población</w:t>
      </w:r>
      <w:r>
        <w:rPr>
          <w:color w:val="231F20"/>
          <w:spacing w:val="-21"/>
          <w:w w:val="105"/>
        </w:rPr>
        <w:t> </w:t>
      </w:r>
      <w:r>
        <w:rPr>
          <w:color w:val="231F20"/>
          <w:w w:val="105"/>
        </w:rPr>
        <w:t>nacida</w:t>
      </w:r>
      <w:r>
        <w:rPr>
          <w:color w:val="231F20"/>
          <w:spacing w:val="-21"/>
          <w:w w:val="105"/>
        </w:rPr>
        <w:t> </w:t>
      </w:r>
      <w:r>
        <w:rPr>
          <w:color w:val="231F20"/>
          <w:w w:val="105"/>
        </w:rPr>
        <w:t>en Ixtlahuaca</w:t>
      </w:r>
      <w:r>
        <w:rPr>
          <w:color w:val="231F20"/>
          <w:spacing w:val="-6"/>
          <w:w w:val="105"/>
        </w:rPr>
        <w:t> </w:t>
      </w:r>
      <w:r>
        <w:rPr>
          <w:color w:val="231F20"/>
          <w:w w:val="105"/>
        </w:rPr>
        <w:t>reside</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ciudad</w:t>
      </w:r>
      <w:r>
        <w:rPr>
          <w:color w:val="231F20"/>
          <w:spacing w:val="-6"/>
          <w:w w:val="105"/>
        </w:rPr>
        <w:t> </w:t>
      </w:r>
      <w:r>
        <w:rPr>
          <w:color w:val="231F20"/>
          <w:w w:val="105"/>
        </w:rPr>
        <w:t>de</w:t>
      </w:r>
      <w:r>
        <w:rPr>
          <w:color w:val="231F20"/>
          <w:spacing w:val="-10"/>
          <w:w w:val="105"/>
        </w:rPr>
        <w:t> </w:t>
      </w:r>
      <w:r>
        <w:rPr>
          <w:color w:val="231F20"/>
          <w:spacing w:val="-3"/>
          <w:w w:val="105"/>
        </w:rPr>
        <w:t>Toluca.</w:t>
      </w:r>
      <w:r>
        <w:rPr>
          <w:color w:val="231F20"/>
          <w:spacing w:val="-12"/>
          <w:w w:val="105"/>
        </w:rPr>
        <w:t> </w:t>
      </w:r>
      <w:r>
        <w:rPr>
          <w:color w:val="231F20"/>
          <w:w w:val="105"/>
        </w:rPr>
        <w:t>Esta</w:t>
      </w:r>
      <w:r>
        <w:rPr>
          <w:color w:val="231F20"/>
          <w:spacing w:val="-6"/>
          <w:w w:val="105"/>
        </w:rPr>
        <w:t> </w:t>
      </w:r>
      <w:r>
        <w:rPr>
          <w:color w:val="231F20"/>
          <w:w w:val="105"/>
        </w:rPr>
        <w:t>movilidad</w:t>
      </w:r>
      <w:r>
        <w:rPr>
          <w:color w:val="231F20"/>
          <w:spacing w:val="-6"/>
          <w:w w:val="105"/>
        </w:rPr>
        <w:t> </w:t>
      </w:r>
      <w:r>
        <w:rPr>
          <w:color w:val="231F20"/>
          <w:w w:val="105"/>
        </w:rPr>
        <w:t>hacia</w:t>
      </w:r>
      <w:r>
        <w:rPr>
          <w:color w:val="231F20"/>
          <w:spacing w:val="-6"/>
          <w:w w:val="105"/>
        </w:rPr>
        <w:t> </w:t>
      </w:r>
      <w:r>
        <w:rPr>
          <w:color w:val="231F20"/>
          <w:w w:val="105"/>
        </w:rPr>
        <w:t>la</w:t>
      </w:r>
      <w:r>
        <w:rPr>
          <w:color w:val="231F20"/>
          <w:spacing w:val="-6"/>
          <w:w w:val="105"/>
        </w:rPr>
        <w:t> </w:t>
      </w:r>
      <w:r>
        <w:rPr>
          <w:color w:val="231F20"/>
          <w:w w:val="105"/>
        </w:rPr>
        <w:t>capital del</w:t>
      </w:r>
      <w:r>
        <w:rPr>
          <w:color w:val="231F20"/>
          <w:spacing w:val="-10"/>
          <w:w w:val="105"/>
        </w:rPr>
        <w:t> </w:t>
      </w:r>
      <w:r>
        <w:rPr>
          <w:color w:val="231F20"/>
          <w:w w:val="105"/>
        </w:rPr>
        <w:t>estado</w:t>
      </w:r>
      <w:r>
        <w:rPr>
          <w:color w:val="231F20"/>
          <w:spacing w:val="-10"/>
          <w:w w:val="105"/>
        </w:rPr>
        <w:t> </w:t>
      </w:r>
      <w:r>
        <w:rPr>
          <w:color w:val="231F20"/>
          <w:w w:val="105"/>
        </w:rPr>
        <w:t>se</w:t>
      </w:r>
      <w:r>
        <w:rPr>
          <w:color w:val="231F20"/>
          <w:spacing w:val="-10"/>
          <w:w w:val="105"/>
        </w:rPr>
        <w:t> </w:t>
      </w:r>
      <w:r>
        <w:rPr>
          <w:color w:val="231F20"/>
          <w:w w:val="105"/>
        </w:rPr>
        <w:t>explica</w:t>
      </w:r>
      <w:r>
        <w:rPr>
          <w:color w:val="231F20"/>
          <w:spacing w:val="-10"/>
          <w:w w:val="105"/>
        </w:rPr>
        <w:t> </w:t>
      </w:r>
      <w:r>
        <w:rPr>
          <w:color w:val="231F20"/>
          <w:w w:val="105"/>
        </w:rPr>
        <w:t>por</w:t>
      </w:r>
      <w:r>
        <w:rPr>
          <w:color w:val="231F20"/>
          <w:spacing w:val="-10"/>
          <w:w w:val="105"/>
        </w:rPr>
        <w:t> </w:t>
      </w:r>
      <w:r>
        <w:rPr>
          <w:color w:val="231F20"/>
          <w:w w:val="105"/>
        </w:rPr>
        <w:t>las</w:t>
      </w:r>
      <w:r>
        <w:rPr>
          <w:color w:val="231F20"/>
          <w:spacing w:val="-10"/>
          <w:w w:val="105"/>
        </w:rPr>
        <w:t> </w:t>
      </w:r>
      <w:r>
        <w:rPr>
          <w:color w:val="231F20"/>
          <w:w w:val="105"/>
        </w:rPr>
        <w:t>condiciones</w:t>
      </w:r>
      <w:r>
        <w:rPr>
          <w:color w:val="231F20"/>
          <w:spacing w:val="-10"/>
          <w:w w:val="105"/>
        </w:rPr>
        <w:t> </w:t>
      </w:r>
      <w:r>
        <w:rPr>
          <w:color w:val="231F20"/>
          <w:w w:val="105"/>
        </w:rPr>
        <w:t>de</w:t>
      </w:r>
      <w:r>
        <w:rPr>
          <w:color w:val="231F20"/>
          <w:spacing w:val="-10"/>
          <w:w w:val="105"/>
        </w:rPr>
        <w:t> </w:t>
      </w:r>
      <w:r>
        <w:rPr>
          <w:color w:val="231F20"/>
          <w:w w:val="105"/>
        </w:rPr>
        <w:t>marginación</w:t>
      </w:r>
      <w:r>
        <w:rPr>
          <w:color w:val="231F20"/>
          <w:spacing w:val="-10"/>
          <w:w w:val="105"/>
        </w:rPr>
        <w:t> </w:t>
      </w:r>
      <w:r>
        <w:rPr>
          <w:color w:val="231F20"/>
          <w:w w:val="105"/>
        </w:rPr>
        <w:t>y</w:t>
      </w:r>
      <w:r>
        <w:rPr>
          <w:color w:val="231F20"/>
          <w:spacing w:val="-10"/>
          <w:w w:val="105"/>
        </w:rPr>
        <w:t> </w:t>
      </w:r>
      <w:r>
        <w:rPr>
          <w:color w:val="231F20"/>
          <w:w w:val="105"/>
        </w:rPr>
        <w:t>pobreza</w:t>
      </w:r>
      <w:r>
        <w:rPr>
          <w:color w:val="231F20"/>
          <w:spacing w:val="-10"/>
          <w:w w:val="105"/>
        </w:rPr>
        <w:t> </w:t>
      </w:r>
      <w:r>
        <w:rPr>
          <w:color w:val="231F20"/>
          <w:w w:val="105"/>
        </w:rPr>
        <w:t>que persisten en el municipio, derivadas, principal pero no únicamente, de las</w:t>
      </w:r>
      <w:r>
        <w:rPr>
          <w:color w:val="231F20"/>
          <w:spacing w:val="-16"/>
          <w:w w:val="105"/>
        </w:rPr>
        <w:t> </w:t>
      </w:r>
      <w:r>
        <w:rPr>
          <w:color w:val="231F20"/>
          <w:w w:val="105"/>
        </w:rPr>
        <w:t>limitaciones</w:t>
      </w:r>
      <w:r>
        <w:rPr>
          <w:color w:val="231F20"/>
          <w:spacing w:val="-16"/>
          <w:w w:val="105"/>
        </w:rPr>
        <w:t> </w:t>
      </w:r>
      <w:r>
        <w:rPr>
          <w:color w:val="231F20"/>
          <w:w w:val="105"/>
        </w:rPr>
        <w:t>productivas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agricultura</w:t>
      </w:r>
      <w:r>
        <w:rPr>
          <w:color w:val="231F20"/>
          <w:spacing w:val="-16"/>
          <w:w w:val="105"/>
        </w:rPr>
        <w:t> </w:t>
      </w:r>
      <w:r>
        <w:rPr>
          <w:color w:val="231F20"/>
          <w:w w:val="105"/>
        </w:rPr>
        <w:t>de</w:t>
      </w:r>
      <w:r>
        <w:rPr>
          <w:color w:val="231F20"/>
          <w:spacing w:val="-16"/>
          <w:w w:val="105"/>
        </w:rPr>
        <w:t> </w:t>
      </w:r>
      <w:r>
        <w:rPr>
          <w:color w:val="231F20"/>
          <w:w w:val="105"/>
        </w:rPr>
        <w:t>autoconsumo.</w:t>
      </w:r>
    </w:p>
    <w:p>
      <w:pPr>
        <w:pStyle w:val="BodyText"/>
        <w:spacing w:line="261" w:lineRule="auto" w:before="1"/>
        <w:ind w:left="1723" w:right="1829" w:firstLine="567"/>
        <w:jc w:val="both"/>
      </w:pPr>
      <w:r>
        <w:rPr>
          <w:color w:val="231F20"/>
          <w:w w:val="105"/>
        </w:rPr>
        <w:t>La</w:t>
      </w:r>
      <w:r>
        <w:rPr>
          <w:color w:val="231F20"/>
          <w:spacing w:val="-24"/>
          <w:w w:val="105"/>
        </w:rPr>
        <w:t> </w:t>
      </w:r>
      <w:r>
        <w:rPr>
          <w:color w:val="231F20"/>
          <w:w w:val="105"/>
        </w:rPr>
        <w:t>región</w:t>
      </w:r>
      <w:r>
        <w:rPr>
          <w:color w:val="231F20"/>
          <w:spacing w:val="-24"/>
          <w:w w:val="105"/>
        </w:rPr>
        <w:t> </w:t>
      </w:r>
      <w:r>
        <w:rPr>
          <w:color w:val="231F20"/>
          <w:w w:val="105"/>
        </w:rPr>
        <w:t>mazahua</w:t>
      </w:r>
      <w:r>
        <w:rPr>
          <w:color w:val="231F20"/>
          <w:spacing w:val="-24"/>
          <w:w w:val="105"/>
        </w:rPr>
        <w:t> </w:t>
      </w:r>
      <w:r>
        <w:rPr>
          <w:color w:val="231F20"/>
          <w:w w:val="105"/>
        </w:rPr>
        <w:t>del</w:t>
      </w:r>
      <w:r>
        <w:rPr>
          <w:color w:val="231F20"/>
          <w:spacing w:val="-24"/>
          <w:w w:val="105"/>
        </w:rPr>
        <w:t> </w:t>
      </w:r>
      <w:r>
        <w:rPr>
          <w:color w:val="231F20"/>
          <w:w w:val="105"/>
        </w:rPr>
        <w:t>Estado</w:t>
      </w:r>
      <w:r>
        <w:rPr>
          <w:color w:val="231F20"/>
          <w:spacing w:val="-24"/>
          <w:w w:val="105"/>
        </w:rPr>
        <w:t> </w:t>
      </w:r>
      <w:r>
        <w:rPr>
          <w:color w:val="231F20"/>
          <w:w w:val="105"/>
        </w:rPr>
        <w:t>de</w:t>
      </w:r>
      <w:r>
        <w:rPr>
          <w:color w:val="231F20"/>
          <w:spacing w:val="-24"/>
          <w:w w:val="105"/>
        </w:rPr>
        <w:t> </w:t>
      </w:r>
      <w:r>
        <w:rPr>
          <w:color w:val="231F20"/>
          <w:w w:val="105"/>
        </w:rPr>
        <w:t>México</w:t>
      </w:r>
      <w:r>
        <w:rPr>
          <w:color w:val="231F20"/>
          <w:spacing w:val="-24"/>
          <w:w w:val="105"/>
        </w:rPr>
        <w:t> </w:t>
      </w:r>
      <w:r>
        <w:rPr>
          <w:color w:val="231F20"/>
          <w:w w:val="105"/>
        </w:rPr>
        <w:t>está</w:t>
      </w:r>
      <w:r>
        <w:rPr>
          <w:color w:val="231F20"/>
          <w:spacing w:val="-24"/>
          <w:w w:val="105"/>
        </w:rPr>
        <w:t> </w:t>
      </w:r>
      <w:r>
        <w:rPr>
          <w:color w:val="231F20"/>
          <w:w w:val="105"/>
        </w:rPr>
        <w:t>compuesta</w:t>
      </w:r>
      <w:r>
        <w:rPr>
          <w:color w:val="231F20"/>
          <w:spacing w:val="-24"/>
          <w:w w:val="105"/>
        </w:rPr>
        <w:t> </w:t>
      </w:r>
      <w:r>
        <w:rPr>
          <w:color w:val="231F20"/>
          <w:w w:val="105"/>
        </w:rPr>
        <w:t>por</w:t>
      </w:r>
      <w:r>
        <w:rPr>
          <w:color w:val="231F20"/>
          <w:spacing w:val="-24"/>
          <w:w w:val="105"/>
        </w:rPr>
        <w:t> </w:t>
      </w:r>
      <w:r>
        <w:rPr>
          <w:color w:val="231F20"/>
          <w:w w:val="105"/>
        </w:rPr>
        <w:t>trece municipios,</w:t>
      </w:r>
      <w:r>
        <w:rPr>
          <w:color w:val="231F20"/>
          <w:spacing w:val="-22"/>
          <w:w w:val="105"/>
        </w:rPr>
        <w:t> </w:t>
      </w:r>
      <w:r>
        <w:rPr>
          <w:color w:val="231F20"/>
          <w:w w:val="105"/>
        </w:rPr>
        <w:t>entre</w:t>
      </w:r>
      <w:r>
        <w:rPr>
          <w:color w:val="231F20"/>
          <w:spacing w:val="-17"/>
          <w:w w:val="105"/>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w w:val="105"/>
        </w:rPr>
        <w:t>destacan</w:t>
      </w:r>
      <w:r>
        <w:rPr>
          <w:color w:val="231F20"/>
          <w:spacing w:val="-17"/>
          <w:w w:val="105"/>
        </w:rPr>
        <w:t> </w:t>
      </w:r>
      <w:r>
        <w:rPr>
          <w:color w:val="231F20"/>
          <w:w w:val="105"/>
        </w:rPr>
        <w:t>San</w:t>
      </w:r>
      <w:r>
        <w:rPr>
          <w:color w:val="231F20"/>
          <w:spacing w:val="-17"/>
          <w:w w:val="105"/>
        </w:rPr>
        <w:t> </w:t>
      </w:r>
      <w:r>
        <w:rPr>
          <w:color w:val="231F20"/>
          <w:w w:val="105"/>
        </w:rPr>
        <w:t>Felipe</w:t>
      </w:r>
      <w:r>
        <w:rPr>
          <w:color w:val="231F20"/>
          <w:spacing w:val="-17"/>
          <w:w w:val="105"/>
        </w:rPr>
        <w:t> </w:t>
      </w:r>
      <w:r>
        <w:rPr>
          <w:color w:val="231F20"/>
          <w:w w:val="105"/>
        </w:rPr>
        <w:t>del</w:t>
      </w:r>
      <w:r>
        <w:rPr>
          <w:color w:val="231F20"/>
          <w:spacing w:val="-17"/>
          <w:w w:val="105"/>
        </w:rPr>
        <w:t> </w:t>
      </w:r>
      <w:r>
        <w:rPr>
          <w:color w:val="231F20"/>
          <w:spacing w:val="-3"/>
          <w:w w:val="105"/>
        </w:rPr>
        <w:t>Progreso</w:t>
      </w:r>
      <w:r>
        <w:rPr>
          <w:color w:val="231F20"/>
          <w:spacing w:val="-17"/>
          <w:w w:val="105"/>
        </w:rPr>
        <w:t> </w:t>
      </w:r>
      <w:r>
        <w:rPr>
          <w:color w:val="231F20"/>
          <w:w w:val="105"/>
        </w:rPr>
        <w:t>e</w:t>
      </w:r>
      <w:r>
        <w:rPr>
          <w:color w:val="231F20"/>
          <w:spacing w:val="-17"/>
          <w:w w:val="105"/>
        </w:rPr>
        <w:t> </w:t>
      </w:r>
      <w:r>
        <w:rPr>
          <w:color w:val="231F20"/>
          <w:w w:val="105"/>
        </w:rPr>
        <w:t>Ixtlahuaca, por superar los cien mil habitantes y estar catalogados como territorios de</w:t>
      </w:r>
      <w:r>
        <w:rPr>
          <w:color w:val="231F20"/>
          <w:spacing w:val="-29"/>
          <w:w w:val="105"/>
        </w:rPr>
        <w:t> </w:t>
      </w:r>
      <w:r>
        <w:rPr>
          <w:color w:val="231F20"/>
          <w:w w:val="105"/>
        </w:rPr>
        <w:t>alta</w:t>
      </w:r>
      <w:r>
        <w:rPr>
          <w:color w:val="231F20"/>
          <w:spacing w:val="-29"/>
          <w:w w:val="105"/>
        </w:rPr>
        <w:t> </w:t>
      </w:r>
      <w:r>
        <w:rPr>
          <w:color w:val="231F20"/>
          <w:w w:val="105"/>
        </w:rPr>
        <w:t>marginación</w:t>
      </w:r>
      <w:r>
        <w:rPr>
          <w:color w:val="231F20"/>
          <w:spacing w:val="-29"/>
          <w:w w:val="105"/>
        </w:rPr>
        <w:t> </w:t>
      </w:r>
      <w:r>
        <w:rPr>
          <w:color w:val="231F20"/>
          <w:w w:val="105"/>
        </w:rPr>
        <w:t>social</w:t>
      </w:r>
      <w:r>
        <w:rPr>
          <w:color w:val="231F20"/>
          <w:spacing w:val="-29"/>
          <w:w w:val="105"/>
        </w:rPr>
        <w:t> </w:t>
      </w:r>
      <w:r>
        <w:rPr>
          <w:color w:val="231F20"/>
          <w:w w:val="105"/>
        </w:rPr>
        <w:t>(</w:t>
      </w:r>
      <w:r>
        <w:rPr>
          <w:color w:val="231F20"/>
          <w:w w:val="105"/>
          <w:sz w:val="17"/>
        </w:rPr>
        <w:t>INEGI</w:t>
      </w:r>
      <w:r>
        <w:rPr>
          <w:color w:val="231F20"/>
          <w:w w:val="105"/>
        </w:rPr>
        <w:t>,</w:t>
      </w:r>
      <w:r>
        <w:rPr>
          <w:color w:val="231F20"/>
          <w:spacing w:val="-34"/>
          <w:w w:val="105"/>
        </w:rPr>
        <w:t> </w:t>
      </w:r>
      <w:r>
        <w:rPr>
          <w:color w:val="231F20"/>
          <w:w w:val="105"/>
        </w:rPr>
        <w:t>2010).</w:t>
      </w:r>
      <w:r>
        <w:rPr>
          <w:color w:val="231F20"/>
          <w:spacing w:val="-34"/>
          <w:w w:val="105"/>
        </w:rPr>
        <w:t> </w:t>
      </w:r>
      <w:r>
        <w:rPr>
          <w:color w:val="231F20"/>
          <w:w w:val="105"/>
        </w:rPr>
        <w:t>Sandoval</w:t>
      </w:r>
      <w:r>
        <w:rPr>
          <w:color w:val="231F20"/>
          <w:spacing w:val="-29"/>
          <w:w w:val="105"/>
        </w:rPr>
        <w:t> </w:t>
      </w:r>
      <w:r>
        <w:rPr>
          <w:color w:val="231F20"/>
          <w:w w:val="105"/>
        </w:rPr>
        <w:t>y</w:t>
      </w:r>
      <w:r>
        <w:rPr>
          <w:color w:val="231F20"/>
          <w:spacing w:val="-29"/>
          <w:w w:val="105"/>
        </w:rPr>
        <w:t> </w:t>
      </w:r>
      <w:r>
        <w:rPr>
          <w:color w:val="231F20"/>
          <w:spacing w:val="-3"/>
          <w:w w:val="105"/>
        </w:rPr>
        <w:t>Patiño</w:t>
      </w:r>
      <w:r>
        <w:rPr>
          <w:color w:val="231F20"/>
          <w:spacing w:val="-29"/>
          <w:w w:val="105"/>
        </w:rPr>
        <w:t> </w:t>
      </w:r>
      <w:r>
        <w:rPr>
          <w:color w:val="231F20"/>
          <w:w w:val="105"/>
        </w:rPr>
        <w:t>(2000)</w:t>
      </w:r>
      <w:r>
        <w:rPr>
          <w:color w:val="231F20"/>
          <w:spacing w:val="-29"/>
          <w:w w:val="105"/>
        </w:rPr>
        <w:t> </w:t>
      </w:r>
      <w:r>
        <w:rPr>
          <w:color w:val="231F20"/>
          <w:w w:val="105"/>
        </w:rPr>
        <w:t>afirman que</w:t>
      </w:r>
      <w:r>
        <w:rPr>
          <w:color w:val="231F20"/>
          <w:spacing w:val="-17"/>
          <w:w w:val="105"/>
        </w:rPr>
        <w:t> </w:t>
      </w:r>
      <w:r>
        <w:rPr>
          <w:color w:val="231F20"/>
          <w:w w:val="105"/>
        </w:rPr>
        <w:t>“la</w:t>
      </w:r>
      <w:r>
        <w:rPr>
          <w:color w:val="231F20"/>
          <w:spacing w:val="-17"/>
          <w:w w:val="105"/>
        </w:rPr>
        <w:t> </w:t>
      </w:r>
      <w:r>
        <w:rPr>
          <w:color w:val="231F20"/>
          <w:w w:val="105"/>
        </w:rPr>
        <w:t>etnoregión</w:t>
      </w:r>
      <w:r>
        <w:rPr>
          <w:color w:val="231F20"/>
          <w:spacing w:val="-17"/>
          <w:w w:val="105"/>
        </w:rPr>
        <w:t> </w:t>
      </w:r>
      <w:r>
        <w:rPr>
          <w:color w:val="231F20"/>
          <w:w w:val="105"/>
        </w:rPr>
        <w:t>mazahua</w:t>
      </w:r>
      <w:r>
        <w:rPr>
          <w:color w:val="231F20"/>
          <w:spacing w:val="-17"/>
          <w:w w:val="105"/>
        </w:rPr>
        <w:t> </w:t>
      </w:r>
      <w:r>
        <w:rPr>
          <w:color w:val="231F20"/>
          <w:w w:val="105"/>
        </w:rPr>
        <w:t>del</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constituye</w:t>
      </w:r>
      <w:r>
        <w:rPr>
          <w:color w:val="231F20"/>
          <w:spacing w:val="-17"/>
          <w:w w:val="105"/>
        </w:rPr>
        <w:t> </w:t>
      </w:r>
      <w:r>
        <w:rPr>
          <w:color w:val="231F20"/>
          <w:w w:val="105"/>
        </w:rPr>
        <w:t>un</w:t>
      </w:r>
      <w:r>
        <w:rPr>
          <w:color w:val="231F20"/>
          <w:spacing w:val="-17"/>
          <w:w w:val="105"/>
        </w:rPr>
        <w:t> </w:t>
      </w:r>
      <w:r>
        <w:rPr>
          <w:color w:val="231F20"/>
          <w:w w:val="105"/>
        </w:rPr>
        <w:t>espacio</w:t>
      </w:r>
    </w:p>
    <w:p>
      <w:pPr>
        <w:pStyle w:val="BodyText"/>
        <w:rPr>
          <w:sz w:val="20"/>
        </w:rPr>
      </w:pPr>
    </w:p>
    <w:p>
      <w:pPr>
        <w:pStyle w:val="BodyText"/>
        <w:rPr>
          <w:sz w:val="20"/>
        </w:rPr>
      </w:pPr>
    </w:p>
    <w:p>
      <w:pPr>
        <w:pStyle w:val="BodyText"/>
        <w:spacing w:before="10"/>
        <w:rPr>
          <w:sz w:val="25"/>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63744" from="131.551193pt,3.753715pt" to="131.551193pt,39.556114pt" stroked="true" strokeweight=".35pt" strokecolor="#231f20">
            <w10:wrap type="none"/>
          </v:line>
        </w:pict>
      </w:r>
      <w:r>
        <w:rPr/>
        <w:pict>
          <v:line style="position:absolute;mso-position-horizontal-relative:page;mso-position-vertical-relative:paragraph;z-index:-463672" from="15pt,39.555916pt" to="0pt,39.555916pt" stroked="true" strokeweight=".25pt" strokecolor="#000000">
            <w10:wrap type="none"/>
          </v:line>
        </w:pict>
      </w:r>
      <w:r>
        <w:rPr/>
        <w:pict>
          <v:line style="position:absolute;mso-position-horizontal-relative:page;mso-position-vertical-relative:paragraph;z-index:26536" from="508.890015pt,39.555916pt" to="523.890015pt,39.555916pt" stroked="true" strokeweight=".25pt" strokecolor="#000000">
            <w10:wrap type="none"/>
          </v:line>
        </w:pict>
      </w:r>
      <w:r>
        <w:rPr>
          <w:rFonts w:ascii="Arial" w:hAnsi="Arial"/>
          <w:color w:val="414042"/>
          <w:w w:val="105"/>
          <w:position w:val="-5"/>
          <w:sz w:val="20"/>
        </w:rPr>
        <w:t>214</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6560"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6584" from="15pt,-28.286539pt" to="0pt,-28.286539pt" stroked="true" strokeweight=".25pt" strokecolor="#000000">
            <w10:wrap type="none"/>
          </v:line>
        </w:pict>
      </w:r>
      <w:r>
        <w:rPr/>
        <w:pict>
          <v:line style="position:absolute;mso-position-horizontal-relative:page;mso-position-vertical-relative:paragraph;z-index:26608" from="508.890015pt,-28.286539pt" to="523.890015pt,-28.286539pt" stroked="true" strokeweight=".25pt" strokecolor="#000000">
            <w10:wrap type="none"/>
          </v:line>
        </w:pict>
      </w:r>
      <w:r>
        <w:rPr>
          <w:rFonts w:ascii="Arial"/>
          <w:color w:val="414042"/>
          <w:sz w:val="20"/>
        </w:rPr>
        <w:t>215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w w:val="105"/>
        </w:rPr>
        <w:t>de identidad para sus habitantes al crear y recrear de manera perma- nente representaciones simbólicas que se construyen tanto del</w:t>
      </w:r>
      <w:r>
        <w:rPr>
          <w:color w:val="231F20"/>
          <w:spacing w:val="-22"/>
          <w:w w:val="105"/>
        </w:rPr>
        <w:t> </w:t>
      </w:r>
      <w:r>
        <w:rPr>
          <w:color w:val="231F20"/>
          <w:w w:val="105"/>
        </w:rPr>
        <w:t>devenir histórico</w:t>
      </w:r>
      <w:r>
        <w:rPr>
          <w:color w:val="231F20"/>
          <w:spacing w:val="-9"/>
          <w:w w:val="105"/>
        </w:rPr>
        <w:t> </w:t>
      </w:r>
      <w:r>
        <w:rPr>
          <w:color w:val="231F20"/>
          <w:w w:val="105"/>
        </w:rPr>
        <w:t>como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actual</w:t>
      </w:r>
      <w:r>
        <w:rPr>
          <w:color w:val="231F20"/>
          <w:spacing w:val="-9"/>
          <w:w w:val="105"/>
        </w:rPr>
        <w:t> </w:t>
      </w:r>
      <w:r>
        <w:rPr>
          <w:color w:val="231F20"/>
          <w:w w:val="105"/>
        </w:rPr>
        <w:t>dinámica</w:t>
      </w:r>
      <w:r>
        <w:rPr>
          <w:color w:val="231F20"/>
          <w:spacing w:val="-9"/>
          <w:w w:val="105"/>
        </w:rPr>
        <w:t> </w:t>
      </w:r>
      <w:r>
        <w:rPr>
          <w:color w:val="231F20"/>
          <w:w w:val="105"/>
        </w:rPr>
        <w:t>socioeconómica,</w:t>
      </w:r>
      <w:r>
        <w:rPr>
          <w:color w:val="231F20"/>
          <w:spacing w:val="-15"/>
          <w:w w:val="105"/>
        </w:rPr>
        <w:t> </w:t>
      </w:r>
      <w:r>
        <w:rPr>
          <w:color w:val="231F20"/>
          <w:w w:val="105"/>
        </w:rPr>
        <w:t>política,</w:t>
      </w:r>
      <w:r>
        <w:rPr>
          <w:color w:val="231F20"/>
          <w:spacing w:val="-14"/>
          <w:w w:val="105"/>
        </w:rPr>
        <w:t> </w:t>
      </w:r>
      <w:r>
        <w:rPr>
          <w:color w:val="231F20"/>
          <w:w w:val="105"/>
        </w:rPr>
        <w:t>cultural</w:t>
      </w:r>
      <w:r>
        <w:rPr>
          <w:color w:val="231F20"/>
          <w:spacing w:val="-9"/>
          <w:w w:val="105"/>
        </w:rPr>
        <w:t> </w:t>
      </w:r>
      <w:r>
        <w:rPr>
          <w:color w:val="231F20"/>
          <w:w w:val="105"/>
        </w:rPr>
        <w:t>y demográfica</w:t>
      </w:r>
      <w:r>
        <w:rPr>
          <w:color w:val="231F20"/>
          <w:spacing w:val="-29"/>
          <w:w w:val="105"/>
        </w:rPr>
        <w:t> </w:t>
      </w:r>
      <w:r>
        <w:rPr>
          <w:color w:val="231F20"/>
          <w:w w:val="105"/>
        </w:rPr>
        <w:t>comunes</w:t>
      </w:r>
      <w:r>
        <w:rPr>
          <w:color w:val="231F20"/>
          <w:spacing w:val="-29"/>
          <w:w w:val="105"/>
        </w:rPr>
        <w:t> </w:t>
      </w:r>
      <w:r>
        <w:rPr>
          <w:color w:val="231F20"/>
          <w:w w:val="105"/>
        </w:rPr>
        <w:t>al</w:t>
      </w:r>
      <w:r>
        <w:rPr>
          <w:color w:val="231F20"/>
          <w:spacing w:val="-29"/>
          <w:w w:val="105"/>
        </w:rPr>
        <w:t> </w:t>
      </w:r>
      <w:r>
        <w:rPr>
          <w:color w:val="231F20"/>
          <w:w w:val="105"/>
        </w:rPr>
        <w:t>territorio</w:t>
      </w:r>
      <w:r>
        <w:rPr>
          <w:color w:val="231F20"/>
          <w:spacing w:val="-29"/>
          <w:w w:val="105"/>
        </w:rPr>
        <w:t> </w:t>
      </w:r>
      <w:r>
        <w:rPr>
          <w:color w:val="231F20"/>
          <w:w w:val="105"/>
        </w:rPr>
        <w:t>y</w:t>
      </w:r>
      <w:r>
        <w:rPr>
          <w:color w:val="231F20"/>
          <w:spacing w:val="-29"/>
          <w:w w:val="105"/>
        </w:rPr>
        <w:t> </w:t>
      </w:r>
      <w:r>
        <w:rPr>
          <w:color w:val="231F20"/>
          <w:w w:val="105"/>
        </w:rPr>
        <w:t>a</w:t>
      </w:r>
      <w:r>
        <w:rPr>
          <w:color w:val="231F20"/>
          <w:spacing w:val="-29"/>
          <w:w w:val="105"/>
        </w:rPr>
        <w:t> </w:t>
      </w:r>
      <w:r>
        <w:rPr>
          <w:color w:val="231F20"/>
          <w:w w:val="105"/>
        </w:rPr>
        <w:t>los</w:t>
      </w:r>
      <w:r>
        <w:rPr>
          <w:color w:val="231F20"/>
          <w:spacing w:val="-29"/>
          <w:w w:val="105"/>
        </w:rPr>
        <w:t> </w:t>
      </w:r>
      <w:r>
        <w:rPr>
          <w:color w:val="231F20"/>
          <w:w w:val="105"/>
        </w:rPr>
        <w:t>indígenas</w:t>
      </w:r>
      <w:r>
        <w:rPr>
          <w:color w:val="231F20"/>
          <w:spacing w:val="-29"/>
          <w:w w:val="105"/>
        </w:rPr>
        <w:t> </w:t>
      </w:r>
      <w:r>
        <w:rPr>
          <w:color w:val="231F20"/>
          <w:w w:val="105"/>
        </w:rPr>
        <w:t>mazahuas”</w:t>
      </w:r>
      <w:r>
        <w:rPr>
          <w:color w:val="231F20"/>
          <w:spacing w:val="-29"/>
          <w:w w:val="105"/>
        </w:rPr>
        <w:t> </w:t>
      </w:r>
      <w:r>
        <w:rPr>
          <w:color w:val="231F20"/>
          <w:w w:val="105"/>
        </w:rPr>
        <w:t>(Sandoval y</w:t>
      </w:r>
      <w:r>
        <w:rPr>
          <w:color w:val="231F20"/>
          <w:spacing w:val="-27"/>
          <w:w w:val="105"/>
        </w:rPr>
        <w:t> </w:t>
      </w:r>
      <w:r>
        <w:rPr>
          <w:color w:val="231F20"/>
          <w:spacing w:val="-3"/>
          <w:w w:val="105"/>
        </w:rPr>
        <w:t>Patiño,</w:t>
      </w:r>
      <w:r>
        <w:rPr>
          <w:color w:val="231F20"/>
          <w:spacing w:val="-30"/>
          <w:w w:val="105"/>
        </w:rPr>
        <w:t> </w:t>
      </w:r>
      <w:r>
        <w:rPr>
          <w:color w:val="231F20"/>
          <w:w w:val="105"/>
        </w:rPr>
        <w:t>2000:</w:t>
      </w:r>
      <w:r>
        <w:rPr>
          <w:color w:val="231F20"/>
          <w:spacing w:val="-27"/>
          <w:w w:val="105"/>
        </w:rPr>
        <w:t> </w:t>
      </w:r>
      <w:r>
        <w:rPr>
          <w:color w:val="231F20"/>
          <w:w w:val="105"/>
        </w:rPr>
        <w:t>37).</w:t>
      </w:r>
    </w:p>
    <w:p>
      <w:pPr>
        <w:pStyle w:val="BodyText"/>
        <w:spacing w:line="261" w:lineRule="auto" w:before="1"/>
        <w:ind w:left="1837" w:right="1721" w:firstLine="567"/>
        <w:jc w:val="both"/>
      </w:pP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pasado</w:t>
      </w:r>
      <w:r>
        <w:rPr>
          <w:color w:val="231F20"/>
          <w:spacing w:val="-13"/>
          <w:w w:val="105"/>
        </w:rPr>
        <w:t> </w:t>
      </w:r>
      <w:r>
        <w:rPr>
          <w:color w:val="231F20"/>
          <w:w w:val="105"/>
        </w:rPr>
        <w:t>se</w:t>
      </w:r>
      <w:r>
        <w:rPr>
          <w:color w:val="231F20"/>
          <w:spacing w:val="-13"/>
          <w:w w:val="105"/>
        </w:rPr>
        <w:t> </w:t>
      </w:r>
      <w:r>
        <w:rPr>
          <w:color w:val="231F20"/>
          <w:w w:val="105"/>
        </w:rPr>
        <w:t>caracterizó</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etnoregión</w:t>
      </w:r>
      <w:r>
        <w:rPr>
          <w:color w:val="231F20"/>
          <w:spacing w:val="-13"/>
          <w:w w:val="105"/>
        </w:rPr>
        <w:t> </w:t>
      </w:r>
      <w:r>
        <w:rPr>
          <w:color w:val="231F20"/>
          <w:w w:val="105"/>
        </w:rPr>
        <w:t>indígena</w:t>
      </w:r>
      <w:r>
        <w:rPr>
          <w:color w:val="231F20"/>
          <w:spacing w:val="-13"/>
          <w:w w:val="105"/>
        </w:rPr>
        <w:t> </w:t>
      </w:r>
      <w:r>
        <w:rPr>
          <w:color w:val="231F20"/>
          <w:w w:val="105"/>
        </w:rPr>
        <w:t>mazahua</w:t>
      </w:r>
      <w:r>
        <w:rPr>
          <w:color w:val="231F20"/>
          <w:spacing w:val="-13"/>
          <w:w w:val="105"/>
        </w:rPr>
        <w:t> </w:t>
      </w:r>
      <w:r>
        <w:rPr>
          <w:color w:val="231F20"/>
          <w:w w:val="105"/>
        </w:rPr>
        <w:t>por tener</w:t>
      </w:r>
      <w:r>
        <w:rPr>
          <w:color w:val="231F20"/>
          <w:spacing w:val="-7"/>
          <w:w w:val="105"/>
        </w:rPr>
        <w:t> </w:t>
      </w:r>
      <w:r>
        <w:rPr>
          <w:color w:val="231F20"/>
          <w:w w:val="105"/>
        </w:rPr>
        <w:t>una</w:t>
      </w:r>
      <w:r>
        <w:rPr>
          <w:color w:val="231F20"/>
          <w:spacing w:val="-7"/>
          <w:w w:val="105"/>
        </w:rPr>
        <w:t> </w:t>
      </w:r>
      <w:r>
        <w:rPr>
          <w:color w:val="231F20"/>
          <w:w w:val="105"/>
        </w:rPr>
        <w:t>dinámica</w:t>
      </w:r>
      <w:r>
        <w:rPr>
          <w:color w:val="231F20"/>
          <w:spacing w:val="-7"/>
          <w:w w:val="105"/>
        </w:rPr>
        <w:t> </w:t>
      </w:r>
      <w:r>
        <w:rPr>
          <w:color w:val="231F20"/>
          <w:w w:val="105"/>
        </w:rPr>
        <w:t>sociocultural</w:t>
      </w:r>
      <w:r>
        <w:rPr>
          <w:color w:val="231F20"/>
          <w:spacing w:val="-7"/>
          <w:w w:val="105"/>
        </w:rPr>
        <w:t> </w:t>
      </w:r>
      <w:r>
        <w:rPr>
          <w:color w:val="231F20"/>
          <w:w w:val="105"/>
        </w:rPr>
        <w:t>propia,</w:t>
      </w:r>
      <w:r>
        <w:rPr>
          <w:color w:val="231F20"/>
          <w:spacing w:val="-12"/>
          <w:w w:val="105"/>
        </w:rPr>
        <w:t> </w:t>
      </w:r>
      <w:r>
        <w:rPr>
          <w:color w:val="231F20"/>
          <w:w w:val="105"/>
        </w:rPr>
        <w:t>contextualizada</w:t>
      </w:r>
      <w:r>
        <w:rPr>
          <w:color w:val="231F20"/>
          <w:spacing w:val="-7"/>
          <w:w w:val="105"/>
        </w:rPr>
        <w:t> </w:t>
      </w:r>
      <w:r>
        <w:rPr>
          <w:color w:val="231F20"/>
          <w:w w:val="105"/>
        </w:rPr>
        <w:t>en</w:t>
      </w:r>
      <w:r>
        <w:rPr>
          <w:color w:val="231F20"/>
          <w:spacing w:val="-7"/>
          <w:w w:val="105"/>
        </w:rPr>
        <w:t> </w:t>
      </w:r>
      <w:r>
        <w:rPr>
          <w:color w:val="231F20"/>
          <w:w w:val="105"/>
        </w:rPr>
        <w:t>un</w:t>
      </w:r>
      <w:r>
        <w:rPr>
          <w:color w:val="231F20"/>
          <w:spacing w:val="-7"/>
          <w:w w:val="105"/>
        </w:rPr>
        <w:t> </w:t>
      </w:r>
      <w:r>
        <w:rPr>
          <w:color w:val="231F20"/>
          <w:w w:val="105"/>
        </w:rPr>
        <w:t>territorio específico y ligada al fuerte vínculo con la tierra, la producción y la cos- mogonía.</w:t>
      </w:r>
      <w:r>
        <w:rPr>
          <w:color w:val="231F20"/>
          <w:spacing w:val="-23"/>
          <w:w w:val="105"/>
        </w:rPr>
        <w:t> </w:t>
      </w:r>
      <w:r>
        <w:rPr>
          <w:color w:val="231F20"/>
          <w:w w:val="105"/>
        </w:rPr>
        <w:t>Sin</w:t>
      </w:r>
      <w:r>
        <w:rPr>
          <w:color w:val="231F20"/>
          <w:spacing w:val="-18"/>
          <w:w w:val="105"/>
        </w:rPr>
        <w:t> </w:t>
      </w:r>
      <w:r>
        <w:rPr>
          <w:color w:val="231F20"/>
          <w:w w:val="105"/>
        </w:rPr>
        <w:t>embargo,</w:t>
      </w:r>
      <w:r>
        <w:rPr>
          <w:color w:val="231F20"/>
          <w:spacing w:val="-23"/>
          <w:w w:val="105"/>
        </w:rPr>
        <w:t> </w:t>
      </w:r>
      <w:r>
        <w:rPr>
          <w:color w:val="231F20"/>
          <w:w w:val="105"/>
        </w:rPr>
        <w:t>la</w:t>
      </w:r>
      <w:r>
        <w:rPr>
          <w:color w:val="231F20"/>
          <w:spacing w:val="-18"/>
          <w:w w:val="105"/>
        </w:rPr>
        <w:t> </w:t>
      </w:r>
      <w:r>
        <w:rPr>
          <w:color w:val="231F20"/>
          <w:w w:val="105"/>
        </w:rPr>
        <w:t>migración</w:t>
      </w:r>
      <w:r>
        <w:rPr>
          <w:color w:val="231F20"/>
          <w:spacing w:val="-18"/>
          <w:w w:val="105"/>
        </w:rPr>
        <w:t> </w:t>
      </w:r>
      <w:r>
        <w:rPr>
          <w:color w:val="231F20"/>
          <w:w w:val="105"/>
        </w:rPr>
        <w:t>interna</w:t>
      </w:r>
      <w:r>
        <w:rPr>
          <w:color w:val="231F20"/>
          <w:spacing w:val="-18"/>
          <w:w w:val="105"/>
        </w:rPr>
        <w:t> </w:t>
      </w:r>
      <w:r>
        <w:rPr>
          <w:color w:val="231F20"/>
          <w:w w:val="105"/>
        </w:rPr>
        <w:t>condujo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población</w:t>
      </w:r>
      <w:r>
        <w:rPr>
          <w:color w:val="231F20"/>
          <w:spacing w:val="-18"/>
          <w:w w:val="105"/>
        </w:rPr>
        <w:t> </w:t>
      </w:r>
      <w:r>
        <w:rPr>
          <w:color w:val="231F20"/>
          <w:w w:val="105"/>
        </w:rPr>
        <w:t>hacia centros urbanos debido al deterioro del campo y la imposibilidad de te- ner</w:t>
      </w:r>
      <w:r>
        <w:rPr>
          <w:color w:val="231F20"/>
          <w:spacing w:val="-21"/>
          <w:w w:val="105"/>
        </w:rPr>
        <w:t> </w:t>
      </w:r>
      <w:r>
        <w:rPr>
          <w:color w:val="231F20"/>
          <w:w w:val="105"/>
        </w:rPr>
        <w:t>acceso</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bienes</w:t>
      </w:r>
      <w:r>
        <w:rPr>
          <w:color w:val="231F20"/>
          <w:spacing w:val="-21"/>
          <w:w w:val="105"/>
        </w:rPr>
        <w:t> </w:t>
      </w:r>
      <w:r>
        <w:rPr>
          <w:color w:val="231F20"/>
          <w:w w:val="105"/>
        </w:rPr>
        <w:t>indispensables</w:t>
      </w:r>
      <w:r>
        <w:rPr>
          <w:color w:val="231F20"/>
          <w:spacing w:val="-21"/>
          <w:w w:val="105"/>
        </w:rPr>
        <w:t> </w:t>
      </w:r>
      <w:r>
        <w:rPr>
          <w:color w:val="231F20"/>
          <w:w w:val="105"/>
        </w:rPr>
        <w:t>para</w:t>
      </w:r>
      <w:r>
        <w:rPr>
          <w:color w:val="231F20"/>
          <w:spacing w:val="-21"/>
          <w:w w:val="105"/>
        </w:rPr>
        <w:t> </w:t>
      </w:r>
      <w:r>
        <w:rPr>
          <w:color w:val="231F20"/>
          <w:w w:val="105"/>
        </w:rPr>
        <w:t>vivir.</w:t>
      </w:r>
      <w:r>
        <w:rPr>
          <w:color w:val="231F20"/>
          <w:spacing w:val="-25"/>
          <w:w w:val="105"/>
        </w:rPr>
        <w:t> </w:t>
      </w:r>
      <w:r>
        <w:rPr>
          <w:color w:val="231F20"/>
          <w:w w:val="105"/>
        </w:rPr>
        <w:t>La</w:t>
      </w:r>
      <w:r>
        <w:rPr>
          <w:color w:val="231F20"/>
          <w:spacing w:val="-21"/>
          <w:w w:val="105"/>
        </w:rPr>
        <w:t> </w:t>
      </w:r>
      <w:r>
        <w:rPr>
          <w:color w:val="231F20"/>
          <w:w w:val="105"/>
        </w:rPr>
        <w:t>producción</w:t>
      </w:r>
      <w:r>
        <w:rPr>
          <w:color w:val="231F20"/>
          <w:spacing w:val="-21"/>
          <w:w w:val="105"/>
        </w:rPr>
        <w:t> </w:t>
      </w:r>
      <w:r>
        <w:rPr>
          <w:color w:val="231F20"/>
          <w:w w:val="105"/>
        </w:rPr>
        <w:t>agrícola descendió</w:t>
      </w:r>
      <w:r>
        <w:rPr>
          <w:color w:val="231F20"/>
          <w:spacing w:val="-16"/>
          <w:w w:val="105"/>
        </w:rPr>
        <w:t> </w:t>
      </w:r>
      <w:r>
        <w:rPr>
          <w:color w:val="231F20"/>
          <w:w w:val="105"/>
        </w:rPr>
        <w:t>de</w:t>
      </w:r>
      <w:r>
        <w:rPr>
          <w:color w:val="231F20"/>
          <w:spacing w:val="-16"/>
          <w:w w:val="105"/>
        </w:rPr>
        <w:t> </w:t>
      </w:r>
      <w:r>
        <w:rPr>
          <w:color w:val="231F20"/>
          <w:w w:val="105"/>
        </w:rPr>
        <w:t>forma</w:t>
      </w:r>
      <w:r>
        <w:rPr>
          <w:color w:val="231F20"/>
          <w:spacing w:val="-16"/>
          <w:w w:val="105"/>
        </w:rPr>
        <w:t> </w:t>
      </w:r>
      <w:r>
        <w:rPr>
          <w:color w:val="231F20"/>
          <w:w w:val="105"/>
        </w:rPr>
        <w:t>abrumadora</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actividad</w:t>
      </w:r>
      <w:r>
        <w:rPr>
          <w:color w:val="231F20"/>
          <w:spacing w:val="-16"/>
          <w:w w:val="105"/>
        </w:rPr>
        <w:t> </w:t>
      </w:r>
      <w:r>
        <w:rPr>
          <w:color w:val="231F20"/>
          <w:w w:val="105"/>
        </w:rPr>
        <w:t>campesina</w:t>
      </w:r>
      <w:r>
        <w:rPr>
          <w:color w:val="231F20"/>
          <w:spacing w:val="-16"/>
          <w:w w:val="105"/>
        </w:rPr>
        <w:t> </w:t>
      </w:r>
      <w:r>
        <w:rPr>
          <w:color w:val="231F20"/>
          <w:w w:val="105"/>
        </w:rPr>
        <w:t>dejó</w:t>
      </w:r>
      <w:r>
        <w:rPr>
          <w:color w:val="231F20"/>
          <w:spacing w:val="-16"/>
          <w:w w:val="105"/>
        </w:rPr>
        <w:t> </w:t>
      </w:r>
      <w:r>
        <w:rPr>
          <w:color w:val="231F20"/>
          <w:w w:val="105"/>
        </w:rPr>
        <w:t>de</w:t>
      </w:r>
      <w:r>
        <w:rPr>
          <w:color w:val="231F20"/>
          <w:spacing w:val="-16"/>
          <w:w w:val="105"/>
        </w:rPr>
        <w:t> </w:t>
      </w:r>
      <w:r>
        <w:rPr>
          <w:color w:val="231F20"/>
          <w:w w:val="105"/>
        </w:rPr>
        <w:t>ser</w:t>
      </w:r>
      <w:r>
        <w:rPr>
          <w:color w:val="231F20"/>
          <w:spacing w:val="-16"/>
          <w:w w:val="105"/>
        </w:rPr>
        <w:t> </w:t>
      </w:r>
      <w:r>
        <w:rPr>
          <w:color w:val="231F20"/>
          <w:w w:val="105"/>
        </w:rPr>
        <w:t>un medio de</w:t>
      </w:r>
      <w:r>
        <w:rPr>
          <w:color w:val="231F20"/>
          <w:spacing w:val="-43"/>
          <w:w w:val="105"/>
        </w:rPr>
        <w:t> </w:t>
      </w:r>
      <w:r>
        <w:rPr>
          <w:color w:val="231F20"/>
          <w:w w:val="105"/>
        </w:rPr>
        <w:t>subsistencia.</w:t>
      </w:r>
    </w:p>
    <w:p>
      <w:pPr>
        <w:pStyle w:val="BodyText"/>
        <w:spacing w:line="261" w:lineRule="auto" w:before="1"/>
        <w:ind w:left="1837" w:right="1720" w:firstLine="567"/>
        <w:jc w:val="both"/>
      </w:pPr>
      <w:r>
        <w:rPr>
          <w:color w:val="231F20"/>
          <w:w w:val="105"/>
        </w:rPr>
        <w:t>El</w:t>
      </w:r>
      <w:r>
        <w:rPr>
          <w:color w:val="231F20"/>
          <w:spacing w:val="-10"/>
          <w:w w:val="105"/>
        </w:rPr>
        <w:t> </w:t>
      </w:r>
      <w:r>
        <w:rPr>
          <w:color w:val="231F20"/>
          <w:w w:val="105"/>
        </w:rPr>
        <w:t>proceso</w:t>
      </w:r>
      <w:r>
        <w:rPr>
          <w:color w:val="231F20"/>
          <w:spacing w:val="-10"/>
          <w:w w:val="105"/>
        </w:rPr>
        <w:t> </w:t>
      </w:r>
      <w:r>
        <w:rPr>
          <w:color w:val="231F20"/>
          <w:w w:val="105"/>
        </w:rPr>
        <w:t>de</w:t>
      </w:r>
      <w:r>
        <w:rPr>
          <w:color w:val="231F20"/>
          <w:spacing w:val="-10"/>
          <w:w w:val="105"/>
        </w:rPr>
        <w:t> </w:t>
      </w:r>
      <w:r>
        <w:rPr>
          <w:color w:val="231F20"/>
          <w:w w:val="105"/>
        </w:rPr>
        <w:t>industrialización</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exclusión</w:t>
      </w:r>
      <w:r>
        <w:rPr>
          <w:color w:val="231F20"/>
          <w:spacing w:val="-10"/>
          <w:w w:val="105"/>
        </w:rPr>
        <w:t> </w:t>
      </w:r>
      <w:r>
        <w:rPr>
          <w:color w:val="231F20"/>
          <w:w w:val="105"/>
        </w:rPr>
        <w:t>total</w:t>
      </w:r>
      <w:r>
        <w:rPr>
          <w:color w:val="231F20"/>
          <w:spacing w:val="-10"/>
          <w:w w:val="105"/>
        </w:rPr>
        <w:t> </w:t>
      </w:r>
      <w:r>
        <w:rPr>
          <w:color w:val="231F20"/>
          <w:w w:val="105"/>
        </w:rPr>
        <w:t>o</w:t>
      </w:r>
      <w:r>
        <w:rPr>
          <w:color w:val="231F20"/>
          <w:spacing w:val="-10"/>
          <w:w w:val="105"/>
        </w:rPr>
        <w:t> </w:t>
      </w:r>
      <w:r>
        <w:rPr>
          <w:color w:val="231F20"/>
          <w:w w:val="105"/>
        </w:rPr>
        <w:t>parcial</w:t>
      </w:r>
      <w:r>
        <w:rPr>
          <w:color w:val="231F20"/>
          <w:spacing w:val="-10"/>
          <w:w w:val="105"/>
        </w:rPr>
        <w:t> </w:t>
      </w:r>
      <w:r>
        <w:rPr>
          <w:color w:val="231F20"/>
          <w:w w:val="105"/>
        </w:rPr>
        <w:t>del</w:t>
      </w:r>
      <w:r>
        <w:rPr>
          <w:color w:val="231F20"/>
          <w:spacing w:val="-10"/>
          <w:w w:val="105"/>
        </w:rPr>
        <w:t> </w:t>
      </w:r>
      <w:r>
        <w:rPr>
          <w:color w:val="231F20"/>
          <w:w w:val="105"/>
        </w:rPr>
        <w:t>ac- ceso al consumo y disfrute de bienes y servicios públicos generó mar- ginación y concentración de población en zonas urbanas industrializa- das dentro y fuera de la misma entidad (Sandoval y </w:t>
      </w:r>
      <w:r>
        <w:rPr>
          <w:color w:val="231F20"/>
          <w:spacing w:val="-3"/>
          <w:w w:val="105"/>
        </w:rPr>
        <w:t>Patiño, </w:t>
      </w:r>
      <w:r>
        <w:rPr>
          <w:color w:val="231F20"/>
          <w:w w:val="105"/>
        </w:rPr>
        <w:t>2000). Los cambios</w:t>
      </w:r>
      <w:r>
        <w:rPr>
          <w:color w:val="231F20"/>
          <w:spacing w:val="-9"/>
          <w:w w:val="105"/>
        </w:rPr>
        <w:t> </w:t>
      </w:r>
      <w:r>
        <w:rPr>
          <w:color w:val="231F20"/>
          <w:w w:val="105"/>
        </w:rPr>
        <w:t>a</w:t>
      </w:r>
      <w:r>
        <w:rPr>
          <w:color w:val="231F20"/>
          <w:spacing w:val="-9"/>
          <w:w w:val="105"/>
        </w:rPr>
        <w:t> </w:t>
      </w:r>
      <w:r>
        <w:rPr>
          <w:color w:val="231F20"/>
          <w:w w:val="105"/>
        </w:rPr>
        <w:t>niveles</w:t>
      </w:r>
      <w:r>
        <w:rPr>
          <w:color w:val="231F20"/>
          <w:spacing w:val="-9"/>
          <w:w w:val="105"/>
        </w:rPr>
        <w:t> </w:t>
      </w:r>
      <w:r>
        <w:rPr>
          <w:color w:val="231F20"/>
          <w:w w:val="105"/>
        </w:rPr>
        <w:t>macro</w:t>
      </w:r>
      <w:r>
        <w:rPr>
          <w:color w:val="231F20"/>
          <w:spacing w:val="-9"/>
          <w:w w:val="105"/>
        </w:rPr>
        <w:t> </w:t>
      </w:r>
      <w:r>
        <w:rPr>
          <w:color w:val="231F20"/>
          <w:w w:val="105"/>
        </w:rPr>
        <w:t>estructural,</w:t>
      </w:r>
      <w:r>
        <w:rPr>
          <w:color w:val="231F20"/>
          <w:spacing w:val="-14"/>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entrada</w:t>
      </w:r>
      <w:r>
        <w:rPr>
          <w:color w:val="231F20"/>
          <w:spacing w:val="-9"/>
          <w:w w:val="105"/>
        </w:rPr>
        <w:t> </w:t>
      </w:r>
      <w:r>
        <w:rPr>
          <w:color w:val="231F20"/>
          <w:w w:val="105"/>
        </w:rPr>
        <w:t>en</w:t>
      </w:r>
      <w:r>
        <w:rPr>
          <w:color w:val="231F20"/>
          <w:spacing w:val="-9"/>
          <w:w w:val="105"/>
        </w:rPr>
        <w:t> </w:t>
      </w:r>
      <w:r>
        <w:rPr>
          <w:color w:val="231F20"/>
          <w:w w:val="105"/>
        </w:rPr>
        <w:t>vigor</w:t>
      </w:r>
      <w:r>
        <w:rPr>
          <w:color w:val="231F20"/>
          <w:spacing w:val="-9"/>
          <w:w w:val="105"/>
        </w:rPr>
        <w:t> </w:t>
      </w:r>
      <w:r>
        <w:rPr>
          <w:color w:val="231F20"/>
          <w:w w:val="105"/>
        </w:rPr>
        <w:t>del</w:t>
      </w:r>
      <w:r>
        <w:rPr>
          <w:color w:val="231F20"/>
          <w:spacing w:val="-9"/>
          <w:w w:val="105"/>
        </w:rPr>
        <w:t> </w:t>
      </w:r>
      <w:r>
        <w:rPr>
          <w:color w:val="231F20"/>
          <w:w w:val="105"/>
        </w:rPr>
        <w:t>modelo económico</w:t>
      </w:r>
      <w:r>
        <w:rPr>
          <w:color w:val="231F20"/>
          <w:spacing w:val="-5"/>
          <w:w w:val="105"/>
        </w:rPr>
        <w:t> </w:t>
      </w:r>
      <w:r>
        <w:rPr>
          <w:color w:val="231F20"/>
          <w:w w:val="105"/>
        </w:rPr>
        <w:t>neoliberal</w:t>
      </w:r>
      <w:r>
        <w:rPr>
          <w:color w:val="231F20"/>
          <w:spacing w:val="-5"/>
          <w:w w:val="105"/>
        </w:rPr>
        <w:t> </w:t>
      </w:r>
      <w:r>
        <w:rPr>
          <w:color w:val="231F20"/>
          <w:w w:val="105"/>
        </w:rPr>
        <w:t>que</w:t>
      </w:r>
      <w:r>
        <w:rPr>
          <w:color w:val="231F20"/>
          <w:spacing w:val="-5"/>
          <w:w w:val="105"/>
        </w:rPr>
        <w:t> </w:t>
      </w:r>
      <w:r>
        <w:rPr>
          <w:color w:val="231F20"/>
          <w:w w:val="105"/>
        </w:rPr>
        <w:t>privilegia</w:t>
      </w:r>
      <w:r>
        <w:rPr>
          <w:color w:val="231F20"/>
          <w:spacing w:val="-5"/>
          <w:w w:val="105"/>
        </w:rPr>
        <w:t> </w:t>
      </w:r>
      <w:r>
        <w:rPr>
          <w:color w:val="231F20"/>
          <w:w w:val="105"/>
        </w:rPr>
        <w:t>la</w:t>
      </w:r>
      <w:r>
        <w:rPr>
          <w:color w:val="231F20"/>
          <w:spacing w:val="-5"/>
          <w:w w:val="105"/>
        </w:rPr>
        <w:t> </w:t>
      </w:r>
      <w:r>
        <w:rPr>
          <w:color w:val="231F20"/>
          <w:w w:val="105"/>
        </w:rPr>
        <w:t>competencia</w:t>
      </w:r>
      <w:r>
        <w:rPr>
          <w:color w:val="231F20"/>
          <w:spacing w:val="-5"/>
          <w:w w:val="105"/>
        </w:rPr>
        <w:t> </w:t>
      </w:r>
      <w:r>
        <w:rPr>
          <w:color w:val="231F20"/>
          <w:w w:val="105"/>
        </w:rPr>
        <w:t>a</w:t>
      </w:r>
      <w:r>
        <w:rPr>
          <w:color w:val="231F20"/>
          <w:spacing w:val="-5"/>
          <w:w w:val="105"/>
        </w:rPr>
        <w:t> </w:t>
      </w:r>
      <w:r>
        <w:rPr>
          <w:color w:val="231F20"/>
          <w:w w:val="105"/>
        </w:rPr>
        <w:t>nivel</w:t>
      </w:r>
      <w:r>
        <w:rPr>
          <w:color w:val="231F20"/>
          <w:spacing w:val="-5"/>
          <w:w w:val="105"/>
        </w:rPr>
        <w:t> </w:t>
      </w:r>
      <w:r>
        <w:rPr>
          <w:color w:val="231F20"/>
          <w:w w:val="105"/>
        </w:rPr>
        <w:t>global</w:t>
      </w:r>
      <w:r>
        <w:rPr>
          <w:color w:val="231F20"/>
          <w:spacing w:val="-5"/>
          <w:w w:val="105"/>
        </w:rPr>
        <w:t> </w:t>
      </w:r>
      <w:r>
        <w:rPr>
          <w:color w:val="231F20"/>
          <w:w w:val="105"/>
        </w:rPr>
        <w:t>frente a la producción local, transformaron el modo de vida de los indígenas mazahuas,</w:t>
      </w:r>
      <w:r>
        <w:rPr>
          <w:color w:val="231F20"/>
          <w:spacing w:val="-22"/>
          <w:w w:val="105"/>
        </w:rPr>
        <w:t> </w:t>
      </w:r>
      <w:r>
        <w:rPr>
          <w:color w:val="231F20"/>
          <w:w w:val="105"/>
        </w:rPr>
        <w:t>quiénes</w:t>
      </w:r>
      <w:r>
        <w:rPr>
          <w:color w:val="231F20"/>
          <w:spacing w:val="-17"/>
          <w:w w:val="105"/>
        </w:rPr>
        <w:t> </w:t>
      </w:r>
      <w:r>
        <w:rPr>
          <w:color w:val="231F20"/>
          <w:w w:val="105"/>
        </w:rPr>
        <w:t>optaron</w:t>
      </w:r>
      <w:r>
        <w:rPr>
          <w:color w:val="231F20"/>
          <w:spacing w:val="-17"/>
          <w:w w:val="105"/>
        </w:rPr>
        <w:t> </w:t>
      </w:r>
      <w:r>
        <w:rPr>
          <w:color w:val="231F20"/>
          <w:w w:val="105"/>
        </w:rPr>
        <w:t>por</w:t>
      </w:r>
      <w:r>
        <w:rPr>
          <w:color w:val="231F20"/>
          <w:spacing w:val="-17"/>
          <w:w w:val="105"/>
        </w:rPr>
        <w:t> </w:t>
      </w:r>
      <w:r>
        <w:rPr>
          <w:color w:val="231F20"/>
          <w:w w:val="105"/>
        </w:rPr>
        <w:t>migrar,</w:t>
      </w:r>
      <w:r>
        <w:rPr>
          <w:color w:val="231F20"/>
          <w:spacing w:val="-22"/>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w w:val="105"/>
        </w:rPr>
        <w:t>primer</w:t>
      </w:r>
      <w:r>
        <w:rPr>
          <w:color w:val="231F20"/>
          <w:spacing w:val="-17"/>
          <w:w w:val="105"/>
        </w:rPr>
        <w:t> </w:t>
      </w:r>
      <w:r>
        <w:rPr>
          <w:color w:val="231F20"/>
          <w:w w:val="105"/>
        </w:rPr>
        <w:t>momento,</w:t>
      </w:r>
      <w:r>
        <w:rPr>
          <w:color w:val="231F20"/>
          <w:spacing w:val="-22"/>
          <w:w w:val="105"/>
        </w:rPr>
        <w:t> </w:t>
      </w:r>
      <w:r>
        <w:rPr>
          <w:color w:val="231F20"/>
          <w:w w:val="105"/>
        </w:rPr>
        <w:t>a</w:t>
      </w:r>
      <w:r>
        <w:rPr>
          <w:color w:val="231F20"/>
          <w:spacing w:val="-17"/>
          <w:w w:val="105"/>
        </w:rPr>
        <w:t> </w:t>
      </w:r>
      <w:r>
        <w:rPr>
          <w:color w:val="231F20"/>
          <w:w w:val="105"/>
        </w:rPr>
        <w:t>las</w:t>
      </w:r>
      <w:r>
        <w:rPr>
          <w:color w:val="231F20"/>
          <w:spacing w:val="-17"/>
          <w:w w:val="105"/>
        </w:rPr>
        <w:t> </w:t>
      </w:r>
      <w:r>
        <w:rPr>
          <w:color w:val="231F20"/>
          <w:w w:val="105"/>
        </w:rPr>
        <w:t>ciu- dades</w:t>
      </w:r>
      <w:r>
        <w:rPr>
          <w:color w:val="231F20"/>
          <w:spacing w:val="-30"/>
          <w:w w:val="105"/>
        </w:rPr>
        <w:t> </w:t>
      </w:r>
      <w:r>
        <w:rPr>
          <w:color w:val="231F20"/>
          <w:w w:val="105"/>
        </w:rPr>
        <w:t>cercanas</w:t>
      </w:r>
      <w:r>
        <w:rPr>
          <w:color w:val="231F20"/>
          <w:spacing w:val="-30"/>
          <w:w w:val="105"/>
        </w:rPr>
        <w:t> </w:t>
      </w:r>
      <w:r>
        <w:rPr>
          <w:color w:val="231F20"/>
          <w:w w:val="105"/>
        </w:rPr>
        <w:t>y</w:t>
      </w:r>
      <w:r>
        <w:rPr>
          <w:color w:val="231F20"/>
          <w:spacing w:val="-30"/>
          <w:w w:val="105"/>
        </w:rPr>
        <w:t> </w:t>
      </w:r>
      <w:r>
        <w:rPr>
          <w:color w:val="231F20"/>
          <w:w w:val="105"/>
        </w:rPr>
        <w:t>posteriormente</w:t>
      </w:r>
      <w:r>
        <w:rPr>
          <w:color w:val="231F20"/>
          <w:spacing w:val="-30"/>
          <w:w w:val="105"/>
        </w:rPr>
        <w:t> </w:t>
      </w:r>
      <w:r>
        <w:rPr>
          <w:color w:val="231F20"/>
          <w:w w:val="105"/>
        </w:rPr>
        <w:t>hacia</w:t>
      </w:r>
      <w:r>
        <w:rPr>
          <w:color w:val="231F20"/>
          <w:spacing w:val="-30"/>
          <w:w w:val="105"/>
        </w:rPr>
        <w:t> </w:t>
      </w:r>
      <w:r>
        <w:rPr>
          <w:color w:val="231F20"/>
          <w:w w:val="105"/>
        </w:rPr>
        <w:t>Estados</w:t>
      </w:r>
      <w:r>
        <w:rPr>
          <w:color w:val="231F20"/>
          <w:spacing w:val="-30"/>
          <w:w w:val="105"/>
        </w:rPr>
        <w:t> </w:t>
      </w:r>
      <w:r>
        <w:rPr>
          <w:color w:val="231F20"/>
          <w:w w:val="105"/>
        </w:rPr>
        <w:t>Unidos.</w:t>
      </w:r>
    </w:p>
    <w:p>
      <w:pPr>
        <w:pStyle w:val="BodyText"/>
        <w:spacing w:line="261" w:lineRule="auto" w:before="1"/>
        <w:ind w:left="1837" w:right="1715" w:firstLine="567"/>
        <w:jc w:val="both"/>
      </w:pPr>
      <w:r>
        <w:rPr/>
        <w:pict>
          <v:line style="position:absolute;mso-position-horizontal-relative:page;mso-position-vertical-relative:paragraph;z-index:-463552" from="15pt,336.873596pt" to="0pt,336.873596pt" stroked="true" strokeweight=".25pt" strokecolor="#000000">
            <w10:wrap type="none"/>
          </v:line>
        </w:pict>
      </w:r>
      <w:r>
        <w:rPr/>
        <w:pict>
          <v:line style="position:absolute;mso-position-horizontal-relative:page;mso-position-vertical-relative:paragraph;z-index:26656" from="508.890015pt,336.873596pt" to="523.890015pt,336.873596pt" stroked="true" strokeweight=".25pt" strokecolor="#000000">
            <w10:wrap type="none"/>
          </v:line>
        </w:pict>
      </w:r>
      <w:r>
        <w:rPr>
          <w:color w:val="231F20"/>
          <w:spacing w:val="-4"/>
          <w:w w:val="105"/>
        </w:rPr>
        <w:t>Para</w:t>
      </w:r>
      <w:r>
        <w:rPr>
          <w:color w:val="231F20"/>
          <w:spacing w:val="-19"/>
          <w:w w:val="105"/>
        </w:rPr>
        <w:t> </w:t>
      </w:r>
      <w:r>
        <w:rPr>
          <w:color w:val="231F20"/>
          <w:w w:val="105"/>
        </w:rPr>
        <w:t>conocer</w:t>
      </w:r>
      <w:r>
        <w:rPr>
          <w:color w:val="231F20"/>
          <w:spacing w:val="-19"/>
          <w:w w:val="105"/>
        </w:rPr>
        <w:t> </w:t>
      </w:r>
      <w:r>
        <w:rPr>
          <w:color w:val="231F20"/>
          <w:w w:val="105"/>
        </w:rPr>
        <w:t>el</w:t>
      </w:r>
      <w:r>
        <w:rPr>
          <w:color w:val="231F20"/>
          <w:spacing w:val="-19"/>
          <w:w w:val="105"/>
        </w:rPr>
        <w:t> </w:t>
      </w:r>
      <w:r>
        <w:rPr>
          <w:color w:val="231F20"/>
          <w:w w:val="105"/>
        </w:rPr>
        <w:t>modo</w:t>
      </w:r>
      <w:r>
        <w:rPr>
          <w:color w:val="231F20"/>
          <w:spacing w:val="-19"/>
          <w:w w:val="105"/>
        </w:rPr>
        <w:t> </w:t>
      </w:r>
      <w:r>
        <w:rPr>
          <w:color w:val="231F20"/>
          <w:w w:val="105"/>
        </w:rPr>
        <w:t>en</w:t>
      </w:r>
      <w:r>
        <w:rPr>
          <w:color w:val="231F20"/>
          <w:spacing w:val="-19"/>
          <w:w w:val="105"/>
        </w:rPr>
        <w:t> </w:t>
      </w:r>
      <w:r>
        <w:rPr>
          <w:color w:val="231F20"/>
          <w:w w:val="105"/>
        </w:rPr>
        <w:t>que</w:t>
      </w:r>
      <w:r>
        <w:rPr>
          <w:color w:val="231F20"/>
          <w:spacing w:val="-19"/>
          <w:w w:val="105"/>
        </w:rPr>
        <w:t> </w:t>
      </w:r>
      <w:r>
        <w:rPr>
          <w:color w:val="231F20"/>
          <w:w w:val="105"/>
        </w:rPr>
        <w:t>los</w:t>
      </w:r>
      <w:r>
        <w:rPr>
          <w:color w:val="231F20"/>
          <w:spacing w:val="-19"/>
          <w:w w:val="105"/>
        </w:rPr>
        <w:t> </w:t>
      </w:r>
      <w:r>
        <w:rPr>
          <w:color w:val="231F20"/>
          <w:w w:val="105"/>
        </w:rPr>
        <w:t>mazahuas</w:t>
      </w:r>
      <w:r>
        <w:rPr>
          <w:color w:val="231F20"/>
          <w:spacing w:val="-19"/>
          <w:w w:val="105"/>
        </w:rPr>
        <w:t> </w:t>
      </w:r>
      <w:r>
        <w:rPr>
          <w:color w:val="231F20"/>
          <w:w w:val="105"/>
        </w:rPr>
        <w:t>participan</w:t>
      </w:r>
      <w:r>
        <w:rPr>
          <w:color w:val="231F20"/>
          <w:spacing w:val="-19"/>
          <w:w w:val="105"/>
        </w:rPr>
        <w:t> </w:t>
      </w:r>
      <w:r>
        <w:rPr>
          <w:color w:val="231F20"/>
          <w:w w:val="105"/>
        </w:rPr>
        <w:t>en</w:t>
      </w:r>
      <w:r>
        <w:rPr>
          <w:color w:val="231F20"/>
          <w:spacing w:val="-19"/>
          <w:w w:val="105"/>
        </w:rPr>
        <w:t> </w:t>
      </w:r>
      <w:r>
        <w:rPr>
          <w:color w:val="231F20"/>
          <w:w w:val="105"/>
        </w:rPr>
        <w:t>las</w:t>
      </w:r>
      <w:r>
        <w:rPr>
          <w:color w:val="231F20"/>
          <w:spacing w:val="-19"/>
          <w:w w:val="105"/>
        </w:rPr>
        <w:t> </w:t>
      </w:r>
      <w:r>
        <w:rPr>
          <w:color w:val="231F20"/>
          <w:w w:val="105"/>
        </w:rPr>
        <w:t>movi- lidades</w:t>
      </w:r>
      <w:r>
        <w:rPr>
          <w:color w:val="231F20"/>
          <w:spacing w:val="-13"/>
          <w:w w:val="105"/>
        </w:rPr>
        <w:t> </w:t>
      </w:r>
      <w:r>
        <w:rPr>
          <w:color w:val="231F20"/>
          <w:w w:val="105"/>
        </w:rPr>
        <w:t>contemporáneas</w:t>
      </w:r>
      <w:r>
        <w:rPr>
          <w:color w:val="231F20"/>
          <w:spacing w:val="-13"/>
          <w:w w:val="105"/>
        </w:rPr>
        <w:t> </w:t>
      </w:r>
      <w:r>
        <w:rPr>
          <w:color w:val="231F20"/>
          <w:w w:val="105"/>
        </w:rPr>
        <w:t>es</w:t>
      </w:r>
      <w:r>
        <w:rPr>
          <w:color w:val="231F20"/>
          <w:spacing w:val="-13"/>
          <w:w w:val="105"/>
        </w:rPr>
        <w:t> </w:t>
      </w:r>
      <w:r>
        <w:rPr>
          <w:color w:val="231F20"/>
          <w:w w:val="105"/>
        </w:rPr>
        <w:t>necesario</w:t>
      </w:r>
      <w:r>
        <w:rPr>
          <w:color w:val="231F20"/>
          <w:spacing w:val="-13"/>
          <w:w w:val="105"/>
        </w:rPr>
        <w:t> </w:t>
      </w:r>
      <w:r>
        <w:rPr>
          <w:color w:val="231F20"/>
          <w:w w:val="105"/>
        </w:rPr>
        <w:t>reconstruir,</w:t>
      </w:r>
      <w:r>
        <w:rPr>
          <w:color w:val="231F20"/>
          <w:spacing w:val="-18"/>
          <w:w w:val="105"/>
        </w:rPr>
        <w:t> </w:t>
      </w:r>
      <w:r>
        <w:rPr>
          <w:color w:val="231F20"/>
          <w:w w:val="105"/>
        </w:rPr>
        <w:t>desde</w:t>
      </w:r>
      <w:r>
        <w:rPr>
          <w:color w:val="231F20"/>
          <w:spacing w:val="-13"/>
          <w:w w:val="105"/>
        </w:rPr>
        <w:t> </w:t>
      </w:r>
      <w:r>
        <w:rPr>
          <w:color w:val="231F20"/>
          <w:w w:val="105"/>
        </w:rPr>
        <w:t>la</w:t>
      </w:r>
      <w:r>
        <w:rPr>
          <w:color w:val="231F20"/>
          <w:spacing w:val="-13"/>
          <w:w w:val="105"/>
        </w:rPr>
        <w:t> </w:t>
      </w:r>
      <w:r>
        <w:rPr>
          <w:color w:val="231F20"/>
          <w:w w:val="105"/>
        </w:rPr>
        <w:t>historia</w:t>
      </w:r>
      <w:r>
        <w:rPr>
          <w:color w:val="231F20"/>
          <w:spacing w:val="-13"/>
          <w:w w:val="105"/>
        </w:rPr>
        <w:t> </w:t>
      </w:r>
      <w:r>
        <w:rPr>
          <w:color w:val="231F20"/>
          <w:w w:val="105"/>
        </w:rPr>
        <w:t>oral, los</w:t>
      </w:r>
      <w:r>
        <w:rPr>
          <w:color w:val="231F20"/>
          <w:spacing w:val="-28"/>
          <w:w w:val="105"/>
        </w:rPr>
        <w:t> </w:t>
      </w:r>
      <w:r>
        <w:rPr>
          <w:color w:val="231F20"/>
          <w:w w:val="105"/>
        </w:rPr>
        <w:t>enclaves</w:t>
      </w:r>
      <w:r>
        <w:rPr>
          <w:color w:val="231F20"/>
          <w:spacing w:val="-28"/>
          <w:w w:val="105"/>
        </w:rPr>
        <w:t> </w:t>
      </w:r>
      <w:r>
        <w:rPr>
          <w:color w:val="231F20"/>
          <w:w w:val="105"/>
        </w:rPr>
        <w:t>espacio-temporales</w:t>
      </w:r>
      <w:r>
        <w:rPr>
          <w:color w:val="231F20"/>
          <w:spacing w:val="-28"/>
          <w:w w:val="105"/>
        </w:rPr>
        <w:t> </w:t>
      </w:r>
      <w:r>
        <w:rPr>
          <w:color w:val="231F20"/>
          <w:w w:val="105"/>
        </w:rPr>
        <w:t>en</w:t>
      </w:r>
      <w:r>
        <w:rPr>
          <w:color w:val="231F20"/>
          <w:spacing w:val="-28"/>
          <w:w w:val="105"/>
        </w:rPr>
        <w:t> </w:t>
      </w:r>
      <w:r>
        <w:rPr>
          <w:color w:val="231F20"/>
          <w:w w:val="105"/>
        </w:rPr>
        <w:t>que</w:t>
      </w:r>
      <w:r>
        <w:rPr>
          <w:color w:val="231F20"/>
          <w:spacing w:val="-28"/>
          <w:w w:val="105"/>
        </w:rPr>
        <w:t> </w:t>
      </w:r>
      <w:r>
        <w:rPr>
          <w:color w:val="231F20"/>
          <w:w w:val="105"/>
        </w:rPr>
        <w:t>la</w:t>
      </w:r>
      <w:r>
        <w:rPr>
          <w:color w:val="231F20"/>
          <w:spacing w:val="-28"/>
          <w:w w:val="105"/>
        </w:rPr>
        <w:t> </w:t>
      </w:r>
      <w:r>
        <w:rPr>
          <w:color w:val="231F20"/>
          <w:w w:val="105"/>
        </w:rPr>
        <w:t>migración</w:t>
      </w:r>
      <w:r>
        <w:rPr>
          <w:color w:val="231F20"/>
          <w:spacing w:val="-28"/>
          <w:w w:val="105"/>
        </w:rPr>
        <w:t> </w:t>
      </w:r>
      <w:r>
        <w:rPr>
          <w:color w:val="231F20"/>
          <w:w w:val="105"/>
        </w:rPr>
        <w:t>internacional</w:t>
      </w:r>
      <w:r>
        <w:rPr>
          <w:color w:val="231F20"/>
          <w:spacing w:val="-28"/>
          <w:w w:val="105"/>
        </w:rPr>
        <w:t> </w:t>
      </w:r>
      <w:r>
        <w:rPr>
          <w:color w:val="231F20"/>
          <w:w w:val="105"/>
        </w:rPr>
        <w:t>se</w:t>
      </w:r>
      <w:r>
        <w:rPr>
          <w:color w:val="231F20"/>
          <w:spacing w:val="-28"/>
          <w:w w:val="105"/>
        </w:rPr>
        <w:t> </w:t>
      </w:r>
      <w:r>
        <w:rPr>
          <w:color w:val="231F20"/>
          <w:w w:val="105"/>
        </w:rPr>
        <w:t>ad- hirió</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migración</w:t>
      </w:r>
      <w:r>
        <w:rPr>
          <w:color w:val="231F20"/>
          <w:spacing w:val="-11"/>
          <w:w w:val="105"/>
        </w:rPr>
        <w:t> </w:t>
      </w:r>
      <w:r>
        <w:rPr>
          <w:color w:val="231F20"/>
          <w:w w:val="105"/>
        </w:rPr>
        <w:t>interna</w:t>
      </w:r>
      <w:r>
        <w:rPr>
          <w:color w:val="231F20"/>
          <w:spacing w:val="-11"/>
          <w:w w:val="105"/>
        </w:rPr>
        <w:t> </w:t>
      </w:r>
      <w:r>
        <w:rPr>
          <w:color w:val="231F20"/>
          <w:w w:val="105"/>
        </w:rPr>
        <w:t>como</w:t>
      </w:r>
      <w:r>
        <w:rPr>
          <w:color w:val="231F20"/>
          <w:spacing w:val="-11"/>
          <w:w w:val="105"/>
        </w:rPr>
        <w:t> </w:t>
      </w:r>
      <w:r>
        <w:rPr>
          <w:color w:val="231F20"/>
          <w:w w:val="105"/>
        </w:rPr>
        <w:t>modo</w:t>
      </w:r>
      <w:r>
        <w:rPr>
          <w:color w:val="231F20"/>
          <w:spacing w:val="-11"/>
          <w:w w:val="105"/>
        </w:rPr>
        <w:t> </w:t>
      </w:r>
      <w:r>
        <w:rPr>
          <w:color w:val="231F20"/>
          <w:w w:val="105"/>
        </w:rPr>
        <w:t>de</w:t>
      </w:r>
      <w:r>
        <w:rPr>
          <w:color w:val="231F20"/>
          <w:spacing w:val="-11"/>
          <w:w w:val="105"/>
        </w:rPr>
        <w:t> </w:t>
      </w:r>
      <w:r>
        <w:rPr>
          <w:color w:val="231F20"/>
          <w:w w:val="105"/>
        </w:rPr>
        <w:t>vida.</w:t>
      </w:r>
      <w:r>
        <w:rPr>
          <w:color w:val="231F20"/>
          <w:spacing w:val="-17"/>
          <w:w w:val="105"/>
        </w:rPr>
        <w:t> </w:t>
      </w:r>
      <w:r>
        <w:rPr>
          <w:color w:val="231F20"/>
          <w:w w:val="105"/>
        </w:rPr>
        <w:t>Como</w:t>
      </w:r>
      <w:r>
        <w:rPr>
          <w:color w:val="231F20"/>
          <w:spacing w:val="-11"/>
          <w:w w:val="105"/>
        </w:rPr>
        <w:t> </w:t>
      </w:r>
      <w:r>
        <w:rPr>
          <w:color w:val="231F20"/>
          <w:w w:val="105"/>
        </w:rPr>
        <w:t>propone</w:t>
      </w:r>
      <w:r>
        <w:rPr>
          <w:color w:val="231F20"/>
          <w:spacing w:val="-15"/>
          <w:w w:val="105"/>
        </w:rPr>
        <w:t> </w:t>
      </w:r>
      <w:r>
        <w:rPr>
          <w:color w:val="231F20"/>
          <w:w w:val="105"/>
        </w:rPr>
        <w:t>Velasco, </w:t>
      </w:r>
      <w:r>
        <w:rPr>
          <w:color w:val="231F20"/>
          <w:spacing w:val="-3"/>
          <w:w w:val="105"/>
        </w:rPr>
        <w:t>“es</w:t>
      </w:r>
      <w:r>
        <w:rPr>
          <w:color w:val="231F20"/>
          <w:spacing w:val="-10"/>
          <w:w w:val="105"/>
        </w:rPr>
        <w:t> </w:t>
      </w:r>
      <w:r>
        <w:rPr>
          <w:color w:val="231F20"/>
          <w:w w:val="105"/>
        </w:rPr>
        <w:t>posible</w:t>
      </w:r>
      <w:r>
        <w:rPr>
          <w:color w:val="231F20"/>
          <w:spacing w:val="-10"/>
          <w:w w:val="105"/>
        </w:rPr>
        <w:t> </w:t>
      </w:r>
      <w:r>
        <w:rPr>
          <w:color w:val="231F20"/>
          <w:w w:val="105"/>
        </w:rPr>
        <w:t>aproximarse</w:t>
      </w:r>
      <w:r>
        <w:rPr>
          <w:color w:val="231F20"/>
          <w:spacing w:val="-10"/>
          <w:w w:val="105"/>
        </w:rPr>
        <w:t> </w:t>
      </w:r>
      <w:r>
        <w:rPr>
          <w:color w:val="231F20"/>
          <w:w w:val="105"/>
        </w:rPr>
        <w:t>a</w:t>
      </w:r>
      <w:r>
        <w:rPr>
          <w:color w:val="231F20"/>
          <w:spacing w:val="-10"/>
          <w:w w:val="105"/>
        </w:rPr>
        <w:t> </w:t>
      </w:r>
      <w:r>
        <w:rPr>
          <w:color w:val="231F20"/>
          <w:w w:val="105"/>
        </w:rPr>
        <w:t>este</w:t>
      </w:r>
      <w:r>
        <w:rPr>
          <w:color w:val="231F20"/>
          <w:spacing w:val="-10"/>
          <w:w w:val="105"/>
        </w:rPr>
        <w:t> </w:t>
      </w:r>
      <w:r>
        <w:rPr>
          <w:color w:val="231F20"/>
          <w:w w:val="105"/>
        </w:rPr>
        <w:t>nexo</w:t>
      </w:r>
      <w:r>
        <w:rPr>
          <w:color w:val="231F20"/>
          <w:spacing w:val="-10"/>
          <w:w w:val="105"/>
        </w:rPr>
        <w:t> </w:t>
      </w:r>
      <w:r>
        <w:rPr>
          <w:color w:val="231F20"/>
          <w:w w:val="105"/>
        </w:rPr>
        <w:t>mediante</w:t>
      </w:r>
      <w:r>
        <w:rPr>
          <w:color w:val="231F20"/>
          <w:spacing w:val="-10"/>
          <w:w w:val="105"/>
        </w:rPr>
        <w:t> </w:t>
      </w:r>
      <w:r>
        <w:rPr>
          <w:color w:val="231F20"/>
          <w:w w:val="105"/>
        </w:rPr>
        <w:t>el</w:t>
      </w:r>
      <w:r>
        <w:rPr>
          <w:color w:val="231F20"/>
          <w:spacing w:val="-10"/>
          <w:w w:val="105"/>
        </w:rPr>
        <w:t> </w:t>
      </w:r>
      <w:r>
        <w:rPr>
          <w:color w:val="231F20"/>
          <w:w w:val="105"/>
        </w:rPr>
        <w:t>análisis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construc- ción histórica de las redes de migrantes, las cuales corren por lazos de parentesco</w:t>
      </w:r>
      <w:r>
        <w:rPr>
          <w:color w:val="231F20"/>
          <w:spacing w:val="-32"/>
          <w:w w:val="105"/>
        </w:rPr>
        <w:t> </w:t>
      </w:r>
      <w:r>
        <w:rPr>
          <w:color w:val="231F20"/>
          <w:w w:val="105"/>
        </w:rPr>
        <w:t>y</w:t>
      </w:r>
      <w:r>
        <w:rPr>
          <w:color w:val="231F20"/>
          <w:spacing w:val="-32"/>
          <w:w w:val="105"/>
        </w:rPr>
        <w:t> </w:t>
      </w:r>
      <w:r>
        <w:rPr>
          <w:color w:val="231F20"/>
          <w:w w:val="105"/>
        </w:rPr>
        <w:t>paisanaje.</w:t>
      </w:r>
      <w:r>
        <w:rPr>
          <w:color w:val="231F20"/>
          <w:spacing w:val="-36"/>
          <w:w w:val="105"/>
        </w:rPr>
        <w:t> </w:t>
      </w:r>
      <w:r>
        <w:rPr>
          <w:color w:val="231F20"/>
          <w:w w:val="105"/>
        </w:rPr>
        <w:t>Estas</w:t>
      </w:r>
      <w:r>
        <w:rPr>
          <w:color w:val="231F20"/>
          <w:spacing w:val="-32"/>
          <w:w w:val="105"/>
        </w:rPr>
        <w:t> </w:t>
      </w:r>
      <w:r>
        <w:rPr>
          <w:color w:val="231F20"/>
          <w:w w:val="105"/>
        </w:rPr>
        <w:t>redes</w:t>
      </w:r>
      <w:r>
        <w:rPr>
          <w:color w:val="231F20"/>
          <w:spacing w:val="-32"/>
          <w:w w:val="105"/>
        </w:rPr>
        <w:t> </w:t>
      </w:r>
      <w:r>
        <w:rPr>
          <w:color w:val="231F20"/>
          <w:w w:val="105"/>
        </w:rPr>
        <w:t>se</w:t>
      </w:r>
      <w:r>
        <w:rPr>
          <w:color w:val="231F20"/>
          <w:spacing w:val="-32"/>
          <w:w w:val="105"/>
        </w:rPr>
        <w:t> </w:t>
      </w:r>
      <w:r>
        <w:rPr>
          <w:color w:val="231F20"/>
          <w:w w:val="105"/>
        </w:rPr>
        <w:t>pueden</w:t>
      </w:r>
      <w:r>
        <w:rPr>
          <w:color w:val="231F20"/>
          <w:spacing w:val="-32"/>
          <w:w w:val="105"/>
        </w:rPr>
        <w:t> </w:t>
      </w:r>
      <w:r>
        <w:rPr>
          <w:color w:val="231F20"/>
          <w:w w:val="105"/>
        </w:rPr>
        <w:t>rastrear</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w w:val="105"/>
        </w:rPr>
        <w:t>geografía</w:t>
      </w:r>
      <w:r>
        <w:rPr>
          <w:color w:val="231F20"/>
          <w:spacing w:val="-32"/>
          <w:w w:val="105"/>
        </w:rPr>
        <w:t> </w:t>
      </w:r>
      <w:r>
        <w:rPr>
          <w:color w:val="231F20"/>
          <w:w w:val="105"/>
        </w:rPr>
        <w:t>de los asentamientos y de los lugares de cruce de los migrantes”</w:t>
      </w:r>
      <w:r>
        <w:rPr>
          <w:color w:val="231F20"/>
          <w:spacing w:val="-31"/>
          <w:w w:val="105"/>
        </w:rPr>
        <w:t> </w:t>
      </w:r>
      <w:r>
        <w:rPr>
          <w:color w:val="231F20"/>
          <w:w w:val="105"/>
        </w:rPr>
        <w:t>(Velasco 2010:</w:t>
      </w:r>
      <w:r>
        <w:rPr>
          <w:color w:val="231F20"/>
          <w:spacing w:val="-24"/>
          <w:w w:val="105"/>
        </w:rPr>
        <w:t> </w:t>
      </w:r>
      <w:r>
        <w:rPr>
          <w:color w:val="231F20"/>
          <w:w w:val="105"/>
        </w:rPr>
        <w:t>327).</w:t>
      </w:r>
      <w:r>
        <w:rPr>
          <w:color w:val="231F20"/>
          <w:spacing w:val="-28"/>
          <w:w w:val="105"/>
        </w:rPr>
        <w:t> </w:t>
      </w:r>
      <w:r>
        <w:rPr>
          <w:color w:val="231F20"/>
          <w:w w:val="105"/>
        </w:rPr>
        <w:t>Estos</w:t>
      </w:r>
      <w:r>
        <w:rPr>
          <w:color w:val="231F20"/>
          <w:spacing w:val="-24"/>
          <w:w w:val="105"/>
        </w:rPr>
        <w:t> </w:t>
      </w:r>
      <w:r>
        <w:rPr>
          <w:color w:val="231F20"/>
          <w:w w:val="105"/>
        </w:rPr>
        <w:t>elementos</w:t>
      </w:r>
      <w:r>
        <w:rPr>
          <w:color w:val="231F20"/>
          <w:spacing w:val="-24"/>
          <w:w w:val="105"/>
        </w:rPr>
        <w:t> </w:t>
      </w:r>
      <w:r>
        <w:rPr>
          <w:color w:val="231F20"/>
          <w:w w:val="105"/>
        </w:rPr>
        <w:t>son</w:t>
      </w:r>
      <w:r>
        <w:rPr>
          <w:color w:val="231F20"/>
          <w:spacing w:val="-24"/>
          <w:w w:val="105"/>
        </w:rPr>
        <w:t> </w:t>
      </w:r>
      <w:r>
        <w:rPr>
          <w:color w:val="231F20"/>
          <w:w w:val="105"/>
        </w:rPr>
        <w:t>puntos</w:t>
      </w:r>
      <w:r>
        <w:rPr>
          <w:color w:val="231F20"/>
          <w:spacing w:val="-24"/>
          <w:w w:val="105"/>
        </w:rPr>
        <w:t> </w:t>
      </w:r>
      <w:r>
        <w:rPr>
          <w:color w:val="231F20"/>
          <w:w w:val="105"/>
        </w:rPr>
        <w:t>de</w:t>
      </w:r>
      <w:r>
        <w:rPr>
          <w:color w:val="231F20"/>
          <w:spacing w:val="-24"/>
          <w:w w:val="105"/>
        </w:rPr>
        <w:t> </w:t>
      </w:r>
      <w:r>
        <w:rPr>
          <w:color w:val="231F20"/>
          <w:w w:val="105"/>
        </w:rPr>
        <w:t>referencia</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investigación en</w:t>
      </w:r>
      <w:r>
        <w:rPr>
          <w:color w:val="231F20"/>
          <w:spacing w:val="-8"/>
          <w:w w:val="105"/>
        </w:rPr>
        <w:t> </w:t>
      </w:r>
      <w:r>
        <w:rPr>
          <w:color w:val="231F20"/>
          <w:w w:val="105"/>
        </w:rPr>
        <w:t>marcha,</w:t>
      </w:r>
      <w:r>
        <w:rPr>
          <w:color w:val="231F20"/>
          <w:spacing w:val="-14"/>
          <w:w w:val="105"/>
        </w:rPr>
        <w:t> </w:t>
      </w:r>
      <w:r>
        <w:rPr>
          <w:color w:val="231F20"/>
          <w:w w:val="105"/>
        </w:rPr>
        <w:t>misma</w:t>
      </w:r>
      <w:r>
        <w:rPr>
          <w:color w:val="231F20"/>
          <w:spacing w:val="-8"/>
          <w:w w:val="105"/>
        </w:rPr>
        <w:t> </w:t>
      </w:r>
      <w:r>
        <w:rPr>
          <w:color w:val="231F20"/>
          <w:w w:val="105"/>
        </w:rPr>
        <w:t>que</w:t>
      </w:r>
      <w:r>
        <w:rPr>
          <w:color w:val="231F20"/>
          <w:spacing w:val="-8"/>
          <w:w w:val="105"/>
        </w:rPr>
        <w:t> </w:t>
      </w:r>
      <w:r>
        <w:rPr>
          <w:color w:val="231F20"/>
          <w:w w:val="105"/>
        </w:rPr>
        <w:t>retoma,</w:t>
      </w:r>
      <w:r>
        <w:rPr>
          <w:color w:val="231F20"/>
          <w:spacing w:val="-14"/>
          <w:w w:val="105"/>
        </w:rPr>
        <w:t> </w:t>
      </w:r>
      <w:r>
        <w:rPr>
          <w:color w:val="231F20"/>
          <w:w w:val="105"/>
        </w:rPr>
        <w:t>a</w:t>
      </w:r>
      <w:r>
        <w:rPr>
          <w:color w:val="231F20"/>
          <w:spacing w:val="-8"/>
          <w:w w:val="105"/>
        </w:rPr>
        <w:t> </w:t>
      </w:r>
      <w:r>
        <w:rPr>
          <w:color w:val="231F20"/>
          <w:w w:val="105"/>
        </w:rPr>
        <w:t>través</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instrumentos</w:t>
      </w:r>
      <w:r>
        <w:rPr>
          <w:color w:val="231F20"/>
          <w:spacing w:val="-8"/>
          <w:w w:val="105"/>
        </w:rPr>
        <w:t> </w:t>
      </w:r>
      <w:r>
        <w:rPr>
          <w:color w:val="231F20"/>
          <w:w w:val="105"/>
        </w:rPr>
        <w:t>de</w:t>
      </w:r>
      <w:r>
        <w:rPr>
          <w:color w:val="231F20"/>
          <w:spacing w:val="-8"/>
          <w:w w:val="105"/>
        </w:rPr>
        <w:t> </w:t>
      </w:r>
      <w:r>
        <w:rPr>
          <w:color w:val="231F20"/>
          <w:w w:val="105"/>
        </w:rPr>
        <w:t>registro: los</w:t>
      </w:r>
      <w:r>
        <w:rPr>
          <w:color w:val="231F20"/>
          <w:spacing w:val="-7"/>
          <w:w w:val="105"/>
        </w:rPr>
        <w:t> </w:t>
      </w:r>
      <w:r>
        <w:rPr>
          <w:color w:val="231F20"/>
          <w:w w:val="105"/>
        </w:rPr>
        <w:t>contextos</w:t>
      </w:r>
      <w:r>
        <w:rPr>
          <w:color w:val="231F20"/>
          <w:spacing w:val="-7"/>
          <w:w w:val="105"/>
        </w:rPr>
        <w:t> </w:t>
      </w:r>
      <w:r>
        <w:rPr>
          <w:color w:val="231F20"/>
          <w:w w:val="105"/>
        </w:rPr>
        <w:t>de</w:t>
      </w:r>
      <w:r>
        <w:rPr>
          <w:color w:val="231F20"/>
          <w:spacing w:val="-7"/>
          <w:w w:val="105"/>
        </w:rPr>
        <w:t> </w:t>
      </w:r>
      <w:r>
        <w:rPr>
          <w:color w:val="231F20"/>
          <w:w w:val="105"/>
        </w:rPr>
        <w:t>salida</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llegada</w:t>
      </w:r>
      <w:r>
        <w:rPr>
          <w:color w:val="231F20"/>
          <w:spacing w:val="-7"/>
          <w:w w:val="105"/>
        </w:rPr>
        <w:t> </w:t>
      </w:r>
      <w:r>
        <w:rPr>
          <w:color w:val="231F20"/>
          <w:w w:val="105"/>
        </w:rPr>
        <w:t>(Rivera</w:t>
      </w:r>
      <w:r>
        <w:rPr>
          <w:color w:val="231F20"/>
          <w:spacing w:val="-7"/>
          <w:w w:val="105"/>
        </w:rPr>
        <w:t> </w:t>
      </w:r>
      <w:r>
        <w:rPr>
          <w:color w:val="231F20"/>
          <w:w w:val="105"/>
        </w:rPr>
        <w:t>y</w:t>
      </w:r>
      <w:r>
        <w:rPr>
          <w:color w:val="231F20"/>
          <w:spacing w:val="-7"/>
          <w:w w:val="105"/>
        </w:rPr>
        <w:t> </w:t>
      </w:r>
      <w:r>
        <w:rPr>
          <w:color w:val="231F20"/>
          <w:w w:val="105"/>
        </w:rPr>
        <w:t>Lozano,</w:t>
      </w:r>
      <w:r>
        <w:rPr>
          <w:color w:val="231F20"/>
          <w:spacing w:val="-12"/>
          <w:w w:val="105"/>
        </w:rPr>
        <w:t> </w:t>
      </w:r>
      <w:r>
        <w:rPr>
          <w:color w:val="231F20"/>
          <w:w w:val="105"/>
        </w:rPr>
        <w:t>2006),</w:t>
      </w:r>
      <w:r>
        <w:rPr>
          <w:color w:val="231F20"/>
          <w:spacing w:val="-12"/>
          <w:w w:val="105"/>
        </w:rPr>
        <w:t> </w:t>
      </w:r>
      <w:r>
        <w:rPr>
          <w:color w:val="231F20"/>
          <w:w w:val="105"/>
        </w:rPr>
        <w:t>los</w:t>
      </w:r>
      <w:r>
        <w:rPr>
          <w:color w:val="231F20"/>
          <w:spacing w:val="-7"/>
          <w:w w:val="105"/>
        </w:rPr>
        <w:t> </w:t>
      </w:r>
      <w:r>
        <w:rPr>
          <w:color w:val="231F20"/>
          <w:w w:val="105"/>
        </w:rPr>
        <w:t>modos de</w:t>
      </w:r>
      <w:r>
        <w:rPr>
          <w:color w:val="231F20"/>
          <w:spacing w:val="-14"/>
          <w:w w:val="105"/>
        </w:rPr>
        <w:t> </w:t>
      </w:r>
      <w:r>
        <w:rPr>
          <w:color w:val="231F20"/>
          <w:w w:val="105"/>
        </w:rPr>
        <w:t>cruce</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fronteras,</w:t>
      </w:r>
      <w:r>
        <w:rPr>
          <w:color w:val="231F20"/>
          <w:spacing w:val="-18"/>
          <w:w w:val="105"/>
        </w:rPr>
        <w:t> </w:t>
      </w:r>
      <w:r>
        <w:rPr>
          <w:color w:val="231F20"/>
          <w:w w:val="105"/>
        </w:rPr>
        <w:t>las</w:t>
      </w:r>
      <w:r>
        <w:rPr>
          <w:color w:val="231F20"/>
          <w:spacing w:val="-14"/>
          <w:w w:val="105"/>
        </w:rPr>
        <w:t> </w:t>
      </w:r>
      <w:r>
        <w:rPr>
          <w:color w:val="231F20"/>
          <w:w w:val="105"/>
        </w:rPr>
        <w:t>redes</w:t>
      </w:r>
      <w:r>
        <w:rPr>
          <w:color w:val="231F20"/>
          <w:spacing w:val="-14"/>
          <w:w w:val="105"/>
        </w:rPr>
        <w:t> </w:t>
      </w:r>
      <w:r>
        <w:rPr>
          <w:color w:val="231F20"/>
          <w:w w:val="105"/>
        </w:rPr>
        <w:t>de</w:t>
      </w:r>
      <w:r>
        <w:rPr>
          <w:color w:val="231F20"/>
          <w:spacing w:val="-14"/>
          <w:w w:val="105"/>
        </w:rPr>
        <w:t> </w:t>
      </w:r>
      <w:r>
        <w:rPr>
          <w:color w:val="231F20"/>
          <w:w w:val="105"/>
        </w:rPr>
        <w:t>cooperación,</w:t>
      </w:r>
      <w:r>
        <w:rPr>
          <w:color w:val="231F20"/>
          <w:spacing w:val="-18"/>
          <w:w w:val="105"/>
        </w:rPr>
        <w:t> </w:t>
      </w:r>
      <w:r>
        <w:rPr>
          <w:color w:val="231F20"/>
          <w:w w:val="105"/>
        </w:rPr>
        <w:t>las</w:t>
      </w:r>
      <w:r>
        <w:rPr>
          <w:color w:val="231F20"/>
          <w:spacing w:val="-14"/>
          <w:w w:val="105"/>
        </w:rPr>
        <w:t> </w:t>
      </w:r>
      <w:r>
        <w:rPr>
          <w:color w:val="231F20"/>
          <w:w w:val="105"/>
        </w:rPr>
        <w:t>dificultades</w:t>
      </w:r>
      <w:r>
        <w:rPr>
          <w:color w:val="231F20"/>
          <w:spacing w:val="-14"/>
          <w:w w:val="105"/>
        </w:rPr>
        <w:t> </w:t>
      </w:r>
      <w:r>
        <w:rPr>
          <w:color w:val="231F20"/>
          <w:w w:val="105"/>
        </w:rPr>
        <w:t>para el asentamiento en la sociedad de acogida y propiamente lo referente al subproceso de retorno (los cambios y continuidades en lo individual y</w:t>
      </w:r>
      <w:r>
        <w:rPr>
          <w:color w:val="231F20"/>
          <w:spacing w:val="-5"/>
          <w:w w:val="105"/>
        </w:rPr>
        <w:t> </w:t>
      </w:r>
      <w:r>
        <w:rPr>
          <w:color w:val="231F20"/>
          <w:w w:val="105"/>
        </w:rPr>
        <w:t>en</w:t>
      </w:r>
      <w:r>
        <w:rPr>
          <w:color w:val="231F20"/>
          <w:spacing w:val="-5"/>
          <w:w w:val="105"/>
        </w:rPr>
        <w:t> </w:t>
      </w:r>
      <w:r>
        <w:rPr>
          <w:color w:val="231F20"/>
          <w:w w:val="105"/>
        </w:rPr>
        <w:t>las</w:t>
      </w:r>
      <w:r>
        <w:rPr>
          <w:color w:val="231F20"/>
          <w:spacing w:val="-5"/>
          <w:w w:val="105"/>
        </w:rPr>
        <w:t> </w:t>
      </w:r>
      <w:r>
        <w:rPr>
          <w:color w:val="231F20"/>
          <w:w w:val="105"/>
        </w:rPr>
        <w:t>relaciones</w:t>
      </w:r>
      <w:r>
        <w:rPr>
          <w:color w:val="231F20"/>
          <w:spacing w:val="-5"/>
          <w:w w:val="105"/>
        </w:rPr>
        <w:t> </w:t>
      </w:r>
      <w:r>
        <w:rPr>
          <w:color w:val="231F20"/>
          <w:w w:val="105"/>
        </w:rPr>
        <w:t>familiares,</w:t>
      </w:r>
      <w:r>
        <w:rPr>
          <w:color w:val="231F20"/>
          <w:spacing w:val="-10"/>
          <w:w w:val="105"/>
        </w:rPr>
        <w:t> </w:t>
      </w:r>
      <w:r>
        <w:rPr>
          <w:color w:val="231F20"/>
          <w:w w:val="105"/>
        </w:rPr>
        <w:t>la</w:t>
      </w:r>
      <w:r>
        <w:rPr>
          <w:color w:val="231F20"/>
          <w:spacing w:val="-5"/>
          <w:w w:val="105"/>
        </w:rPr>
        <w:t> </w:t>
      </w:r>
      <w:r>
        <w:rPr>
          <w:color w:val="231F20"/>
          <w:w w:val="105"/>
        </w:rPr>
        <w:t>reincorporación</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espacios</w:t>
      </w:r>
      <w:r>
        <w:rPr>
          <w:color w:val="231F20"/>
          <w:spacing w:val="-5"/>
          <w:w w:val="105"/>
        </w:rPr>
        <w:t> </w:t>
      </w:r>
      <w:r>
        <w:rPr>
          <w:color w:val="231F20"/>
          <w:w w:val="105"/>
        </w:rPr>
        <w:t>locales; las</w:t>
      </w:r>
      <w:r>
        <w:rPr>
          <w:color w:val="231F20"/>
          <w:spacing w:val="-10"/>
          <w:w w:val="105"/>
        </w:rPr>
        <w:t> </w:t>
      </w:r>
      <w:r>
        <w:rPr>
          <w:color w:val="231F20"/>
          <w:w w:val="105"/>
        </w:rPr>
        <w:t>dificultades</w:t>
      </w:r>
      <w:r>
        <w:rPr>
          <w:color w:val="231F20"/>
          <w:spacing w:val="-10"/>
          <w:w w:val="105"/>
        </w:rPr>
        <w:t> </w:t>
      </w:r>
      <w:r>
        <w:rPr>
          <w:color w:val="231F20"/>
          <w:w w:val="105"/>
        </w:rPr>
        <w:t>y</w:t>
      </w:r>
      <w:r>
        <w:rPr>
          <w:color w:val="231F20"/>
          <w:spacing w:val="-10"/>
          <w:w w:val="105"/>
        </w:rPr>
        <w:t> </w:t>
      </w:r>
      <w:r>
        <w:rPr>
          <w:color w:val="231F20"/>
          <w:w w:val="105"/>
        </w:rPr>
        <w:t>negociaciones</w:t>
      </w:r>
      <w:r>
        <w:rPr>
          <w:color w:val="231F20"/>
          <w:spacing w:val="-10"/>
          <w:w w:val="105"/>
        </w:rPr>
        <w:t> </w:t>
      </w:r>
      <w:r>
        <w:rPr>
          <w:color w:val="231F20"/>
          <w:w w:val="105"/>
        </w:rPr>
        <w:t>que</w:t>
      </w:r>
      <w:r>
        <w:rPr>
          <w:color w:val="231F20"/>
          <w:spacing w:val="-10"/>
          <w:w w:val="105"/>
        </w:rPr>
        <w:t> </w:t>
      </w:r>
      <w:r>
        <w:rPr>
          <w:color w:val="231F20"/>
          <w:w w:val="105"/>
        </w:rPr>
        <w:t>implican</w:t>
      </w:r>
      <w:r>
        <w:rPr>
          <w:color w:val="231F20"/>
          <w:spacing w:val="-10"/>
          <w:w w:val="105"/>
        </w:rPr>
        <w:t> </w:t>
      </w:r>
      <w:r>
        <w:rPr>
          <w:color w:val="231F20"/>
          <w:w w:val="105"/>
        </w:rPr>
        <w:t>estar</w:t>
      </w:r>
      <w:r>
        <w:rPr>
          <w:color w:val="231F20"/>
          <w:spacing w:val="-10"/>
          <w:w w:val="105"/>
        </w:rPr>
        <w:t> </w:t>
      </w:r>
      <w:r>
        <w:rPr>
          <w:color w:val="231F20"/>
          <w:w w:val="105"/>
        </w:rPr>
        <w:t>de</w:t>
      </w:r>
      <w:r>
        <w:rPr>
          <w:color w:val="231F20"/>
          <w:spacing w:val="-10"/>
          <w:w w:val="105"/>
        </w:rPr>
        <w:t> </w:t>
      </w:r>
      <w:r>
        <w:rPr>
          <w:color w:val="231F20"/>
          <w:w w:val="105"/>
        </w:rPr>
        <w:t>vuelta;</w:t>
      </w:r>
      <w:r>
        <w:rPr>
          <w:color w:val="231F20"/>
          <w:spacing w:val="-10"/>
          <w:w w:val="105"/>
        </w:rPr>
        <w:t> </w:t>
      </w:r>
      <w:r>
        <w:rPr>
          <w:color w:val="231F20"/>
          <w:w w:val="105"/>
        </w:rPr>
        <w:t>las</w:t>
      </w:r>
      <w:r>
        <w:rPr>
          <w:color w:val="231F20"/>
          <w:spacing w:val="-10"/>
          <w:w w:val="105"/>
        </w:rPr>
        <w:t> </w:t>
      </w:r>
      <w:r>
        <w:rPr>
          <w:color w:val="231F20"/>
          <w:w w:val="105"/>
        </w:rPr>
        <w:t>expec- tativas y conflictos; el sentido de pertenencia en el lugar de origen; los deseos</w:t>
      </w:r>
      <w:r>
        <w:rPr>
          <w:color w:val="231F20"/>
          <w:spacing w:val="-28"/>
          <w:w w:val="105"/>
        </w:rPr>
        <w:t> </w:t>
      </w:r>
      <w:r>
        <w:rPr>
          <w:color w:val="231F20"/>
          <w:w w:val="105"/>
        </w:rPr>
        <w:t>de</w:t>
      </w:r>
      <w:r>
        <w:rPr>
          <w:color w:val="231F20"/>
          <w:spacing w:val="-28"/>
          <w:w w:val="105"/>
        </w:rPr>
        <w:t> </w:t>
      </w:r>
      <w:r>
        <w:rPr>
          <w:color w:val="231F20"/>
          <w:w w:val="105"/>
        </w:rPr>
        <w:t>quedarse</w:t>
      </w:r>
      <w:r>
        <w:rPr>
          <w:color w:val="231F20"/>
          <w:spacing w:val="-28"/>
          <w:w w:val="105"/>
        </w:rPr>
        <w:t> </w:t>
      </w:r>
      <w:r>
        <w:rPr>
          <w:color w:val="231F20"/>
          <w:w w:val="105"/>
        </w:rPr>
        <w:t>o</w:t>
      </w:r>
      <w:r>
        <w:rPr>
          <w:color w:val="231F20"/>
          <w:spacing w:val="-28"/>
          <w:w w:val="105"/>
        </w:rPr>
        <w:t> </w:t>
      </w:r>
      <w:r>
        <w:rPr>
          <w:color w:val="231F20"/>
          <w:w w:val="105"/>
        </w:rPr>
        <w:t>volver</w:t>
      </w:r>
      <w:r>
        <w:rPr>
          <w:color w:val="231F20"/>
          <w:spacing w:val="-28"/>
          <w:w w:val="105"/>
        </w:rPr>
        <w:t> </w:t>
      </w:r>
      <w:r>
        <w:rPr>
          <w:color w:val="231F20"/>
          <w:w w:val="105"/>
        </w:rPr>
        <w:t>a</w:t>
      </w:r>
      <w:r>
        <w:rPr>
          <w:color w:val="231F20"/>
          <w:spacing w:val="-28"/>
          <w:w w:val="105"/>
        </w:rPr>
        <w:t> </w:t>
      </w:r>
      <w:r>
        <w:rPr>
          <w:color w:val="231F20"/>
          <w:w w:val="105"/>
        </w:rPr>
        <w:t>migrar).</w:t>
      </w:r>
      <w:r>
        <w:rPr>
          <w:color w:val="231F20"/>
          <w:spacing w:val="-33"/>
          <w:w w:val="105"/>
        </w:rPr>
        <w:t> </w:t>
      </w:r>
      <w:r>
        <w:rPr>
          <w:color w:val="231F20"/>
          <w:w w:val="105"/>
        </w:rPr>
        <w:t>En</w:t>
      </w:r>
      <w:r>
        <w:rPr>
          <w:color w:val="231F20"/>
          <w:spacing w:val="-28"/>
          <w:w w:val="105"/>
        </w:rPr>
        <w:t> </w:t>
      </w:r>
      <w:r>
        <w:rPr>
          <w:color w:val="231F20"/>
          <w:w w:val="105"/>
        </w:rPr>
        <w:t>síntesis,</w:t>
      </w:r>
      <w:r>
        <w:rPr>
          <w:color w:val="231F20"/>
          <w:spacing w:val="-33"/>
          <w:w w:val="105"/>
        </w:rPr>
        <w:t> </w:t>
      </w:r>
      <w:r>
        <w:rPr>
          <w:color w:val="231F20"/>
          <w:w w:val="105"/>
        </w:rPr>
        <w:t>documentar</w:t>
      </w:r>
      <w:r>
        <w:rPr>
          <w:color w:val="231F20"/>
          <w:spacing w:val="-28"/>
          <w:w w:val="105"/>
        </w:rPr>
        <w:t> </w:t>
      </w:r>
      <w:r>
        <w:rPr>
          <w:color w:val="231F20"/>
          <w:w w:val="105"/>
        </w:rPr>
        <w:t>y</w:t>
      </w:r>
      <w:r>
        <w:rPr>
          <w:color w:val="231F20"/>
          <w:spacing w:val="-28"/>
          <w:w w:val="105"/>
        </w:rPr>
        <w:t> </w:t>
      </w:r>
      <w:r>
        <w:rPr>
          <w:color w:val="231F20"/>
          <w:w w:val="105"/>
        </w:rPr>
        <w:t>analizar la experiencia de retorno y el proceso de reinserción en su dimensión sociocultural</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luz</w:t>
      </w:r>
      <w:r>
        <w:rPr>
          <w:color w:val="231F20"/>
          <w:spacing w:val="-13"/>
          <w:w w:val="105"/>
        </w:rPr>
        <w:t> </w:t>
      </w:r>
      <w:r>
        <w:rPr>
          <w:color w:val="231F20"/>
          <w:w w:val="105"/>
        </w:rPr>
        <w:t>del</w:t>
      </w:r>
      <w:r>
        <w:rPr>
          <w:color w:val="231F20"/>
          <w:spacing w:val="-13"/>
          <w:w w:val="105"/>
        </w:rPr>
        <w:t> </w:t>
      </w:r>
      <w:r>
        <w:rPr>
          <w:color w:val="231F20"/>
          <w:w w:val="105"/>
        </w:rPr>
        <w:t>motivo</w:t>
      </w:r>
      <w:r>
        <w:rPr>
          <w:color w:val="231F20"/>
          <w:spacing w:val="-13"/>
          <w:w w:val="105"/>
        </w:rPr>
        <w:t> </w:t>
      </w:r>
      <w:r>
        <w:rPr>
          <w:color w:val="231F20"/>
          <w:w w:val="105"/>
        </w:rPr>
        <w:t>de</w:t>
      </w:r>
      <w:r>
        <w:rPr>
          <w:color w:val="231F20"/>
          <w:spacing w:val="-13"/>
          <w:w w:val="105"/>
        </w:rPr>
        <w:t> </w:t>
      </w:r>
      <w:r>
        <w:rPr>
          <w:color w:val="231F20"/>
          <w:w w:val="105"/>
        </w:rPr>
        <w:t>regreso</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trayectoria</w:t>
      </w:r>
      <w:r>
        <w:rPr>
          <w:color w:val="231F20"/>
          <w:spacing w:val="-13"/>
          <w:w w:val="105"/>
        </w:rPr>
        <w:t> </w:t>
      </w:r>
      <w:r>
        <w:rPr>
          <w:color w:val="231F20"/>
          <w:w w:val="105"/>
        </w:rPr>
        <w:t>migratoria.</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90"/>
        <w:ind w:left="1723"/>
      </w:pPr>
      <w:r>
        <w:rPr/>
        <w:pict>
          <v:line style="position:absolute;mso-position-horizontal-relative:page;mso-position-vertical-relative:paragraph;z-index:26728" from="15pt,-62.04826pt" to="0pt,-62.04826pt" stroked="true" strokeweight=".25pt" strokecolor="#000000">
            <w10:wrap type="none"/>
          </v:line>
        </w:pict>
      </w:r>
      <w:r>
        <w:rPr/>
        <w:pict>
          <v:line style="position:absolute;mso-position-horizontal-relative:page;mso-position-vertical-relative:paragraph;z-index:26752" from="508.890015pt,-62.04826pt" to="523.890015pt,-62.04826pt" stroked="true" strokeweight=".25pt" strokecolor="#000000">
            <w10:wrap type="none"/>
          </v:line>
        </w:pict>
      </w:r>
      <w:r>
        <w:rPr>
          <w:color w:val="231F20"/>
        </w:rPr>
        <w:t>Migración de retorno y reinserción sociocultural</w:t>
      </w:r>
    </w:p>
    <w:p>
      <w:pPr>
        <w:pStyle w:val="BodyText"/>
        <w:rPr>
          <w:rFonts w:ascii="Arial"/>
          <w:b/>
          <w:sz w:val="22"/>
        </w:rPr>
      </w:pPr>
    </w:p>
    <w:p>
      <w:pPr>
        <w:pStyle w:val="BodyText"/>
        <w:spacing w:line="261" w:lineRule="auto" w:before="163"/>
        <w:ind w:left="1723" w:right="1829"/>
        <w:jc w:val="both"/>
      </w:pPr>
      <w:r>
        <w:rPr>
          <w:color w:val="231F20"/>
          <w:w w:val="105"/>
        </w:rPr>
        <w:t>Visto</w:t>
      </w:r>
      <w:r>
        <w:rPr>
          <w:color w:val="231F20"/>
          <w:spacing w:val="-6"/>
          <w:w w:val="105"/>
        </w:rPr>
        <w:t> </w:t>
      </w:r>
      <w:r>
        <w:rPr>
          <w:color w:val="231F20"/>
          <w:w w:val="105"/>
        </w:rPr>
        <w:t>como</w:t>
      </w:r>
      <w:r>
        <w:rPr>
          <w:color w:val="231F20"/>
          <w:spacing w:val="-6"/>
          <w:w w:val="105"/>
        </w:rPr>
        <w:t> </w:t>
      </w:r>
      <w:r>
        <w:rPr>
          <w:color w:val="231F20"/>
          <w:w w:val="105"/>
        </w:rPr>
        <w:t>un</w:t>
      </w:r>
      <w:r>
        <w:rPr>
          <w:color w:val="231F20"/>
          <w:spacing w:val="-6"/>
          <w:w w:val="105"/>
        </w:rPr>
        <w:t> </w:t>
      </w:r>
      <w:r>
        <w:rPr>
          <w:color w:val="231F20"/>
          <w:w w:val="105"/>
        </w:rPr>
        <w:t>acontecimiento</w:t>
      </w:r>
      <w:r>
        <w:rPr>
          <w:color w:val="231F20"/>
          <w:spacing w:val="-6"/>
          <w:w w:val="105"/>
        </w:rPr>
        <w:t> </w:t>
      </w:r>
      <w:r>
        <w:rPr>
          <w:color w:val="231F20"/>
          <w:w w:val="105"/>
        </w:rPr>
        <w:t>social</w:t>
      </w:r>
      <w:r>
        <w:rPr>
          <w:color w:val="231F20"/>
          <w:spacing w:val="-6"/>
          <w:w w:val="105"/>
        </w:rPr>
        <w:t> </w:t>
      </w:r>
      <w:r>
        <w:rPr>
          <w:color w:val="231F20"/>
          <w:w w:val="105"/>
        </w:rPr>
        <w:t>de</w:t>
      </w:r>
      <w:r>
        <w:rPr>
          <w:color w:val="231F20"/>
          <w:spacing w:val="-6"/>
          <w:w w:val="105"/>
        </w:rPr>
        <w:t> </w:t>
      </w:r>
      <w:r>
        <w:rPr>
          <w:color w:val="231F20"/>
          <w:w w:val="105"/>
        </w:rPr>
        <w:t>movilidad</w:t>
      </w:r>
      <w:r>
        <w:rPr>
          <w:color w:val="231F20"/>
          <w:spacing w:val="-6"/>
          <w:w w:val="105"/>
        </w:rPr>
        <w:t> </w:t>
      </w:r>
      <w:r>
        <w:rPr>
          <w:color w:val="231F20"/>
          <w:w w:val="105"/>
        </w:rPr>
        <w:t>circular,</w:t>
      </w:r>
      <w:r>
        <w:rPr>
          <w:color w:val="231F20"/>
          <w:spacing w:val="-12"/>
          <w:w w:val="105"/>
        </w:rPr>
        <w:t> </w:t>
      </w:r>
      <w:r>
        <w:rPr>
          <w:color w:val="231F20"/>
          <w:w w:val="105"/>
        </w:rPr>
        <w:t>el</w:t>
      </w:r>
      <w:r>
        <w:rPr>
          <w:color w:val="231F20"/>
          <w:spacing w:val="-6"/>
          <w:w w:val="105"/>
        </w:rPr>
        <w:t> </w:t>
      </w:r>
      <w:r>
        <w:rPr>
          <w:color w:val="231F20"/>
          <w:w w:val="105"/>
        </w:rPr>
        <w:t>retorno</w:t>
      </w:r>
      <w:r>
        <w:rPr>
          <w:color w:val="231F20"/>
          <w:spacing w:val="-6"/>
          <w:w w:val="105"/>
        </w:rPr>
        <w:t> </w:t>
      </w:r>
      <w:r>
        <w:rPr>
          <w:color w:val="231F20"/>
          <w:w w:val="105"/>
        </w:rPr>
        <w:t>es inherente</w:t>
      </w:r>
      <w:r>
        <w:rPr>
          <w:color w:val="231F20"/>
          <w:spacing w:val="-30"/>
          <w:w w:val="105"/>
        </w:rPr>
        <w:t> </w:t>
      </w:r>
      <w:r>
        <w:rPr>
          <w:color w:val="231F20"/>
          <w:w w:val="105"/>
        </w:rPr>
        <w:t>al</w:t>
      </w:r>
      <w:r>
        <w:rPr>
          <w:color w:val="231F20"/>
          <w:spacing w:val="-30"/>
          <w:w w:val="105"/>
        </w:rPr>
        <w:t> </w:t>
      </w:r>
      <w:r>
        <w:rPr>
          <w:color w:val="231F20"/>
          <w:w w:val="105"/>
        </w:rPr>
        <w:t>proceso</w:t>
      </w:r>
      <w:r>
        <w:rPr>
          <w:color w:val="231F20"/>
          <w:spacing w:val="-30"/>
          <w:w w:val="105"/>
        </w:rPr>
        <w:t> </w:t>
      </w:r>
      <w:r>
        <w:rPr>
          <w:color w:val="231F20"/>
          <w:w w:val="105"/>
        </w:rPr>
        <w:t>migratorio</w:t>
      </w:r>
      <w:r>
        <w:rPr>
          <w:color w:val="231F20"/>
          <w:spacing w:val="-30"/>
          <w:w w:val="105"/>
        </w:rPr>
        <w:t> </w:t>
      </w:r>
      <w:r>
        <w:rPr>
          <w:color w:val="231F20"/>
          <w:w w:val="105"/>
        </w:rPr>
        <w:t>(Guarnizo,</w:t>
      </w:r>
      <w:r>
        <w:rPr>
          <w:color w:val="231F20"/>
          <w:spacing w:val="-35"/>
          <w:w w:val="105"/>
        </w:rPr>
        <w:t> </w:t>
      </w:r>
      <w:r>
        <w:rPr>
          <w:color w:val="231F20"/>
          <w:w w:val="105"/>
        </w:rPr>
        <w:t>2014).</w:t>
      </w:r>
      <w:r>
        <w:rPr>
          <w:color w:val="231F20"/>
          <w:spacing w:val="-35"/>
          <w:w w:val="105"/>
        </w:rPr>
        <w:t> </w:t>
      </w:r>
      <w:r>
        <w:rPr>
          <w:color w:val="231F20"/>
          <w:w w:val="105"/>
        </w:rPr>
        <w:t>La</w:t>
      </w:r>
      <w:r>
        <w:rPr>
          <w:color w:val="231F20"/>
          <w:spacing w:val="-30"/>
          <w:w w:val="105"/>
        </w:rPr>
        <w:t> </w:t>
      </w:r>
      <w:r>
        <w:rPr>
          <w:color w:val="231F20"/>
          <w:w w:val="105"/>
        </w:rPr>
        <w:t>concepción</w:t>
      </w:r>
      <w:r>
        <w:rPr>
          <w:color w:val="231F20"/>
          <w:spacing w:val="-30"/>
          <w:w w:val="105"/>
        </w:rPr>
        <w:t> </w:t>
      </w:r>
      <w:r>
        <w:rPr>
          <w:color w:val="231F20"/>
          <w:w w:val="105"/>
        </w:rPr>
        <w:t>analítica en</w:t>
      </w:r>
      <w:r>
        <w:rPr>
          <w:color w:val="231F20"/>
          <w:spacing w:val="-13"/>
          <w:w w:val="105"/>
        </w:rPr>
        <w:t> </w:t>
      </w:r>
      <w:r>
        <w:rPr>
          <w:color w:val="231F20"/>
          <w:w w:val="105"/>
        </w:rPr>
        <w:t>la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migración</w:t>
      </w:r>
      <w:r>
        <w:rPr>
          <w:color w:val="231F20"/>
          <w:spacing w:val="-13"/>
          <w:w w:val="105"/>
        </w:rPr>
        <w:t> </w:t>
      </w:r>
      <w:r>
        <w:rPr>
          <w:color w:val="231F20"/>
          <w:w w:val="105"/>
        </w:rPr>
        <w:t>se</w:t>
      </w:r>
      <w:r>
        <w:rPr>
          <w:color w:val="231F20"/>
          <w:spacing w:val="-13"/>
          <w:w w:val="105"/>
        </w:rPr>
        <w:t> </w:t>
      </w:r>
      <w:r>
        <w:rPr>
          <w:color w:val="231F20"/>
          <w:w w:val="105"/>
        </w:rPr>
        <w:t>entiende</w:t>
      </w:r>
      <w:r>
        <w:rPr>
          <w:color w:val="231F20"/>
          <w:spacing w:val="-13"/>
          <w:w w:val="105"/>
        </w:rPr>
        <w:t> </w:t>
      </w:r>
      <w:r>
        <w:rPr>
          <w:color w:val="231F20"/>
          <w:w w:val="105"/>
        </w:rPr>
        <w:t>como</w:t>
      </w:r>
      <w:r>
        <w:rPr>
          <w:color w:val="231F20"/>
          <w:spacing w:val="-13"/>
          <w:w w:val="105"/>
        </w:rPr>
        <w:t> </w:t>
      </w:r>
      <w:r>
        <w:rPr>
          <w:color w:val="231F20"/>
          <w:w w:val="105"/>
        </w:rPr>
        <w:t>un</w:t>
      </w:r>
      <w:r>
        <w:rPr>
          <w:color w:val="231F20"/>
          <w:spacing w:val="-13"/>
          <w:w w:val="105"/>
        </w:rPr>
        <w:t> </w:t>
      </w:r>
      <w:r>
        <w:rPr>
          <w:color w:val="231F20"/>
          <w:w w:val="105"/>
        </w:rPr>
        <w:t>desplazamiento</w:t>
      </w:r>
      <w:r>
        <w:rPr>
          <w:color w:val="231F20"/>
          <w:spacing w:val="-13"/>
          <w:w w:val="105"/>
        </w:rPr>
        <w:t> </w:t>
      </w:r>
      <w:r>
        <w:rPr>
          <w:color w:val="231F20"/>
          <w:w w:val="105"/>
        </w:rPr>
        <w:t>de</w:t>
      </w:r>
      <w:r>
        <w:rPr>
          <w:color w:val="231F20"/>
          <w:spacing w:val="-13"/>
          <w:w w:val="105"/>
        </w:rPr>
        <w:t> </w:t>
      </w:r>
      <w:r>
        <w:rPr>
          <w:color w:val="231F20"/>
          <w:w w:val="105"/>
        </w:rPr>
        <w:t>partida</w:t>
      </w:r>
      <w:r>
        <w:rPr>
          <w:color w:val="231F20"/>
          <w:spacing w:val="-13"/>
          <w:w w:val="105"/>
        </w:rPr>
        <w:t> </w:t>
      </w:r>
      <w:r>
        <w:rPr>
          <w:color w:val="231F20"/>
          <w:w w:val="105"/>
        </w:rPr>
        <w:t>y llegada</w:t>
      </w:r>
      <w:r>
        <w:rPr>
          <w:color w:val="231F20"/>
          <w:spacing w:val="-12"/>
          <w:w w:val="105"/>
        </w:rPr>
        <w:t> </w:t>
      </w:r>
      <w:r>
        <w:rPr>
          <w:color w:val="231F20"/>
          <w:w w:val="105"/>
        </w:rPr>
        <w:t>estableció</w:t>
      </w:r>
      <w:r>
        <w:rPr>
          <w:color w:val="231F20"/>
          <w:spacing w:val="-12"/>
          <w:w w:val="105"/>
        </w:rPr>
        <w:t> </w:t>
      </w:r>
      <w:r>
        <w:rPr>
          <w:color w:val="231F20"/>
          <w:w w:val="105"/>
        </w:rPr>
        <w:t>una</w:t>
      </w:r>
      <w:r>
        <w:rPr>
          <w:color w:val="231F20"/>
          <w:spacing w:val="-12"/>
          <w:w w:val="105"/>
        </w:rPr>
        <w:t> </w:t>
      </w:r>
      <w:r>
        <w:rPr>
          <w:color w:val="231F20"/>
          <w:w w:val="105"/>
        </w:rPr>
        <w:t>mirada</w:t>
      </w:r>
      <w:r>
        <w:rPr>
          <w:color w:val="231F20"/>
          <w:spacing w:val="-12"/>
          <w:w w:val="105"/>
        </w:rPr>
        <w:t> </w:t>
      </w:r>
      <w:r>
        <w:rPr>
          <w:color w:val="231F20"/>
          <w:w w:val="105"/>
        </w:rPr>
        <w:t>lineal</w:t>
      </w:r>
      <w:r>
        <w:rPr>
          <w:color w:val="231F20"/>
          <w:spacing w:val="-12"/>
          <w:w w:val="105"/>
        </w:rPr>
        <w:t> </w:t>
      </w:r>
      <w:r>
        <w:rPr>
          <w:color w:val="231F20"/>
          <w:w w:val="105"/>
        </w:rPr>
        <w:t>que</w:t>
      </w:r>
      <w:r>
        <w:rPr>
          <w:color w:val="231F20"/>
          <w:spacing w:val="-12"/>
          <w:w w:val="105"/>
        </w:rPr>
        <w:t> </w:t>
      </w:r>
      <w:r>
        <w:rPr>
          <w:color w:val="231F20"/>
          <w:w w:val="105"/>
        </w:rPr>
        <w:t>dejaba</w:t>
      </w:r>
      <w:r>
        <w:rPr>
          <w:color w:val="231F20"/>
          <w:spacing w:val="-12"/>
          <w:w w:val="105"/>
        </w:rPr>
        <w:t> </w:t>
      </w:r>
      <w:r>
        <w:rPr>
          <w:color w:val="231F20"/>
          <w:w w:val="105"/>
        </w:rPr>
        <w:t>de</w:t>
      </w:r>
      <w:r>
        <w:rPr>
          <w:color w:val="231F20"/>
          <w:spacing w:val="-12"/>
          <w:w w:val="105"/>
        </w:rPr>
        <w:t> </w:t>
      </w:r>
      <w:r>
        <w:rPr>
          <w:color w:val="231F20"/>
          <w:w w:val="105"/>
        </w:rPr>
        <w:t>lado</w:t>
      </w:r>
      <w:r>
        <w:rPr>
          <w:color w:val="231F20"/>
          <w:spacing w:val="-12"/>
          <w:w w:val="105"/>
        </w:rPr>
        <w:t> </w:t>
      </w:r>
      <w:r>
        <w:rPr>
          <w:color w:val="231F20"/>
          <w:w w:val="105"/>
        </w:rPr>
        <w:t>su</w:t>
      </w:r>
      <w:r>
        <w:rPr>
          <w:color w:val="231F20"/>
          <w:spacing w:val="-12"/>
          <w:w w:val="105"/>
        </w:rPr>
        <w:t> </w:t>
      </w:r>
      <w:r>
        <w:rPr>
          <w:color w:val="231F20"/>
          <w:w w:val="105"/>
        </w:rPr>
        <w:t>potencial</w:t>
      </w:r>
      <w:r>
        <w:rPr>
          <w:color w:val="231F20"/>
          <w:spacing w:val="-12"/>
          <w:w w:val="105"/>
        </w:rPr>
        <w:t> </w:t>
      </w:r>
      <w:r>
        <w:rPr>
          <w:color w:val="231F20"/>
          <w:w w:val="105"/>
        </w:rPr>
        <w:t>ca- rácter</w:t>
      </w:r>
      <w:r>
        <w:rPr>
          <w:color w:val="231F20"/>
          <w:spacing w:val="-27"/>
          <w:w w:val="105"/>
        </w:rPr>
        <w:t> </w:t>
      </w:r>
      <w:r>
        <w:rPr>
          <w:color w:val="231F20"/>
          <w:w w:val="105"/>
        </w:rPr>
        <w:t>cíclico.</w:t>
      </w:r>
      <w:r>
        <w:rPr>
          <w:color w:val="231F20"/>
          <w:spacing w:val="-31"/>
          <w:w w:val="105"/>
        </w:rPr>
        <w:t> </w:t>
      </w:r>
      <w:r>
        <w:rPr>
          <w:color w:val="231F20"/>
          <w:w w:val="105"/>
        </w:rPr>
        <w:t>El</w:t>
      </w:r>
      <w:r>
        <w:rPr>
          <w:color w:val="231F20"/>
          <w:spacing w:val="-27"/>
          <w:w w:val="105"/>
        </w:rPr>
        <w:t> </w:t>
      </w:r>
      <w:r>
        <w:rPr>
          <w:color w:val="231F20"/>
          <w:w w:val="105"/>
        </w:rPr>
        <w:t>abordaje</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trayectorias</w:t>
      </w:r>
      <w:r>
        <w:rPr>
          <w:color w:val="231F20"/>
          <w:spacing w:val="-27"/>
          <w:w w:val="105"/>
        </w:rPr>
        <w:t> </w:t>
      </w:r>
      <w:r>
        <w:rPr>
          <w:color w:val="231F20"/>
          <w:w w:val="105"/>
        </w:rPr>
        <w:t>vitales</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migrantes</w:t>
      </w:r>
      <w:r>
        <w:rPr>
          <w:color w:val="231F20"/>
          <w:spacing w:val="-27"/>
          <w:w w:val="105"/>
        </w:rPr>
        <w:t> </w:t>
      </w:r>
      <w:r>
        <w:rPr>
          <w:color w:val="231F20"/>
          <w:w w:val="105"/>
        </w:rPr>
        <w:t>y</w:t>
      </w:r>
      <w:r>
        <w:rPr>
          <w:color w:val="231F20"/>
          <w:spacing w:val="-27"/>
          <w:w w:val="105"/>
        </w:rPr>
        <w:t> </w:t>
      </w:r>
      <w:r>
        <w:rPr>
          <w:color w:val="231F20"/>
          <w:w w:val="105"/>
        </w:rPr>
        <w:t>sus familias desde el paradigma de la diferenciación social visibilizó</w:t>
      </w:r>
      <w:r>
        <w:rPr>
          <w:color w:val="231F20"/>
          <w:spacing w:val="-33"/>
          <w:w w:val="105"/>
        </w:rPr>
        <w:t> </w:t>
      </w:r>
      <w:r>
        <w:rPr>
          <w:color w:val="231F20"/>
          <w:w w:val="105"/>
        </w:rPr>
        <w:t>formas de movilidades diversas, compuestas por itinerarios múltiples donde el momento</w:t>
      </w:r>
      <w:r>
        <w:rPr>
          <w:color w:val="231F20"/>
          <w:spacing w:val="-14"/>
          <w:w w:val="105"/>
        </w:rPr>
        <w:t> </w:t>
      </w:r>
      <w:r>
        <w:rPr>
          <w:color w:val="231F20"/>
          <w:w w:val="105"/>
        </w:rPr>
        <w:t>de</w:t>
      </w:r>
      <w:r>
        <w:rPr>
          <w:color w:val="231F20"/>
          <w:spacing w:val="-14"/>
          <w:w w:val="105"/>
        </w:rPr>
        <w:t> </w:t>
      </w:r>
      <w:r>
        <w:rPr>
          <w:color w:val="231F20"/>
          <w:w w:val="105"/>
        </w:rPr>
        <w:t>retorno</w:t>
      </w:r>
      <w:r>
        <w:rPr>
          <w:color w:val="231F20"/>
          <w:spacing w:val="-14"/>
          <w:w w:val="105"/>
        </w:rPr>
        <w:t> </w:t>
      </w:r>
      <w:r>
        <w:rPr>
          <w:color w:val="231F20"/>
          <w:w w:val="105"/>
        </w:rPr>
        <w:t>está</w:t>
      </w:r>
      <w:r>
        <w:rPr>
          <w:color w:val="231F20"/>
          <w:spacing w:val="-14"/>
          <w:w w:val="105"/>
        </w:rPr>
        <w:t> </w:t>
      </w:r>
      <w:r>
        <w:rPr>
          <w:color w:val="231F20"/>
          <w:w w:val="105"/>
        </w:rPr>
        <w:t>asociado</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cauce</w:t>
      </w:r>
      <w:r>
        <w:rPr>
          <w:color w:val="231F20"/>
          <w:spacing w:val="-14"/>
          <w:w w:val="105"/>
        </w:rPr>
        <w:t> </w:t>
      </w:r>
      <w:r>
        <w:rPr>
          <w:color w:val="231F20"/>
          <w:w w:val="105"/>
        </w:rPr>
        <w:t>del</w:t>
      </w:r>
      <w:r>
        <w:rPr>
          <w:color w:val="231F20"/>
          <w:spacing w:val="-14"/>
          <w:w w:val="105"/>
        </w:rPr>
        <w:t> </w:t>
      </w:r>
      <w:r>
        <w:rPr>
          <w:color w:val="231F20"/>
          <w:w w:val="105"/>
        </w:rPr>
        <w:t>proyecto</w:t>
      </w:r>
      <w:r>
        <w:rPr>
          <w:color w:val="231F20"/>
          <w:spacing w:val="-14"/>
          <w:w w:val="105"/>
        </w:rPr>
        <w:t> </w:t>
      </w:r>
      <w:r>
        <w:rPr>
          <w:color w:val="231F20"/>
          <w:w w:val="105"/>
        </w:rPr>
        <w:t>migratorio. Las condiciones del retorno son heterogéneas. </w:t>
      </w:r>
      <w:r>
        <w:rPr>
          <w:color w:val="231F20"/>
          <w:spacing w:val="-6"/>
          <w:w w:val="105"/>
        </w:rPr>
        <w:t>Por </w:t>
      </w:r>
      <w:r>
        <w:rPr>
          <w:color w:val="231F20"/>
          <w:w w:val="105"/>
        </w:rPr>
        <w:t>ello, desde la pers- pectiva transnacional </w:t>
      </w:r>
      <w:r>
        <w:rPr>
          <w:color w:val="231F20"/>
          <w:spacing w:val="-3"/>
          <w:w w:val="105"/>
        </w:rPr>
        <w:t>“el </w:t>
      </w:r>
      <w:r>
        <w:rPr>
          <w:color w:val="231F20"/>
          <w:w w:val="105"/>
        </w:rPr>
        <w:t>retorno debe ser estudiado considerando las características</w:t>
      </w:r>
      <w:r>
        <w:rPr>
          <w:color w:val="231F20"/>
          <w:spacing w:val="-19"/>
          <w:w w:val="105"/>
        </w:rPr>
        <w:t> </w:t>
      </w:r>
      <w:r>
        <w:rPr>
          <w:color w:val="231F20"/>
          <w:w w:val="105"/>
        </w:rPr>
        <w:t>y</w:t>
      </w:r>
      <w:r>
        <w:rPr>
          <w:color w:val="231F20"/>
          <w:spacing w:val="-19"/>
          <w:w w:val="105"/>
        </w:rPr>
        <w:t> </w:t>
      </w:r>
      <w:r>
        <w:rPr>
          <w:color w:val="231F20"/>
          <w:w w:val="105"/>
        </w:rPr>
        <w:t>modalidades</w:t>
      </w:r>
      <w:r>
        <w:rPr>
          <w:color w:val="231F20"/>
          <w:spacing w:val="-19"/>
          <w:w w:val="105"/>
        </w:rPr>
        <w:t> </w:t>
      </w:r>
      <w:r>
        <w:rPr>
          <w:color w:val="231F20"/>
          <w:w w:val="105"/>
        </w:rPr>
        <w:t>de</w:t>
      </w:r>
      <w:r>
        <w:rPr>
          <w:color w:val="231F20"/>
          <w:spacing w:val="-19"/>
          <w:w w:val="105"/>
        </w:rPr>
        <w:t> </w:t>
      </w:r>
      <w:r>
        <w:rPr>
          <w:color w:val="231F20"/>
          <w:w w:val="105"/>
        </w:rPr>
        <w:t>involucramiento</w:t>
      </w:r>
      <w:r>
        <w:rPr>
          <w:color w:val="231F20"/>
          <w:spacing w:val="-19"/>
          <w:w w:val="105"/>
        </w:rPr>
        <w:t> </w:t>
      </w:r>
      <w:r>
        <w:rPr>
          <w:color w:val="231F20"/>
          <w:w w:val="105"/>
        </w:rPr>
        <w:t>tanto</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lugares</w:t>
      </w:r>
      <w:r>
        <w:rPr>
          <w:color w:val="231F20"/>
          <w:spacing w:val="-19"/>
          <w:w w:val="105"/>
        </w:rPr>
        <w:t> </w:t>
      </w:r>
      <w:r>
        <w:rPr>
          <w:color w:val="231F20"/>
          <w:w w:val="105"/>
        </w:rPr>
        <w:t>de origen como en los de destino, pero además tomando en cuenta que  el</w:t>
      </w:r>
      <w:r>
        <w:rPr>
          <w:color w:val="231F20"/>
          <w:spacing w:val="-18"/>
          <w:w w:val="105"/>
        </w:rPr>
        <w:t> </w:t>
      </w:r>
      <w:r>
        <w:rPr>
          <w:color w:val="231F20"/>
          <w:w w:val="105"/>
        </w:rPr>
        <w:t>ambiente</w:t>
      </w:r>
      <w:r>
        <w:rPr>
          <w:color w:val="231F20"/>
          <w:spacing w:val="-18"/>
          <w:w w:val="105"/>
        </w:rPr>
        <w:t> </w:t>
      </w:r>
      <w:r>
        <w:rPr>
          <w:color w:val="231F20"/>
          <w:w w:val="105"/>
        </w:rPr>
        <w:t>social</w:t>
      </w:r>
      <w:r>
        <w:rPr>
          <w:color w:val="231F20"/>
          <w:spacing w:val="-18"/>
          <w:w w:val="105"/>
        </w:rPr>
        <w:t> </w:t>
      </w:r>
      <w:r>
        <w:rPr>
          <w:color w:val="231F20"/>
          <w:w w:val="105"/>
        </w:rPr>
        <w:t>y</w:t>
      </w:r>
      <w:r>
        <w:rPr>
          <w:color w:val="231F20"/>
          <w:spacing w:val="-18"/>
          <w:w w:val="105"/>
        </w:rPr>
        <w:t> </w:t>
      </w:r>
      <w:r>
        <w:rPr>
          <w:color w:val="231F20"/>
          <w:w w:val="105"/>
        </w:rPr>
        <w:t>las</w:t>
      </w:r>
      <w:r>
        <w:rPr>
          <w:color w:val="231F20"/>
          <w:spacing w:val="-18"/>
          <w:w w:val="105"/>
        </w:rPr>
        <w:t> </w:t>
      </w:r>
      <w:r>
        <w:rPr>
          <w:color w:val="231F20"/>
          <w:w w:val="105"/>
        </w:rPr>
        <w:t>estructuras</w:t>
      </w:r>
      <w:r>
        <w:rPr>
          <w:color w:val="231F20"/>
          <w:spacing w:val="-18"/>
          <w:w w:val="105"/>
        </w:rPr>
        <w:t> </w:t>
      </w:r>
      <w:r>
        <w:rPr>
          <w:color w:val="231F20"/>
          <w:w w:val="105"/>
        </w:rPr>
        <w:t>institucionales</w:t>
      </w:r>
      <w:r>
        <w:rPr>
          <w:color w:val="231F20"/>
          <w:spacing w:val="-18"/>
          <w:w w:val="105"/>
        </w:rPr>
        <w:t> </w:t>
      </w:r>
      <w:r>
        <w:rPr>
          <w:color w:val="231F20"/>
          <w:w w:val="105"/>
        </w:rPr>
        <w:t>de</w:t>
      </w:r>
      <w:r>
        <w:rPr>
          <w:color w:val="231F20"/>
          <w:spacing w:val="-18"/>
          <w:w w:val="105"/>
        </w:rPr>
        <w:t> </w:t>
      </w:r>
      <w:r>
        <w:rPr>
          <w:color w:val="231F20"/>
          <w:w w:val="105"/>
        </w:rPr>
        <w:t>ambas</w:t>
      </w:r>
      <w:r>
        <w:rPr>
          <w:color w:val="231F20"/>
          <w:spacing w:val="-18"/>
          <w:w w:val="105"/>
        </w:rPr>
        <w:t> </w:t>
      </w:r>
      <w:r>
        <w:rPr>
          <w:color w:val="231F20"/>
          <w:w w:val="105"/>
        </w:rPr>
        <w:t>sociedades delinean</w:t>
      </w:r>
      <w:r>
        <w:rPr>
          <w:color w:val="231F20"/>
          <w:spacing w:val="-22"/>
          <w:w w:val="105"/>
        </w:rPr>
        <w:t> </w:t>
      </w:r>
      <w:r>
        <w:rPr>
          <w:color w:val="231F20"/>
          <w:w w:val="105"/>
        </w:rPr>
        <w:t>el</w:t>
      </w:r>
      <w:r>
        <w:rPr>
          <w:color w:val="231F20"/>
          <w:spacing w:val="-22"/>
          <w:w w:val="105"/>
        </w:rPr>
        <w:t> </w:t>
      </w:r>
      <w:r>
        <w:rPr>
          <w:color w:val="231F20"/>
          <w:w w:val="105"/>
        </w:rPr>
        <w:t>retorno”</w:t>
      </w:r>
      <w:r>
        <w:rPr>
          <w:color w:val="231F20"/>
          <w:spacing w:val="-22"/>
          <w:w w:val="105"/>
        </w:rPr>
        <w:t> </w:t>
      </w:r>
      <w:r>
        <w:rPr>
          <w:color w:val="231F20"/>
          <w:w w:val="105"/>
        </w:rPr>
        <w:t>(Rivera,</w:t>
      </w:r>
      <w:r>
        <w:rPr>
          <w:color w:val="231F20"/>
          <w:spacing w:val="-26"/>
          <w:w w:val="105"/>
        </w:rPr>
        <w:t> </w:t>
      </w:r>
      <w:r>
        <w:rPr>
          <w:color w:val="231F20"/>
          <w:w w:val="105"/>
        </w:rPr>
        <w:t>2013:</w:t>
      </w:r>
      <w:r>
        <w:rPr>
          <w:color w:val="231F20"/>
          <w:spacing w:val="-22"/>
          <w:w w:val="105"/>
        </w:rPr>
        <w:t> </w:t>
      </w:r>
      <w:r>
        <w:rPr>
          <w:color w:val="231F20"/>
          <w:w w:val="105"/>
        </w:rPr>
        <w:t>61).</w:t>
      </w:r>
    </w:p>
    <w:p>
      <w:pPr>
        <w:pStyle w:val="BodyText"/>
        <w:spacing w:line="261" w:lineRule="auto" w:before="1"/>
        <w:ind w:left="1723" w:right="1829" w:firstLine="567"/>
        <w:jc w:val="both"/>
      </w:pPr>
      <w:r>
        <w:rPr>
          <w:color w:val="231F20"/>
          <w:w w:val="105"/>
        </w:rPr>
        <w:t>El rompimiento con el nacionalismo metodológico</w:t>
      </w:r>
      <w:r>
        <w:rPr>
          <w:color w:val="231F20"/>
          <w:w w:val="105"/>
          <w:position w:val="7"/>
          <w:sz w:val="12"/>
        </w:rPr>
        <w:t>5 </w:t>
      </w:r>
      <w:r>
        <w:rPr>
          <w:color w:val="231F20"/>
          <w:w w:val="105"/>
        </w:rPr>
        <w:t>(Levitt y Glick Schiller,</w:t>
      </w:r>
      <w:r>
        <w:rPr>
          <w:color w:val="231F20"/>
          <w:spacing w:val="-12"/>
          <w:w w:val="105"/>
        </w:rPr>
        <w:t> </w:t>
      </w:r>
      <w:r>
        <w:rPr>
          <w:color w:val="231F20"/>
          <w:w w:val="105"/>
        </w:rPr>
        <w:t>2004)</w:t>
      </w:r>
      <w:r>
        <w:rPr>
          <w:color w:val="231F20"/>
          <w:spacing w:val="-5"/>
          <w:w w:val="105"/>
        </w:rPr>
        <w:t> </w:t>
      </w:r>
      <w:r>
        <w:rPr>
          <w:color w:val="231F20"/>
          <w:w w:val="105"/>
        </w:rPr>
        <w:t>produjo</w:t>
      </w:r>
      <w:r>
        <w:rPr>
          <w:color w:val="231F20"/>
          <w:spacing w:val="-5"/>
          <w:w w:val="105"/>
        </w:rPr>
        <w:t> </w:t>
      </w:r>
      <w:r>
        <w:rPr>
          <w:color w:val="231F20"/>
          <w:w w:val="105"/>
        </w:rPr>
        <w:t>un</w:t>
      </w:r>
      <w:r>
        <w:rPr>
          <w:color w:val="231F20"/>
          <w:spacing w:val="-5"/>
          <w:w w:val="105"/>
        </w:rPr>
        <w:t> </w:t>
      </w:r>
      <w:r>
        <w:rPr>
          <w:color w:val="231F20"/>
          <w:w w:val="105"/>
        </w:rPr>
        <w:t>giro</w:t>
      </w:r>
      <w:r>
        <w:rPr>
          <w:color w:val="231F20"/>
          <w:spacing w:val="-5"/>
          <w:w w:val="105"/>
        </w:rPr>
        <w:t> </w:t>
      </w:r>
      <w:r>
        <w:rPr>
          <w:color w:val="231F20"/>
          <w:w w:val="105"/>
        </w:rPr>
        <w:t>teórico-epistemológico</w:t>
      </w:r>
      <w:r>
        <w:rPr>
          <w:color w:val="231F20"/>
          <w:spacing w:val="-5"/>
          <w:w w:val="105"/>
        </w:rPr>
        <w:t> </w:t>
      </w:r>
      <w:r>
        <w:rPr>
          <w:color w:val="231F20"/>
          <w:w w:val="105"/>
        </w:rPr>
        <w:t>que</w:t>
      </w:r>
      <w:r>
        <w:rPr>
          <w:color w:val="231F20"/>
          <w:spacing w:val="-5"/>
          <w:w w:val="105"/>
        </w:rPr>
        <w:t> </w:t>
      </w:r>
      <w:r>
        <w:rPr>
          <w:color w:val="231F20"/>
          <w:w w:val="105"/>
        </w:rPr>
        <w:t>paso</w:t>
      </w:r>
      <w:r>
        <w:rPr>
          <w:color w:val="231F20"/>
          <w:spacing w:val="-5"/>
          <w:w w:val="105"/>
        </w:rPr>
        <w:t> </w:t>
      </w:r>
      <w:r>
        <w:rPr>
          <w:color w:val="231F20"/>
          <w:w w:val="105"/>
        </w:rPr>
        <w:t>de</w:t>
      </w:r>
      <w:r>
        <w:rPr>
          <w:color w:val="231F20"/>
          <w:spacing w:val="-5"/>
          <w:w w:val="105"/>
        </w:rPr>
        <w:t> </w:t>
      </w:r>
      <w:r>
        <w:rPr>
          <w:color w:val="231F20"/>
          <w:w w:val="105"/>
        </w:rPr>
        <w:t>con- cebir a la migración como suceso lineal, y de corte netamente econó- mico y racional, a entenderla como un proceso sociocultural y circular. De medir las consecuencias sociodemográficas de la migración y las magnitudes de los flujos monetarios de las remesas económicas, hoy las</w:t>
      </w:r>
      <w:r>
        <w:rPr>
          <w:color w:val="231F20"/>
          <w:spacing w:val="-13"/>
          <w:w w:val="105"/>
        </w:rPr>
        <w:t> </w:t>
      </w:r>
      <w:r>
        <w:rPr>
          <w:color w:val="231F20"/>
          <w:w w:val="105"/>
        </w:rPr>
        <w:t>investigaciones</w:t>
      </w:r>
      <w:r>
        <w:rPr>
          <w:color w:val="231F20"/>
          <w:spacing w:val="-13"/>
          <w:w w:val="105"/>
        </w:rPr>
        <w:t> </w:t>
      </w:r>
      <w:r>
        <w:rPr>
          <w:color w:val="231F20"/>
          <w:w w:val="105"/>
        </w:rPr>
        <w:t>se</w:t>
      </w:r>
      <w:r>
        <w:rPr>
          <w:color w:val="231F20"/>
          <w:spacing w:val="-13"/>
          <w:w w:val="105"/>
        </w:rPr>
        <w:t> </w:t>
      </w:r>
      <w:r>
        <w:rPr>
          <w:color w:val="231F20"/>
          <w:w w:val="105"/>
        </w:rPr>
        <w:t>ocupan</w:t>
      </w:r>
      <w:r>
        <w:rPr>
          <w:color w:val="231F20"/>
          <w:spacing w:val="-13"/>
          <w:w w:val="105"/>
        </w:rPr>
        <w:t> </w:t>
      </w:r>
      <w:r>
        <w:rPr>
          <w:color w:val="231F20"/>
          <w:w w:val="105"/>
        </w:rPr>
        <w:t>de</w:t>
      </w:r>
      <w:r>
        <w:rPr>
          <w:color w:val="231F20"/>
          <w:spacing w:val="-13"/>
          <w:w w:val="105"/>
        </w:rPr>
        <w:t> </w:t>
      </w:r>
      <w:r>
        <w:rPr>
          <w:color w:val="231F20"/>
          <w:w w:val="105"/>
        </w:rPr>
        <w:t>conocer</w:t>
      </w:r>
      <w:r>
        <w:rPr>
          <w:color w:val="231F20"/>
          <w:spacing w:val="-13"/>
          <w:w w:val="105"/>
        </w:rPr>
        <w:t> </w:t>
      </w:r>
      <w:r>
        <w:rPr>
          <w:color w:val="231F20"/>
          <w:w w:val="105"/>
        </w:rPr>
        <w:t>los</w:t>
      </w:r>
      <w:r>
        <w:rPr>
          <w:color w:val="231F20"/>
          <w:spacing w:val="-13"/>
          <w:w w:val="105"/>
        </w:rPr>
        <w:t> </w:t>
      </w:r>
      <w:r>
        <w:rPr>
          <w:color w:val="231F20"/>
          <w:w w:val="105"/>
        </w:rPr>
        <w:t>impactos</w:t>
      </w:r>
      <w:r>
        <w:rPr>
          <w:color w:val="231F20"/>
          <w:spacing w:val="-13"/>
          <w:w w:val="105"/>
        </w:rPr>
        <w:t> </w:t>
      </w:r>
      <w:r>
        <w:rPr>
          <w:color w:val="231F20"/>
          <w:w w:val="105"/>
        </w:rPr>
        <w:t>sociales</w:t>
      </w:r>
      <w:r>
        <w:rPr>
          <w:color w:val="231F20"/>
          <w:spacing w:val="-13"/>
          <w:w w:val="105"/>
        </w:rPr>
        <w:t> </w:t>
      </w:r>
      <w:r>
        <w:rPr>
          <w:color w:val="231F20"/>
          <w:w w:val="105"/>
        </w:rPr>
        <w:t>de</w:t>
      </w:r>
      <w:r>
        <w:rPr>
          <w:color w:val="231F20"/>
          <w:spacing w:val="-13"/>
          <w:w w:val="105"/>
        </w:rPr>
        <w:t> </w:t>
      </w:r>
      <w:r>
        <w:rPr>
          <w:color w:val="231F20"/>
          <w:w w:val="105"/>
        </w:rPr>
        <w:t>esos desplazamientos.</w:t>
      </w:r>
      <w:r>
        <w:rPr>
          <w:color w:val="231F20"/>
          <w:spacing w:val="-12"/>
          <w:w w:val="105"/>
        </w:rPr>
        <w:t> </w:t>
      </w:r>
      <w:r>
        <w:rPr>
          <w:color w:val="231F20"/>
          <w:w w:val="105"/>
        </w:rPr>
        <w:t>“La</w:t>
      </w:r>
      <w:r>
        <w:rPr>
          <w:color w:val="231F20"/>
          <w:spacing w:val="-7"/>
          <w:w w:val="105"/>
        </w:rPr>
        <w:t> </w:t>
      </w:r>
      <w:r>
        <w:rPr>
          <w:color w:val="231F20"/>
          <w:w w:val="105"/>
        </w:rPr>
        <w:t>migración</w:t>
      </w:r>
      <w:r>
        <w:rPr>
          <w:color w:val="231F20"/>
          <w:spacing w:val="-7"/>
          <w:w w:val="105"/>
        </w:rPr>
        <w:t> </w:t>
      </w:r>
      <w:r>
        <w:rPr>
          <w:color w:val="231F20"/>
          <w:w w:val="105"/>
        </w:rPr>
        <w:t>es</w:t>
      </w:r>
      <w:r>
        <w:rPr>
          <w:color w:val="231F20"/>
          <w:spacing w:val="-7"/>
          <w:w w:val="105"/>
        </w:rPr>
        <w:t> </w:t>
      </w:r>
      <w:r>
        <w:rPr>
          <w:color w:val="231F20"/>
          <w:w w:val="105"/>
        </w:rPr>
        <w:t>un</w:t>
      </w:r>
      <w:r>
        <w:rPr>
          <w:color w:val="231F20"/>
          <w:spacing w:val="-7"/>
          <w:w w:val="105"/>
        </w:rPr>
        <w:t> </w:t>
      </w:r>
      <w:r>
        <w:rPr>
          <w:color w:val="231F20"/>
          <w:w w:val="105"/>
        </w:rPr>
        <w:t>proceso</w:t>
      </w:r>
      <w:r>
        <w:rPr>
          <w:color w:val="231F20"/>
          <w:spacing w:val="-7"/>
          <w:w w:val="105"/>
        </w:rPr>
        <w:t> </w:t>
      </w:r>
      <w:r>
        <w:rPr>
          <w:color w:val="231F20"/>
          <w:w w:val="105"/>
        </w:rPr>
        <w:t>social,</w:t>
      </w:r>
      <w:r>
        <w:rPr>
          <w:color w:val="231F20"/>
          <w:spacing w:val="-12"/>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que</w:t>
      </w:r>
      <w:r>
        <w:rPr>
          <w:color w:val="231F20"/>
          <w:spacing w:val="-7"/>
          <w:w w:val="105"/>
        </w:rPr>
        <w:t> </w:t>
      </w:r>
      <w:r>
        <w:rPr>
          <w:color w:val="231F20"/>
          <w:w w:val="105"/>
        </w:rPr>
        <w:t>los</w:t>
      </w:r>
      <w:r>
        <w:rPr>
          <w:color w:val="231F20"/>
          <w:spacing w:val="-7"/>
          <w:w w:val="105"/>
        </w:rPr>
        <w:t> </w:t>
      </w:r>
      <w:r>
        <w:rPr>
          <w:color w:val="231F20"/>
          <w:w w:val="105"/>
        </w:rPr>
        <w:t>par- ticipantes</w:t>
      </w:r>
      <w:r>
        <w:rPr>
          <w:color w:val="231F20"/>
          <w:spacing w:val="-5"/>
          <w:w w:val="105"/>
        </w:rPr>
        <w:t> </w:t>
      </w:r>
      <w:r>
        <w:rPr>
          <w:color w:val="231F20"/>
          <w:w w:val="105"/>
        </w:rPr>
        <w:t>sufren</w:t>
      </w:r>
      <w:r>
        <w:rPr>
          <w:color w:val="231F20"/>
          <w:spacing w:val="-5"/>
          <w:w w:val="105"/>
        </w:rPr>
        <w:t> </w:t>
      </w:r>
      <w:r>
        <w:rPr>
          <w:color w:val="231F20"/>
          <w:w w:val="105"/>
        </w:rPr>
        <w:t>procesos</w:t>
      </w:r>
      <w:r>
        <w:rPr>
          <w:color w:val="231F20"/>
          <w:spacing w:val="-5"/>
          <w:w w:val="105"/>
        </w:rPr>
        <w:t> </w:t>
      </w:r>
      <w:r>
        <w:rPr>
          <w:color w:val="231F20"/>
          <w:w w:val="105"/>
        </w:rPr>
        <w:t>de</w:t>
      </w:r>
      <w:r>
        <w:rPr>
          <w:color w:val="231F20"/>
          <w:spacing w:val="-5"/>
          <w:w w:val="105"/>
        </w:rPr>
        <w:t> </w:t>
      </w:r>
      <w:r>
        <w:rPr>
          <w:color w:val="231F20"/>
          <w:w w:val="105"/>
        </w:rPr>
        <w:t>cambio</w:t>
      </w:r>
      <w:r>
        <w:rPr>
          <w:color w:val="231F20"/>
          <w:spacing w:val="-5"/>
          <w:w w:val="105"/>
        </w:rPr>
        <w:t> </w:t>
      </w:r>
      <w:r>
        <w:rPr>
          <w:color w:val="231F20"/>
          <w:w w:val="105"/>
        </w:rPr>
        <w:t>y</w:t>
      </w:r>
      <w:r>
        <w:rPr>
          <w:color w:val="231F20"/>
          <w:spacing w:val="-5"/>
          <w:w w:val="105"/>
        </w:rPr>
        <w:t> </w:t>
      </w:r>
      <w:r>
        <w:rPr>
          <w:color w:val="231F20"/>
          <w:w w:val="105"/>
        </w:rPr>
        <w:t>actúan,</w:t>
      </w:r>
      <w:r>
        <w:rPr>
          <w:color w:val="231F20"/>
          <w:spacing w:val="-11"/>
          <w:w w:val="105"/>
        </w:rPr>
        <w:t> </w:t>
      </w:r>
      <w:r>
        <w:rPr>
          <w:color w:val="231F20"/>
          <w:w w:val="105"/>
        </w:rPr>
        <w:t>a</w:t>
      </w:r>
      <w:r>
        <w:rPr>
          <w:color w:val="231F20"/>
          <w:spacing w:val="-5"/>
          <w:w w:val="105"/>
        </w:rPr>
        <w:t> </w:t>
      </w:r>
      <w:r>
        <w:rPr>
          <w:color w:val="231F20"/>
          <w:w w:val="105"/>
        </w:rPr>
        <w:t>su</w:t>
      </w:r>
      <w:r>
        <w:rPr>
          <w:color w:val="231F20"/>
          <w:spacing w:val="-5"/>
          <w:w w:val="105"/>
        </w:rPr>
        <w:t> </w:t>
      </w:r>
      <w:r>
        <w:rPr>
          <w:color w:val="231F20"/>
          <w:w w:val="105"/>
        </w:rPr>
        <w:t>vez,</w:t>
      </w:r>
      <w:r>
        <w:rPr>
          <w:color w:val="231F20"/>
          <w:spacing w:val="-11"/>
          <w:w w:val="105"/>
        </w:rPr>
        <w:t> </w:t>
      </w:r>
      <w:r>
        <w:rPr>
          <w:color w:val="231F20"/>
          <w:w w:val="105"/>
        </w:rPr>
        <w:t>para</w:t>
      </w:r>
      <w:r>
        <w:rPr>
          <w:color w:val="231F20"/>
          <w:spacing w:val="-5"/>
          <w:w w:val="105"/>
        </w:rPr>
        <w:t> </w:t>
      </w:r>
      <w:r>
        <w:rPr>
          <w:color w:val="231F20"/>
          <w:w w:val="105"/>
        </w:rPr>
        <w:t>modificar las condiciones y prácticas con las que se encuentran” (Castles, 2014: 249).</w:t>
      </w:r>
      <w:r>
        <w:rPr>
          <w:color w:val="231F20"/>
          <w:spacing w:val="-28"/>
          <w:w w:val="105"/>
        </w:rPr>
        <w:t> </w:t>
      </w:r>
      <w:r>
        <w:rPr>
          <w:color w:val="231F20"/>
          <w:w w:val="105"/>
        </w:rPr>
        <w:t>Las</w:t>
      </w:r>
      <w:r>
        <w:rPr>
          <w:color w:val="231F20"/>
          <w:spacing w:val="-23"/>
          <w:w w:val="105"/>
        </w:rPr>
        <w:t> </w:t>
      </w:r>
      <w:r>
        <w:rPr>
          <w:color w:val="231F20"/>
          <w:w w:val="105"/>
        </w:rPr>
        <w:t>temporalidades</w:t>
      </w:r>
      <w:r>
        <w:rPr>
          <w:color w:val="231F20"/>
          <w:spacing w:val="-23"/>
          <w:w w:val="105"/>
        </w:rPr>
        <w:t> </w:t>
      </w:r>
      <w:r>
        <w:rPr>
          <w:color w:val="231F20"/>
          <w:w w:val="105"/>
        </w:rPr>
        <w:t>y</w:t>
      </w:r>
      <w:r>
        <w:rPr>
          <w:color w:val="231F20"/>
          <w:spacing w:val="-23"/>
          <w:w w:val="105"/>
        </w:rPr>
        <w:t> </w:t>
      </w:r>
      <w:r>
        <w:rPr>
          <w:color w:val="231F20"/>
          <w:w w:val="105"/>
        </w:rPr>
        <w:t>dinámicas</w:t>
      </w:r>
      <w:r>
        <w:rPr>
          <w:color w:val="231F20"/>
          <w:spacing w:val="-23"/>
          <w:w w:val="105"/>
        </w:rPr>
        <w:t> </w:t>
      </w:r>
      <w:r>
        <w:rPr>
          <w:color w:val="231F20"/>
          <w:w w:val="105"/>
        </w:rPr>
        <w:t>de</w:t>
      </w:r>
      <w:r>
        <w:rPr>
          <w:color w:val="231F20"/>
          <w:spacing w:val="-23"/>
          <w:w w:val="105"/>
        </w:rPr>
        <w:t> </w:t>
      </w:r>
      <w:r>
        <w:rPr>
          <w:color w:val="231F20"/>
          <w:w w:val="105"/>
        </w:rPr>
        <w:t>adaptación</w:t>
      </w:r>
      <w:r>
        <w:rPr>
          <w:color w:val="231F20"/>
          <w:spacing w:val="-23"/>
          <w:w w:val="105"/>
        </w:rPr>
        <w:t> </w:t>
      </w:r>
      <w:r>
        <w:rPr>
          <w:color w:val="231F20"/>
          <w:w w:val="105"/>
        </w:rPr>
        <w:t>son</w:t>
      </w:r>
      <w:r>
        <w:rPr>
          <w:color w:val="231F20"/>
          <w:spacing w:val="-23"/>
          <w:w w:val="105"/>
        </w:rPr>
        <w:t> </w:t>
      </w:r>
      <w:r>
        <w:rPr>
          <w:color w:val="231F20"/>
          <w:w w:val="105"/>
        </w:rPr>
        <w:t>estrategias</w:t>
      </w:r>
      <w:r>
        <w:rPr>
          <w:color w:val="231F20"/>
          <w:spacing w:val="-23"/>
          <w:w w:val="105"/>
        </w:rPr>
        <w:t> </w:t>
      </w:r>
      <w:r>
        <w:rPr>
          <w:color w:val="231F20"/>
          <w:w w:val="105"/>
        </w:rPr>
        <w:t>que se conjugan en las expectativas de retorno donde los individuos y sus familias</w:t>
      </w:r>
      <w:r>
        <w:rPr>
          <w:color w:val="231F20"/>
          <w:spacing w:val="-19"/>
          <w:w w:val="105"/>
        </w:rPr>
        <w:t> </w:t>
      </w:r>
      <w:r>
        <w:rPr>
          <w:color w:val="231F20"/>
          <w:w w:val="105"/>
        </w:rPr>
        <w:t>gestionan</w:t>
      </w:r>
      <w:r>
        <w:rPr>
          <w:color w:val="231F20"/>
          <w:spacing w:val="-19"/>
          <w:w w:val="105"/>
        </w:rPr>
        <w:t> </w:t>
      </w:r>
      <w:r>
        <w:rPr>
          <w:color w:val="231F20"/>
          <w:w w:val="105"/>
        </w:rPr>
        <w:t>los</w:t>
      </w:r>
      <w:r>
        <w:rPr>
          <w:color w:val="231F20"/>
          <w:spacing w:val="-19"/>
          <w:w w:val="105"/>
        </w:rPr>
        <w:t> </w:t>
      </w:r>
      <w:r>
        <w:rPr>
          <w:color w:val="231F20"/>
          <w:w w:val="105"/>
        </w:rPr>
        <w:t>recursos</w:t>
      </w:r>
      <w:r>
        <w:rPr>
          <w:color w:val="231F20"/>
          <w:spacing w:val="-19"/>
          <w:w w:val="105"/>
        </w:rPr>
        <w:t> </w:t>
      </w:r>
      <w:r>
        <w:rPr>
          <w:color w:val="231F20"/>
          <w:w w:val="105"/>
        </w:rPr>
        <w:t>económicos</w:t>
      </w:r>
      <w:r>
        <w:rPr>
          <w:color w:val="231F20"/>
          <w:spacing w:val="-19"/>
          <w:w w:val="105"/>
        </w:rPr>
        <w:t> </w:t>
      </w:r>
      <w:r>
        <w:rPr>
          <w:color w:val="231F20"/>
          <w:w w:val="105"/>
        </w:rPr>
        <w:t>necesarios</w:t>
      </w:r>
      <w:r>
        <w:rPr>
          <w:color w:val="231F20"/>
          <w:spacing w:val="-19"/>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w w:val="105"/>
        </w:rPr>
        <w:t>regreso</w:t>
      </w:r>
      <w:r>
        <w:rPr>
          <w:color w:val="231F20"/>
          <w:spacing w:val="-19"/>
          <w:w w:val="105"/>
        </w:rPr>
        <w:t> </w:t>
      </w:r>
      <w:r>
        <w:rPr>
          <w:color w:val="231F20"/>
          <w:w w:val="105"/>
        </w:rPr>
        <w:t>y proyectan</w:t>
      </w:r>
      <w:r>
        <w:rPr>
          <w:color w:val="231F20"/>
          <w:spacing w:val="-15"/>
          <w:w w:val="105"/>
        </w:rPr>
        <w:t> </w:t>
      </w:r>
      <w:r>
        <w:rPr>
          <w:color w:val="231F20"/>
          <w:w w:val="105"/>
        </w:rPr>
        <w:t>la</w:t>
      </w:r>
      <w:r>
        <w:rPr>
          <w:color w:val="231F20"/>
          <w:spacing w:val="-15"/>
          <w:w w:val="105"/>
        </w:rPr>
        <w:t> </w:t>
      </w:r>
      <w:r>
        <w:rPr>
          <w:color w:val="231F20"/>
          <w:w w:val="105"/>
        </w:rPr>
        <w:t>reincorporación</w:t>
      </w:r>
      <w:r>
        <w:rPr>
          <w:color w:val="231F20"/>
          <w:spacing w:val="-15"/>
          <w:w w:val="105"/>
        </w:rPr>
        <w:t> </w:t>
      </w:r>
      <w:r>
        <w:rPr>
          <w:color w:val="231F20"/>
          <w:w w:val="105"/>
        </w:rPr>
        <w:t>del</w:t>
      </w:r>
      <w:r>
        <w:rPr>
          <w:color w:val="231F20"/>
          <w:spacing w:val="-15"/>
          <w:w w:val="105"/>
        </w:rPr>
        <w:t> </w:t>
      </w:r>
      <w:r>
        <w:rPr>
          <w:color w:val="231F20"/>
          <w:w w:val="105"/>
        </w:rPr>
        <w:t>ausente.</w:t>
      </w:r>
    </w:p>
    <w:p>
      <w:pPr>
        <w:pStyle w:val="BodyText"/>
        <w:spacing w:line="261" w:lineRule="auto" w:before="1"/>
        <w:ind w:left="1723" w:right="1828" w:firstLine="567"/>
        <w:jc w:val="both"/>
      </w:pPr>
      <w:r>
        <w:rPr>
          <w:color w:val="231F20"/>
          <w:w w:val="105"/>
        </w:rPr>
        <w:t>Debido</w:t>
      </w:r>
      <w:r>
        <w:rPr>
          <w:color w:val="231F20"/>
          <w:spacing w:val="-31"/>
          <w:w w:val="105"/>
        </w:rPr>
        <w:t> </w:t>
      </w:r>
      <w:r>
        <w:rPr>
          <w:color w:val="231F20"/>
          <w:w w:val="105"/>
        </w:rPr>
        <w:t>a</w:t>
      </w:r>
      <w:r>
        <w:rPr>
          <w:color w:val="231F20"/>
          <w:spacing w:val="-31"/>
          <w:w w:val="105"/>
        </w:rPr>
        <w:t> </w:t>
      </w:r>
      <w:r>
        <w:rPr>
          <w:color w:val="231F20"/>
          <w:w w:val="105"/>
        </w:rPr>
        <w:t>sus</w:t>
      </w:r>
      <w:r>
        <w:rPr>
          <w:color w:val="231F20"/>
          <w:spacing w:val="-31"/>
          <w:w w:val="105"/>
        </w:rPr>
        <w:t> </w:t>
      </w:r>
      <w:r>
        <w:rPr>
          <w:color w:val="231F20"/>
          <w:w w:val="105"/>
        </w:rPr>
        <w:t>múltiples</w:t>
      </w:r>
      <w:r>
        <w:rPr>
          <w:color w:val="231F20"/>
          <w:spacing w:val="-31"/>
          <w:w w:val="105"/>
        </w:rPr>
        <w:t> </w:t>
      </w:r>
      <w:r>
        <w:rPr>
          <w:color w:val="231F20"/>
          <w:w w:val="105"/>
        </w:rPr>
        <w:t>factores,</w:t>
      </w:r>
      <w:r>
        <w:rPr>
          <w:color w:val="231F20"/>
          <w:spacing w:val="-34"/>
          <w:w w:val="105"/>
        </w:rPr>
        <w:t> </w:t>
      </w:r>
      <w:r>
        <w:rPr>
          <w:color w:val="231F20"/>
          <w:w w:val="105"/>
        </w:rPr>
        <w:t>sus</w:t>
      </w:r>
      <w:r>
        <w:rPr>
          <w:color w:val="231F20"/>
          <w:spacing w:val="-31"/>
          <w:w w:val="105"/>
        </w:rPr>
        <w:t> </w:t>
      </w:r>
      <w:r>
        <w:rPr>
          <w:color w:val="231F20"/>
          <w:w w:val="105"/>
        </w:rPr>
        <w:t>diversas</w:t>
      </w:r>
      <w:r>
        <w:rPr>
          <w:color w:val="231F20"/>
          <w:spacing w:val="-31"/>
          <w:w w:val="105"/>
        </w:rPr>
        <w:t> </w:t>
      </w:r>
      <w:r>
        <w:rPr>
          <w:color w:val="231F20"/>
          <w:w w:val="105"/>
        </w:rPr>
        <w:t>manifestaciones</w:t>
      </w:r>
      <w:r>
        <w:rPr>
          <w:color w:val="231F20"/>
          <w:spacing w:val="-31"/>
          <w:w w:val="105"/>
        </w:rPr>
        <w:t> </w:t>
      </w:r>
      <w:r>
        <w:rPr>
          <w:color w:val="231F20"/>
          <w:w w:val="105"/>
        </w:rPr>
        <w:t>y</w:t>
      </w:r>
      <w:r>
        <w:rPr>
          <w:color w:val="231F20"/>
          <w:spacing w:val="-31"/>
          <w:w w:val="105"/>
        </w:rPr>
        <w:t> </w:t>
      </w:r>
      <w:r>
        <w:rPr>
          <w:color w:val="231F20"/>
          <w:w w:val="105"/>
        </w:rPr>
        <w:t>sus mecanismos, Durand (2004) afirma que el retorno es un proceso com- plejo de toma de decisiones y de evaluaciones personales y familiares. Define cinco tipos de retornados: el migrante que regresa de manera definitiva</w:t>
      </w:r>
      <w:r>
        <w:rPr>
          <w:color w:val="231F20"/>
          <w:spacing w:val="-16"/>
          <w:w w:val="105"/>
        </w:rPr>
        <w:t> </w:t>
      </w:r>
      <w:r>
        <w:rPr>
          <w:color w:val="231F20"/>
          <w:w w:val="105"/>
        </w:rPr>
        <w:t>y</w:t>
      </w:r>
      <w:r>
        <w:rPr>
          <w:color w:val="231F20"/>
          <w:spacing w:val="-15"/>
          <w:w w:val="105"/>
        </w:rPr>
        <w:t> </w:t>
      </w:r>
      <w:r>
        <w:rPr>
          <w:color w:val="231F20"/>
          <w:w w:val="105"/>
        </w:rPr>
        <w:t>voluntaria;</w:t>
      </w:r>
      <w:r>
        <w:rPr>
          <w:color w:val="231F20"/>
          <w:spacing w:val="-16"/>
          <w:w w:val="105"/>
        </w:rPr>
        <w:t> </w:t>
      </w:r>
      <w:r>
        <w:rPr>
          <w:color w:val="231F20"/>
          <w:w w:val="105"/>
        </w:rPr>
        <w:t>trabajadores</w:t>
      </w:r>
      <w:r>
        <w:rPr>
          <w:color w:val="231F20"/>
          <w:spacing w:val="-15"/>
          <w:w w:val="105"/>
        </w:rPr>
        <w:t> </w:t>
      </w:r>
      <w:r>
        <w:rPr>
          <w:color w:val="231F20"/>
          <w:w w:val="105"/>
        </w:rPr>
        <w:t>temporales</w:t>
      </w:r>
      <w:r>
        <w:rPr>
          <w:color w:val="231F20"/>
          <w:spacing w:val="-15"/>
          <w:w w:val="105"/>
        </w:rPr>
        <w:t> </w:t>
      </w:r>
      <w:r>
        <w:rPr>
          <w:color w:val="231F20"/>
          <w:w w:val="105"/>
        </w:rPr>
        <w:t>con</w:t>
      </w:r>
      <w:r>
        <w:rPr>
          <w:color w:val="231F20"/>
          <w:spacing w:val="-15"/>
          <w:w w:val="105"/>
        </w:rPr>
        <w:t> </w:t>
      </w:r>
      <w:r>
        <w:rPr>
          <w:color w:val="231F20"/>
          <w:w w:val="105"/>
        </w:rPr>
        <w:t>tiempos</w:t>
      </w:r>
      <w:r>
        <w:rPr>
          <w:color w:val="231F20"/>
          <w:spacing w:val="-15"/>
          <w:w w:val="105"/>
        </w:rPr>
        <w:t> </w:t>
      </w:r>
      <w:r>
        <w:rPr>
          <w:color w:val="231F20"/>
          <w:w w:val="105"/>
        </w:rPr>
        <w:t>sujetos</w:t>
      </w:r>
      <w:r>
        <w:rPr>
          <w:color w:val="231F20"/>
          <w:spacing w:val="-15"/>
          <w:w w:val="105"/>
        </w:rPr>
        <w:t> </w:t>
      </w:r>
      <w:r>
        <w:rPr>
          <w:color w:val="231F20"/>
          <w:w w:val="105"/>
        </w:rPr>
        <w:t>a</w:t>
      </w:r>
      <w:r>
        <w:rPr>
          <w:color w:val="231F20"/>
          <w:spacing w:val="-15"/>
          <w:w w:val="105"/>
        </w:rPr>
        <w:t> </w:t>
      </w:r>
      <w:r>
        <w:rPr>
          <w:color w:val="231F20"/>
          <w:w w:val="105"/>
        </w:rPr>
        <w:t>un contrato que obliga o exige su regreso; el migrante transgeneracional, descendencia directa de la primera generación de migrantes que  </w:t>
      </w:r>
      <w:r>
        <w:rPr>
          <w:color w:val="231F20"/>
          <w:spacing w:val="19"/>
          <w:w w:val="105"/>
        </w:rPr>
        <w:t> </w:t>
      </w:r>
      <w:r>
        <w:rPr>
          <w:color w:val="231F20"/>
          <w:w w:val="105"/>
        </w:rPr>
        <w:t>em-</w:t>
      </w:r>
    </w:p>
    <w:p>
      <w:pPr>
        <w:pStyle w:val="BodyText"/>
        <w:rPr>
          <w:sz w:val="20"/>
        </w:rPr>
      </w:pPr>
    </w:p>
    <w:p>
      <w:pPr>
        <w:pStyle w:val="BodyText"/>
        <w:spacing w:before="10"/>
        <w:rPr>
          <w:sz w:val="20"/>
        </w:rPr>
      </w:pPr>
      <w:r>
        <w:rPr/>
        <w:pict>
          <v:line style="position:absolute;mso-position-horizontal-relative:page;mso-position-vertical-relative:paragraph;z-index:26680;mso-wrap-distance-left:0;mso-wrap-distance-right:0" from="86.1968pt,13.940765pt" to="199.5828pt,13.940765pt" stroked="true" strokeweight=".25pt" strokecolor="#231f20">
            <w10:wrap type="topAndBottom"/>
          </v:line>
        </w:pict>
      </w:r>
    </w:p>
    <w:p>
      <w:pPr>
        <w:spacing w:line="192" w:lineRule="exact" w:before="7"/>
        <w:ind w:left="1723" w:right="1835" w:hanging="1"/>
        <w:jc w:val="both"/>
        <w:rPr>
          <w:rFonts w:ascii="Calibri" w:hAnsi="Calibri"/>
          <w:sz w:val="16"/>
        </w:rPr>
      </w:pPr>
      <w:r>
        <w:rPr>
          <w:rFonts w:ascii="Calibri" w:hAnsi="Calibri"/>
          <w:color w:val="414042"/>
          <w:w w:val="105"/>
          <w:position w:val="5"/>
          <w:sz w:val="9"/>
        </w:rPr>
        <w:t>5 </w:t>
      </w:r>
      <w:r>
        <w:rPr>
          <w:rFonts w:ascii="Calibri" w:hAnsi="Calibri"/>
          <w:color w:val="414042"/>
          <w:w w:val="105"/>
          <w:sz w:val="16"/>
        </w:rPr>
        <w:t>La crítica al nacionalismo metodológico afirma que el estado-nación no es la única unidad de análisis desde</w:t>
      </w:r>
      <w:r>
        <w:rPr>
          <w:rFonts w:ascii="Calibri" w:hAnsi="Calibri"/>
          <w:color w:val="414042"/>
          <w:spacing w:val="-14"/>
          <w:w w:val="105"/>
          <w:sz w:val="16"/>
        </w:rPr>
        <w:t> </w:t>
      </w:r>
      <w:r>
        <w:rPr>
          <w:rFonts w:ascii="Calibri" w:hAnsi="Calibri"/>
          <w:color w:val="414042"/>
          <w:w w:val="105"/>
          <w:sz w:val="16"/>
        </w:rPr>
        <w:t>la</w:t>
      </w:r>
      <w:r>
        <w:rPr>
          <w:rFonts w:ascii="Calibri" w:hAnsi="Calibri"/>
          <w:color w:val="414042"/>
          <w:spacing w:val="-14"/>
          <w:w w:val="105"/>
          <w:sz w:val="16"/>
        </w:rPr>
        <w:t> </w:t>
      </w:r>
      <w:r>
        <w:rPr>
          <w:rFonts w:ascii="Calibri" w:hAnsi="Calibri"/>
          <w:color w:val="414042"/>
          <w:w w:val="105"/>
          <w:sz w:val="16"/>
        </w:rPr>
        <w:t>cual</w:t>
      </w:r>
      <w:r>
        <w:rPr>
          <w:rFonts w:ascii="Calibri" w:hAnsi="Calibri"/>
          <w:color w:val="414042"/>
          <w:spacing w:val="-14"/>
          <w:w w:val="105"/>
          <w:sz w:val="16"/>
        </w:rPr>
        <w:t> </w:t>
      </w:r>
      <w:r>
        <w:rPr>
          <w:rFonts w:ascii="Calibri" w:hAnsi="Calibri"/>
          <w:color w:val="414042"/>
          <w:w w:val="105"/>
          <w:sz w:val="16"/>
        </w:rPr>
        <w:t>indagar</w:t>
      </w:r>
      <w:r>
        <w:rPr>
          <w:rFonts w:ascii="Calibri" w:hAnsi="Calibri"/>
          <w:color w:val="414042"/>
          <w:spacing w:val="-14"/>
          <w:w w:val="105"/>
          <w:sz w:val="16"/>
        </w:rPr>
        <w:t> </w:t>
      </w:r>
      <w:r>
        <w:rPr>
          <w:rFonts w:ascii="Calibri" w:hAnsi="Calibri"/>
          <w:color w:val="414042"/>
          <w:w w:val="105"/>
          <w:sz w:val="16"/>
        </w:rPr>
        <w:t>lo</w:t>
      </w:r>
      <w:r>
        <w:rPr>
          <w:rFonts w:ascii="Calibri" w:hAnsi="Calibri"/>
          <w:color w:val="414042"/>
          <w:spacing w:val="-14"/>
          <w:w w:val="105"/>
          <w:sz w:val="16"/>
        </w:rPr>
        <w:t> </w:t>
      </w:r>
      <w:r>
        <w:rPr>
          <w:rFonts w:ascii="Calibri" w:hAnsi="Calibri"/>
          <w:color w:val="414042"/>
          <w:w w:val="105"/>
          <w:sz w:val="16"/>
        </w:rPr>
        <w:t>social.</w:t>
      </w:r>
      <w:r>
        <w:rPr>
          <w:rFonts w:ascii="Calibri" w:hAnsi="Calibri"/>
          <w:color w:val="414042"/>
          <w:spacing w:val="-14"/>
          <w:w w:val="105"/>
          <w:sz w:val="16"/>
        </w:rPr>
        <w:t> </w:t>
      </w:r>
      <w:r>
        <w:rPr>
          <w:rFonts w:ascii="Calibri" w:hAnsi="Calibri"/>
          <w:color w:val="414042"/>
          <w:w w:val="105"/>
          <w:sz w:val="16"/>
        </w:rPr>
        <w:t>Los</w:t>
      </w:r>
      <w:r>
        <w:rPr>
          <w:rFonts w:ascii="Calibri" w:hAnsi="Calibri"/>
          <w:color w:val="414042"/>
          <w:spacing w:val="-14"/>
          <w:w w:val="105"/>
          <w:sz w:val="16"/>
        </w:rPr>
        <w:t> </w:t>
      </w:r>
      <w:r>
        <w:rPr>
          <w:rFonts w:ascii="Calibri" w:hAnsi="Calibri"/>
          <w:color w:val="414042"/>
          <w:w w:val="105"/>
          <w:sz w:val="16"/>
        </w:rPr>
        <w:t>cuestionamientos</w:t>
      </w:r>
      <w:r>
        <w:rPr>
          <w:rFonts w:ascii="Calibri" w:hAnsi="Calibri"/>
          <w:color w:val="414042"/>
          <w:spacing w:val="-14"/>
          <w:w w:val="105"/>
          <w:sz w:val="16"/>
        </w:rPr>
        <w:t> </w:t>
      </w:r>
      <w:r>
        <w:rPr>
          <w:rFonts w:ascii="Calibri" w:hAnsi="Calibri"/>
          <w:color w:val="414042"/>
          <w:w w:val="105"/>
          <w:sz w:val="16"/>
        </w:rPr>
        <w:t>apuntan</w:t>
      </w:r>
      <w:r>
        <w:rPr>
          <w:rFonts w:ascii="Calibri" w:hAnsi="Calibri"/>
          <w:color w:val="414042"/>
          <w:spacing w:val="-14"/>
          <w:w w:val="105"/>
          <w:sz w:val="16"/>
        </w:rPr>
        <w:t> </w:t>
      </w:r>
      <w:r>
        <w:rPr>
          <w:rFonts w:ascii="Calibri" w:hAnsi="Calibri"/>
          <w:color w:val="414042"/>
          <w:w w:val="105"/>
          <w:sz w:val="16"/>
        </w:rPr>
        <w:t>a</w:t>
      </w:r>
      <w:r>
        <w:rPr>
          <w:rFonts w:ascii="Calibri" w:hAnsi="Calibri"/>
          <w:color w:val="414042"/>
          <w:spacing w:val="-14"/>
          <w:w w:val="105"/>
          <w:sz w:val="16"/>
        </w:rPr>
        <w:t> </w:t>
      </w:r>
      <w:r>
        <w:rPr>
          <w:rFonts w:ascii="Calibri" w:hAnsi="Calibri"/>
          <w:color w:val="414042"/>
          <w:w w:val="105"/>
          <w:sz w:val="16"/>
        </w:rPr>
        <w:t>dejar</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concebirlo</w:t>
      </w:r>
      <w:r>
        <w:rPr>
          <w:rFonts w:ascii="Calibri" w:hAnsi="Calibri"/>
          <w:color w:val="414042"/>
          <w:spacing w:val="-14"/>
          <w:w w:val="105"/>
          <w:sz w:val="16"/>
        </w:rPr>
        <w:t> </w:t>
      </w:r>
      <w:r>
        <w:rPr>
          <w:rFonts w:ascii="Calibri" w:hAnsi="Calibri"/>
          <w:color w:val="414042"/>
          <w:w w:val="105"/>
          <w:sz w:val="16"/>
        </w:rPr>
        <w:t>como</w:t>
      </w:r>
      <w:r>
        <w:rPr>
          <w:rFonts w:ascii="Calibri" w:hAnsi="Calibri"/>
          <w:color w:val="414042"/>
          <w:spacing w:val="-14"/>
          <w:w w:val="105"/>
          <w:sz w:val="16"/>
        </w:rPr>
        <w:t> </w:t>
      </w:r>
      <w:r>
        <w:rPr>
          <w:rFonts w:ascii="Calibri" w:hAnsi="Calibri"/>
          <w:color w:val="414042"/>
          <w:w w:val="105"/>
          <w:sz w:val="16"/>
        </w:rPr>
        <w:t>auténtico</w:t>
      </w:r>
      <w:r>
        <w:rPr>
          <w:rFonts w:ascii="Calibri" w:hAnsi="Calibri"/>
          <w:color w:val="414042"/>
          <w:spacing w:val="-14"/>
          <w:w w:val="105"/>
          <w:sz w:val="16"/>
        </w:rPr>
        <w:t> </w:t>
      </w:r>
      <w:r>
        <w:rPr>
          <w:rFonts w:ascii="Calibri" w:hAnsi="Calibri"/>
          <w:color w:val="414042"/>
          <w:w w:val="105"/>
          <w:sz w:val="16"/>
        </w:rPr>
        <w:t>con- tenedor</w:t>
      </w:r>
      <w:r>
        <w:rPr>
          <w:rFonts w:ascii="Calibri" w:hAnsi="Calibri"/>
          <w:color w:val="414042"/>
          <w:spacing w:val="-12"/>
          <w:w w:val="105"/>
          <w:sz w:val="16"/>
        </w:rPr>
        <w:t> </w:t>
      </w:r>
      <w:r>
        <w:rPr>
          <w:rFonts w:ascii="Calibri" w:hAnsi="Calibri"/>
          <w:color w:val="414042"/>
          <w:w w:val="105"/>
          <w:sz w:val="16"/>
        </w:rPr>
        <w:t>en</w:t>
      </w:r>
      <w:r>
        <w:rPr>
          <w:rFonts w:ascii="Calibri" w:hAnsi="Calibri"/>
          <w:color w:val="414042"/>
          <w:spacing w:val="-12"/>
          <w:w w:val="105"/>
          <w:sz w:val="16"/>
        </w:rPr>
        <w:t> </w:t>
      </w:r>
      <w:r>
        <w:rPr>
          <w:rFonts w:ascii="Calibri" w:hAnsi="Calibri"/>
          <w:color w:val="414042"/>
          <w:w w:val="105"/>
          <w:sz w:val="16"/>
        </w:rPr>
        <w:t>que</w:t>
      </w:r>
      <w:r>
        <w:rPr>
          <w:rFonts w:ascii="Calibri" w:hAnsi="Calibri"/>
          <w:color w:val="414042"/>
          <w:spacing w:val="-12"/>
          <w:w w:val="105"/>
          <w:sz w:val="16"/>
        </w:rPr>
        <w:t> </w:t>
      </w:r>
      <w:r>
        <w:rPr>
          <w:rFonts w:ascii="Calibri" w:hAnsi="Calibri"/>
          <w:color w:val="414042"/>
          <w:w w:val="105"/>
          <w:sz w:val="16"/>
        </w:rPr>
        <w:t>tienen</w:t>
      </w:r>
      <w:r>
        <w:rPr>
          <w:rFonts w:ascii="Calibri" w:hAnsi="Calibri"/>
          <w:color w:val="414042"/>
          <w:spacing w:val="-12"/>
          <w:w w:val="105"/>
          <w:sz w:val="16"/>
        </w:rPr>
        <w:t> </w:t>
      </w:r>
      <w:r>
        <w:rPr>
          <w:rFonts w:ascii="Calibri" w:hAnsi="Calibri"/>
          <w:color w:val="414042"/>
          <w:w w:val="105"/>
          <w:sz w:val="16"/>
        </w:rPr>
        <w:t>lugar</w:t>
      </w:r>
      <w:r>
        <w:rPr>
          <w:rFonts w:ascii="Calibri" w:hAnsi="Calibri"/>
          <w:color w:val="414042"/>
          <w:spacing w:val="-12"/>
          <w:w w:val="105"/>
          <w:sz w:val="16"/>
        </w:rPr>
        <w:t> </w:t>
      </w:r>
      <w:r>
        <w:rPr>
          <w:rFonts w:ascii="Calibri" w:hAnsi="Calibri"/>
          <w:color w:val="414042"/>
          <w:w w:val="105"/>
          <w:sz w:val="16"/>
        </w:rPr>
        <w:t>los</w:t>
      </w:r>
      <w:r>
        <w:rPr>
          <w:rFonts w:ascii="Calibri" w:hAnsi="Calibri"/>
          <w:color w:val="414042"/>
          <w:spacing w:val="-12"/>
          <w:w w:val="105"/>
          <w:sz w:val="16"/>
        </w:rPr>
        <w:t> </w:t>
      </w:r>
      <w:r>
        <w:rPr>
          <w:rFonts w:ascii="Calibri" w:hAnsi="Calibri"/>
          <w:color w:val="414042"/>
          <w:w w:val="105"/>
          <w:sz w:val="16"/>
        </w:rPr>
        <w:t>hechos</w:t>
      </w:r>
      <w:r>
        <w:rPr>
          <w:rFonts w:ascii="Calibri" w:hAnsi="Calibri"/>
          <w:color w:val="414042"/>
          <w:spacing w:val="-12"/>
          <w:w w:val="105"/>
          <w:sz w:val="16"/>
        </w:rPr>
        <w:t> </w:t>
      </w:r>
      <w:r>
        <w:rPr>
          <w:rFonts w:ascii="Calibri" w:hAnsi="Calibri"/>
          <w:color w:val="414042"/>
          <w:w w:val="105"/>
          <w:sz w:val="16"/>
        </w:rPr>
        <w:t>sociales</w:t>
      </w:r>
      <w:r>
        <w:rPr>
          <w:rFonts w:ascii="Calibri" w:hAnsi="Calibri"/>
          <w:color w:val="414042"/>
          <w:spacing w:val="-14"/>
          <w:w w:val="105"/>
          <w:sz w:val="16"/>
        </w:rPr>
        <w:t> </w:t>
      </w:r>
      <w:r>
        <w:rPr>
          <w:rFonts w:ascii="Calibri" w:hAnsi="Calibri"/>
          <w:color w:val="414042"/>
          <w:w w:val="105"/>
          <w:sz w:val="16"/>
        </w:rPr>
        <w:t>y</w:t>
      </w:r>
      <w:r>
        <w:rPr>
          <w:rFonts w:ascii="Calibri" w:hAnsi="Calibri"/>
          <w:color w:val="414042"/>
          <w:spacing w:val="-12"/>
          <w:w w:val="105"/>
          <w:sz w:val="16"/>
        </w:rPr>
        <w:t> </w:t>
      </w:r>
      <w:r>
        <w:rPr>
          <w:rFonts w:ascii="Calibri" w:hAnsi="Calibri"/>
          <w:color w:val="414042"/>
          <w:w w:val="105"/>
          <w:sz w:val="16"/>
        </w:rPr>
        <w:t>mirar</w:t>
      </w:r>
      <w:r>
        <w:rPr>
          <w:rFonts w:ascii="Calibri" w:hAnsi="Calibri"/>
          <w:color w:val="414042"/>
          <w:spacing w:val="-12"/>
          <w:w w:val="105"/>
          <w:sz w:val="16"/>
        </w:rPr>
        <w:t> </w:t>
      </w:r>
      <w:r>
        <w:rPr>
          <w:rFonts w:ascii="Calibri" w:hAnsi="Calibri"/>
          <w:color w:val="414042"/>
          <w:w w:val="105"/>
          <w:sz w:val="16"/>
        </w:rPr>
        <w:t>desde</w:t>
      </w:r>
      <w:r>
        <w:rPr>
          <w:rFonts w:ascii="Calibri" w:hAnsi="Calibri"/>
          <w:color w:val="414042"/>
          <w:spacing w:val="-12"/>
          <w:w w:val="105"/>
          <w:sz w:val="16"/>
        </w:rPr>
        <w:t> </w:t>
      </w:r>
      <w:r>
        <w:rPr>
          <w:rFonts w:ascii="Calibri" w:hAnsi="Calibri"/>
          <w:color w:val="414042"/>
          <w:w w:val="105"/>
          <w:sz w:val="16"/>
        </w:rPr>
        <w:t>sus</w:t>
      </w:r>
      <w:r>
        <w:rPr>
          <w:rFonts w:ascii="Calibri" w:hAnsi="Calibri"/>
          <w:color w:val="414042"/>
          <w:spacing w:val="-12"/>
          <w:w w:val="105"/>
          <w:sz w:val="16"/>
        </w:rPr>
        <w:t> </w:t>
      </w:r>
      <w:r>
        <w:rPr>
          <w:rFonts w:ascii="Calibri" w:hAnsi="Calibri"/>
          <w:color w:val="414042"/>
          <w:w w:val="105"/>
          <w:sz w:val="16"/>
        </w:rPr>
        <w:t>componentes,</w:t>
      </w:r>
      <w:r>
        <w:rPr>
          <w:rFonts w:ascii="Calibri" w:hAnsi="Calibri"/>
          <w:color w:val="414042"/>
          <w:spacing w:val="-12"/>
          <w:w w:val="105"/>
          <w:sz w:val="16"/>
        </w:rPr>
        <w:t> </w:t>
      </w:r>
      <w:r>
        <w:rPr>
          <w:rFonts w:ascii="Calibri" w:hAnsi="Calibri"/>
          <w:color w:val="414042"/>
          <w:w w:val="105"/>
          <w:sz w:val="16"/>
        </w:rPr>
        <w:t>a</w:t>
      </w:r>
      <w:r>
        <w:rPr>
          <w:rFonts w:ascii="Calibri" w:hAnsi="Calibri"/>
          <w:color w:val="414042"/>
          <w:spacing w:val="-12"/>
          <w:w w:val="105"/>
          <w:sz w:val="16"/>
        </w:rPr>
        <w:t> </w:t>
      </w:r>
      <w:r>
        <w:rPr>
          <w:rFonts w:ascii="Calibri" w:hAnsi="Calibri"/>
          <w:color w:val="414042"/>
          <w:w w:val="105"/>
          <w:sz w:val="16"/>
        </w:rPr>
        <w:t>nivel</w:t>
      </w:r>
      <w:r>
        <w:rPr>
          <w:rFonts w:ascii="Calibri" w:hAnsi="Calibri"/>
          <w:color w:val="414042"/>
          <w:spacing w:val="-12"/>
          <w:w w:val="105"/>
          <w:sz w:val="16"/>
        </w:rPr>
        <w:t> </w:t>
      </w:r>
      <w:r>
        <w:rPr>
          <w:rFonts w:ascii="Calibri" w:hAnsi="Calibri"/>
          <w:color w:val="414042"/>
          <w:w w:val="105"/>
          <w:sz w:val="16"/>
        </w:rPr>
        <w:t>meso</w:t>
      </w:r>
      <w:r>
        <w:rPr>
          <w:rFonts w:ascii="Calibri" w:hAnsi="Calibri"/>
          <w:color w:val="414042"/>
          <w:spacing w:val="-14"/>
          <w:w w:val="105"/>
          <w:sz w:val="16"/>
        </w:rPr>
        <w:t> </w:t>
      </w:r>
      <w:r>
        <w:rPr>
          <w:rFonts w:ascii="Calibri" w:hAnsi="Calibri"/>
          <w:color w:val="414042"/>
          <w:w w:val="105"/>
          <w:sz w:val="16"/>
        </w:rPr>
        <w:t>y</w:t>
      </w:r>
      <w:r>
        <w:rPr>
          <w:rFonts w:ascii="Calibri" w:hAnsi="Calibri"/>
          <w:color w:val="414042"/>
          <w:spacing w:val="-12"/>
          <w:w w:val="105"/>
          <w:sz w:val="16"/>
        </w:rPr>
        <w:t> </w:t>
      </w:r>
      <w:r>
        <w:rPr>
          <w:rFonts w:ascii="Calibri" w:hAnsi="Calibri"/>
          <w:color w:val="414042"/>
          <w:w w:val="105"/>
          <w:sz w:val="16"/>
        </w:rPr>
        <w:t>micro,</w:t>
      </w:r>
      <w:r>
        <w:rPr>
          <w:rFonts w:ascii="Calibri" w:hAnsi="Calibri"/>
          <w:color w:val="414042"/>
          <w:spacing w:val="-12"/>
          <w:w w:val="105"/>
          <w:sz w:val="16"/>
        </w:rPr>
        <w:t> </w:t>
      </w:r>
      <w:r>
        <w:rPr>
          <w:rFonts w:ascii="Calibri" w:hAnsi="Calibri"/>
          <w:color w:val="414042"/>
          <w:w w:val="105"/>
          <w:sz w:val="16"/>
        </w:rPr>
        <w:t>lo que</w:t>
      </w:r>
      <w:r>
        <w:rPr>
          <w:rFonts w:ascii="Calibri" w:hAnsi="Calibri"/>
          <w:color w:val="414042"/>
          <w:spacing w:val="-12"/>
          <w:w w:val="105"/>
          <w:sz w:val="16"/>
        </w:rPr>
        <w:t> </w:t>
      </w:r>
      <w:r>
        <w:rPr>
          <w:rFonts w:ascii="Calibri" w:hAnsi="Calibri"/>
          <w:color w:val="414042"/>
          <w:w w:val="105"/>
          <w:sz w:val="16"/>
        </w:rPr>
        <w:t>ocurre</w:t>
      </w:r>
      <w:r>
        <w:rPr>
          <w:rFonts w:ascii="Calibri" w:hAnsi="Calibri"/>
          <w:color w:val="414042"/>
          <w:spacing w:val="-12"/>
          <w:w w:val="105"/>
          <w:sz w:val="16"/>
        </w:rPr>
        <w:t> </w:t>
      </w:r>
      <w:r>
        <w:rPr>
          <w:rFonts w:ascii="Calibri" w:hAnsi="Calibri"/>
          <w:color w:val="414042"/>
          <w:w w:val="105"/>
          <w:sz w:val="16"/>
        </w:rPr>
        <w:t>en</w:t>
      </w:r>
      <w:r>
        <w:rPr>
          <w:rFonts w:ascii="Calibri" w:hAnsi="Calibri"/>
          <w:color w:val="414042"/>
          <w:spacing w:val="-12"/>
          <w:w w:val="105"/>
          <w:sz w:val="16"/>
        </w:rPr>
        <w:t> </w:t>
      </w:r>
      <w:r>
        <w:rPr>
          <w:rFonts w:ascii="Calibri" w:hAnsi="Calibri"/>
          <w:color w:val="414042"/>
          <w:w w:val="105"/>
          <w:sz w:val="16"/>
        </w:rPr>
        <w:t>la</w:t>
      </w:r>
      <w:r>
        <w:rPr>
          <w:rFonts w:ascii="Calibri" w:hAnsi="Calibri"/>
          <w:color w:val="414042"/>
          <w:spacing w:val="-15"/>
          <w:w w:val="105"/>
          <w:sz w:val="16"/>
        </w:rPr>
        <w:t> </w:t>
      </w:r>
      <w:r>
        <w:rPr>
          <w:rFonts w:ascii="Calibri" w:hAnsi="Calibri"/>
          <w:color w:val="414042"/>
          <w:w w:val="105"/>
          <w:sz w:val="16"/>
        </w:rPr>
        <w:t>vida</w:t>
      </w:r>
      <w:r>
        <w:rPr>
          <w:rFonts w:ascii="Calibri" w:hAnsi="Calibri"/>
          <w:color w:val="414042"/>
          <w:spacing w:val="-12"/>
          <w:w w:val="105"/>
          <w:sz w:val="16"/>
        </w:rPr>
        <w:t> </w:t>
      </w:r>
      <w:r>
        <w:rPr>
          <w:rFonts w:ascii="Calibri" w:hAnsi="Calibri"/>
          <w:color w:val="414042"/>
          <w:w w:val="105"/>
          <w:sz w:val="16"/>
        </w:rPr>
        <w:t>de</w:t>
      </w:r>
      <w:r>
        <w:rPr>
          <w:rFonts w:ascii="Calibri" w:hAnsi="Calibri"/>
          <w:color w:val="414042"/>
          <w:spacing w:val="-12"/>
          <w:w w:val="105"/>
          <w:sz w:val="16"/>
        </w:rPr>
        <w:t> </w:t>
      </w:r>
      <w:r>
        <w:rPr>
          <w:rFonts w:ascii="Calibri" w:hAnsi="Calibri"/>
          <w:color w:val="414042"/>
          <w:w w:val="105"/>
          <w:sz w:val="16"/>
        </w:rPr>
        <w:t>las</w:t>
      </w:r>
      <w:r>
        <w:rPr>
          <w:rFonts w:ascii="Calibri" w:hAnsi="Calibri"/>
          <w:color w:val="414042"/>
          <w:spacing w:val="-12"/>
          <w:w w:val="105"/>
          <w:sz w:val="16"/>
        </w:rPr>
        <w:t> </w:t>
      </w:r>
      <w:r>
        <w:rPr>
          <w:rFonts w:ascii="Calibri" w:hAnsi="Calibri"/>
          <w:color w:val="414042"/>
          <w:w w:val="105"/>
          <w:sz w:val="16"/>
        </w:rPr>
        <w:t>personas</w:t>
      </w:r>
      <w:r>
        <w:rPr>
          <w:rFonts w:ascii="Calibri" w:hAnsi="Calibri"/>
          <w:color w:val="414042"/>
          <w:spacing w:val="-14"/>
          <w:w w:val="105"/>
          <w:sz w:val="16"/>
        </w:rPr>
        <w:t> </w:t>
      </w:r>
      <w:r>
        <w:rPr>
          <w:rFonts w:ascii="Calibri" w:hAnsi="Calibri"/>
          <w:color w:val="414042"/>
          <w:w w:val="105"/>
          <w:sz w:val="16"/>
        </w:rPr>
        <w:t>y</w:t>
      </w:r>
      <w:r>
        <w:rPr>
          <w:rFonts w:ascii="Calibri" w:hAnsi="Calibri"/>
          <w:color w:val="414042"/>
          <w:spacing w:val="-12"/>
          <w:w w:val="105"/>
          <w:sz w:val="16"/>
        </w:rPr>
        <w:t> </w:t>
      </w:r>
      <w:r>
        <w:rPr>
          <w:rFonts w:ascii="Calibri" w:hAnsi="Calibri"/>
          <w:color w:val="414042"/>
          <w:w w:val="105"/>
          <w:sz w:val="16"/>
        </w:rPr>
        <w:t>sus</w:t>
      </w:r>
      <w:r>
        <w:rPr>
          <w:rFonts w:ascii="Calibri" w:hAnsi="Calibri"/>
          <w:color w:val="414042"/>
          <w:spacing w:val="-12"/>
          <w:w w:val="105"/>
          <w:sz w:val="16"/>
        </w:rPr>
        <w:t> </w:t>
      </w:r>
      <w:r>
        <w:rPr>
          <w:rFonts w:ascii="Calibri" w:hAnsi="Calibri"/>
          <w:color w:val="414042"/>
          <w:w w:val="105"/>
          <w:sz w:val="16"/>
        </w:rPr>
        <w:t>espacios</w:t>
      </w:r>
      <w:r>
        <w:rPr>
          <w:rFonts w:ascii="Calibri" w:hAnsi="Calibri"/>
          <w:color w:val="414042"/>
          <w:spacing w:val="-12"/>
          <w:w w:val="105"/>
          <w:sz w:val="16"/>
        </w:rPr>
        <w:t> </w:t>
      </w:r>
      <w:r>
        <w:rPr>
          <w:rFonts w:ascii="Calibri" w:hAnsi="Calibri"/>
          <w:color w:val="414042"/>
          <w:w w:val="105"/>
          <w:sz w:val="16"/>
        </w:rPr>
        <w:t>sociales.</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63480" from="131.551193pt,3.753715pt" to="131.551193pt,39.556114pt" stroked="true" strokeweight=".35pt" strokecolor="#231f20">
            <w10:wrap type="none"/>
          </v:line>
        </w:pict>
      </w:r>
      <w:r>
        <w:rPr/>
        <w:pict>
          <v:line style="position:absolute;mso-position-horizontal-relative:page;mso-position-vertical-relative:paragraph;z-index:-463408" from="15pt,39.555916pt" to="0pt,39.555916pt" stroked="true" strokeweight=".25pt" strokecolor="#000000">
            <w10:wrap type="none"/>
          </v:line>
        </w:pict>
      </w:r>
      <w:r>
        <w:rPr/>
        <w:pict>
          <v:line style="position:absolute;mso-position-horizontal-relative:page;mso-position-vertical-relative:paragraph;z-index:26800" from="508.890015pt,39.555916pt" to="523.890015pt,39.555916pt" stroked="true" strokeweight=".25pt" strokecolor="#000000">
            <w10:wrap type="none"/>
          </v:line>
        </w:pict>
      </w:r>
      <w:r>
        <w:rPr>
          <w:rFonts w:ascii="Arial" w:hAnsi="Arial"/>
          <w:color w:val="414042"/>
          <w:w w:val="105"/>
          <w:position w:val="-5"/>
          <w:sz w:val="20"/>
        </w:rPr>
        <w:t>216</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6824"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6848" from="15pt,-28.286539pt" to="0pt,-28.286539pt" stroked="true" strokeweight=".25pt" strokecolor="#000000">
            <w10:wrap type="none"/>
          </v:line>
        </w:pict>
      </w:r>
      <w:r>
        <w:rPr/>
        <w:pict>
          <v:line style="position:absolute;mso-position-horizontal-relative:page;mso-position-vertical-relative:paragraph;z-index:26872" from="508.890015pt,-28.286539pt" to="523.890015pt,-28.286539pt" stroked="true" strokeweight=".25pt" strokecolor="#000000">
            <w10:wrap type="none"/>
          </v:line>
        </w:pict>
      </w:r>
      <w:r>
        <w:rPr>
          <w:rFonts w:ascii="Arial"/>
          <w:color w:val="414042"/>
          <w:sz w:val="20"/>
        </w:rPr>
        <w:t>217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683"/>
      </w:pPr>
      <w:r>
        <w:rPr>
          <w:color w:val="231F20"/>
          <w:w w:val="105"/>
        </w:rPr>
        <w:t>prende el regreso; migrante forzado a retornar por razones políticas o raciales, y el migrante de retorno voluntario asociado al “fracaso”.</w:t>
      </w:r>
    </w:p>
    <w:p>
      <w:pPr>
        <w:pStyle w:val="BodyText"/>
        <w:spacing w:line="261" w:lineRule="auto" w:before="1"/>
        <w:ind w:left="1837" w:right="1721" w:firstLine="567"/>
        <w:jc w:val="both"/>
      </w:pPr>
      <w:r>
        <w:rPr>
          <w:color w:val="231F20"/>
          <w:w w:val="105"/>
        </w:rPr>
        <w:t>Esta tipología basada en el motivo del retorno incorpora la razón primordial</w:t>
      </w:r>
      <w:r>
        <w:rPr>
          <w:color w:val="231F20"/>
          <w:spacing w:val="-14"/>
          <w:w w:val="105"/>
        </w:rPr>
        <w:t> </w:t>
      </w:r>
      <w:r>
        <w:rPr>
          <w:color w:val="231F20"/>
          <w:w w:val="105"/>
        </w:rPr>
        <w:t>en</w:t>
      </w:r>
      <w:r>
        <w:rPr>
          <w:color w:val="231F20"/>
          <w:spacing w:val="-14"/>
          <w:w w:val="105"/>
        </w:rPr>
        <w:t> </w:t>
      </w:r>
      <w:r>
        <w:rPr>
          <w:color w:val="231F20"/>
          <w:w w:val="105"/>
        </w:rPr>
        <w:t>relación</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decisiones</w:t>
      </w:r>
      <w:r>
        <w:rPr>
          <w:color w:val="231F20"/>
          <w:spacing w:val="-14"/>
          <w:w w:val="105"/>
        </w:rPr>
        <w:t> </w:t>
      </w:r>
      <w:r>
        <w:rPr>
          <w:color w:val="231F20"/>
          <w:w w:val="105"/>
        </w:rPr>
        <w:t>concertadas</w:t>
      </w:r>
      <w:r>
        <w:rPr>
          <w:color w:val="231F20"/>
          <w:spacing w:val="-14"/>
          <w:w w:val="105"/>
        </w:rPr>
        <w:t> </w:t>
      </w:r>
      <w:r>
        <w:rPr>
          <w:color w:val="231F20"/>
          <w:w w:val="105"/>
        </w:rPr>
        <w:t>desde</w:t>
      </w:r>
      <w:r>
        <w:rPr>
          <w:color w:val="231F20"/>
          <w:spacing w:val="-14"/>
          <w:w w:val="105"/>
        </w:rPr>
        <w:t> </w:t>
      </w:r>
      <w:r>
        <w:rPr>
          <w:color w:val="231F20"/>
          <w:w w:val="105"/>
        </w:rPr>
        <w:t>las</w:t>
      </w:r>
      <w:r>
        <w:rPr>
          <w:color w:val="231F20"/>
          <w:spacing w:val="-14"/>
          <w:w w:val="105"/>
        </w:rPr>
        <w:t> </w:t>
      </w:r>
      <w:r>
        <w:rPr>
          <w:color w:val="231F20"/>
          <w:w w:val="105"/>
        </w:rPr>
        <w:t>conviccio- nes y las circunstancias. En cada tipo está implícito el modo en que se vive la estancia y el vínculo con el deseo o necesidad de </w:t>
      </w:r>
      <w:r>
        <w:rPr>
          <w:color w:val="231F20"/>
          <w:spacing w:val="-3"/>
          <w:w w:val="105"/>
        </w:rPr>
        <w:t>regresar. </w:t>
      </w:r>
      <w:r>
        <w:rPr>
          <w:color w:val="231F20"/>
          <w:w w:val="105"/>
        </w:rPr>
        <w:t>La temporalidad, el estatus migratorio, el momento de la vida en que se emprende</w:t>
      </w:r>
      <w:r>
        <w:rPr>
          <w:color w:val="231F20"/>
          <w:spacing w:val="-21"/>
          <w:w w:val="105"/>
        </w:rPr>
        <w:t> </w:t>
      </w:r>
      <w:r>
        <w:rPr>
          <w:color w:val="231F20"/>
          <w:w w:val="105"/>
        </w:rPr>
        <w:t>la</w:t>
      </w:r>
      <w:r>
        <w:rPr>
          <w:color w:val="231F20"/>
          <w:spacing w:val="-21"/>
          <w:w w:val="105"/>
        </w:rPr>
        <w:t> </w:t>
      </w:r>
      <w:r>
        <w:rPr>
          <w:color w:val="231F20"/>
          <w:w w:val="105"/>
        </w:rPr>
        <w:t>travesía,</w:t>
      </w:r>
      <w:r>
        <w:rPr>
          <w:color w:val="231F20"/>
          <w:spacing w:val="-25"/>
          <w:w w:val="105"/>
        </w:rPr>
        <w:t> </w:t>
      </w:r>
      <w:r>
        <w:rPr>
          <w:color w:val="231F20"/>
          <w:w w:val="105"/>
        </w:rPr>
        <w:t>los</w:t>
      </w:r>
      <w:r>
        <w:rPr>
          <w:color w:val="231F20"/>
          <w:spacing w:val="-21"/>
          <w:w w:val="105"/>
        </w:rPr>
        <w:t> </w:t>
      </w:r>
      <w:r>
        <w:rPr>
          <w:color w:val="231F20"/>
          <w:w w:val="105"/>
        </w:rPr>
        <w:t>objetivos</w:t>
      </w:r>
      <w:r>
        <w:rPr>
          <w:color w:val="231F20"/>
          <w:spacing w:val="-21"/>
          <w:w w:val="105"/>
        </w:rPr>
        <w:t> </w:t>
      </w:r>
      <w:r>
        <w:rPr>
          <w:color w:val="231F20"/>
          <w:w w:val="105"/>
        </w:rPr>
        <w:t>individuales</w:t>
      </w:r>
      <w:r>
        <w:rPr>
          <w:color w:val="231F20"/>
          <w:spacing w:val="-21"/>
          <w:w w:val="105"/>
        </w:rPr>
        <w:t> </w:t>
      </w:r>
      <w:r>
        <w:rPr>
          <w:color w:val="231F20"/>
          <w:w w:val="105"/>
        </w:rPr>
        <w:t>y</w:t>
      </w:r>
      <w:r>
        <w:rPr>
          <w:color w:val="231F20"/>
          <w:spacing w:val="-21"/>
          <w:w w:val="105"/>
        </w:rPr>
        <w:t> </w:t>
      </w:r>
      <w:r>
        <w:rPr>
          <w:color w:val="231F20"/>
          <w:w w:val="105"/>
        </w:rPr>
        <w:t>familiares,</w:t>
      </w:r>
      <w:r>
        <w:rPr>
          <w:color w:val="231F20"/>
          <w:spacing w:val="-25"/>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las circunstancias no previstas, por ejemplo, la muerte de algún familiar</w:t>
      </w:r>
      <w:r>
        <w:rPr>
          <w:color w:val="231F20"/>
          <w:spacing w:val="-25"/>
          <w:w w:val="105"/>
        </w:rPr>
        <w:t> </w:t>
      </w:r>
      <w:r>
        <w:rPr>
          <w:color w:val="231F20"/>
          <w:w w:val="105"/>
        </w:rPr>
        <w:t>de uno</w:t>
      </w:r>
      <w:r>
        <w:rPr>
          <w:color w:val="231F20"/>
          <w:spacing w:val="-4"/>
          <w:w w:val="105"/>
        </w:rPr>
        <w:t> </w:t>
      </w:r>
      <w:r>
        <w:rPr>
          <w:color w:val="231F20"/>
          <w:w w:val="105"/>
        </w:rPr>
        <w:t>u</w:t>
      </w:r>
      <w:r>
        <w:rPr>
          <w:color w:val="231F20"/>
          <w:spacing w:val="-4"/>
          <w:w w:val="105"/>
        </w:rPr>
        <w:t> </w:t>
      </w:r>
      <w:r>
        <w:rPr>
          <w:color w:val="231F20"/>
          <w:w w:val="105"/>
        </w:rPr>
        <w:t>otro</w:t>
      </w:r>
      <w:r>
        <w:rPr>
          <w:color w:val="231F20"/>
          <w:spacing w:val="-4"/>
          <w:w w:val="105"/>
        </w:rPr>
        <w:t> </w:t>
      </w:r>
      <w:r>
        <w:rPr>
          <w:color w:val="231F20"/>
          <w:w w:val="105"/>
        </w:rPr>
        <w:t>lado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frontera</w:t>
      </w:r>
      <w:r>
        <w:rPr>
          <w:color w:val="231F20"/>
          <w:spacing w:val="-4"/>
          <w:w w:val="105"/>
        </w:rPr>
        <w:t> </w:t>
      </w:r>
      <w:r>
        <w:rPr>
          <w:color w:val="231F20"/>
          <w:w w:val="105"/>
        </w:rPr>
        <w:t>son</w:t>
      </w:r>
      <w:r>
        <w:rPr>
          <w:color w:val="231F20"/>
          <w:spacing w:val="-4"/>
          <w:w w:val="105"/>
        </w:rPr>
        <w:t> </w:t>
      </w:r>
      <w:r>
        <w:rPr>
          <w:color w:val="231F20"/>
          <w:w w:val="105"/>
        </w:rPr>
        <w:t>elementos</w:t>
      </w:r>
      <w:r>
        <w:rPr>
          <w:color w:val="231F20"/>
          <w:spacing w:val="-4"/>
          <w:w w:val="105"/>
        </w:rPr>
        <w:t> </w:t>
      </w:r>
      <w:r>
        <w:rPr>
          <w:color w:val="231F20"/>
          <w:w w:val="105"/>
        </w:rPr>
        <w:t>primordiales</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configu- ración</w:t>
      </w:r>
      <w:r>
        <w:rPr>
          <w:color w:val="231F20"/>
          <w:spacing w:val="-11"/>
          <w:w w:val="105"/>
        </w:rPr>
        <w:t> </w:t>
      </w:r>
      <w:r>
        <w:rPr>
          <w:color w:val="231F20"/>
          <w:w w:val="105"/>
        </w:rPr>
        <w:t>del</w:t>
      </w:r>
      <w:r>
        <w:rPr>
          <w:color w:val="231F20"/>
          <w:spacing w:val="-11"/>
          <w:w w:val="105"/>
        </w:rPr>
        <w:t> </w:t>
      </w:r>
      <w:r>
        <w:rPr>
          <w:color w:val="231F20"/>
          <w:w w:val="105"/>
        </w:rPr>
        <w:t>retorno,</w:t>
      </w:r>
      <w:r>
        <w:rPr>
          <w:color w:val="231F20"/>
          <w:spacing w:val="-16"/>
          <w:w w:val="105"/>
        </w:rPr>
        <w:t> </w:t>
      </w:r>
      <w:r>
        <w:rPr>
          <w:color w:val="231F20"/>
          <w:w w:val="105"/>
        </w:rPr>
        <w:t>ya</w:t>
      </w:r>
      <w:r>
        <w:rPr>
          <w:color w:val="231F20"/>
          <w:spacing w:val="-11"/>
          <w:w w:val="105"/>
        </w:rPr>
        <w:t> </w:t>
      </w:r>
      <w:r>
        <w:rPr>
          <w:color w:val="231F20"/>
          <w:w w:val="105"/>
        </w:rPr>
        <w:t>sea</w:t>
      </w:r>
      <w:r>
        <w:rPr>
          <w:color w:val="231F20"/>
          <w:spacing w:val="-11"/>
          <w:w w:val="105"/>
        </w:rPr>
        <w:t> </w:t>
      </w:r>
      <w:r>
        <w:rPr>
          <w:color w:val="231F20"/>
          <w:w w:val="105"/>
        </w:rPr>
        <w:t>voluntariamente</w:t>
      </w:r>
      <w:r>
        <w:rPr>
          <w:color w:val="231F20"/>
          <w:spacing w:val="-11"/>
          <w:w w:val="105"/>
        </w:rPr>
        <w:t> </w:t>
      </w:r>
      <w:r>
        <w:rPr>
          <w:color w:val="231F20"/>
          <w:w w:val="105"/>
        </w:rPr>
        <w:t>emprendido</w:t>
      </w:r>
      <w:r>
        <w:rPr>
          <w:color w:val="231F20"/>
          <w:spacing w:val="-11"/>
          <w:w w:val="105"/>
        </w:rPr>
        <w:t> </w:t>
      </w:r>
      <w:r>
        <w:rPr>
          <w:color w:val="231F20"/>
          <w:w w:val="105"/>
        </w:rPr>
        <w:t>o</w:t>
      </w:r>
      <w:r>
        <w:rPr>
          <w:color w:val="231F20"/>
          <w:spacing w:val="-11"/>
          <w:w w:val="105"/>
        </w:rPr>
        <w:t> </w:t>
      </w:r>
      <w:r>
        <w:rPr>
          <w:color w:val="231F20"/>
          <w:w w:val="105"/>
        </w:rPr>
        <w:t>forzado.</w:t>
      </w:r>
    </w:p>
    <w:p>
      <w:pPr>
        <w:pStyle w:val="BodyText"/>
        <w:spacing w:line="261" w:lineRule="auto" w:before="1"/>
        <w:ind w:left="1837" w:right="1721" w:firstLine="567"/>
        <w:jc w:val="both"/>
      </w:pPr>
      <w:r>
        <w:rPr>
          <w:color w:val="231F20"/>
          <w:spacing w:val="-6"/>
          <w:w w:val="105"/>
        </w:rPr>
        <w:t>Por</w:t>
      </w:r>
      <w:r>
        <w:rPr>
          <w:color w:val="231F20"/>
          <w:spacing w:val="-32"/>
          <w:w w:val="105"/>
        </w:rPr>
        <w:t> </w:t>
      </w:r>
      <w:r>
        <w:rPr>
          <w:color w:val="231F20"/>
          <w:w w:val="105"/>
        </w:rPr>
        <w:t>su</w:t>
      </w:r>
      <w:r>
        <w:rPr>
          <w:color w:val="231F20"/>
          <w:spacing w:val="-32"/>
          <w:w w:val="105"/>
        </w:rPr>
        <w:t> </w:t>
      </w:r>
      <w:r>
        <w:rPr>
          <w:color w:val="231F20"/>
          <w:w w:val="105"/>
        </w:rPr>
        <w:t>parte,</w:t>
      </w:r>
      <w:r>
        <w:rPr>
          <w:color w:val="231F20"/>
          <w:spacing w:val="-36"/>
          <w:w w:val="105"/>
        </w:rPr>
        <w:t> </w:t>
      </w:r>
      <w:r>
        <w:rPr>
          <w:color w:val="231F20"/>
          <w:w w:val="105"/>
        </w:rPr>
        <w:t>Cassarino</w:t>
      </w:r>
      <w:r>
        <w:rPr>
          <w:color w:val="231F20"/>
          <w:spacing w:val="-32"/>
          <w:w w:val="105"/>
        </w:rPr>
        <w:t> </w:t>
      </w:r>
      <w:r>
        <w:rPr>
          <w:color w:val="231F20"/>
          <w:w w:val="105"/>
        </w:rPr>
        <w:t>(2008),</w:t>
      </w:r>
      <w:r>
        <w:rPr>
          <w:color w:val="231F20"/>
          <w:spacing w:val="-36"/>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contexto</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migración</w:t>
      </w:r>
      <w:r>
        <w:rPr>
          <w:color w:val="231F20"/>
          <w:spacing w:val="-32"/>
          <w:w w:val="105"/>
        </w:rPr>
        <w:t> </w:t>
      </w:r>
      <w:r>
        <w:rPr>
          <w:color w:val="231F20"/>
          <w:w w:val="105"/>
        </w:rPr>
        <w:t>africa- na</w:t>
      </w:r>
      <w:r>
        <w:rPr>
          <w:color w:val="231F20"/>
          <w:spacing w:val="-17"/>
          <w:w w:val="105"/>
        </w:rPr>
        <w:t> </w:t>
      </w:r>
      <w:r>
        <w:rPr>
          <w:color w:val="231F20"/>
          <w:w w:val="105"/>
        </w:rPr>
        <w:t>a</w:t>
      </w:r>
      <w:r>
        <w:rPr>
          <w:color w:val="231F20"/>
          <w:spacing w:val="-17"/>
          <w:w w:val="105"/>
        </w:rPr>
        <w:t> </w:t>
      </w:r>
      <w:r>
        <w:rPr>
          <w:color w:val="231F20"/>
          <w:w w:val="105"/>
        </w:rPr>
        <w:t>Europa,</w:t>
      </w:r>
      <w:r>
        <w:rPr>
          <w:color w:val="231F20"/>
          <w:spacing w:val="-23"/>
          <w:w w:val="105"/>
        </w:rPr>
        <w:t> </w:t>
      </w:r>
      <w:r>
        <w:rPr>
          <w:color w:val="231F20"/>
          <w:w w:val="105"/>
        </w:rPr>
        <w:t>señala</w:t>
      </w:r>
      <w:r>
        <w:rPr>
          <w:color w:val="231F20"/>
          <w:spacing w:val="-17"/>
          <w:w w:val="105"/>
        </w:rPr>
        <w:t> </w:t>
      </w:r>
      <w:r>
        <w:rPr>
          <w:color w:val="231F20"/>
          <w:w w:val="105"/>
        </w:rPr>
        <w:t>una</w:t>
      </w:r>
      <w:r>
        <w:rPr>
          <w:color w:val="231F20"/>
          <w:spacing w:val="-17"/>
          <w:w w:val="105"/>
        </w:rPr>
        <w:t> </w:t>
      </w:r>
      <w:r>
        <w:rPr>
          <w:color w:val="231F20"/>
          <w:w w:val="105"/>
        </w:rPr>
        <w:t>relación</w:t>
      </w:r>
      <w:r>
        <w:rPr>
          <w:color w:val="231F20"/>
          <w:spacing w:val="-17"/>
          <w:w w:val="105"/>
        </w:rPr>
        <w:t> </w:t>
      </w:r>
      <w:r>
        <w:rPr>
          <w:color w:val="231F20"/>
          <w:w w:val="105"/>
        </w:rPr>
        <w:t>entre</w:t>
      </w:r>
      <w:r>
        <w:rPr>
          <w:color w:val="231F20"/>
          <w:spacing w:val="-17"/>
          <w:w w:val="105"/>
        </w:rPr>
        <w:t> </w:t>
      </w:r>
      <w:r>
        <w:rPr>
          <w:color w:val="231F20"/>
          <w:w w:val="105"/>
        </w:rPr>
        <w:t>la</w:t>
      </w:r>
      <w:r>
        <w:rPr>
          <w:color w:val="231F20"/>
          <w:spacing w:val="-17"/>
          <w:w w:val="105"/>
        </w:rPr>
        <w:t> </w:t>
      </w:r>
      <w:r>
        <w:rPr>
          <w:color w:val="231F20"/>
          <w:w w:val="105"/>
        </w:rPr>
        <w:t>gestión</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impacto</w:t>
      </w:r>
      <w:r>
        <w:rPr>
          <w:color w:val="231F20"/>
          <w:spacing w:val="-17"/>
          <w:w w:val="105"/>
        </w:rPr>
        <w:t> </w:t>
      </w:r>
      <w:r>
        <w:rPr>
          <w:color w:val="231F20"/>
          <w:w w:val="105"/>
        </w:rPr>
        <w:t>del</w:t>
      </w:r>
      <w:r>
        <w:rPr>
          <w:color w:val="231F20"/>
          <w:spacing w:val="-17"/>
          <w:w w:val="105"/>
        </w:rPr>
        <w:t> </w:t>
      </w:r>
      <w:r>
        <w:rPr>
          <w:color w:val="231F20"/>
          <w:w w:val="105"/>
        </w:rPr>
        <w:t>retorno en</w:t>
      </w:r>
      <w:r>
        <w:rPr>
          <w:color w:val="231F20"/>
          <w:spacing w:val="-17"/>
          <w:w w:val="105"/>
        </w:rPr>
        <w:t> </w:t>
      </w:r>
      <w:r>
        <w:rPr>
          <w:color w:val="231F20"/>
          <w:w w:val="105"/>
        </w:rPr>
        <w:t>el</w:t>
      </w:r>
      <w:r>
        <w:rPr>
          <w:color w:val="231F20"/>
          <w:spacing w:val="-17"/>
          <w:w w:val="105"/>
        </w:rPr>
        <w:t> </w:t>
      </w:r>
      <w:r>
        <w:rPr>
          <w:color w:val="231F20"/>
          <w:w w:val="105"/>
        </w:rPr>
        <w:t>desarrollo</w:t>
      </w:r>
      <w:r>
        <w:rPr>
          <w:color w:val="231F20"/>
          <w:spacing w:val="-17"/>
          <w:w w:val="105"/>
        </w:rPr>
        <w:t> </w:t>
      </w:r>
      <w:r>
        <w:rPr>
          <w:color w:val="231F20"/>
          <w:w w:val="105"/>
        </w:rPr>
        <w:t>del</w:t>
      </w:r>
      <w:r>
        <w:rPr>
          <w:color w:val="231F20"/>
          <w:spacing w:val="-17"/>
          <w:w w:val="105"/>
        </w:rPr>
        <w:t> </w:t>
      </w:r>
      <w:r>
        <w:rPr>
          <w:color w:val="231F20"/>
          <w:w w:val="105"/>
        </w:rPr>
        <w:t>lugar</w:t>
      </w:r>
      <w:r>
        <w:rPr>
          <w:color w:val="231F20"/>
          <w:spacing w:val="-17"/>
          <w:w w:val="105"/>
        </w:rPr>
        <w:t> </w:t>
      </w:r>
      <w:r>
        <w:rPr>
          <w:color w:val="231F20"/>
          <w:w w:val="105"/>
        </w:rPr>
        <w:t>de</w:t>
      </w:r>
      <w:r>
        <w:rPr>
          <w:color w:val="231F20"/>
          <w:spacing w:val="-17"/>
          <w:w w:val="105"/>
        </w:rPr>
        <w:t> </w:t>
      </w:r>
      <w:r>
        <w:rPr>
          <w:color w:val="231F20"/>
          <w:w w:val="105"/>
        </w:rPr>
        <w:t>origen.</w:t>
      </w:r>
      <w:r>
        <w:rPr>
          <w:color w:val="231F20"/>
          <w:spacing w:val="-22"/>
          <w:w w:val="105"/>
        </w:rPr>
        <w:t> </w:t>
      </w:r>
      <w:r>
        <w:rPr>
          <w:color w:val="231F20"/>
          <w:w w:val="105"/>
        </w:rPr>
        <w:t>Subraya</w:t>
      </w:r>
      <w:r>
        <w:rPr>
          <w:color w:val="231F20"/>
          <w:spacing w:val="-17"/>
          <w:w w:val="105"/>
        </w:rPr>
        <w:t> </w:t>
      </w:r>
      <w:r>
        <w:rPr>
          <w:color w:val="231F20"/>
          <w:w w:val="105"/>
        </w:rPr>
        <w:t>la</w:t>
      </w:r>
      <w:r>
        <w:rPr>
          <w:color w:val="231F20"/>
          <w:spacing w:val="-17"/>
          <w:w w:val="105"/>
        </w:rPr>
        <w:t> </w:t>
      </w:r>
      <w:r>
        <w:rPr>
          <w:color w:val="231F20"/>
          <w:w w:val="105"/>
        </w:rPr>
        <w:t>necesidad</w:t>
      </w:r>
      <w:r>
        <w:rPr>
          <w:color w:val="231F20"/>
          <w:spacing w:val="-17"/>
          <w:w w:val="105"/>
        </w:rPr>
        <w:t> </w:t>
      </w:r>
      <w:r>
        <w:rPr>
          <w:color w:val="231F20"/>
          <w:w w:val="105"/>
        </w:rPr>
        <w:t>de</w:t>
      </w:r>
      <w:r>
        <w:rPr>
          <w:color w:val="231F20"/>
          <w:spacing w:val="-17"/>
          <w:w w:val="105"/>
        </w:rPr>
        <w:t> </w:t>
      </w:r>
      <w:r>
        <w:rPr>
          <w:color w:val="231F20"/>
          <w:w w:val="105"/>
        </w:rPr>
        <w:t>conocer</w:t>
      </w:r>
      <w:r>
        <w:rPr>
          <w:color w:val="231F20"/>
          <w:spacing w:val="-17"/>
          <w:w w:val="105"/>
        </w:rPr>
        <w:t> </w:t>
      </w:r>
      <w:r>
        <w:rPr>
          <w:color w:val="231F20"/>
          <w:w w:val="105"/>
        </w:rPr>
        <w:t>las condiciones previas y posteriores que dan forma a las múltiples pautas de</w:t>
      </w:r>
      <w:r>
        <w:rPr>
          <w:color w:val="231F20"/>
          <w:spacing w:val="-12"/>
          <w:w w:val="105"/>
        </w:rPr>
        <w:t> </w:t>
      </w:r>
      <w:r>
        <w:rPr>
          <w:color w:val="231F20"/>
          <w:w w:val="105"/>
        </w:rPr>
        <w:t>reintegración.</w:t>
      </w:r>
      <w:r>
        <w:rPr>
          <w:color w:val="231F20"/>
          <w:spacing w:val="-17"/>
          <w:w w:val="105"/>
        </w:rPr>
        <w:t> </w:t>
      </w:r>
      <w:r>
        <w:rPr>
          <w:color w:val="231F20"/>
          <w:w w:val="105"/>
        </w:rPr>
        <w:t>La</w:t>
      </w:r>
      <w:r>
        <w:rPr>
          <w:color w:val="231F20"/>
          <w:spacing w:val="-12"/>
          <w:w w:val="105"/>
        </w:rPr>
        <w:t> </w:t>
      </w:r>
      <w:r>
        <w:rPr>
          <w:color w:val="231F20"/>
          <w:w w:val="105"/>
        </w:rPr>
        <w:t>decisión</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disposición</w:t>
      </w:r>
      <w:r>
        <w:rPr>
          <w:color w:val="231F20"/>
          <w:spacing w:val="-12"/>
          <w:w w:val="105"/>
        </w:rPr>
        <w:t> </w:t>
      </w:r>
      <w:r>
        <w:rPr>
          <w:color w:val="231F20"/>
          <w:w w:val="105"/>
        </w:rPr>
        <w:t>de</w:t>
      </w:r>
      <w:r>
        <w:rPr>
          <w:color w:val="231F20"/>
          <w:spacing w:val="-12"/>
          <w:w w:val="105"/>
        </w:rPr>
        <w:t> </w:t>
      </w:r>
      <w:r>
        <w:rPr>
          <w:color w:val="231F20"/>
          <w:w w:val="105"/>
        </w:rPr>
        <w:t>retornar</w:t>
      </w:r>
      <w:r>
        <w:rPr>
          <w:color w:val="231F20"/>
          <w:spacing w:val="-12"/>
          <w:w w:val="105"/>
        </w:rPr>
        <w:t> </w:t>
      </w:r>
      <w:r>
        <w:rPr>
          <w:color w:val="231F20"/>
          <w:w w:val="105"/>
        </w:rPr>
        <w:t>son</w:t>
      </w:r>
      <w:r>
        <w:rPr>
          <w:color w:val="231F20"/>
          <w:spacing w:val="-12"/>
          <w:w w:val="105"/>
        </w:rPr>
        <w:t> </w:t>
      </w:r>
      <w:r>
        <w:rPr>
          <w:color w:val="231F20"/>
          <w:w w:val="105"/>
        </w:rPr>
        <w:t>fundamen- tales en el marco de políticas de retorno asistido, mismo que no puede clasificarse</w:t>
      </w:r>
      <w:r>
        <w:rPr>
          <w:color w:val="231F20"/>
          <w:spacing w:val="-21"/>
          <w:w w:val="105"/>
        </w:rPr>
        <w:t> </w:t>
      </w:r>
      <w:r>
        <w:rPr>
          <w:color w:val="231F20"/>
          <w:w w:val="105"/>
        </w:rPr>
        <w:t>como</w:t>
      </w:r>
      <w:r>
        <w:rPr>
          <w:color w:val="231F20"/>
          <w:spacing w:val="-21"/>
          <w:w w:val="105"/>
        </w:rPr>
        <w:t> </w:t>
      </w:r>
      <w:r>
        <w:rPr>
          <w:color w:val="231F20"/>
          <w:w w:val="105"/>
        </w:rPr>
        <w:t>voluntario.</w:t>
      </w:r>
      <w:r>
        <w:rPr>
          <w:color w:val="231F20"/>
          <w:spacing w:val="-26"/>
          <w:w w:val="105"/>
        </w:rPr>
        <w:t> </w:t>
      </w:r>
      <w:r>
        <w:rPr>
          <w:color w:val="231F20"/>
          <w:w w:val="105"/>
        </w:rPr>
        <w:t>Los</w:t>
      </w:r>
      <w:r>
        <w:rPr>
          <w:color w:val="231F20"/>
          <w:spacing w:val="-21"/>
          <w:w w:val="105"/>
        </w:rPr>
        <w:t> </w:t>
      </w:r>
      <w:r>
        <w:rPr>
          <w:color w:val="231F20"/>
          <w:w w:val="105"/>
        </w:rPr>
        <w:t>estudios</w:t>
      </w:r>
      <w:r>
        <w:rPr>
          <w:color w:val="231F20"/>
          <w:spacing w:val="-21"/>
          <w:w w:val="105"/>
        </w:rPr>
        <w:t> </w:t>
      </w:r>
      <w:r>
        <w:rPr>
          <w:color w:val="231F20"/>
          <w:w w:val="105"/>
        </w:rPr>
        <w:t>que</w:t>
      </w:r>
      <w:r>
        <w:rPr>
          <w:color w:val="231F20"/>
          <w:spacing w:val="-21"/>
          <w:w w:val="105"/>
        </w:rPr>
        <w:t> </w:t>
      </w:r>
      <w:r>
        <w:rPr>
          <w:color w:val="231F20"/>
          <w:w w:val="105"/>
        </w:rPr>
        <w:t>realiza</w:t>
      </w:r>
      <w:r>
        <w:rPr>
          <w:color w:val="231F20"/>
          <w:spacing w:val="-21"/>
          <w:w w:val="105"/>
        </w:rPr>
        <w:t> </w:t>
      </w:r>
      <w:r>
        <w:rPr>
          <w:color w:val="231F20"/>
          <w:w w:val="105"/>
        </w:rPr>
        <w:t>contrastan</w:t>
      </w:r>
      <w:r>
        <w:rPr>
          <w:color w:val="231F20"/>
          <w:spacing w:val="-21"/>
          <w:w w:val="105"/>
        </w:rPr>
        <w:t> </w:t>
      </w:r>
      <w:r>
        <w:rPr>
          <w:color w:val="231F20"/>
          <w:w w:val="105"/>
        </w:rPr>
        <w:t>el</w:t>
      </w:r>
      <w:r>
        <w:rPr>
          <w:color w:val="231F20"/>
          <w:spacing w:val="-21"/>
          <w:w w:val="105"/>
        </w:rPr>
        <w:t> </w:t>
      </w:r>
      <w:r>
        <w:rPr>
          <w:color w:val="231F20"/>
          <w:w w:val="105"/>
        </w:rPr>
        <w:t>retor- no</w:t>
      </w:r>
      <w:r>
        <w:rPr>
          <w:color w:val="231F20"/>
          <w:spacing w:val="-8"/>
          <w:w w:val="105"/>
        </w:rPr>
        <w:t> </w:t>
      </w:r>
      <w:r>
        <w:rPr>
          <w:color w:val="231F20"/>
          <w:w w:val="105"/>
        </w:rPr>
        <w:t>voluntario</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retorno</w:t>
      </w:r>
      <w:r>
        <w:rPr>
          <w:color w:val="231F20"/>
          <w:spacing w:val="-8"/>
          <w:w w:val="105"/>
        </w:rPr>
        <w:t> </w:t>
      </w:r>
      <w:r>
        <w:rPr>
          <w:color w:val="231F20"/>
          <w:w w:val="105"/>
        </w:rPr>
        <w:t>decidido</w:t>
      </w:r>
      <w:r>
        <w:rPr>
          <w:color w:val="231F20"/>
          <w:spacing w:val="-8"/>
          <w:w w:val="105"/>
        </w:rPr>
        <w:t> </w:t>
      </w:r>
      <w:r>
        <w:rPr>
          <w:color w:val="231F20"/>
          <w:w w:val="105"/>
        </w:rPr>
        <w:t>o</w:t>
      </w:r>
      <w:r>
        <w:rPr>
          <w:color w:val="231F20"/>
          <w:spacing w:val="-8"/>
          <w:w w:val="105"/>
        </w:rPr>
        <w:t> </w:t>
      </w:r>
      <w:r>
        <w:rPr>
          <w:color w:val="231F20"/>
          <w:w w:val="105"/>
        </w:rPr>
        <w:t>elegido.</w:t>
      </w:r>
      <w:r>
        <w:rPr>
          <w:color w:val="231F20"/>
          <w:spacing w:val="-14"/>
          <w:w w:val="105"/>
        </w:rPr>
        <w:t> </w:t>
      </w:r>
      <w:r>
        <w:rPr>
          <w:color w:val="231F20"/>
          <w:w w:val="105"/>
        </w:rPr>
        <w:t>La</w:t>
      </w:r>
      <w:r>
        <w:rPr>
          <w:color w:val="231F20"/>
          <w:spacing w:val="-8"/>
          <w:w w:val="105"/>
        </w:rPr>
        <w:t> </w:t>
      </w:r>
      <w:r>
        <w:rPr>
          <w:color w:val="231F20"/>
          <w:w w:val="105"/>
        </w:rPr>
        <w:t>reintegración,</w:t>
      </w:r>
      <w:r>
        <w:rPr>
          <w:color w:val="231F20"/>
          <w:spacing w:val="-14"/>
          <w:w w:val="105"/>
        </w:rPr>
        <w:t> </w:t>
      </w:r>
      <w:r>
        <w:rPr>
          <w:color w:val="231F20"/>
          <w:w w:val="105"/>
        </w:rPr>
        <w:t>asegu- ra,</w:t>
      </w:r>
      <w:r>
        <w:rPr>
          <w:color w:val="231F20"/>
          <w:spacing w:val="-20"/>
          <w:w w:val="105"/>
        </w:rPr>
        <w:t> </w:t>
      </w:r>
      <w:r>
        <w:rPr>
          <w:color w:val="231F20"/>
          <w:w w:val="105"/>
        </w:rPr>
        <w:t>se</w:t>
      </w:r>
      <w:r>
        <w:rPr>
          <w:color w:val="231F20"/>
          <w:spacing w:val="-14"/>
          <w:w w:val="105"/>
        </w:rPr>
        <w:t> </w:t>
      </w:r>
      <w:r>
        <w:rPr>
          <w:color w:val="231F20"/>
          <w:w w:val="105"/>
        </w:rPr>
        <w:t>funda</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diferencias</w:t>
      </w:r>
      <w:r>
        <w:rPr>
          <w:color w:val="231F20"/>
          <w:spacing w:val="-14"/>
          <w:w w:val="105"/>
        </w:rPr>
        <w:t> </w:t>
      </w:r>
      <w:r>
        <w:rPr>
          <w:color w:val="231F20"/>
          <w:w w:val="105"/>
        </w:rPr>
        <w:t>establecidas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edad,</w:t>
      </w:r>
      <w:r>
        <w:rPr>
          <w:color w:val="231F20"/>
          <w:spacing w:val="-20"/>
          <w:w w:val="105"/>
        </w:rPr>
        <w:t> </w:t>
      </w:r>
      <w:r>
        <w:rPr>
          <w:color w:val="231F20"/>
          <w:w w:val="105"/>
        </w:rPr>
        <w:t>el</w:t>
      </w:r>
      <w:r>
        <w:rPr>
          <w:color w:val="231F20"/>
          <w:spacing w:val="-14"/>
          <w:w w:val="105"/>
        </w:rPr>
        <w:t> </w:t>
      </w:r>
      <w:r>
        <w:rPr>
          <w:color w:val="231F20"/>
          <w:w w:val="105"/>
        </w:rPr>
        <w:t>estado</w:t>
      </w:r>
      <w:r>
        <w:rPr>
          <w:color w:val="231F20"/>
          <w:spacing w:val="-14"/>
          <w:w w:val="105"/>
        </w:rPr>
        <w:t> </w:t>
      </w:r>
      <w:r>
        <w:rPr>
          <w:color w:val="231F20"/>
          <w:w w:val="105"/>
        </w:rPr>
        <w:t>civil,</w:t>
      </w:r>
      <w:r>
        <w:rPr>
          <w:color w:val="231F20"/>
          <w:spacing w:val="-20"/>
          <w:w w:val="105"/>
        </w:rPr>
        <w:t> </w:t>
      </w:r>
      <w:r>
        <w:rPr>
          <w:color w:val="231F20"/>
          <w:w w:val="105"/>
        </w:rPr>
        <w:t>el nivel</w:t>
      </w:r>
      <w:r>
        <w:rPr>
          <w:color w:val="231F20"/>
          <w:spacing w:val="-20"/>
          <w:w w:val="105"/>
        </w:rPr>
        <w:t> </w:t>
      </w:r>
      <w:r>
        <w:rPr>
          <w:color w:val="231F20"/>
          <w:w w:val="105"/>
        </w:rPr>
        <w:t>escolar</w:t>
      </w:r>
      <w:r>
        <w:rPr>
          <w:color w:val="231F20"/>
          <w:spacing w:val="-20"/>
          <w:w w:val="105"/>
        </w:rPr>
        <w:t> </w:t>
      </w:r>
      <w:r>
        <w:rPr>
          <w:color w:val="231F20"/>
          <w:w w:val="105"/>
        </w:rPr>
        <w:t>antes</w:t>
      </w:r>
      <w:r>
        <w:rPr>
          <w:color w:val="231F20"/>
          <w:spacing w:val="-20"/>
          <w:w w:val="105"/>
        </w:rPr>
        <w:t> </w:t>
      </w:r>
      <w:r>
        <w:rPr>
          <w:color w:val="231F20"/>
          <w:w w:val="105"/>
        </w:rPr>
        <w:t>de</w:t>
      </w:r>
      <w:r>
        <w:rPr>
          <w:color w:val="231F20"/>
          <w:spacing w:val="-20"/>
          <w:w w:val="105"/>
        </w:rPr>
        <w:t> </w:t>
      </w:r>
      <w:r>
        <w:rPr>
          <w:color w:val="231F20"/>
          <w:w w:val="105"/>
        </w:rPr>
        <w:t>migrar,</w:t>
      </w:r>
      <w:r>
        <w:rPr>
          <w:color w:val="231F20"/>
          <w:spacing w:val="-25"/>
          <w:w w:val="105"/>
        </w:rPr>
        <w:t> </w:t>
      </w:r>
      <w:r>
        <w:rPr>
          <w:color w:val="231F20"/>
          <w:w w:val="105"/>
        </w:rPr>
        <w:t>la</w:t>
      </w:r>
      <w:r>
        <w:rPr>
          <w:color w:val="231F20"/>
          <w:spacing w:val="-20"/>
          <w:w w:val="105"/>
        </w:rPr>
        <w:t> </w:t>
      </w:r>
      <w:r>
        <w:rPr>
          <w:color w:val="231F20"/>
          <w:w w:val="105"/>
        </w:rPr>
        <w:t>duración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estancia</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extranjero</w:t>
      </w:r>
      <w:r>
        <w:rPr>
          <w:color w:val="231F20"/>
          <w:spacing w:val="-20"/>
          <w:w w:val="105"/>
        </w:rPr>
        <w:t> </w:t>
      </w:r>
      <w:r>
        <w:rPr>
          <w:color w:val="231F20"/>
          <w:w w:val="105"/>
        </w:rPr>
        <w:t>y la</w:t>
      </w:r>
      <w:r>
        <w:rPr>
          <w:color w:val="231F20"/>
          <w:spacing w:val="-10"/>
          <w:w w:val="105"/>
        </w:rPr>
        <w:t> </w:t>
      </w:r>
      <w:r>
        <w:rPr>
          <w:color w:val="231F20"/>
          <w:w w:val="105"/>
        </w:rPr>
        <w:t>ocupación</w:t>
      </w:r>
      <w:r>
        <w:rPr>
          <w:color w:val="231F20"/>
          <w:spacing w:val="-10"/>
          <w:w w:val="105"/>
        </w:rPr>
        <w:t> </w:t>
      </w:r>
      <w:r>
        <w:rPr>
          <w:color w:val="231F20"/>
          <w:w w:val="105"/>
        </w:rPr>
        <w:t>laboral,</w:t>
      </w:r>
      <w:r>
        <w:rPr>
          <w:color w:val="231F20"/>
          <w:spacing w:val="-16"/>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la</w:t>
      </w:r>
      <w:r>
        <w:rPr>
          <w:color w:val="231F20"/>
          <w:spacing w:val="-10"/>
          <w:w w:val="105"/>
        </w:rPr>
        <w:t> </w:t>
      </w:r>
      <w:r>
        <w:rPr>
          <w:color w:val="231F20"/>
          <w:w w:val="105"/>
        </w:rPr>
        <w:t>preparación</w:t>
      </w:r>
      <w:r>
        <w:rPr>
          <w:color w:val="231F20"/>
          <w:spacing w:val="-10"/>
          <w:w w:val="105"/>
        </w:rPr>
        <w:t> </w:t>
      </w:r>
      <w:r>
        <w:rPr>
          <w:color w:val="231F20"/>
          <w:w w:val="105"/>
        </w:rPr>
        <w:t>del</w:t>
      </w:r>
      <w:r>
        <w:rPr>
          <w:color w:val="231F20"/>
          <w:spacing w:val="-10"/>
          <w:w w:val="105"/>
        </w:rPr>
        <w:t> </w:t>
      </w:r>
      <w:r>
        <w:rPr>
          <w:color w:val="231F20"/>
          <w:w w:val="105"/>
        </w:rPr>
        <w:t>retorno.</w:t>
      </w:r>
    </w:p>
    <w:p>
      <w:pPr>
        <w:pStyle w:val="BodyText"/>
        <w:spacing w:line="261" w:lineRule="auto" w:before="1"/>
        <w:ind w:left="1837" w:right="1721" w:firstLine="567"/>
        <w:jc w:val="both"/>
      </w:pPr>
      <w:r>
        <w:rPr>
          <w:color w:val="231F20"/>
          <w:w w:val="105"/>
        </w:rPr>
        <w:t>Ambas</w:t>
      </w:r>
      <w:r>
        <w:rPr>
          <w:color w:val="231F20"/>
          <w:spacing w:val="-12"/>
          <w:w w:val="105"/>
        </w:rPr>
        <w:t> </w:t>
      </w:r>
      <w:r>
        <w:rPr>
          <w:color w:val="231F20"/>
          <w:w w:val="105"/>
        </w:rPr>
        <w:t>posturas</w:t>
      </w:r>
      <w:r>
        <w:rPr>
          <w:color w:val="231F20"/>
          <w:spacing w:val="-12"/>
          <w:w w:val="105"/>
        </w:rPr>
        <w:t> </w:t>
      </w:r>
      <w:r>
        <w:rPr>
          <w:color w:val="231F20"/>
          <w:w w:val="105"/>
        </w:rPr>
        <w:t>muestran</w:t>
      </w:r>
      <w:r>
        <w:rPr>
          <w:color w:val="231F20"/>
          <w:spacing w:val="-12"/>
          <w:w w:val="105"/>
        </w:rPr>
        <w:t> </w:t>
      </w:r>
      <w:r>
        <w:rPr>
          <w:color w:val="231F20"/>
          <w:w w:val="105"/>
        </w:rPr>
        <w:t>la</w:t>
      </w:r>
      <w:r>
        <w:rPr>
          <w:color w:val="231F20"/>
          <w:spacing w:val="-12"/>
          <w:w w:val="105"/>
        </w:rPr>
        <w:t> </w:t>
      </w:r>
      <w:r>
        <w:rPr>
          <w:color w:val="231F20"/>
          <w:w w:val="105"/>
        </w:rPr>
        <w:t>centralidad</w:t>
      </w:r>
      <w:r>
        <w:rPr>
          <w:color w:val="231F20"/>
          <w:spacing w:val="-12"/>
          <w:w w:val="105"/>
        </w:rPr>
        <w:t> </w:t>
      </w:r>
      <w:r>
        <w:rPr>
          <w:color w:val="231F20"/>
          <w:w w:val="105"/>
        </w:rPr>
        <w:t>del</w:t>
      </w:r>
      <w:r>
        <w:rPr>
          <w:color w:val="231F20"/>
          <w:spacing w:val="-12"/>
          <w:w w:val="105"/>
        </w:rPr>
        <w:t> </w:t>
      </w:r>
      <w:r>
        <w:rPr>
          <w:color w:val="231F20"/>
          <w:w w:val="105"/>
        </w:rPr>
        <w:t>motivo</w:t>
      </w:r>
      <w:r>
        <w:rPr>
          <w:color w:val="231F20"/>
          <w:spacing w:val="-12"/>
          <w:w w:val="105"/>
        </w:rPr>
        <w:t> </w:t>
      </w:r>
      <w:r>
        <w:rPr>
          <w:color w:val="231F20"/>
          <w:w w:val="105"/>
        </w:rPr>
        <w:t>de</w:t>
      </w:r>
      <w:r>
        <w:rPr>
          <w:color w:val="231F20"/>
          <w:spacing w:val="-12"/>
          <w:w w:val="105"/>
        </w:rPr>
        <w:t> </w:t>
      </w:r>
      <w:r>
        <w:rPr>
          <w:color w:val="231F20"/>
          <w:w w:val="105"/>
        </w:rPr>
        <w:t>retorno</w:t>
      </w:r>
      <w:r>
        <w:rPr>
          <w:color w:val="231F20"/>
          <w:spacing w:val="-12"/>
          <w:w w:val="105"/>
        </w:rPr>
        <w:t> </w:t>
      </w:r>
      <w:r>
        <w:rPr>
          <w:color w:val="231F20"/>
          <w:w w:val="105"/>
        </w:rPr>
        <w:t>y</w:t>
      </w:r>
      <w:r>
        <w:rPr>
          <w:color w:val="231F20"/>
          <w:spacing w:val="-12"/>
          <w:w w:val="105"/>
        </w:rPr>
        <w:t> </w:t>
      </w:r>
      <w:r>
        <w:rPr>
          <w:color w:val="231F20"/>
          <w:w w:val="105"/>
        </w:rPr>
        <w:t>el conjunto de elementos que influyen en el regreso, problematizando no sólo el deseo de volver, sino de contar con las condiciones reales para hacerlo </w:t>
      </w:r>
      <w:r>
        <w:rPr>
          <w:color w:val="231F20"/>
          <w:spacing w:val="-4"/>
          <w:w w:val="105"/>
        </w:rPr>
        <w:t>y, </w:t>
      </w:r>
      <w:r>
        <w:rPr>
          <w:color w:val="231F20"/>
          <w:w w:val="105"/>
        </w:rPr>
        <w:t>de no tenerlas, de qué manera gestionarlas. La</w:t>
      </w:r>
      <w:r>
        <w:rPr>
          <w:color w:val="231F20"/>
          <w:spacing w:val="-30"/>
          <w:w w:val="105"/>
        </w:rPr>
        <w:t> </w:t>
      </w:r>
      <w:r>
        <w:rPr>
          <w:color w:val="231F20"/>
          <w:w w:val="105"/>
        </w:rPr>
        <w:t>recuperación de</w:t>
      </w:r>
      <w:r>
        <w:rPr>
          <w:color w:val="231F20"/>
          <w:spacing w:val="-8"/>
          <w:w w:val="105"/>
        </w:rPr>
        <w:t> </w:t>
      </w:r>
      <w:r>
        <w:rPr>
          <w:color w:val="231F20"/>
          <w:w w:val="105"/>
        </w:rPr>
        <w:t>los</w:t>
      </w:r>
      <w:r>
        <w:rPr>
          <w:color w:val="231F20"/>
          <w:spacing w:val="-8"/>
          <w:w w:val="105"/>
        </w:rPr>
        <w:t> </w:t>
      </w:r>
      <w:r>
        <w:rPr>
          <w:color w:val="231F20"/>
          <w:w w:val="105"/>
        </w:rPr>
        <w:t>motivos</w:t>
      </w:r>
      <w:r>
        <w:rPr>
          <w:color w:val="231F20"/>
          <w:spacing w:val="-8"/>
          <w:w w:val="105"/>
        </w:rPr>
        <w:t> </w:t>
      </w:r>
      <w:r>
        <w:rPr>
          <w:color w:val="231F20"/>
          <w:w w:val="105"/>
        </w:rPr>
        <w:t>y</w:t>
      </w:r>
      <w:r>
        <w:rPr>
          <w:color w:val="231F20"/>
          <w:spacing w:val="-8"/>
          <w:w w:val="105"/>
        </w:rPr>
        <w:t> </w:t>
      </w:r>
      <w:r>
        <w:rPr>
          <w:color w:val="231F20"/>
          <w:w w:val="105"/>
        </w:rPr>
        <w:t>circunstancias</w:t>
      </w:r>
      <w:r>
        <w:rPr>
          <w:color w:val="231F20"/>
          <w:spacing w:val="-8"/>
          <w:w w:val="105"/>
        </w:rPr>
        <w:t> </w:t>
      </w:r>
      <w:r>
        <w:rPr>
          <w:color w:val="231F20"/>
          <w:w w:val="105"/>
        </w:rPr>
        <w:t>que</w:t>
      </w:r>
      <w:r>
        <w:rPr>
          <w:color w:val="231F20"/>
          <w:spacing w:val="-8"/>
          <w:w w:val="105"/>
        </w:rPr>
        <w:t> </w:t>
      </w:r>
      <w:r>
        <w:rPr>
          <w:color w:val="231F20"/>
          <w:w w:val="105"/>
        </w:rPr>
        <w:t>alientan</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migrantes</w:t>
      </w:r>
      <w:r>
        <w:rPr>
          <w:color w:val="231F20"/>
          <w:spacing w:val="-8"/>
          <w:w w:val="105"/>
        </w:rPr>
        <w:t> </w:t>
      </w:r>
      <w:r>
        <w:rPr>
          <w:color w:val="231F20"/>
          <w:w w:val="105"/>
        </w:rPr>
        <w:t>para</w:t>
      </w:r>
      <w:r>
        <w:rPr>
          <w:color w:val="231F20"/>
          <w:spacing w:val="-8"/>
          <w:w w:val="105"/>
        </w:rPr>
        <w:t> </w:t>
      </w:r>
      <w:r>
        <w:rPr>
          <w:color w:val="231F20"/>
          <w:w w:val="105"/>
        </w:rPr>
        <w:t>volver a</w:t>
      </w:r>
      <w:r>
        <w:rPr>
          <w:color w:val="231F20"/>
          <w:spacing w:val="-5"/>
          <w:w w:val="105"/>
        </w:rPr>
        <w:t> </w:t>
      </w:r>
      <w:r>
        <w:rPr>
          <w:color w:val="231F20"/>
          <w:w w:val="105"/>
        </w:rPr>
        <w:t>casa,</w:t>
      </w:r>
      <w:r>
        <w:rPr>
          <w:color w:val="231F20"/>
          <w:spacing w:val="-10"/>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la</w:t>
      </w:r>
      <w:r>
        <w:rPr>
          <w:color w:val="231F20"/>
          <w:spacing w:val="-5"/>
          <w:w w:val="105"/>
        </w:rPr>
        <w:t> </w:t>
      </w:r>
      <w:r>
        <w:rPr>
          <w:color w:val="231F20"/>
          <w:w w:val="105"/>
        </w:rPr>
        <w:t>necesidad</w:t>
      </w:r>
      <w:r>
        <w:rPr>
          <w:color w:val="231F20"/>
          <w:spacing w:val="-5"/>
          <w:w w:val="105"/>
        </w:rPr>
        <w:t> </w:t>
      </w:r>
      <w:r>
        <w:rPr>
          <w:color w:val="231F20"/>
          <w:w w:val="105"/>
        </w:rPr>
        <w:t>de</w:t>
      </w:r>
      <w:r>
        <w:rPr>
          <w:color w:val="231F20"/>
          <w:spacing w:val="-5"/>
          <w:w w:val="105"/>
        </w:rPr>
        <w:t> </w:t>
      </w:r>
      <w:r>
        <w:rPr>
          <w:color w:val="231F20"/>
          <w:w w:val="105"/>
        </w:rPr>
        <w:t>conocer</w:t>
      </w:r>
      <w:r>
        <w:rPr>
          <w:color w:val="231F20"/>
          <w:spacing w:val="-5"/>
          <w:w w:val="105"/>
        </w:rPr>
        <w:t> </w:t>
      </w:r>
      <w:r>
        <w:rPr>
          <w:color w:val="231F20"/>
          <w:w w:val="105"/>
        </w:rPr>
        <w:t>los</w:t>
      </w:r>
      <w:r>
        <w:rPr>
          <w:color w:val="231F20"/>
          <w:spacing w:val="-5"/>
          <w:w w:val="105"/>
        </w:rPr>
        <w:t> </w:t>
      </w:r>
      <w:r>
        <w:rPr>
          <w:color w:val="231F20"/>
          <w:w w:val="105"/>
        </w:rPr>
        <w:t>múltiples</w:t>
      </w:r>
      <w:r>
        <w:rPr>
          <w:color w:val="231F20"/>
          <w:spacing w:val="-5"/>
          <w:w w:val="105"/>
        </w:rPr>
        <w:t> </w:t>
      </w:r>
      <w:r>
        <w:rPr>
          <w:color w:val="231F20"/>
          <w:w w:val="105"/>
        </w:rPr>
        <w:t>de</w:t>
      </w:r>
      <w:r>
        <w:rPr>
          <w:color w:val="231F20"/>
          <w:spacing w:val="-5"/>
          <w:w w:val="105"/>
        </w:rPr>
        <w:t> </w:t>
      </w:r>
      <w:r>
        <w:rPr>
          <w:color w:val="231F20"/>
          <w:w w:val="105"/>
        </w:rPr>
        <w:t>mecanismos de</w:t>
      </w:r>
      <w:r>
        <w:rPr>
          <w:color w:val="231F20"/>
          <w:spacing w:val="-16"/>
          <w:w w:val="105"/>
        </w:rPr>
        <w:t> </w:t>
      </w:r>
      <w:r>
        <w:rPr>
          <w:color w:val="231F20"/>
          <w:w w:val="105"/>
        </w:rPr>
        <w:t>reincorporación</w:t>
      </w:r>
      <w:r>
        <w:rPr>
          <w:color w:val="231F20"/>
          <w:spacing w:val="-16"/>
          <w:w w:val="105"/>
        </w:rPr>
        <w:t> </w:t>
      </w:r>
      <w:r>
        <w:rPr>
          <w:color w:val="231F20"/>
          <w:w w:val="105"/>
        </w:rPr>
        <w:t>y</w:t>
      </w:r>
      <w:r>
        <w:rPr>
          <w:color w:val="231F20"/>
          <w:spacing w:val="-16"/>
          <w:w w:val="105"/>
        </w:rPr>
        <w:t> </w:t>
      </w:r>
      <w:r>
        <w:rPr>
          <w:color w:val="231F20"/>
          <w:w w:val="105"/>
        </w:rPr>
        <w:t>movilización</w:t>
      </w:r>
      <w:r>
        <w:rPr>
          <w:color w:val="231F20"/>
          <w:spacing w:val="-16"/>
          <w:w w:val="105"/>
        </w:rPr>
        <w:t> </w:t>
      </w:r>
      <w:r>
        <w:rPr>
          <w:color w:val="231F20"/>
          <w:w w:val="105"/>
        </w:rPr>
        <w:t>de</w:t>
      </w:r>
      <w:r>
        <w:rPr>
          <w:color w:val="231F20"/>
          <w:spacing w:val="-16"/>
          <w:w w:val="105"/>
        </w:rPr>
        <w:t> </w:t>
      </w:r>
      <w:r>
        <w:rPr>
          <w:color w:val="231F20"/>
          <w:w w:val="105"/>
        </w:rPr>
        <w:t>recursos</w:t>
      </w:r>
      <w:r>
        <w:rPr>
          <w:color w:val="231F20"/>
          <w:spacing w:val="-16"/>
          <w:w w:val="105"/>
        </w:rPr>
        <w:t> </w:t>
      </w:r>
      <w:r>
        <w:rPr>
          <w:color w:val="231F20"/>
          <w:w w:val="105"/>
        </w:rPr>
        <w:t>económicos,</w:t>
      </w:r>
      <w:r>
        <w:rPr>
          <w:color w:val="231F20"/>
          <w:spacing w:val="-21"/>
          <w:w w:val="105"/>
        </w:rPr>
        <w:t> </w:t>
      </w:r>
      <w:r>
        <w:rPr>
          <w:color w:val="231F20"/>
          <w:w w:val="105"/>
        </w:rPr>
        <w:t>privilegió</w:t>
      </w:r>
      <w:r>
        <w:rPr>
          <w:color w:val="231F20"/>
          <w:spacing w:val="-16"/>
          <w:w w:val="105"/>
        </w:rPr>
        <w:t> </w:t>
      </w:r>
      <w:r>
        <w:rPr>
          <w:color w:val="231F20"/>
          <w:w w:val="105"/>
        </w:rPr>
        <w:t>los estudios</w:t>
      </w:r>
      <w:r>
        <w:rPr>
          <w:color w:val="231F20"/>
          <w:spacing w:val="-19"/>
          <w:w w:val="105"/>
        </w:rPr>
        <w:t> </w:t>
      </w:r>
      <w:r>
        <w:rPr>
          <w:color w:val="231F20"/>
          <w:w w:val="105"/>
        </w:rPr>
        <w:t>del</w:t>
      </w:r>
      <w:r>
        <w:rPr>
          <w:color w:val="231F20"/>
          <w:spacing w:val="-19"/>
          <w:w w:val="105"/>
        </w:rPr>
        <w:t> </w:t>
      </w:r>
      <w:r>
        <w:rPr>
          <w:color w:val="231F20"/>
          <w:w w:val="105"/>
        </w:rPr>
        <w:t>retorno</w:t>
      </w:r>
      <w:r>
        <w:rPr>
          <w:color w:val="231F20"/>
          <w:spacing w:val="-19"/>
          <w:w w:val="105"/>
        </w:rPr>
        <w:t> </w:t>
      </w:r>
      <w:r>
        <w:rPr>
          <w:color w:val="231F20"/>
          <w:w w:val="105"/>
        </w:rPr>
        <w:t>migratorio</w:t>
      </w:r>
      <w:r>
        <w:rPr>
          <w:color w:val="231F20"/>
          <w:spacing w:val="-19"/>
          <w:w w:val="105"/>
        </w:rPr>
        <w:t> </w:t>
      </w:r>
      <w:r>
        <w:rPr>
          <w:color w:val="231F20"/>
          <w:w w:val="105"/>
        </w:rPr>
        <w:t>en</w:t>
      </w:r>
      <w:r>
        <w:rPr>
          <w:color w:val="231F20"/>
          <w:spacing w:val="-19"/>
          <w:w w:val="105"/>
        </w:rPr>
        <w:t> </w:t>
      </w:r>
      <w:r>
        <w:rPr>
          <w:color w:val="231F20"/>
          <w:w w:val="105"/>
        </w:rPr>
        <w:t>correspondencia</w:t>
      </w:r>
      <w:r>
        <w:rPr>
          <w:color w:val="231F20"/>
          <w:spacing w:val="-19"/>
          <w:w w:val="105"/>
        </w:rPr>
        <w:t> </w:t>
      </w:r>
      <w:r>
        <w:rPr>
          <w:color w:val="231F20"/>
          <w:w w:val="105"/>
        </w:rPr>
        <w:t>con</w:t>
      </w:r>
      <w:r>
        <w:rPr>
          <w:color w:val="231F20"/>
          <w:spacing w:val="-19"/>
          <w:w w:val="105"/>
        </w:rPr>
        <w:t> </w:t>
      </w:r>
      <w:r>
        <w:rPr>
          <w:color w:val="231F20"/>
          <w:w w:val="105"/>
        </w:rPr>
        <w:t>el</w:t>
      </w:r>
      <w:r>
        <w:rPr>
          <w:color w:val="231F20"/>
          <w:spacing w:val="-19"/>
          <w:w w:val="105"/>
        </w:rPr>
        <w:t> </w:t>
      </w:r>
      <w:r>
        <w:rPr>
          <w:color w:val="231F20"/>
          <w:w w:val="105"/>
        </w:rPr>
        <w:t>desarrollo.</w:t>
      </w:r>
      <w:r>
        <w:rPr>
          <w:color w:val="231F20"/>
          <w:spacing w:val="-25"/>
          <w:w w:val="105"/>
        </w:rPr>
        <w:t> </w:t>
      </w:r>
      <w:r>
        <w:rPr>
          <w:color w:val="231F20"/>
          <w:w w:val="105"/>
        </w:rPr>
        <w:t>Sin embargo, las condiciones estructurales de los contextos de salida y de llegada,</w:t>
      </w:r>
      <w:r>
        <w:rPr>
          <w:color w:val="231F20"/>
          <w:spacing w:val="-25"/>
          <w:w w:val="105"/>
        </w:rPr>
        <w:t> </w:t>
      </w:r>
      <w:r>
        <w:rPr>
          <w:color w:val="231F20"/>
          <w:w w:val="105"/>
        </w:rPr>
        <w:t>las</w:t>
      </w:r>
      <w:r>
        <w:rPr>
          <w:color w:val="231F20"/>
          <w:spacing w:val="-21"/>
          <w:w w:val="105"/>
        </w:rPr>
        <w:t> </w:t>
      </w:r>
      <w:r>
        <w:rPr>
          <w:color w:val="231F20"/>
          <w:w w:val="105"/>
        </w:rPr>
        <w:t>temporalidades,</w:t>
      </w:r>
      <w:r>
        <w:rPr>
          <w:color w:val="231F20"/>
          <w:spacing w:val="-25"/>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los</w:t>
      </w:r>
      <w:r>
        <w:rPr>
          <w:color w:val="231F20"/>
          <w:spacing w:val="-21"/>
          <w:w w:val="105"/>
        </w:rPr>
        <w:t> </w:t>
      </w:r>
      <w:r>
        <w:rPr>
          <w:color w:val="231F20"/>
          <w:w w:val="105"/>
        </w:rPr>
        <w:t>arreglos</w:t>
      </w:r>
      <w:r>
        <w:rPr>
          <w:color w:val="231F20"/>
          <w:spacing w:val="-21"/>
          <w:w w:val="105"/>
        </w:rPr>
        <w:t> </w:t>
      </w:r>
      <w:r>
        <w:rPr>
          <w:color w:val="231F20"/>
          <w:w w:val="105"/>
        </w:rPr>
        <w:t>familiares</w:t>
      </w:r>
      <w:r>
        <w:rPr>
          <w:color w:val="231F20"/>
          <w:spacing w:val="-21"/>
          <w:w w:val="105"/>
        </w:rPr>
        <w:t> </w:t>
      </w:r>
      <w:r>
        <w:rPr>
          <w:color w:val="231F20"/>
          <w:w w:val="105"/>
        </w:rPr>
        <w:t>están</w:t>
      </w:r>
      <w:r>
        <w:rPr>
          <w:color w:val="231F20"/>
          <w:spacing w:val="-21"/>
          <w:w w:val="105"/>
        </w:rPr>
        <w:t> </w:t>
      </w:r>
      <w:r>
        <w:rPr>
          <w:color w:val="231F20"/>
          <w:w w:val="105"/>
        </w:rPr>
        <w:t>imbri- cados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proyecto</w:t>
      </w:r>
      <w:r>
        <w:rPr>
          <w:color w:val="231F20"/>
          <w:spacing w:val="-11"/>
          <w:w w:val="105"/>
        </w:rPr>
        <w:t> </w:t>
      </w:r>
      <w:r>
        <w:rPr>
          <w:color w:val="231F20"/>
          <w:w w:val="105"/>
        </w:rPr>
        <w:t>migratorio</w:t>
      </w:r>
      <w:r>
        <w:rPr>
          <w:color w:val="231F20"/>
          <w:spacing w:val="-11"/>
          <w:w w:val="105"/>
        </w:rPr>
        <w:t> </w:t>
      </w:r>
      <w:r>
        <w:rPr>
          <w:color w:val="231F20"/>
          <w:w w:val="105"/>
        </w:rPr>
        <w:t>de</w:t>
      </w:r>
      <w:r>
        <w:rPr>
          <w:color w:val="231F20"/>
          <w:spacing w:val="-11"/>
          <w:w w:val="105"/>
        </w:rPr>
        <w:t> </w:t>
      </w:r>
      <w:r>
        <w:rPr>
          <w:color w:val="231F20"/>
          <w:w w:val="105"/>
        </w:rPr>
        <w:t>tal</w:t>
      </w:r>
      <w:r>
        <w:rPr>
          <w:color w:val="231F20"/>
          <w:spacing w:val="-11"/>
          <w:w w:val="105"/>
        </w:rPr>
        <w:t> </w:t>
      </w:r>
      <w:r>
        <w:rPr>
          <w:color w:val="231F20"/>
          <w:w w:val="105"/>
        </w:rPr>
        <w:t>manera</w:t>
      </w:r>
      <w:r>
        <w:rPr>
          <w:color w:val="231F20"/>
          <w:spacing w:val="-11"/>
          <w:w w:val="105"/>
        </w:rPr>
        <w:t> </w:t>
      </w:r>
      <w:r>
        <w:rPr>
          <w:color w:val="231F20"/>
          <w:w w:val="105"/>
        </w:rPr>
        <w:t>que</w:t>
      </w:r>
      <w:r>
        <w:rPr>
          <w:color w:val="231F20"/>
          <w:spacing w:val="-11"/>
          <w:w w:val="105"/>
        </w:rPr>
        <w:t> </w:t>
      </w:r>
      <w:r>
        <w:rPr>
          <w:color w:val="231F20"/>
          <w:w w:val="105"/>
        </w:rPr>
        <w:t>su</w:t>
      </w:r>
      <w:r>
        <w:rPr>
          <w:color w:val="231F20"/>
          <w:spacing w:val="-11"/>
          <w:w w:val="105"/>
        </w:rPr>
        <w:t> </w:t>
      </w:r>
      <w:r>
        <w:rPr>
          <w:color w:val="231F20"/>
          <w:w w:val="105"/>
        </w:rPr>
        <w:t>influencia</w:t>
      </w:r>
      <w:r>
        <w:rPr>
          <w:color w:val="231F20"/>
          <w:spacing w:val="-11"/>
          <w:w w:val="105"/>
        </w:rPr>
        <w:t> </w:t>
      </w:r>
      <w:r>
        <w:rPr>
          <w:color w:val="231F20"/>
          <w:w w:val="105"/>
        </w:rPr>
        <w:t>también es</w:t>
      </w:r>
      <w:r>
        <w:rPr>
          <w:color w:val="231F20"/>
          <w:spacing w:val="-16"/>
          <w:w w:val="105"/>
        </w:rPr>
        <w:t> </w:t>
      </w:r>
      <w:r>
        <w:rPr>
          <w:color w:val="231F20"/>
          <w:w w:val="105"/>
        </w:rPr>
        <w:t>trascendente</w:t>
      </w:r>
      <w:r>
        <w:rPr>
          <w:color w:val="231F20"/>
          <w:spacing w:val="-16"/>
          <w:w w:val="105"/>
        </w:rPr>
        <w:t> </w:t>
      </w:r>
      <w:r>
        <w:rPr>
          <w:color w:val="231F20"/>
          <w:w w:val="105"/>
        </w:rPr>
        <w:t>para</w:t>
      </w:r>
      <w:r>
        <w:rPr>
          <w:color w:val="231F20"/>
          <w:spacing w:val="-16"/>
          <w:w w:val="105"/>
        </w:rPr>
        <w:t> </w:t>
      </w:r>
      <w:r>
        <w:rPr>
          <w:color w:val="231F20"/>
          <w:w w:val="105"/>
        </w:rPr>
        <w:t>el</w:t>
      </w:r>
      <w:r>
        <w:rPr>
          <w:color w:val="231F20"/>
          <w:spacing w:val="-16"/>
          <w:w w:val="105"/>
        </w:rPr>
        <w:t> </w:t>
      </w:r>
      <w:r>
        <w:rPr>
          <w:color w:val="231F20"/>
          <w:w w:val="105"/>
        </w:rPr>
        <w:t>estudio</w:t>
      </w:r>
      <w:r>
        <w:rPr>
          <w:color w:val="231F20"/>
          <w:spacing w:val="-16"/>
          <w:w w:val="105"/>
        </w:rPr>
        <w:t> </w:t>
      </w:r>
      <w:r>
        <w:rPr>
          <w:color w:val="231F20"/>
          <w:w w:val="105"/>
        </w:rPr>
        <w:t>del</w:t>
      </w:r>
      <w:r>
        <w:rPr>
          <w:color w:val="231F20"/>
          <w:spacing w:val="-16"/>
          <w:w w:val="105"/>
        </w:rPr>
        <w:t> </w:t>
      </w:r>
      <w:r>
        <w:rPr>
          <w:color w:val="231F20"/>
          <w:w w:val="105"/>
        </w:rPr>
        <w:t>regreso.</w:t>
      </w:r>
    </w:p>
    <w:p>
      <w:pPr>
        <w:pStyle w:val="BodyText"/>
        <w:spacing w:line="261" w:lineRule="auto" w:before="1"/>
        <w:ind w:left="1837" w:right="1715" w:firstLine="567"/>
        <w:jc w:val="both"/>
      </w:pPr>
      <w:r>
        <w:rPr/>
        <w:pict>
          <v:line style="position:absolute;mso-position-horizontal-relative:page;mso-position-vertical-relative:paragraph;z-index:-463288" from="15pt,180.88559pt" to="0pt,180.88559pt" stroked="true" strokeweight=".25pt" strokecolor="#000000">
            <w10:wrap type="none"/>
          </v:line>
        </w:pict>
      </w:r>
      <w:r>
        <w:rPr/>
        <w:pict>
          <v:line style="position:absolute;mso-position-horizontal-relative:page;mso-position-vertical-relative:paragraph;z-index:26920" from="508.890015pt,180.88559pt" to="523.890015pt,180.88559pt" stroked="true" strokeweight=".25pt" strokecolor="#000000">
            <w10:wrap type="none"/>
          </v:line>
        </w:pict>
      </w:r>
      <w:r>
        <w:rPr>
          <w:color w:val="231F20"/>
          <w:w w:val="105"/>
        </w:rPr>
        <w:t>Analizar el retorno como un momento del proyecto migratorio, a partir</w:t>
      </w:r>
      <w:r>
        <w:rPr>
          <w:color w:val="231F20"/>
          <w:spacing w:val="-17"/>
          <w:w w:val="105"/>
        </w:rPr>
        <w:t> </w:t>
      </w:r>
      <w:r>
        <w:rPr>
          <w:color w:val="231F20"/>
          <w:w w:val="105"/>
        </w:rPr>
        <w:t>de</w:t>
      </w:r>
      <w:r>
        <w:rPr>
          <w:color w:val="231F20"/>
          <w:spacing w:val="-17"/>
          <w:w w:val="105"/>
        </w:rPr>
        <w:t> </w:t>
      </w:r>
      <w:r>
        <w:rPr>
          <w:color w:val="231F20"/>
          <w:w w:val="105"/>
        </w:rPr>
        <w:t>su</w:t>
      </w:r>
      <w:r>
        <w:rPr>
          <w:color w:val="231F20"/>
          <w:spacing w:val="-17"/>
          <w:w w:val="105"/>
        </w:rPr>
        <w:t> </w:t>
      </w:r>
      <w:r>
        <w:rPr>
          <w:color w:val="231F20"/>
          <w:w w:val="105"/>
        </w:rPr>
        <w:t>circularidad,</w:t>
      </w:r>
      <w:r>
        <w:rPr>
          <w:color w:val="231F20"/>
          <w:spacing w:val="-22"/>
          <w:w w:val="105"/>
        </w:rPr>
        <w:t> </w:t>
      </w:r>
      <w:r>
        <w:rPr>
          <w:color w:val="231F20"/>
          <w:w w:val="105"/>
        </w:rPr>
        <w:t>permite</w:t>
      </w:r>
      <w:r>
        <w:rPr>
          <w:color w:val="231F20"/>
          <w:spacing w:val="-17"/>
          <w:w w:val="105"/>
        </w:rPr>
        <w:t> </w:t>
      </w:r>
      <w:r>
        <w:rPr>
          <w:color w:val="231F20"/>
          <w:w w:val="105"/>
        </w:rPr>
        <w:t>analizar</w:t>
      </w:r>
      <w:r>
        <w:rPr>
          <w:color w:val="231F20"/>
          <w:spacing w:val="-17"/>
          <w:w w:val="105"/>
        </w:rPr>
        <w:t> </w:t>
      </w:r>
      <w:r>
        <w:rPr>
          <w:color w:val="231F20"/>
          <w:w w:val="105"/>
        </w:rPr>
        <w:t>la</w:t>
      </w:r>
      <w:r>
        <w:rPr>
          <w:color w:val="231F20"/>
          <w:spacing w:val="-17"/>
          <w:w w:val="105"/>
        </w:rPr>
        <w:t> </w:t>
      </w:r>
      <w:r>
        <w:rPr>
          <w:color w:val="231F20"/>
          <w:w w:val="105"/>
        </w:rPr>
        <w:t>partida,</w:t>
      </w:r>
      <w:r>
        <w:rPr>
          <w:color w:val="231F20"/>
          <w:spacing w:val="-22"/>
          <w:w w:val="105"/>
        </w:rPr>
        <w:t> </w:t>
      </w:r>
      <w:r>
        <w:rPr>
          <w:color w:val="231F20"/>
          <w:w w:val="105"/>
        </w:rPr>
        <w:t>la</w:t>
      </w:r>
      <w:r>
        <w:rPr>
          <w:color w:val="231F20"/>
          <w:spacing w:val="-17"/>
          <w:w w:val="105"/>
        </w:rPr>
        <w:t> </w:t>
      </w:r>
      <w:r>
        <w:rPr>
          <w:color w:val="231F20"/>
          <w:w w:val="105"/>
        </w:rPr>
        <w:t>llegada,</w:t>
      </w:r>
      <w:r>
        <w:rPr>
          <w:color w:val="231F20"/>
          <w:spacing w:val="-22"/>
          <w:w w:val="105"/>
        </w:rPr>
        <w:t> </w:t>
      </w:r>
      <w:r>
        <w:rPr>
          <w:color w:val="231F20"/>
          <w:w w:val="105"/>
        </w:rPr>
        <w:t>el</w:t>
      </w:r>
      <w:r>
        <w:rPr>
          <w:color w:val="231F20"/>
          <w:spacing w:val="-17"/>
          <w:w w:val="105"/>
        </w:rPr>
        <w:t> </w:t>
      </w:r>
      <w:r>
        <w:rPr>
          <w:color w:val="231F20"/>
          <w:w w:val="105"/>
        </w:rPr>
        <w:t>regreso y</w:t>
      </w:r>
      <w:r>
        <w:rPr>
          <w:color w:val="231F20"/>
          <w:spacing w:val="-10"/>
          <w:w w:val="105"/>
        </w:rPr>
        <w:t> </w:t>
      </w:r>
      <w:r>
        <w:rPr>
          <w:color w:val="231F20"/>
          <w:w w:val="105"/>
        </w:rPr>
        <w:t>la</w:t>
      </w:r>
      <w:r>
        <w:rPr>
          <w:color w:val="231F20"/>
          <w:spacing w:val="-10"/>
          <w:w w:val="105"/>
        </w:rPr>
        <w:t> </w:t>
      </w:r>
      <w:r>
        <w:rPr>
          <w:color w:val="231F20"/>
          <w:w w:val="105"/>
        </w:rPr>
        <w:t>re-emigración</w:t>
      </w:r>
      <w:r>
        <w:rPr>
          <w:color w:val="231F20"/>
          <w:spacing w:val="-10"/>
          <w:w w:val="105"/>
        </w:rPr>
        <w:t> </w:t>
      </w:r>
      <w:r>
        <w:rPr>
          <w:color w:val="231F20"/>
          <w:w w:val="105"/>
        </w:rPr>
        <w:t>como</w:t>
      </w:r>
      <w:r>
        <w:rPr>
          <w:color w:val="231F20"/>
          <w:spacing w:val="-10"/>
          <w:w w:val="105"/>
        </w:rPr>
        <w:t> </w:t>
      </w:r>
      <w:r>
        <w:rPr>
          <w:color w:val="231F20"/>
          <w:w w:val="105"/>
        </w:rPr>
        <w:t>momentos</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mismo</w:t>
      </w:r>
      <w:r>
        <w:rPr>
          <w:color w:val="231F20"/>
          <w:spacing w:val="-10"/>
          <w:w w:val="105"/>
        </w:rPr>
        <w:t> </w:t>
      </w:r>
      <w:r>
        <w:rPr>
          <w:color w:val="231F20"/>
          <w:w w:val="105"/>
        </w:rPr>
        <w:t>proceso.</w:t>
      </w:r>
      <w:r>
        <w:rPr>
          <w:color w:val="231F20"/>
          <w:spacing w:val="-15"/>
          <w:w w:val="105"/>
        </w:rPr>
        <w:t> </w:t>
      </w:r>
      <w:r>
        <w:rPr>
          <w:color w:val="231F20"/>
          <w:w w:val="105"/>
        </w:rPr>
        <w:t>Las</w:t>
      </w:r>
      <w:r>
        <w:rPr>
          <w:color w:val="231F20"/>
          <w:spacing w:val="-10"/>
          <w:w w:val="105"/>
        </w:rPr>
        <w:t> </w:t>
      </w:r>
      <w:r>
        <w:rPr>
          <w:color w:val="231F20"/>
          <w:w w:val="105"/>
        </w:rPr>
        <w:t>variables básicas para estudiar el retorno son el tiempo de estancia,</w:t>
      </w:r>
      <w:r>
        <w:rPr>
          <w:color w:val="231F20"/>
          <w:spacing w:val="-29"/>
          <w:w w:val="105"/>
        </w:rPr>
        <w:t> </w:t>
      </w:r>
      <w:r>
        <w:rPr>
          <w:color w:val="231F20"/>
          <w:w w:val="105"/>
        </w:rPr>
        <w:t>escolaridad, trayectoria laboral, habilidades adquiridas y características del contex- to institucional y social del país de origen (Cassarino, 2014), que en su conjunto</w:t>
      </w:r>
      <w:r>
        <w:rPr>
          <w:color w:val="231F20"/>
          <w:spacing w:val="-7"/>
          <w:w w:val="105"/>
        </w:rPr>
        <w:t> </w:t>
      </w:r>
      <w:r>
        <w:rPr>
          <w:color w:val="231F20"/>
          <w:w w:val="105"/>
        </w:rPr>
        <w:t>conforman</w:t>
      </w:r>
      <w:r>
        <w:rPr>
          <w:color w:val="231F20"/>
          <w:spacing w:val="-7"/>
          <w:w w:val="105"/>
        </w:rPr>
        <w:t> </w:t>
      </w:r>
      <w:r>
        <w:rPr>
          <w:color w:val="231F20"/>
          <w:w w:val="105"/>
        </w:rPr>
        <w:t>los</w:t>
      </w:r>
      <w:r>
        <w:rPr>
          <w:color w:val="231F20"/>
          <w:spacing w:val="-7"/>
          <w:w w:val="105"/>
        </w:rPr>
        <w:t> </w:t>
      </w:r>
      <w:r>
        <w:rPr>
          <w:color w:val="231F20"/>
          <w:w w:val="105"/>
        </w:rPr>
        <w:t>puntos</w:t>
      </w:r>
      <w:r>
        <w:rPr>
          <w:color w:val="231F20"/>
          <w:spacing w:val="-7"/>
          <w:w w:val="105"/>
        </w:rPr>
        <w:t> </w:t>
      </w:r>
      <w:r>
        <w:rPr>
          <w:color w:val="231F20"/>
          <w:w w:val="105"/>
        </w:rPr>
        <w:t>nodales</w:t>
      </w:r>
      <w:r>
        <w:rPr>
          <w:color w:val="231F20"/>
          <w:spacing w:val="-7"/>
          <w:w w:val="105"/>
        </w:rPr>
        <w:t> </w:t>
      </w:r>
      <w:r>
        <w:rPr>
          <w:color w:val="231F20"/>
          <w:w w:val="105"/>
        </w:rPr>
        <w:t>para</w:t>
      </w:r>
      <w:r>
        <w:rPr>
          <w:color w:val="231F20"/>
          <w:spacing w:val="-7"/>
          <w:w w:val="105"/>
        </w:rPr>
        <w:t> </w:t>
      </w:r>
      <w:r>
        <w:rPr>
          <w:color w:val="231F20"/>
          <w:w w:val="105"/>
        </w:rPr>
        <w:t>“conocer</w:t>
      </w:r>
      <w:r>
        <w:rPr>
          <w:color w:val="231F20"/>
          <w:spacing w:val="-7"/>
          <w:w w:val="105"/>
        </w:rPr>
        <w:t> </w:t>
      </w:r>
      <w:r>
        <w:rPr>
          <w:color w:val="231F20"/>
          <w:w w:val="105"/>
        </w:rPr>
        <w:t>y</w:t>
      </w:r>
      <w:r>
        <w:rPr>
          <w:color w:val="231F20"/>
          <w:spacing w:val="-7"/>
          <w:w w:val="105"/>
        </w:rPr>
        <w:t> </w:t>
      </w:r>
      <w:r>
        <w:rPr>
          <w:color w:val="231F20"/>
          <w:w w:val="105"/>
        </w:rPr>
        <w:t>analizar</w:t>
      </w:r>
      <w:r>
        <w:rPr>
          <w:color w:val="231F20"/>
          <w:spacing w:val="-7"/>
          <w:w w:val="105"/>
        </w:rPr>
        <w:t> </w:t>
      </w:r>
      <w:r>
        <w:rPr>
          <w:color w:val="231F20"/>
          <w:w w:val="105"/>
        </w:rPr>
        <w:t>de</w:t>
      </w:r>
      <w:r>
        <w:rPr>
          <w:color w:val="231F20"/>
          <w:spacing w:val="-7"/>
          <w:w w:val="105"/>
        </w:rPr>
        <w:t> </w:t>
      </w:r>
      <w:r>
        <w:rPr>
          <w:color w:val="231F20"/>
          <w:w w:val="105"/>
        </w:rPr>
        <w:t>qué manera experimentan la reinserción sociocultural los migrantes</w:t>
      </w:r>
      <w:r>
        <w:rPr>
          <w:color w:val="231F20"/>
          <w:spacing w:val="18"/>
          <w:w w:val="105"/>
        </w:rPr>
        <w:t> </w:t>
      </w:r>
      <w:r>
        <w:rPr>
          <w:color w:val="231F20"/>
          <w:w w:val="105"/>
        </w:rPr>
        <w:t>indíge-</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61" w:lineRule="auto" w:before="193"/>
        <w:ind w:left="1723" w:right="1835"/>
        <w:jc w:val="both"/>
        <w:rPr>
          <w:sz w:val="12"/>
        </w:rPr>
      </w:pPr>
      <w:r>
        <w:rPr/>
        <w:pict>
          <v:line style="position:absolute;mso-position-horizontal-relative:page;mso-position-vertical-relative:paragraph;z-index:26992" from="15pt,-62.036442pt" to="0pt,-62.036442pt" stroked="true" strokeweight=".25pt" strokecolor="#000000">
            <w10:wrap type="none"/>
          </v:line>
        </w:pict>
      </w:r>
      <w:r>
        <w:rPr/>
        <w:pict>
          <v:line style="position:absolute;mso-position-horizontal-relative:page;mso-position-vertical-relative:paragraph;z-index:27016" from="508.890015pt,-62.036442pt" to="523.890015pt,-62.036442pt" stroked="true" strokeweight=".25pt" strokecolor="#000000">
            <w10:wrap type="none"/>
          </v:line>
        </w:pict>
      </w:r>
      <w:r>
        <w:rPr>
          <w:color w:val="231F20"/>
          <w:w w:val="105"/>
        </w:rPr>
        <w:t>nas</w:t>
      </w:r>
      <w:r>
        <w:rPr>
          <w:color w:val="231F20"/>
          <w:spacing w:val="-19"/>
          <w:w w:val="105"/>
        </w:rPr>
        <w:t> </w:t>
      </w:r>
      <w:r>
        <w:rPr>
          <w:color w:val="231F20"/>
          <w:w w:val="105"/>
        </w:rPr>
        <w:t>mazahuas</w:t>
      </w:r>
      <w:r>
        <w:rPr>
          <w:color w:val="231F20"/>
          <w:spacing w:val="-19"/>
          <w:w w:val="105"/>
        </w:rPr>
        <w:t> </w:t>
      </w:r>
      <w:r>
        <w:rPr>
          <w:color w:val="231F20"/>
          <w:w w:val="105"/>
        </w:rPr>
        <w:t>retornados</w:t>
      </w:r>
      <w:r>
        <w:rPr>
          <w:color w:val="231F20"/>
          <w:spacing w:val="-19"/>
          <w:w w:val="105"/>
        </w:rPr>
        <w:t> </w:t>
      </w:r>
      <w:r>
        <w:rPr>
          <w:color w:val="231F20"/>
          <w:w w:val="105"/>
        </w:rPr>
        <w:t>de</w:t>
      </w:r>
      <w:r>
        <w:rPr>
          <w:color w:val="231F20"/>
          <w:spacing w:val="-19"/>
          <w:w w:val="105"/>
        </w:rPr>
        <w:t> </w:t>
      </w:r>
      <w:r>
        <w:rPr>
          <w:color w:val="231F20"/>
          <w:w w:val="105"/>
        </w:rPr>
        <w:t>Estados</w:t>
      </w:r>
      <w:r>
        <w:rPr>
          <w:color w:val="231F20"/>
          <w:spacing w:val="-19"/>
          <w:w w:val="105"/>
        </w:rPr>
        <w:t> </w:t>
      </w:r>
      <w:r>
        <w:rPr>
          <w:color w:val="231F20"/>
          <w:w w:val="105"/>
        </w:rPr>
        <w:t>Unidos</w:t>
      </w:r>
      <w:r>
        <w:rPr>
          <w:color w:val="231F20"/>
          <w:spacing w:val="-19"/>
          <w:w w:val="105"/>
        </w:rPr>
        <w:t> </w:t>
      </w:r>
      <w:r>
        <w:rPr>
          <w:color w:val="231F20"/>
          <w:w w:val="105"/>
        </w:rPr>
        <w:t>a</w:t>
      </w:r>
      <w:r>
        <w:rPr>
          <w:color w:val="231F20"/>
          <w:spacing w:val="-19"/>
          <w:w w:val="105"/>
        </w:rPr>
        <w:t> </w:t>
      </w:r>
      <w:r>
        <w:rPr>
          <w:color w:val="231F20"/>
          <w:w w:val="105"/>
        </w:rPr>
        <w:t>su</w:t>
      </w:r>
      <w:r>
        <w:rPr>
          <w:color w:val="231F20"/>
          <w:spacing w:val="-19"/>
          <w:w w:val="105"/>
        </w:rPr>
        <w:t> </w:t>
      </w:r>
      <w:r>
        <w:rPr>
          <w:color w:val="231F20"/>
          <w:w w:val="105"/>
        </w:rPr>
        <w:t>comunidad</w:t>
      </w:r>
      <w:r>
        <w:rPr>
          <w:color w:val="231F20"/>
          <w:spacing w:val="-19"/>
          <w:w w:val="105"/>
        </w:rPr>
        <w:t> </w:t>
      </w:r>
      <w:r>
        <w:rPr>
          <w:color w:val="231F20"/>
          <w:w w:val="105"/>
        </w:rPr>
        <w:t>de</w:t>
      </w:r>
      <w:r>
        <w:rPr>
          <w:color w:val="231F20"/>
          <w:spacing w:val="-19"/>
          <w:w w:val="105"/>
        </w:rPr>
        <w:t> </w:t>
      </w:r>
      <w:r>
        <w:rPr>
          <w:color w:val="231F20"/>
          <w:w w:val="105"/>
        </w:rPr>
        <w:t>origen, para</w:t>
      </w:r>
      <w:r>
        <w:rPr>
          <w:color w:val="231F20"/>
          <w:spacing w:val="-23"/>
          <w:w w:val="105"/>
        </w:rPr>
        <w:t> </w:t>
      </w:r>
      <w:r>
        <w:rPr>
          <w:color w:val="231F20"/>
          <w:w w:val="105"/>
        </w:rPr>
        <w:t>identificar</w:t>
      </w:r>
      <w:r>
        <w:rPr>
          <w:color w:val="231F20"/>
          <w:spacing w:val="-23"/>
          <w:w w:val="105"/>
        </w:rPr>
        <w:t> </w:t>
      </w:r>
      <w:r>
        <w:rPr>
          <w:color w:val="231F20"/>
          <w:w w:val="105"/>
        </w:rPr>
        <w:t>el</w:t>
      </w:r>
      <w:r>
        <w:rPr>
          <w:color w:val="231F20"/>
          <w:spacing w:val="-23"/>
          <w:w w:val="105"/>
        </w:rPr>
        <w:t> </w:t>
      </w:r>
      <w:r>
        <w:rPr>
          <w:color w:val="231F20"/>
          <w:w w:val="105"/>
        </w:rPr>
        <w:t>modo</w:t>
      </w:r>
      <w:r>
        <w:rPr>
          <w:color w:val="231F20"/>
          <w:spacing w:val="-23"/>
          <w:w w:val="105"/>
        </w:rPr>
        <w:t> </w:t>
      </w:r>
      <w:r>
        <w:rPr>
          <w:color w:val="231F20"/>
          <w:w w:val="105"/>
        </w:rPr>
        <w:t>en</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transforma</w:t>
      </w:r>
      <w:r>
        <w:rPr>
          <w:color w:val="231F20"/>
          <w:spacing w:val="-23"/>
          <w:w w:val="105"/>
        </w:rPr>
        <w:t> </w:t>
      </w:r>
      <w:r>
        <w:rPr>
          <w:color w:val="231F20"/>
          <w:w w:val="105"/>
        </w:rPr>
        <w:t>la</w:t>
      </w:r>
      <w:r>
        <w:rPr>
          <w:color w:val="231F20"/>
          <w:spacing w:val="-23"/>
          <w:w w:val="105"/>
        </w:rPr>
        <w:t> </w:t>
      </w:r>
      <w:r>
        <w:rPr>
          <w:color w:val="231F20"/>
          <w:w w:val="105"/>
        </w:rPr>
        <w:t>convivencia</w:t>
      </w:r>
      <w:r>
        <w:rPr>
          <w:color w:val="231F20"/>
          <w:spacing w:val="-23"/>
          <w:w w:val="105"/>
        </w:rPr>
        <w:t> </w:t>
      </w:r>
      <w:r>
        <w:rPr>
          <w:color w:val="231F20"/>
          <w:w w:val="105"/>
        </w:rPr>
        <w:t>en</w:t>
      </w:r>
      <w:r>
        <w:rPr>
          <w:color w:val="231F20"/>
          <w:spacing w:val="-23"/>
          <w:w w:val="105"/>
        </w:rPr>
        <w:t> </w:t>
      </w:r>
      <w:r>
        <w:rPr>
          <w:color w:val="231F20"/>
          <w:w w:val="105"/>
        </w:rPr>
        <w:t>su</w:t>
      </w:r>
      <w:r>
        <w:rPr>
          <w:color w:val="231F20"/>
          <w:spacing w:val="-23"/>
          <w:w w:val="105"/>
        </w:rPr>
        <w:t> </w:t>
      </w:r>
      <w:r>
        <w:rPr>
          <w:color w:val="231F20"/>
          <w:w w:val="105"/>
        </w:rPr>
        <w:t>núcleo familiar</w:t>
      </w:r>
      <w:r>
        <w:rPr>
          <w:color w:val="231F20"/>
          <w:spacing w:val="-11"/>
          <w:w w:val="105"/>
        </w:rPr>
        <w:t> </w:t>
      </w:r>
      <w:r>
        <w:rPr>
          <w:color w:val="231F20"/>
          <w:w w:val="105"/>
        </w:rPr>
        <w:t>y</w:t>
      </w:r>
      <w:r>
        <w:rPr>
          <w:color w:val="231F20"/>
          <w:spacing w:val="-11"/>
          <w:w w:val="105"/>
        </w:rPr>
        <w:t> </w:t>
      </w:r>
      <w:r>
        <w:rPr>
          <w:color w:val="231F20"/>
          <w:w w:val="105"/>
        </w:rPr>
        <w:t>comunitario</w:t>
      </w:r>
      <w:r>
        <w:rPr>
          <w:color w:val="231F20"/>
          <w:spacing w:val="-11"/>
          <w:w w:val="105"/>
        </w:rPr>
        <w:t> </w:t>
      </w:r>
      <w:r>
        <w:rPr>
          <w:color w:val="231F20"/>
          <w:w w:val="105"/>
        </w:rPr>
        <w:t>a</w:t>
      </w:r>
      <w:r>
        <w:rPr>
          <w:color w:val="231F20"/>
          <w:spacing w:val="-11"/>
          <w:w w:val="105"/>
        </w:rPr>
        <w:t> </w:t>
      </w:r>
      <w:r>
        <w:rPr>
          <w:color w:val="231F20"/>
          <w:w w:val="105"/>
        </w:rPr>
        <w:t>partir</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experiencia</w:t>
      </w:r>
      <w:r>
        <w:rPr>
          <w:color w:val="231F20"/>
          <w:spacing w:val="-11"/>
          <w:w w:val="105"/>
        </w:rPr>
        <w:t> </w:t>
      </w:r>
      <w:r>
        <w:rPr>
          <w:color w:val="231F20"/>
          <w:spacing w:val="-4"/>
          <w:w w:val="105"/>
        </w:rPr>
        <w:t>vivida”.</w:t>
      </w:r>
      <w:r>
        <w:rPr>
          <w:color w:val="231F20"/>
          <w:spacing w:val="-4"/>
          <w:w w:val="105"/>
          <w:position w:val="7"/>
          <w:sz w:val="12"/>
        </w:rPr>
        <w:t>6</w:t>
      </w:r>
    </w:p>
    <w:p>
      <w:pPr>
        <w:pStyle w:val="BodyText"/>
        <w:spacing w:line="261" w:lineRule="auto" w:before="1"/>
        <w:ind w:left="1723" w:right="1834" w:firstLine="567"/>
        <w:jc w:val="both"/>
      </w:pPr>
      <w:r>
        <w:rPr>
          <w:color w:val="231F20"/>
          <w:w w:val="105"/>
        </w:rPr>
        <w:t>Ahora</w:t>
      </w:r>
      <w:r>
        <w:rPr>
          <w:color w:val="231F20"/>
          <w:spacing w:val="-12"/>
          <w:w w:val="105"/>
        </w:rPr>
        <w:t> </w:t>
      </w:r>
      <w:r>
        <w:rPr>
          <w:color w:val="231F20"/>
          <w:w w:val="105"/>
        </w:rPr>
        <w:t>bien,</w:t>
      </w:r>
      <w:r>
        <w:rPr>
          <w:color w:val="231F20"/>
          <w:spacing w:val="-17"/>
          <w:w w:val="105"/>
        </w:rPr>
        <w:t> </w:t>
      </w:r>
      <w:r>
        <w:rPr>
          <w:color w:val="231F20"/>
          <w:w w:val="105"/>
        </w:rPr>
        <w:t>¿por</w:t>
      </w:r>
      <w:r>
        <w:rPr>
          <w:color w:val="231F20"/>
          <w:spacing w:val="-12"/>
          <w:w w:val="105"/>
        </w:rPr>
        <w:t> </w:t>
      </w:r>
      <w:r>
        <w:rPr>
          <w:color w:val="231F20"/>
          <w:w w:val="105"/>
        </w:rPr>
        <w:t>qué</w:t>
      </w:r>
      <w:r>
        <w:rPr>
          <w:color w:val="231F20"/>
          <w:spacing w:val="-12"/>
          <w:w w:val="105"/>
        </w:rPr>
        <w:t> </w:t>
      </w:r>
      <w:r>
        <w:rPr>
          <w:color w:val="231F20"/>
          <w:w w:val="105"/>
        </w:rPr>
        <w:t>hablar</w:t>
      </w:r>
      <w:r>
        <w:rPr>
          <w:color w:val="231F20"/>
          <w:spacing w:val="-12"/>
          <w:w w:val="105"/>
        </w:rPr>
        <w:t> </w:t>
      </w:r>
      <w:r>
        <w:rPr>
          <w:color w:val="231F20"/>
          <w:w w:val="105"/>
        </w:rPr>
        <w:t>de</w:t>
      </w:r>
      <w:r>
        <w:rPr>
          <w:color w:val="231F20"/>
          <w:spacing w:val="-12"/>
          <w:w w:val="105"/>
        </w:rPr>
        <w:t> </w:t>
      </w:r>
      <w:r>
        <w:rPr>
          <w:color w:val="231F20"/>
          <w:w w:val="105"/>
        </w:rPr>
        <w:t>reinserción</w:t>
      </w:r>
      <w:r>
        <w:rPr>
          <w:color w:val="231F20"/>
          <w:spacing w:val="-12"/>
          <w:w w:val="105"/>
        </w:rPr>
        <w:t> </w:t>
      </w:r>
      <w:r>
        <w:rPr>
          <w:color w:val="231F20"/>
          <w:w w:val="105"/>
        </w:rPr>
        <w:t>sociocultural</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es- tudios</w:t>
      </w:r>
      <w:r>
        <w:rPr>
          <w:color w:val="231F20"/>
          <w:spacing w:val="-15"/>
          <w:w w:val="105"/>
        </w:rPr>
        <w:t> </w:t>
      </w:r>
      <w:r>
        <w:rPr>
          <w:color w:val="231F20"/>
          <w:w w:val="105"/>
        </w:rPr>
        <w:t>de</w:t>
      </w:r>
      <w:r>
        <w:rPr>
          <w:color w:val="231F20"/>
          <w:spacing w:val="-15"/>
          <w:w w:val="105"/>
        </w:rPr>
        <w:t> </w:t>
      </w:r>
      <w:r>
        <w:rPr>
          <w:color w:val="231F20"/>
          <w:w w:val="105"/>
        </w:rPr>
        <w:t>retorno</w:t>
      </w:r>
      <w:r>
        <w:rPr>
          <w:color w:val="231F20"/>
          <w:spacing w:val="-15"/>
          <w:w w:val="105"/>
        </w:rPr>
        <w:t> </w:t>
      </w:r>
      <w:r>
        <w:rPr>
          <w:color w:val="231F20"/>
          <w:w w:val="105"/>
        </w:rPr>
        <w:t>migratorio?</w:t>
      </w:r>
      <w:r>
        <w:rPr>
          <w:color w:val="231F20"/>
          <w:spacing w:val="-15"/>
          <w:w w:val="105"/>
        </w:rPr>
        <w:t> </w:t>
      </w:r>
      <w:r>
        <w:rPr>
          <w:color w:val="231F20"/>
          <w:spacing w:val="-4"/>
          <w:w w:val="105"/>
        </w:rPr>
        <w:t>Porque</w:t>
      </w:r>
      <w:r>
        <w:rPr>
          <w:color w:val="231F20"/>
          <w:spacing w:val="-15"/>
          <w:w w:val="105"/>
        </w:rPr>
        <w:t> </w:t>
      </w:r>
      <w:r>
        <w:rPr>
          <w:color w:val="231F20"/>
          <w:w w:val="105"/>
        </w:rPr>
        <w:t>“la</w:t>
      </w:r>
      <w:r>
        <w:rPr>
          <w:color w:val="231F20"/>
          <w:spacing w:val="-15"/>
          <w:w w:val="105"/>
        </w:rPr>
        <w:t> </w:t>
      </w:r>
      <w:r>
        <w:rPr>
          <w:color w:val="231F20"/>
          <w:w w:val="105"/>
        </w:rPr>
        <w:t>migración</w:t>
      </w:r>
      <w:r>
        <w:rPr>
          <w:color w:val="231F20"/>
          <w:spacing w:val="-15"/>
          <w:w w:val="105"/>
        </w:rPr>
        <w:t> </w:t>
      </w:r>
      <w:r>
        <w:rPr>
          <w:color w:val="231F20"/>
          <w:w w:val="105"/>
        </w:rPr>
        <w:t>es</w:t>
      </w:r>
      <w:r>
        <w:rPr>
          <w:color w:val="231F20"/>
          <w:spacing w:val="-15"/>
          <w:w w:val="105"/>
        </w:rPr>
        <w:t> </w:t>
      </w:r>
      <w:r>
        <w:rPr>
          <w:color w:val="231F20"/>
          <w:w w:val="105"/>
        </w:rPr>
        <w:t>una</w:t>
      </w:r>
      <w:r>
        <w:rPr>
          <w:color w:val="231F20"/>
          <w:spacing w:val="-15"/>
          <w:w w:val="105"/>
        </w:rPr>
        <w:t> </w:t>
      </w:r>
      <w:r>
        <w:rPr>
          <w:color w:val="231F20"/>
          <w:w w:val="105"/>
        </w:rPr>
        <w:t>práctica</w:t>
      </w:r>
      <w:r>
        <w:rPr>
          <w:color w:val="231F20"/>
          <w:spacing w:val="-15"/>
          <w:w w:val="105"/>
        </w:rPr>
        <w:t> </w:t>
      </w:r>
      <w:r>
        <w:rPr>
          <w:color w:val="231F20"/>
          <w:w w:val="105"/>
        </w:rPr>
        <w:t>social que está presente en el horizonte de vida de las personas que</w:t>
      </w:r>
      <w:r>
        <w:rPr>
          <w:color w:val="231F20"/>
          <w:spacing w:val="-37"/>
          <w:w w:val="105"/>
        </w:rPr>
        <w:t> </w:t>
      </w:r>
      <w:r>
        <w:rPr>
          <w:color w:val="231F20"/>
          <w:w w:val="105"/>
        </w:rPr>
        <w:t>pertene- cen</w:t>
      </w:r>
      <w:r>
        <w:rPr>
          <w:color w:val="231F20"/>
          <w:spacing w:val="-14"/>
          <w:w w:val="105"/>
        </w:rPr>
        <w:t> </w:t>
      </w:r>
      <w:r>
        <w:rPr>
          <w:color w:val="231F20"/>
          <w:w w:val="105"/>
        </w:rPr>
        <w:t>a</w:t>
      </w:r>
      <w:r>
        <w:rPr>
          <w:color w:val="231F20"/>
          <w:spacing w:val="-14"/>
          <w:w w:val="105"/>
        </w:rPr>
        <w:t> </w:t>
      </w:r>
      <w:r>
        <w:rPr>
          <w:color w:val="231F20"/>
          <w:w w:val="105"/>
        </w:rPr>
        <w:t>ese</w:t>
      </w:r>
      <w:r>
        <w:rPr>
          <w:color w:val="231F20"/>
          <w:spacing w:val="-14"/>
          <w:w w:val="105"/>
        </w:rPr>
        <w:t> </w:t>
      </w:r>
      <w:r>
        <w:rPr>
          <w:color w:val="231F20"/>
          <w:w w:val="105"/>
        </w:rPr>
        <w:t>campo</w:t>
      </w:r>
      <w:r>
        <w:rPr>
          <w:color w:val="231F20"/>
          <w:spacing w:val="-14"/>
          <w:w w:val="105"/>
        </w:rPr>
        <w:t> </w:t>
      </w:r>
      <w:r>
        <w:rPr>
          <w:color w:val="231F20"/>
          <w:w w:val="105"/>
        </w:rPr>
        <w:t>desde</w:t>
      </w:r>
      <w:r>
        <w:rPr>
          <w:color w:val="231F20"/>
          <w:spacing w:val="-14"/>
          <w:w w:val="105"/>
        </w:rPr>
        <w:t> </w:t>
      </w:r>
      <w:r>
        <w:rPr>
          <w:color w:val="231F20"/>
          <w:w w:val="105"/>
        </w:rPr>
        <w:t>sus</w:t>
      </w:r>
      <w:r>
        <w:rPr>
          <w:color w:val="231F20"/>
          <w:spacing w:val="-14"/>
          <w:w w:val="105"/>
        </w:rPr>
        <w:t> </w:t>
      </w:r>
      <w:r>
        <w:rPr>
          <w:color w:val="231F20"/>
          <w:w w:val="105"/>
        </w:rPr>
        <w:t>distintas</w:t>
      </w:r>
      <w:r>
        <w:rPr>
          <w:color w:val="231F20"/>
          <w:spacing w:val="-14"/>
          <w:w w:val="105"/>
        </w:rPr>
        <w:t> </w:t>
      </w:r>
      <w:r>
        <w:rPr>
          <w:color w:val="231F20"/>
          <w:w w:val="105"/>
        </w:rPr>
        <w:t>posiciones:</w:t>
      </w:r>
      <w:r>
        <w:rPr>
          <w:color w:val="231F20"/>
          <w:spacing w:val="-14"/>
          <w:w w:val="105"/>
        </w:rPr>
        <w:t> </w:t>
      </w:r>
      <w:r>
        <w:rPr>
          <w:color w:val="231F20"/>
          <w:w w:val="105"/>
        </w:rPr>
        <w:t>como</w:t>
      </w:r>
      <w:r>
        <w:rPr>
          <w:color w:val="231F20"/>
          <w:spacing w:val="-14"/>
          <w:w w:val="105"/>
        </w:rPr>
        <w:t> </w:t>
      </w:r>
      <w:r>
        <w:rPr>
          <w:color w:val="231F20"/>
          <w:w w:val="105"/>
        </w:rPr>
        <w:t>migrantes,</w:t>
      </w:r>
      <w:r>
        <w:rPr>
          <w:color w:val="231F20"/>
          <w:spacing w:val="-19"/>
          <w:w w:val="105"/>
        </w:rPr>
        <w:t> </w:t>
      </w:r>
      <w:r>
        <w:rPr>
          <w:color w:val="231F20"/>
          <w:w w:val="105"/>
        </w:rPr>
        <w:t>como cónyuges,</w:t>
      </w:r>
      <w:r>
        <w:rPr>
          <w:color w:val="231F20"/>
          <w:spacing w:val="-29"/>
          <w:w w:val="105"/>
        </w:rPr>
        <w:t> </w:t>
      </w:r>
      <w:r>
        <w:rPr>
          <w:color w:val="231F20"/>
          <w:w w:val="105"/>
        </w:rPr>
        <w:t>desde</w:t>
      </w:r>
      <w:r>
        <w:rPr>
          <w:color w:val="231F20"/>
          <w:spacing w:val="-24"/>
          <w:w w:val="105"/>
        </w:rPr>
        <w:t> </w:t>
      </w:r>
      <w:r>
        <w:rPr>
          <w:color w:val="231F20"/>
          <w:w w:val="105"/>
        </w:rPr>
        <w:t>la</w:t>
      </w:r>
      <w:r>
        <w:rPr>
          <w:color w:val="231F20"/>
          <w:spacing w:val="-24"/>
          <w:w w:val="105"/>
        </w:rPr>
        <w:t> </w:t>
      </w:r>
      <w:r>
        <w:rPr>
          <w:color w:val="231F20"/>
          <w:w w:val="105"/>
        </w:rPr>
        <w:t>posición</w:t>
      </w:r>
      <w:r>
        <w:rPr>
          <w:color w:val="231F20"/>
          <w:spacing w:val="-24"/>
          <w:w w:val="105"/>
        </w:rPr>
        <w:t> </w:t>
      </w:r>
      <w:r>
        <w:rPr>
          <w:color w:val="231F20"/>
          <w:w w:val="105"/>
        </w:rPr>
        <w:t>de</w:t>
      </w:r>
      <w:r>
        <w:rPr>
          <w:color w:val="231F20"/>
          <w:spacing w:val="-24"/>
          <w:w w:val="105"/>
        </w:rPr>
        <w:t> </w:t>
      </w:r>
      <w:r>
        <w:rPr>
          <w:color w:val="231F20"/>
          <w:w w:val="105"/>
        </w:rPr>
        <w:t>hijos/hijas,</w:t>
      </w:r>
      <w:r>
        <w:rPr>
          <w:color w:val="231F20"/>
          <w:spacing w:val="-29"/>
          <w:w w:val="105"/>
        </w:rPr>
        <w:t> </w:t>
      </w:r>
      <w:r>
        <w:rPr>
          <w:color w:val="231F20"/>
          <w:w w:val="105"/>
        </w:rPr>
        <w:t>como</w:t>
      </w:r>
      <w:r>
        <w:rPr>
          <w:color w:val="231F20"/>
          <w:spacing w:val="-24"/>
          <w:w w:val="105"/>
        </w:rPr>
        <w:t> </w:t>
      </w:r>
      <w:r>
        <w:rPr>
          <w:color w:val="231F20"/>
          <w:w w:val="105"/>
        </w:rPr>
        <w:t>integrantes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misma comunidad,</w:t>
      </w:r>
      <w:r>
        <w:rPr>
          <w:color w:val="231F20"/>
          <w:spacing w:val="-21"/>
          <w:w w:val="105"/>
        </w:rPr>
        <w:t> </w:t>
      </w:r>
      <w:r>
        <w:rPr>
          <w:color w:val="231F20"/>
          <w:w w:val="105"/>
        </w:rPr>
        <w:t>como</w:t>
      </w:r>
      <w:r>
        <w:rPr>
          <w:color w:val="231F20"/>
          <w:spacing w:val="-16"/>
          <w:w w:val="105"/>
        </w:rPr>
        <w:t> </w:t>
      </w:r>
      <w:r>
        <w:rPr>
          <w:color w:val="231F20"/>
          <w:w w:val="105"/>
        </w:rPr>
        <w:t>agentes</w:t>
      </w:r>
      <w:r>
        <w:rPr>
          <w:color w:val="231F20"/>
          <w:spacing w:val="-16"/>
          <w:w w:val="105"/>
        </w:rPr>
        <w:t> </w:t>
      </w:r>
      <w:r>
        <w:rPr>
          <w:color w:val="231F20"/>
          <w:w w:val="105"/>
        </w:rPr>
        <w:t>económicos,</w:t>
      </w:r>
      <w:r>
        <w:rPr>
          <w:color w:val="231F20"/>
          <w:spacing w:val="-21"/>
          <w:w w:val="105"/>
        </w:rPr>
        <w:t> </w:t>
      </w:r>
      <w:r>
        <w:rPr>
          <w:color w:val="231F20"/>
          <w:w w:val="105"/>
        </w:rPr>
        <w:t>políticos”</w:t>
      </w:r>
      <w:r>
        <w:rPr>
          <w:color w:val="231F20"/>
          <w:spacing w:val="-16"/>
          <w:w w:val="105"/>
        </w:rPr>
        <w:t> </w:t>
      </w:r>
      <w:r>
        <w:rPr>
          <w:color w:val="231F20"/>
          <w:w w:val="105"/>
        </w:rPr>
        <w:t>(Herrera,</w:t>
      </w:r>
      <w:r>
        <w:rPr>
          <w:color w:val="231F20"/>
          <w:spacing w:val="-21"/>
          <w:w w:val="105"/>
        </w:rPr>
        <w:t> </w:t>
      </w:r>
      <w:r>
        <w:rPr>
          <w:color w:val="231F20"/>
          <w:w w:val="105"/>
        </w:rPr>
        <w:t>2012:</w:t>
      </w:r>
      <w:r>
        <w:rPr>
          <w:color w:val="231F20"/>
          <w:spacing w:val="-16"/>
          <w:w w:val="105"/>
        </w:rPr>
        <w:t> </w:t>
      </w:r>
      <w:r>
        <w:rPr>
          <w:color w:val="231F20"/>
          <w:w w:val="105"/>
        </w:rPr>
        <w:t>43).</w:t>
      </w:r>
      <w:r>
        <w:rPr>
          <w:color w:val="231F20"/>
          <w:spacing w:val="-21"/>
          <w:w w:val="105"/>
        </w:rPr>
        <w:t> </w:t>
      </w:r>
      <w:r>
        <w:rPr>
          <w:color w:val="231F20"/>
          <w:w w:val="105"/>
        </w:rPr>
        <w:t>El retorno</w:t>
      </w:r>
      <w:r>
        <w:rPr>
          <w:color w:val="231F20"/>
          <w:spacing w:val="-12"/>
          <w:w w:val="105"/>
        </w:rPr>
        <w:t> </w:t>
      </w:r>
      <w:r>
        <w:rPr>
          <w:color w:val="231F20"/>
          <w:w w:val="105"/>
        </w:rPr>
        <w:t>guarda</w:t>
      </w:r>
      <w:r>
        <w:rPr>
          <w:color w:val="231F20"/>
          <w:spacing w:val="-12"/>
          <w:w w:val="105"/>
        </w:rPr>
        <w:t> </w:t>
      </w:r>
      <w:r>
        <w:rPr>
          <w:color w:val="231F20"/>
          <w:w w:val="105"/>
        </w:rPr>
        <w:t>esa</w:t>
      </w:r>
      <w:r>
        <w:rPr>
          <w:color w:val="231F20"/>
          <w:spacing w:val="-12"/>
          <w:w w:val="105"/>
        </w:rPr>
        <w:t> </w:t>
      </w:r>
      <w:r>
        <w:rPr>
          <w:color w:val="231F20"/>
          <w:w w:val="105"/>
        </w:rPr>
        <w:t>misma</w:t>
      </w:r>
      <w:r>
        <w:rPr>
          <w:color w:val="231F20"/>
          <w:spacing w:val="-12"/>
          <w:w w:val="105"/>
        </w:rPr>
        <w:t> </w:t>
      </w:r>
      <w:r>
        <w:rPr>
          <w:color w:val="231F20"/>
          <w:w w:val="105"/>
        </w:rPr>
        <w:t>lógica</w:t>
      </w:r>
      <w:r>
        <w:rPr>
          <w:color w:val="231F20"/>
          <w:spacing w:val="-12"/>
          <w:w w:val="105"/>
        </w:rPr>
        <w:t> </w:t>
      </w:r>
      <w:r>
        <w:rPr>
          <w:color w:val="231F20"/>
          <w:w w:val="105"/>
        </w:rPr>
        <w:t>en</w:t>
      </w:r>
      <w:r>
        <w:rPr>
          <w:color w:val="231F20"/>
          <w:spacing w:val="-12"/>
          <w:w w:val="105"/>
        </w:rPr>
        <w:t> </w:t>
      </w:r>
      <w:r>
        <w:rPr>
          <w:color w:val="231F20"/>
          <w:w w:val="105"/>
        </w:rPr>
        <w:t>sus</w:t>
      </w:r>
      <w:r>
        <w:rPr>
          <w:color w:val="231F20"/>
          <w:spacing w:val="-12"/>
          <w:w w:val="105"/>
        </w:rPr>
        <w:t> </w:t>
      </w:r>
      <w:r>
        <w:rPr>
          <w:color w:val="231F20"/>
          <w:w w:val="105"/>
        </w:rPr>
        <w:t>itinerarios,</w:t>
      </w:r>
      <w:r>
        <w:rPr>
          <w:color w:val="231F20"/>
          <w:spacing w:val="-17"/>
          <w:w w:val="105"/>
        </w:rPr>
        <w:t> </w:t>
      </w:r>
      <w:r>
        <w:rPr>
          <w:color w:val="231F20"/>
          <w:w w:val="105"/>
        </w:rPr>
        <w:t>temporalidades</w:t>
      </w:r>
      <w:r>
        <w:rPr>
          <w:color w:val="231F20"/>
          <w:spacing w:val="-12"/>
          <w:w w:val="105"/>
        </w:rPr>
        <w:t> </w:t>
      </w:r>
      <w:r>
        <w:rPr>
          <w:color w:val="231F20"/>
          <w:w w:val="105"/>
        </w:rPr>
        <w:t>y</w:t>
      </w:r>
      <w:r>
        <w:rPr>
          <w:color w:val="231F20"/>
          <w:spacing w:val="-12"/>
          <w:w w:val="105"/>
        </w:rPr>
        <w:t> </w:t>
      </w:r>
      <w:r>
        <w:rPr>
          <w:color w:val="231F20"/>
          <w:w w:val="105"/>
        </w:rPr>
        <w:t>di- námicas</w:t>
      </w:r>
      <w:r>
        <w:rPr>
          <w:color w:val="231F20"/>
          <w:spacing w:val="-6"/>
          <w:w w:val="105"/>
        </w:rPr>
        <w:t> </w:t>
      </w:r>
      <w:r>
        <w:rPr>
          <w:color w:val="231F20"/>
          <w:w w:val="105"/>
        </w:rPr>
        <w:t>de</w:t>
      </w:r>
      <w:r>
        <w:rPr>
          <w:color w:val="231F20"/>
          <w:spacing w:val="-6"/>
          <w:w w:val="105"/>
        </w:rPr>
        <w:t> </w:t>
      </w:r>
      <w:r>
        <w:rPr>
          <w:color w:val="231F20"/>
          <w:w w:val="105"/>
        </w:rPr>
        <w:t>reincorporación.</w:t>
      </w:r>
      <w:r>
        <w:rPr>
          <w:color w:val="231F20"/>
          <w:spacing w:val="-11"/>
          <w:w w:val="105"/>
        </w:rPr>
        <w:t> </w:t>
      </w:r>
      <w:r>
        <w:rPr>
          <w:color w:val="231F20"/>
          <w:w w:val="105"/>
        </w:rPr>
        <w:t>En</w:t>
      </w:r>
      <w:r>
        <w:rPr>
          <w:color w:val="231F20"/>
          <w:spacing w:val="-6"/>
          <w:w w:val="105"/>
        </w:rPr>
        <w:t> </w:t>
      </w:r>
      <w:r>
        <w:rPr>
          <w:color w:val="231F20"/>
          <w:w w:val="105"/>
        </w:rPr>
        <w:t>este</w:t>
      </w:r>
      <w:r>
        <w:rPr>
          <w:color w:val="231F20"/>
          <w:spacing w:val="-6"/>
          <w:w w:val="105"/>
        </w:rPr>
        <w:t> </w:t>
      </w:r>
      <w:r>
        <w:rPr>
          <w:color w:val="231F20"/>
          <w:w w:val="105"/>
        </w:rPr>
        <w:t>sentido,</w:t>
      </w:r>
      <w:r>
        <w:rPr>
          <w:color w:val="231F20"/>
          <w:spacing w:val="-11"/>
          <w:w w:val="105"/>
        </w:rPr>
        <w:t> </w:t>
      </w:r>
      <w:r>
        <w:rPr>
          <w:color w:val="231F20"/>
          <w:w w:val="105"/>
        </w:rPr>
        <w:t>denominamos</w:t>
      </w:r>
      <w:r>
        <w:rPr>
          <w:color w:val="231F20"/>
          <w:spacing w:val="-6"/>
          <w:w w:val="105"/>
        </w:rPr>
        <w:t> </w:t>
      </w:r>
      <w:r>
        <w:rPr>
          <w:color w:val="231F20"/>
          <w:w w:val="105"/>
        </w:rPr>
        <w:t>sociocultu- ral,</w:t>
      </w:r>
      <w:r>
        <w:rPr>
          <w:color w:val="231F20"/>
          <w:spacing w:val="-32"/>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migración</w:t>
      </w:r>
      <w:r>
        <w:rPr>
          <w:color w:val="231F20"/>
          <w:spacing w:val="-26"/>
          <w:w w:val="105"/>
        </w:rPr>
        <w:t> </w:t>
      </w:r>
      <w:r>
        <w:rPr>
          <w:color w:val="231F20"/>
          <w:w w:val="105"/>
        </w:rPr>
        <w:t>y</w:t>
      </w:r>
      <w:r>
        <w:rPr>
          <w:color w:val="231F20"/>
          <w:spacing w:val="-26"/>
          <w:w w:val="105"/>
        </w:rPr>
        <w:t> </w:t>
      </w:r>
      <w:r>
        <w:rPr>
          <w:color w:val="231F20"/>
          <w:w w:val="105"/>
        </w:rPr>
        <w:t>el</w:t>
      </w:r>
      <w:r>
        <w:rPr>
          <w:color w:val="231F20"/>
          <w:spacing w:val="-26"/>
          <w:w w:val="105"/>
        </w:rPr>
        <w:t> </w:t>
      </w:r>
      <w:r>
        <w:rPr>
          <w:color w:val="231F20"/>
          <w:w w:val="105"/>
        </w:rPr>
        <w:t>retorno,</w:t>
      </w:r>
      <w:r>
        <w:rPr>
          <w:color w:val="231F20"/>
          <w:spacing w:val="-32"/>
          <w:w w:val="105"/>
        </w:rPr>
        <w:t> </w:t>
      </w:r>
      <w:r>
        <w:rPr>
          <w:color w:val="231F20"/>
          <w:w w:val="105"/>
        </w:rPr>
        <w:t>a</w:t>
      </w:r>
      <w:r>
        <w:rPr>
          <w:color w:val="231F20"/>
          <w:spacing w:val="-26"/>
          <w:w w:val="105"/>
        </w:rPr>
        <w:t> </w:t>
      </w:r>
      <w:r>
        <w:rPr>
          <w:color w:val="231F20"/>
          <w:w w:val="105"/>
        </w:rPr>
        <w:t>los</w:t>
      </w:r>
      <w:r>
        <w:rPr>
          <w:color w:val="231F20"/>
          <w:spacing w:val="-26"/>
          <w:w w:val="105"/>
        </w:rPr>
        <w:t> </w:t>
      </w:r>
      <w:r>
        <w:rPr>
          <w:color w:val="231F20"/>
          <w:w w:val="105"/>
        </w:rPr>
        <w:t>cambios,</w:t>
      </w:r>
      <w:r>
        <w:rPr>
          <w:color w:val="231F20"/>
          <w:spacing w:val="-32"/>
          <w:w w:val="105"/>
        </w:rPr>
        <w:t> </w:t>
      </w:r>
      <w:r>
        <w:rPr>
          <w:color w:val="231F20"/>
          <w:w w:val="105"/>
        </w:rPr>
        <w:t>los</w:t>
      </w:r>
      <w:r>
        <w:rPr>
          <w:color w:val="231F20"/>
          <w:spacing w:val="-26"/>
          <w:w w:val="105"/>
        </w:rPr>
        <w:t> </w:t>
      </w:r>
      <w:r>
        <w:rPr>
          <w:color w:val="231F20"/>
          <w:w w:val="105"/>
        </w:rPr>
        <w:t>aportes,</w:t>
      </w:r>
      <w:r>
        <w:rPr>
          <w:color w:val="231F20"/>
          <w:spacing w:val="-32"/>
          <w:w w:val="105"/>
        </w:rPr>
        <w:t> </w:t>
      </w:r>
      <w:r>
        <w:rPr>
          <w:color w:val="231F20"/>
          <w:w w:val="105"/>
        </w:rPr>
        <w:t>las</w:t>
      </w:r>
      <w:r>
        <w:rPr>
          <w:color w:val="231F20"/>
          <w:spacing w:val="-26"/>
          <w:w w:val="105"/>
        </w:rPr>
        <w:t> </w:t>
      </w:r>
      <w:r>
        <w:rPr>
          <w:color w:val="231F20"/>
          <w:w w:val="105"/>
        </w:rPr>
        <w:t>negociacio- nes, los conflictos y la continuidad del plan de vida anclado a objetivos </w:t>
      </w:r>
      <w:r>
        <w:rPr>
          <w:color w:val="231F20"/>
        </w:rPr>
        <w:t>comunes (Rivera,</w:t>
      </w:r>
      <w:r>
        <w:rPr>
          <w:color w:val="231F20"/>
          <w:spacing w:val="-14"/>
        </w:rPr>
        <w:t> </w:t>
      </w:r>
      <w:r>
        <w:rPr>
          <w:color w:val="231F20"/>
        </w:rPr>
        <w:t>2004).</w:t>
      </w:r>
    </w:p>
    <w:p>
      <w:pPr>
        <w:pStyle w:val="BodyText"/>
        <w:spacing w:line="261" w:lineRule="auto" w:before="1"/>
        <w:ind w:left="1723" w:right="1834" w:firstLine="567"/>
        <w:jc w:val="both"/>
      </w:pPr>
      <w:r>
        <w:rPr>
          <w:color w:val="231F20"/>
          <w:w w:val="105"/>
        </w:rPr>
        <w:t>Más</w:t>
      </w:r>
      <w:r>
        <w:rPr>
          <w:color w:val="231F20"/>
          <w:spacing w:val="-23"/>
          <w:w w:val="105"/>
        </w:rPr>
        <w:t> </w:t>
      </w:r>
      <w:r>
        <w:rPr>
          <w:color w:val="231F20"/>
          <w:w w:val="105"/>
        </w:rPr>
        <w:t>allá</w:t>
      </w:r>
      <w:r>
        <w:rPr>
          <w:color w:val="231F20"/>
          <w:spacing w:val="-23"/>
          <w:w w:val="105"/>
        </w:rPr>
        <w:t> </w:t>
      </w:r>
      <w:r>
        <w:rPr>
          <w:color w:val="231F20"/>
          <w:w w:val="105"/>
        </w:rPr>
        <w:t>de</w:t>
      </w:r>
      <w:r>
        <w:rPr>
          <w:color w:val="231F20"/>
          <w:spacing w:val="-23"/>
          <w:w w:val="105"/>
        </w:rPr>
        <w:t> </w:t>
      </w:r>
      <w:r>
        <w:rPr>
          <w:color w:val="231F20"/>
          <w:w w:val="105"/>
        </w:rPr>
        <w:t>establecer</w:t>
      </w:r>
      <w:r>
        <w:rPr>
          <w:color w:val="231F20"/>
          <w:spacing w:val="-23"/>
          <w:w w:val="105"/>
        </w:rPr>
        <w:t> </w:t>
      </w:r>
      <w:r>
        <w:rPr>
          <w:color w:val="231F20"/>
          <w:w w:val="105"/>
        </w:rPr>
        <w:t>perfiles</w:t>
      </w:r>
      <w:r>
        <w:rPr>
          <w:color w:val="231F20"/>
          <w:spacing w:val="-23"/>
          <w:w w:val="105"/>
        </w:rPr>
        <w:t> </w:t>
      </w:r>
      <w:r>
        <w:rPr>
          <w:color w:val="231F20"/>
          <w:w w:val="105"/>
        </w:rPr>
        <w:t>de</w:t>
      </w:r>
      <w:r>
        <w:rPr>
          <w:color w:val="231F20"/>
          <w:spacing w:val="-23"/>
          <w:w w:val="105"/>
        </w:rPr>
        <w:t> </w:t>
      </w:r>
      <w:r>
        <w:rPr>
          <w:color w:val="231F20"/>
          <w:w w:val="105"/>
        </w:rPr>
        <w:t>migrantes</w:t>
      </w:r>
      <w:r>
        <w:rPr>
          <w:color w:val="231F20"/>
          <w:spacing w:val="-23"/>
          <w:w w:val="105"/>
        </w:rPr>
        <w:t> </w:t>
      </w:r>
      <w:r>
        <w:rPr>
          <w:color w:val="231F20"/>
          <w:w w:val="105"/>
        </w:rPr>
        <w:t>retornados,</w:t>
      </w:r>
      <w:r>
        <w:rPr>
          <w:color w:val="231F20"/>
          <w:spacing w:val="-27"/>
          <w:w w:val="105"/>
        </w:rPr>
        <w:t> </w:t>
      </w:r>
      <w:r>
        <w:rPr>
          <w:color w:val="231F20"/>
          <w:w w:val="105"/>
        </w:rPr>
        <w:t>sus</w:t>
      </w:r>
      <w:r>
        <w:rPr>
          <w:color w:val="231F20"/>
          <w:spacing w:val="-23"/>
          <w:w w:val="105"/>
        </w:rPr>
        <w:t> </w:t>
      </w:r>
      <w:r>
        <w:rPr>
          <w:color w:val="231F20"/>
          <w:w w:val="105"/>
        </w:rPr>
        <w:t>carac- terísticas sociodemográficas y el modo en que participan nuevamente del mercado de trabajo en los lugares de partida, interesa conocer el modo</w:t>
      </w:r>
      <w:r>
        <w:rPr>
          <w:color w:val="231F20"/>
          <w:spacing w:val="-7"/>
          <w:w w:val="105"/>
        </w:rPr>
        <w:t> </w:t>
      </w:r>
      <w:r>
        <w:rPr>
          <w:color w:val="231F20"/>
          <w:w w:val="105"/>
        </w:rPr>
        <w:t>en</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migración</w:t>
      </w:r>
      <w:r>
        <w:rPr>
          <w:color w:val="231F20"/>
          <w:spacing w:val="-7"/>
          <w:w w:val="105"/>
        </w:rPr>
        <w:t> </w:t>
      </w:r>
      <w:r>
        <w:rPr>
          <w:color w:val="231F20"/>
          <w:w w:val="105"/>
        </w:rPr>
        <w:t>de</w:t>
      </w:r>
      <w:r>
        <w:rPr>
          <w:color w:val="231F20"/>
          <w:spacing w:val="-7"/>
          <w:w w:val="105"/>
        </w:rPr>
        <w:t> </w:t>
      </w:r>
      <w:r>
        <w:rPr>
          <w:color w:val="231F20"/>
          <w:w w:val="105"/>
        </w:rPr>
        <w:t>retorno</w:t>
      </w:r>
      <w:r>
        <w:rPr>
          <w:color w:val="231F20"/>
          <w:spacing w:val="-7"/>
          <w:w w:val="105"/>
        </w:rPr>
        <w:t> </w:t>
      </w:r>
      <w:r>
        <w:rPr>
          <w:color w:val="231F20"/>
          <w:w w:val="105"/>
        </w:rPr>
        <w:t>se</w:t>
      </w:r>
      <w:r>
        <w:rPr>
          <w:color w:val="231F20"/>
          <w:spacing w:val="-7"/>
          <w:w w:val="105"/>
        </w:rPr>
        <w:t> </w:t>
      </w:r>
      <w:r>
        <w:rPr>
          <w:color w:val="231F20"/>
          <w:w w:val="105"/>
        </w:rPr>
        <w:t>manifiesta</w:t>
      </w:r>
      <w:r>
        <w:rPr>
          <w:color w:val="231F20"/>
          <w:spacing w:val="-7"/>
          <w:w w:val="105"/>
        </w:rPr>
        <w:t> </w:t>
      </w:r>
      <w:r>
        <w:rPr>
          <w:color w:val="231F20"/>
          <w:w w:val="105"/>
        </w:rPr>
        <w:t>como</w:t>
      </w:r>
      <w:r>
        <w:rPr>
          <w:color w:val="231F20"/>
          <w:spacing w:val="-7"/>
          <w:w w:val="105"/>
        </w:rPr>
        <w:t> </w:t>
      </w:r>
      <w:r>
        <w:rPr>
          <w:color w:val="231F20"/>
          <w:w w:val="105"/>
        </w:rPr>
        <w:t>un</w:t>
      </w:r>
      <w:r>
        <w:rPr>
          <w:color w:val="231F20"/>
          <w:spacing w:val="-7"/>
          <w:w w:val="105"/>
        </w:rPr>
        <w:t> </w:t>
      </w:r>
      <w:r>
        <w:rPr>
          <w:color w:val="231F20"/>
          <w:w w:val="105"/>
        </w:rPr>
        <w:t>proceso</w:t>
      </w:r>
      <w:r>
        <w:rPr>
          <w:color w:val="231F20"/>
          <w:spacing w:val="-7"/>
          <w:w w:val="105"/>
        </w:rPr>
        <w:t> </w:t>
      </w:r>
      <w:r>
        <w:rPr>
          <w:color w:val="231F20"/>
          <w:w w:val="105"/>
        </w:rPr>
        <w:t>de re-adaptación</w:t>
      </w:r>
      <w:r>
        <w:rPr>
          <w:color w:val="231F20"/>
          <w:spacing w:val="-12"/>
          <w:w w:val="105"/>
        </w:rPr>
        <w:t> </w:t>
      </w:r>
      <w:r>
        <w:rPr>
          <w:color w:val="231F20"/>
          <w:w w:val="105"/>
        </w:rPr>
        <w:t>con</w:t>
      </w:r>
      <w:r>
        <w:rPr>
          <w:color w:val="231F20"/>
          <w:spacing w:val="-12"/>
          <w:w w:val="105"/>
        </w:rPr>
        <w:t> </w:t>
      </w:r>
      <w:r>
        <w:rPr>
          <w:color w:val="231F20"/>
          <w:w w:val="105"/>
        </w:rPr>
        <w:t>las</w:t>
      </w:r>
      <w:r>
        <w:rPr>
          <w:color w:val="231F20"/>
          <w:spacing w:val="-12"/>
          <w:w w:val="105"/>
        </w:rPr>
        <w:t> </w:t>
      </w:r>
      <w:r>
        <w:rPr>
          <w:color w:val="231F20"/>
          <w:w w:val="105"/>
        </w:rPr>
        <w:t>personas</w:t>
      </w:r>
      <w:r>
        <w:rPr>
          <w:color w:val="231F20"/>
          <w:spacing w:val="-12"/>
          <w:w w:val="105"/>
        </w:rPr>
        <w:t> </w:t>
      </w:r>
      <w:r>
        <w:rPr>
          <w:color w:val="231F20"/>
          <w:w w:val="105"/>
        </w:rPr>
        <w:t>y</w:t>
      </w:r>
      <w:r>
        <w:rPr>
          <w:color w:val="231F20"/>
          <w:spacing w:val="-12"/>
          <w:w w:val="105"/>
        </w:rPr>
        <w:t> </w:t>
      </w:r>
      <w:r>
        <w:rPr>
          <w:color w:val="231F20"/>
          <w:w w:val="105"/>
        </w:rPr>
        <w:t>los</w:t>
      </w:r>
      <w:r>
        <w:rPr>
          <w:color w:val="231F20"/>
          <w:spacing w:val="-12"/>
          <w:w w:val="105"/>
        </w:rPr>
        <w:t> </w:t>
      </w:r>
      <w:r>
        <w:rPr>
          <w:color w:val="231F20"/>
          <w:w w:val="105"/>
        </w:rPr>
        <w:t>espacios</w:t>
      </w:r>
      <w:r>
        <w:rPr>
          <w:color w:val="231F20"/>
          <w:spacing w:val="-12"/>
          <w:w w:val="105"/>
        </w:rPr>
        <w:t> </w:t>
      </w:r>
      <w:r>
        <w:rPr>
          <w:color w:val="231F20"/>
          <w:w w:val="105"/>
        </w:rPr>
        <w:t>sociales</w:t>
      </w:r>
      <w:r>
        <w:rPr>
          <w:color w:val="231F20"/>
          <w:spacing w:val="-12"/>
          <w:w w:val="105"/>
        </w:rPr>
        <w:t> </w:t>
      </w:r>
      <w:r>
        <w:rPr>
          <w:color w:val="231F20"/>
          <w:w w:val="105"/>
        </w:rPr>
        <w:t>que,</w:t>
      </w:r>
      <w:r>
        <w:rPr>
          <w:color w:val="231F20"/>
          <w:spacing w:val="-17"/>
          <w:w w:val="105"/>
        </w:rPr>
        <w:t> </w:t>
      </w:r>
      <w:r>
        <w:rPr>
          <w:color w:val="231F20"/>
          <w:w w:val="105"/>
        </w:rPr>
        <w:t>al</w:t>
      </w:r>
      <w:r>
        <w:rPr>
          <w:color w:val="231F20"/>
          <w:spacing w:val="-12"/>
          <w:w w:val="105"/>
        </w:rPr>
        <w:t> </w:t>
      </w:r>
      <w:r>
        <w:rPr>
          <w:color w:val="231F20"/>
          <w:w w:val="105"/>
        </w:rPr>
        <w:t>igual</w:t>
      </w:r>
      <w:r>
        <w:rPr>
          <w:color w:val="231F20"/>
          <w:spacing w:val="-12"/>
          <w:w w:val="105"/>
        </w:rPr>
        <w:t> </w:t>
      </w:r>
      <w:r>
        <w:rPr>
          <w:color w:val="231F20"/>
          <w:w w:val="105"/>
        </w:rPr>
        <w:t>que el migrante, han cambiado en el curso de la trayectoria-experiencia</w:t>
      </w:r>
      <w:r>
        <w:rPr>
          <w:color w:val="231F20"/>
          <w:spacing w:val="-10"/>
          <w:w w:val="105"/>
        </w:rPr>
        <w:t> </w:t>
      </w:r>
      <w:r>
        <w:rPr>
          <w:color w:val="231F20"/>
          <w:w w:val="105"/>
        </w:rPr>
        <w:t>mi- gratoria.</w:t>
      </w:r>
      <w:r>
        <w:rPr>
          <w:color w:val="231F20"/>
          <w:spacing w:val="-31"/>
          <w:w w:val="105"/>
        </w:rPr>
        <w:t> </w:t>
      </w:r>
      <w:r>
        <w:rPr>
          <w:color w:val="231F20"/>
          <w:w w:val="105"/>
        </w:rPr>
        <w:t>Esta</w:t>
      </w:r>
      <w:r>
        <w:rPr>
          <w:color w:val="231F20"/>
          <w:spacing w:val="-27"/>
          <w:w w:val="105"/>
        </w:rPr>
        <w:t> </w:t>
      </w:r>
      <w:r>
        <w:rPr>
          <w:color w:val="231F20"/>
          <w:w w:val="105"/>
        </w:rPr>
        <w:t>mirada</w:t>
      </w:r>
      <w:r>
        <w:rPr>
          <w:color w:val="231F20"/>
          <w:spacing w:val="-27"/>
          <w:w w:val="105"/>
        </w:rPr>
        <w:t> </w:t>
      </w:r>
      <w:r>
        <w:rPr>
          <w:color w:val="231F20"/>
          <w:w w:val="105"/>
        </w:rPr>
        <w:t>focaliza</w:t>
      </w:r>
      <w:r>
        <w:rPr>
          <w:color w:val="231F20"/>
          <w:spacing w:val="-27"/>
          <w:w w:val="105"/>
        </w:rPr>
        <w:t> </w:t>
      </w:r>
      <w:r>
        <w:rPr>
          <w:color w:val="231F20"/>
          <w:w w:val="105"/>
        </w:rPr>
        <w:t>la</w:t>
      </w:r>
      <w:r>
        <w:rPr>
          <w:color w:val="231F20"/>
          <w:spacing w:val="-27"/>
          <w:w w:val="105"/>
        </w:rPr>
        <w:t> </w:t>
      </w:r>
      <w:r>
        <w:rPr>
          <w:color w:val="231F20"/>
          <w:w w:val="105"/>
        </w:rPr>
        <w:t>relevancia</w:t>
      </w:r>
      <w:r>
        <w:rPr>
          <w:color w:val="231F20"/>
          <w:spacing w:val="-27"/>
          <w:w w:val="105"/>
        </w:rPr>
        <w:t> </w:t>
      </w:r>
      <w:r>
        <w:rPr>
          <w:color w:val="231F20"/>
          <w:w w:val="105"/>
        </w:rPr>
        <w:t>de</w:t>
      </w:r>
      <w:r>
        <w:rPr>
          <w:color w:val="231F20"/>
          <w:spacing w:val="-27"/>
          <w:w w:val="105"/>
        </w:rPr>
        <w:t> </w:t>
      </w:r>
      <w:r>
        <w:rPr>
          <w:color w:val="231F20"/>
          <w:w w:val="105"/>
        </w:rPr>
        <w:t>conocer</w:t>
      </w:r>
      <w:r>
        <w:rPr>
          <w:color w:val="231F20"/>
          <w:spacing w:val="-27"/>
          <w:w w:val="105"/>
        </w:rPr>
        <w:t> </w:t>
      </w:r>
      <w:r>
        <w:rPr>
          <w:color w:val="231F20"/>
          <w:w w:val="105"/>
        </w:rPr>
        <w:t>las</w:t>
      </w:r>
      <w:r>
        <w:rPr>
          <w:color w:val="231F20"/>
          <w:spacing w:val="-27"/>
          <w:w w:val="105"/>
        </w:rPr>
        <w:t> </w:t>
      </w:r>
      <w:r>
        <w:rPr>
          <w:color w:val="231F20"/>
          <w:w w:val="105"/>
        </w:rPr>
        <w:t>“repercusiones sobre</w:t>
      </w:r>
      <w:r>
        <w:rPr>
          <w:color w:val="231F20"/>
          <w:spacing w:val="-23"/>
          <w:w w:val="105"/>
        </w:rPr>
        <w:t> </w:t>
      </w:r>
      <w:r>
        <w:rPr>
          <w:color w:val="231F20"/>
          <w:w w:val="105"/>
        </w:rPr>
        <w:t>la</w:t>
      </w:r>
      <w:r>
        <w:rPr>
          <w:color w:val="231F20"/>
          <w:spacing w:val="-23"/>
          <w:w w:val="105"/>
        </w:rPr>
        <w:t> </w:t>
      </w:r>
      <w:r>
        <w:rPr>
          <w:color w:val="231F20"/>
          <w:w w:val="105"/>
        </w:rPr>
        <w:t>construcción</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significados</w:t>
      </w:r>
      <w:r>
        <w:rPr>
          <w:color w:val="231F20"/>
          <w:spacing w:val="-23"/>
          <w:w w:val="105"/>
        </w:rPr>
        <w:t> </w:t>
      </w:r>
      <w:r>
        <w:rPr>
          <w:color w:val="231F20"/>
          <w:w w:val="105"/>
        </w:rPr>
        <w:t>y</w:t>
      </w:r>
      <w:r>
        <w:rPr>
          <w:color w:val="231F20"/>
          <w:spacing w:val="-23"/>
          <w:w w:val="105"/>
        </w:rPr>
        <w:t> </w:t>
      </w:r>
      <w:r>
        <w:rPr>
          <w:color w:val="231F20"/>
          <w:w w:val="105"/>
        </w:rPr>
        <w:t>las</w:t>
      </w:r>
      <w:r>
        <w:rPr>
          <w:color w:val="231F20"/>
          <w:spacing w:val="-23"/>
          <w:w w:val="105"/>
        </w:rPr>
        <w:t> </w:t>
      </w:r>
      <w:r>
        <w:rPr>
          <w:color w:val="231F20"/>
          <w:w w:val="105"/>
        </w:rPr>
        <w:t>representaciones</w:t>
      </w:r>
      <w:r>
        <w:rPr>
          <w:color w:val="231F20"/>
          <w:spacing w:val="-23"/>
          <w:w w:val="105"/>
        </w:rPr>
        <w:t> </w:t>
      </w:r>
      <w:r>
        <w:rPr>
          <w:color w:val="231F20"/>
          <w:w w:val="105"/>
        </w:rPr>
        <w:t>sociales; la</w:t>
      </w:r>
      <w:r>
        <w:rPr>
          <w:color w:val="231F20"/>
          <w:spacing w:val="-5"/>
          <w:w w:val="105"/>
        </w:rPr>
        <w:t> </w:t>
      </w:r>
      <w:r>
        <w:rPr>
          <w:color w:val="231F20"/>
          <w:w w:val="105"/>
        </w:rPr>
        <w:t>manera</w:t>
      </w:r>
      <w:r>
        <w:rPr>
          <w:color w:val="231F20"/>
          <w:spacing w:val="-5"/>
          <w:w w:val="105"/>
        </w:rPr>
        <w:t> </w:t>
      </w:r>
      <w:r>
        <w:rPr>
          <w:color w:val="231F20"/>
          <w:w w:val="105"/>
        </w:rPr>
        <w:t>en</w:t>
      </w:r>
      <w:r>
        <w:rPr>
          <w:color w:val="231F20"/>
          <w:spacing w:val="-5"/>
          <w:w w:val="105"/>
        </w:rPr>
        <w:t> </w:t>
      </w:r>
      <w:r>
        <w:rPr>
          <w:color w:val="231F20"/>
          <w:w w:val="105"/>
        </w:rPr>
        <w:t>que</w:t>
      </w:r>
      <w:r>
        <w:rPr>
          <w:color w:val="231F20"/>
          <w:spacing w:val="-5"/>
          <w:w w:val="105"/>
        </w:rPr>
        <w:t> </w:t>
      </w:r>
      <w:r>
        <w:rPr>
          <w:color w:val="231F20"/>
          <w:w w:val="105"/>
        </w:rPr>
        <w:t>esta</w:t>
      </w:r>
      <w:r>
        <w:rPr>
          <w:color w:val="231F20"/>
          <w:spacing w:val="-5"/>
          <w:w w:val="105"/>
        </w:rPr>
        <w:t> </w:t>
      </w:r>
      <w:r>
        <w:rPr>
          <w:color w:val="231F20"/>
          <w:w w:val="105"/>
        </w:rPr>
        <w:t>experiencia</w:t>
      </w:r>
      <w:r>
        <w:rPr>
          <w:color w:val="231F20"/>
          <w:spacing w:val="-5"/>
          <w:w w:val="105"/>
        </w:rPr>
        <w:t> </w:t>
      </w:r>
      <w:r>
        <w:rPr>
          <w:color w:val="231F20"/>
          <w:w w:val="105"/>
        </w:rPr>
        <w:t>es</w:t>
      </w:r>
      <w:r>
        <w:rPr>
          <w:color w:val="231F20"/>
          <w:spacing w:val="-5"/>
          <w:w w:val="105"/>
        </w:rPr>
        <w:t> </w:t>
      </w:r>
      <w:r>
        <w:rPr>
          <w:color w:val="231F20"/>
          <w:w w:val="105"/>
        </w:rPr>
        <w:t>recogida</w:t>
      </w:r>
      <w:r>
        <w:rPr>
          <w:color w:val="231F20"/>
          <w:spacing w:val="-5"/>
          <w:w w:val="105"/>
        </w:rPr>
        <w:t> </w:t>
      </w:r>
      <w:r>
        <w:rPr>
          <w:color w:val="231F20"/>
          <w:w w:val="105"/>
        </w:rPr>
        <w:t>y</w:t>
      </w:r>
      <w:r>
        <w:rPr>
          <w:color w:val="231F20"/>
          <w:spacing w:val="-5"/>
          <w:w w:val="105"/>
        </w:rPr>
        <w:t> </w:t>
      </w:r>
      <w:r>
        <w:rPr>
          <w:color w:val="231F20"/>
          <w:w w:val="105"/>
        </w:rPr>
        <w:t>reelaborada</w:t>
      </w:r>
      <w:r>
        <w:rPr>
          <w:color w:val="231F20"/>
          <w:spacing w:val="-5"/>
          <w:w w:val="105"/>
        </w:rPr>
        <w:t> </w:t>
      </w:r>
      <w:r>
        <w:rPr>
          <w:color w:val="231F20"/>
          <w:w w:val="105"/>
        </w:rPr>
        <w:t>personal- mente</w:t>
      </w:r>
      <w:r>
        <w:rPr>
          <w:color w:val="231F20"/>
          <w:spacing w:val="-21"/>
          <w:w w:val="105"/>
        </w:rPr>
        <w:t> </w:t>
      </w:r>
      <w:r>
        <w:rPr>
          <w:color w:val="231F20"/>
          <w:w w:val="105"/>
        </w:rPr>
        <w:t>desde</w:t>
      </w:r>
      <w:r>
        <w:rPr>
          <w:color w:val="231F20"/>
          <w:spacing w:val="-21"/>
          <w:w w:val="105"/>
        </w:rPr>
        <w:t> </w:t>
      </w:r>
      <w:r>
        <w:rPr>
          <w:color w:val="231F20"/>
          <w:w w:val="105"/>
        </w:rPr>
        <w:t>la</w:t>
      </w:r>
      <w:r>
        <w:rPr>
          <w:color w:val="231F20"/>
          <w:spacing w:val="-21"/>
          <w:w w:val="105"/>
        </w:rPr>
        <w:t> </w:t>
      </w:r>
      <w:r>
        <w:rPr>
          <w:color w:val="231F20"/>
          <w:w w:val="105"/>
        </w:rPr>
        <w:t>diversa</w:t>
      </w:r>
      <w:r>
        <w:rPr>
          <w:color w:val="231F20"/>
          <w:spacing w:val="-21"/>
          <w:w w:val="105"/>
        </w:rPr>
        <w:t> </w:t>
      </w:r>
      <w:r>
        <w:rPr>
          <w:color w:val="231F20"/>
          <w:w w:val="105"/>
        </w:rPr>
        <w:t>matriz</w:t>
      </w:r>
      <w:r>
        <w:rPr>
          <w:color w:val="231F20"/>
          <w:spacing w:val="-21"/>
          <w:w w:val="105"/>
        </w:rPr>
        <w:t> </w:t>
      </w:r>
      <w:r>
        <w:rPr>
          <w:color w:val="231F20"/>
          <w:w w:val="105"/>
        </w:rPr>
        <w:t>cultural</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sociedades</w:t>
      </w:r>
      <w:r>
        <w:rPr>
          <w:color w:val="231F20"/>
          <w:spacing w:val="-21"/>
          <w:w w:val="105"/>
        </w:rPr>
        <w:t> </w:t>
      </w:r>
      <w:r>
        <w:rPr>
          <w:color w:val="231F20"/>
          <w:w w:val="105"/>
        </w:rPr>
        <w:t>de</w:t>
      </w:r>
      <w:r>
        <w:rPr>
          <w:color w:val="231F20"/>
          <w:spacing w:val="-21"/>
          <w:w w:val="105"/>
        </w:rPr>
        <w:t> </w:t>
      </w:r>
      <w:r>
        <w:rPr>
          <w:color w:val="231F20"/>
          <w:w w:val="105"/>
        </w:rPr>
        <w:t>origen</w:t>
      </w:r>
      <w:r>
        <w:rPr>
          <w:color w:val="231F20"/>
          <w:spacing w:val="-21"/>
          <w:w w:val="105"/>
        </w:rPr>
        <w:t> </w:t>
      </w:r>
      <w:r>
        <w:rPr>
          <w:color w:val="231F20"/>
          <w:w w:val="105"/>
        </w:rPr>
        <w:t>y</w:t>
      </w:r>
      <w:r>
        <w:rPr>
          <w:color w:val="231F20"/>
          <w:spacing w:val="-21"/>
          <w:w w:val="105"/>
        </w:rPr>
        <w:t> </w:t>
      </w:r>
      <w:r>
        <w:rPr>
          <w:color w:val="231F20"/>
          <w:w w:val="105"/>
        </w:rPr>
        <w:t>des- tino”</w:t>
      </w:r>
      <w:r>
        <w:rPr>
          <w:color w:val="231F20"/>
          <w:spacing w:val="-21"/>
          <w:w w:val="105"/>
        </w:rPr>
        <w:t> </w:t>
      </w:r>
      <w:r>
        <w:rPr>
          <w:color w:val="231F20"/>
          <w:w w:val="105"/>
        </w:rPr>
        <w:t>(Ariza,</w:t>
      </w:r>
      <w:r>
        <w:rPr>
          <w:color w:val="231F20"/>
          <w:spacing w:val="-26"/>
          <w:w w:val="105"/>
        </w:rPr>
        <w:t> </w:t>
      </w:r>
      <w:r>
        <w:rPr>
          <w:color w:val="231F20"/>
          <w:w w:val="105"/>
        </w:rPr>
        <w:t>2000:</w:t>
      </w:r>
      <w:r>
        <w:rPr>
          <w:color w:val="231F20"/>
          <w:spacing w:val="-21"/>
          <w:w w:val="105"/>
        </w:rPr>
        <w:t> </w:t>
      </w:r>
      <w:r>
        <w:rPr>
          <w:color w:val="231F20"/>
          <w:w w:val="105"/>
        </w:rPr>
        <w:t>18).</w:t>
      </w:r>
    </w:p>
    <w:p>
      <w:pPr>
        <w:pStyle w:val="BodyText"/>
        <w:spacing w:line="261" w:lineRule="auto" w:before="1"/>
        <w:ind w:left="1723" w:right="1829" w:firstLine="567"/>
        <w:jc w:val="both"/>
      </w:pPr>
      <w:r>
        <w:rPr>
          <w:color w:val="231F20"/>
          <w:w w:val="105"/>
        </w:rPr>
        <w:t>El</w:t>
      </w:r>
      <w:r>
        <w:rPr>
          <w:color w:val="231F20"/>
          <w:spacing w:val="-18"/>
          <w:w w:val="105"/>
        </w:rPr>
        <w:t> </w:t>
      </w:r>
      <w:r>
        <w:rPr>
          <w:color w:val="231F20"/>
          <w:w w:val="105"/>
        </w:rPr>
        <w:t>estudio</w:t>
      </w:r>
      <w:r>
        <w:rPr>
          <w:color w:val="231F20"/>
          <w:spacing w:val="-18"/>
          <w:w w:val="105"/>
        </w:rPr>
        <w:t> </w:t>
      </w:r>
      <w:r>
        <w:rPr>
          <w:color w:val="231F20"/>
          <w:w w:val="105"/>
        </w:rPr>
        <w:t>realizado</w:t>
      </w:r>
      <w:r>
        <w:rPr>
          <w:color w:val="231F20"/>
          <w:spacing w:val="-18"/>
          <w:w w:val="105"/>
        </w:rPr>
        <w:t> </w:t>
      </w:r>
      <w:r>
        <w:rPr>
          <w:color w:val="231F20"/>
          <w:w w:val="105"/>
        </w:rPr>
        <w:t>por</w:t>
      </w:r>
      <w:r>
        <w:rPr>
          <w:color w:val="231F20"/>
          <w:spacing w:val="-18"/>
          <w:w w:val="105"/>
        </w:rPr>
        <w:t> </w:t>
      </w:r>
      <w:r>
        <w:rPr>
          <w:color w:val="231F20"/>
          <w:w w:val="105"/>
        </w:rPr>
        <w:t>Rivera</w:t>
      </w:r>
      <w:r>
        <w:rPr>
          <w:color w:val="231F20"/>
          <w:spacing w:val="-18"/>
          <w:w w:val="105"/>
        </w:rPr>
        <w:t> </w:t>
      </w:r>
      <w:r>
        <w:rPr>
          <w:color w:val="231F20"/>
          <w:w w:val="105"/>
        </w:rPr>
        <w:t>(2010-2014)</w:t>
      </w:r>
      <w:r>
        <w:rPr>
          <w:color w:val="231F20"/>
          <w:spacing w:val="-18"/>
          <w:w w:val="105"/>
        </w:rPr>
        <w:t> </w:t>
      </w:r>
      <w:r>
        <w:rPr>
          <w:color w:val="231F20"/>
          <w:w w:val="105"/>
        </w:rPr>
        <w:t>“Migrantes</w:t>
      </w:r>
      <w:r>
        <w:rPr>
          <w:color w:val="231F20"/>
          <w:spacing w:val="-18"/>
          <w:w w:val="105"/>
        </w:rPr>
        <w:t> </w:t>
      </w:r>
      <w:r>
        <w:rPr>
          <w:color w:val="231F20"/>
          <w:w w:val="105"/>
        </w:rPr>
        <w:t>retornados en</w:t>
      </w:r>
      <w:r>
        <w:rPr>
          <w:color w:val="231F20"/>
          <w:spacing w:val="-5"/>
          <w:w w:val="105"/>
        </w:rPr>
        <w:t> </w:t>
      </w:r>
      <w:r>
        <w:rPr>
          <w:color w:val="231F20"/>
          <w:w w:val="105"/>
        </w:rPr>
        <w:t>Nezahualcóyotl,</w:t>
      </w:r>
      <w:r>
        <w:rPr>
          <w:color w:val="231F20"/>
          <w:spacing w:val="-10"/>
          <w:w w:val="105"/>
        </w:rPr>
        <w:t> </w:t>
      </w:r>
      <w:r>
        <w:rPr>
          <w:color w:val="231F20"/>
          <w:w w:val="105"/>
        </w:rPr>
        <w:t>¿Quemas</w:t>
      </w:r>
      <w:r>
        <w:rPr>
          <w:color w:val="231F20"/>
          <w:spacing w:val="-5"/>
          <w:w w:val="105"/>
        </w:rPr>
        <w:t> </w:t>
      </w:r>
      <w:r>
        <w:rPr>
          <w:color w:val="231F20"/>
          <w:w w:val="105"/>
        </w:rPr>
        <w:t>las</w:t>
      </w:r>
      <w:r>
        <w:rPr>
          <w:color w:val="231F20"/>
          <w:spacing w:val="-5"/>
          <w:w w:val="105"/>
        </w:rPr>
        <w:t> </w:t>
      </w:r>
      <w:r>
        <w:rPr>
          <w:color w:val="231F20"/>
          <w:w w:val="105"/>
        </w:rPr>
        <w:t>naves</w:t>
      </w:r>
      <w:r>
        <w:rPr>
          <w:color w:val="231F20"/>
          <w:spacing w:val="-5"/>
          <w:w w:val="105"/>
        </w:rPr>
        <w:t> </w:t>
      </w:r>
      <w:r>
        <w:rPr>
          <w:color w:val="231F20"/>
          <w:w w:val="105"/>
        </w:rPr>
        <w:t>o</w:t>
      </w:r>
      <w:r>
        <w:rPr>
          <w:color w:val="231F20"/>
          <w:spacing w:val="-5"/>
          <w:w w:val="105"/>
        </w:rPr>
        <w:t> </w:t>
      </w:r>
      <w:r>
        <w:rPr>
          <w:color w:val="231F20"/>
          <w:w w:val="105"/>
        </w:rPr>
        <w:t>re-emigrar?”</w:t>
      </w:r>
      <w:r>
        <w:rPr>
          <w:color w:val="231F20"/>
          <w:spacing w:val="-5"/>
          <w:w w:val="105"/>
        </w:rPr>
        <w:t> </w:t>
      </w:r>
      <w:r>
        <w:rPr>
          <w:color w:val="231F20"/>
          <w:w w:val="105"/>
        </w:rPr>
        <w:t>propone</w:t>
      </w:r>
      <w:r>
        <w:rPr>
          <w:color w:val="231F20"/>
          <w:spacing w:val="-5"/>
          <w:w w:val="105"/>
        </w:rPr>
        <w:t> </w:t>
      </w:r>
      <w:r>
        <w:rPr>
          <w:color w:val="231F20"/>
          <w:w w:val="105"/>
        </w:rPr>
        <w:t>“enten- der el contexto de retorno y el papel de los retornados como agentes sociales</w:t>
      </w:r>
      <w:r>
        <w:rPr>
          <w:color w:val="231F20"/>
          <w:spacing w:val="-18"/>
          <w:w w:val="105"/>
        </w:rPr>
        <w:t> </w:t>
      </w:r>
      <w:r>
        <w:rPr>
          <w:color w:val="231F20"/>
          <w:w w:val="105"/>
        </w:rPr>
        <w:t>que</w:t>
      </w:r>
      <w:r>
        <w:rPr>
          <w:color w:val="231F20"/>
          <w:spacing w:val="-18"/>
          <w:w w:val="105"/>
        </w:rPr>
        <w:t> </w:t>
      </w:r>
      <w:r>
        <w:rPr>
          <w:color w:val="231F20"/>
          <w:w w:val="105"/>
        </w:rPr>
        <w:t>median</w:t>
      </w:r>
      <w:r>
        <w:rPr>
          <w:color w:val="231F20"/>
          <w:spacing w:val="-18"/>
          <w:w w:val="105"/>
        </w:rPr>
        <w:t> </w:t>
      </w:r>
      <w:r>
        <w:rPr>
          <w:color w:val="231F20"/>
          <w:w w:val="105"/>
        </w:rPr>
        <w:t>entre</w:t>
      </w:r>
      <w:r>
        <w:rPr>
          <w:color w:val="231F20"/>
          <w:spacing w:val="-18"/>
          <w:w w:val="105"/>
        </w:rPr>
        <w:t> </w:t>
      </w:r>
      <w:r>
        <w:rPr>
          <w:color w:val="231F20"/>
          <w:w w:val="105"/>
        </w:rPr>
        <w:t>las</w:t>
      </w:r>
      <w:r>
        <w:rPr>
          <w:color w:val="231F20"/>
          <w:spacing w:val="-18"/>
          <w:w w:val="105"/>
        </w:rPr>
        <w:t> </w:t>
      </w:r>
      <w:r>
        <w:rPr>
          <w:color w:val="231F20"/>
          <w:w w:val="105"/>
        </w:rPr>
        <w:t>condiciones</w:t>
      </w:r>
      <w:r>
        <w:rPr>
          <w:color w:val="231F20"/>
          <w:spacing w:val="-18"/>
          <w:w w:val="105"/>
        </w:rPr>
        <w:t> </w:t>
      </w:r>
      <w:r>
        <w:rPr>
          <w:color w:val="231F20"/>
          <w:w w:val="105"/>
        </w:rPr>
        <w:t>estructurales</w:t>
      </w:r>
      <w:r>
        <w:rPr>
          <w:color w:val="231F20"/>
          <w:spacing w:val="-18"/>
          <w:w w:val="105"/>
        </w:rPr>
        <w:t> </w:t>
      </w:r>
      <w:r>
        <w:rPr>
          <w:color w:val="231F20"/>
          <w:w w:val="105"/>
        </w:rPr>
        <w:t>y</w:t>
      </w:r>
      <w:r>
        <w:rPr>
          <w:color w:val="231F20"/>
          <w:spacing w:val="-18"/>
          <w:w w:val="105"/>
        </w:rPr>
        <w:t> </w:t>
      </w:r>
      <w:r>
        <w:rPr>
          <w:color w:val="231F20"/>
          <w:w w:val="105"/>
        </w:rPr>
        <w:t>las</w:t>
      </w:r>
      <w:r>
        <w:rPr>
          <w:color w:val="231F20"/>
          <w:spacing w:val="-18"/>
          <w:w w:val="105"/>
        </w:rPr>
        <w:t> </w:t>
      </w:r>
      <w:r>
        <w:rPr>
          <w:color w:val="231F20"/>
          <w:w w:val="105"/>
        </w:rPr>
        <w:t>subjetivas/ objetivas</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entretejen</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experiencia</w:t>
      </w:r>
      <w:r>
        <w:rPr>
          <w:color w:val="231F20"/>
          <w:spacing w:val="-17"/>
          <w:w w:val="105"/>
        </w:rPr>
        <w:t> </w:t>
      </w:r>
      <w:r>
        <w:rPr>
          <w:color w:val="231F20"/>
          <w:w w:val="105"/>
        </w:rPr>
        <w:t>para</w:t>
      </w:r>
      <w:r>
        <w:rPr>
          <w:color w:val="231F20"/>
          <w:spacing w:val="-17"/>
          <w:w w:val="105"/>
        </w:rPr>
        <w:t> </w:t>
      </w:r>
      <w:r>
        <w:rPr>
          <w:color w:val="231F20"/>
          <w:w w:val="105"/>
        </w:rPr>
        <w:t>diseñar</w:t>
      </w:r>
      <w:r>
        <w:rPr>
          <w:color w:val="231F20"/>
          <w:spacing w:val="-17"/>
          <w:w w:val="105"/>
        </w:rPr>
        <w:t> </w:t>
      </w:r>
      <w:r>
        <w:rPr>
          <w:color w:val="231F20"/>
          <w:w w:val="105"/>
        </w:rPr>
        <w:t>estrategias</w:t>
      </w:r>
      <w:r>
        <w:rPr>
          <w:color w:val="231F20"/>
          <w:spacing w:val="-17"/>
          <w:w w:val="105"/>
        </w:rPr>
        <w:t> </w:t>
      </w:r>
      <w:r>
        <w:rPr>
          <w:color w:val="231F20"/>
          <w:w w:val="105"/>
        </w:rPr>
        <w:t>de reinserción”</w:t>
      </w:r>
      <w:r>
        <w:rPr>
          <w:color w:val="231F20"/>
          <w:spacing w:val="-27"/>
          <w:w w:val="105"/>
        </w:rPr>
        <w:t> </w:t>
      </w:r>
      <w:r>
        <w:rPr>
          <w:color w:val="231F20"/>
          <w:w w:val="105"/>
        </w:rPr>
        <w:t>(Rivera,</w:t>
      </w:r>
      <w:r>
        <w:rPr>
          <w:color w:val="231F20"/>
          <w:spacing w:val="-31"/>
          <w:w w:val="105"/>
        </w:rPr>
        <w:t> </w:t>
      </w:r>
      <w:r>
        <w:rPr>
          <w:color w:val="231F20"/>
          <w:w w:val="105"/>
        </w:rPr>
        <w:t>2013:</w:t>
      </w:r>
      <w:r>
        <w:rPr>
          <w:color w:val="231F20"/>
          <w:spacing w:val="-27"/>
          <w:w w:val="105"/>
        </w:rPr>
        <w:t> </w:t>
      </w:r>
      <w:r>
        <w:rPr>
          <w:color w:val="231F20"/>
          <w:w w:val="105"/>
        </w:rPr>
        <w:t>57).</w:t>
      </w:r>
      <w:r>
        <w:rPr>
          <w:color w:val="231F20"/>
          <w:spacing w:val="-31"/>
          <w:w w:val="105"/>
        </w:rPr>
        <w:t> </w:t>
      </w:r>
      <w:r>
        <w:rPr>
          <w:color w:val="231F20"/>
          <w:w w:val="105"/>
        </w:rPr>
        <w:t>En</w:t>
      </w:r>
      <w:r>
        <w:rPr>
          <w:color w:val="231F20"/>
          <w:spacing w:val="-27"/>
          <w:w w:val="105"/>
        </w:rPr>
        <w:t> </w:t>
      </w:r>
      <w:r>
        <w:rPr>
          <w:color w:val="231F20"/>
          <w:w w:val="105"/>
        </w:rPr>
        <w:t>este</w:t>
      </w:r>
      <w:r>
        <w:rPr>
          <w:color w:val="231F20"/>
          <w:spacing w:val="-27"/>
          <w:w w:val="105"/>
        </w:rPr>
        <w:t> </w:t>
      </w:r>
      <w:r>
        <w:rPr>
          <w:color w:val="231F20"/>
          <w:w w:val="105"/>
        </w:rPr>
        <w:t>estudio</w:t>
      </w:r>
      <w:r>
        <w:rPr>
          <w:color w:val="231F20"/>
          <w:spacing w:val="-27"/>
          <w:w w:val="105"/>
        </w:rPr>
        <w:t> </w:t>
      </w:r>
      <w:r>
        <w:rPr>
          <w:color w:val="231F20"/>
          <w:w w:val="105"/>
        </w:rPr>
        <w:t>se</w:t>
      </w:r>
      <w:r>
        <w:rPr>
          <w:color w:val="231F20"/>
          <w:spacing w:val="-27"/>
          <w:w w:val="105"/>
        </w:rPr>
        <w:t> </w:t>
      </w:r>
      <w:r>
        <w:rPr>
          <w:color w:val="231F20"/>
          <w:w w:val="105"/>
        </w:rPr>
        <w:t>analizan</w:t>
      </w:r>
      <w:r>
        <w:rPr>
          <w:color w:val="231F20"/>
          <w:spacing w:val="-27"/>
          <w:w w:val="105"/>
        </w:rPr>
        <w:t> </w:t>
      </w:r>
      <w:r>
        <w:rPr>
          <w:color w:val="231F20"/>
          <w:w w:val="105"/>
        </w:rPr>
        <w:t>las</w:t>
      </w:r>
      <w:r>
        <w:rPr>
          <w:color w:val="231F20"/>
          <w:spacing w:val="-27"/>
          <w:w w:val="105"/>
        </w:rPr>
        <w:t> </w:t>
      </w:r>
      <w:r>
        <w:rPr>
          <w:color w:val="231F20"/>
          <w:w w:val="105"/>
        </w:rPr>
        <w:t>motivacio- nes para </w:t>
      </w:r>
      <w:r>
        <w:rPr>
          <w:color w:val="231F20"/>
          <w:spacing w:val="-3"/>
          <w:w w:val="105"/>
        </w:rPr>
        <w:t>regresar, </w:t>
      </w:r>
      <w:r>
        <w:rPr>
          <w:color w:val="231F20"/>
          <w:w w:val="105"/>
        </w:rPr>
        <w:t>la trayectoria migratoria y la experiencia de retorno, así</w:t>
      </w:r>
      <w:r>
        <w:rPr>
          <w:color w:val="231F20"/>
          <w:spacing w:val="-12"/>
          <w:w w:val="105"/>
        </w:rPr>
        <w:t> </w:t>
      </w:r>
      <w:r>
        <w:rPr>
          <w:color w:val="231F20"/>
          <w:w w:val="105"/>
        </w:rPr>
        <w:t>como</w:t>
      </w:r>
      <w:r>
        <w:rPr>
          <w:color w:val="231F20"/>
          <w:spacing w:val="-12"/>
          <w:w w:val="105"/>
        </w:rPr>
        <w:t> </w:t>
      </w:r>
      <w:r>
        <w:rPr>
          <w:color w:val="231F20"/>
          <w:w w:val="105"/>
        </w:rPr>
        <w:t>los</w:t>
      </w:r>
      <w:r>
        <w:rPr>
          <w:color w:val="231F20"/>
          <w:spacing w:val="-12"/>
          <w:w w:val="105"/>
        </w:rPr>
        <w:t> </w:t>
      </w:r>
      <w:r>
        <w:rPr>
          <w:color w:val="231F20"/>
          <w:w w:val="105"/>
        </w:rPr>
        <w:t>procesos</w:t>
      </w:r>
      <w:r>
        <w:rPr>
          <w:color w:val="231F20"/>
          <w:spacing w:val="-12"/>
          <w:w w:val="105"/>
        </w:rPr>
        <w:t> </w:t>
      </w:r>
      <w:r>
        <w:rPr>
          <w:color w:val="231F20"/>
          <w:w w:val="105"/>
        </w:rPr>
        <w:t>de</w:t>
      </w:r>
      <w:r>
        <w:rPr>
          <w:color w:val="231F20"/>
          <w:spacing w:val="-12"/>
          <w:w w:val="105"/>
        </w:rPr>
        <w:t> </w:t>
      </w:r>
      <w:r>
        <w:rPr>
          <w:color w:val="231F20"/>
          <w:w w:val="105"/>
        </w:rPr>
        <w:t>reinserción</w:t>
      </w:r>
      <w:r>
        <w:rPr>
          <w:color w:val="231F20"/>
          <w:spacing w:val="-12"/>
          <w:w w:val="105"/>
        </w:rPr>
        <w:t> </w:t>
      </w:r>
      <w:r>
        <w:rPr>
          <w:color w:val="231F20"/>
          <w:w w:val="105"/>
        </w:rPr>
        <w:t>laboral</w:t>
      </w:r>
      <w:r>
        <w:rPr>
          <w:color w:val="231F20"/>
          <w:spacing w:val="-12"/>
          <w:w w:val="105"/>
        </w:rPr>
        <w:t> </w:t>
      </w:r>
      <w:r>
        <w:rPr>
          <w:color w:val="231F20"/>
          <w:w w:val="105"/>
        </w:rPr>
        <w:t>y</w:t>
      </w:r>
      <w:r>
        <w:rPr>
          <w:color w:val="231F20"/>
          <w:spacing w:val="-12"/>
          <w:w w:val="105"/>
        </w:rPr>
        <w:t> </w:t>
      </w:r>
      <w:r>
        <w:rPr>
          <w:color w:val="231F20"/>
          <w:w w:val="105"/>
        </w:rPr>
        <w:t>social.</w:t>
      </w:r>
      <w:r>
        <w:rPr>
          <w:color w:val="231F20"/>
          <w:spacing w:val="-17"/>
          <w:w w:val="105"/>
        </w:rPr>
        <w:t> </w:t>
      </w:r>
      <w:r>
        <w:rPr>
          <w:color w:val="231F20"/>
          <w:w w:val="105"/>
        </w:rPr>
        <w:t>En</w:t>
      </w:r>
      <w:r>
        <w:rPr>
          <w:color w:val="231F20"/>
          <w:spacing w:val="-12"/>
          <w:w w:val="105"/>
        </w:rPr>
        <w:t> </w:t>
      </w:r>
      <w:r>
        <w:rPr>
          <w:color w:val="231F20"/>
          <w:w w:val="105"/>
        </w:rPr>
        <w:t>un</w:t>
      </w:r>
      <w:r>
        <w:rPr>
          <w:color w:val="231F20"/>
          <w:spacing w:val="-12"/>
          <w:w w:val="105"/>
        </w:rPr>
        <w:t> </w:t>
      </w:r>
      <w:r>
        <w:rPr>
          <w:color w:val="231F20"/>
          <w:w w:val="105"/>
        </w:rPr>
        <w:t>contexto</w:t>
      </w:r>
      <w:r>
        <w:rPr>
          <w:color w:val="231F20"/>
          <w:spacing w:val="-12"/>
          <w:w w:val="105"/>
        </w:rPr>
        <w:t> </w:t>
      </w:r>
      <w:r>
        <w:rPr>
          <w:color w:val="231F20"/>
          <w:w w:val="105"/>
        </w:rPr>
        <w:t>ur- bano, la migración de retorno adquiere complejidad en tanto la migra- ción interna antecede al desplazamiento internacional. La intersección de estas movilidades se origina en un contexto de circulaciones,</w:t>
      </w:r>
      <w:r>
        <w:rPr>
          <w:color w:val="231F20"/>
          <w:spacing w:val="-36"/>
          <w:w w:val="105"/>
        </w:rPr>
        <w:t> </w:t>
      </w:r>
      <w:r>
        <w:rPr>
          <w:color w:val="231F20"/>
          <w:w w:val="105"/>
        </w:rPr>
        <w:t>donde difícilmente existe un lugar de destino y uno de llegada como puntos  de</w:t>
      </w:r>
      <w:r>
        <w:rPr>
          <w:color w:val="231F20"/>
          <w:spacing w:val="-24"/>
          <w:w w:val="105"/>
        </w:rPr>
        <w:t> </w:t>
      </w:r>
      <w:r>
        <w:rPr>
          <w:color w:val="231F20"/>
          <w:w w:val="105"/>
        </w:rPr>
        <w:t>referencia</w:t>
      </w:r>
      <w:r>
        <w:rPr>
          <w:color w:val="231F20"/>
          <w:spacing w:val="-24"/>
          <w:w w:val="105"/>
        </w:rPr>
        <w:t> </w:t>
      </w:r>
      <w:r>
        <w:rPr>
          <w:color w:val="231F20"/>
          <w:w w:val="105"/>
        </w:rPr>
        <w:t>para</w:t>
      </w:r>
      <w:r>
        <w:rPr>
          <w:color w:val="231F20"/>
          <w:spacing w:val="-24"/>
          <w:w w:val="105"/>
        </w:rPr>
        <w:t> </w:t>
      </w:r>
      <w:r>
        <w:rPr>
          <w:color w:val="231F20"/>
          <w:w w:val="105"/>
        </w:rPr>
        <w:t>localizar</w:t>
      </w:r>
      <w:r>
        <w:rPr>
          <w:color w:val="231F20"/>
          <w:spacing w:val="-24"/>
          <w:w w:val="105"/>
        </w:rPr>
        <w:t> </w:t>
      </w:r>
      <w:r>
        <w:rPr>
          <w:color w:val="231F20"/>
          <w:w w:val="105"/>
        </w:rPr>
        <w:t>la</w:t>
      </w:r>
      <w:r>
        <w:rPr>
          <w:color w:val="231F20"/>
          <w:spacing w:val="-24"/>
          <w:w w:val="105"/>
        </w:rPr>
        <w:t> </w:t>
      </w:r>
      <w:r>
        <w:rPr>
          <w:color w:val="231F20"/>
          <w:w w:val="105"/>
        </w:rPr>
        <w:t>presencia</w:t>
      </w:r>
      <w:r>
        <w:rPr>
          <w:color w:val="231F20"/>
          <w:spacing w:val="-24"/>
          <w:w w:val="105"/>
        </w:rPr>
        <w:t> </w:t>
      </w:r>
      <w:r>
        <w:rPr>
          <w:color w:val="231F20"/>
          <w:w w:val="105"/>
        </w:rPr>
        <w:t>de</w:t>
      </w:r>
      <w:r>
        <w:rPr>
          <w:color w:val="231F20"/>
          <w:spacing w:val="-24"/>
          <w:w w:val="105"/>
        </w:rPr>
        <w:t> </w:t>
      </w:r>
      <w:r>
        <w:rPr>
          <w:color w:val="231F20"/>
          <w:w w:val="105"/>
        </w:rPr>
        <w:t>retornados.</w:t>
      </w:r>
      <w:r>
        <w:rPr>
          <w:color w:val="231F20"/>
          <w:spacing w:val="-29"/>
          <w:w w:val="105"/>
        </w:rPr>
        <w:t> </w:t>
      </w:r>
      <w:r>
        <w:rPr>
          <w:color w:val="231F20"/>
          <w:w w:val="105"/>
        </w:rPr>
        <w:t>Esta</w:t>
      </w:r>
      <w:r>
        <w:rPr>
          <w:color w:val="231F20"/>
          <w:spacing w:val="-24"/>
          <w:w w:val="105"/>
        </w:rPr>
        <w:t> </w:t>
      </w:r>
      <w:r>
        <w:rPr>
          <w:color w:val="231F20"/>
          <w:w w:val="105"/>
        </w:rPr>
        <w:t>peculiaridad del</w:t>
      </w:r>
      <w:r>
        <w:rPr>
          <w:color w:val="231F20"/>
          <w:spacing w:val="-17"/>
          <w:w w:val="105"/>
        </w:rPr>
        <w:t> </w:t>
      </w:r>
      <w:r>
        <w:rPr>
          <w:color w:val="231F20"/>
          <w:w w:val="105"/>
        </w:rPr>
        <w:t>espacio</w:t>
      </w:r>
      <w:r>
        <w:rPr>
          <w:color w:val="231F20"/>
          <w:spacing w:val="-17"/>
          <w:w w:val="105"/>
        </w:rPr>
        <w:t> </w:t>
      </w:r>
      <w:r>
        <w:rPr>
          <w:color w:val="231F20"/>
          <w:w w:val="105"/>
        </w:rPr>
        <w:t>urbano</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globalización</w:t>
      </w:r>
      <w:r>
        <w:rPr>
          <w:color w:val="231F20"/>
          <w:spacing w:val="-17"/>
          <w:w w:val="105"/>
        </w:rPr>
        <w:t> </w:t>
      </w:r>
      <w:r>
        <w:rPr>
          <w:color w:val="231F20"/>
          <w:w w:val="105"/>
        </w:rPr>
        <w:t>diferencia</w:t>
      </w:r>
      <w:r>
        <w:rPr>
          <w:color w:val="231F20"/>
          <w:spacing w:val="-17"/>
          <w:w w:val="105"/>
        </w:rPr>
        <w:t> </w:t>
      </w:r>
      <w:r>
        <w:rPr>
          <w:color w:val="231F20"/>
          <w:w w:val="105"/>
        </w:rPr>
        <w:t>a</w:t>
      </w:r>
      <w:r>
        <w:rPr>
          <w:color w:val="231F20"/>
          <w:spacing w:val="-17"/>
          <w:w w:val="105"/>
        </w:rPr>
        <w:t> </w:t>
      </w:r>
      <w:r>
        <w:rPr>
          <w:color w:val="231F20"/>
          <w:w w:val="105"/>
        </w:rPr>
        <w:t>estas</w:t>
      </w:r>
      <w:r>
        <w:rPr>
          <w:color w:val="231F20"/>
          <w:spacing w:val="-17"/>
          <w:w w:val="105"/>
        </w:rPr>
        <w:t> </w:t>
      </w:r>
      <w:r>
        <w:rPr>
          <w:color w:val="231F20"/>
          <w:w w:val="105"/>
        </w:rPr>
        <w:t>migraciones</w:t>
      </w:r>
      <w:r>
        <w:rPr>
          <w:color w:val="231F20"/>
          <w:spacing w:val="-17"/>
          <w:w w:val="105"/>
        </w:rPr>
        <w:t> </w:t>
      </w:r>
      <w:r>
        <w:rPr>
          <w:color w:val="231F20"/>
          <w:w w:val="105"/>
        </w:rPr>
        <w:t>de aquellas</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movilizan</w:t>
      </w:r>
      <w:r>
        <w:rPr>
          <w:color w:val="231F20"/>
          <w:spacing w:val="-16"/>
          <w:w w:val="105"/>
        </w:rPr>
        <w:t> </w:t>
      </w:r>
      <w:r>
        <w:rPr>
          <w:color w:val="231F20"/>
          <w:w w:val="105"/>
        </w:rPr>
        <w:t>desde</w:t>
      </w:r>
      <w:r>
        <w:rPr>
          <w:color w:val="231F20"/>
          <w:spacing w:val="-16"/>
          <w:w w:val="105"/>
        </w:rPr>
        <w:t> </w:t>
      </w:r>
      <w:r>
        <w:rPr>
          <w:color w:val="231F20"/>
          <w:w w:val="105"/>
        </w:rPr>
        <w:t>los</w:t>
      </w:r>
      <w:r>
        <w:rPr>
          <w:color w:val="231F20"/>
          <w:spacing w:val="-16"/>
          <w:w w:val="105"/>
        </w:rPr>
        <w:t> </w:t>
      </w:r>
      <w:r>
        <w:rPr>
          <w:color w:val="231F20"/>
          <w:w w:val="105"/>
        </w:rPr>
        <w:t>espacios</w:t>
      </w:r>
      <w:r>
        <w:rPr>
          <w:color w:val="231F20"/>
          <w:spacing w:val="-16"/>
          <w:w w:val="105"/>
        </w:rPr>
        <w:t> </w:t>
      </w:r>
      <w:r>
        <w:rPr>
          <w:color w:val="231F20"/>
          <w:w w:val="105"/>
        </w:rPr>
        <w:t>rurales,</w:t>
      </w:r>
      <w:r>
        <w:rPr>
          <w:color w:val="231F20"/>
          <w:spacing w:val="-20"/>
          <w:w w:val="105"/>
        </w:rPr>
        <w:t> </w:t>
      </w:r>
      <w:r>
        <w:rPr>
          <w:color w:val="231F20"/>
          <w:w w:val="105"/>
        </w:rPr>
        <w:t>que</w:t>
      </w:r>
      <w:r>
        <w:rPr>
          <w:color w:val="231F20"/>
          <w:spacing w:val="-16"/>
          <w:w w:val="105"/>
        </w:rPr>
        <w:t> </w:t>
      </w:r>
      <w:r>
        <w:rPr>
          <w:color w:val="231F20"/>
          <w:w w:val="105"/>
        </w:rPr>
        <w:t>son,</w:t>
      </w:r>
      <w:r>
        <w:rPr>
          <w:color w:val="231F20"/>
          <w:spacing w:val="-20"/>
          <w:w w:val="105"/>
        </w:rPr>
        <w:t> </w:t>
      </w:r>
      <w:r>
        <w:rPr>
          <w:color w:val="231F20"/>
          <w:w w:val="105"/>
        </w:rPr>
        <w:t>al</w:t>
      </w:r>
      <w:r>
        <w:rPr>
          <w:color w:val="231F20"/>
          <w:spacing w:val="-16"/>
          <w:w w:val="105"/>
        </w:rPr>
        <w:t> </w:t>
      </w:r>
      <w:r>
        <w:rPr>
          <w:color w:val="231F20"/>
          <w:w w:val="105"/>
        </w:rPr>
        <w:t>mismo tiempo,</w:t>
      </w:r>
      <w:r>
        <w:rPr>
          <w:color w:val="231F20"/>
          <w:spacing w:val="-14"/>
          <w:w w:val="105"/>
        </w:rPr>
        <w:t> </w:t>
      </w:r>
      <w:r>
        <w:rPr>
          <w:color w:val="231F20"/>
          <w:w w:val="105"/>
        </w:rPr>
        <w:t>el</w:t>
      </w:r>
      <w:r>
        <w:rPr>
          <w:color w:val="231F20"/>
          <w:spacing w:val="-8"/>
          <w:w w:val="105"/>
        </w:rPr>
        <w:t> </w:t>
      </w:r>
      <w:r>
        <w:rPr>
          <w:color w:val="231F20"/>
          <w:w w:val="105"/>
        </w:rPr>
        <w:t>lugar</w:t>
      </w:r>
      <w:r>
        <w:rPr>
          <w:color w:val="231F20"/>
          <w:spacing w:val="-8"/>
          <w:w w:val="105"/>
        </w:rPr>
        <w:t> </w:t>
      </w:r>
      <w:r>
        <w:rPr>
          <w:color w:val="231F20"/>
          <w:w w:val="105"/>
        </w:rPr>
        <w:t>de</w:t>
      </w:r>
      <w:r>
        <w:rPr>
          <w:color w:val="231F20"/>
          <w:spacing w:val="-8"/>
          <w:w w:val="105"/>
        </w:rPr>
        <w:t> </w:t>
      </w:r>
      <w:r>
        <w:rPr>
          <w:color w:val="231F20"/>
          <w:w w:val="105"/>
        </w:rPr>
        <w:t>nacimiento</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residencia</w:t>
      </w:r>
      <w:r>
        <w:rPr>
          <w:color w:val="231F20"/>
          <w:spacing w:val="-8"/>
          <w:w w:val="105"/>
        </w:rPr>
        <w:t> </w:t>
      </w:r>
      <w:r>
        <w:rPr>
          <w:color w:val="231F20"/>
          <w:w w:val="105"/>
        </w:rPr>
        <w:t>habitual.</w:t>
      </w:r>
    </w:p>
    <w:p>
      <w:pPr>
        <w:pStyle w:val="BodyText"/>
        <w:spacing w:before="11"/>
        <w:rPr>
          <w:sz w:val="12"/>
        </w:rPr>
      </w:pPr>
      <w:r>
        <w:rPr/>
        <w:pict>
          <v:line style="position:absolute;mso-position-horizontal-relative:page;mso-position-vertical-relative:paragraph;z-index:26944;mso-wrap-distance-left:0;mso-wrap-distance-right:0" from="86.1968pt,9.418729pt" to="199.5828pt,9.418729pt" stroked="true" strokeweight=".25pt" strokecolor="#231f20">
            <w10:wrap type="topAndBottom"/>
          </v:line>
        </w:pict>
      </w:r>
    </w:p>
    <w:p>
      <w:pPr>
        <w:spacing w:before="8"/>
        <w:ind w:left="1723" w:right="0" w:firstLine="0"/>
        <w:jc w:val="left"/>
        <w:rPr>
          <w:rFonts w:ascii="Calibri"/>
          <w:sz w:val="16"/>
        </w:rPr>
      </w:pPr>
      <w:r>
        <w:rPr>
          <w:rFonts w:ascii="Calibri"/>
          <w:color w:val="414042"/>
          <w:w w:val="105"/>
          <w:position w:val="5"/>
          <w:sz w:val="9"/>
        </w:rPr>
        <w:t>6 </w:t>
      </w:r>
      <w:r>
        <w:rPr>
          <w:rFonts w:ascii="Calibri"/>
          <w:color w:val="414042"/>
          <w:w w:val="105"/>
          <w:sz w:val="16"/>
        </w:rPr>
        <w:t>Objetivo central del proyecto.</w:t>
      </w:r>
    </w:p>
    <w:p>
      <w:pPr>
        <w:pStyle w:val="BodyText"/>
        <w:rPr>
          <w:rFonts w:ascii="Calibri"/>
          <w:sz w:val="20"/>
        </w:rPr>
      </w:pPr>
    </w:p>
    <w:p>
      <w:pPr>
        <w:pStyle w:val="BodyText"/>
        <w:spacing w:before="10"/>
        <w:rPr>
          <w:rFonts w:ascii="Calibri"/>
          <w:sz w:val="2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63216" from="131.551193pt,3.703715pt" to="131.551193pt,39.506114pt" stroked="true" strokeweight=".35pt" strokecolor="#231f20">
            <w10:wrap type="none"/>
          </v:line>
        </w:pict>
      </w:r>
      <w:r>
        <w:rPr/>
        <w:pict>
          <v:line style="position:absolute;mso-position-horizontal-relative:page;mso-position-vertical-relative:paragraph;z-index:-463144" from="15pt,39.505917pt" to="0pt,39.505917pt" stroked="true" strokeweight=".25pt" strokecolor="#000000">
            <w10:wrap type="none"/>
          </v:line>
        </w:pict>
      </w:r>
      <w:r>
        <w:rPr/>
        <w:pict>
          <v:line style="position:absolute;mso-position-horizontal-relative:page;mso-position-vertical-relative:paragraph;z-index:27064" from="508.890015pt,39.505917pt" to="523.890015pt,39.505917pt" stroked="true" strokeweight=".25pt" strokecolor="#000000">
            <w10:wrap type="none"/>
          </v:line>
        </w:pict>
      </w:r>
      <w:r>
        <w:rPr>
          <w:rFonts w:ascii="Arial" w:hAnsi="Arial"/>
          <w:color w:val="414042"/>
          <w:w w:val="105"/>
          <w:position w:val="-5"/>
          <w:sz w:val="20"/>
        </w:rPr>
        <w:t>218</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7088"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7112" from="15pt,-28.286539pt" to="0pt,-28.286539pt" stroked="true" strokeweight=".25pt" strokecolor="#000000">
            <w10:wrap type="none"/>
          </v:line>
        </w:pict>
      </w:r>
      <w:r>
        <w:rPr/>
        <w:pict>
          <v:line style="position:absolute;mso-position-horizontal-relative:page;mso-position-vertical-relative:paragraph;z-index:27136" from="508.890015pt,-28.286539pt" to="523.890015pt,-28.286539pt" stroked="true" strokeweight=".25pt" strokecolor="#000000">
            <w10:wrap type="none"/>
          </v:line>
        </w:pict>
      </w:r>
      <w:r>
        <w:rPr>
          <w:rFonts w:ascii="Arial"/>
          <w:color w:val="414042"/>
          <w:sz w:val="20"/>
        </w:rPr>
        <w:t>219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15" w:firstLine="567"/>
        <w:jc w:val="both"/>
      </w:pP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terreno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retornos</w:t>
      </w:r>
      <w:r>
        <w:rPr>
          <w:color w:val="231F20"/>
          <w:spacing w:val="-10"/>
          <w:w w:val="105"/>
        </w:rPr>
        <w:t> </w:t>
      </w:r>
      <w:r>
        <w:rPr>
          <w:color w:val="231F20"/>
          <w:w w:val="105"/>
        </w:rPr>
        <w:t>migratorios</w:t>
      </w:r>
      <w:r>
        <w:rPr>
          <w:color w:val="231F20"/>
          <w:spacing w:val="-10"/>
          <w:w w:val="105"/>
        </w:rPr>
        <w:t> </w:t>
      </w:r>
      <w:r>
        <w:rPr>
          <w:color w:val="231F20"/>
          <w:w w:val="105"/>
        </w:rPr>
        <w:t>al</w:t>
      </w:r>
      <w:r>
        <w:rPr>
          <w:color w:val="231F20"/>
          <w:spacing w:val="-10"/>
          <w:w w:val="105"/>
        </w:rPr>
        <w:t> </w:t>
      </w:r>
      <w:r>
        <w:rPr>
          <w:color w:val="231F20"/>
          <w:w w:val="105"/>
        </w:rPr>
        <w:t>mismo</w:t>
      </w:r>
      <w:r>
        <w:rPr>
          <w:color w:val="231F20"/>
          <w:spacing w:val="-10"/>
          <w:w w:val="105"/>
        </w:rPr>
        <w:t> </w:t>
      </w:r>
      <w:r>
        <w:rPr>
          <w:color w:val="231F20"/>
          <w:w w:val="105"/>
        </w:rPr>
        <w:t>lugar</w:t>
      </w:r>
      <w:r>
        <w:rPr>
          <w:color w:val="231F20"/>
          <w:spacing w:val="-10"/>
          <w:w w:val="105"/>
        </w:rPr>
        <w:t> </w:t>
      </w:r>
      <w:r>
        <w:rPr>
          <w:color w:val="231F20"/>
          <w:w w:val="105"/>
        </w:rPr>
        <w:t>de</w:t>
      </w:r>
      <w:r>
        <w:rPr>
          <w:color w:val="231F20"/>
          <w:spacing w:val="-10"/>
          <w:w w:val="105"/>
        </w:rPr>
        <w:t> </w:t>
      </w:r>
      <w:r>
        <w:rPr>
          <w:color w:val="231F20"/>
          <w:w w:val="105"/>
        </w:rPr>
        <w:t>origen, Salas</w:t>
      </w:r>
      <w:r>
        <w:rPr>
          <w:color w:val="231F20"/>
          <w:spacing w:val="-21"/>
          <w:w w:val="105"/>
        </w:rPr>
        <w:t> </w:t>
      </w:r>
      <w:r>
        <w:rPr>
          <w:color w:val="231F20"/>
          <w:w w:val="105"/>
        </w:rPr>
        <w:t>(2015)</w:t>
      </w:r>
      <w:r>
        <w:rPr>
          <w:color w:val="231F20"/>
          <w:spacing w:val="-21"/>
          <w:w w:val="105"/>
        </w:rPr>
        <w:t> </w:t>
      </w:r>
      <w:r>
        <w:rPr>
          <w:color w:val="231F20"/>
          <w:w w:val="105"/>
        </w:rPr>
        <w:t>aborda</w:t>
      </w:r>
      <w:r>
        <w:rPr>
          <w:color w:val="231F20"/>
          <w:spacing w:val="-21"/>
          <w:w w:val="105"/>
        </w:rPr>
        <w:t> </w:t>
      </w:r>
      <w:r>
        <w:rPr>
          <w:color w:val="231F20"/>
          <w:w w:val="105"/>
        </w:rPr>
        <w:t>el</w:t>
      </w:r>
      <w:r>
        <w:rPr>
          <w:color w:val="231F20"/>
          <w:spacing w:val="-21"/>
          <w:w w:val="105"/>
        </w:rPr>
        <w:t> </w:t>
      </w:r>
      <w:r>
        <w:rPr>
          <w:color w:val="231F20"/>
          <w:w w:val="105"/>
        </w:rPr>
        <w:t>retorno</w:t>
      </w:r>
      <w:r>
        <w:rPr>
          <w:color w:val="231F20"/>
          <w:spacing w:val="-21"/>
          <w:w w:val="105"/>
        </w:rPr>
        <w:t> </w:t>
      </w:r>
      <w:r>
        <w:rPr>
          <w:color w:val="231F20"/>
          <w:w w:val="105"/>
        </w:rPr>
        <w:t>de</w:t>
      </w:r>
      <w:r>
        <w:rPr>
          <w:color w:val="231F20"/>
          <w:spacing w:val="-21"/>
          <w:w w:val="105"/>
        </w:rPr>
        <w:t> </w:t>
      </w:r>
      <w:r>
        <w:rPr>
          <w:color w:val="231F20"/>
          <w:w w:val="105"/>
        </w:rPr>
        <w:t>migrantes</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suroeste</w:t>
      </w:r>
      <w:r>
        <w:rPr>
          <w:color w:val="231F20"/>
          <w:spacing w:val="-21"/>
          <w:w w:val="105"/>
        </w:rPr>
        <w:t> </w:t>
      </w:r>
      <w:r>
        <w:rPr>
          <w:color w:val="231F20"/>
          <w:w w:val="105"/>
        </w:rPr>
        <w:t>del</w:t>
      </w:r>
      <w:r>
        <w:rPr>
          <w:color w:val="231F20"/>
          <w:spacing w:val="-21"/>
          <w:w w:val="105"/>
        </w:rPr>
        <w:t> </w:t>
      </w:r>
      <w:r>
        <w:rPr>
          <w:color w:val="231F20"/>
          <w:w w:val="105"/>
        </w:rPr>
        <w:t>Estado</w:t>
      </w:r>
      <w:r>
        <w:rPr>
          <w:color w:val="231F20"/>
          <w:spacing w:val="-21"/>
          <w:w w:val="105"/>
        </w:rPr>
        <w:t> </w:t>
      </w:r>
      <w:r>
        <w:rPr>
          <w:color w:val="231F20"/>
          <w:w w:val="105"/>
        </w:rPr>
        <w:t>de México,</w:t>
      </w:r>
      <w:r>
        <w:rPr>
          <w:color w:val="231F20"/>
          <w:spacing w:val="-22"/>
          <w:w w:val="105"/>
        </w:rPr>
        <w:t> </w:t>
      </w:r>
      <w:r>
        <w:rPr>
          <w:color w:val="231F20"/>
          <w:w w:val="105"/>
        </w:rPr>
        <w:t>donde</w:t>
      </w:r>
      <w:r>
        <w:rPr>
          <w:color w:val="231F20"/>
          <w:spacing w:val="-17"/>
          <w:w w:val="105"/>
        </w:rPr>
        <w:t> </w:t>
      </w:r>
      <w:r>
        <w:rPr>
          <w:color w:val="231F20"/>
          <w:w w:val="105"/>
        </w:rPr>
        <w:t>destaca</w:t>
      </w:r>
      <w:r>
        <w:rPr>
          <w:color w:val="231F20"/>
          <w:spacing w:val="-17"/>
          <w:w w:val="105"/>
        </w:rPr>
        <w:t> </w:t>
      </w:r>
      <w:r>
        <w:rPr>
          <w:color w:val="231F20"/>
          <w:w w:val="105"/>
        </w:rPr>
        <w:t>que</w:t>
      </w:r>
      <w:r>
        <w:rPr>
          <w:color w:val="231F20"/>
          <w:spacing w:val="-17"/>
          <w:w w:val="105"/>
        </w:rPr>
        <w:t> </w:t>
      </w:r>
      <w:r>
        <w:rPr>
          <w:color w:val="231F20"/>
          <w:w w:val="105"/>
        </w:rPr>
        <w:t>al</w:t>
      </w:r>
      <w:r>
        <w:rPr>
          <w:color w:val="231F20"/>
          <w:spacing w:val="-17"/>
          <w:w w:val="105"/>
        </w:rPr>
        <w:t> </w:t>
      </w:r>
      <w:r>
        <w:rPr>
          <w:color w:val="231F20"/>
          <w:w w:val="105"/>
        </w:rPr>
        <w:t>igual</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22"/>
          <w:w w:val="105"/>
        </w:rPr>
        <w:t> </w:t>
      </w:r>
      <w:r>
        <w:rPr>
          <w:color w:val="231F20"/>
          <w:w w:val="105"/>
        </w:rPr>
        <w:t>el</w:t>
      </w:r>
      <w:r>
        <w:rPr>
          <w:color w:val="231F20"/>
          <w:spacing w:val="-17"/>
          <w:w w:val="105"/>
        </w:rPr>
        <w:t> </w:t>
      </w:r>
      <w:r>
        <w:rPr>
          <w:color w:val="231F20"/>
          <w:w w:val="105"/>
        </w:rPr>
        <w:t>retorno</w:t>
      </w:r>
      <w:r>
        <w:rPr>
          <w:color w:val="231F20"/>
          <w:spacing w:val="-17"/>
          <w:w w:val="105"/>
        </w:rPr>
        <w:t> </w:t>
      </w:r>
      <w:r>
        <w:rPr>
          <w:color w:val="231F20"/>
          <w:w w:val="105"/>
        </w:rPr>
        <w:t>tiene</w:t>
      </w:r>
      <w:r>
        <w:rPr>
          <w:color w:val="231F20"/>
          <w:spacing w:val="-17"/>
          <w:w w:val="105"/>
        </w:rPr>
        <w:t> </w:t>
      </w:r>
      <w:r>
        <w:rPr>
          <w:color w:val="231F20"/>
          <w:w w:val="105"/>
        </w:rPr>
        <w:t>sus propias</w:t>
      </w:r>
      <w:r>
        <w:rPr>
          <w:color w:val="231F20"/>
          <w:spacing w:val="-22"/>
          <w:w w:val="105"/>
        </w:rPr>
        <w:t> </w:t>
      </w:r>
      <w:r>
        <w:rPr>
          <w:color w:val="231F20"/>
          <w:w w:val="105"/>
        </w:rPr>
        <w:t>formas</w:t>
      </w:r>
      <w:r>
        <w:rPr>
          <w:color w:val="231F20"/>
          <w:spacing w:val="-22"/>
          <w:w w:val="105"/>
        </w:rPr>
        <w:t> </w:t>
      </w:r>
      <w:r>
        <w:rPr>
          <w:color w:val="231F20"/>
          <w:w w:val="105"/>
        </w:rPr>
        <w:t>de</w:t>
      </w:r>
      <w:r>
        <w:rPr>
          <w:color w:val="231F20"/>
          <w:spacing w:val="-22"/>
          <w:w w:val="105"/>
        </w:rPr>
        <w:t> </w:t>
      </w:r>
      <w:r>
        <w:rPr>
          <w:color w:val="231F20"/>
          <w:w w:val="105"/>
        </w:rPr>
        <w:t>ocurrencia</w:t>
      </w:r>
      <w:r>
        <w:rPr>
          <w:color w:val="231F20"/>
          <w:spacing w:val="-22"/>
          <w:w w:val="105"/>
        </w:rPr>
        <w:t> </w:t>
      </w:r>
      <w:r>
        <w:rPr>
          <w:color w:val="231F20"/>
          <w:w w:val="105"/>
        </w:rPr>
        <w:t>y</w:t>
      </w:r>
      <w:r>
        <w:rPr>
          <w:color w:val="231F20"/>
          <w:spacing w:val="-22"/>
          <w:w w:val="105"/>
        </w:rPr>
        <w:t> </w:t>
      </w:r>
      <w:r>
        <w:rPr>
          <w:color w:val="231F20"/>
          <w:w w:val="105"/>
        </w:rPr>
        <w:t>sus</w:t>
      </w:r>
      <w:r>
        <w:rPr>
          <w:color w:val="231F20"/>
          <w:spacing w:val="-22"/>
          <w:w w:val="105"/>
        </w:rPr>
        <w:t> </w:t>
      </w:r>
      <w:r>
        <w:rPr>
          <w:color w:val="231F20"/>
          <w:w w:val="105"/>
        </w:rPr>
        <w:t>tiempos.</w:t>
      </w:r>
      <w:r>
        <w:rPr>
          <w:color w:val="231F20"/>
          <w:spacing w:val="-29"/>
          <w:w w:val="105"/>
        </w:rPr>
        <w:t> </w:t>
      </w:r>
      <w:r>
        <w:rPr>
          <w:color w:val="231F20"/>
          <w:w w:val="105"/>
        </w:rPr>
        <w:t>Analiza:</w:t>
      </w:r>
    </w:p>
    <w:p>
      <w:pPr>
        <w:pStyle w:val="BodyText"/>
        <w:spacing w:before="7"/>
        <w:rPr>
          <w:sz w:val="18"/>
        </w:rPr>
      </w:pPr>
    </w:p>
    <w:p>
      <w:pPr>
        <w:spacing w:line="254" w:lineRule="auto" w:before="0"/>
        <w:ind w:left="2971" w:right="1721" w:firstLine="0"/>
        <w:jc w:val="both"/>
        <w:rPr>
          <w:sz w:val="18"/>
        </w:rPr>
      </w:pPr>
      <w:r>
        <w:rPr>
          <w:color w:val="231F20"/>
          <w:sz w:val="18"/>
        </w:rPr>
        <w:t>desde la perspectiva del actor, y los modos de vida sostenibles, diver- sos aspectos de la migración de retorno en la región </w:t>
      </w:r>
      <w:r>
        <w:rPr>
          <w:color w:val="231F20"/>
          <w:spacing w:val="-3"/>
          <w:sz w:val="18"/>
        </w:rPr>
        <w:t>Tejupilco, </w:t>
      </w:r>
      <w:r>
        <w:rPr>
          <w:color w:val="231F20"/>
          <w:sz w:val="18"/>
        </w:rPr>
        <w:t>situada en el suroeste del Estado de México: características socioeconómicas    y demográficas de los retornados, sus habilidades aprendidas y depu- radas (técnicas y humanas), la forma en que las emplean para vivir, así como las limitaciones (institucionales, políticas, económicas y demás) que enfrentan para darles uso (Salas y Alcántara, 2015:</w:t>
      </w:r>
      <w:r>
        <w:rPr>
          <w:color w:val="231F20"/>
          <w:spacing w:val="24"/>
          <w:sz w:val="18"/>
        </w:rPr>
        <w:t> </w:t>
      </w:r>
      <w:r>
        <w:rPr>
          <w:color w:val="231F20"/>
          <w:sz w:val="18"/>
        </w:rPr>
        <w:t>78).</w:t>
      </w:r>
    </w:p>
    <w:p>
      <w:pPr>
        <w:pStyle w:val="BodyText"/>
        <w:spacing w:before="5"/>
      </w:pPr>
    </w:p>
    <w:p>
      <w:pPr>
        <w:pStyle w:val="BodyText"/>
        <w:spacing w:line="261" w:lineRule="auto"/>
        <w:ind w:left="1837" w:right="1716"/>
        <w:jc w:val="both"/>
      </w:pPr>
      <w:r>
        <w:rPr>
          <w:color w:val="231F20"/>
          <w:w w:val="105"/>
        </w:rPr>
        <w:t>El tema de los capitales de los migrantes de retorno, desde los análisis socioeconómicos,</w:t>
      </w:r>
      <w:r>
        <w:rPr>
          <w:color w:val="231F20"/>
          <w:spacing w:val="-12"/>
          <w:w w:val="105"/>
        </w:rPr>
        <w:t> </w:t>
      </w:r>
      <w:r>
        <w:rPr>
          <w:color w:val="231F20"/>
          <w:w w:val="105"/>
        </w:rPr>
        <w:t>aporta</w:t>
      </w:r>
      <w:r>
        <w:rPr>
          <w:color w:val="231F20"/>
          <w:spacing w:val="-6"/>
          <w:w w:val="105"/>
        </w:rPr>
        <w:t> </w:t>
      </w:r>
      <w:r>
        <w:rPr>
          <w:color w:val="231F20"/>
          <w:w w:val="105"/>
        </w:rPr>
        <w:t>información</w:t>
      </w:r>
      <w:r>
        <w:rPr>
          <w:color w:val="231F20"/>
          <w:spacing w:val="-6"/>
          <w:w w:val="105"/>
        </w:rPr>
        <w:t> </w:t>
      </w:r>
      <w:r>
        <w:rPr>
          <w:color w:val="231F20"/>
          <w:w w:val="105"/>
        </w:rPr>
        <w:t>sobre</w:t>
      </w:r>
      <w:r>
        <w:rPr>
          <w:color w:val="231F20"/>
          <w:spacing w:val="-6"/>
          <w:w w:val="105"/>
        </w:rPr>
        <w:t> </w:t>
      </w:r>
      <w:r>
        <w:rPr>
          <w:color w:val="231F20"/>
          <w:w w:val="105"/>
        </w:rPr>
        <w:t>la</w:t>
      </w:r>
      <w:r>
        <w:rPr>
          <w:color w:val="231F20"/>
          <w:spacing w:val="-6"/>
          <w:w w:val="105"/>
        </w:rPr>
        <w:t> </w:t>
      </w:r>
      <w:r>
        <w:rPr>
          <w:color w:val="231F20"/>
          <w:w w:val="105"/>
        </w:rPr>
        <w:t>movilización</w:t>
      </w:r>
      <w:r>
        <w:rPr>
          <w:color w:val="231F20"/>
          <w:spacing w:val="-6"/>
          <w:w w:val="105"/>
        </w:rPr>
        <w:t> </w:t>
      </w:r>
      <w:r>
        <w:rPr>
          <w:color w:val="231F20"/>
          <w:w w:val="105"/>
        </w:rPr>
        <w:t>y</w:t>
      </w:r>
      <w:r>
        <w:rPr>
          <w:color w:val="231F20"/>
          <w:spacing w:val="-6"/>
          <w:w w:val="105"/>
        </w:rPr>
        <w:t> </w:t>
      </w:r>
      <w:r>
        <w:rPr>
          <w:color w:val="231F20"/>
          <w:w w:val="105"/>
        </w:rPr>
        <w:t>uso</w:t>
      </w:r>
      <w:r>
        <w:rPr>
          <w:color w:val="231F20"/>
          <w:spacing w:val="-6"/>
          <w:w w:val="105"/>
        </w:rPr>
        <w:t> </w:t>
      </w:r>
      <w:r>
        <w:rPr>
          <w:color w:val="231F20"/>
          <w:w w:val="105"/>
        </w:rPr>
        <w:t>de</w:t>
      </w:r>
      <w:r>
        <w:rPr>
          <w:color w:val="231F20"/>
          <w:spacing w:val="-6"/>
          <w:w w:val="105"/>
        </w:rPr>
        <w:t> </w:t>
      </w:r>
      <w:r>
        <w:rPr>
          <w:color w:val="231F20"/>
          <w:w w:val="105"/>
        </w:rPr>
        <w:t>los recursos en el regreso, así como el potencial de inversión de los retor- nados, quienes traen consigo nuevos aprendizajes que se traducen en oportunidades productivas. Sin embargo, desde está visión se asume que el retorno es un proceso positivo donde el migrante que está de vuelta se incorpora al núcleo familiar y a la comunidad como agente</w:t>
      </w:r>
      <w:r>
        <w:rPr>
          <w:color w:val="231F20"/>
          <w:spacing w:val="-22"/>
          <w:w w:val="105"/>
        </w:rPr>
        <w:t> </w:t>
      </w:r>
      <w:r>
        <w:rPr>
          <w:color w:val="231F20"/>
          <w:w w:val="105"/>
        </w:rPr>
        <w:t>de cambio</w:t>
      </w:r>
      <w:r>
        <w:rPr>
          <w:color w:val="231F20"/>
          <w:spacing w:val="-5"/>
          <w:w w:val="105"/>
        </w:rPr>
        <w:t> </w:t>
      </w:r>
      <w:r>
        <w:rPr>
          <w:color w:val="231F20"/>
          <w:w w:val="105"/>
        </w:rPr>
        <w:t>económico,</w:t>
      </w:r>
      <w:r>
        <w:rPr>
          <w:color w:val="231F20"/>
          <w:spacing w:val="-12"/>
          <w:w w:val="105"/>
        </w:rPr>
        <w:t> </w:t>
      </w:r>
      <w:r>
        <w:rPr>
          <w:color w:val="231F20"/>
          <w:w w:val="105"/>
        </w:rPr>
        <w:t>invirtiendo</w:t>
      </w:r>
      <w:r>
        <w:rPr>
          <w:color w:val="231F20"/>
          <w:spacing w:val="-5"/>
          <w:w w:val="105"/>
        </w:rPr>
        <w:t> </w:t>
      </w:r>
      <w:r>
        <w:rPr>
          <w:color w:val="231F20"/>
          <w:w w:val="105"/>
        </w:rPr>
        <w:t>el</w:t>
      </w:r>
      <w:r>
        <w:rPr>
          <w:color w:val="231F20"/>
          <w:spacing w:val="-5"/>
          <w:w w:val="105"/>
        </w:rPr>
        <w:t> </w:t>
      </w:r>
      <w:r>
        <w:rPr>
          <w:color w:val="231F20"/>
          <w:w w:val="105"/>
        </w:rPr>
        <w:t>producto</w:t>
      </w:r>
      <w:r>
        <w:rPr>
          <w:color w:val="231F20"/>
          <w:spacing w:val="-5"/>
          <w:w w:val="105"/>
        </w:rPr>
        <w:t> </w:t>
      </w:r>
      <w:r>
        <w:rPr>
          <w:color w:val="231F20"/>
          <w:w w:val="105"/>
        </w:rPr>
        <w:t>de</w:t>
      </w:r>
      <w:r>
        <w:rPr>
          <w:color w:val="231F20"/>
          <w:spacing w:val="-5"/>
          <w:w w:val="105"/>
        </w:rPr>
        <w:t> </w:t>
      </w:r>
      <w:r>
        <w:rPr>
          <w:color w:val="231F20"/>
          <w:w w:val="105"/>
        </w:rPr>
        <w:t>su</w:t>
      </w:r>
      <w:r>
        <w:rPr>
          <w:color w:val="231F20"/>
          <w:spacing w:val="-5"/>
          <w:w w:val="105"/>
        </w:rPr>
        <w:t> </w:t>
      </w:r>
      <w:r>
        <w:rPr>
          <w:color w:val="231F20"/>
          <w:w w:val="105"/>
        </w:rPr>
        <w:t>esfuerzo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terruño. Al mismo tiempo, el carácter “voluntario” del retorno encauza la reinte- gración óptima del migrante, puesto que logró objetivos económicos durante</w:t>
      </w:r>
      <w:r>
        <w:rPr>
          <w:color w:val="231F20"/>
          <w:spacing w:val="-18"/>
          <w:w w:val="105"/>
        </w:rPr>
        <w:t> </w:t>
      </w:r>
      <w:r>
        <w:rPr>
          <w:color w:val="231F20"/>
          <w:w w:val="105"/>
        </w:rPr>
        <w:t>su</w:t>
      </w:r>
      <w:r>
        <w:rPr>
          <w:color w:val="231F20"/>
          <w:spacing w:val="-18"/>
          <w:w w:val="105"/>
        </w:rPr>
        <w:t> </w:t>
      </w:r>
      <w:r>
        <w:rPr>
          <w:color w:val="231F20"/>
          <w:w w:val="105"/>
        </w:rPr>
        <w:t>ausencia</w:t>
      </w:r>
      <w:r>
        <w:rPr>
          <w:color w:val="231F20"/>
          <w:spacing w:val="-18"/>
          <w:w w:val="105"/>
        </w:rPr>
        <w:t> </w:t>
      </w:r>
      <w:r>
        <w:rPr>
          <w:color w:val="231F20"/>
          <w:w w:val="105"/>
        </w:rPr>
        <w:t>y</w:t>
      </w:r>
      <w:r>
        <w:rPr>
          <w:color w:val="231F20"/>
          <w:spacing w:val="-18"/>
          <w:w w:val="105"/>
        </w:rPr>
        <w:t> </w:t>
      </w:r>
      <w:r>
        <w:rPr>
          <w:color w:val="231F20"/>
          <w:w w:val="105"/>
        </w:rPr>
        <w:t>está</w:t>
      </w:r>
      <w:r>
        <w:rPr>
          <w:color w:val="231F20"/>
          <w:spacing w:val="-18"/>
          <w:w w:val="105"/>
        </w:rPr>
        <w:t> </w:t>
      </w:r>
      <w:r>
        <w:rPr>
          <w:color w:val="231F20"/>
          <w:w w:val="105"/>
        </w:rPr>
        <w:t>de</w:t>
      </w:r>
      <w:r>
        <w:rPr>
          <w:color w:val="231F20"/>
          <w:spacing w:val="-18"/>
          <w:w w:val="105"/>
        </w:rPr>
        <w:t> </w:t>
      </w:r>
      <w:r>
        <w:rPr>
          <w:color w:val="231F20"/>
          <w:w w:val="105"/>
        </w:rPr>
        <w:t>vuelta</w:t>
      </w:r>
      <w:r>
        <w:rPr>
          <w:color w:val="231F20"/>
          <w:spacing w:val="-18"/>
          <w:w w:val="105"/>
        </w:rPr>
        <w:t> </w:t>
      </w:r>
      <w:r>
        <w:rPr>
          <w:color w:val="231F20"/>
          <w:w w:val="105"/>
        </w:rPr>
        <w:t>para</w:t>
      </w:r>
      <w:r>
        <w:rPr>
          <w:color w:val="231F20"/>
          <w:spacing w:val="-18"/>
          <w:w w:val="105"/>
        </w:rPr>
        <w:t> </w:t>
      </w:r>
      <w:r>
        <w:rPr>
          <w:color w:val="231F20"/>
          <w:w w:val="105"/>
        </w:rPr>
        <w:t>emprender</w:t>
      </w:r>
      <w:r>
        <w:rPr>
          <w:color w:val="231F20"/>
          <w:spacing w:val="-18"/>
          <w:w w:val="105"/>
        </w:rPr>
        <w:t> </w:t>
      </w:r>
      <w:r>
        <w:rPr>
          <w:color w:val="231F20"/>
          <w:w w:val="105"/>
        </w:rPr>
        <w:t>planes</w:t>
      </w:r>
      <w:r>
        <w:rPr>
          <w:color w:val="231F20"/>
          <w:spacing w:val="-18"/>
          <w:w w:val="105"/>
        </w:rPr>
        <w:t> </w:t>
      </w:r>
      <w:r>
        <w:rPr>
          <w:color w:val="231F20"/>
          <w:w w:val="105"/>
        </w:rPr>
        <w:t>de</w:t>
      </w:r>
      <w:r>
        <w:rPr>
          <w:color w:val="231F20"/>
          <w:spacing w:val="-18"/>
          <w:w w:val="105"/>
        </w:rPr>
        <w:t> </w:t>
      </w:r>
      <w:r>
        <w:rPr>
          <w:color w:val="231F20"/>
          <w:w w:val="105"/>
        </w:rPr>
        <w:t>sustento de mediano y largo</w:t>
      </w:r>
      <w:r>
        <w:rPr>
          <w:color w:val="231F20"/>
          <w:spacing w:val="-32"/>
          <w:w w:val="105"/>
        </w:rPr>
        <w:t> </w:t>
      </w:r>
      <w:r>
        <w:rPr>
          <w:color w:val="231F20"/>
          <w:w w:val="105"/>
        </w:rPr>
        <w:t>plazo.</w:t>
      </w:r>
    </w:p>
    <w:p>
      <w:pPr>
        <w:pStyle w:val="BodyText"/>
        <w:spacing w:line="261" w:lineRule="auto" w:before="1"/>
        <w:ind w:left="1837" w:right="1721" w:firstLine="567"/>
        <w:jc w:val="right"/>
      </w:pPr>
      <w:r>
        <w:rPr>
          <w:color w:val="231F20"/>
          <w:w w:val="105"/>
        </w:rPr>
        <w:t>Problematizar</w:t>
      </w:r>
      <w:r>
        <w:rPr>
          <w:color w:val="231F20"/>
          <w:spacing w:val="-10"/>
          <w:w w:val="105"/>
        </w:rPr>
        <w:t> </w:t>
      </w:r>
      <w:r>
        <w:rPr>
          <w:color w:val="231F20"/>
          <w:w w:val="105"/>
        </w:rPr>
        <w:t>el</w:t>
      </w:r>
      <w:r>
        <w:rPr>
          <w:color w:val="231F20"/>
          <w:spacing w:val="-10"/>
          <w:w w:val="105"/>
        </w:rPr>
        <w:t> </w:t>
      </w:r>
      <w:r>
        <w:rPr>
          <w:color w:val="231F20"/>
          <w:w w:val="105"/>
        </w:rPr>
        <w:t>retorno</w:t>
      </w:r>
      <w:r>
        <w:rPr>
          <w:color w:val="231F20"/>
          <w:spacing w:val="-10"/>
          <w:w w:val="105"/>
        </w:rPr>
        <w:t> </w:t>
      </w:r>
      <w:r>
        <w:rPr>
          <w:color w:val="231F20"/>
          <w:w w:val="105"/>
        </w:rPr>
        <w:t>como</w:t>
      </w:r>
      <w:r>
        <w:rPr>
          <w:color w:val="231F20"/>
          <w:spacing w:val="-10"/>
          <w:w w:val="105"/>
        </w:rPr>
        <w:t> </w:t>
      </w:r>
      <w:r>
        <w:rPr>
          <w:color w:val="231F20"/>
          <w:w w:val="105"/>
        </w:rPr>
        <w:t>un</w:t>
      </w:r>
      <w:r>
        <w:rPr>
          <w:color w:val="231F20"/>
          <w:spacing w:val="-10"/>
          <w:w w:val="105"/>
        </w:rPr>
        <w:t> </w:t>
      </w:r>
      <w:r>
        <w:rPr>
          <w:color w:val="231F20"/>
          <w:w w:val="105"/>
        </w:rPr>
        <w:t>proceso</w:t>
      </w:r>
      <w:r>
        <w:rPr>
          <w:color w:val="231F20"/>
          <w:spacing w:val="-10"/>
          <w:w w:val="105"/>
        </w:rPr>
        <w:t> </w:t>
      </w:r>
      <w:r>
        <w:rPr>
          <w:color w:val="231F20"/>
          <w:w w:val="105"/>
        </w:rPr>
        <w:t>permeado</w:t>
      </w:r>
      <w:r>
        <w:rPr>
          <w:color w:val="231F20"/>
          <w:spacing w:val="-10"/>
          <w:w w:val="105"/>
        </w:rPr>
        <w:t> </w:t>
      </w:r>
      <w:r>
        <w:rPr>
          <w:color w:val="231F20"/>
          <w:w w:val="105"/>
        </w:rPr>
        <w:t>por</w:t>
      </w:r>
      <w:r>
        <w:rPr>
          <w:color w:val="231F20"/>
          <w:spacing w:val="-10"/>
          <w:w w:val="105"/>
        </w:rPr>
        <w:t> </w:t>
      </w:r>
      <w:r>
        <w:rPr>
          <w:color w:val="231F20"/>
          <w:w w:val="105"/>
        </w:rPr>
        <w:t>choques</w:t>
      </w:r>
      <w:r>
        <w:rPr>
          <w:color w:val="231F20"/>
          <w:w w:val="103"/>
        </w:rPr>
        <w:t> </w:t>
      </w:r>
      <w:r>
        <w:rPr>
          <w:color w:val="231F20"/>
          <w:w w:val="105"/>
        </w:rPr>
        <w:t>y</w:t>
      </w:r>
      <w:r>
        <w:rPr>
          <w:color w:val="231F20"/>
          <w:spacing w:val="-18"/>
          <w:w w:val="105"/>
        </w:rPr>
        <w:t> </w:t>
      </w:r>
      <w:r>
        <w:rPr>
          <w:color w:val="231F20"/>
          <w:w w:val="105"/>
        </w:rPr>
        <w:t>conflictos,</w:t>
      </w:r>
      <w:r>
        <w:rPr>
          <w:color w:val="231F20"/>
          <w:spacing w:val="-23"/>
          <w:w w:val="105"/>
        </w:rPr>
        <w:t> </w:t>
      </w:r>
      <w:r>
        <w:rPr>
          <w:color w:val="231F20"/>
          <w:w w:val="105"/>
        </w:rPr>
        <w:t>generados</w:t>
      </w:r>
      <w:r>
        <w:rPr>
          <w:color w:val="231F20"/>
          <w:spacing w:val="-18"/>
          <w:w w:val="105"/>
        </w:rPr>
        <w:t> </w:t>
      </w:r>
      <w:r>
        <w:rPr>
          <w:color w:val="231F20"/>
          <w:w w:val="105"/>
        </w:rPr>
        <w:t>al</w:t>
      </w:r>
      <w:r>
        <w:rPr>
          <w:color w:val="231F20"/>
          <w:spacing w:val="-18"/>
          <w:w w:val="105"/>
        </w:rPr>
        <w:t> </w:t>
      </w:r>
      <w:r>
        <w:rPr>
          <w:color w:val="231F20"/>
          <w:w w:val="105"/>
        </w:rPr>
        <w:t>reasentarse</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lugar</w:t>
      </w:r>
      <w:r>
        <w:rPr>
          <w:color w:val="231F20"/>
          <w:spacing w:val="-18"/>
          <w:w w:val="105"/>
        </w:rPr>
        <w:t> </w:t>
      </w:r>
      <w:r>
        <w:rPr>
          <w:color w:val="231F20"/>
          <w:w w:val="105"/>
        </w:rPr>
        <w:t>de</w:t>
      </w:r>
      <w:r>
        <w:rPr>
          <w:color w:val="231F20"/>
          <w:spacing w:val="-18"/>
          <w:w w:val="105"/>
        </w:rPr>
        <w:t> </w:t>
      </w:r>
      <w:r>
        <w:rPr>
          <w:color w:val="231F20"/>
          <w:w w:val="105"/>
        </w:rPr>
        <w:t>origen,</w:t>
      </w:r>
      <w:r>
        <w:rPr>
          <w:color w:val="231F20"/>
          <w:spacing w:val="-23"/>
          <w:w w:val="105"/>
        </w:rPr>
        <w:t> </w:t>
      </w:r>
      <w:r>
        <w:rPr>
          <w:color w:val="231F20"/>
          <w:w w:val="105"/>
        </w:rPr>
        <w:t>permite</w:t>
      </w:r>
      <w:r>
        <w:rPr>
          <w:color w:val="231F20"/>
          <w:spacing w:val="-18"/>
          <w:w w:val="105"/>
        </w:rPr>
        <w:t> </w:t>
      </w:r>
      <w:r>
        <w:rPr>
          <w:color w:val="231F20"/>
          <w:w w:val="105"/>
        </w:rPr>
        <w:t>sub-</w:t>
      </w:r>
      <w:r>
        <w:rPr>
          <w:color w:val="231F20"/>
          <w:w w:val="96"/>
        </w:rPr>
        <w:t> </w:t>
      </w:r>
      <w:r>
        <w:rPr>
          <w:color w:val="231F20"/>
          <w:w w:val="105"/>
        </w:rPr>
        <w:t>rayar</w:t>
      </w:r>
      <w:r>
        <w:rPr>
          <w:color w:val="231F20"/>
          <w:spacing w:val="-8"/>
          <w:w w:val="105"/>
        </w:rPr>
        <w:t> </w:t>
      </w:r>
      <w:r>
        <w:rPr>
          <w:color w:val="231F20"/>
          <w:w w:val="105"/>
        </w:rPr>
        <w:t>los</w:t>
      </w:r>
      <w:r>
        <w:rPr>
          <w:color w:val="231F20"/>
          <w:spacing w:val="-8"/>
          <w:w w:val="105"/>
        </w:rPr>
        <w:t> </w:t>
      </w:r>
      <w:r>
        <w:rPr>
          <w:color w:val="231F20"/>
          <w:w w:val="105"/>
        </w:rPr>
        <w:t>cambios</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movilidad</w:t>
      </w:r>
      <w:r>
        <w:rPr>
          <w:color w:val="231F20"/>
          <w:spacing w:val="-8"/>
          <w:w w:val="105"/>
        </w:rPr>
        <w:t> </w:t>
      </w:r>
      <w:r>
        <w:rPr>
          <w:color w:val="231F20"/>
          <w:w w:val="105"/>
        </w:rPr>
        <w:t>y</w:t>
      </w:r>
      <w:r>
        <w:rPr>
          <w:color w:val="231F20"/>
          <w:spacing w:val="-8"/>
          <w:w w:val="105"/>
        </w:rPr>
        <w:t> </w:t>
      </w:r>
      <w:r>
        <w:rPr>
          <w:color w:val="231F20"/>
          <w:w w:val="105"/>
        </w:rPr>
        <w:t>las</w:t>
      </w:r>
      <w:r>
        <w:rPr>
          <w:color w:val="231F20"/>
          <w:spacing w:val="-8"/>
          <w:w w:val="105"/>
        </w:rPr>
        <w:t> </w:t>
      </w:r>
      <w:r>
        <w:rPr>
          <w:color w:val="231F20"/>
          <w:w w:val="105"/>
        </w:rPr>
        <w:t>migraciones</w:t>
      </w:r>
      <w:r>
        <w:rPr>
          <w:color w:val="231F20"/>
          <w:spacing w:val="-8"/>
          <w:w w:val="105"/>
        </w:rPr>
        <w:t> </w:t>
      </w:r>
      <w:r>
        <w:rPr>
          <w:color w:val="231F20"/>
          <w:w w:val="105"/>
        </w:rPr>
        <w:t>traen</w:t>
      </w:r>
      <w:r>
        <w:rPr>
          <w:color w:val="231F20"/>
          <w:spacing w:val="-8"/>
          <w:w w:val="105"/>
        </w:rPr>
        <w:t> </w:t>
      </w:r>
      <w:r>
        <w:rPr>
          <w:color w:val="231F20"/>
          <w:w w:val="105"/>
        </w:rPr>
        <w:t>consigo.</w:t>
      </w:r>
      <w:r>
        <w:rPr>
          <w:color w:val="231F20"/>
          <w:spacing w:val="-13"/>
          <w:w w:val="105"/>
        </w:rPr>
        <w:t> </w:t>
      </w:r>
      <w:r>
        <w:rPr>
          <w:color w:val="231F20"/>
          <w:w w:val="105"/>
        </w:rPr>
        <w:t>Los</w:t>
      </w:r>
      <w:r>
        <w:rPr>
          <w:color w:val="231F20"/>
          <w:w w:val="99"/>
        </w:rPr>
        <w:t> </w:t>
      </w:r>
      <w:r>
        <w:rPr>
          <w:color w:val="231F20"/>
          <w:w w:val="105"/>
        </w:rPr>
        <w:t>referentes</w:t>
      </w:r>
      <w:r>
        <w:rPr>
          <w:color w:val="231F20"/>
          <w:spacing w:val="-20"/>
          <w:w w:val="105"/>
        </w:rPr>
        <w:t> </w:t>
      </w:r>
      <w:r>
        <w:rPr>
          <w:color w:val="231F20"/>
          <w:w w:val="105"/>
        </w:rPr>
        <w:t>espaciales,</w:t>
      </w:r>
      <w:r>
        <w:rPr>
          <w:color w:val="231F20"/>
          <w:spacing w:val="-23"/>
          <w:w w:val="105"/>
        </w:rPr>
        <w:t> </w:t>
      </w:r>
      <w:r>
        <w:rPr>
          <w:color w:val="231F20"/>
          <w:w w:val="105"/>
        </w:rPr>
        <w:t>temporales,</w:t>
      </w:r>
      <w:r>
        <w:rPr>
          <w:color w:val="231F20"/>
          <w:spacing w:val="-23"/>
          <w:w w:val="105"/>
        </w:rPr>
        <w:t> </w:t>
      </w:r>
      <w:r>
        <w:rPr>
          <w:color w:val="231F20"/>
          <w:w w:val="105"/>
        </w:rPr>
        <w:t>afectivos</w:t>
      </w:r>
      <w:r>
        <w:rPr>
          <w:color w:val="231F20"/>
          <w:spacing w:val="-20"/>
          <w:w w:val="105"/>
        </w:rPr>
        <w:t> </w:t>
      </w:r>
      <w:r>
        <w:rPr>
          <w:color w:val="231F20"/>
          <w:w w:val="105"/>
        </w:rPr>
        <w:t>y</w:t>
      </w:r>
      <w:r>
        <w:rPr>
          <w:color w:val="231F20"/>
          <w:spacing w:val="-20"/>
          <w:w w:val="105"/>
        </w:rPr>
        <w:t> </w:t>
      </w:r>
      <w:r>
        <w:rPr>
          <w:color w:val="231F20"/>
          <w:w w:val="105"/>
        </w:rPr>
        <w:t>culturales</w:t>
      </w:r>
      <w:r>
        <w:rPr>
          <w:color w:val="231F20"/>
          <w:spacing w:val="-20"/>
          <w:w w:val="105"/>
        </w:rPr>
        <w:t> </w:t>
      </w:r>
      <w:r>
        <w:rPr>
          <w:color w:val="231F20"/>
          <w:w w:val="105"/>
        </w:rPr>
        <w:t>se</w:t>
      </w:r>
      <w:r>
        <w:rPr>
          <w:color w:val="231F20"/>
          <w:spacing w:val="-20"/>
          <w:w w:val="105"/>
        </w:rPr>
        <w:t> </w:t>
      </w:r>
      <w:r>
        <w:rPr>
          <w:color w:val="231F20"/>
          <w:w w:val="105"/>
        </w:rPr>
        <w:t>modifican</w:t>
      </w:r>
      <w:r>
        <w:rPr>
          <w:color w:val="231F20"/>
          <w:spacing w:val="-20"/>
          <w:w w:val="105"/>
        </w:rPr>
        <w:t> </w:t>
      </w:r>
      <w:r>
        <w:rPr>
          <w:color w:val="231F20"/>
          <w:w w:val="105"/>
        </w:rPr>
        <w:t>en</w:t>
      </w:r>
      <w:r>
        <w:rPr>
          <w:color w:val="231F20"/>
          <w:w w:val="103"/>
        </w:rPr>
        <w:t> </w:t>
      </w:r>
      <w:r>
        <w:rPr>
          <w:color w:val="231F20"/>
          <w:w w:val="105"/>
        </w:rPr>
        <w:t>el</w:t>
      </w:r>
      <w:r>
        <w:rPr>
          <w:color w:val="231F20"/>
          <w:spacing w:val="-23"/>
          <w:w w:val="105"/>
        </w:rPr>
        <w:t> </w:t>
      </w:r>
      <w:r>
        <w:rPr>
          <w:color w:val="231F20"/>
          <w:w w:val="105"/>
        </w:rPr>
        <w:t>trayecto</w:t>
      </w:r>
      <w:r>
        <w:rPr>
          <w:color w:val="231F20"/>
          <w:spacing w:val="-23"/>
          <w:w w:val="105"/>
        </w:rPr>
        <w:t> </w:t>
      </w:r>
      <w:r>
        <w:rPr>
          <w:color w:val="231F20"/>
          <w:w w:val="105"/>
        </w:rPr>
        <w:t>migratorio</w:t>
      </w:r>
      <w:r>
        <w:rPr>
          <w:color w:val="231F20"/>
          <w:spacing w:val="-23"/>
          <w:w w:val="105"/>
        </w:rPr>
        <w:t> </w:t>
      </w:r>
      <w:r>
        <w:rPr>
          <w:color w:val="231F20"/>
          <w:w w:val="105"/>
        </w:rPr>
        <w:t>aquí</w:t>
      </w:r>
      <w:r>
        <w:rPr>
          <w:color w:val="231F20"/>
          <w:spacing w:val="-23"/>
          <w:w w:val="105"/>
        </w:rPr>
        <w:t> </w:t>
      </w:r>
      <w:r>
        <w:rPr>
          <w:color w:val="231F20"/>
          <w:w w:val="105"/>
        </w:rPr>
        <w:t>y</w:t>
      </w:r>
      <w:r>
        <w:rPr>
          <w:color w:val="231F20"/>
          <w:spacing w:val="-23"/>
          <w:w w:val="105"/>
        </w:rPr>
        <w:t> </w:t>
      </w:r>
      <w:r>
        <w:rPr>
          <w:color w:val="231F20"/>
          <w:w w:val="105"/>
        </w:rPr>
        <w:t>allá.</w:t>
      </w:r>
      <w:r>
        <w:rPr>
          <w:color w:val="231F20"/>
          <w:spacing w:val="-27"/>
          <w:w w:val="105"/>
        </w:rPr>
        <w:t> </w:t>
      </w:r>
      <w:r>
        <w:rPr>
          <w:color w:val="231F20"/>
          <w:w w:val="105"/>
        </w:rPr>
        <w:t>Las</w:t>
      </w:r>
      <w:r>
        <w:rPr>
          <w:color w:val="231F20"/>
          <w:spacing w:val="-23"/>
          <w:w w:val="105"/>
        </w:rPr>
        <w:t> </w:t>
      </w:r>
      <w:r>
        <w:rPr>
          <w:color w:val="231F20"/>
          <w:w w:val="105"/>
        </w:rPr>
        <w:t>relaciones</w:t>
      </w:r>
      <w:r>
        <w:rPr>
          <w:color w:val="231F20"/>
          <w:spacing w:val="-23"/>
          <w:w w:val="105"/>
        </w:rPr>
        <w:t> </w:t>
      </w:r>
      <w:r>
        <w:rPr>
          <w:color w:val="231F20"/>
          <w:w w:val="105"/>
        </w:rPr>
        <w:t>con</w:t>
      </w:r>
      <w:r>
        <w:rPr>
          <w:color w:val="231F20"/>
          <w:spacing w:val="-23"/>
          <w:w w:val="105"/>
        </w:rPr>
        <w:t> </w:t>
      </w:r>
      <w:r>
        <w:rPr>
          <w:color w:val="231F20"/>
          <w:w w:val="105"/>
        </w:rPr>
        <w:t>las</w:t>
      </w:r>
      <w:r>
        <w:rPr>
          <w:color w:val="231F20"/>
          <w:spacing w:val="-23"/>
          <w:w w:val="105"/>
        </w:rPr>
        <w:t> </w:t>
      </w:r>
      <w:r>
        <w:rPr>
          <w:color w:val="231F20"/>
          <w:w w:val="105"/>
        </w:rPr>
        <w:t>personas,</w:t>
      </w:r>
      <w:r>
        <w:rPr>
          <w:color w:val="231F20"/>
          <w:spacing w:val="-27"/>
          <w:w w:val="105"/>
        </w:rPr>
        <w:t> </w:t>
      </w:r>
      <w:r>
        <w:rPr>
          <w:color w:val="231F20"/>
          <w:w w:val="105"/>
        </w:rPr>
        <w:t>las</w:t>
      </w:r>
      <w:r>
        <w:rPr>
          <w:color w:val="231F20"/>
          <w:spacing w:val="-23"/>
          <w:w w:val="105"/>
        </w:rPr>
        <w:t> </w:t>
      </w:r>
      <w:r>
        <w:rPr>
          <w:color w:val="231F20"/>
          <w:w w:val="105"/>
        </w:rPr>
        <w:t>ins-</w:t>
      </w:r>
      <w:r>
        <w:rPr>
          <w:color w:val="231F20"/>
          <w:w w:val="96"/>
        </w:rPr>
        <w:t> </w:t>
      </w:r>
      <w:r>
        <w:rPr>
          <w:color w:val="231F20"/>
          <w:w w:val="105"/>
        </w:rPr>
        <w:t>tituciones, las prácticas compartidas se alteran de igual modo,</w:t>
      </w:r>
      <w:r>
        <w:rPr>
          <w:color w:val="231F20"/>
          <w:spacing w:val="8"/>
          <w:w w:val="105"/>
        </w:rPr>
        <w:t> </w:t>
      </w:r>
      <w:r>
        <w:rPr>
          <w:color w:val="231F20"/>
          <w:w w:val="105"/>
        </w:rPr>
        <w:t>no</w:t>
      </w:r>
      <w:r>
        <w:rPr>
          <w:color w:val="231F20"/>
          <w:spacing w:val="8"/>
          <w:w w:val="105"/>
        </w:rPr>
        <w:t> </w:t>
      </w:r>
      <w:r>
        <w:rPr>
          <w:color w:val="231F20"/>
          <w:w w:val="105"/>
        </w:rPr>
        <w:t>sólo</w:t>
      </w:r>
      <w:r>
        <w:rPr>
          <w:color w:val="231F20"/>
          <w:w w:val="104"/>
        </w:rPr>
        <w:t> </w:t>
      </w:r>
      <w:r>
        <w:rPr>
          <w:color w:val="231F20"/>
          <w:w w:val="105"/>
        </w:rPr>
        <w:t>por</w:t>
      </w:r>
      <w:r>
        <w:rPr>
          <w:color w:val="231F20"/>
          <w:spacing w:val="-7"/>
          <w:w w:val="105"/>
        </w:rPr>
        <w:t> </w:t>
      </w:r>
      <w:r>
        <w:rPr>
          <w:color w:val="231F20"/>
          <w:w w:val="105"/>
        </w:rPr>
        <w:t>la</w:t>
      </w:r>
      <w:r>
        <w:rPr>
          <w:color w:val="231F20"/>
          <w:spacing w:val="-7"/>
          <w:w w:val="105"/>
        </w:rPr>
        <w:t> </w:t>
      </w:r>
      <w:r>
        <w:rPr>
          <w:color w:val="231F20"/>
          <w:w w:val="105"/>
        </w:rPr>
        <w:t>ausencia</w:t>
      </w:r>
      <w:r>
        <w:rPr>
          <w:color w:val="231F20"/>
          <w:spacing w:val="-7"/>
          <w:w w:val="105"/>
        </w:rPr>
        <w:t> </w:t>
      </w:r>
      <w:r>
        <w:rPr>
          <w:color w:val="231F20"/>
          <w:w w:val="105"/>
        </w:rPr>
        <w:t>física,</w:t>
      </w:r>
      <w:r>
        <w:rPr>
          <w:color w:val="231F20"/>
          <w:spacing w:val="-13"/>
          <w:w w:val="105"/>
        </w:rPr>
        <w:t> </w:t>
      </w:r>
      <w:r>
        <w:rPr>
          <w:color w:val="231F20"/>
          <w:w w:val="105"/>
        </w:rPr>
        <w:t>sino</w:t>
      </w:r>
      <w:r>
        <w:rPr>
          <w:color w:val="231F20"/>
          <w:spacing w:val="-7"/>
          <w:w w:val="105"/>
        </w:rPr>
        <w:t> </w:t>
      </w:r>
      <w:r>
        <w:rPr>
          <w:color w:val="231F20"/>
          <w:w w:val="105"/>
        </w:rPr>
        <w:t>por</w:t>
      </w:r>
      <w:r>
        <w:rPr>
          <w:color w:val="231F20"/>
          <w:spacing w:val="-7"/>
          <w:w w:val="105"/>
        </w:rPr>
        <w:t> </w:t>
      </w:r>
      <w:r>
        <w:rPr>
          <w:color w:val="231F20"/>
          <w:w w:val="105"/>
        </w:rPr>
        <w:t>las</w:t>
      </w:r>
      <w:r>
        <w:rPr>
          <w:color w:val="231F20"/>
          <w:spacing w:val="-7"/>
          <w:w w:val="105"/>
        </w:rPr>
        <w:t> </w:t>
      </w:r>
      <w:r>
        <w:rPr>
          <w:color w:val="231F20"/>
          <w:w w:val="105"/>
        </w:rPr>
        <w:t>construcciones</w:t>
      </w:r>
      <w:r>
        <w:rPr>
          <w:color w:val="231F20"/>
          <w:spacing w:val="-7"/>
          <w:w w:val="105"/>
        </w:rPr>
        <w:t> </w:t>
      </w:r>
      <w:r>
        <w:rPr>
          <w:color w:val="231F20"/>
          <w:w w:val="105"/>
        </w:rPr>
        <w:t>simbólicas</w:t>
      </w:r>
      <w:r>
        <w:rPr>
          <w:color w:val="231F20"/>
          <w:spacing w:val="-7"/>
          <w:w w:val="105"/>
        </w:rPr>
        <w:t> </w:t>
      </w:r>
      <w:r>
        <w:rPr>
          <w:color w:val="231F20"/>
          <w:w w:val="105"/>
        </w:rPr>
        <w:t>de</w:t>
      </w:r>
      <w:r>
        <w:rPr>
          <w:color w:val="231F20"/>
          <w:spacing w:val="-7"/>
          <w:w w:val="105"/>
        </w:rPr>
        <w:t> </w:t>
      </w:r>
      <w:r>
        <w:rPr>
          <w:color w:val="231F20"/>
          <w:w w:val="105"/>
        </w:rPr>
        <w:t>anclaje</w:t>
      </w:r>
      <w:r>
        <w:rPr>
          <w:color w:val="231F20"/>
          <w:w w:val="101"/>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refuerzan</w:t>
      </w:r>
      <w:r>
        <w:rPr>
          <w:color w:val="231F20"/>
          <w:spacing w:val="-14"/>
          <w:w w:val="105"/>
        </w:rPr>
        <w:t> </w:t>
      </w:r>
      <w:r>
        <w:rPr>
          <w:color w:val="231F20"/>
          <w:w w:val="105"/>
        </w:rPr>
        <w:t>o</w:t>
      </w:r>
      <w:r>
        <w:rPr>
          <w:color w:val="231F20"/>
          <w:spacing w:val="-14"/>
          <w:w w:val="105"/>
        </w:rPr>
        <w:t> </w:t>
      </w:r>
      <w:r>
        <w:rPr>
          <w:color w:val="231F20"/>
          <w:w w:val="105"/>
        </w:rPr>
        <w:t>diluyen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experiencia</w:t>
      </w:r>
      <w:r>
        <w:rPr>
          <w:color w:val="231F20"/>
          <w:spacing w:val="-14"/>
          <w:w w:val="105"/>
        </w:rPr>
        <w:t> </w:t>
      </w:r>
      <w:r>
        <w:rPr>
          <w:color w:val="231F20"/>
          <w:w w:val="105"/>
        </w:rPr>
        <w:t>de</w:t>
      </w:r>
      <w:r>
        <w:rPr>
          <w:color w:val="231F20"/>
          <w:spacing w:val="-14"/>
          <w:w w:val="105"/>
        </w:rPr>
        <w:t> </w:t>
      </w:r>
      <w:r>
        <w:rPr>
          <w:color w:val="231F20"/>
          <w:w w:val="105"/>
        </w:rPr>
        <w:t>migrar</w:t>
      </w:r>
      <w:r>
        <w:rPr>
          <w:color w:val="231F20"/>
          <w:spacing w:val="-14"/>
          <w:w w:val="105"/>
        </w:rPr>
        <w:t> </w:t>
      </w:r>
      <w:r>
        <w:rPr>
          <w:color w:val="231F20"/>
          <w:w w:val="105"/>
        </w:rPr>
        <w:t>y</w:t>
      </w:r>
      <w:r>
        <w:rPr>
          <w:color w:val="231F20"/>
          <w:spacing w:val="-14"/>
          <w:w w:val="105"/>
        </w:rPr>
        <w:t> </w:t>
      </w:r>
      <w:r>
        <w:rPr>
          <w:color w:val="231F20"/>
          <w:w w:val="105"/>
        </w:rPr>
        <w:t>estar</w:t>
      </w:r>
      <w:r>
        <w:rPr>
          <w:color w:val="231F20"/>
          <w:spacing w:val="-14"/>
          <w:w w:val="105"/>
        </w:rPr>
        <w:t> </w:t>
      </w:r>
      <w:r>
        <w:rPr>
          <w:color w:val="231F20"/>
          <w:w w:val="105"/>
        </w:rPr>
        <w:t>de</w:t>
      </w:r>
      <w:r>
        <w:rPr>
          <w:color w:val="231F20"/>
          <w:spacing w:val="-14"/>
          <w:w w:val="105"/>
        </w:rPr>
        <w:t> </w:t>
      </w:r>
      <w:r>
        <w:rPr>
          <w:color w:val="231F20"/>
          <w:w w:val="105"/>
        </w:rPr>
        <w:t>vuelta.</w:t>
      </w:r>
      <w:r>
        <w:rPr>
          <w:color w:val="231F20"/>
          <w:w w:val="101"/>
        </w:rPr>
        <w:t> </w:t>
      </w:r>
      <w:r>
        <w:rPr>
          <w:color w:val="231F20"/>
          <w:w w:val="105"/>
        </w:rPr>
        <w:t>En</w:t>
      </w:r>
      <w:r>
        <w:rPr>
          <w:color w:val="231F20"/>
          <w:spacing w:val="-14"/>
          <w:w w:val="105"/>
        </w:rPr>
        <w:t> </w:t>
      </w:r>
      <w:r>
        <w:rPr>
          <w:color w:val="231F20"/>
          <w:w w:val="105"/>
        </w:rPr>
        <w:t>esta</w:t>
      </w:r>
      <w:r>
        <w:rPr>
          <w:color w:val="231F20"/>
          <w:spacing w:val="-13"/>
          <w:w w:val="105"/>
        </w:rPr>
        <w:t> </w:t>
      </w:r>
      <w:r>
        <w:rPr>
          <w:color w:val="231F20"/>
          <w:w w:val="105"/>
        </w:rPr>
        <w:t>lógica</w:t>
      </w:r>
      <w:r>
        <w:rPr>
          <w:color w:val="231F20"/>
          <w:spacing w:val="-14"/>
          <w:w w:val="105"/>
        </w:rPr>
        <w:t> </w:t>
      </w:r>
      <w:r>
        <w:rPr>
          <w:color w:val="231F20"/>
          <w:w w:val="105"/>
        </w:rPr>
        <w:t>de</w:t>
      </w:r>
      <w:r>
        <w:rPr>
          <w:color w:val="231F20"/>
          <w:spacing w:val="-14"/>
          <w:w w:val="105"/>
        </w:rPr>
        <w:t> </w:t>
      </w:r>
      <w:r>
        <w:rPr>
          <w:color w:val="231F20"/>
          <w:w w:val="105"/>
        </w:rPr>
        <w:t>entendimiento,</w:t>
      </w:r>
      <w:r>
        <w:rPr>
          <w:color w:val="231F20"/>
          <w:spacing w:val="-23"/>
          <w:w w:val="105"/>
        </w:rPr>
        <w:t> </w:t>
      </w:r>
      <w:r>
        <w:rPr>
          <w:color w:val="231F20"/>
          <w:w w:val="105"/>
        </w:rPr>
        <w:t>Aznar</w:t>
      </w:r>
      <w:r>
        <w:rPr>
          <w:color w:val="231F20"/>
          <w:spacing w:val="-14"/>
          <w:w w:val="105"/>
        </w:rPr>
        <w:t> </w:t>
      </w:r>
      <w:r>
        <w:rPr>
          <w:color w:val="231F20"/>
          <w:w w:val="105"/>
        </w:rPr>
        <w:t>(2011)</w:t>
      </w:r>
      <w:r>
        <w:rPr>
          <w:color w:val="231F20"/>
          <w:spacing w:val="-14"/>
          <w:w w:val="105"/>
        </w:rPr>
        <w:t> </w:t>
      </w:r>
      <w:r>
        <w:rPr>
          <w:color w:val="231F20"/>
          <w:w w:val="105"/>
        </w:rPr>
        <w:t>propone</w:t>
      </w:r>
      <w:r>
        <w:rPr>
          <w:color w:val="231F20"/>
          <w:spacing w:val="-14"/>
          <w:w w:val="105"/>
        </w:rPr>
        <w:t> </w:t>
      </w:r>
      <w:r>
        <w:rPr>
          <w:color w:val="231F20"/>
          <w:w w:val="105"/>
        </w:rPr>
        <w:t>“compren-</w:t>
      </w:r>
    </w:p>
    <w:p>
      <w:pPr>
        <w:pStyle w:val="BodyText"/>
        <w:spacing w:line="261" w:lineRule="auto" w:before="1"/>
        <w:ind w:left="1837" w:right="1720"/>
        <w:jc w:val="both"/>
      </w:pPr>
      <w:r>
        <w:rPr/>
        <w:pict>
          <v:line style="position:absolute;mso-position-horizontal-relative:page;mso-position-vertical-relative:paragraph;z-index:-463024" from="15pt,199.595398pt" to="0pt,199.595398pt" stroked="true" strokeweight=".25pt" strokecolor="#000000">
            <w10:wrap type="none"/>
          </v:line>
        </w:pict>
      </w:r>
      <w:r>
        <w:rPr/>
        <w:pict>
          <v:line style="position:absolute;mso-position-horizontal-relative:page;mso-position-vertical-relative:paragraph;z-index:27184" from="508.890015pt,199.595398pt" to="523.890015pt,199.595398pt" stroked="true" strokeweight=".25pt" strokecolor="#000000">
            <w10:wrap type="none"/>
          </v:line>
        </w:pict>
      </w:r>
      <w:r>
        <w:rPr>
          <w:color w:val="231F20"/>
          <w:w w:val="105"/>
        </w:rPr>
        <w:t>der el retorno como un proceso en el que los migrantes, al regresar al terruño, experimentan una reintegración en los espacios de socializa- ción. Los retornados deben reestablecer las relaciones sociales que</w:t>
      </w:r>
      <w:r>
        <w:rPr>
          <w:color w:val="231F20"/>
          <w:spacing w:val="-11"/>
          <w:w w:val="105"/>
        </w:rPr>
        <w:t> </w:t>
      </w:r>
      <w:r>
        <w:rPr>
          <w:color w:val="231F20"/>
          <w:w w:val="105"/>
        </w:rPr>
        <w:t>se producen</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interacción</w:t>
      </w:r>
      <w:r>
        <w:rPr>
          <w:color w:val="231F20"/>
          <w:spacing w:val="-19"/>
          <w:w w:val="105"/>
        </w:rPr>
        <w:t> </w:t>
      </w:r>
      <w:r>
        <w:rPr>
          <w:color w:val="231F20"/>
          <w:w w:val="105"/>
        </w:rPr>
        <w:t>cotidiana</w:t>
      </w:r>
      <w:r>
        <w:rPr>
          <w:color w:val="231F20"/>
          <w:spacing w:val="-19"/>
          <w:w w:val="105"/>
        </w:rPr>
        <w:t> </w:t>
      </w:r>
      <w:r>
        <w:rPr>
          <w:color w:val="231F20"/>
          <w:w w:val="105"/>
        </w:rPr>
        <w:t>y</w:t>
      </w:r>
      <w:r>
        <w:rPr>
          <w:color w:val="231F20"/>
          <w:spacing w:val="-19"/>
          <w:w w:val="105"/>
        </w:rPr>
        <w:t> </w:t>
      </w:r>
      <w:r>
        <w:rPr>
          <w:color w:val="231F20"/>
          <w:w w:val="105"/>
        </w:rPr>
        <w:t>negociar</w:t>
      </w:r>
      <w:r>
        <w:rPr>
          <w:color w:val="231F20"/>
          <w:spacing w:val="-19"/>
          <w:w w:val="105"/>
        </w:rPr>
        <w:t> </w:t>
      </w:r>
      <w:r>
        <w:rPr>
          <w:color w:val="231F20"/>
          <w:w w:val="105"/>
        </w:rPr>
        <w:t>las</w:t>
      </w:r>
      <w:r>
        <w:rPr>
          <w:color w:val="231F20"/>
          <w:spacing w:val="-19"/>
          <w:w w:val="105"/>
        </w:rPr>
        <w:t> </w:t>
      </w:r>
      <w:r>
        <w:rPr>
          <w:color w:val="231F20"/>
          <w:w w:val="105"/>
        </w:rPr>
        <w:t>pautas</w:t>
      </w:r>
      <w:r>
        <w:rPr>
          <w:color w:val="231F20"/>
          <w:spacing w:val="-19"/>
          <w:w w:val="105"/>
        </w:rPr>
        <w:t> </w:t>
      </w:r>
      <w:r>
        <w:rPr>
          <w:color w:val="231F20"/>
          <w:w w:val="105"/>
        </w:rPr>
        <w:t>culturales</w:t>
      </w:r>
      <w:r>
        <w:rPr>
          <w:color w:val="231F20"/>
          <w:spacing w:val="-19"/>
          <w:w w:val="105"/>
        </w:rPr>
        <w:t> </w:t>
      </w:r>
      <w:r>
        <w:rPr>
          <w:color w:val="231F20"/>
          <w:w w:val="105"/>
        </w:rPr>
        <w:t>que incorporan</w:t>
      </w:r>
      <w:r>
        <w:rPr>
          <w:color w:val="231F20"/>
          <w:spacing w:val="-12"/>
          <w:w w:val="105"/>
        </w:rPr>
        <w:t> </w:t>
      </w:r>
      <w:r>
        <w:rPr>
          <w:color w:val="231F20"/>
          <w:w w:val="105"/>
        </w:rPr>
        <w:t>durante</w:t>
      </w:r>
      <w:r>
        <w:rPr>
          <w:color w:val="231F20"/>
          <w:spacing w:val="-12"/>
          <w:w w:val="105"/>
        </w:rPr>
        <w:t> </w:t>
      </w:r>
      <w:r>
        <w:rPr>
          <w:color w:val="231F20"/>
          <w:w w:val="105"/>
        </w:rPr>
        <w:t>su</w:t>
      </w:r>
      <w:r>
        <w:rPr>
          <w:color w:val="231F20"/>
          <w:spacing w:val="-12"/>
          <w:w w:val="105"/>
        </w:rPr>
        <w:t> </w:t>
      </w:r>
      <w:r>
        <w:rPr>
          <w:color w:val="231F20"/>
          <w:w w:val="105"/>
        </w:rPr>
        <w:t>experiencia</w:t>
      </w:r>
      <w:r>
        <w:rPr>
          <w:color w:val="231F20"/>
          <w:spacing w:val="-12"/>
          <w:w w:val="105"/>
        </w:rPr>
        <w:t> </w:t>
      </w:r>
      <w:r>
        <w:rPr>
          <w:color w:val="231F20"/>
          <w:w w:val="105"/>
        </w:rPr>
        <w:t>migratoria”</w:t>
      </w:r>
      <w:r>
        <w:rPr>
          <w:color w:val="231F20"/>
          <w:spacing w:val="-12"/>
          <w:w w:val="105"/>
        </w:rPr>
        <w:t> </w:t>
      </w:r>
      <w:r>
        <w:rPr>
          <w:color w:val="231F20"/>
          <w:w w:val="105"/>
        </w:rPr>
        <w:t>(Aznar,</w:t>
      </w:r>
      <w:r>
        <w:rPr>
          <w:color w:val="231F20"/>
          <w:spacing w:val="-18"/>
          <w:w w:val="105"/>
        </w:rPr>
        <w:t> </w:t>
      </w:r>
      <w:r>
        <w:rPr>
          <w:color w:val="231F20"/>
          <w:w w:val="105"/>
        </w:rPr>
        <w:t>2011:</w:t>
      </w:r>
      <w:r>
        <w:rPr>
          <w:color w:val="231F20"/>
          <w:spacing w:val="-12"/>
          <w:w w:val="105"/>
        </w:rPr>
        <w:t> </w:t>
      </w:r>
      <w:r>
        <w:rPr>
          <w:color w:val="231F20"/>
          <w:w w:val="105"/>
        </w:rPr>
        <w:t>3).</w:t>
      </w:r>
      <w:r>
        <w:rPr>
          <w:color w:val="231F20"/>
          <w:spacing w:val="-20"/>
          <w:w w:val="105"/>
        </w:rPr>
        <w:t> </w:t>
      </w:r>
      <w:r>
        <w:rPr>
          <w:color w:val="231F20"/>
          <w:w w:val="105"/>
        </w:rPr>
        <w:t>Al</w:t>
      </w:r>
      <w:r>
        <w:rPr>
          <w:color w:val="231F20"/>
          <w:spacing w:val="-12"/>
          <w:w w:val="105"/>
        </w:rPr>
        <w:t> </w:t>
      </w:r>
      <w:r>
        <w:rPr>
          <w:color w:val="231F20"/>
          <w:w w:val="105"/>
        </w:rPr>
        <w:t>entre- lazar</w:t>
      </w:r>
      <w:r>
        <w:rPr>
          <w:color w:val="231F20"/>
          <w:spacing w:val="-11"/>
          <w:w w:val="105"/>
        </w:rPr>
        <w:t> </w:t>
      </w:r>
      <w:r>
        <w:rPr>
          <w:color w:val="231F20"/>
          <w:w w:val="105"/>
        </w:rPr>
        <w:t>los</w:t>
      </w:r>
      <w:r>
        <w:rPr>
          <w:color w:val="231F20"/>
          <w:spacing w:val="-11"/>
          <w:w w:val="105"/>
        </w:rPr>
        <w:t> </w:t>
      </w:r>
      <w:r>
        <w:rPr>
          <w:color w:val="231F20"/>
          <w:w w:val="105"/>
        </w:rPr>
        <w:t>procesos</w:t>
      </w:r>
      <w:r>
        <w:rPr>
          <w:color w:val="231F20"/>
          <w:spacing w:val="-11"/>
          <w:w w:val="105"/>
        </w:rPr>
        <w:t> </w:t>
      </w:r>
      <w:r>
        <w:rPr>
          <w:color w:val="231F20"/>
          <w:w w:val="105"/>
        </w:rPr>
        <w:t>individuales</w:t>
      </w:r>
      <w:r>
        <w:rPr>
          <w:color w:val="231F20"/>
          <w:spacing w:val="-11"/>
          <w:w w:val="105"/>
        </w:rPr>
        <w:t> </w:t>
      </w:r>
      <w:r>
        <w:rPr>
          <w:color w:val="231F20"/>
          <w:w w:val="105"/>
        </w:rPr>
        <w:t>con</w:t>
      </w:r>
      <w:r>
        <w:rPr>
          <w:color w:val="231F20"/>
          <w:spacing w:val="-11"/>
          <w:w w:val="105"/>
        </w:rPr>
        <w:t> </w:t>
      </w:r>
      <w:r>
        <w:rPr>
          <w:color w:val="231F20"/>
          <w:w w:val="105"/>
        </w:rPr>
        <w:t>las</w:t>
      </w:r>
      <w:r>
        <w:rPr>
          <w:color w:val="231F20"/>
          <w:spacing w:val="-11"/>
          <w:w w:val="105"/>
        </w:rPr>
        <w:t> </w:t>
      </w:r>
      <w:r>
        <w:rPr>
          <w:color w:val="231F20"/>
          <w:w w:val="105"/>
        </w:rPr>
        <w:t>transformaciones</w:t>
      </w:r>
      <w:r>
        <w:rPr>
          <w:color w:val="231F20"/>
          <w:spacing w:val="-11"/>
          <w:w w:val="105"/>
        </w:rPr>
        <w:t> </w:t>
      </w:r>
      <w:r>
        <w:rPr>
          <w:color w:val="231F20"/>
          <w:w w:val="105"/>
        </w:rPr>
        <w:t>estructurales</w:t>
      </w:r>
      <w:r>
        <w:rPr>
          <w:color w:val="231F20"/>
          <w:spacing w:val="-11"/>
          <w:w w:val="105"/>
        </w:rPr>
        <w:t> </w:t>
      </w:r>
      <w:r>
        <w:rPr>
          <w:color w:val="231F20"/>
          <w:w w:val="105"/>
        </w:rPr>
        <w:t>e históricas se concibe al retorno como práctica y proceso para explicar el vínculo entre el nivel socio-estructural y el nivel socio-simbólico. Uno de los espacios urbanos de estudio fue Ixtapan de la Sal, municipio</w:t>
      </w:r>
      <w:r>
        <w:rPr>
          <w:color w:val="231F20"/>
          <w:spacing w:val="-11"/>
          <w:w w:val="105"/>
        </w:rPr>
        <w:t> </w:t>
      </w:r>
      <w:r>
        <w:rPr>
          <w:color w:val="231F20"/>
          <w:w w:val="105"/>
        </w:rPr>
        <w:t>del</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7"/>
        </w:rPr>
      </w:pPr>
    </w:p>
    <w:p>
      <w:pPr>
        <w:pStyle w:val="BodyText"/>
        <w:spacing w:line="261" w:lineRule="auto" w:before="60"/>
        <w:ind w:left="1723" w:right="1683"/>
      </w:pPr>
      <w:r>
        <w:rPr/>
        <w:pict>
          <v:line style="position:absolute;mso-position-horizontal-relative:page;mso-position-vertical-relative:paragraph;z-index:27232" from="15pt,-66.560524pt" to="0pt,-66.560524pt" stroked="true" strokeweight=".25pt" strokecolor="#000000">
            <w10:wrap type="none"/>
          </v:line>
        </w:pict>
      </w:r>
      <w:r>
        <w:rPr/>
        <w:pict>
          <v:line style="position:absolute;mso-position-horizontal-relative:page;mso-position-vertical-relative:paragraph;z-index:27256" from="508.890015pt,-66.560524pt" to="523.890015pt,-66.560524pt" stroked="true" strokeweight=".25pt" strokecolor="#000000">
            <w10:wrap type="none"/>
          </v:line>
        </w:pict>
      </w:r>
      <w:r>
        <w:rPr>
          <w:color w:val="231F20"/>
          <w:w w:val="105"/>
        </w:rPr>
        <w:t>sur del Estado de México, que junto con la ciudad de Cuautla, Morelos, conformaron la unidad de observación.</w:t>
      </w:r>
    </w:p>
    <w:p>
      <w:pPr>
        <w:pStyle w:val="BodyText"/>
        <w:spacing w:line="261" w:lineRule="auto" w:before="1"/>
        <w:ind w:left="1723" w:right="1831" w:firstLine="567"/>
        <w:jc w:val="right"/>
      </w:pPr>
      <w:r>
        <w:rPr>
          <w:color w:val="231F20"/>
          <w:w w:val="105"/>
        </w:rPr>
        <w:t>A </w:t>
      </w:r>
      <w:r>
        <w:rPr>
          <w:color w:val="231F20"/>
          <w:spacing w:val="-3"/>
          <w:w w:val="105"/>
        </w:rPr>
        <w:t>partir </w:t>
      </w:r>
      <w:r>
        <w:rPr>
          <w:color w:val="231F20"/>
          <w:w w:val="105"/>
        </w:rPr>
        <w:t>de </w:t>
      </w:r>
      <w:r>
        <w:rPr>
          <w:color w:val="231F20"/>
          <w:spacing w:val="-3"/>
          <w:w w:val="105"/>
        </w:rPr>
        <w:t>este recorrido sintetizado </w:t>
      </w:r>
      <w:r>
        <w:rPr>
          <w:color w:val="231F20"/>
          <w:w w:val="105"/>
        </w:rPr>
        <w:t>de los </w:t>
      </w:r>
      <w:r>
        <w:rPr>
          <w:color w:val="231F20"/>
          <w:spacing w:val="-3"/>
          <w:w w:val="105"/>
        </w:rPr>
        <w:t>estudios </w:t>
      </w:r>
      <w:r>
        <w:rPr>
          <w:color w:val="231F20"/>
          <w:w w:val="105"/>
        </w:rPr>
        <w:t>de</w:t>
      </w:r>
      <w:r>
        <w:rPr>
          <w:color w:val="231F20"/>
          <w:spacing w:val="29"/>
          <w:w w:val="105"/>
        </w:rPr>
        <w:t> </w:t>
      </w:r>
      <w:r>
        <w:rPr>
          <w:color w:val="231F20"/>
          <w:spacing w:val="-3"/>
          <w:w w:val="105"/>
        </w:rPr>
        <w:t>retorno</w:t>
      </w:r>
      <w:r>
        <w:rPr>
          <w:color w:val="231F20"/>
          <w:spacing w:val="1"/>
          <w:w w:val="105"/>
        </w:rPr>
        <w:t> </w:t>
      </w:r>
      <w:r>
        <w:rPr>
          <w:color w:val="231F20"/>
          <w:spacing w:val="-3"/>
          <w:w w:val="105"/>
        </w:rPr>
        <w:t>en</w:t>
      </w:r>
      <w:r>
        <w:rPr>
          <w:color w:val="231F20"/>
          <w:spacing w:val="-3"/>
          <w:w w:val="103"/>
        </w:rPr>
        <w:t> </w:t>
      </w:r>
      <w:r>
        <w:rPr>
          <w:color w:val="231F20"/>
          <w:w w:val="105"/>
        </w:rPr>
        <w:t>el</w:t>
      </w:r>
      <w:r>
        <w:rPr>
          <w:color w:val="231F20"/>
          <w:spacing w:val="-10"/>
          <w:w w:val="105"/>
        </w:rPr>
        <w:t> </w:t>
      </w:r>
      <w:r>
        <w:rPr>
          <w:color w:val="231F20"/>
          <w:spacing w:val="-3"/>
          <w:w w:val="105"/>
        </w:rPr>
        <w:t>Estado</w:t>
      </w:r>
      <w:r>
        <w:rPr>
          <w:color w:val="231F20"/>
          <w:spacing w:val="-10"/>
          <w:w w:val="105"/>
        </w:rPr>
        <w:t> </w:t>
      </w:r>
      <w:r>
        <w:rPr>
          <w:color w:val="231F20"/>
          <w:w w:val="105"/>
        </w:rPr>
        <w:t>de</w:t>
      </w:r>
      <w:r>
        <w:rPr>
          <w:color w:val="231F20"/>
          <w:spacing w:val="-10"/>
          <w:w w:val="105"/>
        </w:rPr>
        <w:t> </w:t>
      </w:r>
      <w:r>
        <w:rPr>
          <w:color w:val="231F20"/>
          <w:spacing w:val="-3"/>
          <w:w w:val="105"/>
        </w:rPr>
        <w:t>México,</w:t>
      </w:r>
      <w:r>
        <w:rPr>
          <w:color w:val="231F20"/>
          <w:spacing w:val="-15"/>
          <w:w w:val="105"/>
        </w:rPr>
        <w:t> </w:t>
      </w:r>
      <w:r>
        <w:rPr>
          <w:color w:val="231F20"/>
          <w:w w:val="105"/>
        </w:rPr>
        <w:t>los</w:t>
      </w:r>
      <w:r>
        <w:rPr>
          <w:color w:val="231F20"/>
          <w:spacing w:val="-10"/>
          <w:w w:val="105"/>
        </w:rPr>
        <w:t> </w:t>
      </w:r>
      <w:r>
        <w:rPr>
          <w:color w:val="231F20"/>
          <w:spacing w:val="-3"/>
          <w:w w:val="105"/>
        </w:rPr>
        <w:t>diversos</w:t>
      </w:r>
      <w:r>
        <w:rPr>
          <w:color w:val="231F20"/>
          <w:spacing w:val="-10"/>
          <w:w w:val="105"/>
        </w:rPr>
        <w:t> </w:t>
      </w:r>
      <w:r>
        <w:rPr>
          <w:color w:val="231F20"/>
          <w:spacing w:val="-3"/>
          <w:w w:val="105"/>
        </w:rPr>
        <w:t>enfoques</w:t>
      </w:r>
      <w:r>
        <w:rPr>
          <w:color w:val="231F20"/>
          <w:spacing w:val="-10"/>
          <w:w w:val="105"/>
        </w:rPr>
        <w:t> </w:t>
      </w:r>
      <w:r>
        <w:rPr>
          <w:color w:val="231F20"/>
          <w:spacing w:val="-3"/>
          <w:w w:val="105"/>
        </w:rPr>
        <w:t>empleados</w:t>
      </w:r>
      <w:r>
        <w:rPr>
          <w:color w:val="231F20"/>
          <w:spacing w:val="-10"/>
          <w:w w:val="105"/>
        </w:rPr>
        <w:t> </w:t>
      </w:r>
      <w:r>
        <w:rPr>
          <w:color w:val="231F20"/>
          <w:spacing w:val="-3"/>
          <w:w w:val="105"/>
        </w:rPr>
        <w:t>para</w:t>
      </w:r>
      <w:r>
        <w:rPr>
          <w:color w:val="231F20"/>
          <w:spacing w:val="-10"/>
          <w:w w:val="105"/>
        </w:rPr>
        <w:t> </w:t>
      </w:r>
      <w:r>
        <w:rPr>
          <w:color w:val="231F20"/>
          <w:w w:val="105"/>
        </w:rPr>
        <w:t>su</w:t>
      </w:r>
      <w:r>
        <w:rPr>
          <w:color w:val="231F20"/>
          <w:spacing w:val="-10"/>
          <w:w w:val="105"/>
        </w:rPr>
        <w:t> </w:t>
      </w:r>
      <w:r>
        <w:rPr>
          <w:color w:val="231F20"/>
          <w:spacing w:val="-4"/>
          <w:w w:val="105"/>
        </w:rPr>
        <w:t>abordaje,</w:t>
      </w:r>
      <w:r>
        <w:rPr>
          <w:color w:val="231F20"/>
          <w:spacing w:val="-3"/>
          <w:w w:val="103"/>
        </w:rPr>
        <w:t> </w:t>
      </w:r>
      <w:r>
        <w:rPr>
          <w:color w:val="231F20"/>
          <w:w w:val="105"/>
        </w:rPr>
        <w:t>los</w:t>
      </w:r>
      <w:r>
        <w:rPr>
          <w:color w:val="231F20"/>
          <w:spacing w:val="-32"/>
          <w:w w:val="105"/>
        </w:rPr>
        <w:t> </w:t>
      </w:r>
      <w:r>
        <w:rPr>
          <w:color w:val="231F20"/>
          <w:spacing w:val="-3"/>
          <w:w w:val="105"/>
        </w:rPr>
        <w:t>espacios</w:t>
      </w:r>
      <w:r>
        <w:rPr>
          <w:color w:val="231F20"/>
          <w:spacing w:val="-32"/>
          <w:w w:val="105"/>
        </w:rPr>
        <w:t> </w:t>
      </w:r>
      <w:r>
        <w:rPr>
          <w:color w:val="231F20"/>
          <w:spacing w:val="-3"/>
          <w:w w:val="105"/>
        </w:rPr>
        <w:t>territoriales</w:t>
      </w:r>
      <w:r>
        <w:rPr>
          <w:color w:val="231F20"/>
          <w:spacing w:val="-32"/>
          <w:w w:val="105"/>
        </w:rPr>
        <w:t> </w:t>
      </w:r>
      <w:r>
        <w:rPr>
          <w:color w:val="231F20"/>
          <w:spacing w:val="-3"/>
          <w:w w:val="105"/>
        </w:rPr>
        <w:t>estudiados,</w:t>
      </w:r>
      <w:r>
        <w:rPr>
          <w:color w:val="231F20"/>
          <w:spacing w:val="-36"/>
          <w:w w:val="105"/>
        </w:rPr>
        <w:t> </w:t>
      </w:r>
      <w:r>
        <w:rPr>
          <w:color w:val="231F20"/>
          <w:w w:val="105"/>
        </w:rPr>
        <w:t>así</w:t>
      </w:r>
      <w:r>
        <w:rPr>
          <w:color w:val="231F20"/>
          <w:spacing w:val="-32"/>
          <w:w w:val="105"/>
        </w:rPr>
        <w:t> </w:t>
      </w:r>
      <w:r>
        <w:rPr>
          <w:color w:val="231F20"/>
          <w:spacing w:val="-3"/>
          <w:w w:val="105"/>
        </w:rPr>
        <w:t>como</w:t>
      </w:r>
      <w:r>
        <w:rPr>
          <w:color w:val="231F20"/>
          <w:spacing w:val="-32"/>
          <w:w w:val="105"/>
        </w:rPr>
        <w:t> </w:t>
      </w:r>
      <w:r>
        <w:rPr>
          <w:color w:val="231F20"/>
          <w:w w:val="105"/>
        </w:rPr>
        <w:t>los</w:t>
      </w:r>
      <w:r>
        <w:rPr>
          <w:color w:val="231F20"/>
          <w:spacing w:val="-32"/>
          <w:w w:val="105"/>
        </w:rPr>
        <w:t> </w:t>
      </w:r>
      <w:r>
        <w:rPr>
          <w:color w:val="231F20"/>
          <w:spacing w:val="-3"/>
          <w:w w:val="105"/>
        </w:rPr>
        <w:t>ejes</w:t>
      </w:r>
      <w:r>
        <w:rPr>
          <w:color w:val="231F20"/>
          <w:spacing w:val="-32"/>
          <w:w w:val="105"/>
        </w:rPr>
        <w:t> </w:t>
      </w:r>
      <w:r>
        <w:rPr>
          <w:color w:val="231F20"/>
          <w:spacing w:val="-3"/>
          <w:w w:val="105"/>
        </w:rPr>
        <w:t>conceptuales,</w:t>
      </w:r>
      <w:r>
        <w:rPr>
          <w:color w:val="231F20"/>
          <w:spacing w:val="-36"/>
          <w:w w:val="105"/>
        </w:rPr>
        <w:t> </w:t>
      </w:r>
      <w:r>
        <w:rPr>
          <w:color w:val="231F20"/>
          <w:spacing w:val="-3"/>
          <w:w w:val="105"/>
        </w:rPr>
        <w:t>desa-</w:t>
      </w:r>
      <w:r>
        <w:rPr>
          <w:color w:val="231F20"/>
          <w:w w:val="96"/>
        </w:rPr>
        <w:t> </w:t>
      </w:r>
      <w:r>
        <w:rPr>
          <w:color w:val="231F20"/>
          <w:spacing w:val="-3"/>
          <w:w w:val="105"/>
        </w:rPr>
        <w:t>rrollo</w:t>
      </w:r>
      <w:r>
        <w:rPr>
          <w:color w:val="231F20"/>
          <w:spacing w:val="-20"/>
          <w:w w:val="105"/>
        </w:rPr>
        <w:t> </w:t>
      </w:r>
      <w:r>
        <w:rPr>
          <w:color w:val="231F20"/>
          <w:w w:val="105"/>
        </w:rPr>
        <w:t>el</w:t>
      </w:r>
      <w:r>
        <w:rPr>
          <w:color w:val="231F20"/>
          <w:spacing w:val="-20"/>
          <w:w w:val="105"/>
        </w:rPr>
        <w:t> </w:t>
      </w:r>
      <w:r>
        <w:rPr>
          <w:color w:val="231F20"/>
          <w:spacing w:val="-3"/>
          <w:w w:val="105"/>
        </w:rPr>
        <w:t>conjunto</w:t>
      </w:r>
      <w:r>
        <w:rPr>
          <w:color w:val="231F20"/>
          <w:spacing w:val="-20"/>
          <w:w w:val="105"/>
        </w:rPr>
        <w:t> </w:t>
      </w:r>
      <w:r>
        <w:rPr>
          <w:color w:val="231F20"/>
          <w:w w:val="105"/>
        </w:rPr>
        <w:t>de</w:t>
      </w:r>
      <w:r>
        <w:rPr>
          <w:color w:val="231F20"/>
          <w:spacing w:val="-20"/>
          <w:w w:val="105"/>
        </w:rPr>
        <w:t> </w:t>
      </w:r>
      <w:r>
        <w:rPr>
          <w:color w:val="231F20"/>
          <w:spacing w:val="-3"/>
          <w:w w:val="105"/>
        </w:rPr>
        <w:t>elementos</w:t>
      </w:r>
      <w:r>
        <w:rPr>
          <w:color w:val="231F20"/>
          <w:spacing w:val="-20"/>
          <w:w w:val="105"/>
        </w:rPr>
        <w:t> </w:t>
      </w:r>
      <w:r>
        <w:rPr>
          <w:color w:val="231F20"/>
          <w:spacing w:val="-3"/>
          <w:w w:val="105"/>
        </w:rPr>
        <w:t>recogidos</w:t>
      </w:r>
      <w:r>
        <w:rPr>
          <w:color w:val="231F20"/>
          <w:spacing w:val="-20"/>
          <w:w w:val="105"/>
        </w:rPr>
        <w:t> </w:t>
      </w:r>
      <w:r>
        <w:rPr>
          <w:color w:val="231F20"/>
          <w:w w:val="105"/>
        </w:rPr>
        <w:t>y</w:t>
      </w:r>
      <w:r>
        <w:rPr>
          <w:color w:val="231F20"/>
          <w:spacing w:val="-20"/>
          <w:w w:val="105"/>
        </w:rPr>
        <w:t> </w:t>
      </w:r>
      <w:r>
        <w:rPr>
          <w:color w:val="231F20"/>
          <w:spacing w:val="-3"/>
          <w:w w:val="105"/>
        </w:rPr>
        <w:t>construidos</w:t>
      </w:r>
      <w:r>
        <w:rPr>
          <w:color w:val="231F20"/>
          <w:spacing w:val="-20"/>
          <w:w w:val="105"/>
        </w:rPr>
        <w:t> </w:t>
      </w:r>
      <w:r>
        <w:rPr>
          <w:color w:val="231F20"/>
          <w:spacing w:val="-3"/>
          <w:w w:val="105"/>
        </w:rPr>
        <w:t>para</w:t>
      </w:r>
      <w:r>
        <w:rPr>
          <w:color w:val="231F20"/>
          <w:spacing w:val="-20"/>
          <w:w w:val="105"/>
        </w:rPr>
        <w:t> </w:t>
      </w:r>
      <w:r>
        <w:rPr>
          <w:color w:val="231F20"/>
          <w:w w:val="105"/>
        </w:rPr>
        <w:t>el</w:t>
      </w:r>
      <w:r>
        <w:rPr>
          <w:color w:val="231F20"/>
          <w:spacing w:val="-20"/>
          <w:w w:val="105"/>
        </w:rPr>
        <w:t> </w:t>
      </w:r>
      <w:r>
        <w:rPr>
          <w:color w:val="231F20"/>
          <w:spacing w:val="-3"/>
          <w:w w:val="105"/>
        </w:rPr>
        <w:t>análisis</w:t>
      </w:r>
      <w:r>
        <w:rPr>
          <w:color w:val="231F20"/>
          <w:spacing w:val="-20"/>
          <w:w w:val="105"/>
        </w:rPr>
        <w:t> </w:t>
      </w:r>
      <w:r>
        <w:rPr>
          <w:color w:val="231F20"/>
          <w:spacing w:val="-3"/>
          <w:w w:val="105"/>
        </w:rPr>
        <w:t>del</w:t>
      </w:r>
      <w:r>
        <w:rPr>
          <w:color w:val="231F20"/>
          <w:spacing w:val="-3"/>
          <w:w w:val="109"/>
        </w:rPr>
        <w:t> </w:t>
      </w:r>
      <w:r>
        <w:rPr>
          <w:color w:val="231F20"/>
          <w:spacing w:val="-3"/>
          <w:w w:val="105"/>
        </w:rPr>
        <w:t>retorno </w:t>
      </w:r>
      <w:r>
        <w:rPr>
          <w:color w:val="231F20"/>
          <w:w w:val="105"/>
        </w:rPr>
        <w:t>de </w:t>
      </w:r>
      <w:r>
        <w:rPr>
          <w:color w:val="231F20"/>
          <w:spacing w:val="-3"/>
          <w:w w:val="105"/>
        </w:rPr>
        <w:t>migración internacional </w:t>
      </w:r>
      <w:r>
        <w:rPr>
          <w:color w:val="231F20"/>
          <w:w w:val="105"/>
        </w:rPr>
        <w:t>de </w:t>
      </w:r>
      <w:r>
        <w:rPr>
          <w:color w:val="231F20"/>
          <w:spacing w:val="-3"/>
          <w:w w:val="105"/>
        </w:rPr>
        <w:t>origen indígena</w:t>
      </w:r>
      <w:r>
        <w:rPr>
          <w:color w:val="231F20"/>
          <w:spacing w:val="46"/>
          <w:w w:val="105"/>
        </w:rPr>
        <w:t> </w:t>
      </w:r>
      <w:r>
        <w:rPr>
          <w:color w:val="231F20"/>
          <w:spacing w:val="-3"/>
          <w:w w:val="105"/>
        </w:rPr>
        <w:t>mazahua.</w:t>
      </w:r>
      <w:r>
        <w:rPr>
          <w:color w:val="231F20"/>
          <w:spacing w:val="14"/>
          <w:w w:val="105"/>
        </w:rPr>
        <w:t> </w:t>
      </w:r>
      <w:r>
        <w:rPr>
          <w:color w:val="231F20"/>
          <w:spacing w:val="-4"/>
          <w:w w:val="105"/>
        </w:rPr>
        <w:t>Como</w:t>
      </w:r>
      <w:r>
        <w:rPr>
          <w:color w:val="231F20"/>
          <w:spacing w:val="-3"/>
          <w:w w:val="108"/>
        </w:rPr>
        <w:t> </w:t>
      </w:r>
      <w:r>
        <w:rPr>
          <w:color w:val="231F20"/>
          <w:spacing w:val="-3"/>
          <w:w w:val="105"/>
        </w:rPr>
        <w:t>punto </w:t>
      </w:r>
      <w:r>
        <w:rPr>
          <w:color w:val="231F20"/>
          <w:w w:val="105"/>
        </w:rPr>
        <w:t>de </w:t>
      </w:r>
      <w:r>
        <w:rPr>
          <w:color w:val="231F20"/>
          <w:spacing w:val="-3"/>
          <w:w w:val="105"/>
        </w:rPr>
        <w:t>partida </w:t>
      </w:r>
      <w:r>
        <w:rPr>
          <w:color w:val="231F20"/>
          <w:w w:val="105"/>
        </w:rPr>
        <w:t>se </w:t>
      </w:r>
      <w:r>
        <w:rPr>
          <w:color w:val="231F20"/>
          <w:spacing w:val="-3"/>
          <w:w w:val="105"/>
        </w:rPr>
        <w:t>reconoce </w:t>
      </w:r>
      <w:r>
        <w:rPr>
          <w:color w:val="231F20"/>
          <w:w w:val="105"/>
        </w:rPr>
        <w:t>que aun en un </w:t>
      </w:r>
      <w:r>
        <w:rPr>
          <w:color w:val="231F20"/>
          <w:spacing w:val="-3"/>
          <w:w w:val="105"/>
        </w:rPr>
        <w:t>mismo contexto,</w:t>
      </w:r>
      <w:r>
        <w:rPr>
          <w:color w:val="231F20"/>
          <w:spacing w:val="17"/>
          <w:w w:val="105"/>
        </w:rPr>
        <w:t> </w:t>
      </w:r>
      <w:r>
        <w:rPr>
          <w:color w:val="231F20"/>
          <w:spacing w:val="-3"/>
          <w:w w:val="105"/>
        </w:rPr>
        <w:t>“los</w:t>
      </w:r>
      <w:r>
        <w:rPr>
          <w:color w:val="231F20"/>
          <w:spacing w:val="6"/>
          <w:w w:val="105"/>
        </w:rPr>
        <w:t> </w:t>
      </w:r>
      <w:r>
        <w:rPr>
          <w:color w:val="231F20"/>
          <w:spacing w:val="-3"/>
          <w:w w:val="105"/>
        </w:rPr>
        <w:t>efec-</w:t>
      </w:r>
      <w:r>
        <w:rPr>
          <w:color w:val="231F20"/>
          <w:w w:val="96"/>
        </w:rPr>
        <w:t> </w:t>
      </w:r>
      <w:r>
        <w:rPr>
          <w:color w:val="231F20"/>
          <w:w w:val="105"/>
        </w:rPr>
        <w:t>tos del </w:t>
      </w:r>
      <w:r>
        <w:rPr>
          <w:color w:val="231F20"/>
          <w:spacing w:val="-3"/>
          <w:w w:val="105"/>
        </w:rPr>
        <w:t>retorno </w:t>
      </w:r>
      <w:r>
        <w:rPr>
          <w:color w:val="231F20"/>
          <w:w w:val="105"/>
        </w:rPr>
        <w:t>son </w:t>
      </w:r>
      <w:r>
        <w:rPr>
          <w:color w:val="231F20"/>
          <w:spacing w:val="-3"/>
          <w:w w:val="105"/>
        </w:rPr>
        <w:t>diferenciados, tomando </w:t>
      </w:r>
      <w:r>
        <w:rPr>
          <w:color w:val="231F20"/>
          <w:w w:val="105"/>
        </w:rPr>
        <w:t>en </w:t>
      </w:r>
      <w:r>
        <w:rPr>
          <w:color w:val="231F20"/>
          <w:spacing w:val="-3"/>
          <w:w w:val="105"/>
        </w:rPr>
        <w:t>cuenta </w:t>
      </w:r>
      <w:r>
        <w:rPr>
          <w:color w:val="231F20"/>
          <w:w w:val="105"/>
        </w:rPr>
        <w:t>el </w:t>
      </w:r>
      <w:r>
        <w:rPr>
          <w:color w:val="231F20"/>
          <w:spacing w:val="-3"/>
          <w:w w:val="105"/>
        </w:rPr>
        <w:t>capital</w:t>
      </w:r>
      <w:r>
        <w:rPr>
          <w:color w:val="231F20"/>
          <w:spacing w:val="-9"/>
          <w:w w:val="105"/>
        </w:rPr>
        <w:t> </w:t>
      </w:r>
      <w:r>
        <w:rPr>
          <w:color w:val="231F20"/>
          <w:spacing w:val="-3"/>
          <w:w w:val="105"/>
        </w:rPr>
        <w:t>social,</w:t>
      </w:r>
      <w:r>
        <w:rPr>
          <w:color w:val="231F20"/>
          <w:spacing w:val="-8"/>
          <w:w w:val="105"/>
        </w:rPr>
        <w:t> </w:t>
      </w:r>
      <w:r>
        <w:rPr>
          <w:color w:val="231F20"/>
          <w:spacing w:val="-3"/>
          <w:w w:val="105"/>
        </w:rPr>
        <w:t>la</w:t>
      </w:r>
      <w:r>
        <w:rPr>
          <w:color w:val="231F20"/>
          <w:spacing w:val="-3"/>
          <w:w w:val="100"/>
        </w:rPr>
        <w:t> </w:t>
      </w:r>
      <w:r>
        <w:rPr>
          <w:color w:val="231F20"/>
          <w:spacing w:val="-3"/>
          <w:w w:val="105"/>
        </w:rPr>
        <w:t>posición</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spacing w:val="-3"/>
          <w:w w:val="105"/>
        </w:rPr>
        <w:t>campos</w:t>
      </w:r>
      <w:r>
        <w:rPr>
          <w:color w:val="231F20"/>
          <w:spacing w:val="-15"/>
          <w:w w:val="105"/>
        </w:rPr>
        <w:t> </w:t>
      </w:r>
      <w:r>
        <w:rPr>
          <w:color w:val="231F20"/>
          <w:spacing w:val="-3"/>
          <w:w w:val="105"/>
        </w:rPr>
        <w:t>sociales,</w:t>
      </w:r>
      <w:r>
        <w:rPr>
          <w:color w:val="231F20"/>
          <w:spacing w:val="-20"/>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spacing w:val="-3"/>
          <w:w w:val="105"/>
        </w:rPr>
        <w:t>relación</w:t>
      </w:r>
      <w:r>
        <w:rPr>
          <w:color w:val="231F20"/>
          <w:spacing w:val="-15"/>
          <w:w w:val="105"/>
        </w:rPr>
        <w:t> </w:t>
      </w:r>
      <w:r>
        <w:rPr>
          <w:color w:val="231F20"/>
          <w:w w:val="105"/>
        </w:rPr>
        <w:t>con</w:t>
      </w:r>
      <w:r>
        <w:rPr>
          <w:color w:val="231F20"/>
          <w:spacing w:val="-15"/>
          <w:w w:val="105"/>
        </w:rPr>
        <w:t> </w:t>
      </w:r>
      <w:r>
        <w:rPr>
          <w:color w:val="231F20"/>
          <w:w w:val="105"/>
        </w:rPr>
        <w:t>los</w:t>
      </w:r>
      <w:r>
        <w:rPr>
          <w:color w:val="231F20"/>
          <w:spacing w:val="-15"/>
          <w:w w:val="105"/>
        </w:rPr>
        <w:t> </w:t>
      </w:r>
      <w:r>
        <w:rPr>
          <w:color w:val="231F20"/>
          <w:spacing w:val="-3"/>
          <w:w w:val="105"/>
        </w:rPr>
        <w:t>contextos</w:t>
      </w:r>
      <w:r>
        <w:rPr>
          <w:color w:val="231F20"/>
          <w:spacing w:val="-15"/>
          <w:w w:val="105"/>
        </w:rPr>
        <w:t> </w:t>
      </w:r>
      <w:r>
        <w:rPr>
          <w:color w:val="231F20"/>
          <w:w w:val="105"/>
        </w:rPr>
        <w:t>y</w:t>
      </w:r>
      <w:r>
        <w:rPr>
          <w:color w:val="231F20"/>
          <w:spacing w:val="-15"/>
          <w:w w:val="105"/>
        </w:rPr>
        <w:t> </w:t>
      </w:r>
      <w:r>
        <w:rPr>
          <w:color w:val="231F20"/>
          <w:w w:val="105"/>
        </w:rPr>
        <w:t>las</w:t>
      </w:r>
      <w:r>
        <w:rPr>
          <w:color w:val="231F20"/>
          <w:spacing w:val="-15"/>
          <w:w w:val="105"/>
        </w:rPr>
        <w:t> </w:t>
      </w:r>
      <w:r>
        <w:rPr>
          <w:color w:val="231F20"/>
          <w:spacing w:val="-3"/>
          <w:w w:val="105"/>
        </w:rPr>
        <w:t>con-</w:t>
      </w:r>
      <w:r>
        <w:rPr>
          <w:color w:val="231F20"/>
          <w:w w:val="96"/>
        </w:rPr>
        <w:t> </w:t>
      </w:r>
      <w:r>
        <w:rPr>
          <w:color w:val="231F20"/>
          <w:spacing w:val="-3"/>
          <w:w w:val="105"/>
        </w:rPr>
        <w:t>diciones</w:t>
      </w:r>
      <w:r>
        <w:rPr>
          <w:color w:val="231F20"/>
          <w:spacing w:val="-17"/>
          <w:w w:val="105"/>
        </w:rPr>
        <w:t> </w:t>
      </w:r>
      <w:r>
        <w:rPr>
          <w:color w:val="231F20"/>
          <w:w w:val="105"/>
        </w:rPr>
        <w:t>que</w:t>
      </w:r>
      <w:r>
        <w:rPr>
          <w:color w:val="231F20"/>
          <w:spacing w:val="-17"/>
          <w:w w:val="105"/>
        </w:rPr>
        <w:t> </w:t>
      </w:r>
      <w:r>
        <w:rPr>
          <w:color w:val="231F20"/>
          <w:spacing w:val="-3"/>
          <w:w w:val="105"/>
        </w:rPr>
        <w:t>median</w:t>
      </w:r>
      <w:r>
        <w:rPr>
          <w:color w:val="231F20"/>
          <w:spacing w:val="-17"/>
          <w:w w:val="105"/>
        </w:rPr>
        <w:t> </w:t>
      </w:r>
      <w:r>
        <w:rPr>
          <w:color w:val="231F20"/>
          <w:w w:val="105"/>
        </w:rPr>
        <w:t>su</w:t>
      </w:r>
      <w:r>
        <w:rPr>
          <w:color w:val="231F20"/>
          <w:spacing w:val="-17"/>
          <w:w w:val="105"/>
        </w:rPr>
        <w:t> </w:t>
      </w:r>
      <w:r>
        <w:rPr>
          <w:color w:val="231F20"/>
          <w:spacing w:val="-3"/>
          <w:w w:val="105"/>
        </w:rPr>
        <w:t>retorno</w:t>
      </w:r>
      <w:r>
        <w:rPr>
          <w:color w:val="231F20"/>
          <w:spacing w:val="-17"/>
          <w:w w:val="105"/>
        </w:rPr>
        <w:t> </w:t>
      </w:r>
      <w:r>
        <w:rPr>
          <w:color w:val="231F20"/>
          <w:spacing w:val="-3"/>
          <w:w w:val="105"/>
        </w:rPr>
        <w:t>(devueltos,</w:t>
      </w:r>
      <w:r>
        <w:rPr>
          <w:color w:val="231F20"/>
          <w:spacing w:val="-24"/>
          <w:w w:val="105"/>
        </w:rPr>
        <w:t> </w:t>
      </w:r>
      <w:r>
        <w:rPr>
          <w:color w:val="231F20"/>
          <w:spacing w:val="-4"/>
          <w:w w:val="105"/>
        </w:rPr>
        <w:t>repatriados,</w:t>
      </w:r>
      <w:r>
        <w:rPr>
          <w:color w:val="231F20"/>
          <w:spacing w:val="-24"/>
          <w:w w:val="105"/>
        </w:rPr>
        <w:t> </w:t>
      </w:r>
      <w:r>
        <w:rPr>
          <w:color w:val="231F20"/>
          <w:spacing w:val="-3"/>
          <w:w w:val="105"/>
        </w:rPr>
        <w:t>deportados</w:t>
      </w:r>
      <w:r>
        <w:rPr>
          <w:color w:val="231F20"/>
          <w:spacing w:val="-17"/>
          <w:w w:val="105"/>
        </w:rPr>
        <w:t> </w:t>
      </w:r>
      <w:r>
        <w:rPr>
          <w:color w:val="231F20"/>
          <w:w w:val="105"/>
        </w:rPr>
        <w:t>o</w:t>
      </w:r>
      <w:r>
        <w:rPr>
          <w:color w:val="231F20"/>
          <w:spacing w:val="-17"/>
          <w:w w:val="105"/>
        </w:rPr>
        <w:t> </w:t>
      </w:r>
      <w:r>
        <w:rPr>
          <w:color w:val="231F20"/>
          <w:spacing w:val="-3"/>
          <w:w w:val="105"/>
        </w:rPr>
        <w:t>“vo-</w:t>
      </w:r>
      <w:r>
        <w:rPr>
          <w:color w:val="231F20"/>
          <w:w w:val="96"/>
        </w:rPr>
        <w:t> </w:t>
      </w:r>
      <w:r>
        <w:rPr>
          <w:color w:val="231F20"/>
          <w:spacing w:val="-3"/>
          <w:w w:val="105"/>
        </w:rPr>
        <w:t>luntarios”)</w:t>
      </w:r>
      <w:r>
        <w:rPr>
          <w:color w:val="231F20"/>
          <w:spacing w:val="-24"/>
          <w:w w:val="105"/>
        </w:rPr>
        <w:t> </w:t>
      </w:r>
      <w:r>
        <w:rPr>
          <w:color w:val="231F20"/>
          <w:spacing w:val="-3"/>
          <w:w w:val="105"/>
        </w:rPr>
        <w:t>entre</w:t>
      </w:r>
      <w:r>
        <w:rPr>
          <w:color w:val="231F20"/>
          <w:spacing w:val="-24"/>
          <w:w w:val="105"/>
        </w:rPr>
        <w:t> </w:t>
      </w:r>
      <w:r>
        <w:rPr>
          <w:color w:val="231F20"/>
          <w:spacing w:val="-3"/>
          <w:w w:val="105"/>
        </w:rPr>
        <w:t>otros</w:t>
      </w:r>
      <w:r>
        <w:rPr>
          <w:color w:val="231F20"/>
          <w:spacing w:val="-24"/>
          <w:w w:val="105"/>
        </w:rPr>
        <w:t> </w:t>
      </w:r>
      <w:r>
        <w:rPr>
          <w:color w:val="231F20"/>
          <w:spacing w:val="-3"/>
          <w:w w:val="105"/>
        </w:rPr>
        <w:t>factores</w:t>
      </w:r>
      <w:r>
        <w:rPr>
          <w:color w:val="231F20"/>
          <w:spacing w:val="-24"/>
          <w:w w:val="105"/>
        </w:rPr>
        <w:t> </w:t>
      </w:r>
      <w:r>
        <w:rPr>
          <w:color w:val="231F20"/>
          <w:w w:val="105"/>
        </w:rPr>
        <w:t>de</w:t>
      </w:r>
      <w:r>
        <w:rPr>
          <w:color w:val="231F20"/>
          <w:spacing w:val="-24"/>
          <w:w w:val="105"/>
        </w:rPr>
        <w:t> </w:t>
      </w:r>
      <w:r>
        <w:rPr>
          <w:color w:val="231F20"/>
          <w:spacing w:val="-3"/>
          <w:w w:val="105"/>
        </w:rPr>
        <w:t>diferenciación</w:t>
      </w:r>
      <w:r>
        <w:rPr>
          <w:color w:val="231F20"/>
          <w:spacing w:val="-24"/>
          <w:w w:val="105"/>
        </w:rPr>
        <w:t> </w:t>
      </w:r>
      <w:r>
        <w:rPr>
          <w:color w:val="231F20"/>
          <w:spacing w:val="-3"/>
          <w:w w:val="105"/>
        </w:rPr>
        <w:t>social”</w:t>
      </w:r>
      <w:r>
        <w:rPr>
          <w:color w:val="231F20"/>
          <w:spacing w:val="-24"/>
          <w:w w:val="105"/>
        </w:rPr>
        <w:t> </w:t>
      </w:r>
      <w:r>
        <w:rPr>
          <w:color w:val="231F20"/>
          <w:spacing w:val="-3"/>
          <w:w w:val="105"/>
        </w:rPr>
        <w:t>(Rivera,</w:t>
      </w:r>
      <w:r>
        <w:rPr>
          <w:color w:val="231F20"/>
          <w:spacing w:val="-29"/>
          <w:w w:val="105"/>
        </w:rPr>
        <w:t> </w:t>
      </w:r>
      <w:r>
        <w:rPr>
          <w:color w:val="231F20"/>
          <w:spacing w:val="-3"/>
          <w:w w:val="105"/>
        </w:rPr>
        <w:t>2013:</w:t>
      </w:r>
      <w:r>
        <w:rPr>
          <w:color w:val="231F20"/>
          <w:spacing w:val="-24"/>
          <w:w w:val="105"/>
        </w:rPr>
        <w:t> </w:t>
      </w:r>
      <w:r>
        <w:rPr>
          <w:color w:val="231F20"/>
          <w:spacing w:val="-3"/>
          <w:w w:val="105"/>
        </w:rPr>
        <w:t>57).</w:t>
      </w:r>
    </w:p>
    <w:p>
      <w:pPr>
        <w:pStyle w:val="BodyText"/>
        <w:spacing w:line="261" w:lineRule="auto" w:before="1"/>
        <w:ind w:left="1723" w:right="1829" w:firstLine="567"/>
        <w:jc w:val="both"/>
      </w:pPr>
      <w:r>
        <w:rPr>
          <w:color w:val="231F20"/>
          <w:w w:val="105"/>
        </w:rPr>
        <w:t>A</w:t>
      </w:r>
      <w:r>
        <w:rPr>
          <w:color w:val="231F20"/>
          <w:spacing w:val="-17"/>
          <w:w w:val="105"/>
        </w:rPr>
        <w:t> </w:t>
      </w:r>
      <w:r>
        <w:rPr>
          <w:color w:val="231F20"/>
          <w:w w:val="105"/>
        </w:rPr>
        <w:t>pesar</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dificultades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medición</w:t>
      </w:r>
      <w:r>
        <w:rPr>
          <w:color w:val="231F20"/>
          <w:spacing w:val="-13"/>
          <w:w w:val="105"/>
        </w:rPr>
        <w:t> </w:t>
      </w:r>
      <w:r>
        <w:rPr>
          <w:color w:val="231F20"/>
          <w:w w:val="105"/>
        </w:rPr>
        <w:t>estadística</w:t>
      </w:r>
      <w:r>
        <w:rPr>
          <w:color w:val="231F20"/>
          <w:spacing w:val="-13"/>
          <w:w w:val="105"/>
        </w:rPr>
        <w:t> </w:t>
      </w:r>
      <w:r>
        <w:rPr>
          <w:color w:val="231F20"/>
          <w:w w:val="105"/>
        </w:rPr>
        <w:t>y</w:t>
      </w:r>
      <w:r>
        <w:rPr>
          <w:color w:val="231F20"/>
          <w:spacing w:val="-13"/>
          <w:w w:val="105"/>
        </w:rPr>
        <w:t> </w:t>
      </w:r>
      <w:r>
        <w:rPr>
          <w:color w:val="231F20"/>
          <w:w w:val="105"/>
        </w:rPr>
        <w:t>analítica</w:t>
      </w:r>
      <w:r>
        <w:rPr>
          <w:color w:val="231F20"/>
          <w:spacing w:val="-13"/>
          <w:w w:val="105"/>
        </w:rPr>
        <w:t> </w:t>
      </w:r>
      <w:r>
        <w:rPr>
          <w:color w:val="231F20"/>
          <w:w w:val="105"/>
        </w:rPr>
        <w:t>de la migración internacional de retorno, la información sociodemográfica muestra un panorama del proceso. El interés que despertó el retorno migratorio</w:t>
      </w:r>
      <w:r>
        <w:rPr>
          <w:color w:val="231F20"/>
          <w:spacing w:val="-15"/>
          <w:w w:val="105"/>
        </w:rPr>
        <w:t> </w:t>
      </w:r>
      <w:r>
        <w:rPr>
          <w:color w:val="231F20"/>
          <w:w w:val="105"/>
        </w:rPr>
        <w:t>tras</w:t>
      </w:r>
      <w:r>
        <w:rPr>
          <w:color w:val="231F20"/>
          <w:spacing w:val="-15"/>
          <w:w w:val="105"/>
        </w:rPr>
        <w:t> </w:t>
      </w:r>
      <w:r>
        <w:rPr>
          <w:color w:val="231F20"/>
          <w:w w:val="105"/>
        </w:rPr>
        <w:t>la</w:t>
      </w:r>
      <w:r>
        <w:rPr>
          <w:color w:val="231F20"/>
          <w:spacing w:val="-15"/>
          <w:w w:val="105"/>
        </w:rPr>
        <w:t> </w:t>
      </w:r>
      <w:r>
        <w:rPr>
          <w:color w:val="231F20"/>
          <w:w w:val="105"/>
        </w:rPr>
        <w:t>crisis</w:t>
      </w:r>
      <w:r>
        <w:rPr>
          <w:color w:val="231F20"/>
          <w:spacing w:val="-15"/>
          <w:w w:val="105"/>
        </w:rPr>
        <w:t> </w:t>
      </w:r>
      <w:r>
        <w:rPr>
          <w:color w:val="231F20"/>
          <w:w w:val="105"/>
        </w:rPr>
        <w:t>económica</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mercados</w:t>
      </w:r>
      <w:r>
        <w:rPr>
          <w:color w:val="231F20"/>
          <w:spacing w:val="-15"/>
          <w:w w:val="105"/>
        </w:rPr>
        <w:t> </w:t>
      </w:r>
      <w:r>
        <w:rPr>
          <w:color w:val="231F20"/>
          <w:w w:val="105"/>
        </w:rPr>
        <w:t>de</w:t>
      </w:r>
      <w:r>
        <w:rPr>
          <w:color w:val="231F20"/>
          <w:spacing w:val="-15"/>
          <w:w w:val="105"/>
        </w:rPr>
        <w:t> </w:t>
      </w:r>
      <w:r>
        <w:rPr>
          <w:color w:val="231F20"/>
          <w:w w:val="105"/>
        </w:rPr>
        <w:t>Estados</w:t>
      </w:r>
      <w:r>
        <w:rPr>
          <w:color w:val="231F20"/>
          <w:spacing w:val="-15"/>
          <w:w w:val="105"/>
        </w:rPr>
        <w:t> </w:t>
      </w:r>
      <w:r>
        <w:rPr>
          <w:color w:val="231F20"/>
          <w:w w:val="105"/>
        </w:rPr>
        <w:t>Unidos</w:t>
      </w:r>
      <w:r>
        <w:rPr>
          <w:color w:val="231F20"/>
          <w:spacing w:val="-15"/>
          <w:w w:val="105"/>
        </w:rPr>
        <w:t> </w:t>
      </w:r>
      <w:r>
        <w:rPr>
          <w:color w:val="231F20"/>
          <w:w w:val="105"/>
        </w:rPr>
        <w:t>y Europa</w:t>
      </w:r>
      <w:r>
        <w:rPr>
          <w:color w:val="231F20"/>
          <w:spacing w:val="-17"/>
          <w:w w:val="105"/>
        </w:rPr>
        <w:t> </w:t>
      </w:r>
      <w:r>
        <w:rPr>
          <w:color w:val="231F20"/>
          <w:w w:val="105"/>
        </w:rPr>
        <w:t>centró</w:t>
      </w:r>
      <w:r>
        <w:rPr>
          <w:color w:val="231F20"/>
          <w:spacing w:val="-17"/>
          <w:w w:val="105"/>
        </w:rPr>
        <w:t> </w:t>
      </w:r>
      <w:r>
        <w:rPr>
          <w:color w:val="231F20"/>
          <w:w w:val="105"/>
        </w:rPr>
        <w:t>la</w:t>
      </w:r>
      <w:r>
        <w:rPr>
          <w:color w:val="231F20"/>
          <w:spacing w:val="-17"/>
          <w:w w:val="105"/>
        </w:rPr>
        <w:t> </w:t>
      </w:r>
      <w:r>
        <w:rPr>
          <w:color w:val="231F20"/>
          <w:w w:val="105"/>
        </w:rPr>
        <w:t>atención</w:t>
      </w:r>
      <w:r>
        <w:rPr>
          <w:color w:val="231F20"/>
          <w:spacing w:val="-17"/>
          <w:w w:val="105"/>
        </w:rPr>
        <w:t> </w:t>
      </w:r>
      <w:r>
        <w:rPr>
          <w:color w:val="231F20"/>
          <w:w w:val="105"/>
        </w:rPr>
        <w:t>en</w:t>
      </w:r>
      <w:r>
        <w:rPr>
          <w:color w:val="231F20"/>
          <w:spacing w:val="-17"/>
          <w:w w:val="105"/>
        </w:rPr>
        <w:t> </w:t>
      </w:r>
      <w:r>
        <w:rPr>
          <w:color w:val="231F20"/>
          <w:w w:val="105"/>
        </w:rPr>
        <w:t>saber</w:t>
      </w:r>
      <w:r>
        <w:rPr>
          <w:color w:val="231F20"/>
          <w:spacing w:val="-17"/>
          <w:w w:val="105"/>
        </w:rPr>
        <w:t> </w:t>
      </w:r>
      <w:r>
        <w:rPr>
          <w:color w:val="231F20"/>
          <w:w w:val="105"/>
        </w:rPr>
        <w:t>por</w:t>
      </w:r>
      <w:r>
        <w:rPr>
          <w:color w:val="231F20"/>
          <w:spacing w:val="-17"/>
          <w:w w:val="105"/>
        </w:rPr>
        <w:t> </w:t>
      </w:r>
      <w:r>
        <w:rPr>
          <w:color w:val="231F20"/>
          <w:w w:val="105"/>
        </w:rPr>
        <w:t>qué</w:t>
      </w:r>
      <w:r>
        <w:rPr>
          <w:color w:val="231F20"/>
          <w:spacing w:val="-17"/>
          <w:w w:val="105"/>
        </w:rPr>
        <w:t> </w:t>
      </w:r>
      <w:r>
        <w:rPr>
          <w:color w:val="231F20"/>
          <w:w w:val="105"/>
        </w:rPr>
        <w:t>razones</w:t>
      </w:r>
      <w:r>
        <w:rPr>
          <w:color w:val="231F20"/>
          <w:spacing w:val="-17"/>
          <w:w w:val="105"/>
        </w:rPr>
        <w:t> </w:t>
      </w:r>
      <w:r>
        <w:rPr>
          <w:color w:val="231F20"/>
          <w:w w:val="105"/>
        </w:rPr>
        <w:t>retornan</w:t>
      </w:r>
      <w:r>
        <w:rPr>
          <w:color w:val="231F20"/>
          <w:spacing w:val="-17"/>
          <w:w w:val="105"/>
        </w:rPr>
        <w:t> </w:t>
      </w:r>
      <w:r>
        <w:rPr>
          <w:color w:val="231F20"/>
          <w:w w:val="105"/>
        </w:rPr>
        <w:t>los</w:t>
      </w:r>
      <w:r>
        <w:rPr>
          <w:color w:val="231F20"/>
          <w:spacing w:val="-17"/>
          <w:w w:val="105"/>
        </w:rPr>
        <w:t> </w:t>
      </w:r>
      <w:r>
        <w:rPr>
          <w:color w:val="231F20"/>
          <w:w w:val="105"/>
        </w:rPr>
        <w:t>migran- tes,</w:t>
      </w:r>
      <w:r>
        <w:rPr>
          <w:color w:val="231F20"/>
          <w:spacing w:val="-26"/>
          <w:w w:val="105"/>
        </w:rPr>
        <w:t> </w:t>
      </w:r>
      <w:r>
        <w:rPr>
          <w:color w:val="231F20"/>
          <w:w w:val="105"/>
        </w:rPr>
        <w:t>en</w:t>
      </w:r>
      <w:r>
        <w:rPr>
          <w:color w:val="231F20"/>
          <w:spacing w:val="-21"/>
          <w:w w:val="105"/>
        </w:rPr>
        <w:t> </w:t>
      </w:r>
      <w:r>
        <w:rPr>
          <w:color w:val="231F20"/>
          <w:w w:val="105"/>
        </w:rPr>
        <w:t>qué</w:t>
      </w:r>
      <w:r>
        <w:rPr>
          <w:color w:val="231F20"/>
          <w:spacing w:val="-21"/>
          <w:w w:val="105"/>
        </w:rPr>
        <w:t> </w:t>
      </w:r>
      <w:r>
        <w:rPr>
          <w:color w:val="231F20"/>
          <w:w w:val="105"/>
        </w:rPr>
        <w:t>momento</w:t>
      </w:r>
      <w:r>
        <w:rPr>
          <w:color w:val="231F20"/>
          <w:spacing w:val="-21"/>
          <w:w w:val="105"/>
        </w:rPr>
        <w:t> </w:t>
      </w:r>
      <w:r>
        <w:rPr>
          <w:color w:val="231F20"/>
          <w:w w:val="105"/>
        </w:rPr>
        <w:t>de</w:t>
      </w:r>
      <w:r>
        <w:rPr>
          <w:color w:val="231F20"/>
          <w:spacing w:val="-21"/>
          <w:w w:val="105"/>
        </w:rPr>
        <w:t> </w:t>
      </w:r>
      <w:r>
        <w:rPr>
          <w:color w:val="231F20"/>
          <w:w w:val="105"/>
        </w:rPr>
        <w:t>su</w:t>
      </w:r>
      <w:r>
        <w:rPr>
          <w:color w:val="231F20"/>
          <w:spacing w:val="-21"/>
          <w:w w:val="105"/>
        </w:rPr>
        <w:t> </w:t>
      </w:r>
      <w:r>
        <w:rPr>
          <w:color w:val="231F20"/>
          <w:w w:val="105"/>
        </w:rPr>
        <w:t>vida</w:t>
      </w:r>
      <w:r>
        <w:rPr>
          <w:color w:val="231F20"/>
          <w:spacing w:val="-21"/>
          <w:w w:val="105"/>
        </w:rPr>
        <w:t> </w:t>
      </w:r>
      <w:r>
        <w:rPr>
          <w:color w:val="231F20"/>
          <w:w w:val="105"/>
        </w:rPr>
        <w:t>productiva</w:t>
      </w:r>
      <w:r>
        <w:rPr>
          <w:color w:val="231F20"/>
          <w:spacing w:val="-21"/>
          <w:w w:val="105"/>
        </w:rPr>
        <w:t> </w:t>
      </w:r>
      <w:r>
        <w:rPr>
          <w:color w:val="231F20"/>
          <w:w w:val="105"/>
        </w:rPr>
        <w:t>se</w:t>
      </w:r>
      <w:r>
        <w:rPr>
          <w:color w:val="231F20"/>
          <w:spacing w:val="-21"/>
          <w:w w:val="105"/>
        </w:rPr>
        <w:t> </w:t>
      </w:r>
      <w:r>
        <w:rPr>
          <w:color w:val="231F20"/>
          <w:w w:val="105"/>
        </w:rPr>
        <w:t>encuentran,</w:t>
      </w:r>
      <w:r>
        <w:rPr>
          <w:color w:val="231F20"/>
          <w:spacing w:val="-26"/>
          <w:w w:val="105"/>
        </w:rPr>
        <w:t> </w:t>
      </w:r>
      <w:r>
        <w:rPr>
          <w:color w:val="231F20"/>
          <w:w w:val="105"/>
        </w:rPr>
        <w:t>cuáles</w:t>
      </w:r>
      <w:r>
        <w:rPr>
          <w:color w:val="231F20"/>
          <w:spacing w:val="-21"/>
          <w:w w:val="105"/>
        </w:rPr>
        <w:t> </w:t>
      </w:r>
      <w:r>
        <w:rPr>
          <w:color w:val="231F20"/>
          <w:w w:val="105"/>
        </w:rPr>
        <w:t>son</w:t>
      </w:r>
      <w:r>
        <w:rPr>
          <w:color w:val="231F20"/>
          <w:spacing w:val="-21"/>
          <w:w w:val="105"/>
        </w:rPr>
        <w:t> </w:t>
      </w:r>
      <w:r>
        <w:rPr>
          <w:color w:val="231F20"/>
          <w:w w:val="105"/>
        </w:rPr>
        <w:t>las condiciones de su regreso, qué tipo de recursos tienen y movilizan, de qué</w:t>
      </w:r>
      <w:r>
        <w:rPr>
          <w:color w:val="231F20"/>
          <w:spacing w:val="-16"/>
          <w:w w:val="105"/>
        </w:rPr>
        <w:t> </w:t>
      </w:r>
      <w:r>
        <w:rPr>
          <w:color w:val="231F20"/>
          <w:w w:val="105"/>
        </w:rPr>
        <w:t>manera</w:t>
      </w:r>
      <w:r>
        <w:rPr>
          <w:color w:val="231F20"/>
          <w:spacing w:val="-16"/>
          <w:w w:val="105"/>
        </w:rPr>
        <w:t> </w:t>
      </w:r>
      <w:r>
        <w:rPr>
          <w:color w:val="231F20"/>
          <w:w w:val="105"/>
        </w:rPr>
        <w:t>se</w:t>
      </w:r>
      <w:r>
        <w:rPr>
          <w:color w:val="231F20"/>
          <w:spacing w:val="-16"/>
          <w:w w:val="105"/>
        </w:rPr>
        <w:t> </w:t>
      </w:r>
      <w:r>
        <w:rPr>
          <w:color w:val="231F20"/>
          <w:w w:val="105"/>
        </w:rPr>
        <w:t>reinsertan</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mercado</w:t>
      </w:r>
      <w:r>
        <w:rPr>
          <w:color w:val="231F20"/>
          <w:spacing w:val="-16"/>
          <w:w w:val="105"/>
        </w:rPr>
        <w:t> </w:t>
      </w:r>
      <w:r>
        <w:rPr>
          <w:color w:val="231F20"/>
          <w:w w:val="105"/>
        </w:rPr>
        <w:t>de</w:t>
      </w:r>
      <w:r>
        <w:rPr>
          <w:color w:val="231F20"/>
          <w:spacing w:val="-16"/>
          <w:w w:val="105"/>
        </w:rPr>
        <w:t> </w:t>
      </w:r>
      <w:r>
        <w:rPr>
          <w:color w:val="231F20"/>
          <w:w w:val="105"/>
        </w:rPr>
        <w:t>trabajo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lugar</w:t>
      </w:r>
      <w:r>
        <w:rPr>
          <w:color w:val="231F20"/>
          <w:spacing w:val="-16"/>
          <w:w w:val="105"/>
        </w:rPr>
        <w:t> </w:t>
      </w:r>
      <w:r>
        <w:rPr>
          <w:color w:val="231F20"/>
          <w:w w:val="105"/>
        </w:rPr>
        <w:t>de</w:t>
      </w:r>
      <w:r>
        <w:rPr>
          <w:color w:val="231F20"/>
          <w:spacing w:val="-16"/>
          <w:w w:val="105"/>
        </w:rPr>
        <w:t> </w:t>
      </w:r>
      <w:r>
        <w:rPr>
          <w:color w:val="231F20"/>
          <w:w w:val="105"/>
        </w:rPr>
        <w:t>origen, qué</w:t>
      </w:r>
      <w:r>
        <w:rPr>
          <w:color w:val="231F20"/>
          <w:spacing w:val="-10"/>
          <w:w w:val="105"/>
        </w:rPr>
        <w:t> </w:t>
      </w:r>
      <w:r>
        <w:rPr>
          <w:color w:val="231F20"/>
          <w:w w:val="105"/>
        </w:rPr>
        <w:t>tipo</w:t>
      </w:r>
      <w:r>
        <w:rPr>
          <w:color w:val="231F20"/>
          <w:spacing w:val="-10"/>
          <w:w w:val="105"/>
        </w:rPr>
        <w:t> </w:t>
      </w:r>
      <w:r>
        <w:rPr>
          <w:color w:val="231F20"/>
          <w:w w:val="105"/>
        </w:rPr>
        <w:t>de</w:t>
      </w:r>
      <w:r>
        <w:rPr>
          <w:color w:val="231F20"/>
          <w:spacing w:val="-10"/>
          <w:w w:val="105"/>
        </w:rPr>
        <w:t> </w:t>
      </w:r>
      <w:r>
        <w:rPr>
          <w:color w:val="231F20"/>
          <w:w w:val="105"/>
        </w:rPr>
        <w:t>aprendizajes</w:t>
      </w:r>
      <w:r>
        <w:rPr>
          <w:color w:val="231F20"/>
          <w:spacing w:val="-10"/>
          <w:w w:val="105"/>
        </w:rPr>
        <w:t> </w:t>
      </w:r>
      <w:r>
        <w:rPr>
          <w:color w:val="231F20"/>
          <w:w w:val="105"/>
        </w:rPr>
        <w:t>y</w:t>
      </w:r>
      <w:r>
        <w:rPr>
          <w:color w:val="231F20"/>
          <w:spacing w:val="-10"/>
          <w:w w:val="105"/>
        </w:rPr>
        <w:t> </w:t>
      </w:r>
      <w:r>
        <w:rPr>
          <w:color w:val="231F20"/>
          <w:w w:val="105"/>
        </w:rPr>
        <w:t>habilidades</w:t>
      </w:r>
      <w:r>
        <w:rPr>
          <w:color w:val="231F20"/>
          <w:spacing w:val="-10"/>
          <w:w w:val="105"/>
        </w:rPr>
        <w:t> </w:t>
      </w:r>
      <w:r>
        <w:rPr>
          <w:color w:val="231F20"/>
          <w:w w:val="105"/>
        </w:rPr>
        <w:t>potencian</w:t>
      </w:r>
      <w:r>
        <w:rPr>
          <w:color w:val="231F20"/>
          <w:spacing w:val="-10"/>
          <w:w w:val="105"/>
        </w:rPr>
        <w:t> </w:t>
      </w:r>
      <w:r>
        <w:rPr>
          <w:color w:val="231F20"/>
          <w:w w:val="105"/>
        </w:rPr>
        <w:t>nuevas</w:t>
      </w:r>
      <w:r>
        <w:rPr>
          <w:color w:val="231F20"/>
          <w:spacing w:val="-10"/>
          <w:w w:val="105"/>
        </w:rPr>
        <w:t> </w:t>
      </w:r>
      <w:r>
        <w:rPr>
          <w:color w:val="231F20"/>
          <w:w w:val="105"/>
        </w:rPr>
        <w:t>oportunidades laborales,</w:t>
      </w:r>
      <w:r>
        <w:rPr>
          <w:color w:val="231F20"/>
          <w:spacing w:val="-18"/>
          <w:w w:val="105"/>
        </w:rPr>
        <w:t> </w:t>
      </w:r>
      <w:r>
        <w:rPr>
          <w:color w:val="231F20"/>
          <w:w w:val="105"/>
        </w:rPr>
        <w:t>qué</w:t>
      </w:r>
      <w:r>
        <w:rPr>
          <w:color w:val="231F20"/>
          <w:spacing w:val="-13"/>
          <w:w w:val="105"/>
        </w:rPr>
        <w:t> </w:t>
      </w:r>
      <w:r>
        <w:rPr>
          <w:color w:val="231F20"/>
          <w:w w:val="105"/>
        </w:rPr>
        <w:t>dificultades</w:t>
      </w:r>
      <w:r>
        <w:rPr>
          <w:color w:val="231F20"/>
          <w:spacing w:val="-13"/>
          <w:w w:val="105"/>
        </w:rPr>
        <w:t> </w:t>
      </w:r>
      <w:r>
        <w:rPr>
          <w:color w:val="231F20"/>
          <w:w w:val="105"/>
        </w:rPr>
        <w:t>enfrentan</w:t>
      </w:r>
      <w:r>
        <w:rPr>
          <w:color w:val="231F20"/>
          <w:spacing w:val="-13"/>
          <w:w w:val="105"/>
        </w:rPr>
        <w:t> </w:t>
      </w:r>
      <w:r>
        <w:rPr>
          <w:color w:val="231F20"/>
          <w:w w:val="105"/>
        </w:rPr>
        <w:t>para</w:t>
      </w:r>
      <w:r>
        <w:rPr>
          <w:color w:val="231F20"/>
          <w:spacing w:val="-13"/>
          <w:w w:val="105"/>
        </w:rPr>
        <w:t> </w:t>
      </w:r>
      <w:r>
        <w:rPr>
          <w:color w:val="231F20"/>
          <w:w w:val="105"/>
        </w:rPr>
        <w:t>acceder</w:t>
      </w:r>
      <w:r>
        <w:rPr>
          <w:color w:val="231F20"/>
          <w:spacing w:val="-13"/>
          <w:w w:val="105"/>
        </w:rPr>
        <w:t> </w:t>
      </w:r>
      <w:r>
        <w:rPr>
          <w:color w:val="231F20"/>
          <w:w w:val="105"/>
        </w:rPr>
        <w:t>a</w:t>
      </w:r>
      <w:r>
        <w:rPr>
          <w:color w:val="231F20"/>
          <w:spacing w:val="-13"/>
          <w:w w:val="105"/>
        </w:rPr>
        <w:t> </w:t>
      </w:r>
      <w:r>
        <w:rPr>
          <w:color w:val="231F20"/>
          <w:w w:val="105"/>
        </w:rPr>
        <w:t>servicios</w:t>
      </w:r>
      <w:r>
        <w:rPr>
          <w:color w:val="231F20"/>
          <w:spacing w:val="-13"/>
          <w:w w:val="105"/>
        </w:rPr>
        <w:t> </w:t>
      </w:r>
      <w:r>
        <w:rPr>
          <w:color w:val="231F20"/>
          <w:w w:val="105"/>
        </w:rPr>
        <w:t>de</w:t>
      </w:r>
      <w:r>
        <w:rPr>
          <w:color w:val="231F20"/>
          <w:spacing w:val="-13"/>
          <w:w w:val="105"/>
        </w:rPr>
        <w:t> </w:t>
      </w:r>
      <w:r>
        <w:rPr>
          <w:color w:val="231F20"/>
          <w:w w:val="105"/>
        </w:rPr>
        <w:t>salud</w:t>
      </w:r>
      <w:r>
        <w:rPr>
          <w:color w:val="231F20"/>
          <w:spacing w:val="-13"/>
          <w:w w:val="105"/>
        </w:rPr>
        <w:t> </w:t>
      </w:r>
      <w:r>
        <w:rPr>
          <w:color w:val="231F20"/>
          <w:w w:val="105"/>
        </w:rPr>
        <w:t>y educación</w:t>
      </w:r>
      <w:r>
        <w:rPr>
          <w:color w:val="231F20"/>
          <w:spacing w:val="-24"/>
          <w:w w:val="105"/>
        </w:rPr>
        <w:t> </w:t>
      </w:r>
      <w:r>
        <w:rPr>
          <w:color w:val="231F20"/>
          <w:w w:val="105"/>
        </w:rPr>
        <w:t>de</w:t>
      </w:r>
      <w:r>
        <w:rPr>
          <w:color w:val="231F20"/>
          <w:spacing w:val="-24"/>
          <w:w w:val="105"/>
        </w:rPr>
        <w:t> </w:t>
      </w:r>
      <w:r>
        <w:rPr>
          <w:color w:val="231F20"/>
          <w:w w:val="105"/>
        </w:rPr>
        <w:t>sus</w:t>
      </w:r>
      <w:r>
        <w:rPr>
          <w:color w:val="231F20"/>
          <w:spacing w:val="-24"/>
          <w:w w:val="105"/>
        </w:rPr>
        <w:t> </w:t>
      </w:r>
      <w:r>
        <w:rPr>
          <w:color w:val="231F20"/>
          <w:w w:val="105"/>
        </w:rPr>
        <w:t>hijos,</w:t>
      </w:r>
      <w:r>
        <w:rPr>
          <w:color w:val="231F20"/>
          <w:spacing w:val="-28"/>
          <w:w w:val="105"/>
        </w:rPr>
        <w:t> </w:t>
      </w:r>
      <w:r>
        <w:rPr>
          <w:color w:val="231F20"/>
          <w:w w:val="105"/>
        </w:rPr>
        <w:t>etcétera.</w:t>
      </w:r>
    </w:p>
    <w:p>
      <w:pPr>
        <w:pStyle w:val="BodyText"/>
        <w:spacing w:line="261" w:lineRule="auto" w:before="1"/>
        <w:ind w:left="1723" w:right="1834" w:firstLine="567"/>
        <w:jc w:val="both"/>
      </w:pPr>
      <w:r>
        <w:rPr>
          <w:color w:val="231F20"/>
          <w:w w:val="105"/>
        </w:rPr>
        <w:t>Comparado</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desplazamiento</w:t>
      </w:r>
      <w:r>
        <w:rPr>
          <w:color w:val="231F20"/>
          <w:spacing w:val="-12"/>
          <w:w w:val="105"/>
        </w:rPr>
        <w:t> </w:t>
      </w:r>
      <w:r>
        <w:rPr>
          <w:color w:val="231F20"/>
          <w:w w:val="105"/>
        </w:rPr>
        <w:t>de</w:t>
      </w:r>
      <w:r>
        <w:rPr>
          <w:color w:val="231F20"/>
          <w:spacing w:val="-12"/>
          <w:w w:val="105"/>
        </w:rPr>
        <w:t> </w:t>
      </w:r>
      <w:r>
        <w:rPr>
          <w:color w:val="231F20"/>
          <w:w w:val="105"/>
        </w:rPr>
        <w:t>mexicanos</w:t>
      </w:r>
      <w:r>
        <w:rPr>
          <w:color w:val="231F20"/>
          <w:spacing w:val="-12"/>
          <w:w w:val="105"/>
        </w:rPr>
        <w:t> </w:t>
      </w:r>
      <w:r>
        <w:rPr>
          <w:color w:val="231F20"/>
          <w:w w:val="105"/>
        </w:rPr>
        <w:t>de</w:t>
      </w:r>
      <w:r>
        <w:rPr>
          <w:color w:val="231F20"/>
          <w:spacing w:val="-12"/>
          <w:w w:val="105"/>
        </w:rPr>
        <w:t> </w:t>
      </w:r>
      <w:r>
        <w:rPr>
          <w:color w:val="231F20"/>
          <w:w w:val="105"/>
        </w:rPr>
        <w:t>Estados</w:t>
      </w:r>
      <w:r>
        <w:rPr>
          <w:color w:val="231F20"/>
          <w:spacing w:val="-12"/>
          <w:w w:val="105"/>
        </w:rPr>
        <w:t> </w:t>
      </w:r>
      <w:r>
        <w:rPr>
          <w:color w:val="231F20"/>
          <w:w w:val="105"/>
        </w:rPr>
        <w:t>Uni- dos a México en el quinquenio comprendido entre 1995-2000, que re- gistró</w:t>
      </w:r>
      <w:r>
        <w:rPr>
          <w:color w:val="231F20"/>
          <w:spacing w:val="-4"/>
          <w:w w:val="105"/>
        </w:rPr>
        <w:t> </w:t>
      </w:r>
      <w:r>
        <w:rPr>
          <w:color w:val="231F20"/>
          <w:w w:val="105"/>
        </w:rPr>
        <w:t>un</w:t>
      </w:r>
      <w:r>
        <w:rPr>
          <w:color w:val="231F20"/>
          <w:spacing w:val="-4"/>
          <w:w w:val="105"/>
        </w:rPr>
        <w:t> </w:t>
      </w:r>
      <w:r>
        <w:rPr>
          <w:color w:val="231F20"/>
          <w:w w:val="105"/>
        </w:rPr>
        <w:t>total</w:t>
      </w:r>
      <w:r>
        <w:rPr>
          <w:color w:val="231F20"/>
          <w:spacing w:val="-4"/>
          <w:w w:val="105"/>
        </w:rPr>
        <w:t> </w:t>
      </w:r>
      <w:r>
        <w:rPr>
          <w:color w:val="231F20"/>
          <w:w w:val="105"/>
        </w:rPr>
        <w:t>de</w:t>
      </w:r>
      <w:r>
        <w:rPr>
          <w:color w:val="231F20"/>
          <w:spacing w:val="-4"/>
          <w:w w:val="105"/>
        </w:rPr>
        <w:t> </w:t>
      </w:r>
      <w:r>
        <w:rPr>
          <w:color w:val="231F20"/>
          <w:w w:val="105"/>
        </w:rPr>
        <w:t>267</w:t>
      </w:r>
      <w:r>
        <w:rPr>
          <w:color w:val="231F20"/>
          <w:spacing w:val="-4"/>
          <w:w w:val="105"/>
        </w:rPr>
        <w:t> </w:t>
      </w:r>
      <w:r>
        <w:rPr>
          <w:color w:val="231F20"/>
          <w:w w:val="105"/>
        </w:rPr>
        <w:t>mil,</w:t>
      </w:r>
      <w:r>
        <w:rPr>
          <w:color w:val="231F20"/>
          <w:spacing w:val="-11"/>
          <w:w w:val="105"/>
        </w:rPr>
        <w:t> </w:t>
      </w:r>
      <w:r>
        <w:rPr>
          <w:color w:val="231F20"/>
          <w:w w:val="105"/>
        </w:rPr>
        <w:t>el</w:t>
      </w:r>
      <w:r>
        <w:rPr>
          <w:color w:val="231F20"/>
          <w:spacing w:val="-4"/>
          <w:w w:val="105"/>
        </w:rPr>
        <w:t> </w:t>
      </w:r>
      <w:r>
        <w:rPr>
          <w:color w:val="231F20"/>
          <w:w w:val="105"/>
        </w:rPr>
        <w:t>retorno</w:t>
      </w:r>
      <w:r>
        <w:rPr>
          <w:color w:val="231F20"/>
          <w:spacing w:val="-4"/>
          <w:w w:val="105"/>
        </w:rPr>
        <w:t> </w:t>
      </w:r>
      <w:r>
        <w:rPr>
          <w:color w:val="231F20"/>
          <w:w w:val="105"/>
        </w:rPr>
        <w:t>incrementó</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período</w:t>
      </w:r>
      <w:r>
        <w:rPr>
          <w:color w:val="231F20"/>
          <w:spacing w:val="-4"/>
          <w:w w:val="105"/>
        </w:rPr>
        <w:t> </w:t>
      </w:r>
      <w:r>
        <w:rPr>
          <w:color w:val="231F20"/>
          <w:w w:val="105"/>
        </w:rPr>
        <w:t>de</w:t>
      </w:r>
      <w:r>
        <w:rPr>
          <w:color w:val="231F20"/>
          <w:spacing w:val="-4"/>
          <w:w w:val="105"/>
        </w:rPr>
        <w:t> </w:t>
      </w:r>
      <w:r>
        <w:rPr>
          <w:color w:val="231F20"/>
          <w:w w:val="105"/>
        </w:rPr>
        <w:t>2005</w:t>
      </w:r>
      <w:r>
        <w:rPr>
          <w:color w:val="231F20"/>
          <w:spacing w:val="-4"/>
          <w:w w:val="105"/>
        </w:rPr>
        <w:t> </w:t>
      </w:r>
      <w:r>
        <w:rPr>
          <w:color w:val="231F20"/>
          <w:w w:val="105"/>
        </w:rPr>
        <w:t>a 2010</w:t>
      </w:r>
      <w:r>
        <w:rPr>
          <w:color w:val="231F20"/>
          <w:spacing w:val="-24"/>
          <w:w w:val="105"/>
        </w:rPr>
        <w:t> </w:t>
      </w:r>
      <w:r>
        <w:rPr>
          <w:color w:val="231F20"/>
          <w:w w:val="105"/>
        </w:rPr>
        <w:t>con</w:t>
      </w:r>
      <w:r>
        <w:rPr>
          <w:color w:val="231F20"/>
          <w:spacing w:val="-24"/>
          <w:w w:val="105"/>
        </w:rPr>
        <w:t> </w:t>
      </w:r>
      <w:r>
        <w:rPr>
          <w:color w:val="231F20"/>
          <w:w w:val="105"/>
        </w:rPr>
        <w:t>alrededor</w:t>
      </w:r>
      <w:r>
        <w:rPr>
          <w:color w:val="231F20"/>
          <w:spacing w:val="-24"/>
          <w:w w:val="105"/>
        </w:rPr>
        <w:t> </w:t>
      </w:r>
      <w:r>
        <w:rPr>
          <w:color w:val="231F20"/>
          <w:w w:val="105"/>
        </w:rPr>
        <w:t>de</w:t>
      </w:r>
      <w:r>
        <w:rPr>
          <w:color w:val="231F20"/>
          <w:spacing w:val="-24"/>
          <w:w w:val="105"/>
        </w:rPr>
        <w:t> </w:t>
      </w:r>
      <w:r>
        <w:rPr>
          <w:color w:val="231F20"/>
          <w:w w:val="105"/>
        </w:rPr>
        <w:t>824</w:t>
      </w:r>
      <w:r>
        <w:rPr>
          <w:color w:val="231F20"/>
          <w:spacing w:val="-24"/>
          <w:w w:val="105"/>
        </w:rPr>
        <w:t> </w:t>
      </w:r>
      <w:r>
        <w:rPr>
          <w:color w:val="231F20"/>
          <w:w w:val="105"/>
        </w:rPr>
        <w:t>mil</w:t>
      </w:r>
      <w:r>
        <w:rPr>
          <w:color w:val="231F20"/>
          <w:spacing w:val="-24"/>
          <w:w w:val="105"/>
        </w:rPr>
        <w:t> </w:t>
      </w:r>
      <w:r>
        <w:rPr>
          <w:color w:val="231F20"/>
          <w:w w:val="105"/>
        </w:rPr>
        <w:t>mexicanos</w:t>
      </w:r>
      <w:r>
        <w:rPr>
          <w:color w:val="231F20"/>
          <w:spacing w:val="-24"/>
          <w:w w:val="105"/>
        </w:rPr>
        <w:t> </w:t>
      </w:r>
      <w:r>
        <w:rPr>
          <w:color w:val="231F20"/>
          <w:w w:val="105"/>
        </w:rPr>
        <w:t>(</w:t>
      </w:r>
      <w:r>
        <w:rPr>
          <w:color w:val="231F20"/>
          <w:w w:val="105"/>
          <w:sz w:val="17"/>
        </w:rPr>
        <w:t>CONAPO</w:t>
      </w:r>
      <w:r>
        <w:rPr>
          <w:color w:val="231F20"/>
          <w:w w:val="105"/>
        </w:rPr>
        <w:t>).</w:t>
      </w:r>
      <w:r>
        <w:rPr>
          <w:color w:val="231F20"/>
          <w:spacing w:val="-29"/>
          <w:w w:val="105"/>
        </w:rPr>
        <w:t> </w:t>
      </w:r>
      <w:r>
        <w:rPr>
          <w:color w:val="231F20"/>
          <w:w w:val="105"/>
        </w:rPr>
        <w:t>Se</w:t>
      </w:r>
      <w:r>
        <w:rPr>
          <w:color w:val="231F20"/>
          <w:spacing w:val="-24"/>
          <w:w w:val="105"/>
        </w:rPr>
        <w:t> </w:t>
      </w:r>
      <w:r>
        <w:rPr>
          <w:color w:val="231F20"/>
          <w:w w:val="105"/>
        </w:rPr>
        <w:t>ha</w:t>
      </w:r>
      <w:r>
        <w:rPr>
          <w:color w:val="231F20"/>
          <w:spacing w:val="-24"/>
          <w:w w:val="105"/>
        </w:rPr>
        <w:t> </w:t>
      </w:r>
      <w:r>
        <w:rPr>
          <w:color w:val="231F20"/>
          <w:w w:val="105"/>
        </w:rPr>
        <w:t>documentado que la población migrante de retorno a México se encuentra en edad productiva. Los datos de </w:t>
      </w:r>
      <w:r>
        <w:rPr>
          <w:color w:val="231F20"/>
          <w:w w:val="105"/>
          <w:sz w:val="17"/>
        </w:rPr>
        <w:t>CONAPO </w:t>
      </w:r>
      <w:r>
        <w:rPr>
          <w:color w:val="231F20"/>
          <w:w w:val="105"/>
        </w:rPr>
        <w:t>(2014) señalan que la mayor parte</w:t>
      </w:r>
      <w:r>
        <w:rPr>
          <w:color w:val="231F20"/>
          <w:spacing w:val="-31"/>
          <w:w w:val="105"/>
        </w:rPr>
        <w:t> </w:t>
      </w:r>
      <w:r>
        <w:rPr>
          <w:color w:val="231F20"/>
          <w:w w:val="105"/>
        </w:rPr>
        <w:t>de los</w:t>
      </w:r>
      <w:r>
        <w:rPr>
          <w:color w:val="231F20"/>
          <w:spacing w:val="-3"/>
          <w:w w:val="105"/>
        </w:rPr>
        <w:t> </w:t>
      </w:r>
      <w:r>
        <w:rPr>
          <w:color w:val="231F20"/>
          <w:w w:val="105"/>
        </w:rPr>
        <w:t>migrantes</w:t>
      </w:r>
      <w:r>
        <w:rPr>
          <w:color w:val="231F20"/>
          <w:spacing w:val="-3"/>
          <w:w w:val="105"/>
        </w:rPr>
        <w:t> </w:t>
      </w:r>
      <w:r>
        <w:rPr>
          <w:color w:val="231F20"/>
          <w:w w:val="105"/>
        </w:rPr>
        <w:t>de</w:t>
      </w:r>
      <w:r>
        <w:rPr>
          <w:color w:val="231F20"/>
          <w:spacing w:val="-3"/>
          <w:w w:val="105"/>
        </w:rPr>
        <w:t> </w:t>
      </w:r>
      <w:r>
        <w:rPr>
          <w:color w:val="231F20"/>
          <w:w w:val="105"/>
        </w:rPr>
        <w:t>retorno</w:t>
      </w:r>
      <w:r>
        <w:rPr>
          <w:color w:val="231F20"/>
          <w:spacing w:val="-3"/>
          <w:w w:val="105"/>
        </w:rPr>
        <w:t> </w:t>
      </w:r>
      <w:r>
        <w:rPr>
          <w:color w:val="231F20"/>
          <w:w w:val="105"/>
        </w:rPr>
        <w:t>tienen</w:t>
      </w:r>
      <w:r>
        <w:rPr>
          <w:color w:val="231F20"/>
          <w:spacing w:val="-3"/>
          <w:w w:val="105"/>
        </w:rPr>
        <w:t> </w:t>
      </w:r>
      <w:r>
        <w:rPr>
          <w:color w:val="231F20"/>
          <w:w w:val="105"/>
        </w:rPr>
        <w:t>entre</w:t>
      </w:r>
      <w:r>
        <w:rPr>
          <w:color w:val="231F20"/>
          <w:spacing w:val="-3"/>
          <w:w w:val="105"/>
        </w:rPr>
        <w:t> </w:t>
      </w:r>
      <w:r>
        <w:rPr>
          <w:color w:val="231F20"/>
          <w:w w:val="105"/>
        </w:rPr>
        <w:t>14</w:t>
      </w:r>
      <w:r>
        <w:rPr>
          <w:color w:val="231F20"/>
          <w:spacing w:val="-3"/>
          <w:w w:val="105"/>
        </w:rPr>
        <w:t> </w:t>
      </w:r>
      <w:r>
        <w:rPr>
          <w:color w:val="231F20"/>
          <w:w w:val="105"/>
        </w:rPr>
        <w:t>y</w:t>
      </w:r>
      <w:r>
        <w:rPr>
          <w:color w:val="231F20"/>
          <w:spacing w:val="-3"/>
          <w:w w:val="105"/>
        </w:rPr>
        <w:t> </w:t>
      </w:r>
      <w:r>
        <w:rPr>
          <w:color w:val="231F20"/>
          <w:w w:val="105"/>
        </w:rPr>
        <w:t>44</w:t>
      </w:r>
      <w:r>
        <w:rPr>
          <w:color w:val="231F20"/>
          <w:spacing w:val="-3"/>
          <w:w w:val="105"/>
        </w:rPr>
        <w:t> </w:t>
      </w:r>
      <w:r>
        <w:rPr>
          <w:color w:val="231F20"/>
          <w:w w:val="105"/>
        </w:rPr>
        <w:t>años,</w:t>
      </w:r>
      <w:r>
        <w:rPr>
          <w:color w:val="231F20"/>
          <w:spacing w:val="-9"/>
          <w:w w:val="105"/>
        </w:rPr>
        <w:t> </w:t>
      </w:r>
      <w:r>
        <w:rPr>
          <w:color w:val="231F20"/>
          <w:w w:val="105"/>
        </w:rPr>
        <w:t>es</w:t>
      </w:r>
      <w:r>
        <w:rPr>
          <w:color w:val="231F20"/>
          <w:spacing w:val="-3"/>
          <w:w w:val="105"/>
        </w:rPr>
        <w:t> </w:t>
      </w:r>
      <w:r>
        <w:rPr>
          <w:color w:val="231F20"/>
          <w:w w:val="105"/>
        </w:rPr>
        <w:t>decir,</w:t>
      </w:r>
      <w:r>
        <w:rPr>
          <w:color w:val="231F20"/>
          <w:spacing w:val="-9"/>
          <w:w w:val="105"/>
        </w:rPr>
        <w:t> </w:t>
      </w:r>
      <w:r>
        <w:rPr>
          <w:color w:val="231F20"/>
          <w:w w:val="105"/>
        </w:rPr>
        <w:t>son</w:t>
      </w:r>
      <w:r>
        <w:rPr>
          <w:color w:val="231F20"/>
          <w:spacing w:val="-3"/>
          <w:w w:val="105"/>
        </w:rPr>
        <w:t> </w:t>
      </w:r>
      <w:r>
        <w:rPr>
          <w:color w:val="231F20"/>
          <w:w w:val="105"/>
        </w:rPr>
        <w:t>perso- nas</w:t>
      </w:r>
      <w:r>
        <w:rPr>
          <w:color w:val="231F20"/>
          <w:spacing w:val="-17"/>
          <w:w w:val="105"/>
        </w:rPr>
        <w:t> </w:t>
      </w:r>
      <w:r>
        <w:rPr>
          <w:color w:val="231F20"/>
          <w:w w:val="105"/>
        </w:rPr>
        <w:t>en</w:t>
      </w:r>
      <w:r>
        <w:rPr>
          <w:color w:val="231F20"/>
          <w:spacing w:val="-17"/>
          <w:w w:val="105"/>
        </w:rPr>
        <w:t> </w:t>
      </w:r>
      <w:r>
        <w:rPr>
          <w:color w:val="231F20"/>
          <w:w w:val="105"/>
        </w:rPr>
        <w:t>edades</w:t>
      </w:r>
      <w:r>
        <w:rPr>
          <w:color w:val="231F20"/>
          <w:spacing w:val="-17"/>
          <w:w w:val="105"/>
        </w:rPr>
        <w:t> </w:t>
      </w:r>
      <w:r>
        <w:rPr>
          <w:color w:val="231F20"/>
          <w:w w:val="105"/>
        </w:rPr>
        <w:t>potencialmente</w:t>
      </w:r>
      <w:r>
        <w:rPr>
          <w:color w:val="231F20"/>
          <w:spacing w:val="-17"/>
          <w:w w:val="105"/>
        </w:rPr>
        <w:t> </w:t>
      </w:r>
      <w:r>
        <w:rPr>
          <w:color w:val="231F20"/>
          <w:w w:val="105"/>
        </w:rPr>
        <w:t>productivas</w:t>
      </w:r>
      <w:r>
        <w:rPr>
          <w:color w:val="231F20"/>
          <w:spacing w:val="-17"/>
          <w:w w:val="105"/>
        </w:rPr>
        <w:t> </w:t>
      </w:r>
      <w:r>
        <w:rPr>
          <w:color w:val="231F20"/>
          <w:w w:val="105"/>
        </w:rPr>
        <w:t>y</w:t>
      </w:r>
      <w:r>
        <w:rPr>
          <w:color w:val="231F20"/>
          <w:spacing w:val="-17"/>
          <w:w w:val="105"/>
        </w:rPr>
        <w:t> </w:t>
      </w:r>
      <w:r>
        <w:rPr>
          <w:color w:val="231F20"/>
          <w:w w:val="105"/>
        </w:rPr>
        <w:t>reproductivas,</w:t>
      </w:r>
      <w:r>
        <w:rPr>
          <w:color w:val="231F20"/>
          <w:spacing w:val="-21"/>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mayo- ría</w:t>
      </w:r>
      <w:r>
        <w:rPr>
          <w:color w:val="231F20"/>
          <w:spacing w:val="-13"/>
          <w:w w:val="105"/>
        </w:rPr>
        <w:t> </w:t>
      </w:r>
      <w:r>
        <w:rPr>
          <w:color w:val="231F20"/>
          <w:w w:val="105"/>
        </w:rPr>
        <w:t>casados</w:t>
      </w:r>
      <w:r>
        <w:rPr>
          <w:color w:val="231F20"/>
          <w:spacing w:val="-13"/>
          <w:w w:val="105"/>
        </w:rPr>
        <w:t> </w:t>
      </w:r>
      <w:r>
        <w:rPr>
          <w:color w:val="231F20"/>
          <w:w w:val="105"/>
        </w:rPr>
        <w:t>o</w:t>
      </w:r>
      <w:r>
        <w:rPr>
          <w:color w:val="231F20"/>
          <w:spacing w:val="-13"/>
          <w:w w:val="105"/>
        </w:rPr>
        <w:t> </w:t>
      </w:r>
      <w:r>
        <w:rPr>
          <w:color w:val="231F20"/>
          <w:w w:val="105"/>
        </w:rPr>
        <w:t>unidos,</w:t>
      </w:r>
      <w:r>
        <w:rPr>
          <w:color w:val="231F20"/>
          <w:spacing w:val="-18"/>
          <w:w w:val="105"/>
        </w:rPr>
        <w:t> </w:t>
      </w:r>
      <w:r>
        <w:rPr>
          <w:color w:val="231F20"/>
          <w:w w:val="105"/>
        </w:rPr>
        <w:t>y</w:t>
      </w:r>
      <w:r>
        <w:rPr>
          <w:color w:val="231F20"/>
          <w:spacing w:val="-13"/>
          <w:w w:val="105"/>
        </w:rPr>
        <w:t> </w:t>
      </w:r>
      <w:r>
        <w:rPr>
          <w:color w:val="231F20"/>
          <w:w w:val="105"/>
        </w:rPr>
        <w:t>residen</w:t>
      </w:r>
      <w:r>
        <w:rPr>
          <w:color w:val="231F20"/>
          <w:spacing w:val="-13"/>
          <w:w w:val="105"/>
        </w:rPr>
        <w:t> </w:t>
      </w:r>
      <w:r>
        <w:rPr>
          <w:color w:val="231F20"/>
          <w:w w:val="105"/>
        </w:rPr>
        <w:t>en</w:t>
      </w:r>
      <w:r>
        <w:rPr>
          <w:color w:val="231F20"/>
          <w:spacing w:val="-13"/>
          <w:w w:val="105"/>
        </w:rPr>
        <w:t> </w:t>
      </w:r>
      <w:r>
        <w:rPr>
          <w:color w:val="231F20"/>
          <w:w w:val="105"/>
        </w:rPr>
        <w:t>localidades</w:t>
      </w:r>
      <w:r>
        <w:rPr>
          <w:color w:val="231F20"/>
          <w:spacing w:val="-13"/>
          <w:w w:val="105"/>
        </w:rPr>
        <w:t> </w:t>
      </w:r>
      <w:r>
        <w:rPr>
          <w:color w:val="231F20"/>
          <w:w w:val="105"/>
        </w:rPr>
        <w:t>urbanas.</w:t>
      </w:r>
      <w:r>
        <w:rPr>
          <w:color w:val="231F20"/>
          <w:spacing w:val="-18"/>
          <w:w w:val="105"/>
        </w:rPr>
        <w:t> </w:t>
      </w:r>
      <w:r>
        <w:rPr>
          <w:color w:val="231F20"/>
          <w:w w:val="105"/>
        </w:rPr>
        <w:t>No</w:t>
      </w:r>
      <w:r>
        <w:rPr>
          <w:color w:val="231F20"/>
          <w:spacing w:val="-13"/>
          <w:w w:val="105"/>
        </w:rPr>
        <w:t> </w:t>
      </w:r>
      <w:r>
        <w:rPr>
          <w:color w:val="231F20"/>
          <w:w w:val="105"/>
        </w:rPr>
        <w:t>obstante,</w:t>
      </w:r>
      <w:r>
        <w:rPr>
          <w:color w:val="231F20"/>
          <w:spacing w:val="-18"/>
          <w:w w:val="105"/>
        </w:rPr>
        <w:t> </w:t>
      </w:r>
      <w:r>
        <w:rPr>
          <w:color w:val="231F20"/>
          <w:w w:val="105"/>
        </w:rPr>
        <w:t>los datos</w:t>
      </w:r>
      <w:r>
        <w:rPr>
          <w:color w:val="231F20"/>
          <w:spacing w:val="-7"/>
          <w:w w:val="105"/>
        </w:rPr>
        <w:t> </w:t>
      </w:r>
      <w:r>
        <w:rPr>
          <w:color w:val="231F20"/>
          <w:w w:val="105"/>
        </w:rPr>
        <w:t>también</w:t>
      </w:r>
      <w:r>
        <w:rPr>
          <w:color w:val="231F20"/>
          <w:spacing w:val="-7"/>
          <w:w w:val="105"/>
        </w:rPr>
        <w:t> </w:t>
      </w:r>
      <w:r>
        <w:rPr>
          <w:color w:val="231F20"/>
          <w:w w:val="105"/>
        </w:rPr>
        <w:t>muestran</w:t>
      </w:r>
      <w:r>
        <w:rPr>
          <w:color w:val="231F20"/>
          <w:spacing w:val="-7"/>
          <w:w w:val="105"/>
        </w:rPr>
        <w:t> </w:t>
      </w:r>
      <w:r>
        <w:rPr>
          <w:color w:val="231F20"/>
          <w:w w:val="105"/>
        </w:rPr>
        <w:t>un</w:t>
      </w:r>
      <w:r>
        <w:rPr>
          <w:color w:val="231F20"/>
          <w:spacing w:val="-7"/>
          <w:w w:val="105"/>
        </w:rPr>
        <w:t> </w:t>
      </w:r>
      <w:r>
        <w:rPr>
          <w:color w:val="231F20"/>
          <w:w w:val="105"/>
        </w:rPr>
        <w:t>incremento,</w:t>
      </w:r>
      <w:r>
        <w:rPr>
          <w:color w:val="231F20"/>
          <w:spacing w:val="-12"/>
          <w:w w:val="105"/>
        </w:rPr>
        <w:t> </w:t>
      </w:r>
      <w:r>
        <w:rPr>
          <w:color w:val="231F20"/>
          <w:w w:val="105"/>
        </w:rPr>
        <w:t>entre</w:t>
      </w:r>
      <w:r>
        <w:rPr>
          <w:color w:val="231F20"/>
          <w:spacing w:val="-7"/>
          <w:w w:val="105"/>
        </w:rPr>
        <w:t> </w:t>
      </w:r>
      <w:r>
        <w:rPr>
          <w:color w:val="231F20"/>
          <w:w w:val="105"/>
        </w:rPr>
        <w:t>periodos</w:t>
      </w:r>
      <w:r>
        <w:rPr>
          <w:color w:val="231F20"/>
          <w:spacing w:val="-7"/>
          <w:w w:val="105"/>
        </w:rPr>
        <w:t> </w:t>
      </w:r>
      <w:r>
        <w:rPr>
          <w:color w:val="231F20"/>
          <w:w w:val="105"/>
        </w:rPr>
        <w:t>censales,</w:t>
      </w:r>
      <w:r>
        <w:rPr>
          <w:color w:val="231F20"/>
          <w:spacing w:val="-12"/>
          <w:w w:val="105"/>
        </w:rPr>
        <w:t> </w:t>
      </w:r>
      <w:r>
        <w:rPr>
          <w:color w:val="231F20"/>
          <w:w w:val="105"/>
        </w:rPr>
        <w:t>de</w:t>
      </w:r>
      <w:r>
        <w:rPr>
          <w:color w:val="231F20"/>
          <w:spacing w:val="-7"/>
          <w:w w:val="105"/>
        </w:rPr>
        <w:t> </w:t>
      </w:r>
      <w:r>
        <w:rPr>
          <w:color w:val="231F20"/>
          <w:w w:val="105"/>
        </w:rPr>
        <w:t>los migrantes de retorno de 30 a 44 años de edad y de aquellos que</w:t>
      </w:r>
      <w:r>
        <w:rPr>
          <w:color w:val="231F20"/>
          <w:spacing w:val="-30"/>
          <w:w w:val="105"/>
        </w:rPr>
        <w:t> </w:t>
      </w:r>
      <w:r>
        <w:rPr>
          <w:color w:val="231F20"/>
          <w:w w:val="105"/>
        </w:rPr>
        <w:t>regre- saron</w:t>
      </w:r>
      <w:r>
        <w:rPr>
          <w:color w:val="231F20"/>
          <w:spacing w:val="-19"/>
          <w:w w:val="105"/>
        </w:rPr>
        <w:t> </w:t>
      </w:r>
      <w:r>
        <w:rPr>
          <w:color w:val="231F20"/>
          <w:w w:val="105"/>
        </w:rPr>
        <w:t>a</w:t>
      </w:r>
      <w:r>
        <w:rPr>
          <w:color w:val="231F20"/>
          <w:spacing w:val="-19"/>
          <w:w w:val="105"/>
        </w:rPr>
        <w:t> </w:t>
      </w:r>
      <w:r>
        <w:rPr>
          <w:color w:val="231F20"/>
          <w:w w:val="105"/>
        </w:rPr>
        <w:t>localidades</w:t>
      </w:r>
      <w:r>
        <w:rPr>
          <w:color w:val="231F20"/>
          <w:spacing w:val="-19"/>
          <w:w w:val="105"/>
        </w:rPr>
        <w:t> </w:t>
      </w:r>
      <w:r>
        <w:rPr>
          <w:color w:val="231F20"/>
          <w:w w:val="105"/>
        </w:rPr>
        <w:t>rurales.</w:t>
      </w:r>
      <w:r>
        <w:rPr>
          <w:color w:val="231F20"/>
          <w:spacing w:val="-24"/>
          <w:w w:val="105"/>
        </w:rPr>
        <w:t> </w:t>
      </w:r>
      <w:r>
        <w:rPr>
          <w:color w:val="231F20"/>
          <w:w w:val="105"/>
        </w:rPr>
        <w:t>Según</w:t>
      </w:r>
      <w:r>
        <w:rPr>
          <w:color w:val="231F20"/>
          <w:spacing w:val="-19"/>
          <w:w w:val="105"/>
        </w:rPr>
        <w:t> </w:t>
      </w:r>
      <w:r>
        <w:rPr>
          <w:color w:val="231F20"/>
          <w:w w:val="105"/>
        </w:rPr>
        <w:t>la</w:t>
      </w:r>
      <w:r>
        <w:rPr>
          <w:color w:val="231F20"/>
          <w:spacing w:val="-19"/>
          <w:w w:val="105"/>
        </w:rPr>
        <w:t> </w:t>
      </w:r>
      <w:r>
        <w:rPr>
          <w:color w:val="231F20"/>
          <w:w w:val="105"/>
        </w:rPr>
        <w:t>Encuesta</w:t>
      </w:r>
      <w:r>
        <w:rPr>
          <w:color w:val="231F20"/>
          <w:spacing w:val="-19"/>
          <w:w w:val="105"/>
        </w:rPr>
        <w:t> </w:t>
      </w:r>
      <w:r>
        <w:rPr>
          <w:color w:val="231F20"/>
          <w:w w:val="105"/>
        </w:rPr>
        <w:t>Nacional</w:t>
      </w:r>
      <w:r>
        <w:rPr>
          <w:color w:val="231F20"/>
          <w:spacing w:val="-19"/>
          <w:w w:val="105"/>
        </w:rPr>
        <w:t> </w:t>
      </w:r>
      <w:r>
        <w:rPr>
          <w:color w:val="231F20"/>
          <w:w w:val="105"/>
        </w:rPr>
        <w:t>de</w:t>
      </w:r>
      <w:r>
        <w:rPr>
          <w:color w:val="231F20"/>
          <w:spacing w:val="-19"/>
          <w:w w:val="105"/>
        </w:rPr>
        <w:t> </w:t>
      </w:r>
      <w:r>
        <w:rPr>
          <w:color w:val="231F20"/>
          <w:w w:val="105"/>
        </w:rPr>
        <w:t>Ocupación</w:t>
      </w:r>
      <w:r>
        <w:rPr>
          <w:color w:val="231F20"/>
          <w:spacing w:val="-19"/>
          <w:w w:val="105"/>
        </w:rPr>
        <w:t> </w:t>
      </w:r>
      <w:r>
        <w:rPr>
          <w:color w:val="231F20"/>
          <w:w w:val="105"/>
        </w:rPr>
        <w:t>y Empleo</w:t>
      </w:r>
      <w:r>
        <w:rPr>
          <w:color w:val="231F20"/>
          <w:spacing w:val="-11"/>
          <w:w w:val="105"/>
        </w:rPr>
        <w:t> </w:t>
      </w:r>
      <w:r>
        <w:rPr>
          <w:color w:val="231F20"/>
          <w:w w:val="105"/>
        </w:rPr>
        <w:t>(</w:t>
      </w:r>
      <w:r>
        <w:rPr>
          <w:color w:val="231F20"/>
          <w:w w:val="105"/>
          <w:sz w:val="17"/>
        </w:rPr>
        <w:t>ENOE</w:t>
      </w:r>
      <w:r>
        <w:rPr>
          <w:color w:val="231F20"/>
          <w:w w:val="105"/>
        </w:rPr>
        <w:t>),</w:t>
      </w:r>
      <w:r>
        <w:rPr>
          <w:color w:val="231F20"/>
          <w:spacing w:val="-17"/>
          <w:w w:val="105"/>
        </w:rPr>
        <w:t> </w:t>
      </w:r>
      <w:r>
        <w:rPr>
          <w:color w:val="231F20"/>
          <w:w w:val="105"/>
        </w:rPr>
        <w:t>aplicada</w:t>
      </w:r>
      <w:r>
        <w:rPr>
          <w:color w:val="231F20"/>
          <w:spacing w:val="-11"/>
          <w:w w:val="105"/>
        </w:rPr>
        <w:t> </w:t>
      </w:r>
      <w:r>
        <w:rPr>
          <w:color w:val="231F20"/>
          <w:w w:val="105"/>
        </w:rPr>
        <w:t>a</w:t>
      </w:r>
      <w:r>
        <w:rPr>
          <w:color w:val="231F20"/>
          <w:spacing w:val="-11"/>
          <w:w w:val="105"/>
        </w:rPr>
        <w:t> </w:t>
      </w:r>
      <w:r>
        <w:rPr>
          <w:color w:val="231F20"/>
          <w:w w:val="105"/>
        </w:rPr>
        <w:t>población</w:t>
      </w:r>
      <w:r>
        <w:rPr>
          <w:color w:val="231F20"/>
          <w:spacing w:val="-11"/>
          <w:w w:val="105"/>
        </w:rPr>
        <w:t> </w:t>
      </w:r>
      <w:r>
        <w:rPr>
          <w:color w:val="231F20"/>
          <w:w w:val="105"/>
        </w:rPr>
        <w:t>de</w:t>
      </w:r>
      <w:r>
        <w:rPr>
          <w:color w:val="231F20"/>
          <w:spacing w:val="-11"/>
          <w:w w:val="105"/>
        </w:rPr>
        <w:t> </w:t>
      </w:r>
      <w:r>
        <w:rPr>
          <w:color w:val="231F20"/>
          <w:w w:val="105"/>
        </w:rPr>
        <w:t>15</w:t>
      </w:r>
      <w:r>
        <w:rPr>
          <w:color w:val="231F20"/>
          <w:spacing w:val="-11"/>
          <w:w w:val="105"/>
        </w:rPr>
        <w:t> </w:t>
      </w:r>
      <w:r>
        <w:rPr>
          <w:color w:val="231F20"/>
          <w:w w:val="105"/>
        </w:rPr>
        <w:t>años</w:t>
      </w:r>
      <w:r>
        <w:rPr>
          <w:color w:val="231F20"/>
          <w:spacing w:val="-11"/>
          <w:w w:val="105"/>
        </w:rPr>
        <w:t> </w:t>
      </w:r>
      <w:r>
        <w:rPr>
          <w:color w:val="231F20"/>
          <w:w w:val="105"/>
        </w:rPr>
        <w:t>y</w:t>
      </w:r>
      <w:r>
        <w:rPr>
          <w:color w:val="231F20"/>
          <w:spacing w:val="-11"/>
          <w:w w:val="105"/>
        </w:rPr>
        <w:t> </w:t>
      </w:r>
      <w:r>
        <w:rPr>
          <w:color w:val="231F20"/>
          <w:w w:val="105"/>
        </w:rPr>
        <w:t>más</w:t>
      </w:r>
      <w:r>
        <w:rPr>
          <w:color w:val="231F20"/>
          <w:spacing w:val="-11"/>
          <w:w w:val="105"/>
        </w:rPr>
        <w:t> </w:t>
      </w:r>
      <w:r>
        <w:rPr>
          <w:color w:val="231F20"/>
          <w:w w:val="105"/>
        </w:rPr>
        <w:t>de</w:t>
      </w:r>
      <w:r>
        <w:rPr>
          <w:color w:val="231F20"/>
          <w:spacing w:val="-11"/>
          <w:w w:val="105"/>
        </w:rPr>
        <w:t> </w:t>
      </w:r>
      <w:r>
        <w:rPr>
          <w:color w:val="231F20"/>
          <w:w w:val="105"/>
        </w:rPr>
        <w:t>edad,</w:t>
      </w:r>
      <w:r>
        <w:rPr>
          <w:color w:val="231F20"/>
          <w:spacing w:val="-17"/>
          <w:w w:val="105"/>
        </w:rPr>
        <w:t> </w:t>
      </w:r>
      <w:r>
        <w:rPr>
          <w:color w:val="231F20"/>
          <w:w w:val="105"/>
        </w:rPr>
        <w:t>se</w:t>
      </w:r>
      <w:r>
        <w:rPr>
          <w:color w:val="231F20"/>
          <w:spacing w:val="-11"/>
          <w:w w:val="105"/>
        </w:rPr>
        <w:t> </w:t>
      </w:r>
      <w:r>
        <w:rPr>
          <w:color w:val="231F20"/>
          <w:w w:val="105"/>
        </w:rPr>
        <w:t>esti- ma que los migrantes retornados de 18 a 34 años de edad</w:t>
      </w:r>
      <w:r>
        <w:rPr>
          <w:color w:val="231F20"/>
          <w:spacing w:val="-19"/>
          <w:w w:val="105"/>
        </w:rPr>
        <w:t> </w:t>
      </w:r>
      <w:r>
        <w:rPr>
          <w:color w:val="231F20"/>
          <w:w w:val="105"/>
        </w:rPr>
        <w:t>representan el</w:t>
      </w:r>
      <w:r>
        <w:rPr>
          <w:color w:val="231F20"/>
          <w:spacing w:val="-23"/>
          <w:w w:val="105"/>
        </w:rPr>
        <w:t> </w:t>
      </w:r>
      <w:r>
        <w:rPr>
          <w:color w:val="231F20"/>
          <w:w w:val="105"/>
        </w:rPr>
        <w:t>43.4%</w:t>
      </w:r>
      <w:r>
        <w:rPr>
          <w:color w:val="231F20"/>
          <w:spacing w:val="-23"/>
          <w:w w:val="105"/>
        </w:rPr>
        <w:t> </w:t>
      </w:r>
      <w:r>
        <w:rPr>
          <w:color w:val="231F20"/>
          <w:w w:val="105"/>
        </w:rPr>
        <w:t>en</w:t>
      </w:r>
      <w:r>
        <w:rPr>
          <w:color w:val="231F20"/>
          <w:spacing w:val="-23"/>
          <w:w w:val="105"/>
        </w:rPr>
        <w:t> </w:t>
      </w:r>
      <w:r>
        <w:rPr>
          <w:color w:val="231F20"/>
          <w:w w:val="105"/>
        </w:rPr>
        <w:t>2012,</w:t>
      </w:r>
      <w:r>
        <w:rPr>
          <w:color w:val="231F20"/>
          <w:spacing w:val="-28"/>
          <w:w w:val="105"/>
        </w:rPr>
        <w:t> </w:t>
      </w:r>
      <w:r>
        <w:rPr>
          <w:color w:val="231F20"/>
          <w:w w:val="105"/>
        </w:rPr>
        <w:t>mientras</w:t>
      </w:r>
      <w:r>
        <w:rPr>
          <w:color w:val="231F20"/>
          <w:spacing w:val="-23"/>
          <w:w w:val="105"/>
        </w:rPr>
        <w:t> </w:t>
      </w:r>
      <w:r>
        <w:rPr>
          <w:color w:val="231F20"/>
          <w:w w:val="105"/>
        </w:rPr>
        <w:t>que</w:t>
      </w:r>
      <w:r>
        <w:rPr>
          <w:color w:val="231F20"/>
          <w:spacing w:val="-23"/>
          <w:w w:val="105"/>
        </w:rPr>
        <w:t> </w:t>
      </w:r>
      <w:r>
        <w:rPr>
          <w:color w:val="231F20"/>
          <w:w w:val="105"/>
        </w:rPr>
        <w:t>los</w:t>
      </w:r>
      <w:r>
        <w:rPr>
          <w:color w:val="231F20"/>
          <w:spacing w:val="-23"/>
          <w:w w:val="105"/>
        </w:rPr>
        <w:t> </w:t>
      </w:r>
      <w:r>
        <w:rPr>
          <w:color w:val="231F20"/>
          <w:w w:val="105"/>
        </w:rPr>
        <w:t>de</w:t>
      </w:r>
      <w:r>
        <w:rPr>
          <w:color w:val="231F20"/>
          <w:spacing w:val="-23"/>
          <w:w w:val="105"/>
        </w:rPr>
        <w:t> </w:t>
      </w:r>
      <w:r>
        <w:rPr>
          <w:color w:val="231F20"/>
          <w:w w:val="105"/>
        </w:rPr>
        <w:t>35</w:t>
      </w:r>
      <w:r>
        <w:rPr>
          <w:color w:val="231F20"/>
          <w:spacing w:val="-23"/>
          <w:w w:val="105"/>
        </w:rPr>
        <w:t> </w:t>
      </w:r>
      <w:r>
        <w:rPr>
          <w:color w:val="231F20"/>
          <w:w w:val="105"/>
        </w:rPr>
        <w:t>a</w:t>
      </w:r>
      <w:r>
        <w:rPr>
          <w:color w:val="231F20"/>
          <w:spacing w:val="-23"/>
          <w:w w:val="105"/>
        </w:rPr>
        <w:t> </w:t>
      </w:r>
      <w:r>
        <w:rPr>
          <w:color w:val="231F20"/>
          <w:w w:val="105"/>
        </w:rPr>
        <w:t>49</w:t>
      </w:r>
      <w:r>
        <w:rPr>
          <w:color w:val="231F20"/>
          <w:spacing w:val="-23"/>
          <w:w w:val="105"/>
        </w:rPr>
        <w:t> </w:t>
      </w:r>
      <w:r>
        <w:rPr>
          <w:color w:val="231F20"/>
          <w:w w:val="105"/>
        </w:rPr>
        <w:t>años</w:t>
      </w:r>
      <w:r>
        <w:rPr>
          <w:color w:val="231F20"/>
          <w:spacing w:val="-23"/>
          <w:w w:val="105"/>
        </w:rPr>
        <w:t> </w:t>
      </w:r>
      <w:r>
        <w:rPr>
          <w:color w:val="231F20"/>
          <w:w w:val="105"/>
        </w:rPr>
        <w:t>sumaban</w:t>
      </w:r>
      <w:r>
        <w:rPr>
          <w:color w:val="231F20"/>
          <w:spacing w:val="-23"/>
          <w:w w:val="105"/>
        </w:rPr>
        <w:t> </w:t>
      </w:r>
      <w:r>
        <w:rPr>
          <w:color w:val="231F20"/>
          <w:w w:val="105"/>
        </w:rPr>
        <w:t>el</w:t>
      </w:r>
      <w:r>
        <w:rPr>
          <w:color w:val="231F20"/>
          <w:spacing w:val="-23"/>
          <w:w w:val="105"/>
        </w:rPr>
        <w:t> </w:t>
      </w:r>
      <w:r>
        <w:rPr>
          <w:color w:val="231F20"/>
          <w:w w:val="105"/>
        </w:rPr>
        <w:t>31%.</w:t>
      </w:r>
      <w:r>
        <w:rPr>
          <w:color w:val="231F20"/>
          <w:spacing w:val="-28"/>
          <w:w w:val="105"/>
        </w:rPr>
        <w:t> </w:t>
      </w:r>
      <w:r>
        <w:rPr>
          <w:color w:val="231F20"/>
          <w:w w:val="105"/>
        </w:rPr>
        <w:t>Ello refleja</w:t>
      </w:r>
      <w:r>
        <w:rPr>
          <w:color w:val="231F20"/>
          <w:spacing w:val="-15"/>
          <w:w w:val="105"/>
        </w:rPr>
        <w:t> </w:t>
      </w:r>
      <w:r>
        <w:rPr>
          <w:color w:val="231F20"/>
          <w:w w:val="105"/>
        </w:rPr>
        <w:t>patrones</w:t>
      </w:r>
      <w:r>
        <w:rPr>
          <w:color w:val="231F20"/>
          <w:spacing w:val="-15"/>
          <w:w w:val="105"/>
        </w:rPr>
        <w:t> </w:t>
      </w:r>
      <w:r>
        <w:rPr>
          <w:color w:val="231F20"/>
          <w:w w:val="105"/>
        </w:rPr>
        <w:t>sociodemográficos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población</w:t>
      </w:r>
      <w:r>
        <w:rPr>
          <w:color w:val="231F20"/>
          <w:spacing w:val="-15"/>
          <w:w w:val="105"/>
        </w:rPr>
        <w:t> </w:t>
      </w:r>
      <w:r>
        <w:rPr>
          <w:color w:val="231F20"/>
          <w:w w:val="105"/>
        </w:rPr>
        <w:t>que</w:t>
      </w:r>
      <w:r>
        <w:rPr>
          <w:color w:val="231F20"/>
          <w:spacing w:val="-15"/>
          <w:w w:val="105"/>
        </w:rPr>
        <w:t> </w:t>
      </w:r>
      <w:r>
        <w:rPr>
          <w:color w:val="231F20"/>
          <w:w w:val="105"/>
        </w:rPr>
        <w:t>regresa</w:t>
      </w:r>
      <w:r>
        <w:rPr>
          <w:color w:val="231F20"/>
          <w:spacing w:val="-15"/>
          <w:w w:val="105"/>
        </w:rPr>
        <w:t> </w:t>
      </w:r>
      <w:r>
        <w:rPr>
          <w:color w:val="231F20"/>
          <w:w w:val="105"/>
        </w:rPr>
        <w:t>al</w:t>
      </w:r>
      <w:r>
        <w:rPr>
          <w:color w:val="231F20"/>
          <w:spacing w:val="-15"/>
          <w:w w:val="105"/>
        </w:rPr>
        <w:t> </w:t>
      </w:r>
      <w:r>
        <w:rPr>
          <w:color w:val="231F20"/>
          <w:w w:val="105"/>
        </w:rPr>
        <w:t>país</w:t>
      </w:r>
      <w:r>
        <w:rPr>
          <w:color w:val="231F20"/>
          <w:spacing w:val="-15"/>
          <w:w w:val="105"/>
        </w:rPr>
        <w:t> </w:t>
      </w:r>
      <w:r>
        <w:rPr>
          <w:color w:val="231F20"/>
          <w:w w:val="105"/>
        </w:rPr>
        <w:t>y la</w:t>
      </w:r>
      <w:r>
        <w:rPr>
          <w:color w:val="231F20"/>
          <w:spacing w:val="-14"/>
          <w:w w:val="105"/>
        </w:rPr>
        <w:t> </w:t>
      </w:r>
      <w:r>
        <w:rPr>
          <w:color w:val="231F20"/>
          <w:w w:val="105"/>
        </w:rPr>
        <w:t>importancia</w:t>
      </w:r>
      <w:r>
        <w:rPr>
          <w:color w:val="231F20"/>
          <w:spacing w:val="-14"/>
          <w:w w:val="105"/>
        </w:rPr>
        <w:t> </w:t>
      </w:r>
      <w:r>
        <w:rPr>
          <w:color w:val="231F20"/>
          <w:w w:val="105"/>
        </w:rPr>
        <w:t>de</w:t>
      </w:r>
      <w:r>
        <w:rPr>
          <w:color w:val="231F20"/>
          <w:spacing w:val="-14"/>
          <w:w w:val="105"/>
        </w:rPr>
        <w:t> </w:t>
      </w:r>
      <w:r>
        <w:rPr>
          <w:color w:val="231F20"/>
          <w:w w:val="105"/>
        </w:rPr>
        <w:t>estudiar</w:t>
      </w:r>
      <w:r>
        <w:rPr>
          <w:color w:val="231F20"/>
          <w:spacing w:val="-14"/>
          <w:w w:val="105"/>
        </w:rPr>
        <w:t> </w:t>
      </w:r>
      <w:r>
        <w:rPr>
          <w:color w:val="231F20"/>
          <w:w w:val="105"/>
        </w:rPr>
        <w:t>el</w:t>
      </w:r>
      <w:r>
        <w:rPr>
          <w:color w:val="231F20"/>
          <w:spacing w:val="-14"/>
          <w:w w:val="105"/>
        </w:rPr>
        <w:t> </w:t>
      </w:r>
      <w:r>
        <w:rPr>
          <w:color w:val="231F20"/>
          <w:w w:val="105"/>
        </w:rPr>
        <w:t>retorno</w:t>
      </w:r>
      <w:r>
        <w:rPr>
          <w:color w:val="231F20"/>
          <w:spacing w:val="-14"/>
          <w:w w:val="105"/>
        </w:rPr>
        <w:t> </w:t>
      </w:r>
      <w:r>
        <w:rPr>
          <w:color w:val="231F20"/>
          <w:w w:val="105"/>
        </w:rPr>
        <w:t>por</w:t>
      </w:r>
      <w:r>
        <w:rPr>
          <w:color w:val="231F20"/>
          <w:spacing w:val="-14"/>
          <w:w w:val="105"/>
        </w:rPr>
        <w:t> </w:t>
      </w:r>
      <w:r>
        <w:rPr>
          <w:color w:val="231F20"/>
          <w:w w:val="105"/>
        </w:rPr>
        <w:t>su</w:t>
      </w:r>
      <w:r>
        <w:rPr>
          <w:color w:val="231F20"/>
          <w:spacing w:val="-14"/>
          <w:w w:val="105"/>
        </w:rPr>
        <w:t> </w:t>
      </w:r>
      <w:r>
        <w:rPr>
          <w:color w:val="231F20"/>
          <w:w w:val="105"/>
        </w:rPr>
        <w:t>relevancia</w:t>
      </w:r>
      <w:r>
        <w:rPr>
          <w:color w:val="231F20"/>
          <w:spacing w:val="-14"/>
          <w:w w:val="105"/>
        </w:rPr>
        <w:t> </w:t>
      </w:r>
      <w:r>
        <w:rPr>
          <w:color w:val="231F20"/>
          <w:w w:val="105"/>
        </w:rPr>
        <w:t>social.</w:t>
      </w:r>
    </w:p>
    <w:p>
      <w:pPr>
        <w:pStyle w:val="BodyText"/>
        <w:spacing w:before="1"/>
        <w:ind w:left="1723"/>
      </w:pPr>
      <w:r>
        <w:rPr>
          <w:color w:val="231F20"/>
          <w:w w:val="105"/>
        </w:rPr>
        <w:t>En el caso 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62976" from="131.551193pt,.203715pt" to="131.551193pt,36.006114pt" stroked="true" strokeweight=".35pt" strokecolor="#231f20">
            <w10:wrap type="none"/>
          </v:line>
        </w:pict>
      </w:r>
      <w:r>
        <w:rPr/>
        <w:pict>
          <v:line style="position:absolute;mso-position-horizontal-relative:page;mso-position-vertical-relative:paragraph;z-index:-462904" from="15pt,36.005917pt" to="0pt,36.005917pt" stroked="true" strokeweight=".25pt" strokecolor="#000000">
            <w10:wrap type="none"/>
          </v:line>
        </w:pict>
      </w:r>
      <w:r>
        <w:rPr/>
        <w:pict>
          <v:line style="position:absolute;mso-position-horizontal-relative:page;mso-position-vertical-relative:paragraph;z-index:27304" from="508.890015pt,36.005917pt" to="523.890015pt,36.005917pt" stroked="true" strokeweight=".25pt" strokecolor="#000000">
            <w10:wrap type="none"/>
          </v:line>
        </w:pict>
      </w:r>
      <w:r>
        <w:rPr>
          <w:rFonts w:ascii="Arial" w:hAnsi="Arial"/>
          <w:color w:val="414042"/>
          <w:w w:val="105"/>
          <w:position w:val="-5"/>
          <w:sz w:val="20"/>
        </w:rPr>
        <w:t>220</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7328"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7352" from="15pt,-28.286539pt" to="0pt,-28.286539pt" stroked="true" strokeweight=".25pt" strokecolor="#000000">
            <w10:wrap type="none"/>
          </v:line>
        </w:pict>
      </w:r>
      <w:r>
        <w:rPr/>
        <w:pict>
          <v:line style="position:absolute;mso-position-horizontal-relative:page;mso-position-vertical-relative:paragraph;z-index:27376" from="508.890015pt,-28.286539pt" to="523.890015pt,-28.286539pt" stroked="true" strokeweight=".25pt" strokecolor="#000000">
            <w10:wrap type="none"/>
          </v:line>
        </w:pict>
      </w:r>
      <w:r>
        <w:rPr>
          <w:rFonts w:ascii="Arial"/>
          <w:color w:val="414042"/>
          <w:sz w:val="20"/>
        </w:rPr>
        <w:t>221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18"/>
        </w:rPr>
      </w:pPr>
    </w:p>
    <w:p>
      <w:pPr>
        <w:spacing w:line="254" w:lineRule="auto" w:before="66"/>
        <w:ind w:left="2971" w:right="1721" w:firstLine="0"/>
        <w:jc w:val="both"/>
        <w:rPr>
          <w:sz w:val="18"/>
        </w:rPr>
      </w:pPr>
      <w:r>
        <w:rPr>
          <w:color w:val="231F20"/>
          <w:w w:val="105"/>
          <w:sz w:val="18"/>
        </w:rPr>
        <w:t>se</w:t>
      </w:r>
      <w:r>
        <w:rPr>
          <w:color w:val="231F20"/>
          <w:spacing w:val="-4"/>
          <w:w w:val="105"/>
          <w:sz w:val="18"/>
        </w:rPr>
        <w:t> </w:t>
      </w:r>
      <w:r>
        <w:rPr>
          <w:color w:val="231F20"/>
          <w:w w:val="105"/>
          <w:sz w:val="18"/>
        </w:rPr>
        <w:t>puede</w:t>
      </w:r>
      <w:r>
        <w:rPr>
          <w:color w:val="231F20"/>
          <w:spacing w:val="-4"/>
          <w:w w:val="105"/>
          <w:sz w:val="18"/>
        </w:rPr>
        <w:t> </w:t>
      </w:r>
      <w:r>
        <w:rPr>
          <w:color w:val="231F20"/>
          <w:w w:val="105"/>
          <w:sz w:val="18"/>
        </w:rPr>
        <w:t>determinar</w:t>
      </w:r>
      <w:r>
        <w:rPr>
          <w:color w:val="231F20"/>
          <w:spacing w:val="-4"/>
          <w:w w:val="105"/>
          <w:sz w:val="18"/>
        </w:rPr>
        <w:t> </w:t>
      </w:r>
      <w:r>
        <w:rPr>
          <w:color w:val="231F20"/>
          <w:w w:val="105"/>
          <w:sz w:val="18"/>
        </w:rPr>
        <w:t>que</w:t>
      </w:r>
      <w:r>
        <w:rPr>
          <w:color w:val="231F20"/>
          <w:spacing w:val="-4"/>
          <w:w w:val="105"/>
          <w:sz w:val="18"/>
        </w:rPr>
        <w:t> </w:t>
      </w:r>
      <w:r>
        <w:rPr>
          <w:color w:val="231F20"/>
          <w:w w:val="105"/>
          <w:sz w:val="18"/>
        </w:rPr>
        <w:t>existen</w:t>
      </w:r>
      <w:r>
        <w:rPr>
          <w:color w:val="231F20"/>
          <w:spacing w:val="-4"/>
          <w:w w:val="105"/>
          <w:sz w:val="18"/>
        </w:rPr>
        <w:t> </w:t>
      </w:r>
      <w:r>
        <w:rPr>
          <w:color w:val="231F20"/>
          <w:w w:val="105"/>
          <w:sz w:val="18"/>
        </w:rPr>
        <w:t>retornos,</w:t>
      </w:r>
      <w:r>
        <w:rPr>
          <w:color w:val="231F20"/>
          <w:spacing w:val="-8"/>
          <w:w w:val="105"/>
          <w:sz w:val="18"/>
        </w:rPr>
        <w:t> </w:t>
      </w:r>
      <w:r>
        <w:rPr>
          <w:color w:val="231F20"/>
          <w:w w:val="105"/>
          <w:sz w:val="18"/>
        </w:rPr>
        <w:t>pero</w:t>
      </w:r>
      <w:r>
        <w:rPr>
          <w:color w:val="231F20"/>
          <w:spacing w:val="-4"/>
          <w:w w:val="105"/>
          <w:sz w:val="18"/>
        </w:rPr>
        <w:t> </w:t>
      </w:r>
      <w:r>
        <w:rPr>
          <w:color w:val="231F20"/>
          <w:w w:val="105"/>
          <w:sz w:val="18"/>
        </w:rPr>
        <w:t>no</w:t>
      </w:r>
      <w:r>
        <w:rPr>
          <w:color w:val="231F20"/>
          <w:spacing w:val="-4"/>
          <w:w w:val="105"/>
          <w:sz w:val="18"/>
        </w:rPr>
        <w:t> </w:t>
      </w:r>
      <w:r>
        <w:rPr>
          <w:color w:val="231F20"/>
          <w:w w:val="105"/>
          <w:sz w:val="18"/>
        </w:rPr>
        <w:t>son</w:t>
      </w:r>
      <w:r>
        <w:rPr>
          <w:color w:val="231F20"/>
          <w:spacing w:val="-4"/>
          <w:w w:val="105"/>
          <w:sz w:val="18"/>
        </w:rPr>
        <w:t> </w:t>
      </w:r>
      <w:r>
        <w:rPr>
          <w:color w:val="231F20"/>
          <w:w w:val="105"/>
          <w:sz w:val="18"/>
        </w:rPr>
        <w:t>masivos;</w:t>
      </w:r>
      <w:r>
        <w:rPr>
          <w:color w:val="231F20"/>
          <w:spacing w:val="-4"/>
          <w:w w:val="105"/>
          <w:sz w:val="18"/>
        </w:rPr>
        <w:t> </w:t>
      </w:r>
      <w:r>
        <w:rPr>
          <w:color w:val="231F20"/>
          <w:w w:val="105"/>
          <w:sz w:val="18"/>
        </w:rPr>
        <w:t>ape- nas</w:t>
      </w:r>
      <w:r>
        <w:rPr>
          <w:color w:val="231F20"/>
          <w:spacing w:val="-12"/>
          <w:w w:val="105"/>
          <w:sz w:val="18"/>
        </w:rPr>
        <w:t> </w:t>
      </w:r>
      <w:r>
        <w:rPr>
          <w:color w:val="231F20"/>
          <w:w w:val="105"/>
          <w:sz w:val="18"/>
        </w:rPr>
        <w:t>49</w:t>
      </w:r>
      <w:r>
        <w:rPr>
          <w:color w:val="231F20"/>
          <w:spacing w:val="-12"/>
          <w:w w:val="105"/>
          <w:sz w:val="18"/>
        </w:rPr>
        <w:t> </w:t>
      </w:r>
      <w:r>
        <w:rPr>
          <w:color w:val="231F20"/>
          <w:w w:val="105"/>
          <w:sz w:val="18"/>
        </w:rPr>
        <w:t>mil</w:t>
      </w:r>
      <w:r>
        <w:rPr>
          <w:color w:val="231F20"/>
          <w:spacing w:val="-12"/>
          <w:w w:val="105"/>
          <w:sz w:val="18"/>
        </w:rPr>
        <w:t> </w:t>
      </w:r>
      <w:r>
        <w:rPr>
          <w:color w:val="231F20"/>
          <w:w w:val="105"/>
          <w:sz w:val="18"/>
        </w:rPr>
        <w:t>personas</w:t>
      </w:r>
      <w:r>
        <w:rPr>
          <w:color w:val="231F20"/>
          <w:spacing w:val="-12"/>
          <w:w w:val="105"/>
          <w:sz w:val="18"/>
        </w:rPr>
        <w:t> </w:t>
      </w:r>
      <w:r>
        <w:rPr>
          <w:color w:val="231F20"/>
          <w:w w:val="105"/>
          <w:sz w:val="18"/>
        </w:rPr>
        <w:t>en</w:t>
      </w:r>
      <w:r>
        <w:rPr>
          <w:color w:val="231F20"/>
          <w:spacing w:val="-12"/>
          <w:w w:val="105"/>
          <w:sz w:val="18"/>
        </w:rPr>
        <w:t> </w:t>
      </w:r>
      <w:r>
        <w:rPr>
          <w:color w:val="231F20"/>
          <w:w w:val="105"/>
          <w:sz w:val="18"/>
        </w:rPr>
        <w:t>promedio</w:t>
      </w:r>
      <w:r>
        <w:rPr>
          <w:color w:val="231F20"/>
          <w:spacing w:val="-12"/>
          <w:w w:val="105"/>
          <w:sz w:val="18"/>
        </w:rPr>
        <w:t> </w:t>
      </w:r>
      <w:r>
        <w:rPr>
          <w:color w:val="231F20"/>
          <w:w w:val="105"/>
          <w:sz w:val="18"/>
        </w:rPr>
        <w:t>podrían</w:t>
      </w:r>
      <w:r>
        <w:rPr>
          <w:color w:val="231F20"/>
          <w:spacing w:val="-12"/>
          <w:w w:val="105"/>
          <w:sz w:val="18"/>
        </w:rPr>
        <w:t> </w:t>
      </w:r>
      <w:r>
        <w:rPr>
          <w:color w:val="231F20"/>
          <w:w w:val="105"/>
          <w:sz w:val="18"/>
        </w:rPr>
        <w:t>retornar</w:t>
      </w:r>
      <w:r>
        <w:rPr>
          <w:color w:val="231F20"/>
          <w:spacing w:val="-12"/>
          <w:w w:val="105"/>
          <w:sz w:val="18"/>
        </w:rPr>
        <w:t> </w:t>
      </w:r>
      <w:r>
        <w:rPr>
          <w:color w:val="231F20"/>
          <w:w w:val="105"/>
          <w:sz w:val="18"/>
        </w:rPr>
        <w:t>anualmente</w:t>
      </w:r>
      <w:r>
        <w:rPr>
          <w:color w:val="231F20"/>
          <w:spacing w:val="-12"/>
          <w:w w:val="105"/>
          <w:sz w:val="18"/>
        </w:rPr>
        <w:t> </w:t>
      </w:r>
      <w:r>
        <w:rPr>
          <w:color w:val="231F20"/>
          <w:w w:val="105"/>
          <w:sz w:val="18"/>
        </w:rPr>
        <w:t>a</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en- tidad,</w:t>
      </w:r>
      <w:r>
        <w:rPr>
          <w:color w:val="231F20"/>
          <w:spacing w:val="-9"/>
          <w:w w:val="105"/>
          <w:sz w:val="18"/>
        </w:rPr>
        <w:t> </w:t>
      </w:r>
      <w:r>
        <w:rPr>
          <w:color w:val="231F20"/>
          <w:w w:val="105"/>
          <w:sz w:val="18"/>
        </w:rPr>
        <w:t>menos</w:t>
      </w:r>
      <w:r>
        <w:rPr>
          <w:color w:val="231F20"/>
          <w:spacing w:val="-4"/>
          <w:w w:val="105"/>
          <w:sz w:val="18"/>
        </w:rPr>
        <w:t> </w:t>
      </w:r>
      <w:r>
        <w:rPr>
          <w:color w:val="231F20"/>
          <w:w w:val="105"/>
          <w:sz w:val="18"/>
        </w:rPr>
        <w:t>de</w:t>
      </w:r>
      <w:r>
        <w:rPr>
          <w:color w:val="231F20"/>
          <w:spacing w:val="-4"/>
          <w:w w:val="105"/>
          <w:sz w:val="18"/>
        </w:rPr>
        <w:t> </w:t>
      </w:r>
      <w:r>
        <w:rPr>
          <w:color w:val="231F20"/>
          <w:w w:val="105"/>
          <w:sz w:val="18"/>
        </w:rPr>
        <w:t>la</w:t>
      </w:r>
      <w:r>
        <w:rPr>
          <w:color w:val="231F20"/>
          <w:spacing w:val="-4"/>
          <w:w w:val="105"/>
          <w:sz w:val="18"/>
        </w:rPr>
        <w:t> </w:t>
      </w:r>
      <w:r>
        <w:rPr>
          <w:color w:val="231F20"/>
          <w:w w:val="105"/>
          <w:sz w:val="18"/>
        </w:rPr>
        <w:t>mitad</w:t>
      </w:r>
      <w:r>
        <w:rPr>
          <w:color w:val="231F20"/>
          <w:spacing w:val="-4"/>
          <w:w w:val="105"/>
          <w:sz w:val="18"/>
        </w:rPr>
        <w:t> </w:t>
      </w:r>
      <w:r>
        <w:rPr>
          <w:color w:val="231F20"/>
          <w:w w:val="105"/>
          <w:sz w:val="18"/>
        </w:rPr>
        <w:t>proyectada</w:t>
      </w:r>
      <w:r>
        <w:rPr>
          <w:color w:val="231F20"/>
          <w:spacing w:val="-4"/>
          <w:w w:val="105"/>
          <w:sz w:val="18"/>
        </w:rPr>
        <w:t> </w:t>
      </w:r>
      <w:r>
        <w:rPr>
          <w:color w:val="231F20"/>
          <w:w w:val="105"/>
          <w:sz w:val="18"/>
        </w:rPr>
        <w:t>por</w:t>
      </w:r>
      <w:r>
        <w:rPr>
          <w:color w:val="231F20"/>
          <w:spacing w:val="-4"/>
          <w:w w:val="105"/>
          <w:sz w:val="18"/>
        </w:rPr>
        <w:t> </w:t>
      </w:r>
      <w:r>
        <w:rPr>
          <w:color w:val="231F20"/>
          <w:w w:val="105"/>
          <w:sz w:val="18"/>
        </w:rPr>
        <w:t>la</w:t>
      </w:r>
      <w:r>
        <w:rPr>
          <w:color w:val="231F20"/>
          <w:spacing w:val="-4"/>
          <w:w w:val="105"/>
          <w:sz w:val="18"/>
        </w:rPr>
        <w:t> </w:t>
      </w:r>
      <w:r>
        <w:rPr>
          <w:color w:val="231F20"/>
          <w:w w:val="105"/>
          <w:sz w:val="18"/>
        </w:rPr>
        <w:t>Comisión</w:t>
      </w:r>
      <w:r>
        <w:rPr>
          <w:color w:val="231F20"/>
          <w:spacing w:val="-4"/>
          <w:w w:val="105"/>
          <w:sz w:val="18"/>
        </w:rPr>
        <w:t> </w:t>
      </w:r>
      <w:r>
        <w:rPr>
          <w:color w:val="231F20"/>
          <w:w w:val="105"/>
          <w:sz w:val="18"/>
        </w:rPr>
        <w:t>Económica</w:t>
      </w:r>
      <w:r>
        <w:rPr>
          <w:color w:val="231F20"/>
          <w:spacing w:val="-4"/>
          <w:w w:val="105"/>
          <w:sz w:val="18"/>
        </w:rPr>
        <w:t> </w:t>
      </w:r>
      <w:r>
        <w:rPr>
          <w:color w:val="231F20"/>
          <w:w w:val="105"/>
          <w:sz w:val="18"/>
        </w:rPr>
        <w:t>para América</w:t>
      </w:r>
      <w:r>
        <w:rPr>
          <w:color w:val="231F20"/>
          <w:spacing w:val="-27"/>
          <w:w w:val="105"/>
          <w:sz w:val="18"/>
        </w:rPr>
        <w:t> </w:t>
      </w:r>
      <w:r>
        <w:rPr>
          <w:color w:val="231F20"/>
          <w:w w:val="105"/>
          <w:sz w:val="18"/>
        </w:rPr>
        <w:t>Latina</w:t>
      </w:r>
      <w:r>
        <w:rPr>
          <w:color w:val="231F20"/>
          <w:spacing w:val="-27"/>
          <w:w w:val="105"/>
          <w:sz w:val="18"/>
        </w:rPr>
        <w:t> </w:t>
      </w:r>
      <w:r>
        <w:rPr>
          <w:color w:val="231F20"/>
          <w:w w:val="105"/>
          <w:sz w:val="18"/>
        </w:rPr>
        <w:t>y</w:t>
      </w:r>
      <w:r>
        <w:rPr>
          <w:color w:val="231F20"/>
          <w:spacing w:val="-27"/>
          <w:w w:val="105"/>
          <w:sz w:val="18"/>
        </w:rPr>
        <w:t> </w:t>
      </w:r>
      <w:r>
        <w:rPr>
          <w:color w:val="231F20"/>
          <w:w w:val="105"/>
          <w:sz w:val="18"/>
        </w:rPr>
        <w:t>el</w:t>
      </w:r>
      <w:r>
        <w:rPr>
          <w:color w:val="231F20"/>
          <w:spacing w:val="-27"/>
          <w:w w:val="105"/>
          <w:sz w:val="18"/>
        </w:rPr>
        <w:t> </w:t>
      </w:r>
      <w:r>
        <w:rPr>
          <w:color w:val="231F20"/>
          <w:w w:val="105"/>
          <w:sz w:val="18"/>
        </w:rPr>
        <w:t>Caribe,</w:t>
      </w:r>
      <w:r>
        <w:rPr>
          <w:color w:val="231F20"/>
          <w:spacing w:val="-30"/>
          <w:w w:val="105"/>
          <w:sz w:val="18"/>
        </w:rPr>
        <w:t> </w:t>
      </w:r>
      <w:r>
        <w:rPr>
          <w:color w:val="231F20"/>
          <w:w w:val="105"/>
          <w:sz w:val="15"/>
        </w:rPr>
        <w:t>CEPAL</w:t>
      </w:r>
      <w:r>
        <w:rPr>
          <w:color w:val="231F20"/>
          <w:w w:val="105"/>
          <w:sz w:val="18"/>
        </w:rPr>
        <w:t>.</w:t>
      </w:r>
      <w:r>
        <w:rPr>
          <w:color w:val="231F20"/>
          <w:spacing w:val="-30"/>
          <w:w w:val="105"/>
          <w:sz w:val="18"/>
        </w:rPr>
        <w:t> </w:t>
      </w:r>
      <w:r>
        <w:rPr>
          <w:color w:val="231F20"/>
          <w:w w:val="105"/>
          <w:sz w:val="18"/>
        </w:rPr>
        <w:t>Los</w:t>
      </w:r>
      <w:r>
        <w:rPr>
          <w:color w:val="231F20"/>
          <w:spacing w:val="-27"/>
          <w:w w:val="105"/>
          <w:sz w:val="18"/>
        </w:rPr>
        <w:t> </w:t>
      </w:r>
      <w:r>
        <w:rPr>
          <w:color w:val="231F20"/>
          <w:w w:val="105"/>
          <w:sz w:val="18"/>
        </w:rPr>
        <w:t>retornos</w:t>
      </w:r>
      <w:r>
        <w:rPr>
          <w:color w:val="231F20"/>
          <w:spacing w:val="-27"/>
          <w:w w:val="105"/>
          <w:sz w:val="18"/>
        </w:rPr>
        <w:t> </w:t>
      </w:r>
      <w:r>
        <w:rPr>
          <w:color w:val="231F20"/>
          <w:w w:val="105"/>
          <w:sz w:val="18"/>
        </w:rPr>
        <w:t>implican</w:t>
      </w:r>
      <w:r>
        <w:rPr>
          <w:color w:val="231F20"/>
          <w:spacing w:val="-27"/>
          <w:w w:val="105"/>
          <w:sz w:val="18"/>
        </w:rPr>
        <w:t> </w:t>
      </w:r>
      <w:r>
        <w:rPr>
          <w:color w:val="231F20"/>
          <w:w w:val="105"/>
          <w:sz w:val="18"/>
        </w:rPr>
        <w:t>la</w:t>
      </w:r>
      <w:r>
        <w:rPr>
          <w:color w:val="231F20"/>
          <w:spacing w:val="-27"/>
          <w:w w:val="105"/>
          <w:sz w:val="18"/>
        </w:rPr>
        <w:t> </w:t>
      </w:r>
      <w:r>
        <w:rPr>
          <w:color w:val="231F20"/>
          <w:w w:val="105"/>
          <w:sz w:val="18"/>
        </w:rPr>
        <w:t>existencia</w:t>
      </w:r>
      <w:r>
        <w:rPr>
          <w:color w:val="231F20"/>
          <w:spacing w:val="-27"/>
          <w:w w:val="105"/>
          <w:sz w:val="18"/>
        </w:rPr>
        <w:t> </w:t>
      </w:r>
      <w:r>
        <w:rPr>
          <w:color w:val="231F20"/>
          <w:w w:val="105"/>
          <w:sz w:val="18"/>
        </w:rPr>
        <w:t>de marchas</w:t>
      </w:r>
      <w:r>
        <w:rPr>
          <w:color w:val="231F20"/>
          <w:spacing w:val="-17"/>
          <w:w w:val="105"/>
          <w:sz w:val="18"/>
        </w:rPr>
        <w:t> </w:t>
      </w:r>
      <w:r>
        <w:rPr>
          <w:color w:val="231F20"/>
          <w:w w:val="105"/>
          <w:sz w:val="18"/>
        </w:rPr>
        <w:t>previas,</w:t>
      </w:r>
      <w:r>
        <w:rPr>
          <w:color w:val="231F20"/>
          <w:spacing w:val="-20"/>
          <w:w w:val="105"/>
          <w:sz w:val="18"/>
        </w:rPr>
        <w:t> </w:t>
      </w:r>
      <w:r>
        <w:rPr>
          <w:color w:val="231F20"/>
          <w:w w:val="105"/>
          <w:sz w:val="18"/>
        </w:rPr>
        <w:t>las</w:t>
      </w:r>
      <w:r>
        <w:rPr>
          <w:color w:val="231F20"/>
          <w:spacing w:val="-17"/>
          <w:w w:val="105"/>
          <w:sz w:val="18"/>
        </w:rPr>
        <w:t> </w:t>
      </w:r>
      <w:r>
        <w:rPr>
          <w:color w:val="231F20"/>
          <w:w w:val="105"/>
          <w:sz w:val="18"/>
        </w:rPr>
        <w:t>condiciones</w:t>
      </w:r>
      <w:r>
        <w:rPr>
          <w:color w:val="231F20"/>
          <w:spacing w:val="-17"/>
          <w:w w:val="105"/>
          <w:sz w:val="18"/>
        </w:rPr>
        <w:t> </w:t>
      </w:r>
      <w:r>
        <w:rPr>
          <w:color w:val="231F20"/>
          <w:w w:val="105"/>
          <w:sz w:val="18"/>
        </w:rPr>
        <w:t>económicas,</w:t>
      </w:r>
      <w:r>
        <w:rPr>
          <w:color w:val="231F20"/>
          <w:spacing w:val="-20"/>
          <w:w w:val="105"/>
          <w:sz w:val="18"/>
        </w:rPr>
        <w:t> </w:t>
      </w:r>
      <w:r>
        <w:rPr>
          <w:color w:val="231F20"/>
          <w:w w:val="105"/>
          <w:sz w:val="18"/>
        </w:rPr>
        <w:t>sociales,</w:t>
      </w:r>
      <w:r>
        <w:rPr>
          <w:color w:val="231F20"/>
          <w:spacing w:val="-20"/>
          <w:w w:val="105"/>
          <w:sz w:val="18"/>
        </w:rPr>
        <w:t> </w:t>
      </w:r>
      <w:r>
        <w:rPr>
          <w:color w:val="231F20"/>
          <w:w w:val="105"/>
          <w:sz w:val="18"/>
        </w:rPr>
        <w:t>y</w:t>
      </w:r>
      <w:r>
        <w:rPr>
          <w:color w:val="231F20"/>
          <w:spacing w:val="-17"/>
          <w:w w:val="105"/>
          <w:sz w:val="18"/>
        </w:rPr>
        <w:t> </w:t>
      </w:r>
      <w:r>
        <w:rPr>
          <w:color w:val="231F20"/>
          <w:w w:val="105"/>
          <w:sz w:val="18"/>
        </w:rPr>
        <w:t>el</w:t>
      </w:r>
      <w:r>
        <w:rPr>
          <w:color w:val="231F20"/>
          <w:spacing w:val="-17"/>
          <w:w w:val="105"/>
          <w:sz w:val="18"/>
        </w:rPr>
        <w:t> </w:t>
      </w:r>
      <w:r>
        <w:rPr>
          <w:color w:val="231F20"/>
          <w:w w:val="105"/>
          <w:sz w:val="18"/>
        </w:rPr>
        <w:t>clima</w:t>
      </w:r>
      <w:r>
        <w:rPr>
          <w:color w:val="231F20"/>
          <w:spacing w:val="-17"/>
          <w:w w:val="105"/>
          <w:sz w:val="18"/>
        </w:rPr>
        <w:t> </w:t>
      </w:r>
      <w:r>
        <w:rPr>
          <w:color w:val="231F20"/>
          <w:w w:val="105"/>
          <w:sz w:val="18"/>
        </w:rPr>
        <w:t>anti- inmigrante que existe en </w:t>
      </w:r>
      <w:r>
        <w:rPr>
          <w:color w:val="231F20"/>
          <w:w w:val="105"/>
          <w:sz w:val="15"/>
        </w:rPr>
        <w:t>EU </w:t>
      </w:r>
      <w:r>
        <w:rPr>
          <w:color w:val="231F20"/>
          <w:w w:val="105"/>
          <w:sz w:val="18"/>
        </w:rPr>
        <w:t>están desmotivando también las salidas desde</w:t>
      </w:r>
      <w:r>
        <w:rPr>
          <w:color w:val="231F20"/>
          <w:spacing w:val="-23"/>
          <w:w w:val="105"/>
          <w:sz w:val="18"/>
        </w:rPr>
        <w:t> </w:t>
      </w:r>
      <w:r>
        <w:rPr>
          <w:color w:val="231F20"/>
          <w:w w:val="105"/>
          <w:sz w:val="18"/>
        </w:rPr>
        <w:t>México</w:t>
      </w:r>
      <w:r>
        <w:rPr>
          <w:color w:val="231F20"/>
          <w:spacing w:val="-23"/>
          <w:w w:val="105"/>
          <w:sz w:val="18"/>
        </w:rPr>
        <w:t> </w:t>
      </w:r>
      <w:r>
        <w:rPr>
          <w:color w:val="231F20"/>
          <w:w w:val="105"/>
          <w:sz w:val="18"/>
        </w:rPr>
        <w:t>(Montoya,</w:t>
      </w:r>
      <w:r>
        <w:rPr>
          <w:color w:val="231F20"/>
          <w:spacing w:val="-27"/>
          <w:w w:val="105"/>
          <w:sz w:val="18"/>
        </w:rPr>
        <w:t> </w:t>
      </w:r>
      <w:r>
        <w:rPr>
          <w:color w:val="231F20"/>
          <w:w w:val="105"/>
          <w:sz w:val="18"/>
        </w:rPr>
        <w:t>Salas</w:t>
      </w:r>
      <w:r>
        <w:rPr>
          <w:color w:val="231F20"/>
          <w:spacing w:val="-23"/>
          <w:w w:val="105"/>
          <w:sz w:val="18"/>
        </w:rPr>
        <w:t> </w:t>
      </w:r>
      <w:r>
        <w:rPr>
          <w:color w:val="231F20"/>
          <w:w w:val="105"/>
          <w:sz w:val="18"/>
        </w:rPr>
        <w:t>y</w:t>
      </w:r>
      <w:r>
        <w:rPr>
          <w:color w:val="231F20"/>
          <w:spacing w:val="-23"/>
          <w:w w:val="105"/>
          <w:sz w:val="18"/>
        </w:rPr>
        <w:t> </w:t>
      </w:r>
      <w:r>
        <w:rPr>
          <w:color w:val="231F20"/>
          <w:w w:val="105"/>
          <w:sz w:val="18"/>
        </w:rPr>
        <w:t>Soberón,</w:t>
      </w:r>
      <w:r>
        <w:rPr>
          <w:color w:val="231F20"/>
          <w:spacing w:val="-27"/>
          <w:w w:val="105"/>
          <w:sz w:val="18"/>
        </w:rPr>
        <w:t> </w:t>
      </w:r>
      <w:r>
        <w:rPr>
          <w:color w:val="231F20"/>
          <w:w w:val="105"/>
          <w:sz w:val="18"/>
        </w:rPr>
        <w:t>2011:</w:t>
      </w:r>
      <w:r>
        <w:rPr>
          <w:color w:val="231F20"/>
          <w:spacing w:val="-23"/>
          <w:w w:val="105"/>
          <w:sz w:val="18"/>
        </w:rPr>
        <w:t> </w:t>
      </w:r>
      <w:r>
        <w:rPr>
          <w:color w:val="231F20"/>
          <w:w w:val="105"/>
          <w:sz w:val="18"/>
        </w:rPr>
        <w:t>162).</w:t>
      </w:r>
    </w:p>
    <w:p>
      <w:pPr>
        <w:pStyle w:val="BodyText"/>
        <w:spacing w:before="5"/>
      </w:pPr>
    </w:p>
    <w:p>
      <w:pPr>
        <w:pStyle w:val="BodyText"/>
        <w:spacing w:line="261" w:lineRule="auto"/>
        <w:ind w:left="1837" w:right="1715"/>
        <w:jc w:val="both"/>
      </w:pPr>
      <w:r>
        <w:rPr>
          <w:color w:val="231F20"/>
          <w:w w:val="105"/>
        </w:rPr>
        <w:t>A pesar de que los retornos de Estados Unidos a México no suscitaron las</w:t>
      </w:r>
      <w:r>
        <w:rPr>
          <w:color w:val="231F20"/>
          <w:spacing w:val="-9"/>
          <w:w w:val="105"/>
        </w:rPr>
        <w:t> </w:t>
      </w:r>
      <w:r>
        <w:rPr>
          <w:color w:val="231F20"/>
          <w:w w:val="105"/>
        </w:rPr>
        <w:t>magnitudes</w:t>
      </w:r>
      <w:r>
        <w:rPr>
          <w:color w:val="231F20"/>
          <w:spacing w:val="-9"/>
          <w:w w:val="105"/>
        </w:rPr>
        <w:t> </w:t>
      </w:r>
      <w:r>
        <w:rPr>
          <w:color w:val="231F20"/>
          <w:w w:val="105"/>
        </w:rPr>
        <w:t>proyectadas</w:t>
      </w:r>
      <w:r>
        <w:rPr>
          <w:color w:val="231F20"/>
          <w:spacing w:val="-9"/>
          <w:w w:val="105"/>
        </w:rPr>
        <w:t> </w:t>
      </w:r>
      <w:r>
        <w:rPr>
          <w:color w:val="231F20"/>
          <w:w w:val="105"/>
        </w:rPr>
        <w:t>por</w:t>
      </w:r>
      <w:r>
        <w:rPr>
          <w:color w:val="231F20"/>
          <w:spacing w:val="-9"/>
          <w:w w:val="105"/>
        </w:rPr>
        <w:t> </w:t>
      </w:r>
      <w:r>
        <w:rPr>
          <w:color w:val="231F20"/>
          <w:w w:val="105"/>
        </w:rPr>
        <w:t>organismos</w:t>
      </w:r>
      <w:r>
        <w:rPr>
          <w:color w:val="231F20"/>
          <w:spacing w:val="-9"/>
          <w:w w:val="105"/>
        </w:rPr>
        <w:t> </w:t>
      </w:r>
      <w:r>
        <w:rPr>
          <w:color w:val="231F20"/>
          <w:w w:val="105"/>
        </w:rPr>
        <w:t>públicos,</w:t>
      </w:r>
      <w:r>
        <w:rPr>
          <w:color w:val="231F20"/>
          <w:spacing w:val="-14"/>
          <w:w w:val="105"/>
        </w:rPr>
        <w:t> </w:t>
      </w:r>
      <w:r>
        <w:rPr>
          <w:color w:val="231F20"/>
          <w:w w:val="105"/>
        </w:rPr>
        <w:t>su</w:t>
      </w:r>
      <w:r>
        <w:rPr>
          <w:color w:val="231F20"/>
          <w:spacing w:val="-9"/>
          <w:w w:val="105"/>
        </w:rPr>
        <w:t> </w:t>
      </w:r>
      <w:r>
        <w:rPr>
          <w:color w:val="231F20"/>
          <w:w w:val="105"/>
        </w:rPr>
        <w:t>estudio</w:t>
      </w:r>
      <w:r>
        <w:rPr>
          <w:color w:val="231F20"/>
          <w:spacing w:val="-9"/>
          <w:w w:val="105"/>
        </w:rPr>
        <w:t> </w:t>
      </w:r>
      <w:r>
        <w:rPr>
          <w:color w:val="231F20"/>
          <w:w w:val="105"/>
        </w:rPr>
        <w:t>adqui- rió</w:t>
      </w:r>
      <w:r>
        <w:rPr>
          <w:color w:val="231F20"/>
          <w:spacing w:val="-12"/>
          <w:w w:val="105"/>
        </w:rPr>
        <w:t> </w:t>
      </w:r>
      <w:r>
        <w:rPr>
          <w:color w:val="231F20"/>
          <w:w w:val="105"/>
        </w:rPr>
        <w:t>relevancia</w:t>
      </w:r>
      <w:r>
        <w:rPr>
          <w:color w:val="231F20"/>
          <w:spacing w:val="-12"/>
          <w:w w:val="105"/>
        </w:rPr>
        <w:t> </w:t>
      </w:r>
      <w:r>
        <w:rPr>
          <w:color w:val="231F20"/>
          <w:w w:val="105"/>
        </w:rPr>
        <w:t>en</w:t>
      </w:r>
      <w:r>
        <w:rPr>
          <w:color w:val="231F20"/>
          <w:spacing w:val="-12"/>
          <w:w w:val="105"/>
        </w:rPr>
        <w:t> </w:t>
      </w:r>
      <w:r>
        <w:rPr>
          <w:color w:val="231F20"/>
          <w:w w:val="105"/>
        </w:rPr>
        <w:t>tanto</w:t>
      </w:r>
      <w:r>
        <w:rPr>
          <w:color w:val="231F20"/>
          <w:spacing w:val="-12"/>
          <w:w w:val="105"/>
        </w:rPr>
        <w:t> </w:t>
      </w:r>
      <w:r>
        <w:rPr>
          <w:color w:val="231F20"/>
          <w:w w:val="105"/>
        </w:rPr>
        <w:t>las</w:t>
      </w:r>
      <w:r>
        <w:rPr>
          <w:color w:val="231F20"/>
          <w:spacing w:val="-12"/>
          <w:w w:val="105"/>
        </w:rPr>
        <w:t> </w:t>
      </w:r>
      <w:r>
        <w:rPr>
          <w:color w:val="231F20"/>
          <w:w w:val="105"/>
        </w:rPr>
        <w:t>indagaciones</w:t>
      </w:r>
      <w:r>
        <w:rPr>
          <w:color w:val="231F20"/>
          <w:spacing w:val="-12"/>
          <w:w w:val="105"/>
        </w:rPr>
        <w:t> </w:t>
      </w:r>
      <w:r>
        <w:rPr>
          <w:color w:val="231F20"/>
          <w:w w:val="105"/>
        </w:rPr>
        <w:t>empíricas</w:t>
      </w:r>
      <w:r>
        <w:rPr>
          <w:color w:val="231F20"/>
          <w:spacing w:val="-12"/>
          <w:w w:val="105"/>
        </w:rPr>
        <w:t> </w:t>
      </w:r>
      <w:r>
        <w:rPr>
          <w:color w:val="231F20"/>
          <w:w w:val="105"/>
        </w:rPr>
        <w:t>ponían</w:t>
      </w:r>
      <w:r>
        <w:rPr>
          <w:color w:val="231F20"/>
          <w:spacing w:val="-12"/>
          <w:w w:val="105"/>
        </w:rPr>
        <w:t> </w:t>
      </w:r>
      <w:r>
        <w:rPr>
          <w:color w:val="231F20"/>
          <w:w w:val="105"/>
        </w:rPr>
        <w:t>sobre</w:t>
      </w:r>
      <w:r>
        <w:rPr>
          <w:color w:val="231F20"/>
          <w:spacing w:val="-12"/>
          <w:w w:val="105"/>
        </w:rPr>
        <w:t> </w:t>
      </w:r>
      <w:r>
        <w:rPr>
          <w:color w:val="231F20"/>
          <w:w w:val="105"/>
        </w:rPr>
        <w:t>la</w:t>
      </w:r>
      <w:r>
        <w:rPr>
          <w:color w:val="231F20"/>
          <w:spacing w:val="-12"/>
          <w:w w:val="105"/>
        </w:rPr>
        <w:t> </w:t>
      </w:r>
      <w:r>
        <w:rPr>
          <w:color w:val="231F20"/>
          <w:w w:val="105"/>
        </w:rPr>
        <w:t>mesa nuevos</w:t>
      </w:r>
      <w:r>
        <w:rPr>
          <w:color w:val="231F20"/>
          <w:spacing w:val="-6"/>
          <w:w w:val="105"/>
        </w:rPr>
        <w:t> </w:t>
      </w:r>
      <w:r>
        <w:rPr>
          <w:color w:val="231F20"/>
          <w:w w:val="105"/>
        </w:rPr>
        <w:t>ejes</w:t>
      </w:r>
      <w:r>
        <w:rPr>
          <w:color w:val="231F20"/>
          <w:spacing w:val="-6"/>
          <w:w w:val="105"/>
        </w:rPr>
        <w:t> </w:t>
      </w:r>
      <w:r>
        <w:rPr>
          <w:color w:val="231F20"/>
          <w:w w:val="105"/>
        </w:rPr>
        <w:t>de</w:t>
      </w:r>
      <w:r>
        <w:rPr>
          <w:color w:val="231F20"/>
          <w:spacing w:val="-6"/>
          <w:w w:val="105"/>
        </w:rPr>
        <w:t> </w:t>
      </w:r>
      <w:r>
        <w:rPr>
          <w:color w:val="231F20"/>
          <w:w w:val="105"/>
        </w:rPr>
        <w:t>análisis</w:t>
      </w:r>
      <w:r>
        <w:rPr>
          <w:color w:val="231F20"/>
          <w:spacing w:val="-6"/>
          <w:w w:val="105"/>
        </w:rPr>
        <w:t> </w:t>
      </w:r>
      <w:r>
        <w:rPr>
          <w:color w:val="231F20"/>
          <w:w w:val="105"/>
        </w:rPr>
        <w:t>sobre</w:t>
      </w:r>
      <w:r>
        <w:rPr>
          <w:color w:val="231F20"/>
          <w:spacing w:val="-6"/>
          <w:w w:val="105"/>
        </w:rPr>
        <w:t> </w:t>
      </w:r>
      <w:r>
        <w:rPr>
          <w:color w:val="231F20"/>
          <w:w w:val="105"/>
        </w:rPr>
        <w:t>este</w:t>
      </w:r>
      <w:r>
        <w:rPr>
          <w:color w:val="231F20"/>
          <w:spacing w:val="-6"/>
          <w:w w:val="105"/>
        </w:rPr>
        <w:t> </w:t>
      </w:r>
      <w:r>
        <w:rPr>
          <w:color w:val="231F20"/>
          <w:w w:val="105"/>
        </w:rPr>
        <w:t>proceso</w:t>
      </w:r>
      <w:r>
        <w:rPr>
          <w:color w:val="231F20"/>
          <w:spacing w:val="-6"/>
          <w:w w:val="105"/>
        </w:rPr>
        <w:t> </w:t>
      </w:r>
      <w:r>
        <w:rPr>
          <w:color w:val="231F20"/>
          <w:w w:val="105"/>
        </w:rPr>
        <w:t>particular.</w:t>
      </w:r>
      <w:r>
        <w:rPr>
          <w:color w:val="231F20"/>
          <w:spacing w:val="-10"/>
          <w:w w:val="105"/>
        </w:rPr>
        <w:t> </w:t>
      </w:r>
      <w:r>
        <w:rPr>
          <w:color w:val="231F20"/>
          <w:w w:val="105"/>
        </w:rPr>
        <w:t>El</w:t>
      </w:r>
      <w:r>
        <w:rPr>
          <w:color w:val="231F20"/>
          <w:spacing w:val="-6"/>
          <w:w w:val="105"/>
        </w:rPr>
        <w:t> </w:t>
      </w:r>
      <w:r>
        <w:rPr>
          <w:color w:val="231F20"/>
          <w:w w:val="105"/>
        </w:rPr>
        <w:t>carácter</w:t>
      </w:r>
      <w:r>
        <w:rPr>
          <w:color w:val="231F20"/>
          <w:spacing w:val="-6"/>
          <w:w w:val="105"/>
        </w:rPr>
        <w:t> </w:t>
      </w:r>
      <w:r>
        <w:rPr>
          <w:color w:val="231F20"/>
          <w:w w:val="105"/>
        </w:rPr>
        <w:t>social de la migración de retorno permite identificar trasformaciones comu- nitarias en las sociedades de origen, que no devienen necesariamente del</w:t>
      </w:r>
      <w:r>
        <w:rPr>
          <w:color w:val="231F20"/>
          <w:spacing w:val="-21"/>
          <w:w w:val="105"/>
        </w:rPr>
        <w:t> </w:t>
      </w:r>
      <w:r>
        <w:rPr>
          <w:color w:val="231F20"/>
          <w:w w:val="105"/>
        </w:rPr>
        <w:t>envío</w:t>
      </w:r>
      <w:r>
        <w:rPr>
          <w:color w:val="231F20"/>
          <w:spacing w:val="-21"/>
          <w:w w:val="105"/>
        </w:rPr>
        <w:t> </w:t>
      </w:r>
      <w:r>
        <w:rPr>
          <w:color w:val="231F20"/>
          <w:w w:val="105"/>
        </w:rPr>
        <w:t>de</w:t>
      </w:r>
      <w:r>
        <w:rPr>
          <w:color w:val="231F20"/>
          <w:spacing w:val="-21"/>
          <w:w w:val="105"/>
        </w:rPr>
        <w:t> </w:t>
      </w:r>
      <w:r>
        <w:rPr>
          <w:color w:val="231F20"/>
          <w:w w:val="105"/>
        </w:rPr>
        <w:t>dinero,</w:t>
      </w:r>
      <w:r>
        <w:rPr>
          <w:color w:val="231F20"/>
          <w:spacing w:val="-26"/>
          <w:w w:val="105"/>
        </w:rPr>
        <w:t> </w:t>
      </w:r>
      <w:r>
        <w:rPr>
          <w:color w:val="231F20"/>
          <w:w w:val="105"/>
        </w:rPr>
        <w:t>sino</w:t>
      </w:r>
      <w:r>
        <w:rPr>
          <w:color w:val="231F20"/>
          <w:spacing w:val="-21"/>
          <w:w w:val="105"/>
        </w:rPr>
        <w:t> </w:t>
      </w:r>
      <w:r>
        <w:rPr>
          <w:color w:val="231F20"/>
          <w:w w:val="105"/>
        </w:rPr>
        <w:t>también</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remesas</w:t>
      </w:r>
      <w:r>
        <w:rPr>
          <w:color w:val="231F20"/>
          <w:spacing w:val="-21"/>
          <w:w w:val="105"/>
        </w:rPr>
        <w:t> </w:t>
      </w:r>
      <w:r>
        <w:rPr>
          <w:color w:val="231F20"/>
          <w:w w:val="105"/>
        </w:rPr>
        <w:t>socioculturales</w:t>
      </w:r>
      <w:r>
        <w:rPr>
          <w:color w:val="231F20"/>
          <w:spacing w:val="-21"/>
          <w:w w:val="105"/>
        </w:rPr>
        <w:t> </w:t>
      </w:r>
      <w:r>
        <w:rPr>
          <w:color w:val="231F20"/>
          <w:w w:val="105"/>
        </w:rPr>
        <w:t>(Rivera, 2004),</w:t>
      </w:r>
      <w:r>
        <w:rPr>
          <w:color w:val="231F20"/>
          <w:spacing w:val="-16"/>
          <w:w w:val="105"/>
        </w:rPr>
        <w:t> </w:t>
      </w:r>
      <w:r>
        <w:rPr>
          <w:color w:val="231F20"/>
          <w:w w:val="105"/>
        </w:rPr>
        <w:t>que</w:t>
      </w:r>
      <w:r>
        <w:rPr>
          <w:color w:val="231F20"/>
          <w:spacing w:val="-11"/>
          <w:w w:val="105"/>
        </w:rPr>
        <w:t> </w:t>
      </w:r>
      <w:r>
        <w:rPr>
          <w:color w:val="231F20"/>
          <w:w w:val="105"/>
        </w:rPr>
        <w:t>cotidianamente</w:t>
      </w:r>
      <w:r>
        <w:rPr>
          <w:color w:val="231F20"/>
          <w:spacing w:val="-11"/>
          <w:w w:val="105"/>
        </w:rPr>
        <w:t> </w:t>
      </w:r>
      <w:r>
        <w:rPr>
          <w:color w:val="231F20"/>
          <w:w w:val="105"/>
        </w:rPr>
        <w:t>reciben</w:t>
      </w:r>
      <w:r>
        <w:rPr>
          <w:color w:val="231F20"/>
          <w:spacing w:val="-11"/>
          <w:w w:val="105"/>
        </w:rPr>
        <w:t> </w:t>
      </w:r>
      <w:r>
        <w:rPr>
          <w:color w:val="231F20"/>
          <w:w w:val="105"/>
        </w:rPr>
        <w:t>y</w:t>
      </w:r>
      <w:r>
        <w:rPr>
          <w:color w:val="231F20"/>
          <w:spacing w:val="-11"/>
          <w:w w:val="105"/>
        </w:rPr>
        <w:t> </w:t>
      </w:r>
      <w:r>
        <w:rPr>
          <w:color w:val="231F20"/>
          <w:w w:val="105"/>
        </w:rPr>
        <w:t>envían</w:t>
      </w:r>
      <w:r>
        <w:rPr>
          <w:color w:val="231F20"/>
          <w:spacing w:val="-11"/>
          <w:w w:val="105"/>
        </w:rPr>
        <w:t> </w:t>
      </w:r>
      <w:r>
        <w:rPr>
          <w:color w:val="231F20"/>
          <w:w w:val="105"/>
        </w:rPr>
        <w:t>los</w:t>
      </w:r>
      <w:r>
        <w:rPr>
          <w:color w:val="231F20"/>
          <w:spacing w:val="-11"/>
          <w:w w:val="105"/>
        </w:rPr>
        <w:t> </w:t>
      </w:r>
      <w:r>
        <w:rPr>
          <w:color w:val="231F20"/>
          <w:w w:val="105"/>
        </w:rPr>
        <w:t>migrantes</w:t>
      </w:r>
      <w:r>
        <w:rPr>
          <w:color w:val="231F20"/>
          <w:spacing w:val="-11"/>
          <w:w w:val="105"/>
        </w:rPr>
        <w:t> </w:t>
      </w:r>
      <w:r>
        <w:rPr>
          <w:color w:val="231F20"/>
          <w:w w:val="105"/>
        </w:rPr>
        <w:t>y</w:t>
      </w:r>
      <w:r>
        <w:rPr>
          <w:color w:val="231F20"/>
          <w:spacing w:val="-11"/>
          <w:w w:val="105"/>
        </w:rPr>
        <w:t> </w:t>
      </w:r>
      <w:r>
        <w:rPr>
          <w:color w:val="231F20"/>
          <w:w w:val="105"/>
        </w:rPr>
        <w:t>sus</w:t>
      </w:r>
      <w:r>
        <w:rPr>
          <w:color w:val="231F20"/>
          <w:spacing w:val="-11"/>
          <w:w w:val="105"/>
        </w:rPr>
        <w:t> </w:t>
      </w:r>
      <w:r>
        <w:rPr>
          <w:color w:val="231F20"/>
          <w:w w:val="105"/>
        </w:rPr>
        <w:t>familias en un proceso circular de intercambio transfronterizo. Esto alude a que “los</w:t>
      </w:r>
      <w:r>
        <w:rPr>
          <w:color w:val="231F20"/>
          <w:spacing w:val="-14"/>
          <w:w w:val="105"/>
        </w:rPr>
        <w:t> </w:t>
      </w:r>
      <w:r>
        <w:rPr>
          <w:color w:val="231F20"/>
          <w:w w:val="105"/>
        </w:rPr>
        <w:t>procesos</w:t>
      </w:r>
      <w:r>
        <w:rPr>
          <w:color w:val="231F20"/>
          <w:spacing w:val="-14"/>
          <w:w w:val="105"/>
        </w:rPr>
        <w:t> </w:t>
      </w:r>
      <w:r>
        <w:rPr>
          <w:color w:val="231F20"/>
          <w:w w:val="105"/>
        </w:rPr>
        <w:t>e</w:t>
      </w:r>
      <w:r>
        <w:rPr>
          <w:color w:val="231F20"/>
          <w:spacing w:val="-14"/>
          <w:w w:val="105"/>
        </w:rPr>
        <w:t> </w:t>
      </w:r>
      <w:r>
        <w:rPr>
          <w:color w:val="231F20"/>
          <w:w w:val="105"/>
        </w:rPr>
        <w:t>interconexiones</w:t>
      </w:r>
      <w:r>
        <w:rPr>
          <w:color w:val="231F20"/>
          <w:spacing w:val="-14"/>
          <w:w w:val="105"/>
        </w:rPr>
        <w:t> </w:t>
      </w:r>
      <w:r>
        <w:rPr>
          <w:color w:val="231F20"/>
          <w:w w:val="105"/>
        </w:rPr>
        <w:t>culturales,</w:t>
      </w:r>
      <w:r>
        <w:rPr>
          <w:color w:val="231F20"/>
          <w:spacing w:val="-19"/>
          <w:w w:val="105"/>
        </w:rPr>
        <w:t> </w:t>
      </w:r>
      <w:r>
        <w:rPr>
          <w:color w:val="231F20"/>
          <w:w w:val="105"/>
        </w:rPr>
        <w:t>generados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movilidad</w:t>
      </w:r>
      <w:r>
        <w:rPr>
          <w:color w:val="231F20"/>
          <w:spacing w:val="-14"/>
          <w:w w:val="105"/>
        </w:rPr>
        <w:t> </w:t>
      </w:r>
      <w:r>
        <w:rPr>
          <w:color w:val="231F20"/>
          <w:w w:val="105"/>
        </w:rPr>
        <w:t>y las migraciones, replantean sentidos y los referentes que los</w:t>
      </w:r>
      <w:r>
        <w:rPr>
          <w:color w:val="231F20"/>
          <w:spacing w:val="-37"/>
          <w:w w:val="105"/>
        </w:rPr>
        <w:t> </w:t>
      </w:r>
      <w:r>
        <w:rPr>
          <w:color w:val="231F20"/>
          <w:w w:val="105"/>
        </w:rPr>
        <w:t>individuos tienen</w:t>
      </w:r>
      <w:r>
        <w:rPr>
          <w:color w:val="231F20"/>
          <w:spacing w:val="-30"/>
          <w:w w:val="105"/>
        </w:rPr>
        <w:t> </w:t>
      </w:r>
      <w:r>
        <w:rPr>
          <w:color w:val="231F20"/>
          <w:w w:val="105"/>
        </w:rPr>
        <w:t>frente</w:t>
      </w:r>
      <w:r>
        <w:rPr>
          <w:color w:val="231F20"/>
          <w:spacing w:val="-30"/>
          <w:w w:val="105"/>
        </w:rPr>
        <w:t> </w:t>
      </w:r>
      <w:r>
        <w:rPr>
          <w:color w:val="231F20"/>
          <w:w w:val="105"/>
        </w:rPr>
        <w:t>a</w:t>
      </w:r>
      <w:r>
        <w:rPr>
          <w:color w:val="231F20"/>
          <w:spacing w:val="-30"/>
          <w:w w:val="105"/>
        </w:rPr>
        <w:t> </w:t>
      </w:r>
      <w:r>
        <w:rPr>
          <w:color w:val="231F20"/>
          <w:w w:val="105"/>
        </w:rPr>
        <w:t>las</w:t>
      </w:r>
      <w:r>
        <w:rPr>
          <w:color w:val="231F20"/>
          <w:spacing w:val="-30"/>
          <w:w w:val="105"/>
        </w:rPr>
        <w:t> </w:t>
      </w:r>
      <w:r>
        <w:rPr>
          <w:color w:val="231F20"/>
          <w:w w:val="105"/>
        </w:rPr>
        <w:t>instituciones,</w:t>
      </w:r>
      <w:r>
        <w:rPr>
          <w:color w:val="231F20"/>
          <w:spacing w:val="-34"/>
          <w:w w:val="105"/>
        </w:rPr>
        <w:t> </w:t>
      </w:r>
      <w:r>
        <w:rPr>
          <w:color w:val="231F20"/>
          <w:w w:val="105"/>
        </w:rPr>
        <w:t>las</w:t>
      </w:r>
      <w:r>
        <w:rPr>
          <w:color w:val="231F20"/>
          <w:spacing w:val="-30"/>
          <w:w w:val="105"/>
        </w:rPr>
        <w:t> </w:t>
      </w:r>
      <w:r>
        <w:rPr>
          <w:color w:val="231F20"/>
          <w:w w:val="105"/>
        </w:rPr>
        <w:t>relaciones</w:t>
      </w:r>
      <w:r>
        <w:rPr>
          <w:color w:val="231F20"/>
          <w:spacing w:val="-30"/>
          <w:w w:val="105"/>
        </w:rPr>
        <w:t> </w:t>
      </w:r>
      <w:r>
        <w:rPr>
          <w:color w:val="231F20"/>
          <w:w w:val="105"/>
        </w:rPr>
        <w:t>e</w:t>
      </w:r>
      <w:r>
        <w:rPr>
          <w:color w:val="231F20"/>
          <w:spacing w:val="-30"/>
          <w:w w:val="105"/>
        </w:rPr>
        <w:t> </w:t>
      </w:r>
      <w:r>
        <w:rPr>
          <w:color w:val="231F20"/>
          <w:w w:val="105"/>
        </w:rPr>
        <w:t>interacciones</w:t>
      </w:r>
      <w:r>
        <w:rPr>
          <w:color w:val="231F20"/>
          <w:spacing w:val="-30"/>
          <w:w w:val="105"/>
        </w:rPr>
        <w:t> </w:t>
      </w:r>
      <w:r>
        <w:rPr>
          <w:color w:val="231F20"/>
          <w:w w:val="105"/>
        </w:rPr>
        <w:t>con</w:t>
      </w:r>
      <w:r>
        <w:rPr>
          <w:color w:val="231F20"/>
          <w:spacing w:val="-30"/>
          <w:w w:val="105"/>
        </w:rPr>
        <w:t> </w:t>
      </w:r>
      <w:r>
        <w:rPr>
          <w:color w:val="231F20"/>
          <w:w w:val="105"/>
        </w:rPr>
        <w:t>las</w:t>
      </w:r>
      <w:r>
        <w:rPr>
          <w:color w:val="231F20"/>
          <w:spacing w:val="-30"/>
          <w:w w:val="105"/>
        </w:rPr>
        <w:t> </w:t>
      </w:r>
      <w:r>
        <w:rPr>
          <w:color w:val="231F20"/>
          <w:w w:val="105"/>
        </w:rPr>
        <w:t>per- sonas</w:t>
      </w:r>
      <w:r>
        <w:rPr>
          <w:color w:val="231F20"/>
          <w:spacing w:val="-27"/>
          <w:w w:val="105"/>
        </w:rPr>
        <w:t> </w:t>
      </w:r>
      <w:r>
        <w:rPr>
          <w:color w:val="231F20"/>
          <w:w w:val="105"/>
        </w:rPr>
        <w:t>y</w:t>
      </w:r>
      <w:r>
        <w:rPr>
          <w:color w:val="231F20"/>
          <w:spacing w:val="-27"/>
          <w:w w:val="105"/>
        </w:rPr>
        <w:t> </w:t>
      </w:r>
      <w:r>
        <w:rPr>
          <w:color w:val="231F20"/>
          <w:w w:val="105"/>
        </w:rPr>
        <w:t>las</w:t>
      </w:r>
      <w:r>
        <w:rPr>
          <w:color w:val="231F20"/>
          <w:spacing w:val="-27"/>
          <w:w w:val="105"/>
        </w:rPr>
        <w:t> </w:t>
      </w:r>
      <w:r>
        <w:rPr>
          <w:color w:val="231F20"/>
          <w:w w:val="105"/>
        </w:rPr>
        <w:t>formas</w:t>
      </w:r>
      <w:r>
        <w:rPr>
          <w:color w:val="231F20"/>
          <w:spacing w:val="-27"/>
          <w:w w:val="105"/>
        </w:rPr>
        <w:t> </w:t>
      </w:r>
      <w:r>
        <w:rPr>
          <w:color w:val="231F20"/>
          <w:w w:val="105"/>
        </w:rPr>
        <w:t>de</w:t>
      </w:r>
      <w:r>
        <w:rPr>
          <w:color w:val="231F20"/>
          <w:spacing w:val="-27"/>
          <w:w w:val="105"/>
        </w:rPr>
        <w:t> </w:t>
      </w:r>
      <w:r>
        <w:rPr>
          <w:color w:val="231F20"/>
          <w:w w:val="105"/>
        </w:rPr>
        <w:t>identificarse”</w:t>
      </w:r>
      <w:r>
        <w:rPr>
          <w:color w:val="231F20"/>
          <w:spacing w:val="-27"/>
          <w:w w:val="105"/>
        </w:rPr>
        <w:t> </w:t>
      </w:r>
      <w:r>
        <w:rPr>
          <w:color w:val="231F20"/>
          <w:w w:val="105"/>
        </w:rPr>
        <w:t>(Aznar,</w:t>
      </w:r>
      <w:r>
        <w:rPr>
          <w:color w:val="231F20"/>
          <w:spacing w:val="-31"/>
          <w:w w:val="105"/>
        </w:rPr>
        <w:t> </w:t>
      </w:r>
      <w:r>
        <w:rPr>
          <w:color w:val="231F20"/>
          <w:w w:val="105"/>
        </w:rPr>
        <w:t>2011:</w:t>
      </w:r>
      <w:r>
        <w:rPr>
          <w:color w:val="231F20"/>
          <w:spacing w:val="-27"/>
          <w:w w:val="105"/>
        </w:rPr>
        <w:t> </w:t>
      </w:r>
      <w:r>
        <w:rPr>
          <w:color w:val="231F20"/>
          <w:w w:val="105"/>
        </w:rPr>
        <w:t>3).</w:t>
      </w:r>
    </w:p>
    <w:p>
      <w:pPr>
        <w:pStyle w:val="BodyText"/>
        <w:spacing w:line="261" w:lineRule="auto" w:before="1"/>
        <w:ind w:left="1837" w:right="1721" w:firstLine="567"/>
        <w:jc w:val="both"/>
      </w:pPr>
      <w:r>
        <w:rPr>
          <w:color w:val="231F20"/>
          <w:w w:val="105"/>
        </w:rPr>
        <w:t>En</w:t>
      </w:r>
      <w:r>
        <w:rPr>
          <w:color w:val="231F20"/>
          <w:spacing w:val="-17"/>
          <w:w w:val="105"/>
        </w:rPr>
        <w:t> </w:t>
      </w:r>
      <w:r>
        <w:rPr>
          <w:color w:val="231F20"/>
          <w:w w:val="105"/>
        </w:rPr>
        <w:t>esta</w:t>
      </w:r>
      <w:r>
        <w:rPr>
          <w:color w:val="231F20"/>
          <w:spacing w:val="-17"/>
          <w:w w:val="105"/>
        </w:rPr>
        <w:t> </w:t>
      </w:r>
      <w:r>
        <w:rPr>
          <w:color w:val="231F20"/>
          <w:w w:val="105"/>
        </w:rPr>
        <w:t>lógica,</w:t>
      </w:r>
      <w:r>
        <w:rPr>
          <w:color w:val="231F20"/>
          <w:spacing w:val="-22"/>
          <w:w w:val="105"/>
        </w:rPr>
        <w:t> </w:t>
      </w:r>
      <w:r>
        <w:rPr>
          <w:color w:val="231F20"/>
          <w:w w:val="105"/>
        </w:rPr>
        <w:t>el</w:t>
      </w:r>
      <w:r>
        <w:rPr>
          <w:color w:val="231F20"/>
          <w:spacing w:val="-17"/>
          <w:w w:val="105"/>
        </w:rPr>
        <w:t> </w:t>
      </w:r>
      <w:r>
        <w:rPr>
          <w:color w:val="231F20"/>
          <w:w w:val="105"/>
        </w:rPr>
        <w:t>estudio</w:t>
      </w:r>
      <w:r>
        <w:rPr>
          <w:color w:val="231F20"/>
          <w:spacing w:val="-17"/>
          <w:w w:val="105"/>
        </w:rPr>
        <w:t> </w:t>
      </w:r>
      <w:r>
        <w:rPr>
          <w:color w:val="231F20"/>
          <w:w w:val="105"/>
        </w:rPr>
        <w:t>del</w:t>
      </w:r>
      <w:r>
        <w:rPr>
          <w:color w:val="231F20"/>
          <w:spacing w:val="-17"/>
          <w:w w:val="105"/>
        </w:rPr>
        <w:t> </w:t>
      </w:r>
      <w:r>
        <w:rPr>
          <w:color w:val="231F20"/>
          <w:w w:val="105"/>
        </w:rPr>
        <w:t>retorno</w:t>
      </w:r>
      <w:r>
        <w:rPr>
          <w:color w:val="231F20"/>
          <w:spacing w:val="-17"/>
          <w:w w:val="105"/>
        </w:rPr>
        <w:t> </w:t>
      </w:r>
      <w:r>
        <w:rPr>
          <w:color w:val="231F20"/>
          <w:w w:val="105"/>
        </w:rPr>
        <w:t>es</w:t>
      </w:r>
      <w:r>
        <w:rPr>
          <w:color w:val="231F20"/>
          <w:spacing w:val="-17"/>
          <w:w w:val="105"/>
        </w:rPr>
        <w:t> </w:t>
      </w:r>
      <w:r>
        <w:rPr>
          <w:color w:val="231F20"/>
          <w:w w:val="105"/>
        </w:rPr>
        <w:t>esencial</w:t>
      </w:r>
      <w:r>
        <w:rPr>
          <w:color w:val="231F20"/>
          <w:spacing w:val="-17"/>
          <w:w w:val="105"/>
        </w:rPr>
        <w:t> </w:t>
      </w:r>
      <w:r>
        <w:rPr>
          <w:color w:val="231F20"/>
          <w:w w:val="105"/>
        </w:rPr>
        <w:t>para</w:t>
      </w:r>
      <w:r>
        <w:rPr>
          <w:color w:val="231F20"/>
          <w:spacing w:val="-17"/>
          <w:w w:val="105"/>
        </w:rPr>
        <w:t> </w:t>
      </w:r>
      <w:r>
        <w:rPr>
          <w:color w:val="231F20"/>
          <w:w w:val="105"/>
        </w:rPr>
        <w:t>vislumbrar</w:t>
      </w:r>
      <w:r>
        <w:rPr>
          <w:color w:val="231F20"/>
          <w:spacing w:val="-17"/>
          <w:w w:val="105"/>
        </w:rPr>
        <w:t> </w:t>
      </w:r>
      <w:r>
        <w:rPr>
          <w:color w:val="231F20"/>
          <w:w w:val="105"/>
        </w:rPr>
        <w:t>la manera</w:t>
      </w:r>
      <w:r>
        <w:rPr>
          <w:color w:val="231F20"/>
          <w:spacing w:val="-13"/>
          <w:w w:val="105"/>
        </w:rPr>
        <w:t> </w:t>
      </w:r>
      <w:r>
        <w:rPr>
          <w:color w:val="231F20"/>
          <w:w w:val="105"/>
        </w:rPr>
        <w:t>en</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manifiestan</w:t>
      </w:r>
      <w:r>
        <w:rPr>
          <w:color w:val="231F20"/>
          <w:spacing w:val="-13"/>
          <w:w w:val="105"/>
        </w:rPr>
        <w:t> </w:t>
      </w:r>
      <w:r>
        <w:rPr>
          <w:color w:val="231F20"/>
          <w:w w:val="105"/>
        </w:rPr>
        <w:t>las</w:t>
      </w:r>
      <w:r>
        <w:rPr>
          <w:color w:val="231F20"/>
          <w:spacing w:val="-13"/>
          <w:w w:val="105"/>
        </w:rPr>
        <w:t> </w:t>
      </w:r>
      <w:r>
        <w:rPr>
          <w:color w:val="231F20"/>
          <w:w w:val="105"/>
        </w:rPr>
        <w:t>vicisitudes</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injerencia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expe- riencia</w:t>
      </w:r>
      <w:r>
        <w:rPr>
          <w:color w:val="231F20"/>
          <w:spacing w:val="-7"/>
          <w:w w:val="105"/>
        </w:rPr>
        <w:t> </w:t>
      </w:r>
      <w:r>
        <w:rPr>
          <w:color w:val="231F20"/>
          <w:w w:val="105"/>
        </w:rPr>
        <w:t>migratoria</w:t>
      </w:r>
      <w:r>
        <w:rPr>
          <w:color w:val="231F20"/>
          <w:spacing w:val="-7"/>
          <w:w w:val="105"/>
        </w:rPr>
        <w:t> </w:t>
      </w:r>
      <w:r>
        <w:rPr>
          <w:color w:val="231F20"/>
          <w:w w:val="105"/>
        </w:rPr>
        <w:t>tiene</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personas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van</w:t>
      </w:r>
      <w:r>
        <w:rPr>
          <w:color w:val="231F20"/>
          <w:spacing w:val="-7"/>
          <w:w w:val="105"/>
        </w:rPr>
        <w:t> </w:t>
      </w:r>
      <w:r>
        <w:rPr>
          <w:color w:val="231F20"/>
          <w:w w:val="105"/>
        </w:rPr>
        <w:t>y</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que- dan.</w:t>
      </w:r>
      <w:r>
        <w:rPr>
          <w:color w:val="231F20"/>
          <w:spacing w:val="-9"/>
          <w:w w:val="105"/>
        </w:rPr>
        <w:t> </w:t>
      </w:r>
      <w:r>
        <w:rPr>
          <w:color w:val="231F20"/>
          <w:spacing w:val="-4"/>
          <w:w w:val="105"/>
        </w:rPr>
        <w:t>Para</w:t>
      </w:r>
      <w:r>
        <w:rPr>
          <w:color w:val="231F20"/>
          <w:spacing w:val="-3"/>
          <w:w w:val="105"/>
        </w:rPr>
        <w:t> </w:t>
      </w:r>
      <w:r>
        <w:rPr>
          <w:color w:val="231F20"/>
          <w:w w:val="105"/>
        </w:rPr>
        <w:t>el</w:t>
      </w:r>
      <w:r>
        <w:rPr>
          <w:color w:val="231F20"/>
          <w:spacing w:val="-3"/>
          <w:w w:val="105"/>
        </w:rPr>
        <w:t> </w:t>
      </w:r>
      <w:r>
        <w:rPr>
          <w:color w:val="231F20"/>
          <w:w w:val="105"/>
        </w:rPr>
        <w:t>caso</w:t>
      </w:r>
      <w:r>
        <w:rPr>
          <w:color w:val="231F20"/>
          <w:spacing w:val="-3"/>
          <w:w w:val="105"/>
        </w:rPr>
        <w:t> </w:t>
      </w:r>
      <w:r>
        <w:rPr>
          <w:color w:val="231F20"/>
          <w:w w:val="105"/>
        </w:rPr>
        <w:t>de</w:t>
      </w:r>
      <w:r>
        <w:rPr>
          <w:color w:val="231F20"/>
          <w:spacing w:val="-3"/>
          <w:w w:val="105"/>
        </w:rPr>
        <w:t> </w:t>
      </w:r>
      <w:r>
        <w:rPr>
          <w:color w:val="231F20"/>
          <w:w w:val="105"/>
        </w:rPr>
        <w:t>estudio</w:t>
      </w:r>
      <w:r>
        <w:rPr>
          <w:color w:val="231F20"/>
          <w:spacing w:val="-3"/>
          <w:w w:val="105"/>
        </w:rPr>
        <w:t> </w:t>
      </w:r>
      <w:r>
        <w:rPr>
          <w:color w:val="231F20"/>
          <w:w w:val="105"/>
        </w:rPr>
        <w:t>de</w:t>
      </w:r>
      <w:r>
        <w:rPr>
          <w:color w:val="231F20"/>
          <w:spacing w:val="-3"/>
          <w:w w:val="105"/>
        </w:rPr>
        <w:t> </w:t>
      </w:r>
      <w:r>
        <w:rPr>
          <w:color w:val="231F20"/>
          <w:w w:val="105"/>
        </w:rPr>
        <w:t>la</w:t>
      </w:r>
      <w:r>
        <w:rPr>
          <w:color w:val="231F20"/>
          <w:spacing w:val="-3"/>
          <w:w w:val="105"/>
        </w:rPr>
        <w:t> </w:t>
      </w:r>
      <w:r>
        <w:rPr>
          <w:color w:val="231F20"/>
          <w:w w:val="105"/>
        </w:rPr>
        <w:t>migración</w:t>
      </w:r>
      <w:r>
        <w:rPr>
          <w:color w:val="231F20"/>
          <w:spacing w:val="-3"/>
          <w:w w:val="105"/>
        </w:rPr>
        <w:t> </w:t>
      </w:r>
      <w:r>
        <w:rPr>
          <w:color w:val="231F20"/>
          <w:w w:val="105"/>
        </w:rPr>
        <w:t>de</w:t>
      </w:r>
      <w:r>
        <w:rPr>
          <w:color w:val="231F20"/>
          <w:spacing w:val="-3"/>
          <w:w w:val="105"/>
        </w:rPr>
        <w:t> </w:t>
      </w:r>
      <w:r>
        <w:rPr>
          <w:color w:val="231F20"/>
          <w:w w:val="105"/>
        </w:rPr>
        <w:t>retorno</w:t>
      </w:r>
      <w:r>
        <w:rPr>
          <w:color w:val="231F20"/>
          <w:spacing w:val="-3"/>
          <w:w w:val="105"/>
        </w:rPr>
        <w:t> </w:t>
      </w:r>
      <w:r>
        <w:rPr>
          <w:color w:val="231F20"/>
          <w:w w:val="105"/>
        </w:rPr>
        <w:t>poblana,</w:t>
      </w:r>
      <w:r>
        <w:rPr>
          <w:color w:val="231F20"/>
          <w:spacing w:val="-9"/>
          <w:w w:val="105"/>
        </w:rPr>
        <w:t> </w:t>
      </w:r>
      <w:r>
        <w:rPr>
          <w:color w:val="231F20"/>
          <w:w w:val="105"/>
        </w:rPr>
        <w:t>D’</w:t>
      </w:r>
      <w:r>
        <w:rPr>
          <w:color w:val="231F20"/>
          <w:spacing w:val="-6"/>
          <w:w w:val="105"/>
        </w:rPr>
        <w:t> </w:t>
      </w:r>
      <w:r>
        <w:rPr>
          <w:color w:val="231F20"/>
          <w:w w:val="105"/>
        </w:rPr>
        <w:t>Au- berrete</w:t>
      </w:r>
      <w:r>
        <w:rPr>
          <w:color w:val="231F20"/>
          <w:spacing w:val="-23"/>
          <w:w w:val="105"/>
        </w:rPr>
        <w:t> </w:t>
      </w:r>
      <w:r>
        <w:rPr>
          <w:color w:val="231F20"/>
          <w:w w:val="105"/>
        </w:rPr>
        <w:t>y</w:t>
      </w:r>
      <w:r>
        <w:rPr>
          <w:color w:val="231F20"/>
          <w:spacing w:val="-23"/>
          <w:w w:val="105"/>
        </w:rPr>
        <w:t> </w:t>
      </w:r>
      <w:r>
        <w:rPr>
          <w:color w:val="231F20"/>
          <w:w w:val="105"/>
        </w:rPr>
        <w:t>sus</w:t>
      </w:r>
      <w:r>
        <w:rPr>
          <w:color w:val="231F20"/>
          <w:spacing w:val="-23"/>
          <w:w w:val="105"/>
        </w:rPr>
        <w:t> </w:t>
      </w:r>
      <w:r>
        <w:rPr>
          <w:color w:val="231F20"/>
          <w:w w:val="105"/>
        </w:rPr>
        <w:t>colaboradores</w:t>
      </w:r>
      <w:r>
        <w:rPr>
          <w:color w:val="231F20"/>
          <w:spacing w:val="-23"/>
          <w:w w:val="105"/>
        </w:rPr>
        <w:t> </w:t>
      </w:r>
      <w:r>
        <w:rPr>
          <w:color w:val="231F20"/>
          <w:w w:val="105"/>
        </w:rPr>
        <w:t>señalan</w:t>
      </w:r>
      <w:r>
        <w:rPr>
          <w:color w:val="231F20"/>
          <w:spacing w:val="-23"/>
          <w:w w:val="105"/>
        </w:rPr>
        <w:t> </w:t>
      </w:r>
      <w:r>
        <w:rPr>
          <w:color w:val="231F20"/>
          <w:w w:val="105"/>
        </w:rPr>
        <w:t>que</w:t>
      </w:r>
      <w:r>
        <w:rPr>
          <w:color w:val="231F20"/>
          <w:spacing w:val="-23"/>
          <w:w w:val="105"/>
        </w:rPr>
        <w:t> </w:t>
      </w:r>
      <w:r>
        <w:rPr>
          <w:color w:val="231F20"/>
          <w:w w:val="105"/>
        </w:rPr>
        <w:t>a</w:t>
      </w:r>
      <w:r>
        <w:rPr>
          <w:w w:val="105"/>
        </w:rPr>
        <w:t>nalizar</w:t>
      </w:r>
      <w:r>
        <w:rPr>
          <w:spacing w:val="-23"/>
          <w:w w:val="105"/>
        </w:rPr>
        <w:t> </w:t>
      </w:r>
      <w:r>
        <w:rPr>
          <w:w w:val="105"/>
        </w:rPr>
        <w:t>el</w:t>
      </w:r>
      <w:r>
        <w:rPr>
          <w:spacing w:val="-23"/>
          <w:w w:val="105"/>
        </w:rPr>
        <w:t> </w:t>
      </w:r>
      <w:r>
        <w:rPr>
          <w:w w:val="105"/>
        </w:rPr>
        <w:t>retorno</w:t>
      </w:r>
      <w:r>
        <w:rPr>
          <w:spacing w:val="-23"/>
          <w:w w:val="105"/>
        </w:rPr>
        <w:t> </w:t>
      </w:r>
      <w:r>
        <w:rPr>
          <w:w w:val="105"/>
        </w:rPr>
        <w:t>asociado</w:t>
      </w:r>
      <w:r>
        <w:rPr>
          <w:spacing w:val="-23"/>
          <w:w w:val="105"/>
        </w:rPr>
        <w:t> </w:t>
      </w:r>
      <w:r>
        <w:rPr>
          <w:w w:val="105"/>
        </w:rPr>
        <w:t>a</w:t>
      </w:r>
      <w:r>
        <w:rPr>
          <w:spacing w:val="-23"/>
          <w:w w:val="105"/>
        </w:rPr>
        <w:t> </w:t>
      </w:r>
      <w:r>
        <w:rPr>
          <w:w w:val="105"/>
        </w:rPr>
        <w:t>la reciente</w:t>
      </w:r>
      <w:r>
        <w:rPr>
          <w:spacing w:val="-16"/>
          <w:w w:val="105"/>
        </w:rPr>
        <w:t> </w:t>
      </w:r>
      <w:r>
        <w:rPr>
          <w:w w:val="105"/>
        </w:rPr>
        <w:t>crisis</w:t>
      </w:r>
      <w:r>
        <w:rPr>
          <w:spacing w:val="-16"/>
          <w:w w:val="105"/>
        </w:rPr>
        <w:t> </w:t>
      </w:r>
      <w:r>
        <w:rPr>
          <w:w w:val="105"/>
        </w:rPr>
        <w:t>económica</w:t>
      </w:r>
      <w:r>
        <w:rPr>
          <w:spacing w:val="-16"/>
          <w:w w:val="105"/>
        </w:rPr>
        <w:t> </w:t>
      </w:r>
      <w:r>
        <w:rPr>
          <w:w w:val="105"/>
        </w:rPr>
        <w:t>estadounidense</w:t>
      </w:r>
      <w:r>
        <w:rPr>
          <w:spacing w:val="-16"/>
          <w:w w:val="105"/>
        </w:rPr>
        <w:t> </w:t>
      </w:r>
      <w:r>
        <w:rPr>
          <w:w w:val="105"/>
        </w:rPr>
        <w:t>les</w:t>
      </w:r>
      <w:r>
        <w:rPr>
          <w:spacing w:val="-16"/>
          <w:w w:val="105"/>
        </w:rPr>
        <w:t> </w:t>
      </w:r>
      <w:r>
        <w:rPr>
          <w:w w:val="105"/>
        </w:rPr>
        <w:t>permitió</w:t>
      </w:r>
      <w:r>
        <w:rPr>
          <w:spacing w:val="-16"/>
          <w:w w:val="105"/>
        </w:rPr>
        <w:t> </w:t>
      </w:r>
      <w:r>
        <w:rPr>
          <w:w w:val="105"/>
        </w:rPr>
        <w:t>“revelar</w:t>
      </w:r>
      <w:r>
        <w:rPr>
          <w:spacing w:val="-16"/>
          <w:w w:val="105"/>
        </w:rPr>
        <w:t> </w:t>
      </w:r>
      <w:r>
        <w:rPr>
          <w:w w:val="105"/>
        </w:rPr>
        <w:t>aspectos de</w:t>
      </w:r>
      <w:r>
        <w:rPr>
          <w:spacing w:val="-19"/>
          <w:w w:val="105"/>
        </w:rPr>
        <w:t> </w:t>
      </w:r>
      <w:r>
        <w:rPr>
          <w:w w:val="105"/>
        </w:rPr>
        <w:t>este</w:t>
      </w:r>
      <w:r>
        <w:rPr>
          <w:spacing w:val="-19"/>
          <w:w w:val="105"/>
        </w:rPr>
        <w:t> </w:t>
      </w:r>
      <w:r>
        <w:rPr>
          <w:w w:val="105"/>
        </w:rPr>
        <w:t>proceso</w:t>
      </w:r>
      <w:r>
        <w:rPr>
          <w:spacing w:val="-19"/>
          <w:w w:val="105"/>
        </w:rPr>
        <w:t> </w:t>
      </w:r>
      <w:r>
        <w:rPr>
          <w:w w:val="105"/>
        </w:rPr>
        <w:t>con</w:t>
      </w:r>
      <w:r>
        <w:rPr>
          <w:spacing w:val="-19"/>
          <w:w w:val="105"/>
        </w:rPr>
        <w:t> </w:t>
      </w:r>
      <w:r>
        <w:rPr>
          <w:w w:val="105"/>
        </w:rPr>
        <w:t>frecuencia</w:t>
      </w:r>
      <w:r>
        <w:rPr>
          <w:spacing w:val="-19"/>
          <w:w w:val="105"/>
        </w:rPr>
        <w:t> </w:t>
      </w:r>
      <w:r>
        <w:rPr>
          <w:w w:val="105"/>
        </w:rPr>
        <w:t>velados</w:t>
      </w:r>
      <w:r>
        <w:rPr>
          <w:spacing w:val="-19"/>
          <w:w w:val="105"/>
        </w:rPr>
        <w:t> </w:t>
      </w:r>
      <w:r>
        <w:rPr>
          <w:w w:val="105"/>
        </w:rPr>
        <w:t>por</w:t>
      </w:r>
      <w:r>
        <w:rPr>
          <w:spacing w:val="-19"/>
          <w:w w:val="105"/>
        </w:rPr>
        <w:t> </w:t>
      </w:r>
      <w:r>
        <w:rPr>
          <w:w w:val="105"/>
        </w:rPr>
        <w:t>el</w:t>
      </w:r>
      <w:r>
        <w:rPr>
          <w:spacing w:val="-19"/>
          <w:w w:val="105"/>
        </w:rPr>
        <w:t> </w:t>
      </w:r>
      <w:r>
        <w:rPr>
          <w:w w:val="105"/>
        </w:rPr>
        <w:t>discurso</w:t>
      </w:r>
      <w:r>
        <w:rPr>
          <w:spacing w:val="-19"/>
          <w:w w:val="105"/>
        </w:rPr>
        <w:t> </w:t>
      </w:r>
      <w:r>
        <w:rPr>
          <w:w w:val="105"/>
        </w:rPr>
        <w:t>de</w:t>
      </w:r>
      <w:r>
        <w:rPr>
          <w:spacing w:val="-19"/>
          <w:w w:val="105"/>
        </w:rPr>
        <w:t> </w:t>
      </w:r>
      <w:r>
        <w:rPr>
          <w:w w:val="105"/>
        </w:rPr>
        <w:t>la</w:t>
      </w:r>
      <w:r>
        <w:rPr>
          <w:spacing w:val="-19"/>
          <w:w w:val="105"/>
        </w:rPr>
        <w:t> </w:t>
      </w:r>
      <w:r>
        <w:rPr>
          <w:w w:val="105"/>
        </w:rPr>
        <w:t>nostalgia,</w:t>
      </w:r>
      <w:r>
        <w:rPr>
          <w:spacing w:val="-25"/>
          <w:w w:val="105"/>
        </w:rPr>
        <w:t> </w:t>
      </w:r>
      <w:r>
        <w:rPr>
          <w:w w:val="105"/>
        </w:rPr>
        <w:t>el amor al terruño, la firmeza de las identidades parroquiales,</w:t>
      </w:r>
      <w:r>
        <w:rPr>
          <w:spacing w:val="-12"/>
          <w:w w:val="105"/>
        </w:rPr>
        <w:t> </w:t>
      </w:r>
      <w:r>
        <w:rPr>
          <w:w w:val="105"/>
        </w:rPr>
        <w:t>perspectiva que ha subrayado el impacto de los capitales culturales transportados por</w:t>
      </w:r>
      <w:r>
        <w:rPr>
          <w:spacing w:val="-13"/>
          <w:w w:val="105"/>
        </w:rPr>
        <w:t> </w:t>
      </w:r>
      <w:r>
        <w:rPr>
          <w:w w:val="105"/>
        </w:rPr>
        <w:t>los</w:t>
      </w:r>
      <w:r>
        <w:rPr>
          <w:spacing w:val="-13"/>
          <w:w w:val="105"/>
        </w:rPr>
        <w:t> </w:t>
      </w:r>
      <w:r>
        <w:rPr>
          <w:w w:val="105"/>
        </w:rPr>
        <w:t>migrantes</w:t>
      </w:r>
      <w:r>
        <w:rPr>
          <w:spacing w:val="-13"/>
          <w:w w:val="105"/>
        </w:rPr>
        <w:t> </w:t>
      </w:r>
      <w:r>
        <w:rPr>
          <w:w w:val="105"/>
        </w:rPr>
        <w:t>en</w:t>
      </w:r>
      <w:r>
        <w:rPr>
          <w:spacing w:val="-13"/>
          <w:w w:val="105"/>
        </w:rPr>
        <w:t> </w:t>
      </w:r>
      <w:r>
        <w:rPr>
          <w:w w:val="105"/>
        </w:rPr>
        <w:t>su</w:t>
      </w:r>
      <w:r>
        <w:rPr>
          <w:spacing w:val="-13"/>
          <w:w w:val="105"/>
        </w:rPr>
        <w:t> </w:t>
      </w:r>
      <w:r>
        <w:rPr>
          <w:w w:val="105"/>
        </w:rPr>
        <w:t>regreso”</w:t>
      </w:r>
      <w:r>
        <w:rPr>
          <w:spacing w:val="-13"/>
          <w:w w:val="105"/>
        </w:rPr>
        <w:t> </w:t>
      </w:r>
      <w:r>
        <w:rPr>
          <w:w w:val="105"/>
        </w:rPr>
        <w:t>(D’</w:t>
      </w:r>
      <w:r>
        <w:rPr>
          <w:spacing w:val="-16"/>
          <w:w w:val="105"/>
        </w:rPr>
        <w:t> </w:t>
      </w:r>
      <w:r>
        <w:rPr>
          <w:w w:val="105"/>
        </w:rPr>
        <w:t>Auberrete</w:t>
      </w:r>
      <w:r>
        <w:rPr>
          <w:spacing w:val="-13"/>
          <w:w w:val="105"/>
        </w:rPr>
        <w:t> </w:t>
      </w:r>
      <w:r>
        <w:rPr>
          <w:w w:val="105"/>
        </w:rPr>
        <w:t>y</w:t>
      </w:r>
      <w:r>
        <w:rPr>
          <w:spacing w:val="-13"/>
          <w:w w:val="105"/>
        </w:rPr>
        <w:t> </w:t>
      </w:r>
      <w:r>
        <w:rPr>
          <w:w w:val="105"/>
        </w:rPr>
        <w:t>Rivermar,</w:t>
      </w:r>
      <w:r>
        <w:rPr>
          <w:spacing w:val="-17"/>
          <w:w w:val="105"/>
        </w:rPr>
        <w:t> </w:t>
      </w:r>
      <w:r>
        <w:rPr>
          <w:w w:val="105"/>
        </w:rPr>
        <w:t>2014:</w:t>
      </w:r>
      <w:r>
        <w:rPr>
          <w:spacing w:val="-13"/>
          <w:w w:val="105"/>
        </w:rPr>
        <w:t> </w:t>
      </w:r>
      <w:r>
        <w:rPr>
          <w:w w:val="105"/>
        </w:rPr>
        <w:t>20).</w:t>
      </w:r>
      <w:r>
        <w:rPr>
          <w:spacing w:val="-17"/>
          <w:w w:val="105"/>
        </w:rPr>
        <w:t> </w:t>
      </w:r>
      <w:r>
        <w:rPr>
          <w:w w:val="105"/>
        </w:rPr>
        <w:t>La relación</w:t>
      </w:r>
      <w:r>
        <w:rPr>
          <w:spacing w:val="-18"/>
          <w:w w:val="105"/>
        </w:rPr>
        <w:t> </w:t>
      </w:r>
      <w:r>
        <w:rPr>
          <w:w w:val="105"/>
        </w:rPr>
        <w:t>entre</w:t>
      </w:r>
      <w:r>
        <w:rPr>
          <w:spacing w:val="-18"/>
          <w:w w:val="105"/>
        </w:rPr>
        <w:t> </w:t>
      </w:r>
      <w:r>
        <w:rPr>
          <w:w w:val="105"/>
        </w:rPr>
        <w:t>la</w:t>
      </w:r>
      <w:r>
        <w:rPr>
          <w:spacing w:val="-18"/>
          <w:w w:val="105"/>
        </w:rPr>
        <w:t> </w:t>
      </w:r>
      <w:r>
        <w:rPr>
          <w:w w:val="105"/>
        </w:rPr>
        <w:t>ausencia</w:t>
      </w:r>
      <w:r>
        <w:rPr>
          <w:spacing w:val="-18"/>
          <w:w w:val="105"/>
        </w:rPr>
        <w:t> </w:t>
      </w:r>
      <w:r>
        <w:rPr>
          <w:w w:val="105"/>
        </w:rPr>
        <w:t>y</w:t>
      </w:r>
      <w:r>
        <w:rPr>
          <w:spacing w:val="-18"/>
          <w:w w:val="105"/>
        </w:rPr>
        <w:t> </w:t>
      </w:r>
      <w:r>
        <w:rPr>
          <w:w w:val="105"/>
        </w:rPr>
        <w:t>el</w:t>
      </w:r>
      <w:r>
        <w:rPr>
          <w:spacing w:val="-18"/>
          <w:w w:val="105"/>
        </w:rPr>
        <w:t> </w:t>
      </w:r>
      <w:r>
        <w:rPr>
          <w:w w:val="105"/>
        </w:rPr>
        <w:t>retorno</w:t>
      </w:r>
      <w:r>
        <w:rPr>
          <w:spacing w:val="-18"/>
          <w:w w:val="105"/>
        </w:rPr>
        <w:t> </w:t>
      </w:r>
      <w:r>
        <w:rPr>
          <w:w w:val="105"/>
        </w:rPr>
        <w:t>manifiesta</w:t>
      </w:r>
      <w:r>
        <w:rPr>
          <w:spacing w:val="-18"/>
          <w:w w:val="105"/>
        </w:rPr>
        <w:t> </w:t>
      </w:r>
      <w:r>
        <w:rPr>
          <w:w w:val="105"/>
        </w:rPr>
        <w:t>el</w:t>
      </w:r>
      <w:r>
        <w:rPr>
          <w:spacing w:val="-18"/>
          <w:w w:val="105"/>
        </w:rPr>
        <w:t> </w:t>
      </w:r>
      <w:r>
        <w:rPr>
          <w:w w:val="105"/>
        </w:rPr>
        <w:t>conjunto</w:t>
      </w:r>
      <w:r>
        <w:rPr>
          <w:spacing w:val="-18"/>
          <w:w w:val="105"/>
        </w:rPr>
        <w:t> </w:t>
      </w:r>
      <w:r>
        <w:rPr>
          <w:w w:val="105"/>
        </w:rPr>
        <w:t>de</w:t>
      </w:r>
      <w:r>
        <w:rPr>
          <w:spacing w:val="-18"/>
          <w:w w:val="105"/>
        </w:rPr>
        <w:t> </w:t>
      </w:r>
      <w:r>
        <w:rPr>
          <w:w w:val="105"/>
        </w:rPr>
        <w:t>prácticas y</w:t>
      </w:r>
      <w:r>
        <w:rPr>
          <w:spacing w:val="-4"/>
          <w:w w:val="105"/>
        </w:rPr>
        <w:t> </w:t>
      </w:r>
      <w:r>
        <w:rPr>
          <w:w w:val="105"/>
        </w:rPr>
        <w:t>sentidos</w:t>
      </w:r>
      <w:r>
        <w:rPr>
          <w:spacing w:val="-4"/>
          <w:w w:val="105"/>
        </w:rPr>
        <w:t> </w:t>
      </w:r>
      <w:r>
        <w:rPr>
          <w:w w:val="105"/>
        </w:rPr>
        <w:t>construidos</w:t>
      </w:r>
      <w:r>
        <w:rPr>
          <w:spacing w:val="-4"/>
          <w:w w:val="105"/>
        </w:rPr>
        <w:t> </w:t>
      </w:r>
      <w:r>
        <w:rPr>
          <w:w w:val="105"/>
        </w:rPr>
        <w:t>en</w:t>
      </w:r>
      <w:r>
        <w:rPr>
          <w:spacing w:val="-4"/>
          <w:w w:val="105"/>
        </w:rPr>
        <w:t> </w:t>
      </w:r>
      <w:r>
        <w:rPr>
          <w:w w:val="105"/>
        </w:rPr>
        <w:t>torno</w:t>
      </w:r>
      <w:r>
        <w:rPr>
          <w:spacing w:val="-4"/>
          <w:w w:val="105"/>
        </w:rPr>
        <w:t> </w:t>
      </w:r>
      <w:r>
        <w:rPr>
          <w:w w:val="105"/>
        </w:rPr>
        <w:t>a</w:t>
      </w:r>
      <w:r>
        <w:rPr>
          <w:spacing w:val="-4"/>
          <w:w w:val="105"/>
        </w:rPr>
        <w:t> </w:t>
      </w:r>
      <w:r>
        <w:rPr>
          <w:w w:val="105"/>
        </w:rPr>
        <w:t>las</w:t>
      </w:r>
      <w:r>
        <w:rPr>
          <w:spacing w:val="-4"/>
          <w:w w:val="105"/>
        </w:rPr>
        <w:t> </w:t>
      </w:r>
      <w:r>
        <w:rPr>
          <w:w w:val="105"/>
        </w:rPr>
        <w:t>expectativas,</w:t>
      </w:r>
      <w:r>
        <w:rPr>
          <w:spacing w:val="-10"/>
          <w:w w:val="105"/>
        </w:rPr>
        <w:t> </w:t>
      </w:r>
      <w:r>
        <w:rPr>
          <w:w w:val="105"/>
        </w:rPr>
        <w:t>los</w:t>
      </w:r>
      <w:r>
        <w:rPr>
          <w:spacing w:val="-4"/>
          <w:w w:val="105"/>
        </w:rPr>
        <w:t> </w:t>
      </w:r>
      <w:r>
        <w:rPr>
          <w:w w:val="105"/>
        </w:rPr>
        <w:t>objetivos</w:t>
      </w:r>
      <w:r>
        <w:rPr>
          <w:spacing w:val="-4"/>
          <w:w w:val="105"/>
        </w:rPr>
        <w:t> </w:t>
      </w:r>
      <w:r>
        <w:rPr>
          <w:w w:val="105"/>
        </w:rPr>
        <w:t>cumpli- dos o los planes frustrados y la manera en que se reproducen los</w:t>
      </w:r>
      <w:r>
        <w:rPr>
          <w:spacing w:val="-33"/>
          <w:w w:val="105"/>
        </w:rPr>
        <w:t> </w:t>
      </w:r>
      <w:r>
        <w:rPr>
          <w:w w:val="105"/>
        </w:rPr>
        <w:t>lazos parentales</w:t>
      </w:r>
      <w:r>
        <w:rPr>
          <w:spacing w:val="-26"/>
          <w:w w:val="105"/>
        </w:rPr>
        <w:t> </w:t>
      </w:r>
      <w:r>
        <w:rPr>
          <w:w w:val="105"/>
        </w:rPr>
        <w:t>y</w:t>
      </w:r>
      <w:r>
        <w:rPr>
          <w:spacing w:val="-26"/>
          <w:w w:val="105"/>
        </w:rPr>
        <w:t> </w:t>
      </w:r>
      <w:r>
        <w:rPr>
          <w:w w:val="105"/>
        </w:rPr>
        <w:t>afectivos</w:t>
      </w:r>
      <w:r>
        <w:rPr>
          <w:spacing w:val="-26"/>
          <w:w w:val="105"/>
        </w:rPr>
        <w:t> </w:t>
      </w:r>
      <w:r>
        <w:rPr>
          <w:w w:val="105"/>
        </w:rPr>
        <w:t>en</w:t>
      </w:r>
      <w:r>
        <w:rPr>
          <w:spacing w:val="-26"/>
          <w:w w:val="105"/>
        </w:rPr>
        <w:t> </w:t>
      </w:r>
      <w:r>
        <w:rPr>
          <w:w w:val="105"/>
        </w:rPr>
        <w:t>la</w:t>
      </w:r>
      <w:r>
        <w:rPr>
          <w:spacing w:val="-26"/>
          <w:w w:val="105"/>
        </w:rPr>
        <w:t> </w:t>
      </w:r>
      <w:r>
        <w:rPr>
          <w:w w:val="105"/>
        </w:rPr>
        <w:t>reinserción</w:t>
      </w:r>
      <w:r>
        <w:rPr>
          <w:spacing w:val="-26"/>
          <w:w w:val="105"/>
        </w:rPr>
        <w:t> </w:t>
      </w:r>
      <w:r>
        <w:rPr>
          <w:w w:val="105"/>
        </w:rPr>
        <w:t>de</w:t>
      </w:r>
      <w:r>
        <w:rPr>
          <w:spacing w:val="-26"/>
          <w:w w:val="105"/>
        </w:rPr>
        <w:t> </w:t>
      </w:r>
      <w:r>
        <w:rPr>
          <w:w w:val="105"/>
        </w:rPr>
        <w:t>los</w:t>
      </w:r>
      <w:r>
        <w:rPr>
          <w:spacing w:val="-26"/>
          <w:w w:val="105"/>
        </w:rPr>
        <w:t> </w:t>
      </w:r>
      <w:r>
        <w:rPr>
          <w:w w:val="105"/>
        </w:rPr>
        <w:t>ausentes.</w:t>
      </w:r>
    </w:p>
    <w:p>
      <w:pPr>
        <w:pStyle w:val="BodyText"/>
        <w:spacing w:line="261" w:lineRule="auto" w:before="1"/>
        <w:ind w:left="1837" w:right="1721" w:firstLine="567"/>
        <w:jc w:val="both"/>
      </w:pPr>
      <w:r>
        <w:rPr/>
        <w:pict>
          <v:line style="position:absolute;mso-position-horizontal-relative:page;mso-position-vertical-relative:paragraph;z-index:-462784" from="15pt,184.23999pt" to="0pt,184.23999pt" stroked="true" strokeweight=".25pt" strokecolor="#000000">
            <w10:wrap type="none"/>
          </v:line>
        </w:pict>
      </w:r>
      <w:r>
        <w:rPr/>
        <w:pict>
          <v:line style="position:absolute;mso-position-horizontal-relative:page;mso-position-vertical-relative:paragraph;z-index:27424" from="508.890015pt,184.23999pt" to="523.890015pt,184.23999pt" stroked="true" strokeweight=".25pt" strokecolor="#000000">
            <w10:wrap type="none"/>
          </v:line>
        </w:pict>
      </w:r>
      <w:r>
        <w:rPr>
          <w:w w:val="105"/>
        </w:rPr>
        <w:t>Ahora bien, ¿por qué hablar de reinserción y no de reintegración de</w:t>
      </w:r>
      <w:r>
        <w:rPr>
          <w:spacing w:val="-6"/>
          <w:w w:val="105"/>
        </w:rPr>
        <w:t> </w:t>
      </w:r>
      <w:r>
        <w:rPr>
          <w:w w:val="105"/>
        </w:rPr>
        <w:t>los</w:t>
      </w:r>
      <w:r>
        <w:rPr>
          <w:spacing w:val="-6"/>
          <w:w w:val="105"/>
        </w:rPr>
        <w:t> </w:t>
      </w:r>
      <w:r>
        <w:rPr>
          <w:w w:val="105"/>
        </w:rPr>
        <w:t>retornados?</w:t>
      </w:r>
      <w:r>
        <w:rPr>
          <w:spacing w:val="-6"/>
          <w:w w:val="105"/>
        </w:rPr>
        <w:t> </w:t>
      </w:r>
      <w:r>
        <w:rPr>
          <w:w w:val="105"/>
        </w:rPr>
        <w:t>Más</w:t>
      </w:r>
      <w:r>
        <w:rPr>
          <w:spacing w:val="-6"/>
          <w:w w:val="105"/>
        </w:rPr>
        <w:t> </w:t>
      </w:r>
      <w:r>
        <w:rPr>
          <w:w w:val="105"/>
        </w:rPr>
        <w:t>que</w:t>
      </w:r>
      <w:r>
        <w:rPr>
          <w:spacing w:val="-6"/>
          <w:w w:val="105"/>
        </w:rPr>
        <w:t> </w:t>
      </w:r>
      <w:r>
        <w:rPr>
          <w:w w:val="105"/>
        </w:rPr>
        <w:t>una</w:t>
      </w:r>
      <w:r>
        <w:rPr>
          <w:spacing w:val="-6"/>
          <w:w w:val="105"/>
        </w:rPr>
        <w:t> </w:t>
      </w:r>
      <w:r>
        <w:rPr>
          <w:w w:val="105"/>
        </w:rPr>
        <w:t>precisión</w:t>
      </w:r>
      <w:r>
        <w:rPr>
          <w:spacing w:val="-6"/>
          <w:w w:val="105"/>
        </w:rPr>
        <w:t> </w:t>
      </w:r>
      <w:r>
        <w:rPr>
          <w:w w:val="105"/>
        </w:rPr>
        <w:t>de</w:t>
      </w:r>
      <w:r>
        <w:rPr>
          <w:spacing w:val="-6"/>
          <w:w w:val="105"/>
        </w:rPr>
        <w:t> </w:t>
      </w:r>
      <w:r>
        <w:rPr>
          <w:w w:val="105"/>
        </w:rPr>
        <w:t>términos</w:t>
      </w:r>
      <w:r>
        <w:rPr>
          <w:spacing w:val="-6"/>
          <w:w w:val="105"/>
        </w:rPr>
        <w:t> </w:t>
      </w:r>
      <w:r>
        <w:rPr>
          <w:w w:val="105"/>
        </w:rPr>
        <w:t>o</w:t>
      </w:r>
      <w:r>
        <w:rPr>
          <w:spacing w:val="-6"/>
          <w:w w:val="105"/>
        </w:rPr>
        <w:t> </w:t>
      </w:r>
      <w:r>
        <w:rPr>
          <w:w w:val="105"/>
        </w:rPr>
        <w:t>grados</w:t>
      </w:r>
      <w:r>
        <w:rPr>
          <w:spacing w:val="-6"/>
          <w:w w:val="105"/>
        </w:rPr>
        <w:t> </w:t>
      </w:r>
      <w:r>
        <w:rPr>
          <w:w w:val="105"/>
        </w:rPr>
        <w:t>de</w:t>
      </w:r>
      <w:r>
        <w:rPr>
          <w:spacing w:val="-6"/>
          <w:w w:val="105"/>
        </w:rPr>
        <w:t> </w:t>
      </w:r>
      <w:r>
        <w:rPr>
          <w:w w:val="105"/>
        </w:rPr>
        <w:t>rea- daptación,</w:t>
      </w:r>
      <w:r>
        <w:rPr>
          <w:spacing w:val="-11"/>
          <w:w w:val="105"/>
        </w:rPr>
        <w:t> </w:t>
      </w:r>
      <w:r>
        <w:rPr>
          <w:w w:val="105"/>
        </w:rPr>
        <w:t>elegimos</w:t>
      </w:r>
      <w:r>
        <w:rPr>
          <w:spacing w:val="-6"/>
          <w:w w:val="105"/>
        </w:rPr>
        <w:t> </w:t>
      </w:r>
      <w:r>
        <w:rPr>
          <w:w w:val="105"/>
        </w:rPr>
        <w:t>la</w:t>
      </w:r>
      <w:r>
        <w:rPr>
          <w:spacing w:val="-6"/>
          <w:w w:val="105"/>
        </w:rPr>
        <w:t> </w:t>
      </w:r>
      <w:r>
        <w:rPr>
          <w:w w:val="105"/>
        </w:rPr>
        <w:t>“reinserción”</w:t>
      </w:r>
      <w:r>
        <w:rPr>
          <w:spacing w:val="-6"/>
          <w:w w:val="105"/>
        </w:rPr>
        <w:t> </w:t>
      </w:r>
      <w:r>
        <w:rPr>
          <w:w w:val="105"/>
        </w:rPr>
        <w:t>por</w:t>
      </w:r>
      <w:r>
        <w:rPr>
          <w:spacing w:val="-6"/>
          <w:w w:val="105"/>
        </w:rPr>
        <w:t> </w:t>
      </w:r>
      <w:r>
        <w:rPr>
          <w:w w:val="105"/>
        </w:rPr>
        <w:t>tratarse</w:t>
      </w:r>
      <w:r>
        <w:rPr>
          <w:spacing w:val="-6"/>
          <w:w w:val="105"/>
        </w:rPr>
        <w:t> </w:t>
      </w:r>
      <w:r>
        <w:rPr>
          <w:w w:val="105"/>
        </w:rPr>
        <w:t>de</w:t>
      </w:r>
      <w:r>
        <w:rPr>
          <w:spacing w:val="-6"/>
          <w:w w:val="105"/>
        </w:rPr>
        <w:t> </w:t>
      </w:r>
      <w:r>
        <w:rPr>
          <w:w w:val="105"/>
        </w:rPr>
        <w:t>una</w:t>
      </w:r>
      <w:r>
        <w:rPr>
          <w:spacing w:val="-6"/>
          <w:w w:val="105"/>
        </w:rPr>
        <w:t> </w:t>
      </w:r>
      <w:r>
        <w:rPr>
          <w:w w:val="105"/>
        </w:rPr>
        <w:t>categoría</w:t>
      </w:r>
      <w:r>
        <w:rPr>
          <w:spacing w:val="-6"/>
          <w:w w:val="105"/>
        </w:rPr>
        <w:t> </w:t>
      </w:r>
      <w:r>
        <w:rPr>
          <w:w w:val="105"/>
        </w:rPr>
        <w:t>analí- tica</w:t>
      </w:r>
      <w:r>
        <w:rPr>
          <w:spacing w:val="-8"/>
          <w:w w:val="105"/>
        </w:rPr>
        <w:t> </w:t>
      </w:r>
      <w:r>
        <w:rPr>
          <w:w w:val="105"/>
        </w:rPr>
        <w:t>que</w:t>
      </w:r>
      <w:r>
        <w:rPr>
          <w:spacing w:val="-8"/>
          <w:w w:val="105"/>
        </w:rPr>
        <w:t> </w:t>
      </w:r>
      <w:r>
        <w:rPr>
          <w:w w:val="105"/>
        </w:rPr>
        <w:t>permite</w:t>
      </w:r>
      <w:r>
        <w:rPr>
          <w:spacing w:val="-8"/>
          <w:w w:val="105"/>
        </w:rPr>
        <w:t> </w:t>
      </w:r>
      <w:r>
        <w:rPr>
          <w:w w:val="105"/>
        </w:rPr>
        <w:t>hacer</w:t>
      </w:r>
      <w:r>
        <w:rPr>
          <w:spacing w:val="-8"/>
          <w:w w:val="105"/>
        </w:rPr>
        <w:t> </w:t>
      </w:r>
      <w:r>
        <w:rPr>
          <w:w w:val="105"/>
        </w:rPr>
        <w:t>una</w:t>
      </w:r>
      <w:r>
        <w:rPr>
          <w:spacing w:val="-8"/>
          <w:w w:val="105"/>
        </w:rPr>
        <w:t> </w:t>
      </w:r>
      <w:r>
        <w:rPr>
          <w:w w:val="105"/>
        </w:rPr>
        <w:t>analogía</w:t>
      </w:r>
      <w:r>
        <w:rPr>
          <w:spacing w:val="-8"/>
          <w:w w:val="105"/>
        </w:rPr>
        <w:t> </w:t>
      </w:r>
      <w:r>
        <w:rPr>
          <w:w w:val="105"/>
        </w:rPr>
        <w:t>inversa</w:t>
      </w:r>
      <w:r>
        <w:rPr>
          <w:spacing w:val="-8"/>
          <w:w w:val="105"/>
        </w:rPr>
        <w:t> </w:t>
      </w:r>
      <w:r>
        <w:rPr>
          <w:w w:val="105"/>
        </w:rPr>
        <w:t>respecto</w:t>
      </w:r>
      <w:r>
        <w:rPr>
          <w:spacing w:val="-8"/>
          <w:w w:val="105"/>
        </w:rPr>
        <w:t> </w:t>
      </w:r>
      <w:r>
        <w:rPr>
          <w:w w:val="105"/>
        </w:rPr>
        <w:t>de</w:t>
      </w:r>
      <w:r>
        <w:rPr>
          <w:spacing w:val="-8"/>
          <w:w w:val="105"/>
        </w:rPr>
        <w:t> </w:t>
      </w:r>
      <w:r>
        <w:rPr>
          <w:w w:val="105"/>
        </w:rPr>
        <w:t>los</w:t>
      </w:r>
      <w:r>
        <w:rPr>
          <w:spacing w:val="-8"/>
          <w:w w:val="105"/>
        </w:rPr>
        <w:t> </w:t>
      </w:r>
      <w:r>
        <w:rPr>
          <w:w w:val="105"/>
        </w:rPr>
        <w:t>estudios</w:t>
      </w:r>
      <w:r>
        <w:rPr>
          <w:spacing w:val="-8"/>
          <w:w w:val="105"/>
        </w:rPr>
        <w:t> </w:t>
      </w:r>
      <w:r>
        <w:rPr>
          <w:w w:val="105"/>
        </w:rPr>
        <w:t>de la</w:t>
      </w:r>
      <w:r>
        <w:rPr>
          <w:spacing w:val="-9"/>
          <w:w w:val="105"/>
        </w:rPr>
        <w:t> </w:t>
      </w:r>
      <w:r>
        <w:rPr>
          <w:w w:val="105"/>
        </w:rPr>
        <w:t>“inserción”</w:t>
      </w:r>
      <w:r>
        <w:rPr>
          <w:spacing w:val="-9"/>
          <w:w w:val="105"/>
        </w:rPr>
        <w:t> </w:t>
      </w:r>
      <w:r>
        <w:rPr>
          <w:w w:val="105"/>
        </w:rPr>
        <w:t>en</w:t>
      </w:r>
      <w:r>
        <w:rPr>
          <w:spacing w:val="-9"/>
          <w:w w:val="105"/>
        </w:rPr>
        <w:t> </w:t>
      </w:r>
      <w:r>
        <w:rPr>
          <w:w w:val="105"/>
        </w:rPr>
        <w:t>el</w:t>
      </w:r>
      <w:r>
        <w:rPr>
          <w:spacing w:val="-9"/>
          <w:w w:val="105"/>
        </w:rPr>
        <w:t> </w:t>
      </w:r>
      <w:r>
        <w:rPr>
          <w:w w:val="105"/>
        </w:rPr>
        <w:t>lugar</w:t>
      </w:r>
      <w:r>
        <w:rPr>
          <w:spacing w:val="-9"/>
          <w:w w:val="105"/>
        </w:rPr>
        <w:t> </w:t>
      </w:r>
      <w:r>
        <w:rPr>
          <w:w w:val="105"/>
        </w:rPr>
        <w:t>de</w:t>
      </w:r>
      <w:r>
        <w:rPr>
          <w:spacing w:val="-9"/>
          <w:w w:val="105"/>
        </w:rPr>
        <w:t> </w:t>
      </w:r>
      <w:r>
        <w:rPr>
          <w:w w:val="105"/>
        </w:rPr>
        <w:t>destino.</w:t>
      </w:r>
      <w:r>
        <w:rPr>
          <w:spacing w:val="-14"/>
          <w:w w:val="105"/>
        </w:rPr>
        <w:t> </w:t>
      </w:r>
      <w:r>
        <w:rPr>
          <w:w w:val="105"/>
        </w:rPr>
        <w:t>El</w:t>
      </w:r>
      <w:r>
        <w:rPr>
          <w:spacing w:val="-9"/>
          <w:w w:val="105"/>
        </w:rPr>
        <w:t> </w:t>
      </w:r>
      <w:r>
        <w:rPr>
          <w:w w:val="105"/>
        </w:rPr>
        <w:t>asentamiento</w:t>
      </w:r>
      <w:r>
        <w:rPr>
          <w:spacing w:val="-9"/>
          <w:w w:val="105"/>
        </w:rPr>
        <w:t> </w:t>
      </w:r>
      <w:r>
        <w:rPr>
          <w:w w:val="105"/>
        </w:rPr>
        <w:t>de</w:t>
      </w:r>
      <w:r>
        <w:rPr>
          <w:spacing w:val="-9"/>
          <w:w w:val="105"/>
        </w:rPr>
        <w:t> </w:t>
      </w:r>
      <w:r>
        <w:rPr>
          <w:w w:val="105"/>
        </w:rPr>
        <w:t>migrantes</w:t>
      </w:r>
      <w:r>
        <w:rPr>
          <w:spacing w:val="-9"/>
          <w:w w:val="105"/>
        </w:rPr>
        <w:t> </w:t>
      </w:r>
      <w:r>
        <w:rPr>
          <w:w w:val="105"/>
        </w:rPr>
        <w:t>labo- rales en los lugares de acogida llamó la atención sobre el potencial de cambio</w:t>
      </w:r>
      <w:r>
        <w:rPr>
          <w:spacing w:val="-18"/>
          <w:w w:val="105"/>
        </w:rPr>
        <w:t> </w:t>
      </w:r>
      <w:r>
        <w:rPr>
          <w:w w:val="105"/>
        </w:rPr>
        <w:t>de</w:t>
      </w:r>
      <w:r>
        <w:rPr>
          <w:spacing w:val="-18"/>
          <w:w w:val="105"/>
        </w:rPr>
        <w:t> </w:t>
      </w:r>
      <w:r>
        <w:rPr>
          <w:w w:val="105"/>
        </w:rPr>
        <w:t>estos</w:t>
      </w:r>
      <w:r>
        <w:rPr>
          <w:spacing w:val="-18"/>
          <w:w w:val="105"/>
        </w:rPr>
        <w:t> </w:t>
      </w:r>
      <w:r>
        <w:rPr>
          <w:w w:val="105"/>
        </w:rPr>
        <w:t>flujos</w:t>
      </w:r>
      <w:r>
        <w:rPr>
          <w:spacing w:val="-18"/>
          <w:w w:val="105"/>
        </w:rPr>
        <w:t> </w:t>
      </w:r>
      <w:r>
        <w:rPr>
          <w:w w:val="105"/>
        </w:rPr>
        <w:t>de</w:t>
      </w:r>
      <w:r>
        <w:rPr>
          <w:spacing w:val="-18"/>
          <w:w w:val="105"/>
        </w:rPr>
        <w:t> </w:t>
      </w:r>
      <w:r>
        <w:rPr>
          <w:w w:val="105"/>
        </w:rPr>
        <w:t>personas.</w:t>
      </w:r>
      <w:r>
        <w:rPr>
          <w:spacing w:val="-23"/>
          <w:w w:val="105"/>
        </w:rPr>
        <w:t> </w:t>
      </w:r>
      <w:r>
        <w:rPr>
          <w:w w:val="105"/>
        </w:rPr>
        <w:t>E</w:t>
      </w:r>
      <w:r>
        <w:rPr>
          <w:color w:val="231F20"/>
          <w:w w:val="105"/>
        </w:rPr>
        <w:t>l</w:t>
      </w:r>
      <w:r>
        <w:rPr>
          <w:color w:val="231F20"/>
          <w:spacing w:val="-18"/>
          <w:w w:val="105"/>
        </w:rPr>
        <w:t> </w:t>
      </w:r>
      <w:r>
        <w:rPr>
          <w:color w:val="231F20"/>
          <w:w w:val="105"/>
        </w:rPr>
        <w:t>análisis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integración,</w:t>
      </w:r>
      <w:r>
        <w:rPr>
          <w:color w:val="231F20"/>
          <w:spacing w:val="-23"/>
          <w:w w:val="105"/>
        </w:rPr>
        <w:t> </w:t>
      </w:r>
      <w:r>
        <w:rPr>
          <w:color w:val="231F20"/>
          <w:w w:val="105"/>
        </w:rPr>
        <w:t>asimila- ción</w:t>
      </w:r>
      <w:r>
        <w:rPr>
          <w:color w:val="231F20"/>
          <w:spacing w:val="-19"/>
          <w:w w:val="105"/>
        </w:rPr>
        <w:t> </w:t>
      </w:r>
      <w:r>
        <w:rPr>
          <w:color w:val="231F20"/>
          <w:w w:val="105"/>
        </w:rPr>
        <w:t>y</w:t>
      </w:r>
      <w:r>
        <w:rPr>
          <w:color w:val="231F20"/>
          <w:spacing w:val="-19"/>
          <w:w w:val="105"/>
        </w:rPr>
        <w:t> </w:t>
      </w:r>
      <w:r>
        <w:rPr>
          <w:color w:val="231F20"/>
          <w:w w:val="105"/>
        </w:rPr>
        <w:t>aculturación</w:t>
      </w:r>
      <w:r>
        <w:rPr>
          <w:color w:val="231F20"/>
          <w:spacing w:val="-19"/>
          <w:w w:val="105"/>
        </w:rPr>
        <w:t> </w:t>
      </w:r>
      <w:r>
        <w:rPr>
          <w:color w:val="231F20"/>
          <w:w w:val="105"/>
        </w:rPr>
        <w:t>indagaba</w:t>
      </w:r>
      <w:r>
        <w:rPr>
          <w:color w:val="231F20"/>
          <w:spacing w:val="-19"/>
          <w:w w:val="105"/>
        </w:rPr>
        <w:t> </w:t>
      </w:r>
      <w:r>
        <w:rPr>
          <w:color w:val="231F20"/>
          <w:w w:val="105"/>
        </w:rPr>
        <w:t>el</w:t>
      </w:r>
      <w:r>
        <w:rPr>
          <w:color w:val="231F20"/>
          <w:spacing w:val="-19"/>
          <w:w w:val="105"/>
        </w:rPr>
        <w:t> </w:t>
      </w:r>
      <w:r>
        <w:rPr>
          <w:color w:val="231F20"/>
          <w:w w:val="105"/>
        </w:rPr>
        <w:t>papel</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migrantes</w:t>
      </w:r>
      <w:r>
        <w:rPr>
          <w:color w:val="231F20"/>
          <w:spacing w:val="-19"/>
          <w:w w:val="105"/>
        </w:rPr>
        <w:t> </w:t>
      </w:r>
      <w:r>
        <w:rPr>
          <w:color w:val="231F20"/>
          <w:w w:val="105"/>
        </w:rPr>
        <w:t>en</w:t>
      </w:r>
      <w:r>
        <w:rPr>
          <w:color w:val="231F20"/>
          <w:spacing w:val="-19"/>
          <w:w w:val="105"/>
        </w:rPr>
        <w:t> </w:t>
      </w:r>
      <w:r>
        <w:rPr>
          <w:color w:val="231F20"/>
          <w:w w:val="105"/>
        </w:rPr>
        <w:t>las</w:t>
      </w:r>
      <w:r>
        <w:rPr>
          <w:color w:val="231F20"/>
          <w:spacing w:val="-19"/>
          <w:w w:val="105"/>
        </w:rPr>
        <w:t> </w:t>
      </w:r>
      <w:r>
        <w:rPr>
          <w:color w:val="231F20"/>
          <w:w w:val="105"/>
        </w:rPr>
        <w:t>sociedades de</w:t>
      </w:r>
      <w:r>
        <w:rPr>
          <w:color w:val="231F20"/>
          <w:spacing w:val="-21"/>
          <w:w w:val="105"/>
        </w:rPr>
        <w:t> </w:t>
      </w:r>
      <w:r>
        <w:rPr>
          <w:color w:val="231F20"/>
          <w:w w:val="105"/>
        </w:rPr>
        <w:t>acogida</w:t>
      </w:r>
      <w:r>
        <w:rPr>
          <w:color w:val="231F20"/>
          <w:spacing w:val="-21"/>
          <w:w w:val="105"/>
        </w:rPr>
        <w:t> </w:t>
      </w:r>
      <w:r>
        <w:rPr>
          <w:color w:val="231F20"/>
          <w:w w:val="105"/>
        </w:rPr>
        <w:t>y</w:t>
      </w:r>
      <w:r>
        <w:rPr>
          <w:color w:val="231F20"/>
          <w:spacing w:val="-21"/>
          <w:w w:val="105"/>
        </w:rPr>
        <w:t> </w:t>
      </w:r>
      <w:r>
        <w:rPr>
          <w:color w:val="231F20"/>
          <w:w w:val="105"/>
        </w:rPr>
        <w:t>las</w:t>
      </w:r>
      <w:r>
        <w:rPr>
          <w:color w:val="231F20"/>
          <w:spacing w:val="-21"/>
          <w:w w:val="105"/>
        </w:rPr>
        <w:t> </w:t>
      </w:r>
      <w:r>
        <w:rPr>
          <w:color w:val="231F20"/>
          <w:w w:val="105"/>
        </w:rPr>
        <w:t>repercusiones</w:t>
      </w:r>
      <w:r>
        <w:rPr>
          <w:color w:val="231F20"/>
          <w:spacing w:val="-21"/>
          <w:w w:val="105"/>
        </w:rPr>
        <w:t> </w:t>
      </w:r>
      <w:r>
        <w:rPr>
          <w:color w:val="231F20"/>
          <w:w w:val="105"/>
        </w:rPr>
        <w:t>sobre</w:t>
      </w:r>
      <w:r>
        <w:rPr>
          <w:color w:val="231F20"/>
          <w:spacing w:val="-21"/>
          <w:w w:val="105"/>
        </w:rPr>
        <w:t> </w:t>
      </w:r>
      <w:r>
        <w:rPr>
          <w:color w:val="231F20"/>
          <w:w w:val="105"/>
        </w:rPr>
        <w:t>lo</w:t>
      </w:r>
      <w:r>
        <w:rPr>
          <w:color w:val="231F20"/>
          <w:spacing w:val="-21"/>
          <w:w w:val="105"/>
        </w:rPr>
        <w:t> </w:t>
      </w:r>
      <w:r>
        <w:rPr>
          <w:color w:val="231F20"/>
          <w:spacing w:val="-3"/>
          <w:w w:val="105"/>
        </w:rPr>
        <w:t>“nacional”,</w:t>
      </w:r>
      <w:r>
        <w:rPr>
          <w:color w:val="231F20"/>
          <w:spacing w:val="-26"/>
          <w:w w:val="105"/>
        </w:rPr>
        <w:t> </w:t>
      </w:r>
      <w:r>
        <w:rPr>
          <w:color w:val="231F20"/>
          <w:w w:val="105"/>
        </w:rPr>
        <w:t>es</w:t>
      </w:r>
      <w:r>
        <w:rPr>
          <w:color w:val="231F20"/>
          <w:spacing w:val="-21"/>
          <w:w w:val="105"/>
        </w:rPr>
        <w:t> </w:t>
      </w:r>
      <w:r>
        <w:rPr>
          <w:color w:val="231F20"/>
          <w:w w:val="105"/>
        </w:rPr>
        <w:t>decir,</w:t>
      </w:r>
      <w:r>
        <w:rPr>
          <w:color w:val="231F20"/>
          <w:spacing w:val="-26"/>
          <w:w w:val="105"/>
        </w:rPr>
        <w:t> </w:t>
      </w:r>
      <w:r>
        <w:rPr>
          <w:color w:val="231F20"/>
          <w:w w:val="105"/>
        </w:rPr>
        <w:t>de</w:t>
      </w:r>
      <w:r>
        <w:rPr>
          <w:color w:val="231F20"/>
          <w:spacing w:val="-21"/>
          <w:w w:val="105"/>
        </w:rPr>
        <w:t> </w:t>
      </w:r>
      <w:r>
        <w:rPr>
          <w:color w:val="231F20"/>
          <w:w w:val="105"/>
        </w:rPr>
        <w:t>qué</w:t>
      </w:r>
      <w:r>
        <w:rPr>
          <w:color w:val="231F20"/>
          <w:spacing w:val="-21"/>
          <w:w w:val="105"/>
        </w:rPr>
        <w:t> </w:t>
      </w:r>
      <w:r>
        <w:rPr>
          <w:color w:val="231F20"/>
          <w:w w:val="105"/>
        </w:rPr>
        <w:t>modo</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27496" from="15pt,-71.68644pt" to="0pt,-71.68644pt" stroked="true" strokeweight=".25pt" strokecolor="#000000">
            <w10:wrap type="none"/>
          </v:line>
        </w:pict>
      </w:r>
      <w:r>
        <w:rPr/>
        <w:pict>
          <v:line style="position:absolute;mso-position-horizontal-relative:page;mso-position-vertical-relative:paragraph;z-index:27520" from="508.890015pt,-71.68644pt" to="523.890015pt,-71.68644pt" stroked="true" strokeweight=".25pt" strokecolor="#000000">
            <w10:wrap type="none"/>
          </v:line>
        </w:pict>
      </w:r>
      <w:r>
        <w:rPr>
          <w:color w:val="231F20"/>
          <w:w w:val="105"/>
        </w:rPr>
        <w:t>la</w:t>
      </w:r>
      <w:r>
        <w:rPr>
          <w:color w:val="231F20"/>
          <w:spacing w:val="-22"/>
          <w:w w:val="105"/>
        </w:rPr>
        <w:t> </w:t>
      </w:r>
      <w:r>
        <w:rPr>
          <w:color w:val="231F20"/>
          <w:w w:val="105"/>
        </w:rPr>
        <w:t>presencia</w:t>
      </w:r>
      <w:r>
        <w:rPr>
          <w:color w:val="231F20"/>
          <w:spacing w:val="-22"/>
          <w:w w:val="105"/>
        </w:rPr>
        <w:t> </w:t>
      </w:r>
      <w:r>
        <w:rPr>
          <w:color w:val="231F20"/>
          <w:w w:val="105"/>
        </w:rPr>
        <w:t>de</w:t>
      </w:r>
      <w:r>
        <w:rPr>
          <w:color w:val="231F20"/>
          <w:spacing w:val="-22"/>
          <w:w w:val="105"/>
        </w:rPr>
        <w:t> </w:t>
      </w:r>
      <w:r>
        <w:rPr>
          <w:color w:val="231F20"/>
          <w:w w:val="105"/>
        </w:rPr>
        <w:t>nuevos</w:t>
      </w:r>
      <w:r>
        <w:rPr>
          <w:color w:val="231F20"/>
          <w:spacing w:val="-22"/>
          <w:w w:val="105"/>
        </w:rPr>
        <w:t> </w:t>
      </w:r>
      <w:r>
        <w:rPr>
          <w:color w:val="231F20"/>
          <w:w w:val="105"/>
        </w:rPr>
        <w:t>habitantes</w:t>
      </w:r>
      <w:r>
        <w:rPr>
          <w:color w:val="231F20"/>
          <w:spacing w:val="-22"/>
          <w:w w:val="105"/>
        </w:rPr>
        <w:t> </w:t>
      </w:r>
      <w:r>
        <w:rPr>
          <w:color w:val="231F20"/>
          <w:w w:val="105"/>
        </w:rPr>
        <w:t>altera</w:t>
      </w:r>
      <w:r>
        <w:rPr>
          <w:color w:val="231F20"/>
          <w:spacing w:val="-22"/>
          <w:w w:val="105"/>
        </w:rPr>
        <w:t> </w:t>
      </w:r>
      <w:r>
        <w:rPr>
          <w:color w:val="231F20"/>
          <w:w w:val="105"/>
        </w:rPr>
        <w:t>las</w:t>
      </w:r>
      <w:r>
        <w:rPr>
          <w:color w:val="231F20"/>
          <w:spacing w:val="-22"/>
          <w:w w:val="105"/>
        </w:rPr>
        <w:t> </w:t>
      </w:r>
      <w:r>
        <w:rPr>
          <w:color w:val="231F20"/>
          <w:w w:val="105"/>
        </w:rPr>
        <w:t>sociedades</w:t>
      </w:r>
      <w:r>
        <w:rPr>
          <w:color w:val="231F20"/>
          <w:spacing w:val="-22"/>
          <w:w w:val="105"/>
        </w:rPr>
        <w:t> </w:t>
      </w:r>
      <w:r>
        <w:rPr>
          <w:color w:val="231F20"/>
          <w:w w:val="105"/>
        </w:rPr>
        <w:t>en</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asien- tan.</w:t>
      </w:r>
      <w:r>
        <w:rPr>
          <w:color w:val="231F20"/>
          <w:spacing w:val="-29"/>
          <w:w w:val="105"/>
        </w:rPr>
        <w:t> </w:t>
      </w:r>
      <w:r>
        <w:rPr>
          <w:color w:val="231F20"/>
          <w:w w:val="105"/>
        </w:rPr>
        <w:t>Con</w:t>
      </w:r>
      <w:r>
        <w:rPr>
          <w:color w:val="231F20"/>
          <w:spacing w:val="-23"/>
          <w:w w:val="105"/>
        </w:rPr>
        <w:t> </w:t>
      </w:r>
      <w:r>
        <w:rPr>
          <w:color w:val="231F20"/>
          <w:w w:val="105"/>
        </w:rPr>
        <w:t>el</w:t>
      </w:r>
      <w:r>
        <w:rPr>
          <w:color w:val="231F20"/>
          <w:spacing w:val="-23"/>
          <w:w w:val="105"/>
        </w:rPr>
        <w:t> </w:t>
      </w:r>
      <w:r>
        <w:rPr>
          <w:color w:val="231F20"/>
          <w:w w:val="105"/>
        </w:rPr>
        <w:t>objetivo</w:t>
      </w:r>
      <w:r>
        <w:rPr>
          <w:color w:val="231F20"/>
          <w:spacing w:val="-23"/>
          <w:w w:val="105"/>
        </w:rPr>
        <w:t> </w:t>
      </w:r>
      <w:r>
        <w:rPr>
          <w:color w:val="231F20"/>
          <w:w w:val="105"/>
        </w:rPr>
        <w:t>de</w:t>
      </w:r>
      <w:r>
        <w:rPr>
          <w:color w:val="231F20"/>
          <w:spacing w:val="-23"/>
          <w:w w:val="105"/>
        </w:rPr>
        <w:t> </w:t>
      </w:r>
      <w:r>
        <w:rPr>
          <w:color w:val="231F20"/>
          <w:w w:val="105"/>
        </w:rPr>
        <w:t>acentuar</w:t>
      </w:r>
      <w:r>
        <w:rPr>
          <w:color w:val="231F20"/>
          <w:spacing w:val="-23"/>
          <w:w w:val="105"/>
        </w:rPr>
        <w:t> </w:t>
      </w:r>
      <w:r>
        <w:rPr>
          <w:color w:val="231F20"/>
          <w:w w:val="105"/>
        </w:rPr>
        <w:t>las</w:t>
      </w:r>
      <w:r>
        <w:rPr>
          <w:color w:val="231F20"/>
          <w:spacing w:val="-23"/>
          <w:w w:val="105"/>
        </w:rPr>
        <w:t> </w:t>
      </w:r>
      <w:r>
        <w:rPr>
          <w:color w:val="231F20"/>
          <w:w w:val="105"/>
        </w:rPr>
        <w:t>dificultades</w:t>
      </w:r>
      <w:r>
        <w:rPr>
          <w:color w:val="231F20"/>
          <w:spacing w:val="-23"/>
          <w:w w:val="105"/>
        </w:rPr>
        <w:t> </w:t>
      </w:r>
      <w:r>
        <w:rPr>
          <w:color w:val="231F20"/>
          <w:w w:val="105"/>
        </w:rPr>
        <w:t>y</w:t>
      </w:r>
      <w:r>
        <w:rPr>
          <w:color w:val="231F20"/>
          <w:spacing w:val="-23"/>
          <w:w w:val="105"/>
        </w:rPr>
        <w:t> </w:t>
      </w:r>
      <w:r>
        <w:rPr>
          <w:color w:val="231F20"/>
          <w:w w:val="105"/>
        </w:rPr>
        <w:t>negociaciones</w:t>
      </w:r>
      <w:r>
        <w:rPr>
          <w:color w:val="231F20"/>
          <w:spacing w:val="-23"/>
          <w:w w:val="105"/>
        </w:rPr>
        <w:t> </w:t>
      </w:r>
      <w:r>
        <w:rPr>
          <w:color w:val="231F20"/>
          <w:w w:val="105"/>
        </w:rPr>
        <w:t>que</w:t>
      </w:r>
      <w:r>
        <w:rPr>
          <w:color w:val="231F20"/>
          <w:spacing w:val="-23"/>
          <w:w w:val="105"/>
        </w:rPr>
        <w:t> </w:t>
      </w:r>
      <w:r>
        <w:rPr>
          <w:color w:val="231F20"/>
          <w:w w:val="105"/>
        </w:rPr>
        <w:t>ocu- rren en el regreso, nos referimos a la re-inserción como el proceso de trascendencia que enfrentan los migrantes a su llegada, pues les</w:t>
      </w:r>
      <w:r>
        <w:rPr>
          <w:color w:val="231F20"/>
          <w:spacing w:val="-23"/>
          <w:w w:val="105"/>
        </w:rPr>
        <w:t> </w:t>
      </w:r>
      <w:r>
        <w:rPr>
          <w:color w:val="231F20"/>
          <w:w w:val="105"/>
        </w:rPr>
        <w:t>exige mecanismos</w:t>
      </w:r>
      <w:r>
        <w:rPr>
          <w:color w:val="231F20"/>
          <w:spacing w:val="-25"/>
          <w:w w:val="105"/>
        </w:rPr>
        <w:t> </w:t>
      </w:r>
      <w:r>
        <w:rPr>
          <w:color w:val="231F20"/>
          <w:w w:val="105"/>
        </w:rPr>
        <w:t>de</w:t>
      </w:r>
      <w:r>
        <w:rPr>
          <w:color w:val="231F20"/>
          <w:spacing w:val="-25"/>
          <w:w w:val="105"/>
        </w:rPr>
        <w:t> </w:t>
      </w:r>
      <w:r>
        <w:rPr>
          <w:color w:val="231F20"/>
          <w:w w:val="105"/>
        </w:rPr>
        <w:t>negociación</w:t>
      </w:r>
      <w:r>
        <w:rPr>
          <w:color w:val="231F20"/>
          <w:spacing w:val="-25"/>
          <w:w w:val="105"/>
        </w:rPr>
        <w:t> </w:t>
      </w:r>
      <w:r>
        <w:rPr>
          <w:color w:val="231F20"/>
          <w:w w:val="105"/>
        </w:rPr>
        <w:t>para</w:t>
      </w:r>
      <w:r>
        <w:rPr>
          <w:color w:val="231F20"/>
          <w:spacing w:val="-25"/>
          <w:w w:val="105"/>
        </w:rPr>
        <w:t> </w:t>
      </w:r>
      <w:r>
        <w:rPr>
          <w:color w:val="231F20"/>
          <w:w w:val="105"/>
        </w:rPr>
        <w:t>incorporarse</w:t>
      </w:r>
      <w:r>
        <w:rPr>
          <w:color w:val="231F20"/>
          <w:spacing w:val="-25"/>
          <w:w w:val="105"/>
        </w:rPr>
        <w:t> </w:t>
      </w:r>
      <w:r>
        <w:rPr>
          <w:color w:val="231F20"/>
          <w:w w:val="105"/>
        </w:rPr>
        <w:t>nuevamente</w:t>
      </w:r>
      <w:r>
        <w:rPr>
          <w:color w:val="231F20"/>
          <w:spacing w:val="-25"/>
          <w:w w:val="105"/>
        </w:rPr>
        <w:t> </w:t>
      </w:r>
      <w:r>
        <w:rPr>
          <w:color w:val="231F20"/>
          <w:w w:val="105"/>
        </w:rPr>
        <w:t>a</w:t>
      </w:r>
      <w:r>
        <w:rPr>
          <w:color w:val="231F20"/>
          <w:spacing w:val="-25"/>
          <w:w w:val="105"/>
        </w:rPr>
        <w:t> </w:t>
      </w:r>
      <w:r>
        <w:rPr>
          <w:color w:val="231F20"/>
          <w:w w:val="105"/>
        </w:rPr>
        <w:t>las</w:t>
      </w:r>
      <w:r>
        <w:rPr>
          <w:color w:val="231F20"/>
          <w:spacing w:val="-25"/>
          <w:w w:val="105"/>
        </w:rPr>
        <w:t> </w:t>
      </w:r>
      <w:r>
        <w:rPr>
          <w:color w:val="231F20"/>
          <w:w w:val="105"/>
        </w:rPr>
        <w:t>lógicas sociales,</w:t>
      </w:r>
      <w:r>
        <w:rPr>
          <w:color w:val="231F20"/>
          <w:spacing w:val="-20"/>
          <w:w w:val="105"/>
        </w:rPr>
        <w:t> </w:t>
      </w:r>
      <w:r>
        <w:rPr>
          <w:color w:val="231F20"/>
          <w:w w:val="105"/>
        </w:rPr>
        <w:t>que</w:t>
      </w:r>
      <w:r>
        <w:rPr>
          <w:color w:val="231F20"/>
          <w:spacing w:val="-15"/>
          <w:w w:val="105"/>
        </w:rPr>
        <w:t> </w:t>
      </w:r>
      <w:r>
        <w:rPr>
          <w:color w:val="231F20"/>
          <w:w w:val="105"/>
        </w:rPr>
        <w:t>junto</w:t>
      </w:r>
      <w:r>
        <w:rPr>
          <w:color w:val="231F20"/>
          <w:spacing w:val="-15"/>
          <w:w w:val="105"/>
        </w:rPr>
        <w:t> </w:t>
      </w:r>
      <w:r>
        <w:rPr>
          <w:color w:val="231F20"/>
          <w:w w:val="105"/>
        </w:rPr>
        <w:t>con</w:t>
      </w:r>
      <w:r>
        <w:rPr>
          <w:color w:val="231F20"/>
          <w:spacing w:val="-15"/>
          <w:w w:val="105"/>
        </w:rPr>
        <w:t> </w:t>
      </w:r>
      <w:r>
        <w:rPr>
          <w:color w:val="231F20"/>
          <w:w w:val="105"/>
        </w:rPr>
        <w:t>él</w:t>
      </w:r>
      <w:r>
        <w:rPr>
          <w:color w:val="231F20"/>
          <w:spacing w:val="-15"/>
          <w:w w:val="105"/>
        </w:rPr>
        <w:t> </w:t>
      </w:r>
      <w:r>
        <w:rPr>
          <w:color w:val="231F20"/>
          <w:w w:val="105"/>
        </w:rPr>
        <w:t>han</w:t>
      </w:r>
      <w:r>
        <w:rPr>
          <w:color w:val="231F20"/>
          <w:spacing w:val="-15"/>
          <w:w w:val="105"/>
        </w:rPr>
        <w:t> </w:t>
      </w:r>
      <w:r>
        <w:rPr>
          <w:color w:val="231F20"/>
          <w:w w:val="105"/>
        </w:rPr>
        <w:t>cambiado</w:t>
      </w:r>
      <w:r>
        <w:rPr>
          <w:color w:val="231F20"/>
          <w:spacing w:val="-15"/>
          <w:w w:val="105"/>
        </w:rPr>
        <w:t> </w:t>
      </w:r>
      <w:r>
        <w:rPr>
          <w:color w:val="231F20"/>
          <w:w w:val="105"/>
        </w:rPr>
        <w:t>espacial</w:t>
      </w:r>
      <w:r>
        <w:rPr>
          <w:color w:val="231F20"/>
          <w:spacing w:val="-15"/>
          <w:w w:val="105"/>
        </w:rPr>
        <w:t> </w:t>
      </w:r>
      <w:r>
        <w:rPr>
          <w:color w:val="231F20"/>
          <w:w w:val="105"/>
        </w:rPr>
        <w:t>y</w:t>
      </w:r>
      <w:r>
        <w:rPr>
          <w:color w:val="231F20"/>
          <w:spacing w:val="-15"/>
          <w:w w:val="105"/>
        </w:rPr>
        <w:t> </w:t>
      </w:r>
      <w:r>
        <w:rPr>
          <w:color w:val="231F20"/>
          <w:w w:val="105"/>
        </w:rPr>
        <w:t>temporalmente.</w:t>
      </w:r>
    </w:p>
    <w:p>
      <w:pPr>
        <w:pStyle w:val="BodyText"/>
        <w:spacing w:line="261" w:lineRule="auto" w:before="1"/>
        <w:ind w:left="1723" w:right="1829" w:firstLine="567"/>
        <w:jc w:val="both"/>
      </w:pPr>
      <w:r>
        <w:rPr>
          <w:color w:val="231F20"/>
          <w:w w:val="105"/>
        </w:rPr>
        <w:t>Al indagar sobre el proceso de readaptación o de otra inclusión en la vida social del lugar de retorno se producen otras subjetividades y luego otras orientaciones de sentido respecto de la alteridad (Rivera, 2015). En el análisis del proceso de reinserción sociocultural se aboga por mirar no sólo la reinserción laboral y pública, sino por reconstruir lo vivido,</w:t>
      </w:r>
      <w:r>
        <w:rPr>
          <w:color w:val="231F20"/>
          <w:spacing w:val="-16"/>
          <w:w w:val="105"/>
        </w:rPr>
        <w:t> </w:t>
      </w:r>
      <w:r>
        <w:rPr>
          <w:color w:val="231F20"/>
          <w:w w:val="105"/>
        </w:rPr>
        <w:t>vinculado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condición</w:t>
      </w:r>
      <w:r>
        <w:rPr>
          <w:color w:val="231F20"/>
          <w:spacing w:val="-12"/>
          <w:w w:val="105"/>
        </w:rPr>
        <w:t> </w:t>
      </w:r>
      <w:r>
        <w:rPr>
          <w:color w:val="231F20"/>
          <w:w w:val="105"/>
        </w:rPr>
        <w:t>migratoria.</w:t>
      </w:r>
      <w:r>
        <w:rPr>
          <w:color w:val="231F20"/>
          <w:spacing w:val="-16"/>
          <w:w w:val="105"/>
        </w:rPr>
        <w:t> </w:t>
      </w:r>
      <w:r>
        <w:rPr>
          <w:color w:val="231F20"/>
          <w:w w:val="105"/>
        </w:rPr>
        <w:t>Esta</w:t>
      </w:r>
      <w:r>
        <w:rPr>
          <w:color w:val="231F20"/>
          <w:spacing w:val="-12"/>
          <w:w w:val="105"/>
        </w:rPr>
        <w:t> </w:t>
      </w:r>
      <w:r>
        <w:rPr>
          <w:color w:val="231F20"/>
          <w:w w:val="105"/>
        </w:rPr>
        <w:t>estrategia,</w:t>
      </w:r>
      <w:r>
        <w:rPr>
          <w:color w:val="231F20"/>
          <w:spacing w:val="-16"/>
          <w:w w:val="105"/>
        </w:rPr>
        <w:t> </w:t>
      </w:r>
      <w:r>
        <w:rPr>
          <w:color w:val="231F20"/>
          <w:w w:val="105"/>
        </w:rPr>
        <w:t>basada</w:t>
      </w:r>
      <w:r>
        <w:rPr>
          <w:color w:val="231F20"/>
          <w:spacing w:val="-12"/>
          <w:w w:val="105"/>
        </w:rPr>
        <w:t> </w:t>
      </w:r>
      <w:r>
        <w:rPr>
          <w:color w:val="231F20"/>
          <w:w w:val="105"/>
        </w:rPr>
        <w:t>en</w:t>
      </w:r>
      <w:r>
        <w:rPr>
          <w:color w:val="231F20"/>
          <w:spacing w:val="-12"/>
          <w:w w:val="105"/>
        </w:rPr>
        <w:t> </w:t>
      </w:r>
      <w:r>
        <w:rPr>
          <w:color w:val="231F20"/>
          <w:w w:val="105"/>
        </w:rPr>
        <w:t>la sociología</w:t>
      </w:r>
      <w:r>
        <w:rPr>
          <w:color w:val="231F20"/>
          <w:spacing w:val="-22"/>
          <w:w w:val="105"/>
        </w:rPr>
        <w:t> </w:t>
      </w:r>
      <w:r>
        <w:rPr>
          <w:color w:val="231F20"/>
          <w:w w:val="105"/>
        </w:rPr>
        <w:t>histórica,</w:t>
      </w:r>
      <w:r>
        <w:rPr>
          <w:color w:val="231F20"/>
          <w:spacing w:val="-28"/>
          <w:w w:val="105"/>
        </w:rPr>
        <w:t> </w:t>
      </w:r>
      <w:r>
        <w:rPr>
          <w:color w:val="231F20"/>
          <w:w w:val="105"/>
        </w:rPr>
        <w:t>conduce</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articulación</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experiencia</w:t>
      </w:r>
      <w:r>
        <w:rPr>
          <w:color w:val="231F20"/>
          <w:spacing w:val="-22"/>
          <w:w w:val="105"/>
        </w:rPr>
        <w:t> </w:t>
      </w:r>
      <w:r>
        <w:rPr>
          <w:color w:val="231F20"/>
          <w:w w:val="105"/>
        </w:rPr>
        <w:t>individual con</w:t>
      </w:r>
      <w:r>
        <w:rPr>
          <w:color w:val="231F20"/>
          <w:spacing w:val="-8"/>
          <w:w w:val="105"/>
        </w:rPr>
        <w:t> </w:t>
      </w:r>
      <w:r>
        <w:rPr>
          <w:color w:val="231F20"/>
          <w:w w:val="105"/>
        </w:rPr>
        <w:t>la</w:t>
      </w:r>
      <w:r>
        <w:rPr>
          <w:color w:val="231F20"/>
          <w:spacing w:val="-8"/>
          <w:w w:val="105"/>
        </w:rPr>
        <w:t> </w:t>
      </w:r>
      <w:r>
        <w:rPr>
          <w:color w:val="231F20"/>
          <w:w w:val="105"/>
        </w:rPr>
        <w:t>ocurrencia</w:t>
      </w:r>
      <w:r>
        <w:rPr>
          <w:color w:val="231F20"/>
          <w:spacing w:val="-8"/>
          <w:w w:val="105"/>
        </w:rPr>
        <w:t> </w:t>
      </w:r>
      <w:r>
        <w:rPr>
          <w:color w:val="231F20"/>
          <w:w w:val="105"/>
        </w:rPr>
        <w:t>de</w:t>
      </w:r>
      <w:r>
        <w:rPr>
          <w:color w:val="231F20"/>
          <w:spacing w:val="-8"/>
          <w:w w:val="105"/>
        </w:rPr>
        <w:t> </w:t>
      </w:r>
      <w:r>
        <w:rPr>
          <w:color w:val="231F20"/>
          <w:w w:val="105"/>
        </w:rPr>
        <w:t>otros</w:t>
      </w:r>
      <w:r>
        <w:rPr>
          <w:color w:val="231F20"/>
          <w:spacing w:val="-8"/>
          <w:w w:val="105"/>
        </w:rPr>
        <w:t> </w:t>
      </w:r>
      <w:r>
        <w:rPr>
          <w:color w:val="231F20"/>
          <w:w w:val="105"/>
        </w:rPr>
        <w:t>eventos</w:t>
      </w:r>
      <w:r>
        <w:rPr>
          <w:color w:val="231F20"/>
          <w:spacing w:val="-8"/>
          <w:w w:val="105"/>
        </w:rPr>
        <w:t> </w:t>
      </w:r>
      <w:r>
        <w:rPr>
          <w:color w:val="231F20"/>
          <w:w w:val="105"/>
        </w:rPr>
        <w:t>de</w:t>
      </w:r>
      <w:r>
        <w:rPr>
          <w:color w:val="231F20"/>
          <w:spacing w:val="-8"/>
          <w:w w:val="105"/>
        </w:rPr>
        <w:t> </w:t>
      </w:r>
      <w:r>
        <w:rPr>
          <w:color w:val="231F20"/>
          <w:w w:val="105"/>
        </w:rPr>
        <w:t>mediana</w:t>
      </w:r>
      <w:r>
        <w:rPr>
          <w:color w:val="231F20"/>
          <w:spacing w:val="-8"/>
          <w:w w:val="105"/>
        </w:rPr>
        <w:t> </w:t>
      </w:r>
      <w:r>
        <w:rPr>
          <w:color w:val="231F20"/>
          <w:w w:val="105"/>
        </w:rPr>
        <w:t>y</w:t>
      </w:r>
      <w:r>
        <w:rPr>
          <w:color w:val="231F20"/>
          <w:spacing w:val="-8"/>
          <w:w w:val="105"/>
        </w:rPr>
        <w:t> </w:t>
      </w:r>
      <w:r>
        <w:rPr>
          <w:color w:val="231F20"/>
          <w:w w:val="105"/>
        </w:rPr>
        <w:t>gran</w:t>
      </w:r>
      <w:r>
        <w:rPr>
          <w:color w:val="231F20"/>
          <w:spacing w:val="-8"/>
          <w:w w:val="105"/>
        </w:rPr>
        <w:t> </w:t>
      </w:r>
      <w:r>
        <w:rPr>
          <w:color w:val="231F20"/>
          <w:w w:val="105"/>
        </w:rPr>
        <w:t>escala</w:t>
      </w:r>
      <w:r>
        <w:rPr>
          <w:color w:val="231F20"/>
          <w:spacing w:val="-8"/>
          <w:w w:val="105"/>
        </w:rPr>
        <w:t> </w:t>
      </w:r>
      <w:r>
        <w:rPr>
          <w:color w:val="231F20"/>
          <w:w w:val="105"/>
        </w:rPr>
        <w:t>social</w:t>
      </w:r>
      <w:r>
        <w:rPr>
          <w:color w:val="231F20"/>
          <w:spacing w:val="-8"/>
          <w:w w:val="105"/>
        </w:rPr>
        <w:t> </w:t>
      </w:r>
      <w:r>
        <w:rPr>
          <w:color w:val="231F20"/>
          <w:w w:val="105"/>
        </w:rPr>
        <w:t>me- diante</w:t>
      </w:r>
      <w:r>
        <w:rPr>
          <w:color w:val="231F20"/>
          <w:spacing w:val="-9"/>
          <w:w w:val="105"/>
        </w:rPr>
        <w:t> </w:t>
      </w:r>
      <w:r>
        <w:rPr>
          <w:color w:val="231F20"/>
          <w:w w:val="105"/>
        </w:rPr>
        <w:t>la</w:t>
      </w:r>
      <w:r>
        <w:rPr>
          <w:color w:val="231F20"/>
          <w:spacing w:val="-9"/>
          <w:w w:val="105"/>
        </w:rPr>
        <w:t> </w:t>
      </w:r>
      <w:r>
        <w:rPr>
          <w:color w:val="231F20"/>
          <w:w w:val="105"/>
        </w:rPr>
        <w:t>documentación</w:t>
      </w:r>
      <w:r>
        <w:rPr>
          <w:color w:val="231F20"/>
          <w:spacing w:val="-9"/>
          <w:w w:val="105"/>
        </w:rPr>
        <w:t> </w:t>
      </w:r>
      <w:r>
        <w:rPr>
          <w:color w:val="231F20"/>
          <w:w w:val="105"/>
        </w:rPr>
        <w:t>de</w:t>
      </w:r>
      <w:r>
        <w:rPr>
          <w:color w:val="231F20"/>
          <w:spacing w:val="-9"/>
          <w:w w:val="105"/>
        </w:rPr>
        <w:t> </w:t>
      </w:r>
      <w:r>
        <w:rPr>
          <w:color w:val="231F20"/>
          <w:w w:val="105"/>
        </w:rPr>
        <w:t>procesos</w:t>
      </w:r>
      <w:r>
        <w:rPr>
          <w:color w:val="231F20"/>
          <w:spacing w:val="-9"/>
          <w:w w:val="105"/>
        </w:rPr>
        <w:t> </w:t>
      </w:r>
      <w:r>
        <w:rPr>
          <w:color w:val="231F20"/>
          <w:w w:val="105"/>
        </w:rPr>
        <w:t>de</w:t>
      </w:r>
      <w:r>
        <w:rPr>
          <w:color w:val="231F20"/>
          <w:spacing w:val="-9"/>
          <w:w w:val="105"/>
        </w:rPr>
        <w:t> </w:t>
      </w:r>
      <w:r>
        <w:rPr>
          <w:color w:val="231F20"/>
          <w:w w:val="105"/>
        </w:rPr>
        <w:t>movilidad</w:t>
      </w:r>
      <w:r>
        <w:rPr>
          <w:color w:val="231F20"/>
          <w:spacing w:val="-9"/>
          <w:w w:val="105"/>
        </w:rPr>
        <w:t> </w:t>
      </w:r>
      <w:r>
        <w:rPr>
          <w:color w:val="231F20"/>
          <w:w w:val="105"/>
        </w:rPr>
        <w:t>social.</w:t>
      </w:r>
    </w:p>
    <w:p>
      <w:pPr>
        <w:pStyle w:val="BodyText"/>
        <w:spacing w:line="261" w:lineRule="auto" w:before="1"/>
        <w:ind w:left="1723" w:right="1828" w:firstLine="567"/>
        <w:jc w:val="both"/>
      </w:pPr>
      <w:r>
        <w:rPr>
          <w:color w:val="231F20"/>
          <w:w w:val="105"/>
        </w:rPr>
        <w:t>Los migrantes indígenas mazahuas han cruzado límites étnicos y raciales</w:t>
      </w:r>
      <w:r>
        <w:rPr>
          <w:color w:val="231F20"/>
          <w:spacing w:val="-11"/>
          <w:w w:val="105"/>
        </w:rPr>
        <w:t> </w:t>
      </w:r>
      <w:r>
        <w:rPr>
          <w:color w:val="231F20"/>
          <w:w w:val="105"/>
        </w:rPr>
        <w:t>dentro</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w w:val="105"/>
        </w:rPr>
        <w:t>han</w:t>
      </w:r>
      <w:r>
        <w:rPr>
          <w:color w:val="231F20"/>
          <w:spacing w:val="-11"/>
          <w:w w:val="105"/>
        </w:rPr>
        <w:t> </w:t>
      </w:r>
      <w:r>
        <w:rPr>
          <w:color w:val="231F20"/>
          <w:w w:val="105"/>
        </w:rPr>
        <w:t>seguido</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7"/>
          <w:w w:val="105"/>
        </w:rPr>
        <w:t> </w:t>
      </w:r>
      <w:r>
        <w:rPr>
          <w:color w:val="231F20"/>
          <w:w w:val="105"/>
        </w:rPr>
        <w:t>En sus</w:t>
      </w:r>
      <w:r>
        <w:rPr>
          <w:color w:val="231F20"/>
          <w:spacing w:val="-6"/>
          <w:w w:val="105"/>
        </w:rPr>
        <w:t> </w:t>
      </w:r>
      <w:r>
        <w:rPr>
          <w:color w:val="231F20"/>
          <w:w w:val="105"/>
        </w:rPr>
        <w:t>movilidades</w:t>
      </w:r>
      <w:r>
        <w:rPr>
          <w:color w:val="231F20"/>
          <w:spacing w:val="-6"/>
          <w:w w:val="105"/>
        </w:rPr>
        <w:t> </w:t>
      </w:r>
      <w:r>
        <w:rPr>
          <w:color w:val="231F20"/>
          <w:w w:val="105"/>
        </w:rPr>
        <w:t>han</w:t>
      </w:r>
      <w:r>
        <w:rPr>
          <w:color w:val="231F20"/>
          <w:spacing w:val="-6"/>
          <w:w w:val="105"/>
        </w:rPr>
        <w:t> </w:t>
      </w:r>
      <w:r>
        <w:rPr>
          <w:color w:val="231F20"/>
          <w:w w:val="105"/>
        </w:rPr>
        <w:t>cruzado</w:t>
      </w:r>
      <w:r>
        <w:rPr>
          <w:color w:val="231F20"/>
          <w:spacing w:val="-6"/>
          <w:w w:val="105"/>
        </w:rPr>
        <w:t> </w:t>
      </w:r>
      <w:r>
        <w:rPr>
          <w:color w:val="231F20"/>
          <w:w w:val="105"/>
        </w:rPr>
        <w:t>límites</w:t>
      </w:r>
      <w:r>
        <w:rPr>
          <w:color w:val="231F20"/>
          <w:spacing w:val="-6"/>
          <w:w w:val="105"/>
        </w:rPr>
        <w:t> </w:t>
      </w:r>
      <w:r>
        <w:rPr>
          <w:color w:val="231F20"/>
          <w:w w:val="105"/>
        </w:rPr>
        <w:t>de</w:t>
      </w:r>
      <w:r>
        <w:rPr>
          <w:color w:val="231F20"/>
          <w:spacing w:val="-6"/>
          <w:w w:val="105"/>
        </w:rPr>
        <w:t> </w:t>
      </w:r>
      <w:r>
        <w:rPr>
          <w:color w:val="231F20"/>
          <w:w w:val="105"/>
        </w:rPr>
        <w:t>clase</w:t>
      </w:r>
      <w:r>
        <w:rPr>
          <w:color w:val="231F20"/>
          <w:spacing w:val="-6"/>
          <w:w w:val="105"/>
        </w:rPr>
        <w:t> </w:t>
      </w:r>
      <w:r>
        <w:rPr>
          <w:color w:val="231F20"/>
          <w:w w:val="105"/>
        </w:rPr>
        <w:t>y</w:t>
      </w:r>
      <w:r>
        <w:rPr>
          <w:color w:val="231F20"/>
          <w:spacing w:val="-6"/>
          <w:w w:val="105"/>
        </w:rPr>
        <w:t> </w:t>
      </w:r>
      <w:r>
        <w:rPr>
          <w:color w:val="231F20"/>
          <w:w w:val="105"/>
        </w:rPr>
        <w:t>económicos-regionales, en</w:t>
      </w:r>
      <w:r>
        <w:rPr>
          <w:color w:val="231F20"/>
          <w:spacing w:val="-16"/>
          <w:w w:val="105"/>
        </w:rPr>
        <w:t> </w:t>
      </w:r>
      <w:r>
        <w:rPr>
          <w:color w:val="231F20"/>
          <w:w w:val="105"/>
        </w:rPr>
        <w:t>tanto</w:t>
      </w:r>
      <w:r>
        <w:rPr>
          <w:color w:val="231F20"/>
          <w:spacing w:val="-16"/>
          <w:w w:val="105"/>
        </w:rPr>
        <w:t> </w:t>
      </w:r>
      <w:r>
        <w:rPr>
          <w:color w:val="231F20"/>
          <w:w w:val="105"/>
        </w:rPr>
        <w:t>han</w:t>
      </w:r>
      <w:r>
        <w:rPr>
          <w:color w:val="231F20"/>
          <w:spacing w:val="-16"/>
          <w:w w:val="105"/>
        </w:rPr>
        <w:t> </w:t>
      </w:r>
      <w:r>
        <w:rPr>
          <w:color w:val="231F20"/>
          <w:w w:val="105"/>
        </w:rPr>
        <w:t>estado</w:t>
      </w:r>
      <w:r>
        <w:rPr>
          <w:color w:val="231F20"/>
          <w:spacing w:val="-16"/>
          <w:w w:val="105"/>
        </w:rPr>
        <w:t> </w:t>
      </w:r>
      <w:r>
        <w:rPr>
          <w:color w:val="231F20"/>
          <w:w w:val="105"/>
        </w:rPr>
        <w:t>insertos</w:t>
      </w:r>
      <w:r>
        <w:rPr>
          <w:color w:val="231F20"/>
          <w:spacing w:val="-16"/>
          <w:w w:val="105"/>
        </w:rPr>
        <w:t> </w:t>
      </w:r>
      <w:r>
        <w:rPr>
          <w:color w:val="231F20"/>
          <w:w w:val="105"/>
        </w:rPr>
        <w:t>como</w:t>
      </w:r>
      <w:r>
        <w:rPr>
          <w:color w:val="231F20"/>
          <w:spacing w:val="-16"/>
          <w:w w:val="105"/>
        </w:rPr>
        <w:t> </w:t>
      </w:r>
      <w:r>
        <w:rPr>
          <w:color w:val="231F20"/>
          <w:w w:val="105"/>
        </w:rPr>
        <w:t>trabajadores</w:t>
      </w:r>
      <w:r>
        <w:rPr>
          <w:color w:val="231F20"/>
          <w:spacing w:val="-16"/>
          <w:w w:val="105"/>
        </w:rPr>
        <w:t> </w:t>
      </w:r>
      <w:r>
        <w:rPr>
          <w:color w:val="231F20"/>
          <w:w w:val="105"/>
        </w:rPr>
        <w:t>de</w:t>
      </w:r>
      <w:r>
        <w:rPr>
          <w:color w:val="231F20"/>
          <w:spacing w:val="-16"/>
          <w:w w:val="105"/>
        </w:rPr>
        <w:t> </w:t>
      </w:r>
      <w:r>
        <w:rPr>
          <w:color w:val="231F20"/>
          <w:w w:val="105"/>
        </w:rPr>
        <w:t>diversos</w:t>
      </w:r>
      <w:r>
        <w:rPr>
          <w:color w:val="231F20"/>
          <w:spacing w:val="-16"/>
          <w:w w:val="105"/>
        </w:rPr>
        <w:t> </w:t>
      </w:r>
      <w:r>
        <w:rPr>
          <w:color w:val="231F20"/>
          <w:w w:val="105"/>
        </w:rPr>
        <w:t>sistemas</w:t>
      </w:r>
      <w:r>
        <w:rPr>
          <w:color w:val="231F20"/>
          <w:spacing w:val="-16"/>
          <w:w w:val="105"/>
        </w:rPr>
        <w:t> </w:t>
      </w:r>
      <w:r>
        <w:rPr>
          <w:color w:val="231F20"/>
          <w:w w:val="105"/>
        </w:rPr>
        <w:t>de producción agrícola y el sector servicios, en otras economías y en dife- rentes</w:t>
      </w:r>
      <w:r>
        <w:rPr>
          <w:color w:val="231F20"/>
          <w:spacing w:val="-4"/>
          <w:w w:val="105"/>
        </w:rPr>
        <w:t> </w:t>
      </w:r>
      <w:r>
        <w:rPr>
          <w:color w:val="231F20"/>
          <w:w w:val="105"/>
        </w:rPr>
        <w:t>puntos</w:t>
      </w:r>
      <w:r>
        <w:rPr>
          <w:color w:val="231F20"/>
          <w:spacing w:val="-4"/>
          <w:w w:val="105"/>
        </w:rPr>
        <w:t> </w:t>
      </w:r>
      <w:r>
        <w:rPr>
          <w:color w:val="231F20"/>
          <w:w w:val="105"/>
        </w:rPr>
        <w:t>a</w:t>
      </w:r>
      <w:r>
        <w:rPr>
          <w:color w:val="231F20"/>
          <w:spacing w:val="-4"/>
          <w:w w:val="105"/>
        </w:rPr>
        <w:t> </w:t>
      </w:r>
      <w:r>
        <w:rPr>
          <w:color w:val="231F20"/>
          <w:w w:val="105"/>
        </w:rPr>
        <w:t>lo</w:t>
      </w:r>
      <w:r>
        <w:rPr>
          <w:color w:val="231F20"/>
          <w:spacing w:val="-4"/>
          <w:w w:val="105"/>
        </w:rPr>
        <w:t> </w:t>
      </w:r>
      <w:r>
        <w:rPr>
          <w:color w:val="231F20"/>
          <w:w w:val="105"/>
        </w:rPr>
        <w:t>largo</w:t>
      </w:r>
      <w:r>
        <w:rPr>
          <w:color w:val="231F20"/>
          <w:spacing w:val="-4"/>
          <w:w w:val="105"/>
        </w:rPr>
        <w:t> </w:t>
      </w:r>
      <w:r>
        <w:rPr>
          <w:color w:val="231F20"/>
          <w:w w:val="105"/>
        </w:rPr>
        <w:t>del</w:t>
      </w:r>
      <w:r>
        <w:rPr>
          <w:color w:val="231F20"/>
          <w:spacing w:val="-4"/>
          <w:w w:val="105"/>
        </w:rPr>
        <w:t> </w:t>
      </w:r>
      <w:r>
        <w:rPr>
          <w:color w:val="231F20"/>
          <w:w w:val="105"/>
        </w:rPr>
        <w:t>tiempo.</w:t>
      </w:r>
      <w:r>
        <w:rPr>
          <w:color w:val="231F20"/>
          <w:spacing w:val="-15"/>
          <w:w w:val="105"/>
        </w:rPr>
        <w:t> </w:t>
      </w:r>
      <w:r>
        <w:rPr>
          <w:color w:val="231F20"/>
          <w:w w:val="105"/>
        </w:rPr>
        <w:t>Acorde</w:t>
      </w:r>
      <w:r>
        <w:rPr>
          <w:color w:val="231F20"/>
          <w:spacing w:val="-4"/>
          <w:w w:val="105"/>
        </w:rPr>
        <w:t> </w:t>
      </w:r>
      <w:r>
        <w:rPr>
          <w:color w:val="231F20"/>
          <w:w w:val="105"/>
        </w:rPr>
        <w:t>con</w:t>
      </w:r>
      <w:r>
        <w:rPr>
          <w:color w:val="231F20"/>
          <w:spacing w:val="-4"/>
          <w:w w:val="105"/>
        </w:rPr>
        <w:t> </w:t>
      </w:r>
      <w:r>
        <w:rPr>
          <w:color w:val="231F20"/>
          <w:w w:val="105"/>
        </w:rPr>
        <w:t>la</w:t>
      </w:r>
      <w:r>
        <w:rPr>
          <w:color w:val="231F20"/>
          <w:spacing w:val="-4"/>
          <w:w w:val="105"/>
        </w:rPr>
        <w:t> </w:t>
      </w:r>
      <w:r>
        <w:rPr>
          <w:color w:val="231F20"/>
          <w:w w:val="105"/>
        </w:rPr>
        <w:t>relación</w:t>
      </w:r>
      <w:r>
        <w:rPr>
          <w:color w:val="231F20"/>
          <w:spacing w:val="-4"/>
          <w:w w:val="105"/>
        </w:rPr>
        <w:t> </w:t>
      </w:r>
      <w:r>
        <w:rPr>
          <w:color w:val="231F20"/>
          <w:w w:val="105"/>
        </w:rPr>
        <w:t>que</w:t>
      </w:r>
      <w:r>
        <w:rPr>
          <w:color w:val="231F20"/>
          <w:spacing w:val="-4"/>
          <w:w w:val="105"/>
        </w:rPr>
        <w:t> </w:t>
      </w:r>
      <w:r>
        <w:rPr>
          <w:color w:val="231F20"/>
          <w:w w:val="105"/>
        </w:rPr>
        <w:t>guardan l</w:t>
      </w:r>
      <w:r>
        <w:rPr>
          <w:w w:val="105"/>
        </w:rPr>
        <w:t>as decisiones de quienes migran dentro de una comunidad indígena, ligadas</w:t>
      </w:r>
      <w:r>
        <w:rPr>
          <w:spacing w:val="-16"/>
          <w:w w:val="105"/>
        </w:rPr>
        <w:t> </w:t>
      </w:r>
      <w:r>
        <w:rPr>
          <w:w w:val="105"/>
        </w:rPr>
        <w:t>a</w:t>
      </w:r>
      <w:r>
        <w:rPr>
          <w:spacing w:val="-16"/>
          <w:w w:val="105"/>
        </w:rPr>
        <w:t> </w:t>
      </w:r>
      <w:r>
        <w:rPr>
          <w:w w:val="105"/>
        </w:rPr>
        <w:t>las</w:t>
      </w:r>
      <w:r>
        <w:rPr>
          <w:spacing w:val="-16"/>
          <w:w w:val="105"/>
        </w:rPr>
        <w:t> </w:t>
      </w:r>
      <w:r>
        <w:rPr>
          <w:w w:val="105"/>
        </w:rPr>
        <w:t>diversas</w:t>
      </w:r>
      <w:r>
        <w:rPr>
          <w:spacing w:val="-16"/>
          <w:w w:val="105"/>
        </w:rPr>
        <w:t> </w:t>
      </w:r>
      <w:r>
        <w:rPr>
          <w:w w:val="105"/>
        </w:rPr>
        <w:t>formas</w:t>
      </w:r>
      <w:r>
        <w:rPr>
          <w:spacing w:val="-16"/>
          <w:w w:val="105"/>
        </w:rPr>
        <w:t> </w:t>
      </w:r>
      <w:r>
        <w:rPr>
          <w:w w:val="105"/>
        </w:rPr>
        <w:t>de</w:t>
      </w:r>
      <w:r>
        <w:rPr>
          <w:spacing w:val="-16"/>
          <w:w w:val="105"/>
        </w:rPr>
        <w:t> </w:t>
      </w:r>
      <w:r>
        <w:rPr>
          <w:w w:val="105"/>
        </w:rPr>
        <w:t>organización</w:t>
      </w:r>
      <w:r>
        <w:rPr>
          <w:spacing w:val="-16"/>
          <w:w w:val="105"/>
        </w:rPr>
        <w:t> </w:t>
      </w:r>
      <w:r>
        <w:rPr>
          <w:w w:val="105"/>
        </w:rPr>
        <w:t>social</w:t>
      </w:r>
      <w:r>
        <w:rPr>
          <w:spacing w:val="-16"/>
          <w:w w:val="105"/>
        </w:rPr>
        <w:t> </w:t>
      </w:r>
      <w:r>
        <w:rPr>
          <w:w w:val="105"/>
        </w:rPr>
        <w:t>de</w:t>
      </w:r>
      <w:r>
        <w:rPr>
          <w:spacing w:val="-16"/>
          <w:w w:val="105"/>
        </w:rPr>
        <w:t> </w:t>
      </w:r>
      <w:r>
        <w:rPr>
          <w:w w:val="105"/>
        </w:rPr>
        <w:t>los</w:t>
      </w:r>
      <w:r>
        <w:rPr>
          <w:spacing w:val="-16"/>
          <w:w w:val="105"/>
        </w:rPr>
        <w:t> </w:t>
      </w:r>
      <w:r>
        <w:rPr>
          <w:w w:val="105"/>
        </w:rPr>
        <w:t>pueblos,</w:t>
      </w:r>
      <w:r>
        <w:rPr>
          <w:spacing w:val="-21"/>
          <w:w w:val="105"/>
        </w:rPr>
        <w:t> </w:t>
      </w:r>
      <w:r>
        <w:rPr>
          <w:w w:val="105"/>
        </w:rPr>
        <w:t>esta movilidad no se limita únicamente al espacio individual y familiar (Del </w:t>
      </w:r>
      <w:r>
        <w:rPr>
          <w:spacing w:val="-3"/>
          <w:w w:val="105"/>
        </w:rPr>
        <w:t>Popolo</w:t>
      </w:r>
      <w:r>
        <w:rPr>
          <w:spacing w:val="-23"/>
          <w:w w:val="105"/>
        </w:rPr>
        <w:t> </w:t>
      </w:r>
      <w:r>
        <w:rPr>
          <w:w w:val="105"/>
        </w:rPr>
        <w:t>y</w:t>
      </w:r>
      <w:r>
        <w:rPr>
          <w:spacing w:val="-23"/>
          <w:w w:val="105"/>
        </w:rPr>
        <w:t> </w:t>
      </w:r>
      <w:r>
        <w:rPr>
          <w:w w:val="105"/>
        </w:rPr>
        <w:t>Ribotta,</w:t>
      </w:r>
      <w:r>
        <w:rPr>
          <w:spacing w:val="-27"/>
          <w:w w:val="105"/>
        </w:rPr>
        <w:t> </w:t>
      </w:r>
      <w:r>
        <w:rPr>
          <w:w w:val="105"/>
        </w:rPr>
        <w:t>2011).</w:t>
      </w:r>
    </w:p>
    <w:p>
      <w:pPr>
        <w:pStyle w:val="BodyText"/>
        <w:spacing w:line="261" w:lineRule="auto" w:before="1"/>
        <w:ind w:left="1723" w:right="1835" w:firstLine="567"/>
        <w:jc w:val="both"/>
      </w:pP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análisis</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dimensiones</w:t>
      </w:r>
      <w:r>
        <w:rPr>
          <w:color w:val="231F20"/>
          <w:spacing w:val="-24"/>
          <w:w w:val="105"/>
        </w:rPr>
        <w:t> </w:t>
      </w:r>
      <w:r>
        <w:rPr>
          <w:color w:val="231F20"/>
          <w:w w:val="105"/>
        </w:rPr>
        <w:t>subjetivas</w:t>
      </w:r>
      <w:r>
        <w:rPr>
          <w:color w:val="231F20"/>
          <w:spacing w:val="-24"/>
          <w:w w:val="105"/>
        </w:rPr>
        <w:t> </w:t>
      </w:r>
      <w:r>
        <w:rPr>
          <w:color w:val="231F20"/>
          <w:w w:val="105"/>
        </w:rPr>
        <w:t>del</w:t>
      </w:r>
      <w:r>
        <w:rPr>
          <w:color w:val="231F20"/>
          <w:spacing w:val="-24"/>
          <w:w w:val="105"/>
        </w:rPr>
        <w:t> </w:t>
      </w:r>
      <w:r>
        <w:rPr>
          <w:color w:val="231F20"/>
          <w:spacing w:val="-3"/>
          <w:w w:val="105"/>
        </w:rPr>
        <w:t>proceso</w:t>
      </w:r>
      <w:r>
        <w:rPr>
          <w:color w:val="231F20"/>
          <w:spacing w:val="-24"/>
          <w:w w:val="105"/>
        </w:rPr>
        <w:t> </w:t>
      </w:r>
      <w:r>
        <w:rPr>
          <w:color w:val="231F20"/>
          <w:w w:val="105"/>
        </w:rPr>
        <w:t>de</w:t>
      </w:r>
      <w:r>
        <w:rPr>
          <w:color w:val="231F20"/>
          <w:spacing w:val="-24"/>
          <w:w w:val="105"/>
        </w:rPr>
        <w:t> </w:t>
      </w:r>
      <w:r>
        <w:rPr>
          <w:color w:val="231F20"/>
          <w:spacing w:val="-3"/>
          <w:w w:val="105"/>
        </w:rPr>
        <w:t>reinser- </w:t>
      </w:r>
      <w:r>
        <w:rPr>
          <w:color w:val="231F20"/>
          <w:w w:val="105"/>
        </w:rPr>
        <w:t>ción</w:t>
      </w:r>
      <w:r>
        <w:rPr>
          <w:color w:val="231F20"/>
          <w:spacing w:val="-17"/>
          <w:w w:val="105"/>
        </w:rPr>
        <w:t> </w:t>
      </w:r>
      <w:r>
        <w:rPr>
          <w:color w:val="231F20"/>
          <w:w w:val="105"/>
        </w:rPr>
        <w:t>sociocultural</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spacing w:val="-3"/>
          <w:w w:val="105"/>
        </w:rPr>
        <w:t>retornados</w:t>
      </w:r>
      <w:r>
        <w:rPr>
          <w:color w:val="231F20"/>
          <w:spacing w:val="-17"/>
          <w:w w:val="105"/>
        </w:rPr>
        <w:t> </w:t>
      </w:r>
      <w:r>
        <w:rPr>
          <w:color w:val="231F20"/>
          <w:w w:val="105"/>
        </w:rPr>
        <w:t>se</w:t>
      </w:r>
      <w:r>
        <w:rPr>
          <w:color w:val="231F20"/>
          <w:spacing w:val="-17"/>
          <w:w w:val="105"/>
        </w:rPr>
        <w:t> </w:t>
      </w:r>
      <w:r>
        <w:rPr>
          <w:color w:val="231F20"/>
          <w:w w:val="105"/>
        </w:rPr>
        <w:t>emplea</w:t>
      </w:r>
      <w:r>
        <w:rPr>
          <w:color w:val="231F20"/>
          <w:spacing w:val="-17"/>
          <w:w w:val="105"/>
        </w:rPr>
        <w:t> </w:t>
      </w:r>
      <w:r>
        <w:rPr>
          <w:color w:val="231F20"/>
          <w:w w:val="105"/>
        </w:rPr>
        <w:t>el</w:t>
      </w:r>
      <w:r>
        <w:rPr>
          <w:color w:val="231F20"/>
          <w:spacing w:val="-17"/>
          <w:w w:val="105"/>
        </w:rPr>
        <w:t> </w:t>
      </w:r>
      <w:r>
        <w:rPr>
          <w:color w:val="231F20"/>
          <w:w w:val="105"/>
        </w:rPr>
        <w:t>método</w:t>
      </w:r>
      <w:r>
        <w:rPr>
          <w:color w:val="231F20"/>
          <w:spacing w:val="-17"/>
          <w:w w:val="105"/>
        </w:rPr>
        <w:t> </w:t>
      </w:r>
      <w:r>
        <w:rPr>
          <w:color w:val="231F20"/>
          <w:w w:val="105"/>
        </w:rPr>
        <w:t>biográfico</w:t>
      </w:r>
      <w:r>
        <w:rPr>
          <w:color w:val="231F20"/>
          <w:spacing w:val="-17"/>
          <w:w w:val="105"/>
        </w:rPr>
        <w:t> </w:t>
      </w:r>
      <w:r>
        <w:rPr>
          <w:color w:val="231F20"/>
          <w:w w:val="105"/>
        </w:rPr>
        <w:t>para </w:t>
      </w:r>
      <w:r>
        <w:rPr>
          <w:color w:val="231F20"/>
          <w:spacing w:val="-3"/>
          <w:w w:val="105"/>
        </w:rPr>
        <w:t>reconstruir</w:t>
      </w:r>
      <w:r>
        <w:rPr>
          <w:color w:val="231F20"/>
          <w:spacing w:val="-19"/>
          <w:w w:val="105"/>
        </w:rPr>
        <w:t> </w:t>
      </w:r>
      <w:r>
        <w:rPr>
          <w:color w:val="231F20"/>
          <w:w w:val="105"/>
        </w:rPr>
        <w:t>las</w:t>
      </w:r>
      <w:r>
        <w:rPr>
          <w:color w:val="231F20"/>
          <w:spacing w:val="-19"/>
          <w:w w:val="105"/>
        </w:rPr>
        <w:t> </w:t>
      </w:r>
      <w:r>
        <w:rPr>
          <w:color w:val="231F20"/>
          <w:spacing w:val="-2"/>
          <w:w w:val="105"/>
        </w:rPr>
        <w:t>trayectorias</w:t>
      </w:r>
      <w:r>
        <w:rPr>
          <w:color w:val="231F20"/>
          <w:spacing w:val="-19"/>
          <w:w w:val="105"/>
        </w:rPr>
        <w:t> </w:t>
      </w:r>
      <w:r>
        <w:rPr>
          <w:color w:val="231F20"/>
          <w:spacing w:val="-3"/>
          <w:w w:val="105"/>
        </w:rPr>
        <w:t>migratorias,</w:t>
      </w:r>
      <w:r>
        <w:rPr>
          <w:color w:val="231F20"/>
          <w:spacing w:val="-24"/>
          <w:w w:val="105"/>
        </w:rPr>
        <w:t> </w:t>
      </w:r>
      <w:r>
        <w:rPr>
          <w:color w:val="231F20"/>
          <w:w w:val="105"/>
        </w:rPr>
        <w:t>y</w:t>
      </w:r>
      <w:r>
        <w:rPr>
          <w:color w:val="231F20"/>
          <w:spacing w:val="-19"/>
          <w:w w:val="105"/>
        </w:rPr>
        <w:t> </w:t>
      </w:r>
      <w:r>
        <w:rPr>
          <w:color w:val="231F20"/>
          <w:w w:val="105"/>
        </w:rPr>
        <w:t>elaborar</w:t>
      </w:r>
      <w:r>
        <w:rPr>
          <w:color w:val="231F20"/>
          <w:spacing w:val="-19"/>
          <w:w w:val="105"/>
        </w:rPr>
        <w:t> </w:t>
      </w:r>
      <w:r>
        <w:rPr>
          <w:color w:val="231F20"/>
          <w:spacing w:val="-3"/>
          <w:w w:val="105"/>
        </w:rPr>
        <w:t>relatos</w:t>
      </w:r>
      <w:r>
        <w:rPr>
          <w:color w:val="231F20"/>
          <w:spacing w:val="-19"/>
          <w:w w:val="105"/>
        </w:rPr>
        <w:t> </w:t>
      </w:r>
      <w:r>
        <w:rPr>
          <w:color w:val="231F20"/>
          <w:w w:val="105"/>
        </w:rPr>
        <w:t>de</w:t>
      </w:r>
      <w:r>
        <w:rPr>
          <w:color w:val="231F20"/>
          <w:spacing w:val="-19"/>
          <w:w w:val="105"/>
        </w:rPr>
        <w:t> </w:t>
      </w:r>
      <w:r>
        <w:rPr>
          <w:color w:val="231F20"/>
          <w:w w:val="105"/>
        </w:rPr>
        <w:t>vida</w:t>
      </w:r>
      <w:r>
        <w:rPr>
          <w:color w:val="231F20"/>
          <w:spacing w:val="-19"/>
          <w:w w:val="105"/>
        </w:rPr>
        <w:t> </w:t>
      </w:r>
      <w:r>
        <w:rPr>
          <w:color w:val="231F20"/>
          <w:w w:val="105"/>
        </w:rPr>
        <w:t>que</w:t>
      </w:r>
      <w:r>
        <w:rPr>
          <w:color w:val="231F20"/>
          <w:spacing w:val="-19"/>
          <w:w w:val="105"/>
        </w:rPr>
        <w:t> </w:t>
      </w:r>
      <w:r>
        <w:rPr>
          <w:color w:val="231F20"/>
          <w:spacing w:val="-2"/>
          <w:w w:val="105"/>
        </w:rPr>
        <w:t>den </w:t>
      </w:r>
      <w:r>
        <w:rPr>
          <w:color w:val="231F20"/>
          <w:w w:val="105"/>
        </w:rPr>
        <w:t>cuenta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sentidos</w:t>
      </w:r>
      <w:r>
        <w:rPr>
          <w:color w:val="231F20"/>
          <w:spacing w:val="-5"/>
          <w:w w:val="105"/>
        </w:rPr>
        <w:t> </w:t>
      </w:r>
      <w:r>
        <w:rPr>
          <w:color w:val="231F20"/>
          <w:w w:val="105"/>
        </w:rPr>
        <w:t>de</w:t>
      </w:r>
      <w:r>
        <w:rPr>
          <w:color w:val="231F20"/>
          <w:spacing w:val="-5"/>
          <w:w w:val="105"/>
        </w:rPr>
        <w:t> </w:t>
      </w:r>
      <w:r>
        <w:rPr>
          <w:color w:val="231F20"/>
          <w:w w:val="105"/>
        </w:rPr>
        <w:t>cambio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sujetos</w:t>
      </w:r>
      <w:r>
        <w:rPr>
          <w:color w:val="231F20"/>
          <w:spacing w:val="-5"/>
          <w:w w:val="105"/>
        </w:rPr>
        <w:t> </w:t>
      </w:r>
      <w:r>
        <w:rPr>
          <w:color w:val="231F20"/>
          <w:spacing w:val="-3"/>
          <w:w w:val="105"/>
        </w:rPr>
        <w:t>retornados,</w:t>
      </w:r>
      <w:r>
        <w:rPr>
          <w:color w:val="231F20"/>
          <w:spacing w:val="-10"/>
          <w:w w:val="105"/>
        </w:rPr>
        <w:t> </w:t>
      </w:r>
      <w:r>
        <w:rPr>
          <w:color w:val="231F20"/>
          <w:w w:val="105"/>
        </w:rPr>
        <w:t>sus</w:t>
      </w:r>
      <w:r>
        <w:rPr>
          <w:color w:val="231F20"/>
          <w:spacing w:val="-5"/>
          <w:w w:val="105"/>
        </w:rPr>
        <w:t> </w:t>
      </w:r>
      <w:r>
        <w:rPr>
          <w:color w:val="231F20"/>
          <w:spacing w:val="-2"/>
          <w:w w:val="105"/>
        </w:rPr>
        <w:t>grupos </w:t>
      </w:r>
      <w:r>
        <w:rPr>
          <w:color w:val="231F20"/>
          <w:w w:val="105"/>
        </w:rPr>
        <w:t>inmediatos</w:t>
      </w:r>
      <w:r>
        <w:rPr>
          <w:color w:val="231F20"/>
          <w:spacing w:val="-36"/>
          <w:w w:val="105"/>
        </w:rPr>
        <w:t> </w:t>
      </w:r>
      <w:r>
        <w:rPr>
          <w:color w:val="231F20"/>
          <w:w w:val="105"/>
        </w:rPr>
        <w:t>y</w:t>
      </w:r>
      <w:r>
        <w:rPr>
          <w:color w:val="231F20"/>
          <w:spacing w:val="-36"/>
          <w:w w:val="105"/>
        </w:rPr>
        <w:t> </w:t>
      </w:r>
      <w:r>
        <w:rPr>
          <w:color w:val="231F20"/>
          <w:w w:val="105"/>
        </w:rPr>
        <w:t>sus</w:t>
      </w:r>
      <w:r>
        <w:rPr>
          <w:color w:val="231F20"/>
          <w:spacing w:val="-36"/>
          <w:w w:val="105"/>
        </w:rPr>
        <w:t> </w:t>
      </w:r>
      <w:r>
        <w:rPr>
          <w:color w:val="231F20"/>
          <w:w w:val="105"/>
        </w:rPr>
        <w:t>espacios</w:t>
      </w:r>
      <w:r>
        <w:rPr>
          <w:color w:val="231F20"/>
          <w:spacing w:val="-36"/>
          <w:w w:val="105"/>
        </w:rPr>
        <w:t> </w:t>
      </w:r>
      <w:r>
        <w:rPr>
          <w:color w:val="231F20"/>
          <w:w w:val="105"/>
        </w:rPr>
        <w:t>(espacio</w:t>
      </w:r>
      <w:r>
        <w:rPr>
          <w:color w:val="231F20"/>
          <w:spacing w:val="-36"/>
          <w:w w:val="105"/>
        </w:rPr>
        <w:t> </w:t>
      </w:r>
      <w:r>
        <w:rPr>
          <w:color w:val="231F20"/>
          <w:spacing w:val="-3"/>
          <w:w w:val="105"/>
        </w:rPr>
        <w:t>percibido,</w:t>
      </w:r>
      <w:r>
        <w:rPr>
          <w:color w:val="231F20"/>
          <w:spacing w:val="-39"/>
          <w:w w:val="105"/>
        </w:rPr>
        <w:t> </w:t>
      </w:r>
      <w:r>
        <w:rPr>
          <w:color w:val="231F20"/>
          <w:w w:val="105"/>
        </w:rPr>
        <w:t>concebido</w:t>
      </w:r>
      <w:r>
        <w:rPr>
          <w:color w:val="231F20"/>
          <w:spacing w:val="-36"/>
          <w:w w:val="105"/>
        </w:rPr>
        <w:t> </w:t>
      </w:r>
      <w:r>
        <w:rPr>
          <w:color w:val="231F20"/>
          <w:w w:val="105"/>
        </w:rPr>
        <w:t>y</w:t>
      </w:r>
      <w:r>
        <w:rPr>
          <w:color w:val="231F20"/>
          <w:spacing w:val="-36"/>
          <w:w w:val="105"/>
        </w:rPr>
        <w:t> </w:t>
      </w:r>
      <w:r>
        <w:rPr>
          <w:color w:val="231F20"/>
          <w:w w:val="105"/>
        </w:rPr>
        <w:t>vivido</w:t>
      </w:r>
      <w:r>
        <w:rPr>
          <w:color w:val="231F20"/>
          <w:w w:val="105"/>
          <w:position w:val="7"/>
          <w:sz w:val="12"/>
        </w:rPr>
        <w:t>7</w:t>
      </w:r>
      <w:r>
        <w:rPr>
          <w:color w:val="231F20"/>
          <w:w w:val="105"/>
        </w:rPr>
        <w:t>).</w:t>
      </w:r>
      <w:r>
        <w:rPr>
          <w:color w:val="231F20"/>
          <w:spacing w:val="-39"/>
          <w:w w:val="105"/>
        </w:rPr>
        <w:t> </w:t>
      </w:r>
      <w:r>
        <w:rPr>
          <w:color w:val="231F20"/>
          <w:w w:val="105"/>
        </w:rPr>
        <w:t>Desde la</w:t>
      </w:r>
      <w:r>
        <w:rPr>
          <w:color w:val="231F20"/>
          <w:spacing w:val="-8"/>
          <w:w w:val="105"/>
        </w:rPr>
        <w:t> </w:t>
      </w:r>
      <w:r>
        <w:rPr>
          <w:color w:val="231F20"/>
          <w:spacing w:val="-2"/>
          <w:w w:val="105"/>
        </w:rPr>
        <w:t>mirada</w:t>
      </w:r>
      <w:r>
        <w:rPr>
          <w:color w:val="231F20"/>
          <w:spacing w:val="-8"/>
          <w:w w:val="105"/>
        </w:rPr>
        <w:t> </w:t>
      </w:r>
      <w:r>
        <w:rPr>
          <w:color w:val="231F20"/>
          <w:w w:val="105"/>
        </w:rPr>
        <w:t>longitudinal,</w:t>
      </w:r>
      <w:r>
        <w:rPr>
          <w:color w:val="231F20"/>
          <w:spacing w:val="-14"/>
          <w:w w:val="105"/>
        </w:rPr>
        <w:t> </w:t>
      </w:r>
      <w:r>
        <w:rPr>
          <w:color w:val="231F20"/>
          <w:spacing w:val="-3"/>
          <w:w w:val="105"/>
        </w:rPr>
        <w:t>explorar</w:t>
      </w:r>
      <w:r>
        <w:rPr>
          <w:color w:val="231F20"/>
          <w:spacing w:val="-8"/>
          <w:w w:val="105"/>
        </w:rPr>
        <w:t> </w:t>
      </w:r>
      <w:r>
        <w:rPr>
          <w:color w:val="231F20"/>
          <w:w w:val="105"/>
        </w:rPr>
        <w:t>el</w:t>
      </w:r>
      <w:r>
        <w:rPr>
          <w:color w:val="231F20"/>
          <w:spacing w:val="-8"/>
          <w:w w:val="105"/>
        </w:rPr>
        <w:t> </w:t>
      </w:r>
      <w:r>
        <w:rPr>
          <w:color w:val="231F20"/>
          <w:w w:val="105"/>
        </w:rPr>
        <w:t>modo</w:t>
      </w:r>
      <w:r>
        <w:rPr>
          <w:color w:val="231F20"/>
          <w:spacing w:val="-8"/>
          <w:w w:val="105"/>
        </w:rPr>
        <w:t> </w:t>
      </w:r>
      <w:r>
        <w:rPr>
          <w:color w:val="231F20"/>
          <w:w w:val="105"/>
        </w:rPr>
        <w:t>en</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despliega</w:t>
      </w:r>
      <w:r>
        <w:rPr>
          <w:color w:val="231F20"/>
          <w:spacing w:val="-8"/>
          <w:w w:val="105"/>
        </w:rPr>
        <w:t> </w:t>
      </w:r>
      <w:r>
        <w:rPr>
          <w:color w:val="231F20"/>
          <w:w w:val="105"/>
        </w:rPr>
        <w:t>el</w:t>
      </w:r>
      <w:r>
        <w:rPr>
          <w:color w:val="231F20"/>
          <w:spacing w:val="-8"/>
          <w:w w:val="105"/>
        </w:rPr>
        <w:t> </w:t>
      </w:r>
      <w:r>
        <w:rPr>
          <w:color w:val="231F20"/>
          <w:spacing w:val="-3"/>
          <w:w w:val="105"/>
        </w:rPr>
        <w:t>proyecto migratorio</w:t>
      </w:r>
      <w:r>
        <w:rPr>
          <w:color w:val="231F20"/>
          <w:spacing w:val="-9"/>
          <w:w w:val="105"/>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modo</w:t>
      </w:r>
      <w:r>
        <w:rPr>
          <w:color w:val="231F20"/>
          <w:spacing w:val="-9"/>
          <w:w w:val="105"/>
        </w:rPr>
        <w:t> </w:t>
      </w:r>
      <w:r>
        <w:rPr>
          <w:color w:val="231F20"/>
          <w:w w:val="105"/>
        </w:rPr>
        <w:t>en</w:t>
      </w:r>
      <w:r>
        <w:rPr>
          <w:color w:val="231F20"/>
          <w:spacing w:val="-9"/>
          <w:w w:val="105"/>
        </w:rPr>
        <w:t> </w:t>
      </w:r>
      <w:r>
        <w:rPr>
          <w:color w:val="231F20"/>
          <w:w w:val="105"/>
        </w:rPr>
        <w:t>que</w:t>
      </w:r>
      <w:r>
        <w:rPr>
          <w:color w:val="231F20"/>
          <w:spacing w:val="-9"/>
          <w:w w:val="105"/>
        </w:rPr>
        <w:t> </w:t>
      </w:r>
      <w:r>
        <w:rPr>
          <w:color w:val="231F20"/>
          <w:w w:val="105"/>
        </w:rPr>
        <w:t>los</w:t>
      </w:r>
      <w:r>
        <w:rPr>
          <w:color w:val="231F20"/>
          <w:spacing w:val="-9"/>
          <w:w w:val="105"/>
        </w:rPr>
        <w:t> </w:t>
      </w:r>
      <w:r>
        <w:rPr>
          <w:color w:val="231F20"/>
          <w:spacing w:val="-3"/>
          <w:w w:val="105"/>
        </w:rPr>
        <w:t>factores</w:t>
      </w:r>
      <w:r>
        <w:rPr>
          <w:color w:val="231F20"/>
          <w:spacing w:val="-9"/>
          <w:w w:val="105"/>
        </w:rPr>
        <w:t> </w:t>
      </w:r>
      <w:r>
        <w:rPr>
          <w:color w:val="231F20"/>
          <w:w w:val="105"/>
        </w:rPr>
        <w:t>como</w:t>
      </w:r>
      <w:r>
        <w:rPr>
          <w:color w:val="231F20"/>
          <w:spacing w:val="-9"/>
          <w:w w:val="105"/>
        </w:rPr>
        <w:t> </w:t>
      </w:r>
      <w:r>
        <w:rPr>
          <w:color w:val="231F20"/>
          <w:w w:val="105"/>
        </w:rPr>
        <w:t>el</w:t>
      </w:r>
      <w:r>
        <w:rPr>
          <w:color w:val="231F20"/>
          <w:spacing w:val="-9"/>
          <w:w w:val="105"/>
        </w:rPr>
        <w:t> </w:t>
      </w:r>
      <w:r>
        <w:rPr>
          <w:color w:val="231F20"/>
          <w:w w:val="105"/>
        </w:rPr>
        <w:t>tiempo</w:t>
      </w:r>
      <w:r>
        <w:rPr>
          <w:color w:val="231F20"/>
          <w:spacing w:val="-9"/>
          <w:w w:val="105"/>
        </w:rPr>
        <w:t> </w:t>
      </w:r>
      <w:r>
        <w:rPr>
          <w:color w:val="231F20"/>
          <w:w w:val="105"/>
        </w:rPr>
        <w:t>de</w:t>
      </w:r>
      <w:r>
        <w:rPr>
          <w:color w:val="231F20"/>
          <w:spacing w:val="-9"/>
          <w:w w:val="105"/>
        </w:rPr>
        <w:t> </w:t>
      </w:r>
      <w:r>
        <w:rPr>
          <w:color w:val="231F20"/>
          <w:w w:val="105"/>
        </w:rPr>
        <w:t>estancia,</w:t>
      </w:r>
      <w:r>
        <w:rPr>
          <w:color w:val="231F20"/>
          <w:spacing w:val="-15"/>
          <w:w w:val="105"/>
        </w:rPr>
        <w:t> </w:t>
      </w:r>
      <w:r>
        <w:rPr>
          <w:color w:val="231F20"/>
          <w:spacing w:val="-2"/>
          <w:w w:val="105"/>
        </w:rPr>
        <w:t>los </w:t>
      </w:r>
      <w:r>
        <w:rPr>
          <w:color w:val="231F20"/>
          <w:spacing w:val="-3"/>
          <w:w w:val="105"/>
        </w:rPr>
        <w:t>patrones </w:t>
      </w:r>
      <w:r>
        <w:rPr>
          <w:color w:val="231F20"/>
          <w:w w:val="105"/>
        </w:rPr>
        <w:t>de movilización de </w:t>
      </w:r>
      <w:r>
        <w:rPr>
          <w:color w:val="231F20"/>
          <w:spacing w:val="-3"/>
          <w:w w:val="105"/>
        </w:rPr>
        <w:t>recursos, </w:t>
      </w:r>
      <w:r>
        <w:rPr>
          <w:color w:val="231F20"/>
          <w:w w:val="105"/>
        </w:rPr>
        <w:t>el estatus legal, las </w:t>
      </w:r>
      <w:r>
        <w:rPr>
          <w:color w:val="231F20"/>
          <w:spacing w:val="-2"/>
          <w:w w:val="105"/>
        </w:rPr>
        <w:t>motivaciones </w:t>
      </w:r>
      <w:r>
        <w:rPr>
          <w:color w:val="231F20"/>
          <w:w w:val="105"/>
        </w:rPr>
        <w:t>y</w:t>
      </w:r>
      <w:r>
        <w:rPr>
          <w:color w:val="231F20"/>
          <w:spacing w:val="-8"/>
          <w:w w:val="105"/>
        </w:rPr>
        <w:t> </w:t>
      </w:r>
      <w:r>
        <w:rPr>
          <w:color w:val="231F20"/>
          <w:spacing w:val="-3"/>
          <w:w w:val="105"/>
        </w:rPr>
        <w:t>proyectos</w:t>
      </w:r>
      <w:r>
        <w:rPr>
          <w:color w:val="231F20"/>
          <w:spacing w:val="-8"/>
          <w:w w:val="105"/>
        </w:rPr>
        <w:t> </w:t>
      </w:r>
      <w:r>
        <w:rPr>
          <w:color w:val="231F20"/>
          <w:spacing w:val="-3"/>
          <w:w w:val="105"/>
        </w:rPr>
        <w:t>(Cassarino,</w:t>
      </w:r>
      <w:r>
        <w:rPr>
          <w:color w:val="231F20"/>
          <w:spacing w:val="-13"/>
          <w:w w:val="105"/>
        </w:rPr>
        <w:t> </w:t>
      </w:r>
      <w:r>
        <w:rPr>
          <w:color w:val="231F20"/>
          <w:w w:val="105"/>
        </w:rPr>
        <w:t>2014),</w:t>
      </w:r>
      <w:r>
        <w:rPr>
          <w:color w:val="231F20"/>
          <w:spacing w:val="-13"/>
          <w:w w:val="105"/>
        </w:rPr>
        <w:t> </w:t>
      </w:r>
      <w:r>
        <w:rPr>
          <w:color w:val="231F20"/>
          <w:w w:val="105"/>
        </w:rPr>
        <w:t>así</w:t>
      </w:r>
      <w:r>
        <w:rPr>
          <w:color w:val="231F20"/>
          <w:spacing w:val="-8"/>
          <w:w w:val="105"/>
        </w:rPr>
        <w:t> </w:t>
      </w:r>
      <w:r>
        <w:rPr>
          <w:color w:val="231F20"/>
          <w:w w:val="105"/>
        </w:rPr>
        <w:t>como</w:t>
      </w:r>
      <w:r>
        <w:rPr>
          <w:color w:val="231F20"/>
          <w:spacing w:val="-8"/>
          <w:w w:val="105"/>
        </w:rPr>
        <w:t> </w:t>
      </w:r>
      <w:r>
        <w:rPr>
          <w:color w:val="231F20"/>
          <w:w w:val="105"/>
        </w:rPr>
        <w:t>la</w:t>
      </w:r>
      <w:r>
        <w:rPr>
          <w:color w:val="231F20"/>
          <w:spacing w:val="-8"/>
          <w:w w:val="105"/>
        </w:rPr>
        <w:t> </w:t>
      </w:r>
      <w:r>
        <w:rPr>
          <w:color w:val="231F20"/>
          <w:w w:val="105"/>
        </w:rPr>
        <w:t>etapa</w:t>
      </w:r>
      <w:r>
        <w:rPr>
          <w:color w:val="231F20"/>
          <w:spacing w:val="-8"/>
          <w:w w:val="105"/>
        </w:rPr>
        <w:t> </w:t>
      </w:r>
      <w:r>
        <w:rPr>
          <w:color w:val="231F20"/>
          <w:w w:val="105"/>
        </w:rPr>
        <w:t>del</w:t>
      </w:r>
      <w:r>
        <w:rPr>
          <w:color w:val="231F20"/>
          <w:spacing w:val="-8"/>
          <w:w w:val="105"/>
        </w:rPr>
        <w:t> </w:t>
      </w:r>
      <w:r>
        <w:rPr>
          <w:color w:val="231F20"/>
          <w:w w:val="105"/>
        </w:rPr>
        <w:t>ciclo</w:t>
      </w:r>
      <w:r>
        <w:rPr>
          <w:color w:val="231F20"/>
          <w:spacing w:val="-8"/>
          <w:w w:val="105"/>
        </w:rPr>
        <w:t> </w:t>
      </w:r>
      <w:r>
        <w:rPr>
          <w:color w:val="231F20"/>
          <w:w w:val="105"/>
        </w:rPr>
        <w:t>de</w:t>
      </w:r>
      <w:r>
        <w:rPr>
          <w:color w:val="231F20"/>
          <w:spacing w:val="-8"/>
          <w:w w:val="105"/>
        </w:rPr>
        <w:t> </w:t>
      </w:r>
      <w:r>
        <w:rPr>
          <w:color w:val="231F20"/>
          <w:w w:val="105"/>
        </w:rPr>
        <w:t>vida</w:t>
      </w:r>
      <w:r>
        <w:rPr>
          <w:color w:val="231F20"/>
          <w:spacing w:val="-8"/>
          <w:w w:val="105"/>
        </w:rPr>
        <w:t> </w:t>
      </w:r>
      <w:r>
        <w:rPr>
          <w:color w:val="231F20"/>
          <w:w w:val="105"/>
        </w:rPr>
        <w:t>de</w:t>
      </w:r>
      <w:r>
        <w:rPr>
          <w:color w:val="231F20"/>
          <w:spacing w:val="-8"/>
          <w:w w:val="105"/>
        </w:rPr>
        <w:t> </w:t>
      </w:r>
      <w:r>
        <w:rPr>
          <w:color w:val="231F20"/>
          <w:spacing w:val="-2"/>
          <w:w w:val="105"/>
        </w:rPr>
        <w:t>los </w:t>
      </w:r>
      <w:r>
        <w:rPr>
          <w:color w:val="231F20"/>
          <w:spacing w:val="-3"/>
          <w:w w:val="105"/>
        </w:rPr>
        <w:t>retornados</w:t>
      </w:r>
      <w:r>
        <w:rPr>
          <w:color w:val="231F20"/>
          <w:spacing w:val="-27"/>
          <w:w w:val="105"/>
        </w:rPr>
        <w:t> </w:t>
      </w:r>
      <w:r>
        <w:rPr>
          <w:color w:val="231F20"/>
          <w:w w:val="105"/>
        </w:rPr>
        <w:t>y</w:t>
      </w:r>
      <w:r>
        <w:rPr>
          <w:color w:val="231F20"/>
          <w:spacing w:val="-27"/>
          <w:w w:val="105"/>
        </w:rPr>
        <w:t> </w:t>
      </w:r>
      <w:r>
        <w:rPr>
          <w:color w:val="231F20"/>
          <w:w w:val="105"/>
        </w:rPr>
        <w:t>sus</w:t>
      </w:r>
      <w:r>
        <w:rPr>
          <w:color w:val="231F20"/>
          <w:spacing w:val="-27"/>
          <w:w w:val="105"/>
        </w:rPr>
        <w:t> </w:t>
      </w:r>
      <w:r>
        <w:rPr>
          <w:color w:val="231F20"/>
          <w:w w:val="105"/>
        </w:rPr>
        <w:t>familias,</w:t>
      </w:r>
      <w:r>
        <w:rPr>
          <w:color w:val="231F20"/>
          <w:spacing w:val="-31"/>
          <w:w w:val="105"/>
        </w:rPr>
        <w:t> </w:t>
      </w:r>
      <w:r>
        <w:rPr>
          <w:color w:val="231F20"/>
          <w:w w:val="105"/>
        </w:rPr>
        <w:t>influyen</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dinámica</w:t>
      </w:r>
      <w:r>
        <w:rPr>
          <w:color w:val="231F20"/>
          <w:spacing w:val="-27"/>
          <w:w w:val="105"/>
        </w:rPr>
        <w:t> </w:t>
      </w:r>
      <w:r>
        <w:rPr>
          <w:color w:val="231F20"/>
          <w:w w:val="105"/>
        </w:rPr>
        <w:t>de</w:t>
      </w:r>
      <w:r>
        <w:rPr>
          <w:color w:val="231F20"/>
          <w:spacing w:val="-27"/>
          <w:w w:val="105"/>
        </w:rPr>
        <w:t> </w:t>
      </w:r>
      <w:r>
        <w:rPr>
          <w:color w:val="231F20"/>
          <w:w w:val="105"/>
        </w:rPr>
        <w:t>estar</w:t>
      </w:r>
      <w:r>
        <w:rPr>
          <w:color w:val="231F20"/>
          <w:spacing w:val="-27"/>
          <w:w w:val="105"/>
        </w:rPr>
        <w:t> </w:t>
      </w:r>
      <w:r>
        <w:rPr>
          <w:color w:val="231F20"/>
          <w:w w:val="105"/>
        </w:rPr>
        <w:t>de</w:t>
      </w:r>
      <w:r>
        <w:rPr>
          <w:color w:val="231F20"/>
          <w:spacing w:val="-27"/>
          <w:w w:val="105"/>
        </w:rPr>
        <w:t> </w:t>
      </w:r>
      <w:r>
        <w:rPr>
          <w:color w:val="231F20"/>
          <w:w w:val="105"/>
        </w:rPr>
        <w:t>vuelta.</w:t>
      </w:r>
    </w:p>
    <w:p>
      <w:pPr>
        <w:pStyle w:val="BodyText"/>
        <w:spacing w:line="261" w:lineRule="auto" w:before="1"/>
        <w:ind w:left="1723" w:right="1834" w:firstLine="567"/>
        <w:jc w:val="both"/>
      </w:pPr>
      <w:r>
        <w:rPr>
          <w:color w:val="231F20"/>
          <w:w w:val="105"/>
        </w:rPr>
        <w:t>El enfoque transnacional ha permitido estudiar esa subjetividad colocando en el centro la experiencia de los sujetos involucrados en la migración,</w:t>
      </w:r>
      <w:r>
        <w:rPr>
          <w:color w:val="231F20"/>
          <w:spacing w:val="-25"/>
          <w:w w:val="105"/>
        </w:rPr>
        <w:t> </w:t>
      </w:r>
      <w:r>
        <w:rPr>
          <w:color w:val="231F20"/>
          <w:w w:val="105"/>
        </w:rPr>
        <w:t>el</w:t>
      </w:r>
      <w:r>
        <w:rPr>
          <w:color w:val="231F20"/>
          <w:spacing w:val="-20"/>
          <w:w w:val="105"/>
        </w:rPr>
        <w:t> </w:t>
      </w:r>
      <w:r>
        <w:rPr>
          <w:color w:val="231F20"/>
          <w:w w:val="105"/>
        </w:rPr>
        <w:t>modo</w:t>
      </w:r>
      <w:r>
        <w:rPr>
          <w:color w:val="231F20"/>
          <w:spacing w:val="-20"/>
          <w:w w:val="105"/>
        </w:rPr>
        <w:t> </w:t>
      </w:r>
      <w:r>
        <w:rPr>
          <w:color w:val="231F20"/>
          <w:w w:val="105"/>
        </w:rPr>
        <w:t>en</w:t>
      </w:r>
      <w:r>
        <w:rPr>
          <w:color w:val="231F20"/>
          <w:spacing w:val="-20"/>
          <w:w w:val="105"/>
        </w:rPr>
        <w:t> </w:t>
      </w:r>
      <w:r>
        <w:rPr>
          <w:color w:val="231F20"/>
          <w:w w:val="105"/>
        </w:rPr>
        <w:t>que</w:t>
      </w:r>
      <w:r>
        <w:rPr>
          <w:color w:val="231F20"/>
          <w:spacing w:val="-20"/>
          <w:w w:val="105"/>
        </w:rPr>
        <w:t> </w:t>
      </w:r>
      <w:r>
        <w:rPr>
          <w:color w:val="231F20"/>
          <w:w w:val="105"/>
        </w:rPr>
        <w:t>habitan</w:t>
      </w:r>
      <w:r>
        <w:rPr>
          <w:color w:val="231F20"/>
          <w:spacing w:val="-20"/>
          <w:w w:val="105"/>
        </w:rPr>
        <w:t> </w:t>
      </w:r>
      <w:r>
        <w:rPr>
          <w:color w:val="231F20"/>
          <w:w w:val="105"/>
        </w:rPr>
        <w:t>y</w:t>
      </w:r>
      <w:r>
        <w:rPr>
          <w:color w:val="231F20"/>
          <w:spacing w:val="-20"/>
          <w:w w:val="105"/>
        </w:rPr>
        <w:t> </w:t>
      </w:r>
      <w:r>
        <w:rPr>
          <w:color w:val="231F20"/>
          <w:w w:val="105"/>
        </w:rPr>
        <w:t>conciben</w:t>
      </w:r>
      <w:r>
        <w:rPr>
          <w:color w:val="231F20"/>
          <w:spacing w:val="-20"/>
          <w:w w:val="105"/>
        </w:rPr>
        <w:t> </w:t>
      </w:r>
      <w:r>
        <w:rPr>
          <w:color w:val="231F20"/>
          <w:w w:val="105"/>
        </w:rPr>
        <w:t>sus</w:t>
      </w:r>
      <w:r>
        <w:rPr>
          <w:color w:val="231F20"/>
          <w:spacing w:val="-20"/>
          <w:w w:val="105"/>
        </w:rPr>
        <w:t> </w:t>
      </w:r>
      <w:r>
        <w:rPr>
          <w:color w:val="231F20"/>
          <w:w w:val="105"/>
        </w:rPr>
        <w:t>espacios</w:t>
      </w:r>
      <w:r>
        <w:rPr>
          <w:color w:val="231F20"/>
          <w:spacing w:val="-20"/>
          <w:w w:val="105"/>
        </w:rPr>
        <w:t> </w:t>
      </w:r>
      <w:r>
        <w:rPr>
          <w:color w:val="231F20"/>
          <w:w w:val="105"/>
        </w:rPr>
        <w:t>de</w:t>
      </w:r>
      <w:r>
        <w:rPr>
          <w:color w:val="231F20"/>
          <w:spacing w:val="-20"/>
          <w:w w:val="105"/>
        </w:rPr>
        <w:t> </w:t>
      </w:r>
      <w:r>
        <w:rPr>
          <w:color w:val="231F20"/>
          <w:w w:val="105"/>
        </w:rPr>
        <w:t>vida</w:t>
      </w:r>
      <w:r>
        <w:rPr>
          <w:color w:val="231F20"/>
          <w:spacing w:val="-20"/>
          <w:w w:val="105"/>
        </w:rPr>
        <w:t> </w:t>
      </w:r>
      <w:r>
        <w:rPr>
          <w:color w:val="231F20"/>
          <w:spacing w:val="-4"/>
          <w:w w:val="105"/>
        </w:rPr>
        <w:t>y,</w:t>
      </w:r>
      <w:r>
        <w:rPr>
          <w:color w:val="231F20"/>
          <w:spacing w:val="-25"/>
          <w:w w:val="105"/>
        </w:rPr>
        <w:t> </w:t>
      </w:r>
      <w:r>
        <w:rPr>
          <w:color w:val="231F20"/>
          <w:w w:val="105"/>
        </w:rPr>
        <w:t>co- nocer</w:t>
      </w:r>
      <w:r>
        <w:rPr>
          <w:color w:val="231F20"/>
          <w:spacing w:val="-19"/>
          <w:w w:val="105"/>
        </w:rPr>
        <w:t> </w:t>
      </w:r>
      <w:r>
        <w:rPr>
          <w:color w:val="231F20"/>
          <w:w w:val="105"/>
        </w:rPr>
        <w:t>de</w:t>
      </w:r>
      <w:r>
        <w:rPr>
          <w:color w:val="231F20"/>
          <w:spacing w:val="-19"/>
          <w:w w:val="105"/>
        </w:rPr>
        <w:t> </w:t>
      </w:r>
      <w:r>
        <w:rPr>
          <w:color w:val="231F20"/>
          <w:w w:val="105"/>
        </w:rPr>
        <w:t>qué</w:t>
      </w:r>
      <w:r>
        <w:rPr>
          <w:color w:val="231F20"/>
          <w:spacing w:val="-19"/>
          <w:w w:val="105"/>
        </w:rPr>
        <w:t> </w:t>
      </w:r>
      <w:r>
        <w:rPr>
          <w:color w:val="231F20"/>
          <w:w w:val="105"/>
        </w:rPr>
        <w:t>manera</w:t>
      </w:r>
      <w:r>
        <w:rPr>
          <w:color w:val="231F20"/>
          <w:spacing w:val="-19"/>
          <w:w w:val="105"/>
        </w:rPr>
        <w:t> </w:t>
      </w:r>
      <w:r>
        <w:rPr>
          <w:color w:val="231F20"/>
          <w:w w:val="105"/>
        </w:rPr>
        <w:t>los</w:t>
      </w:r>
      <w:r>
        <w:rPr>
          <w:color w:val="231F20"/>
          <w:spacing w:val="-19"/>
          <w:w w:val="105"/>
        </w:rPr>
        <w:t> </w:t>
      </w:r>
      <w:r>
        <w:rPr>
          <w:color w:val="231F20"/>
          <w:w w:val="105"/>
        </w:rPr>
        <w:t>componentes</w:t>
      </w:r>
      <w:r>
        <w:rPr>
          <w:color w:val="231F20"/>
          <w:spacing w:val="-19"/>
          <w:w w:val="105"/>
        </w:rPr>
        <w:t> </w:t>
      </w:r>
      <w:r>
        <w:rPr>
          <w:color w:val="231F20"/>
          <w:w w:val="105"/>
        </w:rPr>
        <w:t>culturales</w:t>
      </w:r>
      <w:r>
        <w:rPr>
          <w:color w:val="231F20"/>
          <w:spacing w:val="-19"/>
          <w:w w:val="105"/>
        </w:rPr>
        <w:t> </w:t>
      </w:r>
      <w:r>
        <w:rPr>
          <w:color w:val="231F20"/>
          <w:w w:val="105"/>
        </w:rPr>
        <w:t>e</w:t>
      </w:r>
      <w:r>
        <w:rPr>
          <w:color w:val="231F20"/>
          <w:spacing w:val="-19"/>
          <w:w w:val="105"/>
        </w:rPr>
        <w:t> </w:t>
      </w:r>
      <w:r>
        <w:rPr>
          <w:color w:val="231F20"/>
          <w:w w:val="105"/>
        </w:rPr>
        <w:t>identitarios</w:t>
      </w:r>
      <w:r>
        <w:rPr>
          <w:color w:val="231F20"/>
          <w:spacing w:val="-19"/>
          <w:w w:val="105"/>
        </w:rPr>
        <w:t> </w:t>
      </w:r>
      <w:r>
        <w:rPr>
          <w:color w:val="231F20"/>
          <w:w w:val="105"/>
        </w:rPr>
        <w:t>conectan o</w:t>
      </w:r>
      <w:r>
        <w:rPr>
          <w:color w:val="231F20"/>
          <w:spacing w:val="-26"/>
          <w:w w:val="105"/>
        </w:rPr>
        <w:t> </w:t>
      </w:r>
      <w:r>
        <w:rPr>
          <w:color w:val="231F20"/>
          <w:w w:val="105"/>
        </w:rPr>
        <w:t>separan</w:t>
      </w:r>
      <w:r>
        <w:rPr>
          <w:color w:val="231F20"/>
          <w:spacing w:val="-26"/>
          <w:w w:val="105"/>
        </w:rPr>
        <w:t> </w:t>
      </w:r>
      <w:r>
        <w:rPr>
          <w:color w:val="231F20"/>
          <w:w w:val="105"/>
        </w:rPr>
        <w:t>a</w:t>
      </w:r>
      <w:r>
        <w:rPr>
          <w:color w:val="231F20"/>
          <w:spacing w:val="-26"/>
          <w:w w:val="105"/>
        </w:rPr>
        <w:t> </w:t>
      </w:r>
      <w:r>
        <w:rPr>
          <w:color w:val="231F20"/>
          <w:w w:val="105"/>
        </w:rPr>
        <w:t>las</w:t>
      </w:r>
      <w:r>
        <w:rPr>
          <w:color w:val="231F20"/>
          <w:spacing w:val="-26"/>
          <w:w w:val="105"/>
        </w:rPr>
        <w:t> </w:t>
      </w:r>
      <w:r>
        <w:rPr>
          <w:color w:val="231F20"/>
          <w:w w:val="105"/>
        </w:rPr>
        <w:t>personas.</w:t>
      </w:r>
      <w:r>
        <w:rPr>
          <w:color w:val="231F20"/>
          <w:spacing w:val="-31"/>
          <w:w w:val="105"/>
        </w:rPr>
        <w:t> </w:t>
      </w:r>
      <w:r>
        <w:rPr>
          <w:color w:val="231F20"/>
          <w:w w:val="105"/>
        </w:rPr>
        <w:t>El</w:t>
      </w:r>
      <w:r>
        <w:rPr>
          <w:color w:val="231F20"/>
          <w:spacing w:val="-26"/>
          <w:w w:val="105"/>
        </w:rPr>
        <w:t> </w:t>
      </w:r>
      <w:r>
        <w:rPr>
          <w:color w:val="231F20"/>
          <w:w w:val="105"/>
        </w:rPr>
        <w:t>potencial</w:t>
      </w:r>
      <w:r>
        <w:rPr>
          <w:color w:val="231F20"/>
          <w:spacing w:val="-26"/>
          <w:w w:val="105"/>
        </w:rPr>
        <w:t> </w:t>
      </w:r>
      <w:r>
        <w:rPr>
          <w:color w:val="231F20"/>
          <w:w w:val="105"/>
        </w:rPr>
        <w:t>de</w:t>
      </w:r>
      <w:r>
        <w:rPr>
          <w:color w:val="231F20"/>
          <w:spacing w:val="-26"/>
          <w:w w:val="105"/>
        </w:rPr>
        <w:t> </w:t>
      </w:r>
      <w:r>
        <w:rPr>
          <w:color w:val="231F20"/>
          <w:w w:val="105"/>
        </w:rPr>
        <w:t>esta</w:t>
      </w:r>
      <w:r>
        <w:rPr>
          <w:color w:val="231F20"/>
          <w:spacing w:val="-26"/>
          <w:w w:val="105"/>
        </w:rPr>
        <w:t> </w:t>
      </w:r>
      <w:r>
        <w:rPr>
          <w:color w:val="231F20"/>
          <w:w w:val="105"/>
        </w:rPr>
        <w:t>perspectiva</w:t>
      </w:r>
      <w:r>
        <w:rPr>
          <w:color w:val="231F20"/>
          <w:spacing w:val="-26"/>
          <w:w w:val="105"/>
        </w:rPr>
        <w:t> </w:t>
      </w:r>
      <w:r>
        <w:rPr>
          <w:color w:val="231F20"/>
          <w:w w:val="105"/>
        </w:rPr>
        <w:t>radica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es- tudio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sujetos</w:t>
      </w:r>
      <w:r>
        <w:rPr>
          <w:color w:val="231F20"/>
          <w:spacing w:val="-17"/>
          <w:w w:val="105"/>
        </w:rPr>
        <w:t> </w:t>
      </w:r>
      <w:r>
        <w:rPr>
          <w:color w:val="231F20"/>
          <w:w w:val="105"/>
        </w:rPr>
        <w:t>y</w:t>
      </w:r>
      <w:r>
        <w:rPr>
          <w:color w:val="231F20"/>
          <w:spacing w:val="-17"/>
          <w:w w:val="105"/>
        </w:rPr>
        <w:t> </w:t>
      </w:r>
      <w:r>
        <w:rPr>
          <w:color w:val="231F20"/>
          <w:w w:val="105"/>
        </w:rPr>
        <w:t>sus</w:t>
      </w:r>
      <w:r>
        <w:rPr>
          <w:color w:val="231F20"/>
          <w:spacing w:val="-17"/>
          <w:w w:val="105"/>
        </w:rPr>
        <w:t> </w:t>
      </w:r>
      <w:r>
        <w:rPr>
          <w:color w:val="231F20"/>
          <w:w w:val="105"/>
        </w:rPr>
        <w:t>grupos</w:t>
      </w:r>
      <w:r>
        <w:rPr>
          <w:color w:val="231F20"/>
          <w:spacing w:val="-17"/>
          <w:w w:val="105"/>
        </w:rPr>
        <w:t> </w:t>
      </w:r>
      <w:r>
        <w:rPr>
          <w:color w:val="231F20"/>
          <w:w w:val="105"/>
        </w:rPr>
        <w:t>para</w:t>
      </w:r>
      <w:r>
        <w:rPr>
          <w:color w:val="231F20"/>
          <w:spacing w:val="-17"/>
          <w:w w:val="105"/>
        </w:rPr>
        <w:t> </w:t>
      </w:r>
      <w:r>
        <w:rPr>
          <w:color w:val="231F20"/>
          <w:w w:val="105"/>
        </w:rPr>
        <w:t>entender</w:t>
      </w:r>
      <w:r>
        <w:rPr>
          <w:color w:val="231F20"/>
          <w:spacing w:val="-17"/>
          <w:w w:val="105"/>
        </w:rPr>
        <w:t> </w:t>
      </w:r>
      <w:r>
        <w:rPr>
          <w:color w:val="231F20"/>
          <w:w w:val="105"/>
        </w:rPr>
        <w:t>el</w:t>
      </w:r>
      <w:r>
        <w:rPr>
          <w:color w:val="231F20"/>
          <w:spacing w:val="-17"/>
          <w:w w:val="105"/>
        </w:rPr>
        <w:t> </w:t>
      </w:r>
      <w:r>
        <w:rPr>
          <w:color w:val="231F20"/>
          <w:w w:val="105"/>
        </w:rPr>
        <w:t>modo</w:t>
      </w:r>
      <w:r>
        <w:rPr>
          <w:color w:val="231F20"/>
          <w:spacing w:val="-17"/>
          <w:w w:val="105"/>
        </w:rPr>
        <w:t> </w:t>
      </w:r>
      <w:r>
        <w:rPr>
          <w:color w:val="231F20"/>
          <w:w w:val="105"/>
        </w:rPr>
        <w:t>en</w:t>
      </w:r>
      <w:r>
        <w:rPr>
          <w:color w:val="231F20"/>
          <w:spacing w:val="-17"/>
          <w:w w:val="105"/>
        </w:rPr>
        <w:t> </w:t>
      </w:r>
      <w:r>
        <w:rPr>
          <w:color w:val="231F20"/>
          <w:w w:val="105"/>
        </w:rPr>
        <w:t>que</w:t>
      </w:r>
      <w:r>
        <w:rPr>
          <w:color w:val="231F20"/>
          <w:spacing w:val="-17"/>
          <w:w w:val="105"/>
        </w:rPr>
        <w:t> </w:t>
      </w:r>
      <w:r>
        <w:rPr>
          <w:color w:val="231F20"/>
          <w:w w:val="105"/>
        </w:rPr>
        <w:t>conviven</w:t>
      </w:r>
    </w:p>
    <w:p>
      <w:pPr>
        <w:pStyle w:val="BodyText"/>
        <w:spacing w:before="10"/>
        <w:rPr>
          <w:sz w:val="12"/>
        </w:rPr>
      </w:pPr>
      <w:r>
        <w:rPr/>
        <w:pict>
          <v:line style="position:absolute;mso-position-horizontal-relative:page;mso-position-vertical-relative:paragraph;z-index:27448;mso-wrap-distance-left:0;mso-wrap-distance-right:0" from="86.1968pt,9.392728pt" to="199.5828pt,9.392728pt" stroked="true" strokeweight=".25pt" strokecolor="#231f20">
            <w10:wrap type="topAndBottom"/>
          </v:line>
        </w:pict>
      </w:r>
    </w:p>
    <w:p>
      <w:pPr>
        <w:spacing w:before="8"/>
        <w:ind w:left="1723" w:right="0" w:firstLine="0"/>
        <w:jc w:val="left"/>
        <w:rPr>
          <w:rFonts w:ascii="Calibri"/>
          <w:sz w:val="16"/>
        </w:rPr>
      </w:pPr>
      <w:r>
        <w:rPr>
          <w:rFonts w:ascii="Calibri"/>
          <w:color w:val="414042"/>
          <w:w w:val="105"/>
          <w:position w:val="5"/>
          <w:sz w:val="9"/>
        </w:rPr>
        <w:t>7 </w:t>
      </w:r>
      <w:r>
        <w:rPr>
          <w:rFonts w:ascii="Calibri"/>
          <w:color w:val="414042"/>
          <w:w w:val="105"/>
          <w:sz w:val="16"/>
        </w:rPr>
        <w:t>Con base en la propuesta de Henri Lefebvre, citado en Hiernaux, 2008.</w:t>
      </w:r>
    </w:p>
    <w:p>
      <w:pPr>
        <w:pStyle w:val="BodyText"/>
        <w:rPr>
          <w:rFonts w:ascii="Calibri"/>
          <w:sz w:val="20"/>
        </w:rPr>
      </w:pPr>
    </w:p>
    <w:p>
      <w:pPr>
        <w:pStyle w:val="BodyText"/>
        <w:spacing w:before="10"/>
        <w:rPr>
          <w:rFonts w:ascii="Calibri"/>
          <w:sz w:val="2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62712" from="131.551193pt,3.703715pt" to="131.551193pt,39.506114pt" stroked="true" strokeweight=".35pt" strokecolor="#231f20">
            <w10:wrap type="none"/>
          </v:line>
        </w:pict>
      </w:r>
      <w:r>
        <w:rPr/>
        <w:pict>
          <v:line style="position:absolute;mso-position-horizontal-relative:page;mso-position-vertical-relative:paragraph;z-index:-462640" from="15pt,39.505917pt" to="0pt,39.505917pt" stroked="true" strokeweight=".25pt" strokecolor="#000000">
            <w10:wrap type="none"/>
          </v:line>
        </w:pict>
      </w:r>
      <w:r>
        <w:rPr/>
        <w:pict>
          <v:line style="position:absolute;mso-position-horizontal-relative:page;mso-position-vertical-relative:paragraph;z-index:27568" from="508.890015pt,39.505917pt" to="523.890015pt,39.505917pt" stroked="true" strokeweight=".25pt" strokecolor="#000000">
            <w10:wrap type="none"/>
          </v:line>
        </w:pict>
      </w:r>
      <w:r>
        <w:rPr>
          <w:rFonts w:ascii="Arial" w:hAnsi="Arial"/>
          <w:color w:val="414042"/>
          <w:w w:val="105"/>
          <w:position w:val="-5"/>
          <w:sz w:val="20"/>
        </w:rPr>
        <w:t>222</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7592"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7616" from="15pt,-28.286539pt" to="0pt,-28.286539pt" stroked="true" strokeweight=".25pt" strokecolor="#000000">
            <w10:wrap type="none"/>
          </v:line>
        </w:pict>
      </w:r>
      <w:r>
        <w:rPr/>
        <w:pict>
          <v:line style="position:absolute;mso-position-horizontal-relative:page;mso-position-vertical-relative:paragraph;z-index:27640" from="508.890015pt,-28.286539pt" to="523.890015pt,-28.286539pt" stroked="true" strokeweight=".25pt" strokecolor="#000000">
            <w10:wrap type="none"/>
          </v:line>
        </w:pict>
      </w:r>
      <w:r>
        <w:rPr>
          <w:rFonts w:ascii="Arial"/>
          <w:color w:val="414042"/>
          <w:sz w:val="20"/>
        </w:rPr>
        <w:t>223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15"/>
        <w:jc w:val="both"/>
      </w:pPr>
      <w:r>
        <w:rPr>
          <w:color w:val="231F20"/>
          <w:w w:val="105"/>
        </w:rPr>
        <w:t>e</w:t>
      </w:r>
      <w:r>
        <w:rPr>
          <w:color w:val="231F20"/>
          <w:spacing w:val="-21"/>
          <w:w w:val="105"/>
        </w:rPr>
        <w:t> </w:t>
      </w:r>
      <w:r>
        <w:rPr>
          <w:color w:val="231F20"/>
          <w:w w:val="105"/>
        </w:rPr>
        <w:t>interactúan</w:t>
      </w:r>
      <w:r>
        <w:rPr>
          <w:color w:val="231F20"/>
          <w:spacing w:val="-21"/>
          <w:w w:val="105"/>
        </w:rPr>
        <w:t> </w:t>
      </w:r>
      <w:r>
        <w:rPr>
          <w:color w:val="231F20"/>
          <w:w w:val="105"/>
        </w:rPr>
        <w:t>sus</w:t>
      </w:r>
      <w:r>
        <w:rPr>
          <w:color w:val="231F20"/>
          <w:spacing w:val="-21"/>
          <w:w w:val="105"/>
        </w:rPr>
        <w:t> </w:t>
      </w:r>
      <w:r>
        <w:rPr>
          <w:color w:val="231F20"/>
          <w:w w:val="105"/>
        </w:rPr>
        <w:t>miembros</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posibilidad</w:t>
      </w:r>
      <w:r>
        <w:rPr>
          <w:color w:val="231F20"/>
          <w:spacing w:val="-21"/>
          <w:w w:val="105"/>
        </w:rPr>
        <w:t> </w:t>
      </w:r>
      <w:r>
        <w:rPr>
          <w:color w:val="231F20"/>
          <w:w w:val="105"/>
        </w:rPr>
        <w:t>de</w:t>
      </w:r>
      <w:r>
        <w:rPr>
          <w:color w:val="231F20"/>
          <w:spacing w:val="-21"/>
          <w:w w:val="105"/>
        </w:rPr>
        <w:t> </w:t>
      </w:r>
      <w:r>
        <w:rPr>
          <w:color w:val="231F20"/>
          <w:w w:val="105"/>
        </w:rPr>
        <w:t>interacción</w:t>
      </w:r>
      <w:r>
        <w:rPr>
          <w:color w:val="231F20"/>
          <w:spacing w:val="-21"/>
          <w:w w:val="105"/>
        </w:rPr>
        <w:t> </w:t>
      </w:r>
      <w:r>
        <w:rPr>
          <w:color w:val="231F20"/>
          <w:w w:val="105"/>
        </w:rPr>
        <w:t>con</w:t>
      </w:r>
      <w:r>
        <w:rPr>
          <w:color w:val="231F20"/>
          <w:spacing w:val="-21"/>
          <w:w w:val="105"/>
        </w:rPr>
        <w:t> </w:t>
      </w:r>
      <w:r>
        <w:rPr>
          <w:color w:val="231F20"/>
          <w:spacing w:val="-5"/>
          <w:w w:val="105"/>
        </w:rPr>
        <w:t>“otros”.</w:t>
      </w:r>
      <w:r>
        <w:rPr>
          <w:color w:val="231F20"/>
          <w:spacing w:val="-27"/>
          <w:w w:val="105"/>
        </w:rPr>
        <w:t> </w:t>
      </w:r>
      <w:r>
        <w:rPr>
          <w:color w:val="231F20"/>
          <w:w w:val="105"/>
        </w:rPr>
        <w:t>Sin embargo, las críticas han provocado la reflexión sobre la relevancia de las</w:t>
      </w:r>
      <w:r>
        <w:rPr>
          <w:color w:val="231F20"/>
          <w:spacing w:val="-29"/>
          <w:w w:val="105"/>
        </w:rPr>
        <w:t> </w:t>
      </w:r>
      <w:r>
        <w:rPr>
          <w:color w:val="231F20"/>
          <w:w w:val="105"/>
        </w:rPr>
        <w:t>particularidades</w:t>
      </w:r>
      <w:r>
        <w:rPr>
          <w:color w:val="231F20"/>
          <w:spacing w:val="-29"/>
          <w:w w:val="105"/>
        </w:rPr>
        <w:t> </w:t>
      </w:r>
      <w:r>
        <w:rPr>
          <w:color w:val="231F20"/>
          <w:w w:val="105"/>
        </w:rPr>
        <w:t>empíricas</w:t>
      </w:r>
      <w:r>
        <w:rPr>
          <w:color w:val="231F20"/>
          <w:spacing w:val="-29"/>
          <w:w w:val="105"/>
        </w:rPr>
        <w:t> </w:t>
      </w:r>
      <w:r>
        <w:rPr>
          <w:color w:val="231F20"/>
          <w:w w:val="105"/>
        </w:rPr>
        <w:t>y</w:t>
      </w:r>
      <w:r>
        <w:rPr>
          <w:color w:val="231F20"/>
          <w:spacing w:val="-29"/>
          <w:w w:val="105"/>
        </w:rPr>
        <w:t> </w:t>
      </w:r>
      <w:r>
        <w:rPr>
          <w:color w:val="231F20"/>
          <w:w w:val="105"/>
        </w:rPr>
        <w:t>el</w:t>
      </w:r>
      <w:r>
        <w:rPr>
          <w:color w:val="231F20"/>
          <w:spacing w:val="-29"/>
          <w:w w:val="105"/>
        </w:rPr>
        <w:t> </w:t>
      </w:r>
      <w:r>
        <w:rPr>
          <w:color w:val="231F20"/>
          <w:w w:val="105"/>
        </w:rPr>
        <w:t>establecimiento</w:t>
      </w:r>
      <w:r>
        <w:rPr>
          <w:color w:val="231F20"/>
          <w:spacing w:val="-29"/>
          <w:w w:val="105"/>
        </w:rPr>
        <w:t> </w:t>
      </w:r>
      <w:r>
        <w:rPr>
          <w:color w:val="231F20"/>
          <w:w w:val="105"/>
        </w:rPr>
        <w:t>de</w:t>
      </w:r>
      <w:r>
        <w:rPr>
          <w:color w:val="231F20"/>
          <w:spacing w:val="-29"/>
          <w:w w:val="105"/>
        </w:rPr>
        <w:t> </w:t>
      </w:r>
      <w:r>
        <w:rPr>
          <w:color w:val="231F20"/>
          <w:w w:val="105"/>
        </w:rPr>
        <w:t>unidades</w:t>
      </w:r>
      <w:r>
        <w:rPr>
          <w:color w:val="231F20"/>
          <w:spacing w:val="-29"/>
          <w:w w:val="105"/>
        </w:rPr>
        <w:t> </w:t>
      </w:r>
      <w:r>
        <w:rPr>
          <w:color w:val="231F20"/>
          <w:w w:val="105"/>
        </w:rPr>
        <w:t>analíticas que</w:t>
      </w:r>
      <w:r>
        <w:rPr>
          <w:color w:val="231F20"/>
          <w:spacing w:val="-5"/>
          <w:w w:val="105"/>
        </w:rPr>
        <w:t> </w:t>
      </w:r>
      <w:r>
        <w:rPr>
          <w:color w:val="231F20"/>
          <w:w w:val="105"/>
        </w:rPr>
        <w:t>contribuyan</w:t>
      </w:r>
      <w:r>
        <w:rPr>
          <w:color w:val="231F20"/>
          <w:spacing w:val="-5"/>
          <w:w w:val="105"/>
        </w:rPr>
        <w:t> </w:t>
      </w:r>
      <w:r>
        <w:rPr>
          <w:color w:val="231F20"/>
          <w:w w:val="105"/>
        </w:rPr>
        <w:t>a</w:t>
      </w:r>
      <w:r>
        <w:rPr>
          <w:color w:val="231F20"/>
          <w:spacing w:val="-5"/>
          <w:w w:val="105"/>
        </w:rPr>
        <w:t> </w:t>
      </w:r>
      <w:r>
        <w:rPr>
          <w:color w:val="231F20"/>
          <w:w w:val="105"/>
        </w:rPr>
        <w:t>explicar</w:t>
      </w:r>
      <w:r>
        <w:rPr>
          <w:color w:val="231F20"/>
          <w:spacing w:val="-5"/>
          <w:w w:val="105"/>
        </w:rPr>
        <w:t> </w:t>
      </w:r>
      <w:r>
        <w:rPr>
          <w:color w:val="231F20"/>
          <w:w w:val="105"/>
        </w:rPr>
        <w:t>las</w:t>
      </w:r>
      <w:r>
        <w:rPr>
          <w:color w:val="231F20"/>
          <w:spacing w:val="-5"/>
          <w:w w:val="105"/>
        </w:rPr>
        <w:t> </w:t>
      </w:r>
      <w:r>
        <w:rPr>
          <w:color w:val="231F20"/>
          <w:w w:val="105"/>
        </w:rPr>
        <w:t>lógicas</w:t>
      </w:r>
      <w:r>
        <w:rPr>
          <w:color w:val="231F20"/>
          <w:spacing w:val="-5"/>
          <w:w w:val="105"/>
        </w:rPr>
        <w:t> </w:t>
      </w:r>
      <w:r>
        <w:rPr>
          <w:color w:val="231F20"/>
          <w:w w:val="105"/>
        </w:rPr>
        <w:t>comunes</w:t>
      </w:r>
      <w:r>
        <w:rPr>
          <w:color w:val="231F20"/>
          <w:spacing w:val="-5"/>
          <w:w w:val="105"/>
        </w:rPr>
        <w:t> </w:t>
      </w:r>
      <w:r>
        <w:rPr>
          <w:color w:val="231F20"/>
          <w:w w:val="105"/>
        </w:rPr>
        <w:t>de</w:t>
      </w:r>
      <w:r>
        <w:rPr>
          <w:color w:val="231F20"/>
          <w:spacing w:val="-5"/>
          <w:w w:val="105"/>
        </w:rPr>
        <w:t> </w:t>
      </w:r>
      <w:r>
        <w:rPr>
          <w:color w:val="231F20"/>
          <w:w w:val="105"/>
        </w:rPr>
        <w:t>otros</w:t>
      </w:r>
      <w:r>
        <w:rPr>
          <w:color w:val="231F20"/>
          <w:spacing w:val="-5"/>
          <w:w w:val="105"/>
        </w:rPr>
        <w:t> </w:t>
      </w:r>
      <w:r>
        <w:rPr>
          <w:color w:val="231F20"/>
          <w:w w:val="105"/>
        </w:rPr>
        <w:t>desplazamien- tos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mundo.</w:t>
      </w:r>
      <w:r>
        <w:rPr>
          <w:color w:val="231F20"/>
          <w:spacing w:val="-20"/>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sentido,</w:t>
      </w:r>
      <w:r>
        <w:rPr>
          <w:color w:val="231F20"/>
          <w:spacing w:val="-20"/>
          <w:w w:val="105"/>
        </w:rPr>
        <w:t> </w:t>
      </w:r>
      <w:r>
        <w:rPr>
          <w:color w:val="231F20"/>
          <w:w w:val="105"/>
        </w:rPr>
        <w:t>¿con</w:t>
      </w:r>
      <w:r>
        <w:rPr>
          <w:color w:val="231F20"/>
          <w:spacing w:val="-15"/>
          <w:w w:val="105"/>
        </w:rPr>
        <w:t> </w:t>
      </w:r>
      <w:r>
        <w:rPr>
          <w:color w:val="231F20"/>
          <w:w w:val="105"/>
        </w:rPr>
        <w:t>qué</w:t>
      </w:r>
      <w:r>
        <w:rPr>
          <w:color w:val="231F20"/>
          <w:spacing w:val="-15"/>
          <w:w w:val="105"/>
        </w:rPr>
        <w:t> </w:t>
      </w:r>
      <w:r>
        <w:rPr>
          <w:color w:val="231F20"/>
          <w:w w:val="105"/>
        </w:rPr>
        <w:t>herramientas</w:t>
      </w:r>
      <w:r>
        <w:rPr>
          <w:color w:val="231F20"/>
          <w:spacing w:val="-15"/>
          <w:w w:val="105"/>
        </w:rPr>
        <w:t> </w:t>
      </w:r>
      <w:r>
        <w:rPr>
          <w:color w:val="231F20"/>
          <w:w w:val="105"/>
        </w:rPr>
        <w:t>contamos</w:t>
      </w:r>
      <w:r>
        <w:rPr>
          <w:color w:val="231F20"/>
          <w:spacing w:val="-15"/>
          <w:w w:val="105"/>
        </w:rPr>
        <w:t> </w:t>
      </w:r>
      <w:r>
        <w:rPr>
          <w:color w:val="231F20"/>
          <w:w w:val="105"/>
        </w:rPr>
        <w:t>para indagar y analizar lo que sucede con los flujos migratorios por razones económicas y sus retornos? Desde esta posición se pretende</w:t>
      </w:r>
      <w:r>
        <w:rPr>
          <w:color w:val="231F20"/>
          <w:spacing w:val="-14"/>
          <w:w w:val="105"/>
        </w:rPr>
        <w:t> </w:t>
      </w:r>
      <w:r>
        <w:rPr>
          <w:color w:val="231F20"/>
          <w:w w:val="105"/>
        </w:rPr>
        <w:t>entender el modo en que lo estructural actúa en lo concreto, la vivencia de las personas.</w:t>
      </w:r>
      <w:r>
        <w:rPr>
          <w:color w:val="231F20"/>
          <w:spacing w:val="-14"/>
          <w:w w:val="105"/>
        </w:rPr>
        <w:t> </w:t>
      </w:r>
      <w:r>
        <w:rPr>
          <w:color w:val="231F20"/>
          <w:w w:val="105"/>
        </w:rPr>
        <w:t>La</w:t>
      </w:r>
      <w:r>
        <w:rPr>
          <w:color w:val="231F20"/>
          <w:spacing w:val="-9"/>
          <w:w w:val="105"/>
        </w:rPr>
        <w:t> </w:t>
      </w:r>
      <w:r>
        <w:rPr>
          <w:color w:val="231F20"/>
          <w:w w:val="105"/>
        </w:rPr>
        <w:t>lógica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mundialización</w:t>
      </w:r>
      <w:r>
        <w:rPr>
          <w:color w:val="231F20"/>
          <w:spacing w:val="-9"/>
          <w:w w:val="105"/>
        </w:rPr>
        <w:t> </w:t>
      </w:r>
      <w:r>
        <w:rPr>
          <w:color w:val="231F20"/>
          <w:w w:val="105"/>
        </w:rPr>
        <w:t>por</w:t>
      </w:r>
      <w:r>
        <w:rPr>
          <w:color w:val="231F20"/>
          <w:spacing w:val="-9"/>
          <w:w w:val="105"/>
        </w:rPr>
        <w:t> </w:t>
      </w:r>
      <w:r>
        <w:rPr>
          <w:color w:val="231F20"/>
          <w:w w:val="105"/>
        </w:rPr>
        <w:t>abajo</w:t>
      </w:r>
      <w:r>
        <w:rPr>
          <w:color w:val="231F20"/>
          <w:spacing w:val="-9"/>
          <w:w w:val="105"/>
        </w:rPr>
        <w:t> </w:t>
      </w:r>
      <w:r>
        <w:rPr>
          <w:color w:val="231F20"/>
          <w:spacing w:val="-3"/>
          <w:w w:val="105"/>
        </w:rPr>
        <w:t>(Tarrius,</w:t>
      </w:r>
      <w:r>
        <w:rPr>
          <w:color w:val="231F20"/>
          <w:spacing w:val="-14"/>
          <w:w w:val="105"/>
        </w:rPr>
        <w:t> </w:t>
      </w:r>
      <w:r>
        <w:rPr>
          <w:color w:val="231F20"/>
          <w:w w:val="105"/>
        </w:rPr>
        <w:t>2007)</w:t>
      </w:r>
      <w:r>
        <w:rPr>
          <w:color w:val="231F20"/>
          <w:spacing w:val="-9"/>
          <w:w w:val="105"/>
        </w:rPr>
        <w:t> </w:t>
      </w:r>
      <w:r>
        <w:rPr>
          <w:color w:val="231F20"/>
          <w:w w:val="105"/>
        </w:rPr>
        <w:t>es</w:t>
      </w:r>
      <w:r>
        <w:rPr>
          <w:color w:val="231F20"/>
          <w:spacing w:val="-9"/>
          <w:w w:val="105"/>
        </w:rPr>
        <w:t> </w:t>
      </w:r>
      <w:r>
        <w:rPr>
          <w:color w:val="231F20"/>
          <w:w w:val="105"/>
        </w:rPr>
        <w:t>un referente</w:t>
      </w:r>
      <w:r>
        <w:rPr>
          <w:color w:val="231F20"/>
          <w:spacing w:val="-14"/>
          <w:w w:val="105"/>
        </w:rPr>
        <w:t> </w:t>
      </w:r>
      <w:r>
        <w:rPr>
          <w:color w:val="231F20"/>
          <w:w w:val="105"/>
        </w:rPr>
        <w:t>para</w:t>
      </w:r>
      <w:r>
        <w:rPr>
          <w:color w:val="231F20"/>
          <w:spacing w:val="-13"/>
          <w:w w:val="105"/>
        </w:rPr>
        <w:t> </w:t>
      </w:r>
      <w:r>
        <w:rPr>
          <w:color w:val="231F20"/>
          <w:w w:val="105"/>
        </w:rPr>
        <w:t>este</w:t>
      </w:r>
      <w:r>
        <w:rPr>
          <w:color w:val="231F20"/>
          <w:spacing w:val="-13"/>
          <w:w w:val="105"/>
        </w:rPr>
        <w:t> </w:t>
      </w:r>
      <w:r>
        <w:rPr>
          <w:color w:val="231F20"/>
          <w:w w:val="105"/>
        </w:rPr>
        <w:t>trabajo,</w:t>
      </w:r>
      <w:r>
        <w:rPr>
          <w:color w:val="231F20"/>
          <w:spacing w:val="-20"/>
          <w:w w:val="105"/>
        </w:rPr>
        <w:t> </w:t>
      </w:r>
      <w:r>
        <w:rPr>
          <w:color w:val="231F20"/>
          <w:w w:val="105"/>
        </w:rPr>
        <w:t>al</w:t>
      </w:r>
      <w:r>
        <w:rPr>
          <w:color w:val="231F20"/>
          <w:spacing w:val="-13"/>
          <w:w w:val="105"/>
        </w:rPr>
        <w:t> </w:t>
      </w:r>
      <w:r>
        <w:rPr>
          <w:color w:val="231F20"/>
          <w:w w:val="105"/>
        </w:rPr>
        <w:t>indagar</w:t>
      </w:r>
      <w:r>
        <w:rPr>
          <w:color w:val="231F20"/>
          <w:spacing w:val="-14"/>
          <w:w w:val="105"/>
        </w:rPr>
        <w:t> </w:t>
      </w:r>
      <w:r>
        <w:rPr>
          <w:color w:val="231F20"/>
          <w:w w:val="105"/>
        </w:rPr>
        <w:t>sobre</w:t>
      </w:r>
      <w:r>
        <w:rPr>
          <w:color w:val="231F20"/>
          <w:spacing w:val="-13"/>
          <w:w w:val="105"/>
        </w:rPr>
        <w:t> </w:t>
      </w:r>
      <w:r>
        <w:rPr>
          <w:color w:val="231F20"/>
          <w:w w:val="105"/>
        </w:rPr>
        <w:t>un</w:t>
      </w:r>
      <w:r>
        <w:rPr>
          <w:color w:val="231F20"/>
          <w:spacing w:val="-13"/>
          <w:w w:val="105"/>
        </w:rPr>
        <w:t> </w:t>
      </w:r>
      <w:r>
        <w:rPr>
          <w:color w:val="231F20"/>
          <w:w w:val="105"/>
        </w:rPr>
        <w:t>fenómeno</w:t>
      </w:r>
      <w:r>
        <w:rPr>
          <w:color w:val="231F20"/>
          <w:spacing w:val="-13"/>
          <w:w w:val="105"/>
        </w:rPr>
        <w:t> </w:t>
      </w:r>
      <w:r>
        <w:rPr>
          <w:color w:val="231F20"/>
          <w:w w:val="105"/>
        </w:rPr>
        <w:t>planetario</w:t>
      </w:r>
      <w:r>
        <w:rPr>
          <w:color w:val="231F20"/>
          <w:spacing w:val="-13"/>
          <w:w w:val="105"/>
        </w:rPr>
        <w:t> </w:t>
      </w:r>
      <w:r>
        <w:rPr>
          <w:color w:val="231F20"/>
          <w:w w:val="105"/>
        </w:rPr>
        <w:t>y</w:t>
      </w:r>
      <w:r>
        <w:rPr>
          <w:color w:val="231F20"/>
          <w:spacing w:val="-14"/>
          <w:w w:val="105"/>
        </w:rPr>
        <w:t> </w:t>
      </w:r>
      <w:r>
        <w:rPr>
          <w:color w:val="231F20"/>
          <w:w w:val="105"/>
        </w:rPr>
        <w:t>al mismo</w:t>
      </w:r>
      <w:r>
        <w:rPr>
          <w:color w:val="231F20"/>
          <w:spacing w:val="-17"/>
          <w:w w:val="105"/>
        </w:rPr>
        <w:t> </w:t>
      </w:r>
      <w:r>
        <w:rPr>
          <w:color w:val="231F20"/>
          <w:w w:val="105"/>
        </w:rPr>
        <w:t>tiempo</w:t>
      </w:r>
      <w:r>
        <w:rPr>
          <w:color w:val="231F20"/>
          <w:spacing w:val="-17"/>
          <w:w w:val="105"/>
        </w:rPr>
        <w:t> </w:t>
      </w:r>
      <w:r>
        <w:rPr>
          <w:color w:val="231F20"/>
          <w:w w:val="105"/>
        </w:rPr>
        <w:t>descifrable</w:t>
      </w:r>
      <w:r>
        <w:rPr>
          <w:color w:val="231F20"/>
          <w:spacing w:val="-17"/>
          <w:w w:val="105"/>
        </w:rPr>
        <w:t> </w:t>
      </w:r>
      <w:r>
        <w:rPr>
          <w:color w:val="231F20"/>
          <w:w w:val="105"/>
        </w:rPr>
        <w:t>a</w:t>
      </w:r>
      <w:r>
        <w:rPr>
          <w:color w:val="231F20"/>
          <w:spacing w:val="-17"/>
          <w:w w:val="105"/>
        </w:rPr>
        <w:t> </w:t>
      </w:r>
      <w:r>
        <w:rPr>
          <w:color w:val="231F20"/>
          <w:w w:val="105"/>
        </w:rPr>
        <w:t>escala</w:t>
      </w:r>
      <w:r>
        <w:rPr>
          <w:color w:val="231F20"/>
          <w:spacing w:val="-17"/>
          <w:w w:val="105"/>
        </w:rPr>
        <w:t> </w:t>
      </w:r>
      <w:r>
        <w:rPr>
          <w:color w:val="231F20"/>
          <w:w w:val="105"/>
        </w:rPr>
        <w:t>local,</w:t>
      </w:r>
      <w:r>
        <w:rPr>
          <w:color w:val="231F20"/>
          <w:spacing w:val="-22"/>
          <w:w w:val="105"/>
        </w:rPr>
        <w:t> </w:t>
      </w:r>
      <w:r>
        <w:rPr>
          <w:color w:val="231F20"/>
          <w:w w:val="105"/>
        </w:rPr>
        <w:t>que</w:t>
      </w:r>
      <w:r>
        <w:rPr>
          <w:color w:val="231F20"/>
          <w:spacing w:val="-17"/>
          <w:w w:val="105"/>
        </w:rPr>
        <w:t> </w:t>
      </w:r>
      <w:r>
        <w:rPr>
          <w:color w:val="231F20"/>
          <w:w w:val="105"/>
        </w:rPr>
        <w:t>es</w:t>
      </w:r>
      <w:r>
        <w:rPr>
          <w:color w:val="231F20"/>
          <w:spacing w:val="-17"/>
          <w:w w:val="105"/>
        </w:rPr>
        <w:t> </w:t>
      </w:r>
      <w:r>
        <w:rPr>
          <w:color w:val="231F20"/>
          <w:w w:val="105"/>
        </w:rPr>
        <w:t>donde</w:t>
      </w:r>
      <w:r>
        <w:rPr>
          <w:color w:val="231F20"/>
          <w:spacing w:val="-17"/>
          <w:w w:val="105"/>
        </w:rPr>
        <w:t> </w:t>
      </w:r>
      <w:r>
        <w:rPr>
          <w:color w:val="231F20"/>
          <w:w w:val="105"/>
        </w:rPr>
        <w:t>los</w:t>
      </w:r>
      <w:r>
        <w:rPr>
          <w:color w:val="231F20"/>
          <w:spacing w:val="-17"/>
          <w:w w:val="105"/>
        </w:rPr>
        <w:t> </w:t>
      </w:r>
      <w:r>
        <w:rPr>
          <w:color w:val="231F20"/>
          <w:w w:val="105"/>
        </w:rPr>
        <w:t>actores</w:t>
      </w:r>
      <w:r>
        <w:rPr>
          <w:color w:val="231F20"/>
          <w:spacing w:val="-17"/>
          <w:w w:val="105"/>
        </w:rPr>
        <w:t> </w:t>
      </w:r>
      <w:r>
        <w:rPr>
          <w:color w:val="231F20"/>
          <w:w w:val="105"/>
        </w:rPr>
        <w:t>viven, se</w:t>
      </w:r>
      <w:r>
        <w:rPr>
          <w:color w:val="231F20"/>
          <w:spacing w:val="-22"/>
          <w:w w:val="105"/>
        </w:rPr>
        <w:t> </w:t>
      </w:r>
      <w:r>
        <w:rPr>
          <w:color w:val="231F20"/>
          <w:w w:val="105"/>
        </w:rPr>
        <w:t>encuentran,</w:t>
      </w:r>
      <w:r>
        <w:rPr>
          <w:color w:val="231F20"/>
          <w:spacing w:val="-27"/>
          <w:w w:val="105"/>
        </w:rPr>
        <w:t> </w:t>
      </w:r>
      <w:r>
        <w:rPr>
          <w:color w:val="231F20"/>
          <w:w w:val="105"/>
        </w:rPr>
        <w:t>se</w:t>
      </w:r>
      <w:r>
        <w:rPr>
          <w:color w:val="231F20"/>
          <w:spacing w:val="-22"/>
          <w:w w:val="105"/>
        </w:rPr>
        <w:t> </w:t>
      </w:r>
      <w:r>
        <w:rPr>
          <w:color w:val="231F20"/>
          <w:w w:val="105"/>
        </w:rPr>
        <w:t>pierden</w:t>
      </w:r>
      <w:r>
        <w:rPr>
          <w:color w:val="231F20"/>
          <w:spacing w:val="-22"/>
          <w:w w:val="105"/>
        </w:rPr>
        <w:t> </w:t>
      </w:r>
      <w:r>
        <w:rPr>
          <w:color w:val="231F20"/>
          <w:w w:val="105"/>
        </w:rPr>
        <w:t>o</w:t>
      </w:r>
      <w:r>
        <w:rPr>
          <w:color w:val="231F20"/>
          <w:spacing w:val="-22"/>
          <w:w w:val="105"/>
        </w:rPr>
        <w:t> </w:t>
      </w:r>
      <w:r>
        <w:rPr>
          <w:color w:val="231F20"/>
          <w:w w:val="105"/>
        </w:rPr>
        <w:t>se</w:t>
      </w:r>
      <w:r>
        <w:rPr>
          <w:color w:val="231F20"/>
          <w:spacing w:val="-22"/>
          <w:w w:val="105"/>
        </w:rPr>
        <w:t> </w:t>
      </w:r>
      <w:r>
        <w:rPr>
          <w:color w:val="231F20"/>
          <w:w w:val="105"/>
        </w:rPr>
        <w:t>construyen.</w:t>
      </w:r>
    </w:p>
    <w:p>
      <w:pPr>
        <w:pStyle w:val="BodyText"/>
        <w:rPr>
          <w:sz w:val="20"/>
        </w:rPr>
      </w:pPr>
    </w:p>
    <w:p>
      <w:pPr>
        <w:pStyle w:val="BodyText"/>
        <w:spacing w:before="6"/>
        <w:rPr>
          <w:sz w:val="19"/>
        </w:rPr>
      </w:pPr>
    </w:p>
    <w:p>
      <w:pPr>
        <w:pStyle w:val="Heading3"/>
        <w:rPr>
          <w:rFonts w:ascii="Tahoma"/>
        </w:rPr>
      </w:pPr>
      <w:r>
        <w:rPr>
          <w:rFonts w:ascii="Tahoma"/>
          <w:color w:val="231F20"/>
          <w:w w:val="90"/>
        </w:rPr>
        <w:t>Reflexiones finales</w:t>
      </w:r>
    </w:p>
    <w:p>
      <w:pPr>
        <w:pStyle w:val="BodyText"/>
        <w:rPr>
          <w:rFonts w:ascii="Tahoma"/>
          <w:b/>
          <w:sz w:val="22"/>
        </w:rPr>
      </w:pPr>
    </w:p>
    <w:p>
      <w:pPr>
        <w:pStyle w:val="BodyText"/>
        <w:spacing w:line="261" w:lineRule="auto" w:before="152"/>
        <w:ind w:left="1837" w:right="1721"/>
        <w:jc w:val="both"/>
      </w:pPr>
      <w:r>
        <w:rPr>
          <w:color w:val="231F20"/>
          <w:w w:val="105"/>
        </w:rPr>
        <w:t>El </w:t>
      </w:r>
      <w:r>
        <w:rPr>
          <w:color w:val="231F20"/>
          <w:spacing w:val="-3"/>
          <w:w w:val="105"/>
        </w:rPr>
        <w:t>retorno </w:t>
      </w:r>
      <w:r>
        <w:rPr>
          <w:color w:val="231F20"/>
          <w:w w:val="105"/>
        </w:rPr>
        <w:t>es un componente </w:t>
      </w:r>
      <w:r>
        <w:rPr>
          <w:color w:val="231F20"/>
          <w:spacing w:val="-3"/>
          <w:w w:val="105"/>
        </w:rPr>
        <w:t>inherente </w:t>
      </w:r>
      <w:r>
        <w:rPr>
          <w:color w:val="231F20"/>
          <w:w w:val="105"/>
        </w:rPr>
        <w:t>al mismo </w:t>
      </w:r>
      <w:r>
        <w:rPr>
          <w:color w:val="231F20"/>
          <w:spacing w:val="-3"/>
          <w:w w:val="105"/>
        </w:rPr>
        <w:t>proceso migratorio </w:t>
      </w:r>
      <w:r>
        <w:rPr>
          <w:color w:val="231F20"/>
          <w:w w:val="105"/>
        </w:rPr>
        <w:t>y como</w:t>
      </w:r>
      <w:r>
        <w:rPr>
          <w:color w:val="231F20"/>
          <w:spacing w:val="-11"/>
          <w:w w:val="105"/>
        </w:rPr>
        <w:t> </w:t>
      </w:r>
      <w:r>
        <w:rPr>
          <w:color w:val="231F20"/>
          <w:w w:val="105"/>
        </w:rPr>
        <w:t>tal</w:t>
      </w:r>
      <w:r>
        <w:rPr>
          <w:color w:val="231F20"/>
          <w:spacing w:val="-11"/>
          <w:w w:val="105"/>
        </w:rPr>
        <w:t> </w:t>
      </w:r>
      <w:r>
        <w:rPr>
          <w:color w:val="231F20"/>
          <w:w w:val="105"/>
        </w:rPr>
        <w:t>ha</w:t>
      </w:r>
      <w:r>
        <w:rPr>
          <w:color w:val="231F20"/>
          <w:spacing w:val="-11"/>
          <w:w w:val="105"/>
        </w:rPr>
        <w:t> </w:t>
      </w:r>
      <w:r>
        <w:rPr>
          <w:color w:val="231F20"/>
          <w:w w:val="105"/>
        </w:rPr>
        <w:t>de</w:t>
      </w:r>
      <w:r>
        <w:rPr>
          <w:color w:val="231F20"/>
          <w:spacing w:val="-11"/>
          <w:w w:val="105"/>
        </w:rPr>
        <w:t> </w:t>
      </w:r>
      <w:r>
        <w:rPr>
          <w:color w:val="231F20"/>
          <w:w w:val="105"/>
        </w:rPr>
        <w:t>ser</w:t>
      </w:r>
      <w:r>
        <w:rPr>
          <w:color w:val="231F20"/>
          <w:spacing w:val="-11"/>
          <w:w w:val="105"/>
        </w:rPr>
        <w:t> </w:t>
      </w:r>
      <w:r>
        <w:rPr>
          <w:color w:val="231F20"/>
          <w:w w:val="105"/>
        </w:rPr>
        <w:t>estudiado</w:t>
      </w:r>
      <w:r>
        <w:rPr>
          <w:color w:val="231F20"/>
          <w:spacing w:val="-11"/>
          <w:w w:val="105"/>
        </w:rPr>
        <w:t> </w:t>
      </w:r>
      <w:r>
        <w:rPr>
          <w:color w:val="231F20"/>
          <w:w w:val="105"/>
        </w:rPr>
        <w:t>con</w:t>
      </w:r>
      <w:r>
        <w:rPr>
          <w:color w:val="231F20"/>
          <w:spacing w:val="-11"/>
          <w:w w:val="105"/>
        </w:rPr>
        <w:t> </w:t>
      </w:r>
      <w:r>
        <w:rPr>
          <w:color w:val="231F20"/>
          <w:w w:val="105"/>
        </w:rPr>
        <w:t>base</w:t>
      </w:r>
      <w:r>
        <w:rPr>
          <w:color w:val="231F20"/>
          <w:spacing w:val="-11"/>
          <w:w w:val="105"/>
        </w:rPr>
        <w:t> </w:t>
      </w:r>
      <w:r>
        <w:rPr>
          <w:color w:val="231F20"/>
          <w:w w:val="105"/>
        </w:rPr>
        <w:t>en</w:t>
      </w:r>
      <w:r>
        <w:rPr>
          <w:color w:val="231F20"/>
          <w:spacing w:val="-11"/>
          <w:w w:val="105"/>
        </w:rPr>
        <w:t> </w:t>
      </w:r>
      <w:r>
        <w:rPr>
          <w:color w:val="231F20"/>
          <w:w w:val="105"/>
        </w:rPr>
        <w:t>su</w:t>
      </w:r>
      <w:r>
        <w:rPr>
          <w:color w:val="231F20"/>
          <w:spacing w:val="-11"/>
          <w:w w:val="105"/>
        </w:rPr>
        <w:t> </w:t>
      </w:r>
      <w:r>
        <w:rPr>
          <w:color w:val="231F20"/>
          <w:w w:val="105"/>
        </w:rPr>
        <w:t>complejidad,</w:t>
      </w:r>
      <w:r>
        <w:rPr>
          <w:color w:val="231F20"/>
          <w:spacing w:val="-16"/>
          <w:w w:val="105"/>
        </w:rPr>
        <w:t> </w:t>
      </w:r>
      <w:r>
        <w:rPr>
          <w:color w:val="231F20"/>
          <w:w w:val="105"/>
        </w:rPr>
        <w:t>sus</w:t>
      </w:r>
      <w:r>
        <w:rPr>
          <w:color w:val="231F20"/>
          <w:spacing w:val="-11"/>
          <w:w w:val="105"/>
        </w:rPr>
        <w:t> </w:t>
      </w:r>
      <w:r>
        <w:rPr>
          <w:color w:val="231F20"/>
          <w:w w:val="105"/>
        </w:rPr>
        <w:t>condicio- nes</w:t>
      </w:r>
      <w:r>
        <w:rPr>
          <w:color w:val="231F20"/>
          <w:spacing w:val="-21"/>
          <w:w w:val="105"/>
        </w:rPr>
        <w:t> </w:t>
      </w:r>
      <w:r>
        <w:rPr>
          <w:color w:val="231F20"/>
          <w:spacing w:val="-3"/>
          <w:w w:val="105"/>
        </w:rPr>
        <w:t>diferenciadas,</w:t>
      </w:r>
      <w:r>
        <w:rPr>
          <w:color w:val="231F20"/>
          <w:spacing w:val="-26"/>
          <w:w w:val="105"/>
        </w:rPr>
        <w:t> </w:t>
      </w:r>
      <w:r>
        <w:rPr>
          <w:color w:val="231F20"/>
          <w:w w:val="105"/>
        </w:rPr>
        <w:t>sus</w:t>
      </w:r>
      <w:r>
        <w:rPr>
          <w:color w:val="231F20"/>
          <w:spacing w:val="-21"/>
          <w:w w:val="105"/>
        </w:rPr>
        <w:t> </w:t>
      </w:r>
      <w:r>
        <w:rPr>
          <w:color w:val="231F20"/>
          <w:w w:val="105"/>
        </w:rPr>
        <w:t>itinerarios</w:t>
      </w:r>
      <w:r>
        <w:rPr>
          <w:color w:val="231F20"/>
          <w:spacing w:val="-21"/>
          <w:w w:val="105"/>
        </w:rPr>
        <w:t> </w:t>
      </w:r>
      <w:r>
        <w:rPr>
          <w:color w:val="231F20"/>
          <w:w w:val="105"/>
        </w:rPr>
        <w:t>de</w:t>
      </w:r>
      <w:r>
        <w:rPr>
          <w:color w:val="231F20"/>
          <w:spacing w:val="-21"/>
          <w:w w:val="105"/>
        </w:rPr>
        <w:t> </w:t>
      </w:r>
      <w:r>
        <w:rPr>
          <w:color w:val="231F20"/>
          <w:w w:val="105"/>
        </w:rPr>
        <w:t>movilidad</w:t>
      </w:r>
      <w:r>
        <w:rPr>
          <w:color w:val="231F20"/>
          <w:spacing w:val="-21"/>
          <w:w w:val="105"/>
        </w:rPr>
        <w:t> </w:t>
      </w:r>
      <w:r>
        <w:rPr>
          <w:color w:val="231F20"/>
          <w:w w:val="105"/>
        </w:rPr>
        <w:t>y</w:t>
      </w:r>
      <w:r>
        <w:rPr>
          <w:color w:val="231F20"/>
          <w:spacing w:val="-21"/>
          <w:w w:val="105"/>
        </w:rPr>
        <w:t> </w:t>
      </w:r>
      <w:r>
        <w:rPr>
          <w:color w:val="231F20"/>
          <w:spacing w:val="-3"/>
          <w:w w:val="105"/>
        </w:rPr>
        <w:t>circulación,</w:t>
      </w:r>
      <w:r>
        <w:rPr>
          <w:color w:val="231F20"/>
          <w:spacing w:val="-26"/>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spacing w:val="-2"/>
          <w:w w:val="105"/>
        </w:rPr>
        <w:t>sus </w:t>
      </w:r>
      <w:r>
        <w:rPr>
          <w:color w:val="231F20"/>
          <w:w w:val="105"/>
        </w:rPr>
        <w:t>dinámicas</w:t>
      </w:r>
      <w:r>
        <w:rPr>
          <w:color w:val="231F20"/>
          <w:spacing w:val="-34"/>
          <w:w w:val="105"/>
        </w:rPr>
        <w:t> </w:t>
      </w:r>
      <w:r>
        <w:rPr>
          <w:color w:val="231F20"/>
          <w:w w:val="105"/>
        </w:rPr>
        <w:t>de</w:t>
      </w:r>
      <w:r>
        <w:rPr>
          <w:color w:val="231F20"/>
          <w:spacing w:val="-34"/>
          <w:w w:val="105"/>
        </w:rPr>
        <w:t> </w:t>
      </w:r>
      <w:r>
        <w:rPr>
          <w:color w:val="231F20"/>
          <w:w w:val="105"/>
        </w:rPr>
        <w:t>desplazamiento</w:t>
      </w:r>
      <w:r>
        <w:rPr>
          <w:color w:val="231F20"/>
          <w:spacing w:val="-34"/>
          <w:w w:val="105"/>
        </w:rPr>
        <w:t> </w:t>
      </w:r>
      <w:r>
        <w:rPr>
          <w:color w:val="231F20"/>
          <w:w w:val="105"/>
        </w:rPr>
        <w:t>y</w:t>
      </w:r>
      <w:r>
        <w:rPr>
          <w:color w:val="231F20"/>
          <w:spacing w:val="-34"/>
          <w:w w:val="105"/>
        </w:rPr>
        <w:t> </w:t>
      </w:r>
      <w:r>
        <w:rPr>
          <w:color w:val="231F20"/>
          <w:w w:val="105"/>
        </w:rPr>
        <w:t>de</w:t>
      </w:r>
      <w:r>
        <w:rPr>
          <w:color w:val="231F20"/>
          <w:spacing w:val="-34"/>
          <w:w w:val="105"/>
        </w:rPr>
        <w:t> </w:t>
      </w:r>
      <w:r>
        <w:rPr>
          <w:color w:val="231F20"/>
          <w:w w:val="105"/>
        </w:rPr>
        <w:t>significación.</w:t>
      </w:r>
      <w:r>
        <w:rPr>
          <w:color w:val="231F20"/>
          <w:spacing w:val="-38"/>
          <w:w w:val="105"/>
        </w:rPr>
        <w:t> </w:t>
      </w:r>
      <w:r>
        <w:rPr>
          <w:color w:val="231F20"/>
          <w:spacing w:val="-3"/>
          <w:w w:val="105"/>
        </w:rPr>
        <w:t>Los</w:t>
      </w:r>
      <w:r>
        <w:rPr>
          <w:color w:val="231F20"/>
          <w:spacing w:val="-34"/>
          <w:w w:val="105"/>
        </w:rPr>
        <w:t> </w:t>
      </w:r>
      <w:r>
        <w:rPr>
          <w:color w:val="231F20"/>
          <w:spacing w:val="-3"/>
          <w:w w:val="105"/>
        </w:rPr>
        <w:t>procesos</w:t>
      </w:r>
      <w:r>
        <w:rPr>
          <w:color w:val="231F20"/>
          <w:spacing w:val="-34"/>
          <w:w w:val="105"/>
        </w:rPr>
        <w:t> </w:t>
      </w:r>
      <w:r>
        <w:rPr>
          <w:color w:val="231F20"/>
          <w:spacing w:val="-3"/>
          <w:w w:val="105"/>
        </w:rPr>
        <w:t>migratorios </w:t>
      </w:r>
      <w:r>
        <w:rPr>
          <w:color w:val="231F20"/>
          <w:w w:val="105"/>
        </w:rPr>
        <w:t>y</w:t>
      </w:r>
      <w:r>
        <w:rPr>
          <w:color w:val="231F20"/>
          <w:spacing w:val="-7"/>
          <w:w w:val="105"/>
        </w:rPr>
        <w:t> </w:t>
      </w:r>
      <w:r>
        <w:rPr>
          <w:color w:val="231F20"/>
          <w:w w:val="105"/>
        </w:rPr>
        <w:t>sus</w:t>
      </w:r>
      <w:r>
        <w:rPr>
          <w:color w:val="231F20"/>
          <w:spacing w:val="-7"/>
          <w:w w:val="105"/>
        </w:rPr>
        <w:t> </w:t>
      </w:r>
      <w:r>
        <w:rPr>
          <w:color w:val="231F20"/>
          <w:spacing w:val="-3"/>
          <w:w w:val="105"/>
        </w:rPr>
        <w:t>subprocesos</w:t>
      </w:r>
      <w:r>
        <w:rPr>
          <w:color w:val="231F20"/>
          <w:spacing w:val="-7"/>
          <w:w w:val="105"/>
        </w:rPr>
        <w:t> </w:t>
      </w:r>
      <w:r>
        <w:rPr>
          <w:color w:val="231F20"/>
          <w:w w:val="105"/>
        </w:rPr>
        <w:t>como</w:t>
      </w:r>
      <w:r>
        <w:rPr>
          <w:color w:val="231F20"/>
          <w:spacing w:val="-7"/>
          <w:w w:val="105"/>
        </w:rPr>
        <w:t> </w:t>
      </w:r>
      <w:r>
        <w:rPr>
          <w:color w:val="231F20"/>
          <w:w w:val="105"/>
        </w:rPr>
        <w:t>el</w:t>
      </w:r>
      <w:r>
        <w:rPr>
          <w:color w:val="231F20"/>
          <w:spacing w:val="-7"/>
          <w:w w:val="105"/>
        </w:rPr>
        <w:t> </w:t>
      </w:r>
      <w:r>
        <w:rPr>
          <w:color w:val="231F20"/>
          <w:spacing w:val="-3"/>
          <w:w w:val="105"/>
        </w:rPr>
        <w:t>retorno,</w:t>
      </w:r>
      <w:r>
        <w:rPr>
          <w:color w:val="231F20"/>
          <w:spacing w:val="-12"/>
          <w:w w:val="105"/>
        </w:rPr>
        <w:t> </w:t>
      </w:r>
      <w:r>
        <w:rPr>
          <w:color w:val="231F20"/>
          <w:w w:val="105"/>
        </w:rPr>
        <w:t>están</w:t>
      </w:r>
      <w:r>
        <w:rPr>
          <w:color w:val="231F20"/>
          <w:spacing w:val="-7"/>
          <w:w w:val="105"/>
        </w:rPr>
        <w:t> </w:t>
      </w:r>
      <w:r>
        <w:rPr>
          <w:color w:val="231F20"/>
          <w:w w:val="105"/>
        </w:rPr>
        <w:t>enraizados</w:t>
      </w:r>
      <w:r>
        <w:rPr>
          <w:color w:val="231F20"/>
          <w:spacing w:val="-7"/>
          <w:w w:val="105"/>
        </w:rPr>
        <w:t> </w:t>
      </w:r>
      <w:r>
        <w:rPr>
          <w:color w:val="231F20"/>
          <w:w w:val="105"/>
        </w:rPr>
        <w:t>y</w:t>
      </w:r>
      <w:r>
        <w:rPr>
          <w:color w:val="231F20"/>
          <w:spacing w:val="-7"/>
          <w:w w:val="105"/>
        </w:rPr>
        <w:t> </w:t>
      </w:r>
      <w:r>
        <w:rPr>
          <w:color w:val="231F20"/>
          <w:w w:val="105"/>
        </w:rPr>
        <w:t>por</w:t>
      </w:r>
      <w:r>
        <w:rPr>
          <w:color w:val="231F20"/>
          <w:spacing w:val="-7"/>
          <w:w w:val="105"/>
        </w:rPr>
        <w:t> </w:t>
      </w:r>
      <w:r>
        <w:rPr>
          <w:color w:val="231F20"/>
          <w:w w:val="105"/>
        </w:rPr>
        <w:t>tanto</w:t>
      </w:r>
      <w:r>
        <w:rPr>
          <w:color w:val="231F20"/>
          <w:spacing w:val="-7"/>
          <w:w w:val="105"/>
        </w:rPr>
        <w:t> </w:t>
      </w:r>
      <w:r>
        <w:rPr>
          <w:color w:val="231F20"/>
          <w:spacing w:val="-3"/>
          <w:w w:val="105"/>
        </w:rPr>
        <w:t>“condi- </w:t>
      </w:r>
      <w:r>
        <w:rPr>
          <w:color w:val="231F20"/>
          <w:w w:val="105"/>
        </w:rPr>
        <w:t>cionados por múltiples estructuras sociales económicas y políticas </w:t>
      </w:r>
      <w:r>
        <w:rPr>
          <w:color w:val="231F20"/>
          <w:spacing w:val="-2"/>
          <w:w w:val="105"/>
        </w:rPr>
        <w:t>que </w:t>
      </w:r>
      <w:r>
        <w:rPr>
          <w:color w:val="231F20"/>
          <w:w w:val="105"/>
        </w:rPr>
        <w:t>van</w:t>
      </w:r>
      <w:r>
        <w:rPr>
          <w:color w:val="231F20"/>
          <w:spacing w:val="-24"/>
          <w:w w:val="105"/>
        </w:rPr>
        <w:t> </w:t>
      </w:r>
      <w:r>
        <w:rPr>
          <w:color w:val="231F20"/>
          <w:w w:val="105"/>
        </w:rPr>
        <w:t>desde</w:t>
      </w:r>
      <w:r>
        <w:rPr>
          <w:color w:val="231F20"/>
          <w:spacing w:val="-24"/>
          <w:w w:val="105"/>
        </w:rPr>
        <w:t> </w:t>
      </w:r>
      <w:r>
        <w:rPr>
          <w:color w:val="231F20"/>
          <w:w w:val="105"/>
        </w:rPr>
        <w:t>el</w:t>
      </w:r>
      <w:r>
        <w:rPr>
          <w:color w:val="231F20"/>
          <w:spacing w:val="-24"/>
          <w:w w:val="105"/>
        </w:rPr>
        <w:t> </w:t>
      </w:r>
      <w:r>
        <w:rPr>
          <w:color w:val="231F20"/>
          <w:w w:val="105"/>
        </w:rPr>
        <w:t>nivel</w:t>
      </w:r>
      <w:r>
        <w:rPr>
          <w:color w:val="231F20"/>
          <w:spacing w:val="-24"/>
          <w:w w:val="105"/>
        </w:rPr>
        <w:t> </w:t>
      </w:r>
      <w:r>
        <w:rPr>
          <w:color w:val="231F20"/>
          <w:spacing w:val="-3"/>
          <w:w w:val="105"/>
        </w:rPr>
        <w:t>microestructural</w:t>
      </w:r>
      <w:r>
        <w:rPr>
          <w:color w:val="231F20"/>
          <w:spacing w:val="-24"/>
          <w:w w:val="105"/>
        </w:rPr>
        <w:t> </w:t>
      </w:r>
      <w:r>
        <w:rPr>
          <w:color w:val="231F20"/>
          <w:spacing w:val="-3"/>
          <w:w w:val="105"/>
        </w:rPr>
        <w:t>(relaciones</w:t>
      </w:r>
      <w:r>
        <w:rPr>
          <w:color w:val="231F20"/>
          <w:spacing w:val="-24"/>
          <w:w w:val="105"/>
        </w:rPr>
        <w:t> </w:t>
      </w:r>
      <w:r>
        <w:rPr>
          <w:color w:val="231F20"/>
          <w:w w:val="105"/>
        </w:rPr>
        <w:t>y</w:t>
      </w:r>
      <w:r>
        <w:rPr>
          <w:color w:val="231F20"/>
          <w:spacing w:val="-24"/>
          <w:w w:val="105"/>
        </w:rPr>
        <w:t> </w:t>
      </w:r>
      <w:r>
        <w:rPr>
          <w:color w:val="231F20"/>
          <w:w w:val="105"/>
        </w:rPr>
        <w:t>obligaciones</w:t>
      </w:r>
      <w:r>
        <w:rPr>
          <w:color w:val="231F20"/>
          <w:spacing w:val="-24"/>
          <w:w w:val="105"/>
        </w:rPr>
        <w:t> </w:t>
      </w:r>
      <w:r>
        <w:rPr>
          <w:color w:val="231F20"/>
          <w:w w:val="105"/>
        </w:rPr>
        <w:t>con</w:t>
      </w:r>
      <w:r>
        <w:rPr>
          <w:color w:val="231F20"/>
          <w:spacing w:val="-24"/>
          <w:w w:val="105"/>
        </w:rPr>
        <w:t> </w:t>
      </w:r>
      <w:r>
        <w:rPr>
          <w:color w:val="231F20"/>
          <w:w w:val="105"/>
        </w:rPr>
        <w:t>familia- </w:t>
      </w:r>
      <w:r>
        <w:rPr>
          <w:color w:val="231F20"/>
          <w:spacing w:val="-3"/>
          <w:w w:val="105"/>
        </w:rPr>
        <w:t>res</w:t>
      </w:r>
      <w:r>
        <w:rPr>
          <w:color w:val="231F20"/>
          <w:spacing w:val="-11"/>
          <w:w w:val="105"/>
        </w:rPr>
        <w:t> </w:t>
      </w:r>
      <w:r>
        <w:rPr>
          <w:color w:val="231F20"/>
          <w:w w:val="105"/>
        </w:rPr>
        <w:t>y</w:t>
      </w:r>
      <w:r>
        <w:rPr>
          <w:color w:val="231F20"/>
          <w:spacing w:val="-11"/>
          <w:w w:val="105"/>
        </w:rPr>
        <w:t> </w:t>
      </w:r>
      <w:r>
        <w:rPr>
          <w:color w:val="231F20"/>
          <w:w w:val="105"/>
        </w:rPr>
        <w:t>conocidos),</w:t>
      </w:r>
      <w:r>
        <w:rPr>
          <w:color w:val="231F20"/>
          <w:spacing w:val="-15"/>
          <w:w w:val="105"/>
        </w:rPr>
        <w:t> </w:t>
      </w:r>
      <w:r>
        <w:rPr>
          <w:color w:val="231F20"/>
          <w:w w:val="105"/>
        </w:rPr>
        <w:t>al</w:t>
      </w:r>
      <w:r>
        <w:rPr>
          <w:color w:val="231F20"/>
          <w:spacing w:val="-11"/>
          <w:w w:val="105"/>
        </w:rPr>
        <w:t> </w:t>
      </w:r>
      <w:r>
        <w:rPr>
          <w:color w:val="231F20"/>
          <w:w w:val="105"/>
        </w:rPr>
        <w:t>meso</w:t>
      </w:r>
      <w:r>
        <w:rPr>
          <w:color w:val="231F20"/>
          <w:spacing w:val="-11"/>
          <w:w w:val="105"/>
        </w:rPr>
        <w:t> </w:t>
      </w:r>
      <w:r>
        <w:rPr>
          <w:color w:val="231F20"/>
          <w:w w:val="105"/>
        </w:rPr>
        <w:t>estructural</w:t>
      </w:r>
      <w:r>
        <w:rPr>
          <w:color w:val="231F20"/>
          <w:spacing w:val="-11"/>
          <w:w w:val="105"/>
        </w:rPr>
        <w:t> </w:t>
      </w:r>
      <w:r>
        <w:rPr>
          <w:color w:val="231F20"/>
          <w:spacing w:val="-3"/>
          <w:w w:val="105"/>
        </w:rPr>
        <w:t>(relaciones</w:t>
      </w:r>
      <w:r>
        <w:rPr>
          <w:color w:val="231F20"/>
          <w:spacing w:val="-11"/>
          <w:w w:val="105"/>
        </w:rPr>
        <w:t> </w:t>
      </w:r>
      <w:r>
        <w:rPr>
          <w:color w:val="231F20"/>
          <w:w w:val="105"/>
        </w:rPr>
        <w:t>y</w:t>
      </w:r>
      <w:r>
        <w:rPr>
          <w:color w:val="231F20"/>
          <w:spacing w:val="-11"/>
          <w:w w:val="105"/>
        </w:rPr>
        <w:t> </w:t>
      </w:r>
      <w:r>
        <w:rPr>
          <w:color w:val="231F20"/>
          <w:w w:val="105"/>
        </w:rPr>
        <w:t>obligaciones</w:t>
      </w:r>
      <w:r>
        <w:rPr>
          <w:color w:val="231F20"/>
          <w:spacing w:val="-11"/>
          <w:w w:val="105"/>
        </w:rPr>
        <w:t> </w:t>
      </w:r>
      <w:r>
        <w:rPr>
          <w:color w:val="231F20"/>
          <w:w w:val="105"/>
        </w:rPr>
        <w:t>comuni- tarias</w:t>
      </w:r>
      <w:r>
        <w:rPr>
          <w:color w:val="231F20"/>
          <w:spacing w:val="-21"/>
          <w:w w:val="105"/>
        </w:rPr>
        <w:t> </w:t>
      </w:r>
      <w:r>
        <w:rPr>
          <w:color w:val="231F20"/>
          <w:w w:val="105"/>
        </w:rPr>
        <w:t>e</w:t>
      </w:r>
      <w:r>
        <w:rPr>
          <w:color w:val="231F20"/>
          <w:spacing w:val="-21"/>
          <w:w w:val="105"/>
        </w:rPr>
        <w:t> </w:t>
      </w:r>
      <w:r>
        <w:rPr>
          <w:color w:val="231F20"/>
          <w:w w:val="105"/>
        </w:rPr>
        <w:t>institucionales)</w:t>
      </w:r>
      <w:r>
        <w:rPr>
          <w:color w:val="231F20"/>
          <w:spacing w:val="-21"/>
          <w:w w:val="105"/>
        </w:rPr>
        <w:t> </w:t>
      </w:r>
      <w:r>
        <w:rPr>
          <w:color w:val="231F20"/>
          <w:w w:val="105"/>
        </w:rPr>
        <w:t>y</w:t>
      </w:r>
      <w:r>
        <w:rPr>
          <w:color w:val="231F20"/>
          <w:spacing w:val="-21"/>
          <w:w w:val="105"/>
        </w:rPr>
        <w:t> </w:t>
      </w:r>
      <w:r>
        <w:rPr>
          <w:color w:val="231F20"/>
          <w:spacing w:val="-3"/>
          <w:w w:val="105"/>
        </w:rPr>
        <w:t>macroestructural</w:t>
      </w:r>
      <w:r>
        <w:rPr>
          <w:color w:val="231F20"/>
          <w:spacing w:val="-21"/>
          <w:w w:val="105"/>
        </w:rPr>
        <w:t> </w:t>
      </w:r>
      <w:r>
        <w:rPr>
          <w:color w:val="231F20"/>
          <w:w w:val="105"/>
        </w:rPr>
        <w:t>(contextos</w:t>
      </w:r>
      <w:r>
        <w:rPr>
          <w:color w:val="231F20"/>
          <w:spacing w:val="-21"/>
          <w:w w:val="105"/>
        </w:rPr>
        <w:t> </w:t>
      </w:r>
      <w:r>
        <w:rPr>
          <w:color w:val="231F20"/>
          <w:w w:val="105"/>
        </w:rPr>
        <w:t>de</w:t>
      </w:r>
      <w:r>
        <w:rPr>
          <w:color w:val="231F20"/>
          <w:spacing w:val="-21"/>
          <w:w w:val="105"/>
        </w:rPr>
        <w:t> </w:t>
      </w:r>
      <w:r>
        <w:rPr>
          <w:color w:val="231F20"/>
          <w:w w:val="105"/>
        </w:rPr>
        <w:t>origen</w:t>
      </w:r>
      <w:r>
        <w:rPr>
          <w:color w:val="231F20"/>
          <w:spacing w:val="-21"/>
          <w:w w:val="105"/>
        </w:rPr>
        <w:t> </w:t>
      </w:r>
      <w:r>
        <w:rPr>
          <w:color w:val="231F20"/>
          <w:w w:val="105"/>
        </w:rPr>
        <w:t>y</w:t>
      </w:r>
      <w:r>
        <w:rPr>
          <w:color w:val="231F20"/>
          <w:spacing w:val="-21"/>
          <w:w w:val="105"/>
        </w:rPr>
        <w:t> </w:t>
      </w:r>
      <w:r>
        <w:rPr>
          <w:color w:val="231F20"/>
          <w:w w:val="105"/>
        </w:rPr>
        <w:t>destino a</w:t>
      </w:r>
      <w:r>
        <w:rPr>
          <w:color w:val="231F20"/>
          <w:spacing w:val="-37"/>
          <w:w w:val="105"/>
        </w:rPr>
        <w:t> </w:t>
      </w:r>
      <w:r>
        <w:rPr>
          <w:color w:val="231F20"/>
          <w:w w:val="105"/>
        </w:rPr>
        <w:t>nivel</w:t>
      </w:r>
      <w:r>
        <w:rPr>
          <w:color w:val="231F20"/>
          <w:spacing w:val="-37"/>
          <w:w w:val="105"/>
        </w:rPr>
        <w:t> </w:t>
      </w:r>
      <w:r>
        <w:rPr>
          <w:color w:val="231F20"/>
          <w:w w:val="105"/>
        </w:rPr>
        <w:t>estatal,</w:t>
      </w:r>
      <w:r>
        <w:rPr>
          <w:color w:val="231F20"/>
          <w:spacing w:val="-39"/>
          <w:w w:val="105"/>
        </w:rPr>
        <w:t> </w:t>
      </w:r>
      <w:r>
        <w:rPr>
          <w:color w:val="231F20"/>
          <w:w w:val="105"/>
        </w:rPr>
        <w:t>económico,</w:t>
      </w:r>
      <w:r>
        <w:rPr>
          <w:color w:val="231F20"/>
          <w:spacing w:val="-39"/>
          <w:w w:val="105"/>
        </w:rPr>
        <w:t> </w:t>
      </w:r>
      <w:r>
        <w:rPr>
          <w:color w:val="231F20"/>
          <w:w w:val="105"/>
        </w:rPr>
        <w:t>político</w:t>
      </w:r>
      <w:r>
        <w:rPr>
          <w:color w:val="231F20"/>
          <w:spacing w:val="-37"/>
          <w:w w:val="105"/>
        </w:rPr>
        <w:t> </w:t>
      </w:r>
      <w:r>
        <w:rPr>
          <w:color w:val="231F20"/>
          <w:w w:val="105"/>
        </w:rPr>
        <w:t>y</w:t>
      </w:r>
      <w:r>
        <w:rPr>
          <w:color w:val="231F20"/>
          <w:spacing w:val="-37"/>
          <w:w w:val="105"/>
        </w:rPr>
        <w:t> </w:t>
      </w:r>
      <w:r>
        <w:rPr>
          <w:color w:val="231F20"/>
          <w:w w:val="105"/>
        </w:rPr>
        <w:t>sociocultural)</w:t>
      </w:r>
      <w:r>
        <w:rPr>
          <w:color w:val="231F20"/>
          <w:spacing w:val="-37"/>
          <w:w w:val="105"/>
        </w:rPr>
        <w:t> </w:t>
      </w:r>
      <w:r>
        <w:rPr>
          <w:color w:val="231F20"/>
          <w:w w:val="105"/>
        </w:rPr>
        <w:t>(Guarnizo,</w:t>
      </w:r>
      <w:r>
        <w:rPr>
          <w:color w:val="231F20"/>
          <w:spacing w:val="-39"/>
          <w:w w:val="105"/>
        </w:rPr>
        <w:t> </w:t>
      </w:r>
      <w:r>
        <w:rPr>
          <w:color w:val="231F20"/>
          <w:w w:val="105"/>
        </w:rPr>
        <w:t>2010:</w:t>
      </w:r>
      <w:r>
        <w:rPr>
          <w:color w:val="231F20"/>
          <w:spacing w:val="-37"/>
          <w:w w:val="105"/>
        </w:rPr>
        <w:t> </w:t>
      </w:r>
      <w:r>
        <w:rPr>
          <w:color w:val="231F20"/>
          <w:w w:val="105"/>
        </w:rPr>
        <w:t>59).</w:t>
      </w:r>
    </w:p>
    <w:p>
      <w:pPr>
        <w:pStyle w:val="BodyText"/>
        <w:spacing w:line="261" w:lineRule="auto" w:before="1"/>
        <w:ind w:left="1837" w:right="1720" w:firstLine="567"/>
        <w:jc w:val="both"/>
      </w:pPr>
      <w:r>
        <w:rPr>
          <w:color w:val="231F20"/>
          <w:w w:val="105"/>
        </w:rPr>
        <w:t>Los</w:t>
      </w:r>
      <w:r>
        <w:rPr>
          <w:color w:val="231F20"/>
          <w:spacing w:val="-23"/>
          <w:w w:val="105"/>
        </w:rPr>
        <w:t> </w:t>
      </w:r>
      <w:r>
        <w:rPr>
          <w:color w:val="231F20"/>
          <w:w w:val="105"/>
        </w:rPr>
        <w:t>retornos,</w:t>
      </w:r>
      <w:r>
        <w:rPr>
          <w:color w:val="231F20"/>
          <w:spacing w:val="-27"/>
          <w:w w:val="105"/>
        </w:rPr>
        <w:t> </w:t>
      </w:r>
      <w:r>
        <w:rPr>
          <w:color w:val="231F20"/>
          <w:w w:val="105"/>
        </w:rPr>
        <w:t>en</w:t>
      </w:r>
      <w:r>
        <w:rPr>
          <w:color w:val="231F20"/>
          <w:spacing w:val="-23"/>
          <w:w w:val="105"/>
        </w:rPr>
        <w:t> </w:t>
      </w:r>
      <w:r>
        <w:rPr>
          <w:color w:val="231F20"/>
          <w:w w:val="105"/>
        </w:rPr>
        <w:t>plural,</w:t>
      </w:r>
      <w:r>
        <w:rPr>
          <w:color w:val="231F20"/>
          <w:spacing w:val="-27"/>
          <w:w w:val="105"/>
        </w:rPr>
        <w:t> </w:t>
      </w:r>
      <w:r>
        <w:rPr>
          <w:color w:val="231F20"/>
          <w:w w:val="105"/>
        </w:rPr>
        <w:t>son</w:t>
      </w:r>
      <w:r>
        <w:rPr>
          <w:color w:val="231F20"/>
          <w:spacing w:val="-23"/>
          <w:w w:val="105"/>
        </w:rPr>
        <w:t> </w:t>
      </w:r>
      <w:r>
        <w:rPr>
          <w:color w:val="231F20"/>
          <w:w w:val="105"/>
        </w:rPr>
        <w:t>formas</w:t>
      </w:r>
      <w:r>
        <w:rPr>
          <w:color w:val="231F20"/>
          <w:spacing w:val="-23"/>
          <w:w w:val="105"/>
        </w:rPr>
        <w:t> </w:t>
      </w:r>
      <w:r>
        <w:rPr>
          <w:color w:val="231F20"/>
          <w:w w:val="105"/>
        </w:rPr>
        <w:t>diversas</w:t>
      </w:r>
      <w:r>
        <w:rPr>
          <w:color w:val="231F20"/>
          <w:spacing w:val="-23"/>
          <w:w w:val="105"/>
        </w:rPr>
        <w:t> </w:t>
      </w:r>
      <w:r>
        <w:rPr>
          <w:color w:val="231F20"/>
          <w:w w:val="105"/>
        </w:rPr>
        <w:t>de</w:t>
      </w:r>
      <w:r>
        <w:rPr>
          <w:color w:val="231F20"/>
          <w:spacing w:val="-23"/>
          <w:w w:val="105"/>
        </w:rPr>
        <w:t> </w:t>
      </w:r>
      <w:r>
        <w:rPr>
          <w:color w:val="231F20"/>
          <w:w w:val="105"/>
        </w:rPr>
        <w:t>estar</w:t>
      </w:r>
      <w:r>
        <w:rPr>
          <w:color w:val="231F20"/>
          <w:spacing w:val="-23"/>
          <w:w w:val="105"/>
        </w:rPr>
        <w:t> </w:t>
      </w:r>
      <w:r>
        <w:rPr>
          <w:color w:val="231F20"/>
          <w:w w:val="105"/>
        </w:rPr>
        <w:t>de</w:t>
      </w:r>
      <w:r>
        <w:rPr>
          <w:color w:val="231F20"/>
          <w:spacing w:val="-23"/>
          <w:w w:val="105"/>
        </w:rPr>
        <w:t> </w:t>
      </w:r>
      <w:r>
        <w:rPr>
          <w:color w:val="231F20"/>
          <w:w w:val="105"/>
        </w:rPr>
        <w:t>vuelta</w:t>
      </w:r>
      <w:r>
        <w:rPr>
          <w:color w:val="231F20"/>
          <w:spacing w:val="-23"/>
          <w:w w:val="105"/>
        </w:rPr>
        <w:t> </w:t>
      </w:r>
      <w:r>
        <w:rPr>
          <w:color w:val="231F20"/>
          <w:w w:val="105"/>
        </w:rPr>
        <w:t>en</w:t>
      </w:r>
      <w:r>
        <w:rPr>
          <w:color w:val="231F20"/>
          <w:spacing w:val="-23"/>
          <w:w w:val="105"/>
        </w:rPr>
        <w:t> </w:t>
      </w:r>
      <w:r>
        <w:rPr>
          <w:color w:val="231F20"/>
          <w:w w:val="105"/>
        </w:rPr>
        <w:t>el lugar</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dejó</w:t>
      </w:r>
      <w:r>
        <w:rPr>
          <w:color w:val="231F20"/>
          <w:spacing w:val="-13"/>
          <w:w w:val="105"/>
        </w:rPr>
        <w:t> </w:t>
      </w:r>
      <w:r>
        <w:rPr>
          <w:color w:val="231F20"/>
          <w:w w:val="105"/>
        </w:rPr>
        <w:t>atrás,</w:t>
      </w:r>
      <w:r>
        <w:rPr>
          <w:color w:val="231F20"/>
          <w:spacing w:val="-19"/>
          <w:w w:val="105"/>
        </w:rPr>
        <w:t> </w:t>
      </w:r>
      <w:r>
        <w:rPr>
          <w:color w:val="231F20"/>
          <w:w w:val="105"/>
        </w:rPr>
        <w:t>con</w:t>
      </w:r>
      <w:r>
        <w:rPr>
          <w:color w:val="231F20"/>
          <w:spacing w:val="-13"/>
          <w:w w:val="105"/>
        </w:rPr>
        <w:t> </w:t>
      </w:r>
      <w:r>
        <w:rPr>
          <w:color w:val="231F20"/>
          <w:w w:val="105"/>
        </w:rPr>
        <w:t>las</w:t>
      </w:r>
      <w:r>
        <w:rPr>
          <w:color w:val="231F20"/>
          <w:spacing w:val="-13"/>
          <w:w w:val="105"/>
        </w:rPr>
        <w:t> </w:t>
      </w:r>
      <w:r>
        <w:rPr>
          <w:color w:val="231F20"/>
          <w:w w:val="105"/>
        </w:rPr>
        <w:t>personas</w:t>
      </w:r>
      <w:r>
        <w:rPr>
          <w:color w:val="231F20"/>
          <w:spacing w:val="-13"/>
          <w:w w:val="105"/>
        </w:rPr>
        <w:t> </w:t>
      </w:r>
      <w:r>
        <w:rPr>
          <w:color w:val="231F20"/>
          <w:w w:val="105"/>
        </w:rPr>
        <w:t>que</w:t>
      </w:r>
      <w:r>
        <w:rPr>
          <w:color w:val="231F20"/>
          <w:spacing w:val="-13"/>
          <w:w w:val="105"/>
        </w:rPr>
        <w:t> </w:t>
      </w:r>
      <w:r>
        <w:rPr>
          <w:color w:val="231F20"/>
          <w:w w:val="105"/>
        </w:rPr>
        <w:t>guardan</w:t>
      </w:r>
      <w:r>
        <w:rPr>
          <w:color w:val="231F20"/>
          <w:spacing w:val="-13"/>
          <w:w w:val="105"/>
        </w:rPr>
        <w:t> </w:t>
      </w:r>
      <w:r>
        <w:rPr>
          <w:color w:val="231F20"/>
          <w:w w:val="105"/>
        </w:rPr>
        <w:t>la</w:t>
      </w:r>
      <w:r>
        <w:rPr>
          <w:color w:val="231F20"/>
          <w:spacing w:val="-13"/>
          <w:w w:val="105"/>
        </w:rPr>
        <w:t> </w:t>
      </w:r>
      <w:r>
        <w:rPr>
          <w:color w:val="231F20"/>
          <w:w w:val="105"/>
        </w:rPr>
        <w:t>espera,</w:t>
      </w:r>
      <w:r>
        <w:rPr>
          <w:color w:val="231F20"/>
          <w:spacing w:val="-19"/>
          <w:w w:val="105"/>
        </w:rPr>
        <w:t> </w:t>
      </w:r>
      <w:r>
        <w:rPr>
          <w:color w:val="231F20"/>
          <w:w w:val="105"/>
        </w:rPr>
        <w:t>con</w:t>
      </w:r>
      <w:r>
        <w:rPr>
          <w:color w:val="231F20"/>
          <w:spacing w:val="-13"/>
          <w:w w:val="105"/>
        </w:rPr>
        <w:t> </w:t>
      </w:r>
      <w:r>
        <w:rPr>
          <w:color w:val="231F20"/>
          <w:w w:val="105"/>
        </w:rPr>
        <w:t>los espacios</w:t>
      </w:r>
      <w:r>
        <w:rPr>
          <w:color w:val="231F20"/>
          <w:spacing w:val="-5"/>
          <w:w w:val="105"/>
        </w:rPr>
        <w:t> </w:t>
      </w:r>
      <w:r>
        <w:rPr>
          <w:color w:val="231F20"/>
          <w:w w:val="105"/>
        </w:rPr>
        <w:t>y</w:t>
      </w:r>
      <w:r>
        <w:rPr>
          <w:color w:val="231F20"/>
          <w:spacing w:val="-5"/>
          <w:w w:val="105"/>
        </w:rPr>
        <w:t> </w:t>
      </w:r>
      <w:r>
        <w:rPr>
          <w:color w:val="231F20"/>
          <w:w w:val="105"/>
        </w:rPr>
        <w:t>prácticas</w:t>
      </w:r>
      <w:r>
        <w:rPr>
          <w:color w:val="231F20"/>
          <w:spacing w:val="-5"/>
          <w:w w:val="105"/>
        </w:rPr>
        <w:t> </w:t>
      </w:r>
      <w:r>
        <w:rPr>
          <w:color w:val="231F20"/>
          <w:w w:val="105"/>
        </w:rPr>
        <w:t>que</w:t>
      </w:r>
      <w:r>
        <w:rPr>
          <w:color w:val="231F20"/>
          <w:spacing w:val="-5"/>
          <w:w w:val="105"/>
        </w:rPr>
        <w:t> </w:t>
      </w:r>
      <w:r>
        <w:rPr>
          <w:color w:val="231F20"/>
          <w:w w:val="105"/>
        </w:rPr>
        <w:t>confieran</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individuos</w:t>
      </w:r>
      <w:r>
        <w:rPr>
          <w:color w:val="231F20"/>
          <w:spacing w:val="-5"/>
          <w:w w:val="105"/>
        </w:rPr>
        <w:t> </w:t>
      </w:r>
      <w:r>
        <w:rPr>
          <w:color w:val="231F20"/>
          <w:w w:val="105"/>
        </w:rPr>
        <w:t>un</w:t>
      </w:r>
      <w:r>
        <w:rPr>
          <w:color w:val="231F20"/>
          <w:spacing w:val="-5"/>
          <w:w w:val="105"/>
        </w:rPr>
        <w:t> </w:t>
      </w:r>
      <w:r>
        <w:rPr>
          <w:color w:val="231F20"/>
          <w:w w:val="105"/>
        </w:rPr>
        <w:t>sentido</w:t>
      </w:r>
      <w:r>
        <w:rPr>
          <w:color w:val="231F20"/>
          <w:spacing w:val="-5"/>
          <w:w w:val="105"/>
        </w:rPr>
        <w:t> </w:t>
      </w:r>
      <w:r>
        <w:rPr>
          <w:color w:val="231F20"/>
          <w:w w:val="105"/>
        </w:rPr>
        <w:t>de</w:t>
      </w:r>
      <w:r>
        <w:rPr>
          <w:color w:val="231F20"/>
          <w:spacing w:val="-5"/>
          <w:w w:val="105"/>
        </w:rPr>
        <w:t> </w:t>
      </w:r>
      <w:r>
        <w:rPr>
          <w:color w:val="231F20"/>
          <w:w w:val="105"/>
        </w:rPr>
        <w:t>perte- nencia</w:t>
      </w:r>
      <w:r>
        <w:rPr>
          <w:color w:val="231F20"/>
          <w:spacing w:val="-12"/>
          <w:w w:val="105"/>
        </w:rPr>
        <w:t> </w:t>
      </w:r>
      <w:r>
        <w:rPr>
          <w:color w:val="231F20"/>
          <w:w w:val="105"/>
        </w:rPr>
        <w:t>e</w:t>
      </w:r>
      <w:r>
        <w:rPr>
          <w:color w:val="231F20"/>
          <w:spacing w:val="-12"/>
          <w:w w:val="105"/>
        </w:rPr>
        <w:t> </w:t>
      </w:r>
      <w:r>
        <w:rPr>
          <w:color w:val="231F20"/>
          <w:w w:val="105"/>
        </w:rPr>
        <w:t>identificación.</w:t>
      </w:r>
      <w:r>
        <w:rPr>
          <w:color w:val="231F20"/>
          <w:spacing w:val="-17"/>
          <w:w w:val="105"/>
        </w:rPr>
        <w:t> </w:t>
      </w:r>
      <w:r>
        <w:rPr>
          <w:color w:val="231F20"/>
          <w:w w:val="105"/>
        </w:rPr>
        <w:t>La</w:t>
      </w:r>
      <w:r>
        <w:rPr>
          <w:color w:val="231F20"/>
          <w:spacing w:val="-12"/>
          <w:w w:val="105"/>
        </w:rPr>
        <w:t> </w:t>
      </w:r>
      <w:r>
        <w:rPr>
          <w:color w:val="231F20"/>
          <w:w w:val="105"/>
        </w:rPr>
        <w:t>relevancia</w:t>
      </w:r>
      <w:r>
        <w:rPr>
          <w:color w:val="231F20"/>
          <w:spacing w:val="-12"/>
          <w:w w:val="105"/>
        </w:rPr>
        <w:t> </w:t>
      </w:r>
      <w:r>
        <w:rPr>
          <w:color w:val="231F20"/>
          <w:w w:val="105"/>
        </w:rPr>
        <w:t>social</w:t>
      </w:r>
      <w:r>
        <w:rPr>
          <w:color w:val="231F20"/>
          <w:spacing w:val="-12"/>
          <w:w w:val="105"/>
        </w:rPr>
        <w:t> </w:t>
      </w:r>
      <w:r>
        <w:rPr>
          <w:color w:val="231F20"/>
          <w:w w:val="105"/>
        </w:rPr>
        <w:t>de</w:t>
      </w:r>
      <w:r>
        <w:rPr>
          <w:color w:val="231F20"/>
          <w:spacing w:val="-12"/>
          <w:w w:val="105"/>
        </w:rPr>
        <w:t> </w:t>
      </w:r>
      <w:r>
        <w:rPr>
          <w:color w:val="231F20"/>
          <w:w w:val="105"/>
        </w:rPr>
        <w:t>este</w:t>
      </w:r>
      <w:r>
        <w:rPr>
          <w:color w:val="231F20"/>
          <w:spacing w:val="-12"/>
          <w:w w:val="105"/>
        </w:rPr>
        <w:t> </w:t>
      </w:r>
      <w:r>
        <w:rPr>
          <w:color w:val="231F20"/>
          <w:w w:val="105"/>
        </w:rPr>
        <w:t>proceso</w:t>
      </w:r>
      <w:r>
        <w:rPr>
          <w:color w:val="231F20"/>
          <w:spacing w:val="-12"/>
          <w:w w:val="105"/>
        </w:rPr>
        <w:t> </w:t>
      </w:r>
      <w:r>
        <w:rPr>
          <w:color w:val="231F20"/>
          <w:w w:val="105"/>
        </w:rPr>
        <w:t>se</w:t>
      </w:r>
      <w:r>
        <w:rPr>
          <w:color w:val="231F20"/>
          <w:spacing w:val="-12"/>
          <w:w w:val="105"/>
        </w:rPr>
        <w:t> </w:t>
      </w:r>
      <w:r>
        <w:rPr>
          <w:color w:val="231F20"/>
          <w:w w:val="105"/>
        </w:rPr>
        <w:t>sustenta no sólo por el potencial de cambio en las sociedades expulsoras, en el ámbito laboral y económico, sino por la incorporación de nuevos códi- gos sociales y culturales que delinean nuevas formas de </w:t>
      </w:r>
      <w:r>
        <w:rPr>
          <w:color w:val="231F20"/>
          <w:spacing w:val="-3"/>
          <w:w w:val="105"/>
        </w:rPr>
        <w:t>ser, </w:t>
      </w:r>
      <w:r>
        <w:rPr>
          <w:color w:val="231F20"/>
          <w:w w:val="105"/>
        </w:rPr>
        <w:t>pensar y habitar</w:t>
      </w:r>
      <w:r>
        <w:rPr>
          <w:color w:val="231F20"/>
          <w:spacing w:val="-16"/>
          <w:w w:val="105"/>
        </w:rPr>
        <w:t> </w:t>
      </w:r>
      <w:r>
        <w:rPr>
          <w:color w:val="231F20"/>
          <w:w w:val="105"/>
        </w:rPr>
        <w:t>el</w:t>
      </w:r>
      <w:r>
        <w:rPr>
          <w:color w:val="231F20"/>
          <w:spacing w:val="-16"/>
          <w:w w:val="105"/>
        </w:rPr>
        <w:t> </w:t>
      </w:r>
      <w:r>
        <w:rPr>
          <w:color w:val="231F20"/>
          <w:w w:val="105"/>
        </w:rPr>
        <w:t>mundo.</w:t>
      </w:r>
      <w:r>
        <w:rPr>
          <w:color w:val="231F20"/>
          <w:spacing w:val="-21"/>
          <w:w w:val="105"/>
        </w:rPr>
        <w:t> </w:t>
      </w:r>
      <w:r>
        <w:rPr>
          <w:color w:val="231F20"/>
          <w:w w:val="105"/>
        </w:rPr>
        <w:t>Los</w:t>
      </w:r>
      <w:r>
        <w:rPr>
          <w:color w:val="231F20"/>
          <w:spacing w:val="-16"/>
          <w:w w:val="105"/>
        </w:rPr>
        <w:t> </w:t>
      </w:r>
      <w:r>
        <w:rPr>
          <w:color w:val="231F20"/>
          <w:w w:val="105"/>
        </w:rPr>
        <w:t>cambios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migrante</w:t>
      </w:r>
      <w:r>
        <w:rPr>
          <w:color w:val="231F20"/>
          <w:spacing w:val="-16"/>
          <w:w w:val="105"/>
        </w:rPr>
        <w:t> </w:t>
      </w:r>
      <w:r>
        <w:rPr>
          <w:color w:val="231F20"/>
          <w:w w:val="105"/>
        </w:rPr>
        <w:t>retornado</w:t>
      </w:r>
      <w:r>
        <w:rPr>
          <w:color w:val="231F20"/>
          <w:spacing w:val="-16"/>
          <w:w w:val="105"/>
        </w:rPr>
        <w:t> </w:t>
      </w:r>
      <w:r>
        <w:rPr>
          <w:color w:val="231F20"/>
          <w:w w:val="105"/>
        </w:rPr>
        <w:t>y</w:t>
      </w:r>
      <w:r>
        <w:rPr>
          <w:color w:val="231F20"/>
          <w:spacing w:val="-16"/>
          <w:w w:val="105"/>
        </w:rPr>
        <w:t> </w:t>
      </w:r>
      <w:r>
        <w:rPr>
          <w:color w:val="231F20"/>
          <w:w w:val="105"/>
        </w:rPr>
        <w:t>sus</w:t>
      </w:r>
      <w:r>
        <w:rPr>
          <w:color w:val="231F20"/>
          <w:spacing w:val="-16"/>
          <w:w w:val="105"/>
        </w:rPr>
        <w:t> </w:t>
      </w:r>
      <w:r>
        <w:rPr>
          <w:color w:val="231F20"/>
          <w:w w:val="105"/>
        </w:rPr>
        <w:t>relaciones sociales bifurcadas al regreso son el punto para analizar la</w:t>
      </w:r>
      <w:r>
        <w:rPr>
          <w:color w:val="231F20"/>
          <w:spacing w:val="-15"/>
          <w:w w:val="105"/>
        </w:rPr>
        <w:t> </w:t>
      </w:r>
      <w:r>
        <w:rPr>
          <w:color w:val="231F20"/>
          <w:w w:val="105"/>
        </w:rPr>
        <w:t>experiencia migratoria</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modo</w:t>
      </w:r>
      <w:r>
        <w:rPr>
          <w:color w:val="231F20"/>
          <w:spacing w:val="-6"/>
          <w:w w:val="105"/>
        </w:rPr>
        <w:t> </w:t>
      </w:r>
      <w:r>
        <w:rPr>
          <w:color w:val="231F20"/>
          <w:w w:val="105"/>
        </w:rPr>
        <w:t>en</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manifiesta</w:t>
      </w:r>
      <w:r>
        <w:rPr>
          <w:color w:val="231F20"/>
          <w:spacing w:val="-6"/>
          <w:w w:val="105"/>
        </w:rPr>
        <w:t> </w:t>
      </w:r>
      <w:r>
        <w:rPr>
          <w:color w:val="231F20"/>
          <w:w w:val="105"/>
        </w:rPr>
        <w:t>el</w:t>
      </w:r>
      <w:r>
        <w:rPr>
          <w:color w:val="231F20"/>
          <w:spacing w:val="-6"/>
          <w:w w:val="105"/>
        </w:rPr>
        <w:t> </w:t>
      </w:r>
      <w:r>
        <w:rPr>
          <w:color w:val="231F20"/>
          <w:w w:val="105"/>
        </w:rPr>
        <w:t>retorno.</w:t>
      </w:r>
      <w:r>
        <w:rPr>
          <w:color w:val="231F20"/>
          <w:spacing w:val="-13"/>
          <w:w w:val="105"/>
        </w:rPr>
        <w:t> </w:t>
      </w:r>
      <w:r>
        <w:rPr>
          <w:color w:val="231F20"/>
          <w:w w:val="105"/>
        </w:rPr>
        <w:t>Hoy</w:t>
      </w:r>
      <w:r>
        <w:rPr>
          <w:color w:val="231F20"/>
          <w:spacing w:val="-6"/>
          <w:w w:val="105"/>
        </w:rPr>
        <w:t> </w:t>
      </w:r>
      <w:r>
        <w:rPr>
          <w:color w:val="231F20"/>
          <w:w w:val="105"/>
        </w:rPr>
        <w:t>en</w:t>
      </w:r>
      <w:r>
        <w:rPr>
          <w:color w:val="231F20"/>
          <w:spacing w:val="-6"/>
          <w:w w:val="105"/>
        </w:rPr>
        <w:t> </w:t>
      </w:r>
      <w:r>
        <w:rPr>
          <w:color w:val="231F20"/>
          <w:w w:val="105"/>
        </w:rPr>
        <w:t>día</w:t>
      </w:r>
      <w:r>
        <w:rPr>
          <w:color w:val="231F20"/>
          <w:spacing w:val="-6"/>
          <w:w w:val="105"/>
        </w:rPr>
        <w:t> </w:t>
      </w:r>
      <w:r>
        <w:rPr>
          <w:color w:val="231F20"/>
          <w:w w:val="105"/>
        </w:rPr>
        <w:t>existen diversas</w:t>
      </w:r>
      <w:r>
        <w:rPr>
          <w:color w:val="231F20"/>
          <w:spacing w:val="-18"/>
          <w:w w:val="105"/>
        </w:rPr>
        <w:t> </w:t>
      </w:r>
      <w:r>
        <w:rPr>
          <w:color w:val="231F20"/>
          <w:w w:val="105"/>
        </w:rPr>
        <w:t>modalidades</w:t>
      </w:r>
      <w:r>
        <w:rPr>
          <w:color w:val="231F20"/>
          <w:spacing w:val="-18"/>
          <w:w w:val="105"/>
        </w:rPr>
        <w:t> </w:t>
      </w:r>
      <w:r>
        <w:rPr>
          <w:color w:val="231F20"/>
          <w:w w:val="105"/>
        </w:rPr>
        <w:t>en</w:t>
      </w:r>
      <w:r>
        <w:rPr>
          <w:color w:val="231F20"/>
          <w:spacing w:val="-18"/>
          <w:w w:val="105"/>
        </w:rPr>
        <w:t> </w:t>
      </w:r>
      <w:r>
        <w:rPr>
          <w:color w:val="231F20"/>
          <w:w w:val="105"/>
        </w:rPr>
        <w:t>que</w:t>
      </w:r>
      <w:r>
        <w:rPr>
          <w:color w:val="231F20"/>
          <w:spacing w:val="-18"/>
          <w:w w:val="105"/>
        </w:rPr>
        <w:t> </w:t>
      </w:r>
      <w:r>
        <w:rPr>
          <w:color w:val="231F20"/>
          <w:w w:val="105"/>
        </w:rPr>
        <w:t>los</w:t>
      </w:r>
      <w:r>
        <w:rPr>
          <w:color w:val="231F20"/>
          <w:spacing w:val="-18"/>
          <w:w w:val="105"/>
        </w:rPr>
        <w:t> </w:t>
      </w:r>
      <w:r>
        <w:rPr>
          <w:color w:val="231F20"/>
          <w:w w:val="105"/>
        </w:rPr>
        <w:t>migrantes</w:t>
      </w:r>
      <w:r>
        <w:rPr>
          <w:color w:val="231F20"/>
          <w:spacing w:val="-18"/>
          <w:w w:val="105"/>
        </w:rPr>
        <w:t> </w:t>
      </w:r>
      <w:r>
        <w:rPr>
          <w:color w:val="231F20"/>
          <w:w w:val="105"/>
        </w:rPr>
        <w:t>viajan</w:t>
      </w:r>
      <w:r>
        <w:rPr>
          <w:color w:val="231F20"/>
          <w:spacing w:val="-18"/>
          <w:w w:val="105"/>
        </w:rPr>
        <w:t> </w:t>
      </w:r>
      <w:r>
        <w:rPr>
          <w:color w:val="231F20"/>
          <w:w w:val="105"/>
        </w:rPr>
        <w:t>a</w:t>
      </w:r>
      <w:r>
        <w:rPr>
          <w:color w:val="231F20"/>
          <w:spacing w:val="-18"/>
          <w:w w:val="105"/>
        </w:rPr>
        <w:t> </w:t>
      </w:r>
      <w:r>
        <w:rPr>
          <w:color w:val="231F20"/>
          <w:w w:val="105"/>
        </w:rPr>
        <w:t>sus</w:t>
      </w:r>
      <w:r>
        <w:rPr>
          <w:color w:val="231F20"/>
          <w:spacing w:val="-18"/>
          <w:w w:val="105"/>
        </w:rPr>
        <w:t> </w:t>
      </w:r>
      <w:r>
        <w:rPr>
          <w:color w:val="231F20"/>
          <w:w w:val="105"/>
        </w:rPr>
        <w:t>lugares</w:t>
      </w:r>
      <w:r>
        <w:rPr>
          <w:color w:val="231F20"/>
          <w:spacing w:val="-18"/>
          <w:w w:val="105"/>
        </w:rPr>
        <w:t> </w:t>
      </w:r>
      <w:r>
        <w:rPr>
          <w:color w:val="231F20"/>
          <w:w w:val="105"/>
        </w:rPr>
        <w:t>y</w:t>
      </w:r>
      <w:r>
        <w:rPr>
          <w:color w:val="231F20"/>
          <w:spacing w:val="-18"/>
          <w:w w:val="105"/>
        </w:rPr>
        <w:t> </w:t>
      </w:r>
      <w:r>
        <w:rPr>
          <w:color w:val="231F20"/>
          <w:w w:val="105"/>
        </w:rPr>
        <w:t>países de</w:t>
      </w:r>
      <w:r>
        <w:rPr>
          <w:color w:val="231F20"/>
          <w:spacing w:val="-4"/>
          <w:w w:val="105"/>
        </w:rPr>
        <w:t> </w:t>
      </w:r>
      <w:r>
        <w:rPr>
          <w:color w:val="231F20"/>
          <w:w w:val="105"/>
        </w:rPr>
        <w:t>origen,</w:t>
      </w:r>
      <w:r>
        <w:rPr>
          <w:color w:val="231F20"/>
          <w:spacing w:val="-9"/>
          <w:w w:val="105"/>
        </w:rPr>
        <w:t> </w:t>
      </w:r>
      <w:r>
        <w:rPr>
          <w:color w:val="231F20"/>
          <w:w w:val="105"/>
        </w:rPr>
        <w:t>e</w:t>
      </w:r>
      <w:r>
        <w:rPr>
          <w:color w:val="231F20"/>
          <w:spacing w:val="-4"/>
          <w:w w:val="105"/>
        </w:rPr>
        <w:t> </w:t>
      </w:r>
      <w:r>
        <w:rPr>
          <w:color w:val="231F20"/>
          <w:w w:val="105"/>
        </w:rPr>
        <w:t>incluso</w:t>
      </w:r>
      <w:r>
        <w:rPr>
          <w:color w:val="231F20"/>
          <w:spacing w:val="-4"/>
          <w:w w:val="105"/>
        </w:rPr>
        <w:t> </w:t>
      </w:r>
      <w:r>
        <w:rPr>
          <w:color w:val="231F20"/>
          <w:w w:val="105"/>
        </w:rPr>
        <w:t>hay</w:t>
      </w:r>
      <w:r>
        <w:rPr>
          <w:color w:val="231F20"/>
          <w:spacing w:val="-4"/>
          <w:w w:val="105"/>
        </w:rPr>
        <w:t> </w:t>
      </w:r>
      <w:r>
        <w:rPr>
          <w:color w:val="231F20"/>
          <w:w w:val="105"/>
        </w:rPr>
        <w:t>diferentes</w:t>
      </w:r>
      <w:r>
        <w:rPr>
          <w:color w:val="231F20"/>
          <w:spacing w:val="-4"/>
          <w:w w:val="105"/>
        </w:rPr>
        <w:t> </w:t>
      </w:r>
      <w:r>
        <w:rPr>
          <w:color w:val="231F20"/>
          <w:w w:val="105"/>
        </w:rPr>
        <w:t>formas</w:t>
      </w:r>
      <w:r>
        <w:rPr>
          <w:color w:val="231F20"/>
          <w:spacing w:val="-4"/>
          <w:w w:val="105"/>
        </w:rPr>
        <w:t> </w:t>
      </w:r>
      <w:r>
        <w:rPr>
          <w:color w:val="231F20"/>
          <w:w w:val="105"/>
        </w:rPr>
        <w:t>de</w:t>
      </w:r>
      <w:r>
        <w:rPr>
          <w:color w:val="231F20"/>
          <w:spacing w:val="-4"/>
          <w:w w:val="105"/>
        </w:rPr>
        <w:t> </w:t>
      </w:r>
      <w:r>
        <w:rPr>
          <w:color w:val="231F20"/>
          <w:w w:val="105"/>
        </w:rPr>
        <w:t>retorno</w:t>
      </w:r>
      <w:r>
        <w:rPr>
          <w:color w:val="231F20"/>
          <w:spacing w:val="-4"/>
          <w:w w:val="105"/>
        </w:rPr>
        <w:t> </w:t>
      </w:r>
      <w:r>
        <w:rPr>
          <w:color w:val="231F20"/>
          <w:w w:val="105"/>
        </w:rPr>
        <w:t>que</w:t>
      </w:r>
      <w:r>
        <w:rPr>
          <w:color w:val="231F20"/>
          <w:spacing w:val="-4"/>
          <w:w w:val="105"/>
        </w:rPr>
        <w:t> </w:t>
      </w:r>
      <w:r>
        <w:rPr>
          <w:color w:val="231F20"/>
          <w:w w:val="105"/>
        </w:rPr>
        <w:t>están</w:t>
      </w:r>
      <w:r>
        <w:rPr>
          <w:color w:val="231F20"/>
          <w:spacing w:val="-4"/>
          <w:w w:val="105"/>
        </w:rPr>
        <w:t> </w:t>
      </w:r>
      <w:r>
        <w:rPr>
          <w:color w:val="231F20"/>
          <w:w w:val="105"/>
        </w:rPr>
        <w:t>relacio- nadas</w:t>
      </w:r>
      <w:r>
        <w:rPr>
          <w:color w:val="231F20"/>
          <w:spacing w:val="-32"/>
          <w:w w:val="105"/>
        </w:rPr>
        <w:t> </w:t>
      </w:r>
      <w:r>
        <w:rPr>
          <w:color w:val="231F20"/>
          <w:w w:val="105"/>
        </w:rPr>
        <w:t>entre</w:t>
      </w:r>
      <w:r>
        <w:rPr>
          <w:color w:val="231F20"/>
          <w:spacing w:val="-32"/>
          <w:w w:val="105"/>
        </w:rPr>
        <w:t> </w:t>
      </w:r>
      <w:r>
        <w:rPr>
          <w:color w:val="231F20"/>
          <w:w w:val="105"/>
        </w:rPr>
        <w:t>sí</w:t>
      </w:r>
      <w:r>
        <w:rPr>
          <w:color w:val="231F20"/>
          <w:spacing w:val="-32"/>
          <w:w w:val="105"/>
        </w:rPr>
        <w:t> </w:t>
      </w:r>
      <w:r>
        <w:rPr>
          <w:color w:val="231F20"/>
          <w:w w:val="105"/>
        </w:rPr>
        <w:t>(Hirai,</w:t>
      </w:r>
      <w:r>
        <w:rPr>
          <w:color w:val="231F20"/>
          <w:spacing w:val="-35"/>
          <w:w w:val="105"/>
        </w:rPr>
        <w:t> </w:t>
      </w:r>
      <w:r>
        <w:rPr>
          <w:color w:val="231F20"/>
          <w:w w:val="105"/>
        </w:rPr>
        <w:t>2013).</w:t>
      </w:r>
    </w:p>
    <w:p>
      <w:pPr>
        <w:pStyle w:val="BodyText"/>
        <w:spacing w:line="261" w:lineRule="auto" w:before="1"/>
        <w:ind w:left="1837" w:right="1721"/>
        <w:jc w:val="both"/>
      </w:pPr>
      <w:r>
        <w:rPr/>
        <w:pict>
          <v:line style="position:absolute;mso-position-horizontal-relative:page;mso-position-vertical-relative:paragraph;z-index:-462520" from="15pt,111.354881pt" to="0pt,111.354881pt" stroked="true" strokeweight=".25pt" strokecolor="#000000">
            <w10:wrap type="none"/>
          </v:line>
        </w:pict>
      </w:r>
      <w:r>
        <w:rPr/>
        <w:pict>
          <v:line style="position:absolute;mso-position-horizontal-relative:page;mso-position-vertical-relative:paragraph;z-index:27688" from="508.890015pt,111.354881pt" to="523.890015pt,111.354881pt" stroked="true" strokeweight=".25pt" strokecolor="#000000">
            <w10:wrap type="none"/>
          </v:line>
        </w:pict>
      </w:r>
      <w:r>
        <w:rPr>
          <w:color w:val="231F20"/>
          <w:w w:val="105"/>
        </w:rPr>
        <w:t>Las</w:t>
      </w:r>
      <w:r>
        <w:rPr>
          <w:color w:val="231F20"/>
          <w:spacing w:val="-13"/>
          <w:w w:val="105"/>
        </w:rPr>
        <w:t> </w:t>
      </w:r>
      <w:r>
        <w:rPr>
          <w:color w:val="231F20"/>
          <w:w w:val="105"/>
        </w:rPr>
        <w:t>migraciones</w:t>
      </w:r>
      <w:r>
        <w:rPr>
          <w:color w:val="231F20"/>
          <w:spacing w:val="-13"/>
          <w:w w:val="105"/>
        </w:rPr>
        <w:t> </w:t>
      </w:r>
      <w:r>
        <w:rPr>
          <w:color w:val="231F20"/>
          <w:w w:val="105"/>
        </w:rPr>
        <w:t>internacionales</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y</w:t>
      </w:r>
      <w:r>
        <w:rPr>
          <w:color w:val="231F20"/>
          <w:spacing w:val="-13"/>
          <w:w w:val="105"/>
        </w:rPr>
        <w:t> </w:t>
      </w:r>
      <w:r>
        <w:rPr>
          <w:color w:val="231F20"/>
          <w:w w:val="105"/>
        </w:rPr>
        <w:t>sus</w:t>
      </w:r>
      <w:r>
        <w:rPr>
          <w:color w:val="231F20"/>
          <w:spacing w:val="-13"/>
          <w:w w:val="105"/>
        </w:rPr>
        <w:t> </w:t>
      </w:r>
      <w:r>
        <w:rPr>
          <w:color w:val="231F20"/>
          <w:w w:val="105"/>
        </w:rPr>
        <w:t>retornos</w:t>
      </w:r>
      <w:r>
        <w:rPr>
          <w:color w:val="231F20"/>
          <w:spacing w:val="-13"/>
          <w:w w:val="105"/>
        </w:rPr>
        <w:t> </w:t>
      </w:r>
      <w:r>
        <w:rPr>
          <w:color w:val="231F20"/>
          <w:w w:val="105"/>
        </w:rPr>
        <w:t>se caracterizan por su diversidad, en primera instancia porque en sí mis- mo el estado es un mosaico en su composición territorial, histórica,</w:t>
      </w:r>
      <w:r>
        <w:rPr>
          <w:color w:val="231F20"/>
          <w:spacing w:val="6"/>
          <w:w w:val="105"/>
        </w:rPr>
        <w:t> </w:t>
      </w:r>
      <w:r>
        <w:rPr>
          <w:color w:val="231F20"/>
          <w:w w:val="105"/>
        </w:rPr>
        <w:t>so-</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27736" from="15pt,-71.68644pt" to="0pt,-71.68644pt" stroked="true" strokeweight=".25pt" strokecolor="#000000">
            <w10:wrap type="none"/>
          </v:line>
        </w:pict>
      </w:r>
      <w:r>
        <w:rPr/>
        <w:pict>
          <v:line style="position:absolute;mso-position-horizontal-relative:page;mso-position-vertical-relative:paragraph;z-index:27760" from="508.890015pt,-71.68644pt" to="523.890015pt,-71.68644pt" stroked="true" strokeweight=".25pt" strokecolor="#000000">
            <w10:wrap type="none"/>
          </v:line>
        </w:pict>
      </w:r>
      <w:r>
        <w:rPr>
          <w:color w:val="231F20"/>
          <w:w w:val="105"/>
        </w:rPr>
        <w:t>cioeconómica</w:t>
      </w:r>
      <w:r>
        <w:rPr>
          <w:color w:val="231F20"/>
          <w:spacing w:val="-9"/>
          <w:w w:val="105"/>
        </w:rPr>
        <w:t> </w:t>
      </w:r>
      <w:r>
        <w:rPr>
          <w:color w:val="231F20"/>
          <w:w w:val="105"/>
        </w:rPr>
        <w:t>y</w:t>
      </w:r>
      <w:r>
        <w:rPr>
          <w:color w:val="231F20"/>
          <w:spacing w:val="-9"/>
          <w:w w:val="105"/>
        </w:rPr>
        <w:t> </w:t>
      </w:r>
      <w:r>
        <w:rPr>
          <w:color w:val="231F20"/>
          <w:w w:val="105"/>
        </w:rPr>
        <w:t>demográfica.</w:t>
      </w:r>
      <w:r>
        <w:rPr>
          <w:color w:val="231F20"/>
          <w:spacing w:val="-14"/>
          <w:w w:val="105"/>
        </w:rPr>
        <w:t> </w:t>
      </w:r>
      <w:r>
        <w:rPr>
          <w:color w:val="231F20"/>
          <w:w w:val="105"/>
        </w:rPr>
        <w:t>En</w:t>
      </w:r>
      <w:r>
        <w:rPr>
          <w:color w:val="231F20"/>
          <w:spacing w:val="-9"/>
          <w:w w:val="105"/>
        </w:rPr>
        <w:t> </w:t>
      </w:r>
      <w:r>
        <w:rPr>
          <w:color w:val="231F20"/>
          <w:w w:val="105"/>
        </w:rPr>
        <w:t>esta</w:t>
      </w:r>
      <w:r>
        <w:rPr>
          <w:color w:val="231F20"/>
          <w:spacing w:val="-9"/>
          <w:w w:val="105"/>
        </w:rPr>
        <w:t> </w:t>
      </w:r>
      <w:r>
        <w:rPr>
          <w:color w:val="231F20"/>
          <w:w w:val="105"/>
        </w:rPr>
        <w:t>línea,</w:t>
      </w:r>
      <w:r>
        <w:rPr>
          <w:color w:val="231F20"/>
          <w:spacing w:val="-14"/>
          <w:w w:val="105"/>
        </w:rPr>
        <w:t> </w:t>
      </w:r>
      <w:r>
        <w:rPr>
          <w:color w:val="231F20"/>
          <w:w w:val="105"/>
        </w:rPr>
        <w:t>la</w:t>
      </w:r>
      <w:r>
        <w:rPr>
          <w:color w:val="231F20"/>
          <w:spacing w:val="-9"/>
          <w:w w:val="105"/>
        </w:rPr>
        <w:t> </w:t>
      </w:r>
      <w:r>
        <w:rPr>
          <w:color w:val="231F20"/>
          <w:w w:val="105"/>
        </w:rPr>
        <w:t>región</w:t>
      </w:r>
      <w:r>
        <w:rPr>
          <w:color w:val="231F20"/>
          <w:spacing w:val="-9"/>
          <w:w w:val="105"/>
        </w:rPr>
        <w:t> </w:t>
      </w:r>
      <w:r>
        <w:rPr>
          <w:color w:val="231F20"/>
          <w:w w:val="105"/>
        </w:rPr>
        <w:t>mazahua</w:t>
      </w:r>
      <w:r>
        <w:rPr>
          <w:color w:val="231F20"/>
          <w:spacing w:val="-9"/>
          <w:w w:val="105"/>
        </w:rPr>
        <w:t> </w:t>
      </w:r>
      <w:r>
        <w:rPr>
          <w:color w:val="231F20"/>
          <w:w w:val="105"/>
        </w:rPr>
        <w:t>dota</w:t>
      </w:r>
      <w:r>
        <w:rPr>
          <w:color w:val="231F20"/>
          <w:spacing w:val="-9"/>
          <w:w w:val="105"/>
        </w:rPr>
        <w:t> </w:t>
      </w:r>
      <w:r>
        <w:rPr>
          <w:color w:val="231F20"/>
          <w:w w:val="105"/>
        </w:rPr>
        <w:t>a</w:t>
      </w:r>
      <w:r>
        <w:rPr>
          <w:color w:val="231F20"/>
          <w:spacing w:val="-9"/>
          <w:w w:val="105"/>
        </w:rPr>
        <w:t> </w:t>
      </w:r>
      <w:r>
        <w:rPr>
          <w:color w:val="231F20"/>
          <w:w w:val="105"/>
        </w:rPr>
        <w:t>la entidad de etnicidad a través de cultura y las formas de vida</w:t>
      </w:r>
      <w:r>
        <w:rPr>
          <w:color w:val="231F20"/>
          <w:spacing w:val="-37"/>
          <w:w w:val="105"/>
        </w:rPr>
        <w:t> </w:t>
      </w:r>
      <w:r>
        <w:rPr>
          <w:color w:val="231F20"/>
          <w:w w:val="105"/>
        </w:rPr>
        <w:t>heredadas de pueblos originarios que persisten y participan en el entramado de la globalización</w:t>
      </w:r>
      <w:r>
        <w:rPr>
          <w:color w:val="231F20"/>
          <w:spacing w:val="-21"/>
          <w:w w:val="105"/>
        </w:rPr>
        <w:t> </w:t>
      </w:r>
      <w:r>
        <w:rPr>
          <w:color w:val="231F20"/>
          <w:w w:val="105"/>
        </w:rPr>
        <w:t>con</w:t>
      </w:r>
      <w:r>
        <w:rPr>
          <w:color w:val="231F20"/>
          <w:spacing w:val="-21"/>
          <w:w w:val="105"/>
        </w:rPr>
        <w:t> </w:t>
      </w:r>
      <w:r>
        <w:rPr>
          <w:color w:val="231F20"/>
          <w:w w:val="105"/>
        </w:rPr>
        <w:t>sus</w:t>
      </w:r>
      <w:r>
        <w:rPr>
          <w:color w:val="231F20"/>
          <w:spacing w:val="-21"/>
          <w:w w:val="105"/>
        </w:rPr>
        <w:t> </w:t>
      </w:r>
      <w:r>
        <w:rPr>
          <w:color w:val="231F20"/>
          <w:w w:val="105"/>
        </w:rPr>
        <w:t>propias</w:t>
      </w:r>
      <w:r>
        <w:rPr>
          <w:color w:val="231F20"/>
          <w:spacing w:val="-21"/>
          <w:w w:val="105"/>
        </w:rPr>
        <w:t> </w:t>
      </w:r>
      <w:r>
        <w:rPr>
          <w:color w:val="231F20"/>
          <w:w w:val="105"/>
        </w:rPr>
        <w:t>movilidades.</w:t>
      </w:r>
      <w:r>
        <w:rPr>
          <w:color w:val="231F20"/>
          <w:spacing w:val="-25"/>
          <w:w w:val="105"/>
        </w:rPr>
        <w:t> </w:t>
      </w:r>
      <w:r>
        <w:rPr>
          <w:color w:val="231F20"/>
          <w:spacing w:val="-4"/>
          <w:w w:val="105"/>
        </w:rPr>
        <w:t>Para</w:t>
      </w:r>
      <w:r>
        <w:rPr>
          <w:color w:val="231F20"/>
          <w:spacing w:val="-21"/>
          <w:w w:val="105"/>
        </w:rPr>
        <w:t> </w:t>
      </w:r>
      <w:r>
        <w:rPr>
          <w:color w:val="231F20"/>
          <w:w w:val="105"/>
        </w:rPr>
        <w:t>conocer</w:t>
      </w:r>
      <w:r>
        <w:rPr>
          <w:color w:val="231F20"/>
          <w:spacing w:val="-21"/>
          <w:w w:val="105"/>
        </w:rPr>
        <w:t> </w:t>
      </w:r>
      <w:r>
        <w:rPr>
          <w:color w:val="231F20"/>
          <w:w w:val="105"/>
        </w:rPr>
        <w:t>y</w:t>
      </w:r>
      <w:r>
        <w:rPr>
          <w:color w:val="231F20"/>
          <w:spacing w:val="-21"/>
          <w:w w:val="105"/>
        </w:rPr>
        <w:t> </w:t>
      </w:r>
      <w:r>
        <w:rPr>
          <w:color w:val="231F20"/>
          <w:w w:val="105"/>
        </w:rPr>
        <w:t>analizar</w:t>
      </w:r>
      <w:r>
        <w:rPr>
          <w:color w:val="231F20"/>
          <w:spacing w:val="-21"/>
          <w:w w:val="105"/>
        </w:rPr>
        <w:t> </w:t>
      </w:r>
      <w:r>
        <w:rPr>
          <w:color w:val="231F20"/>
          <w:w w:val="105"/>
        </w:rPr>
        <w:t>estas dinámicas</w:t>
      </w:r>
      <w:r>
        <w:rPr>
          <w:color w:val="231F20"/>
          <w:spacing w:val="-19"/>
          <w:w w:val="105"/>
        </w:rPr>
        <w:t> </w:t>
      </w:r>
      <w:r>
        <w:rPr>
          <w:color w:val="231F20"/>
          <w:w w:val="105"/>
        </w:rPr>
        <w:t>se</w:t>
      </w:r>
      <w:r>
        <w:rPr>
          <w:color w:val="231F20"/>
          <w:spacing w:val="-19"/>
          <w:w w:val="105"/>
        </w:rPr>
        <w:t> </w:t>
      </w:r>
      <w:r>
        <w:rPr>
          <w:color w:val="231F20"/>
          <w:w w:val="105"/>
        </w:rPr>
        <w:t>requiere</w:t>
      </w:r>
      <w:r>
        <w:rPr>
          <w:color w:val="231F20"/>
          <w:spacing w:val="-19"/>
          <w:w w:val="105"/>
        </w:rPr>
        <w:t> </w:t>
      </w:r>
      <w:r>
        <w:rPr>
          <w:color w:val="231F20"/>
          <w:w w:val="105"/>
        </w:rPr>
        <w:t>documentar</w:t>
      </w:r>
      <w:r>
        <w:rPr>
          <w:color w:val="231F20"/>
          <w:spacing w:val="-19"/>
          <w:w w:val="105"/>
        </w:rPr>
        <w:t> </w:t>
      </w:r>
      <w:r>
        <w:rPr>
          <w:color w:val="231F20"/>
          <w:w w:val="105"/>
        </w:rPr>
        <w:t>mediante</w:t>
      </w:r>
      <w:r>
        <w:rPr>
          <w:color w:val="231F20"/>
          <w:spacing w:val="-19"/>
          <w:w w:val="105"/>
        </w:rPr>
        <w:t> </w:t>
      </w:r>
      <w:r>
        <w:rPr>
          <w:color w:val="231F20"/>
          <w:w w:val="105"/>
        </w:rPr>
        <w:t>trabajo</w:t>
      </w:r>
      <w:r>
        <w:rPr>
          <w:color w:val="231F20"/>
          <w:spacing w:val="-19"/>
          <w:w w:val="105"/>
        </w:rPr>
        <w:t> </w:t>
      </w:r>
      <w:r>
        <w:rPr>
          <w:color w:val="231F20"/>
          <w:w w:val="105"/>
        </w:rPr>
        <w:t>etnográfico</w:t>
      </w:r>
      <w:r>
        <w:rPr>
          <w:color w:val="231F20"/>
          <w:spacing w:val="-19"/>
          <w:w w:val="105"/>
        </w:rPr>
        <w:t> </w:t>
      </w:r>
      <w:r>
        <w:rPr>
          <w:color w:val="231F20"/>
          <w:w w:val="105"/>
        </w:rPr>
        <w:t>el</w:t>
      </w:r>
      <w:r>
        <w:rPr>
          <w:color w:val="231F20"/>
          <w:spacing w:val="-19"/>
          <w:w w:val="105"/>
        </w:rPr>
        <w:t> </w:t>
      </w:r>
      <w:r>
        <w:rPr>
          <w:color w:val="231F20"/>
          <w:w w:val="105"/>
        </w:rPr>
        <w:t>curso que</w:t>
      </w:r>
      <w:r>
        <w:rPr>
          <w:color w:val="231F20"/>
          <w:spacing w:val="-7"/>
          <w:w w:val="105"/>
        </w:rPr>
        <w:t> </w:t>
      </w:r>
      <w:r>
        <w:rPr>
          <w:color w:val="231F20"/>
          <w:w w:val="105"/>
        </w:rPr>
        <w:t>guarda</w:t>
      </w:r>
      <w:r>
        <w:rPr>
          <w:color w:val="231F20"/>
          <w:spacing w:val="-7"/>
          <w:w w:val="105"/>
        </w:rPr>
        <w:t> </w:t>
      </w:r>
      <w:r>
        <w:rPr>
          <w:color w:val="231F20"/>
          <w:w w:val="105"/>
        </w:rPr>
        <w:t>la</w:t>
      </w:r>
      <w:r>
        <w:rPr>
          <w:color w:val="231F20"/>
          <w:spacing w:val="-7"/>
          <w:w w:val="105"/>
        </w:rPr>
        <w:t> </w:t>
      </w:r>
      <w:r>
        <w:rPr>
          <w:color w:val="231F20"/>
          <w:w w:val="105"/>
        </w:rPr>
        <w:t>movilidad</w:t>
      </w:r>
      <w:r>
        <w:rPr>
          <w:color w:val="231F20"/>
          <w:spacing w:val="-7"/>
          <w:w w:val="105"/>
        </w:rPr>
        <w:t> </w:t>
      </w:r>
      <w:r>
        <w:rPr>
          <w:color w:val="231F20"/>
          <w:w w:val="105"/>
        </w:rPr>
        <w:t>internacional</w:t>
      </w:r>
      <w:r>
        <w:rPr>
          <w:color w:val="231F20"/>
          <w:spacing w:val="-7"/>
          <w:w w:val="105"/>
        </w:rPr>
        <w:t> </w:t>
      </w:r>
      <w:r>
        <w:rPr>
          <w:color w:val="231F20"/>
          <w:w w:val="105"/>
        </w:rPr>
        <w:t>hacia</w:t>
      </w:r>
      <w:r>
        <w:rPr>
          <w:color w:val="231F20"/>
          <w:spacing w:val="-7"/>
          <w:w w:val="105"/>
        </w:rPr>
        <w:t> </w:t>
      </w:r>
      <w:r>
        <w:rPr>
          <w:color w:val="231F20"/>
          <w:w w:val="105"/>
        </w:rPr>
        <w:t>Estados</w:t>
      </w:r>
      <w:r>
        <w:rPr>
          <w:color w:val="231F20"/>
          <w:spacing w:val="-7"/>
          <w:w w:val="105"/>
        </w:rPr>
        <w:t> </w:t>
      </w:r>
      <w:r>
        <w:rPr>
          <w:color w:val="231F20"/>
          <w:w w:val="105"/>
        </w:rPr>
        <w:t>Unidos</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pue- blos</w:t>
      </w:r>
      <w:r>
        <w:rPr>
          <w:color w:val="231F20"/>
          <w:spacing w:val="-6"/>
          <w:w w:val="105"/>
        </w:rPr>
        <w:t> </w:t>
      </w:r>
      <w:r>
        <w:rPr>
          <w:color w:val="231F20"/>
          <w:w w:val="105"/>
        </w:rPr>
        <w:t>indígenas</w:t>
      </w:r>
      <w:r>
        <w:rPr>
          <w:color w:val="231F20"/>
          <w:spacing w:val="-6"/>
          <w:w w:val="105"/>
        </w:rPr>
        <w:t> </w:t>
      </w:r>
      <w:r>
        <w:rPr>
          <w:color w:val="231F20"/>
          <w:w w:val="105"/>
        </w:rPr>
        <w:t>del</w:t>
      </w:r>
      <w:r>
        <w:rPr>
          <w:color w:val="231F20"/>
          <w:spacing w:val="-6"/>
          <w:w w:val="105"/>
        </w:rPr>
        <w:t> </w:t>
      </w:r>
      <w:r>
        <w:rPr>
          <w:color w:val="231F20"/>
          <w:w w:val="105"/>
        </w:rPr>
        <w:t>Estado</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11"/>
          <w:w w:val="105"/>
        </w:rPr>
        <w:t> </w:t>
      </w:r>
      <w:r>
        <w:rPr>
          <w:color w:val="231F20"/>
          <w:w w:val="105"/>
        </w:rPr>
        <w:t>pues</w:t>
      </w:r>
      <w:r>
        <w:rPr>
          <w:color w:val="231F20"/>
          <w:spacing w:val="-6"/>
          <w:w w:val="105"/>
        </w:rPr>
        <w:t> </w:t>
      </w:r>
      <w:r>
        <w:rPr>
          <w:color w:val="231F20"/>
          <w:w w:val="105"/>
        </w:rPr>
        <w:t>aun</w:t>
      </w:r>
      <w:r>
        <w:rPr>
          <w:color w:val="231F20"/>
          <w:spacing w:val="-6"/>
          <w:w w:val="105"/>
        </w:rPr>
        <w:t> </w:t>
      </w:r>
      <w:r>
        <w:rPr>
          <w:color w:val="231F20"/>
          <w:w w:val="105"/>
        </w:rPr>
        <w:t>sin</w:t>
      </w:r>
      <w:r>
        <w:rPr>
          <w:color w:val="231F20"/>
          <w:spacing w:val="-6"/>
          <w:w w:val="105"/>
        </w:rPr>
        <w:t> </w:t>
      </w:r>
      <w:r>
        <w:rPr>
          <w:color w:val="231F20"/>
          <w:w w:val="105"/>
        </w:rPr>
        <w:t>ser</w:t>
      </w:r>
      <w:r>
        <w:rPr>
          <w:color w:val="231F20"/>
          <w:spacing w:val="-6"/>
          <w:w w:val="105"/>
        </w:rPr>
        <w:t> </w:t>
      </w:r>
      <w:r>
        <w:rPr>
          <w:color w:val="231F20"/>
          <w:w w:val="105"/>
        </w:rPr>
        <w:t>consideradas</w:t>
      </w:r>
      <w:r>
        <w:rPr>
          <w:color w:val="231F20"/>
          <w:spacing w:val="-6"/>
          <w:w w:val="105"/>
        </w:rPr>
        <w:t> </w:t>
      </w:r>
      <w:r>
        <w:rPr>
          <w:color w:val="231F20"/>
          <w:w w:val="105"/>
        </w:rPr>
        <w:t>de alto</w:t>
      </w:r>
      <w:r>
        <w:rPr>
          <w:color w:val="231F20"/>
          <w:spacing w:val="-12"/>
          <w:w w:val="105"/>
        </w:rPr>
        <w:t> </w:t>
      </w:r>
      <w:r>
        <w:rPr>
          <w:color w:val="231F20"/>
          <w:w w:val="105"/>
        </w:rPr>
        <w:t>índice</w:t>
      </w:r>
      <w:r>
        <w:rPr>
          <w:color w:val="231F20"/>
          <w:spacing w:val="-12"/>
          <w:w w:val="105"/>
        </w:rPr>
        <w:t> </w:t>
      </w:r>
      <w:r>
        <w:rPr>
          <w:color w:val="231F20"/>
          <w:w w:val="105"/>
        </w:rPr>
        <w:t>migratorio</w:t>
      </w:r>
      <w:r>
        <w:rPr>
          <w:color w:val="231F20"/>
          <w:spacing w:val="-12"/>
          <w:w w:val="105"/>
        </w:rPr>
        <w:t> </w:t>
      </w:r>
      <w:r>
        <w:rPr>
          <w:color w:val="231F20"/>
          <w:w w:val="105"/>
        </w:rPr>
        <w:t>(mismo</w:t>
      </w:r>
      <w:r>
        <w:rPr>
          <w:color w:val="231F20"/>
          <w:spacing w:val="-12"/>
          <w:w w:val="105"/>
        </w:rPr>
        <w:t> </w:t>
      </w:r>
      <w:r>
        <w:rPr>
          <w:color w:val="231F20"/>
          <w:w w:val="105"/>
        </w:rPr>
        <w:t>que</w:t>
      </w:r>
      <w:r>
        <w:rPr>
          <w:color w:val="231F20"/>
          <w:spacing w:val="-12"/>
          <w:w w:val="105"/>
        </w:rPr>
        <w:t> </w:t>
      </w:r>
      <w:r>
        <w:rPr>
          <w:color w:val="231F20"/>
          <w:w w:val="105"/>
        </w:rPr>
        <w:t>responde</w:t>
      </w:r>
      <w:r>
        <w:rPr>
          <w:color w:val="231F20"/>
          <w:spacing w:val="-12"/>
          <w:w w:val="105"/>
        </w:rPr>
        <w:t> </w:t>
      </w:r>
      <w:r>
        <w:rPr>
          <w:color w:val="231F20"/>
          <w:w w:val="105"/>
        </w:rPr>
        <w:t>a</w:t>
      </w:r>
      <w:r>
        <w:rPr>
          <w:color w:val="231F20"/>
          <w:spacing w:val="-12"/>
          <w:w w:val="105"/>
        </w:rPr>
        <w:t> </w:t>
      </w:r>
      <w:r>
        <w:rPr>
          <w:color w:val="231F20"/>
          <w:w w:val="105"/>
        </w:rPr>
        <w:t>estadísticas</w:t>
      </w:r>
      <w:r>
        <w:rPr>
          <w:color w:val="231F20"/>
          <w:spacing w:val="-12"/>
          <w:w w:val="105"/>
        </w:rPr>
        <w:t> </w:t>
      </w:r>
      <w:r>
        <w:rPr>
          <w:color w:val="231F20"/>
          <w:w w:val="105"/>
        </w:rPr>
        <w:t>demográficas y</w:t>
      </w:r>
      <w:r>
        <w:rPr>
          <w:color w:val="231F20"/>
          <w:spacing w:val="-22"/>
          <w:w w:val="105"/>
        </w:rPr>
        <w:t> </w:t>
      </w:r>
      <w:r>
        <w:rPr>
          <w:color w:val="231F20"/>
          <w:w w:val="105"/>
        </w:rPr>
        <w:t>no</w:t>
      </w:r>
      <w:r>
        <w:rPr>
          <w:color w:val="231F20"/>
          <w:spacing w:val="-22"/>
          <w:w w:val="105"/>
        </w:rPr>
        <w:t> </w:t>
      </w:r>
      <w:r>
        <w:rPr>
          <w:color w:val="231F20"/>
          <w:w w:val="105"/>
        </w:rPr>
        <w:t>necesariamente</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idea</w:t>
      </w:r>
      <w:r>
        <w:rPr>
          <w:color w:val="231F20"/>
          <w:spacing w:val="-22"/>
          <w:w w:val="105"/>
        </w:rPr>
        <w:t> </w:t>
      </w:r>
      <w:r>
        <w:rPr>
          <w:color w:val="231F20"/>
          <w:w w:val="105"/>
        </w:rPr>
        <w:t>compartida</w:t>
      </w:r>
      <w:r>
        <w:rPr>
          <w:color w:val="231F20"/>
          <w:spacing w:val="-22"/>
          <w:w w:val="105"/>
        </w:rPr>
        <w:t> </w:t>
      </w:r>
      <w:r>
        <w:rPr>
          <w:color w:val="231F20"/>
          <w:w w:val="105"/>
        </w:rPr>
        <w:t>de</w:t>
      </w:r>
      <w:r>
        <w:rPr>
          <w:color w:val="231F20"/>
          <w:spacing w:val="-22"/>
          <w:w w:val="105"/>
        </w:rPr>
        <w:t> </w:t>
      </w:r>
      <w:r>
        <w:rPr>
          <w:color w:val="231F20"/>
          <w:w w:val="105"/>
        </w:rPr>
        <w:t>que</w:t>
      </w:r>
      <w:r>
        <w:rPr>
          <w:color w:val="231F20"/>
          <w:spacing w:val="-22"/>
          <w:w w:val="105"/>
        </w:rPr>
        <w:t> </w:t>
      </w:r>
      <w:r>
        <w:rPr>
          <w:color w:val="231F20"/>
          <w:w w:val="105"/>
        </w:rPr>
        <w:t>cada</w:t>
      </w:r>
      <w:r>
        <w:rPr>
          <w:color w:val="231F20"/>
          <w:spacing w:val="-22"/>
          <w:w w:val="105"/>
        </w:rPr>
        <w:t> </w:t>
      </w:r>
      <w:r>
        <w:rPr>
          <w:color w:val="231F20"/>
          <w:w w:val="105"/>
        </w:rPr>
        <w:t>vez</w:t>
      </w:r>
      <w:r>
        <w:rPr>
          <w:color w:val="231F20"/>
          <w:spacing w:val="-22"/>
          <w:w w:val="105"/>
        </w:rPr>
        <w:t> </w:t>
      </w:r>
      <w:r>
        <w:rPr>
          <w:color w:val="231F20"/>
          <w:w w:val="105"/>
        </w:rPr>
        <w:t>son</w:t>
      </w:r>
      <w:r>
        <w:rPr>
          <w:color w:val="231F20"/>
          <w:spacing w:val="-22"/>
          <w:w w:val="105"/>
        </w:rPr>
        <w:t> </w:t>
      </w:r>
      <w:r>
        <w:rPr>
          <w:color w:val="231F20"/>
          <w:w w:val="105"/>
        </w:rPr>
        <w:t>más</w:t>
      </w:r>
      <w:r>
        <w:rPr>
          <w:color w:val="231F20"/>
          <w:spacing w:val="-22"/>
          <w:w w:val="105"/>
        </w:rPr>
        <w:t> </w:t>
      </w:r>
      <w:r>
        <w:rPr>
          <w:color w:val="231F20"/>
          <w:w w:val="105"/>
        </w:rPr>
        <w:t>quie- nes</w:t>
      </w:r>
      <w:r>
        <w:rPr>
          <w:color w:val="231F20"/>
          <w:spacing w:val="-29"/>
          <w:w w:val="105"/>
        </w:rPr>
        <w:t> </w:t>
      </w:r>
      <w:r>
        <w:rPr>
          <w:color w:val="231F20"/>
          <w:w w:val="105"/>
        </w:rPr>
        <w:t>viajan</w:t>
      </w:r>
      <w:r>
        <w:rPr>
          <w:color w:val="231F20"/>
          <w:spacing w:val="-29"/>
          <w:w w:val="105"/>
        </w:rPr>
        <w:t> </w:t>
      </w:r>
      <w:r>
        <w:rPr>
          <w:color w:val="231F20"/>
          <w:w w:val="105"/>
        </w:rPr>
        <w:t>a</w:t>
      </w:r>
      <w:r>
        <w:rPr>
          <w:color w:val="231F20"/>
          <w:spacing w:val="-29"/>
          <w:w w:val="105"/>
        </w:rPr>
        <w:t> </w:t>
      </w:r>
      <w:r>
        <w:rPr>
          <w:color w:val="231F20"/>
          <w:w w:val="105"/>
        </w:rPr>
        <w:t>Estados</w:t>
      </w:r>
      <w:r>
        <w:rPr>
          <w:color w:val="231F20"/>
          <w:spacing w:val="-29"/>
          <w:w w:val="105"/>
        </w:rPr>
        <w:t> </w:t>
      </w:r>
      <w:r>
        <w:rPr>
          <w:color w:val="231F20"/>
          <w:w w:val="105"/>
        </w:rPr>
        <w:t>Unidos</w:t>
      </w:r>
      <w:r>
        <w:rPr>
          <w:color w:val="231F20"/>
          <w:spacing w:val="-29"/>
          <w:w w:val="105"/>
        </w:rPr>
        <w:t> </w:t>
      </w:r>
      <w:r>
        <w:rPr>
          <w:color w:val="231F20"/>
          <w:w w:val="105"/>
        </w:rPr>
        <w:t>a</w:t>
      </w:r>
      <w:r>
        <w:rPr>
          <w:color w:val="231F20"/>
          <w:spacing w:val="-29"/>
          <w:w w:val="105"/>
        </w:rPr>
        <w:t> </w:t>
      </w:r>
      <w:r>
        <w:rPr>
          <w:color w:val="231F20"/>
          <w:w w:val="105"/>
        </w:rPr>
        <w:t>trabajar),</w:t>
      </w:r>
      <w:r>
        <w:rPr>
          <w:color w:val="231F20"/>
          <w:spacing w:val="-33"/>
          <w:w w:val="105"/>
        </w:rPr>
        <w:t> </w:t>
      </w:r>
      <w:r>
        <w:rPr>
          <w:color w:val="231F20"/>
          <w:w w:val="105"/>
        </w:rPr>
        <w:t>sí</w:t>
      </w:r>
      <w:r>
        <w:rPr>
          <w:color w:val="231F20"/>
          <w:spacing w:val="-29"/>
          <w:w w:val="105"/>
        </w:rPr>
        <w:t> </w:t>
      </w:r>
      <w:r>
        <w:rPr>
          <w:color w:val="231F20"/>
          <w:w w:val="105"/>
        </w:rPr>
        <w:t>representan</w:t>
      </w:r>
      <w:r>
        <w:rPr>
          <w:color w:val="231F20"/>
          <w:spacing w:val="-29"/>
          <w:w w:val="105"/>
        </w:rPr>
        <w:t> </w:t>
      </w:r>
      <w:r>
        <w:rPr>
          <w:color w:val="231F20"/>
          <w:w w:val="105"/>
        </w:rPr>
        <w:t>un</w:t>
      </w:r>
      <w:r>
        <w:rPr>
          <w:color w:val="231F20"/>
          <w:spacing w:val="-29"/>
          <w:w w:val="105"/>
        </w:rPr>
        <w:t> </w:t>
      </w:r>
      <w:r>
        <w:rPr>
          <w:color w:val="231F20"/>
          <w:w w:val="105"/>
        </w:rPr>
        <w:t>modo</w:t>
      </w:r>
      <w:r>
        <w:rPr>
          <w:color w:val="231F20"/>
          <w:spacing w:val="-29"/>
          <w:w w:val="105"/>
        </w:rPr>
        <w:t> </w:t>
      </w:r>
      <w:r>
        <w:rPr>
          <w:color w:val="231F20"/>
          <w:w w:val="105"/>
        </w:rPr>
        <w:t>particular de</w:t>
      </w:r>
      <w:r>
        <w:rPr>
          <w:color w:val="231F20"/>
          <w:spacing w:val="-30"/>
          <w:w w:val="105"/>
        </w:rPr>
        <w:t> </w:t>
      </w:r>
      <w:r>
        <w:rPr>
          <w:color w:val="231F20"/>
          <w:w w:val="105"/>
        </w:rPr>
        <w:t>desplazamiento.</w:t>
      </w:r>
    </w:p>
    <w:p>
      <w:pPr>
        <w:pStyle w:val="BodyText"/>
        <w:spacing w:line="261" w:lineRule="auto" w:before="1"/>
        <w:ind w:left="1723" w:right="1828" w:firstLine="566"/>
        <w:jc w:val="both"/>
      </w:pPr>
      <w:r>
        <w:rPr>
          <w:color w:val="231F20"/>
          <w:w w:val="105"/>
        </w:rPr>
        <w:t>La información contenida en la </w:t>
      </w:r>
      <w:r>
        <w:rPr>
          <w:color w:val="231F20"/>
          <w:w w:val="105"/>
          <w:sz w:val="17"/>
        </w:rPr>
        <w:t>EMMEU  </w:t>
      </w:r>
      <w:r>
        <w:rPr>
          <w:color w:val="231F20"/>
          <w:w w:val="105"/>
        </w:rPr>
        <w:t>2009 es una herramien-  ta para estimar la magnitud del retorno de los migrantes mexiquenses, sus características demográficas y socioeconómicas, constituyendo</w:t>
      </w:r>
      <w:r>
        <w:rPr>
          <w:color w:val="231F20"/>
          <w:spacing w:val="-24"/>
          <w:w w:val="105"/>
        </w:rPr>
        <w:t> </w:t>
      </w:r>
      <w:r>
        <w:rPr>
          <w:color w:val="231F20"/>
          <w:w w:val="105"/>
        </w:rPr>
        <w:t>así un punto de referencia para los estudios sobre movilidad y migración internacional en la entidad. Sin embargo, asumimos el compromiso de documentar y analizar desde los estudios cualitativos el modo en que los retornados experimentan el regreso, la reinserción en su dimensión sociocultural,</w:t>
      </w:r>
      <w:r>
        <w:rPr>
          <w:color w:val="231F20"/>
          <w:spacing w:val="-17"/>
          <w:w w:val="105"/>
        </w:rPr>
        <w:t> </w:t>
      </w:r>
      <w:r>
        <w:rPr>
          <w:color w:val="231F20"/>
          <w:w w:val="105"/>
        </w:rPr>
        <w:t>que</w:t>
      </w:r>
      <w:r>
        <w:rPr>
          <w:color w:val="231F20"/>
          <w:spacing w:val="-11"/>
          <w:w w:val="105"/>
        </w:rPr>
        <w:t> </w:t>
      </w:r>
      <w:r>
        <w:rPr>
          <w:color w:val="231F20"/>
          <w:w w:val="105"/>
        </w:rPr>
        <w:t>si</w:t>
      </w:r>
      <w:r>
        <w:rPr>
          <w:color w:val="231F20"/>
          <w:spacing w:val="-11"/>
          <w:w w:val="105"/>
        </w:rPr>
        <w:t> </w:t>
      </w:r>
      <w:r>
        <w:rPr>
          <w:color w:val="231F20"/>
          <w:w w:val="105"/>
        </w:rPr>
        <w:t>bien</w:t>
      </w:r>
      <w:r>
        <w:rPr>
          <w:color w:val="231F20"/>
          <w:spacing w:val="-11"/>
          <w:w w:val="105"/>
        </w:rPr>
        <w:t> </w:t>
      </w:r>
      <w:r>
        <w:rPr>
          <w:color w:val="231F20"/>
          <w:w w:val="105"/>
        </w:rPr>
        <w:t>no</w:t>
      </w:r>
      <w:r>
        <w:rPr>
          <w:color w:val="231F20"/>
          <w:spacing w:val="-11"/>
          <w:w w:val="105"/>
        </w:rPr>
        <w:t> </w:t>
      </w:r>
      <w:r>
        <w:rPr>
          <w:color w:val="231F20"/>
          <w:w w:val="105"/>
        </w:rPr>
        <w:t>deja</w:t>
      </w:r>
      <w:r>
        <w:rPr>
          <w:color w:val="231F20"/>
          <w:spacing w:val="-11"/>
          <w:w w:val="105"/>
        </w:rPr>
        <w:t> </w:t>
      </w:r>
      <w:r>
        <w:rPr>
          <w:color w:val="231F20"/>
          <w:w w:val="105"/>
        </w:rPr>
        <w:t>de</w:t>
      </w:r>
      <w:r>
        <w:rPr>
          <w:color w:val="231F20"/>
          <w:spacing w:val="-11"/>
          <w:w w:val="105"/>
        </w:rPr>
        <w:t> </w:t>
      </w:r>
      <w:r>
        <w:rPr>
          <w:color w:val="231F20"/>
          <w:w w:val="105"/>
        </w:rPr>
        <w:t>lado</w:t>
      </w:r>
      <w:r>
        <w:rPr>
          <w:color w:val="231F20"/>
          <w:spacing w:val="-11"/>
          <w:w w:val="105"/>
        </w:rPr>
        <w:t> </w:t>
      </w:r>
      <w:r>
        <w:rPr>
          <w:color w:val="231F20"/>
          <w:w w:val="105"/>
        </w:rPr>
        <w:t>la</w:t>
      </w:r>
      <w:r>
        <w:rPr>
          <w:color w:val="231F20"/>
          <w:spacing w:val="-11"/>
          <w:w w:val="105"/>
        </w:rPr>
        <w:t> </w:t>
      </w:r>
      <w:r>
        <w:rPr>
          <w:color w:val="231F20"/>
          <w:w w:val="105"/>
        </w:rPr>
        <w:t>importancia</w:t>
      </w:r>
      <w:r>
        <w:rPr>
          <w:color w:val="231F20"/>
          <w:spacing w:val="-11"/>
          <w:w w:val="105"/>
        </w:rPr>
        <w:t> </w:t>
      </w:r>
      <w:r>
        <w:rPr>
          <w:color w:val="231F20"/>
          <w:w w:val="105"/>
        </w:rPr>
        <w:t>del</w:t>
      </w:r>
      <w:r>
        <w:rPr>
          <w:color w:val="231F20"/>
          <w:spacing w:val="-11"/>
          <w:w w:val="105"/>
        </w:rPr>
        <w:t> </w:t>
      </w:r>
      <w:r>
        <w:rPr>
          <w:color w:val="231F20"/>
          <w:w w:val="105"/>
        </w:rPr>
        <w:t>componente laboral,</w:t>
      </w:r>
      <w:r>
        <w:rPr>
          <w:color w:val="231F20"/>
          <w:spacing w:val="-11"/>
          <w:w w:val="105"/>
        </w:rPr>
        <w:t> </w:t>
      </w:r>
      <w:r>
        <w:rPr>
          <w:color w:val="231F20"/>
          <w:w w:val="105"/>
        </w:rPr>
        <w:t>gira</w:t>
      </w:r>
      <w:r>
        <w:rPr>
          <w:color w:val="231F20"/>
          <w:spacing w:val="-6"/>
          <w:w w:val="105"/>
        </w:rPr>
        <w:t> </w:t>
      </w:r>
      <w:r>
        <w:rPr>
          <w:color w:val="231F20"/>
          <w:w w:val="105"/>
        </w:rPr>
        <w:t>la</w:t>
      </w:r>
      <w:r>
        <w:rPr>
          <w:color w:val="231F20"/>
          <w:spacing w:val="-6"/>
          <w:w w:val="105"/>
        </w:rPr>
        <w:t> </w:t>
      </w:r>
      <w:r>
        <w:rPr>
          <w:color w:val="231F20"/>
          <w:w w:val="105"/>
        </w:rPr>
        <w:t>lente</w:t>
      </w:r>
      <w:r>
        <w:rPr>
          <w:color w:val="231F20"/>
          <w:spacing w:val="-6"/>
          <w:w w:val="105"/>
        </w:rPr>
        <w:t> </w:t>
      </w:r>
      <w:r>
        <w:rPr>
          <w:color w:val="231F20"/>
          <w:w w:val="105"/>
        </w:rPr>
        <w:t>hacia</w:t>
      </w:r>
      <w:r>
        <w:rPr>
          <w:color w:val="231F20"/>
          <w:spacing w:val="-6"/>
          <w:w w:val="105"/>
        </w:rPr>
        <w:t> </w:t>
      </w:r>
      <w:r>
        <w:rPr>
          <w:color w:val="231F20"/>
          <w:w w:val="105"/>
        </w:rPr>
        <w:t>el</w:t>
      </w:r>
      <w:r>
        <w:rPr>
          <w:color w:val="231F20"/>
          <w:spacing w:val="-6"/>
          <w:w w:val="105"/>
        </w:rPr>
        <w:t> </w:t>
      </w:r>
      <w:r>
        <w:rPr>
          <w:color w:val="231F20"/>
          <w:w w:val="105"/>
        </w:rPr>
        <w:t>individuo,</w:t>
      </w:r>
      <w:r>
        <w:rPr>
          <w:color w:val="231F20"/>
          <w:spacing w:val="-11"/>
          <w:w w:val="105"/>
        </w:rPr>
        <w:t> </w:t>
      </w:r>
      <w:r>
        <w:rPr>
          <w:color w:val="231F20"/>
          <w:w w:val="105"/>
        </w:rPr>
        <w:t>a</w:t>
      </w:r>
      <w:r>
        <w:rPr>
          <w:color w:val="231F20"/>
          <w:spacing w:val="-6"/>
          <w:w w:val="105"/>
        </w:rPr>
        <w:t> </w:t>
      </w:r>
      <w:r>
        <w:rPr>
          <w:color w:val="231F20"/>
          <w:w w:val="105"/>
        </w:rPr>
        <w:t>sus</w:t>
      </w:r>
      <w:r>
        <w:rPr>
          <w:color w:val="231F20"/>
          <w:spacing w:val="-6"/>
          <w:w w:val="105"/>
        </w:rPr>
        <w:t> </w:t>
      </w:r>
      <w:r>
        <w:rPr>
          <w:color w:val="231F20"/>
          <w:w w:val="105"/>
        </w:rPr>
        <w:t>formas</w:t>
      </w:r>
      <w:r>
        <w:rPr>
          <w:color w:val="231F20"/>
          <w:spacing w:val="-6"/>
          <w:w w:val="105"/>
        </w:rPr>
        <w:t> </w:t>
      </w:r>
      <w:r>
        <w:rPr>
          <w:color w:val="231F20"/>
          <w:w w:val="105"/>
        </w:rPr>
        <w:t>de</w:t>
      </w:r>
      <w:r>
        <w:rPr>
          <w:color w:val="231F20"/>
          <w:spacing w:val="-6"/>
          <w:w w:val="105"/>
        </w:rPr>
        <w:t> </w:t>
      </w:r>
      <w:r>
        <w:rPr>
          <w:color w:val="231F20"/>
          <w:w w:val="105"/>
        </w:rPr>
        <w:t>reconocerse,</w:t>
      </w:r>
      <w:r>
        <w:rPr>
          <w:color w:val="231F20"/>
          <w:spacing w:val="-11"/>
          <w:w w:val="105"/>
        </w:rPr>
        <w:t> </w:t>
      </w:r>
      <w:r>
        <w:rPr>
          <w:color w:val="231F20"/>
          <w:w w:val="105"/>
        </w:rPr>
        <w:t>de asumir su pertenencia, de reconstruir sus identificaciones toda vez que ha tenido contacto con otras personas de diversas orígenes culturales. Con</w:t>
      </w:r>
      <w:r>
        <w:rPr>
          <w:color w:val="231F20"/>
          <w:spacing w:val="-15"/>
          <w:w w:val="105"/>
        </w:rPr>
        <w:t> </w:t>
      </w:r>
      <w:r>
        <w:rPr>
          <w:color w:val="231F20"/>
          <w:w w:val="105"/>
        </w:rPr>
        <w:t>los</w:t>
      </w:r>
      <w:r>
        <w:rPr>
          <w:color w:val="231F20"/>
          <w:spacing w:val="-15"/>
          <w:w w:val="105"/>
        </w:rPr>
        <w:t> </w:t>
      </w:r>
      <w:r>
        <w:rPr>
          <w:color w:val="231F20"/>
          <w:w w:val="105"/>
        </w:rPr>
        <w:t>desplazamientos</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personas</w:t>
      </w:r>
      <w:r>
        <w:rPr>
          <w:color w:val="231F20"/>
          <w:spacing w:val="-15"/>
          <w:w w:val="105"/>
        </w:rPr>
        <w:t> </w:t>
      </w:r>
      <w:r>
        <w:rPr>
          <w:color w:val="231F20"/>
          <w:w w:val="105"/>
        </w:rPr>
        <w:t>también</w:t>
      </w:r>
      <w:r>
        <w:rPr>
          <w:color w:val="231F20"/>
          <w:spacing w:val="-15"/>
          <w:w w:val="105"/>
        </w:rPr>
        <w:t> </w:t>
      </w:r>
      <w:r>
        <w:rPr>
          <w:color w:val="231F20"/>
          <w:w w:val="105"/>
        </w:rPr>
        <w:t>se</w:t>
      </w:r>
      <w:r>
        <w:rPr>
          <w:color w:val="231F20"/>
          <w:spacing w:val="-15"/>
          <w:w w:val="105"/>
        </w:rPr>
        <w:t> </w:t>
      </w:r>
      <w:r>
        <w:rPr>
          <w:color w:val="231F20"/>
          <w:w w:val="105"/>
        </w:rPr>
        <w:t>mueven</w:t>
      </w:r>
      <w:r>
        <w:rPr>
          <w:color w:val="231F20"/>
          <w:spacing w:val="-15"/>
          <w:w w:val="105"/>
        </w:rPr>
        <w:t> </w:t>
      </w:r>
      <w:r>
        <w:rPr>
          <w:color w:val="231F20"/>
          <w:w w:val="105"/>
        </w:rPr>
        <w:t>las</w:t>
      </w:r>
      <w:r>
        <w:rPr>
          <w:color w:val="231F20"/>
          <w:spacing w:val="-15"/>
          <w:w w:val="105"/>
        </w:rPr>
        <w:t> </w:t>
      </w:r>
      <w:r>
        <w:rPr>
          <w:color w:val="231F20"/>
          <w:w w:val="105"/>
        </w:rPr>
        <w:t>prácti- cas,</w:t>
      </w:r>
      <w:r>
        <w:rPr>
          <w:color w:val="231F20"/>
          <w:spacing w:val="-14"/>
          <w:w w:val="105"/>
        </w:rPr>
        <w:t> </w:t>
      </w:r>
      <w:r>
        <w:rPr>
          <w:color w:val="231F20"/>
          <w:w w:val="105"/>
        </w:rPr>
        <w:t>cosmovisiones,</w:t>
      </w:r>
      <w:r>
        <w:rPr>
          <w:color w:val="231F20"/>
          <w:spacing w:val="-14"/>
          <w:w w:val="105"/>
        </w:rPr>
        <w:t> </w:t>
      </w:r>
      <w:r>
        <w:rPr>
          <w:color w:val="231F20"/>
          <w:w w:val="105"/>
        </w:rPr>
        <w:t>ritualidades,</w:t>
      </w:r>
      <w:r>
        <w:rPr>
          <w:color w:val="231F20"/>
          <w:spacing w:val="-14"/>
          <w:w w:val="105"/>
        </w:rPr>
        <w:t> </w:t>
      </w:r>
      <w:r>
        <w:rPr>
          <w:color w:val="231F20"/>
          <w:w w:val="105"/>
        </w:rPr>
        <w:t>comida,</w:t>
      </w:r>
      <w:r>
        <w:rPr>
          <w:color w:val="231F20"/>
          <w:spacing w:val="-14"/>
          <w:w w:val="105"/>
        </w:rPr>
        <w:t> </w:t>
      </w:r>
      <w:r>
        <w:rPr>
          <w:color w:val="231F20"/>
          <w:w w:val="105"/>
        </w:rPr>
        <w:t>música,</w:t>
      </w:r>
      <w:r>
        <w:rPr>
          <w:color w:val="231F20"/>
          <w:spacing w:val="-14"/>
          <w:w w:val="105"/>
        </w:rPr>
        <w:t> </w:t>
      </w:r>
      <w:r>
        <w:rPr>
          <w:color w:val="231F20"/>
          <w:w w:val="105"/>
        </w:rPr>
        <w:t>imaginarios</w:t>
      </w:r>
      <w:r>
        <w:rPr>
          <w:color w:val="231F20"/>
          <w:spacing w:val="-10"/>
          <w:w w:val="105"/>
        </w:rPr>
        <w:t> </w:t>
      </w:r>
      <w:r>
        <w:rPr>
          <w:color w:val="231F20"/>
          <w:w w:val="105"/>
        </w:rPr>
        <w:t>y</w:t>
      </w:r>
      <w:r>
        <w:rPr>
          <w:color w:val="231F20"/>
          <w:spacing w:val="-10"/>
          <w:w w:val="105"/>
        </w:rPr>
        <w:t> </w:t>
      </w:r>
      <w:r>
        <w:rPr>
          <w:color w:val="231F20"/>
          <w:w w:val="105"/>
        </w:rPr>
        <w:t>hábitos que</w:t>
      </w:r>
      <w:r>
        <w:rPr>
          <w:color w:val="231F20"/>
          <w:spacing w:val="-14"/>
          <w:w w:val="105"/>
        </w:rPr>
        <w:t> </w:t>
      </w:r>
      <w:r>
        <w:rPr>
          <w:color w:val="231F20"/>
          <w:w w:val="105"/>
        </w:rPr>
        <w:t>se</w:t>
      </w:r>
      <w:r>
        <w:rPr>
          <w:color w:val="231F20"/>
          <w:spacing w:val="-14"/>
          <w:w w:val="105"/>
        </w:rPr>
        <w:t> </w:t>
      </w:r>
      <w:r>
        <w:rPr>
          <w:color w:val="231F20"/>
          <w:w w:val="105"/>
        </w:rPr>
        <w:t>van</w:t>
      </w:r>
      <w:r>
        <w:rPr>
          <w:color w:val="231F20"/>
          <w:spacing w:val="-14"/>
          <w:w w:val="105"/>
        </w:rPr>
        <w:t> </w:t>
      </w:r>
      <w:r>
        <w:rPr>
          <w:color w:val="231F20"/>
          <w:w w:val="105"/>
        </w:rPr>
        <w:t>transformando</w:t>
      </w:r>
      <w:r>
        <w:rPr>
          <w:color w:val="231F20"/>
          <w:spacing w:val="-14"/>
          <w:w w:val="105"/>
        </w:rPr>
        <w:t> </w:t>
      </w:r>
      <w:r>
        <w:rPr>
          <w:color w:val="231F20"/>
          <w:w w:val="105"/>
        </w:rPr>
        <w:t>a</w:t>
      </w:r>
      <w:r>
        <w:rPr>
          <w:color w:val="231F20"/>
          <w:spacing w:val="-14"/>
          <w:w w:val="105"/>
        </w:rPr>
        <w:t> </w:t>
      </w:r>
      <w:r>
        <w:rPr>
          <w:color w:val="231F20"/>
          <w:w w:val="105"/>
        </w:rPr>
        <w:t>lo</w:t>
      </w:r>
      <w:r>
        <w:rPr>
          <w:color w:val="231F20"/>
          <w:spacing w:val="-14"/>
          <w:w w:val="105"/>
        </w:rPr>
        <w:t> </w:t>
      </w:r>
      <w:r>
        <w:rPr>
          <w:color w:val="231F20"/>
          <w:w w:val="105"/>
        </w:rPr>
        <w:t>largo</w:t>
      </w:r>
      <w:r>
        <w:rPr>
          <w:color w:val="231F20"/>
          <w:spacing w:val="-14"/>
          <w:w w:val="105"/>
        </w:rPr>
        <w:t> </w:t>
      </w:r>
      <w:r>
        <w:rPr>
          <w:color w:val="231F20"/>
          <w:w w:val="105"/>
        </w:rPr>
        <w:t>del</w:t>
      </w:r>
      <w:r>
        <w:rPr>
          <w:color w:val="231F20"/>
          <w:spacing w:val="-14"/>
          <w:w w:val="105"/>
        </w:rPr>
        <w:t> </w:t>
      </w:r>
      <w:r>
        <w:rPr>
          <w:color w:val="231F20"/>
          <w:w w:val="105"/>
        </w:rPr>
        <w:t>trayecto</w:t>
      </w:r>
      <w:r>
        <w:rPr>
          <w:color w:val="231F20"/>
          <w:spacing w:val="-14"/>
          <w:w w:val="105"/>
        </w:rPr>
        <w:t> </w:t>
      </w:r>
      <w:r>
        <w:rPr>
          <w:color w:val="231F20"/>
          <w:w w:val="105"/>
        </w:rPr>
        <w:t>migratorio</w:t>
      </w:r>
      <w:r>
        <w:rPr>
          <w:color w:val="231F20"/>
          <w:spacing w:val="-14"/>
          <w:w w:val="105"/>
        </w:rPr>
        <w:t> </w:t>
      </w:r>
      <w:r>
        <w:rPr>
          <w:color w:val="231F20"/>
          <w:w w:val="105"/>
        </w:rPr>
        <w:t>y</w:t>
      </w:r>
      <w:r>
        <w:rPr>
          <w:color w:val="231F20"/>
          <w:spacing w:val="-14"/>
          <w:w w:val="105"/>
        </w:rPr>
        <w:t> </w:t>
      </w:r>
      <w:r>
        <w:rPr>
          <w:color w:val="231F20"/>
          <w:w w:val="105"/>
        </w:rPr>
        <w:t>construyen modalidades</w:t>
      </w:r>
      <w:r>
        <w:rPr>
          <w:color w:val="231F20"/>
          <w:spacing w:val="-10"/>
          <w:w w:val="105"/>
        </w:rPr>
        <w:t> </w:t>
      </w:r>
      <w:r>
        <w:rPr>
          <w:color w:val="231F20"/>
          <w:w w:val="105"/>
        </w:rPr>
        <w:t>particulares</w:t>
      </w:r>
      <w:r>
        <w:rPr>
          <w:color w:val="231F20"/>
          <w:spacing w:val="-10"/>
          <w:w w:val="105"/>
        </w:rPr>
        <w:t> </w:t>
      </w:r>
      <w:r>
        <w:rPr>
          <w:color w:val="231F20"/>
          <w:w w:val="105"/>
        </w:rPr>
        <w:t>de</w:t>
      </w:r>
      <w:r>
        <w:rPr>
          <w:color w:val="231F20"/>
          <w:spacing w:val="-10"/>
          <w:w w:val="105"/>
        </w:rPr>
        <w:t> </w:t>
      </w:r>
      <w:r>
        <w:rPr>
          <w:color w:val="231F20"/>
          <w:w w:val="105"/>
        </w:rPr>
        <w:t>sociedad</w:t>
      </w:r>
      <w:r>
        <w:rPr>
          <w:color w:val="231F20"/>
          <w:spacing w:val="-10"/>
          <w:w w:val="105"/>
        </w:rPr>
        <w:t> </w:t>
      </w:r>
      <w:r>
        <w:rPr>
          <w:color w:val="231F20"/>
          <w:w w:val="105"/>
        </w:rPr>
        <w:t>y</w:t>
      </w:r>
      <w:r>
        <w:rPr>
          <w:color w:val="231F20"/>
          <w:spacing w:val="-10"/>
          <w:w w:val="105"/>
        </w:rPr>
        <w:t> </w:t>
      </w:r>
      <w:r>
        <w:rPr>
          <w:color w:val="231F20"/>
          <w:w w:val="105"/>
        </w:rPr>
        <w:t>de</w:t>
      </w:r>
      <w:r>
        <w:rPr>
          <w:color w:val="231F20"/>
          <w:spacing w:val="-10"/>
          <w:w w:val="105"/>
        </w:rPr>
        <w:t> </w:t>
      </w:r>
      <w:r>
        <w:rPr>
          <w:color w:val="231F20"/>
          <w:w w:val="105"/>
        </w:rPr>
        <w:t>alteridad.</w:t>
      </w:r>
    </w:p>
    <w:p>
      <w:pPr>
        <w:pStyle w:val="BodyText"/>
        <w:spacing w:line="261" w:lineRule="auto" w:before="1"/>
        <w:ind w:left="1723" w:right="1828" w:firstLine="567"/>
        <w:jc w:val="both"/>
      </w:pPr>
      <w:r>
        <w:rPr>
          <w:color w:val="231F20"/>
          <w:w w:val="105"/>
        </w:rPr>
        <w:t>En</w:t>
      </w:r>
      <w:r>
        <w:rPr>
          <w:color w:val="231F20"/>
          <w:spacing w:val="-15"/>
          <w:w w:val="105"/>
        </w:rPr>
        <w:t> </w:t>
      </w:r>
      <w:r>
        <w:rPr>
          <w:color w:val="231F20"/>
          <w:w w:val="105"/>
        </w:rPr>
        <w:t>el</w:t>
      </w:r>
      <w:r>
        <w:rPr>
          <w:color w:val="231F20"/>
          <w:spacing w:val="-15"/>
          <w:w w:val="105"/>
        </w:rPr>
        <w:t> </w:t>
      </w:r>
      <w:r>
        <w:rPr>
          <w:color w:val="231F20"/>
          <w:spacing w:val="-3"/>
          <w:w w:val="105"/>
        </w:rPr>
        <w:t>análisis</w:t>
      </w:r>
      <w:r>
        <w:rPr>
          <w:color w:val="231F20"/>
          <w:spacing w:val="-15"/>
          <w:w w:val="105"/>
        </w:rPr>
        <w:t> </w:t>
      </w:r>
      <w:r>
        <w:rPr>
          <w:color w:val="231F20"/>
          <w:spacing w:val="-3"/>
          <w:w w:val="105"/>
        </w:rPr>
        <w:t>enfatizamos</w:t>
      </w:r>
      <w:r>
        <w:rPr>
          <w:color w:val="231F20"/>
          <w:spacing w:val="-15"/>
          <w:w w:val="105"/>
        </w:rPr>
        <w:t> </w:t>
      </w:r>
      <w:r>
        <w:rPr>
          <w:color w:val="231F20"/>
          <w:w w:val="105"/>
        </w:rPr>
        <w:t>el</w:t>
      </w:r>
      <w:r>
        <w:rPr>
          <w:color w:val="231F20"/>
          <w:spacing w:val="-15"/>
          <w:w w:val="105"/>
        </w:rPr>
        <w:t> </w:t>
      </w:r>
      <w:r>
        <w:rPr>
          <w:color w:val="231F20"/>
          <w:spacing w:val="-3"/>
          <w:w w:val="105"/>
        </w:rPr>
        <w:t>papel</w:t>
      </w:r>
      <w:r>
        <w:rPr>
          <w:color w:val="231F20"/>
          <w:spacing w:val="-15"/>
          <w:w w:val="105"/>
        </w:rPr>
        <w:t> </w:t>
      </w:r>
      <w:r>
        <w:rPr>
          <w:color w:val="231F20"/>
          <w:w w:val="105"/>
        </w:rPr>
        <w:t>del</w:t>
      </w:r>
      <w:r>
        <w:rPr>
          <w:color w:val="231F20"/>
          <w:spacing w:val="-15"/>
          <w:w w:val="105"/>
        </w:rPr>
        <w:t> </w:t>
      </w:r>
      <w:r>
        <w:rPr>
          <w:color w:val="231F20"/>
          <w:spacing w:val="-3"/>
          <w:w w:val="105"/>
        </w:rPr>
        <w:t>contexto</w:t>
      </w:r>
      <w:r>
        <w:rPr>
          <w:color w:val="231F20"/>
          <w:spacing w:val="-15"/>
          <w:w w:val="105"/>
        </w:rPr>
        <w:t> </w:t>
      </w:r>
      <w:r>
        <w:rPr>
          <w:color w:val="231F20"/>
          <w:spacing w:val="-3"/>
          <w:w w:val="105"/>
        </w:rPr>
        <w:t>actual,</w:t>
      </w:r>
      <w:r>
        <w:rPr>
          <w:color w:val="231F20"/>
          <w:spacing w:val="-20"/>
          <w:w w:val="105"/>
        </w:rPr>
        <w:t> </w:t>
      </w:r>
      <w:r>
        <w:rPr>
          <w:color w:val="231F20"/>
          <w:w w:val="105"/>
        </w:rPr>
        <w:t>la</w:t>
      </w:r>
      <w:r>
        <w:rPr>
          <w:color w:val="231F20"/>
          <w:spacing w:val="-15"/>
          <w:w w:val="105"/>
        </w:rPr>
        <w:t> </w:t>
      </w:r>
      <w:r>
        <w:rPr>
          <w:color w:val="231F20"/>
          <w:spacing w:val="-3"/>
          <w:w w:val="105"/>
        </w:rPr>
        <w:t>incidencia </w:t>
      </w:r>
      <w:r>
        <w:rPr>
          <w:color w:val="231F20"/>
          <w:w w:val="105"/>
        </w:rPr>
        <w:t>de los </w:t>
      </w:r>
      <w:r>
        <w:rPr>
          <w:color w:val="231F20"/>
          <w:spacing w:val="-3"/>
          <w:w w:val="105"/>
        </w:rPr>
        <w:t>mercados </w:t>
      </w:r>
      <w:r>
        <w:rPr>
          <w:color w:val="231F20"/>
          <w:w w:val="105"/>
        </w:rPr>
        <w:t>de </w:t>
      </w:r>
      <w:r>
        <w:rPr>
          <w:color w:val="231F20"/>
          <w:spacing w:val="-4"/>
          <w:w w:val="105"/>
        </w:rPr>
        <w:t>trabajo, </w:t>
      </w:r>
      <w:r>
        <w:rPr>
          <w:color w:val="231F20"/>
          <w:w w:val="105"/>
        </w:rPr>
        <w:t>así </w:t>
      </w:r>
      <w:r>
        <w:rPr>
          <w:color w:val="231F20"/>
          <w:spacing w:val="-3"/>
          <w:w w:val="105"/>
        </w:rPr>
        <w:t>como </w:t>
      </w:r>
      <w:r>
        <w:rPr>
          <w:color w:val="231F20"/>
          <w:w w:val="105"/>
        </w:rPr>
        <w:t>el </w:t>
      </w:r>
      <w:r>
        <w:rPr>
          <w:color w:val="231F20"/>
          <w:spacing w:val="-3"/>
          <w:w w:val="105"/>
        </w:rPr>
        <w:t>modo </w:t>
      </w:r>
      <w:r>
        <w:rPr>
          <w:color w:val="231F20"/>
          <w:w w:val="105"/>
        </w:rPr>
        <w:t>en que los </w:t>
      </w:r>
      <w:r>
        <w:rPr>
          <w:color w:val="231F20"/>
          <w:spacing w:val="-3"/>
          <w:w w:val="105"/>
        </w:rPr>
        <w:t>sujetos viven  </w:t>
      </w:r>
      <w:r>
        <w:rPr>
          <w:color w:val="231F20"/>
          <w:w w:val="105"/>
        </w:rPr>
        <w:t>y </w:t>
      </w:r>
      <w:r>
        <w:rPr>
          <w:color w:val="231F20"/>
          <w:spacing w:val="-3"/>
          <w:w w:val="105"/>
        </w:rPr>
        <w:t>socializan </w:t>
      </w:r>
      <w:r>
        <w:rPr>
          <w:color w:val="231F20"/>
          <w:w w:val="105"/>
        </w:rPr>
        <w:t>la </w:t>
      </w:r>
      <w:r>
        <w:rPr>
          <w:color w:val="231F20"/>
          <w:spacing w:val="-3"/>
          <w:w w:val="105"/>
        </w:rPr>
        <w:t>experiencia </w:t>
      </w:r>
      <w:r>
        <w:rPr>
          <w:color w:val="231F20"/>
          <w:spacing w:val="-4"/>
          <w:w w:val="105"/>
        </w:rPr>
        <w:t>migratoria </w:t>
      </w:r>
      <w:r>
        <w:rPr>
          <w:color w:val="231F20"/>
          <w:spacing w:val="-3"/>
          <w:w w:val="105"/>
        </w:rPr>
        <w:t>para establecer </w:t>
      </w:r>
      <w:r>
        <w:rPr>
          <w:color w:val="231F20"/>
          <w:w w:val="105"/>
        </w:rPr>
        <w:t>las </w:t>
      </w:r>
      <w:r>
        <w:rPr>
          <w:color w:val="231F20"/>
          <w:spacing w:val="-3"/>
          <w:w w:val="105"/>
        </w:rPr>
        <w:t>bases </w:t>
      </w:r>
      <w:r>
        <w:rPr>
          <w:color w:val="231F20"/>
          <w:w w:val="105"/>
        </w:rPr>
        <w:t>del </w:t>
      </w:r>
      <w:r>
        <w:rPr>
          <w:color w:val="231F20"/>
          <w:spacing w:val="-3"/>
          <w:w w:val="105"/>
        </w:rPr>
        <w:t>análi- </w:t>
      </w:r>
      <w:r>
        <w:rPr>
          <w:color w:val="231F20"/>
          <w:w w:val="105"/>
        </w:rPr>
        <w:t>sis del </w:t>
      </w:r>
      <w:r>
        <w:rPr>
          <w:color w:val="231F20"/>
          <w:spacing w:val="-4"/>
          <w:w w:val="105"/>
        </w:rPr>
        <w:t>retorno. </w:t>
      </w:r>
      <w:r>
        <w:rPr>
          <w:color w:val="231F20"/>
          <w:w w:val="105"/>
        </w:rPr>
        <w:t>La </w:t>
      </w:r>
      <w:r>
        <w:rPr>
          <w:color w:val="231F20"/>
          <w:spacing w:val="-3"/>
          <w:w w:val="105"/>
        </w:rPr>
        <w:t>categoría étnica </w:t>
      </w:r>
      <w:r>
        <w:rPr>
          <w:color w:val="231F20"/>
          <w:w w:val="105"/>
        </w:rPr>
        <w:t>de las </w:t>
      </w:r>
      <w:r>
        <w:rPr>
          <w:color w:val="231F20"/>
          <w:spacing w:val="-3"/>
          <w:w w:val="105"/>
        </w:rPr>
        <w:t>movilidades </w:t>
      </w:r>
      <w:r>
        <w:rPr>
          <w:color w:val="231F20"/>
          <w:w w:val="105"/>
        </w:rPr>
        <w:t>del </w:t>
      </w:r>
      <w:r>
        <w:rPr>
          <w:color w:val="231F20"/>
          <w:spacing w:val="-3"/>
          <w:w w:val="105"/>
        </w:rPr>
        <w:t>noreste mexi- quense permite </w:t>
      </w:r>
      <w:r>
        <w:rPr>
          <w:color w:val="231F20"/>
          <w:spacing w:val="-4"/>
          <w:w w:val="105"/>
        </w:rPr>
        <w:t>problematizar </w:t>
      </w:r>
      <w:r>
        <w:rPr>
          <w:w w:val="105"/>
        </w:rPr>
        <w:t>la </w:t>
      </w:r>
      <w:r>
        <w:rPr>
          <w:spacing w:val="-3"/>
          <w:w w:val="105"/>
        </w:rPr>
        <w:t>organización social </w:t>
      </w:r>
      <w:r>
        <w:rPr>
          <w:w w:val="105"/>
        </w:rPr>
        <w:t>de las </w:t>
      </w:r>
      <w:r>
        <w:rPr>
          <w:spacing w:val="-3"/>
          <w:w w:val="105"/>
        </w:rPr>
        <w:t>comunidades indígenas que, </w:t>
      </w:r>
      <w:r>
        <w:rPr>
          <w:w w:val="105"/>
        </w:rPr>
        <w:t>en su </w:t>
      </w:r>
      <w:r>
        <w:rPr>
          <w:spacing w:val="-3"/>
          <w:w w:val="105"/>
        </w:rPr>
        <w:t>acepción tradicional </w:t>
      </w:r>
      <w:r>
        <w:rPr>
          <w:spacing w:val="-5"/>
          <w:w w:val="105"/>
        </w:rPr>
        <w:t>“es </w:t>
      </w:r>
      <w:r>
        <w:rPr>
          <w:w w:val="105"/>
        </w:rPr>
        <w:t>la </w:t>
      </w:r>
      <w:r>
        <w:rPr>
          <w:spacing w:val="-3"/>
          <w:w w:val="105"/>
        </w:rPr>
        <w:t>base </w:t>
      </w:r>
      <w:r>
        <w:rPr>
          <w:w w:val="105"/>
        </w:rPr>
        <w:t>del </w:t>
      </w:r>
      <w:r>
        <w:rPr>
          <w:spacing w:val="-3"/>
          <w:w w:val="105"/>
        </w:rPr>
        <w:t>mantenimiento, fortalecimiento </w:t>
      </w:r>
      <w:r>
        <w:rPr>
          <w:w w:val="105"/>
        </w:rPr>
        <w:t>y </w:t>
      </w:r>
      <w:r>
        <w:rPr>
          <w:spacing w:val="-3"/>
          <w:w w:val="105"/>
        </w:rPr>
        <w:t>transformación </w:t>
      </w:r>
      <w:r>
        <w:rPr>
          <w:w w:val="105"/>
        </w:rPr>
        <w:t>de la </w:t>
      </w:r>
      <w:r>
        <w:rPr>
          <w:spacing w:val="-4"/>
          <w:w w:val="105"/>
        </w:rPr>
        <w:t>cultura” </w:t>
      </w:r>
      <w:r>
        <w:rPr>
          <w:spacing w:val="-3"/>
          <w:w w:val="105"/>
        </w:rPr>
        <w:t>(Sandoval, 2014: 181). Sin </w:t>
      </w:r>
      <w:r>
        <w:rPr>
          <w:spacing w:val="-4"/>
          <w:w w:val="105"/>
        </w:rPr>
        <w:t>embargo,</w:t>
      </w:r>
      <w:r>
        <w:rPr>
          <w:spacing w:val="-19"/>
          <w:w w:val="105"/>
        </w:rPr>
        <w:t> </w:t>
      </w:r>
      <w:r>
        <w:rPr>
          <w:w w:val="105"/>
        </w:rPr>
        <w:t>a</w:t>
      </w:r>
      <w:r>
        <w:rPr>
          <w:spacing w:val="-14"/>
          <w:w w:val="105"/>
        </w:rPr>
        <w:t> </w:t>
      </w:r>
      <w:r>
        <w:rPr>
          <w:w w:val="105"/>
        </w:rPr>
        <w:t>la</w:t>
      </w:r>
      <w:r>
        <w:rPr>
          <w:spacing w:val="-14"/>
          <w:w w:val="105"/>
        </w:rPr>
        <w:t> </w:t>
      </w:r>
      <w:r>
        <w:rPr>
          <w:w w:val="105"/>
        </w:rPr>
        <w:t>luz</w:t>
      </w:r>
      <w:r>
        <w:rPr>
          <w:spacing w:val="-14"/>
          <w:w w:val="105"/>
        </w:rPr>
        <w:t> </w:t>
      </w:r>
      <w:r>
        <w:rPr>
          <w:w w:val="105"/>
        </w:rPr>
        <w:t>del</w:t>
      </w:r>
      <w:r>
        <w:rPr>
          <w:spacing w:val="-14"/>
          <w:w w:val="105"/>
        </w:rPr>
        <w:t> </w:t>
      </w:r>
      <w:r>
        <w:rPr>
          <w:spacing w:val="-3"/>
          <w:w w:val="105"/>
        </w:rPr>
        <w:t>conjunto</w:t>
      </w:r>
      <w:r>
        <w:rPr>
          <w:spacing w:val="-14"/>
          <w:w w:val="105"/>
        </w:rPr>
        <w:t> </w:t>
      </w:r>
      <w:r>
        <w:rPr>
          <w:w w:val="105"/>
        </w:rPr>
        <w:t>de</w:t>
      </w:r>
      <w:r>
        <w:rPr>
          <w:spacing w:val="-14"/>
          <w:w w:val="105"/>
        </w:rPr>
        <w:t> </w:t>
      </w:r>
      <w:r>
        <w:rPr>
          <w:spacing w:val="-3"/>
          <w:w w:val="105"/>
        </w:rPr>
        <w:t>transformaciones</w:t>
      </w:r>
      <w:r>
        <w:rPr>
          <w:spacing w:val="-14"/>
          <w:w w:val="105"/>
        </w:rPr>
        <w:t> </w:t>
      </w:r>
      <w:r>
        <w:rPr>
          <w:spacing w:val="-3"/>
          <w:w w:val="105"/>
        </w:rPr>
        <w:t>sociales,</w:t>
      </w:r>
      <w:r>
        <w:rPr>
          <w:spacing w:val="-19"/>
          <w:w w:val="105"/>
        </w:rPr>
        <w:t> </w:t>
      </w:r>
      <w:r>
        <w:rPr>
          <w:spacing w:val="-4"/>
          <w:w w:val="105"/>
        </w:rPr>
        <w:t>enmarcadas </w:t>
      </w:r>
      <w:r>
        <w:rPr>
          <w:w w:val="105"/>
        </w:rPr>
        <w:t>en el </w:t>
      </w:r>
      <w:r>
        <w:rPr>
          <w:spacing w:val="-3"/>
          <w:w w:val="105"/>
        </w:rPr>
        <w:t>modelo económico </w:t>
      </w:r>
      <w:r>
        <w:rPr>
          <w:w w:val="105"/>
        </w:rPr>
        <w:t>y la </w:t>
      </w:r>
      <w:r>
        <w:rPr>
          <w:spacing w:val="-3"/>
          <w:w w:val="105"/>
        </w:rPr>
        <w:t>dinámica global, </w:t>
      </w:r>
      <w:r>
        <w:rPr>
          <w:w w:val="105"/>
        </w:rPr>
        <w:t>es </w:t>
      </w:r>
      <w:r>
        <w:rPr>
          <w:spacing w:val="-3"/>
          <w:w w:val="105"/>
        </w:rPr>
        <w:t>necesario cuestionar si </w:t>
      </w:r>
      <w:r>
        <w:rPr>
          <w:w w:val="105"/>
        </w:rPr>
        <w:t>las</w:t>
      </w:r>
      <w:r>
        <w:rPr>
          <w:spacing w:val="-15"/>
          <w:w w:val="105"/>
        </w:rPr>
        <w:t> </w:t>
      </w:r>
      <w:r>
        <w:rPr>
          <w:spacing w:val="-3"/>
          <w:w w:val="105"/>
        </w:rPr>
        <w:t>formas</w:t>
      </w:r>
      <w:r>
        <w:rPr>
          <w:spacing w:val="-15"/>
          <w:w w:val="105"/>
        </w:rPr>
        <w:t> </w:t>
      </w:r>
      <w:r>
        <w:rPr>
          <w:w w:val="105"/>
        </w:rPr>
        <w:t>de</w:t>
      </w:r>
      <w:r>
        <w:rPr>
          <w:spacing w:val="-15"/>
          <w:w w:val="105"/>
        </w:rPr>
        <w:t> </w:t>
      </w:r>
      <w:r>
        <w:rPr>
          <w:spacing w:val="-3"/>
          <w:w w:val="105"/>
        </w:rPr>
        <w:t>organización</w:t>
      </w:r>
      <w:r>
        <w:rPr>
          <w:spacing w:val="-15"/>
          <w:w w:val="105"/>
        </w:rPr>
        <w:t> </w:t>
      </w:r>
      <w:r>
        <w:rPr>
          <w:w w:val="105"/>
        </w:rPr>
        <w:t>de</w:t>
      </w:r>
      <w:r>
        <w:rPr>
          <w:spacing w:val="-15"/>
          <w:w w:val="105"/>
        </w:rPr>
        <w:t> </w:t>
      </w:r>
      <w:r>
        <w:rPr>
          <w:w w:val="105"/>
        </w:rPr>
        <w:t>la</w:t>
      </w:r>
      <w:r>
        <w:rPr>
          <w:spacing w:val="-15"/>
          <w:w w:val="105"/>
        </w:rPr>
        <w:t> </w:t>
      </w:r>
      <w:r>
        <w:rPr>
          <w:spacing w:val="-3"/>
          <w:w w:val="105"/>
        </w:rPr>
        <w:t>población</w:t>
      </w:r>
      <w:r>
        <w:rPr>
          <w:spacing w:val="-15"/>
          <w:w w:val="105"/>
        </w:rPr>
        <w:t> </w:t>
      </w:r>
      <w:r>
        <w:rPr>
          <w:w w:val="105"/>
        </w:rPr>
        <w:t>de</w:t>
      </w:r>
      <w:r>
        <w:rPr>
          <w:spacing w:val="-15"/>
          <w:w w:val="105"/>
        </w:rPr>
        <w:t> </w:t>
      </w:r>
      <w:r>
        <w:rPr>
          <w:spacing w:val="-3"/>
          <w:w w:val="105"/>
        </w:rPr>
        <w:t>interés</w:t>
      </w:r>
      <w:r>
        <w:rPr>
          <w:spacing w:val="-15"/>
          <w:w w:val="105"/>
        </w:rPr>
        <w:t> </w:t>
      </w:r>
      <w:r>
        <w:rPr>
          <w:spacing w:val="-3"/>
          <w:w w:val="105"/>
        </w:rPr>
        <w:t>mantienen</w:t>
      </w:r>
      <w:r>
        <w:rPr>
          <w:spacing w:val="-15"/>
          <w:w w:val="105"/>
        </w:rPr>
        <w:t> </w:t>
      </w:r>
      <w:r>
        <w:rPr>
          <w:w w:val="105"/>
        </w:rPr>
        <w:t>los</w:t>
      </w:r>
      <w:r>
        <w:rPr>
          <w:spacing w:val="-15"/>
          <w:w w:val="105"/>
        </w:rPr>
        <w:t> </w:t>
      </w:r>
      <w:r>
        <w:rPr>
          <w:spacing w:val="-3"/>
          <w:w w:val="105"/>
        </w:rPr>
        <w:t>com- ponentes</w:t>
      </w:r>
      <w:r>
        <w:rPr>
          <w:spacing w:val="-16"/>
          <w:w w:val="105"/>
        </w:rPr>
        <w:t> </w:t>
      </w:r>
      <w:r>
        <w:rPr>
          <w:w w:val="105"/>
        </w:rPr>
        <w:t>que</w:t>
      </w:r>
      <w:r>
        <w:rPr>
          <w:spacing w:val="-16"/>
          <w:w w:val="105"/>
        </w:rPr>
        <w:t> </w:t>
      </w:r>
      <w:r>
        <w:rPr>
          <w:spacing w:val="-3"/>
          <w:w w:val="105"/>
        </w:rPr>
        <w:t>constituyen</w:t>
      </w:r>
      <w:r>
        <w:rPr>
          <w:spacing w:val="-16"/>
          <w:w w:val="105"/>
        </w:rPr>
        <w:t> </w:t>
      </w:r>
      <w:r>
        <w:rPr>
          <w:w w:val="105"/>
        </w:rPr>
        <w:t>“lo</w:t>
      </w:r>
      <w:r>
        <w:rPr>
          <w:spacing w:val="-16"/>
          <w:w w:val="105"/>
        </w:rPr>
        <w:t> </w:t>
      </w:r>
      <w:r>
        <w:rPr>
          <w:spacing w:val="-7"/>
          <w:w w:val="105"/>
        </w:rPr>
        <w:t>común”.</w:t>
      </w:r>
      <w:r>
        <w:rPr>
          <w:spacing w:val="-24"/>
          <w:w w:val="105"/>
        </w:rPr>
        <w:t> </w:t>
      </w:r>
      <w:r>
        <w:rPr>
          <w:spacing w:val="-5"/>
          <w:w w:val="105"/>
        </w:rPr>
        <w:t>Primero</w:t>
      </w:r>
      <w:r>
        <w:rPr>
          <w:spacing w:val="-16"/>
          <w:w w:val="105"/>
        </w:rPr>
        <w:t> </w:t>
      </w:r>
      <w:r>
        <w:rPr>
          <w:spacing w:val="-3"/>
          <w:w w:val="105"/>
        </w:rPr>
        <w:t>porque</w:t>
      </w:r>
      <w:r>
        <w:rPr>
          <w:spacing w:val="-16"/>
          <w:w w:val="105"/>
        </w:rPr>
        <w:t> </w:t>
      </w:r>
      <w:r>
        <w:rPr>
          <w:w w:val="105"/>
        </w:rPr>
        <w:t>la</w:t>
      </w:r>
      <w:r>
        <w:rPr>
          <w:spacing w:val="-16"/>
          <w:w w:val="105"/>
        </w:rPr>
        <w:t> </w:t>
      </w:r>
      <w:r>
        <w:rPr>
          <w:spacing w:val="-3"/>
          <w:w w:val="105"/>
        </w:rPr>
        <w:t>movilidad</w:t>
      </w:r>
      <w:r>
        <w:rPr>
          <w:spacing w:val="-16"/>
          <w:w w:val="105"/>
        </w:rPr>
        <w:t> </w:t>
      </w:r>
      <w:r>
        <w:rPr>
          <w:spacing w:val="-3"/>
          <w:w w:val="105"/>
        </w:rPr>
        <w:t>implica nuevas formas </w:t>
      </w:r>
      <w:r>
        <w:rPr>
          <w:w w:val="105"/>
        </w:rPr>
        <w:t>de </w:t>
      </w:r>
      <w:r>
        <w:rPr>
          <w:spacing w:val="-4"/>
          <w:w w:val="105"/>
        </w:rPr>
        <w:t>reproducción </w:t>
      </w:r>
      <w:r>
        <w:rPr>
          <w:spacing w:val="-3"/>
          <w:w w:val="105"/>
        </w:rPr>
        <w:t>sociocultural </w:t>
      </w:r>
      <w:r>
        <w:rPr>
          <w:w w:val="105"/>
        </w:rPr>
        <w:t>y </w:t>
      </w:r>
      <w:r>
        <w:rPr>
          <w:spacing w:val="-3"/>
          <w:w w:val="105"/>
        </w:rPr>
        <w:t>porque </w:t>
      </w:r>
      <w:r>
        <w:rPr>
          <w:w w:val="105"/>
        </w:rPr>
        <w:t>lo que de </w:t>
      </w:r>
      <w:r>
        <w:rPr>
          <w:spacing w:val="-3"/>
          <w:w w:val="105"/>
        </w:rPr>
        <w:t>ella </w:t>
      </w:r>
      <w:r>
        <w:rPr>
          <w:w w:val="105"/>
        </w:rPr>
        <w:t>de- </w:t>
      </w:r>
      <w:r>
        <w:rPr>
          <w:spacing w:val="-3"/>
          <w:w w:val="105"/>
        </w:rPr>
        <w:t>riva</w:t>
      </w:r>
      <w:r>
        <w:rPr>
          <w:spacing w:val="-18"/>
          <w:w w:val="105"/>
        </w:rPr>
        <w:t> </w:t>
      </w:r>
      <w:r>
        <w:rPr>
          <w:spacing w:val="-3"/>
          <w:w w:val="105"/>
        </w:rPr>
        <w:t>impacta</w:t>
      </w:r>
      <w:r>
        <w:rPr>
          <w:spacing w:val="-18"/>
          <w:w w:val="105"/>
        </w:rPr>
        <w:t> </w:t>
      </w:r>
      <w:r>
        <w:rPr>
          <w:w w:val="105"/>
        </w:rPr>
        <w:t>de</w:t>
      </w:r>
      <w:r>
        <w:rPr>
          <w:spacing w:val="-18"/>
          <w:w w:val="105"/>
        </w:rPr>
        <w:t> </w:t>
      </w:r>
      <w:r>
        <w:rPr>
          <w:spacing w:val="-3"/>
          <w:w w:val="105"/>
        </w:rPr>
        <w:t>manera</w:t>
      </w:r>
      <w:r>
        <w:rPr>
          <w:spacing w:val="-18"/>
          <w:w w:val="105"/>
        </w:rPr>
        <w:t> </w:t>
      </w:r>
      <w:r>
        <w:rPr>
          <w:spacing w:val="-3"/>
          <w:w w:val="105"/>
        </w:rPr>
        <w:t>distinta</w:t>
      </w:r>
      <w:r>
        <w:rPr>
          <w:spacing w:val="-18"/>
          <w:w w:val="105"/>
        </w:rPr>
        <w:t> </w:t>
      </w:r>
      <w:r>
        <w:rPr>
          <w:w w:val="105"/>
        </w:rPr>
        <w:t>en</w:t>
      </w:r>
      <w:r>
        <w:rPr>
          <w:spacing w:val="-18"/>
          <w:w w:val="105"/>
        </w:rPr>
        <w:t> </w:t>
      </w:r>
      <w:r>
        <w:rPr>
          <w:w w:val="105"/>
        </w:rPr>
        <w:t>los</w:t>
      </w:r>
      <w:r>
        <w:rPr>
          <w:spacing w:val="-18"/>
          <w:w w:val="105"/>
        </w:rPr>
        <w:t> </w:t>
      </w:r>
      <w:r>
        <w:rPr>
          <w:spacing w:val="-3"/>
          <w:w w:val="105"/>
        </w:rPr>
        <w:t>individuos</w:t>
      </w:r>
      <w:r>
        <w:rPr>
          <w:spacing w:val="-18"/>
          <w:w w:val="105"/>
        </w:rPr>
        <w:t> </w:t>
      </w:r>
      <w:r>
        <w:rPr>
          <w:w w:val="105"/>
        </w:rPr>
        <w:t>y</w:t>
      </w:r>
      <w:r>
        <w:rPr>
          <w:spacing w:val="-18"/>
          <w:w w:val="105"/>
        </w:rPr>
        <w:t> </w:t>
      </w:r>
      <w:r>
        <w:rPr>
          <w:w w:val="105"/>
        </w:rPr>
        <w:t>en</w:t>
      </w:r>
      <w:r>
        <w:rPr>
          <w:spacing w:val="-18"/>
          <w:w w:val="105"/>
        </w:rPr>
        <w:t> </w:t>
      </w:r>
      <w:r>
        <w:rPr>
          <w:w w:val="105"/>
        </w:rPr>
        <w:t>los</w:t>
      </w:r>
      <w:r>
        <w:rPr>
          <w:spacing w:val="-18"/>
          <w:w w:val="105"/>
        </w:rPr>
        <w:t> </w:t>
      </w:r>
      <w:r>
        <w:rPr>
          <w:spacing w:val="-3"/>
          <w:w w:val="105"/>
        </w:rPr>
        <w:t>grupos</w:t>
      </w:r>
      <w:r>
        <w:rPr>
          <w:spacing w:val="-18"/>
          <w:w w:val="105"/>
        </w:rPr>
        <w:t> </w:t>
      </w:r>
      <w:r>
        <w:rPr>
          <w:spacing w:val="-3"/>
          <w:w w:val="105"/>
        </w:rPr>
        <w:t>sociales. </w:t>
      </w:r>
      <w:r>
        <w:rPr>
          <w:color w:val="231F20"/>
          <w:w w:val="105"/>
        </w:rPr>
        <w:t>A pesar del panorama estatal de la migración internacional de retorno, que incorpora el potencial de movilidad laboral de los retornados y el uso de los recursos e inversiones que realizan de vuelta al terruño, </w:t>
      </w:r>
      <w:r>
        <w:rPr>
          <w:color w:val="231F20"/>
          <w:spacing w:val="38"/>
          <w:w w:val="105"/>
        </w:rPr>
        <w:t> </w:t>
      </w:r>
      <w:r>
        <w:rPr>
          <w:color w:val="231F20"/>
          <w:w w:val="105"/>
        </w:rPr>
        <w:t>es</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62472" from="131.551193pt,3.703715pt" to="131.551193pt,39.506114pt" stroked="true" strokeweight=".35pt" strokecolor="#231f20">
            <w10:wrap type="none"/>
          </v:line>
        </w:pict>
      </w:r>
      <w:r>
        <w:rPr/>
        <w:pict>
          <v:line style="position:absolute;mso-position-horizontal-relative:page;mso-position-vertical-relative:paragraph;z-index:-462400" from="15pt,39.505917pt" to="0pt,39.505917pt" stroked="true" strokeweight=".25pt" strokecolor="#000000">
            <w10:wrap type="none"/>
          </v:line>
        </w:pict>
      </w:r>
      <w:r>
        <w:rPr/>
        <w:pict>
          <v:line style="position:absolute;mso-position-horizontal-relative:page;mso-position-vertical-relative:paragraph;z-index:27808" from="508.890015pt,39.505917pt" to="523.890015pt,39.505917pt" stroked="true" strokeweight=".25pt" strokecolor="#000000">
            <w10:wrap type="none"/>
          </v:line>
        </w:pict>
      </w:r>
      <w:r>
        <w:rPr>
          <w:rFonts w:ascii="Arial" w:hAnsi="Arial"/>
          <w:color w:val="414042"/>
          <w:w w:val="105"/>
          <w:position w:val="-5"/>
          <w:sz w:val="20"/>
        </w:rPr>
        <w:t>224</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7832"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7856" from="15pt,-28.286539pt" to="0pt,-28.286539pt" stroked="true" strokeweight=".25pt" strokecolor="#000000">
            <w10:wrap type="none"/>
          </v:line>
        </w:pict>
      </w:r>
      <w:r>
        <w:rPr/>
        <w:pict>
          <v:line style="position:absolute;mso-position-horizontal-relative:page;mso-position-vertical-relative:paragraph;z-index:27880" from="508.890015pt,-28.286539pt" to="523.890015pt,-28.286539pt" stroked="true" strokeweight=".25pt" strokecolor="#000000">
            <w10:wrap type="none"/>
          </v:line>
        </w:pict>
      </w:r>
      <w:r>
        <w:rPr>
          <w:rFonts w:ascii="Arial"/>
          <w:color w:val="414042"/>
          <w:sz w:val="20"/>
        </w:rPr>
        <w:t>225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w w:val="105"/>
        </w:rPr>
        <w:t>imprescindible conocer de qué manera todos estos elementos se ven influidos por procesos subjetivos de orden sociocultural. En la región mazahua, donde coexisten la industria y la agricultura, la organización del trabajo y la movilidad social reconfiguran la etnicidad. Ante esta di- námica,</w:t>
      </w:r>
      <w:r>
        <w:rPr>
          <w:color w:val="231F20"/>
          <w:spacing w:val="-12"/>
          <w:w w:val="105"/>
        </w:rPr>
        <w:t> </w:t>
      </w:r>
      <w:r>
        <w:rPr>
          <w:color w:val="231F20"/>
          <w:w w:val="105"/>
        </w:rPr>
        <w:t>es</w:t>
      </w:r>
      <w:r>
        <w:rPr>
          <w:color w:val="231F20"/>
          <w:spacing w:val="-7"/>
          <w:w w:val="105"/>
        </w:rPr>
        <w:t> </w:t>
      </w:r>
      <w:r>
        <w:rPr>
          <w:color w:val="231F20"/>
          <w:w w:val="105"/>
        </w:rPr>
        <w:t>necesario</w:t>
      </w:r>
      <w:r>
        <w:rPr>
          <w:color w:val="231F20"/>
          <w:spacing w:val="-7"/>
          <w:w w:val="105"/>
        </w:rPr>
        <w:t> </w:t>
      </w:r>
      <w:r>
        <w:rPr>
          <w:color w:val="231F20"/>
          <w:w w:val="105"/>
        </w:rPr>
        <w:t>cuestionar</w:t>
      </w:r>
      <w:r>
        <w:rPr>
          <w:color w:val="231F20"/>
          <w:spacing w:val="-7"/>
          <w:w w:val="105"/>
        </w:rPr>
        <w:t> </w:t>
      </w:r>
      <w:r>
        <w:rPr>
          <w:color w:val="231F20"/>
          <w:w w:val="105"/>
        </w:rPr>
        <w:t>el</w:t>
      </w:r>
      <w:r>
        <w:rPr>
          <w:color w:val="231F20"/>
          <w:spacing w:val="-7"/>
          <w:w w:val="105"/>
        </w:rPr>
        <w:t> </w:t>
      </w:r>
      <w:r>
        <w:rPr>
          <w:color w:val="231F20"/>
          <w:w w:val="105"/>
        </w:rPr>
        <w:t>papel</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migración</w:t>
      </w:r>
      <w:r>
        <w:rPr>
          <w:color w:val="231F20"/>
          <w:spacing w:val="-7"/>
          <w:w w:val="105"/>
        </w:rPr>
        <w:t> </w:t>
      </w:r>
      <w:r>
        <w:rPr>
          <w:color w:val="231F20"/>
          <w:w w:val="105"/>
        </w:rPr>
        <w:t>internacional de retorno adquiere toda vez que se socializó como una estrategia de beneficio</w:t>
      </w:r>
      <w:r>
        <w:rPr>
          <w:color w:val="231F20"/>
          <w:spacing w:val="1"/>
          <w:w w:val="105"/>
        </w:rPr>
        <w:t> </w:t>
      </w:r>
      <w:r>
        <w:rPr>
          <w:color w:val="231F20"/>
          <w:w w:val="105"/>
        </w:rPr>
        <w:t>económico.</w:t>
      </w:r>
    </w:p>
    <w:p>
      <w:pPr>
        <w:pStyle w:val="BodyText"/>
        <w:spacing w:line="261" w:lineRule="auto" w:before="1"/>
        <w:ind w:left="1837" w:right="1716" w:firstLine="567"/>
        <w:jc w:val="both"/>
      </w:pPr>
      <w:r>
        <w:rPr>
          <w:color w:val="231F20"/>
          <w:w w:val="105"/>
        </w:rPr>
        <w:t>Dejando de lado la dicotomía de las tipologías del retorno entre “exitoso” y </w:t>
      </w:r>
      <w:r>
        <w:rPr>
          <w:color w:val="231F20"/>
          <w:spacing w:val="-3"/>
          <w:w w:val="105"/>
        </w:rPr>
        <w:t>“fracasado”, </w:t>
      </w:r>
      <w:r>
        <w:rPr>
          <w:color w:val="231F20"/>
          <w:w w:val="105"/>
        </w:rPr>
        <w:t>la investigación propuesta plantea un acerca- miento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experiencia</w:t>
      </w:r>
      <w:r>
        <w:rPr>
          <w:color w:val="231F20"/>
          <w:spacing w:val="-16"/>
          <w:w w:val="105"/>
        </w:rPr>
        <w:t> </w:t>
      </w:r>
      <w:r>
        <w:rPr>
          <w:color w:val="231F20"/>
          <w:w w:val="105"/>
        </w:rPr>
        <w:t>de</w:t>
      </w:r>
      <w:r>
        <w:rPr>
          <w:color w:val="231F20"/>
          <w:spacing w:val="-16"/>
          <w:w w:val="105"/>
        </w:rPr>
        <w:t> </w:t>
      </w:r>
      <w:r>
        <w:rPr>
          <w:color w:val="231F20"/>
          <w:w w:val="105"/>
        </w:rPr>
        <w:t>retorno</w:t>
      </w:r>
      <w:r>
        <w:rPr>
          <w:color w:val="231F20"/>
          <w:spacing w:val="-16"/>
          <w:w w:val="105"/>
        </w:rPr>
        <w:t> </w:t>
      </w:r>
      <w:r>
        <w:rPr>
          <w:color w:val="231F20"/>
          <w:w w:val="105"/>
        </w:rPr>
        <w:t>diversificando</w:t>
      </w:r>
      <w:r>
        <w:rPr>
          <w:color w:val="231F20"/>
          <w:spacing w:val="-16"/>
          <w:w w:val="105"/>
        </w:rPr>
        <w:t> </w:t>
      </w:r>
      <w:r>
        <w:rPr>
          <w:color w:val="231F20"/>
          <w:w w:val="105"/>
        </w:rPr>
        <w:t>sus</w:t>
      </w:r>
      <w:r>
        <w:rPr>
          <w:color w:val="231F20"/>
          <w:spacing w:val="-16"/>
          <w:w w:val="105"/>
        </w:rPr>
        <w:t> </w:t>
      </w:r>
      <w:r>
        <w:rPr>
          <w:color w:val="231F20"/>
          <w:w w:val="105"/>
        </w:rPr>
        <w:t>motivos</w:t>
      </w:r>
      <w:r>
        <w:rPr>
          <w:color w:val="231F20"/>
          <w:spacing w:val="-16"/>
          <w:w w:val="105"/>
        </w:rPr>
        <w:t> </w:t>
      </w:r>
      <w:r>
        <w:rPr>
          <w:color w:val="231F20"/>
          <w:w w:val="105"/>
        </w:rPr>
        <w:t>como</w:t>
      </w:r>
      <w:r>
        <w:rPr>
          <w:color w:val="231F20"/>
          <w:spacing w:val="-16"/>
          <w:w w:val="105"/>
        </w:rPr>
        <w:t> </w:t>
      </w:r>
      <w:r>
        <w:rPr>
          <w:color w:val="231F20"/>
          <w:w w:val="105"/>
        </w:rPr>
        <w:t>refe- rente</w:t>
      </w:r>
      <w:r>
        <w:rPr>
          <w:color w:val="231F20"/>
          <w:spacing w:val="-9"/>
          <w:w w:val="105"/>
        </w:rPr>
        <w:t> </w:t>
      </w:r>
      <w:r>
        <w:rPr>
          <w:color w:val="231F20"/>
          <w:w w:val="105"/>
        </w:rPr>
        <w:t>empírico,</w:t>
      </w:r>
      <w:r>
        <w:rPr>
          <w:color w:val="231F20"/>
          <w:spacing w:val="-15"/>
          <w:w w:val="105"/>
        </w:rPr>
        <w:t> </w:t>
      </w:r>
      <w:r>
        <w:rPr>
          <w:color w:val="231F20"/>
          <w:w w:val="105"/>
        </w:rPr>
        <w:t>es</w:t>
      </w:r>
      <w:r>
        <w:rPr>
          <w:color w:val="231F20"/>
          <w:spacing w:val="-9"/>
          <w:w w:val="105"/>
        </w:rPr>
        <w:t> </w:t>
      </w:r>
      <w:r>
        <w:rPr>
          <w:color w:val="231F20"/>
          <w:w w:val="105"/>
        </w:rPr>
        <w:t>decir,</w:t>
      </w:r>
      <w:r>
        <w:rPr>
          <w:color w:val="231F20"/>
          <w:spacing w:val="-15"/>
          <w:w w:val="105"/>
        </w:rPr>
        <w:t> </w:t>
      </w:r>
      <w:r>
        <w:rPr>
          <w:color w:val="231F20"/>
          <w:w w:val="105"/>
        </w:rPr>
        <w:t>coloca</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mismo</w:t>
      </w:r>
      <w:r>
        <w:rPr>
          <w:color w:val="231F20"/>
          <w:spacing w:val="-9"/>
          <w:w w:val="105"/>
        </w:rPr>
        <w:t> </w:t>
      </w:r>
      <w:r>
        <w:rPr>
          <w:color w:val="231F20"/>
          <w:w w:val="105"/>
        </w:rPr>
        <w:t>nivel</w:t>
      </w:r>
      <w:r>
        <w:rPr>
          <w:color w:val="231F20"/>
          <w:spacing w:val="-9"/>
          <w:w w:val="105"/>
        </w:rPr>
        <w:t> </w:t>
      </w:r>
      <w:r>
        <w:rPr>
          <w:color w:val="231F20"/>
          <w:w w:val="105"/>
        </w:rPr>
        <w:t>analítico</w:t>
      </w:r>
      <w:r>
        <w:rPr>
          <w:color w:val="231F20"/>
          <w:spacing w:val="-9"/>
          <w:w w:val="105"/>
        </w:rPr>
        <w:t> </w:t>
      </w:r>
      <w:r>
        <w:rPr>
          <w:color w:val="231F20"/>
          <w:w w:val="105"/>
        </w:rPr>
        <w:t>la</w:t>
      </w:r>
      <w:r>
        <w:rPr>
          <w:color w:val="231F20"/>
          <w:spacing w:val="-9"/>
          <w:w w:val="105"/>
        </w:rPr>
        <w:t> </w:t>
      </w:r>
      <w:r>
        <w:rPr>
          <w:color w:val="231F20"/>
          <w:w w:val="105"/>
        </w:rPr>
        <w:t>evaluación de</w:t>
      </w:r>
      <w:r>
        <w:rPr>
          <w:color w:val="231F20"/>
          <w:spacing w:val="-21"/>
          <w:w w:val="105"/>
        </w:rPr>
        <w:t> </w:t>
      </w:r>
      <w:r>
        <w:rPr>
          <w:color w:val="231F20"/>
          <w:w w:val="105"/>
        </w:rPr>
        <w:t>la</w:t>
      </w:r>
      <w:r>
        <w:rPr>
          <w:color w:val="231F20"/>
          <w:spacing w:val="-21"/>
          <w:w w:val="105"/>
        </w:rPr>
        <w:t> </w:t>
      </w:r>
      <w:r>
        <w:rPr>
          <w:color w:val="231F20"/>
          <w:w w:val="105"/>
        </w:rPr>
        <w:t>experiencia</w:t>
      </w:r>
      <w:r>
        <w:rPr>
          <w:color w:val="231F20"/>
          <w:spacing w:val="-21"/>
          <w:w w:val="105"/>
        </w:rPr>
        <w:t> </w:t>
      </w:r>
      <w:r>
        <w:rPr>
          <w:color w:val="231F20"/>
          <w:w w:val="105"/>
        </w:rPr>
        <w:t>migratoria</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w w:val="105"/>
        </w:rPr>
        <w:t>migrante</w:t>
      </w:r>
      <w:r>
        <w:rPr>
          <w:color w:val="231F20"/>
          <w:spacing w:val="-21"/>
          <w:w w:val="105"/>
        </w:rPr>
        <w:t> </w:t>
      </w:r>
      <w:r>
        <w:rPr>
          <w:color w:val="231F20"/>
          <w:w w:val="105"/>
        </w:rPr>
        <w:t>realiza</w:t>
      </w:r>
      <w:r>
        <w:rPr>
          <w:color w:val="231F20"/>
          <w:spacing w:val="-21"/>
          <w:w w:val="105"/>
        </w:rPr>
        <w:t> </w:t>
      </w:r>
      <w:r>
        <w:rPr>
          <w:color w:val="231F20"/>
          <w:w w:val="105"/>
        </w:rPr>
        <w:t>en</w:t>
      </w:r>
      <w:r>
        <w:rPr>
          <w:color w:val="231F20"/>
          <w:spacing w:val="-21"/>
          <w:w w:val="105"/>
        </w:rPr>
        <w:t> </w:t>
      </w:r>
      <w:r>
        <w:rPr>
          <w:color w:val="231F20"/>
          <w:w w:val="105"/>
        </w:rPr>
        <w:t>su</w:t>
      </w:r>
      <w:r>
        <w:rPr>
          <w:color w:val="231F20"/>
          <w:spacing w:val="-21"/>
          <w:w w:val="105"/>
        </w:rPr>
        <w:t> </w:t>
      </w:r>
      <w:r>
        <w:rPr>
          <w:color w:val="231F20"/>
          <w:w w:val="105"/>
        </w:rPr>
        <w:t>regreso</w:t>
      </w:r>
      <w:r>
        <w:rPr>
          <w:color w:val="231F20"/>
          <w:spacing w:val="-21"/>
          <w:w w:val="105"/>
        </w:rPr>
        <w:t> </w:t>
      </w:r>
      <w:r>
        <w:rPr>
          <w:color w:val="231F20"/>
          <w:w w:val="105"/>
        </w:rPr>
        <w:t>a</w:t>
      </w:r>
      <w:r>
        <w:rPr>
          <w:color w:val="231F20"/>
          <w:spacing w:val="-21"/>
          <w:w w:val="105"/>
        </w:rPr>
        <w:t> </w:t>
      </w:r>
      <w:r>
        <w:rPr>
          <w:color w:val="231F20"/>
          <w:w w:val="105"/>
        </w:rPr>
        <w:t>casa, así como el modo en que reelabora sus marcos de identificación y per- tenencia.</w:t>
      </w:r>
      <w:r>
        <w:rPr>
          <w:color w:val="231F20"/>
          <w:spacing w:val="-17"/>
          <w:w w:val="105"/>
        </w:rPr>
        <w:t> </w:t>
      </w:r>
      <w:r>
        <w:rPr>
          <w:color w:val="231F20"/>
          <w:w w:val="105"/>
        </w:rPr>
        <w:t>Si</w:t>
      </w:r>
      <w:r>
        <w:rPr>
          <w:color w:val="231F20"/>
          <w:spacing w:val="-12"/>
          <w:w w:val="105"/>
        </w:rPr>
        <w:t> </w:t>
      </w:r>
      <w:r>
        <w:rPr>
          <w:color w:val="231F20"/>
          <w:w w:val="105"/>
        </w:rPr>
        <w:t>bien,</w:t>
      </w:r>
      <w:r>
        <w:rPr>
          <w:color w:val="231F20"/>
          <w:spacing w:val="-17"/>
          <w:w w:val="105"/>
        </w:rPr>
        <w:t> </w:t>
      </w:r>
      <w:r>
        <w:rPr>
          <w:color w:val="231F20"/>
          <w:w w:val="105"/>
        </w:rPr>
        <w:t>no</w:t>
      </w:r>
      <w:r>
        <w:rPr>
          <w:color w:val="231F20"/>
          <w:spacing w:val="-12"/>
          <w:w w:val="105"/>
        </w:rPr>
        <w:t> </w:t>
      </w:r>
      <w:r>
        <w:rPr>
          <w:color w:val="231F20"/>
          <w:w w:val="105"/>
        </w:rPr>
        <w:t>existe</w:t>
      </w:r>
      <w:r>
        <w:rPr>
          <w:color w:val="231F20"/>
          <w:spacing w:val="-12"/>
          <w:w w:val="105"/>
        </w:rPr>
        <w:t> </w:t>
      </w:r>
      <w:r>
        <w:rPr>
          <w:color w:val="231F20"/>
          <w:w w:val="105"/>
        </w:rPr>
        <w:t>un</w:t>
      </w:r>
      <w:r>
        <w:rPr>
          <w:color w:val="231F20"/>
          <w:spacing w:val="-12"/>
          <w:w w:val="105"/>
        </w:rPr>
        <w:t> </w:t>
      </w:r>
      <w:r>
        <w:rPr>
          <w:color w:val="231F20"/>
          <w:w w:val="105"/>
        </w:rPr>
        <w:t>camino</w:t>
      </w:r>
      <w:r>
        <w:rPr>
          <w:color w:val="231F20"/>
          <w:spacing w:val="-12"/>
          <w:w w:val="105"/>
        </w:rPr>
        <w:t> </w:t>
      </w:r>
      <w:r>
        <w:rPr>
          <w:color w:val="231F20"/>
          <w:w w:val="105"/>
        </w:rPr>
        <w:t>único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proceso</w:t>
      </w:r>
      <w:r>
        <w:rPr>
          <w:color w:val="231F20"/>
          <w:spacing w:val="-12"/>
          <w:w w:val="105"/>
        </w:rPr>
        <w:t> </w:t>
      </w:r>
      <w:r>
        <w:rPr>
          <w:color w:val="231F20"/>
          <w:w w:val="105"/>
        </w:rPr>
        <w:t>de</w:t>
      </w:r>
      <w:r>
        <w:rPr>
          <w:color w:val="231F20"/>
          <w:spacing w:val="-12"/>
          <w:w w:val="105"/>
        </w:rPr>
        <w:t> </w:t>
      </w:r>
      <w:r>
        <w:rPr>
          <w:color w:val="231F20"/>
          <w:w w:val="105"/>
        </w:rPr>
        <w:t>reconstitu- 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identidad</w:t>
      </w:r>
      <w:r>
        <w:rPr>
          <w:color w:val="231F20"/>
          <w:spacing w:val="-13"/>
          <w:w w:val="105"/>
        </w:rPr>
        <w:t> </w:t>
      </w:r>
      <w:r>
        <w:rPr>
          <w:color w:val="231F20"/>
          <w:w w:val="105"/>
        </w:rPr>
        <w:t>étnica</w:t>
      </w:r>
      <w:r>
        <w:rPr>
          <w:color w:val="231F20"/>
          <w:spacing w:val="-13"/>
          <w:w w:val="105"/>
        </w:rPr>
        <w:t> </w:t>
      </w:r>
      <w:r>
        <w:rPr>
          <w:color w:val="231F20"/>
          <w:w w:val="105"/>
        </w:rPr>
        <w:t>entre</w:t>
      </w:r>
      <w:r>
        <w:rPr>
          <w:color w:val="231F20"/>
          <w:spacing w:val="-13"/>
          <w:w w:val="105"/>
        </w:rPr>
        <w:t> </w:t>
      </w:r>
      <w:r>
        <w:rPr>
          <w:color w:val="231F20"/>
          <w:w w:val="105"/>
        </w:rPr>
        <w:t>los</w:t>
      </w:r>
      <w:r>
        <w:rPr>
          <w:color w:val="231F20"/>
          <w:spacing w:val="-13"/>
          <w:w w:val="105"/>
        </w:rPr>
        <w:t> </w:t>
      </w:r>
      <w:r>
        <w:rPr>
          <w:color w:val="231F20"/>
          <w:w w:val="105"/>
        </w:rPr>
        <w:t>indígenas</w:t>
      </w:r>
      <w:r>
        <w:rPr>
          <w:color w:val="231F20"/>
          <w:spacing w:val="-13"/>
          <w:w w:val="105"/>
        </w:rPr>
        <w:t> </w:t>
      </w:r>
      <w:r>
        <w:rPr>
          <w:color w:val="231F20"/>
          <w:w w:val="105"/>
        </w:rPr>
        <w:t>migrantes,</w:t>
      </w:r>
      <w:r>
        <w:rPr>
          <w:color w:val="231F20"/>
          <w:spacing w:val="-19"/>
          <w:w w:val="105"/>
        </w:rPr>
        <w:t> </w:t>
      </w:r>
      <w:r>
        <w:rPr>
          <w:color w:val="231F20"/>
          <w:w w:val="105"/>
        </w:rPr>
        <w:t>aun</w:t>
      </w:r>
      <w:r>
        <w:rPr>
          <w:color w:val="231F20"/>
          <w:spacing w:val="-13"/>
          <w:w w:val="105"/>
        </w:rPr>
        <w:t> </w:t>
      </w:r>
      <w:r>
        <w:rPr>
          <w:color w:val="231F20"/>
          <w:w w:val="105"/>
        </w:rPr>
        <w:t>en</w:t>
      </w:r>
      <w:r>
        <w:rPr>
          <w:color w:val="231F20"/>
          <w:spacing w:val="-13"/>
          <w:w w:val="105"/>
        </w:rPr>
        <w:t> </w:t>
      </w:r>
      <w:r>
        <w:rPr>
          <w:color w:val="231F20"/>
          <w:w w:val="105"/>
        </w:rPr>
        <w:t>marcos de estructuración común (Velasco, 2010) es posible construir patrones que permitan replicar estudios que aborden los procesos de etnización con</w:t>
      </w:r>
      <w:r>
        <w:rPr>
          <w:color w:val="231F20"/>
          <w:spacing w:val="-27"/>
          <w:w w:val="105"/>
        </w:rPr>
        <w:t> </w:t>
      </w:r>
      <w:r>
        <w:rPr>
          <w:color w:val="231F20"/>
          <w:w w:val="105"/>
        </w:rPr>
        <w:t>sujetos,</w:t>
      </w:r>
      <w:r>
        <w:rPr>
          <w:color w:val="231F20"/>
          <w:spacing w:val="-31"/>
          <w:w w:val="105"/>
        </w:rPr>
        <w:t> </w:t>
      </w:r>
      <w:r>
        <w:rPr>
          <w:color w:val="231F20"/>
          <w:w w:val="105"/>
        </w:rPr>
        <w:t>mecanismos</w:t>
      </w:r>
      <w:r>
        <w:rPr>
          <w:color w:val="231F20"/>
          <w:spacing w:val="-27"/>
          <w:w w:val="105"/>
        </w:rPr>
        <w:t> </w:t>
      </w:r>
      <w:r>
        <w:rPr>
          <w:color w:val="231F20"/>
          <w:w w:val="105"/>
        </w:rPr>
        <w:t>y</w:t>
      </w:r>
      <w:r>
        <w:rPr>
          <w:color w:val="231F20"/>
          <w:spacing w:val="-27"/>
          <w:w w:val="105"/>
        </w:rPr>
        <w:t> </w:t>
      </w:r>
      <w:r>
        <w:rPr>
          <w:color w:val="231F20"/>
          <w:w w:val="105"/>
        </w:rPr>
        <w:t>estrategias</w:t>
      </w:r>
      <w:r>
        <w:rPr>
          <w:color w:val="231F20"/>
          <w:spacing w:val="-27"/>
          <w:w w:val="105"/>
        </w:rPr>
        <w:t> </w:t>
      </w:r>
      <w:r>
        <w:rPr>
          <w:color w:val="231F20"/>
          <w:w w:val="105"/>
        </w:rPr>
        <w:t>de</w:t>
      </w:r>
      <w:r>
        <w:rPr>
          <w:color w:val="231F20"/>
          <w:spacing w:val="-27"/>
          <w:w w:val="105"/>
        </w:rPr>
        <w:t> </w:t>
      </w:r>
      <w:r>
        <w:rPr>
          <w:color w:val="231F20"/>
          <w:w w:val="105"/>
        </w:rPr>
        <w:t>movilidad</w:t>
      </w:r>
      <w:r>
        <w:rPr>
          <w:color w:val="231F20"/>
          <w:spacing w:val="-27"/>
          <w:w w:val="105"/>
        </w:rPr>
        <w:t> </w:t>
      </w:r>
      <w:r>
        <w:rPr>
          <w:color w:val="231F20"/>
          <w:w w:val="105"/>
        </w:rPr>
        <w:t>específicos</w:t>
      </w:r>
      <w:r>
        <w:rPr>
          <w:color w:val="231F20"/>
          <w:spacing w:val="-27"/>
          <w:w w:val="105"/>
        </w:rPr>
        <w:t> </w:t>
      </w:r>
      <w:r>
        <w:rPr>
          <w:color w:val="231F20"/>
          <w:w w:val="105"/>
        </w:rPr>
        <w:t>y</w:t>
      </w:r>
      <w:r>
        <w:rPr>
          <w:color w:val="231F20"/>
          <w:spacing w:val="-27"/>
          <w:w w:val="105"/>
        </w:rPr>
        <w:t> </w:t>
      </w:r>
      <w:r>
        <w:rPr>
          <w:color w:val="231F20"/>
          <w:w w:val="105"/>
        </w:rPr>
        <w:t>de</w:t>
      </w:r>
      <w:r>
        <w:rPr>
          <w:color w:val="231F20"/>
          <w:spacing w:val="-27"/>
          <w:w w:val="105"/>
        </w:rPr>
        <w:t> </w:t>
      </w:r>
      <w:r>
        <w:rPr>
          <w:color w:val="231F20"/>
          <w:w w:val="105"/>
        </w:rPr>
        <w:t>este modo contribuir al entendimiento de los retornos</w:t>
      </w:r>
      <w:r>
        <w:rPr>
          <w:color w:val="231F20"/>
          <w:spacing w:val="2"/>
          <w:w w:val="105"/>
        </w:rPr>
        <w:t> </w:t>
      </w:r>
      <w:r>
        <w:rPr>
          <w:color w:val="231F20"/>
          <w:w w:val="105"/>
        </w:rPr>
        <w:t>contemporáneos.</w:t>
      </w:r>
    </w:p>
    <w:p>
      <w:pPr>
        <w:pStyle w:val="BodyText"/>
        <w:rPr>
          <w:sz w:val="20"/>
        </w:rPr>
      </w:pPr>
    </w:p>
    <w:p>
      <w:pPr>
        <w:pStyle w:val="BodyText"/>
        <w:spacing w:before="9"/>
        <w:rPr>
          <w:sz w:val="20"/>
        </w:rPr>
      </w:pPr>
    </w:p>
    <w:p>
      <w:pPr>
        <w:pStyle w:val="Heading3"/>
        <w:ind w:right="6753"/>
        <w:jc w:val="left"/>
      </w:pPr>
      <w:r>
        <w:rPr>
          <w:color w:val="231F20"/>
        </w:rPr>
        <w:t>Bibliografía</w:t>
      </w:r>
    </w:p>
    <w:p>
      <w:pPr>
        <w:pStyle w:val="BodyText"/>
        <w:rPr>
          <w:rFonts w:ascii="Arial"/>
          <w:b/>
          <w:sz w:val="22"/>
        </w:rPr>
      </w:pPr>
    </w:p>
    <w:p>
      <w:pPr>
        <w:spacing w:line="259" w:lineRule="auto" w:before="163"/>
        <w:ind w:left="2574" w:right="1722" w:hanging="738"/>
        <w:jc w:val="both"/>
        <w:rPr>
          <w:sz w:val="21"/>
        </w:rPr>
      </w:pPr>
      <w:r>
        <w:rPr>
          <w:color w:val="231F20"/>
          <w:w w:val="105"/>
          <w:sz w:val="21"/>
        </w:rPr>
        <w:t>Ariza,</w:t>
      </w:r>
      <w:r>
        <w:rPr>
          <w:color w:val="231F20"/>
          <w:spacing w:val="-36"/>
          <w:w w:val="105"/>
          <w:sz w:val="21"/>
        </w:rPr>
        <w:t> </w:t>
      </w:r>
      <w:r>
        <w:rPr>
          <w:color w:val="231F20"/>
          <w:w w:val="105"/>
          <w:sz w:val="21"/>
        </w:rPr>
        <w:t>Marina,</w:t>
      </w:r>
      <w:r>
        <w:rPr>
          <w:color w:val="231F20"/>
          <w:spacing w:val="-36"/>
          <w:w w:val="105"/>
          <w:sz w:val="21"/>
        </w:rPr>
        <w:t> </w:t>
      </w:r>
      <w:r>
        <w:rPr>
          <w:color w:val="231F20"/>
          <w:w w:val="105"/>
          <w:sz w:val="21"/>
        </w:rPr>
        <w:t>(2000),</w:t>
      </w:r>
      <w:r>
        <w:rPr>
          <w:color w:val="231F20"/>
          <w:spacing w:val="-36"/>
          <w:w w:val="105"/>
          <w:sz w:val="21"/>
        </w:rPr>
        <w:t> </w:t>
      </w:r>
      <w:r>
        <w:rPr>
          <w:color w:val="231F20"/>
          <w:w w:val="105"/>
          <w:sz w:val="21"/>
        </w:rPr>
        <w:t>“La</w:t>
      </w:r>
      <w:r>
        <w:rPr>
          <w:color w:val="231F20"/>
          <w:spacing w:val="-31"/>
          <w:w w:val="105"/>
          <w:sz w:val="21"/>
        </w:rPr>
        <w:t> </w:t>
      </w:r>
      <w:r>
        <w:rPr>
          <w:color w:val="231F20"/>
          <w:w w:val="105"/>
          <w:sz w:val="21"/>
        </w:rPr>
        <w:t>migración</w:t>
      </w:r>
      <w:r>
        <w:rPr>
          <w:color w:val="231F20"/>
          <w:spacing w:val="-31"/>
          <w:w w:val="105"/>
          <w:sz w:val="21"/>
        </w:rPr>
        <w:t> </w:t>
      </w:r>
      <w:r>
        <w:rPr>
          <w:color w:val="231F20"/>
          <w:w w:val="105"/>
          <w:sz w:val="21"/>
        </w:rPr>
        <w:t>femenina</w:t>
      </w:r>
      <w:r>
        <w:rPr>
          <w:color w:val="231F20"/>
          <w:spacing w:val="-31"/>
          <w:w w:val="105"/>
          <w:sz w:val="21"/>
        </w:rPr>
        <w:t> </w:t>
      </w:r>
      <w:r>
        <w:rPr>
          <w:color w:val="231F20"/>
          <w:w w:val="105"/>
          <w:sz w:val="21"/>
        </w:rPr>
        <w:t>como</w:t>
      </w:r>
      <w:r>
        <w:rPr>
          <w:color w:val="231F20"/>
          <w:spacing w:val="-31"/>
          <w:w w:val="105"/>
          <w:sz w:val="21"/>
        </w:rPr>
        <w:t> </w:t>
      </w:r>
      <w:r>
        <w:rPr>
          <w:color w:val="231F20"/>
          <w:w w:val="105"/>
          <w:sz w:val="21"/>
        </w:rPr>
        <w:t>objeto</w:t>
      </w:r>
      <w:r>
        <w:rPr>
          <w:color w:val="231F20"/>
          <w:spacing w:val="-31"/>
          <w:w w:val="105"/>
          <w:sz w:val="21"/>
        </w:rPr>
        <w:t> </w:t>
      </w:r>
      <w:r>
        <w:rPr>
          <w:color w:val="231F20"/>
          <w:w w:val="105"/>
          <w:sz w:val="21"/>
        </w:rPr>
        <w:t>de</w:t>
      </w:r>
      <w:r>
        <w:rPr>
          <w:color w:val="231F20"/>
          <w:spacing w:val="-31"/>
          <w:w w:val="105"/>
          <w:sz w:val="21"/>
        </w:rPr>
        <w:t> </w:t>
      </w:r>
      <w:r>
        <w:rPr>
          <w:color w:val="231F20"/>
          <w:spacing w:val="-5"/>
          <w:w w:val="105"/>
          <w:sz w:val="21"/>
        </w:rPr>
        <w:t>estudio”,</w:t>
      </w:r>
      <w:r>
        <w:rPr>
          <w:color w:val="231F20"/>
          <w:spacing w:val="-36"/>
          <w:w w:val="105"/>
          <w:sz w:val="21"/>
        </w:rPr>
        <w:t> </w:t>
      </w:r>
      <w:r>
        <w:rPr>
          <w:color w:val="231F20"/>
          <w:w w:val="105"/>
          <w:sz w:val="21"/>
        </w:rPr>
        <w:t>en Marina</w:t>
      </w:r>
      <w:r>
        <w:rPr>
          <w:color w:val="231F20"/>
          <w:spacing w:val="-31"/>
          <w:w w:val="105"/>
          <w:sz w:val="21"/>
        </w:rPr>
        <w:t> </w:t>
      </w:r>
      <w:r>
        <w:rPr>
          <w:color w:val="231F20"/>
          <w:w w:val="105"/>
          <w:sz w:val="21"/>
        </w:rPr>
        <w:t>Ariza</w:t>
      </w:r>
      <w:r>
        <w:rPr>
          <w:color w:val="231F20"/>
          <w:spacing w:val="-29"/>
          <w:w w:val="105"/>
          <w:sz w:val="21"/>
        </w:rPr>
        <w:t> </w:t>
      </w:r>
      <w:r>
        <w:rPr>
          <w:color w:val="231F20"/>
          <w:spacing w:val="-3"/>
          <w:w w:val="105"/>
          <w:sz w:val="21"/>
        </w:rPr>
        <w:t>(coord.),</w:t>
      </w:r>
      <w:r>
        <w:rPr>
          <w:color w:val="231F20"/>
          <w:spacing w:val="-33"/>
          <w:w w:val="105"/>
          <w:sz w:val="21"/>
        </w:rPr>
        <w:t> </w:t>
      </w:r>
      <w:r>
        <w:rPr>
          <w:rFonts w:ascii="Arial" w:hAnsi="Arial"/>
          <w:i/>
          <w:color w:val="231F20"/>
          <w:spacing w:val="-9"/>
          <w:w w:val="105"/>
          <w:sz w:val="21"/>
        </w:rPr>
        <w:t>Ya</w:t>
      </w:r>
      <w:r>
        <w:rPr>
          <w:rFonts w:ascii="Arial" w:hAnsi="Arial"/>
          <w:i/>
          <w:color w:val="231F20"/>
          <w:spacing w:val="-32"/>
          <w:w w:val="105"/>
          <w:sz w:val="21"/>
        </w:rPr>
        <w:t> </w:t>
      </w:r>
      <w:r>
        <w:rPr>
          <w:rFonts w:ascii="Arial" w:hAnsi="Arial"/>
          <w:i/>
          <w:color w:val="231F20"/>
          <w:w w:val="105"/>
          <w:sz w:val="21"/>
        </w:rPr>
        <w:t>no</w:t>
      </w:r>
      <w:r>
        <w:rPr>
          <w:rFonts w:ascii="Arial" w:hAnsi="Arial"/>
          <w:i/>
          <w:color w:val="231F20"/>
          <w:spacing w:val="-32"/>
          <w:w w:val="105"/>
          <w:sz w:val="21"/>
        </w:rPr>
        <w:t> </w:t>
      </w:r>
      <w:r>
        <w:rPr>
          <w:rFonts w:ascii="Arial" w:hAnsi="Arial"/>
          <w:i/>
          <w:color w:val="231F20"/>
          <w:w w:val="105"/>
          <w:sz w:val="21"/>
        </w:rPr>
        <w:t>soy</w:t>
      </w:r>
      <w:r>
        <w:rPr>
          <w:rFonts w:ascii="Arial" w:hAnsi="Arial"/>
          <w:i/>
          <w:color w:val="231F20"/>
          <w:spacing w:val="-32"/>
          <w:w w:val="105"/>
          <w:sz w:val="21"/>
        </w:rPr>
        <w:t> </w:t>
      </w:r>
      <w:r>
        <w:rPr>
          <w:rFonts w:ascii="Arial" w:hAnsi="Arial"/>
          <w:i/>
          <w:color w:val="231F20"/>
          <w:w w:val="105"/>
          <w:sz w:val="21"/>
        </w:rPr>
        <w:t>la</w:t>
      </w:r>
      <w:r>
        <w:rPr>
          <w:rFonts w:ascii="Arial" w:hAnsi="Arial"/>
          <w:i/>
          <w:color w:val="231F20"/>
          <w:spacing w:val="-32"/>
          <w:w w:val="105"/>
          <w:sz w:val="21"/>
        </w:rPr>
        <w:t> </w:t>
      </w:r>
      <w:r>
        <w:rPr>
          <w:rFonts w:ascii="Arial" w:hAnsi="Arial"/>
          <w:i/>
          <w:color w:val="231F20"/>
          <w:w w:val="105"/>
          <w:sz w:val="21"/>
        </w:rPr>
        <w:t>que</w:t>
      </w:r>
      <w:r>
        <w:rPr>
          <w:rFonts w:ascii="Arial" w:hAnsi="Arial"/>
          <w:i/>
          <w:color w:val="231F20"/>
          <w:spacing w:val="-32"/>
          <w:w w:val="105"/>
          <w:sz w:val="21"/>
        </w:rPr>
        <w:t> </w:t>
      </w:r>
      <w:r>
        <w:rPr>
          <w:rFonts w:ascii="Arial" w:hAnsi="Arial"/>
          <w:i/>
          <w:color w:val="231F20"/>
          <w:w w:val="105"/>
          <w:sz w:val="21"/>
        </w:rPr>
        <w:t>dejé</w:t>
      </w:r>
      <w:r>
        <w:rPr>
          <w:rFonts w:ascii="Arial" w:hAnsi="Arial"/>
          <w:i/>
          <w:color w:val="231F20"/>
          <w:spacing w:val="-32"/>
          <w:w w:val="105"/>
          <w:sz w:val="21"/>
        </w:rPr>
        <w:t> </w:t>
      </w:r>
      <w:r>
        <w:rPr>
          <w:rFonts w:ascii="Arial" w:hAnsi="Arial"/>
          <w:i/>
          <w:color w:val="231F20"/>
          <w:spacing w:val="-3"/>
          <w:w w:val="105"/>
          <w:sz w:val="21"/>
        </w:rPr>
        <w:t>atrás.</w:t>
      </w:r>
      <w:r>
        <w:rPr>
          <w:rFonts w:ascii="Arial" w:hAnsi="Arial"/>
          <w:i/>
          <w:color w:val="231F20"/>
          <w:spacing w:val="-36"/>
          <w:w w:val="105"/>
          <w:sz w:val="21"/>
        </w:rPr>
        <w:t> </w:t>
      </w:r>
      <w:r>
        <w:rPr>
          <w:rFonts w:ascii="Arial" w:hAnsi="Arial"/>
          <w:i/>
          <w:color w:val="231F20"/>
          <w:w w:val="105"/>
          <w:sz w:val="21"/>
        </w:rPr>
        <w:t>Mujeres</w:t>
      </w:r>
      <w:r>
        <w:rPr>
          <w:rFonts w:ascii="Arial" w:hAnsi="Arial"/>
          <w:i/>
          <w:color w:val="231F20"/>
          <w:spacing w:val="-32"/>
          <w:w w:val="105"/>
          <w:sz w:val="21"/>
        </w:rPr>
        <w:t> </w:t>
      </w:r>
      <w:r>
        <w:rPr>
          <w:rFonts w:ascii="Arial" w:hAnsi="Arial"/>
          <w:i/>
          <w:color w:val="231F20"/>
          <w:w w:val="105"/>
          <w:sz w:val="21"/>
        </w:rPr>
        <w:t>migran- </w:t>
      </w:r>
      <w:r>
        <w:rPr>
          <w:rFonts w:ascii="Arial" w:hAnsi="Arial"/>
          <w:i/>
          <w:color w:val="231F20"/>
          <w:sz w:val="21"/>
        </w:rPr>
        <w:t>tes</w:t>
      </w:r>
      <w:r>
        <w:rPr>
          <w:rFonts w:ascii="Arial" w:hAnsi="Arial"/>
          <w:i/>
          <w:color w:val="231F20"/>
          <w:spacing w:val="-8"/>
          <w:sz w:val="21"/>
        </w:rPr>
        <w:t> </w:t>
      </w:r>
      <w:r>
        <w:rPr>
          <w:rFonts w:ascii="Arial" w:hAnsi="Arial"/>
          <w:i/>
          <w:color w:val="231F20"/>
          <w:sz w:val="21"/>
        </w:rPr>
        <w:t>en</w:t>
      </w:r>
      <w:r>
        <w:rPr>
          <w:rFonts w:ascii="Arial" w:hAnsi="Arial"/>
          <w:i/>
          <w:color w:val="231F20"/>
          <w:spacing w:val="-8"/>
          <w:sz w:val="21"/>
        </w:rPr>
        <w:t> </w:t>
      </w:r>
      <w:r>
        <w:rPr>
          <w:rFonts w:ascii="Arial" w:hAnsi="Arial"/>
          <w:i/>
          <w:color w:val="231F20"/>
          <w:sz w:val="21"/>
        </w:rPr>
        <w:t>la</w:t>
      </w:r>
      <w:r>
        <w:rPr>
          <w:rFonts w:ascii="Arial" w:hAnsi="Arial"/>
          <w:i/>
          <w:color w:val="231F20"/>
          <w:spacing w:val="-8"/>
          <w:sz w:val="21"/>
        </w:rPr>
        <w:t> </w:t>
      </w:r>
      <w:r>
        <w:rPr>
          <w:rFonts w:ascii="Arial" w:hAnsi="Arial"/>
          <w:i/>
          <w:color w:val="231F20"/>
          <w:spacing w:val="-2"/>
          <w:sz w:val="21"/>
        </w:rPr>
        <w:t>República</w:t>
      </w:r>
      <w:r>
        <w:rPr>
          <w:rFonts w:ascii="Arial" w:hAnsi="Arial"/>
          <w:i/>
          <w:color w:val="231F20"/>
          <w:spacing w:val="-8"/>
          <w:sz w:val="21"/>
        </w:rPr>
        <w:t> </w:t>
      </w:r>
      <w:r>
        <w:rPr>
          <w:rFonts w:ascii="Arial" w:hAnsi="Arial"/>
          <w:i/>
          <w:color w:val="231F20"/>
          <w:sz w:val="21"/>
        </w:rPr>
        <w:t>Dominicana</w:t>
      </w:r>
      <w:r>
        <w:rPr>
          <w:color w:val="231F20"/>
          <w:sz w:val="21"/>
        </w:rPr>
        <w:t>,</w:t>
      </w:r>
      <w:r>
        <w:rPr>
          <w:color w:val="231F20"/>
          <w:spacing w:val="-12"/>
          <w:sz w:val="21"/>
        </w:rPr>
        <w:t> </w:t>
      </w:r>
      <w:r>
        <w:rPr>
          <w:color w:val="231F20"/>
          <w:sz w:val="21"/>
        </w:rPr>
        <w:t>México:</w:t>
      </w:r>
      <w:r>
        <w:rPr>
          <w:color w:val="231F20"/>
          <w:spacing w:val="-6"/>
          <w:sz w:val="21"/>
        </w:rPr>
        <w:t> </w:t>
      </w:r>
      <w:r>
        <w:rPr>
          <w:color w:val="231F20"/>
          <w:sz w:val="17"/>
        </w:rPr>
        <w:t>IIS</w:t>
      </w:r>
      <w:r>
        <w:rPr>
          <w:color w:val="231F20"/>
          <w:sz w:val="21"/>
        </w:rPr>
        <w:t>-</w:t>
      </w:r>
      <w:r>
        <w:rPr>
          <w:color w:val="231F20"/>
          <w:sz w:val="17"/>
        </w:rPr>
        <w:t>UNAM</w:t>
      </w:r>
      <w:r>
        <w:rPr>
          <w:color w:val="231F20"/>
          <w:sz w:val="21"/>
        </w:rPr>
        <w:t>/Plaza</w:t>
      </w:r>
      <w:r>
        <w:rPr>
          <w:color w:val="231F20"/>
          <w:spacing w:val="-6"/>
          <w:sz w:val="21"/>
        </w:rPr>
        <w:t> </w:t>
      </w:r>
      <w:r>
        <w:rPr>
          <w:color w:val="231F20"/>
          <w:sz w:val="21"/>
        </w:rPr>
        <w:t>y</w:t>
      </w:r>
      <w:r>
        <w:rPr>
          <w:color w:val="231F20"/>
          <w:spacing w:val="-10"/>
          <w:sz w:val="21"/>
        </w:rPr>
        <w:t> </w:t>
      </w:r>
      <w:r>
        <w:rPr>
          <w:color w:val="231F20"/>
          <w:spacing w:val="-4"/>
          <w:sz w:val="21"/>
        </w:rPr>
        <w:t>Valdés.</w:t>
      </w:r>
    </w:p>
    <w:p>
      <w:pPr>
        <w:spacing w:line="259" w:lineRule="auto" w:before="0"/>
        <w:ind w:left="2574" w:right="1721" w:hanging="738"/>
        <w:jc w:val="both"/>
        <w:rPr>
          <w:sz w:val="21"/>
        </w:rPr>
      </w:pPr>
      <w:r>
        <w:rPr>
          <w:color w:val="231F20"/>
          <w:sz w:val="21"/>
        </w:rPr>
        <w:t>Aznar Molina, Yésica, (2011), </w:t>
      </w:r>
      <w:r>
        <w:rPr>
          <w:rFonts w:ascii="Arial" w:hAnsi="Arial"/>
          <w:i/>
          <w:color w:val="231F20"/>
          <w:sz w:val="21"/>
        </w:rPr>
        <w:t>“Otro norte, otro terruño”, Reconstruyendo </w:t>
      </w:r>
      <w:r>
        <w:rPr>
          <w:rFonts w:ascii="Arial" w:hAnsi="Arial"/>
          <w:i/>
          <w:color w:val="231F20"/>
          <w:sz w:val="21"/>
        </w:rPr>
        <w:t>los sentidos y las identidades de los retornados en localidades urbanas </w:t>
      </w:r>
      <w:r>
        <w:rPr>
          <w:color w:val="231F20"/>
          <w:sz w:val="21"/>
        </w:rPr>
        <w:t>(Tesis de doctorado), </w:t>
      </w:r>
      <w:r>
        <w:rPr>
          <w:color w:val="231F20"/>
          <w:sz w:val="17"/>
        </w:rPr>
        <w:t>COLMEX</w:t>
      </w:r>
      <w:r>
        <w:rPr>
          <w:color w:val="231F20"/>
          <w:sz w:val="21"/>
        </w:rPr>
        <w:t>, México.</w:t>
      </w:r>
    </w:p>
    <w:p>
      <w:pPr>
        <w:spacing w:line="259" w:lineRule="auto" w:before="0"/>
        <w:ind w:left="2574" w:right="1715" w:hanging="737"/>
        <w:jc w:val="both"/>
        <w:rPr>
          <w:sz w:val="21"/>
        </w:rPr>
      </w:pPr>
      <w:r>
        <w:rPr>
          <w:color w:val="231F20"/>
          <w:sz w:val="21"/>
        </w:rPr>
        <w:t>Besserer, Federico y Kearney, Michael (eds.), (2006), </w:t>
      </w:r>
      <w:r>
        <w:rPr>
          <w:rFonts w:ascii="Arial" w:hAnsi="Arial"/>
          <w:i/>
          <w:color w:val="231F20"/>
          <w:sz w:val="21"/>
        </w:rPr>
        <w:t>San Juan Mixtepec. </w:t>
      </w:r>
      <w:r>
        <w:rPr>
          <w:rFonts w:ascii="Arial" w:hAnsi="Arial"/>
          <w:i/>
          <w:color w:val="231F20"/>
          <w:sz w:val="21"/>
        </w:rPr>
        <w:t>Una comunidad transnacional ante el poder clasificador y filtrador de las fronteras</w:t>
      </w:r>
      <w:r>
        <w:rPr>
          <w:color w:val="231F20"/>
          <w:sz w:val="21"/>
        </w:rPr>
        <w:t>, México: </w:t>
      </w:r>
      <w:r>
        <w:rPr>
          <w:color w:val="231F20"/>
          <w:sz w:val="17"/>
        </w:rPr>
        <w:t>UAM</w:t>
      </w:r>
      <w:r>
        <w:rPr>
          <w:color w:val="231F20"/>
          <w:sz w:val="21"/>
        </w:rPr>
        <w:t>/Juan Pablos Editores (Colección Es- tudios Transnacionales).</w:t>
      </w:r>
    </w:p>
    <w:p>
      <w:pPr>
        <w:spacing w:line="261" w:lineRule="auto" w:before="0"/>
        <w:ind w:left="2574" w:right="1716" w:hanging="738"/>
        <w:jc w:val="both"/>
        <w:rPr>
          <w:sz w:val="21"/>
        </w:rPr>
      </w:pPr>
      <w:r>
        <w:rPr>
          <w:color w:val="231F20"/>
          <w:w w:val="105"/>
          <w:sz w:val="21"/>
        </w:rPr>
        <w:t>Bauman, Zygmunt, (2010), </w:t>
      </w:r>
      <w:r>
        <w:rPr>
          <w:rFonts w:ascii="Arial" w:hAnsi="Arial"/>
          <w:i/>
          <w:color w:val="231F20"/>
          <w:w w:val="105"/>
          <w:sz w:val="21"/>
        </w:rPr>
        <w:t>La globalización. Consecuencias humanas</w:t>
      </w:r>
      <w:r>
        <w:rPr>
          <w:color w:val="231F20"/>
          <w:w w:val="105"/>
          <w:sz w:val="21"/>
        </w:rPr>
        <w:t>, México: Fondo de Cultura Económica.</w:t>
      </w:r>
    </w:p>
    <w:p>
      <w:pPr>
        <w:pStyle w:val="BodyText"/>
        <w:spacing w:line="259" w:lineRule="auto" w:before="1"/>
        <w:ind w:left="2574" w:right="1722" w:hanging="738"/>
        <w:jc w:val="both"/>
      </w:pPr>
      <w:r>
        <w:rPr>
          <w:color w:val="231F20"/>
          <w:w w:val="105"/>
        </w:rPr>
        <w:t>Canales,</w:t>
      </w:r>
      <w:r>
        <w:rPr>
          <w:color w:val="231F20"/>
          <w:spacing w:val="-28"/>
          <w:w w:val="105"/>
        </w:rPr>
        <w:t> </w:t>
      </w:r>
      <w:r>
        <w:rPr>
          <w:color w:val="231F20"/>
          <w:w w:val="105"/>
        </w:rPr>
        <w:t>Alejandro,</w:t>
      </w:r>
      <w:r>
        <w:rPr>
          <w:color w:val="231F20"/>
          <w:spacing w:val="-25"/>
          <w:w w:val="105"/>
        </w:rPr>
        <w:t> </w:t>
      </w:r>
      <w:r>
        <w:rPr>
          <w:color w:val="231F20"/>
          <w:w w:val="105"/>
        </w:rPr>
        <w:t>(2013),</w:t>
      </w:r>
      <w:r>
        <w:rPr>
          <w:color w:val="231F20"/>
          <w:spacing w:val="-25"/>
          <w:w w:val="105"/>
        </w:rPr>
        <w:t> </w:t>
      </w:r>
      <w:r>
        <w:rPr>
          <w:color w:val="231F20"/>
          <w:w w:val="105"/>
        </w:rPr>
        <w:t>“La</w:t>
      </w:r>
      <w:r>
        <w:rPr>
          <w:color w:val="231F20"/>
          <w:spacing w:val="-21"/>
          <w:w w:val="105"/>
        </w:rPr>
        <w:t> </w:t>
      </w:r>
      <w:r>
        <w:rPr>
          <w:color w:val="231F20"/>
          <w:w w:val="105"/>
        </w:rPr>
        <w:t>migración</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reproducción</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socie- dad</w:t>
      </w:r>
      <w:r>
        <w:rPr>
          <w:color w:val="231F20"/>
          <w:spacing w:val="-10"/>
          <w:w w:val="105"/>
        </w:rPr>
        <w:t> </w:t>
      </w:r>
      <w:r>
        <w:rPr>
          <w:color w:val="231F20"/>
          <w:spacing w:val="-4"/>
          <w:w w:val="105"/>
        </w:rPr>
        <w:t>global”,</w:t>
      </w:r>
      <w:r>
        <w:rPr>
          <w:color w:val="231F20"/>
          <w:spacing w:val="-15"/>
          <w:w w:val="105"/>
        </w:rPr>
        <w:t> </w:t>
      </w:r>
      <w:r>
        <w:rPr>
          <w:rFonts w:ascii="Arial" w:hAnsi="Arial"/>
          <w:i/>
          <w:color w:val="231F20"/>
          <w:w w:val="105"/>
        </w:rPr>
        <w:t>Migración</w:t>
      </w:r>
      <w:r>
        <w:rPr>
          <w:rFonts w:ascii="Arial" w:hAnsi="Arial"/>
          <w:i/>
          <w:color w:val="231F20"/>
          <w:spacing w:val="-12"/>
          <w:w w:val="105"/>
        </w:rPr>
        <w:t> </w:t>
      </w:r>
      <w:r>
        <w:rPr>
          <w:rFonts w:ascii="Arial" w:hAnsi="Arial"/>
          <w:i/>
          <w:color w:val="231F20"/>
          <w:w w:val="105"/>
        </w:rPr>
        <w:t>y</w:t>
      </w:r>
      <w:r>
        <w:rPr>
          <w:rFonts w:ascii="Arial" w:hAnsi="Arial"/>
          <w:i/>
          <w:color w:val="231F20"/>
          <w:spacing w:val="-12"/>
          <w:w w:val="105"/>
        </w:rPr>
        <w:t> </w:t>
      </w:r>
      <w:r>
        <w:rPr>
          <w:rFonts w:ascii="Arial" w:hAnsi="Arial"/>
          <w:i/>
          <w:color w:val="231F20"/>
          <w:w w:val="105"/>
        </w:rPr>
        <w:t>desarrollo</w:t>
      </w:r>
      <w:r>
        <w:rPr>
          <w:color w:val="231F20"/>
          <w:w w:val="105"/>
        </w:rPr>
        <w:t>,</w:t>
      </w:r>
      <w:r>
        <w:rPr>
          <w:color w:val="231F20"/>
          <w:spacing w:val="-15"/>
          <w:w w:val="105"/>
        </w:rPr>
        <w:t> </w:t>
      </w:r>
      <w:r>
        <w:rPr>
          <w:color w:val="231F20"/>
          <w:w w:val="105"/>
        </w:rPr>
        <w:t>vol.</w:t>
      </w:r>
      <w:r>
        <w:rPr>
          <w:color w:val="231F20"/>
          <w:spacing w:val="-15"/>
          <w:w w:val="105"/>
        </w:rPr>
        <w:t> </w:t>
      </w:r>
      <w:r>
        <w:rPr>
          <w:color w:val="231F20"/>
          <w:w w:val="105"/>
        </w:rPr>
        <w:t>11,</w:t>
      </w:r>
      <w:r>
        <w:rPr>
          <w:color w:val="231F20"/>
          <w:spacing w:val="-15"/>
          <w:w w:val="105"/>
        </w:rPr>
        <w:t> </w:t>
      </w:r>
      <w:r>
        <w:rPr>
          <w:color w:val="231F20"/>
          <w:w w:val="105"/>
        </w:rPr>
        <w:t>núm.</w:t>
      </w:r>
      <w:r>
        <w:rPr>
          <w:color w:val="231F20"/>
          <w:spacing w:val="-15"/>
          <w:w w:val="105"/>
        </w:rPr>
        <w:t> </w:t>
      </w:r>
      <w:r>
        <w:rPr>
          <w:color w:val="231F20"/>
          <w:w w:val="105"/>
        </w:rPr>
        <w:t>21.</w:t>
      </w:r>
    </w:p>
    <w:p>
      <w:pPr>
        <w:spacing w:line="259" w:lineRule="auto" w:before="0"/>
        <w:ind w:left="2574" w:right="1721" w:hanging="738"/>
        <w:jc w:val="both"/>
        <w:rPr>
          <w:sz w:val="21"/>
        </w:rPr>
      </w:pPr>
      <w:r>
        <w:rPr/>
        <w:pict>
          <v:line style="position:absolute;mso-position-horizontal-relative:page;mso-position-vertical-relative:paragraph;z-index:-462280" from="15pt,137.457077pt" to="0pt,137.457077pt" stroked="true" strokeweight=".25pt" strokecolor="#000000">
            <w10:wrap type="none"/>
          </v:line>
        </w:pict>
      </w:r>
      <w:r>
        <w:rPr/>
        <w:pict>
          <v:line style="position:absolute;mso-position-horizontal-relative:page;mso-position-vertical-relative:paragraph;z-index:27928" from="508.890015pt,137.457077pt" to="523.890015pt,137.457077pt" stroked="true" strokeweight=".25pt" strokecolor="#000000">
            <w10:wrap type="none"/>
          </v:line>
        </w:pict>
      </w:r>
      <w:r>
        <w:rPr>
          <w:color w:val="231F20"/>
          <w:sz w:val="21"/>
        </w:rPr>
        <w:t>Cassarino, Jean Pierre, (2008), </w:t>
      </w:r>
      <w:r>
        <w:rPr>
          <w:rFonts w:ascii="Arial" w:hAnsi="Arial"/>
          <w:i/>
          <w:color w:val="231F20"/>
          <w:sz w:val="21"/>
        </w:rPr>
        <w:t>La dimensión exterior de las políticas de </w:t>
      </w:r>
      <w:r>
        <w:rPr>
          <w:rFonts w:ascii="Arial" w:hAnsi="Arial"/>
          <w:i/>
          <w:color w:val="231F20"/>
          <w:sz w:val="21"/>
        </w:rPr>
        <w:t>inmigración a la Unión Europea, V Seminario de Inmigración y Eu- ropa. Políticas de inmigración y políticas de desarrollo. Entender los vínculos entre migración de retorno y desarrollo</w:t>
      </w:r>
      <w:r>
        <w:rPr>
          <w:color w:val="231F20"/>
          <w:sz w:val="21"/>
        </w:rPr>
        <w:t>, Barcelona: Fundación </w:t>
      </w:r>
      <w:r>
        <w:rPr>
          <w:color w:val="231F20"/>
          <w:sz w:val="17"/>
        </w:rPr>
        <w:t>CIDOB</w:t>
      </w:r>
      <w:r>
        <w:rPr>
          <w:color w:val="231F20"/>
          <w:sz w:val="21"/>
        </w:rPr>
        <w:t>.</w:t>
      </w:r>
    </w:p>
    <w:p>
      <w:pPr>
        <w:spacing w:after="0" w:line="259" w:lineRule="auto"/>
        <w:jc w:val="both"/>
        <w:rPr>
          <w:sz w:val="21"/>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7"/>
        </w:rPr>
      </w:pPr>
    </w:p>
    <w:p>
      <w:pPr>
        <w:tabs>
          <w:tab w:pos="2563" w:val="left" w:leader="none"/>
        </w:tabs>
        <w:spacing w:line="261" w:lineRule="auto" w:before="60"/>
        <w:ind w:left="2461" w:right="1835" w:hanging="738"/>
        <w:jc w:val="both"/>
        <w:rPr>
          <w:sz w:val="21"/>
        </w:rPr>
      </w:pPr>
      <w:r>
        <w:rPr/>
        <w:pict>
          <v:line style="position:absolute;mso-position-horizontal-relative:page;mso-position-vertical-relative:paragraph;z-index:27976" from="15pt,-66.560524pt" to="0pt,-66.560524pt" stroked="true" strokeweight=".25pt" strokecolor="#000000">
            <w10:wrap type="none"/>
          </v:line>
        </w:pict>
      </w:r>
      <w:r>
        <w:rPr/>
        <w:pict>
          <v:line style="position:absolute;mso-position-horizontal-relative:page;mso-position-vertical-relative:paragraph;z-index:28000" from="508.890015pt,-66.560524pt" to="523.890015pt,-66.560524pt" stroked="true" strokeweight=".25pt" strokecolor="#000000">
            <w10:wrap type="none"/>
          </v:line>
        </w:pict>
      </w:r>
      <w:r>
        <w:rPr>
          <w:color w:val="231F20"/>
          <w:w w:val="94"/>
          <w:sz w:val="21"/>
          <w:u w:val="single" w:color="221E1F"/>
        </w:rPr>
        <w:t> </w:t>
      </w:r>
      <w:r>
        <w:rPr>
          <w:color w:val="231F20"/>
          <w:sz w:val="21"/>
          <w:u w:val="single" w:color="221E1F"/>
        </w:rPr>
        <w:tab/>
        <w:tab/>
      </w:r>
      <w:r>
        <w:rPr>
          <w:color w:val="231F20"/>
          <w:spacing w:val="-3"/>
          <w:sz w:val="21"/>
        </w:rPr>
        <w:t> </w:t>
      </w:r>
      <w:r>
        <w:rPr>
          <w:color w:val="231F20"/>
          <w:w w:val="105"/>
          <w:sz w:val="21"/>
        </w:rPr>
        <w:t>(2014),</w:t>
      </w:r>
      <w:r>
        <w:rPr>
          <w:color w:val="231F20"/>
          <w:spacing w:val="-28"/>
          <w:w w:val="105"/>
          <w:sz w:val="21"/>
        </w:rPr>
        <w:t> </w:t>
      </w:r>
      <w:r>
        <w:rPr>
          <w:color w:val="231F20"/>
          <w:spacing w:val="-8"/>
          <w:w w:val="105"/>
          <w:sz w:val="21"/>
        </w:rPr>
        <w:t>“A</w:t>
      </w:r>
      <w:r>
        <w:rPr>
          <w:color w:val="231F20"/>
          <w:spacing w:val="-26"/>
          <w:w w:val="105"/>
          <w:sz w:val="21"/>
        </w:rPr>
        <w:t> </w:t>
      </w:r>
      <w:r>
        <w:rPr>
          <w:color w:val="231F20"/>
          <w:w w:val="105"/>
          <w:sz w:val="21"/>
        </w:rPr>
        <w:t>case</w:t>
      </w:r>
      <w:r>
        <w:rPr>
          <w:color w:val="231F20"/>
          <w:spacing w:val="-24"/>
          <w:w w:val="105"/>
          <w:sz w:val="21"/>
        </w:rPr>
        <w:t> </w:t>
      </w:r>
      <w:r>
        <w:rPr>
          <w:color w:val="231F20"/>
          <w:w w:val="105"/>
          <w:sz w:val="21"/>
        </w:rPr>
        <w:t>for</w:t>
      </w:r>
      <w:r>
        <w:rPr>
          <w:color w:val="231F20"/>
          <w:spacing w:val="-24"/>
          <w:w w:val="105"/>
          <w:sz w:val="21"/>
        </w:rPr>
        <w:t> </w:t>
      </w:r>
      <w:r>
        <w:rPr>
          <w:color w:val="231F20"/>
          <w:w w:val="105"/>
          <w:sz w:val="21"/>
        </w:rPr>
        <w:t>return</w:t>
      </w:r>
      <w:r>
        <w:rPr>
          <w:color w:val="231F20"/>
          <w:spacing w:val="-24"/>
          <w:w w:val="105"/>
          <w:sz w:val="21"/>
        </w:rPr>
        <w:t> </w:t>
      </w:r>
      <w:r>
        <w:rPr>
          <w:color w:val="231F20"/>
          <w:spacing w:val="-3"/>
          <w:w w:val="105"/>
          <w:sz w:val="21"/>
        </w:rPr>
        <w:t>preparedness”,</w:t>
      </w:r>
      <w:r>
        <w:rPr>
          <w:color w:val="231F20"/>
          <w:spacing w:val="-28"/>
          <w:w w:val="105"/>
          <w:sz w:val="21"/>
        </w:rPr>
        <w:t> </w:t>
      </w:r>
      <w:r>
        <w:rPr>
          <w:color w:val="231F20"/>
          <w:w w:val="105"/>
          <w:sz w:val="21"/>
        </w:rPr>
        <w:t>en</w:t>
      </w:r>
      <w:r>
        <w:rPr>
          <w:color w:val="231F20"/>
          <w:spacing w:val="-24"/>
          <w:w w:val="105"/>
          <w:sz w:val="21"/>
        </w:rPr>
        <w:t> </w:t>
      </w:r>
      <w:r>
        <w:rPr>
          <w:color w:val="231F20"/>
          <w:w w:val="105"/>
          <w:sz w:val="21"/>
        </w:rPr>
        <w:t>Graziano</w:t>
      </w:r>
      <w:r>
        <w:rPr>
          <w:color w:val="231F20"/>
          <w:spacing w:val="-24"/>
          <w:w w:val="105"/>
          <w:sz w:val="21"/>
        </w:rPr>
        <w:t> </w:t>
      </w:r>
      <w:r>
        <w:rPr>
          <w:color w:val="231F20"/>
          <w:w w:val="105"/>
          <w:sz w:val="21"/>
        </w:rPr>
        <w:t>Battistella</w:t>
      </w:r>
      <w:r>
        <w:rPr>
          <w:color w:val="231F20"/>
          <w:w w:val="103"/>
          <w:sz w:val="21"/>
        </w:rPr>
        <w:t> </w:t>
      </w:r>
      <w:r>
        <w:rPr>
          <w:color w:val="231F20"/>
          <w:w w:val="105"/>
          <w:sz w:val="21"/>
        </w:rPr>
        <w:t>(ed.), </w:t>
      </w:r>
      <w:r>
        <w:rPr>
          <w:rFonts w:ascii="Arial" w:hAnsi="Arial"/>
          <w:i/>
          <w:color w:val="231F20"/>
          <w:w w:val="105"/>
          <w:sz w:val="21"/>
        </w:rPr>
        <w:t>Global and Asian perspectives on international migration</w:t>
      </w:r>
      <w:r>
        <w:rPr>
          <w:color w:val="231F20"/>
          <w:w w:val="105"/>
          <w:sz w:val="21"/>
        </w:rPr>
        <w:t>, </w:t>
      </w:r>
      <w:r>
        <w:rPr>
          <w:color w:val="231F20"/>
          <w:sz w:val="21"/>
        </w:rPr>
        <w:t>Suiza:</w:t>
      </w:r>
      <w:r>
        <w:rPr>
          <w:color w:val="231F20"/>
          <w:spacing w:val="30"/>
          <w:sz w:val="21"/>
        </w:rPr>
        <w:t> </w:t>
      </w:r>
      <w:r>
        <w:rPr>
          <w:color w:val="231F20"/>
          <w:sz w:val="17"/>
        </w:rPr>
        <w:t>IOM</w:t>
      </w:r>
      <w:r>
        <w:rPr>
          <w:color w:val="231F20"/>
          <w:sz w:val="21"/>
        </w:rPr>
        <w:t>/Springer.</w:t>
      </w:r>
    </w:p>
    <w:p>
      <w:pPr>
        <w:spacing w:line="259" w:lineRule="auto" w:before="0"/>
        <w:ind w:left="2461" w:right="1835" w:hanging="738"/>
        <w:jc w:val="both"/>
        <w:rPr>
          <w:sz w:val="21"/>
        </w:rPr>
      </w:pPr>
      <w:r>
        <w:rPr>
          <w:color w:val="231F20"/>
          <w:sz w:val="21"/>
        </w:rPr>
        <w:t>Castles, Stephen, (2014), “Las fuerzas tras la migración global”, </w:t>
      </w:r>
      <w:r>
        <w:rPr>
          <w:rFonts w:ascii="Arial" w:hAnsi="Arial"/>
          <w:i/>
          <w:color w:val="231F20"/>
          <w:sz w:val="21"/>
        </w:rPr>
        <w:t>Revista </w:t>
      </w:r>
      <w:r>
        <w:rPr>
          <w:rFonts w:ascii="Arial" w:hAnsi="Arial"/>
          <w:i/>
          <w:color w:val="231F20"/>
          <w:sz w:val="21"/>
        </w:rPr>
        <w:t>Mexicana de Ciencias Políticas y Sociales</w:t>
      </w:r>
      <w:r>
        <w:rPr>
          <w:color w:val="231F20"/>
          <w:sz w:val="21"/>
        </w:rPr>
        <w:t>, núm. 220.</w:t>
      </w:r>
    </w:p>
    <w:p>
      <w:pPr>
        <w:spacing w:line="259" w:lineRule="auto" w:before="0"/>
        <w:ind w:left="2460" w:right="1835" w:hanging="737"/>
        <w:jc w:val="both"/>
        <w:rPr>
          <w:sz w:val="21"/>
        </w:rPr>
      </w:pPr>
      <w:r>
        <w:rPr>
          <w:color w:val="231F20"/>
          <w:sz w:val="21"/>
        </w:rPr>
        <w:t>Consejo Nacional de Población (</w:t>
      </w:r>
      <w:r>
        <w:rPr>
          <w:color w:val="231F20"/>
          <w:sz w:val="17"/>
        </w:rPr>
        <w:t>CONAPO</w:t>
      </w:r>
      <w:r>
        <w:rPr>
          <w:color w:val="231F20"/>
          <w:sz w:val="21"/>
        </w:rPr>
        <w:t>), (2012), </w:t>
      </w:r>
      <w:r>
        <w:rPr>
          <w:rFonts w:ascii="Arial" w:hAnsi="Arial"/>
          <w:i/>
          <w:color w:val="231F20"/>
          <w:sz w:val="21"/>
        </w:rPr>
        <w:t>Índices de intensidad </w:t>
      </w:r>
      <w:r>
        <w:rPr>
          <w:rFonts w:ascii="Arial" w:hAnsi="Arial"/>
          <w:i/>
          <w:color w:val="231F20"/>
          <w:sz w:val="21"/>
        </w:rPr>
        <w:t>migratoria México-Estados Unidos 2010</w:t>
      </w:r>
      <w:r>
        <w:rPr>
          <w:color w:val="231F20"/>
          <w:sz w:val="21"/>
        </w:rPr>
        <w:t>, México:  </w:t>
      </w:r>
      <w:r>
        <w:rPr>
          <w:color w:val="231F20"/>
          <w:sz w:val="17"/>
        </w:rPr>
        <w:t>CONAPO</w:t>
      </w:r>
      <w:r>
        <w:rPr>
          <w:color w:val="231F20"/>
          <w:sz w:val="21"/>
        </w:rPr>
        <w:t>.</w:t>
      </w:r>
    </w:p>
    <w:p>
      <w:pPr>
        <w:tabs>
          <w:tab w:pos="2563" w:val="left" w:leader="none"/>
        </w:tabs>
        <w:spacing w:line="261" w:lineRule="auto" w:before="0"/>
        <w:ind w:left="2461" w:right="1834" w:hanging="738"/>
        <w:jc w:val="both"/>
        <w:rPr>
          <w:sz w:val="21"/>
        </w:rPr>
      </w:pPr>
      <w:r>
        <w:rPr>
          <w:color w:val="231F20"/>
          <w:w w:val="94"/>
          <w:sz w:val="21"/>
          <w:u w:val="single" w:color="221E1F"/>
        </w:rPr>
        <w:t> </w:t>
      </w:r>
      <w:r>
        <w:rPr>
          <w:color w:val="231F20"/>
          <w:sz w:val="21"/>
          <w:u w:val="single" w:color="221E1F"/>
        </w:rPr>
        <w:tab/>
        <w:tab/>
      </w:r>
      <w:r>
        <w:rPr>
          <w:color w:val="231F20"/>
          <w:sz w:val="21"/>
        </w:rPr>
        <w:t> </w:t>
      </w:r>
      <w:r>
        <w:rPr>
          <w:color w:val="231F20"/>
          <w:spacing w:val="-20"/>
          <w:sz w:val="21"/>
        </w:rPr>
        <w:t> </w:t>
      </w:r>
      <w:r>
        <w:rPr>
          <w:color w:val="231F20"/>
          <w:w w:val="105"/>
          <w:sz w:val="21"/>
        </w:rPr>
        <w:t>(2014), </w:t>
      </w:r>
      <w:r>
        <w:rPr>
          <w:rFonts w:ascii="Arial" w:hAnsi="Arial"/>
          <w:i/>
          <w:color w:val="231F20"/>
          <w:w w:val="105"/>
          <w:sz w:val="21"/>
        </w:rPr>
        <w:t>Algunos efectos de la migración internacional </w:t>
      </w:r>
      <w:r>
        <w:rPr>
          <w:rFonts w:ascii="Arial" w:hAnsi="Arial"/>
          <w:i/>
          <w:color w:val="231F20"/>
          <w:spacing w:val="55"/>
          <w:w w:val="105"/>
          <w:sz w:val="21"/>
        </w:rPr>
        <w:t> </w:t>
      </w:r>
      <w:r>
        <w:rPr>
          <w:rFonts w:ascii="Arial" w:hAnsi="Arial"/>
          <w:i/>
          <w:color w:val="231F20"/>
          <w:w w:val="105"/>
          <w:sz w:val="21"/>
        </w:rPr>
        <w:t>en</w:t>
      </w:r>
      <w:r>
        <w:rPr>
          <w:rFonts w:ascii="Arial" w:hAnsi="Arial"/>
          <w:i/>
          <w:color w:val="231F20"/>
          <w:spacing w:val="17"/>
          <w:w w:val="105"/>
          <w:sz w:val="21"/>
        </w:rPr>
        <w:t> </w:t>
      </w:r>
      <w:r>
        <w:rPr>
          <w:rFonts w:ascii="Arial" w:hAnsi="Arial"/>
          <w:i/>
          <w:color w:val="231F20"/>
          <w:w w:val="105"/>
          <w:sz w:val="21"/>
        </w:rPr>
        <w:t>los</w:t>
      </w:r>
      <w:r>
        <w:rPr>
          <w:rFonts w:ascii="Arial" w:hAnsi="Arial"/>
          <w:i/>
          <w:color w:val="231F20"/>
          <w:w w:val="101"/>
          <w:sz w:val="21"/>
        </w:rPr>
        <w:t> </w:t>
      </w:r>
      <w:r>
        <w:rPr>
          <w:rFonts w:ascii="Arial" w:hAnsi="Arial"/>
          <w:i/>
          <w:color w:val="231F20"/>
          <w:w w:val="105"/>
          <w:sz w:val="21"/>
        </w:rPr>
        <w:t>lugares de origen y destino</w:t>
      </w:r>
      <w:r>
        <w:rPr>
          <w:color w:val="231F20"/>
          <w:w w:val="105"/>
          <w:sz w:val="21"/>
        </w:rPr>
        <w:t>, recuperado de http://www.cona- po.gob.mx/work/models/CONAPO/intensidad_migratoria/pdf/ Efectos.pdf</w:t>
      </w:r>
    </w:p>
    <w:p>
      <w:pPr>
        <w:spacing w:line="261" w:lineRule="auto" w:before="1"/>
        <w:ind w:left="2461" w:right="1834" w:hanging="738"/>
        <w:jc w:val="both"/>
        <w:rPr>
          <w:sz w:val="21"/>
        </w:rPr>
      </w:pPr>
      <w:r>
        <w:rPr>
          <w:color w:val="231F20"/>
          <w:sz w:val="21"/>
        </w:rPr>
        <w:t>Del </w:t>
      </w:r>
      <w:r>
        <w:rPr>
          <w:color w:val="231F20"/>
          <w:spacing w:val="-3"/>
          <w:sz w:val="21"/>
        </w:rPr>
        <w:t>Popolo, </w:t>
      </w:r>
      <w:r>
        <w:rPr>
          <w:color w:val="231F20"/>
          <w:sz w:val="21"/>
        </w:rPr>
        <w:t>Fabiana y Ribbota, Bruno, (2011), “Migración de jóvenes in- dígenas en América </w:t>
      </w:r>
      <w:r>
        <w:rPr>
          <w:color w:val="231F20"/>
          <w:spacing w:val="-5"/>
          <w:sz w:val="21"/>
        </w:rPr>
        <w:t>Latina”, </w:t>
      </w:r>
      <w:r>
        <w:rPr>
          <w:color w:val="231F20"/>
          <w:sz w:val="21"/>
        </w:rPr>
        <w:t>en Fabiana Del </w:t>
      </w:r>
      <w:r>
        <w:rPr>
          <w:color w:val="231F20"/>
          <w:spacing w:val="-3"/>
          <w:sz w:val="21"/>
        </w:rPr>
        <w:t>Popolo, </w:t>
      </w:r>
      <w:r>
        <w:rPr>
          <w:color w:val="231F20"/>
          <w:sz w:val="21"/>
        </w:rPr>
        <w:t>Estela Ma-   ría García de Pinto da Cunha, Bruno Ribotta, Marta Azevedo (coords.), </w:t>
      </w:r>
      <w:r>
        <w:rPr>
          <w:rFonts w:ascii="Arial" w:hAnsi="Arial"/>
          <w:i/>
          <w:color w:val="231F20"/>
          <w:sz w:val="21"/>
        </w:rPr>
        <w:t>Pueblos indígenas y afrodescendientes en América</w:t>
      </w:r>
      <w:r>
        <w:rPr>
          <w:rFonts w:ascii="Arial" w:hAnsi="Arial"/>
          <w:i/>
          <w:color w:val="231F20"/>
          <w:spacing w:val="-26"/>
          <w:sz w:val="21"/>
        </w:rPr>
        <w:t> </w:t>
      </w:r>
      <w:r>
        <w:rPr>
          <w:rFonts w:ascii="Arial" w:hAnsi="Arial"/>
          <w:i/>
          <w:color w:val="231F20"/>
          <w:sz w:val="21"/>
        </w:rPr>
        <w:t>Lati- </w:t>
      </w:r>
      <w:r>
        <w:rPr>
          <w:rFonts w:ascii="Arial" w:hAnsi="Arial"/>
          <w:i/>
          <w:color w:val="231F20"/>
          <w:sz w:val="21"/>
        </w:rPr>
        <w:t>na: dinámicas poblacionales diversas y desafíos comunes</w:t>
      </w:r>
      <w:r>
        <w:rPr>
          <w:color w:val="231F20"/>
          <w:sz w:val="21"/>
        </w:rPr>
        <w:t>, Río de Janeiro, Brasil: </w:t>
      </w:r>
      <w:r>
        <w:rPr>
          <w:color w:val="231F20"/>
          <w:sz w:val="17"/>
        </w:rPr>
        <w:t>ALAP</w:t>
      </w:r>
      <w:r>
        <w:rPr>
          <w:color w:val="231F20"/>
          <w:spacing w:val="3"/>
          <w:sz w:val="17"/>
        </w:rPr>
        <w:t> </w:t>
      </w:r>
      <w:r>
        <w:rPr>
          <w:color w:val="231F20"/>
          <w:sz w:val="21"/>
        </w:rPr>
        <w:t>Editor.</w:t>
      </w:r>
    </w:p>
    <w:p>
      <w:pPr>
        <w:spacing w:line="259" w:lineRule="auto" w:before="0"/>
        <w:ind w:left="2460" w:right="1835" w:hanging="737"/>
        <w:jc w:val="both"/>
        <w:rPr>
          <w:sz w:val="21"/>
        </w:rPr>
      </w:pPr>
      <w:r>
        <w:rPr>
          <w:color w:val="231F20"/>
          <w:sz w:val="21"/>
        </w:rPr>
        <w:t>Durand, </w:t>
      </w:r>
      <w:r>
        <w:rPr>
          <w:color w:val="231F20"/>
          <w:spacing w:val="-3"/>
          <w:sz w:val="21"/>
        </w:rPr>
        <w:t>Jorge </w:t>
      </w:r>
      <w:r>
        <w:rPr>
          <w:color w:val="231F20"/>
          <w:sz w:val="21"/>
        </w:rPr>
        <w:t>y </w:t>
      </w:r>
      <w:r>
        <w:rPr>
          <w:color w:val="231F20"/>
          <w:spacing w:val="-3"/>
          <w:sz w:val="21"/>
        </w:rPr>
        <w:t>Massey, </w:t>
      </w:r>
      <w:r>
        <w:rPr>
          <w:color w:val="231F20"/>
          <w:sz w:val="21"/>
        </w:rPr>
        <w:t>Douglas, (2003), </w:t>
      </w:r>
      <w:r>
        <w:rPr>
          <w:rFonts w:ascii="Arial" w:hAnsi="Arial"/>
          <w:i/>
          <w:color w:val="231F20"/>
          <w:sz w:val="21"/>
        </w:rPr>
        <w:t>Clandestinos. Migración Méxi- </w:t>
      </w:r>
      <w:r>
        <w:rPr>
          <w:rFonts w:ascii="Arial" w:hAnsi="Arial"/>
          <w:i/>
          <w:color w:val="231F20"/>
          <w:sz w:val="21"/>
        </w:rPr>
        <w:t>co-Estados</w:t>
      </w:r>
      <w:r>
        <w:rPr>
          <w:rFonts w:ascii="Arial" w:hAnsi="Arial"/>
          <w:i/>
          <w:color w:val="231F20"/>
          <w:spacing w:val="-6"/>
          <w:sz w:val="21"/>
        </w:rPr>
        <w:t> </w:t>
      </w:r>
      <w:r>
        <w:rPr>
          <w:rFonts w:ascii="Arial" w:hAnsi="Arial"/>
          <w:i/>
          <w:color w:val="231F20"/>
          <w:sz w:val="21"/>
        </w:rPr>
        <w:t>Unidos</w:t>
      </w:r>
      <w:r>
        <w:rPr>
          <w:rFonts w:ascii="Arial" w:hAnsi="Arial"/>
          <w:i/>
          <w:color w:val="231F20"/>
          <w:spacing w:val="-6"/>
          <w:sz w:val="21"/>
        </w:rPr>
        <w:t> </w:t>
      </w:r>
      <w:r>
        <w:rPr>
          <w:rFonts w:ascii="Arial" w:hAnsi="Arial"/>
          <w:i/>
          <w:color w:val="231F20"/>
          <w:sz w:val="21"/>
        </w:rPr>
        <w:t>en</w:t>
      </w:r>
      <w:r>
        <w:rPr>
          <w:rFonts w:ascii="Arial" w:hAnsi="Arial"/>
          <w:i/>
          <w:color w:val="231F20"/>
          <w:spacing w:val="-6"/>
          <w:sz w:val="21"/>
        </w:rPr>
        <w:t> </w:t>
      </w:r>
      <w:r>
        <w:rPr>
          <w:rFonts w:ascii="Arial" w:hAnsi="Arial"/>
          <w:i/>
          <w:color w:val="231F20"/>
          <w:sz w:val="21"/>
        </w:rPr>
        <w:t>los</w:t>
      </w:r>
      <w:r>
        <w:rPr>
          <w:rFonts w:ascii="Arial" w:hAnsi="Arial"/>
          <w:i/>
          <w:color w:val="231F20"/>
          <w:spacing w:val="-6"/>
          <w:sz w:val="21"/>
        </w:rPr>
        <w:t> </w:t>
      </w:r>
      <w:r>
        <w:rPr>
          <w:rFonts w:ascii="Arial" w:hAnsi="Arial"/>
          <w:i/>
          <w:color w:val="231F20"/>
          <w:sz w:val="21"/>
        </w:rPr>
        <w:t>albores</w:t>
      </w:r>
      <w:r>
        <w:rPr>
          <w:rFonts w:ascii="Arial" w:hAnsi="Arial"/>
          <w:i/>
          <w:color w:val="231F20"/>
          <w:spacing w:val="-6"/>
          <w:sz w:val="21"/>
        </w:rPr>
        <w:t> </w:t>
      </w:r>
      <w:r>
        <w:rPr>
          <w:rFonts w:ascii="Arial" w:hAnsi="Arial"/>
          <w:i/>
          <w:color w:val="231F20"/>
          <w:sz w:val="21"/>
        </w:rPr>
        <w:t>del</w:t>
      </w:r>
      <w:r>
        <w:rPr>
          <w:rFonts w:ascii="Arial" w:hAnsi="Arial"/>
          <w:i/>
          <w:color w:val="231F20"/>
          <w:spacing w:val="-6"/>
          <w:sz w:val="21"/>
        </w:rPr>
        <w:t> </w:t>
      </w:r>
      <w:r>
        <w:rPr>
          <w:rFonts w:ascii="Arial" w:hAnsi="Arial"/>
          <w:i/>
          <w:color w:val="231F20"/>
          <w:sz w:val="21"/>
        </w:rPr>
        <w:t>siglo</w:t>
      </w:r>
      <w:r>
        <w:rPr>
          <w:rFonts w:ascii="Arial" w:hAnsi="Arial"/>
          <w:i/>
          <w:color w:val="231F20"/>
          <w:spacing w:val="-6"/>
          <w:sz w:val="21"/>
        </w:rPr>
        <w:t> </w:t>
      </w:r>
      <w:r>
        <w:rPr>
          <w:rFonts w:ascii="Arial" w:hAnsi="Arial"/>
          <w:i/>
          <w:color w:val="231F20"/>
          <w:sz w:val="17"/>
        </w:rPr>
        <w:t>XXI</w:t>
      </w:r>
      <w:r>
        <w:rPr>
          <w:rFonts w:ascii="Arial" w:hAnsi="Arial"/>
          <w:i/>
          <w:color w:val="231F20"/>
          <w:sz w:val="21"/>
        </w:rPr>
        <w:t>,</w:t>
      </w:r>
      <w:r>
        <w:rPr>
          <w:rFonts w:ascii="Arial" w:hAnsi="Arial"/>
          <w:i/>
          <w:color w:val="231F20"/>
          <w:spacing w:val="-13"/>
          <w:sz w:val="21"/>
        </w:rPr>
        <w:t> </w:t>
      </w:r>
      <w:r>
        <w:rPr>
          <w:color w:val="231F20"/>
          <w:sz w:val="21"/>
        </w:rPr>
        <w:t>México:</w:t>
      </w:r>
      <w:r>
        <w:rPr>
          <w:color w:val="231F20"/>
          <w:spacing w:val="-4"/>
          <w:sz w:val="21"/>
        </w:rPr>
        <w:t> </w:t>
      </w:r>
      <w:r>
        <w:rPr>
          <w:color w:val="231F20"/>
          <w:sz w:val="21"/>
        </w:rPr>
        <w:t>Miguel</w:t>
      </w:r>
      <w:r>
        <w:rPr>
          <w:color w:val="231F20"/>
          <w:spacing w:val="-8"/>
          <w:sz w:val="21"/>
        </w:rPr>
        <w:t> </w:t>
      </w:r>
      <w:r>
        <w:rPr>
          <w:color w:val="231F20"/>
          <w:sz w:val="21"/>
        </w:rPr>
        <w:t>Án- gel </w:t>
      </w:r>
      <w:r>
        <w:rPr>
          <w:color w:val="231F20"/>
          <w:spacing w:val="-5"/>
          <w:sz w:val="21"/>
        </w:rPr>
        <w:t>Porrúa </w:t>
      </w:r>
      <w:r>
        <w:rPr>
          <w:color w:val="231F20"/>
          <w:sz w:val="21"/>
        </w:rPr>
        <w:t>(Colección América </w:t>
      </w:r>
      <w:r>
        <w:rPr>
          <w:color w:val="231F20"/>
          <w:spacing w:val="-2"/>
          <w:sz w:val="21"/>
        </w:rPr>
        <w:t>Latina </w:t>
      </w:r>
      <w:r>
        <w:rPr>
          <w:color w:val="231F20"/>
          <w:sz w:val="21"/>
        </w:rPr>
        <w:t>y el Nuevo </w:t>
      </w:r>
      <w:r>
        <w:rPr>
          <w:color w:val="231F20"/>
          <w:spacing w:val="-3"/>
          <w:sz w:val="21"/>
        </w:rPr>
        <w:t>Orden </w:t>
      </w:r>
      <w:r>
        <w:rPr>
          <w:color w:val="231F20"/>
          <w:spacing w:val="41"/>
          <w:sz w:val="21"/>
        </w:rPr>
        <w:t> </w:t>
      </w:r>
      <w:r>
        <w:rPr>
          <w:color w:val="231F20"/>
          <w:sz w:val="21"/>
        </w:rPr>
        <w:t>Mundial).</w:t>
      </w:r>
    </w:p>
    <w:p>
      <w:pPr>
        <w:pStyle w:val="BodyText"/>
        <w:spacing w:line="261" w:lineRule="auto" w:before="3"/>
        <w:ind w:left="2460" w:right="1834" w:hanging="738"/>
        <w:jc w:val="both"/>
      </w:pPr>
      <w:r>
        <w:rPr>
          <w:color w:val="231F20"/>
          <w:w w:val="105"/>
        </w:rPr>
        <w:t>Durand,</w:t>
      </w:r>
      <w:r>
        <w:rPr>
          <w:color w:val="231F20"/>
          <w:spacing w:val="-18"/>
          <w:w w:val="105"/>
        </w:rPr>
        <w:t> </w:t>
      </w:r>
      <w:r>
        <w:rPr>
          <w:color w:val="231F20"/>
          <w:w w:val="105"/>
        </w:rPr>
        <w:t>Jorge,</w:t>
      </w:r>
      <w:r>
        <w:rPr>
          <w:color w:val="231F20"/>
          <w:spacing w:val="-16"/>
          <w:w w:val="105"/>
        </w:rPr>
        <w:t> </w:t>
      </w:r>
      <w:r>
        <w:rPr>
          <w:color w:val="231F20"/>
          <w:w w:val="105"/>
        </w:rPr>
        <w:t>(2004),</w:t>
      </w:r>
      <w:r>
        <w:rPr>
          <w:color w:val="231F20"/>
          <w:spacing w:val="-16"/>
          <w:w w:val="105"/>
        </w:rPr>
        <w:t> </w:t>
      </w:r>
      <w:r>
        <w:rPr>
          <w:color w:val="231F20"/>
          <w:w w:val="105"/>
        </w:rPr>
        <w:t>“Ensayo</w:t>
      </w:r>
      <w:r>
        <w:rPr>
          <w:color w:val="231F20"/>
          <w:spacing w:val="-11"/>
          <w:w w:val="105"/>
        </w:rPr>
        <w:t> </w:t>
      </w:r>
      <w:r>
        <w:rPr>
          <w:color w:val="231F20"/>
          <w:w w:val="105"/>
        </w:rPr>
        <w:t>teórico</w:t>
      </w:r>
      <w:r>
        <w:rPr>
          <w:color w:val="231F20"/>
          <w:spacing w:val="-11"/>
          <w:w w:val="105"/>
        </w:rPr>
        <w:t> </w:t>
      </w:r>
      <w:r>
        <w:rPr>
          <w:color w:val="231F20"/>
          <w:w w:val="105"/>
        </w:rPr>
        <w:t>sobre</w:t>
      </w:r>
      <w:r>
        <w:rPr>
          <w:color w:val="231F20"/>
          <w:spacing w:val="-11"/>
          <w:w w:val="105"/>
        </w:rPr>
        <w:t> </w:t>
      </w:r>
      <w:r>
        <w:rPr>
          <w:color w:val="231F20"/>
          <w:w w:val="105"/>
        </w:rPr>
        <w:t>la</w:t>
      </w:r>
      <w:r>
        <w:rPr>
          <w:color w:val="231F20"/>
          <w:spacing w:val="-11"/>
          <w:w w:val="105"/>
        </w:rPr>
        <w:t> </w:t>
      </w:r>
      <w:r>
        <w:rPr>
          <w:color w:val="231F20"/>
          <w:w w:val="105"/>
        </w:rPr>
        <w:t>migración</w:t>
      </w:r>
      <w:r>
        <w:rPr>
          <w:color w:val="231F20"/>
          <w:spacing w:val="-11"/>
          <w:w w:val="105"/>
        </w:rPr>
        <w:t> </w:t>
      </w:r>
      <w:r>
        <w:rPr>
          <w:color w:val="231F20"/>
          <w:w w:val="105"/>
        </w:rPr>
        <w:t>de</w:t>
      </w:r>
      <w:r>
        <w:rPr>
          <w:color w:val="231F20"/>
          <w:spacing w:val="-11"/>
          <w:w w:val="105"/>
        </w:rPr>
        <w:t> </w:t>
      </w:r>
      <w:r>
        <w:rPr>
          <w:color w:val="231F20"/>
          <w:w w:val="105"/>
        </w:rPr>
        <w:t>retorno.</w:t>
      </w:r>
      <w:r>
        <w:rPr>
          <w:color w:val="231F20"/>
          <w:spacing w:val="-16"/>
          <w:w w:val="105"/>
        </w:rPr>
        <w:t> </w:t>
      </w:r>
      <w:r>
        <w:rPr>
          <w:color w:val="231F20"/>
          <w:w w:val="105"/>
        </w:rPr>
        <w:t>El principio del rendimiento </w:t>
      </w:r>
      <w:r>
        <w:rPr>
          <w:color w:val="231F20"/>
          <w:spacing w:val="-3"/>
          <w:w w:val="105"/>
        </w:rPr>
        <w:t>decreciente”, </w:t>
      </w:r>
      <w:r>
        <w:rPr>
          <w:rFonts w:ascii="Arial" w:hAnsi="Arial"/>
          <w:i/>
          <w:color w:val="231F20"/>
          <w:w w:val="105"/>
        </w:rPr>
        <w:t>Cuadernos Geográficos, </w:t>
      </w:r>
      <w:r>
        <w:rPr>
          <w:color w:val="231F20"/>
          <w:w w:val="105"/>
        </w:rPr>
        <w:t>vol.</w:t>
      </w:r>
      <w:r>
        <w:rPr>
          <w:color w:val="231F20"/>
          <w:spacing w:val="-23"/>
          <w:w w:val="105"/>
        </w:rPr>
        <w:t> </w:t>
      </w:r>
      <w:r>
        <w:rPr>
          <w:color w:val="231F20"/>
          <w:w w:val="105"/>
        </w:rPr>
        <w:t>35,</w:t>
      </w:r>
      <w:r>
        <w:rPr>
          <w:color w:val="231F20"/>
          <w:spacing w:val="-23"/>
          <w:w w:val="105"/>
        </w:rPr>
        <w:t> </w:t>
      </w:r>
      <w:r>
        <w:rPr>
          <w:color w:val="231F20"/>
          <w:w w:val="105"/>
        </w:rPr>
        <w:t>núm.</w:t>
      </w:r>
      <w:r>
        <w:rPr>
          <w:color w:val="231F20"/>
          <w:spacing w:val="-23"/>
          <w:w w:val="105"/>
        </w:rPr>
        <w:t> </w:t>
      </w:r>
      <w:r>
        <w:rPr>
          <w:color w:val="231F20"/>
          <w:w w:val="105"/>
        </w:rPr>
        <w:t>2.</w:t>
      </w:r>
    </w:p>
    <w:p>
      <w:pPr>
        <w:spacing w:line="259" w:lineRule="auto" w:before="0"/>
        <w:ind w:left="2460" w:right="1834" w:hanging="738"/>
        <w:jc w:val="both"/>
        <w:rPr>
          <w:sz w:val="21"/>
        </w:rPr>
      </w:pPr>
      <w:r>
        <w:rPr>
          <w:color w:val="231F20"/>
          <w:spacing w:val="-5"/>
          <w:sz w:val="21"/>
        </w:rPr>
        <w:t>D’Aubeterre, </w:t>
      </w:r>
      <w:r>
        <w:rPr>
          <w:color w:val="231F20"/>
          <w:spacing w:val="-4"/>
          <w:sz w:val="21"/>
        </w:rPr>
        <w:t>Buznego </w:t>
      </w:r>
      <w:r>
        <w:rPr>
          <w:color w:val="231F20"/>
          <w:sz w:val="21"/>
        </w:rPr>
        <w:t>y </w:t>
      </w:r>
      <w:r>
        <w:rPr>
          <w:color w:val="231F20"/>
          <w:spacing w:val="-4"/>
          <w:sz w:val="21"/>
        </w:rPr>
        <w:t>Rivermer </w:t>
      </w:r>
      <w:r>
        <w:rPr>
          <w:color w:val="231F20"/>
          <w:spacing w:val="-7"/>
          <w:sz w:val="21"/>
        </w:rPr>
        <w:t>Pérez, </w:t>
      </w:r>
      <w:r>
        <w:rPr>
          <w:color w:val="231F20"/>
          <w:spacing w:val="-4"/>
          <w:sz w:val="21"/>
        </w:rPr>
        <w:t>María Leticia (eds.), (2014), </w:t>
      </w:r>
      <w:r>
        <w:rPr>
          <w:rFonts w:ascii="Arial" w:hAnsi="Arial"/>
          <w:i/>
          <w:color w:val="231F20"/>
          <w:spacing w:val="-8"/>
          <w:sz w:val="21"/>
        </w:rPr>
        <w:t>¿Todos </w:t>
      </w:r>
      <w:r>
        <w:rPr>
          <w:rFonts w:ascii="Arial" w:hAnsi="Arial"/>
          <w:i/>
          <w:color w:val="231F20"/>
          <w:spacing w:val="-4"/>
          <w:sz w:val="21"/>
        </w:rPr>
        <w:t>vuelven?</w:t>
      </w:r>
      <w:r>
        <w:rPr>
          <w:rFonts w:ascii="Arial" w:hAnsi="Arial"/>
          <w:i/>
          <w:color w:val="231F20"/>
          <w:spacing w:val="-22"/>
          <w:sz w:val="21"/>
        </w:rPr>
        <w:t> </w:t>
      </w:r>
      <w:r>
        <w:rPr>
          <w:rFonts w:ascii="Arial" w:hAnsi="Arial"/>
          <w:i/>
          <w:color w:val="231F20"/>
          <w:spacing w:val="-3"/>
          <w:sz w:val="21"/>
        </w:rPr>
        <w:t>Migración</w:t>
      </w:r>
      <w:r>
        <w:rPr>
          <w:rFonts w:ascii="Arial" w:hAnsi="Arial"/>
          <w:i/>
          <w:color w:val="231F20"/>
          <w:spacing w:val="-20"/>
          <w:sz w:val="21"/>
        </w:rPr>
        <w:t> </w:t>
      </w:r>
      <w:r>
        <w:rPr>
          <w:rFonts w:ascii="Arial" w:hAnsi="Arial"/>
          <w:i/>
          <w:color w:val="231F20"/>
          <w:spacing w:val="-3"/>
          <w:sz w:val="21"/>
        </w:rPr>
        <w:t>acelerada,</w:t>
      </w:r>
      <w:r>
        <w:rPr>
          <w:rFonts w:ascii="Arial" w:hAnsi="Arial"/>
          <w:i/>
          <w:color w:val="231F20"/>
          <w:spacing w:val="-31"/>
          <w:sz w:val="21"/>
        </w:rPr>
        <w:t> </w:t>
      </w:r>
      <w:r>
        <w:rPr>
          <w:rFonts w:ascii="Arial" w:hAnsi="Arial"/>
          <w:i/>
          <w:color w:val="231F20"/>
          <w:spacing w:val="-3"/>
          <w:sz w:val="21"/>
        </w:rPr>
        <w:t>crisis</w:t>
      </w:r>
      <w:r>
        <w:rPr>
          <w:rFonts w:ascii="Arial" w:hAnsi="Arial"/>
          <w:i/>
          <w:color w:val="231F20"/>
          <w:spacing w:val="-20"/>
          <w:sz w:val="21"/>
        </w:rPr>
        <w:t> </w:t>
      </w:r>
      <w:r>
        <w:rPr>
          <w:rFonts w:ascii="Arial" w:hAnsi="Arial"/>
          <w:i/>
          <w:color w:val="231F20"/>
          <w:sz w:val="21"/>
        </w:rPr>
        <w:t>de</w:t>
      </w:r>
      <w:r>
        <w:rPr>
          <w:rFonts w:ascii="Arial" w:hAnsi="Arial"/>
          <w:i/>
          <w:color w:val="231F20"/>
          <w:spacing w:val="-20"/>
          <w:sz w:val="21"/>
        </w:rPr>
        <w:t> </w:t>
      </w:r>
      <w:r>
        <w:rPr>
          <w:rFonts w:ascii="Arial" w:hAnsi="Arial"/>
          <w:i/>
          <w:color w:val="231F20"/>
          <w:sz w:val="21"/>
        </w:rPr>
        <w:t>la</w:t>
      </w:r>
      <w:r>
        <w:rPr>
          <w:rFonts w:ascii="Arial" w:hAnsi="Arial"/>
          <w:i/>
          <w:color w:val="231F20"/>
          <w:spacing w:val="-20"/>
          <w:sz w:val="21"/>
        </w:rPr>
        <w:t> </w:t>
      </w:r>
      <w:r>
        <w:rPr>
          <w:rFonts w:ascii="Arial" w:hAnsi="Arial"/>
          <w:i/>
          <w:color w:val="231F20"/>
          <w:spacing w:val="-3"/>
          <w:sz w:val="21"/>
        </w:rPr>
        <w:t>economía</w:t>
      </w:r>
      <w:r>
        <w:rPr>
          <w:rFonts w:ascii="Arial" w:hAnsi="Arial"/>
          <w:i/>
          <w:color w:val="231F20"/>
          <w:spacing w:val="-20"/>
          <w:sz w:val="21"/>
        </w:rPr>
        <w:t> </w:t>
      </w:r>
      <w:r>
        <w:rPr>
          <w:rFonts w:ascii="Arial" w:hAnsi="Arial"/>
          <w:i/>
          <w:color w:val="231F20"/>
          <w:spacing w:val="-3"/>
          <w:sz w:val="21"/>
        </w:rPr>
        <w:t>estadounidense </w:t>
      </w:r>
      <w:r>
        <w:rPr>
          <w:rFonts w:ascii="Arial" w:hAnsi="Arial"/>
          <w:i/>
          <w:color w:val="231F20"/>
          <w:sz w:val="21"/>
        </w:rPr>
        <w:t>y </w:t>
      </w:r>
      <w:r>
        <w:rPr>
          <w:rFonts w:ascii="Arial" w:hAnsi="Arial"/>
          <w:i/>
          <w:color w:val="231F20"/>
          <w:spacing w:val="-3"/>
          <w:sz w:val="21"/>
        </w:rPr>
        <w:t>retorno </w:t>
      </w:r>
      <w:r>
        <w:rPr>
          <w:rFonts w:ascii="Arial" w:hAnsi="Arial"/>
          <w:i/>
          <w:color w:val="231F20"/>
          <w:sz w:val="21"/>
        </w:rPr>
        <w:t>en </w:t>
      </w:r>
      <w:r>
        <w:rPr>
          <w:rFonts w:ascii="Arial" w:hAnsi="Arial"/>
          <w:i/>
          <w:color w:val="231F20"/>
          <w:spacing w:val="-4"/>
          <w:sz w:val="21"/>
        </w:rPr>
        <w:t>cuatro </w:t>
      </w:r>
      <w:r>
        <w:rPr>
          <w:rFonts w:ascii="Arial" w:hAnsi="Arial"/>
          <w:i/>
          <w:color w:val="231F20"/>
          <w:spacing w:val="-3"/>
          <w:sz w:val="21"/>
        </w:rPr>
        <w:t>localidades </w:t>
      </w:r>
      <w:r>
        <w:rPr>
          <w:rFonts w:ascii="Arial" w:hAnsi="Arial"/>
          <w:i/>
          <w:color w:val="231F20"/>
          <w:sz w:val="21"/>
        </w:rPr>
        <w:t>del </w:t>
      </w:r>
      <w:r>
        <w:rPr>
          <w:rFonts w:ascii="Arial" w:hAnsi="Arial"/>
          <w:i/>
          <w:color w:val="231F20"/>
          <w:spacing w:val="-3"/>
          <w:sz w:val="21"/>
        </w:rPr>
        <w:t>estado </w:t>
      </w:r>
      <w:r>
        <w:rPr>
          <w:rFonts w:ascii="Arial" w:hAnsi="Arial"/>
          <w:i/>
          <w:color w:val="231F20"/>
          <w:sz w:val="21"/>
        </w:rPr>
        <w:t>de </w:t>
      </w:r>
      <w:r>
        <w:rPr>
          <w:rFonts w:ascii="Arial" w:hAnsi="Arial"/>
          <w:i/>
          <w:color w:val="231F20"/>
          <w:spacing w:val="-4"/>
          <w:sz w:val="21"/>
        </w:rPr>
        <w:t>Puebla, </w:t>
      </w:r>
      <w:r>
        <w:rPr>
          <w:rFonts w:ascii="Arial" w:hAnsi="Arial"/>
          <w:i/>
          <w:color w:val="231F20"/>
          <w:spacing w:val="-3"/>
          <w:sz w:val="21"/>
        </w:rPr>
        <w:t>México</w:t>
      </w:r>
      <w:r>
        <w:rPr>
          <w:color w:val="231F20"/>
          <w:spacing w:val="-3"/>
          <w:sz w:val="21"/>
        </w:rPr>
        <w:t>, </w:t>
      </w:r>
      <w:r>
        <w:rPr>
          <w:color w:val="231F20"/>
          <w:spacing w:val="-5"/>
          <w:sz w:val="21"/>
        </w:rPr>
        <w:t>Pueb- </w:t>
      </w:r>
      <w:r>
        <w:rPr>
          <w:color w:val="231F20"/>
          <w:sz w:val="21"/>
        </w:rPr>
        <w:t>la, </w:t>
      </w:r>
      <w:r>
        <w:rPr>
          <w:color w:val="231F20"/>
          <w:spacing w:val="-3"/>
          <w:sz w:val="21"/>
        </w:rPr>
        <w:t>México:</w:t>
      </w:r>
      <w:r>
        <w:rPr>
          <w:color w:val="231F20"/>
          <w:spacing w:val="-28"/>
          <w:sz w:val="21"/>
        </w:rPr>
        <w:t> </w:t>
      </w:r>
      <w:r>
        <w:rPr>
          <w:color w:val="231F20"/>
          <w:sz w:val="17"/>
        </w:rPr>
        <w:t>BUAP</w:t>
      </w:r>
      <w:r>
        <w:rPr>
          <w:color w:val="231F20"/>
          <w:sz w:val="21"/>
        </w:rPr>
        <w:t>.</w:t>
      </w:r>
    </w:p>
    <w:p>
      <w:pPr>
        <w:spacing w:line="259" w:lineRule="auto" w:before="3"/>
        <w:ind w:left="2461" w:right="1835" w:hanging="738"/>
        <w:jc w:val="both"/>
        <w:rPr>
          <w:sz w:val="21"/>
        </w:rPr>
      </w:pPr>
      <w:r>
        <w:rPr>
          <w:color w:val="231F20"/>
          <w:w w:val="105"/>
          <w:sz w:val="21"/>
        </w:rPr>
        <w:t>Glick</w:t>
      </w:r>
      <w:r>
        <w:rPr>
          <w:color w:val="231F20"/>
          <w:spacing w:val="-7"/>
          <w:w w:val="105"/>
          <w:sz w:val="21"/>
        </w:rPr>
        <w:t> </w:t>
      </w:r>
      <w:r>
        <w:rPr>
          <w:color w:val="231F20"/>
          <w:spacing w:val="-3"/>
          <w:w w:val="105"/>
          <w:sz w:val="21"/>
        </w:rPr>
        <w:t>Schiller,</w:t>
      </w:r>
      <w:r>
        <w:rPr>
          <w:color w:val="231F20"/>
          <w:spacing w:val="-11"/>
          <w:w w:val="105"/>
          <w:sz w:val="21"/>
        </w:rPr>
        <w:t> </w:t>
      </w:r>
      <w:r>
        <w:rPr>
          <w:color w:val="231F20"/>
          <w:w w:val="105"/>
          <w:sz w:val="21"/>
        </w:rPr>
        <w:t>Nina</w:t>
      </w:r>
      <w:r>
        <w:rPr>
          <w:color w:val="231F20"/>
          <w:spacing w:val="-7"/>
          <w:w w:val="105"/>
          <w:sz w:val="21"/>
        </w:rPr>
        <w:t> </w:t>
      </w:r>
      <w:r>
        <w:rPr>
          <w:color w:val="231F20"/>
          <w:w w:val="105"/>
          <w:sz w:val="21"/>
        </w:rPr>
        <w:t>y</w:t>
      </w:r>
      <w:r>
        <w:rPr>
          <w:color w:val="231F20"/>
          <w:spacing w:val="-7"/>
          <w:w w:val="105"/>
          <w:sz w:val="21"/>
        </w:rPr>
        <w:t> </w:t>
      </w:r>
      <w:r>
        <w:rPr>
          <w:color w:val="231F20"/>
          <w:spacing w:val="-4"/>
          <w:w w:val="105"/>
          <w:sz w:val="21"/>
        </w:rPr>
        <w:t>Caglar,</w:t>
      </w:r>
      <w:r>
        <w:rPr>
          <w:color w:val="231F20"/>
          <w:spacing w:val="-14"/>
          <w:w w:val="105"/>
          <w:sz w:val="21"/>
        </w:rPr>
        <w:t> </w:t>
      </w:r>
      <w:r>
        <w:rPr>
          <w:color w:val="231F20"/>
          <w:w w:val="105"/>
          <w:sz w:val="21"/>
        </w:rPr>
        <w:t>Ayse,</w:t>
      </w:r>
      <w:r>
        <w:rPr>
          <w:color w:val="231F20"/>
          <w:spacing w:val="-11"/>
          <w:w w:val="105"/>
          <w:sz w:val="21"/>
        </w:rPr>
        <w:t> </w:t>
      </w:r>
      <w:r>
        <w:rPr>
          <w:color w:val="231F20"/>
          <w:w w:val="105"/>
          <w:sz w:val="21"/>
        </w:rPr>
        <w:t>(2011),</w:t>
      </w:r>
      <w:r>
        <w:rPr>
          <w:color w:val="231F20"/>
          <w:spacing w:val="-11"/>
          <w:w w:val="105"/>
          <w:sz w:val="21"/>
        </w:rPr>
        <w:t> </w:t>
      </w:r>
      <w:r>
        <w:rPr>
          <w:color w:val="231F20"/>
          <w:spacing w:val="-3"/>
          <w:w w:val="105"/>
          <w:sz w:val="21"/>
        </w:rPr>
        <w:t>“Locality</w:t>
      </w:r>
      <w:r>
        <w:rPr>
          <w:color w:val="231F20"/>
          <w:spacing w:val="-7"/>
          <w:w w:val="105"/>
          <w:sz w:val="21"/>
        </w:rPr>
        <w:t> </w:t>
      </w:r>
      <w:r>
        <w:rPr>
          <w:color w:val="231F20"/>
          <w:w w:val="105"/>
          <w:sz w:val="21"/>
        </w:rPr>
        <w:t>and</w:t>
      </w:r>
      <w:r>
        <w:rPr>
          <w:color w:val="231F20"/>
          <w:spacing w:val="-7"/>
          <w:w w:val="105"/>
          <w:sz w:val="21"/>
        </w:rPr>
        <w:t> </w:t>
      </w:r>
      <w:r>
        <w:rPr>
          <w:color w:val="231F20"/>
          <w:spacing w:val="-3"/>
          <w:w w:val="105"/>
          <w:sz w:val="21"/>
        </w:rPr>
        <w:t>Globality.</w:t>
      </w:r>
      <w:r>
        <w:rPr>
          <w:color w:val="231F20"/>
          <w:spacing w:val="-11"/>
          <w:w w:val="105"/>
          <w:sz w:val="21"/>
        </w:rPr>
        <w:t> </w:t>
      </w:r>
      <w:r>
        <w:rPr>
          <w:color w:val="231F20"/>
          <w:w w:val="105"/>
          <w:sz w:val="21"/>
        </w:rPr>
        <w:t>Build- ing a </w:t>
      </w:r>
      <w:r>
        <w:rPr>
          <w:color w:val="231F20"/>
          <w:spacing w:val="-3"/>
          <w:w w:val="105"/>
          <w:sz w:val="21"/>
        </w:rPr>
        <w:t>Comparative </w:t>
      </w:r>
      <w:r>
        <w:rPr>
          <w:color w:val="231F20"/>
          <w:w w:val="105"/>
          <w:sz w:val="21"/>
        </w:rPr>
        <w:t>Analytical </w:t>
      </w:r>
      <w:r>
        <w:rPr>
          <w:color w:val="231F20"/>
          <w:spacing w:val="-5"/>
          <w:w w:val="105"/>
          <w:sz w:val="21"/>
        </w:rPr>
        <w:t>Framework”, </w:t>
      </w:r>
      <w:r>
        <w:rPr>
          <w:color w:val="231F20"/>
          <w:w w:val="105"/>
          <w:sz w:val="21"/>
        </w:rPr>
        <w:t>en Nina Glick Schiller y</w:t>
      </w:r>
      <w:r>
        <w:rPr>
          <w:color w:val="231F20"/>
          <w:spacing w:val="-20"/>
          <w:w w:val="105"/>
          <w:sz w:val="21"/>
        </w:rPr>
        <w:t> </w:t>
      </w:r>
      <w:r>
        <w:rPr>
          <w:color w:val="231F20"/>
          <w:w w:val="105"/>
          <w:sz w:val="21"/>
        </w:rPr>
        <w:t>Ayse</w:t>
      </w:r>
      <w:r>
        <w:rPr>
          <w:color w:val="231F20"/>
          <w:spacing w:val="-17"/>
          <w:w w:val="105"/>
          <w:sz w:val="21"/>
        </w:rPr>
        <w:t> </w:t>
      </w:r>
      <w:r>
        <w:rPr>
          <w:color w:val="231F20"/>
          <w:spacing w:val="-3"/>
          <w:w w:val="105"/>
          <w:sz w:val="21"/>
        </w:rPr>
        <w:t>Caglar</w:t>
      </w:r>
      <w:r>
        <w:rPr>
          <w:color w:val="231F20"/>
          <w:spacing w:val="-17"/>
          <w:w w:val="105"/>
          <w:sz w:val="21"/>
        </w:rPr>
        <w:t> </w:t>
      </w:r>
      <w:r>
        <w:rPr>
          <w:color w:val="231F20"/>
          <w:w w:val="105"/>
          <w:sz w:val="21"/>
        </w:rPr>
        <w:t>(eds.),</w:t>
      </w:r>
      <w:r>
        <w:rPr>
          <w:color w:val="231F20"/>
          <w:spacing w:val="-21"/>
          <w:w w:val="105"/>
          <w:sz w:val="21"/>
        </w:rPr>
        <w:t> </w:t>
      </w:r>
      <w:r>
        <w:rPr>
          <w:rFonts w:ascii="Arial" w:hAnsi="Arial"/>
          <w:i/>
          <w:color w:val="231F20"/>
          <w:spacing w:val="-3"/>
          <w:w w:val="105"/>
          <w:sz w:val="21"/>
        </w:rPr>
        <w:t>Locating</w:t>
      </w:r>
      <w:r>
        <w:rPr>
          <w:rFonts w:ascii="Arial" w:hAnsi="Arial"/>
          <w:i/>
          <w:color w:val="231F20"/>
          <w:spacing w:val="-19"/>
          <w:w w:val="105"/>
          <w:sz w:val="21"/>
        </w:rPr>
        <w:t> </w:t>
      </w:r>
      <w:r>
        <w:rPr>
          <w:rFonts w:ascii="Arial" w:hAnsi="Arial"/>
          <w:i/>
          <w:color w:val="231F20"/>
          <w:spacing w:val="-3"/>
          <w:w w:val="105"/>
          <w:sz w:val="21"/>
        </w:rPr>
        <w:t>Migration.</w:t>
      </w:r>
      <w:r>
        <w:rPr>
          <w:rFonts w:ascii="Arial" w:hAnsi="Arial"/>
          <w:i/>
          <w:color w:val="231F20"/>
          <w:spacing w:val="-24"/>
          <w:w w:val="105"/>
          <w:sz w:val="21"/>
        </w:rPr>
        <w:t> </w:t>
      </w:r>
      <w:r>
        <w:rPr>
          <w:rFonts w:ascii="Arial" w:hAnsi="Arial"/>
          <w:i/>
          <w:color w:val="231F20"/>
          <w:spacing w:val="-2"/>
          <w:w w:val="105"/>
          <w:sz w:val="21"/>
        </w:rPr>
        <w:t>Rescaling</w:t>
      </w:r>
      <w:r>
        <w:rPr>
          <w:rFonts w:ascii="Arial" w:hAnsi="Arial"/>
          <w:i/>
          <w:color w:val="231F20"/>
          <w:spacing w:val="-19"/>
          <w:w w:val="105"/>
          <w:sz w:val="21"/>
        </w:rPr>
        <w:t> </w:t>
      </w:r>
      <w:r>
        <w:rPr>
          <w:rFonts w:ascii="Arial" w:hAnsi="Arial"/>
          <w:i/>
          <w:color w:val="231F20"/>
          <w:w w:val="105"/>
          <w:sz w:val="21"/>
        </w:rPr>
        <w:t>Cities</w:t>
      </w:r>
      <w:r>
        <w:rPr>
          <w:rFonts w:ascii="Arial" w:hAnsi="Arial"/>
          <w:i/>
          <w:color w:val="231F20"/>
          <w:spacing w:val="-19"/>
          <w:w w:val="105"/>
          <w:sz w:val="21"/>
        </w:rPr>
        <w:t> </w:t>
      </w:r>
      <w:r>
        <w:rPr>
          <w:rFonts w:ascii="Arial" w:hAnsi="Arial"/>
          <w:i/>
          <w:color w:val="231F20"/>
          <w:w w:val="105"/>
          <w:sz w:val="21"/>
        </w:rPr>
        <w:t>and</w:t>
      </w:r>
      <w:r>
        <w:rPr>
          <w:rFonts w:ascii="Arial" w:hAnsi="Arial"/>
          <w:i/>
          <w:color w:val="231F20"/>
          <w:spacing w:val="-19"/>
          <w:w w:val="105"/>
          <w:sz w:val="21"/>
        </w:rPr>
        <w:t> </w:t>
      </w:r>
      <w:r>
        <w:rPr>
          <w:rFonts w:ascii="Arial" w:hAnsi="Arial"/>
          <w:i/>
          <w:color w:val="231F20"/>
          <w:w w:val="105"/>
          <w:sz w:val="21"/>
        </w:rPr>
        <w:t>Mi- </w:t>
      </w:r>
      <w:r>
        <w:rPr>
          <w:rFonts w:ascii="Arial" w:hAnsi="Arial"/>
          <w:i/>
          <w:color w:val="231F20"/>
          <w:sz w:val="21"/>
        </w:rPr>
        <w:t>grants</w:t>
      </w:r>
      <w:r>
        <w:rPr>
          <w:color w:val="231F20"/>
          <w:sz w:val="21"/>
        </w:rPr>
        <w:t>, Nueva </w:t>
      </w:r>
      <w:r>
        <w:rPr>
          <w:color w:val="231F20"/>
          <w:spacing w:val="-6"/>
          <w:sz w:val="21"/>
        </w:rPr>
        <w:t>York: </w:t>
      </w:r>
      <w:r>
        <w:rPr>
          <w:color w:val="231F20"/>
          <w:sz w:val="21"/>
        </w:rPr>
        <w:t>Ithaca/Cornell</w:t>
      </w:r>
      <w:r>
        <w:rPr>
          <w:color w:val="231F20"/>
          <w:spacing w:val="24"/>
          <w:sz w:val="21"/>
        </w:rPr>
        <w:t> </w:t>
      </w:r>
      <w:r>
        <w:rPr>
          <w:color w:val="231F20"/>
          <w:spacing w:val="-3"/>
          <w:sz w:val="21"/>
        </w:rPr>
        <w:t>University.</w:t>
      </w:r>
    </w:p>
    <w:p>
      <w:pPr>
        <w:spacing w:line="259" w:lineRule="auto" w:before="3"/>
        <w:ind w:left="2461" w:right="1831" w:hanging="738"/>
        <w:jc w:val="both"/>
        <w:rPr>
          <w:sz w:val="21"/>
        </w:rPr>
      </w:pPr>
      <w:r>
        <w:rPr>
          <w:color w:val="231F20"/>
          <w:spacing w:val="-3"/>
          <w:sz w:val="21"/>
        </w:rPr>
        <w:t>González Becerril, Juan Gabino, Montoya Arce, Jaciel </w:t>
      </w:r>
      <w:r>
        <w:rPr>
          <w:color w:val="231F20"/>
          <w:sz w:val="21"/>
        </w:rPr>
        <w:t>y </w:t>
      </w:r>
      <w:r>
        <w:rPr>
          <w:color w:val="231F20"/>
          <w:spacing w:val="-3"/>
          <w:sz w:val="21"/>
        </w:rPr>
        <w:t>López </w:t>
      </w:r>
      <w:r>
        <w:rPr>
          <w:color w:val="231F20"/>
          <w:spacing w:val="-4"/>
          <w:sz w:val="21"/>
        </w:rPr>
        <w:t>Vega, Rafael, </w:t>
      </w:r>
      <w:r>
        <w:rPr>
          <w:color w:val="231F20"/>
          <w:spacing w:val="-3"/>
          <w:sz w:val="21"/>
        </w:rPr>
        <w:t>(2012), </w:t>
      </w:r>
      <w:r>
        <w:rPr>
          <w:rFonts w:ascii="Arial" w:hAnsi="Arial"/>
          <w:i/>
          <w:color w:val="231F20"/>
          <w:spacing w:val="-3"/>
          <w:sz w:val="21"/>
        </w:rPr>
        <w:t>Encuesta sobre migración </w:t>
      </w:r>
      <w:r>
        <w:rPr>
          <w:rFonts w:ascii="Arial" w:hAnsi="Arial"/>
          <w:i/>
          <w:color w:val="231F20"/>
          <w:sz w:val="21"/>
        </w:rPr>
        <w:t>de </w:t>
      </w:r>
      <w:r>
        <w:rPr>
          <w:rFonts w:ascii="Arial" w:hAnsi="Arial"/>
          <w:i/>
          <w:color w:val="231F20"/>
          <w:spacing w:val="-3"/>
          <w:sz w:val="21"/>
        </w:rPr>
        <w:t>mexiquenses </w:t>
      </w:r>
      <w:r>
        <w:rPr>
          <w:rFonts w:ascii="Arial" w:hAnsi="Arial"/>
          <w:i/>
          <w:color w:val="231F20"/>
          <w:sz w:val="21"/>
        </w:rPr>
        <w:t>a </w:t>
      </w:r>
      <w:r>
        <w:rPr>
          <w:rFonts w:ascii="Arial" w:hAnsi="Arial"/>
          <w:i/>
          <w:color w:val="231F20"/>
          <w:spacing w:val="-3"/>
          <w:sz w:val="21"/>
        </w:rPr>
        <w:t>Estados Uni- </w:t>
      </w:r>
      <w:r>
        <w:rPr>
          <w:rFonts w:ascii="Arial" w:hAnsi="Arial"/>
          <w:i/>
          <w:color w:val="231F20"/>
          <w:spacing w:val="-3"/>
          <w:sz w:val="21"/>
        </w:rPr>
        <w:t>dos</w:t>
      </w:r>
      <w:r>
        <w:rPr>
          <w:color w:val="231F20"/>
          <w:spacing w:val="-3"/>
          <w:sz w:val="21"/>
        </w:rPr>
        <w:t>, </w:t>
      </w:r>
      <w:r>
        <w:rPr>
          <w:color w:val="231F20"/>
          <w:spacing w:val="-6"/>
          <w:sz w:val="21"/>
        </w:rPr>
        <w:t>Toluca, </w:t>
      </w:r>
      <w:r>
        <w:rPr>
          <w:color w:val="231F20"/>
          <w:spacing w:val="-3"/>
          <w:sz w:val="21"/>
        </w:rPr>
        <w:t>México: </w:t>
      </w:r>
      <w:r>
        <w:rPr>
          <w:color w:val="231F20"/>
          <w:sz w:val="17"/>
        </w:rPr>
        <w:t>UAEM</w:t>
      </w:r>
      <w:r>
        <w:rPr>
          <w:color w:val="231F20"/>
          <w:sz w:val="21"/>
        </w:rPr>
        <w:t>.</w:t>
      </w:r>
    </w:p>
    <w:p>
      <w:pPr>
        <w:spacing w:line="259" w:lineRule="auto" w:before="3"/>
        <w:ind w:left="2461" w:right="1834" w:hanging="738"/>
        <w:jc w:val="both"/>
        <w:rPr>
          <w:sz w:val="21"/>
        </w:rPr>
      </w:pPr>
      <w:r>
        <w:rPr>
          <w:color w:val="231F20"/>
          <w:w w:val="105"/>
          <w:sz w:val="21"/>
        </w:rPr>
        <w:t>González</w:t>
      </w:r>
      <w:r>
        <w:rPr>
          <w:color w:val="231F20"/>
          <w:spacing w:val="-34"/>
          <w:w w:val="105"/>
          <w:sz w:val="21"/>
        </w:rPr>
        <w:t> </w:t>
      </w:r>
      <w:r>
        <w:rPr>
          <w:color w:val="231F20"/>
          <w:w w:val="105"/>
          <w:sz w:val="21"/>
        </w:rPr>
        <w:t>Becerril,</w:t>
      </w:r>
      <w:r>
        <w:rPr>
          <w:color w:val="231F20"/>
          <w:spacing w:val="-39"/>
          <w:w w:val="105"/>
          <w:sz w:val="21"/>
        </w:rPr>
        <w:t> </w:t>
      </w:r>
      <w:r>
        <w:rPr>
          <w:color w:val="231F20"/>
          <w:w w:val="105"/>
          <w:sz w:val="21"/>
        </w:rPr>
        <w:t>Juan</w:t>
      </w:r>
      <w:r>
        <w:rPr>
          <w:color w:val="231F20"/>
          <w:spacing w:val="-34"/>
          <w:w w:val="105"/>
          <w:sz w:val="21"/>
        </w:rPr>
        <w:t> </w:t>
      </w:r>
      <w:r>
        <w:rPr>
          <w:color w:val="231F20"/>
          <w:w w:val="105"/>
          <w:sz w:val="21"/>
        </w:rPr>
        <w:t>Gabino</w:t>
      </w:r>
      <w:r>
        <w:rPr>
          <w:color w:val="231F20"/>
          <w:spacing w:val="-34"/>
          <w:w w:val="105"/>
          <w:sz w:val="21"/>
        </w:rPr>
        <w:t> </w:t>
      </w:r>
      <w:r>
        <w:rPr>
          <w:color w:val="231F20"/>
          <w:w w:val="105"/>
          <w:sz w:val="21"/>
        </w:rPr>
        <w:t>y</w:t>
      </w:r>
      <w:r>
        <w:rPr>
          <w:color w:val="231F20"/>
          <w:spacing w:val="-34"/>
          <w:w w:val="105"/>
          <w:sz w:val="21"/>
        </w:rPr>
        <w:t> </w:t>
      </w:r>
      <w:r>
        <w:rPr>
          <w:color w:val="231F20"/>
          <w:spacing w:val="-3"/>
          <w:w w:val="105"/>
          <w:sz w:val="21"/>
        </w:rPr>
        <w:t>Soberón</w:t>
      </w:r>
      <w:r>
        <w:rPr>
          <w:color w:val="231F20"/>
          <w:spacing w:val="-34"/>
          <w:w w:val="105"/>
          <w:sz w:val="21"/>
        </w:rPr>
        <w:t> </w:t>
      </w:r>
      <w:r>
        <w:rPr>
          <w:color w:val="231F20"/>
          <w:w w:val="105"/>
          <w:sz w:val="21"/>
        </w:rPr>
        <w:t>Mora,</w:t>
      </w:r>
      <w:r>
        <w:rPr>
          <w:color w:val="231F20"/>
          <w:spacing w:val="-39"/>
          <w:w w:val="105"/>
          <w:sz w:val="21"/>
        </w:rPr>
        <w:t> </w:t>
      </w:r>
      <w:r>
        <w:rPr>
          <w:color w:val="231F20"/>
          <w:w w:val="105"/>
          <w:sz w:val="21"/>
        </w:rPr>
        <w:t>José</w:t>
      </w:r>
      <w:r>
        <w:rPr>
          <w:color w:val="231F20"/>
          <w:spacing w:val="-36"/>
          <w:w w:val="105"/>
          <w:sz w:val="21"/>
        </w:rPr>
        <w:t> </w:t>
      </w:r>
      <w:r>
        <w:rPr>
          <w:color w:val="231F20"/>
          <w:w w:val="105"/>
          <w:sz w:val="21"/>
        </w:rPr>
        <w:t>Antonio,</w:t>
      </w:r>
      <w:r>
        <w:rPr>
          <w:color w:val="231F20"/>
          <w:spacing w:val="-37"/>
          <w:w w:val="105"/>
          <w:sz w:val="21"/>
        </w:rPr>
        <w:t> </w:t>
      </w:r>
      <w:r>
        <w:rPr>
          <w:color w:val="231F20"/>
          <w:w w:val="105"/>
          <w:sz w:val="21"/>
        </w:rPr>
        <w:t>(2015),</w:t>
      </w:r>
      <w:r>
        <w:rPr>
          <w:color w:val="231F20"/>
          <w:spacing w:val="-37"/>
          <w:w w:val="105"/>
          <w:sz w:val="21"/>
        </w:rPr>
        <w:t> </w:t>
      </w:r>
      <w:r>
        <w:rPr>
          <w:color w:val="231F20"/>
          <w:spacing w:val="-2"/>
          <w:w w:val="105"/>
          <w:sz w:val="21"/>
        </w:rPr>
        <w:t>“El </w:t>
      </w:r>
      <w:r>
        <w:rPr>
          <w:color w:val="231F20"/>
          <w:w w:val="105"/>
          <w:sz w:val="21"/>
        </w:rPr>
        <w:t>origen rural de la migración de los mexiquenses a Estados Uni- </w:t>
      </w:r>
      <w:r>
        <w:rPr>
          <w:color w:val="231F20"/>
          <w:spacing w:val="-7"/>
          <w:w w:val="105"/>
          <w:sz w:val="21"/>
        </w:rPr>
        <w:t>dos”,</w:t>
      </w:r>
      <w:r>
        <w:rPr>
          <w:color w:val="231F20"/>
          <w:spacing w:val="-34"/>
          <w:w w:val="105"/>
          <w:sz w:val="21"/>
        </w:rPr>
        <w:t> </w:t>
      </w:r>
      <w:r>
        <w:rPr>
          <w:color w:val="231F20"/>
          <w:w w:val="105"/>
          <w:sz w:val="21"/>
        </w:rPr>
        <w:t>en</w:t>
      </w:r>
      <w:r>
        <w:rPr>
          <w:color w:val="231F20"/>
          <w:spacing w:val="-30"/>
          <w:w w:val="105"/>
          <w:sz w:val="21"/>
        </w:rPr>
        <w:t> </w:t>
      </w:r>
      <w:r>
        <w:rPr>
          <w:color w:val="231F20"/>
          <w:w w:val="105"/>
          <w:sz w:val="21"/>
        </w:rPr>
        <w:t>Norma</w:t>
      </w:r>
      <w:r>
        <w:rPr>
          <w:color w:val="231F20"/>
          <w:spacing w:val="-30"/>
          <w:w w:val="105"/>
          <w:sz w:val="21"/>
        </w:rPr>
        <w:t> </w:t>
      </w:r>
      <w:r>
        <w:rPr>
          <w:color w:val="231F20"/>
          <w:w w:val="105"/>
          <w:sz w:val="21"/>
        </w:rPr>
        <w:t>Baca</w:t>
      </w:r>
      <w:r>
        <w:rPr>
          <w:color w:val="231F20"/>
          <w:spacing w:val="-33"/>
          <w:w w:val="105"/>
          <w:sz w:val="21"/>
        </w:rPr>
        <w:t> </w:t>
      </w:r>
      <w:r>
        <w:rPr>
          <w:color w:val="231F20"/>
          <w:spacing w:val="-6"/>
          <w:w w:val="105"/>
          <w:sz w:val="21"/>
        </w:rPr>
        <w:t>Tavira</w:t>
      </w:r>
      <w:r>
        <w:rPr>
          <w:color w:val="231F20"/>
          <w:spacing w:val="-30"/>
          <w:w w:val="105"/>
          <w:sz w:val="21"/>
        </w:rPr>
        <w:t> </w:t>
      </w:r>
      <w:r>
        <w:rPr>
          <w:color w:val="231F20"/>
          <w:w w:val="105"/>
          <w:sz w:val="21"/>
        </w:rPr>
        <w:t>y</w:t>
      </w:r>
      <w:r>
        <w:rPr>
          <w:color w:val="231F20"/>
          <w:spacing w:val="-30"/>
          <w:w w:val="105"/>
          <w:sz w:val="21"/>
        </w:rPr>
        <w:t> </w:t>
      </w:r>
      <w:r>
        <w:rPr>
          <w:color w:val="231F20"/>
          <w:spacing w:val="-3"/>
          <w:w w:val="105"/>
          <w:sz w:val="21"/>
        </w:rPr>
        <w:t>Renato</w:t>
      </w:r>
      <w:r>
        <w:rPr>
          <w:color w:val="231F20"/>
          <w:spacing w:val="-30"/>
          <w:w w:val="105"/>
          <w:sz w:val="21"/>
        </w:rPr>
        <w:t> </w:t>
      </w:r>
      <w:r>
        <w:rPr>
          <w:color w:val="231F20"/>
          <w:w w:val="105"/>
          <w:sz w:val="21"/>
        </w:rPr>
        <w:t>Salas</w:t>
      </w:r>
      <w:r>
        <w:rPr>
          <w:color w:val="231F20"/>
          <w:spacing w:val="-33"/>
          <w:w w:val="105"/>
          <w:sz w:val="21"/>
        </w:rPr>
        <w:t> </w:t>
      </w:r>
      <w:r>
        <w:rPr>
          <w:color w:val="231F20"/>
          <w:spacing w:val="-3"/>
          <w:w w:val="105"/>
          <w:sz w:val="21"/>
        </w:rPr>
        <w:t>Alfaro</w:t>
      </w:r>
      <w:r>
        <w:rPr>
          <w:color w:val="231F20"/>
          <w:spacing w:val="-30"/>
          <w:w w:val="105"/>
          <w:sz w:val="21"/>
        </w:rPr>
        <w:t> </w:t>
      </w:r>
      <w:r>
        <w:rPr>
          <w:color w:val="231F20"/>
          <w:spacing w:val="-3"/>
          <w:w w:val="105"/>
          <w:sz w:val="21"/>
        </w:rPr>
        <w:t>(coords.),</w:t>
      </w:r>
      <w:r>
        <w:rPr>
          <w:color w:val="231F20"/>
          <w:spacing w:val="-34"/>
          <w:w w:val="105"/>
          <w:sz w:val="21"/>
        </w:rPr>
        <w:t> </w:t>
      </w:r>
      <w:r>
        <w:rPr>
          <w:rFonts w:ascii="Arial" w:hAnsi="Arial"/>
          <w:i/>
          <w:color w:val="231F20"/>
          <w:w w:val="105"/>
          <w:sz w:val="21"/>
        </w:rPr>
        <w:t>Migra- </w:t>
      </w:r>
      <w:r>
        <w:rPr>
          <w:rFonts w:ascii="Arial" w:hAnsi="Arial"/>
          <w:i/>
          <w:color w:val="231F20"/>
          <w:w w:val="105"/>
          <w:sz w:val="21"/>
        </w:rPr>
        <w:t>ción internacional, territorios y sujetos migrantes del Estado de </w:t>
      </w:r>
      <w:r>
        <w:rPr>
          <w:rFonts w:ascii="Arial" w:hAnsi="Arial"/>
          <w:i/>
          <w:color w:val="231F20"/>
          <w:sz w:val="21"/>
        </w:rPr>
        <w:t>México</w:t>
      </w:r>
      <w:r>
        <w:rPr>
          <w:color w:val="231F20"/>
          <w:sz w:val="21"/>
        </w:rPr>
        <w:t>, </w:t>
      </w:r>
      <w:r>
        <w:rPr>
          <w:color w:val="231F20"/>
          <w:spacing w:val="-5"/>
          <w:sz w:val="21"/>
        </w:rPr>
        <w:t>Toluca, </w:t>
      </w:r>
      <w:r>
        <w:rPr>
          <w:color w:val="231F20"/>
          <w:sz w:val="21"/>
        </w:rPr>
        <w:t>México:</w:t>
      </w:r>
      <w:r>
        <w:rPr>
          <w:color w:val="231F20"/>
          <w:spacing w:val="13"/>
          <w:sz w:val="21"/>
        </w:rPr>
        <w:t> </w:t>
      </w:r>
      <w:r>
        <w:rPr>
          <w:color w:val="231F20"/>
          <w:sz w:val="17"/>
        </w:rPr>
        <w:t>EÓN</w:t>
      </w:r>
      <w:r>
        <w:rPr>
          <w:color w:val="231F20"/>
          <w:sz w:val="21"/>
        </w:rPr>
        <w:t>/</w:t>
      </w:r>
      <w:r>
        <w:rPr>
          <w:color w:val="231F20"/>
          <w:sz w:val="17"/>
        </w:rPr>
        <w:t>UAEM</w:t>
      </w:r>
      <w:r>
        <w:rPr>
          <w:color w:val="231F20"/>
          <w:sz w:val="21"/>
        </w:rPr>
        <w:t>.</w:t>
      </w:r>
    </w:p>
    <w:p>
      <w:pPr>
        <w:spacing w:line="259" w:lineRule="auto" w:before="3"/>
        <w:ind w:left="2461" w:right="1835" w:hanging="738"/>
        <w:jc w:val="both"/>
        <w:rPr>
          <w:sz w:val="21"/>
        </w:rPr>
      </w:pPr>
      <w:r>
        <w:rPr>
          <w:color w:val="231F20"/>
          <w:w w:val="105"/>
          <w:sz w:val="21"/>
        </w:rPr>
        <w:t>Guarnizo,</w:t>
      </w:r>
      <w:r>
        <w:rPr>
          <w:color w:val="231F20"/>
          <w:spacing w:val="-11"/>
          <w:w w:val="105"/>
          <w:sz w:val="21"/>
        </w:rPr>
        <w:t> </w:t>
      </w:r>
      <w:r>
        <w:rPr>
          <w:color w:val="231F20"/>
          <w:w w:val="105"/>
          <w:sz w:val="21"/>
        </w:rPr>
        <w:t>Luis</w:t>
      </w:r>
      <w:r>
        <w:rPr>
          <w:color w:val="231F20"/>
          <w:spacing w:val="-6"/>
          <w:w w:val="105"/>
          <w:sz w:val="21"/>
        </w:rPr>
        <w:t> </w:t>
      </w:r>
      <w:r>
        <w:rPr>
          <w:color w:val="231F20"/>
          <w:w w:val="105"/>
          <w:sz w:val="21"/>
        </w:rPr>
        <w:t>Eduardo,</w:t>
      </w:r>
      <w:r>
        <w:rPr>
          <w:color w:val="231F20"/>
          <w:spacing w:val="-11"/>
          <w:w w:val="105"/>
          <w:sz w:val="21"/>
        </w:rPr>
        <w:t> </w:t>
      </w:r>
      <w:r>
        <w:rPr>
          <w:color w:val="231F20"/>
          <w:w w:val="105"/>
          <w:sz w:val="21"/>
        </w:rPr>
        <w:t>(2010),</w:t>
      </w:r>
      <w:r>
        <w:rPr>
          <w:color w:val="231F20"/>
          <w:spacing w:val="-11"/>
          <w:w w:val="105"/>
          <w:sz w:val="21"/>
        </w:rPr>
        <w:t> </w:t>
      </w:r>
      <w:r>
        <w:rPr>
          <w:color w:val="231F20"/>
          <w:w w:val="105"/>
          <w:sz w:val="21"/>
        </w:rPr>
        <w:t>“Notas</w:t>
      </w:r>
      <w:r>
        <w:rPr>
          <w:color w:val="231F20"/>
          <w:spacing w:val="-6"/>
          <w:w w:val="105"/>
          <w:sz w:val="21"/>
        </w:rPr>
        <w:t> </w:t>
      </w:r>
      <w:r>
        <w:rPr>
          <w:color w:val="231F20"/>
          <w:w w:val="105"/>
          <w:sz w:val="21"/>
        </w:rPr>
        <w:t>sobre</w:t>
      </w:r>
      <w:r>
        <w:rPr>
          <w:color w:val="231F20"/>
          <w:spacing w:val="-6"/>
          <w:w w:val="105"/>
          <w:sz w:val="21"/>
        </w:rPr>
        <w:t> </w:t>
      </w:r>
      <w:r>
        <w:rPr>
          <w:color w:val="231F20"/>
          <w:w w:val="105"/>
          <w:sz w:val="21"/>
        </w:rPr>
        <w:t>la</w:t>
      </w:r>
      <w:r>
        <w:rPr>
          <w:color w:val="231F20"/>
          <w:spacing w:val="-6"/>
          <w:w w:val="105"/>
          <w:sz w:val="21"/>
        </w:rPr>
        <w:t> </w:t>
      </w:r>
      <w:r>
        <w:rPr>
          <w:color w:val="231F20"/>
          <w:w w:val="105"/>
          <w:sz w:val="21"/>
        </w:rPr>
        <w:t>movilidad</w:t>
      </w:r>
      <w:r>
        <w:rPr>
          <w:color w:val="231F20"/>
          <w:spacing w:val="-6"/>
          <w:w w:val="105"/>
          <w:sz w:val="21"/>
        </w:rPr>
        <w:t> </w:t>
      </w:r>
      <w:r>
        <w:rPr>
          <w:color w:val="231F20"/>
          <w:w w:val="105"/>
          <w:sz w:val="21"/>
        </w:rPr>
        <w:t>contemporá- nea</w:t>
      </w:r>
      <w:r>
        <w:rPr>
          <w:color w:val="231F20"/>
          <w:spacing w:val="-9"/>
          <w:w w:val="105"/>
          <w:sz w:val="21"/>
        </w:rPr>
        <w:t> </w:t>
      </w:r>
      <w:r>
        <w:rPr>
          <w:color w:val="231F20"/>
          <w:w w:val="105"/>
          <w:sz w:val="21"/>
        </w:rPr>
        <w:t>del</w:t>
      </w:r>
      <w:r>
        <w:rPr>
          <w:color w:val="231F20"/>
          <w:spacing w:val="-9"/>
          <w:w w:val="105"/>
          <w:sz w:val="21"/>
        </w:rPr>
        <w:t> </w:t>
      </w:r>
      <w:r>
        <w:rPr>
          <w:color w:val="231F20"/>
          <w:w w:val="105"/>
          <w:sz w:val="21"/>
        </w:rPr>
        <w:t>capital</w:t>
      </w:r>
      <w:r>
        <w:rPr>
          <w:color w:val="231F20"/>
          <w:spacing w:val="-9"/>
          <w:w w:val="105"/>
          <w:sz w:val="21"/>
        </w:rPr>
        <w:t> </w:t>
      </w:r>
      <w:r>
        <w:rPr>
          <w:color w:val="231F20"/>
          <w:w w:val="105"/>
          <w:sz w:val="21"/>
        </w:rPr>
        <w:t>y</w:t>
      </w:r>
      <w:r>
        <w:rPr>
          <w:color w:val="231F20"/>
          <w:spacing w:val="-9"/>
          <w:w w:val="105"/>
          <w:sz w:val="21"/>
        </w:rPr>
        <w:t> </w:t>
      </w:r>
      <w:r>
        <w:rPr>
          <w:color w:val="231F20"/>
          <w:w w:val="105"/>
          <w:sz w:val="21"/>
        </w:rPr>
        <w:t>del</w:t>
      </w:r>
      <w:r>
        <w:rPr>
          <w:color w:val="231F20"/>
          <w:spacing w:val="-9"/>
          <w:w w:val="105"/>
          <w:sz w:val="21"/>
        </w:rPr>
        <w:t> </w:t>
      </w:r>
      <w:r>
        <w:rPr>
          <w:color w:val="231F20"/>
          <w:spacing w:val="-4"/>
          <w:w w:val="105"/>
          <w:sz w:val="21"/>
        </w:rPr>
        <w:t>trabajo”,</w:t>
      </w:r>
      <w:r>
        <w:rPr>
          <w:color w:val="231F20"/>
          <w:spacing w:val="-14"/>
          <w:w w:val="105"/>
          <w:sz w:val="21"/>
        </w:rPr>
        <w:t> </w:t>
      </w:r>
      <w:r>
        <w:rPr>
          <w:color w:val="231F20"/>
          <w:w w:val="105"/>
          <w:sz w:val="21"/>
        </w:rPr>
        <w:t>en</w:t>
      </w:r>
      <w:r>
        <w:rPr>
          <w:color w:val="231F20"/>
          <w:spacing w:val="-9"/>
          <w:w w:val="105"/>
          <w:sz w:val="21"/>
        </w:rPr>
        <w:t> </w:t>
      </w:r>
      <w:r>
        <w:rPr>
          <w:color w:val="231F20"/>
          <w:w w:val="105"/>
          <w:sz w:val="21"/>
        </w:rPr>
        <w:t>Sara</w:t>
      </w:r>
      <w:r>
        <w:rPr>
          <w:color w:val="231F20"/>
          <w:spacing w:val="-9"/>
          <w:w w:val="105"/>
          <w:sz w:val="21"/>
        </w:rPr>
        <w:t> </w:t>
      </w:r>
      <w:r>
        <w:rPr>
          <w:color w:val="231F20"/>
          <w:w w:val="105"/>
          <w:sz w:val="21"/>
        </w:rPr>
        <w:t>María</w:t>
      </w:r>
      <w:r>
        <w:rPr>
          <w:color w:val="231F20"/>
          <w:spacing w:val="-9"/>
          <w:w w:val="105"/>
          <w:sz w:val="21"/>
        </w:rPr>
        <w:t> </w:t>
      </w:r>
      <w:r>
        <w:rPr>
          <w:color w:val="231F20"/>
          <w:w w:val="105"/>
          <w:sz w:val="21"/>
        </w:rPr>
        <w:t>Lara</w:t>
      </w:r>
      <w:r>
        <w:rPr>
          <w:color w:val="231F20"/>
          <w:spacing w:val="-9"/>
          <w:w w:val="105"/>
          <w:sz w:val="21"/>
        </w:rPr>
        <w:t> </w:t>
      </w:r>
      <w:r>
        <w:rPr>
          <w:color w:val="231F20"/>
          <w:w w:val="105"/>
          <w:sz w:val="21"/>
        </w:rPr>
        <w:t>(coord.),</w:t>
      </w:r>
      <w:r>
        <w:rPr>
          <w:color w:val="231F20"/>
          <w:spacing w:val="-14"/>
          <w:w w:val="105"/>
          <w:sz w:val="21"/>
        </w:rPr>
        <w:t> </w:t>
      </w:r>
      <w:r>
        <w:rPr>
          <w:rFonts w:ascii="Arial" w:hAnsi="Arial"/>
          <w:i/>
          <w:color w:val="231F20"/>
          <w:w w:val="105"/>
          <w:sz w:val="21"/>
        </w:rPr>
        <w:t>Migra- </w:t>
      </w:r>
      <w:r>
        <w:rPr>
          <w:rFonts w:ascii="Arial" w:hAnsi="Arial"/>
          <w:i/>
          <w:color w:val="231F20"/>
          <w:w w:val="105"/>
          <w:sz w:val="21"/>
        </w:rPr>
        <w:t>ciones de trabajo y movilidad territorial, </w:t>
      </w:r>
      <w:r>
        <w:rPr>
          <w:color w:val="231F20"/>
          <w:w w:val="105"/>
          <w:sz w:val="21"/>
        </w:rPr>
        <w:t>México: Miguel Ángel Porrúa/Cámara</w:t>
      </w:r>
      <w:r>
        <w:rPr>
          <w:color w:val="231F20"/>
          <w:spacing w:val="-37"/>
          <w:w w:val="105"/>
          <w:sz w:val="21"/>
        </w:rPr>
        <w:t> </w:t>
      </w:r>
      <w:r>
        <w:rPr>
          <w:color w:val="231F20"/>
          <w:w w:val="105"/>
          <w:sz w:val="21"/>
        </w:rPr>
        <w:t>de</w:t>
      </w:r>
      <w:r>
        <w:rPr>
          <w:color w:val="231F20"/>
          <w:spacing w:val="-37"/>
          <w:w w:val="105"/>
          <w:sz w:val="21"/>
        </w:rPr>
        <w:t> </w:t>
      </w:r>
      <w:r>
        <w:rPr>
          <w:color w:val="231F20"/>
          <w:w w:val="105"/>
          <w:sz w:val="21"/>
        </w:rPr>
        <w:t>Diputados.</w:t>
      </w:r>
    </w:p>
    <w:p>
      <w:pPr>
        <w:pStyle w:val="BodyText"/>
        <w:rPr>
          <w:sz w:val="20"/>
        </w:rPr>
      </w:pPr>
    </w:p>
    <w:p>
      <w:pPr>
        <w:pStyle w:val="BodyText"/>
        <w:spacing w:before="10"/>
        <w:rPr>
          <w:sz w:val="26"/>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62232" from="131.551193pt,3.753715pt" to="131.551193pt,39.556114pt" stroked="true" strokeweight=".35pt" strokecolor="#231f20">
            <w10:wrap type="none"/>
          </v:line>
        </w:pict>
      </w:r>
      <w:r>
        <w:rPr/>
        <w:pict>
          <v:line style="position:absolute;mso-position-horizontal-relative:page;mso-position-vertical-relative:paragraph;z-index:-462160" from="15pt,39.555916pt" to="0pt,39.555916pt" stroked="true" strokeweight=".25pt" strokecolor="#000000">
            <w10:wrap type="none"/>
          </v:line>
        </w:pict>
      </w:r>
      <w:r>
        <w:rPr/>
        <w:pict>
          <v:line style="position:absolute;mso-position-horizontal-relative:page;mso-position-vertical-relative:paragraph;z-index:28048" from="508.890015pt,39.555916pt" to="523.890015pt,39.555916pt" stroked="true" strokeweight=".25pt" strokecolor="#000000">
            <w10:wrap type="none"/>
          </v:line>
        </w:pict>
      </w:r>
      <w:r>
        <w:rPr>
          <w:rFonts w:ascii="Arial" w:hAnsi="Arial"/>
          <w:color w:val="414042"/>
          <w:w w:val="105"/>
          <w:position w:val="-5"/>
          <w:sz w:val="20"/>
        </w:rPr>
        <w:t>226</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3461" w:right="-9" w:firstLine="1006"/>
        <w:jc w:val="left"/>
        <w:rPr>
          <w:rFonts w:ascii="Lucida Sans Unicode" w:hAnsi="Lucida Sans Unicode"/>
          <w:sz w:val="14"/>
        </w:rPr>
      </w:pPr>
      <w:r>
        <w:rPr/>
        <w:pict>
          <v:line style="position:absolute;mso-position-horizontal-relative:page;mso-position-vertical-relative:paragraph;z-index:28072" from="405.061005pt,-28.381052pt" to="405.061005pt,6.484822pt" stroked="true" strokeweight=".35pt" strokecolor="#231f20">
            <w10:wrap type="none"/>
          </v:line>
        </w:pict>
      </w:r>
      <w:r>
        <w:rPr>
          <w:rFonts w:ascii="Lucida Sans Unicode" w:hAnsi="Lucida Sans Unicode"/>
          <w:color w:val="6D6E71"/>
          <w:w w:val="105"/>
          <w:sz w:val="14"/>
        </w:rPr>
        <w:t>De regreso al terruño: reinserción sociocultural De</w:t>
      </w:r>
      <w:r>
        <w:rPr>
          <w:rFonts w:ascii="Lucida Sans Unicode" w:hAnsi="Lucida Sans Unicode"/>
          <w:color w:val="6D6E71"/>
          <w:spacing w:val="-30"/>
          <w:w w:val="105"/>
          <w:sz w:val="14"/>
        </w:rPr>
        <w:t> </w:t>
      </w:r>
      <w:r>
        <w:rPr>
          <w:rFonts w:ascii="Lucida Sans Unicode" w:hAnsi="Lucida Sans Unicode"/>
          <w:color w:val="6D6E71"/>
          <w:w w:val="105"/>
          <w:sz w:val="14"/>
        </w:rPr>
        <w:t>migrantes</w:t>
      </w:r>
      <w:r>
        <w:rPr>
          <w:rFonts w:ascii="Lucida Sans Unicode" w:hAnsi="Lucida Sans Unicode"/>
          <w:color w:val="6D6E71"/>
          <w:spacing w:val="-30"/>
          <w:w w:val="105"/>
          <w:sz w:val="14"/>
        </w:rPr>
        <w:t> </w:t>
      </w:r>
      <w:r>
        <w:rPr>
          <w:rFonts w:ascii="Lucida Sans Unicode" w:hAnsi="Lucida Sans Unicode"/>
          <w:color w:val="6D6E71"/>
          <w:w w:val="105"/>
          <w:sz w:val="14"/>
        </w:rPr>
        <w:t>inDígenas</w:t>
      </w:r>
      <w:r>
        <w:rPr>
          <w:rFonts w:ascii="Lucida Sans Unicode" w:hAnsi="Lucida Sans Unicode"/>
          <w:color w:val="6D6E71"/>
          <w:spacing w:val="-30"/>
          <w:w w:val="105"/>
          <w:sz w:val="14"/>
        </w:rPr>
        <w:t> </w:t>
      </w:r>
      <w:r>
        <w:rPr>
          <w:rFonts w:ascii="Lucida Sans Unicode" w:hAnsi="Lucida Sans Unicode"/>
          <w:color w:val="6D6E71"/>
          <w:w w:val="105"/>
          <w:sz w:val="14"/>
        </w:rPr>
        <w:t>mazahuas</w:t>
      </w:r>
      <w:r>
        <w:rPr>
          <w:rFonts w:ascii="Lucida Sans Unicode" w:hAnsi="Lucida Sans Unicode"/>
          <w:color w:val="6D6E71"/>
          <w:spacing w:val="-30"/>
          <w:w w:val="105"/>
          <w:sz w:val="14"/>
        </w:rPr>
        <w:t> </w:t>
      </w:r>
      <w:r>
        <w:rPr>
          <w:rFonts w:ascii="Lucida Sans Unicode" w:hAnsi="Lucida Sans Unicode"/>
          <w:color w:val="6D6E71"/>
          <w:w w:val="105"/>
          <w:sz w:val="14"/>
        </w:rPr>
        <w:t>retornaDos</w:t>
      </w:r>
      <w:r>
        <w:rPr>
          <w:rFonts w:ascii="Lucida Sans Unicode" w:hAnsi="Lucida Sans Unicode"/>
          <w:color w:val="6D6E71"/>
          <w:spacing w:val="-30"/>
          <w:w w:val="105"/>
          <w:sz w:val="14"/>
        </w:rPr>
        <w:t> </w:t>
      </w:r>
      <w:r>
        <w:rPr>
          <w:rFonts w:ascii="Lucida Sans Unicode" w:hAnsi="Lucida Sans Unicode"/>
          <w:color w:val="6D6E71"/>
          <w:w w:val="105"/>
          <w:sz w:val="14"/>
        </w:rPr>
        <w:t>De</w:t>
      </w:r>
      <w:r>
        <w:rPr>
          <w:rFonts w:ascii="Lucida Sans Unicode" w:hAnsi="Lucida Sans Unicode"/>
          <w:color w:val="6D6E71"/>
          <w:spacing w:val="-30"/>
          <w:w w:val="105"/>
          <w:sz w:val="14"/>
        </w:rPr>
        <w:t> </w:t>
      </w:r>
      <w:r>
        <w:rPr>
          <w:rFonts w:ascii="Lucida Sans Unicode" w:hAnsi="Lucida Sans Unicode"/>
          <w:color w:val="6D6E71"/>
          <w:w w:val="105"/>
          <w:sz w:val="14"/>
        </w:rPr>
        <w:t>estaDos</w:t>
      </w:r>
      <w:r>
        <w:rPr>
          <w:rFonts w:ascii="Lucida Sans Unicode" w:hAnsi="Lucida Sans Unicode"/>
          <w:color w:val="6D6E71"/>
          <w:spacing w:val="-30"/>
          <w:w w:val="105"/>
          <w:sz w:val="14"/>
        </w:rPr>
        <w:t> </w:t>
      </w:r>
      <w:r>
        <w:rPr>
          <w:rFonts w:ascii="Lucida Sans Unicode" w:hAnsi="Lucida Sans Unicode"/>
          <w:color w:val="6D6E71"/>
          <w:w w:val="105"/>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28096" from="15pt,-28.286539pt" to="0pt,-28.286539pt" stroked="true" strokeweight=".25pt" strokecolor="#000000">
            <w10:wrap type="none"/>
          </v:line>
        </w:pict>
      </w:r>
      <w:r>
        <w:rPr/>
        <w:pict>
          <v:line style="position:absolute;mso-position-horizontal-relative:page;mso-position-vertical-relative:paragraph;z-index:28120" from="508.890015pt,-28.286539pt" to="523.890015pt,-28.286539pt" stroked="true" strokeweight=".25pt" strokecolor="#000000">
            <w10:wrap type="none"/>
          </v:line>
        </w:pict>
      </w:r>
      <w:r>
        <w:rPr>
          <w:rFonts w:ascii="Arial"/>
          <w:color w:val="414042"/>
          <w:sz w:val="20"/>
        </w:rPr>
        <w:t>227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3"/>
        <w:rPr>
          <w:rFonts w:ascii="Arial"/>
          <w:sz w:val="16"/>
        </w:rPr>
      </w:pPr>
    </w:p>
    <w:p>
      <w:pPr>
        <w:pStyle w:val="BodyText"/>
        <w:tabs>
          <w:tab w:pos="2677" w:val="left" w:leader="none"/>
        </w:tabs>
        <w:spacing w:line="261" w:lineRule="auto" w:before="60"/>
        <w:ind w:left="1837" w:right="1721"/>
        <w:jc w:val="right"/>
      </w:pPr>
      <w:r>
        <w:rPr>
          <w:color w:val="231F20"/>
          <w:w w:val="94"/>
          <w:u w:val="single" w:color="221E1F"/>
        </w:rPr>
        <w:t> </w:t>
      </w:r>
      <w:r>
        <w:rPr>
          <w:color w:val="231F20"/>
          <w:u w:val="single" w:color="221E1F"/>
        </w:rPr>
        <w:tab/>
      </w:r>
      <w:r>
        <w:rPr>
          <w:color w:val="231F20"/>
          <w:spacing w:val="18"/>
        </w:rPr>
        <w:t> </w:t>
      </w:r>
      <w:r>
        <w:rPr>
          <w:color w:val="231F20"/>
          <w:w w:val="105"/>
        </w:rPr>
        <w:t>(2014), “Emigración internacional y retorno en la</w:t>
      </w:r>
      <w:r>
        <w:rPr>
          <w:color w:val="231F20"/>
          <w:spacing w:val="58"/>
          <w:w w:val="105"/>
        </w:rPr>
        <w:t> </w:t>
      </w:r>
      <w:r>
        <w:rPr>
          <w:color w:val="231F20"/>
          <w:w w:val="105"/>
        </w:rPr>
        <w:t>región</w:t>
      </w:r>
      <w:r>
        <w:rPr>
          <w:color w:val="231F20"/>
          <w:spacing w:val="9"/>
          <w:w w:val="105"/>
        </w:rPr>
        <w:t> </w:t>
      </w:r>
      <w:r>
        <w:rPr>
          <w:color w:val="231F20"/>
          <w:w w:val="105"/>
        </w:rPr>
        <w:t>andi-</w:t>
      </w:r>
      <w:r>
        <w:rPr>
          <w:color w:val="231F20"/>
          <w:w w:val="96"/>
        </w:rPr>
        <w:t> </w:t>
      </w:r>
      <w:r>
        <w:rPr>
          <w:color w:val="231F20"/>
          <w:spacing w:val="-8"/>
          <w:w w:val="105"/>
        </w:rPr>
        <w:t>na”, </w:t>
      </w:r>
      <w:r>
        <w:rPr>
          <w:color w:val="231F20"/>
          <w:w w:val="105"/>
        </w:rPr>
        <w:t>Conferencia presentada en el </w:t>
      </w:r>
      <w:r>
        <w:rPr>
          <w:rFonts w:ascii="Arial" w:hAnsi="Arial"/>
          <w:i/>
          <w:color w:val="231F20"/>
          <w:w w:val="105"/>
        </w:rPr>
        <w:t>Seminario</w:t>
      </w:r>
      <w:r>
        <w:rPr>
          <w:rFonts w:ascii="Arial" w:hAnsi="Arial"/>
          <w:i/>
          <w:color w:val="231F20"/>
          <w:spacing w:val="-10"/>
          <w:w w:val="105"/>
        </w:rPr>
        <w:t> </w:t>
      </w:r>
      <w:r>
        <w:rPr>
          <w:rFonts w:ascii="Arial" w:hAnsi="Arial"/>
          <w:i/>
          <w:color w:val="231F20"/>
          <w:w w:val="105"/>
        </w:rPr>
        <w:t>permanente</w:t>
      </w:r>
      <w:r>
        <w:rPr>
          <w:rFonts w:ascii="Arial" w:hAnsi="Arial"/>
          <w:i/>
          <w:color w:val="231F20"/>
          <w:spacing w:val="-5"/>
          <w:w w:val="105"/>
        </w:rPr>
        <w:t> </w:t>
      </w:r>
      <w:r>
        <w:rPr>
          <w:rFonts w:ascii="Arial" w:hAnsi="Arial"/>
          <w:i/>
          <w:color w:val="231F20"/>
          <w:w w:val="105"/>
        </w:rPr>
        <w:t>sobre</w:t>
      </w:r>
      <w:r>
        <w:rPr>
          <w:rFonts w:ascii="Arial" w:hAnsi="Arial"/>
          <w:i/>
          <w:color w:val="231F20"/>
          <w:w w:val="101"/>
        </w:rPr>
        <w:t> </w:t>
      </w:r>
      <w:r>
        <w:rPr>
          <w:rFonts w:ascii="Arial" w:hAnsi="Arial"/>
          <w:i/>
          <w:color w:val="231F20"/>
          <w:w w:val="105"/>
        </w:rPr>
        <w:t>migración</w:t>
      </w:r>
      <w:r>
        <w:rPr>
          <w:color w:val="231F20"/>
          <w:w w:val="105"/>
        </w:rPr>
        <w:t>, recuperado</w:t>
      </w:r>
      <w:r>
        <w:rPr>
          <w:color w:val="231F20"/>
          <w:spacing w:val="4"/>
          <w:w w:val="105"/>
        </w:rPr>
        <w:t> </w:t>
      </w:r>
      <w:r>
        <w:rPr>
          <w:color w:val="231F20"/>
          <w:w w:val="105"/>
        </w:rPr>
        <w:t>de</w:t>
      </w:r>
      <w:r>
        <w:rPr>
          <w:color w:val="231F20"/>
          <w:spacing w:val="7"/>
          <w:w w:val="105"/>
        </w:rPr>
        <w:t> </w:t>
      </w:r>
      <w:hyperlink r:id="rId297">
        <w:r>
          <w:rPr>
            <w:color w:val="231F20"/>
            <w:w w:val="105"/>
          </w:rPr>
          <w:t>http://www.colef.mx/sepmig/?p=3660</w:t>
        </w:r>
      </w:hyperlink>
      <w:r>
        <w:rPr>
          <w:color w:val="231F20"/>
          <w:w w:val="105"/>
        </w:rPr>
        <w:t> </w:t>
      </w:r>
      <w:r>
        <w:rPr>
          <w:color w:val="231F20"/>
          <w:w w:val="105"/>
        </w:rPr>
        <w:t>Herrera, Gioconda, (2012), “Género y migración internacional en</w:t>
      </w:r>
      <w:r>
        <w:rPr>
          <w:color w:val="231F20"/>
          <w:spacing w:val="11"/>
          <w:w w:val="105"/>
        </w:rPr>
        <w:t> </w:t>
      </w:r>
      <w:r>
        <w:rPr>
          <w:color w:val="231F20"/>
          <w:w w:val="105"/>
        </w:rPr>
        <w:t>la</w:t>
      </w:r>
      <w:r>
        <w:rPr>
          <w:color w:val="231F20"/>
          <w:spacing w:val="2"/>
          <w:w w:val="105"/>
        </w:rPr>
        <w:t> </w:t>
      </w:r>
      <w:r>
        <w:rPr>
          <w:color w:val="231F20"/>
          <w:w w:val="105"/>
        </w:rPr>
        <w:t>ex-</w:t>
      </w:r>
      <w:r>
        <w:rPr>
          <w:color w:val="231F20"/>
          <w:w w:val="96"/>
        </w:rPr>
        <w:t> </w:t>
      </w:r>
      <w:r>
        <w:rPr>
          <w:color w:val="231F20"/>
          <w:w w:val="105"/>
        </w:rPr>
        <w:t>periencia latinoamericana. De la visibilización del campo a</w:t>
      </w:r>
      <w:r>
        <w:rPr>
          <w:color w:val="231F20"/>
          <w:spacing w:val="49"/>
          <w:w w:val="105"/>
        </w:rPr>
        <w:t> </w:t>
      </w:r>
      <w:r>
        <w:rPr>
          <w:color w:val="231F20"/>
          <w:w w:val="105"/>
        </w:rPr>
        <w:t>una</w:t>
      </w:r>
    </w:p>
    <w:p>
      <w:pPr>
        <w:spacing w:line="259" w:lineRule="auto" w:before="0"/>
        <w:ind w:left="1837" w:right="1703" w:firstLine="737"/>
        <w:jc w:val="left"/>
        <w:rPr>
          <w:rFonts w:ascii="Arial" w:hAnsi="Arial"/>
          <w:i/>
          <w:sz w:val="21"/>
        </w:rPr>
      </w:pPr>
      <w:r>
        <w:rPr>
          <w:color w:val="231F20"/>
          <w:sz w:val="21"/>
        </w:rPr>
        <w:t>presencia selectiva”, </w:t>
      </w:r>
      <w:r>
        <w:rPr>
          <w:rFonts w:ascii="Arial" w:hAnsi="Arial"/>
          <w:i/>
          <w:color w:val="231F20"/>
          <w:sz w:val="21"/>
        </w:rPr>
        <w:t>Revista Política y Sociedad</w:t>
      </w:r>
      <w:r>
        <w:rPr>
          <w:color w:val="231F20"/>
          <w:sz w:val="21"/>
        </w:rPr>
        <w:t>, vol. 49, núm. 1. Hiernaux, Daniel y Zárate, Margarita (eds.), (2008), </w:t>
      </w:r>
      <w:r>
        <w:rPr>
          <w:rFonts w:ascii="Arial" w:hAnsi="Arial"/>
          <w:i/>
          <w:color w:val="231F20"/>
          <w:sz w:val="21"/>
        </w:rPr>
        <w:t>Espacios y transnacio-</w:t>
      </w:r>
    </w:p>
    <w:p>
      <w:pPr>
        <w:spacing w:line="241" w:lineRule="exact" w:before="0"/>
        <w:ind w:left="2574" w:right="0" w:firstLine="0"/>
        <w:jc w:val="left"/>
        <w:rPr>
          <w:sz w:val="21"/>
        </w:rPr>
      </w:pPr>
      <w:r>
        <w:rPr>
          <w:rFonts w:ascii="Arial" w:hAnsi="Arial"/>
          <w:i/>
          <w:color w:val="231F20"/>
          <w:sz w:val="21"/>
        </w:rPr>
        <w:t>nalismo</w:t>
      </w:r>
      <w:r>
        <w:rPr>
          <w:color w:val="231F20"/>
          <w:sz w:val="21"/>
        </w:rPr>
        <w:t>, México: </w:t>
      </w:r>
      <w:r>
        <w:rPr>
          <w:color w:val="231F20"/>
          <w:sz w:val="17"/>
        </w:rPr>
        <w:t>UAM  </w:t>
      </w:r>
      <w:r>
        <w:rPr>
          <w:color w:val="231F20"/>
          <w:sz w:val="21"/>
        </w:rPr>
        <w:t>Iztapalapa/Juan Pablos Editores.</w:t>
      </w:r>
    </w:p>
    <w:p>
      <w:pPr>
        <w:pStyle w:val="BodyText"/>
        <w:spacing w:line="261" w:lineRule="auto" w:before="22"/>
        <w:ind w:left="2574" w:right="1715" w:hanging="738"/>
        <w:jc w:val="both"/>
      </w:pPr>
      <w:r>
        <w:rPr>
          <w:color w:val="231F20"/>
          <w:w w:val="105"/>
        </w:rPr>
        <w:t>Hirai,</w:t>
      </w:r>
      <w:r>
        <w:rPr>
          <w:color w:val="231F20"/>
          <w:spacing w:val="-25"/>
          <w:w w:val="105"/>
        </w:rPr>
        <w:t> </w:t>
      </w:r>
      <w:r>
        <w:rPr>
          <w:color w:val="231F20"/>
          <w:w w:val="105"/>
        </w:rPr>
        <w:t>Shinji,</w:t>
      </w:r>
      <w:r>
        <w:rPr>
          <w:color w:val="231F20"/>
          <w:spacing w:val="-25"/>
          <w:w w:val="105"/>
        </w:rPr>
        <w:t> </w:t>
      </w:r>
      <w:r>
        <w:rPr>
          <w:color w:val="231F20"/>
          <w:w w:val="105"/>
        </w:rPr>
        <w:t>(2013),</w:t>
      </w:r>
      <w:r>
        <w:rPr>
          <w:color w:val="231F20"/>
          <w:spacing w:val="-25"/>
          <w:w w:val="105"/>
        </w:rPr>
        <w:t> </w:t>
      </w:r>
      <w:r>
        <w:rPr>
          <w:color w:val="231F20"/>
          <w:w w:val="105"/>
        </w:rPr>
        <w:t>“Formas</w:t>
      </w:r>
      <w:r>
        <w:rPr>
          <w:color w:val="231F20"/>
          <w:spacing w:val="-21"/>
          <w:w w:val="105"/>
        </w:rPr>
        <w:t> </w:t>
      </w:r>
      <w:r>
        <w:rPr>
          <w:color w:val="231F20"/>
          <w:w w:val="105"/>
        </w:rPr>
        <w:t>de</w:t>
      </w:r>
      <w:r>
        <w:rPr>
          <w:color w:val="231F20"/>
          <w:spacing w:val="-21"/>
          <w:w w:val="105"/>
        </w:rPr>
        <w:t> </w:t>
      </w:r>
      <w:r>
        <w:rPr>
          <w:color w:val="231F20"/>
          <w:w w:val="105"/>
        </w:rPr>
        <w:t>regresar</w:t>
      </w:r>
      <w:r>
        <w:rPr>
          <w:color w:val="231F20"/>
          <w:spacing w:val="-21"/>
          <w:w w:val="105"/>
        </w:rPr>
        <w:t> </w:t>
      </w:r>
      <w:r>
        <w:rPr>
          <w:color w:val="231F20"/>
          <w:w w:val="105"/>
        </w:rPr>
        <w:t>al</w:t>
      </w:r>
      <w:r>
        <w:rPr>
          <w:color w:val="231F20"/>
          <w:spacing w:val="-21"/>
          <w:w w:val="105"/>
        </w:rPr>
        <w:t> </w:t>
      </w:r>
      <w:r>
        <w:rPr>
          <w:color w:val="231F20"/>
          <w:w w:val="105"/>
        </w:rPr>
        <w:t>terruño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transnacionalis- mo.</w:t>
      </w:r>
      <w:r>
        <w:rPr>
          <w:color w:val="231F20"/>
          <w:spacing w:val="-24"/>
          <w:w w:val="105"/>
        </w:rPr>
        <w:t> </w:t>
      </w:r>
      <w:r>
        <w:rPr>
          <w:color w:val="231F20"/>
          <w:w w:val="105"/>
        </w:rPr>
        <w:t>Apuntes</w:t>
      </w:r>
      <w:r>
        <w:rPr>
          <w:color w:val="231F20"/>
          <w:spacing w:val="-14"/>
          <w:w w:val="105"/>
        </w:rPr>
        <w:t> </w:t>
      </w:r>
      <w:r>
        <w:rPr>
          <w:color w:val="231F20"/>
          <w:w w:val="105"/>
        </w:rPr>
        <w:t>teóricos</w:t>
      </w:r>
      <w:r>
        <w:rPr>
          <w:color w:val="231F20"/>
          <w:spacing w:val="-14"/>
          <w:w w:val="105"/>
        </w:rPr>
        <w:t> </w:t>
      </w:r>
      <w:r>
        <w:rPr>
          <w:color w:val="231F20"/>
          <w:w w:val="105"/>
        </w:rPr>
        <w:t>sobre</w:t>
      </w:r>
      <w:r>
        <w:rPr>
          <w:color w:val="231F20"/>
          <w:spacing w:val="-14"/>
          <w:w w:val="105"/>
        </w:rPr>
        <w:t> </w:t>
      </w:r>
      <w:r>
        <w:rPr>
          <w:color w:val="231F20"/>
          <w:w w:val="105"/>
        </w:rPr>
        <w:t>la</w:t>
      </w:r>
      <w:r>
        <w:rPr>
          <w:color w:val="231F20"/>
          <w:spacing w:val="-14"/>
          <w:w w:val="105"/>
        </w:rPr>
        <w:t> </w:t>
      </w:r>
      <w:r>
        <w:rPr>
          <w:color w:val="231F20"/>
          <w:w w:val="105"/>
        </w:rPr>
        <w:t>migración</w:t>
      </w:r>
      <w:r>
        <w:rPr>
          <w:color w:val="231F20"/>
          <w:spacing w:val="-14"/>
          <w:w w:val="105"/>
        </w:rPr>
        <w:t> </w:t>
      </w:r>
      <w:r>
        <w:rPr>
          <w:color w:val="231F20"/>
          <w:w w:val="105"/>
        </w:rPr>
        <w:t>de</w:t>
      </w:r>
      <w:r>
        <w:rPr>
          <w:color w:val="231F20"/>
          <w:spacing w:val="-14"/>
          <w:w w:val="105"/>
        </w:rPr>
        <w:t> </w:t>
      </w:r>
      <w:r>
        <w:rPr>
          <w:color w:val="231F20"/>
          <w:spacing w:val="-4"/>
          <w:w w:val="105"/>
        </w:rPr>
        <w:t>retorno”,</w:t>
      </w:r>
      <w:r>
        <w:rPr>
          <w:color w:val="231F20"/>
          <w:spacing w:val="-20"/>
          <w:w w:val="105"/>
        </w:rPr>
        <w:t> </w:t>
      </w:r>
      <w:r>
        <w:rPr>
          <w:rFonts w:ascii="Arial" w:hAnsi="Arial"/>
          <w:i/>
          <w:color w:val="231F20"/>
          <w:w w:val="105"/>
        </w:rPr>
        <w:t>Alteridades</w:t>
      </w:r>
      <w:r>
        <w:rPr>
          <w:color w:val="231F20"/>
          <w:w w:val="105"/>
        </w:rPr>
        <w:t>, vol.</w:t>
      </w:r>
      <w:r>
        <w:rPr>
          <w:color w:val="231F20"/>
          <w:spacing w:val="-23"/>
          <w:w w:val="105"/>
        </w:rPr>
        <w:t> </w:t>
      </w:r>
      <w:r>
        <w:rPr>
          <w:color w:val="231F20"/>
          <w:w w:val="105"/>
        </w:rPr>
        <w:t>23,</w:t>
      </w:r>
      <w:r>
        <w:rPr>
          <w:color w:val="231F20"/>
          <w:spacing w:val="-23"/>
          <w:w w:val="105"/>
        </w:rPr>
        <w:t> </w:t>
      </w:r>
      <w:r>
        <w:rPr>
          <w:color w:val="231F20"/>
          <w:w w:val="105"/>
        </w:rPr>
        <w:t>núm.</w:t>
      </w:r>
      <w:r>
        <w:rPr>
          <w:color w:val="231F20"/>
          <w:spacing w:val="-23"/>
          <w:w w:val="105"/>
        </w:rPr>
        <w:t> </w:t>
      </w:r>
      <w:r>
        <w:rPr>
          <w:color w:val="231F20"/>
          <w:w w:val="105"/>
        </w:rPr>
        <w:t>45.</w:t>
      </w:r>
    </w:p>
    <w:p>
      <w:pPr>
        <w:spacing w:line="259" w:lineRule="auto" w:before="0"/>
        <w:ind w:left="2574" w:right="1722" w:hanging="737"/>
        <w:jc w:val="both"/>
        <w:rPr>
          <w:sz w:val="21"/>
        </w:rPr>
      </w:pPr>
      <w:r>
        <w:rPr>
          <w:color w:val="231F20"/>
          <w:sz w:val="21"/>
        </w:rPr>
        <w:t>Instituto Nacional de Estadística y Geografía (</w:t>
      </w:r>
      <w:r>
        <w:rPr>
          <w:color w:val="231F20"/>
          <w:sz w:val="17"/>
        </w:rPr>
        <w:t>INEGI</w:t>
      </w:r>
      <w:r>
        <w:rPr>
          <w:color w:val="231F20"/>
          <w:sz w:val="21"/>
        </w:rPr>
        <w:t>), (2010), </w:t>
      </w:r>
      <w:r>
        <w:rPr>
          <w:rFonts w:ascii="Arial" w:hAnsi="Arial"/>
          <w:i/>
          <w:color w:val="231F20"/>
          <w:sz w:val="21"/>
        </w:rPr>
        <w:t>Encuesta Na- </w:t>
      </w:r>
      <w:r>
        <w:rPr>
          <w:rFonts w:ascii="Arial" w:hAnsi="Arial"/>
          <w:i/>
          <w:color w:val="231F20"/>
          <w:sz w:val="21"/>
        </w:rPr>
        <w:t>cional de la Dinámica Demográfica (</w:t>
      </w:r>
      <w:r>
        <w:rPr>
          <w:rFonts w:ascii="Arial" w:hAnsi="Arial"/>
          <w:i/>
          <w:color w:val="231F20"/>
          <w:sz w:val="17"/>
        </w:rPr>
        <w:t>ENADID</w:t>
      </w:r>
      <w:r>
        <w:rPr>
          <w:rFonts w:ascii="Arial" w:hAnsi="Arial"/>
          <w:i/>
          <w:color w:val="231F20"/>
          <w:sz w:val="21"/>
        </w:rPr>
        <w:t>) 2009. Metodología y tabulados básicos</w:t>
      </w:r>
      <w:r>
        <w:rPr>
          <w:color w:val="231F20"/>
          <w:sz w:val="21"/>
        </w:rPr>
        <w:t>, Aguascalientes, México: </w:t>
      </w:r>
      <w:r>
        <w:rPr>
          <w:color w:val="231F20"/>
          <w:sz w:val="17"/>
        </w:rPr>
        <w:t>INEGI</w:t>
      </w:r>
      <w:r>
        <w:rPr>
          <w:color w:val="231F20"/>
          <w:sz w:val="21"/>
        </w:rPr>
        <w:t>.</w:t>
      </w:r>
    </w:p>
    <w:p>
      <w:pPr>
        <w:pStyle w:val="BodyText"/>
        <w:spacing w:line="261" w:lineRule="auto" w:before="3"/>
        <w:ind w:left="2574" w:right="1721" w:hanging="738"/>
        <w:jc w:val="both"/>
      </w:pPr>
      <w:r>
        <w:rPr>
          <w:color w:val="231F20"/>
          <w:spacing w:val="-3"/>
          <w:w w:val="105"/>
        </w:rPr>
        <w:t>Kearney,</w:t>
      </w:r>
      <w:r>
        <w:rPr>
          <w:color w:val="231F20"/>
          <w:spacing w:val="-10"/>
          <w:w w:val="105"/>
        </w:rPr>
        <w:t> </w:t>
      </w:r>
      <w:r>
        <w:rPr>
          <w:color w:val="231F20"/>
          <w:w w:val="105"/>
        </w:rPr>
        <w:t>Michael,</w:t>
      </w:r>
      <w:r>
        <w:rPr>
          <w:color w:val="231F20"/>
          <w:spacing w:val="-10"/>
          <w:w w:val="105"/>
        </w:rPr>
        <w:t> </w:t>
      </w:r>
      <w:r>
        <w:rPr>
          <w:color w:val="231F20"/>
          <w:w w:val="105"/>
        </w:rPr>
        <w:t>(2008),</w:t>
      </w:r>
      <w:r>
        <w:rPr>
          <w:color w:val="231F20"/>
          <w:spacing w:val="-10"/>
          <w:w w:val="105"/>
        </w:rPr>
        <w:t> </w:t>
      </w:r>
      <w:r>
        <w:rPr>
          <w:color w:val="231F20"/>
          <w:w w:val="105"/>
        </w:rPr>
        <w:t>“Lo</w:t>
      </w:r>
      <w:r>
        <w:rPr>
          <w:color w:val="231F20"/>
          <w:spacing w:val="-4"/>
          <w:w w:val="105"/>
        </w:rPr>
        <w:t> </w:t>
      </w:r>
      <w:r>
        <w:rPr>
          <w:color w:val="231F20"/>
          <w:w w:val="105"/>
        </w:rPr>
        <w:t>local</w:t>
      </w:r>
      <w:r>
        <w:rPr>
          <w:color w:val="231F20"/>
          <w:spacing w:val="-4"/>
          <w:w w:val="105"/>
        </w:rPr>
        <w:t> </w:t>
      </w:r>
      <w:r>
        <w:rPr>
          <w:color w:val="231F20"/>
          <w:w w:val="105"/>
        </w:rPr>
        <w:t>y</w:t>
      </w:r>
      <w:r>
        <w:rPr>
          <w:color w:val="231F20"/>
          <w:spacing w:val="-4"/>
          <w:w w:val="105"/>
        </w:rPr>
        <w:t> </w:t>
      </w:r>
      <w:r>
        <w:rPr>
          <w:color w:val="231F20"/>
          <w:w w:val="105"/>
        </w:rPr>
        <w:t>lo</w:t>
      </w:r>
      <w:r>
        <w:rPr>
          <w:color w:val="231F20"/>
          <w:spacing w:val="-4"/>
          <w:w w:val="105"/>
        </w:rPr>
        <w:t> </w:t>
      </w:r>
      <w:r>
        <w:rPr>
          <w:color w:val="231F20"/>
          <w:w w:val="105"/>
        </w:rPr>
        <w:t>global:</w:t>
      </w:r>
      <w:r>
        <w:rPr>
          <w:color w:val="231F20"/>
          <w:spacing w:val="-4"/>
          <w:w w:val="105"/>
        </w:rPr>
        <w:t> </w:t>
      </w:r>
      <w:r>
        <w:rPr>
          <w:color w:val="231F20"/>
          <w:w w:val="105"/>
        </w:rPr>
        <w:t>la</w:t>
      </w:r>
      <w:r>
        <w:rPr>
          <w:color w:val="231F20"/>
          <w:spacing w:val="-4"/>
          <w:w w:val="105"/>
        </w:rPr>
        <w:t> </w:t>
      </w:r>
      <w:r>
        <w:rPr>
          <w:color w:val="231F20"/>
          <w:w w:val="105"/>
        </w:rPr>
        <w:t>antropología</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glo- balización</w:t>
      </w:r>
      <w:r>
        <w:rPr>
          <w:color w:val="231F20"/>
          <w:spacing w:val="-34"/>
          <w:w w:val="105"/>
        </w:rPr>
        <w:t> </w:t>
      </w:r>
      <w:r>
        <w:rPr>
          <w:color w:val="231F20"/>
          <w:w w:val="105"/>
        </w:rPr>
        <w:t>y</w:t>
      </w:r>
      <w:r>
        <w:rPr>
          <w:color w:val="231F20"/>
          <w:spacing w:val="-34"/>
          <w:w w:val="105"/>
        </w:rPr>
        <w:t> </w:t>
      </w:r>
      <w:r>
        <w:rPr>
          <w:color w:val="231F20"/>
          <w:w w:val="105"/>
        </w:rPr>
        <w:t>el</w:t>
      </w:r>
      <w:r>
        <w:rPr>
          <w:color w:val="231F20"/>
          <w:spacing w:val="-34"/>
          <w:w w:val="105"/>
        </w:rPr>
        <w:t> </w:t>
      </w:r>
      <w:r>
        <w:rPr>
          <w:color w:val="231F20"/>
          <w:w w:val="105"/>
        </w:rPr>
        <w:t>transnacionalismo”,</w:t>
      </w:r>
      <w:r>
        <w:rPr>
          <w:color w:val="231F20"/>
          <w:spacing w:val="-38"/>
          <w:w w:val="105"/>
        </w:rPr>
        <w:t> </w:t>
      </w:r>
      <w:r>
        <w:rPr>
          <w:color w:val="231F20"/>
          <w:w w:val="105"/>
        </w:rPr>
        <w:t>en</w:t>
      </w:r>
      <w:r>
        <w:rPr>
          <w:color w:val="231F20"/>
          <w:spacing w:val="-34"/>
          <w:w w:val="105"/>
        </w:rPr>
        <w:t> </w:t>
      </w:r>
      <w:r>
        <w:rPr>
          <w:color w:val="231F20"/>
          <w:w w:val="105"/>
        </w:rPr>
        <w:t>Daniel</w:t>
      </w:r>
      <w:r>
        <w:rPr>
          <w:color w:val="231F20"/>
          <w:spacing w:val="-34"/>
          <w:w w:val="105"/>
        </w:rPr>
        <w:t> </w:t>
      </w:r>
      <w:r>
        <w:rPr>
          <w:color w:val="231F20"/>
          <w:w w:val="105"/>
        </w:rPr>
        <w:t>Hiernaux</w:t>
      </w:r>
      <w:r>
        <w:rPr>
          <w:color w:val="231F20"/>
          <w:spacing w:val="-34"/>
          <w:w w:val="105"/>
        </w:rPr>
        <w:t> </w:t>
      </w:r>
      <w:r>
        <w:rPr>
          <w:color w:val="231F20"/>
          <w:w w:val="105"/>
        </w:rPr>
        <w:t>y</w:t>
      </w:r>
      <w:r>
        <w:rPr>
          <w:color w:val="231F20"/>
          <w:spacing w:val="-34"/>
          <w:w w:val="105"/>
        </w:rPr>
        <w:t> </w:t>
      </w:r>
      <w:r>
        <w:rPr>
          <w:color w:val="231F20"/>
          <w:w w:val="105"/>
        </w:rPr>
        <w:t>Margarita </w:t>
      </w:r>
      <w:r>
        <w:rPr>
          <w:color w:val="231F20"/>
        </w:rPr>
        <w:t>Zárate</w:t>
      </w:r>
      <w:r>
        <w:rPr>
          <w:color w:val="231F20"/>
          <w:spacing w:val="-5"/>
        </w:rPr>
        <w:t> </w:t>
      </w:r>
      <w:r>
        <w:rPr>
          <w:color w:val="231F20"/>
        </w:rPr>
        <w:t>(eds.),</w:t>
      </w:r>
      <w:r>
        <w:rPr>
          <w:color w:val="231F20"/>
          <w:spacing w:val="-13"/>
        </w:rPr>
        <w:t> </w:t>
      </w:r>
      <w:r>
        <w:rPr>
          <w:rFonts w:ascii="Arial" w:hAnsi="Arial"/>
          <w:i/>
          <w:color w:val="231F20"/>
        </w:rPr>
        <w:t>Espacios</w:t>
      </w:r>
      <w:r>
        <w:rPr>
          <w:rFonts w:ascii="Arial" w:hAnsi="Arial"/>
          <w:i/>
          <w:color w:val="231F20"/>
          <w:spacing w:val="-8"/>
        </w:rPr>
        <w:t> </w:t>
      </w:r>
      <w:r>
        <w:rPr>
          <w:rFonts w:ascii="Arial" w:hAnsi="Arial"/>
          <w:i/>
          <w:color w:val="231F20"/>
        </w:rPr>
        <w:t>y</w:t>
      </w:r>
      <w:r>
        <w:rPr>
          <w:rFonts w:ascii="Arial" w:hAnsi="Arial"/>
          <w:i/>
          <w:color w:val="231F20"/>
          <w:spacing w:val="-8"/>
        </w:rPr>
        <w:t> </w:t>
      </w:r>
      <w:r>
        <w:rPr>
          <w:rFonts w:ascii="Arial" w:hAnsi="Arial"/>
          <w:i/>
          <w:color w:val="231F20"/>
        </w:rPr>
        <w:t>transnacionalismo</w:t>
      </w:r>
      <w:r>
        <w:rPr>
          <w:color w:val="231F20"/>
        </w:rPr>
        <w:t>,</w:t>
      </w:r>
      <w:r>
        <w:rPr>
          <w:color w:val="231F20"/>
          <w:spacing w:val="-13"/>
        </w:rPr>
        <w:t> </w:t>
      </w:r>
      <w:r>
        <w:rPr>
          <w:color w:val="231F20"/>
        </w:rPr>
        <w:t>México:</w:t>
      </w:r>
      <w:r>
        <w:rPr>
          <w:color w:val="231F20"/>
          <w:spacing w:val="-5"/>
        </w:rPr>
        <w:t> </w:t>
      </w:r>
      <w:r>
        <w:rPr>
          <w:color w:val="231F20"/>
          <w:sz w:val="17"/>
        </w:rPr>
        <w:t>UAM</w:t>
      </w:r>
      <w:r>
        <w:rPr>
          <w:color w:val="231F20"/>
        </w:rPr>
        <w:t>/Iztapala- </w:t>
      </w:r>
      <w:r>
        <w:rPr>
          <w:color w:val="231F20"/>
          <w:w w:val="105"/>
        </w:rPr>
        <w:t>pa/Juan</w:t>
      </w:r>
      <w:r>
        <w:rPr>
          <w:color w:val="231F20"/>
          <w:spacing w:val="-36"/>
          <w:w w:val="105"/>
        </w:rPr>
        <w:t> </w:t>
      </w:r>
      <w:r>
        <w:rPr>
          <w:color w:val="231F20"/>
          <w:spacing w:val="-3"/>
          <w:w w:val="105"/>
        </w:rPr>
        <w:t>Pablos</w:t>
      </w:r>
      <w:r>
        <w:rPr>
          <w:color w:val="231F20"/>
          <w:spacing w:val="-36"/>
          <w:w w:val="105"/>
        </w:rPr>
        <w:t> </w:t>
      </w:r>
      <w:r>
        <w:rPr>
          <w:color w:val="231F20"/>
          <w:w w:val="105"/>
        </w:rPr>
        <w:t>Editores.</w:t>
      </w:r>
    </w:p>
    <w:p>
      <w:pPr>
        <w:pStyle w:val="BodyText"/>
        <w:spacing w:line="259" w:lineRule="auto" w:before="1"/>
        <w:ind w:left="2574" w:right="1721" w:hanging="738"/>
        <w:jc w:val="both"/>
      </w:pPr>
      <w:r>
        <w:rPr>
          <w:color w:val="231F20"/>
          <w:w w:val="105"/>
        </w:rPr>
        <w:t>Levitt,</w:t>
      </w:r>
      <w:r>
        <w:rPr>
          <w:color w:val="231F20"/>
          <w:spacing w:val="-29"/>
          <w:w w:val="105"/>
        </w:rPr>
        <w:t> </w:t>
      </w:r>
      <w:r>
        <w:rPr>
          <w:color w:val="231F20"/>
          <w:spacing w:val="-4"/>
          <w:w w:val="105"/>
        </w:rPr>
        <w:t>Peggy</w:t>
      </w:r>
      <w:r>
        <w:rPr>
          <w:color w:val="231F20"/>
          <w:spacing w:val="-26"/>
          <w:w w:val="105"/>
        </w:rPr>
        <w:t> </w:t>
      </w:r>
      <w:r>
        <w:rPr>
          <w:color w:val="231F20"/>
          <w:w w:val="105"/>
        </w:rPr>
        <w:t>y</w:t>
      </w:r>
      <w:r>
        <w:rPr>
          <w:color w:val="231F20"/>
          <w:spacing w:val="-26"/>
          <w:w w:val="105"/>
        </w:rPr>
        <w:t> </w:t>
      </w:r>
      <w:r>
        <w:rPr>
          <w:color w:val="231F20"/>
          <w:w w:val="105"/>
        </w:rPr>
        <w:t>Glick-Schiller,</w:t>
      </w:r>
      <w:r>
        <w:rPr>
          <w:color w:val="231F20"/>
          <w:spacing w:val="-29"/>
          <w:w w:val="105"/>
        </w:rPr>
        <w:t> </w:t>
      </w:r>
      <w:r>
        <w:rPr>
          <w:color w:val="231F20"/>
          <w:w w:val="105"/>
        </w:rPr>
        <w:t>Nina,</w:t>
      </w:r>
      <w:r>
        <w:rPr>
          <w:color w:val="231F20"/>
          <w:spacing w:val="-29"/>
          <w:w w:val="105"/>
        </w:rPr>
        <w:t> </w:t>
      </w:r>
      <w:r>
        <w:rPr>
          <w:color w:val="231F20"/>
          <w:w w:val="105"/>
        </w:rPr>
        <w:t>(2004),</w:t>
      </w:r>
      <w:r>
        <w:rPr>
          <w:color w:val="231F20"/>
          <w:spacing w:val="-29"/>
          <w:w w:val="105"/>
        </w:rPr>
        <w:t> </w:t>
      </w:r>
      <w:r>
        <w:rPr>
          <w:color w:val="231F20"/>
          <w:w w:val="105"/>
        </w:rPr>
        <w:t>“Perspectivas</w:t>
      </w:r>
      <w:r>
        <w:rPr>
          <w:color w:val="231F20"/>
          <w:spacing w:val="-26"/>
          <w:w w:val="105"/>
        </w:rPr>
        <w:t> </w:t>
      </w:r>
      <w:r>
        <w:rPr>
          <w:color w:val="231F20"/>
          <w:w w:val="105"/>
        </w:rPr>
        <w:t>internacionales sobre</w:t>
      </w:r>
      <w:r>
        <w:rPr>
          <w:color w:val="231F20"/>
          <w:spacing w:val="-20"/>
          <w:w w:val="105"/>
        </w:rPr>
        <w:t> </w:t>
      </w:r>
      <w:r>
        <w:rPr>
          <w:color w:val="231F20"/>
          <w:w w:val="105"/>
        </w:rPr>
        <w:t>la</w:t>
      </w:r>
      <w:r>
        <w:rPr>
          <w:color w:val="231F20"/>
          <w:spacing w:val="-20"/>
          <w:w w:val="105"/>
        </w:rPr>
        <w:t> </w:t>
      </w:r>
      <w:r>
        <w:rPr>
          <w:color w:val="231F20"/>
          <w:w w:val="105"/>
        </w:rPr>
        <w:t>migración:</w:t>
      </w:r>
      <w:r>
        <w:rPr>
          <w:color w:val="231F20"/>
          <w:spacing w:val="-20"/>
          <w:w w:val="105"/>
        </w:rPr>
        <w:t> </w:t>
      </w:r>
      <w:r>
        <w:rPr>
          <w:color w:val="231F20"/>
          <w:w w:val="105"/>
        </w:rPr>
        <w:t>conceptualizar</w:t>
      </w:r>
      <w:r>
        <w:rPr>
          <w:color w:val="231F20"/>
          <w:spacing w:val="-20"/>
          <w:w w:val="105"/>
        </w:rPr>
        <w:t> </w:t>
      </w:r>
      <w:r>
        <w:rPr>
          <w:color w:val="231F20"/>
          <w:w w:val="105"/>
        </w:rPr>
        <w:t>la</w:t>
      </w:r>
      <w:r>
        <w:rPr>
          <w:color w:val="231F20"/>
          <w:spacing w:val="-20"/>
          <w:w w:val="105"/>
        </w:rPr>
        <w:t> </w:t>
      </w:r>
      <w:r>
        <w:rPr>
          <w:color w:val="231F20"/>
          <w:w w:val="105"/>
        </w:rPr>
        <w:t>simultaneidad”,</w:t>
      </w:r>
      <w:r>
        <w:rPr>
          <w:color w:val="231F20"/>
          <w:spacing w:val="-25"/>
          <w:w w:val="105"/>
        </w:rPr>
        <w:t> </w:t>
      </w:r>
      <w:r>
        <w:rPr>
          <w:rFonts w:ascii="Arial" w:hAnsi="Arial"/>
          <w:i/>
          <w:color w:val="231F20"/>
          <w:w w:val="105"/>
        </w:rPr>
        <w:t>Migración</w:t>
      </w:r>
      <w:r>
        <w:rPr>
          <w:rFonts w:ascii="Arial" w:hAnsi="Arial"/>
          <w:i/>
          <w:color w:val="231F20"/>
          <w:spacing w:val="-22"/>
          <w:w w:val="105"/>
        </w:rPr>
        <w:t> </w:t>
      </w:r>
      <w:r>
        <w:rPr>
          <w:rFonts w:ascii="Arial" w:hAnsi="Arial"/>
          <w:i/>
          <w:color w:val="231F20"/>
          <w:w w:val="105"/>
        </w:rPr>
        <w:t>y </w:t>
      </w:r>
      <w:r>
        <w:rPr>
          <w:rFonts w:ascii="Arial" w:hAnsi="Arial"/>
          <w:i/>
          <w:color w:val="231F20"/>
          <w:w w:val="105"/>
        </w:rPr>
        <w:t>Desarrollo</w:t>
      </w:r>
      <w:r>
        <w:rPr>
          <w:color w:val="231F20"/>
          <w:w w:val="105"/>
        </w:rPr>
        <w:t>,</w:t>
      </w:r>
      <w:r>
        <w:rPr>
          <w:color w:val="231F20"/>
          <w:spacing w:val="-35"/>
          <w:w w:val="105"/>
        </w:rPr>
        <w:t> </w:t>
      </w:r>
      <w:r>
        <w:rPr>
          <w:color w:val="231F20"/>
          <w:w w:val="105"/>
        </w:rPr>
        <w:t>núm.</w:t>
      </w:r>
      <w:r>
        <w:rPr>
          <w:color w:val="231F20"/>
          <w:spacing w:val="-35"/>
          <w:w w:val="105"/>
        </w:rPr>
        <w:t> </w:t>
      </w:r>
      <w:r>
        <w:rPr>
          <w:color w:val="231F20"/>
          <w:w w:val="105"/>
        </w:rPr>
        <w:t>003.</w:t>
      </w:r>
    </w:p>
    <w:p>
      <w:pPr>
        <w:pStyle w:val="BodyText"/>
        <w:spacing w:line="259" w:lineRule="auto" w:before="3"/>
        <w:ind w:left="2574" w:right="1715" w:hanging="738"/>
        <w:jc w:val="both"/>
      </w:pPr>
      <w:r>
        <w:rPr>
          <w:color w:val="231F20"/>
          <w:w w:val="105"/>
        </w:rPr>
        <w:t>Montoya</w:t>
      </w:r>
      <w:r>
        <w:rPr>
          <w:color w:val="231F20"/>
          <w:spacing w:val="-34"/>
          <w:w w:val="105"/>
        </w:rPr>
        <w:t> </w:t>
      </w:r>
      <w:r>
        <w:rPr>
          <w:color w:val="231F20"/>
          <w:w w:val="105"/>
        </w:rPr>
        <w:t>Arce,</w:t>
      </w:r>
      <w:r>
        <w:rPr>
          <w:color w:val="231F20"/>
          <w:spacing w:val="-37"/>
          <w:w w:val="105"/>
        </w:rPr>
        <w:t> </w:t>
      </w:r>
      <w:r>
        <w:rPr>
          <w:color w:val="231F20"/>
          <w:w w:val="105"/>
        </w:rPr>
        <w:t>Jaciel,</w:t>
      </w:r>
      <w:r>
        <w:rPr>
          <w:color w:val="231F20"/>
          <w:spacing w:val="-35"/>
          <w:w w:val="105"/>
        </w:rPr>
        <w:t> </w:t>
      </w:r>
      <w:r>
        <w:rPr>
          <w:color w:val="231F20"/>
          <w:w w:val="105"/>
        </w:rPr>
        <w:t>Salas</w:t>
      </w:r>
      <w:r>
        <w:rPr>
          <w:color w:val="231F20"/>
          <w:spacing w:val="-34"/>
          <w:w w:val="105"/>
        </w:rPr>
        <w:t> </w:t>
      </w:r>
      <w:r>
        <w:rPr>
          <w:color w:val="231F20"/>
          <w:w w:val="105"/>
        </w:rPr>
        <w:t>Alfaro,</w:t>
      </w:r>
      <w:r>
        <w:rPr>
          <w:color w:val="231F20"/>
          <w:spacing w:val="-35"/>
          <w:w w:val="105"/>
        </w:rPr>
        <w:t> </w:t>
      </w:r>
      <w:r>
        <w:rPr>
          <w:color w:val="231F20"/>
          <w:w w:val="105"/>
        </w:rPr>
        <w:t>Renato</w:t>
      </w:r>
      <w:r>
        <w:rPr>
          <w:color w:val="231F20"/>
          <w:spacing w:val="-32"/>
          <w:w w:val="105"/>
        </w:rPr>
        <w:t> </w:t>
      </w:r>
      <w:r>
        <w:rPr>
          <w:color w:val="231F20"/>
          <w:w w:val="105"/>
        </w:rPr>
        <w:t>y</w:t>
      </w:r>
      <w:r>
        <w:rPr>
          <w:color w:val="231F20"/>
          <w:spacing w:val="-32"/>
          <w:w w:val="105"/>
        </w:rPr>
        <w:t> </w:t>
      </w:r>
      <w:r>
        <w:rPr>
          <w:color w:val="231F20"/>
          <w:w w:val="105"/>
        </w:rPr>
        <w:t>Soberón</w:t>
      </w:r>
      <w:r>
        <w:rPr>
          <w:color w:val="231F20"/>
          <w:spacing w:val="-32"/>
          <w:w w:val="105"/>
        </w:rPr>
        <w:t> </w:t>
      </w:r>
      <w:r>
        <w:rPr>
          <w:color w:val="231F20"/>
          <w:w w:val="105"/>
        </w:rPr>
        <w:t>Mora,</w:t>
      </w:r>
      <w:r>
        <w:rPr>
          <w:color w:val="231F20"/>
          <w:spacing w:val="-37"/>
          <w:w w:val="105"/>
        </w:rPr>
        <w:t> </w:t>
      </w:r>
      <w:r>
        <w:rPr>
          <w:color w:val="231F20"/>
          <w:w w:val="105"/>
        </w:rPr>
        <w:t>José</w:t>
      </w:r>
      <w:r>
        <w:rPr>
          <w:color w:val="231F20"/>
          <w:spacing w:val="-34"/>
          <w:w w:val="105"/>
        </w:rPr>
        <w:t> </w:t>
      </w:r>
      <w:r>
        <w:rPr>
          <w:color w:val="231F20"/>
          <w:w w:val="105"/>
        </w:rPr>
        <w:t>Antonio, (2011),</w:t>
      </w:r>
      <w:r>
        <w:rPr>
          <w:color w:val="231F20"/>
          <w:spacing w:val="-11"/>
          <w:w w:val="105"/>
        </w:rPr>
        <w:t> </w:t>
      </w:r>
      <w:r>
        <w:rPr>
          <w:color w:val="231F20"/>
          <w:w w:val="105"/>
        </w:rPr>
        <w:t>“La</w:t>
      </w:r>
      <w:r>
        <w:rPr>
          <w:color w:val="231F20"/>
          <w:spacing w:val="-6"/>
          <w:w w:val="105"/>
        </w:rPr>
        <w:t> </w:t>
      </w:r>
      <w:r>
        <w:rPr>
          <w:color w:val="231F20"/>
          <w:w w:val="105"/>
        </w:rPr>
        <w:t>migración</w:t>
      </w:r>
      <w:r>
        <w:rPr>
          <w:color w:val="231F20"/>
          <w:spacing w:val="-6"/>
          <w:w w:val="105"/>
        </w:rPr>
        <w:t> </w:t>
      </w:r>
      <w:r>
        <w:rPr>
          <w:color w:val="231F20"/>
          <w:w w:val="105"/>
        </w:rPr>
        <w:t>de</w:t>
      </w:r>
      <w:r>
        <w:rPr>
          <w:color w:val="231F20"/>
          <w:spacing w:val="-6"/>
          <w:w w:val="105"/>
        </w:rPr>
        <w:t> </w:t>
      </w:r>
      <w:r>
        <w:rPr>
          <w:color w:val="231F20"/>
          <w:w w:val="105"/>
        </w:rPr>
        <w:t>retorno</w:t>
      </w:r>
      <w:r>
        <w:rPr>
          <w:color w:val="231F20"/>
          <w:spacing w:val="-6"/>
          <w:w w:val="105"/>
        </w:rPr>
        <w:t> </w:t>
      </w:r>
      <w:r>
        <w:rPr>
          <w:color w:val="231F20"/>
          <w:w w:val="105"/>
        </w:rPr>
        <w:t>desde</w:t>
      </w:r>
      <w:r>
        <w:rPr>
          <w:color w:val="231F20"/>
          <w:spacing w:val="-6"/>
          <w:w w:val="105"/>
        </w:rPr>
        <w:t> </w:t>
      </w:r>
      <w:r>
        <w:rPr>
          <w:color w:val="231F20"/>
          <w:w w:val="105"/>
        </w:rPr>
        <w:t>Estados</w:t>
      </w:r>
      <w:r>
        <w:rPr>
          <w:color w:val="231F20"/>
          <w:spacing w:val="-6"/>
          <w:w w:val="105"/>
        </w:rPr>
        <w:t> </w:t>
      </w:r>
      <w:r>
        <w:rPr>
          <w:color w:val="231F20"/>
          <w:w w:val="105"/>
        </w:rPr>
        <w:t>Unidos</w:t>
      </w:r>
      <w:r>
        <w:rPr>
          <w:color w:val="231F20"/>
          <w:spacing w:val="-6"/>
          <w:w w:val="105"/>
        </w:rPr>
        <w:t> </w:t>
      </w:r>
      <w:r>
        <w:rPr>
          <w:color w:val="231F20"/>
          <w:w w:val="105"/>
        </w:rPr>
        <w:t>hacia</w:t>
      </w:r>
      <w:r>
        <w:rPr>
          <w:color w:val="231F20"/>
          <w:spacing w:val="-6"/>
          <w:w w:val="105"/>
        </w:rPr>
        <w:t> </w:t>
      </w:r>
      <w:r>
        <w:rPr>
          <w:color w:val="231F20"/>
          <w:w w:val="105"/>
        </w:rPr>
        <w:t>el Estado de México: oportunidades y </w:t>
      </w:r>
      <w:r>
        <w:rPr>
          <w:color w:val="231F20"/>
          <w:spacing w:val="-5"/>
          <w:w w:val="105"/>
        </w:rPr>
        <w:t>retos”, </w:t>
      </w:r>
      <w:r>
        <w:rPr>
          <w:rFonts w:ascii="Arial" w:hAnsi="Arial"/>
          <w:i/>
          <w:color w:val="231F20"/>
          <w:w w:val="105"/>
        </w:rPr>
        <w:t>Cuadernos geográfi- </w:t>
      </w:r>
      <w:r>
        <w:rPr>
          <w:rFonts w:ascii="Arial" w:hAnsi="Arial"/>
          <w:i/>
          <w:color w:val="231F20"/>
          <w:w w:val="105"/>
        </w:rPr>
        <w:t>cos,</w:t>
      </w:r>
      <w:r>
        <w:rPr>
          <w:rFonts w:ascii="Arial" w:hAnsi="Arial"/>
          <w:i/>
          <w:color w:val="231F20"/>
          <w:spacing w:val="-37"/>
          <w:w w:val="105"/>
        </w:rPr>
        <w:t> </w:t>
      </w:r>
      <w:r>
        <w:rPr>
          <w:color w:val="231F20"/>
          <w:w w:val="105"/>
        </w:rPr>
        <w:t>núm.</w:t>
      </w:r>
      <w:r>
        <w:rPr>
          <w:color w:val="231F20"/>
          <w:spacing w:val="-34"/>
          <w:w w:val="105"/>
        </w:rPr>
        <w:t> </w:t>
      </w:r>
      <w:r>
        <w:rPr>
          <w:color w:val="231F20"/>
          <w:w w:val="105"/>
        </w:rPr>
        <w:t>49.</w:t>
      </w:r>
    </w:p>
    <w:p>
      <w:pPr>
        <w:pStyle w:val="BodyText"/>
        <w:spacing w:line="259" w:lineRule="auto"/>
        <w:ind w:left="2574" w:right="1722" w:hanging="737"/>
        <w:jc w:val="both"/>
      </w:pPr>
      <w:r>
        <w:rPr>
          <w:color w:val="231F20"/>
          <w:w w:val="105"/>
        </w:rPr>
        <w:t>Organización</w:t>
      </w:r>
      <w:r>
        <w:rPr>
          <w:color w:val="231F20"/>
          <w:spacing w:val="-17"/>
          <w:w w:val="105"/>
        </w:rPr>
        <w:t> </w:t>
      </w:r>
      <w:r>
        <w:rPr>
          <w:color w:val="231F20"/>
          <w:w w:val="105"/>
        </w:rPr>
        <w:t>Internacional</w:t>
      </w:r>
      <w:r>
        <w:rPr>
          <w:color w:val="231F20"/>
          <w:spacing w:val="-17"/>
          <w:w w:val="105"/>
        </w:rPr>
        <w:t> </w:t>
      </w:r>
      <w:r>
        <w:rPr>
          <w:color w:val="231F20"/>
          <w:w w:val="105"/>
        </w:rPr>
        <w:t>para</w:t>
      </w:r>
      <w:r>
        <w:rPr>
          <w:color w:val="231F20"/>
          <w:spacing w:val="-17"/>
          <w:w w:val="105"/>
        </w:rPr>
        <w:t> </w:t>
      </w:r>
      <w:r>
        <w:rPr>
          <w:color w:val="231F20"/>
          <w:w w:val="105"/>
        </w:rPr>
        <w:t>las</w:t>
      </w:r>
      <w:r>
        <w:rPr>
          <w:color w:val="231F20"/>
          <w:spacing w:val="-17"/>
          <w:w w:val="105"/>
        </w:rPr>
        <w:t> </w:t>
      </w:r>
      <w:r>
        <w:rPr>
          <w:color w:val="231F20"/>
          <w:w w:val="105"/>
        </w:rPr>
        <w:t>Migraciones</w:t>
      </w:r>
      <w:r>
        <w:rPr>
          <w:color w:val="231F20"/>
          <w:spacing w:val="-17"/>
          <w:w w:val="105"/>
        </w:rPr>
        <w:t> </w:t>
      </w:r>
      <w:r>
        <w:rPr>
          <w:color w:val="231F20"/>
          <w:w w:val="105"/>
        </w:rPr>
        <w:t>(</w:t>
      </w:r>
      <w:r>
        <w:rPr>
          <w:color w:val="231F20"/>
          <w:w w:val="105"/>
          <w:sz w:val="17"/>
        </w:rPr>
        <w:t>OIM</w:t>
      </w:r>
      <w:r>
        <w:rPr>
          <w:color w:val="231F20"/>
          <w:w w:val="105"/>
        </w:rPr>
        <w:t>),</w:t>
      </w:r>
      <w:r>
        <w:rPr>
          <w:color w:val="231F20"/>
          <w:spacing w:val="-21"/>
          <w:w w:val="105"/>
        </w:rPr>
        <w:t> </w:t>
      </w:r>
      <w:r>
        <w:rPr>
          <w:color w:val="231F20"/>
          <w:w w:val="105"/>
        </w:rPr>
        <w:t>(2014),</w:t>
      </w:r>
      <w:r>
        <w:rPr>
          <w:color w:val="231F20"/>
          <w:spacing w:val="-21"/>
          <w:w w:val="105"/>
        </w:rPr>
        <w:t> </w:t>
      </w:r>
      <w:r>
        <w:rPr>
          <w:rFonts w:ascii="Arial" w:hAnsi="Arial"/>
          <w:i/>
          <w:color w:val="231F20"/>
          <w:w w:val="105"/>
        </w:rPr>
        <w:t>Hechos</w:t>
      </w:r>
      <w:r>
        <w:rPr>
          <w:rFonts w:ascii="Arial" w:hAnsi="Arial"/>
          <w:i/>
          <w:color w:val="231F20"/>
          <w:spacing w:val="-19"/>
          <w:w w:val="105"/>
        </w:rPr>
        <w:t> </w:t>
      </w:r>
      <w:r>
        <w:rPr>
          <w:rFonts w:ascii="Arial" w:hAnsi="Arial"/>
          <w:i/>
          <w:color w:val="231F20"/>
          <w:w w:val="105"/>
        </w:rPr>
        <w:t>y </w:t>
      </w:r>
      <w:r>
        <w:rPr>
          <w:rFonts w:ascii="Arial" w:hAnsi="Arial"/>
          <w:i/>
          <w:color w:val="231F20"/>
          <w:w w:val="105"/>
        </w:rPr>
        <w:t>cifras</w:t>
      </w:r>
      <w:r>
        <w:rPr>
          <w:color w:val="231F20"/>
          <w:w w:val="105"/>
        </w:rPr>
        <w:t>,</w:t>
      </w:r>
      <w:r>
        <w:rPr>
          <w:color w:val="231F20"/>
          <w:spacing w:val="-23"/>
          <w:w w:val="105"/>
        </w:rPr>
        <w:t> </w:t>
      </w:r>
      <w:r>
        <w:rPr>
          <w:color w:val="231F20"/>
          <w:w w:val="105"/>
        </w:rPr>
        <w:t>recuperado</w:t>
      </w:r>
      <w:r>
        <w:rPr>
          <w:color w:val="231F20"/>
          <w:spacing w:val="-18"/>
          <w:w w:val="105"/>
        </w:rPr>
        <w:t> </w:t>
      </w:r>
      <w:r>
        <w:rPr>
          <w:color w:val="231F20"/>
          <w:w w:val="105"/>
        </w:rPr>
        <w:t>de</w:t>
      </w:r>
      <w:r>
        <w:rPr>
          <w:color w:val="231F20"/>
          <w:spacing w:val="-18"/>
          <w:w w:val="105"/>
        </w:rPr>
        <w:t> </w:t>
      </w:r>
      <w:hyperlink r:id="rId298">
        <w:r>
          <w:rPr>
            <w:color w:val="231F20"/>
            <w:w w:val="105"/>
          </w:rPr>
          <w:t>http://oim.org.mx/hechos-y-cifras-2</w:t>
        </w:r>
      </w:hyperlink>
    </w:p>
    <w:p>
      <w:pPr>
        <w:spacing w:line="259" w:lineRule="auto" w:before="3"/>
        <w:ind w:left="2574" w:right="1722" w:hanging="738"/>
        <w:jc w:val="both"/>
        <w:rPr>
          <w:sz w:val="21"/>
        </w:rPr>
      </w:pPr>
      <w:r>
        <w:rPr>
          <w:color w:val="231F20"/>
          <w:w w:val="105"/>
          <w:sz w:val="21"/>
        </w:rPr>
        <w:t>Rivera</w:t>
      </w:r>
      <w:r>
        <w:rPr>
          <w:color w:val="231F20"/>
          <w:spacing w:val="-15"/>
          <w:w w:val="105"/>
          <w:sz w:val="21"/>
        </w:rPr>
        <w:t> </w:t>
      </w:r>
      <w:r>
        <w:rPr>
          <w:color w:val="231F20"/>
          <w:w w:val="105"/>
          <w:sz w:val="21"/>
        </w:rPr>
        <w:t>Sánchez,</w:t>
      </w:r>
      <w:r>
        <w:rPr>
          <w:color w:val="231F20"/>
          <w:spacing w:val="-19"/>
          <w:w w:val="105"/>
          <w:sz w:val="21"/>
        </w:rPr>
        <w:t> </w:t>
      </w:r>
      <w:r>
        <w:rPr>
          <w:color w:val="231F20"/>
          <w:w w:val="105"/>
          <w:sz w:val="21"/>
        </w:rPr>
        <w:t>Liliana,</w:t>
      </w:r>
      <w:r>
        <w:rPr>
          <w:color w:val="231F20"/>
          <w:spacing w:val="-19"/>
          <w:w w:val="105"/>
          <w:sz w:val="21"/>
        </w:rPr>
        <w:t> </w:t>
      </w:r>
      <w:r>
        <w:rPr>
          <w:color w:val="231F20"/>
          <w:w w:val="105"/>
          <w:sz w:val="21"/>
        </w:rPr>
        <w:t>(2013),</w:t>
      </w:r>
      <w:r>
        <w:rPr>
          <w:color w:val="231F20"/>
          <w:spacing w:val="-19"/>
          <w:w w:val="105"/>
          <w:sz w:val="21"/>
        </w:rPr>
        <w:t> </w:t>
      </w:r>
      <w:r>
        <w:rPr>
          <w:color w:val="231F20"/>
          <w:w w:val="105"/>
          <w:sz w:val="21"/>
        </w:rPr>
        <w:t>“Migración</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retorno</w:t>
      </w:r>
      <w:r>
        <w:rPr>
          <w:color w:val="231F20"/>
          <w:spacing w:val="-15"/>
          <w:w w:val="105"/>
          <w:sz w:val="21"/>
        </w:rPr>
        <w:t> </w:t>
      </w:r>
      <w:r>
        <w:rPr>
          <w:color w:val="231F20"/>
          <w:w w:val="105"/>
          <w:sz w:val="21"/>
        </w:rPr>
        <w:t>y</w:t>
      </w:r>
      <w:r>
        <w:rPr>
          <w:color w:val="231F20"/>
          <w:spacing w:val="-15"/>
          <w:w w:val="105"/>
          <w:sz w:val="21"/>
        </w:rPr>
        <w:t> </w:t>
      </w:r>
      <w:r>
        <w:rPr>
          <w:color w:val="231F20"/>
          <w:w w:val="105"/>
          <w:sz w:val="21"/>
        </w:rPr>
        <w:t>experiencias</w:t>
      </w:r>
      <w:r>
        <w:rPr>
          <w:color w:val="231F20"/>
          <w:spacing w:val="-15"/>
          <w:w w:val="105"/>
          <w:sz w:val="21"/>
        </w:rPr>
        <w:t> </w:t>
      </w:r>
      <w:r>
        <w:rPr>
          <w:color w:val="231F20"/>
          <w:w w:val="105"/>
          <w:sz w:val="21"/>
        </w:rPr>
        <w:t>de reinserción</w:t>
      </w:r>
      <w:r>
        <w:rPr>
          <w:color w:val="231F20"/>
          <w:spacing w:val="-20"/>
          <w:w w:val="105"/>
          <w:sz w:val="21"/>
        </w:rPr>
        <w:t> </w:t>
      </w:r>
      <w:r>
        <w:rPr>
          <w:color w:val="231F20"/>
          <w:w w:val="105"/>
          <w:sz w:val="21"/>
        </w:rPr>
        <w:t>en</w:t>
      </w:r>
      <w:r>
        <w:rPr>
          <w:color w:val="231F20"/>
          <w:spacing w:val="-20"/>
          <w:w w:val="105"/>
          <w:sz w:val="21"/>
        </w:rPr>
        <w:t> </w:t>
      </w:r>
      <w:r>
        <w:rPr>
          <w:color w:val="231F20"/>
          <w:w w:val="105"/>
          <w:sz w:val="21"/>
        </w:rPr>
        <w:t>la</w:t>
      </w:r>
      <w:r>
        <w:rPr>
          <w:color w:val="231F20"/>
          <w:spacing w:val="-20"/>
          <w:w w:val="105"/>
          <w:sz w:val="21"/>
        </w:rPr>
        <w:t> </w:t>
      </w:r>
      <w:r>
        <w:rPr>
          <w:color w:val="231F20"/>
          <w:w w:val="105"/>
          <w:sz w:val="21"/>
        </w:rPr>
        <w:t>zona</w:t>
      </w:r>
      <w:r>
        <w:rPr>
          <w:color w:val="231F20"/>
          <w:spacing w:val="-20"/>
          <w:w w:val="105"/>
          <w:sz w:val="21"/>
        </w:rPr>
        <w:t> </w:t>
      </w:r>
      <w:r>
        <w:rPr>
          <w:color w:val="231F20"/>
          <w:w w:val="105"/>
          <w:sz w:val="21"/>
        </w:rPr>
        <w:t>metropolitana</w:t>
      </w:r>
      <w:r>
        <w:rPr>
          <w:color w:val="231F20"/>
          <w:spacing w:val="-20"/>
          <w:w w:val="105"/>
          <w:sz w:val="21"/>
        </w:rPr>
        <w:t> </w:t>
      </w:r>
      <w:r>
        <w:rPr>
          <w:color w:val="231F20"/>
          <w:w w:val="105"/>
          <w:sz w:val="21"/>
        </w:rPr>
        <w:t>de</w:t>
      </w:r>
      <w:r>
        <w:rPr>
          <w:color w:val="231F20"/>
          <w:spacing w:val="-20"/>
          <w:w w:val="105"/>
          <w:sz w:val="21"/>
        </w:rPr>
        <w:t> </w:t>
      </w:r>
      <w:r>
        <w:rPr>
          <w:color w:val="231F20"/>
          <w:w w:val="105"/>
          <w:sz w:val="21"/>
        </w:rPr>
        <w:t>la</w:t>
      </w:r>
      <w:r>
        <w:rPr>
          <w:color w:val="231F20"/>
          <w:spacing w:val="-20"/>
          <w:w w:val="105"/>
          <w:sz w:val="21"/>
        </w:rPr>
        <w:t> </w:t>
      </w:r>
      <w:r>
        <w:rPr>
          <w:color w:val="231F20"/>
          <w:w w:val="105"/>
          <w:sz w:val="21"/>
        </w:rPr>
        <w:t>ciudad</w:t>
      </w:r>
      <w:r>
        <w:rPr>
          <w:color w:val="231F20"/>
          <w:spacing w:val="-20"/>
          <w:w w:val="105"/>
          <w:sz w:val="21"/>
        </w:rPr>
        <w:t> </w:t>
      </w:r>
      <w:r>
        <w:rPr>
          <w:color w:val="231F20"/>
          <w:w w:val="105"/>
          <w:sz w:val="21"/>
        </w:rPr>
        <w:t>de</w:t>
      </w:r>
      <w:r>
        <w:rPr>
          <w:color w:val="231F20"/>
          <w:spacing w:val="-20"/>
          <w:w w:val="105"/>
          <w:sz w:val="21"/>
        </w:rPr>
        <w:t> </w:t>
      </w:r>
      <w:r>
        <w:rPr>
          <w:color w:val="231F20"/>
          <w:spacing w:val="-4"/>
          <w:w w:val="105"/>
          <w:sz w:val="21"/>
        </w:rPr>
        <w:t>México”,</w:t>
      </w:r>
      <w:r>
        <w:rPr>
          <w:color w:val="231F20"/>
          <w:spacing w:val="-25"/>
          <w:w w:val="105"/>
          <w:sz w:val="21"/>
        </w:rPr>
        <w:t> </w:t>
      </w:r>
      <w:r>
        <w:rPr>
          <w:rFonts w:ascii="Arial" w:hAnsi="Arial"/>
          <w:i/>
          <w:color w:val="231F20"/>
          <w:w w:val="105"/>
          <w:sz w:val="21"/>
        </w:rPr>
        <w:t>Re- </w:t>
      </w:r>
      <w:r>
        <w:rPr>
          <w:rFonts w:ascii="Arial" w:hAnsi="Arial"/>
          <w:i/>
          <w:color w:val="231F20"/>
          <w:w w:val="105"/>
          <w:sz w:val="21"/>
        </w:rPr>
        <w:t>vista</w:t>
      </w:r>
      <w:r>
        <w:rPr>
          <w:rFonts w:ascii="Arial" w:hAnsi="Arial"/>
          <w:i/>
          <w:color w:val="231F20"/>
          <w:spacing w:val="-25"/>
          <w:w w:val="105"/>
          <w:sz w:val="21"/>
        </w:rPr>
        <w:t> </w:t>
      </w:r>
      <w:r>
        <w:rPr>
          <w:rFonts w:ascii="Arial" w:hAnsi="Arial"/>
          <w:i/>
          <w:color w:val="231F20"/>
          <w:w w:val="105"/>
          <w:sz w:val="21"/>
        </w:rPr>
        <w:t>Multidisciplinaria,</w:t>
      </w:r>
      <w:r>
        <w:rPr>
          <w:rFonts w:ascii="Arial" w:hAnsi="Arial"/>
          <w:i/>
          <w:color w:val="231F20"/>
          <w:spacing w:val="-30"/>
          <w:w w:val="105"/>
          <w:sz w:val="21"/>
        </w:rPr>
        <w:t> </w:t>
      </w:r>
      <w:r>
        <w:rPr>
          <w:rFonts w:ascii="Arial" w:hAnsi="Arial"/>
          <w:i/>
          <w:color w:val="231F20"/>
          <w:w w:val="105"/>
          <w:sz w:val="21"/>
        </w:rPr>
        <w:t>Movilidad</w:t>
      </w:r>
      <w:r>
        <w:rPr>
          <w:rFonts w:ascii="Arial" w:hAnsi="Arial"/>
          <w:i/>
          <w:color w:val="231F20"/>
          <w:spacing w:val="-25"/>
          <w:w w:val="105"/>
          <w:sz w:val="21"/>
        </w:rPr>
        <w:t> </w:t>
      </w:r>
      <w:r>
        <w:rPr>
          <w:rFonts w:ascii="Arial" w:hAnsi="Arial"/>
          <w:i/>
          <w:color w:val="231F20"/>
          <w:w w:val="105"/>
          <w:sz w:val="21"/>
        </w:rPr>
        <w:t>humana</w:t>
      </w:r>
      <w:r>
        <w:rPr>
          <w:color w:val="231F20"/>
          <w:w w:val="105"/>
          <w:sz w:val="21"/>
        </w:rPr>
        <w:t>,</w:t>
      </w:r>
      <w:r>
        <w:rPr>
          <w:color w:val="231F20"/>
          <w:spacing w:val="-27"/>
          <w:w w:val="105"/>
          <w:sz w:val="21"/>
        </w:rPr>
        <w:t> </w:t>
      </w:r>
      <w:r>
        <w:rPr>
          <w:color w:val="231F20"/>
          <w:w w:val="105"/>
          <w:sz w:val="21"/>
        </w:rPr>
        <w:t>núm.</w:t>
      </w:r>
      <w:r>
        <w:rPr>
          <w:color w:val="231F20"/>
          <w:spacing w:val="-27"/>
          <w:w w:val="105"/>
          <w:sz w:val="21"/>
        </w:rPr>
        <w:t> </w:t>
      </w:r>
      <w:r>
        <w:rPr>
          <w:color w:val="231F20"/>
          <w:w w:val="105"/>
          <w:sz w:val="21"/>
        </w:rPr>
        <w:t>41.</w:t>
      </w:r>
    </w:p>
    <w:p>
      <w:pPr>
        <w:pStyle w:val="BodyText"/>
        <w:tabs>
          <w:tab w:pos="2677" w:val="left" w:leader="none"/>
        </w:tabs>
        <w:spacing w:line="259" w:lineRule="auto" w:before="3"/>
        <w:ind w:left="2574" w:right="1721" w:hanging="738"/>
        <w:jc w:val="both"/>
      </w:pPr>
      <w:r>
        <w:rPr>
          <w:color w:val="231F20"/>
          <w:w w:val="94"/>
          <w:u w:val="single" w:color="221E1F"/>
        </w:rPr>
        <w:t> </w:t>
      </w:r>
      <w:r>
        <w:rPr>
          <w:color w:val="231F20"/>
          <w:u w:val="single" w:color="221E1F"/>
        </w:rPr>
        <w:tab/>
        <w:tab/>
      </w:r>
      <w:r>
        <w:rPr>
          <w:color w:val="231F20"/>
          <w:spacing w:val="-10"/>
        </w:rPr>
        <w:t> </w:t>
      </w:r>
      <w:r>
        <w:rPr>
          <w:color w:val="231F20"/>
        </w:rPr>
        <w:t>(2015), “Sujetos móviles y pertenencias urbanas. Notas</w:t>
      </w:r>
      <w:r>
        <w:rPr>
          <w:color w:val="231F20"/>
          <w:spacing w:val="36"/>
        </w:rPr>
        <w:t> </w:t>
      </w:r>
      <w:r>
        <w:rPr>
          <w:color w:val="231F20"/>
        </w:rPr>
        <w:t>en</w:t>
      </w:r>
      <w:r>
        <w:rPr>
          <w:color w:val="231F20"/>
          <w:spacing w:val="8"/>
        </w:rPr>
        <w:t> </w:t>
      </w:r>
      <w:r>
        <w:rPr>
          <w:color w:val="231F20"/>
        </w:rPr>
        <w:t>torno</w:t>
      </w:r>
      <w:r>
        <w:rPr>
          <w:color w:val="231F20"/>
          <w:w w:val="108"/>
        </w:rPr>
        <w:t> </w:t>
      </w:r>
      <w:r>
        <w:rPr>
          <w:color w:val="231F20"/>
        </w:rPr>
        <w:t>a una investigación sobre prácticas y experiencias de reinserción social de migrantes retornados a espacios </w:t>
      </w:r>
      <w:r>
        <w:rPr>
          <w:color w:val="231F20"/>
          <w:spacing w:val="-3"/>
        </w:rPr>
        <w:t>urbanos”, </w:t>
      </w:r>
      <w:r>
        <w:rPr>
          <w:rFonts w:ascii="Arial" w:hAnsi="Arial"/>
          <w:i/>
          <w:color w:val="231F20"/>
        </w:rPr>
        <w:t>Estudios So- </w:t>
      </w:r>
      <w:r>
        <w:rPr>
          <w:rFonts w:ascii="Arial" w:hAnsi="Arial"/>
          <w:i/>
          <w:color w:val="231F20"/>
        </w:rPr>
        <w:t>ciológicos</w:t>
      </w:r>
      <w:r>
        <w:rPr>
          <w:color w:val="231F20"/>
        </w:rPr>
        <w:t>, vol. </w:t>
      </w:r>
      <w:r>
        <w:rPr>
          <w:color w:val="231F20"/>
          <w:sz w:val="17"/>
        </w:rPr>
        <w:t>XXXIII</w:t>
      </w:r>
      <w:r>
        <w:rPr>
          <w:color w:val="231F20"/>
        </w:rPr>
        <w:t>, núm.</w:t>
      </w:r>
      <w:r>
        <w:rPr>
          <w:color w:val="231F20"/>
          <w:spacing w:val="9"/>
        </w:rPr>
        <w:t> </w:t>
      </w:r>
      <w:r>
        <w:rPr>
          <w:color w:val="231F20"/>
        </w:rPr>
        <w:t>9.</w:t>
      </w:r>
    </w:p>
    <w:p>
      <w:pPr>
        <w:pStyle w:val="BodyText"/>
        <w:spacing w:line="261" w:lineRule="auto" w:before="3"/>
        <w:ind w:left="2574" w:right="1721" w:hanging="738"/>
        <w:jc w:val="both"/>
      </w:pPr>
      <w:r>
        <w:rPr>
          <w:color w:val="231F20"/>
          <w:w w:val="105"/>
        </w:rPr>
        <w:t>Rivera</w:t>
      </w:r>
      <w:r>
        <w:rPr>
          <w:color w:val="231F20"/>
          <w:spacing w:val="-17"/>
          <w:w w:val="105"/>
        </w:rPr>
        <w:t> </w:t>
      </w:r>
      <w:r>
        <w:rPr>
          <w:color w:val="231F20"/>
          <w:w w:val="105"/>
        </w:rPr>
        <w:t>Sánchez,</w:t>
      </w:r>
      <w:r>
        <w:rPr>
          <w:color w:val="231F20"/>
          <w:spacing w:val="-20"/>
          <w:w w:val="105"/>
        </w:rPr>
        <w:t> </w:t>
      </w:r>
      <w:r>
        <w:rPr>
          <w:color w:val="231F20"/>
          <w:w w:val="105"/>
        </w:rPr>
        <w:t>Liliana</w:t>
      </w:r>
      <w:r>
        <w:rPr>
          <w:color w:val="231F20"/>
          <w:spacing w:val="-17"/>
          <w:w w:val="105"/>
        </w:rPr>
        <w:t> </w:t>
      </w:r>
      <w:r>
        <w:rPr>
          <w:color w:val="231F20"/>
          <w:w w:val="105"/>
        </w:rPr>
        <w:t>y</w:t>
      </w:r>
      <w:r>
        <w:rPr>
          <w:color w:val="231F20"/>
          <w:spacing w:val="-17"/>
          <w:w w:val="105"/>
        </w:rPr>
        <w:t> </w:t>
      </w:r>
      <w:r>
        <w:rPr>
          <w:color w:val="231F20"/>
          <w:w w:val="105"/>
        </w:rPr>
        <w:t>Lozano</w:t>
      </w:r>
      <w:r>
        <w:rPr>
          <w:color w:val="231F20"/>
          <w:spacing w:val="-19"/>
          <w:w w:val="105"/>
        </w:rPr>
        <w:t> </w:t>
      </w:r>
      <w:r>
        <w:rPr>
          <w:color w:val="231F20"/>
          <w:w w:val="105"/>
        </w:rPr>
        <w:t>Ascencio,</w:t>
      </w:r>
      <w:r>
        <w:rPr>
          <w:color w:val="231F20"/>
          <w:spacing w:val="-20"/>
          <w:w w:val="105"/>
        </w:rPr>
        <w:t> </w:t>
      </w:r>
      <w:r>
        <w:rPr>
          <w:color w:val="231F20"/>
          <w:w w:val="105"/>
        </w:rPr>
        <w:t>Fernando,</w:t>
      </w:r>
      <w:r>
        <w:rPr>
          <w:color w:val="231F20"/>
          <w:spacing w:val="-20"/>
          <w:w w:val="105"/>
        </w:rPr>
        <w:t> </w:t>
      </w:r>
      <w:r>
        <w:rPr>
          <w:color w:val="231F20"/>
          <w:w w:val="105"/>
        </w:rPr>
        <w:t>(2006),</w:t>
      </w:r>
      <w:r>
        <w:rPr>
          <w:color w:val="231F20"/>
          <w:spacing w:val="-20"/>
          <w:w w:val="105"/>
        </w:rPr>
        <w:t> </w:t>
      </w:r>
      <w:r>
        <w:rPr>
          <w:color w:val="231F20"/>
          <w:w w:val="105"/>
        </w:rPr>
        <w:t>“Los</w:t>
      </w:r>
      <w:r>
        <w:rPr>
          <w:color w:val="231F20"/>
          <w:spacing w:val="-17"/>
          <w:w w:val="105"/>
        </w:rPr>
        <w:t> </w:t>
      </w:r>
      <w:r>
        <w:rPr>
          <w:color w:val="231F20"/>
          <w:w w:val="105"/>
        </w:rPr>
        <w:t>con- textos de salida urbanos y rurales y la organización social de la </w:t>
      </w:r>
      <w:r>
        <w:rPr>
          <w:color w:val="231F20"/>
          <w:spacing w:val="-3"/>
          <w:w w:val="105"/>
        </w:rPr>
        <w:t>migración”,</w:t>
      </w:r>
      <w:r>
        <w:rPr>
          <w:color w:val="231F20"/>
          <w:spacing w:val="-20"/>
          <w:w w:val="105"/>
        </w:rPr>
        <w:t> </w:t>
      </w:r>
      <w:r>
        <w:rPr>
          <w:rFonts w:ascii="Arial" w:hAnsi="Arial"/>
          <w:i/>
          <w:color w:val="231F20"/>
          <w:w w:val="105"/>
        </w:rPr>
        <w:t>Migración</w:t>
      </w:r>
      <w:r>
        <w:rPr>
          <w:rFonts w:ascii="Arial" w:hAnsi="Arial"/>
          <w:i/>
          <w:color w:val="231F20"/>
          <w:spacing w:val="-18"/>
          <w:w w:val="105"/>
        </w:rPr>
        <w:t> </w:t>
      </w:r>
      <w:r>
        <w:rPr>
          <w:rFonts w:ascii="Arial" w:hAnsi="Arial"/>
          <w:i/>
          <w:color w:val="231F20"/>
          <w:w w:val="105"/>
        </w:rPr>
        <w:t>y</w:t>
      </w:r>
      <w:r>
        <w:rPr>
          <w:rFonts w:ascii="Arial" w:hAnsi="Arial"/>
          <w:i/>
          <w:color w:val="231F20"/>
          <w:spacing w:val="-18"/>
          <w:w w:val="105"/>
        </w:rPr>
        <w:t> </w:t>
      </w:r>
      <w:r>
        <w:rPr>
          <w:rFonts w:ascii="Arial" w:hAnsi="Arial"/>
          <w:i/>
          <w:color w:val="231F20"/>
          <w:w w:val="105"/>
        </w:rPr>
        <w:t>Desarrollo</w:t>
      </w:r>
      <w:r>
        <w:rPr>
          <w:color w:val="231F20"/>
          <w:w w:val="105"/>
        </w:rPr>
        <w:t>,</w:t>
      </w:r>
      <w:r>
        <w:rPr>
          <w:color w:val="231F20"/>
          <w:spacing w:val="-20"/>
          <w:w w:val="105"/>
        </w:rPr>
        <w:t> </w:t>
      </w:r>
      <w:r>
        <w:rPr>
          <w:color w:val="231F20"/>
          <w:w w:val="105"/>
        </w:rPr>
        <w:t>núm.</w:t>
      </w:r>
      <w:r>
        <w:rPr>
          <w:color w:val="231F20"/>
          <w:spacing w:val="-20"/>
          <w:w w:val="105"/>
        </w:rPr>
        <w:t> </w:t>
      </w:r>
      <w:r>
        <w:rPr>
          <w:color w:val="231F20"/>
          <w:w w:val="105"/>
        </w:rPr>
        <w:t>6.</w:t>
      </w:r>
    </w:p>
    <w:p>
      <w:pPr>
        <w:spacing w:line="259" w:lineRule="auto" w:before="0"/>
        <w:ind w:left="2574" w:right="1721" w:hanging="738"/>
        <w:jc w:val="both"/>
        <w:rPr>
          <w:sz w:val="21"/>
        </w:rPr>
      </w:pPr>
      <w:r>
        <w:rPr>
          <w:color w:val="231F20"/>
          <w:sz w:val="21"/>
        </w:rPr>
        <w:t>Rivera Sánchez, Liliana e Ibarra Mateos, Marcela, (2011), </w:t>
      </w:r>
      <w:r>
        <w:rPr>
          <w:rFonts w:ascii="Arial" w:hAnsi="Arial"/>
          <w:i/>
          <w:color w:val="231F20"/>
          <w:sz w:val="21"/>
        </w:rPr>
        <w:t>Entre contextos </w:t>
      </w:r>
      <w:r>
        <w:rPr>
          <w:rFonts w:ascii="Arial" w:hAnsi="Arial"/>
          <w:i/>
          <w:color w:val="231F20"/>
          <w:sz w:val="21"/>
        </w:rPr>
        <w:t>locales y ciudades globales. La configuración de circuitos migra- torios Puebla-Nueva York</w:t>
      </w:r>
      <w:r>
        <w:rPr>
          <w:color w:val="231F20"/>
          <w:sz w:val="21"/>
        </w:rPr>
        <w:t>, Puebla, México: </w:t>
      </w:r>
      <w:r>
        <w:rPr>
          <w:color w:val="231F20"/>
          <w:sz w:val="17"/>
        </w:rPr>
        <w:t>IBERO </w:t>
      </w:r>
      <w:r>
        <w:rPr>
          <w:color w:val="231F20"/>
          <w:sz w:val="21"/>
        </w:rPr>
        <w:t>Puebla.</w:t>
      </w:r>
    </w:p>
    <w:p>
      <w:pPr>
        <w:pStyle w:val="BodyText"/>
        <w:spacing w:line="261" w:lineRule="auto" w:before="3"/>
        <w:ind w:left="2574" w:right="1721" w:hanging="738"/>
        <w:jc w:val="both"/>
      </w:pPr>
      <w:r>
        <w:rPr/>
        <w:pict>
          <v:line style="position:absolute;mso-position-horizontal-relative:page;mso-position-vertical-relative:paragraph;z-index:-462040" from="15pt,104.369888pt" to="0pt,104.369888pt" stroked="true" strokeweight=".25pt" strokecolor="#000000">
            <w10:wrap type="none"/>
          </v:line>
        </w:pict>
      </w:r>
      <w:r>
        <w:rPr/>
        <w:pict>
          <v:line style="position:absolute;mso-position-horizontal-relative:page;mso-position-vertical-relative:paragraph;z-index:28168" from="508.890015pt,104.369888pt" to="523.890015pt,104.369888pt" stroked="true" strokeweight=".25pt" strokecolor="#000000">
            <w10:wrap type="none"/>
          </v:line>
        </w:pict>
      </w:r>
      <w:r>
        <w:rPr>
          <w:color w:val="231F20"/>
          <w:w w:val="105"/>
        </w:rPr>
        <w:t>Salas</w:t>
      </w:r>
      <w:r>
        <w:rPr>
          <w:color w:val="231F20"/>
          <w:spacing w:val="-38"/>
          <w:w w:val="105"/>
        </w:rPr>
        <w:t> </w:t>
      </w:r>
      <w:r>
        <w:rPr>
          <w:color w:val="231F20"/>
          <w:w w:val="105"/>
        </w:rPr>
        <w:t>Alfaro,</w:t>
      </w:r>
      <w:r>
        <w:rPr>
          <w:color w:val="231F20"/>
          <w:spacing w:val="-39"/>
          <w:w w:val="105"/>
        </w:rPr>
        <w:t> </w:t>
      </w:r>
      <w:r>
        <w:rPr>
          <w:color w:val="231F20"/>
          <w:w w:val="105"/>
        </w:rPr>
        <w:t>Renato</w:t>
      </w:r>
      <w:r>
        <w:rPr>
          <w:color w:val="231F20"/>
          <w:spacing w:val="-36"/>
          <w:w w:val="105"/>
        </w:rPr>
        <w:t> </w:t>
      </w:r>
      <w:r>
        <w:rPr>
          <w:color w:val="231F20"/>
          <w:w w:val="105"/>
        </w:rPr>
        <w:t>y</w:t>
      </w:r>
      <w:r>
        <w:rPr>
          <w:color w:val="231F20"/>
          <w:spacing w:val="-38"/>
          <w:w w:val="105"/>
        </w:rPr>
        <w:t> </w:t>
      </w:r>
      <w:r>
        <w:rPr>
          <w:color w:val="231F20"/>
          <w:w w:val="105"/>
        </w:rPr>
        <w:t>Alcántara</w:t>
      </w:r>
      <w:r>
        <w:rPr>
          <w:color w:val="231F20"/>
          <w:spacing w:val="-36"/>
          <w:w w:val="105"/>
        </w:rPr>
        <w:t> </w:t>
      </w:r>
      <w:r>
        <w:rPr>
          <w:color w:val="231F20"/>
          <w:w w:val="105"/>
        </w:rPr>
        <w:t>Quintana,</w:t>
      </w:r>
      <w:r>
        <w:rPr>
          <w:color w:val="231F20"/>
          <w:spacing w:val="-39"/>
          <w:w w:val="105"/>
        </w:rPr>
        <w:t> </w:t>
      </w:r>
      <w:r>
        <w:rPr>
          <w:color w:val="231F20"/>
          <w:w w:val="105"/>
        </w:rPr>
        <w:t>Maripaz,</w:t>
      </w:r>
      <w:r>
        <w:rPr>
          <w:color w:val="231F20"/>
          <w:spacing w:val="-39"/>
          <w:w w:val="105"/>
        </w:rPr>
        <w:t> </w:t>
      </w:r>
      <w:r>
        <w:rPr>
          <w:color w:val="231F20"/>
          <w:w w:val="105"/>
        </w:rPr>
        <w:t>(2015),</w:t>
      </w:r>
      <w:r>
        <w:rPr>
          <w:color w:val="231F20"/>
          <w:spacing w:val="-39"/>
          <w:w w:val="105"/>
        </w:rPr>
        <w:t> </w:t>
      </w:r>
      <w:r>
        <w:rPr>
          <w:color w:val="231F20"/>
          <w:w w:val="105"/>
        </w:rPr>
        <w:t>“La</w:t>
      </w:r>
      <w:r>
        <w:rPr>
          <w:color w:val="231F20"/>
          <w:spacing w:val="-36"/>
          <w:w w:val="105"/>
        </w:rPr>
        <w:t> </w:t>
      </w:r>
      <w:r>
        <w:rPr>
          <w:color w:val="231F20"/>
          <w:w w:val="105"/>
        </w:rPr>
        <w:t>migración internacional</w:t>
      </w:r>
      <w:r>
        <w:rPr>
          <w:color w:val="231F20"/>
          <w:spacing w:val="-15"/>
          <w:w w:val="105"/>
        </w:rPr>
        <w:t> </w:t>
      </w:r>
      <w:r>
        <w:rPr>
          <w:color w:val="231F20"/>
          <w:w w:val="105"/>
        </w:rPr>
        <w:t>de</w:t>
      </w:r>
      <w:r>
        <w:rPr>
          <w:color w:val="231F20"/>
          <w:spacing w:val="-15"/>
          <w:w w:val="105"/>
        </w:rPr>
        <w:t> </w:t>
      </w:r>
      <w:r>
        <w:rPr>
          <w:color w:val="231F20"/>
          <w:w w:val="105"/>
        </w:rPr>
        <w:t>retorno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suroeste</w:t>
      </w:r>
      <w:r>
        <w:rPr>
          <w:color w:val="231F20"/>
          <w:spacing w:val="-15"/>
          <w:w w:val="105"/>
        </w:rPr>
        <w:t> </w:t>
      </w:r>
      <w:r>
        <w:rPr>
          <w:color w:val="231F20"/>
          <w:w w:val="105"/>
        </w:rPr>
        <w:t>del</w:t>
      </w:r>
      <w:r>
        <w:rPr>
          <w:color w:val="231F20"/>
          <w:spacing w:val="-15"/>
          <w:w w:val="105"/>
        </w:rPr>
        <w:t> </w:t>
      </w:r>
      <w:r>
        <w:rPr>
          <w:color w:val="231F20"/>
          <w:w w:val="105"/>
        </w:rPr>
        <w:t>Estado</w:t>
      </w:r>
      <w:r>
        <w:rPr>
          <w:color w:val="231F20"/>
          <w:spacing w:val="-15"/>
          <w:w w:val="105"/>
        </w:rPr>
        <w:t> </w:t>
      </w:r>
      <w:r>
        <w:rPr>
          <w:color w:val="231F20"/>
          <w:w w:val="105"/>
        </w:rPr>
        <w:t>de</w:t>
      </w:r>
      <w:r>
        <w:rPr>
          <w:color w:val="231F20"/>
          <w:spacing w:val="-15"/>
          <w:w w:val="105"/>
        </w:rPr>
        <w:t> </w:t>
      </w:r>
      <w:r>
        <w:rPr>
          <w:color w:val="231F20"/>
          <w:spacing w:val="-4"/>
          <w:w w:val="105"/>
        </w:rPr>
        <w:t>México”,</w:t>
      </w:r>
      <w:r>
        <w:rPr>
          <w:color w:val="231F20"/>
          <w:spacing w:val="-20"/>
          <w:w w:val="105"/>
        </w:rPr>
        <w:t> </w:t>
      </w:r>
      <w:r>
        <w:rPr>
          <w:color w:val="231F20"/>
          <w:w w:val="105"/>
        </w:rPr>
        <w:t>en</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line="259" w:lineRule="auto" w:before="57"/>
        <w:ind w:left="2460" w:right="1828" w:firstLine="0"/>
        <w:jc w:val="both"/>
        <w:rPr>
          <w:sz w:val="21"/>
        </w:rPr>
      </w:pPr>
      <w:r>
        <w:rPr>
          <w:color w:val="231F20"/>
          <w:sz w:val="21"/>
        </w:rPr>
        <w:t>Norma Baca Tavira y Renato Salas Alfaro (coords.), </w:t>
      </w:r>
      <w:r>
        <w:rPr>
          <w:rFonts w:ascii="Arial" w:hAnsi="Arial"/>
          <w:i/>
          <w:color w:val="231F20"/>
          <w:sz w:val="21"/>
        </w:rPr>
        <w:t>Migración in- </w:t>
      </w:r>
      <w:r>
        <w:rPr>
          <w:rFonts w:ascii="Arial" w:hAnsi="Arial"/>
          <w:i/>
          <w:color w:val="231F20"/>
          <w:sz w:val="21"/>
        </w:rPr>
        <w:t>ternacional, territorios y sujetos migrantes del Estado de México</w:t>
      </w:r>
      <w:r>
        <w:rPr>
          <w:color w:val="231F20"/>
          <w:sz w:val="21"/>
        </w:rPr>
        <w:t>, México: </w:t>
      </w:r>
      <w:r>
        <w:rPr>
          <w:color w:val="231F20"/>
          <w:sz w:val="17"/>
        </w:rPr>
        <w:t>EÓN</w:t>
      </w:r>
      <w:r>
        <w:rPr>
          <w:color w:val="231F20"/>
          <w:sz w:val="21"/>
        </w:rPr>
        <w:t>/</w:t>
      </w:r>
      <w:r>
        <w:rPr>
          <w:color w:val="231F20"/>
          <w:sz w:val="17"/>
        </w:rPr>
        <w:t>UAEM</w:t>
      </w:r>
      <w:r>
        <w:rPr>
          <w:color w:val="231F20"/>
          <w:sz w:val="21"/>
        </w:rPr>
        <w:t>.</w:t>
      </w:r>
    </w:p>
    <w:p>
      <w:pPr>
        <w:spacing w:line="259" w:lineRule="auto" w:before="3"/>
        <w:ind w:left="2461" w:right="1834" w:hanging="738"/>
        <w:jc w:val="both"/>
        <w:rPr>
          <w:sz w:val="21"/>
        </w:rPr>
      </w:pPr>
      <w:r>
        <w:rPr>
          <w:color w:val="231F20"/>
          <w:spacing w:val="-3"/>
          <w:w w:val="105"/>
          <w:sz w:val="21"/>
        </w:rPr>
        <w:t>Sandoval </w:t>
      </w:r>
      <w:r>
        <w:rPr>
          <w:color w:val="231F20"/>
          <w:spacing w:val="-6"/>
          <w:w w:val="105"/>
          <w:sz w:val="21"/>
        </w:rPr>
        <w:t>Forero, </w:t>
      </w:r>
      <w:r>
        <w:rPr>
          <w:color w:val="231F20"/>
          <w:spacing w:val="-3"/>
          <w:w w:val="105"/>
          <w:sz w:val="21"/>
        </w:rPr>
        <w:t>Eduardo Andrés, (2014), </w:t>
      </w:r>
      <w:r>
        <w:rPr>
          <w:color w:val="231F20"/>
          <w:spacing w:val="-4"/>
          <w:w w:val="105"/>
          <w:sz w:val="21"/>
        </w:rPr>
        <w:t>“Pueblos </w:t>
      </w:r>
      <w:r>
        <w:rPr>
          <w:color w:val="231F20"/>
          <w:spacing w:val="-3"/>
          <w:w w:val="105"/>
          <w:sz w:val="21"/>
        </w:rPr>
        <w:t>indígenas, </w:t>
      </w:r>
      <w:r>
        <w:rPr>
          <w:color w:val="231F20"/>
          <w:spacing w:val="-4"/>
          <w:w w:val="105"/>
          <w:sz w:val="21"/>
        </w:rPr>
        <w:t>derechos </w:t>
      </w:r>
      <w:r>
        <w:rPr>
          <w:color w:val="231F20"/>
          <w:spacing w:val="-3"/>
          <w:w w:val="105"/>
          <w:sz w:val="21"/>
        </w:rPr>
        <w:t>humanos</w:t>
      </w:r>
      <w:r>
        <w:rPr>
          <w:color w:val="231F20"/>
          <w:spacing w:val="-19"/>
          <w:w w:val="105"/>
          <w:sz w:val="21"/>
        </w:rPr>
        <w:t> </w:t>
      </w:r>
      <w:r>
        <w:rPr>
          <w:color w:val="231F20"/>
          <w:w w:val="105"/>
          <w:sz w:val="21"/>
        </w:rPr>
        <w:t>y</w:t>
      </w:r>
      <w:r>
        <w:rPr>
          <w:color w:val="231F20"/>
          <w:spacing w:val="-19"/>
          <w:w w:val="105"/>
          <w:sz w:val="21"/>
        </w:rPr>
        <w:t> </w:t>
      </w:r>
      <w:r>
        <w:rPr>
          <w:color w:val="231F20"/>
          <w:spacing w:val="-3"/>
          <w:w w:val="105"/>
          <w:sz w:val="21"/>
        </w:rPr>
        <w:t>derechos</w:t>
      </w:r>
      <w:r>
        <w:rPr>
          <w:color w:val="231F20"/>
          <w:spacing w:val="-19"/>
          <w:w w:val="105"/>
          <w:sz w:val="21"/>
        </w:rPr>
        <w:t> </w:t>
      </w:r>
      <w:r>
        <w:rPr>
          <w:color w:val="231F20"/>
          <w:spacing w:val="-5"/>
          <w:w w:val="105"/>
          <w:sz w:val="21"/>
        </w:rPr>
        <w:t>colectivos”,</w:t>
      </w:r>
      <w:r>
        <w:rPr>
          <w:color w:val="231F20"/>
          <w:spacing w:val="-24"/>
          <w:w w:val="105"/>
          <w:sz w:val="21"/>
        </w:rPr>
        <w:t> </w:t>
      </w:r>
      <w:r>
        <w:rPr>
          <w:color w:val="231F20"/>
          <w:w w:val="105"/>
          <w:sz w:val="21"/>
        </w:rPr>
        <w:t>en</w:t>
      </w:r>
      <w:r>
        <w:rPr>
          <w:color w:val="231F20"/>
          <w:spacing w:val="-19"/>
          <w:w w:val="105"/>
          <w:sz w:val="21"/>
        </w:rPr>
        <w:t> </w:t>
      </w:r>
      <w:r>
        <w:rPr>
          <w:color w:val="231F20"/>
          <w:spacing w:val="-3"/>
          <w:w w:val="105"/>
          <w:sz w:val="21"/>
        </w:rPr>
        <w:t>Eduardo</w:t>
      </w:r>
      <w:r>
        <w:rPr>
          <w:color w:val="231F20"/>
          <w:spacing w:val="-19"/>
          <w:w w:val="105"/>
          <w:sz w:val="21"/>
        </w:rPr>
        <w:t> </w:t>
      </w:r>
      <w:r>
        <w:rPr>
          <w:color w:val="231F20"/>
          <w:spacing w:val="-3"/>
          <w:w w:val="105"/>
          <w:sz w:val="21"/>
        </w:rPr>
        <w:t>Sandoval</w:t>
      </w:r>
      <w:r>
        <w:rPr>
          <w:color w:val="231F20"/>
          <w:spacing w:val="-19"/>
          <w:w w:val="105"/>
          <w:sz w:val="21"/>
        </w:rPr>
        <w:t> </w:t>
      </w:r>
      <w:r>
        <w:rPr>
          <w:color w:val="231F20"/>
          <w:spacing w:val="-6"/>
          <w:w w:val="105"/>
          <w:sz w:val="21"/>
        </w:rPr>
        <w:t>Forero,</w:t>
      </w:r>
      <w:r>
        <w:rPr>
          <w:color w:val="231F20"/>
          <w:spacing w:val="-26"/>
          <w:w w:val="105"/>
          <w:sz w:val="21"/>
        </w:rPr>
        <w:t> </w:t>
      </w:r>
      <w:r>
        <w:rPr>
          <w:color w:val="231F20"/>
          <w:spacing w:val="-3"/>
          <w:w w:val="105"/>
          <w:sz w:val="21"/>
        </w:rPr>
        <w:t>Ja- ciel</w:t>
      </w:r>
      <w:r>
        <w:rPr>
          <w:color w:val="231F20"/>
          <w:spacing w:val="-29"/>
          <w:w w:val="105"/>
          <w:sz w:val="21"/>
        </w:rPr>
        <w:t> </w:t>
      </w:r>
      <w:r>
        <w:rPr>
          <w:color w:val="231F20"/>
          <w:spacing w:val="-3"/>
          <w:w w:val="105"/>
          <w:sz w:val="21"/>
        </w:rPr>
        <w:t>Montoya</w:t>
      </w:r>
      <w:r>
        <w:rPr>
          <w:color w:val="231F20"/>
          <w:spacing w:val="-32"/>
          <w:w w:val="105"/>
          <w:sz w:val="21"/>
        </w:rPr>
        <w:t> </w:t>
      </w:r>
      <w:r>
        <w:rPr>
          <w:color w:val="231F20"/>
          <w:spacing w:val="-3"/>
          <w:w w:val="105"/>
          <w:sz w:val="21"/>
        </w:rPr>
        <w:t>Arce</w:t>
      </w:r>
      <w:r>
        <w:rPr>
          <w:color w:val="231F20"/>
          <w:spacing w:val="-29"/>
          <w:w w:val="105"/>
          <w:sz w:val="21"/>
        </w:rPr>
        <w:t> </w:t>
      </w:r>
      <w:r>
        <w:rPr>
          <w:color w:val="231F20"/>
          <w:w w:val="105"/>
          <w:sz w:val="21"/>
        </w:rPr>
        <w:t>y</w:t>
      </w:r>
      <w:r>
        <w:rPr>
          <w:color w:val="231F20"/>
          <w:spacing w:val="-32"/>
          <w:w w:val="105"/>
          <w:sz w:val="21"/>
        </w:rPr>
        <w:t> </w:t>
      </w:r>
      <w:r>
        <w:rPr>
          <w:color w:val="231F20"/>
          <w:spacing w:val="-3"/>
          <w:w w:val="105"/>
          <w:sz w:val="21"/>
        </w:rPr>
        <w:t>Adán</w:t>
      </w:r>
      <w:r>
        <w:rPr>
          <w:color w:val="231F20"/>
          <w:spacing w:val="-29"/>
          <w:w w:val="105"/>
          <w:sz w:val="21"/>
        </w:rPr>
        <w:t> </w:t>
      </w:r>
      <w:r>
        <w:rPr>
          <w:color w:val="231F20"/>
          <w:spacing w:val="-3"/>
          <w:w w:val="105"/>
          <w:sz w:val="21"/>
        </w:rPr>
        <w:t>Barreto</w:t>
      </w:r>
      <w:r>
        <w:rPr>
          <w:color w:val="231F20"/>
          <w:spacing w:val="-32"/>
          <w:w w:val="105"/>
          <w:sz w:val="21"/>
        </w:rPr>
        <w:t> </w:t>
      </w:r>
      <w:r>
        <w:rPr>
          <w:color w:val="231F20"/>
          <w:spacing w:val="-3"/>
          <w:w w:val="105"/>
          <w:sz w:val="21"/>
        </w:rPr>
        <w:t>Villanueva</w:t>
      </w:r>
      <w:r>
        <w:rPr>
          <w:color w:val="231F20"/>
          <w:spacing w:val="-29"/>
          <w:w w:val="105"/>
          <w:sz w:val="21"/>
        </w:rPr>
        <w:t> </w:t>
      </w:r>
      <w:r>
        <w:rPr>
          <w:color w:val="231F20"/>
          <w:spacing w:val="-3"/>
          <w:w w:val="105"/>
          <w:sz w:val="21"/>
        </w:rPr>
        <w:t>(coords.),</w:t>
      </w:r>
      <w:r>
        <w:rPr>
          <w:color w:val="231F20"/>
          <w:spacing w:val="-34"/>
          <w:w w:val="105"/>
          <w:sz w:val="21"/>
        </w:rPr>
        <w:t> </w:t>
      </w:r>
      <w:r>
        <w:rPr>
          <w:rFonts w:ascii="Arial" w:hAnsi="Arial"/>
          <w:i/>
          <w:color w:val="231F20"/>
          <w:spacing w:val="-3"/>
          <w:w w:val="105"/>
          <w:sz w:val="21"/>
        </w:rPr>
        <w:t>Hitos</w:t>
      </w:r>
      <w:r>
        <w:rPr>
          <w:rFonts w:ascii="Arial" w:hAnsi="Arial"/>
          <w:i/>
          <w:color w:val="231F20"/>
          <w:spacing w:val="-32"/>
          <w:w w:val="105"/>
          <w:sz w:val="21"/>
        </w:rPr>
        <w:t> </w:t>
      </w:r>
      <w:r>
        <w:rPr>
          <w:rFonts w:ascii="Arial" w:hAnsi="Arial"/>
          <w:i/>
          <w:color w:val="231F20"/>
          <w:spacing w:val="-3"/>
          <w:w w:val="105"/>
          <w:sz w:val="21"/>
        </w:rPr>
        <w:t>demo- </w:t>
      </w:r>
      <w:r>
        <w:rPr>
          <w:rFonts w:ascii="Arial" w:hAnsi="Arial"/>
          <w:i/>
          <w:color w:val="231F20"/>
          <w:spacing w:val="-3"/>
          <w:w w:val="105"/>
          <w:sz w:val="21"/>
        </w:rPr>
        <w:t>gráficos</w:t>
      </w:r>
      <w:r>
        <w:rPr>
          <w:rFonts w:ascii="Arial" w:hAnsi="Arial"/>
          <w:i/>
          <w:color w:val="231F20"/>
          <w:spacing w:val="-30"/>
          <w:w w:val="105"/>
          <w:sz w:val="21"/>
        </w:rPr>
        <w:t> </w:t>
      </w:r>
      <w:r>
        <w:rPr>
          <w:rFonts w:ascii="Arial" w:hAnsi="Arial"/>
          <w:i/>
          <w:color w:val="231F20"/>
          <w:w w:val="105"/>
          <w:sz w:val="21"/>
        </w:rPr>
        <w:t>del</w:t>
      </w:r>
      <w:r>
        <w:rPr>
          <w:rFonts w:ascii="Arial" w:hAnsi="Arial"/>
          <w:i/>
          <w:color w:val="231F20"/>
          <w:spacing w:val="-30"/>
          <w:w w:val="105"/>
          <w:sz w:val="21"/>
        </w:rPr>
        <w:t> </w:t>
      </w:r>
      <w:r>
        <w:rPr>
          <w:rFonts w:ascii="Arial" w:hAnsi="Arial"/>
          <w:i/>
          <w:color w:val="231F20"/>
          <w:spacing w:val="-3"/>
          <w:w w:val="105"/>
          <w:sz w:val="21"/>
        </w:rPr>
        <w:t>Siglo</w:t>
      </w:r>
      <w:r>
        <w:rPr>
          <w:rFonts w:ascii="Arial" w:hAnsi="Arial"/>
          <w:i/>
          <w:color w:val="231F20"/>
          <w:spacing w:val="-30"/>
          <w:w w:val="105"/>
          <w:sz w:val="21"/>
        </w:rPr>
        <w:t> </w:t>
      </w:r>
      <w:r>
        <w:rPr>
          <w:rFonts w:ascii="Arial" w:hAnsi="Arial"/>
          <w:i/>
          <w:color w:val="231F20"/>
          <w:w w:val="105"/>
          <w:sz w:val="17"/>
        </w:rPr>
        <w:t>XXI</w:t>
      </w:r>
      <w:r>
        <w:rPr>
          <w:rFonts w:ascii="Arial" w:hAnsi="Arial"/>
          <w:i/>
          <w:color w:val="231F20"/>
          <w:w w:val="105"/>
          <w:sz w:val="21"/>
        </w:rPr>
        <w:t>:</w:t>
      </w:r>
      <w:r>
        <w:rPr>
          <w:rFonts w:ascii="Arial" w:hAnsi="Arial"/>
          <w:i/>
          <w:color w:val="231F20"/>
          <w:spacing w:val="-30"/>
          <w:w w:val="105"/>
          <w:sz w:val="21"/>
        </w:rPr>
        <w:t> </w:t>
      </w:r>
      <w:r>
        <w:rPr>
          <w:rFonts w:ascii="Arial" w:hAnsi="Arial"/>
          <w:i/>
          <w:color w:val="231F20"/>
          <w:spacing w:val="-3"/>
          <w:w w:val="105"/>
          <w:sz w:val="21"/>
        </w:rPr>
        <w:t>población</w:t>
      </w:r>
      <w:r>
        <w:rPr>
          <w:rFonts w:ascii="Arial" w:hAnsi="Arial"/>
          <w:i/>
          <w:color w:val="231F20"/>
          <w:spacing w:val="-30"/>
          <w:w w:val="105"/>
          <w:sz w:val="21"/>
        </w:rPr>
        <w:t> </w:t>
      </w:r>
      <w:r>
        <w:rPr>
          <w:rFonts w:ascii="Arial" w:hAnsi="Arial"/>
          <w:i/>
          <w:color w:val="231F20"/>
          <w:spacing w:val="-3"/>
          <w:w w:val="105"/>
          <w:sz w:val="21"/>
        </w:rPr>
        <w:t>indígena</w:t>
      </w:r>
      <w:r>
        <w:rPr>
          <w:color w:val="231F20"/>
          <w:spacing w:val="-3"/>
          <w:w w:val="105"/>
          <w:sz w:val="21"/>
        </w:rPr>
        <w:t>,</w:t>
      </w:r>
      <w:r>
        <w:rPr>
          <w:color w:val="231F20"/>
          <w:spacing w:val="-34"/>
          <w:w w:val="105"/>
          <w:sz w:val="21"/>
        </w:rPr>
        <w:t> </w:t>
      </w:r>
      <w:r>
        <w:rPr>
          <w:color w:val="231F20"/>
          <w:spacing w:val="-6"/>
          <w:w w:val="105"/>
          <w:sz w:val="21"/>
        </w:rPr>
        <w:t>Toluca,</w:t>
      </w:r>
      <w:r>
        <w:rPr>
          <w:color w:val="231F20"/>
          <w:spacing w:val="-31"/>
          <w:w w:val="105"/>
          <w:sz w:val="21"/>
        </w:rPr>
        <w:t> </w:t>
      </w:r>
      <w:r>
        <w:rPr>
          <w:color w:val="231F20"/>
          <w:spacing w:val="-3"/>
          <w:w w:val="105"/>
          <w:sz w:val="21"/>
        </w:rPr>
        <w:t>México:</w:t>
      </w:r>
      <w:r>
        <w:rPr>
          <w:color w:val="231F20"/>
          <w:spacing w:val="-27"/>
          <w:w w:val="105"/>
          <w:sz w:val="21"/>
        </w:rPr>
        <w:t> </w:t>
      </w:r>
      <w:r>
        <w:rPr>
          <w:color w:val="231F20"/>
          <w:w w:val="105"/>
          <w:sz w:val="17"/>
        </w:rPr>
        <w:t>UAEM</w:t>
      </w:r>
      <w:r>
        <w:rPr>
          <w:color w:val="231F20"/>
          <w:w w:val="105"/>
          <w:sz w:val="21"/>
        </w:rPr>
        <w:t>.</w:t>
      </w:r>
    </w:p>
    <w:p>
      <w:pPr>
        <w:spacing w:line="259" w:lineRule="auto" w:before="0"/>
        <w:ind w:left="2461" w:right="1834" w:hanging="738"/>
        <w:jc w:val="both"/>
        <w:rPr>
          <w:sz w:val="21"/>
        </w:rPr>
      </w:pPr>
      <w:r>
        <w:rPr>
          <w:color w:val="231F20"/>
          <w:sz w:val="21"/>
        </w:rPr>
        <w:t>Sandoval Forero, Eduardo Andrés y Patiño, Juan Carlos, (2000), </w:t>
      </w:r>
      <w:r>
        <w:rPr>
          <w:rFonts w:ascii="Arial" w:hAnsi="Arial"/>
          <w:i/>
          <w:color w:val="231F20"/>
          <w:sz w:val="21"/>
        </w:rPr>
        <w:t>Carto- </w:t>
      </w:r>
      <w:r>
        <w:rPr>
          <w:rFonts w:ascii="Arial" w:hAnsi="Arial"/>
          <w:i/>
          <w:color w:val="231F20"/>
          <w:sz w:val="21"/>
        </w:rPr>
        <w:t>grafía automatizada para la investigación de regiones mazahuas</w:t>
      </w:r>
      <w:r>
        <w:rPr>
          <w:color w:val="231F20"/>
          <w:sz w:val="21"/>
        </w:rPr>
        <w:t>, Toluca, México: </w:t>
      </w:r>
      <w:r>
        <w:rPr>
          <w:color w:val="231F20"/>
          <w:sz w:val="17"/>
        </w:rPr>
        <w:t>UAEM</w:t>
      </w:r>
      <w:r>
        <w:rPr>
          <w:color w:val="231F20"/>
          <w:sz w:val="21"/>
        </w:rPr>
        <w:t>.</w:t>
      </w:r>
    </w:p>
    <w:p>
      <w:pPr>
        <w:spacing w:line="259" w:lineRule="auto" w:before="3"/>
        <w:ind w:left="1723" w:right="1829" w:hanging="1"/>
        <w:jc w:val="right"/>
        <w:rPr>
          <w:sz w:val="21"/>
        </w:rPr>
      </w:pPr>
      <w:r>
        <w:rPr>
          <w:color w:val="231F20"/>
          <w:w w:val="105"/>
          <w:sz w:val="21"/>
        </w:rPr>
        <w:t>Sassen,</w:t>
      </w:r>
      <w:r>
        <w:rPr>
          <w:color w:val="231F20"/>
          <w:spacing w:val="-23"/>
          <w:w w:val="105"/>
          <w:sz w:val="21"/>
        </w:rPr>
        <w:t> </w:t>
      </w:r>
      <w:r>
        <w:rPr>
          <w:color w:val="231F20"/>
          <w:w w:val="105"/>
          <w:sz w:val="21"/>
        </w:rPr>
        <w:t>Saskia,</w:t>
      </w:r>
      <w:r>
        <w:rPr>
          <w:color w:val="231F20"/>
          <w:spacing w:val="-23"/>
          <w:w w:val="105"/>
          <w:sz w:val="21"/>
        </w:rPr>
        <w:t> </w:t>
      </w:r>
      <w:r>
        <w:rPr>
          <w:color w:val="231F20"/>
          <w:w w:val="105"/>
          <w:sz w:val="21"/>
        </w:rPr>
        <w:t>(2001),</w:t>
      </w:r>
      <w:r>
        <w:rPr>
          <w:color w:val="231F20"/>
          <w:spacing w:val="-23"/>
          <w:w w:val="105"/>
          <w:sz w:val="21"/>
        </w:rPr>
        <w:t> </w:t>
      </w:r>
      <w:r>
        <w:rPr>
          <w:color w:val="231F20"/>
          <w:w w:val="105"/>
          <w:sz w:val="21"/>
        </w:rPr>
        <w:t>“Elementos</w:t>
      </w:r>
      <w:r>
        <w:rPr>
          <w:color w:val="231F20"/>
          <w:spacing w:val="-19"/>
          <w:w w:val="105"/>
          <w:sz w:val="21"/>
        </w:rPr>
        <w:t> </w:t>
      </w:r>
      <w:r>
        <w:rPr>
          <w:color w:val="231F20"/>
          <w:w w:val="105"/>
          <w:sz w:val="21"/>
        </w:rPr>
        <w:t>teóricos</w:t>
      </w:r>
      <w:r>
        <w:rPr>
          <w:color w:val="231F20"/>
          <w:spacing w:val="-19"/>
          <w:w w:val="105"/>
          <w:sz w:val="21"/>
        </w:rPr>
        <w:t> </w:t>
      </w:r>
      <w:r>
        <w:rPr>
          <w:color w:val="231F20"/>
          <w:w w:val="105"/>
          <w:sz w:val="21"/>
        </w:rPr>
        <w:t>y</w:t>
      </w:r>
      <w:r>
        <w:rPr>
          <w:color w:val="231F20"/>
          <w:spacing w:val="-19"/>
          <w:w w:val="105"/>
          <w:sz w:val="21"/>
        </w:rPr>
        <w:t> </w:t>
      </w:r>
      <w:r>
        <w:rPr>
          <w:color w:val="231F20"/>
          <w:w w:val="105"/>
          <w:sz w:val="21"/>
        </w:rPr>
        <w:t>metodológicos</w:t>
      </w:r>
      <w:r>
        <w:rPr>
          <w:color w:val="231F20"/>
          <w:spacing w:val="-19"/>
          <w:w w:val="105"/>
          <w:sz w:val="21"/>
        </w:rPr>
        <w:t> </w:t>
      </w:r>
      <w:r>
        <w:rPr>
          <w:color w:val="231F20"/>
          <w:w w:val="105"/>
          <w:sz w:val="21"/>
        </w:rPr>
        <w:t>para</w:t>
      </w:r>
      <w:r>
        <w:rPr>
          <w:color w:val="231F20"/>
          <w:spacing w:val="-19"/>
          <w:w w:val="105"/>
          <w:sz w:val="21"/>
        </w:rPr>
        <w:t> </w:t>
      </w:r>
      <w:r>
        <w:rPr>
          <w:color w:val="231F20"/>
          <w:w w:val="105"/>
          <w:sz w:val="21"/>
        </w:rPr>
        <w:t>el</w:t>
      </w:r>
      <w:r>
        <w:rPr>
          <w:color w:val="231F20"/>
          <w:spacing w:val="-19"/>
          <w:w w:val="105"/>
          <w:sz w:val="21"/>
        </w:rPr>
        <w:t> </w:t>
      </w:r>
      <w:r>
        <w:rPr>
          <w:color w:val="231F20"/>
          <w:w w:val="105"/>
          <w:sz w:val="21"/>
        </w:rPr>
        <w:t>es-</w:t>
      </w:r>
      <w:r>
        <w:rPr>
          <w:color w:val="231F20"/>
          <w:w w:val="96"/>
          <w:sz w:val="21"/>
        </w:rPr>
        <w:t> </w:t>
      </w:r>
      <w:r>
        <w:rPr>
          <w:color w:val="231F20"/>
          <w:w w:val="105"/>
          <w:sz w:val="21"/>
        </w:rPr>
        <w:t>tudio de la ciudad </w:t>
      </w:r>
      <w:r>
        <w:rPr>
          <w:color w:val="231F20"/>
          <w:spacing w:val="-4"/>
          <w:w w:val="105"/>
          <w:sz w:val="21"/>
        </w:rPr>
        <w:t>global”, </w:t>
      </w:r>
      <w:r>
        <w:rPr>
          <w:color w:val="231F20"/>
          <w:w w:val="105"/>
          <w:sz w:val="21"/>
        </w:rPr>
        <w:t>en Fernando Carrión (ed.),</w:t>
      </w:r>
      <w:r>
        <w:rPr>
          <w:color w:val="231F20"/>
          <w:spacing w:val="23"/>
          <w:w w:val="105"/>
          <w:sz w:val="21"/>
        </w:rPr>
        <w:t> </w:t>
      </w:r>
      <w:r>
        <w:rPr>
          <w:rFonts w:ascii="Arial" w:hAnsi="Arial"/>
          <w:i/>
          <w:color w:val="231F20"/>
          <w:w w:val="105"/>
          <w:sz w:val="21"/>
        </w:rPr>
        <w:t>La ciudad</w:t>
      </w:r>
      <w:r>
        <w:rPr>
          <w:rFonts w:ascii="Arial" w:hAnsi="Arial"/>
          <w:i/>
          <w:color w:val="231F20"/>
          <w:w w:val="105"/>
          <w:sz w:val="21"/>
        </w:rPr>
        <w:t> </w:t>
      </w:r>
      <w:r>
        <w:rPr>
          <w:rFonts w:ascii="Arial" w:hAnsi="Arial"/>
          <w:i/>
          <w:color w:val="231F20"/>
          <w:w w:val="105"/>
          <w:sz w:val="21"/>
        </w:rPr>
        <w:t>construida.</w:t>
      </w:r>
      <w:r>
        <w:rPr>
          <w:rFonts w:ascii="Arial" w:hAnsi="Arial"/>
          <w:i/>
          <w:color w:val="231F20"/>
          <w:spacing w:val="-44"/>
          <w:w w:val="105"/>
          <w:sz w:val="21"/>
        </w:rPr>
        <w:t> </w:t>
      </w:r>
      <w:r>
        <w:rPr>
          <w:rFonts w:ascii="Arial" w:hAnsi="Arial"/>
          <w:i/>
          <w:color w:val="231F20"/>
          <w:w w:val="105"/>
          <w:sz w:val="21"/>
        </w:rPr>
        <w:t>Urbanismo</w:t>
      </w:r>
      <w:r>
        <w:rPr>
          <w:rFonts w:ascii="Arial" w:hAnsi="Arial"/>
          <w:i/>
          <w:color w:val="231F20"/>
          <w:spacing w:val="-41"/>
          <w:w w:val="105"/>
          <w:sz w:val="21"/>
        </w:rPr>
        <w:t> </w:t>
      </w:r>
      <w:r>
        <w:rPr>
          <w:rFonts w:ascii="Arial" w:hAnsi="Arial"/>
          <w:i/>
          <w:color w:val="231F20"/>
          <w:w w:val="105"/>
          <w:sz w:val="21"/>
        </w:rPr>
        <w:t>en</w:t>
      </w:r>
      <w:r>
        <w:rPr>
          <w:rFonts w:ascii="Arial" w:hAnsi="Arial"/>
          <w:i/>
          <w:color w:val="231F20"/>
          <w:spacing w:val="-43"/>
          <w:w w:val="105"/>
          <w:sz w:val="21"/>
        </w:rPr>
        <w:t> </w:t>
      </w:r>
      <w:r>
        <w:rPr>
          <w:rFonts w:ascii="Arial" w:hAnsi="Arial"/>
          <w:i/>
          <w:color w:val="231F20"/>
          <w:w w:val="105"/>
          <w:sz w:val="21"/>
        </w:rPr>
        <w:t>América</w:t>
      </w:r>
      <w:r>
        <w:rPr>
          <w:rFonts w:ascii="Arial" w:hAnsi="Arial"/>
          <w:i/>
          <w:color w:val="231F20"/>
          <w:spacing w:val="-41"/>
          <w:w w:val="105"/>
          <w:sz w:val="21"/>
        </w:rPr>
        <w:t> </w:t>
      </w:r>
      <w:r>
        <w:rPr>
          <w:rFonts w:ascii="Arial" w:hAnsi="Arial"/>
          <w:i/>
          <w:color w:val="231F20"/>
          <w:w w:val="105"/>
          <w:sz w:val="21"/>
        </w:rPr>
        <w:t>Latina</w:t>
      </w:r>
      <w:r>
        <w:rPr>
          <w:color w:val="231F20"/>
          <w:w w:val="105"/>
          <w:sz w:val="21"/>
        </w:rPr>
        <w:t>,</w:t>
      </w:r>
      <w:r>
        <w:rPr>
          <w:color w:val="231F20"/>
          <w:spacing w:val="-41"/>
          <w:w w:val="105"/>
          <w:sz w:val="21"/>
        </w:rPr>
        <w:t> </w:t>
      </w:r>
      <w:r>
        <w:rPr>
          <w:color w:val="231F20"/>
          <w:w w:val="105"/>
          <w:sz w:val="21"/>
        </w:rPr>
        <w:t>Quito:</w:t>
      </w:r>
      <w:r>
        <w:rPr>
          <w:color w:val="231F20"/>
          <w:spacing w:val="-39"/>
          <w:w w:val="105"/>
          <w:sz w:val="21"/>
        </w:rPr>
        <w:t> </w:t>
      </w:r>
      <w:r>
        <w:rPr>
          <w:color w:val="231F20"/>
          <w:w w:val="105"/>
          <w:sz w:val="17"/>
        </w:rPr>
        <w:t>FLACSO</w:t>
      </w:r>
      <w:r>
        <w:rPr>
          <w:color w:val="231F20"/>
          <w:spacing w:val="-31"/>
          <w:w w:val="105"/>
          <w:sz w:val="17"/>
        </w:rPr>
        <w:t> </w:t>
      </w:r>
      <w:r>
        <w:rPr>
          <w:color w:val="231F20"/>
          <w:w w:val="105"/>
          <w:sz w:val="21"/>
        </w:rPr>
        <w:t>Ecuador.</w:t>
      </w:r>
    </w:p>
    <w:p>
      <w:pPr>
        <w:spacing w:line="259" w:lineRule="auto" w:before="0"/>
        <w:ind w:left="2460" w:right="1835" w:hanging="737"/>
        <w:jc w:val="both"/>
        <w:rPr>
          <w:sz w:val="21"/>
        </w:rPr>
      </w:pPr>
      <w:r>
        <w:rPr>
          <w:color w:val="231F20"/>
          <w:spacing w:val="-3"/>
          <w:w w:val="105"/>
          <w:sz w:val="21"/>
        </w:rPr>
        <w:t>Tarrius,</w:t>
      </w:r>
      <w:r>
        <w:rPr>
          <w:color w:val="231F20"/>
          <w:spacing w:val="-38"/>
          <w:w w:val="105"/>
          <w:sz w:val="21"/>
        </w:rPr>
        <w:t> </w:t>
      </w:r>
      <w:r>
        <w:rPr>
          <w:color w:val="231F20"/>
          <w:w w:val="105"/>
          <w:sz w:val="21"/>
        </w:rPr>
        <w:t>Alain,</w:t>
      </w:r>
      <w:r>
        <w:rPr>
          <w:color w:val="231F20"/>
          <w:spacing w:val="-36"/>
          <w:w w:val="105"/>
          <w:sz w:val="21"/>
        </w:rPr>
        <w:t> </w:t>
      </w:r>
      <w:r>
        <w:rPr>
          <w:color w:val="231F20"/>
          <w:w w:val="105"/>
          <w:sz w:val="21"/>
        </w:rPr>
        <w:t>(2007),</w:t>
      </w:r>
      <w:r>
        <w:rPr>
          <w:color w:val="231F20"/>
          <w:spacing w:val="-36"/>
          <w:w w:val="105"/>
          <w:sz w:val="21"/>
        </w:rPr>
        <w:t> </w:t>
      </w:r>
      <w:r>
        <w:rPr>
          <w:rFonts w:ascii="Arial" w:hAnsi="Arial"/>
          <w:i/>
          <w:color w:val="231F20"/>
          <w:w w:val="105"/>
          <w:sz w:val="21"/>
        </w:rPr>
        <w:t>La</w:t>
      </w:r>
      <w:r>
        <w:rPr>
          <w:rFonts w:ascii="Arial" w:hAnsi="Arial"/>
          <w:i/>
          <w:color w:val="231F20"/>
          <w:spacing w:val="-35"/>
          <w:w w:val="105"/>
          <w:sz w:val="21"/>
        </w:rPr>
        <w:t> </w:t>
      </w:r>
      <w:r>
        <w:rPr>
          <w:rFonts w:ascii="Arial" w:hAnsi="Arial"/>
          <w:i/>
          <w:color w:val="231F20"/>
          <w:w w:val="105"/>
          <w:sz w:val="21"/>
        </w:rPr>
        <w:t>mundialización</w:t>
      </w:r>
      <w:r>
        <w:rPr>
          <w:rFonts w:ascii="Arial" w:hAnsi="Arial"/>
          <w:i/>
          <w:color w:val="231F20"/>
          <w:spacing w:val="-35"/>
          <w:w w:val="105"/>
          <w:sz w:val="21"/>
        </w:rPr>
        <w:t> </w:t>
      </w:r>
      <w:r>
        <w:rPr>
          <w:rFonts w:ascii="Arial" w:hAnsi="Arial"/>
          <w:i/>
          <w:color w:val="231F20"/>
          <w:w w:val="105"/>
          <w:sz w:val="21"/>
        </w:rPr>
        <w:t>por</w:t>
      </w:r>
      <w:r>
        <w:rPr>
          <w:rFonts w:ascii="Arial" w:hAnsi="Arial"/>
          <w:i/>
          <w:color w:val="231F20"/>
          <w:spacing w:val="-35"/>
          <w:w w:val="105"/>
          <w:sz w:val="21"/>
        </w:rPr>
        <w:t> </w:t>
      </w:r>
      <w:r>
        <w:rPr>
          <w:rFonts w:ascii="Arial" w:hAnsi="Arial"/>
          <w:i/>
          <w:color w:val="231F20"/>
          <w:w w:val="105"/>
          <w:sz w:val="21"/>
        </w:rPr>
        <w:t>abajo.</w:t>
      </w:r>
      <w:r>
        <w:rPr>
          <w:rFonts w:ascii="Arial" w:hAnsi="Arial"/>
          <w:i/>
          <w:color w:val="231F20"/>
          <w:spacing w:val="-39"/>
          <w:w w:val="105"/>
          <w:sz w:val="21"/>
        </w:rPr>
        <w:t> </w:t>
      </w:r>
      <w:r>
        <w:rPr>
          <w:rFonts w:ascii="Arial" w:hAnsi="Arial"/>
          <w:i/>
          <w:color w:val="231F20"/>
          <w:w w:val="105"/>
          <w:sz w:val="21"/>
        </w:rPr>
        <w:t>El</w:t>
      </w:r>
      <w:r>
        <w:rPr>
          <w:rFonts w:ascii="Arial" w:hAnsi="Arial"/>
          <w:i/>
          <w:color w:val="231F20"/>
          <w:spacing w:val="-35"/>
          <w:w w:val="105"/>
          <w:sz w:val="21"/>
        </w:rPr>
        <w:t> </w:t>
      </w:r>
      <w:r>
        <w:rPr>
          <w:rFonts w:ascii="Arial" w:hAnsi="Arial"/>
          <w:i/>
          <w:color w:val="231F20"/>
          <w:w w:val="105"/>
          <w:sz w:val="21"/>
        </w:rPr>
        <w:t>capitalismo</w:t>
      </w:r>
      <w:r>
        <w:rPr>
          <w:rFonts w:ascii="Arial" w:hAnsi="Arial"/>
          <w:i/>
          <w:color w:val="231F20"/>
          <w:spacing w:val="-35"/>
          <w:w w:val="105"/>
          <w:sz w:val="21"/>
        </w:rPr>
        <w:t> </w:t>
      </w:r>
      <w:r>
        <w:rPr>
          <w:rFonts w:ascii="Arial" w:hAnsi="Arial"/>
          <w:i/>
          <w:color w:val="231F20"/>
          <w:w w:val="105"/>
          <w:sz w:val="21"/>
        </w:rPr>
        <w:t>nómada </w:t>
      </w:r>
      <w:r>
        <w:rPr>
          <w:rFonts w:ascii="Arial" w:hAnsi="Arial"/>
          <w:i/>
          <w:color w:val="231F20"/>
          <w:w w:val="105"/>
          <w:sz w:val="21"/>
        </w:rPr>
        <w:t>en</w:t>
      </w:r>
      <w:r>
        <w:rPr>
          <w:rFonts w:ascii="Arial" w:hAnsi="Arial"/>
          <w:i/>
          <w:color w:val="231F20"/>
          <w:spacing w:val="-29"/>
          <w:w w:val="105"/>
          <w:sz w:val="21"/>
        </w:rPr>
        <w:t> </w:t>
      </w:r>
      <w:r>
        <w:rPr>
          <w:rFonts w:ascii="Arial" w:hAnsi="Arial"/>
          <w:i/>
          <w:color w:val="231F20"/>
          <w:w w:val="105"/>
          <w:sz w:val="21"/>
        </w:rPr>
        <w:t>el</w:t>
      </w:r>
      <w:r>
        <w:rPr>
          <w:rFonts w:ascii="Arial" w:hAnsi="Arial"/>
          <w:i/>
          <w:color w:val="231F20"/>
          <w:spacing w:val="-29"/>
          <w:w w:val="105"/>
          <w:sz w:val="21"/>
        </w:rPr>
        <w:t> </w:t>
      </w:r>
      <w:r>
        <w:rPr>
          <w:rFonts w:ascii="Arial" w:hAnsi="Arial"/>
          <w:i/>
          <w:color w:val="231F20"/>
          <w:w w:val="105"/>
          <w:sz w:val="21"/>
        </w:rPr>
        <w:t>arco</w:t>
      </w:r>
      <w:r>
        <w:rPr>
          <w:rFonts w:ascii="Arial" w:hAnsi="Arial"/>
          <w:i/>
          <w:color w:val="231F20"/>
          <w:spacing w:val="-29"/>
          <w:w w:val="105"/>
          <w:sz w:val="21"/>
        </w:rPr>
        <w:t> </w:t>
      </w:r>
      <w:r>
        <w:rPr>
          <w:rFonts w:ascii="Arial" w:hAnsi="Arial"/>
          <w:i/>
          <w:color w:val="231F20"/>
          <w:w w:val="105"/>
          <w:sz w:val="21"/>
        </w:rPr>
        <w:t>mediterráneo</w:t>
      </w:r>
      <w:r>
        <w:rPr>
          <w:color w:val="231F20"/>
          <w:w w:val="105"/>
          <w:sz w:val="21"/>
        </w:rPr>
        <w:t>,</w:t>
      </w:r>
      <w:r>
        <w:rPr>
          <w:color w:val="231F20"/>
          <w:spacing w:val="-31"/>
          <w:w w:val="105"/>
          <w:sz w:val="21"/>
        </w:rPr>
        <w:t> </w:t>
      </w:r>
      <w:r>
        <w:rPr>
          <w:color w:val="231F20"/>
          <w:w w:val="105"/>
          <w:sz w:val="21"/>
        </w:rPr>
        <w:t>Barcelona:</w:t>
      </w:r>
      <w:r>
        <w:rPr>
          <w:color w:val="231F20"/>
          <w:spacing w:val="-27"/>
          <w:w w:val="105"/>
          <w:sz w:val="21"/>
        </w:rPr>
        <w:t> </w:t>
      </w:r>
      <w:r>
        <w:rPr>
          <w:color w:val="231F20"/>
          <w:w w:val="105"/>
          <w:sz w:val="21"/>
        </w:rPr>
        <w:t>Editorial</w:t>
      </w:r>
      <w:r>
        <w:rPr>
          <w:color w:val="231F20"/>
          <w:spacing w:val="-27"/>
          <w:w w:val="105"/>
          <w:sz w:val="21"/>
        </w:rPr>
        <w:t> </w:t>
      </w:r>
      <w:r>
        <w:rPr>
          <w:color w:val="231F20"/>
          <w:w w:val="105"/>
          <w:sz w:val="21"/>
        </w:rPr>
        <w:t>Hacer.</w:t>
      </w:r>
    </w:p>
    <w:p>
      <w:pPr>
        <w:spacing w:line="261" w:lineRule="auto" w:before="3"/>
        <w:ind w:left="2460" w:right="1828" w:hanging="738"/>
        <w:jc w:val="both"/>
        <w:rPr>
          <w:sz w:val="21"/>
        </w:rPr>
      </w:pPr>
      <w:r>
        <w:rPr>
          <w:color w:val="231F20"/>
          <w:sz w:val="21"/>
        </w:rPr>
        <w:t>Velasco, Laura, (2010), “Migraciones indígenas mexicanas a Estados Uni- dos. Un acercamiento a las etnicidades transnacionales”, en </w:t>
      </w:r>
      <w:r>
        <w:rPr>
          <w:color w:val="231F20"/>
          <w:spacing w:val="-3"/>
          <w:sz w:val="21"/>
        </w:rPr>
        <w:t>Fran- </w:t>
      </w:r>
      <w:r>
        <w:rPr>
          <w:color w:val="231F20"/>
          <w:sz w:val="21"/>
        </w:rPr>
        <w:t>cisco Alba, Miguel Ángel Castillo y Gustavo Verduzco (cords.),</w:t>
      </w:r>
      <w:r>
        <w:rPr>
          <w:color w:val="231F20"/>
          <w:spacing w:val="-25"/>
          <w:sz w:val="21"/>
        </w:rPr>
        <w:t> </w:t>
      </w:r>
      <w:r>
        <w:rPr>
          <w:rFonts w:ascii="Arial" w:hAnsi="Arial"/>
          <w:i/>
          <w:color w:val="231F20"/>
          <w:sz w:val="21"/>
        </w:rPr>
        <w:t>Los </w:t>
      </w:r>
      <w:r>
        <w:rPr>
          <w:rFonts w:ascii="Arial" w:hAnsi="Arial"/>
          <w:i/>
          <w:color w:val="231F20"/>
          <w:sz w:val="21"/>
        </w:rPr>
        <w:t>grandes problemas de México </w:t>
      </w:r>
      <w:r>
        <w:rPr>
          <w:rFonts w:ascii="Arial" w:hAnsi="Arial"/>
          <w:i/>
          <w:color w:val="231F20"/>
          <w:sz w:val="17"/>
        </w:rPr>
        <w:t>III</w:t>
      </w:r>
      <w:r>
        <w:rPr>
          <w:rFonts w:ascii="Arial" w:hAnsi="Arial"/>
          <w:i/>
          <w:color w:val="231F20"/>
          <w:sz w:val="21"/>
        </w:rPr>
        <w:t>. Migraciones internacionales</w:t>
      </w:r>
      <w:r>
        <w:rPr>
          <w:color w:val="231F20"/>
          <w:sz w:val="21"/>
        </w:rPr>
        <w:t>, México:</w:t>
      </w:r>
      <w:r>
        <w:rPr>
          <w:color w:val="231F20"/>
          <w:spacing w:val="16"/>
          <w:sz w:val="21"/>
        </w:rPr>
        <w:t> </w:t>
      </w:r>
      <w:r>
        <w:rPr>
          <w:color w:val="231F20"/>
          <w:sz w:val="17"/>
        </w:rPr>
        <w:t>COLMEX</w:t>
      </w:r>
      <w:r>
        <w:rPr>
          <w:color w:val="231F20"/>
          <w:sz w:val="21"/>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61992" from="131.551193pt,.203715pt" to="131.551193pt,36.006114pt" stroked="true" strokeweight=".35pt" strokecolor="#231f20">
            <w10:wrap type="none"/>
          </v:line>
        </w:pict>
      </w:r>
      <w:r>
        <w:rPr/>
        <w:pict>
          <v:line style="position:absolute;mso-position-horizontal-relative:page;mso-position-vertical-relative:paragraph;z-index:-461968" from="15pt,36.005917pt" to="0pt,36.005917pt" stroked="true" strokeweight=".25pt" strokecolor="#000000">
            <w10:wrap type="none"/>
          </v:line>
        </w:pict>
      </w:r>
      <w:r>
        <w:rPr/>
        <w:pict>
          <v:line style="position:absolute;mso-position-horizontal-relative:page;mso-position-vertical-relative:paragraph;z-index:28240" from="508.890015pt,36.005917pt" to="523.890015pt,36.005917pt" stroked="true" strokeweight=".25pt" strokecolor="#000000">
            <w10:wrap type="none"/>
          </v:line>
        </w:pict>
      </w:r>
      <w:r>
        <w:rPr>
          <w:rFonts w:ascii="Arial" w:hAnsi="Arial"/>
          <w:color w:val="414042"/>
          <w:w w:val="105"/>
          <w:position w:val="-5"/>
          <w:sz w:val="20"/>
        </w:rPr>
        <w:t>228</w:t>
        <w:tab/>
      </w:r>
      <w:r>
        <w:rPr>
          <w:rFonts w:ascii="Calibri" w:hAnsi="Calibri"/>
          <w:color w:val="6D6E71"/>
          <w:w w:val="105"/>
          <w:sz w:val="15"/>
        </w:rPr>
        <w:t>Patricia Nicolás</w:t>
      </w:r>
      <w:r>
        <w:rPr>
          <w:rFonts w:ascii="Calibri" w:hAnsi="Calibri"/>
          <w:color w:val="6D6E71"/>
          <w:spacing w:val="-22"/>
          <w:w w:val="105"/>
          <w:sz w:val="15"/>
        </w:rPr>
        <w:t> </w:t>
      </w:r>
      <w:r>
        <w:rPr>
          <w:rFonts w:ascii="Calibri" w:hAnsi="Calibri"/>
          <w:color w:val="6D6E71"/>
          <w:w w:val="105"/>
          <w:sz w:val="15"/>
        </w:rPr>
        <w:t>Flores</w:t>
      </w:r>
    </w:p>
    <w:p>
      <w:pPr>
        <w:spacing w:after="0"/>
        <w:jc w:val="left"/>
        <w:rPr>
          <w:rFonts w:ascii="Calibri" w:hAnsi="Calibri"/>
          <w:sz w:val="15"/>
        </w:rPr>
        <w:sectPr>
          <w:headerReference w:type="default" r:id="rId299"/>
          <w:pgSz w:w="10480" w:h="14730"/>
          <w:pgMar w:header="0" w:footer="103" w:top="420" w:bottom="300" w:left="0" w:right="0"/>
        </w:sectPr>
      </w:pPr>
    </w:p>
    <w:p>
      <w:pPr>
        <w:pStyle w:val="BodyText"/>
        <w:rPr>
          <w:rFonts w:ascii="Calibri"/>
          <w:sz w:val="20"/>
        </w:rPr>
      </w:pPr>
      <w:r>
        <w:rPr/>
        <w:pict>
          <v:group style="position:absolute;margin-left:21pt;margin-top:20.999975pt;width:481.9pt;height:694.5pt;mso-position-horizontal-relative:page;mso-position-vertical-relative:page;z-index:-461920" coordorigin="420,420" coordsize="9638,13890">
            <v:rect style="position:absolute;left:420;top:420;width:9638;height:13890" filled="true" fillcolor="#77787b" stroked="false">
              <v:fill type="solid"/>
            </v:rect>
            <v:shape style="position:absolute;left:420;top:6577;width:9638;height:7733" type="#_x0000_t75" stroked="false">
              <v:imagedata r:id="rId101" o:title=""/>
            </v:shape>
            <w10:wrap type="none"/>
          </v:group>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rPr>
      </w:pPr>
    </w:p>
    <w:p>
      <w:pPr>
        <w:pStyle w:val="Heading2"/>
        <w:spacing w:line="187" w:lineRule="auto" w:before="63"/>
        <w:ind w:left="2289" w:right="4922" w:firstLine="1240"/>
      </w:pPr>
      <w:r>
        <w:rPr>
          <w:color w:val="FFFFFF"/>
        </w:rPr>
        <w:t>EL RETORNO </w:t>
      </w:r>
      <w:r>
        <w:rPr>
          <w:color w:val="FFFFFF"/>
          <w:w w:val="95"/>
        </w:rPr>
        <w:t>MEXIqUENSES qUE EMIftRAR</w:t>
      </w:r>
    </w:p>
    <w:p>
      <w:pPr>
        <w:spacing w:line="311" w:lineRule="exact" w:before="0"/>
        <w:ind w:left="2824" w:right="2804" w:firstLine="0"/>
        <w:jc w:val="center"/>
        <w:rPr>
          <w:rFonts w:ascii="Lucida Sans Unicode"/>
          <w:sz w:val="24"/>
        </w:rPr>
      </w:pPr>
      <w:r>
        <w:rPr>
          <w:rFonts w:ascii="Lucida Sans Unicode"/>
          <w:color w:val="FFFFFF"/>
          <w:sz w:val="24"/>
        </w:rPr>
        <w:t>A</w:t>
      </w:r>
      <w:r>
        <w:rPr>
          <w:rFonts w:ascii="Lucida Sans Unicode"/>
          <w:color w:val="FFFFFF"/>
          <w:spacing w:val="65"/>
          <w:sz w:val="24"/>
        </w:rPr>
        <w:t> </w:t>
      </w:r>
      <w:r>
        <w:rPr>
          <w:rFonts w:ascii="Lucida Sans Unicode"/>
          <w:color w:val="FFFFFF"/>
          <w:sz w:val="24"/>
        </w:rPr>
        <w:t>EXAS</w:t>
      </w:r>
    </w:p>
    <w:p>
      <w:pPr>
        <w:pStyle w:val="Heading4"/>
        <w:spacing w:before="87"/>
        <w:rPr>
          <w:sz w:val="18"/>
        </w:rPr>
      </w:pPr>
      <w:r>
        <w:rPr>
          <w:color w:val="FFFFFF"/>
          <w:w w:val="105"/>
        </w:rPr>
        <w:t>Renato Salas Alfaro</w:t>
      </w:r>
      <w:r>
        <w:rPr>
          <w:color w:val="FFFFFF"/>
          <w:w w:val="105"/>
          <w:sz w:val="18"/>
        </w:rPr>
        <w:t>*</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line="180" w:lineRule="exact" w:before="194"/>
        <w:ind w:left="2126" w:right="1738" w:firstLine="0"/>
        <w:jc w:val="left"/>
        <w:rPr>
          <w:rFonts w:ascii="Calibri" w:hAnsi="Calibri"/>
          <w:i/>
          <w:sz w:val="15"/>
        </w:rPr>
      </w:pPr>
      <w:r>
        <w:rPr>
          <w:rFonts w:ascii="Calibri" w:hAnsi="Calibri"/>
          <w:color w:val="FFFFFF"/>
          <w:sz w:val="15"/>
        </w:rPr>
        <w:t>* Doctor en Ciencias en Planificación de Empresas y Desarrollo Regional, Profesor investigador en el Centro de Investigación en Ciencias Sociales y Humanidades de la Universidad Autónoma del Estado de México. </w:t>
      </w:r>
      <w:hyperlink r:id="rId301">
        <w:r>
          <w:rPr>
            <w:rFonts w:ascii="Calibri" w:hAnsi="Calibri"/>
            <w:i/>
            <w:color w:val="FFFFFF"/>
            <w:sz w:val="15"/>
          </w:rPr>
          <w:t>rnt13@hotmail.com</w:t>
        </w:r>
      </w:hyperlink>
    </w:p>
    <w:p>
      <w:pPr>
        <w:spacing w:after="0" w:line="180" w:lineRule="exact"/>
        <w:jc w:val="left"/>
        <w:rPr>
          <w:rFonts w:ascii="Calibri" w:hAnsi="Calibri"/>
          <w:sz w:val="15"/>
        </w:rPr>
        <w:sectPr>
          <w:footerReference w:type="default" r:id="rId300"/>
          <w:pgSz w:w="10480" w:h="14730"/>
          <w:pgMar w:footer="223" w:header="0" w:top="420" w:bottom="420" w:left="0" w:right="0"/>
        </w:sectPr>
      </w:pPr>
    </w:p>
    <w:p>
      <w:pPr>
        <w:pStyle w:val="BodyText"/>
        <w:spacing w:before="4"/>
        <w:rPr>
          <w:rFonts w:ascii="Times New Roman"/>
          <w:sz w:val="17"/>
        </w:rPr>
      </w:pPr>
    </w:p>
    <w:p>
      <w:pPr>
        <w:spacing w:after="0"/>
        <w:rPr>
          <w:rFonts w:ascii="Times New Roman"/>
          <w:sz w:val="17"/>
        </w:rPr>
        <w:sectPr>
          <w:footerReference w:type="default" r:id="rId302"/>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16"/>
        <w:jc w:val="both"/>
      </w:pPr>
      <w:r>
        <w:rPr/>
        <w:pict>
          <v:shape style="position:absolute;margin-left:103.667099pt;margin-top:11.29612pt;width:31.2pt;height:51pt;mso-position-horizontal-relative:page;mso-position-vertical-relative:paragraph;z-index:28288"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w w:val="105"/>
        </w:rPr>
        <w:t>a</w:t>
      </w:r>
      <w:r>
        <w:rPr>
          <w:color w:val="231F20"/>
          <w:spacing w:val="-17"/>
          <w:w w:val="105"/>
        </w:rPr>
        <w:t> </w:t>
      </w:r>
      <w:r>
        <w:rPr>
          <w:color w:val="231F20"/>
          <w:w w:val="105"/>
        </w:rPr>
        <w:t>salida</w:t>
      </w:r>
      <w:r>
        <w:rPr>
          <w:color w:val="231F20"/>
          <w:spacing w:val="-17"/>
          <w:w w:val="105"/>
        </w:rPr>
        <w:t> </w:t>
      </w:r>
      <w:r>
        <w:rPr>
          <w:color w:val="231F20"/>
          <w:w w:val="105"/>
        </w:rPr>
        <w:t>de</w:t>
      </w:r>
      <w:r>
        <w:rPr>
          <w:color w:val="231F20"/>
          <w:spacing w:val="-17"/>
          <w:w w:val="105"/>
        </w:rPr>
        <w:t> </w:t>
      </w:r>
      <w:r>
        <w:rPr>
          <w:color w:val="231F20"/>
          <w:w w:val="105"/>
        </w:rPr>
        <w:t>mexicanos</w:t>
      </w:r>
      <w:r>
        <w:rPr>
          <w:color w:val="231F20"/>
          <w:spacing w:val="-17"/>
          <w:w w:val="105"/>
        </w:rPr>
        <w:t> </w:t>
      </w:r>
      <w:r>
        <w:rPr>
          <w:color w:val="231F20"/>
          <w:w w:val="105"/>
        </w:rPr>
        <w:t>hacia</w:t>
      </w:r>
      <w:r>
        <w:rPr>
          <w:color w:val="231F20"/>
          <w:spacing w:val="-17"/>
          <w:w w:val="105"/>
        </w:rPr>
        <w:t> </w:t>
      </w:r>
      <w:r>
        <w:rPr>
          <w:color w:val="231F20"/>
          <w:w w:val="105"/>
        </w:rPr>
        <w:t>Estados</w:t>
      </w:r>
      <w:r>
        <w:rPr>
          <w:color w:val="231F20"/>
          <w:spacing w:val="-17"/>
          <w:w w:val="105"/>
        </w:rPr>
        <w:t> </w:t>
      </w:r>
      <w:r>
        <w:rPr>
          <w:color w:val="231F20"/>
          <w:w w:val="105"/>
        </w:rPr>
        <w:t>Unidos</w:t>
      </w:r>
      <w:r>
        <w:rPr>
          <w:color w:val="231F20"/>
          <w:spacing w:val="-17"/>
          <w:w w:val="105"/>
        </w:rPr>
        <w:t> </w:t>
      </w:r>
      <w:r>
        <w:rPr>
          <w:color w:val="231F20"/>
          <w:w w:val="105"/>
        </w:rPr>
        <w:t>tiene</w:t>
      </w:r>
      <w:r>
        <w:rPr>
          <w:color w:val="231F20"/>
          <w:spacing w:val="-17"/>
          <w:w w:val="105"/>
        </w:rPr>
        <w:t> </w:t>
      </w:r>
      <w:r>
        <w:rPr>
          <w:color w:val="231F20"/>
          <w:w w:val="105"/>
        </w:rPr>
        <w:t>larga</w:t>
      </w:r>
      <w:r>
        <w:rPr>
          <w:color w:val="231F20"/>
          <w:spacing w:val="-17"/>
          <w:w w:val="105"/>
        </w:rPr>
        <w:t> </w:t>
      </w:r>
      <w:r>
        <w:rPr>
          <w:color w:val="231F20"/>
          <w:w w:val="105"/>
        </w:rPr>
        <w:t>data, sus orígenes pueden rastrearse desde finales del siglo</w:t>
      </w:r>
      <w:r>
        <w:rPr>
          <w:color w:val="231F20"/>
          <w:spacing w:val="-31"/>
          <w:w w:val="105"/>
        </w:rPr>
        <w:t> </w:t>
      </w:r>
      <w:r>
        <w:rPr>
          <w:color w:val="231F20"/>
          <w:w w:val="105"/>
        </w:rPr>
        <w:t>ante- pasado. Hasta los años ochenta del siglo </w:t>
      </w:r>
      <w:r>
        <w:rPr>
          <w:color w:val="231F20"/>
          <w:w w:val="105"/>
          <w:sz w:val="17"/>
        </w:rPr>
        <w:t>XX </w:t>
      </w:r>
      <w:r>
        <w:rPr>
          <w:color w:val="231F20"/>
          <w:w w:val="105"/>
        </w:rPr>
        <w:t>esta migración era</w:t>
      </w:r>
      <w:r>
        <w:rPr>
          <w:color w:val="231F20"/>
          <w:spacing w:val="-10"/>
          <w:w w:val="105"/>
        </w:rPr>
        <w:t> </w:t>
      </w:r>
      <w:r>
        <w:rPr>
          <w:color w:val="231F20"/>
          <w:w w:val="105"/>
        </w:rPr>
        <w:t>esencialmente</w:t>
      </w:r>
      <w:r>
        <w:rPr>
          <w:color w:val="231F20"/>
          <w:spacing w:val="-10"/>
          <w:w w:val="105"/>
        </w:rPr>
        <w:t> </w:t>
      </w:r>
      <w:r>
        <w:rPr>
          <w:color w:val="231F20"/>
          <w:w w:val="105"/>
        </w:rPr>
        <w:t>masculina,</w:t>
      </w:r>
      <w:r>
        <w:rPr>
          <w:color w:val="231F20"/>
          <w:spacing w:val="-15"/>
          <w:w w:val="105"/>
        </w:rPr>
        <w:t> </w:t>
      </w:r>
      <w:r>
        <w:rPr>
          <w:color w:val="231F20"/>
          <w:w w:val="105"/>
        </w:rPr>
        <w:t>de</w:t>
      </w:r>
      <w:r>
        <w:rPr>
          <w:color w:val="231F20"/>
          <w:spacing w:val="-10"/>
          <w:w w:val="105"/>
        </w:rPr>
        <w:t> </w:t>
      </w:r>
      <w:r>
        <w:rPr>
          <w:color w:val="231F20"/>
          <w:w w:val="105"/>
        </w:rPr>
        <w:t>origen</w:t>
      </w:r>
      <w:r>
        <w:rPr>
          <w:color w:val="231F20"/>
          <w:spacing w:val="-10"/>
          <w:w w:val="105"/>
        </w:rPr>
        <w:t> </w:t>
      </w:r>
      <w:r>
        <w:rPr>
          <w:color w:val="231F20"/>
          <w:w w:val="105"/>
        </w:rPr>
        <w:t>rural</w:t>
      </w:r>
      <w:r>
        <w:rPr>
          <w:color w:val="231F20"/>
          <w:spacing w:val="-10"/>
          <w:w w:val="105"/>
        </w:rPr>
        <w:t> </w:t>
      </w:r>
      <w:r>
        <w:rPr>
          <w:color w:val="231F20"/>
          <w:w w:val="105"/>
        </w:rPr>
        <w:t>y</w:t>
      </w:r>
      <w:r>
        <w:rPr>
          <w:color w:val="231F20"/>
          <w:spacing w:val="-10"/>
          <w:w w:val="105"/>
        </w:rPr>
        <w:t> </w:t>
      </w:r>
      <w:r>
        <w:rPr>
          <w:color w:val="231F20"/>
          <w:w w:val="105"/>
        </w:rPr>
        <w:t>baja</w:t>
      </w:r>
      <w:r>
        <w:rPr>
          <w:color w:val="231F20"/>
          <w:spacing w:val="-10"/>
          <w:w w:val="105"/>
        </w:rPr>
        <w:t> </w:t>
      </w:r>
      <w:r>
        <w:rPr>
          <w:color w:val="231F20"/>
          <w:w w:val="105"/>
        </w:rPr>
        <w:t>escolari- dad, características que demandaba el mercado laboral  </w:t>
      </w:r>
      <w:r>
        <w:rPr>
          <w:color w:val="231F20"/>
          <w:spacing w:val="5"/>
          <w:w w:val="105"/>
        </w:rPr>
        <w:t> </w:t>
      </w:r>
      <w:r>
        <w:rPr>
          <w:color w:val="231F20"/>
          <w:w w:val="105"/>
        </w:rPr>
        <w:t>de</w:t>
      </w:r>
    </w:p>
    <w:p>
      <w:pPr>
        <w:pStyle w:val="BodyText"/>
        <w:spacing w:line="261" w:lineRule="auto" w:before="1"/>
        <w:ind w:left="1516" w:right="1714"/>
        <w:jc w:val="right"/>
      </w:pPr>
      <w:r>
        <w:rPr>
          <w:color w:val="231F20"/>
          <w:w w:val="105"/>
        </w:rPr>
        <w:t>aquel</w:t>
      </w:r>
      <w:r>
        <w:rPr>
          <w:color w:val="231F20"/>
          <w:spacing w:val="-8"/>
          <w:w w:val="105"/>
        </w:rPr>
        <w:t> </w:t>
      </w:r>
      <w:r>
        <w:rPr>
          <w:color w:val="231F20"/>
          <w:w w:val="105"/>
        </w:rPr>
        <w:t>país,</w:t>
      </w:r>
      <w:r>
        <w:rPr>
          <w:color w:val="231F20"/>
          <w:spacing w:val="-14"/>
          <w:w w:val="105"/>
        </w:rPr>
        <w:t> </w:t>
      </w:r>
      <w:r>
        <w:rPr>
          <w:color w:val="231F20"/>
          <w:w w:val="105"/>
        </w:rPr>
        <w:t>y</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correspondían</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demografía</w:t>
      </w:r>
      <w:r>
        <w:rPr>
          <w:color w:val="231F20"/>
          <w:spacing w:val="-8"/>
          <w:w w:val="105"/>
        </w:rPr>
        <w:t> </w:t>
      </w:r>
      <w:r>
        <w:rPr>
          <w:color w:val="231F20"/>
          <w:w w:val="105"/>
        </w:rPr>
        <w:t>de</w:t>
      </w:r>
      <w:r>
        <w:rPr>
          <w:color w:val="231F20"/>
          <w:spacing w:val="-8"/>
          <w:w w:val="105"/>
        </w:rPr>
        <w:t> </w:t>
      </w:r>
      <w:r>
        <w:rPr>
          <w:color w:val="231F20"/>
          <w:w w:val="105"/>
        </w:rPr>
        <w:t>México.</w:t>
      </w:r>
      <w:r>
        <w:rPr>
          <w:color w:val="231F20"/>
          <w:spacing w:val="-14"/>
          <w:w w:val="105"/>
        </w:rPr>
        <w:t> </w:t>
      </w:r>
      <w:r>
        <w:rPr>
          <w:color w:val="231F20"/>
          <w:w w:val="105"/>
        </w:rPr>
        <w:t>En</w:t>
      </w:r>
      <w:r>
        <w:rPr>
          <w:color w:val="231F20"/>
          <w:spacing w:val="-8"/>
          <w:w w:val="105"/>
        </w:rPr>
        <w:t> </w:t>
      </w:r>
      <w:r>
        <w:rPr>
          <w:color w:val="231F20"/>
          <w:w w:val="105"/>
        </w:rPr>
        <w:t>las</w:t>
      </w:r>
      <w:r>
        <w:rPr>
          <w:color w:val="231F20"/>
          <w:w w:val="95"/>
        </w:rPr>
        <w:t> </w:t>
      </w:r>
      <w:r>
        <w:rPr>
          <w:color w:val="231F20"/>
          <w:w w:val="105"/>
        </w:rPr>
        <w:t>últimas</w:t>
      </w:r>
      <w:r>
        <w:rPr>
          <w:color w:val="231F20"/>
          <w:spacing w:val="-23"/>
          <w:w w:val="105"/>
        </w:rPr>
        <w:t> </w:t>
      </w:r>
      <w:r>
        <w:rPr>
          <w:color w:val="231F20"/>
          <w:w w:val="105"/>
        </w:rPr>
        <w:t>tres</w:t>
      </w:r>
      <w:r>
        <w:rPr>
          <w:color w:val="231F20"/>
          <w:spacing w:val="-23"/>
          <w:w w:val="105"/>
        </w:rPr>
        <w:t> </w:t>
      </w:r>
      <w:r>
        <w:rPr>
          <w:color w:val="231F20"/>
          <w:w w:val="105"/>
        </w:rPr>
        <w:t>décadas,</w:t>
      </w:r>
      <w:r>
        <w:rPr>
          <w:color w:val="231F20"/>
          <w:spacing w:val="-27"/>
          <w:w w:val="105"/>
        </w:rPr>
        <w:t> </w:t>
      </w:r>
      <w:r>
        <w:rPr>
          <w:color w:val="231F20"/>
          <w:w w:val="105"/>
        </w:rPr>
        <w:t>las</w:t>
      </w:r>
      <w:r>
        <w:rPr>
          <w:color w:val="231F20"/>
          <w:spacing w:val="-23"/>
          <w:w w:val="105"/>
        </w:rPr>
        <w:t> </w:t>
      </w:r>
      <w:r>
        <w:rPr>
          <w:color w:val="231F20"/>
          <w:w w:val="105"/>
        </w:rPr>
        <w:t>crisis</w:t>
      </w:r>
      <w:r>
        <w:rPr>
          <w:color w:val="231F20"/>
          <w:spacing w:val="-23"/>
          <w:w w:val="105"/>
        </w:rPr>
        <w:t> </w:t>
      </w:r>
      <w:r>
        <w:rPr>
          <w:color w:val="231F20"/>
          <w:w w:val="105"/>
        </w:rPr>
        <w:t>económicas,</w:t>
      </w:r>
      <w:r>
        <w:rPr>
          <w:color w:val="231F20"/>
          <w:spacing w:val="-27"/>
          <w:w w:val="105"/>
        </w:rPr>
        <w:t> </w:t>
      </w:r>
      <w:r>
        <w:rPr>
          <w:color w:val="231F20"/>
          <w:w w:val="105"/>
        </w:rPr>
        <w:t>el</w:t>
      </w:r>
      <w:r>
        <w:rPr>
          <w:color w:val="231F20"/>
          <w:spacing w:val="-23"/>
          <w:w w:val="105"/>
        </w:rPr>
        <w:t> </w:t>
      </w:r>
      <w:r>
        <w:rPr>
          <w:color w:val="231F20"/>
          <w:w w:val="105"/>
        </w:rPr>
        <w:t>retiro</w:t>
      </w:r>
      <w:r>
        <w:rPr>
          <w:color w:val="231F20"/>
          <w:spacing w:val="-23"/>
          <w:w w:val="105"/>
        </w:rPr>
        <w:t> </w:t>
      </w:r>
      <w:r>
        <w:rPr>
          <w:color w:val="231F20"/>
          <w:w w:val="105"/>
        </w:rPr>
        <w:t>del</w:t>
      </w:r>
      <w:r>
        <w:rPr>
          <w:color w:val="231F20"/>
          <w:spacing w:val="-23"/>
          <w:w w:val="105"/>
        </w:rPr>
        <w:t> </w:t>
      </w:r>
      <w:r>
        <w:rPr>
          <w:color w:val="231F20"/>
          <w:w w:val="105"/>
        </w:rPr>
        <w:t>Estado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acti-</w:t>
      </w:r>
      <w:r>
        <w:rPr>
          <w:color w:val="231F20"/>
          <w:w w:val="96"/>
        </w:rPr>
        <w:t> </w:t>
      </w:r>
      <w:r>
        <w:rPr>
          <w:color w:val="231F20"/>
          <w:w w:val="105"/>
        </w:rPr>
        <w:t>vidad</w:t>
      </w:r>
      <w:r>
        <w:rPr>
          <w:color w:val="231F20"/>
          <w:spacing w:val="-5"/>
          <w:w w:val="105"/>
        </w:rPr>
        <w:t> </w:t>
      </w:r>
      <w:r>
        <w:rPr>
          <w:color w:val="231F20"/>
          <w:w w:val="105"/>
        </w:rPr>
        <w:t>económica,</w:t>
      </w:r>
      <w:r>
        <w:rPr>
          <w:color w:val="231F20"/>
          <w:spacing w:val="-10"/>
          <w:w w:val="105"/>
        </w:rPr>
        <w:t> </w:t>
      </w:r>
      <w:r>
        <w:rPr>
          <w:color w:val="231F20"/>
          <w:w w:val="105"/>
        </w:rPr>
        <w:t>la</w:t>
      </w:r>
      <w:r>
        <w:rPr>
          <w:color w:val="231F20"/>
          <w:spacing w:val="-5"/>
          <w:w w:val="105"/>
        </w:rPr>
        <w:t> </w:t>
      </w:r>
      <w:r>
        <w:rPr>
          <w:color w:val="231F20"/>
          <w:w w:val="105"/>
        </w:rPr>
        <w:t>reducción</w:t>
      </w:r>
      <w:r>
        <w:rPr>
          <w:color w:val="231F20"/>
          <w:spacing w:val="-5"/>
          <w:w w:val="105"/>
        </w:rPr>
        <w:t> </w:t>
      </w:r>
      <w:r>
        <w:rPr>
          <w:color w:val="231F20"/>
          <w:w w:val="105"/>
        </w:rPr>
        <w:t>de</w:t>
      </w:r>
      <w:r>
        <w:rPr>
          <w:color w:val="231F20"/>
          <w:spacing w:val="-5"/>
          <w:w w:val="105"/>
        </w:rPr>
        <w:t> </w:t>
      </w:r>
      <w:r>
        <w:rPr>
          <w:color w:val="231F20"/>
          <w:w w:val="105"/>
        </w:rPr>
        <w:t>apoyos</w:t>
      </w:r>
      <w:r>
        <w:rPr>
          <w:color w:val="231F20"/>
          <w:spacing w:val="-5"/>
          <w:w w:val="105"/>
        </w:rPr>
        <w:t> </w:t>
      </w:r>
      <w:r>
        <w:rPr>
          <w:color w:val="231F20"/>
          <w:w w:val="105"/>
        </w:rPr>
        <w:t>y</w:t>
      </w:r>
      <w:r>
        <w:rPr>
          <w:color w:val="231F20"/>
          <w:spacing w:val="-5"/>
          <w:w w:val="105"/>
        </w:rPr>
        <w:t> </w:t>
      </w:r>
      <w:r>
        <w:rPr>
          <w:color w:val="231F20"/>
          <w:w w:val="105"/>
        </w:rPr>
        <w:t>subsidios</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pequeña</w:t>
      </w:r>
      <w:r>
        <w:rPr>
          <w:color w:val="231F20"/>
          <w:spacing w:val="-5"/>
          <w:w w:val="105"/>
        </w:rPr>
        <w:t> </w:t>
      </w:r>
      <w:r>
        <w:rPr>
          <w:color w:val="231F20"/>
          <w:w w:val="105"/>
        </w:rPr>
        <w:t>pro-</w:t>
      </w:r>
      <w:r>
        <w:rPr>
          <w:color w:val="231F20"/>
          <w:w w:val="96"/>
        </w:rPr>
        <w:t> </w:t>
      </w:r>
      <w:r>
        <w:rPr>
          <w:color w:val="231F20"/>
          <w:w w:val="105"/>
        </w:rPr>
        <w:t>ducción rural y urbana, además de otras causales, provocaron</w:t>
      </w:r>
      <w:r>
        <w:rPr>
          <w:color w:val="231F20"/>
          <w:spacing w:val="49"/>
          <w:w w:val="105"/>
        </w:rPr>
        <w:t> </w:t>
      </w:r>
      <w:r>
        <w:rPr>
          <w:color w:val="231F20"/>
          <w:w w:val="105"/>
        </w:rPr>
        <w:t>que</w:t>
      </w:r>
      <w:r>
        <w:rPr>
          <w:color w:val="231F20"/>
          <w:spacing w:val="6"/>
          <w:w w:val="105"/>
        </w:rPr>
        <w:t> </w:t>
      </w:r>
      <w:r>
        <w:rPr>
          <w:color w:val="231F20"/>
          <w:w w:val="105"/>
        </w:rPr>
        <w:t>las</w:t>
      </w:r>
      <w:r>
        <w:rPr>
          <w:color w:val="231F20"/>
          <w:w w:val="95"/>
        </w:rPr>
        <w:t> </w:t>
      </w:r>
      <w:r>
        <w:rPr>
          <w:color w:val="231F20"/>
          <w:w w:val="105"/>
        </w:rPr>
        <w:t>zonas urbanas y nuevos actores se incorporaran al flujo</w:t>
      </w:r>
      <w:r>
        <w:rPr>
          <w:color w:val="231F20"/>
          <w:spacing w:val="15"/>
          <w:w w:val="105"/>
        </w:rPr>
        <w:t> </w:t>
      </w:r>
      <w:r>
        <w:rPr>
          <w:color w:val="231F20"/>
          <w:w w:val="105"/>
        </w:rPr>
        <w:t>migratorio.</w:t>
      </w:r>
      <w:r>
        <w:rPr>
          <w:color w:val="231F20"/>
          <w:spacing w:val="-4"/>
          <w:w w:val="105"/>
        </w:rPr>
        <w:t> </w:t>
      </w:r>
      <w:r>
        <w:rPr>
          <w:color w:val="231F20"/>
          <w:w w:val="105"/>
        </w:rPr>
        <w:t>De</w:t>
      </w:r>
      <w:r>
        <w:rPr>
          <w:color w:val="231F20"/>
          <w:w w:val="103"/>
        </w:rPr>
        <w:t> </w:t>
      </w:r>
      <w:r>
        <w:rPr>
          <w:color w:val="231F20"/>
          <w:w w:val="105"/>
        </w:rPr>
        <w:t>este modo, a partir de 1990, se vuelve notoria la presencia</w:t>
      </w:r>
      <w:r>
        <w:rPr>
          <w:color w:val="231F20"/>
          <w:spacing w:val="-12"/>
          <w:w w:val="105"/>
        </w:rPr>
        <w:t> </w:t>
      </w:r>
      <w:r>
        <w:rPr>
          <w:color w:val="231F20"/>
          <w:w w:val="105"/>
        </w:rPr>
        <w:t>de</w:t>
      </w:r>
      <w:r>
        <w:rPr>
          <w:color w:val="231F20"/>
          <w:spacing w:val="-1"/>
          <w:w w:val="105"/>
        </w:rPr>
        <w:t> </w:t>
      </w:r>
      <w:r>
        <w:rPr>
          <w:color w:val="231F20"/>
          <w:w w:val="105"/>
        </w:rPr>
        <w:t>mujeres,</w:t>
      </w:r>
      <w:r>
        <w:rPr>
          <w:color w:val="231F20"/>
          <w:w w:val="95"/>
        </w:rPr>
        <w:t> </w:t>
      </w:r>
      <w:r>
        <w:rPr>
          <w:color w:val="231F20"/>
          <w:w w:val="105"/>
        </w:rPr>
        <w:t>niños,</w:t>
      </w:r>
      <w:r>
        <w:rPr>
          <w:color w:val="231F20"/>
          <w:spacing w:val="-29"/>
          <w:w w:val="105"/>
        </w:rPr>
        <w:t> </w:t>
      </w:r>
      <w:r>
        <w:rPr>
          <w:color w:val="231F20"/>
          <w:w w:val="105"/>
        </w:rPr>
        <w:t>indígenas,</w:t>
      </w:r>
      <w:r>
        <w:rPr>
          <w:color w:val="231F20"/>
          <w:spacing w:val="-29"/>
          <w:w w:val="105"/>
        </w:rPr>
        <w:t> </w:t>
      </w:r>
      <w:r>
        <w:rPr>
          <w:color w:val="231F20"/>
          <w:w w:val="105"/>
        </w:rPr>
        <w:t>obreros,</w:t>
      </w:r>
      <w:r>
        <w:rPr>
          <w:color w:val="231F20"/>
          <w:spacing w:val="-29"/>
          <w:w w:val="105"/>
        </w:rPr>
        <w:t> </w:t>
      </w:r>
      <w:r>
        <w:rPr>
          <w:color w:val="231F20"/>
          <w:w w:val="105"/>
        </w:rPr>
        <w:t>profesionistas,</w:t>
      </w:r>
      <w:r>
        <w:rPr>
          <w:color w:val="231F20"/>
          <w:spacing w:val="-29"/>
          <w:w w:val="105"/>
        </w:rPr>
        <w:t> </w:t>
      </w:r>
      <w:r>
        <w:rPr>
          <w:color w:val="231F20"/>
          <w:w w:val="105"/>
        </w:rPr>
        <w:t>técnicos,</w:t>
      </w:r>
      <w:r>
        <w:rPr>
          <w:color w:val="231F20"/>
          <w:spacing w:val="-29"/>
          <w:w w:val="105"/>
        </w:rPr>
        <w:t> </w:t>
      </w:r>
      <w:r>
        <w:rPr>
          <w:color w:val="231F20"/>
          <w:w w:val="105"/>
        </w:rPr>
        <w:t>mucha</w:t>
      </w:r>
      <w:r>
        <w:rPr>
          <w:color w:val="231F20"/>
          <w:spacing w:val="-24"/>
          <w:w w:val="105"/>
        </w:rPr>
        <w:t> </w:t>
      </w:r>
      <w:r>
        <w:rPr>
          <w:color w:val="231F20"/>
          <w:w w:val="105"/>
        </w:rPr>
        <w:t>mayor</w:t>
      </w:r>
      <w:r>
        <w:rPr>
          <w:color w:val="231F20"/>
          <w:spacing w:val="-24"/>
          <w:w w:val="105"/>
        </w:rPr>
        <w:t> </w:t>
      </w:r>
      <w:r>
        <w:rPr>
          <w:color w:val="231F20"/>
          <w:w w:val="105"/>
        </w:rPr>
        <w:t>diversi-</w:t>
      </w:r>
      <w:r>
        <w:rPr>
          <w:color w:val="231F20"/>
          <w:w w:val="96"/>
        </w:rPr>
        <w:t> </w:t>
      </w:r>
      <w:r>
        <w:rPr>
          <w:color w:val="231F20"/>
          <w:w w:val="105"/>
        </w:rPr>
        <w:t>dad</w:t>
      </w:r>
      <w:r>
        <w:rPr>
          <w:color w:val="231F20"/>
          <w:spacing w:val="-27"/>
          <w:w w:val="105"/>
        </w:rPr>
        <w:t> </w:t>
      </w:r>
      <w:r>
        <w:rPr>
          <w:color w:val="231F20"/>
          <w:w w:val="105"/>
        </w:rPr>
        <w:t>de</w:t>
      </w:r>
      <w:r>
        <w:rPr>
          <w:color w:val="231F20"/>
          <w:spacing w:val="-27"/>
          <w:w w:val="105"/>
        </w:rPr>
        <w:t> </w:t>
      </w:r>
      <w:r>
        <w:rPr>
          <w:color w:val="231F20"/>
          <w:w w:val="105"/>
        </w:rPr>
        <w:t>actores</w:t>
      </w:r>
      <w:r>
        <w:rPr>
          <w:color w:val="231F20"/>
          <w:spacing w:val="-27"/>
          <w:w w:val="105"/>
        </w:rPr>
        <w:t> </w:t>
      </w:r>
      <w:r>
        <w:rPr>
          <w:color w:val="231F20"/>
          <w:w w:val="105"/>
        </w:rPr>
        <w:t>en</w:t>
      </w:r>
      <w:r>
        <w:rPr>
          <w:color w:val="231F20"/>
          <w:spacing w:val="-27"/>
          <w:w w:val="105"/>
        </w:rPr>
        <w:t> </w:t>
      </w:r>
      <w:r>
        <w:rPr>
          <w:color w:val="231F20"/>
          <w:w w:val="105"/>
        </w:rPr>
        <w:t>esta</w:t>
      </w:r>
      <w:r>
        <w:rPr>
          <w:color w:val="231F20"/>
          <w:spacing w:val="-27"/>
          <w:w w:val="105"/>
        </w:rPr>
        <w:t> </w:t>
      </w:r>
      <w:r>
        <w:rPr>
          <w:color w:val="231F20"/>
          <w:w w:val="105"/>
        </w:rPr>
        <w:t>práctica</w:t>
      </w:r>
      <w:r>
        <w:rPr>
          <w:color w:val="231F20"/>
          <w:spacing w:val="-27"/>
          <w:w w:val="105"/>
        </w:rPr>
        <w:t> </w:t>
      </w:r>
      <w:r>
        <w:rPr>
          <w:color w:val="231F20"/>
          <w:w w:val="105"/>
        </w:rPr>
        <w:t>laboral.</w:t>
      </w:r>
      <w:r>
        <w:rPr>
          <w:color w:val="231F20"/>
          <w:spacing w:val="-34"/>
          <w:w w:val="105"/>
        </w:rPr>
        <w:t> </w:t>
      </w:r>
      <w:r>
        <w:rPr>
          <w:color w:val="231F20"/>
          <w:w w:val="105"/>
        </w:rPr>
        <w:t>Actualmente</w:t>
      </w:r>
      <w:r>
        <w:rPr>
          <w:color w:val="231F20"/>
          <w:spacing w:val="-27"/>
          <w:w w:val="105"/>
        </w:rPr>
        <w:t> </w:t>
      </w:r>
      <w:r>
        <w:rPr>
          <w:color w:val="231F20"/>
          <w:w w:val="105"/>
        </w:rPr>
        <w:t>las</w:t>
      </w:r>
      <w:r>
        <w:rPr>
          <w:color w:val="231F20"/>
          <w:spacing w:val="-27"/>
          <w:w w:val="105"/>
        </w:rPr>
        <w:t> </w:t>
      </w:r>
      <w:r>
        <w:rPr>
          <w:color w:val="231F20"/>
          <w:w w:val="105"/>
        </w:rPr>
        <w:t>remesas</w:t>
      </w:r>
      <w:r>
        <w:rPr>
          <w:color w:val="231F20"/>
          <w:spacing w:val="-27"/>
          <w:w w:val="105"/>
        </w:rPr>
        <w:t> </w:t>
      </w:r>
      <w:r>
        <w:rPr>
          <w:color w:val="231F20"/>
          <w:w w:val="105"/>
        </w:rPr>
        <w:t>interna-</w:t>
      </w:r>
      <w:r>
        <w:rPr>
          <w:color w:val="231F20"/>
          <w:w w:val="96"/>
        </w:rPr>
        <w:t> </w:t>
      </w:r>
      <w:r>
        <w:rPr>
          <w:color w:val="231F20"/>
          <w:w w:val="105"/>
        </w:rPr>
        <w:t>cionales contribuyen al consumo de comida,</w:t>
      </w:r>
      <w:r>
        <w:rPr>
          <w:color w:val="231F20"/>
          <w:spacing w:val="8"/>
          <w:w w:val="105"/>
        </w:rPr>
        <w:t> </w:t>
      </w:r>
      <w:r>
        <w:rPr>
          <w:color w:val="231F20"/>
          <w:w w:val="105"/>
        </w:rPr>
        <w:t>vivienda,</w:t>
      </w:r>
      <w:r>
        <w:rPr>
          <w:color w:val="231F20"/>
          <w:spacing w:val="25"/>
          <w:w w:val="105"/>
        </w:rPr>
        <w:t> </w:t>
      </w:r>
      <w:r>
        <w:rPr>
          <w:color w:val="231F20"/>
          <w:w w:val="105"/>
        </w:rPr>
        <w:t>equipamiento,</w:t>
      </w:r>
      <w:r>
        <w:rPr>
          <w:color w:val="231F20"/>
          <w:w w:val="93"/>
        </w:rPr>
        <w:t> </w:t>
      </w:r>
      <w:r>
        <w:rPr>
          <w:color w:val="231F20"/>
          <w:w w:val="105"/>
        </w:rPr>
        <w:t>educación,</w:t>
      </w:r>
      <w:r>
        <w:rPr>
          <w:color w:val="231F20"/>
          <w:spacing w:val="-28"/>
          <w:w w:val="105"/>
        </w:rPr>
        <w:t> </w:t>
      </w:r>
      <w:r>
        <w:rPr>
          <w:color w:val="231F20"/>
          <w:w w:val="105"/>
        </w:rPr>
        <w:t>compra</w:t>
      </w:r>
      <w:r>
        <w:rPr>
          <w:color w:val="231F20"/>
          <w:spacing w:val="-24"/>
          <w:w w:val="105"/>
        </w:rPr>
        <w:t> </w:t>
      </w:r>
      <w:r>
        <w:rPr>
          <w:color w:val="231F20"/>
          <w:w w:val="105"/>
        </w:rPr>
        <w:t>de</w:t>
      </w:r>
      <w:r>
        <w:rPr>
          <w:color w:val="231F20"/>
          <w:spacing w:val="-24"/>
          <w:w w:val="105"/>
        </w:rPr>
        <w:t> </w:t>
      </w:r>
      <w:r>
        <w:rPr>
          <w:color w:val="231F20"/>
          <w:w w:val="105"/>
        </w:rPr>
        <w:t>herramientas,</w:t>
      </w:r>
      <w:r>
        <w:rPr>
          <w:color w:val="231F20"/>
          <w:spacing w:val="-28"/>
          <w:w w:val="105"/>
        </w:rPr>
        <w:t> </w:t>
      </w:r>
      <w:r>
        <w:rPr>
          <w:color w:val="231F20"/>
          <w:w w:val="105"/>
        </w:rPr>
        <w:t>autos,</w:t>
      </w:r>
      <w:r>
        <w:rPr>
          <w:color w:val="231F20"/>
          <w:spacing w:val="-28"/>
          <w:w w:val="105"/>
        </w:rPr>
        <w:t> </w:t>
      </w:r>
      <w:r>
        <w:rPr>
          <w:color w:val="231F20"/>
          <w:w w:val="105"/>
        </w:rPr>
        <w:t>negocios,</w:t>
      </w:r>
      <w:r>
        <w:rPr>
          <w:color w:val="231F20"/>
          <w:spacing w:val="-28"/>
          <w:w w:val="105"/>
        </w:rPr>
        <w:t> </w:t>
      </w:r>
      <w:r>
        <w:rPr>
          <w:color w:val="231F20"/>
          <w:w w:val="105"/>
        </w:rPr>
        <w:t>en</w:t>
      </w:r>
      <w:r>
        <w:rPr>
          <w:color w:val="231F20"/>
          <w:spacing w:val="-24"/>
          <w:w w:val="105"/>
        </w:rPr>
        <w:t> </w:t>
      </w:r>
      <w:r>
        <w:rPr>
          <w:color w:val="231F20"/>
          <w:w w:val="105"/>
        </w:rPr>
        <w:t>poco</w:t>
      </w:r>
      <w:r>
        <w:rPr>
          <w:color w:val="231F20"/>
          <w:spacing w:val="-24"/>
          <w:w w:val="105"/>
        </w:rPr>
        <w:t> </w:t>
      </w:r>
      <w:r>
        <w:rPr>
          <w:color w:val="231F20"/>
          <w:w w:val="105"/>
        </w:rPr>
        <w:t>más</w:t>
      </w:r>
      <w:r>
        <w:rPr>
          <w:color w:val="231F20"/>
          <w:spacing w:val="-24"/>
          <w:w w:val="105"/>
        </w:rPr>
        <w:t> </w:t>
      </w:r>
      <w:r>
        <w:rPr>
          <w:color w:val="231F20"/>
          <w:w w:val="105"/>
        </w:rPr>
        <w:t>de</w:t>
      </w:r>
      <w:r>
        <w:rPr>
          <w:color w:val="231F20"/>
          <w:spacing w:val="-24"/>
          <w:w w:val="105"/>
        </w:rPr>
        <w:t> </w:t>
      </w:r>
      <w:r>
        <w:rPr>
          <w:color w:val="231F20"/>
          <w:w w:val="105"/>
        </w:rPr>
        <w:t>un</w:t>
      </w:r>
      <w:r>
        <w:rPr>
          <w:color w:val="231F20"/>
          <w:w w:val="104"/>
        </w:rPr>
        <w:t> </w:t>
      </w:r>
      <w:r>
        <w:rPr>
          <w:color w:val="231F20"/>
          <w:w w:val="105"/>
        </w:rPr>
        <w:t>millón</w:t>
      </w:r>
      <w:r>
        <w:rPr>
          <w:color w:val="231F20"/>
          <w:spacing w:val="-21"/>
          <w:w w:val="105"/>
        </w:rPr>
        <w:t> </w:t>
      </w:r>
      <w:r>
        <w:rPr>
          <w:color w:val="231F20"/>
          <w:w w:val="105"/>
        </w:rPr>
        <w:t>trescientas</w:t>
      </w:r>
      <w:r>
        <w:rPr>
          <w:color w:val="231F20"/>
          <w:spacing w:val="-21"/>
          <w:w w:val="105"/>
        </w:rPr>
        <w:t> </w:t>
      </w:r>
      <w:r>
        <w:rPr>
          <w:color w:val="231F20"/>
          <w:w w:val="105"/>
        </w:rPr>
        <w:t>mil</w:t>
      </w:r>
      <w:r>
        <w:rPr>
          <w:color w:val="231F20"/>
          <w:spacing w:val="-21"/>
          <w:w w:val="105"/>
        </w:rPr>
        <w:t> </w:t>
      </w:r>
      <w:r>
        <w:rPr>
          <w:color w:val="231F20"/>
          <w:w w:val="105"/>
        </w:rPr>
        <w:t>viviendas,</w:t>
      </w:r>
      <w:r>
        <w:rPr>
          <w:color w:val="231F20"/>
          <w:spacing w:val="-25"/>
          <w:w w:val="105"/>
        </w:rPr>
        <w:t> </w:t>
      </w:r>
      <w:r>
        <w:rPr>
          <w:color w:val="231F20"/>
          <w:w w:val="105"/>
        </w:rPr>
        <w:t>equivalente</w:t>
      </w:r>
      <w:r>
        <w:rPr>
          <w:color w:val="231F20"/>
          <w:spacing w:val="-21"/>
          <w:w w:val="105"/>
        </w:rPr>
        <w:t> </w:t>
      </w:r>
      <w:r>
        <w:rPr>
          <w:color w:val="231F20"/>
          <w:w w:val="105"/>
        </w:rPr>
        <w:t>al</w:t>
      </w:r>
      <w:r>
        <w:rPr>
          <w:color w:val="231F20"/>
          <w:spacing w:val="-21"/>
          <w:w w:val="105"/>
        </w:rPr>
        <w:t> </w:t>
      </w:r>
      <w:r>
        <w:rPr>
          <w:color w:val="231F20"/>
          <w:w w:val="105"/>
        </w:rPr>
        <w:t>casi</w:t>
      </w:r>
      <w:r>
        <w:rPr>
          <w:color w:val="231F20"/>
          <w:spacing w:val="-21"/>
          <w:w w:val="105"/>
        </w:rPr>
        <w:t> </w:t>
      </w:r>
      <w:r>
        <w:rPr>
          <w:color w:val="231F20"/>
          <w:w w:val="105"/>
        </w:rPr>
        <w:t>4%</w:t>
      </w:r>
      <w:r>
        <w:rPr>
          <w:color w:val="231F20"/>
          <w:spacing w:val="-21"/>
          <w:w w:val="105"/>
        </w:rPr>
        <w:t> </w:t>
      </w:r>
      <w:r>
        <w:rPr>
          <w:color w:val="231F20"/>
          <w:w w:val="105"/>
        </w:rPr>
        <w:t>del</w:t>
      </w:r>
      <w:r>
        <w:rPr>
          <w:color w:val="231F20"/>
          <w:spacing w:val="-21"/>
          <w:w w:val="105"/>
        </w:rPr>
        <w:t> </w:t>
      </w:r>
      <w:r>
        <w:rPr>
          <w:color w:val="231F20"/>
          <w:w w:val="105"/>
        </w:rPr>
        <w:t>total</w:t>
      </w:r>
      <w:r>
        <w:rPr>
          <w:color w:val="231F20"/>
          <w:spacing w:val="-21"/>
          <w:w w:val="105"/>
        </w:rPr>
        <w:t> </w:t>
      </w:r>
      <w:r>
        <w:rPr>
          <w:color w:val="231F20"/>
          <w:w w:val="105"/>
        </w:rPr>
        <w:t>nacional.</w:t>
      </w:r>
    </w:p>
    <w:p>
      <w:pPr>
        <w:pStyle w:val="BodyText"/>
        <w:spacing w:line="261" w:lineRule="auto" w:before="1"/>
        <w:ind w:left="1837" w:right="1721" w:firstLine="567"/>
        <w:jc w:val="both"/>
      </w:pPr>
      <w:r>
        <w:rPr>
          <w:color w:val="231F20"/>
          <w:w w:val="105"/>
        </w:rPr>
        <w:t>La</w:t>
      </w:r>
      <w:r>
        <w:rPr>
          <w:color w:val="231F20"/>
          <w:spacing w:val="-12"/>
          <w:w w:val="105"/>
        </w:rPr>
        <w:t> </w:t>
      </w:r>
      <w:r>
        <w:rPr>
          <w:color w:val="231F20"/>
          <w:w w:val="105"/>
        </w:rPr>
        <w:t>cercanía</w:t>
      </w:r>
      <w:r>
        <w:rPr>
          <w:color w:val="231F20"/>
          <w:spacing w:val="-12"/>
          <w:w w:val="105"/>
        </w:rPr>
        <w:t> </w:t>
      </w:r>
      <w:r>
        <w:rPr>
          <w:color w:val="231F20"/>
          <w:w w:val="105"/>
        </w:rPr>
        <w:t>geográfica</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rPr>
        <w:t>con</w:t>
      </w:r>
      <w:r>
        <w:rPr>
          <w:color w:val="231F20"/>
          <w:spacing w:val="-12"/>
          <w:w w:val="105"/>
        </w:rPr>
        <w:t> </w:t>
      </w:r>
      <w:r>
        <w:rPr>
          <w:color w:val="231F20"/>
          <w:w w:val="105"/>
        </w:rPr>
        <w:t>Estados</w:t>
      </w:r>
      <w:r>
        <w:rPr>
          <w:color w:val="231F20"/>
          <w:spacing w:val="-12"/>
          <w:w w:val="105"/>
        </w:rPr>
        <w:t> </w:t>
      </w:r>
      <w:r>
        <w:rPr>
          <w:color w:val="231F20"/>
          <w:w w:val="105"/>
        </w:rPr>
        <w:t>Unidos,</w:t>
      </w:r>
      <w:r>
        <w:rPr>
          <w:color w:val="231F20"/>
          <w:spacing w:val="-17"/>
          <w:w w:val="105"/>
        </w:rPr>
        <w:t> </w:t>
      </w:r>
      <w:r>
        <w:rPr>
          <w:color w:val="231F20"/>
          <w:w w:val="105"/>
        </w:rPr>
        <w:t>el</w:t>
      </w:r>
      <w:r>
        <w:rPr>
          <w:color w:val="231F20"/>
          <w:spacing w:val="-12"/>
          <w:w w:val="105"/>
        </w:rPr>
        <w:t> </w:t>
      </w:r>
      <w:r>
        <w:rPr>
          <w:color w:val="231F20"/>
          <w:w w:val="105"/>
        </w:rPr>
        <w:t>carácter no documentado de la migración, los ciclos económicos que golpean en ambos países, las políticas antiinmigrantes de aquel país, la falta</w:t>
      </w:r>
      <w:r>
        <w:rPr>
          <w:color w:val="231F20"/>
          <w:spacing w:val="-10"/>
          <w:w w:val="105"/>
        </w:rPr>
        <w:t> </w:t>
      </w:r>
      <w:r>
        <w:rPr>
          <w:color w:val="231F20"/>
          <w:w w:val="105"/>
        </w:rPr>
        <w:t>de acuerdos</w:t>
      </w:r>
      <w:r>
        <w:rPr>
          <w:color w:val="231F20"/>
          <w:spacing w:val="-21"/>
          <w:w w:val="105"/>
        </w:rPr>
        <w:t> </w:t>
      </w:r>
      <w:r>
        <w:rPr>
          <w:color w:val="231F20"/>
          <w:w w:val="105"/>
        </w:rPr>
        <w:t>para</w:t>
      </w:r>
      <w:r>
        <w:rPr>
          <w:color w:val="231F20"/>
          <w:spacing w:val="-21"/>
          <w:w w:val="105"/>
        </w:rPr>
        <w:t> </w:t>
      </w:r>
      <w:r>
        <w:rPr>
          <w:color w:val="231F20"/>
          <w:w w:val="105"/>
        </w:rPr>
        <w:t>la</w:t>
      </w:r>
      <w:r>
        <w:rPr>
          <w:color w:val="231F20"/>
          <w:spacing w:val="-21"/>
          <w:w w:val="105"/>
        </w:rPr>
        <w:t> </w:t>
      </w:r>
      <w:r>
        <w:rPr>
          <w:color w:val="231F20"/>
          <w:w w:val="105"/>
        </w:rPr>
        <w:t>circulación</w:t>
      </w:r>
      <w:r>
        <w:rPr>
          <w:color w:val="231F20"/>
          <w:spacing w:val="-21"/>
          <w:w w:val="105"/>
        </w:rPr>
        <w:t> </w:t>
      </w:r>
      <w:r>
        <w:rPr>
          <w:color w:val="231F20"/>
          <w:w w:val="105"/>
        </w:rPr>
        <w:t>de</w:t>
      </w:r>
      <w:r>
        <w:rPr>
          <w:color w:val="231F20"/>
          <w:spacing w:val="-21"/>
          <w:w w:val="105"/>
        </w:rPr>
        <w:t> </w:t>
      </w:r>
      <w:r>
        <w:rPr>
          <w:color w:val="231F20"/>
          <w:w w:val="105"/>
        </w:rPr>
        <w:t>trabajadores,</w:t>
      </w:r>
      <w:r>
        <w:rPr>
          <w:color w:val="231F20"/>
          <w:spacing w:val="-25"/>
          <w:w w:val="105"/>
        </w:rPr>
        <w:t> </w:t>
      </w:r>
      <w:r>
        <w:rPr>
          <w:color w:val="231F20"/>
          <w:w w:val="105"/>
        </w:rPr>
        <w:t>entre</w:t>
      </w:r>
      <w:r>
        <w:rPr>
          <w:color w:val="231F20"/>
          <w:spacing w:val="-21"/>
          <w:w w:val="105"/>
        </w:rPr>
        <w:t> </w:t>
      </w:r>
      <w:r>
        <w:rPr>
          <w:color w:val="231F20"/>
          <w:w w:val="105"/>
        </w:rPr>
        <w:t>otras</w:t>
      </w:r>
      <w:r>
        <w:rPr>
          <w:color w:val="231F20"/>
          <w:spacing w:val="-21"/>
          <w:w w:val="105"/>
        </w:rPr>
        <w:t> </w:t>
      </w:r>
      <w:r>
        <w:rPr>
          <w:color w:val="231F20"/>
          <w:w w:val="105"/>
        </w:rPr>
        <w:t>causas,</w:t>
      </w:r>
      <w:r>
        <w:rPr>
          <w:color w:val="231F20"/>
          <w:spacing w:val="-25"/>
          <w:w w:val="105"/>
        </w:rPr>
        <w:t> </w:t>
      </w:r>
      <w:r>
        <w:rPr>
          <w:color w:val="231F20"/>
          <w:w w:val="105"/>
        </w:rPr>
        <w:t>han</w:t>
      </w:r>
      <w:r>
        <w:rPr>
          <w:color w:val="231F20"/>
          <w:spacing w:val="-21"/>
          <w:w w:val="105"/>
        </w:rPr>
        <w:t> </w:t>
      </w:r>
      <w:r>
        <w:rPr>
          <w:color w:val="231F20"/>
          <w:w w:val="105"/>
        </w:rPr>
        <w:t>ge- nerado</w:t>
      </w:r>
      <w:r>
        <w:rPr>
          <w:color w:val="231F20"/>
          <w:spacing w:val="-15"/>
          <w:w w:val="105"/>
        </w:rPr>
        <w:t> </w:t>
      </w:r>
      <w:r>
        <w:rPr>
          <w:color w:val="231F20"/>
          <w:w w:val="105"/>
        </w:rPr>
        <w:t>retornos</w:t>
      </w:r>
      <w:r>
        <w:rPr>
          <w:color w:val="231F20"/>
          <w:spacing w:val="-15"/>
          <w:w w:val="105"/>
        </w:rPr>
        <w:t> </w:t>
      </w:r>
      <w:r>
        <w:rPr>
          <w:color w:val="231F20"/>
          <w:w w:val="105"/>
        </w:rPr>
        <w:t>voluntarios</w:t>
      </w:r>
      <w:r>
        <w:rPr>
          <w:color w:val="231F20"/>
          <w:spacing w:val="-15"/>
          <w:w w:val="105"/>
        </w:rPr>
        <w:t> </w:t>
      </w:r>
      <w:r>
        <w:rPr>
          <w:color w:val="231F20"/>
          <w:w w:val="105"/>
        </w:rPr>
        <w:t>de</w:t>
      </w:r>
      <w:r>
        <w:rPr>
          <w:color w:val="231F20"/>
          <w:spacing w:val="-15"/>
          <w:w w:val="105"/>
        </w:rPr>
        <w:t> </w:t>
      </w:r>
      <w:r>
        <w:rPr>
          <w:color w:val="231F20"/>
          <w:w w:val="105"/>
        </w:rPr>
        <w:t>migrantes</w:t>
      </w:r>
      <w:r>
        <w:rPr>
          <w:color w:val="231F20"/>
          <w:spacing w:val="-15"/>
          <w:w w:val="105"/>
        </w:rPr>
        <w:t> </w:t>
      </w:r>
      <w:r>
        <w:rPr>
          <w:color w:val="231F20"/>
          <w:w w:val="105"/>
        </w:rPr>
        <w:t>hacia</w:t>
      </w:r>
      <w:r>
        <w:rPr>
          <w:color w:val="231F20"/>
          <w:spacing w:val="-15"/>
          <w:w w:val="105"/>
        </w:rPr>
        <w:t> </w:t>
      </w:r>
      <w:r>
        <w:rPr>
          <w:color w:val="231F20"/>
          <w:w w:val="105"/>
        </w:rPr>
        <w:t>México</w:t>
      </w:r>
      <w:r>
        <w:rPr>
          <w:color w:val="231F20"/>
          <w:spacing w:val="-15"/>
          <w:w w:val="105"/>
        </w:rPr>
        <w:t> </w:t>
      </w:r>
      <w:r>
        <w:rPr>
          <w:color w:val="231F20"/>
          <w:w w:val="105"/>
        </w:rPr>
        <w:t>en</w:t>
      </w:r>
      <w:r>
        <w:rPr>
          <w:color w:val="231F20"/>
          <w:spacing w:val="-15"/>
          <w:w w:val="105"/>
        </w:rPr>
        <w:t> </w:t>
      </w:r>
      <w:r>
        <w:rPr>
          <w:color w:val="231F20"/>
          <w:w w:val="105"/>
        </w:rPr>
        <w:t>forma</w:t>
      </w:r>
      <w:r>
        <w:rPr>
          <w:color w:val="231F20"/>
          <w:spacing w:val="-15"/>
          <w:w w:val="105"/>
        </w:rPr>
        <w:t> </w:t>
      </w:r>
      <w:r>
        <w:rPr>
          <w:color w:val="231F20"/>
          <w:w w:val="105"/>
        </w:rPr>
        <w:t>perma- nente,</w:t>
      </w:r>
      <w:r>
        <w:rPr>
          <w:color w:val="231F20"/>
          <w:spacing w:val="-22"/>
          <w:w w:val="105"/>
        </w:rPr>
        <w:t> </w:t>
      </w:r>
      <w:r>
        <w:rPr>
          <w:color w:val="231F20"/>
          <w:w w:val="105"/>
        </w:rPr>
        <w:t>así</w:t>
      </w:r>
      <w:r>
        <w:rPr>
          <w:color w:val="231F20"/>
          <w:spacing w:val="-17"/>
          <w:w w:val="105"/>
        </w:rPr>
        <w:t> </w:t>
      </w:r>
      <w:r>
        <w:rPr>
          <w:color w:val="231F20"/>
          <w:w w:val="105"/>
        </w:rPr>
        <w:t>como</w:t>
      </w:r>
      <w:r>
        <w:rPr>
          <w:color w:val="231F20"/>
          <w:spacing w:val="-17"/>
          <w:w w:val="105"/>
        </w:rPr>
        <w:t> </w:t>
      </w:r>
      <w:r>
        <w:rPr>
          <w:color w:val="231F20"/>
          <w:w w:val="105"/>
        </w:rPr>
        <w:t>deportaciones</w:t>
      </w:r>
      <w:r>
        <w:rPr>
          <w:color w:val="231F20"/>
          <w:spacing w:val="-17"/>
          <w:w w:val="105"/>
        </w:rPr>
        <w:t> </w:t>
      </w:r>
      <w:r>
        <w:rPr>
          <w:color w:val="231F20"/>
          <w:w w:val="105"/>
        </w:rPr>
        <w:t>masivas.</w:t>
      </w:r>
      <w:r>
        <w:rPr>
          <w:color w:val="231F20"/>
          <w:spacing w:val="-22"/>
          <w:w w:val="105"/>
        </w:rPr>
        <w:t> </w:t>
      </w:r>
      <w:r>
        <w:rPr>
          <w:color w:val="231F20"/>
          <w:spacing w:val="-6"/>
          <w:w w:val="105"/>
        </w:rPr>
        <w:t>Por</w:t>
      </w:r>
      <w:r>
        <w:rPr>
          <w:color w:val="231F20"/>
          <w:spacing w:val="-17"/>
          <w:w w:val="105"/>
        </w:rPr>
        <w:t> </w:t>
      </w:r>
      <w:r>
        <w:rPr>
          <w:color w:val="231F20"/>
          <w:w w:val="105"/>
        </w:rPr>
        <w:t>ejemplo,</w:t>
      </w:r>
      <w:r>
        <w:rPr>
          <w:color w:val="231F20"/>
          <w:spacing w:val="-22"/>
          <w:w w:val="105"/>
        </w:rPr>
        <w:t> </w:t>
      </w:r>
      <w:r>
        <w:rPr>
          <w:color w:val="231F20"/>
          <w:w w:val="105"/>
        </w:rPr>
        <w:t>las</w:t>
      </w:r>
      <w:r>
        <w:rPr>
          <w:color w:val="231F20"/>
          <w:spacing w:val="-17"/>
          <w:w w:val="105"/>
        </w:rPr>
        <w:t> </w:t>
      </w:r>
      <w:r>
        <w:rPr>
          <w:color w:val="231F20"/>
          <w:w w:val="105"/>
        </w:rPr>
        <w:t>ocurridas</w:t>
      </w:r>
      <w:r>
        <w:rPr>
          <w:color w:val="231F20"/>
          <w:spacing w:val="-17"/>
          <w:w w:val="105"/>
        </w:rPr>
        <w:t> </w:t>
      </w:r>
      <w:r>
        <w:rPr>
          <w:color w:val="231F20"/>
          <w:w w:val="105"/>
        </w:rPr>
        <w:t>entre 1907-1908,</w:t>
      </w:r>
      <w:r>
        <w:rPr>
          <w:color w:val="231F20"/>
          <w:spacing w:val="-27"/>
          <w:w w:val="105"/>
        </w:rPr>
        <w:t> </w:t>
      </w:r>
      <w:r>
        <w:rPr>
          <w:color w:val="231F20"/>
          <w:w w:val="105"/>
        </w:rPr>
        <w:t>luego</w:t>
      </w:r>
      <w:r>
        <w:rPr>
          <w:color w:val="231F20"/>
          <w:spacing w:val="-21"/>
          <w:w w:val="105"/>
        </w:rPr>
        <w:t> </w:t>
      </w:r>
      <w:r>
        <w:rPr>
          <w:color w:val="231F20"/>
          <w:w w:val="105"/>
        </w:rPr>
        <w:t>entre</w:t>
      </w:r>
      <w:r>
        <w:rPr>
          <w:color w:val="231F20"/>
          <w:spacing w:val="-21"/>
          <w:w w:val="105"/>
        </w:rPr>
        <w:t> </w:t>
      </w:r>
      <w:r>
        <w:rPr>
          <w:color w:val="231F20"/>
          <w:w w:val="105"/>
        </w:rPr>
        <w:t>1919-1921,</w:t>
      </w:r>
      <w:r>
        <w:rPr>
          <w:color w:val="231F20"/>
          <w:spacing w:val="-27"/>
          <w:w w:val="105"/>
        </w:rPr>
        <w:t> </w:t>
      </w:r>
      <w:r>
        <w:rPr>
          <w:color w:val="231F20"/>
          <w:w w:val="105"/>
        </w:rPr>
        <w:t>y</w:t>
      </w:r>
      <w:r>
        <w:rPr>
          <w:color w:val="231F20"/>
          <w:spacing w:val="-21"/>
          <w:w w:val="105"/>
        </w:rPr>
        <w:t> </w:t>
      </w:r>
      <w:r>
        <w:rPr>
          <w:color w:val="231F20"/>
          <w:w w:val="105"/>
        </w:rPr>
        <w:t>entre</w:t>
      </w:r>
      <w:r>
        <w:rPr>
          <w:color w:val="231F20"/>
          <w:spacing w:val="-21"/>
          <w:w w:val="105"/>
        </w:rPr>
        <w:t> </w:t>
      </w:r>
      <w:r>
        <w:rPr>
          <w:color w:val="231F20"/>
          <w:w w:val="105"/>
        </w:rPr>
        <w:t>1929-1934,</w:t>
      </w:r>
      <w:r>
        <w:rPr>
          <w:color w:val="231F20"/>
          <w:spacing w:val="-27"/>
          <w:w w:val="105"/>
        </w:rPr>
        <w:t> </w:t>
      </w:r>
      <w:r>
        <w:rPr>
          <w:color w:val="231F20"/>
          <w:w w:val="105"/>
        </w:rPr>
        <w:t>cuando</w:t>
      </w:r>
      <w:r>
        <w:rPr>
          <w:color w:val="231F20"/>
          <w:spacing w:val="-21"/>
          <w:w w:val="105"/>
        </w:rPr>
        <w:t> </w:t>
      </w:r>
      <w:r>
        <w:rPr>
          <w:color w:val="231F20"/>
          <w:w w:val="105"/>
        </w:rPr>
        <w:t>aquel</w:t>
      </w:r>
      <w:r>
        <w:rPr>
          <w:color w:val="231F20"/>
          <w:spacing w:val="-21"/>
          <w:w w:val="105"/>
        </w:rPr>
        <w:t> </w:t>
      </w:r>
      <w:r>
        <w:rPr>
          <w:color w:val="231F20"/>
          <w:w w:val="105"/>
        </w:rPr>
        <w:t>go- bierno</w:t>
      </w:r>
      <w:r>
        <w:rPr>
          <w:color w:val="231F20"/>
          <w:spacing w:val="-16"/>
          <w:w w:val="105"/>
        </w:rPr>
        <w:t> </w:t>
      </w:r>
      <w:r>
        <w:rPr>
          <w:color w:val="231F20"/>
          <w:w w:val="105"/>
        </w:rPr>
        <w:t>expulsó</w:t>
      </w:r>
      <w:r>
        <w:rPr>
          <w:color w:val="231F20"/>
          <w:spacing w:val="-16"/>
          <w:w w:val="105"/>
        </w:rPr>
        <w:t> </w:t>
      </w:r>
      <w:r>
        <w:rPr>
          <w:color w:val="231F20"/>
          <w:w w:val="105"/>
        </w:rPr>
        <w:t>400</w:t>
      </w:r>
      <w:r>
        <w:rPr>
          <w:color w:val="231F20"/>
          <w:spacing w:val="-16"/>
          <w:w w:val="105"/>
        </w:rPr>
        <w:t> </w:t>
      </w:r>
      <w:r>
        <w:rPr>
          <w:color w:val="231F20"/>
          <w:w w:val="105"/>
        </w:rPr>
        <w:t>mil</w:t>
      </w:r>
      <w:r>
        <w:rPr>
          <w:color w:val="231F20"/>
          <w:spacing w:val="-16"/>
          <w:w w:val="105"/>
        </w:rPr>
        <w:t> </w:t>
      </w:r>
      <w:r>
        <w:rPr>
          <w:color w:val="231F20"/>
          <w:w w:val="105"/>
        </w:rPr>
        <w:t>mexicanos.</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34"/>
        <w:jc w:val="both"/>
      </w:pP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Estado</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1"/>
          <w:w w:val="105"/>
        </w:rPr>
        <w:t> </w:t>
      </w:r>
      <w:r>
        <w:rPr>
          <w:color w:val="231F20"/>
          <w:w w:val="105"/>
        </w:rPr>
        <w:t>los</w:t>
      </w:r>
      <w:r>
        <w:rPr>
          <w:color w:val="231F20"/>
          <w:spacing w:val="-11"/>
          <w:w w:val="105"/>
        </w:rPr>
        <w:t> </w:t>
      </w:r>
      <w:r>
        <w:rPr>
          <w:color w:val="231F20"/>
          <w:w w:val="105"/>
        </w:rPr>
        <w:t>retornos</w:t>
      </w:r>
      <w:r>
        <w:rPr>
          <w:color w:val="231F20"/>
          <w:spacing w:val="-11"/>
          <w:w w:val="105"/>
        </w:rPr>
        <w:t> </w:t>
      </w:r>
      <w:r>
        <w:rPr>
          <w:color w:val="231F20"/>
          <w:w w:val="105"/>
        </w:rPr>
        <w:t>de</w:t>
      </w:r>
      <w:r>
        <w:rPr>
          <w:color w:val="231F20"/>
          <w:spacing w:val="-11"/>
          <w:w w:val="105"/>
        </w:rPr>
        <w:t> </w:t>
      </w:r>
      <w:r>
        <w:rPr>
          <w:color w:val="231F20"/>
          <w:w w:val="105"/>
        </w:rPr>
        <w:t>migrantes</w:t>
      </w:r>
      <w:r>
        <w:rPr>
          <w:color w:val="231F20"/>
          <w:spacing w:val="-11"/>
          <w:w w:val="105"/>
        </w:rPr>
        <w:t> </w:t>
      </w:r>
      <w:r>
        <w:rPr>
          <w:color w:val="231F20"/>
          <w:w w:val="105"/>
        </w:rPr>
        <w:t>también</w:t>
      </w:r>
      <w:r>
        <w:rPr>
          <w:color w:val="231F20"/>
          <w:spacing w:val="-11"/>
          <w:w w:val="105"/>
        </w:rPr>
        <w:t> </w:t>
      </w:r>
      <w:r>
        <w:rPr>
          <w:color w:val="231F20"/>
          <w:w w:val="105"/>
        </w:rPr>
        <w:t>han</w:t>
      </w:r>
      <w:r>
        <w:rPr>
          <w:color w:val="231F20"/>
          <w:spacing w:val="-11"/>
          <w:w w:val="105"/>
        </w:rPr>
        <w:t> </w:t>
      </w:r>
      <w:r>
        <w:rPr>
          <w:color w:val="231F20"/>
          <w:w w:val="105"/>
        </w:rPr>
        <w:t>sido</w:t>
      </w:r>
      <w:r>
        <w:rPr>
          <w:color w:val="231F20"/>
          <w:spacing w:val="-11"/>
          <w:w w:val="105"/>
        </w:rPr>
        <w:t> </w:t>
      </w:r>
      <w:r>
        <w:rPr>
          <w:color w:val="231F20"/>
          <w:w w:val="105"/>
        </w:rPr>
        <w:t>per- manentes,</w:t>
      </w:r>
      <w:r>
        <w:rPr>
          <w:color w:val="231F20"/>
          <w:spacing w:val="-32"/>
          <w:w w:val="105"/>
        </w:rPr>
        <w:t> </w:t>
      </w:r>
      <w:r>
        <w:rPr>
          <w:color w:val="231F20"/>
          <w:w w:val="105"/>
        </w:rPr>
        <w:t>con</w:t>
      </w:r>
      <w:r>
        <w:rPr>
          <w:color w:val="231F20"/>
          <w:spacing w:val="-27"/>
          <w:w w:val="105"/>
        </w:rPr>
        <w:t> </w:t>
      </w:r>
      <w:r>
        <w:rPr>
          <w:color w:val="231F20"/>
          <w:w w:val="105"/>
        </w:rPr>
        <w:t>los</w:t>
      </w:r>
      <w:r>
        <w:rPr>
          <w:color w:val="231F20"/>
          <w:spacing w:val="-27"/>
          <w:w w:val="105"/>
        </w:rPr>
        <w:t> </w:t>
      </w:r>
      <w:r>
        <w:rPr>
          <w:color w:val="231F20"/>
          <w:w w:val="105"/>
        </w:rPr>
        <w:t>datos</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Encuesta</w:t>
      </w:r>
      <w:r>
        <w:rPr>
          <w:color w:val="231F20"/>
          <w:spacing w:val="-27"/>
          <w:w w:val="105"/>
        </w:rPr>
        <w:t> </w:t>
      </w:r>
      <w:r>
        <w:rPr>
          <w:color w:val="231F20"/>
          <w:w w:val="105"/>
        </w:rPr>
        <w:t>sobre</w:t>
      </w:r>
      <w:r>
        <w:rPr>
          <w:color w:val="231F20"/>
          <w:spacing w:val="-27"/>
          <w:w w:val="105"/>
        </w:rPr>
        <w:t> </w:t>
      </w:r>
      <w:r>
        <w:rPr>
          <w:color w:val="231F20"/>
          <w:w w:val="105"/>
        </w:rPr>
        <w:t>migración</w:t>
      </w:r>
      <w:r>
        <w:rPr>
          <w:color w:val="231F20"/>
          <w:spacing w:val="-27"/>
          <w:w w:val="105"/>
        </w:rPr>
        <w:t> </w:t>
      </w:r>
      <w:r>
        <w:rPr>
          <w:color w:val="231F20"/>
          <w:w w:val="105"/>
        </w:rPr>
        <w:t>de</w:t>
      </w:r>
      <w:r>
        <w:rPr>
          <w:color w:val="231F20"/>
          <w:spacing w:val="-27"/>
          <w:w w:val="105"/>
        </w:rPr>
        <w:t> </w:t>
      </w:r>
      <w:r>
        <w:rPr>
          <w:color w:val="231F20"/>
          <w:w w:val="105"/>
        </w:rPr>
        <w:t>mexiquenses a</w:t>
      </w:r>
      <w:r>
        <w:rPr>
          <w:color w:val="231F20"/>
          <w:spacing w:val="-40"/>
          <w:w w:val="105"/>
        </w:rPr>
        <w:t> </w:t>
      </w:r>
      <w:r>
        <w:rPr>
          <w:color w:val="231F20"/>
          <w:w w:val="105"/>
        </w:rPr>
        <w:t>Estados</w:t>
      </w:r>
      <w:r>
        <w:rPr>
          <w:color w:val="231F20"/>
          <w:spacing w:val="-40"/>
          <w:w w:val="105"/>
        </w:rPr>
        <w:t> </w:t>
      </w:r>
      <w:r>
        <w:rPr>
          <w:color w:val="231F20"/>
          <w:w w:val="105"/>
        </w:rPr>
        <w:t>Unidos</w:t>
      </w:r>
      <w:r>
        <w:rPr>
          <w:color w:val="231F20"/>
          <w:spacing w:val="-40"/>
          <w:w w:val="105"/>
        </w:rPr>
        <w:t> </w:t>
      </w:r>
      <w:r>
        <w:rPr>
          <w:color w:val="231F20"/>
          <w:w w:val="105"/>
        </w:rPr>
        <w:t>(</w:t>
      </w:r>
      <w:r>
        <w:rPr>
          <w:color w:val="231F20"/>
          <w:w w:val="105"/>
          <w:sz w:val="17"/>
        </w:rPr>
        <w:t>EMMEU</w:t>
      </w:r>
      <w:r>
        <w:rPr>
          <w:color w:val="231F20"/>
          <w:w w:val="105"/>
        </w:rPr>
        <w:t>)</w:t>
      </w:r>
      <w:r>
        <w:rPr>
          <w:color w:val="231F20"/>
          <w:spacing w:val="-40"/>
          <w:w w:val="105"/>
        </w:rPr>
        <w:t> </w:t>
      </w:r>
      <w:r>
        <w:rPr>
          <w:color w:val="231F20"/>
          <w:w w:val="105"/>
        </w:rPr>
        <w:t>(</w:t>
      </w:r>
      <w:r>
        <w:rPr>
          <w:color w:val="231F20"/>
          <w:w w:val="105"/>
          <w:sz w:val="17"/>
        </w:rPr>
        <w:t>CIEAP</w:t>
      </w:r>
      <w:r>
        <w:rPr>
          <w:color w:val="231F20"/>
          <w:w w:val="105"/>
        </w:rPr>
        <w:t>,</w:t>
      </w:r>
      <w:r>
        <w:rPr>
          <w:color w:val="231F20"/>
          <w:spacing w:val="-43"/>
          <w:w w:val="105"/>
        </w:rPr>
        <w:t> </w:t>
      </w:r>
      <w:r>
        <w:rPr>
          <w:color w:val="231F20"/>
          <w:w w:val="105"/>
        </w:rPr>
        <w:t>2009)</w:t>
      </w:r>
      <w:r>
        <w:rPr>
          <w:color w:val="231F20"/>
          <w:w w:val="105"/>
          <w:position w:val="7"/>
          <w:sz w:val="12"/>
        </w:rPr>
        <w:t>1</w:t>
      </w:r>
      <w:r>
        <w:rPr>
          <w:color w:val="231F20"/>
          <w:spacing w:val="-14"/>
          <w:w w:val="105"/>
          <w:position w:val="7"/>
          <w:sz w:val="12"/>
        </w:rPr>
        <w:t> </w:t>
      </w:r>
      <w:r>
        <w:rPr>
          <w:color w:val="231F20"/>
          <w:w w:val="105"/>
        </w:rPr>
        <w:t>pueden</w:t>
      </w:r>
      <w:r>
        <w:rPr>
          <w:color w:val="231F20"/>
          <w:spacing w:val="-40"/>
          <w:w w:val="105"/>
        </w:rPr>
        <w:t> </w:t>
      </w:r>
      <w:r>
        <w:rPr>
          <w:color w:val="231F20"/>
          <w:w w:val="105"/>
        </w:rPr>
        <w:t>estimarse</w:t>
      </w:r>
      <w:r>
        <w:rPr>
          <w:color w:val="231F20"/>
          <w:spacing w:val="-40"/>
          <w:w w:val="105"/>
        </w:rPr>
        <w:t> </w:t>
      </w:r>
      <w:r>
        <w:rPr>
          <w:color w:val="231F20"/>
          <w:w w:val="105"/>
        </w:rPr>
        <w:t>dos</w:t>
      </w:r>
      <w:r>
        <w:rPr>
          <w:color w:val="231F20"/>
          <w:spacing w:val="-40"/>
          <w:w w:val="105"/>
        </w:rPr>
        <w:t> </w:t>
      </w:r>
      <w:r>
        <w:rPr>
          <w:color w:val="231F20"/>
          <w:w w:val="105"/>
        </w:rPr>
        <w:t>cosas:</w:t>
      </w:r>
      <w:r>
        <w:rPr>
          <w:color w:val="231F20"/>
          <w:spacing w:val="-40"/>
          <w:w w:val="105"/>
        </w:rPr>
        <w:t> </w:t>
      </w:r>
      <w:r>
        <w:rPr>
          <w:color w:val="231F20"/>
          <w:w w:val="105"/>
        </w:rPr>
        <w:t>por un</w:t>
      </w:r>
      <w:r>
        <w:rPr>
          <w:color w:val="231F20"/>
          <w:spacing w:val="-4"/>
          <w:w w:val="105"/>
        </w:rPr>
        <w:t> </w:t>
      </w:r>
      <w:r>
        <w:rPr>
          <w:color w:val="231F20"/>
          <w:w w:val="105"/>
        </w:rPr>
        <w:t>lado,</w:t>
      </w:r>
      <w:r>
        <w:rPr>
          <w:color w:val="231F20"/>
          <w:spacing w:val="-10"/>
          <w:w w:val="105"/>
        </w:rPr>
        <w:t> </w:t>
      </w:r>
      <w:r>
        <w:rPr>
          <w:color w:val="231F20"/>
          <w:w w:val="105"/>
        </w:rPr>
        <w:t>que</w:t>
      </w:r>
      <w:r>
        <w:rPr>
          <w:color w:val="231F20"/>
          <w:spacing w:val="-4"/>
          <w:w w:val="105"/>
        </w:rPr>
        <w:t> </w:t>
      </w:r>
      <w:r>
        <w:rPr>
          <w:color w:val="231F20"/>
          <w:w w:val="105"/>
        </w:rPr>
        <w:t>en</w:t>
      </w:r>
      <w:r>
        <w:rPr>
          <w:color w:val="231F20"/>
          <w:spacing w:val="-4"/>
          <w:w w:val="105"/>
        </w:rPr>
        <w:t> </w:t>
      </w:r>
      <w:r>
        <w:rPr>
          <w:color w:val="231F20"/>
          <w:w w:val="105"/>
        </w:rPr>
        <w:t>términos</w:t>
      </w:r>
      <w:r>
        <w:rPr>
          <w:color w:val="231F20"/>
          <w:spacing w:val="-4"/>
          <w:w w:val="105"/>
        </w:rPr>
        <w:t> </w:t>
      </w:r>
      <w:r>
        <w:rPr>
          <w:color w:val="231F20"/>
          <w:w w:val="105"/>
        </w:rPr>
        <w:t>históricos,</w:t>
      </w:r>
      <w:r>
        <w:rPr>
          <w:color w:val="231F20"/>
          <w:spacing w:val="-10"/>
          <w:w w:val="105"/>
        </w:rPr>
        <w:t> </w:t>
      </w:r>
      <w:r>
        <w:rPr>
          <w:color w:val="231F20"/>
          <w:w w:val="105"/>
        </w:rPr>
        <w:t>en</w:t>
      </w:r>
      <w:r>
        <w:rPr>
          <w:color w:val="231F20"/>
          <w:spacing w:val="-4"/>
          <w:w w:val="105"/>
        </w:rPr>
        <w:t> </w:t>
      </w:r>
      <w:r>
        <w:rPr>
          <w:color w:val="231F20"/>
          <w:w w:val="105"/>
        </w:rPr>
        <w:t>promedio,</w:t>
      </w:r>
      <w:r>
        <w:rPr>
          <w:color w:val="231F20"/>
          <w:spacing w:val="-10"/>
          <w:w w:val="105"/>
        </w:rPr>
        <w:t> </w:t>
      </w:r>
      <w:r>
        <w:rPr>
          <w:color w:val="231F20"/>
          <w:w w:val="105"/>
        </w:rPr>
        <w:t>la</w:t>
      </w:r>
      <w:r>
        <w:rPr>
          <w:color w:val="231F20"/>
          <w:spacing w:val="-4"/>
          <w:w w:val="105"/>
        </w:rPr>
        <w:t> </w:t>
      </w:r>
      <w:r>
        <w:rPr>
          <w:color w:val="231F20"/>
          <w:w w:val="105"/>
        </w:rPr>
        <w:t>entidad</w:t>
      </w:r>
      <w:r>
        <w:rPr>
          <w:color w:val="231F20"/>
          <w:spacing w:val="-4"/>
          <w:w w:val="105"/>
        </w:rPr>
        <w:t> </w:t>
      </w:r>
      <w:r>
        <w:rPr>
          <w:color w:val="231F20"/>
          <w:w w:val="105"/>
        </w:rPr>
        <w:t>ha</w:t>
      </w:r>
      <w:r>
        <w:rPr>
          <w:color w:val="231F20"/>
          <w:spacing w:val="-4"/>
          <w:w w:val="105"/>
        </w:rPr>
        <w:t> </w:t>
      </w:r>
      <w:r>
        <w:rPr>
          <w:color w:val="231F20"/>
          <w:w w:val="105"/>
        </w:rPr>
        <w:t>retorna- do</w:t>
      </w:r>
      <w:r>
        <w:rPr>
          <w:color w:val="231F20"/>
          <w:spacing w:val="-22"/>
          <w:w w:val="105"/>
        </w:rPr>
        <w:t> </w:t>
      </w:r>
      <w:r>
        <w:rPr>
          <w:color w:val="231F20"/>
          <w:w w:val="105"/>
        </w:rPr>
        <w:t>poco</w:t>
      </w:r>
      <w:r>
        <w:rPr>
          <w:color w:val="231F20"/>
          <w:spacing w:val="-22"/>
          <w:w w:val="105"/>
        </w:rPr>
        <w:t> </w:t>
      </w:r>
      <w:r>
        <w:rPr>
          <w:color w:val="231F20"/>
          <w:w w:val="105"/>
        </w:rPr>
        <w:t>más</w:t>
      </w:r>
      <w:r>
        <w:rPr>
          <w:color w:val="231F20"/>
          <w:spacing w:val="-22"/>
          <w:w w:val="105"/>
        </w:rPr>
        <w:t> </w:t>
      </w:r>
      <w:r>
        <w:rPr>
          <w:color w:val="231F20"/>
          <w:w w:val="105"/>
        </w:rPr>
        <w:t>del</w:t>
      </w:r>
      <w:r>
        <w:rPr>
          <w:color w:val="231F20"/>
          <w:spacing w:val="-22"/>
          <w:w w:val="105"/>
        </w:rPr>
        <w:t> </w:t>
      </w:r>
      <w:r>
        <w:rPr>
          <w:color w:val="231F20"/>
          <w:w w:val="105"/>
        </w:rPr>
        <w:t>20%</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migrantes</w:t>
      </w:r>
      <w:r>
        <w:rPr>
          <w:color w:val="231F20"/>
          <w:spacing w:val="-22"/>
          <w:w w:val="105"/>
        </w:rPr>
        <w:t> </w:t>
      </w:r>
      <w:r>
        <w:rPr>
          <w:color w:val="231F20"/>
          <w:w w:val="105"/>
        </w:rPr>
        <w:t>internacionales</w:t>
      </w:r>
      <w:r>
        <w:rPr>
          <w:color w:val="231F20"/>
          <w:spacing w:val="-22"/>
          <w:w w:val="105"/>
        </w:rPr>
        <w:t> </w:t>
      </w:r>
      <w:r>
        <w:rPr>
          <w:color w:val="231F20"/>
          <w:w w:val="105"/>
        </w:rPr>
        <w:t>mexiquenses;</w:t>
      </w:r>
      <w:r>
        <w:rPr>
          <w:color w:val="231F20"/>
          <w:spacing w:val="-22"/>
          <w:w w:val="105"/>
        </w:rPr>
        <w:t> </w:t>
      </w:r>
      <w:r>
        <w:rPr>
          <w:color w:val="231F20"/>
          <w:w w:val="105"/>
        </w:rPr>
        <w:t>por otro, que la tendencia del retorno crece en esta última década: siete</w:t>
      </w:r>
      <w:r>
        <w:rPr>
          <w:color w:val="231F20"/>
          <w:spacing w:val="-20"/>
          <w:w w:val="105"/>
        </w:rPr>
        <w:t> </w:t>
      </w:r>
      <w:r>
        <w:rPr>
          <w:color w:val="231F20"/>
          <w:w w:val="105"/>
        </w:rPr>
        <w:t>de cada</w:t>
      </w:r>
      <w:r>
        <w:rPr>
          <w:color w:val="231F20"/>
          <w:spacing w:val="-23"/>
          <w:w w:val="105"/>
        </w:rPr>
        <w:t> </w:t>
      </w:r>
      <w:r>
        <w:rPr>
          <w:color w:val="231F20"/>
          <w:w w:val="105"/>
        </w:rPr>
        <w:t>10</w:t>
      </w:r>
      <w:r>
        <w:rPr>
          <w:color w:val="231F20"/>
          <w:spacing w:val="-23"/>
          <w:w w:val="105"/>
        </w:rPr>
        <w:t> </w:t>
      </w:r>
      <w:r>
        <w:rPr>
          <w:color w:val="231F20"/>
          <w:w w:val="105"/>
        </w:rPr>
        <w:t>retornados</w:t>
      </w:r>
      <w:r>
        <w:rPr>
          <w:color w:val="231F20"/>
          <w:spacing w:val="-23"/>
          <w:w w:val="105"/>
        </w:rPr>
        <w:t> </w:t>
      </w:r>
      <w:r>
        <w:rPr>
          <w:color w:val="231F20"/>
          <w:w w:val="105"/>
        </w:rPr>
        <w:t>captados</w:t>
      </w:r>
      <w:r>
        <w:rPr>
          <w:color w:val="231F20"/>
          <w:spacing w:val="-23"/>
          <w:w w:val="105"/>
        </w:rPr>
        <w:t> </w:t>
      </w:r>
      <w:r>
        <w:rPr>
          <w:color w:val="231F20"/>
          <w:w w:val="105"/>
        </w:rPr>
        <w:t>con</w:t>
      </w:r>
      <w:r>
        <w:rPr>
          <w:color w:val="231F20"/>
          <w:spacing w:val="-23"/>
          <w:w w:val="105"/>
        </w:rPr>
        <w:t> </w:t>
      </w:r>
      <w:r>
        <w:rPr>
          <w:color w:val="231F20"/>
          <w:w w:val="105"/>
        </w:rPr>
        <w:t>esta</w:t>
      </w:r>
      <w:r>
        <w:rPr>
          <w:color w:val="231F20"/>
          <w:spacing w:val="-23"/>
          <w:w w:val="105"/>
        </w:rPr>
        <w:t> </w:t>
      </w:r>
      <w:r>
        <w:rPr>
          <w:color w:val="231F20"/>
          <w:w w:val="105"/>
        </w:rPr>
        <w:t>encuesta</w:t>
      </w:r>
      <w:r>
        <w:rPr>
          <w:color w:val="231F20"/>
          <w:spacing w:val="-23"/>
          <w:w w:val="105"/>
        </w:rPr>
        <w:t> </w:t>
      </w:r>
      <w:r>
        <w:rPr>
          <w:color w:val="231F20"/>
          <w:w w:val="105"/>
        </w:rPr>
        <w:t>(hombres</w:t>
      </w:r>
      <w:r>
        <w:rPr>
          <w:color w:val="231F20"/>
          <w:spacing w:val="-23"/>
          <w:w w:val="105"/>
        </w:rPr>
        <w:t> </w:t>
      </w:r>
      <w:r>
        <w:rPr>
          <w:color w:val="231F20"/>
          <w:w w:val="105"/>
        </w:rPr>
        <w:t>85.7%</w:t>
      </w:r>
      <w:r>
        <w:rPr>
          <w:color w:val="231F20"/>
          <w:spacing w:val="-23"/>
          <w:w w:val="105"/>
        </w:rPr>
        <w:t> </w:t>
      </w:r>
      <w:r>
        <w:rPr>
          <w:color w:val="231F20"/>
          <w:w w:val="105"/>
        </w:rPr>
        <w:t>y</w:t>
      </w:r>
      <w:r>
        <w:rPr>
          <w:color w:val="231F20"/>
          <w:spacing w:val="-23"/>
          <w:w w:val="105"/>
        </w:rPr>
        <w:t> </w:t>
      </w:r>
      <w:r>
        <w:rPr>
          <w:color w:val="231F20"/>
          <w:w w:val="105"/>
        </w:rPr>
        <w:t>muje- res</w:t>
      </w:r>
      <w:r>
        <w:rPr>
          <w:color w:val="231F20"/>
          <w:spacing w:val="-21"/>
          <w:w w:val="105"/>
        </w:rPr>
        <w:t> </w:t>
      </w:r>
      <w:r>
        <w:rPr>
          <w:color w:val="231F20"/>
          <w:w w:val="105"/>
        </w:rPr>
        <w:t>71.9%),</w:t>
      </w:r>
      <w:r>
        <w:rPr>
          <w:color w:val="231F20"/>
          <w:spacing w:val="-25"/>
          <w:w w:val="105"/>
        </w:rPr>
        <w:t> </w:t>
      </w:r>
      <w:r>
        <w:rPr>
          <w:color w:val="231F20"/>
          <w:w w:val="105"/>
        </w:rPr>
        <w:t>retornaron</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entidad</w:t>
      </w:r>
      <w:r>
        <w:rPr>
          <w:color w:val="231F20"/>
          <w:spacing w:val="-21"/>
          <w:w w:val="105"/>
        </w:rPr>
        <w:t> </w:t>
      </w:r>
      <w:r>
        <w:rPr>
          <w:color w:val="231F20"/>
          <w:w w:val="105"/>
        </w:rPr>
        <w:t>entre</w:t>
      </w:r>
      <w:r>
        <w:rPr>
          <w:color w:val="231F20"/>
          <w:spacing w:val="-21"/>
          <w:w w:val="105"/>
        </w:rPr>
        <w:t> </w:t>
      </w:r>
      <w:r>
        <w:rPr>
          <w:color w:val="231F20"/>
          <w:w w:val="105"/>
        </w:rPr>
        <w:t>2000-2009.</w:t>
      </w:r>
    </w:p>
    <w:p>
      <w:pPr>
        <w:pStyle w:val="BodyText"/>
        <w:spacing w:line="261" w:lineRule="auto" w:before="1"/>
        <w:ind w:left="1723" w:right="1835" w:firstLine="566"/>
        <w:jc w:val="both"/>
      </w:pPr>
      <w:r>
        <w:rPr>
          <w:color w:val="231F20"/>
          <w:w w:val="105"/>
        </w:rPr>
        <w:t>Con los microdatos del censo de población</w:t>
      </w:r>
      <w:r>
        <w:rPr>
          <w:color w:val="231F20"/>
          <w:w w:val="105"/>
          <w:position w:val="7"/>
          <w:sz w:val="12"/>
        </w:rPr>
        <w:t>2 </w:t>
      </w:r>
      <w:r>
        <w:rPr>
          <w:color w:val="231F20"/>
          <w:w w:val="105"/>
        </w:rPr>
        <w:t>2010 se puede esti- mar</w:t>
      </w:r>
      <w:r>
        <w:rPr>
          <w:color w:val="231F20"/>
          <w:spacing w:val="-8"/>
          <w:w w:val="105"/>
        </w:rPr>
        <w:t> </w:t>
      </w:r>
      <w:r>
        <w:rPr>
          <w:color w:val="231F20"/>
          <w:w w:val="105"/>
        </w:rPr>
        <w:t>un</w:t>
      </w:r>
      <w:r>
        <w:rPr>
          <w:color w:val="231F20"/>
          <w:spacing w:val="-8"/>
          <w:w w:val="105"/>
        </w:rPr>
        <w:t> </w:t>
      </w:r>
      <w:r>
        <w:rPr>
          <w:color w:val="231F20"/>
          <w:w w:val="105"/>
        </w:rPr>
        <w:t>retorno</w:t>
      </w:r>
      <w:r>
        <w:rPr>
          <w:color w:val="231F20"/>
          <w:spacing w:val="-8"/>
          <w:w w:val="105"/>
        </w:rPr>
        <w:t> </w:t>
      </w:r>
      <w:r>
        <w:rPr>
          <w:color w:val="231F20"/>
          <w:w w:val="105"/>
        </w:rPr>
        <w:t>de</w:t>
      </w:r>
      <w:r>
        <w:rPr>
          <w:color w:val="231F20"/>
          <w:spacing w:val="-8"/>
          <w:w w:val="105"/>
        </w:rPr>
        <w:t> </w:t>
      </w:r>
      <w:r>
        <w:rPr>
          <w:color w:val="231F20"/>
          <w:w w:val="105"/>
        </w:rPr>
        <w:t>28,931</w:t>
      </w:r>
      <w:r>
        <w:rPr>
          <w:color w:val="231F20"/>
          <w:spacing w:val="-8"/>
          <w:w w:val="105"/>
        </w:rPr>
        <w:t> </w:t>
      </w:r>
      <w:r>
        <w:rPr>
          <w:color w:val="231F20"/>
          <w:w w:val="105"/>
        </w:rPr>
        <w:t>migrantes</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entidad</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quinquenio</w:t>
      </w:r>
      <w:r>
        <w:rPr>
          <w:color w:val="231F20"/>
          <w:spacing w:val="-8"/>
          <w:w w:val="105"/>
        </w:rPr>
        <w:t> </w:t>
      </w:r>
      <w:r>
        <w:rPr>
          <w:color w:val="231F20"/>
          <w:w w:val="105"/>
        </w:rPr>
        <w:t>2005- 2010</w:t>
      </w:r>
      <w:r>
        <w:rPr>
          <w:color w:val="231F20"/>
          <w:spacing w:val="-16"/>
          <w:w w:val="105"/>
        </w:rPr>
        <w:t> </w:t>
      </w:r>
      <w:r>
        <w:rPr>
          <w:color w:val="231F20"/>
          <w:w w:val="105"/>
        </w:rPr>
        <w:t>(80.5%</w:t>
      </w:r>
      <w:r>
        <w:rPr>
          <w:color w:val="231F20"/>
          <w:spacing w:val="-16"/>
          <w:w w:val="105"/>
        </w:rPr>
        <w:t> </w:t>
      </w:r>
      <w:r>
        <w:rPr>
          <w:color w:val="231F20"/>
          <w:w w:val="105"/>
        </w:rPr>
        <w:t>hombres,</w:t>
      </w:r>
      <w:r>
        <w:rPr>
          <w:color w:val="231F20"/>
          <w:spacing w:val="-21"/>
          <w:w w:val="105"/>
        </w:rPr>
        <w:t> </w:t>
      </w:r>
      <w:r>
        <w:rPr>
          <w:color w:val="231F20"/>
          <w:w w:val="105"/>
        </w:rPr>
        <w:t>19.5%</w:t>
      </w:r>
      <w:r>
        <w:rPr>
          <w:color w:val="231F20"/>
          <w:spacing w:val="-16"/>
          <w:w w:val="105"/>
        </w:rPr>
        <w:t> </w:t>
      </w:r>
      <w:r>
        <w:rPr>
          <w:color w:val="231F20"/>
          <w:w w:val="105"/>
        </w:rPr>
        <w:t>mujeres),</w:t>
      </w:r>
      <w:r>
        <w:rPr>
          <w:color w:val="231F20"/>
          <w:spacing w:val="-21"/>
          <w:w w:val="105"/>
        </w:rPr>
        <w:t> </w:t>
      </w:r>
      <w:r>
        <w:rPr>
          <w:color w:val="231F20"/>
          <w:w w:val="105"/>
        </w:rPr>
        <w:t>más</w:t>
      </w:r>
      <w:r>
        <w:rPr>
          <w:color w:val="231F20"/>
          <w:spacing w:val="-16"/>
          <w:w w:val="105"/>
        </w:rPr>
        <w:t> </w:t>
      </w:r>
      <w:r>
        <w:rPr>
          <w:color w:val="231F20"/>
          <w:w w:val="105"/>
        </w:rPr>
        <w:t>otros</w:t>
      </w:r>
      <w:r>
        <w:rPr>
          <w:color w:val="231F20"/>
          <w:spacing w:val="-16"/>
          <w:w w:val="105"/>
        </w:rPr>
        <w:t> </w:t>
      </w:r>
      <w:r>
        <w:rPr>
          <w:color w:val="231F20"/>
          <w:w w:val="105"/>
        </w:rPr>
        <w:t>2,015</w:t>
      </w:r>
      <w:r>
        <w:rPr>
          <w:color w:val="231F20"/>
          <w:spacing w:val="-16"/>
          <w:w w:val="105"/>
        </w:rPr>
        <w:t> </w:t>
      </w:r>
      <w:r>
        <w:rPr>
          <w:color w:val="231F20"/>
          <w:w w:val="105"/>
        </w:rPr>
        <w:t>retornados</w:t>
      </w:r>
      <w:r>
        <w:rPr>
          <w:color w:val="231F20"/>
          <w:spacing w:val="-16"/>
          <w:w w:val="105"/>
        </w:rPr>
        <w:t> </w:t>
      </w:r>
      <w:r>
        <w:rPr>
          <w:color w:val="231F20"/>
          <w:w w:val="105"/>
        </w:rPr>
        <w:t>que no especifican fecha. En esta fuente, alrededor de un tercio de los mi- grantes</w:t>
      </w:r>
      <w:r>
        <w:rPr>
          <w:color w:val="231F20"/>
          <w:spacing w:val="-13"/>
          <w:w w:val="105"/>
        </w:rPr>
        <w:t> </w:t>
      </w:r>
      <w:r>
        <w:rPr>
          <w:color w:val="231F20"/>
          <w:w w:val="105"/>
        </w:rPr>
        <w:t>mexiquenses</w:t>
      </w:r>
      <w:r>
        <w:rPr>
          <w:color w:val="231F20"/>
          <w:spacing w:val="-13"/>
          <w:w w:val="105"/>
        </w:rPr>
        <w:t> </w:t>
      </w:r>
      <w:r>
        <w:rPr>
          <w:color w:val="231F20"/>
          <w:w w:val="105"/>
        </w:rPr>
        <w:t>retornan</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mismo</w:t>
      </w:r>
      <w:r>
        <w:rPr>
          <w:color w:val="231F20"/>
          <w:spacing w:val="-13"/>
          <w:w w:val="105"/>
        </w:rPr>
        <w:t> </w:t>
      </w:r>
      <w:r>
        <w:rPr>
          <w:color w:val="231F20"/>
          <w:w w:val="105"/>
        </w:rPr>
        <w:t>quinquenio</w:t>
      </w:r>
      <w:r>
        <w:rPr>
          <w:color w:val="231F20"/>
          <w:spacing w:val="-13"/>
          <w:w w:val="105"/>
        </w:rPr>
        <w:t> </w:t>
      </w:r>
      <w:r>
        <w:rPr>
          <w:color w:val="231F20"/>
          <w:w w:val="105"/>
        </w:rPr>
        <w:t>de</w:t>
      </w:r>
      <w:r>
        <w:rPr>
          <w:color w:val="231F20"/>
          <w:spacing w:val="-13"/>
          <w:w w:val="105"/>
        </w:rPr>
        <w:t> </w:t>
      </w:r>
      <w:r>
        <w:rPr>
          <w:color w:val="231F20"/>
          <w:w w:val="105"/>
        </w:rPr>
        <w:t>partida</w:t>
      </w:r>
      <w:r>
        <w:rPr>
          <w:color w:val="231F20"/>
          <w:spacing w:val="-13"/>
          <w:w w:val="105"/>
        </w:rPr>
        <w:t> </w:t>
      </w:r>
      <w:r>
        <w:rPr>
          <w:color w:val="231F20"/>
          <w:w w:val="105"/>
        </w:rPr>
        <w:t>2005- 2010.</w:t>
      </w:r>
      <w:r>
        <w:rPr>
          <w:color w:val="231F20"/>
          <w:spacing w:val="-22"/>
          <w:w w:val="105"/>
        </w:rPr>
        <w:t> </w:t>
      </w:r>
      <w:r>
        <w:rPr>
          <w:color w:val="231F20"/>
          <w:w w:val="105"/>
        </w:rPr>
        <w:t>En</w:t>
      </w:r>
      <w:r>
        <w:rPr>
          <w:color w:val="231F20"/>
          <w:spacing w:val="-16"/>
          <w:w w:val="105"/>
        </w:rPr>
        <w:t> </w:t>
      </w:r>
      <w:r>
        <w:rPr>
          <w:color w:val="231F20"/>
          <w:w w:val="105"/>
        </w:rPr>
        <w:t>ambas</w:t>
      </w:r>
      <w:r>
        <w:rPr>
          <w:color w:val="231F20"/>
          <w:spacing w:val="-16"/>
          <w:w w:val="105"/>
        </w:rPr>
        <w:t> </w:t>
      </w:r>
      <w:r>
        <w:rPr>
          <w:color w:val="231F20"/>
          <w:w w:val="105"/>
        </w:rPr>
        <w:t>fuentes</w:t>
      </w:r>
      <w:r>
        <w:rPr>
          <w:color w:val="231F20"/>
          <w:spacing w:val="-16"/>
          <w:w w:val="105"/>
        </w:rPr>
        <w:t> </w:t>
      </w:r>
      <w:r>
        <w:rPr>
          <w:color w:val="231F20"/>
          <w:w w:val="105"/>
        </w:rPr>
        <w:t>de</w:t>
      </w:r>
      <w:r>
        <w:rPr>
          <w:color w:val="231F20"/>
          <w:spacing w:val="-16"/>
          <w:w w:val="105"/>
        </w:rPr>
        <w:t> </w:t>
      </w:r>
      <w:r>
        <w:rPr>
          <w:color w:val="231F20"/>
          <w:w w:val="105"/>
        </w:rPr>
        <w:t>información,</w:t>
      </w:r>
      <w:r>
        <w:rPr>
          <w:color w:val="231F20"/>
          <w:spacing w:val="-22"/>
          <w:w w:val="105"/>
        </w:rPr>
        <w:t> </w:t>
      </w:r>
      <w:r>
        <w:rPr>
          <w:color w:val="231F20"/>
          <w:w w:val="105"/>
        </w:rPr>
        <w:t>se</w:t>
      </w:r>
      <w:r>
        <w:rPr>
          <w:color w:val="231F20"/>
          <w:spacing w:val="-16"/>
          <w:w w:val="105"/>
        </w:rPr>
        <w:t> </w:t>
      </w:r>
      <w:r>
        <w:rPr>
          <w:color w:val="231F20"/>
          <w:w w:val="105"/>
        </w:rPr>
        <w:t>verifica</w:t>
      </w:r>
      <w:r>
        <w:rPr>
          <w:color w:val="231F20"/>
          <w:spacing w:val="-16"/>
          <w:w w:val="105"/>
        </w:rPr>
        <w:t> </w:t>
      </w:r>
      <w:r>
        <w:rPr>
          <w:color w:val="231F20"/>
          <w:w w:val="105"/>
        </w:rPr>
        <w:t>un</w:t>
      </w:r>
      <w:r>
        <w:rPr>
          <w:color w:val="231F20"/>
          <w:spacing w:val="-16"/>
          <w:w w:val="105"/>
        </w:rPr>
        <w:t> </w:t>
      </w:r>
      <w:r>
        <w:rPr>
          <w:color w:val="231F20"/>
          <w:w w:val="105"/>
        </w:rPr>
        <w:t>incremento</w:t>
      </w:r>
      <w:r>
        <w:rPr>
          <w:color w:val="231F20"/>
          <w:spacing w:val="-16"/>
          <w:w w:val="105"/>
        </w:rPr>
        <w:t> </w:t>
      </w:r>
      <w:r>
        <w:rPr>
          <w:color w:val="231F20"/>
          <w:w w:val="105"/>
        </w:rPr>
        <w:t>en</w:t>
      </w:r>
      <w:r>
        <w:rPr>
          <w:color w:val="231F20"/>
          <w:spacing w:val="-16"/>
          <w:w w:val="105"/>
        </w:rPr>
        <w:t> </w:t>
      </w:r>
      <w:r>
        <w:rPr>
          <w:color w:val="231F20"/>
          <w:w w:val="105"/>
        </w:rPr>
        <w:t>los retornados</w:t>
      </w:r>
      <w:r>
        <w:rPr>
          <w:color w:val="231F20"/>
          <w:spacing w:val="-20"/>
          <w:w w:val="105"/>
        </w:rPr>
        <w:t> </w:t>
      </w:r>
      <w:r>
        <w:rPr>
          <w:color w:val="231F20"/>
          <w:w w:val="105"/>
        </w:rPr>
        <w:t>mexiquenses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última</w:t>
      </w:r>
      <w:r>
        <w:rPr>
          <w:color w:val="231F20"/>
          <w:spacing w:val="-20"/>
          <w:w w:val="105"/>
        </w:rPr>
        <w:t> </w:t>
      </w:r>
      <w:r>
        <w:rPr>
          <w:color w:val="231F20"/>
          <w:w w:val="105"/>
        </w:rPr>
        <w:t>década,</w:t>
      </w:r>
      <w:r>
        <w:rPr>
          <w:color w:val="231F20"/>
          <w:spacing w:val="-25"/>
          <w:w w:val="105"/>
        </w:rPr>
        <w:t> </w:t>
      </w:r>
      <w:r>
        <w:rPr>
          <w:color w:val="231F20"/>
          <w:w w:val="105"/>
        </w:rPr>
        <w:t>esto</w:t>
      </w:r>
      <w:r>
        <w:rPr>
          <w:color w:val="231F20"/>
          <w:spacing w:val="-20"/>
          <w:w w:val="105"/>
        </w:rPr>
        <w:t> </w:t>
      </w:r>
      <w:r>
        <w:rPr>
          <w:color w:val="231F20"/>
          <w:w w:val="105"/>
        </w:rPr>
        <w:t>se</w:t>
      </w:r>
      <w:r>
        <w:rPr>
          <w:color w:val="231F20"/>
          <w:spacing w:val="-20"/>
          <w:w w:val="105"/>
        </w:rPr>
        <w:t> </w:t>
      </w:r>
      <w:r>
        <w:rPr>
          <w:color w:val="231F20"/>
          <w:w w:val="105"/>
        </w:rPr>
        <w:t>correlaciona</w:t>
      </w:r>
      <w:r>
        <w:rPr>
          <w:color w:val="231F20"/>
          <w:spacing w:val="-20"/>
          <w:w w:val="105"/>
        </w:rPr>
        <w:t> </w:t>
      </w:r>
      <w:r>
        <w:rPr>
          <w:color w:val="231F20"/>
          <w:w w:val="105"/>
        </w:rPr>
        <w:t>con</w:t>
      </w:r>
      <w:r>
        <w:rPr>
          <w:color w:val="231F20"/>
          <w:spacing w:val="-20"/>
          <w:w w:val="105"/>
        </w:rPr>
        <w:t> </w:t>
      </w:r>
      <w:r>
        <w:rPr>
          <w:color w:val="231F20"/>
          <w:w w:val="105"/>
        </w:rPr>
        <w:t>el incremento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resguardo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frontera</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aprobación</w:t>
      </w:r>
      <w:r>
        <w:rPr>
          <w:color w:val="231F20"/>
          <w:spacing w:val="-18"/>
          <w:w w:val="105"/>
        </w:rPr>
        <w:t> </w:t>
      </w:r>
      <w:r>
        <w:rPr>
          <w:color w:val="231F20"/>
          <w:w w:val="105"/>
        </w:rPr>
        <w:t>de</w:t>
      </w:r>
      <w:r>
        <w:rPr>
          <w:color w:val="231F20"/>
          <w:spacing w:val="-18"/>
          <w:w w:val="105"/>
        </w:rPr>
        <w:t> </w:t>
      </w:r>
      <w:r>
        <w:rPr>
          <w:color w:val="231F20"/>
          <w:w w:val="105"/>
        </w:rPr>
        <w:t>leyes</w:t>
      </w:r>
      <w:r>
        <w:rPr>
          <w:color w:val="231F20"/>
          <w:spacing w:val="-18"/>
          <w:w w:val="105"/>
        </w:rPr>
        <w:t> </w:t>
      </w:r>
      <w:r>
        <w:rPr>
          <w:color w:val="231F20"/>
          <w:w w:val="105"/>
        </w:rPr>
        <w:t>antiin- migrantes</w:t>
      </w:r>
      <w:r>
        <w:rPr>
          <w:color w:val="231F20"/>
          <w:spacing w:val="-32"/>
          <w:w w:val="105"/>
        </w:rPr>
        <w:t> </w:t>
      </w:r>
      <w:r>
        <w:rPr>
          <w:color w:val="231F20"/>
          <w:w w:val="105"/>
        </w:rPr>
        <w:t>en</w:t>
      </w:r>
      <w:r>
        <w:rPr>
          <w:color w:val="231F20"/>
          <w:spacing w:val="-32"/>
          <w:w w:val="105"/>
        </w:rPr>
        <w:t> </w:t>
      </w:r>
      <w:r>
        <w:rPr>
          <w:color w:val="231F20"/>
          <w:w w:val="105"/>
        </w:rPr>
        <w:t>Estados</w:t>
      </w:r>
      <w:r>
        <w:rPr>
          <w:color w:val="231F20"/>
          <w:spacing w:val="-32"/>
          <w:w w:val="105"/>
        </w:rPr>
        <w:t> </w:t>
      </w:r>
      <w:r>
        <w:rPr>
          <w:color w:val="231F20"/>
          <w:w w:val="105"/>
        </w:rPr>
        <w:t>Unidos</w:t>
      </w:r>
      <w:r>
        <w:rPr>
          <w:color w:val="231F20"/>
          <w:spacing w:val="-32"/>
          <w:w w:val="105"/>
        </w:rPr>
        <w:t> </w:t>
      </w:r>
      <w:r>
        <w:rPr>
          <w:color w:val="231F20"/>
          <w:w w:val="105"/>
        </w:rPr>
        <w:t>(González,</w:t>
      </w:r>
      <w:r>
        <w:rPr>
          <w:color w:val="231F20"/>
          <w:spacing w:val="-35"/>
          <w:w w:val="105"/>
        </w:rPr>
        <w:t> </w:t>
      </w:r>
      <w:r>
        <w:rPr>
          <w:color w:val="231F20"/>
          <w:w w:val="105"/>
        </w:rPr>
        <w:t>Salas</w:t>
      </w:r>
      <w:r>
        <w:rPr>
          <w:color w:val="231F20"/>
          <w:spacing w:val="-32"/>
          <w:w w:val="105"/>
        </w:rPr>
        <w:t> </w:t>
      </w:r>
      <w:r>
        <w:rPr>
          <w:color w:val="231F20"/>
          <w:w w:val="105"/>
        </w:rPr>
        <w:t>y</w:t>
      </w:r>
      <w:r>
        <w:rPr>
          <w:color w:val="231F20"/>
          <w:spacing w:val="-32"/>
          <w:w w:val="105"/>
        </w:rPr>
        <w:t> </w:t>
      </w:r>
      <w:r>
        <w:rPr>
          <w:color w:val="231F20"/>
          <w:w w:val="105"/>
        </w:rPr>
        <w:t>Soberón,</w:t>
      </w:r>
      <w:r>
        <w:rPr>
          <w:color w:val="231F20"/>
          <w:spacing w:val="-35"/>
          <w:w w:val="105"/>
        </w:rPr>
        <w:t> </w:t>
      </w:r>
      <w:r>
        <w:rPr>
          <w:color w:val="231F20"/>
          <w:w w:val="105"/>
        </w:rPr>
        <w:t>2011),</w:t>
      </w:r>
      <w:r>
        <w:rPr>
          <w:color w:val="231F20"/>
          <w:spacing w:val="-35"/>
          <w:w w:val="105"/>
        </w:rPr>
        <w:t> </w:t>
      </w:r>
      <w:r>
        <w:rPr>
          <w:color w:val="231F20"/>
          <w:w w:val="105"/>
        </w:rPr>
        <w:t>aunado a</w:t>
      </w:r>
      <w:r>
        <w:rPr>
          <w:color w:val="231F20"/>
          <w:spacing w:val="-23"/>
          <w:w w:val="105"/>
        </w:rPr>
        <w:t> </w:t>
      </w:r>
      <w:r>
        <w:rPr>
          <w:color w:val="231F20"/>
          <w:w w:val="105"/>
        </w:rPr>
        <w:t>la</w:t>
      </w:r>
      <w:r>
        <w:rPr>
          <w:color w:val="231F20"/>
          <w:spacing w:val="-23"/>
          <w:w w:val="105"/>
        </w:rPr>
        <w:t> </w:t>
      </w:r>
      <w:r>
        <w:rPr>
          <w:color w:val="231F20"/>
          <w:w w:val="105"/>
        </w:rPr>
        <w:t>crisis</w:t>
      </w:r>
      <w:r>
        <w:rPr>
          <w:color w:val="231F20"/>
          <w:spacing w:val="-23"/>
          <w:w w:val="105"/>
        </w:rPr>
        <w:t> </w:t>
      </w:r>
      <w:r>
        <w:rPr>
          <w:color w:val="231F20"/>
          <w:w w:val="105"/>
        </w:rPr>
        <w:t>económica</w:t>
      </w:r>
      <w:r>
        <w:rPr>
          <w:color w:val="231F20"/>
          <w:spacing w:val="-23"/>
          <w:w w:val="105"/>
        </w:rPr>
        <w:t> </w:t>
      </w:r>
      <w:r>
        <w:rPr>
          <w:color w:val="231F20"/>
          <w:w w:val="105"/>
        </w:rPr>
        <w:t>y</w:t>
      </w:r>
      <w:r>
        <w:rPr>
          <w:color w:val="231F20"/>
          <w:spacing w:val="-23"/>
          <w:w w:val="105"/>
        </w:rPr>
        <w:t> </w:t>
      </w:r>
      <w:r>
        <w:rPr>
          <w:color w:val="231F20"/>
          <w:w w:val="105"/>
        </w:rPr>
        <w:t>una</w:t>
      </w:r>
      <w:r>
        <w:rPr>
          <w:color w:val="231F20"/>
          <w:spacing w:val="-23"/>
          <w:w w:val="105"/>
        </w:rPr>
        <w:t> </w:t>
      </w:r>
      <w:r>
        <w:rPr>
          <w:color w:val="231F20"/>
          <w:w w:val="105"/>
        </w:rPr>
        <w:t>leve</w:t>
      </w:r>
      <w:r>
        <w:rPr>
          <w:color w:val="231F20"/>
          <w:spacing w:val="-23"/>
          <w:w w:val="105"/>
        </w:rPr>
        <w:t> </w:t>
      </w:r>
      <w:r>
        <w:rPr>
          <w:color w:val="231F20"/>
          <w:w w:val="105"/>
        </w:rPr>
        <w:t>mejoría</w:t>
      </w:r>
      <w:r>
        <w:rPr>
          <w:color w:val="231F20"/>
          <w:spacing w:val="-23"/>
          <w:w w:val="105"/>
        </w:rPr>
        <w:t> </w:t>
      </w:r>
      <w:r>
        <w:rPr>
          <w:color w:val="231F20"/>
          <w:w w:val="105"/>
        </w:rPr>
        <w:t>en</w:t>
      </w:r>
      <w:r>
        <w:rPr>
          <w:color w:val="231F20"/>
          <w:spacing w:val="-23"/>
          <w:w w:val="105"/>
        </w:rPr>
        <w:t> </w:t>
      </w:r>
      <w:r>
        <w:rPr>
          <w:color w:val="231F20"/>
          <w:w w:val="105"/>
        </w:rPr>
        <w:t>México</w:t>
      </w:r>
      <w:r>
        <w:rPr>
          <w:color w:val="231F20"/>
          <w:spacing w:val="-23"/>
          <w:w w:val="105"/>
        </w:rPr>
        <w:t> </w:t>
      </w:r>
      <w:r>
        <w:rPr>
          <w:color w:val="231F20"/>
          <w:w w:val="105"/>
        </w:rPr>
        <w:t>(Cave,</w:t>
      </w:r>
      <w:r>
        <w:rPr>
          <w:color w:val="231F20"/>
          <w:spacing w:val="-27"/>
          <w:w w:val="105"/>
        </w:rPr>
        <w:t> </w:t>
      </w:r>
      <w:r>
        <w:rPr>
          <w:color w:val="231F20"/>
          <w:w w:val="105"/>
        </w:rPr>
        <w:t>2011).</w:t>
      </w:r>
    </w:p>
    <w:p>
      <w:pPr>
        <w:pStyle w:val="BodyText"/>
        <w:spacing w:line="261" w:lineRule="auto" w:before="1"/>
        <w:ind w:left="1723" w:right="1828" w:firstLine="567"/>
        <w:jc w:val="both"/>
      </w:pPr>
      <w:r>
        <w:rPr>
          <w:color w:val="231F20"/>
          <w:w w:val="105"/>
        </w:rPr>
        <w:t>Dado</w:t>
      </w:r>
      <w:r>
        <w:rPr>
          <w:color w:val="231F20"/>
          <w:spacing w:val="-26"/>
          <w:w w:val="105"/>
        </w:rPr>
        <w:t> </w:t>
      </w:r>
      <w:r>
        <w:rPr>
          <w:color w:val="231F20"/>
          <w:w w:val="105"/>
        </w:rPr>
        <w:t>el</w:t>
      </w:r>
      <w:r>
        <w:rPr>
          <w:color w:val="231F20"/>
          <w:spacing w:val="-26"/>
          <w:w w:val="105"/>
        </w:rPr>
        <w:t> </w:t>
      </w:r>
      <w:r>
        <w:rPr>
          <w:color w:val="231F20"/>
          <w:w w:val="105"/>
        </w:rPr>
        <w:t>carácter</w:t>
      </w:r>
      <w:r>
        <w:rPr>
          <w:color w:val="231F20"/>
          <w:spacing w:val="-26"/>
          <w:w w:val="105"/>
        </w:rPr>
        <w:t> </w:t>
      </w:r>
      <w:r>
        <w:rPr>
          <w:color w:val="231F20"/>
          <w:w w:val="105"/>
        </w:rPr>
        <w:t>laboral</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migración</w:t>
      </w:r>
      <w:r>
        <w:rPr>
          <w:color w:val="231F20"/>
          <w:spacing w:val="-26"/>
          <w:w w:val="105"/>
        </w:rPr>
        <w:t> </w:t>
      </w:r>
      <w:r>
        <w:rPr>
          <w:color w:val="231F20"/>
          <w:w w:val="105"/>
        </w:rPr>
        <w:t>mexicana,</w:t>
      </w:r>
      <w:r>
        <w:rPr>
          <w:color w:val="231F20"/>
          <w:spacing w:val="-31"/>
          <w:w w:val="105"/>
        </w:rPr>
        <w:t> </w:t>
      </w:r>
      <w:r>
        <w:rPr>
          <w:color w:val="231F20"/>
          <w:w w:val="105"/>
        </w:rPr>
        <w:t>mexiquense</w:t>
      </w:r>
      <w:r>
        <w:rPr>
          <w:color w:val="231F20"/>
          <w:spacing w:val="-26"/>
          <w:w w:val="105"/>
        </w:rPr>
        <w:t> </w:t>
      </w:r>
      <w:r>
        <w:rPr>
          <w:color w:val="231F20"/>
          <w:w w:val="105"/>
        </w:rPr>
        <w:t>y</w:t>
      </w:r>
      <w:r>
        <w:rPr>
          <w:color w:val="231F20"/>
          <w:spacing w:val="-26"/>
          <w:w w:val="105"/>
        </w:rPr>
        <w:t> </w:t>
      </w:r>
      <w:r>
        <w:rPr>
          <w:color w:val="231F20"/>
          <w:w w:val="105"/>
        </w:rPr>
        <w:t>la que</w:t>
      </w:r>
      <w:r>
        <w:rPr>
          <w:color w:val="231F20"/>
          <w:spacing w:val="-14"/>
          <w:w w:val="105"/>
        </w:rPr>
        <w:t> </w:t>
      </w:r>
      <w:r>
        <w:rPr>
          <w:color w:val="231F20"/>
          <w:w w:val="105"/>
        </w:rPr>
        <w:t>ocurre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mundo</w:t>
      </w:r>
      <w:r>
        <w:rPr>
          <w:color w:val="231F20"/>
          <w:spacing w:val="-14"/>
          <w:w w:val="105"/>
        </w:rPr>
        <w:t> </w:t>
      </w:r>
      <w:r>
        <w:rPr>
          <w:color w:val="231F20"/>
          <w:w w:val="105"/>
        </w:rPr>
        <w:t>entero,</w:t>
      </w:r>
      <w:r>
        <w:rPr>
          <w:color w:val="231F20"/>
          <w:spacing w:val="-19"/>
          <w:w w:val="105"/>
        </w:rPr>
        <w:t> </w:t>
      </w:r>
      <w:r>
        <w:rPr>
          <w:color w:val="231F20"/>
          <w:w w:val="105"/>
        </w:rPr>
        <w:t>las</w:t>
      </w:r>
      <w:r>
        <w:rPr>
          <w:color w:val="231F20"/>
          <w:spacing w:val="-14"/>
          <w:w w:val="105"/>
        </w:rPr>
        <w:t> </w:t>
      </w:r>
      <w:r>
        <w:rPr>
          <w:color w:val="231F20"/>
          <w:w w:val="105"/>
        </w:rPr>
        <w:t>evidencias</w:t>
      </w:r>
      <w:r>
        <w:rPr>
          <w:color w:val="231F20"/>
          <w:spacing w:val="-14"/>
          <w:w w:val="105"/>
        </w:rPr>
        <w:t> </w:t>
      </w:r>
      <w:r>
        <w:rPr>
          <w:color w:val="231F20"/>
          <w:w w:val="105"/>
        </w:rPr>
        <w:t>muestran</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w w:val="105"/>
        </w:rPr>
        <w:t>migran- tes adquieren conocimientos laborales y diversos activos, cuestión que empuja</w:t>
      </w:r>
      <w:r>
        <w:rPr>
          <w:color w:val="231F20"/>
          <w:spacing w:val="-16"/>
          <w:w w:val="105"/>
        </w:rPr>
        <w:t> </w:t>
      </w:r>
      <w:r>
        <w:rPr>
          <w:color w:val="231F20"/>
          <w:w w:val="105"/>
        </w:rPr>
        <w:t>a</w:t>
      </w:r>
      <w:r>
        <w:rPr>
          <w:color w:val="231F20"/>
          <w:spacing w:val="-16"/>
          <w:w w:val="105"/>
        </w:rPr>
        <w:t> </w:t>
      </w:r>
      <w:r>
        <w:rPr>
          <w:color w:val="231F20"/>
          <w:w w:val="105"/>
        </w:rPr>
        <w:t>países</w:t>
      </w:r>
      <w:r>
        <w:rPr>
          <w:color w:val="231F20"/>
          <w:spacing w:val="-16"/>
          <w:w w:val="105"/>
        </w:rPr>
        <w:t> </w:t>
      </w:r>
      <w:r>
        <w:rPr>
          <w:color w:val="231F20"/>
          <w:w w:val="105"/>
        </w:rPr>
        <w:t>como</w:t>
      </w:r>
      <w:r>
        <w:rPr>
          <w:color w:val="231F20"/>
          <w:spacing w:val="-16"/>
          <w:w w:val="105"/>
        </w:rPr>
        <w:t> </w:t>
      </w:r>
      <w:r>
        <w:rPr>
          <w:color w:val="231F20"/>
          <w:w w:val="105"/>
        </w:rPr>
        <w:t>China,</w:t>
      </w:r>
      <w:r>
        <w:rPr>
          <w:color w:val="231F20"/>
          <w:spacing w:val="-21"/>
          <w:w w:val="105"/>
        </w:rPr>
        <w:t> </w:t>
      </w:r>
      <w:r>
        <w:rPr>
          <w:color w:val="231F20"/>
          <w:w w:val="105"/>
        </w:rPr>
        <w:t>Corea</w:t>
      </w:r>
      <w:r>
        <w:rPr>
          <w:color w:val="231F20"/>
          <w:spacing w:val="-16"/>
          <w:w w:val="105"/>
        </w:rPr>
        <w:t> </w:t>
      </w:r>
      <w:r>
        <w:rPr>
          <w:color w:val="231F20"/>
          <w:w w:val="105"/>
        </w:rPr>
        <w:t>del</w:t>
      </w:r>
      <w:r>
        <w:rPr>
          <w:color w:val="231F20"/>
          <w:spacing w:val="-16"/>
          <w:w w:val="105"/>
        </w:rPr>
        <w:t> </w:t>
      </w:r>
      <w:r>
        <w:rPr>
          <w:color w:val="231F20"/>
          <w:w w:val="105"/>
        </w:rPr>
        <w:t>Sur</w:t>
      </w:r>
      <w:r>
        <w:rPr>
          <w:color w:val="231F20"/>
          <w:spacing w:val="-16"/>
          <w:w w:val="105"/>
        </w:rPr>
        <w:t> </w:t>
      </w:r>
      <w:r>
        <w:rPr>
          <w:color w:val="231F20"/>
          <w:w w:val="105"/>
        </w:rPr>
        <w:t>y</w:t>
      </w:r>
      <w:r>
        <w:rPr>
          <w:color w:val="231F20"/>
          <w:spacing w:val="-20"/>
          <w:w w:val="105"/>
        </w:rPr>
        <w:t> </w:t>
      </w:r>
      <w:r>
        <w:rPr>
          <w:color w:val="231F20"/>
          <w:spacing w:val="-4"/>
          <w:w w:val="105"/>
        </w:rPr>
        <w:t>Taiwán</w:t>
      </w:r>
      <w:r>
        <w:rPr>
          <w:color w:val="231F20"/>
          <w:spacing w:val="-16"/>
          <w:w w:val="105"/>
        </w:rPr>
        <w:t> </w:t>
      </w:r>
      <w:r>
        <w:rPr>
          <w:color w:val="231F20"/>
          <w:w w:val="105"/>
        </w:rPr>
        <w:t>a</w:t>
      </w:r>
      <w:r>
        <w:rPr>
          <w:color w:val="231F20"/>
          <w:spacing w:val="-16"/>
          <w:w w:val="105"/>
        </w:rPr>
        <w:t> </w:t>
      </w:r>
      <w:r>
        <w:rPr>
          <w:color w:val="231F20"/>
          <w:w w:val="105"/>
        </w:rPr>
        <w:t>buscar</w:t>
      </w:r>
      <w:r>
        <w:rPr>
          <w:color w:val="231F20"/>
          <w:spacing w:val="-16"/>
          <w:w w:val="105"/>
        </w:rPr>
        <w:t> </w:t>
      </w:r>
      <w:r>
        <w:rPr>
          <w:color w:val="231F20"/>
          <w:w w:val="105"/>
        </w:rPr>
        <w:t>el</w:t>
      </w:r>
      <w:r>
        <w:rPr>
          <w:color w:val="231F20"/>
          <w:spacing w:val="-16"/>
          <w:w w:val="105"/>
        </w:rPr>
        <w:t> </w:t>
      </w:r>
      <w:r>
        <w:rPr>
          <w:color w:val="231F20"/>
          <w:w w:val="105"/>
        </w:rPr>
        <w:t>retorno de sus migrantes. Los gobiernos ofrecen apoyos a la inserción laboral, buenos sueldos en parques científicos y tecnológicos </w:t>
      </w:r>
      <w:r>
        <w:rPr>
          <w:color w:val="231F20"/>
          <w:spacing w:val="-3"/>
          <w:w w:val="105"/>
        </w:rPr>
        <w:t>(Van </w:t>
      </w:r>
      <w:r>
        <w:rPr>
          <w:color w:val="231F20"/>
          <w:w w:val="105"/>
        </w:rPr>
        <w:t>Mol, 2008; Nyíri, 2005). En México también se ha buscado el retorno selectivo de migrantes, les han prometido inversiones, dotación de créditos, tierras, creación</w:t>
      </w:r>
      <w:r>
        <w:rPr>
          <w:color w:val="231F20"/>
          <w:spacing w:val="-8"/>
          <w:w w:val="105"/>
        </w:rPr>
        <w:t> </w:t>
      </w:r>
      <w:r>
        <w:rPr>
          <w:color w:val="231F20"/>
          <w:w w:val="105"/>
        </w:rPr>
        <w:t>de</w:t>
      </w:r>
      <w:r>
        <w:rPr>
          <w:color w:val="231F20"/>
          <w:spacing w:val="-8"/>
          <w:w w:val="105"/>
        </w:rPr>
        <w:t> </w:t>
      </w:r>
      <w:r>
        <w:rPr>
          <w:color w:val="231F20"/>
          <w:w w:val="105"/>
        </w:rPr>
        <w:t>empleos</w:t>
      </w:r>
      <w:r>
        <w:rPr>
          <w:color w:val="231F20"/>
          <w:spacing w:val="-8"/>
          <w:w w:val="105"/>
        </w:rPr>
        <w:t> </w:t>
      </w:r>
      <w:r>
        <w:rPr>
          <w:color w:val="231F20"/>
          <w:w w:val="105"/>
        </w:rPr>
        <w:t>y</w:t>
      </w:r>
      <w:r>
        <w:rPr>
          <w:color w:val="231F20"/>
          <w:spacing w:val="-8"/>
          <w:w w:val="105"/>
        </w:rPr>
        <w:t> </w:t>
      </w:r>
      <w:r>
        <w:rPr>
          <w:color w:val="231F20"/>
          <w:w w:val="105"/>
        </w:rPr>
        <w:t>otros,</w:t>
      </w:r>
      <w:r>
        <w:rPr>
          <w:color w:val="231F20"/>
          <w:spacing w:val="-14"/>
          <w:w w:val="105"/>
        </w:rPr>
        <w:t> </w:t>
      </w:r>
      <w:r>
        <w:rPr>
          <w:color w:val="231F20"/>
          <w:w w:val="105"/>
        </w:rPr>
        <w:t>pero</w:t>
      </w:r>
      <w:r>
        <w:rPr>
          <w:color w:val="231F20"/>
          <w:spacing w:val="-8"/>
          <w:w w:val="105"/>
        </w:rPr>
        <w:t> </w:t>
      </w:r>
      <w:r>
        <w:rPr>
          <w:color w:val="231F20"/>
          <w:w w:val="105"/>
        </w:rPr>
        <w:t>la</w:t>
      </w:r>
      <w:r>
        <w:rPr>
          <w:color w:val="231F20"/>
          <w:spacing w:val="-8"/>
          <w:w w:val="105"/>
        </w:rPr>
        <w:t> </w:t>
      </w:r>
      <w:r>
        <w:rPr>
          <w:color w:val="231F20"/>
          <w:w w:val="105"/>
        </w:rPr>
        <w:t>debilidad</w:t>
      </w:r>
      <w:r>
        <w:rPr>
          <w:color w:val="231F20"/>
          <w:spacing w:val="-8"/>
          <w:w w:val="105"/>
        </w:rPr>
        <w:t> </w:t>
      </w:r>
      <w:r>
        <w:rPr>
          <w:color w:val="231F20"/>
          <w:w w:val="105"/>
        </w:rPr>
        <w:t>institucional</w:t>
      </w:r>
      <w:r>
        <w:rPr>
          <w:color w:val="231F20"/>
          <w:spacing w:val="-8"/>
          <w:w w:val="105"/>
        </w:rPr>
        <w:t> </w:t>
      </w:r>
      <w:r>
        <w:rPr>
          <w:color w:val="231F20"/>
          <w:w w:val="105"/>
        </w:rPr>
        <w:t>y</w:t>
      </w:r>
      <w:r>
        <w:rPr>
          <w:color w:val="231F20"/>
          <w:spacing w:val="-8"/>
          <w:w w:val="105"/>
        </w:rPr>
        <w:t> </w:t>
      </w:r>
      <w:r>
        <w:rPr>
          <w:color w:val="231F20"/>
          <w:w w:val="105"/>
        </w:rPr>
        <w:t>económica del</w:t>
      </w:r>
      <w:r>
        <w:rPr>
          <w:color w:val="231F20"/>
          <w:spacing w:val="-20"/>
          <w:w w:val="105"/>
        </w:rPr>
        <w:t> </w:t>
      </w:r>
      <w:r>
        <w:rPr>
          <w:color w:val="231F20"/>
          <w:w w:val="105"/>
        </w:rPr>
        <w:t>gobierno</w:t>
      </w:r>
      <w:r>
        <w:rPr>
          <w:color w:val="231F20"/>
          <w:spacing w:val="-20"/>
          <w:w w:val="105"/>
        </w:rPr>
        <w:t> </w:t>
      </w:r>
      <w:r>
        <w:rPr>
          <w:color w:val="231F20"/>
          <w:w w:val="105"/>
        </w:rPr>
        <w:t>ha</w:t>
      </w:r>
      <w:r>
        <w:rPr>
          <w:color w:val="231F20"/>
          <w:spacing w:val="-20"/>
          <w:w w:val="105"/>
        </w:rPr>
        <w:t> </w:t>
      </w:r>
      <w:r>
        <w:rPr>
          <w:color w:val="231F20"/>
          <w:w w:val="105"/>
        </w:rPr>
        <w:t>frenado</w:t>
      </w:r>
      <w:r>
        <w:rPr>
          <w:color w:val="231F20"/>
          <w:spacing w:val="-20"/>
          <w:w w:val="105"/>
        </w:rPr>
        <w:t> </w:t>
      </w:r>
      <w:r>
        <w:rPr>
          <w:color w:val="231F20"/>
          <w:w w:val="105"/>
        </w:rPr>
        <w:t>estas</w:t>
      </w:r>
      <w:r>
        <w:rPr>
          <w:color w:val="231F20"/>
          <w:spacing w:val="-20"/>
          <w:w w:val="105"/>
        </w:rPr>
        <w:t> </w:t>
      </w:r>
      <w:r>
        <w:rPr>
          <w:color w:val="231F20"/>
          <w:w w:val="105"/>
        </w:rPr>
        <w:t>acciones</w:t>
      </w:r>
      <w:r>
        <w:rPr>
          <w:color w:val="231F20"/>
          <w:spacing w:val="-20"/>
          <w:w w:val="105"/>
        </w:rPr>
        <w:t> </w:t>
      </w:r>
      <w:r>
        <w:rPr>
          <w:color w:val="231F20"/>
          <w:w w:val="105"/>
        </w:rPr>
        <w:t>(Alanís,</w:t>
      </w:r>
      <w:r>
        <w:rPr>
          <w:color w:val="231F20"/>
          <w:spacing w:val="-24"/>
          <w:w w:val="105"/>
        </w:rPr>
        <w:t> </w:t>
      </w:r>
      <w:r>
        <w:rPr>
          <w:color w:val="231F20"/>
          <w:w w:val="105"/>
        </w:rPr>
        <w:t>2007:</w:t>
      </w:r>
      <w:r>
        <w:rPr>
          <w:color w:val="231F20"/>
          <w:spacing w:val="-20"/>
          <w:w w:val="105"/>
        </w:rPr>
        <w:t> </w:t>
      </w:r>
      <w:r>
        <w:rPr>
          <w:color w:val="231F20"/>
          <w:w w:val="105"/>
        </w:rPr>
        <w:t>46;</w:t>
      </w:r>
      <w:r>
        <w:rPr>
          <w:color w:val="231F20"/>
          <w:spacing w:val="-24"/>
          <w:w w:val="105"/>
        </w:rPr>
        <w:t> </w:t>
      </w:r>
      <w:r>
        <w:rPr>
          <w:color w:val="231F20"/>
          <w:spacing w:val="-4"/>
          <w:w w:val="105"/>
        </w:rPr>
        <w:t>Turati,</w:t>
      </w:r>
      <w:r>
        <w:rPr>
          <w:color w:val="231F20"/>
          <w:spacing w:val="-24"/>
          <w:w w:val="105"/>
        </w:rPr>
        <w:t> </w:t>
      </w:r>
      <w:r>
        <w:rPr>
          <w:color w:val="231F20"/>
          <w:w w:val="105"/>
        </w:rPr>
        <w:t>2011).</w:t>
      </w:r>
    </w:p>
    <w:p>
      <w:pPr>
        <w:pStyle w:val="BodyText"/>
        <w:spacing w:line="261" w:lineRule="auto" w:before="1"/>
        <w:ind w:left="1723" w:right="1834" w:firstLine="567"/>
        <w:jc w:val="both"/>
      </w:pPr>
      <w:r>
        <w:rPr>
          <w:color w:val="231F20"/>
          <w:w w:val="105"/>
        </w:rPr>
        <w:t>La migración de retorno no tiene una explicación completa de</w:t>
      </w:r>
      <w:r>
        <w:rPr>
          <w:color w:val="231F20"/>
          <w:spacing w:val="-39"/>
          <w:w w:val="105"/>
        </w:rPr>
        <w:t> </w:t>
      </w:r>
      <w:r>
        <w:rPr>
          <w:color w:val="231F20"/>
          <w:w w:val="105"/>
        </w:rPr>
        <w:t>por qué ocurre, cuándo o qué efectos tiene sobre los países. Algunos mi- grantes</w:t>
      </w:r>
      <w:r>
        <w:rPr>
          <w:color w:val="231F20"/>
          <w:spacing w:val="-22"/>
          <w:w w:val="105"/>
        </w:rPr>
        <w:t> </w:t>
      </w:r>
      <w:r>
        <w:rPr>
          <w:color w:val="231F20"/>
          <w:w w:val="105"/>
        </w:rPr>
        <w:t>retornan</w:t>
      </w:r>
      <w:r>
        <w:rPr>
          <w:color w:val="231F20"/>
          <w:spacing w:val="-22"/>
          <w:w w:val="105"/>
        </w:rPr>
        <w:t> </w:t>
      </w:r>
      <w:r>
        <w:rPr>
          <w:color w:val="231F20"/>
          <w:w w:val="105"/>
        </w:rPr>
        <w:t>por</w:t>
      </w:r>
      <w:r>
        <w:rPr>
          <w:color w:val="231F20"/>
          <w:spacing w:val="-22"/>
          <w:w w:val="105"/>
        </w:rPr>
        <w:t> </w:t>
      </w:r>
      <w:r>
        <w:rPr>
          <w:color w:val="231F20"/>
          <w:w w:val="105"/>
        </w:rPr>
        <w:t>unas</w:t>
      </w:r>
      <w:r>
        <w:rPr>
          <w:color w:val="231F20"/>
          <w:spacing w:val="-22"/>
          <w:w w:val="105"/>
        </w:rPr>
        <w:t> </w:t>
      </w:r>
      <w:r>
        <w:rPr>
          <w:color w:val="231F20"/>
          <w:w w:val="105"/>
        </w:rPr>
        <w:t>causas,</w:t>
      </w:r>
      <w:r>
        <w:rPr>
          <w:color w:val="231F20"/>
          <w:spacing w:val="-26"/>
          <w:w w:val="105"/>
        </w:rPr>
        <w:t> </w:t>
      </w:r>
      <w:r>
        <w:rPr>
          <w:color w:val="231F20"/>
          <w:w w:val="105"/>
        </w:rPr>
        <w:t>otros</w:t>
      </w:r>
      <w:r>
        <w:rPr>
          <w:color w:val="231F20"/>
          <w:spacing w:val="-22"/>
          <w:w w:val="105"/>
        </w:rPr>
        <w:t> </w:t>
      </w:r>
      <w:r>
        <w:rPr>
          <w:color w:val="231F20"/>
          <w:w w:val="105"/>
        </w:rPr>
        <w:t>se</w:t>
      </w:r>
      <w:r>
        <w:rPr>
          <w:color w:val="231F20"/>
          <w:spacing w:val="-22"/>
          <w:w w:val="105"/>
        </w:rPr>
        <w:t> </w:t>
      </w:r>
      <w:r>
        <w:rPr>
          <w:color w:val="231F20"/>
          <w:w w:val="105"/>
        </w:rPr>
        <w:t>ven</w:t>
      </w:r>
      <w:r>
        <w:rPr>
          <w:color w:val="231F20"/>
          <w:spacing w:val="-22"/>
          <w:w w:val="105"/>
        </w:rPr>
        <w:t> </w:t>
      </w:r>
      <w:r>
        <w:rPr>
          <w:color w:val="231F20"/>
          <w:w w:val="105"/>
        </w:rPr>
        <w:t>afectados</w:t>
      </w:r>
      <w:r>
        <w:rPr>
          <w:color w:val="231F20"/>
          <w:spacing w:val="-22"/>
          <w:w w:val="105"/>
        </w:rPr>
        <w:t> </w:t>
      </w:r>
      <w:r>
        <w:rPr>
          <w:color w:val="231F20"/>
          <w:w w:val="105"/>
        </w:rPr>
        <w:t>por</w:t>
      </w:r>
      <w:r>
        <w:rPr>
          <w:color w:val="231F20"/>
          <w:spacing w:val="-22"/>
          <w:w w:val="105"/>
        </w:rPr>
        <w:t> </w:t>
      </w:r>
      <w:r>
        <w:rPr>
          <w:color w:val="231F20"/>
          <w:w w:val="105"/>
        </w:rPr>
        <w:t>otras,</w:t>
      </w:r>
      <w:r>
        <w:rPr>
          <w:color w:val="231F20"/>
          <w:spacing w:val="-26"/>
          <w:w w:val="105"/>
        </w:rPr>
        <w:t> </w:t>
      </w:r>
      <w:r>
        <w:rPr>
          <w:color w:val="231F20"/>
          <w:w w:val="105"/>
        </w:rPr>
        <w:t>algu- nos</w:t>
      </w:r>
      <w:r>
        <w:rPr>
          <w:color w:val="231F20"/>
          <w:spacing w:val="-7"/>
          <w:w w:val="105"/>
        </w:rPr>
        <w:t> </w:t>
      </w:r>
      <w:r>
        <w:rPr>
          <w:color w:val="231F20"/>
          <w:w w:val="105"/>
        </w:rPr>
        <w:t>vuelven</w:t>
      </w:r>
      <w:r>
        <w:rPr>
          <w:color w:val="231F20"/>
          <w:spacing w:val="-7"/>
          <w:w w:val="105"/>
        </w:rPr>
        <w:t> </w:t>
      </w:r>
      <w:r>
        <w:rPr>
          <w:color w:val="231F20"/>
          <w:w w:val="105"/>
        </w:rPr>
        <w:t>con</w:t>
      </w:r>
      <w:r>
        <w:rPr>
          <w:color w:val="231F20"/>
          <w:spacing w:val="-7"/>
          <w:w w:val="105"/>
        </w:rPr>
        <w:t> </w:t>
      </w:r>
      <w:r>
        <w:rPr>
          <w:color w:val="231F20"/>
          <w:w w:val="105"/>
        </w:rPr>
        <w:t>ciertos</w:t>
      </w:r>
      <w:r>
        <w:rPr>
          <w:color w:val="231F20"/>
          <w:spacing w:val="-7"/>
          <w:w w:val="105"/>
        </w:rPr>
        <w:t> </w:t>
      </w:r>
      <w:r>
        <w:rPr>
          <w:color w:val="231F20"/>
          <w:w w:val="105"/>
        </w:rPr>
        <w:t>activos,</w:t>
      </w:r>
      <w:r>
        <w:rPr>
          <w:color w:val="231F20"/>
          <w:spacing w:val="-11"/>
          <w:w w:val="105"/>
        </w:rPr>
        <w:t> </w:t>
      </w:r>
      <w:r>
        <w:rPr>
          <w:color w:val="231F20"/>
          <w:w w:val="105"/>
        </w:rPr>
        <w:t>otros</w:t>
      </w:r>
      <w:r>
        <w:rPr>
          <w:color w:val="231F20"/>
          <w:spacing w:val="-7"/>
          <w:w w:val="105"/>
        </w:rPr>
        <w:t> </w:t>
      </w:r>
      <w:r>
        <w:rPr>
          <w:color w:val="231F20"/>
          <w:w w:val="105"/>
        </w:rPr>
        <w:t>en</w:t>
      </w:r>
      <w:r>
        <w:rPr>
          <w:color w:val="231F20"/>
          <w:spacing w:val="-7"/>
          <w:w w:val="105"/>
        </w:rPr>
        <w:t> </w:t>
      </w:r>
      <w:r>
        <w:rPr>
          <w:color w:val="231F20"/>
          <w:w w:val="105"/>
        </w:rPr>
        <w:t>peores</w:t>
      </w:r>
      <w:r>
        <w:rPr>
          <w:color w:val="231F20"/>
          <w:spacing w:val="-7"/>
          <w:w w:val="105"/>
        </w:rPr>
        <w:t> </w:t>
      </w:r>
      <w:r>
        <w:rPr>
          <w:color w:val="231F20"/>
          <w:w w:val="105"/>
        </w:rPr>
        <w:t>condiciones.</w:t>
      </w:r>
      <w:r>
        <w:rPr>
          <w:color w:val="231F20"/>
          <w:spacing w:val="-15"/>
          <w:w w:val="105"/>
        </w:rPr>
        <w:t> </w:t>
      </w:r>
      <w:r>
        <w:rPr>
          <w:color w:val="231F20"/>
          <w:spacing w:val="-10"/>
          <w:w w:val="105"/>
        </w:rPr>
        <w:t>Ya</w:t>
      </w:r>
      <w:r>
        <w:rPr>
          <w:color w:val="231F20"/>
          <w:spacing w:val="-7"/>
          <w:w w:val="105"/>
        </w:rPr>
        <w:t> </w:t>
      </w:r>
      <w:r>
        <w:rPr>
          <w:color w:val="231F20"/>
          <w:w w:val="105"/>
        </w:rPr>
        <w:t>en</w:t>
      </w:r>
      <w:r>
        <w:rPr>
          <w:color w:val="231F20"/>
          <w:spacing w:val="-7"/>
          <w:w w:val="105"/>
        </w:rPr>
        <w:t> </w:t>
      </w:r>
      <w:r>
        <w:rPr>
          <w:color w:val="231F20"/>
          <w:w w:val="105"/>
        </w:rPr>
        <w:t>sus lugares</w:t>
      </w:r>
      <w:r>
        <w:rPr>
          <w:color w:val="231F20"/>
          <w:spacing w:val="-19"/>
          <w:w w:val="105"/>
        </w:rPr>
        <w:t> </w:t>
      </w:r>
      <w:r>
        <w:rPr>
          <w:color w:val="231F20"/>
          <w:w w:val="105"/>
        </w:rPr>
        <w:t>de</w:t>
      </w:r>
      <w:r>
        <w:rPr>
          <w:color w:val="231F20"/>
          <w:spacing w:val="-19"/>
          <w:w w:val="105"/>
        </w:rPr>
        <w:t> </w:t>
      </w:r>
      <w:r>
        <w:rPr>
          <w:color w:val="231F20"/>
          <w:w w:val="105"/>
        </w:rPr>
        <w:t>origen,</w:t>
      </w:r>
      <w:r>
        <w:rPr>
          <w:color w:val="231F20"/>
          <w:spacing w:val="-24"/>
          <w:w w:val="105"/>
        </w:rPr>
        <w:t> </w:t>
      </w:r>
      <w:r>
        <w:rPr>
          <w:color w:val="231F20"/>
          <w:w w:val="105"/>
        </w:rPr>
        <w:t>la</w:t>
      </w:r>
      <w:r>
        <w:rPr>
          <w:color w:val="231F20"/>
          <w:spacing w:val="-19"/>
          <w:w w:val="105"/>
        </w:rPr>
        <w:t> </w:t>
      </w:r>
      <w:r>
        <w:rPr>
          <w:color w:val="231F20"/>
          <w:w w:val="105"/>
        </w:rPr>
        <w:t>reinserción</w:t>
      </w:r>
      <w:r>
        <w:rPr>
          <w:color w:val="231F20"/>
          <w:spacing w:val="-19"/>
          <w:w w:val="105"/>
        </w:rPr>
        <w:t> </w:t>
      </w:r>
      <w:r>
        <w:rPr>
          <w:color w:val="231F20"/>
          <w:w w:val="105"/>
        </w:rPr>
        <w:t>es</w:t>
      </w:r>
      <w:r>
        <w:rPr>
          <w:color w:val="231F20"/>
          <w:spacing w:val="-19"/>
          <w:w w:val="105"/>
        </w:rPr>
        <w:t> </w:t>
      </w:r>
      <w:r>
        <w:rPr>
          <w:color w:val="231F20"/>
          <w:w w:val="105"/>
        </w:rPr>
        <w:t>distinta</w:t>
      </w:r>
      <w:r>
        <w:rPr>
          <w:color w:val="231F20"/>
          <w:spacing w:val="-19"/>
          <w:w w:val="105"/>
        </w:rPr>
        <w:t> </w:t>
      </w:r>
      <w:r>
        <w:rPr>
          <w:color w:val="231F20"/>
          <w:w w:val="105"/>
        </w:rPr>
        <w:t>para</w:t>
      </w:r>
      <w:r>
        <w:rPr>
          <w:color w:val="231F20"/>
          <w:spacing w:val="-19"/>
          <w:w w:val="105"/>
        </w:rPr>
        <w:t> </w:t>
      </w:r>
      <w:r>
        <w:rPr>
          <w:color w:val="231F20"/>
          <w:w w:val="105"/>
        </w:rPr>
        <w:t>cada</w:t>
      </w:r>
      <w:r>
        <w:rPr>
          <w:color w:val="231F20"/>
          <w:spacing w:val="-19"/>
          <w:w w:val="105"/>
        </w:rPr>
        <w:t> </w:t>
      </w:r>
      <w:r>
        <w:rPr>
          <w:color w:val="231F20"/>
          <w:w w:val="105"/>
        </w:rPr>
        <w:t>uno,</w:t>
      </w:r>
      <w:r>
        <w:rPr>
          <w:color w:val="231F20"/>
          <w:spacing w:val="-24"/>
          <w:w w:val="105"/>
        </w:rPr>
        <w:t> </w:t>
      </w:r>
      <w:r>
        <w:rPr>
          <w:color w:val="231F20"/>
          <w:w w:val="105"/>
        </w:rPr>
        <w:t>reticencias</w:t>
      </w:r>
      <w:r>
        <w:rPr>
          <w:color w:val="231F20"/>
          <w:spacing w:val="-19"/>
          <w:w w:val="105"/>
        </w:rPr>
        <w:t> </w:t>
      </w:r>
      <w:r>
        <w:rPr>
          <w:color w:val="231F20"/>
          <w:w w:val="105"/>
        </w:rPr>
        <w:t>en lo</w:t>
      </w:r>
      <w:r>
        <w:rPr>
          <w:color w:val="231F20"/>
          <w:spacing w:val="-14"/>
          <w:w w:val="105"/>
        </w:rPr>
        <w:t> </w:t>
      </w:r>
      <w:r>
        <w:rPr>
          <w:color w:val="231F20"/>
          <w:w w:val="105"/>
        </w:rPr>
        <w:t>familiar,</w:t>
      </w:r>
      <w:r>
        <w:rPr>
          <w:color w:val="231F20"/>
          <w:spacing w:val="-20"/>
          <w:w w:val="105"/>
        </w:rPr>
        <w:t> </w:t>
      </w:r>
      <w:r>
        <w:rPr>
          <w:color w:val="231F20"/>
          <w:w w:val="105"/>
        </w:rPr>
        <w:t>apoyos</w:t>
      </w:r>
      <w:r>
        <w:rPr>
          <w:color w:val="231F20"/>
          <w:spacing w:val="-14"/>
          <w:w w:val="105"/>
        </w:rPr>
        <w:t> </w:t>
      </w:r>
      <w:r>
        <w:rPr>
          <w:color w:val="231F20"/>
          <w:w w:val="105"/>
        </w:rPr>
        <w:t>para</w:t>
      </w:r>
      <w:r>
        <w:rPr>
          <w:color w:val="231F20"/>
          <w:spacing w:val="-14"/>
          <w:w w:val="105"/>
        </w:rPr>
        <w:t> </w:t>
      </w:r>
      <w:r>
        <w:rPr>
          <w:color w:val="231F20"/>
          <w:w w:val="105"/>
        </w:rPr>
        <w:t>emprender</w:t>
      </w:r>
      <w:r>
        <w:rPr>
          <w:color w:val="231F20"/>
          <w:spacing w:val="-14"/>
          <w:w w:val="105"/>
        </w:rPr>
        <w:t> </w:t>
      </w:r>
      <w:r>
        <w:rPr>
          <w:color w:val="231F20"/>
          <w:w w:val="105"/>
        </w:rPr>
        <w:t>un</w:t>
      </w:r>
      <w:r>
        <w:rPr>
          <w:color w:val="231F20"/>
          <w:spacing w:val="-14"/>
          <w:w w:val="105"/>
        </w:rPr>
        <w:t> </w:t>
      </w:r>
      <w:r>
        <w:rPr>
          <w:color w:val="231F20"/>
          <w:w w:val="105"/>
        </w:rPr>
        <w:t>negocio</w:t>
      </w:r>
      <w:r>
        <w:rPr>
          <w:color w:val="231F20"/>
          <w:spacing w:val="-14"/>
          <w:w w:val="105"/>
        </w:rPr>
        <w:t> </w:t>
      </w:r>
      <w:r>
        <w:rPr>
          <w:color w:val="231F20"/>
          <w:w w:val="105"/>
        </w:rPr>
        <w:t>o</w:t>
      </w:r>
      <w:r>
        <w:rPr>
          <w:color w:val="231F20"/>
          <w:spacing w:val="-14"/>
          <w:w w:val="105"/>
        </w:rPr>
        <w:t> </w:t>
      </w:r>
      <w:r>
        <w:rPr>
          <w:color w:val="231F20"/>
          <w:w w:val="105"/>
        </w:rPr>
        <w:t>encontrar</w:t>
      </w:r>
      <w:r>
        <w:rPr>
          <w:color w:val="231F20"/>
          <w:spacing w:val="-14"/>
          <w:w w:val="105"/>
        </w:rPr>
        <w:t> </w:t>
      </w:r>
      <w:r>
        <w:rPr>
          <w:color w:val="231F20"/>
          <w:w w:val="105"/>
        </w:rPr>
        <w:t>empleo,</w:t>
      </w:r>
      <w:r>
        <w:rPr>
          <w:color w:val="231F20"/>
          <w:spacing w:val="-20"/>
          <w:w w:val="105"/>
        </w:rPr>
        <w:t> </w:t>
      </w:r>
      <w:r>
        <w:rPr>
          <w:color w:val="231F20"/>
          <w:w w:val="105"/>
        </w:rPr>
        <w:t>pero incluso</w:t>
      </w:r>
      <w:r>
        <w:rPr>
          <w:color w:val="231F20"/>
          <w:spacing w:val="-11"/>
          <w:w w:val="105"/>
        </w:rPr>
        <w:t> </w:t>
      </w:r>
      <w:r>
        <w:rPr>
          <w:color w:val="231F20"/>
          <w:w w:val="105"/>
        </w:rPr>
        <w:t>recibiendo</w:t>
      </w:r>
      <w:r>
        <w:rPr>
          <w:color w:val="231F20"/>
          <w:spacing w:val="-11"/>
          <w:w w:val="105"/>
        </w:rPr>
        <w:t> </w:t>
      </w:r>
      <w:r>
        <w:rPr>
          <w:color w:val="231F20"/>
          <w:w w:val="105"/>
        </w:rPr>
        <w:t>apoyos,</w:t>
      </w:r>
      <w:r>
        <w:rPr>
          <w:color w:val="231F20"/>
          <w:spacing w:val="-16"/>
          <w:w w:val="105"/>
        </w:rPr>
        <w:t> </w:t>
      </w:r>
      <w:r>
        <w:rPr>
          <w:color w:val="231F20"/>
          <w:w w:val="105"/>
        </w:rPr>
        <w:t>algunos</w:t>
      </w:r>
      <w:r>
        <w:rPr>
          <w:color w:val="231F20"/>
          <w:spacing w:val="-11"/>
          <w:w w:val="105"/>
        </w:rPr>
        <w:t> </w:t>
      </w:r>
      <w:r>
        <w:rPr>
          <w:color w:val="231F20"/>
          <w:w w:val="105"/>
        </w:rPr>
        <w:t>retornados</w:t>
      </w:r>
      <w:r>
        <w:rPr>
          <w:color w:val="231F20"/>
          <w:spacing w:val="-11"/>
          <w:w w:val="105"/>
        </w:rPr>
        <w:t> </w:t>
      </w:r>
      <w:r>
        <w:rPr>
          <w:color w:val="231F20"/>
          <w:w w:val="105"/>
        </w:rPr>
        <w:t>no</w:t>
      </w:r>
      <w:r>
        <w:rPr>
          <w:color w:val="231F20"/>
          <w:spacing w:val="-11"/>
          <w:w w:val="105"/>
        </w:rPr>
        <w:t> </w:t>
      </w:r>
      <w:r>
        <w:rPr>
          <w:color w:val="231F20"/>
          <w:w w:val="105"/>
        </w:rPr>
        <w:t>logran</w:t>
      </w:r>
      <w:r>
        <w:rPr>
          <w:color w:val="231F20"/>
          <w:spacing w:val="-11"/>
          <w:w w:val="105"/>
        </w:rPr>
        <w:t> </w:t>
      </w:r>
      <w:r>
        <w:rPr>
          <w:color w:val="231F20"/>
          <w:w w:val="105"/>
        </w:rPr>
        <w:t>establecerse</w:t>
      </w:r>
      <w:r>
        <w:rPr>
          <w:color w:val="231F20"/>
          <w:spacing w:val="-11"/>
          <w:w w:val="105"/>
        </w:rPr>
        <w:t> </w:t>
      </w:r>
      <w:r>
        <w:rPr>
          <w:color w:val="231F20"/>
          <w:w w:val="105"/>
        </w:rPr>
        <w:t>y</w:t>
      </w:r>
    </w:p>
    <w:p>
      <w:pPr>
        <w:pStyle w:val="BodyText"/>
        <w:rPr>
          <w:sz w:val="20"/>
        </w:rPr>
      </w:pPr>
    </w:p>
    <w:p>
      <w:pPr>
        <w:pStyle w:val="BodyText"/>
        <w:rPr>
          <w:sz w:val="12"/>
        </w:rPr>
      </w:pPr>
      <w:r>
        <w:rPr/>
        <w:pict>
          <v:line style="position:absolute;mso-position-horizontal-relative:page;mso-position-vertical-relative:paragraph;z-index:28312;mso-wrap-distance-left:0;mso-wrap-distance-right:0" from="86.1968pt,8.889368pt" to="199.5828pt,8.889368pt" stroked="true" strokeweight=".25pt" strokecolor="#231f20">
            <w10:wrap type="topAndBottom"/>
          </v:line>
        </w:pict>
      </w:r>
    </w:p>
    <w:p>
      <w:pPr>
        <w:spacing w:line="192" w:lineRule="exact" w:before="7"/>
        <w:ind w:left="1723" w:right="1835" w:hanging="1"/>
        <w:jc w:val="both"/>
        <w:rPr>
          <w:rFonts w:ascii="Calibri" w:hAnsi="Calibri"/>
          <w:sz w:val="16"/>
        </w:rPr>
      </w:pPr>
      <w:r>
        <w:rPr>
          <w:rFonts w:ascii="Calibri" w:hAnsi="Calibri"/>
          <w:color w:val="414042"/>
          <w:position w:val="5"/>
          <w:sz w:val="9"/>
        </w:rPr>
        <w:t>1 </w:t>
      </w:r>
      <w:r>
        <w:rPr>
          <w:rFonts w:ascii="Calibri" w:hAnsi="Calibri"/>
          <w:color w:val="414042"/>
          <w:sz w:val="16"/>
        </w:rPr>
        <w:t>Encuesta levantada a finales de 2008, con una muestra probabilística de 2,090 hogares de 69 municipios (70% urbanos y 30% rurales), incluyó una población muestral de 9,484 sujetos, una selección de vivien- das bajo el procedimiento polietápico: nivel estatal, municipal, localidad, ageb, colonia y vivienda, en  cada vivienda se recogió la información correspondiente a cada individuo que integraba el  </w:t>
      </w:r>
      <w:r>
        <w:rPr>
          <w:rFonts w:ascii="Calibri" w:hAnsi="Calibri"/>
          <w:color w:val="414042"/>
          <w:spacing w:val="7"/>
          <w:sz w:val="16"/>
        </w:rPr>
        <w:t> </w:t>
      </w:r>
      <w:r>
        <w:rPr>
          <w:rFonts w:ascii="Calibri" w:hAnsi="Calibri"/>
          <w:color w:val="414042"/>
          <w:sz w:val="16"/>
        </w:rPr>
        <w:t>hogar.</w:t>
      </w:r>
    </w:p>
    <w:p>
      <w:pPr>
        <w:spacing w:line="192" w:lineRule="exact" w:before="0"/>
        <w:ind w:left="1723" w:right="1835" w:firstLine="0"/>
        <w:jc w:val="both"/>
        <w:rPr>
          <w:rFonts w:ascii="Calibri" w:hAnsi="Calibri"/>
          <w:sz w:val="16"/>
        </w:rPr>
      </w:pPr>
      <w:r>
        <w:rPr>
          <w:rFonts w:ascii="Calibri" w:hAnsi="Calibri"/>
          <w:color w:val="414042"/>
          <w:w w:val="105"/>
          <w:position w:val="5"/>
          <w:sz w:val="9"/>
        </w:rPr>
        <w:t>2 </w:t>
      </w:r>
      <w:r>
        <w:rPr>
          <w:rFonts w:ascii="Calibri" w:hAnsi="Calibri"/>
          <w:color w:val="414042"/>
          <w:w w:val="105"/>
          <w:sz w:val="16"/>
        </w:rPr>
        <w:t>Los microdatos del censo de población de 2010 derivan de la muestra censal nacional que diseñó un cuestionario</w:t>
      </w:r>
      <w:r>
        <w:rPr>
          <w:rFonts w:ascii="Calibri" w:hAnsi="Calibri"/>
          <w:color w:val="414042"/>
          <w:spacing w:val="-22"/>
          <w:w w:val="105"/>
          <w:sz w:val="16"/>
        </w:rPr>
        <w:t> </w:t>
      </w:r>
      <w:r>
        <w:rPr>
          <w:rFonts w:ascii="Calibri" w:hAnsi="Calibri"/>
          <w:color w:val="414042"/>
          <w:w w:val="105"/>
          <w:sz w:val="16"/>
        </w:rPr>
        <w:t>ampliado</w:t>
      </w:r>
      <w:r>
        <w:rPr>
          <w:rFonts w:ascii="Calibri" w:hAnsi="Calibri"/>
          <w:color w:val="414042"/>
          <w:spacing w:val="-22"/>
          <w:w w:val="105"/>
          <w:sz w:val="16"/>
        </w:rPr>
        <w:t> </w:t>
      </w:r>
      <w:r>
        <w:rPr>
          <w:rFonts w:ascii="Calibri" w:hAnsi="Calibri"/>
          <w:color w:val="414042"/>
          <w:w w:val="105"/>
          <w:sz w:val="16"/>
        </w:rPr>
        <w:t>para</w:t>
      </w:r>
      <w:r>
        <w:rPr>
          <w:rFonts w:ascii="Calibri" w:hAnsi="Calibri"/>
          <w:color w:val="414042"/>
          <w:spacing w:val="-22"/>
          <w:w w:val="105"/>
          <w:sz w:val="16"/>
        </w:rPr>
        <w:t> </w:t>
      </w:r>
      <w:r>
        <w:rPr>
          <w:rFonts w:ascii="Calibri" w:hAnsi="Calibri"/>
          <w:color w:val="414042"/>
          <w:w w:val="105"/>
          <w:sz w:val="16"/>
        </w:rPr>
        <w:t>censar,</w:t>
      </w:r>
      <w:r>
        <w:rPr>
          <w:rFonts w:ascii="Calibri" w:hAnsi="Calibri"/>
          <w:color w:val="414042"/>
          <w:spacing w:val="-22"/>
          <w:w w:val="105"/>
          <w:sz w:val="16"/>
        </w:rPr>
        <w:t> </w:t>
      </w:r>
      <w:r>
        <w:rPr>
          <w:rFonts w:ascii="Calibri" w:hAnsi="Calibri"/>
          <w:color w:val="414042"/>
          <w:w w:val="105"/>
          <w:sz w:val="16"/>
        </w:rPr>
        <w:t>de</w:t>
      </w:r>
      <w:r>
        <w:rPr>
          <w:rFonts w:ascii="Calibri" w:hAnsi="Calibri"/>
          <w:color w:val="414042"/>
          <w:spacing w:val="-22"/>
          <w:w w:val="105"/>
          <w:sz w:val="16"/>
        </w:rPr>
        <w:t> </w:t>
      </w:r>
      <w:r>
        <w:rPr>
          <w:rFonts w:ascii="Calibri" w:hAnsi="Calibri"/>
          <w:color w:val="414042"/>
          <w:w w:val="105"/>
          <w:sz w:val="16"/>
        </w:rPr>
        <w:t>forma</w:t>
      </w:r>
      <w:r>
        <w:rPr>
          <w:rFonts w:ascii="Calibri" w:hAnsi="Calibri"/>
          <w:color w:val="414042"/>
          <w:spacing w:val="-22"/>
          <w:w w:val="105"/>
          <w:sz w:val="16"/>
        </w:rPr>
        <w:t> </w:t>
      </w:r>
      <w:r>
        <w:rPr>
          <w:rFonts w:ascii="Calibri" w:hAnsi="Calibri"/>
          <w:color w:val="414042"/>
          <w:w w:val="105"/>
          <w:sz w:val="16"/>
        </w:rPr>
        <w:t>probabilística,</w:t>
      </w:r>
      <w:r>
        <w:rPr>
          <w:rFonts w:ascii="Calibri" w:hAnsi="Calibri"/>
          <w:color w:val="414042"/>
          <w:spacing w:val="-22"/>
          <w:w w:val="105"/>
          <w:sz w:val="16"/>
        </w:rPr>
        <w:t> </w:t>
      </w:r>
      <w:r>
        <w:rPr>
          <w:rFonts w:ascii="Calibri" w:hAnsi="Calibri"/>
          <w:color w:val="414042"/>
          <w:w w:val="105"/>
          <w:sz w:val="16"/>
        </w:rPr>
        <w:t>alrededor</w:t>
      </w:r>
      <w:r>
        <w:rPr>
          <w:rFonts w:ascii="Calibri" w:hAnsi="Calibri"/>
          <w:color w:val="414042"/>
          <w:spacing w:val="-22"/>
          <w:w w:val="105"/>
          <w:sz w:val="16"/>
        </w:rPr>
        <w:t> </w:t>
      </w:r>
      <w:r>
        <w:rPr>
          <w:rFonts w:ascii="Calibri" w:hAnsi="Calibri"/>
          <w:color w:val="414042"/>
          <w:w w:val="105"/>
          <w:sz w:val="16"/>
        </w:rPr>
        <w:t>de</w:t>
      </w:r>
      <w:r>
        <w:rPr>
          <w:rFonts w:ascii="Calibri" w:hAnsi="Calibri"/>
          <w:color w:val="414042"/>
          <w:spacing w:val="-22"/>
          <w:w w:val="105"/>
          <w:sz w:val="16"/>
        </w:rPr>
        <w:t> </w:t>
      </w:r>
      <w:r>
        <w:rPr>
          <w:rFonts w:ascii="Calibri" w:hAnsi="Calibri"/>
          <w:color w:val="414042"/>
          <w:w w:val="105"/>
          <w:sz w:val="16"/>
        </w:rPr>
        <w:t>2.9</w:t>
      </w:r>
      <w:r>
        <w:rPr>
          <w:rFonts w:ascii="Calibri" w:hAnsi="Calibri"/>
          <w:color w:val="414042"/>
          <w:spacing w:val="-22"/>
          <w:w w:val="105"/>
          <w:sz w:val="16"/>
        </w:rPr>
        <w:t> </w:t>
      </w:r>
      <w:r>
        <w:rPr>
          <w:rFonts w:ascii="Calibri" w:hAnsi="Calibri"/>
          <w:color w:val="414042"/>
          <w:w w:val="105"/>
          <w:sz w:val="16"/>
        </w:rPr>
        <w:t>millones</w:t>
      </w:r>
      <w:r>
        <w:rPr>
          <w:rFonts w:ascii="Calibri" w:hAnsi="Calibri"/>
          <w:color w:val="414042"/>
          <w:spacing w:val="-22"/>
          <w:w w:val="105"/>
          <w:sz w:val="16"/>
        </w:rPr>
        <w:t> </w:t>
      </w:r>
      <w:r>
        <w:rPr>
          <w:rFonts w:ascii="Calibri" w:hAnsi="Calibri"/>
          <w:color w:val="414042"/>
          <w:w w:val="105"/>
          <w:sz w:val="16"/>
        </w:rPr>
        <w:t>de</w:t>
      </w:r>
      <w:r>
        <w:rPr>
          <w:rFonts w:ascii="Calibri" w:hAnsi="Calibri"/>
          <w:color w:val="414042"/>
          <w:spacing w:val="-24"/>
          <w:w w:val="105"/>
          <w:sz w:val="16"/>
        </w:rPr>
        <w:t> </w:t>
      </w:r>
      <w:r>
        <w:rPr>
          <w:rFonts w:ascii="Calibri" w:hAnsi="Calibri"/>
          <w:color w:val="414042"/>
          <w:w w:val="105"/>
          <w:sz w:val="16"/>
        </w:rPr>
        <w:t>viviendas.</w:t>
      </w:r>
      <w:r>
        <w:rPr>
          <w:rFonts w:ascii="Calibri" w:hAnsi="Calibri"/>
          <w:color w:val="414042"/>
          <w:spacing w:val="-22"/>
          <w:w w:val="105"/>
          <w:sz w:val="16"/>
        </w:rPr>
        <w:t> </w:t>
      </w:r>
      <w:r>
        <w:rPr>
          <w:rFonts w:ascii="Calibri" w:hAnsi="Calibri"/>
          <w:color w:val="414042"/>
          <w:w w:val="105"/>
          <w:sz w:val="16"/>
        </w:rPr>
        <w:t>De</w:t>
      </w:r>
      <w:r>
        <w:rPr>
          <w:rFonts w:ascii="Calibri" w:hAnsi="Calibri"/>
          <w:color w:val="414042"/>
          <w:spacing w:val="-22"/>
          <w:w w:val="105"/>
          <w:sz w:val="16"/>
        </w:rPr>
        <w:t> </w:t>
      </w:r>
      <w:r>
        <w:rPr>
          <w:rFonts w:ascii="Calibri" w:hAnsi="Calibri"/>
          <w:color w:val="414042"/>
          <w:w w:val="105"/>
          <w:sz w:val="16"/>
        </w:rPr>
        <w:t>allí se</w:t>
      </w:r>
      <w:r>
        <w:rPr>
          <w:rFonts w:ascii="Calibri" w:hAnsi="Calibri"/>
          <w:color w:val="414042"/>
          <w:spacing w:val="-16"/>
          <w:w w:val="105"/>
          <w:sz w:val="16"/>
        </w:rPr>
        <w:t> </w:t>
      </w:r>
      <w:r>
        <w:rPr>
          <w:rFonts w:ascii="Calibri" w:hAnsi="Calibri"/>
          <w:color w:val="414042"/>
          <w:w w:val="105"/>
          <w:sz w:val="16"/>
        </w:rPr>
        <w:t>obtienen</w:t>
      </w:r>
      <w:r>
        <w:rPr>
          <w:rFonts w:ascii="Calibri" w:hAnsi="Calibri"/>
          <w:color w:val="414042"/>
          <w:spacing w:val="-16"/>
          <w:w w:val="105"/>
          <w:sz w:val="16"/>
        </w:rPr>
        <w:t> </w:t>
      </w:r>
      <w:r>
        <w:rPr>
          <w:rFonts w:ascii="Calibri" w:hAnsi="Calibri"/>
          <w:color w:val="414042"/>
          <w:w w:val="105"/>
          <w:sz w:val="16"/>
        </w:rPr>
        <w:t>las</w:t>
      </w:r>
      <w:r>
        <w:rPr>
          <w:rFonts w:ascii="Calibri" w:hAnsi="Calibri"/>
          <w:color w:val="414042"/>
          <w:spacing w:val="-18"/>
          <w:w w:val="105"/>
          <w:sz w:val="16"/>
        </w:rPr>
        <w:t> </w:t>
      </w:r>
      <w:r>
        <w:rPr>
          <w:rFonts w:ascii="Calibri" w:hAnsi="Calibri"/>
          <w:color w:val="414042"/>
          <w:w w:val="105"/>
          <w:sz w:val="16"/>
        </w:rPr>
        <w:t>variables</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migración,</w:t>
      </w:r>
      <w:r>
        <w:rPr>
          <w:rFonts w:ascii="Calibri" w:hAnsi="Calibri"/>
          <w:color w:val="414042"/>
          <w:spacing w:val="-16"/>
          <w:w w:val="105"/>
          <w:sz w:val="16"/>
        </w:rPr>
        <w:t> </w:t>
      </w:r>
      <w:r>
        <w:rPr>
          <w:rFonts w:ascii="Calibri" w:hAnsi="Calibri"/>
          <w:color w:val="414042"/>
          <w:w w:val="105"/>
          <w:sz w:val="16"/>
        </w:rPr>
        <w:t>hogares</w:t>
      </w:r>
      <w:r>
        <w:rPr>
          <w:rFonts w:ascii="Calibri" w:hAnsi="Calibri"/>
          <w:color w:val="414042"/>
          <w:spacing w:val="-17"/>
          <w:w w:val="105"/>
          <w:sz w:val="16"/>
        </w:rPr>
        <w:t> </w:t>
      </w:r>
      <w:r>
        <w:rPr>
          <w:rFonts w:ascii="Calibri" w:hAnsi="Calibri"/>
          <w:color w:val="414042"/>
          <w:w w:val="105"/>
          <w:sz w:val="16"/>
        </w:rPr>
        <w:t>y</w:t>
      </w:r>
      <w:r>
        <w:rPr>
          <w:rFonts w:ascii="Calibri" w:hAnsi="Calibri"/>
          <w:color w:val="414042"/>
          <w:spacing w:val="-16"/>
          <w:w w:val="105"/>
          <w:sz w:val="16"/>
        </w:rPr>
        <w:t> </w:t>
      </w:r>
      <w:r>
        <w:rPr>
          <w:rFonts w:ascii="Calibri" w:hAnsi="Calibri"/>
          <w:color w:val="414042"/>
          <w:w w:val="105"/>
          <w:sz w:val="16"/>
        </w:rPr>
        <w:t>personas,</w:t>
      </w:r>
      <w:r>
        <w:rPr>
          <w:rFonts w:ascii="Calibri" w:hAnsi="Calibri"/>
          <w:color w:val="414042"/>
          <w:spacing w:val="-16"/>
          <w:w w:val="105"/>
          <w:sz w:val="16"/>
        </w:rPr>
        <w:t> </w:t>
      </w:r>
      <w:r>
        <w:rPr>
          <w:rFonts w:ascii="Calibri" w:hAnsi="Calibri"/>
          <w:color w:val="414042"/>
          <w:w w:val="105"/>
          <w:sz w:val="16"/>
        </w:rPr>
        <w:t>que</w:t>
      </w:r>
      <w:r>
        <w:rPr>
          <w:rFonts w:ascii="Calibri" w:hAnsi="Calibri"/>
          <w:color w:val="414042"/>
          <w:spacing w:val="-16"/>
          <w:w w:val="105"/>
          <w:sz w:val="16"/>
        </w:rPr>
        <w:t> </w:t>
      </w:r>
      <w:r>
        <w:rPr>
          <w:rFonts w:ascii="Calibri" w:hAnsi="Calibri"/>
          <w:color w:val="414042"/>
          <w:w w:val="105"/>
          <w:sz w:val="16"/>
        </w:rPr>
        <w:t>para</w:t>
      </w:r>
      <w:r>
        <w:rPr>
          <w:rFonts w:ascii="Calibri" w:hAnsi="Calibri"/>
          <w:color w:val="414042"/>
          <w:spacing w:val="-16"/>
          <w:w w:val="105"/>
          <w:sz w:val="16"/>
        </w:rPr>
        <w:t> </w:t>
      </w:r>
      <w:r>
        <w:rPr>
          <w:rFonts w:ascii="Calibri" w:hAnsi="Calibri"/>
          <w:color w:val="414042"/>
          <w:w w:val="105"/>
          <w:sz w:val="16"/>
        </w:rPr>
        <w:t>la</w:t>
      </w:r>
      <w:r>
        <w:rPr>
          <w:rFonts w:ascii="Calibri" w:hAnsi="Calibri"/>
          <w:color w:val="414042"/>
          <w:spacing w:val="-16"/>
          <w:w w:val="105"/>
          <w:sz w:val="16"/>
        </w:rPr>
        <w:t> </w:t>
      </w:r>
      <w:r>
        <w:rPr>
          <w:rFonts w:ascii="Calibri" w:hAnsi="Calibri"/>
          <w:color w:val="414042"/>
          <w:w w:val="105"/>
          <w:sz w:val="16"/>
        </w:rPr>
        <w:t>entidad</w:t>
      </w:r>
      <w:r>
        <w:rPr>
          <w:rFonts w:ascii="Calibri" w:hAnsi="Calibri"/>
          <w:color w:val="414042"/>
          <w:spacing w:val="-16"/>
          <w:w w:val="105"/>
          <w:sz w:val="16"/>
        </w:rPr>
        <w:t> </w:t>
      </w:r>
      <w:r>
        <w:rPr>
          <w:rFonts w:ascii="Calibri" w:hAnsi="Calibri"/>
          <w:color w:val="414042"/>
          <w:w w:val="105"/>
          <w:sz w:val="16"/>
        </w:rPr>
        <w:t>mexiquense</w:t>
      </w:r>
      <w:r>
        <w:rPr>
          <w:rFonts w:ascii="Calibri" w:hAnsi="Calibri"/>
          <w:color w:val="414042"/>
          <w:spacing w:val="-16"/>
          <w:w w:val="105"/>
          <w:sz w:val="16"/>
        </w:rPr>
        <w:t> </w:t>
      </w:r>
      <w:r>
        <w:rPr>
          <w:rFonts w:ascii="Calibri" w:hAnsi="Calibri"/>
          <w:color w:val="414042"/>
          <w:w w:val="105"/>
          <w:sz w:val="16"/>
        </w:rPr>
        <w:t>representan alrededor</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un</w:t>
      </w:r>
      <w:r>
        <w:rPr>
          <w:rFonts w:ascii="Calibri" w:hAnsi="Calibri"/>
          <w:color w:val="414042"/>
          <w:spacing w:val="-13"/>
          <w:w w:val="105"/>
          <w:sz w:val="16"/>
        </w:rPr>
        <w:t> </w:t>
      </w:r>
      <w:r>
        <w:rPr>
          <w:rFonts w:ascii="Calibri" w:hAnsi="Calibri"/>
          <w:color w:val="414042"/>
          <w:w w:val="105"/>
          <w:sz w:val="16"/>
        </w:rPr>
        <w:t>millón</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casos.</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sz w:val="15"/>
        </w:rPr>
      </w:pPr>
      <w:r>
        <w:rPr/>
        <w:pict>
          <v:line style="position:absolute;mso-position-horizontal-relative:page;mso-position-vertical-relative:paragraph;z-index:-461848" from="131.551193pt,3.753715pt" to="131.551193pt,39.556114pt" stroked="true" strokeweight=".35pt" strokecolor="#231f20">
            <w10:wrap type="none"/>
          </v:line>
        </w:pict>
      </w:r>
      <w:r>
        <w:rPr/>
        <w:pict>
          <v:line style="position:absolute;mso-position-horizontal-relative:page;mso-position-vertical-relative:paragraph;z-index:-461824" from="15pt,39.555916pt" to="0pt,39.555916pt" stroked="true" strokeweight=".25pt" strokecolor="#000000">
            <w10:wrap type="none"/>
          </v:line>
        </w:pict>
      </w:r>
      <w:r>
        <w:rPr/>
        <w:pict>
          <v:line style="position:absolute;mso-position-horizontal-relative:page;mso-position-vertical-relative:paragraph;z-index:28384" from="508.890015pt,39.555916pt" to="523.890015pt,39.555916pt" stroked="true" strokeweight=".25pt" strokecolor="#000000">
            <w10:wrap type="none"/>
          </v:line>
        </w:pict>
      </w:r>
      <w:r>
        <w:rPr>
          <w:rFonts w:ascii="Arial"/>
          <w:color w:val="414042"/>
          <w:w w:val="105"/>
          <w:position w:val="-5"/>
          <w:sz w:val="20"/>
        </w:rPr>
        <w:t>232</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footerReference w:type="default" r:id="rId303"/>
          <w:pgSz w:w="10480" w:h="14730"/>
          <w:pgMar w:footer="103" w:header="0" w:top="42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61776" from="405.061005pt,-18.554295pt" to="405.061005pt,16.311579pt" stroked="true" strokeweight=".35pt" strokecolor="#231f20">
            <w10:wrap type="none"/>
          </v:line>
        </w:pict>
      </w:r>
      <w:r>
        <w:rPr/>
        <w:pict>
          <v:line style="position:absolute;mso-position-horizontal-relative:page;mso-position-vertical-relative:paragraph;z-index:28432" from="15pt,-18.554522pt" to="0pt,-18.554522pt" stroked="true" strokeweight=".25pt" strokecolor="#000000">
            <w10:wrap type="none"/>
          </v:line>
        </w:pict>
      </w:r>
      <w:r>
        <w:rPr/>
        <w:pict>
          <v:line style="position:absolute;mso-position-horizontal-relative:page;mso-position-vertical-relative:paragraph;z-index:28456"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233</w:t>
      </w:r>
    </w:p>
    <w:p>
      <w:pPr>
        <w:pStyle w:val="BodyText"/>
        <w:spacing w:line="261" w:lineRule="auto" w:before="639"/>
        <w:ind w:left="1837" w:right="1721"/>
        <w:jc w:val="both"/>
      </w:pPr>
      <w:r>
        <w:rPr>
          <w:color w:val="231F20"/>
          <w:w w:val="105"/>
        </w:rPr>
        <w:t>vuelven</w:t>
      </w:r>
      <w:r>
        <w:rPr>
          <w:color w:val="231F20"/>
          <w:spacing w:val="-33"/>
          <w:w w:val="105"/>
        </w:rPr>
        <w:t> </w:t>
      </w:r>
      <w:r>
        <w:rPr>
          <w:color w:val="231F20"/>
          <w:w w:val="105"/>
        </w:rPr>
        <w:t>al</w:t>
      </w:r>
      <w:r>
        <w:rPr>
          <w:color w:val="231F20"/>
          <w:spacing w:val="-33"/>
          <w:w w:val="105"/>
        </w:rPr>
        <w:t> </w:t>
      </w:r>
      <w:r>
        <w:rPr>
          <w:color w:val="231F20"/>
          <w:w w:val="105"/>
        </w:rPr>
        <w:t>extranjero</w:t>
      </w:r>
      <w:r>
        <w:rPr>
          <w:color w:val="231F20"/>
          <w:spacing w:val="-33"/>
          <w:w w:val="105"/>
        </w:rPr>
        <w:t> </w:t>
      </w:r>
      <w:r>
        <w:rPr>
          <w:color w:val="231F20"/>
          <w:w w:val="105"/>
        </w:rPr>
        <w:t>(Espinosa,</w:t>
      </w:r>
      <w:r>
        <w:rPr>
          <w:color w:val="231F20"/>
          <w:spacing w:val="-37"/>
          <w:w w:val="105"/>
        </w:rPr>
        <w:t> </w:t>
      </w:r>
      <w:r>
        <w:rPr>
          <w:color w:val="231F20"/>
          <w:w w:val="105"/>
        </w:rPr>
        <w:t>1998:</w:t>
      </w:r>
      <w:r>
        <w:rPr>
          <w:color w:val="231F20"/>
          <w:spacing w:val="-33"/>
          <w:w w:val="105"/>
        </w:rPr>
        <w:t> </w:t>
      </w:r>
      <w:r>
        <w:rPr>
          <w:color w:val="231F20"/>
          <w:w w:val="105"/>
        </w:rPr>
        <w:t>28).</w:t>
      </w:r>
      <w:r>
        <w:rPr>
          <w:color w:val="231F20"/>
          <w:spacing w:val="-37"/>
          <w:w w:val="105"/>
        </w:rPr>
        <w:t> </w:t>
      </w:r>
      <w:r>
        <w:rPr>
          <w:color w:val="231F20"/>
          <w:w w:val="105"/>
        </w:rPr>
        <w:t>En</w:t>
      </w:r>
      <w:r>
        <w:rPr>
          <w:color w:val="231F20"/>
          <w:spacing w:val="-33"/>
          <w:w w:val="105"/>
        </w:rPr>
        <w:t> </w:t>
      </w:r>
      <w:r>
        <w:rPr>
          <w:color w:val="231F20"/>
          <w:w w:val="105"/>
        </w:rPr>
        <w:t>algunos</w:t>
      </w:r>
      <w:r>
        <w:rPr>
          <w:color w:val="231F20"/>
          <w:spacing w:val="-33"/>
          <w:w w:val="105"/>
        </w:rPr>
        <w:t> </w:t>
      </w:r>
      <w:r>
        <w:rPr>
          <w:color w:val="231F20"/>
          <w:w w:val="105"/>
        </w:rPr>
        <w:t>hogares</w:t>
      </w:r>
      <w:r>
        <w:rPr>
          <w:color w:val="231F20"/>
          <w:spacing w:val="-33"/>
          <w:w w:val="105"/>
        </w:rPr>
        <w:t> </w:t>
      </w:r>
      <w:r>
        <w:rPr>
          <w:color w:val="231F20"/>
          <w:w w:val="105"/>
        </w:rPr>
        <w:t>puede</w:t>
      </w:r>
      <w:r>
        <w:rPr>
          <w:color w:val="231F20"/>
          <w:spacing w:val="-33"/>
          <w:w w:val="105"/>
        </w:rPr>
        <w:t> </w:t>
      </w:r>
      <w:r>
        <w:rPr>
          <w:color w:val="231F20"/>
          <w:w w:val="105"/>
        </w:rPr>
        <w:t>ha- ber</w:t>
      </w:r>
      <w:r>
        <w:rPr>
          <w:color w:val="231F20"/>
          <w:spacing w:val="-25"/>
          <w:w w:val="105"/>
        </w:rPr>
        <w:t> </w:t>
      </w:r>
      <w:r>
        <w:rPr>
          <w:color w:val="231F20"/>
          <w:w w:val="105"/>
        </w:rPr>
        <w:t>alegría</w:t>
      </w:r>
      <w:r>
        <w:rPr>
          <w:color w:val="231F20"/>
          <w:spacing w:val="-25"/>
          <w:w w:val="105"/>
        </w:rPr>
        <w:t> </w:t>
      </w:r>
      <w:r>
        <w:rPr>
          <w:color w:val="231F20"/>
          <w:w w:val="105"/>
        </w:rPr>
        <w:t>con</w:t>
      </w:r>
      <w:r>
        <w:rPr>
          <w:color w:val="231F20"/>
          <w:spacing w:val="-25"/>
          <w:w w:val="105"/>
        </w:rPr>
        <w:t> </w:t>
      </w:r>
      <w:r>
        <w:rPr>
          <w:color w:val="231F20"/>
          <w:w w:val="105"/>
        </w:rPr>
        <w:t>el</w:t>
      </w:r>
      <w:r>
        <w:rPr>
          <w:color w:val="231F20"/>
          <w:spacing w:val="-25"/>
          <w:w w:val="105"/>
        </w:rPr>
        <w:t> </w:t>
      </w:r>
      <w:r>
        <w:rPr>
          <w:color w:val="231F20"/>
          <w:w w:val="105"/>
        </w:rPr>
        <w:t>retorno,</w:t>
      </w:r>
      <w:r>
        <w:rPr>
          <w:color w:val="231F20"/>
          <w:spacing w:val="-30"/>
          <w:w w:val="105"/>
        </w:rPr>
        <w:t> </w:t>
      </w:r>
      <w:r>
        <w:rPr>
          <w:color w:val="231F20"/>
          <w:w w:val="105"/>
        </w:rPr>
        <w:t>las</w:t>
      </w:r>
      <w:r>
        <w:rPr>
          <w:color w:val="231F20"/>
          <w:spacing w:val="-25"/>
          <w:w w:val="105"/>
        </w:rPr>
        <w:t> </w:t>
      </w:r>
      <w:r>
        <w:rPr>
          <w:color w:val="231F20"/>
          <w:w w:val="105"/>
        </w:rPr>
        <w:t>madres</w:t>
      </w:r>
      <w:r>
        <w:rPr>
          <w:color w:val="231F20"/>
          <w:spacing w:val="-25"/>
          <w:w w:val="105"/>
        </w:rPr>
        <w:t> </w:t>
      </w:r>
      <w:r>
        <w:rPr>
          <w:color w:val="231F20"/>
          <w:w w:val="105"/>
        </w:rPr>
        <w:t>se</w:t>
      </w:r>
      <w:r>
        <w:rPr>
          <w:color w:val="231F20"/>
          <w:spacing w:val="-25"/>
          <w:w w:val="105"/>
        </w:rPr>
        <w:t> </w:t>
      </w:r>
      <w:r>
        <w:rPr>
          <w:color w:val="231F20"/>
          <w:w w:val="105"/>
        </w:rPr>
        <w:t>liberan</w:t>
      </w:r>
      <w:r>
        <w:rPr>
          <w:color w:val="231F20"/>
          <w:spacing w:val="-25"/>
          <w:w w:val="105"/>
        </w:rPr>
        <w:t> </w:t>
      </w:r>
      <w:r>
        <w:rPr>
          <w:color w:val="231F20"/>
          <w:w w:val="105"/>
        </w:rPr>
        <w:t>de</w:t>
      </w:r>
      <w:r>
        <w:rPr>
          <w:color w:val="231F20"/>
          <w:spacing w:val="-25"/>
          <w:w w:val="105"/>
        </w:rPr>
        <w:t> </w:t>
      </w:r>
      <w:r>
        <w:rPr>
          <w:color w:val="231F20"/>
          <w:w w:val="105"/>
        </w:rPr>
        <w:t>sus</w:t>
      </w:r>
      <w:r>
        <w:rPr>
          <w:color w:val="231F20"/>
          <w:spacing w:val="-25"/>
          <w:w w:val="105"/>
        </w:rPr>
        <w:t> </w:t>
      </w:r>
      <w:r>
        <w:rPr>
          <w:color w:val="231F20"/>
          <w:w w:val="105"/>
        </w:rPr>
        <w:t>angustias,</w:t>
      </w:r>
      <w:r>
        <w:rPr>
          <w:color w:val="231F20"/>
          <w:spacing w:val="-30"/>
          <w:w w:val="105"/>
        </w:rPr>
        <w:t> </w:t>
      </w:r>
      <w:r>
        <w:rPr>
          <w:color w:val="231F20"/>
          <w:w w:val="105"/>
        </w:rPr>
        <w:t>pueden descansar</w:t>
      </w:r>
      <w:r>
        <w:rPr>
          <w:color w:val="231F20"/>
          <w:spacing w:val="-8"/>
          <w:w w:val="105"/>
        </w:rPr>
        <w:t> </w:t>
      </w:r>
      <w:r>
        <w:rPr>
          <w:color w:val="231F20"/>
          <w:w w:val="105"/>
        </w:rPr>
        <w:t>de</w:t>
      </w:r>
      <w:r>
        <w:rPr>
          <w:color w:val="231F20"/>
          <w:spacing w:val="-8"/>
          <w:w w:val="105"/>
        </w:rPr>
        <w:t> </w:t>
      </w:r>
      <w:r>
        <w:rPr>
          <w:color w:val="231F20"/>
          <w:w w:val="105"/>
        </w:rPr>
        <w:t>realizar</w:t>
      </w:r>
      <w:r>
        <w:rPr>
          <w:color w:val="231F20"/>
          <w:spacing w:val="-8"/>
          <w:w w:val="105"/>
        </w:rPr>
        <w:t> </w:t>
      </w:r>
      <w:r>
        <w:rPr>
          <w:color w:val="231F20"/>
          <w:w w:val="105"/>
        </w:rPr>
        <w:t>las</w:t>
      </w:r>
      <w:r>
        <w:rPr>
          <w:color w:val="231F20"/>
          <w:spacing w:val="-8"/>
          <w:w w:val="105"/>
        </w:rPr>
        <w:t> </w:t>
      </w:r>
      <w:r>
        <w:rPr>
          <w:color w:val="231F20"/>
          <w:w w:val="105"/>
        </w:rPr>
        <w:t>tareas</w:t>
      </w:r>
      <w:r>
        <w:rPr>
          <w:color w:val="231F20"/>
          <w:spacing w:val="-8"/>
          <w:w w:val="105"/>
        </w:rPr>
        <w:t> </w:t>
      </w:r>
      <w:r>
        <w:rPr>
          <w:color w:val="231F20"/>
          <w:spacing w:val="-3"/>
          <w:w w:val="105"/>
        </w:rPr>
        <w:t>“de</w:t>
      </w:r>
      <w:r>
        <w:rPr>
          <w:color w:val="231F20"/>
          <w:spacing w:val="-8"/>
          <w:w w:val="105"/>
        </w:rPr>
        <w:t> </w:t>
      </w:r>
      <w:r>
        <w:rPr>
          <w:color w:val="231F20"/>
          <w:w w:val="105"/>
        </w:rPr>
        <w:t>los</w:t>
      </w:r>
      <w:r>
        <w:rPr>
          <w:color w:val="231F20"/>
          <w:spacing w:val="-8"/>
          <w:w w:val="105"/>
        </w:rPr>
        <w:t> </w:t>
      </w:r>
      <w:r>
        <w:rPr>
          <w:color w:val="231F20"/>
          <w:spacing w:val="-4"/>
          <w:w w:val="105"/>
        </w:rPr>
        <w:t>hombres”,</w:t>
      </w:r>
      <w:r>
        <w:rPr>
          <w:color w:val="231F20"/>
          <w:spacing w:val="-12"/>
          <w:w w:val="105"/>
        </w:rPr>
        <w:t> </w:t>
      </w:r>
      <w:r>
        <w:rPr>
          <w:color w:val="231F20"/>
          <w:w w:val="105"/>
        </w:rPr>
        <w:t>de</w:t>
      </w:r>
      <w:r>
        <w:rPr>
          <w:color w:val="231F20"/>
          <w:spacing w:val="-8"/>
          <w:w w:val="105"/>
        </w:rPr>
        <w:t> </w:t>
      </w:r>
      <w:r>
        <w:rPr>
          <w:color w:val="231F20"/>
          <w:w w:val="105"/>
        </w:rPr>
        <w:t>estar</w:t>
      </w:r>
      <w:r>
        <w:rPr>
          <w:color w:val="231F20"/>
          <w:spacing w:val="-8"/>
          <w:w w:val="105"/>
        </w:rPr>
        <w:t> </w:t>
      </w:r>
      <w:r>
        <w:rPr>
          <w:color w:val="231F20"/>
          <w:w w:val="105"/>
        </w:rPr>
        <w:t>cuidando</w:t>
      </w:r>
      <w:r>
        <w:rPr>
          <w:color w:val="231F20"/>
          <w:spacing w:val="-8"/>
          <w:w w:val="105"/>
        </w:rPr>
        <w:t> </w:t>
      </w:r>
      <w:r>
        <w:rPr>
          <w:color w:val="231F20"/>
          <w:w w:val="105"/>
        </w:rPr>
        <w:t>los bienes, igual los retornados podrían enfrentar conflictos por el rechazo familiar,</w:t>
      </w:r>
      <w:r>
        <w:rPr>
          <w:color w:val="231F20"/>
          <w:spacing w:val="-26"/>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esposas</w:t>
      </w:r>
      <w:r>
        <w:rPr>
          <w:color w:val="231F20"/>
          <w:spacing w:val="-21"/>
          <w:w w:val="105"/>
        </w:rPr>
        <w:t> </w:t>
      </w:r>
      <w:r>
        <w:rPr>
          <w:color w:val="231F20"/>
          <w:w w:val="105"/>
        </w:rPr>
        <w:t>desacostumbradas</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presencia</w:t>
      </w:r>
      <w:r>
        <w:rPr>
          <w:color w:val="231F20"/>
          <w:spacing w:val="-21"/>
          <w:w w:val="105"/>
        </w:rPr>
        <w:t> </w:t>
      </w:r>
      <w:r>
        <w:rPr>
          <w:color w:val="231F20"/>
          <w:w w:val="105"/>
        </w:rPr>
        <w:t>del</w:t>
      </w:r>
      <w:r>
        <w:rPr>
          <w:color w:val="231F20"/>
          <w:spacing w:val="-21"/>
          <w:w w:val="105"/>
        </w:rPr>
        <w:t> </w:t>
      </w:r>
      <w:r>
        <w:rPr>
          <w:color w:val="231F20"/>
          <w:w w:val="105"/>
        </w:rPr>
        <w:t>varón</w:t>
      </w:r>
      <w:r>
        <w:rPr>
          <w:color w:val="231F20"/>
          <w:spacing w:val="-21"/>
          <w:w w:val="105"/>
        </w:rPr>
        <w:t> </w:t>
      </w:r>
      <w:r>
        <w:rPr>
          <w:color w:val="231F20"/>
          <w:w w:val="105"/>
        </w:rPr>
        <w:t>o</w:t>
      </w:r>
      <w:r>
        <w:rPr>
          <w:color w:val="231F20"/>
          <w:spacing w:val="18"/>
          <w:w w:val="105"/>
        </w:rPr>
        <w:t> </w:t>
      </w:r>
      <w:r>
        <w:rPr>
          <w:color w:val="231F20"/>
          <w:w w:val="105"/>
        </w:rPr>
        <w:t>hi- jas</w:t>
      </w:r>
      <w:r>
        <w:rPr>
          <w:color w:val="231F20"/>
          <w:spacing w:val="-24"/>
          <w:w w:val="105"/>
        </w:rPr>
        <w:t> </w:t>
      </w:r>
      <w:r>
        <w:rPr>
          <w:color w:val="231F20"/>
          <w:w w:val="105"/>
        </w:rPr>
        <w:t>e</w:t>
      </w:r>
      <w:r>
        <w:rPr>
          <w:color w:val="231F20"/>
          <w:spacing w:val="-24"/>
          <w:w w:val="105"/>
        </w:rPr>
        <w:t> </w:t>
      </w:r>
      <w:r>
        <w:rPr>
          <w:color w:val="231F20"/>
          <w:w w:val="105"/>
        </w:rPr>
        <w:t>hijos</w:t>
      </w:r>
      <w:r>
        <w:rPr>
          <w:color w:val="231F20"/>
          <w:spacing w:val="-24"/>
          <w:w w:val="105"/>
        </w:rPr>
        <w:t> </w:t>
      </w:r>
      <w:r>
        <w:rPr>
          <w:color w:val="231F20"/>
          <w:w w:val="105"/>
        </w:rPr>
        <w:t>que</w:t>
      </w:r>
      <w:r>
        <w:rPr>
          <w:color w:val="231F20"/>
          <w:spacing w:val="-24"/>
          <w:w w:val="105"/>
        </w:rPr>
        <w:t> </w:t>
      </w:r>
      <w:r>
        <w:rPr>
          <w:color w:val="231F20"/>
          <w:w w:val="105"/>
        </w:rPr>
        <w:t>ya</w:t>
      </w:r>
      <w:r>
        <w:rPr>
          <w:color w:val="231F20"/>
          <w:spacing w:val="-24"/>
          <w:w w:val="105"/>
        </w:rPr>
        <w:t> </w:t>
      </w:r>
      <w:r>
        <w:rPr>
          <w:color w:val="231F20"/>
          <w:w w:val="105"/>
        </w:rPr>
        <w:t>crecieron</w:t>
      </w:r>
      <w:r>
        <w:rPr>
          <w:color w:val="231F20"/>
          <w:spacing w:val="-24"/>
          <w:w w:val="105"/>
        </w:rPr>
        <w:t> </w:t>
      </w:r>
      <w:r>
        <w:rPr>
          <w:color w:val="231F20"/>
          <w:w w:val="105"/>
        </w:rPr>
        <w:t>(Cano,</w:t>
      </w:r>
      <w:r>
        <w:rPr>
          <w:color w:val="231F20"/>
          <w:spacing w:val="-28"/>
          <w:w w:val="105"/>
        </w:rPr>
        <w:t> </w:t>
      </w:r>
      <w:r>
        <w:rPr>
          <w:color w:val="231F20"/>
          <w:w w:val="105"/>
        </w:rPr>
        <w:t>2010).</w:t>
      </w:r>
    </w:p>
    <w:p>
      <w:pPr>
        <w:pStyle w:val="BodyText"/>
        <w:spacing w:line="261" w:lineRule="auto" w:before="1"/>
        <w:ind w:left="1837" w:right="1715" w:firstLine="567"/>
        <w:jc w:val="both"/>
      </w:pPr>
      <w:r>
        <w:rPr/>
        <w:pict>
          <v:line style="position:absolute;mso-position-horizontal-relative:page;mso-position-vertical-relative:paragraph;z-index:-461704" from="15pt,544.857605pt" to="0pt,544.857605pt" stroked="true" strokeweight=".25pt" strokecolor="#000000">
            <w10:wrap type="none"/>
          </v:line>
        </w:pict>
      </w:r>
      <w:r>
        <w:rPr/>
        <w:pict>
          <v:line style="position:absolute;mso-position-horizontal-relative:page;mso-position-vertical-relative:paragraph;z-index:28504" from="508.890015pt,544.857605pt" to="523.890015pt,544.857605pt" stroked="true" strokeweight=".25pt" strokecolor="#000000">
            <w10:wrap type="none"/>
          </v:line>
        </w:pict>
      </w:r>
      <w:r>
        <w:rPr>
          <w:color w:val="231F20"/>
          <w:w w:val="105"/>
        </w:rPr>
        <w:t>En cambio, las evidencias exhiben que los conocimientos traídos consigo</w:t>
      </w:r>
      <w:r>
        <w:rPr>
          <w:color w:val="231F20"/>
          <w:spacing w:val="-13"/>
          <w:w w:val="105"/>
        </w:rPr>
        <w:t> </w:t>
      </w:r>
      <w:r>
        <w:rPr>
          <w:color w:val="231F20"/>
          <w:w w:val="105"/>
        </w:rPr>
        <w:t>en</w:t>
      </w:r>
      <w:r>
        <w:rPr>
          <w:color w:val="231F20"/>
          <w:spacing w:val="-13"/>
          <w:w w:val="105"/>
        </w:rPr>
        <w:t> </w:t>
      </w:r>
      <w:r>
        <w:rPr>
          <w:color w:val="231F20"/>
          <w:w w:val="105"/>
        </w:rPr>
        <w:t>algunas</w:t>
      </w:r>
      <w:r>
        <w:rPr>
          <w:color w:val="231F20"/>
          <w:spacing w:val="-13"/>
          <w:w w:val="105"/>
        </w:rPr>
        <w:t> </w:t>
      </w:r>
      <w:r>
        <w:rPr>
          <w:color w:val="231F20"/>
          <w:w w:val="105"/>
        </w:rPr>
        <w:t>ocasiones</w:t>
      </w:r>
      <w:r>
        <w:rPr>
          <w:color w:val="231F20"/>
          <w:spacing w:val="-13"/>
          <w:w w:val="105"/>
        </w:rPr>
        <w:t> </w:t>
      </w:r>
      <w:r>
        <w:rPr>
          <w:color w:val="231F20"/>
          <w:w w:val="105"/>
        </w:rPr>
        <w:t>pueden</w:t>
      </w:r>
      <w:r>
        <w:rPr>
          <w:color w:val="231F20"/>
          <w:spacing w:val="-13"/>
          <w:w w:val="105"/>
        </w:rPr>
        <w:t> </w:t>
      </w:r>
      <w:r>
        <w:rPr>
          <w:color w:val="231F20"/>
          <w:w w:val="105"/>
        </w:rPr>
        <w:t>aplicarse</w:t>
      </w:r>
      <w:r>
        <w:rPr>
          <w:color w:val="231F20"/>
          <w:spacing w:val="-13"/>
          <w:w w:val="105"/>
        </w:rPr>
        <w:t> </w:t>
      </w:r>
      <w:r>
        <w:rPr>
          <w:color w:val="231F20"/>
          <w:w w:val="105"/>
        </w:rPr>
        <w:t>y</w:t>
      </w:r>
      <w:r>
        <w:rPr>
          <w:color w:val="231F20"/>
          <w:spacing w:val="-13"/>
          <w:w w:val="105"/>
        </w:rPr>
        <w:t> </w:t>
      </w:r>
      <w:r>
        <w:rPr>
          <w:color w:val="231F20"/>
          <w:w w:val="105"/>
        </w:rPr>
        <w:t>fungir</w:t>
      </w:r>
      <w:r>
        <w:rPr>
          <w:color w:val="231F20"/>
          <w:spacing w:val="-13"/>
          <w:w w:val="105"/>
        </w:rPr>
        <w:t> </w:t>
      </w:r>
      <w:r>
        <w:rPr>
          <w:color w:val="231F20"/>
          <w:w w:val="105"/>
        </w:rPr>
        <w:t>como</w:t>
      </w:r>
      <w:r>
        <w:rPr>
          <w:color w:val="231F20"/>
          <w:spacing w:val="-13"/>
          <w:w w:val="105"/>
        </w:rPr>
        <w:t> </w:t>
      </w:r>
      <w:r>
        <w:rPr>
          <w:color w:val="231F20"/>
          <w:w w:val="105"/>
        </w:rPr>
        <w:t>fuente</w:t>
      </w:r>
      <w:r>
        <w:rPr>
          <w:color w:val="231F20"/>
          <w:spacing w:val="-13"/>
          <w:w w:val="105"/>
        </w:rPr>
        <w:t> </w:t>
      </w:r>
      <w:r>
        <w:rPr>
          <w:color w:val="231F20"/>
          <w:w w:val="105"/>
        </w:rPr>
        <w:t>de ingreso;</w:t>
      </w:r>
      <w:r>
        <w:rPr>
          <w:color w:val="231F20"/>
          <w:spacing w:val="-20"/>
          <w:w w:val="105"/>
        </w:rPr>
        <w:t> </w:t>
      </w:r>
      <w:r>
        <w:rPr>
          <w:color w:val="231F20"/>
          <w:w w:val="105"/>
        </w:rPr>
        <w:t>sin</w:t>
      </w:r>
      <w:r>
        <w:rPr>
          <w:color w:val="231F20"/>
          <w:spacing w:val="-20"/>
          <w:w w:val="105"/>
        </w:rPr>
        <w:t> </w:t>
      </w:r>
      <w:r>
        <w:rPr>
          <w:color w:val="231F20"/>
          <w:w w:val="105"/>
        </w:rPr>
        <w:t>embargo,</w:t>
      </w:r>
      <w:r>
        <w:rPr>
          <w:color w:val="231F20"/>
          <w:spacing w:val="-25"/>
          <w:w w:val="105"/>
        </w:rPr>
        <w:t> </w:t>
      </w:r>
      <w:r>
        <w:rPr>
          <w:color w:val="231F20"/>
          <w:w w:val="105"/>
        </w:rPr>
        <w:t>en</w:t>
      </w:r>
      <w:r>
        <w:rPr>
          <w:color w:val="231F20"/>
          <w:spacing w:val="-20"/>
          <w:w w:val="105"/>
        </w:rPr>
        <w:t> </w:t>
      </w:r>
      <w:r>
        <w:rPr>
          <w:color w:val="231F20"/>
          <w:w w:val="105"/>
        </w:rPr>
        <w:t>otras</w:t>
      </w:r>
      <w:r>
        <w:rPr>
          <w:color w:val="231F20"/>
          <w:spacing w:val="-20"/>
          <w:w w:val="105"/>
        </w:rPr>
        <w:t> </w:t>
      </w:r>
      <w:r>
        <w:rPr>
          <w:color w:val="231F20"/>
          <w:w w:val="105"/>
        </w:rPr>
        <w:t>ocasiones</w:t>
      </w:r>
      <w:r>
        <w:rPr>
          <w:color w:val="231F20"/>
          <w:spacing w:val="-20"/>
          <w:w w:val="105"/>
        </w:rPr>
        <w:t> </w:t>
      </w:r>
      <w:r>
        <w:rPr>
          <w:color w:val="231F20"/>
          <w:w w:val="105"/>
        </w:rPr>
        <w:t>esto</w:t>
      </w:r>
      <w:r>
        <w:rPr>
          <w:color w:val="231F20"/>
          <w:spacing w:val="-20"/>
          <w:w w:val="105"/>
        </w:rPr>
        <w:t> </w:t>
      </w:r>
      <w:r>
        <w:rPr>
          <w:color w:val="231F20"/>
          <w:w w:val="105"/>
        </w:rPr>
        <w:t>no</w:t>
      </w:r>
      <w:r>
        <w:rPr>
          <w:color w:val="231F20"/>
          <w:spacing w:val="-20"/>
          <w:w w:val="105"/>
        </w:rPr>
        <w:t> </w:t>
      </w:r>
      <w:r>
        <w:rPr>
          <w:color w:val="231F20"/>
          <w:w w:val="105"/>
        </w:rPr>
        <w:t>es</w:t>
      </w:r>
      <w:r>
        <w:rPr>
          <w:color w:val="231F20"/>
          <w:spacing w:val="-20"/>
          <w:w w:val="105"/>
        </w:rPr>
        <w:t> </w:t>
      </w:r>
      <w:r>
        <w:rPr>
          <w:color w:val="231F20"/>
          <w:w w:val="105"/>
        </w:rPr>
        <w:t>posible,</w:t>
      </w:r>
      <w:r>
        <w:rPr>
          <w:color w:val="231F20"/>
          <w:spacing w:val="-25"/>
          <w:w w:val="105"/>
        </w:rPr>
        <w:t> </w:t>
      </w:r>
      <w:r>
        <w:rPr>
          <w:color w:val="231F20"/>
          <w:w w:val="105"/>
        </w:rPr>
        <w:t>pues</w:t>
      </w:r>
      <w:r>
        <w:rPr>
          <w:color w:val="231F20"/>
          <w:spacing w:val="-20"/>
          <w:w w:val="105"/>
        </w:rPr>
        <w:t> </w:t>
      </w:r>
      <w:r>
        <w:rPr>
          <w:color w:val="231F20"/>
          <w:w w:val="105"/>
        </w:rPr>
        <w:t>los</w:t>
      </w:r>
      <w:r>
        <w:rPr>
          <w:color w:val="231F20"/>
          <w:spacing w:val="-20"/>
          <w:w w:val="105"/>
        </w:rPr>
        <w:t> </w:t>
      </w:r>
      <w:r>
        <w:rPr>
          <w:color w:val="231F20"/>
          <w:w w:val="105"/>
        </w:rPr>
        <w:t>mi- grantes</w:t>
      </w:r>
      <w:r>
        <w:rPr>
          <w:color w:val="231F20"/>
          <w:spacing w:val="-17"/>
          <w:w w:val="105"/>
        </w:rPr>
        <w:t> </w:t>
      </w:r>
      <w:r>
        <w:rPr>
          <w:color w:val="231F20"/>
          <w:w w:val="105"/>
        </w:rPr>
        <w:t>no</w:t>
      </w:r>
      <w:r>
        <w:rPr>
          <w:color w:val="231F20"/>
          <w:spacing w:val="-17"/>
          <w:w w:val="105"/>
        </w:rPr>
        <w:t> </w:t>
      </w:r>
      <w:r>
        <w:rPr>
          <w:color w:val="231F20"/>
          <w:w w:val="105"/>
        </w:rPr>
        <w:t>tienen</w:t>
      </w:r>
      <w:r>
        <w:rPr>
          <w:color w:val="231F20"/>
          <w:spacing w:val="-17"/>
          <w:w w:val="105"/>
        </w:rPr>
        <w:t> </w:t>
      </w:r>
      <w:r>
        <w:rPr>
          <w:color w:val="231F20"/>
          <w:w w:val="105"/>
        </w:rPr>
        <w:t>garantía</w:t>
      </w:r>
      <w:r>
        <w:rPr>
          <w:color w:val="231F20"/>
          <w:spacing w:val="-17"/>
          <w:w w:val="105"/>
        </w:rPr>
        <w:t> </w:t>
      </w:r>
      <w:r>
        <w:rPr>
          <w:color w:val="231F20"/>
          <w:w w:val="105"/>
        </w:rPr>
        <w:t>de</w:t>
      </w:r>
      <w:r>
        <w:rPr>
          <w:color w:val="231F20"/>
          <w:spacing w:val="-17"/>
          <w:w w:val="105"/>
        </w:rPr>
        <w:t> </w:t>
      </w:r>
      <w:r>
        <w:rPr>
          <w:color w:val="231F20"/>
          <w:w w:val="105"/>
        </w:rPr>
        <w:t>emplearse</w:t>
      </w:r>
      <w:r>
        <w:rPr>
          <w:color w:val="231F20"/>
          <w:spacing w:val="-17"/>
          <w:w w:val="105"/>
        </w:rPr>
        <w:t> </w:t>
      </w:r>
      <w:r>
        <w:rPr>
          <w:color w:val="231F20"/>
          <w:w w:val="105"/>
        </w:rPr>
        <w:t>productivamente</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lugares de</w:t>
      </w:r>
      <w:r>
        <w:rPr>
          <w:color w:val="231F20"/>
          <w:spacing w:val="-29"/>
          <w:w w:val="105"/>
        </w:rPr>
        <w:t> </w:t>
      </w:r>
      <w:r>
        <w:rPr>
          <w:color w:val="231F20"/>
          <w:w w:val="105"/>
        </w:rPr>
        <w:t>origen.</w:t>
      </w:r>
      <w:r>
        <w:rPr>
          <w:color w:val="231F20"/>
          <w:spacing w:val="-33"/>
          <w:w w:val="105"/>
        </w:rPr>
        <w:t> </w:t>
      </w:r>
      <w:r>
        <w:rPr>
          <w:color w:val="231F20"/>
          <w:w w:val="105"/>
        </w:rPr>
        <w:t>En</w:t>
      </w:r>
      <w:r>
        <w:rPr>
          <w:color w:val="231F20"/>
          <w:spacing w:val="-29"/>
          <w:w w:val="105"/>
        </w:rPr>
        <w:t> </w:t>
      </w:r>
      <w:r>
        <w:rPr>
          <w:color w:val="231F20"/>
          <w:w w:val="105"/>
        </w:rPr>
        <w:t>este</w:t>
      </w:r>
      <w:r>
        <w:rPr>
          <w:color w:val="231F20"/>
          <w:spacing w:val="-29"/>
          <w:w w:val="105"/>
        </w:rPr>
        <w:t> </w:t>
      </w:r>
      <w:r>
        <w:rPr>
          <w:color w:val="231F20"/>
          <w:w w:val="105"/>
        </w:rPr>
        <w:t>sentido,</w:t>
      </w:r>
      <w:r>
        <w:rPr>
          <w:color w:val="231F20"/>
          <w:spacing w:val="-33"/>
          <w:w w:val="105"/>
        </w:rPr>
        <w:t> </w:t>
      </w:r>
      <w:r>
        <w:rPr>
          <w:color w:val="231F20"/>
          <w:w w:val="105"/>
        </w:rPr>
        <w:t>la</w:t>
      </w:r>
      <w:r>
        <w:rPr>
          <w:color w:val="231F20"/>
          <w:spacing w:val="-29"/>
          <w:w w:val="105"/>
        </w:rPr>
        <w:t> </w:t>
      </w:r>
      <w:r>
        <w:rPr>
          <w:color w:val="231F20"/>
          <w:w w:val="105"/>
        </w:rPr>
        <w:t>intervención</w:t>
      </w:r>
      <w:r>
        <w:rPr>
          <w:color w:val="231F20"/>
          <w:spacing w:val="-29"/>
          <w:w w:val="105"/>
        </w:rPr>
        <w:t> </w:t>
      </w:r>
      <w:r>
        <w:rPr>
          <w:color w:val="231F20"/>
          <w:w w:val="105"/>
        </w:rPr>
        <w:t>de</w:t>
      </w:r>
      <w:r>
        <w:rPr>
          <w:color w:val="231F20"/>
          <w:spacing w:val="-29"/>
          <w:w w:val="105"/>
        </w:rPr>
        <w:t> </w:t>
      </w:r>
      <w:r>
        <w:rPr>
          <w:color w:val="231F20"/>
          <w:w w:val="105"/>
        </w:rPr>
        <w:t>actores</w:t>
      </w:r>
      <w:r>
        <w:rPr>
          <w:color w:val="231F20"/>
          <w:spacing w:val="-29"/>
          <w:w w:val="105"/>
        </w:rPr>
        <w:t> </w:t>
      </w:r>
      <w:r>
        <w:rPr>
          <w:color w:val="231F20"/>
          <w:w w:val="105"/>
        </w:rPr>
        <w:t>y</w:t>
      </w:r>
      <w:r>
        <w:rPr>
          <w:color w:val="231F20"/>
          <w:spacing w:val="-29"/>
          <w:w w:val="105"/>
        </w:rPr>
        <w:t> </w:t>
      </w:r>
      <w:r>
        <w:rPr>
          <w:color w:val="231F20"/>
          <w:w w:val="105"/>
        </w:rPr>
        <w:t>circunstancias</w:t>
      </w:r>
      <w:r>
        <w:rPr>
          <w:color w:val="231F20"/>
          <w:spacing w:val="-29"/>
          <w:w w:val="105"/>
        </w:rPr>
        <w:t> </w:t>
      </w:r>
      <w:r>
        <w:rPr>
          <w:color w:val="231F20"/>
          <w:w w:val="105"/>
        </w:rPr>
        <w:t>adi- cionales</w:t>
      </w:r>
      <w:r>
        <w:rPr>
          <w:color w:val="231F20"/>
          <w:spacing w:val="-7"/>
          <w:w w:val="105"/>
        </w:rPr>
        <w:t> </w:t>
      </w:r>
      <w:r>
        <w:rPr>
          <w:color w:val="231F20"/>
          <w:w w:val="105"/>
        </w:rPr>
        <w:t>al</w:t>
      </w:r>
      <w:r>
        <w:rPr>
          <w:color w:val="231F20"/>
          <w:spacing w:val="-7"/>
          <w:w w:val="105"/>
        </w:rPr>
        <w:t> </w:t>
      </w:r>
      <w:r>
        <w:rPr>
          <w:color w:val="231F20"/>
          <w:w w:val="105"/>
        </w:rPr>
        <w:t>retornado</w:t>
      </w:r>
      <w:r>
        <w:rPr>
          <w:color w:val="231F20"/>
          <w:spacing w:val="-7"/>
          <w:w w:val="105"/>
        </w:rPr>
        <w:t> </w:t>
      </w:r>
      <w:r>
        <w:rPr>
          <w:color w:val="231F20"/>
          <w:w w:val="105"/>
        </w:rPr>
        <w:t>vuelven</w:t>
      </w:r>
      <w:r>
        <w:rPr>
          <w:color w:val="231F20"/>
          <w:spacing w:val="-7"/>
          <w:w w:val="105"/>
        </w:rPr>
        <w:t> </w:t>
      </w:r>
      <w:r>
        <w:rPr>
          <w:color w:val="231F20"/>
          <w:w w:val="105"/>
        </w:rPr>
        <w:t>difícil</w:t>
      </w:r>
      <w:r>
        <w:rPr>
          <w:color w:val="231F20"/>
          <w:spacing w:val="-7"/>
          <w:w w:val="105"/>
        </w:rPr>
        <w:t> </w:t>
      </w:r>
      <w:r>
        <w:rPr>
          <w:color w:val="231F20"/>
          <w:w w:val="105"/>
        </w:rPr>
        <w:t>estimar</w:t>
      </w:r>
      <w:r>
        <w:rPr>
          <w:color w:val="231F20"/>
          <w:spacing w:val="-7"/>
          <w:w w:val="105"/>
        </w:rPr>
        <w:t> </w:t>
      </w:r>
      <w:r>
        <w:rPr>
          <w:color w:val="231F20"/>
          <w:w w:val="105"/>
        </w:rPr>
        <w:t>a</w:t>
      </w:r>
      <w:r>
        <w:rPr>
          <w:color w:val="231F20"/>
          <w:spacing w:val="-7"/>
          <w:w w:val="105"/>
        </w:rPr>
        <w:t> </w:t>
      </w:r>
      <w:r>
        <w:rPr>
          <w:color w:val="231F20"/>
          <w:w w:val="105"/>
        </w:rPr>
        <w:t>priori</w:t>
      </w:r>
      <w:r>
        <w:rPr>
          <w:color w:val="231F20"/>
          <w:spacing w:val="-7"/>
          <w:w w:val="105"/>
        </w:rPr>
        <w:t> </w:t>
      </w:r>
      <w:r>
        <w:rPr>
          <w:color w:val="231F20"/>
          <w:w w:val="105"/>
        </w:rPr>
        <w:t>los</w:t>
      </w:r>
      <w:r>
        <w:rPr>
          <w:color w:val="231F20"/>
          <w:spacing w:val="-7"/>
          <w:w w:val="105"/>
        </w:rPr>
        <w:t> </w:t>
      </w:r>
      <w:r>
        <w:rPr>
          <w:color w:val="231F20"/>
          <w:w w:val="105"/>
        </w:rPr>
        <w:t>efectos</w:t>
      </w:r>
      <w:r>
        <w:rPr>
          <w:color w:val="231F20"/>
          <w:spacing w:val="-7"/>
          <w:w w:val="105"/>
        </w:rPr>
        <w:t> </w:t>
      </w:r>
      <w:r>
        <w:rPr>
          <w:color w:val="231F20"/>
          <w:w w:val="105"/>
        </w:rPr>
        <w:t>del</w:t>
      </w:r>
      <w:r>
        <w:rPr>
          <w:color w:val="231F20"/>
          <w:spacing w:val="-7"/>
          <w:w w:val="105"/>
        </w:rPr>
        <w:t> </w:t>
      </w:r>
      <w:r>
        <w:rPr>
          <w:color w:val="231F20"/>
          <w:w w:val="105"/>
        </w:rPr>
        <w:t>retor- no.</w:t>
      </w:r>
      <w:r>
        <w:rPr>
          <w:color w:val="231F20"/>
          <w:spacing w:val="-34"/>
          <w:w w:val="105"/>
        </w:rPr>
        <w:t> </w:t>
      </w:r>
      <w:r>
        <w:rPr>
          <w:color w:val="231F20"/>
          <w:w w:val="105"/>
        </w:rPr>
        <w:t>Se</w:t>
      </w:r>
      <w:r>
        <w:rPr>
          <w:color w:val="231F20"/>
          <w:spacing w:val="-30"/>
          <w:w w:val="105"/>
        </w:rPr>
        <w:t> </w:t>
      </w:r>
      <w:r>
        <w:rPr>
          <w:color w:val="231F20"/>
          <w:w w:val="105"/>
        </w:rPr>
        <w:t>estima</w:t>
      </w:r>
      <w:r>
        <w:rPr>
          <w:color w:val="231F20"/>
          <w:spacing w:val="-30"/>
          <w:w w:val="105"/>
        </w:rPr>
        <w:t> </w:t>
      </w:r>
      <w:r>
        <w:rPr>
          <w:color w:val="231F20"/>
          <w:w w:val="105"/>
        </w:rPr>
        <w:t>que</w:t>
      </w:r>
      <w:r>
        <w:rPr>
          <w:color w:val="231F20"/>
          <w:spacing w:val="-30"/>
          <w:w w:val="105"/>
        </w:rPr>
        <w:t> </w:t>
      </w:r>
      <w:r>
        <w:rPr>
          <w:color w:val="231F20"/>
          <w:w w:val="105"/>
        </w:rPr>
        <w:t>los</w:t>
      </w:r>
      <w:r>
        <w:rPr>
          <w:color w:val="231F20"/>
          <w:spacing w:val="-30"/>
          <w:w w:val="105"/>
        </w:rPr>
        <w:t> </w:t>
      </w:r>
      <w:r>
        <w:rPr>
          <w:color w:val="231F20"/>
          <w:w w:val="105"/>
        </w:rPr>
        <w:t>migrantes</w:t>
      </w:r>
      <w:r>
        <w:rPr>
          <w:color w:val="231F20"/>
          <w:spacing w:val="-30"/>
          <w:w w:val="105"/>
        </w:rPr>
        <w:t> </w:t>
      </w:r>
      <w:r>
        <w:rPr>
          <w:color w:val="231F20"/>
          <w:w w:val="105"/>
        </w:rPr>
        <w:t>que</w:t>
      </w:r>
      <w:r>
        <w:rPr>
          <w:color w:val="231F20"/>
          <w:spacing w:val="-30"/>
          <w:w w:val="105"/>
        </w:rPr>
        <w:t> </w:t>
      </w:r>
      <w:r>
        <w:rPr>
          <w:color w:val="231F20"/>
          <w:w w:val="105"/>
        </w:rPr>
        <w:t>retornan</w:t>
      </w:r>
      <w:r>
        <w:rPr>
          <w:color w:val="231F20"/>
          <w:spacing w:val="-30"/>
          <w:w w:val="105"/>
        </w:rPr>
        <w:t> </w:t>
      </w:r>
      <w:r>
        <w:rPr>
          <w:color w:val="231F20"/>
          <w:w w:val="105"/>
        </w:rPr>
        <w:t>a</w:t>
      </w:r>
      <w:r>
        <w:rPr>
          <w:color w:val="231F20"/>
          <w:spacing w:val="-30"/>
          <w:w w:val="105"/>
        </w:rPr>
        <w:t> </w:t>
      </w:r>
      <w:r>
        <w:rPr>
          <w:color w:val="231F20"/>
          <w:w w:val="105"/>
        </w:rPr>
        <w:t>México</w:t>
      </w:r>
      <w:r>
        <w:rPr>
          <w:color w:val="231F20"/>
          <w:spacing w:val="-30"/>
          <w:w w:val="105"/>
        </w:rPr>
        <w:t> </w:t>
      </w:r>
      <w:r>
        <w:rPr>
          <w:color w:val="231F20"/>
          <w:w w:val="105"/>
        </w:rPr>
        <w:t>regresan</w:t>
      </w:r>
      <w:r>
        <w:rPr>
          <w:color w:val="231F20"/>
          <w:spacing w:val="-30"/>
          <w:w w:val="105"/>
        </w:rPr>
        <w:t> </w:t>
      </w:r>
      <w:r>
        <w:rPr>
          <w:color w:val="231F20"/>
          <w:w w:val="105"/>
        </w:rPr>
        <w:t>para</w:t>
      </w:r>
      <w:r>
        <w:rPr>
          <w:color w:val="231F20"/>
          <w:spacing w:val="-30"/>
          <w:w w:val="105"/>
        </w:rPr>
        <w:t> </w:t>
      </w:r>
      <w:r>
        <w:rPr>
          <w:color w:val="231F20"/>
          <w:w w:val="105"/>
        </w:rPr>
        <w:t>reu- nirse</w:t>
      </w:r>
      <w:r>
        <w:rPr>
          <w:color w:val="231F20"/>
          <w:spacing w:val="-18"/>
          <w:w w:val="105"/>
        </w:rPr>
        <w:t> </w:t>
      </w:r>
      <w:r>
        <w:rPr>
          <w:color w:val="231F20"/>
          <w:w w:val="105"/>
        </w:rPr>
        <w:t>con</w:t>
      </w:r>
      <w:r>
        <w:rPr>
          <w:color w:val="231F20"/>
          <w:spacing w:val="-18"/>
          <w:w w:val="105"/>
        </w:rPr>
        <w:t> </w:t>
      </w:r>
      <w:r>
        <w:rPr>
          <w:color w:val="231F20"/>
          <w:w w:val="105"/>
        </w:rPr>
        <w:t>su</w:t>
      </w:r>
      <w:r>
        <w:rPr>
          <w:color w:val="231F20"/>
          <w:spacing w:val="-18"/>
          <w:w w:val="105"/>
        </w:rPr>
        <w:t> </w:t>
      </w:r>
      <w:r>
        <w:rPr>
          <w:color w:val="231F20"/>
          <w:w w:val="105"/>
        </w:rPr>
        <w:t>familia</w:t>
      </w:r>
      <w:r>
        <w:rPr>
          <w:color w:val="231F20"/>
          <w:spacing w:val="-18"/>
          <w:w w:val="105"/>
        </w:rPr>
        <w:t> </w:t>
      </w:r>
      <w:r>
        <w:rPr>
          <w:color w:val="231F20"/>
          <w:w w:val="105"/>
        </w:rPr>
        <w:t>y</w:t>
      </w:r>
      <w:r>
        <w:rPr>
          <w:color w:val="231F20"/>
          <w:spacing w:val="-18"/>
          <w:w w:val="105"/>
        </w:rPr>
        <w:t> </w:t>
      </w:r>
      <w:r>
        <w:rPr>
          <w:color w:val="231F20"/>
          <w:w w:val="105"/>
        </w:rPr>
        <w:t>por</w:t>
      </w:r>
      <w:r>
        <w:rPr>
          <w:color w:val="231F20"/>
          <w:spacing w:val="-18"/>
          <w:w w:val="105"/>
        </w:rPr>
        <w:t> </w:t>
      </w:r>
      <w:r>
        <w:rPr>
          <w:color w:val="231F20"/>
          <w:w w:val="105"/>
        </w:rPr>
        <w:t>falta</w:t>
      </w:r>
      <w:r>
        <w:rPr>
          <w:color w:val="231F20"/>
          <w:spacing w:val="-18"/>
          <w:w w:val="105"/>
        </w:rPr>
        <w:t> </w:t>
      </w:r>
      <w:r>
        <w:rPr>
          <w:color w:val="231F20"/>
          <w:w w:val="105"/>
        </w:rPr>
        <w:t>de</w:t>
      </w:r>
      <w:r>
        <w:rPr>
          <w:color w:val="231F20"/>
          <w:spacing w:val="-18"/>
          <w:w w:val="105"/>
        </w:rPr>
        <w:t> </w:t>
      </w:r>
      <w:r>
        <w:rPr>
          <w:color w:val="231F20"/>
          <w:w w:val="105"/>
        </w:rPr>
        <w:t>empleo;</w:t>
      </w:r>
      <w:r>
        <w:rPr>
          <w:color w:val="231F20"/>
          <w:spacing w:val="-18"/>
          <w:w w:val="105"/>
        </w:rPr>
        <w:t> </w:t>
      </w:r>
      <w:r>
        <w:rPr>
          <w:color w:val="231F20"/>
          <w:w w:val="105"/>
        </w:rPr>
        <w:t>ya</w:t>
      </w:r>
      <w:r>
        <w:rPr>
          <w:color w:val="231F20"/>
          <w:spacing w:val="-18"/>
          <w:w w:val="105"/>
        </w:rPr>
        <w:t> </w:t>
      </w:r>
      <w:r>
        <w:rPr>
          <w:color w:val="231F20"/>
          <w:w w:val="105"/>
        </w:rPr>
        <w:t>en</w:t>
      </w:r>
      <w:r>
        <w:rPr>
          <w:color w:val="231F20"/>
          <w:spacing w:val="-18"/>
          <w:w w:val="105"/>
        </w:rPr>
        <w:t> </w:t>
      </w:r>
      <w:r>
        <w:rPr>
          <w:color w:val="231F20"/>
          <w:w w:val="105"/>
        </w:rPr>
        <w:t>nuestro</w:t>
      </w:r>
      <w:r>
        <w:rPr>
          <w:color w:val="231F20"/>
          <w:spacing w:val="-18"/>
          <w:w w:val="105"/>
        </w:rPr>
        <w:t> </w:t>
      </w:r>
      <w:r>
        <w:rPr>
          <w:color w:val="231F20"/>
          <w:w w:val="105"/>
        </w:rPr>
        <w:t>país</w:t>
      </w:r>
      <w:r>
        <w:rPr>
          <w:color w:val="231F20"/>
          <w:spacing w:val="-18"/>
          <w:w w:val="105"/>
        </w:rPr>
        <w:t> </w:t>
      </w:r>
      <w:r>
        <w:rPr>
          <w:color w:val="231F20"/>
          <w:w w:val="105"/>
        </w:rPr>
        <w:t>tardan</w:t>
      </w:r>
      <w:r>
        <w:rPr>
          <w:color w:val="231F20"/>
          <w:spacing w:val="-18"/>
          <w:w w:val="105"/>
        </w:rPr>
        <w:t> </w:t>
      </w:r>
      <w:r>
        <w:rPr>
          <w:color w:val="231F20"/>
          <w:w w:val="105"/>
        </w:rPr>
        <w:t>entre tres</w:t>
      </w:r>
      <w:r>
        <w:rPr>
          <w:color w:val="231F20"/>
          <w:spacing w:val="-31"/>
          <w:w w:val="105"/>
        </w:rPr>
        <w:t> </w:t>
      </w:r>
      <w:r>
        <w:rPr>
          <w:color w:val="231F20"/>
          <w:w w:val="105"/>
        </w:rPr>
        <w:t>y</w:t>
      </w:r>
      <w:r>
        <w:rPr>
          <w:color w:val="231F20"/>
          <w:spacing w:val="-31"/>
          <w:w w:val="105"/>
        </w:rPr>
        <w:t> </w:t>
      </w:r>
      <w:r>
        <w:rPr>
          <w:color w:val="231F20"/>
          <w:w w:val="105"/>
        </w:rPr>
        <w:t>seis</w:t>
      </w:r>
      <w:r>
        <w:rPr>
          <w:color w:val="231F20"/>
          <w:spacing w:val="-31"/>
          <w:w w:val="105"/>
        </w:rPr>
        <w:t> </w:t>
      </w:r>
      <w:r>
        <w:rPr>
          <w:color w:val="231F20"/>
          <w:w w:val="105"/>
        </w:rPr>
        <w:t>meses</w:t>
      </w:r>
      <w:r>
        <w:rPr>
          <w:color w:val="231F20"/>
          <w:spacing w:val="-31"/>
          <w:w w:val="105"/>
        </w:rPr>
        <w:t> </w:t>
      </w:r>
      <w:r>
        <w:rPr>
          <w:color w:val="231F20"/>
          <w:w w:val="105"/>
        </w:rPr>
        <w:t>para</w:t>
      </w:r>
      <w:r>
        <w:rPr>
          <w:color w:val="231F20"/>
          <w:spacing w:val="-31"/>
          <w:w w:val="105"/>
        </w:rPr>
        <w:t> </w:t>
      </w:r>
      <w:r>
        <w:rPr>
          <w:color w:val="231F20"/>
          <w:w w:val="105"/>
        </w:rPr>
        <w:t>ubicarse</w:t>
      </w:r>
      <w:r>
        <w:rPr>
          <w:color w:val="231F20"/>
          <w:spacing w:val="-31"/>
          <w:w w:val="105"/>
        </w:rPr>
        <w:t> </w:t>
      </w:r>
      <w:r>
        <w:rPr>
          <w:color w:val="231F20"/>
          <w:w w:val="105"/>
        </w:rPr>
        <w:t>laboralmente,</w:t>
      </w:r>
      <w:r>
        <w:rPr>
          <w:color w:val="231F20"/>
          <w:spacing w:val="-35"/>
          <w:w w:val="105"/>
        </w:rPr>
        <w:t> </w:t>
      </w:r>
      <w:r>
        <w:rPr>
          <w:color w:val="231F20"/>
          <w:w w:val="105"/>
        </w:rPr>
        <w:t>aunque</w:t>
      </w:r>
      <w:r>
        <w:rPr>
          <w:color w:val="231F20"/>
          <w:spacing w:val="-31"/>
          <w:w w:val="105"/>
        </w:rPr>
        <w:t> </w:t>
      </w:r>
      <w:r>
        <w:rPr>
          <w:color w:val="231F20"/>
          <w:w w:val="105"/>
        </w:rPr>
        <w:t>cuatro</w:t>
      </w:r>
      <w:r>
        <w:rPr>
          <w:color w:val="231F20"/>
          <w:spacing w:val="-31"/>
          <w:w w:val="105"/>
        </w:rPr>
        <w:t> </w:t>
      </w:r>
      <w:r>
        <w:rPr>
          <w:color w:val="231F20"/>
          <w:w w:val="105"/>
        </w:rPr>
        <w:t>de</w:t>
      </w:r>
      <w:r>
        <w:rPr>
          <w:color w:val="231F20"/>
          <w:spacing w:val="-31"/>
          <w:w w:val="105"/>
        </w:rPr>
        <w:t> </w:t>
      </w:r>
      <w:r>
        <w:rPr>
          <w:color w:val="231F20"/>
          <w:w w:val="105"/>
        </w:rPr>
        <w:t>cada</w:t>
      </w:r>
      <w:r>
        <w:rPr>
          <w:color w:val="231F20"/>
          <w:spacing w:val="-31"/>
          <w:w w:val="105"/>
        </w:rPr>
        <w:t> </w:t>
      </w:r>
      <w:r>
        <w:rPr>
          <w:color w:val="231F20"/>
          <w:w w:val="105"/>
        </w:rPr>
        <w:t>diez lo</w:t>
      </w:r>
      <w:r>
        <w:rPr>
          <w:color w:val="231F20"/>
          <w:spacing w:val="-15"/>
          <w:w w:val="105"/>
        </w:rPr>
        <w:t> </w:t>
      </w:r>
      <w:r>
        <w:rPr>
          <w:color w:val="231F20"/>
          <w:w w:val="105"/>
        </w:rPr>
        <w:t>hace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sector</w:t>
      </w:r>
      <w:r>
        <w:rPr>
          <w:color w:val="231F20"/>
          <w:spacing w:val="-15"/>
          <w:w w:val="105"/>
        </w:rPr>
        <w:t> </w:t>
      </w:r>
      <w:r>
        <w:rPr>
          <w:color w:val="231F20"/>
          <w:w w:val="105"/>
        </w:rPr>
        <w:t>informal</w:t>
      </w:r>
      <w:r>
        <w:rPr>
          <w:color w:val="231F20"/>
          <w:spacing w:val="-15"/>
          <w:w w:val="105"/>
        </w:rPr>
        <w:t> </w:t>
      </w:r>
      <w:r>
        <w:rPr>
          <w:color w:val="231F20"/>
          <w:w w:val="105"/>
        </w:rPr>
        <w:t>(</w:t>
      </w:r>
      <w:r>
        <w:rPr>
          <w:color w:val="231F20"/>
          <w:w w:val="105"/>
          <w:sz w:val="17"/>
        </w:rPr>
        <w:t>BBVA</w:t>
      </w:r>
      <w:r>
        <w:rPr>
          <w:color w:val="231F20"/>
          <w:w w:val="105"/>
        </w:rPr>
        <w:t>,</w:t>
      </w:r>
      <w:r>
        <w:rPr>
          <w:color w:val="231F20"/>
          <w:spacing w:val="-20"/>
          <w:w w:val="105"/>
        </w:rPr>
        <w:t> </w:t>
      </w:r>
      <w:r>
        <w:rPr>
          <w:color w:val="231F20"/>
          <w:w w:val="105"/>
        </w:rPr>
        <w:t>2012).</w:t>
      </w:r>
      <w:r>
        <w:rPr>
          <w:color w:val="231F20"/>
          <w:spacing w:val="-20"/>
          <w:w w:val="105"/>
        </w:rPr>
        <w:t> </w:t>
      </w:r>
      <w:r>
        <w:rPr>
          <w:color w:val="231F20"/>
          <w:w w:val="105"/>
        </w:rPr>
        <w:t>Otro</w:t>
      </w:r>
      <w:r>
        <w:rPr>
          <w:color w:val="231F20"/>
          <w:spacing w:val="-15"/>
          <w:w w:val="105"/>
        </w:rPr>
        <w:t> </w:t>
      </w:r>
      <w:r>
        <w:rPr>
          <w:color w:val="231F20"/>
          <w:w w:val="105"/>
        </w:rPr>
        <w:t>estudio</w:t>
      </w:r>
      <w:r>
        <w:rPr>
          <w:color w:val="231F20"/>
          <w:spacing w:val="-15"/>
          <w:w w:val="105"/>
        </w:rPr>
        <w:t> </w:t>
      </w:r>
      <w:r>
        <w:rPr>
          <w:color w:val="231F20"/>
          <w:w w:val="105"/>
        </w:rPr>
        <w:t>sobre</w:t>
      </w:r>
      <w:r>
        <w:rPr>
          <w:color w:val="231F20"/>
          <w:spacing w:val="-15"/>
          <w:w w:val="105"/>
        </w:rPr>
        <w:t> </w:t>
      </w:r>
      <w:r>
        <w:rPr>
          <w:color w:val="231F20"/>
          <w:w w:val="105"/>
        </w:rPr>
        <w:t>retornados turcos muestra que la mitad de los migrantes que retornan emprenden pequeños</w:t>
      </w:r>
      <w:r>
        <w:rPr>
          <w:color w:val="231F20"/>
          <w:spacing w:val="-11"/>
          <w:w w:val="105"/>
        </w:rPr>
        <w:t> </w:t>
      </w:r>
      <w:r>
        <w:rPr>
          <w:color w:val="231F20"/>
          <w:w w:val="105"/>
        </w:rPr>
        <w:t>negocios</w:t>
      </w:r>
      <w:r>
        <w:rPr>
          <w:color w:val="231F20"/>
          <w:spacing w:val="-11"/>
          <w:w w:val="105"/>
        </w:rPr>
        <w:t> </w:t>
      </w:r>
      <w:r>
        <w:rPr>
          <w:color w:val="231F20"/>
          <w:w w:val="105"/>
        </w:rPr>
        <w:t>y</w:t>
      </w:r>
      <w:r>
        <w:rPr>
          <w:color w:val="231F20"/>
          <w:spacing w:val="-11"/>
          <w:w w:val="105"/>
        </w:rPr>
        <w:t> </w:t>
      </w:r>
      <w:r>
        <w:rPr>
          <w:color w:val="231F20"/>
          <w:w w:val="105"/>
        </w:rPr>
        <w:t>generan</w:t>
      </w:r>
      <w:r>
        <w:rPr>
          <w:color w:val="231F20"/>
          <w:spacing w:val="-11"/>
          <w:w w:val="105"/>
        </w:rPr>
        <w:t> </w:t>
      </w:r>
      <w:r>
        <w:rPr>
          <w:color w:val="231F20"/>
          <w:w w:val="105"/>
        </w:rPr>
        <w:t>empleos</w:t>
      </w:r>
      <w:r>
        <w:rPr>
          <w:color w:val="231F20"/>
          <w:spacing w:val="-11"/>
          <w:w w:val="105"/>
        </w:rPr>
        <w:t> </w:t>
      </w:r>
      <w:r>
        <w:rPr>
          <w:color w:val="231F20"/>
          <w:w w:val="105"/>
        </w:rPr>
        <w:t>gracias</w:t>
      </w:r>
      <w:r>
        <w:rPr>
          <w:color w:val="231F20"/>
          <w:spacing w:val="-11"/>
          <w:w w:val="105"/>
        </w:rPr>
        <w:t> </w:t>
      </w:r>
      <w:r>
        <w:rPr>
          <w:color w:val="231F20"/>
          <w:w w:val="105"/>
        </w:rPr>
        <w:t>al</w:t>
      </w:r>
      <w:r>
        <w:rPr>
          <w:color w:val="231F20"/>
          <w:spacing w:val="-11"/>
          <w:w w:val="105"/>
        </w:rPr>
        <w:t> </w:t>
      </w:r>
      <w:r>
        <w:rPr>
          <w:color w:val="231F20"/>
          <w:w w:val="105"/>
        </w:rPr>
        <w:t>capital</w:t>
      </w:r>
      <w:r>
        <w:rPr>
          <w:color w:val="231F20"/>
          <w:spacing w:val="-11"/>
          <w:w w:val="105"/>
        </w:rPr>
        <w:t> </w:t>
      </w:r>
      <w:r>
        <w:rPr>
          <w:color w:val="231F20"/>
          <w:w w:val="105"/>
        </w:rPr>
        <w:t>ahorrado</w:t>
      </w:r>
      <w:r>
        <w:rPr>
          <w:color w:val="231F20"/>
          <w:spacing w:val="-11"/>
          <w:w w:val="105"/>
        </w:rPr>
        <w:t> </w:t>
      </w:r>
      <w:r>
        <w:rPr>
          <w:color w:val="231F20"/>
          <w:w w:val="105"/>
        </w:rPr>
        <w:t>en</w:t>
      </w:r>
      <w:r>
        <w:rPr>
          <w:color w:val="231F20"/>
          <w:spacing w:val="-11"/>
          <w:w w:val="105"/>
        </w:rPr>
        <w:t> </w:t>
      </w:r>
      <w:r>
        <w:rPr>
          <w:color w:val="231F20"/>
          <w:w w:val="105"/>
        </w:rPr>
        <w:t>el extranjero,</w:t>
      </w:r>
      <w:r>
        <w:rPr>
          <w:color w:val="231F20"/>
          <w:spacing w:val="-21"/>
          <w:w w:val="105"/>
        </w:rPr>
        <w:t> </w:t>
      </w:r>
      <w:r>
        <w:rPr>
          <w:color w:val="231F20"/>
          <w:w w:val="105"/>
        </w:rPr>
        <w:t>sobre</w:t>
      </w:r>
      <w:r>
        <w:rPr>
          <w:color w:val="231F20"/>
          <w:spacing w:val="-15"/>
          <w:w w:val="105"/>
        </w:rPr>
        <w:t> </w:t>
      </w:r>
      <w:r>
        <w:rPr>
          <w:color w:val="231F20"/>
          <w:w w:val="105"/>
        </w:rPr>
        <w:t>todo</w:t>
      </w:r>
      <w:r>
        <w:rPr>
          <w:color w:val="231F20"/>
          <w:spacing w:val="-15"/>
          <w:w w:val="105"/>
        </w:rPr>
        <w:t> </w:t>
      </w:r>
      <w:r>
        <w:rPr>
          <w:color w:val="231F20"/>
          <w:w w:val="105"/>
        </w:rPr>
        <w:t>quienes</w:t>
      </w:r>
      <w:r>
        <w:rPr>
          <w:color w:val="231F20"/>
          <w:spacing w:val="-15"/>
          <w:w w:val="105"/>
        </w:rPr>
        <w:t> </w:t>
      </w:r>
      <w:r>
        <w:rPr>
          <w:color w:val="231F20"/>
          <w:w w:val="105"/>
        </w:rPr>
        <w:t>poseen</w:t>
      </w:r>
      <w:r>
        <w:rPr>
          <w:color w:val="231F20"/>
          <w:spacing w:val="-15"/>
          <w:w w:val="105"/>
        </w:rPr>
        <w:t> </w:t>
      </w:r>
      <w:r>
        <w:rPr>
          <w:color w:val="231F20"/>
          <w:w w:val="105"/>
        </w:rPr>
        <w:t>escolaridad</w:t>
      </w:r>
      <w:r>
        <w:rPr>
          <w:color w:val="231F20"/>
          <w:spacing w:val="-15"/>
          <w:w w:val="105"/>
        </w:rPr>
        <w:t> </w:t>
      </w:r>
      <w:r>
        <w:rPr>
          <w:color w:val="231F20"/>
          <w:w w:val="105"/>
        </w:rPr>
        <w:t>y</w:t>
      </w:r>
      <w:r>
        <w:rPr>
          <w:color w:val="231F20"/>
          <w:spacing w:val="-15"/>
          <w:w w:val="105"/>
        </w:rPr>
        <w:t> </w:t>
      </w:r>
      <w:r>
        <w:rPr>
          <w:color w:val="231F20"/>
          <w:w w:val="105"/>
        </w:rPr>
        <w:t>conocimientos</w:t>
      </w:r>
      <w:r>
        <w:rPr>
          <w:color w:val="231F20"/>
          <w:spacing w:val="-15"/>
          <w:w w:val="105"/>
        </w:rPr>
        <w:t> </w:t>
      </w:r>
      <w:r>
        <w:rPr>
          <w:color w:val="231F20"/>
          <w:w w:val="105"/>
        </w:rPr>
        <w:t>pre- vios</w:t>
      </w:r>
      <w:r>
        <w:rPr>
          <w:color w:val="231F20"/>
          <w:spacing w:val="-33"/>
          <w:w w:val="105"/>
        </w:rPr>
        <w:t> </w:t>
      </w:r>
      <w:r>
        <w:rPr>
          <w:color w:val="231F20"/>
          <w:w w:val="105"/>
        </w:rPr>
        <w:t>de</w:t>
      </w:r>
      <w:r>
        <w:rPr>
          <w:color w:val="231F20"/>
          <w:spacing w:val="-33"/>
          <w:w w:val="105"/>
        </w:rPr>
        <w:t> </w:t>
      </w:r>
      <w:r>
        <w:rPr>
          <w:color w:val="231F20"/>
          <w:w w:val="105"/>
        </w:rPr>
        <w:t>negocios</w:t>
      </w:r>
      <w:r>
        <w:rPr>
          <w:color w:val="231F20"/>
          <w:spacing w:val="-33"/>
          <w:w w:val="105"/>
        </w:rPr>
        <w:t> </w:t>
      </w:r>
      <w:r>
        <w:rPr>
          <w:color w:val="231F20"/>
          <w:w w:val="105"/>
        </w:rPr>
        <w:t>(Dustmann,</w:t>
      </w:r>
      <w:r>
        <w:rPr>
          <w:color w:val="231F20"/>
          <w:spacing w:val="-36"/>
          <w:w w:val="105"/>
        </w:rPr>
        <w:t> </w:t>
      </w:r>
      <w:r>
        <w:rPr>
          <w:color w:val="231F20"/>
          <w:w w:val="105"/>
        </w:rPr>
        <w:t>2001).</w:t>
      </w:r>
      <w:r>
        <w:rPr>
          <w:color w:val="231F20"/>
          <w:spacing w:val="-36"/>
          <w:w w:val="105"/>
        </w:rPr>
        <w:t> </w:t>
      </w:r>
      <w:r>
        <w:rPr>
          <w:color w:val="231F20"/>
          <w:w w:val="105"/>
        </w:rPr>
        <w:t>En</w:t>
      </w:r>
      <w:r>
        <w:rPr>
          <w:color w:val="231F20"/>
          <w:spacing w:val="-35"/>
          <w:w w:val="105"/>
        </w:rPr>
        <w:t> </w:t>
      </w:r>
      <w:r>
        <w:rPr>
          <w:color w:val="231F20"/>
          <w:w w:val="105"/>
        </w:rPr>
        <w:t>Albania</w:t>
      </w:r>
      <w:r>
        <w:rPr>
          <w:color w:val="231F20"/>
          <w:spacing w:val="-33"/>
          <w:w w:val="105"/>
        </w:rPr>
        <w:t> </w:t>
      </w:r>
      <w:r>
        <w:rPr>
          <w:color w:val="231F20"/>
          <w:w w:val="105"/>
        </w:rPr>
        <w:t>(Piracha</w:t>
      </w:r>
      <w:r>
        <w:rPr>
          <w:color w:val="231F20"/>
          <w:spacing w:val="-33"/>
          <w:w w:val="105"/>
        </w:rPr>
        <w:t> </w:t>
      </w:r>
      <w:r>
        <w:rPr>
          <w:color w:val="231F20"/>
          <w:w w:val="105"/>
        </w:rPr>
        <w:t>y</w:t>
      </w:r>
      <w:r>
        <w:rPr>
          <w:color w:val="231F20"/>
          <w:spacing w:val="-35"/>
          <w:w w:val="105"/>
        </w:rPr>
        <w:t> </w:t>
      </w:r>
      <w:r>
        <w:rPr>
          <w:color w:val="231F20"/>
          <w:w w:val="105"/>
        </w:rPr>
        <w:t>Vadean,</w:t>
      </w:r>
      <w:r>
        <w:rPr>
          <w:color w:val="231F20"/>
          <w:spacing w:val="-36"/>
          <w:w w:val="105"/>
        </w:rPr>
        <w:t> </w:t>
      </w:r>
      <w:r>
        <w:rPr>
          <w:color w:val="231F20"/>
          <w:w w:val="105"/>
        </w:rPr>
        <w:t>2009), los</w:t>
      </w:r>
      <w:r>
        <w:rPr>
          <w:color w:val="231F20"/>
          <w:spacing w:val="-17"/>
          <w:w w:val="105"/>
        </w:rPr>
        <w:t> </w:t>
      </w:r>
      <w:r>
        <w:rPr>
          <w:color w:val="231F20"/>
          <w:w w:val="105"/>
        </w:rPr>
        <w:t>retornados</w:t>
      </w:r>
      <w:r>
        <w:rPr>
          <w:color w:val="231F20"/>
          <w:spacing w:val="-17"/>
          <w:w w:val="105"/>
        </w:rPr>
        <w:t> </w:t>
      </w:r>
      <w:r>
        <w:rPr>
          <w:color w:val="231F20"/>
          <w:w w:val="105"/>
        </w:rPr>
        <w:t>que</w:t>
      </w:r>
      <w:r>
        <w:rPr>
          <w:color w:val="231F20"/>
          <w:spacing w:val="-17"/>
          <w:w w:val="105"/>
        </w:rPr>
        <w:t> </w:t>
      </w:r>
      <w:r>
        <w:rPr>
          <w:color w:val="231F20"/>
          <w:w w:val="105"/>
        </w:rPr>
        <w:t>emprenden</w:t>
      </w:r>
      <w:r>
        <w:rPr>
          <w:color w:val="231F20"/>
          <w:spacing w:val="-17"/>
          <w:w w:val="105"/>
        </w:rPr>
        <w:t> </w:t>
      </w:r>
      <w:r>
        <w:rPr>
          <w:color w:val="231F20"/>
          <w:w w:val="105"/>
        </w:rPr>
        <w:t>algún</w:t>
      </w:r>
      <w:r>
        <w:rPr>
          <w:color w:val="231F20"/>
          <w:spacing w:val="-17"/>
          <w:w w:val="105"/>
        </w:rPr>
        <w:t> </w:t>
      </w:r>
      <w:r>
        <w:rPr>
          <w:color w:val="231F20"/>
          <w:w w:val="105"/>
        </w:rPr>
        <w:t>negocio</w:t>
      </w:r>
      <w:r>
        <w:rPr>
          <w:color w:val="231F20"/>
          <w:spacing w:val="-17"/>
          <w:w w:val="105"/>
        </w:rPr>
        <w:t> </w:t>
      </w:r>
      <w:r>
        <w:rPr>
          <w:color w:val="231F20"/>
          <w:w w:val="105"/>
        </w:rPr>
        <w:t>están</w:t>
      </w:r>
      <w:r>
        <w:rPr>
          <w:color w:val="231F20"/>
          <w:spacing w:val="-17"/>
          <w:w w:val="105"/>
        </w:rPr>
        <w:t> </w:t>
      </w:r>
      <w:r>
        <w:rPr>
          <w:color w:val="231F20"/>
          <w:w w:val="105"/>
        </w:rPr>
        <w:t>vinculados</w:t>
      </w:r>
      <w:r>
        <w:rPr>
          <w:color w:val="231F20"/>
          <w:spacing w:val="-17"/>
          <w:w w:val="105"/>
        </w:rPr>
        <w:t> </w:t>
      </w:r>
      <w:r>
        <w:rPr>
          <w:color w:val="231F20"/>
          <w:w w:val="105"/>
        </w:rPr>
        <w:t>a</w:t>
      </w:r>
      <w:r>
        <w:rPr>
          <w:color w:val="231F20"/>
          <w:spacing w:val="-17"/>
          <w:w w:val="105"/>
        </w:rPr>
        <w:t> </w:t>
      </w:r>
      <w:r>
        <w:rPr>
          <w:color w:val="231F20"/>
          <w:w w:val="105"/>
        </w:rPr>
        <w:t>índices de escolaridad, lenguaje externo o ahorros acumulados en el exterior, aunque</w:t>
      </w:r>
      <w:r>
        <w:rPr>
          <w:color w:val="231F20"/>
          <w:spacing w:val="-7"/>
          <w:w w:val="105"/>
        </w:rPr>
        <w:t> </w:t>
      </w:r>
      <w:r>
        <w:rPr>
          <w:color w:val="231F20"/>
          <w:w w:val="105"/>
        </w:rPr>
        <w:t>tienden</w:t>
      </w:r>
      <w:r>
        <w:rPr>
          <w:color w:val="231F20"/>
          <w:spacing w:val="-7"/>
          <w:w w:val="105"/>
        </w:rPr>
        <w:t> </w:t>
      </w:r>
      <w:r>
        <w:rPr>
          <w:color w:val="231F20"/>
          <w:w w:val="105"/>
        </w:rPr>
        <w:t>a</w:t>
      </w:r>
      <w:r>
        <w:rPr>
          <w:color w:val="231F20"/>
          <w:spacing w:val="-7"/>
          <w:w w:val="105"/>
        </w:rPr>
        <w:t> </w:t>
      </w:r>
      <w:r>
        <w:rPr>
          <w:color w:val="231F20"/>
          <w:w w:val="105"/>
        </w:rPr>
        <w:t>emprenderlo</w:t>
      </w:r>
      <w:r>
        <w:rPr>
          <w:color w:val="231F20"/>
          <w:spacing w:val="-7"/>
          <w:w w:val="105"/>
        </w:rPr>
        <w:t> </w:t>
      </w:r>
      <w:r>
        <w:rPr>
          <w:color w:val="231F20"/>
          <w:w w:val="105"/>
        </w:rPr>
        <w:t>hasta</w:t>
      </w:r>
      <w:r>
        <w:rPr>
          <w:color w:val="231F20"/>
          <w:spacing w:val="-7"/>
          <w:w w:val="105"/>
        </w:rPr>
        <w:t> </w:t>
      </w:r>
      <w:r>
        <w:rPr>
          <w:color w:val="231F20"/>
          <w:w w:val="105"/>
        </w:rPr>
        <w:t>después</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año</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regreso; en</w:t>
      </w:r>
      <w:r>
        <w:rPr>
          <w:color w:val="231F20"/>
          <w:spacing w:val="-6"/>
          <w:w w:val="105"/>
        </w:rPr>
        <w:t> </w:t>
      </w:r>
      <w:r>
        <w:rPr>
          <w:color w:val="231F20"/>
          <w:w w:val="105"/>
        </w:rPr>
        <w:t>este</w:t>
      </w:r>
      <w:r>
        <w:rPr>
          <w:color w:val="231F20"/>
          <w:spacing w:val="-6"/>
          <w:w w:val="105"/>
        </w:rPr>
        <w:t> </w:t>
      </w:r>
      <w:r>
        <w:rPr>
          <w:color w:val="231F20"/>
          <w:w w:val="105"/>
        </w:rPr>
        <w:t>país,</w:t>
      </w:r>
      <w:r>
        <w:rPr>
          <w:color w:val="231F20"/>
          <w:spacing w:val="-12"/>
          <w:w w:val="105"/>
        </w:rPr>
        <w:t> </w:t>
      </w:r>
      <w:r>
        <w:rPr>
          <w:color w:val="231F20"/>
          <w:w w:val="105"/>
        </w:rPr>
        <w:t>los</w:t>
      </w:r>
      <w:r>
        <w:rPr>
          <w:color w:val="231F20"/>
          <w:spacing w:val="-6"/>
          <w:w w:val="105"/>
        </w:rPr>
        <w:t> </w:t>
      </w:r>
      <w:r>
        <w:rPr>
          <w:color w:val="231F20"/>
          <w:w w:val="105"/>
        </w:rPr>
        <w:t>migrantes</w:t>
      </w:r>
      <w:r>
        <w:rPr>
          <w:color w:val="231F20"/>
          <w:spacing w:val="-6"/>
          <w:w w:val="105"/>
        </w:rPr>
        <w:t> </w:t>
      </w:r>
      <w:r>
        <w:rPr>
          <w:color w:val="231F20"/>
          <w:w w:val="105"/>
        </w:rPr>
        <w:t>que</w:t>
      </w:r>
      <w:r>
        <w:rPr>
          <w:color w:val="231F20"/>
          <w:spacing w:val="-6"/>
          <w:w w:val="105"/>
        </w:rPr>
        <w:t> </w:t>
      </w:r>
      <w:r>
        <w:rPr>
          <w:color w:val="231F20"/>
          <w:w w:val="105"/>
        </w:rPr>
        <w:t>partieron</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objetivo</w:t>
      </w:r>
      <w:r>
        <w:rPr>
          <w:color w:val="231F20"/>
          <w:spacing w:val="-6"/>
          <w:w w:val="105"/>
        </w:rPr>
        <w:t> </w:t>
      </w:r>
      <w:r>
        <w:rPr>
          <w:color w:val="231F20"/>
          <w:w w:val="105"/>
        </w:rPr>
        <w:t>de</w:t>
      </w:r>
      <w:r>
        <w:rPr>
          <w:color w:val="231F20"/>
          <w:spacing w:val="-6"/>
          <w:w w:val="105"/>
        </w:rPr>
        <w:t> </w:t>
      </w:r>
      <w:r>
        <w:rPr>
          <w:color w:val="231F20"/>
          <w:w w:val="105"/>
        </w:rPr>
        <w:t>ahorrar,</w:t>
      </w:r>
      <w:r>
        <w:rPr>
          <w:color w:val="231F20"/>
          <w:spacing w:val="-12"/>
          <w:w w:val="105"/>
        </w:rPr>
        <w:t> </w:t>
      </w:r>
      <w:r>
        <w:rPr>
          <w:color w:val="231F20"/>
          <w:w w:val="105"/>
        </w:rPr>
        <w:t>son los que al retorno crean empleo mediante emprendimientos, la acumu- lación de capital humano y financiero, dichas acciones son las que les ayuda</w:t>
      </w:r>
      <w:r>
        <w:rPr>
          <w:color w:val="231F20"/>
          <w:spacing w:val="-9"/>
          <w:w w:val="105"/>
        </w:rPr>
        <w:t> </w:t>
      </w:r>
      <w:r>
        <w:rPr>
          <w:color w:val="231F20"/>
          <w:w w:val="105"/>
        </w:rPr>
        <w:t>a</w:t>
      </w:r>
      <w:r>
        <w:rPr>
          <w:color w:val="231F20"/>
          <w:spacing w:val="-9"/>
          <w:w w:val="105"/>
        </w:rPr>
        <w:t> </w:t>
      </w:r>
      <w:r>
        <w:rPr>
          <w:color w:val="231F20"/>
          <w:w w:val="105"/>
        </w:rPr>
        <w:t>lograrlo.</w:t>
      </w:r>
      <w:r>
        <w:rPr>
          <w:color w:val="231F20"/>
          <w:spacing w:val="-17"/>
          <w:w w:val="105"/>
        </w:rPr>
        <w:t> </w:t>
      </w:r>
      <w:r>
        <w:rPr>
          <w:color w:val="231F20"/>
          <w:w w:val="105"/>
        </w:rPr>
        <w:t>Asimismo,</w:t>
      </w:r>
      <w:r>
        <w:rPr>
          <w:color w:val="231F20"/>
          <w:spacing w:val="-14"/>
          <w:w w:val="105"/>
        </w:rPr>
        <w:t> </w:t>
      </w:r>
      <w:r>
        <w:rPr>
          <w:color w:val="231F20"/>
          <w:w w:val="105"/>
        </w:rPr>
        <w:t>Murphy</w:t>
      </w:r>
      <w:r>
        <w:rPr>
          <w:color w:val="231F20"/>
          <w:spacing w:val="-9"/>
          <w:w w:val="105"/>
        </w:rPr>
        <w:t> </w:t>
      </w:r>
      <w:r>
        <w:rPr>
          <w:color w:val="231F20"/>
          <w:w w:val="105"/>
        </w:rPr>
        <w:t>(2000)</w:t>
      </w:r>
      <w:r>
        <w:rPr>
          <w:color w:val="231F20"/>
          <w:spacing w:val="-9"/>
          <w:w w:val="105"/>
        </w:rPr>
        <w:t> </w:t>
      </w:r>
      <w:r>
        <w:rPr>
          <w:color w:val="231F20"/>
          <w:w w:val="105"/>
        </w:rPr>
        <w:t>menciona</w:t>
      </w:r>
      <w:r>
        <w:rPr>
          <w:color w:val="231F20"/>
          <w:spacing w:val="-9"/>
          <w:w w:val="105"/>
        </w:rPr>
        <w:t> </w:t>
      </w:r>
      <w:r>
        <w:rPr>
          <w:color w:val="231F20"/>
          <w:w w:val="105"/>
        </w:rPr>
        <w:t>que</w:t>
      </w:r>
      <w:r>
        <w:rPr>
          <w:color w:val="231F20"/>
          <w:spacing w:val="-9"/>
          <w:w w:val="105"/>
        </w:rPr>
        <w:t> </w:t>
      </w:r>
      <w:r>
        <w:rPr>
          <w:color w:val="231F20"/>
          <w:w w:val="105"/>
        </w:rPr>
        <w:t>en</w:t>
      </w:r>
      <w:r>
        <w:rPr>
          <w:color w:val="231F20"/>
          <w:spacing w:val="-9"/>
          <w:w w:val="105"/>
        </w:rPr>
        <w:t> </w:t>
      </w:r>
      <w:r>
        <w:rPr>
          <w:color w:val="231F20"/>
          <w:w w:val="105"/>
        </w:rPr>
        <w:t>dos</w:t>
      </w:r>
      <w:r>
        <w:rPr>
          <w:color w:val="231F20"/>
          <w:spacing w:val="-9"/>
          <w:w w:val="105"/>
        </w:rPr>
        <w:t> </w:t>
      </w:r>
      <w:r>
        <w:rPr>
          <w:color w:val="231F20"/>
          <w:w w:val="105"/>
        </w:rPr>
        <w:t>locali- dades</w:t>
      </w:r>
      <w:r>
        <w:rPr>
          <w:color w:val="231F20"/>
          <w:spacing w:val="-25"/>
          <w:w w:val="105"/>
        </w:rPr>
        <w:t> </w:t>
      </w:r>
      <w:r>
        <w:rPr>
          <w:color w:val="231F20"/>
          <w:w w:val="105"/>
        </w:rPr>
        <w:t>rurales</w:t>
      </w:r>
      <w:r>
        <w:rPr>
          <w:color w:val="231F20"/>
          <w:spacing w:val="-25"/>
          <w:w w:val="105"/>
        </w:rPr>
        <w:t> </w:t>
      </w:r>
      <w:r>
        <w:rPr>
          <w:color w:val="231F20"/>
          <w:w w:val="105"/>
        </w:rPr>
        <w:t>de</w:t>
      </w:r>
      <w:r>
        <w:rPr>
          <w:color w:val="231F20"/>
          <w:spacing w:val="-25"/>
          <w:w w:val="105"/>
        </w:rPr>
        <w:t> </w:t>
      </w:r>
      <w:r>
        <w:rPr>
          <w:color w:val="231F20"/>
          <w:w w:val="105"/>
        </w:rPr>
        <w:t>China</w:t>
      </w:r>
      <w:r>
        <w:rPr>
          <w:color w:val="231F20"/>
          <w:spacing w:val="-25"/>
          <w:w w:val="105"/>
        </w:rPr>
        <w:t> </w:t>
      </w:r>
      <w:r>
        <w:rPr>
          <w:color w:val="231F20"/>
          <w:w w:val="105"/>
        </w:rPr>
        <w:t>el</w:t>
      </w:r>
      <w:r>
        <w:rPr>
          <w:color w:val="231F20"/>
          <w:spacing w:val="-25"/>
          <w:w w:val="105"/>
        </w:rPr>
        <w:t> </w:t>
      </w:r>
      <w:r>
        <w:rPr>
          <w:color w:val="231F20"/>
          <w:w w:val="105"/>
        </w:rPr>
        <w:t>95%</w:t>
      </w:r>
      <w:r>
        <w:rPr>
          <w:color w:val="231F20"/>
          <w:spacing w:val="-25"/>
          <w:w w:val="105"/>
        </w:rPr>
        <w:t> </w:t>
      </w:r>
      <w:r>
        <w:rPr>
          <w:color w:val="231F20"/>
          <w:w w:val="105"/>
        </w:rPr>
        <w:t>de</w:t>
      </w:r>
      <w:r>
        <w:rPr>
          <w:color w:val="231F20"/>
          <w:spacing w:val="-25"/>
          <w:w w:val="105"/>
        </w:rPr>
        <w:t> </w:t>
      </w:r>
      <w:r>
        <w:rPr>
          <w:color w:val="231F20"/>
          <w:w w:val="105"/>
        </w:rPr>
        <w:t>sus</w:t>
      </w:r>
      <w:r>
        <w:rPr>
          <w:color w:val="231F20"/>
          <w:spacing w:val="-25"/>
          <w:w w:val="105"/>
        </w:rPr>
        <w:t> </w:t>
      </w:r>
      <w:r>
        <w:rPr>
          <w:color w:val="231F20"/>
          <w:w w:val="105"/>
        </w:rPr>
        <w:t>retornados</w:t>
      </w:r>
      <w:r>
        <w:rPr>
          <w:color w:val="231F20"/>
          <w:spacing w:val="-25"/>
          <w:w w:val="105"/>
        </w:rPr>
        <w:t> </w:t>
      </w:r>
      <w:r>
        <w:rPr>
          <w:color w:val="231F20"/>
          <w:w w:val="105"/>
        </w:rPr>
        <w:t>volvieron</w:t>
      </w:r>
      <w:r>
        <w:rPr>
          <w:color w:val="231F20"/>
          <w:spacing w:val="-25"/>
          <w:w w:val="105"/>
        </w:rPr>
        <w:t> </w:t>
      </w:r>
      <w:r>
        <w:rPr>
          <w:color w:val="231F20"/>
          <w:w w:val="105"/>
        </w:rPr>
        <w:t>para</w:t>
      </w:r>
      <w:r>
        <w:rPr>
          <w:color w:val="231F20"/>
          <w:spacing w:val="-25"/>
          <w:w w:val="105"/>
        </w:rPr>
        <w:t> </w:t>
      </w:r>
      <w:r>
        <w:rPr>
          <w:color w:val="231F20"/>
          <w:w w:val="105"/>
        </w:rPr>
        <w:t>iniciar</w:t>
      </w:r>
      <w:r>
        <w:rPr>
          <w:color w:val="231F20"/>
          <w:spacing w:val="-25"/>
          <w:w w:val="105"/>
        </w:rPr>
        <w:t> </w:t>
      </w:r>
      <w:r>
        <w:rPr>
          <w:color w:val="231F20"/>
          <w:w w:val="105"/>
        </w:rPr>
        <w:t>un negocio similar al que los empleo en el medio urbano; la experiencia y recursos</w:t>
      </w:r>
      <w:r>
        <w:rPr>
          <w:color w:val="231F20"/>
          <w:spacing w:val="-9"/>
          <w:w w:val="105"/>
        </w:rPr>
        <w:t> </w:t>
      </w:r>
      <w:r>
        <w:rPr>
          <w:color w:val="231F20"/>
          <w:w w:val="105"/>
        </w:rPr>
        <w:t>que</w:t>
      </w:r>
      <w:r>
        <w:rPr>
          <w:color w:val="231F20"/>
          <w:spacing w:val="-9"/>
          <w:w w:val="105"/>
        </w:rPr>
        <w:t> </w:t>
      </w:r>
      <w:r>
        <w:rPr>
          <w:color w:val="231F20"/>
          <w:w w:val="105"/>
        </w:rPr>
        <w:t>traen</w:t>
      </w:r>
      <w:r>
        <w:rPr>
          <w:color w:val="231F20"/>
          <w:spacing w:val="-9"/>
          <w:w w:val="105"/>
        </w:rPr>
        <w:t> </w:t>
      </w:r>
      <w:r>
        <w:rPr>
          <w:color w:val="231F20"/>
          <w:w w:val="105"/>
        </w:rPr>
        <w:t>les</w:t>
      </w:r>
      <w:r>
        <w:rPr>
          <w:color w:val="231F20"/>
          <w:spacing w:val="-9"/>
          <w:w w:val="105"/>
        </w:rPr>
        <w:t> </w:t>
      </w:r>
      <w:r>
        <w:rPr>
          <w:color w:val="231F20"/>
          <w:w w:val="105"/>
        </w:rPr>
        <w:t>permite</w:t>
      </w:r>
      <w:r>
        <w:rPr>
          <w:color w:val="231F20"/>
          <w:spacing w:val="-9"/>
          <w:w w:val="105"/>
        </w:rPr>
        <w:t> </w:t>
      </w:r>
      <w:r>
        <w:rPr>
          <w:color w:val="231F20"/>
          <w:w w:val="105"/>
        </w:rPr>
        <w:t>participar</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gobierno</w:t>
      </w:r>
      <w:r>
        <w:rPr>
          <w:color w:val="231F20"/>
          <w:spacing w:val="-9"/>
          <w:w w:val="105"/>
        </w:rPr>
        <w:t> </w:t>
      </w:r>
      <w:r>
        <w:rPr>
          <w:color w:val="231F20"/>
          <w:w w:val="105"/>
        </w:rPr>
        <w:t>para</w:t>
      </w:r>
      <w:r>
        <w:rPr>
          <w:color w:val="231F20"/>
          <w:spacing w:val="-9"/>
          <w:w w:val="105"/>
        </w:rPr>
        <w:t> </w:t>
      </w:r>
      <w:r>
        <w:rPr>
          <w:color w:val="231F20"/>
          <w:w w:val="105"/>
        </w:rPr>
        <w:t>promover cambios</w:t>
      </w:r>
      <w:r>
        <w:rPr>
          <w:color w:val="231F20"/>
          <w:spacing w:val="-35"/>
          <w:w w:val="105"/>
        </w:rPr>
        <w:t> </w:t>
      </w:r>
      <w:r>
        <w:rPr>
          <w:color w:val="231F20"/>
          <w:w w:val="105"/>
        </w:rPr>
        <w:t>locales</w:t>
      </w:r>
      <w:r>
        <w:rPr>
          <w:color w:val="231F20"/>
          <w:spacing w:val="-35"/>
          <w:w w:val="105"/>
        </w:rPr>
        <w:t> </w:t>
      </w:r>
      <w:r>
        <w:rPr>
          <w:color w:val="231F20"/>
          <w:w w:val="105"/>
        </w:rPr>
        <w:t>e</w:t>
      </w:r>
      <w:r>
        <w:rPr>
          <w:color w:val="231F20"/>
          <w:spacing w:val="-35"/>
          <w:w w:val="105"/>
        </w:rPr>
        <w:t> </w:t>
      </w:r>
      <w:r>
        <w:rPr>
          <w:color w:val="231F20"/>
          <w:w w:val="105"/>
        </w:rPr>
        <w:t>infraestructura,</w:t>
      </w:r>
      <w:r>
        <w:rPr>
          <w:color w:val="231F20"/>
          <w:spacing w:val="-39"/>
          <w:w w:val="105"/>
        </w:rPr>
        <w:t> </w:t>
      </w:r>
      <w:r>
        <w:rPr>
          <w:color w:val="231F20"/>
          <w:w w:val="105"/>
        </w:rPr>
        <w:t>volviendo</w:t>
      </w:r>
      <w:r>
        <w:rPr>
          <w:color w:val="231F20"/>
          <w:spacing w:val="-35"/>
          <w:w w:val="105"/>
        </w:rPr>
        <w:t> </w:t>
      </w:r>
      <w:r>
        <w:rPr>
          <w:color w:val="231F20"/>
          <w:w w:val="105"/>
        </w:rPr>
        <w:t>las</w:t>
      </w:r>
      <w:r>
        <w:rPr>
          <w:color w:val="231F20"/>
          <w:spacing w:val="-35"/>
          <w:w w:val="105"/>
        </w:rPr>
        <w:t> </w:t>
      </w:r>
      <w:r>
        <w:rPr>
          <w:color w:val="231F20"/>
          <w:w w:val="105"/>
        </w:rPr>
        <w:t>comunidades</w:t>
      </w:r>
      <w:r>
        <w:rPr>
          <w:color w:val="231F20"/>
          <w:spacing w:val="-35"/>
          <w:w w:val="105"/>
        </w:rPr>
        <w:t> </w:t>
      </w:r>
      <w:r>
        <w:rPr>
          <w:color w:val="231F20"/>
          <w:w w:val="105"/>
        </w:rPr>
        <w:t>más</w:t>
      </w:r>
      <w:r>
        <w:rPr>
          <w:color w:val="231F20"/>
          <w:spacing w:val="-35"/>
          <w:w w:val="105"/>
        </w:rPr>
        <w:t> </w:t>
      </w:r>
      <w:r>
        <w:rPr>
          <w:color w:val="231F20"/>
          <w:w w:val="105"/>
        </w:rPr>
        <w:t>atracti- vas</w:t>
      </w:r>
      <w:r>
        <w:rPr>
          <w:color w:val="231F20"/>
          <w:spacing w:val="-21"/>
          <w:w w:val="105"/>
        </w:rPr>
        <w:t> </w:t>
      </w:r>
      <w:r>
        <w:rPr>
          <w:color w:val="231F20"/>
          <w:w w:val="105"/>
        </w:rPr>
        <w:t>para</w:t>
      </w:r>
      <w:r>
        <w:rPr>
          <w:color w:val="231F20"/>
          <w:spacing w:val="-21"/>
          <w:w w:val="105"/>
        </w:rPr>
        <w:t> </w:t>
      </w:r>
      <w:r>
        <w:rPr>
          <w:color w:val="231F20"/>
          <w:w w:val="105"/>
        </w:rPr>
        <w:t>los</w:t>
      </w:r>
      <w:r>
        <w:rPr>
          <w:color w:val="231F20"/>
          <w:spacing w:val="-21"/>
          <w:w w:val="105"/>
        </w:rPr>
        <w:t> </w:t>
      </w:r>
      <w:r>
        <w:rPr>
          <w:color w:val="231F20"/>
          <w:w w:val="105"/>
        </w:rPr>
        <w:t>negocios,</w:t>
      </w:r>
      <w:r>
        <w:rPr>
          <w:color w:val="231F20"/>
          <w:spacing w:val="-25"/>
          <w:w w:val="105"/>
        </w:rPr>
        <w:t> </w:t>
      </w:r>
      <w:r>
        <w:rPr>
          <w:color w:val="231F20"/>
          <w:w w:val="105"/>
        </w:rPr>
        <w:t>es</w:t>
      </w:r>
      <w:r>
        <w:rPr>
          <w:color w:val="231F20"/>
          <w:spacing w:val="-21"/>
          <w:w w:val="105"/>
        </w:rPr>
        <w:t> </w:t>
      </w:r>
      <w:r>
        <w:rPr>
          <w:color w:val="231F20"/>
          <w:w w:val="105"/>
        </w:rPr>
        <w:t>decir,</w:t>
      </w:r>
      <w:r>
        <w:rPr>
          <w:color w:val="231F20"/>
          <w:spacing w:val="-25"/>
          <w:w w:val="105"/>
        </w:rPr>
        <w:t> </w:t>
      </w:r>
      <w:r>
        <w:rPr>
          <w:color w:val="231F20"/>
          <w:w w:val="105"/>
        </w:rPr>
        <w:t>ayudan</w:t>
      </w:r>
      <w:r>
        <w:rPr>
          <w:color w:val="231F20"/>
          <w:spacing w:val="-21"/>
          <w:w w:val="105"/>
        </w:rPr>
        <w:t> </w:t>
      </w:r>
      <w:r>
        <w:rPr>
          <w:color w:val="231F20"/>
          <w:w w:val="105"/>
        </w:rPr>
        <w:t>a</w:t>
      </w:r>
      <w:r>
        <w:rPr>
          <w:color w:val="231F20"/>
          <w:spacing w:val="-21"/>
          <w:w w:val="105"/>
        </w:rPr>
        <w:t> </w:t>
      </w:r>
      <w:r>
        <w:rPr>
          <w:color w:val="231F20"/>
          <w:w w:val="105"/>
        </w:rPr>
        <w:t>vincular</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comunidades</w:t>
      </w:r>
      <w:r>
        <w:rPr>
          <w:color w:val="231F20"/>
          <w:spacing w:val="-21"/>
          <w:w w:val="105"/>
        </w:rPr>
        <w:t> </w:t>
      </w:r>
      <w:r>
        <w:rPr>
          <w:color w:val="231F20"/>
          <w:w w:val="105"/>
        </w:rPr>
        <w:t>con sus</w:t>
      </w:r>
      <w:r>
        <w:rPr>
          <w:color w:val="231F20"/>
          <w:spacing w:val="-20"/>
          <w:w w:val="105"/>
        </w:rPr>
        <w:t> </w:t>
      </w:r>
      <w:r>
        <w:rPr>
          <w:color w:val="231F20"/>
          <w:w w:val="105"/>
        </w:rPr>
        <w:t>habilidades,</w:t>
      </w:r>
      <w:r>
        <w:rPr>
          <w:color w:val="231F20"/>
          <w:spacing w:val="-25"/>
          <w:w w:val="105"/>
        </w:rPr>
        <w:t> </w:t>
      </w:r>
      <w:r>
        <w:rPr>
          <w:color w:val="231F20"/>
          <w:w w:val="105"/>
        </w:rPr>
        <w:t>contactos</w:t>
      </w:r>
      <w:r>
        <w:rPr>
          <w:color w:val="231F20"/>
          <w:spacing w:val="-20"/>
          <w:w w:val="105"/>
        </w:rPr>
        <w:t> </w:t>
      </w:r>
      <w:r>
        <w:rPr>
          <w:color w:val="231F20"/>
          <w:w w:val="105"/>
        </w:rPr>
        <w:t>e</w:t>
      </w:r>
      <w:r>
        <w:rPr>
          <w:color w:val="231F20"/>
          <w:spacing w:val="-20"/>
          <w:w w:val="105"/>
        </w:rPr>
        <w:t> </w:t>
      </w:r>
      <w:r>
        <w:rPr>
          <w:color w:val="231F20"/>
          <w:w w:val="105"/>
        </w:rPr>
        <w:t>información</w:t>
      </w:r>
      <w:r>
        <w:rPr>
          <w:color w:val="231F20"/>
          <w:spacing w:val="-20"/>
          <w:w w:val="105"/>
        </w:rPr>
        <w:t> </w:t>
      </w:r>
      <w:r>
        <w:rPr>
          <w:color w:val="231F20"/>
          <w:w w:val="105"/>
        </w:rPr>
        <w:t>de</w:t>
      </w:r>
      <w:r>
        <w:rPr>
          <w:color w:val="231F20"/>
          <w:spacing w:val="-20"/>
          <w:w w:val="105"/>
        </w:rPr>
        <w:t> </w:t>
      </w:r>
      <w:r>
        <w:rPr>
          <w:color w:val="231F20"/>
          <w:w w:val="105"/>
        </w:rPr>
        <w:t>mercado.</w:t>
      </w:r>
      <w:r>
        <w:rPr>
          <w:color w:val="231F20"/>
          <w:spacing w:val="-25"/>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occidente</w:t>
      </w:r>
      <w:r>
        <w:rPr>
          <w:color w:val="231F20"/>
          <w:spacing w:val="-20"/>
          <w:w w:val="105"/>
        </w:rPr>
        <w:t> </w:t>
      </w:r>
      <w:r>
        <w:rPr>
          <w:color w:val="231F20"/>
          <w:w w:val="105"/>
        </w:rPr>
        <w:t>de México,</w:t>
      </w:r>
      <w:r>
        <w:rPr>
          <w:color w:val="231F20"/>
          <w:spacing w:val="-21"/>
          <w:w w:val="105"/>
        </w:rPr>
        <w:t> </w:t>
      </w:r>
      <w:r>
        <w:rPr>
          <w:color w:val="231F20"/>
          <w:spacing w:val="-3"/>
          <w:w w:val="105"/>
        </w:rPr>
        <w:t>Papail</w:t>
      </w:r>
      <w:r>
        <w:rPr>
          <w:color w:val="231F20"/>
          <w:spacing w:val="-16"/>
          <w:w w:val="105"/>
        </w:rPr>
        <w:t> </w:t>
      </w:r>
      <w:r>
        <w:rPr>
          <w:color w:val="231F20"/>
          <w:w w:val="105"/>
        </w:rPr>
        <w:t>(2003)</w:t>
      </w:r>
      <w:r>
        <w:rPr>
          <w:color w:val="231F20"/>
          <w:spacing w:val="-17"/>
          <w:w w:val="105"/>
        </w:rPr>
        <w:t> </w:t>
      </w:r>
      <w:r>
        <w:rPr>
          <w:color w:val="231F20"/>
          <w:w w:val="105"/>
        </w:rPr>
        <w:t>encontró</w:t>
      </w:r>
      <w:r>
        <w:rPr>
          <w:color w:val="231F20"/>
          <w:spacing w:val="-16"/>
          <w:w w:val="105"/>
        </w:rPr>
        <w:t> </w:t>
      </w:r>
      <w:r>
        <w:rPr>
          <w:color w:val="231F20"/>
          <w:w w:val="105"/>
        </w:rPr>
        <w:t>que</w:t>
      </w:r>
      <w:r>
        <w:rPr>
          <w:color w:val="231F20"/>
          <w:spacing w:val="-16"/>
          <w:w w:val="105"/>
        </w:rPr>
        <w:t> </w:t>
      </w:r>
      <w:r>
        <w:rPr>
          <w:color w:val="231F20"/>
          <w:w w:val="105"/>
        </w:rPr>
        <w:t>con</w:t>
      </w:r>
      <w:r>
        <w:rPr>
          <w:color w:val="231F20"/>
          <w:spacing w:val="-17"/>
          <w:w w:val="105"/>
        </w:rPr>
        <w:t> </w:t>
      </w:r>
      <w:r>
        <w:rPr>
          <w:color w:val="231F20"/>
          <w:w w:val="105"/>
        </w:rPr>
        <w:t>las</w:t>
      </w:r>
      <w:r>
        <w:rPr>
          <w:color w:val="231F20"/>
          <w:spacing w:val="-16"/>
          <w:w w:val="105"/>
        </w:rPr>
        <w:t> </w:t>
      </w:r>
      <w:r>
        <w:rPr>
          <w:color w:val="231F20"/>
          <w:w w:val="105"/>
        </w:rPr>
        <w:t>remesas</w:t>
      </w:r>
      <w:r>
        <w:rPr>
          <w:color w:val="231F20"/>
          <w:spacing w:val="-16"/>
          <w:w w:val="105"/>
        </w:rPr>
        <w:t> </w:t>
      </w:r>
      <w:r>
        <w:rPr>
          <w:color w:val="231F20"/>
          <w:w w:val="105"/>
        </w:rPr>
        <w:t>algunos</w:t>
      </w:r>
      <w:r>
        <w:rPr>
          <w:color w:val="231F20"/>
          <w:spacing w:val="-16"/>
          <w:w w:val="105"/>
        </w:rPr>
        <w:t> </w:t>
      </w:r>
      <w:r>
        <w:rPr>
          <w:color w:val="231F20"/>
          <w:w w:val="105"/>
        </w:rPr>
        <w:t>retornados pudieron moverse laboralmente de lo rural hacia actividades terciarias, otros</w:t>
      </w:r>
      <w:r>
        <w:rPr>
          <w:color w:val="231F20"/>
          <w:spacing w:val="-20"/>
          <w:w w:val="105"/>
        </w:rPr>
        <w:t> </w:t>
      </w:r>
      <w:r>
        <w:rPr>
          <w:color w:val="231F20"/>
          <w:w w:val="105"/>
        </w:rPr>
        <w:t>se</w:t>
      </w:r>
      <w:r>
        <w:rPr>
          <w:color w:val="231F20"/>
          <w:spacing w:val="-20"/>
          <w:w w:val="105"/>
        </w:rPr>
        <w:t> </w:t>
      </w:r>
      <w:r>
        <w:rPr>
          <w:color w:val="231F20"/>
          <w:w w:val="105"/>
        </w:rPr>
        <w:t>transformaron</w:t>
      </w:r>
      <w:r>
        <w:rPr>
          <w:color w:val="231F20"/>
          <w:spacing w:val="-20"/>
          <w:w w:val="105"/>
        </w:rPr>
        <w:t> </w:t>
      </w:r>
      <w:r>
        <w:rPr>
          <w:color w:val="231F20"/>
          <w:w w:val="105"/>
        </w:rPr>
        <w:t>en</w:t>
      </w:r>
      <w:r>
        <w:rPr>
          <w:color w:val="231F20"/>
          <w:spacing w:val="-20"/>
          <w:w w:val="105"/>
        </w:rPr>
        <w:t> </w:t>
      </w:r>
      <w:r>
        <w:rPr>
          <w:color w:val="231F20"/>
          <w:w w:val="105"/>
        </w:rPr>
        <w:t>auto</w:t>
      </w:r>
      <w:r>
        <w:rPr>
          <w:color w:val="231F20"/>
          <w:spacing w:val="-20"/>
          <w:w w:val="105"/>
        </w:rPr>
        <w:t> </w:t>
      </w:r>
      <w:r>
        <w:rPr>
          <w:color w:val="231F20"/>
          <w:w w:val="105"/>
        </w:rPr>
        <w:t>empleados</w:t>
      </w:r>
      <w:r>
        <w:rPr>
          <w:color w:val="231F20"/>
          <w:spacing w:val="-20"/>
          <w:w w:val="105"/>
        </w:rPr>
        <w:t> </w:t>
      </w:r>
      <w:r>
        <w:rPr>
          <w:color w:val="231F20"/>
          <w:w w:val="105"/>
        </w:rPr>
        <w:t>y</w:t>
      </w:r>
      <w:r>
        <w:rPr>
          <w:color w:val="231F20"/>
          <w:spacing w:val="-20"/>
          <w:w w:val="105"/>
        </w:rPr>
        <w:t> </w:t>
      </w:r>
      <w:r>
        <w:rPr>
          <w:color w:val="231F20"/>
          <w:w w:val="105"/>
        </w:rPr>
        <w:t>generaron</w:t>
      </w:r>
      <w:r>
        <w:rPr>
          <w:color w:val="231F20"/>
          <w:spacing w:val="-20"/>
          <w:w w:val="105"/>
        </w:rPr>
        <w:t> </w:t>
      </w:r>
      <w:r>
        <w:rPr>
          <w:color w:val="231F20"/>
          <w:w w:val="105"/>
        </w:rPr>
        <w:t>ingresos,</w:t>
      </w:r>
      <w:r>
        <w:rPr>
          <w:color w:val="231F20"/>
          <w:spacing w:val="-24"/>
          <w:w w:val="105"/>
        </w:rPr>
        <w:t> </w:t>
      </w:r>
      <w:r>
        <w:rPr>
          <w:color w:val="231F20"/>
          <w:w w:val="105"/>
        </w:rPr>
        <w:t>asimis- mo</w:t>
      </w:r>
      <w:r>
        <w:rPr>
          <w:color w:val="231F20"/>
          <w:spacing w:val="-30"/>
          <w:w w:val="105"/>
        </w:rPr>
        <w:t> </w:t>
      </w:r>
      <w:r>
        <w:rPr>
          <w:color w:val="231F20"/>
          <w:w w:val="105"/>
        </w:rPr>
        <w:t>las</w:t>
      </w:r>
      <w:r>
        <w:rPr>
          <w:color w:val="231F20"/>
          <w:spacing w:val="-30"/>
          <w:w w:val="105"/>
        </w:rPr>
        <w:t> </w:t>
      </w:r>
      <w:r>
        <w:rPr>
          <w:color w:val="231F20"/>
          <w:w w:val="105"/>
        </w:rPr>
        <w:t>capacitaciones</w:t>
      </w:r>
      <w:r>
        <w:rPr>
          <w:color w:val="231F20"/>
          <w:spacing w:val="-30"/>
          <w:w w:val="105"/>
        </w:rPr>
        <w:t> </w:t>
      </w:r>
      <w:r>
        <w:rPr>
          <w:color w:val="231F20"/>
          <w:w w:val="105"/>
        </w:rPr>
        <w:t>formales</w:t>
      </w:r>
      <w:r>
        <w:rPr>
          <w:color w:val="231F20"/>
          <w:spacing w:val="-30"/>
          <w:w w:val="105"/>
        </w:rPr>
        <w:t> </w:t>
      </w:r>
      <w:r>
        <w:rPr>
          <w:color w:val="231F20"/>
          <w:w w:val="105"/>
        </w:rPr>
        <w:t>e</w:t>
      </w:r>
      <w:r>
        <w:rPr>
          <w:color w:val="231F20"/>
          <w:spacing w:val="-30"/>
          <w:w w:val="105"/>
        </w:rPr>
        <w:t> </w:t>
      </w:r>
      <w:r>
        <w:rPr>
          <w:color w:val="231F20"/>
          <w:w w:val="105"/>
        </w:rPr>
        <w:t>informales</w:t>
      </w:r>
      <w:r>
        <w:rPr>
          <w:color w:val="231F20"/>
          <w:spacing w:val="-30"/>
          <w:w w:val="105"/>
        </w:rPr>
        <w:t> </w:t>
      </w:r>
      <w:r>
        <w:rPr>
          <w:color w:val="231F20"/>
          <w:w w:val="105"/>
        </w:rPr>
        <w:t>recibidas</w:t>
      </w:r>
      <w:r>
        <w:rPr>
          <w:color w:val="231F20"/>
          <w:spacing w:val="-30"/>
          <w:w w:val="105"/>
        </w:rPr>
        <w:t> </w:t>
      </w:r>
      <w:r>
        <w:rPr>
          <w:color w:val="231F20"/>
          <w:w w:val="105"/>
        </w:rPr>
        <w:t>en</w:t>
      </w:r>
      <w:r>
        <w:rPr>
          <w:color w:val="231F20"/>
          <w:spacing w:val="-30"/>
          <w:w w:val="105"/>
        </w:rPr>
        <w:t> </w:t>
      </w:r>
      <w:r>
        <w:rPr>
          <w:color w:val="231F20"/>
          <w:w w:val="105"/>
        </w:rPr>
        <w:t>Estados</w:t>
      </w:r>
      <w:r>
        <w:rPr>
          <w:color w:val="231F20"/>
          <w:spacing w:val="-30"/>
          <w:w w:val="105"/>
        </w:rPr>
        <w:t> </w:t>
      </w:r>
      <w:r>
        <w:rPr>
          <w:color w:val="231F20"/>
          <w:w w:val="105"/>
        </w:rPr>
        <w:t>Unidos les</w:t>
      </w:r>
      <w:r>
        <w:rPr>
          <w:color w:val="231F20"/>
          <w:spacing w:val="-32"/>
          <w:w w:val="105"/>
        </w:rPr>
        <w:t> </w:t>
      </w:r>
      <w:r>
        <w:rPr>
          <w:color w:val="231F20"/>
          <w:w w:val="105"/>
        </w:rPr>
        <w:t>ayudaron</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retorno.</w:t>
      </w:r>
      <w:r>
        <w:rPr>
          <w:color w:val="231F20"/>
          <w:spacing w:val="-36"/>
          <w:w w:val="105"/>
        </w:rPr>
        <w:t> </w:t>
      </w:r>
      <w:r>
        <w:rPr>
          <w:color w:val="231F20"/>
          <w:w w:val="105"/>
        </w:rPr>
        <w:t>En</w:t>
      </w:r>
      <w:r>
        <w:rPr>
          <w:color w:val="231F20"/>
          <w:spacing w:val="-35"/>
          <w:w w:val="105"/>
        </w:rPr>
        <w:t> </w:t>
      </w:r>
      <w:r>
        <w:rPr>
          <w:color w:val="231F20"/>
          <w:w w:val="105"/>
        </w:rPr>
        <w:t>Temascalcingo,</w:t>
      </w:r>
      <w:r>
        <w:rPr>
          <w:color w:val="231F20"/>
          <w:spacing w:val="-36"/>
          <w:w w:val="105"/>
        </w:rPr>
        <w:t> </w:t>
      </w:r>
      <w:r>
        <w:rPr>
          <w:color w:val="231F20"/>
          <w:w w:val="105"/>
        </w:rPr>
        <w:t>Estado</w:t>
      </w:r>
      <w:r>
        <w:rPr>
          <w:color w:val="231F20"/>
          <w:spacing w:val="-32"/>
          <w:w w:val="105"/>
        </w:rPr>
        <w:t> </w:t>
      </w:r>
      <w:r>
        <w:rPr>
          <w:color w:val="231F20"/>
          <w:w w:val="105"/>
        </w:rPr>
        <w:t>de</w:t>
      </w:r>
      <w:r>
        <w:rPr>
          <w:color w:val="231F20"/>
          <w:spacing w:val="-32"/>
          <w:w w:val="105"/>
        </w:rPr>
        <w:t> </w:t>
      </w:r>
      <w:r>
        <w:rPr>
          <w:color w:val="231F20"/>
          <w:w w:val="105"/>
        </w:rPr>
        <w:t>México,</w:t>
      </w:r>
      <w:r>
        <w:rPr>
          <w:color w:val="231F20"/>
          <w:spacing w:val="-36"/>
          <w:w w:val="105"/>
        </w:rPr>
        <w:t> </w:t>
      </w:r>
      <w:r>
        <w:rPr>
          <w:color w:val="231F20"/>
          <w:w w:val="105"/>
        </w:rPr>
        <w:t>algunos retornados</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w w:val="105"/>
        </w:rPr>
        <w:t>sólo</w:t>
      </w:r>
      <w:r>
        <w:rPr>
          <w:color w:val="231F20"/>
          <w:spacing w:val="-7"/>
          <w:w w:val="105"/>
        </w:rPr>
        <w:t> </w:t>
      </w:r>
      <w:r>
        <w:rPr>
          <w:color w:val="231F20"/>
          <w:w w:val="105"/>
        </w:rPr>
        <w:t>hecho</w:t>
      </w:r>
      <w:r>
        <w:rPr>
          <w:color w:val="231F20"/>
          <w:spacing w:val="-7"/>
          <w:w w:val="105"/>
        </w:rPr>
        <w:t> </w:t>
      </w:r>
      <w:r>
        <w:rPr>
          <w:color w:val="231F20"/>
          <w:w w:val="105"/>
        </w:rPr>
        <w:t>de</w:t>
      </w:r>
      <w:r>
        <w:rPr>
          <w:color w:val="231F20"/>
          <w:spacing w:val="-7"/>
          <w:w w:val="105"/>
        </w:rPr>
        <w:t> </w:t>
      </w:r>
      <w:r>
        <w:rPr>
          <w:color w:val="231F20"/>
          <w:w w:val="105"/>
        </w:rPr>
        <w:t>traer</w:t>
      </w:r>
      <w:r>
        <w:rPr>
          <w:color w:val="231F20"/>
          <w:spacing w:val="-7"/>
          <w:w w:val="105"/>
        </w:rPr>
        <w:t> </w:t>
      </w:r>
      <w:r>
        <w:rPr>
          <w:color w:val="231F20"/>
          <w:w w:val="105"/>
        </w:rPr>
        <w:t>aprendizajes</w:t>
      </w:r>
      <w:r>
        <w:rPr>
          <w:color w:val="231F20"/>
          <w:spacing w:val="-7"/>
          <w:w w:val="105"/>
        </w:rPr>
        <w:t> </w:t>
      </w:r>
      <w:r>
        <w:rPr>
          <w:color w:val="231F20"/>
          <w:w w:val="105"/>
        </w:rPr>
        <w:t>y</w:t>
      </w:r>
      <w:r>
        <w:rPr>
          <w:color w:val="231F20"/>
          <w:spacing w:val="-7"/>
          <w:w w:val="105"/>
        </w:rPr>
        <w:t> </w:t>
      </w:r>
      <w:r>
        <w:rPr>
          <w:color w:val="231F20"/>
          <w:w w:val="105"/>
        </w:rPr>
        <w:t>experiencia</w:t>
      </w:r>
      <w:r>
        <w:rPr>
          <w:color w:val="231F20"/>
          <w:spacing w:val="-7"/>
          <w:w w:val="105"/>
        </w:rPr>
        <w:t> </w:t>
      </w:r>
      <w:r>
        <w:rPr>
          <w:color w:val="231F20"/>
          <w:w w:val="105"/>
        </w:rPr>
        <w:t>del</w:t>
      </w:r>
      <w:r>
        <w:rPr>
          <w:color w:val="231F20"/>
          <w:spacing w:val="-7"/>
          <w:w w:val="105"/>
        </w:rPr>
        <w:t> </w:t>
      </w:r>
      <w:r>
        <w:rPr>
          <w:color w:val="231F20"/>
          <w:w w:val="105"/>
        </w:rPr>
        <w:t>ex- tranjero, por mostrar una actitud positiva o por mayor madurez, son in- cluidos</w:t>
      </w:r>
      <w:r>
        <w:rPr>
          <w:color w:val="231F20"/>
          <w:spacing w:val="-25"/>
          <w:w w:val="105"/>
        </w:rPr>
        <w:t> </w:t>
      </w:r>
      <w:r>
        <w:rPr>
          <w:color w:val="231F20"/>
          <w:w w:val="105"/>
        </w:rPr>
        <w:t>en</w:t>
      </w:r>
      <w:r>
        <w:rPr>
          <w:color w:val="231F20"/>
          <w:spacing w:val="-25"/>
          <w:w w:val="105"/>
        </w:rPr>
        <w:t> </w:t>
      </w:r>
      <w:r>
        <w:rPr>
          <w:color w:val="231F20"/>
          <w:w w:val="105"/>
        </w:rPr>
        <w:t>asambleas,</w:t>
      </w:r>
      <w:r>
        <w:rPr>
          <w:color w:val="231F20"/>
          <w:spacing w:val="-30"/>
          <w:w w:val="105"/>
        </w:rPr>
        <w:t> </w:t>
      </w:r>
      <w:r>
        <w:rPr>
          <w:color w:val="231F20"/>
          <w:w w:val="105"/>
        </w:rPr>
        <w:t>proyectos</w:t>
      </w:r>
      <w:r>
        <w:rPr>
          <w:color w:val="231F20"/>
          <w:spacing w:val="-25"/>
          <w:w w:val="105"/>
        </w:rPr>
        <w:t> </w:t>
      </w:r>
      <w:r>
        <w:rPr>
          <w:color w:val="231F20"/>
          <w:w w:val="105"/>
        </w:rPr>
        <w:t>comunales</w:t>
      </w:r>
      <w:r>
        <w:rPr>
          <w:color w:val="231F20"/>
          <w:spacing w:val="-25"/>
          <w:w w:val="105"/>
        </w:rPr>
        <w:t> </w:t>
      </w:r>
      <w:r>
        <w:rPr>
          <w:color w:val="231F20"/>
          <w:w w:val="105"/>
        </w:rPr>
        <w:t>y</w:t>
      </w:r>
      <w:r>
        <w:rPr>
          <w:color w:val="231F20"/>
          <w:spacing w:val="-25"/>
          <w:w w:val="105"/>
        </w:rPr>
        <w:t> </w:t>
      </w:r>
      <w:r>
        <w:rPr>
          <w:color w:val="231F20"/>
          <w:w w:val="105"/>
        </w:rPr>
        <w:t>familiares</w:t>
      </w:r>
      <w:r>
        <w:rPr>
          <w:color w:val="231F20"/>
          <w:spacing w:val="-25"/>
          <w:w w:val="105"/>
        </w:rPr>
        <w:t>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que</w:t>
      </w:r>
      <w:r>
        <w:rPr>
          <w:color w:val="231F20"/>
          <w:spacing w:val="-25"/>
          <w:w w:val="105"/>
        </w:rPr>
        <w:t> </w:t>
      </w:r>
      <w:r>
        <w:rPr>
          <w:color w:val="231F20"/>
          <w:w w:val="105"/>
        </w:rPr>
        <w:t>antes </w:t>
      </w:r>
      <w:r>
        <w:rPr>
          <w:color w:val="231F20"/>
        </w:rPr>
        <w:t>se</w:t>
      </w:r>
      <w:r>
        <w:rPr>
          <w:color w:val="231F20"/>
          <w:spacing w:val="-10"/>
        </w:rPr>
        <w:t> </w:t>
      </w:r>
      <w:r>
        <w:rPr>
          <w:color w:val="231F20"/>
        </w:rPr>
        <w:t>les</w:t>
      </w:r>
      <w:r>
        <w:rPr>
          <w:color w:val="231F20"/>
          <w:spacing w:val="-10"/>
        </w:rPr>
        <w:t> </w:t>
      </w:r>
      <w:r>
        <w:rPr>
          <w:color w:val="231F20"/>
        </w:rPr>
        <w:t>excluía</w:t>
      </w:r>
      <w:r>
        <w:rPr>
          <w:color w:val="231F20"/>
          <w:spacing w:val="-10"/>
        </w:rPr>
        <w:t> </w:t>
      </w:r>
      <w:r>
        <w:rPr>
          <w:color w:val="231F20"/>
        </w:rPr>
        <w:t>(Salas</w:t>
      </w:r>
      <w:r>
        <w:rPr>
          <w:color w:val="231F20"/>
          <w:spacing w:val="-10"/>
        </w:rPr>
        <w:t> </w:t>
      </w:r>
      <w:r>
        <w:rPr>
          <w:color w:val="231F20"/>
        </w:rPr>
        <w:t>y</w:t>
      </w:r>
      <w:r>
        <w:rPr>
          <w:color w:val="231F20"/>
          <w:spacing w:val="-14"/>
        </w:rPr>
        <w:t> </w:t>
      </w:r>
      <w:r>
        <w:rPr>
          <w:color w:val="231F20"/>
        </w:rPr>
        <w:t>Alcántara,</w:t>
      </w:r>
      <w:r>
        <w:rPr>
          <w:color w:val="231F20"/>
          <w:spacing w:val="-16"/>
        </w:rPr>
        <w:t> </w:t>
      </w:r>
      <w:r>
        <w:rPr>
          <w:color w:val="231F20"/>
        </w:rPr>
        <w:t>2012).</w:t>
      </w:r>
    </w:p>
    <w:p>
      <w:pPr>
        <w:spacing w:after="0" w:line="261" w:lineRule="auto"/>
        <w:jc w:val="both"/>
        <w:sectPr>
          <w:headerReference w:type="default" r:id="rId304"/>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28552" from="15pt,-71.68644pt" to="0pt,-71.68644pt" stroked="true" strokeweight=".25pt" strokecolor="#000000">
            <w10:wrap type="none"/>
          </v:line>
        </w:pict>
      </w:r>
      <w:r>
        <w:rPr/>
        <w:pict>
          <v:line style="position:absolute;mso-position-horizontal-relative:page;mso-position-vertical-relative:paragraph;z-index:28576" from="508.890015pt,-71.68644pt" to="523.890015pt,-71.68644pt" stroked="true" strokeweight=".25pt" strokecolor="#000000">
            <w10:wrap type="none"/>
          </v:line>
        </w:pict>
      </w:r>
      <w:r>
        <w:rPr>
          <w:color w:val="231F20"/>
          <w:w w:val="105"/>
        </w:rPr>
        <w:t>En otros lugares de migración en el mundo, es el entorno lo que res- tringe los esfuerzos de los retornados. </w:t>
      </w:r>
      <w:r>
        <w:rPr>
          <w:color w:val="231F20"/>
          <w:spacing w:val="-6"/>
          <w:w w:val="105"/>
        </w:rPr>
        <w:t>Por </w:t>
      </w:r>
      <w:r>
        <w:rPr>
          <w:color w:val="231F20"/>
          <w:w w:val="105"/>
        </w:rPr>
        <w:t>ejemplo, en Camerún los</w:t>
      </w:r>
      <w:r>
        <w:rPr>
          <w:color w:val="231F20"/>
          <w:spacing w:val="-26"/>
          <w:w w:val="105"/>
        </w:rPr>
        <w:t> </w:t>
      </w:r>
      <w:r>
        <w:rPr>
          <w:color w:val="231F20"/>
          <w:w w:val="105"/>
        </w:rPr>
        <w:t>re- tornados están más escolarizados y calificados, pero su entorno social los aparta porque destacan y al asumir riesgos no son práctica común: los no migrantes no los aceptan como grupo de cambio social</w:t>
      </w:r>
      <w:r>
        <w:rPr>
          <w:color w:val="231F20"/>
          <w:spacing w:val="-16"/>
          <w:w w:val="105"/>
        </w:rPr>
        <w:t> </w:t>
      </w:r>
      <w:r>
        <w:rPr>
          <w:color w:val="231F20"/>
          <w:w w:val="105"/>
        </w:rPr>
        <w:t>(Zwania, 2013: 27). Lo mismo sucede en Sri Lanka donde se verifica un desuso de</w:t>
      </w:r>
      <w:r>
        <w:rPr>
          <w:color w:val="231F20"/>
          <w:spacing w:val="-24"/>
          <w:w w:val="105"/>
        </w:rPr>
        <w:t> </w:t>
      </w:r>
      <w:r>
        <w:rPr>
          <w:color w:val="231F20"/>
          <w:w w:val="105"/>
        </w:rPr>
        <w:t>habilidades</w:t>
      </w:r>
      <w:r>
        <w:rPr>
          <w:color w:val="231F20"/>
          <w:spacing w:val="-24"/>
          <w:w w:val="105"/>
        </w:rPr>
        <w:t> </w:t>
      </w:r>
      <w:r>
        <w:rPr>
          <w:color w:val="231F20"/>
          <w:w w:val="105"/>
        </w:rPr>
        <w:t>(Athukorala,</w:t>
      </w:r>
      <w:r>
        <w:rPr>
          <w:color w:val="231F20"/>
          <w:spacing w:val="-28"/>
          <w:w w:val="105"/>
        </w:rPr>
        <w:t> </w:t>
      </w:r>
      <w:r>
        <w:rPr>
          <w:color w:val="231F20"/>
          <w:w w:val="105"/>
        </w:rPr>
        <w:t>1990:</w:t>
      </w:r>
      <w:r>
        <w:rPr>
          <w:color w:val="231F20"/>
          <w:spacing w:val="-24"/>
          <w:w w:val="105"/>
        </w:rPr>
        <w:t> </w:t>
      </w:r>
      <w:r>
        <w:rPr>
          <w:color w:val="231F20"/>
          <w:w w:val="105"/>
        </w:rPr>
        <w:t>323),</w:t>
      </w:r>
      <w:r>
        <w:rPr>
          <w:color w:val="231F20"/>
          <w:spacing w:val="-28"/>
          <w:w w:val="105"/>
        </w:rPr>
        <w:t> </w:t>
      </w:r>
      <w:r>
        <w:rPr>
          <w:color w:val="231F20"/>
          <w:w w:val="105"/>
        </w:rPr>
        <w:t>allí</w:t>
      </w:r>
      <w:r>
        <w:rPr>
          <w:color w:val="231F20"/>
          <w:spacing w:val="-24"/>
          <w:w w:val="105"/>
        </w:rPr>
        <w:t> </w:t>
      </w:r>
      <w:r>
        <w:rPr>
          <w:color w:val="231F20"/>
          <w:w w:val="105"/>
        </w:rPr>
        <w:t>migran</w:t>
      </w:r>
      <w:r>
        <w:rPr>
          <w:color w:val="231F20"/>
          <w:spacing w:val="-24"/>
          <w:w w:val="105"/>
        </w:rPr>
        <w:t> </w:t>
      </w:r>
      <w:r>
        <w:rPr>
          <w:color w:val="231F20"/>
          <w:w w:val="105"/>
        </w:rPr>
        <w:t>personas</w:t>
      </w:r>
      <w:r>
        <w:rPr>
          <w:color w:val="231F20"/>
          <w:spacing w:val="-24"/>
          <w:w w:val="105"/>
        </w:rPr>
        <w:t> </w:t>
      </w:r>
      <w:r>
        <w:rPr>
          <w:color w:val="231F20"/>
          <w:w w:val="105"/>
        </w:rPr>
        <w:t>capacitadas que en el extranjero ocupan puestos de calificación menor y la adquisi- ción de capital humano es nimia. Al retorno, dado que en este país los sueldos</w:t>
      </w:r>
      <w:r>
        <w:rPr>
          <w:color w:val="231F20"/>
          <w:spacing w:val="-19"/>
          <w:w w:val="105"/>
        </w:rPr>
        <w:t> </w:t>
      </w:r>
      <w:r>
        <w:rPr>
          <w:color w:val="231F20"/>
          <w:w w:val="105"/>
        </w:rPr>
        <w:t>son</w:t>
      </w:r>
      <w:r>
        <w:rPr>
          <w:color w:val="231F20"/>
          <w:spacing w:val="-19"/>
          <w:w w:val="105"/>
        </w:rPr>
        <w:t> </w:t>
      </w:r>
      <w:r>
        <w:rPr>
          <w:color w:val="231F20"/>
          <w:w w:val="105"/>
        </w:rPr>
        <w:t>menores,</w:t>
      </w:r>
      <w:r>
        <w:rPr>
          <w:color w:val="231F20"/>
          <w:spacing w:val="-24"/>
          <w:w w:val="105"/>
        </w:rPr>
        <w:t> </w:t>
      </w:r>
      <w:r>
        <w:rPr>
          <w:color w:val="231F20"/>
          <w:w w:val="105"/>
        </w:rPr>
        <w:t>una</w:t>
      </w:r>
      <w:r>
        <w:rPr>
          <w:color w:val="231F20"/>
          <w:spacing w:val="-19"/>
          <w:w w:val="105"/>
        </w:rPr>
        <w:t> </w:t>
      </w:r>
      <w:r>
        <w:rPr>
          <w:color w:val="231F20"/>
          <w:w w:val="105"/>
        </w:rPr>
        <w:t>gran</w:t>
      </w:r>
      <w:r>
        <w:rPr>
          <w:color w:val="231F20"/>
          <w:spacing w:val="-19"/>
          <w:w w:val="105"/>
        </w:rPr>
        <w:t> </w:t>
      </w:r>
      <w:r>
        <w:rPr>
          <w:color w:val="231F20"/>
          <w:w w:val="105"/>
        </w:rPr>
        <w:t>proporción</w:t>
      </w:r>
      <w:r>
        <w:rPr>
          <w:color w:val="231F20"/>
          <w:spacing w:val="-19"/>
          <w:w w:val="105"/>
        </w:rPr>
        <w:t> </w:t>
      </w:r>
      <w:r>
        <w:rPr>
          <w:color w:val="231F20"/>
          <w:w w:val="105"/>
        </w:rPr>
        <w:t>de</w:t>
      </w:r>
      <w:r>
        <w:rPr>
          <w:color w:val="231F20"/>
          <w:spacing w:val="-19"/>
          <w:w w:val="105"/>
        </w:rPr>
        <w:t> </w:t>
      </w:r>
      <w:r>
        <w:rPr>
          <w:color w:val="231F20"/>
          <w:w w:val="105"/>
        </w:rPr>
        <w:t>quienes</w:t>
      </w:r>
      <w:r>
        <w:rPr>
          <w:color w:val="231F20"/>
          <w:spacing w:val="-19"/>
          <w:w w:val="105"/>
        </w:rPr>
        <w:t> </w:t>
      </w:r>
      <w:r>
        <w:rPr>
          <w:color w:val="231F20"/>
          <w:w w:val="105"/>
        </w:rPr>
        <w:t>traen</w:t>
      </w:r>
      <w:r>
        <w:rPr>
          <w:color w:val="231F20"/>
          <w:spacing w:val="-19"/>
          <w:w w:val="105"/>
        </w:rPr>
        <w:t> </w:t>
      </w:r>
      <w:r>
        <w:rPr>
          <w:color w:val="231F20"/>
          <w:w w:val="105"/>
        </w:rPr>
        <w:t>alta</w:t>
      </w:r>
      <w:r>
        <w:rPr>
          <w:color w:val="231F20"/>
          <w:spacing w:val="-19"/>
          <w:w w:val="105"/>
        </w:rPr>
        <w:t> </w:t>
      </w:r>
      <w:r>
        <w:rPr>
          <w:color w:val="231F20"/>
          <w:w w:val="105"/>
        </w:rPr>
        <w:t>y</w:t>
      </w:r>
      <w:r>
        <w:rPr>
          <w:color w:val="231F20"/>
          <w:spacing w:val="-19"/>
          <w:w w:val="105"/>
        </w:rPr>
        <w:t> </w:t>
      </w:r>
      <w:r>
        <w:rPr>
          <w:color w:val="231F20"/>
          <w:w w:val="105"/>
        </w:rPr>
        <w:t>media calificación</w:t>
      </w:r>
      <w:r>
        <w:rPr>
          <w:color w:val="231F20"/>
          <w:spacing w:val="-6"/>
          <w:w w:val="105"/>
        </w:rPr>
        <w:t> </w:t>
      </w:r>
      <w:r>
        <w:rPr>
          <w:color w:val="231F20"/>
          <w:w w:val="105"/>
        </w:rPr>
        <w:t>prefieren</w:t>
      </w:r>
      <w:r>
        <w:rPr>
          <w:color w:val="231F20"/>
          <w:spacing w:val="-6"/>
          <w:w w:val="105"/>
        </w:rPr>
        <w:t> </w:t>
      </w:r>
      <w:r>
        <w:rPr>
          <w:color w:val="231F20"/>
          <w:w w:val="105"/>
        </w:rPr>
        <w:t>descansar.</w:t>
      </w:r>
      <w:r>
        <w:rPr>
          <w:color w:val="231F20"/>
          <w:spacing w:val="-10"/>
          <w:w w:val="105"/>
        </w:rPr>
        <w:t> </w:t>
      </w:r>
      <w:r>
        <w:rPr>
          <w:color w:val="231F20"/>
          <w:w w:val="105"/>
        </w:rPr>
        <w:t>Los</w:t>
      </w:r>
      <w:r>
        <w:rPr>
          <w:color w:val="231F20"/>
          <w:spacing w:val="-6"/>
          <w:w w:val="105"/>
        </w:rPr>
        <w:t> </w:t>
      </w:r>
      <w:r>
        <w:rPr>
          <w:color w:val="231F20"/>
          <w:w w:val="105"/>
        </w:rPr>
        <w:t>migrantes</w:t>
      </w:r>
      <w:r>
        <w:rPr>
          <w:color w:val="231F20"/>
          <w:spacing w:val="-6"/>
          <w:w w:val="105"/>
        </w:rPr>
        <w:t> </w:t>
      </w:r>
      <w:r>
        <w:rPr>
          <w:color w:val="231F20"/>
          <w:w w:val="105"/>
        </w:rPr>
        <w:t>calificados</w:t>
      </w:r>
      <w:r>
        <w:rPr>
          <w:color w:val="231F20"/>
          <w:spacing w:val="-6"/>
          <w:w w:val="105"/>
        </w:rPr>
        <w:t> </w:t>
      </w:r>
      <w:r>
        <w:rPr>
          <w:color w:val="231F20"/>
          <w:w w:val="105"/>
        </w:rPr>
        <w:t>viven</w:t>
      </w:r>
      <w:r>
        <w:rPr>
          <w:color w:val="231F20"/>
          <w:spacing w:val="-6"/>
          <w:w w:val="105"/>
        </w:rPr>
        <w:t> </w:t>
      </w:r>
      <w:r>
        <w:rPr>
          <w:color w:val="231F20"/>
          <w:w w:val="105"/>
        </w:rPr>
        <w:t>de</w:t>
      </w:r>
      <w:r>
        <w:rPr>
          <w:color w:val="231F20"/>
          <w:spacing w:val="-6"/>
          <w:w w:val="105"/>
        </w:rPr>
        <w:t> </w:t>
      </w:r>
      <w:r>
        <w:rPr>
          <w:color w:val="231F20"/>
          <w:w w:val="105"/>
        </w:rPr>
        <w:t>sus rentas</w:t>
      </w:r>
      <w:r>
        <w:rPr>
          <w:color w:val="231F20"/>
          <w:spacing w:val="-19"/>
          <w:w w:val="105"/>
        </w:rPr>
        <w:t> </w:t>
      </w:r>
      <w:r>
        <w:rPr>
          <w:color w:val="231F20"/>
          <w:w w:val="105"/>
        </w:rPr>
        <w:t>o</w:t>
      </w:r>
      <w:r>
        <w:rPr>
          <w:color w:val="231F20"/>
          <w:spacing w:val="-19"/>
          <w:w w:val="105"/>
        </w:rPr>
        <w:t> </w:t>
      </w:r>
      <w:r>
        <w:rPr>
          <w:color w:val="231F20"/>
          <w:w w:val="105"/>
        </w:rPr>
        <w:t>emprenden</w:t>
      </w:r>
      <w:r>
        <w:rPr>
          <w:color w:val="231F20"/>
          <w:spacing w:val="-19"/>
          <w:w w:val="105"/>
        </w:rPr>
        <w:t> </w:t>
      </w:r>
      <w:r>
        <w:rPr>
          <w:color w:val="231F20"/>
          <w:w w:val="105"/>
        </w:rPr>
        <w:t>negocios</w:t>
      </w:r>
      <w:r>
        <w:rPr>
          <w:color w:val="231F20"/>
          <w:spacing w:val="-19"/>
          <w:w w:val="105"/>
        </w:rPr>
        <w:t> </w:t>
      </w:r>
      <w:r>
        <w:rPr>
          <w:color w:val="231F20"/>
          <w:w w:val="105"/>
        </w:rPr>
        <w:t>familiares,</w:t>
      </w:r>
      <w:r>
        <w:rPr>
          <w:color w:val="231F20"/>
          <w:spacing w:val="-25"/>
          <w:w w:val="105"/>
        </w:rPr>
        <w:t> </w:t>
      </w:r>
      <w:r>
        <w:rPr>
          <w:color w:val="231F20"/>
          <w:w w:val="105"/>
        </w:rPr>
        <w:t>mientras</w:t>
      </w:r>
      <w:r>
        <w:rPr>
          <w:color w:val="231F20"/>
          <w:spacing w:val="-19"/>
          <w:w w:val="105"/>
        </w:rPr>
        <w:t> </w:t>
      </w:r>
      <w:r>
        <w:rPr>
          <w:color w:val="231F20"/>
          <w:w w:val="105"/>
        </w:rPr>
        <w:t>que</w:t>
      </w:r>
      <w:r>
        <w:rPr>
          <w:color w:val="231F20"/>
          <w:spacing w:val="-19"/>
          <w:w w:val="105"/>
        </w:rPr>
        <w:t> </w:t>
      </w:r>
      <w:r>
        <w:rPr>
          <w:color w:val="231F20"/>
          <w:w w:val="105"/>
        </w:rPr>
        <w:t>los</w:t>
      </w:r>
      <w:r>
        <w:rPr>
          <w:color w:val="231F20"/>
          <w:spacing w:val="-19"/>
          <w:w w:val="105"/>
        </w:rPr>
        <w:t> </w:t>
      </w:r>
      <w:r>
        <w:rPr>
          <w:color w:val="231F20"/>
          <w:w w:val="105"/>
        </w:rPr>
        <w:t>de</w:t>
      </w:r>
      <w:r>
        <w:rPr>
          <w:color w:val="231F20"/>
          <w:spacing w:val="-19"/>
          <w:w w:val="105"/>
        </w:rPr>
        <w:t> </w:t>
      </w:r>
      <w:r>
        <w:rPr>
          <w:color w:val="231F20"/>
          <w:w w:val="105"/>
        </w:rPr>
        <w:t>menor</w:t>
      </w:r>
      <w:r>
        <w:rPr>
          <w:color w:val="231F20"/>
          <w:spacing w:val="-19"/>
          <w:w w:val="105"/>
        </w:rPr>
        <w:t> </w:t>
      </w:r>
      <w:r>
        <w:rPr>
          <w:color w:val="231F20"/>
          <w:w w:val="105"/>
        </w:rPr>
        <w:t>cali- ficación</w:t>
      </w:r>
      <w:r>
        <w:rPr>
          <w:color w:val="231F20"/>
          <w:spacing w:val="-7"/>
          <w:w w:val="105"/>
        </w:rPr>
        <w:t> </w:t>
      </w:r>
      <w:r>
        <w:rPr>
          <w:color w:val="231F20"/>
          <w:w w:val="105"/>
        </w:rPr>
        <w:t>invierten</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agricultura</w:t>
      </w:r>
      <w:r>
        <w:rPr>
          <w:color w:val="231F20"/>
          <w:spacing w:val="-7"/>
          <w:w w:val="105"/>
        </w:rPr>
        <w:t> </w:t>
      </w:r>
      <w:r>
        <w:rPr>
          <w:color w:val="231F20"/>
          <w:w w:val="105"/>
        </w:rPr>
        <w:t>y</w:t>
      </w:r>
      <w:r>
        <w:rPr>
          <w:color w:val="231F20"/>
          <w:spacing w:val="-7"/>
          <w:w w:val="105"/>
        </w:rPr>
        <w:t> </w:t>
      </w:r>
      <w:r>
        <w:rPr>
          <w:color w:val="231F20"/>
          <w:w w:val="105"/>
        </w:rPr>
        <w:t>comercio</w:t>
      </w:r>
      <w:r>
        <w:rPr>
          <w:color w:val="231F20"/>
          <w:spacing w:val="-7"/>
          <w:w w:val="105"/>
        </w:rPr>
        <w:t> </w:t>
      </w:r>
      <w:r>
        <w:rPr>
          <w:color w:val="231F20"/>
          <w:w w:val="105"/>
        </w:rPr>
        <w:t>para</w:t>
      </w:r>
      <w:r>
        <w:rPr>
          <w:color w:val="231F20"/>
          <w:spacing w:val="-7"/>
          <w:w w:val="105"/>
        </w:rPr>
        <w:t> </w:t>
      </w:r>
      <w:r>
        <w:rPr>
          <w:color w:val="231F20"/>
          <w:w w:val="105"/>
        </w:rPr>
        <w:t>continuar</w:t>
      </w:r>
      <w:r>
        <w:rPr>
          <w:color w:val="231F20"/>
          <w:spacing w:val="-7"/>
          <w:w w:val="105"/>
        </w:rPr>
        <w:t> </w:t>
      </w:r>
      <w:r>
        <w:rPr>
          <w:color w:val="231F20"/>
          <w:w w:val="105"/>
        </w:rPr>
        <w:t>generando ingresos.</w:t>
      </w:r>
      <w:r>
        <w:rPr>
          <w:color w:val="231F20"/>
          <w:spacing w:val="-13"/>
          <w:w w:val="105"/>
        </w:rPr>
        <w:t> </w:t>
      </w:r>
      <w:r>
        <w:rPr>
          <w:color w:val="231F20"/>
          <w:w w:val="105"/>
        </w:rPr>
        <w:t>Otro</w:t>
      </w:r>
      <w:r>
        <w:rPr>
          <w:color w:val="231F20"/>
          <w:spacing w:val="-8"/>
          <w:w w:val="105"/>
        </w:rPr>
        <w:t> </w:t>
      </w:r>
      <w:r>
        <w:rPr>
          <w:color w:val="231F20"/>
          <w:w w:val="105"/>
        </w:rPr>
        <w:t>ejemplo</w:t>
      </w:r>
      <w:r>
        <w:rPr>
          <w:color w:val="231F20"/>
          <w:spacing w:val="-8"/>
          <w:w w:val="105"/>
        </w:rPr>
        <w:t> </w:t>
      </w:r>
      <w:r>
        <w:rPr>
          <w:color w:val="231F20"/>
          <w:w w:val="105"/>
        </w:rPr>
        <w:t>es</w:t>
      </w:r>
      <w:r>
        <w:rPr>
          <w:color w:val="231F20"/>
          <w:spacing w:val="-8"/>
          <w:w w:val="105"/>
        </w:rPr>
        <w:t> </w:t>
      </w:r>
      <w:r>
        <w:rPr>
          <w:color w:val="231F20"/>
          <w:w w:val="105"/>
        </w:rPr>
        <w:t>Bulgaria,</w:t>
      </w:r>
      <w:r>
        <w:rPr>
          <w:color w:val="231F20"/>
          <w:spacing w:val="-13"/>
          <w:w w:val="105"/>
        </w:rPr>
        <w:t> </w:t>
      </w:r>
      <w:r>
        <w:rPr>
          <w:color w:val="231F20"/>
          <w:w w:val="105"/>
        </w:rPr>
        <w:t>allá</w:t>
      </w:r>
      <w:r>
        <w:rPr>
          <w:color w:val="231F20"/>
          <w:spacing w:val="-8"/>
          <w:w w:val="105"/>
        </w:rPr>
        <w:t> </w:t>
      </w:r>
      <w:r>
        <w:rPr>
          <w:color w:val="231F20"/>
          <w:w w:val="105"/>
        </w:rPr>
        <w:t>es</w:t>
      </w:r>
      <w:r>
        <w:rPr>
          <w:color w:val="231F20"/>
          <w:spacing w:val="-8"/>
          <w:w w:val="105"/>
        </w:rPr>
        <w:t> </w:t>
      </w:r>
      <w:r>
        <w:rPr>
          <w:color w:val="231F20"/>
          <w:w w:val="105"/>
        </w:rPr>
        <w:t>frecuente</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retornados cuenten</w:t>
      </w:r>
      <w:r>
        <w:rPr>
          <w:color w:val="231F20"/>
          <w:spacing w:val="-9"/>
          <w:w w:val="105"/>
        </w:rPr>
        <w:t> </w:t>
      </w:r>
      <w:r>
        <w:rPr>
          <w:color w:val="231F20"/>
          <w:w w:val="105"/>
        </w:rPr>
        <w:t>con</w:t>
      </w:r>
      <w:r>
        <w:rPr>
          <w:color w:val="231F20"/>
          <w:spacing w:val="-9"/>
          <w:w w:val="105"/>
        </w:rPr>
        <w:t> </w:t>
      </w:r>
      <w:r>
        <w:rPr>
          <w:color w:val="231F20"/>
          <w:w w:val="105"/>
        </w:rPr>
        <w:t>estudios</w:t>
      </w:r>
      <w:r>
        <w:rPr>
          <w:color w:val="231F20"/>
          <w:spacing w:val="-9"/>
          <w:w w:val="105"/>
        </w:rPr>
        <w:t> </w:t>
      </w:r>
      <w:r>
        <w:rPr>
          <w:color w:val="231F20"/>
          <w:w w:val="105"/>
        </w:rPr>
        <w:t>universitarios</w:t>
      </w:r>
      <w:r>
        <w:rPr>
          <w:color w:val="231F20"/>
          <w:spacing w:val="-9"/>
          <w:w w:val="105"/>
        </w:rPr>
        <w:t> </w:t>
      </w:r>
      <w:r>
        <w:rPr>
          <w:color w:val="231F20"/>
          <w:w w:val="105"/>
        </w:rPr>
        <w:t>e</w:t>
      </w:r>
      <w:r>
        <w:rPr>
          <w:color w:val="231F20"/>
          <w:spacing w:val="-9"/>
          <w:w w:val="105"/>
        </w:rPr>
        <w:t> </w:t>
      </w:r>
      <w:r>
        <w:rPr>
          <w:color w:val="231F20"/>
          <w:w w:val="105"/>
        </w:rPr>
        <w:t>inicien</w:t>
      </w:r>
      <w:r>
        <w:rPr>
          <w:color w:val="231F20"/>
          <w:spacing w:val="-9"/>
          <w:w w:val="105"/>
        </w:rPr>
        <w:t> </w:t>
      </w:r>
      <w:r>
        <w:rPr>
          <w:color w:val="231F20"/>
          <w:w w:val="105"/>
        </w:rPr>
        <w:t>negocios,</w:t>
      </w:r>
      <w:r>
        <w:rPr>
          <w:color w:val="231F20"/>
          <w:spacing w:val="-14"/>
          <w:w w:val="105"/>
        </w:rPr>
        <w:t> </w:t>
      </w:r>
      <w:r>
        <w:rPr>
          <w:color w:val="231F20"/>
          <w:w w:val="105"/>
        </w:rPr>
        <w:t>ingresan</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ad- ministración</w:t>
      </w:r>
      <w:r>
        <w:rPr>
          <w:color w:val="231F20"/>
          <w:spacing w:val="-8"/>
          <w:w w:val="105"/>
        </w:rPr>
        <w:t> </w:t>
      </w:r>
      <w:r>
        <w:rPr>
          <w:color w:val="231F20"/>
          <w:w w:val="105"/>
        </w:rPr>
        <w:t>pública</w:t>
      </w:r>
      <w:r>
        <w:rPr>
          <w:color w:val="231F20"/>
          <w:spacing w:val="-8"/>
          <w:w w:val="105"/>
        </w:rPr>
        <w:t> </w:t>
      </w:r>
      <w:r>
        <w:rPr>
          <w:color w:val="231F20"/>
          <w:w w:val="105"/>
        </w:rPr>
        <w:t>y</w:t>
      </w:r>
      <w:r>
        <w:rPr>
          <w:color w:val="231F20"/>
          <w:spacing w:val="-8"/>
          <w:w w:val="105"/>
        </w:rPr>
        <w:t> </w:t>
      </w:r>
      <w:r>
        <w:rPr>
          <w:color w:val="231F20"/>
          <w:w w:val="105"/>
        </w:rPr>
        <w:t>aplican</w:t>
      </w:r>
      <w:r>
        <w:rPr>
          <w:color w:val="231F20"/>
          <w:spacing w:val="-8"/>
          <w:w w:val="105"/>
        </w:rPr>
        <w:t> </w:t>
      </w:r>
      <w:r>
        <w:rPr>
          <w:color w:val="231F20"/>
          <w:w w:val="105"/>
        </w:rPr>
        <w:t>sus</w:t>
      </w:r>
      <w:r>
        <w:rPr>
          <w:color w:val="231F20"/>
          <w:spacing w:val="-8"/>
          <w:w w:val="105"/>
        </w:rPr>
        <w:t> </w:t>
      </w:r>
      <w:r>
        <w:rPr>
          <w:color w:val="231F20"/>
          <w:w w:val="105"/>
        </w:rPr>
        <w:t>conocimientos:</w:t>
      </w:r>
      <w:r>
        <w:rPr>
          <w:color w:val="231F20"/>
          <w:spacing w:val="-8"/>
          <w:w w:val="105"/>
        </w:rPr>
        <w:t> </w:t>
      </w:r>
      <w:r>
        <w:rPr>
          <w:color w:val="231F20"/>
          <w:w w:val="105"/>
        </w:rPr>
        <w:t>son</w:t>
      </w:r>
      <w:r>
        <w:rPr>
          <w:color w:val="231F20"/>
          <w:spacing w:val="-8"/>
          <w:w w:val="105"/>
        </w:rPr>
        <w:t> </w:t>
      </w:r>
      <w:r>
        <w:rPr>
          <w:color w:val="231F20"/>
          <w:w w:val="105"/>
        </w:rPr>
        <w:t>innovadores</w:t>
      </w:r>
      <w:r>
        <w:rPr>
          <w:color w:val="231F20"/>
          <w:spacing w:val="-8"/>
          <w:w w:val="105"/>
        </w:rPr>
        <w:t> </w:t>
      </w:r>
      <w:r>
        <w:rPr>
          <w:color w:val="231F20"/>
          <w:w w:val="105"/>
        </w:rPr>
        <w:t>pero requieren</w:t>
      </w:r>
      <w:r>
        <w:rPr>
          <w:color w:val="231F20"/>
          <w:spacing w:val="-17"/>
          <w:w w:val="105"/>
        </w:rPr>
        <w:t> </w:t>
      </w:r>
      <w:r>
        <w:rPr>
          <w:color w:val="231F20"/>
          <w:w w:val="105"/>
        </w:rPr>
        <w:t>un</w:t>
      </w:r>
      <w:r>
        <w:rPr>
          <w:color w:val="231F20"/>
          <w:spacing w:val="-17"/>
          <w:w w:val="105"/>
        </w:rPr>
        <w:t> </w:t>
      </w:r>
      <w:r>
        <w:rPr>
          <w:color w:val="231F20"/>
          <w:w w:val="105"/>
        </w:rPr>
        <w:t>ambiente</w:t>
      </w:r>
      <w:r>
        <w:rPr>
          <w:color w:val="231F20"/>
          <w:spacing w:val="-17"/>
          <w:w w:val="105"/>
        </w:rPr>
        <w:t> </w:t>
      </w:r>
      <w:r>
        <w:rPr>
          <w:color w:val="231F20"/>
          <w:w w:val="105"/>
        </w:rPr>
        <w:t>amigable</w:t>
      </w:r>
      <w:r>
        <w:rPr>
          <w:color w:val="231F20"/>
          <w:spacing w:val="-17"/>
          <w:w w:val="105"/>
        </w:rPr>
        <w:t> </w:t>
      </w:r>
      <w:r>
        <w:rPr>
          <w:color w:val="231F20"/>
          <w:w w:val="105"/>
        </w:rPr>
        <w:t>para</w:t>
      </w:r>
      <w:r>
        <w:rPr>
          <w:color w:val="231F20"/>
          <w:spacing w:val="-17"/>
          <w:w w:val="105"/>
        </w:rPr>
        <w:t> </w:t>
      </w:r>
      <w:r>
        <w:rPr>
          <w:color w:val="231F20"/>
          <w:w w:val="105"/>
        </w:rPr>
        <w:t>aplicar</w:t>
      </w:r>
      <w:r>
        <w:rPr>
          <w:color w:val="231F20"/>
          <w:spacing w:val="-17"/>
          <w:w w:val="105"/>
        </w:rPr>
        <w:t> </w:t>
      </w:r>
      <w:r>
        <w:rPr>
          <w:color w:val="231F20"/>
          <w:w w:val="105"/>
        </w:rPr>
        <w:t>sus</w:t>
      </w:r>
      <w:r>
        <w:rPr>
          <w:color w:val="231F20"/>
          <w:spacing w:val="-17"/>
          <w:w w:val="105"/>
        </w:rPr>
        <w:t> </w:t>
      </w:r>
      <w:r>
        <w:rPr>
          <w:color w:val="231F20"/>
          <w:w w:val="105"/>
        </w:rPr>
        <w:t>ideas</w:t>
      </w:r>
      <w:r>
        <w:rPr>
          <w:color w:val="231F20"/>
          <w:spacing w:val="-17"/>
          <w:w w:val="105"/>
        </w:rPr>
        <w:t> </w:t>
      </w:r>
      <w:r>
        <w:rPr>
          <w:color w:val="231F20"/>
          <w:w w:val="105"/>
        </w:rPr>
        <w:t>y</w:t>
      </w:r>
      <w:r>
        <w:rPr>
          <w:color w:val="231F20"/>
          <w:spacing w:val="-17"/>
          <w:w w:val="105"/>
        </w:rPr>
        <w:t> </w:t>
      </w:r>
      <w:r>
        <w:rPr>
          <w:color w:val="231F20"/>
          <w:w w:val="105"/>
        </w:rPr>
        <w:t>emprendimien- tos (Ivanova, 2013). Similar situación se registra en Jamaica donde los retornados presentan una mentalidad de mayor arraigo familiar, tienen propuestas para contribuir al desarrollo de sus lugares aunque el con- texto</w:t>
      </w:r>
      <w:r>
        <w:rPr>
          <w:color w:val="231F20"/>
          <w:spacing w:val="-15"/>
          <w:w w:val="105"/>
        </w:rPr>
        <w:t> </w:t>
      </w:r>
      <w:r>
        <w:rPr>
          <w:color w:val="231F20"/>
          <w:w w:val="105"/>
        </w:rPr>
        <w:t>limita</w:t>
      </w:r>
      <w:r>
        <w:rPr>
          <w:color w:val="231F20"/>
          <w:spacing w:val="-15"/>
          <w:w w:val="105"/>
        </w:rPr>
        <w:t> </w:t>
      </w:r>
      <w:r>
        <w:rPr>
          <w:color w:val="231F20"/>
          <w:w w:val="105"/>
        </w:rPr>
        <w:t>la</w:t>
      </w:r>
      <w:r>
        <w:rPr>
          <w:color w:val="231F20"/>
          <w:spacing w:val="-15"/>
          <w:w w:val="105"/>
        </w:rPr>
        <w:t> </w:t>
      </w:r>
      <w:r>
        <w:rPr>
          <w:color w:val="231F20"/>
          <w:w w:val="105"/>
        </w:rPr>
        <w:t>aplicación</w:t>
      </w:r>
      <w:r>
        <w:rPr>
          <w:color w:val="231F20"/>
          <w:spacing w:val="-15"/>
          <w:w w:val="105"/>
        </w:rPr>
        <w:t> </w:t>
      </w:r>
      <w:r>
        <w:rPr>
          <w:color w:val="231F20"/>
          <w:w w:val="105"/>
        </w:rPr>
        <w:t>de</w:t>
      </w:r>
      <w:r>
        <w:rPr>
          <w:color w:val="231F20"/>
          <w:spacing w:val="-15"/>
          <w:w w:val="105"/>
        </w:rPr>
        <w:t> </w:t>
      </w:r>
      <w:r>
        <w:rPr>
          <w:color w:val="231F20"/>
          <w:w w:val="105"/>
        </w:rPr>
        <w:t>habilidades,</w:t>
      </w:r>
      <w:r>
        <w:rPr>
          <w:color w:val="231F20"/>
          <w:spacing w:val="-20"/>
          <w:w w:val="105"/>
        </w:rPr>
        <w:t> </w:t>
      </w:r>
      <w:r>
        <w:rPr>
          <w:color w:val="231F20"/>
          <w:w w:val="105"/>
        </w:rPr>
        <w:t>talento</w:t>
      </w:r>
      <w:r>
        <w:rPr>
          <w:color w:val="231F20"/>
          <w:spacing w:val="-15"/>
          <w:w w:val="105"/>
        </w:rPr>
        <w:t> </w:t>
      </w:r>
      <w:r>
        <w:rPr>
          <w:color w:val="231F20"/>
          <w:w w:val="105"/>
        </w:rPr>
        <w:t>y</w:t>
      </w:r>
      <w:r>
        <w:rPr>
          <w:color w:val="231F20"/>
          <w:spacing w:val="-15"/>
          <w:w w:val="105"/>
        </w:rPr>
        <w:t> </w:t>
      </w:r>
      <w:r>
        <w:rPr>
          <w:color w:val="231F20"/>
          <w:w w:val="105"/>
        </w:rPr>
        <w:t>capital</w:t>
      </w:r>
      <w:r>
        <w:rPr>
          <w:color w:val="231F20"/>
          <w:spacing w:val="-15"/>
          <w:w w:val="105"/>
        </w:rPr>
        <w:t> </w:t>
      </w:r>
      <w:r>
        <w:rPr>
          <w:color w:val="231F20"/>
          <w:w w:val="105"/>
        </w:rPr>
        <w:t>(Thomas,</w:t>
      </w:r>
      <w:r>
        <w:rPr>
          <w:color w:val="231F20"/>
          <w:spacing w:val="-20"/>
          <w:w w:val="105"/>
        </w:rPr>
        <w:t> </w:t>
      </w:r>
      <w:r>
        <w:rPr>
          <w:color w:val="231F20"/>
          <w:w w:val="105"/>
        </w:rPr>
        <w:t>1999: 183).</w:t>
      </w:r>
      <w:r>
        <w:rPr>
          <w:color w:val="231F20"/>
          <w:spacing w:val="-16"/>
          <w:w w:val="105"/>
        </w:rPr>
        <w:t> </w:t>
      </w:r>
      <w:r>
        <w:rPr>
          <w:color w:val="231F20"/>
          <w:w w:val="105"/>
        </w:rPr>
        <w:t>Otros</w:t>
      </w:r>
      <w:r>
        <w:rPr>
          <w:color w:val="231F20"/>
          <w:spacing w:val="-12"/>
          <w:w w:val="105"/>
        </w:rPr>
        <w:t> </w:t>
      </w:r>
      <w:r>
        <w:rPr>
          <w:color w:val="231F20"/>
          <w:w w:val="105"/>
        </w:rPr>
        <w:t>casos</w:t>
      </w:r>
      <w:r>
        <w:rPr>
          <w:color w:val="231F20"/>
          <w:spacing w:val="-12"/>
          <w:w w:val="105"/>
        </w:rPr>
        <w:t> </w:t>
      </w:r>
      <w:r>
        <w:rPr>
          <w:color w:val="231F20"/>
          <w:w w:val="105"/>
        </w:rPr>
        <w:t>de</w:t>
      </w:r>
      <w:r>
        <w:rPr>
          <w:color w:val="231F20"/>
          <w:spacing w:val="-12"/>
          <w:w w:val="105"/>
        </w:rPr>
        <w:t> </w:t>
      </w:r>
      <w:r>
        <w:rPr>
          <w:color w:val="231F20"/>
          <w:w w:val="105"/>
        </w:rPr>
        <w:t>estudio</w:t>
      </w:r>
      <w:r>
        <w:rPr>
          <w:color w:val="231F20"/>
          <w:spacing w:val="-12"/>
          <w:w w:val="105"/>
        </w:rPr>
        <w:t> </w:t>
      </w:r>
      <w:r>
        <w:rPr>
          <w:color w:val="231F20"/>
          <w:w w:val="105"/>
        </w:rPr>
        <w:t>muestran</w:t>
      </w:r>
      <w:r>
        <w:rPr>
          <w:color w:val="231F20"/>
          <w:spacing w:val="-12"/>
          <w:w w:val="105"/>
        </w:rPr>
        <w:t> </w:t>
      </w:r>
      <w:r>
        <w:rPr>
          <w:color w:val="231F20"/>
          <w:w w:val="105"/>
        </w:rPr>
        <w:t>que</w:t>
      </w:r>
      <w:r>
        <w:rPr>
          <w:color w:val="231F20"/>
          <w:spacing w:val="-12"/>
          <w:w w:val="105"/>
        </w:rPr>
        <w:t> </w:t>
      </w:r>
      <w:r>
        <w:rPr>
          <w:color w:val="231F20"/>
          <w:w w:val="105"/>
        </w:rPr>
        <w:t>las</w:t>
      </w:r>
      <w:r>
        <w:rPr>
          <w:color w:val="231F20"/>
          <w:spacing w:val="-12"/>
          <w:w w:val="105"/>
        </w:rPr>
        <w:t> </w:t>
      </w:r>
      <w:r>
        <w:rPr>
          <w:color w:val="231F20"/>
          <w:w w:val="105"/>
        </w:rPr>
        <w:t>restricciones</w:t>
      </w:r>
      <w:r>
        <w:rPr>
          <w:color w:val="231F20"/>
          <w:spacing w:val="-12"/>
          <w:w w:val="105"/>
        </w:rPr>
        <w:t> </w:t>
      </w:r>
      <w:r>
        <w:rPr>
          <w:color w:val="231F20"/>
          <w:w w:val="105"/>
        </w:rPr>
        <w:t>ideológicas del propio retornado lo frenan para impulsar mejoras. El caso más cita- do es Italia, pues algunos retornados mantienen estancado su sistema de valores y retornan pensando que el desarrollo hace mal a la gente, traen</w:t>
      </w:r>
      <w:r>
        <w:rPr>
          <w:color w:val="231F20"/>
          <w:spacing w:val="-7"/>
          <w:w w:val="105"/>
        </w:rPr>
        <w:t> </w:t>
      </w:r>
      <w:r>
        <w:rPr>
          <w:color w:val="231F20"/>
          <w:w w:val="105"/>
        </w:rPr>
        <w:t>conocimientos</w:t>
      </w:r>
      <w:r>
        <w:rPr>
          <w:color w:val="231F20"/>
          <w:spacing w:val="-7"/>
          <w:w w:val="105"/>
        </w:rPr>
        <w:t> </w:t>
      </w:r>
      <w:r>
        <w:rPr>
          <w:color w:val="231F20"/>
          <w:w w:val="105"/>
        </w:rPr>
        <w:t>pero</w:t>
      </w:r>
      <w:r>
        <w:rPr>
          <w:color w:val="231F20"/>
          <w:spacing w:val="-7"/>
          <w:w w:val="105"/>
        </w:rPr>
        <w:t> </w:t>
      </w:r>
      <w:r>
        <w:rPr>
          <w:color w:val="231F20"/>
          <w:w w:val="105"/>
        </w:rPr>
        <w:t>los</w:t>
      </w:r>
      <w:r>
        <w:rPr>
          <w:color w:val="231F20"/>
          <w:spacing w:val="-7"/>
          <w:w w:val="105"/>
        </w:rPr>
        <w:t> </w:t>
      </w:r>
      <w:r>
        <w:rPr>
          <w:color w:val="231F20"/>
          <w:w w:val="105"/>
        </w:rPr>
        <w:t>dejan</w:t>
      </w:r>
      <w:r>
        <w:rPr>
          <w:color w:val="231F20"/>
          <w:spacing w:val="-7"/>
          <w:w w:val="105"/>
        </w:rPr>
        <w:t> </w:t>
      </w:r>
      <w:r>
        <w:rPr>
          <w:color w:val="231F20"/>
          <w:w w:val="105"/>
        </w:rPr>
        <w:t>en</w:t>
      </w:r>
      <w:r>
        <w:rPr>
          <w:color w:val="231F20"/>
          <w:spacing w:val="-7"/>
          <w:w w:val="105"/>
        </w:rPr>
        <w:t> </w:t>
      </w:r>
      <w:r>
        <w:rPr>
          <w:color w:val="231F20"/>
          <w:w w:val="105"/>
        </w:rPr>
        <w:t>desuso</w:t>
      </w:r>
      <w:r>
        <w:rPr>
          <w:color w:val="231F20"/>
          <w:spacing w:val="-7"/>
          <w:w w:val="105"/>
        </w:rPr>
        <w:t> </w:t>
      </w:r>
      <w:r>
        <w:rPr>
          <w:color w:val="231F20"/>
          <w:w w:val="105"/>
        </w:rPr>
        <w:t>por</w:t>
      </w:r>
      <w:r>
        <w:rPr>
          <w:color w:val="231F20"/>
          <w:spacing w:val="-7"/>
          <w:w w:val="105"/>
        </w:rPr>
        <w:t> </w:t>
      </w:r>
      <w:r>
        <w:rPr>
          <w:color w:val="231F20"/>
          <w:w w:val="105"/>
        </w:rPr>
        <w:t>voluntad</w:t>
      </w:r>
      <w:r>
        <w:rPr>
          <w:color w:val="231F20"/>
          <w:spacing w:val="-7"/>
          <w:w w:val="105"/>
        </w:rPr>
        <w:t> </w:t>
      </w:r>
      <w:r>
        <w:rPr>
          <w:color w:val="231F20"/>
          <w:w w:val="105"/>
        </w:rPr>
        <w:t>o</w:t>
      </w:r>
      <w:r>
        <w:rPr>
          <w:color w:val="231F20"/>
          <w:spacing w:val="-7"/>
          <w:w w:val="105"/>
        </w:rPr>
        <w:t> </w:t>
      </w:r>
      <w:r>
        <w:rPr>
          <w:color w:val="231F20"/>
          <w:w w:val="105"/>
        </w:rPr>
        <w:t>porque</w:t>
      </w:r>
      <w:r>
        <w:rPr>
          <w:color w:val="231F20"/>
          <w:spacing w:val="-7"/>
          <w:w w:val="105"/>
        </w:rPr>
        <w:t> </w:t>
      </w:r>
      <w:r>
        <w:rPr>
          <w:color w:val="231F20"/>
          <w:w w:val="105"/>
        </w:rPr>
        <w:t>no encuentran dónde aplicarlos productivamente, optando por invertir en casas</w:t>
      </w:r>
      <w:r>
        <w:rPr>
          <w:color w:val="231F20"/>
          <w:spacing w:val="-38"/>
          <w:w w:val="105"/>
        </w:rPr>
        <w:t> </w:t>
      </w:r>
      <w:r>
        <w:rPr>
          <w:color w:val="231F20"/>
          <w:w w:val="105"/>
        </w:rPr>
        <w:t>y</w:t>
      </w:r>
      <w:r>
        <w:rPr>
          <w:color w:val="231F20"/>
          <w:spacing w:val="-38"/>
          <w:w w:val="105"/>
        </w:rPr>
        <w:t> </w:t>
      </w:r>
      <w:r>
        <w:rPr>
          <w:color w:val="231F20"/>
          <w:w w:val="105"/>
        </w:rPr>
        <w:t>terrenos</w:t>
      </w:r>
      <w:r>
        <w:rPr>
          <w:color w:val="231F20"/>
          <w:spacing w:val="-38"/>
          <w:w w:val="105"/>
        </w:rPr>
        <w:t> </w:t>
      </w:r>
      <w:r>
        <w:rPr>
          <w:color w:val="231F20"/>
          <w:w w:val="105"/>
        </w:rPr>
        <w:t>(Callea,</w:t>
      </w:r>
      <w:r>
        <w:rPr>
          <w:color w:val="231F20"/>
          <w:spacing w:val="-40"/>
          <w:w w:val="105"/>
        </w:rPr>
        <w:t> </w:t>
      </w:r>
      <w:r>
        <w:rPr>
          <w:color w:val="231F20"/>
          <w:w w:val="105"/>
        </w:rPr>
        <w:t>1986:</w:t>
      </w:r>
      <w:r>
        <w:rPr>
          <w:color w:val="231F20"/>
          <w:spacing w:val="-38"/>
          <w:w w:val="105"/>
        </w:rPr>
        <w:t> </w:t>
      </w:r>
      <w:r>
        <w:rPr>
          <w:color w:val="231F20"/>
          <w:w w:val="105"/>
        </w:rPr>
        <w:t>67).</w:t>
      </w:r>
    </w:p>
    <w:p>
      <w:pPr>
        <w:pStyle w:val="BodyText"/>
        <w:spacing w:line="261" w:lineRule="auto" w:before="1"/>
        <w:ind w:left="1723" w:right="1828" w:firstLine="567"/>
        <w:jc w:val="both"/>
      </w:pPr>
      <w:r>
        <w:rPr>
          <w:color w:val="231F20"/>
          <w:w w:val="105"/>
        </w:rPr>
        <w:t>En México, además de los estudios referidos que muestran algu- nos</w:t>
      </w:r>
      <w:r>
        <w:rPr>
          <w:color w:val="231F20"/>
          <w:spacing w:val="-17"/>
          <w:w w:val="105"/>
        </w:rPr>
        <w:t> </w:t>
      </w:r>
      <w:r>
        <w:rPr>
          <w:color w:val="231F20"/>
          <w:w w:val="105"/>
        </w:rPr>
        <w:t>efectos</w:t>
      </w:r>
      <w:r>
        <w:rPr>
          <w:color w:val="231F20"/>
          <w:spacing w:val="-17"/>
          <w:w w:val="105"/>
        </w:rPr>
        <w:t> </w:t>
      </w:r>
      <w:r>
        <w:rPr>
          <w:color w:val="231F20"/>
          <w:w w:val="105"/>
        </w:rPr>
        <w:t>positivos</w:t>
      </w:r>
      <w:r>
        <w:rPr>
          <w:color w:val="231F20"/>
          <w:spacing w:val="-17"/>
          <w:w w:val="105"/>
        </w:rPr>
        <w:t> </w:t>
      </w:r>
      <w:r>
        <w:rPr>
          <w:color w:val="231F20"/>
          <w:w w:val="105"/>
        </w:rPr>
        <w:t>del</w:t>
      </w:r>
      <w:r>
        <w:rPr>
          <w:color w:val="231F20"/>
          <w:spacing w:val="-17"/>
          <w:w w:val="105"/>
        </w:rPr>
        <w:t> </w:t>
      </w:r>
      <w:r>
        <w:rPr>
          <w:color w:val="231F20"/>
          <w:w w:val="105"/>
        </w:rPr>
        <w:t>retorno</w:t>
      </w:r>
      <w:r>
        <w:rPr>
          <w:color w:val="231F20"/>
          <w:spacing w:val="-17"/>
          <w:w w:val="105"/>
        </w:rPr>
        <w:t> </w:t>
      </w:r>
      <w:r>
        <w:rPr>
          <w:color w:val="231F20"/>
          <w:w w:val="105"/>
        </w:rPr>
        <w:t>(Papail,</w:t>
      </w:r>
      <w:r>
        <w:rPr>
          <w:color w:val="231F20"/>
          <w:spacing w:val="-21"/>
          <w:w w:val="105"/>
        </w:rPr>
        <w:t> </w:t>
      </w:r>
      <w:r>
        <w:rPr>
          <w:color w:val="231F20"/>
          <w:w w:val="105"/>
        </w:rPr>
        <w:t>2003;</w:t>
      </w:r>
      <w:r>
        <w:rPr>
          <w:color w:val="231F20"/>
          <w:spacing w:val="-17"/>
          <w:w w:val="105"/>
        </w:rPr>
        <w:t> </w:t>
      </w:r>
      <w:r>
        <w:rPr>
          <w:color w:val="231F20"/>
          <w:w w:val="105"/>
        </w:rPr>
        <w:t>Salas</w:t>
      </w:r>
      <w:r>
        <w:rPr>
          <w:color w:val="231F20"/>
          <w:spacing w:val="-17"/>
          <w:w w:val="105"/>
        </w:rPr>
        <w:t> </w:t>
      </w:r>
      <w:r>
        <w:rPr>
          <w:color w:val="231F20"/>
          <w:w w:val="105"/>
        </w:rPr>
        <w:t>y</w:t>
      </w:r>
      <w:r>
        <w:rPr>
          <w:color w:val="231F20"/>
          <w:spacing w:val="-19"/>
          <w:w w:val="105"/>
        </w:rPr>
        <w:t> </w:t>
      </w:r>
      <w:r>
        <w:rPr>
          <w:color w:val="231F20"/>
          <w:w w:val="105"/>
        </w:rPr>
        <w:t>Alcántara,</w:t>
      </w:r>
      <w:r>
        <w:rPr>
          <w:color w:val="231F20"/>
          <w:spacing w:val="-21"/>
          <w:w w:val="105"/>
        </w:rPr>
        <w:t> </w:t>
      </w:r>
      <w:r>
        <w:rPr>
          <w:color w:val="231F20"/>
          <w:w w:val="105"/>
        </w:rPr>
        <w:t>2012), también se han observado problemas en las localidades. </w:t>
      </w:r>
      <w:r>
        <w:rPr>
          <w:color w:val="231F20"/>
          <w:spacing w:val="-6"/>
          <w:w w:val="105"/>
        </w:rPr>
        <w:t>Por </w:t>
      </w:r>
      <w:r>
        <w:rPr>
          <w:color w:val="231F20"/>
          <w:w w:val="105"/>
        </w:rPr>
        <w:t>ejemplo, en la Sierra Norte de Oaxaca, México, cambió la apreciación hacia los retornados.</w:t>
      </w:r>
      <w:r>
        <w:rPr>
          <w:color w:val="231F20"/>
          <w:spacing w:val="-10"/>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años</w:t>
      </w:r>
      <w:r>
        <w:rPr>
          <w:color w:val="231F20"/>
          <w:spacing w:val="-5"/>
          <w:w w:val="105"/>
        </w:rPr>
        <w:t> </w:t>
      </w:r>
      <w:r>
        <w:rPr>
          <w:color w:val="231F20"/>
          <w:w w:val="105"/>
        </w:rPr>
        <w:t>cuarenta,</w:t>
      </w:r>
      <w:r>
        <w:rPr>
          <w:color w:val="231F20"/>
          <w:spacing w:val="-10"/>
          <w:w w:val="105"/>
        </w:rPr>
        <w:t> </w:t>
      </w:r>
      <w:r>
        <w:rPr>
          <w:color w:val="231F20"/>
          <w:w w:val="105"/>
        </w:rPr>
        <w:t>mujeres</w:t>
      </w:r>
      <w:r>
        <w:rPr>
          <w:color w:val="231F20"/>
          <w:spacing w:val="-5"/>
          <w:w w:val="105"/>
        </w:rPr>
        <w:t> </w:t>
      </w:r>
      <w:r>
        <w:rPr>
          <w:color w:val="231F20"/>
          <w:w w:val="105"/>
        </w:rPr>
        <w:t>y</w:t>
      </w:r>
      <w:r>
        <w:rPr>
          <w:color w:val="231F20"/>
          <w:spacing w:val="-5"/>
          <w:w w:val="105"/>
        </w:rPr>
        <w:t> </w:t>
      </w:r>
      <w:r>
        <w:rPr>
          <w:color w:val="231F20"/>
          <w:w w:val="105"/>
        </w:rPr>
        <w:t>abuelos</w:t>
      </w:r>
      <w:r>
        <w:rPr>
          <w:color w:val="231F20"/>
          <w:spacing w:val="-5"/>
          <w:w w:val="105"/>
        </w:rPr>
        <w:t> </w:t>
      </w:r>
      <w:r>
        <w:rPr>
          <w:color w:val="231F20"/>
          <w:w w:val="105"/>
        </w:rPr>
        <w:t>pedían</w:t>
      </w:r>
      <w:r>
        <w:rPr>
          <w:color w:val="231F20"/>
          <w:spacing w:val="-5"/>
          <w:w w:val="105"/>
        </w:rPr>
        <w:t> </w:t>
      </w:r>
      <w:r>
        <w:rPr>
          <w:color w:val="231F20"/>
          <w:w w:val="105"/>
        </w:rPr>
        <w:t>a</w:t>
      </w:r>
      <w:r>
        <w:rPr>
          <w:color w:val="231F20"/>
          <w:spacing w:val="-5"/>
          <w:w w:val="105"/>
        </w:rPr>
        <w:t> </w:t>
      </w:r>
      <w:r>
        <w:rPr>
          <w:color w:val="231F20"/>
          <w:w w:val="105"/>
        </w:rPr>
        <w:t>Dios</w:t>
      </w:r>
      <w:r>
        <w:rPr>
          <w:color w:val="231F20"/>
          <w:spacing w:val="-5"/>
          <w:w w:val="105"/>
        </w:rPr>
        <w:t> </w:t>
      </w:r>
      <w:r>
        <w:rPr>
          <w:color w:val="231F20"/>
          <w:w w:val="105"/>
        </w:rPr>
        <w:t>que cuidara</w:t>
      </w:r>
      <w:r>
        <w:rPr>
          <w:color w:val="231F20"/>
          <w:spacing w:val="-13"/>
          <w:w w:val="105"/>
        </w:rPr>
        <w:t> </w:t>
      </w:r>
      <w:r>
        <w:rPr>
          <w:color w:val="231F20"/>
          <w:w w:val="105"/>
        </w:rPr>
        <w:t>y</w:t>
      </w:r>
      <w:r>
        <w:rPr>
          <w:color w:val="231F20"/>
          <w:spacing w:val="-13"/>
          <w:w w:val="105"/>
        </w:rPr>
        <w:t> </w:t>
      </w:r>
      <w:r>
        <w:rPr>
          <w:color w:val="231F20"/>
          <w:w w:val="105"/>
        </w:rPr>
        <w:t>regresara</w:t>
      </w:r>
      <w:r>
        <w:rPr>
          <w:color w:val="231F20"/>
          <w:spacing w:val="-13"/>
          <w:w w:val="105"/>
        </w:rPr>
        <w:t> </w:t>
      </w:r>
      <w:r>
        <w:rPr>
          <w:color w:val="231F20"/>
          <w:w w:val="105"/>
        </w:rPr>
        <w:t>a</w:t>
      </w:r>
      <w:r>
        <w:rPr>
          <w:color w:val="231F20"/>
          <w:spacing w:val="-13"/>
          <w:w w:val="105"/>
        </w:rPr>
        <w:t> </w:t>
      </w:r>
      <w:r>
        <w:rPr>
          <w:color w:val="231F20"/>
          <w:w w:val="105"/>
        </w:rPr>
        <w:t>sus</w:t>
      </w:r>
      <w:r>
        <w:rPr>
          <w:color w:val="231F20"/>
          <w:spacing w:val="-13"/>
          <w:w w:val="105"/>
        </w:rPr>
        <w:t> </w:t>
      </w:r>
      <w:r>
        <w:rPr>
          <w:color w:val="231F20"/>
          <w:w w:val="105"/>
        </w:rPr>
        <w:t>migrantes,</w:t>
      </w:r>
      <w:r>
        <w:rPr>
          <w:color w:val="231F20"/>
          <w:spacing w:val="-17"/>
          <w:w w:val="105"/>
        </w:rPr>
        <w:t> </w:t>
      </w:r>
      <w:r>
        <w:rPr>
          <w:color w:val="231F20"/>
          <w:w w:val="105"/>
        </w:rPr>
        <w:t>pero</w:t>
      </w:r>
      <w:r>
        <w:rPr>
          <w:color w:val="231F20"/>
          <w:spacing w:val="-13"/>
          <w:w w:val="105"/>
        </w:rPr>
        <w:t> </w:t>
      </w:r>
      <w:r>
        <w:rPr>
          <w:color w:val="231F20"/>
          <w:w w:val="105"/>
        </w:rPr>
        <w:t>al</w:t>
      </w:r>
      <w:r>
        <w:rPr>
          <w:color w:val="231F20"/>
          <w:spacing w:val="-13"/>
          <w:w w:val="105"/>
        </w:rPr>
        <w:t> </w:t>
      </w:r>
      <w:r>
        <w:rPr>
          <w:color w:val="231F20"/>
          <w:w w:val="105"/>
        </w:rPr>
        <w:t>retorno</w:t>
      </w:r>
      <w:r>
        <w:rPr>
          <w:color w:val="231F20"/>
          <w:spacing w:val="-13"/>
          <w:w w:val="105"/>
        </w:rPr>
        <w:t> </w:t>
      </w:r>
      <w:r>
        <w:rPr>
          <w:color w:val="231F20"/>
          <w:w w:val="105"/>
        </w:rPr>
        <w:t>éstos</w:t>
      </w:r>
      <w:r>
        <w:rPr>
          <w:color w:val="231F20"/>
          <w:spacing w:val="-13"/>
          <w:w w:val="105"/>
        </w:rPr>
        <w:t> </w:t>
      </w:r>
      <w:r>
        <w:rPr>
          <w:color w:val="231F20"/>
          <w:w w:val="105"/>
        </w:rPr>
        <w:t>mostraban</w:t>
      </w:r>
      <w:r>
        <w:rPr>
          <w:color w:val="231F20"/>
          <w:spacing w:val="-13"/>
          <w:w w:val="105"/>
        </w:rPr>
        <w:t> </w:t>
      </w:r>
      <w:r>
        <w:rPr>
          <w:color w:val="231F20"/>
          <w:w w:val="105"/>
        </w:rPr>
        <w:t>di- versas</w:t>
      </w:r>
      <w:r>
        <w:rPr>
          <w:color w:val="231F20"/>
          <w:spacing w:val="-31"/>
          <w:w w:val="105"/>
        </w:rPr>
        <w:t> </w:t>
      </w:r>
      <w:r>
        <w:rPr>
          <w:color w:val="231F20"/>
          <w:w w:val="105"/>
        </w:rPr>
        <w:t>transformaciones:</w:t>
      </w:r>
      <w:r>
        <w:rPr>
          <w:color w:val="231F20"/>
          <w:spacing w:val="-31"/>
          <w:w w:val="105"/>
        </w:rPr>
        <w:t> </w:t>
      </w:r>
      <w:r>
        <w:rPr>
          <w:color w:val="231F20"/>
          <w:w w:val="105"/>
        </w:rPr>
        <w:t>traían</w:t>
      </w:r>
      <w:r>
        <w:rPr>
          <w:color w:val="231F20"/>
          <w:spacing w:val="-31"/>
          <w:w w:val="105"/>
        </w:rPr>
        <w:t> </w:t>
      </w:r>
      <w:r>
        <w:rPr>
          <w:color w:val="231F20"/>
          <w:w w:val="105"/>
        </w:rPr>
        <w:t>otra</w:t>
      </w:r>
      <w:r>
        <w:rPr>
          <w:color w:val="231F20"/>
          <w:spacing w:val="-31"/>
          <w:w w:val="105"/>
        </w:rPr>
        <w:t> </w:t>
      </w:r>
      <w:r>
        <w:rPr>
          <w:color w:val="231F20"/>
          <w:w w:val="105"/>
        </w:rPr>
        <w:t>vestimenta</w:t>
      </w:r>
      <w:r>
        <w:rPr>
          <w:color w:val="231F20"/>
          <w:spacing w:val="-31"/>
          <w:w w:val="105"/>
        </w:rPr>
        <w:t> </w:t>
      </w:r>
      <w:r>
        <w:rPr>
          <w:color w:val="231F20"/>
          <w:w w:val="105"/>
        </w:rPr>
        <w:t>y</w:t>
      </w:r>
      <w:r>
        <w:rPr>
          <w:color w:val="231F20"/>
          <w:spacing w:val="-31"/>
          <w:w w:val="105"/>
        </w:rPr>
        <w:t> </w:t>
      </w:r>
      <w:r>
        <w:rPr>
          <w:color w:val="231F20"/>
          <w:w w:val="105"/>
        </w:rPr>
        <w:t>vocabulario,</w:t>
      </w:r>
      <w:r>
        <w:rPr>
          <w:color w:val="231F20"/>
          <w:spacing w:val="-34"/>
          <w:w w:val="105"/>
        </w:rPr>
        <w:t> </w:t>
      </w:r>
      <w:r>
        <w:rPr>
          <w:color w:val="231F20"/>
          <w:w w:val="105"/>
        </w:rPr>
        <w:t>motivando cierta</w:t>
      </w:r>
      <w:r>
        <w:rPr>
          <w:color w:val="231F20"/>
          <w:spacing w:val="-8"/>
          <w:w w:val="105"/>
        </w:rPr>
        <w:t> </w:t>
      </w:r>
      <w:r>
        <w:rPr>
          <w:color w:val="231F20"/>
          <w:w w:val="105"/>
        </w:rPr>
        <w:t>diferenciación</w:t>
      </w:r>
      <w:r>
        <w:rPr>
          <w:color w:val="231F20"/>
          <w:spacing w:val="-8"/>
          <w:w w:val="105"/>
        </w:rPr>
        <w:t> </w:t>
      </w:r>
      <w:r>
        <w:rPr>
          <w:color w:val="231F20"/>
          <w:w w:val="105"/>
        </w:rPr>
        <w:t>social</w:t>
      </w:r>
      <w:r>
        <w:rPr>
          <w:color w:val="231F20"/>
          <w:spacing w:val="-8"/>
          <w:w w:val="105"/>
        </w:rPr>
        <w:t> </w:t>
      </w:r>
      <w:r>
        <w:rPr>
          <w:color w:val="231F20"/>
          <w:w w:val="105"/>
        </w:rPr>
        <w:t>e</w:t>
      </w:r>
      <w:r>
        <w:rPr>
          <w:color w:val="231F20"/>
          <w:spacing w:val="-8"/>
          <w:w w:val="105"/>
        </w:rPr>
        <w:t> </w:t>
      </w:r>
      <w:r>
        <w:rPr>
          <w:color w:val="231F20"/>
          <w:w w:val="105"/>
        </w:rPr>
        <w:t>incluso</w:t>
      </w:r>
      <w:r>
        <w:rPr>
          <w:color w:val="231F20"/>
          <w:spacing w:val="-8"/>
          <w:w w:val="105"/>
        </w:rPr>
        <w:t> </w:t>
      </w:r>
      <w:r>
        <w:rPr>
          <w:color w:val="231F20"/>
          <w:w w:val="105"/>
        </w:rPr>
        <w:t>problemas</w:t>
      </w:r>
      <w:r>
        <w:rPr>
          <w:color w:val="231F20"/>
          <w:spacing w:val="-8"/>
          <w:w w:val="105"/>
        </w:rPr>
        <w:t> </w:t>
      </w:r>
      <w:r>
        <w:rPr>
          <w:color w:val="231F20"/>
          <w:w w:val="105"/>
        </w:rPr>
        <w:t>comunales,</w:t>
      </w:r>
      <w:r>
        <w:rPr>
          <w:color w:val="231F20"/>
          <w:spacing w:val="-13"/>
          <w:w w:val="105"/>
        </w:rPr>
        <w:t> </w:t>
      </w:r>
      <w:r>
        <w:rPr>
          <w:color w:val="231F20"/>
          <w:w w:val="105"/>
        </w:rPr>
        <w:t>pues</w:t>
      </w:r>
      <w:r>
        <w:rPr>
          <w:color w:val="231F20"/>
          <w:spacing w:val="-8"/>
          <w:w w:val="105"/>
        </w:rPr>
        <w:t> </w:t>
      </w:r>
      <w:r>
        <w:rPr>
          <w:color w:val="231F20"/>
          <w:w w:val="105"/>
        </w:rPr>
        <w:t>las</w:t>
      </w:r>
      <w:r>
        <w:rPr>
          <w:color w:val="231F20"/>
          <w:spacing w:val="-8"/>
          <w:w w:val="105"/>
        </w:rPr>
        <w:t> </w:t>
      </w:r>
      <w:r>
        <w:rPr>
          <w:color w:val="231F20"/>
          <w:w w:val="105"/>
        </w:rPr>
        <w:t>ta- reas comunitarias se quedan sin participantes y la percepción sobre lo comunitario</w:t>
      </w:r>
      <w:r>
        <w:rPr>
          <w:color w:val="231F20"/>
          <w:spacing w:val="-25"/>
          <w:w w:val="105"/>
        </w:rPr>
        <w:t> </w:t>
      </w:r>
      <w:r>
        <w:rPr>
          <w:color w:val="231F20"/>
          <w:w w:val="105"/>
        </w:rPr>
        <w:t>había</w:t>
      </w:r>
      <w:r>
        <w:rPr>
          <w:color w:val="231F20"/>
          <w:spacing w:val="-25"/>
          <w:w w:val="105"/>
        </w:rPr>
        <w:t> </w:t>
      </w:r>
      <w:r>
        <w:rPr>
          <w:color w:val="231F20"/>
          <w:w w:val="105"/>
        </w:rPr>
        <w:t>cambiado</w:t>
      </w:r>
      <w:r>
        <w:rPr>
          <w:color w:val="231F20"/>
          <w:spacing w:val="-25"/>
          <w:w w:val="105"/>
        </w:rPr>
        <w:t> </w:t>
      </w:r>
      <w:r>
        <w:rPr>
          <w:color w:val="231F20"/>
          <w:w w:val="105"/>
        </w:rPr>
        <w:t>(Robles,</w:t>
      </w:r>
      <w:r>
        <w:rPr>
          <w:color w:val="231F20"/>
          <w:spacing w:val="-29"/>
          <w:w w:val="105"/>
        </w:rPr>
        <w:t> </w:t>
      </w:r>
      <w:r>
        <w:rPr>
          <w:color w:val="231F20"/>
          <w:w w:val="105"/>
        </w:rPr>
        <w:t>2004).</w:t>
      </w:r>
    </w:p>
    <w:p>
      <w:pPr>
        <w:pStyle w:val="BodyText"/>
        <w:spacing w:line="261" w:lineRule="auto" w:before="1"/>
        <w:ind w:left="1723" w:right="1829" w:firstLine="567"/>
        <w:jc w:val="both"/>
      </w:pPr>
      <w:r>
        <w:rPr>
          <w:color w:val="231F20"/>
          <w:w w:val="105"/>
        </w:rPr>
        <w:t>Reacciones</w:t>
      </w:r>
      <w:r>
        <w:rPr>
          <w:color w:val="231F20"/>
          <w:spacing w:val="-8"/>
          <w:w w:val="105"/>
        </w:rPr>
        <w:t> </w:t>
      </w:r>
      <w:r>
        <w:rPr>
          <w:color w:val="231F20"/>
          <w:w w:val="105"/>
        </w:rPr>
        <w:t>similares</w:t>
      </w:r>
      <w:r>
        <w:rPr>
          <w:color w:val="231F20"/>
          <w:spacing w:val="-8"/>
          <w:w w:val="105"/>
        </w:rPr>
        <w:t> </w:t>
      </w:r>
      <w:r>
        <w:rPr>
          <w:color w:val="231F20"/>
          <w:w w:val="105"/>
        </w:rPr>
        <w:t>se</w:t>
      </w:r>
      <w:r>
        <w:rPr>
          <w:color w:val="231F20"/>
          <w:spacing w:val="-8"/>
          <w:w w:val="105"/>
        </w:rPr>
        <w:t> </w:t>
      </w:r>
      <w:r>
        <w:rPr>
          <w:color w:val="231F20"/>
          <w:w w:val="105"/>
        </w:rPr>
        <w:t>detectaron</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Salto,</w:t>
      </w:r>
      <w:r>
        <w:rPr>
          <w:color w:val="231F20"/>
          <w:spacing w:val="-13"/>
          <w:w w:val="105"/>
        </w:rPr>
        <w:t> </w:t>
      </w:r>
      <w:r>
        <w:rPr>
          <w:color w:val="231F20"/>
          <w:w w:val="105"/>
        </w:rPr>
        <w:t>Moroleón,</w:t>
      </w:r>
      <w:r>
        <w:rPr>
          <w:color w:val="231F20"/>
          <w:spacing w:val="-13"/>
          <w:w w:val="105"/>
        </w:rPr>
        <w:t> </w:t>
      </w:r>
      <w:r>
        <w:rPr>
          <w:color w:val="231F20"/>
          <w:w w:val="105"/>
        </w:rPr>
        <w:t>estado de Guanajuato, donde la migración trajo una mayor valoración para el migrante, en detrimento de los no migrantes, sin embargo, al retorno la nueva</w:t>
      </w:r>
      <w:r>
        <w:rPr>
          <w:color w:val="231F20"/>
          <w:spacing w:val="-28"/>
          <w:w w:val="105"/>
        </w:rPr>
        <w:t> </w:t>
      </w:r>
      <w:r>
        <w:rPr>
          <w:color w:val="231F20"/>
          <w:w w:val="105"/>
        </w:rPr>
        <w:t>perspectiva</w:t>
      </w:r>
      <w:r>
        <w:rPr>
          <w:color w:val="231F20"/>
          <w:spacing w:val="-28"/>
          <w:w w:val="105"/>
        </w:rPr>
        <w:t> </w:t>
      </w:r>
      <w:r>
        <w:rPr>
          <w:color w:val="231F20"/>
          <w:w w:val="105"/>
        </w:rPr>
        <w:t>que</w:t>
      </w:r>
      <w:r>
        <w:rPr>
          <w:color w:val="231F20"/>
          <w:spacing w:val="-28"/>
          <w:w w:val="105"/>
        </w:rPr>
        <w:t> </w:t>
      </w:r>
      <w:r>
        <w:rPr>
          <w:color w:val="231F20"/>
          <w:w w:val="105"/>
        </w:rPr>
        <w:t>traían</w:t>
      </w:r>
      <w:r>
        <w:rPr>
          <w:color w:val="231F20"/>
          <w:spacing w:val="-28"/>
          <w:w w:val="105"/>
        </w:rPr>
        <w:t> </w:t>
      </w:r>
      <w:r>
        <w:rPr>
          <w:color w:val="231F20"/>
          <w:w w:val="105"/>
        </w:rPr>
        <w:t>consigo</w:t>
      </w:r>
      <w:r>
        <w:rPr>
          <w:color w:val="231F20"/>
          <w:spacing w:val="-28"/>
          <w:w w:val="105"/>
        </w:rPr>
        <w:t> </w:t>
      </w:r>
      <w:r>
        <w:rPr>
          <w:color w:val="231F20"/>
          <w:w w:val="105"/>
        </w:rPr>
        <w:t>alteraba</w:t>
      </w:r>
      <w:r>
        <w:rPr>
          <w:color w:val="231F20"/>
          <w:spacing w:val="-28"/>
          <w:w w:val="105"/>
        </w:rPr>
        <w:t> </w:t>
      </w:r>
      <w:r>
        <w:rPr>
          <w:color w:val="231F20"/>
          <w:w w:val="105"/>
        </w:rPr>
        <w:t>la</w:t>
      </w:r>
      <w:r>
        <w:rPr>
          <w:color w:val="231F20"/>
          <w:spacing w:val="-28"/>
          <w:w w:val="105"/>
        </w:rPr>
        <w:t> </w:t>
      </w:r>
      <w:r>
        <w:rPr>
          <w:color w:val="231F20"/>
          <w:w w:val="105"/>
        </w:rPr>
        <w:t>rutina</w:t>
      </w:r>
      <w:r>
        <w:rPr>
          <w:color w:val="231F20"/>
          <w:spacing w:val="-28"/>
          <w:w w:val="105"/>
        </w:rPr>
        <w:t> </w:t>
      </w:r>
      <w:r>
        <w:rPr>
          <w:color w:val="231F20"/>
          <w:w w:val="105"/>
        </w:rPr>
        <w:t>local,</w:t>
      </w:r>
      <w:r>
        <w:rPr>
          <w:color w:val="231F20"/>
          <w:spacing w:val="-33"/>
          <w:w w:val="105"/>
        </w:rPr>
        <w:t> </w:t>
      </w:r>
      <w:r>
        <w:rPr>
          <w:color w:val="231F20"/>
          <w:w w:val="105"/>
        </w:rPr>
        <w:t>vocabulario,</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61656" from="131.551193pt,3.703715pt" to="131.551193pt,39.506114pt" stroked="true" strokeweight=".35pt" strokecolor="#231f20">
            <w10:wrap type="none"/>
          </v:line>
        </w:pict>
      </w:r>
      <w:r>
        <w:rPr/>
        <w:pict>
          <v:line style="position:absolute;mso-position-horizontal-relative:page;mso-position-vertical-relative:paragraph;z-index:-461584" from="15pt,39.505917pt" to="0pt,39.505917pt" stroked="true" strokeweight=".25pt" strokecolor="#000000">
            <w10:wrap type="none"/>
          </v:line>
        </w:pict>
      </w:r>
      <w:r>
        <w:rPr/>
        <w:pict>
          <v:line style="position:absolute;mso-position-horizontal-relative:page;mso-position-vertical-relative:paragraph;z-index:28624" from="508.890015pt,39.505917pt" to="523.890015pt,39.505917pt" stroked="true" strokeweight=".25pt" strokecolor="#000000">
            <w10:wrap type="none"/>
          </v:line>
        </w:pict>
      </w:r>
      <w:r>
        <w:rPr>
          <w:rFonts w:ascii="Arial"/>
          <w:color w:val="414042"/>
          <w:w w:val="105"/>
          <w:position w:val="-5"/>
          <w:sz w:val="20"/>
        </w:rPr>
        <w:t>234</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61440" from="15pt,715.487793pt" to="0pt,715.487793pt" stroked="true" strokeweight=".25pt" strokecolor="#000000">
            <w10:wrap type="none"/>
          </v:line>
        </w:pict>
      </w:r>
      <w:r>
        <w:rPr/>
        <w:pict>
          <v:line style="position:absolute;mso-position-horizontal-relative:page;mso-position-vertical-relative:page;z-index:28768"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61512" from="405.061005pt,-18.554295pt" to="405.061005pt,16.311579pt" stroked="true" strokeweight=".35pt" strokecolor="#231f20">
            <w10:wrap type="none"/>
          </v:line>
        </w:pict>
      </w:r>
      <w:r>
        <w:rPr/>
        <w:pict>
          <v:line style="position:absolute;mso-position-horizontal-relative:page;mso-position-vertical-relative:paragraph;z-index:28696" from="15pt,-18.554522pt" to="0pt,-18.554522pt" stroked="true" strokeweight=".25pt" strokecolor="#000000">
            <w10:wrap type="none"/>
          </v:line>
        </w:pict>
      </w:r>
      <w:r>
        <w:rPr/>
        <w:pict>
          <v:line style="position:absolute;mso-position-horizontal-relative:page;mso-position-vertical-relative:paragraph;z-index:28720"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235</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gestos, vestido, dinero, exaltación de otras costumbres, falta de respe- to</w:t>
      </w:r>
      <w:r>
        <w:rPr>
          <w:color w:val="231F20"/>
          <w:spacing w:val="-4"/>
          <w:w w:val="105"/>
        </w:rPr>
        <w:t> </w:t>
      </w:r>
      <w:r>
        <w:rPr>
          <w:color w:val="231F20"/>
          <w:w w:val="105"/>
        </w:rPr>
        <w:t>a</w:t>
      </w:r>
      <w:r>
        <w:rPr>
          <w:color w:val="231F20"/>
          <w:spacing w:val="-4"/>
          <w:w w:val="105"/>
        </w:rPr>
        <w:t> </w:t>
      </w:r>
      <w:r>
        <w:rPr>
          <w:color w:val="231F20"/>
          <w:w w:val="105"/>
        </w:rPr>
        <w:t>las</w:t>
      </w:r>
      <w:r>
        <w:rPr>
          <w:color w:val="231F20"/>
          <w:spacing w:val="-4"/>
          <w:w w:val="105"/>
        </w:rPr>
        <w:t> </w:t>
      </w:r>
      <w:r>
        <w:rPr>
          <w:color w:val="231F20"/>
          <w:w w:val="105"/>
        </w:rPr>
        <w:t>normas,</w:t>
      </w:r>
      <w:r>
        <w:rPr>
          <w:color w:val="231F20"/>
          <w:spacing w:val="-9"/>
          <w:w w:val="105"/>
        </w:rPr>
        <w:t> </w:t>
      </w:r>
      <w:r>
        <w:rPr>
          <w:color w:val="231F20"/>
          <w:w w:val="105"/>
        </w:rPr>
        <w:t>generando</w:t>
      </w:r>
      <w:r>
        <w:rPr>
          <w:color w:val="231F20"/>
          <w:spacing w:val="-4"/>
          <w:w w:val="105"/>
        </w:rPr>
        <w:t> </w:t>
      </w:r>
      <w:r>
        <w:rPr>
          <w:color w:val="231F20"/>
          <w:w w:val="105"/>
        </w:rPr>
        <w:t>fricciones</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familia</w:t>
      </w:r>
      <w:r>
        <w:rPr>
          <w:color w:val="231F20"/>
          <w:spacing w:val="-4"/>
          <w:w w:val="105"/>
        </w:rPr>
        <w:t> </w:t>
      </w:r>
      <w:r>
        <w:rPr>
          <w:color w:val="231F20"/>
          <w:w w:val="105"/>
        </w:rPr>
        <w:t>y</w:t>
      </w:r>
      <w:r>
        <w:rPr>
          <w:color w:val="231F20"/>
          <w:spacing w:val="-4"/>
          <w:w w:val="105"/>
        </w:rPr>
        <w:t> </w:t>
      </w:r>
      <w:r>
        <w:rPr>
          <w:color w:val="231F20"/>
          <w:w w:val="105"/>
        </w:rPr>
        <w:t>la</w:t>
      </w:r>
      <w:r>
        <w:rPr>
          <w:color w:val="231F20"/>
          <w:spacing w:val="-4"/>
          <w:w w:val="105"/>
        </w:rPr>
        <w:t> </w:t>
      </w:r>
      <w:r>
        <w:rPr>
          <w:color w:val="231F20"/>
          <w:w w:val="105"/>
        </w:rPr>
        <w:t>localidad</w:t>
      </w:r>
      <w:r>
        <w:rPr>
          <w:color w:val="231F20"/>
          <w:spacing w:val="-4"/>
          <w:w w:val="105"/>
        </w:rPr>
        <w:t> </w:t>
      </w:r>
      <w:r>
        <w:rPr>
          <w:color w:val="231F20"/>
          <w:w w:val="105"/>
        </w:rPr>
        <w:t>(Estra- da,</w:t>
      </w:r>
      <w:r>
        <w:rPr>
          <w:color w:val="231F20"/>
          <w:spacing w:val="-19"/>
          <w:w w:val="105"/>
        </w:rPr>
        <w:t> </w:t>
      </w:r>
      <w:r>
        <w:rPr>
          <w:color w:val="231F20"/>
          <w:w w:val="105"/>
        </w:rPr>
        <w:t>2008).</w:t>
      </w:r>
      <w:r>
        <w:rPr>
          <w:color w:val="231F20"/>
          <w:spacing w:val="-19"/>
          <w:w w:val="105"/>
        </w:rPr>
        <w:t> </w:t>
      </w:r>
      <w:r>
        <w:rPr>
          <w:color w:val="231F20"/>
          <w:w w:val="105"/>
        </w:rPr>
        <w:t>En</w:t>
      </w:r>
      <w:r>
        <w:rPr>
          <w:color w:val="231F20"/>
          <w:spacing w:val="-14"/>
          <w:w w:val="105"/>
        </w:rPr>
        <w:t> </w:t>
      </w:r>
      <w:r>
        <w:rPr>
          <w:color w:val="231F20"/>
          <w:w w:val="105"/>
        </w:rPr>
        <w:t>una</w:t>
      </w:r>
      <w:r>
        <w:rPr>
          <w:color w:val="231F20"/>
          <w:spacing w:val="-14"/>
          <w:w w:val="105"/>
        </w:rPr>
        <w:t> </w:t>
      </w:r>
      <w:r>
        <w:rPr>
          <w:color w:val="231F20"/>
          <w:w w:val="105"/>
        </w:rPr>
        <w:t>comunidad</w:t>
      </w:r>
      <w:r>
        <w:rPr>
          <w:color w:val="231F20"/>
          <w:spacing w:val="-14"/>
          <w:w w:val="105"/>
        </w:rPr>
        <w:t> </w:t>
      </w:r>
      <w:r>
        <w:rPr>
          <w:color w:val="231F20"/>
          <w:w w:val="105"/>
        </w:rPr>
        <w:t>de</w:t>
      </w:r>
      <w:r>
        <w:rPr>
          <w:color w:val="231F20"/>
          <w:spacing w:val="-18"/>
          <w:w w:val="105"/>
        </w:rPr>
        <w:t> </w:t>
      </w:r>
      <w:r>
        <w:rPr>
          <w:color w:val="231F20"/>
          <w:w w:val="105"/>
        </w:rPr>
        <w:t>Tlatlaya,</w:t>
      </w:r>
      <w:r>
        <w:rPr>
          <w:color w:val="231F20"/>
          <w:spacing w:val="-19"/>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México,</w:t>
      </w:r>
      <w:r>
        <w:rPr>
          <w:color w:val="231F20"/>
          <w:spacing w:val="-19"/>
          <w:w w:val="105"/>
        </w:rPr>
        <w:t> </w:t>
      </w:r>
      <w:r>
        <w:rPr>
          <w:color w:val="231F20"/>
          <w:w w:val="105"/>
        </w:rPr>
        <w:t>también</w:t>
      </w:r>
      <w:r>
        <w:rPr>
          <w:color w:val="231F20"/>
          <w:spacing w:val="-14"/>
          <w:w w:val="105"/>
        </w:rPr>
        <w:t> </w:t>
      </w:r>
      <w:r>
        <w:rPr>
          <w:color w:val="231F20"/>
          <w:w w:val="105"/>
        </w:rPr>
        <w:t>se mencionan</w:t>
      </w:r>
      <w:r>
        <w:rPr>
          <w:color w:val="231F20"/>
          <w:spacing w:val="-13"/>
          <w:w w:val="105"/>
        </w:rPr>
        <w:t> </w:t>
      </w:r>
      <w:r>
        <w:rPr>
          <w:color w:val="231F20"/>
          <w:w w:val="105"/>
        </w:rPr>
        <w:t>fricciones</w:t>
      </w:r>
      <w:r>
        <w:rPr>
          <w:color w:val="231F20"/>
          <w:spacing w:val="-13"/>
          <w:w w:val="105"/>
        </w:rPr>
        <w:t> </w:t>
      </w:r>
      <w:r>
        <w:rPr>
          <w:color w:val="231F20"/>
          <w:w w:val="105"/>
        </w:rPr>
        <w:t>sociales</w:t>
      </w:r>
      <w:r>
        <w:rPr>
          <w:color w:val="231F20"/>
          <w:spacing w:val="-13"/>
          <w:w w:val="105"/>
        </w:rPr>
        <w:t> </w:t>
      </w:r>
      <w:r>
        <w:rPr>
          <w:color w:val="231F20"/>
          <w:w w:val="105"/>
        </w:rPr>
        <w:t>con</w:t>
      </w:r>
      <w:r>
        <w:rPr>
          <w:color w:val="231F20"/>
          <w:spacing w:val="-13"/>
          <w:w w:val="105"/>
        </w:rPr>
        <w:t> </w:t>
      </w:r>
      <w:r>
        <w:rPr>
          <w:color w:val="231F20"/>
          <w:w w:val="105"/>
        </w:rPr>
        <w:t>los</w:t>
      </w:r>
      <w:r>
        <w:rPr>
          <w:color w:val="231F20"/>
          <w:spacing w:val="-13"/>
          <w:w w:val="105"/>
        </w:rPr>
        <w:t> </w:t>
      </w:r>
      <w:r>
        <w:rPr>
          <w:color w:val="231F20"/>
          <w:w w:val="105"/>
        </w:rPr>
        <w:t>migrantes</w:t>
      </w:r>
      <w:r>
        <w:rPr>
          <w:color w:val="231F20"/>
          <w:spacing w:val="-13"/>
          <w:w w:val="105"/>
        </w:rPr>
        <w:t> </w:t>
      </w:r>
      <w:r>
        <w:rPr>
          <w:color w:val="231F20"/>
          <w:w w:val="105"/>
        </w:rPr>
        <w:t>de</w:t>
      </w:r>
      <w:r>
        <w:rPr>
          <w:color w:val="231F20"/>
          <w:spacing w:val="-13"/>
          <w:w w:val="105"/>
        </w:rPr>
        <w:t> </w:t>
      </w:r>
      <w:r>
        <w:rPr>
          <w:color w:val="231F20"/>
          <w:w w:val="105"/>
        </w:rPr>
        <w:t>retorno</w:t>
      </w:r>
      <w:r>
        <w:rPr>
          <w:color w:val="231F20"/>
          <w:spacing w:val="-13"/>
          <w:w w:val="105"/>
        </w:rPr>
        <w:t> </w:t>
      </w:r>
      <w:r>
        <w:rPr>
          <w:color w:val="231F20"/>
          <w:w w:val="105"/>
        </w:rPr>
        <w:t>en</w:t>
      </w:r>
      <w:r>
        <w:rPr>
          <w:color w:val="231F20"/>
          <w:spacing w:val="-13"/>
          <w:w w:val="105"/>
        </w:rPr>
        <w:t> </w:t>
      </w:r>
      <w:r>
        <w:rPr>
          <w:color w:val="231F20"/>
          <w:w w:val="105"/>
        </w:rPr>
        <w:t>cuanto</w:t>
      </w:r>
      <w:r>
        <w:rPr>
          <w:color w:val="231F20"/>
          <w:spacing w:val="-13"/>
          <w:w w:val="105"/>
        </w:rPr>
        <w:t> </w:t>
      </w:r>
      <w:r>
        <w:rPr>
          <w:color w:val="231F20"/>
          <w:w w:val="105"/>
        </w:rPr>
        <w:t>al vestido,</w:t>
      </w:r>
      <w:r>
        <w:rPr>
          <w:color w:val="231F20"/>
          <w:spacing w:val="-39"/>
          <w:w w:val="105"/>
        </w:rPr>
        <w:t> </w:t>
      </w:r>
      <w:r>
        <w:rPr>
          <w:color w:val="231F20"/>
          <w:w w:val="105"/>
        </w:rPr>
        <w:t>las</w:t>
      </w:r>
      <w:r>
        <w:rPr>
          <w:color w:val="231F20"/>
          <w:spacing w:val="-36"/>
          <w:w w:val="105"/>
        </w:rPr>
        <w:t> </w:t>
      </w:r>
      <w:r>
        <w:rPr>
          <w:color w:val="231F20"/>
          <w:w w:val="105"/>
        </w:rPr>
        <w:t>palabras</w:t>
      </w:r>
      <w:r>
        <w:rPr>
          <w:color w:val="231F20"/>
          <w:spacing w:val="-36"/>
          <w:w w:val="105"/>
        </w:rPr>
        <w:t> </w:t>
      </w:r>
      <w:r>
        <w:rPr>
          <w:color w:val="231F20"/>
          <w:w w:val="105"/>
        </w:rPr>
        <w:t>y</w:t>
      </w:r>
      <w:r>
        <w:rPr>
          <w:color w:val="231F20"/>
          <w:spacing w:val="-36"/>
          <w:w w:val="105"/>
        </w:rPr>
        <w:t> </w:t>
      </w:r>
      <w:r>
        <w:rPr>
          <w:color w:val="231F20"/>
          <w:w w:val="105"/>
        </w:rPr>
        <w:t>desplantes</w:t>
      </w:r>
      <w:r>
        <w:rPr>
          <w:color w:val="231F20"/>
          <w:spacing w:val="-36"/>
          <w:w w:val="105"/>
        </w:rPr>
        <w:t> </w:t>
      </w:r>
      <w:r>
        <w:rPr>
          <w:color w:val="231F20"/>
          <w:w w:val="105"/>
        </w:rPr>
        <w:t>(Álvarez,</w:t>
      </w:r>
      <w:r>
        <w:rPr>
          <w:color w:val="231F20"/>
          <w:spacing w:val="-39"/>
          <w:w w:val="105"/>
        </w:rPr>
        <w:t> </w:t>
      </w:r>
      <w:r>
        <w:rPr>
          <w:color w:val="231F20"/>
          <w:w w:val="105"/>
        </w:rPr>
        <w:t>2009).</w:t>
      </w:r>
    </w:p>
    <w:p>
      <w:pPr>
        <w:pStyle w:val="BodyText"/>
        <w:spacing w:line="261" w:lineRule="auto" w:before="1"/>
        <w:ind w:left="1837" w:right="1715" w:firstLine="567"/>
        <w:jc w:val="both"/>
      </w:pPr>
      <w:r>
        <w:rPr>
          <w:color w:val="231F20"/>
          <w:w w:val="105"/>
        </w:rPr>
        <w:t>En</w:t>
      </w:r>
      <w:r>
        <w:rPr>
          <w:color w:val="231F20"/>
          <w:spacing w:val="-18"/>
          <w:w w:val="105"/>
        </w:rPr>
        <w:t> </w:t>
      </w:r>
      <w:r>
        <w:rPr>
          <w:color w:val="231F20"/>
          <w:w w:val="105"/>
        </w:rPr>
        <w:t>este</w:t>
      </w:r>
      <w:r>
        <w:rPr>
          <w:color w:val="231F20"/>
          <w:spacing w:val="-18"/>
          <w:w w:val="105"/>
        </w:rPr>
        <w:t> </w:t>
      </w:r>
      <w:r>
        <w:rPr>
          <w:color w:val="231F20"/>
          <w:w w:val="105"/>
        </w:rPr>
        <w:t>sentido,</w:t>
      </w:r>
      <w:r>
        <w:rPr>
          <w:color w:val="231F20"/>
          <w:spacing w:val="-23"/>
          <w:w w:val="105"/>
        </w:rPr>
        <w:t> </w:t>
      </w:r>
      <w:r>
        <w:rPr>
          <w:color w:val="231F20"/>
          <w:w w:val="105"/>
        </w:rPr>
        <w:t>este</w:t>
      </w:r>
      <w:r>
        <w:rPr>
          <w:color w:val="231F20"/>
          <w:spacing w:val="-18"/>
          <w:w w:val="105"/>
        </w:rPr>
        <w:t> </w:t>
      </w:r>
      <w:r>
        <w:rPr>
          <w:color w:val="231F20"/>
          <w:w w:val="105"/>
        </w:rPr>
        <w:t>trabajo</w:t>
      </w:r>
      <w:r>
        <w:rPr>
          <w:color w:val="231F20"/>
          <w:spacing w:val="-18"/>
          <w:w w:val="105"/>
        </w:rPr>
        <w:t> </w:t>
      </w:r>
      <w:r>
        <w:rPr>
          <w:color w:val="231F20"/>
          <w:w w:val="105"/>
        </w:rPr>
        <w:t>pretende</w:t>
      </w:r>
      <w:r>
        <w:rPr>
          <w:color w:val="231F20"/>
          <w:spacing w:val="-18"/>
          <w:w w:val="105"/>
        </w:rPr>
        <w:t> </w:t>
      </w:r>
      <w:r>
        <w:rPr>
          <w:color w:val="231F20"/>
          <w:w w:val="105"/>
        </w:rPr>
        <w:t>analizar</w:t>
      </w:r>
      <w:r>
        <w:rPr>
          <w:color w:val="231F20"/>
          <w:spacing w:val="-18"/>
          <w:w w:val="105"/>
        </w:rPr>
        <w:t> </w:t>
      </w:r>
      <w:r>
        <w:rPr>
          <w:color w:val="231F20"/>
          <w:w w:val="105"/>
        </w:rPr>
        <w:t>cuáles</w:t>
      </w:r>
      <w:r>
        <w:rPr>
          <w:color w:val="231F20"/>
          <w:spacing w:val="-18"/>
          <w:w w:val="105"/>
        </w:rPr>
        <w:t> </w:t>
      </w:r>
      <w:r>
        <w:rPr>
          <w:color w:val="231F20"/>
          <w:w w:val="105"/>
        </w:rPr>
        <w:t>conocimien- tos productivos de uso práctico traen consigo los migrantes mexiquen- ses,</w:t>
      </w:r>
      <w:r>
        <w:rPr>
          <w:color w:val="231F20"/>
          <w:spacing w:val="-15"/>
          <w:w w:val="105"/>
        </w:rPr>
        <w:t> </w:t>
      </w:r>
      <w:r>
        <w:rPr>
          <w:color w:val="231F20"/>
          <w:w w:val="105"/>
        </w:rPr>
        <w:t>que</w:t>
      </w:r>
      <w:r>
        <w:rPr>
          <w:color w:val="231F20"/>
          <w:spacing w:val="-11"/>
          <w:w w:val="105"/>
        </w:rPr>
        <w:t> </w:t>
      </w:r>
      <w:r>
        <w:rPr>
          <w:color w:val="231F20"/>
          <w:w w:val="105"/>
        </w:rPr>
        <w:t>retornaron</w:t>
      </w:r>
      <w:r>
        <w:rPr>
          <w:color w:val="231F20"/>
          <w:spacing w:val="-11"/>
          <w:w w:val="105"/>
        </w:rPr>
        <w:t> </w:t>
      </w:r>
      <w:r>
        <w:rPr>
          <w:color w:val="231F20"/>
          <w:w w:val="105"/>
        </w:rPr>
        <w:t>desde</w:t>
      </w:r>
      <w:r>
        <w:rPr>
          <w:color w:val="231F20"/>
          <w:spacing w:val="-15"/>
          <w:w w:val="105"/>
        </w:rPr>
        <w:t> </w:t>
      </w:r>
      <w:r>
        <w:rPr>
          <w:color w:val="231F20"/>
          <w:spacing w:val="-4"/>
          <w:w w:val="105"/>
        </w:rPr>
        <w:t>Texas,</w:t>
      </w:r>
      <w:r>
        <w:rPr>
          <w:color w:val="231F20"/>
          <w:spacing w:val="-15"/>
          <w:w w:val="105"/>
        </w:rPr>
        <w:t> </w:t>
      </w:r>
      <w:r>
        <w:rPr>
          <w:color w:val="231F20"/>
          <w:w w:val="105"/>
        </w:rPr>
        <w:t>de</w:t>
      </w:r>
      <w:r>
        <w:rPr>
          <w:color w:val="231F20"/>
          <w:spacing w:val="-11"/>
          <w:w w:val="105"/>
        </w:rPr>
        <w:t> </w:t>
      </w:r>
      <w:r>
        <w:rPr>
          <w:color w:val="231F20"/>
          <w:w w:val="105"/>
        </w:rPr>
        <w:t>qué</w:t>
      </w:r>
      <w:r>
        <w:rPr>
          <w:color w:val="231F20"/>
          <w:spacing w:val="-11"/>
          <w:w w:val="105"/>
        </w:rPr>
        <w:t> </w:t>
      </w:r>
      <w:r>
        <w:rPr>
          <w:color w:val="231F20"/>
          <w:w w:val="105"/>
        </w:rPr>
        <w:t>forma</w:t>
      </w:r>
      <w:r>
        <w:rPr>
          <w:color w:val="231F20"/>
          <w:spacing w:val="-11"/>
          <w:w w:val="105"/>
        </w:rPr>
        <w:t> </w:t>
      </w:r>
      <w:r>
        <w:rPr>
          <w:color w:val="231F20"/>
          <w:w w:val="105"/>
        </w:rPr>
        <w:t>los</w:t>
      </w:r>
      <w:r>
        <w:rPr>
          <w:color w:val="231F20"/>
          <w:spacing w:val="-11"/>
          <w:w w:val="105"/>
        </w:rPr>
        <w:t> </w:t>
      </w:r>
      <w:r>
        <w:rPr>
          <w:color w:val="231F20"/>
          <w:w w:val="105"/>
        </w:rPr>
        <w:t>utilizan</w:t>
      </w:r>
      <w:r>
        <w:rPr>
          <w:color w:val="231F20"/>
          <w:spacing w:val="-11"/>
          <w:w w:val="105"/>
        </w:rPr>
        <w:t> </w:t>
      </w:r>
      <w:r>
        <w:rPr>
          <w:color w:val="231F20"/>
          <w:w w:val="105"/>
        </w:rPr>
        <w:t>en</w:t>
      </w:r>
      <w:r>
        <w:rPr>
          <w:color w:val="231F20"/>
          <w:spacing w:val="-11"/>
          <w:w w:val="105"/>
        </w:rPr>
        <w:t> </w:t>
      </w:r>
      <w:r>
        <w:rPr>
          <w:color w:val="231F20"/>
          <w:w w:val="105"/>
        </w:rPr>
        <w:t>sus</w:t>
      </w:r>
      <w:r>
        <w:rPr>
          <w:color w:val="231F20"/>
          <w:spacing w:val="-11"/>
          <w:w w:val="105"/>
        </w:rPr>
        <w:t> </w:t>
      </w:r>
      <w:r>
        <w:rPr>
          <w:color w:val="231F20"/>
          <w:w w:val="105"/>
        </w:rPr>
        <w:t>locali- dades, las limitaciones que enfrentan y los apoyos que requieren para reinsertarse.</w:t>
      </w:r>
      <w:r>
        <w:rPr>
          <w:color w:val="231F20"/>
          <w:spacing w:val="-30"/>
          <w:w w:val="105"/>
        </w:rPr>
        <w:t> </w:t>
      </w:r>
      <w:r>
        <w:rPr>
          <w:color w:val="231F20"/>
          <w:w w:val="105"/>
        </w:rPr>
        <w:t>El</w:t>
      </w:r>
      <w:r>
        <w:rPr>
          <w:color w:val="231F20"/>
          <w:spacing w:val="-26"/>
          <w:w w:val="105"/>
        </w:rPr>
        <w:t> </w:t>
      </w:r>
      <w:r>
        <w:rPr>
          <w:color w:val="231F20"/>
          <w:w w:val="105"/>
        </w:rPr>
        <w:t>análisis</w:t>
      </w:r>
      <w:r>
        <w:rPr>
          <w:color w:val="231F20"/>
          <w:spacing w:val="-26"/>
          <w:w w:val="105"/>
        </w:rPr>
        <w:t> </w:t>
      </w:r>
      <w:r>
        <w:rPr>
          <w:color w:val="231F20"/>
          <w:w w:val="105"/>
        </w:rPr>
        <w:t>se</w:t>
      </w:r>
      <w:r>
        <w:rPr>
          <w:color w:val="231F20"/>
          <w:spacing w:val="-26"/>
          <w:w w:val="105"/>
        </w:rPr>
        <w:t> </w:t>
      </w:r>
      <w:r>
        <w:rPr>
          <w:color w:val="231F20"/>
          <w:w w:val="105"/>
        </w:rPr>
        <w:t>realiza</w:t>
      </w:r>
      <w:r>
        <w:rPr>
          <w:color w:val="231F20"/>
          <w:spacing w:val="-26"/>
          <w:w w:val="105"/>
        </w:rPr>
        <w:t> </w:t>
      </w:r>
      <w:r>
        <w:rPr>
          <w:color w:val="231F20"/>
          <w:w w:val="105"/>
        </w:rPr>
        <w:t>desde</w:t>
      </w:r>
      <w:r>
        <w:rPr>
          <w:color w:val="231F20"/>
          <w:spacing w:val="-26"/>
          <w:w w:val="105"/>
        </w:rPr>
        <w:t> </w:t>
      </w:r>
      <w:r>
        <w:rPr>
          <w:color w:val="231F20"/>
          <w:w w:val="105"/>
        </w:rPr>
        <w:t>la</w:t>
      </w:r>
      <w:r>
        <w:rPr>
          <w:color w:val="231F20"/>
          <w:spacing w:val="-26"/>
          <w:w w:val="105"/>
        </w:rPr>
        <w:t> </w:t>
      </w:r>
      <w:r>
        <w:rPr>
          <w:color w:val="231F20"/>
          <w:w w:val="105"/>
        </w:rPr>
        <w:t>perspectiva</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retornados, los cuales fueron entrevistados a profundidad mediante una selección no aleatoria durante diciembre de 2012 y febrero de 2013, en distintos municipios de la</w:t>
      </w:r>
      <w:r>
        <w:rPr>
          <w:color w:val="231F20"/>
          <w:spacing w:val="-9"/>
          <w:w w:val="105"/>
        </w:rPr>
        <w:t> </w:t>
      </w:r>
      <w:r>
        <w:rPr>
          <w:color w:val="231F20"/>
          <w:w w:val="105"/>
        </w:rPr>
        <w:t>entidad.</w:t>
      </w:r>
    </w:p>
    <w:p>
      <w:pPr>
        <w:pStyle w:val="BodyText"/>
        <w:rPr>
          <w:sz w:val="20"/>
        </w:rPr>
      </w:pPr>
    </w:p>
    <w:p>
      <w:pPr>
        <w:pStyle w:val="BodyText"/>
        <w:spacing w:before="9"/>
        <w:rPr>
          <w:sz w:val="20"/>
        </w:rPr>
      </w:pPr>
    </w:p>
    <w:p>
      <w:pPr>
        <w:pStyle w:val="Heading3"/>
      </w:pPr>
      <w:r>
        <w:rPr>
          <w:color w:val="231F20"/>
        </w:rPr>
        <w:t>La construcción del modo de vida y la migración de retorno</w:t>
      </w:r>
    </w:p>
    <w:p>
      <w:pPr>
        <w:pStyle w:val="BodyText"/>
        <w:rPr>
          <w:rFonts w:ascii="Arial"/>
          <w:b/>
          <w:sz w:val="22"/>
        </w:rPr>
      </w:pPr>
    </w:p>
    <w:p>
      <w:pPr>
        <w:pStyle w:val="BodyText"/>
        <w:spacing w:line="261" w:lineRule="auto" w:before="163"/>
        <w:ind w:left="1837" w:right="1721"/>
        <w:jc w:val="both"/>
      </w:pPr>
      <w:r>
        <w:rPr>
          <w:color w:val="231F20"/>
          <w:w w:val="105"/>
        </w:rPr>
        <w:t>Diversidad de personas emigran y retornan con distintas motivaciones y</w:t>
      </w:r>
      <w:r>
        <w:rPr>
          <w:color w:val="231F20"/>
          <w:spacing w:val="-15"/>
          <w:w w:val="105"/>
        </w:rPr>
        <w:t> </w:t>
      </w:r>
      <w:r>
        <w:rPr>
          <w:color w:val="231F20"/>
          <w:w w:val="105"/>
        </w:rPr>
        <w:t>medios,</w:t>
      </w:r>
      <w:r>
        <w:rPr>
          <w:color w:val="231F20"/>
          <w:spacing w:val="-20"/>
          <w:w w:val="105"/>
        </w:rPr>
        <w:t> </w:t>
      </w:r>
      <w:r>
        <w:rPr>
          <w:color w:val="231F20"/>
          <w:w w:val="105"/>
        </w:rPr>
        <w:t>todas</w:t>
      </w:r>
      <w:r>
        <w:rPr>
          <w:color w:val="231F20"/>
          <w:spacing w:val="-15"/>
          <w:w w:val="105"/>
        </w:rPr>
        <w:t> </w:t>
      </w:r>
      <w:r>
        <w:rPr>
          <w:color w:val="231F20"/>
          <w:w w:val="105"/>
        </w:rPr>
        <w:t>reciben</w:t>
      </w:r>
      <w:r>
        <w:rPr>
          <w:color w:val="231F20"/>
          <w:spacing w:val="-15"/>
          <w:w w:val="105"/>
        </w:rPr>
        <w:t> </w:t>
      </w:r>
      <w:r>
        <w:rPr>
          <w:color w:val="231F20"/>
          <w:w w:val="105"/>
        </w:rPr>
        <w:t>influencia</w:t>
      </w:r>
      <w:r>
        <w:rPr>
          <w:color w:val="231F20"/>
          <w:spacing w:val="-15"/>
          <w:w w:val="105"/>
        </w:rPr>
        <w:t> </w:t>
      </w:r>
      <w:r>
        <w:rPr>
          <w:color w:val="231F20"/>
          <w:w w:val="105"/>
        </w:rPr>
        <w:t>de</w:t>
      </w:r>
      <w:r>
        <w:rPr>
          <w:color w:val="231F20"/>
          <w:spacing w:val="-15"/>
          <w:w w:val="105"/>
        </w:rPr>
        <w:t> </w:t>
      </w:r>
      <w:r>
        <w:rPr>
          <w:color w:val="231F20"/>
          <w:w w:val="105"/>
        </w:rPr>
        <w:t>actores,</w:t>
      </w:r>
      <w:r>
        <w:rPr>
          <w:color w:val="231F20"/>
          <w:spacing w:val="-20"/>
          <w:w w:val="105"/>
        </w:rPr>
        <w:t> </w:t>
      </w:r>
      <w:r>
        <w:rPr>
          <w:color w:val="231F20"/>
          <w:w w:val="105"/>
        </w:rPr>
        <w:t>circunstancias</w:t>
      </w:r>
      <w:r>
        <w:rPr>
          <w:color w:val="231F20"/>
          <w:spacing w:val="-15"/>
          <w:w w:val="105"/>
        </w:rPr>
        <w:t> </w:t>
      </w:r>
      <w:r>
        <w:rPr>
          <w:color w:val="231F20"/>
          <w:w w:val="105"/>
        </w:rPr>
        <w:t>e</w:t>
      </w:r>
      <w:r>
        <w:rPr>
          <w:color w:val="231F20"/>
          <w:spacing w:val="-15"/>
          <w:w w:val="105"/>
        </w:rPr>
        <w:t> </w:t>
      </w:r>
      <w:r>
        <w:rPr>
          <w:color w:val="231F20"/>
          <w:w w:val="105"/>
        </w:rPr>
        <w:t>intereses ajenos a sus propias intenciones. Al retorno, cada uno trae consigo ilu- siones, necesidades, conocimientos, activos y demás aspectos que lo conforman</w:t>
      </w:r>
      <w:r>
        <w:rPr>
          <w:color w:val="231F20"/>
          <w:spacing w:val="-16"/>
          <w:w w:val="105"/>
        </w:rPr>
        <w:t> </w:t>
      </w:r>
      <w:r>
        <w:rPr>
          <w:color w:val="231F20"/>
          <w:w w:val="105"/>
        </w:rPr>
        <w:t>como</w:t>
      </w:r>
      <w:r>
        <w:rPr>
          <w:color w:val="231F20"/>
          <w:spacing w:val="-16"/>
          <w:w w:val="105"/>
        </w:rPr>
        <w:t> </w:t>
      </w:r>
      <w:r>
        <w:rPr>
          <w:color w:val="231F20"/>
          <w:w w:val="105"/>
        </w:rPr>
        <w:t>ser</w:t>
      </w:r>
      <w:r>
        <w:rPr>
          <w:color w:val="231F20"/>
          <w:spacing w:val="-16"/>
          <w:w w:val="105"/>
        </w:rPr>
        <w:t> </w:t>
      </w:r>
      <w:r>
        <w:rPr>
          <w:color w:val="231F20"/>
          <w:w w:val="105"/>
        </w:rPr>
        <w:t>humano,</w:t>
      </w:r>
      <w:r>
        <w:rPr>
          <w:color w:val="231F20"/>
          <w:spacing w:val="-22"/>
          <w:w w:val="105"/>
        </w:rPr>
        <w:t> </w:t>
      </w:r>
      <w:r>
        <w:rPr>
          <w:color w:val="231F20"/>
          <w:w w:val="105"/>
        </w:rPr>
        <w:t>en</w:t>
      </w:r>
      <w:r>
        <w:rPr>
          <w:color w:val="231F20"/>
          <w:spacing w:val="-16"/>
          <w:w w:val="105"/>
        </w:rPr>
        <w:t> </w:t>
      </w:r>
      <w:r>
        <w:rPr>
          <w:color w:val="231F20"/>
          <w:w w:val="105"/>
        </w:rPr>
        <w:t>ese</w:t>
      </w:r>
      <w:r>
        <w:rPr>
          <w:color w:val="231F20"/>
          <w:spacing w:val="-16"/>
          <w:w w:val="105"/>
        </w:rPr>
        <w:t> </w:t>
      </w:r>
      <w:r>
        <w:rPr>
          <w:color w:val="231F20"/>
          <w:w w:val="105"/>
        </w:rPr>
        <w:t>tenor</w:t>
      </w:r>
      <w:r>
        <w:rPr>
          <w:color w:val="231F20"/>
          <w:spacing w:val="-16"/>
          <w:w w:val="105"/>
        </w:rPr>
        <w:t> </w:t>
      </w:r>
      <w:r>
        <w:rPr>
          <w:color w:val="231F20"/>
          <w:w w:val="105"/>
        </w:rPr>
        <w:t>afecta</w:t>
      </w:r>
      <w:r>
        <w:rPr>
          <w:color w:val="231F20"/>
          <w:spacing w:val="-16"/>
          <w:w w:val="105"/>
        </w:rPr>
        <w:t> </w:t>
      </w:r>
      <w:r>
        <w:rPr>
          <w:color w:val="231F20"/>
          <w:w w:val="105"/>
        </w:rPr>
        <w:t>y</w:t>
      </w:r>
      <w:r>
        <w:rPr>
          <w:color w:val="231F20"/>
          <w:spacing w:val="-16"/>
          <w:w w:val="105"/>
        </w:rPr>
        <w:t> </w:t>
      </w:r>
      <w:r>
        <w:rPr>
          <w:color w:val="231F20"/>
          <w:w w:val="105"/>
        </w:rPr>
        <w:t>se</w:t>
      </w:r>
      <w:r>
        <w:rPr>
          <w:color w:val="231F20"/>
          <w:spacing w:val="-16"/>
          <w:w w:val="105"/>
        </w:rPr>
        <w:t> </w:t>
      </w:r>
      <w:r>
        <w:rPr>
          <w:color w:val="231F20"/>
          <w:w w:val="105"/>
        </w:rPr>
        <w:t>ve</w:t>
      </w:r>
      <w:r>
        <w:rPr>
          <w:color w:val="231F20"/>
          <w:spacing w:val="-16"/>
          <w:w w:val="105"/>
        </w:rPr>
        <w:t> </w:t>
      </w:r>
      <w:r>
        <w:rPr>
          <w:color w:val="231F20"/>
          <w:w w:val="105"/>
        </w:rPr>
        <w:t>afectado</w:t>
      </w:r>
      <w:r>
        <w:rPr>
          <w:color w:val="231F20"/>
          <w:spacing w:val="-16"/>
          <w:w w:val="105"/>
        </w:rPr>
        <w:t> </w:t>
      </w:r>
      <w:r>
        <w:rPr>
          <w:color w:val="231F20"/>
          <w:w w:val="105"/>
        </w:rPr>
        <w:t>por</w:t>
      </w:r>
      <w:r>
        <w:rPr>
          <w:color w:val="231F20"/>
          <w:spacing w:val="-16"/>
          <w:w w:val="105"/>
        </w:rPr>
        <w:t> </w:t>
      </w:r>
      <w:r>
        <w:rPr>
          <w:color w:val="231F20"/>
          <w:w w:val="105"/>
        </w:rPr>
        <w:t>el entorno de sus localidades. Más aun, en ambos movimientos el propio migrante</w:t>
      </w:r>
      <w:r>
        <w:rPr>
          <w:color w:val="231F20"/>
          <w:spacing w:val="-24"/>
          <w:w w:val="105"/>
        </w:rPr>
        <w:t> </w:t>
      </w:r>
      <w:r>
        <w:rPr>
          <w:color w:val="231F20"/>
          <w:w w:val="105"/>
        </w:rPr>
        <w:t>suele</w:t>
      </w:r>
      <w:r>
        <w:rPr>
          <w:color w:val="231F20"/>
          <w:spacing w:val="-24"/>
          <w:w w:val="105"/>
        </w:rPr>
        <w:t> </w:t>
      </w:r>
      <w:r>
        <w:rPr>
          <w:color w:val="231F20"/>
          <w:w w:val="105"/>
        </w:rPr>
        <w:t>pertenecer</w:t>
      </w:r>
      <w:r>
        <w:rPr>
          <w:color w:val="231F20"/>
          <w:spacing w:val="-24"/>
          <w:w w:val="105"/>
        </w:rPr>
        <w:t> </w:t>
      </w:r>
      <w:r>
        <w:rPr>
          <w:color w:val="231F20"/>
          <w:w w:val="105"/>
        </w:rPr>
        <w:t>a</w:t>
      </w:r>
      <w:r>
        <w:rPr>
          <w:color w:val="231F20"/>
          <w:spacing w:val="-24"/>
          <w:w w:val="105"/>
        </w:rPr>
        <w:t> </w:t>
      </w:r>
      <w:r>
        <w:rPr>
          <w:color w:val="231F20"/>
          <w:w w:val="105"/>
        </w:rPr>
        <w:t>un</w:t>
      </w:r>
      <w:r>
        <w:rPr>
          <w:color w:val="231F20"/>
          <w:spacing w:val="-24"/>
          <w:w w:val="105"/>
        </w:rPr>
        <w:t> </w:t>
      </w:r>
      <w:r>
        <w:rPr>
          <w:color w:val="231F20"/>
          <w:w w:val="105"/>
        </w:rPr>
        <w:t>núcleo</w:t>
      </w:r>
      <w:r>
        <w:rPr>
          <w:color w:val="231F20"/>
          <w:spacing w:val="-24"/>
          <w:w w:val="105"/>
        </w:rPr>
        <w:t> </w:t>
      </w:r>
      <w:r>
        <w:rPr>
          <w:color w:val="231F20"/>
          <w:w w:val="105"/>
        </w:rPr>
        <w:t>familiar,</w:t>
      </w:r>
      <w:r>
        <w:rPr>
          <w:color w:val="231F20"/>
          <w:spacing w:val="-29"/>
          <w:w w:val="105"/>
        </w:rPr>
        <w:t> </w:t>
      </w:r>
      <w:r>
        <w:rPr>
          <w:color w:val="231F20"/>
          <w:w w:val="105"/>
        </w:rPr>
        <w:t>el</w:t>
      </w:r>
      <w:r>
        <w:rPr>
          <w:color w:val="231F20"/>
          <w:spacing w:val="-24"/>
          <w:w w:val="105"/>
        </w:rPr>
        <w:t> </w:t>
      </w:r>
      <w:r>
        <w:rPr>
          <w:color w:val="231F20"/>
          <w:w w:val="105"/>
        </w:rPr>
        <w:t>cual</w:t>
      </w:r>
      <w:r>
        <w:rPr>
          <w:color w:val="231F20"/>
          <w:spacing w:val="-24"/>
          <w:w w:val="105"/>
        </w:rPr>
        <w:t> </w:t>
      </w:r>
      <w:r>
        <w:rPr>
          <w:color w:val="231F20"/>
          <w:w w:val="105"/>
        </w:rPr>
        <w:t>también</w:t>
      </w:r>
      <w:r>
        <w:rPr>
          <w:color w:val="231F20"/>
          <w:spacing w:val="-24"/>
          <w:w w:val="105"/>
        </w:rPr>
        <w:t> </w:t>
      </w:r>
      <w:r>
        <w:rPr>
          <w:color w:val="231F20"/>
          <w:w w:val="105"/>
        </w:rPr>
        <w:t>interviene para reforzar sus intenciones individuales o frenarlas, sea para</w:t>
      </w:r>
      <w:r>
        <w:rPr>
          <w:color w:val="231F20"/>
          <w:spacing w:val="-25"/>
          <w:w w:val="105"/>
        </w:rPr>
        <w:t> </w:t>
      </w:r>
      <w:r>
        <w:rPr>
          <w:color w:val="231F20"/>
          <w:w w:val="105"/>
        </w:rPr>
        <w:t>emigrar o retornar. En este sentido, la migración internacional de retorno en el Estado</w:t>
      </w:r>
      <w:r>
        <w:rPr>
          <w:color w:val="231F20"/>
          <w:spacing w:val="-19"/>
          <w:w w:val="105"/>
        </w:rPr>
        <w:t> </w:t>
      </w:r>
      <w:r>
        <w:rPr>
          <w:color w:val="231F20"/>
          <w:w w:val="105"/>
        </w:rPr>
        <w:t>de</w:t>
      </w:r>
      <w:r>
        <w:rPr>
          <w:color w:val="231F20"/>
          <w:spacing w:val="-19"/>
          <w:w w:val="105"/>
        </w:rPr>
        <w:t> </w:t>
      </w:r>
      <w:r>
        <w:rPr>
          <w:color w:val="231F20"/>
          <w:w w:val="105"/>
        </w:rPr>
        <w:t>México</w:t>
      </w:r>
      <w:r>
        <w:rPr>
          <w:color w:val="231F20"/>
          <w:spacing w:val="-19"/>
          <w:w w:val="105"/>
        </w:rPr>
        <w:t> </w:t>
      </w:r>
      <w:r>
        <w:rPr>
          <w:color w:val="231F20"/>
          <w:w w:val="105"/>
        </w:rPr>
        <w:t>requiere</w:t>
      </w:r>
      <w:r>
        <w:rPr>
          <w:color w:val="231F20"/>
          <w:spacing w:val="-19"/>
          <w:w w:val="105"/>
        </w:rPr>
        <w:t> </w:t>
      </w:r>
      <w:r>
        <w:rPr>
          <w:color w:val="231F20"/>
          <w:w w:val="105"/>
        </w:rPr>
        <w:t>analizarse</w:t>
      </w:r>
      <w:r>
        <w:rPr>
          <w:color w:val="231F20"/>
          <w:spacing w:val="-19"/>
          <w:w w:val="105"/>
        </w:rPr>
        <w:t> </w:t>
      </w:r>
      <w:r>
        <w:rPr>
          <w:color w:val="231F20"/>
          <w:w w:val="105"/>
        </w:rPr>
        <w:t>con</w:t>
      </w:r>
      <w:r>
        <w:rPr>
          <w:color w:val="231F20"/>
          <w:spacing w:val="-19"/>
          <w:w w:val="105"/>
        </w:rPr>
        <w:t> </w:t>
      </w:r>
      <w:r>
        <w:rPr>
          <w:color w:val="231F20"/>
          <w:w w:val="105"/>
        </w:rPr>
        <w:t>dos</w:t>
      </w:r>
      <w:r>
        <w:rPr>
          <w:color w:val="231F20"/>
          <w:spacing w:val="-19"/>
          <w:w w:val="105"/>
        </w:rPr>
        <w:t> </w:t>
      </w:r>
      <w:r>
        <w:rPr>
          <w:color w:val="231F20"/>
          <w:w w:val="105"/>
        </w:rPr>
        <w:t>enfoques</w:t>
      </w:r>
      <w:r>
        <w:rPr>
          <w:color w:val="231F20"/>
          <w:spacing w:val="-19"/>
          <w:w w:val="105"/>
        </w:rPr>
        <w:t> </w:t>
      </w:r>
      <w:r>
        <w:rPr>
          <w:color w:val="231F20"/>
          <w:w w:val="105"/>
        </w:rPr>
        <w:t>teóricos-empíri- cos</w:t>
      </w:r>
      <w:r>
        <w:rPr>
          <w:color w:val="231F20"/>
          <w:spacing w:val="-6"/>
          <w:w w:val="105"/>
        </w:rPr>
        <w:t> </w:t>
      </w:r>
      <w:r>
        <w:rPr>
          <w:color w:val="231F20"/>
          <w:w w:val="105"/>
        </w:rPr>
        <w:t>que</w:t>
      </w:r>
      <w:r>
        <w:rPr>
          <w:color w:val="231F20"/>
          <w:spacing w:val="-6"/>
          <w:w w:val="105"/>
        </w:rPr>
        <w:t> </w:t>
      </w:r>
      <w:r>
        <w:rPr>
          <w:color w:val="231F20"/>
          <w:w w:val="105"/>
        </w:rPr>
        <w:t>complementan</w:t>
      </w:r>
      <w:r>
        <w:rPr>
          <w:color w:val="231F20"/>
          <w:spacing w:val="-6"/>
          <w:w w:val="105"/>
        </w:rPr>
        <w:t> </w:t>
      </w:r>
      <w:r>
        <w:rPr>
          <w:color w:val="231F20"/>
          <w:w w:val="105"/>
        </w:rPr>
        <w:t>la</w:t>
      </w:r>
      <w:r>
        <w:rPr>
          <w:color w:val="231F20"/>
          <w:spacing w:val="-6"/>
          <w:w w:val="105"/>
        </w:rPr>
        <w:t> </w:t>
      </w:r>
      <w:r>
        <w:rPr>
          <w:color w:val="231F20"/>
          <w:w w:val="105"/>
        </w:rPr>
        <w:t>parte</w:t>
      </w:r>
      <w:r>
        <w:rPr>
          <w:color w:val="231F20"/>
          <w:spacing w:val="-6"/>
          <w:w w:val="105"/>
        </w:rPr>
        <w:t> </w:t>
      </w:r>
      <w:r>
        <w:rPr>
          <w:color w:val="231F20"/>
          <w:w w:val="105"/>
        </w:rPr>
        <w:t>individual</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familiar.</w:t>
      </w:r>
      <w:r>
        <w:rPr>
          <w:color w:val="231F20"/>
          <w:spacing w:val="-12"/>
          <w:w w:val="105"/>
        </w:rPr>
        <w:t> </w:t>
      </w:r>
      <w:r>
        <w:rPr>
          <w:color w:val="231F20"/>
          <w:spacing w:val="-6"/>
          <w:w w:val="105"/>
        </w:rPr>
        <w:t>Por </w:t>
      </w:r>
      <w:r>
        <w:rPr>
          <w:color w:val="231F20"/>
          <w:w w:val="105"/>
        </w:rPr>
        <w:t>un</w:t>
      </w:r>
      <w:r>
        <w:rPr>
          <w:color w:val="231F20"/>
          <w:spacing w:val="-6"/>
          <w:w w:val="105"/>
        </w:rPr>
        <w:t> </w:t>
      </w:r>
      <w:r>
        <w:rPr>
          <w:color w:val="231F20"/>
          <w:w w:val="105"/>
        </w:rPr>
        <w:t>lado,</w:t>
      </w:r>
      <w:r>
        <w:rPr>
          <w:color w:val="231F20"/>
          <w:spacing w:val="-12"/>
          <w:w w:val="105"/>
        </w:rPr>
        <w:t> </w:t>
      </w:r>
      <w:r>
        <w:rPr>
          <w:color w:val="231F20"/>
          <w:w w:val="105"/>
        </w:rPr>
        <w:t>la perspectiva del actor cuya atención está centrada en el migrante como actor</w:t>
      </w:r>
      <w:r>
        <w:rPr>
          <w:color w:val="231F20"/>
          <w:spacing w:val="-13"/>
          <w:w w:val="105"/>
        </w:rPr>
        <w:t> </w:t>
      </w:r>
      <w:r>
        <w:rPr>
          <w:color w:val="231F20"/>
          <w:w w:val="105"/>
        </w:rPr>
        <w:t>social,</w:t>
      </w:r>
      <w:r>
        <w:rPr>
          <w:color w:val="231F20"/>
          <w:spacing w:val="-19"/>
          <w:w w:val="105"/>
        </w:rPr>
        <w:t> </w:t>
      </w:r>
      <w:r>
        <w:rPr>
          <w:color w:val="231F20"/>
          <w:w w:val="105"/>
        </w:rPr>
        <w:t>por</w:t>
      </w:r>
      <w:r>
        <w:rPr>
          <w:color w:val="231F20"/>
          <w:spacing w:val="-13"/>
          <w:w w:val="105"/>
        </w:rPr>
        <w:t> </w:t>
      </w:r>
      <w:r>
        <w:rPr>
          <w:color w:val="231F20"/>
          <w:w w:val="105"/>
        </w:rPr>
        <w:t>otro,</w:t>
      </w:r>
      <w:r>
        <w:rPr>
          <w:color w:val="231F20"/>
          <w:spacing w:val="-19"/>
          <w:w w:val="105"/>
        </w:rPr>
        <w:t> </w:t>
      </w:r>
      <w:r>
        <w:rPr>
          <w:color w:val="231F20"/>
          <w:w w:val="105"/>
        </w:rPr>
        <w:t>la</w:t>
      </w:r>
      <w:r>
        <w:rPr>
          <w:color w:val="231F20"/>
          <w:spacing w:val="-13"/>
          <w:w w:val="105"/>
        </w:rPr>
        <w:t> </w:t>
      </w:r>
      <w:r>
        <w:rPr>
          <w:color w:val="231F20"/>
          <w:w w:val="105"/>
        </w:rPr>
        <w:t>perspectiva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modos</w:t>
      </w:r>
      <w:r>
        <w:rPr>
          <w:color w:val="231F20"/>
          <w:spacing w:val="-13"/>
          <w:w w:val="105"/>
        </w:rPr>
        <w:t> </w:t>
      </w:r>
      <w:r>
        <w:rPr>
          <w:color w:val="231F20"/>
          <w:w w:val="105"/>
        </w:rPr>
        <w:t>de</w:t>
      </w:r>
      <w:r>
        <w:rPr>
          <w:color w:val="231F20"/>
          <w:spacing w:val="-13"/>
          <w:w w:val="105"/>
        </w:rPr>
        <w:t> </w:t>
      </w:r>
      <w:r>
        <w:rPr>
          <w:color w:val="231F20"/>
          <w:w w:val="105"/>
        </w:rPr>
        <w:t>vida</w:t>
      </w:r>
      <w:r>
        <w:rPr>
          <w:color w:val="231F20"/>
          <w:spacing w:val="-13"/>
          <w:w w:val="105"/>
        </w:rPr>
        <w:t> </w:t>
      </w:r>
      <w:r>
        <w:rPr>
          <w:color w:val="231F20"/>
          <w:w w:val="105"/>
        </w:rPr>
        <w:t>cuya</w:t>
      </w:r>
      <w:r>
        <w:rPr>
          <w:color w:val="231F20"/>
          <w:spacing w:val="-13"/>
          <w:w w:val="105"/>
        </w:rPr>
        <w:t> </w:t>
      </w:r>
      <w:r>
        <w:rPr>
          <w:color w:val="231F20"/>
          <w:w w:val="105"/>
        </w:rPr>
        <w:t>intención es</w:t>
      </w:r>
      <w:r>
        <w:rPr>
          <w:color w:val="231F20"/>
          <w:spacing w:val="-15"/>
          <w:w w:val="105"/>
        </w:rPr>
        <w:t> </w:t>
      </w:r>
      <w:r>
        <w:rPr>
          <w:color w:val="231F20"/>
          <w:w w:val="105"/>
        </w:rPr>
        <w:t>apoyar</w:t>
      </w:r>
      <w:r>
        <w:rPr>
          <w:color w:val="231F20"/>
          <w:spacing w:val="-15"/>
          <w:w w:val="105"/>
        </w:rPr>
        <w:t> </w:t>
      </w:r>
      <w:r>
        <w:rPr>
          <w:color w:val="231F20"/>
          <w:w w:val="105"/>
        </w:rPr>
        <w:t>la</w:t>
      </w:r>
      <w:r>
        <w:rPr>
          <w:color w:val="231F20"/>
          <w:spacing w:val="-15"/>
          <w:w w:val="105"/>
        </w:rPr>
        <w:t> </w:t>
      </w:r>
      <w:r>
        <w:rPr>
          <w:color w:val="231F20"/>
          <w:w w:val="105"/>
        </w:rPr>
        <w:t>construcción</w:t>
      </w:r>
      <w:r>
        <w:rPr>
          <w:color w:val="231F20"/>
          <w:spacing w:val="-15"/>
          <w:w w:val="105"/>
        </w:rPr>
        <w:t> </w:t>
      </w:r>
      <w:r>
        <w:rPr>
          <w:color w:val="231F20"/>
          <w:w w:val="105"/>
        </w:rPr>
        <w:t>de</w:t>
      </w:r>
      <w:r>
        <w:rPr>
          <w:color w:val="231F20"/>
          <w:spacing w:val="-15"/>
          <w:w w:val="105"/>
        </w:rPr>
        <w:t> </w:t>
      </w:r>
      <w:r>
        <w:rPr>
          <w:color w:val="231F20"/>
          <w:w w:val="105"/>
        </w:rPr>
        <w:t>modos</w:t>
      </w:r>
      <w:r>
        <w:rPr>
          <w:color w:val="231F20"/>
          <w:spacing w:val="-15"/>
          <w:w w:val="105"/>
        </w:rPr>
        <w:t> </w:t>
      </w:r>
      <w:r>
        <w:rPr>
          <w:color w:val="231F20"/>
          <w:w w:val="105"/>
        </w:rPr>
        <w:t>de</w:t>
      </w:r>
      <w:r>
        <w:rPr>
          <w:color w:val="231F20"/>
          <w:spacing w:val="-15"/>
          <w:w w:val="105"/>
        </w:rPr>
        <w:t> </w:t>
      </w:r>
      <w:r>
        <w:rPr>
          <w:color w:val="231F20"/>
          <w:w w:val="105"/>
        </w:rPr>
        <w:t>vida</w:t>
      </w:r>
      <w:r>
        <w:rPr>
          <w:color w:val="231F20"/>
          <w:spacing w:val="-15"/>
          <w:w w:val="105"/>
        </w:rPr>
        <w:t> </w:t>
      </w:r>
      <w:r>
        <w:rPr>
          <w:color w:val="231F20"/>
          <w:w w:val="105"/>
        </w:rPr>
        <w:t>sostenibles</w:t>
      </w:r>
      <w:r>
        <w:rPr>
          <w:color w:val="231F20"/>
          <w:spacing w:val="-15"/>
          <w:w w:val="105"/>
        </w:rPr>
        <w:t> </w:t>
      </w:r>
      <w:r>
        <w:rPr>
          <w:color w:val="231F20"/>
          <w:w w:val="105"/>
        </w:rPr>
        <w:t>a</w:t>
      </w:r>
      <w:r>
        <w:rPr>
          <w:color w:val="231F20"/>
          <w:spacing w:val="-15"/>
          <w:w w:val="105"/>
        </w:rPr>
        <w:t> </w:t>
      </w:r>
      <w:r>
        <w:rPr>
          <w:color w:val="231F20"/>
          <w:w w:val="105"/>
        </w:rPr>
        <w:t>largo</w:t>
      </w:r>
      <w:r>
        <w:rPr>
          <w:color w:val="231F20"/>
          <w:spacing w:val="-15"/>
          <w:w w:val="105"/>
        </w:rPr>
        <w:t> </w:t>
      </w:r>
      <w:r>
        <w:rPr>
          <w:color w:val="231F20"/>
          <w:w w:val="105"/>
        </w:rPr>
        <w:t>plazo.</w:t>
      </w:r>
    </w:p>
    <w:p>
      <w:pPr>
        <w:pStyle w:val="BodyText"/>
        <w:spacing w:line="261" w:lineRule="auto" w:before="1"/>
        <w:ind w:left="1837" w:right="1721" w:firstLine="567"/>
        <w:jc w:val="both"/>
      </w:pPr>
      <w:r>
        <w:rPr>
          <w:color w:val="231F20"/>
          <w:w w:val="105"/>
        </w:rPr>
        <w:t>El</w:t>
      </w:r>
      <w:r>
        <w:rPr>
          <w:color w:val="231F20"/>
          <w:spacing w:val="-25"/>
          <w:w w:val="105"/>
        </w:rPr>
        <w:t> </w:t>
      </w:r>
      <w:r>
        <w:rPr>
          <w:color w:val="231F20"/>
          <w:spacing w:val="-3"/>
          <w:w w:val="105"/>
        </w:rPr>
        <w:t>primero</w:t>
      </w:r>
      <w:r>
        <w:rPr>
          <w:color w:val="231F20"/>
          <w:spacing w:val="-24"/>
          <w:w w:val="105"/>
        </w:rPr>
        <w:t> </w:t>
      </w:r>
      <w:r>
        <w:rPr>
          <w:color w:val="231F20"/>
          <w:spacing w:val="-3"/>
          <w:w w:val="105"/>
        </w:rPr>
        <w:t>señala</w:t>
      </w:r>
      <w:r>
        <w:rPr>
          <w:color w:val="231F20"/>
          <w:spacing w:val="-25"/>
          <w:w w:val="105"/>
        </w:rPr>
        <w:t> </w:t>
      </w:r>
      <w:r>
        <w:rPr>
          <w:color w:val="231F20"/>
          <w:w w:val="105"/>
        </w:rPr>
        <w:t>que</w:t>
      </w:r>
      <w:r>
        <w:rPr>
          <w:color w:val="231F20"/>
          <w:spacing w:val="-25"/>
          <w:w w:val="105"/>
        </w:rPr>
        <w:t> </w:t>
      </w:r>
      <w:r>
        <w:rPr>
          <w:color w:val="231F20"/>
          <w:w w:val="105"/>
        </w:rPr>
        <w:t>un</w:t>
      </w:r>
      <w:r>
        <w:rPr>
          <w:color w:val="231F20"/>
          <w:spacing w:val="-25"/>
          <w:w w:val="105"/>
        </w:rPr>
        <w:t> </w:t>
      </w:r>
      <w:r>
        <w:rPr>
          <w:color w:val="231F20"/>
          <w:spacing w:val="-3"/>
          <w:w w:val="105"/>
        </w:rPr>
        <w:t>actor</w:t>
      </w:r>
      <w:r>
        <w:rPr>
          <w:color w:val="231F20"/>
          <w:spacing w:val="-25"/>
          <w:w w:val="105"/>
        </w:rPr>
        <w:t> </w:t>
      </w:r>
      <w:r>
        <w:rPr>
          <w:color w:val="231F20"/>
          <w:spacing w:val="-3"/>
          <w:w w:val="105"/>
        </w:rPr>
        <w:t>social</w:t>
      </w:r>
      <w:r>
        <w:rPr>
          <w:color w:val="231F20"/>
          <w:spacing w:val="-3"/>
          <w:w w:val="105"/>
          <w:position w:val="7"/>
          <w:sz w:val="12"/>
        </w:rPr>
        <w:t>3</w:t>
      </w:r>
      <w:r>
        <w:rPr>
          <w:color w:val="231F20"/>
          <w:spacing w:val="1"/>
          <w:w w:val="105"/>
          <w:position w:val="7"/>
          <w:sz w:val="12"/>
        </w:rPr>
        <w:t> </w:t>
      </w:r>
      <w:r>
        <w:rPr>
          <w:color w:val="231F20"/>
          <w:spacing w:val="-3"/>
          <w:w w:val="105"/>
        </w:rPr>
        <w:t>tiene</w:t>
      </w:r>
      <w:r>
        <w:rPr>
          <w:color w:val="231F20"/>
          <w:spacing w:val="-25"/>
          <w:w w:val="105"/>
        </w:rPr>
        <w:t> </w:t>
      </w:r>
      <w:r>
        <w:rPr>
          <w:color w:val="231F20"/>
          <w:spacing w:val="-3"/>
          <w:w w:val="105"/>
        </w:rPr>
        <w:t>capacidad</w:t>
      </w:r>
      <w:r>
        <w:rPr>
          <w:color w:val="231F20"/>
          <w:spacing w:val="-25"/>
          <w:w w:val="105"/>
        </w:rPr>
        <w:t> </w:t>
      </w:r>
      <w:r>
        <w:rPr>
          <w:color w:val="231F20"/>
          <w:spacing w:val="-3"/>
          <w:w w:val="105"/>
        </w:rPr>
        <w:t>para</w:t>
      </w:r>
      <w:r>
        <w:rPr>
          <w:color w:val="231F20"/>
          <w:spacing w:val="-25"/>
          <w:w w:val="105"/>
        </w:rPr>
        <w:t> </w:t>
      </w:r>
      <w:r>
        <w:rPr>
          <w:color w:val="231F20"/>
          <w:spacing w:val="-4"/>
          <w:w w:val="105"/>
        </w:rPr>
        <w:t>procesar </w:t>
      </w:r>
      <w:r>
        <w:rPr>
          <w:color w:val="231F20"/>
          <w:w w:val="105"/>
        </w:rPr>
        <w:t>la</w:t>
      </w:r>
      <w:r>
        <w:rPr>
          <w:color w:val="231F20"/>
          <w:spacing w:val="-8"/>
          <w:w w:val="105"/>
        </w:rPr>
        <w:t> </w:t>
      </w:r>
      <w:r>
        <w:rPr>
          <w:color w:val="231F20"/>
          <w:spacing w:val="-3"/>
          <w:w w:val="105"/>
        </w:rPr>
        <w:t>experiencia</w:t>
      </w:r>
      <w:r>
        <w:rPr>
          <w:color w:val="231F20"/>
          <w:spacing w:val="-8"/>
          <w:w w:val="105"/>
        </w:rPr>
        <w:t> </w:t>
      </w:r>
      <w:r>
        <w:rPr>
          <w:color w:val="231F20"/>
          <w:spacing w:val="-3"/>
          <w:w w:val="105"/>
        </w:rPr>
        <w:t>social</w:t>
      </w:r>
      <w:r>
        <w:rPr>
          <w:color w:val="231F20"/>
          <w:spacing w:val="-8"/>
          <w:w w:val="105"/>
        </w:rPr>
        <w:t> </w:t>
      </w:r>
      <w:r>
        <w:rPr>
          <w:color w:val="231F20"/>
          <w:w w:val="105"/>
        </w:rPr>
        <w:t>y</w:t>
      </w:r>
      <w:r>
        <w:rPr>
          <w:color w:val="231F20"/>
          <w:spacing w:val="-8"/>
          <w:w w:val="105"/>
        </w:rPr>
        <w:t> </w:t>
      </w:r>
      <w:r>
        <w:rPr>
          <w:color w:val="231F20"/>
          <w:spacing w:val="-4"/>
          <w:w w:val="105"/>
        </w:rPr>
        <w:t>realizar</w:t>
      </w:r>
      <w:r>
        <w:rPr>
          <w:color w:val="231F20"/>
          <w:spacing w:val="-8"/>
          <w:w w:val="105"/>
        </w:rPr>
        <w:t> </w:t>
      </w:r>
      <w:r>
        <w:rPr>
          <w:color w:val="231F20"/>
          <w:spacing w:val="-3"/>
          <w:w w:val="105"/>
        </w:rPr>
        <w:t>acciones</w:t>
      </w:r>
      <w:r>
        <w:rPr>
          <w:color w:val="231F20"/>
          <w:spacing w:val="-8"/>
          <w:w w:val="105"/>
        </w:rPr>
        <w:t> </w:t>
      </w:r>
      <w:r>
        <w:rPr>
          <w:color w:val="231F20"/>
          <w:spacing w:val="-3"/>
          <w:w w:val="105"/>
        </w:rPr>
        <w:t>dentro</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spacing w:val="-3"/>
          <w:w w:val="105"/>
        </w:rPr>
        <w:t>información</w:t>
      </w:r>
      <w:r>
        <w:rPr>
          <w:color w:val="231F20"/>
          <w:spacing w:val="-8"/>
          <w:w w:val="105"/>
        </w:rPr>
        <w:t> </w:t>
      </w:r>
      <w:r>
        <w:rPr>
          <w:color w:val="231F20"/>
          <w:w w:val="105"/>
        </w:rPr>
        <w:t>e</w:t>
      </w:r>
      <w:r>
        <w:rPr>
          <w:color w:val="231F20"/>
          <w:spacing w:val="-8"/>
          <w:w w:val="105"/>
        </w:rPr>
        <w:t> </w:t>
      </w:r>
      <w:r>
        <w:rPr>
          <w:color w:val="231F20"/>
          <w:spacing w:val="-4"/>
          <w:w w:val="105"/>
        </w:rPr>
        <w:t>incer- </w:t>
      </w:r>
      <w:r>
        <w:rPr>
          <w:color w:val="231F20"/>
          <w:spacing w:val="-3"/>
          <w:w w:val="105"/>
        </w:rPr>
        <w:t>tidumbre</w:t>
      </w:r>
      <w:r>
        <w:rPr>
          <w:color w:val="231F20"/>
          <w:spacing w:val="-19"/>
          <w:w w:val="105"/>
        </w:rPr>
        <w:t> </w:t>
      </w:r>
      <w:r>
        <w:rPr>
          <w:color w:val="231F20"/>
          <w:w w:val="105"/>
        </w:rPr>
        <w:t>y</w:t>
      </w:r>
      <w:r>
        <w:rPr>
          <w:color w:val="231F20"/>
          <w:spacing w:val="-19"/>
          <w:w w:val="105"/>
        </w:rPr>
        <w:t> </w:t>
      </w:r>
      <w:r>
        <w:rPr>
          <w:color w:val="231F20"/>
          <w:spacing w:val="-3"/>
          <w:w w:val="105"/>
        </w:rPr>
        <w:t>marco</w:t>
      </w:r>
      <w:r>
        <w:rPr>
          <w:color w:val="231F20"/>
          <w:spacing w:val="-19"/>
          <w:w w:val="105"/>
        </w:rPr>
        <w:t> </w:t>
      </w:r>
      <w:r>
        <w:rPr>
          <w:color w:val="231F20"/>
          <w:spacing w:val="-3"/>
          <w:w w:val="105"/>
        </w:rPr>
        <w:t>institucional,</w:t>
      </w:r>
      <w:r>
        <w:rPr>
          <w:color w:val="231F20"/>
          <w:spacing w:val="-23"/>
          <w:w w:val="105"/>
        </w:rPr>
        <w:t> </w:t>
      </w:r>
      <w:r>
        <w:rPr>
          <w:color w:val="231F20"/>
          <w:w w:val="105"/>
        </w:rPr>
        <w:t>sin</w:t>
      </w:r>
      <w:r>
        <w:rPr>
          <w:color w:val="231F20"/>
          <w:spacing w:val="-19"/>
          <w:w w:val="105"/>
        </w:rPr>
        <w:t> </w:t>
      </w:r>
      <w:r>
        <w:rPr>
          <w:color w:val="231F20"/>
          <w:spacing w:val="-3"/>
          <w:w w:val="105"/>
        </w:rPr>
        <w:t>rechazar</w:t>
      </w:r>
      <w:r>
        <w:rPr>
          <w:color w:val="231F20"/>
          <w:spacing w:val="-19"/>
          <w:w w:val="105"/>
        </w:rPr>
        <w:t> </w:t>
      </w:r>
      <w:r>
        <w:rPr>
          <w:color w:val="231F20"/>
          <w:w w:val="105"/>
        </w:rPr>
        <w:t>la</w:t>
      </w:r>
      <w:r>
        <w:rPr>
          <w:color w:val="231F20"/>
          <w:spacing w:val="-19"/>
          <w:w w:val="105"/>
        </w:rPr>
        <w:t> </w:t>
      </w:r>
      <w:r>
        <w:rPr>
          <w:color w:val="231F20"/>
          <w:spacing w:val="-3"/>
          <w:w w:val="105"/>
        </w:rPr>
        <w:t>injerencia</w:t>
      </w:r>
      <w:r>
        <w:rPr>
          <w:color w:val="231F20"/>
          <w:spacing w:val="-19"/>
          <w:w w:val="105"/>
        </w:rPr>
        <w:t> </w:t>
      </w:r>
      <w:r>
        <w:rPr>
          <w:color w:val="231F20"/>
          <w:w w:val="105"/>
        </w:rPr>
        <w:t>de</w:t>
      </w:r>
      <w:r>
        <w:rPr>
          <w:color w:val="231F20"/>
          <w:spacing w:val="-19"/>
          <w:w w:val="105"/>
        </w:rPr>
        <w:t> </w:t>
      </w:r>
      <w:r>
        <w:rPr>
          <w:color w:val="231F20"/>
          <w:spacing w:val="-4"/>
          <w:w w:val="105"/>
        </w:rPr>
        <w:t>circunstancias </w:t>
      </w:r>
      <w:r>
        <w:rPr>
          <w:color w:val="231F20"/>
          <w:spacing w:val="-3"/>
          <w:w w:val="105"/>
        </w:rPr>
        <w:t>externas (Long, 2007: 42). </w:t>
      </w:r>
      <w:r>
        <w:rPr>
          <w:color w:val="231F20"/>
          <w:w w:val="105"/>
        </w:rPr>
        <w:t>De </w:t>
      </w:r>
      <w:r>
        <w:rPr>
          <w:color w:val="231F20"/>
          <w:spacing w:val="-3"/>
          <w:w w:val="105"/>
        </w:rPr>
        <w:t>este modo, </w:t>
      </w:r>
      <w:r>
        <w:rPr>
          <w:color w:val="231F20"/>
          <w:w w:val="105"/>
        </w:rPr>
        <w:t>la </w:t>
      </w:r>
      <w:r>
        <w:rPr>
          <w:color w:val="231F20"/>
          <w:spacing w:val="-3"/>
          <w:w w:val="105"/>
        </w:rPr>
        <w:t>acción </w:t>
      </w:r>
      <w:r>
        <w:rPr>
          <w:color w:val="231F20"/>
          <w:w w:val="105"/>
        </w:rPr>
        <w:t>de </w:t>
      </w:r>
      <w:r>
        <w:rPr>
          <w:color w:val="231F20"/>
          <w:spacing w:val="-5"/>
          <w:w w:val="105"/>
        </w:rPr>
        <w:t>retornar, </w:t>
      </w:r>
      <w:r>
        <w:rPr>
          <w:color w:val="231F20"/>
          <w:spacing w:val="-3"/>
          <w:w w:val="105"/>
        </w:rPr>
        <w:t>aunque recibe</w:t>
      </w:r>
      <w:r>
        <w:rPr>
          <w:color w:val="231F20"/>
          <w:spacing w:val="-12"/>
          <w:w w:val="105"/>
        </w:rPr>
        <w:t> </w:t>
      </w:r>
      <w:r>
        <w:rPr>
          <w:color w:val="231F20"/>
          <w:spacing w:val="-3"/>
          <w:w w:val="105"/>
        </w:rPr>
        <w:t>influencias</w:t>
      </w:r>
      <w:r>
        <w:rPr>
          <w:color w:val="231F20"/>
          <w:spacing w:val="-12"/>
          <w:w w:val="105"/>
        </w:rPr>
        <w:t> </w:t>
      </w:r>
      <w:r>
        <w:rPr>
          <w:color w:val="231F20"/>
          <w:spacing w:val="-3"/>
          <w:w w:val="105"/>
        </w:rPr>
        <w:t>externas,</w:t>
      </w:r>
      <w:r>
        <w:rPr>
          <w:color w:val="231F20"/>
          <w:spacing w:val="-18"/>
          <w:w w:val="105"/>
        </w:rPr>
        <w:t> </w:t>
      </w:r>
      <w:r>
        <w:rPr>
          <w:color w:val="231F20"/>
          <w:spacing w:val="-3"/>
          <w:w w:val="105"/>
        </w:rPr>
        <w:t>tiene</w:t>
      </w:r>
      <w:r>
        <w:rPr>
          <w:color w:val="231F20"/>
          <w:spacing w:val="-12"/>
          <w:w w:val="105"/>
        </w:rPr>
        <w:t> </w:t>
      </w:r>
      <w:r>
        <w:rPr>
          <w:color w:val="231F20"/>
          <w:spacing w:val="-3"/>
          <w:w w:val="105"/>
        </w:rPr>
        <w:t>imbricada</w:t>
      </w:r>
      <w:r>
        <w:rPr>
          <w:color w:val="231F20"/>
          <w:spacing w:val="-12"/>
          <w:w w:val="105"/>
        </w:rPr>
        <w:t> </w:t>
      </w:r>
      <w:r>
        <w:rPr>
          <w:color w:val="231F20"/>
          <w:w w:val="105"/>
        </w:rPr>
        <w:t>la</w:t>
      </w:r>
      <w:r>
        <w:rPr>
          <w:color w:val="231F20"/>
          <w:spacing w:val="-12"/>
          <w:w w:val="105"/>
        </w:rPr>
        <w:t> </w:t>
      </w:r>
      <w:r>
        <w:rPr>
          <w:color w:val="231F20"/>
          <w:spacing w:val="-3"/>
          <w:w w:val="105"/>
        </w:rPr>
        <w:t>propia</w:t>
      </w:r>
      <w:r>
        <w:rPr>
          <w:color w:val="231F20"/>
          <w:spacing w:val="-12"/>
          <w:w w:val="105"/>
        </w:rPr>
        <w:t> </w:t>
      </w:r>
      <w:r>
        <w:rPr>
          <w:color w:val="231F20"/>
          <w:spacing w:val="-3"/>
          <w:w w:val="105"/>
        </w:rPr>
        <w:t>conciencia</w:t>
      </w:r>
      <w:r>
        <w:rPr>
          <w:color w:val="231F20"/>
          <w:spacing w:val="-12"/>
          <w:w w:val="105"/>
        </w:rPr>
        <w:t> </w:t>
      </w:r>
      <w:r>
        <w:rPr>
          <w:color w:val="231F20"/>
          <w:w w:val="105"/>
        </w:rPr>
        <w:t>del</w:t>
      </w:r>
      <w:r>
        <w:rPr>
          <w:color w:val="231F20"/>
          <w:spacing w:val="-12"/>
          <w:w w:val="105"/>
        </w:rPr>
        <w:t> </w:t>
      </w:r>
      <w:r>
        <w:rPr>
          <w:color w:val="231F20"/>
          <w:spacing w:val="-4"/>
          <w:w w:val="105"/>
        </w:rPr>
        <w:t>retor- </w:t>
      </w:r>
      <w:r>
        <w:rPr>
          <w:color w:val="231F20"/>
          <w:spacing w:val="-3"/>
          <w:w w:val="105"/>
        </w:rPr>
        <w:t>nado,</w:t>
      </w:r>
      <w:r>
        <w:rPr>
          <w:color w:val="231F20"/>
          <w:spacing w:val="-12"/>
          <w:w w:val="105"/>
        </w:rPr>
        <w:t> </w:t>
      </w:r>
      <w:r>
        <w:rPr>
          <w:color w:val="231F20"/>
          <w:w w:val="105"/>
        </w:rPr>
        <w:t>sin</w:t>
      </w:r>
      <w:r>
        <w:rPr>
          <w:color w:val="231F20"/>
          <w:spacing w:val="-6"/>
          <w:w w:val="105"/>
        </w:rPr>
        <w:t> </w:t>
      </w:r>
      <w:r>
        <w:rPr>
          <w:color w:val="231F20"/>
          <w:spacing w:val="-4"/>
          <w:w w:val="105"/>
        </w:rPr>
        <w:t>omitir,</w:t>
      </w:r>
      <w:r>
        <w:rPr>
          <w:color w:val="231F20"/>
          <w:spacing w:val="-12"/>
          <w:w w:val="105"/>
        </w:rPr>
        <w:t> </w:t>
      </w:r>
      <w:r>
        <w:rPr>
          <w:color w:val="231F20"/>
          <w:spacing w:val="-3"/>
          <w:w w:val="105"/>
        </w:rPr>
        <w:t>como</w:t>
      </w:r>
      <w:r>
        <w:rPr>
          <w:color w:val="231F20"/>
          <w:spacing w:val="-6"/>
          <w:w w:val="105"/>
        </w:rPr>
        <w:t> </w:t>
      </w:r>
      <w:r>
        <w:rPr>
          <w:color w:val="231F20"/>
          <w:spacing w:val="-3"/>
          <w:w w:val="105"/>
        </w:rPr>
        <w:t>señala</w:t>
      </w:r>
      <w:r>
        <w:rPr>
          <w:color w:val="231F20"/>
          <w:spacing w:val="-6"/>
          <w:w w:val="105"/>
        </w:rPr>
        <w:t> </w:t>
      </w:r>
      <w:r>
        <w:rPr>
          <w:color w:val="231F20"/>
          <w:spacing w:val="-3"/>
          <w:w w:val="105"/>
        </w:rPr>
        <w:t>Domjan</w:t>
      </w:r>
      <w:r>
        <w:rPr>
          <w:color w:val="231F20"/>
          <w:spacing w:val="-6"/>
          <w:w w:val="105"/>
        </w:rPr>
        <w:t> </w:t>
      </w:r>
      <w:r>
        <w:rPr>
          <w:color w:val="231F20"/>
          <w:spacing w:val="-3"/>
          <w:w w:val="105"/>
        </w:rPr>
        <w:t>(2010:</w:t>
      </w:r>
      <w:r>
        <w:rPr>
          <w:color w:val="231F20"/>
          <w:spacing w:val="-6"/>
          <w:w w:val="105"/>
        </w:rPr>
        <w:t> </w:t>
      </w:r>
      <w:r>
        <w:rPr>
          <w:color w:val="231F20"/>
          <w:w w:val="105"/>
        </w:rPr>
        <w:t>3),</w:t>
      </w:r>
      <w:r>
        <w:rPr>
          <w:color w:val="231F20"/>
          <w:spacing w:val="-12"/>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spacing w:val="-3"/>
          <w:w w:val="105"/>
        </w:rPr>
        <w:t>mayor</w:t>
      </w:r>
      <w:r>
        <w:rPr>
          <w:color w:val="231F20"/>
          <w:spacing w:val="-6"/>
          <w:w w:val="105"/>
        </w:rPr>
        <w:t> </w:t>
      </w:r>
      <w:r>
        <w:rPr>
          <w:color w:val="231F20"/>
          <w:spacing w:val="-3"/>
          <w:w w:val="105"/>
        </w:rPr>
        <w:t>parte</w:t>
      </w:r>
      <w:r>
        <w:rPr>
          <w:color w:val="231F20"/>
          <w:spacing w:val="-6"/>
          <w:w w:val="105"/>
        </w:rPr>
        <w:t> </w:t>
      </w:r>
      <w:r>
        <w:rPr>
          <w:color w:val="231F20"/>
          <w:w w:val="105"/>
        </w:rPr>
        <w:t>de</w:t>
      </w:r>
      <w:r>
        <w:rPr>
          <w:color w:val="231F20"/>
          <w:spacing w:val="-6"/>
          <w:w w:val="105"/>
        </w:rPr>
        <w:t> </w:t>
      </w:r>
      <w:r>
        <w:rPr>
          <w:color w:val="231F20"/>
          <w:spacing w:val="-3"/>
          <w:w w:val="105"/>
        </w:rPr>
        <w:t>la vida cotidiana </w:t>
      </w:r>
      <w:r>
        <w:rPr>
          <w:color w:val="231F20"/>
          <w:w w:val="105"/>
        </w:rPr>
        <w:t>de una </w:t>
      </w:r>
      <w:r>
        <w:rPr>
          <w:color w:val="231F20"/>
          <w:spacing w:val="-3"/>
          <w:w w:val="105"/>
        </w:rPr>
        <w:t>persona </w:t>
      </w:r>
      <w:r>
        <w:rPr>
          <w:color w:val="231F20"/>
          <w:w w:val="105"/>
        </w:rPr>
        <w:t>no </w:t>
      </w:r>
      <w:r>
        <w:rPr>
          <w:color w:val="231F20"/>
          <w:spacing w:val="-3"/>
          <w:w w:val="105"/>
        </w:rPr>
        <w:t>está determinada </w:t>
      </w:r>
      <w:r>
        <w:rPr>
          <w:color w:val="231F20"/>
          <w:w w:val="105"/>
        </w:rPr>
        <w:t>por sus  </w:t>
      </w:r>
      <w:r>
        <w:rPr>
          <w:color w:val="231F20"/>
          <w:spacing w:val="53"/>
          <w:w w:val="105"/>
        </w:rPr>
        <w:t> </w:t>
      </w:r>
      <w:r>
        <w:rPr>
          <w:color w:val="231F20"/>
          <w:spacing w:val="-4"/>
          <w:w w:val="105"/>
        </w:rPr>
        <w:t>propósitos</w:t>
      </w:r>
    </w:p>
    <w:p>
      <w:pPr>
        <w:pStyle w:val="BodyText"/>
        <w:spacing w:before="10"/>
        <w:rPr>
          <w:sz w:val="22"/>
        </w:rPr>
      </w:pPr>
      <w:r>
        <w:rPr/>
        <w:pict>
          <v:line style="position:absolute;mso-position-horizontal-relative:page;mso-position-vertical-relative:paragraph;z-index:28648;mso-wrap-distance-left:0;mso-wrap-distance-right:0" from="91.866096pt,15.068024pt" to="205.252096pt,15.068024pt" stroked="true" strokeweight=".25pt" strokecolor="#231f20">
            <w10:wrap type="topAndBottom"/>
          </v:line>
        </w:pict>
      </w:r>
    </w:p>
    <w:p>
      <w:pPr>
        <w:spacing w:line="192" w:lineRule="exact" w:before="7"/>
        <w:ind w:left="1837" w:right="1721" w:firstLine="0"/>
        <w:jc w:val="both"/>
        <w:rPr>
          <w:rFonts w:ascii="Calibri" w:hAnsi="Calibri"/>
          <w:sz w:val="16"/>
        </w:rPr>
      </w:pPr>
      <w:r>
        <w:rPr>
          <w:rFonts w:ascii="Calibri" w:hAnsi="Calibri"/>
          <w:color w:val="414042"/>
          <w:w w:val="105"/>
          <w:position w:val="5"/>
          <w:sz w:val="9"/>
        </w:rPr>
        <w:t>3</w:t>
      </w:r>
      <w:r>
        <w:rPr>
          <w:rFonts w:ascii="Calibri" w:hAnsi="Calibri"/>
          <w:color w:val="414042"/>
          <w:spacing w:val="-1"/>
          <w:w w:val="105"/>
          <w:position w:val="5"/>
          <w:sz w:val="9"/>
        </w:rPr>
        <w:t> </w:t>
      </w:r>
      <w:r>
        <w:rPr>
          <w:rFonts w:ascii="Calibri" w:hAnsi="Calibri"/>
          <w:color w:val="414042"/>
          <w:w w:val="105"/>
          <w:sz w:val="16"/>
        </w:rPr>
        <w:t>Este</w:t>
      </w:r>
      <w:r>
        <w:rPr>
          <w:rFonts w:ascii="Calibri" w:hAnsi="Calibri"/>
          <w:color w:val="414042"/>
          <w:spacing w:val="-18"/>
          <w:w w:val="105"/>
          <w:sz w:val="16"/>
        </w:rPr>
        <w:t> </w:t>
      </w:r>
      <w:r>
        <w:rPr>
          <w:rFonts w:ascii="Calibri" w:hAnsi="Calibri"/>
          <w:color w:val="414042"/>
          <w:w w:val="105"/>
          <w:sz w:val="16"/>
        </w:rPr>
        <w:t>término</w:t>
      </w:r>
      <w:r>
        <w:rPr>
          <w:rFonts w:ascii="Calibri" w:hAnsi="Calibri"/>
          <w:color w:val="414042"/>
          <w:spacing w:val="-18"/>
          <w:w w:val="105"/>
          <w:sz w:val="16"/>
        </w:rPr>
        <w:t> </w:t>
      </w:r>
      <w:r>
        <w:rPr>
          <w:rFonts w:ascii="Calibri" w:hAnsi="Calibri"/>
          <w:color w:val="414042"/>
          <w:w w:val="105"/>
          <w:sz w:val="16"/>
        </w:rPr>
        <w:t>es</w:t>
      </w:r>
      <w:r>
        <w:rPr>
          <w:rFonts w:ascii="Calibri" w:hAnsi="Calibri"/>
          <w:color w:val="414042"/>
          <w:spacing w:val="-18"/>
          <w:w w:val="105"/>
          <w:sz w:val="16"/>
        </w:rPr>
        <w:t> </w:t>
      </w:r>
      <w:r>
        <w:rPr>
          <w:rFonts w:ascii="Calibri" w:hAnsi="Calibri"/>
          <w:color w:val="414042"/>
          <w:w w:val="105"/>
          <w:sz w:val="16"/>
        </w:rPr>
        <w:t>una</w:t>
      </w:r>
      <w:r>
        <w:rPr>
          <w:rFonts w:ascii="Calibri" w:hAnsi="Calibri"/>
          <w:color w:val="414042"/>
          <w:spacing w:val="-18"/>
          <w:w w:val="105"/>
          <w:sz w:val="16"/>
        </w:rPr>
        <w:t> </w:t>
      </w:r>
      <w:r>
        <w:rPr>
          <w:rFonts w:ascii="Calibri" w:hAnsi="Calibri"/>
          <w:color w:val="414042"/>
          <w:w w:val="105"/>
          <w:sz w:val="16"/>
        </w:rPr>
        <w:t>construcción</w:t>
      </w:r>
      <w:r>
        <w:rPr>
          <w:rFonts w:ascii="Calibri" w:hAnsi="Calibri"/>
          <w:color w:val="414042"/>
          <w:spacing w:val="-18"/>
          <w:w w:val="105"/>
          <w:sz w:val="16"/>
        </w:rPr>
        <w:t> </w:t>
      </w:r>
      <w:r>
        <w:rPr>
          <w:rFonts w:ascii="Calibri" w:hAnsi="Calibri"/>
          <w:color w:val="414042"/>
          <w:w w:val="105"/>
          <w:sz w:val="16"/>
        </w:rPr>
        <w:t>social</w:t>
      </w:r>
      <w:r>
        <w:rPr>
          <w:rFonts w:ascii="Calibri" w:hAnsi="Calibri"/>
          <w:color w:val="414042"/>
          <w:spacing w:val="-19"/>
          <w:w w:val="105"/>
          <w:sz w:val="16"/>
        </w:rPr>
        <w:t> </w:t>
      </w:r>
      <w:r>
        <w:rPr>
          <w:rFonts w:ascii="Calibri" w:hAnsi="Calibri"/>
          <w:color w:val="414042"/>
          <w:w w:val="105"/>
          <w:sz w:val="16"/>
        </w:rPr>
        <w:t>y</w:t>
      </w:r>
      <w:r>
        <w:rPr>
          <w:rFonts w:ascii="Calibri" w:hAnsi="Calibri"/>
          <w:color w:val="414042"/>
          <w:spacing w:val="-18"/>
          <w:w w:val="105"/>
          <w:sz w:val="16"/>
        </w:rPr>
        <w:t> </w:t>
      </w:r>
      <w:r>
        <w:rPr>
          <w:rFonts w:ascii="Calibri" w:hAnsi="Calibri"/>
          <w:color w:val="414042"/>
          <w:w w:val="105"/>
          <w:sz w:val="16"/>
        </w:rPr>
        <w:t>refiere</w:t>
      </w:r>
      <w:r>
        <w:rPr>
          <w:rFonts w:ascii="Calibri" w:hAnsi="Calibri"/>
          <w:color w:val="414042"/>
          <w:spacing w:val="-18"/>
          <w:w w:val="105"/>
          <w:sz w:val="16"/>
        </w:rPr>
        <w:t> </w:t>
      </w:r>
      <w:r>
        <w:rPr>
          <w:rFonts w:ascii="Calibri" w:hAnsi="Calibri"/>
          <w:color w:val="414042"/>
          <w:w w:val="105"/>
          <w:sz w:val="16"/>
        </w:rPr>
        <w:t>a</w:t>
      </w:r>
      <w:r>
        <w:rPr>
          <w:rFonts w:ascii="Calibri" w:hAnsi="Calibri"/>
          <w:color w:val="414042"/>
          <w:spacing w:val="-18"/>
          <w:w w:val="105"/>
          <w:sz w:val="16"/>
        </w:rPr>
        <w:t> </w:t>
      </w:r>
      <w:r>
        <w:rPr>
          <w:rFonts w:ascii="Calibri" w:hAnsi="Calibri"/>
          <w:color w:val="414042"/>
          <w:w w:val="105"/>
          <w:sz w:val="16"/>
        </w:rPr>
        <w:t>un</w:t>
      </w:r>
      <w:r>
        <w:rPr>
          <w:rFonts w:ascii="Calibri" w:hAnsi="Calibri"/>
          <w:color w:val="414042"/>
          <w:spacing w:val="-18"/>
          <w:w w:val="105"/>
          <w:sz w:val="16"/>
        </w:rPr>
        <w:t> </w:t>
      </w:r>
      <w:r>
        <w:rPr>
          <w:rFonts w:ascii="Calibri" w:hAnsi="Calibri"/>
          <w:color w:val="414042"/>
          <w:w w:val="105"/>
          <w:sz w:val="16"/>
        </w:rPr>
        <w:t>ente</w:t>
      </w:r>
      <w:r>
        <w:rPr>
          <w:rFonts w:ascii="Calibri" w:hAnsi="Calibri"/>
          <w:color w:val="414042"/>
          <w:spacing w:val="-18"/>
          <w:w w:val="105"/>
          <w:sz w:val="16"/>
        </w:rPr>
        <w:t> </w:t>
      </w:r>
      <w:r>
        <w:rPr>
          <w:rFonts w:ascii="Calibri" w:hAnsi="Calibri"/>
          <w:color w:val="414042"/>
          <w:w w:val="105"/>
          <w:sz w:val="16"/>
        </w:rPr>
        <w:t>capaz</w:t>
      </w:r>
      <w:r>
        <w:rPr>
          <w:rFonts w:ascii="Calibri" w:hAnsi="Calibri"/>
          <w:color w:val="414042"/>
          <w:spacing w:val="-18"/>
          <w:w w:val="105"/>
          <w:sz w:val="16"/>
        </w:rPr>
        <w:t> </w:t>
      </w:r>
      <w:r>
        <w:rPr>
          <w:rFonts w:ascii="Calibri" w:hAnsi="Calibri"/>
          <w:color w:val="414042"/>
          <w:w w:val="105"/>
          <w:sz w:val="16"/>
        </w:rPr>
        <w:t>de</w:t>
      </w:r>
      <w:r>
        <w:rPr>
          <w:rFonts w:ascii="Calibri" w:hAnsi="Calibri"/>
          <w:color w:val="414042"/>
          <w:spacing w:val="-18"/>
          <w:w w:val="105"/>
          <w:sz w:val="16"/>
        </w:rPr>
        <w:t> </w:t>
      </w:r>
      <w:r>
        <w:rPr>
          <w:rFonts w:ascii="Calibri" w:hAnsi="Calibri"/>
          <w:color w:val="414042"/>
          <w:w w:val="105"/>
          <w:sz w:val="16"/>
        </w:rPr>
        <w:t>procesar</w:t>
      </w:r>
      <w:r>
        <w:rPr>
          <w:rFonts w:ascii="Calibri" w:hAnsi="Calibri"/>
          <w:color w:val="414042"/>
          <w:spacing w:val="-19"/>
          <w:w w:val="105"/>
          <w:sz w:val="16"/>
        </w:rPr>
        <w:t> </w:t>
      </w:r>
      <w:r>
        <w:rPr>
          <w:rFonts w:ascii="Calibri" w:hAnsi="Calibri"/>
          <w:color w:val="414042"/>
          <w:w w:val="105"/>
          <w:sz w:val="16"/>
        </w:rPr>
        <w:t>y</w:t>
      </w:r>
      <w:r>
        <w:rPr>
          <w:rFonts w:ascii="Calibri" w:hAnsi="Calibri"/>
          <w:color w:val="414042"/>
          <w:spacing w:val="-18"/>
          <w:w w:val="105"/>
          <w:sz w:val="16"/>
        </w:rPr>
        <w:t> </w:t>
      </w:r>
      <w:r>
        <w:rPr>
          <w:rFonts w:ascii="Calibri" w:hAnsi="Calibri"/>
          <w:color w:val="414042"/>
          <w:w w:val="105"/>
          <w:sz w:val="16"/>
        </w:rPr>
        <w:t>sistematizar</w:t>
      </w:r>
      <w:r>
        <w:rPr>
          <w:rFonts w:ascii="Calibri" w:hAnsi="Calibri"/>
          <w:color w:val="414042"/>
          <w:spacing w:val="-18"/>
          <w:w w:val="105"/>
          <w:sz w:val="16"/>
        </w:rPr>
        <w:t> </w:t>
      </w:r>
      <w:r>
        <w:rPr>
          <w:rFonts w:ascii="Calibri" w:hAnsi="Calibri"/>
          <w:color w:val="414042"/>
          <w:w w:val="105"/>
          <w:sz w:val="16"/>
        </w:rPr>
        <w:t>experiencias vividas</w:t>
      </w:r>
      <w:r>
        <w:rPr>
          <w:rFonts w:ascii="Calibri" w:hAnsi="Calibri"/>
          <w:color w:val="414042"/>
          <w:spacing w:val="-20"/>
          <w:w w:val="105"/>
          <w:sz w:val="16"/>
        </w:rPr>
        <w:t> </w:t>
      </w:r>
      <w:r>
        <w:rPr>
          <w:rFonts w:ascii="Calibri" w:hAnsi="Calibri"/>
          <w:color w:val="414042"/>
          <w:w w:val="105"/>
          <w:sz w:val="16"/>
        </w:rPr>
        <w:t>para</w:t>
      </w:r>
      <w:r>
        <w:rPr>
          <w:rFonts w:ascii="Calibri" w:hAnsi="Calibri"/>
          <w:color w:val="414042"/>
          <w:spacing w:val="-20"/>
          <w:w w:val="105"/>
          <w:sz w:val="16"/>
        </w:rPr>
        <w:t> </w:t>
      </w:r>
      <w:r>
        <w:rPr>
          <w:rFonts w:ascii="Calibri" w:hAnsi="Calibri"/>
          <w:color w:val="414042"/>
          <w:w w:val="105"/>
          <w:sz w:val="16"/>
        </w:rPr>
        <w:t>actuar</w:t>
      </w:r>
      <w:r>
        <w:rPr>
          <w:rFonts w:ascii="Calibri" w:hAnsi="Calibri"/>
          <w:color w:val="414042"/>
          <w:spacing w:val="-20"/>
          <w:w w:val="105"/>
          <w:sz w:val="16"/>
        </w:rPr>
        <w:t> </w:t>
      </w:r>
      <w:r>
        <w:rPr>
          <w:rFonts w:ascii="Calibri" w:hAnsi="Calibri"/>
          <w:color w:val="414042"/>
          <w:w w:val="105"/>
          <w:sz w:val="16"/>
        </w:rPr>
        <w:t>en</w:t>
      </w:r>
      <w:r>
        <w:rPr>
          <w:rFonts w:ascii="Calibri" w:hAnsi="Calibri"/>
          <w:color w:val="414042"/>
          <w:spacing w:val="-20"/>
          <w:w w:val="105"/>
          <w:sz w:val="16"/>
        </w:rPr>
        <w:t> </w:t>
      </w:r>
      <w:r>
        <w:rPr>
          <w:rFonts w:ascii="Calibri" w:hAnsi="Calibri"/>
          <w:color w:val="414042"/>
          <w:w w:val="105"/>
          <w:sz w:val="16"/>
        </w:rPr>
        <w:t>ellas,</w:t>
      </w:r>
      <w:r>
        <w:rPr>
          <w:rFonts w:ascii="Calibri" w:hAnsi="Calibri"/>
          <w:color w:val="414042"/>
          <w:spacing w:val="-20"/>
          <w:w w:val="105"/>
          <w:sz w:val="16"/>
        </w:rPr>
        <w:t> </w:t>
      </w:r>
      <w:r>
        <w:rPr>
          <w:rFonts w:ascii="Calibri" w:hAnsi="Calibri"/>
          <w:color w:val="414042"/>
          <w:w w:val="105"/>
          <w:sz w:val="16"/>
        </w:rPr>
        <w:t>formular</w:t>
      </w:r>
      <w:r>
        <w:rPr>
          <w:rFonts w:ascii="Calibri" w:hAnsi="Calibri"/>
          <w:color w:val="414042"/>
          <w:spacing w:val="-20"/>
          <w:w w:val="105"/>
          <w:sz w:val="16"/>
        </w:rPr>
        <w:t> </w:t>
      </w:r>
      <w:r>
        <w:rPr>
          <w:rFonts w:ascii="Calibri" w:hAnsi="Calibri"/>
          <w:color w:val="414042"/>
          <w:w w:val="105"/>
          <w:sz w:val="16"/>
        </w:rPr>
        <w:t>estrategias</w:t>
      </w:r>
      <w:r>
        <w:rPr>
          <w:rFonts w:ascii="Calibri" w:hAnsi="Calibri"/>
          <w:color w:val="414042"/>
          <w:spacing w:val="-20"/>
          <w:w w:val="105"/>
          <w:sz w:val="16"/>
        </w:rPr>
        <w:t> </w:t>
      </w:r>
      <w:r>
        <w:rPr>
          <w:rFonts w:ascii="Calibri" w:hAnsi="Calibri"/>
          <w:color w:val="414042"/>
          <w:w w:val="105"/>
          <w:sz w:val="16"/>
        </w:rPr>
        <w:t>para</w:t>
      </w:r>
      <w:r>
        <w:rPr>
          <w:rFonts w:ascii="Calibri" w:hAnsi="Calibri"/>
          <w:color w:val="414042"/>
          <w:spacing w:val="-20"/>
          <w:w w:val="105"/>
          <w:sz w:val="16"/>
        </w:rPr>
        <w:t> </w:t>
      </w:r>
      <w:r>
        <w:rPr>
          <w:rFonts w:ascii="Calibri" w:hAnsi="Calibri"/>
          <w:color w:val="414042"/>
          <w:w w:val="105"/>
          <w:sz w:val="16"/>
        </w:rPr>
        <w:t>conseguir</w:t>
      </w:r>
      <w:r>
        <w:rPr>
          <w:rFonts w:ascii="Calibri" w:hAnsi="Calibri"/>
          <w:color w:val="414042"/>
          <w:spacing w:val="-20"/>
          <w:w w:val="105"/>
          <w:sz w:val="16"/>
        </w:rPr>
        <w:t> </w:t>
      </w:r>
      <w:r>
        <w:rPr>
          <w:rFonts w:ascii="Calibri" w:hAnsi="Calibri"/>
          <w:color w:val="414042"/>
          <w:w w:val="105"/>
          <w:sz w:val="16"/>
        </w:rPr>
        <w:t>objetivos,</w:t>
      </w:r>
      <w:r>
        <w:rPr>
          <w:rFonts w:ascii="Calibri" w:hAnsi="Calibri"/>
          <w:color w:val="414042"/>
          <w:spacing w:val="-20"/>
          <w:w w:val="105"/>
          <w:sz w:val="16"/>
        </w:rPr>
        <w:t> </w:t>
      </w:r>
      <w:r>
        <w:rPr>
          <w:rFonts w:ascii="Calibri" w:hAnsi="Calibri"/>
          <w:color w:val="414042"/>
          <w:w w:val="105"/>
          <w:sz w:val="16"/>
        </w:rPr>
        <w:t>compartirlas</w:t>
      </w:r>
      <w:r>
        <w:rPr>
          <w:rFonts w:ascii="Calibri" w:hAnsi="Calibri"/>
          <w:color w:val="414042"/>
          <w:spacing w:val="-20"/>
          <w:w w:val="105"/>
          <w:sz w:val="16"/>
        </w:rPr>
        <w:t> </w:t>
      </w:r>
      <w:r>
        <w:rPr>
          <w:rFonts w:ascii="Calibri" w:hAnsi="Calibri"/>
          <w:color w:val="414042"/>
          <w:w w:val="105"/>
          <w:sz w:val="16"/>
        </w:rPr>
        <w:t>con</w:t>
      </w:r>
      <w:r>
        <w:rPr>
          <w:rFonts w:ascii="Calibri" w:hAnsi="Calibri"/>
          <w:color w:val="414042"/>
          <w:spacing w:val="-20"/>
          <w:w w:val="105"/>
          <w:sz w:val="16"/>
        </w:rPr>
        <w:t> </w:t>
      </w:r>
      <w:r>
        <w:rPr>
          <w:rFonts w:ascii="Calibri" w:hAnsi="Calibri"/>
          <w:color w:val="414042"/>
          <w:w w:val="105"/>
          <w:sz w:val="16"/>
        </w:rPr>
        <w:t>otros</w:t>
      </w:r>
      <w:r>
        <w:rPr>
          <w:rFonts w:ascii="Calibri" w:hAnsi="Calibri"/>
          <w:color w:val="414042"/>
          <w:spacing w:val="-20"/>
          <w:w w:val="105"/>
          <w:sz w:val="16"/>
        </w:rPr>
        <w:t> </w:t>
      </w:r>
      <w:r>
        <w:rPr>
          <w:rFonts w:ascii="Calibri" w:hAnsi="Calibri"/>
          <w:color w:val="414042"/>
          <w:w w:val="105"/>
          <w:sz w:val="16"/>
        </w:rPr>
        <w:t>sujetos es</w:t>
      </w:r>
      <w:r>
        <w:rPr>
          <w:rFonts w:ascii="Calibri" w:hAnsi="Calibri"/>
          <w:color w:val="414042"/>
          <w:spacing w:val="-17"/>
          <w:w w:val="105"/>
          <w:sz w:val="16"/>
        </w:rPr>
        <w:t> </w:t>
      </w:r>
      <w:r>
        <w:rPr>
          <w:rFonts w:ascii="Calibri" w:hAnsi="Calibri"/>
          <w:color w:val="414042"/>
          <w:w w:val="105"/>
          <w:sz w:val="16"/>
        </w:rPr>
        <w:t>lo</w:t>
      </w:r>
      <w:r>
        <w:rPr>
          <w:rFonts w:ascii="Calibri" w:hAnsi="Calibri"/>
          <w:color w:val="414042"/>
          <w:spacing w:val="-17"/>
          <w:w w:val="105"/>
          <w:sz w:val="16"/>
        </w:rPr>
        <w:t> </w:t>
      </w:r>
      <w:r>
        <w:rPr>
          <w:rFonts w:ascii="Calibri" w:hAnsi="Calibri"/>
          <w:color w:val="414042"/>
          <w:w w:val="105"/>
          <w:sz w:val="16"/>
        </w:rPr>
        <w:t>que</w:t>
      </w:r>
      <w:r>
        <w:rPr>
          <w:rFonts w:ascii="Calibri" w:hAnsi="Calibri"/>
          <w:color w:val="414042"/>
          <w:spacing w:val="-17"/>
          <w:w w:val="105"/>
          <w:sz w:val="16"/>
        </w:rPr>
        <w:t> </w:t>
      </w:r>
      <w:r>
        <w:rPr>
          <w:rFonts w:ascii="Calibri" w:hAnsi="Calibri"/>
          <w:color w:val="414042"/>
          <w:w w:val="105"/>
          <w:sz w:val="16"/>
        </w:rPr>
        <w:t>transforma</w:t>
      </w:r>
      <w:r>
        <w:rPr>
          <w:rFonts w:ascii="Calibri" w:hAnsi="Calibri"/>
          <w:color w:val="414042"/>
          <w:spacing w:val="-17"/>
          <w:w w:val="105"/>
          <w:sz w:val="16"/>
        </w:rPr>
        <w:t> </w:t>
      </w:r>
      <w:r>
        <w:rPr>
          <w:rFonts w:ascii="Calibri" w:hAnsi="Calibri"/>
          <w:color w:val="414042"/>
          <w:w w:val="105"/>
          <w:sz w:val="16"/>
        </w:rPr>
        <w:t>a</w:t>
      </w:r>
      <w:r>
        <w:rPr>
          <w:rFonts w:ascii="Calibri" w:hAnsi="Calibri"/>
          <w:color w:val="414042"/>
          <w:spacing w:val="-17"/>
          <w:w w:val="105"/>
          <w:sz w:val="16"/>
        </w:rPr>
        <w:t> </w:t>
      </w:r>
      <w:r>
        <w:rPr>
          <w:rFonts w:ascii="Calibri" w:hAnsi="Calibri"/>
          <w:color w:val="414042"/>
          <w:w w:val="105"/>
          <w:sz w:val="16"/>
        </w:rPr>
        <w:t>un</w:t>
      </w:r>
      <w:r>
        <w:rPr>
          <w:rFonts w:ascii="Calibri" w:hAnsi="Calibri"/>
          <w:color w:val="414042"/>
          <w:spacing w:val="-17"/>
          <w:w w:val="105"/>
          <w:sz w:val="16"/>
        </w:rPr>
        <w:t> </w:t>
      </w:r>
      <w:r>
        <w:rPr>
          <w:rFonts w:ascii="Calibri" w:hAnsi="Calibri"/>
          <w:color w:val="414042"/>
          <w:w w:val="105"/>
          <w:sz w:val="16"/>
        </w:rPr>
        <w:t>individuo</w:t>
      </w:r>
      <w:r>
        <w:rPr>
          <w:rFonts w:ascii="Calibri" w:hAnsi="Calibri"/>
          <w:color w:val="414042"/>
          <w:spacing w:val="-17"/>
          <w:w w:val="105"/>
          <w:sz w:val="16"/>
        </w:rPr>
        <w:t> </w:t>
      </w:r>
      <w:r>
        <w:rPr>
          <w:rFonts w:ascii="Calibri" w:hAnsi="Calibri"/>
          <w:color w:val="414042"/>
          <w:w w:val="105"/>
          <w:sz w:val="16"/>
        </w:rPr>
        <w:t>en</w:t>
      </w:r>
      <w:r>
        <w:rPr>
          <w:rFonts w:ascii="Calibri" w:hAnsi="Calibri"/>
          <w:color w:val="414042"/>
          <w:spacing w:val="-17"/>
          <w:w w:val="105"/>
          <w:sz w:val="16"/>
        </w:rPr>
        <w:t> </w:t>
      </w:r>
      <w:r>
        <w:rPr>
          <w:rFonts w:ascii="Calibri" w:hAnsi="Calibri"/>
          <w:color w:val="414042"/>
          <w:w w:val="105"/>
          <w:sz w:val="16"/>
        </w:rPr>
        <w:t>un</w:t>
      </w:r>
      <w:r>
        <w:rPr>
          <w:rFonts w:ascii="Calibri" w:hAnsi="Calibri"/>
          <w:color w:val="414042"/>
          <w:spacing w:val="-17"/>
          <w:w w:val="105"/>
          <w:sz w:val="16"/>
        </w:rPr>
        <w:t> </w:t>
      </w:r>
      <w:r>
        <w:rPr>
          <w:rFonts w:ascii="Calibri" w:hAnsi="Calibri"/>
          <w:color w:val="414042"/>
          <w:w w:val="105"/>
          <w:sz w:val="16"/>
        </w:rPr>
        <w:t>actor</w:t>
      </w:r>
      <w:r>
        <w:rPr>
          <w:rFonts w:ascii="Calibri" w:hAnsi="Calibri"/>
          <w:color w:val="414042"/>
          <w:spacing w:val="-17"/>
          <w:w w:val="105"/>
          <w:sz w:val="16"/>
        </w:rPr>
        <w:t> </w:t>
      </w:r>
      <w:r>
        <w:rPr>
          <w:rFonts w:ascii="Calibri" w:hAnsi="Calibri"/>
          <w:color w:val="414042"/>
          <w:w w:val="105"/>
          <w:sz w:val="16"/>
        </w:rPr>
        <w:t>social:</w:t>
      </w:r>
      <w:r>
        <w:rPr>
          <w:rFonts w:ascii="Calibri" w:hAnsi="Calibri"/>
          <w:color w:val="414042"/>
          <w:spacing w:val="-17"/>
          <w:w w:val="105"/>
          <w:sz w:val="16"/>
        </w:rPr>
        <w:t> </w:t>
      </w:r>
      <w:r>
        <w:rPr>
          <w:rFonts w:ascii="Calibri" w:hAnsi="Calibri"/>
          <w:color w:val="414042"/>
          <w:w w:val="105"/>
          <w:sz w:val="16"/>
        </w:rPr>
        <w:t>empresas</w:t>
      </w:r>
      <w:r>
        <w:rPr>
          <w:rFonts w:ascii="Calibri" w:hAnsi="Calibri"/>
          <w:color w:val="414042"/>
          <w:spacing w:val="-17"/>
          <w:w w:val="105"/>
          <w:sz w:val="16"/>
        </w:rPr>
        <w:t> </w:t>
      </w:r>
      <w:r>
        <w:rPr>
          <w:rFonts w:ascii="Calibri" w:hAnsi="Calibri"/>
          <w:color w:val="414042"/>
          <w:w w:val="105"/>
          <w:sz w:val="16"/>
        </w:rPr>
        <w:t>capitalistas,</w:t>
      </w:r>
      <w:r>
        <w:rPr>
          <w:rFonts w:ascii="Calibri" w:hAnsi="Calibri"/>
          <w:color w:val="414042"/>
          <w:spacing w:val="-17"/>
          <w:w w:val="105"/>
          <w:sz w:val="16"/>
        </w:rPr>
        <w:t> </w:t>
      </w:r>
      <w:r>
        <w:rPr>
          <w:rFonts w:ascii="Calibri" w:hAnsi="Calibri"/>
          <w:color w:val="414042"/>
          <w:w w:val="105"/>
          <w:sz w:val="16"/>
        </w:rPr>
        <w:t>agencias</w:t>
      </w:r>
      <w:r>
        <w:rPr>
          <w:rFonts w:ascii="Calibri" w:hAnsi="Calibri"/>
          <w:color w:val="414042"/>
          <w:spacing w:val="-17"/>
          <w:w w:val="105"/>
          <w:sz w:val="16"/>
        </w:rPr>
        <w:t> </w:t>
      </w:r>
      <w:r>
        <w:rPr>
          <w:rFonts w:ascii="Calibri" w:hAnsi="Calibri"/>
          <w:color w:val="414042"/>
          <w:w w:val="105"/>
          <w:sz w:val="16"/>
        </w:rPr>
        <w:t>estatales,</w:t>
      </w:r>
      <w:r>
        <w:rPr>
          <w:rFonts w:ascii="Calibri" w:hAnsi="Calibri"/>
          <w:color w:val="414042"/>
          <w:spacing w:val="-17"/>
          <w:w w:val="105"/>
          <w:sz w:val="16"/>
        </w:rPr>
        <w:t> </w:t>
      </w:r>
      <w:r>
        <w:rPr>
          <w:rFonts w:ascii="Calibri" w:hAnsi="Calibri"/>
          <w:color w:val="414042"/>
          <w:w w:val="105"/>
          <w:sz w:val="16"/>
        </w:rPr>
        <w:t>partidos políticos,</w:t>
      </w:r>
      <w:r>
        <w:rPr>
          <w:rFonts w:ascii="Calibri" w:hAnsi="Calibri"/>
          <w:color w:val="414042"/>
          <w:spacing w:val="-17"/>
          <w:w w:val="105"/>
          <w:sz w:val="16"/>
        </w:rPr>
        <w:t> </w:t>
      </w:r>
      <w:r>
        <w:rPr>
          <w:rFonts w:ascii="Calibri" w:hAnsi="Calibri"/>
          <w:color w:val="414042"/>
          <w:w w:val="105"/>
          <w:sz w:val="16"/>
        </w:rPr>
        <w:t>organizaciones</w:t>
      </w:r>
      <w:r>
        <w:rPr>
          <w:rFonts w:ascii="Calibri" w:hAnsi="Calibri"/>
          <w:color w:val="414042"/>
          <w:spacing w:val="-17"/>
          <w:w w:val="105"/>
          <w:sz w:val="16"/>
        </w:rPr>
        <w:t> </w:t>
      </w:r>
      <w:r>
        <w:rPr>
          <w:rFonts w:ascii="Calibri" w:hAnsi="Calibri"/>
          <w:color w:val="414042"/>
          <w:w w:val="105"/>
          <w:sz w:val="16"/>
        </w:rPr>
        <w:t>eclesiales</w:t>
      </w:r>
      <w:r>
        <w:rPr>
          <w:rFonts w:ascii="Calibri" w:hAnsi="Calibri"/>
          <w:color w:val="414042"/>
          <w:spacing w:val="-18"/>
          <w:w w:val="105"/>
          <w:sz w:val="16"/>
        </w:rPr>
        <w:t> </w:t>
      </w:r>
      <w:r>
        <w:rPr>
          <w:rFonts w:ascii="Calibri" w:hAnsi="Calibri"/>
          <w:color w:val="414042"/>
          <w:w w:val="105"/>
          <w:sz w:val="16"/>
        </w:rPr>
        <w:t>y</w:t>
      </w:r>
      <w:r>
        <w:rPr>
          <w:rFonts w:ascii="Calibri" w:hAnsi="Calibri"/>
          <w:color w:val="414042"/>
          <w:spacing w:val="-17"/>
          <w:w w:val="105"/>
          <w:sz w:val="16"/>
        </w:rPr>
        <w:t> </w:t>
      </w:r>
      <w:r>
        <w:rPr>
          <w:rFonts w:ascii="Calibri" w:hAnsi="Calibri"/>
          <w:color w:val="414042"/>
          <w:w w:val="105"/>
          <w:sz w:val="16"/>
        </w:rPr>
        <w:t>demás.</w:t>
      </w:r>
    </w:p>
    <w:p>
      <w:pPr>
        <w:spacing w:after="0" w:line="192" w:lineRule="exact"/>
        <w:jc w:val="both"/>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28"/>
        <w:jc w:val="both"/>
      </w:pPr>
      <w:r>
        <w:rPr/>
        <w:pict>
          <v:line style="position:absolute;mso-position-horizontal-relative:page;mso-position-vertical-relative:paragraph;z-index:28816" from="15pt,-68.636444pt" to="0pt,-68.636444pt" stroked="true" strokeweight=".25pt" strokecolor="#000000">
            <w10:wrap type="none"/>
          </v:line>
        </w:pict>
      </w:r>
      <w:r>
        <w:rPr/>
        <w:pict>
          <v:line style="position:absolute;mso-position-horizontal-relative:page;mso-position-vertical-relative:paragraph;z-index:28840" from="508.890015pt,-68.636444pt" to="523.890015pt,-68.636444pt" stroked="true" strokeweight=".25pt" strokecolor="#000000">
            <w10:wrap type="none"/>
          </v:line>
        </w:pict>
      </w:r>
      <w:r>
        <w:rPr>
          <w:color w:val="231F20"/>
          <w:spacing w:val="-3"/>
          <w:w w:val="105"/>
        </w:rPr>
        <w:t>conscientes,</w:t>
      </w:r>
      <w:r>
        <w:rPr>
          <w:color w:val="231F20"/>
          <w:spacing w:val="-27"/>
          <w:w w:val="105"/>
        </w:rPr>
        <w:t> </w:t>
      </w:r>
      <w:r>
        <w:rPr>
          <w:color w:val="231F20"/>
          <w:spacing w:val="-3"/>
          <w:w w:val="105"/>
        </w:rPr>
        <w:t>sino</w:t>
      </w:r>
      <w:r>
        <w:rPr>
          <w:color w:val="231F20"/>
          <w:spacing w:val="-22"/>
          <w:w w:val="105"/>
        </w:rPr>
        <w:t> </w:t>
      </w:r>
      <w:r>
        <w:rPr>
          <w:color w:val="231F20"/>
          <w:w w:val="105"/>
        </w:rPr>
        <w:t>por</w:t>
      </w:r>
      <w:r>
        <w:rPr>
          <w:color w:val="231F20"/>
          <w:spacing w:val="-22"/>
          <w:w w:val="105"/>
        </w:rPr>
        <w:t> </w:t>
      </w:r>
      <w:r>
        <w:rPr>
          <w:color w:val="231F20"/>
          <w:spacing w:val="-3"/>
          <w:w w:val="105"/>
        </w:rPr>
        <w:t>procesos</w:t>
      </w:r>
      <w:r>
        <w:rPr>
          <w:color w:val="231F20"/>
          <w:spacing w:val="-22"/>
          <w:w w:val="105"/>
        </w:rPr>
        <w:t> </w:t>
      </w:r>
      <w:r>
        <w:rPr>
          <w:color w:val="231F20"/>
          <w:spacing w:val="-3"/>
          <w:w w:val="105"/>
        </w:rPr>
        <w:t>mentales</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spacing w:val="-3"/>
          <w:w w:val="105"/>
        </w:rPr>
        <w:t>ponen</w:t>
      </w:r>
      <w:r>
        <w:rPr>
          <w:color w:val="231F20"/>
          <w:spacing w:val="-22"/>
          <w:w w:val="105"/>
        </w:rPr>
        <w:t> </w:t>
      </w:r>
      <w:r>
        <w:rPr>
          <w:color w:val="231F20"/>
          <w:w w:val="105"/>
        </w:rPr>
        <w:t>en</w:t>
      </w:r>
      <w:r>
        <w:rPr>
          <w:color w:val="231F20"/>
          <w:spacing w:val="-22"/>
          <w:w w:val="105"/>
        </w:rPr>
        <w:t> </w:t>
      </w:r>
      <w:r>
        <w:rPr>
          <w:color w:val="231F20"/>
          <w:spacing w:val="-3"/>
          <w:w w:val="105"/>
        </w:rPr>
        <w:t>movimiento</w:t>
      </w:r>
      <w:r>
        <w:rPr>
          <w:color w:val="231F20"/>
          <w:spacing w:val="-22"/>
          <w:w w:val="105"/>
        </w:rPr>
        <w:t> </w:t>
      </w:r>
      <w:r>
        <w:rPr>
          <w:color w:val="231F20"/>
          <w:spacing w:val="-3"/>
          <w:w w:val="105"/>
        </w:rPr>
        <w:t>por características</w:t>
      </w:r>
      <w:r>
        <w:rPr>
          <w:color w:val="231F20"/>
          <w:spacing w:val="-28"/>
          <w:w w:val="105"/>
        </w:rPr>
        <w:t> </w:t>
      </w:r>
      <w:r>
        <w:rPr>
          <w:color w:val="231F20"/>
          <w:w w:val="105"/>
        </w:rPr>
        <w:t>del</w:t>
      </w:r>
      <w:r>
        <w:rPr>
          <w:color w:val="231F20"/>
          <w:spacing w:val="-28"/>
          <w:w w:val="105"/>
        </w:rPr>
        <w:t> </w:t>
      </w:r>
      <w:r>
        <w:rPr>
          <w:color w:val="231F20"/>
          <w:spacing w:val="-3"/>
          <w:w w:val="105"/>
        </w:rPr>
        <w:t>ambiente</w:t>
      </w:r>
      <w:r>
        <w:rPr>
          <w:color w:val="231F20"/>
          <w:spacing w:val="-28"/>
          <w:w w:val="105"/>
        </w:rPr>
        <w:t> </w:t>
      </w:r>
      <w:r>
        <w:rPr>
          <w:color w:val="231F20"/>
          <w:w w:val="105"/>
        </w:rPr>
        <w:t>y</w:t>
      </w:r>
      <w:r>
        <w:rPr>
          <w:color w:val="231F20"/>
          <w:spacing w:val="-28"/>
          <w:w w:val="105"/>
        </w:rPr>
        <w:t> </w:t>
      </w:r>
      <w:r>
        <w:rPr>
          <w:color w:val="231F20"/>
          <w:spacing w:val="-3"/>
          <w:w w:val="105"/>
        </w:rPr>
        <w:t>operan</w:t>
      </w:r>
      <w:r>
        <w:rPr>
          <w:color w:val="231F20"/>
          <w:spacing w:val="-28"/>
          <w:w w:val="105"/>
        </w:rPr>
        <w:t> </w:t>
      </w:r>
      <w:r>
        <w:rPr>
          <w:color w:val="231F20"/>
          <w:spacing w:val="-3"/>
          <w:w w:val="105"/>
        </w:rPr>
        <w:t>fuera</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spacing w:val="-3"/>
          <w:w w:val="105"/>
        </w:rPr>
        <w:t>supervisión</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spacing w:val="-3"/>
          <w:w w:val="105"/>
        </w:rPr>
        <w:t>concien- cia.</w:t>
      </w:r>
      <w:r>
        <w:rPr>
          <w:color w:val="231F20"/>
          <w:spacing w:val="-15"/>
          <w:w w:val="105"/>
        </w:rPr>
        <w:t> </w:t>
      </w:r>
      <w:r>
        <w:rPr>
          <w:color w:val="231F20"/>
          <w:spacing w:val="-3"/>
          <w:w w:val="105"/>
        </w:rPr>
        <w:t>Con</w:t>
      </w:r>
      <w:r>
        <w:rPr>
          <w:color w:val="231F20"/>
          <w:spacing w:val="-10"/>
          <w:w w:val="105"/>
        </w:rPr>
        <w:t> </w:t>
      </w:r>
      <w:r>
        <w:rPr>
          <w:color w:val="231F20"/>
          <w:w w:val="105"/>
        </w:rPr>
        <w:t>el</w:t>
      </w:r>
      <w:r>
        <w:rPr>
          <w:color w:val="231F20"/>
          <w:spacing w:val="-10"/>
          <w:w w:val="105"/>
        </w:rPr>
        <w:t> </w:t>
      </w:r>
      <w:r>
        <w:rPr>
          <w:color w:val="231F20"/>
          <w:spacing w:val="-3"/>
          <w:w w:val="105"/>
        </w:rPr>
        <w:t>enfoque</w:t>
      </w:r>
      <w:r>
        <w:rPr>
          <w:color w:val="231F20"/>
          <w:spacing w:val="-10"/>
          <w:w w:val="105"/>
        </w:rPr>
        <w:t> </w:t>
      </w:r>
      <w:r>
        <w:rPr>
          <w:color w:val="231F20"/>
          <w:w w:val="105"/>
        </w:rPr>
        <w:t>del</w:t>
      </w:r>
      <w:r>
        <w:rPr>
          <w:color w:val="231F20"/>
          <w:spacing w:val="-10"/>
          <w:w w:val="105"/>
        </w:rPr>
        <w:t> </w:t>
      </w:r>
      <w:r>
        <w:rPr>
          <w:color w:val="231F20"/>
          <w:spacing w:val="-5"/>
          <w:w w:val="105"/>
        </w:rPr>
        <w:t>actor,</w:t>
      </w:r>
      <w:r>
        <w:rPr>
          <w:color w:val="231F20"/>
          <w:spacing w:val="-15"/>
          <w:w w:val="105"/>
        </w:rPr>
        <w:t> </w:t>
      </w:r>
      <w:r>
        <w:rPr>
          <w:color w:val="231F20"/>
          <w:spacing w:val="-3"/>
          <w:w w:val="105"/>
        </w:rPr>
        <w:t>puede</w:t>
      </w:r>
      <w:r>
        <w:rPr>
          <w:color w:val="231F20"/>
          <w:spacing w:val="-10"/>
          <w:w w:val="105"/>
        </w:rPr>
        <w:t> </w:t>
      </w:r>
      <w:r>
        <w:rPr>
          <w:color w:val="231F20"/>
          <w:spacing w:val="-3"/>
          <w:w w:val="105"/>
        </w:rPr>
        <w:t>analizarse</w:t>
      </w:r>
      <w:r>
        <w:rPr>
          <w:color w:val="231F20"/>
          <w:spacing w:val="-10"/>
          <w:w w:val="105"/>
        </w:rPr>
        <w:t> </w:t>
      </w:r>
      <w:r>
        <w:rPr>
          <w:color w:val="231F20"/>
          <w:spacing w:val="-3"/>
          <w:w w:val="105"/>
        </w:rPr>
        <w:t>cómo</w:t>
      </w:r>
      <w:r>
        <w:rPr>
          <w:color w:val="231F20"/>
          <w:spacing w:val="-10"/>
          <w:w w:val="105"/>
        </w:rPr>
        <w:t> </w:t>
      </w:r>
      <w:r>
        <w:rPr>
          <w:color w:val="231F20"/>
          <w:w w:val="105"/>
        </w:rPr>
        <w:t>los</w:t>
      </w:r>
      <w:r>
        <w:rPr>
          <w:color w:val="231F20"/>
          <w:spacing w:val="-10"/>
          <w:w w:val="105"/>
        </w:rPr>
        <w:t> </w:t>
      </w:r>
      <w:r>
        <w:rPr>
          <w:color w:val="231F20"/>
          <w:spacing w:val="-3"/>
          <w:w w:val="105"/>
        </w:rPr>
        <w:t>migrantes</w:t>
      </w:r>
      <w:r>
        <w:rPr>
          <w:color w:val="231F20"/>
          <w:spacing w:val="-10"/>
          <w:w w:val="105"/>
        </w:rPr>
        <w:t> </w:t>
      </w:r>
      <w:r>
        <w:rPr>
          <w:color w:val="231F20"/>
          <w:spacing w:val="-3"/>
          <w:w w:val="105"/>
        </w:rPr>
        <w:t>cons- truyen</w:t>
      </w:r>
      <w:r>
        <w:rPr>
          <w:color w:val="231F20"/>
          <w:spacing w:val="-8"/>
          <w:w w:val="105"/>
        </w:rPr>
        <w:t> </w:t>
      </w:r>
      <w:r>
        <w:rPr>
          <w:color w:val="231F20"/>
          <w:w w:val="105"/>
        </w:rPr>
        <w:t>la</w:t>
      </w:r>
      <w:r>
        <w:rPr>
          <w:color w:val="231F20"/>
          <w:spacing w:val="-8"/>
          <w:w w:val="105"/>
        </w:rPr>
        <w:t> </w:t>
      </w:r>
      <w:r>
        <w:rPr>
          <w:color w:val="231F20"/>
          <w:spacing w:val="-3"/>
          <w:w w:val="105"/>
        </w:rPr>
        <w:t>decisión</w:t>
      </w:r>
      <w:r>
        <w:rPr>
          <w:color w:val="231F20"/>
          <w:spacing w:val="-8"/>
          <w:w w:val="105"/>
        </w:rPr>
        <w:t> </w:t>
      </w:r>
      <w:r>
        <w:rPr>
          <w:color w:val="231F20"/>
          <w:w w:val="105"/>
        </w:rPr>
        <w:t>de</w:t>
      </w:r>
      <w:r>
        <w:rPr>
          <w:color w:val="231F20"/>
          <w:spacing w:val="-8"/>
          <w:w w:val="105"/>
        </w:rPr>
        <w:t> </w:t>
      </w:r>
      <w:r>
        <w:rPr>
          <w:color w:val="231F20"/>
          <w:spacing w:val="-5"/>
          <w:w w:val="105"/>
        </w:rPr>
        <w:t>retornar,</w:t>
      </w:r>
      <w:r>
        <w:rPr>
          <w:color w:val="231F20"/>
          <w:spacing w:val="-13"/>
          <w:w w:val="105"/>
        </w:rPr>
        <w:t> </w:t>
      </w:r>
      <w:r>
        <w:rPr>
          <w:color w:val="231F20"/>
          <w:w w:val="105"/>
        </w:rPr>
        <w:t>el</w:t>
      </w:r>
      <w:r>
        <w:rPr>
          <w:color w:val="231F20"/>
          <w:spacing w:val="-8"/>
          <w:w w:val="105"/>
        </w:rPr>
        <w:t> </w:t>
      </w:r>
      <w:r>
        <w:rPr>
          <w:color w:val="231F20"/>
          <w:spacing w:val="-3"/>
          <w:w w:val="105"/>
        </w:rPr>
        <w:t>contexto</w:t>
      </w:r>
      <w:r>
        <w:rPr>
          <w:color w:val="231F20"/>
          <w:spacing w:val="-8"/>
          <w:w w:val="105"/>
        </w:rPr>
        <w:t> </w:t>
      </w:r>
      <w:r>
        <w:rPr>
          <w:color w:val="231F20"/>
          <w:w w:val="105"/>
        </w:rPr>
        <w:t>en</w:t>
      </w:r>
      <w:r>
        <w:rPr>
          <w:color w:val="231F20"/>
          <w:spacing w:val="-8"/>
          <w:w w:val="105"/>
        </w:rPr>
        <w:t> </w:t>
      </w:r>
      <w:r>
        <w:rPr>
          <w:color w:val="231F20"/>
          <w:w w:val="105"/>
        </w:rPr>
        <w:t>que</w:t>
      </w:r>
      <w:r>
        <w:rPr>
          <w:color w:val="231F20"/>
          <w:spacing w:val="-8"/>
          <w:w w:val="105"/>
        </w:rPr>
        <w:t> </w:t>
      </w:r>
      <w:r>
        <w:rPr>
          <w:color w:val="231F20"/>
          <w:spacing w:val="-3"/>
          <w:w w:val="105"/>
        </w:rPr>
        <w:t>surge,</w:t>
      </w:r>
      <w:r>
        <w:rPr>
          <w:color w:val="231F20"/>
          <w:spacing w:val="-13"/>
          <w:w w:val="105"/>
        </w:rPr>
        <w:t> </w:t>
      </w:r>
      <w:r>
        <w:rPr>
          <w:color w:val="231F20"/>
          <w:w w:val="105"/>
        </w:rPr>
        <w:t>las</w:t>
      </w:r>
      <w:r>
        <w:rPr>
          <w:color w:val="231F20"/>
          <w:spacing w:val="-8"/>
          <w:w w:val="105"/>
        </w:rPr>
        <w:t> </w:t>
      </w:r>
      <w:r>
        <w:rPr>
          <w:color w:val="231F20"/>
          <w:spacing w:val="-3"/>
          <w:w w:val="105"/>
        </w:rPr>
        <w:t>motivaciones </w:t>
      </w:r>
      <w:r>
        <w:rPr>
          <w:color w:val="231F20"/>
          <w:w w:val="105"/>
        </w:rPr>
        <w:t>y</w:t>
      </w:r>
      <w:r>
        <w:rPr>
          <w:color w:val="231F20"/>
          <w:spacing w:val="-25"/>
          <w:w w:val="105"/>
        </w:rPr>
        <w:t> </w:t>
      </w:r>
      <w:r>
        <w:rPr>
          <w:color w:val="231F20"/>
          <w:spacing w:val="-3"/>
          <w:w w:val="105"/>
        </w:rPr>
        <w:t>necesidades</w:t>
      </w:r>
      <w:r>
        <w:rPr>
          <w:color w:val="231F20"/>
          <w:spacing w:val="-25"/>
          <w:w w:val="105"/>
        </w:rPr>
        <w:t> </w:t>
      </w:r>
      <w:r>
        <w:rPr>
          <w:color w:val="231F20"/>
          <w:spacing w:val="-3"/>
          <w:w w:val="105"/>
        </w:rPr>
        <w:t>personales,</w:t>
      </w:r>
      <w:r>
        <w:rPr>
          <w:color w:val="231F20"/>
          <w:spacing w:val="-30"/>
          <w:w w:val="105"/>
        </w:rPr>
        <w:t> </w:t>
      </w:r>
      <w:r>
        <w:rPr>
          <w:color w:val="231F20"/>
          <w:w w:val="105"/>
        </w:rPr>
        <w:t>los</w:t>
      </w:r>
      <w:r>
        <w:rPr>
          <w:color w:val="231F20"/>
          <w:spacing w:val="-25"/>
          <w:w w:val="105"/>
        </w:rPr>
        <w:t> </w:t>
      </w:r>
      <w:r>
        <w:rPr>
          <w:color w:val="231F20"/>
          <w:spacing w:val="-3"/>
          <w:w w:val="105"/>
        </w:rPr>
        <w:t>aprendizajes</w:t>
      </w:r>
      <w:r>
        <w:rPr>
          <w:color w:val="231F20"/>
          <w:spacing w:val="-25"/>
          <w:w w:val="105"/>
        </w:rPr>
        <w:t> </w:t>
      </w:r>
      <w:r>
        <w:rPr>
          <w:color w:val="231F20"/>
          <w:w w:val="105"/>
        </w:rPr>
        <w:t>y</w:t>
      </w:r>
      <w:r>
        <w:rPr>
          <w:color w:val="231F20"/>
          <w:spacing w:val="-25"/>
          <w:w w:val="105"/>
        </w:rPr>
        <w:t> </w:t>
      </w:r>
      <w:r>
        <w:rPr>
          <w:color w:val="231F20"/>
          <w:spacing w:val="-3"/>
          <w:w w:val="105"/>
        </w:rPr>
        <w:t>activos</w:t>
      </w:r>
      <w:r>
        <w:rPr>
          <w:color w:val="231F20"/>
          <w:spacing w:val="-25"/>
          <w:w w:val="105"/>
        </w:rPr>
        <w:t> </w:t>
      </w:r>
      <w:r>
        <w:rPr>
          <w:color w:val="231F20"/>
          <w:w w:val="105"/>
        </w:rPr>
        <w:t>que</w:t>
      </w:r>
      <w:r>
        <w:rPr>
          <w:color w:val="231F20"/>
          <w:spacing w:val="-25"/>
          <w:w w:val="105"/>
        </w:rPr>
        <w:t> </w:t>
      </w:r>
      <w:r>
        <w:rPr>
          <w:color w:val="231F20"/>
          <w:spacing w:val="-4"/>
          <w:w w:val="105"/>
        </w:rPr>
        <w:t>trajeron</w:t>
      </w:r>
      <w:r>
        <w:rPr>
          <w:color w:val="231F20"/>
          <w:spacing w:val="-25"/>
          <w:w w:val="105"/>
        </w:rPr>
        <w:t> </w:t>
      </w:r>
      <w:r>
        <w:rPr>
          <w:color w:val="231F20"/>
          <w:spacing w:val="-3"/>
          <w:w w:val="105"/>
        </w:rPr>
        <w:t>consigo, </w:t>
      </w:r>
      <w:r>
        <w:rPr>
          <w:color w:val="231F20"/>
          <w:w w:val="105"/>
        </w:rPr>
        <w:t>la </w:t>
      </w:r>
      <w:r>
        <w:rPr>
          <w:color w:val="231F20"/>
          <w:spacing w:val="-3"/>
          <w:w w:val="105"/>
        </w:rPr>
        <w:t>forma </w:t>
      </w:r>
      <w:r>
        <w:rPr>
          <w:color w:val="231F20"/>
          <w:w w:val="105"/>
        </w:rPr>
        <w:t>en que los </w:t>
      </w:r>
      <w:r>
        <w:rPr>
          <w:color w:val="231F20"/>
          <w:spacing w:val="-3"/>
          <w:w w:val="105"/>
        </w:rPr>
        <w:t>emplean, </w:t>
      </w:r>
      <w:r>
        <w:rPr>
          <w:color w:val="231F20"/>
          <w:w w:val="105"/>
        </w:rPr>
        <w:t>las </w:t>
      </w:r>
      <w:r>
        <w:rPr>
          <w:color w:val="231F20"/>
          <w:spacing w:val="-3"/>
          <w:w w:val="105"/>
        </w:rPr>
        <w:t>limitaciones </w:t>
      </w:r>
      <w:r>
        <w:rPr>
          <w:color w:val="231F20"/>
          <w:w w:val="105"/>
        </w:rPr>
        <w:t>que </w:t>
      </w:r>
      <w:r>
        <w:rPr>
          <w:color w:val="231F20"/>
          <w:spacing w:val="-3"/>
          <w:w w:val="105"/>
        </w:rPr>
        <w:t>afrontan </w:t>
      </w:r>
      <w:r>
        <w:rPr>
          <w:color w:val="231F20"/>
          <w:w w:val="105"/>
        </w:rPr>
        <w:t>en sus </w:t>
      </w:r>
      <w:r>
        <w:rPr>
          <w:color w:val="231F20"/>
          <w:spacing w:val="-3"/>
          <w:w w:val="105"/>
        </w:rPr>
        <w:t>locali- dades,</w:t>
      </w:r>
      <w:r>
        <w:rPr>
          <w:color w:val="231F20"/>
          <w:spacing w:val="-16"/>
          <w:w w:val="105"/>
        </w:rPr>
        <w:t> </w:t>
      </w:r>
      <w:r>
        <w:rPr>
          <w:color w:val="231F20"/>
          <w:spacing w:val="-3"/>
          <w:w w:val="105"/>
        </w:rPr>
        <w:t>entre</w:t>
      </w:r>
      <w:r>
        <w:rPr>
          <w:color w:val="231F20"/>
          <w:spacing w:val="-11"/>
          <w:w w:val="105"/>
        </w:rPr>
        <w:t> </w:t>
      </w:r>
      <w:r>
        <w:rPr>
          <w:color w:val="231F20"/>
          <w:spacing w:val="-3"/>
          <w:w w:val="105"/>
        </w:rPr>
        <w:t>otras.</w:t>
      </w:r>
      <w:r>
        <w:rPr>
          <w:color w:val="231F20"/>
          <w:spacing w:val="-20"/>
          <w:w w:val="105"/>
        </w:rPr>
        <w:t> </w:t>
      </w:r>
      <w:r>
        <w:rPr>
          <w:color w:val="231F20"/>
          <w:w w:val="105"/>
        </w:rPr>
        <w:t>A</w:t>
      </w:r>
      <w:r>
        <w:rPr>
          <w:color w:val="231F20"/>
          <w:spacing w:val="-14"/>
          <w:w w:val="105"/>
        </w:rPr>
        <w:t> </w:t>
      </w:r>
      <w:r>
        <w:rPr>
          <w:color w:val="231F20"/>
          <w:w w:val="105"/>
        </w:rPr>
        <w:t>su</w:t>
      </w:r>
      <w:r>
        <w:rPr>
          <w:color w:val="231F20"/>
          <w:spacing w:val="-11"/>
          <w:w w:val="105"/>
        </w:rPr>
        <w:t> </w:t>
      </w:r>
      <w:r>
        <w:rPr>
          <w:color w:val="231F20"/>
          <w:spacing w:val="-3"/>
          <w:w w:val="105"/>
        </w:rPr>
        <w:t>vez,</w:t>
      </w:r>
      <w:r>
        <w:rPr>
          <w:color w:val="231F20"/>
          <w:spacing w:val="-16"/>
          <w:w w:val="105"/>
        </w:rPr>
        <w:t> </w:t>
      </w:r>
      <w:r>
        <w:rPr>
          <w:color w:val="231F20"/>
          <w:w w:val="105"/>
        </w:rPr>
        <w:t>el</w:t>
      </w:r>
      <w:r>
        <w:rPr>
          <w:color w:val="231F20"/>
          <w:spacing w:val="-11"/>
          <w:w w:val="105"/>
        </w:rPr>
        <w:t> </w:t>
      </w:r>
      <w:r>
        <w:rPr>
          <w:color w:val="231F20"/>
          <w:spacing w:val="-3"/>
          <w:w w:val="105"/>
        </w:rPr>
        <w:t>enfoque</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spacing w:val="-3"/>
          <w:w w:val="105"/>
        </w:rPr>
        <w:t>modos</w:t>
      </w:r>
      <w:r>
        <w:rPr>
          <w:color w:val="231F20"/>
          <w:spacing w:val="-11"/>
          <w:w w:val="105"/>
        </w:rPr>
        <w:t> </w:t>
      </w:r>
      <w:r>
        <w:rPr>
          <w:color w:val="231F20"/>
          <w:w w:val="105"/>
        </w:rPr>
        <w:t>de</w:t>
      </w:r>
      <w:r>
        <w:rPr>
          <w:color w:val="231F20"/>
          <w:spacing w:val="-11"/>
          <w:w w:val="105"/>
        </w:rPr>
        <w:t> </w:t>
      </w:r>
      <w:r>
        <w:rPr>
          <w:color w:val="231F20"/>
          <w:spacing w:val="-3"/>
          <w:w w:val="105"/>
        </w:rPr>
        <w:t>vida</w:t>
      </w:r>
      <w:r>
        <w:rPr>
          <w:color w:val="231F20"/>
          <w:spacing w:val="-11"/>
          <w:w w:val="105"/>
        </w:rPr>
        <w:t> </w:t>
      </w:r>
      <w:r>
        <w:rPr>
          <w:color w:val="231F20"/>
          <w:spacing w:val="-3"/>
          <w:w w:val="105"/>
        </w:rPr>
        <w:t>sostenibles atiende</w:t>
      </w:r>
      <w:r>
        <w:rPr>
          <w:color w:val="231F20"/>
          <w:spacing w:val="-19"/>
          <w:w w:val="105"/>
        </w:rPr>
        <w:t> </w:t>
      </w:r>
      <w:r>
        <w:rPr>
          <w:color w:val="231F20"/>
          <w:w w:val="105"/>
        </w:rPr>
        <w:t>las</w:t>
      </w:r>
      <w:r>
        <w:rPr>
          <w:color w:val="231F20"/>
          <w:spacing w:val="-19"/>
          <w:w w:val="105"/>
        </w:rPr>
        <w:t> </w:t>
      </w:r>
      <w:r>
        <w:rPr>
          <w:color w:val="231F20"/>
          <w:spacing w:val="-3"/>
          <w:w w:val="105"/>
        </w:rPr>
        <w:t>demandas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actores</w:t>
      </w:r>
      <w:r>
        <w:rPr>
          <w:color w:val="231F20"/>
          <w:spacing w:val="-19"/>
          <w:w w:val="105"/>
        </w:rPr>
        <w:t> </w:t>
      </w:r>
      <w:r>
        <w:rPr>
          <w:color w:val="231F20"/>
          <w:spacing w:val="-3"/>
          <w:w w:val="105"/>
        </w:rPr>
        <w:t>sobre</w:t>
      </w:r>
      <w:r>
        <w:rPr>
          <w:color w:val="231F20"/>
          <w:spacing w:val="-19"/>
          <w:w w:val="105"/>
        </w:rPr>
        <w:t> </w:t>
      </w:r>
      <w:r>
        <w:rPr>
          <w:color w:val="231F20"/>
          <w:w w:val="105"/>
        </w:rPr>
        <w:t>los</w:t>
      </w:r>
      <w:r>
        <w:rPr>
          <w:color w:val="231F20"/>
          <w:spacing w:val="-19"/>
          <w:w w:val="105"/>
        </w:rPr>
        <w:t> </w:t>
      </w:r>
      <w:r>
        <w:rPr>
          <w:color w:val="231F20"/>
          <w:spacing w:val="-3"/>
          <w:w w:val="105"/>
        </w:rPr>
        <w:t>recursos</w:t>
      </w:r>
      <w:r>
        <w:rPr>
          <w:color w:val="231F20"/>
          <w:spacing w:val="-19"/>
          <w:w w:val="105"/>
        </w:rPr>
        <w:t> </w:t>
      </w:r>
      <w:r>
        <w:rPr>
          <w:color w:val="231F20"/>
          <w:w w:val="105"/>
        </w:rPr>
        <w:t>que</w:t>
      </w:r>
      <w:r>
        <w:rPr>
          <w:color w:val="231F20"/>
          <w:spacing w:val="-19"/>
          <w:w w:val="105"/>
        </w:rPr>
        <w:t> </w:t>
      </w:r>
      <w:r>
        <w:rPr>
          <w:color w:val="231F20"/>
          <w:spacing w:val="-3"/>
          <w:w w:val="105"/>
        </w:rPr>
        <w:t>tienen,</w:t>
      </w:r>
      <w:r>
        <w:rPr>
          <w:color w:val="231F20"/>
          <w:spacing w:val="-24"/>
          <w:w w:val="105"/>
        </w:rPr>
        <w:t> </w:t>
      </w:r>
      <w:r>
        <w:rPr>
          <w:color w:val="231F20"/>
          <w:w w:val="105"/>
        </w:rPr>
        <w:t>lo</w:t>
      </w:r>
      <w:r>
        <w:rPr>
          <w:color w:val="231F20"/>
          <w:spacing w:val="-19"/>
          <w:w w:val="105"/>
        </w:rPr>
        <w:t> </w:t>
      </w:r>
      <w:r>
        <w:rPr>
          <w:color w:val="231F20"/>
          <w:spacing w:val="-3"/>
          <w:w w:val="105"/>
        </w:rPr>
        <w:t>que hacen</w:t>
      </w:r>
      <w:r>
        <w:rPr>
          <w:color w:val="231F20"/>
          <w:spacing w:val="-30"/>
          <w:w w:val="105"/>
        </w:rPr>
        <w:t> </w:t>
      </w:r>
      <w:r>
        <w:rPr>
          <w:color w:val="231F20"/>
          <w:w w:val="105"/>
        </w:rPr>
        <w:t>con</w:t>
      </w:r>
      <w:r>
        <w:rPr>
          <w:color w:val="231F20"/>
          <w:spacing w:val="-30"/>
          <w:w w:val="105"/>
        </w:rPr>
        <w:t> </w:t>
      </w:r>
      <w:r>
        <w:rPr>
          <w:color w:val="231F20"/>
          <w:spacing w:val="-3"/>
          <w:w w:val="105"/>
        </w:rPr>
        <w:t>ellos</w:t>
      </w:r>
      <w:r>
        <w:rPr>
          <w:color w:val="231F20"/>
          <w:spacing w:val="-30"/>
          <w:w w:val="105"/>
        </w:rPr>
        <w:t> </w:t>
      </w:r>
      <w:r>
        <w:rPr>
          <w:color w:val="231F20"/>
          <w:w w:val="105"/>
        </w:rPr>
        <w:t>o</w:t>
      </w:r>
      <w:r>
        <w:rPr>
          <w:color w:val="231F20"/>
          <w:spacing w:val="-30"/>
          <w:w w:val="105"/>
        </w:rPr>
        <w:t> </w:t>
      </w:r>
      <w:r>
        <w:rPr>
          <w:color w:val="231F20"/>
          <w:w w:val="105"/>
        </w:rPr>
        <w:t>lo</w:t>
      </w:r>
      <w:r>
        <w:rPr>
          <w:color w:val="231F20"/>
          <w:spacing w:val="-30"/>
          <w:w w:val="105"/>
        </w:rPr>
        <w:t> </w:t>
      </w:r>
      <w:r>
        <w:rPr>
          <w:color w:val="231F20"/>
          <w:w w:val="105"/>
        </w:rPr>
        <w:t>que</w:t>
      </w:r>
      <w:r>
        <w:rPr>
          <w:color w:val="231F20"/>
          <w:spacing w:val="-30"/>
          <w:w w:val="105"/>
        </w:rPr>
        <w:t> </w:t>
      </w:r>
      <w:r>
        <w:rPr>
          <w:color w:val="231F20"/>
          <w:w w:val="105"/>
        </w:rPr>
        <w:t>les</w:t>
      </w:r>
      <w:r>
        <w:rPr>
          <w:color w:val="231F20"/>
          <w:spacing w:val="-30"/>
          <w:w w:val="105"/>
        </w:rPr>
        <w:t> </w:t>
      </w:r>
      <w:r>
        <w:rPr>
          <w:color w:val="231F20"/>
          <w:spacing w:val="-3"/>
          <w:w w:val="105"/>
        </w:rPr>
        <w:t>falta</w:t>
      </w:r>
      <w:r>
        <w:rPr>
          <w:color w:val="231F20"/>
          <w:spacing w:val="-30"/>
          <w:w w:val="105"/>
        </w:rPr>
        <w:t> </w:t>
      </w:r>
      <w:r>
        <w:rPr>
          <w:color w:val="231F20"/>
          <w:spacing w:val="-3"/>
          <w:w w:val="105"/>
        </w:rPr>
        <w:t>para</w:t>
      </w:r>
      <w:r>
        <w:rPr>
          <w:color w:val="231F20"/>
          <w:spacing w:val="-30"/>
          <w:w w:val="105"/>
        </w:rPr>
        <w:t> </w:t>
      </w:r>
      <w:r>
        <w:rPr>
          <w:color w:val="231F20"/>
          <w:spacing w:val="-3"/>
          <w:w w:val="105"/>
        </w:rPr>
        <w:t>llevar</w:t>
      </w:r>
      <w:r>
        <w:rPr>
          <w:color w:val="231F20"/>
          <w:spacing w:val="-30"/>
          <w:w w:val="105"/>
        </w:rPr>
        <w:t> </w:t>
      </w:r>
      <w:r>
        <w:rPr>
          <w:color w:val="231F20"/>
          <w:spacing w:val="-3"/>
          <w:w w:val="105"/>
        </w:rPr>
        <w:t>adelante</w:t>
      </w:r>
      <w:r>
        <w:rPr>
          <w:color w:val="231F20"/>
          <w:spacing w:val="-30"/>
          <w:w w:val="105"/>
        </w:rPr>
        <w:t> </w:t>
      </w:r>
      <w:r>
        <w:rPr>
          <w:color w:val="231F20"/>
          <w:w w:val="105"/>
        </w:rPr>
        <w:t>sus</w:t>
      </w:r>
      <w:r>
        <w:rPr>
          <w:color w:val="231F20"/>
          <w:spacing w:val="-30"/>
          <w:w w:val="105"/>
        </w:rPr>
        <w:t> </w:t>
      </w:r>
      <w:r>
        <w:rPr>
          <w:color w:val="231F20"/>
          <w:spacing w:val="-3"/>
          <w:w w:val="105"/>
        </w:rPr>
        <w:t>proyectos.</w:t>
      </w:r>
      <w:r>
        <w:rPr>
          <w:color w:val="231F20"/>
          <w:spacing w:val="-34"/>
          <w:w w:val="105"/>
        </w:rPr>
        <w:t> </w:t>
      </w:r>
      <w:r>
        <w:rPr>
          <w:color w:val="231F20"/>
          <w:w w:val="105"/>
        </w:rPr>
        <w:t>La</w:t>
      </w:r>
      <w:r>
        <w:rPr>
          <w:color w:val="231F20"/>
          <w:spacing w:val="-30"/>
          <w:w w:val="105"/>
        </w:rPr>
        <w:t> </w:t>
      </w:r>
      <w:r>
        <w:rPr>
          <w:color w:val="231F20"/>
          <w:spacing w:val="-3"/>
          <w:w w:val="105"/>
        </w:rPr>
        <w:t>idea </w:t>
      </w:r>
      <w:r>
        <w:rPr>
          <w:color w:val="231F20"/>
          <w:w w:val="105"/>
        </w:rPr>
        <w:t>es que los </w:t>
      </w:r>
      <w:r>
        <w:rPr>
          <w:color w:val="231F20"/>
          <w:spacing w:val="-3"/>
          <w:w w:val="105"/>
        </w:rPr>
        <w:t>hogares puedan construir </w:t>
      </w:r>
      <w:r>
        <w:rPr>
          <w:color w:val="231F20"/>
          <w:w w:val="105"/>
        </w:rPr>
        <w:t>un </w:t>
      </w:r>
      <w:r>
        <w:rPr>
          <w:color w:val="231F20"/>
          <w:spacing w:val="-3"/>
          <w:w w:val="105"/>
        </w:rPr>
        <w:t>modo </w:t>
      </w:r>
      <w:r>
        <w:rPr>
          <w:color w:val="231F20"/>
          <w:w w:val="105"/>
        </w:rPr>
        <w:t>de </w:t>
      </w:r>
      <w:r>
        <w:rPr>
          <w:color w:val="231F20"/>
          <w:spacing w:val="-3"/>
          <w:w w:val="105"/>
        </w:rPr>
        <w:t>vida sostenible </w:t>
      </w:r>
      <w:r>
        <w:rPr>
          <w:color w:val="231F20"/>
          <w:w w:val="105"/>
        </w:rPr>
        <w:t>que </w:t>
      </w:r>
      <w:r>
        <w:rPr>
          <w:color w:val="231F20"/>
          <w:spacing w:val="-3"/>
          <w:w w:val="105"/>
        </w:rPr>
        <w:t>les permita</w:t>
      </w:r>
      <w:r>
        <w:rPr>
          <w:color w:val="231F20"/>
          <w:spacing w:val="-12"/>
          <w:w w:val="105"/>
        </w:rPr>
        <w:t> </w:t>
      </w:r>
      <w:r>
        <w:rPr>
          <w:color w:val="231F20"/>
          <w:spacing w:val="-3"/>
          <w:w w:val="105"/>
        </w:rPr>
        <w:t>salir</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spacing w:val="-3"/>
          <w:w w:val="105"/>
        </w:rPr>
        <w:t>pobreza</w:t>
      </w:r>
      <w:r>
        <w:rPr>
          <w:color w:val="231F20"/>
          <w:spacing w:val="-12"/>
          <w:w w:val="105"/>
        </w:rPr>
        <w:t> </w:t>
      </w:r>
      <w:r>
        <w:rPr>
          <w:color w:val="231F20"/>
          <w:w w:val="105"/>
        </w:rPr>
        <w:t>y</w:t>
      </w:r>
      <w:r>
        <w:rPr>
          <w:color w:val="231F20"/>
          <w:spacing w:val="-12"/>
          <w:w w:val="105"/>
        </w:rPr>
        <w:t> </w:t>
      </w:r>
      <w:r>
        <w:rPr>
          <w:color w:val="231F20"/>
          <w:spacing w:val="-3"/>
          <w:w w:val="105"/>
        </w:rPr>
        <w:t>eliminar</w:t>
      </w:r>
      <w:r>
        <w:rPr>
          <w:color w:val="231F20"/>
          <w:spacing w:val="-12"/>
          <w:w w:val="105"/>
        </w:rPr>
        <w:t> </w:t>
      </w:r>
      <w:r>
        <w:rPr>
          <w:color w:val="231F20"/>
          <w:w w:val="105"/>
        </w:rPr>
        <w:t>la</w:t>
      </w:r>
      <w:r>
        <w:rPr>
          <w:color w:val="231F20"/>
          <w:spacing w:val="-12"/>
          <w:w w:val="105"/>
        </w:rPr>
        <w:t> </w:t>
      </w:r>
      <w:r>
        <w:rPr>
          <w:color w:val="231F20"/>
          <w:spacing w:val="-4"/>
          <w:w w:val="105"/>
        </w:rPr>
        <w:t>vulnerabilidad.</w:t>
      </w:r>
    </w:p>
    <w:p>
      <w:pPr>
        <w:pStyle w:val="BodyText"/>
        <w:spacing w:line="261" w:lineRule="auto" w:before="1"/>
        <w:ind w:left="1723" w:right="1828" w:firstLine="567"/>
        <w:jc w:val="both"/>
      </w:pPr>
      <w:r>
        <w:rPr>
          <w:color w:val="231F20"/>
        </w:rPr>
        <w:t>Dado que un modo de vida incluye las capacidades del hogar (materiales y sociales) y las actividades que se realizan para proveerse los medios de vida, cada componente resiente las condiciones positivas   o adversas (socioeconómicas,  políticas,  naturales)  de  manera  diferen- te según  la  época  del  año, estructura  interna  (mujeres, ancianos), tipo y calidad de sus activos, así como la forma en que pueden emplearlos productivamente (Scoones, 1998; Chambers y Conway, 1992). En este enfoque, los activos, tangibles e intangibles, incluyen cinco capitales: so- cial, humano, físico, financiero y natural. El modo de vida que pueden construir depende de cómo puedan emplear los activos que poseen, la calidad que tienen y la forma en que pueden acrecentarlos y mejorarlos. En este sentido, quien no posee activos, tiene activos de mala calidad o no puede emplearlos, tienen un modo de vida vulnerable al vaivén de la economía, las políticas e instituciones, las circunstancias naturales (clima, desastres) y los intereses de actores más poderosos. Es decir, los activos contribuyen a que los hogares puedan superar las limitaciones estruc- turales y salir del círculo de pobreza (</w:t>
      </w:r>
      <w:r>
        <w:rPr>
          <w:color w:val="231F20"/>
          <w:sz w:val="17"/>
        </w:rPr>
        <w:t>BM</w:t>
      </w:r>
      <w:r>
        <w:rPr>
          <w:color w:val="231F20"/>
        </w:rPr>
        <w:t>, 2001). De este modo, contar   con una base mínima de activos de calidad es una condición básica para poder construir modos de vida sostenibles. Esto se logra hasta que el hogar con su dotación de activos es capaz de hacer frente y recuperarse de crisis económicas, y al mismo tiempo mantener e incluso mejorarlos (Chambers y Conway, 1992:</w:t>
      </w:r>
      <w:r>
        <w:rPr>
          <w:color w:val="231F20"/>
          <w:spacing w:val="12"/>
        </w:rPr>
        <w:t> </w:t>
      </w:r>
      <w:r>
        <w:rPr>
          <w:color w:val="231F20"/>
        </w:rPr>
        <w:t>6).</w:t>
      </w:r>
    </w:p>
    <w:p>
      <w:pPr>
        <w:pStyle w:val="BodyText"/>
        <w:spacing w:line="261" w:lineRule="auto" w:before="1"/>
        <w:ind w:left="1724" w:right="1831" w:firstLine="567"/>
        <w:jc w:val="both"/>
      </w:pPr>
      <w:r>
        <w:rPr>
          <w:color w:val="231F20"/>
          <w:spacing w:val="-7"/>
          <w:w w:val="105"/>
        </w:rPr>
        <w:t>Pero</w:t>
      </w:r>
      <w:r>
        <w:rPr>
          <w:color w:val="231F20"/>
          <w:spacing w:val="-24"/>
          <w:w w:val="105"/>
        </w:rPr>
        <w:t> </w:t>
      </w:r>
      <w:r>
        <w:rPr>
          <w:color w:val="231F20"/>
          <w:spacing w:val="-3"/>
          <w:w w:val="105"/>
        </w:rPr>
        <w:t>cuando</w:t>
      </w:r>
      <w:r>
        <w:rPr>
          <w:color w:val="231F20"/>
          <w:spacing w:val="-24"/>
          <w:w w:val="105"/>
        </w:rPr>
        <w:t> </w:t>
      </w:r>
      <w:r>
        <w:rPr>
          <w:color w:val="231F20"/>
          <w:w w:val="105"/>
        </w:rPr>
        <w:t>las</w:t>
      </w:r>
      <w:r>
        <w:rPr>
          <w:color w:val="231F20"/>
          <w:spacing w:val="-24"/>
          <w:w w:val="105"/>
        </w:rPr>
        <w:t> </w:t>
      </w:r>
      <w:r>
        <w:rPr>
          <w:color w:val="231F20"/>
          <w:spacing w:val="-3"/>
          <w:w w:val="105"/>
        </w:rPr>
        <w:t>personas</w:t>
      </w:r>
      <w:r>
        <w:rPr>
          <w:color w:val="231F20"/>
          <w:spacing w:val="-24"/>
          <w:w w:val="105"/>
        </w:rPr>
        <w:t> </w:t>
      </w:r>
      <w:r>
        <w:rPr>
          <w:color w:val="231F20"/>
          <w:spacing w:val="-3"/>
          <w:w w:val="105"/>
        </w:rPr>
        <w:t>tienen</w:t>
      </w:r>
      <w:r>
        <w:rPr>
          <w:color w:val="231F20"/>
          <w:spacing w:val="-24"/>
          <w:w w:val="105"/>
        </w:rPr>
        <w:t> </w:t>
      </w:r>
      <w:r>
        <w:rPr>
          <w:color w:val="231F20"/>
          <w:spacing w:val="-3"/>
          <w:w w:val="105"/>
        </w:rPr>
        <w:t>activos</w:t>
      </w:r>
      <w:r>
        <w:rPr>
          <w:color w:val="231F20"/>
          <w:spacing w:val="-24"/>
          <w:w w:val="105"/>
        </w:rPr>
        <w:t> </w:t>
      </w:r>
      <w:r>
        <w:rPr>
          <w:color w:val="231F20"/>
          <w:w w:val="105"/>
        </w:rPr>
        <w:t>y</w:t>
      </w:r>
      <w:r>
        <w:rPr>
          <w:color w:val="231F20"/>
          <w:spacing w:val="-24"/>
          <w:w w:val="105"/>
        </w:rPr>
        <w:t> </w:t>
      </w:r>
      <w:r>
        <w:rPr>
          <w:color w:val="231F20"/>
          <w:w w:val="105"/>
        </w:rPr>
        <w:t>no</w:t>
      </w:r>
      <w:r>
        <w:rPr>
          <w:color w:val="231F20"/>
          <w:spacing w:val="-24"/>
          <w:w w:val="105"/>
        </w:rPr>
        <w:t> </w:t>
      </w:r>
      <w:r>
        <w:rPr>
          <w:color w:val="231F20"/>
          <w:spacing w:val="-3"/>
          <w:w w:val="105"/>
        </w:rPr>
        <w:t>pueden</w:t>
      </w:r>
      <w:r>
        <w:rPr>
          <w:color w:val="231F20"/>
          <w:spacing w:val="-24"/>
          <w:w w:val="105"/>
        </w:rPr>
        <w:t> </w:t>
      </w:r>
      <w:r>
        <w:rPr>
          <w:color w:val="231F20"/>
          <w:spacing w:val="-3"/>
          <w:w w:val="105"/>
        </w:rPr>
        <w:t>aplicarlos</w:t>
      </w:r>
      <w:r>
        <w:rPr>
          <w:color w:val="231F20"/>
          <w:spacing w:val="-24"/>
          <w:w w:val="105"/>
        </w:rPr>
        <w:t> </w:t>
      </w:r>
      <w:r>
        <w:rPr>
          <w:color w:val="231F20"/>
          <w:spacing w:val="-3"/>
          <w:w w:val="105"/>
        </w:rPr>
        <w:t>para generar</w:t>
      </w:r>
      <w:r>
        <w:rPr>
          <w:color w:val="231F20"/>
          <w:spacing w:val="-34"/>
          <w:w w:val="105"/>
        </w:rPr>
        <w:t> </w:t>
      </w:r>
      <w:r>
        <w:rPr>
          <w:color w:val="231F20"/>
          <w:spacing w:val="-3"/>
          <w:w w:val="105"/>
        </w:rPr>
        <w:t>ingresos,</w:t>
      </w:r>
      <w:r>
        <w:rPr>
          <w:color w:val="231F20"/>
          <w:spacing w:val="-39"/>
          <w:w w:val="105"/>
        </w:rPr>
        <w:t> </w:t>
      </w:r>
      <w:r>
        <w:rPr>
          <w:color w:val="231F20"/>
          <w:spacing w:val="-3"/>
          <w:w w:val="105"/>
        </w:rPr>
        <w:t>buscan</w:t>
      </w:r>
      <w:r>
        <w:rPr>
          <w:color w:val="231F20"/>
          <w:spacing w:val="-34"/>
          <w:w w:val="105"/>
        </w:rPr>
        <w:t> </w:t>
      </w:r>
      <w:r>
        <w:rPr>
          <w:color w:val="231F20"/>
          <w:spacing w:val="-3"/>
          <w:w w:val="105"/>
        </w:rPr>
        <w:t>emplearlos</w:t>
      </w:r>
      <w:r>
        <w:rPr>
          <w:color w:val="231F20"/>
          <w:spacing w:val="-34"/>
          <w:w w:val="105"/>
        </w:rPr>
        <w:t> </w:t>
      </w:r>
      <w:r>
        <w:rPr>
          <w:color w:val="231F20"/>
          <w:w w:val="105"/>
        </w:rPr>
        <w:t>en</w:t>
      </w:r>
      <w:r>
        <w:rPr>
          <w:color w:val="231F20"/>
          <w:spacing w:val="-34"/>
          <w:w w:val="105"/>
        </w:rPr>
        <w:t> </w:t>
      </w:r>
      <w:r>
        <w:rPr>
          <w:color w:val="231F20"/>
          <w:spacing w:val="-3"/>
          <w:w w:val="105"/>
        </w:rPr>
        <w:t>otros</w:t>
      </w:r>
      <w:r>
        <w:rPr>
          <w:color w:val="231F20"/>
          <w:spacing w:val="-34"/>
          <w:w w:val="105"/>
        </w:rPr>
        <w:t> </w:t>
      </w:r>
      <w:r>
        <w:rPr>
          <w:color w:val="231F20"/>
          <w:spacing w:val="-3"/>
          <w:w w:val="105"/>
        </w:rPr>
        <w:t>entornos</w:t>
      </w:r>
      <w:r>
        <w:rPr>
          <w:color w:val="231F20"/>
          <w:spacing w:val="-34"/>
          <w:w w:val="105"/>
        </w:rPr>
        <w:t> </w:t>
      </w:r>
      <w:r>
        <w:rPr>
          <w:color w:val="231F20"/>
          <w:w w:val="105"/>
        </w:rPr>
        <w:t>y</w:t>
      </w:r>
      <w:r>
        <w:rPr>
          <w:color w:val="231F20"/>
          <w:spacing w:val="-34"/>
          <w:w w:val="105"/>
        </w:rPr>
        <w:t> </w:t>
      </w:r>
      <w:r>
        <w:rPr>
          <w:color w:val="231F20"/>
          <w:spacing w:val="-3"/>
          <w:w w:val="105"/>
        </w:rPr>
        <w:t>mejorar</w:t>
      </w:r>
      <w:r>
        <w:rPr>
          <w:color w:val="231F20"/>
          <w:spacing w:val="-34"/>
          <w:w w:val="105"/>
        </w:rPr>
        <w:t> </w:t>
      </w:r>
      <w:r>
        <w:rPr>
          <w:color w:val="231F20"/>
          <w:w w:val="105"/>
        </w:rPr>
        <w:t>sus</w:t>
      </w:r>
      <w:r>
        <w:rPr>
          <w:color w:val="231F20"/>
          <w:spacing w:val="-34"/>
          <w:w w:val="105"/>
        </w:rPr>
        <w:t> </w:t>
      </w:r>
      <w:r>
        <w:rPr>
          <w:color w:val="231F20"/>
          <w:spacing w:val="-3"/>
          <w:w w:val="105"/>
        </w:rPr>
        <w:t>vidas, ingresan</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spacing w:val="-3"/>
          <w:w w:val="105"/>
        </w:rPr>
        <w:t>migración</w:t>
      </w:r>
      <w:r>
        <w:rPr>
          <w:color w:val="231F20"/>
          <w:spacing w:val="-22"/>
          <w:w w:val="105"/>
        </w:rPr>
        <w:t> </w:t>
      </w:r>
      <w:r>
        <w:rPr>
          <w:color w:val="231F20"/>
          <w:spacing w:val="-3"/>
          <w:w w:val="105"/>
        </w:rPr>
        <w:t>internacional</w:t>
      </w:r>
      <w:r>
        <w:rPr>
          <w:color w:val="231F20"/>
          <w:spacing w:val="-22"/>
          <w:w w:val="105"/>
        </w:rPr>
        <w:t> </w:t>
      </w:r>
      <w:r>
        <w:rPr>
          <w:color w:val="231F20"/>
          <w:spacing w:val="-3"/>
          <w:w w:val="105"/>
        </w:rPr>
        <w:t>aunque</w:t>
      </w:r>
      <w:r>
        <w:rPr>
          <w:color w:val="231F20"/>
          <w:spacing w:val="-22"/>
          <w:w w:val="105"/>
        </w:rPr>
        <w:t> </w:t>
      </w:r>
      <w:r>
        <w:rPr>
          <w:color w:val="231F20"/>
          <w:spacing w:val="-3"/>
          <w:w w:val="105"/>
        </w:rPr>
        <w:t>tengan</w:t>
      </w:r>
      <w:r>
        <w:rPr>
          <w:color w:val="231F20"/>
          <w:spacing w:val="-22"/>
          <w:w w:val="105"/>
        </w:rPr>
        <w:t> </w:t>
      </w:r>
      <w:r>
        <w:rPr>
          <w:color w:val="231F20"/>
          <w:w w:val="105"/>
        </w:rPr>
        <w:t>que</w:t>
      </w:r>
      <w:r>
        <w:rPr>
          <w:color w:val="231F20"/>
          <w:spacing w:val="-22"/>
          <w:w w:val="105"/>
        </w:rPr>
        <w:t> </w:t>
      </w:r>
      <w:r>
        <w:rPr>
          <w:color w:val="231F20"/>
          <w:spacing w:val="-3"/>
          <w:w w:val="105"/>
        </w:rPr>
        <w:t>afrontar</w:t>
      </w:r>
      <w:r>
        <w:rPr>
          <w:color w:val="231F20"/>
          <w:spacing w:val="-22"/>
          <w:w w:val="105"/>
        </w:rPr>
        <w:t> </w:t>
      </w:r>
      <w:r>
        <w:rPr>
          <w:color w:val="231F20"/>
          <w:spacing w:val="-3"/>
          <w:w w:val="105"/>
        </w:rPr>
        <w:t>diversos problemas. </w:t>
      </w:r>
      <w:r>
        <w:rPr>
          <w:color w:val="231F20"/>
          <w:spacing w:val="-5"/>
          <w:w w:val="105"/>
        </w:rPr>
        <w:t>Puede </w:t>
      </w:r>
      <w:r>
        <w:rPr>
          <w:color w:val="231F20"/>
          <w:spacing w:val="-3"/>
          <w:w w:val="105"/>
        </w:rPr>
        <w:t>decirse </w:t>
      </w:r>
      <w:r>
        <w:rPr>
          <w:color w:val="231F20"/>
          <w:w w:val="105"/>
        </w:rPr>
        <w:t>que las </w:t>
      </w:r>
      <w:r>
        <w:rPr>
          <w:color w:val="231F20"/>
          <w:spacing w:val="-3"/>
          <w:w w:val="105"/>
        </w:rPr>
        <w:t>mismas adversidades (cruce indocu- mentado,</w:t>
      </w:r>
      <w:r>
        <w:rPr>
          <w:color w:val="231F20"/>
          <w:spacing w:val="-20"/>
          <w:w w:val="105"/>
        </w:rPr>
        <w:t> </w:t>
      </w:r>
      <w:r>
        <w:rPr>
          <w:color w:val="231F20"/>
          <w:spacing w:val="-3"/>
          <w:w w:val="105"/>
        </w:rPr>
        <w:t>vivir</w:t>
      </w:r>
      <w:r>
        <w:rPr>
          <w:color w:val="231F20"/>
          <w:spacing w:val="-14"/>
          <w:w w:val="105"/>
        </w:rPr>
        <w:t> </w:t>
      </w:r>
      <w:r>
        <w:rPr>
          <w:color w:val="231F20"/>
          <w:w w:val="105"/>
        </w:rPr>
        <w:t>en</w:t>
      </w:r>
      <w:r>
        <w:rPr>
          <w:color w:val="231F20"/>
          <w:spacing w:val="-14"/>
          <w:w w:val="105"/>
        </w:rPr>
        <w:t> </w:t>
      </w:r>
      <w:r>
        <w:rPr>
          <w:color w:val="231F20"/>
          <w:spacing w:val="-3"/>
          <w:w w:val="105"/>
        </w:rPr>
        <w:t>entornos</w:t>
      </w:r>
      <w:r>
        <w:rPr>
          <w:color w:val="231F20"/>
          <w:spacing w:val="-14"/>
          <w:w w:val="105"/>
        </w:rPr>
        <w:t> </w:t>
      </w:r>
      <w:r>
        <w:rPr>
          <w:color w:val="231F20"/>
          <w:spacing w:val="-3"/>
          <w:w w:val="105"/>
        </w:rPr>
        <w:t>antiinmigrantes,</w:t>
      </w:r>
      <w:r>
        <w:rPr>
          <w:color w:val="231F20"/>
          <w:spacing w:val="-20"/>
          <w:w w:val="105"/>
        </w:rPr>
        <w:t> </w:t>
      </w:r>
      <w:r>
        <w:rPr>
          <w:color w:val="231F20"/>
          <w:spacing w:val="-3"/>
          <w:w w:val="105"/>
        </w:rPr>
        <w:t>escapar</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migra,</w:t>
      </w:r>
      <w:r>
        <w:rPr>
          <w:color w:val="231F20"/>
          <w:spacing w:val="-20"/>
          <w:w w:val="105"/>
        </w:rPr>
        <w:t> </w:t>
      </w:r>
      <w:r>
        <w:rPr>
          <w:color w:val="231F20"/>
          <w:spacing w:val="-3"/>
          <w:w w:val="105"/>
        </w:rPr>
        <w:t>hacer</w:t>
      </w:r>
      <w:r>
        <w:rPr>
          <w:color w:val="231F20"/>
          <w:spacing w:val="-14"/>
          <w:w w:val="105"/>
        </w:rPr>
        <w:t> </w:t>
      </w:r>
      <w:r>
        <w:rPr>
          <w:color w:val="231F20"/>
          <w:spacing w:val="-3"/>
          <w:w w:val="105"/>
        </w:rPr>
        <w:t>re- </w:t>
      </w:r>
      <w:r>
        <w:rPr>
          <w:color w:val="231F20"/>
          <w:w w:val="105"/>
        </w:rPr>
        <w:t>des</w:t>
      </w:r>
      <w:r>
        <w:rPr>
          <w:color w:val="231F20"/>
          <w:spacing w:val="-23"/>
          <w:w w:val="105"/>
        </w:rPr>
        <w:t> </w:t>
      </w:r>
      <w:r>
        <w:rPr>
          <w:color w:val="231F20"/>
          <w:spacing w:val="-3"/>
          <w:w w:val="105"/>
        </w:rPr>
        <w:t>sociales,</w:t>
      </w:r>
      <w:r>
        <w:rPr>
          <w:color w:val="231F20"/>
          <w:spacing w:val="-28"/>
          <w:w w:val="105"/>
        </w:rPr>
        <w:t> </w:t>
      </w:r>
      <w:r>
        <w:rPr>
          <w:color w:val="231F20"/>
          <w:spacing w:val="-3"/>
          <w:w w:val="105"/>
        </w:rPr>
        <w:t>aprender</w:t>
      </w:r>
      <w:r>
        <w:rPr>
          <w:color w:val="231F20"/>
          <w:spacing w:val="-23"/>
          <w:w w:val="105"/>
        </w:rPr>
        <w:t> </w:t>
      </w:r>
      <w:r>
        <w:rPr>
          <w:color w:val="231F20"/>
          <w:w w:val="105"/>
        </w:rPr>
        <w:t>el</w:t>
      </w:r>
      <w:r>
        <w:rPr>
          <w:color w:val="231F20"/>
          <w:spacing w:val="-23"/>
          <w:w w:val="105"/>
        </w:rPr>
        <w:t> </w:t>
      </w:r>
      <w:r>
        <w:rPr>
          <w:color w:val="231F20"/>
          <w:spacing w:val="-3"/>
          <w:w w:val="105"/>
        </w:rPr>
        <w:t>idioma)</w:t>
      </w:r>
      <w:r>
        <w:rPr>
          <w:color w:val="231F20"/>
          <w:spacing w:val="-23"/>
          <w:w w:val="105"/>
        </w:rPr>
        <w:t> </w:t>
      </w:r>
      <w:r>
        <w:rPr>
          <w:color w:val="231F20"/>
          <w:w w:val="105"/>
        </w:rPr>
        <w:t>son</w:t>
      </w:r>
      <w:r>
        <w:rPr>
          <w:color w:val="231F20"/>
          <w:spacing w:val="-23"/>
          <w:w w:val="105"/>
        </w:rPr>
        <w:t> </w:t>
      </w:r>
      <w:r>
        <w:rPr>
          <w:color w:val="231F20"/>
          <w:spacing w:val="-3"/>
          <w:w w:val="105"/>
        </w:rPr>
        <w:t>fuente</w:t>
      </w:r>
      <w:r>
        <w:rPr>
          <w:color w:val="231F20"/>
          <w:spacing w:val="-23"/>
          <w:w w:val="105"/>
        </w:rPr>
        <w:t> </w:t>
      </w:r>
      <w:r>
        <w:rPr>
          <w:color w:val="231F20"/>
          <w:w w:val="105"/>
        </w:rPr>
        <w:t>de</w:t>
      </w:r>
      <w:r>
        <w:rPr>
          <w:color w:val="231F20"/>
          <w:spacing w:val="-23"/>
          <w:w w:val="105"/>
        </w:rPr>
        <w:t> </w:t>
      </w:r>
      <w:r>
        <w:rPr>
          <w:color w:val="231F20"/>
          <w:spacing w:val="-3"/>
          <w:w w:val="105"/>
        </w:rPr>
        <w:t>actitudes</w:t>
      </w:r>
      <w:r>
        <w:rPr>
          <w:color w:val="231F20"/>
          <w:spacing w:val="-23"/>
          <w:w w:val="105"/>
        </w:rPr>
        <w:t> </w:t>
      </w:r>
      <w:r>
        <w:rPr>
          <w:color w:val="231F20"/>
          <w:w w:val="105"/>
        </w:rPr>
        <w:t>y</w:t>
      </w:r>
      <w:r>
        <w:rPr>
          <w:color w:val="231F20"/>
          <w:spacing w:val="-23"/>
          <w:w w:val="105"/>
        </w:rPr>
        <w:t> </w:t>
      </w:r>
      <w:r>
        <w:rPr>
          <w:color w:val="231F20"/>
          <w:spacing w:val="-3"/>
          <w:w w:val="105"/>
        </w:rPr>
        <w:t>conocimientos, porque</w:t>
      </w:r>
      <w:r>
        <w:rPr>
          <w:color w:val="231F20"/>
          <w:spacing w:val="-11"/>
          <w:w w:val="105"/>
        </w:rPr>
        <w:t> </w:t>
      </w:r>
      <w:r>
        <w:rPr>
          <w:color w:val="231F20"/>
          <w:w w:val="105"/>
        </w:rPr>
        <w:t>los</w:t>
      </w:r>
      <w:r>
        <w:rPr>
          <w:color w:val="231F20"/>
          <w:spacing w:val="-11"/>
          <w:w w:val="105"/>
        </w:rPr>
        <w:t> </w:t>
      </w:r>
      <w:r>
        <w:rPr>
          <w:color w:val="231F20"/>
          <w:spacing w:val="-3"/>
          <w:w w:val="105"/>
        </w:rPr>
        <w:t>migrantes</w:t>
      </w:r>
      <w:r>
        <w:rPr>
          <w:color w:val="231F20"/>
          <w:spacing w:val="-11"/>
          <w:w w:val="105"/>
        </w:rPr>
        <w:t> </w:t>
      </w:r>
      <w:r>
        <w:rPr>
          <w:color w:val="231F20"/>
          <w:spacing w:val="-3"/>
          <w:w w:val="105"/>
        </w:rPr>
        <w:t>poseen</w:t>
      </w:r>
      <w:r>
        <w:rPr>
          <w:color w:val="231F20"/>
          <w:spacing w:val="-11"/>
          <w:w w:val="105"/>
        </w:rPr>
        <w:t> </w:t>
      </w:r>
      <w:r>
        <w:rPr>
          <w:color w:val="231F20"/>
          <w:spacing w:val="-3"/>
          <w:w w:val="105"/>
        </w:rPr>
        <w:t>capacidades</w:t>
      </w:r>
      <w:r>
        <w:rPr>
          <w:color w:val="231F20"/>
          <w:spacing w:val="-11"/>
          <w:w w:val="105"/>
        </w:rPr>
        <w:t> </w:t>
      </w:r>
      <w:r>
        <w:rPr>
          <w:color w:val="231F20"/>
          <w:spacing w:val="-3"/>
          <w:w w:val="105"/>
        </w:rPr>
        <w:t>desde</w:t>
      </w:r>
      <w:r>
        <w:rPr>
          <w:color w:val="231F20"/>
          <w:spacing w:val="-11"/>
          <w:w w:val="105"/>
        </w:rPr>
        <w:t> </w:t>
      </w:r>
      <w:r>
        <w:rPr>
          <w:color w:val="231F20"/>
          <w:spacing w:val="-3"/>
          <w:w w:val="105"/>
        </w:rPr>
        <w:t>antes</w:t>
      </w:r>
      <w:r>
        <w:rPr>
          <w:color w:val="231F20"/>
          <w:spacing w:val="-11"/>
          <w:w w:val="105"/>
        </w:rPr>
        <w:t> </w:t>
      </w:r>
      <w:r>
        <w:rPr>
          <w:color w:val="231F20"/>
          <w:w w:val="105"/>
        </w:rPr>
        <w:t>de</w:t>
      </w:r>
      <w:r>
        <w:rPr>
          <w:color w:val="231F20"/>
          <w:spacing w:val="-11"/>
          <w:w w:val="105"/>
        </w:rPr>
        <w:t> </w:t>
      </w:r>
      <w:r>
        <w:rPr>
          <w:color w:val="231F20"/>
          <w:spacing w:val="-5"/>
          <w:w w:val="105"/>
        </w:rPr>
        <w:t>emigrar,</w:t>
      </w:r>
      <w:r>
        <w:rPr>
          <w:color w:val="231F20"/>
          <w:spacing w:val="-16"/>
          <w:w w:val="105"/>
        </w:rPr>
        <w:t> </w:t>
      </w:r>
      <w:r>
        <w:rPr>
          <w:color w:val="231F20"/>
          <w:spacing w:val="-3"/>
          <w:w w:val="105"/>
        </w:rPr>
        <w:t>inclu- </w:t>
      </w:r>
      <w:r>
        <w:rPr>
          <w:color w:val="231F20"/>
          <w:w w:val="105"/>
        </w:rPr>
        <w:t>so</w:t>
      </w:r>
      <w:r>
        <w:rPr>
          <w:color w:val="231F20"/>
          <w:spacing w:val="-15"/>
          <w:w w:val="105"/>
        </w:rPr>
        <w:t> </w:t>
      </w:r>
      <w:r>
        <w:rPr>
          <w:color w:val="231F20"/>
          <w:w w:val="105"/>
        </w:rPr>
        <w:t>de</w:t>
      </w:r>
      <w:r>
        <w:rPr>
          <w:color w:val="231F20"/>
          <w:spacing w:val="-15"/>
          <w:w w:val="105"/>
        </w:rPr>
        <w:t> </w:t>
      </w:r>
      <w:r>
        <w:rPr>
          <w:color w:val="231F20"/>
          <w:spacing w:val="-3"/>
          <w:w w:val="105"/>
        </w:rPr>
        <w:t>mejor</w:t>
      </w:r>
      <w:r>
        <w:rPr>
          <w:color w:val="231F20"/>
          <w:spacing w:val="-15"/>
          <w:w w:val="105"/>
        </w:rPr>
        <w:t> </w:t>
      </w:r>
      <w:r>
        <w:rPr>
          <w:color w:val="231F20"/>
          <w:spacing w:val="-3"/>
          <w:w w:val="105"/>
        </w:rPr>
        <w:t>calidad</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no</w:t>
      </w:r>
      <w:r>
        <w:rPr>
          <w:color w:val="231F20"/>
          <w:spacing w:val="-15"/>
          <w:w w:val="105"/>
        </w:rPr>
        <w:t> </w:t>
      </w:r>
      <w:r>
        <w:rPr>
          <w:color w:val="231F20"/>
          <w:spacing w:val="-3"/>
          <w:w w:val="105"/>
        </w:rPr>
        <w:t>migrantes,</w:t>
      </w:r>
      <w:r>
        <w:rPr>
          <w:color w:val="231F20"/>
          <w:spacing w:val="-22"/>
          <w:w w:val="105"/>
        </w:rPr>
        <w:t> </w:t>
      </w:r>
      <w:r>
        <w:rPr>
          <w:color w:val="231F20"/>
          <w:spacing w:val="-3"/>
          <w:w w:val="105"/>
        </w:rPr>
        <w:t>cuando</w:t>
      </w:r>
      <w:r>
        <w:rPr>
          <w:color w:val="231F20"/>
          <w:spacing w:val="-15"/>
          <w:w w:val="105"/>
        </w:rPr>
        <w:t> </w:t>
      </w:r>
      <w:r>
        <w:rPr>
          <w:color w:val="231F20"/>
          <w:spacing w:val="-3"/>
          <w:w w:val="105"/>
        </w:rPr>
        <w:t>éstas</w:t>
      </w:r>
      <w:r>
        <w:rPr>
          <w:color w:val="231F20"/>
          <w:spacing w:val="-15"/>
          <w:w w:val="105"/>
        </w:rPr>
        <w:t> </w:t>
      </w:r>
      <w:r>
        <w:rPr>
          <w:color w:val="231F20"/>
          <w:spacing w:val="-3"/>
          <w:w w:val="105"/>
        </w:rPr>
        <w:t>entran</w:t>
      </w:r>
      <w:r>
        <w:rPr>
          <w:color w:val="231F20"/>
          <w:spacing w:val="-16"/>
          <w:w w:val="105"/>
        </w:rPr>
        <w:t> </w:t>
      </w:r>
      <w:r>
        <w:rPr>
          <w:color w:val="231F20"/>
          <w:w w:val="105"/>
        </w:rPr>
        <w:t>en</w:t>
      </w:r>
      <w:r>
        <w:rPr>
          <w:color w:val="231F20"/>
          <w:spacing w:val="-15"/>
          <w:w w:val="105"/>
        </w:rPr>
        <w:t> </w:t>
      </w:r>
      <w:r>
        <w:rPr>
          <w:color w:val="231F20"/>
          <w:spacing w:val="-3"/>
          <w:w w:val="105"/>
        </w:rPr>
        <w:t>contac- </w:t>
      </w:r>
      <w:r>
        <w:rPr>
          <w:color w:val="231F20"/>
          <w:w w:val="105"/>
        </w:rPr>
        <w:t>to</w:t>
      </w:r>
      <w:r>
        <w:rPr>
          <w:color w:val="231F20"/>
          <w:spacing w:val="-10"/>
          <w:w w:val="105"/>
        </w:rPr>
        <w:t> </w:t>
      </w:r>
      <w:r>
        <w:rPr>
          <w:color w:val="231F20"/>
          <w:w w:val="105"/>
        </w:rPr>
        <w:t>con</w:t>
      </w:r>
      <w:r>
        <w:rPr>
          <w:color w:val="231F20"/>
          <w:spacing w:val="-10"/>
          <w:w w:val="105"/>
        </w:rPr>
        <w:t> </w:t>
      </w:r>
      <w:r>
        <w:rPr>
          <w:color w:val="231F20"/>
          <w:spacing w:val="-3"/>
          <w:w w:val="105"/>
        </w:rPr>
        <w:t>nuevas</w:t>
      </w:r>
      <w:r>
        <w:rPr>
          <w:color w:val="231F20"/>
          <w:spacing w:val="-10"/>
          <w:w w:val="105"/>
        </w:rPr>
        <w:t> </w:t>
      </w:r>
      <w:r>
        <w:rPr>
          <w:color w:val="231F20"/>
          <w:spacing w:val="-3"/>
          <w:w w:val="105"/>
        </w:rPr>
        <w:t>experiencias</w:t>
      </w:r>
      <w:r>
        <w:rPr>
          <w:color w:val="231F20"/>
          <w:spacing w:val="-10"/>
          <w:w w:val="105"/>
        </w:rPr>
        <w:t> </w:t>
      </w:r>
      <w:r>
        <w:rPr>
          <w:color w:val="231F20"/>
          <w:w w:val="105"/>
        </w:rPr>
        <w:t>dan</w:t>
      </w:r>
      <w:r>
        <w:rPr>
          <w:color w:val="231F20"/>
          <w:spacing w:val="-10"/>
          <w:w w:val="105"/>
        </w:rPr>
        <w:t> </w:t>
      </w:r>
      <w:r>
        <w:rPr>
          <w:color w:val="231F20"/>
          <w:spacing w:val="-3"/>
          <w:w w:val="105"/>
        </w:rPr>
        <w:t>lugar</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spacing w:val="-3"/>
          <w:w w:val="105"/>
        </w:rPr>
        <w:t>formación</w:t>
      </w:r>
      <w:r>
        <w:rPr>
          <w:color w:val="231F20"/>
          <w:spacing w:val="-10"/>
          <w:w w:val="105"/>
        </w:rPr>
        <w:t> </w:t>
      </w:r>
      <w:r>
        <w:rPr>
          <w:color w:val="231F20"/>
          <w:w w:val="105"/>
        </w:rPr>
        <w:t>de</w:t>
      </w:r>
      <w:r>
        <w:rPr>
          <w:color w:val="231F20"/>
          <w:spacing w:val="-10"/>
          <w:w w:val="105"/>
        </w:rPr>
        <w:t> </w:t>
      </w:r>
      <w:r>
        <w:rPr>
          <w:color w:val="231F20"/>
          <w:spacing w:val="-3"/>
          <w:w w:val="105"/>
        </w:rPr>
        <w:t>otras</w:t>
      </w:r>
      <w:r>
        <w:rPr>
          <w:color w:val="231F20"/>
          <w:spacing w:val="-10"/>
          <w:w w:val="105"/>
        </w:rPr>
        <w:t> </w:t>
      </w:r>
      <w:r>
        <w:rPr>
          <w:color w:val="231F20"/>
          <w:spacing w:val="-3"/>
          <w:w w:val="105"/>
        </w:rPr>
        <w:t>habilidades</w:t>
      </w:r>
    </w:p>
    <w:p>
      <w:pPr>
        <w:pStyle w:val="BodyText"/>
        <w:rPr>
          <w:sz w:val="20"/>
        </w:rPr>
      </w:pPr>
    </w:p>
    <w:p>
      <w:pPr>
        <w:pStyle w:val="BodyText"/>
        <w:rPr>
          <w:sz w:val="20"/>
        </w:rPr>
      </w:pPr>
    </w:p>
    <w:p>
      <w:pPr>
        <w:pStyle w:val="BodyText"/>
        <w:spacing w:before="11"/>
        <w:rPr>
          <w:sz w:val="25"/>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61392" from="131.551193pt,3.703715pt" to="131.551193pt,39.506114pt" stroked="true" strokeweight=".35pt" strokecolor="#231f20">
            <w10:wrap type="none"/>
          </v:line>
        </w:pict>
      </w:r>
      <w:r>
        <w:rPr/>
        <w:pict>
          <v:line style="position:absolute;mso-position-horizontal-relative:page;mso-position-vertical-relative:paragraph;z-index:-461320" from="15pt,39.505917pt" to="0pt,39.505917pt" stroked="true" strokeweight=".25pt" strokecolor="#000000">
            <w10:wrap type="none"/>
          </v:line>
        </w:pict>
      </w:r>
      <w:r>
        <w:rPr/>
        <w:pict>
          <v:line style="position:absolute;mso-position-horizontal-relative:page;mso-position-vertical-relative:paragraph;z-index:28888" from="508.890015pt,39.505917pt" to="523.890015pt,39.505917pt" stroked="true" strokeweight=".25pt" strokecolor="#000000">
            <w10:wrap type="none"/>
          </v:line>
        </w:pict>
      </w:r>
      <w:r>
        <w:rPr>
          <w:rFonts w:ascii="Arial"/>
          <w:color w:val="414042"/>
          <w:w w:val="105"/>
          <w:position w:val="-5"/>
          <w:sz w:val="20"/>
        </w:rPr>
        <w:t>236</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61176" from="15pt,715.487793pt" to="0pt,715.487793pt" stroked="true" strokeweight=".25pt" strokecolor="#000000">
            <w10:wrap type="none"/>
          </v:line>
        </w:pict>
      </w:r>
      <w:r>
        <w:rPr/>
        <w:pict>
          <v:line style="position:absolute;mso-position-horizontal-relative:page;mso-position-vertical-relative:page;z-index:29032"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61248" from="405.061005pt,-18.554295pt" to="405.061005pt,16.311579pt" stroked="true" strokeweight=".35pt" strokecolor="#231f20">
            <w10:wrap type="none"/>
          </v:line>
        </w:pict>
      </w:r>
      <w:r>
        <w:rPr/>
        <w:pict>
          <v:line style="position:absolute;mso-position-horizontal-relative:page;mso-position-vertical-relative:paragraph;z-index:28960" from="15pt,-18.554522pt" to="0pt,-18.554522pt" stroked="true" strokeweight=".25pt" strokecolor="#000000">
            <w10:wrap type="none"/>
          </v:line>
        </w:pict>
      </w:r>
      <w:r>
        <w:rPr/>
        <w:pict>
          <v:line style="position:absolute;mso-position-horizontal-relative:page;mso-position-vertical-relative:paragraph;z-index:28984"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237</w:t>
      </w:r>
    </w:p>
    <w:p>
      <w:pPr>
        <w:pStyle w:val="BodyText"/>
        <w:rPr>
          <w:rFonts w:ascii="Arial"/>
          <w:sz w:val="20"/>
        </w:rPr>
      </w:pPr>
    </w:p>
    <w:p>
      <w:pPr>
        <w:pStyle w:val="BodyText"/>
        <w:rPr>
          <w:rFonts w:ascii="Arial"/>
          <w:sz w:val="20"/>
        </w:rPr>
      </w:pPr>
    </w:p>
    <w:p>
      <w:pPr>
        <w:pStyle w:val="BodyText"/>
        <w:spacing w:line="261" w:lineRule="auto" w:before="176"/>
        <w:ind w:left="1837" w:right="1724"/>
        <w:jc w:val="both"/>
      </w:pPr>
      <w:r>
        <w:rPr>
          <w:color w:val="231F20"/>
          <w:spacing w:val="-3"/>
          <w:w w:val="105"/>
        </w:rPr>
        <w:t>(Monereo </w:t>
      </w:r>
      <w:r>
        <w:rPr>
          <w:rFonts w:ascii="Arial"/>
          <w:i/>
          <w:color w:val="231F20"/>
          <w:w w:val="105"/>
        </w:rPr>
        <w:t>et </w:t>
      </w:r>
      <w:r>
        <w:rPr>
          <w:rFonts w:ascii="Arial"/>
          <w:i/>
          <w:color w:val="231F20"/>
          <w:spacing w:val="-3"/>
          <w:w w:val="105"/>
        </w:rPr>
        <w:t>al., </w:t>
      </w:r>
      <w:r>
        <w:rPr>
          <w:color w:val="231F20"/>
          <w:spacing w:val="-3"/>
          <w:w w:val="105"/>
        </w:rPr>
        <w:t>1999); </w:t>
      </w:r>
      <w:r>
        <w:rPr>
          <w:color w:val="231F20"/>
          <w:w w:val="105"/>
        </w:rPr>
        <w:t>es </w:t>
      </w:r>
      <w:r>
        <w:rPr>
          <w:color w:val="231F20"/>
          <w:spacing w:val="-3"/>
          <w:w w:val="105"/>
        </w:rPr>
        <w:t>posible </w:t>
      </w:r>
      <w:r>
        <w:rPr>
          <w:color w:val="231F20"/>
          <w:w w:val="105"/>
        </w:rPr>
        <w:t>que los </w:t>
      </w:r>
      <w:r>
        <w:rPr>
          <w:color w:val="231F20"/>
          <w:spacing w:val="-3"/>
          <w:w w:val="105"/>
        </w:rPr>
        <w:t>problemas </w:t>
      </w:r>
      <w:r>
        <w:rPr>
          <w:color w:val="231F20"/>
          <w:w w:val="105"/>
        </w:rPr>
        <w:t>que </w:t>
      </w:r>
      <w:r>
        <w:rPr>
          <w:color w:val="231F20"/>
          <w:spacing w:val="-3"/>
          <w:w w:val="105"/>
        </w:rPr>
        <w:t>enfrentan los migrantes </w:t>
      </w:r>
      <w:r>
        <w:rPr>
          <w:color w:val="231F20"/>
          <w:w w:val="105"/>
        </w:rPr>
        <w:t>en su </w:t>
      </w:r>
      <w:r>
        <w:rPr>
          <w:color w:val="231F20"/>
          <w:spacing w:val="-3"/>
          <w:w w:val="105"/>
        </w:rPr>
        <w:t>proceso </w:t>
      </w:r>
      <w:r>
        <w:rPr>
          <w:color w:val="231F20"/>
          <w:spacing w:val="-4"/>
          <w:w w:val="105"/>
        </w:rPr>
        <w:t>migratorio </w:t>
      </w:r>
      <w:r>
        <w:rPr>
          <w:color w:val="231F20"/>
          <w:spacing w:val="-3"/>
          <w:w w:val="105"/>
        </w:rPr>
        <w:t>favorezcan nuevos acomodamientos personales </w:t>
      </w:r>
      <w:r>
        <w:rPr>
          <w:color w:val="231F20"/>
          <w:w w:val="105"/>
        </w:rPr>
        <w:t>y el </w:t>
      </w:r>
      <w:r>
        <w:rPr>
          <w:color w:val="231F20"/>
          <w:spacing w:val="-3"/>
          <w:w w:val="105"/>
        </w:rPr>
        <w:t>aprendizaje </w:t>
      </w:r>
      <w:r>
        <w:rPr>
          <w:color w:val="231F20"/>
          <w:w w:val="105"/>
        </w:rPr>
        <w:t>de </w:t>
      </w:r>
      <w:r>
        <w:rPr>
          <w:color w:val="231F20"/>
          <w:spacing w:val="-3"/>
          <w:w w:val="105"/>
        </w:rPr>
        <w:t>conocimientos </w:t>
      </w:r>
      <w:r>
        <w:rPr>
          <w:color w:val="231F20"/>
          <w:spacing w:val="-4"/>
          <w:w w:val="105"/>
        </w:rPr>
        <w:t>laborales.</w:t>
      </w:r>
    </w:p>
    <w:p>
      <w:pPr>
        <w:pStyle w:val="BodyText"/>
        <w:rPr>
          <w:sz w:val="20"/>
        </w:rPr>
      </w:pPr>
    </w:p>
    <w:p>
      <w:pPr>
        <w:pStyle w:val="BodyText"/>
        <w:spacing w:before="9"/>
        <w:rPr>
          <w:sz w:val="20"/>
        </w:rPr>
      </w:pPr>
    </w:p>
    <w:p>
      <w:pPr>
        <w:pStyle w:val="Heading3"/>
      </w:pPr>
      <w:r>
        <w:rPr>
          <w:color w:val="231F20"/>
        </w:rPr>
        <w:t>Resultados</w:t>
      </w:r>
    </w:p>
    <w:p>
      <w:pPr>
        <w:pStyle w:val="BodyText"/>
        <w:rPr>
          <w:rFonts w:ascii="Arial"/>
          <w:b/>
          <w:sz w:val="22"/>
        </w:rPr>
      </w:pPr>
    </w:p>
    <w:p>
      <w:pPr>
        <w:pStyle w:val="BodyText"/>
        <w:spacing w:line="261" w:lineRule="auto" w:before="163"/>
        <w:ind w:left="1837" w:right="1714"/>
        <w:jc w:val="both"/>
      </w:pPr>
      <w:r>
        <w:rPr>
          <w:color w:val="231F20"/>
          <w:w w:val="105"/>
        </w:rPr>
        <w:t>El</w:t>
      </w:r>
      <w:r>
        <w:rPr>
          <w:color w:val="231F20"/>
          <w:spacing w:val="-34"/>
          <w:w w:val="105"/>
        </w:rPr>
        <w:t> </w:t>
      </w:r>
      <w:r>
        <w:rPr>
          <w:color w:val="231F20"/>
          <w:w w:val="105"/>
        </w:rPr>
        <w:t>análisis</w:t>
      </w:r>
      <w:r>
        <w:rPr>
          <w:color w:val="231F20"/>
          <w:spacing w:val="-34"/>
          <w:w w:val="105"/>
        </w:rPr>
        <w:t> </w:t>
      </w:r>
      <w:r>
        <w:rPr>
          <w:color w:val="231F20"/>
          <w:w w:val="105"/>
        </w:rPr>
        <w:t>de</w:t>
      </w:r>
      <w:r>
        <w:rPr>
          <w:color w:val="231F20"/>
          <w:spacing w:val="-34"/>
          <w:w w:val="105"/>
        </w:rPr>
        <w:t> </w:t>
      </w:r>
      <w:r>
        <w:rPr>
          <w:color w:val="231F20"/>
          <w:w w:val="105"/>
        </w:rPr>
        <w:t>este</w:t>
      </w:r>
      <w:r>
        <w:rPr>
          <w:color w:val="231F20"/>
          <w:spacing w:val="-34"/>
          <w:w w:val="105"/>
        </w:rPr>
        <w:t> </w:t>
      </w:r>
      <w:r>
        <w:rPr>
          <w:color w:val="231F20"/>
          <w:w w:val="105"/>
        </w:rPr>
        <w:t>trabajo</w:t>
      </w:r>
      <w:r>
        <w:rPr>
          <w:color w:val="231F20"/>
          <w:spacing w:val="-34"/>
          <w:w w:val="105"/>
        </w:rPr>
        <w:t> </w:t>
      </w:r>
      <w:r>
        <w:rPr>
          <w:color w:val="231F20"/>
          <w:w w:val="105"/>
        </w:rPr>
        <w:t>incluye</w:t>
      </w:r>
      <w:r>
        <w:rPr>
          <w:color w:val="231F20"/>
          <w:spacing w:val="-34"/>
          <w:w w:val="105"/>
        </w:rPr>
        <w:t> </w:t>
      </w:r>
      <w:r>
        <w:rPr>
          <w:color w:val="231F20"/>
          <w:w w:val="105"/>
        </w:rPr>
        <w:t>tres</w:t>
      </w:r>
      <w:r>
        <w:rPr>
          <w:color w:val="231F20"/>
          <w:spacing w:val="-34"/>
          <w:w w:val="105"/>
        </w:rPr>
        <w:t> </w:t>
      </w:r>
      <w:r>
        <w:rPr>
          <w:color w:val="231F20"/>
          <w:w w:val="105"/>
        </w:rPr>
        <w:t>secciones</w:t>
      </w:r>
      <w:r>
        <w:rPr>
          <w:color w:val="231F20"/>
          <w:spacing w:val="-34"/>
          <w:w w:val="105"/>
        </w:rPr>
        <w:t> </w:t>
      </w:r>
      <w:r>
        <w:rPr>
          <w:color w:val="231F20"/>
          <w:w w:val="105"/>
        </w:rPr>
        <w:t>y</w:t>
      </w:r>
      <w:r>
        <w:rPr>
          <w:color w:val="231F20"/>
          <w:spacing w:val="-34"/>
          <w:w w:val="105"/>
        </w:rPr>
        <w:t> </w:t>
      </w:r>
      <w:r>
        <w:rPr>
          <w:color w:val="231F20"/>
          <w:w w:val="105"/>
        </w:rPr>
        <w:t>una</w:t>
      </w:r>
      <w:r>
        <w:rPr>
          <w:color w:val="231F20"/>
          <w:spacing w:val="-34"/>
          <w:w w:val="105"/>
        </w:rPr>
        <w:t> </w:t>
      </w:r>
      <w:r>
        <w:rPr>
          <w:color w:val="231F20"/>
          <w:w w:val="105"/>
        </w:rPr>
        <w:t>conclusión.</w:t>
      </w:r>
      <w:r>
        <w:rPr>
          <w:color w:val="231F20"/>
          <w:spacing w:val="-38"/>
          <w:w w:val="105"/>
        </w:rPr>
        <w:t> </w:t>
      </w:r>
      <w:r>
        <w:rPr>
          <w:color w:val="231F20"/>
          <w:spacing w:val="-3"/>
          <w:w w:val="105"/>
        </w:rPr>
        <w:t>Primero </w:t>
      </w:r>
      <w:r>
        <w:rPr>
          <w:color w:val="231F20"/>
          <w:w w:val="105"/>
        </w:rPr>
        <w:t>se</w:t>
      </w:r>
      <w:r>
        <w:rPr>
          <w:color w:val="231F20"/>
          <w:spacing w:val="-17"/>
          <w:w w:val="105"/>
        </w:rPr>
        <w:t> </w:t>
      </w:r>
      <w:r>
        <w:rPr>
          <w:color w:val="231F20"/>
          <w:w w:val="105"/>
        </w:rPr>
        <w:t>desglosa</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17"/>
          <w:w w:val="105"/>
        </w:rPr>
        <w:t> </w:t>
      </w:r>
      <w:r>
        <w:rPr>
          <w:color w:val="231F20"/>
          <w:w w:val="105"/>
        </w:rPr>
        <w:t>hacia</w:t>
      </w:r>
      <w:r>
        <w:rPr>
          <w:color w:val="231F20"/>
          <w:spacing w:val="-21"/>
          <w:w w:val="105"/>
        </w:rPr>
        <w:t> </w:t>
      </w:r>
      <w:r>
        <w:rPr>
          <w:color w:val="231F20"/>
          <w:spacing w:val="-4"/>
          <w:w w:val="105"/>
        </w:rPr>
        <w:t>Texas,</w:t>
      </w:r>
      <w:r>
        <w:rPr>
          <w:color w:val="231F20"/>
          <w:spacing w:val="-22"/>
          <w:w w:val="105"/>
        </w:rPr>
        <w:t> </w:t>
      </w:r>
      <w:r>
        <w:rPr>
          <w:color w:val="231F20"/>
          <w:w w:val="105"/>
        </w:rPr>
        <w:t>las</w:t>
      </w:r>
      <w:r>
        <w:rPr>
          <w:color w:val="231F20"/>
          <w:spacing w:val="-17"/>
          <w:w w:val="105"/>
        </w:rPr>
        <w:t> </w:t>
      </w:r>
      <w:r>
        <w:rPr>
          <w:color w:val="231F20"/>
          <w:w w:val="105"/>
        </w:rPr>
        <w:t>condiciones</w:t>
      </w:r>
      <w:r>
        <w:rPr>
          <w:color w:val="231F20"/>
          <w:spacing w:val="-17"/>
          <w:w w:val="105"/>
        </w:rPr>
        <w:t> </w:t>
      </w:r>
      <w:r>
        <w:rPr>
          <w:color w:val="231F20"/>
          <w:w w:val="105"/>
        </w:rPr>
        <w:t>que</w:t>
      </w:r>
      <w:r>
        <w:rPr>
          <w:color w:val="231F20"/>
          <w:spacing w:val="-17"/>
          <w:w w:val="105"/>
        </w:rPr>
        <w:t> </w:t>
      </w:r>
      <w:r>
        <w:rPr>
          <w:color w:val="231F20"/>
          <w:w w:val="105"/>
        </w:rPr>
        <w:t>dieron</w:t>
      </w:r>
      <w:r>
        <w:rPr>
          <w:color w:val="231F20"/>
          <w:spacing w:val="-17"/>
          <w:w w:val="105"/>
        </w:rPr>
        <w:t> </w:t>
      </w:r>
      <w:r>
        <w:rPr>
          <w:color w:val="231F20"/>
          <w:w w:val="105"/>
        </w:rPr>
        <w:t>lugar</w:t>
      </w:r>
      <w:r>
        <w:rPr>
          <w:color w:val="231F20"/>
          <w:spacing w:val="-17"/>
          <w:w w:val="105"/>
        </w:rPr>
        <w:t> </w:t>
      </w:r>
      <w:r>
        <w:rPr>
          <w:color w:val="231F20"/>
          <w:w w:val="105"/>
        </w:rPr>
        <w:t>a la</w:t>
      </w:r>
      <w:r>
        <w:rPr>
          <w:color w:val="231F20"/>
          <w:spacing w:val="-18"/>
          <w:w w:val="105"/>
        </w:rPr>
        <w:t> </w:t>
      </w:r>
      <w:r>
        <w:rPr>
          <w:color w:val="231F20"/>
          <w:w w:val="105"/>
        </w:rPr>
        <w:t>partida</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objetivos</w:t>
      </w:r>
      <w:r>
        <w:rPr>
          <w:color w:val="231F20"/>
          <w:spacing w:val="-18"/>
          <w:w w:val="105"/>
        </w:rPr>
        <w:t> </w:t>
      </w:r>
      <w:r>
        <w:rPr>
          <w:color w:val="231F20"/>
          <w:w w:val="105"/>
        </w:rPr>
        <w:t>que</w:t>
      </w:r>
      <w:r>
        <w:rPr>
          <w:color w:val="231F20"/>
          <w:spacing w:val="-18"/>
          <w:w w:val="105"/>
        </w:rPr>
        <w:t> </w:t>
      </w:r>
      <w:r>
        <w:rPr>
          <w:color w:val="231F20"/>
          <w:w w:val="105"/>
        </w:rPr>
        <w:t>llevaron</w:t>
      </w:r>
      <w:r>
        <w:rPr>
          <w:color w:val="231F20"/>
          <w:spacing w:val="-18"/>
          <w:w w:val="105"/>
        </w:rPr>
        <w:t> </w:t>
      </w:r>
      <w:r>
        <w:rPr>
          <w:color w:val="231F20"/>
          <w:w w:val="105"/>
        </w:rPr>
        <w:t>consigo</w:t>
      </w:r>
      <w:r>
        <w:rPr>
          <w:color w:val="231F20"/>
          <w:spacing w:val="-18"/>
          <w:w w:val="105"/>
        </w:rPr>
        <w:t> </w:t>
      </w:r>
      <w:r>
        <w:rPr>
          <w:color w:val="231F20"/>
          <w:w w:val="105"/>
        </w:rPr>
        <w:t>los</w:t>
      </w:r>
      <w:r>
        <w:rPr>
          <w:color w:val="231F20"/>
          <w:spacing w:val="-18"/>
          <w:w w:val="105"/>
        </w:rPr>
        <w:t> </w:t>
      </w:r>
      <w:r>
        <w:rPr>
          <w:color w:val="231F20"/>
          <w:w w:val="105"/>
        </w:rPr>
        <w:t>migrantes.</w:t>
      </w:r>
      <w:r>
        <w:rPr>
          <w:color w:val="231F20"/>
          <w:spacing w:val="-23"/>
          <w:w w:val="105"/>
        </w:rPr>
        <w:t> </w:t>
      </w:r>
      <w:r>
        <w:rPr>
          <w:color w:val="231F20"/>
          <w:w w:val="105"/>
        </w:rPr>
        <w:t>Otra</w:t>
      </w:r>
      <w:r>
        <w:rPr>
          <w:color w:val="231F20"/>
          <w:spacing w:val="-18"/>
          <w:w w:val="105"/>
        </w:rPr>
        <w:t> </w:t>
      </w:r>
      <w:r>
        <w:rPr>
          <w:color w:val="231F20"/>
          <w:w w:val="105"/>
        </w:rPr>
        <w:t>analiza los conocimientos adquiridos en aquel estado de la unión americana, mientras la tercera revisa los años de retorno, las razones y el uso que dan</w:t>
      </w:r>
      <w:r>
        <w:rPr>
          <w:color w:val="231F20"/>
          <w:spacing w:val="-26"/>
          <w:w w:val="105"/>
        </w:rPr>
        <w:t> </w:t>
      </w:r>
      <w:r>
        <w:rPr>
          <w:color w:val="231F20"/>
          <w:w w:val="105"/>
        </w:rPr>
        <w:t>a</w:t>
      </w:r>
      <w:r>
        <w:rPr>
          <w:color w:val="231F20"/>
          <w:spacing w:val="-26"/>
          <w:w w:val="105"/>
        </w:rPr>
        <w:t> </w:t>
      </w:r>
      <w:r>
        <w:rPr>
          <w:color w:val="231F20"/>
          <w:w w:val="105"/>
        </w:rPr>
        <w:t>sus</w:t>
      </w:r>
      <w:r>
        <w:rPr>
          <w:color w:val="231F20"/>
          <w:spacing w:val="-26"/>
          <w:w w:val="105"/>
        </w:rPr>
        <w:t> </w:t>
      </w:r>
      <w:r>
        <w:rPr>
          <w:color w:val="231F20"/>
          <w:w w:val="105"/>
        </w:rPr>
        <w:t>conocimientos</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entidad.</w:t>
      </w:r>
      <w:r>
        <w:rPr>
          <w:color w:val="231F20"/>
          <w:spacing w:val="-31"/>
          <w:w w:val="105"/>
        </w:rPr>
        <w:t> </w:t>
      </w:r>
      <w:r>
        <w:rPr>
          <w:color w:val="231F20"/>
          <w:w w:val="105"/>
        </w:rPr>
        <w:t>La</w:t>
      </w:r>
      <w:r>
        <w:rPr>
          <w:color w:val="231F20"/>
          <w:spacing w:val="-26"/>
          <w:w w:val="105"/>
        </w:rPr>
        <w:t> </w:t>
      </w:r>
      <w:r>
        <w:rPr>
          <w:color w:val="231F20"/>
          <w:w w:val="105"/>
        </w:rPr>
        <w:t>conclusión</w:t>
      </w:r>
      <w:r>
        <w:rPr>
          <w:color w:val="231F20"/>
          <w:spacing w:val="-26"/>
          <w:w w:val="105"/>
        </w:rPr>
        <w:t> </w:t>
      </w:r>
      <w:r>
        <w:rPr>
          <w:color w:val="231F20"/>
          <w:w w:val="105"/>
        </w:rPr>
        <w:t>versa</w:t>
      </w:r>
      <w:r>
        <w:rPr>
          <w:color w:val="231F20"/>
          <w:spacing w:val="-26"/>
          <w:w w:val="105"/>
        </w:rPr>
        <w:t> </w:t>
      </w:r>
      <w:r>
        <w:rPr>
          <w:color w:val="231F20"/>
          <w:w w:val="105"/>
        </w:rPr>
        <w:t>sobre</w:t>
      </w:r>
      <w:r>
        <w:rPr>
          <w:color w:val="231F20"/>
          <w:spacing w:val="-26"/>
          <w:w w:val="105"/>
        </w:rPr>
        <w:t> </w:t>
      </w:r>
      <w:r>
        <w:rPr>
          <w:color w:val="231F20"/>
          <w:w w:val="105"/>
        </w:rPr>
        <w:t>las</w:t>
      </w:r>
      <w:r>
        <w:rPr>
          <w:color w:val="231F20"/>
          <w:spacing w:val="-26"/>
          <w:w w:val="105"/>
        </w:rPr>
        <w:t> </w:t>
      </w:r>
      <w:r>
        <w:rPr>
          <w:color w:val="231F20"/>
          <w:w w:val="105"/>
        </w:rPr>
        <w:t>limi- taciones</w:t>
      </w:r>
      <w:r>
        <w:rPr>
          <w:color w:val="231F20"/>
          <w:spacing w:val="-24"/>
          <w:w w:val="105"/>
        </w:rPr>
        <w:t> </w:t>
      </w:r>
      <w:r>
        <w:rPr>
          <w:color w:val="231F20"/>
          <w:w w:val="105"/>
        </w:rPr>
        <w:t>que</w:t>
      </w:r>
      <w:r>
        <w:rPr>
          <w:color w:val="231F20"/>
          <w:spacing w:val="-24"/>
          <w:w w:val="105"/>
        </w:rPr>
        <w:t> </w:t>
      </w:r>
      <w:r>
        <w:rPr>
          <w:color w:val="231F20"/>
          <w:w w:val="105"/>
        </w:rPr>
        <w:t>enfrentan</w:t>
      </w:r>
      <w:r>
        <w:rPr>
          <w:color w:val="231F20"/>
          <w:spacing w:val="-24"/>
          <w:w w:val="105"/>
        </w:rPr>
        <w:t> </w:t>
      </w:r>
      <w:r>
        <w:rPr>
          <w:color w:val="231F20"/>
          <w:w w:val="105"/>
        </w:rPr>
        <w:t>para</w:t>
      </w:r>
      <w:r>
        <w:rPr>
          <w:color w:val="231F20"/>
          <w:spacing w:val="-24"/>
          <w:w w:val="105"/>
        </w:rPr>
        <w:t> </w:t>
      </w:r>
      <w:r>
        <w:rPr>
          <w:color w:val="231F20"/>
          <w:w w:val="105"/>
        </w:rPr>
        <w:t>aplicar</w:t>
      </w:r>
      <w:r>
        <w:rPr>
          <w:color w:val="231F20"/>
          <w:spacing w:val="-24"/>
          <w:w w:val="105"/>
        </w:rPr>
        <w:t> </w:t>
      </w:r>
      <w:r>
        <w:rPr>
          <w:color w:val="231F20"/>
          <w:w w:val="105"/>
        </w:rPr>
        <w:t>sus</w:t>
      </w:r>
      <w:r>
        <w:rPr>
          <w:color w:val="231F20"/>
          <w:spacing w:val="-24"/>
          <w:w w:val="105"/>
        </w:rPr>
        <w:t> </w:t>
      </w:r>
      <w:r>
        <w:rPr>
          <w:color w:val="231F20"/>
          <w:w w:val="105"/>
        </w:rPr>
        <w:t>conocimientos</w:t>
      </w:r>
      <w:r>
        <w:rPr>
          <w:color w:val="231F20"/>
          <w:spacing w:val="-24"/>
          <w:w w:val="105"/>
        </w:rPr>
        <w:t> </w:t>
      </w:r>
      <w:r>
        <w:rPr>
          <w:color w:val="231F20"/>
          <w:w w:val="105"/>
        </w:rPr>
        <w:t>y</w:t>
      </w:r>
      <w:r>
        <w:rPr>
          <w:color w:val="231F20"/>
          <w:spacing w:val="-24"/>
          <w:w w:val="105"/>
        </w:rPr>
        <w:t> </w:t>
      </w:r>
      <w:r>
        <w:rPr>
          <w:color w:val="231F20"/>
          <w:w w:val="105"/>
        </w:rPr>
        <w:t>las</w:t>
      </w:r>
      <w:r>
        <w:rPr>
          <w:color w:val="231F20"/>
          <w:spacing w:val="-24"/>
          <w:w w:val="105"/>
        </w:rPr>
        <w:t> </w:t>
      </w:r>
      <w:r>
        <w:rPr>
          <w:color w:val="231F20"/>
          <w:w w:val="105"/>
        </w:rPr>
        <w:t>necesidades que</w:t>
      </w:r>
      <w:r>
        <w:rPr>
          <w:color w:val="231F20"/>
          <w:spacing w:val="-17"/>
          <w:w w:val="105"/>
        </w:rPr>
        <w:t> </w:t>
      </w:r>
      <w:r>
        <w:rPr>
          <w:color w:val="231F20"/>
          <w:w w:val="105"/>
        </w:rPr>
        <w:t>tienen</w:t>
      </w:r>
      <w:r>
        <w:rPr>
          <w:color w:val="231F20"/>
          <w:spacing w:val="-17"/>
          <w:w w:val="105"/>
        </w:rPr>
        <w:t> </w:t>
      </w:r>
      <w:r>
        <w:rPr>
          <w:color w:val="231F20"/>
          <w:w w:val="105"/>
        </w:rPr>
        <w:t>los</w:t>
      </w:r>
      <w:r>
        <w:rPr>
          <w:color w:val="231F20"/>
          <w:spacing w:val="-17"/>
          <w:w w:val="105"/>
        </w:rPr>
        <w:t> </w:t>
      </w:r>
      <w:r>
        <w:rPr>
          <w:color w:val="231F20"/>
          <w:w w:val="105"/>
        </w:rPr>
        <w:t>retornados</w:t>
      </w:r>
      <w:r>
        <w:rPr>
          <w:color w:val="231F20"/>
          <w:spacing w:val="-17"/>
          <w:w w:val="105"/>
        </w:rPr>
        <w:t> </w:t>
      </w:r>
      <w:r>
        <w:rPr>
          <w:color w:val="231F20"/>
          <w:w w:val="105"/>
        </w:rPr>
        <w:t>para</w:t>
      </w:r>
      <w:r>
        <w:rPr>
          <w:color w:val="231F20"/>
          <w:spacing w:val="-17"/>
          <w:w w:val="105"/>
        </w:rPr>
        <w:t> </w:t>
      </w:r>
      <w:r>
        <w:rPr>
          <w:color w:val="231F20"/>
          <w:w w:val="105"/>
        </w:rPr>
        <w:t>mantener</w:t>
      </w:r>
      <w:r>
        <w:rPr>
          <w:color w:val="231F20"/>
          <w:spacing w:val="-17"/>
          <w:w w:val="105"/>
        </w:rPr>
        <w:t> </w:t>
      </w:r>
      <w:r>
        <w:rPr>
          <w:color w:val="231F20"/>
          <w:w w:val="105"/>
        </w:rPr>
        <w:t>su</w:t>
      </w:r>
      <w:r>
        <w:rPr>
          <w:color w:val="231F20"/>
          <w:spacing w:val="-17"/>
          <w:w w:val="105"/>
        </w:rPr>
        <w:t> </w:t>
      </w:r>
      <w:r>
        <w:rPr>
          <w:color w:val="231F20"/>
          <w:w w:val="105"/>
        </w:rPr>
        <w:t>reinserción.</w:t>
      </w:r>
    </w:p>
    <w:p>
      <w:pPr>
        <w:pStyle w:val="BodyText"/>
        <w:spacing w:line="261" w:lineRule="auto" w:before="1"/>
        <w:ind w:left="1837" w:right="1716" w:firstLine="567"/>
        <w:jc w:val="both"/>
      </w:pPr>
      <w:r>
        <w:rPr>
          <w:color w:val="231F20"/>
        </w:rPr>
        <w:t>El análisis de este trabajo se sustenta en ochenta entrevistas a pro- fundidad realizadas con migrantes que retornaron desde </w:t>
      </w:r>
      <w:r>
        <w:rPr>
          <w:color w:val="231F20"/>
          <w:spacing w:val="-5"/>
        </w:rPr>
        <w:t>Texas </w:t>
      </w:r>
      <w:r>
        <w:rPr>
          <w:color w:val="231F20"/>
        </w:rPr>
        <w:t>hacia 26 municipios en la entidad. La migración de retorno carece de una defi- nición exhaustiva, pero aquí se considera como retornado a la persona mayor de edad que estuvo en </w:t>
      </w:r>
      <w:r>
        <w:rPr>
          <w:color w:val="231F20"/>
          <w:spacing w:val="-5"/>
        </w:rPr>
        <w:t>Texas </w:t>
      </w:r>
      <w:r>
        <w:rPr>
          <w:color w:val="231F20"/>
        </w:rPr>
        <w:t>por lo menos seis meses de manera continua, que laboró por un salario y que retornó por lo menos desde hacía tres meses. El trabajo de campo se realizó entre diciembre de 2012 y febrero de 2013, los retornados fueron ubicados siguiendo el proce- dimiento de bola de nieve y redes de contactos. El mapa 1 exhibe los municipios de la entidad mexiquenses donde residen los retornados. Destacan en recepción de retornados los siguientes municipios: </w:t>
      </w:r>
      <w:r>
        <w:rPr>
          <w:color w:val="231F20"/>
          <w:spacing w:val="-4"/>
        </w:rPr>
        <w:t>Toluca </w:t>
      </w:r>
      <w:r>
        <w:rPr>
          <w:color w:val="231F20"/>
        </w:rPr>
        <w:t>(20%), </w:t>
      </w:r>
      <w:r>
        <w:rPr>
          <w:color w:val="231F20"/>
          <w:spacing w:val="-3"/>
        </w:rPr>
        <w:t>Tecámac </w:t>
      </w:r>
      <w:r>
        <w:rPr>
          <w:color w:val="231F20"/>
        </w:rPr>
        <w:t>(12.5%), Tlatlaya (8.8%), </w:t>
      </w:r>
      <w:r>
        <w:rPr>
          <w:color w:val="231F20"/>
          <w:spacing w:val="-3"/>
        </w:rPr>
        <w:t>Tejupilco </w:t>
      </w:r>
      <w:r>
        <w:rPr>
          <w:color w:val="231F20"/>
        </w:rPr>
        <w:t>(7.5%), Valle de</w:t>
      </w:r>
      <w:r>
        <w:rPr>
          <w:color w:val="231F20"/>
          <w:spacing w:val="-3"/>
        </w:rPr>
        <w:t> </w:t>
      </w:r>
      <w:r>
        <w:rPr>
          <w:color w:val="231F20"/>
        </w:rPr>
        <w:t>Bravo</w:t>
      </w:r>
    </w:p>
    <w:p>
      <w:pPr>
        <w:pStyle w:val="BodyText"/>
        <w:spacing w:before="1"/>
        <w:ind w:left="1837"/>
        <w:jc w:val="both"/>
        <w:rPr>
          <w:sz w:val="12"/>
        </w:rPr>
      </w:pPr>
      <w:r>
        <w:rPr>
          <w:color w:val="231F20"/>
        </w:rPr>
        <w:t>(7.5%), Zacazonapan (6.3%) y Villa del Carbón (5.0%).</w:t>
      </w:r>
      <w:r>
        <w:rPr>
          <w:color w:val="231F20"/>
          <w:position w:val="7"/>
          <w:sz w:val="12"/>
        </w:rPr>
        <w:t>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28912;mso-wrap-distance-left:0;mso-wrap-distance-right:0" from="91.866096pt,10.331304pt" to="205.252096pt,10.331304pt" stroked="true" strokeweight=".25pt" strokecolor="#231f20">
            <w10:wrap type="topAndBottom"/>
          </v:line>
        </w:pict>
      </w:r>
    </w:p>
    <w:p>
      <w:pPr>
        <w:spacing w:line="192" w:lineRule="exact" w:before="7"/>
        <w:ind w:left="1837" w:right="1722" w:firstLine="0"/>
        <w:jc w:val="both"/>
        <w:rPr>
          <w:rFonts w:ascii="Calibri" w:hAnsi="Calibri"/>
          <w:sz w:val="16"/>
        </w:rPr>
      </w:pPr>
      <w:r>
        <w:rPr>
          <w:rFonts w:ascii="Calibri" w:hAnsi="Calibri"/>
          <w:color w:val="414042"/>
          <w:w w:val="105"/>
          <w:position w:val="5"/>
          <w:sz w:val="9"/>
        </w:rPr>
        <w:t>4</w:t>
      </w:r>
      <w:r>
        <w:rPr>
          <w:rFonts w:ascii="Calibri" w:hAnsi="Calibri"/>
          <w:color w:val="414042"/>
          <w:spacing w:val="11"/>
          <w:w w:val="105"/>
          <w:position w:val="5"/>
          <w:sz w:val="9"/>
        </w:rPr>
        <w:t> </w:t>
      </w:r>
      <w:r>
        <w:rPr>
          <w:rFonts w:ascii="Calibri" w:hAnsi="Calibri"/>
          <w:color w:val="414042"/>
          <w:w w:val="105"/>
          <w:sz w:val="16"/>
        </w:rPr>
        <w:t>En</w:t>
      </w:r>
      <w:r>
        <w:rPr>
          <w:rFonts w:ascii="Calibri" w:hAnsi="Calibri"/>
          <w:color w:val="414042"/>
          <w:spacing w:val="-6"/>
          <w:w w:val="105"/>
          <w:sz w:val="16"/>
        </w:rPr>
        <w:t> </w:t>
      </w:r>
      <w:r>
        <w:rPr>
          <w:rFonts w:ascii="Calibri" w:hAnsi="Calibri"/>
          <w:color w:val="414042"/>
          <w:w w:val="105"/>
          <w:sz w:val="16"/>
        </w:rPr>
        <w:t>orden</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importancia</w:t>
      </w:r>
      <w:r>
        <w:rPr>
          <w:rFonts w:ascii="Calibri" w:hAnsi="Calibri"/>
          <w:color w:val="414042"/>
          <w:spacing w:val="-6"/>
          <w:w w:val="105"/>
          <w:sz w:val="16"/>
        </w:rPr>
        <w:t> </w:t>
      </w:r>
      <w:r>
        <w:rPr>
          <w:rFonts w:ascii="Calibri" w:hAnsi="Calibri"/>
          <w:color w:val="414042"/>
          <w:w w:val="105"/>
          <w:sz w:val="16"/>
        </w:rPr>
        <w:t>proporcional,</w:t>
      </w:r>
      <w:r>
        <w:rPr>
          <w:rFonts w:ascii="Calibri" w:hAnsi="Calibri"/>
          <w:color w:val="414042"/>
          <w:spacing w:val="-6"/>
          <w:w w:val="105"/>
          <w:sz w:val="16"/>
        </w:rPr>
        <w:t> </w:t>
      </w:r>
      <w:r>
        <w:rPr>
          <w:rFonts w:ascii="Calibri" w:hAnsi="Calibri"/>
          <w:color w:val="414042"/>
          <w:w w:val="105"/>
          <w:sz w:val="16"/>
        </w:rPr>
        <w:t>los</w:t>
      </w:r>
      <w:r>
        <w:rPr>
          <w:rFonts w:ascii="Calibri" w:hAnsi="Calibri"/>
          <w:color w:val="414042"/>
          <w:spacing w:val="-6"/>
          <w:w w:val="105"/>
          <w:sz w:val="16"/>
        </w:rPr>
        <w:t> </w:t>
      </w:r>
      <w:r>
        <w:rPr>
          <w:rFonts w:ascii="Calibri" w:hAnsi="Calibri"/>
          <w:color w:val="414042"/>
          <w:w w:val="105"/>
          <w:sz w:val="16"/>
        </w:rPr>
        <w:t>demás</w:t>
      </w:r>
      <w:r>
        <w:rPr>
          <w:rFonts w:ascii="Calibri" w:hAnsi="Calibri"/>
          <w:color w:val="414042"/>
          <w:spacing w:val="-6"/>
          <w:w w:val="105"/>
          <w:sz w:val="16"/>
        </w:rPr>
        <w:t> </w:t>
      </w:r>
      <w:r>
        <w:rPr>
          <w:rFonts w:ascii="Calibri" w:hAnsi="Calibri"/>
          <w:color w:val="414042"/>
          <w:w w:val="105"/>
          <w:sz w:val="16"/>
        </w:rPr>
        <w:t>retornados</w:t>
      </w:r>
      <w:r>
        <w:rPr>
          <w:rFonts w:ascii="Calibri" w:hAnsi="Calibri"/>
          <w:color w:val="414042"/>
          <w:spacing w:val="-8"/>
          <w:w w:val="105"/>
          <w:sz w:val="16"/>
        </w:rPr>
        <w:t> </w:t>
      </w:r>
      <w:r>
        <w:rPr>
          <w:rFonts w:ascii="Calibri" w:hAnsi="Calibri"/>
          <w:color w:val="414042"/>
          <w:w w:val="105"/>
          <w:sz w:val="16"/>
        </w:rPr>
        <w:t>volvieron</w:t>
      </w:r>
      <w:r>
        <w:rPr>
          <w:rFonts w:ascii="Calibri" w:hAnsi="Calibri"/>
          <w:color w:val="414042"/>
          <w:spacing w:val="-6"/>
          <w:w w:val="105"/>
          <w:sz w:val="16"/>
        </w:rPr>
        <w:t> </w:t>
      </w:r>
      <w:r>
        <w:rPr>
          <w:rFonts w:ascii="Calibri" w:hAnsi="Calibri"/>
          <w:color w:val="414042"/>
          <w:w w:val="105"/>
          <w:sz w:val="16"/>
        </w:rPr>
        <w:t>a</w:t>
      </w:r>
      <w:r>
        <w:rPr>
          <w:rFonts w:ascii="Calibri" w:hAnsi="Calibri"/>
          <w:color w:val="414042"/>
          <w:spacing w:val="-6"/>
          <w:w w:val="105"/>
          <w:sz w:val="16"/>
        </w:rPr>
        <w:t> </w:t>
      </w:r>
      <w:r>
        <w:rPr>
          <w:rFonts w:ascii="Calibri" w:hAnsi="Calibri"/>
          <w:color w:val="414042"/>
          <w:w w:val="105"/>
          <w:sz w:val="16"/>
        </w:rPr>
        <w:t>los</w:t>
      </w:r>
      <w:r>
        <w:rPr>
          <w:rFonts w:ascii="Calibri" w:hAnsi="Calibri"/>
          <w:color w:val="414042"/>
          <w:spacing w:val="-6"/>
          <w:w w:val="105"/>
          <w:sz w:val="16"/>
        </w:rPr>
        <w:t> </w:t>
      </w:r>
      <w:r>
        <w:rPr>
          <w:rFonts w:ascii="Calibri" w:hAnsi="Calibri"/>
          <w:color w:val="414042"/>
          <w:w w:val="105"/>
          <w:sz w:val="16"/>
        </w:rPr>
        <w:t>municipios</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Axapusco, Lerma, Morelos, Otzoloapan, Santo Tomás, Villa Victoria, Luvianos, Acambay, Acolman, Almoloya de Juárez, Amatepec, Atlacomulco, El Oro, Otumba, San Mateo Atenco, Temascalcingo, Temascaltepec, Tianguistenco</w:t>
      </w:r>
      <w:r>
        <w:rPr>
          <w:rFonts w:ascii="Calibri" w:hAnsi="Calibri"/>
          <w:color w:val="414042"/>
          <w:spacing w:val="-24"/>
          <w:w w:val="105"/>
          <w:sz w:val="16"/>
        </w:rPr>
        <w:t> </w:t>
      </w:r>
      <w:r>
        <w:rPr>
          <w:rFonts w:ascii="Calibri" w:hAnsi="Calibri"/>
          <w:color w:val="414042"/>
          <w:w w:val="105"/>
          <w:sz w:val="16"/>
        </w:rPr>
        <w:t>y</w:t>
      </w:r>
      <w:r>
        <w:rPr>
          <w:rFonts w:ascii="Calibri" w:hAnsi="Calibri"/>
          <w:color w:val="414042"/>
          <w:spacing w:val="-23"/>
          <w:w w:val="105"/>
          <w:sz w:val="16"/>
        </w:rPr>
        <w:t> </w:t>
      </w:r>
      <w:r>
        <w:rPr>
          <w:rFonts w:ascii="Calibri" w:hAnsi="Calibri"/>
          <w:color w:val="414042"/>
          <w:w w:val="105"/>
          <w:sz w:val="16"/>
        </w:rPr>
        <w:t>Zinacantepec.</w:t>
      </w:r>
    </w:p>
    <w:p>
      <w:pPr>
        <w:spacing w:after="0" w:line="192" w:lineRule="exact"/>
        <w:jc w:val="both"/>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rPr>
      </w:pPr>
    </w:p>
    <w:p>
      <w:pPr>
        <w:spacing w:before="63"/>
        <w:ind w:left="3050" w:right="0" w:firstLine="0"/>
        <w:jc w:val="left"/>
        <w:rPr>
          <w:rFonts w:ascii="Arial"/>
          <w:sz w:val="18"/>
        </w:rPr>
      </w:pPr>
      <w:r>
        <w:rPr/>
        <w:drawing>
          <wp:anchor distT="0" distB="0" distL="0" distR="0" allowOverlap="1" layoutInCell="1" locked="0" behindDoc="0" simplePos="0" relativeHeight="29056">
            <wp:simplePos x="0" y="0"/>
            <wp:positionH relativeFrom="page">
              <wp:posOffset>1256699</wp:posOffset>
            </wp:positionH>
            <wp:positionV relativeFrom="paragraph">
              <wp:posOffset>249697</wp:posOffset>
            </wp:positionV>
            <wp:extent cx="3938628" cy="3437382"/>
            <wp:effectExtent l="0" t="0" r="0" b="0"/>
            <wp:wrapTopAndBottom/>
            <wp:docPr id="55" name="image182.png" descr=""/>
            <wp:cNvGraphicFramePr>
              <a:graphicFrameLocks noChangeAspect="1"/>
            </wp:cNvGraphicFramePr>
            <a:graphic>
              <a:graphicData uri="http://schemas.openxmlformats.org/drawingml/2006/picture">
                <pic:pic>
                  <pic:nvPicPr>
                    <pic:cNvPr id="56" name="image182.png"/>
                    <pic:cNvPicPr/>
                  </pic:nvPicPr>
                  <pic:blipFill>
                    <a:blip r:embed="rId305" cstate="print"/>
                    <a:stretch>
                      <a:fillRect/>
                    </a:stretch>
                  </pic:blipFill>
                  <pic:spPr>
                    <a:xfrm>
                      <a:off x="0" y="0"/>
                      <a:ext cx="3938628" cy="3437382"/>
                    </a:xfrm>
                    <a:prstGeom prst="rect">
                      <a:avLst/>
                    </a:prstGeom>
                  </pic:spPr>
                </pic:pic>
              </a:graphicData>
            </a:graphic>
          </wp:anchor>
        </w:drawing>
      </w:r>
      <w:r>
        <w:rPr/>
        <w:pict>
          <v:line style="position:absolute;mso-position-horizontal-relative:page;mso-position-vertical-relative:paragraph;z-index:29104" from="15pt,-68.274239pt" to="0pt,-68.274239pt" stroked="true" strokeweight=".25pt" strokecolor="#000000">
            <w10:wrap type="none"/>
          </v:line>
        </w:pict>
      </w:r>
      <w:r>
        <w:rPr/>
        <w:pict>
          <v:line style="position:absolute;mso-position-horizontal-relative:page;mso-position-vertical-relative:paragraph;z-index:29128" from="508.890015pt,-68.274239pt" to="523.890015pt,-68.274239pt" stroked="true" strokeweight=".25pt" strokecolor="#000000">
            <w10:wrap type="none"/>
          </v:line>
        </w:pict>
      </w:r>
      <w:r>
        <w:rPr>
          <w:rFonts w:ascii="Arial"/>
          <w:color w:val="231F20"/>
          <w:w w:val="105"/>
          <w:sz w:val="18"/>
        </w:rPr>
        <w:t>Mapa 1. Municipios de residencia de los retornados</w:t>
      </w:r>
    </w:p>
    <w:p>
      <w:pPr>
        <w:spacing w:before="5"/>
        <w:ind w:left="2120" w:right="0" w:firstLine="0"/>
        <w:jc w:val="left"/>
        <w:rPr>
          <w:sz w:val="16"/>
        </w:rPr>
      </w:pPr>
      <w:r>
        <w:rPr>
          <w:color w:val="231F20"/>
          <w:w w:val="105"/>
          <w:sz w:val="16"/>
        </w:rPr>
        <w:t>Fuente: elaboración propia.</w:t>
      </w:r>
    </w:p>
    <w:p>
      <w:pPr>
        <w:pStyle w:val="BodyText"/>
        <w:rPr>
          <w:sz w:val="16"/>
        </w:rPr>
      </w:pPr>
    </w:p>
    <w:p>
      <w:pPr>
        <w:pStyle w:val="BodyText"/>
        <w:rPr>
          <w:sz w:val="16"/>
        </w:rPr>
      </w:pPr>
    </w:p>
    <w:p>
      <w:pPr>
        <w:pStyle w:val="Heading3"/>
        <w:spacing w:before="117"/>
        <w:ind w:left="1723"/>
        <w:rPr>
          <w:rFonts w:ascii="Tahoma" w:hAnsi="Tahoma"/>
        </w:rPr>
      </w:pPr>
      <w:r>
        <w:rPr>
          <w:rFonts w:ascii="Tahoma" w:hAnsi="Tahoma"/>
          <w:color w:val="231F20"/>
          <w:w w:val="95"/>
        </w:rPr>
        <w:t>La emigración de mexiquenses hacia Texas</w:t>
      </w:r>
    </w:p>
    <w:p>
      <w:pPr>
        <w:pStyle w:val="BodyText"/>
        <w:rPr>
          <w:rFonts w:ascii="Tahoma"/>
          <w:b/>
          <w:sz w:val="22"/>
        </w:rPr>
      </w:pPr>
    </w:p>
    <w:p>
      <w:pPr>
        <w:pStyle w:val="BodyText"/>
        <w:spacing w:line="261" w:lineRule="auto" w:before="152"/>
        <w:ind w:left="1723" w:right="1834"/>
        <w:jc w:val="both"/>
      </w:pPr>
      <w:r>
        <w:rPr>
          <w:color w:val="231F20"/>
          <w:w w:val="105"/>
        </w:rPr>
        <w:t>Los retornados mexiquenses entrevistados fueron 78.8% hombres y 21.2% mujeres, composición por sexo que es congruente con otras</w:t>
      </w:r>
      <w:r>
        <w:rPr>
          <w:color w:val="231F20"/>
          <w:spacing w:val="-30"/>
          <w:w w:val="105"/>
        </w:rPr>
        <w:t> </w:t>
      </w:r>
      <w:r>
        <w:rPr>
          <w:color w:val="231F20"/>
          <w:w w:val="105"/>
        </w:rPr>
        <w:t>en- cuestas</w:t>
      </w:r>
      <w:r>
        <w:rPr>
          <w:color w:val="231F20"/>
          <w:spacing w:val="-5"/>
          <w:w w:val="105"/>
        </w:rPr>
        <w:t> </w:t>
      </w:r>
      <w:r>
        <w:rPr>
          <w:color w:val="231F20"/>
          <w:w w:val="105"/>
        </w:rPr>
        <w:t>que</w:t>
      </w:r>
      <w:r>
        <w:rPr>
          <w:color w:val="231F20"/>
          <w:spacing w:val="-5"/>
          <w:w w:val="105"/>
        </w:rPr>
        <w:t> </w:t>
      </w:r>
      <w:r>
        <w:rPr>
          <w:color w:val="231F20"/>
          <w:w w:val="105"/>
        </w:rPr>
        <w:t>reflejan</w:t>
      </w:r>
      <w:r>
        <w:rPr>
          <w:color w:val="231F20"/>
          <w:spacing w:val="-5"/>
          <w:w w:val="105"/>
        </w:rPr>
        <w:t> </w:t>
      </w:r>
      <w:r>
        <w:rPr>
          <w:color w:val="231F20"/>
          <w:w w:val="105"/>
        </w:rPr>
        <w:t>la</w:t>
      </w:r>
      <w:r>
        <w:rPr>
          <w:color w:val="231F20"/>
          <w:spacing w:val="-5"/>
          <w:w w:val="105"/>
        </w:rPr>
        <w:t> </w:t>
      </w:r>
      <w:r>
        <w:rPr>
          <w:color w:val="231F20"/>
          <w:w w:val="105"/>
        </w:rPr>
        <w:t>histórica</w:t>
      </w:r>
      <w:r>
        <w:rPr>
          <w:color w:val="231F20"/>
          <w:spacing w:val="-5"/>
          <w:w w:val="105"/>
        </w:rPr>
        <w:t> </w:t>
      </w:r>
      <w:r>
        <w:rPr>
          <w:color w:val="231F20"/>
          <w:w w:val="105"/>
        </w:rPr>
        <w:t>preminencia</w:t>
      </w:r>
      <w:r>
        <w:rPr>
          <w:color w:val="231F20"/>
          <w:spacing w:val="-5"/>
          <w:w w:val="105"/>
        </w:rPr>
        <w:t> </w:t>
      </w:r>
      <w:r>
        <w:rPr>
          <w:color w:val="231F20"/>
          <w:w w:val="105"/>
        </w:rPr>
        <w:t>masculina</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migración internacional</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entidad.</w:t>
      </w:r>
      <w:r>
        <w:rPr>
          <w:color w:val="231F20"/>
          <w:spacing w:val="-16"/>
          <w:w w:val="105"/>
        </w:rPr>
        <w:t> </w:t>
      </w:r>
      <w:r>
        <w:rPr>
          <w:color w:val="231F20"/>
          <w:w w:val="105"/>
        </w:rPr>
        <w:t>El</w:t>
      </w:r>
      <w:r>
        <w:rPr>
          <w:color w:val="231F20"/>
          <w:spacing w:val="-12"/>
          <w:w w:val="105"/>
        </w:rPr>
        <w:t> </w:t>
      </w:r>
      <w:r>
        <w:rPr>
          <w:color w:val="231F20"/>
          <w:w w:val="105"/>
        </w:rPr>
        <w:t>66%</w:t>
      </w:r>
      <w:r>
        <w:rPr>
          <w:color w:val="231F20"/>
          <w:spacing w:val="-12"/>
          <w:w w:val="105"/>
        </w:rPr>
        <w:t> </w:t>
      </w:r>
      <w:r>
        <w:rPr>
          <w:color w:val="231F20"/>
          <w:w w:val="105"/>
        </w:rPr>
        <w:t>de</w:t>
      </w:r>
      <w:r>
        <w:rPr>
          <w:color w:val="231F20"/>
          <w:spacing w:val="-12"/>
          <w:w w:val="105"/>
        </w:rPr>
        <w:t> </w:t>
      </w:r>
      <w:r>
        <w:rPr>
          <w:color w:val="231F20"/>
          <w:w w:val="105"/>
        </w:rPr>
        <w:t>estos</w:t>
      </w:r>
      <w:r>
        <w:rPr>
          <w:color w:val="231F20"/>
          <w:spacing w:val="-12"/>
          <w:w w:val="105"/>
        </w:rPr>
        <w:t> </w:t>
      </w:r>
      <w:r>
        <w:rPr>
          <w:color w:val="231F20"/>
          <w:w w:val="105"/>
        </w:rPr>
        <w:t>migrantes</w:t>
      </w:r>
      <w:r>
        <w:rPr>
          <w:color w:val="231F20"/>
          <w:spacing w:val="-12"/>
          <w:w w:val="105"/>
        </w:rPr>
        <w:t> </w:t>
      </w:r>
      <w:r>
        <w:rPr>
          <w:color w:val="231F20"/>
          <w:w w:val="105"/>
        </w:rPr>
        <w:t>arribó</w:t>
      </w:r>
      <w:r>
        <w:rPr>
          <w:color w:val="231F20"/>
          <w:spacing w:val="-12"/>
          <w:w w:val="105"/>
        </w:rPr>
        <w:t> </w:t>
      </w:r>
      <w:r>
        <w:rPr>
          <w:color w:val="231F20"/>
          <w:w w:val="105"/>
        </w:rPr>
        <w:t>a</w:t>
      </w:r>
      <w:r>
        <w:rPr>
          <w:color w:val="231F20"/>
          <w:spacing w:val="-16"/>
          <w:w w:val="105"/>
        </w:rPr>
        <w:t> </w:t>
      </w:r>
      <w:r>
        <w:rPr>
          <w:color w:val="231F20"/>
          <w:spacing w:val="-5"/>
          <w:w w:val="105"/>
        </w:rPr>
        <w:t>Texas</w:t>
      </w:r>
      <w:r>
        <w:rPr>
          <w:color w:val="231F20"/>
          <w:spacing w:val="-12"/>
          <w:w w:val="105"/>
        </w:rPr>
        <w:t> </w:t>
      </w:r>
      <w:r>
        <w:rPr>
          <w:color w:val="231F20"/>
          <w:w w:val="105"/>
        </w:rPr>
        <w:t>en su</w:t>
      </w:r>
      <w:r>
        <w:rPr>
          <w:color w:val="231F20"/>
          <w:spacing w:val="-18"/>
          <w:w w:val="105"/>
        </w:rPr>
        <w:t> </w:t>
      </w:r>
      <w:r>
        <w:rPr>
          <w:color w:val="231F20"/>
          <w:w w:val="105"/>
        </w:rPr>
        <w:t>primera</w:t>
      </w:r>
      <w:r>
        <w:rPr>
          <w:color w:val="231F20"/>
          <w:spacing w:val="-18"/>
          <w:w w:val="105"/>
        </w:rPr>
        <w:t> </w:t>
      </w:r>
      <w:r>
        <w:rPr>
          <w:color w:val="231F20"/>
          <w:w w:val="105"/>
        </w:rPr>
        <w:t>emigración,</w:t>
      </w:r>
      <w:r>
        <w:rPr>
          <w:color w:val="231F20"/>
          <w:spacing w:val="-23"/>
          <w:w w:val="105"/>
        </w:rPr>
        <w:t> </w:t>
      </w:r>
      <w:r>
        <w:rPr>
          <w:color w:val="231F20"/>
          <w:w w:val="105"/>
        </w:rPr>
        <w:t>el</w:t>
      </w:r>
      <w:r>
        <w:rPr>
          <w:color w:val="231F20"/>
          <w:spacing w:val="-18"/>
          <w:w w:val="105"/>
        </w:rPr>
        <w:t> </w:t>
      </w:r>
      <w:r>
        <w:rPr>
          <w:color w:val="231F20"/>
          <w:w w:val="105"/>
        </w:rPr>
        <w:t>20%</w:t>
      </w:r>
      <w:r>
        <w:rPr>
          <w:color w:val="231F20"/>
          <w:spacing w:val="-18"/>
          <w:w w:val="105"/>
        </w:rPr>
        <w:t> </w:t>
      </w:r>
      <w:r>
        <w:rPr>
          <w:color w:val="231F20"/>
          <w:w w:val="105"/>
        </w:rPr>
        <w:t>en</w:t>
      </w:r>
      <w:r>
        <w:rPr>
          <w:color w:val="231F20"/>
          <w:spacing w:val="-18"/>
          <w:w w:val="105"/>
        </w:rPr>
        <w:t> </w:t>
      </w:r>
      <w:r>
        <w:rPr>
          <w:color w:val="231F20"/>
          <w:w w:val="105"/>
        </w:rPr>
        <w:t>su</w:t>
      </w:r>
      <w:r>
        <w:rPr>
          <w:color w:val="231F20"/>
          <w:spacing w:val="-18"/>
          <w:w w:val="105"/>
        </w:rPr>
        <w:t> </w:t>
      </w:r>
      <w:r>
        <w:rPr>
          <w:color w:val="231F20"/>
          <w:w w:val="105"/>
        </w:rPr>
        <w:t>segundo</w:t>
      </w:r>
      <w:r>
        <w:rPr>
          <w:color w:val="231F20"/>
          <w:spacing w:val="-18"/>
          <w:w w:val="105"/>
        </w:rPr>
        <w:t> </w:t>
      </w:r>
      <w:r>
        <w:rPr>
          <w:color w:val="231F20"/>
          <w:w w:val="105"/>
        </w:rPr>
        <w:t>viaje</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resto</w:t>
      </w:r>
      <w:r>
        <w:rPr>
          <w:color w:val="231F20"/>
          <w:spacing w:val="-18"/>
          <w:w w:val="105"/>
        </w:rPr>
        <w:t> </w:t>
      </w:r>
      <w:r>
        <w:rPr>
          <w:color w:val="231F20"/>
          <w:w w:val="105"/>
        </w:rPr>
        <w:t>ancló</w:t>
      </w:r>
      <w:r>
        <w:rPr>
          <w:color w:val="231F20"/>
          <w:spacing w:val="-18"/>
          <w:w w:val="105"/>
        </w:rPr>
        <w:t> </w:t>
      </w:r>
      <w:r>
        <w:rPr>
          <w:color w:val="231F20"/>
          <w:w w:val="105"/>
        </w:rPr>
        <w:t>allí</w:t>
      </w:r>
      <w:r>
        <w:rPr>
          <w:color w:val="231F20"/>
          <w:spacing w:val="-18"/>
          <w:w w:val="105"/>
        </w:rPr>
        <w:t> </w:t>
      </w:r>
      <w:r>
        <w:rPr>
          <w:color w:val="231F20"/>
          <w:w w:val="105"/>
        </w:rPr>
        <w:t>en alguna</w:t>
      </w:r>
      <w:r>
        <w:rPr>
          <w:color w:val="231F20"/>
          <w:spacing w:val="-14"/>
          <w:w w:val="105"/>
        </w:rPr>
        <w:t> </w:t>
      </w:r>
      <w:r>
        <w:rPr>
          <w:color w:val="231F20"/>
          <w:w w:val="105"/>
        </w:rPr>
        <w:t>etapa</w:t>
      </w:r>
      <w:r>
        <w:rPr>
          <w:color w:val="231F20"/>
          <w:spacing w:val="-14"/>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w w:val="105"/>
        </w:rPr>
        <w:t>migración.</w:t>
      </w:r>
    </w:p>
    <w:p>
      <w:pPr>
        <w:pStyle w:val="BodyText"/>
        <w:spacing w:line="261" w:lineRule="auto" w:before="1"/>
        <w:ind w:left="1723" w:right="1829" w:firstLine="567"/>
        <w:jc w:val="both"/>
      </w:pPr>
      <w:r>
        <w:rPr>
          <w:color w:val="231F20"/>
          <w:w w:val="105"/>
        </w:rPr>
        <w:t>Otras</w:t>
      </w:r>
      <w:r>
        <w:rPr>
          <w:color w:val="231F20"/>
          <w:spacing w:val="-25"/>
          <w:w w:val="105"/>
        </w:rPr>
        <w:t> </w:t>
      </w:r>
      <w:r>
        <w:rPr>
          <w:color w:val="231F20"/>
          <w:w w:val="105"/>
        </w:rPr>
        <w:t>características</w:t>
      </w:r>
      <w:r>
        <w:rPr>
          <w:color w:val="231F20"/>
          <w:spacing w:val="-25"/>
          <w:w w:val="105"/>
        </w:rPr>
        <w:t> </w:t>
      </w:r>
      <w:r>
        <w:rPr>
          <w:color w:val="231F20"/>
          <w:w w:val="105"/>
        </w:rPr>
        <w:t>se</w:t>
      </w:r>
      <w:r>
        <w:rPr>
          <w:color w:val="231F20"/>
          <w:spacing w:val="-25"/>
          <w:w w:val="105"/>
        </w:rPr>
        <w:t> </w:t>
      </w:r>
      <w:r>
        <w:rPr>
          <w:color w:val="231F20"/>
          <w:w w:val="105"/>
        </w:rPr>
        <w:t>sintetizan</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cuadro</w:t>
      </w:r>
      <w:r>
        <w:rPr>
          <w:color w:val="231F20"/>
          <w:spacing w:val="-25"/>
          <w:w w:val="105"/>
        </w:rPr>
        <w:t> </w:t>
      </w:r>
      <w:r>
        <w:rPr>
          <w:color w:val="231F20"/>
          <w:w w:val="105"/>
        </w:rPr>
        <w:t>1.</w:t>
      </w:r>
      <w:r>
        <w:rPr>
          <w:color w:val="231F20"/>
          <w:spacing w:val="-29"/>
          <w:w w:val="105"/>
        </w:rPr>
        <w:t> </w:t>
      </w:r>
      <w:r>
        <w:rPr>
          <w:color w:val="231F20"/>
          <w:w w:val="105"/>
        </w:rPr>
        <w:t>El</w:t>
      </w:r>
      <w:r>
        <w:rPr>
          <w:color w:val="231F20"/>
          <w:spacing w:val="-25"/>
          <w:w w:val="105"/>
        </w:rPr>
        <w:t> </w:t>
      </w:r>
      <w:r>
        <w:rPr>
          <w:color w:val="231F20"/>
          <w:w w:val="105"/>
        </w:rPr>
        <w:t>primer</w:t>
      </w:r>
      <w:r>
        <w:rPr>
          <w:color w:val="231F20"/>
          <w:spacing w:val="-25"/>
          <w:w w:val="105"/>
        </w:rPr>
        <w:t> </w:t>
      </w:r>
      <w:r>
        <w:rPr>
          <w:color w:val="231F20"/>
          <w:w w:val="105"/>
        </w:rPr>
        <w:t>elemen- to</w:t>
      </w:r>
      <w:r>
        <w:rPr>
          <w:color w:val="231F20"/>
          <w:spacing w:val="-9"/>
          <w:w w:val="105"/>
        </w:rPr>
        <w:t> </w:t>
      </w:r>
      <w:r>
        <w:rPr>
          <w:color w:val="231F20"/>
          <w:w w:val="105"/>
        </w:rPr>
        <w:t>a</w:t>
      </w:r>
      <w:r>
        <w:rPr>
          <w:color w:val="231F20"/>
          <w:spacing w:val="-9"/>
          <w:w w:val="105"/>
        </w:rPr>
        <w:t> </w:t>
      </w:r>
      <w:r>
        <w:rPr>
          <w:color w:val="231F20"/>
          <w:w w:val="105"/>
        </w:rPr>
        <w:t>destacar</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emigración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retornados</w:t>
      </w:r>
      <w:r>
        <w:rPr>
          <w:color w:val="231F20"/>
          <w:spacing w:val="-9"/>
          <w:w w:val="105"/>
        </w:rPr>
        <w:t> </w:t>
      </w:r>
      <w:r>
        <w:rPr>
          <w:color w:val="231F20"/>
          <w:w w:val="105"/>
        </w:rPr>
        <w:t>mexiquenses</w:t>
      </w:r>
      <w:r>
        <w:rPr>
          <w:color w:val="231F20"/>
          <w:spacing w:val="-9"/>
          <w:w w:val="105"/>
        </w:rPr>
        <w:t> </w:t>
      </w:r>
      <w:r>
        <w:rPr>
          <w:color w:val="231F20"/>
          <w:w w:val="105"/>
        </w:rPr>
        <w:t>es</w:t>
      </w:r>
      <w:r>
        <w:rPr>
          <w:color w:val="231F20"/>
          <w:spacing w:val="-9"/>
          <w:w w:val="105"/>
        </w:rPr>
        <w:t> </w:t>
      </w:r>
      <w:r>
        <w:rPr>
          <w:color w:val="231F20"/>
          <w:w w:val="105"/>
        </w:rPr>
        <w:t>que</w:t>
      </w:r>
      <w:r>
        <w:rPr>
          <w:color w:val="231F20"/>
          <w:spacing w:val="-9"/>
          <w:w w:val="105"/>
        </w:rPr>
        <w:t> </w:t>
      </w:r>
      <w:r>
        <w:rPr>
          <w:color w:val="231F20"/>
          <w:w w:val="105"/>
        </w:rPr>
        <w:t>lo hicieron</w:t>
      </w:r>
      <w:r>
        <w:rPr>
          <w:color w:val="231F20"/>
          <w:spacing w:val="-23"/>
          <w:w w:val="105"/>
        </w:rPr>
        <w:t> </w:t>
      </w:r>
      <w:r>
        <w:rPr>
          <w:color w:val="231F20"/>
          <w:w w:val="105"/>
        </w:rPr>
        <w:t>en</w:t>
      </w:r>
      <w:r>
        <w:rPr>
          <w:color w:val="231F20"/>
          <w:spacing w:val="-23"/>
          <w:w w:val="105"/>
        </w:rPr>
        <w:t> </w:t>
      </w:r>
      <w:r>
        <w:rPr>
          <w:color w:val="231F20"/>
          <w:w w:val="105"/>
        </w:rPr>
        <w:t>condiciones</w:t>
      </w:r>
      <w:r>
        <w:rPr>
          <w:color w:val="231F20"/>
          <w:spacing w:val="-23"/>
          <w:w w:val="105"/>
        </w:rPr>
        <w:t> </w:t>
      </w:r>
      <w:r>
        <w:rPr>
          <w:color w:val="231F20"/>
          <w:w w:val="105"/>
        </w:rPr>
        <w:t>socio</w:t>
      </w:r>
      <w:r>
        <w:rPr>
          <w:color w:val="231F20"/>
          <w:spacing w:val="-23"/>
          <w:w w:val="105"/>
        </w:rPr>
        <w:t> </w:t>
      </w:r>
      <w:r>
        <w:rPr>
          <w:color w:val="231F20"/>
          <w:w w:val="105"/>
        </w:rPr>
        <w:t>personales</w:t>
      </w:r>
      <w:r>
        <w:rPr>
          <w:color w:val="231F20"/>
          <w:spacing w:val="-23"/>
          <w:w w:val="105"/>
        </w:rPr>
        <w:t> </w:t>
      </w:r>
      <w:r>
        <w:rPr>
          <w:color w:val="231F20"/>
          <w:w w:val="105"/>
        </w:rPr>
        <w:t>potencialmente</w:t>
      </w:r>
      <w:r>
        <w:rPr>
          <w:color w:val="231F20"/>
          <w:spacing w:val="-23"/>
          <w:w w:val="105"/>
        </w:rPr>
        <w:t> </w:t>
      </w:r>
      <w:r>
        <w:rPr>
          <w:color w:val="231F20"/>
          <w:w w:val="105"/>
        </w:rPr>
        <w:t>aptas</w:t>
      </w:r>
      <w:r>
        <w:rPr>
          <w:color w:val="231F20"/>
          <w:spacing w:val="-23"/>
          <w:w w:val="105"/>
        </w:rPr>
        <w:t> </w:t>
      </w:r>
      <w:r>
        <w:rPr>
          <w:color w:val="231F20"/>
          <w:w w:val="105"/>
        </w:rPr>
        <w:t>al</w:t>
      </w:r>
      <w:r>
        <w:rPr>
          <w:color w:val="231F20"/>
          <w:spacing w:val="-23"/>
          <w:w w:val="105"/>
        </w:rPr>
        <w:t> </w:t>
      </w:r>
      <w:r>
        <w:rPr>
          <w:color w:val="231F20"/>
          <w:w w:val="105"/>
        </w:rPr>
        <w:t>apren- dizaje. </w:t>
      </w:r>
      <w:r>
        <w:rPr>
          <w:color w:val="231F20"/>
          <w:spacing w:val="-3"/>
          <w:w w:val="105"/>
        </w:rPr>
        <w:t>Puede </w:t>
      </w:r>
      <w:r>
        <w:rPr>
          <w:color w:val="231F20"/>
          <w:w w:val="105"/>
        </w:rPr>
        <w:t>verse que emigraron en edades productivas (24.5 años), poco más de la mitad estaban solteros y 40% tenía pareja. Aunque la escolaridad</w:t>
      </w:r>
      <w:r>
        <w:rPr>
          <w:color w:val="231F20"/>
          <w:spacing w:val="-11"/>
          <w:w w:val="105"/>
        </w:rPr>
        <w:t> </w:t>
      </w:r>
      <w:r>
        <w:rPr>
          <w:color w:val="231F20"/>
          <w:w w:val="105"/>
        </w:rPr>
        <w:t>mejoró</w:t>
      </w:r>
      <w:r>
        <w:rPr>
          <w:color w:val="231F20"/>
          <w:spacing w:val="-11"/>
          <w:w w:val="105"/>
        </w:rPr>
        <w:t> </w:t>
      </w:r>
      <w:r>
        <w:rPr>
          <w:color w:val="231F20"/>
          <w:w w:val="105"/>
        </w:rPr>
        <w:t>porque</w:t>
      </w:r>
      <w:r>
        <w:rPr>
          <w:color w:val="231F20"/>
          <w:spacing w:val="-11"/>
          <w:w w:val="105"/>
        </w:rPr>
        <w:t> </w:t>
      </w:r>
      <w:r>
        <w:rPr>
          <w:color w:val="231F20"/>
          <w:w w:val="105"/>
        </w:rPr>
        <w:t>algunos</w:t>
      </w:r>
      <w:r>
        <w:rPr>
          <w:color w:val="231F20"/>
          <w:spacing w:val="-11"/>
          <w:w w:val="105"/>
        </w:rPr>
        <w:t> </w:t>
      </w:r>
      <w:r>
        <w:rPr>
          <w:color w:val="231F20"/>
          <w:w w:val="105"/>
        </w:rPr>
        <w:t>asistieron</w:t>
      </w:r>
      <w:r>
        <w:rPr>
          <w:color w:val="231F20"/>
          <w:spacing w:val="-11"/>
          <w:w w:val="105"/>
        </w:rPr>
        <w:t> </w:t>
      </w:r>
      <w:r>
        <w:rPr>
          <w:color w:val="231F20"/>
          <w:w w:val="105"/>
        </w:rPr>
        <w:t>a</w:t>
      </w:r>
      <w:r>
        <w:rPr>
          <w:color w:val="231F20"/>
          <w:spacing w:val="-11"/>
          <w:w w:val="105"/>
        </w:rPr>
        <w:t> </w:t>
      </w:r>
      <w:r>
        <w:rPr>
          <w:color w:val="231F20"/>
          <w:w w:val="105"/>
        </w:rPr>
        <w:t>escuelas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extranje- </w:t>
      </w:r>
      <w:r>
        <w:rPr>
          <w:color w:val="231F20"/>
          <w:spacing w:val="-3"/>
          <w:w w:val="105"/>
        </w:rPr>
        <w:t>ro,</w:t>
      </w:r>
      <w:r>
        <w:rPr>
          <w:color w:val="231F20"/>
          <w:spacing w:val="-17"/>
          <w:w w:val="105"/>
        </w:rPr>
        <w:t> </w:t>
      </w:r>
      <w:r>
        <w:rPr>
          <w:color w:val="231F20"/>
          <w:w w:val="105"/>
        </w:rPr>
        <w:t>los</w:t>
      </w:r>
      <w:r>
        <w:rPr>
          <w:color w:val="231F20"/>
          <w:spacing w:val="-11"/>
          <w:w w:val="105"/>
        </w:rPr>
        <w:t> </w:t>
      </w:r>
      <w:r>
        <w:rPr>
          <w:color w:val="231F20"/>
          <w:w w:val="105"/>
        </w:rPr>
        <w:t>promedios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partida</w:t>
      </w:r>
      <w:r>
        <w:rPr>
          <w:color w:val="231F20"/>
          <w:spacing w:val="-11"/>
          <w:w w:val="105"/>
        </w:rPr>
        <w:t> </w:t>
      </w:r>
      <w:r>
        <w:rPr>
          <w:color w:val="231F20"/>
          <w:w w:val="105"/>
        </w:rPr>
        <w:t>eran</w:t>
      </w:r>
      <w:r>
        <w:rPr>
          <w:color w:val="231F20"/>
          <w:spacing w:val="-11"/>
          <w:w w:val="105"/>
        </w:rPr>
        <w:t> </w:t>
      </w:r>
      <w:r>
        <w:rPr>
          <w:color w:val="231F20"/>
          <w:w w:val="105"/>
        </w:rPr>
        <w:t>de</w:t>
      </w:r>
      <w:r>
        <w:rPr>
          <w:color w:val="231F20"/>
          <w:spacing w:val="-11"/>
          <w:w w:val="105"/>
        </w:rPr>
        <w:t> </w:t>
      </w:r>
      <w:r>
        <w:rPr>
          <w:color w:val="231F20"/>
          <w:w w:val="105"/>
        </w:rPr>
        <w:t>preparatoria</w:t>
      </w:r>
      <w:r>
        <w:rPr>
          <w:color w:val="231F20"/>
          <w:spacing w:val="-11"/>
          <w:w w:val="105"/>
        </w:rPr>
        <w:t> </w:t>
      </w:r>
      <w:r>
        <w:rPr>
          <w:color w:val="231F20"/>
          <w:w w:val="105"/>
        </w:rPr>
        <w:t>casi</w:t>
      </w:r>
      <w:r>
        <w:rPr>
          <w:color w:val="231F20"/>
          <w:spacing w:val="-11"/>
          <w:w w:val="105"/>
        </w:rPr>
        <w:t> </w:t>
      </w:r>
      <w:r>
        <w:rPr>
          <w:color w:val="231F20"/>
          <w:w w:val="105"/>
        </w:rPr>
        <w:t>terminada.</w:t>
      </w:r>
      <w:r>
        <w:rPr>
          <w:color w:val="231F20"/>
          <w:spacing w:val="-20"/>
          <w:w w:val="105"/>
        </w:rPr>
        <w:t> </w:t>
      </w:r>
      <w:r>
        <w:rPr>
          <w:color w:val="231F20"/>
          <w:spacing w:val="-3"/>
          <w:w w:val="105"/>
        </w:rPr>
        <w:t>Vale </w:t>
      </w:r>
      <w:r>
        <w:rPr>
          <w:color w:val="231F20"/>
          <w:w w:val="105"/>
        </w:rPr>
        <w:t>destacar</w:t>
      </w:r>
      <w:r>
        <w:rPr>
          <w:color w:val="231F20"/>
          <w:spacing w:val="-13"/>
          <w:w w:val="105"/>
        </w:rPr>
        <w:t> </w:t>
      </w:r>
      <w:r>
        <w:rPr>
          <w:color w:val="231F20"/>
          <w:w w:val="105"/>
        </w:rPr>
        <w:t>que</w:t>
      </w:r>
      <w:r>
        <w:rPr>
          <w:color w:val="231F20"/>
          <w:spacing w:val="-13"/>
          <w:w w:val="105"/>
        </w:rPr>
        <w:t> </w:t>
      </w:r>
      <w:r>
        <w:rPr>
          <w:color w:val="231F20"/>
          <w:w w:val="105"/>
        </w:rPr>
        <w:t>tres</w:t>
      </w:r>
      <w:r>
        <w:rPr>
          <w:color w:val="231F20"/>
          <w:spacing w:val="-13"/>
          <w:w w:val="105"/>
        </w:rPr>
        <w:t> </w:t>
      </w:r>
      <w:r>
        <w:rPr>
          <w:color w:val="231F20"/>
          <w:w w:val="105"/>
        </w:rPr>
        <w:t>de</w:t>
      </w:r>
      <w:r>
        <w:rPr>
          <w:color w:val="231F20"/>
          <w:spacing w:val="-13"/>
          <w:w w:val="105"/>
        </w:rPr>
        <w:t> </w:t>
      </w:r>
      <w:r>
        <w:rPr>
          <w:color w:val="231F20"/>
          <w:w w:val="105"/>
        </w:rPr>
        <w:t>cada</w:t>
      </w:r>
      <w:r>
        <w:rPr>
          <w:color w:val="231F20"/>
          <w:spacing w:val="-13"/>
          <w:w w:val="105"/>
        </w:rPr>
        <w:t> </w:t>
      </w:r>
      <w:r>
        <w:rPr>
          <w:color w:val="231F20"/>
          <w:w w:val="105"/>
        </w:rPr>
        <w:t>cuatro</w:t>
      </w:r>
      <w:r>
        <w:rPr>
          <w:color w:val="231F20"/>
          <w:spacing w:val="-13"/>
          <w:w w:val="105"/>
        </w:rPr>
        <w:t> </w:t>
      </w:r>
      <w:r>
        <w:rPr>
          <w:color w:val="231F20"/>
          <w:w w:val="105"/>
        </w:rPr>
        <w:t>retornados</w:t>
      </w:r>
      <w:r>
        <w:rPr>
          <w:color w:val="231F20"/>
          <w:spacing w:val="-13"/>
          <w:w w:val="105"/>
        </w:rPr>
        <w:t> </w:t>
      </w:r>
      <w:r>
        <w:rPr>
          <w:color w:val="231F20"/>
          <w:w w:val="105"/>
        </w:rPr>
        <w:t>no</w:t>
      </w:r>
      <w:r>
        <w:rPr>
          <w:color w:val="231F20"/>
          <w:spacing w:val="-13"/>
          <w:w w:val="105"/>
        </w:rPr>
        <w:t> </w:t>
      </w:r>
      <w:r>
        <w:rPr>
          <w:color w:val="231F20"/>
          <w:w w:val="105"/>
        </w:rPr>
        <w:t>tenían</w:t>
      </w:r>
      <w:r>
        <w:rPr>
          <w:color w:val="231F20"/>
          <w:spacing w:val="-13"/>
          <w:w w:val="105"/>
        </w:rPr>
        <w:t> </w:t>
      </w:r>
      <w:r>
        <w:rPr>
          <w:color w:val="231F20"/>
          <w:w w:val="105"/>
        </w:rPr>
        <w:t>padres</w:t>
      </w:r>
      <w:r>
        <w:rPr>
          <w:color w:val="231F20"/>
          <w:spacing w:val="-13"/>
          <w:w w:val="105"/>
        </w:rPr>
        <w:t> </w:t>
      </w:r>
      <w:r>
        <w:rPr>
          <w:color w:val="231F20"/>
          <w:w w:val="105"/>
        </w:rPr>
        <w:t>con</w:t>
      </w:r>
      <w:r>
        <w:rPr>
          <w:color w:val="231F20"/>
          <w:spacing w:val="-13"/>
          <w:w w:val="105"/>
        </w:rPr>
        <w:t> </w:t>
      </w:r>
      <w:r>
        <w:rPr>
          <w:color w:val="231F20"/>
          <w:w w:val="105"/>
        </w:rPr>
        <w:t>expe- riencia</w:t>
      </w:r>
      <w:r>
        <w:rPr>
          <w:color w:val="231F20"/>
          <w:spacing w:val="-19"/>
          <w:w w:val="105"/>
        </w:rPr>
        <w:t> </w:t>
      </w:r>
      <w:r>
        <w:rPr>
          <w:color w:val="231F20"/>
          <w:w w:val="105"/>
        </w:rPr>
        <w:t>migratoria</w:t>
      </w:r>
      <w:r>
        <w:rPr>
          <w:color w:val="231F20"/>
          <w:spacing w:val="-19"/>
          <w:w w:val="105"/>
        </w:rPr>
        <w:t> </w:t>
      </w:r>
      <w:r>
        <w:rPr>
          <w:color w:val="231F20"/>
          <w:w w:val="105"/>
        </w:rPr>
        <w:t>internacional</w:t>
      </w:r>
      <w:r>
        <w:rPr>
          <w:color w:val="231F20"/>
          <w:spacing w:val="-19"/>
          <w:w w:val="105"/>
        </w:rPr>
        <w:t> </w:t>
      </w:r>
      <w:r>
        <w:rPr>
          <w:color w:val="231F20"/>
          <w:w w:val="105"/>
        </w:rPr>
        <w:t>previa.</w:t>
      </w:r>
    </w:p>
    <w:p>
      <w:pPr>
        <w:pStyle w:val="BodyText"/>
        <w:rPr>
          <w:sz w:val="20"/>
        </w:rPr>
      </w:pPr>
    </w:p>
    <w:p>
      <w:pPr>
        <w:pStyle w:val="BodyText"/>
        <w:rPr>
          <w:sz w:val="20"/>
        </w:rPr>
      </w:pPr>
    </w:p>
    <w:p>
      <w:pPr>
        <w:pStyle w:val="BodyText"/>
        <w:spacing w:before="5"/>
        <w:rPr>
          <w:sz w:val="17"/>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61104" from="131.551193pt,3.703715pt" to="131.551193pt,39.506114pt" stroked="true" strokeweight=".35pt" strokecolor="#231f20">
            <w10:wrap type="none"/>
          </v:line>
        </w:pict>
      </w:r>
      <w:r>
        <w:rPr/>
        <w:pict>
          <v:line style="position:absolute;mso-position-horizontal-relative:page;mso-position-vertical-relative:paragraph;z-index:-461032" from="15pt,39.505917pt" to="0pt,39.505917pt" stroked="true" strokeweight=".25pt" strokecolor="#000000">
            <w10:wrap type="none"/>
          </v:line>
        </w:pict>
      </w:r>
      <w:r>
        <w:rPr/>
        <w:pict>
          <v:line style="position:absolute;mso-position-horizontal-relative:page;mso-position-vertical-relative:paragraph;z-index:29176" from="508.890015pt,39.505917pt" to="523.890015pt,39.505917pt" stroked="true" strokeweight=".25pt" strokecolor="#000000">
            <w10:wrap type="none"/>
          </v:line>
        </w:pict>
      </w:r>
      <w:r>
        <w:rPr>
          <w:rFonts w:ascii="Arial"/>
          <w:color w:val="414042"/>
          <w:w w:val="105"/>
          <w:position w:val="-5"/>
          <w:sz w:val="20"/>
        </w:rPr>
        <w:t>238</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60888" from="15pt,715.487793pt" to="0pt,715.487793pt" stroked="true" strokeweight=".25pt" strokecolor="#000000">
            <w10:wrap type="none"/>
          </v:line>
        </w:pict>
      </w:r>
      <w:r>
        <w:rPr/>
        <w:pict>
          <v:line style="position:absolute;mso-position-horizontal-relative:page;mso-position-vertical-relative:page;z-index:29320"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60960" from="405.061005pt,-18.554295pt" to="405.061005pt,16.311579pt" stroked="true" strokeweight=".35pt" strokecolor="#231f20">
            <w10:wrap type="none"/>
          </v:line>
        </w:pict>
      </w:r>
      <w:r>
        <w:rPr/>
        <w:pict>
          <v:line style="position:absolute;mso-position-horizontal-relative:page;mso-position-vertical-relative:paragraph;z-index:29248" from="15pt,-18.554522pt" to="0pt,-18.554522pt" stroked="true" strokeweight=".25pt" strokecolor="#000000">
            <w10:wrap type="none"/>
          </v:line>
        </w:pict>
      </w:r>
      <w:r>
        <w:rPr/>
        <w:pict>
          <v:line style="position:absolute;mso-position-horizontal-relative:page;mso-position-vertical-relative:paragraph;z-index:29272"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239</w:t>
      </w:r>
    </w:p>
    <w:p>
      <w:pPr>
        <w:spacing w:before="634"/>
        <w:ind w:left="2427" w:right="0" w:firstLine="0"/>
        <w:jc w:val="left"/>
        <w:rPr>
          <w:rFonts w:ascii="Arial" w:hAnsi="Arial"/>
          <w:sz w:val="18"/>
        </w:rPr>
      </w:pPr>
      <w:r>
        <w:rPr>
          <w:rFonts w:ascii="Arial" w:hAnsi="Arial"/>
          <w:color w:val="231F20"/>
          <w:sz w:val="18"/>
        </w:rPr>
        <w:t>Cuadro 1. Características de los mexiquenses retornados desde  Texas</w:t>
      </w:r>
    </w:p>
    <w:p>
      <w:pPr>
        <w:pStyle w:val="BodyText"/>
        <w:spacing w:before="5"/>
        <w:rPr>
          <w:rFonts w:ascii="Arial"/>
          <w:sz w:val="13"/>
        </w:rPr>
      </w:pPr>
    </w:p>
    <w:tbl>
      <w:tblPr>
        <w:tblW w:w="0" w:type="auto"/>
        <w:jc w:val="left"/>
        <w:tblInd w:w="232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432"/>
        <w:gridCol w:w="3506"/>
      </w:tblGrid>
      <w:tr>
        <w:trPr>
          <w:trHeight w:val="340" w:hRule="exact"/>
        </w:trPr>
        <w:tc>
          <w:tcPr>
            <w:tcW w:w="2432" w:type="dxa"/>
          </w:tcPr>
          <w:p>
            <w:pPr>
              <w:pStyle w:val="TableParagraph"/>
              <w:spacing w:before="88"/>
              <w:ind w:left="741" w:right="64"/>
              <w:rPr>
                <w:rFonts w:ascii="Arial"/>
                <w:sz w:val="18"/>
              </w:rPr>
            </w:pPr>
            <w:r>
              <w:rPr>
                <w:rFonts w:ascii="Arial"/>
                <w:color w:val="231F20"/>
                <w:w w:val="105"/>
                <w:sz w:val="18"/>
              </w:rPr>
              <w:t>Retornados</w:t>
            </w:r>
          </w:p>
        </w:tc>
        <w:tc>
          <w:tcPr>
            <w:tcW w:w="3506" w:type="dxa"/>
          </w:tcPr>
          <w:p>
            <w:pPr/>
          </w:p>
        </w:tc>
      </w:tr>
      <w:tr>
        <w:trPr>
          <w:trHeight w:val="556" w:hRule="exact"/>
        </w:trPr>
        <w:tc>
          <w:tcPr>
            <w:tcW w:w="2432" w:type="dxa"/>
          </w:tcPr>
          <w:p>
            <w:pPr>
              <w:pStyle w:val="TableParagraph"/>
              <w:spacing w:before="4"/>
              <w:rPr>
                <w:rFonts w:ascii="Arial"/>
                <w:sz w:val="17"/>
              </w:rPr>
            </w:pPr>
          </w:p>
          <w:p>
            <w:pPr>
              <w:pStyle w:val="TableParagraph"/>
              <w:spacing w:before="0"/>
              <w:ind w:left="77" w:right="64"/>
              <w:rPr>
                <w:sz w:val="18"/>
              </w:rPr>
            </w:pPr>
            <w:r>
              <w:rPr>
                <w:color w:val="231F20"/>
                <w:w w:val="105"/>
                <w:sz w:val="18"/>
              </w:rPr>
              <w:t>Edad promedio</w:t>
            </w:r>
          </w:p>
        </w:tc>
        <w:tc>
          <w:tcPr>
            <w:tcW w:w="3506" w:type="dxa"/>
          </w:tcPr>
          <w:p>
            <w:pPr>
              <w:pStyle w:val="TableParagraph"/>
              <w:spacing w:line="254" w:lineRule="auto"/>
              <w:ind w:left="77" w:right="1612"/>
              <w:rPr>
                <w:sz w:val="18"/>
              </w:rPr>
            </w:pPr>
            <w:r>
              <w:rPr>
                <w:color w:val="231F20"/>
                <w:w w:val="105"/>
                <w:sz w:val="18"/>
              </w:rPr>
              <w:t>Al emigrar: 24.5 años Actual: 39.6 años</w:t>
            </w:r>
          </w:p>
        </w:tc>
      </w:tr>
      <w:tr>
        <w:trPr>
          <w:trHeight w:val="988" w:hRule="exact"/>
        </w:trPr>
        <w:tc>
          <w:tcPr>
            <w:tcW w:w="2432" w:type="dxa"/>
          </w:tcPr>
          <w:p>
            <w:pPr>
              <w:pStyle w:val="TableParagraph"/>
              <w:spacing w:before="0"/>
              <w:rPr>
                <w:rFonts w:ascii="Arial"/>
                <w:sz w:val="18"/>
              </w:rPr>
            </w:pPr>
          </w:p>
          <w:p>
            <w:pPr>
              <w:pStyle w:val="TableParagraph"/>
              <w:spacing w:before="1"/>
              <w:rPr>
                <w:rFonts w:ascii="Arial"/>
                <w:sz w:val="18"/>
              </w:rPr>
            </w:pPr>
          </w:p>
          <w:p>
            <w:pPr>
              <w:pStyle w:val="TableParagraph"/>
              <w:spacing w:before="0"/>
              <w:ind w:left="77" w:right="64"/>
              <w:rPr>
                <w:sz w:val="18"/>
              </w:rPr>
            </w:pPr>
            <w:r>
              <w:rPr>
                <w:color w:val="231F20"/>
                <w:sz w:val="18"/>
              </w:rPr>
              <w:t>Estado civil al emigrar</w:t>
            </w:r>
          </w:p>
        </w:tc>
        <w:tc>
          <w:tcPr>
            <w:tcW w:w="3506" w:type="dxa"/>
          </w:tcPr>
          <w:p>
            <w:pPr>
              <w:pStyle w:val="TableParagraph"/>
              <w:ind w:left="77" w:right="1612"/>
              <w:rPr>
                <w:sz w:val="18"/>
              </w:rPr>
            </w:pPr>
            <w:r>
              <w:rPr>
                <w:color w:val="231F20"/>
                <w:sz w:val="18"/>
              </w:rPr>
              <w:t>Casado: 37.5%</w:t>
            </w:r>
          </w:p>
          <w:p>
            <w:pPr>
              <w:pStyle w:val="TableParagraph"/>
              <w:spacing w:before="12"/>
              <w:ind w:left="77" w:right="1612"/>
              <w:rPr>
                <w:sz w:val="18"/>
              </w:rPr>
            </w:pPr>
            <w:r>
              <w:rPr>
                <w:color w:val="231F20"/>
                <w:sz w:val="18"/>
              </w:rPr>
              <w:t>Separado: 2.5%</w:t>
            </w:r>
          </w:p>
          <w:p>
            <w:pPr>
              <w:pStyle w:val="TableParagraph"/>
              <w:spacing w:before="12"/>
              <w:ind w:left="77" w:right="1612"/>
              <w:rPr>
                <w:sz w:val="18"/>
              </w:rPr>
            </w:pPr>
            <w:r>
              <w:rPr>
                <w:color w:val="231F20"/>
                <w:sz w:val="18"/>
              </w:rPr>
              <w:t>Soltero: 55%</w:t>
            </w:r>
          </w:p>
          <w:p>
            <w:pPr>
              <w:pStyle w:val="TableParagraph"/>
              <w:spacing w:before="12"/>
              <w:ind w:left="77" w:right="1612"/>
              <w:rPr>
                <w:sz w:val="18"/>
              </w:rPr>
            </w:pPr>
            <w:r>
              <w:rPr>
                <w:color w:val="231F20"/>
                <w:w w:val="105"/>
                <w:sz w:val="18"/>
              </w:rPr>
              <w:t>Unión libre: 5%</w:t>
            </w:r>
          </w:p>
        </w:tc>
      </w:tr>
      <w:tr>
        <w:trPr>
          <w:trHeight w:val="340" w:hRule="exact"/>
        </w:trPr>
        <w:tc>
          <w:tcPr>
            <w:tcW w:w="2432" w:type="dxa"/>
          </w:tcPr>
          <w:p>
            <w:pPr>
              <w:pStyle w:val="TableParagraph"/>
              <w:ind w:left="77" w:right="64"/>
              <w:rPr>
                <w:sz w:val="18"/>
              </w:rPr>
            </w:pPr>
            <w:r>
              <w:rPr>
                <w:color w:val="231F20"/>
                <w:sz w:val="18"/>
              </w:rPr>
              <w:t>Escolaridad actual</w:t>
            </w:r>
          </w:p>
        </w:tc>
        <w:tc>
          <w:tcPr>
            <w:tcW w:w="3506" w:type="dxa"/>
          </w:tcPr>
          <w:p>
            <w:pPr>
              <w:pStyle w:val="TableParagraph"/>
              <w:ind w:left="77"/>
              <w:rPr>
                <w:sz w:val="18"/>
              </w:rPr>
            </w:pPr>
            <w:r>
              <w:rPr>
                <w:color w:val="231F20"/>
                <w:w w:val="105"/>
                <w:sz w:val="18"/>
              </w:rPr>
              <w:t>8.575 grados acumulados</w:t>
            </w:r>
          </w:p>
        </w:tc>
      </w:tr>
      <w:tr>
        <w:trPr>
          <w:trHeight w:val="340" w:hRule="exact"/>
        </w:trPr>
        <w:tc>
          <w:tcPr>
            <w:tcW w:w="2432" w:type="dxa"/>
          </w:tcPr>
          <w:p>
            <w:pPr>
              <w:pStyle w:val="TableParagraph"/>
              <w:ind w:left="77" w:right="64"/>
              <w:rPr>
                <w:sz w:val="18"/>
              </w:rPr>
            </w:pPr>
            <w:r>
              <w:rPr>
                <w:color w:val="231F20"/>
                <w:w w:val="105"/>
                <w:sz w:val="18"/>
              </w:rPr>
              <w:t>Número de hijos promedio</w:t>
            </w:r>
          </w:p>
        </w:tc>
        <w:tc>
          <w:tcPr>
            <w:tcW w:w="3506" w:type="dxa"/>
          </w:tcPr>
          <w:p>
            <w:pPr>
              <w:pStyle w:val="TableParagraph"/>
              <w:ind w:left="77" w:right="1612"/>
              <w:rPr>
                <w:sz w:val="18"/>
              </w:rPr>
            </w:pPr>
            <w:r>
              <w:rPr>
                <w:color w:val="231F20"/>
                <w:sz w:val="18"/>
              </w:rPr>
              <w:t>2.05  (0h =17.5%)</w:t>
            </w:r>
          </w:p>
        </w:tc>
      </w:tr>
      <w:tr>
        <w:trPr>
          <w:trHeight w:val="556" w:hRule="exact"/>
        </w:trPr>
        <w:tc>
          <w:tcPr>
            <w:tcW w:w="2432" w:type="dxa"/>
          </w:tcPr>
          <w:p>
            <w:pPr>
              <w:pStyle w:val="TableParagraph"/>
              <w:spacing w:before="4"/>
              <w:rPr>
                <w:rFonts w:ascii="Arial"/>
                <w:sz w:val="17"/>
              </w:rPr>
            </w:pPr>
          </w:p>
          <w:p>
            <w:pPr>
              <w:pStyle w:val="TableParagraph"/>
              <w:spacing w:before="0"/>
              <w:ind w:left="77" w:right="64"/>
              <w:rPr>
                <w:sz w:val="18"/>
              </w:rPr>
            </w:pPr>
            <w:r>
              <w:rPr>
                <w:color w:val="231F20"/>
                <w:sz w:val="18"/>
              </w:rPr>
              <w:t>Experiencia laboral previa</w:t>
            </w:r>
          </w:p>
        </w:tc>
        <w:tc>
          <w:tcPr>
            <w:tcW w:w="3506" w:type="dxa"/>
          </w:tcPr>
          <w:p>
            <w:pPr>
              <w:pStyle w:val="TableParagraph"/>
              <w:ind w:left="77" w:right="1612"/>
              <w:rPr>
                <w:sz w:val="18"/>
              </w:rPr>
            </w:pPr>
            <w:r>
              <w:rPr>
                <w:color w:val="231F20"/>
                <w:sz w:val="18"/>
              </w:rPr>
              <w:t>Ninguna: 7.5%</w:t>
            </w:r>
          </w:p>
          <w:p>
            <w:pPr>
              <w:pStyle w:val="TableParagraph"/>
              <w:spacing w:before="12"/>
              <w:ind w:left="77" w:right="1612"/>
              <w:rPr>
                <w:sz w:val="18"/>
              </w:rPr>
            </w:pPr>
            <w:r>
              <w:rPr>
                <w:color w:val="231F20"/>
                <w:sz w:val="18"/>
              </w:rPr>
              <w:t>Alguna: 92.5%</w:t>
            </w:r>
          </w:p>
        </w:tc>
      </w:tr>
      <w:tr>
        <w:trPr>
          <w:trHeight w:val="556" w:hRule="exact"/>
        </w:trPr>
        <w:tc>
          <w:tcPr>
            <w:tcW w:w="2432" w:type="dxa"/>
          </w:tcPr>
          <w:p>
            <w:pPr>
              <w:pStyle w:val="TableParagraph"/>
              <w:spacing w:line="254" w:lineRule="auto"/>
              <w:ind w:left="77" w:right="64"/>
              <w:rPr>
                <w:sz w:val="18"/>
              </w:rPr>
            </w:pPr>
            <w:r>
              <w:rPr>
                <w:color w:val="231F20"/>
                <w:sz w:val="18"/>
              </w:rPr>
              <w:t>Número de viajes a Estados Unidos</w:t>
            </w:r>
          </w:p>
        </w:tc>
        <w:tc>
          <w:tcPr>
            <w:tcW w:w="3506" w:type="dxa"/>
          </w:tcPr>
          <w:p>
            <w:pPr>
              <w:pStyle w:val="TableParagraph"/>
              <w:ind w:left="77" w:right="1612"/>
              <w:rPr>
                <w:sz w:val="18"/>
              </w:rPr>
            </w:pPr>
            <w:r>
              <w:rPr>
                <w:color w:val="231F20"/>
                <w:sz w:val="18"/>
              </w:rPr>
              <w:t>Un viaje: 50%</w:t>
            </w:r>
          </w:p>
          <w:p>
            <w:pPr>
              <w:pStyle w:val="TableParagraph"/>
              <w:spacing w:before="12"/>
              <w:ind w:left="77"/>
              <w:rPr>
                <w:sz w:val="18"/>
              </w:rPr>
            </w:pPr>
            <w:r>
              <w:rPr>
                <w:color w:val="231F20"/>
                <w:sz w:val="18"/>
              </w:rPr>
              <w:t>Dos y más viajes: 50%</w:t>
            </w:r>
          </w:p>
        </w:tc>
      </w:tr>
      <w:tr>
        <w:trPr>
          <w:trHeight w:val="556" w:hRule="exact"/>
        </w:trPr>
        <w:tc>
          <w:tcPr>
            <w:tcW w:w="2432" w:type="dxa"/>
          </w:tcPr>
          <w:p>
            <w:pPr>
              <w:pStyle w:val="TableParagraph"/>
              <w:spacing w:before="4"/>
              <w:rPr>
                <w:rFonts w:ascii="Arial"/>
                <w:sz w:val="17"/>
              </w:rPr>
            </w:pPr>
          </w:p>
          <w:p>
            <w:pPr>
              <w:pStyle w:val="TableParagraph"/>
              <w:spacing w:before="0"/>
              <w:ind w:left="77" w:right="64"/>
              <w:rPr>
                <w:sz w:val="18"/>
              </w:rPr>
            </w:pPr>
            <w:r>
              <w:rPr>
                <w:color w:val="231F20"/>
                <w:w w:val="105"/>
                <w:sz w:val="18"/>
              </w:rPr>
              <w:t>Periodo de los viajes:</w:t>
            </w:r>
          </w:p>
        </w:tc>
        <w:tc>
          <w:tcPr>
            <w:tcW w:w="3506" w:type="dxa"/>
          </w:tcPr>
          <w:p>
            <w:pPr>
              <w:pStyle w:val="TableParagraph"/>
              <w:ind w:left="77"/>
              <w:rPr>
                <w:sz w:val="18"/>
              </w:rPr>
            </w:pPr>
            <w:r>
              <w:rPr>
                <w:color w:val="231F20"/>
                <w:w w:val="105"/>
                <w:sz w:val="18"/>
              </w:rPr>
              <w:t>Primeros: Desde 1965 hasta 2010</w:t>
            </w:r>
          </w:p>
          <w:p>
            <w:pPr>
              <w:pStyle w:val="TableParagraph"/>
              <w:spacing w:before="12"/>
              <w:ind w:left="77"/>
              <w:rPr>
                <w:sz w:val="18"/>
              </w:rPr>
            </w:pPr>
            <w:r>
              <w:rPr>
                <w:color w:val="231F20"/>
                <w:w w:val="105"/>
                <w:sz w:val="18"/>
              </w:rPr>
              <w:t>Últimos: Desde 1977 hasta 2012</w:t>
            </w:r>
          </w:p>
        </w:tc>
      </w:tr>
      <w:tr>
        <w:trPr>
          <w:trHeight w:val="988" w:hRule="exact"/>
        </w:trPr>
        <w:tc>
          <w:tcPr>
            <w:tcW w:w="2432" w:type="dxa"/>
          </w:tcPr>
          <w:p>
            <w:pPr>
              <w:pStyle w:val="TableParagraph"/>
              <w:spacing w:before="8"/>
              <w:rPr>
                <w:rFonts w:ascii="Arial"/>
                <w:sz w:val="26"/>
              </w:rPr>
            </w:pPr>
          </w:p>
          <w:p>
            <w:pPr>
              <w:pStyle w:val="TableParagraph"/>
              <w:spacing w:line="254" w:lineRule="auto" w:before="0"/>
              <w:ind w:left="77" w:right="64"/>
              <w:rPr>
                <w:sz w:val="18"/>
              </w:rPr>
            </w:pPr>
            <w:r>
              <w:rPr>
                <w:color w:val="231F20"/>
                <w:spacing w:val="-3"/>
                <w:w w:val="105"/>
                <w:sz w:val="18"/>
              </w:rPr>
              <w:t>Duración</w:t>
            </w:r>
            <w:r>
              <w:rPr>
                <w:color w:val="231F20"/>
                <w:spacing w:val="-40"/>
                <w:w w:val="105"/>
                <w:sz w:val="18"/>
              </w:rPr>
              <w:t> </w:t>
            </w:r>
            <w:r>
              <w:rPr>
                <w:color w:val="231F20"/>
                <w:spacing w:val="-3"/>
                <w:w w:val="105"/>
                <w:sz w:val="18"/>
              </w:rPr>
              <w:t>efectiva</w:t>
            </w:r>
            <w:r>
              <w:rPr>
                <w:color w:val="231F20"/>
                <w:spacing w:val="-40"/>
                <w:w w:val="105"/>
                <w:sz w:val="18"/>
              </w:rPr>
              <w:t> </w:t>
            </w:r>
            <w:r>
              <w:rPr>
                <w:color w:val="231F20"/>
                <w:w w:val="105"/>
                <w:sz w:val="18"/>
              </w:rPr>
              <w:t>en</w:t>
            </w:r>
            <w:r>
              <w:rPr>
                <w:color w:val="231F20"/>
                <w:spacing w:val="-40"/>
                <w:w w:val="105"/>
                <w:sz w:val="18"/>
              </w:rPr>
              <w:t> </w:t>
            </w:r>
            <w:r>
              <w:rPr>
                <w:color w:val="231F20"/>
                <w:spacing w:val="-3"/>
                <w:w w:val="105"/>
                <w:sz w:val="18"/>
              </w:rPr>
              <w:t>Estados </w:t>
            </w:r>
            <w:r>
              <w:rPr>
                <w:color w:val="231F20"/>
                <w:w w:val="105"/>
                <w:sz w:val="18"/>
              </w:rPr>
              <w:t>Unidos*</w:t>
            </w:r>
          </w:p>
        </w:tc>
        <w:tc>
          <w:tcPr>
            <w:tcW w:w="3506" w:type="dxa"/>
          </w:tcPr>
          <w:p>
            <w:pPr>
              <w:pStyle w:val="TableParagraph"/>
              <w:ind w:left="77"/>
              <w:rPr>
                <w:sz w:val="18"/>
              </w:rPr>
            </w:pPr>
            <w:r>
              <w:rPr>
                <w:color w:val="231F20"/>
                <w:w w:val="105"/>
                <w:sz w:val="18"/>
              </w:rPr>
              <w:t>Menos de un año: 2.8%</w:t>
            </w:r>
          </w:p>
          <w:p>
            <w:pPr>
              <w:pStyle w:val="TableParagraph"/>
              <w:spacing w:line="254" w:lineRule="auto" w:before="12"/>
              <w:ind w:left="77" w:right="972"/>
              <w:rPr>
                <w:sz w:val="18"/>
              </w:rPr>
            </w:pPr>
            <w:r>
              <w:rPr>
                <w:color w:val="231F20"/>
                <w:sz w:val="18"/>
              </w:rPr>
              <w:t>Entre uno y cinco años: 52.5% Entre cinco y diez años: 30% Diez y más años: 12.5%</w:t>
            </w:r>
          </w:p>
        </w:tc>
      </w:tr>
    </w:tbl>
    <w:p>
      <w:pPr>
        <w:spacing w:before="78"/>
        <w:ind w:left="2324" w:right="0" w:firstLine="0"/>
        <w:jc w:val="left"/>
        <w:rPr>
          <w:sz w:val="16"/>
        </w:rPr>
      </w:pPr>
      <w:r>
        <w:rPr>
          <w:color w:val="231F20"/>
          <w:w w:val="105"/>
          <w:sz w:val="16"/>
        </w:rPr>
        <w:t>Fuente: elaboración propia.</w:t>
      </w:r>
    </w:p>
    <w:p>
      <w:pPr>
        <w:spacing w:line="254" w:lineRule="auto" w:before="11"/>
        <w:ind w:left="2324" w:right="2208" w:firstLine="0"/>
        <w:jc w:val="left"/>
        <w:rPr>
          <w:sz w:val="16"/>
        </w:rPr>
      </w:pPr>
      <w:r>
        <w:rPr>
          <w:color w:val="231F20"/>
          <w:w w:val="105"/>
          <w:sz w:val="16"/>
        </w:rPr>
        <w:t>*Tiempo</w:t>
      </w:r>
      <w:r>
        <w:rPr>
          <w:color w:val="231F20"/>
          <w:spacing w:val="-23"/>
          <w:w w:val="105"/>
          <w:sz w:val="16"/>
        </w:rPr>
        <w:t> </w:t>
      </w:r>
      <w:r>
        <w:rPr>
          <w:color w:val="231F20"/>
          <w:w w:val="105"/>
          <w:sz w:val="16"/>
        </w:rPr>
        <w:t>efectivo</w:t>
      </w:r>
      <w:r>
        <w:rPr>
          <w:color w:val="231F20"/>
          <w:spacing w:val="-23"/>
          <w:w w:val="105"/>
          <w:sz w:val="16"/>
        </w:rPr>
        <w:t> </w:t>
      </w:r>
      <w:r>
        <w:rPr>
          <w:color w:val="231F20"/>
          <w:w w:val="105"/>
          <w:sz w:val="16"/>
        </w:rPr>
        <w:t>pasado</w:t>
      </w:r>
      <w:r>
        <w:rPr>
          <w:color w:val="231F20"/>
          <w:spacing w:val="-23"/>
          <w:w w:val="105"/>
          <w:sz w:val="16"/>
        </w:rPr>
        <w:t> </w:t>
      </w:r>
      <w:r>
        <w:rPr>
          <w:color w:val="231F20"/>
          <w:w w:val="105"/>
          <w:sz w:val="16"/>
        </w:rPr>
        <w:t>en</w:t>
      </w:r>
      <w:r>
        <w:rPr>
          <w:color w:val="231F20"/>
          <w:spacing w:val="-23"/>
          <w:w w:val="105"/>
          <w:sz w:val="16"/>
        </w:rPr>
        <w:t> </w:t>
      </w:r>
      <w:r>
        <w:rPr>
          <w:color w:val="231F20"/>
          <w:w w:val="105"/>
          <w:sz w:val="16"/>
        </w:rPr>
        <w:t>Estados</w:t>
      </w:r>
      <w:r>
        <w:rPr>
          <w:color w:val="231F20"/>
          <w:spacing w:val="-23"/>
          <w:w w:val="105"/>
          <w:sz w:val="16"/>
        </w:rPr>
        <w:t> </w:t>
      </w:r>
      <w:r>
        <w:rPr>
          <w:color w:val="231F20"/>
          <w:w w:val="105"/>
          <w:sz w:val="16"/>
        </w:rPr>
        <w:t>Unidos</w:t>
      </w:r>
      <w:r>
        <w:rPr>
          <w:color w:val="231F20"/>
          <w:spacing w:val="-23"/>
          <w:w w:val="105"/>
          <w:sz w:val="16"/>
        </w:rPr>
        <w:t> </w:t>
      </w:r>
      <w:r>
        <w:rPr>
          <w:color w:val="231F20"/>
          <w:w w:val="105"/>
          <w:sz w:val="16"/>
        </w:rPr>
        <w:t>descontando</w:t>
      </w:r>
      <w:r>
        <w:rPr>
          <w:color w:val="231F20"/>
          <w:spacing w:val="-23"/>
          <w:w w:val="105"/>
          <w:sz w:val="16"/>
        </w:rPr>
        <w:t> </w:t>
      </w:r>
      <w:r>
        <w:rPr>
          <w:color w:val="231F20"/>
          <w:w w:val="105"/>
          <w:sz w:val="16"/>
        </w:rPr>
        <w:t>tiempos</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estancias</w:t>
      </w:r>
      <w:r>
        <w:rPr>
          <w:color w:val="231F20"/>
          <w:spacing w:val="-23"/>
          <w:w w:val="105"/>
          <w:sz w:val="16"/>
        </w:rPr>
        <w:t> </w:t>
      </w:r>
      <w:r>
        <w:rPr>
          <w:color w:val="231F20"/>
          <w:w w:val="105"/>
          <w:sz w:val="16"/>
        </w:rPr>
        <w:t>en México</w:t>
      </w:r>
      <w:r>
        <w:rPr>
          <w:color w:val="231F20"/>
          <w:spacing w:val="-23"/>
          <w:w w:val="105"/>
          <w:sz w:val="16"/>
        </w:rPr>
        <w:t> </w:t>
      </w:r>
      <w:r>
        <w:rPr>
          <w:color w:val="231F20"/>
          <w:w w:val="105"/>
          <w:sz w:val="16"/>
        </w:rPr>
        <w:t>en</w:t>
      </w:r>
      <w:r>
        <w:rPr>
          <w:color w:val="231F20"/>
          <w:spacing w:val="-23"/>
          <w:w w:val="105"/>
          <w:sz w:val="16"/>
        </w:rPr>
        <w:t> </w:t>
      </w:r>
      <w:r>
        <w:rPr>
          <w:color w:val="231F20"/>
          <w:w w:val="105"/>
          <w:sz w:val="16"/>
        </w:rPr>
        <w:t>sus</w:t>
      </w:r>
      <w:r>
        <w:rPr>
          <w:color w:val="231F20"/>
          <w:spacing w:val="-23"/>
          <w:w w:val="105"/>
          <w:sz w:val="16"/>
        </w:rPr>
        <w:t> </w:t>
      </w:r>
      <w:r>
        <w:rPr>
          <w:color w:val="231F20"/>
          <w:w w:val="105"/>
          <w:sz w:val="16"/>
        </w:rPr>
        <w:t>retornos</w:t>
      </w:r>
      <w:r>
        <w:rPr>
          <w:color w:val="231F20"/>
          <w:spacing w:val="-23"/>
          <w:w w:val="105"/>
          <w:sz w:val="16"/>
        </w:rPr>
        <w:t> </w:t>
      </w:r>
      <w:r>
        <w:rPr>
          <w:color w:val="231F20"/>
          <w:w w:val="105"/>
          <w:sz w:val="16"/>
        </w:rPr>
        <w:t>intermedios.</w:t>
      </w:r>
    </w:p>
    <w:p>
      <w:pPr>
        <w:pStyle w:val="BodyText"/>
        <w:rPr>
          <w:sz w:val="16"/>
        </w:rPr>
      </w:pPr>
    </w:p>
    <w:p>
      <w:pPr>
        <w:pStyle w:val="BodyText"/>
        <w:rPr>
          <w:sz w:val="16"/>
        </w:rPr>
      </w:pPr>
    </w:p>
    <w:p>
      <w:pPr>
        <w:pStyle w:val="BodyText"/>
        <w:spacing w:before="7"/>
        <w:rPr>
          <w:sz w:val="17"/>
        </w:rPr>
      </w:pPr>
    </w:p>
    <w:p>
      <w:pPr>
        <w:pStyle w:val="BodyText"/>
        <w:spacing w:line="261" w:lineRule="auto"/>
        <w:ind w:left="1837" w:right="1716"/>
        <w:jc w:val="both"/>
      </w:pPr>
      <w:r>
        <w:rPr>
          <w:color w:val="231F20"/>
        </w:rPr>
        <w:t>Se advierte que sólo seis retornados no contaban con experiencia laboral antes de emigrar, eran estudiantes y amas de casa; pero más del 90%    ya poseía conocimientos laborales. </w:t>
      </w:r>
      <w:r>
        <w:rPr>
          <w:color w:val="231F20"/>
          <w:spacing w:val="-6"/>
        </w:rPr>
        <w:t>Por </w:t>
      </w:r>
      <w:r>
        <w:rPr>
          <w:color w:val="231F20"/>
        </w:rPr>
        <w:t>ejemplo, quienes fueron emplea- dos de gobierno, tiendas, paraestatales, labores agrícolas, ayudantes de construcción, eventuales, obreros generales, limpieza, ventas ambulan- tes, ayudantes de restaurantes, mil usos, sólo realizaban tareas laborales básicas; mientras los que fueron empleados especializados de gobierno, banco, empresa, herreros, soldadores, choferes de camiones de carga, maestros y responsables de obra civil, mecánicos, fontaneros, obreros especialistas, ejecutivos de ventas, labores de cocina y los profesionistas, ejercían tareas laborales que requerían conocimientos calificados.</w:t>
      </w:r>
      <w:r>
        <w:rPr>
          <w:color w:val="231F20"/>
          <w:position w:val="7"/>
          <w:sz w:val="12"/>
        </w:rPr>
        <w:t>5 </w:t>
      </w:r>
      <w:r>
        <w:rPr>
          <w:color w:val="231F20"/>
        </w:rPr>
        <w:t>En suma, la emigración hacia </w:t>
      </w:r>
      <w:r>
        <w:rPr>
          <w:color w:val="231F20"/>
          <w:spacing w:val="-5"/>
        </w:rPr>
        <w:t>Texas </w:t>
      </w:r>
      <w:r>
        <w:rPr>
          <w:color w:val="231F20"/>
        </w:rPr>
        <w:t>fue selectiva en escolaridad, edad y </w:t>
      </w:r>
      <w:r>
        <w:rPr>
          <w:color w:val="231F20"/>
          <w:spacing w:val="-2"/>
        </w:rPr>
        <w:t>ex- </w:t>
      </w:r>
      <w:r>
        <w:rPr>
          <w:color w:val="231F20"/>
        </w:rPr>
        <w:t>periencia laboral, además el migrante llevaba la imagen de la  </w:t>
      </w:r>
      <w:r>
        <w:rPr>
          <w:color w:val="231F20"/>
          <w:spacing w:val="19"/>
        </w:rPr>
        <w:t> </w:t>
      </w:r>
      <w:r>
        <w:rPr>
          <w:color w:val="231F20"/>
        </w:rPr>
        <w:t>separación</w:t>
      </w:r>
    </w:p>
    <w:p>
      <w:pPr>
        <w:pStyle w:val="BodyText"/>
        <w:spacing w:before="6"/>
      </w:pPr>
      <w:r>
        <w:rPr/>
        <w:pict>
          <v:line style="position:absolute;mso-position-horizontal-relative:page;mso-position-vertical-relative:paragraph;z-index:29200;mso-wrap-distance-left:0;mso-wrap-distance-right:0" from="91.866096pt,14.29513pt" to="205.252096pt,14.29513pt" stroked="true" strokeweight=".25pt" strokecolor="#231f20">
            <w10:wrap type="topAndBottom"/>
          </v:line>
        </w:pict>
      </w:r>
    </w:p>
    <w:p>
      <w:pPr>
        <w:spacing w:line="192" w:lineRule="exact" w:before="7"/>
        <w:ind w:left="1837" w:right="1721" w:hanging="1"/>
        <w:jc w:val="both"/>
        <w:rPr>
          <w:rFonts w:ascii="Calibri" w:hAnsi="Calibri"/>
          <w:sz w:val="16"/>
        </w:rPr>
      </w:pPr>
      <w:r>
        <w:rPr>
          <w:rFonts w:ascii="Calibri" w:hAnsi="Calibri"/>
          <w:color w:val="414042"/>
          <w:position w:val="5"/>
          <w:sz w:val="9"/>
        </w:rPr>
        <w:t>5 </w:t>
      </w:r>
      <w:r>
        <w:rPr>
          <w:rFonts w:ascii="Calibri" w:hAnsi="Calibri"/>
          <w:color w:val="414042"/>
          <w:sz w:val="16"/>
        </w:rPr>
        <w:t>El nivel de calificación laboral se obtiene en esta sección, y en el resto del trabajo, con base en la propia mención de los retornados, considerando cómo se calificaba la tarea que realizaban, el tipo de conoci- miento que les requería y el pago que recibían.</w:t>
      </w:r>
    </w:p>
    <w:p>
      <w:pPr>
        <w:spacing w:after="0" w:line="192" w:lineRule="exact"/>
        <w:jc w:val="both"/>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34"/>
        <w:jc w:val="both"/>
      </w:pPr>
      <w:r>
        <w:rPr/>
        <w:pict>
          <v:line style="position:absolute;mso-position-horizontal-relative:page;mso-position-vertical-relative:paragraph;z-index:29392" from="15pt,-68.636444pt" to="0pt,-68.636444pt" stroked="true" strokeweight=".25pt" strokecolor="#000000">
            <w10:wrap type="none"/>
          </v:line>
        </w:pict>
      </w:r>
      <w:r>
        <w:rPr/>
        <w:pict>
          <v:line style="position:absolute;mso-position-horizontal-relative:page;mso-position-vertical-relative:paragraph;z-index:29416" from="508.890015pt,-68.636444pt" to="523.890015pt,-68.636444pt" stroked="true" strokeweight=".25pt" strokecolor="#000000">
            <w10:wrap type="none"/>
          </v:line>
        </w:pict>
      </w:r>
      <w:r>
        <w:rPr>
          <w:color w:val="231F20"/>
          <w:w w:val="105"/>
        </w:rPr>
        <w:t>y</w:t>
      </w:r>
      <w:r>
        <w:rPr>
          <w:color w:val="231F20"/>
          <w:spacing w:val="-20"/>
          <w:w w:val="105"/>
        </w:rPr>
        <w:t> </w:t>
      </w:r>
      <w:r>
        <w:rPr>
          <w:color w:val="231F20"/>
          <w:w w:val="105"/>
        </w:rPr>
        <w:t>necesidades</w:t>
      </w:r>
      <w:r>
        <w:rPr>
          <w:color w:val="231F20"/>
          <w:spacing w:val="-20"/>
          <w:w w:val="105"/>
        </w:rPr>
        <w:t> </w:t>
      </w:r>
      <w:r>
        <w:rPr>
          <w:color w:val="231F20"/>
          <w:w w:val="105"/>
        </w:rPr>
        <w:t>de</w:t>
      </w:r>
      <w:r>
        <w:rPr>
          <w:color w:val="231F20"/>
          <w:spacing w:val="-20"/>
          <w:w w:val="105"/>
        </w:rPr>
        <w:t> </w:t>
      </w:r>
      <w:r>
        <w:rPr>
          <w:color w:val="231F20"/>
          <w:w w:val="105"/>
        </w:rPr>
        <w:t>su</w:t>
      </w:r>
      <w:r>
        <w:rPr>
          <w:color w:val="231F20"/>
          <w:spacing w:val="-20"/>
          <w:w w:val="105"/>
        </w:rPr>
        <w:t> </w:t>
      </w:r>
      <w:r>
        <w:rPr>
          <w:color w:val="231F20"/>
          <w:w w:val="105"/>
        </w:rPr>
        <w:t>hogar,</w:t>
      </w:r>
      <w:r>
        <w:rPr>
          <w:color w:val="231F20"/>
          <w:spacing w:val="-25"/>
          <w:w w:val="105"/>
        </w:rPr>
        <w:t> </w:t>
      </w:r>
      <w:r>
        <w:rPr>
          <w:color w:val="231F20"/>
          <w:w w:val="105"/>
        </w:rPr>
        <w:t>así</w:t>
      </w:r>
      <w:r>
        <w:rPr>
          <w:color w:val="231F20"/>
          <w:spacing w:val="-20"/>
          <w:w w:val="105"/>
        </w:rPr>
        <w:t> </w:t>
      </w:r>
      <w:r>
        <w:rPr>
          <w:color w:val="231F20"/>
          <w:w w:val="105"/>
        </w:rPr>
        <w:t>como</w:t>
      </w:r>
      <w:r>
        <w:rPr>
          <w:color w:val="231F20"/>
          <w:spacing w:val="-20"/>
          <w:w w:val="105"/>
        </w:rPr>
        <w:t> </w:t>
      </w:r>
      <w:r>
        <w:rPr>
          <w:color w:val="231F20"/>
          <w:w w:val="105"/>
        </w:rPr>
        <w:t>los</w:t>
      </w:r>
      <w:r>
        <w:rPr>
          <w:color w:val="231F20"/>
          <w:spacing w:val="-20"/>
          <w:w w:val="105"/>
        </w:rPr>
        <w:t> </w:t>
      </w:r>
      <w:r>
        <w:rPr>
          <w:color w:val="231F20"/>
          <w:w w:val="105"/>
        </w:rPr>
        <w:t>compromisos</w:t>
      </w:r>
      <w:r>
        <w:rPr>
          <w:color w:val="231F20"/>
          <w:spacing w:val="-20"/>
          <w:w w:val="105"/>
        </w:rPr>
        <w:t> </w:t>
      </w:r>
      <w:r>
        <w:rPr>
          <w:color w:val="231F20"/>
          <w:w w:val="105"/>
        </w:rPr>
        <w:t>que</w:t>
      </w:r>
      <w:r>
        <w:rPr>
          <w:color w:val="231F20"/>
          <w:spacing w:val="-20"/>
          <w:w w:val="105"/>
        </w:rPr>
        <w:t> </w:t>
      </w:r>
      <w:r>
        <w:rPr>
          <w:color w:val="231F20"/>
          <w:w w:val="105"/>
        </w:rPr>
        <w:t>asumió</w:t>
      </w:r>
      <w:r>
        <w:rPr>
          <w:color w:val="231F20"/>
          <w:spacing w:val="-20"/>
          <w:w w:val="105"/>
        </w:rPr>
        <w:t> </w:t>
      </w:r>
      <w:r>
        <w:rPr>
          <w:color w:val="231F20"/>
          <w:w w:val="105"/>
        </w:rPr>
        <w:t>antes de partir, condiciones que lo motivan y fuerzan para soportar dificulta- des,</w:t>
      </w:r>
      <w:r>
        <w:rPr>
          <w:color w:val="231F20"/>
          <w:spacing w:val="-13"/>
          <w:w w:val="105"/>
        </w:rPr>
        <w:t> </w:t>
      </w:r>
      <w:r>
        <w:rPr>
          <w:color w:val="231F20"/>
          <w:w w:val="105"/>
        </w:rPr>
        <w:t>además</w:t>
      </w:r>
      <w:r>
        <w:rPr>
          <w:color w:val="231F20"/>
          <w:spacing w:val="-8"/>
          <w:w w:val="105"/>
        </w:rPr>
        <w:t> </w:t>
      </w:r>
      <w:r>
        <w:rPr>
          <w:color w:val="231F20"/>
          <w:w w:val="105"/>
        </w:rPr>
        <w:t>de</w:t>
      </w:r>
      <w:r>
        <w:rPr>
          <w:color w:val="231F20"/>
          <w:spacing w:val="-8"/>
          <w:w w:val="105"/>
        </w:rPr>
        <w:t> </w:t>
      </w:r>
      <w:r>
        <w:rPr>
          <w:color w:val="231F20"/>
          <w:w w:val="105"/>
        </w:rPr>
        <w:t>permitirle</w:t>
      </w:r>
      <w:r>
        <w:rPr>
          <w:color w:val="231F20"/>
          <w:spacing w:val="-8"/>
          <w:w w:val="105"/>
        </w:rPr>
        <w:t> </w:t>
      </w:r>
      <w:r>
        <w:rPr>
          <w:color w:val="231F20"/>
          <w:w w:val="105"/>
        </w:rPr>
        <w:t>aprender</w:t>
      </w:r>
      <w:r>
        <w:rPr>
          <w:color w:val="231F20"/>
          <w:spacing w:val="-8"/>
          <w:w w:val="105"/>
        </w:rPr>
        <w:t> </w:t>
      </w:r>
      <w:r>
        <w:rPr>
          <w:color w:val="231F20"/>
          <w:w w:val="105"/>
        </w:rPr>
        <w:t>conocimientos</w:t>
      </w:r>
      <w:r>
        <w:rPr>
          <w:color w:val="231F20"/>
          <w:spacing w:val="-8"/>
          <w:w w:val="105"/>
        </w:rPr>
        <w:t> </w:t>
      </w:r>
      <w:r>
        <w:rPr>
          <w:color w:val="231F20"/>
          <w:w w:val="105"/>
        </w:rPr>
        <w:t>laborales</w:t>
      </w:r>
      <w:r>
        <w:rPr>
          <w:color w:val="231F20"/>
          <w:spacing w:val="-8"/>
          <w:w w:val="105"/>
        </w:rPr>
        <w:t> </w:t>
      </w:r>
      <w:r>
        <w:rPr>
          <w:color w:val="231F20"/>
          <w:w w:val="105"/>
        </w:rPr>
        <w:t>formales</w:t>
      </w:r>
      <w:r>
        <w:rPr>
          <w:color w:val="231F20"/>
          <w:spacing w:val="-8"/>
          <w:w w:val="105"/>
        </w:rPr>
        <w:t> </w:t>
      </w:r>
      <w:r>
        <w:rPr>
          <w:color w:val="231F20"/>
          <w:w w:val="105"/>
        </w:rPr>
        <w:t>y tácitos,</w:t>
      </w:r>
      <w:r>
        <w:rPr>
          <w:color w:val="231F20"/>
          <w:spacing w:val="-33"/>
          <w:w w:val="105"/>
        </w:rPr>
        <w:t> </w:t>
      </w:r>
      <w:r>
        <w:rPr>
          <w:color w:val="231F20"/>
          <w:w w:val="105"/>
        </w:rPr>
        <w:t>así</w:t>
      </w:r>
      <w:r>
        <w:rPr>
          <w:color w:val="231F20"/>
          <w:spacing w:val="-30"/>
          <w:w w:val="105"/>
        </w:rPr>
        <w:t> </w:t>
      </w:r>
      <w:r>
        <w:rPr>
          <w:color w:val="231F20"/>
          <w:w w:val="105"/>
        </w:rPr>
        <w:t>como</w:t>
      </w:r>
      <w:r>
        <w:rPr>
          <w:color w:val="231F20"/>
          <w:spacing w:val="-30"/>
          <w:w w:val="105"/>
        </w:rPr>
        <w:t> </w:t>
      </w:r>
      <w:r>
        <w:rPr>
          <w:color w:val="231F20"/>
          <w:w w:val="105"/>
        </w:rPr>
        <w:t>las</w:t>
      </w:r>
      <w:r>
        <w:rPr>
          <w:color w:val="231F20"/>
          <w:spacing w:val="-30"/>
          <w:w w:val="105"/>
        </w:rPr>
        <w:t> </w:t>
      </w:r>
      <w:r>
        <w:rPr>
          <w:color w:val="231F20"/>
          <w:w w:val="105"/>
        </w:rPr>
        <w:t>actitudes</w:t>
      </w:r>
      <w:r>
        <w:rPr>
          <w:color w:val="231F20"/>
          <w:spacing w:val="-30"/>
          <w:w w:val="105"/>
        </w:rPr>
        <w:t> </w:t>
      </w:r>
      <w:r>
        <w:rPr>
          <w:color w:val="231F20"/>
          <w:w w:val="105"/>
        </w:rPr>
        <w:t>socio</w:t>
      </w:r>
      <w:r>
        <w:rPr>
          <w:color w:val="231F20"/>
          <w:spacing w:val="-30"/>
          <w:w w:val="105"/>
        </w:rPr>
        <w:t> </w:t>
      </w:r>
      <w:r>
        <w:rPr>
          <w:color w:val="231F20"/>
          <w:w w:val="105"/>
        </w:rPr>
        <w:t>personales</w:t>
      </w:r>
      <w:r>
        <w:rPr>
          <w:color w:val="231F20"/>
          <w:spacing w:val="-30"/>
          <w:w w:val="105"/>
        </w:rPr>
        <w:t> </w:t>
      </w:r>
      <w:r>
        <w:rPr>
          <w:color w:val="231F20"/>
          <w:w w:val="105"/>
        </w:rPr>
        <w:t>vinculadas.</w:t>
      </w:r>
    </w:p>
    <w:p>
      <w:pPr>
        <w:pStyle w:val="BodyText"/>
        <w:spacing w:line="261" w:lineRule="auto" w:before="1"/>
        <w:ind w:left="1723" w:right="1834" w:firstLine="567"/>
        <w:jc w:val="both"/>
      </w:pPr>
      <w:r>
        <w:rPr>
          <w:color w:val="231F20"/>
          <w:w w:val="105"/>
        </w:rPr>
        <w:t>Otro aspecto importante es el entorno de la emigración. Como  se</w:t>
      </w:r>
      <w:r>
        <w:rPr>
          <w:color w:val="231F20"/>
          <w:spacing w:val="-13"/>
          <w:w w:val="105"/>
        </w:rPr>
        <w:t> </w:t>
      </w:r>
      <w:r>
        <w:rPr>
          <w:color w:val="231F20"/>
          <w:w w:val="105"/>
        </w:rPr>
        <w:t>aprecia</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gráfica</w:t>
      </w:r>
      <w:r>
        <w:rPr>
          <w:color w:val="231F20"/>
          <w:spacing w:val="-13"/>
          <w:w w:val="105"/>
        </w:rPr>
        <w:t> </w:t>
      </w:r>
      <w:r>
        <w:rPr>
          <w:color w:val="231F20"/>
          <w:w w:val="105"/>
        </w:rPr>
        <w:t>1,</w:t>
      </w:r>
      <w:r>
        <w:rPr>
          <w:color w:val="231F20"/>
          <w:spacing w:val="-19"/>
          <w:w w:val="105"/>
        </w:rPr>
        <w:t> </w:t>
      </w:r>
      <w:r>
        <w:rPr>
          <w:color w:val="231F20"/>
          <w:w w:val="105"/>
        </w:rPr>
        <w:t>estos</w:t>
      </w:r>
      <w:r>
        <w:rPr>
          <w:color w:val="231F20"/>
          <w:spacing w:val="-13"/>
          <w:w w:val="105"/>
        </w:rPr>
        <w:t> </w:t>
      </w:r>
      <w:r>
        <w:rPr>
          <w:color w:val="231F20"/>
          <w:w w:val="105"/>
        </w:rPr>
        <w:t>retornados</w:t>
      </w:r>
      <w:r>
        <w:rPr>
          <w:color w:val="231F20"/>
          <w:spacing w:val="-13"/>
          <w:w w:val="105"/>
        </w:rPr>
        <w:t> </w:t>
      </w:r>
      <w:r>
        <w:rPr>
          <w:color w:val="231F20"/>
          <w:w w:val="105"/>
        </w:rPr>
        <w:t>comenzaron</w:t>
      </w:r>
      <w:r>
        <w:rPr>
          <w:color w:val="231F20"/>
          <w:spacing w:val="-13"/>
          <w:w w:val="105"/>
        </w:rPr>
        <w:t> </w:t>
      </w:r>
      <w:r>
        <w:rPr>
          <w:color w:val="231F20"/>
          <w:w w:val="105"/>
        </w:rPr>
        <w:t>a</w:t>
      </w:r>
      <w:r>
        <w:rPr>
          <w:color w:val="231F20"/>
          <w:spacing w:val="-13"/>
          <w:w w:val="105"/>
        </w:rPr>
        <w:t> </w:t>
      </w:r>
      <w:r>
        <w:rPr>
          <w:color w:val="231F20"/>
          <w:w w:val="105"/>
        </w:rPr>
        <w:t>emigrar</w:t>
      </w:r>
      <w:r>
        <w:rPr>
          <w:color w:val="231F20"/>
          <w:spacing w:val="-13"/>
          <w:w w:val="105"/>
        </w:rPr>
        <w:t> </w:t>
      </w:r>
      <w:r>
        <w:rPr>
          <w:color w:val="231F20"/>
          <w:w w:val="105"/>
        </w:rPr>
        <w:t>hacia </w:t>
      </w:r>
      <w:r>
        <w:rPr>
          <w:color w:val="231F20"/>
          <w:spacing w:val="-5"/>
          <w:w w:val="105"/>
        </w:rPr>
        <w:t>Texas </w:t>
      </w:r>
      <w:r>
        <w:rPr>
          <w:color w:val="231F20"/>
          <w:w w:val="105"/>
        </w:rPr>
        <w:t>desde 1965, básicamente eran hombres que llegaban a laborar como</w:t>
      </w:r>
      <w:r>
        <w:rPr>
          <w:color w:val="231F20"/>
          <w:spacing w:val="-14"/>
          <w:w w:val="105"/>
        </w:rPr>
        <w:t> </w:t>
      </w:r>
      <w:r>
        <w:rPr>
          <w:color w:val="231F20"/>
          <w:w w:val="105"/>
        </w:rPr>
        <w:t>obreros</w:t>
      </w:r>
      <w:r>
        <w:rPr>
          <w:color w:val="231F20"/>
          <w:spacing w:val="-14"/>
          <w:w w:val="105"/>
        </w:rPr>
        <w:t> </w:t>
      </w:r>
      <w:r>
        <w:rPr>
          <w:color w:val="231F20"/>
          <w:w w:val="105"/>
        </w:rPr>
        <w:t>en</w:t>
      </w:r>
      <w:r>
        <w:rPr>
          <w:color w:val="231F20"/>
          <w:spacing w:val="-14"/>
          <w:w w:val="105"/>
        </w:rPr>
        <w:t> </w:t>
      </w:r>
      <w:r>
        <w:rPr>
          <w:color w:val="231F20"/>
          <w:w w:val="105"/>
        </w:rPr>
        <w:t>fábricas,</w:t>
      </w:r>
      <w:r>
        <w:rPr>
          <w:color w:val="231F20"/>
          <w:spacing w:val="-19"/>
          <w:w w:val="105"/>
        </w:rPr>
        <w:t> </w:t>
      </w:r>
      <w:r>
        <w:rPr>
          <w:color w:val="231F20"/>
          <w:w w:val="105"/>
        </w:rPr>
        <w:t>construcción</w:t>
      </w:r>
      <w:r>
        <w:rPr>
          <w:color w:val="231F20"/>
          <w:spacing w:val="-14"/>
          <w:w w:val="105"/>
        </w:rPr>
        <w:t> </w:t>
      </w:r>
      <w:r>
        <w:rPr>
          <w:color w:val="231F20"/>
          <w:w w:val="105"/>
        </w:rPr>
        <w:t>y</w:t>
      </w:r>
      <w:r>
        <w:rPr>
          <w:color w:val="231F20"/>
          <w:spacing w:val="-14"/>
          <w:w w:val="105"/>
        </w:rPr>
        <w:t> </w:t>
      </w:r>
      <w:r>
        <w:rPr>
          <w:color w:val="231F20"/>
          <w:w w:val="105"/>
        </w:rPr>
        <w:t>empacadoras.</w:t>
      </w:r>
      <w:r>
        <w:rPr>
          <w:color w:val="231F20"/>
          <w:spacing w:val="-19"/>
          <w:w w:val="105"/>
        </w:rPr>
        <w:t> </w:t>
      </w:r>
      <w:r>
        <w:rPr>
          <w:color w:val="231F20"/>
          <w:w w:val="105"/>
        </w:rPr>
        <w:t>Hasta</w:t>
      </w:r>
      <w:r>
        <w:rPr>
          <w:color w:val="231F20"/>
          <w:spacing w:val="-14"/>
          <w:w w:val="105"/>
        </w:rPr>
        <w:t> </w:t>
      </w:r>
      <w:r>
        <w:rPr>
          <w:color w:val="231F20"/>
          <w:w w:val="105"/>
        </w:rPr>
        <w:t>1989,</w:t>
      </w:r>
      <w:r>
        <w:rPr>
          <w:color w:val="231F20"/>
          <w:spacing w:val="-19"/>
          <w:w w:val="105"/>
        </w:rPr>
        <w:t> </w:t>
      </w:r>
      <w:r>
        <w:rPr>
          <w:color w:val="231F20"/>
          <w:w w:val="105"/>
        </w:rPr>
        <w:t>las mujeres</w:t>
      </w:r>
      <w:r>
        <w:rPr>
          <w:color w:val="231F20"/>
          <w:spacing w:val="-19"/>
          <w:w w:val="105"/>
        </w:rPr>
        <w:t> </w:t>
      </w:r>
      <w:r>
        <w:rPr>
          <w:color w:val="231F20"/>
          <w:w w:val="105"/>
        </w:rPr>
        <w:t>se</w:t>
      </w:r>
      <w:r>
        <w:rPr>
          <w:color w:val="231F20"/>
          <w:spacing w:val="-19"/>
          <w:w w:val="105"/>
        </w:rPr>
        <w:t> </w:t>
      </w:r>
      <w:r>
        <w:rPr>
          <w:color w:val="231F20"/>
          <w:w w:val="105"/>
        </w:rPr>
        <w:t>incorporan</w:t>
      </w:r>
      <w:r>
        <w:rPr>
          <w:color w:val="231F20"/>
          <w:spacing w:val="-19"/>
          <w:w w:val="105"/>
        </w:rPr>
        <w:t> </w:t>
      </w:r>
      <w:r>
        <w:rPr>
          <w:color w:val="231F20"/>
          <w:w w:val="105"/>
        </w:rPr>
        <w:t>en</w:t>
      </w:r>
      <w:r>
        <w:rPr>
          <w:color w:val="231F20"/>
          <w:spacing w:val="-19"/>
          <w:w w:val="105"/>
        </w:rPr>
        <w:t> </w:t>
      </w:r>
      <w:r>
        <w:rPr>
          <w:color w:val="231F20"/>
          <w:w w:val="105"/>
        </w:rPr>
        <w:t>forma</w:t>
      </w:r>
      <w:r>
        <w:rPr>
          <w:color w:val="231F20"/>
          <w:spacing w:val="-19"/>
          <w:w w:val="105"/>
        </w:rPr>
        <w:t> </w:t>
      </w:r>
      <w:r>
        <w:rPr>
          <w:color w:val="231F20"/>
          <w:w w:val="105"/>
        </w:rPr>
        <w:t>tenue</w:t>
      </w:r>
      <w:r>
        <w:rPr>
          <w:color w:val="231F20"/>
          <w:spacing w:val="-19"/>
          <w:w w:val="105"/>
        </w:rPr>
        <w:t> </w:t>
      </w:r>
      <w:r>
        <w:rPr>
          <w:color w:val="231F20"/>
          <w:w w:val="105"/>
        </w:rPr>
        <w:t>pero</w:t>
      </w:r>
      <w:r>
        <w:rPr>
          <w:color w:val="231F20"/>
          <w:spacing w:val="-19"/>
          <w:w w:val="105"/>
        </w:rPr>
        <w:t> </w:t>
      </w:r>
      <w:r>
        <w:rPr>
          <w:color w:val="231F20"/>
          <w:w w:val="105"/>
        </w:rPr>
        <w:t>regular</w:t>
      </w:r>
      <w:r>
        <w:rPr>
          <w:color w:val="231F20"/>
          <w:spacing w:val="-19"/>
          <w:w w:val="105"/>
        </w:rPr>
        <w:t> </w:t>
      </w:r>
      <w:r>
        <w:rPr>
          <w:color w:val="231F20"/>
          <w:w w:val="105"/>
        </w:rPr>
        <w:t>en</w:t>
      </w:r>
      <w:r>
        <w:rPr>
          <w:color w:val="231F20"/>
          <w:spacing w:val="-19"/>
          <w:w w:val="105"/>
        </w:rPr>
        <w:t> </w:t>
      </w:r>
      <w:r>
        <w:rPr>
          <w:color w:val="231F20"/>
          <w:w w:val="105"/>
        </w:rPr>
        <w:t>esta</w:t>
      </w:r>
      <w:r>
        <w:rPr>
          <w:color w:val="231F20"/>
          <w:spacing w:val="-19"/>
          <w:w w:val="105"/>
        </w:rPr>
        <w:t> </w:t>
      </w:r>
      <w:r>
        <w:rPr>
          <w:color w:val="231F20"/>
          <w:w w:val="105"/>
        </w:rPr>
        <w:t>migración,</w:t>
      </w:r>
      <w:r>
        <w:rPr>
          <w:color w:val="231F20"/>
          <w:spacing w:val="-25"/>
          <w:w w:val="105"/>
        </w:rPr>
        <w:t> </w:t>
      </w:r>
      <w:r>
        <w:rPr>
          <w:color w:val="231F20"/>
          <w:w w:val="105"/>
        </w:rPr>
        <w:t>de hecho</w:t>
      </w:r>
      <w:r>
        <w:rPr>
          <w:color w:val="231F20"/>
          <w:spacing w:val="-22"/>
          <w:w w:val="105"/>
        </w:rPr>
        <w:t> </w:t>
      </w:r>
      <w:r>
        <w:rPr>
          <w:color w:val="231F20"/>
          <w:w w:val="105"/>
        </w:rPr>
        <w:t>más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mitad</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mujeres</w:t>
      </w:r>
      <w:r>
        <w:rPr>
          <w:color w:val="231F20"/>
          <w:spacing w:val="-22"/>
          <w:w w:val="105"/>
        </w:rPr>
        <w:t> </w:t>
      </w:r>
      <w:r>
        <w:rPr>
          <w:color w:val="231F20"/>
          <w:w w:val="105"/>
        </w:rPr>
        <w:t>retornadas</w:t>
      </w:r>
      <w:r>
        <w:rPr>
          <w:color w:val="231F20"/>
          <w:spacing w:val="-22"/>
          <w:w w:val="105"/>
        </w:rPr>
        <w:t> </w:t>
      </w:r>
      <w:r>
        <w:rPr>
          <w:color w:val="231F20"/>
          <w:w w:val="105"/>
        </w:rPr>
        <w:t>señalan</w:t>
      </w:r>
      <w:r>
        <w:rPr>
          <w:color w:val="231F20"/>
          <w:spacing w:val="-22"/>
          <w:w w:val="105"/>
        </w:rPr>
        <w:t> </w:t>
      </w:r>
      <w:r>
        <w:rPr>
          <w:color w:val="231F20"/>
          <w:w w:val="105"/>
        </w:rPr>
        <w:t>que</w:t>
      </w:r>
      <w:r>
        <w:rPr>
          <w:color w:val="231F20"/>
          <w:spacing w:val="-22"/>
          <w:w w:val="105"/>
        </w:rPr>
        <w:t> </w:t>
      </w:r>
      <w:r>
        <w:rPr>
          <w:color w:val="231F20"/>
          <w:w w:val="105"/>
        </w:rPr>
        <w:t>su</w:t>
      </w:r>
      <w:r>
        <w:rPr>
          <w:color w:val="231F20"/>
          <w:spacing w:val="-22"/>
          <w:w w:val="105"/>
        </w:rPr>
        <w:t> </w:t>
      </w:r>
      <w:r>
        <w:rPr>
          <w:color w:val="231F20"/>
          <w:w w:val="105"/>
        </w:rPr>
        <w:t>emigra- ción ocurrió después del año</w:t>
      </w:r>
      <w:r>
        <w:rPr>
          <w:color w:val="231F20"/>
          <w:spacing w:val="-42"/>
          <w:w w:val="105"/>
        </w:rPr>
        <w:t> </w:t>
      </w:r>
      <w:r>
        <w:rPr>
          <w:color w:val="231F20"/>
          <w:w w:val="105"/>
        </w:rPr>
        <w:t>2000.</w:t>
      </w:r>
    </w:p>
    <w:p>
      <w:pPr>
        <w:pStyle w:val="BodyText"/>
        <w:spacing w:before="4"/>
      </w:pPr>
    </w:p>
    <w:p>
      <w:pPr>
        <w:spacing w:before="0"/>
        <w:ind w:left="3449" w:right="0" w:firstLine="0"/>
        <w:jc w:val="left"/>
        <w:rPr>
          <w:rFonts w:ascii="Arial" w:hAnsi="Arial"/>
          <w:sz w:val="18"/>
        </w:rPr>
      </w:pPr>
      <w:r>
        <w:rPr/>
        <w:drawing>
          <wp:anchor distT="0" distB="0" distL="0" distR="0" allowOverlap="1" layoutInCell="1" locked="0" behindDoc="0" simplePos="0" relativeHeight="29344">
            <wp:simplePos x="0" y="0"/>
            <wp:positionH relativeFrom="page">
              <wp:posOffset>1609509</wp:posOffset>
            </wp:positionH>
            <wp:positionV relativeFrom="paragraph">
              <wp:posOffset>209689</wp:posOffset>
            </wp:positionV>
            <wp:extent cx="3321770" cy="1962912"/>
            <wp:effectExtent l="0" t="0" r="0" b="0"/>
            <wp:wrapTopAndBottom/>
            <wp:docPr id="57" name="image183.png" descr=""/>
            <wp:cNvGraphicFramePr>
              <a:graphicFrameLocks noChangeAspect="1"/>
            </wp:cNvGraphicFramePr>
            <a:graphic>
              <a:graphicData uri="http://schemas.openxmlformats.org/drawingml/2006/picture">
                <pic:pic>
                  <pic:nvPicPr>
                    <pic:cNvPr id="58" name="image183.png"/>
                    <pic:cNvPicPr/>
                  </pic:nvPicPr>
                  <pic:blipFill>
                    <a:blip r:embed="rId306" cstate="print"/>
                    <a:stretch>
                      <a:fillRect/>
                    </a:stretch>
                  </pic:blipFill>
                  <pic:spPr>
                    <a:xfrm>
                      <a:off x="0" y="0"/>
                      <a:ext cx="3321770" cy="1962912"/>
                    </a:xfrm>
                    <a:prstGeom prst="rect">
                      <a:avLst/>
                    </a:prstGeom>
                  </pic:spPr>
                </pic:pic>
              </a:graphicData>
            </a:graphic>
          </wp:anchor>
        </w:drawing>
      </w:r>
      <w:r>
        <w:rPr>
          <w:rFonts w:ascii="Arial" w:hAnsi="Arial"/>
          <w:color w:val="231F20"/>
          <w:w w:val="105"/>
          <w:sz w:val="18"/>
        </w:rPr>
        <w:t>Gráfica 1. Años de emigración hacia Texas</w:t>
      </w:r>
    </w:p>
    <w:p>
      <w:pPr>
        <w:spacing w:before="53"/>
        <w:ind w:left="2631" w:right="0" w:firstLine="0"/>
        <w:jc w:val="left"/>
        <w:rPr>
          <w:sz w:val="16"/>
        </w:rPr>
      </w:pPr>
      <w:r>
        <w:rPr>
          <w:color w:val="231F20"/>
          <w:w w:val="105"/>
          <w:sz w:val="16"/>
        </w:rPr>
        <w:t>Fuente: elaboración propia.</w:t>
      </w:r>
    </w:p>
    <w:p>
      <w:pPr>
        <w:pStyle w:val="BodyText"/>
        <w:rPr>
          <w:sz w:val="16"/>
        </w:rPr>
      </w:pPr>
    </w:p>
    <w:p>
      <w:pPr>
        <w:pStyle w:val="BodyText"/>
        <w:spacing w:line="261" w:lineRule="auto" w:before="111"/>
        <w:ind w:left="1723" w:right="1828"/>
        <w:jc w:val="both"/>
      </w:pPr>
      <w:r>
        <w:rPr>
          <w:color w:val="231F20"/>
          <w:spacing w:val="-4"/>
          <w:w w:val="105"/>
        </w:rPr>
        <w:t>¿Por</w:t>
      </w:r>
      <w:r>
        <w:rPr>
          <w:color w:val="231F20"/>
          <w:spacing w:val="-14"/>
          <w:w w:val="105"/>
        </w:rPr>
        <w:t> </w:t>
      </w:r>
      <w:r>
        <w:rPr>
          <w:color w:val="231F20"/>
          <w:w w:val="105"/>
        </w:rPr>
        <w:t>qué</w:t>
      </w:r>
      <w:r>
        <w:rPr>
          <w:color w:val="231F20"/>
          <w:spacing w:val="-14"/>
          <w:w w:val="105"/>
        </w:rPr>
        <w:t> </w:t>
      </w:r>
      <w:r>
        <w:rPr>
          <w:color w:val="231F20"/>
          <w:w w:val="105"/>
        </w:rPr>
        <w:t>emigraron</w:t>
      </w:r>
      <w:r>
        <w:rPr>
          <w:color w:val="231F20"/>
          <w:spacing w:val="-14"/>
          <w:w w:val="105"/>
        </w:rPr>
        <w:t> </w:t>
      </w:r>
      <w:r>
        <w:rPr>
          <w:color w:val="231F20"/>
          <w:w w:val="105"/>
        </w:rPr>
        <w:t>al</w:t>
      </w:r>
      <w:r>
        <w:rPr>
          <w:color w:val="231F20"/>
          <w:spacing w:val="-14"/>
          <w:w w:val="105"/>
        </w:rPr>
        <w:t> </w:t>
      </w:r>
      <w:r>
        <w:rPr>
          <w:color w:val="231F20"/>
          <w:w w:val="105"/>
        </w:rPr>
        <w:t>extranjero?</w:t>
      </w:r>
      <w:r>
        <w:rPr>
          <w:color w:val="231F20"/>
          <w:spacing w:val="-14"/>
          <w:w w:val="105"/>
        </w:rPr>
        <w:t> </w:t>
      </w:r>
      <w:r>
        <w:rPr>
          <w:color w:val="231F20"/>
          <w:w w:val="105"/>
        </w:rPr>
        <w:t>Una</w:t>
      </w:r>
      <w:r>
        <w:rPr>
          <w:color w:val="231F20"/>
          <w:spacing w:val="-14"/>
          <w:w w:val="105"/>
        </w:rPr>
        <w:t> </w:t>
      </w:r>
      <w:r>
        <w:rPr>
          <w:color w:val="231F20"/>
          <w:w w:val="105"/>
        </w:rPr>
        <w:t>parte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respuesta</w:t>
      </w:r>
      <w:r>
        <w:rPr>
          <w:color w:val="231F20"/>
          <w:spacing w:val="-14"/>
          <w:w w:val="105"/>
        </w:rPr>
        <w:t> </w:t>
      </w:r>
      <w:r>
        <w:rPr>
          <w:color w:val="231F20"/>
          <w:w w:val="105"/>
        </w:rPr>
        <w:t>se</w:t>
      </w:r>
      <w:r>
        <w:rPr>
          <w:color w:val="231F20"/>
          <w:spacing w:val="-14"/>
          <w:w w:val="105"/>
        </w:rPr>
        <w:t> </w:t>
      </w:r>
      <w:r>
        <w:rPr>
          <w:color w:val="231F20"/>
          <w:w w:val="105"/>
        </w:rPr>
        <w:t>encuen- tra</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condiciones</w:t>
      </w:r>
      <w:r>
        <w:rPr>
          <w:color w:val="231F20"/>
          <w:spacing w:val="-10"/>
          <w:w w:val="105"/>
        </w:rPr>
        <w:t> </w:t>
      </w:r>
      <w:r>
        <w:rPr>
          <w:color w:val="231F20"/>
          <w:w w:val="105"/>
        </w:rPr>
        <w:t>económicas</w:t>
      </w:r>
      <w:r>
        <w:rPr>
          <w:color w:val="231F20"/>
          <w:spacing w:val="-10"/>
          <w:w w:val="105"/>
        </w:rPr>
        <w:t> </w:t>
      </w:r>
      <w:r>
        <w:rPr>
          <w:color w:val="231F20"/>
          <w:w w:val="105"/>
        </w:rPr>
        <w:t>y</w:t>
      </w:r>
      <w:r>
        <w:rPr>
          <w:color w:val="231F20"/>
          <w:spacing w:val="-10"/>
          <w:w w:val="105"/>
        </w:rPr>
        <w:t> </w:t>
      </w:r>
      <w:r>
        <w:rPr>
          <w:color w:val="231F20"/>
          <w:w w:val="105"/>
        </w:rPr>
        <w:t>emocionales</w:t>
      </w:r>
      <w:r>
        <w:rPr>
          <w:color w:val="231F20"/>
          <w:spacing w:val="-10"/>
          <w:w w:val="105"/>
        </w:rPr>
        <w:t> </w:t>
      </w:r>
      <w:r>
        <w:rPr>
          <w:color w:val="231F20"/>
          <w:w w:val="105"/>
        </w:rPr>
        <w:t>que</w:t>
      </w:r>
      <w:r>
        <w:rPr>
          <w:color w:val="231F20"/>
          <w:spacing w:val="-10"/>
          <w:w w:val="105"/>
        </w:rPr>
        <w:t> </w:t>
      </w:r>
      <w:r>
        <w:rPr>
          <w:color w:val="231F20"/>
          <w:w w:val="105"/>
        </w:rPr>
        <w:t>los</w:t>
      </w:r>
      <w:r>
        <w:rPr>
          <w:color w:val="231F20"/>
          <w:spacing w:val="-10"/>
          <w:w w:val="105"/>
        </w:rPr>
        <w:t> </w:t>
      </w:r>
      <w:r>
        <w:rPr>
          <w:color w:val="231F20"/>
          <w:w w:val="105"/>
        </w:rPr>
        <w:t>retornados</w:t>
      </w:r>
      <w:r>
        <w:rPr>
          <w:color w:val="231F20"/>
          <w:spacing w:val="-10"/>
          <w:w w:val="105"/>
        </w:rPr>
        <w:t> </w:t>
      </w:r>
      <w:r>
        <w:rPr>
          <w:color w:val="231F20"/>
          <w:w w:val="105"/>
        </w:rPr>
        <w:t>vi- vían</w:t>
      </w:r>
      <w:r>
        <w:rPr>
          <w:color w:val="231F20"/>
          <w:spacing w:val="-14"/>
          <w:w w:val="105"/>
        </w:rPr>
        <w:t> </w:t>
      </w:r>
      <w:r>
        <w:rPr>
          <w:color w:val="231F20"/>
          <w:w w:val="105"/>
        </w:rPr>
        <w:t>antes</w:t>
      </w:r>
      <w:r>
        <w:rPr>
          <w:color w:val="231F20"/>
          <w:spacing w:val="-14"/>
          <w:w w:val="105"/>
        </w:rPr>
        <w:t> </w:t>
      </w:r>
      <w:r>
        <w:rPr>
          <w:color w:val="231F20"/>
          <w:w w:val="105"/>
        </w:rPr>
        <w:t>de</w:t>
      </w:r>
      <w:r>
        <w:rPr>
          <w:color w:val="231F20"/>
          <w:spacing w:val="-14"/>
          <w:w w:val="105"/>
        </w:rPr>
        <w:t> </w:t>
      </w:r>
      <w:r>
        <w:rPr>
          <w:color w:val="231F20"/>
          <w:w w:val="105"/>
        </w:rPr>
        <w:t>partir.</w:t>
      </w:r>
      <w:r>
        <w:rPr>
          <w:color w:val="231F20"/>
          <w:spacing w:val="-18"/>
          <w:w w:val="105"/>
        </w:rPr>
        <w:t> </w:t>
      </w:r>
      <w:r>
        <w:rPr>
          <w:color w:val="231F20"/>
          <w:w w:val="105"/>
        </w:rPr>
        <w:t>Sin</w:t>
      </w:r>
      <w:r>
        <w:rPr>
          <w:color w:val="231F20"/>
          <w:spacing w:val="-14"/>
          <w:w w:val="105"/>
        </w:rPr>
        <w:t> </w:t>
      </w:r>
      <w:r>
        <w:rPr>
          <w:color w:val="231F20"/>
          <w:w w:val="105"/>
        </w:rPr>
        <w:t>rechazar</w:t>
      </w:r>
      <w:r>
        <w:rPr>
          <w:color w:val="231F20"/>
          <w:spacing w:val="-14"/>
          <w:w w:val="105"/>
        </w:rPr>
        <w:t> </w:t>
      </w:r>
      <w:r>
        <w:rPr>
          <w:color w:val="231F20"/>
          <w:w w:val="105"/>
        </w:rPr>
        <w:t>la</w:t>
      </w:r>
      <w:r>
        <w:rPr>
          <w:color w:val="231F20"/>
          <w:spacing w:val="-14"/>
          <w:w w:val="105"/>
        </w:rPr>
        <w:t> </w:t>
      </w:r>
      <w:r>
        <w:rPr>
          <w:color w:val="231F20"/>
          <w:w w:val="105"/>
        </w:rPr>
        <w:t>influencia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carencia</w:t>
      </w:r>
      <w:r>
        <w:rPr>
          <w:color w:val="231F20"/>
          <w:spacing w:val="-14"/>
          <w:w w:val="105"/>
        </w:rPr>
        <w:t> </w:t>
      </w:r>
      <w:r>
        <w:rPr>
          <w:color w:val="231F20"/>
          <w:w w:val="105"/>
        </w:rPr>
        <w:t>económica, es</w:t>
      </w:r>
      <w:r>
        <w:rPr>
          <w:color w:val="231F20"/>
          <w:spacing w:val="-13"/>
          <w:w w:val="105"/>
        </w:rPr>
        <w:t> </w:t>
      </w:r>
      <w:r>
        <w:rPr>
          <w:color w:val="231F20"/>
          <w:w w:val="105"/>
        </w:rPr>
        <w:t>conocido</w:t>
      </w:r>
      <w:r>
        <w:rPr>
          <w:color w:val="231F20"/>
          <w:spacing w:val="-13"/>
          <w:w w:val="105"/>
        </w:rPr>
        <w:t> </w:t>
      </w:r>
      <w:r>
        <w:rPr>
          <w:color w:val="231F20"/>
          <w:w w:val="105"/>
        </w:rPr>
        <w:t>que</w:t>
      </w:r>
      <w:r>
        <w:rPr>
          <w:color w:val="231F20"/>
          <w:spacing w:val="-13"/>
          <w:w w:val="105"/>
        </w:rPr>
        <w:t> </w:t>
      </w:r>
      <w:r>
        <w:rPr>
          <w:color w:val="231F20"/>
          <w:w w:val="105"/>
        </w:rPr>
        <w:t>estas</w:t>
      </w:r>
      <w:r>
        <w:rPr>
          <w:color w:val="231F20"/>
          <w:spacing w:val="-13"/>
          <w:w w:val="105"/>
        </w:rPr>
        <w:t> </w:t>
      </w:r>
      <w:r>
        <w:rPr>
          <w:color w:val="231F20"/>
          <w:w w:val="105"/>
        </w:rPr>
        <w:t>circunstancias</w:t>
      </w:r>
      <w:r>
        <w:rPr>
          <w:color w:val="231F20"/>
          <w:spacing w:val="-13"/>
          <w:w w:val="105"/>
        </w:rPr>
        <w:t> </w:t>
      </w:r>
      <w:r>
        <w:rPr>
          <w:color w:val="231F20"/>
          <w:w w:val="105"/>
        </w:rPr>
        <w:t>influyen</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decisión</w:t>
      </w:r>
      <w:r>
        <w:rPr>
          <w:color w:val="231F20"/>
          <w:spacing w:val="-13"/>
          <w:w w:val="105"/>
        </w:rPr>
        <w:t> </w:t>
      </w:r>
      <w:r>
        <w:rPr>
          <w:color w:val="231F20"/>
          <w:w w:val="105"/>
        </w:rPr>
        <w:t>de</w:t>
      </w:r>
      <w:r>
        <w:rPr>
          <w:color w:val="231F20"/>
          <w:spacing w:val="-13"/>
          <w:w w:val="105"/>
        </w:rPr>
        <w:t> </w:t>
      </w:r>
      <w:r>
        <w:rPr>
          <w:color w:val="231F20"/>
          <w:w w:val="105"/>
        </w:rPr>
        <w:t>emigrar, pues</w:t>
      </w:r>
      <w:r>
        <w:rPr>
          <w:color w:val="231F20"/>
          <w:spacing w:val="-15"/>
          <w:w w:val="105"/>
        </w:rPr>
        <w:t> </w:t>
      </w:r>
      <w:r>
        <w:rPr>
          <w:color w:val="231F20"/>
          <w:w w:val="105"/>
        </w:rPr>
        <w:t>se</w:t>
      </w:r>
      <w:r>
        <w:rPr>
          <w:color w:val="231F20"/>
          <w:spacing w:val="-15"/>
          <w:w w:val="105"/>
        </w:rPr>
        <w:t> </w:t>
      </w:r>
      <w:r>
        <w:rPr>
          <w:color w:val="231F20"/>
          <w:w w:val="105"/>
        </w:rPr>
        <w:t>vinculan</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anhelos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buscan</w:t>
      </w:r>
      <w:r>
        <w:rPr>
          <w:color w:val="231F20"/>
          <w:spacing w:val="-15"/>
          <w:w w:val="105"/>
        </w:rPr>
        <w:t> </w:t>
      </w:r>
      <w:r>
        <w:rPr>
          <w:color w:val="231F20"/>
          <w:w w:val="105"/>
        </w:rPr>
        <w:t>cumplir,</w:t>
      </w:r>
      <w:r>
        <w:rPr>
          <w:color w:val="231F20"/>
          <w:spacing w:val="-21"/>
          <w:w w:val="105"/>
        </w:rPr>
        <w:t> </w:t>
      </w:r>
      <w:r>
        <w:rPr>
          <w:color w:val="231F20"/>
          <w:w w:val="105"/>
        </w:rPr>
        <w:t>el</w:t>
      </w:r>
      <w:r>
        <w:rPr>
          <w:color w:val="231F20"/>
          <w:spacing w:val="-15"/>
          <w:w w:val="105"/>
        </w:rPr>
        <w:t> </w:t>
      </w:r>
      <w:r>
        <w:rPr>
          <w:color w:val="231F20"/>
          <w:w w:val="105"/>
        </w:rPr>
        <w:t>tipo</w:t>
      </w:r>
      <w:r>
        <w:rPr>
          <w:color w:val="231F20"/>
          <w:spacing w:val="-15"/>
          <w:w w:val="105"/>
        </w:rPr>
        <w:t> </w:t>
      </w:r>
      <w:r>
        <w:rPr>
          <w:color w:val="231F20"/>
          <w:w w:val="105"/>
        </w:rPr>
        <w:t>de</w:t>
      </w:r>
      <w:r>
        <w:rPr>
          <w:color w:val="231F20"/>
          <w:spacing w:val="-15"/>
          <w:w w:val="105"/>
        </w:rPr>
        <w:t> </w:t>
      </w:r>
      <w:r>
        <w:rPr>
          <w:color w:val="231F20"/>
          <w:w w:val="105"/>
        </w:rPr>
        <w:t>vida</w:t>
      </w:r>
      <w:r>
        <w:rPr>
          <w:color w:val="231F20"/>
          <w:spacing w:val="-15"/>
          <w:w w:val="105"/>
        </w:rPr>
        <w:t> </w:t>
      </w:r>
      <w:r>
        <w:rPr>
          <w:color w:val="231F20"/>
          <w:w w:val="105"/>
        </w:rPr>
        <w:t>a</w:t>
      </w:r>
      <w:r>
        <w:rPr>
          <w:color w:val="231F20"/>
          <w:spacing w:val="-15"/>
          <w:w w:val="105"/>
        </w:rPr>
        <w:t> </w:t>
      </w:r>
      <w:r>
        <w:rPr>
          <w:color w:val="231F20"/>
          <w:w w:val="105"/>
        </w:rPr>
        <w:t>la que</w:t>
      </w:r>
      <w:r>
        <w:rPr>
          <w:color w:val="231F20"/>
          <w:spacing w:val="-24"/>
          <w:w w:val="105"/>
        </w:rPr>
        <w:t> </w:t>
      </w:r>
      <w:r>
        <w:rPr>
          <w:color w:val="231F20"/>
          <w:w w:val="105"/>
        </w:rPr>
        <w:t>se</w:t>
      </w:r>
      <w:r>
        <w:rPr>
          <w:color w:val="231F20"/>
          <w:spacing w:val="-24"/>
          <w:w w:val="105"/>
        </w:rPr>
        <w:t> </w:t>
      </w:r>
      <w:r>
        <w:rPr>
          <w:color w:val="231F20"/>
          <w:w w:val="105"/>
        </w:rPr>
        <w:t>aspira,</w:t>
      </w:r>
      <w:r>
        <w:rPr>
          <w:color w:val="231F20"/>
          <w:spacing w:val="-28"/>
          <w:w w:val="105"/>
        </w:rPr>
        <w:t> </w:t>
      </w:r>
      <w:r>
        <w:rPr>
          <w:color w:val="231F20"/>
          <w:w w:val="105"/>
        </w:rPr>
        <w:t>entre</w:t>
      </w:r>
      <w:r>
        <w:rPr>
          <w:color w:val="231F20"/>
          <w:spacing w:val="-24"/>
          <w:w w:val="105"/>
        </w:rPr>
        <w:t> </w:t>
      </w:r>
      <w:r>
        <w:rPr>
          <w:color w:val="231F20"/>
          <w:w w:val="105"/>
        </w:rPr>
        <w:t>otras</w:t>
      </w:r>
      <w:r>
        <w:rPr>
          <w:color w:val="231F20"/>
          <w:spacing w:val="-24"/>
          <w:w w:val="105"/>
        </w:rPr>
        <w:t> </w:t>
      </w:r>
      <w:r>
        <w:rPr>
          <w:color w:val="231F20"/>
          <w:w w:val="105"/>
        </w:rPr>
        <w:t>cosas.</w:t>
      </w:r>
      <w:r>
        <w:rPr>
          <w:color w:val="231F20"/>
          <w:spacing w:val="-28"/>
          <w:w w:val="105"/>
        </w:rPr>
        <w:t> </w:t>
      </w:r>
      <w:r>
        <w:rPr>
          <w:color w:val="231F20"/>
          <w:w w:val="105"/>
        </w:rPr>
        <w:t>En</w:t>
      </w:r>
      <w:r>
        <w:rPr>
          <w:color w:val="231F20"/>
          <w:spacing w:val="-24"/>
          <w:w w:val="105"/>
        </w:rPr>
        <w:t> </w:t>
      </w:r>
      <w:r>
        <w:rPr>
          <w:color w:val="231F20"/>
          <w:w w:val="105"/>
        </w:rPr>
        <w:t>este</w:t>
      </w:r>
      <w:r>
        <w:rPr>
          <w:color w:val="231F20"/>
          <w:spacing w:val="-24"/>
          <w:w w:val="105"/>
        </w:rPr>
        <w:t> </w:t>
      </w:r>
      <w:r>
        <w:rPr>
          <w:color w:val="231F20"/>
          <w:w w:val="105"/>
        </w:rPr>
        <w:t>caso,</w:t>
      </w:r>
      <w:r>
        <w:rPr>
          <w:color w:val="231F20"/>
          <w:spacing w:val="-28"/>
          <w:w w:val="105"/>
        </w:rPr>
        <w:t> </w:t>
      </w:r>
      <w:r>
        <w:rPr>
          <w:color w:val="231F20"/>
          <w:w w:val="105"/>
        </w:rPr>
        <w:t>como</w:t>
      </w:r>
      <w:r>
        <w:rPr>
          <w:color w:val="231F20"/>
          <w:spacing w:val="-24"/>
          <w:w w:val="105"/>
        </w:rPr>
        <w:t> </w:t>
      </w:r>
      <w:r>
        <w:rPr>
          <w:color w:val="231F20"/>
          <w:w w:val="105"/>
        </w:rPr>
        <w:t>muestra</w:t>
      </w:r>
      <w:r>
        <w:rPr>
          <w:color w:val="231F20"/>
          <w:spacing w:val="-24"/>
          <w:w w:val="105"/>
        </w:rPr>
        <w:t> </w:t>
      </w:r>
      <w:r>
        <w:rPr>
          <w:color w:val="231F20"/>
          <w:w w:val="105"/>
        </w:rPr>
        <w:t>el</w:t>
      </w:r>
      <w:r>
        <w:rPr>
          <w:color w:val="231F20"/>
          <w:spacing w:val="-24"/>
          <w:w w:val="105"/>
        </w:rPr>
        <w:t> </w:t>
      </w:r>
      <w:r>
        <w:rPr>
          <w:color w:val="231F20"/>
          <w:w w:val="105"/>
        </w:rPr>
        <w:t>cuadro</w:t>
      </w:r>
      <w:r>
        <w:rPr>
          <w:color w:val="231F20"/>
          <w:spacing w:val="-24"/>
          <w:w w:val="105"/>
        </w:rPr>
        <w:t> </w:t>
      </w:r>
      <w:r>
        <w:rPr>
          <w:color w:val="231F20"/>
          <w:w w:val="105"/>
        </w:rPr>
        <w:t>2, antes</w:t>
      </w:r>
      <w:r>
        <w:rPr>
          <w:color w:val="231F20"/>
          <w:spacing w:val="-8"/>
          <w:w w:val="105"/>
        </w:rPr>
        <w:t> </w:t>
      </w:r>
      <w:r>
        <w:rPr>
          <w:color w:val="231F20"/>
          <w:w w:val="105"/>
        </w:rPr>
        <w:t>de</w:t>
      </w:r>
      <w:r>
        <w:rPr>
          <w:color w:val="231F20"/>
          <w:spacing w:val="-8"/>
          <w:w w:val="105"/>
        </w:rPr>
        <w:t> </w:t>
      </w:r>
      <w:r>
        <w:rPr>
          <w:color w:val="231F20"/>
          <w:w w:val="105"/>
        </w:rPr>
        <w:t>emigrar</w:t>
      </w:r>
      <w:r>
        <w:rPr>
          <w:color w:val="231F20"/>
          <w:spacing w:val="-8"/>
          <w:w w:val="105"/>
        </w:rPr>
        <w:t> </w:t>
      </w:r>
      <w:r>
        <w:rPr>
          <w:color w:val="231F20"/>
          <w:w w:val="105"/>
        </w:rPr>
        <w:t>dos</w:t>
      </w:r>
      <w:r>
        <w:rPr>
          <w:color w:val="231F20"/>
          <w:spacing w:val="-8"/>
          <w:w w:val="105"/>
        </w:rPr>
        <w:t> </w:t>
      </w:r>
      <w:r>
        <w:rPr>
          <w:color w:val="231F20"/>
          <w:w w:val="105"/>
        </w:rPr>
        <w:t>tercios</w:t>
      </w:r>
      <w:r>
        <w:rPr>
          <w:color w:val="231F20"/>
          <w:spacing w:val="-8"/>
          <w:w w:val="105"/>
        </w:rPr>
        <w:t> </w:t>
      </w:r>
      <w:r>
        <w:rPr>
          <w:color w:val="231F20"/>
          <w:w w:val="105"/>
        </w:rPr>
        <w:t>(67.6%)</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retornados</w:t>
      </w:r>
      <w:r>
        <w:rPr>
          <w:color w:val="231F20"/>
          <w:spacing w:val="-8"/>
          <w:w w:val="105"/>
        </w:rPr>
        <w:t> </w:t>
      </w:r>
      <w:r>
        <w:rPr>
          <w:color w:val="231F20"/>
          <w:w w:val="105"/>
        </w:rPr>
        <w:t>tenían</w:t>
      </w:r>
      <w:r>
        <w:rPr>
          <w:color w:val="231F20"/>
          <w:spacing w:val="-8"/>
          <w:w w:val="105"/>
        </w:rPr>
        <w:t> </w:t>
      </w:r>
      <w:r>
        <w:rPr>
          <w:color w:val="231F20"/>
          <w:w w:val="105"/>
        </w:rPr>
        <w:t>una</w:t>
      </w:r>
      <w:r>
        <w:rPr>
          <w:color w:val="231F20"/>
          <w:spacing w:val="-8"/>
          <w:w w:val="105"/>
        </w:rPr>
        <w:t> </w:t>
      </w:r>
      <w:r>
        <w:rPr>
          <w:color w:val="231F20"/>
          <w:w w:val="105"/>
        </w:rPr>
        <w:t>mala situación</w:t>
      </w:r>
      <w:r>
        <w:rPr>
          <w:color w:val="231F20"/>
          <w:spacing w:val="-6"/>
          <w:w w:val="105"/>
        </w:rPr>
        <w:t> </w:t>
      </w:r>
      <w:r>
        <w:rPr>
          <w:color w:val="231F20"/>
          <w:w w:val="105"/>
        </w:rPr>
        <w:t>económica,</w:t>
      </w:r>
      <w:r>
        <w:rPr>
          <w:color w:val="231F20"/>
          <w:spacing w:val="-12"/>
          <w:w w:val="105"/>
        </w:rPr>
        <w:t> </w:t>
      </w:r>
      <w:r>
        <w:rPr>
          <w:color w:val="231F20"/>
          <w:w w:val="105"/>
        </w:rPr>
        <w:t>algunos</w:t>
      </w:r>
      <w:r>
        <w:rPr>
          <w:color w:val="231F20"/>
          <w:spacing w:val="-6"/>
          <w:w w:val="105"/>
        </w:rPr>
        <w:t> </w:t>
      </w:r>
      <w:r>
        <w:rPr>
          <w:color w:val="231F20"/>
          <w:w w:val="105"/>
        </w:rPr>
        <w:t>no</w:t>
      </w:r>
      <w:r>
        <w:rPr>
          <w:color w:val="231F20"/>
          <w:spacing w:val="-6"/>
          <w:w w:val="105"/>
        </w:rPr>
        <w:t> </w:t>
      </w:r>
      <w:r>
        <w:rPr>
          <w:color w:val="231F20"/>
          <w:w w:val="105"/>
        </w:rPr>
        <w:t>tenían</w:t>
      </w:r>
      <w:r>
        <w:rPr>
          <w:color w:val="231F20"/>
          <w:spacing w:val="-6"/>
          <w:w w:val="105"/>
        </w:rPr>
        <w:t> </w:t>
      </w:r>
      <w:r>
        <w:rPr>
          <w:color w:val="231F20"/>
          <w:w w:val="105"/>
        </w:rPr>
        <w:t>casa</w:t>
      </w:r>
      <w:r>
        <w:rPr>
          <w:color w:val="231F20"/>
          <w:spacing w:val="-6"/>
          <w:w w:val="105"/>
        </w:rPr>
        <w:t> </w:t>
      </w:r>
      <w:r>
        <w:rPr>
          <w:color w:val="231F20"/>
          <w:w w:val="105"/>
        </w:rPr>
        <w:t>propia,</w:t>
      </w:r>
      <w:r>
        <w:rPr>
          <w:color w:val="231F20"/>
          <w:spacing w:val="-12"/>
          <w:w w:val="105"/>
        </w:rPr>
        <w:t> </w:t>
      </w:r>
      <w:r>
        <w:rPr>
          <w:color w:val="231F20"/>
          <w:w w:val="105"/>
        </w:rPr>
        <w:t>estaban</w:t>
      </w:r>
      <w:r>
        <w:rPr>
          <w:color w:val="231F20"/>
          <w:spacing w:val="-6"/>
          <w:w w:val="105"/>
        </w:rPr>
        <w:t> </w:t>
      </w:r>
      <w:r>
        <w:rPr>
          <w:color w:val="231F20"/>
          <w:w w:val="105"/>
        </w:rPr>
        <w:t>decepcio- nados de las opciones locales para vivir, querían ayudar a sus familias y superarse. Algunos afrontaban gastos por enfermedades, inmadurez personal,</w:t>
      </w:r>
      <w:r>
        <w:rPr>
          <w:color w:val="231F20"/>
          <w:spacing w:val="-9"/>
          <w:w w:val="105"/>
        </w:rPr>
        <w:t> </w:t>
      </w:r>
      <w:r>
        <w:rPr>
          <w:color w:val="231F20"/>
          <w:w w:val="105"/>
        </w:rPr>
        <w:t>conflictos</w:t>
      </w:r>
      <w:r>
        <w:rPr>
          <w:color w:val="231F20"/>
          <w:spacing w:val="-4"/>
          <w:w w:val="105"/>
        </w:rPr>
        <w:t> </w:t>
      </w:r>
      <w:r>
        <w:rPr>
          <w:color w:val="231F20"/>
          <w:w w:val="105"/>
        </w:rPr>
        <w:t>domésticos</w:t>
      </w:r>
      <w:r>
        <w:rPr>
          <w:color w:val="231F20"/>
          <w:spacing w:val="-4"/>
          <w:w w:val="105"/>
        </w:rPr>
        <w:t> </w:t>
      </w:r>
      <w:r>
        <w:rPr>
          <w:color w:val="231F20"/>
          <w:w w:val="105"/>
        </w:rPr>
        <w:t>y</w:t>
      </w:r>
      <w:r>
        <w:rPr>
          <w:color w:val="231F20"/>
          <w:spacing w:val="-4"/>
          <w:w w:val="105"/>
        </w:rPr>
        <w:t> </w:t>
      </w:r>
      <w:r>
        <w:rPr>
          <w:color w:val="231F20"/>
          <w:w w:val="105"/>
        </w:rPr>
        <w:t>legales,</w:t>
      </w:r>
      <w:r>
        <w:rPr>
          <w:color w:val="231F20"/>
          <w:spacing w:val="-9"/>
          <w:w w:val="105"/>
        </w:rPr>
        <w:t> </w:t>
      </w:r>
      <w:r>
        <w:rPr>
          <w:color w:val="231F20"/>
          <w:w w:val="105"/>
        </w:rPr>
        <w:t>violencia,</w:t>
      </w:r>
      <w:r>
        <w:rPr>
          <w:color w:val="231F20"/>
          <w:spacing w:val="-9"/>
          <w:w w:val="105"/>
        </w:rPr>
        <w:t> </w:t>
      </w:r>
      <w:r>
        <w:rPr>
          <w:color w:val="231F20"/>
          <w:w w:val="105"/>
        </w:rPr>
        <w:t>despidos,</w:t>
      </w:r>
      <w:r>
        <w:rPr>
          <w:color w:val="231F20"/>
          <w:spacing w:val="-9"/>
          <w:w w:val="105"/>
        </w:rPr>
        <w:t> </w:t>
      </w:r>
      <w:r>
        <w:rPr>
          <w:color w:val="231F20"/>
          <w:w w:val="105"/>
        </w:rPr>
        <w:t>otros</w:t>
      </w:r>
      <w:r>
        <w:rPr>
          <w:color w:val="231F20"/>
          <w:spacing w:val="-4"/>
          <w:w w:val="105"/>
        </w:rPr>
        <w:t> </w:t>
      </w:r>
      <w:r>
        <w:rPr>
          <w:color w:val="231F20"/>
          <w:w w:val="105"/>
        </w:rPr>
        <w:t>po- cos eran hijos de migrantes y fueron llevados por los padres, algunas mujeres fueron llevadas por su pareja y un pequeño porcentaje partió buscando</w:t>
      </w:r>
      <w:r>
        <w:rPr>
          <w:color w:val="231F20"/>
          <w:spacing w:val="-24"/>
          <w:w w:val="105"/>
        </w:rPr>
        <w:t> </w:t>
      </w:r>
      <w:r>
        <w:rPr>
          <w:color w:val="231F20"/>
          <w:w w:val="105"/>
        </w:rPr>
        <w:t>aventura</w:t>
      </w:r>
      <w:r>
        <w:rPr>
          <w:color w:val="231F20"/>
          <w:spacing w:val="-24"/>
          <w:w w:val="105"/>
        </w:rPr>
        <w:t> </w:t>
      </w:r>
      <w:r>
        <w:rPr>
          <w:color w:val="231F20"/>
          <w:w w:val="105"/>
        </w:rPr>
        <w:t>(13.8%).</w:t>
      </w:r>
      <w:r>
        <w:rPr>
          <w:color w:val="231F20"/>
          <w:spacing w:val="-29"/>
          <w:w w:val="105"/>
        </w:rPr>
        <w:t> </w:t>
      </w:r>
      <w:r>
        <w:rPr>
          <w:color w:val="231F20"/>
          <w:w w:val="105"/>
        </w:rPr>
        <w:t>En</w:t>
      </w:r>
      <w:r>
        <w:rPr>
          <w:color w:val="231F20"/>
          <w:spacing w:val="-24"/>
          <w:w w:val="105"/>
        </w:rPr>
        <w:t> </w:t>
      </w:r>
      <w:r>
        <w:rPr>
          <w:color w:val="231F20"/>
          <w:w w:val="105"/>
        </w:rPr>
        <w:t>general,</w:t>
      </w:r>
      <w:r>
        <w:rPr>
          <w:color w:val="231F20"/>
          <w:spacing w:val="-29"/>
          <w:w w:val="105"/>
        </w:rPr>
        <w:t> </w:t>
      </w:r>
      <w:r>
        <w:rPr>
          <w:color w:val="231F20"/>
          <w:w w:val="105"/>
        </w:rPr>
        <w:t>aunque</w:t>
      </w:r>
      <w:r>
        <w:rPr>
          <w:color w:val="231F20"/>
          <w:spacing w:val="-24"/>
          <w:w w:val="105"/>
        </w:rPr>
        <w:t> </w:t>
      </w:r>
      <w:r>
        <w:rPr>
          <w:color w:val="231F20"/>
          <w:w w:val="105"/>
        </w:rPr>
        <w:t>la</w:t>
      </w:r>
      <w:r>
        <w:rPr>
          <w:color w:val="231F20"/>
          <w:spacing w:val="-24"/>
          <w:w w:val="105"/>
        </w:rPr>
        <w:t> </w:t>
      </w:r>
      <w:r>
        <w:rPr>
          <w:color w:val="231F20"/>
          <w:w w:val="105"/>
        </w:rPr>
        <w:t>idea</w:t>
      </w:r>
      <w:r>
        <w:rPr>
          <w:color w:val="231F20"/>
          <w:spacing w:val="-24"/>
          <w:w w:val="105"/>
        </w:rPr>
        <w:t> </w:t>
      </w:r>
      <w:r>
        <w:rPr>
          <w:color w:val="231F20"/>
          <w:w w:val="105"/>
        </w:rPr>
        <w:t>central</w:t>
      </w:r>
      <w:r>
        <w:rPr>
          <w:color w:val="231F20"/>
          <w:spacing w:val="-24"/>
          <w:w w:val="105"/>
        </w:rPr>
        <w:t> </w:t>
      </w:r>
      <w:r>
        <w:rPr>
          <w:color w:val="231F20"/>
          <w:w w:val="105"/>
        </w:rPr>
        <w:t>era</w:t>
      </w:r>
      <w:r>
        <w:rPr>
          <w:color w:val="231F20"/>
          <w:spacing w:val="-24"/>
          <w:w w:val="105"/>
        </w:rPr>
        <w:t> </w:t>
      </w:r>
      <w:r>
        <w:rPr>
          <w:color w:val="231F20"/>
          <w:w w:val="105"/>
        </w:rPr>
        <w:t>mejo- rar</w:t>
      </w:r>
      <w:r>
        <w:rPr>
          <w:color w:val="231F20"/>
          <w:spacing w:val="-20"/>
          <w:w w:val="105"/>
        </w:rPr>
        <w:t> </w:t>
      </w:r>
      <w:r>
        <w:rPr>
          <w:color w:val="231F20"/>
          <w:w w:val="105"/>
        </w:rPr>
        <w:t>en</w:t>
      </w:r>
      <w:r>
        <w:rPr>
          <w:color w:val="231F20"/>
          <w:spacing w:val="-20"/>
          <w:w w:val="105"/>
        </w:rPr>
        <w:t> </w:t>
      </w:r>
      <w:r>
        <w:rPr>
          <w:color w:val="231F20"/>
          <w:w w:val="105"/>
        </w:rPr>
        <w:t>lo</w:t>
      </w:r>
      <w:r>
        <w:rPr>
          <w:color w:val="231F20"/>
          <w:spacing w:val="-20"/>
          <w:w w:val="105"/>
        </w:rPr>
        <w:t> </w:t>
      </w:r>
      <w:r>
        <w:rPr>
          <w:color w:val="231F20"/>
          <w:w w:val="105"/>
        </w:rPr>
        <w:t>económico</w:t>
      </w:r>
      <w:r>
        <w:rPr>
          <w:color w:val="231F20"/>
          <w:spacing w:val="-20"/>
          <w:w w:val="105"/>
        </w:rPr>
        <w:t> </w:t>
      </w:r>
      <w:r>
        <w:rPr>
          <w:color w:val="231F20"/>
          <w:w w:val="105"/>
        </w:rPr>
        <w:t>y</w:t>
      </w:r>
      <w:r>
        <w:rPr>
          <w:color w:val="231F20"/>
          <w:spacing w:val="-20"/>
          <w:w w:val="105"/>
        </w:rPr>
        <w:t> </w:t>
      </w:r>
      <w:r>
        <w:rPr>
          <w:color w:val="231F20"/>
          <w:w w:val="105"/>
        </w:rPr>
        <w:t>personal,</w:t>
      </w:r>
      <w:r>
        <w:rPr>
          <w:color w:val="231F20"/>
          <w:spacing w:val="-25"/>
          <w:w w:val="105"/>
        </w:rPr>
        <w:t> </w:t>
      </w:r>
      <w:r>
        <w:rPr>
          <w:color w:val="231F20"/>
          <w:w w:val="105"/>
        </w:rPr>
        <w:t>la</w:t>
      </w:r>
      <w:r>
        <w:rPr>
          <w:color w:val="231F20"/>
          <w:spacing w:val="-20"/>
          <w:w w:val="105"/>
        </w:rPr>
        <w:t> </w:t>
      </w:r>
      <w:r>
        <w:rPr>
          <w:color w:val="231F20"/>
          <w:w w:val="105"/>
        </w:rPr>
        <w:t>migración</w:t>
      </w:r>
      <w:r>
        <w:rPr>
          <w:color w:val="231F20"/>
          <w:spacing w:val="-20"/>
          <w:w w:val="105"/>
        </w:rPr>
        <w:t> </w:t>
      </w:r>
      <w:r>
        <w:rPr>
          <w:color w:val="231F20"/>
          <w:w w:val="105"/>
        </w:rPr>
        <w:t>se</w:t>
      </w:r>
      <w:r>
        <w:rPr>
          <w:color w:val="231F20"/>
          <w:spacing w:val="-20"/>
          <w:w w:val="105"/>
        </w:rPr>
        <w:t> </w:t>
      </w:r>
      <w:r>
        <w:rPr>
          <w:color w:val="231F20"/>
          <w:w w:val="105"/>
        </w:rPr>
        <w:t>concretó</w:t>
      </w:r>
      <w:r>
        <w:rPr>
          <w:color w:val="231F20"/>
          <w:spacing w:val="-20"/>
          <w:w w:val="105"/>
        </w:rPr>
        <w:t> </w:t>
      </w:r>
      <w:r>
        <w:rPr>
          <w:color w:val="231F20"/>
          <w:w w:val="105"/>
        </w:rPr>
        <w:t>influenciada</w:t>
      </w:r>
      <w:r>
        <w:rPr>
          <w:color w:val="231F20"/>
          <w:spacing w:val="-20"/>
          <w:w w:val="105"/>
        </w:rPr>
        <w:t> </w:t>
      </w:r>
      <w:r>
        <w:rPr>
          <w:color w:val="231F20"/>
          <w:w w:val="105"/>
        </w:rPr>
        <w:t>por</w:t>
      </w:r>
    </w:p>
    <w:p>
      <w:pPr>
        <w:pStyle w:val="BodyText"/>
        <w:rPr>
          <w:sz w:val="20"/>
        </w:rPr>
      </w:pPr>
    </w:p>
    <w:p>
      <w:pPr>
        <w:pStyle w:val="BodyText"/>
        <w:rPr>
          <w:sz w:val="20"/>
        </w:rPr>
      </w:pPr>
    </w:p>
    <w:p>
      <w:pPr>
        <w:pStyle w:val="BodyText"/>
        <w:spacing w:before="9"/>
        <w:rPr>
          <w:sz w:val="20"/>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60816" from="131.551193pt,3.703715pt" to="131.551193pt,39.506114pt" stroked="true" strokeweight=".35pt" strokecolor="#231f20">
            <w10:wrap type="none"/>
          </v:line>
        </w:pict>
      </w:r>
      <w:r>
        <w:rPr/>
        <w:pict>
          <v:line style="position:absolute;mso-position-horizontal-relative:page;mso-position-vertical-relative:paragraph;z-index:-460744" from="15pt,39.505917pt" to="0pt,39.505917pt" stroked="true" strokeweight=".25pt" strokecolor="#000000">
            <w10:wrap type="none"/>
          </v:line>
        </w:pict>
      </w:r>
      <w:r>
        <w:rPr/>
        <w:pict>
          <v:line style="position:absolute;mso-position-horizontal-relative:page;mso-position-vertical-relative:paragraph;z-index:29464" from="508.890015pt,39.505917pt" to="523.890015pt,39.505917pt" stroked="true" strokeweight=".25pt" strokecolor="#000000">
            <w10:wrap type="none"/>
          </v:line>
        </w:pict>
      </w:r>
      <w:r>
        <w:rPr>
          <w:rFonts w:ascii="Arial"/>
          <w:color w:val="414042"/>
          <w:w w:val="105"/>
          <w:position w:val="-5"/>
          <w:sz w:val="20"/>
        </w:rPr>
        <w:t>240</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60696" from="405.061005pt,-18.554295pt" to="405.061005pt,16.311579pt" stroked="true" strokeweight=".35pt" strokecolor="#231f20">
            <w10:wrap type="none"/>
          </v:line>
        </w:pict>
      </w:r>
      <w:r>
        <w:rPr/>
        <w:pict>
          <v:line style="position:absolute;mso-position-horizontal-relative:page;mso-position-vertical-relative:paragraph;z-index:29512" from="15pt,-18.554522pt" to="0pt,-18.554522pt" stroked="true" strokeweight=".25pt" strokecolor="#000000">
            <w10:wrap type="none"/>
          </v:line>
        </w:pict>
      </w:r>
      <w:r>
        <w:rPr/>
        <w:pict>
          <v:line style="position:absolute;mso-position-horizontal-relative:page;mso-position-vertical-relative:paragraph;z-index:29536"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241</w:t>
      </w:r>
    </w:p>
    <w:p>
      <w:pPr>
        <w:pStyle w:val="BodyText"/>
        <w:spacing w:line="261" w:lineRule="auto" w:before="526"/>
        <w:ind w:left="1837" w:right="1711"/>
      </w:pPr>
      <w:r>
        <w:rPr>
          <w:color w:val="231F20"/>
          <w:w w:val="105"/>
        </w:rPr>
        <w:t>diversos</w:t>
      </w:r>
      <w:r>
        <w:rPr>
          <w:color w:val="231F20"/>
          <w:spacing w:val="-25"/>
          <w:w w:val="105"/>
        </w:rPr>
        <w:t> </w:t>
      </w:r>
      <w:r>
        <w:rPr>
          <w:color w:val="231F20"/>
          <w:w w:val="105"/>
        </w:rPr>
        <w:t>sentimientos:</w:t>
      </w:r>
      <w:r>
        <w:rPr>
          <w:color w:val="231F20"/>
          <w:spacing w:val="-25"/>
          <w:w w:val="105"/>
        </w:rPr>
        <w:t> </w:t>
      </w:r>
      <w:r>
        <w:rPr>
          <w:color w:val="231F20"/>
          <w:w w:val="105"/>
        </w:rPr>
        <w:t>iniciativa</w:t>
      </w:r>
      <w:r>
        <w:rPr>
          <w:color w:val="231F20"/>
          <w:spacing w:val="-25"/>
          <w:w w:val="105"/>
        </w:rPr>
        <w:t> </w:t>
      </w:r>
      <w:r>
        <w:rPr>
          <w:color w:val="231F20"/>
          <w:w w:val="105"/>
        </w:rPr>
        <w:t>personal,</w:t>
      </w:r>
      <w:r>
        <w:rPr>
          <w:color w:val="231F20"/>
          <w:spacing w:val="-29"/>
          <w:w w:val="105"/>
        </w:rPr>
        <w:t> </w:t>
      </w:r>
      <w:r>
        <w:rPr>
          <w:color w:val="231F20"/>
          <w:w w:val="105"/>
        </w:rPr>
        <w:t>inmadurez</w:t>
      </w:r>
      <w:r>
        <w:rPr>
          <w:color w:val="231F20"/>
          <w:spacing w:val="-25"/>
          <w:w w:val="105"/>
        </w:rPr>
        <w:t> </w:t>
      </w:r>
      <w:r>
        <w:rPr>
          <w:color w:val="231F20"/>
          <w:w w:val="105"/>
        </w:rPr>
        <w:t>emocional,</w:t>
      </w:r>
      <w:r>
        <w:rPr>
          <w:color w:val="231F20"/>
          <w:spacing w:val="-29"/>
          <w:w w:val="105"/>
        </w:rPr>
        <w:t> </w:t>
      </w:r>
      <w:r>
        <w:rPr>
          <w:color w:val="231F20"/>
          <w:w w:val="105"/>
        </w:rPr>
        <w:t>desmo- tivación</w:t>
      </w:r>
      <w:r>
        <w:rPr>
          <w:color w:val="231F20"/>
          <w:spacing w:val="-21"/>
          <w:w w:val="105"/>
        </w:rPr>
        <w:t> </w:t>
      </w:r>
      <w:r>
        <w:rPr>
          <w:color w:val="231F20"/>
          <w:w w:val="105"/>
        </w:rPr>
        <w:t>socio-</w:t>
      </w:r>
      <w:r>
        <w:rPr>
          <w:color w:val="231F20"/>
          <w:spacing w:val="-21"/>
          <w:w w:val="105"/>
        </w:rPr>
        <w:t> </w:t>
      </w:r>
      <w:r>
        <w:rPr>
          <w:color w:val="231F20"/>
          <w:w w:val="105"/>
        </w:rPr>
        <w:t>laboral,</w:t>
      </w:r>
      <w:r>
        <w:rPr>
          <w:color w:val="231F20"/>
          <w:spacing w:val="-26"/>
          <w:w w:val="105"/>
        </w:rPr>
        <w:t> </w:t>
      </w:r>
      <w:r>
        <w:rPr>
          <w:color w:val="231F20"/>
          <w:w w:val="105"/>
        </w:rPr>
        <w:t>baja</w:t>
      </w:r>
      <w:r>
        <w:rPr>
          <w:color w:val="231F20"/>
          <w:spacing w:val="-21"/>
          <w:w w:val="105"/>
        </w:rPr>
        <w:t> </w:t>
      </w:r>
      <w:r>
        <w:rPr>
          <w:color w:val="231F20"/>
          <w:w w:val="105"/>
        </w:rPr>
        <w:t>autoestima</w:t>
      </w:r>
      <w:r>
        <w:rPr>
          <w:color w:val="231F20"/>
          <w:spacing w:val="-21"/>
          <w:w w:val="105"/>
        </w:rPr>
        <w:t> </w:t>
      </w:r>
      <w:r>
        <w:rPr>
          <w:color w:val="231F20"/>
          <w:w w:val="105"/>
        </w:rPr>
        <w:t>y</w:t>
      </w:r>
      <w:r>
        <w:rPr>
          <w:color w:val="231F20"/>
          <w:spacing w:val="-21"/>
          <w:w w:val="105"/>
        </w:rPr>
        <w:t> </w:t>
      </w:r>
      <w:r>
        <w:rPr>
          <w:color w:val="231F20"/>
          <w:w w:val="105"/>
        </w:rPr>
        <w:t>necesidad</w:t>
      </w:r>
      <w:r>
        <w:rPr>
          <w:color w:val="231F20"/>
          <w:spacing w:val="-21"/>
          <w:w w:val="105"/>
        </w:rPr>
        <w:t> </w:t>
      </w:r>
      <w:r>
        <w:rPr>
          <w:color w:val="231F20"/>
          <w:w w:val="105"/>
        </w:rPr>
        <w:t>económica.</w:t>
      </w:r>
    </w:p>
    <w:p>
      <w:pPr>
        <w:spacing w:before="241"/>
        <w:ind w:left="2105" w:right="0" w:firstLine="0"/>
        <w:jc w:val="left"/>
        <w:rPr>
          <w:rFonts w:ascii="Arial" w:hAnsi="Arial"/>
          <w:sz w:val="18"/>
        </w:rPr>
      </w:pPr>
      <w:r>
        <w:rPr>
          <w:rFonts w:ascii="Arial" w:hAnsi="Arial"/>
          <w:color w:val="231F20"/>
          <w:w w:val="105"/>
          <w:sz w:val="18"/>
        </w:rPr>
        <w:t>Cuadro 2. Situación socioeconómica de los retornados previo a la emigración</w:t>
      </w:r>
    </w:p>
    <w:p>
      <w:pPr>
        <w:pStyle w:val="BodyText"/>
        <w:spacing w:before="5"/>
        <w:rPr>
          <w:rFonts w:ascii="Arial"/>
          <w:sz w:val="13"/>
        </w:rPr>
      </w:pPr>
    </w:p>
    <w:tbl>
      <w:tblPr>
        <w:tblW w:w="0" w:type="auto"/>
        <w:jc w:val="left"/>
        <w:tblInd w:w="250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380"/>
        <w:gridCol w:w="1200"/>
      </w:tblGrid>
      <w:tr>
        <w:trPr>
          <w:trHeight w:val="340" w:hRule="exact"/>
        </w:trPr>
        <w:tc>
          <w:tcPr>
            <w:tcW w:w="4380" w:type="dxa"/>
          </w:tcPr>
          <w:p>
            <w:pPr>
              <w:pStyle w:val="TableParagraph"/>
              <w:spacing w:before="88"/>
              <w:ind w:left="1678" w:right="1678"/>
              <w:jc w:val="center"/>
              <w:rPr>
                <w:rFonts w:ascii="Arial"/>
                <w:sz w:val="18"/>
              </w:rPr>
            </w:pPr>
            <w:r>
              <w:rPr>
                <w:rFonts w:ascii="Arial"/>
                <w:color w:val="231F20"/>
                <w:w w:val="105"/>
                <w:sz w:val="18"/>
              </w:rPr>
              <w:t>Retornados</w:t>
            </w:r>
          </w:p>
        </w:tc>
        <w:tc>
          <w:tcPr>
            <w:tcW w:w="1200" w:type="dxa"/>
          </w:tcPr>
          <w:p>
            <w:pPr>
              <w:pStyle w:val="TableParagraph"/>
              <w:spacing w:before="88"/>
              <w:jc w:val="center"/>
              <w:rPr>
                <w:rFonts w:ascii="Arial"/>
                <w:sz w:val="18"/>
              </w:rPr>
            </w:pPr>
            <w:r>
              <w:rPr>
                <w:rFonts w:ascii="Arial"/>
                <w:color w:val="231F20"/>
                <w:w w:val="97"/>
                <w:sz w:val="18"/>
              </w:rPr>
              <w:t>%</w:t>
            </w:r>
          </w:p>
        </w:tc>
      </w:tr>
      <w:tr>
        <w:trPr>
          <w:trHeight w:val="340" w:hRule="exact"/>
        </w:trPr>
        <w:tc>
          <w:tcPr>
            <w:tcW w:w="4380" w:type="dxa"/>
          </w:tcPr>
          <w:p>
            <w:pPr>
              <w:pStyle w:val="TableParagraph"/>
              <w:ind w:left="77"/>
              <w:rPr>
                <w:sz w:val="18"/>
              </w:rPr>
            </w:pPr>
            <w:r>
              <w:rPr>
                <w:color w:val="231F20"/>
                <w:sz w:val="18"/>
              </w:rPr>
              <w:t>Necesidad económica, sin casa</w:t>
            </w:r>
          </w:p>
        </w:tc>
        <w:tc>
          <w:tcPr>
            <w:tcW w:w="1200" w:type="dxa"/>
          </w:tcPr>
          <w:p>
            <w:pPr>
              <w:pStyle w:val="TableParagraph"/>
              <w:ind w:left="77" w:right="66"/>
              <w:rPr>
                <w:sz w:val="18"/>
              </w:rPr>
            </w:pPr>
            <w:r>
              <w:rPr>
                <w:color w:val="231F20"/>
                <w:w w:val="105"/>
                <w:sz w:val="18"/>
              </w:rPr>
              <w:t>33.2</w:t>
            </w:r>
          </w:p>
        </w:tc>
      </w:tr>
      <w:tr>
        <w:trPr>
          <w:trHeight w:val="340" w:hRule="exact"/>
        </w:trPr>
        <w:tc>
          <w:tcPr>
            <w:tcW w:w="4380" w:type="dxa"/>
          </w:tcPr>
          <w:p>
            <w:pPr>
              <w:pStyle w:val="TableParagraph"/>
              <w:ind w:left="77"/>
              <w:rPr>
                <w:sz w:val="18"/>
              </w:rPr>
            </w:pPr>
            <w:r>
              <w:rPr>
                <w:color w:val="231F20"/>
                <w:w w:val="105"/>
                <w:sz w:val="18"/>
              </w:rPr>
              <w:t>No veía futuro, decepcionado, mejorar, superarse</w:t>
            </w:r>
          </w:p>
        </w:tc>
        <w:tc>
          <w:tcPr>
            <w:tcW w:w="1200" w:type="dxa"/>
          </w:tcPr>
          <w:p>
            <w:pPr>
              <w:pStyle w:val="TableParagraph"/>
              <w:ind w:left="77" w:right="66"/>
              <w:rPr>
                <w:sz w:val="18"/>
              </w:rPr>
            </w:pPr>
            <w:r>
              <w:rPr>
                <w:color w:val="231F20"/>
                <w:w w:val="105"/>
                <w:sz w:val="18"/>
              </w:rPr>
              <w:t>19.4</w:t>
            </w:r>
          </w:p>
        </w:tc>
      </w:tr>
      <w:tr>
        <w:trPr>
          <w:trHeight w:val="340" w:hRule="exact"/>
        </w:trPr>
        <w:tc>
          <w:tcPr>
            <w:tcW w:w="4380" w:type="dxa"/>
          </w:tcPr>
          <w:p>
            <w:pPr>
              <w:pStyle w:val="TableParagraph"/>
              <w:ind w:left="77"/>
              <w:rPr>
                <w:sz w:val="18"/>
              </w:rPr>
            </w:pPr>
            <w:r>
              <w:rPr>
                <w:color w:val="231F20"/>
                <w:sz w:val="18"/>
              </w:rPr>
              <w:t>Ayudar a su familia*</w:t>
            </w:r>
          </w:p>
        </w:tc>
        <w:tc>
          <w:tcPr>
            <w:tcW w:w="1200" w:type="dxa"/>
          </w:tcPr>
          <w:p>
            <w:pPr>
              <w:pStyle w:val="TableParagraph"/>
              <w:ind w:left="77" w:right="66"/>
              <w:rPr>
                <w:sz w:val="18"/>
              </w:rPr>
            </w:pPr>
            <w:r>
              <w:rPr>
                <w:color w:val="231F20"/>
                <w:w w:val="105"/>
                <w:sz w:val="18"/>
              </w:rPr>
              <w:t>15.0</w:t>
            </w:r>
          </w:p>
        </w:tc>
      </w:tr>
      <w:tr>
        <w:trPr>
          <w:trHeight w:val="340" w:hRule="exact"/>
        </w:trPr>
        <w:tc>
          <w:tcPr>
            <w:tcW w:w="4380" w:type="dxa"/>
          </w:tcPr>
          <w:p>
            <w:pPr>
              <w:pStyle w:val="TableParagraph"/>
              <w:ind w:left="77"/>
              <w:rPr>
                <w:sz w:val="18"/>
              </w:rPr>
            </w:pPr>
            <w:r>
              <w:rPr>
                <w:color w:val="231F20"/>
                <w:sz w:val="18"/>
              </w:rPr>
              <w:t>Emocionado, aventura, motivado</w:t>
            </w:r>
          </w:p>
        </w:tc>
        <w:tc>
          <w:tcPr>
            <w:tcW w:w="1200" w:type="dxa"/>
          </w:tcPr>
          <w:p>
            <w:pPr>
              <w:pStyle w:val="TableParagraph"/>
              <w:ind w:left="77" w:right="66"/>
              <w:rPr>
                <w:sz w:val="18"/>
              </w:rPr>
            </w:pPr>
            <w:r>
              <w:rPr>
                <w:color w:val="231F20"/>
                <w:w w:val="105"/>
                <w:sz w:val="18"/>
              </w:rPr>
              <w:t>13.8</w:t>
            </w:r>
          </w:p>
        </w:tc>
      </w:tr>
      <w:tr>
        <w:trPr>
          <w:trHeight w:val="340" w:hRule="exact"/>
        </w:trPr>
        <w:tc>
          <w:tcPr>
            <w:tcW w:w="4380" w:type="dxa"/>
          </w:tcPr>
          <w:p>
            <w:pPr>
              <w:pStyle w:val="TableParagraph"/>
              <w:ind w:left="77"/>
              <w:rPr>
                <w:sz w:val="18"/>
              </w:rPr>
            </w:pPr>
            <w:r>
              <w:rPr>
                <w:color w:val="231F20"/>
                <w:w w:val="105"/>
                <w:sz w:val="18"/>
              </w:rPr>
              <w:t>Triste por dejar a su familia, preocupado</w:t>
            </w:r>
          </w:p>
        </w:tc>
        <w:tc>
          <w:tcPr>
            <w:tcW w:w="1200" w:type="dxa"/>
          </w:tcPr>
          <w:p>
            <w:pPr>
              <w:pStyle w:val="TableParagraph"/>
              <w:ind w:left="77" w:right="66"/>
              <w:rPr>
                <w:sz w:val="18"/>
              </w:rPr>
            </w:pPr>
            <w:r>
              <w:rPr>
                <w:color w:val="231F20"/>
                <w:sz w:val="18"/>
              </w:rPr>
              <w:t>6.9</w:t>
            </w:r>
          </w:p>
        </w:tc>
      </w:tr>
      <w:tr>
        <w:trPr>
          <w:trHeight w:val="340" w:hRule="exact"/>
        </w:trPr>
        <w:tc>
          <w:tcPr>
            <w:tcW w:w="4380" w:type="dxa"/>
          </w:tcPr>
          <w:p>
            <w:pPr>
              <w:pStyle w:val="TableParagraph"/>
              <w:ind w:left="77"/>
              <w:rPr>
                <w:sz w:val="18"/>
              </w:rPr>
            </w:pPr>
            <w:r>
              <w:rPr>
                <w:color w:val="231F20"/>
                <w:w w:val="105"/>
                <w:sz w:val="18"/>
              </w:rPr>
              <w:t>Buen ambiente familiar</w:t>
            </w:r>
          </w:p>
        </w:tc>
        <w:tc>
          <w:tcPr>
            <w:tcW w:w="1200" w:type="dxa"/>
          </w:tcPr>
          <w:p>
            <w:pPr>
              <w:pStyle w:val="TableParagraph"/>
              <w:ind w:left="77" w:right="66"/>
              <w:rPr>
                <w:sz w:val="18"/>
              </w:rPr>
            </w:pPr>
            <w:r>
              <w:rPr>
                <w:color w:val="231F20"/>
                <w:sz w:val="18"/>
              </w:rPr>
              <w:t>1.9</w:t>
            </w:r>
          </w:p>
        </w:tc>
      </w:tr>
      <w:tr>
        <w:trPr>
          <w:trHeight w:val="340" w:hRule="exact"/>
        </w:trPr>
        <w:tc>
          <w:tcPr>
            <w:tcW w:w="4380" w:type="dxa"/>
          </w:tcPr>
          <w:p>
            <w:pPr>
              <w:pStyle w:val="TableParagraph"/>
              <w:ind w:left="77"/>
              <w:rPr>
                <w:sz w:val="18"/>
              </w:rPr>
            </w:pPr>
            <w:r>
              <w:rPr>
                <w:color w:val="231F20"/>
                <w:w w:val="105"/>
                <w:sz w:val="18"/>
              </w:rPr>
              <w:t>Familia de migrantes, papás lo llevaron</w:t>
            </w:r>
          </w:p>
        </w:tc>
        <w:tc>
          <w:tcPr>
            <w:tcW w:w="1200" w:type="dxa"/>
          </w:tcPr>
          <w:p>
            <w:pPr>
              <w:pStyle w:val="TableParagraph"/>
              <w:ind w:left="77" w:right="66"/>
              <w:rPr>
                <w:sz w:val="18"/>
              </w:rPr>
            </w:pPr>
            <w:r>
              <w:rPr>
                <w:color w:val="231F20"/>
                <w:sz w:val="18"/>
              </w:rPr>
              <w:t>3.2</w:t>
            </w:r>
          </w:p>
        </w:tc>
      </w:tr>
      <w:tr>
        <w:trPr>
          <w:trHeight w:val="340" w:hRule="exact"/>
        </w:trPr>
        <w:tc>
          <w:tcPr>
            <w:tcW w:w="4380" w:type="dxa"/>
          </w:tcPr>
          <w:p>
            <w:pPr>
              <w:pStyle w:val="TableParagraph"/>
              <w:ind w:left="77"/>
              <w:rPr>
                <w:sz w:val="18"/>
              </w:rPr>
            </w:pPr>
            <w:r>
              <w:rPr>
                <w:color w:val="231F20"/>
                <w:sz w:val="18"/>
              </w:rPr>
              <w:t>Problemas  familiares, enfermedades***</w:t>
            </w:r>
          </w:p>
        </w:tc>
        <w:tc>
          <w:tcPr>
            <w:tcW w:w="1200" w:type="dxa"/>
          </w:tcPr>
          <w:p>
            <w:pPr>
              <w:pStyle w:val="TableParagraph"/>
              <w:ind w:left="77" w:right="66"/>
              <w:rPr>
                <w:sz w:val="18"/>
              </w:rPr>
            </w:pPr>
            <w:r>
              <w:rPr>
                <w:color w:val="231F20"/>
                <w:sz w:val="18"/>
              </w:rPr>
              <w:t>6.3</w:t>
            </w:r>
          </w:p>
        </w:tc>
      </w:tr>
      <w:tr>
        <w:trPr>
          <w:trHeight w:val="340" w:hRule="exact"/>
        </w:trPr>
        <w:tc>
          <w:tcPr>
            <w:tcW w:w="4380" w:type="dxa"/>
          </w:tcPr>
          <w:p>
            <w:pPr>
              <w:pStyle w:val="TableParagraph"/>
              <w:ind w:left="77"/>
              <w:rPr>
                <w:sz w:val="18"/>
              </w:rPr>
            </w:pPr>
            <w:r>
              <w:rPr>
                <w:color w:val="231F20"/>
                <w:sz w:val="18"/>
              </w:rPr>
              <w:t>Comprar cosas**</w:t>
            </w:r>
          </w:p>
        </w:tc>
        <w:tc>
          <w:tcPr>
            <w:tcW w:w="1200" w:type="dxa"/>
          </w:tcPr>
          <w:p>
            <w:pPr>
              <w:pStyle w:val="TableParagraph"/>
              <w:ind w:left="77" w:right="66"/>
              <w:rPr>
                <w:sz w:val="18"/>
              </w:rPr>
            </w:pPr>
            <w:r>
              <w:rPr>
                <w:color w:val="231F20"/>
                <w:sz w:val="18"/>
              </w:rPr>
              <w:t>0.6</w:t>
            </w:r>
          </w:p>
        </w:tc>
      </w:tr>
    </w:tbl>
    <w:p>
      <w:pPr>
        <w:spacing w:before="78"/>
        <w:ind w:left="2517" w:right="0" w:firstLine="0"/>
        <w:jc w:val="left"/>
        <w:rPr>
          <w:sz w:val="16"/>
        </w:rPr>
      </w:pPr>
      <w:r>
        <w:rPr>
          <w:color w:val="231F20"/>
          <w:w w:val="105"/>
          <w:sz w:val="16"/>
        </w:rPr>
        <w:t>Fuente: elaboración propia.</w:t>
      </w:r>
    </w:p>
    <w:p>
      <w:pPr>
        <w:spacing w:line="254" w:lineRule="auto" w:before="11"/>
        <w:ind w:left="2517" w:right="2263" w:firstLine="0"/>
        <w:jc w:val="left"/>
        <w:rPr>
          <w:sz w:val="16"/>
        </w:rPr>
      </w:pPr>
      <w:r>
        <w:rPr>
          <w:color w:val="231F20"/>
          <w:w w:val="105"/>
          <w:sz w:val="16"/>
        </w:rPr>
        <w:t>*Incluye</w:t>
      </w:r>
      <w:r>
        <w:rPr>
          <w:color w:val="231F20"/>
          <w:spacing w:val="-20"/>
          <w:w w:val="105"/>
          <w:sz w:val="16"/>
        </w:rPr>
        <w:t> </w:t>
      </w:r>
      <w:r>
        <w:rPr>
          <w:color w:val="231F20"/>
          <w:w w:val="105"/>
          <w:sz w:val="16"/>
        </w:rPr>
        <w:t>el</w:t>
      </w:r>
      <w:r>
        <w:rPr>
          <w:color w:val="231F20"/>
          <w:spacing w:val="-20"/>
          <w:w w:val="105"/>
          <w:sz w:val="16"/>
        </w:rPr>
        <w:t> </w:t>
      </w:r>
      <w:r>
        <w:rPr>
          <w:color w:val="231F20"/>
          <w:w w:val="105"/>
          <w:sz w:val="16"/>
        </w:rPr>
        <w:t>deseo</w:t>
      </w:r>
      <w:r>
        <w:rPr>
          <w:color w:val="231F20"/>
          <w:spacing w:val="-20"/>
          <w:w w:val="105"/>
          <w:sz w:val="16"/>
        </w:rPr>
        <w:t> </w:t>
      </w:r>
      <w:r>
        <w:rPr>
          <w:color w:val="231F20"/>
          <w:w w:val="105"/>
          <w:sz w:val="16"/>
        </w:rPr>
        <w:t>específico</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apoyar</w:t>
      </w:r>
      <w:r>
        <w:rPr>
          <w:color w:val="231F20"/>
          <w:spacing w:val="-20"/>
          <w:w w:val="105"/>
          <w:sz w:val="16"/>
        </w:rPr>
        <w:t> </w:t>
      </w:r>
      <w:r>
        <w:rPr>
          <w:color w:val="231F20"/>
          <w:w w:val="105"/>
          <w:sz w:val="16"/>
        </w:rPr>
        <w:t>la</w:t>
      </w:r>
      <w:r>
        <w:rPr>
          <w:color w:val="231F20"/>
          <w:spacing w:val="-20"/>
          <w:w w:val="105"/>
          <w:sz w:val="16"/>
        </w:rPr>
        <w:t> </w:t>
      </w:r>
      <w:r>
        <w:rPr>
          <w:color w:val="231F20"/>
          <w:w w:val="105"/>
          <w:sz w:val="16"/>
        </w:rPr>
        <w:t>educación</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hermanos,</w:t>
      </w:r>
      <w:r>
        <w:rPr>
          <w:color w:val="231F20"/>
          <w:spacing w:val="-24"/>
          <w:w w:val="105"/>
          <w:sz w:val="16"/>
        </w:rPr>
        <w:t> </w:t>
      </w:r>
      <w:r>
        <w:rPr>
          <w:color w:val="231F20"/>
          <w:w w:val="105"/>
          <w:sz w:val="16"/>
        </w:rPr>
        <w:t>hijos</w:t>
      </w:r>
      <w:r>
        <w:rPr>
          <w:color w:val="231F20"/>
          <w:spacing w:val="-20"/>
          <w:w w:val="105"/>
          <w:sz w:val="16"/>
        </w:rPr>
        <w:t> </w:t>
      </w:r>
      <w:r>
        <w:rPr>
          <w:color w:val="231F20"/>
          <w:w w:val="105"/>
          <w:sz w:val="16"/>
        </w:rPr>
        <w:t>y</w:t>
      </w:r>
      <w:r>
        <w:rPr>
          <w:color w:val="231F20"/>
          <w:spacing w:val="-20"/>
          <w:w w:val="105"/>
          <w:sz w:val="16"/>
        </w:rPr>
        <w:t> </w:t>
      </w:r>
      <w:r>
        <w:rPr>
          <w:color w:val="231F20"/>
          <w:w w:val="105"/>
          <w:sz w:val="16"/>
        </w:rPr>
        <w:t>pro- pia del</w:t>
      </w:r>
      <w:r>
        <w:rPr>
          <w:color w:val="231F20"/>
          <w:spacing w:val="-18"/>
          <w:w w:val="105"/>
          <w:sz w:val="16"/>
        </w:rPr>
        <w:t> </w:t>
      </w:r>
      <w:r>
        <w:rPr>
          <w:color w:val="231F20"/>
          <w:w w:val="105"/>
          <w:sz w:val="16"/>
        </w:rPr>
        <w:t>migrante.</w:t>
      </w:r>
    </w:p>
    <w:p>
      <w:pPr>
        <w:spacing w:line="254" w:lineRule="auto" w:before="0"/>
        <w:ind w:left="2517" w:right="1920" w:firstLine="0"/>
        <w:jc w:val="left"/>
        <w:rPr>
          <w:sz w:val="16"/>
        </w:rPr>
      </w:pPr>
      <w:r>
        <w:rPr>
          <w:color w:val="231F20"/>
          <w:w w:val="105"/>
          <w:sz w:val="16"/>
        </w:rPr>
        <w:t>**Incluye</w:t>
      </w:r>
      <w:r>
        <w:rPr>
          <w:color w:val="231F20"/>
          <w:spacing w:val="-10"/>
          <w:w w:val="105"/>
          <w:sz w:val="16"/>
        </w:rPr>
        <w:t> </w:t>
      </w:r>
      <w:r>
        <w:rPr>
          <w:color w:val="231F20"/>
          <w:w w:val="105"/>
          <w:sz w:val="16"/>
        </w:rPr>
        <w:t>poner</w:t>
      </w:r>
      <w:r>
        <w:rPr>
          <w:color w:val="231F20"/>
          <w:spacing w:val="-10"/>
          <w:w w:val="105"/>
          <w:sz w:val="16"/>
        </w:rPr>
        <w:t> </w:t>
      </w:r>
      <w:r>
        <w:rPr>
          <w:color w:val="231F20"/>
          <w:w w:val="105"/>
          <w:sz w:val="16"/>
        </w:rPr>
        <w:t>un</w:t>
      </w:r>
      <w:r>
        <w:rPr>
          <w:color w:val="231F20"/>
          <w:spacing w:val="-10"/>
          <w:w w:val="105"/>
          <w:sz w:val="16"/>
        </w:rPr>
        <w:t> </w:t>
      </w:r>
      <w:r>
        <w:rPr>
          <w:w w:val="105"/>
          <w:sz w:val="16"/>
        </w:rPr>
        <w:t>negocio,</w:t>
      </w:r>
      <w:r>
        <w:rPr>
          <w:spacing w:val="-14"/>
          <w:w w:val="105"/>
          <w:sz w:val="16"/>
        </w:rPr>
        <w:t> </w:t>
      </w:r>
      <w:r>
        <w:rPr>
          <w:w w:val="105"/>
          <w:sz w:val="16"/>
        </w:rPr>
        <w:t>comprarse</w:t>
      </w:r>
      <w:r>
        <w:rPr>
          <w:spacing w:val="-10"/>
          <w:w w:val="105"/>
          <w:sz w:val="16"/>
        </w:rPr>
        <w:t> </w:t>
      </w:r>
      <w:r>
        <w:rPr>
          <w:w w:val="105"/>
          <w:sz w:val="16"/>
        </w:rPr>
        <w:t>una</w:t>
      </w:r>
      <w:r>
        <w:rPr>
          <w:spacing w:val="-10"/>
          <w:w w:val="105"/>
          <w:sz w:val="16"/>
        </w:rPr>
        <w:t> </w:t>
      </w:r>
      <w:r>
        <w:rPr>
          <w:w w:val="105"/>
          <w:sz w:val="16"/>
        </w:rPr>
        <w:t>camioneta,</w:t>
      </w:r>
      <w:r>
        <w:rPr>
          <w:spacing w:val="-14"/>
          <w:w w:val="105"/>
          <w:sz w:val="16"/>
        </w:rPr>
        <w:t> </w:t>
      </w:r>
      <w:r>
        <w:rPr>
          <w:w w:val="105"/>
          <w:sz w:val="16"/>
        </w:rPr>
        <w:t>un</w:t>
      </w:r>
      <w:r>
        <w:rPr>
          <w:spacing w:val="-10"/>
          <w:w w:val="105"/>
          <w:sz w:val="16"/>
        </w:rPr>
        <w:t> </w:t>
      </w:r>
      <w:r>
        <w:rPr>
          <w:w w:val="105"/>
          <w:sz w:val="16"/>
        </w:rPr>
        <w:t>taxi,</w:t>
      </w:r>
      <w:r>
        <w:rPr>
          <w:spacing w:val="-14"/>
          <w:w w:val="105"/>
          <w:sz w:val="16"/>
        </w:rPr>
        <w:t> </w:t>
      </w:r>
      <w:r>
        <w:rPr>
          <w:w w:val="105"/>
          <w:sz w:val="16"/>
        </w:rPr>
        <w:t>pagar</w:t>
      </w:r>
      <w:r>
        <w:rPr>
          <w:spacing w:val="-10"/>
          <w:w w:val="105"/>
          <w:sz w:val="16"/>
        </w:rPr>
        <w:t> </w:t>
      </w:r>
      <w:r>
        <w:rPr>
          <w:w w:val="105"/>
          <w:sz w:val="16"/>
        </w:rPr>
        <w:t>la</w:t>
      </w:r>
      <w:r>
        <w:rPr>
          <w:spacing w:val="-10"/>
          <w:w w:val="105"/>
          <w:sz w:val="16"/>
        </w:rPr>
        <w:t> </w:t>
      </w:r>
      <w:r>
        <w:rPr>
          <w:w w:val="105"/>
          <w:sz w:val="16"/>
        </w:rPr>
        <w:t>gra- duación</w:t>
      </w:r>
      <w:r>
        <w:rPr>
          <w:spacing w:val="-17"/>
          <w:w w:val="105"/>
          <w:sz w:val="16"/>
        </w:rPr>
        <w:t> </w:t>
      </w:r>
      <w:r>
        <w:rPr>
          <w:w w:val="105"/>
          <w:sz w:val="16"/>
        </w:rPr>
        <w:t>de</w:t>
      </w:r>
      <w:r>
        <w:rPr>
          <w:spacing w:val="-17"/>
          <w:w w:val="105"/>
          <w:sz w:val="16"/>
        </w:rPr>
        <w:t> </w:t>
      </w:r>
      <w:r>
        <w:rPr>
          <w:w w:val="105"/>
          <w:sz w:val="16"/>
        </w:rPr>
        <w:t>su</w:t>
      </w:r>
      <w:r>
        <w:rPr>
          <w:spacing w:val="-17"/>
          <w:w w:val="105"/>
          <w:sz w:val="16"/>
        </w:rPr>
        <w:t> </w:t>
      </w:r>
      <w:r>
        <w:rPr>
          <w:w w:val="105"/>
          <w:sz w:val="16"/>
        </w:rPr>
        <w:t>hija.</w:t>
      </w:r>
    </w:p>
    <w:p>
      <w:pPr>
        <w:spacing w:before="0"/>
        <w:ind w:left="2517" w:right="0" w:firstLine="0"/>
        <w:jc w:val="left"/>
        <w:rPr>
          <w:sz w:val="16"/>
        </w:rPr>
      </w:pPr>
      <w:r>
        <w:rPr>
          <w:w w:val="105"/>
          <w:sz w:val="16"/>
        </w:rPr>
        <w:t>***Algunos estaban aún estudiando pero ya no deseaban seguir en la escuela.</w:t>
      </w:r>
    </w:p>
    <w:p>
      <w:pPr>
        <w:pStyle w:val="BodyText"/>
        <w:rPr>
          <w:sz w:val="16"/>
        </w:rPr>
      </w:pPr>
    </w:p>
    <w:p>
      <w:pPr>
        <w:pStyle w:val="BodyText"/>
        <w:spacing w:line="261" w:lineRule="auto" w:before="111"/>
        <w:ind w:left="1837" w:right="1714"/>
        <w:jc w:val="both"/>
      </w:pPr>
      <w:r>
        <w:rPr>
          <w:color w:val="231F20"/>
          <w:spacing w:val="-4"/>
          <w:w w:val="105"/>
        </w:rPr>
        <w:t>¿Por</w:t>
      </w:r>
      <w:r>
        <w:rPr>
          <w:color w:val="231F20"/>
          <w:spacing w:val="-25"/>
          <w:w w:val="105"/>
        </w:rPr>
        <w:t> </w:t>
      </w:r>
      <w:r>
        <w:rPr>
          <w:color w:val="231F20"/>
          <w:w w:val="105"/>
        </w:rPr>
        <w:t>qué</w:t>
      </w:r>
      <w:r>
        <w:rPr>
          <w:color w:val="231F20"/>
          <w:spacing w:val="-25"/>
          <w:w w:val="105"/>
        </w:rPr>
        <w:t> </w:t>
      </w:r>
      <w:r>
        <w:rPr>
          <w:color w:val="231F20"/>
          <w:w w:val="105"/>
        </w:rPr>
        <w:t>emigrar</w:t>
      </w:r>
      <w:r>
        <w:rPr>
          <w:color w:val="231F20"/>
          <w:spacing w:val="-25"/>
          <w:w w:val="105"/>
        </w:rPr>
        <w:t> </w:t>
      </w:r>
      <w:r>
        <w:rPr>
          <w:color w:val="231F20"/>
          <w:w w:val="105"/>
        </w:rPr>
        <w:t>hacia</w:t>
      </w:r>
      <w:r>
        <w:rPr>
          <w:color w:val="231F20"/>
          <w:spacing w:val="-29"/>
          <w:w w:val="105"/>
        </w:rPr>
        <w:t> </w:t>
      </w:r>
      <w:r>
        <w:rPr>
          <w:color w:val="231F20"/>
          <w:spacing w:val="-4"/>
          <w:w w:val="105"/>
        </w:rPr>
        <w:t>Texas?</w:t>
      </w:r>
      <w:r>
        <w:rPr>
          <w:color w:val="231F20"/>
          <w:spacing w:val="-25"/>
          <w:w w:val="105"/>
        </w:rPr>
        <w:t> </w:t>
      </w:r>
      <w:r>
        <w:rPr>
          <w:color w:val="231F20"/>
          <w:w w:val="105"/>
        </w:rPr>
        <w:t>La</w:t>
      </w:r>
      <w:r>
        <w:rPr>
          <w:color w:val="231F20"/>
          <w:spacing w:val="-25"/>
          <w:w w:val="105"/>
        </w:rPr>
        <w:t> </w:t>
      </w:r>
      <w:r>
        <w:rPr>
          <w:color w:val="231F20"/>
          <w:w w:val="105"/>
        </w:rPr>
        <w:t>elección</w:t>
      </w:r>
      <w:r>
        <w:rPr>
          <w:color w:val="231F20"/>
          <w:spacing w:val="-25"/>
          <w:w w:val="105"/>
        </w:rPr>
        <w:t> </w:t>
      </w:r>
      <w:r>
        <w:rPr>
          <w:color w:val="231F20"/>
          <w:w w:val="105"/>
        </w:rPr>
        <w:t>de</w:t>
      </w:r>
      <w:r>
        <w:rPr>
          <w:color w:val="231F20"/>
          <w:spacing w:val="-29"/>
          <w:w w:val="105"/>
        </w:rPr>
        <w:t> </w:t>
      </w:r>
      <w:r>
        <w:rPr>
          <w:color w:val="231F20"/>
          <w:spacing w:val="-5"/>
          <w:w w:val="105"/>
        </w:rPr>
        <w:t>Texas</w:t>
      </w:r>
      <w:r>
        <w:rPr>
          <w:color w:val="231F20"/>
          <w:spacing w:val="-25"/>
          <w:w w:val="105"/>
        </w:rPr>
        <w:t> </w:t>
      </w:r>
      <w:r>
        <w:rPr>
          <w:color w:val="231F20"/>
          <w:w w:val="105"/>
        </w:rPr>
        <w:t>como</w:t>
      </w:r>
      <w:r>
        <w:rPr>
          <w:color w:val="231F20"/>
          <w:spacing w:val="-25"/>
          <w:w w:val="105"/>
        </w:rPr>
        <w:t> </w:t>
      </w:r>
      <w:r>
        <w:rPr>
          <w:color w:val="231F20"/>
          <w:w w:val="105"/>
        </w:rPr>
        <w:t>lugar</w:t>
      </w:r>
      <w:r>
        <w:rPr>
          <w:color w:val="231F20"/>
          <w:spacing w:val="-25"/>
          <w:w w:val="105"/>
        </w:rPr>
        <w:t> </w:t>
      </w:r>
      <w:r>
        <w:rPr>
          <w:color w:val="231F20"/>
          <w:w w:val="105"/>
        </w:rPr>
        <w:t>de</w:t>
      </w:r>
      <w:r>
        <w:rPr>
          <w:color w:val="231F20"/>
          <w:spacing w:val="-25"/>
          <w:w w:val="105"/>
        </w:rPr>
        <w:t> </w:t>
      </w:r>
      <w:r>
        <w:rPr>
          <w:color w:val="231F20"/>
          <w:w w:val="105"/>
        </w:rPr>
        <w:t>arribo es distinta según la experiencia migratoria del retornado. </w:t>
      </w:r>
      <w:r>
        <w:rPr>
          <w:color w:val="231F20"/>
          <w:spacing w:val="-6"/>
          <w:w w:val="105"/>
        </w:rPr>
        <w:t>Por </w:t>
      </w:r>
      <w:r>
        <w:rPr>
          <w:color w:val="231F20"/>
          <w:w w:val="105"/>
        </w:rPr>
        <w:t>ejemplo, entre</w:t>
      </w:r>
      <w:r>
        <w:rPr>
          <w:color w:val="231F20"/>
          <w:spacing w:val="-13"/>
          <w:w w:val="105"/>
        </w:rPr>
        <w:t> </w:t>
      </w:r>
      <w:r>
        <w:rPr>
          <w:color w:val="231F20"/>
          <w:w w:val="105"/>
        </w:rPr>
        <w:t>quienes</w:t>
      </w:r>
      <w:r>
        <w:rPr>
          <w:color w:val="231F20"/>
          <w:spacing w:val="-13"/>
          <w:w w:val="105"/>
        </w:rPr>
        <w:t> </w:t>
      </w:r>
      <w:r>
        <w:rPr>
          <w:color w:val="231F20"/>
          <w:w w:val="105"/>
        </w:rPr>
        <w:t>llegaron</w:t>
      </w:r>
      <w:r>
        <w:rPr>
          <w:color w:val="231F20"/>
          <w:spacing w:val="-13"/>
          <w:w w:val="105"/>
        </w:rPr>
        <w:t> </w:t>
      </w:r>
      <w:r>
        <w:rPr>
          <w:color w:val="231F20"/>
          <w:w w:val="105"/>
        </w:rPr>
        <w:t>a</w:t>
      </w:r>
      <w:r>
        <w:rPr>
          <w:color w:val="231F20"/>
          <w:spacing w:val="-13"/>
          <w:w w:val="105"/>
        </w:rPr>
        <w:t> </w:t>
      </w:r>
      <w:r>
        <w:rPr>
          <w:color w:val="231F20"/>
          <w:w w:val="105"/>
        </w:rPr>
        <w:t>este</w:t>
      </w:r>
      <w:r>
        <w:rPr>
          <w:color w:val="231F20"/>
          <w:spacing w:val="-13"/>
          <w:w w:val="105"/>
        </w:rPr>
        <w:t> </w:t>
      </w:r>
      <w:r>
        <w:rPr>
          <w:color w:val="231F20"/>
          <w:w w:val="105"/>
        </w:rPr>
        <w:t>destino</w:t>
      </w:r>
      <w:r>
        <w:rPr>
          <w:color w:val="231F20"/>
          <w:spacing w:val="-13"/>
          <w:w w:val="105"/>
        </w:rPr>
        <w:t> </w:t>
      </w:r>
      <w:r>
        <w:rPr>
          <w:color w:val="231F20"/>
          <w:w w:val="105"/>
        </w:rPr>
        <w:t>en</w:t>
      </w:r>
      <w:r>
        <w:rPr>
          <w:color w:val="231F20"/>
          <w:spacing w:val="-13"/>
          <w:w w:val="105"/>
        </w:rPr>
        <w:t> </w:t>
      </w:r>
      <w:r>
        <w:rPr>
          <w:color w:val="231F20"/>
          <w:w w:val="105"/>
        </w:rPr>
        <w:t>su</w:t>
      </w:r>
      <w:r>
        <w:rPr>
          <w:color w:val="231F20"/>
          <w:spacing w:val="-13"/>
          <w:w w:val="105"/>
        </w:rPr>
        <w:t> </w:t>
      </w:r>
      <w:r>
        <w:rPr>
          <w:color w:val="231F20"/>
          <w:w w:val="105"/>
        </w:rPr>
        <w:t>primer</w:t>
      </w:r>
      <w:r>
        <w:rPr>
          <w:color w:val="231F20"/>
          <w:spacing w:val="-13"/>
          <w:w w:val="105"/>
        </w:rPr>
        <w:t> </w:t>
      </w:r>
      <w:r>
        <w:rPr>
          <w:color w:val="231F20"/>
          <w:w w:val="105"/>
        </w:rPr>
        <w:t>viaje,</w:t>
      </w:r>
      <w:r>
        <w:rPr>
          <w:color w:val="231F20"/>
          <w:spacing w:val="-18"/>
          <w:w w:val="105"/>
        </w:rPr>
        <w:t> </w:t>
      </w:r>
      <w:r>
        <w:rPr>
          <w:color w:val="231F20"/>
          <w:w w:val="105"/>
        </w:rPr>
        <w:t>más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mitad (55%)</w:t>
      </w:r>
      <w:r>
        <w:rPr>
          <w:color w:val="231F20"/>
          <w:spacing w:val="-21"/>
          <w:w w:val="105"/>
        </w:rPr>
        <w:t> </w:t>
      </w:r>
      <w:r>
        <w:rPr>
          <w:color w:val="231F20"/>
          <w:w w:val="105"/>
        </w:rPr>
        <w:t>lo</w:t>
      </w:r>
      <w:r>
        <w:rPr>
          <w:color w:val="231F20"/>
          <w:spacing w:val="-21"/>
          <w:w w:val="105"/>
        </w:rPr>
        <w:t> </w:t>
      </w:r>
      <w:r>
        <w:rPr>
          <w:color w:val="231F20"/>
          <w:w w:val="105"/>
        </w:rPr>
        <w:t>hizo</w:t>
      </w:r>
      <w:r>
        <w:rPr>
          <w:color w:val="231F20"/>
          <w:spacing w:val="-21"/>
          <w:w w:val="105"/>
        </w:rPr>
        <w:t> </w:t>
      </w:r>
      <w:r>
        <w:rPr>
          <w:color w:val="231F20"/>
          <w:w w:val="105"/>
        </w:rPr>
        <w:t>por</w:t>
      </w:r>
      <w:r>
        <w:rPr>
          <w:color w:val="231F20"/>
          <w:spacing w:val="-21"/>
          <w:w w:val="105"/>
        </w:rPr>
        <w:t> </w:t>
      </w:r>
      <w:r>
        <w:rPr>
          <w:color w:val="231F20"/>
          <w:w w:val="105"/>
        </w:rPr>
        <w:t>seguridad,</w:t>
      </w:r>
      <w:r>
        <w:rPr>
          <w:color w:val="231F20"/>
          <w:spacing w:val="-27"/>
          <w:w w:val="105"/>
        </w:rPr>
        <w:t> </w:t>
      </w:r>
      <w:r>
        <w:rPr>
          <w:color w:val="231F20"/>
          <w:w w:val="105"/>
        </w:rPr>
        <w:t>porque</w:t>
      </w:r>
      <w:r>
        <w:rPr>
          <w:color w:val="231F20"/>
          <w:spacing w:val="-21"/>
          <w:w w:val="105"/>
        </w:rPr>
        <w:t> </w:t>
      </w:r>
      <w:r>
        <w:rPr>
          <w:color w:val="231F20"/>
          <w:w w:val="105"/>
        </w:rPr>
        <w:t>allí</w:t>
      </w:r>
      <w:r>
        <w:rPr>
          <w:color w:val="231F20"/>
          <w:spacing w:val="-21"/>
          <w:w w:val="105"/>
        </w:rPr>
        <w:t> </w:t>
      </w:r>
      <w:r>
        <w:rPr>
          <w:color w:val="231F20"/>
          <w:w w:val="105"/>
        </w:rPr>
        <w:t>había</w:t>
      </w:r>
      <w:r>
        <w:rPr>
          <w:color w:val="231F20"/>
          <w:spacing w:val="-21"/>
          <w:w w:val="105"/>
        </w:rPr>
        <w:t> </w:t>
      </w:r>
      <w:r>
        <w:rPr>
          <w:color w:val="231F20"/>
          <w:w w:val="105"/>
        </w:rPr>
        <w:t>familiares</w:t>
      </w:r>
      <w:r>
        <w:rPr>
          <w:color w:val="231F20"/>
          <w:spacing w:val="-21"/>
          <w:w w:val="105"/>
        </w:rPr>
        <w:t> </w:t>
      </w:r>
      <w:r>
        <w:rPr>
          <w:color w:val="231F20"/>
          <w:w w:val="105"/>
        </w:rPr>
        <w:t>directos</w:t>
      </w:r>
      <w:r>
        <w:rPr>
          <w:color w:val="231F20"/>
          <w:spacing w:val="-21"/>
          <w:w w:val="105"/>
        </w:rPr>
        <w:t> </w:t>
      </w:r>
      <w:r>
        <w:rPr>
          <w:color w:val="231F20"/>
          <w:w w:val="105"/>
        </w:rPr>
        <w:t>(padres, hermanos,</w:t>
      </w:r>
      <w:r>
        <w:rPr>
          <w:color w:val="231F20"/>
          <w:spacing w:val="-10"/>
          <w:w w:val="105"/>
        </w:rPr>
        <w:t> </w:t>
      </w:r>
      <w:r>
        <w:rPr>
          <w:color w:val="231F20"/>
          <w:w w:val="105"/>
        </w:rPr>
        <w:t>pareja);</w:t>
      </w:r>
      <w:r>
        <w:rPr>
          <w:color w:val="231F20"/>
          <w:spacing w:val="-4"/>
          <w:w w:val="105"/>
        </w:rPr>
        <w:t> </w:t>
      </w:r>
      <w:r>
        <w:rPr>
          <w:color w:val="231F20"/>
          <w:w w:val="105"/>
        </w:rPr>
        <w:t>casi</w:t>
      </w:r>
      <w:r>
        <w:rPr>
          <w:color w:val="231F20"/>
          <w:spacing w:val="-4"/>
          <w:w w:val="105"/>
        </w:rPr>
        <w:t> </w:t>
      </w:r>
      <w:r>
        <w:rPr>
          <w:color w:val="231F20"/>
          <w:w w:val="105"/>
        </w:rPr>
        <w:t>otro</w:t>
      </w:r>
      <w:r>
        <w:rPr>
          <w:color w:val="231F20"/>
          <w:spacing w:val="-4"/>
          <w:w w:val="105"/>
        </w:rPr>
        <w:t> </w:t>
      </w:r>
      <w:r>
        <w:rPr>
          <w:color w:val="231F20"/>
          <w:w w:val="105"/>
        </w:rPr>
        <w:t>tercio</w:t>
      </w:r>
      <w:r>
        <w:rPr>
          <w:color w:val="231F20"/>
          <w:spacing w:val="-4"/>
          <w:w w:val="105"/>
        </w:rPr>
        <w:t> </w:t>
      </w:r>
      <w:r>
        <w:rPr>
          <w:color w:val="231F20"/>
          <w:w w:val="105"/>
        </w:rPr>
        <w:t>arribó</w:t>
      </w:r>
      <w:r>
        <w:rPr>
          <w:color w:val="231F20"/>
          <w:spacing w:val="-4"/>
          <w:w w:val="105"/>
        </w:rPr>
        <w:t> </w:t>
      </w:r>
      <w:r>
        <w:rPr>
          <w:color w:val="231F20"/>
          <w:w w:val="105"/>
        </w:rPr>
        <w:t>porque</w:t>
      </w:r>
      <w:r>
        <w:rPr>
          <w:color w:val="231F20"/>
          <w:spacing w:val="-4"/>
          <w:w w:val="105"/>
        </w:rPr>
        <w:t> </w:t>
      </w:r>
      <w:r>
        <w:rPr>
          <w:color w:val="231F20"/>
          <w:w w:val="105"/>
        </w:rPr>
        <w:t>allí</w:t>
      </w:r>
      <w:r>
        <w:rPr>
          <w:color w:val="231F20"/>
          <w:spacing w:val="-4"/>
          <w:w w:val="105"/>
        </w:rPr>
        <w:t> </w:t>
      </w:r>
      <w:r>
        <w:rPr>
          <w:color w:val="231F20"/>
          <w:w w:val="105"/>
        </w:rPr>
        <w:t>tenían</w:t>
      </w:r>
      <w:r>
        <w:rPr>
          <w:color w:val="231F20"/>
          <w:spacing w:val="-4"/>
          <w:w w:val="105"/>
        </w:rPr>
        <w:t> </w:t>
      </w:r>
      <w:r>
        <w:rPr>
          <w:color w:val="231F20"/>
          <w:w w:val="105"/>
        </w:rPr>
        <w:t>amigos,</w:t>
      </w:r>
      <w:r>
        <w:rPr>
          <w:color w:val="231F20"/>
          <w:spacing w:val="-10"/>
          <w:w w:val="105"/>
        </w:rPr>
        <w:t> </w:t>
      </w:r>
      <w:r>
        <w:rPr>
          <w:color w:val="231F20"/>
          <w:w w:val="105"/>
        </w:rPr>
        <w:t>pai- sanos</w:t>
      </w:r>
      <w:r>
        <w:rPr>
          <w:color w:val="231F20"/>
          <w:spacing w:val="-21"/>
          <w:w w:val="105"/>
        </w:rPr>
        <w:t> </w:t>
      </w:r>
      <w:r>
        <w:rPr>
          <w:color w:val="231F20"/>
          <w:w w:val="105"/>
        </w:rPr>
        <w:t>o</w:t>
      </w:r>
      <w:r>
        <w:rPr>
          <w:color w:val="231F20"/>
          <w:spacing w:val="-21"/>
          <w:w w:val="105"/>
        </w:rPr>
        <w:t> </w:t>
      </w:r>
      <w:r>
        <w:rPr>
          <w:color w:val="231F20"/>
          <w:w w:val="105"/>
        </w:rPr>
        <w:t>el</w:t>
      </w:r>
      <w:r>
        <w:rPr>
          <w:color w:val="231F20"/>
          <w:spacing w:val="-21"/>
          <w:w w:val="105"/>
        </w:rPr>
        <w:t> </w:t>
      </w:r>
      <w:r>
        <w:rPr>
          <w:color w:val="231F20"/>
          <w:w w:val="105"/>
        </w:rPr>
        <w:t>coyote</w:t>
      </w:r>
      <w:r>
        <w:rPr>
          <w:color w:val="231F20"/>
          <w:spacing w:val="-21"/>
          <w:w w:val="105"/>
        </w:rPr>
        <w:t> </w:t>
      </w:r>
      <w:r>
        <w:rPr>
          <w:color w:val="231F20"/>
          <w:w w:val="105"/>
        </w:rPr>
        <w:t>les</w:t>
      </w:r>
      <w:r>
        <w:rPr>
          <w:color w:val="231F20"/>
          <w:spacing w:val="-21"/>
          <w:w w:val="105"/>
        </w:rPr>
        <w:t> </w:t>
      </w:r>
      <w:r>
        <w:rPr>
          <w:color w:val="231F20"/>
          <w:w w:val="105"/>
        </w:rPr>
        <w:t>iba</w:t>
      </w:r>
      <w:r>
        <w:rPr>
          <w:color w:val="231F20"/>
          <w:spacing w:val="-21"/>
          <w:w w:val="105"/>
        </w:rPr>
        <w:t> </w:t>
      </w:r>
      <w:r>
        <w:rPr>
          <w:color w:val="231F20"/>
          <w:w w:val="105"/>
        </w:rPr>
        <w:t>a</w:t>
      </w:r>
      <w:r>
        <w:rPr>
          <w:color w:val="231F20"/>
          <w:spacing w:val="-21"/>
          <w:w w:val="105"/>
        </w:rPr>
        <w:t> </w:t>
      </w:r>
      <w:r>
        <w:rPr>
          <w:color w:val="231F20"/>
          <w:w w:val="105"/>
        </w:rPr>
        <w:t>dar</w:t>
      </w:r>
      <w:r>
        <w:rPr>
          <w:color w:val="231F20"/>
          <w:spacing w:val="-21"/>
          <w:w w:val="105"/>
        </w:rPr>
        <w:t> </w:t>
      </w:r>
      <w:r>
        <w:rPr>
          <w:color w:val="231F20"/>
          <w:w w:val="105"/>
        </w:rPr>
        <w:t>trabajo</w:t>
      </w:r>
      <w:r>
        <w:rPr>
          <w:color w:val="231F20"/>
          <w:spacing w:val="-21"/>
          <w:w w:val="105"/>
        </w:rPr>
        <w:t> </w:t>
      </w:r>
      <w:r>
        <w:rPr>
          <w:color w:val="231F20"/>
          <w:w w:val="105"/>
        </w:rPr>
        <w:t>en</w:t>
      </w:r>
      <w:r>
        <w:rPr>
          <w:color w:val="231F20"/>
          <w:spacing w:val="-21"/>
          <w:w w:val="105"/>
        </w:rPr>
        <w:t> </w:t>
      </w:r>
      <w:r>
        <w:rPr>
          <w:color w:val="231F20"/>
          <w:w w:val="105"/>
        </w:rPr>
        <w:t>ese</w:t>
      </w:r>
      <w:r>
        <w:rPr>
          <w:color w:val="231F20"/>
          <w:spacing w:val="-21"/>
          <w:w w:val="105"/>
        </w:rPr>
        <w:t> </w:t>
      </w:r>
      <w:r>
        <w:rPr>
          <w:color w:val="231F20"/>
          <w:w w:val="105"/>
        </w:rPr>
        <w:t>estado.</w:t>
      </w:r>
      <w:r>
        <w:rPr>
          <w:color w:val="231F20"/>
          <w:spacing w:val="-27"/>
          <w:w w:val="105"/>
        </w:rPr>
        <w:t> </w:t>
      </w:r>
      <w:r>
        <w:rPr>
          <w:color w:val="231F20"/>
          <w:w w:val="105"/>
        </w:rPr>
        <w:t>Entre</w:t>
      </w:r>
      <w:r>
        <w:rPr>
          <w:color w:val="231F20"/>
          <w:spacing w:val="-21"/>
          <w:w w:val="105"/>
        </w:rPr>
        <w:t> </w:t>
      </w:r>
      <w:r>
        <w:rPr>
          <w:color w:val="231F20"/>
          <w:w w:val="105"/>
        </w:rPr>
        <w:t>quienes</w:t>
      </w:r>
      <w:r>
        <w:rPr>
          <w:color w:val="231F20"/>
          <w:spacing w:val="-21"/>
          <w:w w:val="105"/>
        </w:rPr>
        <w:t> </w:t>
      </w:r>
      <w:r>
        <w:rPr>
          <w:color w:val="231F20"/>
          <w:w w:val="105"/>
        </w:rPr>
        <w:t>llega- ron</w:t>
      </w:r>
      <w:r>
        <w:rPr>
          <w:color w:val="231F20"/>
          <w:spacing w:val="-13"/>
          <w:w w:val="105"/>
        </w:rPr>
        <w:t> </w:t>
      </w:r>
      <w:r>
        <w:rPr>
          <w:color w:val="231F20"/>
          <w:w w:val="105"/>
        </w:rPr>
        <w:t>en</w:t>
      </w:r>
      <w:r>
        <w:rPr>
          <w:color w:val="231F20"/>
          <w:spacing w:val="-13"/>
          <w:w w:val="105"/>
        </w:rPr>
        <w:t> </w:t>
      </w:r>
      <w:r>
        <w:rPr>
          <w:color w:val="231F20"/>
          <w:w w:val="105"/>
        </w:rPr>
        <w:t>su</w:t>
      </w:r>
      <w:r>
        <w:rPr>
          <w:color w:val="231F20"/>
          <w:spacing w:val="-13"/>
          <w:w w:val="105"/>
        </w:rPr>
        <w:t> </w:t>
      </w:r>
      <w:r>
        <w:rPr>
          <w:color w:val="231F20"/>
          <w:w w:val="105"/>
        </w:rPr>
        <w:t>segundo</w:t>
      </w:r>
      <w:r>
        <w:rPr>
          <w:color w:val="231F20"/>
          <w:spacing w:val="-13"/>
          <w:w w:val="105"/>
        </w:rPr>
        <w:t> </w:t>
      </w:r>
      <w:r>
        <w:rPr>
          <w:color w:val="231F20"/>
          <w:w w:val="105"/>
        </w:rPr>
        <w:t>viaje</w:t>
      </w:r>
      <w:r>
        <w:rPr>
          <w:color w:val="231F20"/>
          <w:spacing w:val="-13"/>
          <w:w w:val="105"/>
        </w:rPr>
        <w:t> </w:t>
      </w:r>
      <w:r>
        <w:rPr>
          <w:color w:val="231F20"/>
          <w:w w:val="105"/>
        </w:rPr>
        <w:t>o</w:t>
      </w:r>
      <w:r>
        <w:rPr>
          <w:color w:val="231F20"/>
          <w:spacing w:val="-13"/>
          <w:w w:val="105"/>
        </w:rPr>
        <w:t> </w:t>
      </w:r>
      <w:r>
        <w:rPr>
          <w:color w:val="231F20"/>
          <w:w w:val="105"/>
        </w:rPr>
        <w:t>posteriormente,</w:t>
      </w:r>
      <w:r>
        <w:rPr>
          <w:color w:val="231F20"/>
          <w:spacing w:val="-20"/>
          <w:w w:val="105"/>
        </w:rPr>
        <w:t> </w:t>
      </w:r>
      <w:r>
        <w:rPr>
          <w:color w:val="231F20"/>
          <w:w w:val="105"/>
        </w:rPr>
        <w:t>alrededor</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cuarta</w:t>
      </w:r>
      <w:r>
        <w:rPr>
          <w:color w:val="231F20"/>
          <w:spacing w:val="-13"/>
          <w:w w:val="105"/>
        </w:rPr>
        <w:t> </w:t>
      </w:r>
      <w:r>
        <w:rPr>
          <w:color w:val="231F20"/>
          <w:w w:val="105"/>
        </w:rPr>
        <w:t>parte (26%)</w:t>
      </w:r>
      <w:r>
        <w:rPr>
          <w:color w:val="231F20"/>
          <w:spacing w:val="-6"/>
          <w:w w:val="105"/>
        </w:rPr>
        <w:t> </w:t>
      </w:r>
      <w:r>
        <w:rPr>
          <w:color w:val="231F20"/>
          <w:w w:val="105"/>
        </w:rPr>
        <w:t>lo</w:t>
      </w:r>
      <w:r>
        <w:rPr>
          <w:color w:val="231F20"/>
          <w:spacing w:val="-6"/>
          <w:w w:val="105"/>
        </w:rPr>
        <w:t> </w:t>
      </w:r>
      <w:r>
        <w:rPr>
          <w:color w:val="231F20"/>
          <w:w w:val="105"/>
        </w:rPr>
        <w:t>eligió</w:t>
      </w:r>
      <w:r>
        <w:rPr>
          <w:color w:val="231F20"/>
          <w:spacing w:val="-6"/>
          <w:w w:val="105"/>
        </w:rPr>
        <w:t> </w:t>
      </w:r>
      <w:r>
        <w:rPr>
          <w:color w:val="231F20"/>
          <w:w w:val="105"/>
        </w:rPr>
        <w:t>como</w:t>
      </w:r>
      <w:r>
        <w:rPr>
          <w:color w:val="231F20"/>
          <w:spacing w:val="-6"/>
          <w:w w:val="105"/>
        </w:rPr>
        <w:t> </w:t>
      </w:r>
      <w:r>
        <w:rPr>
          <w:color w:val="231F20"/>
          <w:w w:val="105"/>
        </w:rPr>
        <w:t>destino</w:t>
      </w:r>
      <w:r>
        <w:rPr>
          <w:color w:val="231F20"/>
          <w:spacing w:val="-6"/>
          <w:w w:val="105"/>
        </w:rPr>
        <w:t> </w:t>
      </w:r>
      <w:r>
        <w:rPr>
          <w:color w:val="231F20"/>
          <w:w w:val="105"/>
        </w:rPr>
        <w:t>porque</w:t>
      </w:r>
      <w:r>
        <w:rPr>
          <w:color w:val="231F20"/>
          <w:spacing w:val="-6"/>
          <w:w w:val="105"/>
        </w:rPr>
        <w:t> </w:t>
      </w:r>
      <w:r>
        <w:rPr>
          <w:color w:val="231F20"/>
          <w:w w:val="105"/>
        </w:rPr>
        <w:t>allí</w:t>
      </w:r>
      <w:r>
        <w:rPr>
          <w:color w:val="231F20"/>
          <w:spacing w:val="-6"/>
          <w:w w:val="105"/>
        </w:rPr>
        <w:t> </w:t>
      </w:r>
      <w:r>
        <w:rPr>
          <w:color w:val="231F20"/>
          <w:w w:val="105"/>
        </w:rPr>
        <w:t>tenían</w:t>
      </w:r>
      <w:r>
        <w:rPr>
          <w:color w:val="231F20"/>
          <w:spacing w:val="-6"/>
          <w:w w:val="105"/>
        </w:rPr>
        <w:t> </w:t>
      </w:r>
      <w:r>
        <w:rPr>
          <w:color w:val="231F20"/>
          <w:w w:val="105"/>
        </w:rPr>
        <w:t>familiares</w:t>
      </w:r>
      <w:r>
        <w:rPr>
          <w:color w:val="231F20"/>
          <w:spacing w:val="-6"/>
          <w:w w:val="105"/>
        </w:rPr>
        <w:t> </w:t>
      </w:r>
      <w:r>
        <w:rPr>
          <w:color w:val="231F20"/>
          <w:w w:val="105"/>
        </w:rPr>
        <w:t>directos</w:t>
      </w:r>
      <w:r>
        <w:rPr>
          <w:color w:val="231F20"/>
          <w:spacing w:val="-6"/>
          <w:w w:val="105"/>
        </w:rPr>
        <w:t> </w:t>
      </w:r>
      <w:r>
        <w:rPr>
          <w:color w:val="231F20"/>
          <w:w w:val="105"/>
        </w:rPr>
        <w:t>o</w:t>
      </w:r>
      <w:r>
        <w:rPr>
          <w:color w:val="231F20"/>
          <w:spacing w:val="-6"/>
          <w:w w:val="105"/>
        </w:rPr>
        <w:t> </w:t>
      </w:r>
      <w:r>
        <w:rPr>
          <w:color w:val="231F20"/>
          <w:w w:val="105"/>
        </w:rPr>
        <w:t>por- que</w:t>
      </w:r>
      <w:r>
        <w:rPr>
          <w:color w:val="231F20"/>
          <w:spacing w:val="-21"/>
          <w:w w:val="105"/>
        </w:rPr>
        <w:t> </w:t>
      </w:r>
      <w:r>
        <w:rPr>
          <w:color w:val="231F20"/>
          <w:w w:val="105"/>
        </w:rPr>
        <w:t>ya</w:t>
      </w:r>
      <w:r>
        <w:rPr>
          <w:color w:val="231F20"/>
          <w:spacing w:val="-21"/>
          <w:w w:val="105"/>
        </w:rPr>
        <w:t> </w:t>
      </w:r>
      <w:r>
        <w:rPr>
          <w:color w:val="231F20"/>
          <w:w w:val="105"/>
        </w:rPr>
        <w:t>habían</w:t>
      </w:r>
      <w:r>
        <w:rPr>
          <w:color w:val="231F20"/>
          <w:spacing w:val="-21"/>
          <w:w w:val="105"/>
        </w:rPr>
        <w:t> </w:t>
      </w:r>
      <w:r>
        <w:rPr>
          <w:color w:val="231F20"/>
          <w:w w:val="105"/>
        </w:rPr>
        <w:t>visitado</w:t>
      </w:r>
      <w:r>
        <w:rPr>
          <w:color w:val="231F20"/>
          <w:spacing w:val="-21"/>
          <w:w w:val="105"/>
        </w:rPr>
        <w:t> </w:t>
      </w:r>
      <w:r>
        <w:rPr>
          <w:color w:val="231F20"/>
          <w:w w:val="105"/>
        </w:rPr>
        <w:t>alguna</w:t>
      </w:r>
      <w:r>
        <w:rPr>
          <w:color w:val="231F20"/>
          <w:spacing w:val="-21"/>
          <w:w w:val="105"/>
        </w:rPr>
        <w:t> </w:t>
      </w:r>
      <w:r>
        <w:rPr>
          <w:color w:val="231F20"/>
          <w:w w:val="105"/>
        </w:rPr>
        <w:t>vez</w:t>
      </w:r>
      <w:r>
        <w:rPr>
          <w:color w:val="231F20"/>
          <w:spacing w:val="-21"/>
          <w:w w:val="105"/>
        </w:rPr>
        <w:t> </w:t>
      </w:r>
      <w:r>
        <w:rPr>
          <w:color w:val="231F20"/>
          <w:w w:val="105"/>
        </w:rPr>
        <w:t>esos</w:t>
      </w:r>
      <w:r>
        <w:rPr>
          <w:color w:val="231F20"/>
          <w:spacing w:val="-21"/>
          <w:w w:val="105"/>
        </w:rPr>
        <w:t> </w:t>
      </w:r>
      <w:r>
        <w:rPr>
          <w:color w:val="231F20"/>
          <w:w w:val="105"/>
        </w:rPr>
        <w:t>lugares,</w:t>
      </w:r>
      <w:r>
        <w:rPr>
          <w:color w:val="231F20"/>
          <w:spacing w:val="-26"/>
          <w:w w:val="105"/>
        </w:rPr>
        <w:t> </w:t>
      </w:r>
      <w:r>
        <w:rPr>
          <w:color w:val="231F20"/>
          <w:w w:val="105"/>
        </w:rPr>
        <w:t>los</w:t>
      </w:r>
      <w:r>
        <w:rPr>
          <w:color w:val="231F20"/>
          <w:spacing w:val="-21"/>
          <w:w w:val="105"/>
        </w:rPr>
        <w:t> </w:t>
      </w:r>
      <w:r>
        <w:rPr>
          <w:color w:val="231F20"/>
          <w:w w:val="105"/>
        </w:rPr>
        <w:t>demás</w:t>
      </w:r>
      <w:r>
        <w:rPr>
          <w:color w:val="231F20"/>
          <w:spacing w:val="-21"/>
          <w:w w:val="105"/>
        </w:rPr>
        <w:t> </w:t>
      </w:r>
      <w:r>
        <w:rPr>
          <w:color w:val="231F20"/>
          <w:w w:val="105"/>
        </w:rPr>
        <w:t>allí</w:t>
      </w:r>
      <w:r>
        <w:rPr>
          <w:color w:val="231F20"/>
          <w:spacing w:val="-21"/>
          <w:w w:val="105"/>
        </w:rPr>
        <w:t> </w:t>
      </w:r>
      <w:r>
        <w:rPr>
          <w:color w:val="231F20"/>
          <w:w w:val="105"/>
        </w:rPr>
        <w:t>tenían</w:t>
      </w:r>
      <w:r>
        <w:rPr>
          <w:color w:val="231F20"/>
          <w:spacing w:val="-21"/>
          <w:w w:val="105"/>
        </w:rPr>
        <w:t> </w:t>
      </w:r>
      <w:r>
        <w:rPr>
          <w:color w:val="231F20"/>
          <w:w w:val="105"/>
        </w:rPr>
        <w:t>pai- sanos o habían gestionado algún empleo con los coyotes o amistades. En</w:t>
      </w:r>
      <w:r>
        <w:rPr>
          <w:color w:val="231F20"/>
          <w:spacing w:val="-12"/>
          <w:w w:val="105"/>
        </w:rPr>
        <w:t> </w:t>
      </w:r>
      <w:r>
        <w:rPr>
          <w:color w:val="231F20"/>
          <w:w w:val="105"/>
        </w:rPr>
        <w:t>general,</w:t>
      </w:r>
      <w:r>
        <w:rPr>
          <w:color w:val="231F20"/>
          <w:spacing w:val="-17"/>
          <w:w w:val="105"/>
        </w:rPr>
        <w:t> </w:t>
      </w:r>
      <w:r>
        <w:rPr>
          <w:color w:val="231F20"/>
          <w:w w:val="105"/>
        </w:rPr>
        <w:t>tanto</w:t>
      </w:r>
      <w:r>
        <w:rPr>
          <w:color w:val="231F20"/>
          <w:spacing w:val="-12"/>
          <w:w w:val="105"/>
        </w:rPr>
        <w:t> </w:t>
      </w:r>
      <w:r>
        <w:rPr>
          <w:color w:val="231F20"/>
          <w:w w:val="105"/>
        </w:rPr>
        <w:t>quienes</w:t>
      </w:r>
      <w:r>
        <w:rPr>
          <w:color w:val="231F20"/>
          <w:spacing w:val="-12"/>
          <w:w w:val="105"/>
        </w:rPr>
        <w:t> </w:t>
      </w:r>
      <w:r>
        <w:rPr>
          <w:color w:val="231F20"/>
          <w:w w:val="105"/>
        </w:rPr>
        <w:t>llegaron</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primer</w:t>
      </w:r>
      <w:r>
        <w:rPr>
          <w:color w:val="231F20"/>
          <w:spacing w:val="-12"/>
          <w:w w:val="105"/>
        </w:rPr>
        <w:t> </w:t>
      </w:r>
      <w:r>
        <w:rPr>
          <w:color w:val="231F20"/>
          <w:w w:val="105"/>
        </w:rPr>
        <w:t>viaje</w:t>
      </w:r>
      <w:r>
        <w:rPr>
          <w:color w:val="231F20"/>
          <w:spacing w:val="-12"/>
          <w:w w:val="105"/>
        </w:rPr>
        <w:t> </w:t>
      </w:r>
      <w:r>
        <w:rPr>
          <w:color w:val="231F20"/>
          <w:w w:val="105"/>
        </w:rPr>
        <w:t>como</w:t>
      </w:r>
      <w:r>
        <w:rPr>
          <w:color w:val="231F20"/>
          <w:spacing w:val="-12"/>
          <w:w w:val="105"/>
        </w:rPr>
        <w:t> </w:t>
      </w:r>
      <w:r>
        <w:rPr>
          <w:color w:val="231F20"/>
          <w:w w:val="105"/>
        </w:rPr>
        <w:t>en</w:t>
      </w:r>
      <w:r>
        <w:rPr>
          <w:color w:val="231F20"/>
          <w:spacing w:val="-12"/>
          <w:w w:val="105"/>
        </w:rPr>
        <w:t> </w:t>
      </w:r>
      <w:r>
        <w:rPr>
          <w:color w:val="231F20"/>
          <w:w w:val="105"/>
        </w:rPr>
        <w:t>ocasiones posteriores,</w:t>
      </w:r>
      <w:r>
        <w:rPr>
          <w:color w:val="231F20"/>
          <w:spacing w:val="-29"/>
          <w:w w:val="105"/>
        </w:rPr>
        <w:t> </w:t>
      </w:r>
      <w:r>
        <w:rPr>
          <w:color w:val="231F20"/>
          <w:w w:val="105"/>
        </w:rPr>
        <w:t>menos</w:t>
      </w:r>
      <w:r>
        <w:rPr>
          <w:color w:val="231F20"/>
          <w:spacing w:val="-24"/>
          <w:w w:val="105"/>
        </w:rPr>
        <w:t> </w:t>
      </w:r>
      <w:r>
        <w:rPr>
          <w:color w:val="231F20"/>
          <w:w w:val="105"/>
        </w:rPr>
        <w:t>del</w:t>
      </w:r>
      <w:r>
        <w:rPr>
          <w:color w:val="231F20"/>
          <w:spacing w:val="-24"/>
          <w:w w:val="105"/>
        </w:rPr>
        <w:t> </w:t>
      </w:r>
      <w:r>
        <w:rPr>
          <w:color w:val="231F20"/>
          <w:w w:val="105"/>
        </w:rPr>
        <w:t>1%</w:t>
      </w:r>
      <w:r>
        <w:rPr>
          <w:color w:val="231F20"/>
          <w:spacing w:val="-24"/>
          <w:w w:val="105"/>
        </w:rPr>
        <w:t> </w:t>
      </w:r>
      <w:r>
        <w:rPr>
          <w:color w:val="231F20"/>
          <w:w w:val="105"/>
        </w:rPr>
        <w:t>llegó</w:t>
      </w:r>
      <w:r>
        <w:rPr>
          <w:color w:val="231F20"/>
          <w:spacing w:val="-24"/>
          <w:w w:val="105"/>
        </w:rPr>
        <w:t> </w:t>
      </w:r>
      <w:r>
        <w:rPr>
          <w:color w:val="231F20"/>
          <w:w w:val="105"/>
        </w:rPr>
        <w:t>a</w:t>
      </w:r>
      <w:r>
        <w:rPr>
          <w:color w:val="231F20"/>
          <w:spacing w:val="-24"/>
          <w:w w:val="105"/>
        </w:rPr>
        <w:t> </w:t>
      </w:r>
      <w:r>
        <w:rPr>
          <w:color w:val="231F20"/>
          <w:w w:val="105"/>
        </w:rPr>
        <w:t>esta</w:t>
      </w:r>
      <w:r>
        <w:rPr>
          <w:color w:val="231F20"/>
          <w:spacing w:val="-24"/>
          <w:w w:val="105"/>
        </w:rPr>
        <w:t> </w:t>
      </w:r>
      <w:r>
        <w:rPr>
          <w:color w:val="231F20"/>
          <w:w w:val="105"/>
        </w:rPr>
        <w:t>entidad</w:t>
      </w:r>
      <w:r>
        <w:rPr>
          <w:color w:val="231F20"/>
          <w:spacing w:val="-24"/>
          <w:w w:val="105"/>
        </w:rPr>
        <w:t> </w:t>
      </w:r>
      <w:r>
        <w:rPr>
          <w:color w:val="231F20"/>
          <w:w w:val="105"/>
        </w:rPr>
        <w:t>americana</w:t>
      </w:r>
      <w:r>
        <w:rPr>
          <w:color w:val="231F20"/>
          <w:spacing w:val="-24"/>
          <w:w w:val="105"/>
        </w:rPr>
        <w:t> </w:t>
      </w:r>
      <w:r>
        <w:rPr>
          <w:color w:val="231F20"/>
          <w:w w:val="105"/>
        </w:rPr>
        <w:t>por</w:t>
      </w:r>
      <w:r>
        <w:rPr>
          <w:color w:val="231F20"/>
          <w:spacing w:val="-24"/>
          <w:w w:val="105"/>
        </w:rPr>
        <w:t> </w:t>
      </w:r>
      <w:r>
        <w:rPr>
          <w:color w:val="231F20"/>
          <w:w w:val="105"/>
        </w:rPr>
        <w:t>cuestiones del</w:t>
      </w:r>
      <w:r>
        <w:rPr>
          <w:color w:val="231F20"/>
          <w:spacing w:val="-9"/>
          <w:w w:val="105"/>
        </w:rPr>
        <w:t> </w:t>
      </w:r>
      <w:r>
        <w:rPr>
          <w:color w:val="231F20"/>
          <w:w w:val="105"/>
        </w:rPr>
        <w:t>azar</w:t>
      </w:r>
      <w:r>
        <w:rPr>
          <w:color w:val="231F20"/>
          <w:spacing w:val="-9"/>
          <w:w w:val="105"/>
        </w:rPr>
        <w:t> </w:t>
      </w:r>
      <w:r>
        <w:rPr>
          <w:color w:val="231F20"/>
          <w:w w:val="105"/>
        </w:rPr>
        <w:t>o</w:t>
      </w:r>
      <w:r>
        <w:rPr>
          <w:color w:val="231F20"/>
          <w:spacing w:val="-9"/>
          <w:w w:val="105"/>
        </w:rPr>
        <w:t> </w:t>
      </w:r>
      <w:r>
        <w:rPr>
          <w:color w:val="231F20"/>
          <w:w w:val="105"/>
        </w:rPr>
        <w:t>por</w:t>
      </w:r>
      <w:r>
        <w:rPr>
          <w:color w:val="231F20"/>
          <w:spacing w:val="-9"/>
          <w:w w:val="105"/>
        </w:rPr>
        <w:t> </w:t>
      </w:r>
      <w:r>
        <w:rPr>
          <w:color w:val="231F20"/>
          <w:w w:val="105"/>
        </w:rPr>
        <w:t>desconocer</w:t>
      </w:r>
      <w:r>
        <w:rPr>
          <w:color w:val="231F20"/>
          <w:spacing w:val="-9"/>
          <w:w w:val="105"/>
        </w:rPr>
        <w:t> </w:t>
      </w:r>
      <w:r>
        <w:rPr>
          <w:color w:val="231F20"/>
          <w:w w:val="105"/>
        </w:rPr>
        <w:t>el</w:t>
      </w:r>
      <w:r>
        <w:rPr>
          <w:color w:val="231F20"/>
          <w:spacing w:val="-9"/>
          <w:w w:val="105"/>
        </w:rPr>
        <w:t> </w:t>
      </w:r>
      <w:r>
        <w:rPr>
          <w:color w:val="231F20"/>
          <w:w w:val="105"/>
        </w:rPr>
        <w:t>terreno.</w:t>
      </w:r>
    </w:p>
    <w:p>
      <w:pPr>
        <w:pStyle w:val="BodyText"/>
        <w:spacing w:line="261" w:lineRule="auto" w:before="1"/>
        <w:ind w:left="1837" w:right="1716" w:firstLine="567"/>
        <w:jc w:val="both"/>
      </w:pPr>
      <w:r>
        <w:rPr/>
        <w:pict>
          <v:line style="position:absolute;mso-position-horizontal-relative:page;mso-position-vertical-relative:paragraph;z-index:-460624" from="15pt,157.545197pt" to="0pt,157.545197pt" stroked="true" strokeweight=".25pt" strokecolor="#000000">
            <w10:wrap type="none"/>
          </v:line>
        </w:pict>
      </w:r>
      <w:r>
        <w:rPr/>
        <w:pict>
          <v:line style="position:absolute;mso-position-horizontal-relative:page;mso-position-vertical-relative:paragraph;z-index:29584" from="508.890015pt,157.545197pt" to="523.890015pt,157.545197pt" stroked="true" strokeweight=".25pt" strokecolor="#000000">
            <w10:wrap type="none"/>
          </v:line>
        </w:pict>
      </w:r>
      <w:r>
        <w:rPr>
          <w:color w:val="231F20"/>
          <w:w w:val="105"/>
        </w:rPr>
        <w:t>Otro aspecto a resaltar en el proceso de emigración de los mexi- quenses es la similitud de razones y causales que comparten con emi- grantes</w:t>
      </w:r>
      <w:r>
        <w:rPr>
          <w:color w:val="231F20"/>
          <w:spacing w:val="-4"/>
          <w:w w:val="105"/>
        </w:rPr>
        <w:t> </w:t>
      </w:r>
      <w:r>
        <w:rPr>
          <w:color w:val="231F20"/>
          <w:w w:val="105"/>
        </w:rPr>
        <w:t>de</w:t>
      </w:r>
      <w:r>
        <w:rPr>
          <w:color w:val="231F20"/>
          <w:spacing w:val="-4"/>
          <w:w w:val="105"/>
        </w:rPr>
        <w:t> </w:t>
      </w:r>
      <w:r>
        <w:rPr>
          <w:color w:val="231F20"/>
          <w:w w:val="105"/>
        </w:rPr>
        <w:t>otras</w:t>
      </w:r>
      <w:r>
        <w:rPr>
          <w:color w:val="231F20"/>
          <w:spacing w:val="-4"/>
          <w:w w:val="105"/>
        </w:rPr>
        <w:t> </w:t>
      </w:r>
      <w:r>
        <w:rPr>
          <w:color w:val="231F20"/>
          <w:w w:val="105"/>
        </w:rPr>
        <w:t>entidades.</w:t>
      </w:r>
      <w:r>
        <w:rPr>
          <w:color w:val="231F20"/>
          <w:spacing w:val="-10"/>
          <w:w w:val="105"/>
        </w:rPr>
        <w:t> </w:t>
      </w:r>
      <w:r>
        <w:rPr>
          <w:color w:val="231F20"/>
          <w:w w:val="105"/>
        </w:rPr>
        <w:t>Como</w:t>
      </w:r>
      <w:r>
        <w:rPr>
          <w:color w:val="231F20"/>
          <w:spacing w:val="-4"/>
          <w:w w:val="105"/>
        </w:rPr>
        <w:t> </w:t>
      </w:r>
      <w:r>
        <w:rPr>
          <w:color w:val="231F20"/>
          <w:w w:val="105"/>
        </w:rPr>
        <w:t>se</w:t>
      </w:r>
      <w:r>
        <w:rPr>
          <w:color w:val="231F20"/>
          <w:spacing w:val="-4"/>
          <w:w w:val="105"/>
        </w:rPr>
        <w:t> </w:t>
      </w:r>
      <w:r>
        <w:rPr>
          <w:color w:val="231F20"/>
          <w:w w:val="105"/>
        </w:rPr>
        <w:t>aprecia</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cuadro</w:t>
      </w:r>
      <w:r>
        <w:rPr>
          <w:color w:val="231F20"/>
          <w:spacing w:val="-4"/>
          <w:w w:val="105"/>
        </w:rPr>
        <w:t> </w:t>
      </w:r>
      <w:r>
        <w:rPr>
          <w:color w:val="231F20"/>
          <w:w w:val="105"/>
        </w:rPr>
        <w:t>3,</w:t>
      </w:r>
      <w:r>
        <w:rPr>
          <w:color w:val="231F20"/>
          <w:spacing w:val="-10"/>
          <w:w w:val="105"/>
        </w:rPr>
        <w:t> </w:t>
      </w:r>
      <w:r>
        <w:rPr>
          <w:color w:val="231F20"/>
          <w:w w:val="105"/>
        </w:rPr>
        <w:t>construir</w:t>
      </w:r>
      <w:r>
        <w:rPr>
          <w:color w:val="231F20"/>
          <w:spacing w:val="-4"/>
          <w:w w:val="105"/>
        </w:rPr>
        <w:t> </w:t>
      </w:r>
      <w:r>
        <w:rPr>
          <w:color w:val="231F20"/>
          <w:w w:val="105"/>
        </w:rPr>
        <w:t>y arreglar</w:t>
      </w:r>
      <w:r>
        <w:rPr>
          <w:color w:val="231F20"/>
          <w:spacing w:val="-7"/>
          <w:w w:val="105"/>
        </w:rPr>
        <w:t> </w:t>
      </w:r>
      <w:r>
        <w:rPr>
          <w:color w:val="231F20"/>
          <w:w w:val="105"/>
        </w:rPr>
        <w:t>la</w:t>
      </w:r>
      <w:r>
        <w:rPr>
          <w:color w:val="231F20"/>
          <w:spacing w:val="-7"/>
          <w:w w:val="105"/>
        </w:rPr>
        <w:t> </w:t>
      </w:r>
      <w:r>
        <w:rPr>
          <w:color w:val="231F20"/>
          <w:w w:val="105"/>
        </w:rPr>
        <w:t>casa,</w:t>
      </w:r>
      <w:r>
        <w:rPr>
          <w:color w:val="231F20"/>
          <w:spacing w:val="-12"/>
          <w:w w:val="105"/>
        </w:rPr>
        <w:t> </w:t>
      </w:r>
      <w:r>
        <w:rPr>
          <w:color w:val="231F20"/>
          <w:w w:val="105"/>
        </w:rPr>
        <w:t>mejorar</w:t>
      </w:r>
      <w:r>
        <w:rPr>
          <w:color w:val="231F20"/>
          <w:spacing w:val="-7"/>
          <w:w w:val="105"/>
        </w:rPr>
        <w:t> </w:t>
      </w:r>
      <w:r>
        <w:rPr>
          <w:color w:val="231F20"/>
          <w:w w:val="105"/>
        </w:rPr>
        <w:t>el</w:t>
      </w:r>
      <w:r>
        <w:rPr>
          <w:color w:val="231F20"/>
          <w:spacing w:val="-7"/>
          <w:w w:val="105"/>
        </w:rPr>
        <w:t> </w:t>
      </w:r>
      <w:r>
        <w:rPr>
          <w:color w:val="231F20"/>
          <w:w w:val="105"/>
        </w:rPr>
        <w:t>bienestar</w:t>
      </w:r>
      <w:r>
        <w:rPr>
          <w:color w:val="231F20"/>
          <w:spacing w:val="-7"/>
          <w:w w:val="105"/>
        </w:rPr>
        <w:t> </w:t>
      </w:r>
      <w:r>
        <w:rPr>
          <w:color w:val="231F20"/>
          <w:w w:val="105"/>
        </w:rPr>
        <w:t>familiar,</w:t>
      </w:r>
      <w:r>
        <w:rPr>
          <w:color w:val="231F20"/>
          <w:spacing w:val="-12"/>
          <w:w w:val="105"/>
        </w:rPr>
        <w:t> </w:t>
      </w:r>
      <w:r>
        <w:rPr>
          <w:color w:val="231F20"/>
          <w:w w:val="105"/>
        </w:rPr>
        <w:t>ahorrar</w:t>
      </w:r>
      <w:r>
        <w:rPr>
          <w:color w:val="231F20"/>
          <w:spacing w:val="-7"/>
          <w:w w:val="105"/>
        </w:rPr>
        <w:t> </w:t>
      </w:r>
      <w:r>
        <w:rPr>
          <w:color w:val="231F20"/>
          <w:w w:val="105"/>
        </w:rPr>
        <w:t>para</w:t>
      </w:r>
      <w:r>
        <w:rPr>
          <w:color w:val="231F20"/>
          <w:spacing w:val="-7"/>
          <w:w w:val="105"/>
        </w:rPr>
        <w:t> </w:t>
      </w:r>
      <w:r>
        <w:rPr>
          <w:color w:val="231F20"/>
          <w:w w:val="105"/>
        </w:rPr>
        <w:t>poner</w:t>
      </w:r>
      <w:r>
        <w:rPr>
          <w:color w:val="231F20"/>
          <w:spacing w:val="-7"/>
          <w:w w:val="105"/>
        </w:rPr>
        <w:t> </w:t>
      </w:r>
      <w:r>
        <w:rPr>
          <w:color w:val="231F20"/>
          <w:w w:val="105"/>
        </w:rPr>
        <w:t>un</w:t>
      </w:r>
      <w:r>
        <w:rPr>
          <w:color w:val="231F20"/>
          <w:spacing w:val="-7"/>
          <w:w w:val="105"/>
        </w:rPr>
        <w:t> </w:t>
      </w:r>
      <w:r>
        <w:rPr>
          <w:color w:val="231F20"/>
          <w:w w:val="105"/>
        </w:rPr>
        <w:t>ne- gocio</w:t>
      </w:r>
      <w:r>
        <w:rPr>
          <w:color w:val="231F20"/>
          <w:spacing w:val="-13"/>
          <w:w w:val="105"/>
        </w:rPr>
        <w:t> </w:t>
      </w:r>
      <w:r>
        <w:rPr>
          <w:color w:val="231F20"/>
          <w:w w:val="105"/>
        </w:rPr>
        <w:t>al</w:t>
      </w:r>
      <w:r>
        <w:rPr>
          <w:color w:val="231F20"/>
          <w:spacing w:val="-13"/>
          <w:w w:val="105"/>
        </w:rPr>
        <w:t> </w:t>
      </w:r>
      <w:r>
        <w:rPr>
          <w:color w:val="231F20"/>
          <w:w w:val="105"/>
        </w:rPr>
        <w:t>volver,</w:t>
      </w:r>
      <w:r>
        <w:rPr>
          <w:color w:val="231F20"/>
          <w:spacing w:val="-18"/>
          <w:w w:val="105"/>
        </w:rPr>
        <w:t> </w:t>
      </w:r>
      <w:r>
        <w:rPr>
          <w:color w:val="231F20"/>
          <w:w w:val="105"/>
        </w:rPr>
        <w:t>pagar</w:t>
      </w:r>
      <w:r>
        <w:rPr>
          <w:color w:val="231F20"/>
          <w:spacing w:val="-13"/>
          <w:w w:val="105"/>
        </w:rPr>
        <w:t> </w:t>
      </w:r>
      <w:r>
        <w:rPr>
          <w:color w:val="231F20"/>
          <w:w w:val="105"/>
        </w:rPr>
        <w:t>el</w:t>
      </w:r>
      <w:r>
        <w:rPr>
          <w:color w:val="231F20"/>
          <w:spacing w:val="-13"/>
          <w:w w:val="105"/>
        </w:rPr>
        <w:t> </w:t>
      </w:r>
      <w:r>
        <w:rPr>
          <w:color w:val="231F20"/>
          <w:w w:val="105"/>
        </w:rPr>
        <w:t>estudio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hijos</w:t>
      </w:r>
      <w:r>
        <w:rPr>
          <w:color w:val="231F20"/>
          <w:spacing w:val="-13"/>
          <w:w w:val="105"/>
        </w:rPr>
        <w:t> </w:t>
      </w:r>
      <w:r>
        <w:rPr>
          <w:color w:val="231F20"/>
          <w:w w:val="105"/>
        </w:rPr>
        <w:t>y</w:t>
      </w:r>
      <w:r>
        <w:rPr>
          <w:color w:val="231F20"/>
          <w:spacing w:val="-13"/>
          <w:w w:val="105"/>
        </w:rPr>
        <w:t> </w:t>
      </w:r>
      <w:r>
        <w:rPr>
          <w:color w:val="231F20"/>
          <w:w w:val="105"/>
        </w:rPr>
        <w:t>comprar</w:t>
      </w:r>
      <w:r>
        <w:rPr>
          <w:color w:val="231F20"/>
          <w:spacing w:val="-13"/>
          <w:w w:val="105"/>
        </w:rPr>
        <w:t> </w:t>
      </w:r>
      <w:r>
        <w:rPr>
          <w:color w:val="231F20"/>
          <w:w w:val="105"/>
        </w:rPr>
        <w:t>cosas</w:t>
      </w:r>
      <w:r>
        <w:rPr>
          <w:color w:val="231F20"/>
          <w:spacing w:val="-13"/>
          <w:w w:val="105"/>
        </w:rPr>
        <w:t> </w:t>
      </w:r>
      <w:r>
        <w:rPr>
          <w:color w:val="231F20"/>
          <w:w w:val="105"/>
        </w:rPr>
        <w:t>materiales, constituyen</w:t>
      </w:r>
      <w:r>
        <w:rPr>
          <w:color w:val="231F20"/>
          <w:spacing w:val="-42"/>
          <w:w w:val="105"/>
        </w:rPr>
        <w:t> </w:t>
      </w:r>
      <w:r>
        <w:rPr>
          <w:color w:val="231F20"/>
          <w:w w:val="105"/>
        </w:rPr>
        <w:t>sus</w:t>
      </w:r>
      <w:r>
        <w:rPr>
          <w:color w:val="231F20"/>
          <w:spacing w:val="-42"/>
          <w:w w:val="105"/>
        </w:rPr>
        <w:t> </w:t>
      </w:r>
      <w:r>
        <w:rPr>
          <w:color w:val="231F20"/>
          <w:w w:val="105"/>
        </w:rPr>
        <w:t>principales</w:t>
      </w:r>
      <w:r>
        <w:rPr>
          <w:color w:val="231F20"/>
          <w:spacing w:val="-42"/>
          <w:w w:val="105"/>
        </w:rPr>
        <w:t> </w:t>
      </w:r>
      <w:r>
        <w:rPr>
          <w:color w:val="231F20"/>
          <w:w w:val="105"/>
        </w:rPr>
        <w:t>objetivos:</w:t>
      </w:r>
      <w:r>
        <w:rPr>
          <w:color w:val="231F20"/>
          <w:spacing w:val="-42"/>
          <w:w w:val="105"/>
        </w:rPr>
        <w:t> </w:t>
      </w:r>
      <w:r>
        <w:rPr>
          <w:color w:val="231F20"/>
          <w:w w:val="105"/>
        </w:rPr>
        <w:t>80%</w:t>
      </w:r>
      <w:r>
        <w:rPr>
          <w:color w:val="231F20"/>
          <w:spacing w:val="-42"/>
          <w:w w:val="105"/>
        </w:rPr>
        <w:t> </w:t>
      </w:r>
      <w:r>
        <w:rPr>
          <w:color w:val="231F20"/>
          <w:w w:val="105"/>
        </w:rPr>
        <w:t>llevaban</w:t>
      </w:r>
      <w:r>
        <w:rPr>
          <w:color w:val="231F20"/>
          <w:spacing w:val="-42"/>
          <w:w w:val="105"/>
        </w:rPr>
        <w:t> </w:t>
      </w:r>
      <w:r>
        <w:rPr>
          <w:color w:val="231F20"/>
          <w:w w:val="105"/>
        </w:rPr>
        <w:t>estas</w:t>
      </w:r>
      <w:r>
        <w:rPr>
          <w:color w:val="231F20"/>
          <w:spacing w:val="-42"/>
          <w:w w:val="105"/>
        </w:rPr>
        <w:t> </w:t>
      </w:r>
      <w:r>
        <w:rPr>
          <w:color w:val="231F20"/>
          <w:w w:val="105"/>
        </w:rPr>
        <w:t>intenciones.</w:t>
      </w:r>
      <w:r>
        <w:rPr>
          <w:color w:val="231F20"/>
          <w:spacing w:val="-45"/>
          <w:w w:val="105"/>
        </w:rPr>
        <w:t> </w:t>
      </w:r>
      <w:r>
        <w:rPr>
          <w:color w:val="231F20"/>
          <w:w w:val="105"/>
        </w:rPr>
        <w:t>Las</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BodyText"/>
        <w:spacing w:line="261" w:lineRule="auto" w:before="60"/>
        <w:ind w:left="1723" w:right="1683"/>
      </w:pPr>
      <w:r>
        <w:rPr/>
        <w:pict>
          <v:line style="position:absolute;mso-position-horizontal-relative:page;mso-position-vertical-relative:paragraph;z-index:29632" from="15pt,-65.851784pt" to="0pt,-65.851784pt" stroked="true" strokeweight=".25pt" strokecolor="#000000">
            <w10:wrap type="none"/>
          </v:line>
        </w:pict>
      </w:r>
      <w:r>
        <w:rPr/>
        <w:pict>
          <v:line style="position:absolute;mso-position-horizontal-relative:page;mso-position-vertical-relative:paragraph;z-index:29656" from="508.890015pt,-65.851784pt" to="523.890015pt,-65.851784pt" stroked="true" strokeweight=".25pt" strokecolor="#000000">
            <w10:wrap type="none"/>
          </v:line>
        </w:pict>
      </w:r>
      <w:r>
        <w:rPr>
          <w:color w:val="231F20"/>
        </w:rPr>
        <w:t>metas de conocer, sentir la aventura, visitar familiares, casarse, tener un bebé, conforman el 20%  restante.</w:t>
      </w:r>
    </w:p>
    <w:p>
      <w:pPr>
        <w:pStyle w:val="BodyText"/>
        <w:spacing w:before="4"/>
      </w:pPr>
    </w:p>
    <w:p>
      <w:pPr>
        <w:spacing w:before="0"/>
        <w:ind w:left="2693" w:right="2804" w:firstLine="0"/>
        <w:jc w:val="center"/>
        <w:rPr>
          <w:rFonts w:ascii="Arial"/>
          <w:sz w:val="18"/>
        </w:rPr>
      </w:pPr>
      <w:r>
        <w:rPr>
          <w:rFonts w:ascii="Arial"/>
          <w:color w:val="231F20"/>
          <w:w w:val="105"/>
          <w:sz w:val="18"/>
        </w:rPr>
        <w:t>Cuadro 3. Objetivos para emigrar</w:t>
      </w:r>
    </w:p>
    <w:p>
      <w:pPr>
        <w:pStyle w:val="BodyText"/>
        <w:spacing w:before="5"/>
        <w:rPr>
          <w:rFonts w:ascii="Arial"/>
          <w:sz w:val="13"/>
        </w:rPr>
      </w:pPr>
    </w:p>
    <w:tbl>
      <w:tblPr>
        <w:tblW w:w="0" w:type="auto"/>
        <w:jc w:val="left"/>
        <w:tblInd w:w="260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957"/>
        <w:gridCol w:w="1200"/>
      </w:tblGrid>
      <w:tr>
        <w:trPr>
          <w:trHeight w:val="340" w:hRule="exact"/>
        </w:trPr>
        <w:tc>
          <w:tcPr>
            <w:tcW w:w="3957" w:type="dxa"/>
          </w:tcPr>
          <w:p>
            <w:pPr>
              <w:pStyle w:val="TableParagraph"/>
              <w:spacing w:before="88"/>
              <w:ind w:left="1562" w:right="1562"/>
              <w:jc w:val="center"/>
              <w:rPr>
                <w:rFonts w:ascii="Arial"/>
                <w:sz w:val="18"/>
              </w:rPr>
            </w:pPr>
            <w:r>
              <w:rPr>
                <w:rFonts w:ascii="Arial"/>
                <w:color w:val="231F20"/>
                <w:w w:val="105"/>
                <w:sz w:val="18"/>
              </w:rPr>
              <w:t>Objetivos</w:t>
            </w:r>
          </w:p>
        </w:tc>
        <w:tc>
          <w:tcPr>
            <w:tcW w:w="1200" w:type="dxa"/>
          </w:tcPr>
          <w:p>
            <w:pPr>
              <w:pStyle w:val="TableParagraph"/>
              <w:spacing w:before="88"/>
              <w:jc w:val="center"/>
              <w:rPr>
                <w:rFonts w:ascii="Arial"/>
                <w:sz w:val="18"/>
              </w:rPr>
            </w:pPr>
            <w:r>
              <w:rPr>
                <w:rFonts w:ascii="Arial"/>
                <w:color w:val="231F20"/>
                <w:w w:val="97"/>
                <w:sz w:val="18"/>
              </w:rPr>
              <w:t>%</w:t>
            </w:r>
          </w:p>
        </w:tc>
      </w:tr>
      <w:tr>
        <w:trPr>
          <w:trHeight w:val="340" w:hRule="exact"/>
        </w:trPr>
        <w:tc>
          <w:tcPr>
            <w:tcW w:w="3957" w:type="dxa"/>
          </w:tcPr>
          <w:p>
            <w:pPr>
              <w:pStyle w:val="TableParagraph"/>
              <w:ind w:left="77"/>
              <w:rPr>
                <w:sz w:val="18"/>
              </w:rPr>
            </w:pPr>
            <w:r>
              <w:rPr>
                <w:color w:val="231F20"/>
                <w:sz w:val="18"/>
              </w:rPr>
              <w:t>Hacer casa, bienestar, independencia</w:t>
            </w:r>
          </w:p>
        </w:tc>
        <w:tc>
          <w:tcPr>
            <w:tcW w:w="1200" w:type="dxa"/>
          </w:tcPr>
          <w:p>
            <w:pPr>
              <w:pStyle w:val="TableParagraph"/>
              <w:ind w:left="77" w:right="66"/>
              <w:rPr>
                <w:sz w:val="18"/>
              </w:rPr>
            </w:pPr>
            <w:r>
              <w:rPr>
                <w:color w:val="231F20"/>
                <w:w w:val="105"/>
                <w:sz w:val="18"/>
              </w:rPr>
              <w:t>36.3</w:t>
            </w:r>
          </w:p>
        </w:tc>
      </w:tr>
      <w:tr>
        <w:trPr>
          <w:trHeight w:val="340" w:hRule="exact"/>
        </w:trPr>
        <w:tc>
          <w:tcPr>
            <w:tcW w:w="3957" w:type="dxa"/>
          </w:tcPr>
          <w:p>
            <w:pPr>
              <w:pStyle w:val="TableParagraph"/>
              <w:ind w:left="77"/>
              <w:rPr>
                <w:sz w:val="18"/>
              </w:rPr>
            </w:pPr>
            <w:r>
              <w:rPr>
                <w:color w:val="231F20"/>
                <w:w w:val="105"/>
                <w:sz w:val="18"/>
              </w:rPr>
              <w:t>Trabajar, ganar dinero, ahorrar</w:t>
            </w:r>
          </w:p>
        </w:tc>
        <w:tc>
          <w:tcPr>
            <w:tcW w:w="1200" w:type="dxa"/>
          </w:tcPr>
          <w:p>
            <w:pPr>
              <w:pStyle w:val="TableParagraph"/>
              <w:ind w:left="77" w:right="66"/>
              <w:rPr>
                <w:sz w:val="18"/>
              </w:rPr>
            </w:pPr>
            <w:r>
              <w:rPr>
                <w:color w:val="231F20"/>
                <w:w w:val="105"/>
                <w:sz w:val="18"/>
              </w:rPr>
              <w:t>31.3</w:t>
            </w:r>
          </w:p>
        </w:tc>
      </w:tr>
      <w:tr>
        <w:trPr>
          <w:trHeight w:val="340" w:hRule="exact"/>
        </w:trPr>
        <w:tc>
          <w:tcPr>
            <w:tcW w:w="3957" w:type="dxa"/>
          </w:tcPr>
          <w:p>
            <w:pPr>
              <w:pStyle w:val="TableParagraph"/>
              <w:ind w:left="77"/>
              <w:rPr>
                <w:sz w:val="18"/>
              </w:rPr>
            </w:pPr>
            <w:r>
              <w:rPr>
                <w:color w:val="231F20"/>
                <w:sz w:val="18"/>
              </w:rPr>
              <w:t>Pagar estudios a hijos</w:t>
            </w:r>
          </w:p>
        </w:tc>
        <w:tc>
          <w:tcPr>
            <w:tcW w:w="1200" w:type="dxa"/>
          </w:tcPr>
          <w:p>
            <w:pPr>
              <w:pStyle w:val="TableParagraph"/>
              <w:ind w:left="77" w:right="66"/>
              <w:rPr>
                <w:sz w:val="18"/>
              </w:rPr>
            </w:pPr>
            <w:r>
              <w:rPr>
                <w:color w:val="231F20"/>
                <w:sz w:val="18"/>
              </w:rPr>
              <w:t>6.3</w:t>
            </w:r>
          </w:p>
        </w:tc>
      </w:tr>
      <w:tr>
        <w:trPr>
          <w:trHeight w:val="340" w:hRule="exact"/>
        </w:trPr>
        <w:tc>
          <w:tcPr>
            <w:tcW w:w="3957" w:type="dxa"/>
          </w:tcPr>
          <w:p>
            <w:pPr>
              <w:pStyle w:val="TableParagraph"/>
              <w:ind w:left="77"/>
              <w:rPr>
                <w:sz w:val="18"/>
              </w:rPr>
            </w:pPr>
            <w:r>
              <w:rPr>
                <w:color w:val="231F20"/>
                <w:sz w:val="18"/>
              </w:rPr>
              <w:t>Ayudar a su familia</w:t>
            </w:r>
          </w:p>
        </w:tc>
        <w:tc>
          <w:tcPr>
            <w:tcW w:w="1200" w:type="dxa"/>
          </w:tcPr>
          <w:p>
            <w:pPr>
              <w:pStyle w:val="TableParagraph"/>
              <w:ind w:left="77" w:right="66"/>
              <w:rPr>
                <w:sz w:val="18"/>
              </w:rPr>
            </w:pPr>
            <w:r>
              <w:rPr>
                <w:color w:val="231F20"/>
                <w:sz w:val="18"/>
              </w:rPr>
              <w:t>3.8</w:t>
            </w:r>
          </w:p>
        </w:tc>
      </w:tr>
      <w:tr>
        <w:trPr>
          <w:trHeight w:val="340" w:hRule="exact"/>
        </w:trPr>
        <w:tc>
          <w:tcPr>
            <w:tcW w:w="3957" w:type="dxa"/>
          </w:tcPr>
          <w:p>
            <w:pPr>
              <w:pStyle w:val="TableParagraph"/>
              <w:ind w:left="77"/>
              <w:rPr>
                <w:sz w:val="18"/>
              </w:rPr>
            </w:pPr>
            <w:r>
              <w:rPr>
                <w:color w:val="231F20"/>
                <w:sz w:val="18"/>
              </w:rPr>
              <w:t>Comprar  carro, cosas</w:t>
            </w:r>
          </w:p>
        </w:tc>
        <w:tc>
          <w:tcPr>
            <w:tcW w:w="1200" w:type="dxa"/>
          </w:tcPr>
          <w:p>
            <w:pPr>
              <w:pStyle w:val="TableParagraph"/>
              <w:ind w:left="77" w:right="66"/>
              <w:rPr>
                <w:sz w:val="18"/>
              </w:rPr>
            </w:pPr>
            <w:r>
              <w:rPr>
                <w:color w:val="231F20"/>
                <w:sz w:val="18"/>
              </w:rPr>
              <w:t>1.3</w:t>
            </w:r>
          </w:p>
        </w:tc>
      </w:tr>
      <w:tr>
        <w:trPr>
          <w:trHeight w:val="340" w:hRule="exact"/>
        </w:trPr>
        <w:tc>
          <w:tcPr>
            <w:tcW w:w="3957" w:type="dxa"/>
          </w:tcPr>
          <w:p>
            <w:pPr>
              <w:pStyle w:val="TableParagraph"/>
              <w:ind w:left="77"/>
              <w:rPr>
                <w:sz w:val="18"/>
              </w:rPr>
            </w:pPr>
            <w:r>
              <w:rPr>
                <w:color w:val="231F20"/>
                <w:sz w:val="18"/>
              </w:rPr>
              <w:t>Visitar esposo, familiares</w:t>
            </w:r>
          </w:p>
        </w:tc>
        <w:tc>
          <w:tcPr>
            <w:tcW w:w="1200" w:type="dxa"/>
          </w:tcPr>
          <w:p>
            <w:pPr>
              <w:pStyle w:val="TableParagraph"/>
              <w:ind w:left="77" w:right="66"/>
              <w:rPr>
                <w:sz w:val="18"/>
              </w:rPr>
            </w:pPr>
            <w:r>
              <w:rPr>
                <w:color w:val="231F20"/>
                <w:sz w:val="18"/>
              </w:rPr>
              <w:t>2.5</w:t>
            </w:r>
          </w:p>
        </w:tc>
      </w:tr>
      <w:tr>
        <w:trPr>
          <w:trHeight w:val="340" w:hRule="exact"/>
        </w:trPr>
        <w:tc>
          <w:tcPr>
            <w:tcW w:w="3957" w:type="dxa"/>
          </w:tcPr>
          <w:p>
            <w:pPr>
              <w:pStyle w:val="TableParagraph"/>
              <w:ind w:left="77"/>
              <w:rPr>
                <w:sz w:val="18"/>
              </w:rPr>
            </w:pPr>
            <w:r>
              <w:rPr>
                <w:color w:val="231F20"/>
                <w:sz w:val="18"/>
              </w:rPr>
              <w:t>Dar a luz/casarse en Estados Unidos</w:t>
            </w:r>
          </w:p>
        </w:tc>
        <w:tc>
          <w:tcPr>
            <w:tcW w:w="1200" w:type="dxa"/>
          </w:tcPr>
          <w:p>
            <w:pPr>
              <w:pStyle w:val="TableParagraph"/>
              <w:ind w:left="77" w:right="66"/>
              <w:rPr>
                <w:sz w:val="18"/>
              </w:rPr>
            </w:pPr>
            <w:r>
              <w:rPr>
                <w:color w:val="231F20"/>
                <w:sz w:val="18"/>
              </w:rPr>
              <w:t>2.6</w:t>
            </w:r>
          </w:p>
        </w:tc>
      </w:tr>
      <w:tr>
        <w:trPr>
          <w:trHeight w:val="340" w:hRule="exact"/>
        </w:trPr>
        <w:tc>
          <w:tcPr>
            <w:tcW w:w="3957" w:type="dxa"/>
          </w:tcPr>
          <w:p>
            <w:pPr>
              <w:pStyle w:val="TableParagraph"/>
              <w:ind w:left="77"/>
              <w:rPr>
                <w:sz w:val="18"/>
              </w:rPr>
            </w:pPr>
            <w:r>
              <w:rPr>
                <w:color w:val="231F20"/>
                <w:sz w:val="18"/>
              </w:rPr>
              <w:t>Conocer, aventura</w:t>
            </w:r>
          </w:p>
        </w:tc>
        <w:tc>
          <w:tcPr>
            <w:tcW w:w="1200" w:type="dxa"/>
          </w:tcPr>
          <w:p>
            <w:pPr>
              <w:pStyle w:val="TableParagraph"/>
              <w:ind w:left="77" w:right="66"/>
              <w:rPr>
                <w:sz w:val="18"/>
              </w:rPr>
            </w:pPr>
            <w:r>
              <w:rPr>
                <w:color w:val="231F20"/>
                <w:w w:val="105"/>
                <w:sz w:val="18"/>
              </w:rPr>
              <w:t>16.3</w:t>
            </w:r>
          </w:p>
        </w:tc>
      </w:tr>
    </w:tbl>
    <w:p>
      <w:pPr>
        <w:spacing w:before="78"/>
        <w:ind w:left="2574" w:right="0" w:firstLine="0"/>
        <w:jc w:val="left"/>
        <w:rPr>
          <w:sz w:val="16"/>
        </w:rPr>
      </w:pPr>
      <w:r>
        <w:rPr>
          <w:color w:val="231F20"/>
          <w:w w:val="105"/>
          <w:sz w:val="16"/>
        </w:rPr>
        <w:t>Fuente: elaboración propia.</w:t>
      </w:r>
    </w:p>
    <w:p>
      <w:pPr>
        <w:pStyle w:val="BodyText"/>
        <w:rPr>
          <w:sz w:val="16"/>
        </w:rPr>
      </w:pPr>
    </w:p>
    <w:p>
      <w:pPr>
        <w:pStyle w:val="BodyText"/>
        <w:spacing w:line="261" w:lineRule="auto" w:before="111"/>
        <w:ind w:left="1723" w:right="1828"/>
        <w:jc w:val="both"/>
      </w:pPr>
      <w:r>
        <w:rPr>
          <w:color w:val="231F20"/>
          <w:w w:val="105"/>
        </w:rPr>
        <w:t>La</w:t>
      </w:r>
      <w:r>
        <w:rPr>
          <w:color w:val="231F20"/>
          <w:spacing w:val="-6"/>
          <w:w w:val="105"/>
        </w:rPr>
        <w:t> </w:t>
      </w:r>
      <w:r>
        <w:rPr>
          <w:color w:val="231F20"/>
          <w:w w:val="105"/>
        </w:rPr>
        <w:t>entidad</w:t>
      </w:r>
      <w:r>
        <w:rPr>
          <w:color w:val="231F20"/>
          <w:spacing w:val="-6"/>
          <w:w w:val="105"/>
        </w:rPr>
        <w:t> </w:t>
      </w:r>
      <w:r>
        <w:rPr>
          <w:color w:val="231F20"/>
          <w:w w:val="105"/>
        </w:rPr>
        <w:t>mexiquense</w:t>
      </w:r>
      <w:r>
        <w:rPr>
          <w:color w:val="231F20"/>
          <w:spacing w:val="-6"/>
          <w:w w:val="105"/>
        </w:rPr>
        <w:t> </w:t>
      </w:r>
      <w:r>
        <w:rPr>
          <w:color w:val="231F20"/>
          <w:w w:val="105"/>
        </w:rPr>
        <w:t>es</w:t>
      </w:r>
      <w:r>
        <w:rPr>
          <w:color w:val="231F20"/>
          <w:spacing w:val="-6"/>
          <w:w w:val="105"/>
        </w:rPr>
        <w:t> </w:t>
      </w:r>
      <w:r>
        <w:rPr>
          <w:color w:val="231F20"/>
          <w:w w:val="105"/>
        </w:rPr>
        <w:t>la</w:t>
      </w:r>
      <w:r>
        <w:rPr>
          <w:color w:val="231F20"/>
          <w:spacing w:val="-6"/>
          <w:w w:val="105"/>
        </w:rPr>
        <w:t> </w:t>
      </w:r>
      <w:r>
        <w:rPr>
          <w:color w:val="231F20"/>
          <w:w w:val="105"/>
        </w:rPr>
        <w:t>segunda</w:t>
      </w:r>
      <w:r>
        <w:rPr>
          <w:color w:val="231F20"/>
          <w:spacing w:val="-6"/>
          <w:w w:val="105"/>
        </w:rPr>
        <w:t> </w:t>
      </w:r>
      <w:r>
        <w:rPr>
          <w:color w:val="231F20"/>
          <w:w w:val="105"/>
        </w:rPr>
        <w:t>productora</w:t>
      </w:r>
      <w:r>
        <w:rPr>
          <w:color w:val="231F20"/>
          <w:spacing w:val="-6"/>
          <w:w w:val="105"/>
        </w:rPr>
        <w:t> </w:t>
      </w:r>
      <w:r>
        <w:rPr>
          <w:color w:val="231F20"/>
          <w:w w:val="105"/>
        </w:rPr>
        <w:t>de</w:t>
      </w:r>
      <w:r>
        <w:rPr>
          <w:color w:val="231F20"/>
          <w:spacing w:val="-6"/>
          <w:w w:val="105"/>
        </w:rPr>
        <w:t> </w:t>
      </w:r>
      <w:r>
        <w:rPr>
          <w:color w:val="231F20"/>
          <w:w w:val="105"/>
        </w:rPr>
        <w:t>riqueza</w:t>
      </w:r>
      <w:r>
        <w:rPr>
          <w:color w:val="231F20"/>
          <w:spacing w:val="-6"/>
          <w:w w:val="105"/>
        </w:rPr>
        <w:t> </w:t>
      </w:r>
      <w:r>
        <w:rPr>
          <w:color w:val="231F20"/>
          <w:w w:val="105"/>
        </w:rPr>
        <w:t>a</w:t>
      </w:r>
      <w:r>
        <w:rPr>
          <w:color w:val="231F20"/>
          <w:spacing w:val="-6"/>
          <w:w w:val="105"/>
        </w:rPr>
        <w:t> </w:t>
      </w:r>
      <w:r>
        <w:rPr>
          <w:color w:val="231F20"/>
          <w:w w:val="105"/>
        </w:rPr>
        <w:t>nivel</w:t>
      </w:r>
      <w:r>
        <w:rPr>
          <w:color w:val="231F20"/>
          <w:spacing w:val="-6"/>
          <w:w w:val="105"/>
        </w:rPr>
        <w:t> </w:t>
      </w:r>
      <w:r>
        <w:rPr>
          <w:color w:val="231F20"/>
          <w:w w:val="105"/>
        </w:rPr>
        <w:t>na- cional, después del Distrito Federal, pero al mismo tiempo le aquejan distintas anomalías estructurales: la mitad de su población sufre algún grado</w:t>
      </w:r>
      <w:r>
        <w:rPr>
          <w:color w:val="231F20"/>
          <w:spacing w:val="-11"/>
          <w:w w:val="105"/>
        </w:rPr>
        <w:t> </w:t>
      </w:r>
      <w:r>
        <w:rPr>
          <w:color w:val="231F20"/>
          <w:w w:val="105"/>
        </w:rPr>
        <w:t>de</w:t>
      </w:r>
      <w:r>
        <w:rPr>
          <w:color w:val="231F20"/>
          <w:spacing w:val="-11"/>
          <w:w w:val="105"/>
        </w:rPr>
        <w:t> </w:t>
      </w:r>
      <w:r>
        <w:rPr>
          <w:color w:val="231F20"/>
          <w:w w:val="105"/>
        </w:rPr>
        <w:t>pobreza,</w:t>
      </w:r>
      <w:r>
        <w:rPr>
          <w:color w:val="231F20"/>
          <w:spacing w:val="-17"/>
          <w:w w:val="105"/>
        </w:rPr>
        <w:t> </w:t>
      </w:r>
      <w:r>
        <w:rPr>
          <w:color w:val="231F20"/>
          <w:w w:val="105"/>
        </w:rPr>
        <w:t>presenta</w:t>
      </w:r>
      <w:r>
        <w:rPr>
          <w:color w:val="231F20"/>
          <w:spacing w:val="-11"/>
          <w:w w:val="105"/>
        </w:rPr>
        <w:t> </w:t>
      </w:r>
      <w:r>
        <w:rPr>
          <w:color w:val="231F20"/>
          <w:w w:val="105"/>
        </w:rPr>
        <w:t>altos</w:t>
      </w:r>
      <w:r>
        <w:rPr>
          <w:color w:val="231F20"/>
          <w:spacing w:val="-11"/>
          <w:w w:val="105"/>
        </w:rPr>
        <w:t> </w:t>
      </w:r>
      <w:r>
        <w:rPr>
          <w:color w:val="231F20"/>
          <w:w w:val="105"/>
        </w:rPr>
        <w:t>niveles</w:t>
      </w:r>
      <w:r>
        <w:rPr>
          <w:color w:val="231F20"/>
          <w:spacing w:val="-11"/>
          <w:w w:val="105"/>
        </w:rPr>
        <w:t> </w:t>
      </w:r>
      <w:r>
        <w:rPr>
          <w:color w:val="231F20"/>
          <w:w w:val="105"/>
        </w:rPr>
        <w:t>de</w:t>
      </w:r>
      <w:r>
        <w:rPr>
          <w:color w:val="231F20"/>
          <w:spacing w:val="-11"/>
          <w:w w:val="105"/>
        </w:rPr>
        <w:t> </w:t>
      </w:r>
      <w:r>
        <w:rPr>
          <w:color w:val="231F20"/>
          <w:w w:val="105"/>
        </w:rPr>
        <w:t>desigualdad</w:t>
      </w:r>
      <w:r>
        <w:rPr>
          <w:color w:val="231F20"/>
          <w:spacing w:val="-11"/>
          <w:w w:val="105"/>
        </w:rPr>
        <w:t> </w:t>
      </w:r>
      <w:r>
        <w:rPr>
          <w:color w:val="231F20"/>
          <w:w w:val="105"/>
        </w:rPr>
        <w:t>económica,</w:t>
      </w:r>
      <w:r>
        <w:rPr>
          <w:color w:val="231F20"/>
          <w:spacing w:val="-17"/>
          <w:w w:val="105"/>
        </w:rPr>
        <w:t> </w:t>
      </w:r>
      <w:r>
        <w:rPr>
          <w:color w:val="231F20"/>
          <w:w w:val="105"/>
        </w:rPr>
        <w:t>di- versas</w:t>
      </w:r>
      <w:r>
        <w:rPr>
          <w:color w:val="231F20"/>
          <w:spacing w:val="-13"/>
          <w:w w:val="105"/>
        </w:rPr>
        <w:t> </w:t>
      </w:r>
      <w:r>
        <w:rPr>
          <w:color w:val="231F20"/>
          <w:w w:val="105"/>
        </w:rPr>
        <w:t>violencias,</w:t>
      </w:r>
      <w:r>
        <w:rPr>
          <w:color w:val="231F20"/>
          <w:spacing w:val="-18"/>
          <w:w w:val="105"/>
        </w:rPr>
        <w:t> </w:t>
      </w:r>
      <w:r>
        <w:rPr>
          <w:color w:val="231F20"/>
          <w:w w:val="105"/>
        </w:rPr>
        <w:t>corrupción</w:t>
      </w:r>
      <w:r>
        <w:rPr>
          <w:color w:val="231F20"/>
          <w:spacing w:val="-13"/>
          <w:w w:val="105"/>
        </w:rPr>
        <w:t> </w:t>
      </w:r>
      <w:r>
        <w:rPr>
          <w:color w:val="231F20"/>
          <w:w w:val="105"/>
        </w:rPr>
        <w:t>institucional,</w:t>
      </w:r>
      <w:r>
        <w:rPr>
          <w:color w:val="231F20"/>
          <w:spacing w:val="-18"/>
          <w:w w:val="105"/>
        </w:rPr>
        <w:t> </w:t>
      </w:r>
      <w:r>
        <w:rPr>
          <w:color w:val="231F20"/>
          <w:w w:val="105"/>
        </w:rPr>
        <w:t>abandono</w:t>
      </w:r>
      <w:r>
        <w:rPr>
          <w:color w:val="231F20"/>
          <w:spacing w:val="-13"/>
          <w:w w:val="105"/>
        </w:rPr>
        <w:t> </w:t>
      </w:r>
      <w:r>
        <w:rPr>
          <w:color w:val="231F20"/>
          <w:w w:val="105"/>
        </w:rPr>
        <w:t>rural,</w:t>
      </w:r>
      <w:r>
        <w:rPr>
          <w:color w:val="231F20"/>
          <w:spacing w:val="-18"/>
          <w:w w:val="105"/>
        </w:rPr>
        <w:t> </w:t>
      </w:r>
      <w:r>
        <w:rPr>
          <w:color w:val="231F20"/>
          <w:w w:val="105"/>
        </w:rPr>
        <w:t>desconexión intrasectorial, alta dependencia del capital extranjero y concentración productiva</w:t>
      </w:r>
      <w:r>
        <w:rPr>
          <w:color w:val="231F20"/>
          <w:spacing w:val="-8"/>
          <w:w w:val="105"/>
        </w:rPr>
        <w:t> </w:t>
      </w: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zonas</w:t>
      </w:r>
      <w:r>
        <w:rPr>
          <w:color w:val="231F20"/>
          <w:spacing w:val="-8"/>
          <w:w w:val="105"/>
        </w:rPr>
        <w:t> </w:t>
      </w:r>
      <w:r>
        <w:rPr>
          <w:color w:val="231F20"/>
          <w:w w:val="105"/>
        </w:rPr>
        <w:t>contiguas</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Ciudad</w:t>
      </w:r>
      <w:r>
        <w:rPr>
          <w:color w:val="231F20"/>
          <w:spacing w:val="-8"/>
          <w:w w:val="105"/>
        </w:rPr>
        <w:t> </w:t>
      </w:r>
      <w:r>
        <w:rPr>
          <w:color w:val="231F20"/>
          <w:w w:val="105"/>
        </w:rPr>
        <w:t>de</w:t>
      </w:r>
      <w:r>
        <w:rPr>
          <w:color w:val="231F20"/>
          <w:spacing w:val="-8"/>
          <w:w w:val="105"/>
        </w:rPr>
        <w:t> </w:t>
      </w:r>
      <w:r>
        <w:rPr>
          <w:color w:val="231F20"/>
          <w:w w:val="105"/>
        </w:rPr>
        <w:t>México.</w:t>
      </w:r>
      <w:r>
        <w:rPr>
          <w:color w:val="231F20"/>
          <w:spacing w:val="-13"/>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esce- nario,</w:t>
      </w:r>
      <w:r>
        <w:rPr>
          <w:color w:val="231F20"/>
          <w:spacing w:val="-9"/>
          <w:w w:val="105"/>
        </w:rPr>
        <w:t> </w:t>
      </w:r>
      <w:r>
        <w:rPr>
          <w:color w:val="231F20"/>
          <w:w w:val="105"/>
        </w:rPr>
        <w:t>los</w:t>
      </w:r>
      <w:r>
        <w:rPr>
          <w:color w:val="231F20"/>
          <w:spacing w:val="-4"/>
          <w:w w:val="105"/>
        </w:rPr>
        <w:t> </w:t>
      </w:r>
      <w:r>
        <w:rPr>
          <w:color w:val="231F20"/>
          <w:w w:val="105"/>
        </w:rPr>
        <w:t>retornados</w:t>
      </w:r>
      <w:r>
        <w:rPr>
          <w:color w:val="231F20"/>
          <w:spacing w:val="-4"/>
          <w:w w:val="105"/>
        </w:rPr>
        <w:t> </w:t>
      </w:r>
      <w:r>
        <w:rPr>
          <w:color w:val="231F20"/>
          <w:w w:val="105"/>
        </w:rPr>
        <w:t>emigraron</w:t>
      </w:r>
      <w:r>
        <w:rPr>
          <w:color w:val="231F20"/>
          <w:spacing w:val="-4"/>
          <w:w w:val="105"/>
        </w:rPr>
        <w:t> </w:t>
      </w:r>
      <w:r>
        <w:rPr>
          <w:color w:val="231F20"/>
          <w:w w:val="105"/>
        </w:rPr>
        <w:t>en</w:t>
      </w:r>
      <w:r>
        <w:rPr>
          <w:color w:val="231F20"/>
          <w:spacing w:val="-4"/>
          <w:w w:val="105"/>
        </w:rPr>
        <w:t> </w:t>
      </w:r>
      <w:r>
        <w:rPr>
          <w:color w:val="231F20"/>
          <w:w w:val="105"/>
        </w:rPr>
        <w:t>busca</w:t>
      </w:r>
      <w:r>
        <w:rPr>
          <w:color w:val="231F20"/>
          <w:spacing w:val="-4"/>
          <w:w w:val="105"/>
        </w:rPr>
        <w:t> </w:t>
      </w:r>
      <w:r>
        <w:rPr>
          <w:color w:val="231F20"/>
          <w:w w:val="105"/>
        </w:rPr>
        <w:t>de</w:t>
      </w:r>
      <w:r>
        <w:rPr>
          <w:color w:val="231F20"/>
          <w:spacing w:val="-4"/>
          <w:w w:val="105"/>
        </w:rPr>
        <w:t> </w:t>
      </w:r>
      <w:r>
        <w:rPr>
          <w:color w:val="231F20"/>
          <w:w w:val="105"/>
        </w:rPr>
        <w:t>empleo,</w:t>
      </w:r>
      <w:r>
        <w:rPr>
          <w:color w:val="231F20"/>
          <w:spacing w:val="-9"/>
          <w:w w:val="105"/>
        </w:rPr>
        <w:t> </w:t>
      </w:r>
      <w:r>
        <w:rPr>
          <w:color w:val="231F20"/>
          <w:w w:val="105"/>
        </w:rPr>
        <w:t>ingresos,</w:t>
      </w:r>
      <w:r>
        <w:rPr>
          <w:color w:val="231F20"/>
          <w:spacing w:val="-9"/>
          <w:w w:val="105"/>
        </w:rPr>
        <w:t> </w:t>
      </w:r>
      <w:r>
        <w:rPr>
          <w:color w:val="231F20"/>
          <w:w w:val="105"/>
        </w:rPr>
        <w:t>mejores condiciones de vida, pero también lo hicieron por aventura, inmadurez, llevados</w:t>
      </w:r>
      <w:r>
        <w:rPr>
          <w:color w:val="231F20"/>
          <w:spacing w:val="-5"/>
          <w:w w:val="105"/>
        </w:rPr>
        <w:t> </w:t>
      </w:r>
      <w:r>
        <w:rPr>
          <w:color w:val="231F20"/>
          <w:w w:val="105"/>
        </w:rPr>
        <w:t>por</w:t>
      </w:r>
      <w:r>
        <w:rPr>
          <w:color w:val="231F20"/>
          <w:spacing w:val="-6"/>
          <w:w w:val="105"/>
        </w:rPr>
        <w:t> </w:t>
      </w:r>
      <w:r>
        <w:rPr>
          <w:color w:val="231F20"/>
          <w:w w:val="105"/>
        </w:rPr>
        <w:t>padres</w:t>
      </w:r>
      <w:r>
        <w:rPr>
          <w:color w:val="231F20"/>
          <w:spacing w:val="-6"/>
          <w:w w:val="105"/>
        </w:rPr>
        <w:t> </w:t>
      </w:r>
      <w:r>
        <w:rPr>
          <w:color w:val="231F20"/>
          <w:w w:val="105"/>
        </w:rPr>
        <w:t>o</w:t>
      </w:r>
      <w:r>
        <w:rPr>
          <w:color w:val="231F20"/>
          <w:spacing w:val="-6"/>
          <w:w w:val="105"/>
        </w:rPr>
        <w:t> </w:t>
      </w:r>
      <w:r>
        <w:rPr>
          <w:color w:val="231F20"/>
          <w:w w:val="105"/>
        </w:rPr>
        <w:t>parejas,</w:t>
      </w:r>
      <w:r>
        <w:rPr>
          <w:color w:val="231F20"/>
          <w:spacing w:val="-10"/>
          <w:w w:val="105"/>
        </w:rPr>
        <w:t> </w:t>
      </w:r>
      <w:r>
        <w:rPr>
          <w:color w:val="231F20"/>
          <w:w w:val="105"/>
        </w:rPr>
        <w:t>entre</w:t>
      </w:r>
      <w:r>
        <w:rPr>
          <w:color w:val="231F20"/>
          <w:spacing w:val="-6"/>
          <w:w w:val="105"/>
        </w:rPr>
        <w:t> </w:t>
      </w:r>
      <w:r>
        <w:rPr>
          <w:color w:val="231F20"/>
          <w:w w:val="105"/>
        </w:rPr>
        <w:t>otras</w:t>
      </w:r>
      <w:r>
        <w:rPr>
          <w:color w:val="231F20"/>
          <w:spacing w:val="-5"/>
          <w:w w:val="105"/>
        </w:rPr>
        <w:t> </w:t>
      </w:r>
      <w:r>
        <w:rPr>
          <w:color w:val="231F20"/>
          <w:w w:val="105"/>
        </w:rPr>
        <w:t>circunstancias</w:t>
      </w:r>
      <w:r>
        <w:rPr>
          <w:color w:val="231F20"/>
          <w:spacing w:val="-6"/>
          <w:w w:val="105"/>
        </w:rPr>
        <w:t> </w:t>
      </w:r>
      <w:r>
        <w:rPr>
          <w:color w:val="231F20"/>
          <w:w w:val="105"/>
        </w:rPr>
        <w:t>similares</w:t>
      </w:r>
      <w:r>
        <w:rPr>
          <w:color w:val="231F20"/>
          <w:spacing w:val="-6"/>
          <w:w w:val="105"/>
        </w:rPr>
        <w:t> </w:t>
      </w:r>
      <w:r>
        <w:rPr>
          <w:color w:val="231F20"/>
          <w:w w:val="105"/>
        </w:rPr>
        <w:t>a</w:t>
      </w:r>
      <w:r>
        <w:rPr>
          <w:color w:val="231F20"/>
          <w:spacing w:val="-5"/>
          <w:w w:val="105"/>
        </w:rPr>
        <w:t> </w:t>
      </w:r>
      <w:r>
        <w:rPr>
          <w:color w:val="231F20"/>
          <w:w w:val="105"/>
        </w:rPr>
        <w:t>los que</w:t>
      </w:r>
      <w:r>
        <w:rPr>
          <w:color w:val="231F20"/>
          <w:spacing w:val="-12"/>
          <w:w w:val="105"/>
        </w:rPr>
        <w:t> </w:t>
      </w:r>
      <w:r>
        <w:rPr>
          <w:color w:val="231F20"/>
          <w:w w:val="105"/>
        </w:rPr>
        <w:t>presentan</w:t>
      </w:r>
      <w:r>
        <w:rPr>
          <w:color w:val="231F20"/>
          <w:spacing w:val="-12"/>
          <w:w w:val="105"/>
        </w:rPr>
        <w:t> </w:t>
      </w:r>
      <w:r>
        <w:rPr>
          <w:color w:val="231F20"/>
          <w:w w:val="105"/>
        </w:rPr>
        <w:t>los</w:t>
      </w:r>
      <w:r>
        <w:rPr>
          <w:color w:val="231F20"/>
          <w:spacing w:val="-12"/>
          <w:w w:val="105"/>
        </w:rPr>
        <w:t> </w:t>
      </w:r>
      <w:r>
        <w:rPr>
          <w:color w:val="231F20"/>
          <w:w w:val="105"/>
        </w:rPr>
        <w:t>migrantes</w:t>
      </w:r>
      <w:r>
        <w:rPr>
          <w:color w:val="231F20"/>
          <w:spacing w:val="-12"/>
          <w:w w:val="105"/>
        </w:rPr>
        <w:t> </w:t>
      </w:r>
      <w:r>
        <w:rPr>
          <w:color w:val="231F20"/>
          <w:w w:val="105"/>
        </w:rPr>
        <w:t>de</w:t>
      </w:r>
      <w:r>
        <w:rPr>
          <w:color w:val="231F20"/>
          <w:spacing w:val="-12"/>
          <w:w w:val="105"/>
        </w:rPr>
        <w:t> </w:t>
      </w:r>
      <w:r>
        <w:rPr>
          <w:color w:val="231F20"/>
          <w:w w:val="105"/>
        </w:rPr>
        <w:t>entidades</w:t>
      </w:r>
      <w:r>
        <w:rPr>
          <w:color w:val="231F20"/>
          <w:spacing w:val="-12"/>
          <w:w w:val="105"/>
        </w:rPr>
        <w:t> </w:t>
      </w:r>
      <w:r>
        <w:rPr>
          <w:color w:val="231F20"/>
          <w:w w:val="105"/>
        </w:rPr>
        <w:t>menos</w:t>
      </w:r>
      <w:r>
        <w:rPr>
          <w:color w:val="231F20"/>
          <w:spacing w:val="-12"/>
          <w:w w:val="105"/>
        </w:rPr>
        <w:t> </w:t>
      </w:r>
      <w:r>
        <w:rPr>
          <w:color w:val="231F20"/>
          <w:w w:val="105"/>
        </w:rPr>
        <w:t>industriales</w:t>
      </w:r>
      <w:r>
        <w:rPr>
          <w:color w:val="231F20"/>
          <w:spacing w:val="-12"/>
          <w:w w:val="105"/>
        </w:rPr>
        <w:t> </w:t>
      </w:r>
      <w:r>
        <w:rPr>
          <w:color w:val="231F20"/>
          <w:w w:val="105"/>
        </w:rPr>
        <w:t>como</w:t>
      </w:r>
      <w:r>
        <w:rPr>
          <w:color w:val="231F20"/>
          <w:spacing w:val="-12"/>
          <w:w w:val="105"/>
        </w:rPr>
        <w:t> </w:t>
      </w:r>
      <w:r>
        <w:rPr>
          <w:color w:val="231F20"/>
          <w:w w:val="105"/>
        </w:rPr>
        <w:t>Oa- xaca,</w:t>
      </w:r>
      <w:r>
        <w:rPr>
          <w:color w:val="231F20"/>
          <w:spacing w:val="-23"/>
          <w:w w:val="105"/>
        </w:rPr>
        <w:t> </w:t>
      </w:r>
      <w:r>
        <w:rPr>
          <w:color w:val="231F20"/>
          <w:w w:val="105"/>
        </w:rPr>
        <w:t>Guerrero</w:t>
      </w:r>
      <w:r>
        <w:rPr>
          <w:color w:val="231F20"/>
          <w:spacing w:val="-19"/>
          <w:w w:val="105"/>
        </w:rPr>
        <w:t> </w:t>
      </w:r>
      <w:r>
        <w:rPr>
          <w:color w:val="231F20"/>
          <w:w w:val="105"/>
        </w:rPr>
        <w:t>y</w:t>
      </w:r>
      <w:r>
        <w:rPr>
          <w:color w:val="231F20"/>
          <w:spacing w:val="-22"/>
          <w:w w:val="105"/>
        </w:rPr>
        <w:t> </w:t>
      </w:r>
      <w:r>
        <w:rPr>
          <w:color w:val="231F20"/>
          <w:w w:val="105"/>
        </w:rPr>
        <w:t>Veracruz.</w:t>
      </w:r>
      <w:r>
        <w:rPr>
          <w:color w:val="231F20"/>
          <w:spacing w:val="-26"/>
          <w:w w:val="105"/>
        </w:rPr>
        <w:t> </w:t>
      </w:r>
      <w:r>
        <w:rPr>
          <w:color w:val="231F20"/>
          <w:w w:val="105"/>
        </w:rPr>
        <w:t>Aunque</w:t>
      </w:r>
      <w:r>
        <w:rPr>
          <w:color w:val="231F20"/>
          <w:spacing w:val="-19"/>
          <w:w w:val="105"/>
        </w:rPr>
        <w:t> </w:t>
      </w:r>
      <w:r>
        <w:rPr>
          <w:color w:val="231F20"/>
          <w:w w:val="105"/>
        </w:rPr>
        <w:t>los</w:t>
      </w:r>
      <w:r>
        <w:rPr>
          <w:color w:val="231F20"/>
          <w:spacing w:val="-20"/>
          <w:w w:val="105"/>
        </w:rPr>
        <w:t> </w:t>
      </w:r>
      <w:r>
        <w:rPr>
          <w:color w:val="231F20"/>
          <w:w w:val="105"/>
        </w:rPr>
        <w:t>mexiquenses</w:t>
      </w:r>
      <w:r>
        <w:rPr>
          <w:color w:val="231F20"/>
          <w:spacing w:val="-19"/>
          <w:w w:val="105"/>
        </w:rPr>
        <w:t> </w:t>
      </w:r>
      <w:r>
        <w:rPr>
          <w:color w:val="231F20"/>
          <w:w w:val="105"/>
        </w:rPr>
        <w:t>no</w:t>
      </w:r>
      <w:r>
        <w:rPr>
          <w:color w:val="231F20"/>
          <w:spacing w:val="-19"/>
          <w:w w:val="105"/>
        </w:rPr>
        <w:t> </w:t>
      </w:r>
      <w:r>
        <w:rPr>
          <w:color w:val="231F20"/>
          <w:w w:val="105"/>
        </w:rPr>
        <w:t>estaban</w:t>
      </w:r>
      <w:r>
        <w:rPr>
          <w:color w:val="231F20"/>
          <w:spacing w:val="-19"/>
          <w:w w:val="105"/>
        </w:rPr>
        <w:t> </w:t>
      </w:r>
      <w:r>
        <w:rPr>
          <w:color w:val="231F20"/>
          <w:w w:val="105"/>
        </w:rPr>
        <w:t>desem- pleados al momento de emigrar, como ocurre en otras entidades, los oriundos</w:t>
      </w:r>
      <w:r>
        <w:rPr>
          <w:color w:val="231F20"/>
          <w:spacing w:val="-25"/>
          <w:w w:val="105"/>
        </w:rPr>
        <w:t> </w:t>
      </w:r>
      <w:r>
        <w:rPr>
          <w:color w:val="231F20"/>
          <w:w w:val="105"/>
        </w:rPr>
        <w:t>del</w:t>
      </w:r>
      <w:r>
        <w:rPr>
          <w:color w:val="231F20"/>
          <w:spacing w:val="-25"/>
          <w:w w:val="105"/>
        </w:rPr>
        <w:t> </w:t>
      </w:r>
      <w:r>
        <w:rPr>
          <w:color w:val="231F20"/>
          <w:w w:val="105"/>
        </w:rPr>
        <w:t>Estado</w:t>
      </w:r>
      <w:r>
        <w:rPr>
          <w:color w:val="231F20"/>
          <w:spacing w:val="-25"/>
          <w:w w:val="105"/>
        </w:rPr>
        <w:t> </w:t>
      </w:r>
      <w:r>
        <w:rPr>
          <w:color w:val="231F20"/>
          <w:w w:val="105"/>
        </w:rPr>
        <w:t>de</w:t>
      </w:r>
      <w:r>
        <w:rPr>
          <w:color w:val="231F20"/>
          <w:spacing w:val="-25"/>
          <w:w w:val="105"/>
        </w:rPr>
        <w:t> </w:t>
      </w:r>
      <w:r>
        <w:rPr>
          <w:color w:val="231F20"/>
          <w:w w:val="105"/>
        </w:rPr>
        <w:t>México</w:t>
      </w:r>
      <w:r>
        <w:rPr>
          <w:color w:val="231F20"/>
          <w:spacing w:val="-25"/>
          <w:w w:val="105"/>
        </w:rPr>
        <w:t> </w:t>
      </w:r>
      <w:r>
        <w:rPr>
          <w:color w:val="231F20"/>
          <w:w w:val="105"/>
        </w:rPr>
        <w:t>se</w:t>
      </w:r>
      <w:r>
        <w:rPr>
          <w:color w:val="231F20"/>
          <w:spacing w:val="-25"/>
          <w:w w:val="105"/>
        </w:rPr>
        <w:t> </w:t>
      </w:r>
      <w:r>
        <w:rPr>
          <w:color w:val="231F20"/>
          <w:w w:val="105"/>
        </w:rPr>
        <w:t>quejan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bajos</w:t>
      </w:r>
      <w:r>
        <w:rPr>
          <w:color w:val="231F20"/>
          <w:spacing w:val="-25"/>
          <w:w w:val="105"/>
        </w:rPr>
        <w:t> </w:t>
      </w:r>
      <w:r>
        <w:rPr>
          <w:color w:val="231F20"/>
          <w:w w:val="105"/>
        </w:rPr>
        <w:t>salarios</w:t>
      </w:r>
      <w:r>
        <w:rPr>
          <w:color w:val="231F20"/>
          <w:spacing w:val="-25"/>
          <w:w w:val="105"/>
        </w:rPr>
        <w:t> </w:t>
      </w:r>
      <w:r>
        <w:rPr>
          <w:color w:val="231F20"/>
          <w:w w:val="105"/>
        </w:rPr>
        <w:t>y</w:t>
      </w:r>
      <w:r>
        <w:rPr>
          <w:color w:val="231F20"/>
          <w:spacing w:val="-25"/>
          <w:w w:val="105"/>
        </w:rPr>
        <w:t> </w:t>
      </w:r>
      <w:r>
        <w:rPr>
          <w:color w:val="231F20"/>
          <w:w w:val="105"/>
        </w:rPr>
        <w:t>las</w:t>
      </w:r>
      <w:r>
        <w:rPr>
          <w:color w:val="231F20"/>
          <w:spacing w:val="-25"/>
          <w:w w:val="105"/>
        </w:rPr>
        <w:t> </w:t>
      </w:r>
      <w:r>
        <w:rPr>
          <w:color w:val="231F20"/>
          <w:w w:val="105"/>
        </w:rPr>
        <w:t>pocas expectativas</w:t>
      </w:r>
      <w:r>
        <w:rPr>
          <w:color w:val="231F20"/>
          <w:spacing w:val="-20"/>
          <w:w w:val="105"/>
        </w:rPr>
        <w:t> </w:t>
      </w:r>
      <w:r>
        <w:rPr>
          <w:color w:val="231F20"/>
          <w:w w:val="105"/>
        </w:rPr>
        <w:t>de</w:t>
      </w:r>
      <w:r>
        <w:rPr>
          <w:color w:val="231F20"/>
          <w:spacing w:val="-20"/>
          <w:w w:val="105"/>
        </w:rPr>
        <w:t> </w:t>
      </w:r>
      <w:r>
        <w:rPr>
          <w:color w:val="231F20"/>
          <w:w w:val="105"/>
        </w:rPr>
        <w:t>mejorar</w:t>
      </w:r>
      <w:r>
        <w:rPr>
          <w:color w:val="231F20"/>
          <w:spacing w:val="-20"/>
          <w:w w:val="105"/>
        </w:rPr>
        <w:t> </w:t>
      </w:r>
      <w:r>
        <w:rPr>
          <w:color w:val="231F20"/>
          <w:w w:val="105"/>
        </w:rPr>
        <w:t>a</w:t>
      </w:r>
      <w:r>
        <w:rPr>
          <w:color w:val="231F20"/>
          <w:spacing w:val="-20"/>
          <w:w w:val="105"/>
        </w:rPr>
        <w:t> </w:t>
      </w:r>
      <w:r>
        <w:rPr>
          <w:color w:val="231F20"/>
          <w:w w:val="105"/>
        </w:rPr>
        <w:t>futuro.</w:t>
      </w:r>
    </w:p>
    <w:p>
      <w:pPr>
        <w:pStyle w:val="BodyText"/>
        <w:spacing w:line="261" w:lineRule="auto" w:before="1"/>
        <w:ind w:left="1723" w:right="1829" w:firstLine="567"/>
        <w:jc w:val="both"/>
      </w:pPr>
      <w:r>
        <w:rPr>
          <w:color w:val="231F20"/>
        </w:rPr>
        <w:t>En suma, las características de la migración mexiquense reflejan un proceso que se expande por todo México y expresa insatisfacción y ne- cesidad a nivel nacional, en niveles diferentes, mientras en lo particular muestra las formas locales de necesidad y las aspiraciones de los</w:t>
      </w:r>
      <w:r>
        <w:rPr>
          <w:color w:val="231F20"/>
          <w:spacing w:val="-21"/>
        </w:rPr>
        <w:t> </w:t>
      </w:r>
      <w:r>
        <w:rPr>
          <w:color w:val="231F20"/>
        </w:rPr>
        <w:t>actores.</w:t>
      </w:r>
    </w:p>
    <w:p>
      <w:pPr>
        <w:pStyle w:val="BodyText"/>
        <w:spacing w:before="6"/>
        <w:rPr>
          <w:sz w:val="29"/>
        </w:rPr>
      </w:pPr>
    </w:p>
    <w:p>
      <w:pPr>
        <w:pStyle w:val="Heading3"/>
        <w:ind w:left="1723"/>
        <w:rPr>
          <w:rFonts w:ascii="Tahoma" w:hAnsi="Tahoma"/>
        </w:rPr>
      </w:pPr>
      <w:r>
        <w:rPr>
          <w:rFonts w:ascii="Tahoma" w:hAnsi="Tahoma"/>
          <w:color w:val="231F20"/>
          <w:w w:val="95"/>
        </w:rPr>
        <w:t>Adquisición de conocimientos técnicos y activos</w:t>
      </w:r>
    </w:p>
    <w:p>
      <w:pPr>
        <w:pStyle w:val="BodyText"/>
        <w:spacing w:before="11"/>
        <w:rPr>
          <w:rFonts w:ascii="Tahoma"/>
          <w:b/>
          <w:sz w:val="29"/>
        </w:rPr>
      </w:pPr>
    </w:p>
    <w:p>
      <w:pPr>
        <w:pStyle w:val="BodyText"/>
        <w:spacing w:line="261" w:lineRule="auto"/>
        <w:ind w:left="1723" w:right="1835"/>
        <w:jc w:val="both"/>
      </w:pPr>
      <w:r>
        <w:rPr>
          <w:color w:val="231F20"/>
          <w:w w:val="105"/>
        </w:rPr>
        <w:t>En</w:t>
      </w:r>
      <w:r>
        <w:rPr>
          <w:color w:val="231F20"/>
          <w:spacing w:val="-29"/>
          <w:w w:val="105"/>
        </w:rPr>
        <w:t> </w:t>
      </w:r>
      <w:r>
        <w:rPr>
          <w:color w:val="231F20"/>
          <w:spacing w:val="-6"/>
          <w:w w:val="105"/>
        </w:rPr>
        <w:t>Texas</w:t>
      </w:r>
      <w:r>
        <w:rPr>
          <w:color w:val="231F20"/>
          <w:spacing w:val="-26"/>
          <w:w w:val="105"/>
        </w:rPr>
        <w:t> </w:t>
      </w:r>
      <w:r>
        <w:rPr>
          <w:color w:val="231F20"/>
          <w:w w:val="105"/>
        </w:rPr>
        <w:t>los</w:t>
      </w:r>
      <w:r>
        <w:rPr>
          <w:color w:val="231F20"/>
          <w:spacing w:val="-26"/>
          <w:w w:val="105"/>
        </w:rPr>
        <w:t> </w:t>
      </w:r>
      <w:r>
        <w:rPr>
          <w:color w:val="231F20"/>
          <w:spacing w:val="-3"/>
          <w:w w:val="105"/>
        </w:rPr>
        <w:t>retornados</w:t>
      </w:r>
      <w:r>
        <w:rPr>
          <w:color w:val="231F20"/>
          <w:spacing w:val="-26"/>
          <w:w w:val="105"/>
        </w:rPr>
        <w:t> </w:t>
      </w:r>
      <w:r>
        <w:rPr>
          <w:color w:val="231F20"/>
          <w:spacing w:val="-3"/>
          <w:w w:val="105"/>
        </w:rPr>
        <w:t>aprendieron</w:t>
      </w:r>
      <w:r>
        <w:rPr>
          <w:color w:val="231F20"/>
          <w:spacing w:val="-26"/>
          <w:w w:val="105"/>
        </w:rPr>
        <w:t> </w:t>
      </w:r>
      <w:r>
        <w:rPr>
          <w:color w:val="231F20"/>
          <w:w w:val="105"/>
        </w:rPr>
        <w:t>y</w:t>
      </w:r>
      <w:r>
        <w:rPr>
          <w:color w:val="231F20"/>
          <w:spacing w:val="-26"/>
          <w:w w:val="105"/>
        </w:rPr>
        <w:t> </w:t>
      </w:r>
      <w:r>
        <w:rPr>
          <w:color w:val="231F20"/>
          <w:spacing w:val="-3"/>
          <w:w w:val="105"/>
        </w:rPr>
        <w:t>depuraron</w:t>
      </w:r>
      <w:r>
        <w:rPr>
          <w:color w:val="231F20"/>
          <w:spacing w:val="-26"/>
          <w:w w:val="105"/>
        </w:rPr>
        <w:t> </w:t>
      </w:r>
      <w:r>
        <w:rPr>
          <w:color w:val="231F20"/>
          <w:w w:val="105"/>
        </w:rPr>
        <w:t>diversos</w:t>
      </w:r>
      <w:r>
        <w:rPr>
          <w:color w:val="231F20"/>
          <w:spacing w:val="-26"/>
          <w:w w:val="105"/>
        </w:rPr>
        <w:t> </w:t>
      </w:r>
      <w:r>
        <w:rPr>
          <w:color w:val="231F20"/>
          <w:w w:val="105"/>
        </w:rPr>
        <w:t>conocimientos laborales,</w:t>
      </w:r>
      <w:r>
        <w:rPr>
          <w:color w:val="231F20"/>
          <w:spacing w:val="-13"/>
          <w:w w:val="105"/>
        </w:rPr>
        <w:t> </w:t>
      </w:r>
      <w:r>
        <w:rPr>
          <w:color w:val="231F20"/>
          <w:w w:val="105"/>
        </w:rPr>
        <w:t>de</w:t>
      </w:r>
      <w:r>
        <w:rPr>
          <w:color w:val="231F20"/>
          <w:spacing w:val="-8"/>
          <w:w w:val="105"/>
        </w:rPr>
        <w:t> </w:t>
      </w:r>
      <w:r>
        <w:rPr>
          <w:color w:val="231F20"/>
          <w:w w:val="105"/>
        </w:rPr>
        <w:t>nivel</w:t>
      </w:r>
      <w:r>
        <w:rPr>
          <w:color w:val="231F20"/>
          <w:spacing w:val="-8"/>
          <w:w w:val="105"/>
        </w:rPr>
        <w:t> </w:t>
      </w:r>
      <w:r>
        <w:rPr>
          <w:color w:val="231F20"/>
          <w:w w:val="105"/>
        </w:rPr>
        <w:t>básico</w:t>
      </w:r>
      <w:r>
        <w:rPr>
          <w:color w:val="231F20"/>
          <w:spacing w:val="-8"/>
          <w:w w:val="105"/>
        </w:rPr>
        <w:t> </w:t>
      </w:r>
      <w:r>
        <w:rPr>
          <w:color w:val="231F20"/>
          <w:w w:val="105"/>
        </w:rPr>
        <w:t>y</w:t>
      </w:r>
      <w:r>
        <w:rPr>
          <w:color w:val="231F20"/>
          <w:spacing w:val="-8"/>
          <w:w w:val="105"/>
        </w:rPr>
        <w:t> </w:t>
      </w:r>
      <w:r>
        <w:rPr>
          <w:color w:val="231F20"/>
          <w:w w:val="105"/>
        </w:rPr>
        <w:t>calificado,</w:t>
      </w:r>
      <w:r>
        <w:rPr>
          <w:color w:val="231F20"/>
          <w:spacing w:val="-13"/>
          <w:w w:val="105"/>
        </w:rPr>
        <w:t> </w:t>
      </w:r>
      <w:r>
        <w:rPr>
          <w:color w:val="231F20"/>
          <w:w w:val="105"/>
        </w:rPr>
        <w:t>en</w:t>
      </w:r>
      <w:r>
        <w:rPr>
          <w:color w:val="231F20"/>
          <w:spacing w:val="-8"/>
          <w:w w:val="105"/>
        </w:rPr>
        <w:t> </w:t>
      </w:r>
      <w:r>
        <w:rPr>
          <w:color w:val="231F20"/>
          <w:w w:val="105"/>
        </w:rPr>
        <w:t>actividades</w:t>
      </w:r>
      <w:r>
        <w:rPr>
          <w:color w:val="231F20"/>
          <w:spacing w:val="-8"/>
          <w:w w:val="105"/>
        </w:rPr>
        <w:t> </w:t>
      </w:r>
      <w:r>
        <w:rPr>
          <w:color w:val="231F20"/>
          <w:spacing w:val="-3"/>
          <w:w w:val="105"/>
        </w:rPr>
        <w:t>similares</w:t>
      </w:r>
      <w:r>
        <w:rPr>
          <w:color w:val="231F20"/>
          <w:spacing w:val="-8"/>
          <w:w w:val="105"/>
        </w:rPr>
        <w:t> </w:t>
      </w:r>
      <w:r>
        <w:rPr>
          <w:color w:val="231F20"/>
          <w:w w:val="105"/>
        </w:rPr>
        <w:t>o</w:t>
      </w:r>
      <w:r>
        <w:rPr>
          <w:color w:val="231F20"/>
          <w:spacing w:val="-8"/>
          <w:w w:val="105"/>
        </w:rPr>
        <w:t> </w:t>
      </w:r>
      <w:r>
        <w:rPr>
          <w:color w:val="231F20"/>
          <w:w w:val="105"/>
        </w:rPr>
        <w:t>adicio-</w:t>
      </w:r>
    </w:p>
    <w:p>
      <w:pPr>
        <w:pStyle w:val="BodyText"/>
        <w:rPr>
          <w:sz w:val="20"/>
        </w:rPr>
      </w:pPr>
    </w:p>
    <w:p>
      <w:pPr>
        <w:pStyle w:val="BodyText"/>
        <w:spacing w:before="8"/>
        <w:rPr>
          <w:sz w:val="29"/>
        </w:rPr>
      </w:pPr>
    </w:p>
    <w:p>
      <w:pPr>
        <w:tabs>
          <w:tab w:pos="2937" w:val="left" w:leader="none"/>
        </w:tabs>
        <w:spacing w:before="71"/>
        <w:ind w:left="1832" w:right="0" w:firstLine="0"/>
        <w:jc w:val="left"/>
        <w:rPr>
          <w:rFonts w:ascii="Calibri"/>
          <w:sz w:val="15"/>
        </w:rPr>
      </w:pPr>
      <w:r>
        <w:rPr/>
        <w:pict>
          <v:line style="position:absolute;mso-position-horizontal-relative:page;mso-position-vertical-relative:paragraph;z-index:-460576" from="131.551193pt,3.753715pt" to="131.551193pt,39.556114pt" stroked="true" strokeweight=".35pt" strokecolor="#231f20">
            <w10:wrap type="none"/>
          </v:line>
        </w:pict>
      </w:r>
      <w:r>
        <w:rPr/>
        <w:pict>
          <v:line style="position:absolute;mso-position-horizontal-relative:page;mso-position-vertical-relative:paragraph;z-index:-460504" from="15pt,39.555916pt" to="0pt,39.555916pt" stroked="true" strokeweight=".25pt" strokecolor="#000000">
            <w10:wrap type="none"/>
          </v:line>
        </w:pict>
      </w:r>
      <w:r>
        <w:rPr/>
        <w:pict>
          <v:line style="position:absolute;mso-position-horizontal-relative:page;mso-position-vertical-relative:paragraph;z-index:29704" from="508.890015pt,39.555916pt" to="523.890015pt,39.555916pt" stroked="true" strokeweight=".25pt" strokecolor="#000000">
            <w10:wrap type="none"/>
          </v:line>
        </w:pict>
      </w:r>
      <w:r>
        <w:rPr>
          <w:rFonts w:ascii="Arial"/>
          <w:color w:val="414042"/>
          <w:w w:val="105"/>
          <w:position w:val="-5"/>
          <w:sz w:val="20"/>
        </w:rPr>
        <w:t>242</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60456" from="405.061005pt,-18.554295pt" to="405.061005pt,16.311579pt" stroked="true" strokeweight=".35pt" strokecolor="#231f20">
            <w10:wrap type="none"/>
          </v:line>
        </w:pict>
      </w:r>
      <w:r>
        <w:rPr/>
        <w:pict>
          <v:line style="position:absolute;mso-position-horizontal-relative:page;mso-position-vertical-relative:paragraph;z-index:29752" from="15pt,-18.554522pt" to="0pt,-18.554522pt" stroked="true" strokeweight=".25pt" strokecolor="#000000">
            <w10:wrap type="none"/>
          </v:line>
        </w:pict>
      </w:r>
      <w:r>
        <w:rPr/>
        <w:pict>
          <v:line style="position:absolute;mso-position-horizontal-relative:page;mso-position-vertical-relative:paragraph;z-index:29776"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243</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nales a las </w:t>
      </w:r>
      <w:r>
        <w:rPr>
          <w:color w:val="231F20"/>
          <w:spacing w:val="-3"/>
          <w:w w:val="105"/>
        </w:rPr>
        <w:t>realizadas </w:t>
      </w:r>
      <w:r>
        <w:rPr>
          <w:color w:val="231F20"/>
          <w:w w:val="105"/>
        </w:rPr>
        <w:t>en </w:t>
      </w:r>
      <w:r>
        <w:rPr>
          <w:color w:val="231F20"/>
          <w:spacing w:val="-3"/>
          <w:w w:val="105"/>
        </w:rPr>
        <w:t>México. </w:t>
      </w:r>
      <w:r>
        <w:rPr>
          <w:color w:val="231F20"/>
          <w:w w:val="105"/>
        </w:rPr>
        <w:t>Algunos </w:t>
      </w:r>
      <w:r>
        <w:rPr>
          <w:color w:val="231F20"/>
          <w:spacing w:val="-3"/>
          <w:w w:val="105"/>
        </w:rPr>
        <w:t>retornados recibieron </w:t>
      </w:r>
      <w:r>
        <w:rPr>
          <w:color w:val="231F20"/>
          <w:w w:val="105"/>
        </w:rPr>
        <w:t>capaci- taciones</w:t>
      </w:r>
      <w:r>
        <w:rPr>
          <w:color w:val="231F20"/>
          <w:spacing w:val="-17"/>
          <w:w w:val="105"/>
        </w:rPr>
        <w:t> </w:t>
      </w:r>
      <w:r>
        <w:rPr>
          <w:color w:val="231F20"/>
          <w:w w:val="105"/>
        </w:rPr>
        <w:t>y</w:t>
      </w:r>
      <w:r>
        <w:rPr>
          <w:color w:val="231F20"/>
          <w:spacing w:val="-17"/>
          <w:w w:val="105"/>
        </w:rPr>
        <w:t> </w:t>
      </w:r>
      <w:r>
        <w:rPr>
          <w:color w:val="231F20"/>
          <w:spacing w:val="-3"/>
          <w:w w:val="105"/>
        </w:rPr>
        <w:t>entrenamiento</w:t>
      </w:r>
      <w:r>
        <w:rPr>
          <w:color w:val="231F20"/>
          <w:spacing w:val="-17"/>
          <w:w w:val="105"/>
        </w:rPr>
        <w:t> </w:t>
      </w:r>
      <w:r>
        <w:rPr>
          <w:color w:val="231F20"/>
          <w:w w:val="105"/>
        </w:rPr>
        <w:t>laboral,</w:t>
      </w:r>
      <w:r>
        <w:rPr>
          <w:color w:val="231F20"/>
          <w:spacing w:val="-21"/>
          <w:w w:val="105"/>
        </w:rPr>
        <w:t> </w:t>
      </w:r>
      <w:r>
        <w:rPr>
          <w:color w:val="231F20"/>
          <w:spacing w:val="-3"/>
          <w:w w:val="105"/>
        </w:rPr>
        <w:t>otros</w:t>
      </w:r>
      <w:r>
        <w:rPr>
          <w:color w:val="231F20"/>
          <w:spacing w:val="-17"/>
          <w:w w:val="105"/>
        </w:rPr>
        <w:t> </w:t>
      </w:r>
      <w:r>
        <w:rPr>
          <w:color w:val="231F20"/>
          <w:w w:val="105"/>
        </w:rPr>
        <w:t>más</w:t>
      </w:r>
      <w:r>
        <w:rPr>
          <w:color w:val="231F20"/>
          <w:spacing w:val="-17"/>
          <w:w w:val="105"/>
        </w:rPr>
        <w:t> </w:t>
      </w:r>
      <w:r>
        <w:rPr>
          <w:color w:val="231F20"/>
          <w:spacing w:val="-3"/>
          <w:w w:val="105"/>
        </w:rPr>
        <w:t>desarrollaron</w:t>
      </w:r>
      <w:r>
        <w:rPr>
          <w:color w:val="231F20"/>
          <w:spacing w:val="-17"/>
          <w:w w:val="105"/>
        </w:rPr>
        <w:t> </w:t>
      </w:r>
      <w:r>
        <w:rPr>
          <w:color w:val="231F20"/>
          <w:w w:val="105"/>
        </w:rPr>
        <w:t>conocimientos tácitos, pocos </w:t>
      </w:r>
      <w:r>
        <w:rPr>
          <w:color w:val="231F20"/>
          <w:spacing w:val="-3"/>
          <w:w w:val="105"/>
        </w:rPr>
        <w:t>registran aprendizajes </w:t>
      </w:r>
      <w:r>
        <w:rPr>
          <w:color w:val="231F20"/>
          <w:w w:val="105"/>
        </w:rPr>
        <w:t>formales en idioma inglés y oficios técnicos en escuelas e iglesias; en </w:t>
      </w:r>
      <w:r>
        <w:rPr>
          <w:color w:val="231F20"/>
          <w:spacing w:val="-3"/>
          <w:w w:val="105"/>
        </w:rPr>
        <w:t>realidad </w:t>
      </w:r>
      <w:r>
        <w:rPr>
          <w:color w:val="231F20"/>
          <w:w w:val="105"/>
        </w:rPr>
        <w:t>el inglés lo domina y lo ha- bla</w:t>
      </w:r>
      <w:r>
        <w:rPr>
          <w:color w:val="231F20"/>
          <w:spacing w:val="-12"/>
          <w:w w:val="105"/>
        </w:rPr>
        <w:t> </w:t>
      </w:r>
      <w:r>
        <w:rPr>
          <w:color w:val="231F20"/>
          <w:w w:val="105"/>
        </w:rPr>
        <w:t>en</w:t>
      </w:r>
      <w:r>
        <w:rPr>
          <w:color w:val="231F20"/>
          <w:spacing w:val="-12"/>
          <w:w w:val="105"/>
        </w:rPr>
        <w:t> </w:t>
      </w:r>
      <w:r>
        <w:rPr>
          <w:color w:val="231F20"/>
          <w:w w:val="105"/>
        </w:rPr>
        <w:t>un</w:t>
      </w:r>
      <w:r>
        <w:rPr>
          <w:color w:val="231F20"/>
          <w:spacing w:val="-12"/>
          <w:w w:val="105"/>
        </w:rPr>
        <w:t> </w:t>
      </w:r>
      <w:r>
        <w:rPr>
          <w:color w:val="231F20"/>
          <w:w w:val="105"/>
        </w:rPr>
        <w:t>nivel</w:t>
      </w:r>
      <w:r>
        <w:rPr>
          <w:color w:val="231F20"/>
          <w:spacing w:val="-12"/>
          <w:w w:val="105"/>
        </w:rPr>
        <w:t> </w:t>
      </w:r>
      <w:r>
        <w:rPr>
          <w:color w:val="231F20"/>
          <w:w w:val="105"/>
        </w:rPr>
        <w:t>avanzado</w:t>
      </w:r>
      <w:r>
        <w:rPr>
          <w:color w:val="231F20"/>
          <w:spacing w:val="-12"/>
          <w:w w:val="105"/>
        </w:rPr>
        <w:t> </w:t>
      </w:r>
      <w:r>
        <w:rPr>
          <w:color w:val="231F20"/>
          <w:w w:val="105"/>
        </w:rPr>
        <w:t>apenas</w:t>
      </w:r>
      <w:r>
        <w:rPr>
          <w:color w:val="231F20"/>
          <w:spacing w:val="-12"/>
          <w:w w:val="105"/>
        </w:rPr>
        <w:t> </w:t>
      </w:r>
      <w:r>
        <w:rPr>
          <w:color w:val="231F20"/>
          <w:w w:val="105"/>
        </w:rPr>
        <w:t>un</w:t>
      </w:r>
      <w:r>
        <w:rPr>
          <w:color w:val="231F20"/>
          <w:spacing w:val="-12"/>
          <w:w w:val="105"/>
        </w:rPr>
        <w:t> </w:t>
      </w:r>
      <w:r>
        <w:rPr>
          <w:color w:val="231F20"/>
          <w:w w:val="105"/>
        </w:rPr>
        <w:t>12%</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spacing w:val="-3"/>
          <w:w w:val="105"/>
        </w:rPr>
        <w:t>retornados.</w:t>
      </w:r>
      <w:r>
        <w:rPr>
          <w:color w:val="231F20"/>
          <w:spacing w:val="-21"/>
          <w:w w:val="105"/>
        </w:rPr>
        <w:t> </w:t>
      </w:r>
      <w:r>
        <w:rPr>
          <w:color w:val="231F20"/>
          <w:spacing w:val="-6"/>
          <w:w w:val="105"/>
        </w:rPr>
        <w:t>Todos</w:t>
      </w:r>
      <w:r>
        <w:rPr>
          <w:color w:val="231F20"/>
          <w:spacing w:val="-12"/>
          <w:w w:val="105"/>
        </w:rPr>
        <w:t> </w:t>
      </w:r>
      <w:r>
        <w:rPr>
          <w:color w:val="231F20"/>
          <w:w w:val="105"/>
        </w:rPr>
        <w:t>estos </w:t>
      </w:r>
      <w:r>
        <w:rPr>
          <w:color w:val="231F20"/>
          <w:spacing w:val="-3"/>
          <w:w w:val="105"/>
        </w:rPr>
        <w:t>aprendizajes,</w:t>
      </w:r>
      <w:r>
        <w:rPr>
          <w:color w:val="231F20"/>
          <w:spacing w:val="-34"/>
          <w:w w:val="105"/>
        </w:rPr>
        <w:t> </w:t>
      </w:r>
      <w:r>
        <w:rPr>
          <w:color w:val="231F20"/>
          <w:w w:val="105"/>
        </w:rPr>
        <w:t>valga</w:t>
      </w:r>
      <w:r>
        <w:rPr>
          <w:color w:val="231F20"/>
          <w:spacing w:val="-29"/>
          <w:w w:val="105"/>
        </w:rPr>
        <w:t> </w:t>
      </w:r>
      <w:r>
        <w:rPr>
          <w:color w:val="231F20"/>
          <w:w w:val="105"/>
        </w:rPr>
        <w:t>decirlo,</w:t>
      </w:r>
      <w:r>
        <w:rPr>
          <w:color w:val="231F20"/>
          <w:spacing w:val="-34"/>
          <w:w w:val="105"/>
        </w:rPr>
        <w:t> </w:t>
      </w:r>
      <w:r>
        <w:rPr>
          <w:color w:val="231F20"/>
          <w:spacing w:val="-3"/>
          <w:w w:val="105"/>
        </w:rPr>
        <w:t>fueron</w:t>
      </w:r>
      <w:r>
        <w:rPr>
          <w:color w:val="231F20"/>
          <w:spacing w:val="-29"/>
          <w:w w:val="105"/>
        </w:rPr>
        <w:t> </w:t>
      </w:r>
      <w:r>
        <w:rPr>
          <w:color w:val="231F20"/>
          <w:w w:val="105"/>
        </w:rPr>
        <w:t>a</w:t>
      </w:r>
      <w:r>
        <w:rPr>
          <w:color w:val="231F20"/>
          <w:spacing w:val="-29"/>
          <w:w w:val="105"/>
        </w:rPr>
        <w:t> </w:t>
      </w:r>
      <w:r>
        <w:rPr>
          <w:color w:val="231F20"/>
          <w:w w:val="105"/>
        </w:rPr>
        <w:t>costa</w:t>
      </w:r>
      <w:r>
        <w:rPr>
          <w:color w:val="231F20"/>
          <w:spacing w:val="-29"/>
          <w:w w:val="105"/>
        </w:rPr>
        <w:t> </w:t>
      </w:r>
      <w:r>
        <w:rPr>
          <w:color w:val="231F20"/>
          <w:w w:val="105"/>
        </w:rPr>
        <w:t>de</w:t>
      </w:r>
      <w:r>
        <w:rPr>
          <w:color w:val="231F20"/>
          <w:spacing w:val="-29"/>
          <w:w w:val="105"/>
        </w:rPr>
        <w:t> </w:t>
      </w:r>
      <w:r>
        <w:rPr>
          <w:color w:val="231F20"/>
          <w:spacing w:val="-3"/>
          <w:w w:val="105"/>
        </w:rPr>
        <w:t>sobreponerse</w:t>
      </w:r>
      <w:r>
        <w:rPr>
          <w:color w:val="231F20"/>
          <w:spacing w:val="-29"/>
          <w:w w:val="105"/>
        </w:rPr>
        <w:t> </w:t>
      </w:r>
      <w:r>
        <w:rPr>
          <w:color w:val="231F20"/>
          <w:w w:val="105"/>
        </w:rPr>
        <w:t>a</w:t>
      </w:r>
      <w:r>
        <w:rPr>
          <w:color w:val="231F20"/>
          <w:spacing w:val="-29"/>
          <w:w w:val="105"/>
        </w:rPr>
        <w:t> </w:t>
      </w:r>
      <w:r>
        <w:rPr>
          <w:color w:val="231F20"/>
          <w:w w:val="105"/>
        </w:rPr>
        <w:t>condiciones de</w:t>
      </w:r>
      <w:r>
        <w:rPr>
          <w:color w:val="231F20"/>
          <w:spacing w:val="-12"/>
          <w:w w:val="105"/>
        </w:rPr>
        <w:t> </w:t>
      </w:r>
      <w:r>
        <w:rPr>
          <w:color w:val="231F20"/>
          <w:w w:val="105"/>
        </w:rPr>
        <w:t>vida</w:t>
      </w:r>
      <w:r>
        <w:rPr>
          <w:color w:val="231F20"/>
          <w:spacing w:val="-12"/>
          <w:w w:val="105"/>
        </w:rPr>
        <w:t> </w:t>
      </w:r>
      <w:r>
        <w:rPr>
          <w:color w:val="231F20"/>
          <w:w w:val="105"/>
        </w:rPr>
        <w:t>que</w:t>
      </w:r>
      <w:r>
        <w:rPr>
          <w:color w:val="231F20"/>
          <w:spacing w:val="-12"/>
          <w:w w:val="105"/>
        </w:rPr>
        <w:t> </w:t>
      </w:r>
      <w:r>
        <w:rPr>
          <w:color w:val="231F20"/>
          <w:w w:val="105"/>
        </w:rPr>
        <w:t>para</w:t>
      </w:r>
      <w:r>
        <w:rPr>
          <w:color w:val="231F20"/>
          <w:spacing w:val="-12"/>
          <w:w w:val="105"/>
        </w:rPr>
        <w:t> </w:t>
      </w:r>
      <w:r>
        <w:rPr>
          <w:color w:val="231F20"/>
          <w:w w:val="105"/>
        </w:rPr>
        <w:t>la</w:t>
      </w:r>
      <w:r>
        <w:rPr>
          <w:color w:val="231F20"/>
          <w:spacing w:val="-12"/>
          <w:w w:val="105"/>
        </w:rPr>
        <w:t> </w:t>
      </w:r>
      <w:r>
        <w:rPr>
          <w:color w:val="231F20"/>
          <w:w w:val="105"/>
        </w:rPr>
        <w:t>mitad</w:t>
      </w:r>
      <w:r>
        <w:rPr>
          <w:color w:val="231F20"/>
          <w:spacing w:val="-12"/>
          <w:w w:val="105"/>
        </w:rPr>
        <w:t> </w:t>
      </w:r>
      <w:r>
        <w:rPr>
          <w:color w:val="231F20"/>
          <w:w w:val="105"/>
        </w:rPr>
        <w:t>de</w:t>
      </w:r>
      <w:r>
        <w:rPr>
          <w:color w:val="231F20"/>
          <w:spacing w:val="-12"/>
          <w:w w:val="105"/>
        </w:rPr>
        <w:t> </w:t>
      </w:r>
      <w:r>
        <w:rPr>
          <w:color w:val="231F20"/>
          <w:w w:val="105"/>
        </w:rPr>
        <w:t>ellos</w:t>
      </w:r>
      <w:r>
        <w:rPr>
          <w:color w:val="231F20"/>
          <w:spacing w:val="-12"/>
          <w:w w:val="105"/>
        </w:rPr>
        <w:t> </w:t>
      </w:r>
      <w:r>
        <w:rPr>
          <w:color w:val="231F20"/>
          <w:spacing w:val="-3"/>
          <w:w w:val="105"/>
        </w:rPr>
        <w:t>fueron</w:t>
      </w:r>
      <w:r>
        <w:rPr>
          <w:color w:val="231F20"/>
          <w:spacing w:val="-12"/>
          <w:w w:val="105"/>
        </w:rPr>
        <w:t> </w:t>
      </w:r>
      <w:r>
        <w:rPr>
          <w:color w:val="231F20"/>
          <w:w w:val="105"/>
        </w:rPr>
        <w:t>adversas</w:t>
      </w:r>
      <w:r>
        <w:rPr>
          <w:color w:val="231F20"/>
          <w:spacing w:val="-12"/>
          <w:w w:val="105"/>
        </w:rPr>
        <w:t> </w:t>
      </w:r>
      <w:r>
        <w:rPr>
          <w:color w:val="231F20"/>
          <w:w w:val="105"/>
        </w:rPr>
        <w:t>(solitaria,</w:t>
      </w:r>
      <w:r>
        <w:rPr>
          <w:color w:val="231F20"/>
          <w:spacing w:val="-17"/>
          <w:w w:val="105"/>
        </w:rPr>
        <w:t> </w:t>
      </w:r>
      <w:r>
        <w:rPr>
          <w:color w:val="231F20"/>
          <w:w w:val="105"/>
        </w:rPr>
        <w:t>aburrida,</w:t>
      </w:r>
      <w:r>
        <w:rPr>
          <w:color w:val="231F20"/>
          <w:spacing w:val="-17"/>
          <w:w w:val="105"/>
        </w:rPr>
        <w:t> </w:t>
      </w:r>
      <w:r>
        <w:rPr>
          <w:color w:val="231F20"/>
          <w:w w:val="105"/>
        </w:rPr>
        <w:t>li- bertina,</w:t>
      </w:r>
      <w:r>
        <w:rPr>
          <w:color w:val="231F20"/>
          <w:spacing w:val="-36"/>
          <w:w w:val="105"/>
        </w:rPr>
        <w:t> </w:t>
      </w:r>
      <w:r>
        <w:rPr>
          <w:color w:val="231F20"/>
          <w:w w:val="105"/>
        </w:rPr>
        <w:t>materialista),</w:t>
      </w:r>
      <w:r>
        <w:rPr>
          <w:color w:val="231F20"/>
          <w:spacing w:val="-36"/>
          <w:w w:val="105"/>
        </w:rPr>
        <w:t> </w:t>
      </w:r>
      <w:r>
        <w:rPr>
          <w:color w:val="231F20"/>
          <w:w w:val="105"/>
        </w:rPr>
        <w:t>aunque</w:t>
      </w:r>
      <w:r>
        <w:rPr>
          <w:color w:val="231F20"/>
          <w:spacing w:val="-32"/>
          <w:w w:val="105"/>
        </w:rPr>
        <w:t> </w:t>
      </w:r>
      <w:r>
        <w:rPr>
          <w:color w:val="231F20"/>
          <w:w w:val="105"/>
        </w:rPr>
        <w:t>la</w:t>
      </w:r>
      <w:r>
        <w:rPr>
          <w:color w:val="231F20"/>
          <w:spacing w:val="-32"/>
          <w:w w:val="105"/>
        </w:rPr>
        <w:t> </w:t>
      </w:r>
      <w:r>
        <w:rPr>
          <w:color w:val="231F20"/>
          <w:w w:val="105"/>
        </w:rPr>
        <w:t>otra</w:t>
      </w:r>
      <w:r>
        <w:rPr>
          <w:color w:val="231F20"/>
          <w:spacing w:val="-32"/>
          <w:w w:val="105"/>
        </w:rPr>
        <w:t> </w:t>
      </w:r>
      <w:r>
        <w:rPr>
          <w:color w:val="231F20"/>
          <w:w w:val="105"/>
        </w:rPr>
        <w:t>mitad</w:t>
      </w:r>
      <w:r>
        <w:rPr>
          <w:color w:val="231F20"/>
          <w:spacing w:val="-32"/>
          <w:w w:val="105"/>
        </w:rPr>
        <w:t> </w:t>
      </w:r>
      <w:r>
        <w:rPr>
          <w:color w:val="231F20"/>
          <w:spacing w:val="-2"/>
          <w:w w:val="105"/>
        </w:rPr>
        <w:t>considera</w:t>
      </w:r>
      <w:r>
        <w:rPr>
          <w:color w:val="231F20"/>
          <w:spacing w:val="-32"/>
          <w:w w:val="105"/>
        </w:rPr>
        <w:t> </w:t>
      </w:r>
      <w:r>
        <w:rPr>
          <w:color w:val="231F20"/>
          <w:w w:val="105"/>
        </w:rPr>
        <w:t>la</w:t>
      </w:r>
      <w:r>
        <w:rPr>
          <w:color w:val="231F20"/>
          <w:spacing w:val="-32"/>
          <w:w w:val="105"/>
        </w:rPr>
        <w:t> </w:t>
      </w:r>
      <w:r>
        <w:rPr>
          <w:color w:val="231F20"/>
          <w:w w:val="105"/>
        </w:rPr>
        <w:t>vida</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spacing w:val="-3"/>
          <w:w w:val="105"/>
        </w:rPr>
        <w:t>extranje- ro</w:t>
      </w:r>
      <w:r>
        <w:rPr>
          <w:color w:val="231F20"/>
          <w:spacing w:val="-12"/>
          <w:w w:val="105"/>
        </w:rPr>
        <w:t> </w:t>
      </w:r>
      <w:r>
        <w:rPr>
          <w:color w:val="231F20"/>
          <w:w w:val="105"/>
        </w:rPr>
        <w:t>como</w:t>
      </w:r>
      <w:r>
        <w:rPr>
          <w:color w:val="231F20"/>
          <w:spacing w:val="-12"/>
          <w:w w:val="105"/>
        </w:rPr>
        <w:t> </w:t>
      </w:r>
      <w:r>
        <w:rPr>
          <w:color w:val="231F20"/>
          <w:w w:val="105"/>
        </w:rPr>
        <w:t>un</w:t>
      </w:r>
      <w:r>
        <w:rPr>
          <w:color w:val="231F20"/>
          <w:spacing w:val="-12"/>
          <w:w w:val="105"/>
        </w:rPr>
        <w:t> </w:t>
      </w:r>
      <w:r>
        <w:rPr>
          <w:color w:val="231F20"/>
          <w:w w:val="105"/>
        </w:rPr>
        <w:t>episodio</w:t>
      </w:r>
      <w:r>
        <w:rPr>
          <w:color w:val="231F20"/>
          <w:spacing w:val="-12"/>
          <w:w w:val="105"/>
        </w:rPr>
        <w:t> </w:t>
      </w:r>
      <w:r>
        <w:rPr>
          <w:color w:val="231F20"/>
          <w:w w:val="105"/>
        </w:rPr>
        <w:t>agradable</w:t>
      </w:r>
      <w:r>
        <w:rPr>
          <w:color w:val="231F20"/>
          <w:spacing w:val="-12"/>
          <w:w w:val="105"/>
        </w:rPr>
        <w:t> </w:t>
      </w:r>
      <w:r>
        <w:rPr>
          <w:color w:val="231F20"/>
          <w:w w:val="105"/>
        </w:rPr>
        <w:t>en</w:t>
      </w:r>
      <w:r>
        <w:rPr>
          <w:color w:val="231F20"/>
          <w:spacing w:val="-12"/>
          <w:w w:val="105"/>
        </w:rPr>
        <w:t> </w:t>
      </w:r>
      <w:r>
        <w:rPr>
          <w:color w:val="231F20"/>
          <w:w w:val="105"/>
        </w:rPr>
        <w:t>sus</w:t>
      </w:r>
      <w:r>
        <w:rPr>
          <w:color w:val="231F20"/>
          <w:spacing w:val="-12"/>
          <w:w w:val="105"/>
        </w:rPr>
        <w:t> </w:t>
      </w:r>
      <w:r>
        <w:rPr>
          <w:color w:val="231F20"/>
          <w:w w:val="105"/>
        </w:rPr>
        <w:t>vidas</w:t>
      </w:r>
      <w:r>
        <w:rPr>
          <w:color w:val="231F20"/>
          <w:spacing w:val="-12"/>
          <w:w w:val="105"/>
        </w:rPr>
        <w:t> </w:t>
      </w:r>
      <w:r>
        <w:rPr>
          <w:color w:val="231F20"/>
          <w:w w:val="105"/>
        </w:rPr>
        <w:t>(comodidad,</w:t>
      </w:r>
      <w:r>
        <w:rPr>
          <w:color w:val="231F20"/>
          <w:spacing w:val="-17"/>
          <w:w w:val="105"/>
        </w:rPr>
        <w:t> </w:t>
      </w:r>
      <w:r>
        <w:rPr>
          <w:color w:val="231F20"/>
          <w:spacing w:val="-3"/>
          <w:w w:val="105"/>
        </w:rPr>
        <w:t>orden,</w:t>
      </w:r>
      <w:r>
        <w:rPr>
          <w:color w:val="231F20"/>
          <w:spacing w:val="-17"/>
          <w:w w:val="105"/>
        </w:rPr>
        <w:t> </w:t>
      </w:r>
      <w:r>
        <w:rPr>
          <w:color w:val="231F20"/>
          <w:spacing w:val="-3"/>
          <w:w w:val="105"/>
        </w:rPr>
        <w:t>lugares </w:t>
      </w:r>
      <w:r>
        <w:rPr>
          <w:color w:val="231F20"/>
          <w:w w:val="105"/>
        </w:rPr>
        <w:t>lindos).</w:t>
      </w:r>
      <w:r>
        <w:rPr>
          <w:color w:val="231F20"/>
          <w:spacing w:val="-29"/>
          <w:w w:val="105"/>
        </w:rPr>
        <w:t> </w:t>
      </w:r>
      <w:r>
        <w:rPr>
          <w:color w:val="231F20"/>
          <w:w w:val="105"/>
        </w:rPr>
        <w:t>En</w:t>
      </w:r>
      <w:r>
        <w:rPr>
          <w:color w:val="231F20"/>
          <w:spacing w:val="-24"/>
          <w:w w:val="105"/>
        </w:rPr>
        <w:t> </w:t>
      </w:r>
      <w:r>
        <w:rPr>
          <w:color w:val="231F20"/>
          <w:w w:val="105"/>
        </w:rPr>
        <w:t>lo</w:t>
      </w:r>
      <w:r>
        <w:rPr>
          <w:color w:val="231F20"/>
          <w:spacing w:val="-24"/>
          <w:w w:val="105"/>
        </w:rPr>
        <w:t> </w:t>
      </w:r>
      <w:r>
        <w:rPr>
          <w:color w:val="231F20"/>
          <w:w w:val="105"/>
        </w:rPr>
        <w:t>laboral,</w:t>
      </w:r>
      <w:r>
        <w:rPr>
          <w:color w:val="231F20"/>
          <w:spacing w:val="-29"/>
          <w:w w:val="105"/>
        </w:rPr>
        <w:t> </w:t>
      </w:r>
      <w:r>
        <w:rPr>
          <w:color w:val="231F20"/>
          <w:w w:val="105"/>
        </w:rPr>
        <w:t>apenas</w:t>
      </w:r>
      <w:r>
        <w:rPr>
          <w:color w:val="231F20"/>
          <w:spacing w:val="-24"/>
          <w:w w:val="105"/>
        </w:rPr>
        <w:t> </w:t>
      </w:r>
      <w:r>
        <w:rPr>
          <w:color w:val="231F20"/>
          <w:w w:val="105"/>
        </w:rPr>
        <w:t>la</w:t>
      </w:r>
      <w:r>
        <w:rPr>
          <w:color w:val="231F20"/>
          <w:spacing w:val="-24"/>
          <w:w w:val="105"/>
        </w:rPr>
        <w:t> </w:t>
      </w:r>
      <w:r>
        <w:rPr>
          <w:color w:val="231F20"/>
          <w:w w:val="105"/>
        </w:rPr>
        <w:t>mitad</w:t>
      </w:r>
      <w:r>
        <w:rPr>
          <w:color w:val="231F20"/>
          <w:spacing w:val="-24"/>
          <w:w w:val="105"/>
        </w:rPr>
        <w:t> </w:t>
      </w:r>
      <w:r>
        <w:rPr>
          <w:color w:val="231F20"/>
          <w:w w:val="105"/>
        </w:rPr>
        <w:t>de</w:t>
      </w:r>
      <w:r>
        <w:rPr>
          <w:color w:val="231F20"/>
          <w:spacing w:val="-24"/>
          <w:w w:val="105"/>
        </w:rPr>
        <w:t> </w:t>
      </w:r>
      <w:r>
        <w:rPr>
          <w:color w:val="231F20"/>
          <w:spacing w:val="-3"/>
          <w:w w:val="105"/>
        </w:rPr>
        <w:t>retornados</w:t>
      </w:r>
      <w:r>
        <w:rPr>
          <w:color w:val="231F20"/>
          <w:spacing w:val="-24"/>
          <w:w w:val="105"/>
        </w:rPr>
        <w:t> </w:t>
      </w:r>
      <w:r>
        <w:rPr>
          <w:color w:val="231F20"/>
          <w:w w:val="105"/>
        </w:rPr>
        <w:t>puede</w:t>
      </w:r>
      <w:r>
        <w:rPr>
          <w:color w:val="231F20"/>
          <w:spacing w:val="-24"/>
          <w:w w:val="105"/>
        </w:rPr>
        <w:t> </w:t>
      </w:r>
      <w:r>
        <w:rPr>
          <w:color w:val="231F20"/>
          <w:w w:val="105"/>
        </w:rPr>
        <w:t>decir</w:t>
      </w:r>
      <w:r>
        <w:rPr>
          <w:color w:val="231F20"/>
          <w:spacing w:val="-24"/>
          <w:w w:val="105"/>
        </w:rPr>
        <w:t> </w:t>
      </w:r>
      <w:r>
        <w:rPr>
          <w:color w:val="231F20"/>
          <w:w w:val="105"/>
        </w:rPr>
        <w:t>que</w:t>
      </w:r>
      <w:r>
        <w:rPr>
          <w:color w:val="231F20"/>
          <w:spacing w:val="-24"/>
          <w:w w:val="105"/>
        </w:rPr>
        <w:t> </w:t>
      </w:r>
      <w:r>
        <w:rPr>
          <w:color w:val="231F20"/>
          <w:w w:val="105"/>
        </w:rPr>
        <w:t>tuvo empleo</w:t>
      </w:r>
      <w:r>
        <w:rPr>
          <w:color w:val="231F20"/>
          <w:spacing w:val="-14"/>
          <w:w w:val="105"/>
        </w:rPr>
        <w:t> </w:t>
      </w:r>
      <w:r>
        <w:rPr>
          <w:color w:val="231F20"/>
          <w:w w:val="105"/>
        </w:rPr>
        <w:t>constante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extranjero,</w:t>
      </w:r>
      <w:r>
        <w:rPr>
          <w:color w:val="231F20"/>
          <w:spacing w:val="-19"/>
          <w:w w:val="105"/>
        </w:rPr>
        <w:t> </w:t>
      </w:r>
      <w:r>
        <w:rPr>
          <w:color w:val="231F20"/>
          <w:w w:val="105"/>
        </w:rPr>
        <w:t>los</w:t>
      </w:r>
      <w:r>
        <w:rPr>
          <w:color w:val="231F20"/>
          <w:spacing w:val="-14"/>
          <w:w w:val="105"/>
        </w:rPr>
        <w:t> </w:t>
      </w:r>
      <w:r>
        <w:rPr>
          <w:color w:val="231F20"/>
          <w:w w:val="105"/>
        </w:rPr>
        <w:t>demás</w:t>
      </w:r>
      <w:r>
        <w:rPr>
          <w:color w:val="231F20"/>
          <w:spacing w:val="-14"/>
          <w:w w:val="105"/>
        </w:rPr>
        <w:t> </w:t>
      </w:r>
      <w:r>
        <w:rPr>
          <w:color w:val="231F20"/>
          <w:spacing w:val="-3"/>
          <w:w w:val="105"/>
        </w:rPr>
        <w:t>afrontaron</w:t>
      </w:r>
      <w:r>
        <w:rPr>
          <w:color w:val="231F20"/>
          <w:spacing w:val="-14"/>
          <w:w w:val="105"/>
        </w:rPr>
        <w:t> </w:t>
      </w:r>
      <w:r>
        <w:rPr>
          <w:color w:val="231F20"/>
          <w:spacing w:val="-3"/>
          <w:w w:val="105"/>
        </w:rPr>
        <w:t>problemas</w:t>
      </w:r>
      <w:r>
        <w:rPr>
          <w:color w:val="231F20"/>
          <w:spacing w:val="-14"/>
          <w:w w:val="105"/>
        </w:rPr>
        <w:t> </w:t>
      </w:r>
      <w:r>
        <w:rPr>
          <w:color w:val="231F20"/>
          <w:w w:val="105"/>
        </w:rPr>
        <w:t>para encontrar</w:t>
      </w:r>
      <w:r>
        <w:rPr>
          <w:color w:val="231F20"/>
          <w:spacing w:val="-18"/>
          <w:w w:val="105"/>
        </w:rPr>
        <w:t> </w:t>
      </w:r>
      <w:r>
        <w:rPr>
          <w:color w:val="231F20"/>
          <w:spacing w:val="-3"/>
          <w:w w:val="105"/>
        </w:rPr>
        <w:t>trabajo,</w:t>
      </w:r>
      <w:r>
        <w:rPr>
          <w:color w:val="231F20"/>
          <w:spacing w:val="-24"/>
          <w:w w:val="105"/>
        </w:rPr>
        <w:t> </w:t>
      </w:r>
      <w:r>
        <w:rPr>
          <w:color w:val="231F20"/>
          <w:spacing w:val="-3"/>
          <w:w w:val="105"/>
        </w:rPr>
        <w:t>siempre,</w:t>
      </w:r>
      <w:r>
        <w:rPr>
          <w:color w:val="231F20"/>
          <w:spacing w:val="-24"/>
          <w:w w:val="105"/>
        </w:rPr>
        <w:t> </w:t>
      </w:r>
      <w:r>
        <w:rPr>
          <w:color w:val="231F20"/>
          <w:w w:val="105"/>
        </w:rPr>
        <w:t>al</w:t>
      </w:r>
      <w:r>
        <w:rPr>
          <w:color w:val="231F20"/>
          <w:spacing w:val="-18"/>
          <w:w w:val="105"/>
        </w:rPr>
        <w:t> </w:t>
      </w:r>
      <w:r>
        <w:rPr>
          <w:color w:val="231F20"/>
          <w:w w:val="105"/>
        </w:rPr>
        <w:t>principio</w:t>
      </w:r>
      <w:r>
        <w:rPr>
          <w:color w:val="231F20"/>
          <w:spacing w:val="-18"/>
          <w:w w:val="105"/>
        </w:rPr>
        <w:t> </w:t>
      </w:r>
      <w:r>
        <w:rPr>
          <w:color w:val="231F20"/>
          <w:w w:val="105"/>
        </w:rPr>
        <w:t>o</w:t>
      </w:r>
      <w:r>
        <w:rPr>
          <w:color w:val="231F20"/>
          <w:spacing w:val="-18"/>
          <w:w w:val="105"/>
        </w:rPr>
        <w:t> </w:t>
      </w:r>
      <w:r>
        <w:rPr>
          <w:color w:val="231F20"/>
          <w:w w:val="105"/>
        </w:rPr>
        <w:t>al</w:t>
      </w:r>
      <w:r>
        <w:rPr>
          <w:color w:val="231F20"/>
          <w:spacing w:val="-18"/>
          <w:w w:val="105"/>
        </w:rPr>
        <w:t> </w:t>
      </w:r>
      <w:r>
        <w:rPr>
          <w:color w:val="231F20"/>
          <w:w w:val="105"/>
        </w:rPr>
        <w:t>final</w:t>
      </w:r>
      <w:r>
        <w:rPr>
          <w:color w:val="231F20"/>
          <w:spacing w:val="-18"/>
          <w:w w:val="105"/>
        </w:rPr>
        <w:t> </w:t>
      </w:r>
      <w:r>
        <w:rPr>
          <w:color w:val="231F20"/>
          <w:w w:val="105"/>
        </w:rPr>
        <w:t>de</w:t>
      </w:r>
      <w:r>
        <w:rPr>
          <w:color w:val="231F20"/>
          <w:spacing w:val="-18"/>
          <w:w w:val="105"/>
        </w:rPr>
        <w:t> </w:t>
      </w:r>
      <w:r>
        <w:rPr>
          <w:color w:val="231F20"/>
          <w:w w:val="105"/>
        </w:rPr>
        <w:t>sus</w:t>
      </w:r>
      <w:r>
        <w:rPr>
          <w:color w:val="231F20"/>
          <w:spacing w:val="-18"/>
          <w:w w:val="105"/>
        </w:rPr>
        <w:t> </w:t>
      </w:r>
      <w:r>
        <w:rPr>
          <w:color w:val="231F20"/>
          <w:w w:val="105"/>
        </w:rPr>
        <w:t>estancias;</w:t>
      </w:r>
      <w:r>
        <w:rPr>
          <w:color w:val="231F20"/>
          <w:spacing w:val="-18"/>
          <w:w w:val="105"/>
        </w:rPr>
        <w:t> </w:t>
      </w:r>
      <w:r>
        <w:rPr>
          <w:color w:val="231F20"/>
          <w:w w:val="105"/>
        </w:rPr>
        <w:t>incluso esta</w:t>
      </w:r>
      <w:r>
        <w:rPr>
          <w:color w:val="231F20"/>
          <w:spacing w:val="-30"/>
          <w:w w:val="105"/>
        </w:rPr>
        <w:t> </w:t>
      </w:r>
      <w:r>
        <w:rPr>
          <w:color w:val="231F20"/>
          <w:w w:val="105"/>
        </w:rPr>
        <w:t>mitad</w:t>
      </w:r>
      <w:r>
        <w:rPr>
          <w:color w:val="231F20"/>
          <w:spacing w:val="-30"/>
          <w:w w:val="105"/>
        </w:rPr>
        <w:t> </w:t>
      </w:r>
      <w:r>
        <w:rPr>
          <w:color w:val="231F20"/>
          <w:w w:val="105"/>
        </w:rPr>
        <w:t>asegura</w:t>
      </w:r>
      <w:r>
        <w:rPr>
          <w:color w:val="231F20"/>
          <w:spacing w:val="-30"/>
          <w:w w:val="105"/>
        </w:rPr>
        <w:t> </w:t>
      </w:r>
      <w:r>
        <w:rPr>
          <w:color w:val="231F20"/>
          <w:w w:val="105"/>
        </w:rPr>
        <w:t>que</w:t>
      </w:r>
      <w:r>
        <w:rPr>
          <w:color w:val="231F20"/>
          <w:spacing w:val="-30"/>
          <w:w w:val="105"/>
        </w:rPr>
        <w:t> </w:t>
      </w:r>
      <w:r>
        <w:rPr>
          <w:color w:val="231F20"/>
          <w:w w:val="105"/>
        </w:rPr>
        <w:t>sufría</w:t>
      </w:r>
      <w:r>
        <w:rPr>
          <w:color w:val="231F20"/>
          <w:spacing w:val="-30"/>
          <w:w w:val="105"/>
        </w:rPr>
        <w:t> </w:t>
      </w:r>
      <w:r>
        <w:rPr>
          <w:color w:val="231F20"/>
          <w:w w:val="105"/>
        </w:rPr>
        <w:t>episodios</w:t>
      </w:r>
      <w:r>
        <w:rPr>
          <w:color w:val="231F20"/>
          <w:spacing w:val="-30"/>
          <w:w w:val="105"/>
        </w:rPr>
        <w:t> </w:t>
      </w:r>
      <w:r>
        <w:rPr>
          <w:color w:val="231F20"/>
          <w:w w:val="105"/>
        </w:rPr>
        <w:t>de</w:t>
      </w:r>
      <w:r>
        <w:rPr>
          <w:color w:val="231F20"/>
          <w:spacing w:val="-30"/>
          <w:w w:val="105"/>
        </w:rPr>
        <w:t> </w:t>
      </w:r>
      <w:r>
        <w:rPr>
          <w:color w:val="231F20"/>
          <w:spacing w:val="-3"/>
          <w:w w:val="105"/>
        </w:rPr>
        <w:t>estrés</w:t>
      </w:r>
      <w:r>
        <w:rPr>
          <w:color w:val="231F20"/>
          <w:spacing w:val="-30"/>
          <w:w w:val="105"/>
        </w:rPr>
        <w:t> </w:t>
      </w:r>
      <w:r>
        <w:rPr>
          <w:color w:val="231F20"/>
          <w:w w:val="105"/>
        </w:rPr>
        <w:t>y</w:t>
      </w:r>
      <w:r>
        <w:rPr>
          <w:color w:val="231F20"/>
          <w:spacing w:val="-30"/>
          <w:w w:val="105"/>
        </w:rPr>
        <w:t> </w:t>
      </w:r>
      <w:r>
        <w:rPr>
          <w:color w:val="231F20"/>
          <w:w w:val="105"/>
        </w:rPr>
        <w:t>ansiedad.</w:t>
      </w:r>
    </w:p>
    <w:p>
      <w:pPr>
        <w:pStyle w:val="BodyText"/>
        <w:spacing w:before="8"/>
        <w:rPr>
          <w:sz w:val="22"/>
        </w:rPr>
      </w:pPr>
    </w:p>
    <w:p>
      <w:pPr>
        <w:spacing w:before="0"/>
        <w:ind w:left="1837" w:right="0" w:firstLine="0"/>
        <w:jc w:val="both"/>
        <w:rPr>
          <w:rFonts w:ascii="Arial"/>
          <w:i/>
          <w:sz w:val="21"/>
        </w:rPr>
      </w:pPr>
      <w:r>
        <w:rPr>
          <w:rFonts w:ascii="Arial"/>
          <w:i/>
          <w:color w:val="231F20"/>
          <w:w w:val="105"/>
          <w:sz w:val="21"/>
        </w:rPr>
        <w:t>Experiencia laboral y conocimiento aprendido</w:t>
      </w:r>
    </w:p>
    <w:p>
      <w:pPr>
        <w:pStyle w:val="BodyText"/>
        <w:spacing w:before="5"/>
        <w:rPr>
          <w:rFonts w:ascii="Arial"/>
          <w:i/>
          <w:sz w:val="24"/>
        </w:rPr>
      </w:pPr>
    </w:p>
    <w:p>
      <w:pPr>
        <w:pStyle w:val="BodyText"/>
        <w:spacing w:line="261" w:lineRule="auto" w:before="1"/>
        <w:ind w:left="1837" w:right="1721"/>
        <w:jc w:val="both"/>
      </w:pPr>
      <w:r>
        <w:rPr>
          <w:color w:val="231F20"/>
          <w:w w:val="105"/>
        </w:rPr>
        <w:t>A</w:t>
      </w:r>
      <w:r>
        <w:rPr>
          <w:color w:val="231F20"/>
          <w:spacing w:val="-21"/>
          <w:w w:val="105"/>
        </w:rPr>
        <w:t> </w:t>
      </w:r>
      <w:r>
        <w:rPr>
          <w:color w:val="231F20"/>
          <w:w w:val="105"/>
        </w:rPr>
        <w:t>nivel</w:t>
      </w:r>
      <w:r>
        <w:rPr>
          <w:color w:val="231F20"/>
          <w:spacing w:val="-17"/>
          <w:w w:val="105"/>
        </w:rPr>
        <w:t> </w:t>
      </w:r>
      <w:r>
        <w:rPr>
          <w:color w:val="231F20"/>
          <w:w w:val="105"/>
        </w:rPr>
        <w:t>de</w:t>
      </w:r>
      <w:r>
        <w:rPr>
          <w:color w:val="231F20"/>
          <w:spacing w:val="-17"/>
          <w:w w:val="105"/>
        </w:rPr>
        <w:t> </w:t>
      </w:r>
      <w:r>
        <w:rPr>
          <w:color w:val="231F20"/>
          <w:w w:val="105"/>
        </w:rPr>
        <w:t>renglón,</w:t>
      </w:r>
      <w:r>
        <w:rPr>
          <w:color w:val="231F20"/>
          <w:spacing w:val="-23"/>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cuadro</w:t>
      </w:r>
      <w:r>
        <w:rPr>
          <w:color w:val="231F20"/>
          <w:spacing w:val="-17"/>
          <w:w w:val="105"/>
        </w:rPr>
        <w:t> </w:t>
      </w:r>
      <w:r>
        <w:rPr>
          <w:color w:val="231F20"/>
          <w:w w:val="105"/>
        </w:rPr>
        <w:t>4</w:t>
      </w:r>
      <w:r>
        <w:rPr>
          <w:color w:val="231F20"/>
          <w:spacing w:val="-17"/>
          <w:w w:val="105"/>
        </w:rPr>
        <w:t> </w:t>
      </w:r>
      <w:r>
        <w:rPr>
          <w:color w:val="231F20"/>
          <w:w w:val="105"/>
        </w:rPr>
        <w:t>los</w:t>
      </w:r>
      <w:r>
        <w:rPr>
          <w:color w:val="231F20"/>
          <w:spacing w:val="-17"/>
          <w:w w:val="105"/>
        </w:rPr>
        <w:t> </w:t>
      </w:r>
      <w:r>
        <w:rPr>
          <w:color w:val="231F20"/>
          <w:w w:val="105"/>
        </w:rPr>
        <w:t>porcentajes</w:t>
      </w:r>
      <w:r>
        <w:rPr>
          <w:color w:val="231F20"/>
          <w:spacing w:val="-17"/>
          <w:w w:val="105"/>
        </w:rPr>
        <w:t> </w:t>
      </w:r>
      <w:r>
        <w:rPr>
          <w:color w:val="231F20"/>
          <w:w w:val="105"/>
        </w:rPr>
        <w:t>entre</w:t>
      </w:r>
      <w:r>
        <w:rPr>
          <w:color w:val="231F20"/>
          <w:spacing w:val="-17"/>
          <w:w w:val="105"/>
        </w:rPr>
        <w:t> </w:t>
      </w:r>
      <w:r>
        <w:rPr>
          <w:color w:val="231F20"/>
          <w:w w:val="105"/>
        </w:rPr>
        <w:t>paréntesis</w:t>
      </w:r>
      <w:r>
        <w:rPr>
          <w:color w:val="231F20"/>
          <w:spacing w:val="-17"/>
          <w:w w:val="105"/>
        </w:rPr>
        <w:t> </w:t>
      </w:r>
      <w:r>
        <w:rPr>
          <w:color w:val="231F20"/>
          <w:w w:val="105"/>
        </w:rPr>
        <w:t>mues- tran que más de dos tercios de los retornados partieron de la entidad llevando conocimientos básicos (68.7%), casi una cuarta parte</w:t>
      </w:r>
      <w:r>
        <w:rPr>
          <w:color w:val="231F20"/>
          <w:spacing w:val="-24"/>
          <w:w w:val="105"/>
        </w:rPr>
        <w:t> </w:t>
      </w:r>
      <w:r>
        <w:rPr>
          <w:color w:val="231F20"/>
          <w:w w:val="105"/>
        </w:rPr>
        <w:t>llevaron conocimiento</w:t>
      </w:r>
      <w:r>
        <w:rPr>
          <w:color w:val="231F20"/>
          <w:spacing w:val="-6"/>
          <w:w w:val="105"/>
        </w:rPr>
        <w:t> </w:t>
      </w:r>
      <w:r>
        <w:rPr>
          <w:color w:val="231F20"/>
          <w:w w:val="105"/>
        </w:rPr>
        <w:t>calificado</w:t>
      </w:r>
      <w:r>
        <w:rPr>
          <w:color w:val="231F20"/>
          <w:spacing w:val="-6"/>
          <w:w w:val="105"/>
        </w:rPr>
        <w:t> </w:t>
      </w:r>
      <w:r>
        <w:rPr>
          <w:color w:val="231F20"/>
          <w:w w:val="105"/>
        </w:rPr>
        <w:t>(23.7%),</w:t>
      </w:r>
      <w:r>
        <w:rPr>
          <w:color w:val="231F20"/>
          <w:spacing w:val="-11"/>
          <w:w w:val="105"/>
        </w:rPr>
        <w:t> </w:t>
      </w:r>
      <w:r>
        <w:rPr>
          <w:color w:val="231F20"/>
          <w:w w:val="105"/>
        </w:rPr>
        <w:t>mientras</w:t>
      </w:r>
      <w:r>
        <w:rPr>
          <w:color w:val="231F20"/>
          <w:spacing w:val="-6"/>
          <w:w w:val="105"/>
        </w:rPr>
        <w:t> </w:t>
      </w:r>
      <w:r>
        <w:rPr>
          <w:color w:val="231F20"/>
          <w:w w:val="105"/>
        </w:rPr>
        <w:t>los</w:t>
      </w:r>
      <w:r>
        <w:rPr>
          <w:color w:val="231F20"/>
          <w:spacing w:val="-6"/>
          <w:w w:val="105"/>
        </w:rPr>
        <w:t> </w:t>
      </w:r>
      <w:r>
        <w:rPr>
          <w:color w:val="231F20"/>
          <w:w w:val="105"/>
        </w:rPr>
        <w:t>restantes</w:t>
      </w:r>
      <w:r>
        <w:rPr>
          <w:color w:val="231F20"/>
          <w:spacing w:val="-6"/>
          <w:w w:val="105"/>
        </w:rPr>
        <w:t> </w:t>
      </w:r>
      <w:r>
        <w:rPr>
          <w:color w:val="231F20"/>
          <w:w w:val="105"/>
        </w:rPr>
        <w:t>no</w:t>
      </w:r>
      <w:r>
        <w:rPr>
          <w:color w:val="231F20"/>
          <w:spacing w:val="-6"/>
          <w:w w:val="105"/>
        </w:rPr>
        <w:t> </w:t>
      </w:r>
      <w:r>
        <w:rPr>
          <w:color w:val="231F20"/>
          <w:w w:val="105"/>
        </w:rPr>
        <w:t>tenían</w:t>
      </w:r>
      <w:r>
        <w:rPr>
          <w:color w:val="231F20"/>
          <w:spacing w:val="-6"/>
          <w:w w:val="105"/>
        </w:rPr>
        <w:t> </w:t>
      </w:r>
      <w:r>
        <w:rPr>
          <w:color w:val="231F20"/>
          <w:w w:val="105"/>
        </w:rPr>
        <w:t>expe- riencia laboral. A nivel de columna, se muestra que en </w:t>
      </w:r>
      <w:r>
        <w:rPr>
          <w:color w:val="231F20"/>
          <w:spacing w:val="-5"/>
          <w:w w:val="105"/>
        </w:rPr>
        <w:t>Texas </w:t>
      </w:r>
      <w:r>
        <w:rPr>
          <w:color w:val="231F20"/>
          <w:w w:val="105"/>
        </w:rPr>
        <w:t>poco</w:t>
      </w:r>
      <w:r>
        <w:rPr>
          <w:color w:val="231F20"/>
          <w:spacing w:val="-25"/>
          <w:w w:val="105"/>
        </w:rPr>
        <w:t> </w:t>
      </w:r>
      <w:r>
        <w:rPr>
          <w:color w:val="231F20"/>
          <w:w w:val="105"/>
        </w:rPr>
        <w:t>más de</w:t>
      </w:r>
      <w:r>
        <w:rPr>
          <w:color w:val="231F20"/>
          <w:spacing w:val="-19"/>
          <w:w w:val="105"/>
        </w:rPr>
        <w:t> </w:t>
      </w:r>
      <w:r>
        <w:rPr>
          <w:color w:val="231F20"/>
          <w:w w:val="105"/>
        </w:rPr>
        <w:t>la</w:t>
      </w:r>
      <w:r>
        <w:rPr>
          <w:color w:val="231F20"/>
          <w:spacing w:val="-19"/>
          <w:w w:val="105"/>
        </w:rPr>
        <w:t> </w:t>
      </w:r>
      <w:r>
        <w:rPr>
          <w:color w:val="231F20"/>
          <w:w w:val="105"/>
        </w:rPr>
        <w:t>mitad</w:t>
      </w:r>
      <w:r>
        <w:rPr>
          <w:color w:val="231F20"/>
          <w:spacing w:val="-19"/>
          <w:w w:val="105"/>
        </w:rPr>
        <w:t> </w:t>
      </w:r>
      <w:r>
        <w:rPr>
          <w:color w:val="231F20"/>
          <w:w w:val="105"/>
        </w:rPr>
        <w:t>de</w:t>
      </w:r>
      <w:r>
        <w:rPr>
          <w:color w:val="231F20"/>
          <w:spacing w:val="-19"/>
          <w:w w:val="105"/>
        </w:rPr>
        <w:t> </w:t>
      </w:r>
      <w:r>
        <w:rPr>
          <w:color w:val="231F20"/>
          <w:w w:val="105"/>
        </w:rPr>
        <w:t>retornados</w:t>
      </w:r>
      <w:r>
        <w:rPr>
          <w:color w:val="231F20"/>
          <w:spacing w:val="-19"/>
          <w:w w:val="105"/>
        </w:rPr>
        <w:t> </w:t>
      </w:r>
      <w:r>
        <w:rPr>
          <w:color w:val="231F20"/>
          <w:w w:val="105"/>
        </w:rPr>
        <w:t>realizaron</w:t>
      </w:r>
      <w:r>
        <w:rPr>
          <w:color w:val="231F20"/>
          <w:spacing w:val="-19"/>
          <w:w w:val="105"/>
        </w:rPr>
        <w:t> </w:t>
      </w:r>
      <w:r>
        <w:rPr>
          <w:color w:val="231F20"/>
          <w:w w:val="105"/>
        </w:rPr>
        <w:t>tareas</w:t>
      </w:r>
      <w:r>
        <w:rPr>
          <w:color w:val="231F20"/>
          <w:spacing w:val="-19"/>
          <w:w w:val="105"/>
        </w:rPr>
        <w:t> </w:t>
      </w:r>
      <w:r>
        <w:rPr>
          <w:color w:val="231F20"/>
          <w:w w:val="105"/>
        </w:rPr>
        <w:t>que</w:t>
      </w:r>
      <w:r>
        <w:rPr>
          <w:color w:val="231F20"/>
          <w:spacing w:val="-19"/>
          <w:w w:val="105"/>
        </w:rPr>
        <w:t> </w:t>
      </w:r>
      <w:r>
        <w:rPr>
          <w:color w:val="231F20"/>
          <w:w w:val="105"/>
        </w:rPr>
        <w:t>requerían</w:t>
      </w:r>
      <w:r>
        <w:rPr>
          <w:color w:val="231F20"/>
          <w:spacing w:val="-19"/>
          <w:w w:val="105"/>
        </w:rPr>
        <w:t> </w:t>
      </w:r>
      <w:r>
        <w:rPr>
          <w:color w:val="231F20"/>
          <w:w w:val="105"/>
        </w:rPr>
        <w:t>conocimientos laborales</w:t>
      </w:r>
      <w:r>
        <w:rPr>
          <w:color w:val="231F20"/>
          <w:spacing w:val="-9"/>
          <w:w w:val="105"/>
        </w:rPr>
        <w:t> </w:t>
      </w:r>
      <w:r>
        <w:rPr>
          <w:color w:val="231F20"/>
          <w:w w:val="105"/>
        </w:rPr>
        <w:t>calificados</w:t>
      </w:r>
      <w:r>
        <w:rPr>
          <w:color w:val="231F20"/>
          <w:spacing w:val="-9"/>
          <w:w w:val="105"/>
        </w:rPr>
        <w:t> </w:t>
      </w:r>
      <w:r>
        <w:rPr>
          <w:color w:val="231F20"/>
          <w:w w:val="105"/>
        </w:rPr>
        <w:t>(53.7%).</w:t>
      </w:r>
      <w:r>
        <w:rPr>
          <w:color w:val="231F20"/>
          <w:spacing w:val="-15"/>
          <w:w w:val="105"/>
        </w:rPr>
        <w:t> </w:t>
      </w:r>
      <w:r>
        <w:rPr>
          <w:color w:val="231F20"/>
          <w:w w:val="105"/>
        </w:rPr>
        <w:t>Esto</w:t>
      </w:r>
      <w:r>
        <w:rPr>
          <w:color w:val="231F20"/>
          <w:spacing w:val="-9"/>
          <w:w w:val="105"/>
        </w:rPr>
        <w:t> </w:t>
      </w:r>
      <w:r>
        <w:rPr>
          <w:color w:val="231F20"/>
          <w:w w:val="105"/>
        </w:rPr>
        <w:t>sugiere</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experiencia</w:t>
      </w:r>
      <w:r>
        <w:rPr>
          <w:color w:val="231F20"/>
          <w:spacing w:val="-9"/>
          <w:w w:val="105"/>
        </w:rPr>
        <w:t> </w:t>
      </w:r>
      <w:r>
        <w:rPr>
          <w:color w:val="231F20"/>
          <w:w w:val="105"/>
        </w:rPr>
        <w:t>de</w:t>
      </w:r>
      <w:r>
        <w:rPr>
          <w:color w:val="231F20"/>
          <w:spacing w:val="-9"/>
          <w:w w:val="105"/>
        </w:rPr>
        <w:t> </w:t>
      </w:r>
      <w:r>
        <w:rPr>
          <w:color w:val="231F20"/>
          <w:w w:val="105"/>
        </w:rPr>
        <w:t>migra- ción</w:t>
      </w:r>
      <w:r>
        <w:rPr>
          <w:color w:val="231F20"/>
          <w:spacing w:val="-8"/>
          <w:w w:val="105"/>
        </w:rPr>
        <w:t> </w:t>
      </w:r>
      <w:r>
        <w:rPr>
          <w:color w:val="231F20"/>
          <w:w w:val="105"/>
        </w:rPr>
        <w:t>hacia</w:t>
      </w:r>
      <w:r>
        <w:rPr>
          <w:color w:val="231F20"/>
          <w:spacing w:val="-13"/>
          <w:w w:val="105"/>
        </w:rPr>
        <w:t> </w:t>
      </w:r>
      <w:r>
        <w:rPr>
          <w:color w:val="231F20"/>
          <w:spacing w:val="-5"/>
          <w:w w:val="105"/>
        </w:rPr>
        <w:t>Texas</w:t>
      </w:r>
      <w:r>
        <w:rPr>
          <w:color w:val="231F20"/>
          <w:spacing w:val="-8"/>
          <w:w w:val="105"/>
        </w:rPr>
        <w:t> </w:t>
      </w:r>
      <w:r>
        <w:rPr>
          <w:color w:val="231F20"/>
          <w:w w:val="105"/>
        </w:rPr>
        <w:t>facilitó</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entidad</w:t>
      </w:r>
      <w:r>
        <w:rPr>
          <w:color w:val="231F20"/>
          <w:spacing w:val="-8"/>
          <w:w w:val="105"/>
        </w:rPr>
        <w:t> </w:t>
      </w:r>
      <w:r>
        <w:rPr>
          <w:color w:val="231F20"/>
          <w:w w:val="105"/>
        </w:rPr>
        <w:t>ganar</w:t>
      </w:r>
      <w:r>
        <w:rPr>
          <w:color w:val="231F20"/>
          <w:spacing w:val="-8"/>
          <w:w w:val="105"/>
        </w:rPr>
        <w:t> </w:t>
      </w:r>
      <w:r>
        <w:rPr>
          <w:color w:val="231F20"/>
          <w:w w:val="105"/>
        </w:rPr>
        <w:t>conocimientos</w:t>
      </w:r>
      <w:r>
        <w:rPr>
          <w:color w:val="231F20"/>
          <w:spacing w:val="-8"/>
          <w:w w:val="105"/>
        </w:rPr>
        <w:t> </w:t>
      </w:r>
      <w:r>
        <w:rPr>
          <w:color w:val="231F20"/>
          <w:w w:val="105"/>
        </w:rPr>
        <w:t>calificados</w:t>
      </w:r>
      <w:r>
        <w:rPr>
          <w:color w:val="231F20"/>
          <w:spacing w:val="-8"/>
          <w:w w:val="105"/>
        </w:rPr>
        <w:t> </w:t>
      </w:r>
      <w:r>
        <w:rPr>
          <w:color w:val="231F20"/>
          <w:w w:val="105"/>
        </w:rPr>
        <w:t>en tareas</w:t>
      </w:r>
      <w:r>
        <w:rPr>
          <w:color w:val="231F20"/>
          <w:spacing w:val="-31"/>
          <w:w w:val="105"/>
        </w:rPr>
        <w:t> </w:t>
      </w:r>
      <w:r>
        <w:rPr>
          <w:color w:val="231F20"/>
          <w:w w:val="105"/>
        </w:rPr>
        <w:t>laborales.</w:t>
      </w:r>
      <w:r>
        <w:rPr>
          <w:color w:val="231F20"/>
          <w:spacing w:val="-34"/>
          <w:w w:val="105"/>
        </w:rPr>
        <w:t> </w:t>
      </w:r>
      <w:r>
        <w:rPr>
          <w:color w:val="231F20"/>
          <w:w w:val="105"/>
        </w:rPr>
        <w:t>Es</w:t>
      </w:r>
      <w:r>
        <w:rPr>
          <w:color w:val="231F20"/>
          <w:spacing w:val="-31"/>
          <w:w w:val="105"/>
        </w:rPr>
        <w:t> </w:t>
      </w:r>
      <w:r>
        <w:rPr>
          <w:color w:val="231F20"/>
          <w:w w:val="105"/>
        </w:rPr>
        <w:t>decir,</w:t>
      </w:r>
      <w:r>
        <w:rPr>
          <w:color w:val="231F20"/>
          <w:spacing w:val="-34"/>
          <w:w w:val="105"/>
        </w:rPr>
        <w:t> </w:t>
      </w:r>
      <w:r>
        <w:rPr>
          <w:color w:val="231F20"/>
          <w:w w:val="105"/>
        </w:rPr>
        <w:t>antes</w:t>
      </w:r>
      <w:r>
        <w:rPr>
          <w:color w:val="231F20"/>
          <w:spacing w:val="-31"/>
          <w:w w:val="105"/>
        </w:rPr>
        <w:t> </w:t>
      </w:r>
      <w:r>
        <w:rPr>
          <w:color w:val="231F20"/>
          <w:w w:val="105"/>
        </w:rPr>
        <w:t>de</w:t>
      </w:r>
      <w:r>
        <w:rPr>
          <w:color w:val="231F20"/>
          <w:spacing w:val="-31"/>
          <w:w w:val="105"/>
        </w:rPr>
        <w:t> </w:t>
      </w:r>
      <w:r>
        <w:rPr>
          <w:color w:val="231F20"/>
          <w:w w:val="105"/>
        </w:rPr>
        <w:t>emigrar</w:t>
      </w:r>
      <w:r>
        <w:rPr>
          <w:color w:val="231F20"/>
          <w:spacing w:val="-31"/>
          <w:w w:val="105"/>
        </w:rPr>
        <w:t> </w:t>
      </w:r>
      <w:r>
        <w:rPr>
          <w:color w:val="231F20"/>
          <w:w w:val="105"/>
        </w:rPr>
        <w:t>sólo</w:t>
      </w:r>
      <w:r>
        <w:rPr>
          <w:color w:val="231F20"/>
          <w:spacing w:val="-31"/>
          <w:w w:val="105"/>
        </w:rPr>
        <w:t> </w:t>
      </w:r>
      <w:r>
        <w:rPr>
          <w:color w:val="231F20"/>
          <w:w w:val="105"/>
        </w:rPr>
        <w:t>diecinueve</w:t>
      </w:r>
      <w:r>
        <w:rPr>
          <w:color w:val="231F20"/>
          <w:spacing w:val="-31"/>
          <w:w w:val="105"/>
        </w:rPr>
        <w:t> </w:t>
      </w:r>
      <w:r>
        <w:rPr>
          <w:color w:val="231F20"/>
          <w:w w:val="105"/>
        </w:rPr>
        <w:t>mexiquenses poseían</w:t>
      </w:r>
      <w:r>
        <w:rPr>
          <w:color w:val="231F20"/>
          <w:spacing w:val="-24"/>
          <w:w w:val="105"/>
        </w:rPr>
        <w:t> </w:t>
      </w:r>
      <w:r>
        <w:rPr>
          <w:color w:val="231F20"/>
          <w:w w:val="105"/>
        </w:rPr>
        <w:t>conocimiento</w:t>
      </w:r>
      <w:r>
        <w:rPr>
          <w:color w:val="231F20"/>
          <w:spacing w:val="-24"/>
          <w:w w:val="105"/>
        </w:rPr>
        <w:t> </w:t>
      </w:r>
      <w:r>
        <w:rPr>
          <w:color w:val="231F20"/>
          <w:w w:val="105"/>
        </w:rPr>
        <w:t>laboral</w:t>
      </w:r>
      <w:r>
        <w:rPr>
          <w:color w:val="231F20"/>
          <w:spacing w:val="-24"/>
          <w:w w:val="105"/>
        </w:rPr>
        <w:t> </w:t>
      </w:r>
      <w:r>
        <w:rPr>
          <w:color w:val="231F20"/>
          <w:w w:val="105"/>
        </w:rPr>
        <w:t>calificado,</w:t>
      </w:r>
      <w:r>
        <w:rPr>
          <w:color w:val="231F20"/>
          <w:spacing w:val="-30"/>
          <w:w w:val="105"/>
        </w:rPr>
        <w:t> </w:t>
      </w:r>
      <w:r>
        <w:rPr>
          <w:color w:val="231F20"/>
          <w:w w:val="105"/>
        </w:rPr>
        <w:t>al</w:t>
      </w:r>
      <w:r>
        <w:rPr>
          <w:color w:val="231F20"/>
          <w:spacing w:val="-24"/>
          <w:w w:val="105"/>
        </w:rPr>
        <w:t> </w:t>
      </w:r>
      <w:r>
        <w:rPr>
          <w:color w:val="231F20"/>
          <w:w w:val="105"/>
        </w:rPr>
        <w:t>retorno</w:t>
      </w:r>
      <w:r>
        <w:rPr>
          <w:color w:val="231F20"/>
          <w:spacing w:val="-24"/>
          <w:w w:val="105"/>
        </w:rPr>
        <w:t> </w:t>
      </w:r>
      <w:r>
        <w:rPr>
          <w:color w:val="231F20"/>
          <w:w w:val="105"/>
        </w:rPr>
        <w:t>son</w:t>
      </w:r>
      <w:r>
        <w:rPr>
          <w:color w:val="231F20"/>
          <w:spacing w:val="-24"/>
          <w:w w:val="105"/>
        </w:rPr>
        <w:t> </w:t>
      </w:r>
      <w:r>
        <w:rPr>
          <w:color w:val="231F20"/>
          <w:w w:val="105"/>
        </w:rPr>
        <w:t>cuarenta</w:t>
      </w:r>
      <w:r>
        <w:rPr>
          <w:color w:val="231F20"/>
          <w:spacing w:val="-24"/>
          <w:w w:val="105"/>
        </w:rPr>
        <w:t> </w:t>
      </w:r>
      <w:r>
        <w:rPr>
          <w:color w:val="231F20"/>
          <w:w w:val="105"/>
        </w:rPr>
        <w:t>y</w:t>
      </w:r>
      <w:r>
        <w:rPr>
          <w:color w:val="231F20"/>
          <w:spacing w:val="-24"/>
          <w:w w:val="105"/>
        </w:rPr>
        <w:t> </w:t>
      </w:r>
      <w:r>
        <w:rPr>
          <w:color w:val="231F20"/>
          <w:w w:val="105"/>
        </w:rPr>
        <w:t>tres</w:t>
      </w:r>
      <w:r>
        <w:rPr>
          <w:color w:val="231F20"/>
          <w:spacing w:val="-24"/>
          <w:w w:val="105"/>
        </w:rPr>
        <w:t> </w:t>
      </w:r>
      <w:r>
        <w:rPr>
          <w:color w:val="231F20"/>
          <w:w w:val="105"/>
        </w:rPr>
        <w:t>los que</w:t>
      </w:r>
      <w:r>
        <w:rPr>
          <w:color w:val="231F20"/>
          <w:spacing w:val="-12"/>
          <w:w w:val="105"/>
        </w:rPr>
        <w:t> </w:t>
      </w:r>
      <w:r>
        <w:rPr>
          <w:color w:val="231F20"/>
          <w:w w:val="105"/>
        </w:rPr>
        <w:t>en</w:t>
      </w:r>
      <w:r>
        <w:rPr>
          <w:color w:val="231F20"/>
          <w:spacing w:val="-12"/>
          <w:w w:val="105"/>
        </w:rPr>
        <w:t> </w:t>
      </w:r>
      <w:r>
        <w:rPr>
          <w:color w:val="231F20"/>
          <w:w w:val="105"/>
        </w:rPr>
        <w:t>potencia</w:t>
      </w:r>
      <w:r>
        <w:rPr>
          <w:color w:val="231F20"/>
          <w:spacing w:val="-12"/>
          <w:w w:val="105"/>
        </w:rPr>
        <w:t> </w:t>
      </w:r>
      <w:r>
        <w:rPr>
          <w:color w:val="231F20"/>
          <w:w w:val="105"/>
        </w:rPr>
        <w:t>pueden</w:t>
      </w:r>
      <w:r>
        <w:rPr>
          <w:color w:val="231F20"/>
          <w:spacing w:val="-12"/>
          <w:w w:val="105"/>
        </w:rPr>
        <w:t> </w:t>
      </w:r>
      <w:r>
        <w:rPr>
          <w:color w:val="231F20"/>
          <w:w w:val="105"/>
        </w:rPr>
        <w:t>desempeñar</w:t>
      </w:r>
      <w:r>
        <w:rPr>
          <w:color w:val="231F20"/>
          <w:spacing w:val="-12"/>
          <w:w w:val="105"/>
        </w:rPr>
        <w:t> </w:t>
      </w:r>
      <w:r>
        <w:rPr>
          <w:color w:val="231F20"/>
          <w:w w:val="105"/>
        </w:rPr>
        <w:t>labores</w:t>
      </w:r>
      <w:r>
        <w:rPr>
          <w:color w:val="231F20"/>
          <w:spacing w:val="-12"/>
          <w:w w:val="105"/>
        </w:rPr>
        <w:t> </w:t>
      </w:r>
      <w:r>
        <w:rPr>
          <w:color w:val="231F20"/>
          <w:w w:val="105"/>
        </w:rPr>
        <w:t>calificadas</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entidad.</w:t>
      </w:r>
    </w:p>
    <w:p>
      <w:pPr>
        <w:pStyle w:val="BodyText"/>
        <w:spacing w:before="4"/>
      </w:pPr>
    </w:p>
    <w:p>
      <w:pPr>
        <w:spacing w:before="0"/>
        <w:ind w:left="3183" w:right="0" w:firstLine="0"/>
        <w:jc w:val="left"/>
        <w:rPr>
          <w:rFonts w:ascii="Arial" w:hAnsi="Arial"/>
          <w:sz w:val="18"/>
        </w:rPr>
      </w:pPr>
      <w:r>
        <w:rPr>
          <w:rFonts w:ascii="Arial" w:hAnsi="Arial"/>
          <w:color w:val="231F20"/>
          <w:w w:val="105"/>
          <w:sz w:val="18"/>
        </w:rPr>
        <w:t>Cuadro 4. Conocimiento llevado de México a Texas</w:t>
      </w:r>
    </w:p>
    <w:p>
      <w:pPr>
        <w:pStyle w:val="BodyText"/>
        <w:spacing w:before="5"/>
        <w:rPr>
          <w:rFonts w:ascii="Arial"/>
          <w:sz w:val="13"/>
        </w:rPr>
      </w:pPr>
    </w:p>
    <w:tbl>
      <w:tblPr>
        <w:tblW w:w="0" w:type="auto"/>
        <w:jc w:val="left"/>
        <w:tblInd w:w="1842"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507"/>
        <w:gridCol w:w="1034"/>
        <w:gridCol w:w="1200"/>
        <w:gridCol w:w="1200"/>
        <w:gridCol w:w="960"/>
      </w:tblGrid>
      <w:tr>
        <w:trPr>
          <w:trHeight w:val="495" w:hRule="exact"/>
        </w:trPr>
        <w:tc>
          <w:tcPr>
            <w:tcW w:w="2507" w:type="dxa"/>
            <w:vMerge w:val="restart"/>
          </w:tcPr>
          <w:p>
            <w:pPr>
              <w:pStyle w:val="TableParagraph"/>
              <w:spacing w:before="0"/>
              <w:rPr>
                <w:rFonts w:ascii="Arial"/>
                <w:sz w:val="16"/>
              </w:rPr>
            </w:pPr>
          </w:p>
          <w:p>
            <w:pPr>
              <w:pStyle w:val="TableParagraph"/>
              <w:spacing w:before="0"/>
              <w:rPr>
                <w:rFonts w:ascii="Arial"/>
                <w:sz w:val="16"/>
              </w:rPr>
            </w:pPr>
          </w:p>
          <w:p>
            <w:pPr>
              <w:pStyle w:val="TableParagraph"/>
              <w:spacing w:before="7"/>
              <w:rPr>
                <w:rFonts w:ascii="Arial"/>
                <w:sz w:val="18"/>
              </w:rPr>
            </w:pPr>
          </w:p>
          <w:p>
            <w:pPr>
              <w:pStyle w:val="TableParagraph"/>
              <w:spacing w:line="249" w:lineRule="auto" w:before="0"/>
              <w:ind w:left="739" w:right="427" w:hanging="291"/>
              <w:rPr>
                <w:rFonts w:ascii="Arial" w:hAnsi="Arial"/>
                <w:sz w:val="16"/>
              </w:rPr>
            </w:pPr>
            <w:r>
              <w:rPr>
                <w:rFonts w:ascii="Arial" w:hAnsi="Arial"/>
                <w:color w:val="231F20"/>
                <w:w w:val="105"/>
                <w:sz w:val="16"/>
              </w:rPr>
              <w:t>Conocimiento llevado desde México</w:t>
            </w:r>
          </w:p>
        </w:tc>
        <w:tc>
          <w:tcPr>
            <w:tcW w:w="4394" w:type="dxa"/>
            <w:gridSpan w:val="4"/>
          </w:tcPr>
          <w:p>
            <w:pPr>
              <w:pStyle w:val="TableParagraph"/>
              <w:spacing w:before="9"/>
              <w:rPr>
                <w:rFonts w:ascii="Arial"/>
                <w:sz w:val="22"/>
              </w:rPr>
            </w:pPr>
          </w:p>
          <w:p>
            <w:pPr>
              <w:pStyle w:val="TableParagraph"/>
              <w:spacing w:before="0"/>
              <w:ind w:left="1250"/>
              <w:rPr>
                <w:rFonts w:ascii="Arial"/>
                <w:sz w:val="16"/>
              </w:rPr>
            </w:pPr>
            <w:r>
              <w:rPr>
                <w:rFonts w:ascii="Arial"/>
                <w:color w:val="231F20"/>
                <w:sz w:val="16"/>
              </w:rPr>
              <w:t>Tareas realizadas en Texas</w:t>
            </w:r>
          </w:p>
        </w:tc>
      </w:tr>
      <w:tr>
        <w:trPr>
          <w:trHeight w:val="512" w:hRule="exact"/>
        </w:trPr>
        <w:tc>
          <w:tcPr>
            <w:tcW w:w="2507" w:type="dxa"/>
            <w:vMerge/>
          </w:tcPr>
          <w:p>
            <w:pPr/>
          </w:p>
        </w:tc>
        <w:tc>
          <w:tcPr>
            <w:tcW w:w="1034" w:type="dxa"/>
          </w:tcPr>
          <w:p>
            <w:pPr>
              <w:pStyle w:val="TableParagraph"/>
              <w:spacing w:line="249" w:lineRule="auto" w:before="87"/>
              <w:ind w:left="139" w:firstLine="265"/>
              <w:rPr>
                <w:rFonts w:ascii="Arial"/>
                <w:sz w:val="16"/>
              </w:rPr>
            </w:pPr>
            <w:r>
              <w:rPr>
                <w:rFonts w:ascii="Arial"/>
                <w:color w:val="231F20"/>
                <w:w w:val="105"/>
                <w:sz w:val="16"/>
              </w:rPr>
              <w:t>No trabajaron</w:t>
            </w:r>
          </w:p>
        </w:tc>
        <w:tc>
          <w:tcPr>
            <w:tcW w:w="1200" w:type="dxa"/>
          </w:tcPr>
          <w:p>
            <w:pPr>
              <w:pStyle w:val="TableParagraph"/>
              <w:spacing w:line="249" w:lineRule="auto" w:before="87"/>
              <w:ind w:left="247" w:right="66" w:hanging="166"/>
              <w:rPr>
                <w:rFonts w:ascii="Arial"/>
                <w:sz w:val="16"/>
              </w:rPr>
            </w:pPr>
            <w:r>
              <w:rPr>
                <w:rFonts w:ascii="Arial"/>
                <w:color w:val="231F20"/>
                <w:w w:val="105"/>
                <w:sz w:val="16"/>
              </w:rPr>
              <w:t>Conocimiento calificado</w:t>
            </w:r>
          </w:p>
        </w:tc>
        <w:tc>
          <w:tcPr>
            <w:tcW w:w="1200" w:type="dxa"/>
          </w:tcPr>
          <w:p>
            <w:pPr>
              <w:pStyle w:val="TableParagraph"/>
              <w:spacing w:line="249" w:lineRule="auto" w:before="87"/>
              <w:ind w:left="360" w:right="66" w:hanging="279"/>
              <w:rPr>
                <w:rFonts w:ascii="Arial" w:hAnsi="Arial"/>
                <w:sz w:val="16"/>
              </w:rPr>
            </w:pPr>
            <w:r>
              <w:rPr>
                <w:rFonts w:ascii="Arial" w:hAnsi="Arial"/>
                <w:color w:val="231F20"/>
                <w:w w:val="105"/>
                <w:sz w:val="16"/>
              </w:rPr>
              <w:t>Conocimiento básico</w:t>
            </w:r>
          </w:p>
        </w:tc>
        <w:tc>
          <w:tcPr>
            <w:tcW w:w="960" w:type="dxa"/>
          </w:tcPr>
          <w:p>
            <w:pPr>
              <w:pStyle w:val="TableParagraph"/>
              <w:spacing w:before="0"/>
              <w:rPr>
                <w:rFonts w:ascii="Arial"/>
                <w:sz w:val="16"/>
              </w:rPr>
            </w:pPr>
          </w:p>
          <w:p>
            <w:pPr>
              <w:pStyle w:val="TableParagraph"/>
              <w:spacing w:before="95"/>
              <w:ind w:left="301"/>
              <w:rPr>
                <w:rFonts w:ascii="Arial"/>
                <w:sz w:val="16"/>
              </w:rPr>
            </w:pPr>
            <w:r>
              <w:rPr>
                <w:rFonts w:ascii="Arial"/>
                <w:color w:val="231F20"/>
                <w:w w:val="105"/>
                <w:sz w:val="16"/>
              </w:rPr>
              <w:t>Total</w:t>
            </w:r>
          </w:p>
        </w:tc>
      </w:tr>
      <w:tr>
        <w:trPr>
          <w:trHeight w:val="340" w:hRule="exact"/>
        </w:trPr>
        <w:tc>
          <w:tcPr>
            <w:tcW w:w="2507" w:type="dxa"/>
          </w:tcPr>
          <w:p>
            <w:pPr>
              <w:pStyle w:val="TableParagraph"/>
              <w:ind w:left="77" w:right="427"/>
              <w:rPr>
                <w:sz w:val="18"/>
              </w:rPr>
            </w:pPr>
            <w:r>
              <w:rPr>
                <w:color w:val="231F20"/>
                <w:w w:val="105"/>
                <w:sz w:val="18"/>
              </w:rPr>
              <w:t>Conocimiento básico</w:t>
            </w:r>
          </w:p>
        </w:tc>
        <w:tc>
          <w:tcPr>
            <w:tcW w:w="1034" w:type="dxa"/>
          </w:tcPr>
          <w:p>
            <w:pPr>
              <w:pStyle w:val="TableParagraph"/>
              <w:ind w:left="77"/>
              <w:rPr>
                <w:sz w:val="18"/>
              </w:rPr>
            </w:pPr>
            <w:r>
              <w:rPr>
                <w:color w:val="231F20"/>
                <w:w w:val="104"/>
                <w:sz w:val="18"/>
              </w:rPr>
              <w:t>0</w:t>
            </w:r>
          </w:p>
        </w:tc>
        <w:tc>
          <w:tcPr>
            <w:tcW w:w="1200" w:type="dxa"/>
          </w:tcPr>
          <w:p>
            <w:pPr>
              <w:pStyle w:val="TableParagraph"/>
              <w:ind w:left="77" w:right="66"/>
              <w:rPr>
                <w:sz w:val="18"/>
              </w:rPr>
            </w:pPr>
            <w:r>
              <w:rPr>
                <w:color w:val="231F20"/>
                <w:sz w:val="18"/>
              </w:rPr>
              <w:t>29 (52.7)</w:t>
            </w:r>
          </w:p>
        </w:tc>
        <w:tc>
          <w:tcPr>
            <w:tcW w:w="1200" w:type="dxa"/>
          </w:tcPr>
          <w:p>
            <w:pPr>
              <w:pStyle w:val="TableParagraph"/>
              <w:ind w:left="77" w:right="66"/>
              <w:rPr>
                <w:sz w:val="18"/>
              </w:rPr>
            </w:pPr>
            <w:r>
              <w:rPr>
                <w:color w:val="231F20"/>
                <w:sz w:val="18"/>
              </w:rPr>
              <w:t>26 (47.3)</w:t>
            </w:r>
          </w:p>
        </w:tc>
        <w:tc>
          <w:tcPr>
            <w:tcW w:w="960" w:type="dxa"/>
          </w:tcPr>
          <w:p>
            <w:pPr>
              <w:pStyle w:val="TableParagraph"/>
              <w:ind w:left="77"/>
              <w:rPr>
                <w:sz w:val="18"/>
              </w:rPr>
            </w:pPr>
            <w:r>
              <w:rPr>
                <w:color w:val="231F20"/>
                <w:sz w:val="18"/>
              </w:rPr>
              <w:t>55 (68.75)</w:t>
            </w:r>
          </w:p>
        </w:tc>
      </w:tr>
      <w:tr>
        <w:trPr>
          <w:trHeight w:val="340" w:hRule="exact"/>
        </w:trPr>
        <w:tc>
          <w:tcPr>
            <w:tcW w:w="2507" w:type="dxa"/>
          </w:tcPr>
          <w:p>
            <w:pPr>
              <w:pStyle w:val="TableParagraph"/>
              <w:ind w:left="77"/>
              <w:rPr>
                <w:sz w:val="18"/>
              </w:rPr>
            </w:pPr>
            <w:r>
              <w:rPr>
                <w:color w:val="231F20"/>
                <w:w w:val="105"/>
                <w:sz w:val="18"/>
              </w:rPr>
              <w:t>Conocimiento calificado</w:t>
            </w:r>
          </w:p>
        </w:tc>
        <w:tc>
          <w:tcPr>
            <w:tcW w:w="1034" w:type="dxa"/>
          </w:tcPr>
          <w:p>
            <w:pPr>
              <w:pStyle w:val="TableParagraph"/>
              <w:ind w:left="77"/>
              <w:rPr>
                <w:sz w:val="18"/>
              </w:rPr>
            </w:pPr>
            <w:r>
              <w:rPr>
                <w:color w:val="231F20"/>
                <w:w w:val="104"/>
                <w:sz w:val="18"/>
              </w:rPr>
              <w:t>0</w:t>
            </w:r>
          </w:p>
        </w:tc>
        <w:tc>
          <w:tcPr>
            <w:tcW w:w="1200" w:type="dxa"/>
          </w:tcPr>
          <w:p>
            <w:pPr>
              <w:pStyle w:val="TableParagraph"/>
              <w:ind w:left="77" w:right="66"/>
              <w:rPr>
                <w:sz w:val="18"/>
              </w:rPr>
            </w:pPr>
            <w:r>
              <w:rPr>
                <w:color w:val="231F20"/>
                <w:sz w:val="18"/>
              </w:rPr>
              <w:t>11 (57.9)</w:t>
            </w:r>
          </w:p>
        </w:tc>
        <w:tc>
          <w:tcPr>
            <w:tcW w:w="1200" w:type="dxa"/>
          </w:tcPr>
          <w:p>
            <w:pPr>
              <w:pStyle w:val="TableParagraph"/>
              <w:ind w:left="77" w:right="66"/>
              <w:rPr>
                <w:sz w:val="18"/>
              </w:rPr>
            </w:pPr>
            <w:r>
              <w:rPr>
                <w:color w:val="231F20"/>
                <w:sz w:val="18"/>
              </w:rPr>
              <w:t>8 (42.1)</w:t>
            </w:r>
          </w:p>
        </w:tc>
        <w:tc>
          <w:tcPr>
            <w:tcW w:w="960" w:type="dxa"/>
          </w:tcPr>
          <w:p>
            <w:pPr>
              <w:pStyle w:val="TableParagraph"/>
              <w:ind w:left="77"/>
              <w:rPr>
                <w:sz w:val="18"/>
              </w:rPr>
            </w:pPr>
            <w:r>
              <w:rPr>
                <w:color w:val="231F20"/>
                <w:sz w:val="18"/>
              </w:rPr>
              <w:t>19 (23.75)</w:t>
            </w:r>
          </w:p>
        </w:tc>
      </w:tr>
      <w:tr>
        <w:trPr>
          <w:trHeight w:val="340" w:hRule="exact"/>
        </w:trPr>
        <w:tc>
          <w:tcPr>
            <w:tcW w:w="2507" w:type="dxa"/>
          </w:tcPr>
          <w:p>
            <w:pPr>
              <w:pStyle w:val="TableParagraph"/>
              <w:ind w:left="77"/>
              <w:rPr>
                <w:sz w:val="18"/>
              </w:rPr>
            </w:pPr>
            <w:r>
              <w:rPr>
                <w:color w:val="231F20"/>
                <w:sz w:val="18"/>
              </w:rPr>
              <w:t>Estudiante, ama de casa</w:t>
            </w:r>
          </w:p>
        </w:tc>
        <w:tc>
          <w:tcPr>
            <w:tcW w:w="1034" w:type="dxa"/>
          </w:tcPr>
          <w:p>
            <w:pPr>
              <w:pStyle w:val="TableParagraph"/>
              <w:ind w:left="77"/>
              <w:rPr>
                <w:sz w:val="18"/>
              </w:rPr>
            </w:pPr>
            <w:r>
              <w:rPr>
                <w:color w:val="231F20"/>
                <w:w w:val="104"/>
                <w:sz w:val="18"/>
              </w:rPr>
              <w:t>1</w:t>
            </w:r>
          </w:p>
        </w:tc>
        <w:tc>
          <w:tcPr>
            <w:tcW w:w="1200" w:type="dxa"/>
          </w:tcPr>
          <w:p>
            <w:pPr>
              <w:pStyle w:val="TableParagraph"/>
              <w:ind w:left="77" w:right="66"/>
              <w:rPr>
                <w:sz w:val="18"/>
              </w:rPr>
            </w:pPr>
            <w:r>
              <w:rPr>
                <w:color w:val="231F20"/>
                <w:w w:val="110"/>
                <w:sz w:val="18"/>
              </w:rPr>
              <w:t>3*</w:t>
            </w:r>
          </w:p>
        </w:tc>
        <w:tc>
          <w:tcPr>
            <w:tcW w:w="1200" w:type="dxa"/>
          </w:tcPr>
          <w:p>
            <w:pPr>
              <w:pStyle w:val="TableParagraph"/>
              <w:ind w:left="77"/>
              <w:rPr>
                <w:sz w:val="18"/>
              </w:rPr>
            </w:pPr>
            <w:r>
              <w:rPr>
                <w:color w:val="231F20"/>
                <w:w w:val="104"/>
                <w:sz w:val="18"/>
              </w:rPr>
              <w:t>2</w:t>
            </w:r>
          </w:p>
        </w:tc>
        <w:tc>
          <w:tcPr>
            <w:tcW w:w="960" w:type="dxa"/>
          </w:tcPr>
          <w:p>
            <w:pPr>
              <w:pStyle w:val="TableParagraph"/>
              <w:ind w:left="77"/>
              <w:rPr>
                <w:sz w:val="18"/>
              </w:rPr>
            </w:pPr>
            <w:r>
              <w:rPr>
                <w:color w:val="231F20"/>
                <w:sz w:val="18"/>
              </w:rPr>
              <w:t>6 (7.5)</w:t>
            </w:r>
          </w:p>
        </w:tc>
      </w:tr>
      <w:tr>
        <w:trPr>
          <w:trHeight w:val="340" w:hRule="exact"/>
        </w:trPr>
        <w:tc>
          <w:tcPr>
            <w:tcW w:w="2507" w:type="dxa"/>
          </w:tcPr>
          <w:p>
            <w:pPr>
              <w:pStyle w:val="TableParagraph"/>
              <w:ind w:left="77" w:right="427"/>
              <w:rPr>
                <w:sz w:val="18"/>
              </w:rPr>
            </w:pPr>
            <w:r>
              <w:rPr>
                <w:color w:val="231F20"/>
                <w:w w:val="105"/>
                <w:sz w:val="18"/>
              </w:rPr>
              <w:t>Total</w:t>
            </w:r>
          </w:p>
        </w:tc>
        <w:tc>
          <w:tcPr>
            <w:tcW w:w="1034" w:type="dxa"/>
          </w:tcPr>
          <w:p>
            <w:pPr>
              <w:pStyle w:val="TableParagraph"/>
              <w:ind w:left="77"/>
              <w:rPr>
                <w:sz w:val="18"/>
              </w:rPr>
            </w:pPr>
            <w:r>
              <w:rPr>
                <w:color w:val="231F20"/>
                <w:sz w:val="18"/>
              </w:rPr>
              <w:t>1 (1.25)</w:t>
            </w:r>
          </w:p>
        </w:tc>
        <w:tc>
          <w:tcPr>
            <w:tcW w:w="1200" w:type="dxa"/>
          </w:tcPr>
          <w:p>
            <w:pPr>
              <w:pStyle w:val="TableParagraph"/>
              <w:ind w:left="77" w:right="66"/>
              <w:rPr>
                <w:sz w:val="18"/>
              </w:rPr>
            </w:pPr>
            <w:r>
              <w:rPr>
                <w:color w:val="231F20"/>
                <w:sz w:val="18"/>
              </w:rPr>
              <w:t>43 (53.7)</w:t>
            </w:r>
          </w:p>
        </w:tc>
        <w:tc>
          <w:tcPr>
            <w:tcW w:w="1200" w:type="dxa"/>
          </w:tcPr>
          <w:p>
            <w:pPr>
              <w:pStyle w:val="TableParagraph"/>
              <w:ind w:left="77" w:right="66"/>
              <w:rPr>
                <w:sz w:val="18"/>
              </w:rPr>
            </w:pPr>
            <w:r>
              <w:rPr>
                <w:color w:val="231F20"/>
                <w:sz w:val="18"/>
              </w:rPr>
              <w:t>36 (45.0)</w:t>
            </w:r>
          </w:p>
        </w:tc>
        <w:tc>
          <w:tcPr>
            <w:tcW w:w="960" w:type="dxa"/>
          </w:tcPr>
          <w:p>
            <w:pPr>
              <w:pStyle w:val="TableParagraph"/>
              <w:ind w:left="77"/>
              <w:rPr>
                <w:sz w:val="18"/>
              </w:rPr>
            </w:pPr>
            <w:r>
              <w:rPr>
                <w:color w:val="231F20"/>
                <w:w w:val="105"/>
                <w:sz w:val="18"/>
              </w:rPr>
              <w:t>80</w:t>
            </w:r>
          </w:p>
        </w:tc>
      </w:tr>
    </w:tbl>
    <w:p>
      <w:pPr>
        <w:spacing w:before="78"/>
        <w:ind w:left="1837" w:right="0" w:firstLine="0"/>
        <w:jc w:val="left"/>
        <w:rPr>
          <w:sz w:val="16"/>
        </w:rPr>
      </w:pPr>
      <w:r>
        <w:rPr>
          <w:color w:val="231F20"/>
          <w:w w:val="105"/>
          <w:sz w:val="16"/>
        </w:rPr>
        <w:t>Fuente: elaboración propia.</w:t>
      </w:r>
    </w:p>
    <w:p>
      <w:pPr>
        <w:spacing w:line="254" w:lineRule="auto" w:before="11"/>
        <w:ind w:left="1837" w:right="1683" w:firstLine="0"/>
        <w:jc w:val="left"/>
        <w:rPr>
          <w:sz w:val="16"/>
        </w:rPr>
      </w:pPr>
      <w:r>
        <w:rPr/>
        <w:pict>
          <v:line style="position:absolute;mso-position-horizontal-relative:page;mso-position-vertical-relative:paragraph;z-index:-460384" from="15pt,110.108299pt" to="0pt,110.108299pt" stroked="true" strokeweight=".25pt" strokecolor="#000000">
            <w10:wrap type="none"/>
          </v:line>
        </w:pict>
      </w:r>
      <w:r>
        <w:rPr/>
        <w:pict>
          <v:line style="position:absolute;mso-position-horizontal-relative:page;mso-position-vertical-relative:paragraph;z-index:29824" from="508.890015pt,110.108299pt" to="523.890015pt,110.108299pt" stroked="true" strokeweight=".25pt" strokecolor="#000000">
            <w10:wrap type="none"/>
          </v:line>
        </w:pict>
      </w:r>
      <w:r>
        <w:rPr>
          <w:color w:val="231F20"/>
          <w:w w:val="105"/>
          <w:sz w:val="16"/>
        </w:rPr>
        <w:t>*Un</w:t>
      </w:r>
      <w:r>
        <w:rPr>
          <w:color w:val="231F20"/>
          <w:spacing w:val="-17"/>
          <w:w w:val="105"/>
          <w:sz w:val="16"/>
        </w:rPr>
        <w:t> </w:t>
      </w:r>
      <w:r>
        <w:rPr>
          <w:color w:val="231F20"/>
          <w:w w:val="105"/>
          <w:sz w:val="16"/>
        </w:rPr>
        <w:t>estudiante</w:t>
      </w:r>
      <w:r>
        <w:rPr>
          <w:color w:val="231F20"/>
          <w:spacing w:val="-17"/>
          <w:w w:val="105"/>
          <w:sz w:val="16"/>
        </w:rPr>
        <w:t> </w:t>
      </w:r>
      <w:r>
        <w:rPr>
          <w:color w:val="231F20"/>
          <w:w w:val="105"/>
          <w:sz w:val="16"/>
        </w:rPr>
        <w:t>logró</w:t>
      </w:r>
      <w:r>
        <w:rPr>
          <w:color w:val="231F20"/>
          <w:spacing w:val="-17"/>
          <w:w w:val="105"/>
          <w:sz w:val="16"/>
        </w:rPr>
        <w:t> </w:t>
      </w:r>
      <w:r>
        <w:rPr>
          <w:color w:val="231F20"/>
          <w:w w:val="105"/>
          <w:sz w:val="16"/>
        </w:rPr>
        <w:t>ascender</w:t>
      </w:r>
      <w:r>
        <w:rPr>
          <w:color w:val="231F20"/>
          <w:spacing w:val="-17"/>
          <w:w w:val="105"/>
          <w:sz w:val="16"/>
        </w:rPr>
        <w:t> </w:t>
      </w:r>
      <w:r>
        <w:rPr>
          <w:color w:val="231F20"/>
          <w:w w:val="105"/>
          <w:sz w:val="16"/>
        </w:rPr>
        <w:t>a</w:t>
      </w:r>
      <w:r>
        <w:rPr>
          <w:color w:val="231F20"/>
          <w:spacing w:val="-17"/>
          <w:w w:val="105"/>
          <w:sz w:val="16"/>
        </w:rPr>
        <w:t> </w:t>
      </w:r>
      <w:r>
        <w:rPr>
          <w:color w:val="231F20"/>
          <w:w w:val="105"/>
          <w:sz w:val="16"/>
        </w:rPr>
        <w:t>cocinero</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restaurant</w:t>
      </w:r>
      <w:r>
        <w:rPr>
          <w:color w:val="231F20"/>
          <w:spacing w:val="-17"/>
          <w:w w:val="105"/>
          <w:sz w:val="16"/>
        </w:rPr>
        <w:t> </w:t>
      </w:r>
      <w:r>
        <w:rPr>
          <w:color w:val="231F20"/>
          <w:w w:val="105"/>
          <w:sz w:val="16"/>
        </w:rPr>
        <w:t>y</w:t>
      </w:r>
      <w:r>
        <w:rPr>
          <w:color w:val="231F20"/>
          <w:spacing w:val="-17"/>
          <w:w w:val="105"/>
          <w:sz w:val="16"/>
        </w:rPr>
        <w:t> </w:t>
      </w:r>
      <w:r>
        <w:rPr>
          <w:color w:val="231F20"/>
          <w:w w:val="105"/>
          <w:sz w:val="16"/>
        </w:rPr>
        <w:t>encargado</w:t>
      </w:r>
      <w:r>
        <w:rPr>
          <w:color w:val="231F20"/>
          <w:spacing w:val="-17"/>
          <w:w w:val="105"/>
          <w:sz w:val="16"/>
        </w:rPr>
        <w:t> </w:t>
      </w:r>
      <w:r>
        <w:rPr>
          <w:color w:val="231F20"/>
          <w:w w:val="105"/>
          <w:sz w:val="16"/>
        </w:rPr>
        <w:t>del</w:t>
      </w:r>
      <w:r>
        <w:rPr>
          <w:color w:val="231F20"/>
          <w:spacing w:val="-17"/>
          <w:w w:val="105"/>
          <w:sz w:val="16"/>
        </w:rPr>
        <w:t> </w:t>
      </w:r>
      <w:r>
        <w:rPr>
          <w:color w:val="231F20"/>
          <w:spacing w:val="-3"/>
          <w:w w:val="105"/>
          <w:sz w:val="16"/>
        </w:rPr>
        <w:t>lugar,</w:t>
      </w:r>
      <w:r>
        <w:rPr>
          <w:color w:val="231F20"/>
          <w:spacing w:val="-21"/>
          <w:w w:val="105"/>
          <w:sz w:val="16"/>
        </w:rPr>
        <w:t> </w:t>
      </w:r>
      <w:r>
        <w:rPr>
          <w:color w:val="231F20"/>
          <w:w w:val="105"/>
          <w:sz w:val="16"/>
        </w:rPr>
        <w:t>también</w:t>
      </w:r>
      <w:r>
        <w:rPr>
          <w:color w:val="231F20"/>
          <w:spacing w:val="-17"/>
          <w:w w:val="105"/>
          <w:sz w:val="16"/>
        </w:rPr>
        <w:t> </w:t>
      </w:r>
      <w:r>
        <w:rPr>
          <w:color w:val="231F20"/>
          <w:w w:val="105"/>
          <w:sz w:val="16"/>
        </w:rPr>
        <w:t>una</w:t>
      </w:r>
      <w:r>
        <w:rPr>
          <w:color w:val="231F20"/>
          <w:spacing w:val="-17"/>
          <w:w w:val="105"/>
          <w:sz w:val="16"/>
        </w:rPr>
        <w:t> </w:t>
      </w:r>
      <w:r>
        <w:rPr>
          <w:color w:val="231F20"/>
          <w:w w:val="105"/>
          <w:sz w:val="16"/>
        </w:rPr>
        <w:t>ama de</w:t>
      </w:r>
      <w:r>
        <w:rPr>
          <w:color w:val="231F20"/>
          <w:spacing w:val="-30"/>
          <w:w w:val="105"/>
          <w:sz w:val="16"/>
        </w:rPr>
        <w:t> </w:t>
      </w:r>
      <w:r>
        <w:rPr>
          <w:color w:val="231F20"/>
          <w:w w:val="105"/>
          <w:sz w:val="16"/>
        </w:rPr>
        <w:t>casa</w:t>
      </w:r>
      <w:r>
        <w:rPr>
          <w:color w:val="231F20"/>
          <w:spacing w:val="-30"/>
          <w:w w:val="105"/>
          <w:sz w:val="16"/>
        </w:rPr>
        <w:t> </w:t>
      </w:r>
      <w:r>
        <w:rPr>
          <w:color w:val="231F20"/>
          <w:w w:val="105"/>
          <w:sz w:val="16"/>
        </w:rPr>
        <w:t>ascendió</w:t>
      </w:r>
      <w:r>
        <w:rPr>
          <w:color w:val="231F20"/>
          <w:spacing w:val="-30"/>
          <w:w w:val="105"/>
          <w:sz w:val="16"/>
        </w:rPr>
        <w:t> </w:t>
      </w:r>
      <w:r>
        <w:rPr>
          <w:color w:val="231F20"/>
          <w:w w:val="105"/>
          <w:sz w:val="16"/>
        </w:rPr>
        <w:t>hasta</w:t>
      </w:r>
      <w:r>
        <w:rPr>
          <w:color w:val="231F20"/>
          <w:spacing w:val="-30"/>
          <w:w w:val="105"/>
          <w:sz w:val="16"/>
        </w:rPr>
        <w:t> </w:t>
      </w:r>
      <w:r>
        <w:rPr>
          <w:color w:val="231F20"/>
          <w:w w:val="105"/>
          <w:sz w:val="16"/>
        </w:rPr>
        <w:t>cocinera</w:t>
      </w:r>
      <w:r>
        <w:rPr>
          <w:color w:val="231F20"/>
          <w:spacing w:val="-30"/>
          <w:w w:val="105"/>
          <w:sz w:val="16"/>
        </w:rPr>
        <w:t> </w:t>
      </w:r>
      <w:r>
        <w:rPr>
          <w:color w:val="231F20"/>
          <w:w w:val="105"/>
          <w:sz w:val="16"/>
        </w:rPr>
        <w:t>de</w:t>
      </w:r>
      <w:r>
        <w:rPr>
          <w:color w:val="231F20"/>
          <w:spacing w:val="-30"/>
          <w:w w:val="105"/>
          <w:sz w:val="16"/>
        </w:rPr>
        <w:t> </w:t>
      </w:r>
      <w:r>
        <w:rPr>
          <w:color w:val="231F20"/>
          <w:w w:val="105"/>
          <w:sz w:val="16"/>
        </w:rPr>
        <w:t>restaurant.</w:t>
      </w:r>
    </w:p>
    <w:p>
      <w:pPr>
        <w:spacing w:after="0" w:line="254" w:lineRule="auto"/>
        <w:jc w:val="left"/>
        <w:rPr>
          <w:sz w:val="16"/>
        </w:rPr>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29896" from="15pt,-71.68644pt" to="0pt,-71.68644pt" stroked="true" strokeweight=".25pt" strokecolor="#000000">
            <w10:wrap type="none"/>
          </v:line>
        </w:pict>
      </w:r>
      <w:r>
        <w:rPr/>
        <w:pict>
          <v:line style="position:absolute;mso-position-horizontal-relative:page;mso-position-vertical-relative:paragraph;z-index:29920" from="508.890015pt,-71.68644pt" to="523.890015pt,-71.68644pt" stroked="true" strokeweight=".25pt" strokecolor="#000000">
            <w10:wrap type="none"/>
          </v:line>
        </w:pict>
      </w:r>
      <w:r>
        <w:rPr>
          <w:color w:val="231F20"/>
          <w:w w:val="105"/>
        </w:rPr>
        <w:t>Dentro del mismo cuadro, puede verse que más de la mitad de quie- nes llevaron tanto conocimiento básico como calificado desde México pudieron realizar tareas calificadas, pero alrededor del 40% de</w:t>
      </w:r>
      <w:r>
        <w:rPr>
          <w:color w:val="231F20"/>
          <w:spacing w:val="-36"/>
          <w:w w:val="105"/>
        </w:rPr>
        <w:t> </w:t>
      </w:r>
      <w:r>
        <w:rPr>
          <w:color w:val="231F20"/>
          <w:w w:val="105"/>
        </w:rPr>
        <w:t>quienes partieron</w:t>
      </w:r>
      <w:r>
        <w:rPr>
          <w:color w:val="231F20"/>
          <w:spacing w:val="-19"/>
          <w:w w:val="105"/>
        </w:rPr>
        <w:t> </w:t>
      </w:r>
      <w:r>
        <w:rPr>
          <w:color w:val="231F20"/>
          <w:w w:val="105"/>
        </w:rPr>
        <w:t>con</w:t>
      </w:r>
      <w:r>
        <w:rPr>
          <w:color w:val="231F20"/>
          <w:spacing w:val="-19"/>
          <w:w w:val="105"/>
        </w:rPr>
        <w:t> </w:t>
      </w:r>
      <w:r>
        <w:rPr>
          <w:color w:val="231F20"/>
          <w:w w:val="105"/>
        </w:rPr>
        <w:t>conocimientos</w:t>
      </w:r>
      <w:r>
        <w:rPr>
          <w:color w:val="231F20"/>
          <w:spacing w:val="-19"/>
          <w:w w:val="105"/>
        </w:rPr>
        <w:t> </w:t>
      </w:r>
      <w:r>
        <w:rPr>
          <w:color w:val="231F20"/>
          <w:w w:val="105"/>
        </w:rPr>
        <w:t>calificados</w:t>
      </w:r>
      <w:r>
        <w:rPr>
          <w:color w:val="231F20"/>
          <w:spacing w:val="-19"/>
          <w:w w:val="105"/>
        </w:rPr>
        <w:t> </w:t>
      </w:r>
      <w:r>
        <w:rPr>
          <w:color w:val="231F20"/>
          <w:w w:val="105"/>
        </w:rPr>
        <w:t>tuvieron</w:t>
      </w:r>
      <w:r>
        <w:rPr>
          <w:color w:val="231F20"/>
          <w:spacing w:val="-19"/>
          <w:w w:val="105"/>
        </w:rPr>
        <w:t> </w:t>
      </w:r>
      <w:r>
        <w:rPr>
          <w:color w:val="231F20"/>
          <w:w w:val="105"/>
        </w:rPr>
        <w:t>que</w:t>
      </w:r>
      <w:r>
        <w:rPr>
          <w:color w:val="231F20"/>
          <w:spacing w:val="-19"/>
          <w:w w:val="105"/>
        </w:rPr>
        <w:t> </w:t>
      </w:r>
      <w:r>
        <w:rPr>
          <w:color w:val="231F20"/>
          <w:w w:val="105"/>
        </w:rPr>
        <w:t>realizar</w:t>
      </w:r>
      <w:r>
        <w:rPr>
          <w:color w:val="231F20"/>
          <w:spacing w:val="-19"/>
          <w:w w:val="105"/>
        </w:rPr>
        <w:t> </w:t>
      </w:r>
      <w:r>
        <w:rPr>
          <w:color w:val="231F20"/>
          <w:w w:val="105"/>
        </w:rPr>
        <w:t>labores</w:t>
      </w:r>
      <w:r>
        <w:rPr>
          <w:color w:val="231F20"/>
          <w:spacing w:val="-19"/>
          <w:w w:val="105"/>
        </w:rPr>
        <w:t> </w:t>
      </w:r>
      <w:r>
        <w:rPr>
          <w:color w:val="231F20"/>
          <w:w w:val="105"/>
        </w:rPr>
        <w:t>bá- sicas</w:t>
      </w:r>
      <w:r>
        <w:rPr>
          <w:color w:val="231F20"/>
          <w:spacing w:val="-35"/>
          <w:w w:val="105"/>
        </w:rPr>
        <w:t> </w:t>
      </w:r>
      <w:r>
        <w:rPr>
          <w:color w:val="231F20"/>
          <w:w w:val="105"/>
        </w:rPr>
        <w:t>en</w:t>
      </w:r>
      <w:r>
        <w:rPr>
          <w:color w:val="231F20"/>
          <w:spacing w:val="-35"/>
          <w:w w:val="105"/>
        </w:rPr>
        <w:t> </w:t>
      </w:r>
      <w:r>
        <w:rPr>
          <w:color w:val="231F20"/>
          <w:w w:val="105"/>
        </w:rPr>
        <w:t>aquel</w:t>
      </w:r>
      <w:r>
        <w:rPr>
          <w:color w:val="231F20"/>
          <w:spacing w:val="-35"/>
          <w:w w:val="105"/>
        </w:rPr>
        <w:t> </w:t>
      </w:r>
      <w:r>
        <w:rPr>
          <w:color w:val="231F20"/>
          <w:w w:val="105"/>
        </w:rPr>
        <w:t>estado</w:t>
      </w:r>
      <w:r>
        <w:rPr>
          <w:color w:val="231F20"/>
          <w:spacing w:val="-35"/>
          <w:w w:val="105"/>
        </w:rPr>
        <w:t> </w:t>
      </w:r>
      <w:r>
        <w:rPr>
          <w:color w:val="231F20"/>
          <w:w w:val="105"/>
        </w:rPr>
        <w:t>(42%).</w:t>
      </w:r>
    </w:p>
    <w:p>
      <w:pPr>
        <w:pStyle w:val="BodyText"/>
        <w:spacing w:line="261" w:lineRule="auto" w:before="1"/>
        <w:ind w:left="1723" w:right="1828" w:firstLine="567"/>
        <w:jc w:val="both"/>
        <w:rPr>
          <w:sz w:val="12"/>
        </w:rPr>
      </w:pPr>
      <w:r>
        <w:rPr>
          <w:color w:val="231F20"/>
          <w:w w:val="105"/>
        </w:rPr>
        <w:t>De</w:t>
      </w:r>
      <w:r>
        <w:rPr>
          <w:color w:val="231F20"/>
          <w:spacing w:val="-15"/>
          <w:w w:val="105"/>
        </w:rPr>
        <w:t> </w:t>
      </w:r>
      <w:r>
        <w:rPr>
          <w:color w:val="231F20"/>
          <w:w w:val="105"/>
        </w:rPr>
        <w:t>manera</w:t>
      </w:r>
      <w:r>
        <w:rPr>
          <w:color w:val="231F20"/>
          <w:spacing w:val="-15"/>
          <w:w w:val="105"/>
        </w:rPr>
        <w:t> </w:t>
      </w:r>
      <w:r>
        <w:rPr>
          <w:color w:val="231F20"/>
          <w:w w:val="105"/>
        </w:rPr>
        <w:t>específica,</w:t>
      </w:r>
      <w:r>
        <w:rPr>
          <w:color w:val="231F20"/>
          <w:spacing w:val="-20"/>
          <w:w w:val="105"/>
        </w:rPr>
        <w:t> </w:t>
      </w:r>
      <w:r>
        <w:rPr>
          <w:color w:val="231F20"/>
          <w:w w:val="105"/>
        </w:rPr>
        <w:t>el</w:t>
      </w:r>
      <w:r>
        <w:rPr>
          <w:color w:val="231F20"/>
          <w:spacing w:val="-15"/>
          <w:w w:val="105"/>
        </w:rPr>
        <w:t> </w:t>
      </w:r>
      <w:r>
        <w:rPr>
          <w:color w:val="231F20"/>
          <w:w w:val="105"/>
        </w:rPr>
        <w:t>cuadro</w:t>
      </w:r>
      <w:r>
        <w:rPr>
          <w:color w:val="231F20"/>
          <w:spacing w:val="-15"/>
          <w:w w:val="105"/>
        </w:rPr>
        <w:t> </w:t>
      </w:r>
      <w:r>
        <w:rPr>
          <w:color w:val="231F20"/>
          <w:w w:val="105"/>
        </w:rPr>
        <w:t>5</w:t>
      </w:r>
      <w:r>
        <w:rPr>
          <w:color w:val="231F20"/>
          <w:spacing w:val="-15"/>
          <w:w w:val="105"/>
        </w:rPr>
        <w:t> </w:t>
      </w:r>
      <w:r>
        <w:rPr>
          <w:color w:val="231F20"/>
          <w:w w:val="105"/>
        </w:rPr>
        <w:t>exhibe</w:t>
      </w:r>
      <w:r>
        <w:rPr>
          <w:color w:val="231F20"/>
          <w:spacing w:val="-15"/>
          <w:w w:val="105"/>
        </w:rPr>
        <w:t> </w:t>
      </w:r>
      <w:r>
        <w:rPr>
          <w:color w:val="231F20"/>
          <w:w w:val="105"/>
        </w:rPr>
        <w:t>que</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55</w:t>
      </w:r>
      <w:r>
        <w:rPr>
          <w:color w:val="231F20"/>
          <w:spacing w:val="-15"/>
          <w:w w:val="105"/>
        </w:rPr>
        <w:t> </w:t>
      </w:r>
      <w:r>
        <w:rPr>
          <w:color w:val="231F20"/>
          <w:w w:val="105"/>
        </w:rPr>
        <w:t>mexiquen- ses</w:t>
      </w:r>
      <w:r>
        <w:rPr>
          <w:color w:val="231F20"/>
          <w:spacing w:val="-8"/>
          <w:w w:val="105"/>
        </w:rPr>
        <w:t> </w:t>
      </w:r>
      <w:r>
        <w:rPr>
          <w:color w:val="231F20"/>
          <w:w w:val="105"/>
        </w:rPr>
        <w:t>que</w:t>
      </w:r>
      <w:r>
        <w:rPr>
          <w:color w:val="231F20"/>
          <w:spacing w:val="-8"/>
          <w:w w:val="105"/>
        </w:rPr>
        <w:t> </w:t>
      </w:r>
      <w:r>
        <w:rPr>
          <w:color w:val="231F20"/>
          <w:w w:val="105"/>
        </w:rPr>
        <w:t>partieron</w:t>
      </w:r>
      <w:r>
        <w:rPr>
          <w:color w:val="231F20"/>
          <w:spacing w:val="-8"/>
          <w:w w:val="105"/>
        </w:rPr>
        <w:t> </w:t>
      </w:r>
      <w:r>
        <w:rPr>
          <w:color w:val="231F20"/>
          <w:w w:val="105"/>
        </w:rPr>
        <w:t>al</w:t>
      </w:r>
      <w:r>
        <w:rPr>
          <w:color w:val="231F20"/>
          <w:spacing w:val="-8"/>
          <w:w w:val="105"/>
        </w:rPr>
        <w:t> </w:t>
      </w:r>
      <w:r>
        <w:rPr>
          <w:color w:val="231F20"/>
          <w:w w:val="105"/>
        </w:rPr>
        <w:t>extranjero</w:t>
      </w:r>
      <w:r>
        <w:rPr>
          <w:color w:val="231F20"/>
          <w:spacing w:val="-8"/>
          <w:w w:val="105"/>
        </w:rPr>
        <w:t> </w:t>
      </w:r>
      <w:r>
        <w:rPr>
          <w:color w:val="231F20"/>
          <w:w w:val="105"/>
        </w:rPr>
        <w:t>llevando</w:t>
      </w:r>
      <w:r>
        <w:rPr>
          <w:color w:val="231F20"/>
          <w:spacing w:val="-8"/>
          <w:w w:val="105"/>
        </w:rPr>
        <w:t> </w:t>
      </w:r>
      <w:r>
        <w:rPr>
          <w:color w:val="231F20"/>
          <w:w w:val="105"/>
        </w:rPr>
        <w:t>sólo</w:t>
      </w:r>
      <w:r>
        <w:rPr>
          <w:color w:val="231F20"/>
          <w:spacing w:val="-8"/>
          <w:w w:val="105"/>
        </w:rPr>
        <w:t> </w:t>
      </w:r>
      <w:r>
        <w:rPr>
          <w:color w:val="231F20"/>
          <w:w w:val="105"/>
        </w:rPr>
        <w:t>experiencia</w:t>
      </w:r>
      <w:r>
        <w:rPr>
          <w:color w:val="231F20"/>
          <w:spacing w:val="-8"/>
          <w:w w:val="105"/>
        </w:rPr>
        <w:t> </w:t>
      </w:r>
      <w:r>
        <w:rPr>
          <w:color w:val="231F20"/>
          <w:w w:val="105"/>
        </w:rPr>
        <w:t>laboral</w:t>
      </w:r>
      <w:r>
        <w:rPr>
          <w:color w:val="231F20"/>
          <w:spacing w:val="-8"/>
          <w:w w:val="105"/>
        </w:rPr>
        <w:t> </w:t>
      </w:r>
      <w:r>
        <w:rPr>
          <w:color w:val="231F20"/>
          <w:w w:val="105"/>
        </w:rPr>
        <w:t>básica, en</w:t>
      </w:r>
      <w:r>
        <w:rPr>
          <w:color w:val="231F20"/>
          <w:spacing w:val="-12"/>
          <w:w w:val="105"/>
        </w:rPr>
        <w:t> </w:t>
      </w:r>
      <w:r>
        <w:rPr>
          <w:color w:val="231F20"/>
          <w:spacing w:val="-5"/>
          <w:w w:val="105"/>
        </w:rPr>
        <w:t>Texas</w:t>
      </w:r>
      <w:r>
        <w:rPr>
          <w:color w:val="231F20"/>
          <w:spacing w:val="-8"/>
          <w:w w:val="105"/>
        </w:rPr>
        <w:t> </w:t>
      </w:r>
      <w:r>
        <w:rPr>
          <w:color w:val="231F20"/>
          <w:w w:val="105"/>
        </w:rPr>
        <w:t>trabajaron</w:t>
      </w:r>
      <w:r>
        <w:rPr>
          <w:color w:val="231F20"/>
          <w:spacing w:val="-8"/>
          <w:w w:val="105"/>
        </w:rPr>
        <w:t> </w:t>
      </w:r>
      <w:r>
        <w:rPr>
          <w:color w:val="231F20"/>
          <w:w w:val="105"/>
        </w:rPr>
        <w:t>como</w:t>
      </w:r>
      <w:r>
        <w:rPr>
          <w:color w:val="231F20"/>
          <w:spacing w:val="-8"/>
          <w:w w:val="105"/>
        </w:rPr>
        <w:t> </w:t>
      </w:r>
      <w:r>
        <w:rPr>
          <w:color w:val="231F20"/>
          <w:w w:val="105"/>
        </w:rPr>
        <w:t>cocineros</w:t>
      </w:r>
      <w:r>
        <w:rPr>
          <w:color w:val="231F20"/>
          <w:spacing w:val="-8"/>
          <w:w w:val="105"/>
        </w:rPr>
        <w:t> </w:t>
      </w:r>
      <w:r>
        <w:rPr>
          <w:color w:val="231F20"/>
          <w:w w:val="105"/>
        </w:rPr>
        <w:t>de</w:t>
      </w:r>
      <w:r>
        <w:rPr>
          <w:color w:val="231F20"/>
          <w:spacing w:val="-8"/>
          <w:w w:val="105"/>
        </w:rPr>
        <w:t> </w:t>
      </w:r>
      <w:r>
        <w:rPr>
          <w:color w:val="231F20"/>
          <w:w w:val="105"/>
        </w:rPr>
        <w:t>comida</w:t>
      </w:r>
      <w:r>
        <w:rPr>
          <w:color w:val="231F20"/>
          <w:spacing w:val="-8"/>
          <w:w w:val="105"/>
        </w:rPr>
        <w:t> </w:t>
      </w:r>
      <w:r>
        <w:rPr>
          <w:color w:val="231F20"/>
          <w:w w:val="105"/>
        </w:rPr>
        <w:t>nacional</w:t>
      </w:r>
      <w:r>
        <w:rPr>
          <w:color w:val="231F20"/>
          <w:spacing w:val="-8"/>
          <w:w w:val="105"/>
        </w:rPr>
        <w:t> </w:t>
      </w:r>
      <w:r>
        <w:rPr>
          <w:color w:val="231F20"/>
          <w:w w:val="105"/>
        </w:rPr>
        <w:t>e</w:t>
      </w:r>
      <w:r>
        <w:rPr>
          <w:color w:val="231F20"/>
          <w:spacing w:val="-8"/>
          <w:w w:val="105"/>
        </w:rPr>
        <w:t> </w:t>
      </w:r>
      <w:r>
        <w:rPr>
          <w:color w:val="231F20"/>
          <w:w w:val="105"/>
        </w:rPr>
        <w:t>internacional (16.3%), ayudantes de albañil (16.3%), jardinería (7.2%), ayudantes de cocina</w:t>
      </w:r>
      <w:r>
        <w:rPr>
          <w:color w:val="231F20"/>
          <w:spacing w:val="-9"/>
          <w:w w:val="105"/>
        </w:rPr>
        <w:t> </w:t>
      </w:r>
      <w:r>
        <w:rPr>
          <w:color w:val="231F20"/>
          <w:w w:val="105"/>
        </w:rPr>
        <w:t>para</w:t>
      </w:r>
      <w:r>
        <w:rPr>
          <w:color w:val="231F20"/>
          <w:spacing w:val="-9"/>
          <w:w w:val="105"/>
        </w:rPr>
        <w:t> </w:t>
      </w:r>
      <w:r>
        <w:rPr>
          <w:color w:val="231F20"/>
          <w:w w:val="105"/>
        </w:rPr>
        <w:t>elaborar</w:t>
      </w:r>
      <w:r>
        <w:rPr>
          <w:color w:val="231F20"/>
          <w:spacing w:val="-9"/>
          <w:w w:val="105"/>
        </w:rPr>
        <w:t> </w:t>
      </w:r>
      <w:r>
        <w:rPr>
          <w:color w:val="231F20"/>
          <w:w w:val="105"/>
        </w:rPr>
        <w:t>los</w:t>
      </w:r>
      <w:r>
        <w:rPr>
          <w:color w:val="231F20"/>
          <w:spacing w:val="-9"/>
          <w:w w:val="105"/>
        </w:rPr>
        <w:t> </w:t>
      </w:r>
      <w:r>
        <w:rPr>
          <w:color w:val="231F20"/>
          <w:w w:val="105"/>
        </w:rPr>
        <w:t>alimentos,</w:t>
      </w:r>
      <w:r>
        <w:rPr>
          <w:color w:val="231F20"/>
          <w:spacing w:val="-15"/>
          <w:w w:val="105"/>
        </w:rPr>
        <w:t> </w:t>
      </w:r>
      <w:r>
        <w:rPr>
          <w:color w:val="231F20"/>
          <w:w w:val="105"/>
        </w:rPr>
        <w:t>otros</w:t>
      </w:r>
      <w:r>
        <w:rPr>
          <w:color w:val="231F20"/>
          <w:spacing w:val="-9"/>
          <w:w w:val="105"/>
        </w:rPr>
        <w:t> </w:t>
      </w:r>
      <w:r>
        <w:rPr>
          <w:color w:val="231F20"/>
          <w:w w:val="105"/>
        </w:rPr>
        <w:t>desempeñaron</w:t>
      </w:r>
      <w:r>
        <w:rPr>
          <w:color w:val="231F20"/>
          <w:spacing w:val="-9"/>
          <w:w w:val="105"/>
        </w:rPr>
        <w:t> </w:t>
      </w:r>
      <w:r>
        <w:rPr>
          <w:color w:val="231F20"/>
          <w:w w:val="105"/>
        </w:rPr>
        <w:t>labores</w:t>
      </w:r>
      <w:r>
        <w:rPr>
          <w:color w:val="231F20"/>
          <w:spacing w:val="-9"/>
          <w:w w:val="105"/>
        </w:rPr>
        <w:t> </w:t>
      </w:r>
      <w:r>
        <w:rPr>
          <w:color w:val="231F20"/>
          <w:w w:val="105"/>
        </w:rPr>
        <w:t>de</w:t>
      </w:r>
      <w:r>
        <w:rPr>
          <w:color w:val="231F20"/>
          <w:spacing w:val="-9"/>
          <w:w w:val="105"/>
        </w:rPr>
        <w:t> </w:t>
      </w:r>
      <w:r>
        <w:rPr>
          <w:color w:val="231F20"/>
          <w:w w:val="105"/>
        </w:rPr>
        <w:t>lim- pieza,</w:t>
      </w:r>
      <w:r>
        <w:rPr>
          <w:color w:val="231F20"/>
          <w:spacing w:val="-14"/>
          <w:w w:val="105"/>
        </w:rPr>
        <w:t> </w:t>
      </w:r>
      <w:r>
        <w:rPr>
          <w:color w:val="231F20"/>
          <w:w w:val="105"/>
        </w:rPr>
        <w:t>obreros,</w:t>
      </w:r>
      <w:r>
        <w:rPr>
          <w:color w:val="231F20"/>
          <w:spacing w:val="-14"/>
          <w:w w:val="105"/>
        </w:rPr>
        <w:t> </w:t>
      </w:r>
      <w:r>
        <w:rPr>
          <w:color w:val="231F20"/>
          <w:w w:val="105"/>
        </w:rPr>
        <w:t>empleados</w:t>
      </w:r>
      <w:r>
        <w:rPr>
          <w:color w:val="231F20"/>
          <w:spacing w:val="-8"/>
          <w:w w:val="105"/>
        </w:rPr>
        <w:t> </w:t>
      </w:r>
      <w:r>
        <w:rPr>
          <w:color w:val="231F20"/>
          <w:w w:val="105"/>
        </w:rPr>
        <w:t>y</w:t>
      </w:r>
      <w:r>
        <w:rPr>
          <w:color w:val="231F20"/>
          <w:spacing w:val="-8"/>
          <w:w w:val="105"/>
        </w:rPr>
        <w:t> </w:t>
      </w:r>
      <w:r>
        <w:rPr>
          <w:color w:val="231F20"/>
          <w:w w:val="105"/>
        </w:rPr>
        <w:t>vendedores.</w:t>
      </w:r>
      <w:r>
        <w:rPr>
          <w:color w:val="231F20"/>
          <w:spacing w:val="-18"/>
          <w:w w:val="105"/>
        </w:rPr>
        <w:t> </w:t>
      </w:r>
      <w:r>
        <w:rPr>
          <w:color w:val="231F20"/>
          <w:w w:val="105"/>
        </w:rPr>
        <w:t>Al</w:t>
      </w:r>
      <w:r>
        <w:rPr>
          <w:color w:val="231F20"/>
          <w:spacing w:val="-8"/>
          <w:w w:val="105"/>
        </w:rPr>
        <w:t> </w:t>
      </w:r>
      <w:r>
        <w:rPr>
          <w:color w:val="231F20"/>
          <w:w w:val="105"/>
        </w:rPr>
        <w:t>agrupar</w:t>
      </w:r>
      <w:r>
        <w:rPr>
          <w:color w:val="231F20"/>
          <w:spacing w:val="-8"/>
          <w:w w:val="105"/>
        </w:rPr>
        <w:t> </w:t>
      </w:r>
      <w:r>
        <w:rPr>
          <w:color w:val="231F20"/>
          <w:w w:val="105"/>
        </w:rPr>
        <w:t>los</w:t>
      </w:r>
      <w:r>
        <w:rPr>
          <w:color w:val="231F20"/>
          <w:spacing w:val="-8"/>
          <w:w w:val="105"/>
        </w:rPr>
        <w:t> </w:t>
      </w:r>
      <w:r>
        <w:rPr>
          <w:color w:val="231F20"/>
          <w:w w:val="105"/>
        </w:rPr>
        <w:t>empleos</w:t>
      </w:r>
      <w:r>
        <w:rPr>
          <w:color w:val="231F20"/>
          <w:spacing w:val="-8"/>
          <w:w w:val="105"/>
        </w:rPr>
        <w:t> </w:t>
      </w:r>
      <w:r>
        <w:rPr>
          <w:color w:val="231F20"/>
          <w:w w:val="105"/>
        </w:rPr>
        <w:t>según áreas</w:t>
      </w:r>
      <w:r>
        <w:rPr>
          <w:color w:val="231F20"/>
          <w:spacing w:val="-23"/>
          <w:w w:val="105"/>
        </w:rPr>
        <w:t> </w:t>
      </w:r>
      <w:r>
        <w:rPr>
          <w:color w:val="231F20"/>
          <w:w w:val="105"/>
        </w:rPr>
        <w:t>de</w:t>
      </w:r>
      <w:r>
        <w:rPr>
          <w:color w:val="231F20"/>
          <w:spacing w:val="-23"/>
          <w:w w:val="105"/>
        </w:rPr>
        <w:t> </w:t>
      </w:r>
      <w:r>
        <w:rPr>
          <w:color w:val="231F20"/>
          <w:w w:val="105"/>
        </w:rPr>
        <w:t>actividad,</w:t>
      </w:r>
      <w:r>
        <w:rPr>
          <w:color w:val="231F20"/>
          <w:spacing w:val="-27"/>
          <w:w w:val="105"/>
        </w:rPr>
        <w:t> </w:t>
      </w:r>
      <w:r>
        <w:rPr>
          <w:color w:val="231F20"/>
          <w:w w:val="105"/>
        </w:rPr>
        <w:t>destaca</w:t>
      </w:r>
      <w:r>
        <w:rPr>
          <w:color w:val="231F20"/>
          <w:spacing w:val="-23"/>
          <w:w w:val="105"/>
        </w:rPr>
        <w:t> </w:t>
      </w:r>
      <w:r>
        <w:rPr>
          <w:color w:val="231F20"/>
          <w:w w:val="105"/>
        </w:rPr>
        <w:t>que</w:t>
      </w:r>
      <w:r>
        <w:rPr>
          <w:color w:val="231F20"/>
          <w:spacing w:val="-23"/>
          <w:w w:val="105"/>
        </w:rPr>
        <w:t> </w:t>
      </w:r>
      <w:r>
        <w:rPr>
          <w:color w:val="231F20"/>
          <w:w w:val="105"/>
        </w:rPr>
        <w:t>los</w:t>
      </w:r>
      <w:r>
        <w:rPr>
          <w:color w:val="231F20"/>
          <w:spacing w:val="-23"/>
          <w:w w:val="105"/>
        </w:rPr>
        <w:t> </w:t>
      </w:r>
      <w:r>
        <w:rPr>
          <w:color w:val="231F20"/>
          <w:w w:val="105"/>
        </w:rPr>
        <w:t>retornados</w:t>
      </w:r>
      <w:r>
        <w:rPr>
          <w:color w:val="231F20"/>
          <w:spacing w:val="-23"/>
          <w:w w:val="105"/>
        </w:rPr>
        <w:t> </w:t>
      </w:r>
      <w:r>
        <w:rPr>
          <w:color w:val="231F20"/>
          <w:w w:val="105"/>
        </w:rPr>
        <w:t>se</w:t>
      </w:r>
      <w:r>
        <w:rPr>
          <w:color w:val="231F20"/>
          <w:spacing w:val="-23"/>
          <w:w w:val="105"/>
        </w:rPr>
        <w:t> </w:t>
      </w:r>
      <w:r>
        <w:rPr>
          <w:color w:val="231F20"/>
          <w:w w:val="105"/>
        </w:rPr>
        <w:t>emplearon</w:t>
      </w:r>
      <w:r>
        <w:rPr>
          <w:color w:val="231F20"/>
          <w:spacing w:val="-23"/>
          <w:w w:val="105"/>
        </w:rPr>
        <w:t> </w:t>
      </w:r>
      <w:r>
        <w:rPr>
          <w:color w:val="231F20"/>
          <w:w w:val="105"/>
        </w:rPr>
        <w:t>en</w:t>
      </w:r>
      <w:r>
        <w:rPr>
          <w:color w:val="231F20"/>
          <w:spacing w:val="-23"/>
          <w:w w:val="105"/>
        </w:rPr>
        <w:t> </w:t>
      </w:r>
      <w:r>
        <w:rPr>
          <w:color w:val="231F20"/>
          <w:w w:val="105"/>
        </w:rPr>
        <w:t>activida- </w:t>
      </w:r>
      <w:r>
        <w:rPr>
          <w:color w:val="231F20"/>
        </w:rPr>
        <w:t>des de restaurant (36.4%), construcción (30.9%), fábricas diversas</w:t>
      </w:r>
      <w:r>
        <w:rPr>
          <w:color w:val="231F20"/>
          <w:spacing w:val="-9"/>
        </w:rPr>
        <w:t> </w:t>
      </w:r>
      <w:r>
        <w:rPr>
          <w:color w:val="231F20"/>
        </w:rPr>
        <w:t>(7.2%), </w:t>
      </w:r>
      <w:r>
        <w:rPr>
          <w:color w:val="231F20"/>
          <w:w w:val="105"/>
        </w:rPr>
        <w:t>actividades</w:t>
      </w:r>
      <w:r>
        <w:rPr>
          <w:color w:val="231F20"/>
          <w:spacing w:val="-7"/>
          <w:w w:val="105"/>
        </w:rPr>
        <w:t> </w:t>
      </w:r>
      <w:r>
        <w:rPr>
          <w:color w:val="231F20"/>
          <w:w w:val="105"/>
        </w:rPr>
        <w:t>agrícolas</w:t>
      </w:r>
      <w:r>
        <w:rPr>
          <w:color w:val="231F20"/>
          <w:spacing w:val="-7"/>
          <w:w w:val="105"/>
        </w:rPr>
        <w:t> </w:t>
      </w:r>
      <w:r>
        <w:rPr>
          <w:color w:val="231F20"/>
          <w:w w:val="105"/>
        </w:rPr>
        <w:t>y</w:t>
      </w:r>
      <w:r>
        <w:rPr>
          <w:color w:val="231F20"/>
          <w:spacing w:val="-7"/>
          <w:w w:val="105"/>
        </w:rPr>
        <w:t> </w:t>
      </w:r>
      <w:r>
        <w:rPr>
          <w:color w:val="231F20"/>
          <w:w w:val="105"/>
        </w:rPr>
        <w:t>jardinería</w:t>
      </w:r>
      <w:r>
        <w:rPr>
          <w:color w:val="231F20"/>
          <w:spacing w:val="-7"/>
          <w:w w:val="105"/>
        </w:rPr>
        <w:t> </w:t>
      </w:r>
      <w:r>
        <w:rPr>
          <w:color w:val="231F20"/>
          <w:w w:val="105"/>
        </w:rPr>
        <w:t>(10.9%),</w:t>
      </w:r>
      <w:r>
        <w:rPr>
          <w:color w:val="231F20"/>
          <w:spacing w:val="-12"/>
          <w:w w:val="105"/>
        </w:rPr>
        <w:t> </w:t>
      </w:r>
      <w:r>
        <w:rPr>
          <w:color w:val="231F20"/>
          <w:w w:val="105"/>
        </w:rPr>
        <w:t>empleados</w:t>
      </w:r>
      <w:r>
        <w:rPr>
          <w:color w:val="231F20"/>
          <w:spacing w:val="-7"/>
          <w:w w:val="105"/>
        </w:rPr>
        <w:t> </w:t>
      </w:r>
      <w:r>
        <w:rPr>
          <w:color w:val="231F20"/>
          <w:w w:val="105"/>
        </w:rPr>
        <w:t>diversos</w:t>
      </w:r>
      <w:r>
        <w:rPr>
          <w:color w:val="231F20"/>
          <w:spacing w:val="-7"/>
          <w:w w:val="105"/>
        </w:rPr>
        <w:t> </w:t>
      </w:r>
      <w:r>
        <w:rPr>
          <w:color w:val="231F20"/>
          <w:w w:val="105"/>
        </w:rPr>
        <w:t>(9.1%)</w:t>
      </w:r>
      <w:r>
        <w:rPr>
          <w:color w:val="231F20"/>
          <w:spacing w:val="-7"/>
          <w:w w:val="105"/>
        </w:rPr>
        <w:t> </w:t>
      </w:r>
      <w:r>
        <w:rPr>
          <w:color w:val="231F20"/>
          <w:w w:val="105"/>
        </w:rPr>
        <w:t>y limpieza</w:t>
      </w:r>
      <w:r>
        <w:rPr>
          <w:color w:val="231F20"/>
          <w:spacing w:val="-28"/>
          <w:w w:val="105"/>
        </w:rPr>
        <w:t> </w:t>
      </w:r>
      <w:r>
        <w:rPr>
          <w:color w:val="231F20"/>
          <w:w w:val="105"/>
        </w:rPr>
        <w:t>(5.5%).</w:t>
      </w:r>
      <w:r>
        <w:rPr>
          <w:color w:val="231F20"/>
          <w:spacing w:val="-32"/>
          <w:w w:val="105"/>
        </w:rPr>
        <w:t> </w:t>
      </w:r>
      <w:r>
        <w:rPr>
          <w:color w:val="231F20"/>
          <w:w w:val="105"/>
        </w:rPr>
        <w:t>En</w:t>
      </w:r>
      <w:r>
        <w:rPr>
          <w:color w:val="231F20"/>
          <w:spacing w:val="-28"/>
          <w:w w:val="105"/>
        </w:rPr>
        <w:t> </w:t>
      </w:r>
      <w:r>
        <w:rPr>
          <w:color w:val="231F20"/>
          <w:w w:val="105"/>
        </w:rPr>
        <w:t>este</w:t>
      </w:r>
      <w:r>
        <w:rPr>
          <w:color w:val="231F20"/>
          <w:spacing w:val="-28"/>
          <w:w w:val="105"/>
        </w:rPr>
        <w:t> </w:t>
      </w:r>
      <w:r>
        <w:rPr>
          <w:color w:val="231F20"/>
          <w:w w:val="105"/>
        </w:rPr>
        <w:t>grupo,</w:t>
      </w:r>
      <w:r>
        <w:rPr>
          <w:color w:val="231F20"/>
          <w:spacing w:val="-32"/>
          <w:w w:val="105"/>
        </w:rPr>
        <w:t> </w:t>
      </w:r>
      <w:r>
        <w:rPr>
          <w:color w:val="231F20"/>
          <w:w w:val="105"/>
        </w:rPr>
        <w:t>21</w:t>
      </w:r>
      <w:r>
        <w:rPr>
          <w:color w:val="231F20"/>
          <w:spacing w:val="-28"/>
          <w:w w:val="105"/>
        </w:rPr>
        <w:t> </w:t>
      </w:r>
      <w:r>
        <w:rPr>
          <w:color w:val="231F20"/>
          <w:w w:val="105"/>
        </w:rPr>
        <w:t>retornados</w:t>
      </w:r>
      <w:r>
        <w:rPr>
          <w:color w:val="231F20"/>
          <w:spacing w:val="-28"/>
          <w:w w:val="105"/>
        </w:rPr>
        <w:t> </w:t>
      </w:r>
      <w:r>
        <w:rPr>
          <w:color w:val="231F20"/>
          <w:w w:val="105"/>
        </w:rPr>
        <w:t>(38.2%)</w:t>
      </w:r>
      <w:r>
        <w:rPr>
          <w:color w:val="231F20"/>
          <w:spacing w:val="-28"/>
          <w:w w:val="105"/>
        </w:rPr>
        <w:t> </w:t>
      </w:r>
      <w:r>
        <w:rPr>
          <w:color w:val="231F20"/>
          <w:w w:val="105"/>
        </w:rPr>
        <w:t>lograron</w:t>
      </w:r>
      <w:r>
        <w:rPr>
          <w:color w:val="231F20"/>
          <w:spacing w:val="-28"/>
          <w:w w:val="105"/>
        </w:rPr>
        <w:t> </w:t>
      </w:r>
      <w:r>
        <w:rPr>
          <w:color w:val="231F20"/>
          <w:w w:val="105"/>
        </w:rPr>
        <w:t>ascensos laborales en aquella entidad: cocineros (7), fierrero y soldador en</w:t>
      </w:r>
      <w:r>
        <w:rPr>
          <w:color w:val="231F20"/>
          <w:spacing w:val="-33"/>
          <w:w w:val="105"/>
        </w:rPr>
        <w:t> </w:t>
      </w:r>
      <w:r>
        <w:rPr>
          <w:color w:val="231F20"/>
          <w:w w:val="105"/>
        </w:rPr>
        <w:t>cons- trucción</w:t>
      </w:r>
      <w:r>
        <w:rPr>
          <w:color w:val="231F20"/>
          <w:spacing w:val="-15"/>
          <w:w w:val="105"/>
        </w:rPr>
        <w:t> </w:t>
      </w:r>
      <w:r>
        <w:rPr>
          <w:color w:val="231F20"/>
          <w:w w:val="105"/>
        </w:rPr>
        <w:t>(5),</w:t>
      </w:r>
      <w:r>
        <w:rPr>
          <w:color w:val="231F20"/>
          <w:spacing w:val="-19"/>
          <w:w w:val="105"/>
        </w:rPr>
        <w:t> </w:t>
      </w:r>
      <w:r>
        <w:rPr>
          <w:color w:val="231F20"/>
          <w:w w:val="105"/>
        </w:rPr>
        <w:t>jefe</w:t>
      </w:r>
      <w:r>
        <w:rPr>
          <w:color w:val="231F20"/>
          <w:spacing w:val="-15"/>
          <w:w w:val="105"/>
        </w:rPr>
        <w:t> </w:t>
      </w:r>
      <w:r>
        <w:rPr>
          <w:color w:val="231F20"/>
          <w:w w:val="105"/>
        </w:rPr>
        <w:t>de</w:t>
      </w:r>
      <w:r>
        <w:rPr>
          <w:color w:val="231F20"/>
          <w:spacing w:val="-15"/>
          <w:w w:val="105"/>
        </w:rPr>
        <w:t> </w:t>
      </w:r>
      <w:r>
        <w:rPr>
          <w:color w:val="231F20"/>
          <w:w w:val="105"/>
        </w:rPr>
        <w:t>grupo</w:t>
      </w:r>
      <w:r>
        <w:rPr>
          <w:color w:val="231F20"/>
          <w:spacing w:val="-15"/>
          <w:w w:val="105"/>
        </w:rPr>
        <w:t> </w:t>
      </w:r>
      <w:r>
        <w:rPr>
          <w:color w:val="231F20"/>
          <w:w w:val="105"/>
        </w:rPr>
        <w:t>en</w:t>
      </w:r>
      <w:r>
        <w:rPr>
          <w:color w:val="231F20"/>
          <w:spacing w:val="-15"/>
          <w:w w:val="105"/>
        </w:rPr>
        <w:t> </w:t>
      </w:r>
      <w:r>
        <w:rPr>
          <w:color w:val="231F20"/>
          <w:w w:val="105"/>
        </w:rPr>
        <w:t>fábrica</w:t>
      </w:r>
      <w:r>
        <w:rPr>
          <w:color w:val="231F20"/>
          <w:spacing w:val="-15"/>
          <w:w w:val="105"/>
        </w:rPr>
        <w:t> </w:t>
      </w:r>
      <w:r>
        <w:rPr>
          <w:color w:val="231F20"/>
          <w:w w:val="105"/>
        </w:rPr>
        <w:t>(4),</w:t>
      </w:r>
      <w:r>
        <w:rPr>
          <w:color w:val="231F20"/>
          <w:spacing w:val="-19"/>
          <w:w w:val="105"/>
        </w:rPr>
        <w:t> </w:t>
      </w:r>
      <w:r>
        <w:rPr>
          <w:color w:val="231F20"/>
          <w:w w:val="105"/>
        </w:rPr>
        <w:t>contratista</w:t>
      </w:r>
      <w:r>
        <w:rPr>
          <w:color w:val="231F20"/>
          <w:spacing w:val="-15"/>
          <w:w w:val="105"/>
        </w:rPr>
        <w:t> </w:t>
      </w:r>
      <w:r>
        <w:rPr>
          <w:color w:val="231F20"/>
          <w:w w:val="105"/>
        </w:rPr>
        <w:t>(2),</w:t>
      </w:r>
      <w:r>
        <w:rPr>
          <w:color w:val="231F20"/>
          <w:spacing w:val="-19"/>
          <w:w w:val="105"/>
        </w:rPr>
        <w:t> </w:t>
      </w:r>
      <w:r>
        <w:rPr>
          <w:color w:val="231F20"/>
          <w:w w:val="105"/>
        </w:rPr>
        <w:t>supervisores</w:t>
      </w:r>
      <w:r>
        <w:rPr>
          <w:color w:val="231F20"/>
          <w:spacing w:val="-15"/>
          <w:w w:val="105"/>
        </w:rPr>
        <w:t> </w:t>
      </w:r>
      <w:r>
        <w:rPr>
          <w:color w:val="231F20"/>
          <w:w w:val="105"/>
        </w:rPr>
        <w:t>(2), jefe de control de calidad en fábrica (1). </w:t>
      </w:r>
      <w:r>
        <w:rPr>
          <w:color w:val="231F20"/>
          <w:spacing w:val="-3"/>
          <w:w w:val="105"/>
        </w:rPr>
        <w:t>Puede </w:t>
      </w:r>
      <w:r>
        <w:rPr>
          <w:color w:val="231F20"/>
          <w:w w:val="105"/>
        </w:rPr>
        <w:t>afirmarse que ocho as- censos fueron logrados por retornados que en </w:t>
      </w:r>
      <w:r>
        <w:rPr>
          <w:color w:val="231F20"/>
          <w:spacing w:val="-5"/>
          <w:w w:val="105"/>
        </w:rPr>
        <w:t>Texas </w:t>
      </w:r>
      <w:r>
        <w:rPr>
          <w:color w:val="231F20"/>
          <w:w w:val="105"/>
        </w:rPr>
        <w:t>realizaron</w:t>
      </w:r>
      <w:r>
        <w:rPr>
          <w:color w:val="231F20"/>
          <w:spacing w:val="-41"/>
          <w:w w:val="105"/>
        </w:rPr>
        <w:t> </w:t>
      </w:r>
      <w:r>
        <w:rPr>
          <w:color w:val="231F20"/>
          <w:w w:val="105"/>
        </w:rPr>
        <w:t>labores similares a las que hacían en México, los otros 13 fueron obtenidos en distintos</w:t>
      </w:r>
      <w:r>
        <w:rPr>
          <w:color w:val="231F20"/>
          <w:spacing w:val="-18"/>
          <w:w w:val="105"/>
        </w:rPr>
        <w:t> </w:t>
      </w:r>
      <w:r>
        <w:rPr>
          <w:color w:val="231F20"/>
          <w:w w:val="105"/>
        </w:rPr>
        <w:t>empleos.</w:t>
      </w:r>
      <w:r>
        <w:rPr>
          <w:color w:val="231F20"/>
          <w:w w:val="105"/>
          <w:position w:val="7"/>
          <w:sz w:val="12"/>
        </w:rPr>
        <w:t>6</w:t>
      </w:r>
    </w:p>
    <w:p>
      <w:pPr>
        <w:pStyle w:val="BodyText"/>
        <w:spacing w:line="261" w:lineRule="auto" w:before="1"/>
        <w:ind w:left="1723" w:right="1828" w:firstLine="567"/>
        <w:jc w:val="both"/>
      </w:pPr>
      <w:r>
        <w:rPr>
          <w:color w:val="231F20"/>
          <w:w w:val="105"/>
        </w:rPr>
        <w:t>Esto</w:t>
      </w:r>
      <w:r>
        <w:rPr>
          <w:color w:val="231F20"/>
          <w:spacing w:val="-12"/>
          <w:w w:val="105"/>
        </w:rPr>
        <w:t> </w:t>
      </w:r>
      <w:r>
        <w:rPr>
          <w:color w:val="231F20"/>
          <w:w w:val="105"/>
        </w:rPr>
        <w:t>corrobora</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ellos</w:t>
      </w:r>
      <w:r>
        <w:rPr>
          <w:color w:val="231F20"/>
          <w:spacing w:val="-12"/>
          <w:w w:val="105"/>
        </w:rPr>
        <w:t> </w:t>
      </w:r>
      <w:r>
        <w:rPr>
          <w:color w:val="231F20"/>
          <w:w w:val="105"/>
        </w:rPr>
        <w:t>mismos</w:t>
      </w:r>
      <w:r>
        <w:rPr>
          <w:color w:val="231F20"/>
          <w:spacing w:val="-12"/>
          <w:w w:val="105"/>
        </w:rPr>
        <w:t> </w:t>
      </w:r>
      <w:r>
        <w:rPr>
          <w:color w:val="231F20"/>
          <w:w w:val="105"/>
        </w:rPr>
        <w:t>afirman,</w:t>
      </w:r>
      <w:r>
        <w:rPr>
          <w:color w:val="231F20"/>
          <w:spacing w:val="-17"/>
          <w:w w:val="105"/>
        </w:rPr>
        <w:t> </w:t>
      </w:r>
      <w:r>
        <w:rPr>
          <w:color w:val="231F20"/>
          <w:w w:val="105"/>
        </w:rPr>
        <w:t>si</w:t>
      </w:r>
      <w:r>
        <w:rPr>
          <w:color w:val="231F20"/>
          <w:spacing w:val="-12"/>
          <w:w w:val="105"/>
        </w:rPr>
        <w:t> </w:t>
      </w:r>
      <w:r>
        <w:rPr>
          <w:color w:val="231F20"/>
          <w:w w:val="105"/>
        </w:rPr>
        <w:t>bien</w:t>
      </w:r>
      <w:r>
        <w:rPr>
          <w:color w:val="231F20"/>
          <w:spacing w:val="-12"/>
          <w:w w:val="105"/>
        </w:rPr>
        <w:t> </w:t>
      </w:r>
      <w:r>
        <w:rPr>
          <w:color w:val="231F20"/>
          <w:w w:val="105"/>
        </w:rPr>
        <w:t>la</w:t>
      </w:r>
      <w:r>
        <w:rPr>
          <w:color w:val="231F20"/>
          <w:spacing w:val="-12"/>
          <w:w w:val="105"/>
        </w:rPr>
        <w:t> </w:t>
      </w:r>
      <w:r>
        <w:rPr>
          <w:color w:val="231F20"/>
          <w:w w:val="105"/>
        </w:rPr>
        <w:t>escolaridad, experiencia</w:t>
      </w:r>
      <w:r>
        <w:rPr>
          <w:color w:val="231F20"/>
          <w:spacing w:val="-14"/>
          <w:w w:val="105"/>
        </w:rPr>
        <w:t> </w:t>
      </w:r>
      <w:r>
        <w:rPr>
          <w:color w:val="231F20"/>
          <w:w w:val="105"/>
        </w:rPr>
        <w:t>laboral</w:t>
      </w:r>
      <w:r>
        <w:rPr>
          <w:color w:val="231F20"/>
          <w:spacing w:val="-14"/>
          <w:w w:val="105"/>
        </w:rPr>
        <w:t> </w:t>
      </w:r>
      <w:r>
        <w:rPr>
          <w:color w:val="231F20"/>
          <w:w w:val="105"/>
        </w:rPr>
        <w:t>y</w:t>
      </w:r>
      <w:r>
        <w:rPr>
          <w:color w:val="231F20"/>
          <w:spacing w:val="-14"/>
          <w:w w:val="105"/>
        </w:rPr>
        <w:t> </w:t>
      </w:r>
      <w:r>
        <w:rPr>
          <w:color w:val="231F20"/>
          <w:w w:val="105"/>
        </w:rPr>
        <w:t>demás</w:t>
      </w:r>
      <w:r>
        <w:rPr>
          <w:color w:val="231F20"/>
          <w:spacing w:val="-14"/>
          <w:w w:val="105"/>
        </w:rPr>
        <w:t> </w:t>
      </w:r>
      <w:r>
        <w:rPr>
          <w:color w:val="231F20"/>
          <w:w w:val="105"/>
        </w:rPr>
        <w:t>cosas</w:t>
      </w:r>
      <w:r>
        <w:rPr>
          <w:color w:val="231F20"/>
          <w:spacing w:val="-14"/>
          <w:w w:val="105"/>
        </w:rPr>
        <w:t> </w:t>
      </w:r>
      <w:r>
        <w:rPr>
          <w:color w:val="231F20"/>
          <w:w w:val="105"/>
        </w:rPr>
        <w:t>que</w:t>
      </w:r>
      <w:r>
        <w:rPr>
          <w:color w:val="231F20"/>
          <w:spacing w:val="-14"/>
          <w:w w:val="105"/>
        </w:rPr>
        <w:t> </w:t>
      </w:r>
      <w:r>
        <w:rPr>
          <w:color w:val="231F20"/>
          <w:w w:val="105"/>
        </w:rPr>
        <w:t>llevan</w:t>
      </w:r>
      <w:r>
        <w:rPr>
          <w:color w:val="231F20"/>
          <w:spacing w:val="-14"/>
          <w:w w:val="105"/>
        </w:rPr>
        <w:t> </w:t>
      </w:r>
      <w:r>
        <w:rPr>
          <w:color w:val="231F20"/>
          <w:w w:val="105"/>
        </w:rPr>
        <w:t>desde</w:t>
      </w:r>
      <w:r>
        <w:rPr>
          <w:color w:val="231F20"/>
          <w:spacing w:val="-14"/>
          <w:w w:val="105"/>
        </w:rPr>
        <w:t> </w:t>
      </w:r>
      <w:r>
        <w:rPr>
          <w:color w:val="231F20"/>
          <w:w w:val="105"/>
        </w:rPr>
        <w:t>México</w:t>
      </w:r>
      <w:r>
        <w:rPr>
          <w:color w:val="231F20"/>
          <w:spacing w:val="-14"/>
          <w:w w:val="105"/>
        </w:rPr>
        <w:t> </w:t>
      </w:r>
      <w:r>
        <w:rPr>
          <w:color w:val="231F20"/>
          <w:w w:val="105"/>
        </w:rPr>
        <w:t>no</w:t>
      </w:r>
      <w:r>
        <w:rPr>
          <w:color w:val="231F20"/>
          <w:spacing w:val="-14"/>
          <w:w w:val="105"/>
        </w:rPr>
        <w:t> </w:t>
      </w:r>
      <w:r>
        <w:rPr>
          <w:color w:val="231F20"/>
          <w:w w:val="105"/>
        </w:rPr>
        <w:t>los</w:t>
      </w:r>
      <w:r>
        <w:rPr>
          <w:color w:val="231F20"/>
          <w:spacing w:val="-14"/>
          <w:w w:val="105"/>
        </w:rPr>
        <w:t> </w:t>
      </w:r>
      <w:r>
        <w:rPr>
          <w:color w:val="231F20"/>
          <w:w w:val="105"/>
        </w:rPr>
        <w:t>reco- nocen</w:t>
      </w:r>
      <w:r>
        <w:rPr>
          <w:color w:val="231F20"/>
          <w:spacing w:val="-20"/>
          <w:w w:val="105"/>
        </w:rPr>
        <w:t> </w:t>
      </w:r>
      <w:r>
        <w:rPr>
          <w:color w:val="231F20"/>
          <w:w w:val="105"/>
        </w:rPr>
        <w:t>en</w:t>
      </w:r>
      <w:r>
        <w:rPr>
          <w:color w:val="231F20"/>
          <w:spacing w:val="-20"/>
          <w:w w:val="105"/>
        </w:rPr>
        <w:t> </w:t>
      </w:r>
      <w:r>
        <w:rPr>
          <w:color w:val="231F20"/>
          <w:w w:val="105"/>
        </w:rPr>
        <w:t>Estados</w:t>
      </w:r>
      <w:r>
        <w:rPr>
          <w:color w:val="231F20"/>
          <w:spacing w:val="-20"/>
          <w:w w:val="105"/>
        </w:rPr>
        <w:t> </w:t>
      </w:r>
      <w:r>
        <w:rPr>
          <w:color w:val="231F20"/>
          <w:w w:val="105"/>
        </w:rPr>
        <w:t>Unidos,</w:t>
      </w:r>
      <w:r>
        <w:rPr>
          <w:color w:val="231F20"/>
          <w:spacing w:val="-25"/>
          <w:w w:val="105"/>
        </w:rPr>
        <w:t> </w:t>
      </w:r>
      <w:r>
        <w:rPr>
          <w:color w:val="231F20"/>
          <w:w w:val="105"/>
        </w:rPr>
        <w:t>a</w:t>
      </w:r>
      <w:r>
        <w:rPr>
          <w:color w:val="231F20"/>
          <w:spacing w:val="-20"/>
          <w:w w:val="105"/>
        </w:rPr>
        <w:t> </w:t>
      </w:r>
      <w:r>
        <w:rPr>
          <w:color w:val="231F20"/>
          <w:w w:val="105"/>
        </w:rPr>
        <w:t>ellos</w:t>
      </w:r>
      <w:r>
        <w:rPr>
          <w:color w:val="231F20"/>
          <w:spacing w:val="-20"/>
          <w:w w:val="105"/>
        </w:rPr>
        <w:t> </w:t>
      </w:r>
      <w:r>
        <w:rPr>
          <w:color w:val="231F20"/>
          <w:w w:val="105"/>
        </w:rPr>
        <w:t>los</w:t>
      </w:r>
      <w:r>
        <w:rPr>
          <w:color w:val="231F20"/>
          <w:spacing w:val="-20"/>
          <w:w w:val="105"/>
        </w:rPr>
        <w:t> </w:t>
      </w:r>
      <w:r>
        <w:rPr>
          <w:color w:val="231F20"/>
          <w:w w:val="105"/>
        </w:rPr>
        <w:t>emplean</w:t>
      </w:r>
      <w:r>
        <w:rPr>
          <w:color w:val="231F20"/>
          <w:spacing w:val="-20"/>
          <w:w w:val="105"/>
        </w:rPr>
        <w:t> </w:t>
      </w:r>
      <w:r>
        <w:rPr>
          <w:color w:val="231F20"/>
          <w:w w:val="105"/>
        </w:rPr>
        <w:t>como</w:t>
      </w:r>
      <w:r>
        <w:rPr>
          <w:color w:val="231F20"/>
          <w:spacing w:val="-20"/>
          <w:w w:val="105"/>
        </w:rPr>
        <w:t> </w:t>
      </w:r>
      <w:r>
        <w:rPr>
          <w:color w:val="231F20"/>
          <w:w w:val="105"/>
        </w:rPr>
        <w:t>plataforma</w:t>
      </w:r>
      <w:r>
        <w:rPr>
          <w:color w:val="231F20"/>
          <w:spacing w:val="-20"/>
          <w:w w:val="105"/>
        </w:rPr>
        <w:t> </w:t>
      </w:r>
      <w:r>
        <w:rPr>
          <w:color w:val="231F20"/>
          <w:w w:val="105"/>
        </w:rPr>
        <w:t>al</w:t>
      </w:r>
      <w:r>
        <w:rPr>
          <w:color w:val="231F20"/>
          <w:spacing w:val="-20"/>
          <w:w w:val="105"/>
        </w:rPr>
        <w:t> </w:t>
      </w:r>
      <w:r>
        <w:rPr>
          <w:color w:val="231F20"/>
          <w:w w:val="105"/>
        </w:rPr>
        <w:t>apren- dizaje</w:t>
      </w:r>
      <w:r>
        <w:rPr>
          <w:color w:val="231F20"/>
          <w:spacing w:val="-6"/>
          <w:w w:val="105"/>
        </w:rPr>
        <w:t> </w:t>
      </w:r>
      <w:r>
        <w:rPr>
          <w:color w:val="231F20"/>
          <w:w w:val="105"/>
        </w:rPr>
        <w:t>socio</w:t>
      </w:r>
      <w:r>
        <w:rPr>
          <w:color w:val="231F20"/>
          <w:spacing w:val="-6"/>
          <w:w w:val="105"/>
        </w:rPr>
        <w:t> </w:t>
      </w:r>
      <w:r>
        <w:rPr>
          <w:color w:val="231F20"/>
          <w:w w:val="105"/>
        </w:rPr>
        <w:t>laboral.</w:t>
      </w:r>
      <w:r>
        <w:rPr>
          <w:color w:val="231F20"/>
          <w:spacing w:val="-11"/>
          <w:w w:val="105"/>
        </w:rPr>
        <w:t> </w:t>
      </w:r>
      <w:r>
        <w:rPr>
          <w:color w:val="231F20"/>
          <w:w w:val="105"/>
        </w:rPr>
        <w:t>En</w:t>
      </w:r>
      <w:r>
        <w:rPr>
          <w:color w:val="231F20"/>
          <w:spacing w:val="-6"/>
          <w:w w:val="105"/>
        </w:rPr>
        <w:t> </w:t>
      </w:r>
      <w:r>
        <w:rPr>
          <w:color w:val="231F20"/>
          <w:w w:val="105"/>
        </w:rPr>
        <w:t>realidad</w:t>
      </w:r>
      <w:r>
        <w:rPr>
          <w:color w:val="231F20"/>
          <w:spacing w:val="-6"/>
          <w:w w:val="105"/>
        </w:rPr>
        <w:t> </w:t>
      </w:r>
      <w:r>
        <w:rPr>
          <w:color w:val="231F20"/>
          <w:w w:val="105"/>
        </w:rPr>
        <w:t>los</w:t>
      </w:r>
      <w:r>
        <w:rPr>
          <w:color w:val="231F20"/>
          <w:spacing w:val="-6"/>
          <w:w w:val="105"/>
        </w:rPr>
        <w:t> </w:t>
      </w:r>
      <w:r>
        <w:rPr>
          <w:color w:val="231F20"/>
          <w:w w:val="105"/>
        </w:rPr>
        <w:t>ascensos</w:t>
      </w:r>
      <w:r>
        <w:rPr>
          <w:color w:val="231F20"/>
          <w:spacing w:val="-6"/>
          <w:w w:val="105"/>
        </w:rPr>
        <w:t> </w:t>
      </w:r>
      <w:r>
        <w:rPr>
          <w:color w:val="231F20"/>
          <w:w w:val="105"/>
        </w:rPr>
        <w:t>laborales</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extranjero reflejan</w:t>
      </w:r>
      <w:r>
        <w:rPr>
          <w:color w:val="231F20"/>
          <w:spacing w:val="-15"/>
          <w:w w:val="105"/>
        </w:rPr>
        <w:t> </w:t>
      </w:r>
      <w:r>
        <w:rPr>
          <w:color w:val="231F20"/>
          <w:w w:val="105"/>
        </w:rPr>
        <w:t>la</w:t>
      </w:r>
      <w:r>
        <w:rPr>
          <w:color w:val="231F20"/>
          <w:spacing w:val="-15"/>
          <w:w w:val="105"/>
        </w:rPr>
        <w:t> </w:t>
      </w:r>
      <w:r>
        <w:rPr>
          <w:color w:val="231F20"/>
          <w:w w:val="105"/>
        </w:rPr>
        <w:t>adquisición</w:t>
      </w:r>
      <w:r>
        <w:rPr>
          <w:color w:val="231F20"/>
          <w:spacing w:val="-15"/>
          <w:w w:val="105"/>
        </w:rPr>
        <w:t> </w:t>
      </w:r>
      <w:r>
        <w:rPr>
          <w:color w:val="231F20"/>
          <w:w w:val="105"/>
        </w:rPr>
        <w:t>de</w:t>
      </w:r>
      <w:r>
        <w:rPr>
          <w:color w:val="231F20"/>
          <w:spacing w:val="-15"/>
          <w:w w:val="105"/>
        </w:rPr>
        <w:t> </w:t>
      </w:r>
      <w:r>
        <w:rPr>
          <w:color w:val="231F20"/>
          <w:w w:val="105"/>
        </w:rPr>
        <w:t>conocimientos</w:t>
      </w:r>
      <w:r>
        <w:rPr>
          <w:color w:val="231F20"/>
          <w:spacing w:val="-15"/>
          <w:w w:val="105"/>
        </w:rPr>
        <w:t> </w:t>
      </w:r>
      <w:r>
        <w:rPr>
          <w:color w:val="231F20"/>
          <w:w w:val="105"/>
        </w:rPr>
        <w:t>calificados</w:t>
      </w:r>
      <w:r>
        <w:rPr>
          <w:color w:val="231F20"/>
          <w:spacing w:val="-15"/>
          <w:w w:val="105"/>
        </w:rPr>
        <w:t> </w:t>
      </w:r>
      <w:r>
        <w:rPr>
          <w:color w:val="231F20"/>
          <w:w w:val="105"/>
        </w:rPr>
        <w:t>y</w:t>
      </w:r>
      <w:r>
        <w:rPr>
          <w:color w:val="231F20"/>
          <w:spacing w:val="-15"/>
          <w:w w:val="105"/>
        </w:rPr>
        <w:t> </w:t>
      </w:r>
      <w:r>
        <w:rPr>
          <w:color w:val="231F20"/>
          <w:w w:val="105"/>
        </w:rPr>
        <w:t>actitudes</w:t>
      </w:r>
      <w:r>
        <w:rPr>
          <w:color w:val="231F20"/>
          <w:spacing w:val="-15"/>
          <w:w w:val="105"/>
        </w:rPr>
        <w:t> </w:t>
      </w:r>
      <w:r>
        <w:rPr>
          <w:color w:val="231F20"/>
          <w:w w:val="105"/>
        </w:rPr>
        <w:t>persona- les</w:t>
      </w:r>
      <w:r>
        <w:rPr>
          <w:color w:val="231F20"/>
          <w:spacing w:val="-38"/>
          <w:w w:val="105"/>
        </w:rPr>
        <w:t> </w:t>
      </w:r>
      <w:r>
        <w:rPr>
          <w:color w:val="231F20"/>
          <w:w w:val="105"/>
        </w:rPr>
        <w:t>asociadas</w:t>
      </w:r>
      <w:r>
        <w:rPr>
          <w:color w:val="231F20"/>
          <w:spacing w:val="-38"/>
          <w:w w:val="105"/>
        </w:rPr>
        <w:t> </w:t>
      </w:r>
      <w:r>
        <w:rPr>
          <w:color w:val="231F20"/>
          <w:w w:val="105"/>
        </w:rPr>
        <w:t>a</w:t>
      </w:r>
      <w:r>
        <w:rPr>
          <w:color w:val="231F20"/>
          <w:spacing w:val="-38"/>
          <w:w w:val="105"/>
        </w:rPr>
        <w:t> </w:t>
      </w:r>
      <w:r>
        <w:rPr>
          <w:color w:val="231F20"/>
          <w:w w:val="105"/>
        </w:rPr>
        <w:t>las</w:t>
      </w:r>
      <w:r>
        <w:rPr>
          <w:color w:val="231F20"/>
          <w:spacing w:val="-38"/>
          <w:w w:val="105"/>
        </w:rPr>
        <w:t> </w:t>
      </w:r>
      <w:r>
        <w:rPr>
          <w:color w:val="231F20"/>
          <w:w w:val="105"/>
        </w:rPr>
        <w:t>tareas</w:t>
      </w:r>
      <w:r>
        <w:rPr>
          <w:color w:val="231F20"/>
          <w:spacing w:val="-38"/>
          <w:w w:val="105"/>
        </w:rPr>
        <w:t> </w:t>
      </w:r>
      <w:r>
        <w:rPr>
          <w:color w:val="231F20"/>
          <w:w w:val="105"/>
        </w:rPr>
        <w:t>que</w:t>
      </w:r>
      <w:r>
        <w:rPr>
          <w:color w:val="231F20"/>
          <w:spacing w:val="-38"/>
          <w:w w:val="105"/>
        </w:rPr>
        <w:t> </w:t>
      </w:r>
      <w:r>
        <w:rPr>
          <w:color w:val="231F20"/>
          <w:w w:val="105"/>
        </w:rPr>
        <w:t>realizan.</w:t>
      </w:r>
    </w:p>
    <w:p>
      <w:pPr>
        <w:pStyle w:val="BodyText"/>
        <w:spacing w:before="4"/>
      </w:pPr>
    </w:p>
    <w:p>
      <w:pPr>
        <w:spacing w:before="0"/>
        <w:ind w:left="2011" w:right="0" w:firstLine="0"/>
        <w:jc w:val="left"/>
        <w:rPr>
          <w:rFonts w:ascii="Arial" w:hAnsi="Arial"/>
          <w:sz w:val="18"/>
        </w:rPr>
      </w:pPr>
      <w:r>
        <w:rPr>
          <w:rFonts w:ascii="Arial" w:hAnsi="Arial"/>
          <w:color w:val="231F20"/>
          <w:w w:val="105"/>
          <w:sz w:val="18"/>
        </w:rPr>
        <w:t>Cuadro 5. Conocimiento llevado de México, según tareas realizadas en Texas</w:t>
      </w:r>
    </w:p>
    <w:p>
      <w:pPr>
        <w:pStyle w:val="BodyText"/>
        <w:spacing w:before="5"/>
        <w:rPr>
          <w:rFonts w:ascii="Arial"/>
          <w:sz w:val="13"/>
        </w:rPr>
      </w:pPr>
    </w:p>
    <w:tbl>
      <w:tblPr>
        <w:tblW w:w="0" w:type="auto"/>
        <w:jc w:val="left"/>
        <w:tblInd w:w="199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055"/>
        <w:gridCol w:w="1069"/>
        <w:gridCol w:w="1244"/>
      </w:tblGrid>
      <w:tr>
        <w:trPr>
          <w:trHeight w:val="360" w:hRule="exact"/>
        </w:trPr>
        <w:tc>
          <w:tcPr>
            <w:tcW w:w="4055" w:type="dxa"/>
            <w:vMerge w:val="restart"/>
          </w:tcPr>
          <w:p>
            <w:pPr>
              <w:pStyle w:val="TableParagraph"/>
              <w:spacing w:before="4"/>
              <w:rPr>
                <w:rFonts w:ascii="Arial"/>
                <w:sz w:val="23"/>
              </w:rPr>
            </w:pPr>
          </w:p>
          <w:p>
            <w:pPr>
              <w:pStyle w:val="TableParagraph"/>
              <w:spacing w:before="0"/>
              <w:ind w:left="963"/>
              <w:rPr>
                <w:rFonts w:ascii="Arial"/>
                <w:sz w:val="18"/>
              </w:rPr>
            </w:pPr>
            <w:r>
              <w:rPr>
                <w:rFonts w:ascii="Arial"/>
                <w:color w:val="231F20"/>
                <w:sz w:val="18"/>
              </w:rPr>
              <w:t>Tareas realizadas en Texas</w:t>
            </w:r>
          </w:p>
        </w:tc>
        <w:tc>
          <w:tcPr>
            <w:tcW w:w="2313" w:type="dxa"/>
            <w:gridSpan w:val="2"/>
          </w:tcPr>
          <w:p>
            <w:pPr>
              <w:pStyle w:val="TableParagraph"/>
              <w:spacing w:before="98"/>
              <w:ind w:left="125"/>
              <w:rPr>
                <w:rFonts w:ascii="Arial" w:hAnsi="Arial"/>
                <w:sz w:val="18"/>
              </w:rPr>
            </w:pPr>
            <w:r>
              <w:rPr>
                <w:rFonts w:ascii="Arial" w:hAnsi="Arial"/>
                <w:color w:val="231F20"/>
                <w:w w:val="105"/>
                <w:sz w:val="18"/>
              </w:rPr>
              <w:t>Conocimiento de México</w:t>
            </w:r>
          </w:p>
        </w:tc>
      </w:tr>
      <w:tr>
        <w:trPr>
          <w:trHeight w:val="340" w:hRule="exact"/>
        </w:trPr>
        <w:tc>
          <w:tcPr>
            <w:tcW w:w="4055" w:type="dxa"/>
            <w:vMerge/>
          </w:tcPr>
          <w:p>
            <w:pPr/>
          </w:p>
        </w:tc>
        <w:tc>
          <w:tcPr>
            <w:tcW w:w="1069" w:type="dxa"/>
          </w:tcPr>
          <w:p>
            <w:pPr>
              <w:pStyle w:val="TableParagraph"/>
              <w:spacing w:before="88"/>
              <w:ind w:left="265"/>
              <w:rPr>
                <w:rFonts w:ascii="Arial" w:hAnsi="Arial"/>
                <w:sz w:val="18"/>
              </w:rPr>
            </w:pPr>
            <w:r>
              <w:rPr>
                <w:rFonts w:ascii="Arial" w:hAnsi="Arial"/>
                <w:color w:val="231F20"/>
                <w:sz w:val="18"/>
              </w:rPr>
              <w:t>Básico</w:t>
            </w:r>
          </w:p>
        </w:tc>
        <w:tc>
          <w:tcPr>
            <w:tcW w:w="1244" w:type="dxa"/>
          </w:tcPr>
          <w:p>
            <w:pPr>
              <w:pStyle w:val="TableParagraph"/>
              <w:spacing w:before="88"/>
              <w:ind w:left="208"/>
              <w:rPr>
                <w:rFonts w:ascii="Arial"/>
                <w:sz w:val="18"/>
              </w:rPr>
            </w:pPr>
            <w:r>
              <w:rPr>
                <w:rFonts w:ascii="Arial"/>
                <w:color w:val="231F20"/>
                <w:w w:val="105"/>
                <w:sz w:val="18"/>
              </w:rPr>
              <w:t>Calificado</w:t>
            </w:r>
          </w:p>
        </w:tc>
      </w:tr>
      <w:tr>
        <w:trPr>
          <w:trHeight w:val="340" w:hRule="exact"/>
        </w:trPr>
        <w:tc>
          <w:tcPr>
            <w:tcW w:w="4055" w:type="dxa"/>
          </w:tcPr>
          <w:p>
            <w:pPr>
              <w:pStyle w:val="TableParagraph"/>
              <w:ind w:left="77"/>
              <w:rPr>
                <w:sz w:val="18"/>
              </w:rPr>
            </w:pPr>
            <w:r>
              <w:rPr>
                <w:color w:val="231F20"/>
                <w:w w:val="105"/>
                <w:sz w:val="18"/>
              </w:rPr>
              <w:t>Cocinero, hacer comida italiana, griega, china</w:t>
            </w:r>
          </w:p>
        </w:tc>
        <w:tc>
          <w:tcPr>
            <w:tcW w:w="1069" w:type="dxa"/>
          </w:tcPr>
          <w:p>
            <w:pPr>
              <w:pStyle w:val="TableParagraph"/>
              <w:ind w:left="77"/>
              <w:rPr>
                <w:sz w:val="18"/>
              </w:rPr>
            </w:pPr>
            <w:r>
              <w:rPr>
                <w:color w:val="231F20"/>
                <w:w w:val="104"/>
                <w:sz w:val="18"/>
              </w:rPr>
              <w:t>9</w:t>
            </w:r>
          </w:p>
        </w:tc>
        <w:tc>
          <w:tcPr>
            <w:tcW w:w="1244" w:type="dxa"/>
          </w:tcPr>
          <w:p>
            <w:pPr>
              <w:pStyle w:val="TableParagraph"/>
              <w:ind w:left="77"/>
              <w:rPr>
                <w:sz w:val="18"/>
              </w:rPr>
            </w:pPr>
            <w:r>
              <w:rPr>
                <w:color w:val="231F20"/>
                <w:w w:val="104"/>
                <w:sz w:val="18"/>
              </w:rPr>
              <w:t>2</w:t>
            </w:r>
          </w:p>
        </w:tc>
      </w:tr>
      <w:tr>
        <w:trPr>
          <w:trHeight w:val="340" w:hRule="exact"/>
        </w:trPr>
        <w:tc>
          <w:tcPr>
            <w:tcW w:w="4055" w:type="dxa"/>
          </w:tcPr>
          <w:p>
            <w:pPr>
              <w:pStyle w:val="TableParagraph"/>
              <w:ind w:left="77"/>
              <w:rPr>
                <w:sz w:val="18"/>
              </w:rPr>
            </w:pPr>
            <w:r>
              <w:rPr>
                <w:color w:val="231F20"/>
                <w:w w:val="105"/>
                <w:sz w:val="18"/>
              </w:rPr>
              <w:t>Ayudante de albañil en general</w:t>
            </w:r>
          </w:p>
        </w:tc>
        <w:tc>
          <w:tcPr>
            <w:tcW w:w="1069" w:type="dxa"/>
          </w:tcPr>
          <w:p>
            <w:pPr>
              <w:pStyle w:val="TableParagraph"/>
              <w:ind w:left="77"/>
              <w:rPr>
                <w:sz w:val="18"/>
              </w:rPr>
            </w:pPr>
            <w:r>
              <w:rPr>
                <w:color w:val="231F20"/>
                <w:w w:val="104"/>
                <w:sz w:val="18"/>
              </w:rPr>
              <w:t>9</w:t>
            </w:r>
          </w:p>
        </w:tc>
        <w:tc>
          <w:tcPr>
            <w:tcW w:w="1244" w:type="dxa"/>
          </w:tcPr>
          <w:p>
            <w:pPr>
              <w:pStyle w:val="TableParagraph"/>
              <w:ind w:left="77"/>
              <w:rPr>
                <w:sz w:val="18"/>
              </w:rPr>
            </w:pPr>
            <w:r>
              <w:rPr>
                <w:color w:val="231F20"/>
                <w:w w:val="104"/>
                <w:sz w:val="18"/>
              </w:rPr>
              <w:t>1</w:t>
            </w:r>
          </w:p>
        </w:tc>
      </w:tr>
      <w:tr>
        <w:trPr>
          <w:trHeight w:val="556" w:hRule="exact"/>
        </w:trPr>
        <w:tc>
          <w:tcPr>
            <w:tcW w:w="4055" w:type="dxa"/>
          </w:tcPr>
          <w:p>
            <w:pPr>
              <w:pStyle w:val="TableParagraph"/>
              <w:spacing w:line="254" w:lineRule="auto"/>
              <w:ind w:left="77"/>
              <w:rPr>
                <w:sz w:val="18"/>
              </w:rPr>
            </w:pPr>
            <w:r>
              <w:rPr>
                <w:color w:val="231F20"/>
                <w:spacing w:val="-4"/>
                <w:w w:val="105"/>
                <w:sz w:val="18"/>
              </w:rPr>
              <w:t>Contratista:</w:t>
            </w:r>
            <w:r>
              <w:rPr>
                <w:color w:val="231F20"/>
                <w:spacing w:val="-29"/>
                <w:w w:val="105"/>
                <w:sz w:val="18"/>
              </w:rPr>
              <w:t> </w:t>
            </w:r>
            <w:r>
              <w:rPr>
                <w:color w:val="231F20"/>
                <w:spacing w:val="-3"/>
                <w:w w:val="105"/>
                <w:sz w:val="18"/>
              </w:rPr>
              <w:t>pisos</w:t>
            </w:r>
            <w:r>
              <w:rPr>
                <w:color w:val="231F20"/>
                <w:spacing w:val="-29"/>
                <w:w w:val="105"/>
                <w:sz w:val="18"/>
              </w:rPr>
              <w:t> </w:t>
            </w:r>
            <w:r>
              <w:rPr>
                <w:color w:val="231F20"/>
                <w:w w:val="105"/>
                <w:sz w:val="18"/>
              </w:rPr>
              <w:t>de</w:t>
            </w:r>
            <w:r>
              <w:rPr>
                <w:color w:val="231F20"/>
                <w:spacing w:val="-29"/>
                <w:w w:val="105"/>
                <w:sz w:val="18"/>
              </w:rPr>
              <w:t> </w:t>
            </w:r>
            <w:r>
              <w:rPr>
                <w:color w:val="231F20"/>
                <w:spacing w:val="-3"/>
                <w:w w:val="105"/>
                <w:sz w:val="18"/>
              </w:rPr>
              <w:t>madera,</w:t>
            </w:r>
            <w:r>
              <w:rPr>
                <w:color w:val="231F20"/>
                <w:spacing w:val="-32"/>
                <w:w w:val="105"/>
                <w:sz w:val="18"/>
              </w:rPr>
              <w:t> </w:t>
            </w:r>
            <w:r>
              <w:rPr>
                <w:color w:val="231F20"/>
                <w:spacing w:val="-3"/>
                <w:w w:val="105"/>
                <w:sz w:val="18"/>
              </w:rPr>
              <w:t>cerámica,</w:t>
            </w:r>
            <w:r>
              <w:rPr>
                <w:color w:val="231F20"/>
                <w:spacing w:val="-32"/>
                <w:w w:val="105"/>
                <w:sz w:val="18"/>
              </w:rPr>
              <w:t> </w:t>
            </w:r>
            <w:r>
              <w:rPr>
                <w:color w:val="231F20"/>
                <w:spacing w:val="-4"/>
                <w:w w:val="105"/>
                <w:sz w:val="18"/>
              </w:rPr>
              <w:t>alfombra, </w:t>
            </w:r>
            <w:r>
              <w:rPr>
                <w:color w:val="231F20"/>
                <w:w w:val="105"/>
                <w:sz w:val="18"/>
              </w:rPr>
              <w:t>tabla</w:t>
            </w:r>
            <w:r>
              <w:rPr>
                <w:color w:val="231F20"/>
                <w:spacing w:val="-28"/>
                <w:w w:val="105"/>
                <w:sz w:val="18"/>
              </w:rPr>
              <w:t> </w:t>
            </w:r>
            <w:r>
              <w:rPr>
                <w:color w:val="231F20"/>
                <w:w w:val="105"/>
                <w:sz w:val="18"/>
              </w:rPr>
              <w:t>roca</w:t>
            </w:r>
          </w:p>
        </w:tc>
        <w:tc>
          <w:tcPr>
            <w:tcW w:w="1069" w:type="dxa"/>
          </w:tcPr>
          <w:p>
            <w:pPr>
              <w:pStyle w:val="TableParagraph"/>
              <w:spacing w:before="4"/>
              <w:rPr>
                <w:rFonts w:ascii="Arial"/>
                <w:sz w:val="17"/>
              </w:rPr>
            </w:pPr>
          </w:p>
          <w:p>
            <w:pPr>
              <w:pStyle w:val="TableParagraph"/>
              <w:spacing w:before="0"/>
              <w:ind w:left="77"/>
              <w:rPr>
                <w:sz w:val="18"/>
              </w:rPr>
            </w:pPr>
            <w:r>
              <w:rPr>
                <w:color w:val="231F20"/>
                <w:w w:val="104"/>
                <w:sz w:val="18"/>
              </w:rPr>
              <w:t>7</w:t>
            </w:r>
          </w:p>
        </w:tc>
        <w:tc>
          <w:tcPr>
            <w:tcW w:w="1244" w:type="dxa"/>
          </w:tcPr>
          <w:p>
            <w:pPr>
              <w:pStyle w:val="TableParagraph"/>
              <w:spacing w:before="4"/>
              <w:rPr>
                <w:rFonts w:ascii="Arial"/>
                <w:sz w:val="17"/>
              </w:rPr>
            </w:pPr>
          </w:p>
          <w:p>
            <w:pPr>
              <w:pStyle w:val="TableParagraph"/>
              <w:spacing w:before="0"/>
              <w:ind w:left="77"/>
              <w:rPr>
                <w:sz w:val="18"/>
              </w:rPr>
            </w:pPr>
            <w:r>
              <w:rPr>
                <w:color w:val="231F20"/>
                <w:w w:val="104"/>
                <w:sz w:val="18"/>
              </w:rPr>
              <w:t>4</w:t>
            </w:r>
          </w:p>
        </w:tc>
      </w:tr>
      <w:tr>
        <w:trPr>
          <w:trHeight w:val="556" w:hRule="exact"/>
        </w:trPr>
        <w:tc>
          <w:tcPr>
            <w:tcW w:w="4055" w:type="dxa"/>
          </w:tcPr>
          <w:p>
            <w:pPr>
              <w:pStyle w:val="TableParagraph"/>
              <w:spacing w:line="254" w:lineRule="auto"/>
              <w:ind w:left="77"/>
              <w:rPr>
                <w:sz w:val="18"/>
              </w:rPr>
            </w:pPr>
            <w:r>
              <w:rPr>
                <w:color w:val="231F20"/>
                <w:w w:val="105"/>
                <w:sz w:val="18"/>
              </w:rPr>
              <w:t>Maneja máquina lavaloza, garrotero, limpieza, mesero</w:t>
            </w:r>
          </w:p>
        </w:tc>
        <w:tc>
          <w:tcPr>
            <w:tcW w:w="1069" w:type="dxa"/>
          </w:tcPr>
          <w:p>
            <w:pPr>
              <w:pStyle w:val="TableParagraph"/>
              <w:spacing w:before="4"/>
              <w:rPr>
                <w:rFonts w:ascii="Arial"/>
                <w:sz w:val="17"/>
              </w:rPr>
            </w:pPr>
          </w:p>
          <w:p>
            <w:pPr>
              <w:pStyle w:val="TableParagraph"/>
              <w:spacing w:before="0"/>
              <w:ind w:left="77"/>
              <w:rPr>
                <w:sz w:val="18"/>
              </w:rPr>
            </w:pPr>
            <w:r>
              <w:rPr>
                <w:color w:val="231F20"/>
                <w:w w:val="104"/>
                <w:sz w:val="18"/>
              </w:rPr>
              <w:t>6</w:t>
            </w:r>
          </w:p>
        </w:tc>
        <w:tc>
          <w:tcPr>
            <w:tcW w:w="1244" w:type="dxa"/>
          </w:tcPr>
          <w:p>
            <w:pPr>
              <w:pStyle w:val="TableParagraph"/>
              <w:spacing w:before="4"/>
              <w:rPr>
                <w:rFonts w:ascii="Arial"/>
                <w:sz w:val="17"/>
              </w:rPr>
            </w:pPr>
          </w:p>
          <w:p>
            <w:pPr>
              <w:pStyle w:val="TableParagraph"/>
              <w:spacing w:before="0"/>
              <w:ind w:left="77"/>
              <w:rPr>
                <w:sz w:val="18"/>
              </w:rPr>
            </w:pPr>
            <w:r>
              <w:rPr>
                <w:color w:val="231F20"/>
                <w:w w:val="104"/>
                <w:sz w:val="18"/>
              </w:rPr>
              <w:t>2</w:t>
            </w:r>
          </w:p>
        </w:tc>
      </w:tr>
    </w:tbl>
    <w:p>
      <w:pPr>
        <w:pStyle w:val="BodyText"/>
        <w:spacing w:before="2"/>
        <w:rPr>
          <w:rFonts w:ascii="Arial"/>
          <w:sz w:val="26"/>
        </w:rPr>
      </w:pPr>
      <w:r>
        <w:rPr/>
        <w:pict>
          <v:line style="position:absolute;mso-position-horizontal-relative:page;mso-position-vertical-relative:paragraph;z-index:29848;mso-wrap-distance-left:0;mso-wrap-distance-right:0" from="86.1968pt,17.1366pt" to="199.5828pt,17.1366pt" stroked="true" strokeweight=".25pt" strokecolor="#231f20">
            <w10:wrap type="topAndBottom"/>
          </v:line>
        </w:pict>
      </w:r>
    </w:p>
    <w:p>
      <w:pPr>
        <w:spacing w:line="192" w:lineRule="exact" w:before="7"/>
        <w:ind w:left="1723" w:right="1834" w:firstLine="0"/>
        <w:jc w:val="both"/>
        <w:rPr>
          <w:rFonts w:ascii="Calibri" w:hAnsi="Calibri"/>
          <w:sz w:val="16"/>
        </w:rPr>
      </w:pPr>
      <w:r>
        <w:rPr>
          <w:rFonts w:ascii="Calibri" w:hAnsi="Calibri"/>
          <w:color w:val="414042"/>
          <w:w w:val="105"/>
          <w:position w:val="5"/>
          <w:sz w:val="9"/>
        </w:rPr>
        <w:t>6</w:t>
      </w:r>
      <w:r>
        <w:rPr>
          <w:rFonts w:ascii="Calibri" w:hAnsi="Calibri"/>
          <w:color w:val="414042"/>
          <w:spacing w:val="8"/>
          <w:w w:val="105"/>
          <w:position w:val="5"/>
          <w:sz w:val="9"/>
        </w:rPr>
        <w:t> </w:t>
      </w:r>
      <w:r>
        <w:rPr>
          <w:rFonts w:ascii="Calibri" w:hAnsi="Calibri"/>
          <w:color w:val="414042"/>
          <w:w w:val="105"/>
          <w:sz w:val="16"/>
        </w:rPr>
        <w:t>La</w:t>
      </w:r>
      <w:r>
        <w:rPr>
          <w:rFonts w:ascii="Calibri" w:hAnsi="Calibri"/>
          <w:color w:val="414042"/>
          <w:spacing w:val="-9"/>
          <w:w w:val="105"/>
          <w:sz w:val="16"/>
        </w:rPr>
        <w:t> </w:t>
      </w:r>
      <w:r>
        <w:rPr>
          <w:rFonts w:ascii="Calibri" w:hAnsi="Calibri"/>
          <w:color w:val="414042"/>
          <w:w w:val="105"/>
          <w:sz w:val="16"/>
        </w:rPr>
        <w:t>experiencia</w:t>
      </w:r>
      <w:r>
        <w:rPr>
          <w:rFonts w:ascii="Calibri" w:hAnsi="Calibri"/>
          <w:color w:val="414042"/>
          <w:spacing w:val="-9"/>
          <w:w w:val="105"/>
          <w:sz w:val="16"/>
        </w:rPr>
        <w:t> </w:t>
      </w:r>
      <w:r>
        <w:rPr>
          <w:rFonts w:ascii="Calibri" w:hAnsi="Calibri"/>
          <w:color w:val="414042"/>
          <w:w w:val="105"/>
          <w:sz w:val="16"/>
        </w:rPr>
        <w:t>laboral</w:t>
      </w:r>
      <w:r>
        <w:rPr>
          <w:rFonts w:ascii="Calibri" w:hAnsi="Calibri"/>
          <w:color w:val="414042"/>
          <w:spacing w:val="-9"/>
          <w:w w:val="105"/>
          <w:sz w:val="16"/>
        </w:rPr>
        <w:t> </w:t>
      </w:r>
      <w:r>
        <w:rPr>
          <w:rFonts w:ascii="Calibri" w:hAnsi="Calibri"/>
          <w:color w:val="414042"/>
          <w:w w:val="105"/>
          <w:sz w:val="16"/>
        </w:rPr>
        <w:t>básica</w:t>
      </w:r>
      <w:r>
        <w:rPr>
          <w:rFonts w:ascii="Calibri" w:hAnsi="Calibri"/>
          <w:color w:val="414042"/>
          <w:spacing w:val="-9"/>
          <w:w w:val="105"/>
          <w:sz w:val="16"/>
        </w:rPr>
        <w:t> </w:t>
      </w:r>
      <w:r>
        <w:rPr>
          <w:rFonts w:ascii="Calibri" w:hAnsi="Calibri"/>
          <w:color w:val="414042"/>
          <w:w w:val="105"/>
          <w:sz w:val="16"/>
        </w:rPr>
        <w:t>que</w:t>
      </w:r>
      <w:r>
        <w:rPr>
          <w:rFonts w:ascii="Calibri" w:hAnsi="Calibri"/>
          <w:color w:val="414042"/>
          <w:spacing w:val="-9"/>
          <w:w w:val="105"/>
          <w:sz w:val="16"/>
        </w:rPr>
        <w:t> </w:t>
      </w:r>
      <w:r>
        <w:rPr>
          <w:rFonts w:ascii="Calibri" w:hAnsi="Calibri"/>
          <w:color w:val="414042"/>
          <w:w w:val="105"/>
          <w:sz w:val="16"/>
        </w:rPr>
        <w:t>más</w:t>
      </w:r>
      <w:r>
        <w:rPr>
          <w:rFonts w:ascii="Calibri" w:hAnsi="Calibri"/>
          <w:color w:val="414042"/>
          <w:spacing w:val="-9"/>
          <w:w w:val="105"/>
          <w:sz w:val="16"/>
        </w:rPr>
        <w:t> </w:t>
      </w:r>
      <w:r>
        <w:rPr>
          <w:rFonts w:ascii="Calibri" w:hAnsi="Calibri"/>
          <w:color w:val="414042"/>
          <w:w w:val="105"/>
          <w:sz w:val="16"/>
        </w:rPr>
        <w:t>emplearon</w:t>
      </w:r>
      <w:r>
        <w:rPr>
          <w:rFonts w:ascii="Calibri" w:hAnsi="Calibri"/>
          <w:color w:val="414042"/>
          <w:spacing w:val="-9"/>
          <w:w w:val="105"/>
          <w:sz w:val="16"/>
        </w:rPr>
        <w:t> </w:t>
      </w:r>
      <w:r>
        <w:rPr>
          <w:rFonts w:ascii="Calibri" w:hAnsi="Calibri"/>
          <w:color w:val="414042"/>
          <w:w w:val="105"/>
          <w:sz w:val="16"/>
        </w:rPr>
        <w:t>los</w:t>
      </w:r>
      <w:r>
        <w:rPr>
          <w:rFonts w:ascii="Calibri" w:hAnsi="Calibri"/>
          <w:color w:val="414042"/>
          <w:spacing w:val="-9"/>
          <w:w w:val="105"/>
          <w:sz w:val="16"/>
        </w:rPr>
        <w:t> </w:t>
      </w:r>
      <w:r>
        <w:rPr>
          <w:rFonts w:ascii="Calibri" w:hAnsi="Calibri"/>
          <w:color w:val="414042"/>
          <w:w w:val="105"/>
          <w:sz w:val="16"/>
        </w:rPr>
        <w:t>retornados</w:t>
      </w:r>
      <w:r>
        <w:rPr>
          <w:rFonts w:ascii="Calibri" w:hAnsi="Calibri"/>
          <w:color w:val="414042"/>
          <w:spacing w:val="-9"/>
          <w:w w:val="105"/>
          <w:sz w:val="16"/>
        </w:rPr>
        <w:t> </w:t>
      </w:r>
      <w:r>
        <w:rPr>
          <w:rFonts w:ascii="Calibri" w:hAnsi="Calibri"/>
          <w:color w:val="414042"/>
          <w:w w:val="105"/>
          <w:sz w:val="16"/>
        </w:rPr>
        <w:t>son:</w:t>
      </w:r>
      <w:r>
        <w:rPr>
          <w:rFonts w:ascii="Calibri" w:hAnsi="Calibri"/>
          <w:color w:val="414042"/>
          <w:spacing w:val="-9"/>
          <w:w w:val="105"/>
          <w:sz w:val="16"/>
        </w:rPr>
        <w:t> </w:t>
      </w:r>
      <w:r>
        <w:rPr>
          <w:rFonts w:ascii="Calibri" w:hAnsi="Calibri"/>
          <w:color w:val="414042"/>
          <w:w w:val="105"/>
          <w:sz w:val="16"/>
        </w:rPr>
        <w:t>niñera,</w:t>
      </w:r>
      <w:r>
        <w:rPr>
          <w:rFonts w:ascii="Calibri" w:hAnsi="Calibri"/>
          <w:color w:val="414042"/>
          <w:spacing w:val="-9"/>
          <w:w w:val="105"/>
          <w:sz w:val="16"/>
        </w:rPr>
        <w:t> </w:t>
      </w:r>
      <w:r>
        <w:rPr>
          <w:rFonts w:ascii="Calibri" w:hAnsi="Calibri"/>
          <w:color w:val="414042"/>
          <w:w w:val="105"/>
          <w:sz w:val="16"/>
        </w:rPr>
        <w:t>labores</w:t>
      </w:r>
      <w:r>
        <w:rPr>
          <w:rFonts w:ascii="Calibri" w:hAnsi="Calibri"/>
          <w:color w:val="414042"/>
          <w:spacing w:val="-9"/>
          <w:w w:val="105"/>
          <w:sz w:val="16"/>
        </w:rPr>
        <w:t> </w:t>
      </w:r>
      <w:r>
        <w:rPr>
          <w:rFonts w:ascii="Calibri" w:hAnsi="Calibri"/>
          <w:color w:val="414042"/>
          <w:w w:val="105"/>
          <w:sz w:val="16"/>
        </w:rPr>
        <w:t>del</w:t>
      </w:r>
      <w:r>
        <w:rPr>
          <w:rFonts w:ascii="Calibri" w:hAnsi="Calibri"/>
          <w:color w:val="414042"/>
          <w:spacing w:val="-9"/>
          <w:w w:val="105"/>
          <w:sz w:val="16"/>
        </w:rPr>
        <w:t> </w:t>
      </w:r>
      <w:r>
        <w:rPr>
          <w:rFonts w:ascii="Calibri" w:hAnsi="Calibri"/>
          <w:color w:val="414042"/>
          <w:w w:val="105"/>
          <w:sz w:val="16"/>
        </w:rPr>
        <w:t>campo,</w:t>
      </w:r>
      <w:r>
        <w:rPr>
          <w:rFonts w:ascii="Calibri" w:hAnsi="Calibri"/>
          <w:color w:val="414042"/>
          <w:spacing w:val="-9"/>
          <w:w w:val="105"/>
          <w:sz w:val="16"/>
        </w:rPr>
        <w:t> </w:t>
      </w:r>
      <w:r>
        <w:rPr>
          <w:rFonts w:ascii="Calibri" w:hAnsi="Calibri"/>
          <w:color w:val="414042"/>
          <w:w w:val="105"/>
          <w:sz w:val="16"/>
        </w:rPr>
        <w:t>cons- trucción,</w:t>
      </w:r>
      <w:r>
        <w:rPr>
          <w:rFonts w:ascii="Calibri" w:hAnsi="Calibri"/>
          <w:color w:val="414042"/>
          <w:spacing w:val="-8"/>
          <w:w w:val="105"/>
          <w:sz w:val="16"/>
        </w:rPr>
        <w:t> </w:t>
      </w:r>
      <w:r>
        <w:rPr>
          <w:rFonts w:ascii="Calibri" w:hAnsi="Calibri"/>
          <w:color w:val="414042"/>
          <w:w w:val="105"/>
          <w:sz w:val="16"/>
        </w:rPr>
        <w:t>obrero,</w:t>
      </w:r>
      <w:r>
        <w:rPr>
          <w:rFonts w:ascii="Calibri" w:hAnsi="Calibri"/>
          <w:color w:val="414042"/>
          <w:spacing w:val="-8"/>
          <w:w w:val="105"/>
          <w:sz w:val="16"/>
        </w:rPr>
        <w:t> </w:t>
      </w:r>
      <w:r>
        <w:rPr>
          <w:rFonts w:ascii="Calibri" w:hAnsi="Calibri"/>
          <w:color w:val="414042"/>
          <w:w w:val="105"/>
          <w:sz w:val="16"/>
        </w:rPr>
        <w:t>conocimientos</w:t>
      </w:r>
      <w:r>
        <w:rPr>
          <w:rFonts w:ascii="Calibri" w:hAnsi="Calibri"/>
          <w:color w:val="414042"/>
          <w:spacing w:val="-8"/>
          <w:w w:val="105"/>
          <w:sz w:val="16"/>
        </w:rPr>
        <w:t> </w:t>
      </w:r>
      <w:r>
        <w:rPr>
          <w:rFonts w:ascii="Calibri" w:hAnsi="Calibri"/>
          <w:color w:val="414042"/>
          <w:w w:val="105"/>
          <w:sz w:val="16"/>
        </w:rPr>
        <w:t>de</w:t>
      </w:r>
      <w:r>
        <w:rPr>
          <w:rFonts w:ascii="Calibri" w:hAnsi="Calibri"/>
          <w:color w:val="414042"/>
          <w:spacing w:val="-8"/>
          <w:w w:val="105"/>
          <w:sz w:val="16"/>
        </w:rPr>
        <w:t> </w:t>
      </w:r>
      <w:r>
        <w:rPr>
          <w:rFonts w:ascii="Calibri" w:hAnsi="Calibri"/>
          <w:color w:val="414042"/>
          <w:w w:val="105"/>
          <w:sz w:val="16"/>
        </w:rPr>
        <w:t>cocina,</w:t>
      </w:r>
      <w:r>
        <w:rPr>
          <w:rFonts w:ascii="Calibri" w:hAnsi="Calibri"/>
          <w:color w:val="414042"/>
          <w:spacing w:val="-8"/>
          <w:w w:val="105"/>
          <w:sz w:val="16"/>
        </w:rPr>
        <w:t> </w:t>
      </w:r>
      <w:r>
        <w:rPr>
          <w:rFonts w:ascii="Calibri" w:hAnsi="Calibri"/>
          <w:color w:val="414042"/>
          <w:w w:val="105"/>
          <w:sz w:val="16"/>
        </w:rPr>
        <w:t>limpieza.</w:t>
      </w:r>
      <w:r>
        <w:rPr>
          <w:rFonts w:ascii="Calibri" w:hAnsi="Calibri"/>
          <w:color w:val="414042"/>
          <w:spacing w:val="-8"/>
          <w:w w:val="105"/>
          <w:sz w:val="16"/>
        </w:rPr>
        <w:t> </w:t>
      </w:r>
      <w:r>
        <w:rPr>
          <w:rFonts w:ascii="Calibri" w:hAnsi="Calibri"/>
          <w:color w:val="414042"/>
          <w:w w:val="105"/>
          <w:sz w:val="16"/>
        </w:rPr>
        <w:t>Los</w:t>
      </w:r>
      <w:r>
        <w:rPr>
          <w:rFonts w:ascii="Calibri" w:hAnsi="Calibri"/>
          <w:color w:val="414042"/>
          <w:spacing w:val="-8"/>
          <w:w w:val="105"/>
          <w:sz w:val="16"/>
        </w:rPr>
        <w:t> </w:t>
      </w:r>
      <w:r>
        <w:rPr>
          <w:rFonts w:ascii="Calibri" w:hAnsi="Calibri"/>
          <w:color w:val="414042"/>
          <w:w w:val="105"/>
          <w:sz w:val="16"/>
        </w:rPr>
        <w:t>conocimientos</w:t>
      </w:r>
      <w:r>
        <w:rPr>
          <w:rFonts w:ascii="Calibri" w:hAnsi="Calibri"/>
          <w:color w:val="414042"/>
          <w:spacing w:val="-8"/>
          <w:w w:val="105"/>
          <w:sz w:val="16"/>
        </w:rPr>
        <w:t> </w:t>
      </w:r>
      <w:r>
        <w:rPr>
          <w:rFonts w:ascii="Calibri" w:hAnsi="Calibri"/>
          <w:color w:val="414042"/>
          <w:w w:val="105"/>
          <w:sz w:val="16"/>
        </w:rPr>
        <w:t>que</w:t>
      </w:r>
      <w:r>
        <w:rPr>
          <w:rFonts w:ascii="Calibri" w:hAnsi="Calibri"/>
          <w:color w:val="414042"/>
          <w:spacing w:val="-8"/>
          <w:w w:val="105"/>
          <w:sz w:val="16"/>
        </w:rPr>
        <w:t> </w:t>
      </w:r>
      <w:r>
        <w:rPr>
          <w:rFonts w:ascii="Calibri" w:hAnsi="Calibri"/>
          <w:color w:val="414042"/>
          <w:w w:val="105"/>
          <w:sz w:val="16"/>
        </w:rPr>
        <w:t>menos</w:t>
      </w:r>
      <w:r>
        <w:rPr>
          <w:rFonts w:ascii="Calibri" w:hAnsi="Calibri"/>
          <w:color w:val="414042"/>
          <w:spacing w:val="-8"/>
          <w:w w:val="105"/>
          <w:sz w:val="16"/>
        </w:rPr>
        <w:t> </w:t>
      </w:r>
      <w:r>
        <w:rPr>
          <w:rFonts w:ascii="Calibri" w:hAnsi="Calibri"/>
          <w:color w:val="414042"/>
          <w:w w:val="105"/>
          <w:sz w:val="16"/>
        </w:rPr>
        <w:t>emplearon:</w:t>
      </w:r>
      <w:r>
        <w:rPr>
          <w:rFonts w:ascii="Calibri" w:hAnsi="Calibri"/>
          <w:color w:val="414042"/>
          <w:spacing w:val="-8"/>
          <w:w w:val="105"/>
          <w:sz w:val="16"/>
        </w:rPr>
        <w:t> </w:t>
      </w:r>
      <w:r>
        <w:rPr>
          <w:rFonts w:ascii="Calibri" w:hAnsi="Calibri"/>
          <w:color w:val="414042"/>
          <w:w w:val="105"/>
          <w:sz w:val="16"/>
        </w:rPr>
        <w:t>agríco- las,</w:t>
      </w:r>
      <w:r>
        <w:rPr>
          <w:rFonts w:ascii="Calibri" w:hAnsi="Calibri"/>
          <w:color w:val="414042"/>
          <w:spacing w:val="-15"/>
          <w:w w:val="105"/>
          <w:sz w:val="16"/>
        </w:rPr>
        <w:t> </w:t>
      </w:r>
      <w:r>
        <w:rPr>
          <w:rFonts w:ascii="Calibri" w:hAnsi="Calibri"/>
          <w:color w:val="414042"/>
          <w:w w:val="105"/>
          <w:sz w:val="16"/>
        </w:rPr>
        <w:t>choferes,</w:t>
      </w:r>
      <w:r>
        <w:rPr>
          <w:rFonts w:ascii="Calibri" w:hAnsi="Calibri"/>
          <w:color w:val="414042"/>
          <w:spacing w:val="-15"/>
          <w:w w:val="105"/>
          <w:sz w:val="16"/>
        </w:rPr>
        <w:t> </w:t>
      </w:r>
      <w:r>
        <w:rPr>
          <w:rFonts w:ascii="Calibri" w:hAnsi="Calibri"/>
          <w:color w:val="414042"/>
          <w:w w:val="105"/>
          <w:sz w:val="16"/>
        </w:rPr>
        <w:t>construcción,</w:t>
      </w:r>
      <w:r>
        <w:rPr>
          <w:rFonts w:ascii="Calibri" w:hAnsi="Calibri"/>
          <w:color w:val="414042"/>
          <w:spacing w:val="-15"/>
          <w:w w:val="105"/>
          <w:sz w:val="16"/>
        </w:rPr>
        <w:t> </w:t>
      </w:r>
      <w:r>
        <w:rPr>
          <w:rFonts w:ascii="Calibri" w:hAnsi="Calibri"/>
          <w:color w:val="414042"/>
          <w:w w:val="105"/>
          <w:sz w:val="16"/>
        </w:rPr>
        <w:t>empleados</w:t>
      </w:r>
      <w:r>
        <w:rPr>
          <w:rFonts w:ascii="Calibri" w:hAnsi="Calibri"/>
          <w:color w:val="414042"/>
          <w:spacing w:val="-15"/>
          <w:w w:val="105"/>
          <w:sz w:val="16"/>
        </w:rPr>
        <w:t> </w:t>
      </w:r>
      <w:r>
        <w:rPr>
          <w:rFonts w:ascii="Calibri" w:hAnsi="Calibri"/>
          <w:color w:val="414042"/>
          <w:w w:val="105"/>
          <w:sz w:val="16"/>
        </w:rPr>
        <w:t>de</w:t>
      </w:r>
      <w:r>
        <w:rPr>
          <w:rFonts w:ascii="Calibri" w:hAnsi="Calibri"/>
          <w:color w:val="414042"/>
          <w:spacing w:val="-15"/>
          <w:w w:val="105"/>
          <w:sz w:val="16"/>
        </w:rPr>
        <w:t> </w:t>
      </w:r>
      <w:r>
        <w:rPr>
          <w:rFonts w:ascii="Calibri" w:hAnsi="Calibri"/>
          <w:color w:val="414042"/>
          <w:w w:val="105"/>
          <w:sz w:val="16"/>
        </w:rPr>
        <w:t>oficina,</w:t>
      </w:r>
      <w:r>
        <w:rPr>
          <w:rFonts w:ascii="Calibri" w:hAnsi="Calibri"/>
          <w:color w:val="414042"/>
          <w:spacing w:val="-15"/>
          <w:w w:val="105"/>
          <w:sz w:val="16"/>
        </w:rPr>
        <w:t> </w:t>
      </w:r>
      <w:r>
        <w:rPr>
          <w:rFonts w:ascii="Calibri" w:hAnsi="Calibri"/>
          <w:color w:val="414042"/>
          <w:w w:val="105"/>
          <w:sz w:val="16"/>
        </w:rPr>
        <w:t>lava</w:t>
      </w:r>
      <w:r>
        <w:rPr>
          <w:rFonts w:ascii="Calibri" w:hAnsi="Calibri"/>
          <w:color w:val="414042"/>
          <w:spacing w:val="-15"/>
          <w:w w:val="105"/>
          <w:sz w:val="16"/>
        </w:rPr>
        <w:t> </w:t>
      </w:r>
      <w:r>
        <w:rPr>
          <w:rFonts w:ascii="Calibri" w:hAnsi="Calibri"/>
          <w:color w:val="414042"/>
          <w:w w:val="105"/>
          <w:sz w:val="16"/>
        </w:rPr>
        <w:t>carros,</w:t>
      </w:r>
      <w:r>
        <w:rPr>
          <w:rFonts w:ascii="Calibri" w:hAnsi="Calibri"/>
          <w:color w:val="414042"/>
          <w:spacing w:val="-17"/>
          <w:w w:val="105"/>
          <w:sz w:val="16"/>
        </w:rPr>
        <w:t> </w:t>
      </w:r>
      <w:r>
        <w:rPr>
          <w:rFonts w:ascii="Calibri" w:hAnsi="Calibri"/>
          <w:color w:val="414042"/>
          <w:w w:val="105"/>
          <w:sz w:val="16"/>
        </w:rPr>
        <w:t>ventas</w:t>
      </w:r>
      <w:r>
        <w:rPr>
          <w:rFonts w:ascii="Calibri" w:hAnsi="Calibri"/>
          <w:color w:val="414042"/>
          <w:spacing w:val="-15"/>
          <w:w w:val="105"/>
          <w:sz w:val="16"/>
        </w:rPr>
        <w:t> </w:t>
      </w:r>
      <w:r>
        <w:rPr>
          <w:rFonts w:ascii="Calibri" w:hAnsi="Calibri"/>
          <w:color w:val="414042"/>
          <w:w w:val="105"/>
          <w:sz w:val="16"/>
        </w:rPr>
        <w:t>ambulantes.</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sz w:val="15"/>
        </w:rPr>
      </w:pPr>
      <w:r>
        <w:rPr/>
        <w:pict>
          <v:line style="position:absolute;mso-position-horizontal-relative:page;mso-position-vertical-relative:paragraph;z-index:-460312" from="131.551193pt,3.753715pt" to="131.551193pt,39.556114pt" stroked="true" strokeweight=".35pt" strokecolor="#231f20">
            <w10:wrap type="none"/>
          </v:line>
        </w:pict>
      </w:r>
      <w:r>
        <w:rPr/>
        <w:pict>
          <v:line style="position:absolute;mso-position-horizontal-relative:page;mso-position-vertical-relative:paragraph;z-index:-460240" from="15pt,39.555916pt" to="0pt,39.555916pt" stroked="true" strokeweight=".25pt" strokecolor="#000000">
            <w10:wrap type="none"/>
          </v:line>
        </w:pict>
      </w:r>
      <w:r>
        <w:rPr/>
        <w:pict>
          <v:line style="position:absolute;mso-position-horizontal-relative:page;mso-position-vertical-relative:paragraph;z-index:29968" from="508.890015pt,39.555916pt" to="523.890015pt,39.555916pt" stroked="true" strokeweight=".25pt" strokecolor="#000000">
            <w10:wrap type="none"/>
          </v:line>
        </w:pict>
      </w:r>
      <w:r>
        <w:rPr>
          <w:rFonts w:ascii="Arial"/>
          <w:color w:val="414042"/>
          <w:w w:val="105"/>
          <w:position w:val="-5"/>
          <w:sz w:val="20"/>
        </w:rPr>
        <w:t>244</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60192" from="405.061005pt,-18.554295pt" to="405.061005pt,16.311579pt" stroked="true" strokeweight=".35pt" strokecolor="#231f20">
            <w10:wrap type="none"/>
          </v:line>
        </w:pict>
      </w:r>
      <w:r>
        <w:rPr/>
        <w:pict>
          <v:line style="position:absolute;mso-position-horizontal-relative:page;mso-position-vertical-relative:paragraph;z-index:30016" from="15pt,-18.554522pt" to="0pt,-18.554522pt" stroked="true" strokeweight=".25pt" strokecolor="#000000">
            <w10:wrap type="none"/>
          </v:line>
        </w:pict>
      </w:r>
      <w:r>
        <w:rPr/>
        <w:pict>
          <v:line style="position:absolute;mso-position-horizontal-relative:page;mso-position-vertical-relative:paragraph;z-index:30040"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245</w:t>
      </w:r>
    </w:p>
    <w:p>
      <w:pPr>
        <w:pStyle w:val="BodyText"/>
        <w:rPr>
          <w:rFonts w:ascii="Arial"/>
          <w:sz w:val="20"/>
        </w:rPr>
      </w:pPr>
    </w:p>
    <w:p>
      <w:pPr>
        <w:pStyle w:val="BodyText"/>
        <w:rPr>
          <w:rFonts w:ascii="Arial"/>
          <w:sz w:val="20"/>
        </w:rPr>
      </w:pPr>
    </w:p>
    <w:p>
      <w:pPr>
        <w:pStyle w:val="BodyText"/>
        <w:spacing w:before="2"/>
        <w:rPr>
          <w:rFonts w:ascii="Arial"/>
          <w:sz w:val="14"/>
        </w:rPr>
      </w:pPr>
    </w:p>
    <w:tbl>
      <w:tblPr>
        <w:tblW w:w="0" w:type="auto"/>
        <w:jc w:val="left"/>
        <w:tblInd w:w="2109"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055"/>
        <w:gridCol w:w="1069"/>
        <w:gridCol w:w="1244"/>
      </w:tblGrid>
      <w:tr>
        <w:trPr>
          <w:trHeight w:val="340" w:hRule="exact"/>
        </w:trPr>
        <w:tc>
          <w:tcPr>
            <w:tcW w:w="4055" w:type="dxa"/>
          </w:tcPr>
          <w:p>
            <w:pPr>
              <w:pStyle w:val="TableParagraph"/>
              <w:ind w:left="77"/>
              <w:rPr>
                <w:sz w:val="18"/>
              </w:rPr>
            </w:pPr>
            <w:r>
              <w:rPr>
                <w:color w:val="231F20"/>
                <w:w w:val="105"/>
                <w:sz w:val="18"/>
              </w:rPr>
              <w:t>Jardinería (yarda, podar, pintar, preparar tierra)</w:t>
            </w:r>
          </w:p>
        </w:tc>
        <w:tc>
          <w:tcPr>
            <w:tcW w:w="1069" w:type="dxa"/>
          </w:tcPr>
          <w:p>
            <w:pPr>
              <w:pStyle w:val="TableParagraph"/>
              <w:ind w:left="77"/>
              <w:rPr>
                <w:sz w:val="18"/>
              </w:rPr>
            </w:pPr>
            <w:r>
              <w:rPr>
                <w:color w:val="231F20"/>
                <w:w w:val="104"/>
                <w:sz w:val="18"/>
              </w:rPr>
              <w:t>4</w:t>
            </w:r>
          </w:p>
        </w:tc>
        <w:tc>
          <w:tcPr>
            <w:tcW w:w="1244" w:type="dxa"/>
          </w:tcPr>
          <w:p>
            <w:pPr>
              <w:pStyle w:val="TableParagraph"/>
              <w:ind w:left="77"/>
              <w:rPr>
                <w:sz w:val="18"/>
              </w:rPr>
            </w:pPr>
            <w:r>
              <w:rPr>
                <w:color w:val="231F20"/>
                <w:w w:val="104"/>
                <w:sz w:val="18"/>
              </w:rPr>
              <w:t>0</w:t>
            </w:r>
          </w:p>
        </w:tc>
      </w:tr>
      <w:tr>
        <w:trPr>
          <w:trHeight w:val="340" w:hRule="exact"/>
        </w:trPr>
        <w:tc>
          <w:tcPr>
            <w:tcW w:w="4055" w:type="dxa"/>
          </w:tcPr>
          <w:p>
            <w:pPr>
              <w:pStyle w:val="TableParagraph"/>
              <w:ind w:left="77"/>
              <w:rPr>
                <w:sz w:val="18"/>
              </w:rPr>
            </w:pPr>
            <w:r>
              <w:rPr>
                <w:color w:val="231F20"/>
                <w:sz w:val="18"/>
              </w:rPr>
              <w:t>Limpieza de hoteles, casas, químicos</w:t>
            </w:r>
          </w:p>
        </w:tc>
        <w:tc>
          <w:tcPr>
            <w:tcW w:w="1069" w:type="dxa"/>
          </w:tcPr>
          <w:p>
            <w:pPr>
              <w:pStyle w:val="TableParagraph"/>
              <w:ind w:left="77"/>
              <w:rPr>
                <w:sz w:val="18"/>
              </w:rPr>
            </w:pPr>
            <w:r>
              <w:rPr>
                <w:color w:val="231F20"/>
                <w:w w:val="104"/>
                <w:sz w:val="18"/>
              </w:rPr>
              <w:t>3</w:t>
            </w:r>
          </w:p>
        </w:tc>
        <w:tc>
          <w:tcPr>
            <w:tcW w:w="1244" w:type="dxa"/>
          </w:tcPr>
          <w:p>
            <w:pPr>
              <w:pStyle w:val="TableParagraph"/>
              <w:ind w:left="77"/>
              <w:rPr>
                <w:sz w:val="18"/>
              </w:rPr>
            </w:pPr>
            <w:r>
              <w:rPr>
                <w:color w:val="231F20"/>
                <w:w w:val="104"/>
                <w:sz w:val="18"/>
              </w:rPr>
              <w:t>0</w:t>
            </w:r>
          </w:p>
        </w:tc>
      </w:tr>
      <w:tr>
        <w:trPr>
          <w:trHeight w:val="340" w:hRule="exact"/>
        </w:trPr>
        <w:tc>
          <w:tcPr>
            <w:tcW w:w="4055" w:type="dxa"/>
          </w:tcPr>
          <w:p>
            <w:pPr>
              <w:pStyle w:val="TableParagraph"/>
              <w:ind w:left="77"/>
              <w:rPr>
                <w:sz w:val="18"/>
              </w:rPr>
            </w:pPr>
            <w:r>
              <w:rPr>
                <w:color w:val="231F20"/>
                <w:w w:val="105"/>
                <w:sz w:val="18"/>
              </w:rPr>
              <w:t>Obrero, empleado, vendedor, niñera</w:t>
            </w:r>
          </w:p>
        </w:tc>
        <w:tc>
          <w:tcPr>
            <w:tcW w:w="1069" w:type="dxa"/>
          </w:tcPr>
          <w:p>
            <w:pPr>
              <w:pStyle w:val="TableParagraph"/>
              <w:ind w:left="77"/>
              <w:rPr>
                <w:sz w:val="18"/>
              </w:rPr>
            </w:pPr>
            <w:r>
              <w:rPr>
                <w:color w:val="231F20"/>
                <w:w w:val="104"/>
                <w:sz w:val="18"/>
              </w:rPr>
              <w:t>4</w:t>
            </w:r>
          </w:p>
        </w:tc>
        <w:tc>
          <w:tcPr>
            <w:tcW w:w="1244" w:type="dxa"/>
          </w:tcPr>
          <w:p>
            <w:pPr>
              <w:pStyle w:val="TableParagraph"/>
              <w:ind w:left="77"/>
              <w:rPr>
                <w:sz w:val="18"/>
              </w:rPr>
            </w:pPr>
            <w:r>
              <w:rPr>
                <w:color w:val="231F20"/>
                <w:w w:val="104"/>
                <w:sz w:val="18"/>
              </w:rPr>
              <w:t>2</w:t>
            </w:r>
          </w:p>
        </w:tc>
      </w:tr>
      <w:tr>
        <w:trPr>
          <w:trHeight w:val="556" w:hRule="exact"/>
        </w:trPr>
        <w:tc>
          <w:tcPr>
            <w:tcW w:w="4055" w:type="dxa"/>
          </w:tcPr>
          <w:p>
            <w:pPr>
              <w:pStyle w:val="TableParagraph"/>
              <w:spacing w:line="254" w:lineRule="auto"/>
              <w:ind w:left="77" w:right="68"/>
              <w:rPr>
                <w:sz w:val="18"/>
              </w:rPr>
            </w:pPr>
            <w:r>
              <w:rPr>
                <w:color w:val="231F20"/>
                <w:sz w:val="18"/>
              </w:rPr>
              <w:t>Ayudante de cocina (salsas, ensaladas, hornear, aderezos)</w:t>
            </w:r>
          </w:p>
        </w:tc>
        <w:tc>
          <w:tcPr>
            <w:tcW w:w="1069" w:type="dxa"/>
          </w:tcPr>
          <w:p>
            <w:pPr>
              <w:pStyle w:val="TableParagraph"/>
              <w:spacing w:before="4"/>
              <w:rPr>
                <w:rFonts w:ascii="Arial"/>
                <w:sz w:val="17"/>
              </w:rPr>
            </w:pPr>
          </w:p>
          <w:p>
            <w:pPr>
              <w:pStyle w:val="TableParagraph"/>
              <w:spacing w:before="0"/>
              <w:ind w:left="77"/>
              <w:rPr>
                <w:sz w:val="18"/>
              </w:rPr>
            </w:pPr>
            <w:r>
              <w:rPr>
                <w:color w:val="231F20"/>
                <w:w w:val="104"/>
                <w:sz w:val="18"/>
              </w:rPr>
              <w:t>3</w:t>
            </w:r>
          </w:p>
        </w:tc>
        <w:tc>
          <w:tcPr>
            <w:tcW w:w="1244" w:type="dxa"/>
          </w:tcPr>
          <w:p>
            <w:pPr>
              <w:pStyle w:val="TableParagraph"/>
              <w:spacing w:before="4"/>
              <w:rPr>
                <w:rFonts w:ascii="Arial"/>
                <w:sz w:val="17"/>
              </w:rPr>
            </w:pPr>
          </w:p>
          <w:p>
            <w:pPr>
              <w:pStyle w:val="TableParagraph"/>
              <w:spacing w:before="0"/>
              <w:ind w:left="77"/>
              <w:rPr>
                <w:sz w:val="18"/>
              </w:rPr>
            </w:pPr>
            <w:r>
              <w:rPr>
                <w:color w:val="231F20"/>
                <w:w w:val="104"/>
                <w:sz w:val="18"/>
              </w:rPr>
              <w:t>0</w:t>
            </w:r>
          </w:p>
        </w:tc>
      </w:tr>
      <w:tr>
        <w:trPr>
          <w:trHeight w:val="340" w:hRule="exact"/>
        </w:trPr>
        <w:tc>
          <w:tcPr>
            <w:tcW w:w="4055" w:type="dxa"/>
          </w:tcPr>
          <w:p>
            <w:pPr>
              <w:pStyle w:val="TableParagraph"/>
              <w:ind w:left="77"/>
              <w:rPr>
                <w:sz w:val="18"/>
              </w:rPr>
            </w:pPr>
            <w:r>
              <w:rPr>
                <w:color w:val="231F20"/>
                <w:sz w:val="18"/>
              </w:rPr>
              <w:t>Tapicería</w:t>
            </w:r>
          </w:p>
        </w:tc>
        <w:tc>
          <w:tcPr>
            <w:tcW w:w="1069" w:type="dxa"/>
          </w:tcPr>
          <w:p>
            <w:pPr>
              <w:pStyle w:val="TableParagraph"/>
              <w:ind w:left="77"/>
              <w:rPr>
                <w:sz w:val="18"/>
              </w:rPr>
            </w:pPr>
            <w:r>
              <w:rPr>
                <w:color w:val="231F20"/>
                <w:w w:val="104"/>
                <w:sz w:val="18"/>
              </w:rPr>
              <w:t>2</w:t>
            </w:r>
          </w:p>
        </w:tc>
        <w:tc>
          <w:tcPr>
            <w:tcW w:w="1244" w:type="dxa"/>
          </w:tcPr>
          <w:p>
            <w:pPr>
              <w:pStyle w:val="TableParagraph"/>
              <w:ind w:left="77"/>
              <w:rPr>
                <w:sz w:val="18"/>
              </w:rPr>
            </w:pPr>
            <w:r>
              <w:rPr>
                <w:color w:val="231F20"/>
                <w:w w:val="104"/>
                <w:sz w:val="18"/>
              </w:rPr>
              <w:t>0</w:t>
            </w:r>
          </w:p>
        </w:tc>
      </w:tr>
      <w:tr>
        <w:trPr>
          <w:trHeight w:val="340" w:hRule="exact"/>
        </w:trPr>
        <w:tc>
          <w:tcPr>
            <w:tcW w:w="4055" w:type="dxa"/>
          </w:tcPr>
          <w:p>
            <w:pPr>
              <w:pStyle w:val="TableParagraph"/>
              <w:ind w:left="77"/>
              <w:rPr>
                <w:sz w:val="18"/>
              </w:rPr>
            </w:pPr>
            <w:r>
              <w:rPr>
                <w:color w:val="231F20"/>
                <w:sz w:val="18"/>
              </w:rPr>
              <w:t>Pizca, campo, rancho</w:t>
            </w:r>
          </w:p>
        </w:tc>
        <w:tc>
          <w:tcPr>
            <w:tcW w:w="1069" w:type="dxa"/>
          </w:tcPr>
          <w:p>
            <w:pPr>
              <w:pStyle w:val="TableParagraph"/>
              <w:ind w:left="77"/>
              <w:rPr>
                <w:sz w:val="18"/>
              </w:rPr>
            </w:pPr>
            <w:r>
              <w:rPr>
                <w:color w:val="231F20"/>
                <w:w w:val="104"/>
                <w:sz w:val="18"/>
              </w:rPr>
              <w:t>2</w:t>
            </w:r>
          </w:p>
        </w:tc>
        <w:tc>
          <w:tcPr>
            <w:tcW w:w="1244" w:type="dxa"/>
          </w:tcPr>
          <w:p>
            <w:pPr>
              <w:pStyle w:val="TableParagraph"/>
              <w:ind w:left="77"/>
              <w:rPr>
                <w:sz w:val="18"/>
              </w:rPr>
            </w:pPr>
            <w:r>
              <w:rPr>
                <w:color w:val="231F20"/>
                <w:w w:val="104"/>
                <w:sz w:val="18"/>
              </w:rPr>
              <w:t>2</w:t>
            </w:r>
          </w:p>
        </w:tc>
      </w:tr>
      <w:tr>
        <w:trPr>
          <w:trHeight w:val="340" w:hRule="exact"/>
        </w:trPr>
        <w:tc>
          <w:tcPr>
            <w:tcW w:w="4055" w:type="dxa"/>
          </w:tcPr>
          <w:p>
            <w:pPr>
              <w:pStyle w:val="TableParagraph"/>
              <w:ind w:left="77"/>
              <w:rPr>
                <w:sz w:val="18"/>
              </w:rPr>
            </w:pPr>
            <w:r>
              <w:rPr>
                <w:color w:val="231F20"/>
                <w:w w:val="105"/>
                <w:sz w:val="18"/>
              </w:rPr>
              <w:t>Gerente, supervisor, jefe de grupo</w:t>
            </w:r>
          </w:p>
        </w:tc>
        <w:tc>
          <w:tcPr>
            <w:tcW w:w="1069" w:type="dxa"/>
          </w:tcPr>
          <w:p>
            <w:pPr>
              <w:pStyle w:val="TableParagraph"/>
              <w:ind w:left="77"/>
              <w:rPr>
                <w:sz w:val="18"/>
              </w:rPr>
            </w:pPr>
            <w:r>
              <w:rPr>
                <w:color w:val="231F20"/>
                <w:w w:val="104"/>
                <w:sz w:val="18"/>
              </w:rPr>
              <w:t>1</w:t>
            </w:r>
          </w:p>
        </w:tc>
        <w:tc>
          <w:tcPr>
            <w:tcW w:w="1244" w:type="dxa"/>
          </w:tcPr>
          <w:p>
            <w:pPr>
              <w:pStyle w:val="TableParagraph"/>
              <w:ind w:left="77"/>
              <w:rPr>
                <w:sz w:val="18"/>
              </w:rPr>
            </w:pPr>
            <w:r>
              <w:rPr>
                <w:color w:val="231F20"/>
                <w:w w:val="104"/>
                <w:sz w:val="18"/>
              </w:rPr>
              <w:t>0</w:t>
            </w:r>
          </w:p>
        </w:tc>
      </w:tr>
      <w:tr>
        <w:trPr>
          <w:trHeight w:val="340" w:hRule="exact"/>
        </w:trPr>
        <w:tc>
          <w:tcPr>
            <w:tcW w:w="4055" w:type="dxa"/>
          </w:tcPr>
          <w:p>
            <w:pPr>
              <w:pStyle w:val="TableParagraph"/>
              <w:ind w:left="77"/>
              <w:rPr>
                <w:sz w:val="18"/>
              </w:rPr>
            </w:pPr>
            <w:r>
              <w:rPr>
                <w:color w:val="231F20"/>
                <w:sz w:val="18"/>
              </w:rPr>
              <w:t>Pintar casas, barnizar</w:t>
            </w:r>
          </w:p>
        </w:tc>
        <w:tc>
          <w:tcPr>
            <w:tcW w:w="1069" w:type="dxa"/>
          </w:tcPr>
          <w:p>
            <w:pPr>
              <w:pStyle w:val="TableParagraph"/>
              <w:ind w:left="77"/>
              <w:rPr>
                <w:sz w:val="18"/>
              </w:rPr>
            </w:pPr>
            <w:r>
              <w:rPr>
                <w:color w:val="231F20"/>
                <w:w w:val="104"/>
                <w:sz w:val="18"/>
              </w:rPr>
              <w:t>1</w:t>
            </w:r>
          </w:p>
        </w:tc>
        <w:tc>
          <w:tcPr>
            <w:tcW w:w="1244" w:type="dxa"/>
          </w:tcPr>
          <w:p>
            <w:pPr>
              <w:pStyle w:val="TableParagraph"/>
              <w:ind w:left="77"/>
              <w:rPr>
                <w:sz w:val="18"/>
              </w:rPr>
            </w:pPr>
            <w:r>
              <w:rPr>
                <w:color w:val="231F20"/>
                <w:w w:val="104"/>
                <w:sz w:val="18"/>
              </w:rPr>
              <w:t>0</w:t>
            </w:r>
          </w:p>
        </w:tc>
      </w:tr>
      <w:tr>
        <w:trPr>
          <w:trHeight w:val="556" w:hRule="exact"/>
        </w:trPr>
        <w:tc>
          <w:tcPr>
            <w:tcW w:w="4055" w:type="dxa"/>
          </w:tcPr>
          <w:p>
            <w:pPr>
              <w:pStyle w:val="TableParagraph"/>
              <w:spacing w:line="254" w:lineRule="auto"/>
              <w:ind w:left="77" w:right="59"/>
              <w:rPr>
                <w:sz w:val="18"/>
              </w:rPr>
            </w:pPr>
            <w:r>
              <w:rPr>
                <w:color w:val="231F20"/>
                <w:w w:val="105"/>
                <w:sz w:val="18"/>
              </w:rPr>
              <w:t>Lavandería,</w:t>
            </w:r>
            <w:r>
              <w:rPr>
                <w:color w:val="231F20"/>
                <w:spacing w:val="-32"/>
                <w:w w:val="105"/>
                <w:sz w:val="18"/>
              </w:rPr>
              <w:t> </w:t>
            </w:r>
            <w:r>
              <w:rPr>
                <w:color w:val="231F20"/>
                <w:w w:val="105"/>
                <w:sz w:val="18"/>
              </w:rPr>
              <w:t>administrar,</w:t>
            </w:r>
            <w:r>
              <w:rPr>
                <w:color w:val="231F20"/>
                <w:spacing w:val="-32"/>
                <w:w w:val="105"/>
                <w:sz w:val="18"/>
              </w:rPr>
              <w:t> </w:t>
            </w:r>
            <w:r>
              <w:rPr>
                <w:color w:val="231F20"/>
                <w:w w:val="105"/>
                <w:sz w:val="18"/>
              </w:rPr>
              <w:t>tienda</w:t>
            </w:r>
            <w:r>
              <w:rPr>
                <w:color w:val="231F20"/>
                <w:spacing w:val="-30"/>
                <w:w w:val="105"/>
                <w:sz w:val="18"/>
              </w:rPr>
              <w:t> </w:t>
            </w:r>
            <w:r>
              <w:rPr>
                <w:color w:val="231F20"/>
                <w:w w:val="105"/>
                <w:sz w:val="18"/>
              </w:rPr>
              <w:t>pequeña,</w:t>
            </w:r>
            <w:r>
              <w:rPr>
                <w:color w:val="231F20"/>
                <w:spacing w:val="-32"/>
                <w:w w:val="105"/>
                <w:sz w:val="18"/>
              </w:rPr>
              <w:t> </w:t>
            </w:r>
            <w:r>
              <w:rPr>
                <w:color w:val="231F20"/>
                <w:w w:val="105"/>
                <w:sz w:val="18"/>
              </w:rPr>
              <w:t>super- mercado</w:t>
            </w:r>
          </w:p>
        </w:tc>
        <w:tc>
          <w:tcPr>
            <w:tcW w:w="1069" w:type="dxa"/>
          </w:tcPr>
          <w:p>
            <w:pPr>
              <w:pStyle w:val="TableParagraph"/>
              <w:spacing w:before="4"/>
              <w:rPr>
                <w:rFonts w:ascii="Arial"/>
                <w:sz w:val="17"/>
              </w:rPr>
            </w:pPr>
          </w:p>
          <w:p>
            <w:pPr>
              <w:pStyle w:val="TableParagraph"/>
              <w:spacing w:before="0"/>
              <w:ind w:left="77"/>
              <w:rPr>
                <w:sz w:val="18"/>
              </w:rPr>
            </w:pPr>
            <w:r>
              <w:rPr>
                <w:color w:val="231F20"/>
                <w:w w:val="104"/>
                <w:sz w:val="18"/>
              </w:rPr>
              <w:t>1</w:t>
            </w:r>
          </w:p>
        </w:tc>
        <w:tc>
          <w:tcPr>
            <w:tcW w:w="1244" w:type="dxa"/>
          </w:tcPr>
          <w:p>
            <w:pPr>
              <w:pStyle w:val="TableParagraph"/>
              <w:spacing w:before="4"/>
              <w:rPr>
                <w:rFonts w:ascii="Arial"/>
                <w:sz w:val="17"/>
              </w:rPr>
            </w:pPr>
          </w:p>
          <w:p>
            <w:pPr>
              <w:pStyle w:val="TableParagraph"/>
              <w:spacing w:before="0"/>
              <w:ind w:left="77"/>
              <w:rPr>
                <w:sz w:val="18"/>
              </w:rPr>
            </w:pPr>
            <w:r>
              <w:rPr>
                <w:color w:val="231F20"/>
                <w:w w:val="104"/>
                <w:sz w:val="18"/>
              </w:rPr>
              <w:t>0</w:t>
            </w:r>
          </w:p>
        </w:tc>
      </w:tr>
      <w:tr>
        <w:trPr>
          <w:trHeight w:val="340" w:hRule="exact"/>
        </w:trPr>
        <w:tc>
          <w:tcPr>
            <w:tcW w:w="4055" w:type="dxa"/>
          </w:tcPr>
          <w:p>
            <w:pPr>
              <w:pStyle w:val="TableParagraph"/>
              <w:ind w:left="77"/>
              <w:rPr>
                <w:sz w:val="18"/>
              </w:rPr>
            </w:pPr>
            <w:r>
              <w:rPr>
                <w:color w:val="231F20"/>
                <w:sz w:val="18"/>
              </w:rPr>
              <w:t>Joyería</w:t>
            </w:r>
          </w:p>
        </w:tc>
        <w:tc>
          <w:tcPr>
            <w:tcW w:w="1069" w:type="dxa"/>
          </w:tcPr>
          <w:p>
            <w:pPr>
              <w:pStyle w:val="TableParagraph"/>
              <w:ind w:left="77"/>
              <w:rPr>
                <w:sz w:val="18"/>
              </w:rPr>
            </w:pPr>
            <w:r>
              <w:rPr>
                <w:color w:val="231F20"/>
                <w:w w:val="104"/>
                <w:sz w:val="18"/>
              </w:rPr>
              <w:t>1</w:t>
            </w:r>
          </w:p>
        </w:tc>
        <w:tc>
          <w:tcPr>
            <w:tcW w:w="1244" w:type="dxa"/>
          </w:tcPr>
          <w:p>
            <w:pPr>
              <w:pStyle w:val="TableParagraph"/>
              <w:ind w:left="77"/>
              <w:rPr>
                <w:sz w:val="18"/>
              </w:rPr>
            </w:pPr>
            <w:r>
              <w:rPr>
                <w:color w:val="231F20"/>
                <w:w w:val="104"/>
                <w:sz w:val="18"/>
              </w:rPr>
              <w:t>0</w:t>
            </w:r>
          </w:p>
        </w:tc>
      </w:tr>
      <w:tr>
        <w:trPr>
          <w:trHeight w:val="340" w:hRule="exact"/>
        </w:trPr>
        <w:tc>
          <w:tcPr>
            <w:tcW w:w="4055" w:type="dxa"/>
          </w:tcPr>
          <w:p>
            <w:pPr>
              <w:pStyle w:val="TableParagraph"/>
              <w:ind w:left="77"/>
              <w:rPr>
                <w:sz w:val="18"/>
              </w:rPr>
            </w:pPr>
            <w:r>
              <w:rPr>
                <w:color w:val="231F20"/>
                <w:w w:val="105"/>
                <w:sz w:val="18"/>
              </w:rPr>
              <w:t>Dirigir cocina de restaurant</w:t>
            </w:r>
          </w:p>
        </w:tc>
        <w:tc>
          <w:tcPr>
            <w:tcW w:w="1069" w:type="dxa"/>
          </w:tcPr>
          <w:p>
            <w:pPr>
              <w:pStyle w:val="TableParagraph"/>
              <w:ind w:left="77"/>
              <w:rPr>
                <w:sz w:val="18"/>
              </w:rPr>
            </w:pPr>
            <w:r>
              <w:rPr>
                <w:color w:val="231F20"/>
                <w:w w:val="104"/>
                <w:sz w:val="18"/>
              </w:rPr>
              <w:t>1</w:t>
            </w:r>
          </w:p>
        </w:tc>
        <w:tc>
          <w:tcPr>
            <w:tcW w:w="1244" w:type="dxa"/>
          </w:tcPr>
          <w:p>
            <w:pPr>
              <w:pStyle w:val="TableParagraph"/>
              <w:ind w:left="77"/>
              <w:rPr>
                <w:sz w:val="18"/>
              </w:rPr>
            </w:pPr>
            <w:r>
              <w:rPr>
                <w:color w:val="231F20"/>
                <w:w w:val="104"/>
                <w:sz w:val="18"/>
              </w:rPr>
              <w:t>0</w:t>
            </w:r>
          </w:p>
        </w:tc>
      </w:tr>
      <w:tr>
        <w:trPr>
          <w:trHeight w:val="340" w:hRule="exact"/>
        </w:trPr>
        <w:tc>
          <w:tcPr>
            <w:tcW w:w="4055" w:type="dxa"/>
          </w:tcPr>
          <w:p>
            <w:pPr>
              <w:pStyle w:val="TableParagraph"/>
              <w:ind w:left="77"/>
              <w:rPr>
                <w:sz w:val="18"/>
              </w:rPr>
            </w:pPr>
            <w:r>
              <w:rPr>
                <w:color w:val="231F20"/>
                <w:w w:val="105"/>
                <w:sz w:val="18"/>
              </w:rPr>
              <w:t>Comida rápida, hamburguesas, burritos</w:t>
            </w:r>
          </w:p>
        </w:tc>
        <w:tc>
          <w:tcPr>
            <w:tcW w:w="1069" w:type="dxa"/>
          </w:tcPr>
          <w:p>
            <w:pPr>
              <w:pStyle w:val="TableParagraph"/>
              <w:ind w:left="77"/>
              <w:rPr>
                <w:sz w:val="18"/>
              </w:rPr>
            </w:pPr>
            <w:r>
              <w:rPr>
                <w:color w:val="231F20"/>
                <w:w w:val="104"/>
                <w:sz w:val="18"/>
              </w:rPr>
              <w:t>1</w:t>
            </w:r>
          </w:p>
        </w:tc>
        <w:tc>
          <w:tcPr>
            <w:tcW w:w="1244" w:type="dxa"/>
          </w:tcPr>
          <w:p>
            <w:pPr>
              <w:pStyle w:val="TableParagraph"/>
              <w:ind w:left="77"/>
              <w:rPr>
                <w:sz w:val="18"/>
              </w:rPr>
            </w:pPr>
            <w:r>
              <w:rPr>
                <w:color w:val="231F20"/>
                <w:w w:val="104"/>
                <w:sz w:val="18"/>
              </w:rPr>
              <w:t>0</w:t>
            </w:r>
          </w:p>
        </w:tc>
      </w:tr>
      <w:tr>
        <w:trPr>
          <w:trHeight w:val="340" w:hRule="exact"/>
        </w:trPr>
        <w:tc>
          <w:tcPr>
            <w:tcW w:w="4055" w:type="dxa"/>
          </w:tcPr>
          <w:p>
            <w:pPr>
              <w:pStyle w:val="TableParagraph"/>
              <w:spacing w:before="92"/>
              <w:ind w:left="77"/>
              <w:rPr>
                <w:sz w:val="18"/>
              </w:rPr>
            </w:pPr>
            <w:r>
              <w:rPr>
                <w:color w:val="231F20"/>
                <w:sz w:val="18"/>
              </w:rPr>
              <w:t>Soldadura de naves</w:t>
            </w:r>
          </w:p>
        </w:tc>
        <w:tc>
          <w:tcPr>
            <w:tcW w:w="1069" w:type="dxa"/>
          </w:tcPr>
          <w:p>
            <w:pPr>
              <w:pStyle w:val="TableParagraph"/>
              <w:spacing w:before="92"/>
              <w:ind w:left="77"/>
              <w:rPr>
                <w:sz w:val="18"/>
              </w:rPr>
            </w:pPr>
            <w:r>
              <w:rPr>
                <w:color w:val="231F20"/>
                <w:w w:val="104"/>
                <w:sz w:val="18"/>
              </w:rPr>
              <w:t>0</w:t>
            </w:r>
          </w:p>
        </w:tc>
        <w:tc>
          <w:tcPr>
            <w:tcW w:w="1244" w:type="dxa"/>
          </w:tcPr>
          <w:p>
            <w:pPr>
              <w:pStyle w:val="TableParagraph"/>
              <w:spacing w:before="92"/>
              <w:ind w:left="77"/>
              <w:rPr>
                <w:sz w:val="18"/>
              </w:rPr>
            </w:pPr>
            <w:r>
              <w:rPr>
                <w:color w:val="231F20"/>
                <w:w w:val="104"/>
                <w:sz w:val="18"/>
              </w:rPr>
              <w:t>1</w:t>
            </w:r>
          </w:p>
        </w:tc>
      </w:tr>
      <w:tr>
        <w:trPr>
          <w:trHeight w:val="340" w:hRule="exact"/>
        </w:trPr>
        <w:tc>
          <w:tcPr>
            <w:tcW w:w="4055" w:type="dxa"/>
          </w:tcPr>
          <w:p>
            <w:pPr>
              <w:pStyle w:val="TableParagraph"/>
              <w:spacing w:before="92"/>
              <w:ind w:left="77"/>
              <w:rPr>
                <w:sz w:val="18"/>
              </w:rPr>
            </w:pPr>
            <w:r>
              <w:rPr>
                <w:color w:val="231F20"/>
                <w:w w:val="105"/>
                <w:sz w:val="18"/>
              </w:rPr>
              <w:t>Soldador de PVC, herrería, plomería</w:t>
            </w:r>
          </w:p>
        </w:tc>
        <w:tc>
          <w:tcPr>
            <w:tcW w:w="1069" w:type="dxa"/>
          </w:tcPr>
          <w:p>
            <w:pPr>
              <w:pStyle w:val="TableParagraph"/>
              <w:spacing w:before="92"/>
              <w:ind w:left="77"/>
              <w:rPr>
                <w:sz w:val="18"/>
              </w:rPr>
            </w:pPr>
            <w:r>
              <w:rPr>
                <w:color w:val="231F20"/>
                <w:w w:val="104"/>
                <w:sz w:val="18"/>
              </w:rPr>
              <w:t>0</w:t>
            </w:r>
          </w:p>
        </w:tc>
        <w:tc>
          <w:tcPr>
            <w:tcW w:w="1244" w:type="dxa"/>
          </w:tcPr>
          <w:p>
            <w:pPr>
              <w:pStyle w:val="TableParagraph"/>
              <w:spacing w:before="92"/>
              <w:ind w:left="77"/>
              <w:rPr>
                <w:sz w:val="18"/>
              </w:rPr>
            </w:pPr>
            <w:r>
              <w:rPr>
                <w:color w:val="231F20"/>
                <w:w w:val="104"/>
                <w:sz w:val="18"/>
              </w:rPr>
              <w:t>1</w:t>
            </w:r>
          </w:p>
        </w:tc>
      </w:tr>
      <w:tr>
        <w:trPr>
          <w:trHeight w:val="340" w:hRule="exact"/>
        </w:trPr>
        <w:tc>
          <w:tcPr>
            <w:tcW w:w="4055" w:type="dxa"/>
          </w:tcPr>
          <w:p>
            <w:pPr>
              <w:pStyle w:val="TableParagraph"/>
              <w:spacing w:before="92"/>
              <w:ind w:left="77"/>
              <w:rPr>
                <w:sz w:val="18"/>
              </w:rPr>
            </w:pPr>
            <w:r>
              <w:rPr>
                <w:color w:val="231F20"/>
                <w:sz w:val="18"/>
              </w:rPr>
              <w:t>Reparar lavadoras, podadoras</w:t>
            </w:r>
          </w:p>
        </w:tc>
        <w:tc>
          <w:tcPr>
            <w:tcW w:w="1069" w:type="dxa"/>
          </w:tcPr>
          <w:p>
            <w:pPr>
              <w:pStyle w:val="TableParagraph"/>
              <w:spacing w:before="92"/>
              <w:ind w:left="77"/>
              <w:rPr>
                <w:sz w:val="18"/>
              </w:rPr>
            </w:pPr>
            <w:r>
              <w:rPr>
                <w:color w:val="231F20"/>
                <w:w w:val="104"/>
                <w:sz w:val="18"/>
              </w:rPr>
              <w:t>0</w:t>
            </w:r>
          </w:p>
        </w:tc>
        <w:tc>
          <w:tcPr>
            <w:tcW w:w="1244" w:type="dxa"/>
          </w:tcPr>
          <w:p>
            <w:pPr>
              <w:pStyle w:val="TableParagraph"/>
              <w:spacing w:before="92"/>
              <w:ind w:left="77"/>
              <w:rPr>
                <w:sz w:val="18"/>
              </w:rPr>
            </w:pPr>
            <w:r>
              <w:rPr>
                <w:color w:val="231F20"/>
                <w:w w:val="104"/>
                <w:sz w:val="18"/>
              </w:rPr>
              <w:t>1</w:t>
            </w:r>
          </w:p>
        </w:tc>
      </w:tr>
      <w:tr>
        <w:trPr>
          <w:trHeight w:val="340" w:hRule="exact"/>
        </w:trPr>
        <w:tc>
          <w:tcPr>
            <w:tcW w:w="4055" w:type="dxa"/>
          </w:tcPr>
          <w:p>
            <w:pPr>
              <w:pStyle w:val="TableParagraph"/>
              <w:spacing w:before="92"/>
              <w:ind w:left="77"/>
              <w:rPr>
                <w:sz w:val="18"/>
              </w:rPr>
            </w:pPr>
            <w:r>
              <w:rPr>
                <w:color w:val="231F20"/>
                <w:sz w:val="18"/>
              </w:rPr>
              <w:t>Mecánica, arreglar carros</w:t>
            </w:r>
          </w:p>
        </w:tc>
        <w:tc>
          <w:tcPr>
            <w:tcW w:w="1069" w:type="dxa"/>
          </w:tcPr>
          <w:p>
            <w:pPr>
              <w:pStyle w:val="TableParagraph"/>
              <w:spacing w:before="92"/>
              <w:ind w:left="77"/>
              <w:rPr>
                <w:sz w:val="18"/>
              </w:rPr>
            </w:pPr>
            <w:r>
              <w:rPr>
                <w:color w:val="231F20"/>
                <w:w w:val="104"/>
                <w:sz w:val="18"/>
              </w:rPr>
              <w:t>0</w:t>
            </w:r>
          </w:p>
        </w:tc>
        <w:tc>
          <w:tcPr>
            <w:tcW w:w="1244" w:type="dxa"/>
          </w:tcPr>
          <w:p>
            <w:pPr>
              <w:pStyle w:val="TableParagraph"/>
              <w:spacing w:before="92"/>
              <w:ind w:left="77"/>
              <w:rPr>
                <w:sz w:val="18"/>
              </w:rPr>
            </w:pPr>
            <w:r>
              <w:rPr>
                <w:color w:val="231F20"/>
                <w:w w:val="104"/>
                <w:sz w:val="18"/>
              </w:rPr>
              <w:t>1</w:t>
            </w:r>
          </w:p>
        </w:tc>
      </w:tr>
      <w:tr>
        <w:trPr>
          <w:trHeight w:val="340" w:hRule="exact"/>
        </w:trPr>
        <w:tc>
          <w:tcPr>
            <w:tcW w:w="4055" w:type="dxa"/>
          </w:tcPr>
          <w:p>
            <w:pPr>
              <w:pStyle w:val="TableParagraph"/>
              <w:spacing w:before="92"/>
              <w:ind w:left="77"/>
              <w:rPr>
                <w:sz w:val="18"/>
              </w:rPr>
            </w:pPr>
            <w:r>
              <w:rPr>
                <w:color w:val="231F20"/>
                <w:w w:val="105"/>
                <w:sz w:val="18"/>
              </w:rPr>
              <w:t>Manejar maquinaria pesada de construcción</w:t>
            </w:r>
          </w:p>
        </w:tc>
        <w:tc>
          <w:tcPr>
            <w:tcW w:w="1069" w:type="dxa"/>
          </w:tcPr>
          <w:p>
            <w:pPr>
              <w:pStyle w:val="TableParagraph"/>
              <w:spacing w:before="92"/>
              <w:ind w:left="77"/>
              <w:rPr>
                <w:sz w:val="18"/>
              </w:rPr>
            </w:pPr>
            <w:r>
              <w:rPr>
                <w:color w:val="231F20"/>
                <w:w w:val="104"/>
                <w:sz w:val="18"/>
              </w:rPr>
              <w:t>0</w:t>
            </w:r>
          </w:p>
        </w:tc>
        <w:tc>
          <w:tcPr>
            <w:tcW w:w="1244" w:type="dxa"/>
          </w:tcPr>
          <w:p>
            <w:pPr>
              <w:pStyle w:val="TableParagraph"/>
              <w:spacing w:before="92"/>
              <w:ind w:left="77"/>
              <w:rPr>
                <w:sz w:val="18"/>
              </w:rPr>
            </w:pPr>
            <w:r>
              <w:rPr>
                <w:color w:val="231F20"/>
                <w:w w:val="104"/>
                <w:sz w:val="18"/>
              </w:rPr>
              <w:t>1</w:t>
            </w:r>
          </w:p>
        </w:tc>
      </w:tr>
      <w:tr>
        <w:trPr>
          <w:trHeight w:val="340" w:hRule="exact"/>
        </w:trPr>
        <w:tc>
          <w:tcPr>
            <w:tcW w:w="4055" w:type="dxa"/>
          </w:tcPr>
          <w:p>
            <w:pPr>
              <w:pStyle w:val="TableParagraph"/>
              <w:spacing w:before="92"/>
              <w:ind w:left="77"/>
              <w:rPr>
                <w:sz w:val="18"/>
              </w:rPr>
            </w:pPr>
            <w:r>
              <w:rPr>
                <w:color w:val="231F20"/>
                <w:sz w:val="18"/>
              </w:rPr>
              <w:t>Clasificar telas</w:t>
            </w:r>
          </w:p>
        </w:tc>
        <w:tc>
          <w:tcPr>
            <w:tcW w:w="1069" w:type="dxa"/>
          </w:tcPr>
          <w:p>
            <w:pPr>
              <w:pStyle w:val="TableParagraph"/>
              <w:spacing w:before="92"/>
              <w:ind w:left="77"/>
              <w:rPr>
                <w:sz w:val="18"/>
              </w:rPr>
            </w:pPr>
            <w:r>
              <w:rPr>
                <w:color w:val="231F20"/>
                <w:w w:val="104"/>
                <w:sz w:val="18"/>
              </w:rPr>
              <w:t>0</w:t>
            </w:r>
          </w:p>
        </w:tc>
        <w:tc>
          <w:tcPr>
            <w:tcW w:w="1244" w:type="dxa"/>
          </w:tcPr>
          <w:p>
            <w:pPr>
              <w:pStyle w:val="TableParagraph"/>
              <w:spacing w:before="92"/>
              <w:ind w:left="77"/>
              <w:rPr>
                <w:sz w:val="18"/>
              </w:rPr>
            </w:pPr>
            <w:r>
              <w:rPr>
                <w:color w:val="231F20"/>
                <w:w w:val="104"/>
                <w:sz w:val="18"/>
              </w:rPr>
              <w:t>1</w:t>
            </w:r>
          </w:p>
        </w:tc>
      </w:tr>
    </w:tbl>
    <w:p>
      <w:pPr>
        <w:spacing w:before="78"/>
        <w:ind w:left="2120" w:right="0" w:firstLine="0"/>
        <w:jc w:val="left"/>
        <w:rPr>
          <w:sz w:val="16"/>
        </w:rPr>
      </w:pPr>
      <w:r>
        <w:rPr>
          <w:color w:val="231F20"/>
          <w:w w:val="105"/>
          <w:sz w:val="16"/>
        </w:rPr>
        <w:t>Fuente: elaboración propia.</w:t>
      </w:r>
    </w:p>
    <w:p>
      <w:pPr>
        <w:pStyle w:val="BodyText"/>
        <w:rPr>
          <w:sz w:val="16"/>
        </w:rPr>
      </w:pPr>
    </w:p>
    <w:p>
      <w:pPr>
        <w:pStyle w:val="BodyText"/>
        <w:spacing w:line="261" w:lineRule="auto" w:before="111"/>
        <w:ind w:left="1837" w:right="1715"/>
        <w:jc w:val="both"/>
      </w:pPr>
      <w:r>
        <w:rPr/>
        <w:pict>
          <v:line style="position:absolute;mso-position-horizontal-relative:page;mso-position-vertical-relative:paragraph;z-index:-460120" from="15pt,273.7323pt" to="0pt,273.7323pt" stroked="true" strokeweight=".25pt" strokecolor="#000000">
            <w10:wrap type="none"/>
          </v:line>
        </w:pict>
      </w:r>
      <w:r>
        <w:rPr/>
        <w:pict>
          <v:line style="position:absolute;mso-position-horizontal-relative:page;mso-position-vertical-relative:paragraph;z-index:30088" from="508.890015pt,273.7323pt" to="523.890015pt,273.7323pt" stroked="true" strokeweight=".25pt" strokecolor="#000000">
            <w10:wrap type="none"/>
          </v:line>
        </w:pict>
      </w:r>
      <w:r>
        <w:rPr>
          <w:color w:val="231F20"/>
          <w:spacing w:val="-6"/>
          <w:w w:val="105"/>
        </w:rPr>
        <w:t>Por </w:t>
      </w:r>
      <w:r>
        <w:rPr>
          <w:color w:val="231F20"/>
          <w:w w:val="105"/>
        </w:rPr>
        <w:t>su parte, los retornados que llevaron experiencia laboral calificada desde</w:t>
      </w:r>
      <w:r>
        <w:rPr>
          <w:color w:val="231F20"/>
          <w:spacing w:val="-27"/>
          <w:w w:val="105"/>
        </w:rPr>
        <w:t> </w:t>
      </w:r>
      <w:r>
        <w:rPr>
          <w:color w:val="231F20"/>
          <w:w w:val="105"/>
        </w:rPr>
        <w:t>México</w:t>
      </w:r>
      <w:r>
        <w:rPr>
          <w:color w:val="231F20"/>
          <w:spacing w:val="-27"/>
          <w:w w:val="105"/>
        </w:rPr>
        <w:t> </w:t>
      </w:r>
      <w:r>
        <w:rPr>
          <w:color w:val="231F20"/>
          <w:w w:val="105"/>
        </w:rPr>
        <w:t>también</w:t>
      </w:r>
      <w:r>
        <w:rPr>
          <w:color w:val="231F20"/>
          <w:spacing w:val="-27"/>
          <w:w w:val="105"/>
        </w:rPr>
        <w:t> </w:t>
      </w:r>
      <w:r>
        <w:rPr>
          <w:color w:val="231F20"/>
          <w:w w:val="105"/>
        </w:rPr>
        <w:t>realizaron</w:t>
      </w:r>
      <w:r>
        <w:rPr>
          <w:color w:val="231F20"/>
          <w:spacing w:val="-27"/>
          <w:w w:val="105"/>
        </w:rPr>
        <w:t> </w:t>
      </w:r>
      <w:r>
        <w:rPr>
          <w:color w:val="231F20"/>
          <w:w w:val="105"/>
        </w:rPr>
        <w:t>labores</w:t>
      </w:r>
      <w:r>
        <w:rPr>
          <w:color w:val="231F20"/>
          <w:spacing w:val="-27"/>
          <w:w w:val="105"/>
        </w:rPr>
        <w:t> </w:t>
      </w:r>
      <w:r>
        <w:rPr>
          <w:color w:val="231F20"/>
          <w:w w:val="105"/>
        </w:rPr>
        <w:t>que</w:t>
      </w:r>
      <w:r>
        <w:rPr>
          <w:color w:val="231F20"/>
          <w:spacing w:val="-27"/>
          <w:w w:val="105"/>
        </w:rPr>
        <w:t> </w:t>
      </w:r>
      <w:r>
        <w:rPr>
          <w:color w:val="231F20"/>
          <w:w w:val="105"/>
        </w:rPr>
        <w:t>requerían</w:t>
      </w:r>
      <w:r>
        <w:rPr>
          <w:color w:val="231F20"/>
          <w:spacing w:val="-27"/>
          <w:w w:val="105"/>
        </w:rPr>
        <w:t> </w:t>
      </w:r>
      <w:r>
        <w:rPr>
          <w:color w:val="231F20"/>
          <w:w w:val="105"/>
        </w:rPr>
        <w:t>calificación</w:t>
      </w:r>
      <w:r>
        <w:rPr>
          <w:color w:val="231F20"/>
          <w:spacing w:val="-27"/>
          <w:w w:val="105"/>
        </w:rPr>
        <w:t> </w:t>
      </w:r>
      <w:r>
        <w:rPr>
          <w:color w:val="231F20"/>
          <w:w w:val="105"/>
        </w:rPr>
        <w:t>labo- ral</w:t>
      </w:r>
      <w:r>
        <w:rPr>
          <w:color w:val="231F20"/>
          <w:spacing w:val="-25"/>
          <w:w w:val="105"/>
        </w:rPr>
        <w:t> </w:t>
      </w:r>
      <w:r>
        <w:rPr>
          <w:color w:val="231F20"/>
          <w:w w:val="105"/>
        </w:rPr>
        <w:t>y</w:t>
      </w:r>
      <w:r>
        <w:rPr>
          <w:color w:val="231F20"/>
          <w:spacing w:val="-25"/>
          <w:w w:val="105"/>
        </w:rPr>
        <w:t> </w:t>
      </w:r>
      <w:r>
        <w:rPr>
          <w:color w:val="231F20"/>
          <w:w w:val="105"/>
        </w:rPr>
        <w:t>actividades</w:t>
      </w:r>
      <w:r>
        <w:rPr>
          <w:color w:val="231F20"/>
          <w:spacing w:val="-25"/>
          <w:w w:val="105"/>
        </w:rPr>
        <w:t> </w:t>
      </w:r>
      <w:r>
        <w:rPr>
          <w:color w:val="231F20"/>
          <w:w w:val="105"/>
        </w:rPr>
        <w:t>básicas:</w:t>
      </w:r>
      <w:r>
        <w:rPr>
          <w:color w:val="231F20"/>
          <w:spacing w:val="-25"/>
          <w:w w:val="105"/>
        </w:rPr>
        <w:t> </w:t>
      </w:r>
      <w:r>
        <w:rPr>
          <w:color w:val="231F20"/>
          <w:w w:val="105"/>
        </w:rPr>
        <w:t>contratista</w:t>
      </w:r>
      <w:r>
        <w:rPr>
          <w:color w:val="231F20"/>
          <w:spacing w:val="-25"/>
          <w:w w:val="105"/>
        </w:rPr>
        <w:t> </w:t>
      </w:r>
      <w:r>
        <w:rPr>
          <w:color w:val="231F20"/>
          <w:w w:val="105"/>
        </w:rPr>
        <w:t>de</w:t>
      </w:r>
      <w:r>
        <w:rPr>
          <w:color w:val="231F20"/>
          <w:spacing w:val="-25"/>
          <w:w w:val="105"/>
        </w:rPr>
        <w:t> </w:t>
      </w:r>
      <w:r>
        <w:rPr>
          <w:color w:val="231F20"/>
          <w:w w:val="105"/>
        </w:rPr>
        <w:t>construcción,</w:t>
      </w:r>
      <w:r>
        <w:rPr>
          <w:color w:val="231F20"/>
          <w:spacing w:val="-30"/>
          <w:w w:val="105"/>
        </w:rPr>
        <w:t> </w:t>
      </w:r>
      <w:r>
        <w:rPr>
          <w:color w:val="231F20"/>
          <w:w w:val="105"/>
        </w:rPr>
        <w:t>poner</w:t>
      </w:r>
      <w:r>
        <w:rPr>
          <w:color w:val="231F20"/>
          <w:spacing w:val="-25"/>
          <w:w w:val="105"/>
        </w:rPr>
        <w:t> </w:t>
      </w:r>
      <w:r>
        <w:rPr>
          <w:color w:val="231F20"/>
          <w:w w:val="105"/>
        </w:rPr>
        <w:t>pisos</w:t>
      </w:r>
      <w:r>
        <w:rPr>
          <w:color w:val="231F20"/>
          <w:spacing w:val="-25"/>
          <w:w w:val="105"/>
        </w:rPr>
        <w:t> </w:t>
      </w:r>
      <w:r>
        <w:rPr>
          <w:color w:val="231F20"/>
          <w:w w:val="105"/>
        </w:rPr>
        <w:t>(made- ra,</w:t>
      </w:r>
      <w:r>
        <w:rPr>
          <w:color w:val="231F20"/>
          <w:spacing w:val="-37"/>
          <w:w w:val="105"/>
        </w:rPr>
        <w:t> </w:t>
      </w:r>
      <w:r>
        <w:rPr>
          <w:color w:val="231F20"/>
          <w:w w:val="105"/>
        </w:rPr>
        <w:t>cerámica,</w:t>
      </w:r>
      <w:r>
        <w:rPr>
          <w:color w:val="231F20"/>
          <w:spacing w:val="-37"/>
          <w:w w:val="105"/>
        </w:rPr>
        <w:t> </w:t>
      </w:r>
      <w:r>
        <w:rPr>
          <w:color w:val="231F20"/>
          <w:w w:val="105"/>
        </w:rPr>
        <w:t>alfombra),</w:t>
      </w:r>
      <w:r>
        <w:rPr>
          <w:color w:val="231F20"/>
          <w:spacing w:val="-37"/>
          <w:w w:val="105"/>
        </w:rPr>
        <w:t> </w:t>
      </w:r>
      <w:r>
        <w:rPr>
          <w:rFonts w:ascii="Arial" w:hAnsi="Arial"/>
          <w:i/>
          <w:color w:val="231F20"/>
          <w:w w:val="105"/>
        </w:rPr>
        <w:t>roofing</w:t>
      </w:r>
      <w:r>
        <w:rPr>
          <w:color w:val="231F20"/>
          <w:w w:val="105"/>
        </w:rPr>
        <w:t>,</w:t>
      </w:r>
      <w:r>
        <w:rPr>
          <w:color w:val="231F20"/>
          <w:spacing w:val="-37"/>
          <w:w w:val="105"/>
        </w:rPr>
        <w:t> </w:t>
      </w:r>
      <w:r>
        <w:rPr>
          <w:color w:val="231F20"/>
          <w:w w:val="105"/>
        </w:rPr>
        <w:t>tabla</w:t>
      </w:r>
      <w:r>
        <w:rPr>
          <w:color w:val="231F20"/>
          <w:spacing w:val="-34"/>
          <w:w w:val="105"/>
        </w:rPr>
        <w:t> </w:t>
      </w:r>
      <w:r>
        <w:rPr>
          <w:color w:val="231F20"/>
          <w:w w:val="105"/>
        </w:rPr>
        <w:t>roca,</w:t>
      </w:r>
      <w:r>
        <w:rPr>
          <w:color w:val="231F20"/>
          <w:spacing w:val="-37"/>
          <w:w w:val="105"/>
        </w:rPr>
        <w:t> </w:t>
      </w:r>
      <w:r>
        <w:rPr>
          <w:color w:val="231F20"/>
          <w:w w:val="105"/>
        </w:rPr>
        <w:t>haciendo</w:t>
      </w:r>
      <w:r>
        <w:rPr>
          <w:color w:val="231F20"/>
          <w:spacing w:val="-34"/>
          <w:w w:val="105"/>
        </w:rPr>
        <w:t> </w:t>
      </w:r>
      <w:r>
        <w:rPr>
          <w:color w:val="231F20"/>
          <w:w w:val="105"/>
        </w:rPr>
        <w:t>casas</w:t>
      </w:r>
      <w:r>
        <w:rPr>
          <w:color w:val="231F20"/>
          <w:spacing w:val="-34"/>
          <w:w w:val="105"/>
        </w:rPr>
        <w:t> </w:t>
      </w:r>
      <w:r>
        <w:rPr>
          <w:color w:val="231F20"/>
          <w:w w:val="105"/>
        </w:rPr>
        <w:t>de</w:t>
      </w:r>
      <w:r>
        <w:rPr>
          <w:color w:val="231F20"/>
          <w:spacing w:val="-34"/>
          <w:w w:val="105"/>
        </w:rPr>
        <w:t> </w:t>
      </w:r>
      <w:r>
        <w:rPr>
          <w:color w:val="231F20"/>
          <w:w w:val="105"/>
        </w:rPr>
        <w:t>madera,</w:t>
      </w:r>
      <w:r>
        <w:rPr>
          <w:color w:val="231F20"/>
          <w:spacing w:val="-37"/>
          <w:w w:val="105"/>
        </w:rPr>
        <w:t> </w:t>
      </w:r>
      <w:r>
        <w:rPr>
          <w:color w:val="231F20"/>
          <w:w w:val="105"/>
        </w:rPr>
        <w:t>en cocina</w:t>
      </w:r>
      <w:r>
        <w:rPr>
          <w:color w:val="231F20"/>
          <w:spacing w:val="-37"/>
          <w:w w:val="105"/>
        </w:rPr>
        <w:t> </w:t>
      </w:r>
      <w:r>
        <w:rPr>
          <w:color w:val="231F20"/>
          <w:w w:val="105"/>
        </w:rPr>
        <w:t>internacional,</w:t>
      </w:r>
      <w:r>
        <w:rPr>
          <w:color w:val="231F20"/>
          <w:spacing w:val="-40"/>
          <w:w w:val="105"/>
        </w:rPr>
        <w:t> </w:t>
      </w:r>
      <w:r>
        <w:rPr>
          <w:color w:val="231F20"/>
          <w:w w:val="105"/>
        </w:rPr>
        <w:t>limpieza</w:t>
      </w:r>
      <w:r>
        <w:rPr>
          <w:color w:val="231F20"/>
          <w:spacing w:val="-37"/>
          <w:w w:val="105"/>
        </w:rPr>
        <w:t> </w:t>
      </w:r>
      <w:r>
        <w:rPr>
          <w:color w:val="231F20"/>
          <w:w w:val="105"/>
        </w:rPr>
        <w:t>de</w:t>
      </w:r>
      <w:r>
        <w:rPr>
          <w:color w:val="231F20"/>
          <w:spacing w:val="-37"/>
          <w:w w:val="105"/>
        </w:rPr>
        <w:t> </w:t>
      </w:r>
      <w:r>
        <w:rPr>
          <w:color w:val="231F20"/>
          <w:w w:val="105"/>
        </w:rPr>
        <w:t>restaurant,</w:t>
      </w:r>
      <w:r>
        <w:rPr>
          <w:color w:val="231F20"/>
          <w:spacing w:val="-40"/>
          <w:w w:val="105"/>
        </w:rPr>
        <w:t> </w:t>
      </w:r>
      <w:r>
        <w:rPr>
          <w:color w:val="231F20"/>
          <w:w w:val="105"/>
        </w:rPr>
        <w:t>lava</w:t>
      </w:r>
      <w:r>
        <w:rPr>
          <w:color w:val="231F20"/>
          <w:spacing w:val="-37"/>
          <w:w w:val="105"/>
        </w:rPr>
        <w:t> </w:t>
      </w:r>
      <w:r>
        <w:rPr>
          <w:color w:val="231F20"/>
          <w:w w:val="105"/>
        </w:rPr>
        <w:t>platos,</w:t>
      </w:r>
      <w:r>
        <w:rPr>
          <w:color w:val="231F20"/>
          <w:spacing w:val="-40"/>
          <w:w w:val="105"/>
        </w:rPr>
        <w:t> </w:t>
      </w:r>
      <w:r>
        <w:rPr>
          <w:color w:val="231F20"/>
          <w:w w:val="105"/>
        </w:rPr>
        <w:t>mesero,</w:t>
      </w:r>
      <w:r>
        <w:rPr>
          <w:color w:val="231F20"/>
          <w:spacing w:val="-40"/>
          <w:w w:val="105"/>
        </w:rPr>
        <w:t> </w:t>
      </w:r>
      <w:r>
        <w:rPr>
          <w:color w:val="231F20"/>
          <w:w w:val="105"/>
        </w:rPr>
        <w:t>atención a</w:t>
      </w:r>
      <w:r>
        <w:rPr>
          <w:color w:val="231F20"/>
          <w:spacing w:val="-19"/>
          <w:w w:val="105"/>
        </w:rPr>
        <w:t> </w:t>
      </w:r>
      <w:r>
        <w:rPr>
          <w:color w:val="231F20"/>
          <w:w w:val="105"/>
        </w:rPr>
        <w:t>clientes,</w:t>
      </w:r>
      <w:r>
        <w:rPr>
          <w:color w:val="231F20"/>
          <w:spacing w:val="-23"/>
          <w:w w:val="105"/>
        </w:rPr>
        <w:t> </w:t>
      </w:r>
      <w:r>
        <w:rPr>
          <w:color w:val="231F20"/>
          <w:w w:val="105"/>
        </w:rPr>
        <w:t>labores</w:t>
      </w:r>
      <w:r>
        <w:rPr>
          <w:color w:val="231F20"/>
          <w:spacing w:val="-19"/>
          <w:w w:val="105"/>
        </w:rPr>
        <w:t> </w:t>
      </w:r>
      <w:r>
        <w:rPr>
          <w:color w:val="231F20"/>
          <w:w w:val="105"/>
        </w:rPr>
        <w:t>agrícolas,</w:t>
      </w:r>
      <w:r>
        <w:rPr>
          <w:color w:val="231F20"/>
          <w:spacing w:val="-23"/>
          <w:w w:val="105"/>
        </w:rPr>
        <w:t> </w:t>
      </w:r>
      <w:r>
        <w:rPr>
          <w:color w:val="231F20"/>
          <w:w w:val="105"/>
        </w:rPr>
        <w:t>ayudantes</w:t>
      </w:r>
      <w:r>
        <w:rPr>
          <w:color w:val="231F20"/>
          <w:spacing w:val="-19"/>
          <w:w w:val="105"/>
        </w:rPr>
        <w:t> </w:t>
      </w:r>
      <w:r>
        <w:rPr>
          <w:color w:val="231F20"/>
          <w:w w:val="105"/>
        </w:rPr>
        <w:t>de</w:t>
      </w:r>
      <w:r>
        <w:rPr>
          <w:color w:val="231F20"/>
          <w:spacing w:val="-19"/>
          <w:w w:val="105"/>
        </w:rPr>
        <w:t> </w:t>
      </w:r>
      <w:r>
        <w:rPr>
          <w:color w:val="231F20"/>
          <w:w w:val="105"/>
        </w:rPr>
        <w:t>albañil,</w:t>
      </w:r>
      <w:r>
        <w:rPr>
          <w:color w:val="231F20"/>
          <w:spacing w:val="-23"/>
          <w:w w:val="105"/>
        </w:rPr>
        <w:t> </w:t>
      </w:r>
      <w:r>
        <w:rPr>
          <w:color w:val="231F20"/>
          <w:w w:val="105"/>
        </w:rPr>
        <w:t>obreros,</w:t>
      </w:r>
      <w:r>
        <w:rPr>
          <w:color w:val="231F20"/>
          <w:spacing w:val="-23"/>
          <w:w w:val="105"/>
        </w:rPr>
        <w:t> </w:t>
      </w:r>
      <w:r>
        <w:rPr>
          <w:color w:val="231F20"/>
          <w:w w:val="105"/>
        </w:rPr>
        <w:t>empleados</w:t>
      </w:r>
      <w:r>
        <w:rPr>
          <w:color w:val="231F20"/>
          <w:spacing w:val="-19"/>
          <w:w w:val="105"/>
        </w:rPr>
        <w:t> </w:t>
      </w:r>
      <w:r>
        <w:rPr>
          <w:color w:val="231F20"/>
          <w:w w:val="105"/>
        </w:rPr>
        <w:t>y vendedores</w:t>
      </w:r>
      <w:r>
        <w:rPr>
          <w:color w:val="231F20"/>
          <w:spacing w:val="-8"/>
          <w:w w:val="105"/>
        </w:rPr>
        <w:t> </w:t>
      </w:r>
      <w:r>
        <w:rPr>
          <w:color w:val="231F20"/>
          <w:w w:val="105"/>
        </w:rPr>
        <w:t>de</w:t>
      </w:r>
      <w:r>
        <w:rPr>
          <w:color w:val="231F20"/>
          <w:spacing w:val="-8"/>
          <w:w w:val="105"/>
        </w:rPr>
        <w:t> </w:t>
      </w:r>
      <w:r>
        <w:rPr>
          <w:color w:val="231F20"/>
          <w:w w:val="105"/>
        </w:rPr>
        <w:t>calle,</w:t>
      </w:r>
      <w:r>
        <w:rPr>
          <w:color w:val="231F20"/>
          <w:spacing w:val="-12"/>
          <w:w w:val="105"/>
        </w:rPr>
        <w:t> </w:t>
      </w:r>
      <w:r>
        <w:rPr>
          <w:color w:val="231F20"/>
          <w:w w:val="105"/>
        </w:rPr>
        <w:t>cuidar</w:t>
      </w:r>
      <w:r>
        <w:rPr>
          <w:color w:val="231F20"/>
          <w:spacing w:val="-8"/>
          <w:w w:val="105"/>
        </w:rPr>
        <w:t> </w:t>
      </w:r>
      <w:r>
        <w:rPr>
          <w:color w:val="231F20"/>
          <w:w w:val="105"/>
        </w:rPr>
        <w:t>niños,</w:t>
      </w:r>
      <w:r>
        <w:rPr>
          <w:color w:val="231F20"/>
          <w:spacing w:val="-12"/>
          <w:w w:val="105"/>
        </w:rPr>
        <w:t> </w:t>
      </w:r>
      <w:r>
        <w:rPr>
          <w:color w:val="231F20"/>
          <w:w w:val="105"/>
        </w:rPr>
        <w:t>ancianos</w:t>
      </w:r>
      <w:r>
        <w:rPr>
          <w:color w:val="231F20"/>
          <w:spacing w:val="-8"/>
          <w:w w:val="105"/>
        </w:rPr>
        <w:t> </w:t>
      </w:r>
      <w:r>
        <w:rPr>
          <w:color w:val="231F20"/>
          <w:w w:val="105"/>
        </w:rPr>
        <w:t>y</w:t>
      </w:r>
      <w:r>
        <w:rPr>
          <w:color w:val="231F20"/>
          <w:spacing w:val="-8"/>
          <w:w w:val="105"/>
        </w:rPr>
        <w:t> </w:t>
      </w:r>
      <w:r>
        <w:rPr>
          <w:color w:val="231F20"/>
          <w:w w:val="105"/>
        </w:rPr>
        <w:t>animales</w:t>
      </w:r>
      <w:r>
        <w:rPr>
          <w:color w:val="231F20"/>
          <w:spacing w:val="-8"/>
          <w:w w:val="105"/>
        </w:rPr>
        <w:t> </w:t>
      </w:r>
      <w:r>
        <w:rPr>
          <w:color w:val="231F20"/>
          <w:w w:val="105"/>
        </w:rPr>
        <w:t>diversos,</w:t>
      </w:r>
      <w:r>
        <w:rPr>
          <w:color w:val="231F20"/>
          <w:spacing w:val="-12"/>
          <w:w w:val="105"/>
        </w:rPr>
        <w:t> </w:t>
      </w:r>
      <w:r>
        <w:rPr>
          <w:color w:val="231F20"/>
          <w:w w:val="105"/>
        </w:rPr>
        <w:t>solda- dura</w:t>
      </w:r>
      <w:r>
        <w:rPr>
          <w:color w:val="231F20"/>
          <w:spacing w:val="-23"/>
          <w:w w:val="105"/>
        </w:rPr>
        <w:t> </w:t>
      </w:r>
      <w:r>
        <w:rPr>
          <w:color w:val="231F20"/>
          <w:w w:val="105"/>
        </w:rPr>
        <w:t>de</w:t>
      </w:r>
      <w:r>
        <w:rPr>
          <w:color w:val="231F20"/>
          <w:spacing w:val="-23"/>
          <w:w w:val="105"/>
        </w:rPr>
        <w:t> </w:t>
      </w:r>
      <w:r>
        <w:rPr>
          <w:color w:val="231F20"/>
          <w:w w:val="105"/>
        </w:rPr>
        <w:t>naves</w:t>
      </w:r>
      <w:r>
        <w:rPr>
          <w:color w:val="231F20"/>
          <w:spacing w:val="-23"/>
          <w:w w:val="105"/>
        </w:rPr>
        <w:t> </w:t>
      </w:r>
      <w:r>
        <w:rPr>
          <w:color w:val="231F20"/>
          <w:w w:val="105"/>
        </w:rPr>
        <w:t>industriales,</w:t>
      </w:r>
      <w:r>
        <w:rPr>
          <w:color w:val="231F20"/>
          <w:spacing w:val="-27"/>
          <w:w w:val="105"/>
        </w:rPr>
        <w:t> </w:t>
      </w:r>
      <w:r>
        <w:rPr>
          <w:color w:val="231F20"/>
          <w:w w:val="105"/>
        </w:rPr>
        <w:t>mecánica</w:t>
      </w:r>
      <w:r>
        <w:rPr>
          <w:color w:val="231F20"/>
          <w:spacing w:val="-23"/>
          <w:w w:val="105"/>
        </w:rPr>
        <w:t> </w:t>
      </w:r>
      <w:r>
        <w:rPr>
          <w:color w:val="231F20"/>
          <w:w w:val="105"/>
        </w:rPr>
        <w:t>de</w:t>
      </w:r>
      <w:r>
        <w:rPr>
          <w:color w:val="231F20"/>
          <w:spacing w:val="-23"/>
          <w:w w:val="105"/>
        </w:rPr>
        <w:t> </w:t>
      </w:r>
      <w:r>
        <w:rPr>
          <w:color w:val="231F20"/>
          <w:w w:val="105"/>
        </w:rPr>
        <w:t>autos,</w:t>
      </w:r>
      <w:r>
        <w:rPr>
          <w:color w:val="231F20"/>
          <w:spacing w:val="-27"/>
          <w:w w:val="105"/>
        </w:rPr>
        <w:t> </w:t>
      </w:r>
      <w:r>
        <w:rPr>
          <w:color w:val="231F20"/>
          <w:w w:val="105"/>
        </w:rPr>
        <w:t>electricidad,</w:t>
      </w:r>
      <w:r>
        <w:rPr>
          <w:color w:val="231F20"/>
          <w:spacing w:val="-27"/>
          <w:w w:val="105"/>
        </w:rPr>
        <w:t> </w:t>
      </w:r>
      <w:r>
        <w:rPr>
          <w:color w:val="231F20"/>
          <w:w w:val="105"/>
        </w:rPr>
        <w:t>electrónica</w:t>
      </w:r>
      <w:r>
        <w:rPr>
          <w:color w:val="231F20"/>
          <w:spacing w:val="-23"/>
          <w:w w:val="105"/>
        </w:rPr>
        <w:t> </w:t>
      </w:r>
      <w:r>
        <w:rPr>
          <w:color w:val="231F20"/>
          <w:w w:val="105"/>
        </w:rPr>
        <w:t>y afines.</w:t>
      </w:r>
      <w:r>
        <w:rPr>
          <w:color w:val="231F20"/>
          <w:spacing w:val="-22"/>
          <w:w w:val="105"/>
        </w:rPr>
        <w:t> </w:t>
      </w:r>
      <w:r>
        <w:rPr>
          <w:color w:val="231F20"/>
          <w:w w:val="105"/>
        </w:rPr>
        <w:t>Según</w:t>
      </w:r>
      <w:r>
        <w:rPr>
          <w:color w:val="231F20"/>
          <w:spacing w:val="-18"/>
          <w:w w:val="105"/>
        </w:rPr>
        <w:t> </w:t>
      </w:r>
      <w:r>
        <w:rPr>
          <w:color w:val="231F20"/>
          <w:w w:val="105"/>
        </w:rPr>
        <w:t>el</w:t>
      </w:r>
      <w:r>
        <w:rPr>
          <w:color w:val="231F20"/>
          <w:spacing w:val="-18"/>
          <w:w w:val="105"/>
        </w:rPr>
        <w:t> </w:t>
      </w:r>
      <w:r>
        <w:rPr>
          <w:color w:val="231F20"/>
          <w:w w:val="105"/>
        </w:rPr>
        <w:t>área</w:t>
      </w:r>
      <w:r>
        <w:rPr>
          <w:color w:val="231F20"/>
          <w:spacing w:val="-18"/>
          <w:w w:val="105"/>
        </w:rPr>
        <w:t> </w:t>
      </w:r>
      <w:r>
        <w:rPr>
          <w:color w:val="231F20"/>
          <w:w w:val="105"/>
        </w:rPr>
        <w:t>laboral,</w:t>
      </w:r>
      <w:r>
        <w:rPr>
          <w:color w:val="231F20"/>
          <w:spacing w:val="-22"/>
          <w:w w:val="105"/>
        </w:rPr>
        <w:t> </w:t>
      </w:r>
      <w:r>
        <w:rPr>
          <w:color w:val="231F20"/>
          <w:w w:val="105"/>
        </w:rPr>
        <w:t>estos</w:t>
      </w:r>
      <w:r>
        <w:rPr>
          <w:color w:val="231F20"/>
          <w:spacing w:val="-18"/>
          <w:w w:val="105"/>
        </w:rPr>
        <w:t> </w:t>
      </w:r>
      <w:r>
        <w:rPr>
          <w:color w:val="231F20"/>
          <w:w w:val="105"/>
        </w:rPr>
        <w:t>retornados</w:t>
      </w:r>
      <w:r>
        <w:rPr>
          <w:color w:val="231F20"/>
          <w:spacing w:val="-18"/>
          <w:w w:val="105"/>
        </w:rPr>
        <w:t> </w:t>
      </w:r>
      <w:r>
        <w:rPr>
          <w:color w:val="231F20"/>
          <w:w w:val="105"/>
        </w:rPr>
        <w:t>se</w:t>
      </w:r>
      <w:r>
        <w:rPr>
          <w:color w:val="231F20"/>
          <w:spacing w:val="-18"/>
          <w:w w:val="105"/>
        </w:rPr>
        <w:t> </w:t>
      </w:r>
      <w:r>
        <w:rPr>
          <w:color w:val="231F20"/>
          <w:w w:val="105"/>
        </w:rPr>
        <w:t>insertaron</w:t>
      </w:r>
      <w:r>
        <w:rPr>
          <w:color w:val="231F20"/>
          <w:spacing w:val="-18"/>
          <w:w w:val="105"/>
        </w:rPr>
        <w:t> </w:t>
      </w:r>
      <w:r>
        <w:rPr>
          <w:color w:val="231F20"/>
          <w:w w:val="105"/>
        </w:rPr>
        <w:t>en</w:t>
      </w:r>
      <w:r>
        <w:rPr>
          <w:color w:val="231F20"/>
          <w:spacing w:val="-18"/>
          <w:w w:val="105"/>
        </w:rPr>
        <w:t> </w:t>
      </w:r>
      <w:r>
        <w:rPr>
          <w:color w:val="231F20"/>
          <w:w w:val="105"/>
        </w:rPr>
        <w:t>áreas</w:t>
      </w:r>
      <w:r>
        <w:rPr>
          <w:color w:val="231F20"/>
          <w:spacing w:val="-18"/>
          <w:w w:val="105"/>
        </w:rPr>
        <w:t> </w:t>
      </w:r>
      <w:r>
        <w:rPr>
          <w:color w:val="231F20"/>
          <w:w w:val="105"/>
        </w:rPr>
        <w:t>de construcción</w:t>
      </w:r>
      <w:r>
        <w:rPr>
          <w:color w:val="231F20"/>
          <w:spacing w:val="-29"/>
          <w:w w:val="105"/>
        </w:rPr>
        <w:t> </w:t>
      </w:r>
      <w:r>
        <w:rPr>
          <w:color w:val="231F20"/>
          <w:w w:val="105"/>
        </w:rPr>
        <w:t>(36.8%),</w:t>
      </w:r>
      <w:r>
        <w:rPr>
          <w:color w:val="231F20"/>
          <w:spacing w:val="-32"/>
          <w:w w:val="105"/>
        </w:rPr>
        <w:t> </w:t>
      </w:r>
      <w:r>
        <w:rPr>
          <w:color w:val="231F20"/>
          <w:w w:val="105"/>
        </w:rPr>
        <w:t>restaurant</w:t>
      </w:r>
      <w:r>
        <w:rPr>
          <w:color w:val="231F20"/>
          <w:spacing w:val="-29"/>
          <w:w w:val="105"/>
        </w:rPr>
        <w:t> </w:t>
      </w:r>
      <w:r>
        <w:rPr>
          <w:color w:val="231F20"/>
          <w:w w:val="105"/>
        </w:rPr>
        <w:t>(21%),</w:t>
      </w:r>
      <w:r>
        <w:rPr>
          <w:color w:val="231F20"/>
          <w:spacing w:val="-32"/>
          <w:w w:val="105"/>
        </w:rPr>
        <w:t> </w:t>
      </w:r>
      <w:r>
        <w:rPr>
          <w:color w:val="231F20"/>
          <w:w w:val="105"/>
        </w:rPr>
        <w:t>fábricas</w:t>
      </w:r>
      <w:r>
        <w:rPr>
          <w:color w:val="231F20"/>
          <w:spacing w:val="-29"/>
          <w:w w:val="105"/>
        </w:rPr>
        <w:t> </w:t>
      </w:r>
      <w:r>
        <w:rPr>
          <w:color w:val="231F20"/>
          <w:w w:val="105"/>
        </w:rPr>
        <w:t>diversas</w:t>
      </w:r>
      <w:r>
        <w:rPr>
          <w:color w:val="231F20"/>
          <w:spacing w:val="-29"/>
          <w:w w:val="105"/>
        </w:rPr>
        <w:t> </w:t>
      </w:r>
      <w:r>
        <w:rPr>
          <w:color w:val="231F20"/>
          <w:w w:val="105"/>
        </w:rPr>
        <w:t>(10.5%),</w:t>
      </w:r>
      <w:r>
        <w:rPr>
          <w:color w:val="231F20"/>
          <w:spacing w:val="-32"/>
          <w:w w:val="105"/>
        </w:rPr>
        <w:t> </w:t>
      </w:r>
      <w:r>
        <w:rPr>
          <w:color w:val="231F20"/>
          <w:w w:val="105"/>
        </w:rPr>
        <w:t>activi- dades</w:t>
      </w:r>
      <w:r>
        <w:rPr>
          <w:color w:val="231F20"/>
          <w:spacing w:val="-11"/>
          <w:w w:val="105"/>
        </w:rPr>
        <w:t> </w:t>
      </w:r>
      <w:r>
        <w:rPr>
          <w:color w:val="231F20"/>
          <w:w w:val="105"/>
        </w:rPr>
        <w:t>agrícolas</w:t>
      </w:r>
      <w:r>
        <w:rPr>
          <w:color w:val="231F20"/>
          <w:spacing w:val="-11"/>
          <w:w w:val="105"/>
        </w:rPr>
        <w:t> </w:t>
      </w:r>
      <w:r>
        <w:rPr>
          <w:color w:val="231F20"/>
          <w:w w:val="105"/>
        </w:rPr>
        <w:t>(10.5%),</w:t>
      </w:r>
      <w:r>
        <w:rPr>
          <w:color w:val="231F20"/>
          <w:spacing w:val="-15"/>
          <w:w w:val="105"/>
        </w:rPr>
        <w:t> </w:t>
      </w:r>
      <w:r>
        <w:rPr>
          <w:color w:val="231F20"/>
          <w:w w:val="105"/>
        </w:rPr>
        <w:t>oficios</w:t>
      </w:r>
      <w:r>
        <w:rPr>
          <w:color w:val="231F20"/>
          <w:spacing w:val="-11"/>
          <w:w w:val="105"/>
        </w:rPr>
        <w:t> </w:t>
      </w:r>
      <w:r>
        <w:rPr>
          <w:color w:val="231F20"/>
          <w:w w:val="105"/>
        </w:rPr>
        <w:t>como</w:t>
      </w:r>
      <w:r>
        <w:rPr>
          <w:color w:val="231F20"/>
          <w:spacing w:val="-11"/>
          <w:w w:val="105"/>
        </w:rPr>
        <w:t> </w:t>
      </w:r>
      <w:r>
        <w:rPr>
          <w:color w:val="231F20"/>
          <w:w w:val="105"/>
        </w:rPr>
        <w:t>la</w:t>
      </w:r>
      <w:r>
        <w:rPr>
          <w:color w:val="231F20"/>
          <w:spacing w:val="-11"/>
          <w:w w:val="105"/>
        </w:rPr>
        <w:t> </w:t>
      </w:r>
      <w:r>
        <w:rPr>
          <w:color w:val="231F20"/>
          <w:w w:val="105"/>
        </w:rPr>
        <w:t>mecánica</w:t>
      </w:r>
      <w:r>
        <w:rPr>
          <w:color w:val="231F20"/>
          <w:spacing w:val="-11"/>
          <w:w w:val="105"/>
        </w:rPr>
        <w:t> </w:t>
      </w:r>
      <w:r>
        <w:rPr>
          <w:color w:val="231F20"/>
          <w:w w:val="105"/>
        </w:rPr>
        <w:t>de</w:t>
      </w:r>
      <w:r>
        <w:rPr>
          <w:color w:val="231F20"/>
          <w:spacing w:val="-11"/>
          <w:w w:val="105"/>
        </w:rPr>
        <w:t> </w:t>
      </w:r>
      <w:r>
        <w:rPr>
          <w:color w:val="231F20"/>
          <w:w w:val="105"/>
        </w:rPr>
        <w:t>autos,</w:t>
      </w:r>
      <w:r>
        <w:rPr>
          <w:color w:val="231F20"/>
          <w:spacing w:val="-15"/>
          <w:w w:val="105"/>
        </w:rPr>
        <w:t> </w:t>
      </w:r>
      <w:r>
        <w:rPr>
          <w:color w:val="231F20"/>
          <w:w w:val="105"/>
        </w:rPr>
        <w:t>reparación de</w:t>
      </w:r>
      <w:r>
        <w:rPr>
          <w:color w:val="231F20"/>
          <w:spacing w:val="-28"/>
          <w:w w:val="105"/>
        </w:rPr>
        <w:t> </w:t>
      </w:r>
      <w:r>
        <w:rPr>
          <w:color w:val="231F20"/>
          <w:w w:val="105"/>
        </w:rPr>
        <w:t>aparatos</w:t>
      </w:r>
      <w:r>
        <w:rPr>
          <w:color w:val="231F20"/>
          <w:spacing w:val="-28"/>
          <w:w w:val="105"/>
        </w:rPr>
        <w:t> </w:t>
      </w:r>
      <w:r>
        <w:rPr>
          <w:color w:val="231F20"/>
          <w:w w:val="105"/>
        </w:rPr>
        <w:t>eléctricos,</w:t>
      </w:r>
      <w:r>
        <w:rPr>
          <w:color w:val="231F20"/>
          <w:spacing w:val="-33"/>
          <w:w w:val="105"/>
        </w:rPr>
        <w:t> </w:t>
      </w:r>
      <w:r>
        <w:rPr>
          <w:color w:val="231F20"/>
          <w:w w:val="105"/>
        </w:rPr>
        <w:t>soldadores,</w:t>
      </w:r>
      <w:r>
        <w:rPr>
          <w:color w:val="231F20"/>
          <w:spacing w:val="-33"/>
          <w:w w:val="105"/>
        </w:rPr>
        <w:t> </w:t>
      </w:r>
      <w:r>
        <w:rPr>
          <w:color w:val="231F20"/>
          <w:w w:val="105"/>
        </w:rPr>
        <w:t>fontaneros</w:t>
      </w:r>
      <w:r>
        <w:rPr>
          <w:color w:val="231F20"/>
          <w:spacing w:val="-28"/>
          <w:w w:val="105"/>
        </w:rPr>
        <w:t> </w:t>
      </w:r>
      <w:r>
        <w:rPr>
          <w:color w:val="231F20"/>
          <w:w w:val="105"/>
        </w:rPr>
        <w:t>(21%).</w:t>
      </w:r>
      <w:r>
        <w:rPr>
          <w:color w:val="231F20"/>
          <w:spacing w:val="-33"/>
          <w:w w:val="105"/>
        </w:rPr>
        <w:t> </w:t>
      </w:r>
      <w:r>
        <w:rPr>
          <w:color w:val="231F20"/>
          <w:w w:val="105"/>
        </w:rPr>
        <w:t>En</w:t>
      </w:r>
      <w:r>
        <w:rPr>
          <w:color w:val="231F20"/>
          <w:spacing w:val="-29"/>
          <w:w w:val="105"/>
        </w:rPr>
        <w:t> </w:t>
      </w:r>
      <w:r>
        <w:rPr>
          <w:color w:val="231F20"/>
          <w:w w:val="105"/>
        </w:rPr>
        <w:t>suma,</w:t>
      </w:r>
      <w:r>
        <w:rPr>
          <w:color w:val="231F20"/>
          <w:spacing w:val="-33"/>
          <w:w w:val="105"/>
        </w:rPr>
        <w:t> </w:t>
      </w:r>
      <w:r>
        <w:rPr>
          <w:color w:val="231F20"/>
          <w:w w:val="105"/>
        </w:rPr>
        <w:t>cuatro</w:t>
      </w:r>
      <w:r>
        <w:rPr>
          <w:color w:val="231F20"/>
          <w:spacing w:val="-29"/>
          <w:w w:val="105"/>
        </w:rPr>
        <w:t> </w:t>
      </w:r>
      <w:r>
        <w:rPr>
          <w:color w:val="231F20"/>
          <w:w w:val="105"/>
        </w:rPr>
        <w:t>de cada</w:t>
      </w:r>
      <w:r>
        <w:rPr>
          <w:color w:val="231F20"/>
          <w:spacing w:val="-14"/>
          <w:w w:val="105"/>
        </w:rPr>
        <w:t> </w:t>
      </w:r>
      <w:r>
        <w:rPr>
          <w:color w:val="231F20"/>
          <w:w w:val="105"/>
        </w:rPr>
        <w:t>10</w:t>
      </w:r>
      <w:r>
        <w:rPr>
          <w:color w:val="231F20"/>
          <w:spacing w:val="-14"/>
          <w:w w:val="105"/>
        </w:rPr>
        <w:t> </w:t>
      </w:r>
      <w:r>
        <w:rPr>
          <w:color w:val="231F20"/>
          <w:w w:val="105"/>
        </w:rPr>
        <w:t>que</w:t>
      </w:r>
      <w:r>
        <w:rPr>
          <w:color w:val="231F20"/>
          <w:spacing w:val="-14"/>
          <w:w w:val="105"/>
        </w:rPr>
        <w:t> </w:t>
      </w:r>
      <w:r>
        <w:rPr>
          <w:color w:val="231F20"/>
          <w:w w:val="105"/>
        </w:rPr>
        <w:t>iban</w:t>
      </w:r>
      <w:r>
        <w:rPr>
          <w:color w:val="231F20"/>
          <w:spacing w:val="-14"/>
          <w:w w:val="105"/>
        </w:rPr>
        <w:t> </w:t>
      </w:r>
      <w:r>
        <w:rPr>
          <w:color w:val="231F20"/>
          <w:w w:val="105"/>
        </w:rPr>
        <w:t>con</w:t>
      </w:r>
      <w:r>
        <w:rPr>
          <w:color w:val="231F20"/>
          <w:spacing w:val="-14"/>
          <w:w w:val="105"/>
        </w:rPr>
        <w:t> </w:t>
      </w:r>
      <w:r>
        <w:rPr>
          <w:color w:val="231F20"/>
          <w:w w:val="105"/>
        </w:rPr>
        <w:t>experiencia</w:t>
      </w:r>
      <w:r>
        <w:rPr>
          <w:color w:val="231F20"/>
          <w:spacing w:val="-14"/>
          <w:w w:val="105"/>
        </w:rPr>
        <w:t> </w:t>
      </w:r>
      <w:r>
        <w:rPr>
          <w:color w:val="231F20"/>
          <w:w w:val="105"/>
        </w:rPr>
        <w:t>laboral</w:t>
      </w:r>
      <w:r>
        <w:rPr>
          <w:color w:val="231F20"/>
          <w:spacing w:val="-14"/>
          <w:w w:val="105"/>
        </w:rPr>
        <w:t> </w:t>
      </w:r>
      <w:r>
        <w:rPr>
          <w:color w:val="231F20"/>
          <w:w w:val="105"/>
        </w:rPr>
        <w:t>calificada</w:t>
      </w:r>
      <w:r>
        <w:rPr>
          <w:color w:val="231F20"/>
          <w:spacing w:val="-14"/>
          <w:w w:val="105"/>
        </w:rPr>
        <w:t> </w:t>
      </w:r>
      <w:r>
        <w:rPr>
          <w:color w:val="231F20"/>
          <w:w w:val="105"/>
        </w:rPr>
        <w:t>tuvieron</w:t>
      </w:r>
      <w:r>
        <w:rPr>
          <w:color w:val="231F20"/>
          <w:spacing w:val="-14"/>
          <w:w w:val="105"/>
        </w:rPr>
        <w:t> </w:t>
      </w:r>
      <w:r>
        <w:rPr>
          <w:color w:val="231F20"/>
          <w:w w:val="105"/>
        </w:rPr>
        <w:t>que</w:t>
      </w:r>
      <w:r>
        <w:rPr>
          <w:color w:val="231F20"/>
          <w:spacing w:val="-14"/>
          <w:w w:val="105"/>
        </w:rPr>
        <w:t> </w:t>
      </w:r>
      <w:r>
        <w:rPr>
          <w:color w:val="231F20"/>
          <w:w w:val="105"/>
        </w:rPr>
        <w:t>realizar tareas menos calificadas: limpieza general, ayudantes de</w:t>
      </w:r>
      <w:r>
        <w:rPr>
          <w:color w:val="231F20"/>
          <w:spacing w:val="-33"/>
          <w:w w:val="105"/>
        </w:rPr>
        <w:t> </w:t>
      </w:r>
      <w:r>
        <w:rPr>
          <w:color w:val="231F20"/>
          <w:w w:val="105"/>
        </w:rPr>
        <w:t>construcción, obreros generales, empleados y vendedores, labores agrícolas,  </w:t>
      </w:r>
      <w:r>
        <w:rPr>
          <w:color w:val="231F20"/>
          <w:spacing w:val="40"/>
          <w:w w:val="105"/>
        </w:rPr>
        <w:t> </w:t>
      </w:r>
      <w:r>
        <w:rPr>
          <w:color w:val="231F20"/>
          <w:w w:val="105"/>
        </w:rPr>
        <w:t>jardi-</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9"/>
        <w:jc w:val="both"/>
      </w:pPr>
      <w:r>
        <w:rPr/>
        <w:pict>
          <v:line style="position:absolute;mso-position-horizontal-relative:page;mso-position-vertical-relative:paragraph;z-index:30160" from="15pt,-71.68644pt" to="0pt,-71.68644pt" stroked="true" strokeweight=".25pt" strokecolor="#000000">
            <w10:wrap type="none"/>
          </v:line>
        </w:pict>
      </w:r>
      <w:r>
        <w:rPr/>
        <w:pict>
          <v:line style="position:absolute;mso-position-horizontal-relative:page;mso-position-vertical-relative:paragraph;z-index:30184" from="508.890015pt,-71.68644pt" to="523.890015pt,-71.68644pt" stroked="true" strokeweight=".25pt" strokecolor="#000000">
            <w10:wrap type="none"/>
          </v:line>
        </w:pict>
      </w:r>
      <w:r>
        <w:rPr>
          <w:color w:val="231F20"/>
          <w:w w:val="105"/>
        </w:rPr>
        <w:t>nería, mil usos y demás similares; aunque otro 70% de ellos pudieron trabajar en empleos de mayor calificación. Asimismo, cinco de cada 10 retornados</w:t>
      </w:r>
      <w:r>
        <w:rPr>
          <w:color w:val="231F20"/>
          <w:spacing w:val="-10"/>
          <w:w w:val="105"/>
        </w:rPr>
        <w:t> </w:t>
      </w:r>
      <w:r>
        <w:rPr>
          <w:color w:val="231F20"/>
          <w:w w:val="105"/>
        </w:rPr>
        <w:t>lograron</w:t>
      </w:r>
      <w:r>
        <w:rPr>
          <w:color w:val="231F20"/>
          <w:spacing w:val="-10"/>
          <w:w w:val="105"/>
        </w:rPr>
        <w:t> </w:t>
      </w:r>
      <w:r>
        <w:rPr>
          <w:color w:val="231F20"/>
          <w:w w:val="105"/>
        </w:rPr>
        <w:t>ascender</w:t>
      </w:r>
      <w:r>
        <w:rPr>
          <w:color w:val="231F20"/>
          <w:spacing w:val="-10"/>
          <w:w w:val="105"/>
        </w:rPr>
        <w:t> </w:t>
      </w:r>
      <w:r>
        <w:rPr>
          <w:color w:val="231F20"/>
          <w:w w:val="105"/>
        </w:rPr>
        <w:t>como</w:t>
      </w:r>
      <w:r>
        <w:rPr>
          <w:color w:val="231F20"/>
          <w:spacing w:val="-10"/>
          <w:w w:val="105"/>
        </w:rPr>
        <w:t> </w:t>
      </w:r>
      <w:r>
        <w:rPr>
          <w:color w:val="231F20"/>
          <w:w w:val="105"/>
        </w:rPr>
        <w:t>jefes,</w:t>
      </w:r>
      <w:r>
        <w:rPr>
          <w:color w:val="231F20"/>
          <w:spacing w:val="-15"/>
          <w:w w:val="105"/>
        </w:rPr>
        <w:t> </w:t>
      </w:r>
      <w:r>
        <w:rPr>
          <w:color w:val="231F20"/>
          <w:w w:val="105"/>
        </w:rPr>
        <w:t>manager,</w:t>
      </w:r>
      <w:r>
        <w:rPr>
          <w:color w:val="231F20"/>
          <w:spacing w:val="-15"/>
          <w:w w:val="105"/>
        </w:rPr>
        <w:t> </w:t>
      </w:r>
      <w:r>
        <w:rPr>
          <w:color w:val="231F20"/>
          <w:w w:val="105"/>
        </w:rPr>
        <w:t>contratista</w:t>
      </w:r>
      <w:r>
        <w:rPr>
          <w:color w:val="231F20"/>
          <w:spacing w:val="-10"/>
          <w:w w:val="105"/>
        </w:rPr>
        <w:t> </w:t>
      </w:r>
      <w:r>
        <w:rPr>
          <w:color w:val="231F20"/>
          <w:w w:val="105"/>
        </w:rPr>
        <w:t>de</w:t>
      </w:r>
      <w:r>
        <w:rPr>
          <w:color w:val="231F20"/>
          <w:spacing w:val="-10"/>
          <w:w w:val="105"/>
        </w:rPr>
        <w:t> </w:t>
      </w:r>
      <w:r>
        <w:rPr>
          <w:color w:val="231F20"/>
          <w:w w:val="105"/>
        </w:rPr>
        <w:t>obra, cocineros</w:t>
      </w:r>
      <w:r>
        <w:rPr>
          <w:color w:val="231F20"/>
          <w:spacing w:val="-5"/>
          <w:w w:val="105"/>
        </w:rPr>
        <w:t> </w:t>
      </w:r>
      <w:r>
        <w:rPr>
          <w:color w:val="231F20"/>
          <w:w w:val="105"/>
        </w:rPr>
        <w:t>y</w:t>
      </w:r>
      <w:r>
        <w:rPr>
          <w:color w:val="231F20"/>
          <w:spacing w:val="-5"/>
          <w:w w:val="105"/>
        </w:rPr>
        <w:t> </w:t>
      </w:r>
      <w:r>
        <w:rPr>
          <w:color w:val="231F20"/>
          <w:w w:val="105"/>
        </w:rPr>
        <w:t>supervisor</w:t>
      </w:r>
      <w:r>
        <w:rPr>
          <w:color w:val="231F20"/>
          <w:spacing w:val="-5"/>
          <w:w w:val="105"/>
        </w:rPr>
        <w:t> </w:t>
      </w:r>
      <w:r>
        <w:rPr>
          <w:color w:val="231F20"/>
          <w:w w:val="105"/>
        </w:rPr>
        <w:t>en</w:t>
      </w:r>
      <w:r>
        <w:rPr>
          <w:color w:val="231F20"/>
          <w:spacing w:val="-5"/>
          <w:w w:val="105"/>
        </w:rPr>
        <w:t> </w:t>
      </w:r>
      <w:r>
        <w:rPr>
          <w:color w:val="231F20"/>
          <w:w w:val="105"/>
        </w:rPr>
        <w:t>fábrica.</w:t>
      </w:r>
      <w:r>
        <w:rPr>
          <w:color w:val="231F20"/>
          <w:spacing w:val="-12"/>
          <w:w w:val="105"/>
        </w:rPr>
        <w:t> </w:t>
      </w:r>
      <w:r>
        <w:rPr>
          <w:color w:val="231F20"/>
          <w:w w:val="105"/>
        </w:rPr>
        <w:t>Además,</w:t>
      </w:r>
      <w:r>
        <w:rPr>
          <w:color w:val="231F20"/>
          <w:spacing w:val="-10"/>
          <w:w w:val="105"/>
        </w:rPr>
        <w:t> </w:t>
      </w:r>
      <w:r>
        <w:rPr>
          <w:color w:val="231F20"/>
          <w:w w:val="105"/>
        </w:rPr>
        <w:t>en</w:t>
      </w:r>
      <w:r>
        <w:rPr>
          <w:color w:val="231F20"/>
          <w:spacing w:val="-9"/>
          <w:w w:val="105"/>
        </w:rPr>
        <w:t> </w:t>
      </w:r>
      <w:r>
        <w:rPr>
          <w:color w:val="231F20"/>
          <w:spacing w:val="-5"/>
          <w:w w:val="105"/>
        </w:rPr>
        <w:t>Texas </w:t>
      </w:r>
      <w:r>
        <w:rPr>
          <w:color w:val="231F20"/>
          <w:w w:val="105"/>
        </w:rPr>
        <w:t>sólo</w:t>
      </w:r>
      <w:r>
        <w:rPr>
          <w:color w:val="231F20"/>
          <w:spacing w:val="-5"/>
          <w:w w:val="105"/>
        </w:rPr>
        <w:t> </w:t>
      </w:r>
      <w:r>
        <w:rPr>
          <w:color w:val="231F20"/>
          <w:w w:val="105"/>
        </w:rPr>
        <w:t>ocho</w:t>
      </w:r>
      <w:r>
        <w:rPr>
          <w:color w:val="231F20"/>
          <w:spacing w:val="-5"/>
          <w:w w:val="105"/>
        </w:rPr>
        <w:t> </w:t>
      </w:r>
      <w:r>
        <w:rPr>
          <w:color w:val="231F20"/>
          <w:w w:val="105"/>
        </w:rPr>
        <w:t>retorna- dos</w:t>
      </w:r>
      <w:r>
        <w:rPr>
          <w:color w:val="231F20"/>
          <w:spacing w:val="-23"/>
          <w:w w:val="105"/>
        </w:rPr>
        <w:t> </w:t>
      </w:r>
      <w:r>
        <w:rPr>
          <w:color w:val="231F20"/>
          <w:w w:val="105"/>
        </w:rPr>
        <w:t>trabajaron</w:t>
      </w:r>
      <w:r>
        <w:rPr>
          <w:color w:val="231F20"/>
          <w:spacing w:val="-23"/>
          <w:w w:val="105"/>
        </w:rPr>
        <w:t> </w:t>
      </w:r>
      <w:r>
        <w:rPr>
          <w:color w:val="231F20"/>
          <w:w w:val="105"/>
        </w:rPr>
        <w:t>en</w:t>
      </w:r>
      <w:r>
        <w:rPr>
          <w:color w:val="231F20"/>
          <w:spacing w:val="-23"/>
          <w:w w:val="105"/>
        </w:rPr>
        <w:t> </w:t>
      </w:r>
      <w:r>
        <w:rPr>
          <w:color w:val="231F20"/>
          <w:w w:val="105"/>
        </w:rPr>
        <w:t>tareas</w:t>
      </w:r>
      <w:r>
        <w:rPr>
          <w:color w:val="231F20"/>
          <w:spacing w:val="-23"/>
          <w:w w:val="105"/>
        </w:rPr>
        <w:t> </w:t>
      </w:r>
      <w:r>
        <w:rPr>
          <w:color w:val="231F20"/>
          <w:w w:val="105"/>
        </w:rPr>
        <w:t>similares</w:t>
      </w:r>
      <w:r>
        <w:rPr>
          <w:color w:val="231F20"/>
          <w:spacing w:val="-23"/>
          <w:w w:val="105"/>
        </w:rPr>
        <w:t> </w:t>
      </w:r>
      <w:r>
        <w:rPr>
          <w:color w:val="231F20"/>
          <w:w w:val="105"/>
        </w:rPr>
        <w:t>a</w:t>
      </w:r>
      <w:r>
        <w:rPr>
          <w:color w:val="231F20"/>
          <w:spacing w:val="-23"/>
          <w:w w:val="105"/>
        </w:rPr>
        <w:t> </w:t>
      </w:r>
      <w:r>
        <w:rPr>
          <w:color w:val="231F20"/>
          <w:w w:val="105"/>
        </w:rPr>
        <w:t>las</w:t>
      </w:r>
      <w:r>
        <w:rPr>
          <w:color w:val="231F20"/>
          <w:spacing w:val="-23"/>
          <w:w w:val="105"/>
        </w:rPr>
        <w:t> </w:t>
      </w:r>
      <w:r>
        <w:rPr>
          <w:color w:val="231F20"/>
          <w:w w:val="105"/>
        </w:rPr>
        <w:t>que</w:t>
      </w:r>
      <w:r>
        <w:rPr>
          <w:color w:val="231F20"/>
          <w:spacing w:val="-23"/>
          <w:w w:val="105"/>
        </w:rPr>
        <w:t> </w:t>
      </w:r>
      <w:r>
        <w:rPr>
          <w:color w:val="231F20"/>
          <w:w w:val="105"/>
        </w:rPr>
        <w:t>hacían</w:t>
      </w:r>
      <w:r>
        <w:rPr>
          <w:color w:val="231F20"/>
          <w:spacing w:val="-23"/>
          <w:w w:val="105"/>
        </w:rPr>
        <w:t> </w:t>
      </w:r>
      <w:r>
        <w:rPr>
          <w:color w:val="231F20"/>
          <w:w w:val="105"/>
        </w:rPr>
        <w:t>en</w:t>
      </w:r>
      <w:r>
        <w:rPr>
          <w:color w:val="231F20"/>
          <w:spacing w:val="-23"/>
          <w:w w:val="105"/>
        </w:rPr>
        <w:t> </w:t>
      </w:r>
      <w:r>
        <w:rPr>
          <w:color w:val="231F20"/>
          <w:w w:val="105"/>
        </w:rPr>
        <w:t>México:</w:t>
      </w:r>
      <w:r>
        <w:rPr>
          <w:color w:val="231F20"/>
          <w:spacing w:val="-23"/>
          <w:w w:val="105"/>
        </w:rPr>
        <w:t> </w:t>
      </w:r>
      <w:r>
        <w:rPr>
          <w:color w:val="231F20"/>
          <w:w w:val="105"/>
        </w:rPr>
        <w:t>labores</w:t>
      </w:r>
      <w:r>
        <w:rPr>
          <w:color w:val="231F20"/>
          <w:spacing w:val="-23"/>
          <w:w w:val="105"/>
        </w:rPr>
        <w:t> </w:t>
      </w:r>
      <w:r>
        <w:rPr>
          <w:color w:val="231F20"/>
          <w:w w:val="105"/>
        </w:rPr>
        <w:t>de cocina, técnicos en fontanería, instalación de fibra óptica, electricidad</w:t>
      </w:r>
      <w:r>
        <w:rPr>
          <w:color w:val="231F20"/>
          <w:spacing w:val="-13"/>
          <w:w w:val="105"/>
        </w:rPr>
        <w:t> </w:t>
      </w:r>
      <w:r>
        <w:rPr>
          <w:color w:val="231F20"/>
          <w:w w:val="105"/>
        </w:rPr>
        <w:t>y electrónica,</w:t>
      </w:r>
      <w:r>
        <w:rPr>
          <w:color w:val="231F20"/>
          <w:spacing w:val="-28"/>
          <w:w w:val="105"/>
        </w:rPr>
        <w:t> </w:t>
      </w:r>
      <w:r>
        <w:rPr>
          <w:color w:val="231F20"/>
          <w:w w:val="105"/>
        </w:rPr>
        <w:t>herrería</w:t>
      </w:r>
      <w:r>
        <w:rPr>
          <w:color w:val="231F20"/>
          <w:spacing w:val="-24"/>
          <w:w w:val="105"/>
        </w:rPr>
        <w:t> </w:t>
      </w:r>
      <w:r>
        <w:rPr>
          <w:color w:val="231F20"/>
          <w:w w:val="105"/>
        </w:rPr>
        <w:t>y</w:t>
      </w:r>
      <w:r>
        <w:rPr>
          <w:color w:val="231F20"/>
          <w:spacing w:val="-24"/>
          <w:w w:val="105"/>
        </w:rPr>
        <w:t> </w:t>
      </w:r>
      <w:r>
        <w:rPr>
          <w:color w:val="231F20"/>
          <w:w w:val="105"/>
        </w:rPr>
        <w:t>mecánica</w:t>
      </w:r>
      <w:r>
        <w:rPr>
          <w:color w:val="231F20"/>
          <w:spacing w:val="-24"/>
          <w:w w:val="105"/>
        </w:rPr>
        <w:t> </w:t>
      </w:r>
      <w:r>
        <w:rPr>
          <w:color w:val="231F20"/>
          <w:w w:val="105"/>
        </w:rPr>
        <w:t>de</w:t>
      </w:r>
      <w:r>
        <w:rPr>
          <w:color w:val="231F20"/>
          <w:spacing w:val="-24"/>
          <w:w w:val="105"/>
        </w:rPr>
        <w:t> </w:t>
      </w:r>
      <w:r>
        <w:rPr>
          <w:color w:val="231F20"/>
          <w:w w:val="105"/>
        </w:rPr>
        <w:t>autos.</w:t>
      </w:r>
    </w:p>
    <w:p>
      <w:pPr>
        <w:pStyle w:val="BodyText"/>
        <w:spacing w:line="261" w:lineRule="auto" w:before="1"/>
        <w:ind w:left="1723" w:right="1830" w:firstLine="567"/>
        <w:jc w:val="both"/>
      </w:pPr>
      <w:r>
        <w:rPr>
          <w:color w:val="231F20"/>
          <w:w w:val="105"/>
        </w:rPr>
        <w:t>Al</w:t>
      </w:r>
      <w:r>
        <w:rPr>
          <w:color w:val="231F20"/>
          <w:spacing w:val="-6"/>
          <w:w w:val="105"/>
        </w:rPr>
        <w:t> </w:t>
      </w:r>
      <w:r>
        <w:rPr>
          <w:color w:val="231F20"/>
          <w:w w:val="105"/>
        </w:rPr>
        <w:t>comparar</w:t>
      </w:r>
      <w:r>
        <w:rPr>
          <w:color w:val="231F20"/>
          <w:spacing w:val="-6"/>
          <w:w w:val="105"/>
        </w:rPr>
        <w:t> </w:t>
      </w:r>
      <w:r>
        <w:rPr>
          <w:color w:val="231F20"/>
          <w:w w:val="105"/>
        </w:rPr>
        <w:t>el</w:t>
      </w:r>
      <w:r>
        <w:rPr>
          <w:color w:val="231F20"/>
          <w:spacing w:val="-6"/>
          <w:w w:val="105"/>
        </w:rPr>
        <w:t> </w:t>
      </w:r>
      <w:r>
        <w:rPr>
          <w:color w:val="231F20"/>
          <w:w w:val="105"/>
        </w:rPr>
        <w:t>tipo</w:t>
      </w:r>
      <w:r>
        <w:rPr>
          <w:color w:val="231F20"/>
          <w:spacing w:val="-6"/>
          <w:w w:val="105"/>
        </w:rPr>
        <w:t> </w:t>
      </w:r>
      <w:r>
        <w:rPr>
          <w:color w:val="231F20"/>
          <w:w w:val="105"/>
        </w:rPr>
        <w:t>de</w:t>
      </w:r>
      <w:r>
        <w:rPr>
          <w:color w:val="231F20"/>
          <w:spacing w:val="-6"/>
          <w:w w:val="105"/>
        </w:rPr>
        <w:t> </w:t>
      </w:r>
      <w:r>
        <w:rPr>
          <w:color w:val="231F20"/>
          <w:w w:val="105"/>
        </w:rPr>
        <w:t>conocimiento</w:t>
      </w:r>
      <w:r>
        <w:rPr>
          <w:color w:val="231F20"/>
          <w:spacing w:val="-6"/>
          <w:w w:val="105"/>
        </w:rPr>
        <w:t> </w:t>
      </w:r>
      <w:r>
        <w:rPr>
          <w:color w:val="231F20"/>
          <w:w w:val="105"/>
        </w:rPr>
        <w:t>adquirido</w:t>
      </w:r>
      <w:r>
        <w:rPr>
          <w:color w:val="231F20"/>
          <w:spacing w:val="-6"/>
          <w:w w:val="105"/>
        </w:rPr>
        <w:t> </w:t>
      </w:r>
      <w:r>
        <w:rPr>
          <w:color w:val="231F20"/>
          <w:w w:val="105"/>
        </w:rPr>
        <w:t>en</w:t>
      </w:r>
      <w:r>
        <w:rPr>
          <w:color w:val="231F20"/>
          <w:spacing w:val="-11"/>
          <w:w w:val="105"/>
        </w:rPr>
        <w:t> </w:t>
      </w:r>
      <w:r>
        <w:rPr>
          <w:color w:val="231F20"/>
          <w:spacing w:val="-5"/>
          <w:w w:val="105"/>
        </w:rPr>
        <w:t>Texas</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esco- laridad</w:t>
      </w:r>
      <w:r>
        <w:rPr>
          <w:color w:val="231F20"/>
          <w:spacing w:val="-9"/>
          <w:w w:val="105"/>
        </w:rPr>
        <w:t> </w:t>
      </w:r>
      <w:r>
        <w:rPr>
          <w:color w:val="231F20"/>
          <w:w w:val="105"/>
        </w:rPr>
        <w:t>que</w:t>
      </w:r>
      <w:r>
        <w:rPr>
          <w:color w:val="231F20"/>
          <w:spacing w:val="-9"/>
          <w:w w:val="105"/>
        </w:rPr>
        <w:t> </w:t>
      </w:r>
      <w:r>
        <w:rPr>
          <w:color w:val="231F20"/>
          <w:w w:val="105"/>
        </w:rPr>
        <w:t>poseían</w:t>
      </w:r>
      <w:r>
        <w:rPr>
          <w:color w:val="231F20"/>
          <w:spacing w:val="-9"/>
          <w:w w:val="105"/>
        </w:rPr>
        <w:t> </w:t>
      </w:r>
      <w:r>
        <w:rPr>
          <w:color w:val="231F20"/>
          <w:w w:val="105"/>
        </w:rPr>
        <w:t>los</w:t>
      </w:r>
      <w:r>
        <w:rPr>
          <w:color w:val="231F20"/>
          <w:spacing w:val="-9"/>
          <w:w w:val="105"/>
        </w:rPr>
        <w:t> </w:t>
      </w:r>
      <w:r>
        <w:rPr>
          <w:color w:val="231F20"/>
          <w:w w:val="105"/>
        </w:rPr>
        <w:t>migrantes,</w:t>
      </w:r>
      <w:r>
        <w:rPr>
          <w:color w:val="231F20"/>
          <w:spacing w:val="-15"/>
          <w:w w:val="105"/>
        </w:rPr>
        <w:t> </w:t>
      </w:r>
      <w:r>
        <w:rPr>
          <w:color w:val="231F20"/>
          <w:w w:val="105"/>
        </w:rPr>
        <w:t>destaca,</w:t>
      </w:r>
      <w:r>
        <w:rPr>
          <w:color w:val="231F20"/>
          <w:spacing w:val="-15"/>
          <w:w w:val="105"/>
        </w:rPr>
        <w:t> </w:t>
      </w:r>
      <w:r>
        <w:rPr>
          <w:color w:val="231F20"/>
          <w:w w:val="105"/>
        </w:rPr>
        <w:t>como</w:t>
      </w:r>
      <w:r>
        <w:rPr>
          <w:color w:val="231F20"/>
          <w:spacing w:val="-9"/>
          <w:w w:val="105"/>
        </w:rPr>
        <w:t> </w:t>
      </w:r>
      <w:r>
        <w:rPr>
          <w:color w:val="231F20"/>
          <w:w w:val="105"/>
        </w:rPr>
        <w:t>se</w:t>
      </w:r>
      <w:r>
        <w:rPr>
          <w:color w:val="231F20"/>
          <w:spacing w:val="-9"/>
          <w:w w:val="105"/>
        </w:rPr>
        <w:t> </w:t>
      </w:r>
      <w:r>
        <w:rPr>
          <w:color w:val="231F20"/>
          <w:w w:val="105"/>
        </w:rPr>
        <w:t>aprecia</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gráfi- ca 2, que todos los grupos de escolaridad aprendieron ambos tipos de conocimientos en distinta proporción. No obstante, es evidente que los retornados</w:t>
      </w:r>
      <w:r>
        <w:rPr>
          <w:color w:val="231F20"/>
          <w:spacing w:val="-16"/>
          <w:w w:val="105"/>
        </w:rPr>
        <w:t> </w:t>
      </w:r>
      <w:r>
        <w:rPr>
          <w:color w:val="231F20"/>
          <w:w w:val="105"/>
        </w:rPr>
        <w:t>con</w:t>
      </w:r>
      <w:r>
        <w:rPr>
          <w:color w:val="231F20"/>
          <w:spacing w:val="-16"/>
          <w:w w:val="105"/>
        </w:rPr>
        <w:t> </w:t>
      </w:r>
      <w:r>
        <w:rPr>
          <w:color w:val="231F20"/>
          <w:w w:val="105"/>
        </w:rPr>
        <w:t>mayor</w:t>
      </w:r>
      <w:r>
        <w:rPr>
          <w:color w:val="231F20"/>
          <w:spacing w:val="-16"/>
          <w:w w:val="105"/>
        </w:rPr>
        <w:t> </w:t>
      </w:r>
      <w:r>
        <w:rPr>
          <w:color w:val="231F20"/>
          <w:w w:val="105"/>
        </w:rPr>
        <w:t>escolaridad</w:t>
      </w:r>
      <w:r>
        <w:rPr>
          <w:color w:val="231F20"/>
          <w:spacing w:val="-16"/>
          <w:w w:val="105"/>
        </w:rPr>
        <w:t> </w:t>
      </w:r>
      <w:r>
        <w:rPr>
          <w:color w:val="231F20"/>
          <w:w w:val="105"/>
        </w:rPr>
        <w:t>(preparatoria</w:t>
      </w:r>
      <w:r>
        <w:rPr>
          <w:color w:val="231F20"/>
          <w:spacing w:val="-16"/>
          <w:w w:val="105"/>
        </w:rPr>
        <w:t> </w:t>
      </w:r>
      <w:r>
        <w:rPr>
          <w:color w:val="231F20"/>
          <w:w w:val="105"/>
        </w:rPr>
        <w:t>y</w:t>
      </w:r>
      <w:r>
        <w:rPr>
          <w:color w:val="231F20"/>
          <w:spacing w:val="-16"/>
          <w:w w:val="105"/>
        </w:rPr>
        <w:t> </w:t>
      </w:r>
      <w:r>
        <w:rPr>
          <w:color w:val="231F20"/>
          <w:w w:val="105"/>
        </w:rPr>
        <w:t>profesional)</w:t>
      </w:r>
      <w:r>
        <w:rPr>
          <w:color w:val="231F20"/>
          <w:spacing w:val="-16"/>
          <w:w w:val="105"/>
        </w:rPr>
        <w:t> </w:t>
      </w:r>
      <w:r>
        <w:rPr>
          <w:color w:val="231F20"/>
          <w:w w:val="105"/>
        </w:rPr>
        <w:t>aprendie- ron</w:t>
      </w:r>
      <w:r>
        <w:rPr>
          <w:color w:val="231F20"/>
          <w:spacing w:val="-12"/>
          <w:w w:val="105"/>
        </w:rPr>
        <w:t> </w:t>
      </w:r>
      <w:r>
        <w:rPr>
          <w:color w:val="231F20"/>
          <w:w w:val="105"/>
        </w:rPr>
        <w:t>en</w:t>
      </w:r>
      <w:r>
        <w:rPr>
          <w:color w:val="231F20"/>
          <w:spacing w:val="-12"/>
          <w:w w:val="105"/>
        </w:rPr>
        <w:t> </w:t>
      </w:r>
      <w:r>
        <w:rPr>
          <w:color w:val="231F20"/>
          <w:w w:val="105"/>
        </w:rPr>
        <w:t>mayor</w:t>
      </w:r>
      <w:r>
        <w:rPr>
          <w:color w:val="231F20"/>
          <w:spacing w:val="-12"/>
          <w:w w:val="105"/>
        </w:rPr>
        <w:t> </w:t>
      </w:r>
      <w:r>
        <w:rPr>
          <w:color w:val="231F20"/>
          <w:w w:val="105"/>
        </w:rPr>
        <w:t>medida</w:t>
      </w:r>
      <w:r>
        <w:rPr>
          <w:color w:val="231F20"/>
          <w:spacing w:val="-12"/>
          <w:w w:val="105"/>
        </w:rPr>
        <w:t> </w:t>
      </w:r>
      <w:r>
        <w:rPr>
          <w:color w:val="231F20"/>
          <w:w w:val="105"/>
        </w:rPr>
        <w:t>conocimientos</w:t>
      </w:r>
      <w:r>
        <w:rPr>
          <w:color w:val="231F20"/>
          <w:spacing w:val="-12"/>
          <w:w w:val="105"/>
        </w:rPr>
        <w:t> </w:t>
      </w:r>
      <w:r>
        <w:rPr>
          <w:color w:val="231F20"/>
          <w:w w:val="105"/>
        </w:rPr>
        <w:t>básicos,</w:t>
      </w:r>
      <w:r>
        <w:rPr>
          <w:color w:val="231F20"/>
          <w:spacing w:val="-17"/>
          <w:w w:val="105"/>
        </w:rPr>
        <w:t> </w:t>
      </w:r>
      <w:r>
        <w:rPr>
          <w:color w:val="231F20"/>
          <w:w w:val="105"/>
        </w:rPr>
        <w:t>mientras</w:t>
      </w:r>
      <w:r>
        <w:rPr>
          <w:color w:val="231F20"/>
          <w:spacing w:val="-12"/>
          <w:w w:val="105"/>
        </w:rPr>
        <w:t> </w:t>
      </w:r>
      <w:r>
        <w:rPr>
          <w:color w:val="231F20"/>
          <w:w w:val="105"/>
        </w:rPr>
        <w:t>que</w:t>
      </w:r>
      <w:r>
        <w:rPr>
          <w:color w:val="231F20"/>
          <w:spacing w:val="-12"/>
          <w:w w:val="105"/>
        </w:rPr>
        <w:t> </w:t>
      </w:r>
      <w:r>
        <w:rPr>
          <w:color w:val="231F20"/>
          <w:w w:val="105"/>
        </w:rPr>
        <w:t>una</w:t>
      </w:r>
      <w:r>
        <w:rPr>
          <w:color w:val="231F20"/>
          <w:spacing w:val="-12"/>
          <w:w w:val="105"/>
        </w:rPr>
        <w:t> </w:t>
      </w:r>
      <w:r>
        <w:rPr>
          <w:color w:val="231F20"/>
          <w:w w:val="105"/>
        </w:rPr>
        <w:t>mayoría de quienes llevaban sólo primaria aprendieron conocimiento calificado. Este contraste exhibe que los mexiquenses que iban con estudios de preparatoria y más fueron los que más subemplearon su formación en el extranjero. El conocimiento calificado lo aprendieron en promedio el 20%</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migrantes</w:t>
      </w:r>
      <w:r>
        <w:rPr>
          <w:color w:val="231F20"/>
          <w:spacing w:val="-16"/>
          <w:w w:val="105"/>
        </w:rPr>
        <w:t> </w:t>
      </w:r>
      <w:r>
        <w:rPr>
          <w:color w:val="231F20"/>
          <w:w w:val="105"/>
        </w:rPr>
        <w:t>en</w:t>
      </w:r>
      <w:r>
        <w:rPr>
          <w:color w:val="231F20"/>
          <w:spacing w:val="-16"/>
          <w:w w:val="105"/>
        </w:rPr>
        <w:t> </w:t>
      </w:r>
      <w:r>
        <w:rPr>
          <w:color w:val="231F20"/>
          <w:w w:val="105"/>
        </w:rPr>
        <w:t>cada</w:t>
      </w:r>
      <w:r>
        <w:rPr>
          <w:color w:val="231F20"/>
          <w:spacing w:val="-16"/>
          <w:w w:val="105"/>
        </w:rPr>
        <w:t> </w:t>
      </w:r>
      <w:r>
        <w:rPr>
          <w:color w:val="231F20"/>
          <w:w w:val="105"/>
        </w:rPr>
        <w:t>grupo</w:t>
      </w:r>
      <w:r>
        <w:rPr>
          <w:color w:val="231F20"/>
          <w:spacing w:val="-16"/>
          <w:w w:val="105"/>
        </w:rPr>
        <w:t> </w:t>
      </w:r>
      <w:r>
        <w:rPr>
          <w:color w:val="231F20"/>
          <w:w w:val="105"/>
        </w:rPr>
        <w:t>de</w:t>
      </w:r>
      <w:r>
        <w:rPr>
          <w:color w:val="231F20"/>
          <w:spacing w:val="-16"/>
          <w:w w:val="105"/>
        </w:rPr>
        <w:t> </w:t>
      </w:r>
      <w:r>
        <w:rPr>
          <w:color w:val="231F20"/>
          <w:w w:val="105"/>
        </w:rPr>
        <w:t>escolaridad,</w:t>
      </w:r>
      <w:r>
        <w:rPr>
          <w:color w:val="231F20"/>
          <w:spacing w:val="-22"/>
          <w:w w:val="105"/>
        </w:rPr>
        <w:t> </w:t>
      </w:r>
      <w:r>
        <w:rPr>
          <w:color w:val="231F20"/>
          <w:w w:val="105"/>
        </w:rPr>
        <w:t>aunque</w:t>
      </w:r>
      <w:r>
        <w:rPr>
          <w:color w:val="231F20"/>
          <w:spacing w:val="-16"/>
          <w:w w:val="105"/>
        </w:rPr>
        <w:t> </w:t>
      </w:r>
      <w:r>
        <w:rPr>
          <w:color w:val="231F20"/>
          <w:w w:val="105"/>
        </w:rPr>
        <w:t>es</w:t>
      </w:r>
      <w:r>
        <w:rPr>
          <w:color w:val="231F20"/>
          <w:spacing w:val="-16"/>
          <w:w w:val="105"/>
        </w:rPr>
        <w:t> </w:t>
      </w:r>
      <w:r>
        <w:rPr>
          <w:color w:val="231F20"/>
          <w:w w:val="105"/>
        </w:rPr>
        <w:t>más</w:t>
      </w:r>
      <w:r>
        <w:rPr>
          <w:color w:val="231F20"/>
          <w:spacing w:val="-16"/>
          <w:w w:val="105"/>
        </w:rPr>
        <w:t> </w:t>
      </w:r>
      <w:r>
        <w:rPr>
          <w:color w:val="231F20"/>
          <w:w w:val="105"/>
        </w:rPr>
        <w:t>alto entre</w:t>
      </w:r>
      <w:r>
        <w:rPr>
          <w:color w:val="231F20"/>
          <w:spacing w:val="-14"/>
          <w:w w:val="105"/>
        </w:rPr>
        <w:t> </w:t>
      </w:r>
      <w:r>
        <w:rPr>
          <w:color w:val="231F20"/>
          <w:w w:val="105"/>
        </w:rPr>
        <w:t>quienes</w:t>
      </w:r>
      <w:r>
        <w:rPr>
          <w:color w:val="231F20"/>
          <w:spacing w:val="-14"/>
          <w:w w:val="105"/>
        </w:rPr>
        <w:t> </w:t>
      </w:r>
      <w:r>
        <w:rPr>
          <w:color w:val="231F20"/>
          <w:w w:val="105"/>
        </w:rPr>
        <w:t>sólo</w:t>
      </w:r>
      <w:r>
        <w:rPr>
          <w:color w:val="231F20"/>
          <w:spacing w:val="-14"/>
          <w:w w:val="105"/>
        </w:rPr>
        <w:t> </w:t>
      </w:r>
      <w:r>
        <w:rPr>
          <w:color w:val="231F20"/>
          <w:w w:val="105"/>
        </w:rPr>
        <w:t>tenían</w:t>
      </w:r>
      <w:r>
        <w:rPr>
          <w:color w:val="231F20"/>
          <w:spacing w:val="-14"/>
          <w:w w:val="105"/>
        </w:rPr>
        <w:t> </w:t>
      </w:r>
      <w:r>
        <w:rPr>
          <w:color w:val="231F20"/>
          <w:w w:val="105"/>
        </w:rPr>
        <w:t>primaria.</w:t>
      </w:r>
    </w:p>
    <w:p>
      <w:pPr>
        <w:pStyle w:val="BodyText"/>
        <w:spacing w:before="4"/>
      </w:pPr>
    </w:p>
    <w:p>
      <w:pPr>
        <w:spacing w:before="0"/>
        <w:ind w:left="3412" w:right="0" w:firstLine="0"/>
        <w:jc w:val="left"/>
        <w:rPr>
          <w:rFonts w:ascii="Arial" w:hAnsi="Arial"/>
          <w:sz w:val="18"/>
        </w:rPr>
      </w:pPr>
      <w:r>
        <w:rPr/>
        <w:drawing>
          <wp:anchor distT="0" distB="0" distL="0" distR="0" allowOverlap="1" layoutInCell="1" locked="0" behindDoc="0" simplePos="0" relativeHeight="30112">
            <wp:simplePos x="0" y="0"/>
            <wp:positionH relativeFrom="page">
              <wp:posOffset>1425702</wp:posOffset>
            </wp:positionH>
            <wp:positionV relativeFrom="paragraph">
              <wp:posOffset>209689</wp:posOffset>
            </wp:positionV>
            <wp:extent cx="3755881" cy="1877949"/>
            <wp:effectExtent l="0" t="0" r="0" b="0"/>
            <wp:wrapTopAndBottom/>
            <wp:docPr id="59" name="image184.png" descr=""/>
            <wp:cNvGraphicFramePr>
              <a:graphicFrameLocks noChangeAspect="1"/>
            </wp:cNvGraphicFramePr>
            <a:graphic>
              <a:graphicData uri="http://schemas.openxmlformats.org/drawingml/2006/picture">
                <pic:pic>
                  <pic:nvPicPr>
                    <pic:cNvPr id="60" name="image184.png"/>
                    <pic:cNvPicPr/>
                  </pic:nvPicPr>
                  <pic:blipFill>
                    <a:blip r:embed="rId307" cstate="print"/>
                    <a:stretch>
                      <a:fillRect/>
                    </a:stretch>
                  </pic:blipFill>
                  <pic:spPr>
                    <a:xfrm>
                      <a:off x="0" y="0"/>
                      <a:ext cx="3755881" cy="1877949"/>
                    </a:xfrm>
                    <a:prstGeom prst="rect">
                      <a:avLst/>
                    </a:prstGeom>
                  </pic:spPr>
                </pic:pic>
              </a:graphicData>
            </a:graphic>
          </wp:anchor>
        </w:drawing>
      </w:r>
      <w:r>
        <w:rPr>
          <w:rFonts w:ascii="Arial" w:hAnsi="Arial"/>
          <w:color w:val="231F20"/>
          <w:w w:val="105"/>
          <w:sz w:val="18"/>
        </w:rPr>
        <w:t>Gráfica 2. Conocimientos traídos al retorno</w:t>
      </w:r>
    </w:p>
    <w:p>
      <w:pPr>
        <w:spacing w:before="6"/>
        <w:ind w:left="2347" w:right="0" w:firstLine="0"/>
        <w:jc w:val="left"/>
        <w:rPr>
          <w:sz w:val="16"/>
        </w:rPr>
      </w:pPr>
      <w:r>
        <w:rPr>
          <w:color w:val="231F20"/>
          <w:w w:val="105"/>
          <w:sz w:val="16"/>
        </w:rPr>
        <w:t>Fuente: elaboración propia.</w:t>
      </w:r>
    </w:p>
    <w:p>
      <w:pPr>
        <w:pStyle w:val="BodyText"/>
        <w:rPr>
          <w:sz w:val="16"/>
        </w:rPr>
      </w:pPr>
    </w:p>
    <w:p>
      <w:pPr>
        <w:pStyle w:val="BodyText"/>
        <w:spacing w:line="261" w:lineRule="auto" w:before="111"/>
        <w:ind w:left="1723" w:right="1834"/>
        <w:jc w:val="both"/>
      </w:pPr>
      <w:r>
        <w:rPr>
          <w:color w:val="231F20"/>
          <w:w w:val="105"/>
        </w:rPr>
        <w:t>En este sentido, la expectativa era que los más escolarizados estaban mejor</w:t>
      </w:r>
      <w:r>
        <w:rPr>
          <w:color w:val="231F20"/>
          <w:spacing w:val="-9"/>
          <w:w w:val="105"/>
        </w:rPr>
        <w:t> </w:t>
      </w:r>
      <w:r>
        <w:rPr>
          <w:color w:val="231F20"/>
          <w:w w:val="105"/>
        </w:rPr>
        <w:t>capacitados</w:t>
      </w:r>
      <w:r>
        <w:rPr>
          <w:color w:val="231F20"/>
          <w:spacing w:val="-9"/>
          <w:w w:val="105"/>
        </w:rPr>
        <w:t> </w:t>
      </w:r>
      <w:r>
        <w:rPr>
          <w:color w:val="231F20"/>
          <w:w w:val="105"/>
        </w:rPr>
        <w:t>para</w:t>
      </w:r>
      <w:r>
        <w:rPr>
          <w:color w:val="231F20"/>
          <w:spacing w:val="-9"/>
          <w:w w:val="105"/>
        </w:rPr>
        <w:t> </w:t>
      </w:r>
      <w:r>
        <w:rPr>
          <w:color w:val="231F20"/>
          <w:w w:val="105"/>
        </w:rPr>
        <w:t>adquirir</w:t>
      </w:r>
      <w:r>
        <w:rPr>
          <w:color w:val="231F20"/>
          <w:spacing w:val="-9"/>
          <w:w w:val="105"/>
        </w:rPr>
        <w:t> </w:t>
      </w:r>
      <w:r>
        <w:rPr>
          <w:color w:val="231F20"/>
          <w:w w:val="105"/>
        </w:rPr>
        <w:t>nuevos</w:t>
      </w:r>
      <w:r>
        <w:rPr>
          <w:color w:val="231F20"/>
          <w:spacing w:val="-9"/>
          <w:w w:val="105"/>
        </w:rPr>
        <w:t> </w:t>
      </w:r>
      <w:r>
        <w:rPr>
          <w:color w:val="231F20"/>
          <w:w w:val="105"/>
        </w:rPr>
        <w:t>conocimientos,</w:t>
      </w:r>
      <w:r>
        <w:rPr>
          <w:color w:val="231F20"/>
          <w:spacing w:val="-15"/>
          <w:w w:val="105"/>
        </w:rPr>
        <w:t> </w:t>
      </w:r>
      <w:r>
        <w:rPr>
          <w:color w:val="231F20"/>
          <w:w w:val="105"/>
        </w:rPr>
        <w:t>la</w:t>
      </w:r>
      <w:r>
        <w:rPr>
          <w:color w:val="231F20"/>
          <w:spacing w:val="-9"/>
          <w:w w:val="105"/>
        </w:rPr>
        <w:t> </w:t>
      </w:r>
      <w:r>
        <w:rPr>
          <w:color w:val="231F20"/>
          <w:w w:val="105"/>
        </w:rPr>
        <w:t>evidencia</w:t>
      </w:r>
      <w:r>
        <w:rPr>
          <w:color w:val="231F20"/>
          <w:spacing w:val="-9"/>
          <w:w w:val="105"/>
        </w:rPr>
        <w:t> </w:t>
      </w:r>
      <w:r>
        <w:rPr>
          <w:color w:val="231F20"/>
          <w:w w:val="105"/>
        </w:rPr>
        <w:t>de- muestra lo contrario. En este punto, es importante reconocer que el</w:t>
      </w:r>
      <w:r>
        <w:rPr>
          <w:color w:val="231F20"/>
          <w:spacing w:val="-38"/>
          <w:w w:val="105"/>
        </w:rPr>
        <w:t> </w:t>
      </w:r>
      <w:r>
        <w:rPr>
          <w:color w:val="231F20"/>
          <w:w w:val="105"/>
        </w:rPr>
        <w:t>en- torno</w:t>
      </w:r>
      <w:r>
        <w:rPr>
          <w:color w:val="231F20"/>
          <w:spacing w:val="-7"/>
          <w:w w:val="105"/>
        </w:rPr>
        <w:t> </w:t>
      </w:r>
      <w:r>
        <w:rPr>
          <w:color w:val="231F20"/>
          <w:w w:val="105"/>
        </w:rPr>
        <w:t>influye</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migrantes</w:t>
      </w:r>
      <w:r>
        <w:rPr>
          <w:color w:val="231F20"/>
          <w:spacing w:val="-7"/>
          <w:w w:val="105"/>
        </w:rPr>
        <w:t> </w:t>
      </w:r>
      <w:r>
        <w:rPr>
          <w:color w:val="231F20"/>
          <w:w w:val="105"/>
        </w:rPr>
        <w:t>al</w:t>
      </w:r>
      <w:r>
        <w:rPr>
          <w:color w:val="231F20"/>
          <w:spacing w:val="-7"/>
          <w:w w:val="105"/>
        </w:rPr>
        <w:t> </w:t>
      </w:r>
      <w:r>
        <w:rPr>
          <w:color w:val="231F20"/>
          <w:w w:val="105"/>
        </w:rPr>
        <w:t>tomar</w:t>
      </w:r>
      <w:r>
        <w:rPr>
          <w:color w:val="231F20"/>
          <w:spacing w:val="-7"/>
          <w:w w:val="105"/>
        </w:rPr>
        <w:t> </w:t>
      </w:r>
      <w:r>
        <w:rPr>
          <w:color w:val="231F20"/>
          <w:w w:val="105"/>
        </w:rPr>
        <w:t>el</w:t>
      </w:r>
      <w:r>
        <w:rPr>
          <w:color w:val="231F20"/>
          <w:spacing w:val="-7"/>
          <w:w w:val="105"/>
        </w:rPr>
        <w:t> </w:t>
      </w:r>
      <w:r>
        <w:rPr>
          <w:color w:val="231F20"/>
          <w:w w:val="105"/>
        </w:rPr>
        <w:t>empleo</w:t>
      </w:r>
      <w:r>
        <w:rPr>
          <w:color w:val="231F20"/>
          <w:spacing w:val="-7"/>
          <w:w w:val="105"/>
        </w:rPr>
        <w:t> </w:t>
      </w:r>
      <w:r>
        <w:rPr>
          <w:color w:val="231F20"/>
          <w:w w:val="105"/>
        </w:rPr>
        <w:t>que</w:t>
      </w:r>
      <w:r>
        <w:rPr>
          <w:color w:val="231F20"/>
          <w:spacing w:val="-7"/>
          <w:w w:val="105"/>
        </w:rPr>
        <w:t> </w:t>
      </w:r>
      <w:r>
        <w:rPr>
          <w:color w:val="231F20"/>
          <w:w w:val="105"/>
        </w:rPr>
        <w:t>encuentran,</w:t>
      </w:r>
      <w:r>
        <w:rPr>
          <w:color w:val="231F20"/>
          <w:spacing w:val="-12"/>
          <w:w w:val="105"/>
        </w:rPr>
        <w:t> </w:t>
      </w:r>
      <w:r>
        <w:rPr>
          <w:color w:val="231F20"/>
          <w:w w:val="105"/>
        </w:rPr>
        <w:t>sea</w:t>
      </w:r>
      <w:r>
        <w:rPr>
          <w:color w:val="231F20"/>
          <w:spacing w:val="-7"/>
          <w:w w:val="105"/>
        </w:rPr>
        <w:t> </w:t>
      </w:r>
      <w:r>
        <w:rPr>
          <w:color w:val="231F20"/>
          <w:w w:val="105"/>
        </w:rPr>
        <w:t>o no</w:t>
      </w:r>
      <w:r>
        <w:rPr>
          <w:color w:val="231F20"/>
          <w:spacing w:val="-22"/>
          <w:w w:val="105"/>
        </w:rPr>
        <w:t> </w:t>
      </w:r>
      <w:r>
        <w:rPr>
          <w:color w:val="231F20"/>
          <w:w w:val="105"/>
        </w:rPr>
        <w:t>adecuado</w:t>
      </w:r>
      <w:r>
        <w:rPr>
          <w:color w:val="231F20"/>
          <w:spacing w:val="-22"/>
          <w:w w:val="105"/>
        </w:rPr>
        <w:t> </w:t>
      </w:r>
      <w:r>
        <w:rPr>
          <w:color w:val="231F20"/>
          <w:w w:val="105"/>
        </w:rPr>
        <w:t>a</w:t>
      </w:r>
      <w:r>
        <w:rPr>
          <w:color w:val="231F20"/>
          <w:spacing w:val="-22"/>
          <w:w w:val="105"/>
        </w:rPr>
        <w:t> </w:t>
      </w:r>
      <w:r>
        <w:rPr>
          <w:color w:val="231F20"/>
          <w:w w:val="105"/>
        </w:rPr>
        <w:t>su</w:t>
      </w:r>
      <w:r>
        <w:rPr>
          <w:color w:val="231F20"/>
          <w:spacing w:val="-22"/>
          <w:w w:val="105"/>
        </w:rPr>
        <w:t> </w:t>
      </w:r>
      <w:r>
        <w:rPr>
          <w:color w:val="231F20"/>
          <w:w w:val="105"/>
        </w:rPr>
        <w:t>escolaridad</w:t>
      </w:r>
      <w:r>
        <w:rPr>
          <w:color w:val="231F20"/>
          <w:spacing w:val="-22"/>
          <w:w w:val="105"/>
        </w:rPr>
        <w:t> </w:t>
      </w:r>
      <w:r>
        <w:rPr>
          <w:color w:val="231F20"/>
          <w:w w:val="105"/>
        </w:rPr>
        <w:t>o</w:t>
      </w:r>
      <w:r>
        <w:rPr>
          <w:color w:val="231F20"/>
          <w:spacing w:val="-22"/>
          <w:w w:val="105"/>
        </w:rPr>
        <w:t> </w:t>
      </w:r>
      <w:r>
        <w:rPr>
          <w:color w:val="231F20"/>
          <w:w w:val="105"/>
        </w:rPr>
        <w:t>saberes</w:t>
      </w:r>
      <w:r>
        <w:rPr>
          <w:color w:val="231F20"/>
          <w:spacing w:val="-22"/>
          <w:w w:val="105"/>
        </w:rPr>
        <w:t> </w:t>
      </w:r>
      <w:r>
        <w:rPr>
          <w:color w:val="231F20"/>
          <w:w w:val="105"/>
        </w:rPr>
        <w:t>laborales.</w:t>
      </w:r>
      <w:r>
        <w:rPr>
          <w:color w:val="231F20"/>
          <w:spacing w:val="-27"/>
          <w:w w:val="105"/>
        </w:rPr>
        <w:t> </w:t>
      </w:r>
      <w:r>
        <w:rPr>
          <w:color w:val="231F20"/>
          <w:w w:val="105"/>
        </w:rPr>
        <w:t>Sin</w:t>
      </w:r>
      <w:r>
        <w:rPr>
          <w:color w:val="231F20"/>
          <w:spacing w:val="-22"/>
          <w:w w:val="105"/>
        </w:rPr>
        <w:t> </w:t>
      </w:r>
      <w:r>
        <w:rPr>
          <w:color w:val="231F20"/>
          <w:w w:val="105"/>
        </w:rPr>
        <w:t>embargo,</w:t>
      </w:r>
      <w:r>
        <w:rPr>
          <w:color w:val="231F20"/>
          <w:spacing w:val="-27"/>
          <w:w w:val="105"/>
        </w:rPr>
        <w:t> </w:t>
      </w:r>
      <w:r>
        <w:rPr>
          <w:color w:val="231F20"/>
          <w:w w:val="105"/>
        </w:rPr>
        <w:t>aunque estos conocimientos traídos desde México no sean reconocidos en</w:t>
      </w:r>
      <w:r>
        <w:rPr>
          <w:color w:val="231F20"/>
          <w:spacing w:val="-22"/>
          <w:w w:val="105"/>
        </w:rPr>
        <w:t> </w:t>
      </w:r>
      <w:r>
        <w:rPr>
          <w:color w:val="231F20"/>
          <w:w w:val="105"/>
        </w:rPr>
        <w:t>sus empleos,</w:t>
      </w:r>
      <w:r>
        <w:rPr>
          <w:color w:val="231F20"/>
          <w:spacing w:val="-17"/>
          <w:w w:val="105"/>
        </w:rPr>
        <w:t> </w:t>
      </w:r>
      <w:r>
        <w:rPr>
          <w:color w:val="231F20"/>
          <w:w w:val="105"/>
        </w:rPr>
        <w:t>para</w:t>
      </w:r>
      <w:r>
        <w:rPr>
          <w:color w:val="231F20"/>
          <w:spacing w:val="-11"/>
          <w:w w:val="105"/>
        </w:rPr>
        <w:t> </w:t>
      </w:r>
      <w:r>
        <w:rPr>
          <w:color w:val="231F20"/>
          <w:w w:val="105"/>
        </w:rPr>
        <w:t>ellos</w:t>
      </w:r>
      <w:r>
        <w:rPr>
          <w:color w:val="231F20"/>
          <w:spacing w:val="-11"/>
          <w:w w:val="105"/>
        </w:rPr>
        <w:t> </w:t>
      </w:r>
      <w:r>
        <w:rPr>
          <w:color w:val="231F20"/>
          <w:w w:val="105"/>
        </w:rPr>
        <w:t>es</w:t>
      </w:r>
      <w:r>
        <w:rPr>
          <w:color w:val="231F20"/>
          <w:spacing w:val="-11"/>
          <w:w w:val="105"/>
        </w:rPr>
        <w:t> </w:t>
      </w:r>
      <w:r>
        <w:rPr>
          <w:color w:val="231F20"/>
          <w:w w:val="105"/>
        </w:rPr>
        <w:t>un</w:t>
      </w:r>
      <w:r>
        <w:rPr>
          <w:color w:val="231F20"/>
          <w:spacing w:val="-11"/>
          <w:w w:val="105"/>
        </w:rPr>
        <w:t> </w:t>
      </w:r>
      <w:r>
        <w:rPr>
          <w:color w:val="231F20"/>
          <w:w w:val="105"/>
        </w:rPr>
        <w:t>apoyo</w:t>
      </w:r>
      <w:r>
        <w:rPr>
          <w:color w:val="231F20"/>
          <w:spacing w:val="-11"/>
          <w:w w:val="105"/>
        </w:rPr>
        <w:t> </w:t>
      </w:r>
      <w:r>
        <w:rPr>
          <w:color w:val="231F20"/>
          <w:w w:val="105"/>
        </w:rPr>
        <w:t>tangible</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adecuación</w:t>
      </w:r>
      <w:r>
        <w:rPr>
          <w:color w:val="231F20"/>
          <w:spacing w:val="-11"/>
          <w:w w:val="105"/>
        </w:rPr>
        <w:t> </w:t>
      </w:r>
      <w:r>
        <w:rPr>
          <w:color w:val="231F20"/>
          <w:w w:val="105"/>
        </w:rPr>
        <w:t>al</w:t>
      </w:r>
      <w:r>
        <w:rPr>
          <w:color w:val="231F20"/>
          <w:spacing w:val="-11"/>
          <w:w w:val="105"/>
        </w:rPr>
        <w:t> </w:t>
      </w:r>
      <w:r>
        <w:rPr>
          <w:color w:val="231F20"/>
          <w:w w:val="105"/>
        </w:rPr>
        <w:t>entorno,</w:t>
      </w:r>
      <w:r>
        <w:rPr>
          <w:color w:val="231F20"/>
          <w:spacing w:val="-17"/>
          <w:w w:val="105"/>
        </w:rPr>
        <w:t> </w:t>
      </w:r>
      <w:r>
        <w:rPr>
          <w:color w:val="231F20"/>
          <w:w w:val="105"/>
        </w:rPr>
        <w:t>el aprendizaje</w:t>
      </w:r>
      <w:r>
        <w:rPr>
          <w:color w:val="231F20"/>
          <w:spacing w:val="-14"/>
          <w:w w:val="105"/>
        </w:rPr>
        <w:t> </w:t>
      </w:r>
      <w:r>
        <w:rPr>
          <w:color w:val="231F20"/>
          <w:w w:val="105"/>
        </w:rPr>
        <w:t>formal</w:t>
      </w:r>
      <w:r>
        <w:rPr>
          <w:color w:val="231F20"/>
          <w:spacing w:val="-14"/>
          <w:w w:val="105"/>
        </w:rPr>
        <w:t> </w:t>
      </w:r>
      <w:r>
        <w:rPr>
          <w:color w:val="231F20"/>
          <w:w w:val="105"/>
        </w:rPr>
        <w:t>y</w:t>
      </w:r>
      <w:r>
        <w:rPr>
          <w:color w:val="231F20"/>
          <w:spacing w:val="-14"/>
          <w:w w:val="105"/>
        </w:rPr>
        <w:t> </w:t>
      </w:r>
      <w:r>
        <w:rPr>
          <w:color w:val="231F20"/>
          <w:w w:val="105"/>
        </w:rPr>
        <w:t>tácito,</w:t>
      </w:r>
      <w:r>
        <w:rPr>
          <w:color w:val="231F20"/>
          <w:spacing w:val="-20"/>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ampliación</w:t>
      </w:r>
      <w:r>
        <w:rPr>
          <w:color w:val="231F20"/>
          <w:spacing w:val="-14"/>
          <w:w w:val="105"/>
        </w:rPr>
        <w:t> </w:t>
      </w:r>
      <w:r>
        <w:rPr>
          <w:color w:val="231F20"/>
          <w:w w:val="105"/>
        </w:rPr>
        <w:t>de</w:t>
      </w:r>
      <w:r>
        <w:rPr>
          <w:color w:val="231F20"/>
          <w:spacing w:val="-14"/>
          <w:w w:val="105"/>
        </w:rPr>
        <w:t> </w:t>
      </w:r>
      <w:r>
        <w:rPr>
          <w:color w:val="231F20"/>
          <w:w w:val="105"/>
        </w:rPr>
        <w:t>capacidades</w:t>
      </w:r>
      <w:r>
        <w:rPr>
          <w:color w:val="231F20"/>
          <w:spacing w:val="-14"/>
          <w:w w:val="105"/>
        </w:rPr>
        <w:t> </w:t>
      </w:r>
      <w:r>
        <w:rPr>
          <w:color w:val="231F20"/>
          <w:w w:val="105"/>
        </w:rPr>
        <w:t>y</w:t>
      </w:r>
      <w:r>
        <w:rPr>
          <w:color w:val="231F20"/>
          <w:spacing w:val="-14"/>
          <w:w w:val="105"/>
        </w:rPr>
        <w:t> </w:t>
      </w:r>
      <w:r>
        <w:rPr>
          <w:color w:val="231F20"/>
          <w:w w:val="105"/>
        </w:rPr>
        <w:t>en</w:t>
      </w:r>
      <w:r>
        <w:rPr>
          <w:color w:val="231F20"/>
          <w:spacing w:val="-14"/>
          <w:w w:val="105"/>
        </w:rPr>
        <w:t> </w:t>
      </w:r>
      <w:r>
        <w:rPr>
          <w:color w:val="231F20"/>
          <w:w w:val="105"/>
        </w:rPr>
        <w:t>todo</w:t>
      </w:r>
      <w:r>
        <w:rPr>
          <w:color w:val="231F20"/>
          <w:spacing w:val="-14"/>
          <w:w w:val="105"/>
        </w:rPr>
        <w:t> </w:t>
      </w:r>
      <w:r>
        <w:rPr>
          <w:color w:val="231F20"/>
          <w:w w:val="105"/>
        </w:rPr>
        <w:t>lo</w:t>
      </w:r>
    </w:p>
    <w:p>
      <w:pPr>
        <w:pStyle w:val="BodyText"/>
        <w:rPr>
          <w:sz w:val="20"/>
        </w:rPr>
      </w:pPr>
    </w:p>
    <w:p>
      <w:pPr>
        <w:pStyle w:val="BodyText"/>
        <w:rPr>
          <w:sz w:val="20"/>
        </w:rPr>
      </w:pPr>
    </w:p>
    <w:p>
      <w:pPr>
        <w:pStyle w:val="BodyText"/>
        <w:rPr>
          <w:sz w:val="20"/>
        </w:rPr>
      </w:pPr>
    </w:p>
    <w:p>
      <w:pPr>
        <w:tabs>
          <w:tab w:pos="2937" w:val="left" w:leader="none"/>
        </w:tabs>
        <w:spacing w:before="0"/>
        <w:ind w:left="1832" w:right="0" w:firstLine="0"/>
        <w:jc w:val="left"/>
        <w:rPr>
          <w:rFonts w:ascii="Calibri"/>
          <w:sz w:val="15"/>
        </w:rPr>
      </w:pPr>
      <w:r>
        <w:rPr/>
        <w:pict>
          <v:line style="position:absolute;mso-position-horizontal-relative:page;mso-position-vertical-relative:paragraph;z-index:-460048" from="131.551193pt,.203715pt" to="131.551193pt,36.006114pt" stroked="true" strokeweight=".35pt" strokecolor="#231f20">
            <w10:wrap type="none"/>
          </v:line>
        </w:pict>
      </w:r>
      <w:r>
        <w:rPr/>
        <w:pict>
          <v:line style="position:absolute;mso-position-horizontal-relative:page;mso-position-vertical-relative:paragraph;z-index:-459976" from="15pt,36.005917pt" to="0pt,36.005917pt" stroked="true" strokeweight=".25pt" strokecolor="#000000">
            <w10:wrap type="none"/>
          </v:line>
        </w:pict>
      </w:r>
      <w:r>
        <w:rPr/>
        <w:pict>
          <v:line style="position:absolute;mso-position-horizontal-relative:page;mso-position-vertical-relative:paragraph;z-index:30232" from="508.890015pt,36.005917pt" to="523.890015pt,36.005917pt" stroked="true" strokeweight=".25pt" strokecolor="#000000">
            <w10:wrap type="none"/>
          </v:line>
        </w:pict>
      </w:r>
      <w:r>
        <w:rPr>
          <w:rFonts w:ascii="Arial"/>
          <w:color w:val="414042"/>
          <w:w w:val="105"/>
          <w:position w:val="-5"/>
          <w:sz w:val="20"/>
        </w:rPr>
        <w:t>246</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59904" from="405.061005pt,-18.554295pt" to="405.061005pt,16.311579pt" stroked="true" strokeweight=".35pt" strokecolor="#231f20">
            <w10:wrap type="none"/>
          </v:line>
        </w:pict>
      </w:r>
      <w:r>
        <w:rPr/>
        <w:pict>
          <v:line style="position:absolute;mso-position-horizontal-relative:page;mso-position-vertical-relative:paragraph;z-index:30304" from="15pt,-18.554522pt" to="0pt,-18.554522pt" stroked="true" strokeweight=".25pt" strokecolor="#000000">
            <w10:wrap type="none"/>
          </v:line>
        </w:pict>
      </w:r>
      <w:r>
        <w:rPr/>
        <w:pict>
          <v:line style="position:absolute;mso-position-horizontal-relative:page;mso-position-vertical-relative:paragraph;z-index:30328"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247</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que</w:t>
      </w:r>
      <w:r>
        <w:rPr>
          <w:color w:val="231F20"/>
          <w:spacing w:val="-36"/>
          <w:w w:val="105"/>
        </w:rPr>
        <w:t> </w:t>
      </w:r>
      <w:r>
        <w:rPr>
          <w:color w:val="231F20"/>
          <w:w w:val="105"/>
        </w:rPr>
        <w:t>hacen.</w:t>
      </w:r>
      <w:r>
        <w:rPr>
          <w:color w:val="231F20"/>
          <w:spacing w:val="-39"/>
          <w:w w:val="105"/>
        </w:rPr>
        <w:t> </w:t>
      </w:r>
      <w:r>
        <w:rPr>
          <w:color w:val="231F20"/>
          <w:w w:val="105"/>
        </w:rPr>
        <w:t>En</w:t>
      </w:r>
      <w:r>
        <w:rPr>
          <w:color w:val="231F20"/>
          <w:spacing w:val="-36"/>
          <w:w w:val="105"/>
        </w:rPr>
        <w:t> </w:t>
      </w:r>
      <w:r>
        <w:rPr>
          <w:color w:val="231F20"/>
          <w:w w:val="105"/>
        </w:rPr>
        <w:t>este</w:t>
      </w:r>
      <w:r>
        <w:rPr>
          <w:color w:val="231F20"/>
          <w:spacing w:val="-36"/>
          <w:w w:val="105"/>
        </w:rPr>
        <w:t> </w:t>
      </w:r>
      <w:r>
        <w:rPr>
          <w:color w:val="231F20"/>
          <w:w w:val="105"/>
        </w:rPr>
        <w:t>caso,</w:t>
      </w:r>
      <w:r>
        <w:rPr>
          <w:color w:val="231F20"/>
          <w:spacing w:val="-39"/>
          <w:w w:val="105"/>
        </w:rPr>
        <w:t> </w:t>
      </w:r>
      <w:r>
        <w:rPr>
          <w:color w:val="231F20"/>
          <w:w w:val="105"/>
        </w:rPr>
        <w:t>apoyó</w:t>
      </w:r>
      <w:r>
        <w:rPr>
          <w:color w:val="231F20"/>
          <w:spacing w:val="-36"/>
          <w:w w:val="105"/>
        </w:rPr>
        <w:t> </w:t>
      </w:r>
      <w:r>
        <w:rPr>
          <w:color w:val="231F20"/>
          <w:w w:val="105"/>
        </w:rPr>
        <w:t>los</w:t>
      </w:r>
      <w:r>
        <w:rPr>
          <w:color w:val="231F20"/>
          <w:spacing w:val="-36"/>
          <w:w w:val="105"/>
        </w:rPr>
        <w:t> </w:t>
      </w:r>
      <w:r>
        <w:rPr>
          <w:color w:val="231F20"/>
          <w:w w:val="105"/>
        </w:rPr>
        <w:t>ascensos</w:t>
      </w:r>
      <w:r>
        <w:rPr>
          <w:color w:val="231F20"/>
          <w:spacing w:val="-36"/>
          <w:w w:val="105"/>
        </w:rPr>
        <w:t> </w:t>
      </w:r>
      <w:r>
        <w:rPr>
          <w:color w:val="231F20"/>
          <w:w w:val="105"/>
        </w:rPr>
        <w:t>laborales</w:t>
      </w:r>
      <w:r>
        <w:rPr>
          <w:color w:val="231F20"/>
          <w:spacing w:val="-36"/>
          <w:w w:val="105"/>
        </w:rPr>
        <w:t> </w:t>
      </w:r>
      <w:r>
        <w:rPr>
          <w:color w:val="231F20"/>
          <w:w w:val="105"/>
        </w:rPr>
        <w:t>y</w:t>
      </w:r>
      <w:r>
        <w:rPr>
          <w:color w:val="231F20"/>
          <w:spacing w:val="-36"/>
          <w:w w:val="105"/>
        </w:rPr>
        <w:t> </w:t>
      </w:r>
      <w:r>
        <w:rPr>
          <w:color w:val="231F20"/>
          <w:w w:val="105"/>
        </w:rPr>
        <w:t>el</w:t>
      </w:r>
      <w:r>
        <w:rPr>
          <w:color w:val="231F20"/>
          <w:spacing w:val="-36"/>
          <w:w w:val="105"/>
        </w:rPr>
        <w:t> </w:t>
      </w:r>
      <w:r>
        <w:rPr>
          <w:color w:val="231F20"/>
          <w:w w:val="105"/>
        </w:rPr>
        <w:t>aprendizaje</w:t>
      </w:r>
      <w:r>
        <w:rPr>
          <w:color w:val="231F20"/>
          <w:spacing w:val="-36"/>
          <w:w w:val="105"/>
        </w:rPr>
        <w:t> </w:t>
      </w:r>
      <w:r>
        <w:rPr>
          <w:color w:val="231F20"/>
          <w:w w:val="105"/>
        </w:rPr>
        <w:t>tá- cito</w:t>
      </w:r>
      <w:r>
        <w:rPr>
          <w:color w:val="231F20"/>
          <w:spacing w:val="-12"/>
          <w:w w:val="105"/>
        </w:rPr>
        <w:t> </w:t>
      </w:r>
      <w:r>
        <w:rPr>
          <w:color w:val="231F20"/>
          <w:w w:val="105"/>
        </w:rPr>
        <w:t>de</w:t>
      </w:r>
      <w:r>
        <w:rPr>
          <w:color w:val="231F20"/>
          <w:spacing w:val="-12"/>
          <w:w w:val="105"/>
        </w:rPr>
        <w:t> </w:t>
      </w:r>
      <w:r>
        <w:rPr>
          <w:color w:val="231F20"/>
          <w:w w:val="105"/>
        </w:rPr>
        <w:t>conocimientos</w:t>
      </w:r>
      <w:r>
        <w:rPr>
          <w:color w:val="231F20"/>
          <w:spacing w:val="-12"/>
          <w:w w:val="105"/>
        </w:rPr>
        <w:t> </w:t>
      </w:r>
      <w:r>
        <w:rPr>
          <w:color w:val="231F20"/>
          <w:w w:val="105"/>
        </w:rPr>
        <w:t>calificados;</w:t>
      </w:r>
      <w:r>
        <w:rPr>
          <w:color w:val="231F20"/>
          <w:spacing w:val="-12"/>
          <w:w w:val="105"/>
        </w:rPr>
        <w:t> </w:t>
      </w:r>
      <w:r>
        <w:rPr>
          <w:color w:val="231F20"/>
          <w:w w:val="105"/>
        </w:rPr>
        <w:t>por</w:t>
      </w:r>
      <w:r>
        <w:rPr>
          <w:color w:val="231F20"/>
          <w:spacing w:val="-12"/>
          <w:w w:val="105"/>
        </w:rPr>
        <w:t> </w:t>
      </w:r>
      <w:r>
        <w:rPr>
          <w:color w:val="231F20"/>
          <w:w w:val="105"/>
        </w:rPr>
        <w:t>ejemplo,</w:t>
      </w:r>
      <w:r>
        <w:rPr>
          <w:color w:val="231F20"/>
          <w:spacing w:val="-18"/>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21</w:t>
      </w:r>
      <w:r>
        <w:rPr>
          <w:color w:val="231F20"/>
          <w:spacing w:val="-12"/>
          <w:w w:val="105"/>
        </w:rPr>
        <w:t> </w:t>
      </w:r>
      <w:r>
        <w:rPr>
          <w:color w:val="231F20"/>
          <w:w w:val="105"/>
        </w:rPr>
        <w:t>ascensos</w:t>
      </w:r>
      <w:r>
        <w:rPr>
          <w:color w:val="231F20"/>
          <w:spacing w:val="-12"/>
          <w:w w:val="105"/>
        </w:rPr>
        <w:t> </w:t>
      </w:r>
      <w:r>
        <w:rPr>
          <w:color w:val="231F20"/>
          <w:w w:val="105"/>
        </w:rPr>
        <w:t>labo- rales</w:t>
      </w:r>
      <w:r>
        <w:rPr>
          <w:color w:val="231F20"/>
          <w:spacing w:val="-12"/>
          <w:w w:val="105"/>
        </w:rPr>
        <w:t> </w:t>
      </w:r>
      <w:r>
        <w:rPr>
          <w:color w:val="231F20"/>
          <w:w w:val="105"/>
        </w:rPr>
        <w:t>que</w:t>
      </w:r>
      <w:r>
        <w:rPr>
          <w:color w:val="231F20"/>
          <w:spacing w:val="-12"/>
          <w:w w:val="105"/>
        </w:rPr>
        <w:t> </w:t>
      </w:r>
      <w:r>
        <w:rPr>
          <w:color w:val="231F20"/>
          <w:w w:val="105"/>
        </w:rPr>
        <w:t>registran</w:t>
      </w:r>
      <w:r>
        <w:rPr>
          <w:color w:val="231F20"/>
          <w:spacing w:val="-12"/>
          <w:w w:val="105"/>
        </w:rPr>
        <w:t> </w:t>
      </w:r>
      <w:r>
        <w:rPr>
          <w:color w:val="231F20"/>
          <w:w w:val="105"/>
        </w:rPr>
        <w:t>estos</w:t>
      </w:r>
      <w:r>
        <w:rPr>
          <w:color w:val="231F20"/>
          <w:spacing w:val="-12"/>
          <w:w w:val="105"/>
        </w:rPr>
        <w:t> </w:t>
      </w:r>
      <w:r>
        <w:rPr>
          <w:color w:val="231F20"/>
          <w:w w:val="105"/>
        </w:rPr>
        <w:t>retornados,</w:t>
      </w:r>
      <w:r>
        <w:rPr>
          <w:color w:val="231F20"/>
          <w:spacing w:val="-16"/>
          <w:w w:val="105"/>
        </w:rPr>
        <w:t> </w:t>
      </w:r>
      <w:r>
        <w:rPr>
          <w:color w:val="231F20"/>
          <w:w w:val="105"/>
        </w:rPr>
        <w:t>seis</w:t>
      </w:r>
      <w:r>
        <w:rPr>
          <w:color w:val="231F20"/>
          <w:spacing w:val="-12"/>
          <w:w w:val="105"/>
        </w:rPr>
        <w:t> </w:t>
      </w:r>
      <w:r>
        <w:rPr>
          <w:color w:val="231F20"/>
          <w:w w:val="105"/>
        </w:rPr>
        <w:t>fueron</w:t>
      </w:r>
      <w:r>
        <w:rPr>
          <w:color w:val="231F20"/>
          <w:spacing w:val="-12"/>
          <w:w w:val="105"/>
        </w:rPr>
        <w:t> </w:t>
      </w:r>
      <w:r>
        <w:rPr>
          <w:color w:val="231F20"/>
          <w:w w:val="105"/>
        </w:rPr>
        <w:t>para</w:t>
      </w:r>
      <w:r>
        <w:rPr>
          <w:color w:val="231F20"/>
          <w:spacing w:val="-12"/>
          <w:w w:val="105"/>
        </w:rPr>
        <w:t> </w:t>
      </w:r>
      <w:r>
        <w:rPr>
          <w:color w:val="231F20"/>
          <w:w w:val="105"/>
        </w:rPr>
        <w:t>quienes</w:t>
      </w:r>
      <w:r>
        <w:rPr>
          <w:color w:val="231F20"/>
          <w:spacing w:val="-12"/>
          <w:w w:val="105"/>
        </w:rPr>
        <w:t> </w:t>
      </w:r>
      <w:r>
        <w:rPr>
          <w:color w:val="231F20"/>
          <w:w w:val="105"/>
        </w:rPr>
        <w:t>contaban con</w:t>
      </w:r>
      <w:r>
        <w:rPr>
          <w:color w:val="231F20"/>
          <w:spacing w:val="-9"/>
          <w:w w:val="105"/>
        </w:rPr>
        <w:t> </w:t>
      </w:r>
      <w:r>
        <w:rPr>
          <w:color w:val="231F20"/>
          <w:w w:val="105"/>
        </w:rPr>
        <w:t>primaria</w:t>
      </w:r>
      <w:r>
        <w:rPr>
          <w:color w:val="231F20"/>
          <w:spacing w:val="-9"/>
          <w:w w:val="105"/>
        </w:rPr>
        <w:t> </w:t>
      </w:r>
      <w:r>
        <w:rPr>
          <w:color w:val="231F20"/>
          <w:w w:val="105"/>
        </w:rPr>
        <w:t>(28.6%),</w:t>
      </w:r>
      <w:r>
        <w:rPr>
          <w:color w:val="231F20"/>
          <w:spacing w:val="-13"/>
          <w:w w:val="105"/>
        </w:rPr>
        <w:t> </w:t>
      </w:r>
      <w:r>
        <w:rPr>
          <w:color w:val="231F20"/>
          <w:w w:val="105"/>
        </w:rPr>
        <w:t>nueve</w:t>
      </w:r>
      <w:r>
        <w:rPr>
          <w:color w:val="231F20"/>
          <w:spacing w:val="-9"/>
          <w:w w:val="105"/>
        </w:rPr>
        <w:t> </w:t>
      </w:r>
      <w:r>
        <w:rPr>
          <w:color w:val="231F20"/>
          <w:w w:val="105"/>
        </w:rPr>
        <w:t>(42.8%)</w:t>
      </w:r>
      <w:r>
        <w:rPr>
          <w:color w:val="231F20"/>
          <w:spacing w:val="-9"/>
          <w:w w:val="105"/>
        </w:rPr>
        <w:t> </w:t>
      </w:r>
      <w:r>
        <w:rPr>
          <w:color w:val="231F20"/>
          <w:w w:val="105"/>
        </w:rPr>
        <w:t>los</w:t>
      </w:r>
      <w:r>
        <w:rPr>
          <w:color w:val="231F20"/>
          <w:spacing w:val="-9"/>
          <w:w w:val="105"/>
        </w:rPr>
        <w:t> </w:t>
      </w:r>
      <w:r>
        <w:rPr>
          <w:color w:val="231F20"/>
          <w:w w:val="105"/>
        </w:rPr>
        <w:t>tuvieron</w:t>
      </w:r>
      <w:r>
        <w:rPr>
          <w:color w:val="231F20"/>
          <w:spacing w:val="-9"/>
          <w:w w:val="105"/>
        </w:rPr>
        <w:t> </w:t>
      </w:r>
      <w:r>
        <w:rPr>
          <w:color w:val="231F20"/>
          <w:w w:val="105"/>
        </w:rPr>
        <w:t>quienes</w:t>
      </w:r>
      <w:r>
        <w:rPr>
          <w:color w:val="231F20"/>
          <w:spacing w:val="-9"/>
          <w:w w:val="105"/>
        </w:rPr>
        <w:t> </w:t>
      </w:r>
      <w:r>
        <w:rPr>
          <w:color w:val="231F20"/>
          <w:w w:val="105"/>
        </w:rPr>
        <w:t>contaban</w:t>
      </w:r>
      <w:r>
        <w:rPr>
          <w:color w:val="231F20"/>
          <w:spacing w:val="-9"/>
          <w:w w:val="105"/>
        </w:rPr>
        <w:t> </w:t>
      </w:r>
      <w:r>
        <w:rPr>
          <w:color w:val="231F20"/>
          <w:w w:val="105"/>
        </w:rPr>
        <w:t>con secundaria,</w:t>
      </w:r>
      <w:r>
        <w:rPr>
          <w:color w:val="231F20"/>
          <w:spacing w:val="-29"/>
          <w:w w:val="105"/>
        </w:rPr>
        <w:t> </w:t>
      </w:r>
      <w:r>
        <w:rPr>
          <w:color w:val="231F20"/>
          <w:w w:val="105"/>
        </w:rPr>
        <w:t>los</w:t>
      </w:r>
      <w:r>
        <w:rPr>
          <w:color w:val="231F20"/>
          <w:spacing w:val="-24"/>
          <w:w w:val="105"/>
        </w:rPr>
        <w:t> </w:t>
      </w:r>
      <w:r>
        <w:rPr>
          <w:color w:val="231F20"/>
          <w:w w:val="105"/>
        </w:rPr>
        <w:t>otros</w:t>
      </w:r>
      <w:r>
        <w:rPr>
          <w:color w:val="231F20"/>
          <w:spacing w:val="-24"/>
          <w:w w:val="105"/>
        </w:rPr>
        <w:t> </w:t>
      </w:r>
      <w:r>
        <w:rPr>
          <w:color w:val="231F20"/>
          <w:w w:val="105"/>
        </w:rPr>
        <w:t>seis</w:t>
      </w:r>
      <w:r>
        <w:rPr>
          <w:color w:val="231F20"/>
          <w:spacing w:val="-24"/>
          <w:w w:val="105"/>
        </w:rPr>
        <w:t> </w:t>
      </w:r>
      <w:r>
        <w:rPr>
          <w:color w:val="231F20"/>
          <w:w w:val="105"/>
        </w:rPr>
        <w:t>fueron</w:t>
      </w:r>
      <w:r>
        <w:rPr>
          <w:color w:val="231F20"/>
          <w:spacing w:val="-24"/>
          <w:w w:val="105"/>
        </w:rPr>
        <w:t> </w:t>
      </w:r>
      <w:r>
        <w:rPr>
          <w:color w:val="231F20"/>
          <w:w w:val="105"/>
        </w:rPr>
        <w:t>para</w:t>
      </w:r>
      <w:r>
        <w:rPr>
          <w:color w:val="231F20"/>
          <w:spacing w:val="-24"/>
          <w:w w:val="105"/>
        </w:rPr>
        <w:t> </w:t>
      </w:r>
      <w:r>
        <w:rPr>
          <w:color w:val="231F20"/>
          <w:w w:val="105"/>
        </w:rPr>
        <w:t>quienes</w:t>
      </w:r>
      <w:r>
        <w:rPr>
          <w:color w:val="231F20"/>
          <w:spacing w:val="-24"/>
          <w:w w:val="105"/>
        </w:rPr>
        <w:t> </w:t>
      </w:r>
      <w:r>
        <w:rPr>
          <w:color w:val="231F20"/>
          <w:w w:val="105"/>
        </w:rPr>
        <w:t>contaban</w:t>
      </w:r>
      <w:r>
        <w:rPr>
          <w:color w:val="231F20"/>
          <w:spacing w:val="-24"/>
          <w:w w:val="105"/>
        </w:rPr>
        <w:t> </w:t>
      </w:r>
      <w:r>
        <w:rPr>
          <w:color w:val="231F20"/>
          <w:w w:val="105"/>
        </w:rPr>
        <w:t>con</w:t>
      </w:r>
      <w:r>
        <w:rPr>
          <w:color w:val="231F20"/>
          <w:spacing w:val="-24"/>
          <w:w w:val="105"/>
        </w:rPr>
        <w:t> </w:t>
      </w:r>
      <w:r>
        <w:rPr>
          <w:color w:val="231F20"/>
          <w:w w:val="105"/>
        </w:rPr>
        <w:t>preparatoria </w:t>
      </w:r>
      <w:r>
        <w:rPr>
          <w:color w:val="231F20"/>
        </w:rPr>
        <w:t>y más</w:t>
      </w:r>
      <w:r>
        <w:rPr>
          <w:color w:val="231F20"/>
          <w:spacing w:val="-35"/>
        </w:rPr>
        <w:t> </w:t>
      </w:r>
      <w:r>
        <w:rPr>
          <w:color w:val="231F20"/>
        </w:rPr>
        <w:t>(28.5%).</w:t>
      </w:r>
    </w:p>
    <w:p>
      <w:pPr>
        <w:pStyle w:val="BodyText"/>
        <w:rPr>
          <w:sz w:val="20"/>
        </w:rPr>
      </w:pPr>
    </w:p>
    <w:p>
      <w:pPr>
        <w:pStyle w:val="BodyText"/>
        <w:spacing w:before="9"/>
        <w:rPr>
          <w:sz w:val="20"/>
        </w:rPr>
      </w:pPr>
    </w:p>
    <w:p>
      <w:pPr>
        <w:pStyle w:val="Heading3"/>
      </w:pPr>
      <w:r>
        <w:rPr>
          <w:color w:val="231F20"/>
          <w:w w:val="95"/>
        </w:rPr>
        <w:t>El retorno y la reinserción socio-productiva</w:t>
      </w:r>
    </w:p>
    <w:p>
      <w:pPr>
        <w:pStyle w:val="BodyText"/>
        <w:rPr>
          <w:rFonts w:ascii="Arial"/>
          <w:b/>
          <w:sz w:val="22"/>
        </w:rPr>
      </w:pPr>
    </w:p>
    <w:p>
      <w:pPr>
        <w:pStyle w:val="BodyText"/>
        <w:spacing w:line="261" w:lineRule="auto" w:before="163"/>
        <w:ind w:left="1837" w:right="1715"/>
        <w:jc w:val="both"/>
        <w:rPr>
          <w:sz w:val="12"/>
        </w:rPr>
      </w:pPr>
      <w:r>
        <w:rPr>
          <w:color w:val="231F20"/>
          <w:w w:val="105"/>
        </w:rPr>
        <w:t>Los</w:t>
      </w:r>
      <w:r>
        <w:rPr>
          <w:color w:val="231F20"/>
          <w:spacing w:val="-7"/>
          <w:w w:val="105"/>
        </w:rPr>
        <w:t> </w:t>
      </w:r>
      <w:r>
        <w:rPr>
          <w:color w:val="231F20"/>
          <w:w w:val="105"/>
        </w:rPr>
        <w:t>retornados</w:t>
      </w:r>
      <w:r>
        <w:rPr>
          <w:color w:val="231F20"/>
          <w:spacing w:val="-7"/>
          <w:w w:val="105"/>
        </w:rPr>
        <w:t> </w:t>
      </w:r>
      <w:r>
        <w:rPr>
          <w:color w:val="231F20"/>
          <w:w w:val="105"/>
        </w:rPr>
        <w:t>volvieron</w:t>
      </w:r>
      <w:r>
        <w:rPr>
          <w:color w:val="231F20"/>
          <w:spacing w:val="-7"/>
          <w:w w:val="105"/>
        </w:rPr>
        <w:t> </w:t>
      </w:r>
      <w:r>
        <w:rPr>
          <w:color w:val="231F20"/>
          <w:w w:val="105"/>
        </w:rPr>
        <w:t>en</w:t>
      </w:r>
      <w:r>
        <w:rPr>
          <w:color w:val="231F20"/>
          <w:spacing w:val="-7"/>
          <w:w w:val="105"/>
        </w:rPr>
        <w:t> </w:t>
      </w:r>
      <w:r>
        <w:rPr>
          <w:color w:val="231F20"/>
          <w:w w:val="105"/>
        </w:rPr>
        <w:t>forma</w:t>
      </w:r>
      <w:r>
        <w:rPr>
          <w:color w:val="231F20"/>
          <w:spacing w:val="-7"/>
          <w:w w:val="105"/>
        </w:rPr>
        <w:t> </w:t>
      </w:r>
      <w:r>
        <w:rPr>
          <w:color w:val="231F20"/>
          <w:w w:val="105"/>
        </w:rPr>
        <w:t>definitiva</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entidad</w:t>
      </w:r>
      <w:r>
        <w:rPr>
          <w:color w:val="231F20"/>
          <w:spacing w:val="-7"/>
          <w:w w:val="105"/>
        </w:rPr>
        <w:t> </w:t>
      </w:r>
      <w:r>
        <w:rPr>
          <w:color w:val="231F20"/>
          <w:w w:val="105"/>
        </w:rPr>
        <w:t>a</w:t>
      </w:r>
      <w:r>
        <w:rPr>
          <w:color w:val="231F20"/>
          <w:spacing w:val="-7"/>
          <w:w w:val="105"/>
        </w:rPr>
        <w:t> </w:t>
      </w:r>
      <w:r>
        <w:rPr>
          <w:color w:val="231F20"/>
          <w:w w:val="105"/>
        </w:rPr>
        <w:t>partir</w:t>
      </w:r>
      <w:r>
        <w:rPr>
          <w:color w:val="231F20"/>
          <w:spacing w:val="-7"/>
          <w:w w:val="105"/>
        </w:rPr>
        <w:t> </w:t>
      </w:r>
      <w:r>
        <w:rPr>
          <w:color w:val="231F20"/>
          <w:w w:val="105"/>
        </w:rPr>
        <w:t>del</w:t>
      </w:r>
      <w:r>
        <w:rPr>
          <w:color w:val="231F20"/>
          <w:spacing w:val="-7"/>
          <w:w w:val="105"/>
        </w:rPr>
        <w:t> </w:t>
      </w:r>
      <w:r>
        <w:rPr>
          <w:color w:val="231F20"/>
          <w:w w:val="105"/>
        </w:rPr>
        <w:t>año 1980,</w:t>
      </w:r>
      <w:r>
        <w:rPr>
          <w:color w:val="231F20"/>
          <w:spacing w:val="-12"/>
          <w:w w:val="105"/>
        </w:rPr>
        <w:t> </w:t>
      </w:r>
      <w:r>
        <w:rPr>
          <w:color w:val="231F20"/>
          <w:w w:val="105"/>
        </w:rPr>
        <w:t>aunque</w:t>
      </w:r>
      <w:r>
        <w:rPr>
          <w:color w:val="231F20"/>
          <w:spacing w:val="-8"/>
          <w:w w:val="105"/>
        </w:rPr>
        <w:t> </w:t>
      </w:r>
      <w:r>
        <w:rPr>
          <w:color w:val="231F20"/>
          <w:w w:val="105"/>
        </w:rPr>
        <w:t>hasta</w:t>
      </w:r>
      <w:r>
        <w:rPr>
          <w:color w:val="231F20"/>
          <w:spacing w:val="-8"/>
          <w:w w:val="105"/>
        </w:rPr>
        <w:t> </w:t>
      </w:r>
      <w:r>
        <w:rPr>
          <w:color w:val="231F20"/>
          <w:w w:val="105"/>
        </w:rPr>
        <w:t>1990</w:t>
      </w:r>
      <w:r>
        <w:rPr>
          <w:color w:val="231F20"/>
          <w:spacing w:val="-8"/>
          <w:w w:val="105"/>
        </w:rPr>
        <w:t> </w:t>
      </w:r>
      <w:r>
        <w:rPr>
          <w:color w:val="231F20"/>
          <w:w w:val="105"/>
        </w:rPr>
        <w:t>había</w:t>
      </w:r>
      <w:r>
        <w:rPr>
          <w:color w:val="231F20"/>
          <w:spacing w:val="-8"/>
          <w:w w:val="105"/>
        </w:rPr>
        <w:t> </w:t>
      </w:r>
      <w:r>
        <w:rPr>
          <w:color w:val="231F20"/>
          <w:w w:val="105"/>
        </w:rPr>
        <w:t>retornado</w:t>
      </w:r>
      <w:r>
        <w:rPr>
          <w:color w:val="231F20"/>
          <w:spacing w:val="-8"/>
          <w:w w:val="105"/>
        </w:rPr>
        <w:t> </w:t>
      </w:r>
      <w:r>
        <w:rPr>
          <w:color w:val="231F20"/>
          <w:w w:val="105"/>
        </w:rPr>
        <w:t>apenas</w:t>
      </w:r>
      <w:r>
        <w:rPr>
          <w:color w:val="231F20"/>
          <w:spacing w:val="-8"/>
          <w:w w:val="105"/>
        </w:rPr>
        <w:t> </w:t>
      </w:r>
      <w:r>
        <w:rPr>
          <w:color w:val="231F20"/>
          <w:w w:val="105"/>
        </w:rPr>
        <w:t>7.5%</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entrevis- tados;</w:t>
      </w:r>
      <w:r>
        <w:rPr>
          <w:color w:val="231F20"/>
          <w:spacing w:val="-11"/>
          <w:w w:val="105"/>
        </w:rPr>
        <w:t> </w:t>
      </w:r>
      <w:r>
        <w:rPr>
          <w:color w:val="231F20"/>
          <w:w w:val="105"/>
        </w:rPr>
        <w:t>entre</w:t>
      </w:r>
      <w:r>
        <w:rPr>
          <w:color w:val="231F20"/>
          <w:spacing w:val="-11"/>
          <w:w w:val="105"/>
        </w:rPr>
        <w:t> </w:t>
      </w:r>
      <w:r>
        <w:rPr>
          <w:color w:val="231F20"/>
          <w:w w:val="105"/>
        </w:rPr>
        <w:t>1991</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w w:val="105"/>
        </w:rPr>
        <w:t>año</w:t>
      </w:r>
      <w:r>
        <w:rPr>
          <w:color w:val="231F20"/>
          <w:spacing w:val="-11"/>
          <w:w w:val="105"/>
        </w:rPr>
        <w:t> </w:t>
      </w:r>
      <w:r>
        <w:rPr>
          <w:color w:val="231F20"/>
          <w:w w:val="105"/>
        </w:rPr>
        <w:t>2000</w:t>
      </w:r>
      <w:r>
        <w:rPr>
          <w:color w:val="231F20"/>
          <w:spacing w:val="-11"/>
          <w:w w:val="105"/>
        </w:rPr>
        <w:t> </w:t>
      </w:r>
      <w:r>
        <w:rPr>
          <w:color w:val="231F20"/>
          <w:w w:val="105"/>
        </w:rPr>
        <w:t>retornaron</w:t>
      </w:r>
      <w:r>
        <w:rPr>
          <w:color w:val="231F20"/>
          <w:spacing w:val="-11"/>
          <w:w w:val="105"/>
        </w:rPr>
        <w:t> </w:t>
      </w:r>
      <w:r>
        <w:rPr>
          <w:color w:val="231F20"/>
          <w:w w:val="105"/>
        </w:rPr>
        <w:t>18%,</w:t>
      </w:r>
      <w:r>
        <w:rPr>
          <w:color w:val="231F20"/>
          <w:spacing w:val="-16"/>
          <w:w w:val="105"/>
        </w:rPr>
        <w:t> </w:t>
      </w:r>
      <w:r>
        <w:rPr>
          <w:color w:val="231F20"/>
          <w:w w:val="105"/>
        </w:rPr>
        <w:t>pero</w:t>
      </w:r>
      <w:r>
        <w:rPr>
          <w:color w:val="231F20"/>
          <w:spacing w:val="-11"/>
          <w:w w:val="105"/>
        </w:rPr>
        <w:t> </w:t>
      </w:r>
      <w:r>
        <w:rPr>
          <w:color w:val="231F20"/>
          <w:w w:val="105"/>
        </w:rPr>
        <w:t>entre</w:t>
      </w:r>
      <w:r>
        <w:rPr>
          <w:color w:val="231F20"/>
          <w:spacing w:val="-11"/>
          <w:w w:val="105"/>
        </w:rPr>
        <w:t> </w:t>
      </w:r>
      <w:r>
        <w:rPr>
          <w:color w:val="231F20"/>
          <w:w w:val="105"/>
        </w:rPr>
        <w:t>2001</w:t>
      </w:r>
      <w:r>
        <w:rPr>
          <w:color w:val="231F20"/>
          <w:spacing w:val="-11"/>
          <w:w w:val="105"/>
        </w:rPr>
        <w:t> </w:t>
      </w:r>
      <w:r>
        <w:rPr>
          <w:color w:val="231F20"/>
          <w:w w:val="105"/>
        </w:rPr>
        <w:t>y</w:t>
      </w:r>
      <w:r>
        <w:rPr>
          <w:color w:val="231F20"/>
          <w:spacing w:val="-11"/>
          <w:w w:val="105"/>
        </w:rPr>
        <w:t> </w:t>
      </w:r>
      <w:r>
        <w:rPr>
          <w:color w:val="231F20"/>
          <w:w w:val="105"/>
        </w:rPr>
        <w:t>2012 retornaron a la entidad 81.2% del total. Esta última década fue de</w:t>
      </w:r>
      <w:r>
        <w:rPr>
          <w:color w:val="231F20"/>
          <w:spacing w:val="-39"/>
          <w:w w:val="105"/>
        </w:rPr>
        <w:t> </w:t>
      </w:r>
      <w:r>
        <w:rPr>
          <w:color w:val="231F20"/>
          <w:w w:val="105"/>
        </w:rPr>
        <w:t>crisis económica, mayor competencia latina, deportación y leyes que hacían la vida imposible en aquel estado para los migrantes</w:t>
      </w:r>
      <w:r>
        <w:rPr>
          <w:color w:val="231F20"/>
          <w:spacing w:val="-19"/>
          <w:w w:val="105"/>
        </w:rPr>
        <w:t> </w:t>
      </w:r>
      <w:r>
        <w:rPr>
          <w:color w:val="231F20"/>
          <w:w w:val="105"/>
        </w:rPr>
        <w:t>indocumentados</w:t>
      </w:r>
      <w:r>
        <w:rPr>
          <w:color w:val="231F20"/>
          <w:w w:val="105"/>
          <w:position w:val="7"/>
          <w:sz w:val="12"/>
        </w:rPr>
        <w:t>7</w:t>
      </w:r>
      <w:r>
        <w:rPr>
          <w:color w:val="231F20"/>
          <w:w w:val="105"/>
        </w:rPr>
        <w:t>, además</w:t>
      </w:r>
      <w:r>
        <w:rPr>
          <w:color w:val="231F20"/>
          <w:spacing w:val="-10"/>
          <w:w w:val="105"/>
        </w:rPr>
        <w:t> </w:t>
      </w:r>
      <w:r>
        <w:rPr>
          <w:color w:val="231F20"/>
          <w:w w:val="105"/>
        </w:rPr>
        <w:t>estas</w:t>
      </w:r>
      <w:r>
        <w:rPr>
          <w:color w:val="231F20"/>
          <w:spacing w:val="-10"/>
          <w:w w:val="105"/>
        </w:rPr>
        <w:t> </w:t>
      </w:r>
      <w:r>
        <w:rPr>
          <w:color w:val="231F20"/>
          <w:w w:val="105"/>
        </w:rPr>
        <w:t>condiciones</w:t>
      </w:r>
      <w:r>
        <w:rPr>
          <w:color w:val="231F20"/>
          <w:spacing w:val="-10"/>
          <w:w w:val="105"/>
        </w:rPr>
        <w:t> </w:t>
      </w:r>
      <w:r>
        <w:rPr>
          <w:color w:val="231F20"/>
          <w:w w:val="105"/>
        </w:rPr>
        <w:t>se</w:t>
      </w:r>
      <w:r>
        <w:rPr>
          <w:color w:val="231F20"/>
          <w:spacing w:val="-10"/>
          <w:w w:val="105"/>
        </w:rPr>
        <w:t> </w:t>
      </w:r>
      <w:r>
        <w:rPr>
          <w:color w:val="231F20"/>
          <w:w w:val="105"/>
        </w:rPr>
        <w:t>conjuntaron</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caída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precio</w:t>
      </w:r>
      <w:r>
        <w:rPr>
          <w:color w:val="231F20"/>
          <w:spacing w:val="-10"/>
          <w:w w:val="105"/>
        </w:rPr>
        <w:t> </w:t>
      </w:r>
      <w:r>
        <w:rPr>
          <w:color w:val="231F20"/>
          <w:w w:val="105"/>
        </w:rPr>
        <w:t>del</w:t>
      </w:r>
      <w:r>
        <w:rPr>
          <w:color w:val="231F20"/>
          <w:spacing w:val="-10"/>
          <w:w w:val="105"/>
        </w:rPr>
        <w:t> </w:t>
      </w:r>
      <w:r>
        <w:rPr>
          <w:color w:val="231F20"/>
          <w:w w:val="105"/>
        </w:rPr>
        <w:t>pe- tróleo y del empleo en aquella</w:t>
      </w:r>
      <w:r>
        <w:rPr>
          <w:color w:val="231F20"/>
          <w:spacing w:val="-9"/>
          <w:w w:val="105"/>
        </w:rPr>
        <w:t> </w:t>
      </w:r>
      <w:r>
        <w:rPr>
          <w:color w:val="231F20"/>
          <w:w w:val="105"/>
        </w:rPr>
        <w:t>entidad.</w:t>
      </w:r>
      <w:r>
        <w:rPr>
          <w:color w:val="231F20"/>
          <w:w w:val="105"/>
          <w:position w:val="7"/>
          <w:sz w:val="12"/>
        </w:rPr>
        <w:t>8</w:t>
      </w:r>
    </w:p>
    <w:p>
      <w:pPr>
        <w:pStyle w:val="BodyText"/>
        <w:spacing w:line="261" w:lineRule="auto" w:before="1"/>
        <w:ind w:left="1837" w:right="1715" w:firstLine="567"/>
        <w:jc w:val="both"/>
      </w:pPr>
      <w:r>
        <w:rPr>
          <w:color w:val="231F20"/>
          <w:w w:val="105"/>
        </w:rPr>
        <w:t>No obstante, los retornados mexiquenses no volvieron expresa- mente</w:t>
      </w:r>
      <w:r>
        <w:rPr>
          <w:color w:val="231F20"/>
          <w:spacing w:val="-16"/>
          <w:w w:val="105"/>
        </w:rPr>
        <w:t> </w:t>
      </w:r>
      <w:r>
        <w:rPr>
          <w:color w:val="231F20"/>
          <w:w w:val="105"/>
        </w:rPr>
        <w:t>por</w:t>
      </w:r>
      <w:r>
        <w:rPr>
          <w:color w:val="231F20"/>
          <w:spacing w:val="-16"/>
          <w:w w:val="105"/>
        </w:rPr>
        <w:t> </w:t>
      </w:r>
      <w:r>
        <w:rPr>
          <w:color w:val="231F20"/>
          <w:w w:val="105"/>
        </w:rPr>
        <w:t>falta</w:t>
      </w:r>
      <w:r>
        <w:rPr>
          <w:color w:val="231F20"/>
          <w:spacing w:val="-16"/>
          <w:w w:val="105"/>
        </w:rPr>
        <w:t> </w:t>
      </w:r>
      <w:r>
        <w:rPr>
          <w:color w:val="231F20"/>
          <w:w w:val="105"/>
        </w:rPr>
        <w:t>de</w:t>
      </w:r>
      <w:r>
        <w:rPr>
          <w:color w:val="231F20"/>
          <w:spacing w:val="-16"/>
          <w:w w:val="105"/>
        </w:rPr>
        <w:t> </w:t>
      </w:r>
      <w:r>
        <w:rPr>
          <w:color w:val="231F20"/>
          <w:w w:val="105"/>
        </w:rPr>
        <w:t>empleo,</w:t>
      </w:r>
      <w:r>
        <w:rPr>
          <w:color w:val="231F20"/>
          <w:spacing w:val="-22"/>
          <w:w w:val="105"/>
        </w:rPr>
        <w:t> </w:t>
      </w:r>
      <w:r>
        <w:rPr>
          <w:color w:val="231F20"/>
          <w:w w:val="105"/>
        </w:rPr>
        <w:t>más</w:t>
      </w:r>
      <w:r>
        <w:rPr>
          <w:color w:val="231F20"/>
          <w:spacing w:val="-16"/>
          <w:w w:val="105"/>
        </w:rPr>
        <w:t> </w:t>
      </w:r>
      <w:r>
        <w:rPr>
          <w:color w:val="231F20"/>
          <w:w w:val="105"/>
        </w:rPr>
        <w:t>bien</w:t>
      </w:r>
      <w:r>
        <w:rPr>
          <w:color w:val="231F20"/>
          <w:spacing w:val="-16"/>
          <w:w w:val="105"/>
        </w:rPr>
        <w:t> </w:t>
      </w:r>
      <w:r>
        <w:rPr>
          <w:color w:val="231F20"/>
          <w:w w:val="105"/>
        </w:rPr>
        <w:t>refieren</w:t>
      </w:r>
      <w:r>
        <w:rPr>
          <w:color w:val="231F20"/>
          <w:spacing w:val="-16"/>
          <w:w w:val="105"/>
        </w:rPr>
        <w:t> </w:t>
      </w:r>
      <w:r>
        <w:rPr>
          <w:color w:val="231F20"/>
          <w:w w:val="105"/>
        </w:rPr>
        <w:t>una</w:t>
      </w:r>
      <w:r>
        <w:rPr>
          <w:color w:val="231F20"/>
          <w:spacing w:val="-16"/>
          <w:w w:val="105"/>
        </w:rPr>
        <w:t> </w:t>
      </w:r>
      <w:r>
        <w:rPr>
          <w:color w:val="231F20"/>
          <w:w w:val="105"/>
        </w:rPr>
        <w:t>mezcla</w:t>
      </w:r>
      <w:r>
        <w:rPr>
          <w:color w:val="231F20"/>
          <w:spacing w:val="-16"/>
          <w:w w:val="105"/>
        </w:rPr>
        <w:t> </w:t>
      </w:r>
      <w:r>
        <w:rPr>
          <w:color w:val="231F20"/>
          <w:w w:val="105"/>
        </w:rPr>
        <w:t>de</w:t>
      </w:r>
      <w:r>
        <w:rPr>
          <w:color w:val="231F20"/>
          <w:spacing w:val="-16"/>
          <w:w w:val="105"/>
        </w:rPr>
        <w:t> </w:t>
      </w:r>
      <w:r>
        <w:rPr>
          <w:color w:val="231F20"/>
          <w:w w:val="105"/>
        </w:rPr>
        <w:t>causas</w:t>
      </w:r>
      <w:r>
        <w:rPr>
          <w:color w:val="231F20"/>
          <w:spacing w:val="-16"/>
          <w:w w:val="105"/>
        </w:rPr>
        <w:t> </w:t>
      </w:r>
      <w:r>
        <w:rPr>
          <w:color w:val="231F20"/>
          <w:w w:val="105"/>
        </w:rPr>
        <w:t>eco- nómicas, personales y familiares. En orden de importancia porcentual, mencionan</w:t>
      </w:r>
      <w:r>
        <w:rPr>
          <w:color w:val="231F20"/>
          <w:spacing w:val="-18"/>
          <w:w w:val="105"/>
        </w:rPr>
        <w:t> </w:t>
      </w:r>
      <w:r>
        <w:rPr>
          <w:color w:val="231F20"/>
          <w:w w:val="105"/>
        </w:rPr>
        <w:t>que</w:t>
      </w:r>
      <w:r>
        <w:rPr>
          <w:color w:val="231F20"/>
          <w:spacing w:val="-18"/>
          <w:w w:val="105"/>
        </w:rPr>
        <w:t> </w:t>
      </w:r>
      <w:r>
        <w:rPr>
          <w:color w:val="231F20"/>
          <w:w w:val="105"/>
        </w:rPr>
        <w:t>volvieron</w:t>
      </w:r>
      <w:r>
        <w:rPr>
          <w:color w:val="231F20"/>
          <w:spacing w:val="-18"/>
          <w:w w:val="105"/>
        </w:rPr>
        <w:t> </w:t>
      </w:r>
      <w:r>
        <w:rPr>
          <w:color w:val="231F20"/>
          <w:w w:val="105"/>
        </w:rPr>
        <w:t>para</w:t>
      </w:r>
      <w:r>
        <w:rPr>
          <w:color w:val="231F20"/>
          <w:spacing w:val="-18"/>
          <w:w w:val="105"/>
        </w:rPr>
        <w:t> </w:t>
      </w:r>
      <w:r>
        <w:rPr>
          <w:color w:val="231F20"/>
          <w:w w:val="105"/>
        </w:rPr>
        <w:t>ver</w:t>
      </w:r>
      <w:r>
        <w:rPr>
          <w:color w:val="231F20"/>
          <w:spacing w:val="-18"/>
          <w:w w:val="105"/>
        </w:rPr>
        <w:t> </w:t>
      </w:r>
      <w:r>
        <w:rPr>
          <w:color w:val="231F20"/>
          <w:w w:val="105"/>
        </w:rPr>
        <w:t>a</w:t>
      </w:r>
      <w:r>
        <w:rPr>
          <w:color w:val="231F20"/>
          <w:spacing w:val="-18"/>
          <w:w w:val="105"/>
        </w:rPr>
        <w:t> </w:t>
      </w:r>
      <w:r>
        <w:rPr>
          <w:color w:val="231F20"/>
          <w:w w:val="105"/>
        </w:rPr>
        <w:t>su</w:t>
      </w:r>
      <w:r>
        <w:rPr>
          <w:color w:val="231F20"/>
          <w:spacing w:val="-18"/>
          <w:w w:val="105"/>
        </w:rPr>
        <w:t> </w:t>
      </w:r>
      <w:r>
        <w:rPr>
          <w:color w:val="231F20"/>
          <w:w w:val="105"/>
        </w:rPr>
        <w:t>familia,</w:t>
      </w:r>
      <w:r>
        <w:rPr>
          <w:color w:val="231F20"/>
          <w:spacing w:val="-23"/>
          <w:w w:val="105"/>
        </w:rPr>
        <w:t> </w:t>
      </w:r>
      <w:r>
        <w:rPr>
          <w:color w:val="231F20"/>
          <w:w w:val="105"/>
        </w:rPr>
        <w:t>por</w:t>
      </w:r>
      <w:r>
        <w:rPr>
          <w:color w:val="231F20"/>
          <w:spacing w:val="-18"/>
          <w:w w:val="105"/>
        </w:rPr>
        <w:t> </w:t>
      </w:r>
      <w:r>
        <w:rPr>
          <w:color w:val="231F20"/>
          <w:w w:val="105"/>
        </w:rPr>
        <w:t>soledad</w:t>
      </w:r>
      <w:r>
        <w:rPr>
          <w:color w:val="231F20"/>
          <w:spacing w:val="-18"/>
          <w:w w:val="105"/>
        </w:rPr>
        <w:t> </w:t>
      </w:r>
      <w:r>
        <w:rPr>
          <w:color w:val="231F20"/>
          <w:w w:val="105"/>
        </w:rPr>
        <w:t>y</w:t>
      </w:r>
      <w:r>
        <w:rPr>
          <w:color w:val="231F20"/>
          <w:spacing w:val="-18"/>
          <w:w w:val="105"/>
        </w:rPr>
        <w:t> </w:t>
      </w:r>
      <w:r>
        <w:rPr>
          <w:color w:val="231F20"/>
          <w:w w:val="105"/>
        </w:rPr>
        <w:t>aburrimien- to, por cansarse de ser indocumentado, haber cumplido sus objetivos, por</w:t>
      </w:r>
      <w:r>
        <w:rPr>
          <w:color w:val="231F20"/>
          <w:spacing w:val="-4"/>
          <w:w w:val="105"/>
        </w:rPr>
        <w:t> </w:t>
      </w:r>
      <w:r>
        <w:rPr>
          <w:color w:val="231F20"/>
          <w:w w:val="105"/>
        </w:rPr>
        <w:t>venir</w:t>
      </w:r>
      <w:r>
        <w:rPr>
          <w:color w:val="231F20"/>
          <w:spacing w:val="-4"/>
          <w:w w:val="105"/>
        </w:rPr>
        <w:t> </w:t>
      </w:r>
      <w:r>
        <w:rPr>
          <w:color w:val="231F20"/>
          <w:w w:val="105"/>
        </w:rPr>
        <w:t>a</w:t>
      </w:r>
      <w:r>
        <w:rPr>
          <w:color w:val="231F20"/>
          <w:spacing w:val="-4"/>
          <w:w w:val="105"/>
        </w:rPr>
        <w:t> </w:t>
      </w:r>
      <w:r>
        <w:rPr>
          <w:color w:val="231F20"/>
          <w:w w:val="105"/>
        </w:rPr>
        <w:t>casarse,</w:t>
      </w:r>
      <w:r>
        <w:rPr>
          <w:color w:val="231F20"/>
          <w:spacing w:val="-9"/>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deseo</w:t>
      </w:r>
      <w:r>
        <w:rPr>
          <w:color w:val="231F20"/>
          <w:spacing w:val="-4"/>
          <w:w w:val="105"/>
        </w:rPr>
        <w:t> </w:t>
      </w:r>
      <w:r>
        <w:rPr>
          <w:color w:val="231F20"/>
          <w:w w:val="105"/>
        </w:rPr>
        <w:t>de</w:t>
      </w:r>
      <w:r>
        <w:rPr>
          <w:color w:val="231F20"/>
          <w:spacing w:val="-4"/>
          <w:w w:val="105"/>
        </w:rPr>
        <w:t> </w:t>
      </w:r>
      <w:r>
        <w:rPr>
          <w:color w:val="231F20"/>
          <w:w w:val="105"/>
        </w:rPr>
        <w:t>venir</w:t>
      </w:r>
      <w:r>
        <w:rPr>
          <w:color w:val="231F20"/>
          <w:spacing w:val="-4"/>
          <w:w w:val="105"/>
        </w:rPr>
        <w:t> </w:t>
      </w:r>
      <w:r>
        <w:rPr>
          <w:color w:val="231F20"/>
          <w:w w:val="105"/>
        </w:rPr>
        <w:t>a</w:t>
      </w:r>
      <w:r>
        <w:rPr>
          <w:color w:val="231F20"/>
          <w:spacing w:val="-4"/>
          <w:w w:val="105"/>
        </w:rPr>
        <w:t> </w:t>
      </w:r>
      <w:r>
        <w:rPr>
          <w:color w:val="231F20"/>
          <w:w w:val="105"/>
        </w:rPr>
        <w:t>criar</w:t>
      </w:r>
      <w:r>
        <w:rPr>
          <w:color w:val="231F20"/>
          <w:spacing w:val="-4"/>
          <w:w w:val="105"/>
        </w:rPr>
        <w:t> </w:t>
      </w:r>
      <w:r>
        <w:rPr>
          <w:color w:val="231F20"/>
          <w:w w:val="105"/>
        </w:rPr>
        <w:t>a</w:t>
      </w:r>
      <w:r>
        <w:rPr>
          <w:color w:val="231F20"/>
          <w:spacing w:val="-4"/>
          <w:w w:val="105"/>
        </w:rPr>
        <w:t> </w:t>
      </w:r>
      <w:r>
        <w:rPr>
          <w:color w:val="231F20"/>
          <w:w w:val="105"/>
        </w:rPr>
        <w:t>sus</w:t>
      </w:r>
      <w:r>
        <w:rPr>
          <w:color w:val="231F20"/>
          <w:spacing w:val="-4"/>
          <w:w w:val="105"/>
        </w:rPr>
        <w:t> </w:t>
      </w:r>
      <w:r>
        <w:rPr>
          <w:color w:val="231F20"/>
          <w:w w:val="105"/>
        </w:rPr>
        <w:t>hijos,</w:t>
      </w:r>
      <w:r>
        <w:rPr>
          <w:color w:val="231F20"/>
          <w:spacing w:val="-9"/>
          <w:w w:val="105"/>
        </w:rPr>
        <w:t> </w:t>
      </w:r>
      <w:r>
        <w:rPr>
          <w:color w:val="231F20"/>
          <w:w w:val="105"/>
        </w:rPr>
        <w:t>entre</w:t>
      </w:r>
      <w:r>
        <w:rPr>
          <w:color w:val="231F20"/>
          <w:spacing w:val="-4"/>
          <w:w w:val="105"/>
        </w:rPr>
        <w:t> </w:t>
      </w:r>
      <w:r>
        <w:rPr>
          <w:color w:val="231F20"/>
          <w:w w:val="105"/>
        </w:rPr>
        <w:t>otras que exhibe el cuadro</w:t>
      </w:r>
      <w:r>
        <w:rPr>
          <w:color w:val="231F20"/>
          <w:spacing w:val="-31"/>
          <w:w w:val="105"/>
        </w:rPr>
        <w:t> </w:t>
      </w:r>
      <w:r>
        <w:rPr>
          <w:color w:val="231F20"/>
          <w:w w:val="105"/>
        </w:rPr>
        <w:t>6.</w:t>
      </w:r>
    </w:p>
    <w:p>
      <w:pPr>
        <w:pStyle w:val="BodyText"/>
        <w:spacing w:before="4"/>
      </w:pPr>
    </w:p>
    <w:p>
      <w:pPr>
        <w:spacing w:before="0"/>
        <w:ind w:left="2917" w:right="2804" w:firstLine="0"/>
        <w:jc w:val="center"/>
        <w:rPr>
          <w:rFonts w:ascii="Arial"/>
          <w:sz w:val="18"/>
        </w:rPr>
      </w:pPr>
      <w:r>
        <w:rPr>
          <w:rFonts w:ascii="Arial"/>
          <w:color w:val="231F20"/>
          <w:w w:val="105"/>
          <w:sz w:val="18"/>
        </w:rPr>
        <w:t>Cuadro 6. Razones del retorno</w:t>
      </w:r>
    </w:p>
    <w:p>
      <w:pPr>
        <w:pStyle w:val="BodyText"/>
        <w:spacing w:before="5"/>
        <w:rPr>
          <w:rFonts w:ascii="Arial"/>
          <w:sz w:val="13"/>
        </w:rPr>
      </w:pPr>
    </w:p>
    <w:tbl>
      <w:tblPr>
        <w:tblW w:w="0" w:type="auto"/>
        <w:jc w:val="left"/>
        <w:tblInd w:w="220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910"/>
        <w:gridCol w:w="1270"/>
      </w:tblGrid>
      <w:tr>
        <w:trPr>
          <w:trHeight w:val="340" w:hRule="exact"/>
        </w:trPr>
        <w:tc>
          <w:tcPr>
            <w:tcW w:w="4910" w:type="dxa"/>
          </w:tcPr>
          <w:p>
            <w:pPr>
              <w:pStyle w:val="TableParagraph"/>
              <w:spacing w:before="88"/>
              <w:ind w:left="1632"/>
              <w:rPr>
                <w:rFonts w:ascii="Arial"/>
                <w:sz w:val="18"/>
              </w:rPr>
            </w:pPr>
            <w:r>
              <w:rPr>
                <w:rFonts w:ascii="Arial"/>
                <w:color w:val="231F20"/>
                <w:w w:val="105"/>
                <w:sz w:val="18"/>
              </w:rPr>
              <w:t>Razones del retorno</w:t>
            </w:r>
          </w:p>
        </w:tc>
        <w:tc>
          <w:tcPr>
            <w:tcW w:w="1270" w:type="dxa"/>
          </w:tcPr>
          <w:p>
            <w:pPr>
              <w:pStyle w:val="TableParagraph"/>
              <w:spacing w:before="88"/>
              <w:ind w:left="245"/>
              <w:rPr>
                <w:rFonts w:ascii="Arial"/>
                <w:sz w:val="18"/>
              </w:rPr>
            </w:pPr>
            <w:r>
              <w:rPr>
                <w:rFonts w:ascii="Arial"/>
                <w:color w:val="231F20"/>
                <w:w w:val="105"/>
                <w:sz w:val="18"/>
              </w:rPr>
              <w:t>Porcentaje</w:t>
            </w:r>
          </w:p>
        </w:tc>
      </w:tr>
      <w:tr>
        <w:trPr>
          <w:trHeight w:val="340" w:hRule="exact"/>
        </w:trPr>
        <w:tc>
          <w:tcPr>
            <w:tcW w:w="4910" w:type="dxa"/>
          </w:tcPr>
          <w:p>
            <w:pPr>
              <w:pStyle w:val="TableParagraph"/>
              <w:ind w:left="77"/>
              <w:rPr>
                <w:sz w:val="18"/>
              </w:rPr>
            </w:pPr>
            <w:r>
              <w:rPr>
                <w:color w:val="231F20"/>
                <w:sz w:val="18"/>
              </w:rPr>
              <w:t>Ver a la familia</w:t>
            </w:r>
          </w:p>
        </w:tc>
        <w:tc>
          <w:tcPr>
            <w:tcW w:w="1270" w:type="dxa"/>
          </w:tcPr>
          <w:p>
            <w:pPr>
              <w:pStyle w:val="TableParagraph"/>
              <w:ind w:left="77"/>
              <w:rPr>
                <w:sz w:val="18"/>
              </w:rPr>
            </w:pPr>
            <w:r>
              <w:rPr>
                <w:color w:val="231F20"/>
                <w:w w:val="105"/>
                <w:sz w:val="18"/>
              </w:rPr>
              <w:t>41.6</w:t>
            </w:r>
          </w:p>
        </w:tc>
      </w:tr>
      <w:tr>
        <w:trPr>
          <w:trHeight w:val="340" w:hRule="exact"/>
        </w:trPr>
        <w:tc>
          <w:tcPr>
            <w:tcW w:w="4910" w:type="dxa"/>
          </w:tcPr>
          <w:p>
            <w:pPr>
              <w:pStyle w:val="TableParagraph"/>
              <w:ind w:left="77"/>
              <w:rPr>
                <w:sz w:val="18"/>
              </w:rPr>
            </w:pPr>
            <w:r>
              <w:rPr>
                <w:color w:val="231F20"/>
                <w:w w:val="105"/>
                <w:sz w:val="18"/>
              </w:rPr>
              <w:t>Soledad, aburrimiento, no tener documentos, no le gustó</w:t>
            </w:r>
          </w:p>
        </w:tc>
        <w:tc>
          <w:tcPr>
            <w:tcW w:w="1270" w:type="dxa"/>
          </w:tcPr>
          <w:p>
            <w:pPr>
              <w:pStyle w:val="TableParagraph"/>
              <w:ind w:left="77"/>
              <w:rPr>
                <w:sz w:val="18"/>
              </w:rPr>
            </w:pPr>
            <w:r>
              <w:rPr>
                <w:color w:val="231F20"/>
                <w:w w:val="105"/>
                <w:sz w:val="18"/>
              </w:rPr>
              <w:t>12.4</w:t>
            </w:r>
          </w:p>
        </w:tc>
      </w:tr>
      <w:tr>
        <w:trPr>
          <w:trHeight w:val="340" w:hRule="exact"/>
        </w:trPr>
        <w:tc>
          <w:tcPr>
            <w:tcW w:w="4910" w:type="dxa"/>
          </w:tcPr>
          <w:p>
            <w:pPr>
              <w:pStyle w:val="TableParagraph"/>
              <w:ind w:left="77"/>
              <w:rPr>
                <w:sz w:val="18"/>
              </w:rPr>
            </w:pPr>
            <w:r>
              <w:rPr>
                <w:color w:val="231F20"/>
                <w:w w:val="105"/>
                <w:sz w:val="18"/>
              </w:rPr>
              <w:t>Escasez de trabajo, no ganaba mucho, no ahorraba</w:t>
            </w:r>
          </w:p>
        </w:tc>
        <w:tc>
          <w:tcPr>
            <w:tcW w:w="1270" w:type="dxa"/>
          </w:tcPr>
          <w:p>
            <w:pPr>
              <w:pStyle w:val="TableParagraph"/>
              <w:ind w:left="77"/>
              <w:rPr>
                <w:sz w:val="18"/>
              </w:rPr>
            </w:pPr>
            <w:r>
              <w:rPr>
                <w:color w:val="231F20"/>
                <w:w w:val="105"/>
                <w:sz w:val="18"/>
              </w:rPr>
              <w:t>11.7</w:t>
            </w:r>
          </w:p>
        </w:tc>
      </w:tr>
      <w:tr>
        <w:trPr>
          <w:trHeight w:val="340" w:hRule="exact"/>
        </w:trPr>
        <w:tc>
          <w:tcPr>
            <w:tcW w:w="4910" w:type="dxa"/>
          </w:tcPr>
          <w:p>
            <w:pPr>
              <w:pStyle w:val="TableParagraph"/>
              <w:ind w:left="77"/>
              <w:rPr>
                <w:sz w:val="18"/>
              </w:rPr>
            </w:pPr>
            <w:r>
              <w:rPr>
                <w:color w:val="231F20"/>
                <w:w w:val="105"/>
                <w:sz w:val="18"/>
              </w:rPr>
              <w:t>Deportación, miedo deportación, unirse pareja</w:t>
            </w:r>
          </w:p>
        </w:tc>
        <w:tc>
          <w:tcPr>
            <w:tcW w:w="1270" w:type="dxa"/>
          </w:tcPr>
          <w:p>
            <w:pPr>
              <w:pStyle w:val="TableParagraph"/>
              <w:ind w:left="77"/>
              <w:rPr>
                <w:sz w:val="18"/>
              </w:rPr>
            </w:pPr>
            <w:r>
              <w:rPr>
                <w:color w:val="231F20"/>
                <w:sz w:val="18"/>
              </w:rPr>
              <w:t>9.5</w:t>
            </w:r>
          </w:p>
        </w:tc>
      </w:tr>
      <w:tr>
        <w:trPr>
          <w:trHeight w:val="340" w:hRule="exact"/>
        </w:trPr>
        <w:tc>
          <w:tcPr>
            <w:tcW w:w="4910" w:type="dxa"/>
          </w:tcPr>
          <w:p>
            <w:pPr>
              <w:pStyle w:val="TableParagraph"/>
              <w:ind w:left="77"/>
              <w:rPr>
                <w:sz w:val="18"/>
              </w:rPr>
            </w:pPr>
            <w:r>
              <w:rPr>
                <w:color w:val="231F20"/>
                <w:w w:val="105"/>
                <w:sz w:val="18"/>
              </w:rPr>
              <w:t>Objetivos cumplidos</w:t>
            </w:r>
          </w:p>
        </w:tc>
        <w:tc>
          <w:tcPr>
            <w:tcW w:w="1270" w:type="dxa"/>
          </w:tcPr>
          <w:p>
            <w:pPr>
              <w:pStyle w:val="TableParagraph"/>
              <w:ind w:left="77"/>
              <w:rPr>
                <w:sz w:val="18"/>
              </w:rPr>
            </w:pPr>
            <w:r>
              <w:rPr>
                <w:color w:val="231F20"/>
                <w:sz w:val="18"/>
              </w:rPr>
              <w:t>5.8</w:t>
            </w:r>
          </w:p>
        </w:tc>
      </w:tr>
    </w:tbl>
    <w:p>
      <w:pPr>
        <w:pStyle w:val="BodyText"/>
        <w:rPr>
          <w:rFonts w:ascii="Arial"/>
          <w:sz w:val="20"/>
        </w:rPr>
      </w:pPr>
    </w:p>
    <w:p>
      <w:pPr>
        <w:pStyle w:val="BodyText"/>
        <w:rPr>
          <w:rFonts w:ascii="Arial"/>
          <w:sz w:val="16"/>
        </w:rPr>
      </w:pPr>
      <w:r>
        <w:rPr/>
        <w:pict>
          <v:line style="position:absolute;mso-position-horizontal-relative:page;mso-position-vertical-relative:paragraph;z-index:30256;mso-wrap-distance-left:0;mso-wrap-distance-right:0" from="91.866096pt,11.317877pt" to="205.252096pt,11.317877pt" stroked="true" strokeweight=".25pt" strokecolor="#231f20">
            <w10:wrap type="topAndBottom"/>
          </v:line>
        </w:pict>
      </w:r>
    </w:p>
    <w:p>
      <w:pPr>
        <w:spacing w:line="192" w:lineRule="exact" w:before="7"/>
        <w:ind w:left="1837" w:right="1721" w:firstLine="0"/>
        <w:jc w:val="both"/>
        <w:rPr>
          <w:rFonts w:ascii="Calibri" w:hAnsi="Calibri"/>
          <w:sz w:val="16"/>
        </w:rPr>
      </w:pPr>
      <w:r>
        <w:rPr>
          <w:rFonts w:ascii="Calibri" w:hAnsi="Calibri"/>
          <w:color w:val="414042"/>
          <w:w w:val="105"/>
          <w:position w:val="5"/>
          <w:sz w:val="9"/>
        </w:rPr>
        <w:t>7</w:t>
      </w:r>
      <w:r>
        <w:rPr>
          <w:rFonts w:ascii="Calibri" w:hAnsi="Calibri"/>
          <w:color w:val="414042"/>
          <w:spacing w:val="9"/>
          <w:w w:val="105"/>
          <w:position w:val="5"/>
          <w:sz w:val="9"/>
        </w:rPr>
        <w:t> </w:t>
      </w:r>
      <w:r>
        <w:rPr>
          <w:rFonts w:ascii="Calibri" w:hAnsi="Calibri"/>
          <w:color w:val="414042"/>
          <w:spacing w:val="-4"/>
          <w:w w:val="105"/>
          <w:sz w:val="16"/>
        </w:rPr>
        <w:t>Tan</w:t>
      </w:r>
      <w:r>
        <w:rPr>
          <w:rFonts w:ascii="Calibri" w:hAnsi="Calibri"/>
          <w:color w:val="414042"/>
          <w:spacing w:val="-5"/>
          <w:w w:val="105"/>
          <w:sz w:val="16"/>
        </w:rPr>
        <w:t> </w:t>
      </w:r>
      <w:r>
        <w:rPr>
          <w:rFonts w:ascii="Calibri" w:hAnsi="Calibri"/>
          <w:color w:val="414042"/>
          <w:w w:val="105"/>
          <w:sz w:val="16"/>
        </w:rPr>
        <w:t>sólo</w:t>
      </w:r>
      <w:r>
        <w:rPr>
          <w:rFonts w:ascii="Calibri" w:hAnsi="Calibri"/>
          <w:color w:val="414042"/>
          <w:spacing w:val="-5"/>
          <w:w w:val="105"/>
          <w:sz w:val="16"/>
        </w:rPr>
        <w:t> </w:t>
      </w:r>
      <w:r>
        <w:rPr>
          <w:rFonts w:ascii="Calibri" w:hAnsi="Calibri"/>
          <w:color w:val="414042"/>
          <w:w w:val="105"/>
          <w:sz w:val="16"/>
        </w:rPr>
        <w:t>en</w:t>
      </w:r>
      <w:r>
        <w:rPr>
          <w:rFonts w:ascii="Calibri" w:hAnsi="Calibri"/>
          <w:color w:val="414042"/>
          <w:spacing w:val="-7"/>
          <w:w w:val="105"/>
          <w:sz w:val="16"/>
        </w:rPr>
        <w:t> </w:t>
      </w:r>
      <w:r>
        <w:rPr>
          <w:rFonts w:ascii="Calibri" w:hAnsi="Calibri"/>
          <w:color w:val="414042"/>
          <w:spacing w:val="-3"/>
          <w:w w:val="105"/>
          <w:sz w:val="16"/>
        </w:rPr>
        <w:t>Texas</w:t>
      </w:r>
      <w:r>
        <w:rPr>
          <w:rFonts w:ascii="Calibri" w:hAnsi="Calibri"/>
          <w:color w:val="414042"/>
          <w:spacing w:val="-5"/>
          <w:w w:val="105"/>
          <w:sz w:val="16"/>
        </w:rPr>
        <w:t> </w:t>
      </w:r>
      <w:r>
        <w:rPr>
          <w:rFonts w:ascii="Calibri" w:hAnsi="Calibri"/>
          <w:color w:val="414042"/>
          <w:w w:val="105"/>
          <w:sz w:val="16"/>
        </w:rPr>
        <w:t>se</w:t>
      </w:r>
      <w:r>
        <w:rPr>
          <w:rFonts w:ascii="Calibri" w:hAnsi="Calibri"/>
          <w:color w:val="414042"/>
          <w:spacing w:val="-5"/>
          <w:w w:val="105"/>
          <w:sz w:val="16"/>
        </w:rPr>
        <w:t> </w:t>
      </w:r>
      <w:r>
        <w:rPr>
          <w:rFonts w:ascii="Calibri" w:hAnsi="Calibri"/>
          <w:color w:val="414042"/>
          <w:w w:val="105"/>
          <w:sz w:val="16"/>
        </w:rPr>
        <w:t>debaten</w:t>
      </w:r>
      <w:r>
        <w:rPr>
          <w:rFonts w:ascii="Calibri" w:hAnsi="Calibri"/>
          <w:color w:val="414042"/>
          <w:spacing w:val="-5"/>
          <w:w w:val="105"/>
          <w:sz w:val="16"/>
        </w:rPr>
        <w:t> </w:t>
      </w:r>
      <w:r>
        <w:rPr>
          <w:rFonts w:ascii="Calibri" w:hAnsi="Calibri"/>
          <w:color w:val="414042"/>
          <w:w w:val="105"/>
          <w:sz w:val="16"/>
        </w:rPr>
        <w:t>unos</w:t>
      </w:r>
      <w:r>
        <w:rPr>
          <w:rFonts w:ascii="Calibri" w:hAnsi="Calibri"/>
          <w:color w:val="414042"/>
          <w:spacing w:val="-5"/>
          <w:w w:val="105"/>
          <w:sz w:val="16"/>
        </w:rPr>
        <w:t> </w:t>
      </w:r>
      <w:r>
        <w:rPr>
          <w:rFonts w:ascii="Calibri" w:hAnsi="Calibri"/>
          <w:color w:val="414042"/>
          <w:w w:val="105"/>
          <w:sz w:val="16"/>
        </w:rPr>
        <w:t>40</w:t>
      </w:r>
      <w:r>
        <w:rPr>
          <w:rFonts w:ascii="Calibri" w:hAnsi="Calibri"/>
          <w:color w:val="414042"/>
          <w:spacing w:val="-5"/>
          <w:w w:val="105"/>
          <w:sz w:val="16"/>
        </w:rPr>
        <w:t> </w:t>
      </w:r>
      <w:r>
        <w:rPr>
          <w:rFonts w:ascii="Calibri" w:hAnsi="Calibri"/>
          <w:color w:val="414042"/>
          <w:w w:val="105"/>
          <w:sz w:val="16"/>
        </w:rPr>
        <w:t>proyectos</w:t>
      </w:r>
      <w:r>
        <w:rPr>
          <w:rFonts w:ascii="Calibri" w:hAnsi="Calibri"/>
          <w:color w:val="414042"/>
          <w:spacing w:val="-5"/>
          <w:w w:val="105"/>
          <w:sz w:val="16"/>
        </w:rPr>
        <w:t> </w:t>
      </w:r>
      <w:r>
        <w:rPr>
          <w:rFonts w:ascii="Calibri" w:hAnsi="Calibri"/>
          <w:color w:val="414042"/>
          <w:w w:val="105"/>
          <w:sz w:val="16"/>
        </w:rPr>
        <w:t>de</w:t>
      </w:r>
      <w:r>
        <w:rPr>
          <w:rFonts w:ascii="Calibri" w:hAnsi="Calibri"/>
          <w:color w:val="414042"/>
          <w:spacing w:val="-5"/>
          <w:w w:val="105"/>
          <w:sz w:val="16"/>
        </w:rPr>
        <w:t> </w:t>
      </w:r>
      <w:r>
        <w:rPr>
          <w:rFonts w:ascii="Calibri" w:hAnsi="Calibri"/>
          <w:color w:val="414042"/>
          <w:w w:val="105"/>
          <w:sz w:val="16"/>
        </w:rPr>
        <w:t>ley</w:t>
      </w:r>
      <w:r>
        <w:rPr>
          <w:rFonts w:ascii="Calibri" w:hAnsi="Calibri"/>
          <w:color w:val="414042"/>
          <w:spacing w:val="-5"/>
          <w:w w:val="105"/>
          <w:sz w:val="16"/>
        </w:rPr>
        <w:t> </w:t>
      </w:r>
      <w:r>
        <w:rPr>
          <w:rFonts w:ascii="Calibri" w:hAnsi="Calibri"/>
          <w:color w:val="414042"/>
          <w:w w:val="105"/>
          <w:sz w:val="16"/>
        </w:rPr>
        <w:t>contra</w:t>
      </w:r>
      <w:r>
        <w:rPr>
          <w:rFonts w:ascii="Calibri" w:hAnsi="Calibri"/>
          <w:color w:val="414042"/>
          <w:spacing w:val="-5"/>
          <w:w w:val="105"/>
          <w:sz w:val="16"/>
        </w:rPr>
        <w:t> </w:t>
      </w:r>
      <w:r>
        <w:rPr>
          <w:rFonts w:ascii="Calibri" w:hAnsi="Calibri"/>
          <w:color w:val="414042"/>
          <w:w w:val="105"/>
          <w:sz w:val="16"/>
        </w:rPr>
        <w:t>la</w:t>
      </w:r>
      <w:r>
        <w:rPr>
          <w:rFonts w:ascii="Calibri" w:hAnsi="Calibri"/>
          <w:color w:val="414042"/>
          <w:spacing w:val="-5"/>
          <w:w w:val="105"/>
          <w:sz w:val="16"/>
        </w:rPr>
        <w:t> </w:t>
      </w:r>
      <w:r>
        <w:rPr>
          <w:rFonts w:ascii="Calibri" w:hAnsi="Calibri"/>
          <w:color w:val="414042"/>
          <w:w w:val="105"/>
          <w:sz w:val="16"/>
        </w:rPr>
        <w:t>inmigración</w:t>
      </w:r>
      <w:r>
        <w:rPr>
          <w:rFonts w:ascii="Calibri" w:hAnsi="Calibri"/>
          <w:color w:val="414042"/>
          <w:spacing w:val="-5"/>
          <w:w w:val="105"/>
          <w:sz w:val="16"/>
        </w:rPr>
        <w:t> </w:t>
      </w:r>
      <w:r>
        <w:rPr>
          <w:rFonts w:ascii="Calibri" w:hAnsi="Calibri"/>
          <w:color w:val="414042"/>
          <w:w w:val="105"/>
          <w:sz w:val="16"/>
        </w:rPr>
        <w:t>indocumentada:</w:t>
      </w:r>
      <w:r>
        <w:rPr>
          <w:rFonts w:ascii="Calibri" w:hAnsi="Calibri"/>
          <w:color w:val="414042"/>
          <w:spacing w:val="-5"/>
          <w:w w:val="105"/>
          <w:sz w:val="16"/>
        </w:rPr>
        <w:t> </w:t>
      </w:r>
      <w:r>
        <w:rPr>
          <w:rFonts w:ascii="Calibri" w:hAnsi="Calibri"/>
          <w:color w:val="414042"/>
          <w:w w:val="105"/>
          <w:sz w:val="16"/>
        </w:rPr>
        <w:t>otorgar poderes</w:t>
      </w:r>
      <w:r>
        <w:rPr>
          <w:rFonts w:ascii="Calibri" w:hAnsi="Calibri"/>
          <w:color w:val="414042"/>
          <w:spacing w:val="-5"/>
          <w:w w:val="105"/>
          <w:sz w:val="16"/>
        </w:rPr>
        <w:t> </w:t>
      </w:r>
      <w:r>
        <w:rPr>
          <w:rFonts w:ascii="Calibri" w:hAnsi="Calibri"/>
          <w:color w:val="414042"/>
          <w:w w:val="105"/>
          <w:sz w:val="16"/>
        </w:rPr>
        <w:t>extraordinarios</w:t>
      </w:r>
      <w:r>
        <w:rPr>
          <w:rFonts w:ascii="Calibri" w:hAnsi="Calibri"/>
          <w:color w:val="414042"/>
          <w:spacing w:val="-5"/>
          <w:w w:val="105"/>
          <w:sz w:val="16"/>
        </w:rPr>
        <w:t> </w:t>
      </w:r>
      <w:r>
        <w:rPr>
          <w:rFonts w:ascii="Calibri" w:hAnsi="Calibri"/>
          <w:color w:val="414042"/>
          <w:w w:val="105"/>
          <w:sz w:val="16"/>
        </w:rPr>
        <w:t>a</w:t>
      </w:r>
      <w:r>
        <w:rPr>
          <w:rFonts w:ascii="Calibri" w:hAnsi="Calibri"/>
          <w:color w:val="414042"/>
          <w:spacing w:val="-5"/>
          <w:w w:val="105"/>
          <w:sz w:val="16"/>
        </w:rPr>
        <w:t> </w:t>
      </w:r>
      <w:r>
        <w:rPr>
          <w:rFonts w:ascii="Calibri" w:hAnsi="Calibri"/>
          <w:color w:val="414042"/>
          <w:w w:val="105"/>
          <w:sz w:val="16"/>
        </w:rPr>
        <w:t>las</w:t>
      </w:r>
      <w:r>
        <w:rPr>
          <w:rFonts w:ascii="Calibri" w:hAnsi="Calibri"/>
          <w:color w:val="414042"/>
          <w:spacing w:val="-5"/>
          <w:w w:val="105"/>
          <w:sz w:val="16"/>
        </w:rPr>
        <w:t> </w:t>
      </w:r>
      <w:r>
        <w:rPr>
          <w:rFonts w:ascii="Calibri" w:hAnsi="Calibri"/>
          <w:color w:val="414042"/>
          <w:w w:val="105"/>
          <w:sz w:val="16"/>
        </w:rPr>
        <w:t>policías,</w:t>
      </w:r>
      <w:r>
        <w:rPr>
          <w:rFonts w:ascii="Calibri" w:hAnsi="Calibri"/>
          <w:color w:val="414042"/>
          <w:spacing w:val="-5"/>
          <w:w w:val="105"/>
          <w:sz w:val="16"/>
        </w:rPr>
        <w:t> </w:t>
      </w:r>
      <w:r>
        <w:rPr>
          <w:rFonts w:ascii="Calibri" w:hAnsi="Calibri"/>
          <w:color w:val="414042"/>
          <w:w w:val="105"/>
          <w:sz w:val="16"/>
        </w:rPr>
        <w:t>apartamiento</w:t>
      </w:r>
      <w:r>
        <w:rPr>
          <w:rFonts w:ascii="Calibri" w:hAnsi="Calibri"/>
          <w:color w:val="414042"/>
          <w:spacing w:val="-5"/>
          <w:w w:val="105"/>
          <w:sz w:val="16"/>
        </w:rPr>
        <w:t> </w:t>
      </w:r>
      <w:r>
        <w:rPr>
          <w:rFonts w:ascii="Calibri" w:hAnsi="Calibri"/>
          <w:color w:val="414042"/>
          <w:w w:val="105"/>
          <w:sz w:val="16"/>
        </w:rPr>
        <w:t>de</w:t>
      </w:r>
      <w:r>
        <w:rPr>
          <w:rFonts w:ascii="Calibri" w:hAnsi="Calibri"/>
          <w:color w:val="414042"/>
          <w:spacing w:val="-5"/>
          <w:w w:val="105"/>
          <w:sz w:val="16"/>
        </w:rPr>
        <w:t> </w:t>
      </w:r>
      <w:r>
        <w:rPr>
          <w:rFonts w:ascii="Calibri" w:hAnsi="Calibri"/>
          <w:color w:val="414042"/>
          <w:w w:val="105"/>
          <w:sz w:val="16"/>
        </w:rPr>
        <w:t>comunidades</w:t>
      </w:r>
      <w:r>
        <w:rPr>
          <w:rFonts w:ascii="Calibri" w:hAnsi="Calibri"/>
          <w:color w:val="414042"/>
          <w:spacing w:val="-5"/>
          <w:w w:val="105"/>
          <w:sz w:val="16"/>
        </w:rPr>
        <w:t> </w:t>
      </w:r>
      <w:r>
        <w:rPr>
          <w:rFonts w:ascii="Calibri" w:hAnsi="Calibri"/>
          <w:color w:val="414042"/>
          <w:w w:val="105"/>
          <w:sz w:val="16"/>
        </w:rPr>
        <w:t>locales</w:t>
      </w:r>
      <w:r>
        <w:rPr>
          <w:rFonts w:ascii="Calibri" w:hAnsi="Calibri"/>
          <w:color w:val="414042"/>
          <w:spacing w:val="-5"/>
          <w:w w:val="105"/>
          <w:sz w:val="16"/>
        </w:rPr>
        <w:t> </w:t>
      </w:r>
      <w:r>
        <w:rPr>
          <w:rFonts w:ascii="Calibri" w:hAnsi="Calibri"/>
          <w:color w:val="414042"/>
          <w:w w:val="105"/>
          <w:sz w:val="16"/>
        </w:rPr>
        <w:t>de</w:t>
      </w:r>
      <w:r>
        <w:rPr>
          <w:rFonts w:ascii="Calibri" w:hAnsi="Calibri"/>
          <w:color w:val="414042"/>
          <w:spacing w:val="-5"/>
          <w:w w:val="105"/>
          <w:sz w:val="16"/>
        </w:rPr>
        <w:t> </w:t>
      </w:r>
      <w:r>
        <w:rPr>
          <w:rFonts w:ascii="Calibri" w:hAnsi="Calibri"/>
          <w:color w:val="414042"/>
          <w:w w:val="105"/>
          <w:sz w:val="16"/>
        </w:rPr>
        <w:t>inmigrantes,</w:t>
      </w:r>
      <w:r>
        <w:rPr>
          <w:rFonts w:ascii="Calibri" w:hAnsi="Calibri"/>
          <w:color w:val="414042"/>
          <w:spacing w:val="-5"/>
          <w:w w:val="105"/>
          <w:sz w:val="16"/>
        </w:rPr>
        <w:t> </w:t>
      </w:r>
      <w:r>
        <w:rPr>
          <w:rFonts w:ascii="Calibri" w:hAnsi="Calibri"/>
          <w:color w:val="414042"/>
          <w:w w:val="105"/>
          <w:sz w:val="16"/>
        </w:rPr>
        <w:t>abolir</w:t>
      </w:r>
      <w:r>
        <w:rPr>
          <w:rFonts w:ascii="Calibri" w:hAnsi="Calibri"/>
          <w:color w:val="414042"/>
          <w:spacing w:val="-5"/>
          <w:w w:val="105"/>
          <w:sz w:val="16"/>
        </w:rPr>
        <w:t> </w:t>
      </w:r>
      <w:r>
        <w:rPr>
          <w:rFonts w:ascii="Calibri" w:hAnsi="Calibri"/>
          <w:color w:val="414042"/>
          <w:w w:val="105"/>
          <w:sz w:val="16"/>
        </w:rPr>
        <w:t>las Ciudades Santuario porque en esos lugares se protege a indocumentados, </w:t>
      </w:r>
      <w:r>
        <w:rPr>
          <w:rFonts w:ascii="Calibri" w:hAnsi="Calibri"/>
          <w:color w:val="414042"/>
          <w:spacing w:val="-3"/>
          <w:w w:val="105"/>
          <w:sz w:val="16"/>
        </w:rPr>
        <w:t>Texas </w:t>
      </w:r>
      <w:r>
        <w:rPr>
          <w:rFonts w:ascii="Calibri" w:hAnsi="Calibri"/>
          <w:color w:val="414042"/>
          <w:w w:val="105"/>
          <w:sz w:val="16"/>
        </w:rPr>
        <w:t>es el segundo estado con más Ciudades Santuario en Estados Unidos, después de California que tiene 31 (El Latino,</w:t>
      </w:r>
      <w:r>
        <w:rPr>
          <w:rFonts w:ascii="Calibri" w:hAnsi="Calibri"/>
          <w:color w:val="414042"/>
          <w:spacing w:val="-17"/>
          <w:w w:val="105"/>
          <w:sz w:val="16"/>
        </w:rPr>
        <w:t> </w:t>
      </w:r>
      <w:r>
        <w:rPr>
          <w:rFonts w:ascii="Calibri" w:hAnsi="Calibri"/>
          <w:color w:val="414042"/>
          <w:w w:val="105"/>
          <w:sz w:val="16"/>
        </w:rPr>
        <w:t>Estados </w:t>
      </w:r>
      <w:r>
        <w:rPr>
          <w:rFonts w:ascii="Calibri" w:hAnsi="Calibri"/>
          <w:color w:val="414042"/>
          <w:sz w:val="16"/>
        </w:rPr>
        <w:t>aumentan </w:t>
      </w:r>
      <w:r>
        <w:rPr>
          <w:rFonts w:ascii="Calibri" w:hAnsi="Calibri"/>
          <w:color w:val="414042"/>
          <w:spacing w:val="3"/>
          <w:sz w:val="16"/>
        </w:rPr>
        <w:t> </w:t>
      </w:r>
      <w:r>
        <w:rPr>
          <w:rFonts w:ascii="Calibri" w:hAnsi="Calibri"/>
          <w:color w:val="414042"/>
          <w:sz w:val="16"/>
        </w:rPr>
        <w:t>presión…).</w:t>
      </w:r>
    </w:p>
    <w:p>
      <w:pPr>
        <w:spacing w:line="192" w:lineRule="exact" w:before="0"/>
        <w:ind w:left="1837" w:right="1721" w:hanging="1"/>
        <w:jc w:val="both"/>
        <w:rPr>
          <w:rFonts w:ascii="Calibri" w:hAnsi="Calibri"/>
          <w:sz w:val="16"/>
        </w:rPr>
      </w:pPr>
      <w:r>
        <w:rPr/>
        <w:pict>
          <v:line style="position:absolute;mso-position-horizontal-relative:page;mso-position-vertical-relative:paragraph;z-index:-459832" from="15pt,88.146004pt" to="0pt,88.146004pt" stroked="true" strokeweight=".25pt" strokecolor="#000000">
            <w10:wrap type="none"/>
          </v:line>
        </w:pict>
      </w:r>
      <w:r>
        <w:rPr/>
        <w:pict>
          <v:line style="position:absolute;mso-position-horizontal-relative:page;mso-position-vertical-relative:paragraph;z-index:30376" from="508.890015pt,88.146004pt" to="523.890015pt,88.146004pt" stroked="true" strokeweight=".25pt" strokecolor="#000000">
            <w10:wrap type="none"/>
          </v:line>
        </w:pict>
      </w:r>
      <w:r>
        <w:rPr>
          <w:rFonts w:ascii="Calibri" w:hAnsi="Calibri"/>
          <w:color w:val="414042"/>
          <w:w w:val="105"/>
          <w:position w:val="5"/>
          <w:sz w:val="9"/>
        </w:rPr>
        <w:t>8</w:t>
      </w:r>
      <w:r>
        <w:rPr>
          <w:rFonts w:ascii="Calibri" w:hAnsi="Calibri"/>
          <w:color w:val="414042"/>
          <w:spacing w:val="6"/>
          <w:w w:val="105"/>
          <w:position w:val="5"/>
          <w:sz w:val="9"/>
        </w:rPr>
        <w:t> </w:t>
      </w:r>
      <w:r>
        <w:rPr>
          <w:rFonts w:ascii="Calibri" w:hAnsi="Calibri"/>
          <w:color w:val="414042"/>
          <w:w w:val="105"/>
          <w:sz w:val="16"/>
        </w:rPr>
        <w:t>Aunque</w:t>
      </w:r>
      <w:r>
        <w:rPr>
          <w:rFonts w:ascii="Calibri" w:hAnsi="Calibri"/>
          <w:color w:val="414042"/>
          <w:spacing w:val="-11"/>
          <w:w w:val="105"/>
          <w:sz w:val="16"/>
        </w:rPr>
        <w:t> </w:t>
      </w:r>
      <w:r>
        <w:rPr>
          <w:rFonts w:ascii="Calibri" w:hAnsi="Calibri"/>
          <w:color w:val="414042"/>
          <w:w w:val="105"/>
          <w:sz w:val="16"/>
        </w:rPr>
        <w:t>la</w:t>
      </w:r>
      <w:r>
        <w:rPr>
          <w:rFonts w:ascii="Calibri" w:hAnsi="Calibri"/>
          <w:color w:val="414042"/>
          <w:spacing w:val="-11"/>
          <w:w w:val="105"/>
          <w:sz w:val="16"/>
        </w:rPr>
        <w:t> </w:t>
      </w:r>
      <w:r>
        <w:rPr>
          <w:rFonts w:ascii="Calibri" w:hAnsi="Calibri"/>
          <w:color w:val="414042"/>
          <w:w w:val="105"/>
          <w:sz w:val="16"/>
        </w:rPr>
        <w:t>economía</w:t>
      </w:r>
      <w:r>
        <w:rPr>
          <w:rFonts w:ascii="Calibri" w:hAnsi="Calibri"/>
          <w:color w:val="414042"/>
          <w:spacing w:val="-11"/>
          <w:w w:val="105"/>
          <w:sz w:val="16"/>
        </w:rPr>
        <w:t> </w:t>
      </w:r>
      <w:r>
        <w:rPr>
          <w:rFonts w:ascii="Calibri" w:hAnsi="Calibri"/>
          <w:color w:val="414042"/>
          <w:w w:val="105"/>
          <w:sz w:val="16"/>
        </w:rPr>
        <w:t>texana</w:t>
      </w:r>
      <w:r>
        <w:rPr>
          <w:rFonts w:ascii="Calibri" w:hAnsi="Calibri"/>
          <w:color w:val="414042"/>
          <w:spacing w:val="-11"/>
          <w:w w:val="105"/>
          <w:sz w:val="16"/>
        </w:rPr>
        <w:t> </w:t>
      </w:r>
      <w:r>
        <w:rPr>
          <w:rFonts w:ascii="Calibri" w:hAnsi="Calibri"/>
          <w:color w:val="414042"/>
          <w:w w:val="105"/>
          <w:sz w:val="16"/>
        </w:rPr>
        <w:t>es</w:t>
      </w:r>
      <w:r>
        <w:rPr>
          <w:rFonts w:ascii="Calibri" w:hAnsi="Calibri"/>
          <w:color w:val="414042"/>
          <w:spacing w:val="-11"/>
          <w:w w:val="105"/>
          <w:sz w:val="16"/>
        </w:rPr>
        <w:t> </w:t>
      </w:r>
      <w:r>
        <w:rPr>
          <w:rFonts w:ascii="Calibri" w:hAnsi="Calibri"/>
          <w:color w:val="414042"/>
          <w:w w:val="105"/>
          <w:sz w:val="16"/>
        </w:rPr>
        <w:t>diversa</w:t>
      </w:r>
      <w:r>
        <w:rPr>
          <w:rFonts w:ascii="Calibri" w:hAnsi="Calibri"/>
          <w:color w:val="414042"/>
          <w:spacing w:val="-11"/>
          <w:w w:val="105"/>
          <w:sz w:val="16"/>
        </w:rPr>
        <w:t> </w:t>
      </w:r>
      <w:r>
        <w:rPr>
          <w:rFonts w:ascii="Calibri" w:hAnsi="Calibri"/>
          <w:color w:val="414042"/>
          <w:w w:val="105"/>
          <w:sz w:val="16"/>
        </w:rPr>
        <w:t>en</w:t>
      </w:r>
      <w:r>
        <w:rPr>
          <w:rFonts w:ascii="Calibri" w:hAnsi="Calibri"/>
          <w:color w:val="414042"/>
          <w:spacing w:val="-11"/>
          <w:w w:val="105"/>
          <w:sz w:val="16"/>
        </w:rPr>
        <w:t> </w:t>
      </w:r>
      <w:r>
        <w:rPr>
          <w:rFonts w:ascii="Calibri" w:hAnsi="Calibri"/>
          <w:color w:val="414042"/>
          <w:w w:val="105"/>
          <w:sz w:val="16"/>
        </w:rPr>
        <w:t>relación</w:t>
      </w:r>
      <w:r>
        <w:rPr>
          <w:rFonts w:ascii="Calibri" w:hAnsi="Calibri"/>
          <w:color w:val="414042"/>
          <w:spacing w:val="-11"/>
          <w:w w:val="105"/>
          <w:sz w:val="16"/>
        </w:rPr>
        <w:t> </w:t>
      </w:r>
      <w:r>
        <w:rPr>
          <w:rFonts w:ascii="Calibri" w:hAnsi="Calibri"/>
          <w:color w:val="414042"/>
          <w:w w:val="105"/>
          <w:sz w:val="16"/>
        </w:rPr>
        <w:t>a</w:t>
      </w:r>
      <w:r>
        <w:rPr>
          <w:rFonts w:ascii="Calibri" w:hAnsi="Calibri"/>
          <w:color w:val="414042"/>
          <w:spacing w:val="-11"/>
          <w:w w:val="105"/>
          <w:sz w:val="16"/>
        </w:rPr>
        <w:t> </w:t>
      </w:r>
      <w:r>
        <w:rPr>
          <w:rFonts w:ascii="Calibri" w:hAnsi="Calibri"/>
          <w:color w:val="414042"/>
          <w:w w:val="105"/>
          <w:sz w:val="16"/>
        </w:rPr>
        <w:t>otros</w:t>
      </w:r>
      <w:r>
        <w:rPr>
          <w:rFonts w:ascii="Calibri" w:hAnsi="Calibri"/>
          <w:color w:val="414042"/>
          <w:spacing w:val="-11"/>
          <w:w w:val="105"/>
          <w:sz w:val="16"/>
        </w:rPr>
        <w:t> </w:t>
      </w:r>
      <w:r>
        <w:rPr>
          <w:rFonts w:ascii="Calibri" w:hAnsi="Calibri"/>
          <w:color w:val="414042"/>
          <w:w w:val="105"/>
          <w:sz w:val="16"/>
        </w:rPr>
        <w:t>estados</w:t>
      </w:r>
      <w:r>
        <w:rPr>
          <w:rFonts w:ascii="Calibri" w:hAnsi="Calibri"/>
          <w:color w:val="414042"/>
          <w:spacing w:val="-11"/>
          <w:w w:val="105"/>
          <w:sz w:val="16"/>
        </w:rPr>
        <w:t> </w:t>
      </w:r>
      <w:r>
        <w:rPr>
          <w:rFonts w:ascii="Calibri" w:hAnsi="Calibri"/>
          <w:color w:val="414042"/>
          <w:w w:val="105"/>
          <w:sz w:val="16"/>
        </w:rPr>
        <w:t>donde</w:t>
      </w:r>
      <w:r>
        <w:rPr>
          <w:rFonts w:ascii="Calibri" w:hAnsi="Calibri"/>
          <w:color w:val="414042"/>
          <w:spacing w:val="-11"/>
          <w:w w:val="105"/>
          <w:sz w:val="16"/>
        </w:rPr>
        <w:t> </w:t>
      </w:r>
      <w:r>
        <w:rPr>
          <w:rFonts w:ascii="Calibri" w:hAnsi="Calibri"/>
          <w:color w:val="414042"/>
          <w:w w:val="105"/>
          <w:sz w:val="16"/>
        </w:rPr>
        <w:t>la</w:t>
      </w:r>
      <w:r>
        <w:rPr>
          <w:rFonts w:ascii="Calibri" w:hAnsi="Calibri"/>
          <w:color w:val="414042"/>
          <w:spacing w:val="-11"/>
          <w:w w:val="105"/>
          <w:sz w:val="16"/>
        </w:rPr>
        <w:t> </w:t>
      </w:r>
      <w:r>
        <w:rPr>
          <w:rFonts w:ascii="Calibri" w:hAnsi="Calibri"/>
          <w:color w:val="414042"/>
          <w:w w:val="105"/>
          <w:sz w:val="16"/>
        </w:rPr>
        <w:t>crisis</w:t>
      </w:r>
      <w:r>
        <w:rPr>
          <w:rFonts w:ascii="Calibri" w:hAnsi="Calibri"/>
          <w:color w:val="414042"/>
          <w:spacing w:val="-11"/>
          <w:w w:val="105"/>
          <w:sz w:val="16"/>
        </w:rPr>
        <w:t> </w:t>
      </w:r>
      <w:r>
        <w:rPr>
          <w:rFonts w:ascii="Calibri" w:hAnsi="Calibri"/>
          <w:color w:val="414042"/>
          <w:w w:val="105"/>
          <w:sz w:val="16"/>
        </w:rPr>
        <w:t>económica</w:t>
      </w:r>
      <w:r>
        <w:rPr>
          <w:rFonts w:ascii="Calibri" w:hAnsi="Calibri"/>
          <w:color w:val="414042"/>
          <w:spacing w:val="-11"/>
          <w:w w:val="105"/>
          <w:sz w:val="16"/>
        </w:rPr>
        <w:t> </w:t>
      </w:r>
      <w:r>
        <w:rPr>
          <w:rFonts w:ascii="Calibri" w:hAnsi="Calibri"/>
          <w:color w:val="414042"/>
          <w:w w:val="105"/>
          <w:sz w:val="16"/>
        </w:rPr>
        <w:t>golpeó</w:t>
      </w:r>
      <w:r>
        <w:rPr>
          <w:rFonts w:ascii="Calibri" w:hAnsi="Calibri"/>
          <w:color w:val="414042"/>
          <w:spacing w:val="-11"/>
          <w:w w:val="105"/>
          <w:sz w:val="16"/>
        </w:rPr>
        <w:t> </w:t>
      </w:r>
      <w:r>
        <w:rPr>
          <w:rFonts w:ascii="Calibri" w:hAnsi="Calibri"/>
          <w:color w:val="414042"/>
          <w:w w:val="105"/>
          <w:sz w:val="16"/>
        </w:rPr>
        <w:t>de peor</w:t>
      </w:r>
      <w:r>
        <w:rPr>
          <w:rFonts w:ascii="Calibri" w:hAnsi="Calibri"/>
          <w:color w:val="414042"/>
          <w:spacing w:val="-14"/>
          <w:w w:val="105"/>
          <w:sz w:val="16"/>
        </w:rPr>
        <w:t> </w:t>
      </w:r>
      <w:r>
        <w:rPr>
          <w:rFonts w:ascii="Calibri" w:hAnsi="Calibri"/>
          <w:color w:val="414042"/>
          <w:w w:val="105"/>
          <w:sz w:val="16"/>
        </w:rPr>
        <w:t>forma,</w:t>
      </w:r>
      <w:r>
        <w:rPr>
          <w:rFonts w:ascii="Calibri" w:hAnsi="Calibri"/>
          <w:color w:val="414042"/>
          <w:spacing w:val="-14"/>
          <w:w w:val="105"/>
          <w:sz w:val="16"/>
        </w:rPr>
        <w:t> </w:t>
      </w:r>
      <w:r>
        <w:rPr>
          <w:rFonts w:ascii="Calibri" w:hAnsi="Calibri"/>
          <w:color w:val="414042"/>
          <w:w w:val="105"/>
          <w:sz w:val="16"/>
        </w:rPr>
        <w:t>sigue</w:t>
      </w:r>
      <w:r>
        <w:rPr>
          <w:rFonts w:ascii="Calibri" w:hAnsi="Calibri"/>
          <w:color w:val="414042"/>
          <w:spacing w:val="-14"/>
          <w:w w:val="105"/>
          <w:sz w:val="16"/>
        </w:rPr>
        <w:t> </w:t>
      </w:r>
      <w:r>
        <w:rPr>
          <w:rFonts w:ascii="Calibri" w:hAnsi="Calibri"/>
          <w:color w:val="414042"/>
          <w:w w:val="105"/>
          <w:sz w:val="16"/>
        </w:rPr>
        <w:t>siendo</w:t>
      </w:r>
      <w:r>
        <w:rPr>
          <w:rFonts w:ascii="Calibri" w:hAnsi="Calibri"/>
          <w:color w:val="414042"/>
          <w:spacing w:val="-14"/>
          <w:w w:val="105"/>
          <w:sz w:val="16"/>
        </w:rPr>
        <w:t> </w:t>
      </w:r>
      <w:r>
        <w:rPr>
          <w:rFonts w:ascii="Calibri" w:hAnsi="Calibri"/>
          <w:color w:val="414042"/>
          <w:w w:val="105"/>
          <w:sz w:val="16"/>
        </w:rPr>
        <w:t>muy</w:t>
      </w:r>
      <w:r>
        <w:rPr>
          <w:rFonts w:ascii="Calibri" w:hAnsi="Calibri"/>
          <w:color w:val="414042"/>
          <w:spacing w:val="-14"/>
          <w:w w:val="105"/>
          <w:sz w:val="16"/>
        </w:rPr>
        <w:t> </w:t>
      </w:r>
      <w:r>
        <w:rPr>
          <w:rFonts w:ascii="Calibri" w:hAnsi="Calibri"/>
          <w:color w:val="414042"/>
          <w:w w:val="105"/>
          <w:sz w:val="16"/>
        </w:rPr>
        <w:t>sensible</w:t>
      </w:r>
      <w:r>
        <w:rPr>
          <w:rFonts w:ascii="Calibri" w:hAnsi="Calibri"/>
          <w:color w:val="414042"/>
          <w:spacing w:val="-14"/>
          <w:w w:val="105"/>
          <w:sz w:val="16"/>
        </w:rPr>
        <w:t> </w:t>
      </w:r>
      <w:r>
        <w:rPr>
          <w:rFonts w:ascii="Calibri" w:hAnsi="Calibri"/>
          <w:color w:val="414042"/>
          <w:w w:val="105"/>
          <w:sz w:val="16"/>
        </w:rPr>
        <w:t>a</w:t>
      </w:r>
      <w:r>
        <w:rPr>
          <w:rFonts w:ascii="Calibri" w:hAnsi="Calibri"/>
          <w:color w:val="414042"/>
          <w:spacing w:val="-14"/>
          <w:w w:val="105"/>
          <w:sz w:val="16"/>
        </w:rPr>
        <w:t> </w:t>
      </w:r>
      <w:r>
        <w:rPr>
          <w:rFonts w:ascii="Calibri" w:hAnsi="Calibri"/>
          <w:color w:val="414042"/>
          <w:w w:val="105"/>
          <w:sz w:val="16"/>
        </w:rPr>
        <w:t>la</w:t>
      </w:r>
      <w:r>
        <w:rPr>
          <w:rFonts w:ascii="Calibri" w:hAnsi="Calibri"/>
          <w:color w:val="414042"/>
          <w:spacing w:val="-14"/>
          <w:w w:val="105"/>
          <w:sz w:val="16"/>
        </w:rPr>
        <w:t> </w:t>
      </w:r>
      <w:r>
        <w:rPr>
          <w:rFonts w:ascii="Calibri" w:hAnsi="Calibri"/>
          <w:color w:val="414042"/>
          <w:w w:val="105"/>
          <w:sz w:val="16"/>
        </w:rPr>
        <w:t>actividad</w:t>
      </w:r>
      <w:r>
        <w:rPr>
          <w:rFonts w:ascii="Calibri" w:hAnsi="Calibri"/>
          <w:color w:val="414042"/>
          <w:spacing w:val="-14"/>
          <w:w w:val="105"/>
          <w:sz w:val="16"/>
        </w:rPr>
        <w:t> </w:t>
      </w:r>
      <w:r>
        <w:rPr>
          <w:rFonts w:ascii="Calibri" w:hAnsi="Calibri"/>
          <w:color w:val="414042"/>
          <w:w w:val="105"/>
          <w:sz w:val="16"/>
        </w:rPr>
        <w:t>petrolera</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4"/>
          <w:w w:val="105"/>
          <w:sz w:val="16"/>
        </w:rPr>
        <w:t> </w:t>
      </w:r>
      <w:r>
        <w:rPr>
          <w:rFonts w:ascii="Calibri" w:hAnsi="Calibri"/>
          <w:color w:val="414042"/>
          <w:w w:val="105"/>
          <w:sz w:val="16"/>
        </w:rPr>
        <w:t>a</w:t>
      </w:r>
      <w:r>
        <w:rPr>
          <w:rFonts w:ascii="Calibri" w:hAnsi="Calibri"/>
          <w:color w:val="414042"/>
          <w:spacing w:val="-14"/>
          <w:w w:val="105"/>
          <w:sz w:val="16"/>
        </w:rPr>
        <w:t> </w:t>
      </w:r>
      <w:r>
        <w:rPr>
          <w:rFonts w:ascii="Calibri" w:hAnsi="Calibri"/>
          <w:color w:val="414042"/>
          <w:w w:val="105"/>
          <w:sz w:val="16"/>
        </w:rPr>
        <w:t>los</w:t>
      </w:r>
      <w:r>
        <w:rPr>
          <w:rFonts w:ascii="Calibri" w:hAnsi="Calibri"/>
          <w:color w:val="414042"/>
          <w:spacing w:val="-14"/>
          <w:w w:val="105"/>
          <w:sz w:val="16"/>
        </w:rPr>
        <w:t> </w:t>
      </w:r>
      <w:r>
        <w:rPr>
          <w:rFonts w:ascii="Calibri" w:hAnsi="Calibri"/>
          <w:color w:val="414042"/>
          <w:w w:val="105"/>
          <w:sz w:val="16"/>
        </w:rPr>
        <w:t>precios</w:t>
      </w:r>
      <w:r>
        <w:rPr>
          <w:rFonts w:ascii="Calibri" w:hAnsi="Calibri"/>
          <w:color w:val="414042"/>
          <w:spacing w:val="-14"/>
          <w:w w:val="105"/>
          <w:sz w:val="16"/>
        </w:rPr>
        <w:t> </w:t>
      </w:r>
      <w:r>
        <w:rPr>
          <w:rFonts w:ascii="Calibri" w:hAnsi="Calibri"/>
          <w:color w:val="414042"/>
          <w:w w:val="105"/>
          <w:sz w:val="16"/>
        </w:rPr>
        <w:t>del</w:t>
      </w:r>
      <w:r>
        <w:rPr>
          <w:rFonts w:ascii="Calibri" w:hAnsi="Calibri"/>
          <w:color w:val="414042"/>
          <w:spacing w:val="-14"/>
          <w:w w:val="105"/>
          <w:sz w:val="16"/>
        </w:rPr>
        <w:t> </w:t>
      </w:r>
      <w:r>
        <w:rPr>
          <w:rFonts w:ascii="Calibri" w:hAnsi="Calibri"/>
          <w:color w:val="414042"/>
          <w:w w:val="105"/>
          <w:sz w:val="16"/>
        </w:rPr>
        <w:t>petróleo</w:t>
      </w:r>
      <w:r>
        <w:rPr>
          <w:rFonts w:ascii="Calibri" w:hAnsi="Calibri"/>
          <w:color w:val="414042"/>
          <w:spacing w:val="-14"/>
          <w:w w:val="105"/>
          <w:sz w:val="16"/>
        </w:rPr>
        <w:t> </w:t>
      </w:r>
      <w:r>
        <w:rPr>
          <w:rFonts w:ascii="Calibri" w:hAnsi="Calibri"/>
          <w:color w:val="414042"/>
          <w:w w:val="105"/>
          <w:sz w:val="16"/>
        </w:rPr>
        <w:t>(Díaz,</w:t>
      </w:r>
      <w:r>
        <w:rPr>
          <w:rFonts w:ascii="Calibri" w:hAnsi="Calibri"/>
          <w:color w:val="414042"/>
          <w:spacing w:val="-14"/>
          <w:w w:val="105"/>
          <w:sz w:val="16"/>
        </w:rPr>
        <w:t> </w:t>
      </w:r>
      <w:r>
        <w:rPr>
          <w:rFonts w:ascii="Calibri" w:hAnsi="Calibri"/>
          <w:color w:val="414042"/>
          <w:w w:val="105"/>
          <w:sz w:val="16"/>
        </w:rPr>
        <w:t>2015).</w:t>
      </w:r>
    </w:p>
    <w:p>
      <w:pPr>
        <w:spacing w:after="0" w:line="192" w:lineRule="exact"/>
        <w:jc w:val="both"/>
        <w:rPr>
          <w:rFonts w:ascii="Calibri" w:hAnsi="Calibri"/>
          <w:sz w:val="16"/>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30424" from="15pt,20.999777pt" to="0pt,20.999777pt" stroked="true" strokeweight=".25pt" strokecolor="#000000">
            <w10:wrap type="none"/>
          </v:line>
        </w:pict>
      </w:r>
      <w:r>
        <w:rPr/>
        <w:pict>
          <v:line style="position:absolute;mso-position-horizontal-relative:page;mso-position-vertical-relative:page;z-index:30448" from="508.890015pt,20.999777pt" to="523.890015pt,20.999777pt" stroked="true" strokeweight=".25pt" strokecolor="#000000">
            <w10:wrap type="none"/>
          </v:line>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after="1"/>
        <w:rPr>
          <w:rFonts w:ascii="Calibri"/>
          <w:sz w:val="25"/>
        </w:rPr>
      </w:pPr>
    </w:p>
    <w:tbl>
      <w:tblPr>
        <w:tblW w:w="0" w:type="auto"/>
        <w:jc w:val="left"/>
        <w:tblInd w:w="209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910"/>
        <w:gridCol w:w="1270"/>
      </w:tblGrid>
      <w:tr>
        <w:trPr>
          <w:trHeight w:val="340" w:hRule="exact"/>
        </w:trPr>
        <w:tc>
          <w:tcPr>
            <w:tcW w:w="4910" w:type="dxa"/>
          </w:tcPr>
          <w:p>
            <w:pPr>
              <w:pStyle w:val="TableParagraph"/>
              <w:ind w:left="77"/>
              <w:rPr>
                <w:sz w:val="18"/>
              </w:rPr>
            </w:pPr>
            <w:r>
              <w:rPr>
                <w:color w:val="231F20"/>
                <w:sz w:val="18"/>
              </w:rPr>
              <w:t>Traer sus hijos, criarlos acá, conocer, hijos nacidos</w:t>
            </w:r>
          </w:p>
        </w:tc>
        <w:tc>
          <w:tcPr>
            <w:tcW w:w="1270" w:type="dxa"/>
          </w:tcPr>
          <w:p>
            <w:pPr>
              <w:pStyle w:val="TableParagraph"/>
              <w:ind w:left="77"/>
              <w:rPr>
                <w:sz w:val="18"/>
              </w:rPr>
            </w:pPr>
            <w:r>
              <w:rPr>
                <w:color w:val="231F20"/>
                <w:sz w:val="18"/>
              </w:rPr>
              <w:t>5.1</w:t>
            </w:r>
          </w:p>
        </w:tc>
      </w:tr>
      <w:tr>
        <w:trPr>
          <w:trHeight w:val="340" w:hRule="exact"/>
        </w:trPr>
        <w:tc>
          <w:tcPr>
            <w:tcW w:w="4910" w:type="dxa"/>
          </w:tcPr>
          <w:p>
            <w:pPr>
              <w:pStyle w:val="TableParagraph"/>
              <w:ind w:left="77"/>
              <w:rPr>
                <w:sz w:val="18"/>
              </w:rPr>
            </w:pPr>
            <w:r>
              <w:rPr>
                <w:color w:val="231F20"/>
                <w:w w:val="105"/>
                <w:sz w:val="18"/>
              </w:rPr>
              <w:t>Enfermedad familiar acá, padres, esposa, propia</w:t>
            </w:r>
          </w:p>
        </w:tc>
        <w:tc>
          <w:tcPr>
            <w:tcW w:w="1270" w:type="dxa"/>
          </w:tcPr>
          <w:p>
            <w:pPr>
              <w:pStyle w:val="TableParagraph"/>
              <w:ind w:left="77"/>
              <w:rPr>
                <w:sz w:val="18"/>
              </w:rPr>
            </w:pPr>
            <w:r>
              <w:rPr>
                <w:color w:val="231F20"/>
                <w:sz w:val="18"/>
              </w:rPr>
              <w:t>4.4</w:t>
            </w:r>
          </w:p>
        </w:tc>
      </w:tr>
      <w:tr>
        <w:trPr>
          <w:trHeight w:val="340" w:hRule="exact"/>
        </w:trPr>
        <w:tc>
          <w:tcPr>
            <w:tcW w:w="4910" w:type="dxa"/>
          </w:tcPr>
          <w:p>
            <w:pPr>
              <w:pStyle w:val="TableParagraph"/>
              <w:ind w:left="77"/>
              <w:rPr>
                <w:sz w:val="18"/>
              </w:rPr>
            </w:pPr>
            <w:r>
              <w:rPr>
                <w:color w:val="231F20"/>
                <w:w w:val="105"/>
                <w:sz w:val="18"/>
              </w:rPr>
              <w:t>Ya tenía mucho tiempo allá</w:t>
            </w:r>
          </w:p>
        </w:tc>
        <w:tc>
          <w:tcPr>
            <w:tcW w:w="1270" w:type="dxa"/>
          </w:tcPr>
          <w:p>
            <w:pPr>
              <w:pStyle w:val="TableParagraph"/>
              <w:ind w:left="77"/>
              <w:rPr>
                <w:sz w:val="18"/>
              </w:rPr>
            </w:pPr>
            <w:r>
              <w:rPr>
                <w:color w:val="231F20"/>
                <w:sz w:val="18"/>
              </w:rPr>
              <w:t>2.9</w:t>
            </w:r>
          </w:p>
        </w:tc>
      </w:tr>
      <w:tr>
        <w:trPr>
          <w:trHeight w:val="340" w:hRule="exact"/>
        </w:trPr>
        <w:tc>
          <w:tcPr>
            <w:tcW w:w="4910" w:type="dxa"/>
          </w:tcPr>
          <w:p>
            <w:pPr>
              <w:pStyle w:val="TableParagraph"/>
              <w:ind w:left="77"/>
              <w:rPr>
                <w:sz w:val="18"/>
              </w:rPr>
            </w:pPr>
            <w:r>
              <w:rPr>
                <w:color w:val="231F20"/>
                <w:w w:val="105"/>
                <w:sz w:val="18"/>
              </w:rPr>
              <w:t>Atender negocio, empezar algo acá</w:t>
            </w:r>
          </w:p>
        </w:tc>
        <w:tc>
          <w:tcPr>
            <w:tcW w:w="1270" w:type="dxa"/>
          </w:tcPr>
          <w:p>
            <w:pPr>
              <w:pStyle w:val="TableParagraph"/>
              <w:ind w:left="77"/>
              <w:rPr>
                <w:sz w:val="18"/>
              </w:rPr>
            </w:pPr>
            <w:r>
              <w:rPr>
                <w:color w:val="231F20"/>
                <w:sz w:val="18"/>
              </w:rPr>
              <w:t>2.2</w:t>
            </w:r>
          </w:p>
        </w:tc>
      </w:tr>
      <w:tr>
        <w:trPr>
          <w:trHeight w:val="340" w:hRule="exact"/>
        </w:trPr>
        <w:tc>
          <w:tcPr>
            <w:tcW w:w="4910" w:type="dxa"/>
          </w:tcPr>
          <w:p>
            <w:pPr>
              <w:pStyle w:val="TableParagraph"/>
              <w:ind w:left="77"/>
              <w:rPr>
                <w:sz w:val="18"/>
              </w:rPr>
            </w:pPr>
            <w:r>
              <w:rPr>
                <w:color w:val="231F20"/>
                <w:sz w:val="18"/>
              </w:rPr>
              <w:t>Enfermedad, problemas familiares, trabajo, esposa</w:t>
            </w:r>
          </w:p>
        </w:tc>
        <w:tc>
          <w:tcPr>
            <w:tcW w:w="1270" w:type="dxa"/>
          </w:tcPr>
          <w:p>
            <w:pPr>
              <w:pStyle w:val="TableParagraph"/>
              <w:ind w:left="77"/>
              <w:rPr>
                <w:sz w:val="18"/>
              </w:rPr>
            </w:pPr>
            <w:r>
              <w:rPr>
                <w:color w:val="231F20"/>
                <w:sz w:val="18"/>
              </w:rPr>
              <w:t>3.0</w:t>
            </w:r>
          </w:p>
        </w:tc>
      </w:tr>
      <w:tr>
        <w:trPr>
          <w:trHeight w:val="340" w:hRule="exact"/>
        </w:trPr>
        <w:tc>
          <w:tcPr>
            <w:tcW w:w="4910" w:type="dxa"/>
          </w:tcPr>
          <w:p>
            <w:pPr>
              <w:pStyle w:val="TableParagraph"/>
              <w:ind w:left="77"/>
              <w:rPr>
                <w:sz w:val="18"/>
              </w:rPr>
            </w:pPr>
            <w:r>
              <w:rPr>
                <w:color w:val="231F20"/>
                <w:w w:val="105"/>
                <w:sz w:val="18"/>
              </w:rPr>
              <w:t>Otros*</w:t>
            </w:r>
          </w:p>
        </w:tc>
        <w:tc>
          <w:tcPr>
            <w:tcW w:w="1270" w:type="dxa"/>
          </w:tcPr>
          <w:p>
            <w:pPr>
              <w:pStyle w:val="TableParagraph"/>
              <w:ind w:left="77"/>
              <w:rPr>
                <w:sz w:val="18"/>
              </w:rPr>
            </w:pPr>
            <w:r>
              <w:rPr>
                <w:color w:val="231F20"/>
                <w:sz w:val="18"/>
              </w:rPr>
              <w:t>1.4</w:t>
            </w:r>
          </w:p>
        </w:tc>
      </w:tr>
    </w:tbl>
    <w:p>
      <w:pPr>
        <w:spacing w:before="78"/>
        <w:ind w:left="2092" w:right="0" w:firstLine="0"/>
        <w:jc w:val="left"/>
        <w:rPr>
          <w:sz w:val="16"/>
        </w:rPr>
      </w:pPr>
      <w:r>
        <w:rPr>
          <w:color w:val="231F20"/>
          <w:w w:val="105"/>
          <w:sz w:val="16"/>
        </w:rPr>
        <w:t>Fuente: elaboración propia.</w:t>
      </w:r>
    </w:p>
    <w:p>
      <w:pPr>
        <w:spacing w:before="11"/>
        <w:ind w:left="2092" w:right="0" w:firstLine="0"/>
        <w:jc w:val="left"/>
        <w:rPr>
          <w:sz w:val="16"/>
        </w:rPr>
      </w:pPr>
      <w:r>
        <w:rPr>
          <w:color w:val="231F20"/>
          <w:w w:val="105"/>
          <w:sz w:val="16"/>
        </w:rPr>
        <w:t>*Incluye venir a casarse, una boda familiar, seguir estudiando.</w:t>
      </w:r>
    </w:p>
    <w:p>
      <w:pPr>
        <w:pStyle w:val="BodyText"/>
        <w:rPr>
          <w:sz w:val="16"/>
        </w:rPr>
      </w:pPr>
    </w:p>
    <w:p>
      <w:pPr>
        <w:pStyle w:val="BodyText"/>
        <w:spacing w:line="261" w:lineRule="auto" w:before="111"/>
        <w:ind w:left="1723" w:right="1834"/>
        <w:jc w:val="both"/>
      </w:pPr>
      <w:r>
        <w:rPr>
          <w:color w:val="231F20"/>
          <w:spacing w:val="-10"/>
          <w:w w:val="105"/>
        </w:rPr>
        <w:t>Ya </w:t>
      </w:r>
      <w:r>
        <w:rPr>
          <w:color w:val="231F20"/>
          <w:w w:val="105"/>
        </w:rPr>
        <w:t>en la entidad los migrantes han tenido que buscar su reinserción productiva y familiar. En lo productivo, han echado mano de los cono- cimientos</w:t>
      </w:r>
      <w:r>
        <w:rPr>
          <w:color w:val="231F20"/>
          <w:spacing w:val="-10"/>
          <w:w w:val="105"/>
        </w:rPr>
        <w:t> </w:t>
      </w:r>
      <w:r>
        <w:rPr>
          <w:color w:val="231F20"/>
          <w:w w:val="105"/>
        </w:rPr>
        <w:t>laborales</w:t>
      </w:r>
      <w:r>
        <w:rPr>
          <w:color w:val="231F20"/>
          <w:spacing w:val="-10"/>
          <w:w w:val="105"/>
        </w:rPr>
        <w:t> </w:t>
      </w:r>
      <w:r>
        <w:rPr>
          <w:color w:val="231F20"/>
          <w:w w:val="105"/>
        </w:rPr>
        <w:t>que</w:t>
      </w:r>
      <w:r>
        <w:rPr>
          <w:color w:val="231F20"/>
          <w:spacing w:val="-10"/>
          <w:w w:val="105"/>
        </w:rPr>
        <w:t> </w:t>
      </w:r>
      <w:r>
        <w:rPr>
          <w:color w:val="231F20"/>
          <w:w w:val="105"/>
        </w:rPr>
        <w:t>trajeron,</w:t>
      </w:r>
      <w:r>
        <w:rPr>
          <w:color w:val="231F20"/>
          <w:spacing w:val="-15"/>
          <w:w w:val="105"/>
        </w:rPr>
        <w:t> </w:t>
      </w:r>
      <w:r>
        <w:rPr>
          <w:color w:val="231F20"/>
          <w:w w:val="105"/>
        </w:rPr>
        <w:t>de</w:t>
      </w:r>
      <w:r>
        <w:rPr>
          <w:color w:val="231F20"/>
          <w:spacing w:val="-10"/>
          <w:w w:val="105"/>
        </w:rPr>
        <w:t> </w:t>
      </w:r>
      <w:r>
        <w:rPr>
          <w:color w:val="231F20"/>
          <w:w w:val="105"/>
        </w:rPr>
        <w:t>sus</w:t>
      </w:r>
      <w:r>
        <w:rPr>
          <w:color w:val="231F20"/>
          <w:spacing w:val="-10"/>
          <w:w w:val="105"/>
        </w:rPr>
        <w:t> </w:t>
      </w:r>
      <w:r>
        <w:rPr>
          <w:color w:val="231F20"/>
          <w:w w:val="105"/>
        </w:rPr>
        <w:t>ahorros</w:t>
      </w:r>
      <w:r>
        <w:rPr>
          <w:color w:val="231F20"/>
          <w:spacing w:val="-10"/>
          <w:w w:val="105"/>
        </w:rPr>
        <w:t> </w:t>
      </w:r>
      <w:r>
        <w:rPr>
          <w:color w:val="231F20"/>
          <w:w w:val="105"/>
        </w:rPr>
        <w:t>y</w:t>
      </w:r>
      <w:r>
        <w:rPr>
          <w:color w:val="231F20"/>
          <w:spacing w:val="-10"/>
          <w:w w:val="105"/>
        </w:rPr>
        <w:t> </w:t>
      </w:r>
      <w:r>
        <w:rPr>
          <w:color w:val="231F20"/>
          <w:w w:val="105"/>
        </w:rPr>
        <w:t>diversos</w:t>
      </w:r>
      <w:r>
        <w:rPr>
          <w:color w:val="231F20"/>
          <w:spacing w:val="-10"/>
          <w:w w:val="105"/>
        </w:rPr>
        <w:t> </w:t>
      </w:r>
      <w:r>
        <w:rPr>
          <w:color w:val="231F20"/>
          <w:w w:val="105"/>
        </w:rPr>
        <w:t>activos.</w:t>
      </w:r>
      <w:r>
        <w:rPr>
          <w:color w:val="231F20"/>
          <w:spacing w:val="-15"/>
          <w:w w:val="105"/>
        </w:rPr>
        <w:t> </w:t>
      </w:r>
      <w:r>
        <w:rPr>
          <w:color w:val="231F20"/>
          <w:w w:val="105"/>
        </w:rPr>
        <w:t>Con excepción</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retornado</w:t>
      </w:r>
      <w:r>
        <w:rPr>
          <w:color w:val="231F20"/>
          <w:spacing w:val="-10"/>
          <w:w w:val="105"/>
        </w:rPr>
        <w:t> </w:t>
      </w:r>
      <w:r>
        <w:rPr>
          <w:color w:val="231F20"/>
          <w:w w:val="105"/>
        </w:rPr>
        <w:t>que</w:t>
      </w:r>
      <w:r>
        <w:rPr>
          <w:color w:val="231F20"/>
          <w:spacing w:val="-10"/>
          <w:w w:val="105"/>
        </w:rPr>
        <w:t> </w:t>
      </w:r>
      <w:r>
        <w:rPr>
          <w:color w:val="231F20"/>
          <w:w w:val="105"/>
        </w:rPr>
        <w:t>no</w:t>
      </w:r>
      <w:r>
        <w:rPr>
          <w:color w:val="231F20"/>
          <w:spacing w:val="-10"/>
          <w:w w:val="105"/>
        </w:rPr>
        <w:t> </w:t>
      </w:r>
      <w:r>
        <w:rPr>
          <w:color w:val="231F20"/>
          <w:w w:val="105"/>
        </w:rPr>
        <w:t>laboró</w:t>
      </w:r>
      <w:r>
        <w:rPr>
          <w:color w:val="231F20"/>
          <w:spacing w:val="-10"/>
          <w:w w:val="105"/>
        </w:rPr>
        <w:t> </w:t>
      </w:r>
      <w:r>
        <w:rPr>
          <w:color w:val="231F20"/>
          <w:w w:val="105"/>
        </w:rPr>
        <w:t>en</w:t>
      </w:r>
      <w:r>
        <w:rPr>
          <w:color w:val="231F20"/>
          <w:spacing w:val="-15"/>
          <w:w w:val="105"/>
        </w:rPr>
        <w:t> </w:t>
      </w:r>
      <w:r>
        <w:rPr>
          <w:color w:val="231F20"/>
          <w:spacing w:val="-4"/>
          <w:w w:val="105"/>
        </w:rPr>
        <w:t>Texas,</w:t>
      </w:r>
      <w:r>
        <w:rPr>
          <w:color w:val="231F20"/>
          <w:spacing w:val="-16"/>
          <w:w w:val="105"/>
        </w:rPr>
        <w:t> </w:t>
      </w:r>
      <w:r>
        <w:rPr>
          <w:color w:val="231F20"/>
          <w:w w:val="105"/>
        </w:rPr>
        <w:t>todos</w:t>
      </w:r>
      <w:r>
        <w:rPr>
          <w:color w:val="231F20"/>
          <w:spacing w:val="-10"/>
          <w:w w:val="105"/>
        </w:rPr>
        <w:t> </w:t>
      </w:r>
      <w:r>
        <w:rPr>
          <w:color w:val="231F20"/>
          <w:w w:val="105"/>
        </w:rPr>
        <w:t>trajeron</w:t>
      </w:r>
      <w:r>
        <w:rPr>
          <w:color w:val="231F20"/>
          <w:spacing w:val="-10"/>
          <w:w w:val="105"/>
        </w:rPr>
        <w:t> </w:t>
      </w:r>
      <w:r>
        <w:rPr>
          <w:color w:val="231F20"/>
          <w:w w:val="105"/>
        </w:rPr>
        <w:t>cono- cimientos</w:t>
      </w:r>
      <w:r>
        <w:rPr>
          <w:color w:val="231F20"/>
          <w:spacing w:val="-5"/>
          <w:w w:val="105"/>
        </w:rPr>
        <w:t> </w:t>
      </w:r>
      <w:r>
        <w:rPr>
          <w:color w:val="231F20"/>
          <w:w w:val="105"/>
        </w:rPr>
        <w:t>laborales,</w:t>
      </w:r>
      <w:r>
        <w:rPr>
          <w:color w:val="231F20"/>
          <w:spacing w:val="-11"/>
          <w:w w:val="105"/>
        </w:rPr>
        <w:t> </w:t>
      </w:r>
      <w:r>
        <w:rPr>
          <w:color w:val="231F20"/>
          <w:w w:val="105"/>
        </w:rPr>
        <w:t>de</w:t>
      </w:r>
      <w:r>
        <w:rPr>
          <w:color w:val="231F20"/>
          <w:spacing w:val="-5"/>
          <w:w w:val="105"/>
        </w:rPr>
        <w:t> </w:t>
      </w:r>
      <w:r>
        <w:rPr>
          <w:color w:val="231F20"/>
          <w:w w:val="105"/>
        </w:rPr>
        <w:t>hecho,</w:t>
      </w:r>
      <w:r>
        <w:rPr>
          <w:color w:val="231F20"/>
          <w:spacing w:val="-11"/>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migración</w:t>
      </w:r>
      <w:r>
        <w:rPr>
          <w:color w:val="231F20"/>
          <w:spacing w:val="-5"/>
          <w:w w:val="105"/>
        </w:rPr>
        <w:t> </w:t>
      </w:r>
      <w:r>
        <w:rPr>
          <w:color w:val="231F20"/>
          <w:w w:val="105"/>
        </w:rPr>
        <w:t>la</w:t>
      </w:r>
      <w:r>
        <w:rPr>
          <w:color w:val="231F20"/>
          <w:spacing w:val="-5"/>
          <w:w w:val="105"/>
        </w:rPr>
        <w:t> </w:t>
      </w:r>
      <w:r>
        <w:rPr>
          <w:color w:val="231F20"/>
          <w:w w:val="105"/>
        </w:rPr>
        <w:t>entidad</w:t>
      </w:r>
      <w:r>
        <w:rPr>
          <w:color w:val="231F20"/>
          <w:spacing w:val="-5"/>
          <w:w w:val="105"/>
        </w:rPr>
        <w:t> </w:t>
      </w:r>
      <w:r>
        <w:rPr>
          <w:color w:val="231F20"/>
          <w:w w:val="105"/>
        </w:rPr>
        <w:t>ganó</w:t>
      </w:r>
      <w:r>
        <w:rPr>
          <w:color w:val="231F20"/>
          <w:spacing w:val="-5"/>
          <w:w w:val="105"/>
        </w:rPr>
        <w:t> </w:t>
      </w:r>
      <w:r>
        <w:rPr>
          <w:color w:val="231F20"/>
          <w:w w:val="105"/>
        </w:rPr>
        <w:t>conoci- mientos</w:t>
      </w:r>
      <w:r>
        <w:rPr>
          <w:color w:val="231F20"/>
          <w:spacing w:val="-36"/>
          <w:w w:val="105"/>
        </w:rPr>
        <w:t> </w:t>
      </w:r>
      <w:r>
        <w:rPr>
          <w:color w:val="231F20"/>
          <w:w w:val="105"/>
        </w:rPr>
        <w:t>calificados</w:t>
      </w:r>
      <w:r>
        <w:rPr>
          <w:color w:val="231F20"/>
          <w:spacing w:val="-36"/>
          <w:w w:val="105"/>
        </w:rPr>
        <w:t> </w:t>
      </w:r>
      <w:r>
        <w:rPr>
          <w:color w:val="231F20"/>
          <w:w w:val="105"/>
        </w:rPr>
        <w:t>en</w:t>
      </w:r>
      <w:r>
        <w:rPr>
          <w:color w:val="231F20"/>
          <w:spacing w:val="-36"/>
          <w:w w:val="105"/>
        </w:rPr>
        <w:t> </w:t>
      </w:r>
      <w:r>
        <w:rPr>
          <w:color w:val="231F20"/>
          <w:w w:val="105"/>
        </w:rPr>
        <w:t>diversas</w:t>
      </w:r>
      <w:r>
        <w:rPr>
          <w:color w:val="231F20"/>
          <w:spacing w:val="-36"/>
          <w:w w:val="105"/>
        </w:rPr>
        <w:t> </w:t>
      </w:r>
      <w:r>
        <w:rPr>
          <w:color w:val="231F20"/>
          <w:w w:val="105"/>
        </w:rPr>
        <w:t>áreas</w:t>
      </w:r>
      <w:r>
        <w:rPr>
          <w:color w:val="231F20"/>
          <w:spacing w:val="-36"/>
          <w:w w:val="105"/>
        </w:rPr>
        <w:t> </w:t>
      </w:r>
      <w:r>
        <w:rPr>
          <w:color w:val="231F20"/>
          <w:w w:val="105"/>
        </w:rPr>
        <w:t>laborales.</w:t>
      </w:r>
    </w:p>
    <w:p>
      <w:pPr>
        <w:pStyle w:val="BodyText"/>
        <w:spacing w:line="261" w:lineRule="auto" w:before="1"/>
        <w:ind w:left="1723" w:right="1835" w:firstLine="567"/>
        <w:jc w:val="both"/>
      </w:pPr>
      <w:r>
        <w:rPr>
          <w:color w:val="231F20"/>
          <w:w w:val="105"/>
        </w:rPr>
        <w:t>¿En qué han empleado estos conocimientos? Como puede apre- ciarse</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cuadro</w:t>
      </w:r>
      <w:r>
        <w:rPr>
          <w:color w:val="231F20"/>
          <w:spacing w:val="-19"/>
          <w:w w:val="105"/>
        </w:rPr>
        <w:t> </w:t>
      </w:r>
      <w:r>
        <w:rPr>
          <w:color w:val="231F20"/>
          <w:w w:val="105"/>
        </w:rPr>
        <w:t>7,</w:t>
      </w:r>
      <w:r>
        <w:rPr>
          <w:color w:val="231F20"/>
          <w:spacing w:val="-24"/>
          <w:w w:val="105"/>
        </w:rPr>
        <w:t> </w:t>
      </w:r>
      <w:r>
        <w:rPr>
          <w:color w:val="231F20"/>
          <w:w w:val="105"/>
        </w:rPr>
        <w:t>casi</w:t>
      </w:r>
      <w:r>
        <w:rPr>
          <w:color w:val="231F20"/>
          <w:spacing w:val="-19"/>
          <w:w w:val="105"/>
        </w:rPr>
        <w:t> </w:t>
      </w:r>
      <w:r>
        <w:rPr>
          <w:color w:val="231F20"/>
          <w:w w:val="105"/>
        </w:rPr>
        <w:t>uno</w:t>
      </w:r>
      <w:r>
        <w:rPr>
          <w:color w:val="231F20"/>
          <w:spacing w:val="-19"/>
          <w:w w:val="105"/>
        </w:rPr>
        <w:t> </w:t>
      </w:r>
      <w:r>
        <w:rPr>
          <w:color w:val="231F20"/>
          <w:w w:val="105"/>
        </w:rPr>
        <w:t>de</w:t>
      </w:r>
      <w:r>
        <w:rPr>
          <w:color w:val="231F20"/>
          <w:spacing w:val="-19"/>
          <w:w w:val="105"/>
        </w:rPr>
        <w:t> </w:t>
      </w:r>
      <w:r>
        <w:rPr>
          <w:color w:val="231F20"/>
          <w:w w:val="105"/>
        </w:rPr>
        <w:t>cada</w:t>
      </w:r>
      <w:r>
        <w:rPr>
          <w:color w:val="231F20"/>
          <w:spacing w:val="-19"/>
          <w:w w:val="105"/>
        </w:rPr>
        <w:t> </w:t>
      </w:r>
      <w:r>
        <w:rPr>
          <w:color w:val="231F20"/>
          <w:w w:val="105"/>
        </w:rPr>
        <w:t>cinco</w:t>
      </w:r>
      <w:r>
        <w:rPr>
          <w:color w:val="231F20"/>
          <w:spacing w:val="-19"/>
          <w:w w:val="105"/>
        </w:rPr>
        <w:t> </w:t>
      </w:r>
      <w:r>
        <w:rPr>
          <w:color w:val="231F20"/>
          <w:w w:val="105"/>
        </w:rPr>
        <w:t>retornados</w:t>
      </w:r>
      <w:r>
        <w:rPr>
          <w:color w:val="231F20"/>
          <w:spacing w:val="-19"/>
          <w:w w:val="105"/>
        </w:rPr>
        <w:t> </w:t>
      </w:r>
      <w:r>
        <w:rPr>
          <w:color w:val="231F20"/>
          <w:w w:val="105"/>
        </w:rPr>
        <w:t>no</w:t>
      </w:r>
      <w:r>
        <w:rPr>
          <w:color w:val="231F20"/>
          <w:spacing w:val="-19"/>
          <w:w w:val="105"/>
        </w:rPr>
        <w:t> </w:t>
      </w:r>
      <w:r>
        <w:rPr>
          <w:color w:val="231F20"/>
          <w:w w:val="105"/>
        </w:rPr>
        <w:t>han</w:t>
      </w:r>
      <w:r>
        <w:rPr>
          <w:color w:val="231F20"/>
          <w:spacing w:val="-19"/>
          <w:w w:val="105"/>
        </w:rPr>
        <w:t> </w:t>
      </w:r>
      <w:r>
        <w:rPr>
          <w:color w:val="231F20"/>
          <w:w w:val="105"/>
        </w:rPr>
        <w:t>laborado en</w:t>
      </w:r>
      <w:r>
        <w:rPr>
          <w:color w:val="231F20"/>
          <w:spacing w:val="-9"/>
          <w:w w:val="105"/>
        </w:rPr>
        <w:t> </w:t>
      </w:r>
      <w:r>
        <w:rPr>
          <w:color w:val="231F20"/>
          <w:w w:val="105"/>
        </w:rPr>
        <w:t>algo</w:t>
      </w:r>
      <w:r>
        <w:rPr>
          <w:color w:val="231F20"/>
          <w:spacing w:val="-9"/>
          <w:w w:val="105"/>
        </w:rPr>
        <w:t> </w:t>
      </w:r>
      <w:r>
        <w:rPr>
          <w:color w:val="231F20"/>
          <w:w w:val="105"/>
        </w:rPr>
        <w:t>estable</w:t>
      </w:r>
      <w:r>
        <w:rPr>
          <w:color w:val="231F20"/>
          <w:spacing w:val="-9"/>
          <w:w w:val="105"/>
        </w:rPr>
        <w:t> </w:t>
      </w:r>
      <w:r>
        <w:rPr>
          <w:color w:val="231F20"/>
          <w:w w:val="105"/>
        </w:rPr>
        <w:t>desde</w:t>
      </w:r>
      <w:r>
        <w:rPr>
          <w:color w:val="231F20"/>
          <w:spacing w:val="-9"/>
          <w:w w:val="105"/>
        </w:rPr>
        <w:t> </w:t>
      </w:r>
      <w:r>
        <w:rPr>
          <w:color w:val="231F20"/>
          <w:w w:val="105"/>
        </w:rPr>
        <w:t>su</w:t>
      </w:r>
      <w:r>
        <w:rPr>
          <w:color w:val="231F20"/>
          <w:spacing w:val="-9"/>
          <w:w w:val="105"/>
        </w:rPr>
        <w:t> </w:t>
      </w:r>
      <w:r>
        <w:rPr>
          <w:color w:val="231F20"/>
          <w:w w:val="105"/>
        </w:rPr>
        <w:t>retorno</w:t>
      </w:r>
      <w:r>
        <w:rPr>
          <w:color w:val="231F20"/>
          <w:spacing w:val="-9"/>
          <w:w w:val="105"/>
        </w:rPr>
        <w:t> </w:t>
      </w:r>
      <w:r>
        <w:rPr>
          <w:color w:val="231F20"/>
          <w:w w:val="105"/>
        </w:rPr>
        <w:t>(18.8%),</w:t>
      </w:r>
      <w:r>
        <w:rPr>
          <w:color w:val="231F20"/>
          <w:spacing w:val="-14"/>
          <w:w w:val="105"/>
        </w:rPr>
        <w:t> </w:t>
      </w:r>
      <w:r>
        <w:rPr>
          <w:color w:val="231F20"/>
          <w:w w:val="105"/>
        </w:rPr>
        <w:t>han</w:t>
      </w:r>
      <w:r>
        <w:rPr>
          <w:color w:val="231F20"/>
          <w:spacing w:val="-9"/>
          <w:w w:val="105"/>
        </w:rPr>
        <w:t> </w:t>
      </w:r>
      <w:r>
        <w:rPr>
          <w:color w:val="231F20"/>
          <w:w w:val="105"/>
        </w:rPr>
        <w:t>arreglado</w:t>
      </w:r>
      <w:r>
        <w:rPr>
          <w:color w:val="231F20"/>
          <w:spacing w:val="-9"/>
          <w:w w:val="105"/>
        </w:rPr>
        <w:t> </w:t>
      </w:r>
      <w:r>
        <w:rPr>
          <w:color w:val="231F20"/>
          <w:w w:val="105"/>
        </w:rPr>
        <w:t>sus</w:t>
      </w:r>
      <w:r>
        <w:rPr>
          <w:color w:val="231F20"/>
          <w:spacing w:val="-9"/>
          <w:w w:val="105"/>
        </w:rPr>
        <w:t> </w:t>
      </w:r>
      <w:r>
        <w:rPr>
          <w:color w:val="231F20"/>
          <w:w w:val="105"/>
        </w:rPr>
        <w:t>casas,</w:t>
      </w:r>
      <w:r>
        <w:rPr>
          <w:color w:val="231F20"/>
          <w:spacing w:val="-14"/>
          <w:w w:val="105"/>
        </w:rPr>
        <w:t> </w:t>
      </w:r>
      <w:r>
        <w:rPr>
          <w:color w:val="231F20"/>
          <w:w w:val="105"/>
        </w:rPr>
        <w:t>son amas de casa, estudiantes, pensionados y algunos no tienen empleo; todos los demás han trabajado en algo: 35% de retornados atienden sus</w:t>
      </w:r>
      <w:r>
        <w:rPr>
          <w:color w:val="231F20"/>
          <w:spacing w:val="-6"/>
          <w:w w:val="105"/>
        </w:rPr>
        <w:t> </w:t>
      </w:r>
      <w:r>
        <w:rPr>
          <w:color w:val="231F20"/>
          <w:w w:val="105"/>
        </w:rPr>
        <w:t>negocios</w:t>
      </w:r>
      <w:r>
        <w:rPr>
          <w:color w:val="231F20"/>
          <w:spacing w:val="-6"/>
          <w:w w:val="105"/>
        </w:rPr>
        <w:t> </w:t>
      </w:r>
      <w:r>
        <w:rPr>
          <w:color w:val="231F20"/>
          <w:w w:val="105"/>
        </w:rPr>
        <w:t>propios,</w:t>
      </w:r>
      <w:r>
        <w:rPr>
          <w:color w:val="231F20"/>
          <w:spacing w:val="-11"/>
          <w:w w:val="105"/>
        </w:rPr>
        <w:t> </w:t>
      </w:r>
      <w:r>
        <w:rPr>
          <w:color w:val="231F20"/>
          <w:w w:val="105"/>
        </w:rPr>
        <w:t>en</w:t>
      </w:r>
      <w:r>
        <w:rPr>
          <w:color w:val="231F20"/>
          <w:spacing w:val="-6"/>
          <w:w w:val="105"/>
        </w:rPr>
        <w:t> </w:t>
      </w:r>
      <w:r>
        <w:rPr>
          <w:color w:val="231F20"/>
          <w:w w:val="105"/>
        </w:rPr>
        <w:t>actividades</w:t>
      </w:r>
      <w:r>
        <w:rPr>
          <w:color w:val="231F20"/>
          <w:spacing w:val="-6"/>
          <w:w w:val="105"/>
        </w:rPr>
        <w:t> </w:t>
      </w:r>
      <w:r>
        <w:rPr>
          <w:color w:val="231F20"/>
          <w:w w:val="105"/>
        </w:rPr>
        <w:t>asalariadas</w:t>
      </w:r>
      <w:r>
        <w:rPr>
          <w:color w:val="231F20"/>
          <w:spacing w:val="-6"/>
          <w:w w:val="105"/>
        </w:rPr>
        <w:t> </w:t>
      </w:r>
      <w:r>
        <w:rPr>
          <w:color w:val="231F20"/>
          <w:w w:val="105"/>
        </w:rPr>
        <w:t>se</w:t>
      </w:r>
      <w:r>
        <w:rPr>
          <w:color w:val="231F20"/>
          <w:spacing w:val="-6"/>
          <w:w w:val="105"/>
        </w:rPr>
        <w:t> </w:t>
      </w:r>
      <w:r>
        <w:rPr>
          <w:color w:val="231F20"/>
          <w:w w:val="105"/>
        </w:rPr>
        <w:t>ha</w:t>
      </w:r>
      <w:r>
        <w:rPr>
          <w:color w:val="231F20"/>
          <w:spacing w:val="-6"/>
          <w:w w:val="105"/>
        </w:rPr>
        <w:t> </w:t>
      </w:r>
      <w:r>
        <w:rPr>
          <w:color w:val="231F20"/>
          <w:w w:val="105"/>
        </w:rPr>
        <w:t>ocupado</w:t>
      </w:r>
      <w:r>
        <w:rPr>
          <w:color w:val="231F20"/>
          <w:spacing w:val="-6"/>
          <w:w w:val="105"/>
        </w:rPr>
        <w:t> </w:t>
      </w:r>
      <w:r>
        <w:rPr>
          <w:color w:val="231F20"/>
          <w:w w:val="105"/>
        </w:rPr>
        <w:t>26.3% de ellos, como trabajadores independientes ha laborado otro 15%, el 5%</w:t>
      </w:r>
      <w:r>
        <w:rPr>
          <w:color w:val="231F20"/>
          <w:spacing w:val="-6"/>
          <w:w w:val="105"/>
        </w:rPr>
        <w:t> </w:t>
      </w:r>
      <w:r>
        <w:rPr>
          <w:color w:val="231F20"/>
          <w:w w:val="105"/>
        </w:rPr>
        <w:t>restante</w:t>
      </w:r>
      <w:r>
        <w:rPr>
          <w:color w:val="231F20"/>
          <w:spacing w:val="-6"/>
          <w:w w:val="105"/>
        </w:rPr>
        <w:t> </w:t>
      </w:r>
      <w:r>
        <w:rPr>
          <w:color w:val="231F20"/>
          <w:w w:val="105"/>
        </w:rPr>
        <w:t>ejerce</w:t>
      </w:r>
      <w:r>
        <w:rPr>
          <w:color w:val="231F20"/>
          <w:spacing w:val="-6"/>
          <w:w w:val="105"/>
        </w:rPr>
        <w:t> </w:t>
      </w:r>
      <w:r>
        <w:rPr>
          <w:color w:val="231F20"/>
          <w:w w:val="105"/>
        </w:rPr>
        <w:t>sus</w:t>
      </w:r>
      <w:r>
        <w:rPr>
          <w:color w:val="231F20"/>
          <w:spacing w:val="-6"/>
          <w:w w:val="105"/>
        </w:rPr>
        <w:t> </w:t>
      </w:r>
      <w:r>
        <w:rPr>
          <w:color w:val="231F20"/>
          <w:w w:val="105"/>
        </w:rPr>
        <w:t>profesiones.</w:t>
      </w:r>
      <w:r>
        <w:rPr>
          <w:color w:val="231F20"/>
          <w:spacing w:val="-11"/>
          <w:w w:val="105"/>
        </w:rPr>
        <w:t> </w:t>
      </w:r>
      <w:r>
        <w:rPr>
          <w:color w:val="231F20"/>
          <w:w w:val="105"/>
        </w:rPr>
        <w:t>De</w:t>
      </w:r>
      <w:r>
        <w:rPr>
          <w:color w:val="231F20"/>
          <w:spacing w:val="-6"/>
          <w:w w:val="105"/>
        </w:rPr>
        <w:t> </w:t>
      </w:r>
      <w:r>
        <w:rPr>
          <w:color w:val="231F20"/>
          <w:w w:val="105"/>
        </w:rPr>
        <w:t>acuerdo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calificación</w:t>
      </w:r>
      <w:r>
        <w:rPr>
          <w:color w:val="231F20"/>
          <w:spacing w:val="-6"/>
          <w:w w:val="105"/>
        </w:rPr>
        <w:t> </w:t>
      </w:r>
      <w:r>
        <w:rPr>
          <w:color w:val="231F20"/>
          <w:w w:val="105"/>
        </w:rPr>
        <w:t>laboral de las actividades que realizan, resalta que sólo dos tercios de</w:t>
      </w:r>
      <w:r>
        <w:rPr>
          <w:color w:val="231F20"/>
          <w:spacing w:val="-36"/>
          <w:w w:val="105"/>
        </w:rPr>
        <w:t> </w:t>
      </w:r>
      <w:r>
        <w:rPr>
          <w:color w:val="231F20"/>
          <w:w w:val="105"/>
        </w:rPr>
        <w:t>quienes atienden</w:t>
      </w:r>
      <w:r>
        <w:rPr>
          <w:color w:val="231F20"/>
          <w:spacing w:val="-20"/>
          <w:w w:val="105"/>
        </w:rPr>
        <w:t> </w:t>
      </w:r>
      <w:r>
        <w:rPr>
          <w:color w:val="231F20"/>
          <w:w w:val="105"/>
        </w:rPr>
        <w:t>sus</w:t>
      </w:r>
      <w:r>
        <w:rPr>
          <w:color w:val="231F20"/>
          <w:spacing w:val="-20"/>
          <w:w w:val="105"/>
        </w:rPr>
        <w:t> </w:t>
      </w:r>
      <w:r>
        <w:rPr>
          <w:color w:val="231F20"/>
          <w:w w:val="105"/>
        </w:rPr>
        <w:t>negocios</w:t>
      </w:r>
      <w:r>
        <w:rPr>
          <w:color w:val="231F20"/>
          <w:spacing w:val="-20"/>
          <w:w w:val="105"/>
        </w:rPr>
        <w:t> </w:t>
      </w:r>
      <w:r>
        <w:rPr>
          <w:color w:val="231F20"/>
          <w:w w:val="105"/>
        </w:rPr>
        <w:t>(64.3%)</w:t>
      </w:r>
      <w:r>
        <w:rPr>
          <w:color w:val="231F20"/>
          <w:spacing w:val="-20"/>
          <w:w w:val="105"/>
        </w:rPr>
        <w:t> </w:t>
      </w:r>
      <w:r>
        <w:rPr>
          <w:color w:val="231F20"/>
          <w:w w:val="105"/>
        </w:rPr>
        <w:t>realizan</w:t>
      </w:r>
      <w:r>
        <w:rPr>
          <w:color w:val="231F20"/>
          <w:spacing w:val="-20"/>
          <w:w w:val="105"/>
        </w:rPr>
        <w:t> </w:t>
      </w:r>
      <w:r>
        <w:rPr>
          <w:color w:val="231F20"/>
          <w:w w:val="105"/>
        </w:rPr>
        <w:t>tareas</w:t>
      </w:r>
      <w:r>
        <w:rPr>
          <w:color w:val="231F20"/>
          <w:spacing w:val="-20"/>
          <w:w w:val="105"/>
        </w:rPr>
        <w:t> </w:t>
      </w:r>
      <w:r>
        <w:rPr>
          <w:color w:val="231F20"/>
          <w:w w:val="105"/>
        </w:rPr>
        <w:t>calificadas,</w:t>
      </w:r>
      <w:r>
        <w:rPr>
          <w:color w:val="231F20"/>
          <w:spacing w:val="-24"/>
          <w:w w:val="105"/>
        </w:rPr>
        <w:t> </w:t>
      </w:r>
      <w:r>
        <w:rPr>
          <w:color w:val="231F20"/>
          <w:w w:val="105"/>
        </w:rPr>
        <w:t>entre</w:t>
      </w:r>
      <w:r>
        <w:rPr>
          <w:color w:val="231F20"/>
          <w:spacing w:val="-20"/>
          <w:w w:val="105"/>
        </w:rPr>
        <w:t> </w:t>
      </w:r>
      <w:r>
        <w:rPr>
          <w:color w:val="231F20"/>
          <w:w w:val="105"/>
        </w:rPr>
        <w:t>quienes desempeñan</w:t>
      </w:r>
      <w:r>
        <w:rPr>
          <w:color w:val="231F20"/>
          <w:spacing w:val="-28"/>
          <w:w w:val="105"/>
        </w:rPr>
        <w:t> </w:t>
      </w:r>
      <w:r>
        <w:rPr>
          <w:color w:val="231F20"/>
          <w:w w:val="105"/>
        </w:rPr>
        <w:t>actividades</w:t>
      </w:r>
      <w:r>
        <w:rPr>
          <w:color w:val="231F20"/>
          <w:spacing w:val="-28"/>
          <w:w w:val="105"/>
        </w:rPr>
        <w:t> </w:t>
      </w:r>
      <w:r>
        <w:rPr>
          <w:color w:val="231F20"/>
          <w:w w:val="105"/>
        </w:rPr>
        <w:t>asalariadas</w:t>
      </w:r>
      <w:r>
        <w:rPr>
          <w:color w:val="231F20"/>
          <w:spacing w:val="-28"/>
          <w:w w:val="105"/>
        </w:rPr>
        <w:t> </w:t>
      </w:r>
      <w:r>
        <w:rPr>
          <w:color w:val="231F20"/>
          <w:w w:val="105"/>
        </w:rPr>
        <w:t>apenas</w:t>
      </w:r>
      <w:r>
        <w:rPr>
          <w:color w:val="231F20"/>
          <w:spacing w:val="-28"/>
          <w:w w:val="105"/>
        </w:rPr>
        <w:t> </w:t>
      </w:r>
      <w:r>
        <w:rPr>
          <w:color w:val="231F20"/>
          <w:w w:val="105"/>
        </w:rPr>
        <w:t>una</w:t>
      </w:r>
      <w:r>
        <w:rPr>
          <w:color w:val="231F20"/>
          <w:spacing w:val="-28"/>
          <w:w w:val="105"/>
        </w:rPr>
        <w:t> </w:t>
      </w:r>
      <w:r>
        <w:rPr>
          <w:color w:val="231F20"/>
          <w:w w:val="105"/>
        </w:rPr>
        <w:t>tercera</w:t>
      </w:r>
      <w:r>
        <w:rPr>
          <w:color w:val="231F20"/>
          <w:spacing w:val="-28"/>
          <w:w w:val="105"/>
        </w:rPr>
        <w:t> </w:t>
      </w:r>
      <w:r>
        <w:rPr>
          <w:color w:val="231F20"/>
          <w:w w:val="105"/>
        </w:rPr>
        <w:t>parte</w:t>
      </w:r>
      <w:r>
        <w:rPr>
          <w:color w:val="231F20"/>
          <w:spacing w:val="-28"/>
          <w:w w:val="105"/>
        </w:rPr>
        <w:t> </w:t>
      </w:r>
      <w:r>
        <w:rPr>
          <w:color w:val="231F20"/>
          <w:w w:val="105"/>
        </w:rPr>
        <w:t>son</w:t>
      </w:r>
      <w:r>
        <w:rPr>
          <w:color w:val="231F20"/>
          <w:spacing w:val="-28"/>
          <w:w w:val="105"/>
        </w:rPr>
        <w:t> </w:t>
      </w:r>
      <w:r>
        <w:rPr>
          <w:color w:val="231F20"/>
          <w:w w:val="105"/>
        </w:rPr>
        <w:t>califi- cadas,</w:t>
      </w:r>
      <w:r>
        <w:rPr>
          <w:color w:val="231F20"/>
          <w:spacing w:val="-24"/>
          <w:w w:val="105"/>
        </w:rPr>
        <w:t> </w:t>
      </w:r>
      <w:r>
        <w:rPr>
          <w:color w:val="231F20"/>
          <w:w w:val="105"/>
        </w:rPr>
        <w:t>casi</w:t>
      </w:r>
      <w:r>
        <w:rPr>
          <w:color w:val="231F20"/>
          <w:spacing w:val="-19"/>
          <w:w w:val="105"/>
        </w:rPr>
        <w:t> </w:t>
      </w:r>
      <w:r>
        <w:rPr>
          <w:color w:val="231F20"/>
          <w:w w:val="105"/>
        </w:rPr>
        <w:t>todos</w:t>
      </w:r>
      <w:r>
        <w:rPr>
          <w:color w:val="231F20"/>
          <w:spacing w:val="-19"/>
          <w:w w:val="105"/>
        </w:rPr>
        <w:t> </w:t>
      </w:r>
      <w:r>
        <w:rPr>
          <w:color w:val="231F20"/>
          <w:w w:val="105"/>
        </w:rPr>
        <w:t>los</w:t>
      </w:r>
      <w:r>
        <w:rPr>
          <w:color w:val="231F20"/>
          <w:spacing w:val="-19"/>
          <w:w w:val="105"/>
        </w:rPr>
        <w:t> </w:t>
      </w:r>
      <w:r>
        <w:rPr>
          <w:color w:val="231F20"/>
          <w:w w:val="105"/>
        </w:rPr>
        <w:t>trabajadores</w:t>
      </w:r>
      <w:r>
        <w:rPr>
          <w:color w:val="231F20"/>
          <w:spacing w:val="-19"/>
          <w:w w:val="105"/>
        </w:rPr>
        <w:t> </w:t>
      </w:r>
      <w:r>
        <w:rPr>
          <w:color w:val="231F20"/>
          <w:w w:val="105"/>
        </w:rPr>
        <w:t>en</w:t>
      </w:r>
      <w:r>
        <w:rPr>
          <w:color w:val="231F20"/>
          <w:spacing w:val="-19"/>
          <w:w w:val="105"/>
        </w:rPr>
        <w:t> </w:t>
      </w:r>
      <w:r>
        <w:rPr>
          <w:color w:val="231F20"/>
          <w:w w:val="105"/>
        </w:rPr>
        <w:t>oficios</w:t>
      </w:r>
      <w:r>
        <w:rPr>
          <w:color w:val="231F20"/>
          <w:spacing w:val="-19"/>
          <w:w w:val="105"/>
        </w:rPr>
        <w:t> </w:t>
      </w:r>
      <w:r>
        <w:rPr>
          <w:color w:val="231F20"/>
          <w:w w:val="105"/>
        </w:rPr>
        <w:t>independientes</w:t>
      </w:r>
      <w:r>
        <w:rPr>
          <w:color w:val="231F20"/>
          <w:spacing w:val="-19"/>
          <w:w w:val="105"/>
        </w:rPr>
        <w:t> </w:t>
      </w:r>
      <w:r>
        <w:rPr>
          <w:color w:val="231F20"/>
          <w:w w:val="105"/>
        </w:rPr>
        <w:t>hacen</w:t>
      </w:r>
      <w:r>
        <w:rPr>
          <w:color w:val="231F20"/>
          <w:spacing w:val="-19"/>
          <w:w w:val="105"/>
        </w:rPr>
        <w:t> </w:t>
      </w:r>
      <w:r>
        <w:rPr>
          <w:color w:val="231F20"/>
          <w:w w:val="105"/>
        </w:rPr>
        <w:t>labo- res</w:t>
      </w:r>
      <w:r>
        <w:rPr>
          <w:color w:val="231F20"/>
          <w:spacing w:val="-13"/>
          <w:w w:val="105"/>
        </w:rPr>
        <w:t> </w:t>
      </w:r>
      <w:r>
        <w:rPr>
          <w:color w:val="231F20"/>
          <w:w w:val="105"/>
        </w:rPr>
        <w:t>calificadas</w:t>
      </w:r>
      <w:r>
        <w:rPr>
          <w:color w:val="231F20"/>
          <w:spacing w:val="-13"/>
          <w:w w:val="105"/>
        </w:rPr>
        <w:t> </w:t>
      </w:r>
      <w:r>
        <w:rPr>
          <w:color w:val="231F20"/>
          <w:w w:val="105"/>
        </w:rPr>
        <w:t>(91.7%)</w:t>
      </w:r>
      <w:r>
        <w:rPr>
          <w:color w:val="231F20"/>
          <w:spacing w:val="-13"/>
          <w:w w:val="105"/>
        </w:rPr>
        <w:t> </w:t>
      </w:r>
      <w:r>
        <w:rPr>
          <w:color w:val="231F20"/>
          <w:w w:val="105"/>
        </w:rPr>
        <w:t>y</w:t>
      </w:r>
      <w:r>
        <w:rPr>
          <w:color w:val="231F20"/>
          <w:spacing w:val="-13"/>
          <w:w w:val="105"/>
        </w:rPr>
        <w:t> </w:t>
      </w:r>
      <w:r>
        <w:rPr>
          <w:color w:val="231F20"/>
          <w:w w:val="105"/>
        </w:rPr>
        <w:t>todos</w:t>
      </w:r>
      <w:r>
        <w:rPr>
          <w:color w:val="231F20"/>
          <w:spacing w:val="-13"/>
          <w:w w:val="105"/>
        </w:rPr>
        <w:t> </w:t>
      </w:r>
      <w:r>
        <w:rPr>
          <w:color w:val="231F20"/>
          <w:w w:val="105"/>
        </w:rPr>
        <w:t>los</w:t>
      </w:r>
      <w:r>
        <w:rPr>
          <w:color w:val="231F20"/>
          <w:spacing w:val="-13"/>
          <w:w w:val="105"/>
        </w:rPr>
        <w:t> </w:t>
      </w:r>
      <w:r>
        <w:rPr>
          <w:color w:val="231F20"/>
          <w:w w:val="105"/>
        </w:rPr>
        <w:t>que</w:t>
      </w:r>
      <w:r>
        <w:rPr>
          <w:color w:val="231F20"/>
          <w:spacing w:val="-13"/>
          <w:w w:val="105"/>
        </w:rPr>
        <w:t> </w:t>
      </w:r>
      <w:r>
        <w:rPr>
          <w:color w:val="231F20"/>
          <w:w w:val="105"/>
        </w:rPr>
        <w:t>ejercen</w:t>
      </w:r>
      <w:r>
        <w:rPr>
          <w:color w:val="231F20"/>
          <w:spacing w:val="-13"/>
          <w:w w:val="105"/>
        </w:rPr>
        <w:t> </w:t>
      </w:r>
      <w:r>
        <w:rPr>
          <w:color w:val="231F20"/>
          <w:w w:val="105"/>
        </w:rPr>
        <w:t>sus</w:t>
      </w:r>
      <w:r>
        <w:rPr>
          <w:color w:val="231F20"/>
          <w:spacing w:val="-13"/>
          <w:w w:val="105"/>
        </w:rPr>
        <w:t> </w:t>
      </w:r>
      <w:r>
        <w:rPr>
          <w:color w:val="231F20"/>
          <w:w w:val="105"/>
        </w:rPr>
        <w:t>profesiones</w:t>
      </w:r>
      <w:r>
        <w:rPr>
          <w:color w:val="231F20"/>
          <w:spacing w:val="-13"/>
          <w:w w:val="105"/>
        </w:rPr>
        <w:t> </w:t>
      </w:r>
      <w:r>
        <w:rPr>
          <w:color w:val="231F20"/>
          <w:w w:val="105"/>
        </w:rPr>
        <w:t>ejecutan </w:t>
      </w:r>
      <w:r>
        <w:rPr>
          <w:color w:val="231F20"/>
        </w:rPr>
        <w:t>labores</w:t>
      </w:r>
      <w:r>
        <w:rPr>
          <w:color w:val="231F20"/>
          <w:spacing w:val="23"/>
        </w:rPr>
        <w:t> </w:t>
      </w:r>
      <w:r>
        <w:rPr>
          <w:color w:val="231F20"/>
        </w:rPr>
        <w:t>calificadas.</w:t>
      </w:r>
    </w:p>
    <w:p>
      <w:pPr>
        <w:pStyle w:val="BodyText"/>
        <w:spacing w:line="261" w:lineRule="auto" w:before="1"/>
        <w:ind w:left="1723" w:right="1834" w:firstLine="567"/>
        <w:jc w:val="both"/>
      </w:pPr>
      <w:r>
        <w:rPr>
          <w:color w:val="231F20"/>
          <w:w w:val="105"/>
        </w:rPr>
        <w:t>Las</w:t>
      </w:r>
      <w:r>
        <w:rPr>
          <w:color w:val="231F20"/>
          <w:spacing w:val="-13"/>
          <w:w w:val="105"/>
        </w:rPr>
        <w:t> </w:t>
      </w:r>
      <w:r>
        <w:rPr>
          <w:color w:val="231F20"/>
          <w:w w:val="105"/>
        </w:rPr>
        <w:t>proporciones</w:t>
      </w:r>
      <w:r>
        <w:rPr>
          <w:color w:val="231F20"/>
          <w:spacing w:val="-13"/>
          <w:w w:val="105"/>
        </w:rPr>
        <w:t> </w:t>
      </w:r>
      <w:r>
        <w:rPr>
          <w:color w:val="231F20"/>
          <w:w w:val="105"/>
        </w:rPr>
        <w:t>de</w:t>
      </w:r>
      <w:r>
        <w:rPr>
          <w:color w:val="231F20"/>
          <w:spacing w:val="-13"/>
          <w:w w:val="105"/>
        </w:rPr>
        <w:t> </w:t>
      </w:r>
      <w:r>
        <w:rPr>
          <w:color w:val="231F20"/>
          <w:w w:val="105"/>
        </w:rPr>
        <w:t>retornados</w:t>
      </w:r>
      <w:r>
        <w:rPr>
          <w:color w:val="231F20"/>
          <w:spacing w:val="-13"/>
          <w:w w:val="105"/>
        </w:rPr>
        <w:t> </w:t>
      </w:r>
      <w:r>
        <w:rPr>
          <w:color w:val="231F20"/>
          <w:w w:val="105"/>
        </w:rPr>
        <w:t>que</w:t>
      </w:r>
      <w:r>
        <w:rPr>
          <w:color w:val="231F20"/>
          <w:spacing w:val="-13"/>
          <w:w w:val="105"/>
        </w:rPr>
        <w:t> </w:t>
      </w:r>
      <w:r>
        <w:rPr>
          <w:color w:val="231F20"/>
          <w:w w:val="105"/>
        </w:rPr>
        <w:t>trabajan</w:t>
      </w:r>
      <w:r>
        <w:rPr>
          <w:color w:val="231F20"/>
          <w:spacing w:val="-13"/>
          <w:w w:val="105"/>
        </w:rPr>
        <w:t> </w:t>
      </w:r>
      <w:r>
        <w:rPr>
          <w:color w:val="231F20"/>
          <w:w w:val="105"/>
        </w:rPr>
        <w:t>en</w:t>
      </w:r>
      <w:r>
        <w:rPr>
          <w:color w:val="231F20"/>
          <w:spacing w:val="-13"/>
          <w:w w:val="105"/>
        </w:rPr>
        <w:t> </w:t>
      </w:r>
      <w:r>
        <w:rPr>
          <w:color w:val="231F20"/>
          <w:w w:val="105"/>
        </w:rPr>
        <w:t>algo</w:t>
      </w:r>
      <w:r>
        <w:rPr>
          <w:color w:val="231F20"/>
          <w:spacing w:val="-13"/>
          <w:w w:val="105"/>
        </w:rPr>
        <w:t> </w:t>
      </w:r>
      <w:r>
        <w:rPr>
          <w:color w:val="231F20"/>
          <w:w w:val="105"/>
        </w:rPr>
        <w:t>pero</w:t>
      </w:r>
      <w:r>
        <w:rPr>
          <w:color w:val="231F20"/>
          <w:spacing w:val="-13"/>
          <w:w w:val="105"/>
        </w:rPr>
        <w:t> </w:t>
      </w:r>
      <w:r>
        <w:rPr>
          <w:color w:val="231F20"/>
          <w:w w:val="105"/>
        </w:rPr>
        <w:t>no</w:t>
      </w:r>
      <w:r>
        <w:rPr>
          <w:color w:val="231F20"/>
          <w:spacing w:val="-13"/>
          <w:w w:val="105"/>
        </w:rPr>
        <w:t> </w:t>
      </w:r>
      <w:r>
        <w:rPr>
          <w:color w:val="231F20"/>
          <w:w w:val="105"/>
        </w:rPr>
        <w:t>ejer- cen</w:t>
      </w:r>
      <w:r>
        <w:rPr>
          <w:color w:val="231F20"/>
          <w:spacing w:val="-13"/>
          <w:w w:val="105"/>
        </w:rPr>
        <w:t> </w:t>
      </w:r>
      <w:r>
        <w:rPr>
          <w:color w:val="231F20"/>
          <w:w w:val="105"/>
        </w:rPr>
        <w:t>sus</w:t>
      </w:r>
      <w:r>
        <w:rPr>
          <w:color w:val="231F20"/>
          <w:spacing w:val="-13"/>
          <w:w w:val="105"/>
        </w:rPr>
        <w:t> </w:t>
      </w:r>
      <w:r>
        <w:rPr>
          <w:color w:val="231F20"/>
          <w:w w:val="105"/>
        </w:rPr>
        <w:t>conocimientos</w:t>
      </w:r>
      <w:r>
        <w:rPr>
          <w:color w:val="231F20"/>
          <w:spacing w:val="-13"/>
          <w:w w:val="105"/>
        </w:rPr>
        <w:t> </w:t>
      </w:r>
      <w:r>
        <w:rPr>
          <w:color w:val="231F20"/>
          <w:w w:val="105"/>
        </w:rPr>
        <w:t>laborales,</w:t>
      </w:r>
      <w:r>
        <w:rPr>
          <w:color w:val="231F20"/>
          <w:spacing w:val="-18"/>
          <w:w w:val="105"/>
        </w:rPr>
        <w:t> </w:t>
      </w:r>
      <w:r>
        <w:rPr>
          <w:color w:val="231F20"/>
          <w:w w:val="105"/>
        </w:rPr>
        <w:t>sobre</w:t>
      </w:r>
      <w:r>
        <w:rPr>
          <w:color w:val="231F20"/>
          <w:spacing w:val="-13"/>
          <w:w w:val="105"/>
        </w:rPr>
        <w:t> </w:t>
      </w:r>
      <w:r>
        <w:rPr>
          <w:color w:val="231F20"/>
          <w:w w:val="105"/>
        </w:rPr>
        <w:t>todo</w:t>
      </w:r>
      <w:r>
        <w:rPr>
          <w:color w:val="231F20"/>
          <w:spacing w:val="-13"/>
          <w:w w:val="105"/>
        </w:rPr>
        <w:t> </w:t>
      </w:r>
      <w:r>
        <w:rPr>
          <w:color w:val="231F20"/>
          <w:w w:val="105"/>
        </w:rPr>
        <w:t>los</w:t>
      </w:r>
      <w:r>
        <w:rPr>
          <w:color w:val="231F20"/>
          <w:spacing w:val="-13"/>
          <w:w w:val="105"/>
        </w:rPr>
        <w:t> </w:t>
      </w:r>
      <w:r>
        <w:rPr>
          <w:color w:val="231F20"/>
          <w:w w:val="105"/>
        </w:rPr>
        <w:t>calificados,</w:t>
      </w:r>
      <w:r>
        <w:rPr>
          <w:color w:val="231F20"/>
          <w:spacing w:val="-18"/>
          <w:w w:val="105"/>
        </w:rPr>
        <w:t> </w:t>
      </w:r>
      <w:r>
        <w:rPr>
          <w:color w:val="231F20"/>
          <w:w w:val="105"/>
        </w:rPr>
        <w:t>exhibe</w:t>
      </w:r>
      <w:r>
        <w:rPr>
          <w:color w:val="231F20"/>
          <w:spacing w:val="-13"/>
          <w:w w:val="105"/>
        </w:rPr>
        <w:t> </w:t>
      </w:r>
      <w:r>
        <w:rPr>
          <w:color w:val="231F20"/>
          <w:w w:val="105"/>
        </w:rPr>
        <w:t>des- uso y subempleo de al menos la mitad de conocimientos, experiencia  y habilidades laborales que podrían contribuir a mejorar los modos de vida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retornados</w:t>
      </w:r>
      <w:r>
        <w:rPr>
          <w:color w:val="231F20"/>
          <w:spacing w:val="-6"/>
          <w:w w:val="105"/>
        </w:rPr>
        <w:t> </w:t>
      </w:r>
      <w:r>
        <w:rPr>
          <w:color w:val="231F20"/>
          <w:w w:val="105"/>
        </w:rPr>
        <w:t>mexiquenses</w:t>
      </w:r>
      <w:r>
        <w:rPr>
          <w:color w:val="231F20"/>
          <w:spacing w:val="-6"/>
          <w:w w:val="105"/>
        </w:rPr>
        <w:t> </w:t>
      </w:r>
      <w:r>
        <w:rPr>
          <w:color w:val="231F20"/>
          <w:w w:val="105"/>
        </w:rPr>
        <w:t>y</w:t>
      </w:r>
      <w:r>
        <w:rPr>
          <w:color w:val="231F20"/>
          <w:spacing w:val="-6"/>
          <w:w w:val="105"/>
        </w:rPr>
        <w:t> </w:t>
      </w:r>
      <w:r>
        <w:rPr>
          <w:color w:val="231F20"/>
          <w:w w:val="105"/>
        </w:rPr>
        <w:t>sus</w:t>
      </w:r>
      <w:r>
        <w:rPr>
          <w:color w:val="231F20"/>
          <w:spacing w:val="-6"/>
          <w:w w:val="105"/>
        </w:rPr>
        <w:t> </w:t>
      </w:r>
      <w:r>
        <w:rPr>
          <w:color w:val="231F20"/>
          <w:w w:val="105"/>
        </w:rPr>
        <w:t>familias.</w:t>
      </w:r>
      <w:r>
        <w:rPr>
          <w:color w:val="231F20"/>
          <w:spacing w:val="-11"/>
          <w:w w:val="105"/>
        </w:rPr>
        <w:t> </w:t>
      </w:r>
      <w:r>
        <w:rPr>
          <w:color w:val="231F20"/>
          <w:w w:val="105"/>
        </w:rPr>
        <w:t>En</w:t>
      </w:r>
      <w:r>
        <w:rPr>
          <w:color w:val="231F20"/>
          <w:spacing w:val="-6"/>
          <w:w w:val="105"/>
        </w:rPr>
        <w:t> </w:t>
      </w:r>
      <w:r>
        <w:rPr>
          <w:color w:val="231F20"/>
          <w:w w:val="105"/>
        </w:rPr>
        <w:t>general,</w:t>
      </w:r>
      <w:r>
        <w:rPr>
          <w:color w:val="231F20"/>
          <w:spacing w:val="-11"/>
          <w:w w:val="105"/>
        </w:rPr>
        <w:t> </w:t>
      </w:r>
      <w:r>
        <w:rPr>
          <w:color w:val="231F20"/>
          <w:w w:val="105"/>
        </w:rPr>
        <w:t>la</w:t>
      </w:r>
      <w:r>
        <w:rPr>
          <w:color w:val="231F20"/>
          <w:spacing w:val="-6"/>
          <w:w w:val="105"/>
        </w:rPr>
        <w:t> </w:t>
      </w:r>
      <w:r>
        <w:rPr>
          <w:color w:val="231F20"/>
          <w:w w:val="105"/>
        </w:rPr>
        <w:t>mitad de retornados considera que casi nada de lo que aprendieron en</w:t>
      </w:r>
      <w:r>
        <w:rPr>
          <w:color w:val="231F20"/>
          <w:spacing w:val="-24"/>
          <w:w w:val="105"/>
        </w:rPr>
        <w:t> </w:t>
      </w:r>
      <w:r>
        <w:rPr>
          <w:color w:val="231F20"/>
          <w:spacing w:val="-5"/>
          <w:w w:val="105"/>
        </w:rPr>
        <w:t>Texas </w:t>
      </w:r>
      <w:r>
        <w:rPr>
          <w:color w:val="231F20"/>
          <w:w w:val="105"/>
        </w:rPr>
        <w:t>les</w:t>
      </w:r>
      <w:r>
        <w:rPr>
          <w:color w:val="231F20"/>
          <w:spacing w:val="-13"/>
          <w:w w:val="105"/>
        </w:rPr>
        <w:t> </w:t>
      </w:r>
      <w:r>
        <w:rPr>
          <w:color w:val="231F20"/>
          <w:w w:val="105"/>
        </w:rPr>
        <w:t>ha</w:t>
      </w:r>
      <w:r>
        <w:rPr>
          <w:color w:val="231F20"/>
          <w:spacing w:val="-13"/>
          <w:w w:val="105"/>
        </w:rPr>
        <w:t> </w:t>
      </w:r>
      <w:r>
        <w:rPr>
          <w:color w:val="231F20"/>
          <w:w w:val="105"/>
        </w:rPr>
        <w:t>servido</w:t>
      </w:r>
      <w:r>
        <w:rPr>
          <w:color w:val="231F20"/>
          <w:spacing w:val="-13"/>
          <w:w w:val="105"/>
        </w:rPr>
        <w:t> </w:t>
      </w:r>
      <w:r>
        <w:rPr>
          <w:color w:val="231F20"/>
          <w:w w:val="105"/>
        </w:rPr>
        <w:t>para</w:t>
      </w:r>
      <w:r>
        <w:rPr>
          <w:color w:val="231F20"/>
          <w:spacing w:val="-13"/>
          <w:w w:val="105"/>
        </w:rPr>
        <w:t> </w:t>
      </w:r>
      <w:r>
        <w:rPr>
          <w:color w:val="231F20"/>
          <w:w w:val="105"/>
        </w:rPr>
        <w:t>trabajar</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entidad</w:t>
      </w:r>
      <w:r>
        <w:rPr>
          <w:color w:val="231F20"/>
          <w:spacing w:val="-13"/>
          <w:w w:val="105"/>
        </w:rPr>
        <w:t> </w:t>
      </w:r>
      <w:r>
        <w:rPr>
          <w:color w:val="231F20"/>
          <w:w w:val="105"/>
        </w:rPr>
        <w:t>(51%),</w:t>
      </w:r>
      <w:r>
        <w:rPr>
          <w:color w:val="231F20"/>
          <w:spacing w:val="-19"/>
          <w:w w:val="105"/>
        </w:rPr>
        <w:t> </w:t>
      </w:r>
      <w:r>
        <w:rPr>
          <w:color w:val="231F20"/>
          <w:w w:val="105"/>
        </w:rPr>
        <w:t>otro</w:t>
      </w:r>
      <w:r>
        <w:rPr>
          <w:color w:val="231F20"/>
          <w:spacing w:val="-13"/>
          <w:w w:val="105"/>
        </w:rPr>
        <w:t> </w:t>
      </w:r>
      <w:r>
        <w:rPr>
          <w:color w:val="231F20"/>
          <w:w w:val="105"/>
        </w:rPr>
        <w:t>38%</w:t>
      </w:r>
      <w:r>
        <w:rPr>
          <w:color w:val="231F20"/>
          <w:spacing w:val="-13"/>
          <w:w w:val="105"/>
        </w:rPr>
        <w:t> </w:t>
      </w:r>
      <w:r>
        <w:rPr>
          <w:color w:val="231F20"/>
          <w:w w:val="105"/>
        </w:rPr>
        <w:t>considera</w:t>
      </w:r>
      <w:r>
        <w:rPr>
          <w:color w:val="231F20"/>
          <w:spacing w:val="-13"/>
          <w:w w:val="105"/>
        </w:rPr>
        <w:t> </w:t>
      </w:r>
      <w:r>
        <w:rPr>
          <w:color w:val="231F20"/>
          <w:w w:val="105"/>
        </w:rPr>
        <w:t>que han</w:t>
      </w:r>
      <w:r>
        <w:rPr>
          <w:color w:val="231F20"/>
          <w:spacing w:val="-8"/>
          <w:w w:val="105"/>
        </w:rPr>
        <w:t> </w:t>
      </w:r>
      <w:r>
        <w:rPr>
          <w:color w:val="231F20"/>
          <w:w w:val="105"/>
        </w:rPr>
        <w:t>empleado</w:t>
      </w:r>
      <w:r>
        <w:rPr>
          <w:color w:val="231F20"/>
          <w:spacing w:val="-8"/>
          <w:w w:val="105"/>
        </w:rPr>
        <w:t> </w:t>
      </w:r>
      <w:r>
        <w:rPr>
          <w:color w:val="231F20"/>
          <w:w w:val="105"/>
        </w:rPr>
        <w:t>algo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conocimientos</w:t>
      </w:r>
      <w:r>
        <w:rPr>
          <w:color w:val="231F20"/>
          <w:spacing w:val="-8"/>
          <w:w w:val="105"/>
        </w:rPr>
        <w:t> </w:t>
      </w:r>
      <w:r>
        <w:rPr>
          <w:color w:val="231F20"/>
          <w:w w:val="105"/>
        </w:rPr>
        <w:t>que</w:t>
      </w:r>
      <w:r>
        <w:rPr>
          <w:color w:val="231F20"/>
          <w:spacing w:val="-8"/>
          <w:w w:val="105"/>
        </w:rPr>
        <w:t> </w:t>
      </w:r>
      <w:r>
        <w:rPr>
          <w:color w:val="231F20"/>
          <w:w w:val="105"/>
        </w:rPr>
        <w:t>trajeron,</w:t>
      </w:r>
      <w:r>
        <w:rPr>
          <w:color w:val="231F20"/>
          <w:spacing w:val="-13"/>
          <w:w w:val="105"/>
        </w:rPr>
        <w:t> </w:t>
      </w:r>
      <w:r>
        <w:rPr>
          <w:color w:val="231F20"/>
          <w:w w:val="105"/>
        </w:rPr>
        <w:t>sólo</w:t>
      </w:r>
      <w:r>
        <w:rPr>
          <w:color w:val="231F20"/>
          <w:spacing w:val="-8"/>
          <w:w w:val="105"/>
        </w:rPr>
        <w:t> </w:t>
      </w:r>
      <w:r>
        <w:rPr>
          <w:color w:val="231F20"/>
          <w:w w:val="105"/>
        </w:rPr>
        <w:t>un</w:t>
      </w:r>
      <w:r>
        <w:rPr>
          <w:color w:val="231F20"/>
          <w:spacing w:val="-8"/>
          <w:w w:val="105"/>
        </w:rPr>
        <w:t> </w:t>
      </w:r>
      <w:r>
        <w:rPr>
          <w:color w:val="231F20"/>
          <w:w w:val="105"/>
        </w:rPr>
        <w:t>11%</w:t>
      </w:r>
      <w:r>
        <w:rPr>
          <w:color w:val="231F20"/>
          <w:spacing w:val="-8"/>
          <w:w w:val="105"/>
        </w:rPr>
        <w:t> </w:t>
      </w:r>
      <w:r>
        <w:rPr>
          <w:color w:val="231F20"/>
          <w:w w:val="105"/>
        </w:rPr>
        <w:t>afir- ma</w:t>
      </w:r>
      <w:r>
        <w:rPr>
          <w:color w:val="231F20"/>
          <w:spacing w:val="-6"/>
          <w:w w:val="105"/>
        </w:rPr>
        <w:t> </w:t>
      </w:r>
      <w:r>
        <w:rPr>
          <w:color w:val="231F20"/>
          <w:w w:val="105"/>
        </w:rPr>
        <w:t>que</w:t>
      </w:r>
      <w:r>
        <w:rPr>
          <w:color w:val="231F20"/>
          <w:spacing w:val="-6"/>
          <w:w w:val="105"/>
        </w:rPr>
        <w:t> </w:t>
      </w:r>
      <w:r>
        <w:rPr>
          <w:color w:val="231F20"/>
          <w:w w:val="105"/>
        </w:rPr>
        <w:t>puede</w:t>
      </w:r>
      <w:r>
        <w:rPr>
          <w:color w:val="231F20"/>
          <w:spacing w:val="-6"/>
          <w:w w:val="105"/>
        </w:rPr>
        <w:t> </w:t>
      </w:r>
      <w:r>
        <w:rPr>
          <w:color w:val="231F20"/>
          <w:w w:val="105"/>
        </w:rPr>
        <w:t>aplicar</w:t>
      </w:r>
      <w:r>
        <w:rPr>
          <w:color w:val="231F20"/>
          <w:spacing w:val="-6"/>
          <w:w w:val="105"/>
        </w:rPr>
        <w:t> </w:t>
      </w:r>
      <w:r>
        <w:rPr>
          <w:color w:val="231F20"/>
          <w:w w:val="105"/>
        </w:rPr>
        <w:t>todo</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sabe</w:t>
      </w:r>
      <w:r>
        <w:rPr>
          <w:color w:val="231F20"/>
          <w:spacing w:val="-6"/>
          <w:w w:val="105"/>
        </w:rPr>
        <w:t> </w:t>
      </w:r>
      <w:r>
        <w:rPr>
          <w:color w:val="231F20"/>
          <w:w w:val="105"/>
        </w:rPr>
        <w:t>y</w:t>
      </w:r>
      <w:r>
        <w:rPr>
          <w:color w:val="231F20"/>
          <w:spacing w:val="-6"/>
          <w:w w:val="105"/>
        </w:rPr>
        <w:t> </w:t>
      </w:r>
      <w:r>
        <w:rPr>
          <w:color w:val="231F20"/>
          <w:w w:val="105"/>
        </w:rPr>
        <w:t>vivir</w:t>
      </w:r>
      <w:r>
        <w:rPr>
          <w:color w:val="231F20"/>
          <w:spacing w:val="-6"/>
          <w:w w:val="105"/>
        </w:rPr>
        <w:t> </w:t>
      </w:r>
      <w:r>
        <w:rPr>
          <w:color w:val="231F20"/>
          <w:w w:val="105"/>
        </w:rPr>
        <w:t>completamente</w:t>
      </w:r>
      <w:r>
        <w:rPr>
          <w:color w:val="231F20"/>
          <w:spacing w:val="-6"/>
          <w:w w:val="105"/>
        </w:rPr>
        <w:t> </w:t>
      </w:r>
      <w:r>
        <w:rPr>
          <w:color w:val="231F20"/>
          <w:w w:val="105"/>
        </w:rPr>
        <w:t>de</w:t>
      </w:r>
      <w:r>
        <w:rPr>
          <w:color w:val="231F20"/>
          <w:spacing w:val="-6"/>
          <w:w w:val="105"/>
        </w:rPr>
        <w:t> </w:t>
      </w:r>
      <w:r>
        <w:rPr>
          <w:color w:val="231F20"/>
          <w:w w:val="105"/>
        </w:rPr>
        <w:t>eso.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tabs>
          <w:tab w:pos="2937" w:val="left" w:leader="none"/>
        </w:tabs>
        <w:spacing w:before="71"/>
        <w:ind w:left="1832" w:right="0" w:firstLine="0"/>
        <w:jc w:val="left"/>
        <w:rPr>
          <w:rFonts w:ascii="Calibri"/>
          <w:sz w:val="15"/>
        </w:rPr>
      </w:pPr>
      <w:r>
        <w:rPr/>
        <w:pict>
          <v:line style="position:absolute;mso-position-horizontal-relative:page;mso-position-vertical-relative:paragraph;z-index:-459784" from="131.551193pt,3.753715pt" to="131.551193pt,39.556114pt" stroked="true" strokeweight=".35pt" strokecolor="#231f20">
            <w10:wrap type="none"/>
          </v:line>
        </w:pict>
      </w:r>
      <w:r>
        <w:rPr/>
        <w:pict>
          <v:line style="position:absolute;mso-position-horizontal-relative:page;mso-position-vertical-relative:paragraph;z-index:-459712" from="15pt,39.555916pt" to="0pt,39.555916pt" stroked="true" strokeweight=".25pt" strokecolor="#000000">
            <w10:wrap type="none"/>
          </v:line>
        </w:pict>
      </w:r>
      <w:r>
        <w:rPr/>
        <w:pict>
          <v:line style="position:absolute;mso-position-horizontal-relative:page;mso-position-vertical-relative:paragraph;z-index:30496" from="508.890015pt,39.555916pt" to="523.890015pt,39.555916pt" stroked="true" strokeweight=".25pt" strokecolor="#000000">
            <w10:wrap type="none"/>
          </v:line>
        </w:pict>
      </w:r>
      <w:r>
        <w:rPr>
          <w:rFonts w:ascii="Arial"/>
          <w:color w:val="414042"/>
          <w:w w:val="105"/>
          <w:position w:val="-5"/>
          <w:sz w:val="20"/>
        </w:rPr>
        <w:t>248</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59664" from="405.061005pt,-18.554295pt" to="405.061005pt,16.311579pt" stroked="true" strokeweight=".35pt" strokecolor="#231f20">
            <w10:wrap type="none"/>
          </v:line>
        </w:pict>
      </w:r>
      <w:r>
        <w:rPr/>
        <w:pict>
          <v:line style="position:absolute;mso-position-horizontal-relative:page;mso-position-vertical-relative:paragraph;z-index:30544" from="15pt,-18.554522pt" to="0pt,-18.554522pt" stroked="true" strokeweight=".25pt" strokecolor="#000000">
            <w10:wrap type="none"/>
          </v:line>
        </w:pict>
      </w:r>
      <w:r>
        <w:rPr/>
        <w:pict>
          <v:line style="position:absolute;mso-position-horizontal-relative:page;mso-position-vertical-relative:paragraph;z-index:30568"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249</w:t>
      </w:r>
    </w:p>
    <w:p>
      <w:pPr>
        <w:spacing w:before="880"/>
        <w:ind w:left="2534" w:right="0" w:firstLine="0"/>
        <w:jc w:val="left"/>
        <w:rPr>
          <w:rFonts w:ascii="Arial" w:hAnsi="Arial"/>
          <w:sz w:val="18"/>
        </w:rPr>
      </w:pPr>
      <w:r>
        <w:rPr>
          <w:rFonts w:ascii="Arial" w:hAnsi="Arial"/>
          <w:color w:val="231F20"/>
          <w:w w:val="105"/>
          <w:sz w:val="18"/>
        </w:rPr>
        <w:t>Cuadro 7. Trabajos desempeñados al retorno y nivel de calificación</w:t>
      </w:r>
    </w:p>
    <w:p>
      <w:pPr>
        <w:pStyle w:val="BodyText"/>
        <w:spacing w:before="5"/>
        <w:rPr>
          <w:rFonts w:ascii="Arial"/>
          <w:sz w:val="13"/>
        </w:rPr>
      </w:pPr>
    </w:p>
    <w:tbl>
      <w:tblPr>
        <w:tblW w:w="0" w:type="auto"/>
        <w:jc w:val="left"/>
        <w:tblInd w:w="185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430"/>
        <w:gridCol w:w="1049"/>
        <w:gridCol w:w="1200"/>
        <w:gridCol w:w="1200"/>
      </w:tblGrid>
      <w:tr>
        <w:trPr>
          <w:trHeight w:val="340" w:hRule="exact"/>
        </w:trPr>
        <w:tc>
          <w:tcPr>
            <w:tcW w:w="3430" w:type="dxa"/>
          </w:tcPr>
          <w:p>
            <w:pPr>
              <w:pStyle w:val="TableParagraph"/>
              <w:spacing w:before="88"/>
              <w:ind w:left="1002"/>
              <w:rPr>
                <w:rFonts w:ascii="Arial"/>
                <w:sz w:val="18"/>
              </w:rPr>
            </w:pPr>
            <w:r>
              <w:rPr>
                <w:rFonts w:ascii="Arial"/>
                <w:color w:val="231F20"/>
                <w:w w:val="110"/>
                <w:sz w:val="18"/>
              </w:rPr>
              <w:t>Tipo de actividad</w:t>
            </w:r>
          </w:p>
        </w:tc>
        <w:tc>
          <w:tcPr>
            <w:tcW w:w="1049" w:type="dxa"/>
          </w:tcPr>
          <w:p>
            <w:pPr>
              <w:pStyle w:val="TableParagraph"/>
              <w:spacing w:before="88"/>
              <w:ind w:left="90"/>
              <w:rPr>
                <w:rFonts w:ascii="Arial"/>
                <w:sz w:val="18"/>
              </w:rPr>
            </w:pPr>
            <w:r>
              <w:rPr>
                <w:rFonts w:ascii="Arial"/>
                <w:color w:val="231F20"/>
                <w:w w:val="105"/>
                <w:sz w:val="18"/>
              </w:rPr>
              <w:t>Porcentaje</w:t>
            </w:r>
          </w:p>
        </w:tc>
        <w:tc>
          <w:tcPr>
            <w:tcW w:w="1200" w:type="dxa"/>
          </w:tcPr>
          <w:p>
            <w:pPr>
              <w:pStyle w:val="TableParagraph"/>
              <w:spacing w:before="88"/>
              <w:ind w:left="330" w:right="66"/>
              <w:rPr>
                <w:rFonts w:ascii="Arial" w:hAnsi="Arial"/>
                <w:sz w:val="18"/>
              </w:rPr>
            </w:pPr>
            <w:r>
              <w:rPr>
                <w:rFonts w:ascii="Arial" w:hAnsi="Arial"/>
                <w:color w:val="231F20"/>
                <w:sz w:val="18"/>
              </w:rPr>
              <w:t>Básico</w:t>
            </w:r>
          </w:p>
        </w:tc>
        <w:tc>
          <w:tcPr>
            <w:tcW w:w="1200" w:type="dxa"/>
          </w:tcPr>
          <w:p>
            <w:pPr>
              <w:pStyle w:val="TableParagraph"/>
              <w:spacing w:before="88"/>
              <w:ind w:left="186" w:right="66"/>
              <w:rPr>
                <w:rFonts w:ascii="Arial"/>
                <w:sz w:val="18"/>
              </w:rPr>
            </w:pPr>
            <w:r>
              <w:rPr>
                <w:rFonts w:ascii="Arial"/>
                <w:color w:val="231F20"/>
                <w:w w:val="105"/>
                <w:sz w:val="18"/>
              </w:rPr>
              <w:t>Calificado</w:t>
            </w:r>
          </w:p>
        </w:tc>
      </w:tr>
      <w:tr>
        <w:trPr>
          <w:trHeight w:val="340" w:hRule="exact"/>
        </w:trPr>
        <w:tc>
          <w:tcPr>
            <w:tcW w:w="3430" w:type="dxa"/>
          </w:tcPr>
          <w:p>
            <w:pPr>
              <w:pStyle w:val="TableParagraph"/>
              <w:ind w:left="77"/>
              <w:rPr>
                <w:sz w:val="18"/>
              </w:rPr>
            </w:pPr>
            <w:r>
              <w:rPr>
                <w:color w:val="231F20"/>
                <w:w w:val="105"/>
                <w:sz w:val="18"/>
              </w:rPr>
              <w:t>Nada, hogar, pensión, estudiar</w:t>
            </w:r>
          </w:p>
        </w:tc>
        <w:tc>
          <w:tcPr>
            <w:tcW w:w="1049" w:type="dxa"/>
          </w:tcPr>
          <w:p>
            <w:pPr>
              <w:pStyle w:val="TableParagraph"/>
              <w:ind w:left="77"/>
              <w:rPr>
                <w:sz w:val="18"/>
              </w:rPr>
            </w:pPr>
            <w:r>
              <w:rPr>
                <w:color w:val="231F20"/>
                <w:w w:val="105"/>
                <w:sz w:val="18"/>
              </w:rPr>
              <w:t>18.8</w:t>
            </w:r>
          </w:p>
        </w:tc>
        <w:tc>
          <w:tcPr>
            <w:tcW w:w="1200" w:type="dxa"/>
          </w:tcPr>
          <w:p>
            <w:pPr>
              <w:pStyle w:val="TableParagraph"/>
              <w:ind w:left="77" w:right="66"/>
              <w:rPr>
                <w:sz w:val="18"/>
              </w:rPr>
            </w:pPr>
            <w:r>
              <w:rPr>
                <w:color w:val="231F20"/>
                <w:sz w:val="18"/>
              </w:rPr>
              <w:t>0.0</w:t>
            </w:r>
          </w:p>
        </w:tc>
        <w:tc>
          <w:tcPr>
            <w:tcW w:w="1200" w:type="dxa"/>
          </w:tcPr>
          <w:p>
            <w:pPr>
              <w:pStyle w:val="TableParagraph"/>
              <w:ind w:left="77" w:right="66"/>
              <w:rPr>
                <w:sz w:val="18"/>
              </w:rPr>
            </w:pPr>
            <w:r>
              <w:rPr>
                <w:color w:val="231F20"/>
                <w:sz w:val="18"/>
              </w:rPr>
              <w:t>0.0</w:t>
            </w:r>
          </w:p>
        </w:tc>
      </w:tr>
      <w:tr>
        <w:trPr>
          <w:trHeight w:val="340" w:hRule="exact"/>
        </w:trPr>
        <w:tc>
          <w:tcPr>
            <w:tcW w:w="3430" w:type="dxa"/>
          </w:tcPr>
          <w:p>
            <w:pPr>
              <w:pStyle w:val="TableParagraph"/>
              <w:ind w:left="77"/>
              <w:rPr>
                <w:sz w:val="18"/>
              </w:rPr>
            </w:pPr>
            <w:r>
              <w:rPr>
                <w:color w:val="231F20"/>
                <w:w w:val="105"/>
                <w:sz w:val="18"/>
              </w:rPr>
              <w:t>Negocio pequeño*</w:t>
            </w:r>
          </w:p>
        </w:tc>
        <w:tc>
          <w:tcPr>
            <w:tcW w:w="1049" w:type="dxa"/>
          </w:tcPr>
          <w:p>
            <w:pPr>
              <w:pStyle w:val="TableParagraph"/>
              <w:ind w:left="77"/>
              <w:rPr>
                <w:sz w:val="18"/>
              </w:rPr>
            </w:pPr>
            <w:r>
              <w:rPr>
                <w:color w:val="231F20"/>
                <w:w w:val="105"/>
                <w:sz w:val="18"/>
              </w:rPr>
              <w:t>15.0</w:t>
            </w:r>
          </w:p>
        </w:tc>
        <w:tc>
          <w:tcPr>
            <w:tcW w:w="1200" w:type="dxa"/>
          </w:tcPr>
          <w:p>
            <w:pPr>
              <w:pStyle w:val="TableParagraph"/>
              <w:ind w:left="77" w:right="66"/>
              <w:rPr>
                <w:sz w:val="18"/>
              </w:rPr>
            </w:pPr>
            <w:r>
              <w:rPr>
                <w:color w:val="231F20"/>
                <w:sz w:val="18"/>
              </w:rPr>
              <w:t>8.3</w:t>
            </w:r>
          </w:p>
        </w:tc>
        <w:tc>
          <w:tcPr>
            <w:tcW w:w="1200" w:type="dxa"/>
          </w:tcPr>
          <w:p>
            <w:pPr>
              <w:pStyle w:val="TableParagraph"/>
              <w:ind w:left="77" w:right="66"/>
              <w:rPr>
                <w:sz w:val="18"/>
              </w:rPr>
            </w:pPr>
            <w:r>
              <w:rPr>
                <w:color w:val="231F20"/>
                <w:w w:val="105"/>
                <w:sz w:val="18"/>
              </w:rPr>
              <w:t>91.7</w:t>
            </w:r>
          </w:p>
        </w:tc>
      </w:tr>
      <w:tr>
        <w:trPr>
          <w:trHeight w:val="340" w:hRule="exact"/>
        </w:trPr>
        <w:tc>
          <w:tcPr>
            <w:tcW w:w="3430" w:type="dxa"/>
          </w:tcPr>
          <w:p>
            <w:pPr>
              <w:pStyle w:val="TableParagraph"/>
              <w:ind w:left="77"/>
              <w:rPr>
                <w:sz w:val="18"/>
              </w:rPr>
            </w:pPr>
            <w:r>
              <w:rPr>
                <w:color w:val="231F20"/>
                <w:w w:val="105"/>
                <w:sz w:val="18"/>
              </w:rPr>
              <w:t>Campo, cría de animales, invernadero</w:t>
            </w:r>
          </w:p>
        </w:tc>
        <w:tc>
          <w:tcPr>
            <w:tcW w:w="1049" w:type="dxa"/>
          </w:tcPr>
          <w:p>
            <w:pPr>
              <w:pStyle w:val="TableParagraph"/>
              <w:ind w:left="77"/>
              <w:rPr>
                <w:sz w:val="18"/>
              </w:rPr>
            </w:pPr>
            <w:r>
              <w:rPr>
                <w:color w:val="231F20"/>
                <w:sz w:val="18"/>
              </w:rPr>
              <w:t>8.8</w:t>
            </w:r>
          </w:p>
        </w:tc>
        <w:tc>
          <w:tcPr>
            <w:tcW w:w="1200" w:type="dxa"/>
          </w:tcPr>
          <w:p>
            <w:pPr>
              <w:pStyle w:val="TableParagraph"/>
              <w:ind w:left="77" w:right="66"/>
              <w:rPr>
                <w:sz w:val="18"/>
              </w:rPr>
            </w:pPr>
            <w:r>
              <w:rPr>
                <w:color w:val="231F20"/>
                <w:w w:val="105"/>
                <w:sz w:val="18"/>
              </w:rPr>
              <w:t>85.7</w:t>
            </w:r>
          </w:p>
        </w:tc>
        <w:tc>
          <w:tcPr>
            <w:tcW w:w="1200" w:type="dxa"/>
          </w:tcPr>
          <w:p>
            <w:pPr>
              <w:pStyle w:val="TableParagraph"/>
              <w:ind w:left="77" w:right="66"/>
              <w:rPr>
                <w:sz w:val="18"/>
              </w:rPr>
            </w:pPr>
            <w:r>
              <w:rPr>
                <w:color w:val="231F20"/>
                <w:w w:val="105"/>
                <w:sz w:val="18"/>
              </w:rPr>
              <w:t>14.3</w:t>
            </w:r>
          </w:p>
        </w:tc>
      </w:tr>
      <w:tr>
        <w:trPr>
          <w:trHeight w:val="340" w:hRule="exact"/>
        </w:trPr>
        <w:tc>
          <w:tcPr>
            <w:tcW w:w="3430" w:type="dxa"/>
          </w:tcPr>
          <w:p>
            <w:pPr>
              <w:pStyle w:val="TableParagraph"/>
              <w:ind w:left="78"/>
              <w:rPr>
                <w:sz w:val="18"/>
              </w:rPr>
            </w:pPr>
            <w:r>
              <w:rPr>
                <w:color w:val="231F20"/>
                <w:w w:val="105"/>
                <w:sz w:val="18"/>
              </w:rPr>
              <w:t>Empleado, obrero</w:t>
            </w:r>
          </w:p>
        </w:tc>
        <w:tc>
          <w:tcPr>
            <w:tcW w:w="1049" w:type="dxa"/>
          </w:tcPr>
          <w:p>
            <w:pPr>
              <w:pStyle w:val="TableParagraph"/>
              <w:ind w:left="78"/>
              <w:rPr>
                <w:sz w:val="18"/>
              </w:rPr>
            </w:pPr>
            <w:r>
              <w:rPr>
                <w:color w:val="231F20"/>
                <w:sz w:val="18"/>
              </w:rPr>
              <w:t>7.5</w:t>
            </w:r>
          </w:p>
        </w:tc>
        <w:tc>
          <w:tcPr>
            <w:tcW w:w="1200" w:type="dxa"/>
          </w:tcPr>
          <w:p>
            <w:pPr>
              <w:pStyle w:val="TableParagraph"/>
              <w:ind w:left="78" w:right="66"/>
              <w:rPr>
                <w:sz w:val="18"/>
              </w:rPr>
            </w:pPr>
            <w:r>
              <w:rPr>
                <w:color w:val="231F20"/>
                <w:w w:val="105"/>
                <w:sz w:val="18"/>
              </w:rPr>
              <w:t>83.3</w:t>
            </w:r>
          </w:p>
        </w:tc>
        <w:tc>
          <w:tcPr>
            <w:tcW w:w="1200" w:type="dxa"/>
          </w:tcPr>
          <w:p>
            <w:pPr>
              <w:pStyle w:val="TableParagraph"/>
              <w:ind w:left="78" w:right="66"/>
              <w:rPr>
                <w:sz w:val="18"/>
              </w:rPr>
            </w:pPr>
            <w:r>
              <w:rPr>
                <w:color w:val="231F20"/>
                <w:w w:val="105"/>
                <w:sz w:val="18"/>
              </w:rPr>
              <w:t>16.3</w:t>
            </w:r>
          </w:p>
        </w:tc>
      </w:tr>
      <w:tr>
        <w:trPr>
          <w:trHeight w:val="340" w:hRule="exact"/>
        </w:trPr>
        <w:tc>
          <w:tcPr>
            <w:tcW w:w="3430" w:type="dxa"/>
          </w:tcPr>
          <w:p>
            <w:pPr>
              <w:pStyle w:val="TableParagraph"/>
              <w:ind w:left="78"/>
              <w:rPr>
                <w:sz w:val="18"/>
              </w:rPr>
            </w:pPr>
            <w:r>
              <w:rPr>
                <w:color w:val="231F20"/>
                <w:sz w:val="18"/>
              </w:rPr>
              <w:t>Restaurant, cocina económica</w:t>
            </w:r>
          </w:p>
        </w:tc>
        <w:tc>
          <w:tcPr>
            <w:tcW w:w="1049" w:type="dxa"/>
          </w:tcPr>
          <w:p>
            <w:pPr>
              <w:pStyle w:val="TableParagraph"/>
              <w:ind w:left="78"/>
              <w:rPr>
                <w:sz w:val="18"/>
              </w:rPr>
            </w:pPr>
            <w:r>
              <w:rPr>
                <w:color w:val="231F20"/>
                <w:sz w:val="18"/>
              </w:rPr>
              <w:t>6.3</w:t>
            </w:r>
          </w:p>
        </w:tc>
        <w:tc>
          <w:tcPr>
            <w:tcW w:w="1200" w:type="dxa"/>
          </w:tcPr>
          <w:p>
            <w:pPr>
              <w:pStyle w:val="TableParagraph"/>
              <w:ind w:left="78" w:right="66"/>
              <w:rPr>
                <w:sz w:val="18"/>
              </w:rPr>
            </w:pPr>
            <w:r>
              <w:rPr>
                <w:color w:val="231F20"/>
                <w:w w:val="105"/>
                <w:sz w:val="18"/>
              </w:rPr>
              <w:t>20.0</w:t>
            </w:r>
          </w:p>
        </w:tc>
        <w:tc>
          <w:tcPr>
            <w:tcW w:w="1200" w:type="dxa"/>
          </w:tcPr>
          <w:p>
            <w:pPr>
              <w:pStyle w:val="TableParagraph"/>
              <w:ind w:left="78" w:right="66"/>
              <w:rPr>
                <w:sz w:val="18"/>
              </w:rPr>
            </w:pPr>
            <w:r>
              <w:rPr>
                <w:color w:val="231F20"/>
                <w:w w:val="105"/>
                <w:sz w:val="18"/>
              </w:rPr>
              <w:t>80.0</w:t>
            </w:r>
          </w:p>
        </w:tc>
      </w:tr>
      <w:tr>
        <w:trPr>
          <w:trHeight w:val="340" w:hRule="exact"/>
        </w:trPr>
        <w:tc>
          <w:tcPr>
            <w:tcW w:w="3430" w:type="dxa"/>
          </w:tcPr>
          <w:p>
            <w:pPr>
              <w:pStyle w:val="TableParagraph"/>
              <w:ind w:left="78"/>
              <w:rPr>
                <w:sz w:val="18"/>
              </w:rPr>
            </w:pPr>
            <w:r>
              <w:rPr>
                <w:color w:val="231F20"/>
                <w:sz w:val="18"/>
              </w:rPr>
              <w:t>Construcción, diversas tareas</w:t>
            </w:r>
          </w:p>
        </w:tc>
        <w:tc>
          <w:tcPr>
            <w:tcW w:w="1049" w:type="dxa"/>
          </w:tcPr>
          <w:p>
            <w:pPr>
              <w:pStyle w:val="TableParagraph"/>
              <w:ind w:left="78"/>
              <w:rPr>
                <w:sz w:val="18"/>
              </w:rPr>
            </w:pPr>
            <w:r>
              <w:rPr>
                <w:color w:val="231F20"/>
                <w:sz w:val="18"/>
              </w:rPr>
              <w:t>6.3</w:t>
            </w:r>
          </w:p>
        </w:tc>
        <w:tc>
          <w:tcPr>
            <w:tcW w:w="1200" w:type="dxa"/>
          </w:tcPr>
          <w:p>
            <w:pPr>
              <w:pStyle w:val="TableParagraph"/>
              <w:ind w:left="78" w:right="66"/>
              <w:rPr>
                <w:sz w:val="18"/>
              </w:rPr>
            </w:pPr>
            <w:r>
              <w:rPr>
                <w:color w:val="231F20"/>
                <w:w w:val="105"/>
                <w:sz w:val="18"/>
              </w:rPr>
              <w:t>20.0</w:t>
            </w:r>
          </w:p>
        </w:tc>
        <w:tc>
          <w:tcPr>
            <w:tcW w:w="1200" w:type="dxa"/>
          </w:tcPr>
          <w:p>
            <w:pPr>
              <w:pStyle w:val="TableParagraph"/>
              <w:ind w:left="78" w:right="66"/>
              <w:rPr>
                <w:sz w:val="18"/>
              </w:rPr>
            </w:pPr>
            <w:r>
              <w:rPr>
                <w:color w:val="231F20"/>
                <w:w w:val="105"/>
                <w:sz w:val="18"/>
              </w:rPr>
              <w:t>80.0</w:t>
            </w:r>
          </w:p>
        </w:tc>
      </w:tr>
      <w:tr>
        <w:trPr>
          <w:trHeight w:val="340" w:hRule="exact"/>
        </w:trPr>
        <w:tc>
          <w:tcPr>
            <w:tcW w:w="3430" w:type="dxa"/>
          </w:tcPr>
          <w:p>
            <w:pPr>
              <w:pStyle w:val="TableParagraph"/>
              <w:ind w:left="78"/>
              <w:rPr>
                <w:sz w:val="18"/>
              </w:rPr>
            </w:pPr>
            <w:r>
              <w:rPr>
                <w:color w:val="231F20"/>
                <w:sz w:val="18"/>
              </w:rPr>
              <w:t>Ventas ambulantes, plata, zapatos, frutas</w:t>
            </w:r>
          </w:p>
        </w:tc>
        <w:tc>
          <w:tcPr>
            <w:tcW w:w="1049" w:type="dxa"/>
          </w:tcPr>
          <w:p>
            <w:pPr>
              <w:pStyle w:val="TableParagraph"/>
              <w:ind w:left="78"/>
              <w:rPr>
                <w:sz w:val="18"/>
              </w:rPr>
            </w:pPr>
            <w:r>
              <w:rPr>
                <w:color w:val="231F20"/>
                <w:sz w:val="18"/>
              </w:rPr>
              <w:t>6.3</w:t>
            </w:r>
          </w:p>
        </w:tc>
        <w:tc>
          <w:tcPr>
            <w:tcW w:w="1200" w:type="dxa"/>
          </w:tcPr>
          <w:p>
            <w:pPr>
              <w:pStyle w:val="TableParagraph"/>
              <w:ind w:left="78" w:right="66"/>
              <w:rPr>
                <w:sz w:val="18"/>
              </w:rPr>
            </w:pPr>
            <w:r>
              <w:rPr>
                <w:color w:val="231F20"/>
                <w:w w:val="105"/>
                <w:sz w:val="18"/>
              </w:rPr>
              <w:t>40.0</w:t>
            </w:r>
          </w:p>
        </w:tc>
        <w:tc>
          <w:tcPr>
            <w:tcW w:w="1200" w:type="dxa"/>
          </w:tcPr>
          <w:p>
            <w:pPr>
              <w:pStyle w:val="TableParagraph"/>
              <w:ind w:left="78" w:right="66"/>
              <w:rPr>
                <w:sz w:val="18"/>
              </w:rPr>
            </w:pPr>
            <w:r>
              <w:rPr>
                <w:color w:val="231F20"/>
                <w:w w:val="105"/>
                <w:sz w:val="18"/>
              </w:rPr>
              <w:t>60.0</w:t>
            </w:r>
          </w:p>
        </w:tc>
      </w:tr>
      <w:tr>
        <w:trPr>
          <w:trHeight w:val="340" w:hRule="exact"/>
        </w:trPr>
        <w:tc>
          <w:tcPr>
            <w:tcW w:w="3430" w:type="dxa"/>
          </w:tcPr>
          <w:p>
            <w:pPr>
              <w:pStyle w:val="TableParagraph"/>
              <w:ind w:left="78"/>
              <w:rPr>
                <w:sz w:val="18"/>
              </w:rPr>
            </w:pPr>
            <w:r>
              <w:rPr>
                <w:color w:val="231F20"/>
                <w:w w:val="105"/>
                <w:sz w:val="18"/>
              </w:rPr>
              <w:t>Chofer, taxi, combi, camión</w:t>
            </w:r>
          </w:p>
        </w:tc>
        <w:tc>
          <w:tcPr>
            <w:tcW w:w="1049" w:type="dxa"/>
          </w:tcPr>
          <w:p>
            <w:pPr>
              <w:pStyle w:val="TableParagraph"/>
              <w:ind w:left="78"/>
              <w:rPr>
                <w:sz w:val="18"/>
              </w:rPr>
            </w:pPr>
            <w:r>
              <w:rPr>
                <w:color w:val="231F20"/>
                <w:sz w:val="18"/>
              </w:rPr>
              <w:t>5.0</w:t>
            </w:r>
          </w:p>
        </w:tc>
        <w:tc>
          <w:tcPr>
            <w:tcW w:w="1200" w:type="dxa"/>
          </w:tcPr>
          <w:p>
            <w:pPr>
              <w:pStyle w:val="TableParagraph"/>
              <w:ind w:left="78" w:right="66"/>
              <w:rPr>
                <w:sz w:val="18"/>
              </w:rPr>
            </w:pPr>
            <w:r>
              <w:rPr>
                <w:color w:val="231F20"/>
                <w:w w:val="105"/>
                <w:sz w:val="18"/>
              </w:rPr>
              <w:t>75.0</w:t>
            </w:r>
          </w:p>
        </w:tc>
        <w:tc>
          <w:tcPr>
            <w:tcW w:w="1200" w:type="dxa"/>
          </w:tcPr>
          <w:p>
            <w:pPr>
              <w:pStyle w:val="TableParagraph"/>
              <w:ind w:left="78" w:right="66"/>
              <w:rPr>
                <w:sz w:val="18"/>
              </w:rPr>
            </w:pPr>
            <w:r>
              <w:rPr>
                <w:color w:val="231F20"/>
                <w:w w:val="105"/>
                <w:sz w:val="18"/>
              </w:rPr>
              <w:t>25.0</w:t>
            </w:r>
          </w:p>
        </w:tc>
      </w:tr>
      <w:tr>
        <w:trPr>
          <w:trHeight w:val="340" w:hRule="exact"/>
        </w:trPr>
        <w:tc>
          <w:tcPr>
            <w:tcW w:w="3430" w:type="dxa"/>
          </w:tcPr>
          <w:p>
            <w:pPr>
              <w:pStyle w:val="TableParagraph"/>
              <w:ind w:left="78"/>
              <w:rPr>
                <w:sz w:val="18"/>
              </w:rPr>
            </w:pPr>
            <w:r>
              <w:rPr>
                <w:color w:val="231F20"/>
                <w:sz w:val="18"/>
              </w:rPr>
              <w:t>Docente, profesionista, inglés</w:t>
            </w:r>
          </w:p>
        </w:tc>
        <w:tc>
          <w:tcPr>
            <w:tcW w:w="1049" w:type="dxa"/>
          </w:tcPr>
          <w:p>
            <w:pPr>
              <w:pStyle w:val="TableParagraph"/>
              <w:ind w:left="78"/>
              <w:rPr>
                <w:sz w:val="18"/>
              </w:rPr>
            </w:pPr>
            <w:r>
              <w:rPr>
                <w:color w:val="231F20"/>
                <w:sz w:val="18"/>
              </w:rPr>
              <w:t>5.0</w:t>
            </w:r>
          </w:p>
        </w:tc>
        <w:tc>
          <w:tcPr>
            <w:tcW w:w="1200" w:type="dxa"/>
          </w:tcPr>
          <w:p>
            <w:pPr>
              <w:pStyle w:val="TableParagraph"/>
              <w:ind w:left="79" w:right="66"/>
              <w:rPr>
                <w:sz w:val="18"/>
              </w:rPr>
            </w:pPr>
            <w:r>
              <w:rPr>
                <w:color w:val="231F20"/>
                <w:sz w:val="18"/>
              </w:rPr>
              <w:t>0.0</w:t>
            </w:r>
          </w:p>
        </w:tc>
        <w:tc>
          <w:tcPr>
            <w:tcW w:w="1200" w:type="dxa"/>
          </w:tcPr>
          <w:p>
            <w:pPr>
              <w:pStyle w:val="TableParagraph"/>
              <w:ind w:left="79" w:right="66"/>
              <w:rPr>
                <w:sz w:val="18"/>
              </w:rPr>
            </w:pPr>
            <w:r>
              <w:rPr>
                <w:color w:val="231F20"/>
                <w:w w:val="105"/>
                <w:sz w:val="18"/>
              </w:rPr>
              <w:t>100.0</w:t>
            </w:r>
          </w:p>
        </w:tc>
      </w:tr>
      <w:tr>
        <w:trPr>
          <w:trHeight w:val="340" w:hRule="exact"/>
        </w:trPr>
        <w:tc>
          <w:tcPr>
            <w:tcW w:w="3430" w:type="dxa"/>
          </w:tcPr>
          <w:p>
            <w:pPr>
              <w:pStyle w:val="TableParagraph"/>
              <w:ind w:left="79"/>
              <w:rPr>
                <w:sz w:val="18"/>
              </w:rPr>
            </w:pPr>
            <w:r>
              <w:rPr>
                <w:color w:val="231F20"/>
                <w:sz w:val="18"/>
              </w:rPr>
              <w:t>Herrería, soldadura</w:t>
            </w:r>
          </w:p>
        </w:tc>
        <w:tc>
          <w:tcPr>
            <w:tcW w:w="1049" w:type="dxa"/>
          </w:tcPr>
          <w:p>
            <w:pPr>
              <w:pStyle w:val="TableParagraph"/>
              <w:ind w:left="79"/>
              <w:rPr>
                <w:sz w:val="18"/>
              </w:rPr>
            </w:pPr>
            <w:r>
              <w:rPr>
                <w:color w:val="231F20"/>
                <w:sz w:val="18"/>
              </w:rPr>
              <w:t>3.8</w:t>
            </w:r>
          </w:p>
        </w:tc>
        <w:tc>
          <w:tcPr>
            <w:tcW w:w="1200" w:type="dxa"/>
          </w:tcPr>
          <w:p>
            <w:pPr>
              <w:pStyle w:val="TableParagraph"/>
              <w:ind w:left="79" w:right="66"/>
              <w:rPr>
                <w:sz w:val="18"/>
              </w:rPr>
            </w:pPr>
            <w:r>
              <w:rPr>
                <w:color w:val="231F20"/>
                <w:sz w:val="18"/>
              </w:rPr>
              <w:t>0.0</w:t>
            </w:r>
          </w:p>
        </w:tc>
        <w:tc>
          <w:tcPr>
            <w:tcW w:w="1200" w:type="dxa"/>
          </w:tcPr>
          <w:p>
            <w:pPr>
              <w:pStyle w:val="TableParagraph"/>
              <w:ind w:left="79" w:right="66"/>
              <w:rPr>
                <w:sz w:val="18"/>
              </w:rPr>
            </w:pPr>
            <w:r>
              <w:rPr>
                <w:color w:val="231F20"/>
                <w:w w:val="105"/>
                <w:sz w:val="18"/>
              </w:rPr>
              <w:t>100.0</w:t>
            </w:r>
          </w:p>
        </w:tc>
      </w:tr>
      <w:tr>
        <w:trPr>
          <w:trHeight w:val="340" w:hRule="exact"/>
        </w:trPr>
        <w:tc>
          <w:tcPr>
            <w:tcW w:w="3430" w:type="dxa"/>
          </w:tcPr>
          <w:p>
            <w:pPr>
              <w:pStyle w:val="TableParagraph"/>
              <w:ind w:left="79"/>
              <w:rPr>
                <w:sz w:val="18"/>
              </w:rPr>
            </w:pPr>
            <w:r>
              <w:rPr>
                <w:color w:val="231F20"/>
                <w:w w:val="105"/>
                <w:sz w:val="18"/>
              </w:rPr>
              <w:t>Zapatero, zapatería propia</w:t>
            </w:r>
          </w:p>
        </w:tc>
        <w:tc>
          <w:tcPr>
            <w:tcW w:w="1049" w:type="dxa"/>
          </w:tcPr>
          <w:p>
            <w:pPr>
              <w:pStyle w:val="TableParagraph"/>
              <w:ind w:left="79"/>
              <w:rPr>
                <w:sz w:val="18"/>
              </w:rPr>
            </w:pPr>
            <w:r>
              <w:rPr>
                <w:color w:val="231F20"/>
                <w:sz w:val="18"/>
              </w:rPr>
              <w:t>3.8</w:t>
            </w:r>
          </w:p>
        </w:tc>
        <w:tc>
          <w:tcPr>
            <w:tcW w:w="1200" w:type="dxa"/>
          </w:tcPr>
          <w:p>
            <w:pPr>
              <w:pStyle w:val="TableParagraph"/>
              <w:ind w:left="79" w:right="66"/>
              <w:rPr>
                <w:sz w:val="18"/>
              </w:rPr>
            </w:pPr>
            <w:r>
              <w:rPr>
                <w:color w:val="231F20"/>
                <w:sz w:val="18"/>
              </w:rPr>
              <w:t>0.0</w:t>
            </w:r>
          </w:p>
        </w:tc>
        <w:tc>
          <w:tcPr>
            <w:tcW w:w="1200" w:type="dxa"/>
          </w:tcPr>
          <w:p>
            <w:pPr>
              <w:pStyle w:val="TableParagraph"/>
              <w:ind w:left="79" w:right="66"/>
              <w:rPr>
                <w:sz w:val="18"/>
              </w:rPr>
            </w:pPr>
            <w:r>
              <w:rPr>
                <w:color w:val="231F20"/>
                <w:w w:val="105"/>
                <w:sz w:val="18"/>
              </w:rPr>
              <w:t>100.0</w:t>
            </w:r>
          </w:p>
        </w:tc>
      </w:tr>
      <w:tr>
        <w:trPr>
          <w:trHeight w:val="340" w:hRule="exact"/>
        </w:trPr>
        <w:tc>
          <w:tcPr>
            <w:tcW w:w="3430" w:type="dxa"/>
          </w:tcPr>
          <w:p>
            <w:pPr>
              <w:pStyle w:val="TableParagraph"/>
              <w:spacing w:before="92"/>
              <w:ind w:left="79"/>
              <w:rPr>
                <w:sz w:val="18"/>
              </w:rPr>
            </w:pPr>
            <w:r>
              <w:rPr>
                <w:color w:val="231F20"/>
                <w:w w:val="105"/>
                <w:sz w:val="18"/>
              </w:rPr>
              <w:t>Empleado de gobierno, IFE, otro</w:t>
            </w:r>
          </w:p>
        </w:tc>
        <w:tc>
          <w:tcPr>
            <w:tcW w:w="1049" w:type="dxa"/>
          </w:tcPr>
          <w:p>
            <w:pPr>
              <w:pStyle w:val="TableParagraph"/>
              <w:spacing w:before="92"/>
              <w:ind w:left="79"/>
              <w:rPr>
                <w:sz w:val="18"/>
              </w:rPr>
            </w:pPr>
            <w:r>
              <w:rPr>
                <w:color w:val="231F20"/>
                <w:sz w:val="18"/>
              </w:rPr>
              <w:t>2.5</w:t>
            </w:r>
          </w:p>
        </w:tc>
        <w:tc>
          <w:tcPr>
            <w:tcW w:w="1200" w:type="dxa"/>
          </w:tcPr>
          <w:p>
            <w:pPr>
              <w:pStyle w:val="TableParagraph"/>
              <w:spacing w:before="92"/>
              <w:ind w:left="79" w:right="66"/>
              <w:rPr>
                <w:sz w:val="18"/>
              </w:rPr>
            </w:pPr>
            <w:r>
              <w:rPr>
                <w:color w:val="231F20"/>
                <w:sz w:val="18"/>
              </w:rPr>
              <w:t>0.0</w:t>
            </w:r>
          </w:p>
        </w:tc>
        <w:tc>
          <w:tcPr>
            <w:tcW w:w="1200" w:type="dxa"/>
          </w:tcPr>
          <w:p>
            <w:pPr>
              <w:pStyle w:val="TableParagraph"/>
              <w:spacing w:before="92"/>
              <w:ind w:left="79" w:right="66"/>
              <w:rPr>
                <w:sz w:val="18"/>
              </w:rPr>
            </w:pPr>
            <w:r>
              <w:rPr>
                <w:color w:val="231F20"/>
                <w:w w:val="105"/>
                <w:sz w:val="18"/>
              </w:rPr>
              <w:t>100.0</w:t>
            </w:r>
          </w:p>
        </w:tc>
      </w:tr>
      <w:tr>
        <w:trPr>
          <w:trHeight w:val="340" w:hRule="exact"/>
        </w:trPr>
        <w:tc>
          <w:tcPr>
            <w:tcW w:w="3430" w:type="dxa"/>
          </w:tcPr>
          <w:p>
            <w:pPr>
              <w:pStyle w:val="TableParagraph"/>
              <w:spacing w:before="92"/>
              <w:ind w:left="79"/>
              <w:rPr>
                <w:sz w:val="18"/>
              </w:rPr>
            </w:pPr>
            <w:r>
              <w:rPr>
                <w:color w:val="231F20"/>
                <w:sz w:val="18"/>
              </w:rPr>
              <w:t>Policía, seguridad, cobranza, doméstica</w:t>
            </w:r>
          </w:p>
        </w:tc>
        <w:tc>
          <w:tcPr>
            <w:tcW w:w="1049" w:type="dxa"/>
          </w:tcPr>
          <w:p>
            <w:pPr>
              <w:pStyle w:val="TableParagraph"/>
              <w:spacing w:before="92"/>
              <w:ind w:left="79"/>
              <w:rPr>
                <w:sz w:val="18"/>
              </w:rPr>
            </w:pPr>
            <w:r>
              <w:rPr>
                <w:color w:val="231F20"/>
                <w:sz w:val="18"/>
              </w:rPr>
              <w:t>7.5</w:t>
            </w:r>
          </w:p>
        </w:tc>
        <w:tc>
          <w:tcPr>
            <w:tcW w:w="1200" w:type="dxa"/>
          </w:tcPr>
          <w:p>
            <w:pPr>
              <w:pStyle w:val="TableParagraph"/>
              <w:spacing w:before="92"/>
              <w:ind w:left="79" w:right="66"/>
              <w:rPr>
                <w:sz w:val="18"/>
              </w:rPr>
            </w:pPr>
            <w:r>
              <w:rPr>
                <w:color w:val="231F20"/>
                <w:w w:val="105"/>
                <w:sz w:val="18"/>
              </w:rPr>
              <w:t>100.0</w:t>
            </w:r>
          </w:p>
        </w:tc>
        <w:tc>
          <w:tcPr>
            <w:tcW w:w="1200" w:type="dxa"/>
          </w:tcPr>
          <w:p>
            <w:pPr>
              <w:pStyle w:val="TableParagraph"/>
              <w:spacing w:before="92"/>
              <w:ind w:left="79" w:right="66"/>
              <w:rPr>
                <w:sz w:val="18"/>
              </w:rPr>
            </w:pPr>
            <w:r>
              <w:rPr>
                <w:color w:val="231F20"/>
                <w:sz w:val="18"/>
              </w:rPr>
              <w:t>0.0</w:t>
            </w:r>
          </w:p>
        </w:tc>
      </w:tr>
      <w:tr>
        <w:trPr>
          <w:trHeight w:val="340" w:hRule="exact"/>
        </w:trPr>
        <w:tc>
          <w:tcPr>
            <w:tcW w:w="3430" w:type="dxa"/>
          </w:tcPr>
          <w:p>
            <w:pPr>
              <w:pStyle w:val="TableParagraph"/>
              <w:spacing w:before="92"/>
              <w:ind w:left="79"/>
              <w:rPr>
                <w:sz w:val="18"/>
              </w:rPr>
            </w:pPr>
            <w:r>
              <w:rPr>
                <w:color w:val="231F20"/>
                <w:sz w:val="18"/>
              </w:rPr>
              <w:t>Electricista, electrónica, aparatos</w:t>
            </w:r>
          </w:p>
        </w:tc>
        <w:tc>
          <w:tcPr>
            <w:tcW w:w="1049" w:type="dxa"/>
          </w:tcPr>
          <w:p>
            <w:pPr>
              <w:pStyle w:val="TableParagraph"/>
              <w:spacing w:before="92"/>
              <w:ind w:left="79"/>
              <w:rPr>
                <w:sz w:val="18"/>
              </w:rPr>
            </w:pPr>
            <w:r>
              <w:rPr>
                <w:color w:val="231F20"/>
                <w:sz w:val="18"/>
              </w:rPr>
              <w:t>2.5</w:t>
            </w:r>
          </w:p>
        </w:tc>
        <w:tc>
          <w:tcPr>
            <w:tcW w:w="1200" w:type="dxa"/>
          </w:tcPr>
          <w:p>
            <w:pPr>
              <w:pStyle w:val="TableParagraph"/>
              <w:spacing w:before="92"/>
              <w:ind w:left="79" w:right="66"/>
              <w:rPr>
                <w:sz w:val="18"/>
              </w:rPr>
            </w:pPr>
            <w:r>
              <w:rPr>
                <w:color w:val="231F20"/>
                <w:sz w:val="18"/>
              </w:rPr>
              <w:t>0.0</w:t>
            </w:r>
          </w:p>
        </w:tc>
        <w:tc>
          <w:tcPr>
            <w:tcW w:w="1200" w:type="dxa"/>
          </w:tcPr>
          <w:p>
            <w:pPr>
              <w:pStyle w:val="TableParagraph"/>
              <w:spacing w:before="92"/>
              <w:ind w:left="79" w:right="66"/>
              <w:rPr>
                <w:sz w:val="18"/>
              </w:rPr>
            </w:pPr>
            <w:r>
              <w:rPr>
                <w:color w:val="231F20"/>
                <w:w w:val="105"/>
                <w:sz w:val="18"/>
              </w:rPr>
              <w:t>100.0</w:t>
            </w:r>
          </w:p>
        </w:tc>
      </w:tr>
      <w:tr>
        <w:trPr>
          <w:trHeight w:val="340" w:hRule="exact"/>
        </w:trPr>
        <w:tc>
          <w:tcPr>
            <w:tcW w:w="3430" w:type="dxa"/>
          </w:tcPr>
          <w:p>
            <w:pPr>
              <w:pStyle w:val="TableParagraph"/>
              <w:spacing w:before="92"/>
              <w:ind w:left="80"/>
              <w:rPr>
                <w:sz w:val="18"/>
              </w:rPr>
            </w:pPr>
            <w:r>
              <w:rPr>
                <w:color w:val="231F20"/>
                <w:w w:val="105"/>
                <w:sz w:val="18"/>
              </w:rPr>
              <w:t>Fibra de vidrio</w:t>
            </w:r>
          </w:p>
        </w:tc>
        <w:tc>
          <w:tcPr>
            <w:tcW w:w="1049" w:type="dxa"/>
          </w:tcPr>
          <w:p>
            <w:pPr>
              <w:pStyle w:val="TableParagraph"/>
              <w:spacing w:before="92"/>
              <w:ind w:left="80"/>
              <w:rPr>
                <w:sz w:val="18"/>
              </w:rPr>
            </w:pPr>
            <w:r>
              <w:rPr>
                <w:color w:val="231F20"/>
                <w:sz w:val="18"/>
              </w:rPr>
              <w:t>1.3</w:t>
            </w:r>
          </w:p>
        </w:tc>
        <w:tc>
          <w:tcPr>
            <w:tcW w:w="1200" w:type="dxa"/>
          </w:tcPr>
          <w:p>
            <w:pPr>
              <w:pStyle w:val="TableParagraph"/>
              <w:spacing w:before="92"/>
              <w:ind w:left="80" w:right="66"/>
              <w:rPr>
                <w:sz w:val="18"/>
              </w:rPr>
            </w:pPr>
            <w:r>
              <w:rPr>
                <w:color w:val="231F20"/>
                <w:sz w:val="18"/>
              </w:rPr>
              <w:t>0.0</w:t>
            </w:r>
          </w:p>
        </w:tc>
        <w:tc>
          <w:tcPr>
            <w:tcW w:w="1200" w:type="dxa"/>
          </w:tcPr>
          <w:p>
            <w:pPr>
              <w:pStyle w:val="TableParagraph"/>
              <w:spacing w:before="92"/>
              <w:ind w:left="80" w:right="66"/>
              <w:rPr>
                <w:sz w:val="18"/>
              </w:rPr>
            </w:pPr>
            <w:r>
              <w:rPr>
                <w:color w:val="231F20"/>
                <w:w w:val="105"/>
                <w:sz w:val="18"/>
              </w:rPr>
              <w:t>100.0</w:t>
            </w:r>
          </w:p>
        </w:tc>
      </w:tr>
    </w:tbl>
    <w:p>
      <w:pPr>
        <w:spacing w:before="78"/>
        <w:ind w:left="1837" w:right="0" w:firstLine="0"/>
        <w:jc w:val="both"/>
        <w:rPr>
          <w:sz w:val="16"/>
        </w:rPr>
      </w:pPr>
      <w:r>
        <w:rPr>
          <w:color w:val="231F20"/>
          <w:w w:val="105"/>
          <w:sz w:val="16"/>
        </w:rPr>
        <w:t>Fuente: elaboración propia.</w:t>
      </w:r>
    </w:p>
    <w:p>
      <w:pPr>
        <w:spacing w:before="11"/>
        <w:ind w:left="1837" w:right="0" w:firstLine="0"/>
        <w:jc w:val="both"/>
        <w:rPr>
          <w:sz w:val="16"/>
        </w:rPr>
      </w:pPr>
      <w:r>
        <w:rPr>
          <w:color w:val="231F20"/>
          <w:w w:val="105"/>
          <w:sz w:val="16"/>
        </w:rPr>
        <w:t>*Incluye: </w:t>
      </w:r>
      <w:r>
        <w:rPr>
          <w:w w:val="105"/>
          <w:sz w:val="16"/>
        </w:rPr>
        <w:t>tienda, carnicería, tortillería, tintorería, taxi, fotografía.</w:t>
      </w:r>
    </w:p>
    <w:p>
      <w:pPr>
        <w:pStyle w:val="BodyText"/>
        <w:rPr>
          <w:sz w:val="16"/>
        </w:rPr>
      </w:pPr>
    </w:p>
    <w:p>
      <w:pPr>
        <w:pStyle w:val="BodyText"/>
        <w:spacing w:line="261" w:lineRule="auto" w:before="111"/>
        <w:ind w:left="1837" w:right="1720"/>
        <w:jc w:val="both"/>
      </w:pPr>
      <w:r>
        <w:rPr>
          <w:color w:val="231F20"/>
          <w:w w:val="105"/>
        </w:rPr>
        <w:t>Entre los conocimientos que no han podido ejercer los retornados figu- ran conocimientos calificados en cocina internacional, construcción de casas</w:t>
      </w:r>
      <w:r>
        <w:rPr>
          <w:color w:val="231F20"/>
          <w:spacing w:val="-32"/>
          <w:w w:val="105"/>
        </w:rPr>
        <w:t> </w:t>
      </w:r>
      <w:r>
        <w:rPr>
          <w:color w:val="231F20"/>
          <w:w w:val="105"/>
        </w:rPr>
        <w:t>de</w:t>
      </w:r>
      <w:r>
        <w:rPr>
          <w:color w:val="231F20"/>
          <w:spacing w:val="-32"/>
          <w:w w:val="105"/>
        </w:rPr>
        <w:t> </w:t>
      </w:r>
      <w:r>
        <w:rPr>
          <w:color w:val="231F20"/>
          <w:w w:val="105"/>
        </w:rPr>
        <w:t>madera,</w:t>
      </w:r>
      <w:r>
        <w:rPr>
          <w:color w:val="231F20"/>
          <w:spacing w:val="-35"/>
          <w:w w:val="105"/>
        </w:rPr>
        <w:t> </w:t>
      </w:r>
      <w:r>
        <w:rPr>
          <w:color w:val="231F20"/>
          <w:w w:val="105"/>
        </w:rPr>
        <w:t>obreros</w:t>
      </w:r>
      <w:r>
        <w:rPr>
          <w:color w:val="231F20"/>
          <w:spacing w:val="-32"/>
          <w:w w:val="105"/>
        </w:rPr>
        <w:t> </w:t>
      </w:r>
      <w:r>
        <w:rPr>
          <w:color w:val="231F20"/>
          <w:w w:val="105"/>
        </w:rPr>
        <w:t>especializados,</w:t>
      </w:r>
      <w:r>
        <w:rPr>
          <w:color w:val="231F20"/>
          <w:spacing w:val="-35"/>
          <w:w w:val="105"/>
        </w:rPr>
        <w:t> </w:t>
      </w:r>
      <w:r>
        <w:rPr>
          <w:color w:val="231F20"/>
          <w:w w:val="105"/>
        </w:rPr>
        <w:t>supervisores</w:t>
      </w:r>
      <w:r>
        <w:rPr>
          <w:color w:val="231F20"/>
          <w:spacing w:val="-32"/>
          <w:w w:val="105"/>
        </w:rPr>
        <w:t> </w:t>
      </w:r>
      <w:r>
        <w:rPr>
          <w:color w:val="231F20"/>
          <w:w w:val="105"/>
        </w:rPr>
        <w:t>de</w:t>
      </w:r>
      <w:r>
        <w:rPr>
          <w:color w:val="231F20"/>
          <w:spacing w:val="-32"/>
          <w:w w:val="105"/>
        </w:rPr>
        <w:t> </w:t>
      </w:r>
      <w:r>
        <w:rPr>
          <w:color w:val="231F20"/>
          <w:w w:val="105"/>
        </w:rPr>
        <w:t>limpieza.</w:t>
      </w:r>
      <w:r>
        <w:rPr>
          <w:color w:val="231F20"/>
          <w:spacing w:val="-35"/>
          <w:w w:val="105"/>
        </w:rPr>
        <w:t> </w:t>
      </w:r>
      <w:r>
        <w:rPr>
          <w:color w:val="231F20"/>
          <w:spacing w:val="-3"/>
          <w:w w:val="105"/>
        </w:rPr>
        <w:t>Pue- </w:t>
      </w:r>
      <w:r>
        <w:rPr>
          <w:color w:val="231F20"/>
          <w:w w:val="105"/>
        </w:rPr>
        <w:t>de verse en el cuadro 8 que 33.8% de los conocimientos obtenidos por los retornados en el área de restaurant no se aplican productivamente: la mitad es conocimiento calificado. Se aprecia que alrededor del 24% de</w:t>
      </w:r>
      <w:r>
        <w:rPr>
          <w:color w:val="231F20"/>
          <w:spacing w:val="-16"/>
          <w:w w:val="105"/>
        </w:rPr>
        <w:t> </w:t>
      </w:r>
      <w:r>
        <w:rPr>
          <w:color w:val="231F20"/>
          <w:w w:val="105"/>
        </w:rPr>
        <w:t>los</w:t>
      </w:r>
      <w:r>
        <w:rPr>
          <w:color w:val="231F20"/>
          <w:spacing w:val="-16"/>
          <w:w w:val="105"/>
        </w:rPr>
        <w:t> </w:t>
      </w:r>
      <w:r>
        <w:rPr>
          <w:color w:val="231F20"/>
          <w:w w:val="105"/>
        </w:rPr>
        <w:t>conocimientos</w:t>
      </w:r>
      <w:r>
        <w:rPr>
          <w:color w:val="231F20"/>
          <w:spacing w:val="-16"/>
          <w:w w:val="105"/>
        </w:rPr>
        <w:t> </w:t>
      </w:r>
      <w:r>
        <w:rPr>
          <w:color w:val="231F20"/>
          <w:w w:val="105"/>
        </w:rPr>
        <w:t>que</w:t>
      </w:r>
      <w:r>
        <w:rPr>
          <w:color w:val="231F20"/>
          <w:spacing w:val="-16"/>
          <w:w w:val="105"/>
        </w:rPr>
        <w:t> </w:t>
      </w:r>
      <w:r>
        <w:rPr>
          <w:color w:val="231F20"/>
          <w:w w:val="105"/>
        </w:rPr>
        <w:t>trajeron</w:t>
      </w:r>
      <w:r>
        <w:rPr>
          <w:color w:val="231F20"/>
          <w:spacing w:val="-16"/>
          <w:w w:val="105"/>
        </w:rPr>
        <w:t> </w:t>
      </w:r>
      <w:r>
        <w:rPr>
          <w:color w:val="231F20"/>
          <w:w w:val="105"/>
        </w:rPr>
        <w:t>en</w:t>
      </w:r>
      <w:r>
        <w:rPr>
          <w:color w:val="231F20"/>
          <w:spacing w:val="-16"/>
          <w:w w:val="105"/>
        </w:rPr>
        <w:t> </w:t>
      </w:r>
      <w:r>
        <w:rPr>
          <w:color w:val="231F20"/>
          <w:w w:val="105"/>
        </w:rPr>
        <w:t>tareas</w:t>
      </w:r>
      <w:r>
        <w:rPr>
          <w:color w:val="231F20"/>
          <w:spacing w:val="-16"/>
          <w:w w:val="105"/>
        </w:rPr>
        <w:t> </w:t>
      </w:r>
      <w:r>
        <w:rPr>
          <w:color w:val="231F20"/>
          <w:w w:val="105"/>
        </w:rPr>
        <w:t>de</w:t>
      </w:r>
      <w:r>
        <w:rPr>
          <w:color w:val="231F20"/>
          <w:spacing w:val="-16"/>
          <w:w w:val="105"/>
        </w:rPr>
        <w:t> </w:t>
      </w:r>
      <w:r>
        <w:rPr>
          <w:color w:val="231F20"/>
          <w:w w:val="105"/>
        </w:rPr>
        <w:t>construcción</w:t>
      </w:r>
      <w:r>
        <w:rPr>
          <w:color w:val="231F20"/>
          <w:spacing w:val="-16"/>
          <w:w w:val="105"/>
        </w:rPr>
        <w:t> </w:t>
      </w:r>
      <w:r>
        <w:rPr>
          <w:color w:val="231F20"/>
          <w:w w:val="105"/>
        </w:rPr>
        <w:t>tampoco</w:t>
      </w:r>
      <w:r>
        <w:rPr>
          <w:color w:val="231F20"/>
          <w:spacing w:val="-16"/>
          <w:w w:val="105"/>
        </w:rPr>
        <w:t> </w:t>
      </w:r>
      <w:r>
        <w:rPr>
          <w:color w:val="231F20"/>
          <w:w w:val="105"/>
        </w:rPr>
        <w:t>se emplean</w:t>
      </w:r>
      <w:r>
        <w:rPr>
          <w:color w:val="231F20"/>
          <w:spacing w:val="-7"/>
          <w:w w:val="105"/>
        </w:rPr>
        <w:t> </w:t>
      </w:r>
      <w:r>
        <w:rPr>
          <w:color w:val="231F20"/>
          <w:w w:val="105"/>
        </w:rPr>
        <w:t>productivamente,</w:t>
      </w:r>
      <w:r>
        <w:rPr>
          <w:color w:val="231F20"/>
          <w:spacing w:val="-12"/>
          <w:w w:val="105"/>
        </w:rPr>
        <w:t> </w:t>
      </w:r>
      <w:r>
        <w:rPr>
          <w:color w:val="231F20"/>
          <w:w w:val="105"/>
        </w:rPr>
        <w:t>la</w:t>
      </w:r>
      <w:r>
        <w:rPr>
          <w:color w:val="231F20"/>
          <w:spacing w:val="-7"/>
          <w:w w:val="105"/>
        </w:rPr>
        <w:t> </w:t>
      </w:r>
      <w:r>
        <w:rPr>
          <w:color w:val="231F20"/>
          <w:w w:val="105"/>
        </w:rPr>
        <w:t>mayoría</w:t>
      </w:r>
      <w:r>
        <w:rPr>
          <w:color w:val="231F20"/>
          <w:spacing w:val="-7"/>
          <w:w w:val="105"/>
        </w:rPr>
        <w:t> </w:t>
      </w:r>
      <w:r>
        <w:rPr>
          <w:color w:val="231F20"/>
          <w:w w:val="105"/>
        </w:rPr>
        <w:t>es</w:t>
      </w:r>
      <w:r>
        <w:rPr>
          <w:color w:val="231F20"/>
          <w:spacing w:val="-7"/>
          <w:w w:val="105"/>
        </w:rPr>
        <w:t> </w:t>
      </w:r>
      <w:r>
        <w:rPr>
          <w:color w:val="231F20"/>
          <w:w w:val="105"/>
        </w:rPr>
        <w:t>conocimiento</w:t>
      </w:r>
      <w:r>
        <w:rPr>
          <w:color w:val="231F20"/>
          <w:spacing w:val="-7"/>
          <w:w w:val="105"/>
        </w:rPr>
        <w:t> </w:t>
      </w:r>
      <w:r>
        <w:rPr>
          <w:color w:val="231F20"/>
          <w:w w:val="105"/>
        </w:rPr>
        <w:t>calificado.</w:t>
      </w:r>
      <w:r>
        <w:rPr>
          <w:color w:val="231F20"/>
          <w:spacing w:val="-12"/>
          <w:w w:val="105"/>
        </w:rPr>
        <w:t> </w:t>
      </w:r>
      <w:r>
        <w:rPr>
          <w:color w:val="231F20"/>
          <w:w w:val="105"/>
        </w:rPr>
        <w:t>Otros conocimientos que no se aplican productivamente son los agrícolas (16.9%) y los personales (12.7%), en ambos casos la mitad del</w:t>
      </w:r>
      <w:r>
        <w:rPr>
          <w:color w:val="231F20"/>
          <w:spacing w:val="-15"/>
          <w:w w:val="105"/>
        </w:rPr>
        <w:t> </w:t>
      </w:r>
      <w:r>
        <w:rPr>
          <w:color w:val="231F20"/>
          <w:w w:val="105"/>
        </w:rPr>
        <w:t>conoci- miento</w:t>
      </w:r>
      <w:r>
        <w:rPr>
          <w:color w:val="231F20"/>
          <w:spacing w:val="-17"/>
          <w:w w:val="105"/>
        </w:rPr>
        <w:t> </w:t>
      </w:r>
      <w:r>
        <w:rPr>
          <w:color w:val="231F20"/>
          <w:w w:val="105"/>
        </w:rPr>
        <w:t>sin</w:t>
      </w:r>
      <w:r>
        <w:rPr>
          <w:color w:val="231F20"/>
          <w:spacing w:val="-17"/>
          <w:w w:val="105"/>
        </w:rPr>
        <w:t> </w:t>
      </w:r>
      <w:r>
        <w:rPr>
          <w:color w:val="231F20"/>
          <w:w w:val="105"/>
        </w:rPr>
        <w:t>emplear</w:t>
      </w:r>
      <w:r>
        <w:rPr>
          <w:color w:val="231F20"/>
          <w:spacing w:val="-17"/>
          <w:w w:val="105"/>
        </w:rPr>
        <w:t> </w:t>
      </w:r>
      <w:r>
        <w:rPr>
          <w:color w:val="231F20"/>
          <w:w w:val="105"/>
        </w:rPr>
        <w:t>es</w:t>
      </w:r>
      <w:r>
        <w:rPr>
          <w:color w:val="231F20"/>
          <w:spacing w:val="-17"/>
          <w:w w:val="105"/>
        </w:rPr>
        <w:t> </w:t>
      </w:r>
      <w:r>
        <w:rPr>
          <w:color w:val="231F20"/>
          <w:w w:val="105"/>
        </w:rPr>
        <w:t>calificado.</w:t>
      </w:r>
    </w:p>
    <w:p>
      <w:pPr>
        <w:pStyle w:val="BodyText"/>
        <w:spacing w:line="261" w:lineRule="auto" w:before="1"/>
        <w:ind w:left="1837" w:right="1721" w:firstLine="567"/>
        <w:jc w:val="both"/>
      </w:pPr>
      <w:r>
        <w:rPr/>
        <w:pict>
          <v:line style="position:absolute;mso-position-horizontal-relative:page;mso-position-vertical-relative:paragraph;z-index:-459592" from="15pt,140.273987pt" to="0pt,140.273987pt" stroked="true" strokeweight=".25pt" strokecolor="#000000">
            <w10:wrap type="none"/>
          </v:line>
        </w:pict>
      </w:r>
      <w:r>
        <w:rPr/>
        <w:pict>
          <v:line style="position:absolute;mso-position-horizontal-relative:page;mso-position-vertical-relative:paragraph;z-index:30616" from="508.890015pt,140.273987pt" to="523.890015pt,140.273987pt" stroked="true" strokeweight=".25pt" strokecolor="#000000">
            <w10:wrap type="none"/>
          </v:line>
        </w:pict>
      </w:r>
      <w:r>
        <w:rPr>
          <w:color w:val="231F20"/>
          <w:w w:val="105"/>
        </w:rPr>
        <w:t>Esto reafirma que, en promedio, poco más de la mitad del cono- cimiento laboral traído por los retornados de </w:t>
      </w:r>
      <w:r>
        <w:rPr>
          <w:color w:val="231F20"/>
          <w:spacing w:val="-5"/>
          <w:w w:val="105"/>
        </w:rPr>
        <w:t>Texas </w:t>
      </w:r>
      <w:r>
        <w:rPr>
          <w:color w:val="231F20"/>
          <w:w w:val="105"/>
        </w:rPr>
        <w:t>es conocimiento</w:t>
      </w:r>
      <w:r>
        <w:rPr>
          <w:color w:val="231F20"/>
          <w:spacing w:val="-28"/>
          <w:w w:val="105"/>
        </w:rPr>
        <w:t> </w:t>
      </w:r>
      <w:r>
        <w:rPr>
          <w:color w:val="231F20"/>
          <w:w w:val="105"/>
        </w:rPr>
        <w:t>ca- lificado que no se aplica productivamente en la entidad: conocimiento parte</w:t>
      </w:r>
      <w:r>
        <w:rPr>
          <w:color w:val="231F20"/>
          <w:spacing w:val="-15"/>
          <w:w w:val="105"/>
        </w:rPr>
        <w:t> </w:t>
      </w:r>
      <w:r>
        <w:rPr>
          <w:color w:val="231F20"/>
          <w:w w:val="105"/>
        </w:rPr>
        <w:t>de</w:t>
      </w:r>
      <w:r>
        <w:rPr>
          <w:color w:val="231F20"/>
          <w:spacing w:val="-15"/>
          <w:w w:val="105"/>
        </w:rPr>
        <w:t> </w:t>
      </w:r>
      <w:r>
        <w:rPr>
          <w:color w:val="231F20"/>
          <w:w w:val="105"/>
        </w:rPr>
        <w:t>sus</w:t>
      </w:r>
      <w:r>
        <w:rPr>
          <w:color w:val="231F20"/>
          <w:spacing w:val="-15"/>
          <w:w w:val="105"/>
        </w:rPr>
        <w:t> </w:t>
      </w:r>
      <w:r>
        <w:rPr>
          <w:color w:val="231F20"/>
          <w:w w:val="105"/>
        </w:rPr>
        <w:t>activos</w:t>
      </w:r>
      <w:r>
        <w:rPr>
          <w:color w:val="231F20"/>
          <w:spacing w:val="-15"/>
          <w:w w:val="105"/>
        </w:rPr>
        <w:t> </w:t>
      </w:r>
      <w:r>
        <w:rPr>
          <w:color w:val="231F20"/>
          <w:w w:val="105"/>
        </w:rPr>
        <w:t>y</w:t>
      </w:r>
      <w:r>
        <w:rPr>
          <w:color w:val="231F20"/>
          <w:spacing w:val="-15"/>
          <w:w w:val="105"/>
        </w:rPr>
        <w:t> </w:t>
      </w:r>
      <w:r>
        <w:rPr>
          <w:color w:val="231F20"/>
          <w:w w:val="105"/>
        </w:rPr>
        <w:t>modos</w:t>
      </w:r>
      <w:r>
        <w:rPr>
          <w:color w:val="231F20"/>
          <w:spacing w:val="-15"/>
          <w:w w:val="105"/>
        </w:rPr>
        <w:t> </w:t>
      </w:r>
      <w:r>
        <w:rPr>
          <w:color w:val="231F20"/>
          <w:w w:val="105"/>
        </w:rPr>
        <w:t>de</w:t>
      </w:r>
      <w:r>
        <w:rPr>
          <w:color w:val="231F20"/>
          <w:spacing w:val="-15"/>
          <w:w w:val="105"/>
        </w:rPr>
        <w:t> </w:t>
      </w:r>
      <w:r>
        <w:rPr>
          <w:color w:val="231F20"/>
          <w:w w:val="105"/>
        </w:rPr>
        <w:t>vida.</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0"/>
        <w:ind w:left="3236" w:right="0" w:firstLine="0"/>
        <w:jc w:val="left"/>
        <w:rPr>
          <w:rFonts w:ascii="Arial"/>
          <w:sz w:val="18"/>
        </w:rPr>
      </w:pPr>
      <w:r>
        <w:rPr/>
        <w:pict>
          <v:line style="position:absolute;mso-position-horizontal-relative:page;mso-position-vertical-relative:paragraph;z-index:30664" from="15pt,-71.424232pt" to="0pt,-71.424232pt" stroked="true" strokeweight=".25pt" strokecolor="#000000">
            <w10:wrap type="none"/>
          </v:line>
        </w:pict>
      </w:r>
      <w:r>
        <w:rPr/>
        <w:pict>
          <v:line style="position:absolute;mso-position-horizontal-relative:page;mso-position-vertical-relative:paragraph;z-index:30688" from="508.890015pt,-71.424232pt" to="523.890015pt,-71.424232pt" stroked="true" strokeweight=".25pt" strokecolor="#000000">
            <w10:wrap type="none"/>
          </v:line>
        </w:pict>
      </w:r>
      <w:r>
        <w:rPr>
          <w:rFonts w:ascii="Arial"/>
          <w:color w:val="231F20"/>
          <w:w w:val="105"/>
          <w:sz w:val="18"/>
        </w:rPr>
        <w:t>Cuadro 8. Conocimiento no aplicado al retorno</w:t>
      </w:r>
    </w:p>
    <w:p>
      <w:pPr>
        <w:pStyle w:val="BodyText"/>
        <w:spacing w:before="5"/>
        <w:rPr>
          <w:rFonts w:ascii="Arial"/>
          <w:sz w:val="13"/>
        </w:rPr>
      </w:pPr>
    </w:p>
    <w:tbl>
      <w:tblPr>
        <w:tblW w:w="0" w:type="auto"/>
        <w:jc w:val="left"/>
        <w:tblInd w:w="208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588"/>
        <w:gridCol w:w="1200"/>
        <w:gridCol w:w="1200"/>
        <w:gridCol w:w="1200"/>
      </w:tblGrid>
      <w:tr>
        <w:trPr>
          <w:trHeight w:val="340" w:hRule="exact"/>
        </w:trPr>
        <w:tc>
          <w:tcPr>
            <w:tcW w:w="2588" w:type="dxa"/>
          </w:tcPr>
          <w:p>
            <w:pPr>
              <w:pStyle w:val="TableParagraph"/>
              <w:spacing w:before="88"/>
              <w:ind w:left="207"/>
              <w:rPr>
                <w:rFonts w:ascii="Arial"/>
                <w:sz w:val="18"/>
              </w:rPr>
            </w:pPr>
            <w:r>
              <w:rPr>
                <w:rFonts w:ascii="Arial"/>
                <w:color w:val="231F20"/>
                <w:w w:val="105"/>
                <w:sz w:val="18"/>
              </w:rPr>
              <w:t>Conocimiento no aplicado</w:t>
            </w:r>
          </w:p>
        </w:tc>
        <w:tc>
          <w:tcPr>
            <w:tcW w:w="1200" w:type="dxa"/>
          </w:tcPr>
          <w:p>
            <w:pPr>
              <w:pStyle w:val="TableParagraph"/>
              <w:spacing w:before="88"/>
              <w:ind w:left="166" w:right="66"/>
              <w:rPr>
                <w:rFonts w:ascii="Arial"/>
                <w:sz w:val="18"/>
              </w:rPr>
            </w:pPr>
            <w:r>
              <w:rPr>
                <w:rFonts w:ascii="Arial"/>
                <w:color w:val="231F20"/>
                <w:w w:val="105"/>
                <w:sz w:val="18"/>
              </w:rPr>
              <w:t>Porcentaje</w:t>
            </w:r>
          </w:p>
        </w:tc>
        <w:tc>
          <w:tcPr>
            <w:tcW w:w="1200" w:type="dxa"/>
          </w:tcPr>
          <w:p>
            <w:pPr>
              <w:pStyle w:val="TableParagraph"/>
              <w:spacing w:before="88"/>
              <w:ind w:left="186" w:right="66"/>
              <w:rPr>
                <w:rFonts w:ascii="Arial"/>
                <w:sz w:val="18"/>
              </w:rPr>
            </w:pPr>
            <w:r>
              <w:rPr>
                <w:rFonts w:ascii="Arial"/>
                <w:color w:val="231F20"/>
                <w:w w:val="105"/>
                <w:sz w:val="18"/>
              </w:rPr>
              <w:t>Calificado</w:t>
            </w:r>
          </w:p>
        </w:tc>
        <w:tc>
          <w:tcPr>
            <w:tcW w:w="1200" w:type="dxa"/>
          </w:tcPr>
          <w:p>
            <w:pPr>
              <w:pStyle w:val="TableParagraph"/>
              <w:spacing w:before="88"/>
              <w:ind w:left="330" w:right="66"/>
              <w:rPr>
                <w:rFonts w:ascii="Arial" w:hAnsi="Arial"/>
                <w:sz w:val="18"/>
              </w:rPr>
            </w:pPr>
            <w:r>
              <w:rPr>
                <w:rFonts w:ascii="Arial" w:hAnsi="Arial"/>
                <w:color w:val="231F20"/>
                <w:sz w:val="18"/>
              </w:rPr>
              <w:t>Básico</w:t>
            </w:r>
          </w:p>
        </w:tc>
      </w:tr>
      <w:tr>
        <w:trPr>
          <w:trHeight w:val="340" w:hRule="exact"/>
        </w:trPr>
        <w:tc>
          <w:tcPr>
            <w:tcW w:w="2588" w:type="dxa"/>
          </w:tcPr>
          <w:p>
            <w:pPr>
              <w:pStyle w:val="TableParagraph"/>
              <w:ind w:left="77"/>
              <w:rPr>
                <w:sz w:val="18"/>
              </w:rPr>
            </w:pPr>
            <w:r>
              <w:rPr>
                <w:color w:val="231F20"/>
                <w:w w:val="105"/>
                <w:sz w:val="18"/>
              </w:rPr>
              <w:t>Restaurant***</w:t>
            </w:r>
          </w:p>
        </w:tc>
        <w:tc>
          <w:tcPr>
            <w:tcW w:w="1200" w:type="dxa"/>
          </w:tcPr>
          <w:p>
            <w:pPr>
              <w:pStyle w:val="TableParagraph"/>
              <w:ind w:left="77" w:right="66"/>
              <w:rPr>
                <w:sz w:val="18"/>
              </w:rPr>
            </w:pPr>
            <w:r>
              <w:rPr>
                <w:color w:val="231F20"/>
                <w:w w:val="105"/>
                <w:sz w:val="18"/>
              </w:rPr>
              <w:t>33.8</w:t>
            </w:r>
          </w:p>
        </w:tc>
        <w:tc>
          <w:tcPr>
            <w:tcW w:w="1200" w:type="dxa"/>
          </w:tcPr>
          <w:p>
            <w:pPr>
              <w:pStyle w:val="TableParagraph"/>
              <w:ind w:left="77" w:right="66"/>
              <w:rPr>
                <w:sz w:val="18"/>
              </w:rPr>
            </w:pPr>
            <w:r>
              <w:rPr>
                <w:color w:val="231F20"/>
                <w:w w:val="105"/>
                <w:sz w:val="18"/>
              </w:rPr>
              <w:t>50.0</w:t>
            </w:r>
          </w:p>
        </w:tc>
        <w:tc>
          <w:tcPr>
            <w:tcW w:w="1200" w:type="dxa"/>
          </w:tcPr>
          <w:p>
            <w:pPr>
              <w:pStyle w:val="TableParagraph"/>
              <w:ind w:left="77" w:right="66"/>
              <w:rPr>
                <w:sz w:val="18"/>
              </w:rPr>
            </w:pPr>
            <w:r>
              <w:rPr>
                <w:color w:val="231F20"/>
                <w:w w:val="105"/>
                <w:sz w:val="18"/>
              </w:rPr>
              <w:t>50.0</w:t>
            </w:r>
          </w:p>
        </w:tc>
      </w:tr>
      <w:tr>
        <w:trPr>
          <w:trHeight w:val="340" w:hRule="exact"/>
        </w:trPr>
        <w:tc>
          <w:tcPr>
            <w:tcW w:w="2588" w:type="dxa"/>
          </w:tcPr>
          <w:p>
            <w:pPr>
              <w:pStyle w:val="TableParagraph"/>
              <w:ind w:left="77"/>
              <w:rPr>
                <w:sz w:val="18"/>
              </w:rPr>
            </w:pPr>
            <w:r>
              <w:rPr>
                <w:color w:val="231F20"/>
                <w:w w:val="105"/>
                <w:sz w:val="18"/>
              </w:rPr>
              <w:t>Construcción*</w:t>
            </w:r>
          </w:p>
        </w:tc>
        <w:tc>
          <w:tcPr>
            <w:tcW w:w="1200" w:type="dxa"/>
          </w:tcPr>
          <w:p>
            <w:pPr>
              <w:pStyle w:val="TableParagraph"/>
              <w:ind w:left="77" w:right="66"/>
              <w:rPr>
                <w:sz w:val="18"/>
              </w:rPr>
            </w:pPr>
            <w:r>
              <w:rPr>
                <w:color w:val="231F20"/>
                <w:w w:val="105"/>
                <w:sz w:val="18"/>
              </w:rPr>
              <w:t>23.9</w:t>
            </w:r>
          </w:p>
        </w:tc>
        <w:tc>
          <w:tcPr>
            <w:tcW w:w="1200" w:type="dxa"/>
          </w:tcPr>
          <w:p>
            <w:pPr>
              <w:pStyle w:val="TableParagraph"/>
              <w:ind w:left="77" w:right="66"/>
              <w:rPr>
                <w:sz w:val="18"/>
              </w:rPr>
            </w:pPr>
            <w:r>
              <w:rPr>
                <w:color w:val="231F20"/>
                <w:w w:val="105"/>
                <w:sz w:val="18"/>
              </w:rPr>
              <w:t>64.7</w:t>
            </w:r>
          </w:p>
        </w:tc>
        <w:tc>
          <w:tcPr>
            <w:tcW w:w="1200" w:type="dxa"/>
          </w:tcPr>
          <w:p>
            <w:pPr>
              <w:pStyle w:val="TableParagraph"/>
              <w:ind w:left="77" w:right="66"/>
              <w:rPr>
                <w:sz w:val="18"/>
              </w:rPr>
            </w:pPr>
            <w:r>
              <w:rPr>
                <w:color w:val="231F20"/>
                <w:w w:val="105"/>
                <w:sz w:val="18"/>
              </w:rPr>
              <w:t>35.3</w:t>
            </w:r>
          </w:p>
        </w:tc>
      </w:tr>
      <w:tr>
        <w:trPr>
          <w:trHeight w:val="340" w:hRule="exact"/>
        </w:trPr>
        <w:tc>
          <w:tcPr>
            <w:tcW w:w="2588" w:type="dxa"/>
          </w:tcPr>
          <w:p>
            <w:pPr>
              <w:pStyle w:val="TableParagraph"/>
              <w:ind w:left="77"/>
              <w:rPr>
                <w:sz w:val="18"/>
              </w:rPr>
            </w:pPr>
            <w:r>
              <w:rPr>
                <w:color w:val="231F20"/>
                <w:w w:val="105"/>
                <w:sz w:val="18"/>
              </w:rPr>
              <w:t>Agrícolas*****</w:t>
            </w:r>
          </w:p>
        </w:tc>
        <w:tc>
          <w:tcPr>
            <w:tcW w:w="1200" w:type="dxa"/>
          </w:tcPr>
          <w:p>
            <w:pPr>
              <w:pStyle w:val="TableParagraph"/>
              <w:ind w:left="78" w:right="66"/>
              <w:rPr>
                <w:sz w:val="18"/>
              </w:rPr>
            </w:pPr>
            <w:r>
              <w:rPr>
                <w:color w:val="231F20"/>
                <w:w w:val="105"/>
                <w:sz w:val="18"/>
              </w:rPr>
              <w:t>16.9</w:t>
            </w:r>
          </w:p>
        </w:tc>
        <w:tc>
          <w:tcPr>
            <w:tcW w:w="1200" w:type="dxa"/>
          </w:tcPr>
          <w:p>
            <w:pPr>
              <w:pStyle w:val="TableParagraph"/>
              <w:ind w:left="78" w:right="66"/>
              <w:rPr>
                <w:sz w:val="18"/>
              </w:rPr>
            </w:pPr>
            <w:r>
              <w:rPr>
                <w:color w:val="231F20"/>
                <w:w w:val="105"/>
                <w:sz w:val="18"/>
              </w:rPr>
              <w:t>41.6</w:t>
            </w:r>
          </w:p>
        </w:tc>
        <w:tc>
          <w:tcPr>
            <w:tcW w:w="1200" w:type="dxa"/>
          </w:tcPr>
          <w:p>
            <w:pPr>
              <w:pStyle w:val="TableParagraph"/>
              <w:ind w:left="78" w:right="66"/>
              <w:rPr>
                <w:sz w:val="18"/>
              </w:rPr>
            </w:pPr>
            <w:r>
              <w:rPr>
                <w:color w:val="231F20"/>
                <w:w w:val="105"/>
                <w:sz w:val="18"/>
              </w:rPr>
              <w:t>58.4</w:t>
            </w:r>
          </w:p>
        </w:tc>
      </w:tr>
      <w:tr>
        <w:trPr>
          <w:trHeight w:val="340" w:hRule="exact"/>
        </w:trPr>
        <w:tc>
          <w:tcPr>
            <w:tcW w:w="2588" w:type="dxa"/>
          </w:tcPr>
          <w:p>
            <w:pPr>
              <w:pStyle w:val="TableParagraph"/>
              <w:ind w:left="78"/>
              <w:rPr>
                <w:sz w:val="18"/>
              </w:rPr>
            </w:pPr>
            <w:r>
              <w:rPr>
                <w:color w:val="231F20"/>
                <w:w w:val="105"/>
                <w:sz w:val="18"/>
              </w:rPr>
              <w:t>Personales****</w:t>
            </w:r>
          </w:p>
        </w:tc>
        <w:tc>
          <w:tcPr>
            <w:tcW w:w="1200" w:type="dxa"/>
          </w:tcPr>
          <w:p>
            <w:pPr>
              <w:pStyle w:val="TableParagraph"/>
              <w:ind w:left="78" w:right="66"/>
              <w:rPr>
                <w:sz w:val="18"/>
              </w:rPr>
            </w:pPr>
            <w:r>
              <w:rPr>
                <w:color w:val="231F20"/>
                <w:w w:val="105"/>
                <w:sz w:val="18"/>
              </w:rPr>
              <w:t>12.7</w:t>
            </w:r>
          </w:p>
        </w:tc>
        <w:tc>
          <w:tcPr>
            <w:tcW w:w="1200" w:type="dxa"/>
          </w:tcPr>
          <w:p>
            <w:pPr>
              <w:pStyle w:val="TableParagraph"/>
              <w:ind w:left="78" w:right="66"/>
              <w:rPr>
                <w:sz w:val="18"/>
              </w:rPr>
            </w:pPr>
            <w:r>
              <w:rPr>
                <w:color w:val="231F20"/>
                <w:w w:val="105"/>
                <w:sz w:val="18"/>
              </w:rPr>
              <w:t>55.5</w:t>
            </w:r>
          </w:p>
        </w:tc>
        <w:tc>
          <w:tcPr>
            <w:tcW w:w="1200" w:type="dxa"/>
          </w:tcPr>
          <w:p>
            <w:pPr>
              <w:pStyle w:val="TableParagraph"/>
              <w:ind w:left="78" w:right="66"/>
              <w:rPr>
                <w:sz w:val="18"/>
              </w:rPr>
            </w:pPr>
            <w:r>
              <w:rPr>
                <w:color w:val="231F20"/>
                <w:w w:val="105"/>
                <w:sz w:val="18"/>
              </w:rPr>
              <w:t>45.5</w:t>
            </w:r>
          </w:p>
        </w:tc>
      </w:tr>
      <w:tr>
        <w:trPr>
          <w:trHeight w:val="340" w:hRule="exact"/>
        </w:trPr>
        <w:tc>
          <w:tcPr>
            <w:tcW w:w="2588" w:type="dxa"/>
          </w:tcPr>
          <w:p>
            <w:pPr>
              <w:pStyle w:val="TableParagraph"/>
              <w:ind w:left="78"/>
              <w:rPr>
                <w:sz w:val="18"/>
              </w:rPr>
            </w:pPr>
            <w:r>
              <w:rPr>
                <w:color w:val="231F20"/>
                <w:w w:val="105"/>
                <w:sz w:val="18"/>
              </w:rPr>
              <w:t>Técnicos**</w:t>
            </w:r>
          </w:p>
        </w:tc>
        <w:tc>
          <w:tcPr>
            <w:tcW w:w="1200" w:type="dxa"/>
          </w:tcPr>
          <w:p>
            <w:pPr>
              <w:pStyle w:val="TableParagraph"/>
              <w:ind w:left="78" w:right="66"/>
              <w:rPr>
                <w:sz w:val="18"/>
              </w:rPr>
            </w:pPr>
            <w:r>
              <w:rPr>
                <w:color w:val="231F20"/>
                <w:sz w:val="18"/>
              </w:rPr>
              <w:t>4.2</w:t>
            </w:r>
          </w:p>
        </w:tc>
        <w:tc>
          <w:tcPr>
            <w:tcW w:w="1200" w:type="dxa"/>
          </w:tcPr>
          <w:p>
            <w:pPr>
              <w:pStyle w:val="TableParagraph"/>
              <w:ind w:left="78" w:right="66"/>
              <w:rPr>
                <w:sz w:val="18"/>
              </w:rPr>
            </w:pPr>
            <w:r>
              <w:rPr>
                <w:color w:val="231F20"/>
                <w:w w:val="105"/>
                <w:sz w:val="18"/>
              </w:rPr>
              <w:t>66.6</w:t>
            </w:r>
          </w:p>
        </w:tc>
        <w:tc>
          <w:tcPr>
            <w:tcW w:w="1200" w:type="dxa"/>
          </w:tcPr>
          <w:p>
            <w:pPr>
              <w:pStyle w:val="TableParagraph"/>
              <w:ind w:left="78" w:right="66"/>
              <w:rPr>
                <w:sz w:val="18"/>
              </w:rPr>
            </w:pPr>
            <w:r>
              <w:rPr>
                <w:color w:val="231F20"/>
                <w:w w:val="105"/>
                <w:sz w:val="18"/>
              </w:rPr>
              <w:t>33.3</w:t>
            </w:r>
          </w:p>
        </w:tc>
      </w:tr>
      <w:tr>
        <w:trPr>
          <w:trHeight w:val="340" w:hRule="exact"/>
        </w:trPr>
        <w:tc>
          <w:tcPr>
            <w:tcW w:w="2588" w:type="dxa"/>
          </w:tcPr>
          <w:p>
            <w:pPr>
              <w:pStyle w:val="TableParagraph"/>
              <w:ind w:left="78"/>
              <w:rPr>
                <w:sz w:val="18"/>
              </w:rPr>
            </w:pPr>
            <w:r>
              <w:rPr>
                <w:color w:val="231F20"/>
                <w:w w:val="110"/>
                <w:sz w:val="18"/>
              </w:rPr>
              <w:t>Otros******</w:t>
            </w:r>
          </w:p>
        </w:tc>
        <w:tc>
          <w:tcPr>
            <w:tcW w:w="1200" w:type="dxa"/>
          </w:tcPr>
          <w:p>
            <w:pPr>
              <w:pStyle w:val="TableParagraph"/>
              <w:ind w:left="78" w:right="66"/>
              <w:rPr>
                <w:sz w:val="18"/>
              </w:rPr>
            </w:pPr>
            <w:r>
              <w:rPr>
                <w:color w:val="231F20"/>
                <w:sz w:val="18"/>
              </w:rPr>
              <w:t>8.4</w:t>
            </w:r>
          </w:p>
        </w:tc>
        <w:tc>
          <w:tcPr>
            <w:tcW w:w="1200" w:type="dxa"/>
          </w:tcPr>
          <w:p>
            <w:pPr>
              <w:pStyle w:val="TableParagraph"/>
              <w:ind w:left="78" w:right="66"/>
              <w:rPr>
                <w:sz w:val="18"/>
              </w:rPr>
            </w:pPr>
            <w:r>
              <w:rPr>
                <w:color w:val="231F20"/>
                <w:w w:val="105"/>
                <w:sz w:val="18"/>
              </w:rPr>
              <w:t>50.0</w:t>
            </w:r>
          </w:p>
        </w:tc>
        <w:tc>
          <w:tcPr>
            <w:tcW w:w="1200" w:type="dxa"/>
          </w:tcPr>
          <w:p>
            <w:pPr>
              <w:pStyle w:val="TableParagraph"/>
              <w:ind w:left="78" w:right="66"/>
              <w:rPr>
                <w:sz w:val="18"/>
              </w:rPr>
            </w:pPr>
            <w:r>
              <w:rPr>
                <w:color w:val="231F20"/>
                <w:w w:val="105"/>
                <w:sz w:val="18"/>
              </w:rPr>
              <w:t>50.0</w:t>
            </w:r>
          </w:p>
        </w:tc>
      </w:tr>
    </w:tbl>
    <w:p>
      <w:pPr>
        <w:spacing w:before="78"/>
        <w:ind w:left="2064" w:right="0" w:firstLine="0"/>
        <w:jc w:val="left"/>
        <w:rPr>
          <w:sz w:val="16"/>
        </w:rPr>
      </w:pPr>
      <w:r>
        <w:rPr>
          <w:color w:val="231F20"/>
          <w:w w:val="105"/>
          <w:sz w:val="16"/>
        </w:rPr>
        <w:t>Fuente: elaboración propia.</w:t>
      </w:r>
    </w:p>
    <w:p>
      <w:pPr>
        <w:spacing w:line="254" w:lineRule="auto" w:before="11"/>
        <w:ind w:left="2064" w:right="1920" w:firstLine="0"/>
        <w:jc w:val="left"/>
        <w:rPr>
          <w:sz w:val="16"/>
        </w:rPr>
      </w:pPr>
      <w:r>
        <w:rPr>
          <w:color w:val="231F20"/>
          <w:w w:val="105"/>
          <w:sz w:val="16"/>
        </w:rPr>
        <w:t>*Incluye:</w:t>
      </w:r>
      <w:r>
        <w:rPr>
          <w:color w:val="231F20"/>
          <w:spacing w:val="-16"/>
          <w:w w:val="105"/>
          <w:sz w:val="16"/>
        </w:rPr>
        <w:t> </w:t>
      </w:r>
      <w:r>
        <w:rPr>
          <w:color w:val="231F20"/>
          <w:w w:val="105"/>
          <w:sz w:val="16"/>
        </w:rPr>
        <w:t>labores</w:t>
      </w:r>
      <w:r>
        <w:rPr>
          <w:color w:val="231F20"/>
          <w:spacing w:val="-16"/>
          <w:w w:val="105"/>
          <w:sz w:val="16"/>
        </w:rPr>
        <w:t> </w:t>
      </w:r>
      <w:r>
        <w:rPr>
          <w:color w:val="231F20"/>
          <w:w w:val="105"/>
          <w:sz w:val="16"/>
        </w:rPr>
        <w:t>generales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construcción,</w:t>
      </w:r>
      <w:r>
        <w:rPr>
          <w:color w:val="231F20"/>
          <w:spacing w:val="-19"/>
          <w:w w:val="105"/>
          <w:sz w:val="16"/>
        </w:rPr>
        <w:t> </w:t>
      </w:r>
      <w:r>
        <w:rPr>
          <w:color w:val="231F20"/>
          <w:w w:val="105"/>
          <w:sz w:val="16"/>
        </w:rPr>
        <w:t>casas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madera,</w:t>
      </w:r>
      <w:r>
        <w:rPr>
          <w:color w:val="231F20"/>
          <w:spacing w:val="-19"/>
          <w:w w:val="105"/>
          <w:sz w:val="16"/>
        </w:rPr>
        <w:t> </w:t>
      </w:r>
      <w:r>
        <w:rPr>
          <w:color w:val="231F20"/>
          <w:w w:val="105"/>
          <w:sz w:val="16"/>
        </w:rPr>
        <w:t>pintura</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casas,</w:t>
      </w:r>
      <w:r>
        <w:rPr>
          <w:color w:val="231F20"/>
          <w:spacing w:val="-19"/>
          <w:w w:val="105"/>
          <w:sz w:val="16"/>
        </w:rPr>
        <w:t> </w:t>
      </w:r>
      <w:r>
        <w:rPr>
          <w:color w:val="231F20"/>
          <w:w w:val="105"/>
          <w:sz w:val="16"/>
        </w:rPr>
        <w:t>tabla roca,</w:t>
      </w:r>
      <w:r>
        <w:rPr>
          <w:color w:val="231F20"/>
          <w:spacing w:val="-33"/>
          <w:w w:val="105"/>
          <w:sz w:val="16"/>
        </w:rPr>
        <w:t> </w:t>
      </w:r>
      <w:r>
        <w:rPr>
          <w:color w:val="231F20"/>
          <w:w w:val="105"/>
          <w:sz w:val="16"/>
        </w:rPr>
        <w:t>plomería,</w:t>
      </w:r>
      <w:r>
        <w:rPr>
          <w:color w:val="231F20"/>
          <w:spacing w:val="-33"/>
          <w:w w:val="105"/>
          <w:sz w:val="16"/>
        </w:rPr>
        <w:t> </w:t>
      </w:r>
      <w:r>
        <w:rPr>
          <w:color w:val="231F20"/>
          <w:w w:val="105"/>
          <w:sz w:val="16"/>
        </w:rPr>
        <w:t>maquinaria</w:t>
      </w:r>
      <w:r>
        <w:rPr>
          <w:color w:val="231F20"/>
          <w:spacing w:val="-32"/>
          <w:w w:val="105"/>
          <w:sz w:val="16"/>
        </w:rPr>
        <w:t> </w:t>
      </w:r>
      <w:r>
        <w:rPr>
          <w:color w:val="231F20"/>
          <w:w w:val="105"/>
          <w:sz w:val="16"/>
        </w:rPr>
        <w:t>pesada.</w:t>
      </w:r>
    </w:p>
    <w:p>
      <w:pPr>
        <w:spacing w:line="254" w:lineRule="auto" w:before="0"/>
        <w:ind w:left="2064" w:right="2168" w:firstLine="0"/>
        <w:jc w:val="left"/>
        <w:rPr>
          <w:sz w:val="16"/>
        </w:rPr>
      </w:pPr>
      <w:r>
        <w:rPr>
          <w:color w:val="231F20"/>
          <w:sz w:val="16"/>
        </w:rPr>
        <w:t>**Incluye: soldadura y herrería de naves industriales, costura en técnicas, diseños y ma- nejo de nuevas máquinas.</w:t>
      </w:r>
    </w:p>
    <w:p>
      <w:pPr>
        <w:spacing w:line="254" w:lineRule="auto" w:before="0"/>
        <w:ind w:left="2064" w:right="1920" w:firstLine="0"/>
        <w:jc w:val="left"/>
        <w:rPr>
          <w:sz w:val="16"/>
        </w:rPr>
      </w:pPr>
      <w:r>
        <w:rPr>
          <w:color w:val="231F20"/>
          <w:w w:val="105"/>
          <w:sz w:val="16"/>
        </w:rPr>
        <w:t>***Incluye:</w:t>
      </w:r>
      <w:r>
        <w:rPr>
          <w:color w:val="231F20"/>
          <w:spacing w:val="-13"/>
          <w:w w:val="105"/>
          <w:sz w:val="16"/>
        </w:rPr>
        <w:t> </w:t>
      </w:r>
      <w:r>
        <w:rPr>
          <w:color w:val="231F20"/>
          <w:w w:val="105"/>
          <w:sz w:val="16"/>
        </w:rPr>
        <w:t>labores</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cocina,</w:t>
      </w:r>
      <w:r>
        <w:rPr>
          <w:color w:val="231F20"/>
          <w:spacing w:val="-16"/>
          <w:w w:val="105"/>
          <w:sz w:val="16"/>
        </w:rPr>
        <w:t> </w:t>
      </w:r>
      <w:r>
        <w:rPr>
          <w:color w:val="231F20"/>
          <w:w w:val="105"/>
          <w:sz w:val="16"/>
        </w:rPr>
        <w:t>cocinero</w:t>
      </w:r>
      <w:r>
        <w:rPr>
          <w:color w:val="231F20"/>
          <w:spacing w:val="-13"/>
          <w:w w:val="105"/>
          <w:sz w:val="16"/>
        </w:rPr>
        <w:t> </w:t>
      </w:r>
      <w:r>
        <w:rPr>
          <w:color w:val="231F20"/>
          <w:w w:val="105"/>
          <w:sz w:val="16"/>
        </w:rPr>
        <w:t>internacional</w:t>
      </w:r>
      <w:r>
        <w:rPr>
          <w:color w:val="231F20"/>
          <w:spacing w:val="-13"/>
          <w:w w:val="105"/>
          <w:sz w:val="16"/>
        </w:rPr>
        <w:t> </w:t>
      </w:r>
      <w:r>
        <w:rPr>
          <w:color w:val="231F20"/>
          <w:w w:val="105"/>
          <w:sz w:val="16"/>
        </w:rPr>
        <w:t>y</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comida</w:t>
      </w:r>
      <w:r>
        <w:rPr>
          <w:color w:val="231F20"/>
          <w:spacing w:val="-13"/>
          <w:w w:val="105"/>
          <w:sz w:val="16"/>
        </w:rPr>
        <w:t> </w:t>
      </w:r>
      <w:r>
        <w:rPr>
          <w:color w:val="231F20"/>
          <w:w w:val="105"/>
          <w:sz w:val="16"/>
        </w:rPr>
        <w:t>rápida,</w:t>
      </w:r>
      <w:r>
        <w:rPr>
          <w:color w:val="231F20"/>
          <w:spacing w:val="-16"/>
          <w:w w:val="105"/>
          <w:sz w:val="16"/>
        </w:rPr>
        <w:t> </w:t>
      </w:r>
      <w:r>
        <w:rPr>
          <w:color w:val="231F20"/>
          <w:w w:val="105"/>
          <w:sz w:val="16"/>
        </w:rPr>
        <w:t>mesero,</w:t>
      </w:r>
      <w:r>
        <w:rPr>
          <w:color w:val="231F20"/>
          <w:spacing w:val="-16"/>
          <w:w w:val="105"/>
          <w:sz w:val="16"/>
        </w:rPr>
        <w:t> </w:t>
      </w:r>
      <w:r>
        <w:rPr>
          <w:color w:val="231F20"/>
          <w:w w:val="105"/>
          <w:sz w:val="16"/>
        </w:rPr>
        <w:t>bar- </w:t>
      </w:r>
      <w:r>
        <w:rPr>
          <w:color w:val="231F20"/>
          <w:sz w:val="16"/>
        </w:rPr>
        <w:t>man, lava</w:t>
      </w:r>
      <w:r>
        <w:rPr>
          <w:color w:val="231F20"/>
          <w:spacing w:val="-13"/>
          <w:sz w:val="16"/>
        </w:rPr>
        <w:t> </w:t>
      </w:r>
      <w:r>
        <w:rPr>
          <w:color w:val="231F20"/>
          <w:sz w:val="16"/>
        </w:rPr>
        <w:t>platos.</w:t>
      </w:r>
    </w:p>
    <w:p>
      <w:pPr>
        <w:spacing w:before="0"/>
        <w:ind w:left="2064" w:right="0" w:firstLine="0"/>
        <w:jc w:val="left"/>
        <w:rPr>
          <w:sz w:val="16"/>
        </w:rPr>
      </w:pPr>
      <w:r>
        <w:rPr>
          <w:color w:val="231F20"/>
          <w:w w:val="105"/>
          <w:sz w:val="16"/>
        </w:rPr>
        <w:t>****Incluye: ventas de calle, obrero especializado, inglés, encargado de ventas.</w:t>
      </w:r>
    </w:p>
    <w:p>
      <w:pPr>
        <w:spacing w:line="254" w:lineRule="auto" w:before="11"/>
        <w:ind w:left="2064" w:right="2174" w:firstLine="0"/>
        <w:jc w:val="left"/>
        <w:rPr>
          <w:sz w:val="16"/>
        </w:rPr>
      </w:pPr>
      <w:r>
        <w:rPr>
          <w:color w:val="231F20"/>
          <w:w w:val="105"/>
          <w:sz w:val="16"/>
        </w:rPr>
        <w:t>*****Incluye:</w:t>
      </w:r>
      <w:r>
        <w:rPr>
          <w:color w:val="231F20"/>
          <w:spacing w:val="-24"/>
          <w:w w:val="105"/>
          <w:sz w:val="16"/>
        </w:rPr>
        <w:t> </w:t>
      </w:r>
      <w:r>
        <w:rPr>
          <w:color w:val="231F20"/>
          <w:w w:val="105"/>
          <w:sz w:val="16"/>
        </w:rPr>
        <w:t>saber</w:t>
      </w:r>
      <w:r>
        <w:rPr>
          <w:color w:val="231F20"/>
          <w:spacing w:val="-24"/>
          <w:w w:val="105"/>
          <w:sz w:val="16"/>
        </w:rPr>
        <w:t> </w:t>
      </w:r>
      <w:r>
        <w:rPr>
          <w:color w:val="231F20"/>
          <w:w w:val="105"/>
          <w:sz w:val="16"/>
        </w:rPr>
        <w:t>hacer</w:t>
      </w:r>
      <w:r>
        <w:rPr>
          <w:color w:val="231F20"/>
          <w:spacing w:val="-24"/>
          <w:w w:val="105"/>
          <w:sz w:val="16"/>
        </w:rPr>
        <w:t> </w:t>
      </w:r>
      <w:r>
        <w:rPr>
          <w:color w:val="231F20"/>
          <w:w w:val="105"/>
          <w:sz w:val="16"/>
        </w:rPr>
        <w:t>cosas</w:t>
      </w:r>
      <w:r>
        <w:rPr>
          <w:color w:val="231F20"/>
          <w:spacing w:val="-24"/>
          <w:w w:val="105"/>
          <w:sz w:val="16"/>
        </w:rPr>
        <w:t> </w:t>
      </w:r>
      <w:r>
        <w:rPr>
          <w:color w:val="231F20"/>
          <w:w w:val="105"/>
          <w:sz w:val="16"/>
        </w:rPr>
        <w:t>de</w:t>
      </w:r>
      <w:r>
        <w:rPr>
          <w:color w:val="231F20"/>
          <w:spacing w:val="-24"/>
          <w:w w:val="105"/>
          <w:sz w:val="16"/>
        </w:rPr>
        <w:t> </w:t>
      </w:r>
      <w:r>
        <w:rPr>
          <w:color w:val="231F20"/>
          <w:w w:val="105"/>
          <w:sz w:val="16"/>
        </w:rPr>
        <w:t>jardinería,</w:t>
      </w:r>
      <w:r>
        <w:rPr>
          <w:color w:val="231F20"/>
          <w:spacing w:val="-27"/>
          <w:w w:val="105"/>
          <w:sz w:val="16"/>
        </w:rPr>
        <w:t> </w:t>
      </w:r>
      <w:r>
        <w:rPr>
          <w:color w:val="231F20"/>
          <w:w w:val="105"/>
          <w:sz w:val="16"/>
        </w:rPr>
        <w:t>labores</w:t>
      </w:r>
      <w:r>
        <w:rPr>
          <w:color w:val="231F20"/>
          <w:spacing w:val="-24"/>
          <w:w w:val="105"/>
          <w:sz w:val="16"/>
        </w:rPr>
        <w:t> </w:t>
      </w:r>
      <w:r>
        <w:rPr>
          <w:color w:val="231F20"/>
          <w:w w:val="105"/>
          <w:sz w:val="16"/>
        </w:rPr>
        <w:t>del</w:t>
      </w:r>
      <w:r>
        <w:rPr>
          <w:color w:val="231F20"/>
          <w:spacing w:val="-24"/>
          <w:w w:val="105"/>
          <w:sz w:val="16"/>
        </w:rPr>
        <w:t> </w:t>
      </w:r>
      <w:r>
        <w:rPr>
          <w:color w:val="231F20"/>
          <w:w w:val="105"/>
          <w:sz w:val="16"/>
        </w:rPr>
        <w:t>campo,</w:t>
      </w:r>
      <w:r>
        <w:rPr>
          <w:color w:val="231F20"/>
          <w:spacing w:val="-28"/>
          <w:w w:val="105"/>
          <w:sz w:val="16"/>
        </w:rPr>
        <w:t> </w:t>
      </w:r>
      <w:r>
        <w:rPr>
          <w:color w:val="231F20"/>
          <w:w w:val="105"/>
          <w:sz w:val="16"/>
        </w:rPr>
        <w:t>cría,</w:t>
      </w:r>
      <w:r>
        <w:rPr>
          <w:color w:val="231F20"/>
          <w:spacing w:val="-27"/>
          <w:w w:val="105"/>
          <w:sz w:val="16"/>
        </w:rPr>
        <w:t> </w:t>
      </w:r>
      <w:r>
        <w:rPr>
          <w:color w:val="231F20"/>
          <w:w w:val="105"/>
          <w:sz w:val="16"/>
        </w:rPr>
        <w:t>engorda</w:t>
      </w:r>
      <w:r>
        <w:rPr>
          <w:color w:val="231F20"/>
          <w:spacing w:val="-24"/>
          <w:w w:val="105"/>
          <w:sz w:val="16"/>
        </w:rPr>
        <w:t> </w:t>
      </w:r>
      <w:r>
        <w:rPr>
          <w:color w:val="231F20"/>
          <w:w w:val="105"/>
          <w:sz w:val="16"/>
        </w:rPr>
        <w:t>y</w:t>
      </w:r>
      <w:r>
        <w:rPr>
          <w:color w:val="231F20"/>
          <w:spacing w:val="-24"/>
          <w:w w:val="105"/>
          <w:sz w:val="16"/>
        </w:rPr>
        <w:t> </w:t>
      </w:r>
      <w:r>
        <w:rPr>
          <w:color w:val="231F20"/>
          <w:w w:val="105"/>
          <w:sz w:val="16"/>
        </w:rPr>
        <w:t>matan- za</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animales,</w:t>
      </w:r>
      <w:r>
        <w:rPr>
          <w:color w:val="231F20"/>
          <w:spacing w:val="-29"/>
          <w:w w:val="105"/>
          <w:sz w:val="16"/>
        </w:rPr>
        <w:t> </w:t>
      </w:r>
      <w:r>
        <w:rPr>
          <w:color w:val="231F20"/>
          <w:w w:val="105"/>
          <w:sz w:val="16"/>
        </w:rPr>
        <w:t>cuidar</w:t>
      </w:r>
      <w:r>
        <w:rPr>
          <w:color w:val="231F20"/>
          <w:spacing w:val="-27"/>
          <w:w w:val="105"/>
          <w:sz w:val="16"/>
        </w:rPr>
        <w:t> </w:t>
      </w:r>
      <w:r>
        <w:rPr>
          <w:color w:val="231F20"/>
          <w:w w:val="105"/>
          <w:sz w:val="16"/>
        </w:rPr>
        <w:t>animales</w:t>
      </w:r>
      <w:r>
        <w:rPr>
          <w:color w:val="231F20"/>
          <w:spacing w:val="-27"/>
          <w:w w:val="105"/>
          <w:sz w:val="16"/>
        </w:rPr>
        <w:t> </w:t>
      </w:r>
      <w:r>
        <w:rPr>
          <w:color w:val="231F20"/>
          <w:w w:val="105"/>
          <w:sz w:val="16"/>
        </w:rPr>
        <w:t>de</w:t>
      </w:r>
      <w:r>
        <w:rPr>
          <w:color w:val="231F20"/>
          <w:spacing w:val="-27"/>
          <w:w w:val="105"/>
          <w:sz w:val="16"/>
        </w:rPr>
        <w:t> </w:t>
      </w:r>
      <w:r>
        <w:rPr>
          <w:color w:val="231F20"/>
          <w:w w:val="105"/>
          <w:sz w:val="16"/>
        </w:rPr>
        <w:t>correa.</w:t>
      </w:r>
    </w:p>
    <w:p>
      <w:pPr>
        <w:spacing w:before="0"/>
        <w:ind w:left="2064" w:right="0" w:firstLine="0"/>
        <w:jc w:val="left"/>
        <w:rPr>
          <w:sz w:val="16"/>
        </w:rPr>
      </w:pPr>
      <w:r>
        <w:rPr>
          <w:color w:val="231F20"/>
          <w:w w:val="105"/>
          <w:sz w:val="16"/>
        </w:rPr>
        <w:t>******Incluye: labores de niñera, limpieza de hotel, camarista.</w:t>
      </w:r>
    </w:p>
    <w:p>
      <w:pPr>
        <w:pStyle w:val="BodyText"/>
        <w:rPr>
          <w:sz w:val="16"/>
        </w:rPr>
      </w:pPr>
    </w:p>
    <w:p>
      <w:pPr>
        <w:pStyle w:val="BodyText"/>
        <w:spacing w:line="261" w:lineRule="auto" w:before="111"/>
        <w:ind w:left="1723" w:right="1834"/>
        <w:jc w:val="both"/>
      </w:pPr>
      <w:r>
        <w:rPr>
          <w:color w:val="231F20"/>
          <w:w w:val="105"/>
        </w:rPr>
        <w:t>¿Qué</w:t>
      </w:r>
      <w:r>
        <w:rPr>
          <w:color w:val="231F20"/>
          <w:spacing w:val="-17"/>
          <w:w w:val="105"/>
        </w:rPr>
        <w:t> </w:t>
      </w:r>
      <w:r>
        <w:rPr>
          <w:color w:val="231F20"/>
          <w:w w:val="105"/>
        </w:rPr>
        <w:t>restricciones</w:t>
      </w:r>
      <w:r>
        <w:rPr>
          <w:color w:val="231F20"/>
          <w:spacing w:val="-17"/>
          <w:w w:val="105"/>
        </w:rPr>
        <w:t> </w:t>
      </w:r>
      <w:r>
        <w:rPr>
          <w:color w:val="231F20"/>
          <w:w w:val="105"/>
        </w:rPr>
        <w:t>afrontan?</w:t>
      </w:r>
      <w:r>
        <w:rPr>
          <w:color w:val="231F20"/>
          <w:spacing w:val="-17"/>
          <w:w w:val="105"/>
        </w:rPr>
        <w:t> </w:t>
      </w:r>
      <w:r>
        <w:rPr>
          <w:color w:val="231F20"/>
          <w:w w:val="105"/>
        </w:rPr>
        <w:t>En</w:t>
      </w:r>
      <w:r>
        <w:rPr>
          <w:color w:val="231F20"/>
          <w:spacing w:val="-17"/>
          <w:w w:val="105"/>
        </w:rPr>
        <w:t> </w:t>
      </w:r>
      <w:r>
        <w:rPr>
          <w:color w:val="231F20"/>
          <w:w w:val="105"/>
        </w:rPr>
        <w:t>general,</w:t>
      </w:r>
      <w:r>
        <w:rPr>
          <w:color w:val="231F20"/>
          <w:spacing w:val="-22"/>
          <w:w w:val="105"/>
        </w:rPr>
        <w:t> </w:t>
      </w:r>
      <w:r>
        <w:rPr>
          <w:color w:val="231F20"/>
          <w:w w:val="105"/>
        </w:rPr>
        <w:t>más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mitad</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retorna- dos (57.6%) considera que no han aplicado sus conocimientos, porque no</w:t>
      </w:r>
      <w:r>
        <w:rPr>
          <w:color w:val="231F20"/>
          <w:spacing w:val="-18"/>
          <w:w w:val="105"/>
        </w:rPr>
        <w:t> </w:t>
      </w:r>
      <w:r>
        <w:rPr>
          <w:color w:val="231F20"/>
          <w:w w:val="105"/>
        </w:rPr>
        <w:t>encuentran</w:t>
      </w:r>
      <w:r>
        <w:rPr>
          <w:color w:val="231F20"/>
          <w:spacing w:val="-18"/>
          <w:w w:val="105"/>
        </w:rPr>
        <w:t> </w:t>
      </w:r>
      <w:r>
        <w:rPr>
          <w:color w:val="231F20"/>
          <w:w w:val="105"/>
        </w:rPr>
        <w:t>trabajo</w:t>
      </w:r>
      <w:r>
        <w:rPr>
          <w:color w:val="231F20"/>
          <w:spacing w:val="-18"/>
          <w:w w:val="105"/>
        </w:rPr>
        <w:t> </w:t>
      </w:r>
      <w:r>
        <w:rPr>
          <w:color w:val="231F20"/>
          <w:w w:val="105"/>
        </w:rPr>
        <w:t>adecuado</w:t>
      </w:r>
      <w:r>
        <w:rPr>
          <w:color w:val="231F20"/>
          <w:spacing w:val="-18"/>
          <w:w w:val="105"/>
        </w:rPr>
        <w:t> </w:t>
      </w:r>
      <w:r>
        <w:rPr>
          <w:color w:val="231F20"/>
          <w:w w:val="105"/>
        </w:rPr>
        <w:t>al</w:t>
      </w:r>
      <w:r>
        <w:rPr>
          <w:color w:val="231F20"/>
          <w:spacing w:val="-18"/>
          <w:w w:val="105"/>
        </w:rPr>
        <w:t> </w:t>
      </w:r>
      <w:r>
        <w:rPr>
          <w:color w:val="231F20"/>
          <w:w w:val="105"/>
        </w:rPr>
        <w:t>perfil,</w:t>
      </w:r>
      <w:r>
        <w:rPr>
          <w:color w:val="231F20"/>
          <w:spacing w:val="-23"/>
          <w:w w:val="105"/>
        </w:rPr>
        <w:t> </w:t>
      </w:r>
      <w:r>
        <w:rPr>
          <w:color w:val="231F20"/>
          <w:w w:val="105"/>
        </w:rPr>
        <w:t>porque</w:t>
      </w:r>
      <w:r>
        <w:rPr>
          <w:color w:val="231F20"/>
          <w:spacing w:val="-18"/>
          <w:w w:val="105"/>
        </w:rPr>
        <w:t> </w:t>
      </w:r>
      <w:r>
        <w:rPr>
          <w:color w:val="231F20"/>
          <w:w w:val="105"/>
        </w:rPr>
        <w:t>les</w:t>
      </w:r>
      <w:r>
        <w:rPr>
          <w:color w:val="231F20"/>
          <w:spacing w:val="-18"/>
          <w:w w:val="105"/>
        </w:rPr>
        <w:t> </w:t>
      </w:r>
      <w:r>
        <w:rPr>
          <w:color w:val="231F20"/>
          <w:w w:val="105"/>
        </w:rPr>
        <w:t>faltan</w:t>
      </w:r>
      <w:r>
        <w:rPr>
          <w:color w:val="231F20"/>
          <w:spacing w:val="-18"/>
          <w:w w:val="105"/>
        </w:rPr>
        <w:t> </w:t>
      </w:r>
      <w:r>
        <w:rPr>
          <w:color w:val="231F20"/>
          <w:w w:val="105"/>
        </w:rPr>
        <w:t>recursos</w:t>
      </w:r>
      <w:r>
        <w:rPr>
          <w:color w:val="231F20"/>
          <w:spacing w:val="-18"/>
          <w:w w:val="105"/>
        </w:rPr>
        <w:t> </w:t>
      </w:r>
      <w:r>
        <w:rPr>
          <w:color w:val="231F20"/>
          <w:w w:val="105"/>
        </w:rPr>
        <w:t>para abrir un negocio, porque la gente no demanda sus servicios; un 18.8% de</w:t>
      </w:r>
      <w:r>
        <w:rPr>
          <w:color w:val="231F20"/>
          <w:spacing w:val="-10"/>
          <w:w w:val="105"/>
        </w:rPr>
        <w:t> </w:t>
      </w:r>
      <w:r>
        <w:rPr>
          <w:color w:val="231F20"/>
          <w:w w:val="105"/>
        </w:rPr>
        <w:t>los</w:t>
      </w:r>
      <w:r>
        <w:rPr>
          <w:color w:val="231F20"/>
          <w:spacing w:val="-10"/>
          <w:w w:val="105"/>
        </w:rPr>
        <w:t> </w:t>
      </w:r>
      <w:r>
        <w:rPr>
          <w:color w:val="231F20"/>
          <w:w w:val="105"/>
        </w:rPr>
        <w:t>retornados</w:t>
      </w:r>
      <w:r>
        <w:rPr>
          <w:color w:val="231F20"/>
          <w:spacing w:val="-10"/>
          <w:w w:val="105"/>
        </w:rPr>
        <w:t> </w:t>
      </w:r>
      <w:r>
        <w:rPr>
          <w:color w:val="231F20"/>
          <w:w w:val="105"/>
        </w:rPr>
        <w:t>no</w:t>
      </w:r>
      <w:r>
        <w:rPr>
          <w:color w:val="231F20"/>
          <w:spacing w:val="-10"/>
          <w:w w:val="105"/>
        </w:rPr>
        <w:t> </w:t>
      </w:r>
      <w:r>
        <w:rPr>
          <w:color w:val="231F20"/>
          <w:w w:val="105"/>
        </w:rPr>
        <w:t>desean</w:t>
      </w:r>
      <w:r>
        <w:rPr>
          <w:color w:val="231F20"/>
          <w:spacing w:val="-10"/>
          <w:w w:val="105"/>
        </w:rPr>
        <w:t> </w:t>
      </w:r>
      <w:r>
        <w:rPr>
          <w:color w:val="231F20"/>
          <w:w w:val="105"/>
        </w:rPr>
        <w:t>hacer</w:t>
      </w:r>
      <w:r>
        <w:rPr>
          <w:color w:val="231F20"/>
          <w:spacing w:val="-10"/>
          <w:w w:val="105"/>
        </w:rPr>
        <w:t> </w:t>
      </w:r>
      <w:r>
        <w:rPr>
          <w:color w:val="231F20"/>
          <w:w w:val="105"/>
        </w:rPr>
        <w:t>lo</w:t>
      </w:r>
      <w:r>
        <w:rPr>
          <w:color w:val="231F20"/>
          <w:spacing w:val="-10"/>
          <w:w w:val="105"/>
        </w:rPr>
        <w:t> </w:t>
      </w:r>
      <w:r>
        <w:rPr>
          <w:color w:val="231F20"/>
          <w:w w:val="105"/>
        </w:rPr>
        <w:t>mismo,</w:t>
      </w:r>
      <w:r>
        <w:rPr>
          <w:color w:val="231F20"/>
          <w:spacing w:val="-16"/>
          <w:w w:val="105"/>
        </w:rPr>
        <w:t> </w:t>
      </w:r>
      <w:r>
        <w:rPr>
          <w:color w:val="231F20"/>
          <w:w w:val="105"/>
        </w:rPr>
        <w:t>los</w:t>
      </w:r>
      <w:r>
        <w:rPr>
          <w:color w:val="231F20"/>
          <w:spacing w:val="-10"/>
          <w:w w:val="105"/>
        </w:rPr>
        <w:t> </w:t>
      </w:r>
      <w:r>
        <w:rPr>
          <w:color w:val="231F20"/>
          <w:w w:val="105"/>
        </w:rPr>
        <w:t>demás</w:t>
      </w:r>
      <w:r>
        <w:rPr>
          <w:color w:val="231F20"/>
          <w:spacing w:val="-10"/>
          <w:w w:val="105"/>
        </w:rPr>
        <w:t> </w:t>
      </w:r>
      <w:r>
        <w:rPr>
          <w:color w:val="231F20"/>
          <w:w w:val="105"/>
        </w:rPr>
        <w:t>mencionan</w:t>
      </w:r>
      <w:r>
        <w:rPr>
          <w:color w:val="231F20"/>
          <w:spacing w:val="-10"/>
          <w:w w:val="105"/>
        </w:rPr>
        <w:t> </w:t>
      </w:r>
      <w:r>
        <w:rPr>
          <w:color w:val="231F20"/>
          <w:w w:val="105"/>
        </w:rPr>
        <w:t>que les</w:t>
      </w:r>
      <w:r>
        <w:rPr>
          <w:color w:val="231F20"/>
          <w:spacing w:val="-17"/>
          <w:w w:val="105"/>
        </w:rPr>
        <w:t> </w:t>
      </w:r>
      <w:r>
        <w:rPr>
          <w:color w:val="231F20"/>
          <w:w w:val="105"/>
        </w:rPr>
        <w:t>faltan</w:t>
      </w:r>
      <w:r>
        <w:rPr>
          <w:color w:val="231F20"/>
          <w:spacing w:val="-17"/>
          <w:w w:val="105"/>
        </w:rPr>
        <w:t> </w:t>
      </w:r>
      <w:r>
        <w:rPr>
          <w:color w:val="231F20"/>
          <w:w w:val="105"/>
        </w:rPr>
        <w:t>comprobantes</w:t>
      </w:r>
      <w:r>
        <w:rPr>
          <w:color w:val="231F20"/>
          <w:spacing w:val="-17"/>
          <w:w w:val="105"/>
        </w:rPr>
        <w:t> </w:t>
      </w:r>
      <w:r>
        <w:rPr>
          <w:color w:val="231F20"/>
          <w:w w:val="105"/>
        </w:rPr>
        <w:t>formales</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conocimientos,</w:t>
      </w:r>
      <w:r>
        <w:rPr>
          <w:color w:val="231F20"/>
          <w:spacing w:val="-22"/>
          <w:w w:val="105"/>
        </w:rPr>
        <w:t> </w:t>
      </w:r>
      <w:r>
        <w:rPr>
          <w:color w:val="231F20"/>
          <w:w w:val="105"/>
        </w:rPr>
        <w:t>otros</w:t>
      </w:r>
      <w:r>
        <w:rPr>
          <w:color w:val="231F20"/>
          <w:spacing w:val="-17"/>
          <w:w w:val="105"/>
        </w:rPr>
        <w:t> </w:t>
      </w:r>
      <w:r>
        <w:rPr>
          <w:color w:val="231F20"/>
          <w:w w:val="105"/>
        </w:rPr>
        <w:t>tienen</w:t>
      </w:r>
      <w:r>
        <w:rPr>
          <w:color w:val="231F20"/>
          <w:spacing w:val="-17"/>
          <w:w w:val="105"/>
        </w:rPr>
        <w:t> </w:t>
      </w:r>
      <w:r>
        <w:rPr>
          <w:color w:val="231F20"/>
          <w:w w:val="105"/>
        </w:rPr>
        <w:t>en- fermedades,</w:t>
      </w:r>
      <w:r>
        <w:rPr>
          <w:color w:val="231F20"/>
          <w:spacing w:val="-34"/>
          <w:w w:val="105"/>
        </w:rPr>
        <w:t> </w:t>
      </w:r>
      <w:r>
        <w:rPr>
          <w:color w:val="231F20"/>
          <w:w w:val="105"/>
        </w:rPr>
        <w:t>edad</w:t>
      </w:r>
      <w:r>
        <w:rPr>
          <w:color w:val="231F20"/>
          <w:spacing w:val="-30"/>
          <w:w w:val="105"/>
        </w:rPr>
        <w:t> </w:t>
      </w:r>
      <w:r>
        <w:rPr>
          <w:color w:val="231F20"/>
          <w:w w:val="105"/>
        </w:rPr>
        <w:t>avanzada</w:t>
      </w:r>
      <w:r>
        <w:rPr>
          <w:color w:val="231F20"/>
          <w:spacing w:val="-30"/>
          <w:w w:val="105"/>
        </w:rPr>
        <w:t> </w:t>
      </w:r>
      <w:r>
        <w:rPr>
          <w:color w:val="231F20"/>
          <w:w w:val="105"/>
        </w:rPr>
        <w:t>o</w:t>
      </w:r>
      <w:r>
        <w:rPr>
          <w:color w:val="231F20"/>
          <w:spacing w:val="-30"/>
          <w:w w:val="105"/>
        </w:rPr>
        <w:t> </w:t>
      </w:r>
      <w:r>
        <w:rPr>
          <w:color w:val="231F20"/>
          <w:w w:val="105"/>
        </w:rPr>
        <w:t>alguna</w:t>
      </w:r>
      <w:r>
        <w:rPr>
          <w:color w:val="231F20"/>
          <w:spacing w:val="-30"/>
          <w:w w:val="105"/>
        </w:rPr>
        <w:t> </w:t>
      </w:r>
      <w:r>
        <w:rPr>
          <w:color w:val="231F20"/>
          <w:w w:val="105"/>
        </w:rPr>
        <w:t>discapacidad.</w:t>
      </w:r>
      <w:r>
        <w:rPr>
          <w:color w:val="231F20"/>
          <w:spacing w:val="-37"/>
          <w:w w:val="105"/>
        </w:rPr>
        <w:t> </w:t>
      </w:r>
      <w:r>
        <w:rPr>
          <w:color w:val="231F20"/>
          <w:w w:val="105"/>
        </w:rPr>
        <w:t>Además,</w:t>
      </w:r>
      <w:r>
        <w:rPr>
          <w:color w:val="231F20"/>
          <w:spacing w:val="-34"/>
          <w:w w:val="105"/>
        </w:rPr>
        <w:t> </w:t>
      </w:r>
      <w:r>
        <w:rPr>
          <w:color w:val="231F20"/>
          <w:w w:val="105"/>
        </w:rPr>
        <w:t>la</w:t>
      </w:r>
      <w:r>
        <w:rPr>
          <w:color w:val="231F20"/>
          <w:spacing w:val="-30"/>
          <w:w w:val="105"/>
        </w:rPr>
        <w:t> </w:t>
      </w:r>
      <w:r>
        <w:rPr>
          <w:color w:val="231F20"/>
          <w:w w:val="105"/>
        </w:rPr>
        <w:t>inseguri- dad</w:t>
      </w:r>
      <w:r>
        <w:rPr>
          <w:color w:val="231F20"/>
          <w:spacing w:val="-21"/>
          <w:w w:val="105"/>
        </w:rPr>
        <w:t> </w:t>
      </w:r>
      <w:r>
        <w:rPr>
          <w:color w:val="231F20"/>
          <w:w w:val="105"/>
        </w:rPr>
        <w:t>que</w:t>
      </w:r>
      <w:r>
        <w:rPr>
          <w:color w:val="231F20"/>
          <w:spacing w:val="-21"/>
          <w:w w:val="105"/>
        </w:rPr>
        <w:t> </w:t>
      </w:r>
      <w:r>
        <w:rPr>
          <w:color w:val="231F20"/>
          <w:w w:val="105"/>
        </w:rPr>
        <w:t>captan</w:t>
      </w:r>
      <w:r>
        <w:rPr>
          <w:color w:val="231F20"/>
          <w:spacing w:val="-21"/>
          <w:w w:val="105"/>
        </w:rPr>
        <w:t> </w:t>
      </w:r>
      <w:r>
        <w:rPr>
          <w:color w:val="231F20"/>
          <w:w w:val="105"/>
        </w:rPr>
        <w:t>en</w:t>
      </w:r>
      <w:r>
        <w:rPr>
          <w:color w:val="231F20"/>
          <w:spacing w:val="-21"/>
          <w:w w:val="105"/>
        </w:rPr>
        <w:t> </w:t>
      </w:r>
      <w:r>
        <w:rPr>
          <w:color w:val="231F20"/>
          <w:w w:val="105"/>
        </w:rPr>
        <w:t>sus</w:t>
      </w:r>
      <w:r>
        <w:rPr>
          <w:color w:val="231F20"/>
          <w:spacing w:val="-21"/>
          <w:w w:val="105"/>
        </w:rPr>
        <w:t> </w:t>
      </w:r>
      <w:r>
        <w:rPr>
          <w:color w:val="231F20"/>
          <w:w w:val="105"/>
        </w:rPr>
        <w:t>localidades,</w:t>
      </w:r>
      <w:r>
        <w:rPr>
          <w:color w:val="231F20"/>
          <w:spacing w:val="-25"/>
          <w:w w:val="105"/>
        </w:rPr>
        <w:t> </w:t>
      </w:r>
      <w:r>
        <w:rPr>
          <w:color w:val="231F20"/>
          <w:w w:val="105"/>
        </w:rPr>
        <w:t>diversas</w:t>
      </w:r>
      <w:r>
        <w:rPr>
          <w:color w:val="231F20"/>
          <w:spacing w:val="-21"/>
          <w:w w:val="105"/>
        </w:rPr>
        <w:t> </w:t>
      </w:r>
      <w:r>
        <w:rPr>
          <w:color w:val="231F20"/>
          <w:w w:val="105"/>
        </w:rPr>
        <w:t>violencias,</w:t>
      </w:r>
      <w:r>
        <w:rPr>
          <w:color w:val="231F20"/>
          <w:spacing w:val="-25"/>
          <w:w w:val="105"/>
        </w:rPr>
        <w:t> </w:t>
      </w:r>
      <w:r>
        <w:rPr>
          <w:color w:val="231F20"/>
          <w:w w:val="105"/>
        </w:rPr>
        <w:t>falta</w:t>
      </w:r>
      <w:r>
        <w:rPr>
          <w:color w:val="231F20"/>
          <w:spacing w:val="-21"/>
          <w:w w:val="105"/>
        </w:rPr>
        <w:t> </w:t>
      </w:r>
      <w:r>
        <w:rPr>
          <w:color w:val="231F20"/>
          <w:w w:val="105"/>
        </w:rPr>
        <w:t>de</w:t>
      </w:r>
      <w:r>
        <w:rPr>
          <w:color w:val="231F20"/>
          <w:spacing w:val="-21"/>
          <w:w w:val="105"/>
        </w:rPr>
        <w:t> </w:t>
      </w:r>
      <w:r>
        <w:rPr>
          <w:color w:val="231F20"/>
          <w:w w:val="105"/>
        </w:rPr>
        <w:t>apoyos</w:t>
      </w:r>
      <w:r>
        <w:rPr>
          <w:color w:val="231F20"/>
          <w:spacing w:val="-21"/>
          <w:w w:val="105"/>
        </w:rPr>
        <w:t> </w:t>
      </w:r>
      <w:r>
        <w:rPr>
          <w:color w:val="231F20"/>
          <w:w w:val="105"/>
        </w:rPr>
        <w:t>a emprendimiento,</w:t>
      </w:r>
      <w:r>
        <w:rPr>
          <w:color w:val="231F20"/>
          <w:spacing w:val="-14"/>
          <w:w w:val="105"/>
        </w:rPr>
        <w:t> </w:t>
      </w:r>
      <w:r>
        <w:rPr>
          <w:color w:val="231F20"/>
          <w:w w:val="105"/>
        </w:rPr>
        <w:t>papeleo</w:t>
      </w:r>
      <w:r>
        <w:rPr>
          <w:color w:val="231F20"/>
          <w:spacing w:val="-8"/>
          <w:w w:val="105"/>
        </w:rPr>
        <w:t> </w:t>
      </w:r>
      <w:r>
        <w:rPr>
          <w:color w:val="231F20"/>
          <w:w w:val="105"/>
        </w:rPr>
        <w:t>y</w:t>
      </w:r>
      <w:r>
        <w:rPr>
          <w:color w:val="231F20"/>
          <w:spacing w:val="-8"/>
          <w:w w:val="105"/>
        </w:rPr>
        <w:t> </w:t>
      </w:r>
      <w:r>
        <w:rPr>
          <w:color w:val="231F20"/>
          <w:w w:val="105"/>
        </w:rPr>
        <w:t>burocracia</w:t>
      </w:r>
      <w:r>
        <w:rPr>
          <w:color w:val="231F20"/>
          <w:spacing w:val="-8"/>
          <w:w w:val="105"/>
        </w:rPr>
        <w:t> </w:t>
      </w:r>
      <w:r>
        <w:rPr>
          <w:color w:val="231F20"/>
          <w:w w:val="105"/>
        </w:rPr>
        <w:t>institucional,</w:t>
      </w:r>
      <w:r>
        <w:rPr>
          <w:color w:val="231F20"/>
          <w:spacing w:val="-14"/>
          <w:w w:val="105"/>
        </w:rPr>
        <w:t> </w:t>
      </w:r>
      <w:r>
        <w:rPr>
          <w:color w:val="231F20"/>
          <w:w w:val="105"/>
        </w:rPr>
        <w:t>son</w:t>
      </w:r>
      <w:r>
        <w:rPr>
          <w:color w:val="231F20"/>
          <w:spacing w:val="-8"/>
          <w:w w:val="105"/>
        </w:rPr>
        <w:t> </w:t>
      </w:r>
      <w:r>
        <w:rPr>
          <w:color w:val="231F20"/>
          <w:w w:val="105"/>
        </w:rPr>
        <w:t>cuestiones</w:t>
      </w:r>
      <w:r>
        <w:rPr>
          <w:color w:val="231F20"/>
          <w:spacing w:val="-8"/>
          <w:w w:val="105"/>
        </w:rPr>
        <w:t> </w:t>
      </w:r>
      <w:r>
        <w:rPr>
          <w:color w:val="231F20"/>
          <w:w w:val="105"/>
        </w:rPr>
        <w:t>que también les restringen. Si bien tener ideas e intenciones de invertir no asegura un emprendimiento efectivo, ni la formación real de un empre- sario,</w:t>
      </w:r>
      <w:r>
        <w:rPr>
          <w:color w:val="231F20"/>
          <w:spacing w:val="-21"/>
          <w:w w:val="105"/>
        </w:rPr>
        <w:t> </w:t>
      </w:r>
      <w:r>
        <w:rPr>
          <w:color w:val="231F20"/>
          <w:w w:val="105"/>
        </w:rPr>
        <w:t>por</w:t>
      </w:r>
      <w:r>
        <w:rPr>
          <w:color w:val="231F20"/>
          <w:spacing w:val="-16"/>
          <w:w w:val="105"/>
        </w:rPr>
        <w:t> </w:t>
      </w:r>
      <w:r>
        <w:rPr>
          <w:color w:val="231F20"/>
          <w:w w:val="105"/>
        </w:rPr>
        <w:t>algo</w:t>
      </w:r>
      <w:r>
        <w:rPr>
          <w:color w:val="231F20"/>
          <w:spacing w:val="-16"/>
          <w:w w:val="105"/>
        </w:rPr>
        <w:t> </w:t>
      </w:r>
      <w:r>
        <w:rPr>
          <w:color w:val="231F20"/>
          <w:w w:val="105"/>
        </w:rPr>
        <w:t>se</w:t>
      </w:r>
      <w:r>
        <w:rPr>
          <w:color w:val="231F20"/>
          <w:spacing w:val="-16"/>
          <w:w w:val="105"/>
        </w:rPr>
        <w:t> </w:t>
      </w:r>
      <w:r>
        <w:rPr>
          <w:color w:val="231F20"/>
          <w:w w:val="105"/>
        </w:rPr>
        <w:t>empieza.</w:t>
      </w:r>
      <w:r>
        <w:rPr>
          <w:color w:val="231F20"/>
          <w:spacing w:val="-21"/>
          <w:w w:val="105"/>
        </w:rPr>
        <w:t> </w:t>
      </w:r>
      <w:r>
        <w:rPr>
          <w:color w:val="231F20"/>
          <w:w w:val="105"/>
        </w:rPr>
        <w:t>Como</w:t>
      </w:r>
      <w:r>
        <w:rPr>
          <w:color w:val="231F20"/>
          <w:spacing w:val="-16"/>
          <w:w w:val="105"/>
        </w:rPr>
        <w:t> </w:t>
      </w:r>
      <w:r>
        <w:rPr>
          <w:color w:val="231F20"/>
          <w:w w:val="105"/>
        </w:rPr>
        <w:t>señala</w:t>
      </w:r>
      <w:r>
        <w:rPr>
          <w:color w:val="231F20"/>
          <w:spacing w:val="-16"/>
          <w:w w:val="105"/>
        </w:rPr>
        <w:t> </w:t>
      </w:r>
      <w:r>
        <w:rPr>
          <w:color w:val="231F20"/>
          <w:w w:val="105"/>
        </w:rPr>
        <w:t>un</w:t>
      </w:r>
      <w:r>
        <w:rPr>
          <w:color w:val="231F20"/>
          <w:spacing w:val="-16"/>
          <w:w w:val="105"/>
        </w:rPr>
        <w:t> </w:t>
      </w:r>
      <w:r>
        <w:rPr>
          <w:color w:val="231F20"/>
          <w:w w:val="105"/>
        </w:rPr>
        <w:t>retornado:</w:t>
      </w:r>
    </w:p>
    <w:p>
      <w:pPr>
        <w:pStyle w:val="BodyText"/>
        <w:spacing w:before="7"/>
        <w:rPr>
          <w:sz w:val="18"/>
        </w:rPr>
      </w:pPr>
    </w:p>
    <w:p>
      <w:pPr>
        <w:spacing w:line="254" w:lineRule="auto" w:before="1"/>
        <w:ind w:left="2857" w:right="1829" w:firstLine="0"/>
        <w:jc w:val="both"/>
        <w:rPr>
          <w:sz w:val="18"/>
        </w:rPr>
      </w:pPr>
      <w:r>
        <w:rPr>
          <w:color w:val="231F20"/>
          <w:w w:val="105"/>
          <w:sz w:val="18"/>
        </w:rPr>
        <w:t>Estaba yo pensando comprar otro taxi o ponerme un negocio, pero lo que</w:t>
      </w:r>
      <w:r>
        <w:rPr>
          <w:color w:val="231F20"/>
          <w:spacing w:val="-12"/>
          <w:w w:val="105"/>
          <w:sz w:val="18"/>
        </w:rPr>
        <w:t> </w:t>
      </w:r>
      <w:r>
        <w:rPr>
          <w:color w:val="231F20"/>
          <w:w w:val="105"/>
          <w:sz w:val="18"/>
        </w:rPr>
        <w:t>Dios</w:t>
      </w:r>
      <w:r>
        <w:rPr>
          <w:color w:val="231F20"/>
          <w:spacing w:val="-12"/>
          <w:w w:val="105"/>
          <w:sz w:val="18"/>
        </w:rPr>
        <w:t> </w:t>
      </w:r>
      <w:r>
        <w:rPr>
          <w:color w:val="231F20"/>
          <w:w w:val="105"/>
          <w:sz w:val="18"/>
        </w:rPr>
        <w:t>diga,</w:t>
      </w:r>
      <w:r>
        <w:rPr>
          <w:color w:val="231F20"/>
          <w:spacing w:val="-16"/>
          <w:w w:val="105"/>
          <w:sz w:val="18"/>
        </w:rPr>
        <w:t> </w:t>
      </w:r>
      <w:r>
        <w:rPr>
          <w:color w:val="231F20"/>
          <w:w w:val="105"/>
          <w:sz w:val="18"/>
        </w:rPr>
        <w:t>¿me</w:t>
      </w:r>
      <w:r>
        <w:rPr>
          <w:color w:val="231F20"/>
          <w:spacing w:val="-12"/>
          <w:w w:val="105"/>
          <w:sz w:val="18"/>
        </w:rPr>
        <w:t> </w:t>
      </w:r>
      <w:r>
        <w:rPr>
          <w:color w:val="231F20"/>
          <w:w w:val="105"/>
          <w:sz w:val="18"/>
        </w:rPr>
        <w:t>entiendes?</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refiere</w:t>
      </w:r>
      <w:r>
        <w:rPr>
          <w:color w:val="231F20"/>
          <w:spacing w:val="-12"/>
          <w:w w:val="105"/>
          <w:sz w:val="18"/>
        </w:rPr>
        <w:t> </w:t>
      </w:r>
      <w:r>
        <w:rPr>
          <w:color w:val="231F20"/>
          <w:w w:val="105"/>
          <w:sz w:val="18"/>
        </w:rPr>
        <w:t>a</w:t>
      </w:r>
      <w:r>
        <w:rPr>
          <w:color w:val="231F20"/>
          <w:spacing w:val="-12"/>
          <w:w w:val="105"/>
          <w:sz w:val="18"/>
        </w:rPr>
        <w:t> </w:t>
      </w:r>
      <w:r>
        <w:rPr>
          <w:color w:val="231F20"/>
          <w:w w:val="105"/>
          <w:sz w:val="18"/>
        </w:rPr>
        <w:t>secuestros</w:t>
      </w:r>
      <w:r>
        <w:rPr>
          <w:color w:val="231F20"/>
          <w:spacing w:val="-12"/>
          <w:w w:val="105"/>
          <w:sz w:val="18"/>
        </w:rPr>
        <w:t> </w:t>
      </w:r>
      <w:r>
        <w:rPr>
          <w:color w:val="231F20"/>
          <w:w w:val="105"/>
          <w:sz w:val="18"/>
        </w:rPr>
        <w:t>y</w:t>
      </w:r>
      <w:r>
        <w:rPr>
          <w:color w:val="231F20"/>
          <w:spacing w:val="-12"/>
          <w:w w:val="105"/>
          <w:sz w:val="18"/>
        </w:rPr>
        <w:t> </w:t>
      </w:r>
      <w:r>
        <w:rPr>
          <w:color w:val="231F20"/>
          <w:w w:val="105"/>
          <w:sz w:val="18"/>
        </w:rPr>
        <w:t>extorsiones], si tuviera dinero invertiría en un negocio de comida italiana, comida dietética,</w:t>
      </w:r>
      <w:r>
        <w:rPr>
          <w:color w:val="231F20"/>
          <w:spacing w:val="-18"/>
          <w:w w:val="105"/>
          <w:sz w:val="18"/>
        </w:rPr>
        <w:t> </w:t>
      </w:r>
      <w:r>
        <w:rPr>
          <w:color w:val="231F20"/>
          <w:w w:val="105"/>
          <w:sz w:val="18"/>
        </w:rPr>
        <w:t>es</w:t>
      </w:r>
      <w:r>
        <w:rPr>
          <w:color w:val="231F20"/>
          <w:spacing w:val="-13"/>
          <w:w w:val="105"/>
          <w:sz w:val="18"/>
        </w:rPr>
        <w:t> </w:t>
      </w:r>
      <w:r>
        <w:rPr>
          <w:color w:val="231F20"/>
          <w:w w:val="105"/>
          <w:sz w:val="18"/>
        </w:rPr>
        <w:t>lo</w:t>
      </w:r>
      <w:r>
        <w:rPr>
          <w:color w:val="231F20"/>
          <w:spacing w:val="-13"/>
          <w:w w:val="105"/>
          <w:sz w:val="18"/>
        </w:rPr>
        <w:t> </w:t>
      </w:r>
      <w:r>
        <w:rPr>
          <w:color w:val="231F20"/>
          <w:w w:val="105"/>
          <w:sz w:val="18"/>
        </w:rPr>
        <w:t>que</w:t>
      </w:r>
      <w:r>
        <w:rPr>
          <w:color w:val="231F20"/>
          <w:spacing w:val="-13"/>
          <w:w w:val="105"/>
          <w:sz w:val="18"/>
        </w:rPr>
        <w:t> </w:t>
      </w:r>
      <w:r>
        <w:rPr>
          <w:color w:val="231F20"/>
          <w:w w:val="105"/>
          <w:sz w:val="18"/>
        </w:rPr>
        <w:t>aprendí</w:t>
      </w:r>
      <w:r>
        <w:rPr>
          <w:color w:val="231F20"/>
          <w:spacing w:val="-13"/>
          <w:w w:val="105"/>
          <w:sz w:val="18"/>
        </w:rPr>
        <w:t> </w:t>
      </w:r>
      <w:r>
        <w:rPr>
          <w:color w:val="231F20"/>
          <w:w w:val="105"/>
          <w:sz w:val="18"/>
        </w:rPr>
        <w:t>a</w:t>
      </w:r>
      <w:r>
        <w:rPr>
          <w:color w:val="231F20"/>
          <w:spacing w:val="-13"/>
          <w:w w:val="105"/>
          <w:sz w:val="18"/>
        </w:rPr>
        <w:t> </w:t>
      </w:r>
      <w:r>
        <w:rPr>
          <w:color w:val="231F20"/>
          <w:w w:val="105"/>
          <w:sz w:val="18"/>
        </w:rPr>
        <w:t>hacer,</w:t>
      </w:r>
      <w:r>
        <w:rPr>
          <w:color w:val="231F20"/>
          <w:spacing w:val="-18"/>
          <w:w w:val="105"/>
          <w:sz w:val="18"/>
        </w:rPr>
        <w:t> </w:t>
      </w:r>
      <w:r>
        <w:rPr>
          <w:color w:val="231F20"/>
          <w:w w:val="105"/>
          <w:sz w:val="18"/>
        </w:rPr>
        <w:t>trabajé</w:t>
      </w:r>
      <w:r>
        <w:rPr>
          <w:color w:val="231F20"/>
          <w:spacing w:val="-13"/>
          <w:w w:val="105"/>
          <w:sz w:val="18"/>
        </w:rPr>
        <w:t> </w:t>
      </w:r>
      <w:r>
        <w:rPr>
          <w:color w:val="231F20"/>
          <w:w w:val="105"/>
          <w:sz w:val="18"/>
        </w:rPr>
        <w:t>en</w:t>
      </w:r>
      <w:r>
        <w:rPr>
          <w:color w:val="231F20"/>
          <w:spacing w:val="-13"/>
          <w:w w:val="105"/>
          <w:sz w:val="18"/>
        </w:rPr>
        <w:t> </w:t>
      </w:r>
      <w:r>
        <w:rPr>
          <w:color w:val="231F20"/>
          <w:w w:val="105"/>
          <w:sz w:val="18"/>
        </w:rPr>
        <w:t>un</w:t>
      </w:r>
      <w:r>
        <w:rPr>
          <w:color w:val="231F20"/>
          <w:spacing w:val="-13"/>
          <w:w w:val="105"/>
          <w:sz w:val="18"/>
        </w:rPr>
        <w:t> </w:t>
      </w:r>
      <w:r>
        <w:rPr>
          <w:color w:val="231F20"/>
          <w:w w:val="105"/>
          <w:sz w:val="18"/>
        </w:rPr>
        <w:t>restaurant</w:t>
      </w:r>
      <w:r>
        <w:rPr>
          <w:color w:val="231F20"/>
          <w:spacing w:val="-13"/>
          <w:w w:val="105"/>
          <w:sz w:val="18"/>
        </w:rPr>
        <w:t> </w:t>
      </w:r>
      <w:r>
        <w:rPr>
          <w:color w:val="231F20"/>
          <w:w w:val="105"/>
          <w:sz w:val="18"/>
        </w:rPr>
        <w:t>donde</w:t>
      </w:r>
      <w:r>
        <w:rPr>
          <w:color w:val="231F20"/>
          <w:spacing w:val="-13"/>
          <w:w w:val="105"/>
          <w:sz w:val="18"/>
        </w:rPr>
        <w:t> </w:t>
      </w:r>
      <w:r>
        <w:rPr>
          <w:color w:val="231F20"/>
          <w:w w:val="105"/>
          <w:sz w:val="18"/>
        </w:rPr>
        <w:t>ha- cían</w:t>
      </w:r>
      <w:r>
        <w:rPr>
          <w:color w:val="231F20"/>
          <w:spacing w:val="-13"/>
          <w:w w:val="105"/>
          <w:sz w:val="18"/>
        </w:rPr>
        <w:t> </w:t>
      </w:r>
      <w:r>
        <w:rPr>
          <w:color w:val="231F20"/>
          <w:w w:val="105"/>
          <w:sz w:val="18"/>
        </w:rPr>
        <w:t>puros</w:t>
      </w:r>
      <w:r>
        <w:rPr>
          <w:color w:val="231F20"/>
          <w:spacing w:val="-13"/>
          <w:w w:val="105"/>
          <w:sz w:val="18"/>
        </w:rPr>
        <w:t> </w:t>
      </w:r>
      <w:r>
        <w:rPr>
          <w:color w:val="231F20"/>
          <w:w w:val="105"/>
          <w:sz w:val="18"/>
        </w:rPr>
        <w:t>sándwiches</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comida</w:t>
      </w:r>
      <w:r>
        <w:rPr>
          <w:color w:val="231F20"/>
          <w:spacing w:val="-13"/>
          <w:w w:val="105"/>
          <w:sz w:val="18"/>
        </w:rPr>
        <w:t> </w:t>
      </w:r>
      <w:r>
        <w:rPr>
          <w:color w:val="231F20"/>
          <w:w w:val="105"/>
          <w:sz w:val="18"/>
        </w:rPr>
        <w:t>dietética,</w:t>
      </w:r>
      <w:r>
        <w:rPr>
          <w:color w:val="231F20"/>
          <w:spacing w:val="-18"/>
          <w:w w:val="105"/>
          <w:sz w:val="18"/>
        </w:rPr>
        <w:t> </w:t>
      </w:r>
      <w:r>
        <w:rPr>
          <w:color w:val="231F20"/>
          <w:w w:val="105"/>
          <w:sz w:val="18"/>
        </w:rPr>
        <w:t>eso</w:t>
      </w:r>
      <w:r>
        <w:rPr>
          <w:color w:val="231F20"/>
          <w:spacing w:val="-13"/>
          <w:w w:val="105"/>
          <w:sz w:val="18"/>
        </w:rPr>
        <w:t> </w:t>
      </w:r>
      <w:r>
        <w:rPr>
          <w:color w:val="231F20"/>
          <w:w w:val="105"/>
          <w:sz w:val="18"/>
        </w:rPr>
        <w:t>me</w:t>
      </w:r>
      <w:r>
        <w:rPr>
          <w:color w:val="231F20"/>
          <w:spacing w:val="-13"/>
          <w:w w:val="105"/>
          <w:sz w:val="18"/>
        </w:rPr>
        <w:t> </w:t>
      </w:r>
      <w:r>
        <w:rPr>
          <w:color w:val="231F20"/>
          <w:w w:val="105"/>
          <w:sz w:val="18"/>
        </w:rPr>
        <w:t>gustaría,</w:t>
      </w:r>
      <w:r>
        <w:rPr>
          <w:color w:val="231F20"/>
          <w:spacing w:val="-18"/>
          <w:w w:val="105"/>
          <w:sz w:val="18"/>
        </w:rPr>
        <w:t> </w:t>
      </w:r>
      <w:r>
        <w:rPr>
          <w:color w:val="231F20"/>
          <w:w w:val="105"/>
          <w:sz w:val="18"/>
        </w:rPr>
        <w:t>pero</w:t>
      </w:r>
      <w:r>
        <w:rPr>
          <w:color w:val="231F20"/>
          <w:spacing w:val="-13"/>
          <w:w w:val="105"/>
          <w:sz w:val="18"/>
        </w:rPr>
        <w:t> </w:t>
      </w:r>
      <w:r>
        <w:rPr>
          <w:color w:val="231F20"/>
          <w:w w:val="105"/>
          <w:sz w:val="18"/>
        </w:rPr>
        <w:t>está duro</w:t>
      </w:r>
      <w:r>
        <w:rPr>
          <w:color w:val="231F20"/>
          <w:spacing w:val="-3"/>
          <w:w w:val="105"/>
          <w:sz w:val="18"/>
        </w:rPr>
        <w:t> </w:t>
      </w:r>
      <w:r>
        <w:rPr>
          <w:color w:val="231F20"/>
          <w:w w:val="105"/>
          <w:sz w:val="18"/>
        </w:rPr>
        <w:t>[...]</w:t>
      </w:r>
      <w:r>
        <w:rPr>
          <w:color w:val="231F20"/>
          <w:spacing w:val="-3"/>
          <w:w w:val="105"/>
          <w:sz w:val="18"/>
        </w:rPr>
        <w:t> </w:t>
      </w:r>
      <w:r>
        <w:rPr>
          <w:color w:val="231F20"/>
          <w:w w:val="105"/>
          <w:sz w:val="18"/>
        </w:rPr>
        <w:t>ya</w:t>
      </w:r>
      <w:r>
        <w:rPr>
          <w:color w:val="231F20"/>
          <w:spacing w:val="-3"/>
          <w:w w:val="105"/>
          <w:sz w:val="18"/>
        </w:rPr>
        <w:t> </w:t>
      </w:r>
      <w:r>
        <w:rPr>
          <w:color w:val="231F20"/>
          <w:w w:val="105"/>
          <w:sz w:val="18"/>
        </w:rPr>
        <w:t>ves</w:t>
      </w:r>
      <w:r>
        <w:rPr>
          <w:color w:val="231F20"/>
          <w:spacing w:val="-3"/>
          <w:w w:val="105"/>
          <w:sz w:val="18"/>
        </w:rPr>
        <w:t> </w:t>
      </w:r>
      <w:r>
        <w:rPr>
          <w:color w:val="231F20"/>
          <w:w w:val="105"/>
          <w:sz w:val="18"/>
        </w:rPr>
        <w:t>lo</w:t>
      </w:r>
      <w:r>
        <w:rPr>
          <w:color w:val="231F20"/>
          <w:spacing w:val="-3"/>
          <w:w w:val="105"/>
          <w:sz w:val="18"/>
        </w:rPr>
        <w:t> </w:t>
      </w:r>
      <w:r>
        <w:rPr>
          <w:color w:val="231F20"/>
          <w:w w:val="105"/>
          <w:sz w:val="18"/>
        </w:rPr>
        <w:t>que</w:t>
      </w:r>
      <w:r>
        <w:rPr>
          <w:color w:val="231F20"/>
          <w:spacing w:val="-3"/>
          <w:w w:val="105"/>
          <w:sz w:val="18"/>
        </w:rPr>
        <w:t> </w:t>
      </w:r>
      <w:r>
        <w:rPr>
          <w:color w:val="231F20"/>
          <w:w w:val="105"/>
          <w:sz w:val="18"/>
        </w:rPr>
        <w:t>se</w:t>
      </w:r>
      <w:r>
        <w:rPr>
          <w:color w:val="231F20"/>
          <w:spacing w:val="-3"/>
          <w:w w:val="105"/>
          <w:sz w:val="18"/>
        </w:rPr>
        <w:t> </w:t>
      </w:r>
      <w:r>
        <w:rPr>
          <w:color w:val="231F20"/>
          <w:w w:val="105"/>
          <w:sz w:val="18"/>
        </w:rPr>
        <w:t>oye</w:t>
      </w:r>
      <w:r>
        <w:rPr>
          <w:color w:val="231F20"/>
          <w:spacing w:val="-3"/>
          <w:w w:val="105"/>
          <w:sz w:val="18"/>
        </w:rPr>
        <w:t> </w:t>
      </w:r>
      <w:r>
        <w:rPr>
          <w:color w:val="231F20"/>
          <w:w w:val="105"/>
          <w:sz w:val="18"/>
        </w:rPr>
        <w:t>[violencia]</w:t>
      </w:r>
      <w:r>
        <w:rPr>
          <w:color w:val="231F20"/>
          <w:spacing w:val="-3"/>
          <w:w w:val="105"/>
          <w:sz w:val="18"/>
        </w:rPr>
        <w:t> </w:t>
      </w:r>
      <w:r>
        <w:rPr>
          <w:color w:val="231F20"/>
          <w:w w:val="105"/>
          <w:sz w:val="18"/>
        </w:rPr>
        <w:t>y</w:t>
      </w:r>
      <w:r>
        <w:rPr>
          <w:color w:val="231F20"/>
          <w:spacing w:val="-3"/>
          <w:w w:val="105"/>
          <w:sz w:val="18"/>
        </w:rPr>
        <w:t> </w:t>
      </w:r>
      <w:r>
        <w:rPr>
          <w:color w:val="231F20"/>
          <w:w w:val="105"/>
          <w:sz w:val="18"/>
        </w:rPr>
        <w:t>faltan</w:t>
      </w:r>
      <w:r>
        <w:rPr>
          <w:color w:val="231F20"/>
          <w:spacing w:val="-3"/>
          <w:w w:val="105"/>
          <w:sz w:val="18"/>
        </w:rPr>
        <w:t> </w:t>
      </w:r>
      <w:r>
        <w:rPr>
          <w:color w:val="231F20"/>
          <w:w w:val="105"/>
          <w:sz w:val="18"/>
        </w:rPr>
        <w:t>recursos,</w:t>
      </w:r>
      <w:r>
        <w:rPr>
          <w:color w:val="231F20"/>
          <w:spacing w:val="-8"/>
          <w:w w:val="105"/>
          <w:sz w:val="18"/>
        </w:rPr>
        <w:t> </w:t>
      </w:r>
      <w:r>
        <w:rPr>
          <w:color w:val="231F20"/>
          <w:w w:val="105"/>
          <w:sz w:val="18"/>
        </w:rPr>
        <w:t>el</w:t>
      </w:r>
      <w:r>
        <w:rPr>
          <w:color w:val="231F20"/>
          <w:spacing w:val="-3"/>
          <w:w w:val="105"/>
          <w:sz w:val="18"/>
        </w:rPr>
        <w:t> </w:t>
      </w:r>
      <w:r>
        <w:rPr>
          <w:color w:val="231F20"/>
          <w:w w:val="105"/>
          <w:sz w:val="18"/>
        </w:rPr>
        <w:t>gobierno debería ayudar más (Alberto C., 27 años, entrevistado el 13/12/2012, </w:t>
      </w:r>
      <w:r>
        <w:rPr>
          <w:color w:val="231F20"/>
          <w:spacing w:val="-3"/>
          <w:w w:val="105"/>
          <w:sz w:val="18"/>
        </w:rPr>
        <w:t>Tecámac,</w:t>
      </w:r>
      <w:r>
        <w:rPr>
          <w:color w:val="231F20"/>
          <w:spacing w:val="-36"/>
          <w:w w:val="105"/>
          <w:sz w:val="18"/>
        </w:rPr>
        <w:t> </w:t>
      </w:r>
      <w:r>
        <w:rPr>
          <w:color w:val="231F20"/>
          <w:w w:val="105"/>
          <w:sz w:val="18"/>
        </w:rPr>
        <w:t>Estado</w:t>
      </w:r>
      <w:r>
        <w:rPr>
          <w:color w:val="231F20"/>
          <w:spacing w:val="-33"/>
          <w:w w:val="105"/>
          <w:sz w:val="18"/>
        </w:rPr>
        <w:t> </w:t>
      </w:r>
      <w:r>
        <w:rPr>
          <w:color w:val="231F20"/>
          <w:w w:val="105"/>
          <w:sz w:val="18"/>
        </w:rPr>
        <w:t>de</w:t>
      </w:r>
      <w:r>
        <w:rPr>
          <w:color w:val="231F20"/>
          <w:spacing w:val="-33"/>
          <w:w w:val="105"/>
          <w:sz w:val="18"/>
        </w:rPr>
        <w:t> </w:t>
      </w:r>
      <w:r>
        <w:rPr>
          <w:color w:val="231F20"/>
          <w:w w:val="105"/>
          <w:sz w:val="18"/>
        </w:rPr>
        <w:t>México).</w:t>
      </w:r>
    </w:p>
    <w:p>
      <w:pPr>
        <w:spacing w:line="254" w:lineRule="auto" w:before="113"/>
        <w:ind w:left="2857" w:right="1834" w:firstLine="0"/>
        <w:jc w:val="both"/>
        <w:rPr>
          <w:sz w:val="18"/>
        </w:rPr>
      </w:pPr>
      <w:r>
        <w:rPr>
          <w:color w:val="231F20"/>
          <w:w w:val="105"/>
          <w:sz w:val="18"/>
        </w:rPr>
        <w:t>Pues yo si tuviera la posibilidad, quisiera tener un negocio, pero es muy difícil, en primera comprar la herramienta y en segunda que te paguen… ya le intenté una vez y no funcionó y ahorita hace como dos</w:t>
      </w:r>
    </w:p>
    <w:p>
      <w:pPr>
        <w:pStyle w:val="BodyText"/>
        <w:rPr>
          <w:sz w:val="20"/>
        </w:rPr>
      </w:pPr>
    </w:p>
    <w:p>
      <w:pPr>
        <w:pStyle w:val="BodyText"/>
        <w:rPr>
          <w:sz w:val="20"/>
        </w:rPr>
      </w:pPr>
    </w:p>
    <w:p>
      <w:pPr>
        <w:pStyle w:val="BodyText"/>
        <w:rPr>
          <w:sz w:val="22"/>
        </w:rPr>
      </w:pPr>
    </w:p>
    <w:p>
      <w:pPr>
        <w:tabs>
          <w:tab w:pos="2937" w:val="left" w:leader="none"/>
        </w:tabs>
        <w:spacing w:before="0"/>
        <w:ind w:left="1832" w:right="0" w:firstLine="0"/>
        <w:jc w:val="left"/>
        <w:rPr>
          <w:rFonts w:ascii="Calibri"/>
          <w:sz w:val="15"/>
        </w:rPr>
      </w:pPr>
      <w:r>
        <w:rPr/>
        <w:pict>
          <v:line style="position:absolute;mso-position-horizontal-relative:page;mso-position-vertical-relative:paragraph;z-index:-459544" from="131.551193pt,.203715pt" to="131.551193pt,36.006114pt" stroked="true" strokeweight=".35pt" strokecolor="#231f20">
            <w10:wrap type="none"/>
          </v:line>
        </w:pict>
      </w:r>
      <w:r>
        <w:rPr/>
        <w:pict>
          <v:line style="position:absolute;mso-position-horizontal-relative:page;mso-position-vertical-relative:paragraph;z-index:-459472" from="15pt,36.005917pt" to="0pt,36.005917pt" stroked="true" strokeweight=".25pt" strokecolor="#000000">
            <w10:wrap type="none"/>
          </v:line>
        </w:pict>
      </w:r>
      <w:r>
        <w:rPr/>
        <w:pict>
          <v:line style="position:absolute;mso-position-horizontal-relative:page;mso-position-vertical-relative:paragraph;z-index:30736" from="508.890015pt,36.005917pt" to="523.890015pt,36.005917pt" stroked="true" strokeweight=".25pt" strokecolor="#000000">
            <w10:wrap type="none"/>
          </v:line>
        </w:pict>
      </w:r>
      <w:r>
        <w:rPr>
          <w:rFonts w:ascii="Arial"/>
          <w:color w:val="414042"/>
          <w:w w:val="105"/>
          <w:position w:val="-5"/>
          <w:sz w:val="20"/>
        </w:rPr>
        <w:t>250</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59424" from="405.061005pt,-18.554295pt" to="405.061005pt,16.311579pt" stroked="true" strokeweight=".35pt" strokecolor="#231f20">
            <w10:wrap type="none"/>
          </v:line>
        </w:pict>
      </w:r>
      <w:r>
        <w:rPr/>
        <w:pict>
          <v:line style="position:absolute;mso-position-horizontal-relative:page;mso-position-vertical-relative:paragraph;z-index:30784" from="15pt,-18.554522pt" to="0pt,-18.554522pt" stroked="true" strokeweight=".25pt" strokecolor="#000000">
            <w10:wrap type="none"/>
          </v:line>
        </w:pict>
      </w:r>
      <w:r>
        <w:rPr/>
        <w:pict>
          <v:line style="position:absolute;mso-position-horizontal-relative:page;mso-position-vertical-relative:paragraph;z-index:30808"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251</w:t>
      </w:r>
    </w:p>
    <w:p>
      <w:pPr>
        <w:pStyle w:val="BodyText"/>
        <w:rPr>
          <w:rFonts w:ascii="Arial"/>
          <w:sz w:val="18"/>
        </w:rPr>
      </w:pPr>
    </w:p>
    <w:p>
      <w:pPr>
        <w:pStyle w:val="BodyText"/>
        <w:rPr>
          <w:rFonts w:ascii="Arial"/>
          <w:sz w:val="18"/>
        </w:rPr>
      </w:pPr>
    </w:p>
    <w:p>
      <w:pPr>
        <w:pStyle w:val="BodyText"/>
        <w:spacing w:before="4"/>
        <w:rPr>
          <w:rFonts w:ascii="Arial"/>
          <w:sz w:val="19"/>
        </w:rPr>
      </w:pPr>
    </w:p>
    <w:p>
      <w:pPr>
        <w:spacing w:line="254" w:lineRule="auto" w:before="1"/>
        <w:ind w:left="2971" w:right="1716" w:firstLine="0"/>
        <w:jc w:val="both"/>
        <w:rPr>
          <w:sz w:val="18"/>
        </w:rPr>
      </w:pPr>
      <w:r>
        <w:rPr>
          <w:color w:val="231F20"/>
          <w:w w:val="105"/>
          <w:sz w:val="18"/>
        </w:rPr>
        <w:t>meses</w:t>
      </w:r>
      <w:r>
        <w:rPr>
          <w:color w:val="231F20"/>
          <w:spacing w:val="-19"/>
          <w:w w:val="105"/>
          <w:sz w:val="18"/>
        </w:rPr>
        <w:t> </w:t>
      </w:r>
      <w:r>
        <w:rPr>
          <w:color w:val="231F20"/>
          <w:w w:val="105"/>
          <w:sz w:val="18"/>
        </w:rPr>
        <w:t>un</w:t>
      </w:r>
      <w:r>
        <w:rPr>
          <w:color w:val="231F20"/>
          <w:spacing w:val="-19"/>
          <w:w w:val="105"/>
          <w:sz w:val="18"/>
        </w:rPr>
        <w:t> </w:t>
      </w:r>
      <w:r>
        <w:rPr>
          <w:color w:val="231F20"/>
          <w:w w:val="105"/>
          <w:sz w:val="18"/>
        </w:rPr>
        <w:t>amigo</w:t>
      </w:r>
      <w:r>
        <w:rPr>
          <w:color w:val="231F20"/>
          <w:spacing w:val="-19"/>
          <w:w w:val="105"/>
          <w:sz w:val="18"/>
        </w:rPr>
        <w:t> </w:t>
      </w:r>
      <w:r>
        <w:rPr>
          <w:color w:val="231F20"/>
          <w:w w:val="105"/>
          <w:sz w:val="18"/>
        </w:rPr>
        <w:t>me</w:t>
      </w:r>
      <w:r>
        <w:rPr>
          <w:color w:val="231F20"/>
          <w:spacing w:val="-19"/>
          <w:w w:val="105"/>
          <w:sz w:val="18"/>
        </w:rPr>
        <w:t> </w:t>
      </w:r>
      <w:r>
        <w:rPr>
          <w:color w:val="231F20"/>
          <w:w w:val="105"/>
          <w:sz w:val="18"/>
        </w:rPr>
        <w:t>dijo</w:t>
      </w:r>
      <w:r>
        <w:rPr>
          <w:color w:val="231F20"/>
          <w:spacing w:val="-19"/>
          <w:w w:val="105"/>
          <w:sz w:val="18"/>
        </w:rPr>
        <w:t> </w:t>
      </w:r>
      <w:r>
        <w:rPr>
          <w:color w:val="231F20"/>
          <w:w w:val="105"/>
          <w:sz w:val="18"/>
        </w:rPr>
        <w:t>que</w:t>
      </w:r>
      <w:r>
        <w:rPr>
          <w:color w:val="231F20"/>
          <w:spacing w:val="-19"/>
          <w:w w:val="105"/>
          <w:sz w:val="18"/>
        </w:rPr>
        <w:t> </w:t>
      </w:r>
      <w:r>
        <w:rPr>
          <w:color w:val="231F20"/>
          <w:w w:val="105"/>
          <w:sz w:val="18"/>
        </w:rPr>
        <w:t>si</w:t>
      </w:r>
      <w:r>
        <w:rPr>
          <w:color w:val="231F20"/>
          <w:spacing w:val="-19"/>
          <w:w w:val="105"/>
          <w:sz w:val="18"/>
        </w:rPr>
        <w:t> </w:t>
      </w:r>
      <w:r>
        <w:rPr>
          <w:color w:val="231F20"/>
          <w:w w:val="105"/>
          <w:sz w:val="18"/>
        </w:rPr>
        <w:t>nos</w:t>
      </w:r>
      <w:r>
        <w:rPr>
          <w:color w:val="231F20"/>
          <w:spacing w:val="-19"/>
          <w:w w:val="105"/>
          <w:sz w:val="18"/>
        </w:rPr>
        <w:t> </w:t>
      </w:r>
      <w:r>
        <w:rPr>
          <w:color w:val="231F20"/>
          <w:w w:val="105"/>
          <w:sz w:val="18"/>
        </w:rPr>
        <w:t>íbamos</w:t>
      </w:r>
      <w:r>
        <w:rPr>
          <w:color w:val="231F20"/>
          <w:spacing w:val="-19"/>
          <w:w w:val="105"/>
          <w:sz w:val="18"/>
        </w:rPr>
        <w:t> </w:t>
      </w:r>
      <w:r>
        <w:rPr>
          <w:color w:val="231F20"/>
          <w:w w:val="105"/>
          <w:sz w:val="18"/>
        </w:rPr>
        <w:t>otra</w:t>
      </w:r>
      <w:r>
        <w:rPr>
          <w:color w:val="231F20"/>
          <w:spacing w:val="-19"/>
          <w:w w:val="105"/>
          <w:sz w:val="18"/>
        </w:rPr>
        <w:t> </w:t>
      </w:r>
      <w:r>
        <w:rPr>
          <w:color w:val="231F20"/>
          <w:w w:val="105"/>
          <w:sz w:val="18"/>
        </w:rPr>
        <w:t>vez</w:t>
      </w:r>
      <w:r>
        <w:rPr>
          <w:color w:val="231F20"/>
          <w:spacing w:val="-19"/>
          <w:w w:val="105"/>
          <w:sz w:val="18"/>
        </w:rPr>
        <w:t> </w:t>
      </w:r>
      <w:r>
        <w:rPr>
          <w:color w:val="231F20"/>
          <w:w w:val="105"/>
          <w:sz w:val="18"/>
        </w:rPr>
        <w:t>y</w:t>
      </w:r>
      <w:r>
        <w:rPr>
          <w:color w:val="231F20"/>
          <w:spacing w:val="-19"/>
          <w:w w:val="105"/>
          <w:sz w:val="18"/>
        </w:rPr>
        <w:t> </w:t>
      </w:r>
      <w:r>
        <w:rPr>
          <w:color w:val="231F20"/>
          <w:w w:val="105"/>
          <w:sz w:val="18"/>
        </w:rPr>
        <w:t>es</w:t>
      </w:r>
      <w:r>
        <w:rPr>
          <w:color w:val="231F20"/>
          <w:spacing w:val="-19"/>
          <w:w w:val="105"/>
          <w:sz w:val="18"/>
        </w:rPr>
        <w:t> </w:t>
      </w:r>
      <w:r>
        <w:rPr>
          <w:color w:val="231F20"/>
          <w:w w:val="105"/>
          <w:sz w:val="18"/>
        </w:rPr>
        <w:t>lo</w:t>
      </w:r>
      <w:r>
        <w:rPr>
          <w:color w:val="231F20"/>
          <w:spacing w:val="-19"/>
          <w:w w:val="105"/>
          <w:sz w:val="18"/>
        </w:rPr>
        <w:t> </w:t>
      </w:r>
      <w:r>
        <w:rPr>
          <w:color w:val="231F20"/>
          <w:w w:val="105"/>
          <w:sz w:val="18"/>
        </w:rPr>
        <w:t>que</w:t>
      </w:r>
      <w:r>
        <w:rPr>
          <w:color w:val="231F20"/>
          <w:spacing w:val="-19"/>
          <w:w w:val="105"/>
          <w:sz w:val="18"/>
        </w:rPr>
        <w:t> </w:t>
      </w:r>
      <w:r>
        <w:rPr>
          <w:color w:val="231F20"/>
          <w:w w:val="105"/>
          <w:sz w:val="18"/>
        </w:rPr>
        <w:t>estamos pensando</w:t>
      </w:r>
      <w:r>
        <w:rPr>
          <w:color w:val="231F20"/>
          <w:spacing w:val="-10"/>
          <w:w w:val="105"/>
          <w:sz w:val="18"/>
        </w:rPr>
        <w:t> </w:t>
      </w:r>
      <w:r>
        <w:rPr>
          <w:color w:val="231F20"/>
          <w:w w:val="115"/>
          <w:sz w:val="18"/>
        </w:rPr>
        <w:t>[…]</w:t>
      </w:r>
      <w:r>
        <w:rPr>
          <w:color w:val="231F20"/>
          <w:spacing w:val="-15"/>
          <w:w w:val="115"/>
          <w:sz w:val="18"/>
        </w:rPr>
        <w:t> </w:t>
      </w:r>
      <w:r>
        <w:rPr>
          <w:color w:val="231F20"/>
          <w:w w:val="105"/>
          <w:sz w:val="18"/>
        </w:rPr>
        <w:t>me</w:t>
      </w:r>
      <w:r>
        <w:rPr>
          <w:color w:val="231F20"/>
          <w:spacing w:val="-10"/>
          <w:w w:val="105"/>
          <w:sz w:val="18"/>
        </w:rPr>
        <w:t> </w:t>
      </w:r>
      <w:r>
        <w:rPr>
          <w:color w:val="231F20"/>
          <w:w w:val="105"/>
          <w:sz w:val="18"/>
        </w:rPr>
        <w:t>gustaría</w:t>
      </w:r>
      <w:r>
        <w:rPr>
          <w:color w:val="231F20"/>
          <w:spacing w:val="-10"/>
          <w:w w:val="105"/>
          <w:sz w:val="18"/>
        </w:rPr>
        <w:t> </w:t>
      </w:r>
      <w:r>
        <w:rPr>
          <w:color w:val="231F20"/>
          <w:w w:val="105"/>
          <w:sz w:val="18"/>
        </w:rPr>
        <w:t>poner</w:t>
      </w:r>
      <w:r>
        <w:rPr>
          <w:color w:val="231F20"/>
          <w:spacing w:val="-10"/>
          <w:w w:val="105"/>
          <w:sz w:val="18"/>
        </w:rPr>
        <w:t> </w:t>
      </w:r>
      <w:r>
        <w:rPr>
          <w:color w:val="231F20"/>
          <w:w w:val="105"/>
          <w:sz w:val="18"/>
        </w:rPr>
        <w:t>un</w:t>
      </w:r>
      <w:r>
        <w:rPr>
          <w:color w:val="231F20"/>
          <w:spacing w:val="-10"/>
          <w:w w:val="105"/>
          <w:sz w:val="18"/>
        </w:rPr>
        <w:t> </w:t>
      </w:r>
      <w:r>
        <w:rPr>
          <w:color w:val="231F20"/>
          <w:w w:val="105"/>
          <w:sz w:val="18"/>
        </w:rPr>
        <w:t>invernadero</w:t>
      </w:r>
      <w:r>
        <w:rPr>
          <w:color w:val="231F20"/>
          <w:spacing w:val="-10"/>
          <w:w w:val="105"/>
          <w:sz w:val="18"/>
        </w:rPr>
        <w:t> </w:t>
      </w:r>
      <w:r>
        <w:rPr>
          <w:color w:val="231F20"/>
          <w:w w:val="105"/>
          <w:sz w:val="18"/>
        </w:rPr>
        <w:t>aunque</w:t>
      </w:r>
      <w:r>
        <w:rPr>
          <w:color w:val="231F20"/>
          <w:spacing w:val="-10"/>
          <w:w w:val="105"/>
          <w:sz w:val="18"/>
        </w:rPr>
        <w:t> </w:t>
      </w:r>
      <w:r>
        <w:rPr>
          <w:color w:val="231F20"/>
          <w:w w:val="105"/>
          <w:sz w:val="18"/>
        </w:rPr>
        <w:t>me</w:t>
      </w:r>
      <w:r>
        <w:rPr>
          <w:color w:val="231F20"/>
          <w:spacing w:val="-10"/>
          <w:w w:val="105"/>
          <w:sz w:val="18"/>
        </w:rPr>
        <w:t> </w:t>
      </w:r>
      <w:r>
        <w:rPr>
          <w:color w:val="231F20"/>
          <w:w w:val="105"/>
          <w:sz w:val="18"/>
        </w:rPr>
        <w:t>falta</w:t>
      </w:r>
      <w:r>
        <w:rPr>
          <w:color w:val="231F20"/>
          <w:spacing w:val="-10"/>
          <w:w w:val="105"/>
          <w:sz w:val="18"/>
        </w:rPr>
        <w:t> </w:t>
      </w:r>
      <w:r>
        <w:rPr>
          <w:color w:val="231F20"/>
          <w:w w:val="105"/>
          <w:sz w:val="18"/>
        </w:rPr>
        <w:t>dine- </w:t>
      </w:r>
      <w:r>
        <w:rPr>
          <w:color w:val="231F20"/>
          <w:spacing w:val="-3"/>
          <w:w w:val="105"/>
          <w:sz w:val="18"/>
        </w:rPr>
        <w:t>ro,</w:t>
      </w:r>
      <w:r>
        <w:rPr>
          <w:color w:val="231F20"/>
          <w:spacing w:val="-11"/>
          <w:w w:val="105"/>
          <w:sz w:val="18"/>
        </w:rPr>
        <w:t> </w:t>
      </w:r>
      <w:r>
        <w:rPr>
          <w:color w:val="231F20"/>
          <w:w w:val="105"/>
          <w:sz w:val="18"/>
        </w:rPr>
        <w:t>creo</w:t>
      </w:r>
      <w:r>
        <w:rPr>
          <w:color w:val="231F20"/>
          <w:spacing w:val="-7"/>
          <w:w w:val="105"/>
          <w:sz w:val="18"/>
        </w:rPr>
        <w:t> </w:t>
      </w:r>
      <w:r>
        <w:rPr>
          <w:color w:val="231F20"/>
          <w:w w:val="105"/>
          <w:sz w:val="18"/>
        </w:rPr>
        <w:t>que</w:t>
      </w:r>
      <w:r>
        <w:rPr>
          <w:color w:val="231F20"/>
          <w:spacing w:val="-7"/>
          <w:w w:val="105"/>
          <w:sz w:val="18"/>
        </w:rPr>
        <w:t> </w:t>
      </w:r>
      <w:r>
        <w:rPr>
          <w:color w:val="231F20"/>
          <w:w w:val="105"/>
          <w:sz w:val="18"/>
        </w:rPr>
        <w:t>me</w:t>
      </w:r>
      <w:r>
        <w:rPr>
          <w:color w:val="231F20"/>
          <w:spacing w:val="-7"/>
          <w:w w:val="105"/>
          <w:sz w:val="18"/>
        </w:rPr>
        <w:t> </w:t>
      </w:r>
      <w:r>
        <w:rPr>
          <w:color w:val="231F20"/>
          <w:w w:val="105"/>
          <w:sz w:val="18"/>
        </w:rPr>
        <w:t>falta</w:t>
      </w:r>
      <w:r>
        <w:rPr>
          <w:color w:val="231F20"/>
          <w:spacing w:val="-7"/>
          <w:w w:val="105"/>
          <w:sz w:val="18"/>
        </w:rPr>
        <w:t> </w:t>
      </w:r>
      <w:r>
        <w:rPr>
          <w:color w:val="231F20"/>
          <w:w w:val="105"/>
          <w:sz w:val="18"/>
        </w:rPr>
        <w:t>más</w:t>
      </w:r>
      <w:r>
        <w:rPr>
          <w:color w:val="231F20"/>
          <w:spacing w:val="-7"/>
          <w:w w:val="105"/>
          <w:sz w:val="18"/>
        </w:rPr>
        <w:t> </w:t>
      </w:r>
      <w:r>
        <w:rPr>
          <w:color w:val="231F20"/>
          <w:w w:val="105"/>
          <w:sz w:val="18"/>
        </w:rPr>
        <w:t>apoyo,</w:t>
      </w:r>
      <w:r>
        <w:rPr>
          <w:color w:val="231F20"/>
          <w:spacing w:val="-11"/>
          <w:w w:val="105"/>
          <w:sz w:val="18"/>
        </w:rPr>
        <w:t> </w:t>
      </w:r>
      <w:r>
        <w:rPr>
          <w:color w:val="231F20"/>
          <w:w w:val="105"/>
          <w:sz w:val="18"/>
        </w:rPr>
        <w:t>de</w:t>
      </w:r>
      <w:r>
        <w:rPr>
          <w:color w:val="231F20"/>
          <w:spacing w:val="-7"/>
          <w:w w:val="105"/>
          <w:sz w:val="18"/>
        </w:rPr>
        <w:t> </w:t>
      </w:r>
      <w:r>
        <w:rPr>
          <w:color w:val="231F20"/>
          <w:w w:val="105"/>
          <w:sz w:val="18"/>
        </w:rPr>
        <w:t>hecho</w:t>
      </w:r>
      <w:r>
        <w:rPr>
          <w:color w:val="231F20"/>
          <w:spacing w:val="-7"/>
          <w:w w:val="105"/>
          <w:sz w:val="18"/>
        </w:rPr>
        <w:t> </w:t>
      </w:r>
      <w:r>
        <w:rPr>
          <w:color w:val="231F20"/>
          <w:w w:val="105"/>
          <w:sz w:val="18"/>
        </w:rPr>
        <w:t>más</w:t>
      </w:r>
      <w:r>
        <w:rPr>
          <w:color w:val="231F20"/>
          <w:spacing w:val="-7"/>
          <w:w w:val="105"/>
          <w:sz w:val="18"/>
        </w:rPr>
        <w:t> </w:t>
      </w:r>
      <w:r>
        <w:rPr>
          <w:color w:val="231F20"/>
          <w:w w:val="105"/>
          <w:sz w:val="18"/>
        </w:rPr>
        <w:t>apoyo</w:t>
      </w:r>
      <w:r>
        <w:rPr>
          <w:color w:val="231F20"/>
          <w:spacing w:val="-7"/>
          <w:w w:val="105"/>
          <w:sz w:val="18"/>
        </w:rPr>
        <w:t> </w:t>
      </w:r>
      <w:r>
        <w:rPr>
          <w:color w:val="231F20"/>
          <w:w w:val="105"/>
          <w:sz w:val="18"/>
        </w:rPr>
        <w:t>a</w:t>
      </w:r>
      <w:r>
        <w:rPr>
          <w:color w:val="231F20"/>
          <w:spacing w:val="-7"/>
          <w:w w:val="105"/>
          <w:sz w:val="18"/>
        </w:rPr>
        <w:t> </w:t>
      </w:r>
      <w:r>
        <w:rPr>
          <w:color w:val="231F20"/>
          <w:w w:val="105"/>
          <w:sz w:val="18"/>
        </w:rPr>
        <w:t>las</w:t>
      </w:r>
      <w:r>
        <w:rPr>
          <w:color w:val="231F20"/>
          <w:spacing w:val="-7"/>
          <w:w w:val="105"/>
          <w:sz w:val="18"/>
        </w:rPr>
        <w:t> </w:t>
      </w:r>
      <w:r>
        <w:rPr>
          <w:color w:val="231F20"/>
          <w:w w:val="105"/>
          <w:sz w:val="18"/>
        </w:rPr>
        <w:t>empresas o microempresas que las apoyen más, porque si pones un negocio</w:t>
      </w:r>
      <w:r>
        <w:rPr>
          <w:color w:val="231F20"/>
          <w:spacing w:val="-27"/>
          <w:w w:val="105"/>
          <w:sz w:val="18"/>
        </w:rPr>
        <w:t> </w:t>
      </w:r>
      <w:r>
        <w:rPr>
          <w:color w:val="231F20"/>
          <w:w w:val="105"/>
          <w:sz w:val="18"/>
        </w:rPr>
        <w:t>lo primero que hacen es ir a cobrarte una cosa y cobrarte otra cosa y te tardas</w:t>
      </w:r>
      <w:r>
        <w:rPr>
          <w:color w:val="231F20"/>
          <w:spacing w:val="-23"/>
          <w:w w:val="105"/>
          <w:sz w:val="18"/>
        </w:rPr>
        <w:t> </w:t>
      </w:r>
      <w:r>
        <w:rPr>
          <w:color w:val="231F20"/>
          <w:w w:val="105"/>
          <w:sz w:val="18"/>
        </w:rPr>
        <w:t>más</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pagar</w:t>
      </w:r>
      <w:r>
        <w:rPr>
          <w:color w:val="231F20"/>
          <w:spacing w:val="-23"/>
          <w:w w:val="105"/>
          <w:sz w:val="18"/>
        </w:rPr>
        <w:t> </w:t>
      </w:r>
      <w:r>
        <w:rPr>
          <w:color w:val="231F20"/>
          <w:w w:val="105"/>
          <w:sz w:val="18"/>
        </w:rPr>
        <w:t>cosas</w:t>
      </w:r>
      <w:r>
        <w:rPr>
          <w:color w:val="231F20"/>
          <w:spacing w:val="-23"/>
          <w:w w:val="105"/>
          <w:sz w:val="18"/>
        </w:rPr>
        <w:t> </w:t>
      </w:r>
      <w:r>
        <w:rPr>
          <w:color w:val="231F20"/>
          <w:w w:val="105"/>
          <w:sz w:val="18"/>
        </w:rPr>
        <w:t>que</w:t>
      </w:r>
      <w:r>
        <w:rPr>
          <w:color w:val="231F20"/>
          <w:spacing w:val="-23"/>
          <w:w w:val="105"/>
          <w:sz w:val="18"/>
        </w:rPr>
        <w:t> </w:t>
      </w:r>
      <w:r>
        <w:rPr>
          <w:color w:val="231F20"/>
          <w:w w:val="105"/>
          <w:sz w:val="18"/>
        </w:rPr>
        <w:t>lo</w:t>
      </w:r>
      <w:r>
        <w:rPr>
          <w:color w:val="231F20"/>
          <w:spacing w:val="-23"/>
          <w:w w:val="105"/>
          <w:sz w:val="18"/>
        </w:rPr>
        <w:t> </w:t>
      </w:r>
      <w:r>
        <w:rPr>
          <w:color w:val="231F20"/>
          <w:w w:val="105"/>
          <w:sz w:val="18"/>
        </w:rPr>
        <w:t>que</w:t>
      </w:r>
      <w:r>
        <w:rPr>
          <w:color w:val="231F20"/>
          <w:spacing w:val="-23"/>
          <w:w w:val="105"/>
          <w:sz w:val="18"/>
        </w:rPr>
        <w:t> </w:t>
      </w:r>
      <w:r>
        <w:rPr>
          <w:color w:val="231F20"/>
          <w:w w:val="105"/>
          <w:sz w:val="18"/>
        </w:rPr>
        <w:t>estás</w:t>
      </w:r>
      <w:r>
        <w:rPr>
          <w:color w:val="231F20"/>
          <w:spacing w:val="-23"/>
          <w:w w:val="105"/>
          <w:sz w:val="18"/>
        </w:rPr>
        <w:t> </w:t>
      </w:r>
      <w:r>
        <w:rPr>
          <w:color w:val="231F20"/>
          <w:w w:val="105"/>
          <w:sz w:val="18"/>
        </w:rPr>
        <w:t>haciendo</w:t>
      </w:r>
      <w:r>
        <w:rPr>
          <w:color w:val="231F20"/>
          <w:spacing w:val="-23"/>
          <w:w w:val="105"/>
          <w:sz w:val="18"/>
        </w:rPr>
        <w:t> </w:t>
      </w:r>
      <w:r>
        <w:rPr>
          <w:color w:val="231F20"/>
          <w:w w:val="105"/>
          <w:sz w:val="18"/>
        </w:rPr>
        <w:t>y</w:t>
      </w:r>
      <w:r>
        <w:rPr>
          <w:color w:val="231F20"/>
          <w:spacing w:val="-23"/>
          <w:w w:val="105"/>
          <w:sz w:val="18"/>
        </w:rPr>
        <w:t> </w:t>
      </w:r>
      <w:r>
        <w:rPr>
          <w:color w:val="231F20"/>
          <w:w w:val="105"/>
          <w:sz w:val="18"/>
        </w:rPr>
        <w:t>no</w:t>
      </w:r>
      <w:r>
        <w:rPr>
          <w:color w:val="231F20"/>
          <w:spacing w:val="-23"/>
          <w:w w:val="105"/>
          <w:sz w:val="18"/>
        </w:rPr>
        <w:t> </w:t>
      </w:r>
      <w:r>
        <w:rPr>
          <w:color w:val="231F20"/>
          <w:w w:val="105"/>
          <w:sz w:val="18"/>
        </w:rPr>
        <w:t>sacas</w:t>
      </w:r>
      <w:r>
        <w:rPr>
          <w:color w:val="231F20"/>
          <w:spacing w:val="-23"/>
          <w:w w:val="105"/>
          <w:sz w:val="18"/>
        </w:rPr>
        <w:t> </w:t>
      </w:r>
      <w:r>
        <w:rPr>
          <w:color w:val="231F20"/>
          <w:w w:val="105"/>
          <w:sz w:val="18"/>
        </w:rPr>
        <w:t>ni</w:t>
      </w:r>
      <w:r>
        <w:rPr>
          <w:color w:val="231F20"/>
          <w:spacing w:val="-23"/>
          <w:w w:val="105"/>
          <w:sz w:val="18"/>
        </w:rPr>
        <w:t> </w:t>
      </w:r>
      <w:r>
        <w:rPr>
          <w:color w:val="231F20"/>
          <w:w w:val="105"/>
          <w:sz w:val="18"/>
        </w:rPr>
        <w:t>para pagar</w:t>
      </w:r>
      <w:r>
        <w:rPr>
          <w:color w:val="231F20"/>
          <w:spacing w:val="-23"/>
          <w:w w:val="105"/>
          <w:sz w:val="18"/>
        </w:rPr>
        <w:t> </w:t>
      </w:r>
      <w:r>
        <w:rPr>
          <w:color w:val="231F20"/>
          <w:w w:val="105"/>
          <w:sz w:val="18"/>
        </w:rPr>
        <w:t>ni</w:t>
      </w:r>
      <w:r>
        <w:rPr>
          <w:color w:val="231F20"/>
          <w:spacing w:val="-23"/>
          <w:w w:val="105"/>
          <w:sz w:val="18"/>
        </w:rPr>
        <w:t> </w:t>
      </w:r>
      <w:r>
        <w:rPr>
          <w:color w:val="231F20"/>
          <w:w w:val="105"/>
          <w:sz w:val="18"/>
        </w:rPr>
        <w:t>para</w:t>
      </w:r>
      <w:r>
        <w:rPr>
          <w:color w:val="231F20"/>
          <w:spacing w:val="-23"/>
          <w:w w:val="105"/>
          <w:sz w:val="18"/>
        </w:rPr>
        <w:t> </w:t>
      </w:r>
      <w:r>
        <w:rPr>
          <w:color w:val="231F20"/>
          <w:w w:val="105"/>
          <w:sz w:val="18"/>
        </w:rPr>
        <w:t>comer</w:t>
      </w:r>
      <w:r>
        <w:rPr>
          <w:color w:val="231F20"/>
          <w:spacing w:val="-23"/>
          <w:w w:val="105"/>
          <w:sz w:val="18"/>
        </w:rPr>
        <w:t> </w:t>
      </w:r>
      <w:r>
        <w:rPr>
          <w:color w:val="231F20"/>
          <w:w w:val="105"/>
          <w:sz w:val="18"/>
        </w:rPr>
        <w:t>(Anastasio</w:t>
      </w:r>
      <w:r>
        <w:rPr>
          <w:color w:val="231F20"/>
          <w:spacing w:val="-23"/>
          <w:w w:val="105"/>
          <w:sz w:val="18"/>
        </w:rPr>
        <w:t> </w:t>
      </w:r>
      <w:r>
        <w:rPr>
          <w:color w:val="231F20"/>
          <w:w w:val="105"/>
          <w:sz w:val="18"/>
        </w:rPr>
        <w:t>R.,</w:t>
      </w:r>
      <w:r>
        <w:rPr>
          <w:color w:val="231F20"/>
          <w:spacing w:val="-27"/>
          <w:w w:val="105"/>
          <w:sz w:val="18"/>
        </w:rPr>
        <w:t> </w:t>
      </w:r>
      <w:r>
        <w:rPr>
          <w:color w:val="231F20"/>
          <w:w w:val="105"/>
          <w:sz w:val="18"/>
        </w:rPr>
        <w:t>36</w:t>
      </w:r>
      <w:r>
        <w:rPr>
          <w:color w:val="231F20"/>
          <w:spacing w:val="-23"/>
          <w:w w:val="105"/>
          <w:sz w:val="18"/>
        </w:rPr>
        <w:t> </w:t>
      </w:r>
      <w:r>
        <w:rPr>
          <w:color w:val="231F20"/>
          <w:w w:val="105"/>
          <w:sz w:val="18"/>
        </w:rPr>
        <w:t>años,</w:t>
      </w:r>
      <w:r>
        <w:rPr>
          <w:color w:val="231F20"/>
          <w:spacing w:val="-27"/>
          <w:w w:val="105"/>
          <w:sz w:val="18"/>
        </w:rPr>
        <w:t> </w:t>
      </w:r>
      <w:r>
        <w:rPr>
          <w:color w:val="231F20"/>
          <w:w w:val="105"/>
          <w:sz w:val="18"/>
        </w:rPr>
        <w:t>entrevistado</w:t>
      </w:r>
      <w:r>
        <w:rPr>
          <w:color w:val="231F20"/>
          <w:spacing w:val="-23"/>
          <w:w w:val="105"/>
          <w:sz w:val="18"/>
        </w:rPr>
        <w:t> </w:t>
      </w:r>
      <w:r>
        <w:rPr>
          <w:color w:val="231F20"/>
          <w:w w:val="105"/>
          <w:sz w:val="18"/>
        </w:rPr>
        <w:t>el</w:t>
      </w:r>
      <w:r>
        <w:rPr>
          <w:color w:val="231F20"/>
          <w:spacing w:val="-23"/>
          <w:w w:val="105"/>
          <w:sz w:val="18"/>
        </w:rPr>
        <w:t> </w:t>
      </w:r>
      <w:r>
        <w:rPr>
          <w:color w:val="231F20"/>
          <w:w w:val="105"/>
          <w:sz w:val="18"/>
        </w:rPr>
        <w:t>20/12/2012, </w:t>
      </w:r>
      <w:r>
        <w:rPr>
          <w:color w:val="231F20"/>
          <w:spacing w:val="-3"/>
          <w:w w:val="105"/>
          <w:sz w:val="18"/>
        </w:rPr>
        <w:t>Tecámac,</w:t>
      </w:r>
      <w:r>
        <w:rPr>
          <w:color w:val="231F20"/>
          <w:spacing w:val="-36"/>
          <w:w w:val="105"/>
          <w:sz w:val="18"/>
        </w:rPr>
        <w:t> </w:t>
      </w:r>
      <w:r>
        <w:rPr>
          <w:color w:val="231F20"/>
          <w:w w:val="105"/>
          <w:sz w:val="18"/>
        </w:rPr>
        <w:t>Estado</w:t>
      </w:r>
      <w:r>
        <w:rPr>
          <w:color w:val="231F20"/>
          <w:spacing w:val="-33"/>
          <w:w w:val="105"/>
          <w:sz w:val="18"/>
        </w:rPr>
        <w:t> </w:t>
      </w:r>
      <w:r>
        <w:rPr>
          <w:color w:val="231F20"/>
          <w:w w:val="105"/>
          <w:sz w:val="18"/>
        </w:rPr>
        <w:t>de</w:t>
      </w:r>
      <w:r>
        <w:rPr>
          <w:color w:val="231F20"/>
          <w:spacing w:val="-33"/>
          <w:w w:val="105"/>
          <w:sz w:val="18"/>
        </w:rPr>
        <w:t> </w:t>
      </w:r>
      <w:r>
        <w:rPr>
          <w:color w:val="231F20"/>
          <w:w w:val="105"/>
          <w:sz w:val="18"/>
        </w:rPr>
        <w:t>México).</w:t>
      </w:r>
    </w:p>
    <w:p>
      <w:pPr>
        <w:pStyle w:val="BodyText"/>
        <w:rPr>
          <w:sz w:val="18"/>
        </w:rPr>
      </w:pPr>
    </w:p>
    <w:p>
      <w:pPr>
        <w:pStyle w:val="BodyText"/>
        <w:rPr>
          <w:sz w:val="18"/>
        </w:rPr>
      </w:pPr>
    </w:p>
    <w:p>
      <w:pPr>
        <w:pStyle w:val="BodyText"/>
        <w:spacing w:before="2"/>
        <w:rPr>
          <w:sz w:val="26"/>
        </w:rPr>
      </w:pPr>
    </w:p>
    <w:p>
      <w:pPr>
        <w:pStyle w:val="Heading3"/>
      </w:pPr>
      <w:r>
        <w:rPr>
          <w:color w:val="231F20"/>
        </w:rPr>
        <w:t>Conclusiones</w:t>
      </w:r>
    </w:p>
    <w:p>
      <w:pPr>
        <w:pStyle w:val="BodyText"/>
        <w:rPr>
          <w:rFonts w:ascii="Arial"/>
          <w:b/>
          <w:sz w:val="22"/>
        </w:rPr>
      </w:pPr>
    </w:p>
    <w:p>
      <w:pPr>
        <w:pStyle w:val="BodyText"/>
        <w:spacing w:line="261" w:lineRule="auto" w:before="163"/>
        <w:ind w:left="1837" w:right="1715"/>
        <w:jc w:val="both"/>
      </w:pPr>
      <w:r>
        <w:rPr>
          <w:color w:val="231F20"/>
          <w:w w:val="105"/>
        </w:rPr>
        <w:t>Esta</w:t>
      </w:r>
      <w:r>
        <w:rPr>
          <w:color w:val="231F20"/>
          <w:spacing w:val="-23"/>
          <w:w w:val="105"/>
        </w:rPr>
        <w:t> </w:t>
      </w:r>
      <w:r>
        <w:rPr>
          <w:color w:val="231F20"/>
          <w:w w:val="105"/>
        </w:rPr>
        <w:t>muestra</w:t>
      </w:r>
      <w:r>
        <w:rPr>
          <w:color w:val="231F20"/>
          <w:spacing w:val="-23"/>
          <w:w w:val="105"/>
        </w:rPr>
        <w:t> </w:t>
      </w:r>
      <w:r>
        <w:rPr>
          <w:color w:val="231F20"/>
          <w:w w:val="105"/>
        </w:rPr>
        <w:t>no</w:t>
      </w:r>
      <w:r>
        <w:rPr>
          <w:color w:val="231F20"/>
          <w:spacing w:val="-23"/>
          <w:w w:val="105"/>
        </w:rPr>
        <w:t> </w:t>
      </w:r>
      <w:r>
        <w:rPr>
          <w:color w:val="231F20"/>
          <w:w w:val="105"/>
        </w:rPr>
        <w:t>es</w:t>
      </w:r>
      <w:r>
        <w:rPr>
          <w:color w:val="231F20"/>
          <w:spacing w:val="-23"/>
          <w:w w:val="105"/>
        </w:rPr>
        <w:t> </w:t>
      </w:r>
      <w:r>
        <w:rPr>
          <w:color w:val="231F20"/>
          <w:w w:val="105"/>
        </w:rPr>
        <w:t>aleatoria,</w:t>
      </w:r>
      <w:r>
        <w:rPr>
          <w:color w:val="231F20"/>
          <w:spacing w:val="-27"/>
          <w:w w:val="105"/>
        </w:rPr>
        <w:t> </w:t>
      </w:r>
      <w:r>
        <w:rPr>
          <w:color w:val="231F20"/>
          <w:w w:val="105"/>
        </w:rPr>
        <w:t>se</w:t>
      </w:r>
      <w:r>
        <w:rPr>
          <w:color w:val="231F20"/>
          <w:spacing w:val="-23"/>
          <w:w w:val="105"/>
        </w:rPr>
        <w:t> </w:t>
      </w:r>
      <w:r>
        <w:rPr>
          <w:color w:val="231F20"/>
          <w:w w:val="105"/>
        </w:rPr>
        <w:t>incluyen</w:t>
      </w:r>
      <w:r>
        <w:rPr>
          <w:color w:val="231F20"/>
          <w:spacing w:val="-23"/>
          <w:w w:val="105"/>
        </w:rPr>
        <w:t> </w:t>
      </w:r>
      <w:r>
        <w:rPr>
          <w:color w:val="231F20"/>
          <w:w w:val="105"/>
        </w:rPr>
        <w:t>las</w:t>
      </w:r>
      <w:r>
        <w:rPr>
          <w:color w:val="231F20"/>
          <w:spacing w:val="-23"/>
          <w:w w:val="105"/>
        </w:rPr>
        <w:t> </w:t>
      </w:r>
      <w:r>
        <w:rPr>
          <w:color w:val="231F20"/>
          <w:w w:val="105"/>
        </w:rPr>
        <w:t>voces</w:t>
      </w:r>
      <w:r>
        <w:rPr>
          <w:color w:val="231F20"/>
          <w:spacing w:val="-23"/>
          <w:w w:val="105"/>
        </w:rPr>
        <w:t> </w:t>
      </w:r>
      <w:r>
        <w:rPr>
          <w:color w:val="231F20"/>
          <w:w w:val="105"/>
        </w:rPr>
        <w:t>de</w:t>
      </w:r>
      <w:r>
        <w:rPr>
          <w:color w:val="231F20"/>
          <w:spacing w:val="-23"/>
          <w:w w:val="105"/>
        </w:rPr>
        <w:t> </w:t>
      </w:r>
      <w:r>
        <w:rPr>
          <w:color w:val="231F20"/>
          <w:w w:val="105"/>
        </w:rPr>
        <w:t>migrantes</w:t>
      </w:r>
      <w:r>
        <w:rPr>
          <w:color w:val="231F20"/>
          <w:spacing w:val="-23"/>
          <w:w w:val="105"/>
        </w:rPr>
        <w:t> </w:t>
      </w:r>
      <w:r>
        <w:rPr>
          <w:color w:val="231F20"/>
          <w:w w:val="105"/>
        </w:rPr>
        <w:t>retorna- dos hacia 26 municipios de la entidad mexiquense, lo cual brinda una buena</w:t>
      </w:r>
      <w:r>
        <w:rPr>
          <w:color w:val="231F20"/>
          <w:spacing w:val="-12"/>
          <w:w w:val="105"/>
        </w:rPr>
        <w:t> </w:t>
      </w:r>
      <w:r>
        <w:rPr>
          <w:color w:val="231F20"/>
          <w:w w:val="105"/>
        </w:rPr>
        <w:t>aproximación</w:t>
      </w:r>
      <w:r>
        <w:rPr>
          <w:color w:val="231F20"/>
          <w:spacing w:val="-12"/>
          <w:w w:val="105"/>
        </w:rPr>
        <w:t> </w:t>
      </w:r>
      <w:r>
        <w:rPr>
          <w:color w:val="231F20"/>
          <w:w w:val="105"/>
        </w:rPr>
        <w:t>al</w:t>
      </w:r>
      <w:r>
        <w:rPr>
          <w:color w:val="231F20"/>
          <w:spacing w:val="-12"/>
          <w:w w:val="105"/>
        </w:rPr>
        <w:t> </w:t>
      </w:r>
      <w:r>
        <w:rPr>
          <w:color w:val="231F20"/>
          <w:w w:val="105"/>
        </w:rPr>
        <w:t>panorama</w:t>
      </w:r>
      <w:r>
        <w:rPr>
          <w:color w:val="231F20"/>
          <w:spacing w:val="-12"/>
          <w:w w:val="105"/>
        </w:rPr>
        <w:t> </w:t>
      </w:r>
      <w:r>
        <w:rPr>
          <w:color w:val="231F20"/>
          <w:w w:val="105"/>
        </w:rPr>
        <w:t>estatal</w:t>
      </w:r>
      <w:r>
        <w:rPr>
          <w:color w:val="231F20"/>
          <w:spacing w:val="-12"/>
          <w:w w:val="105"/>
        </w:rPr>
        <w:t> </w:t>
      </w:r>
      <w:r>
        <w:rPr>
          <w:color w:val="231F20"/>
          <w:w w:val="105"/>
        </w:rPr>
        <w:t>en</w:t>
      </w:r>
      <w:r>
        <w:rPr>
          <w:color w:val="231F20"/>
          <w:spacing w:val="-12"/>
          <w:w w:val="105"/>
        </w:rPr>
        <w:t> </w:t>
      </w:r>
      <w:r>
        <w:rPr>
          <w:color w:val="231F20"/>
          <w:w w:val="105"/>
        </w:rPr>
        <w:t>materia</w:t>
      </w:r>
      <w:r>
        <w:rPr>
          <w:color w:val="231F20"/>
          <w:spacing w:val="-12"/>
          <w:w w:val="105"/>
        </w:rPr>
        <w:t> </w:t>
      </w:r>
      <w:r>
        <w:rPr>
          <w:color w:val="231F20"/>
          <w:w w:val="105"/>
        </w:rPr>
        <w:t>de</w:t>
      </w:r>
      <w:r>
        <w:rPr>
          <w:color w:val="231F20"/>
          <w:spacing w:val="-12"/>
          <w:w w:val="105"/>
        </w:rPr>
        <w:t> </w:t>
      </w:r>
      <w:r>
        <w:rPr>
          <w:color w:val="231F20"/>
          <w:w w:val="105"/>
        </w:rPr>
        <w:t>migración</w:t>
      </w:r>
      <w:r>
        <w:rPr>
          <w:color w:val="231F20"/>
          <w:spacing w:val="-12"/>
          <w:w w:val="105"/>
        </w:rPr>
        <w:t> </w:t>
      </w:r>
      <w:r>
        <w:rPr>
          <w:color w:val="231F20"/>
          <w:w w:val="105"/>
        </w:rPr>
        <w:t>de</w:t>
      </w:r>
      <w:r>
        <w:rPr>
          <w:color w:val="231F20"/>
          <w:spacing w:val="-12"/>
          <w:w w:val="105"/>
        </w:rPr>
        <w:t> </w:t>
      </w:r>
      <w:r>
        <w:rPr>
          <w:color w:val="231F20"/>
          <w:w w:val="105"/>
        </w:rPr>
        <w:t>re- torno.</w:t>
      </w:r>
      <w:r>
        <w:rPr>
          <w:color w:val="231F20"/>
          <w:spacing w:val="-13"/>
          <w:w w:val="105"/>
        </w:rPr>
        <w:t> </w:t>
      </w:r>
      <w:r>
        <w:rPr>
          <w:color w:val="231F20"/>
          <w:spacing w:val="-6"/>
          <w:w w:val="105"/>
        </w:rPr>
        <w:t>Por</w:t>
      </w:r>
      <w:r>
        <w:rPr>
          <w:color w:val="231F20"/>
          <w:spacing w:val="-8"/>
          <w:w w:val="105"/>
        </w:rPr>
        <w:t> </w:t>
      </w:r>
      <w:r>
        <w:rPr>
          <w:color w:val="231F20"/>
          <w:w w:val="105"/>
        </w:rPr>
        <w:t>ejemplo,</w:t>
      </w:r>
      <w:r>
        <w:rPr>
          <w:color w:val="231F20"/>
          <w:spacing w:val="-13"/>
          <w:w w:val="105"/>
        </w:rPr>
        <w:t> </w:t>
      </w:r>
      <w:r>
        <w:rPr>
          <w:color w:val="231F20"/>
          <w:w w:val="105"/>
        </w:rPr>
        <w:t>la</w:t>
      </w:r>
      <w:r>
        <w:rPr>
          <w:color w:val="231F20"/>
          <w:spacing w:val="-8"/>
          <w:w w:val="105"/>
        </w:rPr>
        <w:t> </w:t>
      </w:r>
      <w:r>
        <w:rPr>
          <w:color w:val="231F20"/>
          <w:w w:val="105"/>
        </w:rPr>
        <w:t>edad,</w:t>
      </w:r>
      <w:r>
        <w:rPr>
          <w:color w:val="231F20"/>
          <w:spacing w:val="-13"/>
          <w:w w:val="105"/>
        </w:rPr>
        <w:t> </w:t>
      </w:r>
      <w:r>
        <w:rPr>
          <w:color w:val="231F20"/>
          <w:w w:val="105"/>
        </w:rPr>
        <w:t>escolaridad,</w:t>
      </w:r>
      <w:r>
        <w:rPr>
          <w:color w:val="231F20"/>
          <w:spacing w:val="-13"/>
          <w:w w:val="105"/>
        </w:rPr>
        <w:t> </w:t>
      </w:r>
      <w:r>
        <w:rPr>
          <w:color w:val="231F20"/>
          <w:w w:val="105"/>
        </w:rPr>
        <w:t>experiencia</w:t>
      </w:r>
      <w:r>
        <w:rPr>
          <w:color w:val="231F20"/>
          <w:spacing w:val="-8"/>
          <w:w w:val="105"/>
        </w:rPr>
        <w:t> </w:t>
      </w:r>
      <w:r>
        <w:rPr>
          <w:color w:val="231F20"/>
          <w:w w:val="105"/>
        </w:rPr>
        <w:t>laboral,</w:t>
      </w:r>
      <w:r>
        <w:rPr>
          <w:color w:val="231F20"/>
          <w:spacing w:val="-13"/>
          <w:w w:val="105"/>
        </w:rPr>
        <w:t> </w:t>
      </w:r>
      <w:r>
        <w:rPr>
          <w:color w:val="231F20"/>
          <w:w w:val="105"/>
        </w:rPr>
        <w:t>caracterís- ticas sociodemográficas y razones para emigrar y retornar, que recoge esta</w:t>
      </w:r>
      <w:r>
        <w:rPr>
          <w:color w:val="231F20"/>
          <w:spacing w:val="-13"/>
          <w:w w:val="105"/>
        </w:rPr>
        <w:t> </w:t>
      </w:r>
      <w:r>
        <w:rPr>
          <w:color w:val="231F20"/>
          <w:w w:val="105"/>
        </w:rPr>
        <w:t>muestra</w:t>
      </w:r>
      <w:r>
        <w:rPr>
          <w:color w:val="231F20"/>
          <w:spacing w:val="-13"/>
          <w:w w:val="105"/>
        </w:rPr>
        <w:t> </w:t>
      </w:r>
      <w:r>
        <w:rPr>
          <w:color w:val="231F20"/>
          <w:w w:val="105"/>
        </w:rPr>
        <w:t>son</w:t>
      </w:r>
      <w:r>
        <w:rPr>
          <w:color w:val="231F20"/>
          <w:spacing w:val="-13"/>
          <w:w w:val="105"/>
        </w:rPr>
        <w:t> </w:t>
      </w:r>
      <w:r>
        <w:rPr>
          <w:color w:val="231F20"/>
          <w:w w:val="105"/>
        </w:rPr>
        <w:t>similares</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w w:val="105"/>
        </w:rPr>
        <w:t>que</w:t>
      </w:r>
      <w:r>
        <w:rPr>
          <w:color w:val="231F20"/>
          <w:spacing w:val="-13"/>
          <w:w w:val="105"/>
        </w:rPr>
        <w:t> </w:t>
      </w:r>
      <w:r>
        <w:rPr>
          <w:color w:val="231F20"/>
          <w:w w:val="105"/>
        </w:rPr>
        <w:t>reportan</w:t>
      </w:r>
      <w:r>
        <w:rPr>
          <w:color w:val="231F20"/>
          <w:spacing w:val="-13"/>
          <w:w w:val="105"/>
        </w:rPr>
        <w:t> </w:t>
      </w:r>
      <w:r>
        <w:rPr>
          <w:color w:val="231F20"/>
          <w:w w:val="105"/>
        </w:rPr>
        <w:t>la</w:t>
      </w:r>
      <w:r>
        <w:rPr>
          <w:color w:val="231F20"/>
          <w:spacing w:val="-13"/>
          <w:w w:val="105"/>
        </w:rPr>
        <w:t> </w:t>
      </w:r>
      <w:r>
        <w:rPr>
          <w:color w:val="231F20"/>
          <w:w w:val="105"/>
        </w:rPr>
        <w:t>encuestas</w:t>
      </w:r>
      <w:r>
        <w:rPr>
          <w:color w:val="231F20"/>
          <w:spacing w:val="-13"/>
          <w:w w:val="105"/>
        </w:rPr>
        <w:t> </w:t>
      </w:r>
      <w:r>
        <w:rPr>
          <w:color w:val="231F20"/>
          <w:w w:val="105"/>
        </w:rPr>
        <w:t>de</w:t>
      </w:r>
      <w:r>
        <w:rPr>
          <w:color w:val="231F20"/>
          <w:spacing w:val="-13"/>
          <w:w w:val="105"/>
        </w:rPr>
        <w:t> </w:t>
      </w:r>
      <w:r>
        <w:rPr>
          <w:color w:val="231F20"/>
          <w:w w:val="105"/>
        </w:rPr>
        <w:t>represen- tatividad</w:t>
      </w:r>
      <w:r>
        <w:rPr>
          <w:color w:val="231F20"/>
          <w:spacing w:val="-16"/>
          <w:w w:val="105"/>
        </w:rPr>
        <w:t> </w:t>
      </w:r>
      <w:r>
        <w:rPr>
          <w:color w:val="231F20"/>
          <w:w w:val="105"/>
        </w:rPr>
        <w:t>estatal</w:t>
      </w:r>
      <w:r>
        <w:rPr>
          <w:color w:val="231F20"/>
          <w:spacing w:val="-16"/>
          <w:w w:val="105"/>
        </w:rPr>
        <w:t> </w:t>
      </w:r>
      <w:r>
        <w:rPr>
          <w:color w:val="231F20"/>
          <w:w w:val="105"/>
        </w:rPr>
        <w:t>como</w:t>
      </w:r>
      <w:r>
        <w:rPr>
          <w:color w:val="231F20"/>
          <w:spacing w:val="-16"/>
          <w:w w:val="105"/>
        </w:rPr>
        <w:t> </w:t>
      </w:r>
      <w:r>
        <w:rPr>
          <w:color w:val="231F20"/>
          <w:w w:val="105"/>
        </w:rPr>
        <w:t>la</w:t>
      </w:r>
      <w:r>
        <w:rPr>
          <w:color w:val="231F20"/>
          <w:spacing w:val="-16"/>
          <w:w w:val="105"/>
        </w:rPr>
        <w:t> </w:t>
      </w:r>
      <w:r>
        <w:rPr>
          <w:color w:val="231F20"/>
          <w:w w:val="105"/>
          <w:sz w:val="17"/>
        </w:rPr>
        <w:t>EMMEU</w:t>
      </w:r>
      <w:r>
        <w:rPr>
          <w:color w:val="231F20"/>
          <w:spacing w:val="-5"/>
          <w:w w:val="105"/>
          <w:sz w:val="17"/>
        </w:rPr>
        <w:t> </w:t>
      </w:r>
      <w:r>
        <w:rPr>
          <w:color w:val="231F20"/>
          <w:w w:val="105"/>
        </w:rPr>
        <w:t>(2009)</w:t>
      </w:r>
      <w:r>
        <w:rPr>
          <w:color w:val="231F20"/>
          <w:spacing w:val="-16"/>
          <w:w w:val="105"/>
        </w:rPr>
        <w:t> </w:t>
      </w:r>
      <w:r>
        <w:rPr>
          <w:color w:val="231F20"/>
          <w:w w:val="105"/>
        </w:rPr>
        <w:t>y</w:t>
      </w:r>
      <w:r>
        <w:rPr>
          <w:color w:val="231F20"/>
          <w:spacing w:val="-16"/>
          <w:w w:val="105"/>
        </w:rPr>
        <w:t> </w:t>
      </w:r>
      <w:r>
        <w:rPr>
          <w:color w:val="231F20"/>
          <w:w w:val="105"/>
        </w:rPr>
        <w:t>los</w:t>
      </w:r>
      <w:r>
        <w:rPr>
          <w:color w:val="231F20"/>
          <w:spacing w:val="-16"/>
          <w:w w:val="105"/>
        </w:rPr>
        <w:t> </w:t>
      </w:r>
      <w:r>
        <w:rPr>
          <w:color w:val="231F20"/>
          <w:w w:val="105"/>
        </w:rPr>
        <w:t>microdatos</w:t>
      </w:r>
      <w:r>
        <w:rPr>
          <w:color w:val="231F20"/>
          <w:spacing w:val="-16"/>
          <w:w w:val="105"/>
        </w:rPr>
        <w:t> </w:t>
      </w:r>
      <w:r>
        <w:rPr>
          <w:color w:val="231F20"/>
          <w:w w:val="105"/>
        </w:rPr>
        <w:t>del</w:t>
      </w:r>
      <w:r>
        <w:rPr>
          <w:color w:val="231F20"/>
          <w:spacing w:val="-16"/>
          <w:w w:val="105"/>
        </w:rPr>
        <w:t> </w:t>
      </w:r>
      <w:r>
        <w:rPr>
          <w:color w:val="231F20"/>
          <w:w w:val="105"/>
        </w:rPr>
        <w:t>Censo</w:t>
      </w:r>
      <w:r>
        <w:rPr>
          <w:color w:val="231F20"/>
          <w:spacing w:val="-16"/>
          <w:w w:val="105"/>
        </w:rPr>
        <w:t> </w:t>
      </w:r>
      <w:r>
        <w:rPr>
          <w:color w:val="231F20"/>
          <w:w w:val="105"/>
        </w:rPr>
        <w:t>2010. </w:t>
      </w:r>
      <w:r>
        <w:rPr>
          <w:color w:val="231F20"/>
          <w:spacing w:val="-5"/>
          <w:w w:val="105"/>
        </w:rPr>
        <w:t>Pero</w:t>
      </w:r>
      <w:r>
        <w:rPr>
          <w:color w:val="231F20"/>
          <w:spacing w:val="-17"/>
          <w:w w:val="105"/>
        </w:rPr>
        <w:t> </w:t>
      </w:r>
      <w:r>
        <w:rPr>
          <w:color w:val="231F20"/>
          <w:w w:val="105"/>
        </w:rPr>
        <w:t>a</w:t>
      </w:r>
      <w:r>
        <w:rPr>
          <w:color w:val="231F20"/>
          <w:spacing w:val="-17"/>
          <w:w w:val="105"/>
        </w:rPr>
        <w:t> </w:t>
      </w:r>
      <w:r>
        <w:rPr>
          <w:color w:val="231F20"/>
          <w:w w:val="105"/>
        </w:rPr>
        <w:t>diferencia</w:t>
      </w:r>
      <w:r>
        <w:rPr>
          <w:color w:val="231F20"/>
          <w:spacing w:val="-17"/>
          <w:w w:val="105"/>
        </w:rPr>
        <w:t> </w:t>
      </w:r>
      <w:r>
        <w:rPr>
          <w:color w:val="231F20"/>
          <w:w w:val="105"/>
        </w:rPr>
        <w:t>de</w:t>
      </w:r>
      <w:r>
        <w:rPr>
          <w:color w:val="231F20"/>
          <w:spacing w:val="-17"/>
          <w:w w:val="105"/>
        </w:rPr>
        <w:t> </w:t>
      </w:r>
      <w:r>
        <w:rPr>
          <w:color w:val="231F20"/>
          <w:w w:val="105"/>
        </w:rPr>
        <w:t>aquellas</w:t>
      </w:r>
      <w:r>
        <w:rPr>
          <w:color w:val="231F20"/>
          <w:spacing w:val="-17"/>
          <w:w w:val="105"/>
        </w:rPr>
        <w:t> </w:t>
      </w:r>
      <w:r>
        <w:rPr>
          <w:color w:val="231F20"/>
          <w:w w:val="105"/>
        </w:rPr>
        <w:t>que</w:t>
      </w:r>
      <w:r>
        <w:rPr>
          <w:color w:val="231F20"/>
          <w:spacing w:val="-17"/>
          <w:w w:val="105"/>
        </w:rPr>
        <w:t> </w:t>
      </w:r>
      <w:r>
        <w:rPr>
          <w:color w:val="231F20"/>
          <w:w w:val="105"/>
        </w:rPr>
        <w:t>manejan</w:t>
      </w:r>
      <w:r>
        <w:rPr>
          <w:color w:val="231F20"/>
          <w:spacing w:val="-17"/>
          <w:w w:val="105"/>
        </w:rPr>
        <w:t> </w:t>
      </w:r>
      <w:r>
        <w:rPr>
          <w:color w:val="231F20"/>
          <w:w w:val="105"/>
        </w:rPr>
        <w:t>una</w:t>
      </w:r>
      <w:r>
        <w:rPr>
          <w:color w:val="231F20"/>
          <w:spacing w:val="-17"/>
          <w:w w:val="105"/>
        </w:rPr>
        <w:t> </w:t>
      </w:r>
      <w:r>
        <w:rPr>
          <w:color w:val="231F20"/>
          <w:w w:val="105"/>
        </w:rPr>
        <w:t>orientación</w:t>
      </w:r>
      <w:r>
        <w:rPr>
          <w:color w:val="231F20"/>
          <w:spacing w:val="-17"/>
          <w:w w:val="105"/>
        </w:rPr>
        <w:t> </w:t>
      </w:r>
      <w:r>
        <w:rPr>
          <w:color w:val="231F20"/>
          <w:w w:val="105"/>
        </w:rPr>
        <w:t>demográfica, las</w:t>
      </w:r>
      <w:r>
        <w:rPr>
          <w:color w:val="231F20"/>
          <w:spacing w:val="-8"/>
          <w:w w:val="105"/>
        </w:rPr>
        <w:t> </w:t>
      </w:r>
      <w:r>
        <w:rPr>
          <w:color w:val="231F20"/>
          <w:w w:val="105"/>
        </w:rPr>
        <w:t>entrevistas</w:t>
      </w:r>
      <w:r>
        <w:rPr>
          <w:color w:val="231F20"/>
          <w:spacing w:val="-8"/>
          <w:w w:val="105"/>
        </w:rPr>
        <w:t> </w:t>
      </w:r>
      <w:r>
        <w:rPr>
          <w:color w:val="231F20"/>
          <w:w w:val="105"/>
        </w:rPr>
        <w:t>a</w:t>
      </w:r>
      <w:r>
        <w:rPr>
          <w:color w:val="231F20"/>
          <w:spacing w:val="-8"/>
          <w:w w:val="105"/>
        </w:rPr>
        <w:t> </w:t>
      </w:r>
      <w:r>
        <w:rPr>
          <w:color w:val="231F20"/>
          <w:w w:val="105"/>
        </w:rPr>
        <w:t>profundidad</w:t>
      </w:r>
      <w:r>
        <w:rPr>
          <w:color w:val="231F20"/>
          <w:spacing w:val="-8"/>
          <w:w w:val="105"/>
        </w:rPr>
        <w:t> </w:t>
      </w:r>
      <w:r>
        <w:rPr>
          <w:color w:val="231F20"/>
          <w:w w:val="105"/>
        </w:rPr>
        <w:t>aquí</w:t>
      </w:r>
      <w:r>
        <w:rPr>
          <w:color w:val="231F20"/>
          <w:spacing w:val="-8"/>
          <w:w w:val="105"/>
        </w:rPr>
        <w:t> </w:t>
      </w:r>
      <w:r>
        <w:rPr>
          <w:color w:val="231F20"/>
          <w:w w:val="105"/>
        </w:rPr>
        <w:t>empleadas</w:t>
      </w:r>
      <w:r>
        <w:rPr>
          <w:color w:val="231F20"/>
          <w:spacing w:val="-8"/>
          <w:w w:val="105"/>
        </w:rPr>
        <w:t> </w:t>
      </w:r>
      <w:r>
        <w:rPr>
          <w:color w:val="231F20"/>
          <w:w w:val="105"/>
        </w:rPr>
        <w:t>recogen</w:t>
      </w:r>
      <w:r>
        <w:rPr>
          <w:color w:val="231F20"/>
          <w:spacing w:val="-8"/>
          <w:w w:val="105"/>
        </w:rPr>
        <w:t> </w:t>
      </w:r>
      <w:r>
        <w:rPr>
          <w:color w:val="231F20"/>
          <w:w w:val="105"/>
        </w:rPr>
        <w:t>información</w:t>
      </w:r>
      <w:r>
        <w:rPr>
          <w:color w:val="231F20"/>
          <w:spacing w:val="-8"/>
          <w:w w:val="105"/>
        </w:rPr>
        <w:t> </w:t>
      </w:r>
      <w:r>
        <w:rPr>
          <w:color w:val="231F20"/>
          <w:w w:val="105"/>
        </w:rPr>
        <w:t>cua- litativa en voz del propio retornado. A partir de éstas se pudo conocer el</w:t>
      </w:r>
      <w:r>
        <w:rPr>
          <w:color w:val="231F20"/>
          <w:spacing w:val="-4"/>
          <w:w w:val="105"/>
        </w:rPr>
        <w:t> </w:t>
      </w:r>
      <w:r>
        <w:rPr>
          <w:color w:val="231F20"/>
          <w:w w:val="105"/>
        </w:rPr>
        <w:t>proceso</w:t>
      </w:r>
      <w:r>
        <w:rPr>
          <w:color w:val="231F20"/>
          <w:spacing w:val="-4"/>
          <w:w w:val="105"/>
        </w:rPr>
        <w:t> </w:t>
      </w:r>
      <w:r>
        <w:rPr>
          <w:color w:val="231F20"/>
          <w:w w:val="105"/>
        </w:rPr>
        <w:t>de</w:t>
      </w:r>
      <w:r>
        <w:rPr>
          <w:color w:val="231F20"/>
          <w:spacing w:val="-4"/>
          <w:w w:val="105"/>
        </w:rPr>
        <w:t> </w:t>
      </w:r>
      <w:r>
        <w:rPr>
          <w:color w:val="231F20"/>
          <w:w w:val="105"/>
        </w:rPr>
        <w:t>emigración,</w:t>
      </w:r>
      <w:r>
        <w:rPr>
          <w:color w:val="231F20"/>
          <w:spacing w:val="-9"/>
          <w:w w:val="105"/>
        </w:rPr>
        <w:t> </w:t>
      </w:r>
      <w:r>
        <w:rPr>
          <w:color w:val="231F20"/>
          <w:w w:val="105"/>
        </w:rPr>
        <w:t>la</w:t>
      </w:r>
      <w:r>
        <w:rPr>
          <w:color w:val="231F20"/>
          <w:spacing w:val="-4"/>
          <w:w w:val="105"/>
        </w:rPr>
        <w:t> </w:t>
      </w:r>
      <w:r>
        <w:rPr>
          <w:color w:val="231F20"/>
          <w:w w:val="105"/>
        </w:rPr>
        <w:t>vida</w:t>
      </w:r>
      <w:r>
        <w:rPr>
          <w:color w:val="231F20"/>
          <w:spacing w:val="-4"/>
          <w:w w:val="105"/>
        </w:rPr>
        <w:t> </w:t>
      </w:r>
      <w:r>
        <w:rPr>
          <w:color w:val="231F20"/>
          <w:w w:val="105"/>
        </w:rPr>
        <w:t>en</w:t>
      </w:r>
      <w:r>
        <w:rPr>
          <w:color w:val="231F20"/>
          <w:spacing w:val="-8"/>
          <w:w w:val="105"/>
        </w:rPr>
        <w:t> </w:t>
      </w:r>
      <w:r>
        <w:rPr>
          <w:color w:val="231F20"/>
          <w:spacing w:val="-4"/>
          <w:w w:val="105"/>
        </w:rPr>
        <w:t>Texas,</w:t>
      </w:r>
      <w:r>
        <w:rPr>
          <w:color w:val="231F20"/>
          <w:spacing w:val="-9"/>
          <w:w w:val="105"/>
        </w:rPr>
        <w:t> </w:t>
      </w:r>
      <w:r>
        <w:rPr>
          <w:color w:val="231F20"/>
          <w:w w:val="105"/>
        </w:rPr>
        <w:t>las</w:t>
      </w:r>
      <w:r>
        <w:rPr>
          <w:color w:val="231F20"/>
          <w:spacing w:val="-4"/>
          <w:w w:val="105"/>
        </w:rPr>
        <w:t> </w:t>
      </w:r>
      <w:r>
        <w:rPr>
          <w:color w:val="231F20"/>
          <w:w w:val="105"/>
        </w:rPr>
        <w:t>vivencias</w:t>
      </w:r>
      <w:r>
        <w:rPr>
          <w:color w:val="231F20"/>
          <w:spacing w:val="-4"/>
          <w:w w:val="105"/>
        </w:rPr>
        <w:t> </w:t>
      </w:r>
      <w:r>
        <w:rPr>
          <w:color w:val="231F20"/>
          <w:w w:val="105"/>
        </w:rPr>
        <w:t>personales</w:t>
      </w:r>
      <w:r>
        <w:rPr>
          <w:color w:val="231F20"/>
          <w:spacing w:val="-4"/>
          <w:w w:val="105"/>
        </w:rPr>
        <w:t> </w:t>
      </w:r>
      <w:r>
        <w:rPr>
          <w:color w:val="231F20"/>
          <w:w w:val="105"/>
        </w:rPr>
        <w:t>en el traslado, cruce y establecimiento en el extranjero, los conocimientos laborales</w:t>
      </w:r>
      <w:r>
        <w:rPr>
          <w:color w:val="231F20"/>
          <w:spacing w:val="-14"/>
          <w:w w:val="105"/>
        </w:rPr>
        <w:t> </w:t>
      </w:r>
      <w:r>
        <w:rPr>
          <w:color w:val="231F20"/>
          <w:w w:val="105"/>
        </w:rPr>
        <w:t>traídos</w:t>
      </w:r>
      <w:r>
        <w:rPr>
          <w:color w:val="231F20"/>
          <w:spacing w:val="-14"/>
          <w:w w:val="105"/>
        </w:rPr>
        <w:t> </w:t>
      </w:r>
      <w:r>
        <w:rPr>
          <w:color w:val="231F20"/>
          <w:w w:val="105"/>
        </w:rPr>
        <w:t>consigo,</w:t>
      </w:r>
      <w:r>
        <w:rPr>
          <w:color w:val="231F20"/>
          <w:spacing w:val="-19"/>
          <w:w w:val="105"/>
        </w:rPr>
        <w:t> </w:t>
      </w:r>
      <w:r>
        <w:rPr>
          <w:color w:val="231F20"/>
          <w:w w:val="105"/>
        </w:rPr>
        <w:t>el</w:t>
      </w:r>
      <w:r>
        <w:rPr>
          <w:color w:val="231F20"/>
          <w:spacing w:val="-14"/>
          <w:w w:val="105"/>
        </w:rPr>
        <w:t> </w:t>
      </w:r>
      <w:r>
        <w:rPr>
          <w:color w:val="231F20"/>
          <w:w w:val="105"/>
        </w:rPr>
        <w:t>uso</w:t>
      </w:r>
      <w:r>
        <w:rPr>
          <w:color w:val="231F20"/>
          <w:spacing w:val="-14"/>
          <w:w w:val="105"/>
        </w:rPr>
        <w:t> </w:t>
      </w:r>
      <w:r>
        <w:rPr>
          <w:color w:val="231F20"/>
          <w:w w:val="105"/>
        </w:rPr>
        <w:t>productivo</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entidad</w:t>
      </w:r>
      <w:r>
        <w:rPr>
          <w:color w:val="231F20"/>
          <w:spacing w:val="-14"/>
          <w:w w:val="105"/>
        </w:rPr>
        <w:t> </w:t>
      </w:r>
      <w:r>
        <w:rPr>
          <w:color w:val="231F20"/>
          <w:w w:val="105"/>
        </w:rPr>
        <w:t>y</w:t>
      </w:r>
      <w:r>
        <w:rPr>
          <w:color w:val="231F20"/>
          <w:spacing w:val="-14"/>
          <w:w w:val="105"/>
        </w:rPr>
        <w:t> </w:t>
      </w:r>
      <w:r>
        <w:rPr>
          <w:color w:val="231F20"/>
          <w:w w:val="105"/>
        </w:rPr>
        <w:t>las</w:t>
      </w:r>
      <w:r>
        <w:rPr>
          <w:color w:val="231F20"/>
          <w:spacing w:val="-14"/>
          <w:w w:val="105"/>
        </w:rPr>
        <w:t> </w:t>
      </w:r>
      <w:r>
        <w:rPr>
          <w:color w:val="231F20"/>
          <w:w w:val="105"/>
        </w:rPr>
        <w:t>restriccio- nes que</w:t>
      </w:r>
      <w:r>
        <w:rPr>
          <w:color w:val="231F20"/>
          <w:spacing w:val="-46"/>
          <w:w w:val="105"/>
        </w:rPr>
        <w:t> </w:t>
      </w:r>
      <w:r>
        <w:rPr>
          <w:color w:val="231F20"/>
          <w:w w:val="105"/>
        </w:rPr>
        <w:t>enfrentan.</w:t>
      </w:r>
    </w:p>
    <w:p>
      <w:pPr>
        <w:pStyle w:val="BodyText"/>
        <w:spacing w:line="261" w:lineRule="auto" w:before="1"/>
        <w:ind w:left="1837" w:right="1716" w:firstLine="567"/>
        <w:jc w:val="both"/>
      </w:pPr>
      <w:r>
        <w:rPr/>
        <w:pict>
          <v:line style="position:absolute;mso-position-horizontal-relative:page;mso-position-vertical-relative:paragraph;z-index:-459352" from="15pt,285.901306pt" to="0pt,285.901306pt" stroked="true" strokeweight=".25pt" strokecolor="#000000">
            <w10:wrap type="none"/>
          </v:line>
        </w:pict>
      </w:r>
      <w:r>
        <w:rPr/>
        <w:pict>
          <v:line style="position:absolute;mso-position-horizontal-relative:page;mso-position-vertical-relative:paragraph;z-index:30856" from="508.890015pt,285.901306pt" to="523.890015pt,285.901306pt" stroked="true" strokeweight=".25pt" strokecolor="#000000">
            <w10:wrap type="none"/>
          </v:line>
        </w:pict>
      </w:r>
      <w:r>
        <w:rPr>
          <w:color w:val="231F20"/>
          <w:w w:val="105"/>
        </w:rPr>
        <w:t>En este sentido, puede afirmarse que algunos migrantes ven a la migración</w:t>
      </w:r>
      <w:r>
        <w:rPr>
          <w:color w:val="231F20"/>
          <w:spacing w:val="-22"/>
          <w:w w:val="105"/>
        </w:rPr>
        <w:t> </w:t>
      </w:r>
      <w:r>
        <w:rPr>
          <w:color w:val="231F20"/>
          <w:w w:val="105"/>
        </w:rPr>
        <w:t>como</w:t>
      </w:r>
      <w:r>
        <w:rPr>
          <w:color w:val="231F20"/>
          <w:spacing w:val="-22"/>
          <w:w w:val="105"/>
        </w:rPr>
        <w:t> </w:t>
      </w:r>
      <w:r>
        <w:rPr>
          <w:color w:val="231F20"/>
          <w:w w:val="105"/>
        </w:rPr>
        <w:t>una</w:t>
      </w:r>
      <w:r>
        <w:rPr>
          <w:color w:val="231F20"/>
          <w:spacing w:val="-22"/>
          <w:w w:val="105"/>
        </w:rPr>
        <w:t> </w:t>
      </w:r>
      <w:r>
        <w:rPr>
          <w:color w:val="231F20"/>
          <w:w w:val="105"/>
        </w:rPr>
        <w:t>forma</w:t>
      </w:r>
      <w:r>
        <w:rPr>
          <w:color w:val="231F20"/>
          <w:spacing w:val="-22"/>
          <w:w w:val="105"/>
        </w:rPr>
        <w:t> </w:t>
      </w:r>
      <w:r>
        <w:rPr>
          <w:color w:val="231F20"/>
          <w:w w:val="105"/>
        </w:rPr>
        <w:t>de</w:t>
      </w:r>
      <w:r>
        <w:rPr>
          <w:color w:val="231F20"/>
          <w:spacing w:val="-22"/>
          <w:w w:val="105"/>
        </w:rPr>
        <w:t> </w:t>
      </w:r>
      <w:r>
        <w:rPr>
          <w:color w:val="231F20"/>
          <w:w w:val="105"/>
        </w:rPr>
        <w:t>salir</w:t>
      </w:r>
      <w:r>
        <w:rPr>
          <w:color w:val="231F20"/>
          <w:spacing w:val="-22"/>
          <w:w w:val="105"/>
        </w:rPr>
        <w:t> </w:t>
      </w:r>
      <w:r>
        <w:rPr>
          <w:color w:val="231F20"/>
          <w:w w:val="105"/>
        </w:rPr>
        <w:t>y</w:t>
      </w:r>
      <w:r>
        <w:rPr>
          <w:color w:val="231F20"/>
          <w:spacing w:val="-22"/>
          <w:w w:val="105"/>
        </w:rPr>
        <w:t> </w:t>
      </w:r>
      <w:r>
        <w:rPr>
          <w:color w:val="231F20"/>
          <w:w w:val="105"/>
        </w:rPr>
        <w:t>nunca</w:t>
      </w:r>
      <w:r>
        <w:rPr>
          <w:color w:val="231F20"/>
          <w:spacing w:val="-22"/>
          <w:w w:val="105"/>
        </w:rPr>
        <w:t> </w:t>
      </w:r>
      <w:r>
        <w:rPr>
          <w:color w:val="231F20"/>
          <w:w w:val="105"/>
        </w:rPr>
        <w:t>volver,</w:t>
      </w:r>
      <w:r>
        <w:rPr>
          <w:color w:val="231F20"/>
          <w:spacing w:val="-27"/>
          <w:w w:val="105"/>
        </w:rPr>
        <w:t> </w:t>
      </w:r>
      <w:r>
        <w:rPr>
          <w:color w:val="231F20"/>
          <w:w w:val="105"/>
        </w:rPr>
        <w:t>la</w:t>
      </w:r>
      <w:r>
        <w:rPr>
          <w:color w:val="231F20"/>
          <w:spacing w:val="-22"/>
          <w:w w:val="105"/>
        </w:rPr>
        <w:t> </w:t>
      </w:r>
      <w:r>
        <w:rPr>
          <w:color w:val="231F20"/>
          <w:w w:val="105"/>
        </w:rPr>
        <w:t>mayoría</w:t>
      </w:r>
      <w:r>
        <w:rPr>
          <w:color w:val="231F20"/>
          <w:spacing w:val="-22"/>
          <w:w w:val="105"/>
        </w:rPr>
        <w:t> </w:t>
      </w:r>
      <w:r>
        <w:rPr>
          <w:color w:val="231F20"/>
          <w:w w:val="105"/>
        </w:rPr>
        <w:t>se</w:t>
      </w:r>
      <w:r>
        <w:rPr>
          <w:color w:val="231F20"/>
          <w:spacing w:val="-22"/>
          <w:w w:val="105"/>
        </w:rPr>
        <w:t> </w:t>
      </w:r>
      <w:r>
        <w:rPr>
          <w:color w:val="231F20"/>
          <w:w w:val="105"/>
        </w:rPr>
        <w:t>va</w:t>
      </w:r>
      <w:r>
        <w:rPr>
          <w:color w:val="231F20"/>
          <w:spacing w:val="-22"/>
          <w:w w:val="105"/>
        </w:rPr>
        <w:t> </w:t>
      </w:r>
      <w:r>
        <w:rPr>
          <w:color w:val="231F20"/>
          <w:w w:val="105"/>
        </w:rPr>
        <w:t>con</w:t>
      </w:r>
      <w:r>
        <w:rPr>
          <w:color w:val="231F20"/>
          <w:spacing w:val="-22"/>
          <w:w w:val="105"/>
        </w:rPr>
        <w:t> </w:t>
      </w:r>
      <w:r>
        <w:rPr>
          <w:color w:val="231F20"/>
          <w:w w:val="105"/>
        </w:rPr>
        <w:t>la nostalgia</w:t>
      </w:r>
      <w:r>
        <w:rPr>
          <w:color w:val="231F20"/>
          <w:spacing w:val="-14"/>
          <w:w w:val="105"/>
        </w:rPr>
        <w:t> </w:t>
      </w:r>
      <w:r>
        <w:rPr>
          <w:color w:val="231F20"/>
          <w:w w:val="105"/>
        </w:rPr>
        <w:t>del</w:t>
      </w:r>
      <w:r>
        <w:rPr>
          <w:color w:val="231F20"/>
          <w:spacing w:val="-14"/>
          <w:w w:val="105"/>
        </w:rPr>
        <w:t> </w:t>
      </w:r>
      <w:r>
        <w:rPr>
          <w:color w:val="231F20"/>
          <w:w w:val="105"/>
        </w:rPr>
        <w:t>retorno.</w:t>
      </w:r>
      <w:r>
        <w:rPr>
          <w:color w:val="231F20"/>
          <w:spacing w:val="-19"/>
          <w:w w:val="105"/>
        </w:rPr>
        <w:t> </w:t>
      </w:r>
      <w:r>
        <w:rPr>
          <w:color w:val="231F20"/>
          <w:w w:val="105"/>
        </w:rPr>
        <w:t>De</w:t>
      </w:r>
      <w:r>
        <w:rPr>
          <w:color w:val="231F20"/>
          <w:spacing w:val="-14"/>
          <w:w w:val="105"/>
        </w:rPr>
        <w:t> </w:t>
      </w:r>
      <w:r>
        <w:rPr>
          <w:color w:val="231F20"/>
          <w:w w:val="105"/>
        </w:rPr>
        <w:t>hecho,</w:t>
      </w:r>
      <w:r>
        <w:rPr>
          <w:color w:val="231F20"/>
          <w:spacing w:val="-19"/>
          <w:w w:val="105"/>
        </w:rPr>
        <w:t> </w:t>
      </w:r>
      <w:r>
        <w:rPr>
          <w:color w:val="231F20"/>
          <w:w w:val="105"/>
        </w:rPr>
        <w:t>los</w:t>
      </w:r>
      <w:r>
        <w:rPr>
          <w:color w:val="231F20"/>
          <w:spacing w:val="-14"/>
          <w:w w:val="105"/>
        </w:rPr>
        <w:t> </w:t>
      </w:r>
      <w:r>
        <w:rPr>
          <w:color w:val="231F20"/>
          <w:w w:val="105"/>
        </w:rPr>
        <w:t>retornados</w:t>
      </w:r>
      <w:r>
        <w:rPr>
          <w:color w:val="231F20"/>
          <w:spacing w:val="-14"/>
          <w:w w:val="105"/>
        </w:rPr>
        <w:t> </w:t>
      </w:r>
      <w:r>
        <w:rPr>
          <w:color w:val="231F20"/>
          <w:w w:val="105"/>
        </w:rPr>
        <w:t>mexiquenses</w:t>
      </w:r>
      <w:r>
        <w:rPr>
          <w:color w:val="231F20"/>
          <w:spacing w:val="-14"/>
          <w:w w:val="105"/>
        </w:rPr>
        <w:t> </w:t>
      </w:r>
      <w:r>
        <w:rPr>
          <w:color w:val="231F20"/>
          <w:w w:val="105"/>
        </w:rPr>
        <w:t>que</w:t>
      </w:r>
      <w:r>
        <w:rPr>
          <w:color w:val="231F20"/>
          <w:spacing w:val="-14"/>
          <w:w w:val="105"/>
        </w:rPr>
        <w:t> </w:t>
      </w:r>
      <w:r>
        <w:rPr>
          <w:color w:val="231F20"/>
          <w:w w:val="105"/>
        </w:rPr>
        <w:t>migra- ron más de una vez intentaban quedarse en la entidad en sus retornos intermedios, pero encontraban empleos mal pagados, falta de apoyos para emprender alguna idea de negocio, trámites, corrupción, diversas violencias,</w:t>
      </w:r>
      <w:r>
        <w:rPr>
          <w:color w:val="231F20"/>
          <w:spacing w:val="-13"/>
          <w:w w:val="105"/>
        </w:rPr>
        <w:t> </w:t>
      </w:r>
      <w:r>
        <w:rPr>
          <w:color w:val="231F20"/>
          <w:w w:val="105"/>
        </w:rPr>
        <w:t>entre</w:t>
      </w:r>
      <w:r>
        <w:rPr>
          <w:color w:val="231F20"/>
          <w:spacing w:val="-8"/>
          <w:w w:val="105"/>
        </w:rPr>
        <w:t> </w:t>
      </w:r>
      <w:r>
        <w:rPr>
          <w:color w:val="231F20"/>
          <w:w w:val="105"/>
        </w:rPr>
        <w:t>otras</w:t>
      </w:r>
      <w:r>
        <w:rPr>
          <w:color w:val="231F20"/>
          <w:spacing w:val="-8"/>
          <w:w w:val="105"/>
        </w:rPr>
        <w:t> </w:t>
      </w:r>
      <w:r>
        <w:rPr>
          <w:color w:val="231F20"/>
          <w:w w:val="105"/>
        </w:rPr>
        <w:t>cosas</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llevaron</w:t>
      </w:r>
      <w:r>
        <w:rPr>
          <w:color w:val="231F20"/>
          <w:spacing w:val="-8"/>
          <w:w w:val="105"/>
        </w:rPr>
        <w:t> </w:t>
      </w:r>
      <w:r>
        <w:rPr>
          <w:color w:val="231F20"/>
          <w:w w:val="105"/>
        </w:rPr>
        <w:t>de</w:t>
      </w:r>
      <w:r>
        <w:rPr>
          <w:color w:val="231F20"/>
          <w:spacing w:val="-8"/>
          <w:w w:val="105"/>
        </w:rPr>
        <w:t> </w:t>
      </w:r>
      <w:r>
        <w:rPr>
          <w:color w:val="231F20"/>
          <w:w w:val="105"/>
        </w:rPr>
        <w:t>nuevo</w:t>
      </w:r>
      <w:r>
        <w:rPr>
          <w:color w:val="231F20"/>
          <w:spacing w:val="-8"/>
          <w:w w:val="105"/>
        </w:rPr>
        <w:t> </w:t>
      </w:r>
      <w:r>
        <w:rPr>
          <w:color w:val="231F20"/>
          <w:w w:val="105"/>
        </w:rPr>
        <w:t>al</w:t>
      </w:r>
      <w:r>
        <w:rPr>
          <w:color w:val="231F20"/>
          <w:spacing w:val="-8"/>
          <w:w w:val="105"/>
        </w:rPr>
        <w:t> </w:t>
      </w:r>
      <w:r>
        <w:rPr>
          <w:color w:val="231F20"/>
          <w:w w:val="105"/>
        </w:rPr>
        <w:t>norte.</w:t>
      </w:r>
      <w:r>
        <w:rPr>
          <w:color w:val="231F20"/>
          <w:spacing w:val="-13"/>
          <w:w w:val="105"/>
        </w:rPr>
        <w:t> </w:t>
      </w:r>
      <w:r>
        <w:rPr>
          <w:color w:val="231F20"/>
          <w:w w:val="105"/>
        </w:rPr>
        <w:t>Sin</w:t>
      </w:r>
      <w:r>
        <w:rPr>
          <w:color w:val="231F20"/>
          <w:spacing w:val="-8"/>
          <w:w w:val="105"/>
        </w:rPr>
        <w:t> </w:t>
      </w:r>
      <w:r>
        <w:rPr>
          <w:color w:val="231F20"/>
          <w:w w:val="105"/>
        </w:rPr>
        <w:t>em- bargo,</w:t>
      </w:r>
      <w:r>
        <w:rPr>
          <w:color w:val="231F20"/>
          <w:spacing w:val="-20"/>
          <w:w w:val="105"/>
        </w:rPr>
        <w:t> </w:t>
      </w:r>
      <w:r>
        <w:rPr>
          <w:color w:val="231F20"/>
          <w:w w:val="105"/>
        </w:rPr>
        <w:t>en</w:t>
      </w:r>
      <w:r>
        <w:rPr>
          <w:color w:val="231F20"/>
          <w:spacing w:val="-15"/>
          <w:w w:val="105"/>
        </w:rPr>
        <w:t> </w:t>
      </w:r>
      <w:r>
        <w:rPr>
          <w:color w:val="231F20"/>
          <w:w w:val="105"/>
        </w:rPr>
        <w:t>esta</w:t>
      </w:r>
      <w:r>
        <w:rPr>
          <w:color w:val="231F20"/>
          <w:spacing w:val="-15"/>
          <w:w w:val="105"/>
        </w:rPr>
        <w:t> </w:t>
      </w:r>
      <w:r>
        <w:rPr>
          <w:color w:val="231F20"/>
          <w:w w:val="105"/>
        </w:rPr>
        <w:t>última</w:t>
      </w:r>
      <w:r>
        <w:rPr>
          <w:color w:val="231F20"/>
          <w:spacing w:val="-15"/>
          <w:w w:val="105"/>
        </w:rPr>
        <w:t> </w:t>
      </w:r>
      <w:r>
        <w:rPr>
          <w:color w:val="231F20"/>
          <w:w w:val="105"/>
        </w:rPr>
        <w:t>década</w:t>
      </w:r>
      <w:r>
        <w:rPr>
          <w:color w:val="231F20"/>
          <w:spacing w:val="-15"/>
          <w:w w:val="105"/>
        </w:rPr>
        <w:t> </w:t>
      </w:r>
      <w:r>
        <w:rPr>
          <w:color w:val="231F20"/>
          <w:w w:val="105"/>
        </w:rPr>
        <w:t>se</w:t>
      </w:r>
      <w:r>
        <w:rPr>
          <w:color w:val="231F20"/>
          <w:spacing w:val="-15"/>
          <w:w w:val="105"/>
        </w:rPr>
        <w:t> </w:t>
      </w:r>
      <w:r>
        <w:rPr>
          <w:color w:val="231F20"/>
          <w:w w:val="105"/>
        </w:rPr>
        <w:t>conjuntaron</w:t>
      </w:r>
      <w:r>
        <w:rPr>
          <w:color w:val="231F20"/>
          <w:spacing w:val="-15"/>
          <w:w w:val="105"/>
        </w:rPr>
        <w:t> </w:t>
      </w:r>
      <w:r>
        <w:rPr>
          <w:color w:val="231F20"/>
          <w:w w:val="105"/>
        </w:rPr>
        <w:t>una</w:t>
      </w:r>
      <w:r>
        <w:rPr>
          <w:color w:val="231F20"/>
          <w:spacing w:val="-15"/>
          <w:w w:val="105"/>
        </w:rPr>
        <w:t> </w:t>
      </w:r>
      <w:r>
        <w:rPr>
          <w:color w:val="231F20"/>
          <w:w w:val="105"/>
        </w:rPr>
        <w:t>serie</w:t>
      </w:r>
      <w:r>
        <w:rPr>
          <w:color w:val="231F20"/>
          <w:spacing w:val="-15"/>
          <w:w w:val="105"/>
        </w:rPr>
        <w:t> </w:t>
      </w:r>
      <w:r>
        <w:rPr>
          <w:color w:val="231F20"/>
          <w:w w:val="105"/>
        </w:rPr>
        <w:t>de</w:t>
      </w:r>
      <w:r>
        <w:rPr>
          <w:color w:val="231F20"/>
          <w:spacing w:val="-15"/>
          <w:w w:val="105"/>
        </w:rPr>
        <w:t> </w:t>
      </w:r>
      <w:r>
        <w:rPr>
          <w:color w:val="231F20"/>
          <w:w w:val="105"/>
        </w:rPr>
        <w:t>circunstancias socioeconómicas</w:t>
      </w:r>
      <w:r>
        <w:rPr>
          <w:color w:val="231F20"/>
          <w:spacing w:val="-20"/>
          <w:w w:val="105"/>
        </w:rPr>
        <w:t> </w:t>
      </w:r>
      <w:r>
        <w:rPr>
          <w:color w:val="231F20"/>
          <w:w w:val="105"/>
        </w:rPr>
        <w:t>y</w:t>
      </w:r>
      <w:r>
        <w:rPr>
          <w:color w:val="231F20"/>
          <w:spacing w:val="-20"/>
          <w:w w:val="105"/>
        </w:rPr>
        <w:t> </w:t>
      </w:r>
      <w:r>
        <w:rPr>
          <w:color w:val="231F20"/>
          <w:w w:val="105"/>
        </w:rPr>
        <w:t>políticas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extranjero</w:t>
      </w:r>
      <w:r>
        <w:rPr>
          <w:color w:val="231F20"/>
          <w:spacing w:val="-20"/>
          <w:w w:val="105"/>
        </w:rPr>
        <w:t> </w:t>
      </w:r>
      <w:r>
        <w:rPr>
          <w:color w:val="231F20"/>
          <w:w w:val="105"/>
        </w:rPr>
        <w:t>que,</w:t>
      </w:r>
      <w:r>
        <w:rPr>
          <w:color w:val="231F20"/>
          <w:spacing w:val="-24"/>
          <w:w w:val="105"/>
        </w:rPr>
        <w:t> </w:t>
      </w:r>
      <w:r>
        <w:rPr>
          <w:color w:val="231F20"/>
          <w:w w:val="105"/>
        </w:rPr>
        <w:t>aunadas</w:t>
      </w:r>
      <w:r>
        <w:rPr>
          <w:color w:val="231F20"/>
          <w:spacing w:val="-20"/>
          <w:w w:val="105"/>
        </w:rPr>
        <w:t> </w:t>
      </w:r>
      <w:r>
        <w:rPr>
          <w:color w:val="231F20"/>
          <w:w w:val="105"/>
        </w:rPr>
        <w:t>a</w:t>
      </w:r>
      <w:r>
        <w:rPr>
          <w:color w:val="231F20"/>
          <w:spacing w:val="-20"/>
          <w:w w:val="105"/>
        </w:rPr>
        <w:t> </w:t>
      </w:r>
      <w:r>
        <w:rPr>
          <w:color w:val="231F20"/>
          <w:w w:val="105"/>
        </w:rPr>
        <w:t>las</w:t>
      </w:r>
      <w:r>
        <w:rPr>
          <w:color w:val="231F20"/>
          <w:spacing w:val="-20"/>
          <w:w w:val="105"/>
        </w:rPr>
        <w:t> </w:t>
      </w:r>
      <w:r>
        <w:rPr>
          <w:color w:val="231F20"/>
          <w:w w:val="105"/>
        </w:rPr>
        <w:t>intencio- nes</w:t>
      </w:r>
      <w:r>
        <w:rPr>
          <w:color w:val="231F20"/>
          <w:spacing w:val="-16"/>
          <w:w w:val="105"/>
        </w:rPr>
        <w:t> </w:t>
      </w:r>
      <w:r>
        <w:rPr>
          <w:color w:val="231F20"/>
          <w:w w:val="105"/>
        </w:rPr>
        <w:t>por</w:t>
      </w:r>
      <w:r>
        <w:rPr>
          <w:color w:val="231F20"/>
          <w:spacing w:val="-16"/>
          <w:w w:val="105"/>
        </w:rPr>
        <w:t> </w:t>
      </w:r>
      <w:r>
        <w:rPr>
          <w:color w:val="231F20"/>
          <w:w w:val="105"/>
        </w:rPr>
        <w:t>volver,</w:t>
      </w:r>
      <w:r>
        <w:rPr>
          <w:color w:val="231F20"/>
          <w:spacing w:val="-21"/>
          <w:w w:val="105"/>
        </w:rPr>
        <w:t> </w:t>
      </w:r>
      <w:r>
        <w:rPr>
          <w:color w:val="231F20"/>
          <w:w w:val="105"/>
        </w:rPr>
        <w:t>detonaron</w:t>
      </w:r>
      <w:r>
        <w:rPr>
          <w:color w:val="231F20"/>
          <w:spacing w:val="-16"/>
          <w:w w:val="105"/>
        </w:rPr>
        <w:t> </w:t>
      </w:r>
      <w:r>
        <w:rPr>
          <w:color w:val="231F20"/>
          <w:w w:val="105"/>
        </w:rPr>
        <w:t>el</w:t>
      </w:r>
      <w:r>
        <w:rPr>
          <w:color w:val="231F20"/>
          <w:spacing w:val="-16"/>
          <w:w w:val="105"/>
        </w:rPr>
        <w:t> </w:t>
      </w:r>
      <w:r>
        <w:rPr>
          <w:color w:val="231F20"/>
          <w:w w:val="105"/>
        </w:rPr>
        <w:t>retorno.</w:t>
      </w:r>
      <w:r>
        <w:rPr>
          <w:color w:val="231F20"/>
          <w:spacing w:val="-25"/>
          <w:w w:val="105"/>
        </w:rPr>
        <w:t> </w:t>
      </w:r>
      <w:r>
        <w:rPr>
          <w:color w:val="231F20"/>
          <w:spacing w:val="-10"/>
          <w:w w:val="105"/>
        </w:rPr>
        <w:t>Ya</w:t>
      </w:r>
      <w:r>
        <w:rPr>
          <w:color w:val="231F20"/>
          <w:spacing w:val="-16"/>
          <w:w w:val="105"/>
        </w:rPr>
        <w:t> </w:t>
      </w:r>
      <w:r>
        <w:rPr>
          <w:color w:val="231F20"/>
          <w:w w:val="105"/>
        </w:rPr>
        <w:t>en</w:t>
      </w:r>
      <w:r>
        <w:rPr>
          <w:color w:val="231F20"/>
          <w:spacing w:val="-16"/>
          <w:w w:val="105"/>
        </w:rPr>
        <w:t> </w:t>
      </w:r>
      <w:r>
        <w:rPr>
          <w:color w:val="231F20"/>
          <w:w w:val="105"/>
        </w:rPr>
        <w:t>sus</w:t>
      </w:r>
      <w:r>
        <w:rPr>
          <w:color w:val="231F20"/>
          <w:spacing w:val="-16"/>
          <w:w w:val="105"/>
        </w:rPr>
        <w:t> </w:t>
      </w:r>
      <w:r>
        <w:rPr>
          <w:color w:val="231F20"/>
          <w:w w:val="105"/>
        </w:rPr>
        <w:t>localidades,</w:t>
      </w:r>
      <w:r>
        <w:rPr>
          <w:color w:val="231F20"/>
          <w:spacing w:val="-21"/>
          <w:w w:val="105"/>
        </w:rPr>
        <w:t> </w:t>
      </w:r>
      <w:r>
        <w:rPr>
          <w:color w:val="231F20"/>
          <w:w w:val="105"/>
        </w:rPr>
        <w:t>ellos</w:t>
      </w:r>
      <w:r>
        <w:rPr>
          <w:color w:val="231F20"/>
          <w:spacing w:val="-16"/>
          <w:w w:val="105"/>
        </w:rPr>
        <w:t> </w:t>
      </w:r>
      <w:r>
        <w:rPr>
          <w:color w:val="231F20"/>
          <w:w w:val="105"/>
        </w:rPr>
        <w:t>recono- cen</w:t>
      </w:r>
      <w:r>
        <w:rPr>
          <w:color w:val="231F20"/>
          <w:spacing w:val="-24"/>
          <w:w w:val="105"/>
        </w:rPr>
        <w:t> </w:t>
      </w:r>
      <w:r>
        <w:rPr>
          <w:color w:val="231F20"/>
          <w:w w:val="105"/>
        </w:rPr>
        <w:t>que</w:t>
      </w:r>
      <w:r>
        <w:rPr>
          <w:color w:val="231F20"/>
          <w:spacing w:val="-24"/>
          <w:w w:val="105"/>
        </w:rPr>
        <w:t> </w:t>
      </w:r>
      <w:r>
        <w:rPr>
          <w:color w:val="231F20"/>
          <w:w w:val="105"/>
        </w:rPr>
        <w:t>la</w:t>
      </w:r>
      <w:r>
        <w:rPr>
          <w:color w:val="231F20"/>
          <w:spacing w:val="-24"/>
          <w:w w:val="105"/>
        </w:rPr>
        <w:t> </w:t>
      </w:r>
      <w:r>
        <w:rPr>
          <w:color w:val="231F20"/>
          <w:w w:val="105"/>
        </w:rPr>
        <w:t>experiencia</w:t>
      </w:r>
      <w:r>
        <w:rPr>
          <w:color w:val="231F20"/>
          <w:spacing w:val="-24"/>
          <w:w w:val="105"/>
        </w:rPr>
        <w:t> </w:t>
      </w:r>
      <w:r>
        <w:rPr>
          <w:color w:val="231F20"/>
          <w:w w:val="105"/>
        </w:rPr>
        <w:t>laboral</w:t>
      </w:r>
      <w:r>
        <w:rPr>
          <w:color w:val="231F20"/>
          <w:spacing w:val="-24"/>
          <w:w w:val="105"/>
        </w:rPr>
        <w:t> </w:t>
      </w:r>
      <w:r>
        <w:rPr>
          <w:color w:val="231F20"/>
          <w:w w:val="105"/>
        </w:rPr>
        <w:t>previa,</w:t>
      </w:r>
      <w:r>
        <w:rPr>
          <w:color w:val="231F20"/>
          <w:spacing w:val="-28"/>
          <w:w w:val="105"/>
        </w:rPr>
        <w:t> </w:t>
      </w:r>
      <w:r>
        <w:rPr>
          <w:color w:val="231F20"/>
          <w:w w:val="105"/>
        </w:rPr>
        <w:t>la</w:t>
      </w:r>
      <w:r>
        <w:rPr>
          <w:color w:val="231F20"/>
          <w:spacing w:val="-24"/>
          <w:w w:val="105"/>
        </w:rPr>
        <w:t> </w:t>
      </w:r>
      <w:r>
        <w:rPr>
          <w:color w:val="231F20"/>
          <w:w w:val="105"/>
        </w:rPr>
        <w:t>edad</w:t>
      </w:r>
      <w:r>
        <w:rPr>
          <w:color w:val="231F20"/>
          <w:spacing w:val="-24"/>
          <w:w w:val="105"/>
        </w:rPr>
        <w:t> </w:t>
      </w:r>
      <w:r>
        <w:rPr>
          <w:color w:val="231F20"/>
          <w:w w:val="105"/>
        </w:rPr>
        <w:t>al</w:t>
      </w:r>
      <w:r>
        <w:rPr>
          <w:color w:val="231F20"/>
          <w:spacing w:val="-24"/>
          <w:w w:val="105"/>
        </w:rPr>
        <w:t> </w:t>
      </w:r>
      <w:r>
        <w:rPr>
          <w:color w:val="231F20"/>
          <w:w w:val="105"/>
        </w:rPr>
        <w:t>partir,</w:t>
      </w:r>
      <w:r>
        <w:rPr>
          <w:color w:val="231F20"/>
          <w:spacing w:val="-28"/>
          <w:w w:val="105"/>
        </w:rPr>
        <w:t> </w:t>
      </w:r>
      <w:r>
        <w:rPr>
          <w:color w:val="231F20"/>
          <w:w w:val="105"/>
        </w:rPr>
        <w:t>y</w:t>
      </w:r>
      <w:r>
        <w:rPr>
          <w:color w:val="231F20"/>
          <w:spacing w:val="-24"/>
          <w:w w:val="105"/>
        </w:rPr>
        <w:t> </w:t>
      </w:r>
      <w:r>
        <w:rPr>
          <w:color w:val="231F20"/>
          <w:w w:val="105"/>
        </w:rPr>
        <w:t>en</w:t>
      </w:r>
      <w:r>
        <w:rPr>
          <w:color w:val="231F20"/>
          <w:spacing w:val="-24"/>
          <w:w w:val="105"/>
        </w:rPr>
        <w:t> </w:t>
      </w:r>
      <w:r>
        <w:rPr>
          <w:color w:val="231F20"/>
          <w:w w:val="105"/>
        </w:rPr>
        <w:t>algunos</w:t>
      </w:r>
      <w:r>
        <w:rPr>
          <w:color w:val="231F20"/>
          <w:spacing w:val="-24"/>
          <w:w w:val="105"/>
        </w:rPr>
        <w:t> </w:t>
      </w:r>
      <w:r>
        <w:rPr>
          <w:color w:val="231F20"/>
          <w:w w:val="105"/>
        </w:rPr>
        <w:t>casos tener responsabilidad familiar, les sirvió de acicate para buscar trabajo y</w:t>
      </w:r>
      <w:r>
        <w:rPr>
          <w:color w:val="231F20"/>
          <w:spacing w:val="-6"/>
          <w:w w:val="105"/>
        </w:rPr>
        <w:t> </w:t>
      </w:r>
      <w:r>
        <w:rPr>
          <w:color w:val="231F20"/>
          <w:w w:val="105"/>
        </w:rPr>
        <w:t>sobreponerse</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extranjero,</w:t>
      </w:r>
      <w:r>
        <w:rPr>
          <w:color w:val="231F20"/>
          <w:spacing w:val="-11"/>
          <w:w w:val="105"/>
        </w:rPr>
        <w:t> </w:t>
      </w:r>
      <w:r>
        <w:rPr>
          <w:color w:val="231F20"/>
          <w:w w:val="105"/>
        </w:rPr>
        <w:t>soportar</w:t>
      </w:r>
      <w:r>
        <w:rPr>
          <w:color w:val="231F20"/>
          <w:spacing w:val="-6"/>
          <w:w w:val="105"/>
        </w:rPr>
        <w:t> </w:t>
      </w:r>
      <w:r>
        <w:rPr>
          <w:color w:val="231F20"/>
          <w:w w:val="105"/>
        </w:rPr>
        <w:t>los</w:t>
      </w:r>
      <w:r>
        <w:rPr>
          <w:color w:val="231F20"/>
          <w:spacing w:val="-6"/>
          <w:w w:val="105"/>
        </w:rPr>
        <w:t> </w:t>
      </w:r>
      <w:r>
        <w:rPr>
          <w:color w:val="231F20"/>
          <w:w w:val="105"/>
        </w:rPr>
        <w:t>ritmos</w:t>
      </w:r>
      <w:r>
        <w:rPr>
          <w:color w:val="231F20"/>
          <w:spacing w:val="-6"/>
          <w:w w:val="105"/>
        </w:rPr>
        <w:t> </w:t>
      </w:r>
      <w:r>
        <w:rPr>
          <w:color w:val="231F20"/>
          <w:w w:val="105"/>
        </w:rPr>
        <w:t>de</w:t>
      </w:r>
      <w:r>
        <w:rPr>
          <w:color w:val="231F20"/>
          <w:spacing w:val="-6"/>
          <w:w w:val="105"/>
        </w:rPr>
        <w:t> </w:t>
      </w:r>
      <w:r>
        <w:rPr>
          <w:color w:val="231F20"/>
          <w:w w:val="105"/>
        </w:rPr>
        <w:t>vida</w:t>
      </w:r>
      <w:r>
        <w:rPr>
          <w:color w:val="231F20"/>
          <w:spacing w:val="-6"/>
          <w:w w:val="105"/>
        </w:rPr>
        <w:t> </w:t>
      </w:r>
      <w:r>
        <w:rPr>
          <w:color w:val="231F20"/>
          <w:w w:val="105"/>
        </w:rPr>
        <w:t>y</w:t>
      </w:r>
      <w:r>
        <w:rPr>
          <w:color w:val="231F20"/>
          <w:spacing w:val="-6"/>
          <w:w w:val="105"/>
        </w:rPr>
        <w:t> </w:t>
      </w:r>
      <w:r>
        <w:rPr>
          <w:color w:val="231F20"/>
          <w:w w:val="105"/>
        </w:rPr>
        <w:t>laborales, desarrollar</w:t>
      </w:r>
      <w:r>
        <w:rPr>
          <w:color w:val="231F20"/>
          <w:spacing w:val="-14"/>
          <w:w w:val="105"/>
        </w:rPr>
        <w:t> </w:t>
      </w:r>
      <w:r>
        <w:rPr>
          <w:color w:val="231F20"/>
          <w:w w:val="105"/>
        </w:rPr>
        <w:t>habilidades</w:t>
      </w:r>
      <w:r>
        <w:rPr>
          <w:color w:val="231F20"/>
          <w:spacing w:val="-14"/>
          <w:w w:val="105"/>
        </w:rPr>
        <w:t> </w:t>
      </w:r>
      <w:r>
        <w:rPr>
          <w:color w:val="231F20"/>
          <w:w w:val="105"/>
        </w:rPr>
        <w:t>personales,</w:t>
      </w:r>
      <w:r>
        <w:rPr>
          <w:color w:val="231F20"/>
          <w:spacing w:val="-19"/>
          <w:w w:val="105"/>
        </w:rPr>
        <w:t> </w:t>
      </w:r>
      <w:r>
        <w:rPr>
          <w:color w:val="231F20"/>
          <w:w w:val="105"/>
        </w:rPr>
        <w:t>acumular</w:t>
      </w:r>
      <w:r>
        <w:rPr>
          <w:color w:val="231F20"/>
          <w:spacing w:val="-14"/>
          <w:w w:val="105"/>
        </w:rPr>
        <w:t> </w:t>
      </w:r>
      <w:r>
        <w:rPr>
          <w:color w:val="231F20"/>
          <w:w w:val="105"/>
        </w:rPr>
        <w:t>activos</w:t>
      </w:r>
      <w:r>
        <w:rPr>
          <w:color w:val="231F20"/>
          <w:spacing w:val="-14"/>
          <w:w w:val="105"/>
        </w:rPr>
        <w:t> </w:t>
      </w:r>
      <w:r>
        <w:rPr>
          <w:color w:val="231F20"/>
          <w:w w:val="105"/>
        </w:rPr>
        <w:t>y</w:t>
      </w:r>
      <w:r>
        <w:rPr>
          <w:color w:val="231F20"/>
          <w:spacing w:val="-14"/>
          <w:w w:val="105"/>
        </w:rPr>
        <w:t> </w:t>
      </w:r>
      <w:r>
        <w:rPr>
          <w:color w:val="231F20"/>
          <w:w w:val="105"/>
        </w:rPr>
        <w:t>aprender</w:t>
      </w:r>
      <w:r>
        <w:rPr>
          <w:color w:val="231F20"/>
          <w:spacing w:val="-14"/>
          <w:w w:val="105"/>
        </w:rPr>
        <w:t> </w:t>
      </w:r>
      <w:r>
        <w:rPr>
          <w:color w:val="231F20"/>
          <w:w w:val="105"/>
        </w:rPr>
        <w:t>conoci- mientos</w:t>
      </w:r>
      <w:r>
        <w:rPr>
          <w:color w:val="231F20"/>
          <w:spacing w:val="-38"/>
          <w:w w:val="105"/>
        </w:rPr>
        <w:t> </w:t>
      </w:r>
      <w:r>
        <w:rPr>
          <w:color w:val="231F20"/>
          <w:w w:val="105"/>
        </w:rPr>
        <w:t>laborales.</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30904" from="15pt,-71.68644pt" to="0pt,-71.68644pt" stroked="true" strokeweight=".25pt" strokecolor="#000000">
            <w10:wrap type="none"/>
          </v:line>
        </w:pict>
      </w:r>
      <w:r>
        <w:rPr/>
        <w:pict>
          <v:line style="position:absolute;mso-position-horizontal-relative:page;mso-position-vertical-relative:paragraph;z-index:30928" from="508.890015pt,-71.68644pt" to="523.890015pt,-71.68644pt" stroked="true" strokeweight=".25pt" strokecolor="#000000">
            <w10:wrap type="none"/>
          </v:line>
        </w:pict>
      </w:r>
      <w:r>
        <w:rPr>
          <w:color w:val="231F20"/>
          <w:w w:val="105"/>
        </w:rPr>
        <w:t>En</w:t>
      </w:r>
      <w:r>
        <w:rPr>
          <w:color w:val="231F20"/>
          <w:spacing w:val="-22"/>
          <w:w w:val="105"/>
        </w:rPr>
        <w:t> </w:t>
      </w:r>
      <w:r>
        <w:rPr>
          <w:color w:val="231F20"/>
          <w:w w:val="105"/>
        </w:rPr>
        <w:t>este</w:t>
      </w:r>
      <w:r>
        <w:rPr>
          <w:color w:val="231F20"/>
          <w:spacing w:val="-22"/>
          <w:w w:val="105"/>
        </w:rPr>
        <w:t> </w:t>
      </w:r>
      <w:r>
        <w:rPr>
          <w:color w:val="231F20"/>
          <w:w w:val="105"/>
        </w:rPr>
        <w:t>orden,</w:t>
      </w:r>
      <w:r>
        <w:rPr>
          <w:color w:val="231F20"/>
          <w:spacing w:val="-27"/>
          <w:w w:val="105"/>
        </w:rPr>
        <w:t> </w:t>
      </w:r>
      <w:r>
        <w:rPr>
          <w:color w:val="231F20"/>
          <w:w w:val="105"/>
        </w:rPr>
        <w:t>pocos</w:t>
      </w:r>
      <w:r>
        <w:rPr>
          <w:color w:val="231F20"/>
          <w:spacing w:val="-22"/>
          <w:w w:val="105"/>
        </w:rPr>
        <w:t> </w:t>
      </w:r>
      <w:r>
        <w:rPr>
          <w:color w:val="231F20"/>
          <w:w w:val="105"/>
        </w:rPr>
        <w:t>retornados</w:t>
      </w:r>
      <w:r>
        <w:rPr>
          <w:color w:val="231F20"/>
          <w:spacing w:val="-22"/>
          <w:w w:val="105"/>
        </w:rPr>
        <w:t> </w:t>
      </w:r>
      <w:r>
        <w:rPr>
          <w:color w:val="231F20"/>
          <w:w w:val="105"/>
        </w:rPr>
        <w:t>ejercieron</w:t>
      </w:r>
      <w:r>
        <w:rPr>
          <w:color w:val="231F20"/>
          <w:spacing w:val="-22"/>
          <w:w w:val="105"/>
        </w:rPr>
        <w:t> </w:t>
      </w:r>
      <w:r>
        <w:rPr>
          <w:color w:val="231F20"/>
          <w:w w:val="105"/>
        </w:rPr>
        <w:t>en</w:t>
      </w:r>
      <w:r>
        <w:rPr>
          <w:color w:val="231F20"/>
          <w:spacing w:val="-26"/>
          <w:w w:val="105"/>
        </w:rPr>
        <w:t> </w:t>
      </w:r>
      <w:r>
        <w:rPr>
          <w:color w:val="231F20"/>
          <w:spacing w:val="-5"/>
          <w:w w:val="105"/>
        </w:rPr>
        <w:t>Texas</w:t>
      </w:r>
      <w:r>
        <w:rPr>
          <w:color w:val="231F20"/>
          <w:spacing w:val="-22"/>
          <w:w w:val="105"/>
        </w:rPr>
        <w:t> </w:t>
      </w:r>
      <w:r>
        <w:rPr>
          <w:color w:val="231F20"/>
          <w:w w:val="105"/>
        </w:rPr>
        <w:t>los</w:t>
      </w:r>
      <w:r>
        <w:rPr>
          <w:color w:val="231F20"/>
          <w:spacing w:val="-22"/>
          <w:w w:val="105"/>
        </w:rPr>
        <w:t> </w:t>
      </w:r>
      <w:r>
        <w:rPr>
          <w:color w:val="231F20"/>
          <w:w w:val="105"/>
        </w:rPr>
        <w:t>oficios</w:t>
      </w:r>
      <w:r>
        <w:rPr>
          <w:color w:val="231F20"/>
          <w:spacing w:val="-22"/>
          <w:w w:val="105"/>
        </w:rPr>
        <w:t> </w:t>
      </w:r>
      <w:r>
        <w:rPr>
          <w:color w:val="231F20"/>
          <w:w w:val="105"/>
        </w:rPr>
        <w:t>que</w:t>
      </w:r>
      <w:r>
        <w:rPr>
          <w:color w:val="231F20"/>
          <w:spacing w:val="-22"/>
          <w:w w:val="105"/>
        </w:rPr>
        <w:t> </w:t>
      </w:r>
      <w:r>
        <w:rPr>
          <w:color w:val="231F20"/>
          <w:w w:val="105"/>
        </w:rPr>
        <w:t>reali- zaban</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entidad,</w:t>
      </w:r>
      <w:r>
        <w:rPr>
          <w:color w:val="231F20"/>
          <w:spacing w:val="-27"/>
          <w:w w:val="105"/>
        </w:rPr>
        <w:t> </w:t>
      </w:r>
      <w:r>
        <w:rPr>
          <w:color w:val="231F20"/>
          <w:w w:val="105"/>
        </w:rPr>
        <w:t>algunos</w:t>
      </w:r>
      <w:r>
        <w:rPr>
          <w:color w:val="231F20"/>
          <w:spacing w:val="-21"/>
          <w:w w:val="105"/>
        </w:rPr>
        <w:t> </w:t>
      </w:r>
      <w:r>
        <w:rPr>
          <w:color w:val="231F20"/>
          <w:w w:val="105"/>
        </w:rPr>
        <w:t>depuraron</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ya</w:t>
      </w:r>
      <w:r>
        <w:rPr>
          <w:color w:val="231F20"/>
          <w:spacing w:val="-21"/>
          <w:w w:val="105"/>
        </w:rPr>
        <w:t> </w:t>
      </w:r>
      <w:r>
        <w:rPr>
          <w:color w:val="231F20"/>
          <w:w w:val="105"/>
        </w:rPr>
        <w:t>sabían,</w:t>
      </w:r>
      <w:r>
        <w:rPr>
          <w:color w:val="231F20"/>
          <w:spacing w:val="-27"/>
          <w:w w:val="105"/>
        </w:rPr>
        <w:t> </w:t>
      </w:r>
      <w:r>
        <w:rPr>
          <w:color w:val="231F20"/>
          <w:w w:val="105"/>
        </w:rPr>
        <w:t>pero</w:t>
      </w:r>
      <w:r>
        <w:rPr>
          <w:color w:val="231F20"/>
          <w:spacing w:val="-21"/>
          <w:w w:val="105"/>
        </w:rPr>
        <w:t> </w:t>
      </w:r>
      <w:r>
        <w:rPr>
          <w:color w:val="231F20"/>
          <w:w w:val="105"/>
        </w:rPr>
        <w:t>la</w:t>
      </w:r>
      <w:r>
        <w:rPr>
          <w:color w:val="231F20"/>
          <w:spacing w:val="-21"/>
          <w:w w:val="105"/>
        </w:rPr>
        <w:t> </w:t>
      </w:r>
      <w:r>
        <w:rPr>
          <w:color w:val="231F20"/>
          <w:w w:val="105"/>
        </w:rPr>
        <w:t>mayoría realizó</w:t>
      </w:r>
      <w:r>
        <w:rPr>
          <w:color w:val="231F20"/>
          <w:spacing w:val="-20"/>
          <w:w w:val="105"/>
        </w:rPr>
        <w:t> </w:t>
      </w:r>
      <w:r>
        <w:rPr>
          <w:color w:val="231F20"/>
          <w:w w:val="105"/>
        </w:rPr>
        <w:t>actividades</w:t>
      </w:r>
      <w:r>
        <w:rPr>
          <w:color w:val="231F20"/>
          <w:spacing w:val="-20"/>
          <w:w w:val="105"/>
        </w:rPr>
        <w:t> </w:t>
      </w:r>
      <w:r>
        <w:rPr>
          <w:color w:val="231F20"/>
          <w:w w:val="105"/>
        </w:rPr>
        <w:t>nuevas,</w:t>
      </w:r>
      <w:r>
        <w:rPr>
          <w:color w:val="231F20"/>
          <w:spacing w:val="-24"/>
          <w:w w:val="105"/>
        </w:rPr>
        <w:t> </w:t>
      </w:r>
      <w:r>
        <w:rPr>
          <w:color w:val="231F20"/>
          <w:w w:val="105"/>
        </w:rPr>
        <w:t>las</w:t>
      </w:r>
      <w:r>
        <w:rPr>
          <w:color w:val="231F20"/>
          <w:spacing w:val="-20"/>
          <w:w w:val="105"/>
        </w:rPr>
        <w:t> </w:t>
      </w:r>
      <w:r>
        <w:rPr>
          <w:color w:val="231F20"/>
          <w:w w:val="105"/>
        </w:rPr>
        <w:t>exigencias</w:t>
      </w:r>
      <w:r>
        <w:rPr>
          <w:color w:val="231F20"/>
          <w:spacing w:val="-20"/>
          <w:w w:val="105"/>
        </w:rPr>
        <w:t> </w:t>
      </w:r>
      <w:r>
        <w:rPr>
          <w:color w:val="231F20"/>
          <w:w w:val="105"/>
        </w:rPr>
        <w:t>de</w:t>
      </w:r>
      <w:r>
        <w:rPr>
          <w:color w:val="231F20"/>
          <w:spacing w:val="-20"/>
          <w:w w:val="105"/>
        </w:rPr>
        <w:t> </w:t>
      </w:r>
      <w:r>
        <w:rPr>
          <w:color w:val="231F20"/>
          <w:w w:val="105"/>
        </w:rPr>
        <w:t>éstas</w:t>
      </w:r>
      <w:r>
        <w:rPr>
          <w:color w:val="231F20"/>
          <w:spacing w:val="-20"/>
          <w:w w:val="105"/>
        </w:rPr>
        <w:t> </w:t>
      </w:r>
      <w:r>
        <w:rPr>
          <w:color w:val="231F20"/>
          <w:w w:val="105"/>
        </w:rPr>
        <w:t>traspasaron</w:t>
      </w:r>
      <w:r>
        <w:rPr>
          <w:color w:val="231F20"/>
          <w:spacing w:val="-20"/>
          <w:w w:val="105"/>
        </w:rPr>
        <w:t> </w:t>
      </w:r>
      <w:r>
        <w:rPr>
          <w:color w:val="231F20"/>
          <w:w w:val="105"/>
        </w:rPr>
        <w:t>las</w:t>
      </w:r>
      <w:r>
        <w:rPr>
          <w:color w:val="231F20"/>
          <w:spacing w:val="-20"/>
          <w:w w:val="105"/>
        </w:rPr>
        <w:t> </w:t>
      </w:r>
      <w:r>
        <w:rPr>
          <w:color w:val="231F20"/>
          <w:w w:val="105"/>
        </w:rPr>
        <w:t>habi- lidades</w:t>
      </w:r>
      <w:r>
        <w:rPr>
          <w:color w:val="231F20"/>
          <w:spacing w:val="-11"/>
          <w:w w:val="105"/>
        </w:rPr>
        <w:t> </w:t>
      </w:r>
      <w:r>
        <w:rPr>
          <w:color w:val="231F20"/>
          <w:w w:val="105"/>
        </w:rPr>
        <w:t>que</w:t>
      </w:r>
      <w:r>
        <w:rPr>
          <w:color w:val="231F20"/>
          <w:spacing w:val="-11"/>
          <w:w w:val="105"/>
        </w:rPr>
        <w:t> </w:t>
      </w:r>
      <w:r>
        <w:rPr>
          <w:color w:val="231F20"/>
          <w:w w:val="105"/>
        </w:rPr>
        <w:t>portaban</w:t>
      </w:r>
      <w:r>
        <w:rPr>
          <w:color w:val="231F20"/>
          <w:spacing w:val="-11"/>
          <w:w w:val="105"/>
        </w:rPr>
        <w:t> </w:t>
      </w:r>
      <w:r>
        <w:rPr>
          <w:color w:val="231F20"/>
          <w:w w:val="105"/>
        </w:rPr>
        <w:t>y</w:t>
      </w:r>
      <w:r>
        <w:rPr>
          <w:color w:val="231F20"/>
          <w:spacing w:val="-11"/>
          <w:w w:val="105"/>
        </w:rPr>
        <w:t> </w:t>
      </w:r>
      <w:r>
        <w:rPr>
          <w:color w:val="231F20"/>
          <w:w w:val="105"/>
        </w:rPr>
        <w:t>desarrollaron</w:t>
      </w:r>
      <w:r>
        <w:rPr>
          <w:color w:val="231F20"/>
          <w:spacing w:val="-11"/>
          <w:w w:val="105"/>
        </w:rPr>
        <w:t> </w:t>
      </w:r>
      <w:r>
        <w:rPr>
          <w:color w:val="231F20"/>
          <w:w w:val="105"/>
        </w:rPr>
        <w:t>nuevas</w:t>
      </w:r>
      <w:r>
        <w:rPr>
          <w:color w:val="231F20"/>
          <w:spacing w:val="-11"/>
          <w:w w:val="105"/>
        </w:rPr>
        <w:t> </w:t>
      </w:r>
      <w:r>
        <w:rPr>
          <w:color w:val="231F20"/>
          <w:w w:val="105"/>
        </w:rPr>
        <w:t>formas</w:t>
      </w:r>
      <w:r>
        <w:rPr>
          <w:color w:val="231F20"/>
          <w:spacing w:val="-11"/>
          <w:w w:val="105"/>
        </w:rPr>
        <w:t> </w:t>
      </w:r>
      <w:r>
        <w:rPr>
          <w:color w:val="231F20"/>
          <w:w w:val="105"/>
        </w:rPr>
        <w:t>de</w:t>
      </w:r>
      <w:r>
        <w:rPr>
          <w:color w:val="231F20"/>
          <w:spacing w:val="-11"/>
          <w:w w:val="105"/>
        </w:rPr>
        <w:t> </w:t>
      </w:r>
      <w:r>
        <w:rPr>
          <w:color w:val="231F20"/>
          <w:w w:val="105"/>
        </w:rPr>
        <w:t>hacer</w:t>
      </w:r>
      <w:r>
        <w:rPr>
          <w:color w:val="231F20"/>
          <w:spacing w:val="-11"/>
          <w:w w:val="105"/>
        </w:rPr>
        <w:t> </w:t>
      </w:r>
      <w:r>
        <w:rPr>
          <w:color w:val="231F20"/>
          <w:w w:val="105"/>
        </w:rPr>
        <w:t>las</w:t>
      </w:r>
      <w:r>
        <w:rPr>
          <w:color w:val="231F20"/>
          <w:spacing w:val="-11"/>
          <w:w w:val="105"/>
        </w:rPr>
        <w:t> </w:t>
      </w:r>
      <w:r>
        <w:rPr>
          <w:color w:val="231F20"/>
          <w:w w:val="105"/>
        </w:rPr>
        <w:t>cosas, además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actitud</w:t>
      </w:r>
      <w:r>
        <w:rPr>
          <w:color w:val="231F20"/>
          <w:spacing w:val="-18"/>
          <w:w w:val="105"/>
        </w:rPr>
        <w:t> </w:t>
      </w:r>
      <w:r>
        <w:rPr>
          <w:color w:val="231F20"/>
          <w:w w:val="105"/>
        </w:rPr>
        <w:t>personal</w:t>
      </w:r>
      <w:r>
        <w:rPr>
          <w:color w:val="231F20"/>
          <w:spacing w:val="-18"/>
          <w:w w:val="105"/>
        </w:rPr>
        <w:t> </w:t>
      </w:r>
      <w:r>
        <w:rPr>
          <w:color w:val="231F20"/>
          <w:w w:val="105"/>
        </w:rPr>
        <w:t>vinculada,</w:t>
      </w:r>
      <w:r>
        <w:rPr>
          <w:color w:val="231F20"/>
          <w:spacing w:val="-23"/>
          <w:w w:val="105"/>
        </w:rPr>
        <w:t> </w:t>
      </w:r>
      <w:r>
        <w:rPr>
          <w:color w:val="231F20"/>
          <w:w w:val="105"/>
        </w:rPr>
        <w:t>horarios</w:t>
      </w:r>
      <w:r>
        <w:rPr>
          <w:color w:val="231F20"/>
          <w:spacing w:val="-18"/>
          <w:w w:val="105"/>
        </w:rPr>
        <w:t> </w:t>
      </w:r>
      <w:r>
        <w:rPr>
          <w:color w:val="231F20"/>
          <w:w w:val="105"/>
        </w:rPr>
        <w:t>y</w:t>
      </w:r>
      <w:r>
        <w:rPr>
          <w:color w:val="231F20"/>
          <w:spacing w:val="-18"/>
          <w:w w:val="105"/>
        </w:rPr>
        <w:t> </w:t>
      </w:r>
      <w:r>
        <w:rPr>
          <w:color w:val="231F20"/>
          <w:w w:val="105"/>
        </w:rPr>
        <w:t>disciplina</w:t>
      </w:r>
      <w:r>
        <w:rPr>
          <w:color w:val="231F20"/>
          <w:spacing w:val="-18"/>
          <w:w w:val="105"/>
        </w:rPr>
        <w:t> </w:t>
      </w:r>
      <w:r>
        <w:rPr>
          <w:color w:val="231F20"/>
          <w:w w:val="105"/>
        </w:rPr>
        <w:t>laboral.</w:t>
      </w:r>
      <w:r>
        <w:rPr>
          <w:color w:val="231F20"/>
          <w:spacing w:val="-23"/>
          <w:w w:val="105"/>
        </w:rPr>
        <w:t> </w:t>
      </w:r>
      <w:r>
        <w:rPr>
          <w:color w:val="231F20"/>
          <w:w w:val="105"/>
        </w:rPr>
        <w:t>En este</w:t>
      </w:r>
      <w:r>
        <w:rPr>
          <w:color w:val="231F20"/>
          <w:spacing w:val="-17"/>
          <w:w w:val="105"/>
        </w:rPr>
        <w:t> </w:t>
      </w:r>
      <w:r>
        <w:rPr>
          <w:color w:val="231F20"/>
          <w:w w:val="105"/>
        </w:rPr>
        <w:t>caso,</w:t>
      </w:r>
      <w:r>
        <w:rPr>
          <w:color w:val="231F20"/>
          <w:spacing w:val="-22"/>
          <w:w w:val="105"/>
        </w:rPr>
        <w:t> </w:t>
      </w:r>
      <w:r>
        <w:rPr>
          <w:color w:val="231F20"/>
          <w:w w:val="105"/>
        </w:rPr>
        <w:t>la</w:t>
      </w:r>
      <w:r>
        <w:rPr>
          <w:color w:val="231F20"/>
          <w:spacing w:val="-17"/>
          <w:w w:val="105"/>
        </w:rPr>
        <w:t> </w:t>
      </w:r>
      <w:r>
        <w:rPr>
          <w:color w:val="231F20"/>
          <w:w w:val="105"/>
        </w:rPr>
        <w:t>mitad</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retornados</w:t>
      </w:r>
      <w:r>
        <w:rPr>
          <w:color w:val="231F20"/>
          <w:spacing w:val="-17"/>
          <w:w w:val="105"/>
        </w:rPr>
        <w:t> </w:t>
      </w:r>
      <w:r>
        <w:rPr>
          <w:color w:val="231F20"/>
          <w:w w:val="105"/>
        </w:rPr>
        <w:t>que</w:t>
      </w:r>
      <w:r>
        <w:rPr>
          <w:color w:val="231F20"/>
          <w:spacing w:val="-17"/>
          <w:w w:val="105"/>
        </w:rPr>
        <w:t> </w:t>
      </w:r>
      <w:r>
        <w:rPr>
          <w:color w:val="231F20"/>
          <w:w w:val="105"/>
        </w:rPr>
        <w:t>sólo</w:t>
      </w:r>
      <w:r>
        <w:rPr>
          <w:color w:val="231F20"/>
          <w:spacing w:val="-17"/>
          <w:w w:val="105"/>
        </w:rPr>
        <w:t> </w:t>
      </w:r>
      <w:r>
        <w:rPr>
          <w:color w:val="231F20"/>
          <w:w w:val="105"/>
        </w:rPr>
        <w:t>llevaban</w:t>
      </w:r>
      <w:r>
        <w:rPr>
          <w:color w:val="231F20"/>
          <w:spacing w:val="-17"/>
          <w:w w:val="105"/>
        </w:rPr>
        <w:t> </w:t>
      </w:r>
      <w:r>
        <w:rPr>
          <w:color w:val="231F20"/>
          <w:w w:val="105"/>
        </w:rPr>
        <w:t>experiencia</w:t>
      </w:r>
      <w:r>
        <w:rPr>
          <w:color w:val="231F20"/>
          <w:spacing w:val="-17"/>
          <w:w w:val="105"/>
        </w:rPr>
        <w:t> </w:t>
      </w:r>
      <w:r>
        <w:rPr>
          <w:color w:val="231F20"/>
          <w:w w:val="105"/>
        </w:rPr>
        <w:t>labo- ral</w:t>
      </w:r>
      <w:r>
        <w:rPr>
          <w:color w:val="231F20"/>
          <w:spacing w:val="-12"/>
          <w:w w:val="105"/>
        </w:rPr>
        <w:t> </w:t>
      </w:r>
      <w:r>
        <w:rPr>
          <w:color w:val="231F20"/>
          <w:w w:val="105"/>
        </w:rPr>
        <w:t>básica</w:t>
      </w:r>
      <w:r>
        <w:rPr>
          <w:color w:val="231F20"/>
          <w:spacing w:val="-12"/>
          <w:w w:val="105"/>
        </w:rPr>
        <w:t> </w:t>
      </w:r>
      <w:r>
        <w:rPr>
          <w:color w:val="231F20"/>
          <w:w w:val="105"/>
        </w:rPr>
        <w:t>se</w:t>
      </w:r>
      <w:r>
        <w:rPr>
          <w:color w:val="231F20"/>
          <w:spacing w:val="-12"/>
          <w:w w:val="105"/>
        </w:rPr>
        <w:t> </w:t>
      </w:r>
      <w:r>
        <w:rPr>
          <w:color w:val="231F20"/>
          <w:w w:val="105"/>
        </w:rPr>
        <w:t>vio</w:t>
      </w:r>
      <w:r>
        <w:rPr>
          <w:color w:val="231F20"/>
          <w:spacing w:val="-12"/>
          <w:w w:val="105"/>
        </w:rPr>
        <w:t> </w:t>
      </w:r>
      <w:r>
        <w:rPr>
          <w:color w:val="231F20"/>
          <w:w w:val="105"/>
        </w:rPr>
        <w:t>beneficiada</w:t>
      </w:r>
      <w:r>
        <w:rPr>
          <w:color w:val="231F20"/>
          <w:spacing w:val="-12"/>
          <w:w w:val="105"/>
        </w:rPr>
        <w:t> </w:t>
      </w:r>
      <w:r>
        <w:rPr>
          <w:color w:val="231F20"/>
          <w:w w:val="105"/>
        </w:rPr>
        <w:t>al</w:t>
      </w:r>
      <w:r>
        <w:rPr>
          <w:color w:val="231F20"/>
          <w:spacing w:val="-12"/>
          <w:w w:val="105"/>
        </w:rPr>
        <w:t> </w:t>
      </w:r>
      <w:r>
        <w:rPr>
          <w:color w:val="231F20"/>
          <w:w w:val="105"/>
        </w:rPr>
        <w:t>integrarse</w:t>
      </w:r>
      <w:r>
        <w:rPr>
          <w:color w:val="231F20"/>
          <w:spacing w:val="-12"/>
          <w:w w:val="105"/>
        </w:rPr>
        <w:t> </w:t>
      </w:r>
      <w:r>
        <w:rPr>
          <w:color w:val="231F20"/>
          <w:w w:val="105"/>
        </w:rPr>
        <w:t>en</w:t>
      </w:r>
      <w:r>
        <w:rPr>
          <w:color w:val="231F20"/>
          <w:spacing w:val="-12"/>
          <w:w w:val="105"/>
        </w:rPr>
        <w:t> </w:t>
      </w:r>
      <w:r>
        <w:rPr>
          <w:color w:val="231F20"/>
          <w:w w:val="105"/>
        </w:rPr>
        <w:t>labores</w:t>
      </w:r>
      <w:r>
        <w:rPr>
          <w:color w:val="231F20"/>
          <w:spacing w:val="-12"/>
          <w:w w:val="105"/>
        </w:rPr>
        <w:t> </w:t>
      </w:r>
      <w:r>
        <w:rPr>
          <w:color w:val="231F20"/>
          <w:w w:val="105"/>
        </w:rPr>
        <w:t>más</w:t>
      </w:r>
      <w:r>
        <w:rPr>
          <w:color w:val="231F20"/>
          <w:spacing w:val="-12"/>
          <w:w w:val="105"/>
        </w:rPr>
        <w:t> </w:t>
      </w:r>
      <w:r>
        <w:rPr>
          <w:color w:val="231F20"/>
          <w:w w:val="105"/>
        </w:rPr>
        <w:t>complejas</w:t>
      </w:r>
      <w:r>
        <w:rPr>
          <w:color w:val="231F20"/>
          <w:spacing w:val="-12"/>
          <w:w w:val="105"/>
        </w:rPr>
        <w:t> </w:t>
      </w:r>
      <w:r>
        <w:rPr>
          <w:color w:val="231F20"/>
          <w:w w:val="105"/>
        </w:rPr>
        <w:t>y</w:t>
      </w:r>
      <w:r>
        <w:rPr>
          <w:color w:val="231F20"/>
          <w:spacing w:val="-12"/>
          <w:w w:val="105"/>
        </w:rPr>
        <w:t> </w:t>
      </w:r>
      <w:r>
        <w:rPr>
          <w:color w:val="231F20"/>
          <w:w w:val="105"/>
        </w:rPr>
        <w:t>al adquirir conocimientos más calificados, en cambio, aquellos que porta- ban conocimiento calificado tuvieron que integrarse en tareas sin califi- cación.</w:t>
      </w:r>
      <w:r>
        <w:rPr>
          <w:color w:val="231F20"/>
          <w:spacing w:val="-18"/>
          <w:w w:val="105"/>
        </w:rPr>
        <w:t> </w:t>
      </w:r>
      <w:r>
        <w:rPr>
          <w:color w:val="231F20"/>
          <w:w w:val="105"/>
        </w:rPr>
        <w:t>De</w:t>
      </w:r>
      <w:r>
        <w:rPr>
          <w:color w:val="231F20"/>
          <w:spacing w:val="-13"/>
          <w:w w:val="105"/>
        </w:rPr>
        <w:t> </w:t>
      </w:r>
      <w:r>
        <w:rPr>
          <w:color w:val="231F20"/>
          <w:w w:val="105"/>
        </w:rPr>
        <w:t>cualquier</w:t>
      </w:r>
      <w:r>
        <w:rPr>
          <w:color w:val="231F20"/>
          <w:spacing w:val="-13"/>
          <w:w w:val="105"/>
        </w:rPr>
        <w:t> </w:t>
      </w:r>
      <w:r>
        <w:rPr>
          <w:color w:val="231F20"/>
          <w:w w:val="105"/>
        </w:rPr>
        <w:t>forma,</w:t>
      </w:r>
      <w:r>
        <w:rPr>
          <w:color w:val="231F20"/>
          <w:spacing w:val="-18"/>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balance</w:t>
      </w:r>
      <w:r>
        <w:rPr>
          <w:color w:val="231F20"/>
          <w:spacing w:val="-13"/>
          <w:w w:val="105"/>
        </w:rPr>
        <w:t> </w:t>
      </w:r>
      <w:r>
        <w:rPr>
          <w:color w:val="231F20"/>
          <w:w w:val="105"/>
        </w:rPr>
        <w:t>para</w:t>
      </w:r>
      <w:r>
        <w:rPr>
          <w:color w:val="231F20"/>
          <w:spacing w:val="-13"/>
          <w:w w:val="105"/>
        </w:rPr>
        <w:t> </w:t>
      </w:r>
      <w:r>
        <w:rPr>
          <w:color w:val="231F20"/>
          <w:w w:val="105"/>
        </w:rPr>
        <w:t>la</w:t>
      </w:r>
      <w:r>
        <w:rPr>
          <w:color w:val="231F20"/>
          <w:spacing w:val="-13"/>
          <w:w w:val="105"/>
        </w:rPr>
        <w:t> </w:t>
      </w:r>
      <w:r>
        <w:rPr>
          <w:color w:val="231F20"/>
          <w:w w:val="105"/>
        </w:rPr>
        <w:t>entidad</w:t>
      </w:r>
      <w:r>
        <w:rPr>
          <w:color w:val="231F20"/>
          <w:spacing w:val="-13"/>
          <w:w w:val="105"/>
        </w:rPr>
        <w:t> </w:t>
      </w:r>
      <w:r>
        <w:rPr>
          <w:color w:val="231F20"/>
          <w:w w:val="105"/>
        </w:rPr>
        <w:t>se</w:t>
      </w:r>
      <w:r>
        <w:rPr>
          <w:color w:val="231F20"/>
          <w:spacing w:val="-13"/>
          <w:w w:val="105"/>
        </w:rPr>
        <w:t> </w:t>
      </w:r>
      <w:r>
        <w:rPr>
          <w:color w:val="231F20"/>
          <w:w w:val="105"/>
        </w:rPr>
        <w:t>registra</w:t>
      </w:r>
      <w:r>
        <w:rPr>
          <w:color w:val="231F20"/>
          <w:spacing w:val="-13"/>
          <w:w w:val="105"/>
        </w:rPr>
        <w:t> </w:t>
      </w:r>
      <w:r>
        <w:rPr>
          <w:color w:val="231F20"/>
          <w:w w:val="105"/>
        </w:rPr>
        <w:t>una ganancia</w:t>
      </w:r>
      <w:r>
        <w:rPr>
          <w:color w:val="231F20"/>
          <w:spacing w:val="-13"/>
          <w:w w:val="105"/>
        </w:rPr>
        <w:t> </w:t>
      </w:r>
      <w:r>
        <w:rPr>
          <w:color w:val="231F20"/>
          <w:w w:val="105"/>
        </w:rPr>
        <w:t>de</w:t>
      </w:r>
      <w:r>
        <w:rPr>
          <w:color w:val="231F20"/>
          <w:spacing w:val="-13"/>
          <w:w w:val="105"/>
        </w:rPr>
        <w:t> </w:t>
      </w:r>
      <w:r>
        <w:rPr>
          <w:color w:val="231F20"/>
          <w:w w:val="105"/>
        </w:rPr>
        <w:t>conocimiento</w:t>
      </w:r>
      <w:r>
        <w:rPr>
          <w:color w:val="231F20"/>
          <w:spacing w:val="-13"/>
          <w:w w:val="105"/>
        </w:rPr>
        <w:t> </w:t>
      </w:r>
      <w:r>
        <w:rPr>
          <w:color w:val="231F20"/>
          <w:w w:val="105"/>
        </w:rPr>
        <w:t>laboral</w:t>
      </w:r>
      <w:r>
        <w:rPr>
          <w:color w:val="231F20"/>
          <w:spacing w:val="-13"/>
          <w:w w:val="105"/>
        </w:rPr>
        <w:t> </w:t>
      </w:r>
      <w:r>
        <w:rPr>
          <w:color w:val="231F20"/>
          <w:w w:val="105"/>
        </w:rPr>
        <w:t>calificado,</w:t>
      </w:r>
      <w:r>
        <w:rPr>
          <w:color w:val="231F20"/>
          <w:spacing w:val="-20"/>
          <w:w w:val="105"/>
        </w:rPr>
        <w:t> </w:t>
      </w:r>
      <w:r>
        <w:rPr>
          <w:color w:val="231F20"/>
          <w:w w:val="105"/>
        </w:rPr>
        <w:t>porque</w:t>
      </w:r>
      <w:r>
        <w:rPr>
          <w:color w:val="231F20"/>
          <w:spacing w:val="-13"/>
          <w:w w:val="105"/>
        </w:rPr>
        <w:t> </w:t>
      </w:r>
      <w:r>
        <w:rPr>
          <w:color w:val="231F20"/>
          <w:w w:val="105"/>
        </w:rPr>
        <w:t>al</w:t>
      </w:r>
      <w:r>
        <w:rPr>
          <w:color w:val="231F20"/>
          <w:spacing w:val="-13"/>
          <w:w w:val="105"/>
        </w:rPr>
        <w:t> </w:t>
      </w:r>
      <w:r>
        <w:rPr>
          <w:color w:val="231F20"/>
          <w:w w:val="105"/>
        </w:rPr>
        <w:t>retorno</w:t>
      </w:r>
      <w:r>
        <w:rPr>
          <w:color w:val="231F20"/>
          <w:spacing w:val="-13"/>
          <w:w w:val="105"/>
        </w:rPr>
        <w:t> </w:t>
      </w:r>
      <w:r>
        <w:rPr>
          <w:color w:val="231F20"/>
          <w:w w:val="105"/>
        </w:rPr>
        <w:t>un</w:t>
      </w:r>
      <w:r>
        <w:rPr>
          <w:color w:val="231F20"/>
          <w:spacing w:val="-13"/>
          <w:w w:val="105"/>
        </w:rPr>
        <w:t> </w:t>
      </w:r>
      <w:r>
        <w:rPr>
          <w:color w:val="231F20"/>
          <w:w w:val="105"/>
        </w:rPr>
        <w:t>mayor número</w:t>
      </w:r>
      <w:r>
        <w:rPr>
          <w:color w:val="231F20"/>
          <w:spacing w:val="-19"/>
          <w:w w:val="105"/>
        </w:rPr>
        <w:t> </w:t>
      </w:r>
      <w:r>
        <w:rPr>
          <w:color w:val="231F20"/>
          <w:w w:val="105"/>
        </w:rPr>
        <w:t>de</w:t>
      </w:r>
      <w:r>
        <w:rPr>
          <w:color w:val="231F20"/>
          <w:spacing w:val="-19"/>
          <w:w w:val="105"/>
        </w:rPr>
        <w:t> </w:t>
      </w:r>
      <w:r>
        <w:rPr>
          <w:color w:val="231F20"/>
          <w:w w:val="105"/>
        </w:rPr>
        <w:t>mexiquenses</w:t>
      </w:r>
      <w:r>
        <w:rPr>
          <w:color w:val="231F20"/>
          <w:spacing w:val="-19"/>
          <w:w w:val="105"/>
        </w:rPr>
        <w:t> </w:t>
      </w:r>
      <w:r>
        <w:rPr>
          <w:color w:val="231F20"/>
          <w:w w:val="105"/>
        </w:rPr>
        <w:t>puede</w:t>
      </w:r>
      <w:r>
        <w:rPr>
          <w:color w:val="231F20"/>
          <w:spacing w:val="-19"/>
          <w:w w:val="105"/>
        </w:rPr>
        <w:t> </w:t>
      </w:r>
      <w:r>
        <w:rPr>
          <w:color w:val="231F20"/>
          <w:w w:val="105"/>
        </w:rPr>
        <w:t>realizar</w:t>
      </w:r>
      <w:r>
        <w:rPr>
          <w:color w:val="231F20"/>
          <w:spacing w:val="-19"/>
          <w:w w:val="105"/>
        </w:rPr>
        <w:t> </w:t>
      </w:r>
      <w:r>
        <w:rPr>
          <w:color w:val="231F20"/>
          <w:w w:val="105"/>
        </w:rPr>
        <w:t>tareas</w:t>
      </w:r>
      <w:r>
        <w:rPr>
          <w:color w:val="231F20"/>
          <w:spacing w:val="-19"/>
          <w:w w:val="105"/>
        </w:rPr>
        <w:t> </w:t>
      </w:r>
      <w:r>
        <w:rPr>
          <w:color w:val="231F20"/>
          <w:w w:val="105"/>
        </w:rPr>
        <w:t>de</w:t>
      </w:r>
      <w:r>
        <w:rPr>
          <w:color w:val="231F20"/>
          <w:spacing w:val="-19"/>
          <w:w w:val="105"/>
        </w:rPr>
        <w:t> </w:t>
      </w:r>
      <w:r>
        <w:rPr>
          <w:color w:val="231F20"/>
          <w:w w:val="105"/>
        </w:rPr>
        <w:t>mayor</w:t>
      </w:r>
      <w:r>
        <w:rPr>
          <w:color w:val="231F20"/>
          <w:spacing w:val="-19"/>
          <w:w w:val="105"/>
        </w:rPr>
        <w:t> </w:t>
      </w:r>
      <w:r>
        <w:rPr>
          <w:color w:val="231F20"/>
          <w:w w:val="105"/>
        </w:rPr>
        <w:t>calificación</w:t>
      </w:r>
      <w:r>
        <w:rPr>
          <w:color w:val="231F20"/>
          <w:spacing w:val="-19"/>
          <w:w w:val="105"/>
        </w:rPr>
        <w:t> </w:t>
      </w:r>
      <w:r>
        <w:rPr>
          <w:color w:val="231F20"/>
          <w:w w:val="105"/>
        </w:rPr>
        <w:t>que antes de</w:t>
      </w:r>
      <w:r>
        <w:rPr>
          <w:color w:val="231F20"/>
          <w:spacing w:val="-46"/>
          <w:w w:val="105"/>
        </w:rPr>
        <w:t> </w:t>
      </w:r>
      <w:r>
        <w:rPr>
          <w:color w:val="231F20"/>
          <w:w w:val="105"/>
        </w:rPr>
        <w:t>emigrar.</w:t>
      </w:r>
    </w:p>
    <w:p>
      <w:pPr>
        <w:pStyle w:val="BodyText"/>
        <w:spacing w:line="261" w:lineRule="auto" w:before="1"/>
        <w:ind w:left="1723" w:right="1834" w:firstLine="567"/>
        <w:jc w:val="both"/>
      </w:pPr>
      <w:r>
        <w:rPr>
          <w:color w:val="231F20"/>
          <w:w w:val="105"/>
        </w:rPr>
        <w:t>No</w:t>
      </w:r>
      <w:r>
        <w:rPr>
          <w:color w:val="231F20"/>
          <w:spacing w:val="-13"/>
          <w:w w:val="105"/>
        </w:rPr>
        <w:t> </w:t>
      </w:r>
      <w:r>
        <w:rPr>
          <w:color w:val="231F20"/>
          <w:w w:val="105"/>
        </w:rPr>
        <w:t>obstante,</w:t>
      </w:r>
      <w:r>
        <w:rPr>
          <w:color w:val="231F20"/>
          <w:spacing w:val="-19"/>
          <w:w w:val="105"/>
        </w:rPr>
        <w:t> </w:t>
      </w:r>
      <w:r>
        <w:rPr>
          <w:color w:val="231F20"/>
          <w:w w:val="105"/>
        </w:rPr>
        <w:t>la</w:t>
      </w:r>
      <w:r>
        <w:rPr>
          <w:color w:val="231F20"/>
          <w:spacing w:val="-13"/>
          <w:w w:val="105"/>
        </w:rPr>
        <w:t> </w:t>
      </w:r>
      <w:r>
        <w:rPr>
          <w:color w:val="231F20"/>
          <w:w w:val="105"/>
        </w:rPr>
        <w:t>mitad</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retornados</w:t>
      </w:r>
      <w:r>
        <w:rPr>
          <w:color w:val="231F20"/>
          <w:spacing w:val="-13"/>
          <w:w w:val="105"/>
        </w:rPr>
        <w:t> </w:t>
      </w:r>
      <w:r>
        <w:rPr>
          <w:color w:val="231F20"/>
          <w:w w:val="105"/>
        </w:rPr>
        <w:t>considera</w:t>
      </w:r>
      <w:r>
        <w:rPr>
          <w:color w:val="231F20"/>
          <w:spacing w:val="-13"/>
          <w:w w:val="105"/>
        </w:rPr>
        <w:t> </w:t>
      </w:r>
      <w:r>
        <w:rPr>
          <w:color w:val="231F20"/>
          <w:w w:val="105"/>
        </w:rPr>
        <w:t>que</w:t>
      </w:r>
      <w:r>
        <w:rPr>
          <w:color w:val="231F20"/>
          <w:spacing w:val="-13"/>
          <w:w w:val="105"/>
        </w:rPr>
        <w:t> </w:t>
      </w:r>
      <w:r>
        <w:rPr>
          <w:color w:val="231F20"/>
          <w:w w:val="105"/>
        </w:rPr>
        <w:t>estos</w:t>
      </w:r>
      <w:r>
        <w:rPr>
          <w:color w:val="231F20"/>
          <w:spacing w:val="-13"/>
          <w:w w:val="105"/>
        </w:rPr>
        <w:t> </w:t>
      </w:r>
      <w:r>
        <w:rPr>
          <w:color w:val="231F20"/>
          <w:w w:val="105"/>
        </w:rPr>
        <w:t>cono- cimientos no les han servido en la entidad, pues no encuentran opcio- nes</w:t>
      </w:r>
      <w:r>
        <w:rPr>
          <w:color w:val="231F20"/>
          <w:spacing w:val="-7"/>
          <w:w w:val="105"/>
        </w:rPr>
        <w:t> </w:t>
      </w:r>
      <w:r>
        <w:rPr>
          <w:color w:val="231F20"/>
          <w:w w:val="105"/>
        </w:rPr>
        <w:t>para</w:t>
      </w:r>
      <w:r>
        <w:rPr>
          <w:color w:val="231F20"/>
          <w:spacing w:val="-7"/>
          <w:w w:val="105"/>
        </w:rPr>
        <w:t> </w:t>
      </w:r>
      <w:r>
        <w:rPr>
          <w:color w:val="231F20"/>
          <w:w w:val="105"/>
        </w:rPr>
        <w:t>aplicarlos</w:t>
      </w:r>
      <w:r>
        <w:rPr>
          <w:color w:val="231F20"/>
          <w:spacing w:val="-7"/>
          <w:w w:val="105"/>
        </w:rPr>
        <w:t> </w:t>
      </w:r>
      <w:r>
        <w:rPr>
          <w:color w:val="231F20"/>
          <w:w w:val="105"/>
        </w:rPr>
        <w:t>productivamente</w:t>
      </w:r>
      <w:r>
        <w:rPr>
          <w:color w:val="231F20"/>
          <w:spacing w:val="-7"/>
          <w:w w:val="105"/>
        </w:rPr>
        <w:t> </w:t>
      </w:r>
      <w:r>
        <w:rPr>
          <w:color w:val="231F20"/>
          <w:w w:val="105"/>
        </w:rPr>
        <w:t>y</w:t>
      </w:r>
      <w:r>
        <w:rPr>
          <w:color w:val="231F20"/>
          <w:spacing w:val="-7"/>
          <w:w w:val="105"/>
        </w:rPr>
        <w:t> </w:t>
      </w:r>
      <w:r>
        <w:rPr>
          <w:color w:val="231F20"/>
          <w:w w:val="105"/>
        </w:rPr>
        <w:t>vivir</w:t>
      </w:r>
      <w:r>
        <w:rPr>
          <w:color w:val="231F20"/>
          <w:spacing w:val="-7"/>
          <w:w w:val="105"/>
        </w:rPr>
        <w:t> </w:t>
      </w:r>
      <w:r>
        <w:rPr>
          <w:color w:val="231F20"/>
          <w:w w:val="105"/>
        </w:rPr>
        <w:t>de</w:t>
      </w:r>
      <w:r>
        <w:rPr>
          <w:color w:val="231F20"/>
          <w:spacing w:val="-7"/>
          <w:w w:val="105"/>
        </w:rPr>
        <w:t> </w:t>
      </w:r>
      <w:r>
        <w:rPr>
          <w:color w:val="231F20"/>
          <w:w w:val="105"/>
        </w:rPr>
        <w:t>ellos;</w:t>
      </w:r>
      <w:r>
        <w:rPr>
          <w:color w:val="231F20"/>
          <w:spacing w:val="-7"/>
          <w:w w:val="105"/>
        </w:rPr>
        <w:t> </w:t>
      </w:r>
      <w:r>
        <w:rPr>
          <w:color w:val="231F20"/>
          <w:w w:val="105"/>
        </w:rPr>
        <w:t>aplican</w:t>
      </w:r>
      <w:r>
        <w:rPr>
          <w:color w:val="231F20"/>
          <w:spacing w:val="-7"/>
          <w:w w:val="105"/>
        </w:rPr>
        <w:t> </w:t>
      </w:r>
      <w:r>
        <w:rPr>
          <w:color w:val="231F20"/>
          <w:w w:val="105"/>
        </w:rPr>
        <w:t>algo</w:t>
      </w:r>
      <w:r>
        <w:rPr>
          <w:color w:val="231F20"/>
          <w:spacing w:val="-7"/>
          <w:w w:val="105"/>
        </w:rPr>
        <w:t> </w:t>
      </w:r>
      <w:r>
        <w:rPr>
          <w:color w:val="231F20"/>
          <w:w w:val="105"/>
        </w:rPr>
        <w:t>en</w:t>
      </w:r>
      <w:r>
        <w:rPr>
          <w:color w:val="231F20"/>
          <w:spacing w:val="-7"/>
          <w:w w:val="105"/>
        </w:rPr>
        <w:t> </w:t>
      </w:r>
      <w:r>
        <w:rPr>
          <w:color w:val="231F20"/>
          <w:w w:val="105"/>
        </w:rPr>
        <w:t>sus negocios,</w:t>
      </w:r>
      <w:r>
        <w:rPr>
          <w:color w:val="231F20"/>
          <w:spacing w:val="-26"/>
          <w:w w:val="105"/>
        </w:rPr>
        <w:t> </w:t>
      </w:r>
      <w:r>
        <w:rPr>
          <w:color w:val="231F20"/>
          <w:w w:val="105"/>
        </w:rPr>
        <w:t>arreglan</w:t>
      </w:r>
      <w:r>
        <w:rPr>
          <w:color w:val="231F20"/>
          <w:spacing w:val="-22"/>
          <w:w w:val="105"/>
        </w:rPr>
        <w:t> </w:t>
      </w:r>
      <w:r>
        <w:rPr>
          <w:color w:val="231F20"/>
          <w:w w:val="105"/>
        </w:rPr>
        <w:t>sus</w:t>
      </w:r>
      <w:r>
        <w:rPr>
          <w:color w:val="231F20"/>
          <w:spacing w:val="-22"/>
          <w:w w:val="105"/>
        </w:rPr>
        <w:t> </w:t>
      </w:r>
      <w:r>
        <w:rPr>
          <w:color w:val="231F20"/>
          <w:w w:val="105"/>
        </w:rPr>
        <w:t>casas,</w:t>
      </w:r>
      <w:r>
        <w:rPr>
          <w:color w:val="231F20"/>
          <w:spacing w:val="-26"/>
          <w:w w:val="105"/>
        </w:rPr>
        <w:t> </w:t>
      </w:r>
      <w:r>
        <w:rPr>
          <w:color w:val="231F20"/>
          <w:w w:val="105"/>
        </w:rPr>
        <w:t>elaboran</w:t>
      </w:r>
      <w:r>
        <w:rPr>
          <w:color w:val="231F20"/>
          <w:spacing w:val="-22"/>
          <w:w w:val="105"/>
        </w:rPr>
        <w:t> </w:t>
      </w:r>
      <w:r>
        <w:rPr>
          <w:color w:val="231F20"/>
          <w:w w:val="105"/>
        </w:rPr>
        <w:t>comidas</w:t>
      </w:r>
      <w:r>
        <w:rPr>
          <w:color w:val="231F20"/>
          <w:spacing w:val="-22"/>
          <w:w w:val="105"/>
        </w:rPr>
        <w:t> </w:t>
      </w:r>
      <w:r>
        <w:rPr>
          <w:color w:val="231F20"/>
          <w:w w:val="105"/>
        </w:rPr>
        <w:t>familiares,</w:t>
      </w:r>
      <w:r>
        <w:rPr>
          <w:color w:val="231F20"/>
          <w:spacing w:val="-26"/>
          <w:w w:val="105"/>
        </w:rPr>
        <w:t> </w:t>
      </w:r>
      <w:r>
        <w:rPr>
          <w:color w:val="231F20"/>
          <w:w w:val="105"/>
        </w:rPr>
        <w:t>participan</w:t>
      </w:r>
      <w:r>
        <w:rPr>
          <w:color w:val="231F20"/>
          <w:spacing w:val="-22"/>
          <w:w w:val="105"/>
        </w:rPr>
        <w:t> </w:t>
      </w:r>
      <w:r>
        <w:rPr>
          <w:color w:val="231F20"/>
          <w:w w:val="105"/>
        </w:rPr>
        <w:t>en tareas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comunidad,</w:t>
      </w:r>
      <w:r>
        <w:rPr>
          <w:color w:val="231F20"/>
          <w:spacing w:val="-17"/>
          <w:w w:val="105"/>
        </w:rPr>
        <w:t> </w:t>
      </w:r>
      <w:r>
        <w:rPr>
          <w:color w:val="231F20"/>
          <w:w w:val="105"/>
        </w:rPr>
        <w:t>pero</w:t>
      </w:r>
      <w:r>
        <w:rPr>
          <w:color w:val="231F20"/>
          <w:spacing w:val="-11"/>
          <w:w w:val="105"/>
        </w:rPr>
        <w:t> </w:t>
      </w:r>
      <w:r>
        <w:rPr>
          <w:color w:val="231F20"/>
          <w:w w:val="105"/>
        </w:rPr>
        <w:t>sólo</w:t>
      </w:r>
      <w:r>
        <w:rPr>
          <w:color w:val="231F20"/>
          <w:spacing w:val="-11"/>
          <w:w w:val="105"/>
        </w:rPr>
        <w:t> </w:t>
      </w:r>
      <w:r>
        <w:rPr>
          <w:color w:val="231F20"/>
          <w:w w:val="105"/>
        </w:rPr>
        <w:t>el</w:t>
      </w:r>
      <w:r>
        <w:rPr>
          <w:color w:val="231F20"/>
          <w:spacing w:val="-11"/>
          <w:w w:val="105"/>
        </w:rPr>
        <w:t> </w:t>
      </w:r>
      <w:r>
        <w:rPr>
          <w:color w:val="231F20"/>
          <w:w w:val="105"/>
        </w:rPr>
        <w:t>11%</w:t>
      </w:r>
      <w:r>
        <w:rPr>
          <w:color w:val="231F20"/>
          <w:spacing w:val="-11"/>
          <w:w w:val="105"/>
        </w:rPr>
        <w:t> </w:t>
      </w:r>
      <w:r>
        <w:rPr>
          <w:color w:val="231F20"/>
          <w:w w:val="105"/>
        </w:rPr>
        <w:t>de</w:t>
      </w:r>
      <w:r>
        <w:rPr>
          <w:color w:val="231F20"/>
          <w:spacing w:val="-11"/>
          <w:w w:val="105"/>
        </w:rPr>
        <w:t> </w:t>
      </w:r>
      <w:r>
        <w:rPr>
          <w:color w:val="231F20"/>
          <w:w w:val="105"/>
        </w:rPr>
        <w:t>ellos</w:t>
      </w:r>
      <w:r>
        <w:rPr>
          <w:color w:val="231F20"/>
          <w:spacing w:val="-11"/>
          <w:w w:val="105"/>
        </w:rPr>
        <w:t> </w:t>
      </w:r>
      <w:r>
        <w:rPr>
          <w:color w:val="231F20"/>
          <w:w w:val="105"/>
        </w:rPr>
        <w:t>menciona</w:t>
      </w:r>
      <w:r>
        <w:rPr>
          <w:color w:val="231F20"/>
          <w:spacing w:val="-11"/>
          <w:w w:val="105"/>
        </w:rPr>
        <w:t> </w:t>
      </w:r>
      <w:r>
        <w:rPr>
          <w:color w:val="231F20"/>
          <w:w w:val="105"/>
        </w:rPr>
        <w:t>que</w:t>
      </w:r>
      <w:r>
        <w:rPr>
          <w:color w:val="231F20"/>
          <w:spacing w:val="-11"/>
          <w:w w:val="105"/>
        </w:rPr>
        <w:t> </w:t>
      </w:r>
      <w:r>
        <w:rPr>
          <w:color w:val="231F20"/>
          <w:w w:val="105"/>
        </w:rPr>
        <w:t>trabaja en</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sabe</w:t>
      </w:r>
      <w:r>
        <w:rPr>
          <w:color w:val="231F20"/>
          <w:spacing w:val="-8"/>
          <w:w w:val="105"/>
        </w:rPr>
        <w:t> </w:t>
      </w:r>
      <w:r>
        <w:rPr>
          <w:color w:val="231F20"/>
          <w:w w:val="105"/>
        </w:rPr>
        <w:t>y</w:t>
      </w:r>
      <w:r>
        <w:rPr>
          <w:color w:val="231F20"/>
          <w:spacing w:val="-8"/>
          <w:w w:val="105"/>
        </w:rPr>
        <w:t> </w:t>
      </w:r>
      <w:r>
        <w:rPr>
          <w:color w:val="231F20"/>
          <w:w w:val="105"/>
        </w:rPr>
        <w:t>vive</w:t>
      </w:r>
      <w:r>
        <w:rPr>
          <w:color w:val="231F20"/>
          <w:spacing w:val="-8"/>
          <w:w w:val="105"/>
        </w:rPr>
        <w:t> </w:t>
      </w:r>
      <w:r>
        <w:rPr>
          <w:color w:val="231F20"/>
          <w:w w:val="105"/>
        </w:rPr>
        <w:t>de</w:t>
      </w:r>
      <w:r>
        <w:rPr>
          <w:color w:val="231F20"/>
          <w:spacing w:val="-8"/>
          <w:w w:val="105"/>
        </w:rPr>
        <w:t> </w:t>
      </w:r>
      <w:r>
        <w:rPr>
          <w:color w:val="231F20"/>
          <w:w w:val="105"/>
        </w:rPr>
        <w:t>eso.</w:t>
      </w:r>
      <w:r>
        <w:rPr>
          <w:color w:val="231F20"/>
          <w:spacing w:val="-13"/>
          <w:w w:val="105"/>
        </w:rPr>
        <w:t> </w:t>
      </w:r>
      <w:r>
        <w:rPr>
          <w:color w:val="231F20"/>
          <w:w w:val="105"/>
        </w:rPr>
        <w:t>Es</w:t>
      </w:r>
      <w:r>
        <w:rPr>
          <w:color w:val="231F20"/>
          <w:spacing w:val="-8"/>
          <w:w w:val="105"/>
        </w:rPr>
        <w:t> </w:t>
      </w:r>
      <w:r>
        <w:rPr>
          <w:color w:val="231F20"/>
          <w:w w:val="105"/>
        </w:rPr>
        <w:t>decir,</w:t>
      </w:r>
      <w:r>
        <w:rPr>
          <w:color w:val="231F20"/>
          <w:spacing w:val="-13"/>
          <w:w w:val="105"/>
        </w:rPr>
        <w:t> </w:t>
      </w:r>
      <w:r>
        <w:rPr>
          <w:color w:val="231F20"/>
          <w:w w:val="105"/>
        </w:rPr>
        <w:t>la</w:t>
      </w:r>
      <w:r>
        <w:rPr>
          <w:color w:val="231F20"/>
          <w:spacing w:val="-8"/>
          <w:w w:val="105"/>
        </w:rPr>
        <w:t> </w:t>
      </w:r>
      <w:r>
        <w:rPr>
          <w:color w:val="231F20"/>
          <w:w w:val="105"/>
        </w:rPr>
        <w:t>mitad</w:t>
      </w:r>
      <w:r>
        <w:rPr>
          <w:color w:val="231F20"/>
          <w:spacing w:val="-8"/>
          <w:w w:val="105"/>
        </w:rPr>
        <w:t> </w:t>
      </w:r>
      <w:r>
        <w:rPr>
          <w:color w:val="231F20"/>
          <w:w w:val="105"/>
        </w:rPr>
        <w:t>del</w:t>
      </w:r>
      <w:r>
        <w:rPr>
          <w:color w:val="231F20"/>
          <w:spacing w:val="-8"/>
          <w:w w:val="105"/>
        </w:rPr>
        <w:t> </w:t>
      </w:r>
      <w:r>
        <w:rPr>
          <w:color w:val="231F20"/>
          <w:w w:val="105"/>
        </w:rPr>
        <w:t>conocimiento</w:t>
      </w:r>
      <w:r>
        <w:rPr>
          <w:color w:val="231F20"/>
          <w:spacing w:val="-8"/>
          <w:w w:val="105"/>
        </w:rPr>
        <w:t> </w:t>
      </w:r>
      <w:r>
        <w:rPr>
          <w:color w:val="231F20"/>
          <w:w w:val="105"/>
        </w:rPr>
        <w:t>laboral calificado</w:t>
      </w:r>
      <w:r>
        <w:rPr>
          <w:color w:val="231F20"/>
          <w:spacing w:val="-11"/>
          <w:w w:val="105"/>
        </w:rPr>
        <w:t> </w:t>
      </w:r>
      <w:r>
        <w:rPr>
          <w:color w:val="231F20"/>
          <w:w w:val="105"/>
        </w:rPr>
        <w:t>que</w:t>
      </w:r>
      <w:r>
        <w:rPr>
          <w:color w:val="231F20"/>
          <w:spacing w:val="-11"/>
          <w:w w:val="105"/>
        </w:rPr>
        <w:t> </w:t>
      </w:r>
      <w:r>
        <w:rPr>
          <w:color w:val="231F20"/>
          <w:w w:val="105"/>
        </w:rPr>
        <w:t>trajeron</w:t>
      </w:r>
      <w:r>
        <w:rPr>
          <w:color w:val="231F20"/>
          <w:spacing w:val="-11"/>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w w:val="105"/>
        </w:rPr>
        <w:t>utiliza</w:t>
      </w:r>
      <w:r>
        <w:rPr>
          <w:color w:val="231F20"/>
          <w:spacing w:val="-11"/>
          <w:w w:val="105"/>
        </w:rPr>
        <w:t> </w:t>
      </w:r>
      <w:r>
        <w:rPr>
          <w:color w:val="231F20"/>
          <w:w w:val="105"/>
        </w:rPr>
        <w:t>en</w:t>
      </w:r>
      <w:r>
        <w:rPr>
          <w:color w:val="231F20"/>
          <w:spacing w:val="-11"/>
          <w:w w:val="105"/>
        </w:rPr>
        <w:t> </w:t>
      </w:r>
      <w:r>
        <w:rPr>
          <w:color w:val="231F20"/>
          <w:w w:val="105"/>
        </w:rPr>
        <w:t>forma</w:t>
      </w:r>
      <w:r>
        <w:rPr>
          <w:color w:val="231F20"/>
          <w:spacing w:val="-11"/>
          <w:w w:val="105"/>
        </w:rPr>
        <w:t> </w:t>
      </w:r>
      <w:r>
        <w:rPr>
          <w:color w:val="231F20"/>
          <w:w w:val="105"/>
        </w:rPr>
        <w:t>productiva.</w:t>
      </w:r>
    </w:p>
    <w:p>
      <w:pPr>
        <w:pStyle w:val="BodyText"/>
        <w:spacing w:line="261" w:lineRule="auto" w:before="1"/>
        <w:ind w:left="1723" w:right="1834" w:firstLine="567"/>
        <w:jc w:val="both"/>
      </w:pPr>
      <w:r>
        <w:rPr>
          <w:color w:val="231F20"/>
          <w:w w:val="105"/>
        </w:rPr>
        <w:t>Diferentes causas restringen esta intención: no demandan sus servicios, los empleos que tienen no son acordes al perfil de sus cono- cimientos, les pagan poco, les faltan recursos para abrir un negocio, la inseguridad y diversas violencias, el papeleo, burocracia y trámites les desaniman,</w:t>
      </w:r>
      <w:r>
        <w:rPr>
          <w:color w:val="231F20"/>
          <w:spacing w:val="-34"/>
          <w:w w:val="105"/>
        </w:rPr>
        <w:t> </w:t>
      </w:r>
      <w:r>
        <w:rPr>
          <w:color w:val="231F20"/>
          <w:w w:val="105"/>
        </w:rPr>
        <w:t>algunos</w:t>
      </w:r>
      <w:r>
        <w:rPr>
          <w:color w:val="231F20"/>
          <w:spacing w:val="-31"/>
          <w:w w:val="105"/>
        </w:rPr>
        <w:t> </w:t>
      </w:r>
      <w:r>
        <w:rPr>
          <w:color w:val="231F20"/>
          <w:w w:val="105"/>
        </w:rPr>
        <w:t>técnicos,</w:t>
      </w:r>
      <w:r>
        <w:rPr>
          <w:color w:val="231F20"/>
          <w:spacing w:val="-34"/>
          <w:w w:val="105"/>
        </w:rPr>
        <w:t> </w:t>
      </w:r>
      <w:r>
        <w:rPr>
          <w:color w:val="231F20"/>
          <w:w w:val="105"/>
        </w:rPr>
        <w:t>gerentes,</w:t>
      </w:r>
      <w:r>
        <w:rPr>
          <w:color w:val="231F20"/>
          <w:spacing w:val="-34"/>
          <w:w w:val="105"/>
        </w:rPr>
        <w:t> </w:t>
      </w:r>
      <w:r>
        <w:rPr>
          <w:color w:val="231F20"/>
          <w:w w:val="105"/>
        </w:rPr>
        <w:t>cocineros,</w:t>
      </w:r>
      <w:r>
        <w:rPr>
          <w:color w:val="231F20"/>
          <w:spacing w:val="-34"/>
          <w:w w:val="105"/>
        </w:rPr>
        <w:t> </w:t>
      </w:r>
      <w:r>
        <w:rPr>
          <w:color w:val="231F20"/>
          <w:w w:val="105"/>
        </w:rPr>
        <w:t>mecánicos</w:t>
      </w:r>
      <w:r>
        <w:rPr>
          <w:color w:val="231F20"/>
          <w:spacing w:val="-31"/>
          <w:w w:val="105"/>
        </w:rPr>
        <w:t> </w:t>
      </w:r>
      <w:r>
        <w:rPr>
          <w:color w:val="231F20"/>
          <w:w w:val="105"/>
        </w:rPr>
        <w:t>y</w:t>
      </w:r>
      <w:r>
        <w:rPr>
          <w:color w:val="231F20"/>
          <w:spacing w:val="-31"/>
          <w:w w:val="105"/>
        </w:rPr>
        <w:t> </w:t>
      </w:r>
      <w:r>
        <w:rPr>
          <w:color w:val="231F20"/>
          <w:w w:val="105"/>
        </w:rPr>
        <w:t>profesio- nistas</w:t>
      </w:r>
      <w:r>
        <w:rPr>
          <w:color w:val="231F20"/>
          <w:spacing w:val="-17"/>
          <w:w w:val="105"/>
        </w:rPr>
        <w:t> </w:t>
      </w:r>
      <w:r>
        <w:rPr>
          <w:color w:val="231F20"/>
          <w:w w:val="105"/>
        </w:rPr>
        <w:t>no</w:t>
      </w:r>
      <w:r>
        <w:rPr>
          <w:color w:val="231F20"/>
          <w:spacing w:val="-17"/>
          <w:w w:val="105"/>
        </w:rPr>
        <w:t> </w:t>
      </w:r>
      <w:r>
        <w:rPr>
          <w:color w:val="231F20"/>
          <w:w w:val="105"/>
        </w:rPr>
        <w:t>desean</w:t>
      </w:r>
      <w:r>
        <w:rPr>
          <w:color w:val="231F20"/>
          <w:spacing w:val="-17"/>
          <w:w w:val="105"/>
        </w:rPr>
        <w:t> </w:t>
      </w:r>
      <w:r>
        <w:rPr>
          <w:color w:val="231F20"/>
          <w:w w:val="105"/>
        </w:rPr>
        <w:t>hacer</w:t>
      </w:r>
      <w:r>
        <w:rPr>
          <w:color w:val="231F20"/>
          <w:spacing w:val="-17"/>
          <w:w w:val="105"/>
        </w:rPr>
        <w:t> </w:t>
      </w:r>
      <w:r>
        <w:rPr>
          <w:color w:val="231F20"/>
          <w:w w:val="105"/>
        </w:rPr>
        <w:t>lo</w:t>
      </w:r>
      <w:r>
        <w:rPr>
          <w:color w:val="231F20"/>
          <w:spacing w:val="-17"/>
          <w:w w:val="105"/>
        </w:rPr>
        <w:t> </w:t>
      </w:r>
      <w:r>
        <w:rPr>
          <w:color w:val="231F20"/>
          <w:w w:val="105"/>
        </w:rPr>
        <w:t>mismo</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20"/>
          <w:w w:val="105"/>
        </w:rPr>
        <w:t> </w:t>
      </w:r>
      <w:r>
        <w:rPr>
          <w:color w:val="231F20"/>
          <w:spacing w:val="-4"/>
          <w:w w:val="105"/>
        </w:rPr>
        <w:t>Texas.</w:t>
      </w:r>
      <w:r>
        <w:rPr>
          <w:color w:val="231F20"/>
          <w:spacing w:val="-24"/>
          <w:w w:val="105"/>
        </w:rPr>
        <w:t> </w:t>
      </w:r>
      <w:r>
        <w:rPr>
          <w:color w:val="231F20"/>
          <w:w w:val="105"/>
        </w:rPr>
        <w:t>Algunos</w:t>
      </w:r>
      <w:r>
        <w:rPr>
          <w:color w:val="231F20"/>
          <w:spacing w:val="-17"/>
          <w:w w:val="105"/>
        </w:rPr>
        <w:t> </w:t>
      </w:r>
      <w:r>
        <w:rPr>
          <w:color w:val="231F20"/>
          <w:w w:val="105"/>
        </w:rPr>
        <w:t>más</w:t>
      </w:r>
      <w:r>
        <w:rPr>
          <w:color w:val="231F20"/>
          <w:spacing w:val="-17"/>
          <w:w w:val="105"/>
        </w:rPr>
        <w:t> </w:t>
      </w:r>
      <w:r>
        <w:rPr>
          <w:color w:val="231F20"/>
          <w:w w:val="105"/>
        </w:rPr>
        <w:t>carecen</w:t>
      </w:r>
      <w:r>
        <w:rPr>
          <w:color w:val="231F20"/>
          <w:spacing w:val="-17"/>
          <w:w w:val="105"/>
        </w:rPr>
        <w:t> </w:t>
      </w:r>
      <w:r>
        <w:rPr>
          <w:color w:val="231F20"/>
          <w:w w:val="105"/>
        </w:rPr>
        <w:t>de comprobantes</w:t>
      </w:r>
      <w:r>
        <w:rPr>
          <w:color w:val="231F20"/>
          <w:spacing w:val="-6"/>
          <w:w w:val="105"/>
        </w:rPr>
        <w:t> </w:t>
      </w:r>
      <w:r>
        <w:rPr>
          <w:color w:val="231F20"/>
          <w:w w:val="105"/>
        </w:rPr>
        <w:t>formales</w:t>
      </w:r>
      <w:r>
        <w:rPr>
          <w:color w:val="231F20"/>
          <w:spacing w:val="-6"/>
          <w:w w:val="105"/>
        </w:rPr>
        <w:t> </w:t>
      </w:r>
      <w:r>
        <w:rPr>
          <w:color w:val="231F20"/>
          <w:w w:val="105"/>
        </w:rPr>
        <w:t>de</w:t>
      </w:r>
      <w:r>
        <w:rPr>
          <w:color w:val="231F20"/>
          <w:spacing w:val="-6"/>
          <w:w w:val="105"/>
        </w:rPr>
        <w:t> </w:t>
      </w:r>
      <w:r>
        <w:rPr>
          <w:color w:val="231F20"/>
          <w:w w:val="105"/>
        </w:rPr>
        <w:t>sus</w:t>
      </w:r>
      <w:r>
        <w:rPr>
          <w:color w:val="231F20"/>
          <w:spacing w:val="-6"/>
          <w:w w:val="105"/>
        </w:rPr>
        <w:t> </w:t>
      </w:r>
      <w:r>
        <w:rPr>
          <w:color w:val="231F20"/>
          <w:w w:val="105"/>
        </w:rPr>
        <w:t>conocimientos,</w:t>
      </w:r>
      <w:r>
        <w:rPr>
          <w:color w:val="231F20"/>
          <w:spacing w:val="-11"/>
          <w:w w:val="105"/>
        </w:rPr>
        <w:t> </w:t>
      </w:r>
      <w:r>
        <w:rPr>
          <w:color w:val="231F20"/>
          <w:w w:val="105"/>
        </w:rPr>
        <w:t>los</w:t>
      </w:r>
      <w:r>
        <w:rPr>
          <w:color w:val="231F20"/>
          <w:spacing w:val="-6"/>
          <w:w w:val="105"/>
        </w:rPr>
        <w:t> </w:t>
      </w:r>
      <w:r>
        <w:rPr>
          <w:color w:val="231F20"/>
          <w:w w:val="105"/>
        </w:rPr>
        <w:t>aqueja</w:t>
      </w:r>
      <w:r>
        <w:rPr>
          <w:color w:val="231F20"/>
          <w:spacing w:val="-6"/>
          <w:w w:val="105"/>
        </w:rPr>
        <w:t> </w:t>
      </w:r>
      <w:r>
        <w:rPr>
          <w:color w:val="231F20"/>
          <w:w w:val="105"/>
        </w:rPr>
        <w:t>alguna</w:t>
      </w:r>
      <w:r>
        <w:rPr>
          <w:color w:val="231F20"/>
          <w:spacing w:val="-6"/>
          <w:w w:val="105"/>
        </w:rPr>
        <w:t> </w:t>
      </w:r>
      <w:r>
        <w:rPr>
          <w:color w:val="231F20"/>
          <w:w w:val="105"/>
        </w:rPr>
        <w:t>enfer- medad o cuentan con edad avanzada. Como se puede </w:t>
      </w:r>
      <w:r>
        <w:rPr>
          <w:color w:val="231F20"/>
          <w:spacing w:val="-3"/>
          <w:w w:val="105"/>
        </w:rPr>
        <w:t>leer, </w:t>
      </w:r>
      <w:r>
        <w:rPr>
          <w:color w:val="231F20"/>
          <w:w w:val="105"/>
        </w:rPr>
        <w:t>las restric- ciones</w:t>
      </w:r>
      <w:r>
        <w:rPr>
          <w:color w:val="231F20"/>
          <w:spacing w:val="-6"/>
          <w:w w:val="105"/>
        </w:rPr>
        <w:t> </w:t>
      </w:r>
      <w:r>
        <w:rPr>
          <w:color w:val="231F20"/>
          <w:w w:val="105"/>
        </w:rPr>
        <w:t>son</w:t>
      </w:r>
      <w:r>
        <w:rPr>
          <w:color w:val="231F20"/>
          <w:spacing w:val="-6"/>
          <w:w w:val="105"/>
        </w:rPr>
        <w:t> </w:t>
      </w:r>
      <w:r>
        <w:rPr>
          <w:color w:val="231F20"/>
          <w:w w:val="105"/>
        </w:rPr>
        <w:t>diversas,</w:t>
      </w:r>
      <w:r>
        <w:rPr>
          <w:color w:val="231F20"/>
          <w:spacing w:val="-11"/>
          <w:w w:val="105"/>
        </w:rPr>
        <w:t> </w:t>
      </w:r>
      <w:r>
        <w:rPr>
          <w:color w:val="231F20"/>
          <w:w w:val="105"/>
        </w:rPr>
        <w:t>porque</w:t>
      </w:r>
      <w:r>
        <w:rPr>
          <w:color w:val="231F20"/>
          <w:spacing w:val="-6"/>
          <w:w w:val="105"/>
        </w:rPr>
        <w:t> </w:t>
      </w:r>
      <w:r>
        <w:rPr>
          <w:color w:val="231F20"/>
          <w:w w:val="105"/>
        </w:rPr>
        <w:t>los</w:t>
      </w:r>
      <w:r>
        <w:rPr>
          <w:color w:val="231F20"/>
          <w:spacing w:val="-6"/>
          <w:w w:val="105"/>
        </w:rPr>
        <w:t> </w:t>
      </w:r>
      <w:r>
        <w:rPr>
          <w:color w:val="231F20"/>
          <w:w w:val="105"/>
        </w:rPr>
        <w:t>retornados</w:t>
      </w:r>
      <w:r>
        <w:rPr>
          <w:color w:val="231F20"/>
          <w:spacing w:val="-6"/>
          <w:w w:val="105"/>
        </w:rPr>
        <w:t> </w:t>
      </w:r>
      <w:r>
        <w:rPr>
          <w:color w:val="231F20"/>
          <w:w w:val="105"/>
        </w:rPr>
        <w:t>son</w:t>
      </w:r>
      <w:r>
        <w:rPr>
          <w:color w:val="231F20"/>
          <w:spacing w:val="-6"/>
          <w:w w:val="105"/>
        </w:rPr>
        <w:t> </w:t>
      </w:r>
      <w:r>
        <w:rPr>
          <w:color w:val="231F20"/>
          <w:w w:val="105"/>
        </w:rPr>
        <w:t>distintos</w:t>
      </w:r>
      <w:r>
        <w:rPr>
          <w:color w:val="231F20"/>
          <w:spacing w:val="-6"/>
          <w:w w:val="105"/>
        </w:rPr>
        <w:t> </w:t>
      </w:r>
      <w:r>
        <w:rPr>
          <w:color w:val="231F20"/>
          <w:w w:val="105"/>
        </w:rPr>
        <w:t>entre</w:t>
      </w:r>
      <w:r>
        <w:rPr>
          <w:color w:val="231F20"/>
          <w:spacing w:val="-6"/>
          <w:w w:val="105"/>
        </w:rPr>
        <w:t> </w:t>
      </w:r>
      <w:r>
        <w:rPr>
          <w:color w:val="231F20"/>
          <w:w w:val="105"/>
        </w:rPr>
        <w:t>sí,</w:t>
      </w:r>
      <w:r>
        <w:rPr>
          <w:color w:val="231F20"/>
          <w:spacing w:val="-11"/>
          <w:w w:val="105"/>
        </w:rPr>
        <w:t> </w:t>
      </w:r>
      <w:r>
        <w:rPr>
          <w:color w:val="231F20"/>
          <w:w w:val="105"/>
        </w:rPr>
        <w:t>tienen diferentes</w:t>
      </w:r>
      <w:r>
        <w:rPr>
          <w:color w:val="231F20"/>
          <w:spacing w:val="-31"/>
          <w:w w:val="105"/>
        </w:rPr>
        <w:t> </w:t>
      </w:r>
      <w:r>
        <w:rPr>
          <w:color w:val="231F20"/>
          <w:w w:val="105"/>
        </w:rPr>
        <w:t>expectativas,</w:t>
      </w:r>
      <w:r>
        <w:rPr>
          <w:color w:val="231F20"/>
          <w:spacing w:val="-35"/>
          <w:w w:val="105"/>
        </w:rPr>
        <w:t> </w:t>
      </w:r>
      <w:r>
        <w:rPr>
          <w:color w:val="231F20"/>
          <w:w w:val="105"/>
        </w:rPr>
        <w:t>formación,</w:t>
      </w:r>
      <w:r>
        <w:rPr>
          <w:color w:val="231F20"/>
          <w:spacing w:val="-35"/>
          <w:w w:val="105"/>
        </w:rPr>
        <w:t> </w:t>
      </w:r>
      <w:r>
        <w:rPr>
          <w:color w:val="231F20"/>
          <w:w w:val="105"/>
        </w:rPr>
        <w:t>activos</w:t>
      </w:r>
      <w:r>
        <w:rPr>
          <w:color w:val="231F20"/>
          <w:spacing w:val="-31"/>
          <w:w w:val="105"/>
        </w:rPr>
        <w:t> </w:t>
      </w:r>
      <w:r>
        <w:rPr>
          <w:color w:val="231F20"/>
          <w:w w:val="105"/>
        </w:rPr>
        <w:t>e</w:t>
      </w:r>
      <w:r>
        <w:rPr>
          <w:color w:val="231F20"/>
          <w:spacing w:val="-31"/>
          <w:w w:val="105"/>
        </w:rPr>
        <w:t> </w:t>
      </w:r>
      <w:r>
        <w:rPr>
          <w:color w:val="231F20"/>
          <w:w w:val="105"/>
        </w:rPr>
        <w:t>intenciones.</w:t>
      </w:r>
    </w:p>
    <w:p>
      <w:pPr>
        <w:pStyle w:val="BodyText"/>
        <w:spacing w:line="261" w:lineRule="auto" w:before="1"/>
        <w:ind w:left="1723" w:right="1834" w:firstLine="567"/>
        <w:jc w:val="both"/>
      </w:pPr>
      <w:r>
        <w:rPr>
          <w:color w:val="231F20"/>
          <w:w w:val="105"/>
        </w:rPr>
        <w:t>Lo anterior plantea un reto para todos aquellos que buscan for- mular alguna estrategia que favorezca mejores modos de vida para los migrantes. En esta tarea ellos mismos dan la pauta al solicitar que en la entidad haya generación de empleos y mejores salarios, otros piden reducir</w:t>
      </w:r>
      <w:r>
        <w:rPr>
          <w:color w:val="231F20"/>
          <w:spacing w:val="-15"/>
          <w:w w:val="105"/>
        </w:rPr>
        <w:t> </w:t>
      </w:r>
      <w:r>
        <w:rPr>
          <w:color w:val="231F20"/>
          <w:w w:val="105"/>
        </w:rPr>
        <w:t>la</w:t>
      </w:r>
      <w:r>
        <w:rPr>
          <w:color w:val="231F20"/>
          <w:spacing w:val="-15"/>
          <w:w w:val="105"/>
        </w:rPr>
        <w:t> </w:t>
      </w:r>
      <w:r>
        <w:rPr>
          <w:color w:val="231F20"/>
          <w:w w:val="105"/>
        </w:rPr>
        <w:t>violencia,</w:t>
      </w:r>
      <w:r>
        <w:rPr>
          <w:color w:val="231F20"/>
          <w:spacing w:val="-20"/>
          <w:w w:val="105"/>
        </w:rPr>
        <w:t> </w:t>
      </w:r>
      <w:r>
        <w:rPr>
          <w:color w:val="231F20"/>
          <w:w w:val="105"/>
        </w:rPr>
        <w:t>extorsiones</w:t>
      </w:r>
      <w:r>
        <w:rPr>
          <w:color w:val="231F20"/>
          <w:spacing w:val="-15"/>
          <w:w w:val="105"/>
        </w:rPr>
        <w:t> </w:t>
      </w:r>
      <w:r>
        <w:rPr>
          <w:color w:val="231F20"/>
          <w:w w:val="105"/>
        </w:rPr>
        <w:t>y</w:t>
      </w:r>
      <w:r>
        <w:rPr>
          <w:color w:val="231F20"/>
          <w:spacing w:val="-15"/>
          <w:w w:val="105"/>
        </w:rPr>
        <w:t> </w:t>
      </w:r>
      <w:r>
        <w:rPr>
          <w:color w:val="231F20"/>
          <w:w w:val="105"/>
        </w:rPr>
        <w:t>corrupción</w:t>
      </w:r>
      <w:r>
        <w:rPr>
          <w:color w:val="231F20"/>
          <w:spacing w:val="-15"/>
          <w:w w:val="105"/>
        </w:rPr>
        <w:t> </w:t>
      </w:r>
      <w:r>
        <w:rPr>
          <w:color w:val="231F20"/>
          <w:w w:val="105"/>
        </w:rPr>
        <w:t>porque</w:t>
      </w:r>
      <w:r>
        <w:rPr>
          <w:color w:val="231F20"/>
          <w:spacing w:val="-15"/>
          <w:w w:val="105"/>
        </w:rPr>
        <w:t> </w:t>
      </w:r>
      <w:r>
        <w:rPr>
          <w:color w:val="231F20"/>
          <w:w w:val="105"/>
        </w:rPr>
        <w:t>les</w:t>
      </w:r>
      <w:r>
        <w:rPr>
          <w:color w:val="231F20"/>
          <w:spacing w:val="-15"/>
          <w:w w:val="105"/>
        </w:rPr>
        <w:t> </w:t>
      </w:r>
      <w:r>
        <w:rPr>
          <w:color w:val="231F20"/>
          <w:w w:val="105"/>
        </w:rPr>
        <w:t>inhibe</w:t>
      </w:r>
      <w:r>
        <w:rPr>
          <w:color w:val="231F20"/>
          <w:spacing w:val="-15"/>
          <w:w w:val="105"/>
        </w:rPr>
        <w:t> </w:t>
      </w:r>
      <w:r>
        <w:rPr>
          <w:color w:val="231F20"/>
          <w:w w:val="105"/>
        </w:rPr>
        <w:t>sus</w:t>
      </w:r>
      <w:r>
        <w:rPr>
          <w:color w:val="231F20"/>
          <w:spacing w:val="-15"/>
          <w:w w:val="105"/>
        </w:rPr>
        <w:t> </w:t>
      </w:r>
      <w:r>
        <w:rPr>
          <w:color w:val="231F20"/>
          <w:w w:val="105"/>
        </w:rPr>
        <w:t>ideas de inversión en pequeños negocios, otros desean promover proyectos productivos,</w:t>
      </w:r>
      <w:r>
        <w:rPr>
          <w:color w:val="231F20"/>
          <w:spacing w:val="-20"/>
          <w:w w:val="105"/>
        </w:rPr>
        <w:t> </w:t>
      </w:r>
      <w:r>
        <w:rPr>
          <w:color w:val="231F20"/>
          <w:w w:val="105"/>
        </w:rPr>
        <w:t>sociales</w:t>
      </w:r>
      <w:r>
        <w:rPr>
          <w:color w:val="231F20"/>
          <w:spacing w:val="-16"/>
          <w:w w:val="105"/>
        </w:rPr>
        <w:t> </w:t>
      </w:r>
      <w:r>
        <w:rPr>
          <w:color w:val="231F20"/>
          <w:w w:val="105"/>
        </w:rPr>
        <w:t>y</w:t>
      </w:r>
      <w:r>
        <w:rPr>
          <w:color w:val="231F20"/>
          <w:spacing w:val="-16"/>
          <w:w w:val="105"/>
        </w:rPr>
        <w:t> </w:t>
      </w:r>
      <w:r>
        <w:rPr>
          <w:color w:val="231F20"/>
          <w:w w:val="105"/>
        </w:rPr>
        <w:t>culturales</w:t>
      </w:r>
      <w:r>
        <w:rPr>
          <w:color w:val="231F20"/>
          <w:spacing w:val="-16"/>
          <w:w w:val="105"/>
        </w:rPr>
        <w:t> </w:t>
      </w:r>
      <w:r>
        <w:rPr>
          <w:color w:val="231F20"/>
          <w:w w:val="105"/>
        </w:rPr>
        <w:t>y</w:t>
      </w:r>
      <w:r>
        <w:rPr>
          <w:color w:val="231F20"/>
          <w:spacing w:val="-16"/>
          <w:w w:val="105"/>
        </w:rPr>
        <w:t> </w:t>
      </w:r>
      <w:r>
        <w:rPr>
          <w:color w:val="231F20"/>
          <w:w w:val="105"/>
        </w:rPr>
        <w:t>requieren</w:t>
      </w:r>
      <w:r>
        <w:rPr>
          <w:color w:val="231F20"/>
          <w:spacing w:val="-16"/>
          <w:w w:val="105"/>
        </w:rPr>
        <w:t> </w:t>
      </w:r>
      <w:r>
        <w:rPr>
          <w:color w:val="231F20"/>
          <w:w w:val="105"/>
        </w:rPr>
        <w:t>apoyos.</w:t>
      </w:r>
      <w:r>
        <w:rPr>
          <w:color w:val="231F20"/>
          <w:spacing w:val="-20"/>
          <w:w w:val="105"/>
        </w:rPr>
        <w:t> </w:t>
      </w: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sentido,</w:t>
      </w:r>
      <w:r>
        <w:rPr>
          <w:color w:val="231F20"/>
          <w:spacing w:val="-20"/>
          <w:w w:val="105"/>
        </w:rPr>
        <w:t> </w:t>
      </w:r>
      <w:r>
        <w:rPr>
          <w:color w:val="231F20"/>
          <w:w w:val="105"/>
        </w:rPr>
        <w:t>el gobierno del Estado de México puede impulsar el desarrollo en las lo- calidades</w:t>
      </w:r>
      <w:r>
        <w:rPr>
          <w:color w:val="231F20"/>
          <w:spacing w:val="-6"/>
          <w:w w:val="105"/>
        </w:rPr>
        <w:t> </w:t>
      </w:r>
      <w:r>
        <w:rPr>
          <w:color w:val="231F20"/>
          <w:w w:val="105"/>
        </w:rPr>
        <w:t>donde</w:t>
      </w:r>
      <w:r>
        <w:rPr>
          <w:color w:val="231F20"/>
          <w:spacing w:val="-6"/>
          <w:w w:val="105"/>
        </w:rPr>
        <w:t> </w:t>
      </w:r>
      <w:r>
        <w:rPr>
          <w:color w:val="231F20"/>
          <w:w w:val="105"/>
        </w:rPr>
        <w:t>los</w:t>
      </w:r>
      <w:r>
        <w:rPr>
          <w:color w:val="231F20"/>
          <w:spacing w:val="-6"/>
          <w:w w:val="105"/>
        </w:rPr>
        <w:t> </w:t>
      </w:r>
      <w:r>
        <w:rPr>
          <w:color w:val="231F20"/>
          <w:w w:val="105"/>
        </w:rPr>
        <w:t>retornados</w:t>
      </w:r>
      <w:r>
        <w:rPr>
          <w:color w:val="231F20"/>
          <w:spacing w:val="-6"/>
          <w:w w:val="105"/>
        </w:rPr>
        <w:t> </w:t>
      </w:r>
      <w:r>
        <w:rPr>
          <w:color w:val="231F20"/>
          <w:w w:val="105"/>
        </w:rPr>
        <w:t>se</w:t>
      </w:r>
      <w:r>
        <w:rPr>
          <w:color w:val="231F20"/>
          <w:spacing w:val="-6"/>
          <w:w w:val="105"/>
        </w:rPr>
        <w:t> </w:t>
      </w:r>
      <w:r>
        <w:rPr>
          <w:color w:val="231F20"/>
          <w:w w:val="105"/>
        </w:rPr>
        <w:t>concentran,</w:t>
      </w:r>
      <w:r>
        <w:rPr>
          <w:color w:val="231F20"/>
          <w:spacing w:val="-11"/>
          <w:w w:val="105"/>
        </w:rPr>
        <w:t> </w:t>
      </w:r>
      <w:r>
        <w:rPr>
          <w:color w:val="231F20"/>
          <w:w w:val="105"/>
        </w:rPr>
        <w:t>puede</w:t>
      </w:r>
      <w:r>
        <w:rPr>
          <w:color w:val="231F20"/>
          <w:spacing w:val="-6"/>
          <w:w w:val="105"/>
        </w:rPr>
        <w:t> </w:t>
      </w:r>
      <w:r>
        <w:rPr>
          <w:color w:val="231F20"/>
          <w:w w:val="105"/>
        </w:rPr>
        <w:t>elaborar</w:t>
      </w:r>
      <w:r>
        <w:rPr>
          <w:color w:val="231F20"/>
          <w:spacing w:val="-6"/>
          <w:w w:val="105"/>
        </w:rPr>
        <w:t> </w:t>
      </w:r>
      <w:r>
        <w:rPr>
          <w:color w:val="231F20"/>
          <w:w w:val="105"/>
        </w:rPr>
        <w:t>políticas micro dirigidas que incorporen las necesidades, conocimientos, expec- tativas</w:t>
      </w:r>
      <w:r>
        <w:rPr>
          <w:color w:val="231F20"/>
          <w:spacing w:val="-25"/>
          <w:w w:val="105"/>
        </w:rPr>
        <w:t> </w:t>
      </w:r>
      <w:r>
        <w:rPr>
          <w:color w:val="231F20"/>
          <w:w w:val="105"/>
        </w:rPr>
        <w:t>y</w:t>
      </w:r>
      <w:r>
        <w:rPr>
          <w:color w:val="231F20"/>
          <w:spacing w:val="-25"/>
          <w:w w:val="105"/>
        </w:rPr>
        <w:t> </w:t>
      </w:r>
      <w:r>
        <w:rPr>
          <w:color w:val="231F20"/>
          <w:w w:val="105"/>
        </w:rPr>
        <w:t>activos</w:t>
      </w:r>
      <w:r>
        <w:rPr>
          <w:color w:val="231F20"/>
          <w:spacing w:val="-25"/>
          <w:w w:val="105"/>
        </w:rPr>
        <w:t> </w:t>
      </w:r>
      <w:r>
        <w:rPr>
          <w:color w:val="231F20"/>
          <w:w w:val="105"/>
        </w:rPr>
        <w:t>físicos</w:t>
      </w:r>
      <w:r>
        <w:rPr>
          <w:color w:val="231F20"/>
          <w:spacing w:val="-25"/>
          <w:w w:val="105"/>
        </w:rPr>
        <w:t> </w:t>
      </w:r>
      <w:r>
        <w:rPr>
          <w:color w:val="231F20"/>
          <w:w w:val="105"/>
        </w:rPr>
        <w:t>y</w:t>
      </w:r>
      <w:r>
        <w:rPr>
          <w:color w:val="231F20"/>
          <w:spacing w:val="-25"/>
          <w:w w:val="105"/>
        </w:rPr>
        <w:t> </w:t>
      </w:r>
      <w:r>
        <w:rPr>
          <w:color w:val="231F20"/>
          <w:w w:val="105"/>
        </w:rPr>
        <w:t>productivos</w:t>
      </w:r>
      <w:r>
        <w:rPr>
          <w:color w:val="231F20"/>
          <w:spacing w:val="-25"/>
          <w:w w:val="105"/>
        </w:rPr>
        <w:t> </w:t>
      </w:r>
      <w:r>
        <w:rPr>
          <w:color w:val="231F20"/>
          <w:w w:val="105"/>
        </w:rPr>
        <w:t>que</w:t>
      </w:r>
      <w:r>
        <w:rPr>
          <w:color w:val="231F20"/>
          <w:spacing w:val="-25"/>
          <w:w w:val="105"/>
        </w:rPr>
        <w:t> </w:t>
      </w:r>
      <w:r>
        <w:rPr>
          <w:color w:val="231F20"/>
          <w:w w:val="105"/>
        </w:rPr>
        <w:t>poseen</w:t>
      </w:r>
      <w:r>
        <w:rPr>
          <w:color w:val="231F20"/>
          <w:spacing w:val="-25"/>
          <w:w w:val="105"/>
        </w:rPr>
        <w:t> </w:t>
      </w:r>
      <w:r>
        <w:rPr>
          <w:color w:val="231F20"/>
          <w:w w:val="105"/>
        </w:rPr>
        <w:t>los</w:t>
      </w:r>
      <w:r>
        <w:rPr>
          <w:color w:val="231F20"/>
          <w:spacing w:val="-25"/>
          <w:w w:val="105"/>
        </w:rPr>
        <w:t> </w:t>
      </w:r>
      <w:r>
        <w:rPr>
          <w:color w:val="231F20"/>
          <w:w w:val="105"/>
        </w:rPr>
        <w:t>retornados.</w:t>
      </w:r>
      <w:r>
        <w:rPr>
          <w:color w:val="231F20"/>
          <w:spacing w:val="-29"/>
          <w:w w:val="105"/>
        </w:rPr>
        <w:t> </w:t>
      </w:r>
      <w:r>
        <w:rPr>
          <w:color w:val="231F20"/>
          <w:w w:val="105"/>
        </w:rPr>
        <w:t>En</w:t>
      </w:r>
      <w:r>
        <w:rPr>
          <w:color w:val="231F20"/>
          <w:spacing w:val="-25"/>
          <w:w w:val="105"/>
        </w:rPr>
        <w:t> </w:t>
      </w:r>
      <w:r>
        <w:rPr>
          <w:color w:val="231F20"/>
          <w:w w:val="105"/>
        </w:rPr>
        <w:t>algu- nos</w:t>
      </w:r>
      <w:r>
        <w:rPr>
          <w:color w:val="231F20"/>
          <w:spacing w:val="-30"/>
          <w:w w:val="105"/>
        </w:rPr>
        <w:t> </w:t>
      </w:r>
      <w:r>
        <w:rPr>
          <w:color w:val="231F20"/>
          <w:w w:val="105"/>
        </w:rPr>
        <w:t>casos,</w:t>
      </w:r>
      <w:r>
        <w:rPr>
          <w:color w:val="231F20"/>
          <w:spacing w:val="-34"/>
          <w:w w:val="105"/>
        </w:rPr>
        <w:t> </w:t>
      </w:r>
      <w:r>
        <w:rPr>
          <w:color w:val="231F20"/>
          <w:w w:val="105"/>
        </w:rPr>
        <w:t>los</w:t>
      </w:r>
      <w:r>
        <w:rPr>
          <w:color w:val="231F20"/>
          <w:spacing w:val="-30"/>
          <w:w w:val="105"/>
        </w:rPr>
        <w:t> </w:t>
      </w:r>
      <w:r>
        <w:rPr>
          <w:color w:val="231F20"/>
          <w:w w:val="105"/>
        </w:rPr>
        <w:t>retornados</w:t>
      </w:r>
      <w:r>
        <w:rPr>
          <w:color w:val="231F20"/>
          <w:spacing w:val="-30"/>
          <w:w w:val="105"/>
        </w:rPr>
        <w:t> </w:t>
      </w:r>
      <w:r>
        <w:rPr>
          <w:color w:val="231F20"/>
          <w:w w:val="105"/>
        </w:rPr>
        <w:t>sólo</w:t>
      </w:r>
      <w:r>
        <w:rPr>
          <w:color w:val="231F20"/>
          <w:spacing w:val="-30"/>
          <w:w w:val="105"/>
        </w:rPr>
        <w:t> </w:t>
      </w:r>
      <w:r>
        <w:rPr>
          <w:color w:val="231F20"/>
          <w:w w:val="105"/>
        </w:rPr>
        <w:t>buscan</w:t>
      </w:r>
      <w:r>
        <w:rPr>
          <w:color w:val="231F20"/>
          <w:spacing w:val="-30"/>
          <w:w w:val="105"/>
        </w:rPr>
        <w:t> </w:t>
      </w:r>
      <w:r>
        <w:rPr>
          <w:color w:val="231F20"/>
          <w:w w:val="105"/>
        </w:rPr>
        <w:t>un</w:t>
      </w:r>
      <w:r>
        <w:rPr>
          <w:color w:val="231F20"/>
          <w:spacing w:val="-30"/>
          <w:w w:val="105"/>
        </w:rPr>
        <w:t> </w:t>
      </w:r>
      <w:r>
        <w:rPr>
          <w:color w:val="231F20"/>
          <w:w w:val="105"/>
        </w:rPr>
        <w:t>empleo</w:t>
      </w:r>
      <w:r>
        <w:rPr>
          <w:color w:val="231F20"/>
          <w:spacing w:val="-30"/>
          <w:w w:val="105"/>
        </w:rPr>
        <w:t> </w:t>
      </w:r>
      <w:r>
        <w:rPr>
          <w:color w:val="231F20"/>
          <w:w w:val="105"/>
        </w:rPr>
        <w:t>y</w:t>
      </w:r>
      <w:r>
        <w:rPr>
          <w:color w:val="231F20"/>
          <w:spacing w:val="-30"/>
          <w:w w:val="105"/>
        </w:rPr>
        <w:t> </w:t>
      </w:r>
      <w:r>
        <w:rPr>
          <w:color w:val="231F20"/>
          <w:w w:val="105"/>
        </w:rPr>
        <w:t>mejor</w:t>
      </w:r>
      <w:r>
        <w:rPr>
          <w:color w:val="231F20"/>
          <w:spacing w:val="-30"/>
          <w:w w:val="105"/>
        </w:rPr>
        <w:t> </w:t>
      </w:r>
      <w:r>
        <w:rPr>
          <w:color w:val="231F20"/>
          <w:w w:val="105"/>
        </w:rPr>
        <w:t>salario,</w:t>
      </w:r>
      <w:r>
        <w:rPr>
          <w:color w:val="231F20"/>
          <w:spacing w:val="-34"/>
          <w:w w:val="105"/>
        </w:rPr>
        <w:t> </w:t>
      </w:r>
      <w:r>
        <w:rPr>
          <w:color w:val="231F20"/>
          <w:w w:val="105"/>
        </w:rPr>
        <w:t>en</w:t>
      </w:r>
      <w:r>
        <w:rPr>
          <w:color w:val="231F20"/>
          <w:spacing w:val="-30"/>
          <w:w w:val="105"/>
        </w:rPr>
        <w:t> </w:t>
      </w:r>
      <w:r>
        <w:rPr>
          <w:color w:val="231F20"/>
          <w:w w:val="105"/>
        </w:rPr>
        <w:t>éstos</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59304" from="131.551193pt,3.703715pt" to="131.551193pt,39.506114pt" stroked="true" strokeweight=".35pt" strokecolor="#231f20">
            <w10:wrap type="none"/>
          </v:line>
        </w:pict>
      </w:r>
      <w:r>
        <w:rPr/>
        <w:pict>
          <v:line style="position:absolute;mso-position-horizontal-relative:page;mso-position-vertical-relative:paragraph;z-index:-459232" from="15pt,39.505917pt" to="0pt,39.505917pt" stroked="true" strokeweight=".25pt" strokecolor="#000000">
            <w10:wrap type="none"/>
          </v:line>
        </w:pict>
      </w:r>
      <w:r>
        <w:rPr/>
        <w:pict>
          <v:line style="position:absolute;mso-position-horizontal-relative:page;mso-position-vertical-relative:paragraph;z-index:30976" from="508.890015pt,39.505917pt" to="523.890015pt,39.505917pt" stroked="true" strokeweight=".25pt" strokecolor="#000000">
            <w10:wrap type="none"/>
          </v:line>
        </w:pict>
      </w:r>
      <w:r>
        <w:rPr>
          <w:rFonts w:ascii="Arial"/>
          <w:color w:val="414042"/>
          <w:w w:val="105"/>
          <w:position w:val="-5"/>
          <w:sz w:val="20"/>
        </w:rPr>
        <w:t>252</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59184" from="405.061005pt,-18.554295pt" to="405.061005pt,16.311579pt" stroked="true" strokeweight=".35pt" strokecolor="#231f20">
            <w10:wrap type="none"/>
          </v:line>
        </w:pict>
      </w:r>
      <w:r>
        <w:rPr/>
        <w:pict>
          <v:line style="position:absolute;mso-position-horizontal-relative:page;mso-position-vertical-relative:paragraph;z-index:31024" from="15pt,-18.554522pt" to="0pt,-18.554522pt" stroked="true" strokeweight=".25pt" strokecolor="#000000">
            <w10:wrap type="none"/>
          </v:line>
        </w:pict>
      </w:r>
      <w:r>
        <w:rPr/>
        <w:pict>
          <v:line style="position:absolute;mso-position-horizontal-relative:page;mso-position-vertical-relative:paragraph;z-index:31048"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253</w:t>
      </w:r>
    </w:p>
    <w:p>
      <w:pPr>
        <w:pStyle w:val="BodyText"/>
        <w:rPr>
          <w:rFonts w:ascii="Arial"/>
          <w:sz w:val="20"/>
        </w:rPr>
      </w:pPr>
    </w:p>
    <w:p>
      <w:pPr>
        <w:pStyle w:val="BodyText"/>
        <w:rPr>
          <w:rFonts w:ascii="Arial"/>
          <w:sz w:val="20"/>
        </w:rPr>
      </w:pPr>
    </w:p>
    <w:p>
      <w:pPr>
        <w:pStyle w:val="BodyText"/>
        <w:spacing w:line="261" w:lineRule="auto" w:before="179"/>
        <w:ind w:left="1808" w:right="1681"/>
        <w:jc w:val="both"/>
      </w:pPr>
      <w:r>
        <w:rPr>
          <w:color w:val="231F20"/>
          <w:w w:val="105"/>
        </w:rPr>
        <w:t>quizás</w:t>
      </w:r>
      <w:r>
        <w:rPr>
          <w:color w:val="231F20"/>
          <w:spacing w:val="-15"/>
          <w:w w:val="105"/>
        </w:rPr>
        <w:t> </w:t>
      </w:r>
      <w:r>
        <w:rPr>
          <w:color w:val="231F20"/>
          <w:w w:val="105"/>
        </w:rPr>
        <w:t>la</w:t>
      </w:r>
      <w:r>
        <w:rPr>
          <w:color w:val="231F20"/>
          <w:spacing w:val="-15"/>
          <w:w w:val="105"/>
        </w:rPr>
        <w:t> </w:t>
      </w:r>
      <w:r>
        <w:rPr>
          <w:color w:val="231F20"/>
          <w:w w:val="105"/>
        </w:rPr>
        <w:t>ayuda</w:t>
      </w:r>
      <w:r>
        <w:rPr>
          <w:color w:val="231F20"/>
          <w:spacing w:val="-15"/>
          <w:w w:val="105"/>
        </w:rPr>
        <w:t> </w:t>
      </w:r>
      <w:r>
        <w:rPr>
          <w:color w:val="231F20"/>
          <w:w w:val="105"/>
        </w:rPr>
        <w:t>institucional</w:t>
      </w:r>
      <w:r>
        <w:rPr>
          <w:color w:val="231F20"/>
          <w:spacing w:val="-15"/>
          <w:w w:val="105"/>
        </w:rPr>
        <w:t> </w:t>
      </w:r>
      <w:r>
        <w:rPr>
          <w:color w:val="231F20"/>
          <w:w w:val="105"/>
        </w:rPr>
        <w:t>pueda</w:t>
      </w:r>
      <w:r>
        <w:rPr>
          <w:color w:val="231F20"/>
          <w:spacing w:val="-15"/>
          <w:w w:val="105"/>
        </w:rPr>
        <w:t> </w:t>
      </w:r>
      <w:r>
        <w:rPr>
          <w:color w:val="231F20"/>
          <w:w w:val="105"/>
        </w:rPr>
        <w:t>ser</w:t>
      </w:r>
      <w:r>
        <w:rPr>
          <w:color w:val="231F20"/>
          <w:spacing w:val="-15"/>
          <w:w w:val="105"/>
        </w:rPr>
        <w:t> </w:t>
      </w:r>
      <w:r>
        <w:rPr>
          <w:color w:val="231F20"/>
          <w:w w:val="105"/>
        </w:rPr>
        <w:t>mínima,</w:t>
      </w:r>
      <w:r>
        <w:rPr>
          <w:color w:val="231F20"/>
          <w:spacing w:val="-20"/>
          <w:w w:val="105"/>
        </w:rPr>
        <w:t> </w:t>
      </w:r>
      <w:r>
        <w:rPr>
          <w:color w:val="231F20"/>
          <w:w w:val="105"/>
        </w:rPr>
        <w:t>pero</w:t>
      </w:r>
      <w:r>
        <w:rPr>
          <w:color w:val="231F20"/>
          <w:spacing w:val="-15"/>
          <w:w w:val="105"/>
        </w:rPr>
        <w:t> </w:t>
      </w:r>
      <w:r>
        <w:rPr>
          <w:color w:val="231F20"/>
          <w:w w:val="105"/>
        </w:rPr>
        <w:t>en</w:t>
      </w:r>
      <w:r>
        <w:rPr>
          <w:color w:val="231F20"/>
          <w:spacing w:val="-15"/>
          <w:w w:val="105"/>
        </w:rPr>
        <w:t> </w:t>
      </w:r>
      <w:r>
        <w:rPr>
          <w:color w:val="231F20"/>
          <w:w w:val="105"/>
        </w:rPr>
        <w:t>quienes</w:t>
      </w:r>
      <w:r>
        <w:rPr>
          <w:color w:val="231F20"/>
          <w:spacing w:val="-15"/>
          <w:w w:val="105"/>
        </w:rPr>
        <w:t> </w:t>
      </w:r>
      <w:r>
        <w:rPr>
          <w:color w:val="231F20"/>
          <w:w w:val="105"/>
        </w:rPr>
        <w:t>tienen</w:t>
      </w:r>
      <w:r>
        <w:rPr>
          <w:color w:val="231F20"/>
          <w:spacing w:val="-15"/>
          <w:w w:val="105"/>
        </w:rPr>
        <w:t> </w:t>
      </w:r>
      <w:r>
        <w:rPr>
          <w:color w:val="231F20"/>
          <w:w w:val="105"/>
        </w:rPr>
        <w:t>la idea</w:t>
      </w:r>
      <w:r>
        <w:rPr>
          <w:color w:val="231F20"/>
          <w:spacing w:val="-9"/>
          <w:w w:val="105"/>
        </w:rPr>
        <w:t> </w:t>
      </w:r>
      <w:r>
        <w:rPr>
          <w:color w:val="231F20"/>
          <w:w w:val="105"/>
        </w:rPr>
        <w:t>de</w:t>
      </w:r>
      <w:r>
        <w:rPr>
          <w:color w:val="231F20"/>
          <w:spacing w:val="-9"/>
          <w:w w:val="105"/>
        </w:rPr>
        <w:t> </w:t>
      </w:r>
      <w:r>
        <w:rPr>
          <w:color w:val="231F20"/>
          <w:w w:val="105"/>
        </w:rPr>
        <w:t>iniciar</w:t>
      </w:r>
      <w:r>
        <w:rPr>
          <w:color w:val="231F20"/>
          <w:spacing w:val="-9"/>
          <w:w w:val="105"/>
        </w:rPr>
        <w:t> </w:t>
      </w:r>
      <w:r>
        <w:rPr>
          <w:color w:val="231F20"/>
          <w:w w:val="105"/>
        </w:rPr>
        <w:t>un</w:t>
      </w:r>
      <w:r>
        <w:rPr>
          <w:color w:val="231F20"/>
          <w:spacing w:val="-9"/>
          <w:w w:val="105"/>
        </w:rPr>
        <w:t> </w:t>
      </w:r>
      <w:r>
        <w:rPr>
          <w:color w:val="231F20"/>
          <w:w w:val="105"/>
        </w:rPr>
        <w:t>proyecto</w:t>
      </w:r>
      <w:r>
        <w:rPr>
          <w:color w:val="231F20"/>
          <w:spacing w:val="-9"/>
          <w:w w:val="105"/>
        </w:rPr>
        <w:t> </w:t>
      </w:r>
      <w:r>
        <w:rPr>
          <w:color w:val="231F20"/>
          <w:w w:val="105"/>
        </w:rPr>
        <w:t>productivo</w:t>
      </w:r>
      <w:r>
        <w:rPr>
          <w:color w:val="231F20"/>
          <w:spacing w:val="-9"/>
          <w:w w:val="105"/>
        </w:rPr>
        <w:t> </w:t>
      </w:r>
      <w:r>
        <w:rPr>
          <w:color w:val="231F20"/>
          <w:w w:val="105"/>
        </w:rPr>
        <w:t>social</w:t>
      </w:r>
      <w:r>
        <w:rPr>
          <w:color w:val="231F20"/>
          <w:spacing w:val="-9"/>
          <w:w w:val="105"/>
        </w:rPr>
        <w:t> </w:t>
      </w:r>
      <w:r>
        <w:rPr>
          <w:color w:val="231F20"/>
          <w:w w:val="105"/>
        </w:rPr>
        <w:t>o</w:t>
      </w:r>
      <w:r>
        <w:rPr>
          <w:color w:val="231F20"/>
          <w:spacing w:val="-9"/>
          <w:w w:val="105"/>
        </w:rPr>
        <w:t> </w:t>
      </w:r>
      <w:r>
        <w:rPr>
          <w:color w:val="231F20"/>
          <w:w w:val="105"/>
        </w:rPr>
        <w:t>privado,</w:t>
      </w:r>
      <w:r>
        <w:rPr>
          <w:color w:val="231F20"/>
          <w:spacing w:val="-14"/>
          <w:w w:val="105"/>
        </w:rPr>
        <w:t> </w:t>
      </w:r>
      <w:r>
        <w:rPr>
          <w:color w:val="231F20"/>
          <w:w w:val="105"/>
        </w:rPr>
        <w:t>al</w:t>
      </w:r>
      <w:r>
        <w:rPr>
          <w:color w:val="231F20"/>
          <w:spacing w:val="-9"/>
          <w:w w:val="105"/>
        </w:rPr>
        <w:t> </w:t>
      </w:r>
      <w:r>
        <w:rPr>
          <w:color w:val="231F20"/>
          <w:w w:val="105"/>
        </w:rPr>
        <w:t>facilitarles</w:t>
      </w:r>
      <w:r>
        <w:rPr>
          <w:color w:val="231F20"/>
          <w:spacing w:val="-9"/>
          <w:w w:val="105"/>
        </w:rPr>
        <w:t> </w:t>
      </w:r>
      <w:r>
        <w:rPr>
          <w:color w:val="231F20"/>
          <w:w w:val="105"/>
        </w:rPr>
        <w:t>apo- yo</w:t>
      </w:r>
      <w:r>
        <w:rPr>
          <w:color w:val="231F20"/>
          <w:spacing w:val="-21"/>
          <w:w w:val="105"/>
        </w:rPr>
        <w:t> </w:t>
      </w:r>
      <w:r>
        <w:rPr>
          <w:color w:val="231F20"/>
          <w:w w:val="105"/>
        </w:rPr>
        <w:t>financiero,</w:t>
      </w:r>
      <w:r>
        <w:rPr>
          <w:color w:val="231F20"/>
          <w:spacing w:val="-27"/>
          <w:w w:val="105"/>
        </w:rPr>
        <w:t> </w:t>
      </w:r>
      <w:r>
        <w:rPr>
          <w:color w:val="231F20"/>
          <w:w w:val="105"/>
        </w:rPr>
        <w:t>técnico,</w:t>
      </w:r>
      <w:r>
        <w:rPr>
          <w:color w:val="231F20"/>
          <w:spacing w:val="-27"/>
          <w:w w:val="105"/>
        </w:rPr>
        <w:t> </w:t>
      </w:r>
      <w:r>
        <w:rPr>
          <w:color w:val="231F20"/>
          <w:w w:val="105"/>
        </w:rPr>
        <w:t>en</w:t>
      </w:r>
      <w:r>
        <w:rPr>
          <w:color w:val="231F20"/>
          <w:spacing w:val="-21"/>
          <w:w w:val="105"/>
        </w:rPr>
        <w:t> </w:t>
      </w:r>
      <w:r>
        <w:rPr>
          <w:color w:val="231F20"/>
          <w:w w:val="105"/>
        </w:rPr>
        <w:t>trámites</w:t>
      </w:r>
      <w:r>
        <w:rPr>
          <w:color w:val="231F20"/>
          <w:spacing w:val="-21"/>
          <w:w w:val="105"/>
        </w:rPr>
        <w:t> </w:t>
      </w:r>
      <w:r>
        <w:rPr>
          <w:color w:val="231F20"/>
          <w:w w:val="105"/>
        </w:rPr>
        <w:t>y</w:t>
      </w:r>
      <w:r>
        <w:rPr>
          <w:color w:val="231F20"/>
          <w:spacing w:val="-21"/>
          <w:w w:val="105"/>
        </w:rPr>
        <w:t> </w:t>
      </w:r>
      <w:r>
        <w:rPr>
          <w:color w:val="231F20"/>
          <w:w w:val="105"/>
        </w:rPr>
        <w:t>demás,</w:t>
      </w:r>
      <w:r>
        <w:rPr>
          <w:color w:val="231F20"/>
          <w:spacing w:val="-27"/>
          <w:w w:val="105"/>
        </w:rPr>
        <w:t> </w:t>
      </w:r>
      <w:r>
        <w:rPr>
          <w:color w:val="231F20"/>
          <w:w w:val="105"/>
        </w:rPr>
        <w:t>las</w:t>
      </w:r>
      <w:r>
        <w:rPr>
          <w:color w:val="231F20"/>
          <w:spacing w:val="-21"/>
          <w:w w:val="105"/>
        </w:rPr>
        <w:t> </w:t>
      </w:r>
      <w:r>
        <w:rPr>
          <w:color w:val="231F20"/>
          <w:w w:val="105"/>
        </w:rPr>
        <w:t>instituciones</w:t>
      </w:r>
      <w:r>
        <w:rPr>
          <w:color w:val="231F20"/>
          <w:spacing w:val="-21"/>
          <w:w w:val="105"/>
        </w:rPr>
        <w:t> </w:t>
      </w:r>
      <w:r>
        <w:rPr>
          <w:color w:val="231F20"/>
          <w:w w:val="105"/>
        </w:rPr>
        <w:t>podrían</w:t>
      </w:r>
      <w:r>
        <w:rPr>
          <w:color w:val="231F20"/>
          <w:spacing w:val="-21"/>
          <w:w w:val="105"/>
        </w:rPr>
        <w:t> </w:t>
      </w:r>
      <w:r>
        <w:rPr>
          <w:color w:val="231F20"/>
          <w:w w:val="105"/>
        </w:rPr>
        <w:t>tener una</w:t>
      </w:r>
      <w:r>
        <w:rPr>
          <w:color w:val="231F20"/>
          <w:spacing w:val="-8"/>
          <w:w w:val="105"/>
        </w:rPr>
        <w:t> </w:t>
      </w:r>
      <w:r>
        <w:rPr>
          <w:color w:val="231F20"/>
          <w:w w:val="105"/>
        </w:rPr>
        <w:t>fuerte</w:t>
      </w:r>
      <w:r>
        <w:rPr>
          <w:color w:val="231F20"/>
          <w:spacing w:val="-8"/>
          <w:w w:val="105"/>
        </w:rPr>
        <w:t> </w:t>
      </w:r>
      <w:r>
        <w:rPr>
          <w:color w:val="231F20"/>
          <w:w w:val="105"/>
        </w:rPr>
        <w:t>incidencia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promoción</w:t>
      </w:r>
      <w:r>
        <w:rPr>
          <w:color w:val="231F20"/>
          <w:spacing w:val="-8"/>
          <w:w w:val="105"/>
        </w:rPr>
        <w:t> </w:t>
      </w:r>
      <w:r>
        <w:rPr>
          <w:color w:val="231F20"/>
          <w:w w:val="105"/>
        </w:rPr>
        <w:t>de</w:t>
      </w:r>
      <w:r>
        <w:rPr>
          <w:color w:val="231F20"/>
          <w:spacing w:val="-8"/>
          <w:w w:val="105"/>
        </w:rPr>
        <w:t> </w:t>
      </w:r>
      <w:r>
        <w:rPr>
          <w:color w:val="231F20"/>
          <w:w w:val="105"/>
        </w:rPr>
        <w:t>mejores</w:t>
      </w:r>
      <w:r>
        <w:rPr>
          <w:color w:val="231F20"/>
          <w:spacing w:val="-8"/>
          <w:w w:val="105"/>
        </w:rPr>
        <w:t> </w:t>
      </w:r>
      <w:r>
        <w:rPr>
          <w:color w:val="231F20"/>
          <w:w w:val="105"/>
        </w:rPr>
        <w:t>modos</w:t>
      </w:r>
      <w:r>
        <w:rPr>
          <w:color w:val="231F20"/>
          <w:spacing w:val="-8"/>
          <w:w w:val="105"/>
        </w:rPr>
        <w:t> </w:t>
      </w:r>
      <w:r>
        <w:rPr>
          <w:color w:val="231F20"/>
          <w:w w:val="105"/>
        </w:rPr>
        <w:t>de</w:t>
      </w:r>
      <w:r>
        <w:rPr>
          <w:color w:val="231F20"/>
          <w:spacing w:val="-8"/>
          <w:w w:val="105"/>
        </w:rPr>
        <w:t> </w:t>
      </w:r>
      <w:r>
        <w:rPr>
          <w:color w:val="231F20"/>
          <w:w w:val="105"/>
        </w:rPr>
        <w:t>vida.</w:t>
      </w:r>
    </w:p>
    <w:p>
      <w:pPr>
        <w:pStyle w:val="BodyText"/>
        <w:spacing w:line="261" w:lineRule="auto" w:before="1"/>
        <w:ind w:left="1808" w:right="1675" w:firstLine="567"/>
        <w:jc w:val="both"/>
      </w:pPr>
      <w:r>
        <w:rPr>
          <w:color w:val="231F20"/>
          <w:w w:val="105"/>
        </w:rPr>
        <w:t>Es conocido que la curva de aprendizaje empresarial es dura, so- bre todo con los que recién inician. Como pudo apreciarse en el texto, en algunos lugares incluso los emprendedores son socialmente aparta- dos,</w:t>
      </w:r>
      <w:r>
        <w:rPr>
          <w:color w:val="231F20"/>
          <w:spacing w:val="-10"/>
          <w:w w:val="105"/>
        </w:rPr>
        <w:t> </w:t>
      </w:r>
      <w:r>
        <w:rPr>
          <w:color w:val="231F20"/>
          <w:w w:val="105"/>
        </w:rPr>
        <w:t>pues</w:t>
      </w:r>
      <w:r>
        <w:rPr>
          <w:color w:val="231F20"/>
          <w:spacing w:val="-4"/>
          <w:w w:val="105"/>
        </w:rPr>
        <w:t> </w:t>
      </w:r>
      <w:r>
        <w:rPr>
          <w:color w:val="231F20"/>
          <w:w w:val="105"/>
        </w:rPr>
        <w:t>los</w:t>
      </w:r>
      <w:r>
        <w:rPr>
          <w:color w:val="231F20"/>
          <w:spacing w:val="-4"/>
          <w:w w:val="105"/>
        </w:rPr>
        <w:t> </w:t>
      </w:r>
      <w:r>
        <w:rPr>
          <w:color w:val="231F20"/>
          <w:w w:val="105"/>
        </w:rPr>
        <w:t>demás</w:t>
      </w:r>
      <w:r>
        <w:rPr>
          <w:color w:val="231F20"/>
          <w:spacing w:val="-4"/>
          <w:w w:val="105"/>
        </w:rPr>
        <w:t> </w:t>
      </w:r>
      <w:r>
        <w:rPr>
          <w:color w:val="231F20"/>
          <w:w w:val="105"/>
        </w:rPr>
        <w:t>individuos</w:t>
      </w:r>
      <w:r>
        <w:rPr>
          <w:color w:val="231F20"/>
          <w:spacing w:val="-4"/>
          <w:w w:val="105"/>
        </w:rPr>
        <w:t> </w:t>
      </w:r>
      <w:r>
        <w:rPr>
          <w:color w:val="231F20"/>
          <w:w w:val="105"/>
        </w:rPr>
        <w:t>podrían</w:t>
      </w:r>
      <w:r>
        <w:rPr>
          <w:color w:val="231F20"/>
          <w:spacing w:val="-4"/>
          <w:w w:val="105"/>
        </w:rPr>
        <w:t> </w:t>
      </w:r>
      <w:r>
        <w:rPr>
          <w:color w:val="231F20"/>
          <w:w w:val="105"/>
        </w:rPr>
        <w:t>verlos</w:t>
      </w:r>
      <w:r>
        <w:rPr>
          <w:color w:val="231F20"/>
          <w:spacing w:val="-4"/>
          <w:w w:val="105"/>
        </w:rPr>
        <w:t> </w:t>
      </w:r>
      <w:r>
        <w:rPr>
          <w:color w:val="231F20"/>
          <w:w w:val="105"/>
        </w:rPr>
        <w:t>mal,</w:t>
      </w:r>
      <w:r>
        <w:rPr>
          <w:color w:val="231F20"/>
          <w:spacing w:val="-10"/>
          <w:w w:val="105"/>
        </w:rPr>
        <w:t> </w:t>
      </w:r>
      <w:r>
        <w:rPr>
          <w:color w:val="231F20"/>
          <w:w w:val="105"/>
        </w:rPr>
        <w:t>es</w:t>
      </w:r>
      <w:r>
        <w:rPr>
          <w:color w:val="231F20"/>
          <w:spacing w:val="-4"/>
          <w:w w:val="105"/>
        </w:rPr>
        <w:t> </w:t>
      </w:r>
      <w:r>
        <w:rPr>
          <w:color w:val="231F20"/>
          <w:w w:val="105"/>
        </w:rPr>
        <w:t>justo</w:t>
      </w:r>
      <w:r>
        <w:rPr>
          <w:color w:val="231F20"/>
          <w:spacing w:val="-4"/>
          <w:w w:val="105"/>
        </w:rPr>
        <w:t> </w:t>
      </w:r>
      <w:r>
        <w:rPr>
          <w:color w:val="231F20"/>
          <w:w w:val="105"/>
        </w:rPr>
        <w:t>allí</w:t>
      </w:r>
      <w:r>
        <w:rPr>
          <w:color w:val="231F20"/>
          <w:spacing w:val="-4"/>
          <w:w w:val="105"/>
        </w:rPr>
        <w:t> </w:t>
      </w:r>
      <w:r>
        <w:rPr>
          <w:color w:val="231F20"/>
          <w:w w:val="105"/>
        </w:rPr>
        <w:t>donde</w:t>
      </w:r>
      <w:r>
        <w:rPr>
          <w:color w:val="231F20"/>
          <w:spacing w:val="-4"/>
          <w:w w:val="105"/>
        </w:rPr>
        <w:t> </w:t>
      </w:r>
      <w:r>
        <w:rPr>
          <w:color w:val="231F20"/>
          <w:w w:val="105"/>
        </w:rPr>
        <w:t>el apoyo institucional toma importancia al servir como colchón ante estos pequeños</w:t>
      </w:r>
      <w:r>
        <w:rPr>
          <w:color w:val="231F20"/>
          <w:spacing w:val="-22"/>
          <w:w w:val="105"/>
        </w:rPr>
        <w:t> </w:t>
      </w:r>
      <w:r>
        <w:rPr>
          <w:color w:val="231F20"/>
          <w:w w:val="105"/>
        </w:rPr>
        <w:t>fracasos</w:t>
      </w:r>
      <w:r>
        <w:rPr>
          <w:color w:val="231F20"/>
          <w:spacing w:val="-22"/>
          <w:w w:val="105"/>
        </w:rPr>
        <w:t> </w:t>
      </w:r>
      <w:r>
        <w:rPr>
          <w:color w:val="231F20"/>
          <w:w w:val="105"/>
        </w:rPr>
        <w:t>(Gries</w:t>
      </w:r>
      <w:r>
        <w:rPr>
          <w:color w:val="231F20"/>
          <w:spacing w:val="-22"/>
          <w:w w:val="105"/>
        </w:rPr>
        <w:t> </w:t>
      </w:r>
      <w:r>
        <w:rPr>
          <w:color w:val="231F20"/>
          <w:w w:val="105"/>
        </w:rPr>
        <w:t>y</w:t>
      </w:r>
      <w:r>
        <w:rPr>
          <w:color w:val="231F20"/>
          <w:spacing w:val="-22"/>
          <w:w w:val="105"/>
        </w:rPr>
        <w:t> </w:t>
      </w:r>
      <w:r>
        <w:rPr>
          <w:color w:val="231F20"/>
          <w:w w:val="105"/>
        </w:rPr>
        <w:t>Naude,</w:t>
      </w:r>
      <w:r>
        <w:rPr>
          <w:color w:val="231F20"/>
          <w:spacing w:val="-27"/>
          <w:w w:val="105"/>
        </w:rPr>
        <w:t> </w:t>
      </w:r>
      <w:r>
        <w:rPr>
          <w:color w:val="231F20"/>
          <w:w w:val="105"/>
        </w:rPr>
        <w:t>2011).</w:t>
      </w:r>
      <w:r>
        <w:rPr>
          <w:color w:val="231F20"/>
          <w:spacing w:val="-27"/>
          <w:w w:val="105"/>
        </w:rPr>
        <w:t> </w:t>
      </w:r>
      <w:r>
        <w:rPr>
          <w:color w:val="231F20"/>
          <w:w w:val="105"/>
        </w:rPr>
        <w:t>Otro</w:t>
      </w:r>
      <w:r>
        <w:rPr>
          <w:color w:val="231F20"/>
          <w:spacing w:val="-22"/>
          <w:w w:val="105"/>
        </w:rPr>
        <w:t> </w:t>
      </w:r>
      <w:r>
        <w:rPr>
          <w:color w:val="231F20"/>
          <w:w w:val="105"/>
        </w:rPr>
        <w:t>estudio</w:t>
      </w:r>
      <w:r>
        <w:rPr>
          <w:color w:val="231F20"/>
          <w:spacing w:val="-22"/>
          <w:w w:val="105"/>
        </w:rPr>
        <w:t> </w:t>
      </w:r>
      <w:r>
        <w:rPr>
          <w:color w:val="231F20"/>
          <w:w w:val="105"/>
        </w:rPr>
        <w:t>señala</w:t>
      </w:r>
      <w:r>
        <w:rPr>
          <w:color w:val="231F20"/>
          <w:spacing w:val="-22"/>
          <w:w w:val="105"/>
        </w:rPr>
        <w:t> </w:t>
      </w:r>
      <w:r>
        <w:rPr>
          <w:color w:val="231F20"/>
          <w:w w:val="105"/>
        </w:rPr>
        <w:t>que</w:t>
      </w:r>
      <w:r>
        <w:rPr>
          <w:color w:val="231F20"/>
          <w:spacing w:val="-22"/>
          <w:w w:val="105"/>
        </w:rPr>
        <w:t> </w:t>
      </w:r>
      <w:r>
        <w:rPr>
          <w:color w:val="231F20"/>
          <w:w w:val="105"/>
        </w:rPr>
        <w:t>puede haber</w:t>
      </w:r>
      <w:r>
        <w:rPr>
          <w:color w:val="231F20"/>
          <w:spacing w:val="-22"/>
          <w:w w:val="105"/>
        </w:rPr>
        <w:t> </w:t>
      </w:r>
      <w:r>
        <w:rPr>
          <w:color w:val="231F20"/>
          <w:w w:val="105"/>
        </w:rPr>
        <w:t>capital,</w:t>
      </w:r>
      <w:r>
        <w:rPr>
          <w:color w:val="231F20"/>
          <w:spacing w:val="-26"/>
          <w:w w:val="105"/>
        </w:rPr>
        <w:t> </w:t>
      </w:r>
      <w:r>
        <w:rPr>
          <w:color w:val="231F20"/>
          <w:w w:val="105"/>
        </w:rPr>
        <w:t>educación</w:t>
      </w:r>
      <w:r>
        <w:rPr>
          <w:color w:val="231F20"/>
          <w:spacing w:val="-22"/>
          <w:w w:val="105"/>
        </w:rPr>
        <w:t> </w:t>
      </w:r>
      <w:r>
        <w:rPr>
          <w:color w:val="231F20"/>
          <w:w w:val="105"/>
        </w:rPr>
        <w:t>y</w:t>
      </w:r>
      <w:r>
        <w:rPr>
          <w:color w:val="231F20"/>
          <w:spacing w:val="-22"/>
          <w:w w:val="105"/>
        </w:rPr>
        <w:t> </w:t>
      </w:r>
      <w:r>
        <w:rPr>
          <w:color w:val="231F20"/>
          <w:w w:val="105"/>
        </w:rPr>
        <w:t>conocimientos,</w:t>
      </w:r>
      <w:r>
        <w:rPr>
          <w:color w:val="231F20"/>
          <w:spacing w:val="-26"/>
          <w:w w:val="105"/>
        </w:rPr>
        <w:t> </w:t>
      </w:r>
      <w:r>
        <w:rPr>
          <w:color w:val="231F20"/>
          <w:w w:val="105"/>
        </w:rPr>
        <w:t>pero</w:t>
      </w:r>
      <w:r>
        <w:rPr>
          <w:color w:val="231F20"/>
          <w:spacing w:val="-22"/>
          <w:w w:val="105"/>
        </w:rPr>
        <w:t> </w:t>
      </w:r>
      <w:r>
        <w:rPr>
          <w:color w:val="231F20"/>
          <w:w w:val="105"/>
        </w:rPr>
        <w:t>sin</w:t>
      </w:r>
      <w:r>
        <w:rPr>
          <w:color w:val="231F20"/>
          <w:spacing w:val="-22"/>
          <w:w w:val="105"/>
        </w:rPr>
        <w:t> </w:t>
      </w:r>
      <w:r>
        <w:rPr>
          <w:color w:val="231F20"/>
          <w:w w:val="105"/>
        </w:rPr>
        <w:t>apoyos,</w:t>
      </w:r>
      <w:r>
        <w:rPr>
          <w:color w:val="231F20"/>
          <w:spacing w:val="-26"/>
          <w:w w:val="105"/>
        </w:rPr>
        <w:t> </w:t>
      </w:r>
      <w:r>
        <w:rPr>
          <w:color w:val="231F20"/>
          <w:w w:val="105"/>
        </w:rPr>
        <w:t>esos</w:t>
      </w:r>
      <w:r>
        <w:rPr>
          <w:color w:val="231F20"/>
          <w:spacing w:val="-22"/>
          <w:w w:val="105"/>
        </w:rPr>
        <w:t> </w:t>
      </w:r>
      <w:r>
        <w:rPr>
          <w:color w:val="231F20"/>
          <w:w w:val="105"/>
        </w:rPr>
        <w:t>recursos y capacidades se emplearán en forma sub óptima y las oportunidades serán</w:t>
      </w:r>
      <w:r>
        <w:rPr>
          <w:color w:val="231F20"/>
          <w:spacing w:val="-25"/>
          <w:w w:val="105"/>
        </w:rPr>
        <w:t> </w:t>
      </w:r>
      <w:r>
        <w:rPr>
          <w:color w:val="231F20"/>
          <w:w w:val="105"/>
        </w:rPr>
        <w:t>desperdiciadas:</w:t>
      </w:r>
      <w:r>
        <w:rPr>
          <w:color w:val="231F20"/>
          <w:spacing w:val="-25"/>
          <w:w w:val="105"/>
        </w:rPr>
        <w:t> </w:t>
      </w:r>
      <w:r>
        <w:rPr>
          <w:color w:val="231F20"/>
          <w:w w:val="105"/>
        </w:rPr>
        <w:t>no</w:t>
      </w:r>
      <w:r>
        <w:rPr>
          <w:color w:val="231F20"/>
          <w:spacing w:val="-25"/>
          <w:w w:val="105"/>
        </w:rPr>
        <w:t> </w:t>
      </w:r>
      <w:r>
        <w:rPr>
          <w:color w:val="231F20"/>
          <w:w w:val="105"/>
        </w:rPr>
        <w:t>habrá</w:t>
      </w:r>
      <w:r>
        <w:rPr>
          <w:color w:val="231F20"/>
          <w:spacing w:val="-25"/>
          <w:w w:val="105"/>
        </w:rPr>
        <w:t> </w:t>
      </w:r>
      <w:r>
        <w:rPr>
          <w:color w:val="231F20"/>
          <w:w w:val="105"/>
        </w:rPr>
        <w:t>desarrollo</w:t>
      </w:r>
      <w:r>
        <w:rPr>
          <w:color w:val="231F20"/>
          <w:spacing w:val="-25"/>
          <w:w w:val="105"/>
        </w:rPr>
        <w:t> </w:t>
      </w:r>
      <w:r>
        <w:rPr>
          <w:color w:val="231F20"/>
          <w:w w:val="105"/>
        </w:rPr>
        <w:t>ni</w:t>
      </w:r>
      <w:r>
        <w:rPr>
          <w:color w:val="231F20"/>
          <w:spacing w:val="-25"/>
          <w:w w:val="105"/>
        </w:rPr>
        <w:t> </w:t>
      </w:r>
      <w:r>
        <w:rPr>
          <w:color w:val="231F20"/>
          <w:w w:val="105"/>
        </w:rPr>
        <w:t>crecimiento</w:t>
      </w:r>
      <w:r>
        <w:rPr>
          <w:color w:val="231F20"/>
          <w:spacing w:val="-25"/>
          <w:w w:val="105"/>
        </w:rPr>
        <w:t> </w:t>
      </w:r>
      <w:r>
        <w:rPr>
          <w:color w:val="231F20"/>
          <w:w w:val="105"/>
        </w:rPr>
        <w:t>(Zoltan</w:t>
      </w:r>
      <w:r>
        <w:rPr>
          <w:color w:val="231F20"/>
          <w:spacing w:val="-25"/>
          <w:w w:val="105"/>
        </w:rPr>
        <w:t> </w:t>
      </w:r>
      <w:r>
        <w:rPr>
          <w:color w:val="231F20"/>
          <w:w w:val="105"/>
        </w:rPr>
        <w:t>y</w:t>
      </w:r>
      <w:r>
        <w:rPr>
          <w:color w:val="231F20"/>
          <w:spacing w:val="-25"/>
          <w:w w:val="105"/>
        </w:rPr>
        <w:t> </w:t>
      </w:r>
      <w:r>
        <w:rPr>
          <w:color w:val="231F20"/>
          <w:w w:val="105"/>
        </w:rPr>
        <w:t>Storey, 2004). De este modo, fomentar el emprendimiento en pequeña escala, promover redes de suministro interregionales, puede generar cambios estructurales</w:t>
      </w:r>
      <w:r>
        <w:rPr>
          <w:color w:val="231F20"/>
          <w:spacing w:val="-24"/>
          <w:w w:val="105"/>
        </w:rPr>
        <w:t> </w:t>
      </w:r>
      <w:r>
        <w:rPr>
          <w:color w:val="231F20"/>
          <w:w w:val="105"/>
        </w:rPr>
        <w:t>de</w:t>
      </w:r>
      <w:r>
        <w:rPr>
          <w:color w:val="231F20"/>
          <w:spacing w:val="-24"/>
          <w:w w:val="105"/>
        </w:rPr>
        <w:t> </w:t>
      </w:r>
      <w:r>
        <w:rPr>
          <w:color w:val="231F20"/>
          <w:w w:val="105"/>
        </w:rPr>
        <w:t>largo</w:t>
      </w:r>
      <w:r>
        <w:rPr>
          <w:color w:val="231F20"/>
          <w:spacing w:val="-24"/>
          <w:w w:val="105"/>
        </w:rPr>
        <w:t> </w:t>
      </w:r>
      <w:r>
        <w:rPr>
          <w:color w:val="231F20"/>
          <w:w w:val="105"/>
        </w:rPr>
        <w:t>plazo</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orientación,</w:t>
      </w:r>
      <w:r>
        <w:rPr>
          <w:color w:val="231F20"/>
          <w:spacing w:val="-30"/>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base</w:t>
      </w:r>
      <w:r>
        <w:rPr>
          <w:color w:val="231F20"/>
          <w:spacing w:val="-24"/>
          <w:w w:val="105"/>
        </w:rPr>
        <w:t> </w:t>
      </w:r>
      <w:r>
        <w:rPr>
          <w:color w:val="231F20"/>
          <w:w w:val="105"/>
        </w:rPr>
        <w:t>productiva</w:t>
      </w:r>
      <w:r>
        <w:rPr>
          <w:color w:val="231F20"/>
          <w:spacing w:val="-24"/>
          <w:w w:val="105"/>
        </w:rPr>
        <w:t> </w:t>
      </w:r>
      <w:r>
        <w:rPr>
          <w:color w:val="231F20"/>
          <w:w w:val="105"/>
        </w:rPr>
        <w:t>y</w:t>
      </w:r>
      <w:r>
        <w:rPr>
          <w:color w:val="231F20"/>
          <w:spacing w:val="-24"/>
          <w:w w:val="105"/>
        </w:rPr>
        <w:t> </w:t>
      </w:r>
      <w:r>
        <w:rPr>
          <w:color w:val="231F20"/>
          <w:w w:val="105"/>
        </w:rPr>
        <w:t>en</w:t>
      </w:r>
      <w:r>
        <w:rPr>
          <w:color w:val="231F20"/>
          <w:spacing w:val="-24"/>
          <w:w w:val="105"/>
        </w:rPr>
        <w:t> </w:t>
      </w:r>
      <w:r>
        <w:rPr>
          <w:color w:val="231F20"/>
          <w:w w:val="105"/>
        </w:rPr>
        <w:t>la producción</w:t>
      </w:r>
      <w:r>
        <w:rPr>
          <w:color w:val="231F20"/>
          <w:spacing w:val="-13"/>
          <w:w w:val="105"/>
        </w:rPr>
        <w:t> </w:t>
      </w:r>
      <w:r>
        <w:rPr>
          <w:color w:val="231F20"/>
          <w:w w:val="105"/>
        </w:rPr>
        <w:t>misma</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regiones.</w:t>
      </w:r>
      <w:r>
        <w:rPr>
          <w:color w:val="231F20"/>
          <w:spacing w:val="-18"/>
          <w:w w:val="105"/>
        </w:rPr>
        <w:t> </w:t>
      </w:r>
      <w:r>
        <w:rPr>
          <w:color w:val="231F20"/>
          <w:w w:val="105"/>
        </w:rPr>
        <w:t>Es</w:t>
      </w:r>
      <w:r>
        <w:rPr>
          <w:color w:val="231F20"/>
          <w:spacing w:val="-13"/>
          <w:w w:val="105"/>
        </w:rPr>
        <w:t> </w:t>
      </w:r>
      <w:r>
        <w:rPr>
          <w:color w:val="231F20"/>
          <w:w w:val="105"/>
        </w:rPr>
        <w:t>decir,</w:t>
      </w:r>
      <w:r>
        <w:rPr>
          <w:color w:val="231F20"/>
          <w:spacing w:val="-18"/>
          <w:w w:val="105"/>
        </w:rPr>
        <w:t> </w:t>
      </w:r>
      <w:r>
        <w:rPr>
          <w:color w:val="231F20"/>
          <w:w w:val="105"/>
        </w:rPr>
        <w:t>apoyar</w:t>
      </w:r>
      <w:r>
        <w:rPr>
          <w:color w:val="231F20"/>
          <w:spacing w:val="-13"/>
          <w:w w:val="105"/>
        </w:rPr>
        <w:t> </w:t>
      </w:r>
      <w:r>
        <w:rPr>
          <w:color w:val="231F20"/>
          <w:w w:val="105"/>
        </w:rPr>
        <w:t>el</w:t>
      </w:r>
      <w:r>
        <w:rPr>
          <w:color w:val="231F20"/>
          <w:spacing w:val="-13"/>
          <w:w w:val="105"/>
        </w:rPr>
        <w:t> </w:t>
      </w:r>
      <w:r>
        <w:rPr>
          <w:color w:val="231F20"/>
          <w:w w:val="105"/>
        </w:rPr>
        <w:t>uso</w:t>
      </w:r>
      <w:r>
        <w:rPr>
          <w:color w:val="231F20"/>
          <w:spacing w:val="-13"/>
          <w:w w:val="105"/>
        </w:rPr>
        <w:t> </w:t>
      </w:r>
      <w:r>
        <w:rPr>
          <w:color w:val="231F20"/>
          <w:w w:val="105"/>
        </w:rPr>
        <w:t>efectivo</w:t>
      </w:r>
      <w:r>
        <w:rPr>
          <w:color w:val="231F20"/>
          <w:spacing w:val="-13"/>
          <w:w w:val="105"/>
        </w:rPr>
        <w:t> </w:t>
      </w:r>
      <w:r>
        <w:rPr>
          <w:color w:val="231F20"/>
          <w:w w:val="105"/>
        </w:rPr>
        <w:t>y</w:t>
      </w:r>
      <w:r>
        <w:rPr>
          <w:color w:val="231F20"/>
          <w:spacing w:val="-13"/>
          <w:w w:val="105"/>
        </w:rPr>
        <w:t> </w:t>
      </w:r>
      <w:r>
        <w:rPr>
          <w:color w:val="231F20"/>
          <w:w w:val="105"/>
        </w:rPr>
        <w:t>pro- ductivo de activos, conocimientos y habilidades que tienen los retorna- dos</w:t>
      </w:r>
      <w:r>
        <w:rPr>
          <w:color w:val="231F20"/>
          <w:spacing w:val="-5"/>
          <w:w w:val="105"/>
        </w:rPr>
        <w:t> </w:t>
      </w:r>
      <w:r>
        <w:rPr>
          <w:color w:val="231F20"/>
          <w:w w:val="105"/>
        </w:rPr>
        <w:t>puede</w:t>
      </w:r>
      <w:r>
        <w:rPr>
          <w:color w:val="231F20"/>
          <w:spacing w:val="-5"/>
          <w:w w:val="105"/>
        </w:rPr>
        <w:t> </w:t>
      </w:r>
      <w:r>
        <w:rPr>
          <w:color w:val="231F20"/>
          <w:w w:val="105"/>
        </w:rPr>
        <w:t>contribuir</w:t>
      </w:r>
      <w:r>
        <w:rPr>
          <w:color w:val="231F20"/>
          <w:spacing w:val="-5"/>
          <w:w w:val="105"/>
        </w:rPr>
        <w:t> </w:t>
      </w:r>
      <w:r>
        <w:rPr>
          <w:color w:val="231F20"/>
          <w:w w:val="105"/>
        </w:rPr>
        <w:t>a</w:t>
      </w:r>
      <w:r>
        <w:rPr>
          <w:color w:val="231F20"/>
          <w:spacing w:val="-5"/>
          <w:w w:val="105"/>
        </w:rPr>
        <w:t> </w:t>
      </w:r>
      <w:r>
        <w:rPr>
          <w:color w:val="231F20"/>
          <w:w w:val="105"/>
        </w:rPr>
        <w:t>formar</w:t>
      </w:r>
      <w:r>
        <w:rPr>
          <w:color w:val="231F20"/>
          <w:spacing w:val="-5"/>
          <w:w w:val="105"/>
        </w:rPr>
        <w:t> </w:t>
      </w:r>
      <w:r>
        <w:rPr>
          <w:color w:val="231F20"/>
          <w:w w:val="105"/>
        </w:rPr>
        <w:t>y</w:t>
      </w:r>
      <w:r>
        <w:rPr>
          <w:color w:val="231F20"/>
          <w:spacing w:val="-5"/>
          <w:w w:val="105"/>
        </w:rPr>
        <w:t> </w:t>
      </w:r>
      <w:r>
        <w:rPr>
          <w:color w:val="231F20"/>
          <w:w w:val="105"/>
        </w:rPr>
        <w:t>respaldar</w:t>
      </w:r>
      <w:r>
        <w:rPr>
          <w:color w:val="231F20"/>
          <w:spacing w:val="-5"/>
          <w:w w:val="105"/>
        </w:rPr>
        <w:t> </w:t>
      </w:r>
      <w:r>
        <w:rPr>
          <w:color w:val="231F20"/>
          <w:w w:val="105"/>
        </w:rPr>
        <w:t>una</w:t>
      </w:r>
      <w:r>
        <w:rPr>
          <w:color w:val="231F20"/>
          <w:spacing w:val="-5"/>
          <w:w w:val="105"/>
        </w:rPr>
        <w:t> </w:t>
      </w:r>
      <w:r>
        <w:rPr>
          <w:color w:val="231F20"/>
          <w:w w:val="105"/>
        </w:rPr>
        <w:t>generación</w:t>
      </w:r>
      <w:r>
        <w:rPr>
          <w:color w:val="231F20"/>
          <w:spacing w:val="-5"/>
          <w:w w:val="105"/>
        </w:rPr>
        <w:t> </w:t>
      </w:r>
      <w:r>
        <w:rPr>
          <w:color w:val="231F20"/>
          <w:w w:val="105"/>
        </w:rPr>
        <w:t>de</w:t>
      </w:r>
      <w:r>
        <w:rPr>
          <w:color w:val="231F20"/>
          <w:spacing w:val="-5"/>
          <w:w w:val="105"/>
        </w:rPr>
        <w:t> </w:t>
      </w:r>
      <w:r>
        <w:rPr>
          <w:color w:val="231F20"/>
          <w:w w:val="105"/>
        </w:rPr>
        <w:t>emprende- dores,</w:t>
      </w:r>
      <w:r>
        <w:rPr>
          <w:color w:val="231F20"/>
          <w:spacing w:val="-27"/>
          <w:w w:val="105"/>
        </w:rPr>
        <w:t> </w:t>
      </w:r>
      <w:r>
        <w:rPr>
          <w:color w:val="231F20"/>
          <w:w w:val="105"/>
        </w:rPr>
        <w:t>que</w:t>
      </w:r>
      <w:r>
        <w:rPr>
          <w:color w:val="231F20"/>
          <w:spacing w:val="-21"/>
          <w:w w:val="105"/>
        </w:rPr>
        <w:t> </w:t>
      </w:r>
      <w:r>
        <w:rPr>
          <w:color w:val="231F20"/>
          <w:w w:val="105"/>
        </w:rPr>
        <w:t>deriva</w:t>
      </w:r>
      <w:r>
        <w:rPr>
          <w:color w:val="231F20"/>
          <w:spacing w:val="-21"/>
          <w:w w:val="105"/>
        </w:rPr>
        <w:t> </w:t>
      </w:r>
      <w:r>
        <w:rPr>
          <w:color w:val="231F20"/>
          <w:w w:val="105"/>
        </w:rPr>
        <w:t>en</w:t>
      </w:r>
      <w:r>
        <w:rPr>
          <w:color w:val="231F20"/>
          <w:spacing w:val="-21"/>
          <w:w w:val="105"/>
        </w:rPr>
        <w:t> </w:t>
      </w:r>
      <w:r>
        <w:rPr>
          <w:color w:val="231F20"/>
          <w:w w:val="105"/>
        </w:rPr>
        <w:t>una</w:t>
      </w:r>
      <w:r>
        <w:rPr>
          <w:color w:val="231F20"/>
          <w:spacing w:val="-21"/>
          <w:w w:val="105"/>
        </w:rPr>
        <w:t> </w:t>
      </w:r>
      <w:r>
        <w:rPr>
          <w:color w:val="231F20"/>
          <w:w w:val="105"/>
        </w:rPr>
        <w:t>cultura</w:t>
      </w:r>
      <w:r>
        <w:rPr>
          <w:color w:val="231F20"/>
          <w:spacing w:val="-21"/>
          <w:w w:val="105"/>
        </w:rPr>
        <w:t> </w:t>
      </w:r>
      <w:r>
        <w:rPr>
          <w:color w:val="231F20"/>
          <w:w w:val="105"/>
        </w:rPr>
        <w:t>de</w:t>
      </w:r>
      <w:r>
        <w:rPr>
          <w:color w:val="231F20"/>
          <w:spacing w:val="-21"/>
          <w:w w:val="105"/>
        </w:rPr>
        <w:t> </w:t>
      </w:r>
      <w:r>
        <w:rPr>
          <w:color w:val="231F20"/>
          <w:w w:val="105"/>
        </w:rPr>
        <w:t>emprendimiento</w:t>
      </w:r>
      <w:r>
        <w:rPr>
          <w:color w:val="231F20"/>
          <w:spacing w:val="-21"/>
          <w:w w:val="105"/>
        </w:rPr>
        <w:t> </w:t>
      </w:r>
      <w:r>
        <w:rPr>
          <w:color w:val="231F20"/>
          <w:w w:val="105"/>
        </w:rPr>
        <w:t>en</w:t>
      </w:r>
      <w:r>
        <w:rPr>
          <w:color w:val="231F20"/>
          <w:spacing w:val="-21"/>
          <w:w w:val="105"/>
        </w:rPr>
        <w:t> </w:t>
      </w:r>
      <w:r>
        <w:rPr>
          <w:color w:val="231F20"/>
          <w:w w:val="105"/>
        </w:rPr>
        <w:t>diversas</w:t>
      </w:r>
      <w:r>
        <w:rPr>
          <w:color w:val="231F20"/>
          <w:spacing w:val="-21"/>
          <w:w w:val="105"/>
        </w:rPr>
        <w:t> </w:t>
      </w:r>
      <w:r>
        <w:rPr>
          <w:color w:val="231F20"/>
          <w:w w:val="105"/>
        </w:rPr>
        <w:t>regiones de la entidad. Quizá algunos retornados pronto abandonen esta carrera de</w:t>
      </w:r>
      <w:r>
        <w:rPr>
          <w:color w:val="231F20"/>
          <w:spacing w:val="-15"/>
          <w:w w:val="105"/>
        </w:rPr>
        <w:t> </w:t>
      </w:r>
      <w:r>
        <w:rPr>
          <w:color w:val="231F20"/>
          <w:w w:val="105"/>
        </w:rPr>
        <w:t>emprendimiento,</w:t>
      </w:r>
      <w:r>
        <w:rPr>
          <w:color w:val="231F20"/>
          <w:spacing w:val="-21"/>
          <w:w w:val="105"/>
        </w:rPr>
        <w:t> </w:t>
      </w:r>
      <w:r>
        <w:rPr>
          <w:color w:val="231F20"/>
          <w:w w:val="105"/>
        </w:rPr>
        <w:t>pero</w:t>
      </w:r>
      <w:r>
        <w:rPr>
          <w:color w:val="231F20"/>
          <w:spacing w:val="-15"/>
          <w:w w:val="105"/>
        </w:rPr>
        <w:t> </w:t>
      </w:r>
      <w:r>
        <w:rPr>
          <w:color w:val="231F20"/>
          <w:w w:val="105"/>
        </w:rPr>
        <w:t>como</w:t>
      </w:r>
      <w:r>
        <w:rPr>
          <w:color w:val="231F20"/>
          <w:spacing w:val="-15"/>
          <w:w w:val="105"/>
        </w:rPr>
        <w:t> </w:t>
      </w:r>
      <w:r>
        <w:rPr>
          <w:color w:val="231F20"/>
          <w:w w:val="105"/>
        </w:rPr>
        <w:t>señalan</w:t>
      </w:r>
      <w:r>
        <w:rPr>
          <w:color w:val="231F20"/>
          <w:spacing w:val="-15"/>
          <w:w w:val="105"/>
        </w:rPr>
        <w:t> </w:t>
      </w:r>
      <w:r>
        <w:rPr>
          <w:color w:val="231F20"/>
          <w:w w:val="105"/>
        </w:rPr>
        <w:t>Zoltan</w:t>
      </w:r>
      <w:r>
        <w:rPr>
          <w:color w:val="231F20"/>
          <w:spacing w:val="-15"/>
          <w:w w:val="105"/>
        </w:rPr>
        <w:t> </w:t>
      </w:r>
      <w:r>
        <w:rPr>
          <w:color w:val="231F20"/>
          <w:w w:val="105"/>
        </w:rPr>
        <w:t>y</w:t>
      </w:r>
      <w:r>
        <w:rPr>
          <w:color w:val="231F20"/>
          <w:spacing w:val="-15"/>
          <w:w w:val="105"/>
        </w:rPr>
        <w:t> </w:t>
      </w:r>
      <w:r>
        <w:rPr>
          <w:color w:val="231F20"/>
          <w:w w:val="105"/>
        </w:rPr>
        <w:t>Storey</w:t>
      </w:r>
      <w:r>
        <w:rPr>
          <w:color w:val="231F20"/>
          <w:spacing w:val="-15"/>
          <w:w w:val="105"/>
        </w:rPr>
        <w:t> </w:t>
      </w:r>
      <w:r>
        <w:rPr>
          <w:color w:val="231F20"/>
          <w:w w:val="105"/>
        </w:rPr>
        <w:t>(2004),</w:t>
      </w:r>
      <w:r>
        <w:rPr>
          <w:color w:val="231F20"/>
          <w:spacing w:val="-21"/>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w w:val="105"/>
        </w:rPr>
        <w:t>en- torno de emprendimiento incluso los perdedores aportan algo al</w:t>
      </w:r>
      <w:r>
        <w:rPr>
          <w:color w:val="231F20"/>
          <w:spacing w:val="-35"/>
          <w:w w:val="105"/>
        </w:rPr>
        <w:t> </w:t>
      </w:r>
      <w:r>
        <w:rPr>
          <w:color w:val="231F20"/>
          <w:w w:val="105"/>
        </w:rPr>
        <w:t>señalar a los demás las prácticas y juicios que no deben hacer, así como el tipo de</w:t>
      </w:r>
      <w:r>
        <w:rPr>
          <w:color w:val="231F20"/>
          <w:spacing w:val="-18"/>
          <w:w w:val="105"/>
        </w:rPr>
        <w:t> </w:t>
      </w:r>
      <w:r>
        <w:rPr>
          <w:color w:val="231F20"/>
          <w:w w:val="105"/>
        </w:rPr>
        <w:t>habilidades</w:t>
      </w:r>
      <w:r>
        <w:rPr>
          <w:color w:val="231F20"/>
          <w:spacing w:val="-18"/>
          <w:w w:val="105"/>
        </w:rPr>
        <w:t> </w:t>
      </w:r>
      <w:r>
        <w:rPr>
          <w:color w:val="231F20"/>
          <w:w w:val="105"/>
        </w:rPr>
        <w:t>que</w:t>
      </w:r>
      <w:r>
        <w:rPr>
          <w:color w:val="231F20"/>
          <w:spacing w:val="-19"/>
          <w:w w:val="105"/>
        </w:rPr>
        <w:t> </w:t>
      </w:r>
      <w:r>
        <w:rPr>
          <w:color w:val="231F20"/>
          <w:w w:val="105"/>
        </w:rPr>
        <w:t>deben</w:t>
      </w:r>
      <w:r>
        <w:rPr>
          <w:color w:val="231F20"/>
          <w:spacing w:val="-18"/>
          <w:w w:val="105"/>
        </w:rPr>
        <w:t> </w:t>
      </w:r>
      <w:r>
        <w:rPr>
          <w:color w:val="231F20"/>
          <w:w w:val="105"/>
        </w:rPr>
        <w:t>desarrollar.</w:t>
      </w:r>
      <w:r>
        <w:rPr>
          <w:color w:val="231F20"/>
          <w:spacing w:val="-24"/>
          <w:w w:val="105"/>
        </w:rPr>
        <w:t> </w:t>
      </w:r>
      <w:r>
        <w:rPr>
          <w:color w:val="231F20"/>
          <w:w w:val="105"/>
        </w:rPr>
        <w:t>Quienes</w:t>
      </w:r>
      <w:r>
        <w:rPr>
          <w:color w:val="231F20"/>
          <w:spacing w:val="-18"/>
          <w:w w:val="105"/>
        </w:rPr>
        <w:t> </w:t>
      </w:r>
      <w:r>
        <w:rPr>
          <w:color w:val="231F20"/>
          <w:w w:val="105"/>
        </w:rPr>
        <w:t>hayan</w:t>
      </w:r>
      <w:r>
        <w:rPr>
          <w:color w:val="231F20"/>
          <w:spacing w:val="-19"/>
          <w:w w:val="105"/>
        </w:rPr>
        <w:t> </w:t>
      </w:r>
      <w:r>
        <w:rPr>
          <w:color w:val="231F20"/>
          <w:w w:val="105"/>
        </w:rPr>
        <w:t>decidido</w:t>
      </w:r>
      <w:r>
        <w:rPr>
          <w:color w:val="231F20"/>
          <w:spacing w:val="-18"/>
          <w:w w:val="105"/>
        </w:rPr>
        <w:t> </w:t>
      </w:r>
      <w:r>
        <w:rPr>
          <w:color w:val="231F20"/>
          <w:w w:val="105"/>
        </w:rPr>
        <w:t>iniciar</w:t>
      </w:r>
      <w:r>
        <w:rPr>
          <w:color w:val="231F20"/>
          <w:spacing w:val="-19"/>
          <w:w w:val="105"/>
        </w:rPr>
        <w:t> </w:t>
      </w:r>
      <w:r>
        <w:rPr>
          <w:color w:val="231F20"/>
          <w:w w:val="105"/>
        </w:rPr>
        <w:t>sus negocios</w:t>
      </w:r>
      <w:r>
        <w:rPr>
          <w:color w:val="231F20"/>
          <w:spacing w:val="-12"/>
          <w:w w:val="105"/>
        </w:rPr>
        <w:t> </w:t>
      </w:r>
      <w:r>
        <w:rPr>
          <w:color w:val="231F20"/>
          <w:w w:val="105"/>
        </w:rPr>
        <w:t>podrían</w:t>
      </w:r>
      <w:r>
        <w:rPr>
          <w:color w:val="231F20"/>
          <w:spacing w:val="-12"/>
          <w:w w:val="105"/>
        </w:rPr>
        <w:t> </w:t>
      </w:r>
      <w:r>
        <w:rPr>
          <w:color w:val="231F20"/>
          <w:w w:val="105"/>
        </w:rPr>
        <w:t>aprovechar</w:t>
      </w:r>
      <w:r>
        <w:rPr>
          <w:color w:val="231F20"/>
          <w:spacing w:val="-12"/>
          <w:w w:val="105"/>
        </w:rPr>
        <w:t> </w:t>
      </w:r>
      <w:r>
        <w:rPr>
          <w:color w:val="231F20"/>
          <w:w w:val="105"/>
        </w:rPr>
        <w:t>los</w:t>
      </w:r>
      <w:r>
        <w:rPr>
          <w:color w:val="231F20"/>
          <w:spacing w:val="-12"/>
          <w:w w:val="105"/>
        </w:rPr>
        <w:t> </w:t>
      </w:r>
      <w:r>
        <w:rPr>
          <w:color w:val="231F20"/>
          <w:w w:val="105"/>
        </w:rPr>
        <w:t>tiempos</w:t>
      </w:r>
      <w:r>
        <w:rPr>
          <w:color w:val="231F20"/>
          <w:spacing w:val="-12"/>
          <w:w w:val="105"/>
        </w:rPr>
        <w:t> </w:t>
      </w:r>
      <w:r>
        <w:rPr>
          <w:color w:val="231F20"/>
          <w:w w:val="105"/>
        </w:rPr>
        <w:t>de</w:t>
      </w:r>
      <w:r>
        <w:rPr>
          <w:color w:val="231F20"/>
          <w:spacing w:val="-12"/>
          <w:w w:val="105"/>
        </w:rPr>
        <w:t> </w:t>
      </w:r>
      <w:r>
        <w:rPr>
          <w:color w:val="231F20"/>
          <w:w w:val="105"/>
        </w:rPr>
        <w:t>aprendizaje</w:t>
      </w:r>
      <w:r>
        <w:rPr>
          <w:color w:val="231F20"/>
          <w:spacing w:val="-12"/>
          <w:w w:val="105"/>
        </w:rPr>
        <w:t> </w:t>
      </w:r>
      <w:r>
        <w:rPr>
          <w:color w:val="231F20"/>
          <w:w w:val="105"/>
        </w:rPr>
        <w:t>y</w:t>
      </w:r>
      <w:r>
        <w:rPr>
          <w:color w:val="231F20"/>
          <w:spacing w:val="-12"/>
          <w:w w:val="105"/>
        </w:rPr>
        <w:t> </w:t>
      </w:r>
      <w:r>
        <w:rPr>
          <w:color w:val="231F20"/>
          <w:w w:val="105"/>
        </w:rPr>
        <w:t>fracasos</w:t>
      </w:r>
      <w:r>
        <w:rPr>
          <w:color w:val="231F20"/>
          <w:spacing w:val="-12"/>
          <w:w w:val="105"/>
        </w:rPr>
        <w:t> </w:t>
      </w:r>
      <w:r>
        <w:rPr>
          <w:color w:val="231F20"/>
          <w:w w:val="105"/>
        </w:rPr>
        <w:t>para generar una orientación emprendedora. Dado que la población tiende a emular</w:t>
      </w:r>
      <w:r>
        <w:rPr>
          <w:color w:val="231F20"/>
          <w:spacing w:val="-16"/>
          <w:w w:val="105"/>
        </w:rPr>
        <w:t> </w:t>
      </w:r>
      <w:r>
        <w:rPr>
          <w:color w:val="231F20"/>
          <w:w w:val="105"/>
        </w:rPr>
        <w:t>los</w:t>
      </w:r>
      <w:r>
        <w:rPr>
          <w:color w:val="231F20"/>
          <w:spacing w:val="-16"/>
          <w:w w:val="105"/>
        </w:rPr>
        <w:t> </w:t>
      </w:r>
      <w:r>
        <w:rPr>
          <w:color w:val="231F20"/>
          <w:w w:val="105"/>
        </w:rPr>
        <w:t>logros</w:t>
      </w:r>
      <w:r>
        <w:rPr>
          <w:color w:val="231F20"/>
          <w:spacing w:val="-16"/>
          <w:w w:val="105"/>
        </w:rPr>
        <w:t> </w:t>
      </w:r>
      <w:r>
        <w:rPr>
          <w:color w:val="231F20"/>
          <w:w w:val="105"/>
        </w:rPr>
        <w:t>de</w:t>
      </w:r>
      <w:r>
        <w:rPr>
          <w:color w:val="231F20"/>
          <w:spacing w:val="-16"/>
          <w:w w:val="105"/>
        </w:rPr>
        <w:t> </w:t>
      </w:r>
      <w:r>
        <w:rPr>
          <w:color w:val="231F20"/>
          <w:w w:val="105"/>
        </w:rPr>
        <w:t>sus</w:t>
      </w:r>
      <w:r>
        <w:rPr>
          <w:color w:val="231F20"/>
          <w:spacing w:val="-16"/>
          <w:w w:val="105"/>
        </w:rPr>
        <w:t> </w:t>
      </w:r>
      <w:r>
        <w:rPr>
          <w:color w:val="231F20"/>
          <w:w w:val="105"/>
        </w:rPr>
        <w:t>semejantes,</w:t>
      </w:r>
      <w:r>
        <w:rPr>
          <w:color w:val="231F20"/>
          <w:spacing w:val="-21"/>
          <w:w w:val="105"/>
        </w:rPr>
        <w:t> </w:t>
      </w:r>
      <w:r>
        <w:rPr>
          <w:color w:val="231F20"/>
          <w:w w:val="105"/>
        </w:rPr>
        <w:t>es</w:t>
      </w:r>
      <w:r>
        <w:rPr>
          <w:color w:val="231F20"/>
          <w:spacing w:val="-16"/>
          <w:w w:val="105"/>
        </w:rPr>
        <w:t> </w:t>
      </w:r>
      <w:r>
        <w:rPr>
          <w:color w:val="231F20"/>
          <w:w w:val="105"/>
        </w:rPr>
        <w:t>posible</w:t>
      </w:r>
      <w:r>
        <w:rPr>
          <w:color w:val="231F20"/>
          <w:spacing w:val="-16"/>
          <w:w w:val="105"/>
        </w:rPr>
        <w:t>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resultados</w:t>
      </w:r>
      <w:r>
        <w:rPr>
          <w:color w:val="231F20"/>
          <w:spacing w:val="-16"/>
          <w:w w:val="105"/>
        </w:rPr>
        <w:t> </w:t>
      </w:r>
      <w:r>
        <w:rPr>
          <w:color w:val="231F20"/>
          <w:w w:val="105"/>
        </w:rPr>
        <w:t>de</w:t>
      </w:r>
      <w:r>
        <w:rPr>
          <w:color w:val="231F20"/>
          <w:spacing w:val="-16"/>
          <w:w w:val="105"/>
        </w:rPr>
        <w:t> </w:t>
      </w:r>
      <w:r>
        <w:rPr>
          <w:color w:val="231F20"/>
          <w:w w:val="105"/>
        </w:rPr>
        <w:t>los emprendedores</w:t>
      </w:r>
      <w:r>
        <w:rPr>
          <w:color w:val="231F20"/>
          <w:spacing w:val="-8"/>
          <w:w w:val="105"/>
        </w:rPr>
        <w:t> </w:t>
      </w:r>
      <w:r>
        <w:rPr>
          <w:color w:val="231F20"/>
          <w:w w:val="105"/>
        </w:rPr>
        <w:t>que</w:t>
      </w:r>
      <w:r>
        <w:rPr>
          <w:color w:val="231F20"/>
          <w:spacing w:val="-8"/>
          <w:w w:val="105"/>
        </w:rPr>
        <w:t> </w:t>
      </w:r>
      <w:r>
        <w:rPr>
          <w:color w:val="231F20"/>
          <w:w w:val="105"/>
        </w:rPr>
        <w:t>construyen</w:t>
      </w:r>
      <w:r>
        <w:rPr>
          <w:color w:val="231F20"/>
          <w:spacing w:val="-8"/>
          <w:w w:val="105"/>
        </w:rPr>
        <w:t> </w:t>
      </w:r>
      <w:r>
        <w:rPr>
          <w:color w:val="231F20"/>
          <w:w w:val="105"/>
        </w:rPr>
        <w:t>mejores</w:t>
      </w:r>
      <w:r>
        <w:rPr>
          <w:color w:val="231F20"/>
          <w:spacing w:val="-8"/>
          <w:w w:val="105"/>
        </w:rPr>
        <w:t> </w:t>
      </w:r>
      <w:r>
        <w:rPr>
          <w:color w:val="231F20"/>
          <w:w w:val="105"/>
        </w:rPr>
        <w:t>modos</w:t>
      </w:r>
      <w:r>
        <w:rPr>
          <w:color w:val="231F20"/>
          <w:spacing w:val="-8"/>
          <w:w w:val="105"/>
        </w:rPr>
        <w:t> </w:t>
      </w:r>
      <w:r>
        <w:rPr>
          <w:color w:val="231F20"/>
          <w:w w:val="105"/>
        </w:rPr>
        <w:t>de</w:t>
      </w:r>
      <w:r>
        <w:rPr>
          <w:color w:val="231F20"/>
          <w:spacing w:val="-8"/>
          <w:w w:val="105"/>
        </w:rPr>
        <w:t> </w:t>
      </w:r>
      <w:r>
        <w:rPr>
          <w:color w:val="231F20"/>
          <w:w w:val="105"/>
        </w:rPr>
        <w:t>vida,</w:t>
      </w:r>
      <w:r>
        <w:rPr>
          <w:color w:val="231F20"/>
          <w:spacing w:val="-14"/>
          <w:w w:val="105"/>
        </w:rPr>
        <w:t> </w:t>
      </w:r>
      <w:r>
        <w:rPr>
          <w:color w:val="231F20"/>
          <w:w w:val="105"/>
        </w:rPr>
        <w:t>o</w:t>
      </w:r>
      <w:r>
        <w:rPr>
          <w:color w:val="231F20"/>
          <w:spacing w:val="-8"/>
          <w:w w:val="105"/>
        </w:rPr>
        <w:t> </w:t>
      </w:r>
      <w:r>
        <w:rPr>
          <w:color w:val="231F20"/>
          <w:w w:val="105"/>
        </w:rPr>
        <w:t>consiguen</w:t>
      </w:r>
      <w:r>
        <w:rPr>
          <w:color w:val="231F20"/>
          <w:spacing w:val="-8"/>
          <w:w w:val="105"/>
        </w:rPr>
        <w:t> </w:t>
      </w:r>
      <w:r>
        <w:rPr>
          <w:color w:val="231F20"/>
          <w:w w:val="105"/>
        </w:rPr>
        <w:t>un mayor</w:t>
      </w:r>
      <w:r>
        <w:rPr>
          <w:color w:val="231F20"/>
          <w:spacing w:val="-17"/>
          <w:w w:val="105"/>
        </w:rPr>
        <w:t> </w:t>
      </w:r>
      <w:r>
        <w:rPr>
          <w:color w:val="231F20"/>
          <w:w w:val="105"/>
        </w:rPr>
        <w:t>nivel</w:t>
      </w:r>
      <w:r>
        <w:rPr>
          <w:color w:val="231F20"/>
          <w:spacing w:val="-17"/>
          <w:w w:val="105"/>
        </w:rPr>
        <w:t> </w:t>
      </w:r>
      <w:r>
        <w:rPr>
          <w:color w:val="231F20"/>
          <w:w w:val="105"/>
        </w:rPr>
        <w:t>de</w:t>
      </w:r>
      <w:r>
        <w:rPr>
          <w:color w:val="231F20"/>
          <w:spacing w:val="-17"/>
          <w:w w:val="105"/>
        </w:rPr>
        <w:t> </w:t>
      </w:r>
      <w:r>
        <w:rPr>
          <w:color w:val="231F20"/>
          <w:w w:val="105"/>
        </w:rPr>
        <w:t>sostenibilidad,</w:t>
      </w:r>
      <w:r>
        <w:rPr>
          <w:color w:val="231F20"/>
          <w:spacing w:val="-22"/>
          <w:w w:val="105"/>
        </w:rPr>
        <w:t> </w:t>
      </w:r>
      <w:r>
        <w:rPr>
          <w:color w:val="231F20"/>
          <w:w w:val="105"/>
        </w:rPr>
        <w:t>sirvan</w:t>
      </w:r>
      <w:r>
        <w:rPr>
          <w:color w:val="231F20"/>
          <w:spacing w:val="-17"/>
          <w:w w:val="105"/>
        </w:rPr>
        <w:t> </w:t>
      </w:r>
      <w:r>
        <w:rPr>
          <w:color w:val="231F20"/>
          <w:w w:val="105"/>
        </w:rPr>
        <w:t>para</w:t>
      </w:r>
      <w:r>
        <w:rPr>
          <w:color w:val="231F20"/>
          <w:spacing w:val="-17"/>
          <w:w w:val="105"/>
        </w:rPr>
        <w:t> </w:t>
      </w:r>
      <w:r>
        <w:rPr>
          <w:color w:val="231F20"/>
          <w:w w:val="105"/>
        </w:rPr>
        <w:t>motivar</w:t>
      </w:r>
      <w:r>
        <w:rPr>
          <w:color w:val="231F20"/>
          <w:spacing w:val="26"/>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w w:val="105"/>
        </w:rPr>
        <w:t>demás.</w:t>
      </w:r>
    </w:p>
    <w:p>
      <w:pPr>
        <w:pStyle w:val="BodyText"/>
        <w:rPr>
          <w:sz w:val="20"/>
        </w:rPr>
      </w:pPr>
    </w:p>
    <w:p>
      <w:pPr>
        <w:pStyle w:val="BodyText"/>
        <w:spacing w:before="9"/>
        <w:rPr>
          <w:sz w:val="20"/>
        </w:rPr>
      </w:pPr>
    </w:p>
    <w:p>
      <w:pPr>
        <w:pStyle w:val="Heading3"/>
        <w:ind w:left="1808"/>
      </w:pPr>
      <w:r>
        <w:rPr>
          <w:color w:val="231F20"/>
        </w:rPr>
        <w:t>Bibliografía</w:t>
      </w:r>
    </w:p>
    <w:p>
      <w:pPr>
        <w:pStyle w:val="BodyText"/>
        <w:rPr>
          <w:rFonts w:ascii="Arial"/>
          <w:b/>
          <w:sz w:val="22"/>
        </w:rPr>
      </w:pPr>
    </w:p>
    <w:p>
      <w:pPr>
        <w:spacing w:line="259" w:lineRule="auto" w:before="160"/>
        <w:ind w:left="2545" w:right="1678" w:hanging="737"/>
        <w:jc w:val="both"/>
        <w:rPr>
          <w:sz w:val="21"/>
        </w:rPr>
      </w:pPr>
      <w:r>
        <w:rPr>
          <w:spacing w:val="-3"/>
          <w:sz w:val="21"/>
        </w:rPr>
        <w:t>Alanís, </w:t>
      </w:r>
      <w:r>
        <w:rPr>
          <w:spacing w:val="-4"/>
          <w:sz w:val="21"/>
        </w:rPr>
        <w:t>Fernando, </w:t>
      </w:r>
      <w:r>
        <w:rPr>
          <w:spacing w:val="-3"/>
          <w:sz w:val="21"/>
        </w:rPr>
        <w:t>(2007), </w:t>
      </w:r>
      <w:r>
        <w:rPr>
          <w:rFonts w:ascii="Arial" w:hAnsi="Arial"/>
          <w:i/>
          <w:sz w:val="21"/>
        </w:rPr>
        <w:t>Que se </w:t>
      </w:r>
      <w:r>
        <w:rPr>
          <w:rFonts w:ascii="Arial" w:hAnsi="Arial"/>
          <w:i/>
          <w:spacing w:val="-3"/>
          <w:sz w:val="21"/>
        </w:rPr>
        <w:t>queden allá. </w:t>
      </w:r>
      <w:r>
        <w:rPr>
          <w:rFonts w:ascii="Arial" w:hAnsi="Arial"/>
          <w:i/>
          <w:sz w:val="21"/>
        </w:rPr>
        <w:t>El </w:t>
      </w:r>
      <w:r>
        <w:rPr>
          <w:rFonts w:ascii="Arial" w:hAnsi="Arial"/>
          <w:i/>
          <w:spacing w:val="-3"/>
          <w:sz w:val="21"/>
        </w:rPr>
        <w:t>gobierno </w:t>
      </w:r>
      <w:r>
        <w:rPr>
          <w:rFonts w:ascii="Arial" w:hAnsi="Arial"/>
          <w:i/>
          <w:sz w:val="21"/>
        </w:rPr>
        <w:t>de </w:t>
      </w:r>
      <w:r>
        <w:rPr>
          <w:rFonts w:ascii="Arial" w:hAnsi="Arial"/>
          <w:i/>
          <w:spacing w:val="-3"/>
          <w:sz w:val="21"/>
        </w:rPr>
        <w:t>México </w:t>
      </w:r>
      <w:r>
        <w:rPr>
          <w:rFonts w:ascii="Arial" w:hAnsi="Arial"/>
          <w:i/>
          <w:sz w:val="21"/>
        </w:rPr>
        <w:t>y </w:t>
      </w:r>
      <w:r>
        <w:rPr>
          <w:rFonts w:ascii="Arial" w:hAnsi="Arial"/>
          <w:i/>
          <w:spacing w:val="-3"/>
          <w:sz w:val="21"/>
        </w:rPr>
        <w:t>la </w:t>
      </w:r>
      <w:r>
        <w:rPr>
          <w:rFonts w:ascii="Arial" w:hAnsi="Arial"/>
          <w:i/>
          <w:spacing w:val="-4"/>
          <w:sz w:val="21"/>
        </w:rPr>
        <w:t>repatriación </w:t>
      </w:r>
      <w:r>
        <w:rPr>
          <w:rFonts w:ascii="Arial" w:hAnsi="Arial"/>
          <w:i/>
          <w:sz w:val="21"/>
        </w:rPr>
        <w:t>de </w:t>
      </w:r>
      <w:r>
        <w:rPr>
          <w:rFonts w:ascii="Arial" w:hAnsi="Arial"/>
          <w:i/>
          <w:spacing w:val="-3"/>
          <w:sz w:val="21"/>
        </w:rPr>
        <w:t>mexicanos </w:t>
      </w:r>
      <w:r>
        <w:rPr>
          <w:rFonts w:ascii="Arial" w:hAnsi="Arial"/>
          <w:i/>
          <w:sz w:val="21"/>
        </w:rPr>
        <w:t>en </w:t>
      </w:r>
      <w:r>
        <w:rPr>
          <w:rFonts w:ascii="Arial" w:hAnsi="Arial"/>
          <w:i/>
          <w:spacing w:val="-3"/>
          <w:sz w:val="21"/>
        </w:rPr>
        <w:t>Estados Unidos (1934-1940), </w:t>
      </w:r>
      <w:r>
        <w:rPr>
          <w:spacing w:val="-4"/>
          <w:sz w:val="21"/>
        </w:rPr>
        <w:t>Tijuana, </w:t>
      </w:r>
      <w:r>
        <w:rPr>
          <w:spacing w:val="-3"/>
          <w:sz w:val="21"/>
        </w:rPr>
        <w:t>México: </w:t>
      </w:r>
      <w:r>
        <w:rPr>
          <w:spacing w:val="-3"/>
          <w:sz w:val="17"/>
        </w:rPr>
        <w:t>COLEF</w:t>
      </w:r>
      <w:r>
        <w:rPr>
          <w:spacing w:val="-3"/>
          <w:sz w:val="21"/>
        </w:rPr>
        <w:t>/</w:t>
      </w:r>
      <w:r>
        <w:rPr>
          <w:spacing w:val="-3"/>
          <w:sz w:val="17"/>
        </w:rPr>
        <w:t>COLSAN</w:t>
      </w:r>
      <w:r>
        <w:rPr>
          <w:spacing w:val="-3"/>
          <w:sz w:val="21"/>
        </w:rPr>
        <w:t>.</w:t>
      </w:r>
    </w:p>
    <w:p>
      <w:pPr>
        <w:pStyle w:val="BodyText"/>
        <w:spacing w:line="261" w:lineRule="auto" w:before="3"/>
        <w:ind w:left="1837" w:right="1681"/>
        <w:jc w:val="right"/>
        <w:rPr>
          <w:rFonts w:ascii="Arial" w:hAnsi="Arial"/>
          <w:i/>
        </w:rPr>
      </w:pPr>
      <w:r>
        <w:rPr/>
        <w:pict>
          <v:line style="position:absolute;mso-position-horizontal-relative:page;mso-position-vertical-relative:paragraph;z-index:-459112" from="15pt,137.432877pt" to="0pt,137.432877pt" stroked="true" strokeweight=".25pt" strokecolor="#000000">
            <w10:wrap type="none"/>
          </v:line>
        </w:pict>
      </w:r>
      <w:r>
        <w:rPr/>
        <w:pict>
          <v:line style="position:absolute;mso-position-horizontal-relative:page;mso-position-vertical-relative:paragraph;z-index:31096" from="508.890015pt,137.432877pt" to="523.890015pt,137.432877pt" stroked="true" strokeweight=".25pt" strokecolor="#000000">
            <w10:wrap type="none"/>
          </v:line>
        </w:pict>
      </w:r>
      <w:r>
        <w:rPr>
          <w:spacing w:val="-3"/>
        </w:rPr>
        <w:t>Álvarez, Hipólito, (2009), “Migración </w:t>
      </w:r>
      <w:r>
        <w:rPr/>
        <w:t>en </w:t>
      </w:r>
      <w:r>
        <w:rPr>
          <w:spacing w:val="-3"/>
        </w:rPr>
        <w:t>tierra caliente:</w:t>
      </w:r>
      <w:r>
        <w:rPr>
          <w:spacing w:val="33"/>
        </w:rPr>
        <w:t> </w:t>
      </w:r>
      <w:r>
        <w:rPr/>
        <w:t>una </w:t>
      </w:r>
      <w:r>
        <w:rPr>
          <w:spacing w:val="18"/>
        </w:rPr>
        <w:t> </w:t>
      </w:r>
      <w:r>
        <w:rPr>
          <w:spacing w:val="-3"/>
        </w:rPr>
        <w:t>perspectiva</w:t>
      </w:r>
      <w:r>
        <w:rPr>
          <w:spacing w:val="-3"/>
          <w:w w:val="103"/>
        </w:rPr>
        <w:t> </w:t>
      </w:r>
      <w:r>
        <w:rPr>
          <w:spacing w:val="-3"/>
        </w:rPr>
        <w:t>sobre </w:t>
      </w:r>
      <w:r>
        <w:rPr>
          <w:spacing w:val="-6"/>
        </w:rPr>
        <w:t>Tlatlaya”, </w:t>
      </w:r>
      <w:r>
        <w:rPr/>
        <w:t>en </w:t>
      </w:r>
      <w:r>
        <w:rPr>
          <w:spacing w:val="-3"/>
        </w:rPr>
        <w:t>Norma Baca, </w:t>
      </w:r>
      <w:r>
        <w:rPr>
          <w:spacing w:val="-4"/>
        </w:rPr>
        <w:t>Francisco Herrera </w:t>
      </w:r>
      <w:r>
        <w:rPr/>
        <w:t>y</w:t>
      </w:r>
      <w:r>
        <w:rPr>
          <w:spacing w:val="-12"/>
        </w:rPr>
        <w:t> </w:t>
      </w:r>
      <w:r>
        <w:rPr>
          <w:spacing w:val="-3"/>
        </w:rPr>
        <w:t>Rocío</w:t>
      </w:r>
      <w:r>
        <w:rPr>
          <w:spacing w:val="-2"/>
        </w:rPr>
        <w:t> </w:t>
      </w:r>
      <w:r>
        <w:rPr>
          <w:spacing w:val="-3"/>
        </w:rPr>
        <w:t>González</w:t>
      </w:r>
      <w:r>
        <w:rPr>
          <w:spacing w:val="-3"/>
          <w:w w:val="99"/>
        </w:rPr>
        <w:t> </w:t>
      </w:r>
      <w:r>
        <w:rPr>
          <w:spacing w:val="-3"/>
        </w:rPr>
        <w:t>(coords.), </w:t>
      </w:r>
      <w:r>
        <w:rPr>
          <w:rFonts w:ascii="Arial" w:hAnsi="Arial"/>
          <w:i/>
          <w:spacing w:val="-3"/>
        </w:rPr>
        <w:t>Migración, democracia </w:t>
      </w:r>
      <w:r>
        <w:rPr>
          <w:rFonts w:ascii="Arial" w:hAnsi="Arial"/>
          <w:i/>
        </w:rPr>
        <w:t>y </w:t>
      </w:r>
      <w:r>
        <w:rPr>
          <w:rFonts w:ascii="Arial" w:hAnsi="Arial"/>
          <w:i/>
          <w:spacing w:val="-3"/>
        </w:rPr>
        <w:t>desarrollo</w:t>
      </w:r>
      <w:r>
        <w:rPr>
          <w:spacing w:val="-3"/>
        </w:rPr>
        <w:t>, </w:t>
      </w:r>
      <w:r>
        <w:rPr>
          <w:spacing w:val="-6"/>
        </w:rPr>
        <w:t>Toluca,</w:t>
      </w:r>
      <w:r>
        <w:rPr>
          <w:spacing w:val="38"/>
        </w:rPr>
        <w:t> </w:t>
      </w:r>
      <w:r>
        <w:rPr>
          <w:spacing w:val="-3"/>
        </w:rPr>
        <w:t>México:</w:t>
      </w:r>
      <w:r>
        <w:rPr>
          <w:spacing w:val="12"/>
        </w:rPr>
        <w:t> </w:t>
      </w:r>
      <w:r>
        <w:rPr>
          <w:sz w:val="17"/>
        </w:rPr>
        <w:t>IEEM</w:t>
      </w:r>
      <w:r>
        <w:rPr/>
        <w:t>.</w:t>
      </w:r>
      <w:r>
        <w:rPr>
          <w:w w:val="93"/>
        </w:rPr>
        <w:t> </w:t>
      </w:r>
      <w:r>
        <w:rPr/>
        <w:t>Athukorala, Premachandra, (1990), “International contract and</w:t>
      </w:r>
      <w:r>
        <w:rPr>
          <w:spacing w:val="8"/>
        </w:rPr>
        <w:t> </w:t>
      </w:r>
      <w:r>
        <w:rPr/>
        <w:t>the</w:t>
      </w:r>
      <w:r>
        <w:rPr>
          <w:spacing w:val="33"/>
        </w:rPr>
        <w:t> </w:t>
      </w:r>
      <w:r>
        <w:rPr/>
        <w:t>reinte-</w:t>
      </w:r>
      <w:r>
        <w:rPr>
          <w:w w:val="96"/>
        </w:rPr>
        <w:t> </w:t>
      </w:r>
      <w:r>
        <w:rPr/>
        <w:t>gration of  return migrants: the experience of  Sri    </w:t>
      </w:r>
      <w:r>
        <w:rPr>
          <w:spacing w:val="33"/>
        </w:rPr>
        <w:t> </w:t>
      </w:r>
      <w:r>
        <w:rPr>
          <w:spacing w:val="-5"/>
        </w:rPr>
        <w:t>Lanka”, </w:t>
      </w:r>
      <w:r>
        <w:rPr>
          <w:rFonts w:ascii="Arial" w:hAnsi="Arial"/>
          <w:i/>
        </w:rPr>
        <w:t>Interna-</w:t>
      </w:r>
    </w:p>
    <w:p>
      <w:pPr>
        <w:spacing w:after="0" w:line="261" w:lineRule="auto"/>
        <w:jc w:val="right"/>
        <w:rPr>
          <w:rFonts w:ascii="Arial" w:hAnsi="Arial"/>
        </w:rPr>
        <w:sectPr>
          <w:pgSz w:w="10480" w:h="14730"/>
          <w:pgMar w:header="0" w:footer="103" w:top="300" w:bottom="300" w:left="0" w:right="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7"/>
        <w:rPr>
          <w:rFonts w:ascii="Arial"/>
          <w:i/>
          <w:sz w:val="29"/>
        </w:rPr>
      </w:pPr>
    </w:p>
    <w:p>
      <w:pPr>
        <w:spacing w:line="259" w:lineRule="auto" w:before="57"/>
        <w:ind w:left="2460" w:right="1683" w:firstLine="0"/>
        <w:jc w:val="left"/>
        <w:rPr>
          <w:sz w:val="21"/>
        </w:rPr>
      </w:pPr>
      <w:r>
        <w:rPr/>
        <w:pict>
          <v:line style="position:absolute;mso-position-horizontal-relative:page;mso-position-vertical-relative:paragraph;z-index:31144" from="15pt,-68.667252pt" to="0pt,-68.667252pt" stroked="true" strokeweight=".25pt" strokecolor="#000000">
            <w10:wrap type="none"/>
          </v:line>
        </w:pict>
      </w:r>
      <w:r>
        <w:rPr/>
        <w:pict>
          <v:line style="position:absolute;mso-position-horizontal-relative:page;mso-position-vertical-relative:paragraph;z-index:31168" from="508.890015pt,-68.667252pt" to="523.890015pt,-68.667252pt" stroked="true" strokeweight=".25pt" strokecolor="#000000">
            <w10:wrap type="none"/>
          </v:line>
        </w:pict>
      </w:r>
      <w:r>
        <w:rPr>
          <w:rFonts w:ascii="Arial" w:hAnsi="Arial"/>
          <w:i/>
          <w:sz w:val="21"/>
        </w:rPr>
        <w:t>tional Migration Review</w:t>
      </w:r>
      <w:r>
        <w:rPr>
          <w:sz w:val="21"/>
        </w:rPr>
        <w:t>, </w:t>
      </w:r>
      <w:r>
        <w:rPr>
          <w:rFonts w:ascii="Arial" w:hAnsi="Arial"/>
          <w:i/>
          <w:sz w:val="21"/>
        </w:rPr>
        <w:t>Special issue: Labor recruiting organiza- </w:t>
      </w:r>
      <w:r>
        <w:rPr>
          <w:rFonts w:ascii="Arial" w:hAnsi="Arial"/>
          <w:i/>
          <w:sz w:val="21"/>
        </w:rPr>
        <w:t>tions in the developing world (Sumer)</w:t>
      </w:r>
      <w:r>
        <w:rPr>
          <w:sz w:val="21"/>
        </w:rPr>
        <w:t>, vol. 24, núm.  2.</w:t>
      </w:r>
    </w:p>
    <w:p>
      <w:pPr>
        <w:spacing w:line="241" w:lineRule="exact" w:before="0"/>
        <w:ind w:left="1723" w:right="0" w:firstLine="0"/>
        <w:jc w:val="left"/>
        <w:rPr>
          <w:rFonts w:ascii="Arial"/>
          <w:i/>
          <w:sz w:val="21"/>
        </w:rPr>
      </w:pPr>
      <w:r>
        <w:rPr>
          <w:color w:val="231F20"/>
          <w:sz w:val="21"/>
        </w:rPr>
        <w:t>Banco Mundial (</w:t>
      </w:r>
      <w:r>
        <w:rPr>
          <w:color w:val="231F20"/>
          <w:sz w:val="17"/>
        </w:rPr>
        <w:t>BM</w:t>
      </w:r>
      <w:r>
        <w:rPr>
          <w:color w:val="231F20"/>
          <w:sz w:val="21"/>
        </w:rPr>
        <w:t>), (2001), </w:t>
      </w:r>
      <w:r>
        <w:rPr>
          <w:rFonts w:ascii="Arial"/>
          <w:i/>
          <w:color w:val="231F20"/>
          <w:sz w:val="21"/>
        </w:rPr>
        <w:t>Informe sobre el desarrollo mundial 2000/2001.</w:t>
      </w:r>
    </w:p>
    <w:p>
      <w:pPr>
        <w:spacing w:before="18"/>
        <w:ind w:left="2460" w:right="0" w:firstLine="0"/>
        <w:jc w:val="left"/>
        <w:rPr>
          <w:sz w:val="21"/>
        </w:rPr>
      </w:pPr>
      <w:r>
        <w:rPr>
          <w:rFonts w:ascii="Arial"/>
          <w:i/>
          <w:color w:val="231F20"/>
          <w:w w:val="105"/>
          <w:sz w:val="21"/>
        </w:rPr>
        <w:t>Lucha contra la pobreza</w:t>
      </w:r>
      <w:r>
        <w:rPr>
          <w:color w:val="231F20"/>
          <w:w w:val="105"/>
          <w:sz w:val="21"/>
        </w:rPr>
        <w:t>, Washington: </w:t>
      </w:r>
      <w:r>
        <w:rPr>
          <w:color w:val="231F20"/>
          <w:w w:val="105"/>
          <w:sz w:val="17"/>
        </w:rPr>
        <w:t>BM</w:t>
      </w:r>
      <w:r>
        <w:rPr>
          <w:color w:val="231F20"/>
          <w:w w:val="105"/>
          <w:sz w:val="21"/>
        </w:rPr>
        <w:t>/Mundi-prensa.</w:t>
      </w:r>
    </w:p>
    <w:p>
      <w:pPr>
        <w:spacing w:line="261" w:lineRule="auto" w:before="22"/>
        <w:ind w:left="2461" w:right="1835" w:hanging="738"/>
        <w:jc w:val="both"/>
        <w:rPr>
          <w:sz w:val="21"/>
        </w:rPr>
      </w:pPr>
      <w:r>
        <w:rPr>
          <w:sz w:val="17"/>
        </w:rPr>
        <w:t>BBVA </w:t>
      </w:r>
      <w:r>
        <w:rPr>
          <w:sz w:val="21"/>
        </w:rPr>
        <w:t>Research</w:t>
      </w:r>
      <w:r>
        <w:rPr>
          <w:sz w:val="17"/>
        </w:rPr>
        <w:t>, </w:t>
      </w:r>
      <w:r>
        <w:rPr>
          <w:sz w:val="21"/>
        </w:rPr>
        <w:t>(2012), </w:t>
      </w:r>
      <w:r>
        <w:rPr>
          <w:color w:val="231F20"/>
          <w:sz w:val="21"/>
        </w:rPr>
        <w:t>“Los migrantes que regresan ¿Quiénes y en qué condiciones laborales lo hacen?”, </w:t>
      </w:r>
      <w:r>
        <w:rPr>
          <w:rFonts w:ascii="Arial" w:hAnsi="Arial"/>
          <w:i/>
          <w:sz w:val="21"/>
        </w:rPr>
        <w:t>Situación Migración México</w:t>
      </w:r>
      <w:r>
        <w:rPr>
          <w:sz w:val="21"/>
        </w:rPr>
        <w:t>, ju- lio, México: </w:t>
      </w:r>
      <w:r>
        <w:rPr>
          <w:sz w:val="17"/>
        </w:rPr>
        <w:t>BBVA </w:t>
      </w:r>
      <w:r>
        <w:rPr>
          <w:sz w:val="21"/>
        </w:rPr>
        <w:t>Research/Fundación </w:t>
      </w:r>
      <w:r>
        <w:rPr>
          <w:sz w:val="17"/>
        </w:rPr>
        <w:t>BBVA </w:t>
      </w:r>
      <w:r>
        <w:rPr>
          <w:sz w:val="21"/>
        </w:rPr>
        <w:t>Bancomer.</w:t>
      </w:r>
    </w:p>
    <w:p>
      <w:pPr>
        <w:pStyle w:val="BodyText"/>
        <w:spacing w:line="261" w:lineRule="auto" w:before="1"/>
        <w:ind w:left="2461" w:right="1835" w:hanging="738"/>
        <w:jc w:val="both"/>
      </w:pPr>
      <w:r>
        <w:rPr>
          <w:color w:val="231F20"/>
          <w:spacing w:val="-3"/>
          <w:w w:val="105"/>
        </w:rPr>
        <w:t>Cano,</w:t>
      </w:r>
      <w:r>
        <w:rPr>
          <w:color w:val="231F20"/>
          <w:spacing w:val="-28"/>
          <w:w w:val="105"/>
        </w:rPr>
        <w:t> </w:t>
      </w:r>
      <w:r>
        <w:rPr>
          <w:color w:val="231F20"/>
          <w:spacing w:val="-6"/>
          <w:w w:val="105"/>
        </w:rPr>
        <w:t>Toni,</w:t>
      </w:r>
      <w:r>
        <w:rPr>
          <w:color w:val="231F20"/>
          <w:spacing w:val="-24"/>
          <w:w w:val="105"/>
        </w:rPr>
        <w:t> </w:t>
      </w:r>
      <w:r>
        <w:rPr>
          <w:color w:val="231F20"/>
          <w:w w:val="105"/>
        </w:rPr>
        <w:t>(2010),</w:t>
      </w:r>
      <w:r>
        <w:rPr>
          <w:color w:val="231F20"/>
          <w:spacing w:val="-24"/>
          <w:w w:val="105"/>
        </w:rPr>
        <w:t> </w:t>
      </w:r>
      <w:r>
        <w:rPr>
          <w:color w:val="231F20"/>
          <w:spacing w:val="-4"/>
          <w:w w:val="105"/>
        </w:rPr>
        <w:t>“Amargas</w:t>
      </w:r>
      <w:r>
        <w:rPr>
          <w:color w:val="231F20"/>
          <w:spacing w:val="-20"/>
          <w:w w:val="105"/>
        </w:rPr>
        <w:t> </w:t>
      </w:r>
      <w:r>
        <w:rPr>
          <w:color w:val="231F20"/>
          <w:w w:val="105"/>
        </w:rPr>
        <w:t>secuelas</w:t>
      </w:r>
      <w:r>
        <w:rPr>
          <w:color w:val="231F20"/>
          <w:spacing w:val="-20"/>
          <w:w w:val="105"/>
        </w:rPr>
        <w:t> </w:t>
      </w:r>
      <w:r>
        <w:rPr>
          <w:color w:val="231F20"/>
          <w:w w:val="105"/>
        </w:rPr>
        <w:t>del</w:t>
      </w:r>
      <w:r>
        <w:rPr>
          <w:color w:val="231F20"/>
          <w:spacing w:val="-20"/>
          <w:w w:val="105"/>
        </w:rPr>
        <w:t> </w:t>
      </w:r>
      <w:r>
        <w:rPr>
          <w:color w:val="231F20"/>
          <w:w w:val="105"/>
        </w:rPr>
        <w:t>fenómeno</w:t>
      </w:r>
      <w:r>
        <w:rPr>
          <w:color w:val="231F20"/>
          <w:spacing w:val="-20"/>
          <w:w w:val="105"/>
        </w:rPr>
        <w:t> </w:t>
      </w:r>
      <w:r>
        <w:rPr>
          <w:color w:val="231F20"/>
          <w:spacing w:val="-3"/>
          <w:w w:val="105"/>
        </w:rPr>
        <w:t>migratorio</w:t>
      </w:r>
      <w:r>
        <w:rPr>
          <w:color w:val="231F20"/>
          <w:spacing w:val="-20"/>
          <w:w w:val="105"/>
        </w:rPr>
        <w:t> </w:t>
      </w:r>
      <w:r>
        <w:rPr>
          <w:color w:val="231F20"/>
          <w:w w:val="105"/>
        </w:rPr>
        <w:t>en</w:t>
      </w:r>
      <w:r>
        <w:rPr>
          <w:color w:val="231F20"/>
          <w:spacing w:val="-20"/>
          <w:w w:val="105"/>
        </w:rPr>
        <w:t> </w:t>
      </w:r>
      <w:r>
        <w:rPr>
          <w:color w:val="231F20"/>
          <w:w w:val="105"/>
        </w:rPr>
        <w:t>Méxi- co”</w:t>
      </w:r>
      <w:r>
        <w:rPr>
          <w:rFonts w:ascii="Arial" w:hAnsi="Arial"/>
          <w:i/>
          <w:color w:val="231F20"/>
          <w:w w:val="105"/>
        </w:rPr>
        <w:t>, El </w:t>
      </w:r>
      <w:r>
        <w:rPr>
          <w:rFonts w:ascii="Arial" w:hAnsi="Arial"/>
          <w:i/>
          <w:color w:val="231F20"/>
          <w:spacing w:val="-4"/>
          <w:w w:val="105"/>
        </w:rPr>
        <w:t>Periódico</w:t>
      </w:r>
      <w:r>
        <w:rPr>
          <w:color w:val="231F20"/>
          <w:spacing w:val="-4"/>
          <w:w w:val="105"/>
        </w:rPr>
        <w:t>, </w:t>
      </w:r>
      <w:r>
        <w:rPr>
          <w:color w:val="231F20"/>
          <w:spacing w:val="-3"/>
          <w:w w:val="105"/>
        </w:rPr>
        <w:t>recuperado </w:t>
      </w:r>
      <w:r>
        <w:rPr>
          <w:color w:val="231F20"/>
          <w:w w:val="105"/>
        </w:rPr>
        <w:t>de </w:t>
      </w:r>
      <w:hyperlink r:id="rId308">
        <w:r>
          <w:rPr>
            <w:color w:val="231F20"/>
            <w:spacing w:val="-3"/>
            <w:w w:val="105"/>
          </w:rPr>
          <w:t>http://www.elperiodico.com/es/</w:t>
        </w:r>
      </w:hyperlink>
      <w:r>
        <w:rPr>
          <w:color w:val="231F20"/>
          <w:spacing w:val="-3"/>
          <w:w w:val="105"/>
        </w:rPr>
        <w:t> </w:t>
      </w:r>
      <w:r>
        <w:rPr>
          <w:color w:val="231F20"/>
          <w:spacing w:val="-1"/>
        </w:rPr>
        <w:t>noticias/internacional/20100824/quien-este-senor/448144.shtml</w:t>
      </w:r>
    </w:p>
    <w:p>
      <w:pPr>
        <w:pStyle w:val="BodyText"/>
        <w:spacing w:line="261" w:lineRule="auto" w:before="1"/>
        <w:ind w:left="2461" w:right="1834" w:hanging="738"/>
        <w:jc w:val="both"/>
      </w:pPr>
      <w:r>
        <w:rPr>
          <w:color w:val="231F20"/>
          <w:w w:val="105"/>
        </w:rPr>
        <w:t>Callea,</w:t>
      </w:r>
      <w:r>
        <w:rPr>
          <w:color w:val="231F20"/>
          <w:spacing w:val="-17"/>
          <w:w w:val="105"/>
        </w:rPr>
        <w:t> </w:t>
      </w:r>
      <w:r>
        <w:rPr>
          <w:color w:val="231F20"/>
          <w:w w:val="105"/>
        </w:rPr>
        <w:t>Saverio,</w:t>
      </w:r>
      <w:r>
        <w:rPr>
          <w:color w:val="231F20"/>
          <w:spacing w:val="-17"/>
          <w:w w:val="105"/>
        </w:rPr>
        <w:t> </w:t>
      </w:r>
      <w:r>
        <w:rPr>
          <w:color w:val="231F20"/>
          <w:w w:val="105"/>
        </w:rPr>
        <w:t>(1986),</w:t>
      </w:r>
      <w:r>
        <w:rPr>
          <w:color w:val="231F20"/>
          <w:spacing w:val="-17"/>
          <w:w w:val="105"/>
        </w:rPr>
        <w:t> </w:t>
      </w:r>
      <w:r>
        <w:rPr>
          <w:color w:val="231F20"/>
          <w:w w:val="105"/>
        </w:rPr>
        <w:t>“Different</w:t>
      </w:r>
      <w:r>
        <w:rPr>
          <w:color w:val="231F20"/>
          <w:spacing w:val="-13"/>
          <w:w w:val="105"/>
        </w:rPr>
        <w:t> </w:t>
      </w:r>
      <w:r>
        <w:rPr>
          <w:color w:val="231F20"/>
          <w:w w:val="105"/>
        </w:rPr>
        <w:t>forms,</w:t>
      </w:r>
      <w:r>
        <w:rPr>
          <w:color w:val="231F20"/>
          <w:spacing w:val="-17"/>
          <w:w w:val="105"/>
        </w:rPr>
        <w:t> </w:t>
      </w:r>
      <w:r>
        <w:rPr>
          <w:color w:val="231F20"/>
          <w:w w:val="105"/>
        </w:rPr>
        <w:t>reasons</w:t>
      </w:r>
      <w:r>
        <w:rPr>
          <w:color w:val="231F20"/>
          <w:spacing w:val="-13"/>
          <w:w w:val="105"/>
        </w:rPr>
        <w:t> </w:t>
      </w:r>
      <w:r>
        <w:rPr>
          <w:color w:val="231F20"/>
          <w:w w:val="105"/>
        </w:rPr>
        <w:t>and</w:t>
      </w:r>
      <w:r>
        <w:rPr>
          <w:color w:val="231F20"/>
          <w:spacing w:val="-13"/>
          <w:w w:val="105"/>
        </w:rPr>
        <w:t> </w:t>
      </w:r>
      <w:r>
        <w:rPr>
          <w:color w:val="231F20"/>
          <w:w w:val="105"/>
        </w:rPr>
        <w:t>motivations</w:t>
      </w:r>
      <w:r>
        <w:rPr>
          <w:color w:val="231F20"/>
          <w:spacing w:val="-13"/>
          <w:w w:val="105"/>
        </w:rPr>
        <w:t> </w:t>
      </w:r>
      <w:r>
        <w:rPr>
          <w:color w:val="231F20"/>
          <w:w w:val="105"/>
        </w:rPr>
        <w:t>for</w:t>
      </w:r>
      <w:r>
        <w:rPr>
          <w:color w:val="231F20"/>
          <w:spacing w:val="-13"/>
          <w:w w:val="105"/>
        </w:rPr>
        <w:t> </w:t>
      </w:r>
      <w:r>
        <w:rPr>
          <w:color w:val="231F20"/>
          <w:w w:val="105"/>
        </w:rPr>
        <w:t>re- turn</w:t>
      </w:r>
      <w:r>
        <w:rPr>
          <w:color w:val="231F20"/>
          <w:spacing w:val="-11"/>
          <w:w w:val="105"/>
        </w:rPr>
        <w:t> </w:t>
      </w:r>
      <w:r>
        <w:rPr>
          <w:color w:val="231F20"/>
          <w:w w:val="105"/>
        </w:rPr>
        <w:t>migration</w:t>
      </w:r>
      <w:r>
        <w:rPr>
          <w:color w:val="231F20"/>
          <w:spacing w:val="-11"/>
          <w:w w:val="105"/>
        </w:rPr>
        <w:t> </w:t>
      </w:r>
      <w:r>
        <w:rPr>
          <w:color w:val="231F20"/>
          <w:w w:val="105"/>
        </w:rPr>
        <w:t>of</w:t>
      </w:r>
      <w:r>
        <w:rPr>
          <w:color w:val="231F20"/>
          <w:spacing w:val="-5"/>
          <w:w w:val="105"/>
        </w:rPr>
        <w:t> </w:t>
      </w:r>
      <w:r>
        <w:rPr>
          <w:color w:val="231F20"/>
          <w:w w:val="105"/>
        </w:rPr>
        <w:t>persons</w:t>
      </w:r>
      <w:r>
        <w:rPr>
          <w:color w:val="231F20"/>
          <w:spacing w:val="-11"/>
          <w:w w:val="105"/>
        </w:rPr>
        <w:t> </w:t>
      </w:r>
      <w:r>
        <w:rPr>
          <w:color w:val="231F20"/>
          <w:w w:val="105"/>
        </w:rPr>
        <w:t>who</w:t>
      </w:r>
      <w:r>
        <w:rPr>
          <w:color w:val="231F20"/>
          <w:spacing w:val="-11"/>
          <w:w w:val="105"/>
        </w:rPr>
        <w:t> </w:t>
      </w:r>
      <w:r>
        <w:rPr>
          <w:color w:val="231F20"/>
          <w:w w:val="105"/>
        </w:rPr>
        <w:t>voluntarily</w:t>
      </w:r>
      <w:r>
        <w:rPr>
          <w:color w:val="231F20"/>
          <w:spacing w:val="-11"/>
          <w:w w:val="105"/>
        </w:rPr>
        <w:t> </w:t>
      </w:r>
      <w:r>
        <w:rPr>
          <w:color w:val="231F20"/>
          <w:w w:val="105"/>
        </w:rPr>
        <w:t>decide</w:t>
      </w:r>
      <w:r>
        <w:rPr>
          <w:color w:val="231F20"/>
          <w:spacing w:val="-11"/>
          <w:w w:val="105"/>
        </w:rPr>
        <w:t> </w:t>
      </w:r>
      <w:r>
        <w:rPr>
          <w:color w:val="231F20"/>
          <w:w w:val="105"/>
        </w:rPr>
        <w:t>to</w:t>
      </w:r>
      <w:r>
        <w:rPr>
          <w:color w:val="231F20"/>
          <w:spacing w:val="-11"/>
          <w:w w:val="105"/>
        </w:rPr>
        <w:t> </w:t>
      </w:r>
      <w:r>
        <w:rPr>
          <w:color w:val="231F20"/>
          <w:w w:val="105"/>
        </w:rPr>
        <w:t>return</w:t>
      </w:r>
      <w:r>
        <w:rPr>
          <w:color w:val="231F20"/>
          <w:spacing w:val="-11"/>
          <w:w w:val="105"/>
        </w:rPr>
        <w:t> </w:t>
      </w:r>
      <w:r>
        <w:rPr>
          <w:color w:val="231F20"/>
          <w:w w:val="105"/>
        </w:rPr>
        <w:t>to</w:t>
      </w:r>
      <w:r>
        <w:rPr>
          <w:color w:val="231F20"/>
          <w:spacing w:val="-11"/>
          <w:w w:val="105"/>
        </w:rPr>
        <w:t> </w:t>
      </w:r>
      <w:r>
        <w:rPr>
          <w:color w:val="231F20"/>
          <w:w w:val="105"/>
        </w:rPr>
        <w:t>their countries</w:t>
      </w:r>
      <w:r>
        <w:rPr>
          <w:color w:val="231F20"/>
          <w:spacing w:val="-11"/>
          <w:w w:val="105"/>
        </w:rPr>
        <w:t> </w:t>
      </w:r>
      <w:r>
        <w:rPr>
          <w:color w:val="231F20"/>
          <w:w w:val="105"/>
        </w:rPr>
        <w:t>of</w:t>
      </w:r>
      <w:r>
        <w:rPr>
          <w:color w:val="231F20"/>
          <w:spacing w:val="-6"/>
          <w:w w:val="105"/>
        </w:rPr>
        <w:t> </w:t>
      </w:r>
      <w:r>
        <w:rPr>
          <w:color w:val="231F20"/>
          <w:spacing w:val="-4"/>
          <w:w w:val="105"/>
        </w:rPr>
        <w:t>origin”,</w:t>
      </w:r>
      <w:r>
        <w:rPr>
          <w:color w:val="231F20"/>
          <w:spacing w:val="-16"/>
          <w:w w:val="105"/>
        </w:rPr>
        <w:t> </w:t>
      </w:r>
      <w:r>
        <w:rPr>
          <w:rFonts w:ascii="Arial" w:hAnsi="Arial"/>
          <w:i/>
          <w:color w:val="231F20"/>
          <w:w w:val="105"/>
        </w:rPr>
        <w:t>International</w:t>
      </w:r>
      <w:r>
        <w:rPr>
          <w:rFonts w:ascii="Arial" w:hAnsi="Arial"/>
          <w:i/>
          <w:color w:val="231F20"/>
          <w:spacing w:val="-13"/>
          <w:w w:val="105"/>
        </w:rPr>
        <w:t> </w:t>
      </w:r>
      <w:r>
        <w:rPr>
          <w:rFonts w:ascii="Arial" w:hAnsi="Arial"/>
          <w:i/>
          <w:color w:val="231F20"/>
          <w:w w:val="105"/>
        </w:rPr>
        <w:t>Migration,</w:t>
      </w:r>
      <w:r>
        <w:rPr>
          <w:rFonts w:ascii="Arial" w:hAnsi="Arial"/>
          <w:i/>
          <w:color w:val="231F20"/>
          <w:spacing w:val="-20"/>
          <w:w w:val="105"/>
        </w:rPr>
        <w:t> </w:t>
      </w:r>
      <w:r>
        <w:rPr>
          <w:color w:val="231F20"/>
          <w:w w:val="105"/>
        </w:rPr>
        <w:t>vol.</w:t>
      </w:r>
      <w:r>
        <w:rPr>
          <w:color w:val="231F20"/>
          <w:spacing w:val="-16"/>
          <w:w w:val="105"/>
        </w:rPr>
        <w:t> </w:t>
      </w:r>
      <w:r>
        <w:rPr>
          <w:color w:val="231F20"/>
          <w:w w:val="105"/>
        </w:rPr>
        <w:t>24,</w:t>
      </w:r>
      <w:r>
        <w:rPr>
          <w:color w:val="231F20"/>
          <w:spacing w:val="-16"/>
          <w:w w:val="105"/>
        </w:rPr>
        <w:t> </w:t>
      </w:r>
      <w:r>
        <w:rPr>
          <w:color w:val="231F20"/>
          <w:w w:val="105"/>
        </w:rPr>
        <w:t>núm.</w:t>
      </w:r>
      <w:r>
        <w:rPr>
          <w:color w:val="231F20"/>
          <w:spacing w:val="-16"/>
          <w:w w:val="105"/>
        </w:rPr>
        <w:t> </w:t>
      </w:r>
      <w:r>
        <w:rPr>
          <w:color w:val="231F20"/>
          <w:w w:val="105"/>
        </w:rPr>
        <w:t>1.</w:t>
      </w:r>
    </w:p>
    <w:p>
      <w:pPr>
        <w:pStyle w:val="BodyText"/>
        <w:spacing w:line="261" w:lineRule="auto"/>
        <w:ind w:left="2461" w:right="1819" w:hanging="738"/>
        <w:jc w:val="both"/>
      </w:pPr>
      <w:r>
        <w:rPr>
          <w:color w:val="231F20"/>
          <w:w w:val="105"/>
        </w:rPr>
        <w:t>Cave, Damien, (2011), “Better lives for Mexicans cut allure of going </w:t>
      </w:r>
      <w:r>
        <w:rPr>
          <w:color w:val="231F20"/>
          <w:spacing w:val="-5"/>
          <w:w w:val="105"/>
        </w:rPr>
        <w:t>north”, </w:t>
      </w:r>
      <w:r>
        <w:rPr>
          <w:rFonts w:ascii="Arial" w:hAnsi="Arial"/>
          <w:i/>
          <w:color w:val="231F20"/>
          <w:w w:val="105"/>
        </w:rPr>
        <w:t>The New </w:t>
      </w:r>
      <w:r>
        <w:rPr>
          <w:rFonts w:ascii="Arial" w:hAnsi="Arial"/>
          <w:i/>
          <w:color w:val="231F20"/>
          <w:spacing w:val="-4"/>
          <w:w w:val="105"/>
        </w:rPr>
        <w:t>York </w:t>
      </w:r>
      <w:r>
        <w:rPr>
          <w:rFonts w:ascii="Arial" w:hAnsi="Arial"/>
          <w:i/>
          <w:color w:val="231F20"/>
          <w:w w:val="105"/>
        </w:rPr>
        <w:t>Times</w:t>
      </w:r>
      <w:r>
        <w:rPr>
          <w:color w:val="231F20"/>
          <w:w w:val="105"/>
        </w:rPr>
        <w:t>, recuperado de</w:t>
      </w:r>
      <w:r>
        <w:rPr>
          <w:color w:val="231F20"/>
          <w:spacing w:val="-29"/>
          <w:w w:val="105"/>
        </w:rPr>
        <w:t> </w:t>
      </w:r>
      <w:r>
        <w:rPr>
          <w:color w:val="231F20"/>
          <w:w w:val="105"/>
        </w:rPr>
        <w:t>http://www.nytimes. </w:t>
      </w:r>
      <w:r>
        <w:rPr>
          <w:color w:val="231F20"/>
          <w:spacing w:val="10"/>
          <w:w w:val="105"/>
        </w:rPr>
        <w:t>com/interactive/2011/07/06/world/americas/immigration. </w:t>
      </w:r>
      <w:r>
        <w:rPr>
          <w:color w:val="231F20"/>
          <w:w w:val="105"/>
        </w:rPr>
        <w:t>html?ref=mexico</w:t>
      </w:r>
    </w:p>
    <w:p>
      <w:pPr>
        <w:spacing w:line="259" w:lineRule="auto" w:before="1"/>
        <w:ind w:left="2461" w:right="1829" w:hanging="738"/>
        <w:jc w:val="both"/>
        <w:rPr>
          <w:sz w:val="21"/>
        </w:rPr>
      </w:pPr>
      <w:r>
        <w:rPr>
          <w:color w:val="231F20"/>
          <w:w w:val="105"/>
          <w:sz w:val="21"/>
        </w:rPr>
        <w:t>Centro</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Investigación</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Estudios</w:t>
      </w:r>
      <w:r>
        <w:rPr>
          <w:color w:val="231F20"/>
          <w:spacing w:val="-16"/>
          <w:w w:val="105"/>
          <w:sz w:val="21"/>
        </w:rPr>
        <w:t> </w:t>
      </w:r>
      <w:r>
        <w:rPr>
          <w:color w:val="231F20"/>
          <w:w w:val="105"/>
          <w:sz w:val="21"/>
        </w:rPr>
        <w:t>Avanzados</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Población</w:t>
      </w:r>
      <w:r>
        <w:rPr>
          <w:color w:val="231F20"/>
          <w:spacing w:val="-14"/>
          <w:w w:val="105"/>
          <w:sz w:val="21"/>
        </w:rPr>
        <w:t> </w:t>
      </w:r>
      <w:r>
        <w:rPr>
          <w:color w:val="231F20"/>
          <w:w w:val="105"/>
          <w:sz w:val="21"/>
        </w:rPr>
        <w:t>(</w:t>
      </w:r>
      <w:r>
        <w:rPr>
          <w:color w:val="231F20"/>
          <w:w w:val="105"/>
          <w:sz w:val="17"/>
        </w:rPr>
        <w:t>CIEAP</w:t>
      </w:r>
      <w:r>
        <w:rPr>
          <w:color w:val="231F20"/>
          <w:w w:val="105"/>
          <w:sz w:val="21"/>
        </w:rPr>
        <w:t>), (2009),</w:t>
      </w:r>
      <w:r>
        <w:rPr>
          <w:color w:val="231F20"/>
          <w:spacing w:val="-38"/>
          <w:w w:val="105"/>
          <w:sz w:val="21"/>
        </w:rPr>
        <w:t> </w:t>
      </w:r>
      <w:r>
        <w:rPr>
          <w:rFonts w:ascii="Arial" w:hAnsi="Arial"/>
          <w:i/>
          <w:color w:val="231F20"/>
          <w:w w:val="105"/>
          <w:sz w:val="21"/>
        </w:rPr>
        <w:t>Encuesta</w:t>
      </w:r>
      <w:r>
        <w:rPr>
          <w:rFonts w:ascii="Arial" w:hAnsi="Arial"/>
          <w:i/>
          <w:color w:val="231F20"/>
          <w:spacing w:val="-38"/>
          <w:w w:val="105"/>
          <w:sz w:val="21"/>
        </w:rPr>
        <w:t> </w:t>
      </w:r>
      <w:r>
        <w:rPr>
          <w:rFonts w:ascii="Arial" w:hAnsi="Arial"/>
          <w:i/>
          <w:color w:val="231F20"/>
          <w:w w:val="105"/>
          <w:sz w:val="21"/>
        </w:rPr>
        <w:t>sobre</w:t>
      </w:r>
      <w:r>
        <w:rPr>
          <w:rFonts w:ascii="Arial" w:hAnsi="Arial"/>
          <w:i/>
          <w:color w:val="231F20"/>
          <w:spacing w:val="-38"/>
          <w:w w:val="105"/>
          <w:sz w:val="21"/>
        </w:rPr>
        <w:t> </w:t>
      </w:r>
      <w:r>
        <w:rPr>
          <w:rFonts w:ascii="Arial" w:hAnsi="Arial"/>
          <w:i/>
          <w:color w:val="231F20"/>
          <w:w w:val="105"/>
          <w:sz w:val="21"/>
        </w:rPr>
        <w:t>Migración</w:t>
      </w:r>
      <w:r>
        <w:rPr>
          <w:rFonts w:ascii="Arial" w:hAnsi="Arial"/>
          <w:i/>
          <w:color w:val="231F20"/>
          <w:spacing w:val="-38"/>
          <w:w w:val="105"/>
          <w:sz w:val="21"/>
        </w:rPr>
        <w:t> </w:t>
      </w:r>
      <w:r>
        <w:rPr>
          <w:rFonts w:ascii="Arial" w:hAnsi="Arial"/>
          <w:i/>
          <w:color w:val="231F20"/>
          <w:w w:val="105"/>
          <w:sz w:val="21"/>
        </w:rPr>
        <w:t>de</w:t>
      </w:r>
      <w:r>
        <w:rPr>
          <w:rFonts w:ascii="Arial" w:hAnsi="Arial"/>
          <w:i/>
          <w:color w:val="231F20"/>
          <w:spacing w:val="-38"/>
          <w:w w:val="105"/>
          <w:sz w:val="21"/>
        </w:rPr>
        <w:t> </w:t>
      </w:r>
      <w:r>
        <w:rPr>
          <w:rFonts w:ascii="Arial" w:hAnsi="Arial"/>
          <w:i/>
          <w:color w:val="231F20"/>
          <w:w w:val="105"/>
          <w:sz w:val="21"/>
        </w:rPr>
        <w:t>Mexiquenses</w:t>
      </w:r>
      <w:r>
        <w:rPr>
          <w:rFonts w:ascii="Arial" w:hAnsi="Arial"/>
          <w:i/>
          <w:color w:val="231F20"/>
          <w:spacing w:val="-38"/>
          <w:w w:val="105"/>
          <w:sz w:val="21"/>
        </w:rPr>
        <w:t> </w:t>
      </w:r>
      <w:r>
        <w:rPr>
          <w:rFonts w:ascii="Arial" w:hAnsi="Arial"/>
          <w:i/>
          <w:color w:val="231F20"/>
          <w:w w:val="105"/>
          <w:sz w:val="21"/>
        </w:rPr>
        <w:t>a</w:t>
      </w:r>
      <w:r>
        <w:rPr>
          <w:rFonts w:ascii="Arial" w:hAnsi="Arial"/>
          <w:i/>
          <w:color w:val="231F20"/>
          <w:spacing w:val="-38"/>
          <w:w w:val="105"/>
          <w:sz w:val="21"/>
        </w:rPr>
        <w:t> </w:t>
      </w:r>
      <w:r>
        <w:rPr>
          <w:rFonts w:ascii="Arial" w:hAnsi="Arial"/>
          <w:i/>
          <w:color w:val="231F20"/>
          <w:w w:val="105"/>
          <w:sz w:val="21"/>
        </w:rPr>
        <w:t>Estados</w:t>
      </w:r>
      <w:r>
        <w:rPr>
          <w:rFonts w:ascii="Arial" w:hAnsi="Arial"/>
          <w:i/>
          <w:color w:val="231F20"/>
          <w:spacing w:val="-38"/>
          <w:w w:val="105"/>
          <w:sz w:val="21"/>
        </w:rPr>
        <w:t> </w:t>
      </w:r>
      <w:r>
        <w:rPr>
          <w:rFonts w:ascii="Arial" w:hAnsi="Arial"/>
          <w:i/>
          <w:color w:val="231F20"/>
          <w:w w:val="105"/>
          <w:sz w:val="21"/>
        </w:rPr>
        <w:t>Uni- </w:t>
      </w:r>
      <w:r>
        <w:rPr>
          <w:rFonts w:ascii="Arial" w:hAnsi="Arial"/>
          <w:i/>
          <w:color w:val="231F20"/>
          <w:w w:val="105"/>
          <w:sz w:val="21"/>
        </w:rPr>
        <w:t>dos</w:t>
      </w:r>
      <w:r>
        <w:rPr>
          <w:rFonts w:ascii="Arial" w:hAnsi="Arial"/>
          <w:i/>
          <w:color w:val="231F20"/>
          <w:spacing w:val="-33"/>
          <w:w w:val="105"/>
          <w:sz w:val="21"/>
        </w:rPr>
        <w:t> </w:t>
      </w:r>
      <w:r>
        <w:rPr>
          <w:rFonts w:ascii="Arial" w:hAnsi="Arial"/>
          <w:i/>
          <w:color w:val="231F20"/>
          <w:w w:val="105"/>
          <w:sz w:val="21"/>
        </w:rPr>
        <w:t>2008</w:t>
      </w:r>
      <w:r>
        <w:rPr>
          <w:color w:val="231F20"/>
          <w:w w:val="105"/>
          <w:sz w:val="21"/>
        </w:rPr>
        <w:t>,</w:t>
      </w:r>
      <w:r>
        <w:rPr>
          <w:color w:val="231F20"/>
          <w:spacing w:val="-37"/>
          <w:w w:val="105"/>
          <w:sz w:val="21"/>
        </w:rPr>
        <w:t> </w:t>
      </w:r>
      <w:r>
        <w:rPr>
          <w:color w:val="231F20"/>
          <w:spacing w:val="-3"/>
          <w:w w:val="105"/>
          <w:sz w:val="21"/>
        </w:rPr>
        <w:t>Toluca,</w:t>
      </w:r>
      <w:r>
        <w:rPr>
          <w:color w:val="231F20"/>
          <w:spacing w:val="-34"/>
          <w:w w:val="105"/>
          <w:sz w:val="21"/>
        </w:rPr>
        <w:t> </w:t>
      </w:r>
      <w:r>
        <w:rPr>
          <w:color w:val="231F20"/>
          <w:w w:val="105"/>
          <w:sz w:val="21"/>
        </w:rPr>
        <w:t>México:</w:t>
      </w:r>
      <w:r>
        <w:rPr>
          <w:color w:val="231F20"/>
          <w:spacing w:val="-31"/>
          <w:w w:val="105"/>
          <w:sz w:val="21"/>
        </w:rPr>
        <w:t> </w:t>
      </w:r>
      <w:r>
        <w:rPr>
          <w:color w:val="231F20"/>
          <w:w w:val="105"/>
          <w:sz w:val="17"/>
        </w:rPr>
        <w:t>UAEM</w:t>
      </w:r>
      <w:r>
        <w:rPr>
          <w:color w:val="231F20"/>
          <w:w w:val="105"/>
          <w:sz w:val="21"/>
        </w:rPr>
        <w:t>.</w:t>
      </w:r>
    </w:p>
    <w:p>
      <w:pPr>
        <w:spacing w:line="259" w:lineRule="auto" w:before="0"/>
        <w:ind w:left="2460" w:right="1835" w:hanging="738"/>
        <w:jc w:val="both"/>
        <w:rPr>
          <w:sz w:val="21"/>
        </w:rPr>
      </w:pPr>
      <w:r>
        <w:rPr>
          <w:color w:val="231F20"/>
          <w:sz w:val="21"/>
        </w:rPr>
        <w:t>Chambers, Robert y Conway, Gordon, (1992), </w:t>
      </w:r>
      <w:r>
        <w:rPr>
          <w:rFonts w:ascii="Arial"/>
          <w:i/>
          <w:color w:val="231F20"/>
          <w:sz w:val="21"/>
        </w:rPr>
        <w:t>Sustainable rural liveli- </w:t>
      </w:r>
      <w:r>
        <w:rPr>
          <w:rFonts w:ascii="Arial"/>
          <w:i/>
          <w:color w:val="231F20"/>
          <w:sz w:val="21"/>
        </w:rPr>
        <w:t>hoods: practical concepts for the 21st Century</w:t>
      </w:r>
      <w:r>
        <w:rPr>
          <w:color w:val="231F20"/>
          <w:sz w:val="21"/>
        </w:rPr>
        <w:t>, Brighton, England: University of Sussex.</w:t>
      </w:r>
    </w:p>
    <w:p>
      <w:pPr>
        <w:spacing w:line="261" w:lineRule="auto" w:before="0"/>
        <w:ind w:left="2460" w:right="1829" w:hanging="737"/>
        <w:jc w:val="both"/>
        <w:rPr>
          <w:sz w:val="21"/>
        </w:rPr>
      </w:pPr>
      <w:r>
        <w:rPr>
          <w:color w:val="231F20"/>
          <w:w w:val="105"/>
          <w:sz w:val="21"/>
        </w:rPr>
        <w:t>Díaz, Francisco, (2015), </w:t>
      </w:r>
      <w:r>
        <w:rPr>
          <w:rFonts w:ascii="Arial" w:hAnsi="Arial"/>
          <w:i/>
          <w:color w:val="231F20"/>
          <w:w w:val="105"/>
          <w:sz w:val="21"/>
        </w:rPr>
        <w:t>Son miles los que pierden por crisis petrolera</w:t>
      </w:r>
      <w:r>
        <w:rPr>
          <w:color w:val="231F20"/>
          <w:w w:val="105"/>
          <w:sz w:val="21"/>
        </w:rPr>
        <w:t>, recuperado de </w:t>
      </w:r>
      <w:hyperlink r:id="rId309">
        <w:r>
          <w:rPr>
            <w:color w:val="231F20"/>
            <w:w w:val="105"/>
            <w:sz w:val="21"/>
          </w:rPr>
          <w:t>http://elmanana.com.mx/noticia/56802/Son-</w:t>
        </w:r>
      </w:hyperlink>
      <w:r>
        <w:rPr>
          <w:color w:val="231F20"/>
          <w:w w:val="105"/>
          <w:sz w:val="21"/>
        </w:rPr>
        <w:t> </w:t>
      </w:r>
      <w:r>
        <w:rPr>
          <w:color w:val="231F20"/>
          <w:sz w:val="21"/>
        </w:rPr>
        <w:t>miles-los-que-pierden-sus-empleos-por-crisis-petrolera--Laredo- </w:t>
      </w:r>
      <w:r>
        <w:rPr>
          <w:color w:val="231F20"/>
          <w:w w:val="105"/>
          <w:sz w:val="21"/>
        </w:rPr>
        <w:t>Texas-Eagle-Ford-Shale.html</w:t>
      </w:r>
    </w:p>
    <w:p>
      <w:pPr>
        <w:spacing w:line="261" w:lineRule="auto" w:before="0"/>
        <w:ind w:left="2460" w:right="1836" w:hanging="738"/>
        <w:jc w:val="both"/>
        <w:rPr>
          <w:sz w:val="21"/>
        </w:rPr>
      </w:pPr>
      <w:r>
        <w:rPr>
          <w:color w:val="231F20"/>
          <w:w w:val="105"/>
          <w:sz w:val="21"/>
        </w:rPr>
        <w:t>Domjan, Michel, (2010), </w:t>
      </w:r>
      <w:r>
        <w:rPr>
          <w:rFonts w:ascii="Arial" w:hAnsi="Arial"/>
          <w:i/>
          <w:color w:val="231F20"/>
          <w:w w:val="105"/>
          <w:sz w:val="21"/>
        </w:rPr>
        <w:t>Principios de aprendizaje y conducta</w:t>
      </w:r>
      <w:r>
        <w:rPr>
          <w:color w:val="231F20"/>
          <w:w w:val="105"/>
          <w:sz w:val="21"/>
        </w:rPr>
        <w:t>, México: </w:t>
      </w:r>
      <w:r>
        <w:rPr>
          <w:color w:val="231F20"/>
          <w:sz w:val="21"/>
        </w:rPr>
        <w:t>Wadsworth/Cengage  Learning.</w:t>
      </w:r>
    </w:p>
    <w:p>
      <w:pPr>
        <w:spacing w:line="259" w:lineRule="auto" w:before="0"/>
        <w:ind w:left="2460" w:right="1835" w:hanging="738"/>
        <w:jc w:val="both"/>
        <w:rPr>
          <w:sz w:val="21"/>
        </w:rPr>
      </w:pPr>
      <w:r>
        <w:rPr>
          <w:color w:val="231F20"/>
          <w:w w:val="105"/>
          <w:sz w:val="21"/>
        </w:rPr>
        <w:t>Dustmann, Christian, (2001), </w:t>
      </w:r>
      <w:r>
        <w:rPr>
          <w:rFonts w:ascii="Arial" w:hAnsi="Arial"/>
          <w:i/>
          <w:color w:val="231F20"/>
          <w:w w:val="105"/>
          <w:sz w:val="21"/>
        </w:rPr>
        <w:t>Return Migration, Wage Differentials, and </w:t>
      </w:r>
      <w:r>
        <w:rPr>
          <w:rFonts w:ascii="Arial" w:hAnsi="Arial"/>
          <w:i/>
          <w:color w:val="231F20"/>
          <w:w w:val="105"/>
          <w:sz w:val="21"/>
        </w:rPr>
        <w:t>the</w:t>
      </w:r>
      <w:r>
        <w:rPr>
          <w:rFonts w:ascii="Arial" w:hAnsi="Arial"/>
          <w:i/>
          <w:color w:val="231F20"/>
          <w:spacing w:val="-15"/>
          <w:w w:val="105"/>
          <w:sz w:val="21"/>
        </w:rPr>
        <w:t> </w:t>
      </w:r>
      <w:r>
        <w:rPr>
          <w:rFonts w:ascii="Arial" w:hAnsi="Arial"/>
          <w:i/>
          <w:color w:val="231F20"/>
          <w:w w:val="105"/>
          <w:sz w:val="21"/>
        </w:rPr>
        <w:t>Optimal</w:t>
      </w:r>
      <w:r>
        <w:rPr>
          <w:rFonts w:ascii="Arial" w:hAnsi="Arial"/>
          <w:i/>
          <w:color w:val="231F20"/>
          <w:spacing w:val="-15"/>
          <w:w w:val="105"/>
          <w:sz w:val="21"/>
        </w:rPr>
        <w:t> </w:t>
      </w:r>
      <w:r>
        <w:rPr>
          <w:rFonts w:ascii="Arial" w:hAnsi="Arial"/>
          <w:i/>
          <w:color w:val="231F20"/>
          <w:w w:val="105"/>
          <w:sz w:val="21"/>
        </w:rPr>
        <w:t>Migration</w:t>
      </w:r>
      <w:r>
        <w:rPr>
          <w:rFonts w:ascii="Arial" w:hAnsi="Arial"/>
          <w:i/>
          <w:color w:val="231F20"/>
          <w:spacing w:val="-15"/>
          <w:w w:val="105"/>
          <w:sz w:val="21"/>
        </w:rPr>
        <w:t> </w:t>
      </w:r>
      <w:r>
        <w:rPr>
          <w:rFonts w:ascii="Arial" w:hAnsi="Arial"/>
          <w:i/>
          <w:color w:val="231F20"/>
          <w:w w:val="105"/>
          <w:sz w:val="21"/>
        </w:rPr>
        <w:t>Duration</w:t>
      </w:r>
      <w:r>
        <w:rPr>
          <w:color w:val="231F20"/>
          <w:w w:val="105"/>
          <w:sz w:val="21"/>
        </w:rPr>
        <w:t>,</w:t>
      </w:r>
      <w:r>
        <w:rPr>
          <w:color w:val="231F20"/>
          <w:spacing w:val="-18"/>
          <w:w w:val="105"/>
          <w:sz w:val="21"/>
        </w:rPr>
        <w:t> </w:t>
      </w:r>
      <w:r>
        <w:rPr>
          <w:w w:val="105"/>
          <w:sz w:val="21"/>
        </w:rPr>
        <w:t>Canterbury,</w:t>
      </w:r>
      <w:r>
        <w:rPr>
          <w:spacing w:val="-18"/>
          <w:w w:val="105"/>
          <w:sz w:val="21"/>
        </w:rPr>
        <w:t> </w:t>
      </w:r>
      <w:r>
        <w:rPr>
          <w:w w:val="105"/>
          <w:sz w:val="21"/>
        </w:rPr>
        <w:t>England:</w:t>
      </w:r>
      <w:r>
        <w:rPr>
          <w:spacing w:val="-12"/>
          <w:w w:val="105"/>
          <w:sz w:val="21"/>
        </w:rPr>
        <w:t> </w:t>
      </w:r>
      <w:r>
        <w:rPr>
          <w:w w:val="105"/>
          <w:sz w:val="17"/>
        </w:rPr>
        <w:t>IZA</w:t>
      </w:r>
      <w:r>
        <w:rPr>
          <w:w w:val="105"/>
          <w:sz w:val="21"/>
        </w:rPr>
        <w:t>/Depar- tamento</w:t>
      </w:r>
      <w:r>
        <w:rPr>
          <w:spacing w:val="-15"/>
          <w:w w:val="105"/>
          <w:sz w:val="21"/>
        </w:rPr>
        <w:t> </w:t>
      </w:r>
      <w:r>
        <w:rPr>
          <w:w w:val="105"/>
          <w:sz w:val="21"/>
        </w:rPr>
        <w:t>de</w:t>
      </w:r>
      <w:r>
        <w:rPr>
          <w:spacing w:val="-15"/>
          <w:w w:val="105"/>
          <w:sz w:val="21"/>
        </w:rPr>
        <w:t> </w:t>
      </w:r>
      <w:r>
        <w:rPr>
          <w:w w:val="105"/>
          <w:sz w:val="21"/>
        </w:rPr>
        <w:t>Economía/Universidad</w:t>
      </w:r>
      <w:r>
        <w:rPr>
          <w:spacing w:val="-15"/>
          <w:w w:val="105"/>
          <w:sz w:val="21"/>
        </w:rPr>
        <w:t> </w:t>
      </w:r>
      <w:r>
        <w:rPr>
          <w:w w:val="105"/>
          <w:sz w:val="21"/>
        </w:rPr>
        <w:t>de</w:t>
      </w:r>
      <w:r>
        <w:rPr>
          <w:spacing w:val="-15"/>
          <w:w w:val="105"/>
          <w:sz w:val="21"/>
        </w:rPr>
        <w:t> </w:t>
      </w:r>
      <w:r>
        <w:rPr>
          <w:w w:val="105"/>
          <w:sz w:val="21"/>
        </w:rPr>
        <w:t>Kent.</w:t>
      </w:r>
    </w:p>
    <w:p>
      <w:pPr>
        <w:spacing w:line="259" w:lineRule="auto" w:before="0"/>
        <w:ind w:left="2460" w:right="1835" w:hanging="738"/>
        <w:jc w:val="both"/>
        <w:rPr>
          <w:sz w:val="21"/>
        </w:rPr>
      </w:pPr>
      <w:r>
        <w:rPr>
          <w:color w:val="231F20"/>
          <w:sz w:val="21"/>
        </w:rPr>
        <w:t>Espinoza, Víctor, (1998), </w:t>
      </w:r>
      <w:r>
        <w:rPr>
          <w:rFonts w:ascii="Arial" w:hAnsi="Arial"/>
          <w:i/>
          <w:color w:val="231F20"/>
          <w:sz w:val="21"/>
        </w:rPr>
        <w:t>El dilema del retorno. Migración género y per- </w:t>
      </w:r>
      <w:r>
        <w:rPr>
          <w:rFonts w:ascii="Arial" w:hAnsi="Arial"/>
          <w:i/>
          <w:color w:val="231F20"/>
          <w:sz w:val="21"/>
        </w:rPr>
        <w:t>tenencia en un contexto trasnacional</w:t>
      </w:r>
      <w:r>
        <w:rPr>
          <w:color w:val="231F20"/>
          <w:sz w:val="21"/>
        </w:rPr>
        <w:t>, Zamora, México: </w:t>
      </w:r>
      <w:r>
        <w:rPr>
          <w:color w:val="231F20"/>
          <w:sz w:val="17"/>
        </w:rPr>
        <w:t>COLMICH</w:t>
      </w:r>
      <w:r>
        <w:rPr>
          <w:color w:val="231F20"/>
          <w:sz w:val="21"/>
        </w:rPr>
        <w:t>/ </w:t>
      </w:r>
      <w:r>
        <w:rPr>
          <w:color w:val="231F20"/>
          <w:sz w:val="17"/>
        </w:rPr>
        <w:t>COLJAL</w:t>
      </w:r>
      <w:r>
        <w:rPr>
          <w:color w:val="231F20"/>
          <w:sz w:val="21"/>
        </w:rPr>
        <w:t>.</w:t>
      </w:r>
    </w:p>
    <w:p>
      <w:pPr>
        <w:pStyle w:val="BodyText"/>
        <w:spacing w:line="259" w:lineRule="auto" w:before="3"/>
        <w:ind w:left="2460" w:right="1835" w:hanging="738"/>
        <w:jc w:val="both"/>
      </w:pPr>
      <w:r>
        <w:rPr>
          <w:color w:val="231F20"/>
          <w:w w:val="105"/>
        </w:rPr>
        <w:t>Estrada,</w:t>
      </w:r>
      <w:r>
        <w:rPr>
          <w:color w:val="231F20"/>
          <w:spacing w:val="-11"/>
          <w:w w:val="105"/>
        </w:rPr>
        <w:t> </w:t>
      </w:r>
      <w:r>
        <w:rPr>
          <w:color w:val="231F20"/>
          <w:w w:val="105"/>
        </w:rPr>
        <w:t>Margarita,</w:t>
      </w:r>
      <w:r>
        <w:rPr>
          <w:color w:val="231F20"/>
          <w:spacing w:val="-11"/>
          <w:w w:val="105"/>
        </w:rPr>
        <w:t> </w:t>
      </w:r>
      <w:r>
        <w:rPr>
          <w:color w:val="231F20"/>
          <w:w w:val="105"/>
        </w:rPr>
        <w:t>(2008),</w:t>
      </w:r>
      <w:r>
        <w:rPr>
          <w:color w:val="231F20"/>
          <w:spacing w:val="-11"/>
          <w:w w:val="105"/>
        </w:rPr>
        <w:t> </w:t>
      </w:r>
      <w:r>
        <w:rPr>
          <w:color w:val="231F20"/>
          <w:w w:val="105"/>
        </w:rPr>
        <w:t>“Diferencia</w:t>
      </w:r>
      <w:r>
        <w:rPr>
          <w:color w:val="231F20"/>
          <w:spacing w:val="-7"/>
          <w:w w:val="105"/>
        </w:rPr>
        <w:t> </w:t>
      </w:r>
      <w:r>
        <w:rPr>
          <w:color w:val="231F20"/>
          <w:w w:val="105"/>
        </w:rPr>
        <w:t>que</w:t>
      </w:r>
      <w:r>
        <w:rPr>
          <w:color w:val="231F20"/>
          <w:spacing w:val="-7"/>
          <w:w w:val="105"/>
        </w:rPr>
        <w:t> </w:t>
      </w:r>
      <w:r>
        <w:rPr>
          <w:color w:val="231F20"/>
          <w:w w:val="105"/>
        </w:rPr>
        <w:t>hace</w:t>
      </w:r>
      <w:r>
        <w:rPr>
          <w:color w:val="231F20"/>
          <w:spacing w:val="-7"/>
          <w:w w:val="105"/>
        </w:rPr>
        <w:t> </w:t>
      </w:r>
      <w:r>
        <w:rPr>
          <w:color w:val="231F20"/>
          <w:w w:val="105"/>
        </w:rPr>
        <w:t>diferencia.</w:t>
      </w:r>
      <w:r>
        <w:rPr>
          <w:color w:val="231F20"/>
          <w:spacing w:val="-11"/>
          <w:w w:val="105"/>
        </w:rPr>
        <w:t> </w:t>
      </w:r>
      <w:r>
        <w:rPr>
          <w:color w:val="231F20"/>
          <w:w w:val="105"/>
        </w:rPr>
        <w:t>Migración</w:t>
      </w:r>
      <w:r>
        <w:rPr>
          <w:color w:val="231F20"/>
          <w:spacing w:val="-7"/>
          <w:w w:val="105"/>
        </w:rPr>
        <w:t> </w:t>
      </w:r>
      <w:r>
        <w:rPr>
          <w:color w:val="231F20"/>
          <w:w w:val="105"/>
        </w:rPr>
        <w:t>y organización</w:t>
      </w:r>
      <w:r>
        <w:rPr>
          <w:color w:val="231F20"/>
          <w:spacing w:val="-35"/>
          <w:w w:val="105"/>
        </w:rPr>
        <w:t> </w:t>
      </w:r>
      <w:r>
        <w:rPr>
          <w:color w:val="231F20"/>
          <w:spacing w:val="-3"/>
          <w:w w:val="105"/>
        </w:rPr>
        <w:t>familiar”,</w:t>
      </w:r>
      <w:r>
        <w:rPr>
          <w:color w:val="231F20"/>
          <w:spacing w:val="-38"/>
          <w:w w:val="105"/>
        </w:rPr>
        <w:t> </w:t>
      </w:r>
      <w:r>
        <w:rPr>
          <w:rFonts w:ascii="Arial" w:hAnsi="Arial"/>
          <w:i/>
          <w:color w:val="231F20"/>
          <w:w w:val="105"/>
        </w:rPr>
        <w:t>Desacatos</w:t>
      </w:r>
      <w:r>
        <w:rPr>
          <w:color w:val="231F20"/>
          <w:w w:val="105"/>
        </w:rPr>
        <w:t>,</w:t>
      </w:r>
      <w:r>
        <w:rPr>
          <w:color w:val="231F20"/>
          <w:spacing w:val="-38"/>
          <w:w w:val="105"/>
        </w:rPr>
        <w:t> </w:t>
      </w:r>
      <w:r>
        <w:rPr>
          <w:color w:val="231F20"/>
          <w:w w:val="105"/>
        </w:rPr>
        <w:t>núm.</w:t>
      </w:r>
      <w:r>
        <w:rPr>
          <w:color w:val="231F20"/>
          <w:spacing w:val="-38"/>
          <w:w w:val="105"/>
        </w:rPr>
        <w:t> </w:t>
      </w:r>
      <w:r>
        <w:rPr>
          <w:color w:val="231F20"/>
          <w:w w:val="105"/>
        </w:rPr>
        <w:t>28.</w:t>
      </w:r>
    </w:p>
    <w:p>
      <w:pPr>
        <w:spacing w:line="261" w:lineRule="auto" w:before="0"/>
        <w:ind w:left="2460" w:right="1835" w:hanging="737"/>
        <w:jc w:val="both"/>
        <w:rPr>
          <w:sz w:val="21"/>
        </w:rPr>
      </w:pPr>
      <w:r>
        <w:rPr>
          <w:color w:val="231F20"/>
          <w:w w:val="105"/>
          <w:sz w:val="21"/>
        </w:rPr>
        <w:t>El</w:t>
      </w:r>
      <w:r>
        <w:rPr>
          <w:color w:val="231F20"/>
          <w:spacing w:val="-28"/>
          <w:w w:val="105"/>
          <w:sz w:val="21"/>
        </w:rPr>
        <w:t> </w:t>
      </w:r>
      <w:r>
        <w:rPr>
          <w:color w:val="231F20"/>
          <w:w w:val="105"/>
          <w:sz w:val="21"/>
        </w:rPr>
        <w:t>Latino</w:t>
      </w:r>
      <w:r>
        <w:rPr>
          <w:color w:val="231F20"/>
          <w:spacing w:val="-28"/>
          <w:w w:val="105"/>
          <w:sz w:val="21"/>
        </w:rPr>
        <w:t> </w:t>
      </w:r>
      <w:r>
        <w:rPr>
          <w:color w:val="231F20"/>
          <w:w w:val="105"/>
          <w:sz w:val="21"/>
        </w:rPr>
        <w:t>(s.f.),</w:t>
      </w:r>
      <w:r>
        <w:rPr>
          <w:color w:val="231F20"/>
          <w:spacing w:val="-32"/>
          <w:w w:val="105"/>
          <w:sz w:val="21"/>
        </w:rPr>
        <w:t> </w:t>
      </w:r>
      <w:r>
        <w:rPr>
          <w:rFonts w:ascii="Arial" w:hAnsi="Arial"/>
          <w:i/>
          <w:color w:val="231F20"/>
          <w:w w:val="105"/>
          <w:sz w:val="21"/>
        </w:rPr>
        <w:t>Estados</w:t>
      </w:r>
      <w:r>
        <w:rPr>
          <w:rFonts w:ascii="Arial" w:hAnsi="Arial"/>
          <w:i/>
          <w:color w:val="231F20"/>
          <w:spacing w:val="-31"/>
          <w:w w:val="105"/>
          <w:sz w:val="21"/>
        </w:rPr>
        <w:t> </w:t>
      </w:r>
      <w:r>
        <w:rPr>
          <w:rFonts w:ascii="Arial" w:hAnsi="Arial"/>
          <w:i/>
          <w:color w:val="231F20"/>
          <w:w w:val="105"/>
          <w:sz w:val="21"/>
        </w:rPr>
        <w:t>aumentan</w:t>
      </w:r>
      <w:r>
        <w:rPr>
          <w:rFonts w:ascii="Arial" w:hAnsi="Arial"/>
          <w:i/>
          <w:color w:val="231F20"/>
          <w:spacing w:val="-31"/>
          <w:w w:val="105"/>
          <w:sz w:val="21"/>
        </w:rPr>
        <w:t> </w:t>
      </w:r>
      <w:r>
        <w:rPr>
          <w:rFonts w:ascii="Arial" w:hAnsi="Arial"/>
          <w:i/>
          <w:color w:val="231F20"/>
          <w:w w:val="105"/>
          <w:sz w:val="21"/>
        </w:rPr>
        <w:t>presión</w:t>
      </w:r>
      <w:r>
        <w:rPr>
          <w:rFonts w:ascii="Arial" w:hAnsi="Arial"/>
          <w:i/>
          <w:color w:val="231F20"/>
          <w:spacing w:val="-31"/>
          <w:w w:val="105"/>
          <w:sz w:val="21"/>
        </w:rPr>
        <w:t> </w:t>
      </w:r>
      <w:r>
        <w:rPr>
          <w:rFonts w:ascii="Arial" w:hAnsi="Arial"/>
          <w:i/>
          <w:color w:val="231F20"/>
          <w:w w:val="105"/>
          <w:sz w:val="21"/>
        </w:rPr>
        <w:t>contra</w:t>
      </w:r>
      <w:r>
        <w:rPr>
          <w:rFonts w:ascii="Arial" w:hAnsi="Arial"/>
          <w:i/>
          <w:color w:val="231F20"/>
          <w:spacing w:val="-31"/>
          <w:w w:val="105"/>
          <w:sz w:val="21"/>
        </w:rPr>
        <w:t> </w:t>
      </w:r>
      <w:r>
        <w:rPr>
          <w:rFonts w:ascii="Arial" w:hAnsi="Arial"/>
          <w:i/>
          <w:color w:val="231F20"/>
          <w:w w:val="105"/>
          <w:sz w:val="21"/>
        </w:rPr>
        <w:t>indocumentados.</w:t>
      </w:r>
      <w:r>
        <w:rPr>
          <w:rFonts w:ascii="Arial" w:hAnsi="Arial"/>
          <w:i/>
          <w:color w:val="231F20"/>
          <w:spacing w:val="-34"/>
          <w:w w:val="105"/>
          <w:sz w:val="21"/>
        </w:rPr>
        <w:t> </w:t>
      </w:r>
      <w:r>
        <w:rPr>
          <w:rFonts w:ascii="Arial" w:hAnsi="Arial"/>
          <w:i/>
          <w:color w:val="231F20"/>
          <w:w w:val="105"/>
          <w:sz w:val="21"/>
        </w:rPr>
        <w:t>El</w:t>
      </w:r>
      <w:r>
        <w:rPr>
          <w:rFonts w:ascii="Arial" w:hAnsi="Arial"/>
          <w:i/>
          <w:color w:val="231F20"/>
          <w:spacing w:val="-31"/>
          <w:w w:val="105"/>
          <w:sz w:val="21"/>
        </w:rPr>
        <w:t> </w:t>
      </w:r>
      <w:r>
        <w:rPr>
          <w:rFonts w:ascii="Arial" w:hAnsi="Arial"/>
          <w:i/>
          <w:color w:val="231F20"/>
          <w:w w:val="105"/>
          <w:sz w:val="21"/>
        </w:rPr>
        <w:t>lati- </w:t>
      </w:r>
      <w:r>
        <w:rPr>
          <w:rFonts w:ascii="Arial" w:hAnsi="Arial"/>
          <w:i/>
          <w:color w:val="231F20"/>
          <w:w w:val="105"/>
          <w:sz w:val="21"/>
        </w:rPr>
        <w:t>no.</w:t>
      </w:r>
      <w:r>
        <w:rPr>
          <w:rFonts w:ascii="Arial" w:hAnsi="Arial"/>
          <w:i/>
          <w:color w:val="231F20"/>
          <w:spacing w:val="-24"/>
          <w:w w:val="105"/>
          <w:sz w:val="21"/>
        </w:rPr>
        <w:t> </w:t>
      </w:r>
      <w:r>
        <w:rPr>
          <w:rFonts w:ascii="Arial" w:hAnsi="Arial"/>
          <w:i/>
          <w:color w:val="231F20"/>
          <w:spacing w:val="-4"/>
          <w:w w:val="105"/>
          <w:sz w:val="21"/>
        </w:rPr>
        <w:t>Para</w:t>
      </w:r>
      <w:r>
        <w:rPr>
          <w:rFonts w:ascii="Arial" w:hAnsi="Arial"/>
          <w:i/>
          <w:color w:val="231F20"/>
          <w:spacing w:val="-20"/>
          <w:w w:val="105"/>
          <w:sz w:val="21"/>
        </w:rPr>
        <w:t> </w:t>
      </w:r>
      <w:r>
        <w:rPr>
          <w:rFonts w:ascii="Arial" w:hAnsi="Arial"/>
          <w:i/>
          <w:color w:val="231F20"/>
          <w:w w:val="105"/>
          <w:sz w:val="21"/>
        </w:rPr>
        <w:t>la</w:t>
      </w:r>
      <w:r>
        <w:rPr>
          <w:rFonts w:ascii="Arial" w:hAnsi="Arial"/>
          <w:i/>
          <w:color w:val="231F20"/>
          <w:spacing w:val="-20"/>
          <w:w w:val="105"/>
          <w:sz w:val="21"/>
        </w:rPr>
        <w:t> </w:t>
      </w:r>
      <w:r>
        <w:rPr>
          <w:rFonts w:ascii="Arial" w:hAnsi="Arial"/>
          <w:i/>
          <w:color w:val="231F20"/>
          <w:w w:val="105"/>
          <w:sz w:val="21"/>
        </w:rPr>
        <w:t>comunidad</w:t>
      </w:r>
      <w:r>
        <w:rPr>
          <w:rFonts w:ascii="Arial" w:hAnsi="Arial"/>
          <w:i/>
          <w:color w:val="231F20"/>
          <w:spacing w:val="-20"/>
          <w:w w:val="105"/>
          <w:sz w:val="21"/>
        </w:rPr>
        <w:t> </w:t>
      </w:r>
      <w:r>
        <w:rPr>
          <w:rFonts w:ascii="Arial" w:hAnsi="Arial"/>
          <w:i/>
          <w:color w:val="231F20"/>
          <w:w w:val="105"/>
          <w:sz w:val="21"/>
        </w:rPr>
        <w:t>de</w:t>
      </w:r>
      <w:r>
        <w:rPr>
          <w:rFonts w:ascii="Arial" w:hAnsi="Arial"/>
          <w:i/>
          <w:color w:val="231F20"/>
          <w:spacing w:val="-20"/>
          <w:w w:val="105"/>
          <w:sz w:val="21"/>
        </w:rPr>
        <w:t> </w:t>
      </w:r>
      <w:r>
        <w:rPr>
          <w:rFonts w:ascii="Arial" w:hAnsi="Arial"/>
          <w:i/>
          <w:color w:val="231F20"/>
          <w:w w:val="105"/>
          <w:sz w:val="21"/>
        </w:rPr>
        <w:t>habla</w:t>
      </w:r>
      <w:r>
        <w:rPr>
          <w:rFonts w:ascii="Arial" w:hAnsi="Arial"/>
          <w:i/>
          <w:color w:val="231F20"/>
          <w:spacing w:val="-20"/>
          <w:w w:val="105"/>
          <w:sz w:val="21"/>
        </w:rPr>
        <w:t> </w:t>
      </w:r>
      <w:r>
        <w:rPr>
          <w:rFonts w:ascii="Arial" w:hAnsi="Arial"/>
          <w:i/>
          <w:color w:val="231F20"/>
          <w:w w:val="105"/>
          <w:sz w:val="21"/>
        </w:rPr>
        <w:t>hispana</w:t>
      </w:r>
      <w:r>
        <w:rPr>
          <w:rFonts w:ascii="Arial" w:hAnsi="Arial"/>
          <w:i/>
          <w:color w:val="231F20"/>
          <w:spacing w:val="-20"/>
          <w:w w:val="105"/>
          <w:sz w:val="21"/>
        </w:rPr>
        <w:t> </w:t>
      </w:r>
      <w:r>
        <w:rPr>
          <w:rFonts w:ascii="Arial" w:hAnsi="Arial"/>
          <w:i/>
          <w:color w:val="231F20"/>
          <w:w w:val="105"/>
          <w:sz w:val="21"/>
        </w:rPr>
        <w:t>en</w:t>
      </w:r>
      <w:r>
        <w:rPr>
          <w:rFonts w:ascii="Arial" w:hAnsi="Arial"/>
          <w:i/>
          <w:color w:val="231F20"/>
          <w:spacing w:val="-23"/>
          <w:w w:val="105"/>
          <w:sz w:val="21"/>
        </w:rPr>
        <w:t> </w:t>
      </w:r>
      <w:r>
        <w:rPr>
          <w:rFonts w:ascii="Arial" w:hAnsi="Arial"/>
          <w:i/>
          <w:color w:val="231F20"/>
          <w:w w:val="105"/>
          <w:sz w:val="21"/>
        </w:rPr>
        <w:t>Arkansas</w:t>
      </w:r>
      <w:r>
        <w:rPr>
          <w:rFonts w:ascii="Arial" w:hAnsi="Arial"/>
          <w:i/>
          <w:color w:val="231F20"/>
          <w:spacing w:val="-20"/>
          <w:w w:val="105"/>
          <w:sz w:val="21"/>
        </w:rPr>
        <w:t> </w:t>
      </w:r>
      <w:r>
        <w:rPr>
          <w:rFonts w:ascii="Arial" w:hAnsi="Arial"/>
          <w:i/>
          <w:color w:val="231F20"/>
          <w:w w:val="105"/>
          <w:sz w:val="21"/>
        </w:rPr>
        <w:t>Central</w:t>
      </w:r>
      <w:r>
        <w:rPr>
          <w:color w:val="231F20"/>
          <w:w w:val="105"/>
          <w:sz w:val="21"/>
        </w:rPr>
        <w:t>,</w:t>
      </w:r>
      <w:r>
        <w:rPr>
          <w:color w:val="231F20"/>
          <w:spacing w:val="-22"/>
          <w:w w:val="105"/>
          <w:sz w:val="21"/>
        </w:rPr>
        <w:t> </w:t>
      </w:r>
      <w:r>
        <w:rPr>
          <w:color w:val="231F20"/>
          <w:w w:val="105"/>
          <w:sz w:val="21"/>
        </w:rPr>
        <w:t>re- cuperado de</w:t>
      </w:r>
      <w:r>
        <w:rPr>
          <w:color w:val="231F20"/>
          <w:spacing w:val="-10"/>
          <w:w w:val="105"/>
          <w:sz w:val="21"/>
        </w:rPr>
        <w:t> </w:t>
      </w:r>
      <w:hyperlink r:id="rId310">
        <w:r>
          <w:rPr>
            <w:color w:val="231F20"/>
            <w:w w:val="105"/>
            <w:sz w:val="21"/>
          </w:rPr>
          <w:t>http://www.ellatinoarkansas.com/content3.cfm?Ar-</w:t>
        </w:r>
      </w:hyperlink>
      <w:r>
        <w:rPr>
          <w:color w:val="231F20"/>
          <w:w w:val="105"/>
          <w:sz w:val="21"/>
        </w:rPr>
        <w:t> ticleID=6342&amp;Entry=Archive)</w:t>
      </w:r>
    </w:p>
    <w:p>
      <w:pPr>
        <w:pStyle w:val="BodyText"/>
        <w:rPr>
          <w:sz w:val="20"/>
        </w:rPr>
      </w:pPr>
    </w:p>
    <w:p>
      <w:pPr>
        <w:pStyle w:val="BodyText"/>
        <w:rPr>
          <w:sz w:val="20"/>
        </w:rPr>
      </w:pPr>
    </w:p>
    <w:p>
      <w:pPr>
        <w:pStyle w:val="BodyText"/>
        <w:rPr>
          <w:sz w:val="20"/>
        </w:rPr>
      </w:pPr>
    </w:p>
    <w:p>
      <w:pPr>
        <w:pStyle w:val="BodyText"/>
        <w:spacing w:before="10"/>
        <w:rPr>
          <w:sz w:val="28"/>
        </w:rPr>
      </w:pPr>
    </w:p>
    <w:p>
      <w:pPr>
        <w:tabs>
          <w:tab w:pos="2937" w:val="left" w:leader="none"/>
        </w:tabs>
        <w:spacing w:before="71"/>
        <w:ind w:left="1832" w:right="0" w:firstLine="0"/>
        <w:jc w:val="left"/>
        <w:rPr>
          <w:rFonts w:ascii="Calibri"/>
          <w:sz w:val="15"/>
        </w:rPr>
      </w:pPr>
      <w:r>
        <w:rPr/>
        <w:pict>
          <v:line style="position:absolute;mso-position-horizontal-relative:page;mso-position-vertical-relative:paragraph;z-index:-459064" from="131.551193pt,3.753715pt" to="131.551193pt,39.556114pt" stroked="true" strokeweight=".35pt" strokecolor="#231f20">
            <w10:wrap type="none"/>
          </v:line>
        </w:pict>
      </w:r>
      <w:r>
        <w:rPr/>
        <w:pict>
          <v:line style="position:absolute;mso-position-horizontal-relative:page;mso-position-vertical-relative:paragraph;z-index:-458992" from="15pt,39.555916pt" to="0pt,39.555916pt" stroked="true" strokeweight=".25pt" strokecolor="#000000">
            <w10:wrap type="none"/>
          </v:line>
        </w:pict>
      </w:r>
      <w:r>
        <w:rPr/>
        <w:pict>
          <v:line style="position:absolute;mso-position-horizontal-relative:page;mso-position-vertical-relative:paragraph;z-index:31216" from="508.890015pt,39.555916pt" to="523.890015pt,39.555916pt" stroked="true" strokeweight=".25pt" strokecolor="#000000">
            <w10:wrap type="none"/>
          </v:line>
        </w:pict>
      </w:r>
      <w:r>
        <w:rPr>
          <w:rFonts w:ascii="Arial"/>
          <w:color w:val="414042"/>
          <w:w w:val="105"/>
          <w:position w:val="-5"/>
          <w:sz w:val="20"/>
        </w:rPr>
        <w:t>254</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4198" w:right="0" w:firstLine="0"/>
        <w:jc w:val="left"/>
        <w:rPr>
          <w:rFonts w:ascii="Arial"/>
          <w:sz w:val="20"/>
        </w:rPr>
      </w:pPr>
      <w:r>
        <w:rPr/>
        <w:pict>
          <v:line style="position:absolute;mso-position-horizontal-relative:page;mso-position-vertical-relative:paragraph;z-index:-458944" from="405.061005pt,-18.554295pt" to="405.061005pt,16.311579pt" stroked="true" strokeweight=".35pt" strokecolor="#231f20">
            <w10:wrap type="none"/>
          </v:line>
        </w:pict>
      </w:r>
      <w:r>
        <w:rPr/>
        <w:pict>
          <v:line style="position:absolute;mso-position-horizontal-relative:page;mso-position-vertical-relative:paragraph;z-index:31264" from="15pt,-18.554522pt" to="0pt,-18.554522pt" stroked="true" strokeweight=".25pt" strokecolor="#000000">
            <w10:wrap type="none"/>
          </v:line>
        </w:pict>
      </w:r>
      <w:r>
        <w:rPr/>
        <w:pict>
          <v:line style="position:absolute;mso-position-horizontal-relative:page;mso-position-vertical-relative:paragraph;z-index:31288" from="508.890015pt,-18.554522pt" to="523.890015pt,-18.554522pt" stroked="true" strokeweight=".25pt" strokecolor="#000000">
            <w10:wrap type="none"/>
          </v:line>
        </w:pict>
      </w:r>
      <w:r>
        <w:rPr>
          <w:rFonts w:ascii="Lucida Sans Unicode"/>
          <w:color w:val="6D6E71"/>
          <w:w w:val="110"/>
          <w:sz w:val="14"/>
        </w:rPr>
        <w:t>El</w:t>
      </w:r>
      <w:r>
        <w:rPr>
          <w:rFonts w:ascii="Lucida Sans Unicode"/>
          <w:color w:val="6D6E71"/>
          <w:spacing w:val="-19"/>
          <w:w w:val="110"/>
          <w:sz w:val="14"/>
        </w:rPr>
        <w:t> </w:t>
      </w:r>
      <w:r>
        <w:rPr>
          <w:rFonts w:ascii="Lucida Sans Unicode"/>
          <w:color w:val="6D6E71"/>
          <w:w w:val="110"/>
          <w:sz w:val="14"/>
        </w:rPr>
        <w:t>rEtorno</w:t>
      </w:r>
      <w:r>
        <w:rPr>
          <w:rFonts w:ascii="Lucida Sans Unicode"/>
          <w:color w:val="6D6E71"/>
          <w:spacing w:val="-19"/>
          <w:w w:val="110"/>
          <w:sz w:val="14"/>
        </w:rPr>
        <w:t> </w:t>
      </w:r>
      <w:r>
        <w:rPr>
          <w:rFonts w:ascii="Lucida Sans Unicode"/>
          <w:color w:val="6D6E71"/>
          <w:w w:val="110"/>
          <w:sz w:val="14"/>
        </w:rPr>
        <w:t>dE</w:t>
      </w:r>
      <w:r>
        <w:rPr>
          <w:rFonts w:ascii="Lucida Sans Unicode"/>
          <w:color w:val="6D6E71"/>
          <w:spacing w:val="-19"/>
          <w:w w:val="110"/>
          <w:sz w:val="14"/>
        </w:rPr>
        <w:t> </w:t>
      </w:r>
      <w:r>
        <w:rPr>
          <w:rFonts w:ascii="Lucida Sans Unicode"/>
          <w:color w:val="6D6E71"/>
          <w:w w:val="110"/>
          <w:sz w:val="14"/>
        </w:rPr>
        <w:t>los</w:t>
      </w:r>
      <w:r>
        <w:rPr>
          <w:rFonts w:ascii="Lucida Sans Unicode"/>
          <w:color w:val="6D6E71"/>
          <w:spacing w:val="-19"/>
          <w:w w:val="110"/>
          <w:sz w:val="14"/>
        </w:rPr>
        <w:t> </w:t>
      </w:r>
      <w:r>
        <w:rPr>
          <w:rFonts w:ascii="Lucida Sans Unicode"/>
          <w:color w:val="6D6E71"/>
          <w:w w:val="110"/>
          <w:sz w:val="14"/>
        </w:rPr>
        <w:t>mExiquEnsEs</w:t>
      </w:r>
      <w:r>
        <w:rPr>
          <w:rFonts w:ascii="Lucida Sans Unicode"/>
          <w:color w:val="6D6E71"/>
          <w:spacing w:val="-19"/>
          <w:w w:val="110"/>
          <w:sz w:val="14"/>
        </w:rPr>
        <w:t> </w:t>
      </w:r>
      <w:r>
        <w:rPr>
          <w:rFonts w:ascii="Lucida Sans Unicode"/>
          <w:color w:val="6D6E71"/>
          <w:w w:val="110"/>
          <w:sz w:val="14"/>
        </w:rPr>
        <w:t>quE</w:t>
      </w:r>
      <w:r>
        <w:rPr>
          <w:rFonts w:ascii="Lucida Sans Unicode"/>
          <w:color w:val="6D6E71"/>
          <w:spacing w:val="-19"/>
          <w:w w:val="110"/>
          <w:sz w:val="14"/>
        </w:rPr>
        <w:t> </w:t>
      </w:r>
      <w:r>
        <w:rPr>
          <w:rFonts w:ascii="Lucida Sans Unicode"/>
          <w:color w:val="6D6E71"/>
          <w:w w:val="110"/>
          <w:sz w:val="14"/>
        </w:rPr>
        <w:t>Emigraron</w:t>
      </w:r>
      <w:r>
        <w:rPr>
          <w:rFonts w:ascii="Lucida Sans Unicode"/>
          <w:color w:val="6D6E71"/>
          <w:spacing w:val="-19"/>
          <w:w w:val="110"/>
          <w:sz w:val="14"/>
        </w:rPr>
        <w:t> </w:t>
      </w:r>
      <w:r>
        <w:rPr>
          <w:rFonts w:ascii="Lucida Sans Unicode"/>
          <w:color w:val="6D6E71"/>
          <w:w w:val="110"/>
          <w:sz w:val="14"/>
        </w:rPr>
        <w:t>a</w:t>
      </w:r>
      <w:r>
        <w:rPr>
          <w:rFonts w:ascii="Lucida Sans Unicode"/>
          <w:color w:val="6D6E71"/>
          <w:spacing w:val="-19"/>
          <w:w w:val="110"/>
          <w:sz w:val="14"/>
        </w:rPr>
        <w:t> </w:t>
      </w:r>
      <w:r>
        <w:rPr>
          <w:rFonts w:ascii="Lucida Sans Unicode"/>
          <w:color w:val="6D6E71"/>
          <w:w w:val="110"/>
          <w:sz w:val="14"/>
        </w:rPr>
        <w:t>tExas</w:t>
      </w:r>
      <w:r>
        <w:rPr>
          <w:rFonts w:ascii="Arial"/>
          <w:color w:val="414042"/>
          <w:w w:val="110"/>
          <w:position w:val="-3"/>
          <w:sz w:val="20"/>
        </w:rPr>
        <w:tab/>
        <w:t>255</w:t>
      </w:r>
    </w:p>
    <w:p>
      <w:pPr>
        <w:pStyle w:val="BodyText"/>
        <w:rPr>
          <w:rFonts w:ascii="Arial"/>
          <w:sz w:val="20"/>
        </w:rPr>
      </w:pPr>
    </w:p>
    <w:p>
      <w:pPr>
        <w:pStyle w:val="BodyText"/>
        <w:rPr>
          <w:rFonts w:ascii="Arial"/>
          <w:sz w:val="20"/>
        </w:rPr>
      </w:pPr>
    </w:p>
    <w:p>
      <w:pPr>
        <w:pStyle w:val="BodyText"/>
        <w:spacing w:line="259" w:lineRule="auto" w:before="123"/>
        <w:ind w:left="2574" w:right="1715" w:hanging="738"/>
        <w:jc w:val="both"/>
      </w:pPr>
      <w:r>
        <w:rPr>
          <w:color w:val="231F20"/>
          <w:spacing w:val="-3"/>
          <w:w w:val="105"/>
        </w:rPr>
        <w:t>González</w:t>
      </w:r>
      <w:r>
        <w:rPr>
          <w:color w:val="231F20"/>
          <w:spacing w:val="-42"/>
          <w:w w:val="105"/>
        </w:rPr>
        <w:t> </w:t>
      </w:r>
      <w:r>
        <w:rPr>
          <w:color w:val="231F20"/>
          <w:spacing w:val="-3"/>
          <w:w w:val="105"/>
        </w:rPr>
        <w:t>Becerril,</w:t>
      </w:r>
      <w:r>
        <w:rPr>
          <w:color w:val="231F20"/>
          <w:spacing w:val="-46"/>
          <w:w w:val="105"/>
        </w:rPr>
        <w:t> </w:t>
      </w:r>
      <w:r>
        <w:rPr>
          <w:color w:val="231F20"/>
          <w:spacing w:val="-3"/>
          <w:w w:val="105"/>
        </w:rPr>
        <w:t>Juan</w:t>
      </w:r>
      <w:r>
        <w:rPr>
          <w:color w:val="231F20"/>
          <w:spacing w:val="-42"/>
          <w:w w:val="105"/>
        </w:rPr>
        <w:t> </w:t>
      </w:r>
      <w:r>
        <w:rPr>
          <w:color w:val="231F20"/>
          <w:spacing w:val="-3"/>
          <w:w w:val="105"/>
        </w:rPr>
        <w:t>Gabino</w:t>
      </w:r>
      <w:r>
        <w:rPr>
          <w:color w:val="231F20"/>
          <w:spacing w:val="-42"/>
          <w:w w:val="105"/>
        </w:rPr>
        <w:t> </w:t>
      </w:r>
      <w:r>
        <w:rPr>
          <w:color w:val="231F20"/>
          <w:w w:val="105"/>
        </w:rPr>
        <w:t>y</w:t>
      </w:r>
      <w:r>
        <w:rPr>
          <w:color w:val="231F20"/>
          <w:spacing w:val="-42"/>
          <w:w w:val="105"/>
        </w:rPr>
        <w:t> </w:t>
      </w:r>
      <w:r>
        <w:rPr>
          <w:color w:val="231F20"/>
          <w:spacing w:val="-3"/>
          <w:w w:val="105"/>
        </w:rPr>
        <w:t>Salas</w:t>
      </w:r>
      <w:r>
        <w:rPr>
          <w:color w:val="231F20"/>
          <w:spacing w:val="-44"/>
          <w:w w:val="105"/>
        </w:rPr>
        <w:t> </w:t>
      </w:r>
      <w:r>
        <w:rPr>
          <w:color w:val="231F20"/>
          <w:spacing w:val="-4"/>
          <w:w w:val="105"/>
        </w:rPr>
        <w:t>Alfaro,</w:t>
      </w:r>
      <w:r>
        <w:rPr>
          <w:color w:val="231F20"/>
          <w:spacing w:val="-45"/>
          <w:w w:val="105"/>
        </w:rPr>
        <w:t> </w:t>
      </w:r>
      <w:r>
        <w:rPr>
          <w:color w:val="231F20"/>
          <w:spacing w:val="-4"/>
          <w:w w:val="105"/>
        </w:rPr>
        <w:t>Renato,</w:t>
      </w:r>
      <w:r>
        <w:rPr>
          <w:color w:val="231F20"/>
          <w:spacing w:val="-45"/>
          <w:w w:val="105"/>
        </w:rPr>
        <w:t> </w:t>
      </w:r>
      <w:r>
        <w:rPr>
          <w:color w:val="231F20"/>
          <w:spacing w:val="-3"/>
          <w:w w:val="105"/>
        </w:rPr>
        <w:t>(2011),</w:t>
      </w:r>
      <w:r>
        <w:rPr>
          <w:color w:val="231F20"/>
          <w:spacing w:val="-45"/>
          <w:w w:val="105"/>
        </w:rPr>
        <w:t> </w:t>
      </w:r>
      <w:r>
        <w:rPr>
          <w:color w:val="231F20"/>
          <w:w w:val="105"/>
        </w:rPr>
        <w:t>“La</w:t>
      </w:r>
      <w:r>
        <w:rPr>
          <w:color w:val="231F20"/>
          <w:spacing w:val="-42"/>
          <w:w w:val="105"/>
        </w:rPr>
        <w:t> </w:t>
      </w:r>
      <w:r>
        <w:rPr>
          <w:color w:val="231F20"/>
          <w:spacing w:val="-3"/>
          <w:w w:val="105"/>
        </w:rPr>
        <w:t>experien- </w:t>
      </w:r>
      <w:r>
        <w:rPr>
          <w:color w:val="231F20"/>
          <w:w w:val="105"/>
        </w:rPr>
        <w:t>cia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3"/>
          <w:w w:val="105"/>
        </w:rPr>
        <w:t>migración</w:t>
      </w:r>
      <w:r>
        <w:rPr>
          <w:color w:val="231F20"/>
          <w:spacing w:val="-8"/>
          <w:w w:val="105"/>
        </w:rPr>
        <w:t> </w:t>
      </w:r>
      <w:r>
        <w:rPr>
          <w:color w:val="231F20"/>
          <w:spacing w:val="-3"/>
          <w:w w:val="105"/>
        </w:rPr>
        <w:t>internacional</w:t>
      </w:r>
      <w:r>
        <w:rPr>
          <w:color w:val="231F20"/>
          <w:spacing w:val="-8"/>
          <w:w w:val="105"/>
        </w:rPr>
        <w:t> </w:t>
      </w:r>
      <w:r>
        <w:rPr>
          <w:color w:val="231F20"/>
          <w:w w:val="105"/>
        </w:rPr>
        <w:t>en</w:t>
      </w:r>
      <w:r>
        <w:rPr>
          <w:color w:val="231F20"/>
          <w:spacing w:val="-8"/>
          <w:w w:val="105"/>
        </w:rPr>
        <w:t> </w:t>
      </w:r>
      <w:r>
        <w:rPr>
          <w:color w:val="231F20"/>
          <w:spacing w:val="-3"/>
          <w:w w:val="105"/>
        </w:rPr>
        <w:t>México</w:t>
      </w:r>
      <w:r>
        <w:rPr>
          <w:color w:val="231F20"/>
          <w:spacing w:val="-8"/>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spacing w:val="-3"/>
          <w:w w:val="105"/>
        </w:rPr>
        <w:t>actores</w:t>
      </w:r>
      <w:r>
        <w:rPr>
          <w:color w:val="231F20"/>
          <w:spacing w:val="-8"/>
          <w:w w:val="105"/>
        </w:rPr>
        <w:t> </w:t>
      </w:r>
      <w:r>
        <w:rPr>
          <w:color w:val="231F20"/>
          <w:spacing w:val="-6"/>
          <w:w w:val="105"/>
        </w:rPr>
        <w:t>locales”, </w:t>
      </w:r>
      <w:r>
        <w:rPr>
          <w:color w:val="231F20"/>
          <w:w w:val="105"/>
        </w:rPr>
        <w:t>en</w:t>
      </w:r>
      <w:r>
        <w:rPr>
          <w:color w:val="231F20"/>
          <w:spacing w:val="-32"/>
          <w:w w:val="105"/>
        </w:rPr>
        <w:t> </w:t>
      </w:r>
      <w:r>
        <w:rPr>
          <w:color w:val="231F20"/>
          <w:spacing w:val="-7"/>
          <w:w w:val="105"/>
        </w:rPr>
        <w:t>Tomás</w:t>
      </w:r>
      <w:r>
        <w:rPr>
          <w:color w:val="231F20"/>
          <w:spacing w:val="-29"/>
          <w:w w:val="105"/>
        </w:rPr>
        <w:t> </w:t>
      </w:r>
      <w:r>
        <w:rPr>
          <w:color w:val="231F20"/>
          <w:spacing w:val="-3"/>
          <w:w w:val="105"/>
        </w:rPr>
        <w:t>Serrano</w:t>
      </w:r>
      <w:r>
        <w:rPr>
          <w:color w:val="231F20"/>
          <w:spacing w:val="-29"/>
          <w:w w:val="105"/>
        </w:rPr>
        <w:t> </w:t>
      </w:r>
      <w:r>
        <w:rPr>
          <w:color w:val="231F20"/>
          <w:w w:val="105"/>
        </w:rPr>
        <w:t>y</w:t>
      </w:r>
      <w:r>
        <w:rPr>
          <w:color w:val="231F20"/>
          <w:spacing w:val="-31"/>
          <w:w w:val="105"/>
        </w:rPr>
        <w:t> </w:t>
      </w:r>
      <w:r>
        <w:rPr>
          <w:color w:val="231F20"/>
          <w:spacing w:val="-3"/>
          <w:w w:val="105"/>
        </w:rPr>
        <w:t>Asael</w:t>
      </w:r>
      <w:r>
        <w:rPr>
          <w:color w:val="231F20"/>
          <w:spacing w:val="-29"/>
          <w:w w:val="105"/>
        </w:rPr>
        <w:t> </w:t>
      </w:r>
      <w:r>
        <w:rPr>
          <w:color w:val="231F20"/>
          <w:spacing w:val="-3"/>
          <w:w w:val="105"/>
        </w:rPr>
        <w:t>Ortíz</w:t>
      </w:r>
      <w:r>
        <w:rPr>
          <w:color w:val="231F20"/>
          <w:spacing w:val="-29"/>
          <w:w w:val="105"/>
        </w:rPr>
        <w:t> </w:t>
      </w:r>
      <w:r>
        <w:rPr>
          <w:color w:val="231F20"/>
          <w:spacing w:val="-3"/>
          <w:w w:val="105"/>
        </w:rPr>
        <w:t>(coords.)</w:t>
      </w:r>
      <w:r>
        <w:rPr>
          <w:color w:val="231F20"/>
          <w:spacing w:val="-29"/>
          <w:w w:val="105"/>
        </w:rPr>
        <w:t> </w:t>
      </w:r>
      <w:r>
        <w:rPr>
          <w:rFonts w:ascii="Arial" w:hAnsi="Arial"/>
          <w:i/>
          <w:color w:val="231F20"/>
          <w:w w:val="105"/>
        </w:rPr>
        <w:t>La</w:t>
      </w:r>
      <w:r>
        <w:rPr>
          <w:rFonts w:ascii="Arial" w:hAnsi="Arial"/>
          <w:i/>
          <w:color w:val="231F20"/>
          <w:spacing w:val="-32"/>
          <w:w w:val="105"/>
        </w:rPr>
        <w:t> </w:t>
      </w:r>
      <w:r>
        <w:rPr>
          <w:rFonts w:ascii="Arial" w:hAnsi="Arial"/>
          <w:i/>
          <w:color w:val="231F20"/>
          <w:spacing w:val="-3"/>
          <w:w w:val="105"/>
        </w:rPr>
        <w:t>investigación</w:t>
      </w:r>
      <w:r>
        <w:rPr>
          <w:rFonts w:ascii="Arial" w:hAnsi="Arial"/>
          <w:i/>
          <w:color w:val="231F20"/>
          <w:spacing w:val="-32"/>
          <w:w w:val="105"/>
        </w:rPr>
        <w:t> </w:t>
      </w:r>
      <w:r>
        <w:rPr>
          <w:rFonts w:ascii="Arial" w:hAnsi="Arial"/>
          <w:i/>
          <w:color w:val="231F20"/>
          <w:spacing w:val="-3"/>
          <w:w w:val="105"/>
        </w:rPr>
        <w:t>social</w:t>
      </w:r>
      <w:r>
        <w:rPr>
          <w:rFonts w:ascii="Arial" w:hAnsi="Arial"/>
          <w:i/>
          <w:color w:val="231F20"/>
          <w:spacing w:val="-32"/>
          <w:w w:val="105"/>
        </w:rPr>
        <w:t> </w:t>
      </w:r>
      <w:r>
        <w:rPr>
          <w:rFonts w:ascii="Arial" w:hAnsi="Arial"/>
          <w:i/>
          <w:color w:val="231F20"/>
          <w:spacing w:val="-3"/>
          <w:w w:val="105"/>
        </w:rPr>
        <w:t>en </w:t>
      </w:r>
      <w:r>
        <w:rPr>
          <w:rFonts w:ascii="Arial" w:hAnsi="Arial"/>
          <w:i/>
          <w:color w:val="231F20"/>
          <w:spacing w:val="-3"/>
        </w:rPr>
        <w:t>México, 2011, </w:t>
      </w:r>
      <w:r>
        <w:rPr>
          <w:color w:val="231F20"/>
          <w:spacing w:val="-5"/>
        </w:rPr>
        <w:t>Pachuca, </w:t>
      </w:r>
      <w:r>
        <w:rPr>
          <w:color w:val="231F20"/>
          <w:spacing w:val="-3"/>
        </w:rPr>
        <w:t>México:</w:t>
      </w:r>
      <w:r>
        <w:rPr>
          <w:color w:val="231F20"/>
          <w:spacing w:val="-5"/>
        </w:rPr>
        <w:t> </w:t>
      </w:r>
      <w:r>
        <w:rPr>
          <w:color w:val="231F20"/>
          <w:sz w:val="17"/>
        </w:rPr>
        <w:t>UAEH</w:t>
      </w:r>
      <w:r>
        <w:rPr>
          <w:color w:val="231F20"/>
        </w:rPr>
        <w:t>.</w:t>
      </w:r>
    </w:p>
    <w:p>
      <w:pPr>
        <w:pStyle w:val="BodyText"/>
        <w:spacing w:line="261" w:lineRule="auto" w:before="3"/>
        <w:ind w:left="2574" w:right="1715" w:hanging="738"/>
        <w:jc w:val="both"/>
      </w:pPr>
      <w:r>
        <w:rPr>
          <w:color w:val="231F20"/>
          <w:w w:val="105"/>
        </w:rPr>
        <w:t>Gries,</w:t>
      </w:r>
      <w:r>
        <w:rPr>
          <w:color w:val="231F20"/>
          <w:spacing w:val="-23"/>
          <w:w w:val="105"/>
        </w:rPr>
        <w:t> </w:t>
      </w:r>
      <w:r>
        <w:rPr>
          <w:color w:val="231F20"/>
          <w:w w:val="105"/>
        </w:rPr>
        <w:t>Thomas</w:t>
      </w:r>
      <w:r>
        <w:rPr>
          <w:color w:val="231F20"/>
          <w:spacing w:val="-14"/>
          <w:w w:val="105"/>
        </w:rPr>
        <w:t> </w:t>
      </w:r>
      <w:r>
        <w:rPr>
          <w:color w:val="231F20"/>
          <w:w w:val="105"/>
        </w:rPr>
        <w:t>y</w:t>
      </w:r>
      <w:r>
        <w:rPr>
          <w:color w:val="231F20"/>
          <w:spacing w:val="-14"/>
          <w:w w:val="105"/>
        </w:rPr>
        <w:t> </w:t>
      </w:r>
      <w:r>
        <w:rPr>
          <w:color w:val="231F20"/>
          <w:w w:val="105"/>
        </w:rPr>
        <w:t>Naude,</w:t>
      </w:r>
      <w:r>
        <w:rPr>
          <w:color w:val="231F20"/>
          <w:spacing w:val="-20"/>
          <w:w w:val="105"/>
        </w:rPr>
        <w:t> </w:t>
      </w:r>
      <w:r>
        <w:rPr>
          <w:color w:val="231F20"/>
          <w:w w:val="105"/>
        </w:rPr>
        <w:t>Wim,</w:t>
      </w:r>
      <w:r>
        <w:rPr>
          <w:color w:val="231F20"/>
          <w:spacing w:val="-19"/>
          <w:w w:val="105"/>
        </w:rPr>
        <w:t> </w:t>
      </w:r>
      <w:r>
        <w:rPr>
          <w:color w:val="231F20"/>
          <w:w w:val="105"/>
        </w:rPr>
        <w:t>(2011),</w:t>
      </w:r>
      <w:r>
        <w:rPr>
          <w:color w:val="231F20"/>
          <w:spacing w:val="-19"/>
          <w:w w:val="105"/>
        </w:rPr>
        <w:t> </w:t>
      </w:r>
      <w:r>
        <w:rPr>
          <w:color w:val="231F20"/>
          <w:w w:val="105"/>
        </w:rPr>
        <w:t>“Entrepreneurship</w:t>
      </w:r>
      <w:r>
        <w:rPr>
          <w:color w:val="231F20"/>
          <w:spacing w:val="-14"/>
          <w:w w:val="105"/>
        </w:rPr>
        <w:t> </w:t>
      </w:r>
      <w:r>
        <w:rPr>
          <w:color w:val="231F20"/>
          <w:w w:val="105"/>
        </w:rPr>
        <w:t>and</w:t>
      </w:r>
      <w:r>
        <w:rPr>
          <w:color w:val="231F20"/>
          <w:spacing w:val="-14"/>
          <w:w w:val="105"/>
        </w:rPr>
        <w:t> </w:t>
      </w:r>
      <w:r>
        <w:rPr>
          <w:color w:val="231F20"/>
          <w:w w:val="105"/>
        </w:rPr>
        <w:t>human</w:t>
      </w:r>
      <w:r>
        <w:rPr>
          <w:color w:val="231F20"/>
          <w:spacing w:val="-14"/>
          <w:w w:val="105"/>
        </w:rPr>
        <w:t> </w:t>
      </w:r>
      <w:r>
        <w:rPr>
          <w:color w:val="231F20"/>
          <w:w w:val="105"/>
        </w:rPr>
        <w:t>de- velopment:</w:t>
      </w:r>
      <w:r>
        <w:rPr>
          <w:color w:val="231F20"/>
          <w:spacing w:val="-10"/>
          <w:w w:val="105"/>
        </w:rPr>
        <w:t> </w:t>
      </w:r>
      <w:r>
        <w:rPr>
          <w:color w:val="231F20"/>
          <w:w w:val="105"/>
        </w:rPr>
        <w:t>A</w:t>
      </w:r>
      <w:r>
        <w:rPr>
          <w:color w:val="231F20"/>
          <w:spacing w:val="-10"/>
          <w:w w:val="105"/>
        </w:rPr>
        <w:t> </w:t>
      </w:r>
      <w:r>
        <w:rPr>
          <w:color w:val="231F20"/>
          <w:w w:val="105"/>
        </w:rPr>
        <w:t>capability</w:t>
      </w:r>
      <w:r>
        <w:rPr>
          <w:color w:val="231F20"/>
          <w:spacing w:val="-7"/>
          <w:w w:val="105"/>
        </w:rPr>
        <w:t> </w:t>
      </w:r>
      <w:r>
        <w:rPr>
          <w:color w:val="231F20"/>
          <w:spacing w:val="-3"/>
          <w:w w:val="105"/>
        </w:rPr>
        <w:t>approach”,</w:t>
      </w:r>
      <w:r>
        <w:rPr>
          <w:color w:val="231F20"/>
          <w:spacing w:val="-12"/>
          <w:w w:val="105"/>
        </w:rPr>
        <w:t> </w:t>
      </w:r>
      <w:r>
        <w:rPr>
          <w:rFonts w:ascii="Arial" w:hAnsi="Arial"/>
          <w:i/>
          <w:color w:val="231F20"/>
          <w:w w:val="105"/>
        </w:rPr>
        <w:t>Journal</w:t>
      </w:r>
      <w:r>
        <w:rPr>
          <w:rFonts w:ascii="Arial" w:hAnsi="Arial"/>
          <w:i/>
          <w:color w:val="231F20"/>
          <w:spacing w:val="-9"/>
          <w:w w:val="105"/>
        </w:rPr>
        <w:t> </w:t>
      </w:r>
      <w:r>
        <w:rPr>
          <w:rFonts w:ascii="Arial" w:hAnsi="Arial"/>
          <w:i/>
          <w:color w:val="231F20"/>
          <w:w w:val="105"/>
        </w:rPr>
        <w:t>of</w:t>
      </w:r>
      <w:r>
        <w:rPr>
          <w:rFonts w:ascii="Arial" w:hAnsi="Arial"/>
          <w:i/>
          <w:color w:val="231F20"/>
          <w:spacing w:val="-5"/>
          <w:w w:val="105"/>
        </w:rPr>
        <w:t> </w:t>
      </w:r>
      <w:r>
        <w:rPr>
          <w:rFonts w:ascii="Arial" w:hAnsi="Arial"/>
          <w:i/>
          <w:color w:val="231F20"/>
          <w:w w:val="105"/>
        </w:rPr>
        <w:t>Public</w:t>
      </w:r>
      <w:r>
        <w:rPr>
          <w:rFonts w:ascii="Arial" w:hAnsi="Arial"/>
          <w:i/>
          <w:color w:val="231F20"/>
          <w:spacing w:val="-9"/>
          <w:w w:val="105"/>
        </w:rPr>
        <w:t> </w:t>
      </w:r>
      <w:r>
        <w:rPr>
          <w:rFonts w:ascii="Arial" w:hAnsi="Arial"/>
          <w:i/>
          <w:color w:val="231F20"/>
          <w:w w:val="105"/>
        </w:rPr>
        <w:t>Economics</w:t>
      </w:r>
      <w:r>
        <w:rPr>
          <w:color w:val="231F20"/>
          <w:w w:val="105"/>
        </w:rPr>
        <w:t>, núm.</w:t>
      </w:r>
      <w:r>
        <w:rPr>
          <w:color w:val="231F20"/>
          <w:spacing w:val="-28"/>
          <w:w w:val="105"/>
        </w:rPr>
        <w:t> </w:t>
      </w:r>
      <w:r>
        <w:rPr>
          <w:color w:val="231F20"/>
          <w:w w:val="105"/>
        </w:rPr>
        <w:t>95.</w:t>
      </w:r>
    </w:p>
    <w:p>
      <w:pPr>
        <w:spacing w:line="259" w:lineRule="auto" w:before="1"/>
        <w:ind w:left="2574" w:right="1721" w:hanging="738"/>
        <w:jc w:val="both"/>
        <w:rPr>
          <w:sz w:val="21"/>
        </w:rPr>
      </w:pPr>
      <w:r>
        <w:rPr>
          <w:color w:val="231F20"/>
          <w:sz w:val="21"/>
        </w:rPr>
        <w:t>Ivanova, Vanya, (2013), “Return Migration: existing policies and practices in Bulgaria”, en Isabell Zwania e Ivanova Vanya (eds.), </w:t>
      </w:r>
      <w:r>
        <w:rPr>
          <w:rFonts w:ascii="Arial" w:hAnsi="Arial"/>
          <w:i/>
          <w:color w:val="231F20"/>
          <w:sz w:val="21"/>
        </w:rPr>
        <w:t>Welcome </w:t>
      </w:r>
      <w:r>
        <w:rPr>
          <w:rFonts w:ascii="Arial" w:hAnsi="Arial"/>
          <w:i/>
          <w:color w:val="231F20"/>
          <w:sz w:val="21"/>
        </w:rPr>
        <w:t>home? Challenges and chances of return migration</w:t>
      </w:r>
      <w:r>
        <w:rPr>
          <w:color w:val="231F20"/>
          <w:sz w:val="21"/>
        </w:rPr>
        <w:t>, Bulgaria: Transatlantic Forum  on Migration and  Integration.</w:t>
      </w:r>
    </w:p>
    <w:p>
      <w:pPr>
        <w:spacing w:line="259" w:lineRule="auto" w:before="3"/>
        <w:ind w:left="2574" w:right="1720" w:hanging="738"/>
        <w:jc w:val="both"/>
        <w:rPr>
          <w:sz w:val="21"/>
        </w:rPr>
      </w:pPr>
      <w:r>
        <w:rPr>
          <w:color w:val="231F20"/>
          <w:w w:val="105"/>
          <w:sz w:val="21"/>
        </w:rPr>
        <w:t>King,</w:t>
      </w:r>
      <w:r>
        <w:rPr>
          <w:color w:val="231F20"/>
          <w:spacing w:val="-21"/>
          <w:w w:val="105"/>
          <w:sz w:val="21"/>
        </w:rPr>
        <w:t> </w:t>
      </w:r>
      <w:r>
        <w:rPr>
          <w:color w:val="231F20"/>
          <w:w w:val="105"/>
          <w:sz w:val="21"/>
        </w:rPr>
        <w:t>Russell,</w:t>
      </w:r>
      <w:r>
        <w:rPr>
          <w:color w:val="231F20"/>
          <w:spacing w:val="-21"/>
          <w:w w:val="105"/>
          <w:sz w:val="21"/>
        </w:rPr>
        <w:t> </w:t>
      </w:r>
      <w:r>
        <w:rPr>
          <w:color w:val="231F20"/>
          <w:w w:val="105"/>
          <w:sz w:val="21"/>
        </w:rPr>
        <w:t>(1986),</w:t>
      </w:r>
      <w:r>
        <w:rPr>
          <w:color w:val="231F20"/>
          <w:spacing w:val="-21"/>
          <w:w w:val="105"/>
          <w:sz w:val="21"/>
        </w:rPr>
        <w:t> </w:t>
      </w:r>
      <w:r>
        <w:rPr>
          <w:color w:val="231F20"/>
          <w:w w:val="105"/>
          <w:sz w:val="21"/>
        </w:rPr>
        <w:t>“Return</w:t>
      </w:r>
      <w:r>
        <w:rPr>
          <w:color w:val="231F20"/>
          <w:spacing w:val="-16"/>
          <w:w w:val="105"/>
          <w:sz w:val="21"/>
        </w:rPr>
        <w:t> </w:t>
      </w:r>
      <w:r>
        <w:rPr>
          <w:color w:val="231F20"/>
          <w:w w:val="105"/>
          <w:sz w:val="21"/>
        </w:rPr>
        <w:t>Migration</w:t>
      </w:r>
      <w:r>
        <w:rPr>
          <w:color w:val="231F20"/>
          <w:spacing w:val="-16"/>
          <w:w w:val="105"/>
          <w:sz w:val="21"/>
        </w:rPr>
        <w:t> </w:t>
      </w:r>
      <w:r>
        <w:rPr>
          <w:color w:val="231F20"/>
          <w:w w:val="105"/>
          <w:sz w:val="21"/>
        </w:rPr>
        <w:t>and</w:t>
      </w:r>
      <w:r>
        <w:rPr>
          <w:color w:val="231F20"/>
          <w:spacing w:val="-16"/>
          <w:w w:val="105"/>
          <w:sz w:val="21"/>
        </w:rPr>
        <w:t> </w:t>
      </w:r>
      <w:r>
        <w:rPr>
          <w:color w:val="231F20"/>
          <w:w w:val="105"/>
          <w:sz w:val="21"/>
        </w:rPr>
        <w:t>regional</w:t>
      </w:r>
      <w:r>
        <w:rPr>
          <w:color w:val="231F20"/>
          <w:spacing w:val="-16"/>
          <w:w w:val="105"/>
          <w:sz w:val="21"/>
        </w:rPr>
        <w:t> </w:t>
      </w:r>
      <w:r>
        <w:rPr>
          <w:color w:val="231F20"/>
          <w:w w:val="105"/>
          <w:sz w:val="21"/>
        </w:rPr>
        <w:t>economic</w:t>
      </w:r>
      <w:r>
        <w:rPr>
          <w:color w:val="231F20"/>
          <w:spacing w:val="-16"/>
          <w:w w:val="105"/>
          <w:sz w:val="21"/>
        </w:rPr>
        <w:t> </w:t>
      </w:r>
      <w:r>
        <w:rPr>
          <w:color w:val="231F20"/>
          <w:w w:val="105"/>
          <w:sz w:val="21"/>
        </w:rPr>
        <w:t>develop- ment: an overview”, en Russell King (ed.), </w:t>
      </w:r>
      <w:r>
        <w:rPr>
          <w:rFonts w:ascii="Arial" w:hAnsi="Arial"/>
          <w:i/>
          <w:color w:val="231F20"/>
          <w:w w:val="105"/>
          <w:sz w:val="21"/>
        </w:rPr>
        <w:t>Return Migration</w:t>
      </w:r>
      <w:r>
        <w:rPr>
          <w:rFonts w:ascii="Arial" w:hAnsi="Arial"/>
          <w:i/>
          <w:color w:val="231F20"/>
          <w:spacing w:val="-25"/>
          <w:w w:val="105"/>
          <w:sz w:val="21"/>
        </w:rPr>
        <w:t> </w:t>
      </w:r>
      <w:r>
        <w:rPr>
          <w:rFonts w:ascii="Arial" w:hAnsi="Arial"/>
          <w:i/>
          <w:color w:val="231F20"/>
          <w:w w:val="105"/>
          <w:sz w:val="21"/>
        </w:rPr>
        <w:t>and </w:t>
      </w:r>
      <w:r>
        <w:rPr>
          <w:rFonts w:ascii="Arial" w:hAnsi="Arial"/>
          <w:i/>
          <w:color w:val="231F20"/>
          <w:w w:val="105"/>
          <w:sz w:val="21"/>
        </w:rPr>
        <w:t>regional economic problems</w:t>
      </w:r>
      <w:r>
        <w:rPr>
          <w:color w:val="231F20"/>
          <w:w w:val="105"/>
          <w:sz w:val="21"/>
        </w:rPr>
        <w:t>,</w:t>
      </w:r>
      <w:r>
        <w:rPr>
          <w:color w:val="231F20"/>
          <w:spacing w:val="-43"/>
          <w:w w:val="105"/>
          <w:sz w:val="21"/>
        </w:rPr>
        <w:t> </w:t>
      </w:r>
      <w:r>
        <w:rPr>
          <w:color w:val="231F20"/>
          <w:w w:val="105"/>
          <w:sz w:val="21"/>
        </w:rPr>
        <w:t>Londres: Croom Helm.</w:t>
      </w:r>
    </w:p>
    <w:p>
      <w:pPr>
        <w:spacing w:line="259" w:lineRule="auto" w:before="0"/>
        <w:ind w:left="2574" w:right="1724" w:hanging="738"/>
        <w:jc w:val="both"/>
        <w:rPr>
          <w:sz w:val="21"/>
        </w:rPr>
      </w:pPr>
      <w:r>
        <w:rPr>
          <w:color w:val="231F20"/>
          <w:spacing w:val="-3"/>
          <w:sz w:val="21"/>
        </w:rPr>
        <w:t>Long, Norman, (2007), S</w:t>
      </w:r>
      <w:r>
        <w:rPr>
          <w:rFonts w:ascii="Arial" w:hAnsi="Arial"/>
          <w:i/>
          <w:color w:val="231F20"/>
          <w:spacing w:val="-3"/>
          <w:sz w:val="21"/>
        </w:rPr>
        <w:t>ociología </w:t>
      </w:r>
      <w:r>
        <w:rPr>
          <w:rFonts w:ascii="Arial" w:hAnsi="Arial"/>
          <w:i/>
          <w:color w:val="231F20"/>
          <w:sz w:val="21"/>
        </w:rPr>
        <w:t>del </w:t>
      </w:r>
      <w:r>
        <w:rPr>
          <w:rFonts w:ascii="Arial" w:hAnsi="Arial"/>
          <w:i/>
          <w:color w:val="231F20"/>
          <w:spacing w:val="-3"/>
          <w:sz w:val="21"/>
        </w:rPr>
        <w:t>desarrollo: </w:t>
      </w:r>
      <w:r>
        <w:rPr>
          <w:rFonts w:ascii="Arial" w:hAnsi="Arial"/>
          <w:i/>
          <w:color w:val="231F20"/>
          <w:sz w:val="21"/>
        </w:rPr>
        <w:t>una </w:t>
      </w:r>
      <w:r>
        <w:rPr>
          <w:rFonts w:ascii="Arial" w:hAnsi="Arial"/>
          <w:i/>
          <w:color w:val="231F20"/>
          <w:spacing w:val="-3"/>
          <w:sz w:val="21"/>
        </w:rPr>
        <w:t>perspectiva </w:t>
      </w:r>
      <w:r>
        <w:rPr>
          <w:rFonts w:ascii="Arial" w:hAnsi="Arial"/>
          <w:i/>
          <w:color w:val="231F20"/>
          <w:spacing w:val="-4"/>
          <w:sz w:val="21"/>
        </w:rPr>
        <w:t>centrada </w:t>
      </w:r>
      <w:r>
        <w:rPr>
          <w:rFonts w:ascii="Arial" w:hAnsi="Arial"/>
          <w:i/>
          <w:color w:val="231F20"/>
          <w:sz w:val="21"/>
        </w:rPr>
        <w:t>en el </w:t>
      </w:r>
      <w:r>
        <w:rPr>
          <w:rFonts w:ascii="Arial" w:hAnsi="Arial"/>
          <w:i/>
          <w:color w:val="231F20"/>
          <w:spacing w:val="-4"/>
          <w:sz w:val="21"/>
        </w:rPr>
        <w:t>actor, </w:t>
      </w:r>
      <w:r>
        <w:rPr>
          <w:color w:val="231F20"/>
          <w:sz w:val="21"/>
        </w:rPr>
        <w:t>San </w:t>
      </w:r>
      <w:r>
        <w:rPr>
          <w:color w:val="231F20"/>
          <w:spacing w:val="-3"/>
          <w:sz w:val="21"/>
        </w:rPr>
        <w:t>Luis </w:t>
      </w:r>
      <w:r>
        <w:rPr>
          <w:color w:val="231F20"/>
          <w:spacing w:val="-5"/>
          <w:sz w:val="21"/>
        </w:rPr>
        <w:t>Potosí, </w:t>
      </w:r>
      <w:r>
        <w:rPr>
          <w:color w:val="231F20"/>
          <w:spacing w:val="-3"/>
          <w:sz w:val="21"/>
        </w:rPr>
        <w:t>México: </w:t>
      </w:r>
      <w:r>
        <w:rPr>
          <w:color w:val="231F20"/>
          <w:spacing w:val="-3"/>
          <w:sz w:val="17"/>
        </w:rPr>
        <w:t>CIESAS</w:t>
      </w:r>
      <w:r>
        <w:rPr>
          <w:color w:val="231F20"/>
          <w:spacing w:val="-3"/>
          <w:sz w:val="21"/>
        </w:rPr>
        <w:t>/</w:t>
      </w:r>
      <w:r>
        <w:rPr>
          <w:color w:val="231F20"/>
          <w:spacing w:val="-3"/>
          <w:sz w:val="17"/>
        </w:rPr>
        <w:t>COLSAN</w:t>
      </w:r>
      <w:r>
        <w:rPr>
          <w:color w:val="231F20"/>
          <w:spacing w:val="-3"/>
          <w:sz w:val="21"/>
        </w:rPr>
        <w:t>.</w:t>
      </w:r>
    </w:p>
    <w:p>
      <w:pPr>
        <w:spacing w:line="259" w:lineRule="auto" w:before="3"/>
        <w:ind w:left="2574" w:right="1721" w:hanging="738"/>
        <w:jc w:val="both"/>
        <w:rPr>
          <w:sz w:val="21"/>
        </w:rPr>
      </w:pPr>
      <w:r>
        <w:rPr>
          <w:color w:val="231F20"/>
          <w:sz w:val="21"/>
        </w:rPr>
        <w:t>Monereo, Carles, Castello, Monserrat, Mercé, Clariana, </w:t>
      </w:r>
      <w:r>
        <w:rPr>
          <w:color w:val="231F20"/>
          <w:spacing w:val="-3"/>
          <w:sz w:val="21"/>
        </w:rPr>
        <w:t>Palma, </w:t>
      </w:r>
      <w:r>
        <w:rPr>
          <w:color w:val="231F20"/>
          <w:sz w:val="21"/>
        </w:rPr>
        <w:t>Monserrat y</w:t>
      </w:r>
      <w:r>
        <w:rPr>
          <w:color w:val="231F20"/>
          <w:spacing w:val="-6"/>
          <w:sz w:val="21"/>
        </w:rPr>
        <w:t> </w:t>
      </w:r>
      <w:r>
        <w:rPr>
          <w:color w:val="231F20"/>
          <w:spacing w:val="-4"/>
          <w:sz w:val="21"/>
        </w:rPr>
        <w:t>Pérez,</w:t>
      </w:r>
      <w:r>
        <w:rPr>
          <w:color w:val="231F20"/>
          <w:spacing w:val="-11"/>
          <w:sz w:val="21"/>
        </w:rPr>
        <w:t> </w:t>
      </w:r>
      <w:r>
        <w:rPr>
          <w:color w:val="231F20"/>
          <w:sz w:val="21"/>
        </w:rPr>
        <w:t>María</w:t>
      </w:r>
      <w:r>
        <w:rPr>
          <w:color w:val="231F20"/>
          <w:spacing w:val="-6"/>
          <w:sz w:val="21"/>
        </w:rPr>
        <w:t> </w:t>
      </w:r>
      <w:r>
        <w:rPr>
          <w:color w:val="231F20"/>
          <w:sz w:val="21"/>
        </w:rPr>
        <w:t>Luisa,</w:t>
      </w:r>
      <w:r>
        <w:rPr>
          <w:color w:val="231F20"/>
          <w:spacing w:val="-11"/>
          <w:sz w:val="21"/>
        </w:rPr>
        <w:t> </w:t>
      </w:r>
      <w:r>
        <w:rPr>
          <w:color w:val="231F20"/>
          <w:sz w:val="21"/>
        </w:rPr>
        <w:t>(1999),</w:t>
      </w:r>
      <w:r>
        <w:rPr>
          <w:color w:val="231F20"/>
          <w:spacing w:val="-11"/>
          <w:sz w:val="21"/>
        </w:rPr>
        <w:t> </w:t>
      </w:r>
      <w:r>
        <w:rPr>
          <w:rFonts w:ascii="Arial" w:hAnsi="Arial"/>
          <w:i/>
          <w:color w:val="231F20"/>
          <w:sz w:val="21"/>
        </w:rPr>
        <w:t>Estrategias</w:t>
      </w:r>
      <w:r>
        <w:rPr>
          <w:rFonts w:ascii="Arial" w:hAnsi="Arial"/>
          <w:i/>
          <w:color w:val="231F20"/>
          <w:spacing w:val="-8"/>
          <w:sz w:val="21"/>
        </w:rPr>
        <w:t> </w:t>
      </w:r>
      <w:r>
        <w:rPr>
          <w:rFonts w:ascii="Arial" w:hAnsi="Arial"/>
          <w:i/>
          <w:color w:val="231F20"/>
          <w:sz w:val="21"/>
        </w:rPr>
        <w:t>y</w:t>
      </w:r>
      <w:r>
        <w:rPr>
          <w:rFonts w:ascii="Arial" w:hAnsi="Arial"/>
          <w:i/>
          <w:color w:val="231F20"/>
          <w:spacing w:val="-8"/>
          <w:sz w:val="21"/>
        </w:rPr>
        <w:t> </w:t>
      </w:r>
      <w:r>
        <w:rPr>
          <w:rFonts w:ascii="Arial" w:hAnsi="Arial"/>
          <w:i/>
          <w:color w:val="231F20"/>
          <w:sz w:val="21"/>
        </w:rPr>
        <w:t>enseñanzas</w:t>
      </w:r>
      <w:r>
        <w:rPr>
          <w:rFonts w:ascii="Arial" w:hAnsi="Arial"/>
          <w:i/>
          <w:color w:val="231F20"/>
          <w:spacing w:val="-8"/>
          <w:sz w:val="21"/>
        </w:rPr>
        <w:t> </w:t>
      </w:r>
      <w:r>
        <w:rPr>
          <w:rFonts w:ascii="Arial" w:hAnsi="Arial"/>
          <w:i/>
          <w:color w:val="231F20"/>
          <w:sz w:val="21"/>
        </w:rPr>
        <w:t>de</w:t>
      </w:r>
      <w:r>
        <w:rPr>
          <w:rFonts w:ascii="Arial" w:hAnsi="Arial"/>
          <w:i/>
          <w:color w:val="231F20"/>
          <w:spacing w:val="-8"/>
          <w:sz w:val="21"/>
        </w:rPr>
        <w:t> </w:t>
      </w:r>
      <w:r>
        <w:rPr>
          <w:rFonts w:ascii="Arial" w:hAnsi="Arial"/>
          <w:i/>
          <w:color w:val="231F20"/>
          <w:sz w:val="21"/>
        </w:rPr>
        <w:t>aprendi- </w:t>
      </w:r>
      <w:r>
        <w:rPr>
          <w:rFonts w:ascii="Arial" w:hAnsi="Arial"/>
          <w:i/>
          <w:color w:val="231F20"/>
          <w:sz w:val="21"/>
        </w:rPr>
        <w:t>zaje</w:t>
      </w:r>
      <w:r>
        <w:rPr>
          <w:color w:val="231F20"/>
          <w:sz w:val="21"/>
        </w:rPr>
        <w:t>, Barcelona: Editorial</w:t>
      </w:r>
      <w:r>
        <w:rPr>
          <w:color w:val="231F20"/>
          <w:spacing w:val="30"/>
          <w:sz w:val="21"/>
        </w:rPr>
        <w:t> </w:t>
      </w:r>
      <w:r>
        <w:rPr>
          <w:color w:val="231F20"/>
          <w:sz w:val="21"/>
        </w:rPr>
        <w:t>Graó.</w:t>
      </w:r>
    </w:p>
    <w:p>
      <w:pPr>
        <w:pStyle w:val="BodyText"/>
        <w:spacing w:line="261" w:lineRule="auto" w:before="3"/>
        <w:ind w:left="2574" w:right="1721" w:hanging="738"/>
        <w:jc w:val="both"/>
      </w:pPr>
      <w:r>
        <w:rPr>
          <w:color w:val="231F20"/>
          <w:w w:val="105"/>
        </w:rPr>
        <w:t>Murphy, Rachel, (2000), “Return Migration, entrepreneurship and local state corporatism in rural China: the experience of two counties in</w:t>
      </w:r>
      <w:r>
        <w:rPr>
          <w:color w:val="231F20"/>
          <w:spacing w:val="-17"/>
          <w:w w:val="105"/>
        </w:rPr>
        <w:t> </w:t>
      </w:r>
      <w:r>
        <w:rPr>
          <w:color w:val="231F20"/>
          <w:w w:val="105"/>
        </w:rPr>
        <w:t>south</w:t>
      </w:r>
      <w:r>
        <w:rPr>
          <w:color w:val="231F20"/>
          <w:spacing w:val="-19"/>
          <w:w w:val="105"/>
        </w:rPr>
        <w:t> </w:t>
      </w:r>
      <w:r>
        <w:rPr>
          <w:color w:val="231F20"/>
          <w:spacing w:val="-3"/>
          <w:w w:val="105"/>
        </w:rPr>
        <w:t>Jiangxi”,</w:t>
      </w:r>
      <w:r>
        <w:rPr>
          <w:color w:val="231F20"/>
          <w:spacing w:val="-22"/>
          <w:w w:val="105"/>
        </w:rPr>
        <w:t> </w:t>
      </w:r>
      <w:r>
        <w:rPr>
          <w:rFonts w:ascii="Arial" w:hAnsi="Arial"/>
          <w:i/>
          <w:color w:val="231F20"/>
          <w:w w:val="105"/>
        </w:rPr>
        <w:t>Journal</w:t>
      </w:r>
      <w:r>
        <w:rPr>
          <w:rFonts w:ascii="Arial" w:hAnsi="Arial"/>
          <w:i/>
          <w:color w:val="231F20"/>
          <w:spacing w:val="-20"/>
          <w:w w:val="105"/>
        </w:rPr>
        <w:t> </w:t>
      </w:r>
      <w:r>
        <w:rPr>
          <w:rFonts w:ascii="Arial" w:hAnsi="Arial"/>
          <w:i/>
          <w:color w:val="231F20"/>
          <w:w w:val="105"/>
        </w:rPr>
        <w:t>of</w:t>
      </w:r>
      <w:r>
        <w:rPr>
          <w:rFonts w:ascii="Arial" w:hAnsi="Arial"/>
          <w:i/>
          <w:color w:val="231F20"/>
          <w:spacing w:val="-16"/>
          <w:w w:val="105"/>
        </w:rPr>
        <w:t> </w:t>
      </w:r>
      <w:r>
        <w:rPr>
          <w:rFonts w:ascii="Arial" w:hAnsi="Arial"/>
          <w:i/>
          <w:color w:val="231F20"/>
          <w:w w:val="105"/>
        </w:rPr>
        <w:t>contemporary</w:t>
      </w:r>
      <w:r>
        <w:rPr>
          <w:rFonts w:ascii="Arial" w:hAnsi="Arial"/>
          <w:i/>
          <w:color w:val="231F20"/>
          <w:spacing w:val="-20"/>
          <w:w w:val="105"/>
        </w:rPr>
        <w:t> </w:t>
      </w:r>
      <w:r>
        <w:rPr>
          <w:rFonts w:ascii="Arial" w:hAnsi="Arial"/>
          <w:i/>
          <w:color w:val="231F20"/>
          <w:w w:val="105"/>
        </w:rPr>
        <w:t>China</w:t>
      </w:r>
      <w:r>
        <w:rPr>
          <w:color w:val="231F20"/>
          <w:w w:val="105"/>
        </w:rPr>
        <w:t>,</w:t>
      </w:r>
      <w:r>
        <w:rPr>
          <w:color w:val="231F20"/>
          <w:spacing w:val="-22"/>
          <w:w w:val="105"/>
        </w:rPr>
        <w:t> </w:t>
      </w:r>
      <w:r>
        <w:rPr>
          <w:color w:val="231F20"/>
          <w:w w:val="105"/>
        </w:rPr>
        <w:t>vol.</w:t>
      </w:r>
      <w:r>
        <w:rPr>
          <w:color w:val="231F20"/>
          <w:spacing w:val="-22"/>
          <w:w w:val="105"/>
        </w:rPr>
        <w:t> </w:t>
      </w:r>
      <w:r>
        <w:rPr>
          <w:color w:val="231F20"/>
          <w:w w:val="105"/>
        </w:rPr>
        <w:t>24,</w:t>
      </w:r>
      <w:r>
        <w:rPr>
          <w:color w:val="231F20"/>
          <w:spacing w:val="-22"/>
          <w:w w:val="105"/>
        </w:rPr>
        <w:t> </w:t>
      </w:r>
      <w:r>
        <w:rPr>
          <w:color w:val="231F20"/>
          <w:w w:val="105"/>
        </w:rPr>
        <w:t>núm.</w:t>
      </w:r>
      <w:r>
        <w:rPr>
          <w:color w:val="231F20"/>
          <w:spacing w:val="-22"/>
          <w:w w:val="105"/>
        </w:rPr>
        <w:t> </w:t>
      </w:r>
      <w:r>
        <w:rPr>
          <w:color w:val="231F20"/>
          <w:w w:val="105"/>
        </w:rPr>
        <w:t>9.</w:t>
      </w:r>
    </w:p>
    <w:p>
      <w:pPr>
        <w:spacing w:line="261" w:lineRule="auto" w:before="0"/>
        <w:ind w:left="2574" w:right="1721" w:hanging="738"/>
        <w:jc w:val="both"/>
        <w:rPr>
          <w:sz w:val="21"/>
        </w:rPr>
      </w:pPr>
      <w:r>
        <w:rPr>
          <w:color w:val="231F20"/>
          <w:w w:val="105"/>
          <w:sz w:val="21"/>
        </w:rPr>
        <w:t>Nyíri,</w:t>
      </w:r>
      <w:r>
        <w:rPr>
          <w:color w:val="231F20"/>
          <w:spacing w:val="-18"/>
          <w:w w:val="105"/>
          <w:sz w:val="21"/>
        </w:rPr>
        <w:t> </w:t>
      </w:r>
      <w:r>
        <w:rPr>
          <w:color w:val="231F20"/>
          <w:spacing w:val="-5"/>
          <w:w w:val="105"/>
          <w:sz w:val="21"/>
        </w:rPr>
        <w:t>Pál,</w:t>
      </w:r>
      <w:r>
        <w:rPr>
          <w:color w:val="231F20"/>
          <w:spacing w:val="-18"/>
          <w:w w:val="105"/>
          <w:sz w:val="21"/>
        </w:rPr>
        <w:t> </w:t>
      </w:r>
      <w:r>
        <w:rPr>
          <w:color w:val="231F20"/>
          <w:w w:val="105"/>
          <w:sz w:val="21"/>
        </w:rPr>
        <w:t>(2005),</w:t>
      </w:r>
      <w:r>
        <w:rPr>
          <w:color w:val="231F20"/>
          <w:spacing w:val="-18"/>
          <w:w w:val="105"/>
          <w:sz w:val="21"/>
        </w:rPr>
        <w:t> </w:t>
      </w:r>
      <w:r>
        <w:rPr>
          <w:color w:val="231F20"/>
          <w:spacing w:val="-4"/>
          <w:w w:val="105"/>
          <w:sz w:val="21"/>
        </w:rPr>
        <w:t>“From</w:t>
      </w:r>
      <w:r>
        <w:rPr>
          <w:color w:val="231F20"/>
          <w:spacing w:val="-14"/>
          <w:w w:val="105"/>
          <w:sz w:val="21"/>
        </w:rPr>
        <w:t> </w:t>
      </w:r>
      <w:r>
        <w:rPr>
          <w:color w:val="231F20"/>
          <w:w w:val="105"/>
          <w:sz w:val="21"/>
        </w:rPr>
        <w:t>class</w:t>
      </w:r>
      <w:r>
        <w:rPr>
          <w:color w:val="231F20"/>
          <w:spacing w:val="-14"/>
          <w:w w:val="105"/>
          <w:sz w:val="21"/>
        </w:rPr>
        <w:t> </w:t>
      </w:r>
      <w:r>
        <w:rPr>
          <w:color w:val="231F20"/>
          <w:w w:val="105"/>
          <w:sz w:val="21"/>
        </w:rPr>
        <w:t>enemies</w:t>
      </w:r>
      <w:r>
        <w:rPr>
          <w:color w:val="231F20"/>
          <w:spacing w:val="-14"/>
          <w:w w:val="105"/>
          <w:sz w:val="21"/>
        </w:rPr>
        <w:t> </w:t>
      </w:r>
      <w:r>
        <w:rPr>
          <w:color w:val="231F20"/>
          <w:w w:val="105"/>
          <w:sz w:val="21"/>
        </w:rPr>
        <w:t>to</w:t>
      </w:r>
      <w:r>
        <w:rPr>
          <w:color w:val="231F20"/>
          <w:spacing w:val="-14"/>
          <w:w w:val="105"/>
          <w:sz w:val="21"/>
        </w:rPr>
        <w:t> </w:t>
      </w:r>
      <w:r>
        <w:rPr>
          <w:color w:val="231F20"/>
          <w:spacing w:val="-4"/>
          <w:w w:val="105"/>
          <w:sz w:val="21"/>
        </w:rPr>
        <w:t>Patriots:</w:t>
      </w:r>
      <w:r>
        <w:rPr>
          <w:color w:val="231F20"/>
          <w:spacing w:val="-14"/>
          <w:w w:val="105"/>
          <w:sz w:val="21"/>
        </w:rPr>
        <w:t> </w:t>
      </w:r>
      <w:r>
        <w:rPr>
          <w:color w:val="231F20"/>
          <w:w w:val="105"/>
          <w:sz w:val="21"/>
        </w:rPr>
        <w:t>overseas</w:t>
      </w:r>
      <w:r>
        <w:rPr>
          <w:color w:val="231F20"/>
          <w:spacing w:val="-14"/>
          <w:w w:val="105"/>
          <w:sz w:val="21"/>
        </w:rPr>
        <w:t> </w:t>
      </w:r>
      <w:r>
        <w:rPr>
          <w:color w:val="231F20"/>
          <w:w w:val="105"/>
          <w:sz w:val="21"/>
        </w:rPr>
        <w:t>chinese</w:t>
      </w:r>
      <w:r>
        <w:rPr>
          <w:color w:val="231F20"/>
          <w:spacing w:val="-14"/>
          <w:w w:val="105"/>
          <w:sz w:val="21"/>
        </w:rPr>
        <w:t> </w:t>
      </w:r>
      <w:r>
        <w:rPr>
          <w:color w:val="231F20"/>
          <w:spacing w:val="-2"/>
          <w:w w:val="105"/>
          <w:sz w:val="21"/>
        </w:rPr>
        <w:t>and </w:t>
      </w:r>
      <w:r>
        <w:rPr>
          <w:color w:val="231F20"/>
          <w:spacing w:val="-3"/>
          <w:w w:val="105"/>
          <w:sz w:val="21"/>
        </w:rPr>
        <w:t>emigration </w:t>
      </w:r>
      <w:r>
        <w:rPr>
          <w:color w:val="231F20"/>
          <w:spacing w:val="-5"/>
          <w:w w:val="105"/>
          <w:sz w:val="21"/>
        </w:rPr>
        <w:t>Policy </w:t>
      </w:r>
      <w:r>
        <w:rPr>
          <w:color w:val="231F20"/>
          <w:w w:val="105"/>
          <w:sz w:val="21"/>
        </w:rPr>
        <w:t>and discourse in the </w:t>
      </w:r>
      <w:r>
        <w:rPr>
          <w:color w:val="231F20"/>
          <w:spacing w:val="-5"/>
          <w:w w:val="105"/>
          <w:sz w:val="21"/>
        </w:rPr>
        <w:t>People’s </w:t>
      </w:r>
      <w:r>
        <w:rPr>
          <w:color w:val="231F20"/>
          <w:w w:val="105"/>
          <w:sz w:val="21"/>
        </w:rPr>
        <w:t>Republic of Chi- </w:t>
      </w:r>
      <w:r>
        <w:rPr>
          <w:color w:val="231F20"/>
          <w:spacing w:val="-9"/>
          <w:w w:val="105"/>
          <w:sz w:val="21"/>
        </w:rPr>
        <w:t>na”,</w:t>
      </w:r>
      <w:r>
        <w:rPr>
          <w:color w:val="231F20"/>
          <w:spacing w:val="-22"/>
          <w:w w:val="105"/>
          <w:sz w:val="21"/>
        </w:rPr>
        <w:t> </w:t>
      </w:r>
      <w:r>
        <w:rPr>
          <w:color w:val="231F20"/>
          <w:w w:val="105"/>
          <w:sz w:val="21"/>
        </w:rPr>
        <w:t>en</w:t>
      </w:r>
      <w:r>
        <w:rPr>
          <w:color w:val="231F20"/>
          <w:spacing w:val="-18"/>
          <w:w w:val="105"/>
          <w:sz w:val="21"/>
        </w:rPr>
        <w:t> </w:t>
      </w:r>
      <w:r>
        <w:rPr>
          <w:color w:val="231F20"/>
          <w:spacing w:val="-6"/>
          <w:w w:val="105"/>
          <w:sz w:val="21"/>
        </w:rPr>
        <w:t>Pál</w:t>
      </w:r>
      <w:r>
        <w:rPr>
          <w:color w:val="231F20"/>
          <w:spacing w:val="-18"/>
          <w:w w:val="105"/>
          <w:sz w:val="21"/>
        </w:rPr>
        <w:t> </w:t>
      </w:r>
      <w:r>
        <w:rPr>
          <w:color w:val="231F20"/>
          <w:w w:val="105"/>
          <w:sz w:val="21"/>
        </w:rPr>
        <w:t>Nyíri</w:t>
      </w:r>
      <w:r>
        <w:rPr>
          <w:color w:val="231F20"/>
          <w:spacing w:val="-18"/>
          <w:w w:val="105"/>
          <w:sz w:val="21"/>
        </w:rPr>
        <w:t> </w:t>
      </w:r>
      <w:r>
        <w:rPr>
          <w:color w:val="231F20"/>
          <w:spacing w:val="-3"/>
          <w:w w:val="105"/>
          <w:sz w:val="21"/>
        </w:rPr>
        <w:t>(coord.),</w:t>
      </w:r>
      <w:r>
        <w:rPr>
          <w:color w:val="231F20"/>
          <w:spacing w:val="-22"/>
          <w:w w:val="105"/>
          <w:sz w:val="21"/>
        </w:rPr>
        <w:t> </w:t>
      </w:r>
      <w:r>
        <w:rPr>
          <w:rFonts w:ascii="Arial" w:hAnsi="Arial"/>
          <w:i/>
          <w:color w:val="231F20"/>
          <w:w w:val="105"/>
          <w:sz w:val="21"/>
        </w:rPr>
        <w:t>Globalizing</w:t>
      </w:r>
      <w:r>
        <w:rPr>
          <w:rFonts w:ascii="Arial" w:hAnsi="Arial"/>
          <w:i/>
          <w:color w:val="231F20"/>
          <w:spacing w:val="-20"/>
          <w:w w:val="105"/>
          <w:sz w:val="21"/>
        </w:rPr>
        <w:t> </w:t>
      </w:r>
      <w:r>
        <w:rPr>
          <w:rFonts w:ascii="Arial" w:hAnsi="Arial"/>
          <w:i/>
          <w:color w:val="231F20"/>
          <w:w w:val="105"/>
          <w:sz w:val="21"/>
        </w:rPr>
        <w:t>Chinese</w:t>
      </w:r>
      <w:r>
        <w:rPr>
          <w:rFonts w:ascii="Arial" w:hAnsi="Arial"/>
          <w:i/>
          <w:color w:val="231F20"/>
          <w:spacing w:val="-20"/>
          <w:w w:val="105"/>
          <w:sz w:val="21"/>
        </w:rPr>
        <w:t> </w:t>
      </w:r>
      <w:r>
        <w:rPr>
          <w:rFonts w:ascii="Arial" w:hAnsi="Arial"/>
          <w:i/>
          <w:color w:val="231F20"/>
          <w:spacing w:val="-3"/>
          <w:w w:val="105"/>
          <w:sz w:val="21"/>
        </w:rPr>
        <w:t>Migration.</w:t>
      </w:r>
      <w:r>
        <w:rPr>
          <w:rFonts w:ascii="Arial" w:hAnsi="Arial"/>
          <w:i/>
          <w:color w:val="231F20"/>
          <w:spacing w:val="-29"/>
          <w:w w:val="105"/>
          <w:sz w:val="21"/>
        </w:rPr>
        <w:t> </w:t>
      </w:r>
      <w:r>
        <w:rPr>
          <w:rFonts w:ascii="Arial" w:hAnsi="Arial"/>
          <w:i/>
          <w:color w:val="231F20"/>
          <w:spacing w:val="-5"/>
          <w:w w:val="105"/>
          <w:sz w:val="21"/>
        </w:rPr>
        <w:t>Trends</w:t>
      </w:r>
      <w:r>
        <w:rPr>
          <w:rFonts w:ascii="Arial" w:hAnsi="Arial"/>
          <w:i/>
          <w:color w:val="231F20"/>
          <w:spacing w:val="-20"/>
          <w:w w:val="105"/>
          <w:sz w:val="21"/>
        </w:rPr>
        <w:t> </w:t>
      </w:r>
      <w:r>
        <w:rPr>
          <w:rFonts w:ascii="Arial" w:hAnsi="Arial"/>
          <w:i/>
          <w:color w:val="231F20"/>
          <w:w w:val="105"/>
          <w:sz w:val="21"/>
        </w:rPr>
        <w:t>in </w:t>
      </w:r>
      <w:r>
        <w:rPr>
          <w:rFonts w:ascii="Arial" w:hAnsi="Arial"/>
          <w:i/>
          <w:color w:val="231F20"/>
          <w:w w:val="105"/>
          <w:sz w:val="21"/>
        </w:rPr>
        <w:t>United</w:t>
      </w:r>
      <w:r>
        <w:rPr>
          <w:rFonts w:ascii="Arial" w:hAnsi="Arial"/>
          <w:i/>
          <w:color w:val="231F20"/>
          <w:spacing w:val="-26"/>
          <w:w w:val="105"/>
          <w:sz w:val="21"/>
        </w:rPr>
        <w:t> </w:t>
      </w:r>
      <w:r>
        <w:rPr>
          <w:rFonts w:ascii="Arial" w:hAnsi="Arial"/>
          <w:i/>
          <w:color w:val="231F20"/>
          <w:spacing w:val="-3"/>
          <w:w w:val="105"/>
          <w:sz w:val="21"/>
        </w:rPr>
        <w:t>States,</w:t>
      </w:r>
      <w:r>
        <w:rPr>
          <w:rFonts w:ascii="Arial" w:hAnsi="Arial"/>
          <w:i/>
          <w:color w:val="231F20"/>
          <w:spacing w:val="-30"/>
          <w:w w:val="105"/>
          <w:sz w:val="21"/>
        </w:rPr>
        <w:t> </w:t>
      </w:r>
      <w:r>
        <w:rPr>
          <w:rFonts w:ascii="Arial" w:hAnsi="Arial"/>
          <w:i/>
          <w:color w:val="231F20"/>
          <w:spacing w:val="-2"/>
          <w:w w:val="105"/>
          <w:sz w:val="21"/>
        </w:rPr>
        <w:t>Europe</w:t>
      </w:r>
      <w:r>
        <w:rPr>
          <w:rFonts w:ascii="Arial" w:hAnsi="Arial"/>
          <w:i/>
          <w:color w:val="231F20"/>
          <w:spacing w:val="-26"/>
          <w:w w:val="105"/>
          <w:sz w:val="21"/>
        </w:rPr>
        <w:t> </w:t>
      </w:r>
      <w:r>
        <w:rPr>
          <w:rFonts w:ascii="Arial" w:hAnsi="Arial"/>
          <w:i/>
          <w:color w:val="231F20"/>
          <w:w w:val="105"/>
          <w:sz w:val="21"/>
        </w:rPr>
        <w:t>and</w:t>
      </w:r>
      <w:r>
        <w:rPr>
          <w:rFonts w:ascii="Arial" w:hAnsi="Arial"/>
          <w:i/>
          <w:color w:val="231F20"/>
          <w:spacing w:val="-28"/>
          <w:w w:val="105"/>
          <w:sz w:val="21"/>
        </w:rPr>
        <w:t> </w:t>
      </w:r>
      <w:r>
        <w:rPr>
          <w:rFonts w:ascii="Arial" w:hAnsi="Arial"/>
          <w:i/>
          <w:color w:val="231F20"/>
          <w:w w:val="105"/>
          <w:sz w:val="21"/>
        </w:rPr>
        <w:t>Asia,</w:t>
      </w:r>
      <w:r>
        <w:rPr>
          <w:rFonts w:ascii="Arial" w:hAnsi="Arial"/>
          <w:i/>
          <w:color w:val="231F20"/>
          <w:spacing w:val="-26"/>
          <w:w w:val="105"/>
          <w:sz w:val="21"/>
        </w:rPr>
        <w:t> </w:t>
      </w:r>
      <w:r>
        <w:rPr>
          <w:color w:val="231F20"/>
          <w:spacing w:val="-3"/>
          <w:w w:val="105"/>
          <w:sz w:val="21"/>
        </w:rPr>
        <w:t>Londres:</w:t>
      </w:r>
      <w:r>
        <w:rPr>
          <w:color w:val="231F20"/>
          <w:spacing w:val="-25"/>
          <w:w w:val="105"/>
          <w:sz w:val="21"/>
        </w:rPr>
        <w:t> </w:t>
      </w:r>
      <w:r>
        <w:rPr>
          <w:color w:val="231F20"/>
          <w:w w:val="105"/>
          <w:sz w:val="21"/>
        </w:rPr>
        <w:t>Aldershot</w:t>
      </w:r>
      <w:r>
        <w:rPr>
          <w:color w:val="231F20"/>
          <w:spacing w:val="-23"/>
          <w:w w:val="105"/>
          <w:sz w:val="21"/>
        </w:rPr>
        <w:t> </w:t>
      </w:r>
      <w:r>
        <w:rPr>
          <w:color w:val="231F20"/>
          <w:w w:val="105"/>
          <w:sz w:val="21"/>
        </w:rPr>
        <w:t>et</w:t>
      </w:r>
      <w:r>
        <w:rPr>
          <w:color w:val="231F20"/>
          <w:spacing w:val="-23"/>
          <w:w w:val="105"/>
          <w:sz w:val="21"/>
        </w:rPr>
        <w:t> </w:t>
      </w:r>
      <w:r>
        <w:rPr>
          <w:color w:val="231F20"/>
          <w:w w:val="105"/>
          <w:sz w:val="21"/>
        </w:rPr>
        <w:t>Burlington/ Ashgate</w:t>
      </w:r>
      <w:r>
        <w:rPr>
          <w:color w:val="231F20"/>
          <w:spacing w:val="-30"/>
          <w:w w:val="105"/>
          <w:sz w:val="21"/>
        </w:rPr>
        <w:t> </w:t>
      </w:r>
      <w:r>
        <w:rPr>
          <w:color w:val="231F20"/>
          <w:spacing w:val="-4"/>
          <w:w w:val="105"/>
          <w:sz w:val="21"/>
        </w:rPr>
        <w:t>Publish</w:t>
      </w:r>
      <w:r>
        <w:rPr>
          <w:color w:val="231F20"/>
          <w:spacing w:val="-30"/>
          <w:w w:val="105"/>
          <w:sz w:val="21"/>
        </w:rPr>
        <w:t> </w:t>
      </w:r>
      <w:r>
        <w:rPr>
          <w:color w:val="231F20"/>
          <w:spacing w:val="-2"/>
          <w:w w:val="105"/>
          <w:sz w:val="21"/>
        </w:rPr>
        <w:t>limit.</w:t>
      </w:r>
    </w:p>
    <w:p>
      <w:pPr>
        <w:pStyle w:val="BodyText"/>
        <w:spacing w:line="261" w:lineRule="auto" w:before="1"/>
        <w:ind w:left="2574" w:right="1715" w:hanging="738"/>
        <w:jc w:val="both"/>
      </w:pPr>
      <w:r>
        <w:rPr>
          <w:color w:val="231F20"/>
          <w:w w:val="105"/>
        </w:rPr>
        <w:t>Papail,</w:t>
      </w:r>
      <w:r>
        <w:rPr>
          <w:color w:val="231F20"/>
          <w:spacing w:val="-27"/>
          <w:w w:val="105"/>
        </w:rPr>
        <w:t> </w:t>
      </w:r>
      <w:r>
        <w:rPr>
          <w:color w:val="231F20"/>
          <w:w w:val="105"/>
        </w:rPr>
        <w:t>Jean,</w:t>
      </w:r>
      <w:r>
        <w:rPr>
          <w:color w:val="231F20"/>
          <w:spacing w:val="-25"/>
          <w:w w:val="105"/>
        </w:rPr>
        <w:t> </w:t>
      </w:r>
      <w:r>
        <w:rPr>
          <w:color w:val="231F20"/>
          <w:w w:val="105"/>
        </w:rPr>
        <w:t>(2003),</w:t>
      </w:r>
      <w:r>
        <w:rPr>
          <w:color w:val="231F20"/>
          <w:spacing w:val="-25"/>
          <w:w w:val="105"/>
        </w:rPr>
        <w:t> </w:t>
      </w:r>
      <w:r>
        <w:rPr>
          <w:color w:val="231F20"/>
          <w:w w:val="105"/>
        </w:rPr>
        <w:t>“Migraciones</w:t>
      </w:r>
      <w:r>
        <w:rPr>
          <w:color w:val="231F20"/>
          <w:spacing w:val="-22"/>
          <w:w w:val="105"/>
        </w:rPr>
        <w:t> </w:t>
      </w:r>
      <w:r>
        <w:rPr>
          <w:color w:val="231F20"/>
          <w:w w:val="105"/>
        </w:rPr>
        <w:t>internacionales</w:t>
      </w:r>
      <w:r>
        <w:rPr>
          <w:color w:val="231F20"/>
          <w:spacing w:val="-22"/>
          <w:w w:val="105"/>
        </w:rPr>
        <w:t> </w:t>
      </w:r>
      <w:r>
        <w:rPr>
          <w:color w:val="231F20"/>
          <w:w w:val="105"/>
        </w:rPr>
        <w:t>y</w:t>
      </w:r>
      <w:r>
        <w:rPr>
          <w:color w:val="231F20"/>
          <w:spacing w:val="-22"/>
          <w:w w:val="105"/>
        </w:rPr>
        <w:t> </w:t>
      </w:r>
      <w:r>
        <w:rPr>
          <w:color w:val="231F20"/>
          <w:w w:val="105"/>
        </w:rPr>
        <w:t>familias</w:t>
      </w:r>
      <w:r>
        <w:rPr>
          <w:color w:val="231F20"/>
          <w:spacing w:val="-22"/>
          <w:w w:val="105"/>
        </w:rPr>
        <w:t> </w:t>
      </w:r>
      <w:r>
        <w:rPr>
          <w:color w:val="231F20"/>
          <w:w w:val="105"/>
        </w:rPr>
        <w:t>en</w:t>
      </w:r>
      <w:r>
        <w:rPr>
          <w:color w:val="231F20"/>
          <w:spacing w:val="-22"/>
          <w:w w:val="105"/>
        </w:rPr>
        <w:t> </w:t>
      </w:r>
      <w:r>
        <w:rPr>
          <w:color w:val="231F20"/>
          <w:w w:val="105"/>
        </w:rPr>
        <w:t>áreas</w:t>
      </w:r>
      <w:r>
        <w:rPr>
          <w:color w:val="231F20"/>
          <w:spacing w:val="-22"/>
          <w:w w:val="105"/>
        </w:rPr>
        <w:t> </w:t>
      </w:r>
      <w:r>
        <w:rPr>
          <w:color w:val="231F20"/>
          <w:w w:val="105"/>
        </w:rPr>
        <w:t>ur- banas del centro occidente de </w:t>
      </w:r>
      <w:r>
        <w:rPr>
          <w:color w:val="231F20"/>
          <w:spacing w:val="-4"/>
          <w:w w:val="105"/>
        </w:rPr>
        <w:t>México”, </w:t>
      </w:r>
      <w:r>
        <w:rPr>
          <w:rFonts w:ascii="Arial" w:hAnsi="Arial"/>
          <w:i/>
          <w:color w:val="231F20"/>
          <w:w w:val="105"/>
        </w:rPr>
        <w:t>Papeles de Población</w:t>
      </w:r>
      <w:r>
        <w:rPr>
          <w:color w:val="231F20"/>
          <w:w w:val="105"/>
        </w:rPr>
        <w:t>, núm.</w:t>
      </w:r>
      <w:r>
        <w:rPr>
          <w:color w:val="231F20"/>
          <w:spacing w:val="-28"/>
          <w:w w:val="105"/>
        </w:rPr>
        <w:t> </w:t>
      </w:r>
      <w:r>
        <w:rPr>
          <w:color w:val="231F20"/>
          <w:w w:val="105"/>
        </w:rPr>
        <w:t>36.</w:t>
      </w:r>
    </w:p>
    <w:p>
      <w:pPr>
        <w:pStyle w:val="BodyText"/>
        <w:spacing w:line="259" w:lineRule="auto" w:before="1"/>
        <w:ind w:left="2574" w:right="1722" w:hanging="738"/>
        <w:jc w:val="both"/>
      </w:pPr>
      <w:r>
        <w:rPr>
          <w:color w:val="231F20"/>
        </w:rPr>
        <w:t>Piracha, Matloob y Vadean, Florin, (2009), “Return Migration and occupa- tional choice”, </w:t>
      </w:r>
      <w:r>
        <w:rPr>
          <w:rFonts w:ascii="Arial" w:hAnsi="Arial"/>
          <w:i/>
          <w:color w:val="231F20"/>
        </w:rPr>
        <w:t>Discussion Paper</w:t>
      </w:r>
      <w:r>
        <w:rPr>
          <w:color w:val="231F20"/>
        </w:rPr>
        <w:t>, núm.  3922.</w:t>
      </w:r>
    </w:p>
    <w:p>
      <w:pPr>
        <w:spacing w:line="259" w:lineRule="auto" w:before="3"/>
        <w:ind w:left="2574" w:right="1720" w:hanging="737"/>
        <w:jc w:val="both"/>
        <w:rPr>
          <w:sz w:val="21"/>
        </w:rPr>
      </w:pPr>
      <w:r>
        <w:rPr>
          <w:color w:val="231F20"/>
          <w:sz w:val="21"/>
        </w:rPr>
        <w:t>Robles, Sergio, (2004), “Migración y retorno en la Sierra Juárez”, en Jo- nathan Fox y Gaspar Rivera (coords.), </w:t>
      </w:r>
      <w:r>
        <w:rPr>
          <w:rFonts w:ascii="Arial" w:hAnsi="Arial"/>
          <w:i/>
          <w:color w:val="231F20"/>
          <w:sz w:val="21"/>
        </w:rPr>
        <w:t>Indígenas mexicanos mi- </w:t>
      </w:r>
      <w:r>
        <w:rPr>
          <w:rFonts w:ascii="Arial" w:hAnsi="Arial"/>
          <w:i/>
          <w:color w:val="231F20"/>
          <w:sz w:val="21"/>
        </w:rPr>
        <w:t>grantes en los Estados Unidos</w:t>
      </w:r>
      <w:r>
        <w:rPr>
          <w:color w:val="231F20"/>
          <w:sz w:val="21"/>
        </w:rPr>
        <w:t>, México: Cámara de Diputados/ </w:t>
      </w:r>
      <w:r>
        <w:rPr>
          <w:color w:val="231F20"/>
          <w:sz w:val="17"/>
        </w:rPr>
        <w:t>UAZ</w:t>
      </w:r>
      <w:r>
        <w:rPr>
          <w:color w:val="231F20"/>
          <w:sz w:val="21"/>
        </w:rPr>
        <w:t>/Miguel  Ángel Porrúa.</w:t>
      </w:r>
    </w:p>
    <w:p>
      <w:pPr>
        <w:spacing w:line="261" w:lineRule="auto" w:before="3"/>
        <w:ind w:left="2574" w:right="1715" w:hanging="738"/>
        <w:jc w:val="both"/>
        <w:rPr>
          <w:sz w:val="21"/>
        </w:rPr>
      </w:pPr>
      <w:r>
        <w:rPr>
          <w:color w:val="231F20"/>
          <w:sz w:val="21"/>
        </w:rPr>
        <w:t>Salas, Renato, Alcántara, Maripaz y Cruz, Miguel, (2012), “Migrantes re- tornados y sus aportaciones a la democracia en el Estado de </w:t>
      </w:r>
      <w:r>
        <w:rPr>
          <w:color w:val="231F20"/>
          <w:spacing w:val="-4"/>
          <w:sz w:val="21"/>
        </w:rPr>
        <w:t>México”, </w:t>
      </w:r>
      <w:r>
        <w:rPr>
          <w:color w:val="231F20"/>
          <w:sz w:val="21"/>
        </w:rPr>
        <w:t>en Casimiro Leco y Lenin Navarro (coords.), </w:t>
      </w:r>
      <w:r>
        <w:rPr>
          <w:rFonts w:ascii="Arial" w:hAnsi="Arial"/>
          <w:i/>
          <w:color w:val="231F20"/>
          <w:sz w:val="21"/>
        </w:rPr>
        <w:t>Migracio- </w:t>
      </w:r>
      <w:r>
        <w:rPr>
          <w:rFonts w:ascii="Arial" w:hAnsi="Arial"/>
          <w:i/>
          <w:color w:val="231F20"/>
          <w:sz w:val="21"/>
        </w:rPr>
        <w:t>nes centroamericanas, realidades, tendencias y desafíos</w:t>
      </w:r>
      <w:r>
        <w:rPr>
          <w:color w:val="231F20"/>
          <w:sz w:val="21"/>
        </w:rPr>
        <w:t>, Morelia, México:</w:t>
      </w:r>
      <w:r>
        <w:rPr>
          <w:color w:val="231F20"/>
          <w:spacing w:val="18"/>
          <w:sz w:val="21"/>
        </w:rPr>
        <w:t> </w:t>
      </w:r>
      <w:r>
        <w:rPr>
          <w:color w:val="231F20"/>
          <w:sz w:val="17"/>
        </w:rPr>
        <w:t>UMSNH</w:t>
      </w:r>
      <w:r>
        <w:rPr>
          <w:color w:val="231F20"/>
          <w:sz w:val="21"/>
        </w:rPr>
        <w:t>.</w:t>
      </w:r>
    </w:p>
    <w:p>
      <w:pPr>
        <w:pStyle w:val="BodyText"/>
        <w:spacing w:line="259" w:lineRule="auto" w:before="1"/>
        <w:ind w:left="2574" w:right="1722" w:hanging="738"/>
        <w:jc w:val="both"/>
      </w:pPr>
      <w:r>
        <w:rPr/>
        <w:pict>
          <v:line style="position:absolute;mso-position-horizontal-relative:page;mso-position-vertical-relative:paragraph;z-index:-458872" from="15pt,92.687187pt" to="0pt,92.687187pt" stroked="true" strokeweight=".25pt" strokecolor="#000000">
            <w10:wrap type="none"/>
          </v:line>
        </w:pict>
      </w:r>
      <w:r>
        <w:rPr/>
        <w:pict>
          <v:line style="position:absolute;mso-position-horizontal-relative:page;mso-position-vertical-relative:paragraph;z-index:31336" from="508.890015pt,92.687187pt" to="523.890015pt,92.687187pt" stroked="true" strokeweight=".25pt" strokecolor="#000000">
            <w10:wrap type="none"/>
          </v:line>
        </w:pict>
      </w:r>
      <w:r>
        <w:rPr>
          <w:color w:val="231F20"/>
        </w:rPr>
        <w:t>Scoones, Ian, (1998), Sustainable rural livelihoods: a framework for analy- sis, </w:t>
      </w:r>
      <w:r>
        <w:rPr>
          <w:rFonts w:ascii="Arial" w:hAnsi="Arial"/>
          <w:i/>
          <w:color w:val="231F20"/>
        </w:rPr>
        <w:t>Working Paper, </w:t>
      </w:r>
      <w:r>
        <w:rPr>
          <w:color w:val="231F20"/>
        </w:rPr>
        <w:t>núm. 72.</w:t>
      </w:r>
    </w:p>
    <w:p>
      <w:pPr>
        <w:spacing w:after="0" w:line="259"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59" w:lineRule="auto" w:before="60"/>
        <w:ind w:left="2461" w:right="1835" w:hanging="738"/>
        <w:jc w:val="both"/>
      </w:pPr>
      <w:r>
        <w:rPr>
          <w:color w:val="231F20"/>
          <w:w w:val="105"/>
        </w:rPr>
        <w:t>Thomas,</w:t>
      </w:r>
      <w:r>
        <w:rPr>
          <w:color w:val="231F20"/>
          <w:spacing w:val="-29"/>
          <w:w w:val="105"/>
        </w:rPr>
        <w:t> </w:t>
      </w:r>
      <w:r>
        <w:rPr>
          <w:color w:val="231F20"/>
          <w:w w:val="105"/>
        </w:rPr>
        <w:t>Elizabeth,</w:t>
      </w:r>
      <w:r>
        <w:rPr>
          <w:color w:val="231F20"/>
          <w:spacing w:val="-29"/>
          <w:w w:val="105"/>
        </w:rPr>
        <w:t> </w:t>
      </w:r>
      <w:r>
        <w:rPr>
          <w:color w:val="231F20"/>
          <w:w w:val="105"/>
        </w:rPr>
        <w:t>(1999),</w:t>
      </w:r>
      <w:r>
        <w:rPr>
          <w:color w:val="231F20"/>
          <w:spacing w:val="-29"/>
          <w:w w:val="105"/>
        </w:rPr>
        <w:t> </w:t>
      </w:r>
      <w:r>
        <w:rPr>
          <w:color w:val="231F20"/>
          <w:w w:val="105"/>
        </w:rPr>
        <w:t>“Return</w:t>
      </w:r>
      <w:r>
        <w:rPr>
          <w:color w:val="231F20"/>
          <w:spacing w:val="-24"/>
          <w:w w:val="105"/>
        </w:rPr>
        <w:t> </w:t>
      </w:r>
      <w:r>
        <w:rPr>
          <w:color w:val="231F20"/>
          <w:w w:val="105"/>
        </w:rPr>
        <w:t>migration</w:t>
      </w:r>
      <w:r>
        <w:rPr>
          <w:color w:val="231F20"/>
          <w:spacing w:val="-24"/>
          <w:w w:val="105"/>
        </w:rPr>
        <w:t> </w:t>
      </w:r>
      <w:r>
        <w:rPr>
          <w:color w:val="231F20"/>
          <w:w w:val="105"/>
        </w:rPr>
        <w:t>to</w:t>
      </w:r>
      <w:r>
        <w:rPr>
          <w:color w:val="231F20"/>
          <w:spacing w:val="-26"/>
          <w:w w:val="105"/>
        </w:rPr>
        <w:t> </w:t>
      </w:r>
      <w:r>
        <w:rPr>
          <w:color w:val="231F20"/>
          <w:w w:val="105"/>
        </w:rPr>
        <w:t>Jamaica</w:t>
      </w:r>
      <w:r>
        <w:rPr>
          <w:color w:val="231F20"/>
          <w:spacing w:val="-24"/>
          <w:w w:val="105"/>
        </w:rPr>
        <w:t> </w:t>
      </w:r>
      <w:r>
        <w:rPr>
          <w:color w:val="231F20"/>
          <w:w w:val="105"/>
        </w:rPr>
        <w:t>and</w:t>
      </w:r>
      <w:r>
        <w:rPr>
          <w:color w:val="231F20"/>
          <w:spacing w:val="-24"/>
          <w:w w:val="105"/>
        </w:rPr>
        <w:t> </w:t>
      </w:r>
      <w:r>
        <w:rPr>
          <w:color w:val="231F20"/>
          <w:w w:val="105"/>
        </w:rPr>
        <w:t>its</w:t>
      </w:r>
      <w:r>
        <w:rPr>
          <w:color w:val="231F20"/>
          <w:spacing w:val="-24"/>
          <w:w w:val="105"/>
        </w:rPr>
        <w:t> </w:t>
      </w:r>
      <w:r>
        <w:rPr>
          <w:color w:val="231F20"/>
          <w:w w:val="105"/>
        </w:rPr>
        <w:t>develop- ment</w:t>
      </w:r>
      <w:r>
        <w:rPr>
          <w:color w:val="231F20"/>
          <w:spacing w:val="-11"/>
          <w:w w:val="105"/>
        </w:rPr>
        <w:t> </w:t>
      </w:r>
      <w:r>
        <w:rPr>
          <w:color w:val="231F20"/>
          <w:spacing w:val="-3"/>
          <w:w w:val="105"/>
        </w:rPr>
        <w:t>potential”,</w:t>
      </w:r>
      <w:r>
        <w:rPr>
          <w:color w:val="231F20"/>
          <w:spacing w:val="-16"/>
          <w:w w:val="105"/>
        </w:rPr>
        <w:t> </w:t>
      </w:r>
      <w:r>
        <w:rPr>
          <w:rFonts w:ascii="Arial" w:hAnsi="Arial"/>
          <w:i/>
          <w:color w:val="231F20"/>
          <w:w w:val="105"/>
        </w:rPr>
        <w:t>International</w:t>
      </w:r>
      <w:r>
        <w:rPr>
          <w:rFonts w:ascii="Arial" w:hAnsi="Arial"/>
          <w:i/>
          <w:color w:val="231F20"/>
          <w:spacing w:val="-13"/>
          <w:w w:val="105"/>
        </w:rPr>
        <w:t> </w:t>
      </w:r>
      <w:r>
        <w:rPr>
          <w:rFonts w:ascii="Arial" w:hAnsi="Arial"/>
          <w:i/>
          <w:color w:val="231F20"/>
          <w:w w:val="105"/>
        </w:rPr>
        <w:t>Migration</w:t>
      </w:r>
      <w:r>
        <w:rPr>
          <w:color w:val="231F20"/>
          <w:w w:val="105"/>
        </w:rPr>
        <w:t>,</w:t>
      </w:r>
      <w:r>
        <w:rPr>
          <w:color w:val="231F20"/>
          <w:spacing w:val="-16"/>
          <w:w w:val="105"/>
        </w:rPr>
        <w:t> </w:t>
      </w:r>
      <w:r>
        <w:rPr>
          <w:color w:val="231F20"/>
          <w:w w:val="105"/>
        </w:rPr>
        <w:t>vol.</w:t>
      </w:r>
      <w:r>
        <w:rPr>
          <w:color w:val="231F20"/>
          <w:spacing w:val="-16"/>
          <w:w w:val="105"/>
        </w:rPr>
        <w:t> </w:t>
      </w:r>
      <w:r>
        <w:rPr>
          <w:color w:val="231F20"/>
          <w:w w:val="105"/>
        </w:rPr>
        <w:t>37,</w:t>
      </w:r>
      <w:r>
        <w:rPr>
          <w:color w:val="231F20"/>
          <w:spacing w:val="-16"/>
          <w:w w:val="105"/>
        </w:rPr>
        <w:t> </w:t>
      </w:r>
      <w:r>
        <w:rPr>
          <w:color w:val="231F20"/>
          <w:w w:val="105"/>
        </w:rPr>
        <w:t>núm.</w:t>
      </w:r>
      <w:r>
        <w:rPr>
          <w:color w:val="231F20"/>
          <w:spacing w:val="-16"/>
          <w:w w:val="105"/>
        </w:rPr>
        <w:t> </w:t>
      </w:r>
      <w:r>
        <w:rPr>
          <w:color w:val="231F20"/>
          <w:w w:val="105"/>
        </w:rPr>
        <w:t>1.</w:t>
      </w:r>
    </w:p>
    <w:p>
      <w:pPr>
        <w:pStyle w:val="BodyText"/>
        <w:spacing w:line="259" w:lineRule="auto"/>
        <w:ind w:left="2461" w:right="1835" w:hanging="738"/>
        <w:jc w:val="both"/>
      </w:pPr>
      <w:r>
        <w:rPr>
          <w:color w:val="231F20"/>
          <w:spacing w:val="-4"/>
          <w:w w:val="105"/>
        </w:rPr>
        <w:t>Turati,</w:t>
      </w:r>
      <w:r>
        <w:rPr>
          <w:color w:val="231F20"/>
          <w:spacing w:val="-18"/>
          <w:w w:val="105"/>
        </w:rPr>
        <w:t> </w:t>
      </w:r>
      <w:r>
        <w:rPr>
          <w:color w:val="231F20"/>
          <w:w w:val="105"/>
        </w:rPr>
        <w:t>Marcela,</w:t>
      </w:r>
      <w:r>
        <w:rPr>
          <w:color w:val="231F20"/>
          <w:spacing w:val="-18"/>
          <w:w w:val="105"/>
        </w:rPr>
        <w:t> </w:t>
      </w:r>
      <w:r>
        <w:rPr>
          <w:color w:val="231F20"/>
          <w:w w:val="105"/>
        </w:rPr>
        <w:t>(2011),</w:t>
      </w:r>
      <w:r>
        <w:rPr>
          <w:color w:val="231F20"/>
          <w:spacing w:val="-18"/>
          <w:w w:val="105"/>
        </w:rPr>
        <w:t> </w:t>
      </w:r>
      <w:r>
        <w:rPr>
          <w:color w:val="231F20"/>
          <w:w w:val="105"/>
        </w:rPr>
        <w:t>“Del</w:t>
      </w:r>
      <w:r>
        <w:rPr>
          <w:color w:val="231F20"/>
          <w:spacing w:val="-12"/>
          <w:w w:val="105"/>
        </w:rPr>
        <w:t> </w:t>
      </w:r>
      <w:r>
        <w:rPr>
          <w:color w:val="231F20"/>
          <w:w w:val="105"/>
        </w:rPr>
        <w:t>infierno</w:t>
      </w:r>
      <w:r>
        <w:rPr>
          <w:color w:val="231F20"/>
          <w:spacing w:val="-12"/>
          <w:w w:val="105"/>
        </w:rPr>
        <w:t> </w:t>
      </w:r>
      <w:r>
        <w:rPr>
          <w:color w:val="231F20"/>
          <w:w w:val="105"/>
        </w:rPr>
        <w:t>del</w:t>
      </w:r>
      <w:r>
        <w:rPr>
          <w:color w:val="231F20"/>
          <w:spacing w:val="-12"/>
          <w:w w:val="105"/>
        </w:rPr>
        <w:t> </w:t>
      </w:r>
      <w:r>
        <w:rPr>
          <w:color w:val="231F20"/>
          <w:w w:val="105"/>
        </w:rPr>
        <w:t>norte</w:t>
      </w:r>
      <w:r>
        <w:rPr>
          <w:color w:val="231F20"/>
          <w:spacing w:val="-12"/>
          <w:w w:val="105"/>
        </w:rPr>
        <w:t> </w:t>
      </w:r>
      <w:r>
        <w:rPr>
          <w:color w:val="231F20"/>
          <w:w w:val="105"/>
        </w:rPr>
        <w:t>al</w:t>
      </w:r>
      <w:r>
        <w:rPr>
          <w:color w:val="231F20"/>
          <w:spacing w:val="-12"/>
          <w:w w:val="105"/>
        </w:rPr>
        <w:t> </w:t>
      </w:r>
      <w:r>
        <w:rPr>
          <w:color w:val="231F20"/>
          <w:w w:val="105"/>
        </w:rPr>
        <w:t>infierno</w:t>
      </w:r>
      <w:r>
        <w:rPr>
          <w:color w:val="231F20"/>
          <w:spacing w:val="-12"/>
          <w:w w:val="105"/>
        </w:rPr>
        <w:t> </w:t>
      </w:r>
      <w:r>
        <w:rPr>
          <w:color w:val="231F20"/>
          <w:w w:val="105"/>
        </w:rPr>
        <w:t>del</w:t>
      </w:r>
      <w:r>
        <w:rPr>
          <w:color w:val="231F20"/>
          <w:spacing w:val="-12"/>
          <w:w w:val="105"/>
        </w:rPr>
        <w:t> </w:t>
      </w:r>
      <w:r>
        <w:rPr>
          <w:color w:val="231F20"/>
          <w:spacing w:val="-5"/>
          <w:w w:val="105"/>
        </w:rPr>
        <w:t>sur”,</w:t>
      </w:r>
      <w:r>
        <w:rPr>
          <w:color w:val="231F20"/>
          <w:spacing w:val="-18"/>
          <w:w w:val="105"/>
        </w:rPr>
        <w:t> </w:t>
      </w:r>
      <w:r>
        <w:rPr>
          <w:rFonts w:ascii="Arial" w:hAnsi="Arial"/>
          <w:i/>
          <w:color w:val="231F20"/>
          <w:w w:val="105"/>
        </w:rPr>
        <w:t>Revista </w:t>
      </w:r>
      <w:r>
        <w:rPr>
          <w:rFonts w:ascii="Arial" w:hAnsi="Arial"/>
          <w:i/>
          <w:color w:val="231F20"/>
          <w:w w:val="105"/>
        </w:rPr>
        <w:t>Proceso</w:t>
      </w:r>
      <w:r>
        <w:rPr>
          <w:color w:val="231F20"/>
          <w:w w:val="105"/>
        </w:rPr>
        <w:t>,</w:t>
      </w:r>
      <w:r>
        <w:rPr>
          <w:color w:val="231F20"/>
          <w:spacing w:val="-40"/>
          <w:w w:val="105"/>
        </w:rPr>
        <w:t> </w:t>
      </w:r>
      <w:r>
        <w:rPr>
          <w:color w:val="231F20"/>
          <w:w w:val="105"/>
        </w:rPr>
        <w:t>recuperado</w:t>
      </w:r>
      <w:r>
        <w:rPr>
          <w:color w:val="231F20"/>
          <w:spacing w:val="-36"/>
          <w:w w:val="105"/>
        </w:rPr>
        <w:t> </w:t>
      </w:r>
      <w:r>
        <w:rPr>
          <w:color w:val="231F20"/>
          <w:w w:val="105"/>
        </w:rPr>
        <w:t>de</w:t>
      </w:r>
      <w:r>
        <w:rPr>
          <w:color w:val="231F20"/>
          <w:spacing w:val="-36"/>
          <w:w w:val="105"/>
        </w:rPr>
        <w:t> </w:t>
      </w:r>
      <w:hyperlink r:id="rId312">
        <w:r>
          <w:rPr>
            <w:color w:val="231F20"/>
            <w:w w:val="105"/>
          </w:rPr>
          <w:t>http://www.proceso.com.mx/?p=273157</w:t>
        </w:r>
      </w:hyperlink>
    </w:p>
    <w:p>
      <w:pPr>
        <w:spacing w:line="259" w:lineRule="auto" w:before="3"/>
        <w:ind w:left="2461" w:right="1834" w:hanging="738"/>
        <w:jc w:val="both"/>
        <w:rPr>
          <w:sz w:val="21"/>
        </w:rPr>
      </w:pPr>
      <w:r>
        <w:rPr>
          <w:color w:val="231F20"/>
          <w:sz w:val="21"/>
        </w:rPr>
        <w:t>Van Mol, Christof, (2008), “La migración de estudiantes chinos hacia Esta- dos  Unidos”, </w:t>
      </w:r>
      <w:r>
        <w:rPr>
          <w:rFonts w:ascii="Arial" w:hAnsi="Arial"/>
          <w:i/>
          <w:color w:val="231F20"/>
          <w:sz w:val="21"/>
        </w:rPr>
        <w:t>Migraciones internacionales</w:t>
      </w:r>
      <w:r>
        <w:rPr>
          <w:color w:val="231F20"/>
          <w:sz w:val="21"/>
        </w:rPr>
        <w:t>, vol.4,  núm.4.</w:t>
      </w:r>
    </w:p>
    <w:p>
      <w:pPr>
        <w:spacing w:line="261" w:lineRule="auto" w:before="3"/>
        <w:ind w:left="2461" w:right="1828" w:hanging="738"/>
        <w:jc w:val="both"/>
        <w:rPr>
          <w:sz w:val="21"/>
        </w:rPr>
      </w:pPr>
      <w:r>
        <w:rPr>
          <w:color w:val="231F20"/>
          <w:sz w:val="21"/>
        </w:rPr>
        <w:t>Zwania, Isabel, (2013), “Returning migrants in Cameroon. Challenges, ob- stacles and potentials”, en Isabell Zwania e Ivanova Vanya (eds.), </w:t>
      </w:r>
      <w:r>
        <w:rPr>
          <w:rFonts w:ascii="Arial" w:hAnsi="Arial"/>
          <w:i/>
          <w:color w:val="231F20"/>
          <w:sz w:val="21"/>
        </w:rPr>
        <w:t>Welcome home? Challenges and chances of return migration</w:t>
      </w:r>
      <w:r>
        <w:rPr>
          <w:color w:val="231F20"/>
          <w:sz w:val="21"/>
        </w:rPr>
        <w:t>, Bulgaria: Transatlantic Forum  on Migration and  Integration.</w:t>
      </w:r>
    </w:p>
    <w:p>
      <w:pPr>
        <w:pStyle w:val="BodyText"/>
        <w:spacing w:line="259" w:lineRule="auto" w:before="1"/>
        <w:ind w:left="2461" w:right="1835" w:hanging="738"/>
        <w:jc w:val="both"/>
      </w:pPr>
      <w:r>
        <w:rPr>
          <w:w w:val="105"/>
        </w:rPr>
        <w:t>Zoltan,</w:t>
      </w:r>
      <w:r>
        <w:rPr>
          <w:spacing w:val="-13"/>
          <w:w w:val="105"/>
        </w:rPr>
        <w:t> </w:t>
      </w:r>
      <w:r>
        <w:rPr>
          <w:w w:val="105"/>
        </w:rPr>
        <w:t>Acs</w:t>
      </w:r>
      <w:r>
        <w:rPr>
          <w:spacing w:val="-5"/>
          <w:w w:val="105"/>
        </w:rPr>
        <w:t> </w:t>
      </w:r>
      <w:r>
        <w:rPr>
          <w:w w:val="105"/>
        </w:rPr>
        <w:t>y</w:t>
      </w:r>
      <w:r>
        <w:rPr>
          <w:spacing w:val="-5"/>
          <w:w w:val="105"/>
        </w:rPr>
        <w:t> </w:t>
      </w:r>
      <w:r>
        <w:rPr>
          <w:w w:val="105"/>
        </w:rPr>
        <w:t>Storey,</w:t>
      </w:r>
      <w:r>
        <w:rPr>
          <w:spacing w:val="-10"/>
          <w:w w:val="105"/>
        </w:rPr>
        <w:t> </w:t>
      </w:r>
      <w:r>
        <w:rPr>
          <w:w w:val="105"/>
        </w:rPr>
        <w:t>David,</w:t>
      </w:r>
      <w:r>
        <w:rPr>
          <w:spacing w:val="-10"/>
          <w:w w:val="105"/>
        </w:rPr>
        <w:t> </w:t>
      </w:r>
      <w:r>
        <w:rPr>
          <w:w w:val="105"/>
        </w:rPr>
        <w:t>(2004),</w:t>
      </w:r>
      <w:r>
        <w:rPr>
          <w:spacing w:val="-10"/>
          <w:w w:val="105"/>
        </w:rPr>
        <w:t> </w:t>
      </w:r>
      <w:r>
        <w:rPr>
          <w:w w:val="105"/>
        </w:rPr>
        <w:t>“Introduction:</w:t>
      </w:r>
      <w:r>
        <w:rPr>
          <w:spacing w:val="-5"/>
          <w:w w:val="105"/>
        </w:rPr>
        <w:t> </w:t>
      </w:r>
      <w:r>
        <w:rPr>
          <w:w w:val="105"/>
        </w:rPr>
        <w:t>entrepreneurship</w:t>
      </w:r>
      <w:r>
        <w:rPr>
          <w:spacing w:val="-5"/>
          <w:w w:val="105"/>
        </w:rPr>
        <w:t> </w:t>
      </w:r>
      <w:r>
        <w:rPr>
          <w:w w:val="105"/>
        </w:rPr>
        <w:t>and economic</w:t>
      </w:r>
      <w:r>
        <w:rPr>
          <w:spacing w:val="-23"/>
          <w:w w:val="105"/>
        </w:rPr>
        <w:t> </w:t>
      </w:r>
      <w:r>
        <w:rPr>
          <w:w w:val="105"/>
        </w:rPr>
        <w:t>development”,</w:t>
      </w:r>
      <w:r>
        <w:rPr>
          <w:spacing w:val="-27"/>
          <w:w w:val="105"/>
        </w:rPr>
        <w:t> </w:t>
      </w:r>
      <w:r>
        <w:rPr>
          <w:rFonts w:ascii="Arial" w:hAnsi="Arial"/>
          <w:i/>
          <w:w w:val="105"/>
        </w:rPr>
        <w:t>Regional</w:t>
      </w:r>
      <w:r>
        <w:rPr>
          <w:rFonts w:ascii="Arial" w:hAnsi="Arial"/>
          <w:i/>
          <w:spacing w:val="-26"/>
          <w:w w:val="105"/>
        </w:rPr>
        <w:t> </w:t>
      </w:r>
      <w:r>
        <w:rPr>
          <w:rFonts w:ascii="Arial" w:hAnsi="Arial"/>
          <w:i/>
          <w:w w:val="105"/>
        </w:rPr>
        <w:t>Studies</w:t>
      </w:r>
      <w:r>
        <w:rPr>
          <w:w w:val="105"/>
        </w:rPr>
        <w:t>,</w:t>
      </w:r>
      <w:r>
        <w:rPr>
          <w:spacing w:val="-27"/>
          <w:w w:val="105"/>
        </w:rPr>
        <w:t> </w:t>
      </w:r>
      <w:r>
        <w:rPr>
          <w:w w:val="105"/>
        </w:rPr>
        <w:t>vol.</w:t>
      </w:r>
      <w:r>
        <w:rPr>
          <w:spacing w:val="-27"/>
          <w:w w:val="105"/>
        </w:rPr>
        <w:t> </w:t>
      </w:r>
      <w:r>
        <w:rPr>
          <w:w w:val="105"/>
        </w:rPr>
        <w:t>38,</w:t>
      </w:r>
      <w:r>
        <w:rPr>
          <w:spacing w:val="-27"/>
          <w:w w:val="105"/>
        </w:rPr>
        <w:t> </w:t>
      </w:r>
      <w:r>
        <w:rPr>
          <w:w w:val="105"/>
        </w:rPr>
        <w:t>núm.</w:t>
      </w:r>
      <w:r>
        <w:rPr>
          <w:spacing w:val="-27"/>
          <w:w w:val="105"/>
        </w:rPr>
        <w:t> </w:t>
      </w:r>
      <w:r>
        <w:rPr>
          <w:w w:val="105"/>
        </w:rPr>
        <w:t>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tabs>
          <w:tab w:pos="2937" w:val="left" w:leader="none"/>
        </w:tabs>
        <w:spacing w:before="0"/>
        <w:ind w:left="1832" w:right="0" w:firstLine="0"/>
        <w:jc w:val="left"/>
        <w:rPr>
          <w:rFonts w:ascii="Calibri"/>
          <w:sz w:val="15"/>
        </w:rPr>
      </w:pPr>
      <w:r>
        <w:rPr/>
        <w:pict>
          <v:line style="position:absolute;mso-position-horizontal-relative:page;mso-position-vertical-relative:paragraph;z-index:-458824" from="131.551193pt,.203715pt" to="131.551193pt,36.006114pt" stroked="true" strokeweight=".35pt" strokecolor="#231f20">
            <w10:wrap type="none"/>
          </v:line>
        </w:pict>
      </w:r>
      <w:r>
        <w:rPr/>
        <w:pict>
          <v:line style="position:absolute;mso-position-horizontal-relative:page;mso-position-vertical-relative:paragraph;z-index:-458800" from="15pt,36.005917pt" to="0pt,36.005917pt" stroked="true" strokeweight=".25pt" strokecolor="#000000">
            <w10:wrap type="none"/>
          </v:line>
        </w:pict>
      </w:r>
      <w:r>
        <w:rPr/>
        <w:pict>
          <v:line style="position:absolute;mso-position-horizontal-relative:page;mso-position-vertical-relative:paragraph;z-index:31408" from="508.890015pt,36.005917pt" to="523.890015pt,36.005917pt" stroked="true" strokeweight=".25pt" strokecolor="#000000">
            <w10:wrap type="none"/>
          </v:line>
        </w:pict>
      </w:r>
      <w:r>
        <w:rPr>
          <w:rFonts w:ascii="Arial"/>
          <w:color w:val="414042"/>
          <w:w w:val="105"/>
          <w:position w:val="-5"/>
          <w:sz w:val="20"/>
        </w:rPr>
        <w:t>256</w:t>
        <w:tab/>
      </w:r>
      <w:r>
        <w:rPr>
          <w:rFonts w:ascii="Calibri"/>
          <w:color w:val="6D6E71"/>
          <w:w w:val="105"/>
          <w:sz w:val="15"/>
        </w:rPr>
        <w:t>Renato Salas</w:t>
      </w:r>
      <w:r>
        <w:rPr>
          <w:rFonts w:ascii="Calibri"/>
          <w:color w:val="6D6E71"/>
          <w:spacing w:val="-7"/>
          <w:w w:val="105"/>
          <w:sz w:val="15"/>
        </w:rPr>
        <w:t> </w:t>
      </w:r>
      <w:r>
        <w:rPr>
          <w:rFonts w:ascii="Calibri"/>
          <w:color w:val="6D6E71"/>
          <w:w w:val="105"/>
          <w:sz w:val="15"/>
        </w:rPr>
        <w:t>Alfaro</w:t>
      </w:r>
    </w:p>
    <w:p>
      <w:pPr>
        <w:spacing w:after="0"/>
        <w:jc w:val="left"/>
        <w:rPr>
          <w:rFonts w:ascii="Calibri"/>
          <w:sz w:val="15"/>
        </w:rPr>
        <w:sectPr>
          <w:headerReference w:type="default" r:id="rId311"/>
          <w:pgSz w:w="10480" w:h="14730"/>
          <w:pgMar w:header="0" w:footer="103" w:top="420" w:bottom="300" w:left="0" w:right="0"/>
        </w:sectPr>
      </w:pPr>
    </w:p>
    <w:p>
      <w:pPr>
        <w:pStyle w:val="BodyText"/>
        <w:rPr>
          <w:rFonts w:ascii="Calibri"/>
          <w:sz w:val="20"/>
        </w:rPr>
      </w:pPr>
      <w:r>
        <w:rPr/>
        <w:pict>
          <v:line style="position:absolute;mso-position-horizontal-relative:page;mso-position-vertical-relative:page;z-index:-458728" from="15pt,715.487793pt" to="0pt,715.487793pt" stroked="true" strokeweight=".25pt" strokecolor="#000000">
            <w10:wrap type="none"/>
          </v:line>
        </w:pict>
      </w:r>
      <w:r>
        <w:rPr/>
        <w:pict>
          <v:line style="position:absolute;mso-position-horizontal-relative:page;mso-position-vertical-relative:page;z-index:31480" from="508.890015pt,715.487793pt" to="523.890015pt,715.487793pt" stroked="true" strokeweight=".25pt" strokecolor="#000000">
            <w10:wrap type="none"/>
          </v:line>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9"/>
        </w:rPr>
      </w:pPr>
    </w:p>
    <w:p>
      <w:pPr>
        <w:pStyle w:val="Heading1"/>
        <w:spacing w:line="249" w:lineRule="auto"/>
        <w:ind w:left="2650" w:firstLine="38"/>
      </w:pPr>
      <w:r>
        <w:rPr/>
        <w:drawing>
          <wp:anchor distT="0" distB="0" distL="0" distR="0" allowOverlap="1" layoutInCell="1" locked="0" behindDoc="1" simplePos="0" relativeHeight="267976703">
            <wp:simplePos x="0" y="0"/>
            <wp:positionH relativeFrom="page">
              <wp:posOffset>266700</wp:posOffset>
            </wp:positionH>
            <wp:positionV relativeFrom="paragraph">
              <wp:posOffset>-192520</wp:posOffset>
            </wp:positionV>
            <wp:extent cx="6120003" cy="4910399"/>
            <wp:effectExtent l="0" t="0" r="0" b="0"/>
            <wp:wrapNone/>
            <wp:docPr id="61" name="image185.png" descr=""/>
            <wp:cNvGraphicFramePr>
              <a:graphicFrameLocks noChangeAspect="1"/>
            </wp:cNvGraphicFramePr>
            <a:graphic>
              <a:graphicData uri="http://schemas.openxmlformats.org/drawingml/2006/picture">
                <pic:pic>
                  <pic:nvPicPr>
                    <pic:cNvPr id="62" name="image185.png"/>
                    <pic:cNvPicPr/>
                  </pic:nvPicPr>
                  <pic:blipFill>
                    <a:blip r:embed="rId314" cstate="print"/>
                    <a:stretch>
                      <a:fillRect/>
                    </a:stretch>
                  </pic:blipFill>
                  <pic:spPr>
                    <a:xfrm>
                      <a:off x="0" y="0"/>
                      <a:ext cx="6120003" cy="4910399"/>
                    </a:xfrm>
                    <a:prstGeom prst="rect">
                      <a:avLst/>
                    </a:prstGeom>
                  </pic:spPr>
                </pic:pic>
              </a:graphicData>
            </a:graphic>
          </wp:anchor>
        </w:drawing>
      </w:r>
      <w:r>
        <w:rPr>
          <w:color w:val="231F20"/>
        </w:rPr>
        <w:t>PROCESOS MIGRATORIOS, SUJETOS MIGRANTES Y ESTRATEGIAS DE VIDA</w:t>
      </w:r>
    </w:p>
    <w:p>
      <w:pPr>
        <w:spacing w:after="0" w:line="249" w:lineRule="auto"/>
        <w:sectPr>
          <w:footerReference w:type="default" r:id="rId313"/>
          <w:pgSz w:w="10480" w:h="14730"/>
          <w:pgMar w:footer="103" w:header="0" w:top="420" w:bottom="300" w:left="0" w:right="0"/>
        </w:sectPr>
      </w:pPr>
    </w:p>
    <w:p>
      <w:pPr>
        <w:pStyle w:val="BodyText"/>
        <w:spacing w:before="4"/>
        <w:rPr>
          <w:rFonts w:ascii="Times New Roman"/>
          <w:sz w:val="17"/>
        </w:rPr>
      </w:pPr>
      <w:r>
        <w:rPr/>
        <w:pict>
          <v:line style="position:absolute;mso-position-horizontal-relative:page;mso-position-vertical-relative:page;z-index:31504" from="502.890015pt,20.999975pt" to="502.890015pt,715.487975pt" stroked="true" strokeweight="0pt" strokecolor="#77787b">
            <w10:wrap type="none"/>
          </v:line>
        </w:pict>
      </w:r>
      <w:r>
        <w:rPr/>
        <w:pict>
          <v:line style="position:absolute;mso-position-horizontal-relative:page;mso-position-vertical-relative:page;z-index:31528" from="15pt,715.487793pt" to="0pt,715.487793pt" stroked="true" strokeweight=".25pt" strokecolor="#000000">
            <w10:wrap type="none"/>
          </v:line>
        </w:pict>
      </w:r>
      <w:r>
        <w:rPr/>
        <w:pict>
          <v:line style="position:absolute;mso-position-horizontal-relative:page;mso-position-vertical-relative:page;z-index:31552" from="508.890015pt,715.487793pt" to="523.890015pt,715.487793pt" stroked="true" strokeweight=".25pt" strokecolor="#000000">
            <w10:wrap type="none"/>
          </v:line>
        </w:pict>
      </w:r>
    </w:p>
    <w:p>
      <w:pPr>
        <w:spacing w:after="0"/>
        <w:rPr>
          <w:rFonts w:ascii="Times New Roman"/>
          <w:sz w:val="17"/>
        </w:rPr>
        <w:sectPr>
          <w:pgSz w:w="10480" w:h="14730"/>
          <w:pgMar w:header="0" w:footer="103" w:top="420" w:bottom="300" w:left="0" w:right="0"/>
        </w:sectPr>
      </w:pPr>
    </w:p>
    <w:p>
      <w:pPr>
        <w:pStyle w:val="BodyText"/>
        <w:rPr>
          <w:rFonts w:ascii="Times New Roman"/>
          <w:sz w:val="20"/>
        </w:rPr>
      </w:pPr>
      <w:r>
        <w:rPr/>
        <w:pict>
          <v:group style="position:absolute;margin-left:21pt;margin-top:20.999975pt;width:481.9pt;height:694.5pt;mso-position-horizontal-relative:page;mso-position-vertical-relative:page;z-index:-458608" coordorigin="420,420" coordsize="9638,13890">
            <v:rect style="position:absolute;left:420;top:420;width:9638;height:13890" filled="true" fillcolor="#77787b" stroked="false">
              <v:fill type="solid"/>
            </v:rect>
            <v:shape style="position:absolute;left:420;top:6577;width:9638;height:7733" type="#_x0000_t75" stroked="false">
              <v:imagedata r:id="rId317"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8"/>
        </w:rPr>
      </w:pPr>
    </w:p>
    <w:p>
      <w:pPr>
        <w:pStyle w:val="Heading2"/>
        <w:spacing w:line="187" w:lineRule="auto" w:before="63"/>
        <w:ind w:left="2278" w:right="4687" w:firstLine="442"/>
      </w:pPr>
      <w:r>
        <w:rPr>
          <w:color w:val="FFFFFF"/>
          <w:w w:val="90"/>
        </w:rPr>
        <w:t>CAMbIOS Y CONTINUIDADES </w:t>
      </w:r>
      <w:r>
        <w:rPr>
          <w:color w:val="FFFFFF"/>
          <w:w w:val="95"/>
        </w:rPr>
        <w:t>EN EL PROCESO MIftRA</w:t>
      </w:r>
    </w:p>
    <w:p>
      <w:pPr>
        <w:tabs>
          <w:tab w:pos="5217" w:val="left" w:leader="none"/>
        </w:tabs>
        <w:spacing w:line="187" w:lineRule="auto" w:before="0"/>
        <w:ind w:left="2391" w:right="4784" w:firstLine="490"/>
        <w:jc w:val="left"/>
        <w:rPr>
          <w:rFonts w:ascii="Lucida Sans Unicode" w:hAnsi="Lucida Sans Unicode"/>
          <w:sz w:val="24"/>
        </w:rPr>
      </w:pPr>
      <w:r>
        <w:rPr>
          <w:rFonts w:ascii="Lucida Sans Unicode" w:hAnsi="Lucida Sans Unicode"/>
          <w:color w:val="FFFFFF"/>
          <w:sz w:val="24"/>
        </w:rPr>
        <w:t>LAS</w:t>
      </w:r>
      <w:r>
        <w:rPr>
          <w:rFonts w:ascii="Lucida Sans Unicode" w:hAnsi="Lucida Sans Unicode"/>
          <w:color w:val="FFFFFF"/>
          <w:spacing w:val="-29"/>
          <w:sz w:val="24"/>
        </w:rPr>
        <w:t> </w:t>
      </w:r>
      <w:r>
        <w:rPr>
          <w:rFonts w:ascii="Lucida Sans Unicode" w:hAnsi="Lucida Sans Unicode"/>
          <w:color w:val="FFFFFF"/>
          <w:sz w:val="24"/>
        </w:rPr>
        <w:t>MUJERES</w:t>
      </w:r>
      <w:r>
        <w:rPr>
          <w:rFonts w:ascii="Lucida Sans Unicode" w:hAnsi="Lucida Sans Unicode"/>
          <w:color w:val="FFFFFF"/>
          <w:spacing w:val="-29"/>
          <w:sz w:val="24"/>
        </w:rPr>
        <w:t> </w:t>
      </w:r>
      <w:r>
        <w:rPr>
          <w:rFonts w:ascii="Lucida Sans Unicode" w:hAnsi="Lucida Sans Unicode"/>
          <w:color w:val="FFFFFF"/>
          <w:sz w:val="24"/>
        </w:rPr>
        <w:t>DEL</w:t>
        <w:tab/>
      </w:r>
      <w:r>
        <w:rPr>
          <w:rFonts w:ascii="Lucida Sans Unicode" w:hAnsi="Lucida Sans Unicode"/>
          <w:color w:val="FFFFFF"/>
          <w:w w:val="85"/>
          <w:sz w:val="24"/>
        </w:rPr>
        <w:t>ADO </w:t>
      </w:r>
      <w:r>
        <w:rPr>
          <w:rFonts w:ascii="Lucida Sans Unicode" w:hAnsi="Lucida Sans Unicode"/>
          <w:color w:val="FFFFFF"/>
          <w:w w:val="95"/>
          <w:sz w:val="24"/>
        </w:rPr>
        <w:t>DE</w:t>
      </w:r>
      <w:r>
        <w:rPr>
          <w:rFonts w:ascii="Lucida Sans Unicode" w:hAnsi="Lucida Sans Unicode"/>
          <w:color w:val="FFFFFF"/>
          <w:spacing w:val="-48"/>
          <w:w w:val="95"/>
          <w:sz w:val="24"/>
        </w:rPr>
        <w:t> </w:t>
      </w:r>
      <w:r>
        <w:rPr>
          <w:rFonts w:ascii="Lucida Sans Unicode" w:hAnsi="Lucida Sans Unicode"/>
          <w:color w:val="FFFFFF"/>
          <w:w w:val="95"/>
          <w:sz w:val="24"/>
        </w:rPr>
        <w:t>MéXICO</w:t>
      </w:r>
      <w:r>
        <w:rPr>
          <w:rFonts w:ascii="Lucida Sans Unicode" w:hAnsi="Lucida Sans Unicode"/>
          <w:color w:val="FFFFFF"/>
          <w:spacing w:val="-48"/>
          <w:w w:val="95"/>
          <w:sz w:val="24"/>
        </w:rPr>
        <w:t> </w:t>
      </w:r>
      <w:r>
        <w:rPr>
          <w:rFonts w:ascii="Lucida Sans Unicode" w:hAnsi="Lucida Sans Unicode"/>
          <w:color w:val="FFFFFF"/>
          <w:w w:val="95"/>
          <w:sz w:val="24"/>
        </w:rPr>
        <w:t>A</w:t>
      </w:r>
      <w:r>
        <w:rPr>
          <w:rFonts w:ascii="Lucida Sans Unicode" w:hAnsi="Lucida Sans Unicode"/>
          <w:color w:val="FFFFFF"/>
          <w:spacing w:val="-48"/>
          <w:w w:val="95"/>
          <w:sz w:val="24"/>
        </w:rPr>
        <w:t> </w:t>
      </w:r>
      <w:r>
        <w:rPr>
          <w:rFonts w:ascii="Lucida Sans Unicode" w:hAnsi="Lucida Sans Unicode"/>
          <w:color w:val="FFFFFF"/>
          <w:w w:val="95"/>
          <w:sz w:val="24"/>
        </w:rPr>
        <w:t>ESTADOS</w:t>
      </w:r>
      <w:r>
        <w:rPr>
          <w:rFonts w:ascii="Lucida Sans Unicode" w:hAnsi="Lucida Sans Unicode"/>
          <w:color w:val="FFFFFF"/>
          <w:spacing w:val="-48"/>
          <w:w w:val="95"/>
          <w:sz w:val="24"/>
        </w:rPr>
        <w:t> </w:t>
      </w:r>
      <w:r>
        <w:rPr>
          <w:rFonts w:ascii="Lucida Sans Unicode" w:hAnsi="Lucida Sans Unicode"/>
          <w:color w:val="FFFFFF"/>
          <w:w w:val="95"/>
          <w:sz w:val="24"/>
        </w:rPr>
        <w:t>UNIDOS</w:t>
      </w:r>
    </w:p>
    <w:p>
      <w:pPr>
        <w:pStyle w:val="Heading4"/>
        <w:spacing w:line="264" w:lineRule="exact" w:before="100"/>
        <w:ind w:right="2256"/>
        <w:rPr>
          <w:sz w:val="18"/>
        </w:rPr>
      </w:pPr>
      <w:r>
        <w:rPr>
          <w:color w:val="FFFFFF"/>
        </w:rPr>
        <w:t>Andrea Bautista León</w:t>
      </w:r>
      <w:r>
        <w:rPr>
          <w:color w:val="FFFFFF"/>
          <w:sz w:val="18"/>
        </w:rPr>
        <w:t>* </w:t>
      </w:r>
      <w:r>
        <w:rPr>
          <w:color w:val="FFFFFF"/>
        </w:rPr>
        <w:t>Mauricio Rodríguez Abreu</w:t>
      </w:r>
      <w:r>
        <w:rPr>
          <w:color w:val="FFFFFF"/>
          <w:sz w:val="18"/>
        </w:rPr>
        <w: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6"/>
        </w:rPr>
      </w:pPr>
    </w:p>
    <w:p>
      <w:pPr>
        <w:spacing w:line="182" w:lineRule="exact" w:before="0"/>
        <w:ind w:left="2126" w:right="0" w:firstLine="0"/>
        <w:jc w:val="left"/>
        <w:rPr>
          <w:rFonts w:ascii="Calibri" w:hAnsi="Calibri"/>
          <w:sz w:val="15"/>
        </w:rPr>
      </w:pPr>
      <w:r>
        <w:rPr>
          <w:rFonts w:ascii="Calibri" w:hAnsi="Calibri"/>
          <w:color w:val="FFFFFF"/>
          <w:sz w:val="15"/>
        </w:rPr>
        <w:t>* Candidata a Doctora en Demografía Aplicada en la Universidad de Texas en San Antonio.</w:t>
      </w:r>
    </w:p>
    <w:p>
      <w:pPr>
        <w:spacing w:line="180" w:lineRule="exact" w:before="0"/>
        <w:ind w:left="2126" w:right="6753" w:firstLine="0"/>
        <w:jc w:val="left"/>
        <w:rPr>
          <w:rFonts w:ascii="Calibri"/>
          <w:i/>
          <w:sz w:val="15"/>
        </w:rPr>
      </w:pPr>
      <w:hyperlink r:id="rId318">
        <w:r>
          <w:rPr>
            <w:rFonts w:ascii="Calibri"/>
            <w:i/>
            <w:color w:val="FFFFFF"/>
            <w:sz w:val="15"/>
          </w:rPr>
          <w:t>andrea.btst@gmail.com</w:t>
        </w:r>
      </w:hyperlink>
    </w:p>
    <w:p>
      <w:pPr>
        <w:spacing w:line="180" w:lineRule="exact" w:before="0"/>
        <w:ind w:left="2126" w:right="0" w:firstLine="0"/>
        <w:jc w:val="left"/>
        <w:rPr>
          <w:rFonts w:ascii="Calibri" w:hAnsi="Calibri"/>
          <w:sz w:val="15"/>
        </w:rPr>
      </w:pPr>
      <w:r>
        <w:rPr>
          <w:rFonts w:ascii="Calibri" w:hAnsi="Calibri"/>
          <w:color w:val="FFFFFF"/>
          <w:sz w:val="15"/>
        </w:rPr>
        <w:t>** Candidato a Doctor en Demografía Aplicada por la Universidad de Texas en San Antonio.</w:t>
      </w:r>
    </w:p>
    <w:p>
      <w:pPr>
        <w:spacing w:line="182" w:lineRule="exact" w:before="0"/>
        <w:ind w:left="2126" w:right="6753" w:firstLine="0"/>
        <w:jc w:val="left"/>
        <w:rPr>
          <w:rFonts w:ascii="Calibri"/>
          <w:i/>
          <w:sz w:val="15"/>
        </w:rPr>
      </w:pPr>
      <w:hyperlink r:id="rId319">
        <w:r>
          <w:rPr>
            <w:rFonts w:ascii="Calibri"/>
            <w:i/>
            <w:color w:val="FFFFFF"/>
            <w:sz w:val="15"/>
          </w:rPr>
          <w:t>mrabreu22@gmail.com</w:t>
        </w:r>
      </w:hyperlink>
    </w:p>
    <w:p>
      <w:pPr>
        <w:spacing w:after="0" w:line="182" w:lineRule="exact"/>
        <w:jc w:val="left"/>
        <w:rPr>
          <w:rFonts w:ascii="Calibri"/>
          <w:sz w:val="15"/>
        </w:rPr>
        <w:sectPr>
          <w:headerReference w:type="default" r:id="rId315"/>
          <w:footerReference w:type="default" r:id="rId316"/>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320"/>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21" w:hanging="2"/>
        <w:jc w:val="both"/>
      </w:pPr>
      <w:r>
        <w:rPr/>
        <w:pict>
          <v:shape style="position:absolute;margin-left:103.667099pt;margin-top:13.11352pt;width:31.2pt;height:51pt;mso-position-horizontal-relative:page;mso-position-vertical-relative:paragraph;z-index:31600"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w w:val="105"/>
        </w:rPr>
        <w:t>a migración de México hacia Estados Unidos es un </w:t>
      </w:r>
      <w:r>
        <w:rPr>
          <w:color w:val="231F20"/>
          <w:spacing w:val="-3"/>
          <w:w w:val="105"/>
        </w:rPr>
        <w:t>proceso </w:t>
      </w:r>
      <w:r>
        <w:rPr>
          <w:color w:val="231F20"/>
          <w:spacing w:val="-2"/>
          <w:w w:val="105"/>
        </w:rPr>
        <w:t>dinámico, </w:t>
      </w:r>
      <w:r>
        <w:rPr>
          <w:color w:val="231F20"/>
          <w:w w:val="105"/>
        </w:rPr>
        <w:t>complejo y </w:t>
      </w:r>
      <w:r>
        <w:rPr>
          <w:color w:val="231F20"/>
          <w:spacing w:val="-3"/>
          <w:w w:val="105"/>
        </w:rPr>
        <w:t>heterogéneo </w:t>
      </w:r>
      <w:r>
        <w:rPr>
          <w:color w:val="231F20"/>
          <w:w w:val="105"/>
        </w:rPr>
        <w:t>al interior del país. Ade- más</w:t>
      </w:r>
      <w:r>
        <w:rPr>
          <w:color w:val="231F20"/>
          <w:spacing w:val="-28"/>
          <w:w w:val="105"/>
        </w:rPr>
        <w:t> </w:t>
      </w:r>
      <w:r>
        <w:rPr>
          <w:color w:val="231F20"/>
          <w:w w:val="105"/>
        </w:rPr>
        <w:t>de</w:t>
      </w:r>
      <w:r>
        <w:rPr>
          <w:color w:val="231F20"/>
          <w:spacing w:val="-28"/>
          <w:w w:val="105"/>
        </w:rPr>
        <w:t> </w:t>
      </w:r>
      <w:r>
        <w:rPr>
          <w:color w:val="231F20"/>
          <w:w w:val="105"/>
        </w:rPr>
        <w:t>estudiar</w:t>
      </w:r>
      <w:r>
        <w:rPr>
          <w:color w:val="231F20"/>
          <w:spacing w:val="-28"/>
          <w:w w:val="105"/>
        </w:rPr>
        <w:t> </w:t>
      </w:r>
      <w:r>
        <w:rPr>
          <w:color w:val="231F20"/>
          <w:w w:val="105"/>
        </w:rPr>
        <w:t>estos</w:t>
      </w:r>
      <w:r>
        <w:rPr>
          <w:color w:val="231F20"/>
          <w:spacing w:val="-28"/>
          <w:w w:val="105"/>
        </w:rPr>
        <w:t> </w:t>
      </w:r>
      <w:r>
        <w:rPr>
          <w:color w:val="231F20"/>
          <w:w w:val="105"/>
        </w:rPr>
        <w:t>elementos,</w:t>
      </w:r>
      <w:r>
        <w:rPr>
          <w:color w:val="231F20"/>
          <w:spacing w:val="-32"/>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actualidad</w:t>
      </w:r>
      <w:r>
        <w:rPr>
          <w:color w:val="231F20"/>
          <w:spacing w:val="-28"/>
          <w:w w:val="105"/>
        </w:rPr>
        <w:t> </w:t>
      </w:r>
      <w:r>
        <w:rPr>
          <w:color w:val="231F20"/>
          <w:w w:val="105"/>
        </w:rPr>
        <w:t>hay</w:t>
      </w:r>
      <w:r>
        <w:rPr>
          <w:color w:val="231F20"/>
          <w:spacing w:val="-28"/>
          <w:w w:val="105"/>
        </w:rPr>
        <w:t> </w:t>
      </w:r>
      <w:r>
        <w:rPr>
          <w:color w:val="231F20"/>
          <w:w w:val="105"/>
        </w:rPr>
        <w:t>una</w:t>
      </w:r>
      <w:r>
        <w:rPr>
          <w:color w:val="231F20"/>
          <w:spacing w:val="-28"/>
          <w:w w:val="105"/>
        </w:rPr>
        <w:t> </w:t>
      </w:r>
      <w:r>
        <w:rPr>
          <w:color w:val="231F20"/>
          <w:w w:val="105"/>
        </w:rPr>
        <w:t>ne- cesidad</w:t>
      </w:r>
      <w:r>
        <w:rPr>
          <w:color w:val="231F20"/>
          <w:spacing w:val="-22"/>
          <w:w w:val="105"/>
        </w:rPr>
        <w:t> </w:t>
      </w:r>
      <w:r>
        <w:rPr>
          <w:color w:val="231F20"/>
          <w:w w:val="105"/>
        </w:rPr>
        <w:t>de</w:t>
      </w:r>
      <w:r>
        <w:rPr>
          <w:color w:val="231F20"/>
          <w:spacing w:val="-22"/>
          <w:w w:val="105"/>
        </w:rPr>
        <w:t> </w:t>
      </w:r>
      <w:r>
        <w:rPr>
          <w:color w:val="231F20"/>
          <w:spacing w:val="-3"/>
          <w:w w:val="105"/>
        </w:rPr>
        <w:t>explorar</w:t>
      </w:r>
      <w:r>
        <w:rPr>
          <w:color w:val="231F20"/>
          <w:spacing w:val="-22"/>
          <w:w w:val="105"/>
        </w:rPr>
        <w:t> </w:t>
      </w:r>
      <w:r>
        <w:rPr>
          <w:color w:val="231F20"/>
          <w:w w:val="105"/>
        </w:rPr>
        <w:t>las</w:t>
      </w:r>
      <w:r>
        <w:rPr>
          <w:color w:val="231F20"/>
          <w:spacing w:val="-22"/>
          <w:w w:val="105"/>
        </w:rPr>
        <w:t> </w:t>
      </w:r>
      <w:r>
        <w:rPr>
          <w:color w:val="231F20"/>
          <w:spacing w:val="-3"/>
          <w:w w:val="105"/>
        </w:rPr>
        <w:t>diferencias</w:t>
      </w:r>
      <w:r>
        <w:rPr>
          <w:color w:val="231F20"/>
          <w:spacing w:val="-22"/>
          <w:w w:val="105"/>
        </w:rPr>
        <w:t> </w:t>
      </w:r>
      <w:r>
        <w:rPr>
          <w:color w:val="231F20"/>
          <w:w w:val="105"/>
        </w:rPr>
        <w:t>existentes</w:t>
      </w:r>
      <w:r>
        <w:rPr>
          <w:color w:val="231F20"/>
          <w:spacing w:val="-22"/>
          <w:w w:val="105"/>
        </w:rPr>
        <w:t> </w:t>
      </w:r>
      <w:r>
        <w:rPr>
          <w:color w:val="231F20"/>
          <w:spacing w:val="-3"/>
          <w:w w:val="105"/>
        </w:rPr>
        <w:t>entre</w:t>
      </w:r>
      <w:r>
        <w:rPr>
          <w:color w:val="231F20"/>
          <w:spacing w:val="-22"/>
          <w:w w:val="105"/>
        </w:rPr>
        <w:t> </w:t>
      </w:r>
      <w:r>
        <w:rPr>
          <w:color w:val="231F20"/>
          <w:spacing w:val="-3"/>
          <w:w w:val="105"/>
        </w:rPr>
        <w:t>hombres</w:t>
      </w:r>
      <w:r>
        <w:rPr>
          <w:color w:val="231F20"/>
          <w:spacing w:val="-22"/>
          <w:w w:val="105"/>
        </w:rPr>
        <w:t> </w:t>
      </w:r>
      <w:r>
        <w:rPr>
          <w:color w:val="231F20"/>
          <w:w w:val="105"/>
        </w:rPr>
        <w:t>y </w:t>
      </w:r>
      <w:r>
        <w:rPr>
          <w:color w:val="231F20"/>
          <w:spacing w:val="-3"/>
          <w:w w:val="105"/>
        </w:rPr>
        <w:t>mujeres</w:t>
      </w:r>
      <w:r>
        <w:rPr>
          <w:color w:val="231F20"/>
          <w:spacing w:val="-29"/>
          <w:w w:val="105"/>
        </w:rPr>
        <w:t> </w:t>
      </w:r>
      <w:r>
        <w:rPr>
          <w:color w:val="231F20"/>
          <w:w w:val="105"/>
        </w:rPr>
        <w:t>migrantes</w:t>
      </w:r>
      <w:r>
        <w:rPr>
          <w:color w:val="231F20"/>
          <w:spacing w:val="-29"/>
          <w:w w:val="105"/>
        </w:rPr>
        <w:t> </w:t>
      </w:r>
      <w:r>
        <w:rPr>
          <w:color w:val="231F20"/>
          <w:w w:val="105"/>
        </w:rPr>
        <w:t>en</w:t>
      </w:r>
      <w:r>
        <w:rPr>
          <w:color w:val="231F20"/>
          <w:spacing w:val="-29"/>
          <w:w w:val="105"/>
        </w:rPr>
        <w:t> </w:t>
      </w:r>
      <w:r>
        <w:rPr>
          <w:color w:val="231F20"/>
          <w:w w:val="105"/>
        </w:rPr>
        <w:t>varias</w:t>
      </w:r>
      <w:r>
        <w:rPr>
          <w:color w:val="231F20"/>
          <w:spacing w:val="-29"/>
          <w:w w:val="105"/>
        </w:rPr>
        <w:t> </w:t>
      </w:r>
      <w:r>
        <w:rPr>
          <w:color w:val="231F20"/>
          <w:w w:val="105"/>
        </w:rPr>
        <w:t>comunidades</w:t>
      </w:r>
      <w:r>
        <w:rPr>
          <w:color w:val="231F20"/>
          <w:spacing w:val="-29"/>
          <w:w w:val="105"/>
        </w:rPr>
        <w:t> </w:t>
      </w:r>
      <w:r>
        <w:rPr>
          <w:color w:val="231F20"/>
          <w:w w:val="105"/>
        </w:rPr>
        <w:t>que</w:t>
      </w:r>
      <w:r>
        <w:rPr>
          <w:color w:val="231F20"/>
          <w:spacing w:val="-29"/>
          <w:w w:val="105"/>
        </w:rPr>
        <w:t> </w:t>
      </w:r>
      <w:r>
        <w:rPr>
          <w:color w:val="231F20"/>
          <w:w w:val="105"/>
        </w:rPr>
        <w:t>den</w:t>
      </w:r>
      <w:r>
        <w:rPr>
          <w:color w:val="231F20"/>
          <w:spacing w:val="-29"/>
          <w:w w:val="105"/>
        </w:rPr>
        <w:t> </w:t>
      </w:r>
      <w:r>
        <w:rPr>
          <w:color w:val="231F20"/>
          <w:w w:val="105"/>
        </w:rPr>
        <w:t>luz</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spacing w:val="-3"/>
          <w:w w:val="105"/>
        </w:rPr>
        <w:t>for-</w:t>
      </w:r>
    </w:p>
    <w:p>
      <w:pPr>
        <w:pStyle w:val="BodyText"/>
        <w:spacing w:line="261" w:lineRule="auto" w:before="1"/>
        <w:ind w:left="1837" w:right="1715"/>
        <w:jc w:val="both"/>
      </w:pPr>
      <w:r>
        <w:rPr>
          <w:color w:val="231F20"/>
          <w:w w:val="105"/>
        </w:rPr>
        <w:t>ma cómo las </w:t>
      </w:r>
      <w:r>
        <w:rPr>
          <w:color w:val="231F20"/>
          <w:spacing w:val="-3"/>
          <w:w w:val="105"/>
        </w:rPr>
        <w:t>relaciones </w:t>
      </w:r>
      <w:r>
        <w:rPr>
          <w:color w:val="231F20"/>
          <w:w w:val="105"/>
        </w:rPr>
        <w:t>de </w:t>
      </w:r>
      <w:r>
        <w:rPr>
          <w:color w:val="231F20"/>
          <w:spacing w:val="-3"/>
          <w:w w:val="105"/>
        </w:rPr>
        <w:t>género </w:t>
      </w:r>
      <w:r>
        <w:rPr>
          <w:color w:val="231F20"/>
          <w:w w:val="105"/>
        </w:rPr>
        <w:t>influyen en la decisión de </w:t>
      </w:r>
      <w:r>
        <w:rPr>
          <w:color w:val="231F20"/>
          <w:spacing w:val="-4"/>
          <w:w w:val="105"/>
        </w:rPr>
        <w:t>migrar. </w:t>
      </w:r>
      <w:r>
        <w:rPr>
          <w:color w:val="231F20"/>
          <w:w w:val="105"/>
        </w:rPr>
        <w:t>En este trabajo observamos el </w:t>
      </w:r>
      <w:r>
        <w:rPr>
          <w:color w:val="231F20"/>
          <w:spacing w:val="-3"/>
          <w:w w:val="105"/>
        </w:rPr>
        <w:t>proceso migratorio </w:t>
      </w:r>
      <w:r>
        <w:rPr>
          <w:color w:val="231F20"/>
          <w:w w:val="105"/>
        </w:rPr>
        <w:t>ocurrido del Estado de México</w:t>
      </w:r>
      <w:r>
        <w:rPr>
          <w:color w:val="231F20"/>
          <w:spacing w:val="-18"/>
          <w:w w:val="105"/>
        </w:rPr>
        <w:t> </w:t>
      </w:r>
      <w:r>
        <w:rPr>
          <w:color w:val="231F20"/>
          <w:w w:val="105"/>
        </w:rPr>
        <w:t>hacia</w:t>
      </w:r>
      <w:r>
        <w:rPr>
          <w:color w:val="231F20"/>
          <w:spacing w:val="-18"/>
          <w:w w:val="105"/>
        </w:rPr>
        <w:t> </w:t>
      </w:r>
      <w:r>
        <w:rPr>
          <w:color w:val="231F20"/>
          <w:w w:val="105"/>
        </w:rPr>
        <w:t>Estados</w:t>
      </w:r>
      <w:r>
        <w:rPr>
          <w:color w:val="231F20"/>
          <w:spacing w:val="-18"/>
          <w:w w:val="105"/>
        </w:rPr>
        <w:t> </w:t>
      </w:r>
      <w:r>
        <w:rPr>
          <w:color w:val="231F20"/>
          <w:w w:val="105"/>
        </w:rPr>
        <w:t>Unidos</w:t>
      </w:r>
      <w:r>
        <w:rPr>
          <w:color w:val="231F20"/>
          <w:spacing w:val="-18"/>
          <w:w w:val="105"/>
        </w:rPr>
        <w:t> </w:t>
      </w:r>
      <w:r>
        <w:rPr>
          <w:color w:val="231F20"/>
          <w:w w:val="105"/>
        </w:rPr>
        <w:t>bajo</w:t>
      </w:r>
      <w:r>
        <w:rPr>
          <w:color w:val="231F20"/>
          <w:spacing w:val="-18"/>
          <w:w w:val="105"/>
        </w:rPr>
        <w:t> </w:t>
      </w:r>
      <w:r>
        <w:rPr>
          <w:color w:val="231F20"/>
          <w:w w:val="105"/>
        </w:rPr>
        <w:t>una</w:t>
      </w:r>
      <w:r>
        <w:rPr>
          <w:color w:val="231F20"/>
          <w:spacing w:val="-18"/>
          <w:w w:val="105"/>
        </w:rPr>
        <w:t> </w:t>
      </w:r>
      <w:r>
        <w:rPr>
          <w:color w:val="231F20"/>
          <w:w w:val="105"/>
        </w:rPr>
        <w:t>perspectiva</w:t>
      </w:r>
      <w:r>
        <w:rPr>
          <w:color w:val="231F20"/>
          <w:spacing w:val="-18"/>
          <w:w w:val="105"/>
        </w:rPr>
        <w:t> </w:t>
      </w:r>
      <w:r>
        <w:rPr>
          <w:color w:val="231F20"/>
          <w:w w:val="105"/>
        </w:rPr>
        <w:t>de</w:t>
      </w:r>
      <w:r>
        <w:rPr>
          <w:color w:val="231F20"/>
          <w:spacing w:val="-18"/>
          <w:w w:val="105"/>
        </w:rPr>
        <w:t> </w:t>
      </w:r>
      <w:r>
        <w:rPr>
          <w:color w:val="231F20"/>
          <w:spacing w:val="-3"/>
          <w:w w:val="105"/>
        </w:rPr>
        <w:t>género</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spacing w:val="-3"/>
          <w:w w:val="105"/>
        </w:rPr>
        <w:t>redes </w:t>
      </w:r>
      <w:r>
        <w:rPr>
          <w:color w:val="231F20"/>
          <w:w w:val="105"/>
        </w:rPr>
        <w:t>sociales.</w:t>
      </w:r>
      <w:r>
        <w:rPr>
          <w:color w:val="231F20"/>
          <w:spacing w:val="-39"/>
          <w:w w:val="105"/>
        </w:rPr>
        <w:t> </w:t>
      </w:r>
      <w:r>
        <w:rPr>
          <w:color w:val="231F20"/>
          <w:w w:val="105"/>
        </w:rPr>
        <w:t>Hacemos</w:t>
      </w:r>
      <w:r>
        <w:rPr>
          <w:color w:val="231F20"/>
          <w:spacing w:val="-35"/>
          <w:w w:val="105"/>
        </w:rPr>
        <w:t> </w:t>
      </w:r>
      <w:r>
        <w:rPr>
          <w:color w:val="231F20"/>
          <w:w w:val="105"/>
        </w:rPr>
        <w:t>el</w:t>
      </w:r>
      <w:r>
        <w:rPr>
          <w:color w:val="231F20"/>
          <w:spacing w:val="-35"/>
          <w:w w:val="105"/>
        </w:rPr>
        <w:t> </w:t>
      </w:r>
      <w:r>
        <w:rPr>
          <w:color w:val="231F20"/>
          <w:w w:val="105"/>
        </w:rPr>
        <w:t>análisis</w:t>
      </w:r>
      <w:r>
        <w:rPr>
          <w:color w:val="231F20"/>
          <w:spacing w:val="-35"/>
          <w:w w:val="105"/>
        </w:rPr>
        <w:t> </w:t>
      </w:r>
      <w:r>
        <w:rPr>
          <w:color w:val="231F20"/>
          <w:w w:val="105"/>
        </w:rPr>
        <w:t>distinguiendo</w:t>
      </w:r>
      <w:r>
        <w:rPr>
          <w:color w:val="231F20"/>
          <w:spacing w:val="-35"/>
          <w:w w:val="105"/>
        </w:rPr>
        <w:t> </w:t>
      </w:r>
      <w:r>
        <w:rPr>
          <w:color w:val="231F20"/>
          <w:spacing w:val="-3"/>
          <w:w w:val="105"/>
        </w:rPr>
        <w:t>tres</w:t>
      </w:r>
      <w:r>
        <w:rPr>
          <w:color w:val="231F20"/>
          <w:spacing w:val="-35"/>
          <w:w w:val="105"/>
        </w:rPr>
        <w:t> </w:t>
      </w:r>
      <w:r>
        <w:rPr>
          <w:color w:val="231F20"/>
          <w:w w:val="105"/>
        </w:rPr>
        <w:t>tipos</w:t>
      </w:r>
      <w:r>
        <w:rPr>
          <w:color w:val="231F20"/>
          <w:spacing w:val="-35"/>
          <w:w w:val="105"/>
        </w:rPr>
        <w:t> </w:t>
      </w:r>
      <w:r>
        <w:rPr>
          <w:color w:val="231F20"/>
          <w:w w:val="105"/>
        </w:rPr>
        <w:t>de</w:t>
      </w:r>
      <w:r>
        <w:rPr>
          <w:color w:val="231F20"/>
          <w:spacing w:val="-35"/>
          <w:w w:val="105"/>
        </w:rPr>
        <w:t> </w:t>
      </w:r>
      <w:r>
        <w:rPr>
          <w:color w:val="231F20"/>
          <w:w w:val="105"/>
        </w:rPr>
        <w:t>comunidades</w:t>
      </w:r>
      <w:r>
        <w:rPr>
          <w:color w:val="231F20"/>
          <w:spacing w:val="-35"/>
          <w:w w:val="105"/>
        </w:rPr>
        <w:t> </w:t>
      </w:r>
      <w:r>
        <w:rPr>
          <w:color w:val="231F20"/>
          <w:spacing w:val="-3"/>
          <w:w w:val="105"/>
        </w:rPr>
        <w:t>ex- </w:t>
      </w:r>
      <w:r>
        <w:rPr>
          <w:color w:val="231F20"/>
          <w:w w:val="105"/>
        </w:rPr>
        <w:t>pulsoras:</w:t>
      </w:r>
      <w:r>
        <w:rPr>
          <w:color w:val="231F20"/>
          <w:spacing w:val="-27"/>
          <w:w w:val="105"/>
        </w:rPr>
        <w:t> </w:t>
      </w:r>
      <w:r>
        <w:rPr>
          <w:color w:val="231F20"/>
          <w:w w:val="105"/>
        </w:rPr>
        <w:t>tradicionales,</w:t>
      </w:r>
      <w:r>
        <w:rPr>
          <w:color w:val="231F20"/>
          <w:spacing w:val="-31"/>
          <w:w w:val="105"/>
        </w:rPr>
        <w:t> </w:t>
      </w:r>
      <w:r>
        <w:rPr>
          <w:color w:val="231F20"/>
          <w:spacing w:val="-3"/>
          <w:w w:val="105"/>
        </w:rPr>
        <w:t>emergentes</w:t>
      </w:r>
      <w:r>
        <w:rPr>
          <w:color w:val="231F20"/>
          <w:spacing w:val="-27"/>
          <w:w w:val="105"/>
        </w:rPr>
        <w:t> </w:t>
      </w:r>
      <w:r>
        <w:rPr>
          <w:color w:val="231F20"/>
          <w:w w:val="105"/>
        </w:rPr>
        <w:t>y</w:t>
      </w:r>
      <w:r>
        <w:rPr>
          <w:color w:val="231F20"/>
          <w:spacing w:val="-27"/>
          <w:w w:val="105"/>
        </w:rPr>
        <w:t> </w:t>
      </w:r>
      <w:r>
        <w:rPr>
          <w:color w:val="231F20"/>
          <w:w w:val="105"/>
        </w:rPr>
        <w:t>étnicas.</w:t>
      </w:r>
      <w:r>
        <w:rPr>
          <w:color w:val="231F20"/>
          <w:spacing w:val="-31"/>
          <w:w w:val="105"/>
        </w:rPr>
        <w:t> </w:t>
      </w:r>
      <w:r>
        <w:rPr>
          <w:color w:val="231F20"/>
          <w:w w:val="105"/>
        </w:rPr>
        <w:t>Las</w:t>
      </w:r>
      <w:r>
        <w:rPr>
          <w:color w:val="231F20"/>
          <w:spacing w:val="-27"/>
          <w:w w:val="105"/>
        </w:rPr>
        <w:t> </w:t>
      </w:r>
      <w:r>
        <w:rPr>
          <w:color w:val="231F20"/>
          <w:spacing w:val="-3"/>
          <w:w w:val="105"/>
        </w:rPr>
        <w:t>preguntas</w:t>
      </w:r>
      <w:r>
        <w:rPr>
          <w:color w:val="231F20"/>
          <w:spacing w:val="-27"/>
          <w:w w:val="105"/>
        </w:rPr>
        <w:t> </w:t>
      </w:r>
      <w:r>
        <w:rPr>
          <w:color w:val="231F20"/>
          <w:w w:val="105"/>
        </w:rPr>
        <w:t>que</w:t>
      </w:r>
      <w:r>
        <w:rPr>
          <w:color w:val="231F20"/>
          <w:spacing w:val="-27"/>
          <w:w w:val="105"/>
        </w:rPr>
        <w:t> </w:t>
      </w:r>
      <w:r>
        <w:rPr>
          <w:color w:val="231F20"/>
          <w:spacing w:val="-3"/>
          <w:w w:val="105"/>
        </w:rPr>
        <w:t>resolve- </w:t>
      </w:r>
      <w:r>
        <w:rPr>
          <w:color w:val="231F20"/>
          <w:w w:val="105"/>
        </w:rPr>
        <w:t>mos</w:t>
      </w:r>
      <w:r>
        <w:rPr>
          <w:color w:val="231F20"/>
          <w:spacing w:val="-6"/>
          <w:w w:val="105"/>
        </w:rPr>
        <w:t> </w:t>
      </w:r>
      <w:r>
        <w:rPr>
          <w:color w:val="231F20"/>
          <w:w w:val="105"/>
        </w:rPr>
        <w:t>en</w:t>
      </w:r>
      <w:r>
        <w:rPr>
          <w:color w:val="231F20"/>
          <w:spacing w:val="-6"/>
          <w:w w:val="105"/>
        </w:rPr>
        <w:t> </w:t>
      </w:r>
      <w:r>
        <w:rPr>
          <w:color w:val="231F20"/>
          <w:w w:val="105"/>
        </w:rPr>
        <w:t>nuestra</w:t>
      </w:r>
      <w:r>
        <w:rPr>
          <w:color w:val="231F20"/>
          <w:spacing w:val="-6"/>
          <w:w w:val="105"/>
        </w:rPr>
        <w:t> </w:t>
      </w:r>
      <w:r>
        <w:rPr>
          <w:color w:val="231F20"/>
          <w:w w:val="105"/>
        </w:rPr>
        <w:t>investigación</w:t>
      </w:r>
      <w:r>
        <w:rPr>
          <w:color w:val="231F20"/>
          <w:spacing w:val="-6"/>
          <w:w w:val="105"/>
        </w:rPr>
        <w:t> </w:t>
      </w:r>
      <w:r>
        <w:rPr>
          <w:color w:val="231F20"/>
          <w:w w:val="105"/>
        </w:rPr>
        <w:t>son:</w:t>
      </w:r>
      <w:r>
        <w:rPr>
          <w:color w:val="231F20"/>
          <w:spacing w:val="-6"/>
          <w:w w:val="105"/>
        </w:rPr>
        <w:t> </w:t>
      </w:r>
      <w:r>
        <w:rPr>
          <w:color w:val="231F20"/>
          <w:w w:val="105"/>
        </w:rPr>
        <w:t>¿Cuál</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perfil</w:t>
      </w:r>
      <w:r>
        <w:rPr>
          <w:color w:val="231F20"/>
          <w:spacing w:val="-6"/>
          <w:w w:val="105"/>
        </w:rPr>
        <w:t> </w:t>
      </w:r>
      <w:r>
        <w:rPr>
          <w:color w:val="231F20"/>
          <w:w w:val="105"/>
        </w:rPr>
        <w:t>demográfico</w:t>
      </w:r>
      <w:r>
        <w:rPr>
          <w:color w:val="231F20"/>
          <w:spacing w:val="-6"/>
          <w:w w:val="105"/>
        </w:rPr>
        <w:t> </w:t>
      </w:r>
      <w:r>
        <w:rPr>
          <w:color w:val="231F20"/>
          <w:w w:val="105"/>
        </w:rPr>
        <w:t>de</w:t>
      </w:r>
      <w:r>
        <w:rPr>
          <w:color w:val="231F20"/>
          <w:spacing w:val="-6"/>
          <w:w w:val="105"/>
        </w:rPr>
        <w:t> </w:t>
      </w:r>
      <w:r>
        <w:rPr>
          <w:color w:val="231F20"/>
          <w:spacing w:val="-2"/>
          <w:w w:val="105"/>
        </w:rPr>
        <w:t>las </w:t>
      </w:r>
      <w:r>
        <w:rPr>
          <w:color w:val="231F20"/>
          <w:spacing w:val="-3"/>
          <w:w w:val="105"/>
        </w:rPr>
        <w:t>mujeres</w:t>
      </w:r>
      <w:r>
        <w:rPr>
          <w:color w:val="231F20"/>
          <w:spacing w:val="-21"/>
          <w:w w:val="105"/>
        </w:rPr>
        <w:t> </w:t>
      </w:r>
      <w:r>
        <w:rPr>
          <w:color w:val="231F20"/>
          <w:w w:val="105"/>
        </w:rPr>
        <w:t>migrantes</w:t>
      </w:r>
      <w:r>
        <w:rPr>
          <w:color w:val="231F20"/>
          <w:spacing w:val="-21"/>
          <w:w w:val="105"/>
        </w:rPr>
        <w:t> </w:t>
      </w:r>
      <w:r>
        <w:rPr>
          <w:color w:val="231F20"/>
          <w:w w:val="105"/>
        </w:rPr>
        <w:t>del</w:t>
      </w:r>
      <w:r>
        <w:rPr>
          <w:color w:val="231F20"/>
          <w:spacing w:val="-21"/>
          <w:w w:val="105"/>
        </w:rPr>
        <w:t> </w:t>
      </w:r>
      <w:r>
        <w:rPr>
          <w:color w:val="231F20"/>
          <w:w w:val="105"/>
        </w:rPr>
        <w:t>Estado</w:t>
      </w:r>
      <w:r>
        <w:rPr>
          <w:color w:val="231F20"/>
          <w:spacing w:val="-21"/>
          <w:w w:val="105"/>
        </w:rPr>
        <w:t> </w:t>
      </w:r>
      <w:r>
        <w:rPr>
          <w:color w:val="231F20"/>
          <w:w w:val="105"/>
        </w:rPr>
        <w:t>de</w:t>
      </w:r>
      <w:r>
        <w:rPr>
          <w:color w:val="231F20"/>
          <w:spacing w:val="-21"/>
          <w:w w:val="105"/>
        </w:rPr>
        <w:t> </w:t>
      </w:r>
      <w:r>
        <w:rPr>
          <w:color w:val="231F20"/>
          <w:w w:val="105"/>
        </w:rPr>
        <w:t>México?</w:t>
      </w:r>
      <w:r>
        <w:rPr>
          <w:color w:val="231F20"/>
          <w:spacing w:val="-21"/>
          <w:w w:val="105"/>
        </w:rPr>
        <w:t> </w:t>
      </w:r>
      <w:r>
        <w:rPr>
          <w:color w:val="231F20"/>
          <w:w w:val="105"/>
        </w:rPr>
        <w:t>¿Qué</w:t>
      </w:r>
      <w:r>
        <w:rPr>
          <w:color w:val="231F20"/>
          <w:spacing w:val="-21"/>
          <w:w w:val="105"/>
        </w:rPr>
        <w:t> </w:t>
      </w:r>
      <w:r>
        <w:rPr>
          <w:color w:val="231F20"/>
          <w:spacing w:val="-3"/>
          <w:w w:val="105"/>
        </w:rPr>
        <w:t>diferencias</w:t>
      </w:r>
      <w:r>
        <w:rPr>
          <w:color w:val="231F20"/>
          <w:spacing w:val="-21"/>
          <w:w w:val="105"/>
        </w:rPr>
        <w:t> </w:t>
      </w:r>
      <w:r>
        <w:rPr>
          <w:color w:val="231F20"/>
          <w:w w:val="105"/>
        </w:rPr>
        <w:t>existen</w:t>
      </w:r>
      <w:r>
        <w:rPr>
          <w:color w:val="231F20"/>
          <w:spacing w:val="-21"/>
          <w:w w:val="105"/>
        </w:rPr>
        <w:t> </w:t>
      </w:r>
      <w:r>
        <w:rPr>
          <w:color w:val="231F20"/>
          <w:spacing w:val="-3"/>
          <w:w w:val="105"/>
        </w:rPr>
        <w:t>entre </w:t>
      </w:r>
      <w:r>
        <w:rPr>
          <w:color w:val="231F20"/>
          <w:w w:val="105"/>
        </w:rPr>
        <w:t>éste</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perfil</w:t>
      </w:r>
      <w:r>
        <w:rPr>
          <w:color w:val="231F20"/>
          <w:spacing w:val="-15"/>
          <w:w w:val="105"/>
        </w:rPr>
        <w:t> </w:t>
      </w:r>
      <w:r>
        <w:rPr>
          <w:color w:val="231F20"/>
          <w:w w:val="105"/>
        </w:rPr>
        <w:t>masculino?</w:t>
      </w:r>
      <w:r>
        <w:rPr>
          <w:color w:val="231F20"/>
          <w:spacing w:val="-15"/>
          <w:w w:val="105"/>
        </w:rPr>
        <w:t> </w:t>
      </w:r>
      <w:r>
        <w:rPr>
          <w:color w:val="231F20"/>
          <w:w w:val="105"/>
        </w:rPr>
        <w:t>¿Ha</w:t>
      </w:r>
      <w:r>
        <w:rPr>
          <w:color w:val="231F20"/>
          <w:spacing w:val="-15"/>
          <w:w w:val="105"/>
        </w:rPr>
        <w:t> </w:t>
      </w:r>
      <w:r>
        <w:rPr>
          <w:color w:val="231F20"/>
          <w:w w:val="105"/>
        </w:rPr>
        <w:t>ocurrido</w:t>
      </w:r>
      <w:r>
        <w:rPr>
          <w:color w:val="231F20"/>
          <w:spacing w:val="-15"/>
          <w:w w:val="105"/>
        </w:rPr>
        <w:t> </w:t>
      </w:r>
      <w:r>
        <w:rPr>
          <w:color w:val="231F20"/>
          <w:w w:val="105"/>
        </w:rPr>
        <w:t>un</w:t>
      </w:r>
      <w:r>
        <w:rPr>
          <w:color w:val="231F20"/>
          <w:spacing w:val="-15"/>
          <w:w w:val="105"/>
        </w:rPr>
        <w:t> </w:t>
      </w:r>
      <w:r>
        <w:rPr>
          <w:color w:val="231F20"/>
          <w:w w:val="105"/>
        </w:rPr>
        <w:t>cambio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tiempo</w:t>
      </w:r>
      <w:r>
        <w:rPr>
          <w:color w:val="231F20"/>
          <w:spacing w:val="-15"/>
          <w:w w:val="105"/>
        </w:rPr>
        <w:t> </w:t>
      </w:r>
      <w:r>
        <w:rPr>
          <w:color w:val="231F20"/>
          <w:w w:val="105"/>
        </w:rPr>
        <w:t>de</w:t>
      </w:r>
      <w:r>
        <w:rPr>
          <w:color w:val="231F20"/>
          <w:spacing w:val="-15"/>
          <w:w w:val="105"/>
        </w:rPr>
        <w:t> </w:t>
      </w:r>
      <w:r>
        <w:rPr>
          <w:color w:val="231F20"/>
          <w:w w:val="105"/>
        </w:rPr>
        <w:t>estos perfiles?</w:t>
      </w:r>
      <w:r>
        <w:rPr>
          <w:color w:val="231F20"/>
          <w:spacing w:val="-26"/>
          <w:w w:val="105"/>
        </w:rPr>
        <w:t> </w:t>
      </w:r>
      <w:r>
        <w:rPr>
          <w:color w:val="231F20"/>
          <w:w w:val="105"/>
        </w:rPr>
        <w:t>Debido</w:t>
      </w:r>
      <w:r>
        <w:rPr>
          <w:color w:val="231F20"/>
          <w:spacing w:val="-26"/>
          <w:w w:val="105"/>
        </w:rPr>
        <w:t> </w:t>
      </w:r>
      <w:r>
        <w:rPr>
          <w:color w:val="231F20"/>
          <w:w w:val="105"/>
        </w:rPr>
        <w:t>a</w:t>
      </w:r>
      <w:r>
        <w:rPr>
          <w:color w:val="231F20"/>
          <w:spacing w:val="-26"/>
          <w:w w:val="105"/>
        </w:rPr>
        <w:t> </w:t>
      </w:r>
      <w:r>
        <w:rPr>
          <w:color w:val="231F20"/>
          <w:w w:val="105"/>
        </w:rPr>
        <w:t>que</w:t>
      </w:r>
      <w:r>
        <w:rPr>
          <w:color w:val="231F20"/>
          <w:spacing w:val="-26"/>
          <w:w w:val="105"/>
        </w:rPr>
        <w:t> </w:t>
      </w:r>
      <w:r>
        <w:rPr>
          <w:color w:val="231F20"/>
          <w:w w:val="105"/>
        </w:rPr>
        <w:t>buscamos</w:t>
      </w:r>
      <w:r>
        <w:rPr>
          <w:color w:val="231F20"/>
          <w:spacing w:val="-26"/>
          <w:w w:val="105"/>
        </w:rPr>
        <w:t> </w:t>
      </w:r>
      <w:r>
        <w:rPr>
          <w:color w:val="231F20"/>
          <w:w w:val="105"/>
        </w:rPr>
        <w:t>evaluar</w:t>
      </w:r>
      <w:r>
        <w:rPr>
          <w:color w:val="231F20"/>
          <w:spacing w:val="-26"/>
          <w:w w:val="105"/>
        </w:rPr>
        <w:t> </w:t>
      </w:r>
      <w:r>
        <w:rPr>
          <w:color w:val="231F20"/>
          <w:w w:val="105"/>
        </w:rPr>
        <w:t>la</w:t>
      </w:r>
      <w:r>
        <w:rPr>
          <w:color w:val="231F20"/>
          <w:spacing w:val="-26"/>
          <w:w w:val="105"/>
        </w:rPr>
        <w:t> </w:t>
      </w:r>
      <w:r>
        <w:rPr>
          <w:color w:val="231F20"/>
          <w:w w:val="105"/>
        </w:rPr>
        <w:t>influencia</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spacing w:val="-3"/>
          <w:w w:val="105"/>
        </w:rPr>
        <w:t>redes</w:t>
      </w:r>
      <w:r>
        <w:rPr>
          <w:color w:val="231F20"/>
          <w:spacing w:val="-26"/>
          <w:w w:val="105"/>
        </w:rPr>
        <w:t> </w:t>
      </w:r>
      <w:r>
        <w:rPr>
          <w:color w:val="231F20"/>
          <w:w w:val="105"/>
        </w:rPr>
        <w:t>socia- les</w:t>
      </w:r>
      <w:r>
        <w:rPr>
          <w:color w:val="231F20"/>
          <w:spacing w:val="-15"/>
          <w:w w:val="105"/>
        </w:rPr>
        <w:t> </w:t>
      </w:r>
      <w:r>
        <w:rPr>
          <w:color w:val="231F20"/>
          <w:w w:val="105"/>
        </w:rPr>
        <w:t>existentes</w:t>
      </w:r>
      <w:r>
        <w:rPr>
          <w:color w:val="231F20"/>
          <w:spacing w:val="-15"/>
          <w:w w:val="105"/>
        </w:rPr>
        <w:t> </w:t>
      </w:r>
      <w:r>
        <w:rPr>
          <w:color w:val="231F20"/>
          <w:w w:val="105"/>
        </w:rPr>
        <w:t>en</w:t>
      </w:r>
      <w:r>
        <w:rPr>
          <w:color w:val="231F20"/>
          <w:spacing w:val="-15"/>
          <w:w w:val="105"/>
        </w:rPr>
        <w:t> </w:t>
      </w:r>
      <w:r>
        <w:rPr>
          <w:color w:val="231F20"/>
          <w:w w:val="105"/>
        </w:rPr>
        <w:t>diversos</w:t>
      </w:r>
      <w:r>
        <w:rPr>
          <w:color w:val="231F20"/>
          <w:spacing w:val="-15"/>
          <w:w w:val="105"/>
        </w:rPr>
        <w:t> </w:t>
      </w:r>
      <w:r>
        <w:rPr>
          <w:color w:val="231F20"/>
          <w:w w:val="105"/>
        </w:rPr>
        <w:t>contextos</w:t>
      </w:r>
      <w:r>
        <w:rPr>
          <w:color w:val="231F20"/>
          <w:spacing w:val="-15"/>
          <w:w w:val="105"/>
        </w:rPr>
        <w:t> </w:t>
      </w:r>
      <w:r>
        <w:rPr>
          <w:color w:val="231F20"/>
          <w:w w:val="105"/>
        </w:rPr>
        <w:t>nos</w:t>
      </w:r>
      <w:r>
        <w:rPr>
          <w:color w:val="231F20"/>
          <w:spacing w:val="-15"/>
          <w:w w:val="105"/>
        </w:rPr>
        <w:t> </w:t>
      </w:r>
      <w:r>
        <w:rPr>
          <w:color w:val="231F20"/>
          <w:spacing w:val="-3"/>
          <w:w w:val="105"/>
        </w:rPr>
        <w:t>preguntamos</w:t>
      </w:r>
      <w:r>
        <w:rPr>
          <w:color w:val="231F20"/>
          <w:spacing w:val="-15"/>
          <w:w w:val="105"/>
        </w:rPr>
        <w:t> </w:t>
      </w:r>
      <w:r>
        <w:rPr>
          <w:color w:val="231F20"/>
          <w:w w:val="105"/>
        </w:rPr>
        <w:t>si</w:t>
      </w:r>
      <w:r>
        <w:rPr>
          <w:color w:val="231F20"/>
          <w:spacing w:val="-15"/>
          <w:w w:val="105"/>
        </w:rPr>
        <w:t> </w:t>
      </w:r>
      <w:r>
        <w:rPr>
          <w:color w:val="231F20"/>
          <w:w w:val="105"/>
        </w:rPr>
        <w:t>existen</w:t>
      </w:r>
      <w:r>
        <w:rPr>
          <w:color w:val="231F20"/>
          <w:spacing w:val="-15"/>
          <w:w w:val="105"/>
        </w:rPr>
        <w:t> </w:t>
      </w:r>
      <w:r>
        <w:rPr>
          <w:color w:val="231F20"/>
          <w:spacing w:val="-3"/>
          <w:w w:val="105"/>
        </w:rPr>
        <w:t>diferen- </w:t>
      </w:r>
      <w:r>
        <w:rPr>
          <w:color w:val="231F20"/>
          <w:w w:val="105"/>
        </w:rPr>
        <w:t>cias</w:t>
      </w:r>
      <w:r>
        <w:rPr>
          <w:color w:val="231F20"/>
          <w:spacing w:val="-26"/>
          <w:w w:val="105"/>
        </w:rPr>
        <w:t> </w:t>
      </w:r>
      <w:r>
        <w:rPr>
          <w:color w:val="231F20"/>
          <w:w w:val="105"/>
        </w:rPr>
        <w:t>en</w:t>
      </w:r>
      <w:r>
        <w:rPr>
          <w:color w:val="231F20"/>
          <w:spacing w:val="-26"/>
          <w:w w:val="105"/>
        </w:rPr>
        <w:t> </w:t>
      </w:r>
      <w:r>
        <w:rPr>
          <w:color w:val="231F20"/>
          <w:w w:val="105"/>
        </w:rPr>
        <w:t>los</w:t>
      </w:r>
      <w:r>
        <w:rPr>
          <w:color w:val="231F20"/>
          <w:spacing w:val="-26"/>
          <w:w w:val="105"/>
        </w:rPr>
        <w:t> </w:t>
      </w:r>
      <w:r>
        <w:rPr>
          <w:color w:val="231F20"/>
          <w:w w:val="105"/>
        </w:rPr>
        <w:t>tipos</w:t>
      </w:r>
      <w:r>
        <w:rPr>
          <w:color w:val="231F20"/>
          <w:spacing w:val="-26"/>
          <w:w w:val="105"/>
        </w:rPr>
        <w:t> </w:t>
      </w:r>
      <w:r>
        <w:rPr>
          <w:color w:val="231F20"/>
          <w:w w:val="105"/>
        </w:rPr>
        <w:t>de</w:t>
      </w:r>
      <w:r>
        <w:rPr>
          <w:color w:val="231F20"/>
          <w:spacing w:val="-26"/>
          <w:w w:val="105"/>
        </w:rPr>
        <w:t> </w:t>
      </w:r>
      <w:r>
        <w:rPr>
          <w:color w:val="231F20"/>
          <w:w w:val="105"/>
        </w:rPr>
        <w:t>migración</w:t>
      </w:r>
      <w:r>
        <w:rPr>
          <w:color w:val="231F20"/>
          <w:spacing w:val="-26"/>
          <w:w w:val="105"/>
        </w:rPr>
        <w:t> </w:t>
      </w:r>
      <w:r>
        <w:rPr>
          <w:color w:val="231F20"/>
          <w:w w:val="105"/>
        </w:rPr>
        <w:t>(permanente</w:t>
      </w:r>
      <w:r>
        <w:rPr>
          <w:color w:val="231F20"/>
          <w:spacing w:val="-26"/>
          <w:w w:val="105"/>
        </w:rPr>
        <w:t> </w:t>
      </w:r>
      <w:r>
        <w:rPr>
          <w:color w:val="231F20"/>
          <w:w w:val="105"/>
        </w:rPr>
        <w:t>y</w:t>
      </w:r>
      <w:r>
        <w:rPr>
          <w:color w:val="231F20"/>
          <w:spacing w:val="-26"/>
          <w:w w:val="105"/>
        </w:rPr>
        <w:t> </w:t>
      </w:r>
      <w:r>
        <w:rPr>
          <w:color w:val="231F20"/>
          <w:spacing w:val="-3"/>
          <w:w w:val="105"/>
        </w:rPr>
        <w:t>circular)</w:t>
      </w:r>
      <w:r>
        <w:rPr>
          <w:color w:val="231F20"/>
          <w:spacing w:val="-26"/>
          <w:w w:val="105"/>
        </w:rPr>
        <w:t> </w:t>
      </w:r>
      <w:r>
        <w:rPr>
          <w:color w:val="231F20"/>
          <w:spacing w:val="-3"/>
          <w:w w:val="105"/>
        </w:rPr>
        <w:t>entre</w:t>
      </w:r>
      <w:r>
        <w:rPr>
          <w:color w:val="231F20"/>
          <w:spacing w:val="-26"/>
          <w:w w:val="105"/>
        </w:rPr>
        <w:t> </w:t>
      </w:r>
      <w:r>
        <w:rPr>
          <w:color w:val="231F20"/>
          <w:w w:val="105"/>
        </w:rPr>
        <w:t>las</w:t>
      </w:r>
      <w:r>
        <w:rPr>
          <w:color w:val="231F20"/>
          <w:spacing w:val="-26"/>
          <w:w w:val="105"/>
        </w:rPr>
        <w:t> </w:t>
      </w:r>
      <w:r>
        <w:rPr>
          <w:color w:val="231F20"/>
          <w:w w:val="105"/>
        </w:rPr>
        <w:t>comunida- des </w:t>
      </w:r>
      <w:r>
        <w:rPr>
          <w:color w:val="231F20"/>
          <w:spacing w:val="-3"/>
          <w:w w:val="105"/>
        </w:rPr>
        <w:t>expulsoras </w:t>
      </w:r>
      <w:r>
        <w:rPr>
          <w:color w:val="231F20"/>
          <w:w w:val="105"/>
        </w:rPr>
        <w:t>(tradicionales, </w:t>
      </w:r>
      <w:r>
        <w:rPr>
          <w:color w:val="231F20"/>
          <w:spacing w:val="-3"/>
          <w:w w:val="105"/>
        </w:rPr>
        <w:t>emergentes </w:t>
      </w:r>
      <w:r>
        <w:rPr>
          <w:color w:val="231F20"/>
          <w:w w:val="105"/>
        </w:rPr>
        <w:t>y étnicas) a nivel individuo. </w:t>
      </w:r>
      <w:r>
        <w:rPr>
          <w:color w:val="231F20"/>
          <w:spacing w:val="-3"/>
          <w:w w:val="105"/>
        </w:rPr>
        <w:t>Finalmente</w:t>
      </w:r>
      <w:r>
        <w:rPr>
          <w:color w:val="231F20"/>
          <w:spacing w:val="-23"/>
          <w:w w:val="105"/>
        </w:rPr>
        <w:t> </w:t>
      </w:r>
      <w:r>
        <w:rPr>
          <w:color w:val="231F20"/>
          <w:w w:val="105"/>
        </w:rPr>
        <w:t>indagamos</w:t>
      </w:r>
      <w:r>
        <w:rPr>
          <w:color w:val="231F20"/>
          <w:spacing w:val="-23"/>
          <w:w w:val="105"/>
        </w:rPr>
        <w:t> </w:t>
      </w:r>
      <w:r>
        <w:rPr>
          <w:color w:val="231F20"/>
          <w:w w:val="105"/>
        </w:rPr>
        <w:t>si</w:t>
      </w:r>
      <w:r>
        <w:rPr>
          <w:color w:val="231F20"/>
          <w:spacing w:val="-23"/>
          <w:w w:val="105"/>
        </w:rPr>
        <w:t> </w:t>
      </w:r>
      <w:r>
        <w:rPr>
          <w:color w:val="231F20"/>
          <w:w w:val="105"/>
        </w:rPr>
        <w:t>ha</w:t>
      </w:r>
      <w:r>
        <w:rPr>
          <w:color w:val="231F20"/>
          <w:spacing w:val="-23"/>
          <w:w w:val="105"/>
        </w:rPr>
        <w:t> </w:t>
      </w:r>
      <w:r>
        <w:rPr>
          <w:color w:val="231F20"/>
          <w:w w:val="105"/>
        </w:rPr>
        <w:t>ocurrido</w:t>
      </w:r>
      <w:r>
        <w:rPr>
          <w:color w:val="231F20"/>
          <w:spacing w:val="-23"/>
          <w:w w:val="105"/>
        </w:rPr>
        <w:t> </w:t>
      </w:r>
      <w:r>
        <w:rPr>
          <w:color w:val="231F20"/>
          <w:w w:val="105"/>
        </w:rPr>
        <w:t>un</w:t>
      </w:r>
      <w:r>
        <w:rPr>
          <w:color w:val="231F20"/>
          <w:spacing w:val="-23"/>
          <w:w w:val="105"/>
        </w:rPr>
        <w:t> </w:t>
      </w:r>
      <w:r>
        <w:rPr>
          <w:color w:val="231F20"/>
          <w:w w:val="105"/>
        </w:rPr>
        <w:t>cambio</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tipos</w:t>
      </w:r>
      <w:r>
        <w:rPr>
          <w:color w:val="231F20"/>
          <w:spacing w:val="-23"/>
          <w:w w:val="105"/>
        </w:rPr>
        <w:t> </w:t>
      </w:r>
      <w:r>
        <w:rPr>
          <w:color w:val="231F20"/>
          <w:w w:val="105"/>
        </w:rPr>
        <w:t>de</w:t>
      </w:r>
      <w:r>
        <w:rPr>
          <w:color w:val="231F20"/>
          <w:spacing w:val="-23"/>
          <w:w w:val="105"/>
        </w:rPr>
        <w:t> </w:t>
      </w:r>
      <w:r>
        <w:rPr>
          <w:color w:val="231F20"/>
          <w:spacing w:val="-3"/>
          <w:w w:val="105"/>
        </w:rPr>
        <w:t>migración </w:t>
      </w:r>
      <w:r>
        <w:rPr>
          <w:color w:val="231F20"/>
          <w:w w:val="105"/>
        </w:rPr>
        <w:t>a</w:t>
      </w:r>
      <w:r>
        <w:rPr>
          <w:color w:val="231F20"/>
          <w:spacing w:val="-23"/>
          <w:w w:val="105"/>
        </w:rPr>
        <w:t> </w:t>
      </w:r>
      <w:r>
        <w:rPr>
          <w:color w:val="231F20"/>
          <w:w w:val="105"/>
        </w:rPr>
        <w:t>nivel</w:t>
      </w:r>
      <w:r>
        <w:rPr>
          <w:color w:val="231F20"/>
          <w:spacing w:val="-23"/>
          <w:w w:val="105"/>
        </w:rPr>
        <w:t> </w:t>
      </w:r>
      <w:r>
        <w:rPr>
          <w:color w:val="231F20"/>
          <w:w w:val="105"/>
        </w:rPr>
        <w:t>hogar</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comunidades</w:t>
      </w:r>
      <w:r>
        <w:rPr>
          <w:color w:val="231F20"/>
          <w:spacing w:val="-23"/>
          <w:w w:val="105"/>
        </w:rPr>
        <w:t> </w:t>
      </w:r>
      <w:r>
        <w:rPr>
          <w:color w:val="231F20"/>
          <w:w w:val="105"/>
        </w:rPr>
        <w:t>bajo</w:t>
      </w:r>
      <w:r>
        <w:rPr>
          <w:color w:val="231F20"/>
          <w:spacing w:val="-23"/>
          <w:w w:val="105"/>
        </w:rPr>
        <w:t> </w:t>
      </w:r>
      <w:r>
        <w:rPr>
          <w:color w:val="231F20"/>
          <w:w w:val="105"/>
        </w:rPr>
        <w:t>estudio.</w:t>
      </w:r>
    </w:p>
    <w:p>
      <w:pPr>
        <w:pStyle w:val="BodyText"/>
        <w:spacing w:line="261" w:lineRule="auto" w:before="1"/>
        <w:ind w:left="1837" w:right="1721" w:firstLine="567"/>
        <w:jc w:val="both"/>
      </w:pPr>
      <w:r>
        <w:rPr>
          <w:color w:val="231F20"/>
          <w:w w:val="105"/>
        </w:rPr>
        <w:t>Como hipótesis establecemos que si bien la tendencia actual del patrón migratorio es heterogéneo, e involucra el desplazamiento de hombres</w:t>
      </w:r>
      <w:r>
        <w:rPr>
          <w:color w:val="231F20"/>
          <w:spacing w:val="-19"/>
          <w:w w:val="105"/>
        </w:rPr>
        <w:t> </w:t>
      </w:r>
      <w:r>
        <w:rPr>
          <w:color w:val="231F20"/>
          <w:w w:val="105"/>
        </w:rPr>
        <w:t>y</w:t>
      </w:r>
      <w:r>
        <w:rPr>
          <w:color w:val="231F20"/>
          <w:spacing w:val="-19"/>
          <w:w w:val="105"/>
        </w:rPr>
        <w:t> </w:t>
      </w:r>
      <w:r>
        <w:rPr>
          <w:color w:val="231F20"/>
          <w:w w:val="105"/>
        </w:rPr>
        <w:t>mujeres</w:t>
      </w:r>
      <w:r>
        <w:rPr>
          <w:color w:val="231F20"/>
          <w:spacing w:val="-19"/>
          <w:w w:val="105"/>
        </w:rPr>
        <w:t> </w:t>
      </w:r>
      <w:r>
        <w:rPr>
          <w:color w:val="231F20"/>
          <w:w w:val="105"/>
        </w:rPr>
        <w:t>con</w:t>
      </w:r>
      <w:r>
        <w:rPr>
          <w:color w:val="231F20"/>
          <w:spacing w:val="-19"/>
          <w:w w:val="105"/>
        </w:rPr>
        <w:t> </w:t>
      </w:r>
      <w:r>
        <w:rPr>
          <w:color w:val="231F20"/>
          <w:w w:val="105"/>
        </w:rPr>
        <w:t>diferentes</w:t>
      </w:r>
      <w:r>
        <w:rPr>
          <w:color w:val="231F20"/>
          <w:spacing w:val="-19"/>
          <w:w w:val="105"/>
        </w:rPr>
        <w:t> </w:t>
      </w:r>
      <w:r>
        <w:rPr>
          <w:color w:val="231F20"/>
          <w:w w:val="105"/>
        </w:rPr>
        <w:t>propósitos,</w:t>
      </w:r>
      <w:r>
        <w:rPr>
          <w:color w:val="231F20"/>
          <w:spacing w:val="-25"/>
          <w:w w:val="105"/>
        </w:rPr>
        <w:t> </w:t>
      </w:r>
      <w:r>
        <w:rPr>
          <w:color w:val="231F20"/>
          <w:w w:val="105"/>
        </w:rPr>
        <w:t>la</w:t>
      </w:r>
      <w:r>
        <w:rPr>
          <w:color w:val="231F20"/>
          <w:spacing w:val="-19"/>
          <w:w w:val="105"/>
        </w:rPr>
        <w:t> </w:t>
      </w:r>
      <w:r>
        <w:rPr>
          <w:color w:val="231F20"/>
          <w:w w:val="105"/>
        </w:rPr>
        <w:t>mayor</w:t>
      </w:r>
      <w:r>
        <w:rPr>
          <w:color w:val="231F20"/>
          <w:spacing w:val="-19"/>
          <w:w w:val="105"/>
        </w:rPr>
        <w:t> </w:t>
      </w:r>
      <w:r>
        <w:rPr>
          <w:color w:val="231F20"/>
          <w:w w:val="105"/>
        </w:rPr>
        <w:t>parte</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pobla- ción</w:t>
      </w:r>
      <w:r>
        <w:rPr>
          <w:color w:val="231F20"/>
          <w:spacing w:val="-14"/>
          <w:w w:val="105"/>
        </w:rPr>
        <w:t> </w:t>
      </w:r>
      <w:r>
        <w:rPr>
          <w:color w:val="231F20"/>
          <w:w w:val="105"/>
        </w:rPr>
        <w:t>femenina</w:t>
      </w:r>
      <w:r>
        <w:rPr>
          <w:color w:val="231F20"/>
          <w:spacing w:val="-14"/>
          <w:w w:val="105"/>
        </w:rPr>
        <w:t> </w:t>
      </w:r>
      <w:r>
        <w:rPr>
          <w:color w:val="231F20"/>
          <w:w w:val="105"/>
        </w:rPr>
        <w:t>mexiquense</w:t>
      </w:r>
      <w:r>
        <w:rPr>
          <w:color w:val="231F20"/>
          <w:spacing w:val="-14"/>
          <w:w w:val="105"/>
        </w:rPr>
        <w:t> </w:t>
      </w:r>
      <w:r>
        <w:rPr>
          <w:color w:val="231F20"/>
          <w:w w:val="105"/>
        </w:rPr>
        <w:t>que</w:t>
      </w:r>
      <w:r>
        <w:rPr>
          <w:color w:val="231F20"/>
          <w:spacing w:val="-14"/>
          <w:w w:val="105"/>
        </w:rPr>
        <w:t> </w:t>
      </w:r>
      <w:r>
        <w:rPr>
          <w:color w:val="231F20"/>
          <w:w w:val="105"/>
        </w:rPr>
        <w:t>migra</w:t>
      </w:r>
      <w:r>
        <w:rPr>
          <w:color w:val="231F20"/>
          <w:spacing w:val="-14"/>
          <w:w w:val="105"/>
        </w:rPr>
        <w:t> </w:t>
      </w:r>
      <w:r>
        <w:rPr>
          <w:color w:val="231F20"/>
          <w:w w:val="105"/>
        </w:rPr>
        <w:t>a</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lo</w:t>
      </w:r>
      <w:r>
        <w:rPr>
          <w:color w:val="231F20"/>
          <w:spacing w:val="-14"/>
          <w:w w:val="105"/>
        </w:rPr>
        <w:t> </w:t>
      </w:r>
      <w:r>
        <w:rPr>
          <w:color w:val="231F20"/>
          <w:w w:val="105"/>
        </w:rPr>
        <w:t>hace</w:t>
      </w:r>
      <w:r>
        <w:rPr>
          <w:color w:val="231F20"/>
          <w:spacing w:val="-14"/>
          <w:w w:val="105"/>
        </w:rPr>
        <w:t> </w:t>
      </w:r>
      <w:r>
        <w:rPr>
          <w:color w:val="231F20"/>
          <w:w w:val="105"/>
        </w:rPr>
        <w:t>siguien- do</w:t>
      </w:r>
      <w:r>
        <w:rPr>
          <w:color w:val="231F20"/>
          <w:spacing w:val="-11"/>
          <w:w w:val="105"/>
        </w:rPr>
        <w:t> </w:t>
      </w:r>
      <w:r>
        <w:rPr>
          <w:color w:val="231F20"/>
          <w:w w:val="105"/>
        </w:rPr>
        <w:t>un</w:t>
      </w:r>
      <w:r>
        <w:rPr>
          <w:color w:val="231F20"/>
          <w:spacing w:val="-12"/>
          <w:w w:val="105"/>
        </w:rPr>
        <w:t> </w:t>
      </w:r>
      <w:r>
        <w:rPr>
          <w:color w:val="231F20"/>
          <w:w w:val="105"/>
        </w:rPr>
        <w:t>patrón</w:t>
      </w:r>
      <w:r>
        <w:rPr>
          <w:color w:val="231F20"/>
          <w:spacing w:val="-11"/>
          <w:w w:val="105"/>
        </w:rPr>
        <w:t> </w:t>
      </w:r>
      <w:r>
        <w:rPr>
          <w:color w:val="231F20"/>
          <w:w w:val="105"/>
        </w:rPr>
        <w:t>de</w:t>
      </w:r>
      <w:r>
        <w:rPr>
          <w:color w:val="231F20"/>
          <w:spacing w:val="-12"/>
          <w:w w:val="105"/>
        </w:rPr>
        <w:t> </w:t>
      </w:r>
      <w:r>
        <w:rPr>
          <w:color w:val="231F20"/>
          <w:w w:val="105"/>
        </w:rPr>
        <w:t>reunificación</w:t>
      </w:r>
      <w:r>
        <w:rPr>
          <w:color w:val="231F20"/>
          <w:spacing w:val="-11"/>
          <w:w w:val="105"/>
        </w:rPr>
        <w:t> </w:t>
      </w:r>
      <w:r>
        <w:rPr>
          <w:color w:val="231F20"/>
          <w:w w:val="105"/>
        </w:rPr>
        <w:t>familiar.</w:t>
      </w:r>
      <w:r>
        <w:rPr>
          <w:color w:val="231F20"/>
          <w:spacing w:val="-16"/>
          <w:w w:val="105"/>
        </w:rPr>
        <w:t> </w:t>
      </w:r>
      <w:r>
        <w:rPr>
          <w:color w:val="231F20"/>
          <w:w w:val="105"/>
        </w:rPr>
        <w:t>Planteamos</w:t>
      </w:r>
      <w:r>
        <w:rPr>
          <w:color w:val="231F20"/>
          <w:spacing w:val="-11"/>
          <w:w w:val="105"/>
        </w:rPr>
        <w:t> </w:t>
      </w:r>
      <w:r>
        <w:rPr>
          <w:color w:val="231F20"/>
          <w:w w:val="105"/>
        </w:rPr>
        <w:t>también</w:t>
      </w:r>
      <w:r>
        <w:rPr>
          <w:color w:val="231F20"/>
          <w:spacing w:val="-11"/>
          <w:w w:val="105"/>
        </w:rPr>
        <w:t> </w:t>
      </w:r>
      <w:r>
        <w:rPr>
          <w:color w:val="231F20"/>
          <w:w w:val="105"/>
        </w:rPr>
        <w:t>la</w:t>
      </w:r>
      <w:r>
        <w:rPr>
          <w:color w:val="231F20"/>
          <w:spacing w:val="-12"/>
          <w:w w:val="105"/>
        </w:rPr>
        <w:t> </w:t>
      </w:r>
      <w:r>
        <w:rPr>
          <w:color w:val="231F20"/>
          <w:w w:val="105"/>
        </w:rPr>
        <w:t>existencia de</w:t>
      </w:r>
      <w:r>
        <w:rPr>
          <w:color w:val="231F20"/>
          <w:spacing w:val="-7"/>
          <w:w w:val="105"/>
        </w:rPr>
        <w:t> </w:t>
      </w:r>
      <w:r>
        <w:rPr>
          <w:color w:val="231F20"/>
          <w:w w:val="105"/>
        </w:rPr>
        <w:t>diferencias</w:t>
      </w:r>
      <w:r>
        <w:rPr>
          <w:color w:val="231F20"/>
          <w:spacing w:val="-7"/>
          <w:w w:val="105"/>
        </w:rPr>
        <w:t> </w:t>
      </w:r>
      <w:r>
        <w:rPr>
          <w:color w:val="231F20"/>
          <w:w w:val="105"/>
        </w:rPr>
        <w:t>por</w:t>
      </w:r>
      <w:r>
        <w:rPr>
          <w:color w:val="231F20"/>
          <w:spacing w:val="-7"/>
          <w:w w:val="105"/>
        </w:rPr>
        <w:t> </w:t>
      </w:r>
      <w:r>
        <w:rPr>
          <w:color w:val="231F20"/>
          <w:w w:val="105"/>
        </w:rPr>
        <w:t>tipo</w:t>
      </w:r>
      <w:r>
        <w:rPr>
          <w:color w:val="231F20"/>
          <w:spacing w:val="-7"/>
          <w:w w:val="105"/>
        </w:rPr>
        <w:t> </w:t>
      </w:r>
      <w:r>
        <w:rPr>
          <w:color w:val="231F20"/>
          <w:w w:val="105"/>
        </w:rPr>
        <w:t>de</w:t>
      </w:r>
      <w:r>
        <w:rPr>
          <w:color w:val="231F20"/>
          <w:spacing w:val="-7"/>
          <w:w w:val="105"/>
        </w:rPr>
        <w:t> </w:t>
      </w:r>
      <w:r>
        <w:rPr>
          <w:color w:val="231F20"/>
          <w:w w:val="105"/>
        </w:rPr>
        <w:t>comunidad</w:t>
      </w:r>
      <w:r>
        <w:rPr>
          <w:color w:val="231F20"/>
          <w:spacing w:val="-8"/>
          <w:w w:val="105"/>
        </w:rPr>
        <w:t> </w:t>
      </w:r>
      <w:r>
        <w:rPr>
          <w:color w:val="231F20"/>
          <w:w w:val="105"/>
        </w:rPr>
        <w:t>que</w:t>
      </w:r>
      <w:r>
        <w:rPr>
          <w:color w:val="231F20"/>
          <w:spacing w:val="-7"/>
          <w:w w:val="105"/>
        </w:rPr>
        <w:t> </w:t>
      </w:r>
      <w:r>
        <w:rPr>
          <w:color w:val="231F20"/>
          <w:w w:val="105"/>
        </w:rPr>
        <w:t>influyen</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intensidad</w:t>
      </w:r>
      <w:r>
        <w:rPr>
          <w:color w:val="231F20"/>
          <w:spacing w:val="-7"/>
          <w:w w:val="105"/>
        </w:rPr>
        <w:t> </w:t>
      </w:r>
      <w:r>
        <w:rPr>
          <w:color w:val="231F20"/>
          <w:w w:val="105"/>
        </w:rPr>
        <w:t>de</w:t>
      </w:r>
      <w:r>
        <w:rPr>
          <w:color w:val="231F20"/>
          <w:spacing w:val="-7"/>
          <w:w w:val="105"/>
        </w:rPr>
        <w:t> </w:t>
      </w:r>
      <w:r>
        <w:rPr>
          <w:color w:val="231F20"/>
          <w:w w:val="105"/>
        </w:rPr>
        <w:t>la</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35"/>
        <w:jc w:val="both"/>
      </w:pPr>
      <w:r>
        <w:rPr>
          <w:color w:val="231F20"/>
          <w:w w:val="105"/>
        </w:rPr>
        <w:t>migración</w:t>
      </w:r>
      <w:r>
        <w:rPr>
          <w:color w:val="231F20"/>
          <w:spacing w:val="-13"/>
          <w:w w:val="105"/>
        </w:rPr>
        <w:t> </w:t>
      </w:r>
      <w:r>
        <w:rPr>
          <w:color w:val="231F20"/>
          <w:w w:val="105"/>
        </w:rPr>
        <w:t>femenina</w:t>
      </w:r>
      <w:r>
        <w:rPr>
          <w:color w:val="231F20"/>
          <w:spacing w:val="-13"/>
          <w:w w:val="105"/>
        </w:rPr>
        <w:t> </w:t>
      </w:r>
      <w:r>
        <w:rPr>
          <w:color w:val="231F20"/>
          <w:w w:val="105"/>
        </w:rPr>
        <w:t>y</w:t>
      </w:r>
      <w:r>
        <w:rPr>
          <w:color w:val="231F20"/>
          <w:spacing w:val="-13"/>
          <w:w w:val="105"/>
        </w:rPr>
        <w:t> </w:t>
      </w:r>
      <w:r>
        <w:rPr>
          <w:color w:val="231F20"/>
          <w:w w:val="105"/>
        </w:rPr>
        <w:t>masculina</w:t>
      </w:r>
      <w:r>
        <w:rPr>
          <w:color w:val="231F20"/>
          <w:spacing w:val="-13"/>
          <w:w w:val="105"/>
        </w:rPr>
        <w:t> </w:t>
      </w:r>
      <w:r>
        <w:rPr>
          <w:color w:val="231F20"/>
          <w:w w:val="105"/>
        </w:rPr>
        <w:t>hacia</w:t>
      </w:r>
      <w:r>
        <w:rPr>
          <w:color w:val="231F20"/>
          <w:spacing w:val="-13"/>
          <w:w w:val="105"/>
        </w:rPr>
        <w:t> </w:t>
      </w:r>
      <w:r>
        <w:rPr>
          <w:color w:val="231F20"/>
          <w:w w:val="105"/>
        </w:rPr>
        <w:t>Estados</w:t>
      </w:r>
      <w:r>
        <w:rPr>
          <w:color w:val="231F20"/>
          <w:spacing w:val="-13"/>
          <w:w w:val="105"/>
        </w:rPr>
        <w:t> </w:t>
      </w:r>
      <w:r>
        <w:rPr>
          <w:color w:val="231F20"/>
          <w:w w:val="105"/>
        </w:rPr>
        <w:t>Unidos,</w:t>
      </w:r>
      <w:r>
        <w:rPr>
          <w:color w:val="231F20"/>
          <w:spacing w:val="-19"/>
          <w:w w:val="105"/>
        </w:rPr>
        <w:t> </w:t>
      </w:r>
      <w:r>
        <w:rPr>
          <w:color w:val="231F20"/>
          <w:w w:val="105"/>
        </w:rPr>
        <w:t>debido</w:t>
      </w:r>
      <w:r>
        <w:rPr>
          <w:color w:val="231F20"/>
          <w:spacing w:val="-13"/>
          <w:w w:val="105"/>
        </w:rPr>
        <w:t> </w:t>
      </w:r>
      <w:r>
        <w:rPr>
          <w:color w:val="231F20"/>
          <w:w w:val="105"/>
        </w:rPr>
        <w:t>al</w:t>
      </w:r>
      <w:r>
        <w:rPr>
          <w:color w:val="231F20"/>
          <w:spacing w:val="-13"/>
          <w:w w:val="105"/>
        </w:rPr>
        <w:t> </w:t>
      </w:r>
      <w:r>
        <w:rPr>
          <w:color w:val="231F20"/>
          <w:w w:val="105"/>
        </w:rPr>
        <w:t>proce- so diferenciado de exposición migratoria propio de cada</w:t>
      </w:r>
      <w:r>
        <w:rPr>
          <w:color w:val="231F20"/>
          <w:spacing w:val="-39"/>
          <w:w w:val="105"/>
        </w:rPr>
        <w:t> </w:t>
      </w:r>
      <w:r>
        <w:rPr>
          <w:color w:val="231F20"/>
          <w:w w:val="105"/>
        </w:rPr>
        <w:t>lugar.</w:t>
      </w:r>
    </w:p>
    <w:p>
      <w:pPr>
        <w:pStyle w:val="BodyText"/>
        <w:rPr>
          <w:sz w:val="20"/>
        </w:rPr>
      </w:pPr>
    </w:p>
    <w:p>
      <w:pPr>
        <w:pStyle w:val="BodyText"/>
        <w:spacing w:before="9"/>
        <w:rPr>
          <w:sz w:val="20"/>
        </w:rPr>
      </w:pPr>
    </w:p>
    <w:p>
      <w:pPr>
        <w:pStyle w:val="Heading3"/>
        <w:ind w:left="1723"/>
      </w:pPr>
      <w:r>
        <w:rPr>
          <w:color w:val="231F20"/>
        </w:rPr>
        <w:t>Migración mexicana a Estados Unidos</w:t>
      </w:r>
    </w:p>
    <w:p>
      <w:pPr>
        <w:pStyle w:val="BodyText"/>
        <w:rPr>
          <w:rFonts w:ascii="Arial"/>
          <w:b/>
          <w:sz w:val="22"/>
        </w:rPr>
      </w:pPr>
    </w:p>
    <w:p>
      <w:pPr>
        <w:pStyle w:val="BodyText"/>
        <w:spacing w:line="261" w:lineRule="auto" w:before="163"/>
        <w:ind w:left="1723" w:right="1835"/>
        <w:jc w:val="both"/>
      </w:pPr>
      <w:r>
        <w:rPr>
          <w:color w:val="231F20"/>
          <w:w w:val="105"/>
        </w:rPr>
        <w:t>La migración mexicana a Estados Unidos es considerada como una</w:t>
      </w:r>
      <w:r>
        <w:rPr>
          <w:color w:val="231F20"/>
          <w:spacing w:val="-19"/>
          <w:w w:val="105"/>
        </w:rPr>
        <w:t> </w:t>
      </w:r>
      <w:r>
        <w:rPr>
          <w:color w:val="231F20"/>
          <w:w w:val="105"/>
        </w:rPr>
        <w:t>de las más importantes en la historia de la migración internacional por su complejidad en términos de desigualdad económica entre países y la cantidad</w:t>
      </w:r>
      <w:r>
        <w:rPr>
          <w:color w:val="231F20"/>
          <w:spacing w:val="-9"/>
          <w:w w:val="105"/>
        </w:rPr>
        <w:t> </w:t>
      </w:r>
      <w:r>
        <w:rPr>
          <w:color w:val="231F20"/>
          <w:w w:val="105"/>
        </w:rPr>
        <w:t>de</w:t>
      </w:r>
      <w:r>
        <w:rPr>
          <w:color w:val="231F20"/>
          <w:spacing w:val="-9"/>
          <w:w w:val="105"/>
        </w:rPr>
        <w:t> </w:t>
      </w:r>
      <w:r>
        <w:rPr>
          <w:color w:val="231F20"/>
          <w:w w:val="105"/>
        </w:rPr>
        <w:t>población</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desplaza,</w:t>
      </w:r>
      <w:r>
        <w:rPr>
          <w:color w:val="231F20"/>
          <w:spacing w:val="-16"/>
          <w:w w:val="105"/>
        </w:rPr>
        <w:t> </w:t>
      </w:r>
      <w:r>
        <w:rPr>
          <w:color w:val="231F20"/>
          <w:w w:val="105"/>
        </w:rPr>
        <w:t>esto</w:t>
      </w:r>
      <w:r>
        <w:rPr>
          <w:color w:val="231F20"/>
          <w:spacing w:val="-9"/>
          <w:w w:val="105"/>
        </w:rPr>
        <w:t> </w:t>
      </w:r>
      <w:r>
        <w:rPr>
          <w:color w:val="231F20"/>
          <w:w w:val="105"/>
        </w:rPr>
        <w:t>es,</w:t>
      </w:r>
      <w:r>
        <w:rPr>
          <w:color w:val="231F20"/>
          <w:spacing w:val="-16"/>
          <w:w w:val="105"/>
        </w:rPr>
        <w:t> </w:t>
      </w:r>
      <w:r>
        <w:rPr>
          <w:color w:val="231F20"/>
          <w:w w:val="105"/>
        </w:rPr>
        <w:t>el</w:t>
      </w:r>
      <w:r>
        <w:rPr>
          <w:color w:val="231F20"/>
          <w:spacing w:val="-9"/>
          <w:w w:val="105"/>
        </w:rPr>
        <w:t> </w:t>
      </w:r>
      <w:r>
        <w:rPr>
          <w:color w:val="231F20"/>
          <w:w w:val="105"/>
        </w:rPr>
        <w:t>volumen</w:t>
      </w:r>
      <w:r>
        <w:rPr>
          <w:color w:val="231F20"/>
          <w:spacing w:val="-9"/>
          <w:w w:val="105"/>
        </w:rPr>
        <w:t> </w:t>
      </w:r>
      <w:r>
        <w:rPr>
          <w:color w:val="231F20"/>
          <w:w w:val="105"/>
        </w:rPr>
        <w:t>del</w:t>
      </w:r>
      <w:r>
        <w:rPr>
          <w:color w:val="231F20"/>
          <w:spacing w:val="-9"/>
          <w:w w:val="105"/>
        </w:rPr>
        <w:t> </w:t>
      </w:r>
      <w:r>
        <w:rPr>
          <w:color w:val="231F20"/>
          <w:w w:val="105"/>
        </w:rPr>
        <w:t>flujo</w:t>
      </w:r>
      <w:r>
        <w:rPr>
          <w:color w:val="231F20"/>
          <w:spacing w:val="-9"/>
          <w:w w:val="105"/>
        </w:rPr>
        <w:t> </w:t>
      </w:r>
      <w:r>
        <w:rPr>
          <w:color w:val="231F20"/>
          <w:w w:val="105"/>
        </w:rPr>
        <w:t>y</w:t>
      </w:r>
      <w:r>
        <w:rPr>
          <w:color w:val="231F20"/>
          <w:spacing w:val="-9"/>
          <w:w w:val="105"/>
        </w:rPr>
        <w:t> </w:t>
      </w:r>
      <w:r>
        <w:rPr>
          <w:color w:val="231F20"/>
          <w:w w:val="105"/>
        </w:rPr>
        <w:t>la unidireccionalidad de éste. Sin duda alguna este sistema migratorio es uno de los de mayor tradición histórica y dinamismo en el mundo (Del- gado</w:t>
      </w:r>
      <w:r>
        <w:rPr>
          <w:color w:val="231F20"/>
          <w:spacing w:val="-21"/>
          <w:w w:val="105"/>
        </w:rPr>
        <w:t> </w:t>
      </w:r>
      <w:r>
        <w:rPr>
          <w:color w:val="231F20"/>
          <w:w w:val="105"/>
        </w:rPr>
        <w:t>y</w:t>
      </w:r>
      <w:r>
        <w:rPr>
          <w:color w:val="231F20"/>
          <w:spacing w:val="-21"/>
          <w:w w:val="105"/>
        </w:rPr>
        <w:t> </w:t>
      </w:r>
      <w:r>
        <w:rPr>
          <w:color w:val="231F20"/>
          <w:w w:val="105"/>
        </w:rPr>
        <w:t>Márquez,</w:t>
      </w:r>
      <w:r>
        <w:rPr>
          <w:color w:val="231F20"/>
          <w:spacing w:val="-25"/>
          <w:w w:val="105"/>
        </w:rPr>
        <w:t> </w:t>
      </w:r>
      <w:r>
        <w:rPr>
          <w:color w:val="231F20"/>
          <w:w w:val="105"/>
        </w:rPr>
        <w:t>2007).</w:t>
      </w:r>
    </w:p>
    <w:p>
      <w:pPr>
        <w:pStyle w:val="BodyText"/>
        <w:spacing w:line="261" w:lineRule="auto" w:before="1"/>
        <w:ind w:left="1723" w:right="1834" w:firstLine="567"/>
        <w:jc w:val="both"/>
      </w:pPr>
      <w:r>
        <w:rPr>
          <w:color w:val="231F20"/>
          <w:w w:val="105"/>
        </w:rPr>
        <w:t>De acuerdo con </w:t>
      </w:r>
      <w:r>
        <w:rPr>
          <w:color w:val="231F20"/>
          <w:spacing w:val="-4"/>
          <w:w w:val="105"/>
        </w:rPr>
        <w:t>Tuirán </w:t>
      </w:r>
      <w:r>
        <w:rPr>
          <w:color w:val="231F20"/>
          <w:w w:val="105"/>
        </w:rPr>
        <w:t>y Ávila (2010) la historia de este proceso puede</w:t>
      </w:r>
      <w:r>
        <w:rPr>
          <w:color w:val="231F20"/>
          <w:spacing w:val="-11"/>
          <w:w w:val="105"/>
        </w:rPr>
        <w:t> </w:t>
      </w:r>
      <w:r>
        <w:rPr>
          <w:color w:val="231F20"/>
          <w:w w:val="105"/>
        </w:rPr>
        <w:t>ser</w:t>
      </w:r>
      <w:r>
        <w:rPr>
          <w:color w:val="231F20"/>
          <w:spacing w:val="-11"/>
          <w:w w:val="105"/>
        </w:rPr>
        <w:t> </w:t>
      </w:r>
      <w:r>
        <w:rPr>
          <w:color w:val="231F20"/>
          <w:w w:val="105"/>
        </w:rPr>
        <w:t>dividida</w:t>
      </w:r>
      <w:r>
        <w:rPr>
          <w:color w:val="231F20"/>
          <w:spacing w:val="-11"/>
          <w:w w:val="105"/>
        </w:rPr>
        <w:t> </w:t>
      </w:r>
      <w:r>
        <w:rPr>
          <w:color w:val="231F20"/>
          <w:w w:val="105"/>
        </w:rPr>
        <w:t>en</w:t>
      </w:r>
      <w:r>
        <w:rPr>
          <w:color w:val="231F20"/>
          <w:spacing w:val="-11"/>
          <w:w w:val="105"/>
        </w:rPr>
        <w:t> </w:t>
      </w:r>
      <w:r>
        <w:rPr>
          <w:color w:val="231F20"/>
          <w:w w:val="105"/>
        </w:rPr>
        <w:t>al</w:t>
      </w:r>
      <w:r>
        <w:rPr>
          <w:color w:val="231F20"/>
          <w:spacing w:val="-11"/>
          <w:w w:val="105"/>
        </w:rPr>
        <w:t> </w:t>
      </w:r>
      <w:r>
        <w:rPr>
          <w:color w:val="231F20"/>
          <w:w w:val="105"/>
        </w:rPr>
        <w:t>menos</w:t>
      </w:r>
      <w:r>
        <w:rPr>
          <w:color w:val="231F20"/>
          <w:spacing w:val="-11"/>
          <w:w w:val="105"/>
        </w:rPr>
        <w:t> </w:t>
      </w:r>
      <w:r>
        <w:rPr>
          <w:color w:val="231F20"/>
          <w:w w:val="105"/>
        </w:rPr>
        <w:t>tres</w:t>
      </w:r>
      <w:r>
        <w:rPr>
          <w:color w:val="231F20"/>
          <w:spacing w:val="-11"/>
          <w:w w:val="105"/>
        </w:rPr>
        <w:t> </w:t>
      </w:r>
      <w:r>
        <w:rPr>
          <w:color w:val="231F20"/>
          <w:w w:val="105"/>
        </w:rPr>
        <w:t>etapas.</w:t>
      </w:r>
      <w:r>
        <w:rPr>
          <w:color w:val="231F20"/>
          <w:spacing w:val="-16"/>
          <w:w w:val="105"/>
        </w:rPr>
        <w:t> </w:t>
      </w:r>
      <w:r>
        <w:rPr>
          <w:color w:val="231F20"/>
          <w:w w:val="105"/>
        </w:rPr>
        <w:t>De</w:t>
      </w:r>
      <w:r>
        <w:rPr>
          <w:color w:val="231F20"/>
          <w:spacing w:val="-11"/>
          <w:w w:val="105"/>
        </w:rPr>
        <w:t> </w:t>
      </w:r>
      <w:r>
        <w:rPr>
          <w:color w:val="231F20"/>
          <w:w w:val="105"/>
        </w:rPr>
        <w:t>manera</w:t>
      </w:r>
      <w:r>
        <w:rPr>
          <w:color w:val="231F20"/>
          <w:spacing w:val="-11"/>
          <w:w w:val="105"/>
        </w:rPr>
        <w:t> </w:t>
      </w:r>
      <w:r>
        <w:rPr>
          <w:color w:val="231F20"/>
          <w:w w:val="105"/>
        </w:rPr>
        <w:t>general,</w:t>
      </w:r>
      <w:r>
        <w:rPr>
          <w:color w:val="231F20"/>
          <w:spacing w:val="-16"/>
          <w:w w:val="105"/>
        </w:rPr>
        <w:t> </w:t>
      </w:r>
      <w:r>
        <w:rPr>
          <w:color w:val="231F20"/>
          <w:w w:val="105"/>
        </w:rPr>
        <w:t>la</w:t>
      </w:r>
      <w:r>
        <w:rPr>
          <w:color w:val="231F20"/>
          <w:spacing w:val="-11"/>
          <w:w w:val="105"/>
        </w:rPr>
        <w:t> </w:t>
      </w:r>
      <w:r>
        <w:rPr>
          <w:color w:val="231F20"/>
          <w:w w:val="105"/>
        </w:rPr>
        <w:t>prim- era se identifica durante la operación del </w:t>
      </w:r>
      <w:r>
        <w:rPr>
          <w:color w:val="231F20"/>
          <w:spacing w:val="-3"/>
          <w:w w:val="105"/>
        </w:rPr>
        <w:t>Programa </w:t>
      </w:r>
      <w:r>
        <w:rPr>
          <w:color w:val="231F20"/>
          <w:w w:val="105"/>
        </w:rPr>
        <w:t>Bracero, de 1942 a 1964;</w:t>
      </w:r>
      <w:r>
        <w:rPr>
          <w:color w:val="231F20"/>
          <w:spacing w:val="-7"/>
          <w:w w:val="105"/>
        </w:rPr>
        <w:t> </w:t>
      </w:r>
      <w:r>
        <w:rPr>
          <w:color w:val="231F20"/>
          <w:w w:val="105"/>
        </w:rPr>
        <w:t>la</w:t>
      </w:r>
      <w:r>
        <w:rPr>
          <w:color w:val="231F20"/>
          <w:spacing w:val="-7"/>
          <w:w w:val="105"/>
        </w:rPr>
        <w:t> </w:t>
      </w:r>
      <w:r>
        <w:rPr>
          <w:color w:val="231F20"/>
          <w:w w:val="105"/>
        </w:rPr>
        <w:t>segunda</w:t>
      </w:r>
      <w:r>
        <w:rPr>
          <w:color w:val="231F20"/>
          <w:spacing w:val="-7"/>
          <w:w w:val="105"/>
        </w:rPr>
        <w:t> </w:t>
      </w:r>
      <w:r>
        <w:rPr>
          <w:color w:val="231F20"/>
          <w:w w:val="105"/>
        </w:rPr>
        <w:t>corresponde</w:t>
      </w:r>
      <w:r>
        <w:rPr>
          <w:color w:val="231F20"/>
          <w:spacing w:val="-7"/>
          <w:w w:val="105"/>
        </w:rPr>
        <w:t> </w:t>
      </w:r>
      <w:r>
        <w:rPr>
          <w:color w:val="231F20"/>
          <w:w w:val="105"/>
        </w:rPr>
        <w:t>al</w:t>
      </w:r>
      <w:r>
        <w:rPr>
          <w:color w:val="231F20"/>
          <w:spacing w:val="-7"/>
          <w:w w:val="105"/>
        </w:rPr>
        <w:t> </w:t>
      </w:r>
      <w:r>
        <w:rPr>
          <w:color w:val="231F20"/>
          <w:w w:val="105"/>
        </w:rPr>
        <w:t>periodo</w:t>
      </w:r>
      <w:r>
        <w:rPr>
          <w:color w:val="231F20"/>
          <w:spacing w:val="-7"/>
          <w:w w:val="105"/>
        </w:rPr>
        <w:t> </w:t>
      </w:r>
      <w:r>
        <w:rPr>
          <w:color w:val="231F20"/>
          <w:w w:val="105"/>
        </w:rPr>
        <w:t>que</w:t>
      </w:r>
      <w:r>
        <w:rPr>
          <w:color w:val="231F20"/>
          <w:spacing w:val="-7"/>
          <w:w w:val="105"/>
        </w:rPr>
        <w:t> </w:t>
      </w:r>
      <w:r>
        <w:rPr>
          <w:color w:val="231F20"/>
          <w:w w:val="105"/>
        </w:rPr>
        <w:t>comprende</w:t>
      </w:r>
      <w:r>
        <w:rPr>
          <w:color w:val="231F20"/>
          <w:spacing w:val="-7"/>
          <w:w w:val="105"/>
        </w:rPr>
        <w:t> </w:t>
      </w:r>
      <w:r>
        <w:rPr>
          <w:color w:val="231F20"/>
          <w:w w:val="105"/>
        </w:rPr>
        <w:t>la</w:t>
      </w:r>
      <w:r>
        <w:rPr>
          <w:color w:val="231F20"/>
          <w:spacing w:val="-7"/>
          <w:w w:val="105"/>
        </w:rPr>
        <w:t> </w:t>
      </w:r>
      <w:r>
        <w:rPr>
          <w:color w:val="231F20"/>
          <w:w w:val="105"/>
        </w:rPr>
        <w:t>finalización de</w:t>
      </w:r>
      <w:r>
        <w:rPr>
          <w:color w:val="231F20"/>
          <w:spacing w:val="-14"/>
          <w:w w:val="105"/>
        </w:rPr>
        <w:t> </w:t>
      </w:r>
      <w:r>
        <w:rPr>
          <w:color w:val="231F20"/>
          <w:w w:val="105"/>
        </w:rPr>
        <w:t>dicho</w:t>
      </w:r>
      <w:r>
        <w:rPr>
          <w:color w:val="231F20"/>
          <w:spacing w:val="-14"/>
          <w:w w:val="105"/>
        </w:rPr>
        <w:t> </w:t>
      </w:r>
      <w:r>
        <w:rPr>
          <w:color w:val="231F20"/>
          <w:w w:val="105"/>
        </w:rPr>
        <w:t>programa</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inicio</w:t>
      </w:r>
      <w:r>
        <w:rPr>
          <w:color w:val="231F20"/>
          <w:spacing w:val="-14"/>
          <w:w w:val="105"/>
        </w:rPr>
        <w:t> </w:t>
      </w:r>
      <w:r>
        <w:rPr>
          <w:color w:val="231F20"/>
          <w:w w:val="105"/>
        </w:rPr>
        <w:t>de</w:t>
      </w:r>
      <w:r>
        <w:rPr>
          <w:color w:val="231F20"/>
          <w:spacing w:val="-14"/>
          <w:w w:val="105"/>
        </w:rPr>
        <w:t> </w:t>
      </w:r>
      <w:r>
        <w:rPr>
          <w:color w:val="231F20"/>
          <w:w w:val="105"/>
        </w:rPr>
        <w:t>un</w:t>
      </w:r>
      <w:r>
        <w:rPr>
          <w:color w:val="231F20"/>
          <w:spacing w:val="-14"/>
          <w:w w:val="105"/>
        </w:rPr>
        <w:t> </w:t>
      </w:r>
      <w:r>
        <w:rPr>
          <w:color w:val="231F20"/>
          <w:w w:val="105"/>
        </w:rPr>
        <w:t>importante</w:t>
      </w:r>
      <w:r>
        <w:rPr>
          <w:color w:val="231F20"/>
          <w:spacing w:val="-14"/>
          <w:w w:val="105"/>
        </w:rPr>
        <w:t> </w:t>
      </w:r>
      <w:r>
        <w:rPr>
          <w:color w:val="231F20"/>
          <w:w w:val="105"/>
        </w:rPr>
        <w:t>flujo</w:t>
      </w:r>
      <w:r>
        <w:rPr>
          <w:color w:val="231F20"/>
          <w:spacing w:val="-14"/>
          <w:w w:val="105"/>
        </w:rPr>
        <w:t> </w:t>
      </w:r>
      <w:r>
        <w:rPr>
          <w:color w:val="231F20"/>
          <w:w w:val="105"/>
        </w:rPr>
        <w:t>de</w:t>
      </w:r>
      <w:r>
        <w:rPr>
          <w:color w:val="231F20"/>
          <w:spacing w:val="-14"/>
          <w:w w:val="105"/>
        </w:rPr>
        <w:t> </w:t>
      </w:r>
      <w:r>
        <w:rPr>
          <w:color w:val="231F20"/>
          <w:w w:val="105"/>
        </w:rPr>
        <w:t>migración</w:t>
      </w:r>
      <w:r>
        <w:rPr>
          <w:color w:val="231F20"/>
          <w:spacing w:val="-14"/>
          <w:w w:val="105"/>
        </w:rPr>
        <w:t> </w:t>
      </w:r>
      <w:r>
        <w:rPr>
          <w:color w:val="231F20"/>
          <w:w w:val="105"/>
        </w:rPr>
        <w:t>no</w:t>
      </w:r>
      <w:r>
        <w:rPr>
          <w:color w:val="231F20"/>
          <w:spacing w:val="-14"/>
          <w:w w:val="105"/>
        </w:rPr>
        <w:t> </w:t>
      </w:r>
      <w:r>
        <w:rPr>
          <w:color w:val="231F20"/>
          <w:w w:val="105"/>
        </w:rPr>
        <w:t>doc- umentada</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presentó</w:t>
      </w:r>
      <w:r>
        <w:rPr>
          <w:color w:val="231F20"/>
          <w:spacing w:val="-8"/>
          <w:w w:val="105"/>
        </w:rPr>
        <w:t> </w:t>
      </w:r>
      <w:r>
        <w:rPr>
          <w:color w:val="231F20"/>
          <w:w w:val="105"/>
        </w:rPr>
        <w:t>entre</w:t>
      </w:r>
      <w:r>
        <w:rPr>
          <w:color w:val="231F20"/>
          <w:spacing w:val="-8"/>
          <w:w w:val="105"/>
        </w:rPr>
        <w:t> </w:t>
      </w:r>
      <w:r>
        <w:rPr>
          <w:color w:val="231F20"/>
          <w:w w:val="105"/>
        </w:rPr>
        <w:t>1965</w:t>
      </w:r>
      <w:r>
        <w:rPr>
          <w:color w:val="231F20"/>
          <w:spacing w:val="-8"/>
          <w:w w:val="105"/>
        </w:rPr>
        <w:t> </w:t>
      </w:r>
      <w:r>
        <w:rPr>
          <w:color w:val="231F20"/>
          <w:w w:val="105"/>
        </w:rPr>
        <w:t>y</w:t>
      </w:r>
      <w:r>
        <w:rPr>
          <w:color w:val="231F20"/>
          <w:spacing w:val="-8"/>
          <w:w w:val="105"/>
        </w:rPr>
        <w:t> </w:t>
      </w:r>
      <w:r>
        <w:rPr>
          <w:color w:val="231F20"/>
          <w:w w:val="105"/>
        </w:rPr>
        <w:t>1985;</w:t>
      </w:r>
      <w:r>
        <w:rPr>
          <w:color w:val="231F20"/>
          <w:spacing w:val="-8"/>
          <w:w w:val="105"/>
        </w:rPr>
        <w:t> </w:t>
      </w:r>
      <w:r>
        <w:rPr>
          <w:color w:val="231F20"/>
          <w:w w:val="105"/>
        </w:rPr>
        <w:t>el</w:t>
      </w:r>
      <w:r>
        <w:rPr>
          <w:color w:val="231F20"/>
          <w:spacing w:val="-8"/>
          <w:w w:val="105"/>
        </w:rPr>
        <w:t> </w:t>
      </w:r>
      <w:r>
        <w:rPr>
          <w:color w:val="231F20"/>
          <w:w w:val="105"/>
        </w:rPr>
        <w:t>tercer</w:t>
      </w:r>
      <w:r>
        <w:rPr>
          <w:color w:val="231F20"/>
          <w:spacing w:val="-8"/>
          <w:w w:val="105"/>
        </w:rPr>
        <w:t> </w:t>
      </w:r>
      <w:r>
        <w:rPr>
          <w:color w:val="231F20"/>
          <w:w w:val="105"/>
        </w:rPr>
        <w:t>periodo</w:t>
      </w:r>
      <w:r>
        <w:rPr>
          <w:color w:val="231F20"/>
          <w:spacing w:val="-8"/>
          <w:w w:val="105"/>
        </w:rPr>
        <w:t> </w:t>
      </w:r>
      <w:r>
        <w:rPr>
          <w:color w:val="231F20"/>
          <w:w w:val="105"/>
        </w:rPr>
        <w:t>comien- za</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intensificación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vigilancia</w:t>
      </w:r>
      <w:r>
        <w:rPr>
          <w:color w:val="231F20"/>
          <w:spacing w:val="-8"/>
          <w:w w:val="105"/>
        </w:rPr>
        <w:t> </w:t>
      </w:r>
      <w:r>
        <w:rPr>
          <w:color w:val="231F20"/>
          <w:w w:val="105"/>
        </w:rPr>
        <w:t>fronteriza</w:t>
      </w:r>
      <w:r>
        <w:rPr>
          <w:color w:val="231F20"/>
          <w:spacing w:val="-8"/>
          <w:w w:val="105"/>
        </w:rPr>
        <w:t> </w:t>
      </w:r>
      <w:r>
        <w:rPr>
          <w:color w:val="231F20"/>
          <w:w w:val="105"/>
        </w:rPr>
        <w:t>en</w:t>
      </w:r>
      <w:r>
        <w:rPr>
          <w:color w:val="231F20"/>
          <w:spacing w:val="-8"/>
          <w:w w:val="105"/>
        </w:rPr>
        <w:t> </w:t>
      </w:r>
      <w:r>
        <w:rPr>
          <w:color w:val="231F20"/>
          <w:w w:val="105"/>
        </w:rPr>
        <w:t>1986</w:t>
      </w:r>
      <w:r>
        <w:rPr>
          <w:color w:val="231F20"/>
          <w:spacing w:val="-8"/>
          <w:w w:val="105"/>
        </w:rPr>
        <w:t> </w:t>
      </w:r>
      <w:r>
        <w:rPr>
          <w:color w:val="231F20"/>
          <w:w w:val="105"/>
        </w:rPr>
        <w:t>y</w:t>
      </w:r>
      <w:r>
        <w:rPr>
          <w:color w:val="231F20"/>
          <w:spacing w:val="-8"/>
          <w:w w:val="105"/>
        </w:rPr>
        <w:t> </w:t>
      </w:r>
      <w:r>
        <w:rPr>
          <w:color w:val="231F20"/>
          <w:w w:val="105"/>
        </w:rPr>
        <w:t>permanece hasta</w:t>
      </w:r>
      <w:r>
        <w:rPr>
          <w:color w:val="231F20"/>
          <w:spacing w:val="-29"/>
          <w:w w:val="105"/>
        </w:rPr>
        <w:t> </w:t>
      </w:r>
      <w:r>
        <w:rPr>
          <w:color w:val="231F20"/>
          <w:w w:val="105"/>
        </w:rPr>
        <w:t>nuestros</w:t>
      </w:r>
      <w:r>
        <w:rPr>
          <w:color w:val="231F20"/>
          <w:spacing w:val="-29"/>
          <w:w w:val="105"/>
        </w:rPr>
        <w:t> </w:t>
      </w:r>
      <w:r>
        <w:rPr>
          <w:color w:val="231F20"/>
          <w:w w:val="105"/>
        </w:rPr>
        <w:t>días.</w:t>
      </w:r>
      <w:r>
        <w:rPr>
          <w:color w:val="231F20"/>
          <w:spacing w:val="-33"/>
          <w:w w:val="105"/>
        </w:rPr>
        <w:t> </w:t>
      </w:r>
      <w:r>
        <w:rPr>
          <w:color w:val="231F20"/>
          <w:w w:val="105"/>
        </w:rPr>
        <w:t>Los</w:t>
      </w:r>
      <w:r>
        <w:rPr>
          <w:color w:val="231F20"/>
          <w:spacing w:val="-29"/>
          <w:w w:val="105"/>
        </w:rPr>
        <w:t> </w:t>
      </w:r>
      <w:r>
        <w:rPr>
          <w:color w:val="231F20"/>
          <w:w w:val="105"/>
        </w:rPr>
        <w:t>diferentes</w:t>
      </w:r>
      <w:r>
        <w:rPr>
          <w:color w:val="231F20"/>
          <w:spacing w:val="-29"/>
          <w:w w:val="105"/>
        </w:rPr>
        <w:t> </w:t>
      </w:r>
      <w:r>
        <w:rPr>
          <w:color w:val="231F20"/>
          <w:w w:val="105"/>
        </w:rPr>
        <w:t>mecanismos</w:t>
      </w:r>
      <w:r>
        <w:rPr>
          <w:color w:val="231F20"/>
          <w:spacing w:val="-29"/>
          <w:w w:val="105"/>
        </w:rPr>
        <w:t> </w:t>
      </w:r>
      <w:r>
        <w:rPr>
          <w:color w:val="231F20"/>
          <w:w w:val="105"/>
        </w:rPr>
        <w:t>preponderantes</w:t>
      </w:r>
      <w:r>
        <w:rPr>
          <w:color w:val="231F20"/>
          <w:spacing w:val="-29"/>
          <w:w w:val="105"/>
        </w:rPr>
        <w:t> </w:t>
      </w:r>
      <w:r>
        <w:rPr>
          <w:color w:val="231F20"/>
          <w:w w:val="105"/>
        </w:rPr>
        <w:t>durante cada etapa propiciaron y perpetuaron el desplazamiento de población entre ambos países, al mismo tiempo configuraron de manera distinta el perfil demográfico de las personas involucradas en los movimientos migratorios.</w:t>
      </w:r>
      <w:r>
        <w:rPr>
          <w:color w:val="231F20"/>
          <w:spacing w:val="-12"/>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apartado</w:t>
      </w:r>
      <w:r>
        <w:rPr>
          <w:color w:val="231F20"/>
          <w:spacing w:val="-8"/>
          <w:w w:val="105"/>
        </w:rPr>
        <w:t> </w:t>
      </w:r>
      <w:r>
        <w:rPr>
          <w:color w:val="231F20"/>
          <w:w w:val="105"/>
        </w:rPr>
        <w:t>profundizamos</w:t>
      </w:r>
      <w:r>
        <w:rPr>
          <w:color w:val="231F20"/>
          <w:spacing w:val="-8"/>
          <w:w w:val="105"/>
        </w:rPr>
        <w:t> </w:t>
      </w: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etapas</w:t>
      </w:r>
      <w:r>
        <w:rPr>
          <w:color w:val="231F20"/>
          <w:spacing w:val="-8"/>
          <w:w w:val="105"/>
        </w:rPr>
        <w:t> </w:t>
      </w:r>
      <w:r>
        <w:rPr>
          <w:color w:val="231F20"/>
          <w:w w:val="105"/>
        </w:rPr>
        <w:t>sucedidas</w:t>
      </w:r>
      <w:r>
        <w:rPr>
          <w:color w:val="231F20"/>
          <w:spacing w:val="-8"/>
          <w:w w:val="105"/>
        </w:rPr>
        <w:t> </w:t>
      </w:r>
      <w:r>
        <w:rPr>
          <w:color w:val="231F20"/>
          <w:w w:val="105"/>
        </w:rPr>
        <w:t>y su</w:t>
      </w:r>
      <w:r>
        <w:rPr>
          <w:color w:val="231F20"/>
          <w:spacing w:val="-10"/>
          <w:w w:val="105"/>
        </w:rPr>
        <w:t> </w:t>
      </w:r>
      <w:r>
        <w:rPr>
          <w:color w:val="231F20"/>
          <w:w w:val="105"/>
        </w:rPr>
        <w:t>vínculo</w:t>
      </w:r>
      <w:r>
        <w:rPr>
          <w:color w:val="231F20"/>
          <w:spacing w:val="-10"/>
          <w:w w:val="105"/>
        </w:rPr>
        <w:t> </w:t>
      </w:r>
      <w:r>
        <w:rPr>
          <w:color w:val="231F20"/>
          <w:w w:val="105"/>
        </w:rPr>
        <w:t>con</w:t>
      </w:r>
      <w:r>
        <w:rPr>
          <w:color w:val="231F20"/>
          <w:spacing w:val="-10"/>
          <w:w w:val="105"/>
        </w:rPr>
        <w:t> </w:t>
      </w:r>
      <w:r>
        <w:rPr>
          <w:color w:val="231F20"/>
          <w:w w:val="105"/>
        </w:rPr>
        <w:t>dicho</w:t>
      </w:r>
      <w:r>
        <w:rPr>
          <w:color w:val="231F20"/>
          <w:spacing w:val="-10"/>
          <w:w w:val="105"/>
        </w:rPr>
        <w:t> </w:t>
      </w:r>
      <w:r>
        <w:rPr>
          <w:color w:val="231F20"/>
          <w:w w:val="105"/>
        </w:rPr>
        <w:t>perfil,</w:t>
      </w:r>
      <w:r>
        <w:rPr>
          <w:color w:val="231F20"/>
          <w:spacing w:val="-16"/>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finalidad</w:t>
      </w:r>
      <w:r>
        <w:rPr>
          <w:color w:val="231F20"/>
          <w:spacing w:val="-10"/>
          <w:w w:val="105"/>
        </w:rPr>
        <w:t> </w:t>
      </w:r>
      <w:r>
        <w:rPr>
          <w:color w:val="231F20"/>
          <w:w w:val="105"/>
        </w:rPr>
        <w:t>de</w:t>
      </w:r>
      <w:r>
        <w:rPr>
          <w:color w:val="231F20"/>
          <w:spacing w:val="-10"/>
          <w:w w:val="105"/>
        </w:rPr>
        <w:t> </w:t>
      </w:r>
      <w:r>
        <w:rPr>
          <w:color w:val="231F20"/>
          <w:w w:val="105"/>
        </w:rPr>
        <w:t>esclarecer</w:t>
      </w:r>
      <w:r>
        <w:rPr>
          <w:color w:val="231F20"/>
          <w:spacing w:val="-10"/>
          <w:w w:val="105"/>
        </w:rPr>
        <w:t> </w:t>
      </w:r>
      <w:r>
        <w:rPr>
          <w:color w:val="231F20"/>
          <w:w w:val="105"/>
        </w:rPr>
        <w:t>la</w:t>
      </w:r>
      <w:r>
        <w:rPr>
          <w:color w:val="231F20"/>
          <w:spacing w:val="-10"/>
          <w:w w:val="105"/>
        </w:rPr>
        <w:t> </w:t>
      </w:r>
      <w:r>
        <w:rPr>
          <w:color w:val="231F20"/>
          <w:w w:val="105"/>
        </w:rPr>
        <w:t>participación femenina</w:t>
      </w:r>
      <w:r>
        <w:rPr>
          <w:color w:val="231F20"/>
          <w:spacing w:val="-22"/>
          <w:w w:val="105"/>
        </w:rPr>
        <w:t> </w:t>
      </w:r>
      <w:r>
        <w:rPr>
          <w:color w:val="231F20"/>
          <w:w w:val="105"/>
        </w:rPr>
        <w:t>en</w:t>
      </w:r>
      <w:r>
        <w:rPr>
          <w:color w:val="231F20"/>
          <w:spacing w:val="-22"/>
          <w:w w:val="105"/>
        </w:rPr>
        <w:t> </w:t>
      </w:r>
      <w:r>
        <w:rPr>
          <w:color w:val="231F20"/>
          <w:w w:val="105"/>
        </w:rPr>
        <w:t>este</w:t>
      </w:r>
      <w:r>
        <w:rPr>
          <w:color w:val="231F20"/>
          <w:spacing w:val="-22"/>
          <w:w w:val="105"/>
        </w:rPr>
        <w:t> </w:t>
      </w:r>
      <w:r>
        <w:rPr>
          <w:color w:val="231F20"/>
          <w:w w:val="105"/>
        </w:rPr>
        <w:t>sistema</w:t>
      </w:r>
      <w:r>
        <w:rPr>
          <w:color w:val="231F20"/>
          <w:spacing w:val="-22"/>
          <w:w w:val="105"/>
        </w:rPr>
        <w:t> </w:t>
      </w:r>
      <w:r>
        <w:rPr>
          <w:color w:val="231F20"/>
          <w:w w:val="105"/>
        </w:rPr>
        <w:t>migratorio.</w:t>
      </w:r>
    </w:p>
    <w:p>
      <w:pPr>
        <w:pStyle w:val="BodyText"/>
        <w:spacing w:line="261" w:lineRule="auto" w:before="1"/>
        <w:ind w:left="1723" w:right="1828" w:firstLine="567"/>
        <w:jc w:val="both"/>
      </w:pPr>
      <w:r>
        <w:rPr>
          <w:color w:val="231F20"/>
          <w:w w:val="105"/>
        </w:rPr>
        <w:t>En la primera mitad del siglo pasado, con la entrada de Estados Unidos al conflicto armado de la Segunda Guerra Mundial y al término de ésta, fue necesario para dicho país contar con mano de obra no</w:t>
      </w:r>
      <w:r>
        <w:rPr>
          <w:color w:val="231F20"/>
          <w:spacing w:val="-23"/>
          <w:w w:val="105"/>
        </w:rPr>
        <w:t> </w:t>
      </w:r>
      <w:r>
        <w:rPr>
          <w:color w:val="231F20"/>
          <w:w w:val="105"/>
        </w:rPr>
        <w:t>cal- ificada para trabajar especialmente en el sector primario y secundario. </w:t>
      </w:r>
      <w:r>
        <w:rPr>
          <w:color w:val="231F20"/>
          <w:spacing w:val="-6"/>
          <w:w w:val="105"/>
        </w:rPr>
        <w:t>Por</w:t>
      </w:r>
      <w:r>
        <w:rPr>
          <w:color w:val="231F20"/>
          <w:spacing w:val="-7"/>
          <w:w w:val="105"/>
        </w:rPr>
        <w:t> </w:t>
      </w:r>
      <w:r>
        <w:rPr>
          <w:color w:val="231F20"/>
          <w:w w:val="105"/>
        </w:rPr>
        <w:t>lo</w:t>
      </w:r>
      <w:r>
        <w:rPr>
          <w:color w:val="231F20"/>
          <w:spacing w:val="-7"/>
          <w:w w:val="105"/>
        </w:rPr>
        <w:t> </w:t>
      </w:r>
      <w:r>
        <w:rPr>
          <w:color w:val="231F20"/>
          <w:w w:val="105"/>
        </w:rPr>
        <w:t>tanto,</w:t>
      </w:r>
      <w:r>
        <w:rPr>
          <w:color w:val="231F20"/>
          <w:spacing w:val="-12"/>
          <w:w w:val="105"/>
        </w:rPr>
        <w:t> </w:t>
      </w:r>
      <w:r>
        <w:rPr>
          <w:color w:val="231F20"/>
          <w:w w:val="105"/>
        </w:rPr>
        <w:t>en</w:t>
      </w:r>
      <w:r>
        <w:rPr>
          <w:color w:val="231F20"/>
          <w:spacing w:val="-7"/>
          <w:w w:val="105"/>
        </w:rPr>
        <w:t> </w:t>
      </w:r>
      <w:r>
        <w:rPr>
          <w:color w:val="231F20"/>
          <w:w w:val="105"/>
        </w:rPr>
        <w:t>1942</w:t>
      </w:r>
      <w:r>
        <w:rPr>
          <w:color w:val="231F20"/>
          <w:spacing w:val="-7"/>
          <w:w w:val="105"/>
        </w:rPr>
        <w:t> </w:t>
      </w:r>
      <w:r>
        <w:rPr>
          <w:color w:val="231F20"/>
          <w:w w:val="105"/>
        </w:rPr>
        <w:t>fue</w:t>
      </w:r>
      <w:r>
        <w:rPr>
          <w:color w:val="231F20"/>
          <w:spacing w:val="-7"/>
          <w:w w:val="105"/>
        </w:rPr>
        <w:t> </w:t>
      </w:r>
      <w:r>
        <w:rPr>
          <w:color w:val="231F20"/>
          <w:w w:val="105"/>
        </w:rPr>
        <w:t>creado</w:t>
      </w:r>
      <w:r>
        <w:rPr>
          <w:color w:val="231F20"/>
          <w:spacing w:val="-7"/>
          <w:w w:val="105"/>
        </w:rPr>
        <w:t> </w:t>
      </w:r>
      <w:r>
        <w:rPr>
          <w:color w:val="231F20"/>
          <w:w w:val="105"/>
        </w:rPr>
        <w:t>el</w:t>
      </w:r>
      <w:r>
        <w:rPr>
          <w:color w:val="231F20"/>
          <w:spacing w:val="-7"/>
          <w:w w:val="105"/>
        </w:rPr>
        <w:t> </w:t>
      </w:r>
      <w:r>
        <w:rPr>
          <w:color w:val="231F20"/>
          <w:spacing w:val="-3"/>
          <w:w w:val="105"/>
        </w:rPr>
        <w:t>Programa</w:t>
      </w:r>
      <w:r>
        <w:rPr>
          <w:color w:val="231F20"/>
          <w:spacing w:val="-7"/>
          <w:w w:val="105"/>
        </w:rPr>
        <w:t> </w:t>
      </w:r>
      <w:r>
        <w:rPr>
          <w:color w:val="231F20"/>
          <w:w w:val="105"/>
        </w:rPr>
        <w:t>Bracero</w:t>
      </w:r>
      <w:r>
        <w:rPr>
          <w:color w:val="231F20"/>
          <w:spacing w:val="-7"/>
          <w:w w:val="105"/>
        </w:rPr>
        <w:t> </w:t>
      </w:r>
      <w:r>
        <w:rPr>
          <w:color w:val="231F20"/>
          <w:w w:val="105"/>
        </w:rPr>
        <w:t>para</w:t>
      </w:r>
      <w:r>
        <w:rPr>
          <w:color w:val="231F20"/>
          <w:spacing w:val="-7"/>
          <w:w w:val="105"/>
        </w:rPr>
        <w:t> </w:t>
      </w:r>
      <w:r>
        <w:rPr>
          <w:color w:val="231F20"/>
          <w:w w:val="105"/>
        </w:rPr>
        <w:t>proporcionar contratos temporales a varones mexicanos, principalmente en edades jóvenes, quienes subsanarían el déficit de empleados derivado de la participación de dicho país en la guerra (Delgado y Márquez, 2007) así como</w:t>
      </w:r>
      <w:r>
        <w:rPr>
          <w:color w:val="231F20"/>
          <w:spacing w:val="-18"/>
          <w:w w:val="105"/>
        </w:rPr>
        <w:t> </w:t>
      </w:r>
      <w:r>
        <w:rPr>
          <w:color w:val="231F20"/>
          <w:w w:val="105"/>
        </w:rPr>
        <w:t>para</w:t>
      </w:r>
      <w:r>
        <w:rPr>
          <w:color w:val="231F20"/>
          <w:spacing w:val="-18"/>
          <w:w w:val="105"/>
        </w:rPr>
        <w:t> </w:t>
      </w:r>
      <w:r>
        <w:rPr>
          <w:color w:val="231F20"/>
          <w:w w:val="105"/>
        </w:rPr>
        <w:t>abastecer</w:t>
      </w:r>
      <w:r>
        <w:rPr>
          <w:color w:val="231F20"/>
          <w:spacing w:val="-18"/>
          <w:w w:val="105"/>
        </w:rPr>
        <w:t> </w:t>
      </w:r>
      <w:r>
        <w:rPr>
          <w:color w:val="231F20"/>
          <w:w w:val="105"/>
        </w:rPr>
        <w:t>la</w:t>
      </w:r>
      <w:r>
        <w:rPr>
          <w:color w:val="231F20"/>
          <w:spacing w:val="-18"/>
          <w:w w:val="105"/>
        </w:rPr>
        <w:t> </w:t>
      </w:r>
      <w:r>
        <w:rPr>
          <w:color w:val="231F20"/>
          <w:w w:val="105"/>
        </w:rPr>
        <w:t>demanda</w:t>
      </w:r>
      <w:r>
        <w:rPr>
          <w:color w:val="231F20"/>
          <w:spacing w:val="-18"/>
          <w:w w:val="105"/>
        </w:rPr>
        <w:t> </w:t>
      </w:r>
      <w:r>
        <w:rPr>
          <w:color w:val="231F20"/>
          <w:w w:val="105"/>
        </w:rPr>
        <w:t>de</w:t>
      </w:r>
      <w:r>
        <w:rPr>
          <w:color w:val="231F20"/>
          <w:spacing w:val="-18"/>
          <w:w w:val="105"/>
        </w:rPr>
        <w:t> </w:t>
      </w:r>
      <w:r>
        <w:rPr>
          <w:color w:val="231F20"/>
          <w:w w:val="105"/>
        </w:rPr>
        <w:t>bienes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países</w:t>
      </w:r>
      <w:r>
        <w:rPr>
          <w:color w:val="231F20"/>
          <w:spacing w:val="-18"/>
          <w:w w:val="105"/>
        </w:rPr>
        <w:t> </w:t>
      </w:r>
      <w:r>
        <w:rPr>
          <w:color w:val="231F20"/>
          <w:w w:val="105"/>
        </w:rPr>
        <w:t>europeos</w:t>
      </w:r>
      <w:r>
        <w:rPr>
          <w:color w:val="231F20"/>
          <w:spacing w:val="-18"/>
          <w:w w:val="105"/>
        </w:rPr>
        <w:t> </w:t>
      </w:r>
      <w:r>
        <w:rPr>
          <w:color w:val="231F20"/>
          <w:w w:val="105"/>
        </w:rPr>
        <w:t>dev- astados. Durante el tiempo que el programa funcionó, hubo una cir- cularidad migratoria importante entre ambos países, es decir, estos jóvenes migrantes permanecían en Estados Unidos tanto como durara la temporada de trabajo y regresaban a México una vez que ésta con- cluyera. La implementación de este programa se dio especialmente   en</w:t>
      </w:r>
      <w:r>
        <w:rPr>
          <w:color w:val="231F20"/>
          <w:spacing w:val="-16"/>
          <w:w w:val="105"/>
        </w:rPr>
        <w:t> </w:t>
      </w:r>
      <w:r>
        <w:rPr>
          <w:color w:val="231F20"/>
          <w:w w:val="105"/>
        </w:rPr>
        <w:t>los</w:t>
      </w:r>
      <w:r>
        <w:rPr>
          <w:color w:val="231F20"/>
          <w:spacing w:val="-16"/>
          <w:w w:val="105"/>
        </w:rPr>
        <w:t> </w:t>
      </w:r>
      <w:r>
        <w:rPr>
          <w:color w:val="231F20"/>
          <w:w w:val="105"/>
        </w:rPr>
        <w:t>estados</w:t>
      </w:r>
      <w:r>
        <w:rPr>
          <w:color w:val="231F20"/>
          <w:spacing w:val="-16"/>
          <w:w w:val="105"/>
        </w:rPr>
        <w:t> </w:t>
      </w:r>
      <w:r>
        <w:rPr>
          <w:color w:val="231F20"/>
          <w:w w:val="105"/>
        </w:rPr>
        <w:t>de</w:t>
      </w:r>
      <w:r>
        <w:rPr>
          <w:color w:val="231F20"/>
          <w:spacing w:val="-16"/>
          <w:w w:val="105"/>
        </w:rPr>
        <w:t> </w:t>
      </w:r>
      <w:r>
        <w:rPr>
          <w:color w:val="231F20"/>
          <w:w w:val="105"/>
        </w:rPr>
        <w:t>Zacatecas,</w:t>
      </w:r>
      <w:r>
        <w:rPr>
          <w:color w:val="231F20"/>
          <w:spacing w:val="-21"/>
          <w:w w:val="105"/>
        </w:rPr>
        <w:t> </w:t>
      </w:r>
      <w:r>
        <w:rPr>
          <w:color w:val="231F20"/>
          <w:w w:val="105"/>
        </w:rPr>
        <w:t>Guanajuato,</w:t>
      </w:r>
      <w:r>
        <w:rPr>
          <w:color w:val="231F20"/>
          <w:spacing w:val="-23"/>
          <w:w w:val="105"/>
        </w:rPr>
        <w:t> </w:t>
      </w:r>
      <w:r>
        <w:rPr>
          <w:color w:val="231F20"/>
          <w:w w:val="105"/>
        </w:rPr>
        <w:t>Jalisco</w:t>
      </w:r>
      <w:r>
        <w:rPr>
          <w:color w:val="231F20"/>
          <w:spacing w:val="-16"/>
          <w:w w:val="105"/>
        </w:rPr>
        <w:t> </w:t>
      </w:r>
      <w:r>
        <w:rPr>
          <w:color w:val="231F20"/>
          <w:w w:val="105"/>
        </w:rPr>
        <w:t>y</w:t>
      </w:r>
      <w:r>
        <w:rPr>
          <w:color w:val="231F20"/>
          <w:spacing w:val="-16"/>
          <w:w w:val="105"/>
        </w:rPr>
        <w:t> </w:t>
      </w:r>
      <w:r>
        <w:rPr>
          <w:color w:val="231F20"/>
          <w:w w:val="105"/>
        </w:rPr>
        <w:t>Michoacán</w:t>
      </w:r>
      <w:r>
        <w:rPr>
          <w:color w:val="231F20"/>
          <w:spacing w:val="-16"/>
          <w:w w:val="105"/>
        </w:rPr>
        <w:t> </w:t>
      </w:r>
      <w:r>
        <w:rPr>
          <w:color w:val="231F20"/>
          <w:w w:val="105"/>
        </w:rPr>
        <w:t>(Tuirán</w:t>
      </w:r>
      <w:r>
        <w:rPr>
          <w:color w:val="231F20"/>
          <w:spacing w:val="-16"/>
          <w:w w:val="105"/>
        </w:rPr>
        <w:t> </w:t>
      </w:r>
      <w:r>
        <w:rPr>
          <w:color w:val="231F20"/>
          <w:w w:val="105"/>
        </w:rPr>
        <w:t>y</w:t>
      </w:r>
    </w:p>
    <w:p>
      <w:pPr>
        <w:pStyle w:val="BodyText"/>
        <w:rPr>
          <w:sz w:val="20"/>
        </w:rPr>
      </w:pPr>
    </w:p>
    <w:p>
      <w:pPr>
        <w:pStyle w:val="BodyText"/>
        <w:rPr>
          <w:sz w:val="20"/>
        </w:rPr>
      </w:pPr>
    </w:p>
    <w:p>
      <w:pPr>
        <w:pStyle w:val="BodyText"/>
        <w:rPr>
          <w:sz w:val="1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8560" from="131.551193pt,3.703715pt" to="131.551193pt,39.506114pt" stroked="true" strokeweight=".35pt" strokecolor="#231f20">
            <w10:wrap type="none"/>
          </v:line>
        </w:pict>
      </w:r>
      <w:r>
        <w:rPr/>
        <w:pict>
          <v:line style="position:absolute;mso-position-horizontal-relative:page;mso-position-vertical-relative:paragraph;z-index:-458536" from="15pt,39.505917pt" to="0pt,39.505917pt" stroked="true" strokeweight=".25pt" strokecolor="#000000">
            <w10:wrap type="none"/>
          </v:line>
        </w:pict>
      </w:r>
      <w:r>
        <w:rPr/>
        <w:pict>
          <v:line style="position:absolute;mso-position-horizontal-relative:page;mso-position-vertical-relative:paragraph;z-index:31672" from="508.890015pt,39.505917pt" to="523.890015pt,39.505917pt" stroked="true" strokeweight=".25pt" strokecolor="#000000">
            <w10:wrap type="none"/>
          </v:line>
        </w:pict>
      </w:r>
      <w:r>
        <w:rPr>
          <w:rFonts w:ascii="Arial" w:hAnsi="Arial"/>
          <w:color w:val="414042"/>
          <w:position w:val="-5"/>
          <w:sz w:val="20"/>
        </w:rPr>
        <w:t>262</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footerReference w:type="default" r:id="rId321"/>
          <w:pgSz w:w="10480" w:h="14730"/>
          <w:pgMar w:footer="103" w:header="0" w:top="42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headerReference w:type="default" r:id="rId322"/>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1696" from="405.061005pt,-27.904295pt" to="405.061005pt,6.961579pt" stroked="true" strokeweight=".35pt" strokecolor="#231f20">
            <w10:wrap type="none"/>
          </v:line>
        </w:pict>
      </w:r>
      <w:r>
        <w:rPr/>
        <w:pict>
          <v:line style="position:absolute;mso-position-horizontal-relative:page;mso-position-vertical-relative:paragraph;z-index:31720" from="15pt,-27.90452pt" to="0pt,-27.90452pt" stroked="true" strokeweight=".25pt" strokecolor="#000000">
            <w10:wrap type="none"/>
          </v:line>
        </w:pict>
      </w:r>
      <w:r>
        <w:rPr/>
        <w:pict>
          <v:line style="position:absolute;mso-position-horizontal-relative:page;mso-position-vertical-relative:paragraph;z-index:31744"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263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22"/>
        </w:rPr>
      </w:pPr>
    </w:p>
    <w:p>
      <w:pPr>
        <w:pStyle w:val="BodyText"/>
        <w:spacing w:line="261" w:lineRule="auto" w:before="60"/>
        <w:ind w:left="1828" w:right="1730"/>
        <w:jc w:val="both"/>
      </w:pPr>
      <w:r>
        <w:rPr>
          <w:color w:val="231F20"/>
          <w:w w:val="105"/>
        </w:rPr>
        <w:t>Ávila,</w:t>
      </w:r>
      <w:r>
        <w:rPr>
          <w:color w:val="231F20"/>
          <w:spacing w:val="-16"/>
          <w:w w:val="105"/>
        </w:rPr>
        <w:t> </w:t>
      </w:r>
      <w:r>
        <w:rPr>
          <w:color w:val="231F20"/>
          <w:w w:val="105"/>
        </w:rPr>
        <w:t>2010).</w:t>
      </w:r>
      <w:r>
        <w:rPr>
          <w:color w:val="231F20"/>
          <w:spacing w:val="-18"/>
          <w:w w:val="105"/>
        </w:rPr>
        <w:t> </w:t>
      </w:r>
      <w:r>
        <w:rPr>
          <w:color w:val="231F20"/>
          <w:w w:val="105"/>
        </w:rPr>
        <w:t>Dicha</w:t>
      </w:r>
      <w:r>
        <w:rPr>
          <w:color w:val="231F20"/>
          <w:spacing w:val="-15"/>
          <w:w w:val="105"/>
        </w:rPr>
        <w:t> </w:t>
      </w:r>
      <w:r>
        <w:rPr>
          <w:color w:val="231F20"/>
          <w:w w:val="105"/>
        </w:rPr>
        <w:t>circularidad</w:t>
      </w:r>
      <w:r>
        <w:rPr>
          <w:color w:val="231F20"/>
          <w:spacing w:val="-15"/>
          <w:w w:val="105"/>
        </w:rPr>
        <w:t> </w:t>
      </w:r>
      <w:r>
        <w:rPr>
          <w:color w:val="231F20"/>
          <w:w w:val="105"/>
        </w:rPr>
        <w:t>permitió</w:t>
      </w:r>
      <w:r>
        <w:rPr>
          <w:color w:val="231F20"/>
          <w:spacing w:val="-15"/>
          <w:w w:val="105"/>
        </w:rPr>
        <w:t> </w:t>
      </w:r>
      <w:r>
        <w:rPr>
          <w:color w:val="231F20"/>
          <w:w w:val="105"/>
        </w:rPr>
        <w:t>la</w:t>
      </w:r>
      <w:r>
        <w:rPr>
          <w:color w:val="231F20"/>
          <w:spacing w:val="-15"/>
          <w:w w:val="105"/>
        </w:rPr>
        <w:t> </w:t>
      </w:r>
      <w:r>
        <w:rPr>
          <w:color w:val="231F20"/>
          <w:w w:val="105"/>
        </w:rPr>
        <w:t>acumulación</w:t>
      </w:r>
      <w:r>
        <w:rPr>
          <w:color w:val="231F20"/>
          <w:spacing w:val="-15"/>
          <w:w w:val="105"/>
        </w:rPr>
        <w:t> </w:t>
      </w:r>
      <w:r>
        <w:rPr>
          <w:color w:val="231F20"/>
          <w:w w:val="105"/>
        </w:rPr>
        <w:t>de</w:t>
      </w:r>
      <w:r>
        <w:rPr>
          <w:color w:val="231F20"/>
          <w:spacing w:val="-15"/>
          <w:w w:val="105"/>
        </w:rPr>
        <w:t> </w:t>
      </w:r>
      <w:r>
        <w:rPr>
          <w:color w:val="231F20"/>
          <w:w w:val="105"/>
        </w:rPr>
        <w:t>capital</w:t>
      </w:r>
      <w:r>
        <w:rPr>
          <w:color w:val="231F20"/>
          <w:spacing w:val="-15"/>
          <w:w w:val="105"/>
        </w:rPr>
        <w:t> </w:t>
      </w:r>
      <w:r>
        <w:rPr>
          <w:color w:val="231F20"/>
          <w:w w:val="105"/>
        </w:rPr>
        <w:t>social (recurso</w:t>
      </w:r>
      <w:r>
        <w:rPr>
          <w:color w:val="231F20"/>
          <w:spacing w:val="-11"/>
          <w:w w:val="105"/>
        </w:rPr>
        <w:t> </w:t>
      </w:r>
      <w:r>
        <w:rPr>
          <w:color w:val="231F20"/>
          <w:w w:val="105"/>
        </w:rPr>
        <w:t>que</w:t>
      </w:r>
      <w:r>
        <w:rPr>
          <w:color w:val="231F20"/>
          <w:spacing w:val="-11"/>
          <w:w w:val="105"/>
        </w:rPr>
        <w:t> </w:t>
      </w:r>
      <w:r>
        <w:rPr>
          <w:color w:val="231F20"/>
          <w:w w:val="105"/>
        </w:rPr>
        <w:t>brindaba</w:t>
      </w:r>
      <w:r>
        <w:rPr>
          <w:color w:val="231F20"/>
          <w:spacing w:val="-11"/>
          <w:w w:val="105"/>
        </w:rPr>
        <w:t> </w:t>
      </w:r>
      <w:r>
        <w:rPr>
          <w:color w:val="231F20"/>
          <w:w w:val="105"/>
        </w:rPr>
        <w:t>información</w:t>
      </w:r>
      <w:r>
        <w:rPr>
          <w:color w:val="231F20"/>
          <w:spacing w:val="-11"/>
          <w:w w:val="105"/>
        </w:rPr>
        <w:t> </w:t>
      </w:r>
      <w:r>
        <w:rPr>
          <w:color w:val="231F20"/>
          <w:w w:val="105"/>
        </w:rPr>
        <w:t>acerca</w:t>
      </w:r>
      <w:r>
        <w:rPr>
          <w:color w:val="231F20"/>
          <w:spacing w:val="-11"/>
          <w:w w:val="105"/>
        </w:rPr>
        <w:t> </w:t>
      </w:r>
      <w:r>
        <w:rPr>
          <w:color w:val="231F20"/>
          <w:w w:val="105"/>
        </w:rPr>
        <w:t>de</w:t>
      </w:r>
      <w:r>
        <w:rPr>
          <w:color w:val="231F20"/>
          <w:spacing w:val="-11"/>
          <w:w w:val="105"/>
        </w:rPr>
        <w:t> </w:t>
      </w:r>
      <w:r>
        <w:rPr>
          <w:color w:val="231F20"/>
          <w:w w:val="105"/>
        </w:rPr>
        <w:t>cómo</w:t>
      </w:r>
      <w:r>
        <w:rPr>
          <w:color w:val="231F20"/>
          <w:spacing w:val="-11"/>
          <w:w w:val="105"/>
        </w:rPr>
        <w:t> </w:t>
      </w:r>
      <w:r>
        <w:rPr>
          <w:color w:val="231F20"/>
          <w:w w:val="105"/>
        </w:rPr>
        <w:t>emprender</w:t>
      </w:r>
      <w:r>
        <w:rPr>
          <w:color w:val="231F20"/>
          <w:spacing w:val="-11"/>
          <w:w w:val="105"/>
        </w:rPr>
        <w:t> </w:t>
      </w:r>
      <w:r>
        <w:rPr>
          <w:color w:val="231F20"/>
          <w:w w:val="105"/>
        </w:rPr>
        <w:t>el</w:t>
      </w:r>
      <w:r>
        <w:rPr>
          <w:color w:val="231F20"/>
          <w:spacing w:val="-11"/>
          <w:w w:val="105"/>
        </w:rPr>
        <w:t> </w:t>
      </w:r>
      <w:r>
        <w:rPr>
          <w:color w:val="231F20"/>
          <w:w w:val="105"/>
        </w:rPr>
        <w:t>viaje</w:t>
      </w:r>
      <w:r>
        <w:rPr>
          <w:color w:val="231F20"/>
          <w:spacing w:val="-11"/>
          <w:w w:val="105"/>
        </w:rPr>
        <w:t> </w:t>
      </w:r>
      <w:r>
        <w:rPr>
          <w:color w:val="231F20"/>
          <w:w w:val="105"/>
        </w:rPr>
        <w:t>y los beneficios de migrar), mismo que se volvería muy importante en</w:t>
      </w:r>
      <w:r>
        <w:rPr>
          <w:color w:val="231F20"/>
          <w:spacing w:val="-24"/>
          <w:w w:val="105"/>
        </w:rPr>
        <w:t> </w:t>
      </w:r>
      <w:r>
        <w:rPr>
          <w:color w:val="231F20"/>
          <w:w w:val="105"/>
        </w:rPr>
        <w:t>los años</w:t>
      </w:r>
      <w:r>
        <w:rPr>
          <w:color w:val="231F20"/>
          <w:spacing w:val="-19"/>
          <w:w w:val="105"/>
        </w:rPr>
        <w:t> </w:t>
      </w:r>
      <w:r>
        <w:rPr>
          <w:color w:val="231F20"/>
          <w:w w:val="105"/>
        </w:rPr>
        <w:t>siguientes</w:t>
      </w:r>
      <w:r>
        <w:rPr>
          <w:color w:val="231F20"/>
          <w:spacing w:val="-19"/>
          <w:w w:val="105"/>
        </w:rPr>
        <w:t> </w:t>
      </w:r>
      <w:r>
        <w:rPr>
          <w:color w:val="231F20"/>
          <w:w w:val="105"/>
        </w:rPr>
        <w:t>entre</w:t>
      </w:r>
      <w:r>
        <w:rPr>
          <w:color w:val="231F20"/>
          <w:spacing w:val="-19"/>
          <w:w w:val="105"/>
        </w:rPr>
        <w:t> </w:t>
      </w:r>
      <w:r>
        <w:rPr>
          <w:color w:val="231F20"/>
          <w:w w:val="105"/>
        </w:rPr>
        <w:t>la</w:t>
      </w:r>
      <w:r>
        <w:rPr>
          <w:color w:val="231F20"/>
          <w:spacing w:val="-19"/>
          <w:w w:val="105"/>
        </w:rPr>
        <w:t> </w:t>
      </w:r>
      <w:r>
        <w:rPr>
          <w:color w:val="231F20"/>
          <w:w w:val="105"/>
        </w:rPr>
        <w:t>población</w:t>
      </w:r>
      <w:r>
        <w:rPr>
          <w:color w:val="231F20"/>
          <w:spacing w:val="-19"/>
          <w:w w:val="105"/>
        </w:rPr>
        <w:t> </w:t>
      </w:r>
      <w:r>
        <w:rPr>
          <w:color w:val="231F20"/>
          <w:w w:val="105"/>
        </w:rPr>
        <w:t>de</w:t>
      </w:r>
      <w:r>
        <w:rPr>
          <w:color w:val="231F20"/>
          <w:spacing w:val="-19"/>
          <w:w w:val="105"/>
        </w:rPr>
        <w:t> </w:t>
      </w:r>
      <w:r>
        <w:rPr>
          <w:color w:val="231F20"/>
          <w:w w:val="105"/>
        </w:rPr>
        <w:t>esas</w:t>
      </w:r>
      <w:r>
        <w:rPr>
          <w:color w:val="231F20"/>
          <w:spacing w:val="-19"/>
          <w:w w:val="105"/>
        </w:rPr>
        <w:t> </w:t>
      </w:r>
      <w:r>
        <w:rPr>
          <w:color w:val="231F20"/>
          <w:w w:val="105"/>
        </w:rPr>
        <w:t>entidades.</w:t>
      </w:r>
    </w:p>
    <w:p>
      <w:pPr>
        <w:pStyle w:val="BodyText"/>
        <w:spacing w:line="261" w:lineRule="auto" w:before="1"/>
        <w:ind w:left="1828" w:right="1729" w:firstLine="567"/>
        <w:jc w:val="both"/>
      </w:pPr>
      <w:r>
        <w:rPr>
          <w:color w:val="231F20"/>
          <w:w w:val="105"/>
        </w:rPr>
        <w:t>Al mismo tiempo que el </w:t>
      </w:r>
      <w:r>
        <w:rPr>
          <w:color w:val="231F20"/>
          <w:spacing w:val="-3"/>
          <w:w w:val="105"/>
        </w:rPr>
        <w:t>Programa </w:t>
      </w:r>
      <w:r>
        <w:rPr>
          <w:color w:val="231F20"/>
          <w:w w:val="105"/>
        </w:rPr>
        <w:t>Bracero estuvo vigente, la mi- gración no documentada creció. Esto debido a los menores costos que requería</w:t>
      </w:r>
      <w:r>
        <w:rPr>
          <w:color w:val="231F20"/>
          <w:spacing w:val="-21"/>
          <w:w w:val="105"/>
        </w:rPr>
        <w:t> </w:t>
      </w:r>
      <w:r>
        <w:rPr>
          <w:color w:val="231F20"/>
          <w:w w:val="105"/>
        </w:rPr>
        <w:t>la</w:t>
      </w:r>
      <w:r>
        <w:rPr>
          <w:color w:val="231F20"/>
          <w:spacing w:val="-21"/>
          <w:w w:val="105"/>
        </w:rPr>
        <w:t> </w:t>
      </w:r>
      <w:r>
        <w:rPr>
          <w:color w:val="231F20"/>
          <w:w w:val="105"/>
        </w:rPr>
        <w:t>contratación</w:t>
      </w:r>
      <w:r>
        <w:rPr>
          <w:color w:val="231F20"/>
          <w:spacing w:val="-21"/>
          <w:w w:val="105"/>
        </w:rPr>
        <w:t> </w:t>
      </w:r>
      <w:r>
        <w:rPr>
          <w:color w:val="231F20"/>
          <w:w w:val="105"/>
        </w:rPr>
        <w:t>de</w:t>
      </w:r>
      <w:r>
        <w:rPr>
          <w:color w:val="231F20"/>
          <w:spacing w:val="-21"/>
          <w:w w:val="105"/>
        </w:rPr>
        <w:t> </w:t>
      </w:r>
      <w:r>
        <w:rPr>
          <w:color w:val="231F20"/>
          <w:w w:val="105"/>
        </w:rPr>
        <w:t>migrantes</w:t>
      </w:r>
      <w:r>
        <w:rPr>
          <w:color w:val="231F20"/>
          <w:spacing w:val="-21"/>
          <w:w w:val="105"/>
        </w:rPr>
        <w:t> </w:t>
      </w:r>
      <w:r>
        <w:rPr>
          <w:color w:val="231F20"/>
          <w:w w:val="105"/>
        </w:rPr>
        <w:t>no</w:t>
      </w:r>
      <w:r>
        <w:rPr>
          <w:color w:val="231F20"/>
          <w:spacing w:val="-21"/>
          <w:w w:val="105"/>
        </w:rPr>
        <w:t> </w:t>
      </w:r>
      <w:r>
        <w:rPr>
          <w:color w:val="231F20"/>
          <w:w w:val="105"/>
        </w:rPr>
        <w:t>documentados</w:t>
      </w:r>
      <w:r>
        <w:rPr>
          <w:color w:val="231F20"/>
          <w:spacing w:val="-21"/>
          <w:w w:val="105"/>
        </w:rPr>
        <w:t> </w:t>
      </w:r>
      <w:r>
        <w:rPr>
          <w:color w:val="231F20"/>
          <w:w w:val="105"/>
        </w:rPr>
        <w:t>en</w:t>
      </w:r>
      <w:r>
        <w:rPr>
          <w:color w:val="231F20"/>
          <w:spacing w:val="-21"/>
          <w:w w:val="105"/>
        </w:rPr>
        <w:t> </w:t>
      </w:r>
      <w:r>
        <w:rPr>
          <w:color w:val="231F20"/>
          <w:w w:val="105"/>
        </w:rPr>
        <w:t>comparación con</w:t>
      </w:r>
      <w:r>
        <w:rPr>
          <w:color w:val="231F20"/>
          <w:spacing w:val="-16"/>
          <w:w w:val="105"/>
        </w:rPr>
        <w:t> </w:t>
      </w:r>
      <w:r>
        <w:rPr>
          <w:color w:val="231F20"/>
          <w:w w:val="105"/>
        </w:rPr>
        <w:t>los</w:t>
      </w:r>
      <w:r>
        <w:rPr>
          <w:color w:val="231F20"/>
          <w:spacing w:val="-16"/>
          <w:w w:val="105"/>
        </w:rPr>
        <w:t> </w:t>
      </w:r>
      <w:r>
        <w:rPr>
          <w:color w:val="231F20"/>
          <w:w w:val="105"/>
        </w:rPr>
        <w:t>jornaleros</w:t>
      </w:r>
      <w:r>
        <w:rPr>
          <w:color w:val="231F20"/>
          <w:spacing w:val="-16"/>
          <w:w w:val="105"/>
        </w:rPr>
        <w:t> </w:t>
      </w:r>
      <w:r>
        <w:rPr>
          <w:color w:val="231F20"/>
          <w:w w:val="105"/>
        </w:rPr>
        <w:t>del</w:t>
      </w:r>
      <w:r>
        <w:rPr>
          <w:color w:val="231F20"/>
          <w:spacing w:val="-17"/>
          <w:w w:val="105"/>
        </w:rPr>
        <w:t> </w:t>
      </w:r>
      <w:r>
        <w:rPr>
          <w:color w:val="231F20"/>
          <w:w w:val="105"/>
        </w:rPr>
        <w:t>programa,</w:t>
      </w:r>
      <w:r>
        <w:rPr>
          <w:color w:val="231F20"/>
          <w:spacing w:val="-22"/>
          <w:w w:val="105"/>
        </w:rPr>
        <w:t> </w:t>
      </w:r>
      <w:r>
        <w:rPr>
          <w:color w:val="231F20"/>
          <w:w w:val="105"/>
        </w:rPr>
        <w:t>y</w:t>
      </w:r>
      <w:r>
        <w:rPr>
          <w:color w:val="231F20"/>
          <w:spacing w:val="-17"/>
          <w:w w:val="105"/>
        </w:rPr>
        <w:t> </w:t>
      </w:r>
      <w:r>
        <w:rPr>
          <w:color w:val="231F20"/>
          <w:w w:val="105"/>
        </w:rPr>
        <w:t>la</w:t>
      </w:r>
      <w:r>
        <w:rPr>
          <w:color w:val="231F20"/>
          <w:spacing w:val="-16"/>
          <w:w w:val="105"/>
        </w:rPr>
        <w:t> </w:t>
      </w:r>
      <w:r>
        <w:rPr>
          <w:color w:val="231F20"/>
          <w:w w:val="105"/>
        </w:rPr>
        <w:t>baja</w:t>
      </w:r>
      <w:r>
        <w:rPr>
          <w:color w:val="231F20"/>
          <w:spacing w:val="-17"/>
          <w:w w:val="105"/>
        </w:rPr>
        <w:t> </w:t>
      </w:r>
      <w:r>
        <w:rPr>
          <w:color w:val="231F20"/>
          <w:w w:val="105"/>
        </w:rPr>
        <w:t>aplicación</w:t>
      </w:r>
      <w:r>
        <w:rPr>
          <w:color w:val="231F20"/>
          <w:spacing w:val="-16"/>
          <w:w w:val="105"/>
        </w:rPr>
        <w:t> </w:t>
      </w:r>
      <w:r>
        <w:rPr>
          <w:color w:val="231F20"/>
          <w:w w:val="105"/>
        </w:rPr>
        <w:t>de</w:t>
      </w:r>
      <w:r>
        <w:rPr>
          <w:color w:val="231F20"/>
          <w:spacing w:val="-17"/>
          <w:w w:val="105"/>
        </w:rPr>
        <w:t> </w:t>
      </w:r>
      <w:r>
        <w:rPr>
          <w:color w:val="231F20"/>
          <w:w w:val="105"/>
        </w:rPr>
        <w:t>leyes</w:t>
      </w:r>
      <w:r>
        <w:rPr>
          <w:color w:val="231F20"/>
          <w:spacing w:val="-16"/>
          <w:w w:val="105"/>
        </w:rPr>
        <w:t> </w:t>
      </w:r>
      <w:r>
        <w:rPr>
          <w:color w:val="231F20"/>
          <w:w w:val="105"/>
        </w:rPr>
        <w:t>migratorias federales</w:t>
      </w:r>
      <w:r>
        <w:rPr>
          <w:color w:val="231F20"/>
          <w:spacing w:val="-10"/>
          <w:w w:val="105"/>
        </w:rPr>
        <w:t> </w:t>
      </w:r>
      <w:r>
        <w:rPr>
          <w:color w:val="231F20"/>
          <w:w w:val="105"/>
        </w:rPr>
        <w:t>que</w:t>
      </w:r>
      <w:r>
        <w:rPr>
          <w:color w:val="231F20"/>
          <w:spacing w:val="-10"/>
          <w:w w:val="105"/>
        </w:rPr>
        <w:t> </w:t>
      </w:r>
      <w:r>
        <w:rPr>
          <w:color w:val="231F20"/>
          <w:w w:val="105"/>
        </w:rPr>
        <w:t>mostraban</w:t>
      </w:r>
      <w:r>
        <w:rPr>
          <w:color w:val="231F20"/>
          <w:spacing w:val="-10"/>
          <w:w w:val="105"/>
        </w:rPr>
        <w:t> </w:t>
      </w:r>
      <w:r>
        <w:rPr>
          <w:color w:val="231F20"/>
          <w:w w:val="105"/>
        </w:rPr>
        <w:t>poco</w:t>
      </w:r>
      <w:r>
        <w:rPr>
          <w:color w:val="231F20"/>
          <w:spacing w:val="-10"/>
          <w:w w:val="105"/>
        </w:rPr>
        <w:t> </w:t>
      </w:r>
      <w:r>
        <w:rPr>
          <w:color w:val="231F20"/>
          <w:w w:val="105"/>
        </w:rPr>
        <w:t>interés</w:t>
      </w:r>
      <w:r>
        <w:rPr>
          <w:color w:val="231F20"/>
          <w:spacing w:val="-10"/>
          <w:w w:val="105"/>
        </w:rPr>
        <w:t> </w:t>
      </w:r>
      <w:r>
        <w:rPr>
          <w:color w:val="231F20"/>
          <w:w w:val="105"/>
        </w:rPr>
        <w:t>por</w:t>
      </w:r>
      <w:r>
        <w:rPr>
          <w:color w:val="231F20"/>
          <w:spacing w:val="-10"/>
          <w:w w:val="105"/>
        </w:rPr>
        <w:t> </w:t>
      </w:r>
      <w:r>
        <w:rPr>
          <w:color w:val="231F20"/>
          <w:w w:val="105"/>
        </w:rPr>
        <w:t>controlar</w:t>
      </w:r>
      <w:r>
        <w:rPr>
          <w:color w:val="231F20"/>
          <w:spacing w:val="-10"/>
          <w:w w:val="105"/>
        </w:rPr>
        <w:t> </w:t>
      </w:r>
      <w:r>
        <w:rPr>
          <w:color w:val="231F20"/>
          <w:w w:val="105"/>
        </w:rPr>
        <w:t>los</w:t>
      </w:r>
      <w:r>
        <w:rPr>
          <w:color w:val="231F20"/>
          <w:spacing w:val="-10"/>
          <w:w w:val="105"/>
        </w:rPr>
        <w:t> </w:t>
      </w:r>
      <w:r>
        <w:rPr>
          <w:color w:val="231F20"/>
          <w:w w:val="105"/>
        </w:rPr>
        <w:t>flujos</w:t>
      </w:r>
      <w:r>
        <w:rPr>
          <w:color w:val="231F20"/>
          <w:spacing w:val="-10"/>
          <w:w w:val="105"/>
        </w:rPr>
        <w:t> </w:t>
      </w:r>
      <w:r>
        <w:rPr>
          <w:color w:val="231F20"/>
          <w:w w:val="105"/>
        </w:rPr>
        <w:t>fronterizos (Nevins,</w:t>
      </w:r>
      <w:r>
        <w:rPr>
          <w:color w:val="231F20"/>
          <w:spacing w:val="-17"/>
          <w:w w:val="105"/>
        </w:rPr>
        <w:t> </w:t>
      </w:r>
      <w:r>
        <w:rPr>
          <w:color w:val="231F20"/>
          <w:w w:val="105"/>
        </w:rPr>
        <w:t>2010).</w:t>
      </w:r>
      <w:r>
        <w:rPr>
          <w:color w:val="231F20"/>
          <w:spacing w:val="-21"/>
          <w:w w:val="105"/>
        </w:rPr>
        <w:t> </w:t>
      </w:r>
      <w:r>
        <w:rPr>
          <w:color w:val="231F20"/>
          <w:w w:val="105"/>
        </w:rPr>
        <w:t>Al</w:t>
      </w:r>
      <w:r>
        <w:rPr>
          <w:color w:val="231F20"/>
          <w:spacing w:val="-12"/>
          <w:w w:val="105"/>
        </w:rPr>
        <w:t> </w:t>
      </w:r>
      <w:r>
        <w:rPr>
          <w:color w:val="231F20"/>
          <w:w w:val="105"/>
        </w:rPr>
        <w:t>cabo</w:t>
      </w:r>
      <w:r>
        <w:rPr>
          <w:color w:val="231F20"/>
          <w:spacing w:val="-12"/>
          <w:w w:val="105"/>
        </w:rPr>
        <w:t> </w:t>
      </w:r>
      <w:r>
        <w:rPr>
          <w:color w:val="231F20"/>
          <w:w w:val="105"/>
        </w:rPr>
        <w:t>de</w:t>
      </w:r>
      <w:r>
        <w:rPr>
          <w:color w:val="231F20"/>
          <w:spacing w:val="-12"/>
          <w:w w:val="105"/>
        </w:rPr>
        <w:t> </w:t>
      </w:r>
      <w:r>
        <w:rPr>
          <w:color w:val="231F20"/>
          <w:w w:val="105"/>
        </w:rPr>
        <w:t>22</w:t>
      </w:r>
      <w:r>
        <w:rPr>
          <w:color w:val="231F20"/>
          <w:spacing w:val="-12"/>
          <w:w w:val="105"/>
        </w:rPr>
        <w:t> </w:t>
      </w:r>
      <w:r>
        <w:rPr>
          <w:color w:val="231F20"/>
          <w:w w:val="105"/>
        </w:rPr>
        <w:t>años</w:t>
      </w:r>
      <w:r>
        <w:rPr>
          <w:color w:val="231F20"/>
          <w:spacing w:val="-12"/>
          <w:w w:val="105"/>
        </w:rPr>
        <w:t> </w:t>
      </w:r>
      <w:r>
        <w:rPr>
          <w:color w:val="231F20"/>
          <w:w w:val="105"/>
        </w:rPr>
        <w:t>de</w:t>
      </w:r>
      <w:r>
        <w:rPr>
          <w:color w:val="231F20"/>
          <w:spacing w:val="-12"/>
          <w:w w:val="105"/>
        </w:rPr>
        <w:t> </w:t>
      </w:r>
      <w:r>
        <w:rPr>
          <w:color w:val="231F20"/>
          <w:w w:val="105"/>
        </w:rPr>
        <w:t>funcionamiento,</w:t>
      </w:r>
      <w:r>
        <w:rPr>
          <w:color w:val="231F20"/>
          <w:spacing w:val="-17"/>
          <w:w w:val="105"/>
        </w:rPr>
        <w:t> </w:t>
      </w:r>
      <w:r>
        <w:rPr>
          <w:color w:val="231F20"/>
          <w:w w:val="105"/>
        </w:rPr>
        <w:t>el</w:t>
      </w:r>
      <w:r>
        <w:rPr>
          <w:color w:val="231F20"/>
          <w:spacing w:val="-12"/>
          <w:w w:val="105"/>
        </w:rPr>
        <w:t> </w:t>
      </w:r>
      <w:r>
        <w:rPr>
          <w:color w:val="231F20"/>
          <w:spacing w:val="-3"/>
          <w:w w:val="105"/>
        </w:rPr>
        <w:t>Programa</w:t>
      </w:r>
      <w:r>
        <w:rPr>
          <w:color w:val="231F20"/>
          <w:spacing w:val="-12"/>
          <w:w w:val="105"/>
        </w:rPr>
        <w:t> </w:t>
      </w:r>
      <w:r>
        <w:rPr>
          <w:color w:val="231F20"/>
          <w:w w:val="105"/>
        </w:rPr>
        <w:t>Bra- cero terminó en 1964. La migración de México dejó de ser excepción y formó parte del sistema general de visas de Estados Unidos lo que im- puso un límite global al total de visas emitidas cada año y obligó a los migrantes</w:t>
      </w:r>
      <w:r>
        <w:rPr>
          <w:color w:val="231F20"/>
          <w:spacing w:val="-19"/>
          <w:w w:val="105"/>
        </w:rPr>
        <w:t> </w:t>
      </w:r>
      <w:r>
        <w:rPr>
          <w:color w:val="231F20"/>
          <w:w w:val="105"/>
        </w:rPr>
        <w:t>mexicanos</w:t>
      </w:r>
      <w:r>
        <w:rPr>
          <w:color w:val="231F20"/>
          <w:spacing w:val="-19"/>
          <w:w w:val="105"/>
        </w:rPr>
        <w:t> </w:t>
      </w:r>
      <w:r>
        <w:rPr>
          <w:color w:val="231F20"/>
          <w:w w:val="105"/>
        </w:rPr>
        <w:t>a</w:t>
      </w:r>
      <w:r>
        <w:rPr>
          <w:color w:val="231F20"/>
          <w:spacing w:val="-19"/>
          <w:w w:val="105"/>
        </w:rPr>
        <w:t> </w:t>
      </w:r>
      <w:r>
        <w:rPr>
          <w:color w:val="231F20"/>
          <w:w w:val="105"/>
        </w:rPr>
        <w:t>competir</w:t>
      </w:r>
      <w:r>
        <w:rPr>
          <w:color w:val="231F20"/>
          <w:spacing w:val="-19"/>
          <w:w w:val="105"/>
        </w:rPr>
        <w:t> </w:t>
      </w:r>
      <w:r>
        <w:rPr>
          <w:color w:val="231F20"/>
          <w:w w:val="105"/>
        </w:rPr>
        <w:t>por</w:t>
      </w:r>
      <w:r>
        <w:rPr>
          <w:color w:val="231F20"/>
          <w:spacing w:val="-19"/>
          <w:w w:val="105"/>
        </w:rPr>
        <w:t> </w:t>
      </w:r>
      <w:r>
        <w:rPr>
          <w:color w:val="231F20"/>
          <w:w w:val="105"/>
        </w:rPr>
        <w:t>una</w:t>
      </w:r>
      <w:r>
        <w:rPr>
          <w:color w:val="231F20"/>
          <w:spacing w:val="-19"/>
          <w:w w:val="105"/>
        </w:rPr>
        <w:t> </w:t>
      </w:r>
      <w:r>
        <w:rPr>
          <w:color w:val="231F20"/>
          <w:w w:val="105"/>
        </w:rPr>
        <w:t>de</w:t>
      </w:r>
      <w:r>
        <w:rPr>
          <w:color w:val="231F20"/>
          <w:spacing w:val="-19"/>
          <w:w w:val="105"/>
        </w:rPr>
        <w:t> </w:t>
      </w:r>
      <w:r>
        <w:rPr>
          <w:color w:val="231F20"/>
          <w:w w:val="105"/>
        </w:rPr>
        <w:t>ellas</w:t>
      </w:r>
      <w:r>
        <w:rPr>
          <w:color w:val="231F20"/>
          <w:spacing w:val="-19"/>
          <w:w w:val="105"/>
        </w:rPr>
        <w:t> </w:t>
      </w:r>
      <w:r>
        <w:rPr>
          <w:color w:val="231F20"/>
          <w:spacing w:val="-4"/>
          <w:w w:val="105"/>
        </w:rPr>
        <w:t>(Tuirán</w:t>
      </w:r>
      <w:r>
        <w:rPr>
          <w:color w:val="231F20"/>
          <w:spacing w:val="-19"/>
          <w:w w:val="105"/>
        </w:rPr>
        <w:t> </w:t>
      </w:r>
      <w:r>
        <w:rPr>
          <w:color w:val="231F20"/>
          <w:w w:val="105"/>
        </w:rPr>
        <w:t>y</w:t>
      </w:r>
      <w:r>
        <w:rPr>
          <w:color w:val="231F20"/>
          <w:spacing w:val="-22"/>
          <w:w w:val="105"/>
        </w:rPr>
        <w:t> </w:t>
      </w:r>
      <w:r>
        <w:rPr>
          <w:color w:val="231F20"/>
          <w:w w:val="105"/>
        </w:rPr>
        <w:t>Ávila,</w:t>
      </w:r>
      <w:r>
        <w:rPr>
          <w:color w:val="231F20"/>
          <w:spacing w:val="-24"/>
          <w:w w:val="105"/>
        </w:rPr>
        <w:t> </w:t>
      </w:r>
      <w:r>
        <w:rPr>
          <w:color w:val="231F20"/>
          <w:w w:val="105"/>
        </w:rPr>
        <w:t>2010).</w:t>
      </w:r>
    </w:p>
    <w:p>
      <w:pPr>
        <w:pStyle w:val="BodyText"/>
        <w:spacing w:line="261" w:lineRule="auto" w:before="1"/>
        <w:ind w:left="1828" w:right="1724" w:firstLine="567"/>
        <w:jc w:val="both"/>
      </w:pPr>
      <w:r>
        <w:rPr>
          <w:color w:val="231F20"/>
          <w:w w:val="105"/>
        </w:rPr>
        <w:t>El</w:t>
      </w:r>
      <w:r>
        <w:rPr>
          <w:color w:val="231F20"/>
          <w:spacing w:val="-12"/>
          <w:w w:val="105"/>
        </w:rPr>
        <w:t> </w:t>
      </w:r>
      <w:r>
        <w:rPr>
          <w:color w:val="231F20"/>
          <w:w w:val="105"/>
        </w:rPr>
        <w:t>número</w:t>
      </w:r>
      <w:r>
        <w:rPr>
          <w:color w:val="231F20"/>
          <w:spacing w:val="-12"/>
          <w:w w:val="105"/>
        </w:rPr>
        <w:t> </w:t>
      </w:r>
      <w:r>
        <w:rPr>
          <w:color w:val="231F20"/>
          <w:w w:val="105"/>
        </w:rPr>
        <w:t>restringido</w:t>
      </w:r>
      <w:r>
        <w:rPr>
          <w:color w:val="231F20"/>
          <w:spacing w:val="-12"/>
          <w:w w:val="105"/>
        </w:rPr>
        <w:t> </w:t>
      </w:r>
      <w:r>
        <w:rPr>
          <w:color w:val="231F20"/>
          <w:w w:val="105"/>
        </w:rPr>
        <w:t>de</w:t>
      </w:r>
      <w:r>
        <w:rPr>
          <w:color w:val="231F20"/>
          <w:spacing w:val="-12"/>
          <w:w w:val="105"/>
        </w:rPr>
        <w:t> </w:t>
      </w:r>
      <w:r>
        <w:rPr>
          <w:color w:val="231F20"/>
          <w:w w:val="105"/>
        </w:rPr>
        <w:t>visas</w:t>
      </w:r>
      <w:r>
        <w:rPr>
          <w:color w:val="231F20"/>
          <w:spacing w:val="-12"/>
          <w:w w:val="105"/>
        </w:rPr>
        <w:t> </w:t>
      </w:r>
      <w:r>
        <w:rPr>
          <w:color w:val="231F20"/>
          <w:w w:val="105"/>
        </w:rPr>
        <w:t>de</w:t>
      </w:r>
      <w:r>
        <w:rPr>
          <w:color w:val="231F20"/>
          <w:spacing w:val="-12"/>
          <w:w w:val="105"/>
        </w:rPr>
        <w:t> </w:t>
      </w:r>
      <w:r>
        <w:rPr>
          <w:color w:val="231F20"/>
          <w:w w:val="105"/>
        </w:rPr>
        <w:t>trabajo</w:t>
      </w:r>
      <w:r>
        <w:rPr>
          <w:color w:val="231F20"/>
          <w:spacing w:val="-12"/>
          <w:w w:val="105"/>
        </w:rPr>
        <w:t> </w:t>
      </w:r>
      <w:r>
        <w:rPr>
          <w:color w:val="231F20"/>
          <w:w w:val="105"/>
        </w:rPr>
        <w:t>que</w:t>
      </w:r>
      <w:r>
        <w:rPr>
          <w:color w:val="231F20"/>
          <w:spacing w:val="-12"/>
          <w:w w:val="105"/>
        </w:rPr>
        <w:t> </w:t>
      </w:r>
      <w:r>
        <w:rPr>
          <w:color w:val="231F20"/>
          <w:w w:val="105"/>
        </w:rPr>
        <w:t>eran</w:t>
      </w:r>
      <w:r>
        <w:rPr>
          <w:color w:val="231F20"/>
          <w:spacing w:val="-12"/>
          <w:w w:val="105"/>
        </w:rPr>
        <w:t> </w:t>
      </w:r>
      <w:r>
        <w:rPr>
          <w:color w:val="231F20"/>
          <w:w w:val="105"/>
        </w:rPr>
        <w:t>otorgadas</w:t>
      </w:r>
      <w:r>
        <w:rPr>
          <w:color w:val="231F20"/>
          <w:spacing w:val="-12"/>
          <w:w w:val="105"/>
        </w:rPr>
        <w:t> </w:t>
      </w:r>
      <w:r>
        <w:rPr>
          <w:color w:val="231F20"/>
          <w:w w:val="105"/>
        </w:rPr>
        <w:t>para México</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capital</w:t>
      </w:r>
      <w:r>
        <w:rPr>
          <w:color w:val="231F20"/>
          <w:spacing w:val="-5"/>
          <w:w w:val="105"/>
        </w:rPr>
        <w:t> </w:t>
      </w:r>
      <w:r>
        <w:rPr>
          <w:color w:val="231F20"/>
          <w:w w:val="105"/>
        </w:rPr>
        <w:t>social</w:t>
      </w:r>
      <w:r>
        <w:rPr>
          <w:color w:val="231F20"/>
          <w:spacing w:val="-5"/>
          <w:w w:val="105"/>
        </w:rPr>
        <w:t> </w:t>
      </w:r>
      <w:r>
        <w:rPr>
          <w:color w:val="231F20"/>
          <w:w w:val="105"/>
        </w:rPr>
        <w:t>previamente</w:t>
      </w:r>
      <w:r>
        <w:rPr>
          <w:color w:val="231F20"/>
          <w:spacing w:val="-5"/>
          <w:w w:val="105"/>
        </w:rPr>
        <w:t> </w:t>
      </w:r>
      <w:r>
        <w:rPr>
          <w:color w:val="231F20"/>
          <w:w w:val="105"/>
        </w:rPr>
        <w:t>construido,</w:t>
      </w:r>
      <w:r>
        <w:rPr>
          <w:color w:val="231F20"/>
          <w:spacing w:val="-10"/>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la</w:t>
      </w:r>
      <w:r>
        <w:rPr>
          <w:color w:val="231F20"/>
          <w:spacing w:val="-5"/>
          <w:w w:val="105"/>
        </w:rPr>
        <w:t> </w:t>
      </w:r>
      <w:r>
        <w:rPr>
          <w:color w:val="231F20"/>
          <w:w w:val="105"/>
        </w:rPr>
        <w:t>creciente demanda de mano de obra barata por parte de los empleadores es- tadounidenses,</w:t>
      </w:r>
      <w:r>
        <w:rPr>
          <w:color w:val="231F20"/>
          <w:spacing w:val="-12"/>
          <w:w w:val="105"/>
        </w:rPr>
        <w:t> </w:t>
      </w:r>
      <w:r>
        <w:rPr>
          <w:color w:val="231F20"/>
          <w:w w:val="105"/>
        </w:rPr>
        <w:t>fueron</w:t>
      </w:r>
      <w:r>
        <w:rPr>
          <w:color w:val="231F20"/>
          <w:spacing w:val="-7"/>
          <w:w w:val="105"/>
        </w:rPr>
        <w:t> </w:t>
      </w:r>
      <w:r>
        <w:rPr>
          <w:color w:val="231F20"/>
          <w:w w:val="105"/>
        </w:rPr>
        <w:t>factores</w:t>
      </w:r>
      <w:r>
        <w:rPr>
          <w:color w:val="231F20"/>
          <w:spacing w:val="-7"/>
          <w:w w:val="105"/>
        </w:rPr>
        <w:t> </w:t>
      </w:r>
      <w:r>
        <w:rPr>
          <w:color w:val="231F20"/>
          <w:w w:val="105"/>
        </w:rPr>
        <w:t>determinantes</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intensificación</w:t>
      </w:r>
      <w:r>
        <w:rPr>
          <w:color w:val="231F20"/>
          <w:spacing w:val="-7"/>
          <w:w w:val="105"/>
        </w:rPr>
        <w:t> </w:t>
      </w:r>
      <w:r>
        <w:rPr>
          <w:color w:val="231F20"/>
          <w:w w:val="105"/>
        </w:rPr>
        <w:t>de un</w:t>
      </w:r>
      <w:r>
        <w:rPr>
          <w:color w:val="231F20"/>
          <w:spacing w:val="-16"/>
          <w:w w:val="105"/>
        </w:rPr>
        <w:t> </w:t>
      </w:r>
      <w:r>
        <w:rPr>
          <w:color w:val="231F20"/>
          <w:w w:val="105"/>
        </w:rPr>
        <w:t>flujo</w:t>
      </w:r>
      <w:r>
        <w:rPr>
          <w:color w:val="231F20"/>
          <w:spacing w:val="-16"/>
          <w:w w:val="105"/>
        </w:rPr>
        <w:t> </w:t>
      </w:r>
      <w:r>
        <w:rPr>
          <w:color w:val="231F20"/>
          <w:w w:val="105"/>
        </w:rPr>
        <w:t>importante</w:t>
      </w:r>
      <w:r>
        <w:rPr>
          <w:color w:val="231F20"/>
          <w:spacing w:val="-16"/>
          <w:w w:val="105"/>
        </w:rPr>
        <w:t> </w:t>
      </w:r>
      <w:r>
        <w:rPr>
          <w:color w:val="231F20"/>
          <w:w w:val="105"/>
        </w:rPr>
        <w:t>de</w:t>
      </w:r>
      <w:r>
        <w:rPr>
          <w:color w:val="231F20"/>
          <w:spacing w:val="-16"/>
          <w:w w:val="105"/>
        </w:rPr>
        <w:t> </w:t>
      </w:r>
      <w:r>
        <w:rPr>
          <w:color w:val="231F20"/>
          <w:w w:val="105"/>
        </w:rPr>
        <w:t>migrantes</w:t>
      </w:r>
      <w:r>
        <w:rPr>
          <w:color w:val="231F20"/>
          <w:spacing w:val="-16"/>
          <w:w w:val="105"/>
        </w:rPr>
        <w:t> </w:t>
      </w:r>
      <w:r>
        <w:rPr>
          <w:color w:val="231F20"/>
          <w:w w:val="105"/>
        </w:rPr>
        <w:t>no</w:t>
      </w:r>
      <w:r>
        <w:rPr>
          <w:color w:val="231F20"/>
          <w:spacing w:val="-16"/>
          <w:w w:val="105"/>
        </w:rPr>
        <w:t> </w:t>
      </w:r>
      <w:r>
        <w:rPr>
          <w:color w:val="231F20"/>
          <w:w w:val="105"/>
        </w:rPr>
        <w:t>documentados</w:t>
      </w:r>
      <w:r>
        <w:rPr>
          <w:color w:val="231F20"/>
          <w:spacing w:val="-16"/>
          <w:w w:val="105"/>
        </w:rPr>
        <w:t> </w:t>
      </w:r>
      <w:r>
        <w:rPr>
          <w:color w:val="231F20"/>
          <w:w w:val="105"/>
        </w:rPr>
        <w:t>(Delgado</w:t>
      </w:r>
      <w:r>
        <w:rPr>
          <w:color w:val="231F20"/>
          <w:spacing w:val="-16"/>
          <w:w w:val="105"/>
        </w:rPr>
        <w:t> </w:t>
      </w:r>
      <w:r>
        <w:rPr>
          <w:color w:val="231F20"/>
          <w:w w:val="105"/>
        </w:rPr>
        <w:t>y</w:t>
      </w:r>
      <w:r>
        <w:rPr>
          <w:color w:val="231F20"/>
          <w:spacing w:val="-16"/>
          <w:w w:val="105"/>
        </w:rPr>
        <w:t> </w:t>
      </w:r>
      <w:r>
        <w:rPr>
          <w:color w:val="231F20"/>
          <w:w w:val="105"/>
        </w:rPr>
        <w:t>Márquez, 2007). Un factor más que motivó este movimiento migratorio irregular fue la crisis económica que México empezó a sufrir en la década de</w:t>
      </w:r>
      <w:r>
        <w:rPr>
          <w:color w:val="231F20"/>
          <w:spacing w:val="-39"/>
          <w:w w:val="105"/>
        </w:rPr>
        <w:t> </w:t>
      </w:r>
      <w:r>
        <w:rPr>
          <w:color w:val="231F20"/>
          <w:w w:val="105"/>
        </w:rPr>
        <w:t>los setenta. Dicha situación condujo a una mayor diversidad en los</w:t>
      </w:r>
      <w:r>
        <w:rPr>
          <w:color w:val="231F20"/>
          <w:spacing w:val="-35"/>
          <w:w w:val="105"/>
        </w:rPr>
        <w:t> </w:t>
      </w:r>
      <w:r>
        <w:rPr>
          <w:color w:val="231F20"/>
          <w:w w:val="105"/>
        </w:rPr>
        <w:t>lugares de</w:t>
      </w:r>
      <w:r>
        <w:rPr>
          <w:color w:val="231F20"/>
          <w:spacing w:val="-7"/>
          <w:w w:val="105"/>
        </w:rPr>
        <w:t> </w:t>
      </w:r>
      <w:r>
        <w:rPr>
          <w:color w:val="231F20"/>
          <w:w w:val="105"/>
        </w:rPr>
        <w:t>origen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migrante.</w:t>
      </w:r>
      <w:r>
        <w:rPr>
          <w:color w:val="231F20"/>
          <w:spacing w:val="-13"/>
          <w:w w:val="105"/>
        </w:rPr>
        <w:t> </w:t>
      </w:r>
      <w:r>
        <w:rPr>
          <w:color w:val="231F20"/>
          <w:spacing w:val="-6"/>
          <w:w w:val="105"/>
        </w:rPr>
        <w:t>Por</w:t>
      </w:r>
      <w:r>
        <w:rPr>
          <w:color w:val="231F20"/>
          <w:spacing w:val="-7"/>
          <w:w w:val="105"/>
        </w:rPr>
        <w:t> </w:t>
      </w:r>
      <w:r>
        <w:rPr>
          <w:color w:val="231F20"/>
          <w:w w:val="105"/>
        </w:rPr>
        <w:t>lo</w:t>
      </w:r>
      <w:r>
        <w:rPr>
          <w:color w:val="231F20"/>
          <w:spacing w:val="-7"/>
          <w:w w:val="105"/>
        </w:rPr>
        <w:t> </w:t>
      </w:r>
      <w:r>
        <w:rPr>
          <w:color w:val="231F20"/>
          <w:w w:val="105"/>
        </w:rPr>
        <w:t>cual,</w:t>
      </w:r>
      <w:r>
        <w:rPr>
          <w:color w:val="231F20"/>
          <w:spacing w:val="-13"/>
          <w:w w:val="105"/>
        </w:rPr>
        <w:t> </w:t>
      </w:r>
      <w:r>
        <w:rPr>
          <w:color w:val="231F20"/>
          <w:w w:val="105"/>
        </w:rPr>
        <w:t>en</w:t>
      </w:r>
      <w:r>
        <w:rPr>
          <w:color w:val="231F20"/>
          <w:spacing w:val="-7"/>
          <w:w w:val="105"/>
        </w:rPr>
        <w:t> </w:t>
      </w:r>
      <w:r>
        <w:rPr>
          <w:color w:val="231F20"/>
          <w:w w:val="105"/>
        </w:rPr>
        <w:t>este</w:t>
      </w:r>
      <w:r>
        <w:rPr>
          <w:color w:val="231F20"/>
          <w:spacing w:val="-7"/>
          <w:w w:val="105"/>
        </w:rPr>
        <w:t> </w:t>
      </w:r>
      <w:r>
        <w:rPr>
          <w:color w:val="231F20"/>
          <w:w w:val="105"/>
        </w:rPr>
        <w:t>periodo</w:t>
      </w:r>
      <w:r>
        <w:rPr>
          <w:color w:val="231F20"/>
          <w:spacing w:val="-7"/>
          <w:w w:val="105"/>
        </w:rPr>
        <w:t> </w:t>
      </w:r>
      <w:r>
        <w:rPr>
          <w:color w:val="231F20"/>
          <w:w w:val="105"/>
        </w:rPr>
        <w:t>además de</w:t>
      </w:r>
      <w:r>
        <w:rPr>
          <w:color w:val="231F20"/>
          <w:spacing w:val="-7"/>
          <w:w w:val="105"/>
        </w:rPr>
        <w:t> </w:t>
      </w:r>
      <w:r>
        <w:rPr>
          <w:color w:val="231F20"/>
          <w:w w:val="105"/>
        </w:rPr>
        <w:t>la</w:t>
      </w:r>
      <w:r>
        <w:rPr>
          <w:color w:val="231F20"/>
          <w:spacing w:val="-7"/>
          <w:w w:val="105"/>
        </w:rPr>
        <w:t> </w:t>
      </w:r>
      <w:r>
        <w:rPr>
          <w:color w:val="231F20"/>
          <w:w w:val="105"/>
        </w:rPr>
        <w:t>población</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entidades</w:t>
      </w:r>
      <w:r>
        <w:rPr>
          <w:color w:val="231F20"/>
          <w:spacing w:val="-7"/>
          <w:w w:val="105"/>
        </w:rPr>
        <w:t> </w:t>
      </w:r>
      <w:r>
        <w:rPr>
          <w:color w:val="231F20"/>
          <w:w w:val="105"/>
        </w:rPr>
        <w:t>donde</w:t>
      </w:r>
      <w:r>
        <w:rPr>
          <w:color w:val="231F20"/>
          <w:spacing w:val="-7"/>
          <w:w w:val="105"/>
        </w:rPr>
        <w:t> </w:t>
      </w:r>
      <w:r>
        <w:rPr>
          <w:color w:val="231F20"/>
          <w:w w:val="105"/>
        </w:rPr>
        <w:t>operó</w:t>
      </w:r>
      <w:r>
        <w:rPr>
          <w:color w:val="231F20"/>
          <w:spacing w:val="-7"/>
          <w:w w:val="105"/>
        </w:rPr>
        <w:t> </w:t>
      </w:r>
      <w:r>
        <w:rPr>
          <w:color w:val="231F20"/>
          <w:w w:val="105"/>
        </w:rPr>
        <w:t>el</w:t>
      </w:r>
      <w:r>
        <w:rPr>
          <w:color w:val="231F20"/>
          <w:spacing w:val="-7"/>
          <w:w w:val="105"/>
        </w:rPr>
        <w:t> </w:t>
      </w:r>
      <w:r>
        <w:rPr>
          <w:color w:val="231F20"/>
          <w:spacing w:val="-3"/>
          <w:w w:val="105"/>
        </w:rPr>
        <w:t>Programa</w:t>
      </w:r>
      <w:r>
        <w:rPr>
          <w:color w:val="231F20"/>
          <w:spacing w:val="-7"/>
          <w:w w:val="105"/>
        </w:rPr>
        <w:t> </w:t>
      </w:r>
      <w:r>
        <w:rPr>
          <w:color w:val="231F20"/>
          <w:w w:val="105"/>
        </w:rPr>
        <w:t>Bracero,</w:t>
      </w:r>
      <w:r>
        <w:rPr>
          <w:color w:val="231F20"/>
          <w:spacing w:val="-13"/>
          <w:w w:val="105"/>
        </w:rPr>
        <w:t> </w:t>
      </w:r>
      <w:r>
        <w:rPr>
          <w:color w:val="231F20"/>
          <w:w w:val="105"/>
        </w:rPr>
        <w:t>una parte</w:t>
      </w:r>
      <w:r>
        <w:rPr>
          <w:color w:val="231F20"/>
          <w:spacing w:val="-8"/>
          <w:w w:val="105"/>
        </w:rPr>
        <w:t> </w:t>
      </w:r>
      <w:r>
        <w:rPr>
          <w:color w:val="231F20"/>
          <w:w w:val="105"/>
        </w:rPr>
        <w:t>importante</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población</w:t>
      </w:r>
      <w:r>
        <w:rPr>
          <w:color w:val="231F20"/>
          <w:spacing w:val="-8"/>
          <w:w w:val="105"/>
        </w:rPr>
        <w:t> </w:t>
      </w:r>
      <w:r>
        <w:rPr>
          <w:color w:val="231F20"/>
          <w:w w:val="105"/>
        </w:rPr>
        <w:t>residente</w:t>
      </w:r>
      <w:r>
        <w:rPr>
          <w:color w:val="231F20"/>
          <w:spacing w:val="-8"/>
          <w:w w:val="105"/>
        </w:rPr>
        <w:t> </w:t>
      </w:r>
      <w:r>
        <w:rPr>
          <w:color w:val="231F20"/>
          <w:w w:val="105"/>
        </w:rPr>
        <w:t>en</w:t>
      </w:r>
      <w:r>
        <w:rPr>
          <w:color w:val="231F20"/>
          <w:spacing w:val="-8"/>
          <w:w w:val="105"/>
        </w:rPr>
        <w:t> </w:t>
      </w:r>
      <w:r>
        <w:rPr>
          <w:color w:val="231F20"/>
          <w:w w:val="105"/>
        </w:rPr>
        <w:t>zonas</w:t>
      </w:r>
      <w:r>
        <w:rPr>
          <w:color w:val="231F20"/>
          <w:spacing w:val="-8"/>
          <w:w w:val="105"/>
        </w:rPr>
        <w:t> </w:t>
      </w:r>
      <w:r>
        <w:rPr>
          <w:color w:val="231F20"/>
          <w:w w:val="105"/>
        </w:rPr>
        <w:t>urbanas</w:t>
      </w:r>
      <w:r>
        <w:rPr>
          <w:color w:val="231F20"/>
          <w:spacing w:val="-8"/>
          <w:w w:val="105"/>
        </w:rPr>
        <w:t> </w:t>
      </w:r>
      <w:r>
        <w:rPr>
          <w:color w:val="231F20"/>
          <w:w w:val="105"/>
        </w:rPr>
        <w:t>de</w:t>
      </w:r>
      <w:r>
        <w:rPr>
          <w:color w:val="231F20"/>
          <w:spacing w:val="-8"/>
          <w:w w:val="105"/>
        </w:rPr>
        <w:t> </w:t>
      </w:r>
      <w:r>
        <w:rPr>
          <w:color w:val="231F20"/>
          <w:w w:val="105"/>
        </w:rPr>
        <w:t>México empezó</w:t>
      </w:r>
      <w:r>
        <w:rPr>
          <w:color w:val="231F20"/>
          <w:spacing w:val="-17"/>
          <w:w w:val="105"/>
        </w:rPr>
        <w:t> </w:t>
      </w:r>
      <w:r>
        <w:rPr>
          <w:color w:val="231F20"/>
          <w:w w:val="105"/>
        </w:rPr>
        <w:t>a</w:t>
      </w:r>
      <w:r>
        <w:rPr>
          <w:color w:val="231F20"/>
          <w:spacing w:val="-17"/>
          <w:w w:val="105"/>
        </w:rPr>
        <w:t> </w:t>
      </w:r>
      <w:r>
        <w:rPr>
          <w:color w:val="231F20"/>
          <w:w w:val="105"/>
        </w:rPr>
        <w:t>migrar</w:t>
      </w:r>
      <w:r>
        <w:rPr>
          <w:color w:val="231F20"/>
          <w:spacing w:val="-17"/>
          <w:w w:val="105"/>
        </w:rPr>
        <w:t> </w:t>
      </w:r>
      <w:r>
        <w:rPr>
          <w:color w:val="231F20"/>
          <w:w w:val="105"/>
        </w:rPr>
        <w:t>hacia</w:t>
      </w:r>
      <w:r>
        <w:rPr>
          <w:color w:val="231F20"/>
          <w:spacing w:val="-17"/>
          <w:w w:val="105"/>
        </w:rPr>
        <w:t> </w:t>
      </w:r>
      <w:r>
        <w:rPr>
          <w:color w:val="231F20"/>
          <w:w w:val="105"/>
        </w:rPr>
        <w:t>Estados</w:t>
      </w:r>
      <w:r>
        <w:rPr>
          <w:color w:val="231F20"/>
          <w:spacing w:val="-17"/>
          <w:w w:val="105"/>
        </w:rPr>
        <w:t> </w:t>
      </w:r>
      <w:r>
        <w:rPr>
          <w:color w:val="231F20"/>
          <w:w w:val="105"/>
        </w:rPr>
        <w:t>Unidos.</w:t>
      </w:r>
      <w:r>
        <w:rPr>
          <w:color w:val="231F20"/>
          <w:spacing w:val="-22"/>
          <w:w w:val="105"/>
        </w:rPr>
        <w:t> </w:t>
      </w:r>
      <w:r>
        <w:rPr>
          <w:color w:val="231F20"/>
          <w:w w:val="105"/>
        </w:rPr>
        <w:t>No</w:t>
      </w:r>
      <w:r>
        <w:rPr>
          <w:color w:val="231F20"/>
          <w:spacing w:val="-17"/>
          <w:w w:val="105"/>
        </w:rPr>
        <w:t> </w:t>
      </w:r>
      <w:r>
        <w:rPr>
          <w:color w:val="231F20"/>
          <w:w w:val="105"/>
        </w:rPr>
        <w:t>obstante,</w:t>
      </w:r>
      <w:r>
        <w:rPr>
          <w:color w:val="231F20"/>
          <w:spacing w:val="-22"/>
          <w:w w:val="105"/>
        </w:rPr>
        <w:t> </w:t>
      </w:r>
      <w:r>
        <w:rPr>
          <w:color w:val="231F20"/>
          <w:w w:val="105"/>
        </w:rPr>
        <w:t>este</w:t>
      </w:r>
      <w:r>
        <w:rPr>
          <w:color w:val="231F20"/>
          <w:spacing w:val="-17"/>
          <w:w w:val="105"/>
        </w:rPr>
        <w:t> </w:t>
      </w:r>
      <w:r>
        <w:rPr>
          <w:color w:val="231F20"/>
          <w:w w:val="105"/>
        </w:rPr>
        <w:t>flujo</w:t>
      </w:r>
      <w:r>
        <w:rPr>
          <w:color w:val="231F20"/>
          <w:spacing w:val="-17"/>
          <w:w w:val="105"/>
        </w:rPr>
        <w:t> </w:t>
      </w:r>
      <w:r>
        <w:rPr>
          <w:color w:val="231F20"/>
          <w:w w:val="105"/>
        </w:rPr>
        <w:t>se</w:t>
      </w:r>
      <w:r>
        <w:rPr>
          <w:color w:val="231F20"/>
          <w:spacing w:val="-17"/>
          <w:w w:val="105"/>
        </w:rPr>
        <w:t> </w:t>
      </w:r>
      <w:r>
        <w:rPr>
          <w:color w:val="231F20"/>
          <w:w w:val="105"/>
        </w:rPr>
        <w:t>carac- terizó por la irregularidad en el estatus migratorio y la dinámica circular de</w:t>
      </w:r>
      <w:r>
        <w:rPr>
          <w:color w:val="231F20"/>
          <w:spacing w:val="-30"/>
          <w:w w:val="105"/>
        </w:rPr>
        <w:t> </w:t>
      </w:r>
      <w:r>
        <w:rPr>
          <w:color w:val="231F20"/>
          <w:w w:val="105"/>
        </w:rPr>
        <w:t>los</w:t>
      </w:r>
      <w:r>
        <w:rPr>
          <w:color w:val="231F20"/>
          <w:spacing w:val="-30"/>
          <w:w w:val="105"/>
        </w:rPr>
        <w:t> </w:t>
      </w:r>
      <w:r>
        <w:rPr>
          <w:color w:val="231F20"/>
          <w:w w:val="105"/>
        </w:rPr>
        <w:t>desplazamientos.</w:t>
      </w:r>
    </w:p>
    <w:p>
      <w:pPr>
        <w:pStyle w:val="BodyText"/>
        <w:spacing w:line="261" w:lineRule="auto" w:before="1"/>
        <w:ind w:left="1828" w:right="1729" w:firstLine="567"/>
        <w:jc w:val="both"/>
      </w:pPr>
      <w:r>
        <w:rPr>
          <w:color w:val="231F20"/>
          <w:w w:val="105"/>
        </w:rPr>
        <w:t>En la tercera etapa del proceso migratorio, la cual persiste hasta nuestros</w:t>
      </w:r>
      <w:r>
        <w:rPr>
          <w:color w:val="231F20"/>
          <w:spacing w:val="-11"/>
          <w:w w:val="105"/>
        </w:rPr>
        <w:t> </w:t>
      </w:r>
      <w:r>
        <w:rPr>
          <w:color w:val="231F20"/>
          <w:w w:val="105"/>
        </w:rPr>
        <w:t>días,</w:t>
      </w:r>
      <w:r>
        <w:rPr>
          <w:color w:val="231F20"/>
          <w:spacing w:val="-17"/>
          <w:w w:val="105"/>
        </w:rPr>
        <w:t> </w:t>
      </w:r>
      <w:r>
        <w:rPr>
          <w:color w:val="231F20"/>
          <w:w w:val="105"/>
        </w:rPr>
        <w:t>el</w:t>
      </w:r>
      <w:r>
        <w:rPr>
          <w:color w:val="231F20"/>
          <w:spacing w:val="-11"/>
          <w:w w:val="105"/>
        </w:rPr>
        <w:t> </w:t>
      </w:r>
      <w:r>
        <w:rPr>
          <w:color w:val="231F20"/>
          <w:w w:val="105"/>
        </w:rPr>
        <w:t>perfil</w:t>
      </w:r>
      <w:r>
        <w:rPr>
          <w:color w:val="231F20"/>
          <w:spacing w:val="-11"/>
          <w:w w:val="105"/>
        </w:rPr>
        <w:t> </w:t>
      </w:r>
      <w:r>
        <w:rPr>
          <w:color w:val="231F20"/>
          <w:w w:val="105"/>
        </w:rPr>
        <w:t>demográfico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migrantes</w:t>
      </w:r>
      <w:r>
        <w:rPr>
          <w:color w:val="231F20"/>
          <w:spacing w:val="-11"/>
          <w:w w:val="105"/>
        </w:rPr>
        <w:t> </w:t>
      </w:r>
      <w:r>
        <w:rPr>
          <w:color w:val="231F20"/>
          <w:w w:val="105"/>
        </w:rPr>
        <w:t>se</w:t>
      </w:r>
      <w:r>
        <w:rPr>
          <w:color w:val="231F20"/>
          <w:spacing w:val="-11"/>
          <w:w w:val="105"/>
        </w:rPr>
        <w:t> </w:t>
      </w:r>
      <w:r>
        <w:rPr>
          <w:color w:val="231F20"/>
          <w:w w:val="105"/>
        </w:rPr>
        <w:t>volvió</w:t>
      </w:r>
      <w:r>
        <w:rPr>
          <w:color w:val="231F20"/>
          <w:spacing w:val="-11"/>
          <w:w w:val="105"/>
        </w:rPr>
        <w:t> </w:t>
      </w:r>
      <w:r>
        <w:rPr>
          <w:color w:val="231F20"/>
          <w:w w:val="105"/>
        </w:rPr>
        <w:t>más</w:t>
      </w:r>
      <w:r>
        <w:rPr>
          <w:color w:val="231F20"/>
          <w:spacing w:val="-11"/>
          <w:w w:val="105"/>
        </w:rPr>
        <w:t> </w:t>
      </w:r>
      <w:r>
        <w:rPr>
          <w:color w:val="231F20"/>
          <w:w w:val="105"/>
        </w:rPr>
        <w:t>hete- rogéneo.</w:t>
      </w:r>
      <w:r>
        <w:rPr>
          <w:color w:val="231F20"/>
          <w:spacing w:val="-11"/>
          <w:w w:val="105"/>
        </w:rPr>
        <w:t> </w:t>
      </w:r>
      <w:r>
        <w:rPr>
          <w:color w:val="231F20"/>
          <w:w w:val="105"/>
        </w:rPr>
        <w:t>Si</w:t>
      </w:r>
      <w:r>
        <w:rPr>
          <w:color w:val="231F20"/>
          <w:spacing w:val="-4"/>
          <w:w w:val="105"/>
        </w:rPr>
        <w:t> </w:t>
      </w:r>
      <w:r>
        <w:rPr>
          <w:color w:val="231F20"/>
          <w:w w:val="105"/>
        </w:rPr>
        <w:t>bien,</w:t>
      </w:r>
      <w:r>
        <w:rPr>
          <w:color w:val="231F20"/>
          <w:spacing w:val="-11"/>
          <w:w w:val="105"/>
        </w:rPr>
        <w:t> </w:t>
      </w:r>
      <w:r>
        <w:rPr>
          <w:color w:val="231F20"/>
          <w:w w:val="105"/>
        </w:rPr>
        <w:t>en</w:t>
      </w:r>
      <w:r>
        <w:rPr>
          <w:color w:val="231F20"/>
          <w:spacing w:val="-4"/>
          <w:w w:val="105"/>
        </w:rPr>
        <w:t> </w:t>
      </w:r>
      <w:r>
        <w:rPr>
          <w:color w:val="231F20"/>
          <w:w w:val="105"/>
        </w:rPr>
        <w:t>un</w:t>
      </w:r>
      <w:r>
        <w:rPr>
          <w:color w:val="231F20"/>
          <w:spacing w:val="-4"/>
          <w:w w:val="105"/>
        </w:rPr>
        <w:t> </w:t>
      </w:r>
      <w:r>
        <w:rPr>
          <w:color w:val="231F20"/>
          <w:w w:val="105"/>
        </w:rPr>
        <w:t>principio</w:t>
      </w:r>
      <w:r>
        <w:rPr>
          <w:color w:val="231F20"/>
          <w:spacing w:val="-4"/>
          <w:w w:val="105"/>
        </w:rPr>
        <w:t> </w:t>
      </w:r>
      <w:r>
        <w:rPr>
          <w:color w:val="231F20"/>
          <w:w w:val="105"/>
        </w:rPr>
        <w:t>el</w:t>
      </w:r>
      <w:r>
        <w:rPr>
          <w:color w:val="231F20"/>
          <w:spacing w:val="-4"/>
          <w:w w:val="105"/>
        </w:rPr>
        <w:t> </w:t>
      </w:r>
      <w:r>
        <w:rPr>
          <w:color w:val="231F20"/>
          <w:w w:val="105"/>
        </w:rPr>
        <w:t>flujo</w:t>
      </w:r>
      <w:r>
        <w:rPr>
          <w:color w:val="231F20"/>
          <w:spacing w:val="-4"/>
          <w:w w:val="105"/>
        </w:rPr>
        <w:t> </w:t>
      </w:r>
      <w:r>
        <w:rPr>
          <w:color w:val="231F20"/>
          <w:w w:val="105"/>
        </w:rPr>
        <w:t>se</w:t>
      </w:r>
      <w:r>
        <w:rPr>
          <w:color w:val="231F20"/>
          <w:spacing w:val="-4"/>
          <w:w w:val="105"/>
        </w:rPr>
        <w:t> </w:t>
      </w:r>
      <w:r>
        <w:rPr>
          <w:color w:val="231F20"/>
          <w:w w:val="105"/>
        </w:rPr>
        <w:t>componía</w:t>
      </w:r>
      <w:r>
        <w:rPr>
          <w:color w:val="231F20"/>
          <w:spacing w:val="-4"/>
          <w:w w:val="105"/>
        </w:rPr>
        <w:t> </w:t>
      </w:r>
      <w:r>
        <w:rPr>
          <w:color w:val="231F20"/>
          <w:w w:val="105"/>
        </w:rPr>
        <w:t>principalmente</w:t>
      </w:r>
      <w:r>
        <w:rPr>
          <w:color w:val="231F20"/>
          <w:spacing w:val="-4"/>
          <w:w w:val="105"/>
        </w:rPr>
        <w:t> </w:t>
      </w:r>
      <w:r>
        <w:rPr>
          <w:color w:val="231F20"/>
          <w:w w:val="105"/>
        </w:rPr>
        <w:t>de hombres que buscaban trabajo en el sector primario y secundario,</w:t>
      </w:r>
      <w:r>
        <w:rPr>
          <w:color w:val="231F20"/>
          <w:spacing w:val="-33"/>
          <w:w w:val="105"/>
        </w:rPr>
        <w:t> </w:t>
      </w:r>
      <w:r>
        <w:rPr>
          <w:color w:val="231F20"/>
          <w:w w:val="105"/>
        </w:rPr>
        <w:t>des- pués de mujeres que los acompañaban, la creación y el</w:t>
      </w:r>
      <w:r>
        <w:rPr>
          <w:color w:val="231F20"/>
          <w:spacing w:val="-19"/>
          <w:w w:val="105"/>
        </w:rPr>
        <w:t> </w:t>
      </w:r>
      <w:r>
        <w:rPr>
          <w:color w:val="231F20"/>
          <w:w w:val="105"/>
        </w:rPr>
        <w:t>fortalecimiento de</w:t>
      </w:r>
      <w:r>
        <w:rPr>
          <w:color w:val="231F20"/>
          <w:spacing w:val="-22"/>
          <w:w w:val="105"/>
        </w:rPr>
        <w:t> </w:t>
      </w:r>
      <w:r>
        <w:rPr>
          <w:color w:val="231F20"/>
          <w:w w:val="105"/>
        </w:rPr>
        <w:t>redes</w:t>
      </w:r>
      <w:r>
        <w:rPr>
          <w:color w:val="231F20"/>
          <w:spacing w:val="-22"/>
          <w:w w:val="105"/>
        </w:rPr>
        <w:t> </w:t>
      </w:r>
      <w:r>
        <w:rPr>
          <w:color w:val="231F20"/>
          <w:w w:val="105"/>
        </w:rPr>
        <w:t>migratorias</w:t>
      </w:r>
      <w:r>
        <w:rPr>
          <w:color w:val="231F20"/>
          <w:spacing w:val="-22"/>
          <w:w w:val="105"/>
        </w:rPr>
        <w:t> </w:t>
      </w:r>
      <w:r>
        <w:rPr>
          <w:color w:val="231F20"/>
          <w:w w:val="105"/>
        </w:rPr>
        <w:t>(formales</w:t>
      </w:r>
      <w:r>
        <w:rPr>
          <w:color w:val="231F20"/>
          <w:spacing w:val="-22"/>
          <w:w w:val="105"/>
        </w:rPr>
        <w:t> </w:t>
      </w:r>
      <w:r>
        <w:rPr>
          <w:color w:val="231F20"/>
          <w:w w:val="105"/>
        </w:rPr>
        <w:t>e</w:t>
      </w:r>
      <w:r>
        <w:rPr>
          <w:color w:val="231F20"/>
          <w:spacing w:val="-22"/>
          <w:w w:val="105"/>
        </w:rPr>
        <w:t> </w:t>
      </w:r>
      <w:r>
        <w:rPr>
          <w:color w:val="231F20"/>
          <w:w w:val="105"/>
        </w:rPr>
        <w:t>informales)</w:t>
      </w:r>
      <w:r>
        <w:rPr>
          <w:color w:val="231F20"/>
          <w:spacing w:val="-22"/>
          <w:w w:val="105"/>
        </w:rPr>
        <w:t> </w:t>
      </w:r>
      <w:r>
        <w:rPr>
          <w:color w:val="231F20"/>
          <w:w w:val="105"/>
        </w:rPr>
        <w:t>que</w:t>
      </w:r>
      <w:r>
        <w:rPr>
          <w:color w:val="231F20"/>
          <w:spacing w:val="-22"/>
          <w:w w:val="105"/>
        </w:rPr>
        <w:t> </w:t>
      </w:r>
      <w:r>
        <w:rPr>
          <w:color w:val="231F20"/>
          <w:w w:val="105"/>
        </w:rPr>
        <w:t>proporcionaban</w:t>
      </w:r>
      <w:r>
        <w:rPr>
          <w:color w:val="231F20"/>
          <w:spacing w:val="-22"/>
          <w:w w:val="105"/>
        </w:rPr>
        <w:t> </w:t>
      </w:r>
      <w:r>
        <w:rPr>
          <w:color w:val="231F20"/>
          <w:w w:val="105"/>
        </w:rPr>
        <w:t>valiosa información</w:t>
      </w:r>
      <w:r>
        <w:rPr>
          <w:color w:val="231F20"/>
          <w:spacing w:val="-7"/>
          <w:w w:val="105"/>
        </w:rPr>
        <w:t> </w:t>
      </w:r>
      <w:r>
        <w:rPr>
          <w:color w:val="231F20"/>
          <w:w w:val="105"/>
        </w:rPr>
        <w:t>acerca</w:t>
      </w:r>
      <w:r>
        <w:rPr>
          <w:color w:val="231F20"/>
          <w:spacing w:val="-7"/>
          <w:w w:val="105"/>
        </w:rPr>
        <w:t> </w:t>
      </w:r>
      <w:r>
        <w:rPr>
          <w:color w:val="231F20"/>
          <w:w w:val="105"/>
        </w:rPr>
        <w:t>de</w:t>
      </w:r>
      <w:r>
        <w:rPr>
          <w:color w:val="231F20"/>
          <w:spacing w:val="-7"/>
          <w:w w:val="105"/>
        </w:rPr>
        <w:t> </w:t>
      </w:r>
      <w:r>
        <w:rPr>
          <w:color w:val="231F20"/>
          <w:w w:val="105"/>
        </w:rPr>
        <w:t>cómo</w:t>
      </w:r>
      <w:r>
        <w:rPr>
          <w:color w:val="231F20"/>
          <w:spacing w:val="-7"/>
          <w:w w:val="105"/>
        </w:rPr>
        <w:t> </w:t>
      </w:r>
      <w:r>
        <w:rPr>
          <w:color w:val="231F20"/>
          <w:w w:val="105"/>
        </w:rPr>
        <w:t>cruzar</w:t>
      </w:r>
      <w:r>
        <w:rPr>
          <w:color w:val="231F20"/>
          <w:spacing w:val="-7"/>
          <w:w w:val="105"/>
        </w:rPr>
        <w:t> </w:t>
      </w:r>
      <w:r>
        <w:rPr>
          <w:color w:val="231F20"/>
          <w:w w:val="105"/>
        </w:rPr>
        <w:t>la</w:t>
      </w:r>
      <w:r>
        <w:rPr>
          <w:color w:val="231F20"/>
          <w:spacing w:val="-7"/>
          <w:w w:val="105"/>
        </w:rPr>
        <w:t> </w:t>
      </w:r>
      <w:r>
        <w:rPr>
          <w:color w:val="231F20"/>
          <w:w w:val="105"/>
        </w:rPr>
        <w:t>frontera</w:t>
      </w:r>
      <w:r>
        <w:rPr>
          <w:color w:val="231F20"/>
          <w:spacing w:val="-7"/>
          <w:w w:val="105"/>
        </w:rPr>
        <w:t> </w:t>
      </w:r>
      <w:r>
        <w:rPr>
          <w:color w:val="231F20"/>
          <w:w w:val="105"/>
        </w:rPr>
        <w:t>con</w:t>
      </w:r>
      <w:r>
        <w:rPr>
          <w:color w:val="231F20"/>
          <w:spacing w:val="-7"/>
          <w:w w:val="105"/>
        </w:rPr>
        <w:t> </w:t>
      </w:r>
      <w:r>
        <w:rPr>
          <w:color w:val="231F20"/>
          <w:w w:val="105"/>
        </w:rPr>
        <w:t>o</w:t>
      </w:r>
      <w:r>
        <w:rPr>
          <w:color w:val="231F20"/>
          <w:spacing w:val="-7"/>
          <w:w w:val="105"/>
        </w:rPr>
        <w:t> </w:t>
      </w:r>
      <w:r>
        <w:rPr>
          <w:color w:val="231F20"/>
          <w:w w:val="105"/>
        </w:rPr>
        <w:t>sin</w:t>
      </w:r>
      <w:r>
        <w:rPr>
          <w:color w:val="231F20"/>
          <w:spacing w:val="-7"/>
          <w:w w:val="105"/>
        </w:rPr>
        <w:t> </w:t>
      </w:r>
      <w:r>
        <w:rPr>
          <w:color w:val="231F20"/>
          <w:w w:val="105"/>
        </w:rPr>
        <w:t>documentos</w:t>
      </w:r>
      <w:r>
        <w:rPr>
          <w:color w:val="231F20"/>
          <w:spacing w:val="-7"/>
          <w:w w:val="105"/>
        </w:rPr>
        <w:t> </w:t>
      </w:r>
      <w:r>
        <w:rPr>
          <w:color w:val="231F20"/>
          <w:w w:val="105"/>
        </w:rPr>
        <w:t>in- tensificó</w:t>
      </w:r>
      <w:r>
        <w:rPr>
          <w:color w:val="231F20"/>
          <w:spacing w:val="-6"/>
          <w:w w:val="105"/>
        </w:rPr>
        <w:t> </w:t>
      </w:r>
      <w:r>
        <w:rPr>
          <w:color w:val="231F20"/>
          <w:w w:val="105"/>
        </w:rPr>
        <w:t>y</w:t>
      </w:r>
      <w:r>
        <w:rPr>
          <w:color w:val="231F20"/>
          <w:spacing w:val="-6"/>
          <w:w w:val="105"/>
        </w:rPr>
        <w:t> </w:t>
      </w:r>
      <w:r>
        <w:rPr>
          <w:color w:val="231F20"/>
          <w:w w:val="105"/>
        </w:rPr>
        <w:t>diversificó</w:t>
      </w:r>
      <w:r>
        <w:rPr>
          <w:color w:val="231F20"/>
          <w:spacing w:val="-6"/>
          <w:w w:val="105"/>
        </w:rPr>
        <w:t> </w:t>
      </w:r>
      <w:r>
        <w:rPr>
          <w:color w:val="231F20"/>
          <w:w w:val="105"/>
        </w:rPr>
        <w:t>la</w:t>
      </w:r>
      <w:r>
        <w:rPr>
          <w:color w:val="231F20"/>
          <w:spacing w:val="-6"/>
          <w:w w:val="105"/>
        </w:rPr>
        <w:t> </w:t>
      </w:r>
      <w:r>
        <w:rPr>
          <w:color w:val="231F20"/>
          <w:w w:val="105"/>
        </w:rPr>
        <w:t>población</w:t>
      </w:r>
      <w:r>
        <w:rPr>
          <w:color w:val="231F20"/>
          <w:spacing w:val="-6"/>
          <w:w w:val="105"/>
        </w:rPr>
        <w:t> </w:t>
      </w:r>
      <w:r>
        <w:rPr>
          <w:color w:val="231F20"/>
          <w:w w:val="105"/>
        </w:rPr>
        <w:t>migrante.</w:t>
      </w:r>
      <w:r>
        <w:rPr>
          <w:color w:val="231F20"/>
          <w:spacing w:val="-11"/>
          <w:w w:val="105"/>
        </w:rPr>
        <w:t> </w:t>
      </w:r>
      <w:r>
        <w:rPr>
          <w:color w:val="231F20"/>
          <w:w w:val="105"/>
        </w:rPr>
        <w:t>En</w:t>
      </w:r>
      <w:r>
        <w:rPr>
          <w:color w:val="231F20"/>
          <w:spacing w:val="-6"/>
          <w:w w:val="105"/>
        </w:rPr>
        <w:t> </w:t>
      </w:r>
      <w:r>
        <w:rPr>
          <w:color w:val="231F20"/>
          <w:w w:val="105"/>
        </w:rPr>
        <w:t>particular</w:t>
      </w:r>
      <w:r>
        <w:rPr>
          <w:color w:val="231F20"/>
          <w:spacing w:val="-6"/>
          <w:w w:val="105"/>
        </w:rPr>
        <w:t> </w:t>
      </w:r>
      <w:r>
        <w:rPr>
          <w:color w:val="231F20"/>
          <w:w w:val="105"/>
        </w:rPr>
        <w:t>se</w:t>
      </w:r>
      <w:r>
        <w:rPr>
          <w:color w:val="231F20"/>
          <w:spacing w:val="-6"/>
          <w:w w:val="105"/>
        </w:rPr>
        <w:t> </w:t>
      </w:r>
      <w:r>
        <w:rPr>
          <w:color w:val="231F20"/>
          <w:w w:val="105"/>
        </w:rPr>
        <w:t>observa</w:t>
      </w:r>
      <w:r>
        <w:rPr>
          <w:color w:val="231F20"/>
          <w:spacing w:val="-6"/>
          <w:w w:val="105"/>
        </w:rPr>
        <w:t> </w:t>
      </w:r>
      <w:r>
        <w:rPr>
          <w:color w:val="231F20"/>
          <w:w w:val="105"/>
        </w:rPr>
        <w:t>un incremento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proporción</w:t>
      </w:r>
      <w:r>
        <w:rPr>
          <w:color w:val="231F20"/>
          <w:spacing w:val="-7"/>
          <w:w w:val="105"/>
        </w:rPr>
        <w:t> </w:t>
      </w:r>
      <w:r>
        <w:rPr>
          <w:color w:val="231F20"/>
          <w:w w:val="105"/>
        </w:rPr>
        <w:t>de</w:t>
      </w:r>
      <w:r>
        <w:rPr>
          <w:color w:val="231F20"/>
          <w:spacing w:val="-7"/>
          <w:w w:val="105"/>
        </w:rPr>
        <w:t> </w:t>
      </w:r>
      <w:r>
        <w:rPr>
          <w:color w:val="231F20"/>
          <w:w w:val="105"/>
        </w:rPr>
        <w:t>mujeres</w:t>
      </w:r>
      <w:r>
        <w:rPr>
          <w:color w:val="231F20"/>
          <w:spacing w:val="-7"/>
          <w:w w:val="105"/>
        </w:rPr>
        <w:t> </w:t>
      </w:r>
      <w:r>
        <w:rPr>
          <w:color w:val="231F20"/>
          <w:w w:val="105"/>
        </w:rPr>
        <w:t>de</w:t>
      </w:r>
      <w:r>
        <w:rPr>
          <w:color w:val="231F20"/>
          <w:spacing w:val="-7"/>
          <w:w w:val="105"/>
        </w:rPr>
        <w:t> </w:t>
      </w:r>
      <w:r>
        <w:rPr>
          <w:color w:val="231F20"/>
          <w:w w:val="105"/>
        </w:rPr>
        <w:t>nacionalidad</w:t>
      </w:r>
      <w:r>
        <w:rPr>
          <w:color w:val="231F20"/>
          <w:spacing w:val="-7"/>
          <w:w w:val="105"/>
        </w:rPr>
        <w:t> </w:t>
      </w:r>
      <w:r>
        <w:rPr>
          <w:color w:val="231F20"/>
          <w:w w:val="105"/>
        </w:rPr>
        <w:t>mexicana</w:t>
      </w:r>
      <w:r>
        <w:rPr>
          <w:color w:val="231F20"/>
          <w:spacing w:val="-7"/>
          <w:w w:val="105"/>
        </w:rPr>
        <w:t> </w:t>
      </w:r>
      <w:r>
        <w:rPr>
          <w:color w:val="231F20"/>
          <w:w w:val="105"/>
        </w:rPr>
        <w:t>resi- diendo</w:t>
      </w:r>
      <w:r>
        <w:rPr>
          <w:color w:val="231F20"/>
          <w:spacing w:val="-18"/>
          <w:w w:val="105"/>
        </w:rPr>
        <w:t> </w:t>
      </w:r>
      <w:r>
        <w:rPr>
          <w:color w:val="231F20"/>
          <w:w w:val="105"/>
        </w:rPr>
        <w:t>en</w:t>
      </w:r>
      <w:r>
        <w:rPr>
          <w:color w:val="231F20"/>
          <w:spacing w:val="-18"/>
          <w:w w:val="105"/>
        </w:rPr>
        <w:t> </w:t>
      </w:r>
      <w:r>
        <w:rPr>
          <w:color w:val="231F20"/>
          <w:w w:val="105"/>
        </w:rPr>
        <w:t>Estados</w:t>
      </w:r>
      <w:r>
        <w:rPr>
          <w:color w:val="231F20"/>
          <w:spacing w:val="-18"/>
          <w:w w:val="105"/>
        </w:rPr>
        <w:t> </w:t>
      </w:r>
      <w:r>
        <w:rPr>
          <w:color w:val="231F20"/>
          <w:w w:val="105"/>
        </w:rPr>
        <w:t>Unidos.</w:t>
      </w:r>
      <w:r>
        <w:rPr>
          <w:color w:val="231F20"/>
          <w:spacing w:val="-23"/>
          <w:w w:val="105"/>
        </w:rPr>
        <w:t> </w:t>
      </w:r>
      <w:r>
        <w:rPr>
          <w:color w:val="231F20"/>
          <w:w w:val="105"/>
        </w:rPr>
        <w:t>De</w:t>
      </w:r>
      <w:r>
        <w:rPr>
          <w:color w:val="231F20"/>
          <w:spacing w:val="-18"/>
          <w:w w:val="105"/>
        </w:rPr>
        <w:t> </w:t>
      </w:r>
      <w:r>
        <w:rPr>
          <w:color w:val="231F20"/>
          <w:w w:val="105"/>
        </w:rPr>
        <w:t>acuerdo</w:t>
      </w:r>
      <w:r>
        <w:rPr>
          <w:color w:val="231F20"/>
          <w:spacing w:val="-18"/>
          <w:w w:val="105"/>
        </w:rPr>
        <w:t> </w:t>
      </w:r>
      <w:r>
        <w:rPr>
          <w:color w:val="231F20"/>
          <w:w w:val="105"/>
        </w:rPr>
        <w:t>con</w:t>
      </w:r>
      <w:r>
        <w:rPr>
          <w:color w:val="231F20"/>
          <w:spacing w:val="-18"/>
          <w:w w:val="105"/>
        </w:rPr>
        <w:t> </w:t>
      </w:r>
      <w:r>
        <w:rPr>
          <w:color w:val="231F20"/>
          <w:w w:val="105"/>
        </w:rPr>
        <w:t>Zhou</w:t>
      </w:r>
      <w:r>
        <w:rPr>
          <w:color w:val="231F20"/>
          <w:spacing w:val="-18"/>
          <w:w w:val="105"/>
        </w:rPr>
        <w:t> </w:t>
      </w:r>
      <w:r>
        <w:rPr>
          <w:color w:val="231F20"/>
          <w:w w:val="105"/>
        </w:rPr>
        <w:t>(2002)</w:t>
      </w:r>
      <w:r>
        <w:rPr>
          <w:color w:val="231F20"/>
          <w:spacing w:val="-18"/>
          <w:w w:val="105"/>
        </w:rPr>
        <w:t> </w:t>
      </w:r>
      <w:r>
        <w:rPr>
          <w:color w:val="231F20"/>
          <w:w w:val="105"/>
        </w:rPr>
        <w:t>dicha</w:t>
      </w:r>
      <w:r>
        <w:rPr>
          <w:color w:val="231F20"/>
          <w:spacing w:val="-18"/>
          <w:w w:val="105"/>
        </w:rPr>
        <w:t> </w:t>
      </w:r>
      <w:r>
        <w:rPr>
          <w:color w:val="231F20"/>
          <w:w w:val="105"/>
        </w:rPr>
        <w:t>población aumentó</w:t>
      </w:r>
      <w:r>
        <w:rPr>
          <w:color w:val="231F20"/>
          <w:spacing w:val="-15"/>
          <w:w w:val="105"/>
        </w:rPr>
        <w:t> </w:t>
      </w:r>
      <w:r>
        <w:rPr>
          <w:color w:val="231F20"/>
          <w:w w:val="105"/>
        </w:rPr>
        <w:t>de</w:t>
      </w:r>
      <w:r>
        <w:rPr>
          <w:color w:val="231F20"/>
          <w:spacing w:val="-15"/>
          <w:w w:val="105"/>
        </w:rPr>
        <w:t> </w:t>
      </w:r>
      <w:r>
        <w:rPr>
          <w:color w:val="231F20"/>
          <w:w w:val="105"/>
        </w:rPr>
        <w:t>41%</w:t>
      </w:r>
      <w:r>
        <w:rPr>
          <w:color w:val="231F20"/>
          <w:spacing w:val="-15"/>
          <w:w w:val="105"/>
        </w:rPr>
        <w:t> </w:t>
      </w:r>
      <w:r>
        <w:rPr>
          <w:color w:val="231F20"/>
          <w:w w:val="105"/>
        </w:rPr>
        <w:t>en</w:t>
      </w:r>
      <w:r>
        <w:rPr>
          <w:color w:val="231F20"/>
          <w:spacing w:val="-15"/>
          <w:w w:val="105"/>
        </w:rPr>
        <w:t> </w:t>
      </w:r>
      <w:r>
        <w:rPr>
          <w:color w:val="231F20"/>
          <w:w w:val="105"/>
        </w:rPr>
        <w:t>1985</w:t>
      </w:r>
      <w:r>
        <w:rPr>
          <w:color w:val="231F20"/>
          <w:spacing w:val="-15"/>
          <w:w w:val="105"/>
        </w:rPr>
        <w:t> </w:t>
      </w:r>
      <w:r>
        <w:rPr>
          <w:color w:val="231F20"/>
          <w:w w:val="105"/>
        </w:rPr>
        <w:t>a</w:t>
      </w:r>
      <w:r>
        <w:rPr>
          <w:color w:val="231F20"/>
          <w:spacing w:val="-15"/>
          <w:w w:val="105"/>
        </w:rPr>
        <w:t> </w:t>
      </w:r>
      <w:r>
        <w:rPr>
          <w:color w:val="231F20"/>
          <w:w w:val="105"/>
        </w:rPr>
        <w:t>59.5%</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año</w:t>
      </w:r>
      <w:r>
        <w:rPr>
          <w:color w:val="231F20"/>
          <w:spacing w:val="-15"/>
          <w:w w:val="105"/>
        </w:rPr>
        <w:t> </w:t>
      </w:r>
      <w:r>
        <w:rPr>
          <w:color w:val="231F20"/>
          <w:w w:val="105"/>
        </w:rPr>
        <w:t>2000.</w:t>
      </w:r>
    </w:p>
    <w:p>
      <w:pPr>
        <w:pStyle w:val="BodyText"/>
        <w:spacing w:line="264" w:lineRule="auto" w:before="1"/>
        <w:ind w:left="1828" w:right="1730" w:firstLine="567"/>
        <w:jc w:val="both"/>
      </w:pPr>
      <w:r>
        <w:rPr/>
        <w:pict>
          <v:line style="position:absolute;mso-position-horizontal-relative:page;mso-position-vertical-relative:paragraph;z-index:-458416" from="15pt,112.347183pt" to="0pt,112.347183pt" stroked="true" strokeweight=".25pt" strokecolor="#000000">
            <w10:wrap type="none"/>
          </v:line>
        </w:pict>
      </w:r>
      <w:r>
        <w:rPr/>
        <w:pict>
          <v:line style="position:absolute;mso-position-horizontal-relative:page;mso-position-vertical-relative:paragraph;z-index:31792" from="508.890015pt,112.347183pt" to="523.890015pt,112.347183pt" stroked="true" strokeweight=".25pt" strokecolor="#000000">
            <w10:wrap type="none"/>
          </v:line>
        </w:pic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inicios</w:t>
      </w:r>
      <w:r>
        <w:rPr>
          <w:color w:val="231F20"/>
          <w:spacing w:val="-16"/>
          <w:w w:val="105"/>
        </w:rPr>
        <w:t> </w:t>
      </w:r>
      <w:r>
        <w:rPr>
          <w:color w:val="231F20"/>
          <w:w w:val="105"/>
        </w:rPr>
        <w:t>de</w:t>
      </w:r>
      <w:r>
        <w:rPr>
          <w:color w:val="231F20"/>
          <w:spacing w:val="-16"/>
          <w:w w:val="105"/>
        </w:rPr>
        <w:t> </w:t>
      </w:r>
      <w:r>
        <w:rPr>
          <w:color w:val="231F20"/>
          <w:w w:val="105"/>
        </w:rPr>
        <w:t>esta</w:t>
      </w:r>
      <w:r>
        <w:rPr>
          <w:color w:val="231F20"/>
          <w:spacing w:val="-16"/>
          <w:w w:val="105"/>
        </w:rPr>
        <w:t> </w:t>
      </w:r>
      <w:r>
        <w:rPr>
          <w:color w:val="231F20"/>
          <w:w w:val="105"/>
        </w:rPr>
        <w:t>tercera</w:t>
      </w:r>
      <w:r>
        <w:rPr>
          <w:color w:val="231F20"/>
          <w:spacing w:val="-16"/>
          <w:w w:val="105"/>
        </w:rPr>
        <w:t> </w:t>
      </w:r>
      <w:r>
        <w:rPr>
          <w:color w:val="231F20"/>
          <w:w w:val="105"/>
        </w:rPr>
        <w:t>etapa</w:t>
      </w:r>
      <w:r>
        <w:rPr>
          <w:color w:val="231F20"/>
          <w:spacing w:val="-16"/>
          <w:w w:val="105"/>
        </w:rPr>
        <w:t> </w:t>
      </w:r>
      <w:r>
        <w:rPr>
          <w:color w:val="231F20"/>
          <w:w w:val="105"/>
        </w:rPr>
        <w:t>se</w:t>
      </w:r>
      <w:r>
        <w:rPr>
          <w:color w:val="231F20"/>
          <w:spacing w:val="-16"/>
          <w:w w:val="105"/>
        </w:rPr>
        <w:t> </w:t>
      </w:r>
      <w:r>
        <w:rPr>
          <w:color w:val="231F20"/>
          <w:w w:val="105"/>
        </w:rPr>
        <w:t>implementó</w:t>
      </w:r>
      <w:r>
        <w:rPr>
          <w:color w:val="231F20"/>
          <w:spacing w:val="-16"/>
          <w:w w:val="105"/>
        </w:rPr>
        <w:t> </w:t>
      </w:r>
      <w:r>
        <w:rPr>
          <w:color w:val="231F20"/>
          <w:w w:val="105"/>
        </w:rPr>
        <w:t>la</w:t>
      </w:r>
      <w:r>
        <w:rPr>
          <w:color w:val="231F20"/>
          <w:spacing w:val="-16"/>
          <w:w w:val="105"/>
        </w:rPr>
        <w:t> </w:t>
      </w:r>
      <w:r>
        <w:rPr>
          <w:color w:val="231F20"/>
          <w:w w:val="105"/>
        </w:rPr>
        <w:t>Ley</w:t>
      </w:r>
      <w:r>
        <w:rPr>
          <w:color w:val="231F20"/>
          <w:spacing w:val="-16"/>
          <w:w w:val="105"/>
        </w:rPr>
        <w:t> </w:t>
      </w:r>
      <w:r>
        <w:rPr>
          <w:color w:val="231F20"/>
          <w:w w:val="105"/>
        </w:rPr>
        <w:t>de</w:t>
      </w:r>
      <w:r>
        <w:rPr>
          <w:color w:val="231F20"/>
          <w:spacing w:val="-16"/>
          <w:w w:val="105"/>
        </w:rPr>
        <w:t> </w:t>
      </w:r>
      <w:r>
        <w:rPr>
          <w:color w:val="231F20"/>
          <w:w w:val="105"/>
        </w:rPr>
        <w:t>Refor- ma</w:t>
      </w:r>
      <w:r>
        <w:rPr>
          <w:color w:val="231F20"/>
          <w:spacing w:val="-6"/>
          <w:w w:val="105"/>
        </w:rPr>
        <w:t> </w:t>
      </w:r>
      <w:r>
        <w:rPr>
          <w:color w:val="231F20"/>
          <w:w w:val="105"/>
        </w:rPr>
        <w:t>y</w:t>
      </w:r>
      <w:r>
        <w:rPr>
          <w:color w:val="231F20"/>
          <w:spacing w:val="-6"/>
          <w:w w:val="105"/>
        </w:rPr>
        <w:t> </w:t>
      </w:r>
      <w:r>
        <w:rPr>
          <w:color w:val="231F20"/>
          <w:w w:val="105"/>
        </w:rPr>
        <w:t>Control</w:t>
      </w:r>
      <w:r>
        <w:rPr>
          <w:color w:val="231F20"/>
          <w:spacing w:val="-6"/>
          <w:w w:val="105"/>
        </w:rPr>
        <w:t> </w:t>
      </w:r>
      <w:r>
        <w:rPr>
          <w:color w:val="231F20"/>
          <w:w w:val="105"/>
        </w:rPr>
        <w:t>de</w:t>
      </w:r>
      <w:r>
        <w:rPr>
          <w:color w:val="231F20"/>
          <w:spacing w:val="-6"/>
          <w:w w:val="105"/>
        </w:rPr>
        <w:t> </w:t>
      </w:r>
      <w:r>
        <w:rPr>
          <w:color w:val="231F20"/>
          <w:w w:val="105"/>
        </w:rPr>
        <w:t>Inmigración</w:t>
      </w:r>
      <w:r>
        <w:rPr>
          <w:color w:val="231F20"/>
          <w:spacing w:val="-6"/>
          <w:w w:val="105"/>
        </w:rPr>
        <w:t> </w:t>
      </w:r>
      <w:r>
        <w:rPr>
          <w:color w:val="231F20"/>
          <w:w w:val="105"/>
        </w:rPr>
        <w:t>(</w:t>
      </w:r>
      <w:r>
        <w:rPr>
          <w:color w:val="231F20"/>
          <w:w w:val="105"/>
          <w:sz w:val="17"/>
        </w:rPr>
        <w:t>IRCA</w:t>
      </w:r>
      <w:r>
        <w:rPr>
          <w:color w:val="231F20"/>
          <w:spacing w:val="5"/>
          <w:w w:val="105"/>
          <w:sz w:val="17"/>
        </w:rPr>
        <w:t> </w:t>
      </w:r>
      <w:r>
        <w:rPr>
          <w:color w:val="231F20"/>
          <w:w w:val="105"/>
        </w:rPr>
        <w:t>por</w:t>
      </w:r>
      <w:r>
        <w:rPr>
          <w:color w:val="231F20"/>
          <w:spacing w:val="-6"/>
          <w:w w:val="105"/>
        </w:rPr>
        <w:t> </w:t>
      </w:r>
      <w:r>
        <w:rPr>
          <w:color w:val="231F20"/>
          <w:w w:val="105"/>
        </w:rPr>
        <w:t>sus</w:t>
      </w:r>
      <w:r>
        <w:rPr>
          <w:color w:val="231F20"/>
          <w:spacing w:val="-6"/>
          <w:w w:val="105"/>
        </w:rPr>
        <w:t> </w:t>
      </w:r>
      <w:r>
        <w:rPr>
          <w:color w:val="231F20"/>
          <w:w w:val="105"/>
        </w:rPr>
        <w:t>siglas</w:t>
      </w:r>
      <w:r>
        <w:rPr>
          <w:color w:val="231F20"/>
          <w:spacing w:val="-6"/>
          <w:w w:val="105"/>
        </w:rPr>
        <w:t> </w:t>
      </w:r>
      <w:r>
        <w:rPr>
          <w:color w:val="231F20"/>
          <w:w w:val="105"/>
        </w:rPr>
        <w:t>en</w:t>
      </w:r>
      <w:r>
        <w:rPr>
          <w:color w:val="231F20"/>
          <w:spacing w:val="-6"/>
          <w:w w:val="105"/>
        </w:rPr>
        <w:t> </w:t>
      </w:r>
      <w:r>
        <w:rPr>
          <w:color w:val="231F20"/>
          <w:w w:val="105"/>
        </w:rPr>
        <w:t>inglés)</w:t>
      </w:r>
      <w:r>
        <w:rPr>
          <w:color w:val="231F20"/>
          <w:spacing w:val="-6"/>
          <w:w w:val="105"/>
        </w:rPr>
        <w:t> </w:t>
      </w:r>
      <w:r>
        <w:rPr>
          <w:color w:val="231F20"/>
          <w:w w:val="105"/>
        </w:rPr>
        <w:t>en</w:t>
      </w:r>
      <w:r>
        <w:rPr>
          <w:color w:val="231F20"/>
          <w:spacing w:val="-6"/>
          <w:w w:val="105"/>
        </w:rPr>
        <w:t> </w:t>
      </w:r>
      <w:r>
        <w:rPr>
          <w:color w:val="231F20"/>
          <w:w w:val="105"/>
        </w:rPr>
        <w:t>1986.</w:t>
      </w:r>
      <w:r>
        <w:rPr>
          <w:color w:val="231F20"/>
          <w:spacing w:val="-12"/>
          <w:w w:val="105"/>
        </w:rPr>
        <w:t> </w:t>
      </w:r>
      <w:r>
        <w:rPr>
          <w:color w:val="231F20"/>
          <w:w w:val="105"/>
        </w:rPr>
        <w:t>Di- cha ley promovía sanciones a los empleadores para restringir la   </w:t>
      </w:r>
      <w:r>
        <w:rPr>
          <w:color w:val="231F20"/>
          <w:spacing w:val="18"/>
          <w:w w:val="105"/>
        </w:rPr>
        <w:t> </w:t>
      </w:r>
      <w:r>
        <w:rPr>
          <w:color w:val="231F20"/>
          <w:w w:val="105"/>
        </w:rPr>
        <w:t>con-</w:t>
      </w:r>
    </w:p>
    <w:p>
      <w:pPr>
        <w:spacing w:after="0" w:line="264"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3"/>
        <w:jc w:val="both"/>
      </w:pPr>
      <w:r>
        <w:rPr/>
        <w:pict>
          <v:line style="position:absolute;mso-position-horizontal-relative:page;mso-position-vertical-relative:paragraph;z-index:31864" from="15pt,-71.68644pt" to="0pt,-71.68644pt" stroked="true" strokeweight=".25pt" strokecolor="#000000">
            <w10:wrap type="none"/>
          </v:line>
        </w:pict>
      </w:r>
      <w:r>
        <w:rPr/>
        <w:pict>
          <v:line style="position:absolute;mso-position-horizontal-relative:page;mso-position-vertical-relative:paragraph;z-index:31888" from="508.890015pt,-71.68644pt" to="523.890015pt,-71.68644pt" stroked="true" strokeweight=".25pt" strokecolor="#000000">
            <w10:wrap type="none"/>
          </v:line>
        </w:pict>
      </w:r>
      <w:r>
        <w:rPr>
          <w:color w:val="231F20"/>
          <w:w w:val="105"/>
        </w:rPr>
        <w:t>tratación</w:t>
      </w:r>
      <w:r>
        <w:rPr>
          <w:color w:val="231F20"/>
          <w:spacing w:val="-11"/>
          <w:w w:val="105"/>
        </w:rPr>
        <w:t> </w:t>
      </w:r>
      <w:r>
        <w:rPr>
          <w:color w:val="231F20"/>
          <w:w w:val="105"/>
        </w:rPr>
        <w:t>de</w:t>
      </w:r>
      <w:r>
        <w:rPr>
          <w:color w:val="231F20"/>
          <w:spacing w:val="-11"/>
          <w:w w:val="105"/>
        </w:rPr>
        <w:t> </w:t>
      </w:r>
      <w:r>
        <w:rPr>
          <w:color w:val="231F20"/>
          <w:w w:val="105"/>
        </w:rPr>
        <w:t>migrantes</w:t>
      </w:r>
      <w:r>
        <w:rPr>
          <w:color w:val="231F20"/>
          <w:spacing w:val="-11"/>
          <w:w w:val="105"/>
        </w:rPr>
        <w:t> </w:t>
      </w:r>
      <w:r>
        <w:rPr>
          <w:color w:val="231F20"/>
          <w:w w:val="105"/>
        </w:rPr>
        <w:t>no</w:t>
      </w:r>
      <w:r>
        <w:rPr>
          <w:color w:val="231F20"/>
          <w:spacing w:val="-11"/>
          <w:w w:val="105"/>
        </w:rPr>
        <w:t> </w:t>
      </w:r>
      <w:r>
        <w:rPr>
          <w:color w:val="231F20"/>
          <w:w w:val="105"/>
        </w:rPr>
        <w:t>documentados</w:t>
      </w:r>
      <w:r>
        <w:rPr>
          <w:color w:val="231F20"/>
          <w:spacing w:val="-11"/>
          <w:w w:val="105"/>
        </w:rPr>
        <w:t> </w:t>
      </w:r>
      <w:r>
        <w:rPr>
          <w:color w:val="231F20"/>
          <w:w w:val="105"/>
        </w:rPr>
        <w:t>y</w:t>
      </w:r>
      <w:r>
        <w:rPr>
          <w:color w:val="231F20"/>
          <w:spacing w:val="-11"/>
          <w:w w:val="105"/>
        </w:rPr>
        <w:t> </w:t>
      </w:r>
      <w:r>
        <w:rPr>
          <w:color w:val="231F20"/>
          <w:w w:val="105"/>
        </w:rPr>
        <w:t>se</w:t>
      </w:r>
      <w:r>
        <w:rPr>
          <w:color w:val="231F20"/>
          <w:spacing w:val="-11"/>
          <w:w w:val="105"/>
        </w:rPr>
        <w:t> </w:t>
      </w:r>
      <w:r>
        <w:rPr>
          <w:color w:val="231F20"/>
          <w:w w:val="105"/>
        </w:rPr>
        <w:t>puso</w:t>
      </w:r>
      <w:r>
        <w:rPr>
          <w:color w:val="231F20"/>
          <w:spacing w:val="-11"/>
          <w:w w:val="105"/>
        </w:rPr>
        <w:t> </w:t>
      </w:r>
      <w:r>
        <w:rPr>
          <w:color w:val="231F20"/>
          <w:w w:val="105"/>
        </w:rPr>
        <w:t>en</w:t>
      </w:r>
      <w:r>
        <w:rPr>
          <w:color w:val="231F20"/>
          <w:spacing w:val="-11"/>
          <w:w w:val="105"/>
        </w:rPr>
        <w:t> </w:t>
      </w:r>
      <w:r>
        <w:rPr>
          <w:color w:val="231F20"/>
          <w:w w:val="105"/>
        </w:rPr>
        <w:t>marcha</w:t>
      </w:r>
      <w:r>
        <w:rPr>
          <w:color w:val="231F20"/>
          <w:spacing w:val="-11"/>
          <w:w w:val="105"/>
        </w:rPr>
        <w:t> </w:t>
      </w:r>
      <w:r>
        <w:rPr>
          <w:color w:val="231F20"/>
          <w:w w:val="105"/>
        </w:rPr>
        <w:t>al</w:t>
      </w:r>
      <w:r>
        <w:rPr>
          <w:color w:val="231F20"/>
          <w:spacing w:val="-11"/>
          <w:w w:val="105"/>
        </w:rPr>
        <w:t> </w:t>
      </w:r>
      <w:r>
        <w:rPr>
          <w:color w:val="231F20"/>
          <w:w w:val="105"/>
        </w:rPr>
        <w:t>mismo tiempo</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dio</w:t>
      </w:r>
      <w:r>
        <w:rPr>
          <w:color w:val="231F20"/>
          <w:spacing w:val="-12"/>
          <w:w w:val="105"/>
        </w:rPr>
        <w:t> </w:t>
      </w:r>
      <w:r>
        <w:rPr>
          <w:color w:val="231F20"/>
          <w:w w:val="105"/>
        </w:rPr>
        <w:t>un</w:t>
      </w:r>
      <w:r>
        <w:rPr>
          <w:color w:val="231F20"/>
          <w:spacing w:val="-12"/>
          <w:w w:val="105"/>
        </w:rPr>
        <w:t> </w:t>
      </w:r>
      <w:r>
        <w:rPr>
          <w:color w:val="231F20"/>
          <w:w w:val="105"/>
        </w:rPr>
        <w:t>aumento</w:t>
      </w:r>
      <w:r>
        <w:rPr>
          <w:color w:val="231F20"/>
          <w:spacing w:val="-12"/>
          <w:w w:val="105"/>
        </w:rPr>
        <w:t> </w:t>
      </w:r>
      <w:r>
        <w:rPr>
          <w:color w:val="231F20"/>
          <w:w w:val="105"/>
        </w:rPr>
        <w:t>de</w:t>
      </w:r>
      <w:r>
        <w:rPr>
          <w:color w:val="231F20"/>
          <w:spacing w:val="-12"/>
          <w:w w:val="105"/>
        </w:rPr>
        <w:t> </w:t>
      </w:r>
      <w:r>
        <w:rPr>
          <w:color w:val="231F20"/>
          <w:w w:val="105"/>
        </w:rPr>
        <w:t>vigilancia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cruce</w:t>
      </w:r>
      <w:r>
        <w:rPr>
          <w:color w:val="231F20"/>
          <w:spacing w:val="-12"/>
          <w:w w:val="105"/>
        </w:rPr>
        <w:t> </w:t>
      </w:r>
      <w:r>
        <w:rPr>
          <w:color w:val="231F20"/>
          <w:w w:val="105"/>
        </w:rPr>
        <w:t>fronterizo.</w:t>
      </w:r>
      <w:r>
        <w:rPr>
          <w:color w:val="231F20"/>
          <w:spacing w:val="-19"/>
          <w:w w:val="105"/>
        </w:rPr>
        <w:t> </w:t>
      </w:r>
      <w:r>
        <w:rPr>
          <w:color w:val="231F20"/>
          <w:w w:val="105"/>
        </w:rPr>
        <w:t>Como resultado, más que disminuir el flujo de migrantes, se redujo la circu- laridad con la que estos se conducían, por lo cual muchos de los que antes</w:t>
      </w:r>
      <w:r>
        <w:rPr>
          <w:color w:val="231F20"/>
          <w:spacing w:val="-6"/>
          <w:w w:val="105"/>
        </w:rPr>
        <w:t> </w:t>
      </w:r>
      <w:r>
        <w:rPr>
          <w:color w:val="231F20"/>
          <w:w w:val="105"/>
        </w:rPr>
        <w:t>permanecían</w:t>
      </w:r>
      <w:r>
        <w:rPr>
          <w:color w:val="231F20"/>
          <w:spacing w:val="-6"/>
          <w:w w:val="105"/>
        </w:rPr>
        <w:t> </w:t>
      </w:r>
      <w:r>
        <w:rPr>
          <w:color w:val="231F20"/>
          <w:w w:val="105"/>
        </w:rPr>
        <w:t>solamente</w:t>
      </w:r>
      <w:r>
        <w:rPr>
          <w:color w:val="231F20"/>
          <w:spacing w:val="-6"/>
          <w:w w:val="105"/>
        </w:rPr>
        <w:t> </w:t>
      </w:r>
      <w:r>
        <w:rPr>
          <w:color w:val="231F20"/>
          <w:w w:val="105"/>
        </w:rPr>
        <w:t>por</w:t>
      </w:r>
      <w:r>
        <w:rPr>
          <w:color w:val="231F20"/>
          <w:spacing w:val="-6"/>
          <w:w w:val="105"/>
        </w:rPr>
        <w:t> </w:t>
      </w:r>
      <w:r>
        <w:rPr>
          <w:color w:val="231F20"/>
          <w:w w:val="105"/>
        </w:rPr>
        <w:t>temporadas</w:t>
      </w:r>
      <w:r>
        <w:rPr>
          <w:color w:val="231F20"/>
          <w:spacing w:val="-6"/>
          <w:w w:val="105"/>
        </w:rPr>
        <w:t> </w:t>
      </w:r>
      <w:r>
        <w:rPr>
          <w:color w:val="231F20"/>
          <w:w w:val="105"/>
        </w:rPr>
        <w:t>en</w:t>
      </w:r>
      <w:r>
        <w:rPr>
          <w:color w:val="231F20"/>
          <w:spacing w:val="-6"/>
          <w:w w:val="105"/>
        </w:rPr>
        <w:t> </w:t>
      </w:r>
      <w:r>
        <w:rPr>
          <w:color w:val="231F20"/>
          <w:w w:val="105"/>
        </w:rPr>
        <w:t>Estados</w:t>
      </w:r>
      <w:r>
        <w:rPr>
          <w:color w:val="231F20"/>
          <w:spacing w:val="-6"/>
          <w:w w:val="105"/>
        </w:rPr>
        <w:t> </w:t>
      </w:r>
      <w:r>
        <w:rPr>
          <w:color w:val="231F20"/>
          <w:w w:val="105"/>
        </w:rPr>
        <w:t>Unidos</w:t>
      </w:r>
      <w:r>
        <w:rPr>
          <w:color w:val="231F20"/>
          <w:spacing w:val="-6"/>
          <w:w w:val="105"/>
        </w:rPr>
        <w:t> </w:t>
      </w:r>
      <w:r>
        <w:rPr>
          <w:color w:val="231F20"/>
          <w:w w:val="105"/>
        </w:rPr>
        <w:t>para después regresar a México, se instalaron permanentemente en dicho país por el alza en los costos y riesgos de cruzar la frontera. Aunado a lo</w:t>
      </w:r>
      <w:r>
        <w:rPr>
          <w:color w:val="231F20"/>
          <w:spacing w:val="-16"/>
          <w:w w:val="105"/>
        </w:rPr>
        <w:t> </w:t>
      </w:r>
      <w:r>
        <w:rPr>
          <w:color w:val="231F20"/>
          <w:w w:val="105"/>
        </w:rPr>
        <w:t>anterior,</w:t>
      </w:r>
      <w:r>
        <w:rPr>
          <w:color w:val="231F20"/>
          <w:spacing w:val="-20"/>
          <w:w w:val="105"/>
        </w:rPr>
        <w:t> </w:t>
      </w:r>
      <w:r>
        <w:rPr>
          <w:color w:val="231F20"/>
          <w:w w:val="105"/>
        </w:rPr>
        <w:t>reformas</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leyes</w:t>
      </w:r>
      <w:r>
        <w:rPr>
          <w:color w:val="231F20"/>
          <w:spacing w:val="-16"/>
          <w:w w:val="105"/>
        </w:rPr>
        <w:t> </w:t>
      </w:r>
      <w:r>
        <w:rPr>
          <w:color w:val="231F20"/>
          <w:w w:val="105"/>
        </w:rPr>
        <w:t>migratorias</w:t>
      </w:r>
      <w:r>
        <w:rPr>
          <w:color w:val="231F20"/>
          <w:spacing w:val="-16"/>
          <w:w w:val="105"/>
        </w:rPr>
        <w:t> </w:t>
      </w:r>
      <w:r>
        <w:rPr>
          <w:color w:val="231F20"/>
          <w:w w:val="105"/>
        </w:rPr>
        <w:t>en</w:t>
      </w:r>
      <w:r>
        <w:rPr>
          <w:color w:val="231F20"/>
          <w:spacing w:val="-16"/>
          <w:w w:val="105"/>
        </w:rPr>
        <w:t> </w:t>
      </w:r>
      <w:r>
        <w:rPr>
          <w:color w:val="231F20"/>
          <w:w w:val="105"/>
        </w:rPr>
        <w:t>1996</w:t>
      </w:r>
      <w:r>
        <w:rPr>
          <w:color w:val="231F20"/>
          <w:spacing w:val="-16"/>
          <w:w w:val="105"/>
        </w:rPr>
        <w:t> </w:t>
      </w:r>
      <w:r>
        <w:rPr>
          <w:color w:val="231F20"/>
          <w:w w:val="105"/>
        </w:rPr>
        <w:t>(tales</w:t>
      </w:r>
      <w:r>
        <w:rPr>
          <w:color w:val="231F20"/>
          <w:spacing w:val="-16"/>
          <w:w w:val="105"/>
        </w:rPr>
        <w:t> </w:t>
      </w:r>
      <w:r>
        <w:rPr>
          <w:color w:val="231F20"/>
          <w:w w:val="105"/>
        </w:rPr>
        <w:t>como</w:t>
      </w:r>
      <w:r>
        <w:rPr>
          <w:color w:val="231F20"/>
          <w:spacing w:val="-16"/>
          <w:w w:val="105"/>
        </w:rPr>
        <w:t> </w:t>
      </w:r>
      <w:r>
        <w:rPr>
          <w:color w:val="231F20"/>
          <w:w w:val="105"/>
          <w:sz w:val="17"/>
        </w:rPr>
        <w:t>IIRIRA</w:t>
      </w:r>
      <w:r>
        <w:rPr>
          <w:color w:val="231F20"/>
          <w:w w:val="105"/>
          <w:position w:val="7"/>
          <w:sz w:val="12"/>
        </w:rPr>
        <w:t>1</w:t>
      </w:r>
      <w:r>
        <w:rPr>
          <w:color w:val="231F20"/>
          <w:spacing w:val="9"/>
          <w:w w:val="105"/>
          <w:position w:val="7"/>
          <w:sz w:val="12"/>
        </w:rPr>
        <w:t> </w:t>
      </w:r>
      <w:r>
        <w:rPr>
          <w:color w:val="231F20"/>
          <w:w w:val="105"/>
        </w:rPr>
        <w:t>y </w:t>
      </w:r>
      <w:r>
        <w:rPr>
          <w:color w:val="231F20"/>
          <w:w w:val="105"/>
          <w:sz w:val="17"/>
        </w:rPr>
        <w:t>AEDPA</w:t>
      </w:r>
      <w:r>
        <w:rPr>
          <w:color w:val="231F20"/>
          <w:w w:val="105"/>
          <w:position w:val="7"/>
          <w:sz w:val="12"/>
        </w:rPr>
        <w:t>2</w:t>
      </w:r>
      <w:r>
        <w:rPr>
          <w:color w:val="231F20"/>
          <w:w w:val="105"/>
        </w:rPr>
        <w:t>)</w:t>
      </w:r>
      <w:r>
        <w:rPr>
          <w:color w:val="231F20"/>
          <w:spacing w:val="-17"/>
          <w:w w:val="105"/>
        </w:rPr>
        <w:t> </w:t>
      </w:r>
      <w:r>
        <w:rPr>
          <w:color w:val="231F20"/>
          <w:w w:val="105"/>
        </w:rPr>
        <w:t>incrementaron</w:t>
      </w:r>
      <w:r>
        <w:rPr>
          <w:color w:val="231F20"/>
          <w:spacing w:val="-17"/>
          <w:w w:val="105"/>
        </w:rPr>
        <w:t> </w:t>
      </w:r>
      <w:r>
        <w:rPr>
          <w:color w:val="231F20"/>
          <w:w w:val="105"/>
        </w:rPr>
        <w:t>las</w:t>
      </w:r>
      <w:r>
        <w:rPr>
          <w:color w:val="231F20"/>
          <w:spacing w:val="-17"/>
          <w:w w:val="105"/>
        </w:rPr>
        <w:t> </w:t>
      </w:r>
      <w:r>
        <w:rPr>
          <w:color w:val="231F20"/>
          <w:w w:val="105"/>
        </w:rPr>
        <w:t>sanciones</w:t>
      </w:r>
      <w:r>
        <w:rPr>
          <w:color w:val="231F20"/>
          <w:spacing w:val="-17"/>
          <w:w w:val="105"/>
        </w:rPr>
        <w:t> </w:t>
      </w:r>
      <w:r>
        <w:rPr>
          <w:color w:val="231F20"/>
          <w:w w:val="105"/>
        </w:rPr>
        <w:t>interpuestas</w:t>
      </w:r>
      <w:r>
        <w:rPr>
          <w:color w:val="231F20"/>
          <w:spacing w:val="-17"/>
          <w:w w:val="105"/>
        </w:rPr>
        <w:t> </w:t>
      </w:r>
      <w:r>
        <w:rPr>
          <w:color w:val="231F20"/>
          <w:w w:val="105"/>
        </w:rPr>
        <w:t>por</w:t>
      </w:r>
      <w:r>
        <w:rPr>
          <w:color w:val="231F20"/>
          <w:spacing w:val="-17"/>
          <w:w w:val="105"/>
        </w:rPr>
        <w:t> </w:t>
      </w:r>
      <w:r>
        <w:rPr>
          <w:color w:val="231F20"/>
          <w:w w:val="105"/>
          <w:sz w:val="17"/>
        </w:rPr>
        <w:t>IRCA</w:t>
      </w:r>
      <w:r>
        <w:rPr>
          <w:color w:val="231F20"/>
          <w:w w:val="105"/>
        </w:rPr>
        <w:t>,</w:t>
      </w:r>
      <w:r>
        <w:rPr>
          <w:color w:val="231F20"/>
          <w:spacing w:val="-22"/>
          <w:w w:val="105"/>
        </w:rPr>
        <w:t> </w:t>
      </w:r>
      <w:r>
        <w:rPr>
          <w:color w:val="231F20"/>
          <w:w w:val="105"/>
        </w:rPr>
        <w:t>aumentaron el</w:t>
      </w:r>
      <w:r>
        <w:rPr>
          <w:color w:val="231F20"/>
          <w:spacing w:val="-8"/>
          <w:w w:val="105"/>
        </w:rPr>
        <w:t> </w:t>
      </w:r>
      <w:r>
        <w:rPr>
          <w:color w:val="231F20"/>
          <w:w w:val="105"/>
        </w:rPr>
        <w:t>número</w:t>
      </w:r>
      <w:r>
        <w:rPr>
          <w:color w:val="231F20"/>
          <w:spacing w:val="-8"/>
          <w:w w:val="105"/>
        </w:rPr>
        <w:t> </w:t>
      </w:r>
      <w:r>
        <w:rPr>
          <w:color w:val="231F20"/>
          <w:w w:val="105"/>
        </w:rPr>
        <w:t>de</w:t>
      </w:r>
      <w:r>
        <w:rPr>
          <w:color w:val="231F20"/>
          <w:spacing w:val="-8"/>
          <w:w w:val="105"/>
        </w:rPr>
        <w:t> </w:t>
      </w:r>
      <w:r>
        <w:rPr>
          <w:color w:val="231F20"/>
          <w:w w:val="105"/>
        </w:rPr>
        <w:t>delitos</w:t>
      </w:r>
      <w:r>
        <w:rPr>
          <w:color w:val="231F20"/>
          <w:spacing w:val="-8"/>
          <w:w w:val="105"/>
        </w:rPr>
        <w:t> </w:t>
      </w:r>
      <w:r>
        <w:rPr>
          <w:color w:val="231F20"/>
          <w:w w:val="105"/>
        </w:rPr>
        <w:t>por</w:t>
      </w:r>
      <w:r>
        <w:rPr>
          <w:color w:val="231F20"/>
          <w:spacing w:val="-8"/>
          <w:w w:val="105"/>
        </w:rPr>
        <w:t> </w:t>
      </w:r>
      <w:r>
        <w:rPr>
          <w:color w:val="231F20"/>
          <w:w w:val="105"/>
        </w:rPr>
        <w:t>los</w:t>
      </w:r>
      <w:r>
        <w:rPr>
          <w:color w:val="231F20"/>
          <w:spacing w:val="-8"/>
          <w:w w:val="105"/>
        </w:rPr>
        <w:t> </w:t>
      </w:r>
      <w:r>
        <w:rPr>
          <w:color w:val="231F20"/>
          <w:w w:val="105"/>
        </w:rPr>
        <w:t>cuales</w:t>
      </w:r>
      <w:r>
        <w:rPr>
          <w:color w:val="231F20"/>
          <w:spacing w:val="-8"/>
          <w:w w:val="105"/>
        </w:rPr>
        <w:t> </w:t>
      </w:r>
      <w:r>
        <w:rPr>
          <w:color w:val="231F20"/>
          <w:w w:val="105"/>
        </w:rPr>
        <w:t>los</w:t>
      </w:r>
      <w:r>
        <w:rPr>
          <w:color w:val="231F20"/>
          <w:spacing w:val="-8"/>
          <w:w w:val="105"/>
        </w:rPr>
        <w:t> </w:t>
      </w:r>
      <w:r>
        <w:rPr>
          <w:color w:val="231F20"/>
          <w:w w:val="105"/>
        </w:rPr>
        <w:t>inmigrantes</w:t>
      </w:r>
      <w:r>
        <w:rPr>
          <w:color w:val="231F20"/>
          <w:spacing w:val="-8"/>
          <w:w w:val="105"/>
        </w:rPr>
        <w:t> </w:t>
      </w:r>
      <w:r>
        <w:rPr>
          <w:color w:val="231F20"/>
          <w:w w:val="105"/>
        </w:rPr>
        <w:t>podrían</w:t>
      </w:r>
      <w:r>
        <w:rPr>
          <w:color w:val="231F20"/>
          <w:spacing w:val="-8"/>
          <w:w w:val="105"/>
        </w:rPr>
        <w:t> </w:t>
      </w:r>
      <w:r>
        <w:rPr>
          <w:color w:val="231F20"/>
          <w:w w:val="105"/>
        </w:rPr>
        <w:t>ser</w:t>
      </w:r>
      <w:r>
        <w:rPr>
          <w:color w:val="231F20"/>
          <w:spacing w:val="-8"/>
          <w:w w:val="105"/>
        </w:rPr>
        <w:t> </w:t>
      </w:r>
      <w:r>
        <w:rPr>
          <w:color w:val="231F20"/>
          <w:w w:val="105"/>
        </w:rPr>
        <w:t>deporta- dos, establecieron la aplicación retrospectiva de la ley e hicieron</w:t>
      </w:r>
      <w:r>
        <w:rPr>
          <w:color w:val="231F20"/>
          <w:spacing w:val="-38"/>
          <w:w w:val="105"/>
        </w:rPr>
        <w:t> </w:t>
      </w:r>
      <w:r>
        <w:rPr>
          <w:color w:val="231F20"/>
          <w:w w:val="105"/>
        </w:rPr>
        <w:t>mayor la tendencia hacia la criminalización de la migración no documentada (Donato</w:t>
      </w:r>
      <w:r>
        <w:rPr>
          <w:color w:val="231F20"/>
          <w:spacing w:val="-15"/>
          <w:w w:val="105"/>
        </w:rPr>
        <w:t> </w:t>
      </w:r>
      <w:r>
        <w:rPr>
          <w:color w:val="231F20"/>
          <w:w w:val="105"/>
        </w:rPr>
        <w:t>y</w:t>
      </w:r>
      <w:r>
        <w:rPr>
          <w:color w:val="231F20"/>
          <w:spacing w:val="-18"/>
          <w:w w:val="105"/>
        </w:rPr>
        <w:t> </w:t>
      </w:r>
      <w:r>
        <w:rPr>
          <w:color w:val="231F20"/>
          <w:w w:val="105"/>
        </w:rPr>
        <w:t>Armenta,</w:t>
      </w:r>
      <w:r>
        <w:rPr>
          <w:color w:val="231F20"/>
          <w:spacing w:val="-20"/>
          <w:w w:val="105"/>
        </w:rPr>
        <w:t> </w:t>
      </w:r>
      <w:r>
        <w:rPr>
          <w:color w:val="231F20"/>
          <w:w w:val="105"/>
        </w:rPr>
        <w:t>2011).</w:t>
      </w:r>
    </w:p>
    <w:p>
      <w:pPr>
        <w:pStyle w:val="BodyText"/>
        <w:spacing w:line="261" w:lineRule="auto" w:before="1"/>
        <w:ind w:left="1723" w:right="1828" w:firstLine="567"/>
        <w:jc w:val="both"/>
      </w:pPr>
      <w:r>
        <w:rPr>
          <w:color w:val="231F20"/>
          <w:w w:val="105"/>
        </w:rPr>
        <w:t>En el año de 1994 fue firmado el </w:t>
      </w:r>
      <w:r>
        <w:rPr>
          <w:color w:val="231F20"/>
          <w:spacing w:val="-4"/>
          <w:w w:val="105"/>
        </w:rPr>
        <w:t>Tratado </w:t>
      </w:r>
      <w:r>
        <w:rPr>
          <w:color w:val="231F20"/>
          <w:w w:val="105"/>
        </w:rPr>
        <w:t>de Libre Comercio para América del Norte (</w:t>
      </w:r>
      <w:r>
        <w:rPr>
          <w:color w:val="231F20"/>
          <w:w w:val="105"/>
          <w:sz w:val="17"/>
        </w:rPr>
        <w:t>TLCAN</w:t>
      </w:r>
      <w:r>
        <w:rPr>
          <w:color w:val="231F20"/>
          <w:w w:val="105"/>
        </w:rPr>
        <w:t>) para permitir el libre tránsito de capital y</w:t>
      </w:r>
      <w:r>
        <w:rPr>
          <w:color w:val="231F20"/>
          <w:spacing w:val="-35"/>
          <w:w w:val="105"/>
        </w:rPr>
        <w:t> </w:t>
      </w:r>
      <w:r>
        <w:rPr>
          <w:color w:val="231F20"/>
          <w:w w:val="105"/>
        </w:rPr>
        <w:t>bie- nes,</w:t>
      </w:r>
      <w:r>
        <w:rPr>
          <w:color w:val="231F20"/>
          <w:spacing w:val="-17"/>
          <w:w w:val="105"/>
        </w:rPr>
        <w:t> </w:t>
      </w:r>
      <w:r>
        <w:rPr>
          <w:color w:val="231F20"/>
          <w:w w:val="105"/>
        </w:rPr>
        <w:t>aunque</w:t>
      </w:r>
      <w:r>
        <w:rPr>
          <w:color w:val="231F20"/>
          <w:spacing w:val="-12"/>
          <w:w w:val="105"/>
        </w:rPr>
        <w:t> </w:t>
      </w:r>
      <w:r>
        <w:rPr>
          <w:color w:val="231F20"/>
          <w:w w:val="105"/>
        </w:rPr>
        <w:t>contradictoriamente</w:t>
      </w:r>
      <w:r>
        <w:rPr>
          <w:color w:val="231F20"/>
          <w:spacing w:val="-12"/>
          <w:w w:val="105"/>
        </w:rPr>
        <w:t> </w:t>
      </w:r>
      <w:r>
        <w:rPr>
          <w:color w:val="231F20"/>
          <w:w w:val="105"/>
        </w:rPr>
        <w:t>impuso</w:t>
      </w:r>
      <w:r>
        <w:rPr>
          <w:color w:val="231F20"/>
          <w:spacing w:val="-12"/>
          <w:w w:val="105"/>
        </w:rPr>
        <w:t> </w:t>
      </w:r>
      <w:r>
        <w:rPr>
          <w:color w:val="231F20"/>
          <w:w w:val="105"/>
        </w:rPr>
        <w:t>nuevas</w:t>
      </w:r>
      <w:r>
        <w:rPr>
          <w:color w:val="231F20"/>
          <w:spacing w:val="-12"/>
          <w:w w:val="105"/>
        </w:rPr>
        <w:t> </w:t>
      </w:r>
      <w:r>
        <w:rPr>
          <w:color w:val="231F20"/>
          <w:w w:val="105"/>
        </w:rPr>
        <w:t>restricciones</w:t>
      </w:r>
      <w:r>
        <w:rPr>
          <w:color w:val="231F20"/>
          <w:spacing w:val="-12"/>
          <w:w w:val="105"/>
        </w:rPr>
        <w:t> </w:t>
      </w:r>
      <w:r>
        <w:rPr>
          <w:color w:val="231F20"/>
          <w:w w:val="105"/>
        </w:rPr>
        <w:t>para</w:t>
      </w:r>
      <w:r>
        <w:rPr>
          <w:color w:val="231F20"/>
          <w:spacing w:val="-12"/>
          <w:w w:val="105"/>
        </w:rPr>
        <w:t> </w:t>
      </w:r>
      <w:r>
        <w:rPr>
          <w:color w:val="231F20"/>
          <w:w w:val="105"/>
        </w:rPr>
        <w:t>el</w:t>
      </w:r>
      <w:r>
        <w:rPr>
          <w:color w:val="231F20"/>
          <w:spacing w:val="-12"/>
          <w:w w:val="105"/>
        </w:rPr>
        <w:t> </w:t>
      </w:r>
      <w:r>
        <w:rPr>
          <w:color w:val="231F20"/>
          <w:w w:val="105"/>
        </w:rPr>
        <w:t>li- bre flujo de mano de obra entre estos países (Massey, </w:t>
      </w:r>
      <w:r>
        <w:rPr>
          <w:color w:val="231F20"/>
          <w:spacing w:val="-3"/>
          <w:w w:val="105"/>
        </w:rPr>
        <w:t>Pren, </w:t>
      </w:r>
      <w:r>
        <w:rPr>
          <w:color w:val="231F20"/>
          <w:w w:val="105"/>
        </w:rPr>
        <w:t>y Durand, 2009).</w:t>
      </w:r>
      <w:r>
        <w:rPr>
          <w:color w:val="231F20"/>
          <w:spacing w:val="19"/>
          <w:w w:val="105"/>
        </w:rPr>
        <w:t> </w:t>
      </w:r>
      <w:r>
        <w:rPr>
          <w:color w:val="231F20"/>
          <w:w w:val="105"/>
        </w:rPr>
        <w:t>Más</w:t>
      </w:r>
      <w:r>
        <w:rPr>
          <w:color w:val="231F20"/>
          <w:spacing w:val="-17"/>
          <w:w w:val="105"/>
        </w:rPr>
        <w:t> </w:t>
      </w:r>
      <w:r>
        <w:rPr>
          <w:color w:val="231F20"/>
          <w:w w:val="105"/>
        </w:rPr>
        <w:t>tarde,</w:t>
      </w:r>
      <w:r>
        <w:rPr>
          <w:color w:val="231F20"/>
          <w:spacing w:val="-24"/>
          <w:w w:val="105"/>
        </w:rPr>
        <w:t> </w:t>
      </w:r>
      <w:r>
        <w:rPr>
          <w:color w:val="231F20"/>
          <w:w w:val="105"/>
        </w:rPr>
        <w:t>a</w:t>
      </w:r>
      <w:r>
        <w:rPr>
          <w:color w:val="231F20"/>
          <w:spacing w:val="-17"/>
          <w:w w:val="105"/>
        </w:rPr>
        <w:t> </w:t>
      </w:r>
      <w:r>
        <w:rPr>
          <w:color w:val="231F20"/>
          <w:w w:val="105"/>
        </w:rPr>
        <w:t>principios</w:t>
      </w:r>
      <w:r>
        <w:rPr>
          <w:color w:val="231F20"/>
          <w:spacing w:val="-17"/>
          <w:w w:val="105"/>
        </w:rPr>
        <w:t> </w:t>
      </w:r>
      <w:r>
        <w:rPr>
          <w:color w:val="231F20"/>
          <w:w w:val="105"/>
        </w:rPr>
        <w:t>del</w:t>
      </w:r>
      <w:r>
        <w:rPr>
          <w:color w:val="231F20"/>
          <w:spacing w:val="-17"/>
          <w:w w:val="105"/>
        </w:rPr>
        <w:t> </w:t>
      </w:r>
      <w:r>
        <w:rPr>
          <w:color w:val="231F20"/>
          <w:w w:val="105"/>
        </w:rPr>
        <w:t>año</w:t>
      </w:r>
      <w:r>
        <w:rPr>
          <w:color w:val="231F20"/>
          <w:spacing w:val="-17"/>
          <w:w w:val="105"/>
        </w:rPr>
        <w:t> </w:t>
      </w:r>
      <w:r>
        <w:rPr>
          <w:color w:val="231F20"/>
          <w:w w:val="105"/>
        </w:rPr>
        <w:t>2001</w:t>
      </w:r>
      <w:r>
        <w:rPr>
          <w:color w:val="231F20"/>
          <w:spacing w:val="-17"/>
          <w:w w:val="105"/>
        </w:rPr>
        <w:t> </w:t>
      </w:r>
      <w:r>
        <w:rPr>
          <w:color w:val="231F20"/>
          <w:w w:val="105"/>
        </w:rPr>
        <w:t>ambos</w:t>
      </w:r>
      <w:r>
        <w:rPr>
          <w:color w:val="231F20"/>
          <w:spacing w:val="-17"/>
          <w:w w:val="105"/>
        </w:rPr>
        <w:t> </w:t>
      </w:r>
      <w:r>
        <w:rPr>
          <w:color w:val="231F20"/>
          <w:w w:val="105"/>
        </w:rPr>
        <w:t>gobiernos</w:t>
      </w:r>
      <w:r>
        <w:rPr>
          <w:color w:val="231F20"/>
          <w:spacing w:val="-17"/>
          <w:w w:val="105"/>
        </w:rPr>
        <w:t> </w:t>
      </w:r>
      <w:r>
        <w:rPr>
          <w:color w:val="231F20"/>
          <w:w w:val="105"/>
        </w:rPr>
        <w:t>estuvieron conversando acerca de un acuerdo bilateral para regular la migración. Sin</w:t>
      </w:r>
      <w:r>
        <w:rPr>
          <w:color w:val="231F20"/>
          <w:spacing w:val="-8"/>
          <w:w w:val="105"/>
        </w:rPr>
        <w:t> </w:t>
      </w:r>
      <w:r>
        <w:rPr>
          <w:color w:val="231F20"/>
          <w:w w:val="105"/>
        </w:rPr>
        <w:t>embargo,</w:t>
      </w:r>
      <w:r>
        <w:rPr>
          <w:color w:val="231F20"/>
          <w:spacing w:val="-13"/>
          <w:w w:val="105"/>
        </w:rPr>
        <w:t> </w:t>
      </w:r>
      <w:r>
        <w:rPr>
          <w:color w:val="231F20"/>
          <w:w w:val="105"/>
        </w:rPr>
        <w:t>los</w:t>
      </w:r>
      <w:r>
        <w:rPr>
          <w:color w:val="231F20"/>
          <w:spacing w:val="-8"/>
          <w:w w:val="105"/>
        </w:rPr>
        <w:t> </w:t>
      </w:r>
      <w:r>
        <w:rPr>
          <w:color w:val="231F20"/>
          <w:w w:val="105"/>
        </w:rPr>
        <w:t>ataques</w:t>
      </w:r>
      <w:r>
        <w:rPr>
          <w:color w:val="231F20"/>
          <w:spacing w:val="-8"/>
          <w:w w:val="105"/>
        </w:rPr>
        <w:t> </w:t>
      </w:r>
      <w:r>
        <w:rPr>
          <w:color w:val="231F20"/>
          <w:w w:val="105"/>
        </w:rPr>
        <w:t>del</w:t>
      </w:r>
      <w:r>
        <w:rPr>
          <w:color w:val="231F20"/>
          <w:spacing w:val="-8"/>
          <w:w w:val="105"/>
        </w:rPr>
        <w:t> </w:t>
      </w:r>
      <w:r>
        <w:rPr>
          <w:color w:val="231F20"/>
          <w:w w:val="105"/>
        </w:rPr>
        <w:t>11</w:t>
      </w:r>
      <w:r>
        <w:rPr>
          <w:color w:val="231F20"/>
          <w:spacing w:val="-8"/>
          <w:w w:val="105"/>
        </w:rPr>
        <w:t> </w:t>
      </w:r>
      <w:r>
        <w:rPr>
          <w:color w:val="231F20"/>
          <w:w w:val="105"/>
        </w:rPr>
        <w:t>de</w:t>
      </w:r>
      <w:r>
        <w:rPr>
          <w:color w:val="231F20"/>
          <w:spacing w:val="-8"/>
          <w:w w:val="105"/>
        </w:rPr>
        <w:t> </w:t>
      </w:r>
      <w:r>
        <w:rPr>
          <w:color w:val="231F20"/>
          <w:w w:val="105"/>
        </w:rPr>
        <w:t>septiembre</w:t>
      </w:r>
      <w:r>
        <w:rPr>
          <w:color w:val="231F20"/>
          <w:spacing w:val="-8"/>
          <w:w w:val="105"/>
        </w:rPr>
        <w:t> </w:t>
      </w:r>
      <w:r>
        <w:rPr>
          <w:color w:val="231F20"/>
          <w:w w:val="105"/>
        </w:rPr>
        <w:t>cancelaron</w:t>
      </w:r>
      <w:r>
        <w:rPr>
          <w:color w:val="231F20"/>
          <w:spacing w:val="-8"/>
          <w:w w:val="105"/>
        </w:rPr>
        <w:t> </w:t>
      </w:r>
      <w:r>
        <w:rPr>
          <w:color w:val="231F20"/>
          <w:w w:val="105"/>
        </w:rPr>
        <w:t>las</w:t>
      </w:r>
      <w:r>
        <w:rPr>
          <w:color w:val="231F20"/>
          <w:spacing w:val="-8"/>
          <w:w w:val="105"/>
        </w:rPr>
        <w:t> </w:t>
      </w:r>
      <w:r>
        <w:rPr>
          <w:color w:val="231F20"/>
          <w:w w:val="105"/>
        </w:rPr>
        <w:t>negocia- ciones. Además, si bien la vigilancia en la frontera tenía una presencia importante, en el año 2003 con un enfoque de seguridad nacional ésta se</w:t>
      </w:r>
      <w:r>
        <w:rPr>
          <w:color w:val="231F20"/>
          <w:spacing w:val="-33"/>
          <w:w w:val="105"/>
        </w:rPr>
        <w:t> </w:t>
      </w:r>
      <w:r>
        <w:rPr>
          <w:color w:val="231F20"/>
          <w:w w:val="105"/>
        </w:rPr>
        <w:t>agudizó</w:t>
      </w:r>
      <w:r>
        <w:rPr>
          <w:color w:val="231F20"/>
          <w:spacing w:val="-33"/>
          <w:w w:val="105"/>
        </w:rPr>
        <w:t> </w:t>
      </w:r>
      <w:r>
        <w:rPr>
          <w:color w:val="231F20"/>
          <w:w w:val="105"/>
        </w:rPr>
        <w:t>(Castles,</w:t>
      </w:r>
      <w:r>
        <w:rPr>
          <w:color w:val="231F20"/>
          <w:spacing w:val="-36"/>
          <w:w w:val="105"/>
        </w:rPr>
        <w:t> </w:t>
      </w:r>
      <w:r>
        <w:rPr>
          <w:color w:val="231F20"/>
          <w:w w:val="105"/>
        </w:rPr>
        <w:t>De</w:t>
      </w:r>
      <w:r>
        <w:rPr>
          <w:color w:val="231F20"/>
          <w:spacing w:val="-33"/>
          <w:w w:val="105"/>
        </w:rPr>
        <w:t> </w:t>
      </w:r>
      <w:r>
        <w:rPr>
          <w:color w:val="231F20"/>
          <w:w w:val="105"/>
        </w:rPr>
        <w:t>Haas</w:t>
      </w:r>
      <w:r>
        <w:rPr>
          <w:color w:val="231F20"/>
          <w:spacing w:val="-33"/>
          <w:w w:val="105"/>
        </w:rPr>
        <w:t> </w:t>
      </w:r>
      <w:r>
        <w:rPr>
          <w:color w:val="231F20"/>
          <w:w w:val="105"/>
        </w:rPr>
        <w:t>y</w:t>
      </w:r>
      <w:r>
        <w:rPr>
          <w:color w:val="231F20"/>
          <w:spacing w:val="-33"/>
          <w:w w:val="105"/>
        </w:rPr>
        <w:t> </w:t>
      </w:r>
      <w:r>
        <w:rPr>
          <w:color w:val="231F20"/>
          <w:w w:val="105"/>
        </w:rPr>
        <w:t>Miller,</w:t>
      </w:r>
      <w:r>
        <w:rPr>
          <w:color w:val="231F20"/>
          <w:spacing w:val="-36"/>
          <w:w w:val="105"/>
        </w:rPr>
        <w:t> </w:t>
      </w:r>
      <w:r>
        <w:rPr>
          <w:color w:val="231F20"/>
          <w:w w:val="105"/>
        </w:rPr>
        <w:t>2009).</w:t>
      </w:r>
    </w:p>
    <w:p>
      <w:pPr>
        <w:pStyle w:val="BodyText"/>
        <w:spacing w:line="261" w:lineRule="auto" w:before="1"/>
        <w:ind w:left="1724" w:right="1834" w:firstLine="567"/>
        <w:jc w:val="both"/>
      </w:pPr>
      <w:r>
        <w:rPr>
          <w:color w:val="231F20"/>
          <w:w w:val="105"/>
        </w:rPr>
        <w:t>Los nuevos patrones migratorios mexicanos apuntan a una cre- ciente importancia de la migración femenina, tanto en el contexto fa- miliar como migrantes independientes. La mayor presencia de mujeres migrantes</w:t>
      </w:r>
      <w:r>
        <w:rPr>
          <w:color w:val="231F20"/>
          <w:spacing w:val="-6"/>
          <w:w w:val="105"/>
        </w:rPr>
        <w:t> </w:t>
      </w:r>
      <w:r>
        <w:rPr>
          <w:color w:val="231F20"/>
          <w:w w:val="105"/>
        </w:rPr>
        <w:t>has</w:t>
      </w:r>
      <w:r>
        <w:rPr>
          <w:color w:val="231F20"/>
          <w:spacing w:val="-6"/>
          <w:w w:val="105"/>
        </w:rPr>
        <w:t> </w:t>
      </w:r>
      <w:r>
        <w:rPr>
          <w:color w:val="231F20"/>
          <w:w w:val="105"/>
        </w:rPr>
        <w:t>sido</w:t>
      </w:r>
      <w:r>
        <w:rPr>
          <w:color w:val="231F20"/>
          <w:spacing w:val="-6"/>
          <w:w w:val="105"/>
        </w:rPr>
        <w:t> </w:t>
      </w:r>
      <w:r>
        <w:rPr>
          <w:color w:val="231F20"/>
          <w:w w:val="105"/>
        </w:rPr>
        <w:t>también</w:t>
      </w:r>
      <w:r>
        <w:rPr>
          <w:color w:val="231F20"/>
          <w:spacing w:val="-6"/>
          <w:w w:val="105"/>
        </w:rPr>
        <w:t> </w:t>
      </w:r>
      <w:r>
        <w:rPr>
          <w:color w:val="231F20"/>
          <w:w w:val="105"/>
        </w:rPr>
        <w:t>señalada</w:t>
      </w:r>
      <w:r>
        <w:rPr>
          <w:color w:val="231F20"/>
          <w:spacing w:val="-6"/>
          <w:w w:val="105"/>
        </w:rPr>
        <w:t> </w:t>
      </w:r>
      <w:r>
        <w:rPr>
          <w:color w:val="231F20"/>
          <w:w w:val="105"/>
        </w:rPr>
        <w:t>como</w:t>
      </w:r>
      <w:r>
        <w:rPr>
          <w:color w:val="231F20"/>
          <w:spacing w:val="-6"/>
          <w:w w:val="105"/>
        </w:rPr>
        <w:t> </w:t>
      </w:r>
      <w:r>
        <w:rPr>
          <w:color w:val="231F20"/>
          <w:w w:val="105"/>
        </w:rPr>
        <w:t>un</w:t>
      </w:r>
      <w:r>
        <w:rPr>
          <w:color w:val="231F20"/>
          <w:spacing w:val="-6"/>
          <w:w w:val="105"/>
        </w:rPr>
        <w:t> </w:t>
      </w:r>
      <w:r>
        <w:rPr>
          <w:color w:val="231F20"/>
          <w:w w:val="105"/>
        </w:rPr>
        <w:t>factor</w:t>
      </w:r>
      <w:r>
        <w:rPr>
          <w:color w:val="231F20"/>
          <w:spacing w:val="-6"/>
          <w:w w:val="105"/>
        </w:rPr>
        <w:t> </w:t>
      </w:r>
      <w:r>
        <w:rPr>
          <w:color w:val="231F20"/>
          <w:w w:val="105"/>
        </w:rPr>
        <w:t>fundamental</w:t>
      </w:r>
      <w:r>
        <w:rPr>
          <w:color w:val="231F20"/>
          <w:spacing w:val="-6"/>
          <w:w w:val="105"/>
        </w:rPr>
        <w:t> </w:t>
      </w:r>
      <w:r>
        <w:rPr>
          <w:color w:val="231F20"/>
          <w:w w:val="105"/>
        </w:rPr>
        <w:t>en</w:t>
      </w:r>
      <w:r>
        <w:rPr>
          <w:color w:val="231F20"/>
          <w:spacing w:val="-6"/>
          <w:w w:val="105"/>
        </w:rPr>
        <w:t> </w:t>
      </w:r>
      <w:r>
        <w:rPr>
          <w:color w:val="231F20"/>
          <w:w w:val="105"/>
        </w:rPr>
        <w:t>el establecimiento</w:t>
      </w:r>
      <w:r>
        <w:rPr>
          <w:color w:val="231F20"/>
          <w:spacing w:val="-20"/>
          <w:w w:val="105"/>
        </w:rPr>
        <w:t> </w:t>
      </w:r>
      <w:r>
        <w:rPr>
          <w:color w:val="231F20"/>
          <w:w w:val="105"/>
        </w:rPr>
        <w:t>—</w:t>
      </w:r>
      <w:r>
        <w:rPr>
          <w:color w:val="231F20"/>
          <w:spacing w:val="-20"/>
          <w:w w:val="105"/>
        </w:rPr>
        <w:t> </w:t>
      </w:r>
      <w:r>
        <w:rPr>
          <w:color w:val="231F20"/>
          <w:w w:val="105"/>
        </w:rPr>
        <w:t>o</w:t>
      </w:r>
      <w:r>
        <w:rPr>
          <w:color w:val="231F20"/>
          <w:spacing w:val="-20"/>
          <w:w w:val="105"/>
        </w:rPr>
        <w:t> </w:t>
      </w:r>
      <w:r>
        <w:rPr>
          <w:color w:val="231F20"/>
          <w:w w:val="105"/>
        </w:rPr>
        <w:t>falta</w:t>
      </w:r>
      <w:r>
        <w:rPr>
          <w:color w:val="231F20"/>
          <w:spacing w:val="-20"/>
          <w:w w:val="105"/>
        </w:rPr>
        <w:t> </w:t>
      </w:r>
      <w:r>
        <w:rPr>
          <w:color w:val="231F20"/>
          <w:w w:val="105"/>
        </w:rPr>
        <w:t>de</w:t>
      </w:r>
      <w:r>
        <w:rPr>
          <w:color w:val="231F20"/>
          <w:spacing w:val="-20"/>
          <w:w w:val="105"/>
        </w:rPr>
        <w:t> </w:t>
      </w:r>
      <w:r>
        <w:rPr>
          <w:color w:val="231F20"/>
          <w:w w:val="105"/>
        </w:rPr>
        <w:t>circularidad</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migración</w:t>
      </w:r>
      <w:r>
        <w:rPr>
          <w:color w:val="231F20"/>
          <w:spacing w:val="-20"/>
          <w:w w:val="105"/>
        </w:rPr>
        <w:t> </w:t>
      </w:r>
      <w:r>
        <w:rPr>
          <w:color w:val="231F20"/>
          <w:w w:val="105"/>
        </w:rPr>
        <w:t>masculina</w:t>
      </w:r>
      <w:r>
        <w:rPr>
          <w:color w:val="231F20"/>
          <w:spacing w:val="-20"/>
          <w:w w:val="105"/>
        </w:rPr>
        <w:t> </w:t>
      </w:r>
      <w:r>
        <w:rPr>
          <w:color w:val="231F20"/>
          <w:w w:val="105"/>
        </w:rPr>
        <w:t>—</w:t>
      </w:r>
      <w:r>
        <w:rPr>
          <w:color w:val="231F20"/>
          <w:spacing w:val="-20"/>
          <w:w w:val="105"/>
        </w:rPr>
        <w:t> </w:t>
      </w:r>
      <w:r>
        <w:rPr>
          <w:color w:val="231F20"/>
          <w:w w:val="105"/>
        </w:rPr>
        <w:t>y</w:t>
      </w:r>
      <w:r>
        <w:rPr>
          <w:color w:val="231F20"/>
          <w:spacing w:val="-20"/>
          <w:w w:val="105"/>
        </w:rPr>
        <w:t> </w:t>
      </w:r>
      <w:r>
        <w:rPr>
          <w:color w:val="231F20"/>
          <w:w w:val="105"/>
        </w:rPr>
        <w:t>en el</w:t>
      </w:r>
      <w:r>
        <w:rPr>
          <w:color w:val="231F20"/>
          <w:spacing w:val="-17"/>
          <w:w w:val="105"/>
        </w:rPr>
        <w:t> </w:t>
      </w:r>
      <w:r>
        <w:rPr>
          <w:color w:val="231F20"/>
          <w:w w:val="105"/>
        </w:rPr>
        <w:t>incremento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importancia</w:t>
      </w:r>
      <w:r>
        <w:rPr>
          <w:color w:val="231F20"/>
          <w:spacing w:val="-17"/>
          <w:w w:val="105"/>
        </w:rPr>
        <w:t> </w:t>
      </w:r>
      <w:r>
        <w:rPr>
          <w:color w:val="231F20"/>
          <w:w w:val="105"/>
        </w:rPr>
        <w:t>relativa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segunda</w:t>
      </w:r>
      <w:r>
        <w:rPr>
          <w:color w:val="231F20"/>
          <w:spacing w:val="-17"/>
          <w:w w:val="105"/>
        </w:rPr>
        <w:t> </w:t>
      </w:r>
      <w:r>
        <w:rPr>
          <w:color w:val="231F20"/>
          <w:w w:val="105"/>
        </w:rPr>
        <w:t>generación</w:t>
      </w:r>
      <w:r>
        <w:rPr>
          <w:color w:val="231F20"/>
          <w:spacing w:val="-17"/>
          <w:w w:val="105"/>
        </w:rPr>
        <w:t> </w:t>
      </w:r>
      <w:r>
        <w:rPr>
          <w:color w:val="231F20"/>
          <w:w w:val="105"/>
        </w:rPr>
        <w:t>de</w:t>
      </w:r>
      <w:r>
        <w:rPr>
          <w:color w:val="231F20"/>
          <w:spacing w:val="-17"/>
          <w:w w:val="105"/>
        </w:rPr>
        <w:t> </w:t>
      </w:r>
      <w:r>
        <w:rPr>
          <w:color w:val="231F20"/>
          <w:w w:val="105"/>
        </w:rPr>
        <w:t>mi- grantes</w:t>
      </w:r>
      <w:r>
        <w:rPr>
          <w:color w:val="231F20"/>
          <w:spacing w:val="-28"/>
          <w:w w:val="105"/>
        </w:rPr>
        <w:t> </w:t>
      </w:r>
      <w:r>
        <w:rPr>
          <w:color w:val="231F20"/>
          <w:w w:val="105"/>
        </w:rPr>
        <w:t>(Leite,</w:t>
      </w:r>
      <w:r>
        <w:rPr>
          <w:color w:val="231F20"/>
          <w:spacing w:val="-33"/>
          <w:w w:val="105"/>
        </w:rPr>
        <w:t> </w:t>
      </w:r>
      <w:r>
        <w:rPr>
          <w:color w:val="231F20"/>
          <w:w w:val="105"/>
        </w:rPr>
        <w:t>Angoa</w:t>
      </w:r>
      <w:r>
        <w:rPr>
          <w:color w:val="231F20"/>
          <w:spacing w:val="-28"/>
          <w:w w:val="105"/>
        </w:rPr>
        <w:t> </w:t>
      </w:r>
      <w:r>
        <w:rPr>
          <w:color w:val="231F20"/>
          <w:w w:val="105"/>
        </w:rPr>
        <w:t>y</w:t>
      </w:r>
      <w:r>
        <w:rPr>
          <w:color w:val="231F20"/>
          <w:spacing w:val="-28"/>
          <w:w w:val="105"/>
        </w:rPr>
        <w:t> </w:t>
      </w:r>
      <w:r>
        <w:rPr>
          <w:color w:val="231F20"/>
          <w:w w:val="105"/>
        </w:rPr>
        <w:t>Rodríguez,</w:t>
      </w:r>
      <w:r>
        <w:rPr>
          <w:color w:val="231F20"/>
          <w:spacing w:val="-31"/>
          <w:w w:val="105"/>
        </w:rPr>
        <w:t> </w:t>
      </w:r>
      <w:r>
        <w:rPr>
          <w:color w:val="231F20"/>
          <w:w w:val="105"/>
        </w:rPr>
        <w:t>2009).</w:t>
      </w:r>
      <w:r>
        <w:rPr>
          <w:color w:val="231F20"/>
          <w:spacing w:val="-33"/>
          <w:w w:val="105"/>
        </w:rPr>
        <w:t> </w:t>
      </w:r>
      <w:r>
        <w:rPr>
          <w:color w:val="231F20"/>
          <w:w w:val="105"/>
        </w:rPr>
        <w:t>Asimismo,</w:t>
      </w:r>
      <w:r>
        <w:rPr>
          <w:color w:val="231F20"/>
          <w:spacing w:val="-31"/>
          <w:w w:val="105"/>
        </w:rPr>
        <w:t> </w:t>
      </w:r>
      <w:r>
        <w:rPr>
          <w:color w:val="231F20"/>
          <w:w w:val="105"/>
        </w:rPr>
        <w:t>estas</w:t>
      </w:r>
      <w:r>
        <w:rPr>
          <w:color w:val="231F20"/>
          <w:spacing w:val="-28"/>
          <w:w w:val="105"/>
        </w:rPr>
        <w:t> </w:t>
      </w:r>
      <w:r>
        <w:rPr>
          <w:color w:val="231F20"/>
          <w:w w:val="105"/>
        </w:rPr>
        <w:t>tendencias</w:t>
      </w:r>
      <w:r>
        <w:rPr>
          <w:color w:val="231F20"/>
          <w:spacing w:val="-28"/>
          <w:w w:val="105"/>
        </w:rPr>
        <w:t> </w:t>
      </w:r>
      <w:r>
        <w:rPr>
          <w:color w:val="231F20"/>
          <w:w w:val="105"/>
        </w:rPr>
        <w:t>en la migración femenina han obligado a reconocer la presencia de distin- tos</w:t>
      </w:r>
      <w:r>
        <w:rPr>
          <w:color w:val="231F20"/>
          <w:spacing w:val="-12"/>
          <w:w w:val="105"/>
        </w:rPr>
        <w:t> </w:t>
      </w:r>
      <w:r>
        <w:rPr>
          <w:color w:val="231F20"/>
          <w:w w:val="105"/>
        </w:rPr>
        <w:t>modelos</w:t>
      </w:r>
      <w:r>
        <w:rPr>
          <w:color w:val="231F20"/>
          <w:spacing w:val="-12"/>
          <w:w w:val="105"/>
        </w:rPr>
        <w:t> </w:t>
      </w:r>
      <w:r>
        <w:rPr>
          <w:color w:val="231F20"/>
          <w:w w:val="105"/>
        </w:rPr>
        <w:t>migratorios</w:t>
      </w:r>
      <w:r>
        <w:rPr>
          <w:color w:val="231F20"/>
          <w:spacing w:val="-12"/>
          <w:w w:val="105"/>
        </w:rPr>
        <w:t> </w:t>
      </w:r>
      <w:r>
        <w:rPr>
          <w:color w:val="231F20"/>
          <w:w w:val="105"/>
        </w:rPr>
        <w:t>masculinos</w:t>
      </w:r>
      <w:r>
        <w:rPr>
          <w:color w:val="231F20"/>
          <w:spacing w:val="-12"/>
          <w:w w:val="105"/>
        </w:rPr>
        <w:t> </w:t>
      </w:r>
      <w:r>
        <w:rPr>
          <w:color w:val="231F20"/>
          <w:w w:val="105"/>
        </w:rPr>
        <w:t>y</w:t>
      </w:r>
      <w:r>
        <w:rPr>
          <w:color w:val="231F20"/>
          <w:spacing w:val="-12"/>
          <w:w w:val="105"/>
        </w:rPr>
        <w:t> </w:t>
      </w:r>
      <w:r>
        <w:rPr>
          <w:color w:val="231F20"/>
          <w:w w:val="105"/>
        </w:rPr>
        <w:t>femeninos,</w:t>
      </w:r>
      <w:r>
        <w:rPr>
          <w:color w:val="231F20"/>
          <w:spacing w:val="-17"/>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cuales</w:t>
      </w:r>
      <w:r>
        <w:rPr>
          <w:color w:val="231F20"/>
          <w:spacing w:val="-12"/>
          <w:w w:val="105"/>
        </w:rPr>
        <w:t> </w:t>
      </w:r>
      <w:r>
        <w:rPr>
          <w:color w:val="231F20"/>
          <w:w w:val="105"/>
        </w:rPr>
        <w:t>los</w:t>
      </w:r>
      <w:r>
        <w:rPr>
          <w:color w:val="231F20"/>
          <w:spacing w:val="-12"/>
          <w:w w:val="105"/>
        </w:rPr>
        <w:t> </w:t>
      </w:r>
      <w:r>
        <w:rPr>
          <w:color w:val="231F20"/>
          <w:w w:val="105"/>
        </w:rPr>
        <w:t>roles de</w:t>
      </w:r>
      <w:r>
        <w:rPr>
          <w:color w:val="231F20"/>
          <w:spacing w:val="-19"/>
          <w:w w:val="105"/>
        </w:rPr>
        <w:t> </w:t>
      </w:r>
      <w:r>
        <w:rPr>
          <w:color w:val="231F20"/>
          <w:w w:val="105"/>
        </w:rPr>
        <w:t>género</w:t>
      </w:r>
      <w:r>
        <w:rPr>
          <w:color w:val="231F20"/>
          <w:spacing w:val="-19"/>
          <w:w w:val="105"/>
        </w:rPr>
        <w:t> </w:t>
      </w:r>
      <w:r>
        <w:rPr>
          <w:color w:val="231F20"/>
          <w:w w:val="105"/>
        </w:rPr>
        <w:t>y</w:t>
      </w:r>
      <w:r>
        <w:rPr>
          <w:color w:val="231F20"/>
          <w:spacing w:val="-19"/>
          <w:w w:val="105"/>
        </w:rPr>
        <w:t> </w:t>
      </w:r>
      <w:r>
        <w:rPr>
          <w:color w:val="231F20"/>
          <w:w w:val="105"/>
        </w:rPr>
        <w:t>los</w:t>
      </w:r>
      <w:r>
        <w:rPr>
          <w:color w:val="231F20"/>
          <w:spacing w:val="-19"/>
          <w:w w:val="105"/>
        </w:rPr>
        <w:t> </w:t>
      </w:r>
      <w:r>
        <w:rPr>
          <w:color w:val="231F20"/>
          <w:w w:val="105"/>
        </w:rPr>
        <w:t>contextos</w:t>
      </w:r>
      <w:r>
        <w:rPr>
          <w:color w:val="231F20"/>
          <w:spacing w:val="-19"/>
          <w:w w:val="105"/>
        </w:rPr>
        <w:t> </w:t>
      </w:r>
      <w:r>
        <w:rPr>
          <w:color w:val="231F20"/>
          <w:w w:val="105"/>
        </w:rPr>
        <w:t>prevalecientes</w:t>
      </w:r>
      <w:r>
        <w:rPr>
          <w:color w:val="231F20"/>
          <w:spacing w:val="-19"/>
          <w:w w:val="105"/>
        </w:rPr>
        <w:t> </w:t>
      </w:r>
      <w:r>
        <w:rPr>
          <w:color w:val="231F20"/>
          <w:w w:val="105"/>
        </w:rPr>
        <w:t>en</w:t>
      </w:r>
      <w:r>
        <w:rPr>
          <w:color w:val="231F20"/>
          <w:spacing w:val="-19"/>
          <w:w w:val="105"/>
        </w:rPr>
        <w:t> </w:t>
      </w:r>
      <w:r>
        <w:rPr>
          <w:color w:val="231F20"/>
          <w:w w:val="105"/>
        </w:rPr>
        <w:t>ambos</w:t>
      </w:r>
      <w:r>
        <w:rPr>
          <w:color w:val="231F20"/>
          <w:spacing w:val="-19"/>
          <w:w w:val="105"/>
        </w:rPr>
        <w:t> </w:t>
      </w:r>
      <w:r>
        <w:rPr>
          <w:color w:val="231F20"/>
          <w:w w:val="105"/>
        </w:rPr>
        <w:t>países</w:t>
      </w:r>
      <w:r>
        <w:rPr>
          <w:color w:val="231F20"/>
          <w:spacing w:val="-19"/>
          <w:w w:val="105"/>
        </w:rPr>
        <w:t> </w:t>
      </w:r>
      <w:r>
        <w:rPr>
          <w:color w:val="231F20"/>
          <w:w w:val="105"/>
        </w:rPr>
        <w:t>determinan</w:t>
      </w:r>
      <w:r>
        <w:rPr>
          <w:color w:val="231F20"/>
          <w:spacing w:val="-19"/>
          <w:w w:val="105"/>
        </w:rPr>
        <w:t> </w:t>
      </w:r>
      <w:r>
        <w:rPr>
          <w:color w:val="231F20"/>
          <w:w w:val="105"/>
        </w:rPr>
        <w:t>la experiencia</w:t>
      </w:r>
      <w:r>
        <w:rPr>
          <w:color w:val="231F20"/>
          <w:spacing w:val="-28"/>
          <w:w w:val="105"/>
        </w:rPr>
        <w:t> </w:t>
      </w:r>
      <w:r>
        <w:rPr>
          <w:color w:val="231F20"/>
          <w:w w:val="105"/>
        </w:rPr>
        <w:t>migratoria</w:t>
      </w:r>
      <w:r>
        <w:rPr>
          <w:color w:val="231F20"/>
          <w:spacing w:val="-28"/>
          <w:w w:val="105"/>
        </w:rPr>
        <w:t> </w:t>
      </w:r>
      <w:r>
        <w:rPr>
          <w:color w:val="231F20"/>
          <w:w w:val="105"/>
        </w:rPr>
        <w:t>femenina</w:t>
      </w:r>
      <w:r>
        <w:rPr>
          <w:color w:val="231F20"/>
          <w:spacing w:val="-28"/>
          <w:w w:val="105"/>
        </w:rPr>
        <w:t> </w:t>
      </w:r>
      <w:r>
        <w:rPr>
          <w:color w:val="231F20"/>
          <w:w w:val="105"/>
        </w:rPr>
        <w:t>(</w:t>
      </w:r>
      <w:r>
        <w:rPr>
          <w:color w:val="231F20"/>
          <w:w w:val="105"/>
          <w:sz w:val="17"/>
        </w:rPr>
        <w:t>CONAPO</w:t>
      </w:r>
      <w:r>
        <w:rPr>
          <w:color w:val="231F20"/>
          <w:w w:val="105"/>
        </w:rPr>
        <w:t>,</w:t>
      </w:r>
      <w:r>
        <w:rPr>
          <w:color w:val="231F20"/>
          <w:spacing w:val="-32"/>
          <w:w w:val="105"/>
        </w:rPr>
        <w:t> </w:t>
      </w:r>
      <w:r>
        <w:rPr>
          <w:color w:val="231F20"/>
          <w:w w:val="105"/>
        </w:rPr>
        <w:t>2013).</w:t>
      </w:r>
    </w:p>
    <w:p>
      <w:pPr>
        <w:pStyle w:val="BodyText"/>
        <w:rPr>
          <w:sz w:val="20"/>
        </w:rPr>
      </w:pPr>
    </w:p>
    <w:p>
      <w:pPr>
        <w:pStyle w:val="BodyText"/>
        <w:spacing w:before="8"/>
        <w:rPr>
          <w:sz w:val="20"/>
        </w:rPr>
      </w:pPr>
    </w:p>
    <w:p>
      <w:pPr>
        <w:pStyle w:val="Heading3"/>
        <w:spacing w:before="1"/>
        <w:ind w:left="1723"/>
      </w:pPr>
      <w:r>
        <w:rPr>
          <w:color w:val="231F20"/>
        </w:rPr>
        <w:t>Perspectiva de género y migración femenina</w:t>
      </w:r>
    </w:p>
    <w:p>
      <w:pPr>
        <w:pStyle w:val="BodyText"/>
        <w:rPr>
          <w:rFonts w:ascii="Arial"/>
          <w:b/>
          <w:sz w:val="22"/>
        </w:rPr>
      </w:pPr>
    </w:p>
    <w:p>
      <w:pPr>
        <w:pStyle w:val="BodyText"/>
        <w:spacing w:line="261" w:lineRule="auto" w:before="163"/>
        <w:ind w:left="1723" w:right="1833"/>
        <w:jc w:val="both"/>
      </w:pP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reporte</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Naciones</w:t>
      </w:r>
      <w:r>
        <w:rPr>
          <w:color w:val="231F20"/>
          <w:spacing w:val="-14"/>
          <w:w w:val="105"/>
        </w:rPr>
        <w:t> </w:t>
      </w:r>
      <w:r>
        <w:rPr>
          <w:color w:val="231F20"/>
          <w:w w:val="105"/>
        </w:rPr>
        <w:t>Unidas</w:t>
      </w:r>
      <w:r>
        <w:rPr>
          <w:color w:val="231F20"/>
          <w:spacing w:val="-14"/>
          <w:w w:val="105"/>
        </w:rPr>
        <w:t> </w:t>
      </w:r>
      <w:r>
        <w:rPr>
          <w:color w:val="231F20"/>
          <w:w w:val="105"/>
        </w:rPr>
        <w:t>(2006)</w:t>
      </w:r>
      <w:r>
        <w:rPr>
          <w:color w:val="231F20"/>
          <w:spacing w:val="-14"/>
          <w:w w:val="105"/>
        </w:rPr>
        <w:t> </w:t>
      </w:r>
      <w:r>
        <w:rPr>
          <w:color w:val="231F20"/>
          <w:w w:val="105"/>
        </w:rPr>
        <w:t>sobre</w:t>
      </w:r>
      <w:r>
        <w:rPr>
          <w:color w:val="231F20"/>
          <w:spacing w:val="-14"/>
          <w:w w:val="105"/>
        </w:rPr>
        <w:t> </w:t>
      </w:r>
      <w:r>
        <w:rPr>
          <w:color w:val="231F20"/>
          <w:w w:val="105"/>
        </w:rPr>
        <w:t>mujeres y</w:t>
      </w:r>
      <w:r>
        <w:rPr>
          <w:color w:val="231F20"/>
          <w:spacing w:val="27"/>
          <w:w w:val="105"/>
        </w:rPr>
        <w:t> </w:t>
      </w:r>
      <w:r>
        <w:rPr>
          <w:color w:val="231F20"/>
          <w:w w:val="105"/>
        </w:rPr>
        <w:t>migración,</w:t>
      </w:r>
      <w:r>
        <w:rPr>
          <w:color w:val="231F20"/>
          <w:spacing w:val="22"/>
          <w:w w:val="105"/>
        </w:rPr>
        <w:t> </w:t>
      </w:r>
      <w:r>
        <w:rPr>
          <w:color w:val="231F20"/>
          <w:w w:val="105"/>
        </w:rPr>
        <w:t>50%</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personas</w:t>
      </w:r>
      <w:r>
        <w:rPr>
          <w:color w:val="231F20"/>
          <w:spacing w:val="27"/>
          <w:w w:val="105"/>
        </w:rPr>
        <w:t> </w:t>
      </w:r>
      <w:r>
        <w:rPr>
          <w:color w:val="231F20"/>
          <w:w w:val="105"/>
        </w:rPr>
        <w:t>migrantes</w:t>
      </w:r>
      <w:r>
        <w:rPr>
          <w:color w:val="231F20"/>
          <w:spacing w:val="27"/>
          <w:w w:val="105"/>
        </w:rPr>
        <w:t> </w:t>
      </w:r>
      <w:r>
        <w:rPr>
          <w:color w:val="231F20"/>
          <w:w w:val="105"/>
        </w:rPr>
        <w:t>que</w:t>
      </w:r>
      <w:r>
        <w:rPr>
          <w:color w:val="231F20"/>
          <w:spacing w:val="27"/>
          <w:w w:val="105"/>
        </w:rPr>
        <w:t> </w:t>
      </w:r>
      <w:r>
        <w:rPr>
          <w:color w:val="231F20"/>
          <w:w w:val="105"/>
        </w:rPr>
        <w:t>residen</w:t>
      </w:r>
      <w:r>
        <w:rPr>
          <w:color w:val="231F20"/>
          <w:spacing w:val="27"/>
          <w:w w:val="105"/>
        </w:rPr>
        <w:t> </w:t>
      </w:r>
      <w:r>
        <w:rPr>
          <w:color w:val="231F20"/>
          <w:w w:val="105"/>
        </w:rPr>
        <w:t>en</w:t>
      </w:r>
      <w:r>
        <w:rPr>
          <w:color w:val="231F20"/>
          <w:spacing w:val="27"/>
          <w:w w:val="105"/>
        </w:rPr>
        <w:t> </w:t>
      </w:r>
      <w:r>
        <w:rPr>
          <w:color w:val="231F20"/>
          <w:w w:val="105"/>
        </w:rPr>
        <w:t>un</w:t>
      </w:r>
      <w:r>
        <w:rPr>
          <w:color w:val="231F20"/>
          <w:spacing w:val="27"/>
          <w:w w:val="105"/>
        </w:rPr>
        <w:t> </w:t>
      </w:r>
      <w:r>
        <w:rPr>
          <w:color w:val="231F20"/>
          <w:w w:val="105"/>
        </w:rPr>
        <w:t>país</w:t>
      </w:r>
    </w:p>
    <w:p>
      <w:pPr>
        <w:pStyle w:val="BodyText"/>
        <w:spacing w:before="10"/>
        <w:rPr>
          <w:sz w:val="10"/>
        </w:rPr>
      </w:pPr>
      <w:r>
        <w:rPr/>
        <w:pict>
          <v:line style="position:absolute;mso-position-horizontal-relative:page;mso-position-vertical-relative:paragraph;z-index:31816;mso-wrap-distance-left:0;mso-wrap-distance-right:0" from="86.196899pt,8.263126pt" to="199.582899pt,8.263126pt" stroked="true" strokeweight=".25pt" strokecolor="#231f20">
            <w10:wrap type="topAndBottom"/>
          </v:line>
        </w:pict>
      </w:r>
    </w:p>
    <w:p>
      <w:pPr>
        <w:spacing w:line="194" w:lineRule="exact" w:before="8"/>
        <w:ind w:left="1723" w:right="0" w:firstLine="0"/>
        <w:jc w:val="left"/>
        <w:rPr>
          <w:rFonts w:ascii="Calibri"/>
          <w:sz w:val="16"/>
        </w:rPr>
      </w:pPr>
      <w:r>
        <w:rPr>
          <w:rFonts w:ascii="Calibri"/>
          <w:color w:val="414042"/>
          <w:position w:val="5"/>
          <w:sz w:val="9"/>
        </w:rPr>
        <w:t>1   </w:t>
      </w:r>
      <w:r>
        <w:rPr>
          <w:rFonts w:ascii="Calibri"/>
          <w:color w:val="414042"/>
          <w:sz w:val="14"/>
        </w:rPr>
        <w:t>IIRIRA</w:t>
      </w:r>
      <w:r>
        <w:rPr>
          <w:rFonts w:ascii="Calibri"/>
          <w:color w:val="414042"/>
          <w:sz w:val="16"/>
        </w:rPr>
        <w:t>: Illegal Immigration Reform and Immigrant Responsibility    Act.</w:t>
      </w:r>
    </w:p>
    <w:p>
      <w:pPr>
        <w:spacing w:line="194" w:lineRule="exact" w:before="0"/>
        <w:ind w:left="1723" w:right="0" w:firstLine="0"/>
        <w:jc w:val="left"/>
        <w:rPr>
          <w:rFonts w:ascii="Calibri"/>
          <w:sz w:val="16"/>
        </w:rPr>
      </w:pPr>
      <w:r>
        <w:rPr>
          <w:rFonts w:ascii="Calibri"/>
          <w:color w:val="414042"/>
          <w:w w:val="105"/>
          <w:position w:val="5"/>
          <w:sz w:val="9"/>
        </w:rPr>
        <w:t>2 </w:t>
      </w:r>
      <w:r>
        <w:rPr>
          <w:rFonts w:ascii="Calibri"/>
          <w:color w:val="414042"/>
          <w:w w:val="105"/>
          <w:sz w:val="14"/>
        </w:rPr>
        <w:t>AEDPA</w:t>
      </w:r>
      <w:r>
        <w:rPr>
          <w:rFonts w:ascii="Calibri"/>
          <w:color w:val="414042"/>
          <w:w w:val="105"/>
          <w:sz w:val="16"/>
        </w:rPr>
        <w:t>: Antiterrorism and Effective Death Penalty Act.</w:t>
      </w:r>
    </w:p>
    <w:p>
      <w:pPr>
        <w:pStyle w:val="BodyText"/>
        <w:rPr>
          <w:rFonts w:ascii="Calibri"/>
          <w:sz w:val="20"/>
        </w:rPr>
      </w:pPr>
    </w:p>
    <w:p>
      <w:pPr>
        <w:pStyle w:val="BodyText"/>
        <w:spacing w:before="10"/>
        <w:rPr>
          <w:rFonts w:ascii="Calibri"/>
          <w:sz w:val="2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8344" from="131.551193pt,3.703715pt" to="131.551193pt,39.506114pt" stroked="true" strokeweight=".35pt" strokecolor="#231f20">
            <w10:wrap type="none"/>
          </v:line>
        </w:pict>
      </w:r>
      <w:r>
        <w:rPr/>
        <w:pict>
          <v:line style="position:absolute;mso-position-horizontal-relative:page;mso-position-vertical-relative:paragraph;z-index:-458272" from="15pt,39.505917pt" to="0pt,39.505917pt" stroked="true" strokeweight=".25pt" strokecolor="#000000">
            <w10:wrap type="none"/>
          </v:line>
        </w:pict>
      </w:r>
      <w:r>
        <w:rPr/>
        <w:pict>
          <v:line style="position:absolute;mso-position-horizontal-relative:page;mso-position-vertical-relative:paragraph;z-index:31936" from="508.890015pt,39.505917pt" to="523.890015pt,39.505917pt" stroked="true" strokeweight=".25pt" strokecolor="#000000">
            <w10:wrap type="none"/>
          </v:line>
        </w:pict>
      </w:r>
      <w:r>
        <w:rPr>
          <w:rFonts w:ascii="Arial" w:hAnsi="Arial"/>
          <w:color w:val="414042"/>
          <w:position w:val="-5"/>
          <w:sz w:val="20"/>
        </w:rPr>
        <w:t>264</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1960" from="405.061005pt,-27.904295pt" to="405.061005pt,6.961579pt" stroked="true" strokeweight=".35pt" strokecolor="#231f20">
            <w10:wrap type="none"/>
          </v:line>
        </w:pict>
      </w:r>
      <w:r>
        <w:rPr/>
        <w:pict>
          <v:line style="position:absolute;mso-position-horizontal-relative:page;mso-position-vertical-relative:paragraph;z-index:31984" from="15pt,-27.90452pt" to="0pt,-27.90452pt" stroked="true" strokeweight=".25pt" strokecolor="#000000">
            <w10:wrap type="none"/>
          </v:line>
        </w:pict>
      </w:r>
      <w:r>
        <w:rPr/>
        <w:pict>
          <v:line style="position:absolute;mso-position-horizontal-relative:page;mso-position-vertical-relative:paragraph;z-index:32008"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265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5"/>
        <w:jc w:val="both"/>
      </w:pPr>
      <w:r>
        <w:rPr>
          <w:color w:val="231F20"/>
          <w:w w:val="105"/>
        </w:rPr>
        <w:t>distinto al de su nacimiento son mujeres. Señalar su presencia femeni- na en el proceso migratorio sirve para no reducir el papel de éstas a meras acompañantes o como parte de un movimiento de reunificación familiar, sino considerarlas actoras principales en dicho proceso, para así mostrar su contribución en las economías y sociedades de destino. En</w:t>
      </w:r>
      <w:r>
        <w:rPr>
          <w:color w:val="231F20"/>
          <w:spacing w:val="-11"/>
          <w:w w:val="105"/>
        </w:rPr>
        <w:t> </w:t>
      </w:r>
      <w:r>
        <w:rPr>
          <w:color w:val="231F20"/>
          <w:w w:val="105"/>
        </w:rPr>
        <w:t>el</w:t>
      </w:r>
      <w:r>
        <w:rPr>
          <w:color w:val="231F20"/>
          <w:spacing w:val="-11"/>
          <w:w w:val="105"/>
        </w:rPr>
        <w:t> </w:t>
      </w:r>
      <w:r>
        <w:rPr>
          <w:color w:val="231F20"/>
          <w:w w:val="105"/>
        </w:rPr>
        <w:t>caso</w:t>
      </w:r>
      <w:r>
        <w:rPr>
          <w:color w:val="231F20"/>
          <w:spacing w:val="-11"/>
          <w:w w:val="105"/>
        </w:rPr>
        <w:t> </w:t>
      </w:r>
      <w:r>
        <w:rPr>
          <w:color w:val="231F20"/>
          <w:w w:val="105"/>
        </w:rPr>
        <w:t>particular</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migración</w:t>
      </w:r>
      <w:r>
        <w:rPr>
          <w:color w:val="231F20"/>
          <w:spacing w:val="-11"/>
          <w:w w:val="105"/>
        </w:rPr>
        <w:t> </w:t>
      </w:r>
      <w:r>
        <w:rPr>
          <w:color w:val="231F20"/>
          <w:w w:val="105"/>
        </w:rPr>
        <w:t>mexicana</w:t>
      </w:r>
      <w:r>
        <w:rPr>
          <w:color w:val="231F20"/>
          <w:spacing w:val="-11"/>
          <w:w w:val="105"/>
        </w:rPr>
        <w:t> </w:t>
      </w:r>
      <w:r>
        <w:rPr>
          <w:color w:val="231F20"/>
          <w:w w:val="105"/>
        </w:rPr>
        <w:t>hacia</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6"/>
          <w:w w:val="105"/>
        </w:rPr>
        <w:t> </w:t>
      </w:r>
      <w:r>
        <w:rPr>
          <w:color w:val="231F20"/>
          <w:w w:val="105"/>
        </w:rPr>
        <w:t>el flujo de población migrante circular aún está principalmente</w:t>
      </w:r>
      <w:r>
        <w:rPr>
          <w:color w:val="231F20"/>
          <w:spacing w:val="-31"/>
          <w:w w:val="105"/>
        </w:rPr>
        <w:t> </w:t>
      </w:r>
      <w:r>
        <w:rPr>
          <w:color w:val="231F20"/>
          <w:w w:val="105"/>
        </w:rPr>
        <w:t>compuesto por</w:t>
      </w:r>
      <w:r>
        <w:rPr>
          <w:color w:val="231F20"/>
          <w:spacing w:val="-9"/>
          <w:w w:val="105"/>
        </w:rPr>
        <w:t> </w:t>
      </w:r>
      <w:r>
        <w:rPr>
          <w:color w:val="231F20"/>
          <w:w w:val="105"/>
        </w:rPr>
        <w:t>hombres</w:t>
      </w:r>
      <w:r>
        <w:rPr>
          <w:color w:val="231F20"/>
          <w:spacing w:val="-9"/>
          <w:w w:val="105"/>
        </w:rPr>
        <w:t> </w:t>
      </w:r>
      <w:r>
        <w:rPr>
          <w:color w:val="231F20"/>
          <w:w w:val="105"/>
        </w:rPr>
        <w:t>jóvenes</w:t>
      </w:r>
      <w:r>
        <w:rPr>
          <w:color w:val="231F20"/>
          <w:spacing w:val="-9"/>
          <w:w w:val="105"/>
        </w:rPr>
        <w:t> </w:t>
      </w:r>
      <w:r>
        <w:rPr>
          <w:color w:val="231F20"/>
          <w:w w:val="105"/>
        </w:rPr>
        <w:t>en</w:t>
      </w:r>
      <w:r>
        <w:rPr>
          <w:color w:val="231F20"/>
          <w:spacing w:val="-9"/>
          <w:w w:val="105"/>
        </w:rPr>
        <w:t> </w:t>
      </w:r>
      <w:r>
        <w:rPr>
          <w:color w:val="231F20"/>
          <w:w w:val="105"/>
        </w:rPr>
        <w:t>búsqueda</w:t>
      </w:r>
      <w:r>
        <w:rPr>
          <w:color w:val="231F20"/>
          <w:spacing w:val="-9"/>
          <w:w w:val="105"/>
        </w:rPr>
        <w:t> </w:t>
      </w:r>
      <w:r>
        <w:rPr>
          <w:color w:val="231F20"/>
          <w:w w:val="105"/>
        </w:rPr>
        <w:t>de</w:t>
      </w:r>
      <w:r>
        <w:rPr>
          <w:color w:val="231F20"/>
          <w:spacing w:val="-9"/>
          <w:w w:val="105"/>
        </w:rPr>
        <w:t> </w:t>
      </w:r>
      <w:r>
        <w:rPr>
          <w:color w:val="231F20"/>
          <w:w w:val="105"/>
        </w:rPr>
        <w:t>trabajo,</w:t>
      </w:r>
      <w:r>
        <w:rPr>
          <w:color w:val="231F20"/>
          <w:spacing w:val="-15"/>
          <w:w w:val="105"/>
        </w:rPr>
        <w:t> </w:t>
      </w:r>
      <w:r>
        <w:rPr>
          <w:color w:val="231F20"/>
          <w:w w:val="105"/>
        </w:rPr>
        <w:t>mientras</w:t>
      </w:r>
      <w:r>
        <w:rPr>
          <w:color w:val="231F20"/>
          <w:spacing w:val="-9"/>
          <w:w w:val="105"/>
        </w:rPr>
        <w:t> </w:t>
      </w:r>
      <w:r>
        <w:rPr>
          <w:color w:val="231F20"/>
          <w:w w:val="105"/>
        </w:rPr>
        <w:t>que</w:t>
      </w:r>
      <w:r>
        <w:rPr>
          <w:color w:val="231F20"/>
          <w:spacing w:val="-9"/>
          <w:w w:val="105"/>
        </w:rPr>
        <w:t> </w:t>
      </w:r>
      <w:r>
        <w:rPr>
          <w:color w:val="231F20"/>
          <w:w w:val="105"/>
        </w:rPr>
        <w:t>las</w:t>
      </w:r>
      <w:r>
        <w:rPr>
          <w:color w:val="231F20"/>
          <w:spacing w:val="-9"/>
          <w:w w:val="105"/>
        </w:rPr>
        <w:t> </w:t>
      </w:r>
      <w:r>
        <w:rPr>
          <w:color w:val="231F20"/>
          <w:w w:val="105"/>
        </w:rPr>
        <w:t>mujeres migran mayoritariamente con un propósito de reunificación familiar y  su desplazamiento se distingue por ser menos circular (Curran y Rive- ro-Fuentes,</w:t>
      </w:r>
      <w:r>
        <w:rPr>
          <w:color w:val="231F20"/>
          <w:spacing w:val="-34"/>
          <w:w w:val="105"/>
        </w:rPr>
        <w:t> </w:t>
      </w:r>
      <w:r>
        <w:rPr>
          <w:color w:val="231F20"/>
          <w:w w:val="105"/>
        </w:rPr>
        <w:t>2003).</w:t>
      </w:r>
      <w:r>
        <w:rPr>
          <w:color w:val="231F20"/>
          <w:spacing w:val="-34"/>
          <w:w w:val="105"/>
        </w:rPr>
        <w:t> </w:t>
      </w:r>
      <w:r>
        <w:rPr>
          <w:color w:val="231F20"/>
          <w:w w:val="105"/>
        </w:rPr>
        <w:t>En</w:t>
      </w:r>
      <w:r>
        <w:rPr>
          <w:color w:val="231F20"/>
          <w:spacing w:val="-30"/>
          <w:w w:val="105"/>
        </w:rPr>
        <w:t> </w:t>
      </w:r>
      <w:r>
        <w:rPr>
          <w:color w:val="231F20"/>
          <w:w w:val="105"/>
        </w:rPr>
        <w:t>décadas</w:t>
      </w:r>
      <w:r>
        <w:rPr>
          <w:color w:val="231F20"/>
          <w:spacing w:val="-30"/>
          <w:w w:val="105"/>
        </w:rPr>
        <w:t> </w:t>
      </w:r>
      <w:r>
        <w:rPr>
          <w:color w:val="231F20"/>
          <w:w w:val="105"/>
        </w:rPr>
        <w:t>recientes</w:t>
      </w:r>
      <w:r>
        <w:rPr>
          <w:color w:val="231F20"/>
          <w:spacing w:val="-30"/>
          <w:w w:val="105"/>
        </w:rPr>
        <w:t> </w:t>
      </w:r>
      <w:r>
        <w:rPr>
          <w:color w:val="231F20"/>
          <w:w w:val="105"/>
        </w:rPr>
        <w:t>se</w:t>
      </w:r>
      <w:r>
        <w:rPr>
          <w:color w:val="231F20"/>
          <w:spacing w:val="-30"/>
          <w:w w:val="105"/>
        </w:rPr>
        <w:t> </w:t>
      </w:r>
      <w:r>
        <w:rPr>
          <w:color w:val="231F20"/>
          <w:w w:val="105"/>
        </w:rPr>
        <w:t>ha</w:t>
      </w:r>
      <w:r>
        <w:rPr>
          <w:color w:val="231F20"/>
          <w:spacing w:val="-30"/>
          <w:w w:val="105"/>
        </w:rPr>
        <w:t> </w:t>
      </w:r>
      <w:r>
        <w:rPr>
          <w:color w:val="231F20"/>
          <w:w w:val="105"/>
        </w:rPr>
        <w:t>incrementado</w:t>
      </w:r>
      <w:r>
        <w:rPr>
          <w:color w:val="231F20"/>
          <w:spacing w:val="-30"/>
          <w:w w:val="105"/>
        </w:rPr>
        <w:t> </w:t>
      </w:r>
      <w:r>
        <w:rPr>
          <w:color w:val="231F20"/>
          <w:w w:val="105"/>
        </w:rPr>
        <w:t>la</w:t>
      </w:r>
      <w:r>
        <w:rPr>
          <w:color w:val="231F20"/>
          <w:spacing w:val="-30"/>
          <w:w w:val="105"/>
        </w:rPr>
        <w:t> </w:t>
      </w:r>
      <w:r>
        <w:rPr>
          <w:color w:val="231F20"/>
          <w:w w:val="105"/>
        </w:rPr>
        <w:t>demanda de</w:t>
      </w:r>
      <w:r>
        <w:rPr>
          <w:color w:val="231F20"/>
          <w:spacing w:val="-4"/>
          <w:w w:val="105"/>
        </w:rPr>
        <w:t> </w:t>
      </w:r>
      <w:r>
        <w:rPr>
          <w:color w:val="231F20"/>
          <w:w w:val="105"/>
        </w:rPr>
        <w:t>mano</w:t>
      </w:r>
      <w:r>
        <w:rPr>
          <w:color w:val="231F20"/>
          <w:spacing w:val="-4"/>
          <w:w w:val="105"/>
        </w:rPr>
        <w:t> </w:t>
      </w:r>
      <w:r>
        <w:rPr>
          <w:color w:val="231F20"/>
          <w:w w:val="105"/>
        </w:rPr>
        <w:t>de</w:t>
      </w:r>
      <w:r>
        <w:rPr>
          <w:color w:val="231F20"/>
          <w:spacing w:val="-4"/>
          <w:w w:val="105"/>
        </w:rPr>
        <w:t> </w:t>
      </w:r>
      <w:r>
        <w:rPr>
          <w:color w:val="231F20"/>
          <w:w w:val="105"/>
        </w:rPr>
        <w:t>obra</w:t>
      </w:r>
      <w:r>
        <w:rPr>
          <w:color w:val="231F20"/>
          <w:spacing w:val="-4"/>
          <w:w w:val="105"/>
        </w:rPr>
        <w:t> </w:t>
      </w:r>
      <w:r>
        <w:rPr>
          <w:color w:val="231F20"/>
          <w:w w:val="105"/>
        </w:rPr>
        <w:t>femenina,</w:t>
      </w:r>
      <w:r>
        <w:rPr>
          <w:color w:val="231F20"/>
          <w:spacing w:val="-10"/>
          <w:w w:val="105"/>
        </w:rPr>
        <w:t> </w:t>
      </w:r>
      <w:r>
        <w:rPr>
          <w:color w:val="231F20"/>
          <w:w w:val="105"/>
        </w:rPr>
        <w:t>lo</w:t>
      </w:r>
      <w:r>
        <w:rPr>
          <w:color w:val="231F20"/>
          <w:spacing w:val="-4"/>
          <w:w w:val="105"/>
        </w:rPr>
        <w:t> </w:t>
      </w:r>
      <w:r>
        <w:rPr>
          <w:color w:val="231F20"/>
          <w:w w:val="105"/>
        </w:rPr>
        <w:t>cual</w:t>
      </w:r>
      <w:r>
        <w:rPr>
          <w:color w:val="231F20"/>
          <w:spacing w:val="-4"/>
          <w:w w:val="105"/>
        </w:rPr>
        <w:t> </w:t>
      </w:r>
      <w:r>
        <w:rPr>
          <w:color w:val="231F20"/>
          <w:w w:val="105"/>
        </w:rPr>
        <w:t>ha</w:t>
      </w:r>
      <w:r>
        <w:rPr>
          <w:color w:val="231F20"/>
          <w:spacing w:val="-4"/>
          <w:w w:val="105"/>
        </w:rPr>
        <w:t> </w:t>
      </w:r>
      <w:r>
        <w:rPr>
          <w:color w:val="231F20"/>
          <w:w w:val="105"/>
        </w:rPr>
        <w:t>motivado</w:t>
      </w:r>
      <w:r>
        <w:rPr>
          <w:color w:val="231F20"/>
          <w:spacing w:val="-4"/>
          <w:w w:val="105"/>
        </w:rPr>
        <w:t> </w:t>
      </w:r>
      <w:r>
        <w:rPr>
          <w:color w:val="231F20"/>
          <w:w w:val="105"/>
        </w:rPr>
        <w:t>la</w:t>
      </w:r>
      <w:r>
        <w:rPr>
          <w:color w:val="231F20"/>
          <w:spacing w:val="-4"/>
          <w:w w:val="105"/>
        </w:rPr>
        <w:t> </w:t>
      </w:r>
      <w:r>
        <w:rPr>
          <w:color w:val="231F20"/>
          <w:w w:val="105"/>
        </w:rPr>
        <w:t>participación</w:t>
      </w:r>
      <w:r>
        <w:rPr>
          <w:color w:val="231F20"/>
          <w:spacing w:val="-4"/>
          <w:w w:val="105"/>
        </w:rPr>
        <w:t> </w:t>
      </w:r>
      <w:r>
        <w:rPr>
          <w:color w:val="231F20"/>
          <w:w w:val="105"/>
        </w:rPr>
        <w:t>de</w:t>
      </w:r>
      <w:r>
        <w:rPr>
          <w:color w:val="231F20"/>
          <w:spacing w:val="-4"/>
          <w:w w:val="105"/>
        </w:rPr>
        <w:t> </w:t>
      </w:r>
      <w:r>
        <w:rPr>
          <w:color w:val="231F20"/>
          <w:w w:val="105"/>
        </w:rPr>
        <w:t>ésta en la vida pública del país receptor. Es importante señalar dichos cam- bios en el comportamiento de las mujeres migrantes, pues el proceso migratorio es un factor importante de cambio social al exponer a las mujeres a oportunidades económicas y normas sociales distintas a las de su lugar de</w:t>
      </w:r>
      <w:r>
        <w:rPr>
          <w:color w:val="231F20"/>
          <w:spacing w:val="8"/>
          <w:w w:val="105"/>
        </w:rPr>
        <w:t> </w:t>
      </w:r>
      <w:r>
        <w:rPr>
          <w:color w:val="231F20"/>
          <w:w w:val="105"/>
        </w:rPr>
        <w:t>origen.</w:t>
      </w:r>
    </w:p>
    <w:p>
      <w:pPr>
        <w:pStyle w:val="BodyText"/>
        <w:spacing w:line="261" w:lineRule="auto" w:before="1"/>
        <w:ind w:left="1837" w:right="1715" w:firstLine="567"/>
        <w:jc w:val="both"/>
      </w:pPr>
      <w:r>
        <w:rPr>
          <w:color w:val="231F20"/>
          <w:spacing w:val="-6"/>
          <w:w w:val="105"/>
        </w:rPr>
        <w:t>Por </w:t>
      </w:r>
      <w:r>
        <w:rPr>
          <w:color w:val="231F20"/>
          <w:w w:val="105"/>
        </w:rPr>
        <w:t>lo anterior, una distinción entre sexos cuando se estudia el fenómeno migratorio, si bien resulta útil para entender las formas en que</w:t>
      </w:r>
      <w:r>
        <w:rPr>
          <w:color w:val="231F20"/>
          <w:spacing w:val="-4"/>
          <w:w w:val="105"/>
        </w:rPr>
        <w:t> </w:t>
      </w:r>
      <w:r>
        <w:rPr>
          <w:color w:val="231F20"/>
          <w:w w:val="105"/>
        </w:rPr>
        <w:t>los</w:t>
      </w:r>
      <w:r>
        <w:rPr>
          <w:color w:val="231F20"/>
          <w:spacing w:val="-4"/>
          <w:w w:val="105"/>
        </w:rPr>
        <w:t> </w:t>
      </w:r>
      <w:r>
        <w:rPr>
          <w:color w:val="231F20"/>
          <w:w w:val="105"/>
        </w:rPr>
        <w:t>patrones</w:t>
      </w:r>
      <w:r>
        <w:rPr>
          <w:color w:val="231F20"/>
          <w:spacing w:val="-4"/>
          <w:w w:val="105"/>
        </w:rPr>
        <w:t> </w:t>
      </w:r>
      <w:r>
        <w:rPr>
          <w:color w:val="231F20"/>
          <w:w w:val="105"/>
        </w:rPr>
        <w:t>han</w:t>
      </w:r>
      <w:r>
        <w:rPr>
          <w:color w:val="231F20"/>
          <w:spacing w:val="-4"/>
          <w:w w:val="105"/>
        </w:rPr>
        <w:t> </w:t>
      </w:r>
      <w:r>
        <w:rPr>
          <w:color w:val="231F20"/>
          <w:w w:val="105"/>
        </w:rPr>
        <w:t>cambiado</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tiempo,</w:t>
      </w:r>
      <w:r>
        <w:rPr>
          <w:color w:val="231F20"/>
          <w:spacing w:val="-11"/>
          <w:w w:val="105"/>
        </w:rPr>
        <w:t> </w:t>
      </w:r>
      <w:r>
        <w:rPr>
          <w:color w:val="231F20"/>
          <w:w w:val="105"/>
        </w:rPr>
        <w:t>no</w:t>
      </w:r>
      <w:r>
        <w:rPr>
          <w:color w:val="231F20"/>
          <w:spacing w:val="-4"/>
          <w:w w:val="105"/>
        </w:rPr>
        <w:t> </w:t>
      </w:r>
      <w:r>
        <w:rPr>
          <w:color w:val="231F20"/>
          <w:w w:val="105"/>
        </w:rPr>
        <w:t>es</w:t>
      </w:r>
      <w:r>
        <w:rPr>
          <w:color w:val="231F20"/>
          <w:spacing w:val="-4"/>
          <w:w w:val="105"/>
        </w:rPr>
        <w:t> </w:t>
      </w:r>
      <w:r>
        <w:rPr>
          <w:color w:val="231F20"/>
          <w:w w:val="105"/>
        </w:rPr>
        <w:t>suficiente.</w:t>
      </w:r>
      <w:r>
        <w:rPr>
          <w:color w:val="231F20"/>
          <w:spacing w:val="-11"/>
          <w:w w:val="105"/>
        </w:rPr>
        <w:t> </w:t>
      </w:r>
      <w:r>
        <w:rPr>
          <w:color w:val="231F20"/>
          <w:w w:val="105"/>
        </w:rPr>
        <w:t>Esta</w:t>
      </w:r>
      <w:r>
        <w:rPr>
          <w:color w:val="231F20"/>
          <w:spacing w:val="-4"/>
          <w:w w:val="105"/>
        </w:rPr>
        <w:t> </w:t>
      </w:r>
      <w:r>
        <w:rPr>
          <w:color w:val="231F20"/>
          <w:w w:val="105"/>
        </w:rPr>
        <w:t>ten- dencia en los estudios de género y migración ha sido notada con ante- rioridad,</w:t>
      </w:r>
      <w:r>
        <w:rPr>
          <w:color w:val="231F20"/>
          <w:spacing w:val="-13"/>
          <w:w w:val="105"/>
        </w:rPr>
        <w:t> </w:t>
      </w:r>
      <w:r>
        <w:rPr>
          <w:color w:val="231F20"/>
          <w:w w:val="105"/>
        </w:rPr>
        <w:t>y</w:t>
      </w:r>
      <w:r>
        <w:rPr>
          <w:color w:val="231F20"/>
          <w:spacing w:val="-8"/>
          <w:w w:val="105"/>
        </w:rPr>
        <w:t> </w:t>
      </w:r>
      <w:r>
        <w:rPr>
          <w:color w:val="231F20"/>
          <w:w w:val="105"/>
        </w:rPr>
        <w:t>reconoce</w:t>
      </w:r>
      <w:r>
        <w:rPr>
          <w:color w:val="231F20"/>
          <w:spacing w:val="-8"/>
          <w:w w:val="105"/>
        </w:rPr>
        <w:t> </w:t>
      </w:r>
      <w:r>
        <w:rPr>
          <w:color w:val="231F20"/>
          <w:w w:val="105"/>
        </w:rPr>
        <w:t>la</w:t>
      </w:r>
      <w:r>
        <w:rPr>
          <w:color w:val="231F20"/>
          <w:spacing w:val="-8"/>
          <w:w w:val="105"/>
        </w:rPr>
        <w:t> </w:t>
      </w:r>
      <w:r>
        <w:rPr>
          <w:color w:val="231F20"/>
          <w:w w:val="105"/>
        </w:rPr>
        <w:t>necesidad</w:t>
      </w:r>
      <w:r>
        <w:rPr>
          <w:color w:val="231F20"/>
          <w:spacing w:val="-8"/>
          <w:w w:val="105"/>
        </w:rPr>
        <w:t> </w:t>
      </w:r>
      <w:r>
        <w:rPr>
          <w:color w:val="231F20"/>
          <w:w w:val="105"/>
        </w:rPr>
        <w:t>de</w:t>
      </w:r>
      <w:r>
        <w:rPr>
          <w:color w:val="231F20"/>
          <w:spacing w:val="-8"/>
          <w:w w:val="105"/>
        </w:rPr>
        <w:t> </w:t>
      </w:r>
      <w:r>
        <w:rPr>
          <w:color w:val="231F20"/>
          <w:w w:val="105"/>
        </w:rPr>
        <w:t>analizar</w:t>
      </w:r>
      <w:r>
        <w:rPr>
          <w:color w:val="231F20"/>
          <w:spacing w:val="-8"/>
          <w:w w:val="105"/>
        </w:rPr>
        <w:t> </w:t>
      </w:r>
      <w:r>
        <w:rPr>
          <w:color w:val="231F20"/>
          <w:w w:val="105"/>
        </w:rPr>
        <w:t>el</w:t>
      </w:r>
      <w:r>
        <w:rPr>
          <w:color w:val="231F20"/>
          <w:spacing w:val="-8"/>
          <w:w w:val="105"/>
        </w:rPr>
        <w:t> </w:t>
      </w:r>
      <w:r>
        <w:rPr>
          <w:color w:val="231F20"/>
          <w:w w:val="105"/>
        </w:rPr>
        <w:t>fenómeno</w:t>
      </w:r>
      <w:r>
        <w:rPr>
          <w:color w:val="231F20"/>
          <w:spacing w:val="-8"/>
          <w:w w:val="105"/>
        </w:rPr>
        <w:t> </w:t>
      </w:r>
      <w:r>
        <w:rPr>
          <w:color w:val="231F20"/>
          <w:w w:val="105"/>
        </w:rPr>
        <w:t>migratorio</w:t>
      </w:r>
      <w:r>
        <w:rPr>
          <w:color w:val="231F20"/>
          <w:spacing w:val="-8"/>
          <w:w w:val="105"/>
        </w:rPr>
        <w:t> </w:t>
      </w:r>
      <w:r>
        <w:rPr>
          <w:color w:val="231F20"/>
          <w:w w:val="105"/>
        </w:rPr>
        <w:t>de forma</w:t>
      </w:r>
      <w:r>
        <w:rPr>
          <w:color w:val="231F20"/>
          <w:spacing w:val="-13"/>
          <w:w w:val="105"/>
        </w:rPr>
        <w:t> </w:t>
      </w:r>
      <w:r>
        <w:rPr>
          <w:color w:val="231F20"/>
          <w:w w:val="105"/>
        </w:rPr>
        <w:t>diferente</w:t>
      </w:r>
      <w:r>
        <w:rPr>
          <w:color w:val="231F20"/>
          <w:spacing w:val="-13"/>
          <w:w w:val="105"/>
        </w:rPr>
        <w:t> </w:t>
      </w:r>
      <w:r>
        <w:rPr>
          <w:color w:val="231F20"/>
          <w:w w:val="105"/>
        </w:rPr>
        <w:t>para</w:t>
      </w:r>
      <w:r>
        <w:rPr>
          <w:color w:val="231F20"/>
          <w:spacing w:val="-13"/>
          <w:w w:val="105"/>
        </w:rPr>
        <w:t> </w:t>
      </w:r>
      <w:r>
        <w:rPr>
          <w:color w:val="231F20"/>
          <w:w w:val="105"/>
        </w:rPr>
        <w:t>hombres</w:t>
      </w:r>
      <w:r>
        <w:rPr>
          <w:color w:val="231F20"/>
          <w:spacing w:val="-13"/>
          <w:w w:val="105"/>
        </w:rPr>
        <w:t> </w:t>
      </w:r>
      <w:r>
        <w:rPr>
          <w:color w:val="231F20"/>
          <w:w w:val="105"/>
        </w:rPr>
        <w:t>y</w:t>
      </w:r>
      <w:r>
        <w:rPr>
          <w:color w:val="231F20"/>
          <w:spacing w:val="-13"/>
          <w:w w:val="105"/>
        </w:rPr>
        <w:t> </w:t>
      </w:r>
      <w:r>
        <w:rPr>
          <w:color w:val="231F20"/>
          <w:w w:val="105"/>
        </w:rPr>
        <w:t>mujeres,</w:t>
      </w:r>
      <w:r>
        <w:rPr>
          <w:color w:val="231F20"/>
          <w:spacing w:val="-18"/>
          <w:w w:val="105"/>
        </w:rPr>
        <w:t> </w:t>
      </w:r>
      <w:r>
        <w:rPr>
          <w:color w:val="231F20"/>
          <w:w w:val="105"/>
        </w:rPr>
        <w:t>más</w:t>
      </w:r>
      <w:r>
        <w:rPr>
          <w:color w:val="231F20"/>
          <w:spacing w:val="-13"/>
          <w:w w:val="105"/>
        </w:rPr>
        <w:t> </w:t>
      </w:r>
      <w:r>
        <w:rPr>
          <w:color w:val="231F20"/>
          <w:w w:val="105"/>
        </w:rPr>
        <w:t>allá</w:t>
      </w:r>
      <w:r>
        <w:rPr>
          <w:color w:val="231F20"/>
          <w:spacing w:val="-13"/>
          <w:w w:val="105"/>
        </w:rPr>
        <w:t> </w:t>
      </w:r>
      <w:r>
        <w:rPr>
          <w:color w:val="231F20"/>
          <w:w w:val="105"/>
        </w:rPr>
        <w:t>de</w:t>
      </w:r>
      <w:r>
        <w:rPr>
          <w:color w:val="231F20"/>
          <w:spacing w:val="-13"/>
          <w:w w:val="105"/>
        </w:rPr>
        <w:t> </w:t>
      </w:r>
      <w:r>
        <w:rPr>
          <w:color w:val="231F20"/>
          <w:w w:val="105"/>
        </w:rPr>
        <w:t>simplemente</w:t>
      </w:r>
      <w:r>
        <w:rPr>
          <w:color w:val="231F20"/>
          <w:spacing w:val="-13"/>
          <w:w w:val="105"/>
        </w:rPr>
        <w:t> </w:t>
      </w:r>
      <w:r>
        <w:rPr>
          <w:color w:val="231F20"/>
          <w:w w:val="105"/>
        </w:rPr>
        <w:t>agre- gar</w:t>
      </w:r>
      <w:r>
        <w:rPr>
          <w:color w:val="231F20"/>
          <w:spacing w:val="-4"/>
          <w:w w:val="105"/>
        </w:rPr>
        <w:t> </w:t>
      </w:r>
      <w:r>
        <w:rPr>
          <w:color w:val="231F20"/>
          <w:w w:val="105"/>
        </w:rPr>
        <w:t>controles</w:t>
      </w:r>
      <w:r>
        <w:rPr>
          <w:color w:val="231F20"/>
          <w:spacing w:val="-4"/>
          <w:w w:val="105"/>
        </w:rPr>
        <w:t> </w:t>
      </w:r>
      <w:r>
        <w:rPr>
          <w:color w:val="231F20"/>
          <w:w w:val="105"/>
        </w:rPr>
        <w:t>por</w:t>
      </w:r>
      <w:r>
        <w:rPr>
          <w:color w:val="231F20"/>
          <w:spacing w:val="-4"/>
          <w:w w:val="105"/>
        </w:rPr>
        <w:t> </w:t>
      </w:r>
      <w:r>
        <w:rPr>
          <w:color w:val="231F20"/>
          <w:w w:val="105"/>
        </w:rPr>
        <w:t>sexo,</w:t>
      </w:r>
      <w:r>
        <w:rPr>
          <w:color w:val="231F20"/>
          <w:spacing w:val="-9"/>
          <w:w w:val="105"/>
        </w:rPr>
        <w:t> </w:t>
      </w:r>
      <w:r>
        <w:rPr>
          <w:color w:val="231F20"/>
          <w:w w:val="105"/>
        </w:rPr>
        <w:t>es</w:t>
      </w:r>
      <w:r>
        <w:rPr>
          <w:color w:val="231F20"/>
          <w:spacing w:val="-4"/>
          <w:w w:val="105"/>
        </w:rPr>
        <w:t> </w:t>
      </w:r>
      <w:r>
        <w:rPr>
          <w:color w:val="231F20"/>
          <w:w w:val="105"/>
        </w:rPr>
        <w:t>decir,</w:t>
      </w:r>
      <w:r>
        <w:rPr>
          <w:color w:val="231F20"/>
          <w:spacing w:val="-9"/>
          <w:w w:val="105"/>
        </w:rPr>
        <w:t> </w:t>
      </w:r>
      <w:r>
        <w:rPr>
          <w:color w:val="231F20"/>
          <w:w w:val="105"/>
        </w:rPr>
        <w:t>más</w:t>
      </w:r>
      <w:r>
        <w:rPr>
          <w:color w:val="231F20"/>
          <w:spacing w:val="-4"/>
          <w:w w:val="105"/>
        </w:rPr>
        <w:t> </w:t>
      </w:r>
      <w:r>
        <w:rPr>
          <w:color w:val="231F20"/>
          <w:w w:val="105"/>
        </w:rPr>
        <w:t>allá</w:t>
      </w:r>
      <w:r>
        <w:rPr>
          <w:color w:val="231F20"/>
          <w:spacing w:val="-4"/>
          <w:w w:val="105"/>
        </w:rPr>
        <w:t> </w:t>
      </w:r>
      <w:r>
        <w:rPr>
          <w:color w:val="231F20"/>
          <w:w w:val="105"/>
        </w:rPr>
        <w:t>del</w:t>
      </w:r>
      <w:r>
        <w:rPr>
          <w:color w:val="231F20"/>
          <w:spacing w:val="-4"/>
          <w:w w:val="105"/>
        </w:rPr>
        <w:t> </w:t>
      </w:r>
      <w:r>
        <w:rPr>
          <w:color w:val="231F20"/>
          <w:w w:val="105"/>
        </w:rPr>
        <w:t>simple</w:t>
      </w:r>
      <w:r>
        <w:rPr>
          <w:color w:val="231F20"/>
          <w:spacing w:val="-4"/>
          <w:w w:val="105"/>
        </w:rPr>
        <w:t> </w:t>
      </w:r>
      <w:r>
        <w:rPr>
          <w:color w:val="231F20"/>
          <w:w w:val="105"/>
        </w:rPr>
        <w:t>“</w:t>
      </w:r>
      <w:r>
        <w:rPr>
          <w:rFonts w:ascii="Arial" w:hAnsi="Arial"/>
          <w:i/>
          <w:color w:val="231F20"/>
          <w:w w:val="105"/>
        </w:rPr>
        <w:t>agregar</w:t>
      </w:r>
      <w:r>
        <w:rPr>
          <w:rFonts w:ascii="Arial" w:hAnsi="Arial"/>
          <w:i/>
          <w:color w:val="231F20"/>
          <w:spacing w:val="-7"/>
          <w:w w:val="105"/>
        </w:rPr>
        <w:t> </w:t>
      </w:r>
      <w:r>
        <w:rPr>
          <w:rFonts w:ascii="Arial" w:hAnsi="Arial"/>
          <w:i/>
          <w:color w:val="231F20"/>
          <w:w w:val="105"/>
        </w:rPr>
        <w:t>mujeres</w:t>
      </w:r>
      <w:r>
        <w:rPr>
          <w:rFonts w:ascii="Arial" w:hAnsi="Arial"/>
          <w:i/>
          <w:color w:val="231F20"/>
          <w:spacing w:val="-7"/>
          <w:w w:val="105"/>
        </w:rPr>
        <w:t> </w:t>
      </w:r>
      <w:r>
        <w:rPr>
          <w:rFonts w:ascii="Arial" w:hAnsi="Arial"/>
          <w:i/>
          <w:color w:val="231F20"/>
          <w:w w:val="105"/>
        </w:rPr>
        <w:t>y </w:t>
      </w:r>
      <w:r>
        <w:rPr>
          <w:rFonts w:ascii="Arial" w:hAnsi="Arial"/>
          <w:i/>
          <w:color w:val="231F20"/>
          <w:w w:val="105"/>
        </w:rPr>
        <w:t>mezclar”</w:t>
      </w:r>
      <w:r>
        <w:rPr>
          <w:rFonts w:ascii="Arial" w:hAnsi="Arial"/>
          <w:i/>
          <w:color w:val="231F20"/>
          <w:spacing w:val="-14"/>
          <w:w w:val="105"/>
        </w:rPr>
        <w:t> </w:t>
      </w:r>
      <w:r>
        <w:rPr>
          <w:color w:val="231F20"/>
          <w:w w:val="105"/>
        </w:rPr>
        <w:t>(Curran,</w:t>
      </w:r>
      <w:r>
        <w:rPr>
          <w:color w:val="231F20"/>
          <w:spacing w:val="-16"/>
          <w:w w:val="105"/>
        </w:rPr>
        <w:t> </w:t>
      </w:r>
      <w:r>
        <w:rPr>
          <w:color w:val="231F20"/>
          <w:w w:val="105"/>
        </w:rPr>
        <w:t>Shafer,</w:t>
      </w:r>
      <w:r>
        <w:rPr>
          <w:color w:val="231F20"/>
          <w:spacing w:val="-16"/>
          <w:w w:val="105"/>
        </w:rPr>
        <w:t> </w:t>
      </w:r>
      <w:r>
        <w:rPr>
          <w:color w:val="231F20"/>
          <w:w w:val="105"/>
        </w:rPr>
        <w:t>Donato</w:t>
      </w:r>
      <w:r>
        <w:rPr>
          <w:color w:val="231F20"/>
          <w:spacing w:val="-12"/>
          <w:w w:val="105"/>
        </w:rPr>
        <w:t> </w:t>
      </w:r>
      <w:r>
        <w:rPr>
          <w:color w:val="231F20"/>
          <w:w w:val="105"/>
        </w:rPr>
        <w:t>y</w:t>
      </w:r>
      <w:r>
        <w:rPr>
          <w:color w:val="231F20"/>
          <w:spacing w:val="-12"/>
          <w:w w:val="105"/>
        </w:rPr>
        <w:t> </w:t>
      </w:r>
      <w:r>
        <w:rPr>
          <w:color w:val="231F20"/>
          <w:w w:val="105"/>
        </w:rPr>
        <w:t>Garip,</w:t>
      </w:r>
      <w:r>
        <w:rPr>
          <w:color w:val="231F20"/>
          <w:spacing w:val="-16"/>
          <w:w w:val="105"/>
        </w:rPr>
        <w:t> </w:t>
      </w:r>
      <w:r>
        <w:rPr>
          <w:color w:val="231F20"/>
          <w:w w:val="105"/>
        </w:rPr>
        <w:t>2006)</w:t>
      </w:r>
      <w:r>
        <w:rPr>
          <w:rFonts w:ascii="Arial" w:hAnsi="Arial"/>
          <w:i/>
          <w:color w:val="231F20"/>
          <w:w w:val="105"/>
        </w:rPr>
        <w:t>.</w:t>
      </w:r>
      <w:r>
        <w:rPr>
          <w:rFonts w:ascii="Arial" w:hAnsi="Arial"/>
          <w:i/>
          <w:color w:val="231F20"/>
          <w:spacing w:val="-14"/>
          <w:w w:val="105"/>
        </w:rPr>
        <w:t> </w:t>
      </w:r>
      <w:r>
        <w:rPr>
          <w:color w:val="231F20"/>
          <w:w w:val="105"/>
        </w:rPr>
        <w:t>Se</w:t>
      </w:r>
      <w:r>
        <w:rPr>
          <w:color w:val="231F20"/>
          <w:spacing w:val="-12"/>
          <w:w w:val="105"/>
        </w:rPr>
        <w:t> </w:t>
      </w:r>
      <w:r>
        <w:rPr>
          <w:color w:val="231F20"/>
          <w:w w:val="105"/>
        </w:rPr>
        <w:t>necesita</w:t>
      </w:r>
      <w:r>
        <w:rPr>
          <w:color w:val="231F20"/>
          <w:spacing w:val="-12"/>
          <w:w w:val="105"/>
        </w:rPr>
        <w:t> </w:t>
      </w:r>
      <w:r>
        <w:rPr>
          <w:color w:val="231F20"/>
          <w:w w:val="105"/>
        </w:rPr>
        <w:t>incorporar otra dimensión que involucre las relaciones de poder regentes de las decisiones en el proceso migratorio; en específico, una perspectiva de género</w:t>
      </w:r>
      <w:r>
        <w:rPr>
          <w:color w:val="231F20"/>
          <w:spacing w:val="-9"/>
          <w:w w:val="105"/>
        </w:rPr>
        <w:t> </w:t>
      </w:r>
      <w:r>
        <w:rPr>
          <w:color w:val="231F20"/>
          <w:w w:val="105"/>
        </w:rPr>
        <w:t>que</w:t>
      </w:r>
      <w:r>
        <w:rPr>
          <w:color w:val="231F20"/>
          <w:spacing w:val="-9"/>
          <w:w w:val="105"/>
        </w:rPr>
        <w:t> </w:t>
      </w:r>
      <w:r>
        <w:rPr>
          <w:color w:val="231F20"/>
          <w:w w:val="105"/>
        </w:rPr>
        <w:t>pueda</w:t>
      </w:r>
      <w:r>
        <w:rPr>
          <w:color w:val="231F20"/>
          <w:spacing w:val="-9"/>
          <w:w w:val="105"/>
        </w:rPr>
        <w:t> </w:t>
      </w:r>
      <w:r>
        <w:rPr>
          <w:color w:val="231F20"/>
          <w:w w:val="105"/>
        </w:rPr>
        <w:t>dar</w:t>
      </w:r>
      <w:r>
        <w:rPr>
          <w:color w:val="231F20"/>
          <w:spacing w:val="-9"/>
          <w:w w:val="105"/>
        </w:rPr>
        <w:t> </w:t>
      </w:r>
      <w:r>
        <w:rPr>
          <w:color w:val="231F20"/>
          <w:w w:val="105"/>
        </w:rPr>
        <w:t>cuenta</w:t>
      </w:r>
      <w:r>
        <w:rPr>
          <w:color w:val="231F20"/>
          <w:spacing w:val="-9"/>
          <w:w w:val="105"/>
        </w:rPr>
        <w:t> </w:t>
      </w:r>
      <w:r>
        <w:rPr>
          <w:color w:val="231F20"/>
          <w:w w:val="105"/>
        </w:rPr>
        <w:t>del</w:t>
      </w:r>
      <w:r>
        <w:rPr>
          <w:color w:val="231F20"/>
          <w:spacing w:val="-9"/>
          <w:w w:val="105"/>
        </w:rPr>
        <w:t> </w:t>
      </w:r>
      <w:r>
        <w:rPr>
          <w:color w:val="231F20"/>
          <w:w w:val="105"/>
        </w:rPr>
        <w:t>por</w:t>
      </w:r>
      <w:r>
        <w:rPr>
          <w:color w:val="231F20"/>
          <w:spacing w:val="-9"/>
          <w:w w:val="105"/>
        </w:rPr>
        <w:t> </w:t>
      </w:r>
      <w:r>
        <w:rPr>
          <w:color w:val="231F20"/>
          <w:w w:val="105"/>
        </w:rPr>
        <w:t>qué</w:t>
      </w:r>
      <w:r>
        <w:rPr>
          <w:color w:val="231F20"/>
          <w:spacing w:val="-9"/>
          <w:w w:val="105"/>
        </w:rPr>
        <w:t> </w:t>
      </w:r>
      <w:r>
        <w:rPr>
          <w:color w:val="231F20"/>
          <w:w w:val="105"/>
        </w:rPr>
        <w:t>se</w:t>
      </w:r>
      <w:r>
        <w:rPr>
          <w:color w:val="231F20"/>
          <w:spacing w:val="-9"/>
          <w:w w:val="105"/>
        </w:rPr>
        <w:t> </w:t>
      </w:r>
      <w:r>
        <w:rPr>
          <w:color w:val="231F20"/>
          <w:w w:val="105"/>
        </w:rPr>
        <w:t>da</w:t>
      </w:r>
      <w:r>
        <w:rPr>
          <w:color w:val="231F20"/>
          <w:spacing w:val="-9"/>
          <w:w w:val="105"/>
        </w:rPr>
        <w:t> </w:t>
      </w:r>
      <w:r>
        <w:rPr>
          <w:color w:val="231F20"/>
          <w:w w:val="105"/>
        </w:rPr>
        <w:t>la</w:t>
      </w:r>
      <w:r>
        <w:rPr>
          <w:color w:val="231F20"/>
          <w:spacing w:val="-9"/>
          <w:w w:val="105"/>
        </w:rPr>
        <w:t> </w:t>
      </w:r>
      <w:r>
        <w:rPr>
          <w:color w:val="231F20"/>
          <w:w w:val="105"/>
        </w:rPr>
        <w:t>elección</w:t>
      </w:r>
      <w:r>
        <w:rPr>
          <w:color w:val="231F20"/>
          <w:spacing w:val="-9"/>
          <w:w w:val="105"/>
        </w:rPr>
        <w:t> </w:t>
      </w:r>
      <w:r>
        <w:rPr>
          <w:color w:val="231F20"/>
          <w:w w:val="105"/>
        </w:rPr>
        <w:t>de</w:t>
      </w:r>
      <w:r>
        <w:rPr>
          <w:color w:val="231F20"/>
          <w:spacing w:val="-9"/>
          <w:w w:val="105"/>
        </w:rPr>
        <w:t> </w:t>
      </w:r>
      <w:r>
        <w:rPr>
          <w:color w:val="231F20"/>
          <w:w w:val="105"/>
        </w:rPr>
        <w:t>migrar</w:t>
      </w:r>
      <w:r>
        <w:rPr>
          <w:color w:val="231F20"/>
          <w:spacing w:val="-9"/>
          <w:w w:val="105"/>
        </w:rPr>
        <w:t> </w:t>
      </w:r>
      <w:r>
        <w:rPr>
          <w:color w:val="231F20"/>
          <w:w w:val="105"/>
        </w:rPr>
        <w:t>en pareja o de manera individual si se está en una unión conyugal, o</w:t>
      </w:r>
      <w:r>
        <w:rPr>
          <w:color w:val="231F20"/>
          <w:spacing w:val="-7"/>
          <w:w w:val="105"/>
        </w:rPr>
        <w:t> </w:t>
      </w:r>
      <w:r>
        <w:rPr>
          <w:color w:val="231F20"/>
          <w:w w:val="105"/>
        </w:rPr>
        <w:t>bien, para</w:t>
      </w:r>
      <w:r>
        <w:rPr>
          <w:color w:val="231F20"/>
          <w:spacing w:val="-17"/>
          <w:w w:val="105"/>
        </w:rPr>
        <w:t> </w:t>
      </w:r>
      <w:r>
        <w:rPr>
          <w:color w:val="231F20"/>
          <w:w w:val="105"/>
        </w:rPr>
        <w:t>explicar</w:t>
      </w:r>
      <w:r>
        <w:rPr>
          <w:color w:val="231F20"/>
          <w:spacing w:val="-17"/>
          <w:w w:val="105"/>
        </w:rPr>
        <w:t> </w:t>
      </w:r>
      <w:r>
        <w:rPr>
          <w:color w:val="231F20"/>
          <w:w w:val="105"/>
        </w:rPr>
        <w:t>por</w:t>
      </w:r>
      <w:r>
        <w:rPr>
          <w:color w:val="231F20"/>
          <w:spacing w:val="-17"/>
          <w:w w:val="105"/>
        </w:rPr>
        <w:t> </w:t>
      </w:r>
      <w:r>
        <w:rPr>
          <w:color w:val="231F20"/>
          <w:w w:val="105"/>
        </w:rPr>
        <w:t>qué</w:t>
      </w:r>
      <w:r>
        <w:rPr>
          <w:color w:val="231F20"/>
          <w:spacing w:val="-17"/>
          <w:w w:val="105"/>
        </w:rPr>
        <w:t> </w:t>
      </w:r>
      <w:r>
        <w:rPr>
          <w:color w:val="231F20"/>
          <w:w w:val="105"/>
        </w:rPr>
        <w:t>en</w:t>
      </w:r>
      <w:r>
        <w:rPr>
          <w:color w:val="231F20"/>
          <w:spacing w:val="-17"/>
          <w:w w:val="105"/>
        </w:rPr>
        <w:t> </w:t>
      </w:r>
      <w:r>
        <w:rPr>
          <w:color w:val="231F20"/>
          <w:w w:val="105"/>
        </w:rPr>
        <w:t>las</w:t>
      </w:r>
      <w:r>
        <w:rPr>
          <w:color w:val="231F20"/>
          <w:spacing w:val="-17"/>
          <w:w w:val="105"/>
        </w:rPr>
        <w:t> </w:t>
      </w:r>
      <w:r>
        <w:rPr>
          <w:color w:val="231F20"/>
          <w:w w:val="105"/>
        </w:rPr>
        <w:t>familias</w:t>
      </w:r>
      <w:r>
        <w:rPr>
          <w:color w:val="231F20"/>
          <w:spacing w:val="-17"/>
          <w:w w:val="105"/>
        </w:rPr>
        <w:t> </w:t>
      </w:r>
      <w:r>
        <w:rPr>
          <w:color w:val="231F20"/>
          <w:w w:val="105"/>
        </w:rPr>
        <w:t>se</w:t>
      </w:r>
      <w:r>
        <w:rPr>
          <w:color w:val="231F20"/>
          <w:spacing w:val="-17"/>
          <w:w w:val="105"/>
        </w:rPr>
        <w:t> </w:t>
      </w:r>
      <w:r>
        <w:rPr>
          <w:color w:val="231F20"/>
          <w:w w:val="105"/>
        </w:rPr>
        <w:t>elige</w:t>
      </w:r>
      <w:r>
        <w:rPr>
          <w:color w:val="231F20"/>
          <w:spacing w:val="-17"/>
          <w:w w:val="105"/>
        </w:rPr>
        <w:t> </w:t>
      </w:r>
      <w:r>
        <w:rPr>
          <w:color w:val="231F20"/>
          <w:w w:val="105"/>
        </w:rPr>
        <w:t>a</w:t>
      </w:r>
      <w:r>
        <w:rPr>
          <w:color w:val="231F20"/>
          <w:spacing w:val="-17"/>
          <w:w w:val="105"/>
        </w:rPr>
        <w:t> </w:t>
      </w:r>
      <w:r>
        <w:rPr>
          <w:color w:val="231F20"/>
          <w:w w:val="105"/>
        </w:rPr>
        <w:t>un</w:t>
      </w:r>
      <w:r>
        <w:rPr>
          <w:color w:val="231F20"/>
          <w:spacing w:val="-17"/>
          <w:w w:val="105"/>
        </w:rPr>
        <w:t> </w:t>
      </w:r>
      <w:r>
        <w:rPr>
          <w:color w:val="231F20"/>
          <w:w w:val="105"/>
        </w:rPr>
        <w:t>miembro</w:t>
      </w:r>
      <w:r>
        <w:rPr>
          <w:color w:val="231F20"/>
          <w:spacing w:val="-17"/>
          <w:w w:val="105"/>
        </w:rPr>
        <w:t> </w:t>
      </w:r>
      <w:r>
        <w:rPr>
          <w:color w:val="231F20"/>
          <w:w w:val="105"/>
        </w:rPr>
        <w:t>y</w:t>
      </w:r>
      <w:r>
        <w:rPr>
          <w:color w:val="231F20"/>
          <w:spacing w:val="-17"/>
          <w:w w:val="105"/>
        </w:rPr>
        <w:t> </w:t>
      </w:r>
      <w:r>
        <w:rPr>
          <w:color w:val="231F20"/>
          <w:w w:val="105"/>
        </w:rPr>
        <w:t>no</w:t>
      </w:r>
      <w:r>
        <w:rPr>
          <w:color w:val="231F20"/>
          <w:spacing w:val="-17"/>
          <w:w w:val="105"/>
        </w:rPr>
        <w:t> </w:t>
      </w:r>
      <w:r>
        <w:rPr>
          <w:color w:val="231F20"/>
          <w:w w:val="105"/>
        </w:rPr>
        <w:t>otro</w:t>
      </w:r>
      <w:r>
        <w:rPr>
          <w:color w:val="231F20"/>
          <w:spacing w:val="-17"/>
          <w:w w:val="105"/>
        </w:rPr>
        <w:t> </w:t>
      </w:r>
      <w:r>
        <w:rPr>
          <w:color w:val="231F20"/>
          <w:w w:val="105"/>
        </w:rPr>
        <w:t>para hacer</w:t>
      </w:r>
      <w:r>
        <w:rPr>
          <w:color w:val="231F20"/>
          <w:spacing w:val="-16"/>
          <w:w w:val="105"/>
        </w:rPr>
        <w:t> </w:t>
      </w:r>
      <w:r>
        <w:rPr>
          <w:color w:val="231F20"/>
          <w:w w:val="105"/>
        </w:rPr>
        <w:t>el</w:t>
      </w:r>
      <w:r>
        <w:rPr>
          <w:color w:val="231F20"/>
          <w:spacing w:val="-16"/>
          <w:w w:val="105"/>
        </w:rPr>
        <w:t> </w:t>
      </w:r>
      <w:r>
        <w:rPr>
          <w:color w:val="231F20"/>
          <w:w w:val="105"/>
        </w:rPr>
        <w:t>viaje</w:t>
      </w:r>
      <w:r>
        <w:rPr>
          <w:color w:val="231F20"/>
          <w:spacing w:val="-16"/>
          <w:w w:val="105"/>
        </w:rPr>
        <w:t> </w:t>
      </w:r>
      <w:r>
        <w:rPr>
          <w:color w:val="231F20"/>
          <w:w w:val="105"/>
        </w:rPr>
        <w:t>a</w:t>
      </w:r>
      <w:r>
        <w:rPr>
          <w:color w:val="231F20"/>
          <w:spacing w:val="-16"/>
          <w:w w:val="105"/>
        </w:rPr>
        <w:t> </w:t>
      </w:r>
      <w:r>
        <w:rPr>
          <w:color w:val="231F20"/>
          <w:w w:val="105"/>
        </w:rPr>
        <w:t>un</w:t>
      </w:r>
      <w:r>
        <w:rPr>
          <w:color w:val="231F20"/>
          <w:spacing w:val="-16"/>
          <w:w w:val="105"/>
        </w:rPr>
        <w:t> </w:t>
      </w:r>
      <w:r>
        <w:rPr>
          <w:color w:val="231F20"/>
          <w:w w:val="105"/>
        </w:rPr>
        <w:t>país</w:t>
      </w:r>
      <w:r>
        <w:rPr>
          <w:color w:val="231F20"/>
          <w:spacing w:val="-16"/>
          <w:w w:val="105"/>
        </w:rPr>
        <w:t> </w:t>
      </w:r>
      <w:r>
        <w:rPr>
          <w:color w:val="231F20"/>
          <w:w w:val="105"/>
        </w:rPr>
        <w:t>distinto.</w:t>
      </w:r>
    </w:p>
    <w:p>
      <w:pPr>
        <w:pStyle w:val="BodyText"/>
        <w:spacing w:line="261" w:lineRule="auto" w:before="1"/>
        <w:ind w:left="1837" w:right="1715" w:firstLine="567"/>
        <w:jc w:val="both"/>
      </w:pPr>
      <w:r>
        <w:rPr/>
        <w:pict>
          <v:line style="position:absolute;mso-position-horizontal-relative:page;mso-position-vertical-relative:paragraph;z-index:-458152" from="15pt,219.882599pt" to="0pt,219.882599pt" stroked="true" strokeweight=".25pt" strokecolor="#000000">
            <w10:wrap type="none"/>
          </v:line>
        </w:pict>
      </w:r>
      <w:r>
        <w:rPr/>
        <w:pict>
          <v:line style="position:absolute;mso-position-horizontal-relative:page;mso-position-vertical-relative:paragraph;z-index:32056" from="508.890015pt,219.882599pt" to="523.890015pt,219.882599pt" stroked="true" strokeweight=".25pt" strokecolor="#000000">
            <w10:wrap type="none"/>
          </v:line>
        </w:pict>
      </w:r>
      <w:r>
        <w:rPr>
          <w:color w:val="231F20"/>
          <w:spacing w:val="-4"/>
          <w:w w:val="105"/>
        </w:rPr>
        <w:t>Para</w:t>
      </w:r>
      <w:r>
        <w:rPr>
          <w:color w:val="231F20"/>
          <w:spacing w:val="-19"/>
          <w:w w:val="105"/>
        </w:rPr>
        <w:t> </w:t>
      </w:r>
      <w:r>
        <w:rPr>
          <w:color w:val="231F20"/>
          <w:w w:val="105"/>
        </w:rPr>
        <w:t>esclarecer</w:t>
      </w:r>
      <w:r>
        <w:rPr>
          <w:color w:val="231F20"/>
          <w:spacing w:val="-19"/>
          <w:w w:val="105"/>
        </w:rPr>
        <w:t> </w:t>
      </w:r>
      <w:r>
        <w:rPr>
          <w:color w:val="231F20"/>
          <w:w w:val="105"/>
        </w:rPr>
        <w:t>lo</w:t>
      </w:r>
      <w:r>
        <w:rPr>
          <w:color w:val="231F20"/>
          <w:spacing w:val="-19"/>
          <w:w w:val="105"/>
        </w:rPr>
        <w:t> </w:t>
      </w:r>
      <w:r>
        <w:rPr>
          <w:color w:val="231F20"/>
          <w:w w:val="105"/>
        </w:rPr>
        <w:t>antes</w:t>
      </w:r>
      <w:r>
        <w:rPr>
          <w:color w:val="231F20"/>
          <w:spacing w:val="-19"/>
          <w:w w:val="105"/>
        </w:rPr>
        <w:t> </w:t>
      </w:r>
      <w:r>
        <w:rPr>
          <w:color w:val="231F20"/>
          <w:w w:val="105"/>
        </w:rPr>
        <w:t>mencionado,</w:t>
      </w:r>
      <w:r>
        <w:rPr>
          <w:color w:val="231F20"/>
          <w:spacing w:val="-24"/>
          <w:w w:val="105"/>
        </w:rPr>
        <w:t> </w:t>
      </w:r>
      <w:r>
        <w:rPr>
          <w:color w:val="231F20"/>
          <w:w w:val="105"/>
        </w:rPr>
        <w:t>podemos</w:t>
      </w:r>
      <w:r>
        <w:rPr>
          <w:color w:val="231F20"/>
          <w:spacing w:val="-19"/>
          <w:w w:val="105"/>
        </w:rPr>
        <w:t> </w:t>
      </w:r>
      <w:r>
        <w:rPr>
          <w:color w:val="231F20"/>
          <w:w w:val="105"/>
        </w:rPr>
        <w:t>seguir</w:t>
      </w:r>
      <w:r>
        <w:rPr>
          <w:color w:val="231F20"/>
          <w:spacing w:val="-19"/>
          <w:w w:val="105"/>
        </w:rPr>
        <w:t> </w:t>
      </w:r>
      <w:r>
        <w:rPr>
          <w:color w:val="231F20"/>
          <w:w w:val="105"/>
        </w:rPr>
        <w:t>las</w:t>
      </w:r>
      <w:r>
        <w:rPr>
          <w:color w:val="231F20"/>
          <w:spacing w:val="-19"/>
          <w:w w:val="105"/>
        </w:rPr>
        <w:t> </w:t>
      </w:r>
      <w:r>
        <w:rPr>
          <w:color w:val="231F20"/>
          <w:w w:val="105"/>
        </w:rPr>
        <w:t>proposi- ciones</w:t>
      </w:r>
      <w:r>
        <w:rPr>
          <w:color w:val="231F20"/>
          <w:spacing w:val="-22"/>
          <w:w w:val="105"/>
        </w:rPr>
        <w:t> </w:t>
      </w:r>
      <w:r>
        <w:rPr>
          <w:color w:val="231F20"/>
          <w:w w:val="105"/>
        </w:rPr>
        <w:t>de</w:t>
      </w:r>
      <w:r>
        <w:rPr>
          <w:color w:val="231F20"/>
          <w:spacing w:val="-22"/>
          <w:w w:val="105"/>
        </w:rPr>
        <w:t> </w:t>
      </w:r>
      <w:r>
        <w:rPr>
          <w:color w:val="231F20"/>
          <w:spacing w:val="-3"/>
          <w:w w:val="105"/>
        </w:rPr>
        <w:t>Parrado,</w:t>
      </w:r>
      <w:r>
        <w:rPr>
          <w:color w:val="231F20"/>
          <w:spacing w:val="-27"/>
          <w:w w:val="105"/>
        </w:rPr>
        <w:t> </w:t>
      </w:r>
      <w:r>
        <w:rPr>
          <w:color w:val="231F20"/>
          <w:w w:val="105"/>
        </w:rPr>
        <w:t>McQuiston</w:t>
      </w:r>
      <w:r>
        <w:rPr>
          <w:color w:val="231F20"/>
          <w:spacing w:val="-22"/>
          <w:w w:val="105"/>
        </w:rPr>
        <w:t> </w:t>
      </w:r>
      <w:r>
        <w:rPr>
          <w:color w:val="231F20"/>
          <w:w w:val="105"/>
        </w:rPr>
        <w:t>y</w:t>
      </w:r>
      <w:r>
        <w:rPr>
          <w:color w:val="231F20"/>
          <w:spacing w:val="-22"/>
          <w:w w:val="105"/>
        </w:rPr>
        <w:t> </w:t>
      </w:r>
      <w:r>
        <w:rPr>
          <w:color w:val="231F20"/>
          <w:w w:val="105"/>
        </w:rPr>
        <w:t>Chenoa</w:t>
      </w:r>
      <w:r>
        <w:rPr>
          <w:color w:val="231F20"/>
          <w:spacing w:val="-22"/>
          <w:w w:val="105"/>
        </w:rPr>
        <w:t> </w:t>
      </w:r>
      <w:r>
        <w:rPr>
          <w:color w:val="231F20"/>
          <w:w w:val="105"/>
        </w:rPr>
        <w:t>(2005),</w:t>
      </w:r>
      <w:r>
        <w:rPr>
          <w:color w:val="231F20"/>
          <w:spacing w:val="-27"/>
          <w:w w:val="105"/>
        </w:rPr>
        <w:t> </w:t>
      </w:r>
      <w:r>
        <w:rPr>
          <w:color w:val="231F20"/>
          <w:w w:val="105"/>
        </w:rPr>
        <w:t>pues</w:t>
      </w:r>
      <w:r>
        <w:rPr>
          <w:color w:val="231F20"/>
          <w:spacing w:val="-22"/>
          <w:w w:val="105"/>
        </w:rPr>
        <w:t> </w:t>
      </w:r>
      <w:r>
        <w:rPr>
          <w:color w:val="231F20"/>
          <w:w w:val="105"/>
        </w:rPr>
        <w:t>resultan</w:t>
      </w:r>
      <w:r>
        <w:rPr>
          <w:color w:val="231F20"/>
          <w:spacing w:val="-22"/>
          <w:w w:val="105"/>
        </w:rPr>
        <w:t> </w:t>
      </w:r>
      <w:r>
        <w:rPr>
          <w:color w:val="231F20"/>
          <w:w w:val="105"/>
        </w:rPr>
        <w:t>de</w:t>
      </w:r>
      <w:r>
        <w:rPr>
          <w:color w:val="231F20"/>
          <w:spacing w:val="-22"/>
          <w:w w:val="105"/>
        </w:rPr>
        <w:t> </w:t>
      </w:r>
      <w:r>
        <w:rPr>
          <w:color w:val="231F20"/>
          <w:w w:val="105"/>
        </w:rPr>
        <w:t>utilidad para entender cómo funcionan estas relaciones de poder. Los autores, usando la teoría del poder y género aplicada a los estudios de familia explican los diferentes patrones observados en las mujeres migrantes mexicanas</w:t>
      </w:r>
      <w:r>
        <w:rPr>
          <w:color w:val="231F20"/>
          <w:spacing w:val="-10"/>
          <w:w w:val="105"/>
        </w:rPr>
        <w:t> </w:t>
      </w:r>
      <w:r>
        <w:rPr>
          <w:color w:val="231F20"/>
          <w:w w:val="105"/>
        </w:rPr>
        <w:t>que</w:t>
      </w:r>
      <w:r>
        <w:rPr>
          <w:color w:val="231F20"/>
          <w:spacing w:val="-10"/>
          <w:w w:val="105"/>
        </w:rPr>
        <w:t> </w:t>
      </w:r>
      <w:r>
        <w:rPr>
          <w:color w:val="231F20"/>
          <w:w w:val="105"/>
        </w:rPr>
        <w:t>residen</w:t>
      </w:r>
      <w:r>
        <w:rPr>
          <w:color w:val="231F20"/>
          <w:spacing w:val="-10"/>
          <w:w w:val="105"/>
        </w:rPr>
        <w:t> </w:t>
      </w:r>
      <w:r>
        <w:rPr>
          <w:color w:val="231F20"/>
          <w:w w:val="105"/>
        </w:rPr>
        <w:t>en</w:t>
      </w:r>
      <w:r>
        <w:rPr>
          <w:color w:val="231F20"/>
          <w:spacing w:val="-10"/>
          <w:w w:val="105"/>
        </w:rPr>
        <w:t> </w:t>
      </w:r>
      <w:r>
        <w:rPr>
          <w:color w:val="231F20"/>
          <w:w w:val="105"/>
        </w:rPr>
        <w:t>Estados</w:t>
      </w:r>
      <w:r>
        <w:rPr>
          <w:color w:val="231F20"/>
          <w:spacing w:val="-10"/>
          <w:w w:val="105"/>
        </w:rPr>
        <w:t> </w:t>
      </w:r>
      <w:r>
        <w:rPr>
          <w:color w:val="231F20"/>
          <w:w w:val="105"/>
        </w:rPr>
        <w:t>Unidos.</w:t>
      </w:r>
      <w:r>
        <w:rPr>
          <w:color w:val="231F20"/>
          <w:spacing w:val="-15"/>
          <w:w w:val="105"/>
        </w:rPr>
        <w:t> </w:t>
      </w:r>
      <w:r>
        <w:rPr>
          <w:color w:val="231F20"/>
          <w:w w:val="105"/>
        </w:rPr>
        <w:t>Esta</w:t>
      </w:r>
      <w:r>
        <w:rPr>
          <w:color w:val="231F20"/>
          <w:spacing w:val="-10"/>
          <w:w w:val="105"/>
        </w:rPr>
        <w:t> </w:t>
      </w:r>
      <w:r>
        <w:rPr>
          <w:color w:val="231F20"/>
          <w:w w:val="105"/>
        </w:rPr>
        <w:t>teoría</w:t>
      </w:r>
      <w:r>
        <w:rPr>
          <w:color w:val="231F20"/>
          <w:spacing w:val="-10"/>
          <w:w w:val="105"/>
        </w:rPr>
        <w:t> </w:t>
      </w:r>
      <w:r>
        <w:rPr>
          <w:color w:val="231F20"/>
          <w:w w:val="105"/>
        </w:rPr>
        <w:t>distingue</w:t>
      </w:r>
      <w:r>
        <w:rPr>
          <w:color w:val="231F20"/>
          <w:spacing w:val="-10"/>
          <w:w w:val="105"/>
        </w:rPr>
        <w:t> </w:t>
      </w:r>
      <w:r>
        <w:rPr>
          <w:color w:val="231F20"/>
          <w:w w:val="105"/>
        </w:rPr>
        <w:t>tres</w:t>
      </w:r>
      <w:r>
        <w:rPr>
          <w:color w:val="231F20"/>
          <w:spacing w:val="-10"/>
          <w:w w:val="105"/>
        </w:rPr>
        <w:t> </w:t>
      </w:r>
      <w:r>
        <w:rPr>
          <w:color w:val="231F20"/>
          <w:w w:val="105"/>
        </w:rPr>
        <w:t>di- mensiones:</w:t>
      </w:r>
      <w:r>
        <w:rPr>
          <w:color w:val="231F20"/>
          <w:spacing w:val="-17"/>
          <w:w w:val="105"/>
        </w:rPr>
        <w:t> </w:t>
      </w:r>
      <w:r>
        <w:rPr>
          <w:color w:val="231F20"/>
          <w:w w:val="105"/>
        </w:rPr>
        <w:t>trabajo,</w:t>
      </w:r>
      <w:r>
        <w:rPr>
          <w:color w:val="231F20"/>
          <w:spacing w:val="-22"/>
          <w:w w:val="105"/>
        </w:rPr>
        <w:t> </w:t>
      </w:r>
      <w:r>
        <w:rPr>
          <w:color w:val="231F20"/>
          <w:w w:val="105"/>
        </w:rPr>
        <w:t>poder</w:t>
      </w:r>
      <w:r>
        <w:rPr>
          <w:color w:val="231F20"/>
          <w:spacing w:val="-17"/>
          <w:w w:val="105"/>
        </w:rPr>
        <w:t> </w:t>
      </w:r>
      <w:r>
        <w:rPr>
          <w:color w:val="231F20"/>
          <w:w w:val="105"/>
        </w:rPr>
        <w:t>y</w:t>
      </w:r>
      <w:r>
        <w:rPr>
          <w:color w:val="231F20"/>
          <w:spacing w:val="-17"/>
          <w:w w:val="105"/>
        </w:rPr>
        <w:t> </w:t>
      </w:r>
      <w:r>
        <w:rPr>
          <w:rFonts w:ascii="Arial" w:hAnsi="Arial"/>
          <w:i/>
          <w:color w:val="231F20"/>
          <w:w w:val="105"/>
        </w:rPr>
        <w:t>cathexis</w:t>
      </w:r>
      <w:r>
        <w:rPr>
          <w:rFonts w:ascii="Arial" w:hAnsi="Arial"/>
          <w:i/>
          <w:color w:val="231F20"/>
          <w:spacing w:val="-20"/>
          <w:w w:val="105"/>
        </w:rPr>
        <w:t> </w:t>
      </w:r>
      <w:r>
        <w:rPr>
          <w:color w:val="231F20"/>
          <w:w w:val="105"/>
        </w:rPr>
        <w:t>(la</w:t>
      </w:r>
      <w:r>
        <w:rPr>
          <w:color w:val="231F20"/>
          <w:spacing w:val="-17"/>
          <w:w w:val="105"/>
        </w:rPr>
        <w:t> </w:t>
      </w:r>
      <w:r>
        <w:rPr>
          <w:color w:val="231F20"/>
          <w:w w:val="105"/>
        </w:rPr>
        <w:t>cual</w:t>
      </w:r>
      <w:r>
        <w:rPr>
          <w:color w:val="231F20"/>
          <w:spacing w:val="-17"/>
          <w:w w:val="105"/>
        </w:rPr>
        <w:t> </w:t>
      </w:r>
      <w:r>
        <w:rPr>
          <w:color w:val="231F20"/>
          <w:w w:val="105"/>
        </w:rPr>
        <w:t>refiere</w:t>
      </w:r>
      <w:r>
        <w:rPr>
          <w:color w:val="231F20"/>
          <w:spacing w:val="-17"/>
          <w:w w:val="105"/>
        </w:rPr>
        <w:t> </w:t>
      </w:r>
      <w:r>
        <w:rPr>
          <w:color w:val="231F20"/>
          <w:w w:val="105"/>
        </w:rPr>
        <w:t>al</w:t>
      </w:r>
      <w:r>
        <w:rPr>
          <w:color w:val="231F20"/>
          <w:spacing w:val="-17"/>
          <w:w w:val="105"/>
        </w:rPr>
        <w:t> </w:t>
      </w:r>
      <w:r>
        <w:rPr>
          <w:color w:val="231F20"/>
          <w:w w:val="105"/>
        </w:rPr>
        <w:t>vínculo</w:t>
      </w:r>
      <w:r>
        <w:rPr>
          <w:color w:val="231F20"/>
          <w:spacing w:val="-17"/>
          <w:w w:val="105"/>
        </w:rPr>
        <w:t> </w:t>
      </w:r>
      <w:r>
        <w:rPr>
          <w:color w:val="231F20"/>
          <w:w w:val="105"/>
        </w:rPr>
        <w:t>emocional que</w:t>
      </w:r>
      <w:r>
        <w:rPr>
          <w:color w:val="231F20"/>
          <w:spacing w:val="-3"/>
          <w:w w:val="105"/>
        </w:rPr>
        <w:t> </w:t>
      </w:r>
      <w:r>
        <w:rPr>
          <w:color w:val="231F20"/>
          <w:w w:val="105"/>
        </w:rPr>
        <w:t>se</w:t>
      </w:r>
      <w:r>
        <w:rPr>
          <w:color w:val="231F20"/>
          <w:spacing w:val="-3"/>
          <w:w w:val="105"/>
        </w:rPr>
        <w:t> </w:t>
      </w:r>
      <w:r>
        <w:rPr>
          <w:color w:val="231F20"/>
          <w:w w:val="105"/>
        </w:rPr>
        <w:t>desarrolla</w:t>
      </w:r>
      <w:r>
        <w:rPr>
          <w:color w:val="231F20"/>
          <w:spacing w:val="-3"/>
          <w:w w:val="105"/>
        </w:rPr>
        <w:t> </w:t>
      </w:r>
      <w:r>
        <w:rPr>
          <w:color w:val="231F20"/>
          <w:w w:val="105"/>
        </w:rPr>
        <w:t>hacia</w:t>
      </w:r>
      <w:r>
        <w:rPr>
          <w:color w:val="231F20"/>
          <w:spacing w:val="-3"/>
          <w:w w:val="105"/>
        </w:rPr>
        <w:t> </w:t>
      </w:r>
      <w:r>
        <w:rPr>
          <w:color w:val="231F20"/>
          <w:w w:val="105"/>
        </w:rPr>
        <w:t>una</w:t>
      </w:r>
      <w:r>
        <w:rPr>
          <w:color w:val="231F20"/>
          <w:spacing w:val="-3"/>
          <w:w w:val="105"/>
        </w:rPr>
        <w:t> </w:t>
      </w:r>
      <w:r>
        <w:rPr>
          <w:color w:val="231F20"/>
          <w:w w:val="105"/>
        </w:rPr>
        <w:t>idea,</w:t>
      </w:r>
      <w:r>
        <w:rPr>
          <w:color w:val="231F20"/>
          <w:spacing w:val="-9"/>
          <w:w w:val="105"/>
        </w:rPr>
        <w:t> </w:t>
      </w:r>
      <w:r>
        <w:rPr>
          <w:color w:val="231F20"/>
          <w:w w:val="105"/>
        </w:rPr>
        <w:t>lugar</w:t>
      </w:r>
      <w:r>
        <w:rPr>
          <w:color w:val="231F20"/>
          <w:spacing w:val="-3"/>
          <w:w w:val="105"/>
        </w:rPr>
        <w:t> </w:t>
      </w:r>
      <w:r>
        <w:rPr>
          <w:color w:val="231F20"/>
          <w:w w:val="105"/>
        </w:rPr>
        <w:t>o</w:t>
      </w:r>
      <w:r>
        <w:rPr>
          <w:color w:val="231F20"/>
          <w:spacing w:val="-3"/>
          <w:w w:val="105"/>
        </w:rPr>
        <w:t> </w:t>
      </w:r>
      <w:r>
        <w:rPr>
          <w:color w:val="231F20"/>
          <w:w w:val="105"/>
        </w:rPr>
        <w:t>persona).</w:t>
      </w:r>
      <w:r>
        <w:rPr>
          <w:color w:val="231F20"/>
          <w:spacing w:val="-9"/>
          <w:w w:val="105"/>
        </w:rPr>
        <w:t> </w:t>
      </w:r>
      <w:r>
        <w:rPr>
          <w:color w:val="231F20"/>
          <w:w w:val="105"/>
        </w:rPr>
        <w:t>Lo</w:t>
      </w:r>
      <w:r>
        <w:rPr>
          <w:color w:val="231F20"/>
          <w:spacing w:val="-3"/>
          <w:w w:val="105"/>
        </w:rPr>
        <w:t> </w:t>
      </w:r>
      <w:r>
        <w:rPr>
          <w:color w:val="231F20"/>
          <w:w w:val="105"/>
        </w:rPr>
        <w:t>que</w:t>
      </w:r>
      <w:r>
        <w:rPr>
          <w:color w:val="231F20"/>
          <w:spacing w:val="-3"/>
          <w:w w:val="105"/>
        </w:rPr>
        <w:t> </w:t>
      </w:r>
      <w:r>
        <w:rPr>
          <w:color w:val="231F20"/>
          <w:w w:val="105"/>
        </w:rPr>
        <w:t>observan</w:t>
      </w:r>
      <w:r>
        <w:rPr>
          <w:color w:val="231F20"/>
          <w:spacing w:val="-3"/>
          <w:w w:val="105"/>
        </w:rPr>
        <w:t> </w:t>
      </w:r>
      <w:r>
        <w:rPr>
          <w:color w:val="231F20"/>
          <w:w w:val="105"/>
        </w:rPr>
        <w:t>en su</w:t>
      </w:r>
      <w:r>
        <w:rPr>
          <w:color w:val="231F20"/>
          <w:spacing w:val="-14"/>
          <w:w w:val="105"/>
        </w:rPr>
        <w:t> </w:t>
      </w:r>
      <w:r>
        <w:rPr>
          <w:color w:val="231F20"/>
          <w:w w:val="105"/>
        </w:rPr>
        <w:t>investigación</w:t>
      </w:r>
      <w:r>
        <w:rPr>
          <w:color w:val="231F20"/>
          <w:spacing w:val="-14"/>
          <w:w w:val="105"/>
        </w:rPr>
        <w:t> </w:t>
      </w:r>
      <w:r>
        <w:rPr>
          <w:color w:val="231F20"/>
          <w:w w:val="105"/>
        </w:rPr>
        <w:t>es</w:t>
      </w:r>
      <w:r>
        <w:rPr>
          <w:color w:val="231F20"/>
          <w:spacing w:val="-14"/>
          <w:w w:val="105"/>
        </w:rPr>
        <w:t> </w:t>
      </w:r>
      <w:r>
        <w:rPr>
          <w:color w:val="231F20"/>
          <w:w w:val="105"/>
        </w:rPr>
        <w:t>que</w:t>
      </w:r>
      <w:r>
        <w:rPr>
          <w:color w:val="231F20"/>
          <w:spacing w:val="-14"/>
          <w:w w:val="105"/>
        </w:rPr>
        <w:t> </w:t>
      </w:r>
      <w:r>
        <w:rPr>
          <w:color w:val="231F20"/>
          <w:w w:val="105"/>
        </w:rPr>
        <w:t>existe</w:t>
      </w:r>
      <w:r>
        <w:rPr>
          <w:color w:val="231F20"/>
          <w:spacing w:val="-14"/>
          <w:w w:val="105"/>
        </w:rPr>
        <w:t> </w:t>
      </w:r>
      <w:r>
        <w:rPr>
          <w:color w:val="231F20"/>
          <w:w w:val="105"/>
        </w:rPr>
        <w:t>una</w:t>
      </w:r>
      <w:r>
        <w:rPr>
          <w:color w:val="231F20"/>
          <w:spacing w:val="-14"/>
          <w:w w:val="105"/>
        </w:rPr>
        <w:t> </w:t>
      </w:r>
      <w:r>
        <w:rPr>
          <w:color w:val="231F20"/>
          <w:w w:val="105"/>
        </w:rPr>
        <w:t>variedad</w:t>
      </w:r>
      <w:r>
        <w:rPr>
          <w:color w:val="231F20"/>
          <w:spacing w:val="-14"/>
          <w:w w:val="105"/>
        </w:rPr>
        <w:t> </w:t>
      </w:r>
      <w:r>
        <w:rPr>
          <w:color w:val="231F20"/>
          <w:w w:val="105"/>
        </w:rPr>
        <w:t>de</w:t>
      </w:r>
      <w:r>
        <w:rPr>
          <w:color w:val="231F20"/>
          <w:spacing w:val="-14"/>
          <w:w w:val="105"/>
        </w:rPr>
        <w:t> </w:t>
      </w:r>
      <w:r>
        <w:rPr>
          <w:color w:val="231F20"/>
          <w:w w:val="105"/>
        </w:rPr>
        <w:t>patrones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comporta- miento de las mujeres migrantes. Algunas de ellas registran un cambio ante</w:t>
      </w:r>
      <w:r>
        <w:rPr>
          <w:color w:val="231F20"/>
          <w:spacing w:val="-6"/>
          <w:w w:val="105"/>
        </w:rPr>
        <w:t> </w:t>
      </w:r>
      <w:r>
        <w:rPr>
          <w:color w:val="231F20"/>
          <w:w w:val="105"/>
        </w:rPr>
        <w:t>la</w:t>
      </w:r>
      <w:r>
        <w:rPr>
          <w:color w:val="231F20"/>
          <w:spacing w:val="-6"/>
          <w:w w:val="105"/>
        </w:rPr>
        <w:t> </w:t>
      </w:r>
      <w:r>
        <w:rPr>
          <w:color w:val="231F20"/>
          <w:w w:val="105"/>
        </w:rPr>
        <w:t>exposición</w:t>
      </w:r>
      <w:r>
        <w:rPr>
          <w:color w:val="231F20"/>
          <w:spacing w:val="-6"/>
          <w:w w:val="105"/>
        </w:rPr>
        <w:t> </w:t>
      </w:r>
      <w:r>
        <w:rPr>
          <w:color w:val="231F20"/>
          <w:w w:val="105"/>
        </w:rPr>
        <w:t>a</w:t>
      </w:r>
      <w:r>
        <w:rPr>
          <w:color w:val="231F20"/>
          <w:spacing w:val="-6"/>
          <w:w w:val="105"/>
        </w:rPr>
        <w:t> </w:t>
      </w:r>
      <w:r>
        <w:rPr>
          <w:color w:val="231F20"/>
          <w:w w:val="105"/>
        </w:rPr>
        <w:t>un</w:t>
      </w:r>
      <w:r>
        <w:rPr>
          <w:color w:val="231F20"/>
          <w:spacing w:val="-6"/>
          <w:w w:val="105"/>
        </w:rPr>
        <w:t> </w:t>
      </w:r>
      <w:r>
        <w:rPr>
          <w:color w:val="231F20"/>
          <w:w w:val="105"/>
        </w:rPr>
        <w:t>contexto</w:t>
      </w:r>
      <w:r>
        <w:rPr>
          <w:color w:val="231F20"/>
          <w:spacing w:val="-6"/>
          <w:w w:val="105"/>
        </w:rPr>
        <w:t> </w:t>
      </w:r>
      <w:r>
        <w:rPr>
          <w:color w:val="231F20"/>
          <w:w w:val="105"/>
        </w:rPr>
        <w:t>distinto</w:t>
      </w:r>
      <w:r>
        <w:rPr>
          <w:color w:val="231F20"/>
          <w:spacing w:val="-6"/>
          <w:w w:val="105"/>
        </w:rPr>
        <w:t> </w:t>
      </w:r>
      <w:r>
        <w:rPr>
          <w:color w:val="231F20"/>
          <w:w w:val="105"/>
        </w:rPr>
        <w:t>al</w:t>
      </w:r>
      <w:r>
        <w:rPr>
          <w:color w:val="231F20"/>
          <w:spacing w:val="-6"/>
          <w:w w:val="105"/>
        </w:rPr>
        <w:t> </w:t>
      </w:r>
      <w:r>
        <w:rPr>
          <w:color w:val="231F20"/>
          <w:w w:val="105"/>
        </w:rPr>
        <w:t>de</w:t>
      </w:r>
      <w:r>
        <w:rPr>
          <w:color w:val="231F20"/>
          <w:spacing w:val="-6"/>
          <w:w w:val="105"/>
        </w:rPr>
        <w:t> </w:t>
      </w:r>
      <w:r>
        <w:rPr>
          <w:color w:val="231F20"/>
          <w:w w:val="105"/>
        </w:rPr>
        <w:t>origen,</w:t>
      </w:r>
      <w:r>
        <w:rPr>
          <w:color w:val="231F20"/>
          <w:spacing w:val="-12"/>
          <w:w w:val="105"/>
        </w:rPr>
        <w:t> </w:t>
      </w:r>
      <w:r>
        <w:rPr>
          <w:color w:val="231F20"/>
          <w:w w:val="105"/>
        </w:rPr>
        <w:t>donde</w:t>
      </w:r>
      <w:r>
        <w:rPr>
          <w:color w:val="231F20"/>
          <w:spacing w:val="-6"/>
          <w:w w:val="105"/>
        </w:rPr>
        <w:t> </w:t>
      </w:r>
      <w:r>
        <w:rPr>
          <w:color w:val="231F20"/>
          <w:w w:val="105"/>
        </w:rPr>
        <w:t>tienen</w:t>
      </w:r>
      <w:r>
        <w:rPr>
          <w:color w:val="231F20"/>
          <w:spacing w:val="-6"/>
          <w:w w:val="105"/>
        </w:rPr>
        <w:t> </w:t>
      </w:r>
      <w:r>
        <w:rPr>
          <w:color w:val="231F20"/>
          <w:w w:val="105"/>
        </w:rPr>
        <w:t>más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line="261" w:lineRule="auto" w:before="61"/>
        <w:ind w:left="1723" w:right="1834"/>
        <w:jc w:val="both"/>
      </w:pPr>
      <w:r>
        <w:rPr/>
        <w:pict>
          <v:line style="position:absolute;mso-position-horizontal-relative:page;mso-position-vertical-relative:paragraph;z-index:32104" from="15pt,-73.597137pt" to="0pt,-73.597137pt" stroked="true" strokeweight=".25pt" strokecolor="#000000">
            <w10:wrap type="none"/>
          </v:line>
        </w:pict>
      </w:r>
      <w:r>
        <w:rPr/>
        <w:pict>
          <v:line style="position:absolute;mso-position-horizontal-relative:page;mso-position-vertical-relative:paragraph;z-index:32128" from="508.890015pt,-73.597137pt" to="523.890015pt,-73.597137pt" stroked="true" strokeweight=".25pt" strokecolor="#000000">
            <w10:wrap type="none"/>
          </v:line>
        </w:pict>
      </w:r>
      <w:r>
        <w:rPr>
          <w:color w:val="231F20"/>
          <w:w w:val="105"/>
        </w:rPr>
        <w:t>oportunidades de empleo y participan de manera más equitativa en la toma</w:t>
      </w:r>
      <w:r>
        <w:rPr>
          <w:color w:val="231F20"/>
          <w:spacing w:val="-6"/>
          <w:w w:val="105"/>
        </w:rPr>
        <w:t> </w:t>
      </w:r>
      <w:r>
        <w:rPr>
          <w:color w:val="231F20"/>
          <w:w w:val="105"/>
        </w:rPr>
        <w:t>de</w:t>
      </w:r>
      <w:r>
        <w:rPr>
          <w:color w:val="231F20"/>
          <w:spacing w:val="-6"/>
          <w:w w:val="105"/>
        </w:rPr>
        <w:t> </w:t>
      </w:r>
      <w:r>
        <w:rPr>
          <w:color w:val="231F20"/>
          <w:w w:val="105"/>
        </w:rPr>
        <w:t>decisiones</w:t>
      </w:r>
      <w:r>
        <w:rPr>
          <w:color w:val="231F20"/>
          <w:spacing w:val="-6"/>
          <w:w w:val="105"/>
        </w:rPr>
        <w:t> </w:t>
      </w:r>
      <w:r>
        <w:rPr>
          <w:color w:val="231F20"/>
          <w:w w:val="105"/>
        </w:rPr>
        <w:t>en</w:t>
      </w:r>
      <w:r>
        <w:rPr>
          <w:color w:val="231F20"/>
          <w:spacing w:val="-6"/>
          <w:w w:val="105"/>
        </w:rPr>
        <w:t> </w:t>
      </w:r>
      <w:r>
        <w:rPr>
          <w:color w:val="231F20"/>
          <w:w w:val="105"/>
        </w:rPr>
        <w:t>aspectos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vida</w:t>
      </w:r>
      <w:r>
        <w:rPr>
          <w:color w:val="231F20"/>
          <w:spacing w:val="-6"/>
          <w:w w:val="105"/>
        </w:rPr>
        <w:t> </w:t>
      </w:r>
      <w:r>
        <w:rPr>
          <w:color w:val="231F20"/>
          <w:w w:val="105"/>
        </w:rPr>
        <w:t>cotidiana.</w:t>
      </w:r>
      <w:r>
        <w:rPr>
          <w:color w:val="231F20"/>
          <w:spacing w:val="-11"/>
          <w:w w:val="105"/>
        </w:rPr>
        <w:t> </w:t>
      </w:r>
      <w:r>
        <w:rPr>
          <w:color w:val="231F20"/>
          <w:w w:val="105"/>
        </w:rPr>
        <w:t>Otras</w:t>
      </w:r>
      <w:r>
        <w:rPr>
          <w:color w:val="231F20"/>
          <w:spacing w:val="-6"/>
          <w:w w:val="105"/>
        </w:rPr>
        <w:t> </w:t>
      </w:r>
      <w:r>
        <w:rPr>
          <w:color w:val="231F20"/>
          <w:w w:val="105"/>
        </w:rPr>
        <w:t>más</w:t>
      </w:r>
      <w:r>
        <w:rPr>
          <w:color w:val="231F20"/>
          <w:spacing w:val="-6"/>
          <w:w w:val="105"/>
        </w:rPr>
        <w:t> </w:t>
      </w:r>
      <w:r>
        <w:rPr>
          <w:color w:val="231F20"/>
          <w:w w:val="105"/>
        </w:rPr>
        <w:t>preser- van</w:t>
      </w:r>
      <w:r>
        <w:rPr>
          <w:color w:val="231F20"/>
          <w:spacing w:val="-7"/>
          <w:w w:val="105"/>
        </w:rPr>
        <w:t> </w:t>
      </w:r>
      <w:r>
        <w:rPr>
          <w:color w:val="231F20"/>
          <w:w w:val="105"/>
        </w:rPr>
        <w:t>las</w:t>
      </w:r>
      <w:r>
        <w:rPr>
          <w:color w:val="231F20"/>
          <w:spacing w:val="-7"/>
          <w:w w:val="105"/>
        </w:rPr>
        <w:t> </w:t>
      </w:r>
      <w:r>
        <w:rPr>
          <w:color w:val="231F20"/>
          <w:w w:val="105"/>
        </w:rPr>
        <w:t>formas</w:t>
      </w:r>
      <w:r>
        <w:rPr>
          <w:color w:val="231F20"/>
          <w:spacing w:val="-7"/>
          <w:w w:val="105"/>
        </w:rPr>
        <w:t> </w:t>
      </w:r>
      <w:r>
        <w:rPr>
          <w:color w:val="231F20"/>
          <w:w w:val="105"/>
        </w:rPr>
        <w:t>de</w:t>
      </w:r>
      <w:r>
        <w:rPr>
          <w:color w:val="231F20"/>
          <w:spacing w:val="-7"/>
          <w:w w:val="105"/>
        </w:rPr>
        <w:t> </w:t>
      </w:r>
      <w:r>
        <w:rPr>
          <w:color w:val="231F20"/>
          <w:w w:val="105"/>
        </w:rPr>
        <w:t>relacionarse</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lugar</w:t>
      </w:r>
      <w:r>
        <w:rPr>
          <w:color w:val="231F20"/>
          <w:spacing w:val="-7"/>
          <w:w w:val="105"/>
        </w:rPr>
        <w:t> </w:t>
      </w:r>
      <w:r>
        <w:rPr>
          <w:color w:val="231F20"/>
          <w:w w:val="105"/>
        </w:rPr>
        <w:t>de</w:t>
      </w:r>
      <w:r>
        <w:rPr>
          <w:color w:val="231F20"/>
          <w:spacing w:val="-7"/>
          <w:w w:val="105"/>
        </w:rPr>
        <w:t> </w:t>
      </w:r>
      <w:r>
        <w:rPr>
          <w:color w:val="231F20"/>
          <w:w w:val="105"/>
        </w:rPr>
        <w:t>origen.</w:t>
      </w:r>
      <w:r>
        <w:rPr>
          <w:color w:val="231F20"/>
          <w:spacing w:val="-13"/>
          <w:w w:val="105"/>
        </w:rPr>
        <w:t> </w:t>
      </w:r>
      <w:r>
        <w:rPr>
          <w:color w:val="231F20"/>
          <w:w w:val="105"/>
        </w:rPr>
        <w:t>Esta</w:t>
      </w:r>
      <w:r>
        <w:rPr>
          <w:color w:val="231F20"/>
          <w:spacing w:val="-7"/>
          <w:w w:val="105"/>
        </w:rPr>
        <w:t> </w:t>
      </w:r>
      <w:r>
        <w:rPr>
          <w:color w:val="231F20"/>
          <w:w w:val="105"/>
        </w:rPr>
        <w:t>diferencia</w:t>
      </w:r>
      <w:r>
        <w:rPr>
          <w:color w:val="231F20"/>
          <w:spacing w:val="-7"/>
          <w:w w:val="105"/>
        </w:rPr>
        <w:t> </w:t>
      </w:r>
      <w:r>
        <w:rPr>
          <w:color w:val="231F20"/>
          <w:w w:val="105"/>
        </w:rPr>
        <w:t>en los arreglos es producto de las interrelaciones de las tres dimensiones expuestas por la teoría mencionada y da como resultado que la expe- riencia migratoria no impacte de la misma manera o magnitud en los individuos. Además es importante señalar con respecto al proceso mi- gratorio</w:t>
      </w:r>
      <w:r>
        <w:rPr>
          <w:color w:val="231F20"/>
          <w:spacing w:val="-21"/>
          <w:w w:val="105"/>
        </w:rPr>
        <w:t> </w:t>
      </w:r>
      <w:r>
        <w:rPr>
          <w:color w:val="231F20"/>
          <w:w w:val="105"/>
        </w:rPr>
        <w:t>que</w:t>
      </w:r>
      <w:r>
        <w:rPr>
          <w:color w:val="231F20"/>
          <w:spacing w:val="-21"/>
          <w:w w:val="105"/>
        </w:rPr>
        <w:t> </w:t>
      </w:r>
      <w:r>
        <w:rPr>
          <w:color w:val="231F20"/>
          <w:w w:val="105"/>
        </w:rPr>
        <w:t>las</w:t>
      </w:r>
      <w:r>
        <w:rPr>
          <w:color w:val="231F20"/>
          <w:spacing w:val="-21"/>
          <w:w w:val="105"/>
        </w:rPr>
        <w:t> </w:t>
      </w:r>
      <w:r>
        <w:rPr>
          <w:color w:val="231F20"/>
          <w:w w:val="105"/>
        </w:rPr>
        <w:t>relaciones</w:t>
      </w:r>
      <w:r>
        <w:rPr>
          <w:color w:val="231F20"/>
          <w:spacing w:val="-21"/>
          <w:w w:val="105"/>
        </w:rPr>
        <w:t> </w:t>
      </w:r>
      <w:r>
        <w:rPr>
          <w:color w:val="231F20"/>
          <w:w w:val="105"/>
        </w:rPr>
        <w:t>de</w:t>
      </w:r>
      <w:r>
        <w:rPr>
          <w:color w:val="231F20"/>
          <w:spacing w:val="-21"/>
          <w:w w:val="105"/>
        </w:rPr>
        <w:t> </w:t>
      </w:r>
      <w:r>
        <w:rPr>
          <w:color w:val="231F20"/>
          <w:w w:val="105"/>
        </w:rPr>
        <w:t>género</w:t>
      </w:r>
      <w:r>
        <w:rPr>
          <w:color w:val="231F20"/>
          <w:spacing w:val="-21"/>
          <w:w w:val="105"/>
        </w:rPr>
        <w:t> </w:t>
      </w:r>
      <w:r>
        <w:rPr>
          <w:color w:val="231F20"/>
          <w:w w:val="105"/>
        </w:rPr>
        <w:t>no</w:t>
      </w:r>
      <w:r>
        <w:rPr>
          <w:color w:val="231F20"/>
          <w:spacing w:val="-21"/>
          <w:w w:val="105"/>
        </w:rPr>
        <w:t> </w:t>
      </w:r>
      <w:r>
        <w:rPr>
          <w:color w:val="231F20"/>
          <w:w w:val="105"/>
        </w:rPr>
        <w:t>están</w:t>
      </w:r>
      <w:r>
        <w:rPr>
          <w:color w:val="231F20"/>
          <w:spacing w:val="-21"/>
          <w:w w:val="105"/>
        </w:rPr>
        <w:t> </w:t>
      </w:r>
      <w:r>
        <w:rPr>
          <w:color w:val="231F20"/>
          <w:w w:val="105"/>
        </w:rPr>
        <w:t>dadas</w:t>
      </w:r>
      <w:r>
        <w:rPr>
          <w:color w:val="231F20"/>
          <w:spacing w:val="-21"/>
          <w:w w:val="105"/>
        </w:rPr>
        <w:t> </w:t>
      </w:r>
      <w:r>
        <w:rPr>
          <w:color w:val="231F20"/>
          <w:w w:val="105"/>
        </w:rPr>
        <w:t>sólo</w:t>
      </w:r>
      <w:r>
        <w:rPr>
          <w:color w:val="231F20"/>
          <w:spacing w:val="-21"/>
          <w:w w:val="105"/>
        </w:rPr>
        <w:t> </w:t>
      </w:r>
      <w:r>
        <w:rPr>
          <w:color w:val="231F20"/>
          <w:w w:val="105"/>
        </w:rPr>
        <w:t>entre</w:t>
      </w:r>
      <w:r>
        <w:rPr>
          <w:color w:val="231F20"/>
          <w:spacing w:val="-21"/>
          <w:w w:val="105"/>
        </w:rPr>
        <w:t> </w:t>
      </w:r>
      <w:r>
        <w:rPr>
          <w:color w:val="231F20"/>
          <w:w w:val="105"/>
        </w:rPr>
        <w:t>hombres y</w:t>
      </w:r>
      <w:r>
        <w:rPr>
          <w:color w:val="231F20"/>
          <w:spacing w:val="-17"/>
          <w:w w:val="105"/>
        </w:rPr>
        <w:t> </w:t>
      </w:r>
      <w:r>
        <w:rPr>
          <w:color w:val="231F20"/>
          <w:w w:val="105"/>
        </w:rPr>
        <w:t>mujeres</w:t>
      </w:r>
      <w:r>
        <w:rPr>
          <w:color w:val="231F20"/>
          <w:spacing w:val="-17"/>
          <w:w w:val="105"/>
        </w:rPr>
        <w:t> </w:t>
      </w:r>
      <w:r>
        <w:rPr>
          <w:color w:val="231F20"/>
          <w:w w:val="105"/>
        </w:rPr>
        <w:t>con</w:t>
      </w:r>
      <w:r>
        <w:rPr>
          <w:color w:val="231F20"/>
          <w:spacing w:val="-17"/>
          <w:w w:val="105"/>
        </w:rPr>
        <w:t> </w:t>
      </w:r>
      <w:r>
        <w:rPr>
          <w:color w:val="231F20"/>
          <w:w w:val="105"/>
        </w:rPr>
        <w:t>algua</w:t>
      </w:r>
      <w:r>
        <w:rPr>
          <w:color w:val="231F20"/>
          <w:spacing w:val="-17"/>
          <w:w w:val="105"/>
        </w:rPr>
        <w:t> </w:t>
      </w:r>
      <w:r>
        <w:rPr>
          <w:color w:val="231F20"/>
          <w:w w:val="105"/>
        </w:rPr>
        <w:t>relación</w:t>
      </w:r>
      <w:r>
        <w:rPr>
          <w:color w:val="231F20"/>
          <w:spacing w:val="-17"/>
          <w:w w:val="105"/>
        </w:rPr>
        <w:t> </w:t>
      </w:r>
      <w:r>
        <w:rPr>
          <w:color w:val="231F20"/>
          <w:w w:val="105"/>
        </w:rPr>
        <w:t>conyugal,</w:t>
      </w:r>
      <w:r>
        <w:rPr>
          <w:color w:val="231F20"/>
          <w:spacing w:val="-22"/>
          <w:w w:val="105"/>
        </w:rPr>
        <w:t> </w:t>
      </w:r>
      <w:r>
        <w:rPr>
          <w:color w:val="231F20"/>
          <w:w w:val="105"/>
        </w:rPr>
        <w:t>sino</w:t>
      </w:r>
      <w:r>
        <w:rPr>
          <w:color w:val="231F20"/>
          <w:spacing w:val="-17"/>
          <w:w w:val="105"/>
        </w:rPr>
        <w:t> </w:t>
      </w:r>
      <w:r>
        <w:rPr>
          <w:color w:val="231F20"/>
          <w:w w:val="105"/>
        </w:rPr>
        <w:t>también</w:t>
      </w:r>
      <w:r>
        <w:rPr>
          <w:color w:val="231F20"/>
          <w:spacing w:val="-17"/>
          <w:w w:val="105"/>
        </w:rPr>
        <w:t> </w:t>
      </w:r>
      <w:r>
        <w:rPr>
          <w:color w:val="231F20"/>
          <w:w w:val="105"/>
        </w:rPr>
        <w:t>incluyen</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familia y</w:t>
      </w:r>
      <w:r>
        <w:rPr>
          <w:color w:val="231F20"/>
          <w:spacing w:val="-11"/>
          <w:w w:val="105"/>
        </w:rPr>
        <w:t> </w:t>
      </w:r>
      <w:r>
        <w:rPr>
          <w:color w:val="231F20"/>
          <w:w w:val="105"/>
        </w:rPr>
        <w:t>las</w:t>
      </w:r>
      <w:r>
        <w:rPr>
          <w:color w:val="231F20"/>
          <w:spacing w:val="-11"/>
          <w:w w:val="105"/>
        </w:rPr>
        <w:t> </w:t>
      </w:r>
      <w:r>
        <w:rPr>
          <w:color w:val="231F20"/>
          <w:w w:val="105"/>
        </w:rPr>
        <w:t>redes</w:t>
      </w:r>
      <w:r>
        <w:rPr>
          <w:color w:val="231F20"/>
          <w:spacing w:val="-11"/>
          <w:w w:val="105"/>
        </w:rPr>
        <w:t> </w:t>
      </w:r>
      <w:r>
        <w:rPr>
          <w:color w:val="231F20"/>
          <w:w w:val="105"/>
        </w:rPr>
        <w:t>comunales</w:t>
      </w:r>
      <w:r>
        <w:rPr>
          <w:color w:val="231F20"/>
          <w:spacing w:val="-11"/>
          <w:w w:val="105"/>
        </w:rPr>
        <w:t> </w:t>
      </w:r>
      <w:r>
        <w:rPr>
          <w:color w:val="231F20"/>
          <w:w w:val="105"/>
        </w:rPr>
        <w:t>que</w:t>
      </w:r>
      <w:r>
        <w:rPr>
          <w:color w:val="231F20"/>
          <w:spacing w:val="-11"/>
          <w:w w:val="105"/>
        </w:rPr>
        <w:t> </w:t>
      </w:r>
      <w:r>
        <w:rPr>
          <w:color w:val="231F20"/>
          <w:w w:val="105"/>
        </w:rPr>
        <w:t>influencian</w:t>
      </w:r>
      <w:r>
        <w:rPr>
          <w:color w:val="231F20"/>
          <w:spacing w:val="-11"/>
          <w:w w:val="105"/>
        </w:rPr>
        <w:t> </w:t>
      </w:r>
      <w:r>
        <w:rPr>
          <w:color w:val="231F20"/>
          <w:w w:val="105"/>
        </w:rPr>
        <w:t>la</w:t>
      </w:r>
      <w:r>
        <w:rPr>
          <w:color w:val="231F20"/>
          <w:spacing w:val="-11"/>
          <w:w w:val="105"/>
        </w:rPr>
        <w:t> </w:t>
      </w:r>
      <w:r>
        <w:rPr>
          <w:color w:val="231F20"/>
          <w:w w:val="105"/>
        </w:rPr>
        <w:t>decisión</w:t>
      </w:r>
      <w:r>
        <w:rPr>
          <w:color w:val="231F20"/>
          <w:spacing w:val="-11"/>
          <w:w w:val="105"/>
        </w:rPr>
        <w:t> </w:t>
      </w:r>
      <w:r>
        <w:rPr>
          <w:color w:val="231F20"/>
          <w:w w:val="105"/>
        </w:rPr>
        <w:t>de</w:t>
      </w:r>
      <w:r>
        <w:rPr>
          <w:color w:val="231F20"/>
          <w:spacing w:val="-11"/>
          <w:w w:val="105"/>
        </w:rPr>
        <w:t> </w:t>
      </w:r>
      <w:r>
        <w:rPr>
          <w:color w:val="231F20"/>
          <w:w w:val="105"/>
        </w:rPr>
        <w:t>migrar</w:t>
      </w:r>
      <w:r>
        <w:rPr>
          <w:color w:val="231F20"/>
          <w:spacing w:val="-11"/>
          <w:w w:val="105"/>
        </w:rPr>
        <w:t> </w:t>
      </w:r>
      <w:r>
        <w:rPr>
          <w:color w:val="231F20"/>
          <w:w w:val="105"/>
        </w:rPr>
        <w:t>y</w:t>
      </w:r>
      <w:r>
        <w:rPr>
          <w:color w:val="231F20"/>
          <w:spacing w:val="-11"/>
          <w:w w:val="105"/>
        </w:rPr>
        <w:t> </w:t>
      </w:r>
      <w:r>
        <w:rPr>
          <w:color w:val="231F20"/>
          <w:w w:val="105"/>
        </w:rPr>
        <w:t>preservan los</w:t>
      </w:r>
      <w:r>
        <w:rPr>
          <w:color w:val="231F20"/>
          <w:spacing w:val="-14"/>
          <w:w w:val="105"/>
        </w:rPr>
        <w:t> </w:t>
      </w:r>
      <w:r>
        <w:rPr>
          <w:color w:val="231F20"/>
          <w:w w:val="105"/>
        </w:rPr>
        <w:t>flujos</w:t>
      </w:r>
      <w:r>
        <w:rPr>
          <w:color w:val="231F20"/>
          <w:spacing w:val="-14"/>
          <w:w w:val="105"/>
        </w:rPr>
        <w:t> </w:t>
      </w:r>
      <w:r>
        <w:rPr>
          <w:color w:val="231F20"/>
          <w:w w:val="105"/>
        </w:rPr>
        <w:t>a</w:t>
      </w:r>
      <w:r>
        <w:rPr>
          <w:color w:val="231F20"/>
          <w:spacing w:val="-14"/>
          <w:w w:val="105"/>
        </w:rPr>
        <w:t> </w:t>
      </w:r>
      <w:r>
        <w:rPr>
          <w:color w:val="231F20"/>
          <w:w w:val="105"/>
        </w:rPr>
        <w:t>través</w:t>
      </w:r>
      <w:r>
        <w:rPr>
          <w:color w:val="231F20"/>
          <w:spacing w:val="-14"/>
          <w:w w:val="105"/>
        </w:rPr>
        <w:t> </w:t>
      </w:r>
      <w:r>
        <w:rPr>
          <w:color w:val="231F20"/>
          <w:w w:val="105"/>
        </w:rPr>
        <w:t>del</w:t>
      </w:r>
      <w:r>
        <w:rPr>
          <w:color w:val="231F20"/>
          <w:spacing w:val="-14"/>
          <w:w w:val="105"/>
        </w:rPr>
        <w:t> </w:t>
      </w:r>
      <w:r>
        <w:rPr>
          <w:color w:val="231F20"/>
          <w:w w:val="105"/>
        </w:rPr>
        <w:t>tiempo.</w:t>
      </w:r>
    </w:p>
    <w:p>
      <w:pPr>
        <w:pStyle w:val="BodyText"/>
        <w:spacing w:line="261" w:lineRule="auto" w:before="1"/>
        <w:ind w:left="1723" w:right="1828" w:firstLine="567"/>
        <w:jc w:val="both"/>
      </w:pPr>
      <w:r>
        <w:rPr>
          <w:color w:val="231F20"/>
          <w:w w:val="105"/>
        </w:rPr>
        <w:t>Los</w:t>
      </w:r>
      <w:r>
        <w:rPr>
          <w:color w:val="231F20"/>
          <w:spacing w:val="-11"/>
          <w:w w:val="105"/>
        </w:rPr>
        <w:t> </w:t>
      </w:r>
      <w:r>
        <w:rPr>
          <w:color w:val="231F20"/>
          <w:w w:val="105"/>
        </w:rPr>
        <w:t>estudios</w:t>
      </w:r>
      <w:r>
        <w:rPr>
          <w:color w:val="231F20"/>
          <w:spacing w:val="-11"/>
          <w:w w:val="105"/>
        </w:rPr>
        <w:t> </w:t>
      </w:r>
      <w:r>
        <w:rPr>
          <w:color w:val="231F20"/>
          <w:w w:val="105"/>
        </w:rPr>
        <w:t>académicos</w:t>
      </w:r>
      <w:r>
        <w:rPr>
          <w:color w:val="231F20"/>
          <w:spacing w:val="-11"/>
          <w:w w:val="105"/>
        </w:rPr>
        <w:t> </w:t>
      </w:r>
      <w:r>
        <w:rPr>
          <w:color w:val="231F20"/>
          <w:w w:val="105"/>
        </w:rPr>
        <w:t>que</w:t>
      </w:r>
      <w:r>
        <w:rPr>
          <w:color w:val="231F20"/>
          <w:spacing w:val="-11"/>
          <w:w w:val="105"/>
        </w:rPr>
        <w:t> </w:t>
      </w:r>
      <w:r>
        <w:rPr>
          <w:color w:val="231F20"/>
          <w:w w:val="105"/>
        </w:rPr>
        <w:t>involucran</w:t>
      </w:r>
      <w:r>
        <w:rPr>
          <w:color w:val="231F20"/>
          <w:spacing w:val="-11"/>
          <w:w w:val="105"/>
        </w:rPr>
        <w:t> </w:t>
      </w:r>
      <w:r>
        <w:rPr>
          <w:color w:val="231F20"/>
          <w:w w:val="105"/>
        </w:rPr>
        <w:t>la</w:t>
      </w:r>
      <w:r>
        <w:rPr>
          <w:color w:val="231F20"/>
          <w:spacing w:val="-11"/>
          <w:w w:val="105"/>
        </w:rPr>
        <w:t> </w:t>
      </w:r>
      <w:r>
        <w:rPr>
          <w:color w:val="231F20"/>
          <w:w w:val="105"/>
        </w:rPr>
        <w:t>perspectiva</w:t>
      </w:r>
      <w:r>
        <w:rPr>
          <w:color w:val="231F20"/>
          <w:spacing w:val="-11"/>
          <w:w w:val="105"/>
        </w:rPr>
        <w:t> </w:t>
      </w:r>
      <w:r>
        <w:rPr>
          <w:color w:val="231F20"/>
          <w:w w:val="105"/>
        </w:rPr>
        <w:t>de</w:t>
      </w:r>
      <w:r>
        <w:rPr>
          <w:color w:val="231F20"/>
          <w:spacing w:val="-11"/>
          <w:w w:val="105"/>
        </w:rPr>
        <w:t> </w:t>
      </w:r>
      <w:r>
        <w:rPr>
          <w:color w:val="231F20"/>
          <w:w w:val="105"/>
        </w:rPr>
        <w:t>género han tenido una evolución en la manera de abordar y problematizar el fenómeno</w:t>
      </w:r>
      <w:r>
        <w:rPr>
          <w:color w:val="231F20"/>
          <w:spacing w:val="-22"/>
          <w:w w:val="105"/>
        </w:rPr>
        <w:t> </w:t>
      </w:r>
      <w:r>
        <w:rPr>
          <w:color w:val="231F20"/>
          <w:w w:val="105"/>
        </w:rPr>
        <w:t>desde</w:t>
      </w:r>
      <w:r>
        <w:rPr>
          <w:color w:val="231F20"/>
          <w:spacing w:val="-22"/>
          <w:w w:val="105"/>
        </w:rPr>
        <w:t> </w:t>
      </w:r>
      <w:r>
        <w:rPr>
          <w:color w:val="231F20"/>
          <w:w w:val="105"/>
        </w:rPr>
        <w:t>sus</w:t>
      </w:r>
      <w:r>
        <w:rPr>
          <w:color w:val="231F20"/>
          <w:spacing w:val="-22"/>
          <w:w w:val="105"/>
        </w:rPr>
        <w:t> </w:t>
      </w:r>
      <w:r>
        <w:rPr>
          <w:color w:val="231F20"/>
          <w:w w:val="105"/>
        </w:rPr>
        <w:t>comienzos</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década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setenta.</w:t>
      </w:r>
      <w:r>
        <w:rPr>
          <w:color w:val="231F20"/>
          <w:spacing w:val="-27"/>
          <w:w w:val="105"/>
        </w:rPr>
        <w:t> </w:t>
      </w:r>
      <w:r>
        <w:rPr>
          <w:color w:val="231F20"/>
          <w:w w:val="105"/>
        </w:rPr>
        <w:t>De</w:t>
      </w:r>
      <w:r>
        <w:rPr>
          <w:color w:val="231F20"/>
          <w:spacing w:val="-22"/>
          <w:w w:val="105"/>
        </w:rPr>
        <w:t> </w:t>
      </w:r>
      <w:r>
        <w:rPr>
          <w:color w:val="231F20"/>
          <w:w w:val="105"/>
        </w:rPr>
        <w:t>acuerdo con Mummert (2010) se pueden clasificar en tres periodos. El primero comprende</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feminización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migración,</w:t>
      </w:r>
      <w:r>
        <w:rPr>
          <w:color w:val="231F20"/>
          <w:spacing w:val="-20"/>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cual</w:t>
      </w:r>
      <w:r>
        <w:rPr>
          <w:color w:val="231F20"/>
          <w:spacing w:val="-15"/>
          <w:w w:val="105"/>
        </w:rPr>
        <w:t> </w:t>
      </w:r>
      <w:r>
        <w:rPr>
          <w:color w:val="231F20"/>
          <w:w w:val="105"/>
        </w:rPr>
        <w:t>la</w:t>
      </w:r>
      <w:r>
        <w:rPr>
          <w:color w:val="231F20"/>
          <w:spacing w:val="-15"/>
          <w:w w:val="105"/>
        </w:rPr>
        <w:t> </w:t>
      </w:r>
      <w:r>
        <w:rPr>
          <w:color w:val="231F20"/>
          <w:w w:val="105"/>
        </w:rPr>
        <w:t>principal</w:t>
      </w:r>
      <w:r>
        <w:rPr>
          <w:color w:val="231F20"/>
          <w:spacing w:val="-15"/>
          <w:w w:val="105"/>
        </w:rPr>
        <w:t> </w:t>
      </w:r>
      <w:r>
        <w:rPr>
          <w:color w:val="231F20"/>
          <w:w w:val="105"/>
        </w:rPr>
        <w:t>meta era</w:t>
      </w:r>
      <w:r>
        <w:rPr>
          <w:color w:val="231F20"/>
          <w:spacing w:val="-16"/>
          <w:w w:val="105"/>
        </w:rPr>
        <w:t> </w:t>
      </w:r>
      <w:r>
        <w:rPr>
          <w:color w:val="231F20"/>
          <w:w w:val="105"/>
        </w:rPr>
        <w:t>hacer</w:t>
      </w:r>
      <w:r>
        <w:rPr>
          <w:color w:val="231F20"/>
          <w:spacing w:val="-16"/>
          <w:w w:val="105"/>
        </w:rPr>
        <w:t> </w:t>
      </w:r>
      <w:r>
        <w:rPr>
          <w:color w:val="231F20"/>
          <w:w w:val="105"/>
        </w:rPr>
        <w:t>más</w:t>
      </w:r>
      <w:r>
        <w:rPr>
          <w:color w:val="231F20"/>
          <w:spacing w:val="-16"/>
          <w:w w:val="105"/>
        </w:rPr>
        <w:t> </w:t>
      </w:r>
      <w:r>
        <w:rPr>
          <w:color w:val="231F20"/>
          <w:w w:val="105"/>
        </w:rPr>
        <w:t>visible</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mujeres.</w:t>
      </w:r>
      <w:r>
        <w:rPr>
          <w:color w:val="231F20"/>
          <w:spacing w:val="-20"/>
          <w:w w:val="105"/>
        </w:rPr>
        <w:t> </w:t>
      </w:r>
      <w:r>
        <w:rPr>
          <w:color w:val="231F20"/>
          <w:w w:val="105"/>
        </w:rPr>
        <w:t>Desafortunadamente</w:t>
      </w:r>
      <w:r>
        <w:rPr>
          <w:color w:val="231F20"/>
          <w:spacing w:val="-16"/>
          <w:w w:val="105"/>
        </w:rPr>
        <w:t> </w:t>
      </w:r>
      <w:r>
        <w:rPr>
          <w:color w:val="231F20"/>
          <w:w w:val="105"/>
        </w:rPr>
        <w:t>estos</w:t>
      </w:r>
      <w:r>
        <w:rPr>
          <w:color w:val="231F20"/>
          <w:spacing w:val="-16"/>
          <w:w w:val="105"/>
        </w:rPr>
        <w:t> </w:t>
      </w:r>
      <w:r>
        <w:rPr>
          <w:color w:val="231F20"/>
          <w:w w:val="105"/>
        </w:rPr>
        <w:t>trabajos separaron</w:t>
      </w:r>
      <w:r>
        <w:rPr>
          <w:color w:val="231F20"/>
          <w:spacing w:val="-22"/>
          <w:w w:val="105"/>
        </w:rPr>
        <w:t> </w:t>
      </w:r>
      <w:r>
        <w:rPr>
          <w:color w:val="231F20"/>
          <w:w w:val="105"/>
        </w:rPr>
        <w:t>a</w:t>
      </w:r>
      <w:r>
        <w:rPr>
          <w:color w:val="231F20"/>
          <w:spacing w:val="-22"/>
          <w:w w:val="105"/>
        </w:rPr>
        <w:t> </w:t>
      </w:r>
      <w:r>
        <w:rPr>
          <w:color w:val="231F20"/>
          <w:w w:val="105"/>
        </w:rPr>
        <w:t>las</w:t>
      </w:r>
      <w:r>
        <w:rPr>
          <w:color w:val="231F20"/>
          <w:spacing w:val="-22"/>
          <w:w w:val="105"/>
        </w:rPr>
        <w:t> </w:t>
      </w:r>
      <w:r>
        <w:rPr>
          <w:color w:val="231F20"/>
          <w:w w:val="105"/>
        </w:rPr>
        <w:t>mujeres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vida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hombres</w:t>
      </w:r>
      <w:r>
        <w:rPr>
          <w:color w:val="231F20"/>
          <w:spacing w:val="-22"/>
          <w:w w:val="105"/>
        </w:rPr>
        <w:t> </w:t>
      </w:r>
      <w:r>
        <w:rPr>
          <w:color w:val="231F20"/>
          <w:w w:val="105"/>
        </w:rPr>
        <w:t>(padres,</w:t>
      </w:r>
      <w:r>
        <w:rPr>
          <w:color w:val="231F20"/>
          <w:spacing w:val="-26"/>
          <w:w w:val="105"/>
        </w:rPr>
        <w:t> </w:t>
      </w:r>
      <w:r>
        <w:rPr>
          <w:color w:val="231F20"/>
          <w:w w:val="105"/>
        </w:rPr>
        <w:t>esposos,</w:t>
      </w:r>
      <w:r>
        <w:rPr>
          <w:color w:val="231F20"/>
          <w:spacing w:val="-26"/>
          <w:w w:val="105"/>
        </w:rPr>
        <w:t> </w:t>
      </w:r>
      <w:r>
        <w:rPr>
          <w:color w:val="231F20"/>
          <w:w w:val="105"/>
        </w:rPr>
        <w:t>her- manos,</w:t>
      </w:r>
      <w:r>
        <w:rPr>
          <w:color w:val="231F20"/>
          <w:spacing w:val="-23"/>
          <w:w w:val="105"/>
        </w:rPr>
        <w:t> </w:t>
      </w:r>
      <w:r>
        <w:rPr>
          <w:color w:val="231F20"/>
          <w:w w:val="105"/>
        </w:rPr>
        <w:t>etc.).</w:t>
      </w:r>
      <w:r>
        <w:rPr>
          <w:color w:val="231F20"/>
          <w:spacing w:val="-23"/>
          <w:w w:val="105"/>
        </w:rPr>
        <w:t> </w:t>
      </w:r>
      <w:r>
        <w:rPr>
          <w:color w:val="231F20"/>
          <w:w w:val="105"/>
        </w:rPr>
        <w:t>El</w:t>
      </w:r>
      <w:r>
        <w:rPr>
          <w:color w:val="231F20"/>
          <w:spacing w:val="-19"/>
          <w:w w:val="105"/>
        </w:rPr>
        <w:t> </w:t>
      </w:r>
      <w:r>
        <w:rPr>
          <w:color w:val="231F20"/>
          <w:w w:val="105"/>
        </w:rPr>
        <w:t>análisis</w:t>
      </w:r>
      <w:r>
        <w:rPr>
          <w:color w:val="231F20"/>
          <w:spacing w:val="-19"/>
          <w:w w:val="105"/>
        </w:rPr>
        <w:t> </w:t>
      </w:r>
      <w:r>
        <w:rPr>
          <w:color w:val="231F20"/>
          <w:w w:val="105"/>
        </w:rPr>
        <w:t>estaba</w:t>
      </w:r>
      <w:r>
        <w:rPr>
          <w:color w:val="231F20"/>
          <w:spacing w:val="-19"/>
          <w:w w:val="105"/>
        </w:rPr>
        <w:t> </w:t>
      </w:r>
      <w:r>
        <w:rPr>
          <w:color w:val="231F20"/>
          <w:w w:val="105"/>
        </w:rPr>
        <w:t>restringido</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experiencias</w:t>
      </w:r>
      <w:r>
        <w:rPr>
          <w:color w:val="231F20"/>
          <w:spacing w:val="-19"/>
          <w:w w:val="105"/>
        </w:rPr>
        <w:t> </w:t>
      </w:r>
      <w:r>
        <w:rPr>
          <w:color w:val="231F20"/>
          <w:w w:val="105"/>
        </w:rPr>
        <w:t>de</w:t>
      </w:r>
      <w:r>
        <w:rPr>
          <w:color w:val="231F20"/>
          <w:spacing w:val="-19"/>
          <w:w w:val="105"/>
        </w:rPr>
        <w:t> </w:t>
      </w:r>
      <w:r>
        <w:rPr>
          <w:color w:val="231F20"/>
          <w:w w:val="105"/>
        </w:rPr>
        <w:t>mujeres migrantes sin incluir las demás esferas de participación de éstas en el proceso migratorio como esposas, hijas, etc. Aun con sus limitaciones, es valiosa la contribución de estas investigaciones, pues era necesario establecer un precedente en los estudios de migración donde la mujer fungiera como actor principal. El segundo periodo, inició a partir de los años</w:t>
      </w:r>
      <w:r>
        <w:rPr>
          <w:color w:val="231F20"/>
          <w:spacing w:val="-15"/>
          <w:w w:val="105"/>
        </w:rPr>
        <w:t> </w:t>
      </w:r>
      <w:r>
        <w:rPr>
          <w:color w:val="231F20"/>
          <w:w w:val="105"/>
        </w:rPr>
        <w:t>ochenta</w:t>
      </w:r>
      <w:r>
        <w:rPr>
          <w:color w:val="231F20"/>
          <w:spacing w:val="-15"/>
          <w:w w:val="105"/>
        </w:rPr>
        <w:t> </w:t>
      </w:r>
      <w:r>
        <w:rPr>
          <w:color w:val="231F20"/>
          <w:w w:val="105"/>
        </w:rPr>
        <w:t>y</w:t>
      </w:r>
      <w:r>
        <w:rPr>
          <w:color w:val="231F20"/>
          <w:spacing w:val="-15"/>
          <w:w w:val="105"/>
        </w:rPr>
        <w:t> </w:t>
      </w:r>
      <w:r>
        <w:rPr>
          <w:color w:val="231F20"/>
          <w:w w:val="105"/>
        </w:rPr>
        <w:t>exploró</w:t>
      </w:r>
      <w:r>
        <w:rPr>
          <w:color w:val="231F20"/>
          <w:spacing w:val="-15"/>
          <w:w w:val="105"/>
        </w:rPr>
        <w:t> </w:t>
      </w:r>
      <w:r>
        <w:rPr>
          <w:color w:val="231F20"/>
          <w:w w:val="105"/>
        </w:rPr>
        <w:t>otras</w:t>
      </w:r>
      <w:r>
        <w:rPr>
          <w:color w:val="231F20"/>
          <w:spacing w:val="-15"/>
          <w:w w:val="105"/>
        </w:rPr>
        <w:t> </w:t>
      </w:r>
      <w:r>
        <w:rPr>
          <w:color w:val="231F20"/>
          <w:w w:val="105"/>
        </w:rPr>
        <w:t>formas</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que</w:t>
      </w:r>
      <w:r>
        <w:rPr>
          <w:color w:val="231F20"/>
          <w:spacing w:val="-15"/>
          <w:w w:val="105"/>
        </w:rPr>
        <w:t> </w:t>
      </w:r>
      <w:r>
        <w:rPr>
          <w:color w:val="231F20"/>
          <w:w w:val="105"/>
        </w:rPr>
        <w:t>las</w:t>
      </w:r>
      <w:r>
        <w:rPr>
          <w:color w:val="231F20"/>
          <w:spacing w:val="-15"/>
          <w:w w:val="105"/>
        </w:rPr>
        <w:t> </w:t>
      </w:r>
      <w:r>
        <w:rPr>
          <w:color w:val="231F20"/>
          <w:w w:val="105"/>
        </w:rPr>
        <w:t>mujeres</w:t>
      </w:r>
      <w:r>
        <w:rPr>
          <w:color w:val="231F20"/>
          <w:spacing w:val="-15"/>
          <w:w w:val="105"/>
        </w:rPr>
        <w:t> </w:t>
      </w:r>
      <w:r>
        <w:rPr>
          <w:color w:val="231F20"/>
          <w:w w:val="105"/>
        </w:rPr>
        <w:t>participaban en</w:t>
      </w:r>
      <w:r>
        <w:rPr>
          <w:color w:val="231F20"/>
          <w:spacing w:val="-20"/>
          <w:w w:val="105"/>
        </w:rPr>
        <w:t> </w:t>
      </w:r>
      <w:r>
        <w:rPr>
          <w:color w:val="231F20"/>
          <w:w w:val="105"/>
        </w:rPr>
        <w:t>la</w:t>
      </w:r>
      <w:r>
        <w:rPr>
          <w:color w:val="231F20"/>
          <w:spacing w:val="-20"/>
          <w:w w:val="105"/>
        </w:rPr>
        <w:t> </w:t>
      </w:r>
      <w:r>
        <w:rPr>
          <w:color w:val="231F20"/>
          <w:w w:val="105"/>
        </w:rPr>
        <w:t>migración</w:t>
      </w:r>
      <w:r>
        <w:rPr>
          <w:color w:val="231F20"/>
          <w:spacing w:val="-20"/>
          <w:w w:val="105"/>
        </w:rPr>
        <w:t> </w:t>
      </w:r>
      <w:r>
        <w:rPr>
          <w:color w:val="231F20"/>
          <w:w w:val="105"/>
        </w:rPr>
        <w:t>como</w:t>
      </w:r>
      <w:r>
        <w:rPr>
          <w:color w:val="231F20"/>
          <w:spacing w:val="-20"/>
          <w:w w:val="105"/>
        </w:rPr>
        <w:t> </w:t>
      </w:r>
      <w:r>
        <w:rPr>
          <w:color w:val="231F20"/>
          <w:w w:val="105"/>
        </w:rPr>
        <w:t>hijas</w:t>
      </w:r>
      <w:r>
        <w:rPr>
          <w:color w:val="231F20"/>
          <w:spacing w:val="-20"/>
          <w:w w:val="105"/>
        </w:rPr>
        <w:t> </w:t>
      </w:r>
      <w:r>
        <w:rPr>
          <w:color w:val="231F20"/>
          <w:w w:val="105"/>
        </w:rPr>
        <w:t>y</w:t>
      </w:r>
      <w:r>
        <w:rPr>
          <w:color w:val="231F20"/>
          <w:spacing w:val="-20"/>
          <w:w w:val="105"/>
        </w:rPr>
        <w:t> </w:t>
      </w:r>
      <w:r>
        <w:rPr>
          <w:color w:val="231F20"/>
          <w:w w:val="105"/>
        </w:rPr>
        <w:t>esposas</w:t>
      </w:r>
      <w:r>
        <w:rPr>
          <w:color w:val="231F20"/>
          <w:spacing w:val="-20"/>
          <w:w w:val="105"/>
        </w:rPr>
        <w:t> </w:t>
      </w:r>
      <w:r>
        <w:rPr>
          <w:color w:val="231F20"/>
          <w:w w:val="105"/>
        </w:rPr>
        <w:t>de</w:t>
      </w:r>
      <w:r>
        <w:rPr>
          <w:color w:val="231F20"/>
          <w:spacing w:val="-20"/>
          <w:w w:val="105"/>
        </w:rPr>
        <w:t> </w:t>
      </w:r>
      <w:r>
        <w:rPr>
          <w:color w:val="231F20"/>
          <w:w w:val="105"/>
        </w:rPr>
        <w:t>migrantes</w:t>
      </w:r>
      <w:r>
        <w:rPr>
          <w:color w:val="231F20"/>
          <w:spacing w:val="-20"/>
          <w:w w:val="105"/>
        </w:rPr>
        <w:t> </w:t>
      </w:r>
      <w:r>
        <w:rPr>
          <w:color w:val="231F20"/>
          <w:w w:val="105"/>
        </w:rPr>
        <w:t>y</w:t>
      </w:r>
      <w:r>
        <w:rPr>
          <w:color w:val="231F20"/>
          <w:spacing w:val="-20"/>
          <w:w w:val="105"/>
        </w:rPr>
        <w:t> </w:t>
      </w:r>
      <w:r>
        <w:rPr>
          <w:color w:val="231F20"/>
          <w:w w:val="105"/>
        </w:rPr>
        <w:t>los</w:t>
      </w:r>
      <w:r>
        <w:rPr>
          <w:color w:val="231F20"/>
          <w:spacing w:val="-20"/>
          <w:w w:val="105"/>
        </w:rPr>
        <w:t> </w:t>
      </w:r>
      <w:r>
        <w:rPr>
          <w:color w:val="231F20"/>
          <w:w w:val="105"/>
        </w:rPr>
        <w:t>arreglos</w:t>
      </w:r>
      <w:r>
        <w:rPr>
          <w:color w:val="231F20"/>
          <w:spacing w:val="-20"/>
          <w:w w:val="105"/>
        </w:rPr>
        <w:t> </w:t>
      </w:r>
      <w:r>
        <w:rPr>
          <w:color w:val="231F20"/>
          <w:w w:val="105"/>
        </w:rPr>
        <w:t>propios del</w:t>
      </w:r>
      <w:r>
        <w:rPr>
          <w:color w:val="231F20"/>
          <w:spacing w:val="-27"/>
          <w:w w:val="105"/>
        </w:rPr>
        <w:t> </w:t>
      </w:r>
      <w:r>
        <w:rPr>
          <w:color w:val="231F20"/>
          <w:w w:val="105"/>
        </w:rPr>
        <w:t>proceso.</w:t>
      </w:r>
      <w:r>
        <w:rPr>
          <w:color w:val="231F20"/>
          <w:spacing w:val="-32"/>
          <w:w w:val="105"/>
        </w:rPr>
        <w:t> </w:t>
      </w:r>
      <w:r>
        <w:rPr>
          <w:color w:val="231F20"/>
          <w:w w:val="105"/>
        </w:rPr>
        <w:t>Una</w:t>
      </w:r>
      <w:r>
        <w:rPr>
          <w:color w:val="231F20"/>
          <w:spacing w:val="-27"/>
          <w:w w:val="105"/>
        </w:rPr>
        <w:t> </w:t>
      </w:r>
      <w:r>
        <w:rPr>
          <w:color w:val="231F20"/>
          <w:w w:val="105"/>
        </w:rPr>
        <w:t>tercera</w:t>
      </w:r>
      <w:r>
        <w:rPr>
          <w:color w:val="231F20"/>
          <w:spacing w:val="-27"/>
          <w:w w:val="105"/>
        </w:rPr>
        <w:t> </w:t>
      </w:r>
      <w:r>
        <w:rPr>
          <w:color w:val="231F20"/>
          <w:w w:val="105"/>
        </w:rPr>
        <w:t>etapa</w:t>
      </w:r>
      <w:r>
        <w:rPr>
          <w:color w:val="231F20"/>
          <w:spacing w:val="-27"/>
          <w:w w:val="105"/>
        </w:rPr>
        <w:t> </w:t>
      </w:r>
      <w:r>
        <w:rPr>
          <w:color w:val="231F20"/>
          <w:w w:val="105"/>
        </w:rPr>
        <w:t>que</w:t>
      </w:r>
      <w:r>
        <w:rPr>
          <w:color w:val="231F20"/>
          <w:spacing w:val="-27"/>
          <w:w w:val="105"/>
        </w:rPr>
        <w:t> </w:t>
      </w:r>
      <w:r>
        <w:rPr>
          <w:color w:val="231F20"/>
          <w:w w:val="105"/>
        </w:rPr>
        <w:t>persiste</w:t>
      </w:r>
      <w:r>
        <w:rPr>
          <w:color w:val="231F20"/>
          <w:spacing w:val="-27"/>
          <w:w w:val="105"/>
        </w:rPr>
        <w:t> </w:t>
      </w:r>
      <w:r>
        <w:rPr>
          <w:color w:val="231F20"/>
          <w:w w:val="105"/>
        </w:rPr>
        <w:t>hasta</w:t>
      </w:r>
      <w:r>
        <w:rPr>
          <w:color w:val="231F20"/>
          <w:spacing w:val="-27"/>
          <w:w w:val="105"/>
        </w:rPr>
        <w:t> </w:t>
      </w:r>
      <w:r>
        <w:rPr>
          <w:color w:val="231F20"/>
          <w:w w:val="105"/>
        </w:rPr>
        <w:t>nuestros</w:t>
      </w:r>
      <w:r>
        <w:rPr>
          <w:color w:val="231F20"/>
          <w:spacing w:val="-27"/>
          <w:w w:val="105"/>
        </w:rPr>
        <w:t> </w:t>
      </w:r>
      <w:r>
        <w:rPr>
          <w:color w:val="231F20"/>
          <w:w w:val="105"/>
        </w:rPr>
        <w:t>días</w:t>
      </w:r>
      <w:r>
        <w:rPr>
          <w:color w:val="231F20"/>
          <w:spacing w:val="-27"/>
          <w:w w:val="105"/>
        </w:rPr>
        <w:t> </w:t>
      </w:r>
      <w:r>
        <w:rPr>
          <w:color w:val="231F20"/>
          <w:w w:val="105"/>
        </w:rPr>
        <w:t>involucra la</w:t>
      </w:r>
      <w:r>
        <w:rPr>
          <w:color w:val="231F20"/>
          <w:spacing w:val="-11"/>
          <w:w w:val="105"/>
        </w:rPr>
        <w:t> </w:t>
      </w:r>
      <w:r>
        <w:rPr>
          <w:color w:val="231F20"/>
          <w:w w:val="105"/>
        </w:rPr>
        <w:t>búsqueda</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amplio</w:t>
      </w:r>
      <w:r>
        <w:rPr>
          <w:color w:val="231F20"/>
          <w:spacing w:val="-11"/>
          <w:w w:val="105"/>
        </w:rPr>
        <w:t> </w:t>
      </w:r>
      <w:r>
        <w:rPr>
          <w:color w:val="231F20"/>
          <w:w w:val="105"/>
        </w:rPr>
        <w:t>entendimiento</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relaciones</w:t>
      </w:r>
      <w:r>
        <w:rPr>
          <w:color w:val="231F20"/>
          <w:spacing w:val="-11"/>
          <w:w w:val="105"/>
        </w:rPr>
        <w:t> </w:t>
      </w:r>
      <w:r>
        <w:rPr>
          <w:color w:val="231F20"/>
          <w:w w:val="105"/>
        </w:rPr>
        <w:t>de</w:t>
      </w:r>
      <w:r>
        <w:rPr>
          <w:color w:val="231F20"/>
          <w:spacing w:val="-11"/>
          <w:w w:val="105"/>
        </w:rPr>
        <w:t> </w:t>
      </w:r>
      <w:r>
        <w:rPr>
          <w:color w:val="231F20"/>
          <w:w w:val="105"/>
        </w:rPr>
        <w:t>poder</w:t>
      </w:r>
      <w:r>
        <w:rPr>
          <w:color w:val="231F20"/>
          <w:spacing w:val="-11"/>
          <w:w w:val="105"/>
        </w:rPr>
        <w:t> </w:t>
      </w:r>
      <w:r>
        <w:rPr>
          <w:color w:val="231F20"/>
          <w:w w:val="105"/>
        </w:rPr>
        <w:t>que moldean las prácticas e instituciones implicadas en el fenómeno</w:t>
      </w:r>
      <w:r>
        <w:rPr>
          <w:color w:val="231F20"/>
          <w:spacing w:val="-36"/>
          <w:w w:val="105"/>
        </w:rPr>
        <w:t> </w:t>
      </w:r>
      <w:r>
        <w:rPr>
          <w:color w:val="231F20"/>
          <w:w w:val="105"/>
        </w:rPr>
        <w:t>migra- torio. En este periodo se hace presente el concepto de</w:t>
      </w:r>
      <w:r>
        <w:rPr>
          <w:color w:val="231F20"/>
          <w:spacing w:val="-23"/>
          <w:w w:val="105"/>
        </w:rPr>
        <w:t> </w:t>
      </w:r>
      <w:r>
        <w:rPr>
          <w:color w:val="231F20"/>
          <w:w w:val="105"/>
        </w:rPr>
        <w:t>transnacionalis- mo, el cual considera que la vida de los migrantes no está dada en</w:t>
      </w:r>
      <w:r>
        <w:rPr>
          <w:color w:val="231F20"/>
          <w:spacing w:val="-29"/>
          <w:w w:val="105"/>
        </w:rPr>
        <w:t> </w:t>
      </w:r>
      <w:r>
        <w:rPr>
          <w:color w:val="231F20"/>
          <w:w w:val="105"/>
        </w:rPr>
        <w:t>una relación</w:t>
      </w:r>
      <w:r>
        <w:rPr>
          <w:color w:val="231F20"/>
          <w:spacing w:val="-10"/>
          <w:w w:val="105"/>
        </w:rPr>
        <w:t> </w:t>
      </w:r>
      <w:r>
        <w:rPr>
          <w:color w:val="231F20"/>
          <w:w w:val="105"/>
        </w:rPr>
        <w:t>simple</w:t>
      </w:r>
      <w:r>
        <w:rPr>
          <w:color w:val="231F20"/>
          <w:spacing w:val="-10"/>
          <w:w w:val="105"/>
        </w:rPr>
        <w:t> </w:t>
      </w:r>
      <w:r>
        <w:rPr>
          <w:color w:val="231F20"/>
          <w:w w:val="105"/>
        </w:rPr>
        <w:t>de</w:t>
      </w:r>
      <w:r>
        <w:rPr>
          <w:color w:val="231F20"/>
          <w:spacing w:val="-10"/>
          <w:w w:val="105"/>
        </w:rPr>
        <w:t> </w:t>
      </w:r>
      <w:r>
        <w:rPr>
          <w:color w:val="231F20"/>
          <w:w w:val="105"/>
        </w:rPr>
        <w:t>origen</w:t>
      </w:r>
      <w:r>
        <w:rPr>
          <w:color w:val="231F20"/>
          <w:spacing w:val="-10"/>
          <w:w w:val="105"/>
        </w:rPr>
        <w:t> </w:t>
      </w:r>
      <w:r>
        <w:rPr>
          <w:color w:val="231F20"/>
          <w:w w:val="105"/>
        </w:rPr>
        <w:t>y</w:t>
      </w:r>
      <w:r>
        <w:rPr>
          <w:color w:val="231F20"/>
          <w:spacing w:val="-10"/>
          <w:w w:val="105"/>
        </w:rPr>
        <w:t> </w:t>
      </w:r>
      <w:r>
        <w:rPr>
          <w:color w:val="231F20"/>
          <w:w w:val="105"/>
        </w:rPr>
        <w:t>destino,</w:t>
      </w:r>
      <w:r>
        <w:rPr>
          <w:color w:val="231F20"/>
          <w:spacing w:val="-16"/>
          <w:w w:val="105"/>
        </w:rPr>
        <w:t> </w:t>
      </w:r>
      <w:r>
        <w:rPr>
          <w:color w:val="231F20"/>
          <w:w w:val="105"/>
        </w:rPr>
        <w:t>sino</w:t>
      </w:r>
      <w:r>
        <w:rPr>
          <w:color w:val="231F20"/>
          <w:spacing w:val="-10"/>
          <w:w w:val="105"/>
        </w:rPr>
        <w:t> </w:t>
      </w:r>
      <w:r>
        <w:rPr>
          <w:color w:val="231F20"/>
          <w:w w:val="105"/>
        </w:rPr>
        <w:t>también</w:t>
      </w:r>
      <w:r>
        <w:rPr>
          <w:color w:val="231F20"/>
          <w:spacing w:val="-10"/>
          <w:w w:val="105"/>
        </w:rPr>
        <w:t> </w:t>
      </w:r>
      <w:r>
        <w:rPr>
          <w:color w:val="231F20"/>
          <w:w w:val="105"/>
        </w:rPr>
        <w:t>incluye</w:t>
      </w:r>
      <w:r>
        <w:rPr>
          <w:color w:val="231F20"/>
          <w:spacing w:val="-10"/>
          <w:w w:val="105"/>
        </w:rPr>
        <w:t> </w:t>
      </w:r>
      <w:r>
        <w:rPr>
          <w:color w:val="231F20"/>
          <w:w w:val="105"/>
        </w:rPr>
        <w:t>un</w:t>
      </w:r>
      <w:r>
        <w:rPr>
          <w:color w:val="231F20"/>
          <w:spacing w:val="-10"/>
          <w:w w:val="105"/>
        </w:rPr>
        <w:t> </w:t>
      </w:r>
      <w:r>
        <w:rPr>
          <w:color w:val="231F20"/>
          <w:w w:val="105"/>
        </w:rPr>
        <w:t>intercambio intenso de información, especialmente por los avances tecnológicos</w:t>
      </w:r>
      <w:r>
        <w:rPr>
          <w:color w:val="231F20"/>
          <w:spacing w:val="-39"/>
          <w:w w:val="105"/>
        </w:rPr>
        <w:t> </w:t>
      </w:r>
      <w:r>
        <w:rPr>
          <w:color w:val="231F20"/>
          <w:w w:val="105"/>
        </w:rPr>
        <w:t>de las</w:t>
      </w:r>
      <w:r>
        <w:rPr>
          <w:color w:val="231F20"/>
          <w:spacing w:val="-39"/>
          <w:w w:val="105"/>
        </w:rPr>
        <w:t> </w:t>
      </w:r>
      <w:r>
        <w:rPr>
          <w:color w:val="231F20"/>
          <w:w w:val="105"/>
        </w:rPr>
        <w:t>últimas</w:t>
      </w:r>
      <w:r>
        <w:rPr>
          <w:color w:val="231F20"/>
          <w:spacing w:val="-39"/>
          <w:w w:val="105"/>
        </w:rPr>
        <w:t> </w:t>
      </w:r>
      <w:r>
        <w:rPr>
          <w:color w:val="231F20"/>
          <w:w w:val="105"/>
        </w:rPr>
        <w:t>décadas</w:t>
      </w:r>
      <w:r>
        <w:rPr>
          <w:color w:val="231F20"/>
          <w:spacing w:val="-39"/>
          <w:w w:val="105"/>
        </w:rPr>
        <w:t> </w:t>
      </w:r>
      <w:r>
        <w:rPr>
          <w:color w:val="231F20"/>
          <w:w w:val="105"/>
        </w:rPr>
        <w:t>(Hondagneu-Sotelo,</w:t>
      </w:r>
      <w:r>
        <w:rPr>
          <w:color w:val="231F20"/>
          <w:spacing w:val="-41"/>
          <w:w w:val="105"/>
        </w:rPr>
        <w:t> </w:t>
      </w:r>
      <w:r>
        <w:rPr>
          <w:color w:val="231F20"/>
          <w:w w:val="105"/>
        </w:rPr>
        <w:t>2003).</w:t>
      </w:r>
    </w:p>
    <w:p>
      <w:pPr>
        <w:pStyle w:val="BodyText"/>
        <w:rPr>
          <w:sz w:val="20"/>
        </w:rPr>
      </w:pPr>
    </w:p>
    <w:p>
      <w:pPr>
        <w:pStyle w:val="BodyText"/>
        <w:spacing w:before="9"/>
        <w:rPr>
          <w:sz w:val="20"/>
        </w:rPr>
      </w:pPr>
    </w:p>
    <w:p>
      <w:pPr>
        <w:pStyle w:val="Heading3"/>
        <w:ind w:left="1723"/>
      </w:pPr>
      <w:r>
        <w:rPr>
          <w:color w:val="231F20"/>
        </w:rPr>
        <w:t>Redes sociales y la reproducción del proceso migratorio</w:t>
      </w:r>
    </w:p>
    <w:p>
      <w:pPr>
        <w:pStyle w:val="BodyText"/>
        <w:rPr>
          <w:rFonts w:ascii="Arial"/>
          <w:b/>
          <w:sz w:val="22"/>
        </w:rPr>
      </w:pPr>
    </w:p>
    <w:p>
      <w:pPr>
        <w:pStyle w:val="BodyText"/>
        <w:spacing w:line="261" w:lineRule="auto" w:before="163"/>
        <w:ind w:left="1723" w:right="1834"/>
        <w:jc w:val="both"/>
      </w:pPr>
      <w:r>
        <w:rPr>
          <w:color w:val="231F20"/>
          <w:w w:val="105"/>
        </w:rPr>
        <w:t>La</w:t>
      </w:r>
      <w:r>
        <w:rPr>
          <w:color w:val="231F20"/>
          <w:spacing w:val="-11"/>
          <w:w w:val="105"/>
        </w:rPr>
        <w:t> </w:t>
      </w:r>
      <w:r>
        <w:rPr>
          <w:color w:val="231F20"/>
          <w:w w:val="105"/>
        </w:rPr>
        <w:t>circularidad</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migración</w:t>
      </w:r>
      <w:r>
        <w:rPr>
          <w:color w:val="231F20"/>
          <w:spacing w:val="-11"/>
          <w:w w:val="105"/>
        </w:rPr>
        <w:t> </w:t>
      </w:r>
      <w:r>
        <w:rPr>
          <w:color w:val="231F20"/>
          <w:w w:val="105"/>
        </w:rPr>
        <w:t>entre</w:t>
      </w:r>
      <w:r>
        <w:rPr>
          <w:color w:val="231F20"/>
          <w:spacing w:val="-11"/>
          <w:w w:val="105"/>
        </w:rPr>
        <w:t> </w:t>
      </w:r>
      <w:r>
        <w:rPr>
          <w:color w:val="231F20"/>
          <w:w w:val="105"/>
        </w:rPr>
        <w:t>México</w:t>
      </w:r>
      <w:r>
        <w:rPr>
          <w:color w:val="231F20"/>
          <w:spacing w:val="-11"/>
          <w:w w:val="105"/>
        </w:rPr>
        <w:t> </w:t>
      </w:r>
      <w:r>
        <w:rPr>
          <w:color w:val="231F20"/>
          <w:w w:val="105"/>
        </w:rPr>
        <w:t>y</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1"/>
          <w:w w:val="105"/>
        </w:rPr>
        <w:t> </w:t>
      </w:r>
      <w:r>
        <w:rPr>
          <w:color w:val="231F20"/>
          <w:w w:val="105"/>
        </w:rPr>
        <w:t>antes</w:t>
      </w:r>
      <w:r>
        <w:rPr>
          <w:color w:val="231F20"/>
          <w:spacing w:val="-11"/>
          <w:w w:val="105"/>
        </w:rPr>
        <w:t> </w:t>
      </w:r>
      <w:r>
        <w:rPr>
          <w:color w:val="231F20"/>
          <w:w w:val="105"/>
        </w:rPr>
        <w:t>del incremento</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vigilancia</w:t>
      </w:r>
      <w:r>
        <w:rPr>
          <w:color w:val="231F20"/>
          <w:spacing w:val="-6"/>
          <w:w w:val="105"/>
        </w:rPr>
        <w:t> </w:t>
      </w:r>
      <w:r>
        <w:rPr>
          <w:color w:val="231F20"/>
          <w:w w:val="105"/>
        </w:rPr>
        <w:t>fronteriza</w:t>
      </w:r>
      <w:r>
        <w:rPr>
          <w:color w:val="231F20"/>
          <w:spacing w:val="-6"/>
          <w:w w:val="105"/>
        </w:rPr>
        <w:t> </w:t>
      </w:r>
      <w:r>
        <w:rPr>
          <w:color w:val="231F20"/>
          <w:w w:val="105"/>
        </w:rPr>
        <w:t>permitió</w:t>
      </w:r>
      <w:r>
        <w:rPr>
          <w:color w:val="231F20"/>
          <w:spacing w:val="-6"/>
          <w:w w:val="105"/>
        </w:rPr>
        <w:t> </w:t>
      </w:r>
      <w:r>
        <w:rPr>
          <w:color w:val="231F20"/>
          <w:w w:val="105"/>
        </w:rPr>
        <w:t>la</w:t>
      </w:r>
      <w:r>
        <w:rPr>
          <w:color w:val="231F20"/>
          <w:spacing w:val="-6"/>
          <w:w w:val="105"/>
        </w:rPr>
        <w:t> </w:t>
      </w:r>
      <w:r>
        <w:rPr>
          <w:color w:val="231F20"/>
          <w:w w:val="105"/>
        </w:rPr>
        <w:t>acumulación</w:t>
      </w:r>
      <w:r>
        <w:rPr>
          <w:color w:val="231F20"/>
          <w:spacing w:val="-6"/>
          <w:w w:val="105"/>
        </w:rPr>
        <w:t> </w:t>
      </w:r>
      <w:r>
        <w:rPr>
          <w:color w:val="231F20"/>
          <w:w w:val="105"/>
        </w:rPr>
        <w:t>de</w:t>
      </w:r>
      <w:r>
        <w:rPr>
          <w:color w:val="231F20"/>
          <w:spacing w:val="-6"/>
          <w:w w:val="105"/>
        </w:rPr>
        <w:t> </w:t>
      </w:r>
      <w:r>
        <w:rPr>
          <w:color w:val="231F20"/>
          <w:w w:val="105"/>
        </w:rPr>
        <w:t>capital social,</w:t>
      </w:r>
      <w:r>
        <w:rPr>
          <w:color w:val="231F20"/>
          <w:spacing w:val="-13"/>
          <w:w w:val="105"/>
        </w:rPr>
        <w:t> </w:t>
      </w:r>
      <w:r>
        <w:rPr>
          <w:color w:val="231F20"/>
          <w:w w:val="105"/>
        </w:rPr>
        <w:t>lo</w:t>
      </w:r>
      <w:r>
        <w:rPr>
          <w:color w:val="231F20"/>
          <w:spacing w:val="-8"/>
          <w:w w:val="105"/>
        </w:rPr>
        <w:t> </w:t>
      </w:r>
      <w:r>
        <w:rPr>
          <w:color w:val="231F20"/>
          <w:w w:val="105"/>
        </w:rPr>
        <w:t>cual</w:t>
      </w:r>
      <w:r>
        <w:rPr>
          <w:color w:val="231F20"/>
          <w:spacing w:val="-8"/>
          <w:w w:val="105"/>
        </w:rPr>
        <w:t> </w:t>
      </w:r>
      <w:r>
        <w:rPr>
          <w:color w:val="231F20"/>
          <w:w w:val="105"/>
        </w:rPr>
        <w:t>creó</w:t>
      </w:r>
      <w:r>
        <w:rPr>
          <w:color w:val="231F20"/>
          <w:spacing w:val="-8"/>
          <w:w w:val="105"/>
        </w:rPr>
        <w:t> </w:t>
      </w:r>
      <w:r>
        <w:rPr>
          <w:color w:val="231F20"/>
          <w:w w:val="105"/>
        </w:rPr>
        <w:t>y</w:t>
      </w:r>
      <w:r>
        <w:rPr>
          <w:color w:val="231F20"/>
          <w:spacing w:val="-8"/>
          <w:w w:val="105"/>
        </w:rPr>
        <w:t> </w:t>
      </w:r>
      <w:r>
        <w:rPr>
          <w:color w:val="231F20"/>
          <w:w w:val="105"/>
        </w:rPr>
        <w:t>fortaleció</w:t>
      </w:r>
      <w:r>
        <w:rPr>
          <w:color w:val="231F20"/>
          <w:spacing w:val="-8"/>
          <w:w w:val="105"/>
        </w:rPr>
        <w:t> </w:t>
      </w:r>
      <w:r>
        <w:rPr>
          <w:color w:val="231F20"/>
          <w:w w:val="105"/>
        </w:rPr>
        <w:t>redes</w:t>
      </w:r>
      <w:r>
        <w:rPr>
          <w:color w:val="231F20"/>
          <w:spacing w:val="-8"/>
          <w:w w:val="105"/>
        </w:rPr>
        <w:t> </w:t>
      </w:r>
      <w:r>
        <w:rPr>
          <w:color w:val="231F20"/>
          <w:w w:val="105"/>
        </w:rPr>
        <w:t>sociales</w:t>
      </w:r>
      <w:r>
        <w:rPr>
          <w:color w:val="231F20"/>
          <w:spacing w:val="-8"/>
          <w:w w:val="105"/>
        </w:rPr>
        <w:t> </w:t>
      </w:r>
      <w:r>
        <w:rPr>
          <w:color w:val="231F20"/>
          <w:w w:val="105"/>
        </w:rPr>
        <w:t>entre</w:t>
      </w:r>
      <w:r>
        <w:rPr>
          <w:color w:val="231F20"/>
          <w:spacing w:val="-8"/>
          <w:w w:val="105"/>
        </w:rPr>
        <w:t> </w:t>
      </w:r>
      <w:r>
        <w:rPr>
          <w:color w:val="231F20"/>
          <w:w w:val="105"/>
        </w:rPr>
        <w:t>comunidades</w:t>
      </w:r>
      <w:r>
        <w:rPr>
          <w:color w:val="231F20"/>
          <w:spacing w:val="-8"/>
          <w:w w:val="105"/>
        </w:rPr>
        <w:t> </w:t>
      </w:r>
      <w:r>
        <w:rPr>
          <w:color w:val="231F20"/>
          <w:w w:val="105"/>
        </w:rPr>
        <w:t>expul-</w:t>
      </w:r>
    </w:p>
    <w:p>
      <w:pPr>
        <w:pStyle w:val="BodyText"/>
        <w:rPr>
          <w:sz w:val="20"/>
        </w:rPr>
      </w:pPr>
    </w:p>
    <w:p>
      <w:pPr>
        <w:pStyle w:val="BodyText"/>
        <w:rPr>
          <w:sz w:val="20"/>
        </w:rPr>
      </w:pPr>
    </w:p>
    <w:p>
      <w:pPr>
        <w:pStyle w:val="BodyText"/>
        <w:rPr>
          <w:sz w:val="20"/>
        </w:rPr>
      </w:pPr>
    </w:p>
    <w:p>
      <w:pPr>
        <w:pStyle w:val="BodyText"/>
        <w:spacing w:before="4"/>
        <w:rPr>
          <w:sz w:val="18"/>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58104" from="131.551193pt,.203715pt" to="131.551193pt,36.006114pt" stroked="true" strokeweight=".35pt" strokecolor="#231f20">
            <w10:wrap type="none"/>
          </v:line>
        </w:pict>
      </w:r>
      <w:r>
        <w:rPr/>
        <w:pict>
          <v:line style="position:absolute;mso-position-horizontal-relative:page;mso-position-vertical-relative:paragraph;z-index:-458032" from="15pt,36.005917pt" to="0pt,36.005917pt" stroked="true" strokeweight=".25pt" strokecolor="#000000">
            <w10:wrap type="none"/>
          </v:line>
        </w:pict>
      </w:r>
      <w:r>
        <w:rPr/>
        <w:pict>
          <v:line style="position:absolute;mso-position-horizontal-relative:page;mso-position-vertical-relative:paragraph;z-index:32176" from="508.890015pt,36.005917pt" to="523.890015pt,36.005917pt" stroked="true" strokeweight=".25pt" strokecolor="#000000">
            <w10:wrap type="none"/>
          </v:line>
        </w:pict>
      </w:r>
      <w:r>
        <w:rPr>
          <w:rFonts w:ascii="Arial" w:hAnsi="Arial"/>
          <w:color w:val="414042"/>
          <w:position w:val="-5"/>
          <w:sz w:val="20"/>
        </w:rPr>
        <w:t>266</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2200" from="405.061005pt,-27.904295pt" to="405.061005pt,6.961579pt" stroked="true" strokeweight=".35pt" strokecolor="#231f20">
            <w10:wrap type="none"/>
          </v:line>
        </w:pict>
      </w:r>
      <w:r>
        <w:rPr/>
        <w:pict>
          <v:line style="position:absolute;mso-position-horizontal-relative:page;mso-position-vertical-relative:paragraph;z-index:32224" from="15pt,-27.90452pt" to="0pt,-27.90452pt" stroked="true" strokeweight=".25pt" strokecolor="#000000">
            <w10:wrap type="none"/>
          </v:line>
        </w:pict>
      </w:r>
      <w:r>
        <w:rPr/>
        <w:pict>
          <v:line style="position:absolute;mso-position-horizontal-relative:page;mso-position-vertical-relative:paragraph;z-index:32248"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267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2"/>
        <w:rPr>
          <w:rFonts w:ascii="Arial"/>
          <w:sz w:val="25"/>
        </w:rPr>
      </w:pPr>
    </w:p>
    <w:p>
      <w:pPr>
        <w:pStyle w:val="BodyText"/>
        <w:spacing w:line="261" w:lineRule="auto" w:before="60"/>
        <w:ind w:left="1837" w:right="1716"/>
        <w:jc w:val="both"/>
      </w:pPr>
      <w:r>
        <w:rPr>
          <w:color w:val="231F20"/>
          <w:w w:val="105"/>
        </w:rPr>
        <w:t>soras</w:t>
      </w:r>
      <w:r>
        <w:rPr>
          <w:color w:val="231F20"/>
          <w:spacing w:val="-23"/>
          <w:w w:val="105"/>
        </w:rPr>
        <w:t> </w:t>
      </w:r>
      <w:r>
        <w:rPr>
          <w:color w:val="231F20"/>
          <w:w w:val="105"/>
        </w:rPr>
        <w:t>y</w:t>
      </w:r>
      <w:r>
        <w:rPr>
          <w:color w:val="231F20"/>
          <w:spacing w:val="-23"/>
          <w:w w:val="105"/>
        </w:rPr>
        <w:t> </w:t>
      </w:r>
      <w:r>
        <w:rPr>
          <w:color w:val="231F20"/>
          <w:w w:val="105"/>
        </w:rPr>
        <w:t>receptoras.</w:t>
      </w:r>
      <w:r>
        <w:rPr>
          <w:color w:val="231F20"/>
          <w:spacing w:val="-27"/>
          <w:w w:val="105"/>
        </w:rPr>
        <w:t> </w:t>
      </w:r>
      <w:r>
        <w:rPr>
          <w:color w:val="231F20"/>
          <w:w w:val="105"/>
        </w:rPr>
        <w:t>Lo</w:t>
      </w:r>
      <w:r>
        <w:rPr>
          <w:color w:val="231F20"/>
          <w:spacing w:val="-23"/>
          <w:w w:val="105"/>
        </w:rPr>
        <w:t> </w:t>
      </w:r>
      <w:r>
        <w:rPr>
          <w:color w:val="231F20"/>
          <w:w w:val="105"/>
        </w:rPr>
        <w:t>anterior</w:t>
      </w:r>
      <w:r>
        <w:rPr>
          <w:color w:val="231F20"/>
          <w:spacing w:val="-23"/>
          <w:w w:val="105"/>
        </w:rPr>
        <w:t> </w:t>
      </w:r>
      <w:r>
        <w:rPr>
          <w:color w:val="231F20"/>
          <w:w w:val="105"/>
        </w:rPr>
        <w:t>llevó</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reducción</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costos</w:t>
      </w:r>
      <w:r>
        <w:rPr>
          <w:color w:val="231F20"/>
          <w:spacing w:val="-23"/>
          <w:w w:val="105"/>
        </w:rPr>
        <w:t> </w:t>
      </w:r>
      <w:r>
        <w:rPr>
          <w:color w:val="231F20"/>
          <w:w w:val="105"/>
        </w:rPr>
        <w:t>y</w:t>
      </w:r>
      <w:r>
        <w:rPr>
          <w:color w:val="231F20"/>
          <w:spacing w:val="-23"/>
          <w:w w:val="105"/>
        </w:rPr>
        <w:t> </w:t>
      </w:r>
      <w:r>
        <w:rPr>
          <w:color w:val="231F20"/>
          <w:w w:val="105"/>
        </w:rPr>
        <w:t>riesgos de migrar gracias a la transmisión de información y ayuda económica (Boyd, 1989). Las relaciones de género que moldean el proceso</w:t>
      </w:r>
      <w:r>
        <w:rPr>
          <w:color w:val="231F20"/>
          <w:spacing w:val="-30"/>
          <w:w w:val="105"/>
        </w:rPr>
        <w:t> </w:t>
      </w:r>
      <w:r>
        <w:rPr>
          <w:color w:val="231F20"/>
          <w:w w:val="105"/>
        </w:rPr>
        <w:t>migra- torio también pueden ser estudiadas usando un enfoque de redes so- ciales</w:t>
      </w:r>
      <w:r>
        <w:rPr>
          <w:color w:val="231F20"/>
          <w:spacing w:val="-4"/>
          <w:w w:val="105"/>
        </w:rPr>
        <w:t> </w:t>
      </w:r>
      <w:r>
        <w:rPr>
          <w:color w:val="231F20"/>
          <w:w w:val="105"/>
        </w:rPr>
        <w:t>el</w:t>
      </w:r>
      <w:r>
        <w:rPr>
          <w:color w:val="231F20"/>
          <w:spacing w:val="-4"/>
          <w:w w:val="105"/>
        </w:rPr>
        <w:t> </w:t>
      </w:r>
      <w:r>
        <w:rPr>
          <w:color w:val="231F20"/>
          <w:w w:val="105"/>
        </w:rPr>
        <w:t>cual</w:t>
      </w:r>
      <w:r>
        <w:rPr>
          <w:color w:val="231F20"/>
          <w:spacing w:val="-4"/>
          <w:w w:val="105"/>
        </w:rPr>
        <w:t> </w:t>
      </w:r>
      <w:r>
        <w:rPr>
          <w:color w:val="231F20"/>
          <w:w w:val="105"/>
        </w:rPr>
        <w:t>involucre</w:t>
      </w:r>
      <w:r>
        <w:rPr>
          <w:color w:val="231F20"/>
          <w:spacing w:val="-4"/>
          <w:w w:val="105"/>
        </w:rPr>
        <w:t> </w:t>
      </w:r>
      <w:r>
        <w:rPr>
          <w:color w:val="231F20"/>
          <w:w w:val="105"/>
        </w:rPr>
        <w:t>características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comunidad</w:t>
      </w:r>
      <w:r>
        <w:rPr>
          <w:color w:val="231F20"/>
          <w:spacing w:val="-4"/>
          <w:w w:val="105"/>
        </w:rPr>
        <w:t> </w:t>
      </w:r>
      <w:r>
        <w:rPr>
          <w:color w:val="231F20"/>
          <w:w w:val="105"/>
        </w:rPr>
        <w:t>y</w:t>
      </w:r>
      <w:r>
        <w:rPr>
          <w:color w:val="231F20"/>
          <w:spacing w:val="-4"/>
          <w:w w:val="105"/>
        </w:rPr>
        <w:t> </w:t>
      </w:r>
      <w:r>
        <w:rPr>
          <w:color w:val="231F20"/>
          <w:w w:val="105"/>
        </w:rPr>
        <w:t>no</w:t>
      </w:r>
      <w:r>
        <w:rPr>
          <w:color w:val="231F20"/>
          <w:spacing w:val="-4"/>
          <w:w w:val="105"/>
        </w:rPr>
        <w:t> </w:t>
      </w:r>
      <w:r>
        <w:rPr>
          <w:color w:val="231F20"/>
          <w:w w:val="105"/>
        </w:rPr>
        <w:t>sólo</w:t>
      </w:r>
      <w:r>
        <w:rPr>
          <w:color w:val="231F20"/>
          <w:spacing w:val="-4"/>
          <w:w w:val="105"/>
        </w:rPr>
        <w:t> </w:t>
      </w:r>
      <w:r>
        <w:rPr>
          <w:color w:val="231F20"/>
          <w:w w:val="105"/>
        </w:rPr>
        <w:t>carac- terísticas</w:t>
      </w:r>
      <w:r>
        <w:rPr>
          <w:color w:val="231F20"/>
          <w:spacing w:val="-10"/>
          <w:w w:val="105"/>
        </w:rPr>
        <w:t> </w:t>
      </w:r>
      <w:r>
        <w:rPr>
          <w:color w:val="231F20"/>
          <w:w w:val="105"/>
        </w:rPr>
        <w:t>familiares.</w:t>
      </w:r>
      <w:r>
        <w:rPr>
          <w:color w:val="231F20"/>
          <w:spacing w:val="-15"/>
          <w:w w:val="105"/>
        </w:rPr>
        <w:t> </w:t>
      </w:r>
      <w:r>
        <w:rPr>
          <w:color w:val="231F20"/>
          <w:w w:val="105"/>
        </w:rPr>
        <w:t>Con</w:t>
      </w:r>
      <w:r>
        <w:rPr>
          <w:color w:val="231F20"/>
          <w:spacing w:val="-10"/>
          <w:w w:val="105"/>
        </w:rPr>
        <w:t> </w:t>
      </w:r>
      <w:r>
        <w:rPr>
          <w:color w:val="231F20"/>
          <w:w w:val="105"/>
        </w:rPr>
        <w:t>respecto</w:t>
      </w:r>
      <w:r>
        <w:rPr>
          <w:color w:val="231F20"/>
          <w:spacing w:val="-10"/>
          <w:w w:val="105"/>
        </w:rPr>
        <w:t> </w:t>
      </w:r>
      <w:r>
        <w:rPr>
          <w:color w:val="231F20"/>
          <w:w w:val="105"/>
        </w:rPr>
        <w:t>a</w:t>
      </w:r>
      <w:r>
        <w:rPr>
          <w:color w:val="231F20"/>
          <w:spacing w:val="-10"/>
          <w:w w:val="105"/>
        </w:rPr>
        <w:t> </w:t>
      </w:r>
      <w:r>
        <w:rPr>
          <w:color w:val="231F20"/>
          <w:w w:val="105"/>
        </w:rPr>
        <w:t>lo</w:t>
      </w:r>
      <w:r>
        <w:rPr>
          <w:color w:val="231F20"/>
          <w:spacing w:val="-10"/>
          <w:w w:val="105"/>
        </w:rPr>
        <w:t> </w:t>
      </w:r>
      <w:r>
        <w:rPr>
          <w:color w:val="231F20"/>
          <w:w w:val="105"/>
        </w:rPr>
        <w:t>anterior,</w:t>
      </w:r>
      <w:r>
        <w:rPr>
          <w:color w:val="231F20"/>
          <w:spacing w:val="-15"/>
          <w:w w:val="105"/>
        </w:rPr>
        <w:t> </w:t>
      </w:r>
      <w:r>
        <w:rPr>
          <w:color w:val="231F20"/>
          <w:w w:val="105"/>
        </w:rPr>
        <w:t>Hagan</w:t>
      </w:r>
      <w:r>
        <w:rPr>
          <w:color w:val="231F20"/>
          <w:spacing w:val="-10"/>
          <w:w w:val="105"/>
        </w:rPr>
        <w:t> </w:t>
      </w:r>
      <w:r>
        <w:rPr>
          <w:color w:val="231F20"/>
          <w:w w:val="105"/>
        </w:rPr>
        <w:t>(1998)</w:t>
      </w:r>
      <w:r>
        <w:rPr>
          <w:color w:val="231F20"/>
          <w:spacing w:val="-10"/>
          <w:w w:val="105"/>
        </w:rPr>
        <w:t> </w:t>
      </w:r>
      <w:r>
        <w:rPr>
          <w:color w:val="231F20"/>
          <w:w w:val="105"/>
        </w:rPr>
        <w:t>menciona que</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proceso</w:t>
      </w:r>
      <w:r>
        <w:rPr>
          <w:color w:val="231F20"/>
          <w:spacing w:val="-6"/>
          <w:w w:val="105"/>
        </w:rPr>
        <w:t> </w:t>
      </w:r>
      <w:r>
        <w:rPr>
          <w:color w:val="231F20"/>
          <w:w w:val="105"/>
        </w:rPr>
        <w:t>migratorio</w:t>
      </w:r>
      <w:r>
        <w:rPr>
          <w:color w:val="231F20"/>
          <w:spacing w:val="-6"/>
          <w:w w:val="105"/>
        </w:rPr>
        <w:t> </w:t>
      </w:r>
      <w:r>
        <w:rPr>
          <w:color w:val="231F20"/>
          <w:w w:val="105"/>
        </w:rPr>
        <w:t>las</w:t>
      </w:r>
      <w:r>
        <w:rPr>
          <w:color w:val="231F20"/>
          <w:spacing w:val="-6"/>
          <w:w w:val="105"/>
        </w:rPr>
        <w:t> </w:t>
      </w:r>
      <w:r>
        <w:rPr>
          <w:color w:val="231F20"/>
          <w:w w:val="105"/>
        </w:rPr>
        <w:t>redes</w:t>
      </w:r>
      <w:r>
        <w:rPr>
          <w:color w:val="231F20"/>
          <w:spacing w:val="-6"/>
          <w:w w:val="105"/>
        </w:rPr>
        <w:t> </w:t>
      </w:r>
      <w:r>
        <w:rPr>
          <w:color w:val="231F20"/>
          <w:w w:val="105"/>
        </w:rPr>
        <w:t>sociales</w:t>
      </w:r>
      <w:r>
        <w:rPr>
          <w:color w:val="231F20"/>
          <w:spacing w:val="-6"/>
          <w:w w:val="105"/>
        </w:rPr>
        <w:t> </w:t>
      </w:r>
      <w:r>
        <w:rPr>
          <w:color w:val="231F20"/>
          <w:w w:val="105"/>
        </w:rPr>
        <w:t>se</w:t>
      </w:r>
      <w:r>
        <w:rPr>
          <w:color w:val="231F20"/>
          <w:spacing w:val="-6"/>
          <w:w w:val="105"/>
        </w:rPr>
        <w:t> </w:t>
      </w:r>
      <w:r>
        <w:rPr>
          <w:color w:val="231F20"/>
          <w:w w:val="105"/>
        </w:rPr>
        <w:t>presentan</w:t>
      </w:r>
      <w:r>
        <w:rPr>
          <w:color w:val="231F20"/>
          <w:spacing w:val="-6"/>
          <w:w w:val="105"/>
        </w:rPr>
        <w:t> </w:t>
      </w:r>
      <w:r>
        <w:rPr>
          <w:color w:val="231F20"/>
          <w:w w:val="105"/>
        </w:rPr>
        <w:t>de</w:t>
      </w:r>
      <w:r>
        <w:rPr>
          <w:color w:val="231F20"/>
          <w:spacing w:val="-6"/>
          <w:w w:val="105"/>
        </w:rPr>
        <w:t> </w:t>
      </w:r>
      <w:r>
        <w:rPr>
          <w:color w:val="231F20"/>
          <w:w w:val="105"/>
        </w:rPr>
        <w:t>formas diferenciadas</w:t>
      </w:r>
      <w:r>
        <w:rPr>
          <w:color w:val="231F20"/>
          <w:spacing w:val="-18"/>
          <w:w w:val="105"/>
        </w:rPr>
        <w:t> </w:t>
      </w:r>
      <w:r>
        <w:rPr>
          <w:color w:val="231F20"/>
          <w:w w:val="105"/>
        </w:rPr>
        <w:t>en</w:t>
      </w:r>
      <w:r>
        <w:rPr>
          <w:color w:val="231F20"/>
          <w:spacing w:val="-18"/>
          <w:w w:val="105"/>
        </w:rPr>
        <w:t> </w:t>
      </w:r>
      <w:r>
        <w:rPr>
          <w:color w:val="231F20"/>
          <w:w w:val="105"/>
        </w:rPr>
        <w:t>distintas</w:t>
      </w:r>
      <w:r>
        <w:rPr>
          <w:color w:val="231F20"/>
          <w:spacing w:val="-18"/>
          <w:w w:val="105"/>
        </w:rPr>
        <w:t> </w:t>
      </w:r>
      <w:r>
        <w:rPr>
          <w:color w:val="231F20"/>
          <w:w w:val="105"/>
        </w:rPr>
        <w:t>etapas.</w:t>
      </w:r>
      <w:r>
        <w:rPr>
          <w:color w:val="231F20"/>
          <w:spacing w:val="-23"/>
          <w:w w:val="105"/>
        </w:rPr>
        <w:t> </w:t>
      </w:r>
      <w:r>
        <w:rPr>
          <w:color w:val="231F20"/>
          <w:w w:val="105"/>
        </w:rPr>
        <w:t>La</w:t>
      </w:r>
      <w:r>
        <w:rPr>
          <w:color w:val="231F20"/>
          <w:spacing w:val="-18"/>
          <w:w w:val="105"/>
        </w:rPr>
        <w:t> </w:t>
      </w:r>
      <w:r>
        <w:rPr>
          <w:color w:val="231F20"/>
          <w:w w:val="105"/>
        </w:rPr>
        <w:t>primera,</w:t>
      </w:r>
      <w:r>
        <w:rPr>
          <w:color w:val="231F20"/>
          <w:spacing w:val="-23"/>
          <w:w w:val="105"/>
        </w:rPr>
        <w:t> </w:t>
      </w:r>
      <w:r>
        <w:rPr>
          <w:color w:val="231F20"/>
          <w:w w:val="105"/>
        </w:rPr>
        <w:t>es</w:t>
      </w:r>
      <w:r>
        <w:rPr>
          <w:color w:val="231F20"/>
          <w:spacing w:val="-18"/>
          <w:w w:val="105"/>
        </w:rPr>
        <w:t> </w:t>
      </w:r>
      <w:r>
        <w:rPr>
          <w:color w:val="231F20"/>
          <w:w w:val="105"/>
        </w:rPr>
        <w:t>la</w:t>
      </w:r>
      <w:r>
        <w:rPr>
          <w:color w:val="231F20"/>
          <w:spacing w:val="-18"/>
          <w:w w:val="105"/>
        </w:rPr>
        <w:t> </w:t>
      </w:r>
      <w:r>
        <w:rPr>
          <w:color w:val="231F20"/>
          <w:w w:val="105"/>
        </w:rPr>
        <w:t>decisión</w:t>
      </w:r>
      <w:r>
        <w:rPr>
          <w:color w:val="231F20"/>
          <w:spacing w:val="-18"/>
          <w:w w:val="105"/>
        </w:rPr>
        <w:t> </w:t>
      </w:r>
      <w:r>
        <w:rPr>
          <w:color w:val="231F20"/>
          <w:w w:val="105"/>
        </w:rPr>
        <w:t>de</w:t>
      </w:r>
      <w:r>
        <w:rPr>
          <w:color w:val="231F20"/>
          <w:spacing w:val="-18"/>
          <w:w w:val="105"/>
        </w:rPr>
        <w:t> </w:t>
      </w:r>
      <w:r>
        <w:rPr>
          <w:color w:val="231F20"/>
          <w:w w:val="105"/>
        </w:rPr>
        <w:t>migrar;</w:t>
      </w:r>
      <w:r>
        <w:rPr>
          <w:color w:val="231F20"/>
          <w:spacing w:val="-18"/>
          <w:w w:val="105"/>
        </w:rPr>
        <w:t> </w:t>
      </w:r>
      <w:r>
        <w:rPr>
          <w:color w:val="231F20"/>
          <w:w w:val="105"/>
        </w:rPr>
        <w:t>la segunda</w:t>
      </w:r>
      <w:r>
        <w:rPr>
          <w:color w:val="231F20"/>
          <w:spacing w:val="-24"/>
          <w:w w:val="105"/>
        </w:rPr>
        <w:t> </w:t>
      </w:r>
      <w:r>
        <w:rPr>
          <w:color w:val="231F20"/>
          <w:w w:val="105"/>
        </w:rPr>
        <w:t>es</w:t>
      </w:r>
      <w:r>
        <w:rPr>
          <w:color w:val="231F20"/>
          <w:spacing w:val="-24"/>
          <w:w w:val="105"/>
        </w:rPr>
        <w:t> </w:t>
      </w:r>
      <w:r>
        <w:rPr>
          <w:color w:val="231F20"/>
          <w:w w:val="105"/>
        </w:rPr>
        <w:t>la</w:t>
      </w:r>
      <w:r>
        <w:rPr>
          <w:color w:val="231F20"/>
          <w:spacing w:val="-24"/>
          <w:w w:val="105"/>
        </w:rPr>
        <w:t> </w:t>
      </w:r>
      <w:r>
        <w:rPr>
          <w:color w:val="231F20"/>
          <w:w w:val="105"/>
        </w:rPr>
        <w:t>dirección</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persistencia</w:t>
      </w:r>
      <w:r>
        <w:rPr>
          <w:color w:val="231F20"/>
          <w:spacing w:val="-24"/>
          <w:w w:val="105"/>
        </w:rPr>
        <w:t> </w:t>
      </w:r>
      <w:r>
        <w:rPr>
          <w:color w:val="231F20"/>
          <w:w w:val="105"/>
        </w:rPr>
        <w:t>del</w:t>
      </w:r>
      <w:r>
        <w:rPr>
          <w:color w:val="231F20"/>
          <w:spacing w:val="-24"/>
          <w:w w:val="105"/>
        </w:rPr>
        <w:t> </w:t>
      </w:r>
      <w:r>
        <w:rPr>
          <w:color w:val="231F20"/>
          <w:w w:val="105"/>
        </w:rPr>
        <w:t>flujo,</w:t>
      </w:r>
      <w:r>
        <w:rPr>
          <w:color w:val="231F20"/>
          <w:spacing w:val="-29"/>
          <w:w w:val="105"/>
        </w:rPr>
        <w:t> </w:t>
      </w:r>
      <w:r>
        <w:rPr>
          <w:color w:val="231F20"/>
          <w:w w:val="105"/>
        </w:rPr>
        <w:t>la</w:t>
      </w:r>
      <w:r>
        <w:rPr>
          <w:color w:val="231F20"/>
          <w:spacing w:val="-24"/>
          <w:w w:val="105"/>
        </w:rPr>
        <w:t> </w:t>
      </w:r>
      <w:r>
        <w:rPr>
          <w:color w:val="231F20"/>
          <w:w w:val="105"/>
        </w:rPr>
        <w:t>tercera</w:t>
      </w:r>
      <w:r>
        <w:rPr>
          <w:color w:val="231F20"/>
          <w:spacing w:val="-24"/>
          <w:w w:val="105"/>
        </w:rPr>
        <w:t> </w:t>
      </w:r>
      <w:r>
        <w:rPr>
          <w:color w:val="231F20"/>
          <w:w w:val="105"/>
        </w:rPr>
        <w:t>es</w:t>
      </w:r>
      <w:r>
        <w:rPr>
          <w:color w:val="231F20"/>
          <w:spacing w:val="-24"/>
          <w:w w:val="105"/>
        </w:rPr>
        <w:t> </w:t>
      </w:r>
      <w:r>
        <w:rPr>
          <w:color w:val="231F20"/>
          <w:w w:val="105"/>
        </w:rPr>
        <w:t>la</w:t>
      </w:r>
      <w:r>
        <w:rPr>
          <w:color w:val="231F20"/>
          <w:spacing w:val="-24"/>
          <w:w w:val="105"/>
        </w:rPr>
        <w:t> </w:t>
      </w:r>
      <w:r>
        <w:rPr>
          <w:color w:val="231F20"/>
          <w:w w:val="105"/>
        </w:rPr>
        <w:t>creación de vínculos transnacionales; y la última involucra patrones de</w:t>
      </w:r>
      <w:r>
        <w:rPr>
          <w:color w:val="231F20"/>
          <w:spacing w:val="-26"/>
          <w:w w:val="105"/>
        </w:rPr>
        <w:t> </w:t>
      </w:r>
      <w:r>
        <w:rPr>
          <w:color w:val="231F20"/>
          <w:w w:val="105"/>
        </w:rPr>
        <w:t>establec- imiento y la incorporación en la comunidad receptora. En estas etapas, el papel de las redes sociales es importante tanto en las comunidades expulsoras</w:t>
      </w:r>
      <w:r>
        <w:rPr>
          <w:color w:val="231F20"/>
          <w:spacing w:val="-6"/>
          <w:w w:val="105"/>
        </w:rPr>
        <w:t> </w:t>
      </w:r>
      <w:r>
        <w:rPr>
          <w:color w:val="231F20"/>
          <w:w w:val="105"/>
        </w:rPr>
        <w:t>como</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receptoras</w:t>
      </w:r>
      <w:r>
        <w:rPr>
          <w:color w:val="231F20"/>
          <w:spacing w:val="-6"/>
          <w:w w:val="105"/>
        </w:rPr>
        <w:t> </w:t>
      </w:r>
      <w:r>
        <w:rPr>
          <w:color w:val="231F20"/>
          <w:w w:val="105"/>
        </w:rPr>
        <w:t>porque</w:t>
      </w:r>
      <w:r>
        <w:rPr>
          <w:color w:val="231F20"/>
          <w:spacing w:val="-6"/>
          <w:w w:val="105"/>
        </w:rPr>
        <w:t> </w:t>
      </w:r>
      <w:r>
        <w:rPr>
          <w:color w:val="231F20"/>
          <w:w w:val="105"/>
        </w:rPr>
        <w:t>reducen</w:t>
      </w:r>
      <w:r>
        <w:rPr>
          <w:color w:val="231F20"/>
          <w:spacing w:val="-6"/>
          <w:w w:val="105"/>
        </w:rPr>
        <w:t> </w:t>
      </w:r>
      <w:r>
        <w:rPr>
          <w:color w:val="231F20"/>
          <w:w w:val="105"/>
        </w:rPr>
        <w:t>al</w:t>
      </w:r>
      <w:r>
        <w:rPr>
          <w:color w:val="231F20"/>
          <w:spacing w:val="-6"/>
          <w:w w:val="105"/>
        </w:rPr>
        <w:t> </w:t>
      </w:r>
      <w:r>
        <w:rPr>
          <w:color w:val="231F20"/>
          <w:w w:val="105"/>
        </w:rPr>
        <w:t>corto</w:t>
      </w:r>
      <w:r>
        <w:rPr>
          <w:color w:val="231F20"/>
          <w:spacing w:val="-6"/>
          <w:w w:val="105"/>
        </w:rPr>
        <w:t> </w:t>
      </w:r>
      <w:r>
        <w:rPr>
          <w:color w:val="231F20"/>
          <w:w w:val="105"/>
        </w:rPr>
        <w:t>plazo</w:t>
      </w:r>
      <w:r>
        <w:rPr>
          <w:color w:val="231F20"/>
          <w:spacing w:val="-6"/>
          <w:w w:val="105"/>
        </w:rPr>
        <w:t> </w:t>
      </w:r>
      <w:r>
        <w:rPr>
          <w:color w:val="231F20"/>
          <w:w w:val="105"/>
        </w:rPr>
        <w:t>el</w:t>
      </w:r>
      <w:r>
        <w:rPr>
          <w:color w:val="231F20"/>
          <w:spacing w:val="-6"/>
          <w:w w:val="105"/>
        </w:rPr>
        <w:t> </w:t>
      </w:r>
      <w:r>
        <w:rPr>
          <w:color w:val="231F20"/>
          <w:w w:val="105"/>
        </w:rPr>
        <w:t>es- tablecimiento de nuevos migrantes proveyendo ayuda y alojamiento</w:t>
      </w:r>
      <w:r>
        <w:rPr>
          <w:color w:val="231F20"/>
          <w:spacing w:val="-27"/>
          <w:w w:val="105"/>
        </w:rPr>
        <w:t> </w:t>
      </w:r>
      <w:r>
        <w:rPr>
          <w:color w:val="231F20"/>
          <w:w w:val="105"/>
        </w:rPr>
        <w:t>en el</w:t>
      </w:r>
      <w:r>
        <w:rPr>
          <w:color w:val="231F20"/>
          <w:spacing w:val="-17"/>
          <w:w w:val="105"/>
        </w:rPr>
        <w:t> </w:t>
      </w:r>
      <w:r>
        <w:rPr>
          <w:color w:val="231F20"/>
          <w:w w:val="105"/>
        </w:rPr>
        <w:t>lugar</w:t>
      </w:r>
      <w:r>
        <w:rPr>
          <w:color w:val="231F20"/>
          <w:spacing w:val="-17"/>
          <w:w w:val="105"/>
        </w:rPr>
        <w:t> </w:t>
      </w:r>
      <w:r>
        <w:rPr>
          <w:color w:val="231F20"/>
          <w:w w:val="105"/>
        </w:rPr>
        <w:t>de</w:t>
      </w:r>
      <w:r>
        <w:rPr>
          <w:color w:val="231F20"/>
          <w:spacing w:val="-17"/>
          <w:w w:val="105"/>
        </w:rPr>
        <w:t> </w:t>
      </w:r>
      <w:r>
        <w:rPr>
          <w:color w:val="231F20"/>
          <w:w w:val="105"/>
        </w:rPr>
        <w:t>destino.</w:t>
      </w:r>
      <w:r>
        <w:rPr>
          <w:color w:val="231F20"/>
          <w:spacing w:val="-26"/>
          <w:w w:val="105"/>
        </w:rPr>
        <w:t> </w:t>
      </w:r>
      <w:r>
        <w:rPr>
          <w:color w:val="231F20"/>
          <w:w w:val="105"/>
        </w:rPr>
        <w:t>Además,</w:t>
      </w:r>
      <w:r>
        <w:rPr>
          <w:color w:val="231F20"/>
          <w:spacing w:val="-24"/>
          <w:w w:val="105"/>
        </w:rPr>
        <w:t> </w:t>
      </w:r>
      <w:r>
        <w:rPr>
          <w:color w:val="231F20"/>
          <w:w w:val="105"/>
        </w:rPr>
        <w:t>también</w:t>
      </w:r>
      <w:r>
        <w:rPr>
          <w:color w:val="231F20"/>
          <w:spacing w:val="-17"/>
          <w:w w:val="105"/>
        </w:rPr>
        <w:t> </w:t>
      </w:r>
      <w:r>
        <w:rPr>
          <w:color w:val="231F20"/>
          <w:w w:val="105"/>
        </w:rPr>
        <w:t>es</w:t>
      </w:r>
      <w:r>
        <w:rPr>
          <w:color w:val="231F20"/>
          <w:spacing w:val="-17"/>
          <w:w w:val="105"/>
        </w:rPr>
        <w:t> </w:t>
      </w:r>
      <w:r>
        <w:rPr>
          <w:color w:val="231F20"/>
          <w:w w:val="105"/>
        </w:rPr>
        <w:t>más</w:t>
      </w:r>
      <w:r>
        <w:rPr>
          <w:color w:val="231F20"/>
          <w:spacing w:val="-17"/>
          <w:w w:val="105"/>
        </w:rPr>
        <w:t> </w:t>
      </w:r>
      <w:r>
        <w:rPr>
          <w:color w:val="231F20"/>
          <w:w w:val="105"/>
        </w:rPr>
        <w:t>probable</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migrantes con</w:t>
      </w:r>
      <w:r>
        <w:rPr>
          <w:color w:val="231F20"/>
          <w:spacing w:val="-31"/>
          <w:w w:val="105"/>
        </w:rPr>
        <w:t> </w:t>
      </w:r>
      <w:r>
        <w:rPr>
          <w:color w:val="231F20"/>
          <w:w w:val="105"/>
        </w:rPr>
        <w:t>redes</w:t>
      </w:r>
      <w:r>
        <w:rPr>
          <w:color w:val="231F20"/>
          <w:spacing w:val="-31"/>
          <w:w w:val="105"/>
        </w:rPr>
        <w:t> </w:t>
      </w:r>
      <w:r>
        <w:rPr>
          <w:color w:val="231F20"/>
          <w:w w:val="105"/>
        </w:rPr>
        <w:t>sociales</w:t>
      </w:r>
      <w:r>
        <w:rPr>
          <w:color w:val="231F20"/>
          <w:spacing w:val="-31"/>
          <w:w w:val="105"/>
        </w:rPr>
        <w:t> </w:t>
      </w:r>
      <w:r>
        <w:rPr>
          <w:color w:val="231F20"/>
          <w:w w:val="105"/>
        </w:rPr>
        <w:t>bien</w:t>
      </w:r>
      <w:r>
        <w:rPr>
          <w:color w:val="231F20"/>
          <w:spacing w:val="-31"/>
          <w:w w:val="105"/>
        </w:rPr>
        <w:t> </w:t>
      </w:r>
      <w:r>
        <w:rPr>
          <w:color w:val="231F20"/>
          <w:w w:val="105"/>
        </w:rPr>
        <w:t>establecidas</w:t>
      </w:r>
      <w:r>
        <w:rPr>
          <w:color w:val="231F20"/>
          <w:spacing w:val="-31"/>
          <w:w w:val="105"/>
        </w:rPr>
        <w:t> </w:t>
      </w:r>
      <w:r>
        <w:rPr>
          <w:color w:val="231F20"/>
          <w:w w:val="105"/>
        </w:rPr>
        <w:t>puedan</w:t>
      </w:r>
      <w:r>
        <w:rPr>
          <w:color w:val="231F20"/>
          <w:spacing w:val="-31"/>
          <w:w w:val="105"/>
        </w:rPr>
        <w:t> </w:t>
      </w:r>
      <w:r>
        <w:rPr>
          <w:color w:val="231F20"/>
          <w:w w:val="105"/>
        </w:rPr>
        <w:t>ser</w:t>
      </w:r>
      <w:r>
        <w:rPr>
          <w:color w:val="231F20"/>
          <w:spacing w:val="-31"/>
          <w:w w:val="105"/>
        </w:rPr>
        <w:t> </w:t>
      </w:r>
      <w:r>
        <w:rPr>
          <w:color w:val="231F20"/>
          <w:w w:val="105"/>
        </w:rPr>
        <w:t>incorporados</w:t>
      </w:r>
      <w:r>
        <w:rPr>
          <w:color w:val="231F20"/>
          <w:spacing w:val="-31"/>
          <w:w w:val="105"/>
        </w:rPr>
        <w:t> </w:t>
      </w:r>
      <w:r>
        <w:rPr>
          <w:color w:val="231F20"/>
          <w:w w:val="105"/>
        </w:rPr>
        <w:t>de</w:t>
      </w:r>
      <w:r>
        <w:rPr>
          <w:color w:val="231F20"/>
          <w:spacing w:val="-31"/>
          <w:w w:val="105"/>
        </w:rPr>
        <w:t> </w:t>
      </w:r>
      <w:r>
        <w:rPr>
          <w:color w:val="231F20"/>
          <w:w w:val="105"/>
        </w:rPr>
        <w:t>manera paulatina</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sociedad</w:t>
      </w:r>
      <w:r>
        <w:rPr>
          <w:color w:val="231F20"/>
          <w:spacing w:val="-15"/>
          <w:w w:val="105"/>
        </w:rPr>
        <w:t> </w:t>
      </w:r>
      <w:r>
        <w:rPr>
          <w:color w:val="231F20"/>
          <w:w w:val="105"/>
        </w:rPr>
        <w:t>estadounidense,</w:t>
      </w:r>
      <w:r>
        <w:rPr>
          <w:color w:val="231F20"/>
          <w:spacing w:val="-20"/>
          <w:w w:val="105"/>
        </w:rPr>
        <w:t> </w:t>
      </w:r>
      <w:r>
        <w:rPr>
          <w:color w:val="231F20"/>
          <w:w w:val="105"/>
        </w:rPr>
        <w:t>a</w:t>
      </w:r>
      <w:r>
        <w:rPr>
          <w:color w:val="231F20"/>
          <w:spacing w:val="-15"/>
          <w:w w:val="105"/>
        </w:rPr>
        <w:t> </w:t>
      </w:r>
      <w:r>
        <w:rPr>
          <w:color w:val="231F20"/>
          <w:w w:val="105"/>
        </w:rPr>
        <w:t>diferencia</w:t>
      </w:r>
      <w:r>
        <w:rPr>
          <w:color w:val="231F20"/>
          <w:spacing w:val="-15"/>
          <w:w w:val="105"/>
        </w:rPr>
        <w:t> </w:t>
      </w:r>
      <w:r>
        <w:rPr>
          <w:color w:val="231F20"/>
          <w:w w:val="105"/>
        </w:rPr>
        <w:t>de</w:t>
      </w:r>
      <w:r>
        <w:rPr>
          <w:color w:val="231F20"/>
          <w:spacing w:val="-15"/>
          <w:w w:val="105"/>
        </w:rPr>
        <w:t> </w:t>
      </w:r>
      <w:r>
        <w:rPr>
          <w:color w:val="231F20"/>
          <w:w w:val="105"/>
        </w:rPr>
        <w:t>quienes</w:t>
      </w:r>
      <w:r>
        <w:rPr>
          <w:color w:val="231F20"/>
          <w:spacing w:val="-15"/>
          <w:w w:val="105"/>
        </w:rPr>
        <w:t> </w:t>
      </w:r>
      <w:r>
        <w:rPr>
          <w:color w:val="231F20"/>
          <w:w w:val="105"/>
        </w:rPr>
        <w:t>tienen redes</w:t>
      </w:r>
      <w:r>
        <w:rPr>
          <w:color w:val="231F20"/>
          <w:spacing w:val="-11"/>
          <w:w w:val="105"/>
        </w:rPr>
        <w:t> </w:t>
      </w:r>
      <w:r>
        <w:rPr>
          <w:color w:val="231F20"/>
          <w:w w:val="105"/>
        </w:rPr>
        <w:t>sociales</w:t>
      </w:r>
      <w:r>
        <w:rPr>
          <w:color w:val="231F20"/>
          <w:spacing w:val="-11"/>
          <w:w w:val="105"/>
        </w:rPr>
        <w:t> </w:t>
      </w:r>
      <w:r>
        <w:rPr>
          <w:color w:val="231F20"/>
          <w:w w:val="105"/>
        </w:rPr>
        <w:t>débiles.</w:t>
      </w:r>
      <w:r>
        <w:rPr>
          <w:color w:val="231F20"/>
          <w:spacing w:val="-15"/>
          <w:w w:val="105"/>
        </w:rPr>
        <w:t> </w:t>
      </w:r>
      <w:r>
        <w:rPr>
          <w:color w:val="231F20"/>
          <w:w w:val="105"/>
        </w:rPr>
        <w:t>Redes</w:t>
      </w:r>
      <w:r>
        <w:rPr>
          <w:color w:val="231F20"/>
          <w:spacing w:val="-11"/>
          <w:w w:val="105"/>
        </w:rPr>
        <w:t> </w:t>
      </w:r>
      <w:r>
        <w:rPr>
          <w:color w:val="231F20"/>
          <w:w w:val="105"/>
        </w:rPr>
        <w:t>maduras,</w:t>
      </w:r>
      <w:r>
        <w:rPr>
          <w:color w:val="231F20"/>
          <w:spacing w:val="-15"/>
          <w:w w:val="105"/>
        </w:rPr>
        <w:t> </w:t>
      </w:r>
      <w:r>
        <w:rPr>
          <w:color w:val="231F20"/>
          <w:w w:val="105"/>
        </w:rPr>
        <w:t>menciona</w:t>
      </w:r>
      <w:r>
        <w:rPr>
          <w:color w:val="231F20"/>
          <w:spacing w:val="-11"/>
          <w:w w:val="105"/>
        </w:rPr>
        <w:t> </w:t>
      </w:r>
      <w:r>
        <w:rPr>
          <w:color w:val="231F20"/>
          <w:w w:val="105"/>
        </w:rPr>
        <w:t>el</w:t>
      </w:r>
      <w:r>
        <w:rPr>
          <w:color w:val="231F20"/>
          <w:spacing w:val="-11"/>
          <w:w w:val="105"/>
        </w:rPr>
        <w:t> </w:t>
      </w:r>
      <w:r>
        <w:rPr>
          <w:color w:val="231F20"/>
          <w:w w:val="105"/>
        </w:rPr>
        <w:t>autor,</w:t>
      </w:r>
      <w:r>
        <w:rPr>
          <w:color w:val="231F20"/>
          <w:spacing w:val="-15"/>
          <w:w w:val="105"/>
        </w:rPr>
        <w:t> </w:t>
      </w:r>
      <w:r>
        <w:rPr>
          <w:color w:val="231F20"/>
          <w:w w:val="105"/>
        </w:rPr>
        <w:t>proveen</w:t>
      </w:r>
      <w:r>
        <w:rPr>
          <w:color w:val="231F20"/>
          <w:spacing w:val="-11"/>
          <w:w w:val="105"/>
        </w:rPr>
        <w:t> </w:t>
      </w:r>
      <w:r>
        <w:rPr>
          <w:color w:val="231F20"/>
          <w:w w:val="105"/>
        </w:rPr>
        <w:t>tra- bajos,</w:t>
      </w:r>
      <w:r>
        <w:rPr>
          <w:color w:val="231F20"/>
          <w:spacing w:val="-16"/>
          <w:w w:val="105"/>
        </w:rPr>
        <w:t> </w:t>
      </w:r>
      <w:r>
        <w:rPr>
          <w:color w:val="231F20"/>
          <w:w w:val="105"/>
        </w:rPr>
        <w:t>soporte</w:t>
      </w:r>
      <w:r>
        <w:rPr>
          <w:color w:val="231F20"/>
          <w:spacing w:val="-11"/>
          <w:w w:val="105"/>
        </w:rPr>
        <w:t> </w:t>
      </w:r>
      <w:r>
        <w:rPr>
          <w:color w:val="231F20"/>
          <w:w w:val="105"/>
        </w:rPr>
        <w:t>emocional</w:t>
      </w:r>
      <w:r>
        <w:rPr>
          <w:color w:val="231F20"/>
          <w:spacing w:val="-11"/>
          <w:w w:val="105"/>
        </w:rPr>
        <w:t> </w:t>
      </w:r>
      <w:r>
        <w:rPr>
          <w:color w:val="231F20"/>
          <w:w w:val="105"/>
        </w:rPr>
        <w:t>y</w:t>
      </w:r>
      <w:r>
        <w:rPr>
          <w:color w:val="231F20"/>
          <w:spacing w:val="-11"/>
          <w:w w:val="105"/>
        </w:rPr>
        <w:t> </w:t>
      </w:r>
      <w:r>
        <w:rPr>
          <w:color w:val="231F20"/>
          <w:w w:val="105"/>
        </w:rPr>
        <w:t>cultural</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lugares</w:t>
      </w:r>
      <w:r>
        <w:rPr>
          <w:color w:val="231F20"/>
          <w:spacing w:val="-11"/>
          <w:w w:val="105"/>
        </w:rPr>
        <w:t> </w:t>
      </w:r>
      <w:r>
        <w:rPr>
          <w:color w:val="231F20"/>
          <w:w w:val="105"/>
        </w:rPr>
        <w:t>de</w:t>
      </w:r>
      <w:r>
        <w:rPr>
          <w:color w:val="231F20"/>
          <w:spacing w:val="-11"/>
          <w:w w:val="105"/>
        </w:rPr>
        <w:t> </w:t>
      </w:r>
      <w:r>
        <w:rPr>
          <w:color w:val="231F20"/>
          <w:w w:val="105"/>
        </w:rPr>
        <w:t>destino.</w:t>
      </w:r>
      <w:r>
        <w:rPr>
          <w:color w:val="231F20"/>
          <w:spacing w:val="-16"/>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caso estudiado, a causa de la duración de la migración entre ambos países se han logrado establecer fuertes redes sociales en algunas entidades con</w:t>
      </w:r>
      <w:r>
        <w:rPr>
          <w:color w:val="231F20"/>
          <w:spacing w:val="-6"/>
          <w:w w:val="105"/>
        </w:rPr>
        <w:t> </w:t>
      </w:r>
      <w:r>
        <w:rPr>
          <w:color w:val="231F20"/>
          <w:w w:val="105"/>
        </w:rPr>
        <w:t>tradición</w:t>
      </w:r>
      <w:r>
        <w:rPr>
          <w:color w:val="231F20"/>
          <w:spacing w:val="-6"/>
          <w:w w:val="105"/>
        </w:rPr>
        <w:t> </w:t>
      </w:r>
      <w:r>
        <w:rPr>
          <w:color w:val="231F20"/>
          <w:w w:val="105"/>
        </w:rPr>
        <w:t>migratoria</w:t>
      </w:r>
      <w:r>
        <w:rPr>
          <w:color w:val="231F20"/>
          <w:spacing w:val="-6"/>
          <w:w w:val="105"/>
        </w:rPr>
        <w:t> </w:t>
      </w:r>
      <w:r>
        <w:rPr>
          <w:color w:val="231F20"/>
          <w:w w:val="105"/>
        </w:rPr>
        <w:t>donde</w:t>
      </w:r>
      <w:r>
        <w:rPr>
          <w:color w:val="231F20"/>
          <w:spacing w:val="-6"/>
          <w:w w:val="105"/>
        </w:rPr>
        <w:t> </w:t>
      </w:r>
      <w:r>
        <w:rPr>
          <w:color w:val="231F20"/>
          <w:w w:val="105"/>
        </w:rPr>
        <w:t>el</w:t>
      </w:r>
      <w:r>
        <w:rPr>
          <w:color w:val="231F20"/>
          <w:spacing w:val="-6"/>
          <w:w w:val="105"/>
        </w:rPr>
        <w:t> </w:t>
      </w:r>
      <w:r>
        <w:rPr>
          <w:color w:val="231F20"/>
          <w:spacing w:val="-3"/>
          <w:w w:val="105"/>
        </w:rPr>
        <w:t>Programa</w:t>
      </w:r>
      <w:r>
        <w:rPr>
          <w:color w:val="231F20"/>
          <w:spacing w:val="-6"/>
          <w:w w:val="105"/>
        </w:rPr>
        <w:t> </w:t>
      </w:r>
      <w:r>
        <w:rPr>
          <w:color w:val="231F20"/>
          <w:w w:val="105"/>
        </w:rPr>
        <w:t>Bracero</w:t>
      </w:r>
      <w:r>
        <w:rPr>
          <w:color w:val="231F20"/>
          <w:spacing w:val="-6"/>
          <w:w w:val="105"/>
        </w:rPr>
        <w:t> </w:t>
      </w:r>
      <w:r>
        <w:rPr>
          <w:color w:val="231F20"/>
          <w:w w:val="105"/>
        </w:rPr>
        <w:t>comenzó</w:t>
      </w:r>
      <w:r>
        <w:rPr>
          <w:color w:val="231F20"/>
          <w:spacing w:val="-6"/>
          <w:w w:val="105"/>
        </w:rPr>
        <w:t> </w:t>
      </w:r>
      <w:r>
        <w:rPr>
          <w:color w:val="231F20"/>
          <w:w w:val="105"/>
        </w:rPr>
        <w:t>a</w:t>
      </w:r>
      <w:r>
        <w:rPr>
          <w:color w:val="231F20"/>
          <w:spacing w:val="-6"/>
          <w:w w:val="105"/>
        </w:rPr>
        <w:t> </w:t>
      </w:r>
      <w:r>
        <w:rPr>
          <w:color w:val="231F20"/>
          <w:w w:val="105"/>
        </w:rPr>
        <w:t>reclutar mano de obra (Garip, 2008). </w:t>
      </w:r>
      <w:r>
        <w:rPr>
          <w:color w:val="231F20"/>
          <w:spacing w:val="-6"/>
          <w:w w:val="105"/>
        </w:rPr>
        <w:t>Por </w:t>
      </w:r>
      <w:r>
        <w:rPr>
          <w:color w:val="231F20"/>
          <w:w w:val="105"/>
        </w:rPr>
        <w:t>lo cual, es importante explorar cómo operan</w:t>
      </w:r>
      <w:r>
        <w:rPr>
          <w:color w:val="231F20"/>
          <w:spacing w:val="-6"/>
          <w:w w:val="105"/>
        </w:rPr>
        <w:t> </w:t>
      </w:r>
      <w:r>
        <w:rPr>
          <w:color w:val="231F20"/>
          <w:w w:val="105"/>
        </w:rPr>
        <w:t>las</w:t>
      </w:r>
      <w:r>
        <w:rPr>
          <w:color w:val="231F20"/>
          <w:spacing w:val="-6"/>
          <w:w w:val="105"/>
        </w:rPr>
        <w:t> </w:t>
      </w:r>
      <w:r>
        <w:rPr>
          <w:color w:val="231F20"/>
          <w:w w:val="105"/>
        </w:rPr>
        <w:t>redes</w:t>
      </w:r>
      <w:r>
        <w:rPr>
          <w:color w:val="231F20"/>
          <w:spacing w:val="-6"/>
          <w:w w:val="105"/>
        </w:rPr>
        <w:t> </w:t>
      </w:r>
      <w:r>
        <w:rPr>
          <w:color w:val="231F20"/>
          <w:w w:val="105"/>
        </w:rPr>
        <w:t>sociales</w:t>
      </w:r>
      <w:r>
        <w:rPr>
          <w:color w:val="231F20"/>
          <w:spacing w:val="-6"/>
          <w:w w:val="105"/>
        </w:rPr>
        <w:t> </w:t>
      </w:r>
      <w:r>
        <w:rPr>
          <w:color w:val="231F20"/>
          <w:w w:val="105"/>
        </w:rPr>
        <w:t>a</w:t>
      </w:r>
      <w:r>
        <w:rPr>
          <w:color w:val="231F20"/>
          <w:spacing w:val="-6"/>
          <w:w w:val="105"/>
        </w:rPr>
        <w:t> </w:t>
      </w:r>
      <w:r>
        <w:rPr>
          <w:color w:val="231F20"/>
          <w:w w:val="105"/>
        </w:rPr>
        <w:t>nivel</w:t>
      </w:r>
      <w:r>
        <w:rPr>
          <w:color w:val="231F20"/>
          <w:spacing w:val="-6"/>
          <w:w w:val="105"/>
        </w:rPr>
        <w:t> </w:t>
      </w:r>
      <w:r>
        <w:rPr>
          <w:color w:val="231F20"/>
          <w:w w:val="105"/>
        </w:rPr>
        <w:t>individual</w:t>
      </w:r>
      <w:r>
        <w:rPr>
          <w:color w:val="231F20"/>
          <w:spacing w:val="-6"/>
          <w:w w:val="105"/>
        </w:rPr>
        <w:t> </w:t>
      </w:r>
      <w:r>
        <w:rPr>
          <w:color w:val="231F20"/>
          <w:w w:val="105"/>
        </w:rPr>
        <w:t>pero</w:t>
      </w:r>
      <w:r>
        <w:rPr>
          <w:color w:val="231F20"/>
          <w:spacing w:val="-6"/>
          <w:w w:val="105"/>
        </w:rPr>
        <w:t> </w:t>
      </w:r>
      <w:r>
        <w:rPr>
          <w:color w:val="231F20"/>
          <w:w w:val="105"/>
        </w:rPr>
        <w:t>también</w:t>
      </w:r>
      <w:r>
        <w:rPr>
          <w:color w:val="231F20"/>
          <w:spacing w:val="-6"/>
          <w:w w:val="105"/>
        </w:rPr>
        <w:t> </w:t>
      </w:r>
      <w:r>
        <w:rPr>
          <w:color w:val="231F20"/>
          <w:w w:val="105"/>
        </w:rPr>
        <w:t>localizadas</w:t>
      </w:r>
      <w:r>
        <w:rPr>
          <w:color w:val="231F20"/>
          <w:spacing w:val="-6"/>
          <w:w w:val="105"/>
        </w:rPr>
        <w:t> </w:t>
      </w:r>
      <w:r>
        <w:rPr>
          <w:color w:val="231F20"/>
          <w:w w:val="105"/>
        </w:rPr>
        <w:t>en un lugar</w:t>
      </w:r>
      <w:r>
        <w:rPr>
          <w:color w:val="231F20"/>
          <w:spacing w:val="2"/>
          <w:w w:val="105"/>
        </w:rPr>
        <w:t> </w:t>
      </w:r>
      <w:r>
        <w:rPr>
          <w:color w:val="231F20"/>
          <w:w w:val="105"/>
        </w:rPr>
        <w:t>determinado.</w:t>
      </w:r>
    </w:p>
    <w:p>
      <w:pPr>
        <w:pStyle w:val="BodyText"/>
        <w:rPr>
          <w:sz w:val="20"/>
        </w:rPr>
      </w:pPr>
    </w:p>
    <w:p>
      <w:pPr>
        <w:pStyle w:val="BodyText"/>
        <w:spacing w:before="9"/>
        <w:rPr>
          <w:sz w:val="20"/>
        </w:rPr>
      </w:pPr>
    </w:p>
    <w:p>
      <w:pPr>
        <w:pStyle w:val="Heading3"/>
      </w:pPr>
      <w:r>
        <w:rPr>
          <w:color w:val="231F20"/>
        </w:rPr>
        <w:t>Proceso migratorio del Estado de México a Estados Unidos</w:t>
      </w:r>
    </w:p>
    <w:p>
      <w:pPr>
        <w:pStyle w:val="BodyText"/>
        <w:rPr>
          <w:rFonts w:ascii="Arial"/>
          <w:b/>
          <w:sz w:val="22"/>
        </w:rPr>
      </w:pPr>
    </w:p>
    <w:p>
      <w:pPr>
        <w:pStyle w:val="BodyText"/>
        <w:spacing w:line="261" w:lineRule="auto" w:before="163"/>
        <w:ind w:left="1837" w:right="1716"/>
        <w:jc w:val="both"/>
      </w:pPr>
      <w:r>
        <w:rPr/>
        <w:pict>
          <v:line style="position:absolute;mso-position-horizontal-relative:page;mso-position-vertical-relative:paragraph;z-index:-457912" from="15pt,244.471176pt" to="0pt,244.471176pt" stroked="true" strokeweight=".25pt" strokecolor="#000000">
            <w10:wrap type="none"/>
          </v:line>
        </w:pict>
      </w:r>
      <w:r>
        <w:rPr/>
        <w:pict>
          <v:line style="position:absolute;mso-position-horizontal-relative:page;mso-position-vertical-relative:paragraph;z-index:32296" from="508.890015pt,244.471176pt" to="523.890015pt,244.471176pt" stroked="true" strokeweight=".25pt" strokecolor="#000000">
            <w10:wrap type="none"/>
          </v:line>
        </w:pict>
      </w:r>
      <w:r>
        <w:rPr>
          <w:color w:val="231F20"/>
          <w:w w:val="105"/>
        </w:rPr>
        <w:t>El</w:t>
      </w:r>
      <w:r>
        <w:rPr>
          <w:color w:val="231F20"/>
          <w:spacing w:val="-19"/>
          <w:w w:val="105"/>
        </w:rPr>
        <w:t> </w:t>
      </w:r>
      <w:r>
        <w:rPr>
          <w:color w:val="231F20"/>
          <w:w w:val="105"/>
        </w:rPr>
        <w:t>Estado</w:t>
      </w:r>
      <w:r>
        <w:rPr>
          <w:color w:val="231F20"/>
          <w:spacing w:val="-19"/>
          <w:w w:val="105"/>
        </w:rPr>
        <w:t> </w:t>
      </w:r>
      <w:r>
        <w:rPr>
          <w:color w:val="231F20"/>
          <w:w w:val="105"/>
        </w:rPr>
        <w:t>de</w:t>
      </w:r>
      <w:r>
        <w:rPr>
          <w:color w:val="231F20"/>
          <w:spacing w:val="-19"/>
          <w:w w:val="105"/>
        </w:rPr>
        <w:t> </w:t>
      </w:r>
      <w:r>
        <w:rPr>
          <w:color w:val="231F20"/>
          <w:w w:val="105"/>
        </w:rPr>
        <w:t>México</w:t>
      </w:r>
      <w:r>
        <w:rPr>
          <w:color w:val="231F20"/>
          <w:spacing w:val="-19"/>
          <w:w w:val="105"/>
        </w:rPr>
        <w:t> </w:t>
      </w:r>
      <w:r>
        <w:rPr>
          <w:color w:val="231F20"/>
          <w:w w:val="105"/>
        </w:rPr>
        <w:t>se</w:t>
      </w:r>
      <w:r>
        <w:rPr>
          <w:color w:val="231F20"/>
          <w:spacing w:val="-19"/>
          <w:w w:val="105"/>
        </w:rPr>
        <w:t> </w:t>
      </w:r>
      <w:r>
        <w:rPr>
          <w:color w:val="231F20"/>
          <w:spacing w:val="-2"/>
          <w:w w:val="105"/>
        </w:rPr>
        <w:t>encuentra</w:t>
      </w:r>
      <w:r>
        <w:rPr>
          <w:color w:val="231F20"/>
          <w:spacing w:val="-19"/>
          <w:w w:val="105"/>
        </w:rPr>
        <w:t> </w:t>
      </w:r>
      <w:r>
        <w:rPr>
          <w:color w:val="231F20"/>
          <w:w w:val="105"/>
        </w:rPr>
        <w:t>localizado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spacing w:val="-3"/>
          <w:w w:val="105"/>
        </w:rPr>
        <w:t>centro</w:t>
      </w:r>
      <w:r>
        <w:rPr>
          <w:color w:val="231F20"/>
          <w:spacing w:val="-19"/>
          <w:w w:val="105"/>
        </w:rPr>
        <w:t> </w:t>
      </w:r>
      <w:r>
        <w:rPr>
          <w:color w:val="231F20"/>
          <w:w w:val="105"/>
        </w:rPr>
        <w:t>del</w:t>
      </w:r>
      <w:r>
        <w:rPr>
          <w:color w:val="231F20"/>
          <w:spacing w:val="-19"/>
          <w:w w:val="105"/>
        </w:rPr>
        <w:t> </w:t>
      </w:r>
      <w:r>
        <w:rPr>
          <w:color w:val="231F20"/>
          <w:w w:val="105"/>
        </w:rPr>
        <w:t>país</w:t>
      </w:r>
      <w:r>
        <w:rPr>
          <w:color w:val="231F20"/>
          <w:spacing w:val="-19"/>
          <w:w w:val="105"/>
        </w:rPr>
        <w:t> </w:t>
      </w:r>
      <w:r>
        <w:rPr>
          <w:color w:val="231F20"/>
          <w:w w:val="105"/>
        </w:rPr>
        <w:t>y</w:t>
      </w:r>
      <w:r>
        <w:rPr>
          <w:color w:val="231F20"/>
          <w:spacing w:val="-19"/>
          <w:w w:val="105"/>
        </w:rPr>
        <w:t> </w:t>
      </w:r>
      <w:r>
        <w:rPr>
          <w:color w:val="231F20"/>
          <w:w w:val="105"/>
        </w:rPr>
        <w:t>colin- da</w:t>
      </w:r>
      <w:r>
        <w:rPr>
          <w:color w:val="231F20"/>
          <w:spacing w:val="-22"/>
          <w:w w:val="105"/>
        </w:rPr>
        <w:t> </w:t>
      </w:r>
      <w:r>
        <w:rPr>
          <w:color w:val="231F20"/>
          <w:w w:val="105"/>
        </w:rPr>
        <w:t>con</w:t>
      </w:r>
      <w:r>
        <w:rPr>
          <w:color w:val="231F20"/>
          <w:spacing w:val="-22"/>
          <w:w w:val="105"/>
        </w:rPr>
        <w:t> </w:t>
      </w:r>
      <w:r>
        <w:rPr>
          <w:color w:val="231F20"/>
          <w:w w:val="105"/>
        </w:rPr>
        <w:t>el</w:t>
      </w:r>
      <w:r>
        <w:rPr>
          <w:color w:val="231F20"/>
          <w:spacing w:val="-22"/>
          <w:w w:val="105"/>
        </w:rPr>
        <w:t> </w:t>
      </w:r>
      <w:r>
        <w:rPr>
          <w:color w:val="231F20"/>
          <w:w w:val="105"/>
        </w:rPr>
        <w:t>Distrito</w:t>
      </w:r>
      <w:r>
        <w:rPr>
          <w:color w:val="231F20"/>
          <w:spacing w:val="-22"/>
          <w:w w:val="105"/>
        </w:rPr>
        <w:t> </w:t>
      </w:r>
      <w:r>
        <w:rPr>
          <w:color w:val="231F20"/>
          <w:spacing w:val="-4"/>
          <w:w w:val="105"/>
        </w:rPr>
        <w:t>Federal,</w:t>
      </w:r>
      <w:r>
        <w:rPr>
          <w:color w:val="231F20"/>
          <w:spacing w:val="-27"/>
          <w:w w:val="105"/>
        </w:rPr>
        <w:t> </w:t>
      </w:r>
      <w:r>
        <w:rPr>
          <w:color w:val="231F20"/>
          <w:w w:val="105"/>
        </w:rPr>
        <w:t>Hidalgo,</w:t>
      </w:r>
      <w:r>
        <w:rPr>
          <w:color w:val="231F20"/>
          <w:spacing w:val="-27"/>
          <w:w w:val="105"/>
        </w:rPr>
        <w:t> </w:t>
      </w:r>
      <w:r>
        <w:rPr>
          <w:color w:val="231F20"/>
          <w:spacing w:val="-3"/>
          <w:w w:val="105"/>
        </w:rPr>
        <w:t>Morelos,</w:t>
      </w:r>
      <w:r>
        <w:rPr>
          <w:color w:val="231F20"/>
          <w:spacing w:val="-27"/>
          <w:w w:val="105"/>
        </w:rPr>
        <w:t> </w:t>
      </w:r>
      <w:r>
        <w:rPr>
          <w:color w:val="231F20"/>
          <w:w w:val="105"/>
        </w:rPr>
        <w:t>Michoacán,</w:t>
      </w:r>
      <w:r>
        <w:rPr>
          <w:color w:val="231F20"/>
          <w:spacing w:val="-27"/>
          <w:w w:val="105"/>
        </w:rPr>
        <w:t> </w:t>
      </w:r>
      <w:r>
        <w:rPr>
          <w:color w:val="231F20"/>
          <w:spacing w:val="-4"/>
          <w:w w:val="105"/>
        </w:rPr>
        <w:t>Puebla,</w:t>
      </w:r>
      <w:r>
        <w:rPr>
          <w:color w:val="231F20"/>
          <w:spacing w:val="-27"/>
          <w:w w:val="105"/>
        </w:rPr>
        <w:t> </w:t>
      </w:r>
      <w:r>
        <w:rPr>
          <w:color w:val="231F20"/>
          <w:spacing w:val="-3"/>
          <w:w w:val="105"/>
        </w:rPr>
        <w:t>Queréta- ro</w:t>
      </w:r>
      <w:r>
        <w:rPr>
          <w:color w:val="231F20"/>
          <w:spacing w:val="-32"/>
          <w:w w:val="105"/>
        </w:rPr>
        <w:t> </w:t>
      </w:r>
      <w:r>
        <w:rPr>
          <w:color w:val="231F20"/>
          <w:w w:val="105"/>
        </w:rPr>
        <w:t>y</w:t>
      </w:r>
      <w:r>
        <w:rPr>
          <w:color w:val="231F20"/>
          <w:spacing w:val="-35"/>
          <w:w w:val="105"/>
        </w:rPr>
        <w:t> </w:t>
      </w:r>
      <w:r>
        <w:rPr>
          <w:color w:val="231F20"/>
          <w:w w:val="105"/>
        </w:rPr>
        <w:t>Tlaxcala.</w:t>
      </w:r>
      <w:r>
        <w:rPr>
          <w:color w:val="231F20"/>
          <w:spacing w:val="-37"/>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año</w:t>
      </w:r>
      <w:r>
        <w:rPr>
          <w:color w:val="231F20"/>
          <w:spacing w:val="-32"/>
          <w:w w:val="105"/>
        </w:rPr>
        <w:t> </w:t>
      </w:r>
      <w:r>
        <w:rPr>
          <w:color w:val="231F20"/>
          <w:w w:val="105"/>
        </w:rPr>
        <w:t>2010</w:t>
      </w:r>
      <w:r>
        <w:rPr>
          <w:color w:val="231F20"/>
          <w:spacing w:val="-32"/>
          <w:w w:val="105"/>
        </w:rPr>
        <w:t> </w:t>
      </w:r>
      <w:r>
        <w:rPr>
          <w:color w:val="231F20"/>
          <w:w w:val="105"/>
        </w:rPr>
        <w:t>tenía</w:t>
      </w:r>
      <w:r>
        <w:rPr>
          <w:color w:val="231F20"/>
          <w:spacing w:val="-32"/>
          <w:w w:val="105"/>
        </w:rPr>
        <w:t> </w:t>
      </w:r>
      <w:r>
        <w:rPr>
          <w:color w:val="231F20"/>
          <w:w w:val="105"/>
        </w:rPr>
        <w:t>la</w:t>
      </w:r>
      <w:r>
        <w:rPr>
          <w:color w:val="231F20"/>
          <w:spacing w:val="-32"/>
          <w:w w:val="105"/>
        </w:rPr>
        <w:t> </w:t>
      </w:r>
      <w:r>
        <w:rPr>
          <w:color w:val="231F20"/>
          <w:w w:val="105"/>
        </w:rPr>
        <w:t>población</w:t>
      </w:r>
      <w:r>
        <w:rPr>
          <w:color w:val="231F20"/>
          <w:spacing w:val="-32"/>
          <w:w w:val="105"/>
        </w:rPr>
        <w:t> </w:t>
      </w:r>
      <w:r>
        <w:rPr>
          <w:color w:val="231F20"/>
          <w:w w:val="105"/>
        </w:rPr>
        <w:t>más</w:t>
      </w:r>
      <w:r>
        <w:rPr>
          <w:color w:val="231F20"/>
          <w:spacing w:val="-32"/>
          <w:w w:val="105"/>
        </w:rPr>
        <w:t> </w:t>
      </w:r>
      <w:r>
        <w:rPr>
          <w:color w:val="231F20"/>
          <w:spacing w:val="-3"/>
          <w:w w:val="105"/>
        </w:rPr>
        <w:t>numerosa</w:t>
      </w:r>
      <w:r>
        <w:rPr>
          <w:color w:val="231F20"/>
          <w:spacing w:val="-32"/>
          <w:w w:val="105"/>
        </w:rPr>
        <w:t> </w:t>
      </w:r>
      <w:r>
        <w:rPr>
          <w:color w:val="231F20"/>
          <w:w w:val="105"/>
        </w:rPr>
        <w:t>en</w:t>
      </w:r>
      <w:r>
        <w:rPr>
          <w:color w:val="231F20"/>
          <w:spacing w:val="-32"/>
          <w:w w:val="105"/>
        </w:rPr>
        <w:t> </w:t>
      </w:r>
      <w:r>
        <w:rPr>
          <w:color w:val="231F20"/>
          <w:w w:val="105"/>
        </w:rPr>
        <w:t>términos de</w:t>
      </w:r>
      <w:r>
        <w:rPr>
          <w:color w:val="231F20"/>
          <w:spacing w:val="-6"/>
          <w:w w:val="105"/>
        </w:rPr>
        <w:t> </w:t>
      </w:r>
      <w:r>
        <w:rPr>
          <w:color w:val="231F20"/>
          <w:w w:val="105"/>
        </w:rPr>
        <w:t>volumen</w:t>
      </w:r>
      <w:r>
        <w:rPr>
          <w:color w:val="231F20"/>
          <w:spacing w:val="-6"/>
          <w:w w:val="105"/>
        </w:rPr>
        <w:t> </w:t>
      </w:r>
      <w:r>
        <w:rPr>
          <w:color w:val="231F20"/>
          <w:w w:val="105"/>
        </w:rPr>
        <w:t>y</w:t>
      </w:r>
      <w:r>
        <w:rPr>
          <w:color w:val="231F20"/>
          <w:spacing w:val="-6"/>
          <w:w w:val="105"/>
        </w:rPr>
        <w:t> </w:t>
      </w:r>
      <w:r>
        <w:rPr>
          <w:color w:val="231F20"/>
          <w:spacing w:val="-3"/>
          <w:w w:val="105"/>
        </w:rPr>
        <w:t>proporción</w:t>
      </w:r>
      <w:r>
        <w:rPr>
          <w:color w:val="231F20"/>
          <w:spacing w:val="-6"/>
          <w:w w:val="105"/>
        </w:rPr>
        <w:t> </w:t>
      </w:r>
      <w:r>
        <w:rPr>
          <w:color w:val="231F20"/>
          <w:w w:val="105"/>
        </w:rPr>
        <w:t>de</w:t>
      </w:r>
      <w:r>
        <w:rPr>
          <w:color w:val="231F20"/>
          <w:spacing w:val="-6"/>
          <w:w w:val="105"/>
        </w:rPr>
        <w:t> </w:t>
      </w:r>
      <w:r>
        <w:rPr>
          <w:color w:val="231F20"/>
          <w:w w:val="105"/>
        </w:rPr>
        <w:t>todo</w:t>
      </w:r>
      <w:r>
        <w:rPr>
          <w:color w:val="231F20"/>
          <w:spacing w:val="-6"/>
          <w:w w:val="105"/>
        </w:rPr>
        <w:t> </w:t>
      </w:r>
      <w:r>
        <w:rPr>
          <w:color w:val="231F20"/>
          <w:w w:val="105"/>
        </w:rPr>
        <w:t>el</w:t>
      </w:r>
      <w:r>
        <w:rPr>
          <w:color w:val="231F20"/>
          <w:spacing w:val="-6"/>
          <w:w w:val="105"/>
        </w:rPr>
        <w:t> </w:t>
      </w:r>
      <w:r>
        <w:rPr>
          <w:color w:val="231F20"/>
          <w:w w:val="105"/>
        </w:rPr>
        <w:t>país,</w:t>
      </w:r>
      <w:r>
        <w:rPr>
          <w:color w:val="231F20"/>
          <w:spacing w:val="-12"/>
          <w:w w:val="105"/>
        </w:rPr>
        <w:t> </w:t>
      </w:r>
      <w:r>
        <w:rPr>
          <w:color w:val="231F20"/>
          <w:w w:val="105"/>
        </w:rPr>
        <w:t>con</w:t>
      </w:r>
      <w:r>
        <w:rPr>
          <w:color w:val="231F20"/>
          <w:spacing w:val="-6"/>
          <w:w w:val="105"/>
        </w:rPr>
        <w:t> </w:t>
      </w:r>
      <w:r>
        <w:rPr>
          <w:color w:val="231F20"/>
          <w:w w:val="105"/>
        </w:rPr>
        <w:t>un</w:t>
      </w:r>
      <w:r>
        <w:rPr>
          <w:color w:val="231F20"/>
          <w:spacing w:val="-6"/>
          <w:w w:val="105"/>
        </w:rPr>
        <w:t> </w:t>
      </w:r>
      <w:r>
        <w:rPr>
          <w:color w:val="231F20"/>
          <w:w w:val="105"/>
        </w:rPr>
        <w:t>total</w:t>
      </w:r>
      <w:r>
        <w:rPr>
          <w:color w:val="231F20"/>
          <w:spacing w:val="-6"/>
          <w:w w:val="105"/>
        </w:rPr>
        <w:t> </w:t>
      </w:r>
      <w:r>
        <w:rPr>
          <w:color w:val="231F20"/>
          <w:w w:val="105"/>
        </w:rPr>
        <w:t>de</w:t>
      </w:r>
      <w:r>
        <w:rPr>
          <w:color w:val="231F20"/>
          <w:spacing w:val="-6"/>
          <w:w w:val="105"/>
        </w:rPr>
        <w:t> </w:t>
      </w:r>
      <w:r>
        <w:rPr>
          <w:color w:val="231F20"/>
          <w:w w:val="105"/>
        </w:rPr>
        <w:t>15</w:t>
      </w:r>
      <w:r>
        <w:rPr>
          <w:color w:val="231F20"/>
          <w:spacing w:val="-6"/>
          <w:w w:val="105"/>
        </w:rPr>
        <w:t> </w:t>
      </w:r>
      <w:r>
        <w:rPr>
          <w:color w:val="231F20"/>
          <w:w w:val="105"/>
        </w:rPr>
        <w:t>175</w:t>
      </w:r>
      <w:r>
        <w:rPr>
          <w:color w:val="231F20"/>
          <w:spacing w:val="-6"/>
          <w:w w:val="105"/>
        </w:rPr>
        <w:t> </w:t>
      </w:r>
      <w:r>
        <w:rPr>
          <w:color w:val="231F20"/>
          <w:w w:val="105"/>
        </w:rPr>
        <w:t>862</w:t>
      </w:r>
      <w:r>
        <w:rPr>
          <w:color w:val="231F20"/>
          <w:spacing w:val="-6"/>
          <w:w w:val="105"/>
        </w:rPr>
        <w:t> </w:t>
      </w:r>
      <w:r>
        <w:rPr>
          <w:color w:val="231F20"/>
          <w:w w:val="105"/>
        </w:rPr>
        <w:t>ha- bitantes</w:t>
      </w:r>
      <w:r>
        <w:rPr>
          <w:color w:val="231F20"/>
          <w:spacing w:val="-16"/>
          <w:w w:val="105"/>
        </w:rPr>
        <w:t> </w:t>
      </w:r>
      <w:r>
        <w:rPr>
          <w:color w:val="231F20"/>
          <w:w w:val="105"/>
        </w:rPr>
        <w:t>que</w:t>
      </w:r>
      <w:r>
        <w:rPr>
          <w:color w:val="231F20"/>
          <w:spacing w:val="-16"/>
          <w:w w:val="105"/>
        </w:rPr>
        <w:t> </w:t>
      </w:r>
      <w:r>
        <w:rPr>
          <w:color w:val="231F20"/>
          <w:spacing w:val="-3"/>
          <w:w w:val="105"/>
        </w:rPr>
        <w:t>representaban</w:t>
      </w:r>
      <w:r>
        <w:rPr>
          <w:color w:val="231F20"/>
          <w:spacing w:val="-16"/>
          <w:w w:val="105"/>
        </w:rPr>
        <w:t> </w:t>
      </w:r>
      <w:r>
        <w:rPr>
          <w:color w:val="231F20"/>
          <w:w w:val="105"/>
        </w:rPr>
        <w:t>13%</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mexicana</w:t>
      </w:r>
      <w:r>
        <w:rPr>
          <w:color w:val="231F20"/>
          <w:spacing w:val="-16"/>
          <w:w w:val="105"/>
        </w:rPr>
        <w:t> </w:t>
      </w:r>
      <w:r>
        <w:rPr>
          <w:color w:val="231F20"/>
          <w:w w:val="105"/>
        </w:rPr>
        <w:t>(</w:t>
      </w:r>
      <w:r>
        <w:rPr>
          <w:color w:val="231F20"/>
          <w:w w:val="105"/>
          <w:sz w:val="17"/>
        </w:rPr>
        <w:t>INEGI</w:t>
      </w:r>
      <w:r>
        <w:rPr>
          <w:color w:val="231F20"/>
          <w:w w:val="105"/>
        </w:rPr>
        <w:t>,</w:t>
      </w:r>
      <w:r>
        <w:rPr>
          <w:color w:val="231F20"/>
          <w:spacing w:val="-20"/>
          <w:w w:val="105"/>
        </w:rPr>
        <w:t> </w:t>
      </w:r>
      <w:r>
        <w:rPr>
          <w:color w:val="231F20"/>
          <w:spacing w:val="-2"/>
          <w:w w:val="105"/>
        </w:rPr>
        <w:t>2010). </w:t>
      </w:r>
      <w:r>
        <w:rPr>
          <w:color w:val="231F20"/>
          <w:w w:val="105"/>
        </w:rPr>
        <w:t>48%</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población</w:t>
      </w:r>
      <w:r>
        <w:rPr>
          <w:color w:val="231F20"/>
          <w:spacing w:val="-25"/>
          <w:w w:val="105"/>
        </w:rPr>
        <w:t> </w:t>
      </w:r>
      <w:r>
        <w:rPr>
          <w:color w:val="231F20"/>
          <w:w w:val="105"/>
        </w:rPr>
        <w:t>estaba</w:t>
      </w:r>
      <w:r>
        <w:rPr>
          <w:color w:val="231F20"/>
          <w:spacing w:val="-25"/>
          <w:w w:val="105"/>
        </w:rPr>
        <w:t> </w:t>
      </w:r>
      <w:r>
        <w:rPr>
          <w:color w:val="231F20"/>
          <w:w w:val="105"/>
        </w:rPr>
        <w:t>compuesta</w:t>
      </w:r>
      <w:r>
        <w:rPr>
          <w:color w:val="231F20"/>
          <w:spacing w:val="-25"/>
          <w:w w:val="105"/>
        </w:rPr>
        <w:t> </w:t>
      </w:r>
      <w:r>
        <w:rPr>
          <w:color w:val="231F20"/>
          <w:w w:val="105"/>
        </w:rPr>
        <w:t>por</w:t>
      </w:r>
      <w:r>
        <w:rPr>
          <w:color w:val="231F20"/>
          <w:spacing w:val="-25"/>
          <w:w w:val="105"/>
        </w:rPr>
        <w:t> </w:t>
      </w:r>
      <w:r>
        <w:rPr>
          <w:color w:val="231F20"/>
          <w:spacing w:val="-3"/>
          <w:w w:val="105"/>
        </w:rPr>
        <w:t>hombres</w:t>
      </w:r>
      <w:r>
        <w:rPr>
          <w:color w:val="231F20"/>
          <w:spacing w:val="-25"/>
          <w:w w:val="105"/>
        </w:rPr>
        <w:t> </w:t>
      </w:r>
      <w:r>
        <w:rPr>
          <w:color w:val="231F20"/>
          <w:w w:val="105"/>
        </w:rPr>
        <w:t>y</w:t>
      </w:r>
      <w:r>
        <w:rPr>
          <w:color w:val="231F20"/>
          <w:spacing w:val="-25"/>
          <w:w w:val="105"/>
        </w:rPr>
        <w:t> </w:t>
      </w:r>
      <w:r>
        <w:rPr>
          <w:color w:val="231F20"/>
          <w:w w:val="105"/>
        </w:rPr>
        <w:t>52%</w:t>
      </w:r>
      <w:r>
        <w:rPr>
          <w:color w:val="231F20"/>
          <w:spacing w:val="-25"/>
          <w:w w:val="105"/>
        </w:rPr>
        <w:t> </w:t>
      </w:r>
      <w:r>
        <w:rPr>
          <w:color w:val="231F20"/>
          <w:w w:val="105"/>
        </w:rPr>
        <w:t>eran</w:t>
      </w:r>
      <w:r>
        <w:rPr>
          <w:color w:val="231F20"/>
          <w:spacing w:val="-25"/>
          <w:w w:val="105"/>
        </w:rPr>
        <w:t> </w:t>
      </w:r>
      <w:r>
        <w:rPr>
          <w:color w:val="231F20"/>
          <w:spacing w:val="-3"/>
          <w:w w:val="105"/>
        </w:rPr>
        <w:t>mujeres. </w:t>
      </w:r>
      <w:r>
        <w:rPr>
          <w:color w:val="231F20"/>
          <w:w w:val="105"/>
        </w:rPr>
        <w:t>La</w:t>
      </w:r>
      <w:r>
        <w:rPr>
          <w:color w:val="231F20"/>
          <w:spacing w:val="-34"/>
          <w:w w:val="105"/>
        </w:rPr>
        <w:t> </w:t>
      </w:r>
      <w:r>
        <w:rPr>
          <w:color w:val="231F20"/>
          <w:w w:val="105"/>
        </w:rPr>
        <w:t>distribución</w:t>
      </w:r>
      <w:r>
        <w:rPr>
          <w:color w:val="231F20"/>
          <w:spacing w:val="-34"/>
          <w:w w:val="105"/>
        </w:rPr>
        <w:t> </w:t>
      </w:r>
      <w:r>
        <w:rPr>
          <w:color w:val="231F20"/>
          <w:w w:val="105"/>
        </w:rPr>
        <w:t>etaria</w:t>
      </w:r>
      <w:r>
        <w:rPr>
          <w:color w:val="231F20"/>
          <w:spacing w:val="-34"/>
          <w:w w:val="105"/>
        </w:rPr>
        <w:t> </w:t>
      </w:r>
      <w:r>
        <w:rPr>
          <w:color w:val="231F20"/>
          <w:w w:val="105"/>
        </w:rPr>
        <w:t>muestra</w:t>
      </w:r>
      <w:r>
        <w:rPr>
          <w:color w:val="231F20"/>
          <w:spacing w:val="-34"/>
          <w:w w:val="105"/>
        </w:rPr>
        <w:t> </w:t>
      </w:r>
      <w:r>
        <w:rPr>
          <w:color w:val="231F20"/>
          <w:w w:val="105"/>
        </w:rPr>
        <w:t>una</w:t>
      </w:r>
      <w:r>
        <w:rPr>
          <w:color w:val="231F20"/>
          <w:spacing w:val="-34"/>
          <w:w w:val="105"/>
        </w:rPr>
        <w:t> </w:t>
      </w:r>
      <w:r>
        <w:rPr>
          <w:color w:val="231F20"/>
          <w:spacing w:val="-2"/>
          <w:w w:val="105"/>
        </w:rPr>
        <w:t>concentración</w:t>
      </w:r>
      <w:r>
        <w:rPr>
          <w:color w:val="231F20"/>
          <w:spacing w:val="-34"/>
          <w:w w:val="105"/>
        </w:rPr>
        <w:t> </w:t>
      </w:r>
      <w:r>
        <w:rPr>
          <w:color w:val="231F20"/>
          <w:w w:val="105"/>
        </w:rPr>
        <w:t>en</w:t>
      </w:r>
      <w:r>
        <w:rPr>
          <w:color w:val="231F20"/>
          <w:spacing w:val="-34"/>
          <w:w w:val="105"/>
        </w:rPr>
        <w:t> </w:t>
      </w:r>
      <w:r>
        <w:rPr>
          <w:color w:val="231F20"/>
          <w:w w:val="105"/>
        </w:rPr>
        <w:t>edades</w:t>
      </w:r>
      <w:r>
        <w:rPr>
          <w:color w:val="231F20"/>
          <w:spacing w:val="-34"/>
          <w:w w:val="105"/>
        </w:rPr>
        <w:t> </w:t>
      </w:r>
      <w:r>
        <w:rPr>
          <w:color w:val="231F20"/>
          <w:spacing w:val="-3"/>
          <w:w w:val="105"/>
        </w:rPr>
        <w:t>relativamente </w:t>
      </w:r>
      <w:r>
        <w:rPr>
          <w:color w:val="231F20"/>
          <w:w w:val="105"/>
        </w:rPr>
        <w:t>jóvenes,</w:t>
      </w:r>
      <w:r>
        <w:rPr>
          <w:color w:val="231F20"/>
          <w:spacing w:val="-26"/>
          <w:w w:val="105"/>
        </w:rPr>
        <w:t> </w:t>
      </w:r>
      <w:r>
        <w:rPr>
          <w:color w:val="231F20"/>
          <w:w w:val="105"/>
        </w:rPr>
        <w:t>que</w:t>
      </w:r>
      <w:r>
        <w:rPr>
          <w:color w:val="231F20"/>
          <w:spacing w:val="-21"/>
          <w:w w:val="105"/>
        </w:rPr>
        <w:t> </w:t>
      </w:r>
      <w:r>
        <w:rPr>
          <w:color w:val="231F20"/>
          <w:w w:val="105"/>
        </w:rPr>
        <w:t>de</w:t>
      </w:r>
      <w:r>
        <w:rPr>
          <w:color w:val="231F20"/>
          <w:spacing w:val="-21"/>
          <w:w w:val="105"/>
        </w:rPr>
        <w:t> </w:t>
      </w:r>
      <w:r>
        <w:rPr>
          <w:color w:val="231F20"/>
          <w:w w:val="105"/>
        </w:rPr>
        <w:t>contar</w:t>
      </w:r>
      <w:r>
        <w:rPr>
          <w:color w:val="231F20"/>
          <w:spacing w:val="-21"/>
          <w:w w:val="105"/>
        </w:rPr>
        <w:t> </w:t>
      </w:r>
      <w:r>
        <w:rPr>
          <w:color w:val="231F20"/>
          <w:w w:val="105"/>
        </w:rPr>
        <w:t>con</w:t>
      </w:r>
      <w:r>
        <w:rPr>
          <w:color w:val="231F20"/>
          <w:spacing w:val="-21"/>
          <w:w w:val="105"/>
        </w:rPr>
        <w:t> </w:t>
      </w:r>
      <w:r>
        <w:rPr>
          <w:color w:val="231F20"/>
          <w:w w:val="105"/>
        </w:rPr>
        <w:t>educación</w:t>
      </w:r>
      <w:r>
        <w:rPr>
          <w:color w:val="231F20"/>
          <w:spacing w:val="-21"/>
          <w:w w:val="105"/>
        </w:rPr>
        <w:t> </w:t>
      </w:r>
      <w:r>
        <w:rPr>
          <w:color w:val="231F20"/>
          <w:w w:val="105"/>
        </w:rPr>
        <w:t>y</w:t>
      </w:r>
      <w:r>
        <w:rPr>
          <w:color w:val="231F20"/>
          <w:spacing w:val="-21"/>
          <w:w w:val="105"/>
        </w:rPr>
        <w:t> </w:t>
      </w:r>
      <w:r>
        <w:rPr>
          <w:color w:val="231F20"/>
          <w:w w:val="105"/>
        </w:rPr>
        <w:t>empleo</w:t>
      </w:r>
      <w:r>
        <w:rPr>
          <w:color w:val="231F20"/>
          <w:spacing w:val="-21"/>
          <w:w w:val="105"/>
        </w:rPr>
        <w:t> </w:t>
      </w:r>
      <w:r>
        <w:rPr>
          <w:color w:val="231F20"/>
          <w:spacing w:val="-2"/>
          <w:w w:val="105"/>
        </w:rPr>
        <w:t>contribuirán</w:t>
      </w:r>
      <w:r>
        <w:rPr>
          <w:color w:val="231F20"/>
          <w:spacing w:val="-21"/>
          <w:w w:val="105"/>
        </w:rPr>
        <w:t> </w:t>
      </w:r>
      <w:r>
        <w:rPr>
          <w:color w:val="231F20"/>
          <w:w w:val="105"/>
        </w:rPr>
        <w:t>al</w:t>
      </w:r>
      <w:r>
        <w:rPr>
          <w:color w:val="231F20"/>
          <w:spacing w:val="-21"/>
          <w:w w:val="105"/>
        </w:rPr>
        <w:t> </w:t>
      </w:r>
      <w:r>
        <w:rPr>
          <w:color w:val="231F20"/>
          <w:spacing w:val="-3"/>
          <w:w w:val="105"/>
        </w:rPr>
        <w:t>desarrollo </w:t>
      </w:r>
      <w:r>
        <w:rPr>
          <w:color w:val="231F20"/>
          <w:w w:val="105"/>
        </w:rPr>
        <w:t>económico</w:t>
      </w:r>
      <w:r>
        <w:rPr>
          <w:color w:val="231F20"/>
          <w:spacing w:val="-28"/>
          <w:w w:val="105"/>
        </w:rPr>
        <w:t> </w:t>
      </w:r>
      <w:r>
        <w:rPr>
          <w:color w:val="231F20"/>
          <w:w w:val="105"/>
        </w:rPr>
        <w:t>y</w:t>
      </w:r>
      <w:r>
        <w:rPr>
          <w:color w:val="231F20"/>
          <w:spacing w:val="-28"/>
          <w:w w:val="105"/>
        </w:rPr>
        <w:t> </w:t>
      </w:r>
      <w:r>
        <w:rPr>
          <w:color w:val="231F20"/>
          <w:w w:val="105"/>
        </w:rPr>
        <w:t>social</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entidad.</w:t>
      </w:r>
      <w:r>
        <w:rPr>
          <w:color w:val="231F20"/>
          <w:spacing w:val="-32"/>
          <w:w w:val="105"/>
        </w:rPr>
        <w:t> </w:t>
      </w:r>
      <w:r>
        <w:rPr>
          <w:color w:val="231F20"/>
          <w:w w:val="105"/>
        </w:rPr>
        <w:t>La</w:t>
      </w:r>
      <w:r>
        <w:rPr>
          <w:color w:val="231F20"/>
          <w:spacing w:val="-28"/>
          <w:w w:val="105"/>
        </w:rPr>
        <w:t> </w:t>
      </w:r>
      <w:r>
        <w:rPr>
          <w:color w:val="231F20"/>
          <w:w w:val="105"/>
        </w:rPr>
        <w:t>gráfica</w:t>
      </w:r>
      <w:r>
        <w:rPr>
          <w:color w:val="231F20"/>
          <w:spacing w:val="-28"/>
          <w:w w:val="105"/>
        </w:rPr>
        <w:t> </w:t>
      </w:r>
      <w:r>
        <w:rPr>
          <w:color w:val="231F20"/>
          <w:w w:val="105"/>
        </w:rPr>
        <w:t>1</w:t>
      </w:r>
      <w:r>
        <w:rPr>
          <w:color w:val="231F20"/>
          <w:spacing w:val="-28"/>
          <w:w w:val="105"/>
        </w:rPr>
        <w:t> </w:t>
      </w:r>
      <w:r>
        <w:rPr>
          <w:color w:val="231F20"/>
          <w:w w:val="105"/>
        </w:rPr>
        <w:t>da</w:t>
      </w:r>
      <w:r>
        <w:rPr>
          <w:color w:val="231F20"/>
          <w:spacing w:val="-28"/>
          <w:w w:val="105"/>
        </w:rPr>
        <w:t> </w:t>
      </w:r>
      <w:r>
        <w:rPr>
          <w:color w:val="231F20"/>
          <w:w w:val="105"/>
        </w:rPr>
        <w:t>cuenta</w:t>
      </w:r>
      <w:r>
        <w:rPr>
          <w:color w:val="231F20"/>
          <w:spacing w:val="-28"/>
          <w:w w:val="105"/>
        </w:rPr>
        <w:t> </w:t>
      </w:r>
      <w:r>
        <w:rPr>
          <w:color w:val="231F20"/>
          <w:w w:val="105"/>
        </w:rPr>
        <w:t>de</w:t>
      </w:r>
      <w:r>
        <w:rPr>
          <w:color w:val="231F20"/>
          <w:spacing w:val="-28"/>
          <w:w w:val="105"/>
        </w:rPr>
        <w:t> </w:t>
      </w:r>
      <w:r>
        <w:rPr>
          <w:color w:val="231F20"/>
          <w:w w:val="105"/>
        </w:rPr>
        <w:t>esta</w:t>
      </w:r>
      <w:r>
        <w:rPr>
          <w:color w:val="231F20"/>
          <w:spacing w:val="-28"/>
          <w:w w:val="105"/>
        </w:rPr>
        <w:t> </w:t>
      </w:r>
      <w:r>
        <w:rPr>
          <w:color w:val="231F20"/>
          <w:w w:val="105"/>
        </w:rPr>
        <w:t>situación, pues</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pirámide</w:t>
      </w:r>
      <w:r>
        <w:rPr>
          <w:color w:val="231F20"/>
          <w:spacing w:val="-21"/>
          <w:w w:val="105"/>
        </w:rPr>
        <w:t> </w:t>
      </w:r>
      <w:r>
        <w:rPr>
          <w:color w:val="231F20"/>
          <w:w w:val="105"/>
        </w:rPr>
        <w:t>poblacional</w:t>
      </w:r>
      <w:r>
        <w:rPr>
          <w:color w:val="231F20"/>
          <w:spacing w:val="-21"/>
          <w:w w:val="105"/>
        </w:rPr>
        <w:t> </w:t>
      </w:r>
      <w:r>
        <w:rPr>
          <w:color w:val="231F20"/>
          <w:w w:val="105"/>
        </w:rPr>
        <w:t>se</w:t>
      </w:r>
      <w:r>
        <w:rPr>
          <w:color w:val="231F20"/>
          <w:spacing w:val="-21"/>
          <w:w w:val="105"/>
        </w:rPr>
        <w:t> </w:t>
      </w:r>
      <w:r>
        <w:rPr>
          <w:color w:val="231F20"/>
          <w:spacing w:val="-3"/>
          <w:w w:val="105"/>
        </w:rPr>
        <w:t>aprecia</w:t>
      </w:r>
      <w:r>
        <w:rPr>
          <w:color w:val="231F20"/>
          <w:spacing w:val="-21"/>
          <w:w w:val="105"/>
        </w:rPr>
        <w:t> </w:t>
      </w:r>
      <w:r>
        <w:rPr>
          <w:color w:val="231F20"/>
          <w:w w:val="105"/>
        </w:rPr>
        <w:t>una</w:t>
      </w:r>
      <w:r>
        <w:rPr>
          <w:color w:val="231F20"/>
          <w:spacing w:val="-21"/>
          <w:w w:val="105"/>
        </w:rPr>
        <w:t> </w:t>
      </w:r>
      <w:r>
        <w:rPr>
          <w:color w:val="231F20"/>
          <w:spacing w:val="-2"/>
          <w:w w:val="105"/>
        </w:rPr>
        <w:t>concentración</w:t>
      </w:r>
      <w:r>
        <w:rPr>
          <w:color w:val="231F20"/>
          <w:spacing w:val="-21"/>
          <w:w w:val="105"/>
        </w:rPr>
        <w:t> </w:t>
      </w:r>
      <w:r>
        <w:rPr>
          <w:color w:val="231F20"/>
          <w:spacing w:val="-3"/>
          <w:w w:val="105"/>
        </w:rPr>
        <w:t>importante </w:t>
      </w:r>
      <w:r>
        <w:rPr>
          <w:color w:val="231F20"/>
          <w:w w:val="105"/>
        </w:rPr>
        <w:t>de</w:t>
      </w:r>
      <w:r>
        <w:rPr>
          <w:color w:val="231F20"/>
          <w:spacing w:val="-13"/>
          <w:w w:val="105"/>
        </w:rPr>
        <w:t> </w:t>
      </w:r>
      <w:r>
        <w:rPr>
          <w:color w:val="231F20"/>
          <w:w w:val="105"/>
        </w:rPr>
        <w:t>población</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grupos</w:t>
      </w:r>
      <w:r>
        <w:rPr>
          <w:color w:val="231F20"/>
          <w:spacing w:val="-13"/>
          <w:w w:val="105"/>
        </w:rPr>
        <w:t> </w:t>
      </w:r>
      <w:r>
        <w:rPr>
          <w:color w:val="231F20"/>
          <w:w w:val="105"/>
        </w:rPr>
        <w:t>de</w:t>
      </w:r>
      <w:r>
        <w:rPr>
          <w:color w:val="231F20"/>
          <w:spacing w:val="-13"/>
          <w:w w:val="105"/>
        </w:rPr>
        <w:t> </w:t>
      </w:r>
      <w:r>
        <w:rPr>
          <w:color w:val="231F20"/>
          <w:w w:val="105"/>
        </w:rPr>
        <w:t>edad</w:t>
      </w:r>
      <w:r>
        <w:rPr>
          <w:color w:val="231F20"/>
          <w:spacing w:val="-13"/>
          <w:w w:val="105"/>
        </w:rPr>
        <w:t> </w:t>
      </w:r>
      <w:r>
        <w:rPr>
          <w:color w:val="231F20"/>
          <w:spacing w:val="-3"/>
          <w:w w:val="105"/>
        </w:rPr>
        <w:t>menores</w:t>
      </w:r>
      <w:r>
        <w:rPr>
          <w:color w:val="231F20"/>
          <w:spacing w:val="-13"/>
          <w:w w:val="105"/>
        </w:rPr>
        <w:t> </w:t>
      </w:r>
      <w:r>
        <w:rPr>
          <w:color w:val="231F20"/>
          <w:w w:val="105"/>
        </w:rPr>
        <w:t>de</w:t>
      </w:r>
      <w:r>
        <w:rPr>
          <w:color w:val="231F20"/>
          <w:spacing w:val="-13"/>
          <w:w w:val="105"/>
        </w:rPr>
        <w:t> </w:t>
      </w:r>
      <w:r>
        <w:rPr>
          <w:color w:val="231F20"/>
          <w:w w:val="105"/>
        </w:rPr>
        <w:t>29</w:t>
      </w:r>
      <w:r>
        <w:rPr>
          <w:color w:val="231F20"/>
          <w:spacing w:val="-13"/>
          <w:w w:val="105"/>
        </w:rPr>
        <w:t> </w:t>
      </w:r>
      <w:r>
        <w:rPr>
          <w:color w:val="231F20"/>
          <w:w w:val="105"/>
        </w:rPr>
        <w:t>años.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0"/>
        <w:ind w:left="2658" w:right="0" w:firstLine="0"/>
        <w:jc w:val="left"/>
        <w:rPr>
          <w:rFonts w:ascii="Arial" w:hAnsi="Arial"/>
          <w:sz w:val="18"/>
        </w:rPr>
      </w:pPr>
      <w:r>
        <w:rPr/>
        <w:pict>
          <v:line style="position:absolute;mso-position-horizontal-relative:page;mso-position-vertical-relative:paragraph;z-index:32464" from="15pt,-71.424232pt" to="0pt,-71.424232pt" stroked="true" strokeweight=".25pt" strokecolor="#000000">
            <w10:wrap type="none"/>
          </v:line>
        </w:pict>
      </w:r>
      <w:r>
        <w:rPr/>
        <w:pict>
          <v:line style="position:absolute;mso-position-horizontal-relative:page;mso-position-vertical-relative:paragraph;z-index:32488" from="508.890015pt,-71.424232pt" to="523.890015pt,-71.424232pt" stroked="true" strokeweight=".25pt" strokecolor="#000000">
            <w10:wrap type="none"/>
          </v:line>
        </w:pict>
      </w:r>
      <w:r>
        <w:rPr>
          <w:rFonts w:ascii="Arial" w:hAnsi="Arial"/>
          <w:color w:val="231F20"/>
          <w:w w:val="105"/>
          <w:sz w:val="18"/>
        </w:rPr>
        <w:t>Gráfica 1. Pirámide de población del Estado de México, 2010</w:t>
      </w:r>
    </w:p>
    <w:p>
      <w:pPr>
        <w:spacing w:before="109"/>
        <w:ind w:left="0" w:right="6464" w:firstLine="0"/>
        <w:jc w:val="center"/>
        <w:rPr>
          <w:rFonts w:ascii="Arial" w:hAnsi="Arial"/>
          <w:sz w:val="12"/>
        </w:rPr>
      </w:pPr>
      <w:r>
        <w:rPr/>
        <w:pict>
          <v:group style="position:absolute;margin-left:138.800308pt;margin-top:5.944788pt;width:257.1500pt;height:195.5pt;mso-position-horizontal-relative:page;mso-position-vertical-relative:paragraph;z-index:32392" coordorigin="2776,119" coordsize="5143,3910">
            <v:shape style="position:absolute;left:0;top:5041;width:6013;height:7575" coordorigin="0,5041" coordsize="6013,7575" path="m3331,3089l3331,123m5385,123l5385,4024m5385,2432l6408,2432e" filled="false" stroked="true" strokeweight=".385098pt" strokecolor="#e2e3e4">
              <v:path arrowok="t"/>
            </v:shape>
            <v:shape style="position:absolute;left:5385;top:3927;width:2051;height:8" coordorigin="5385,3927" coordsize="2051,8" path="m7435,3927l6408,3927,5385,3927,5385,3935,6408,3935,7435,3935,7435,3927e" filled="true" fillcolor="#e2e3e4" stroked="false">
              <v:path arrowok="t"/>
              <v:fill type="solid"/>
            </v:shape>
            <v:shape style="position:absolute;left:2869;top:2527;width:2517;height:938" coordorigin="2869,2527" coordsize="2517,938" path="m5385,2527l3446,2527,3446,2900,3357,2900,3357,3089,3095,3089,3095,3275,2869,3275,2869,3464,5385,3464,5385,3275,5385,3089,5385,2900,5385,2527e" filled="true" fillcolor="#bec0c2" stroked="false">
              <v:path arrowok="t"/>
              <v:fill type="solid"/>
            </v:shape>
            <v:shape style="position:absolute;left:0;top:5770;width:2007;height:2" coordorigin="0,5770" coordsize="2007,2" path="m3331,3649l3331,3648m4358,3649l4358,3648e" filled="false" stroked="true" strokeweight=".385098pt" strokecolor="#e2e3e4">
              <v:path arrowok="t"/>
            </v:shape>
            <v:shape style="position:absolute;left:2780;top:3464;width:2606;height:374" coordorigin="2780,3464" coordsize="2606,374" path="m5385,3464l2905,3464,2905,3648,5385,3648,5385,3464m5385,3649l2780,3649,2780,3837,5385,3837,5385,3649e" filled="true" fillcolor="#bec0c2" stroked="false">
              <v:path arrowok="t"/>
              <v:fill type="solid"/>
            </v:shape>
            <v:shape style="position:absolute;left:2908;top:3927;width:1447;height:8" coordorigin="2908,3927" coordsize="1447,8" path="m4354,3927l3327,3927,2908,3927,2908,3935,3327,3935,4354,3935,4354,3927e" filled="true" fillcolor="#e2e3e4" stroked="false">
              <v:path arrowok="t"/>
              <v:fill type="solid"/>
            </v:shape>
            <v:rect style="position:absolute;left:2908;top:3837;width:2477;height:187" filled="true" fillcolor="#bec0c2" stroked="false">
              <v:fill type="solid"/>
            </v:rect>
            <v:line style="position:absolute" from="5377,466" to="5377,654" stroked="true" strokeweight=".820943pt" strokecolor="#bec0c2"/>
            <v:rect style="position:absolute;left:5323;top:655;width:62;height:187" filled="true" fillcolor="#bec0c2" stroked="false">
              <v:fill type="solid"/>
            </v:rect>
            <v:shape style="position:absolute;left:4549;top:841;width:837;height:1124" coordorigin="4549,841" coordsize="837,1124" path="m5385,841l5270,841,5270,1027,5185,1027,5185,1215,5073,1215,5073,1404,4952,1404,4952,1588,4749,1588,4749,1776,4549,1776,4549,1965,5385,1965,5385,1776,5385,1588,5385,1027,5385,841e" filled="true" fillcolor="#bec0c2" stroked="false">
              <v:path arrowok="t"/>
              <v:fill type="solid"/>
            </v:shape>
            <v:line style="position:absolute" from="4358,1965" to="4358,123" stroked="true" strokeweight=".383858pt" strokecolor="#e2e3e4"/>
            <v:shape style="position:absolute;left:4030;top:1965;width:1356;height:374" coordorigin="4030,1965" coordsize="1356,374" path="m5385,1965l4256,1965,4256,2154,4030,2154,4030,2338,5385,2338,5385,2154,5385,1965e" filled="true" fillcolor="#bec0c2" stroked="false">
              <v:path arrowok="t"/>
              <v:fill type="solid"/>
            </v:shape>
            <v:line style="position:absolute" from="3748,2432" to="4354,2432" stroked="true" strokeweight=".386338pt" strokecolor="#e2e3e4"/>
            <v:rect style="position:absolute;left:3748;top:2338;width:1637;height:189" filled="true" fillcolor="#bec0c2" stroked="false">
              <v:fill type="solid"/>
            </v:rect>
            <v:line style="position:absolute" from="5384,123" to="5384,278" stroked="true" strokeweight=".164291pt" strokecolor="#bec0c2"/>
            <v:line style="position:absolute" from="5382,278" to="5382,466" stroked="true" strokeweight=".329094pt" strokecolor="#bec0c2"/>
            <v:shape style="position:absolute;left:-250;top:12674;width:5091;height:6544" coordorigin="-250,12674" coordsize="5091,6544" path="m2908,4024l5385,4024,5385,3837,2908,3837,2908,4024m2780,3837l5385,3837,5385,3649,2780,3649,2780,3837m2905,3649l5385,3649,5385,3464,2905,3464,2905,3649m2869,3464l5385,3464,5385,3276,2869,3276,2869,3464m3095,3276l5385,3276,5385,3088,3095,3088,3095,3276m3357,3088l5385,3088,5385,2899,3357,2899,3357,3088m3446,2899l5385,2899,5385,2715,3446,2715,3446,2899m3446,2714l5385,2714,5385,2526,3446,2526,3446,2714m3748,2526l5385,2526,5385,2338,3748,2338,3748,2526m4030,2338l5385,2338,5385,2153,4030,2153,4030,2338m4256,2153l5385,2153,5385,1965,4256,1965,4256,2153m4549,1965l5385,1965,5385,1777,4549,1777,4549,1965m4749,1777l5385,1777,5385,1588,4749,1588,4749,1777m4952,1588l5385,1588,5385,1404,4952,1404,4952,1588m5073,1404l5385,1404,5385,1215,5073,1215,5073,1404m5185,1215l5385,1215,5385,1027,5185,1027,5185,1215m5270,1027l5385,1027,5385,842,5270,842,5270,1027m5323,842l5385,842,5385,654,5323,654,5323,842e" filled="false" stroked="true" strokeweight=".385098pt" strokecolor="#231f20">
              <v:path arrowok="t"/>
            </v:shape>
            <v:rect style="position:absolute;left:5365;top:462;width:24;height:196" filled="true" fillcolor="#231f20" stroked="false">
              <v:fill type="solid"/>
            </v:rect>
            <v:line style="position:absolute" from="5382,274" to="5382,470" stroked="true" strokeweight=".71244pt" strokecolor="#231f20"/>
            <v:shape style="position:absolute;left:4834;top:19948;width:7;height:300" coordorigin="4834,19948" coordsize="7,300" path="m5382,277l5385,277,5385,123m5382,123l5382,277e" filled="false" stroked="true" strokeweight=".385098pt" strokecolor="#231f20">
              <v:path arrowok="t"/>
            </v:shape>
            <v:line style="position:absolute" from="7439,2527" to="7439,123" stroked="true" strokeweight=".383858pt" strokecolor="#e2e3e4"/>
            <v:shape style="position:absolute;left:5385;top:2527;width:2530;height:1497" coordorigin="5385,2527" coordsize="2530,1497" path="m7915,3648l7803,3648,7803,3464,7898,3464,7898,3275,7771,3275,7771,3089,7587,3089,7587,2900,7554,2900,7554,2715,7538,2715,7538,2527,5385,2527,5385,4024,7797,4024,7797,3837,7915,3837,7915,3648e" filled="true" fillcolor="#e2e3e4" stroked="false">
              <v:path arrowok="t"/>
              <v:fill type="solid"/>
            </v:shape>
            <v:shape style="position:absolute;left:5385;top:466;width:92;height:376" coordorigin="5385,466" coordsize="92,376" path="m5477,655l5418,655,5418,466,5385,466,5385,655,5385,841,5477,841,5477,655e" filled="true" fillcolor="#e2e3e4" stroked="false">
              <v:path arrowok="t"/>
              <v:fill type="solid"/>
            </v:shape>
            <v:shape style="position:absolute;left:5385;top:841;width:909;height:1124" coordorigin="5385,841" coordsize="909,1124" path="m6294,1776l6094,1776,6094,1588,5877,1588,5877,1403,5759,1403,5759,1215,5628,1215,5628,1028,5543,1028,5543,841,5385,841,5385,1028,5385,1215,5385,1403,5385,1588,5385,1776,5385,1965,6294,1965,6294,1776e" filled="true" fillcolor="#e2e3e4" stroked="false">
              <v:path arrowok="t"/>
              <v:fill type="solid"/>
            </v:shape>
            <v:line style="position:absolute" from="6412,1965" to="6412,123" stroked="true" strokeweight=".383858pt" strokecolor="#e2e3e4"/>
            <v:shape style="position:absolute;left:5385;top:1965;width:1802;height:562" coordorigin="5385,1965" coordsize="1802,562" path="m7186,2338l6881,2338,6881,2154,6639,2154,6639,1965,5385,1965,5385,2154,5385,2338,5385,2527,7186,2527,7186,2338e" filled="true" fillcolor="#e2e3e4" stroked="false">
              <v:path arrowok="t"/>
              <v:fill type="solid"/>
            </v:shape>
            <v:line style="position:absolute" from="5418,654" to="5477,654" stroked="true" strokeweight=".000515pt" strokecolor="#e2e3e4"/>
            <v:line style="position:absolute" from="5877,1588" to="6094,1588" stroked="true" strokeweight=".000515pt" strokecolor="#e2e3e4"/>
            <v:line style="position:absolute" from="5387,123" to="5387,278" stroked="true" strokeweight=".163779pt" strokecolor="#e2e3e4"/>
            <v:line style="position:absolute" from="5392,278" to="5392,466" stroked="true" strokeweight=".656141pt" strokecolor="#e2e3e4"/>
            <v:shape style="position:absolute;left:-4712;top:12674;width:4943;height:6909" coordorigin="-4712,12674" coordsize="4943,6909" path="m7797,4024l5385,4024,5385,3837,7797,3837,7797,4024m7915,3837l5385,3837,5385,3649,7915,3649,7915,3837m7803,3649l5385,3649,5385,3464,7803,3464,7803,3649m7898,3464l5385,3464,5385,3276,7898,3276,7898,3464m7771,3276l5385,3276,5385,3088,7771,3088,7771,3276m7587,3088l5385,3088,5385,2899,7587,2899,7587,3088m7554,2899l5385,2899,5385,2715,7554,2715,7554,2899m7538,2714l5385,2714,5385,2526,7538,2526,7538,2714m7186,2526l5385,2526,5385,2338,7186,2338,7186,2526m6881,2338l5385,2338,5385,2153,6881,2153,6881,2338m6639,2153l5385,2153,5385,1965,6639,1965,6639,2153m6294,1965l5385,1965,5385,1777,6294,1777,6294,1965m6094,1777l5385,1777,5385,1588,6094,1588,6094,1777m5877,1588l5385,1588,5385,1404,5877,1404,5877,1588m5759,1404l5385,1404,5385,1215,5759,1215,5759,1404m5628,1215l5385,1215,5385,1027,5628,1027,5628,1215m5543,1027l5385,1027,5385,842,5543,842,5543,1027m5477,842l5385,842,5385,654,5477,654,5477,842m5418,654l5385,654,5385,466,5418,466,5418,654e" filled="false" stroked="true" strokeweight=".385098pt" strokecolor="#231f20">
              <v:path arrowok="t"/>
            </v:shape>
            <v:line style="position:absolute" from="5392,274" to="5392,470" stroked="true" strokeweight="1.039998pt" strokecolor="#231f20"/>
            <v:shape style="position:absolute;left:-4712;top:19948;width:7;height:300" coordorigin="-4712,19948" coordsize="7,300" path="m5385,277l5388,277,5388,123m5385,123l5385,277e" filled="false" stroked="true" strokeweight=".385098pt" strokecolor="#231f20">
              <v:path arrowok="t"/>
            </v:shape>
            <v:rect style="position:absolute;left:4055;top:225;width:111;height:112" filled="true" fillcolor="#bec0c2" stroked="false">
              <v:fill type="solid"/>
            </v:rect>
            <v:rect style="position:absolute;left:4055;top:225;width:111;height:112" filled="false" stroked="true" strokeweight=".38509pt" strokecolor="#231f20"/>
            <v:rect style="position:absolute;left:5919;top:222;width:117;height:118" filled="true" fillcolor="#e2e3e4" stroked="false">
              <v:fill type="solid"/>
            </v:rect>
            <v:rect style="position:absolute;left:5919;top:222;width:117;height:118" filled="false" stroked="true" strokeweight=".38509pt" strokecolor="#231f20"/>
            <v:shape style="position:absolute;left:4274;top:228;width:606;height:145" type="#_x0000_t202" filled="false" stroked="false">
              <v:textbox inset="0,0,0,0">
                <w:txbxContent>
                  <w:p>
                    <w:pPr>
                      <w:spacing w:line="135" w:lineRule="exact" w:before="0"/>
                      <w:ind w:left="0" w:right="-11" w:firstLine="0"/>
                      <w:jc w:val="left"/>
                      <w:rPr>
                        <w:rFonts w:ascii="Arial"/>
                        <w:sz w:val="14"/>
                      </w:rPr>
                    </w:pPr>
                    <w:r>
                      <w:rPr>
                        <w:rFonts w:ascii="Arial"/>
                        <w:color w:val="231F20"/>
                        <w:w w:val="105"/>
                        <w:sz w:val="14"/>
                      </w:rPr>
                      <w:t>Hombres</w:t>
                    </w:r>
                  </w:p>
                </w:txbxContent>
              </v:textbox>
              <w10:wrap type="none"/>
            </v:shape>
            <v:shape style="position:absolute;left:6136;top:228;width:526;height:145" type="#_x0000_t202" filled="false" stroked="false">
              <v:textbox inset="0,0,0,0">
                <w:txbxContent>
                  <w:p>
                    <w:pPr>
                      <w:spacing w:line="135" w:lineRule="exact" w:before="0"/>
                      <w:ind w:left="0" w:right="-17" w:firstLine="0"/>
                      <w:jc w:val="left"/>
                      <w:rPr>
                        <w:rFonts w:ascii="Arial"/>
                        <w:sz w:val="14"/>
                      </w:rPr>
                    </w:pPr>
                    <w:r>
                      <w:rPr>
                        <w:rFonts w:ascii="Arial"/>
                        <w:color w:val="231F20"/>
                        <w:w w:val="105"/>
                        <w:sz w:val="14"/>
                      </w:rPr>
                      <w:t>Mujeres</w:t>
                    </w:r>
                  </w:p>
                </w:txbxContent>
              </v:textbox>
              <w10:wrap type="none"/>
            </v:shape>
            <w10:wrap type="none"/>
          </v:group>
        </w:pict>
      </w:r>
      <w:r>
        <w:rPr/>
        <w:pict>
          <v:line style="position:absolute;mso-position-horizontal-relative:page;mso-position-vertical-relative:paragraph;z-index:32416" from="423.389374pt,6.144791pt" to="423.389374pt,201.221762pt" stroked="true" strokeweight=".383858pt" strokecolor="#e2e3e4">
            <w10:wrap type="none"/>
          </v:line>
        </w:pict>
      </w:r>
      <w:r>
        <w:rPr/>
        <w:pict>
          <v:line style="position:absolute;mso-position-horizontal-relative:page;mso-position-vertical-relative:paragraph;z-index:32440" from="115.195862pt,201.221923pt" to="115.195862pt,6.144799pt" stroked="true" strokeweight=".383858pt" strokecolor="#e2e3e4">
            <w10:wrap type="none"/>
          </v:line>
        </w:pict>
      </w:r>
      <w:r>
        <w:rPr>
          <w:rFonts w:ascii="Arial" w:hAnsi="Arial"/>
          <w:color w:val="231F20"/>
          <w:sz w:val="12"/>
        </w:rPr>
        <w:t>100 y más</w:t>
      </w:r>
    </w:p>
    <w:p>
      <w:pPr>
        <w:spacing w:before="49"/>
        <w:ind w:left="1849" w:right="8113" w:firstLine="0"/>
        <w:jc w:val="center"/>
        <w:rPr>
          <w:rFonts w:ascii="Arial"/>
          <w:sz w:val="12"/>
        </w:rPr>
      </w:pPr>
      <w:r>
        <w:rPr>
          <w:rFonts w:ascii="Arial"/>
          <w:color w:val="231F20"/>
          <w:w w:val="105"/>
          <w:sz w:val="12"/>
        </w:rPr>
        <w:t>95-99</w:t>
      </w:r>
    </w:p>
    <w:p>
      <w:pPr>
        <w:spacing w:before="49"/>
        <w:ind w:left="1849" w:right="8113" w:firstLine="0"/>
        <w:jc w:val="center"/>
        <w:rPr>
          <w:rFonts w:ascii="Arial"/>
          <w:sz w:val="12"/>
        </w:rPr>
      </w:pPr>
      <w:r>
        <w:rPr>
          <w:rFonts w:ascii="Arial"/>
          <w:color w:val="231F20"/>
          <w:w w:val="105"/>
          <w:sz w:val="12"/>
        </w:rPr>
        <w:t>90-94</w:t>
      </w:r>
    </w:p>
    <w:p>
      <w:pPr>
        <w:spacing w:before="49"/>
        <w:ind w:left="1849" w:right="8113" w:firstLine="0"/>
        <w:jc w:val="center"/>
        <w:rPr>
          <w:rFonts w:ascii="Arial"/>
          <w:sz w:val="12"/>
        </w:rPr>
      </w:pPr>
      <w:r>
        <w:rPr>
          <w:rFonts w:ascii="Arial"/>
          <w:color w:val="231F20"/>
          <w:w w:val="105"/>
          <w:sz w:val="12"/>
        </w:rPr>
        <w:t>85-89</w:t>
      </w:r>
    </w:p>
    <w:p>
      <w:pPr>
        <w:spacing w:before="59"/>
        <w:ind w:left="1849" w:right="8113" w:firstLine="0"/>
        <w:jc w:val="center"/>
        <w:rPr>
          <w:rFonts w:ascii="Arial"/>
          <w:sz w:val="12"/>
        </w:rPr>
      </w:pPr>
      <w:r>
        <w:rPr>
          <w:rFonts w:ascii="Arial"/>
          <w:color w:val="231F20"/>
          <w:w w:val="105"/>
          <w:sz w:val="12"/>
        </w:rPr>
        <w:t>80-84</w:t>
      </w:r>
    </w:p>
    <w:p>
      <w:pPr>
        <w:spacing w:before="39"/>
        <w:ind w:left="1849" w:right="8113" w:firstLine="0"/>
        <w:jc w:val="center"/>
        <w:rPr>
          <w:rFonts w:ascii="Arial"/>
          <w:sz w:val="12"/>
        </w:rPr>
      </w:pPr>
      <w:r>
        <w:rPr>
          <w:rFonts w:ascii="Arial"/>
          <w:color w:val="231F20"/>
          <w:w w:val="105"/>
          <w:sz w:val="12"/>
        </w:rPr>
        <w:t>75-79</w:t>
      </w:r>
    </w:p>
    <w:p>
      <w:pPr>
        <w:spacing w:before="49"/>
        <w:ind w:left="1849" w:right="8113" w:firstLine="0"/>
        <w:jc w:val="center"/>
        <w:rPr>
          <w:rFonts w:ascii="Arial"/>
          <w:sz w:val="12"/>
        </w:rPr>
      </w:pPr>
      <w:r>
        <w:rPr>
          <w:rFonts w:ascii="Arial"/>
          <w:color w:val="231F20"/>
          <w:w w:val="105"/>
          <w:sz w:val="12"/>
        </w:rPr>
        <w:t>70-74</w:t>
      </w:r>
    </w:p>
    <w:p>
      <w:pPr>
        <w:spacing w:before="49"/>
        <w:ind w:left="1849" w:right="8113" w:firstLine="0"/>
        <w:jc w:val="center"/>
        <w:rPr>
          <w:rFonts w:ascii="Arial"/>
          <w:sz w:val="12"/>
        </w:rPr>
      </w:pPr>
      <w:r>
        <w:rPr>
          <w:rFonts w:ascii="Arial"/>
          <w:color w:val="231F20"/>
          <w:w w:val="105"/>
          <w:sz w:val="12"/>
        </w:rPr>
        <w:t>65-69</w:t>
      </w:r>
    </w:p>
    <w:p>
      <w:pPr>
        <w:spacing w:before="49"/>
        <w:ind w:left="1849" w:right="8113" w:firstLine="0"/>
        <w:jc w:val="center"/>
        <w:rPr>
          <w:rFonts w:ascii="Arial"/>
          <w:sz w:val="12"/>
        </w:rPr>
      </w:pPr>
      <w:r>
        <w:rPr>
          <w:rFonts w:ascii="Arial"/>
          <w:color w:val="231F20"/>
          <w:w w:val="105"/>
          <w:sz w:val="12"/>
        </w:rPr>
        <w:t>60-64</w:t>
      </w:r>
    </w:p>
    <w:p>
      <w:pPr>
        <w:spacing w:before="49"/>
        <w:ind w:left="1849" w:right="8113" w:firstLine="0"/>
        <w:jc w:val="center"/>
        <w:rPr>
          <w:rFonts w:ascii="Arial"/>
          <w:sz w:val="12"/>
        </w:rPr>
      </w:pPr>
      <w:r>
        <w:rPr>
          <w:rFonts w:ascii="Arial"/>
          <w:color w:val="231F20"/>
          <w:w w:val="105"/>
          <w:sz w:val="12"/>
        </w:rPr>
        <w:t>55-59</w:t>
      </w:r>
    </w:p>
    <w:p>
      <w:pPr>
        <w:spacing w:before="59"/>
        <w:ind w:left="1849" w:right="8113" w:firstLine="0"/>
        <w:jc w:val="center"/>
        <w:rPr>
          <w:rFonts w:ascii="Arial"/>
          <w:sz w:val="12"/>
        </w:rPr>
      </w:pPr>
      <w:r>
        <w:rPr>
          <w:rFonts w:ascii="Arial"/>
          <w:color w:val="231F20"/>
          <w:w w:val="105"/>
          <w:sz w:val="12"/>
        </w:rPr>
        <w:t>50-54</w:t>
      </w:r>
    </w:p>
    <w:p>
      <w:pPr>
        <w:spacing w:before="49"/>
        <w:ind w:left="1849" w:right="8113" w:firstLine="0"/>
        <w:jc w:val="center"/>
        <w:rPr>
          <w:rFonts w:ascii="Arial"/>
          <w:sz w:val="12"/>
        </w:rPr>
      </w:pPr>
      <w:r>
        <w:rPr>
          <w:rFonts w:ascii="Arial"/>
          <w:color w:val="231F20"/>
          <w:w w:val="105"/>
          <w:sz w:val="12"/>
        </w:rPr>
        <w:t>45-49</w:t>
      </w:r>
    </w:p>
    <w:p>
      <w:pPr>
        <w:spacing w:before="49"/>
        <w:ind w:left="1849" w:right="8113" w:firstLine="0"/>
        <w:jc w:val="center"/>
        <w:rPr>
          <w:rFonts w:ascii="Arial"/>
          <w:sz w:val="12"/>
        </w:rPr>
      </w:pPr>
      <w:r>
        <w:rPr>
          <w:rFonts w:ascii="Arial"/>
          <w:color w:val="231F20"/>
          <w:w w:val="105"/>
          <w:sz w:val="12"/>
        </w:rPr>
        <w:t>40-44</w:t>
      </w:r>
    </w:p>
    <w:p>
      <w:pPr>
        <w:spacing w:before="39"/>
        <w:ind w:left="1849" w:right="8113" w:firstLine="0"/>
        <w:jc w:val="center"/>
        <w:rPr>
          <w:rFonts w:ascii="Arial"/>
          <w:sz w:val="12"/>
        </w:rPr>
      </w:pPr>
      <w:r>
        <w:rPr>
          <w:rFonts w:ascii="Arial"/>
          <w:color w:val="231F20"/>
          <w:w w:val="105"/>
          <w:sz w:val="12"/>
        </w:rPr>
        <w:t>35-39</w:t>
      </w:r>
    </w:p>
    <w:p>
      <w:pPr>
        <w:spacing w:before="49"/>
        <w:ind w:left="1849" w:right="8113" w:firstLine="0"/>
        <w:jc w:val="center"/>
        <w:rPr>
          <w:rFonts w:ascii="Arial"/>
          <w:sz w:val="12"/>
        </w:rPr>
      </w:pPr>
      <w:r>
        <w:rPr>
          <w:rFonts w:ascii="Arial"/>
          <w:color w:val="231F20"/>
          <w:w w:val="105"/>
          <w:sz w:val="12"/>
        </w:rPr>
        <w:t>30-34</w:t>
      </w:r>
    </w:p>
    <w:p>
      <w:pPr>
        <w:spacing w:before="49"/>
        <w:ind w:left="1849" w:right="8113" w:firstLine="0"/>
        <w:jc w:val="center"/>
        <w:rPr>
          <w:rFonts w:ascii="Arial"/>
          <w:sz w:val="12"/>
        </w:rPr>
      </w:pPr>
      <w:r>
        <w:rPr>
          <w:rFonts w:ascii="Arial"/>
          <w:color w:val="231F20"/>
          <w:w w:val="105"/>
          <w:sz w:val="12"/>
        </w:rPr>
        <w:t>25-29</w:t>
      </w:r>
    </w:p>
    <w:p>
      <w:pPr>
        <w:spacing w:before="49"/>
        <w:ind w:left="1849" w:right="8113" w:firstLine="0"/>
        <w:jc w:val="center"/>
        <w:rPr>
          <w:rFonts w:ascii="Arial"/>
          <w:sz w:val="12"/>
        </w:rPr>
      </w:pPr>
      <w:r>
        <w:rPr>
          <w:rFonts w:ascii="Arial"/>
          <w:color w:val="231F20"/>
          <w:w w:val="105"/>
          <w:sz w:val="12"/>
        </w:rPr>
        <w:t>20-24</w:t>
      </w:r>
    </w:p>
    <w:p>
      <w:pPr>
        <w:spacing w:before="49"/>
        <w:ind w:left="1849" w:right="8113" w:firstLine="0"/>
        <w:jc w:val="center"/>
        <w:rPr>
          <w:rFonts w:ascii="Arial"/>
          <w:sz w:val="12"/>
        </w:rPr>
      </w:pPr>
      <w:r>
        <w:rPr>
          <w:rFonts w:ascii="Arial"/>
          <w:color w:val="231F20"/>
          <w:w w:val="105"/>
          <w:sz w:val="12"/>
        </w:rPr>
        <w:t>15-19</w:t>
      </w:r>
    </w:p>
    <w:p>
      <w:pPr>
        <w:spacing w:before="49"/>
        <w:ind w:left="1849" w:right="8113" w:firstLine="0"/>
        <w:jc w:val="center"/>
        <w:rPr>
          <w:rFonts w:ascii="Arial"/>
          <w:sz w:val="12"/>
        </w:rPr>
      </w:pPr>
      <w:r>
        <w:rPr>
          <w:rFonts w:ascii="Arial"/>
          <w:color w:val="231F20"/>
          <w:w w:val="105"/>
          <w:sz w:val="12"/>
        </w:rPr>
        <w:t>10-14</w:t>
      </w:r>
    </w:p>
    <w:p>
      <w:pPr>
        <w:spacing w:before="49"/>
        <w:ind w:left="1849" w:right="7995" w:firstLine="0"/>
        <w:jc w:val="center"/>
        <w:rPr>
          <w:rFonts w:ascii="Arial"/>
          <w:sz w:val="12"/>
        </w:rPr>
      </w:pPr>
      <w:r>
        <w:rPr>
          <w:rFonts w:ascii="Arial"/>
          <w:color w:val="231F20"/>
          <w:w w:val="105"/>
          <w:sz w:val="12"/>
        </w:rPr>
        <w:t>5-9</w:t>
      </w:r>
    </w:p>
    <w:p>
      <w:pPr>
        <w:spacing w:before="49"/>
        <w:ind w:left="1849" w:right="7995" w:firstLine="0"/>
        <w:jc w:val="center"/>
        <w:rPr>
          <w:rFonts w:ascii="Arial"/>
          <w:sz w:val="12"/>
        </w:rPr>
      </w:pPr>
      <w:r>
        <w:rPr>
          <w:rFonts w:ascii="Arial"/>
          <w:color w:val="231F20"/>
          <w:w w:val="105"/>
          <w:sz w:val="12"/>
        </w:rPr>
        <w:t>0-4</w:t>
      </w:r>
    </w:p>
    <w:p>
      <w:pPr>
        <w:tabs>
          <w:tab w:pos="3243" w:val="left" w:leader="none"/>
          <w:tab w:pos="4281" w:val="left" w:leader="none"/>
          <w:tab w:pos="5308" w:val="left" w:leader="none"/>
          <w:tab w:pos="6346" w:val="left" w:leader="none"/>
          <w:tab w:pos="7373" w:val="left" w:leader="none"/>
          <w:tab w:pos="8401" w:val="left" w:leader="none"/>
        </w:tabs>
        <w:spacing w:before="82"/>
        <w:ind w:left="2237" w:right="0" w:firstLine="0"/>
        <w:jc w:val="left"/>
        <w:rPr>
          <w:rFonts w:ascii="Arial"/>
          <w:sz w:val="14"/>
        </w:rPr>
      </w:pPr>
      <w:r>
        <w:rPr>
          <w:rFonts w:ascii="Arial"/>
          <w:color w:val="231F20"/>
          <w:sz w:val="14"/>
        </w:rPr>
        <w:t>6%</w:t>
        <w:tab/>
        <w:t>4%</w:t>
        <w:tab/>
        <w:t>2%</w:t>
        <w:tab/>
        <w:t>0%</w:t>
        <w:tab/>
        <w:t>2%</w:t>
        <w:tab/>
        <w:t>4%</w:t>
        <w:tab/>
        <w:t>6%</w:t>
      </w:r>
    </w:p>
    <w:p>
      <w:pPr>
        <w:spacing w:before="27"/>
        <w:ind w:left="1723" w:right="0" w:firstLine="0"/>
        <w:jc w:val="both"/>
        <w:rPr>
          <w:sz w:val="16"/>
        </w:rPr>
      </w:pPr>
      <w:r>
        <w:rPr>
          <w:color w:val="231F20"/>
          <w:w w:val="105"/>
          <w:sz w:val="16"/>
        </w:rPr>
        <w:t>Fuente: elaboración propia con base en </w:t>
      </w:r>
      <w:r>
        <w:rPr>
          <w:color w:val="231F20"/>
          <w:w w:val="105"/>
          <w:sz w:val="14"/>
        </w:rPr>
        <w:t>INEGI</w:t>
      </w:r>
      <w:r>
        <w:rPr>
          <w:color w:val="231F20"/>
          <w:w w:val="105"/>
          <w:sz w:val="16"/>
        </w:rPr>
        <w:t>, </w:t>
      </w:r>
      <w:r>
        <w:rPr>
          <w:rFonts w:ascii="Arial" w:hAnsi="Arial"/>
          <w:i/>
          <w:color w:val="231F20"/>
          <w:w w:val="105"/>
          <w:sz w:val="16"/>
        </w:rPr>
        <w:t>Censo de Población y Vivienda </w:t>
      </w:r>
      <w:r>
        <w:rPr>
          <w:color w:val="231F20"/>
          <w:w w:val="105"/>
          <w:sz w:val="16"/>
        </w:rPr>
        <w:t>2010.</w:t>
      </w:r>
    </w:p>
    <w:p>
      <w:pPr>
        <w:pStyle w:val="BodyText"/>
        <w:rPr>
          <w:sz w:val="16"/>
        </w:rPr>
      </w:pPr>
    </w:p>
    <w:p>
      <w:pPr>
        <w:pStyle w:val="BodyText"/>
        <w:spacing w:line="261" w:lineRule="auto" w:before="111"/>
        <w:ind w:left="1723" w:right="1834"/>
        <w:jc w:val="both"/>
      </w:pPr>
      <w:r>
        <w:rPr>
          <w:color w:val="231F20"/>
          <w:w w:val="105"/>
        </w:rPr>
        <w:t>Las</w:t>
      </w:r>
      <w:r>
        <w:rPr>
          <w:color w:val="231F20"/>
          <w:spacing w:val="-13"/>
          <w:w w:val="105"/>
        </w:rPr>
        <w:t> </w:t>
      </w:r>
      <w:r>
        <w:rPr>
          <w:color w:val="231F20"/>
          <w:w w:val="105"/>
        </w:rPr>
        <w:t>migraciones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entidad</w:t>
      </w:r>
      <w:r>
        <w:rPr>
          <w:color w:val="231F20"/>
          <w:spacing w:val="-13"/>
          <w:w w:val="105"/>
        </w:rPr>
        <w:t> </w:t>
      </w:r>
      <w:r>
        <w:rPr>
          <w:color w:val="231F20"/>
          <w:w w:val="105"/>
        </w:rPr>
        <w:t>se</w:t>
      </w:r>
      <w:r>
        <w:rPr>
          <w:color w:val="231F20"/>
          <w:spacing w:val="-13"/>
          <w:w w:val="105"/>
        </w:rPr>
        <w:t> </w:t>
      </w:r>
      <w:r>
        <w:rPr>
          <w:color w:val="231F20"/>
          <w:w w:val="105"/>
        </w:rPr>
        <w:t>han</w:t>
      </w:r>
      <w:r>
        <w:rPr>
          <w:color w:val="231F20"/>
          <w:spacing w:val="-13"/>
          <w:w w:val="105"/>
        </w:rPr>
        <w:t> </w:t>
      </w:r>
      <w:r>
        <w:rPr>
          <w:color w:val="231F20"/>
          <w:w w:val="105"/>
        </w:rPr>
        <w:t>incrementado</w:t>
      </w:r>
      <w:r>
        <w:rPr>
          <w:color w:val="231F20"/>
          <w:spacing w:val="-13"/>
          <w:w w:val="105"/>
        </w:rPr>
        <w:t> </w:t>
      </w:r>
      <w:r>
        <w:rPr>
          <w:color w:val="231F20"/>
          <w:w w:val="105"/>
        </w:rPr>
        <w:t>de</w:t>
      </w:r>
      <w:r>
        <w:rPr>
          <w:color w:val="231F20"/>
          <w:spacing w:val="-13"/>
          <w:w w:val="105"/>
        </w:rPr>
        <w:t> </w:t>
      </w:r>
      <w:r>
        <w:rPr>
          <w:color w:val="231F20"/>
          <w:w w:val="105"/>
        </w:rPr>
        <w:t>manera</w:t>
      </w:r>
      <w:r>
        <w:rPr>
          <w:color w:val="231F20"/>
          <w:spacing w:val="-13"/>
          <w:w w:val="105"/>
        </w:rPr>
        <w:t> </w:t>
      </w:r>
      <w:r>
        <w:rPr>
          <w:color w:val="231F20"/>
          <w:w w:val="105"/>
        </w:rPr>
        <w:t>conside- rable</w:t>
      </w:r>
      <w:r>
        <w:rPr>
          <w:color w:val="231F20"/>
          <w:spacing w:val="-14"/>
          <w:w w:val="105"/>
        </w:rPr>
        <w:t> </w:t>
      </w:r>
      <w:r>
        <w:rPr>
          <w:color w:val="231F20"/>
          <w:w w:val="105"/>
        </w:rPr>
        <w:t>en</w:t>
      </w:r>
      <w:r>
        <w:rPr>
          <w:color w:val="231F20"/>
          <w:spacing w:val="-14"/>
          <w:w w:val="105"/>
        </w:rPr>
        <w:t> </w:t>
      </w:r>
      <w:r>
        <w:rPr>
          <w:color w:val="231F20"/>
          <w:w w:val="105"/>
        </w:rPr>
        <w:t>los</w:t>
      </w:r>
      <w:r>
        <w:rPr>
          <w:color w:val="231F20"/>
          <w:spacing w:val="-14"/>
          <w:w w:val="105"/>
        </w:rPr>
        <w:t> </w:t>
      </w:r>
      <w:r>
        <w:rPr>
          <w:color w:val="231F20"/>
          <w:w w:val="105"/>
        </w:rPr>
        <w:t>últimos</w:t>
      </w:r>
      <w:r>
        <w:rPr>
          <w:color w:val="231F20"/>
          <w:spacing w:val="-14"/>
          <w:w w:val="105"/>
        </w:rPr>
        <w:t> </w:t>
      </w:r>
      <w:r>
        <w:rPr>
          <w:color w:val="231F20"/>
          <w:w w:val="105"/>
        </w:rPr>
        <w:t>decenios,</w:t>
      </w:r>
      <w:r>
        <w:rPr>
          <w:color w:val="231F20"/>
          <w:spacing w:val="-19"/>
          <w:w w:val="105"/>
        </w:rPr>
        <w:t> </w:t>
      </w:r>
      <w:r>
        <w:rPr>
          <w:color w:val="231F20"/>
          <w:w w:val="105"/>
        </w:rPr>
        <w:t>pues</w:t>
      </w:r>
      <w:r>
        <w:rPr>
          <w:color w:val="231F20"/>
          <w:spacing w:val="-14"/>
          <w:w w:val="105"/>
        </w:rPr>
        <w:t> </w:t>
      </w:r>
      <w:r>
        <w:rPr>
          <w:color w:val="231F20"/>
          <w:w w:val="105"/>
        </w:rPr>
        <w:t>en</w:t>
      </w:r>
      <w:r>
        <w:rPr>
          <w:color w:val="231F20"/>
          <w:spacing w:val="-14"/>
          <w:w w:val="105"/>
        </w:rPr>
        <w:t> </w:t>
      </w:r>
      <w:r>
        <w:rPr>
          <w:color w:val="231F20"/>
          <w:w w:val="105"/>
        </w:rPr>
        <w:t>2010</w:t>
      </w:r>
      <w:r>
        <w:rPr>
          <w:color w:val="231F20"/>
          <w:spacing w:val="-14"/>
          <w:w w:val="105"/>
        </w:rPr>
        <w:t> </w:t>
      </w:r>
      <w:r>
        <w:rPr>
          <w:color w:val="231F20"/>
          <w:w w:val="105"/>
        </w:rPr>
        <w:t>se</w:t>
      </w:r>
      <w:r>
        <w:rPr>
          <w:color w:val="231F20"/>
          <w:spacing w:val="-14"/>
          <w:w w:val="105"/>
        </w:rPr>
        <w:t> </w:t>
      </w:r>
      <w:r>
        <w:rPr>
          <w:color w:val="231F20"/>
          <w:w w:val="105"/>
        </w:rPr>
        <w:t>posicionó</w:t>
      </w:r>
      <w:r>
        <w:rPr>
          <w:color w:val="231F20"/>
          <w:spacing w:val="-14"/>
          <w:w w:val="105"/>
        </w:rPr>
        <w:t> </w:t>
      </w:r>
      <w:r>
        <w:rPr>
          <w:color w:val="231F20"/>
          <w:w w:val="105"/>
        </w:rPr>
        <w:t>como</w:t>
      </w:r>
      <w:r>
        <w:rPr>
          <w:color w:val="231F20"/>
          <w:spacing w:val="-14"/>
          <w:w w:val="105"/>
        </w:rPr>
        <w:t> </w:t>
      </w:r>
      <w:r>
        <w:rPr>
          <w:color w:val="231F20"/>
          <w:w w:val="105"/>
        </w:rPr>
        <w:t>el</w:t>
      </w:r>
      <w:r>
        <w:rPr>
          <w:color w:val="231F20"/>
          <w:spacing w:val="-14"/>
          <w:w w:val="105"/>
        </w:rPr>
        <w:t> </w:t>
      </w:r>
      <w:r>
        <w:rPr>
          <w:color w:val="231F20"/>
          <w:w w:val="105"/>
        </w:rPr>
        <w:t>cuarto estado expulsor de migrantes (contribuyó con 6% de la migración</w:t>
      </w:r>
      <w:r>
        <w:rPr>
          <w:color w:val="231F20"/>
          <w:spacing w:val="-33"/>
          <w:w w:val="105"/>
        </w:rPr>
        <w:t> </w:t>
      </w:r>
      <w:r>
        <w:rPr>
          <w:color w:val="231F20"/>
          <w:w w:val="105"/>
        </w:rPr>
        <w:t>inter- nacional en el año 2010) a pesar del descenso observado en el flujo</w:t>
      </w:r>
      <w:r>
        <w:rPr>
          <w:color w:val="231F20"/>
          <w:spacing w:val="-40"/>
          <w:w w:val="105"/>
        </w:rPr>
        <w:t> </w:t>
      </w:r>
      <w:r>
        <w:rPr>
          <w:color w:val="231F20"/>
          <w:w w:val="105"/>
        </w:rPr>
        <w:t>de población emigrante (de hombres y mujeres), que coincide con el</w:t>
      </w:r>
      <w:r>
        <w:rPr>
          <w:color w:val="231F20"/>
          <w:spacing w:val="-29"/>
          <w:w w:val="105"/>
        </w:rPr>
        <w:t> </w:t>
      </w:r>
      <w:r>
        <w:rPr>
          <w:color w:val="231F20"/>
          <w:w w:val="105"/>
        </w:rPr>
        <w:t>inicio de</w:t>
      </w:r>
      <w:r>
        <w:rPr>
          <w:color w:val="231F20"/>
          <w:spacing w:val="-14"/>
          <w:w w:val="105"/>
        </w:rPr>
        <w:t> </w:t>
      </w:r>
      <w:r>
        <w:rPr>
          <w:color w:val="231F20"/>
          <w:w w:val="105"/>
        </w:rPr>
        <w:t>la</w:t>
      </w:r>
      <w:r>
        <w:rPr>
          <w:color w:val="231F20"/>
          <w:spacing w:val="-14"/>
          <w:w w:val="105"/>
        </w:rPr>
        <w:t> </w:t>
      </w:r>
      <w:r>
        <w:rPr>
          <w:color w:val="231F20"/>
          <w:w w:val="105"/>
        </w:rPr>
        <w:t>aplicación</w:t>
      </w:r>
      <w:r>
        <w:rPr>
          <w:color w:val="231F20"/>
          <w:spacing w:val="-14"/>
          <w:w w:val="105"/>
        </w:rPr>
        <w:t> </w:t>
      </w:r>
      <w:r>
        <w:rPr>
          <w:color w:val="231F20"/>
          <w:w w:val="105"/>
        </w:rPr>
        <w:t>más</w:t>
      </w:r>
      <w:r>
        <w:rPr>
          <w:color w:val="231F20"/>
          <w:spacing w:val="-14"/>
          <w:w w:val="105"/>
        </w:rPr>
        <w:t> </w:t>
      </w:r>
      <w:r>
        <w:rPr>
          <w:color w:val="231F20"/>
          <w:w w:val="105"/>
        </w:rPr>
        <w:t>severa</w:t>
      </w:r>
      <w:r>
        <w:rPr>
          <w:color w:val="231F20"/>
          <w:spacing w:val="-14"/>
          <w:w w:val="105"/>
        </w:rPr>
        <w:t> </w:t>
      </w:r>
      <w:r>
        <w:rPr>
          <w:color w:val="231F20"/>
          <w:w w:val="105"/>
        </w:rPr>
        <w:t>de</w:t>
      </w:r>
      <w:r>
        <w:rPr>
          <w:color w:val="231F20"/>
          <w:spacing w:val="-14"/>
          <w:w w:val="105"/>
        </w:rPr>
        <w:t> </w:t>
      </w:r>
      <w:r>
        <w:rPr>
          <w:color w:val="231F20"/>
          <w:w w:val="105"/>
        </w:rPr>
        <w:t>medidas</w:t>
      </w:r>
      <w:r>
        <w:rPr>
          <w:color w:val="231F20"/>
          <w:spacing w:val="-14"/>
          <w:w w:val="105"/>
        </w:rPr>
        <w:t> </w:t>
      </w:r>
      <w:r>
        <w:rPr>
          <w:color w:val="231F20"/>
          <w:w w:val="105"/>
        </w:rPr>
        <w:t>de</w:t>
      </w:r>
      <w:r>
        <w:rPr>
          <w:color w:val="231F20"/>
          <w:spacing w:val="-14"/>
          <w:w w:val="105"/>
        </w:rPr>
        <w:t> </w:t>
      </w:r>
      <w:r>
        <w:rPr>
          <w:color w:val="231F20"/>
          <w:w w:val="105"/>
        </w:rPr>
        <w:t>control</w:t>
      </w:r>
      <w:r>
        <w:rPr>
          <w:color w:val="231F20"/>
          <w:spacing w:val="-14"/>
          <w:w w:val="105"/>
        </w:rPr>
        <w:t> </w:t>
      </w:r>
      <w:r>
        <w:rPr>
          <w:color w:val="231F20"/>
          <w:w w:val="105"/>
        </w:rPr>
        <w:t>fronterizo.</w:t>
      </w:r>
    </w:p>
    <w:p>
      <w:pPr>
        <w:pStyle w:val="BodyText"/>
        <w:spacing w:line="261" w:lineRule="auto" w:before="1"/>
        <w:ind w:left="1723" w:right="1834" w:firstLine="567"/>
        <w:jc w:val="both"/>
      </w:pPr>
      <w:r>
        <w:rPr>
          <w:color w:val="231F20"/>
          <w:w w:val="105"/>
        </w:rPr>
        <w:t>A diferencia de este descenso en el flujo de emigrantes, la po- blación migrante de retorno ha venido registrando un aumento paulati- no.</w:t>
      </w:r>
      <w:r>
        <w:rPr>
          <w:color w:val="231F20"/>
          <w:spacing w:val="-16"/>
          <w:w w:val="105"/>
        </w:rPr>
        <w:t> </w:t>
      </w:r>
      <w:r>
        <w:rPr>
          <w:color w:val="231F20"/>
          <w:w w:val="105"/>
        </w:rPr>
        <w:t>En</w:t>
      </w:r>
      <w:r>
        <w:rPr>
          <w:color w:val="231F20"/>
          <w:spacing w:val="-10"/>
          <w:w w:val="105"/>
        </w:rPr>
        <w:t> </w:t>
      </w:r>
      <w:r>
        <w:rPr>
          <w:color w:val="231F20"/>
          <w:w w:val="105"/>
        </w:rPr>
        <w:t>1990,</w:t>
      </w:r>
      <w:r>
        <w:rPr>
          <w:color w:val="231F20"/>
          <w:spacing w:val="-16"/>
          <w:w w:val="105"/>
        </w:rPr>
        <w:t> </w:t>
      </w:r>
      <w:r>
        <w:rPr>
          <w:color w:val="231F20"/>
          <w:w w:val="105"/>
        </w:rPr>
        <w:t>la</w:t>
      </w:r>
      <w:r>
        <w:rPr>
          <w:color w:val="231F20"/>
          <w:spacing w:val="-10"/>
          <w:w w:val="105"/>
        </w:rPr>
        <w:t> </w:t>
      </w:r>
      <w:r>
        <w:rPr>
          <w:color w:val="231F20"/>
          <w:w w:val="105"/>
        </w:rPr>
        <w:t>entidad</w:t>
      </w:r>
      <w:r>
        <w:rPr>
          <w:color w:val="231F20"/>
          <w:spacing w:val="-10"/>
          <w:w w:val="105"/>
        </w:rPr>
        <w:t> </w:t>
      </w:r>
      <w:r>
        <w:rPr>
          <w:color w:val="231F20"/>
          <w:w w:val="105"/>
        </w:rPr>
        <w:t>agrupaba</w:t>
      </w:r>
      <w:r>
        <w:rPr>
          <w:color w:val="231F20"/>
          <w:spacing w:val="-10"/>
          <w:w w:val="105"/>
        </w:rPr>
        <w:t> </w:t>
      </w:r>
      <w:r>
        <w:rPr>
          <w:color w:val="231F20"/>
          <w:w w:val="105"/>
        </w:rPr>
        <w:t>3.3%</w:t>
      </w:r>
      <w:r>
        <w:rPr>
          <w:color w:val="231F20"/>
          <w:spacing w:val="-10"/>
          <w:w w:val="105"/>
        </w:rPr>
        <w:t> </w:t>
      </w:r>
      <w:r>
        <w:rPr>
          <w:color w:val="231F20"/>
          <w:w w:val="105"/>
        </w:rPr>
        <w:t>del</w:t>
      </w:r>
      <w:r>
        <w:rPr>
          <w:color w:val="231F20"/>
          <w:spacing w:val="-10"/>
          <w:w w:val="105"/>
        </w:rPr>
        <w:t> </w:t>
      </w:r>
      <w:r>
        <w:rPr>
          <w:color w:val="231F20"/>
          <w:w w:val="105"/>
        </w:rPr>
        <w:t>total</w:t>
      </w:r>
      <w:r>
        <w:rPr>
          <w:color w:val="231F20"/>
          <w:spacing w:val="-10"/>
          <w:w w:val="105"/>
        </w:rPr>
        <w:t> </w:t>
      </w:r>
      <w:r>
        <w:rPr>
          <w:color w:val="231F20"/>
          <w:w w:val="105"/>
        </w:rPr>
        <w:t>de</w:t>
      </w:r>
      <w:r>
        <w:rPr>
          <w:color w:val="231F20"/>
          <w:spacing w:val="-10"/>
          <w:w w:val="105"/>
        </w:rPr>
        <w:t> </w:t>
      </w:r>
      <w:r>
        <w:rPr>
          <w:color w:val="231F20"/>
          <w:w w:val="105"/>
        </w:rPr>
        <w:t>migrantes</w:t>
      </w:r>
      <w:r>
        <w:rPr>
          <w:color w:val="231F20"/>
          <w:spacing w:val="-10"/>
          <w:w w:val="105"/>
        </w:rPr>
        <w:t> </w:t>
      </w:r>
      <w:r>
        <w:rPr>
          <w:color w:val="231F20"/>
          <w:w w:val="105"/>
        </w:rPr>
        <w:t>de</w:t>
      </w:r>
      <w:r>
        <w:rPr>
          <w:color w:val="231F20"/>
          <w:spacing w:val="-10"/>
          <w:w w:val="105"/>
        </w:rPr>
        <w:t> </w:t>
      </w:r>
      <w:r>
        <w:rPr>
          <w:color w:val="231F20"/>
          <w:w w:val="105"/>
        </w:rPr>
        <w:t>retorno del</w:t>
      </w:r>
      <w:r>
        <w:rPr>
          <w:color w:val="231F20"/>
          <w:spacing w:val="-22"/>
          <w:w w:val="105"/>
        </w:rPr>
        <w:t> </w:t>
      </w:r>
      <w:r>
        <w:rPr>
          <w:color w:val="231F20"/>
          <w:w w:val="105"/>
        </w:rPr>
        <w:t>país;</w:t>
      </w:r>
      <w:r>
        <w:rPr>
          <w:color w:val="231F20"/>
          <w:spacing w:val="-22"/>
          <w:w w:val="105"/>
        </w:rPr>
        <w:t> </w:t>
      </w:r>
      <w:r>
        <w:rPr>
          <w:color w:val="231F20"/>
          <w:w w:val="105"/>
        </w:rPr>
        <w:t>ya</w:t>
      </w:r>
      <w:r>
        <w:rPr>
          <w:color w:val="231F20"/>
          <w:spacing w:val="-22"/>
          <w:w w:val="105"/>
        </w:rPr>
        <w:t> </w:t>
      </w:r>
      <w:r>
        <w:rPr>
          <w:color w:val="231F20"/>
          <w:w w:val="105"/>
        </w:rPr>
        <w:t>en</w:t>
      </w:r>
      <w:r>
        <w:rPr>
          <w:color w:val="231F20"/>
          <w:spacing w:val="-22"/>
          <w:w w:val="105"/>
        </w:rPr>
        <w:t> </w:t>
      </w:r>
      <w:r>
        <w:rPr>
          <w:color w:val="231F20"/>
          <w:w w:val="105"/>
        </w:rPr>
        <w:t>2000</w:t>
      </w:r>
      <w:r>
        <w:rPr>
          <w:color w:val="231F20"/>
          <w:spacing w:val="-22"/>
          <w:w w:val="105"/>
        </w:rPr>
        <w:t> </w:t>
      </w:r>
      <w:r>
        <w:rPr>
          <w:color w:val="231F20"/>
          <w:w w:val="105"/>
        </w:rPr>
        <w:t>y</w:t>
      </w:r>
      <w:r>
        <w:rPr>
          <w:color w:val="231F20"/>
          <w:spacing w:val="-22"/>
          <w:w w:val="105"/>
        </w:rPr>
        <w:t> </w:t>
      </w:r>
      <w:r>
        <w:rPr>
          <w:color w:val="231F20"/>
          <w:w w:val="105"/>
        </w:rPr>
        <w:t>2010</w:t>
      </w:r>
      <w:r>
        <w:rPr>
          <w:color w:val="231F20"/>
          <w:spacing w:val="-22"/>
          <w:w w:val="105"/>
        </w:rPr>
        <w:t> </w:t>
      </w:r>
      <w:r>
        <w:rPr>
          <w:color w:val="231F20"/>
          <w:w w:val="105"/>
        </w:rPr>
        <w:t>dicho</w:t>
      </w:r>
      <w:r>
        <w:rPr>
          <w:color w:val="231F20"/>
          <w:spacing w:val="-22"/>
          <w:w w:val="105"/>
        </w:rPr>
        <w:t> </w:t>
      </w:r>
      <w:r>
        <w:rPr>
          <w:color w:val="231F20"/>
          <w:w w:val="105"/>
        </w:rPr>
        <w:t>porcentaje</w:t>
      </w:r>
      <w:r>
        <w:rPr>
          <w:color w:val="231F20"/>
          <w:spacing w:val="-22"/>
          <w:w w:val="105"/>
        </w:rPr>
        <w:t> </w:t>
      </w:r>
      <w:r>
        <w:rPr>
          <w:color w:val="231F20"/>
          <w:w w:val="105"/>
        </w:rPr>
        <w:t>se</w:t>
      </w:r>
      <w:r>
        <w:rPr>
          <w:color w:val="231F20"/>
          <w:spacing w:val="-22"/>
          <w:w w:val="105"/>
        </w:rPr>
        <w:t> </w:t>
      </w:r>
      <w:r>
        <w:rPr>
          <w:color w:val="231F20"/>
          <w:w w:val="105"/>
        </w:rPr>
        <w:t>ubicó</w:t>
      </w:r>
      <w:r>
        <w:rPr>
          <w:color w:val="231F20"/>
          <w:spacing w:val="-22"/>
          <w:w w:val="105"/>
        </w:rPr>
        <w:t> </w:t>
      </w:r>
      <w:r>
        <w:rPr>
          <w:color w:val="231F20"/>
          <w:w w:val="105"/>
        </w:rPr>
        <w:t>en</w:t>
      </w:r>
      <w:r>
        <w:rPr>
          <w:color w:val="231F20"/>
          <w:spacing w:val="17"/>
          <w:w w:val="105"/>
        </w:rPr>
        <w:t> </w:t>
      </w:r>
      <w:r>
        <w:rPr>
          <w:color w:val="231F20"/>
          <w:w w:val="105"/>
        </w:rPr>
        <w:t>4.7%</w:t>
      </w:r>
      <w:r>
        <w:rPr>
          <w:color w:val="231F20"/>
          <w:spacing w:val="-22"/>
          <w:w w:val="105"/>
        </w:rPr>
        <w:t> </w:t>
      </w:r>
      <w:r>
        <w:rPr>
          <w:color w:val="231F20"/>
          <w:w w:val="105"/>
        </w:rPr>
        <w:t>y</w:t>
      </w:r>
      <w:r>
        <w:rPr>
          <w:color w:val="231F20"/>
          <w:spacing w:val="-22"/>
          <w:w w:val="105"/>
        </w:rPr>
        <w:t> </w:t>
      </w:r>
      <w:r>
        <w:rPr>
          <w:color w:val="231F20"/>
          <w:w w:val="105"/>
        </w:rPr>
        <w:t>5.6%</w:t>
      </w:r>
      <w:r>
        <w:rPr>
          <w:color w:val="231F20"/>
          <w:spacing w:val="-22"/>
          <w:w w:val="105"/>
        </w:rPr>
        <w:t> </w:t>
      </w:r>
      <w:r>
        <w:rPr>
          <w:color w:val="231F20"/>
          <w:w w:val="105"/>
        </w:rPr>
        <w:t>del total.</w:t>
      </w:r>
      <w:r>
        <w:rPr>
          <w:color w:val="231F20"/>
          <w:spacing w:val="-19"/>
          <w:w w:val="105"/>
        </w:rPr>
        <w:t> </w:t>
      </w:r>
      <w:r>
        <w:rPr>
          <w:color w:val="231F20"/>
          <w:w w:val="105"/>
        </w:rPr>
        <w:t>Es</w:t>
      </w:r>
      <w:r>
        <w:rPr>
          <w:color w:val="231F20"/>
          <w:spacing w:val="-14"/>
          <w:w w:val="105"/>
        </w:rPr>
        <w:t> </w:t>
      </w:r>
      <w:r>
        <w:rPr>
          <w:color w:val="231F20"/>
          <w:w w:val="105"/>
        </w:rPr>
        <w:t>decir,</w:t>
      </w:r>
      <w:r>
        <w:rPr>
          <w:color w:val="231F20"/>
          <w:spacing w:val="-19"/>
          <w:w w:val="105"/>
        </w:rPr>
        <w:t> </w:t>
      </w:r>
      <w:r>
        <w:rPr>
          <w:color w:val="231F20"/>
          <w:w w:val="105"/>
        </w:rPr>
        <w:t>ocurrió</w:t>
      </w:r>
      <w:r>
        <w:rPr>
          <w:color w:val="231F20"/>
          <w:spacing w:val="-14"/>
          <w:w w:val="105"/>
        </w:rPr>
        <w:t> </w:t>
      </w:r>
      <w:r>
        <w:rPr>
          <w:color w:val="231F20"/>
          <w:w w:val="105"/>
        </w:rPr>
        <w:t>un</w:t>
      </w:r>
      <w:r>
        <w:rPr>
          <w:color w:val="231F20"/>
          <w:spacing w:val="-14"/>
          <w:w w:val="105"/>
        </w:rPr>
        <w:t> </w:t>
      </w:r>
      <w:r>
        <w:rPr>
          <w:color w:val="231F20"/>
          <w:w w:val="105"/>
        </w:rPr>
        <w:t>incremento</w:t>
      </w:r>
      <w:r>
        <w:rPr>
          <w:color w:val="231F20"/>
          <w:spacing w:val="-14"/>
          <w:w w:val="105"/>
        </w:rPr>
        <w:t> </w:t>
      </w:r>
      <w:r>
        <w:rPr>
          <w:color w:val="231F20"/>
          <w:w w:val="105"/>
        </w:rPr>
        <w:t>de</w:t>
      </w:r>
      <w:r>
        <w:rPr>
          <w:color w:val="231F20"/>
          <w:spacing w:val="-14"/>
          <w:w w:val="105"/>
        </w:rPr>
        <w:t> </w:t>
      </w:r>
      <w:r>
        <w:rPr>
          <w:color w:val="231F20"/>
          <w:w w:val="105"/>
        </w:rPr>
        <w:t>2.3</w:t>
      </w:r>
      <w:r>
        <w:rPr>
          <w:color w:val="231F20"/>
          <w:spacing w:val="-14"/>
          <w:w w:val="105"/>
        </w:rPr>
        <w:t> </w:t>
      </w:r>
      <w:r>
        <w:rPr>
          <w:color w:val="231F20"/>
          <w:w w:val="105"/>
        </w:rPr>
        <w:t>puntos</w:t>
      </w:r>
      <w:r>
        <w:rPr>
          <w:color w:val="231F20"/>
          <w:spacing w:val="-14"/>
          <w:w w:val="105"/>
        </w:rPr>
        <w:t> </w:t>
      </w:r>
      <w:r>
        <w:rPr>
          <w:color w:val="231F20"/>
          <w:w w:val="105"/>
        </w:rPr>
        <w:t>porcentuales.</w:t>
      </w:r>
    </w:p>
    <w:p>
      <w:pPr>
        <w:pStyle w:val="BodyText"/>
        <w:spacing w:line="261" w:lineRule="auto" w:before="1"/>
        <w:ind w:left="1723" w:right="1832" w:firstLine="567"/>
        <w:jc w:val="both"/>
      </w:pPr>
      <w:r>
        <w:rPr>
          <w:color w:val="231F20"/>
          <w:w w:val="105"/>
        </w:rPr>
        <w:t>Aunque el incremento en términos relativos pudiera parecer</w:t>
      </w:r>
      <w:r>
        <w:rPr>
          <w:color w:val="231F20"/>
          <w:spacing w:val="-31"/>
          <w:w w:val="105"/>
        </w:rPr>
        <w:t> </w:t>
      </w:r>
      <w:r>
        <w:rPr>
          <w:color w:val="231F20"/>
          <w:w w:val="105"/>
        </w:rPr>
        <w:t>poco significativo, los números absolutos señalan lo contrario, en 1990, el estado registró poco más de 4 000 migrantes de retorno, de quienes declararon</w:t>
      </w:r>
      <w:r>
        <w:rPr>
          <w:color w:val="231F20"/>
          <w:spacing w:val="-11"/>
          <w:w w:val="105"/>
        </w:rPr>
        <w:t> </w:t>
      </w:r>
      <w:r>
        <w:rPr>
          <w:color w:val="231F20"/>
          <w:w w:val="105"/>
        </w:rPr>
        <w:t>haber</w:t>
      </w:r>
      <w:r>
        <w:rPr>
          <w:color w:val="231F20"/>
          <w:spacing w:val="-11"/>
          <w:w w:val="105"/>
        </w:rPr>
        <w:t> </w:t>
      </w:r>
      <w:r>
        <w:rPr>
          <w:color w:val="231F20"/>
          <w:w w:val="105"/>
        </w:rPr>
        <w:t>vivido</w:t>
      </w:r>
      <w:r>
        <w:rPr>
          <w:color w:val="231F20"/>
          <w:spacing w:val="-11"/>
          <w:w w:val="105"/>
        </w:rPr>
        <w:t> </w:t>
      </w:r>
      <w:r>
        <w:rPr>
          <w:color w:val="231F20"/>
          <w:w w:val="105"/>
        </w:rPr>
        <w:t>5</w:t>
      </w:r>
      <w:r>
        <w:rPr>
          <w:color w:val="231F20"/>
          <w:spacing w:val="-11"/>
          <w:w w:val="105"/>
        </w:rPr>
        <w:t> </w:t>
      </w:r>
      <w:r>
        <w:rPr>
          <w:color w:val="231F20"/>
          <w:w w:val="105"/>
        </w:rPr>
        <w:t>años</w:t>
      </w:r>
      <w:r>
        <w:rPr>
          <w:color w:val="231F20"/>
          <w:spacing w:val="-11"/>
          <w:w w:val="105"/>
        </w:rPr>
        <w:t> </w:t>
      </w:r>
      <w:r>
        <w:rPr>
          <w:color w:val="231F20"/>
          <w:w w:val="105"/>
        </w:rPr>
        <w:t>antes</w:t>
      </w:r>
      <w:r>
        <w:rPr>
          <w:color w:val="231F20"/>
          <w:spacing w:val="-11"/>
          <w:w w:val="105"/>
        </w:rPr>
        <w:t> </w:t>
      </w:r>
      <w:r>
        <w:rPr>
          <w:color w:val="231F20"/>
          <w:w w:val="105"/>
        </w:rPr>
        <w:t>del</w:t>
      </w:r>
      <w:r>
        <w:rPr>
          <w:color w:val="231F20"/>
          <w:spacing w:val="-11"/>
          <w:w w:val="105"/>
        </w:rPr>
        <w:t> </w:t>
      </w:r>
      <w:r>
        <w:rPr>
          <w:color w:val="231F20"/>
          <w:w w:val="105"/>
        </w:rPr>
        <w:t>levantamiento</w:t>
      </w:r>
      <w:r>
        <w:rPr>
          <w:color w:val="231F20"/>
          <w:spacing w:val="-11"/>
          <w:w w:val="105"/>
        </w:rPr>
        <w:t> </w:t>
      </w:r>
      <w:r>
        <w:rPr>
          <w:color w:val="231F20"/>
          <w:w w:val="105"/>
        </w:rPr>
        <w:t>en</w:t>
      </w:r>
      <w:r>
        <w:rPr>
          <w:color w:val="231F20"/>
          <w:spacing w:val="-11"/>
          <w:w w:val="105"/>
        </w:rPr>
        <w:t> </w:t>
      </w:r>
      <w:r>
        <w:rPr>
          <w:color w:val="231F20"/>
          <w:w w:val="105"/>
        </w:rPr>
        <w:t>Estados</w:t>
      </w:r>
      <w:r>
        <w:rPr>
          <w:color w:val="231F20"/>
          <w:spacing w:val="-11"/>
          <w:w w:val="105"/>
        </w:rPr>
        <w:t> </w:t>
      </w:r>
      <w:r>
        <w:rPr>
          <w:color w:val="231F20"/>
          <w:w w:val="105"/>
        </w:rPr>
        <w:t>Uni- dos,</w:t>
      </w:r>
      <w:r>
        <w:rPr>
          <w:color w:val="231F20"/>
          <w:spacing w:val="-9"/>
          <w:w w:val="105"/>
        </w:rPr>
        <w:t> </w:t>
      </w:r>
      <w:r>
        <w:rPr>
          <w:color w:val="231F20"/>
          <w:w w:val="105"/>
        </w:rPr>
        <w:t>cifra</w:t>
      </w:r>
      <w:r>
        <w:rPr>
          <w:color w:val="231F20"/>
          <w:spacing w:val="-2"/>
          <w:w w:val="105"/>
        </w:rPr>
        <w:t> </w:t>
      </w:r>
      <w:r>
        <w:rPr>
          <w:color w:val="231F20"/>
          <w:w w:val="105"/>
        </w:rPr>
        <w:t>que</w:t>
      </w:r>
      <w:r>
        <w:rPr>
          <w:color w:val="231F20"/>
          <w:spacing w:val="-2"/>
          <w:w w:val="105"/>
        </w:rPr>
        <w:t> </w:t>
      </w:r>
      <w:r>
        <w:rPr>
          <w:color w:val="231F20"/>
          <w:w w:val="105"/>
        </w:rPr>
        <w:t>aumentó</w:t>
      </w:r>
      <w:r>
        <w:rPr>
          <w:color w:val="231F20"/>
          <w:spacing w:val="-2"/>
          <w:w w:val="105"/>
        </w:rPr>
        <w:t> </w:t>
      </w:r>
      <w:r>
        <w:rPr>
          <w:color w:val="231F20"/>
          <w:w w:val="105"/>
        </w:rPr>
        <w:t>a</w:t>
      </w:r>
      <w:r>
        <w:rPr>
          <w:color w:val="231F20"/>
          <w:spacing w:val="-2"/>
          <w:w w:val="105"/>
        </w:rPr>
        <w:t> </w:t>
      </w:r>
      <w:r>
        <w:rPr>
          <w:color w:val="231F20"/>
          <w:w w:val="105"/>
        </w:rPr>
        <w:t>poco</w:t>
      </w:r>
      <w:r>
        <w:rPr>
          <w:color w:val="231F20"/>
          <w:spacing w:val="-2"/>
          <w:w w:val="105"/>
        </w:rPr>
        <w:t> </w:t>
      </w:r>
      <w:r>
        <w:rPr>
          <w:color w:val="231F20"/>
          <w:w w:val="105"/>
        </w:rPr>
        <w:t>menos</w:t>
      </w:r>
      <w:r>
        <w:rPr>
          <w:color w:val="231F20"/>
          <w:spacing w:val="-2"/>
          <w:w w:val="105"/>
        </w:rPr>
        <w:t> </w:t>
      </w:r>
      <w:r>
        <w:rPr>
          <w:color w:val="231F20"/>
          <w:w w:val="105"/>
        </w:rPr>
        <w:t>de</w:t>
      </w:r>
      <w:r>
        <w:rPr>
          <w:color w:val="231F20"/>
          <w:spacing w:val="-2"/>
          <w:w w:val="105"/>
        </w:rPr>
        <w:t> </w:t>
      </w:r>
      <w:r>
        <w:rPr>
          <w:color w:val="231F20"/>
          <w:w w:val="105"/>
        </w:rPr>
        <w:t>13</w:t>
      </w:r>
      <w:r>
        <w:rPr>
          <w:color w:val="231F20"/>
          <w:spacing w:val="-2"/>
          <w:w w:val="105"/>
        </w:rPr>
        <w:t> </w:t>
      </w:r>
      <w:r>
        <w:rPr>
          <w:color w:val="231F20"/>
          <w:w w:val="105"/>
        </w:rPr>
        <w:t>mil</w:t>
      </w:r>
      <w:r>
        <w:rPr>
          <w:color w:val="231F20"/>
          <w:spacing w:val="-2"/>
          <w:w w:val="105"/>
        </w:rPr>
        <w:t> </w:t>
      </w:r>
      <w:r>
        <w:rPr>
          <w:color w:val="231F20"/>
          <w:w w:val="105"/>
        </w:rPr>
        <w:t>en</w:t>
      </w:r>
      <w:r>
        <w:rPr>
          <w:color w:val="231F20"/>
          <w:spacing w:val="-2"/>
          <w:w w:val="105"/>
        </w:rPr>
        <w:t> </w:t>
      </w:r>
      <w:r>
        <w:rPr>
          <w:color w:val="231F20"/>
          <w:w w:val="105"/>
        </w:rPr>
        <w:t>el</w:t>
      </w:r>
      <w:r>
        <w:rPr>
          <w:color w:val="231F20"/>
          <w:spacing w:val="-2"/>
          <w:w w:val="105"/>
        </w:rPr>
        <w:t> </w:t>
      </w:r>
      <w:r>
        <w:rPr>
          <w:color w:val="231F20"/>
          <w:w w:val="105"/>
        </w:rPr>
        <w:t>año</w:t>
      </w:r>
      <w:r>
        <w:rPr>
          <w:color w:val="231F20"/>
          <w:spacing w:val="-2"/>
          <w:w w:val="105"/>
        </w:rPr>
        <w:t> </w:t>
      </w:r>
      <w:r>
        <w:rPr>
          <w:color w:val="231F20"/>
          <w:w w:val="105"/>
        </w:rPr>
        <w:t>2000.</w:t>
      </w:r>
      <w:r>
        <w:rPr>
          <w:color w:val="231F20"/>
          <w:spacing w:val="-9"/>
          <w:w w:val="105"/>
        </w:rPr>
        <w:t> </w:t>
      </w:r>
      <w:r>
        <w:rPr>
          <w:color w:val="231F20"/>
          <w:w w:val="105"/>
        </w:rPr>
        <w:t>El</w:t>
      </w:r>
      <w:r>
        <w:rPr>
          <w:color w:val="231F20"/>
          <w:spacing w:val="-2"/>
          <w:w w:val="105"/>
        </w:rPr>
        <w:t> </w:t>
      </w:r>
      <w:r>
        <w:rPr>
          <w:color w:val="231F20"/>
          <w:w w:val="105"/>
        </w:rPr>
        <w:t>gran incremento</w:t>
      </w:r>
      <w:r>
        <w:rPr>
          <w:color w:val="231F20"/>
          <w:spacing w:val="-20"/>
          <w:w w:val="105"/>
        </w:rPr>
        <w:t> </w:t>
      </w:r>
      <w:r>
        <w:rPr>
          <w:color w:val="231F20"/>
          <w:w w:val="105"/>
        </w:rPr>
        <w:t>se</w:t>
      </w:r>
      <w:r>
        <w:rPr>
          <w:color w:val="231F20"/>
          <w:spacing w:val="-20"/>
          <w:w w:val="105"/>
        </w:rPr>
        <w:t> </w:t>
      </w:r>
      <w:r>
        <w:rPr>
          <w:color w:val="231F20"/>
          <w:w w:val="105"/>
        </w:rPr>
        <w:t>dio</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últimos</w:t>
      </w:r>
      <w:r>
        <w:rPr>
          <w:color w:val="231F20"/>
          <w:spacing w:val="-20"/>
          <w:w w:val="105"/>
        </w:rPr>
        <w:t> </w:t>
      </w:r>
      <w:r>
        <w:rPr>
          <w:color w:val="231F20"/>
          <w:w w:val="105"/>
        </w:rPr>
        <w:t>años,</w:t>
      </w:r>
      <w:r>
        <w:rPr>
          <w:color w:val="231F20"/>
          <w:spacing w:val="-26"/>
          <w:w w:val="105"/>
        </w:rPr>
        <w:t> </w:t>
      </w:r>
      <w:r>
        <w:rPr>
          <w:color w:val="231F20"/>
          <w:w w:val="105"/>
        </w:rPr>
        <w:t>cuando</w:t>
      </w:r>
      <w:r>
        <w:rPr>
          <w:color w:val="231F20"/>
          <w:spacing w:val="-20"/>
          <w:w w:val="105"/>
        </w:rPr>
        <w:t> </w:t>
      </w:r>
      <w:r>
        <w:rPr>
          <w:color w:val="231F20"/>
          <w:w w:val="105"/>
        </w:rPr>
        <w:t>se</w:t>
      </w:r>
      <w:r>
        <w:rPr>
          <w:color w:val="231F20"/>
          <w:spacing w:val="-20"/>
          <w:w w:val="105"/>
        </w:rPr>
        <w:t> </w:t>
      </w:r>
      <w:r>
        <w:rPr>
          <w:color w:val="231F20"/>
          <w:w w:val="105"/>
        </w:rPr>
        <w:t>registró</w:t>
      </w:r>
      <w:r>
        <w:rPr>
          <w:color w:val="231F20"/>
          <w:spacing w:val="-20"/>
          <w:w w:val="105"/>
        </w:rPr>
        <w:t> </w:t>
      </w:r>
      <w:r>
        <w:rPr>
          <w:color w:val="231F20"/>
          <w:w w:val="105"/>
        </w:rPr>
        <w:t>la</w:t>
      </w:r>
      <w:r>
        <w:rPr>
          <w:color w:val="231F20"/>
          <w:spacing w:val="-20"/>
          <w:w w:val="105"/>
        </w:rPr>
        <w:t> </w:t>
      </w:r>
      <w:r>
        <w:rPr>
          <w:color w:val="231F20"/>
          <w:w w:val="105"/>
        </w:rPr>
        <w:t>presencia</w:t>
      </w:r>
      <w:r>
        <w:rPr>
          <w:color w:val="231F20"/>
          <w:spacing w:val="-20"/>
          <w:w w:val="105"/>
        </w:rPr>
        <w:t> </w:t>
      </w:r>
      <w:r>
        <w:rPr>
          <w:color w:val="231F20"/>
          <w:w w:val="105"/>
        </w:rPr>
        <w:t>de casi</w:t>
      </w:r>
      <w:r>
        <w:rPr>
          <w:color w:val="231F20"/>
          <w:spacing w:val="-21"/>
          <w:w w:val="105"/>
        </w:rPr>
        <w:t> </w:t>
      </w:r>
      <w:r>
        <w:rPr>
          <w:color w:val="231F20"/>
          <w:w w:val="105"/>
        </w:rPr>
        <w:t>52</w:t>
      </w:r>
      <w:r>
        <w:rPr>
          <w:color w:val="231F20"/>
          <w:spacing w:val="-21"/>
          <w:w w:val="105"/>
        </w:rPr>
        <w:t> </w:t>
      </w:r>
      <w:r>
        <w:rPr>
          <w:color w:val="231F20"/>
          <w:w w:val="105"/>
        </w:rPr>
        <w:t>000</w:t>
      </w:r>
      <w:r>
        <w:rPr>
          <w:color w:val="231F20"/>
          <w:spacing w:val="-21"/>
          <w:w w:val="105"/>
        </w:rPr>
        <w:t> </w:t>
      </w:r>
      <w:r>
        <w:rPr>
          <w:color w:val="231F20"/>
          <w:w w:val="105"/>
        </w:rPr>
        <w:t>migrantes</w:t>
      </w:r>
      <w:r>
        <w:rPr>
          <w:color w:val="231F20"/>
          <w:spacing w:val="-21"/>
          <w:w w:val="105"/>
        </w:rPr>
        <w:t> </w:t>
      </w:r>
      <w:r>
        <w:rPr>
          <w:color w:val="231F20"/>
          <w:w w:val="105"/>
        </w:rPr>
        <w:t>de</w:t>
      </w:r>
      <w:r>
        <w:rPr>
          <w:color w:val="231F20"/>
          <w:spacing w:val="-21"/>
          <w:w w:val="105"/>
        </w:rPr>
        <w:t> </w:t>
      </w:r>
      <w:r>
        <w:rPr>
          <w:color w:val="231F20"/>
          <w:w w:val="105"/>
        </w:rPr>
        <w:t>retorno</w:t>
      </w:r>
      <w:r>
        <w:rPr>
          <w:color w:val="231F20"/>
          <w:spacing w:val="-21"/>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spacing w:val="-4"/>
          <w:w w:val="105"/>
        </w:rPr>
        <w:t>Estado</w:t>
      </w:r>
      <w:r>
        <w:rPr>
          <w:color w:val="231F20"/>
          <w:spacing w:val="-26"/>
          <w:w w:val="105"/>
        </w:rPr>
        <w:t> </w:t>
      </w:r>
      <w:r>
        <w:rPr>
          <w:color w:val="231F20"/>
          <w:w w:val="105"/>
        </w:rPr>
        <w:t>de</w:t>
      </w:r>
      <w:r>
        <w:rPr>
          <w:color w:val="231F20"/>
          <w:spacing w:val="-26"/>
          <w:w w:val="105"/>
        </w:rPr>
        <w:t> </w:t>
      </w:r>
      <w:r>
        <w:rPr>
          <w:color w:val="231F20"/>
          <w:spacing w:val="-4"/>
          <w:w w:val="105"/>
        </w:rPr>
        <w:t>México</w:t>
      </w:r>
      <w:r>
        <w:rPr>
          <w:color w:val="231F20"/>
          <w:spacing w:val="-26"/>
          <w:w w:val="105"/>
        </w:rPr>
        <w:t> </w:t>
      </w:r>
      <w:r>
        <w:rPr>
          <w:color w:val="231F20"/>
          <w:spacing w:val="-4"/>
          <w:w w:val="105"/>
        </w:rPr>
        <w:t>(veáse</w:t>
      </w:r>
      <w:r>
        <w:rPr>
          <w:color w:val="231F20"/>
          <w:spacing w:val="-26"/>
          <w:w w:val="105"/>
        </w:rPr>
        <w:t> </w:t>
      </w:r>
      <w:r>
        <w:rPr>
          <w:color w:val="231F20"/>
          <w:spacing w:val="-4"/>
          <w:w w:val="105"/>
        </w:rPr>
        <w:t>gráfica</w:t>
      </w:r>
      <w:r>
        <w:rPr>
          <w:color w:val="231F20"/>
          <w:spacing w:val="-26"/>
          <w:w w:val="105"/>
        </w:rPr>
        <w:t> </w:t>
      </w:r>
      <w:r>
        <w:rPr>
          <w:color w:val="231F20"/>
          <w:spacing w:val="-4"/>
          <w:w w:val="105"/>
        </w:rPr>
        <w:t>2), </w:t>
      </w:r>
      <w:r>
        <w:rPr>
          <w:color w:val="231F20"/>
          <w:w w:val="105"/>
        </w:rPr>
        <w:t>cuatro</w:t>
      </w:r>
      <w:r>
        <w:rPr>
          <w:color w:val="231F20"/>
          <w:spacing w:val="-4"/>
          <w:w w:val="105"/>
        </w:rPr>
        <w:t> </w:t>
      </w:r>
      <w:r>
        <w:rPr>
          <w:color w:val="231F20"/>
          <w:w w:val="105"/>
        </w:rPr>
        <w:t>veces</w:t>
      </w:r>
      <w:r>
        <w:rPr>
          <w:color w:val="231F20"/>
          <w:spacing w:val="-4"/>
          <w:w w:val="105"/>
        </w:rPr>
        <w:t> </w:t>
      </w:r>
      <w:r>
        <w:rPr>
          <w:color w:val="231F20"/>
          <w:w w:val="105"/>
        </w:rPr>
        <w:t>más</w:t>
      </w:r>
      <w:r>
        <w:rPr>
          <w:color w:val="231F20"/>
          <w:spacing w:val="-4"/>
          <w:w w:val="105"/>
        </w:rPr>
        <w:t> </w:t>
      </w:r>
      <w:r>
        <w:rPr>
          <w:color w:val="231F20"/>
          <w:w w:val="105"/>
        </w:rPr>
        <w:t>que</w:t>
      </w:r>
      <w:r>
        <w:rPr>
          <w:color w:val="231F20"/>
          <w:spacing w:val="-4"/>
          <w:w w:val="105"/>
        </w:rPr>
        <w:t> </w:t>
      </w:r>
      <w:r>
        <w:rPr>
          <w:color w:val="231F20"/>
          <w:w w:val="105"/>
        </w:rPr>
        <w:t>el</w:t>
      </w:r>
      <w:r>
        <w:rPr>
          <w:color w:val="231F20"/>
          <w:spacing w:val="-4"/>
          <w:w w:val="105"/>
        </w:rPr>
        <w:t> </w:t>
      </w:r>
      <w:r>
        <w:rPr>
          <w:color w:val="231F20"/>
          <w:w w:val="105"/>
        </w:rPr>
        <w:t>valor</w:t>
      </w:r>
      <w:r>
        <w:rPr>
          <w:color w:val="231F20"/>
          <w:spacing w:val="-4"/>
          <w:w w:val="105"/>
        </w:rPr>
        <w:t> </w:t>
      </w:r>
      <w:r>
        <w:rPr>
          <w:color w:val="231F20"/>
          <w:w w:val="105"/>
        </w:rPr>
        <w:t>observado</w:t>
      </w:r>
      <w:r>
        <w:rPr>
          <w:color w:val="231F20"/>
          <w:spacing w:val="-4"/>
          <w:w w:val="105"/>
        </w:rPr>
        <w:t> </w:t>
      </w:r>
      <w:r>
        <w:rPr>
          <w:color w:val="231F20"/>
          <w:w w:val="105"/>
        </w:rPr>
        <w:t>diez</w:t>
      </w:r>
      <w:r>
        <w:rPr>
          <w:color w:val="231F20"/>
          <w:spacing w:val="-4"/>
          <w:w w:val="105"/>
        </w:rPr>
        <w:t> </w:t>
      </w:r>
      <w:r>
        <w:rPr>
          <w:color w:val="231F20"/>
          <w:w w:val="105"/>
        </w:rPr>
        <w:t>años</w:t>
      </w:r>
      <w:r>
        <w:rPr>
          <w:color w:val="231F20"/>
          <w:spacing w:val="-4"/>
          <w:w w:val="105"/>
        </w:rPr>
        <w:t> </w:t>
      </w:r>
      <w:r>
        <w:rPr>
          <w:color w:val="231F20"/>
          <w:w w:val="105"/>
        </w:rPr>
        <w:t>antes,</w:t>
      </w:r>
      <w:r>
        <w:rPr>
          <w:color w:val="231F20"/>
          <w:spacing w:val="-9"/>
          <w:w w:val="105"/>
        </w:rPr>
        <w:t> </w:t>
      </w:r>
      <w:r>
        <w:rPr>
          <w:color w:val="231F20"/>
          <w:w w:val="105"/>
        </w:rPr>
        <w:t>y</w:t>
      </w:r>
      <w:r>
        <w:rPr>
          <w:color w:val="231F20"/>
          <w:spacing w:val="-4"/>
          <w:w w:val="105"/>
        </w:rPr>
        <w:t> </w:t>
      </w:r>
      <w:r>
        <w:rPr>
          <w:color w:val="231F20"/>
          <w:w w:val="105"/>
        </w:rPr>
        <w:t>13.5</w:t>
      </w:r>
      <w:r>
        <w:rPr>
          <w:color w:val="231F20"/>
          <w:spacing w:val="-4"/>
          <w:w w:val="105"/>
        </w:rPr>
        <w:t> </w:t>
      </w:r>
      <w:r>
        <w:rPr>
          <w:color w:val="231F20"/>
          <w:w w:val="105"/>
        </w:rPr>
        <w:t>veces mayor</w:t>
      </w:r>
      <w:r>
        <w:rPr>
          <w:color w:val="231F20"/>
          <w:spacing w:val="-10"/>
          <w:w w:val="105"/>
        </w:rPr>
        <w:t> </w:t>
      </w:r>
      <w:r>
        <w:rPr>
          <w:color w:val="231F20"/>
          <w:w w:val="105"/>
        </w:rPr>
        <w:t>al</w:t>
      </w:r>
      <w:r>
        <w:rPr>
          <w:color w:val="231F20"/>
          <w:spacing w:val="-10"/>
          <w:w w:val="105"/>
        </w:rPr>
        <w:t> </w:t>
      </w:r>
      <w:r>
        <w:rPr>
          <w:color w:val="231F20"/>
          <w:w w:val="105"/>
        </w:rPr>
        <w:t>observado</w:t>
      </w:r>
      <w:r>
        <w:rPr>
          <w:color w:val="231F20"/>
          <w:spacing w:val="-10"/>
          <w:w w:val="105"/>
        </w:rPr>
        <w:t> </w:t>
      </w:r>
      <w:r>
        <w:rPr>
          <w:color w:val="231F20"/>
          <w:w w:val="105"/>
        </w:rPr>
        <w:t>a</w:t>
      </w:r>
      <w:r>
        <w:rPr>
          <w:color w:val="231F20"/>
          <w:spacing w:val="-10"/>
          <w:w w:val="105"/>
        </w:rPr>
        <w:t> </w:t>
      </w:r>
      <w:r>
        <w:rPr>
          <w:color w:val="231F20"/>
          <w:w w:val="105"/>
        </w:rPr>
        <w:t>principios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década</w:t>
      </w:r>
      <w:r>
        <w:rPr>
          <w:color w:val="231F20"/>
          <w:spacing w:val="-10"/>
          <w:w w:val="105"/>
        </w:rPr>
        <w:t> </w:t>
      </w:r>
      <w:r>
        <w:rPr>
          <w:color w:val="231F20"/>
          <w:w w:val="105"/>
        </w:rPr>
        <w:t>de</w:t>
      </w:r>
      <w:r>
        <w:rPr>
          <w:color w:val="231F20"/>
          <w:spacing w:val="-10"/>
          <w:w w:val="105"/>
        </w:rPr>
        <w:t> </w:t>
      </w:r>
      <w:r>
        <w:rPr>
          <w:color w:val="231F20"/>
          <w:w w:val="105"/>
        </w:rPr>
        <w:t>1990.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57864" from="131.551193pt,.203715pt" to="131.551193pt,36.006114pt" stroked="true" strokeweight=".35pt" strokecolor="#231f20">
            <w10:wrap type="none"/>
          </v:line>
        </w:pict>
      </w:r>
      <w:r>
        <w:rPr/>
        <w:pict>
          <v:line style="position:absolute;mso-position-horizontal-relative:page;mso-position-vertical-relative:paragraph;z-index:-457672" from="15pt,36.005917pt" to="0pt,36.005917pt" stroked="true" strokeweight=".25pt" strokecolor="#000000">
            <w10:wrap type="none"/>
          </v:line>
        </w:pict>
      </w:r>
      <w:r>
        <w:rPr/>
        <w:pict>
          <v:line style="position:absolute;mso-position-horizontal-relative:page;mso-position-vertical-relative:paragraph;z-index:32536" from="508.890015pt,36.005917pt" to="523.890015pt,36.005917pt" stroked="true" strokeweight=".25pt" strokecolor="#000000">
            <w10:wrap type="none"/>
          </v:line>
        </w:pict>
      </w:r>
      <w:r>
        <w:rPr>
          <w:rFonts w:ascii="Arial" w:hAnsi="Arial"/>
          <w:color w:val="414042"/>
          <w:position w:val="-5"/>
          <w:sz w:val="20"/>
        </w:rPr>
        <w:t>268</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2560" from="405.061005pt,-27.904295pt" to="405.061005pt,6.961579pt" stroked="true" strokeweight=".35pt" strokecolor="#231f20">
            <w10:wrap type="none"/>
          </v:line>
        </w:pict>
      </w:r>
      <w:r>
        <w:rPr/>
        <w:pict>
          <v:line style="position:absolute;mso-position-horizontal-relative:page;mso-position-vertical-relative:paragraph;z-index:32944" from="15pt,-27.90452pt" to="0pt,-27.90452pt" stroked="true" strokeweight=".25pt" strokecolor="#000000">
            <w10:wrap type="none"/>
          </v:line>
        </w:pict>
      </w:r>
      <w:r>
        <w:rPr/>
        <w:pict>
          <v:line style="position:absolute;mso-position-horizontal-relative:page;mso-position-vertical-relative:paragraph;z-index:32968"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269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9"/>
        <w:rPr>
          <w:rFonts w:ascii="Arial"/>
          <w:sz w:val="15"/>
        </w:rPr>
      </w:pPr>
    </w:p>
    <w:p>
      <w:pPr>
        <w:spacing w:line="249" w:lineRule="auto" w:before="63"/>
        <w:ind w:left="4077" w:right="2089" w:hanging="1779"/>
        <w:jc w:val="left"/>
        <w:rPr>
          <w:rFonts w:ascii="Arial" w:hAnsi="Arial"/>
          <w:sz w:val="18"/>
        </w:rPr>
      </w:pPr>
      <w:r>
        <w:rPr>
          <w:rFonts w:ascii="Arial" w:hAnsi="Arial"/>
          <w:color w:val="231F20"/>
          <w:w w:val="105"/>
          <w:sz w:val="18"/>
        </w:rPr>
        <w:t>Gráfica 2. Proporción de la población total y de los migrantes de retorno, Estado de México 1990-2010</w:t>
      </w:r>
    </w:p>
    <w:p>
      <w:pPr>
        <w:pStyle w:val="BodyText"/>
        <w:spacing w:before="8"/>
        <w:rPr>
          <w:rFonts w:ascii="Arial"/>
          <w:sz w:val="14"/>
        </w:rPr>
      </w:pPr>
    </w:p>
    <w:p>
      <w:pPr>
        <w:tabs>
          <w:tab w:pos="5440" w:val="left" w:leader="none"/>
        </w:tabs>
        <w:spacing w:before="1"/>
        <w:ind w:left="0" w:right="2126" w:firstLine="0"/>
        <w:jc w:val="right"/>
        <w:rPr>
          <w:rFonts w:ascii="Arial"/>
          <w:sz w:val="11"/>
        </w:rPr>
      </w:pPr>
      <w:r>
        <w:rPr/>
        <w:pict>
          <v:line style="position:absolute;mso-position-horizontal-relative:page;mso-position-vertical-relative:paragraph;z-index:-457336" from="139.294205pt,2.898041pt" to="395.442205pt,2.898041pt" stroked="true" strokeweight=".367pt" strokecolor="#e2e3e4">
            <w10:wrap type="none"/>
          </v:line>
        </w:pict>
      </w:r>
      <w:r>
        <w:rPr>
          <w:rFonts w:ascii="Arial"/>
          <w:color w:val="231F20"/>
          <w:w w:val="110"/>
          <w:sz w:val="11"/>
        </w:rPr>
        <w:t>16</w:t>
        <w:tab/>
        <w:t>60000</w:t>
      </w:r>
    </w:p>
    <w:p>
      <w:pPr>
        <w:pStyle w:val="BodyText"/>
        <w:rPr>
          <w:rFonts w:ascii="Arial"/>
          <w:sz w:val="12"/>
        </w:rPr>
      </w:pPr>
    </w:p>
    <w:p>
      <w:pPr>
        <w:pStyle w:val="BodyText"/>
        <w:spacing w:before="5"/>
        <w:rPr>
          <w:rFonts w:ascii="Arial"/>
          <w:sz w:val="12"/>
        </w:rPr>
      </w:pPr>
    </w:p>
    <w:p>
      <w:pPr>
        <w:spacing w:before="0"/>
        <w:ind w:left="2569" w:right="6753" w:firstLine="0"/>
        <w:jc w:val="left"/>
        <w:rPr>
          <w:rFonts w:ascii="Arial"/>
          <w:sz w:val="11"/>
        </w:rPr>
      </w:pPr>
      <w:r>
        <w:rPr/>
        <w:pict>
          <v:group style="position:absolute;margin-left:139.094193pt;margin-top:-3.87482pt;width:256.6500pt;height:149.8pt;mso-position-horizontal-relative:page;mso-position-vertical-relative:paragraph;z-index:-457360" coordorigin="2782,-77" coordsize="5133,2996">
            <v:shape style="position:absolute;left:0;top:9830;width:5123;height:2043" coordorigin="0,9830" coordsize="5123,2043" path="m7665,2505l7909,2505m5960,2505l6447,2505m4251,2505l4738,2505m2786,2505l3030,2505m3642,2098l4738,2098m2786,2098l3030,2098m3642,1688l4738,1688m2786,1688l3030,1688m3642,1281l4738,1281m2786,1281l3030,1281m3642,874l4738,874m2786,874l3030,874m2786,463l4738,463e" filled="false" stroked="true" strokeweight=".367pt" strokecolor="#e2e3e4">
              <v:path arrowok="t"/>
            </v:shape>
            <v:rect style="position:absolute;left:3030;top:438;width:612;height:2475" filled="true" fillcolor="#d0d2d3" stroked="false">
              <v:fill type="solid"/>
            </v:rect>
            <v:shape style="position:absolute;left:2561;top:9830;width:1100;height:1225" coordorigin="2561,9830" coordsize="1100,1225" path="m5347,1688l6447,1688m5347,1281l6447,1281m5347,874l6447,874m5347,463l6447,463e" filled="false" stroked="true" strokeweight=".367pt" strokecolor="#e2e3e4">
              <v:path arrowok="t"/>
            </v:shape>
            <v:rect style="position:absolute;left:4738;top:242;width:609;height:2670" filled="true" fillcolor="#d0d2d3" stroked="false">
              <v:fill type="solid"/>
            </v:rect>
            <v:shape style="position:absolute;left:3174;top:9830;width:1950;height:1635" coordorigin="3174,9830" coordsize="1950,1635" path="m5960,2098l6447,2098m7056,1688l7909,1688m7056,1281l7909,1281m7056,874l7909,874m7056,463l7909,463e" filled="false" stroked="true" strokeweight=".367pt" strokecolor="#e2e3e4">
              <v:path arrowok="t"/>
            </v:shape>
            <v:rect style="position:absolute;left:6447;top:155;width:609;height:2757" filled="true" fillcolor="#d0d2d3" stroked="false">
              <v:fill type="solid"/>
            </v:rect>
            <v:shape style="position:absolute;left:3642;top:1954;width:2318;height:959" coordorigin="3642,1954" coordsize="2318,959" path="m4251,2246l3642,2246,3642,2912,4251,2912,4251,2246m5960,1954l5347,1954,5347,2912,5960,2912,5960,1954e" filled="true" fillcolor="#a1a3a5" stroked="false">
              <v:path arrowok="t"/>
              <v:fill type="solid"/>
            </v:shape>
            <v:line style="position:absolute" from="7665,2098" to="7909,2098" stroked="true" strokeweight=".367pt" strokecolor="#e2e3e4"/>
            <v:rect style="position:absolute;left:7056;top:1765;width:609;height:1148" filled="true" fillcolor="#a1a3a5" stroked="false">
              <v:fill type="solid"/>
            </v:rect>
            <v:line style="position:absolute" from="2786,2914" to="7910,2914" stroked="true" strokeweight=".367pt" strokecolor="#e2e3e4"/>
            <v:line style="position:absolute" from="3640,2688" to="5348,2174" stroked="true" strokeweight="1.714pt" strokecolor="#231f20">
              <v:stroke dashstyle="dash"/>
            </v:line>
            <v:line style="position:absolute" from="2786,56" to="7003,56" stroked="true" strokeweight=".367pt" strokecolor="#e2e3e4"/>
            <v:line style="position:absolute" from="5348,2174" to="7056,100" stroked="true" strokeweight="1.714pt" strokecolor="#231f20">
              <v:stroke dashstyle="dash"/>
            </v:line>
            <v:rect style="position:absolute;left:3469;top:2731;width:323;height:170" filled="true" fillcolor="#ffffff" stroked="false">
              <v:fill type="solid"/>
            </v:rect>
            <v:rect style="position:absolute;left:3469;top:2731;width:323;height:170" filled="false" stroked="true" strokeweight=".367pt" strokecolor="#231f20"/>
            <v:rect style="position:absolute;left:5167;top:2246;width:381;height:170" filled="true" fillcolor="#ffffff" stroked="false">
              <v:fill type="solid"/>
            </v:rect>
            <v:line style="position:absolute" from="7384,56" to="7909,56" stroked="true" strokeweight=".367pt" strokecolor="#e2e3e4"/>
            <v:rect style="position:absolute;left:7003;top:-73;width:381;height:170" filled="false" stroked="true" strokeweight=".367pt" strokecolor="#231f20"/>
            <v:shape style="position:absolute;left:7003;top:-73;width:382;height:130" type="#_x0000_t202" filled="false" stroked="false">
              <v:textbox inset="0,0,0,0">
                <w:txbxContent>
                  <w:p>
                    <w:pPr>
                      <w:spacing w:line="91" w:lineRule="exact" w:before="38"/>
                      <w:ind w:left="19" w:right="0" w:firstLine="0"/>
                      <w:jc w:val="left"/>
                      <w:rPr>
                        <w:rFonts w:ascii="Arial"/>
                        <w:sz w:val="10"/>
                      </w:rPr>
                    </w:pPr>
                    <w:r>
                      <w:rPr>
                        <w:rFonts w:ascii="Arial"/>
                        <w:color w:val="231F20"/>
                        <w:w w:val="110"/>
                        <w:sz w:val="10"/>
                      </w:rPr>
                      <w:t>51 702</w:t>
                    </w:r>
                  </w:p>
                </w:txbxContent>
              </v:textbox>
              <w10:wrap type="none"/>
            </v:shape>
            <v:shape style="position:absolute;left:3469;top:2731;width:173;height:184" type="#_x0000_t202" filled="false" stroked="false">
              <v:textbox inset="0,0,0,0">
                <w:txbxContent>
                  <w:p>
                    <w:pPr>
                      <w:spacing w:before="38"/>
                      <w:ind w:left="19" w:right="-19" w:firstLine="0"/>
                      <w:jc w:val="left"/>
                      <w:rPr>
                        <w:rFonts w:ascii="Arial"/>
                        <w:sz w:val="10"/>
                      </w:rPr>
                    </w:pPr>
                    <w:r>
                      <w:rPr>
                        <w:rFonts w:ascii="Arial"/>
                        <w:color w:val="231F20"/>
                        <w:w w:val="110"/>
                        <w:sz w:val="10"/>
                      </w:rPr>
                      <w:t>4 1</w:t>
                    </w:r>
                  </w:p>
                </w:txbxContent>
              </v:textbox>
              <w10:wrap type="none"/>
            </v:shape>
            <v:shape style="position:absolute;left:3642;top:2731;width:150;height:184" type="#_x0000_t202" filled="false" stroked="false">
              <v:textbox inset="0,0,0,0">
                <w:txbxContent>
                  <w:p>
                    <w:pPr>
                      <w:spacing w:before="38"/>
                      <w:ind w:left="-2" w:right="0" w:firstLine="0"/>
                      <w:jc w:val="left"/>
                      <w:rPr>
                        <w:rFonts w:ascii="Arial"/>
                        <w:sz w:val="10"/>
                      </w:rPr>
                    </w:pPr>
                    <w:r>
                      <w:rPr>
                        <w:rFonts w:ascii="Arial"/>
                        <w:color w:val="231F20"/>
                        <w:w w:val="110"/>
                        <w:sz w:val="10"/>
                      </w:rPr>
                      <w:t>47</w:t>
                    </w:r>
                  </w:p>
                </w:txbxContent>
              </v:textbox>
              <w10:wrap type="none"/>
            </v:shape>
            <v:shape style="position:absolute;left:6649;top:-6;width:235;height:118" type="#_x0000_t202" filled="false" stroked="false">
              <v:textbox inset="0,0,0,0">
                <w:txbxContent>
                  <w:p>
                    <w:pPr>
                      <w:spacing w:line="109" w:lineRule="exact" w:before="0"/>
                      <w:ind w:left="0" w:right="-10" w:firstLine="0"/>
                      <w:jc w:val="left"/>
                      <w:rPr>
                        <w:rFonts w:ascii="Arial"/>
                        <w:sz w:val="11"/>
                      </w:rPr>
                    </w:pPr>
                    <w:r>
                      <w:rPr>
                        <w:rFonts w:ascii="Arial"/>
                        <w:color w:val="231F20"/>
                        <w:w w:val="105"/>
                        <w:sz w:val="11"/>
                      </w:rPr>
                      <w:t>13.5</w:t>
                    </w:r>
                  </w:p>
                </w:txbxContent>
              </v:textbox>
              <w10:wrap type="none"/>
            </v:shape>
            <v:shape style="position:absolute;left:4941;top:79;width:235;height:118" type="#_x0000_t202" filled="false" stroked="false">
              <v:textbox inset="0,0,0,0">
                <w:txbxContent>
                  <w:p>
                    <w:pPr>
                      <w:spacing w:line="109" w:lineRule="exact" w:before="0"/>
                      <w:ind w:left="0" w:right="-10" w:firstLine="0"/>
                      <w:jc w:val="left"/>
                      <w:rPr>
                        <w:rFonts w:ascii="Arial"/>
                        <w:sz w:val="11"/>
                      </w:rPr>
                    </w:pPr>
                    <w:r>
                      <w:rPr>
                        <w:rFonts w:ascii="Arial"/>
                        <w:color w:val="231F20"/>
                        <w:w w:val="105"/>
                        <w:sz w:val="11"/>
                      </w:rPr>
                      <w:t>13.1</w:t>
                    </w:r>
                  </w:p>
                </w:txbxContent>
              </v:textbox>
              <w10:wrap type="none"/>
            </v:shape>
            <v:shape style="position:absolute;left:3233;top:274;width:235;height:118" type="#_x0000_t202" filled="false" stroked="false">
              <v:textbox inset="0,0,0,0">
                <w:txbxContent>
                  <w:p>
                    <w:pPr>
                      <w:spacing w:line="109" w:lineRule="exact" w:before="0"/>
                      <w:ind w:left="0" w:right="-10" w:firstLine="0"/>
                      <w:jc w:val="left"/>
                      <w:rPr>
                        <w:rFonts w:ascii="Arial"/>
                        <w:sz w:val="11"/>
                      </w:rPr>
                    </w:pPr>
                    <w:r>
                      <w:rPr>
                        <w:rFonts w:ascii="Arial"/>
                        <w:color w:val="231F20"/>
                        <w:w w:val="105"/>
                        <w:sz w:val="11"/>
                      </w:rPr>
                      <w:t>12.1</w:t>
                    </w:r>
                  </w:p>
                </w:txbxContent>
              </v:textbox>
              <w10:wrap type="none"/>
            </v:shape>
            <v:shape style="position:absolute;left:7288;top:1602;width:167;height:118" type="#_x0000_t202" filled="false" stroked="false">
              <v:textbox inset="0,0,0,0">
                <w:txbxContent>
                  <w:p>
                    <w:pPr>
                      <w:spacing w:line="109" w:lineRule="exact" w:before="0"/>
                      <w:ind w:left="0" w:right="-14" w:firstLine="0"/>
                      <w:jc w:val="left"/>
                      <w:rPr>
                        <w:rFonts w:ascii="Arial"/>
                        <w:sz w:val="11"/>
                      </w:rPr>
                    </w:pPr>
                    <w:r>
                      <w:rPr>
                        <w:rFonts w:ascii="Arial"/>
                        <w:color w:val="231F20"/>
                        <w:w w:val="105"/>
                        <w:sz w:val="11"/>
                      </w:rPr>
                      <w:t>5.6</w:t>
                    </w:r>
                  </w:p>
                </w:txbxContent>
              </v:textbox>
              <w10:wrap type="none"/>
            </v:shape>
            <v:shape style="position:absolute;left:5717;top:1792;width:167;height:118" type="#_x0000_t202" filled="false" stroked="false">
              <v:textbox inset="0,0,0,0">
                <w:txbxContent>
                  <w:p>
                    <w:pPr>
                      <w:spacing w:line="109" w:lineRule="exact" w:before="0"/>
                      <w:ind w:left="0" w:right="-14" w:firstLine="0"/>
                      <w:jc w:val="left"/>
                      <w:rPr>
                        <w:rFonts w:ascii="Arial"/>
                        <w:sz w:val="11"/>
                      </w:rPr>
                    </w:pPr>
                    <w:r>
                      <w:rPr>
                        <w:rFonts w:ascii="Arial"/>
                        <w:color w:val="231F20"/>
                        <w:w w:val="105"/>
                        <w:sz w:val="11"/>
                      </w:rPr>
                      <w:t>4.7</w:t>
                    </w:r>
                  </w:p>
                </w:txbxContent>
              </v:textbox>
              <w10:wrap type="none"/>
            </v:shape>
            <v:shape style="position:absolute;left:3872;top:2082;width:167;height:118" type="#_x0000_t202" filled="false" stroked="false">
              <v:textbox inset="0,0,0,0">
                <w:txbxContent>
                  <w:p>
                    <w:pPr>
                      <w:spacing w:line="109" w:lineRule="exact" w:before="0"/>
                      <w:ind w:left="0" w:right="-14" w:firstLine="0"/>
                      <w:jc w:val="left"/>
                      <w:rPr>
                        <w:rFonts w:ascii="Arial"/>
                        <w:sz w:val="11"/>
                      </w:rPr>
                    </w:pPr>
                    <w:r>
                      <w:rPr>
                        <w:rFonts w:ascii="Arial"/>
                        <w:color w:val="231F20"/>
                        <w:w w:val="105"/>
                        <w:sz w:val="11"/>
                      </w:rPr>
                      <w:t>3.3</w:t>
                    </w:r>
                  </w:p>
                </w:txbxContent>
              </v:textbox>
              <w10:wrap type="none"/>
            </v:shape>
            <v:shape style="position:absolute;left:5167;top:2246;width:382;height:171" type="#_x0000_t202" filled="true" fillcolor="#ffffff" stroked="true" strokeweight=".367pt" strokecolor="#231f20">
              <v:textbox inset="0,0,0,0">
                <w:txbxContent>
                  <w:p>
                    <w:pPr>
                      <w:spacing w:before="34"/>
                      <w:ind w:left="15" w:right="0" w:firstLine="0"/>
                      <w:jc w:val="left"/>
                      <w:rPr>
                        <w:rFonts w:ascii="Arial"/>
                        <w:sz w:val="10"/>
                      </w:rPr>
                    </w:pPr>
                    <w:r>
                      <w:rPr>
                        <w:rFonts w:ascii="Arial"/>
                        <w:color w:val="231F20"/>
                        <w:w w:val="110"/>
                        <w:sz w:val="10"/>
                      </w:rPr>
                      <w:t>13 597</w:t>
                    </w:r>
                  </w:p>
                </w:txbxContent>
              </v:textbox>
              <v:fill type="solid"/>
              <w10:wrap type="none"/>
            </v:shape>
            <w10:wrap type="none"/>
          </v:group>
        </w:pict>
      </w:r>
      <w:r>
        <w:rPr>
          <w:rFonts w:ascii="Arial"/>
          <w:color w:val="231F20"/>
          <w:w w:val="110"/>
          <w:sz w:val="11"/>
        </w:rPr>
        <w:t>14</w:t>
      </w:r>
    </w:p>
    <w:p>
      <w:pPr>
        <w:spacing w:before="9"/>
        <w:ind w:left="1516" w:right="2126" w:firstLine="0"/>
        <w:jc w:val="right"/>
        <w:rPr>
          <w:rFonts w:ascii="Arial"/>
          <w:sz w:val="11"/>
        </w:rPr>
      </w:pPr>
      <w:r>
        <w:rPr>
          <w:rFonts w:ascii="Arial"/>
          <w:color w:val="231F20"/>
          <w:w w:val="110"/>
          <w:sz w:val="11"/>
        </w:rPr>
        <w:t>50000</w:t>
      </w:r>
    </w:p>
    <w:p>
      <w:pPr>
        <w:pStyle w:val="BodyText"/>
        <w:spacing w:before="7"/>
        <w:rPr>
          <w:rFonts w:ascii="Arial"/>
          <w:sz w:val="12"/>
        </w:rPr>
      </w:pPr>
    </w:p>
    <w:p>
      <w:pPr>
        <w:spacing w:before="0"/>
        <w:ind w:left="2569" w:right="6753" w:firstLine="0"/>
        <w:jc w:val="left"/>
        <w:rPr>
          <w:rFonts w:ascii="Arial"/>
          <w:sz w:val="11"/>
        </w:rPr>
      </w:pPr>
      <w:r>
        <w:rPr>
          <w:rFonts w:ascii="Arial"/>
          <w:color w:val="231F20"/>
          <w:w w:val="110"/>
          <w:sz w:val="11"/>
        </w:rPr>
        <w:t>12</w:t>
      </w:r>
    </w:p>
    <w:p>
      <w:pPr>
        <w:pStyle w:val="BodyText"/>
        <w:spacing w:before="7"/>
        <w:rPr>
          <w:rFonts w:ascii="Arial"/>
          <w:sz w:val="12"/>
        </w:rPr>
      </w:pPr>
    </w:p>
    <w:p>
      <w:pPr>
        <w:spacing w:before="0"/>
        <w:ind w:left="1516" w:right="2126" w:firstLine="0"/>
        <w:jc w:val="right"/>
        <w:rPr>
          <w:rFonts w:ascii="Arial"/>
          <w:sz w:val="11"/>
        </w:rPr>
      </w:pPr>
      <w:r>
        <w:rPr>
          <w:rFonts w:ascii="Arial"/>
          <w:color w:val="231F20"/>
          <w:w w:val="110"/>
          <w:sz w:val="11"/>
        </w:rPr>
        <w:t>40000</w:t>
      </w:r>
    </w:p>
    <w:p>
      <w:pPr>
        <w:spacing w:before="9"/>
        <w:ind w:left="2569" w:right="6753" w:firstLine="0"/>
        <w:jc w:val="left"/>
        <w:rPr>
          <w:rFonts w:ascii="Arial"/>
          <w:sz w:val="11"/>
        </w:rPr>
      </w:pPr>
      <w:r>
        <w:rPr/>
        <w:pict>
          <v:shape style="position:absolute;margin-left:112.546875pt;margin-top:3.602557pt;width:9.85pt;height:40.9pt;mso-position-horizontal-relative:page;mso-position-vertical-relative:paragraph;z-index:33040" type="#_x0000_t202" filled="false" stroked="false">
            <v:textbox inset="0,0,0,0" style="layout-flow:vertical;mso-layout-flow-alt:bottom-to-top">
              <w:txbxContent>
                <w:p>
                  <w:pPr>
                    <w:spacing w:line="167" w:lineRule="exact" w:before="0"/>
                    <w:ind w:left="20" w:right="-621" w:firstLine="0"/>
                    <w:jc w:val="left"/>
                    <w:rPr>
                      <w:rFonts w:ascii="Arial"/>
                      <w:b/>
                      <w:sz w:val="15"/>
                    </w:rPr>
                  </w:pPr>
                  <w:r>
                    <w:rPr>
                      <w:rFonts w:ascii="Arial"/>
                      <w:b/>
                      <w:color w:val="231F20"/>
                      <w:w w:val="101"/>
                      <w:sz w:val="15"/>
                    </w:rPr>
                    <w:t>Porcentaje</w:t>
                  </w:r>
                </w:p>
              </w:txbxContent>
            </v:textbox>
            <w10:wrap type="none"/>
          </v:shape>
        </w:pict>
      </w:r>
      <w:r>
        <w:rPr>
          <w:rFonts w:ascii="Arial"/>
          <w:color w:val="231F20"/>
          <w:w w:val="110"/>
          <w:sz w:val="11"/>
        </w:rPr>
        <w:t>10</w:t>
      </w:r>
    </w:p>
    <w:p>
      <w:pPr>
        <w:pStyle w:val="BodyText"/>
        <w:spacing w:before="3"/>
        <w:rPr>
          <w:rFonts w:ascii="Arial"/>
          <w:sz w:val="17"/>
        </w:rPr>
      </w:pPr>
    </w:p>
    <w:p>
      <w:pPr>
        <w:tabs>
          <w:tab w:pos="8009" w:val="left" w:leader="none"/>
        </w:tabs>
        <w:spacing w:before="83"/>
        <w:ind w:left="2628" w:right="0" w:firstLine="0"/>
        <w:jc w:val="left"/>
        <w:rPr>
          <w:rFonts w:ascii="Arial"/>
          <w:sz w:val="11"/>
        </w:rPr>
      </w:pPr>
      <w:r>
        <w:rPr>
          <w:rFonts w:ascii="Arial"/>
          <w:color w:val="231F20"/>
          <w:w w:val="110"/>
          <w:sz w:val="11"/>
        </w:rPr>
        <w:t>8</w:t>
        <w:tab/>
        <w:t>30000</w:t>
      </w:r>
    </w:p>
    <w:p>
      <w:pPr>
        <w:pStyle w:val="BodyText"/>
        <w:spacing w:before="3"/>
        <w:rPr>
          <w:rFonts w:ascii="Arial"/>
          <w:sz w:val="17"/>
        </w:rPr>
      </w:pPr>
    </w:p>
    <w:p>
      <w:pPr>
        <w:spacing w:before="83"/>
        <w:ind w:left="2628" w:right="0" w:firstLine="0"/>
        <w:jc w:val="left"/>
        <w:rPr>
          <w:rFonts w:ascii="Arial"/>
          <w:sz w:val="11"/>
        </w:rPr>
      </w:pPr>
      <w:r>
        <w:rPr>
          <w:rFonts w:ascii="Arial"/>
          <w:color w:val="231F20"/>
          <w:w w:val="111"/>
          <w:sz w:val="11"/>
        </w:rPr>
        <w:t>6</w:t>
      </w:r>
    </w:p>
    <w:p>
      <w:pPr>
        <w:spacing w:before="9"/>
        <w:ind w:left="1516" w:right="2126" w:firstLine="0"/>
        <w:jc w:val="right"/>
        <w:rPr>
          <w:rFonts w:ascii="Arial"/>
          <w:sz w:val="11"/>
        </w:rPr>
      </w:pPr>
      <w:r>
        <w:rPr>
          <w:rFonts w:ascii="Arial"/>
          <w:color w:val="231F20"/>
          <w:w w:val="110"/>
          <w:sz w:val="11"/>
        </w:rPr>
        <w:t>20000</w:t>
      </w:r>
    </w:p>
    <w:p>
      <w:pPr>
        <w:pStyle w:val="BodyText"/>
        <w:spacing w:before="7"/>
        <w:rPr>
          <w:rFonts w:ascii="Arial"/>
          <w:sz w:val="12"/>
        </w:rPr>
      </w:pPr>
    </w:p>
    <w:p>
      <w:pPr>
        <w:spacing w:before="0"/>
        <w:ind w:left="2627" w:right="0" w:firstLine="0"/>
        <w:jc w:val="left"/>
        <w:rPr>
          <w:rFonts w:ascii="Arial"/>
          <w:sz w:val="11"/>
        </w:rPr>
      </w:pPr>
      <w:r>
        <w:rPr>
          <w:rFonts w:ascii="Arial"/>
          <w:color w:val="231F20"/>
          <w:w w:val="111"/>
          <w:sz w:val="11"/>
        </w:rPr>
        <w:t>4</w:t>
      </w:r>
    </w:p>
    <w:p>
      <w:pPr>
        <w:pStyle w:val="BodyText"/>
        <w:spacing w:before="7"/>
        <w:rPr>
          <w:rFonts w:ascii="Arial"/>
          <w:sz w:val="12"/>
        </w:rPr>
      </w:pPr>
    </w:p>
    <w:p>
      <w:pPr>
        <w:spacing w:before="0"/>
        <w:ind w:left="1516" w:right="2126" w:firstLine="0"/>
        <w:jc w:val="right"/>
        <w:rPr>
          <w:rFonts w:ascii="Arial"/>
          <w:sz w:val="11"/>
        </w:rPr>
      </w:pPr>
      <w:r>
        <w:rPr>
          <w:rFonts w:ascii="Arial"/>
          <w:color w:val="231F20"/>
          <w:w w:val="110"/>
          <w:sz w:val="11"/>
        </w:rPr>
        <w:t>10000</w:t>
      </w:r>
    </w:p>
    <w:p>
      <w:pPr>
        <w:spacing w:before="9"/>
        <w:ind w:left="2628" w:right="0" w:firstLine="0"/>
        <w:jc w:val="left"/>
        <w:rPr>
          <w:rFonts w:ascii="Arial"/>
          <w:sz w:val="11"/>
        </w:rPr>
      </w:pPr>
      <w:r>
        <w:rPr>
          <w:rFonts w:ascii="Arial"/>
          <w:color w:val="231F20"/>
          <w:w w:val="111"/>
          <w:sz w:val="11"/>
        </w:rPr>
        <w:t>2</w:t>
      </w:r>
    </w:p>
    <w:p>
      <w:pPr>
        <w:pStyle w:val="BodyText"/>
        <w:spacing w:before="3"/>
        <w:rPr>
          <w:rFonts w:ascii="Arial"/>
          <w:sz w:val="17"/>
        </w:rPr>
      </w:pPr>
    </w:p>
    <w:p>
      <w:pPr>
        <w:tabs>
          <w:tab w:pos="5609" w:val="left" w:leader="none"/>
        </w:tabs>
        <w:spacing w:before="83"/>
        <w:ind w:left="227" w:right="0" w:firstLine="0"/>
        <w:jc w:val="center"/>
        <w:rPr>
          <w:rFonts w:ascii="Arial"/>
          <w:sz w:val="11"/>
        </w:rPr>
      </w:pPr>
      <w:r>
        <w:rPr>
          <w:rFonts w:ascii="Arial"/>
          <w:color w:val="231F20"/>
          <w:w w:val="110"/>
          <w:sz w:val="11"/>
        </w:rPr>
        <w:t>0</w:t>
        <w:tab/>
        <w:t>0</w:t>
      </w:r>
    </w:p>
    <w:p>
      <w:pPr>
        <w:tabs>
          <w:tab w:pos="1968" w:val="left" w:leader="none"/>
          <w:tab w:pos="3676" w:val="left" w:leader="none"/>
        </w:tabs>
        <w:spacing w:before="13"/>
        <w:ind w:left="258" w:right="0" w:firstLine="0"/>
        <w:jc w:val="center"/>
        <w:rPr>
          <w:rFonts w:ascii="Arial"/>
          <w:sz w:val="11"/>
        </w:rPr>
      </w:pPr>
      <w:r>
        <w:rPr>
          <w:rFonts w:ascii="Arial"/>
          <w:color w:val="231F20"/>
          <w:w w:val="110"/>
          <w:sz w:val="11"/>
        </w:rPr>
        <w:t>1990</w:t>
        <w:tab/>
        <w:t>2000</w:t>
        <w:tab/>
        <w:t>2010</w:t>
      </w:r>
    </w:p>
    <w:p>
      <w:pPr>
        <w:pStyle w:val="BodyText"/>
        <w:spacing w:before="6"/>
        <w:rPr>
          <w:rFonts w:ascii="Arial"/>
          <w:sz w:val="10"/>
        </w:rPr>
      </w:pPr>
    </w:p>
    <w:p>
      <w:pPr>
        <w:tabs>
          <w:tab w:pos="4910" w:val="left" w:leader="none"/>
          <w:tab w:pos="5856" w:val="left" w:leader="none"/>
        </w:tabs>
        <w:spacing w:before="0"/>
        <w:ind w:left="3969" w:right="0" w:firstLine="0"/>
        <w:jc w:val="left"/>
        <w:rPr>
          <w:rFonts w:ascii="Arial" w:hAnsi="Arial"/>
          <w:sz w:val="11"/>
        </w:rPr>
      </w:pPr>
      <w:r>
        <w:rPr/>
        <w:pict>
          <v:line style="position:absolute;mso-position-horizontal-relative:page;mso-position-vertical-relative:paragraph;z-index:32872" from="184.852005pt,2.541623pt" to="197.195005pt,2.541623pt" stroked="true" strokeweight="2.92pt" strokecolor="#d0d2d3">
            <w10:wrap type="none"/>
          </v:line>
        </w:pict>
      </w:r>
      <w:r>
        <w:rPr/>
        <w:pict>
          <v:line style="position:absolute;mso-position-horizontal-relative:page;mso-position-vertical-relative:paragraph;z-index:-457288" from="231.878998pt,2.541623pt" to="244.221998pt,2.541623pt" stroked="true" strokeweight="2.92pt" strokecolor="#a1a3a5">
            <w10:wrap type="none"/>
          </v:line>
        </w:pict>
      </w:r>
      <w:r>
        <w:rPr/>
        <w:pict>
          <v:line style="position:absolute;mso-position-horizontal-relative:page;mso-position-vertical-relative:paragraph;z-index:-457264" from="279.167908pt,2.541123pt" to="291.509908pt,2.541123pt" stroked="true" strokeweight="1.714pt" strokecolor="#231f20">
            <v:stroke dashstyle="longDash"/>
            <w10:wrap type="none"/>
          </v:line>
        </w:pict>
      </w:r>
      <w:r>
        <w:rPr>
          <w:rFonts w:ascii="Arial" w:hAnsi="Arial"/>
          <w:color w:val="231F20"/>
          <w:w w:val="110"/>
          <w:sz w:val="11"/>
        </w:rPr>
        <w:t>Población</w:t>
        <w:tab/>
        <w:t>Migrantes</w:t>
        <w:tab/>
        <w:t>Migración Estado de</w:t>
      </w:r>
      <w:r>
        <w:rPr>
          <w:rFonts w:ascii="Arial" w:hAnsi="Arial"/>
          <w:color w:val="231F20"/>
          <w:spacing w:val="2"/>
          <w:w w:val="110"/>
          <w:sz w:val="11"/>
        </w:rPr>
        <w:t> </w:t>
      </w:r>
      <w:r>
        <w:rPr>
          <w:rFonts w:ascii="Arial" w:hAnsi="Arial"/>
          <w:color w:val="231F20"/>
          <w:w w:val="110"/>
          <w:sz w:val="11"/>
        </w:rPr>
        <w:t>México</w:t>
      </w:r>
    </w:p>
    <w:p>
      <w:pPr>
        <w:spacing w:line="249" w:lineRule="auto" w:before="94"/>
        <w:ind w:left="2290" w:right="2119" w:firstLine="0"/>
        <w:jc w:val="both"/>
        <w:rPr>
          <w:sz w:val="16"/>
        </w:rPr>
      </w:pPr>
      <w:r>
        <w:rPr>
          <w:color w:val="231F20"/>
          <w:w w:val="105"/>
          <w:sz w:val="16"/>
        </w:rPr>
        <w:t>Fuente:</w:t>
      </w:r>
      <w:r>
        <w:rPr>
          <w:color w:val="231F20"/>
          <w:spacing w:val="-8"/>
          <w:w w:val="105"/>
          <w:sz w:val="16"/>
        </w:rPr>
        <w:t> </w:t>
      </w:r>
      <w:r>
        <w:rPr>
          <w:color w:val="231F20"/>
          <w:w w:val="105"/>
          <w:sz w:val="16"/>
        </w:rPr>
        <w:t>elaboración</w:t>
      </w:r>
      <w:r>
        <w:rPr>
          <w:color w:val="231F20"/>
          <w:spacing w:val="-8"/>
          <w:w w:val="105"/>
          <w:sz w:val="16"/>
        </w:rPr>
        <w:t> </w:t>
      </w:r>
      <w:r>
        <w:rPr>
          <w:color w:val="231F20"/>
          <w:w w:val="105"/>
          <w:sz w:val="16"/>
        </w:rPr>
        <w:t>propia</w:t>
      </w:r>
      <w:r>
        <w:rPr>
          <w:color w:val="231F20"/>
          <w:spacing w:val="-8"/>
          <w:w w:val="105"/>
          <w:sz w:val="16"/>
        </w:rPr>
        <w:t> </w:t>
      </w:r>
      <w:r>
        <w:rPr>
          <w:color w:val="231F20"/>
          <w:w w:val="105"/>
          <w:sz w:val="16"/>
        </w:rPr>
        <w:t>con</w:t>
      </w:r>
      <w:r>
        <w:rPr>
          <w:color w:val="231F20"/>
          <w:spacing w:val="-8"/>
          <w:w w:val="105"/>
          <w:sz w:val="16"/>
        </w:rPr>
        <w:t> </w:t>
      </w:r>
      <w:r>
        <w:rPr>
          <w:color w:val="231F20"/>
          <w:w w:val="105"/>
          <w:sz w:val="16"/>
        </w:rPr>
        <w:t>base</w:t>
      </w:r>
      <w:r>
        <w:rPr>
          <w:color w:val="231F20"/>
          <w:spacing w:val="-8"/>
          <w:w w:val="105"/>
          <w:sz w:val="16"/>
        </w:rPr>
        <w:t> </w:t>
      </w:r>
      <w:r>
        <w:rPr>
          <w:color w:val="231F20"/>
          <w:w w:val="105"/>
          <w:sz w:val="16"/>
        </w:rPr>
        <w:t>en</w:t>
      </w:r>
      <w:r>
        <w:rPr>
          <w:color w:val="231F20"/>
          <w:spacing w:val="-8"/>
          <w:w w:val="105"/>
          <w:sz w:val="16"/>
        </w:rPr>
        <w:t> </w:t>
      </w:r>
      <w:r>
        <w:rPr>
          <w:color w:val="231F20"/>
          <w:w w:val="105"/>
          <w:sz w:val="14"/>
        </w:rPr>
        <w:t>INEGI</w:t>
      </w:r>
      <w:r>
        <w:rPr>
          <w:color w:val="231F20"/>
          <w:w w:val="105"/>
          <w:sz w:val="16"/>
        </w:rPr>
        <w:t>,</w:t>
      </w:r>
      <w:r>
        <w:rPr>
          <w:color w:val="231F20"/>
          <w:spacing w:val="-12"/>
          <w:w w:val="105"/>
          <w:sz w:val="16"/>
        </w:rPr>
        <w:t> </w:t>
      </w:r>
      <w:r>
        <w:rPr>
          <w:rFonts w:ascii="Arial" w:hAnsi="Arial"/>
          <w:i/>
          <w:color w:val="231F20"/>
          <w:w w:val="105"/>
          <w:sz w:val="14"/>
        </w:rPr>
        <w:t>XI</w:t>
      </w:r>
      <w:r>
        <w:rPr>
          <w:rFonts w:ascii="Arial" w:hAnsi="Arial"/>
          <w:i/>
          <w:color w:val="231F20"/>
          <w:spacing w:val="-5"/>
          <w:w w:val="105"/>
          <w:sz w:val="14"/>
        </w:rPr>
        <w:t> </w:t>
      </w:r>
      <w:r>
        <w:rPr>
          <w:rFonts w:ascii="Arial" w:hAnsi="Arial"/>
          <w:i/>
          <w:color w:val="231F20"/>
          <w:w w:val="105"/>
          <w:sz w:val="16"/>
        </w:rPr>
        <w:t>Censo</w:t>
      </w:r>
      <w:r>
        <w:rPr>
          <w:rFonts w:ascii="Arial" w:hAnsi="Arial"/>
          <w:i/>
          <w:color w:val="231F20"/>
          <w:spacing w:val="-10"/>
          <w:w w:val="105"/>
          <w:sz w:val="16"/>
        </w:rPr>
        <w:t> </w:t>
      </w:r>
      <w:r>
        <w:rPr>
          <w:rFonts w:ascii="Arial" w:hAnsi="Arial"/>
          <w:i/>
          <w:color w:val="231F20"/>
          <w:w w:val="105"/>
          <w:sz w:val="16"/>
        </w:rPr>
        <w:t>General</w:t>
      </w:r>
      <w:r>
        <w:rPr>
          <w:rFonts w:ascii="Arial" w:hAnsi="Arial"/>
          <w:i/>
          <w:color w:val="231F20"/>
          <w:spacing w:val="-10"/>
          <w:w w:val="105"/>
          <w:sz w:val="16"/>
        </w:rPr>
        <w:t> </w:t>
      </w:r>
      <w:r>
        <w:rPr>
          <w:rFonts w:ascii="Arial" w:hAnsi="Arial"/>
          <w:i/>
          <w:color w:val="231F20"/>
          <w:w w:val="105"/>
          <w:sz w:val="16"/>
        </w:rPr>
        <w:t>de</w:t>
      </w:r>
      <w:r>
        <w:rPr>
          <w:rFonts w:ascii="Arial" w:hAnsi="Arial"/>
          <w:i/>
          <w:color w:val="231F20"/>
          <w:spacing w:val="-10"/>
          <w:w w:val="105"/>
          <w:sz w:val="16"/>
        </w:rPr>
        <w:t> </w:t>
      </w:r>
      <w:r>
        <w:rPr>
          <w:rFonts w:ascii="Arial" w:hAnsi="Arial"/>
          <w:i/>
          <w:color w:val="231F20"/>
          <w:spacing w:val="-3"/>
          <w:w w:val="105"/>
          <w:sz w:val="16"/>
        </w:rPr>
        <w:t>Población</w:t>
      </w:r>
      <w:r>
        <w:rPr>
          <w:rFonts w:ascii="Arial" w:hAnsi="Arial"/>
          <w:i/>
          <w:color w:val="231F20"/>
          <w:spacing w:val="-10"/>
          <w:w w:val="105"/>
          <w:sz w:val="16"/>
        </w:rPr>
        <w:t> </w:t>
      </w:r>
      <w:r>
        <w:rPr>
          <w:rFonts w:ascii="Arial" w:hAnsi="Arial"/>
          <w:i/>
          <w:color w:val="231F20"/>
          <w:w w:val="105"/>
          <w:sz w:val="16"/>
        </w:rPr>
        <w:t>y</w:t>
      </w:r>
      <w:r>
        <w:rPr>
          <w:rFonts w:ascii="Arial" w:hAnsi="Arial"/>
          <w:i/>
          <w:color w:val="231F20"/>
          <w:spacing w:val="-13"/>
          <w:w w:val="105"/>
          <w:sz w:val="16"/>
        </w:rPr>
        <w:t> </w:t>
      </w:r>
      <w:r>
        <w:rPr>
          <w:rFonts w:ascii="Arial" w:hAnsi="Arial"/>
          <w:i/>
          <w:color w:val="231F20"/>
          <w:w w:val="105"/>
          <w:sz w:val="16"/>
        </w:rPr>
        <w:t>Vi- </w:t>
      </w:r>
      <w:r>
        <w:rPr>
          <w:rFonts w:ascii="Arial" w:hAnsi="Arial"/>
          <w:i/>
          <w:color w:val="231F20"/>
          <w:w w:val="105"/>
          <w:sz w:val="16"/>
        </w:rPr>
        <w:t>vienda</w:t>
      </w:r>
      <w:r>
        <w:rPr>
          <w:rFonts w:ascii="Arial" w:hAnsi="Arial"/>
          <w:i/>
          <w:color w:val="231F20"/>
          <w:spacing w:val="-19"/>
          <w:w w:val="105"/>
          <w:sz w:val="16"/>
        </w:rPr>
        <w:t> </w:t>
      </w:r>
      <w:r>
        <w:rPr>
          <w:rFonts w:ascii="Arial" w:hAnsi="Arial"/>
          <w:i/>
          <w:color w:val="231F20"/>
          <w:w w:val="105"/>
          <w:sz w:val="16"/>
        </w:rPr>
        <w:t>1990,</w:t>
      </w:r>
      <w:r>
        <w:rPr>
          <w:rFonts w:ascii="Arial" w:hAnsi="Arial"/>
          <w:i/>
          <w:color w:val="231F20"/>
          <w:spacing w:val="-22"/>
          <w:w w:val="105"/>
          <w:sz w:val="16"/>
        </w:rPr>
        <w:t> </w:t>
      </w:r>
      <w:r>
        <w:rPr>
          <w:rFonts w:ascii="Arial" w:hAnsi="Arial"/>
          <w:i/>
          <w:color w:val="231F20"/>
          <w:w w:val="105"/>
          <w:sz w:val="14"/>
        </w:rPr>
        <w:t>XII</w:t>
      </w:r>
      <w:r>
        <w:rPr>
          <w:rFonts w:ascii="Arial" w:hAnsi="Arial"/>
          <w:i/>
          <w:color w:val="231F20"/>
          <w:spacing w:val="-13"/>
          <w:w w:val="105"/>
          <w:sz w:val="14"/>
        </w:rPr>
        <w:t> </w:t>
      </w:r>
      <w:r>
        <w:rPr>
          <w:rFonts w:ascii="Arial" w:hAnsi="Arial"/>
          <w:i/>
          <w:color w:val="231F20"/>
          <w:w w:val="105"/>
          <w:sz w:val="16"/>
        </w:rPr>
        <w:t>Censo</w:t>
      </w:r>
      <w:r>
        <w:rPr>
          <w:rFonts w:ascii="Arial" w:hAnsi="Arial"/>
          <w:i/>
          <w:color w:val="231F20"/>
          <w:spacing w:val="-19"/>
          <w:w w:val="105"/>
          <w:sz w:val="16"/>
        </w:rPr>
        <w:t> </w:t>
      </w:r>
      <w:r>
        <w:rPr>
          <w:rFonts w:ascii="Arial" w:hAnsi="Arial"/>
          <w:i/>
          <w:color w:val="231F20"/>
          <w:w w:val="105"/>
          <w:sz w:val="16"/>
        </w:rPr>
        <w:t>General</w:t>
      </w:r>
      <w:r>
        <w:rPr>
          <w:rFonts w:ascii="Arial" w:hAnsi="Arial"/>
          <w:i/>
          <w:color w:val="231F20"/>
          <w:spacing w:val="-19"/>
          <w:w w:val="105"/>
          <w:sz w:val="16"/>
        </w:rPr>
        <w:t> </w:t>
      </w:r>
      <w:r>
        <w:rPr>
          <w:rFonts w:ascii="Arial" w:hAnsi="Arial"/>
          <w:i/>
          <w:color w:val="231F20"/>
          <w:w w:val="105"/>
          <w:sz w:val="16"/>
        </w:rPr>
        <w:t>de</w:t>
      </w:r>
      <w:r>
        <w:rPr>
          <w:rFonts w:ascii="Arial" w:hAnsi="Arial"/>
          <w:i/>
          <w:color w:val="231F20"/>
          <w:spacing w:val="-19"/>
          <w:w w:val="105"/>
          <w:sz w:val="16"/>
        </w:rPr>
        <w:t> </w:t>
      </w:r>
      <w:r>
        <w:rPr>
          <w:rFonts w:ascii="Arial" w:hAnsi="Arial"/>
          <w:i/>
          <w:color w:val="231F20"/>
          <w:spacing w:val="-3"/>
          <w:w w:val="105"/>
          <w:sz w:val="16"/>
        </w:rPr>
        <w:t>Población</w:t>
      </w:r>
      <w:r>
        <w:rPr>
          <w:rFonts w:ascii="Arial" w:hAnsi="Arial"/>
          <w:i/>
          <w:color w:val="231F20"/>
          <w:spacing w:val="-19"/>
          <w:w w:val="105"/>
          <w:sz w:val="16"/>
        </w:rPr>
        <w:t> </w:t>
      </w:r>
      <w:r>
        <w:rPr>
          <w:rFonts w:ascii="Arial" w:hAnsi="Arial"/>
          <w:i/>
          <w:color w:val="231F20"/>
          <w:w w:val="105"/>
          <w:sz w:val="16"/>
        </w:rPr>
        <w:t>y</w:t>
      </w:r>
      <w:r>
        <w:rPr>
          <w:rFonts w:ascii="Arial" w:hAnsi="Arial"/>
          <w:i/>
          <w:color w:val="231F20"/>
          <w:spacing w:val="-21"/>
          <w:w w:val="105"/>
          <w:sz w:val="16"/>
        </w:rPr>
        <w:t> </w:t>
      </w:r>
      <w:r>
        <w:rPr>
          <w:rFonts w:ascii="Arial" w:hAnsi="Arial"/>
          <w:i/>
          <w:color w:val="231F20"/>
          <w:w w:val="105"/>
          <w:sz w:val="16"/>
        </w:rPr>
        <w:t>Vivienda</w:t>
      </w:r>
      <w:r>
        <w:rPr>
          <w:rFonts w:ascii="Arial" w:hAnsi="Arial"/>
          <w:i/>
          <w:color w:val="231F20"/>
          <w:spacing w:val="-19"/>
          <w:w w:val="105"/>
          <w:sz w:val="16"/>
        </w:rPr>
        <w:t> </w:t>
      </w:r>
      <w:r>
        <w:rPr>
          <w:rFonts w:ascii="Arial" w:hAnsi="Arial"/>
          <w:i/>
          <w:color w:val="231F20"/>
          <w:w w:val="105"/>
          <w:sz w:val="16"/>
        </w:rPr>
        <w:t>2000</w:t>
      </w:r>
      <w:r>
        <w:rPr>
          <w:color w:val="231F20"/>
          <w:w w:val="105"/>
          <w:sz w:val="16"/>
        </w:rPr>
        <w:t>,</w:t>
      </w:r>
      <w:r>
        <w:rPr>
          <w:color w:val="231F20"/>
          <w:spacing w:val="-20"/>
          <w:w w:val="105"/>
          <w:sz w:val="16"/>
        </w:rPr>
        <w:t> </w:t>
      </w:r>
      <w:r>
        <w:rPr>
          <w:color w:val="231F20"/>
          <w:w w:val="105"/>
          <w:sz w:val="16"/>
        </w:rPr>
        <w:t>y</w:t>
      </w:r>
      <w:r>
        <w:rPr>
          <w:color w:val="231F20"/>
          <w:spacing w:val="-17"/>
          <w:w w:val="105"/>
          <w:sz w:val="16"/>
        </w:rPr>
        <w:t> </w:t>
      </w:r>
      <w:r>
        <w:rPr>
          <w:rFonts w:ascii="Arial" w:hAnsi="Arial"/>
          <w:i/>
          <w:color w:val="231F20"/>
          <w:w w:val="105"/>
          <w:sz w:val="16"/>
        </w:rPr>
        <w:t>Censo</w:t>
      </w:r>
      <w:r>
        <w:rPr>
          <w:rFonts w:ascii="Arial" w:hAnsi="Arial"/>
          <w:i/>
          <w:color w:val="231F20"/>
          <w:spacing w:val="-19"/>
          <w:w w:val="105"/>
          <w:sz w:val="16"/>
        </w:rPr>
        <w:t> </w:t>
      </w:r>
      <w:r>
        <w:rPr>
          <w:rFonts w:ascii="Arial" w:hAnsi="Arial"/>
          <w:i/>
          <w:color w:val="231F20"/>
          <w:w w:val="105"/>
          <w:sz w:val="16"/>
        </w:rPr>
        <w:t>de</w:t>
      </w:r>
      <w:r>
        <w:rPr>
          <w:rFonts w:ascii="Arial" w:hAnsi="Arial"/>
          <w:i/>
          <w:color w:val="231F20"/>
          <w:spacing w:val="-19"/>
          <w:w w:val="105"/>
          <w:sz w:val="16"/>
        </w:rPr>
        <w:t> </w:t>
      </w:r>
      <w:r>
        <w:rPr>
          <w:rFonts w:ascii="Arial" w:hAnsi="Arial"/>
          <w:i/>
          <w:color w:val="231F20"/>
          <w:spacing w:val="-3"/>
          <w:w w:val="105"/>
          <w:sz w:val="16"/>
        </w:rPr>
        <w:t>Población </w:t>
      </w:r>
      <w:r>
        <w:rPr>
          <w:rFonts w:ascii="Arial" w:hAnsi="Arial"/>
          <w:i/>
          <w:color w:val="231F20"/>
          <w:sz w:val="16"/>
        </w:rPr>
        <w:t>y Vivienda</w:t>
      </w:r>
      <w:r>
        <w:rPr>
          <w:rFonts w:ascii="Arial" w:hAnsi="Arial"/>
          <w:i/>
          <w:color w:val="231F20"/>
          <w:spacing w:val="-11"/>
          <w:sz w:val="16"/>
        </w:rPr>
        <w:t> </w:t>
      </w:r>
      <w:r>
        <w:rPr>
          <w:rFonts w:ascii="Arial" w:hAnsi="Arial"/>
          <w:i/>
          <w:color w:val="231F20"/>
          <w:sz w:val="16"/>
        </w:rPr>
        <w:t>2010</w:t>
      </w:r>
      <w:r>
        <w:rPr>
          <w:color w:val="231F20"/>
          <w:sz w:val="16"/>
        </w:rPr>
        <w:t>.</w:t>
      </w:r>
    </w:p>
    <w:p>
      <w:pPr>
        <w:pStyle w:val="BodyText"/>
        <w:rPr>
          <w:sz w:val="16"/>
        </w:rPr>
      </w:pPr>
    </w:p>
    <w:p>
      <w:pPr>
        <w:pStyle w:val="BodyText"/>
        <w:spacing w:line="261" w:lineRule="auto" w:before="104"/>
        <w:ind w:left="1837" w:right="1721"/>
        <w:jc w:val="both"/>
      </w:pPr>
      <w:r>
        <w:rPr>
          <w:color w:val="231F20"/>
          <w:w w:val="105"/>
        </w:rPr>
        <w:t>El dinamismo migratorio de la entidad involucra no sólo población de zonas rurales, sino también la de municipios urbanos como Ecatepec</w:t>
      </w:r>
      <w:r>
        <w:rPr>
          <w:color w:val="231F20"/>
          <w:spacing w:val="-22"/>
          <w:w w:val="105"/>
        </w:rPr>
        <w:t> </w:t>
      </w:r>
      <w:r>
        <w:rPr>
          <w:color w:val="231F20"/>
          <w:w w:val="105"/>
        </w:rPr>
        <w:t>y Nezahualcóyotl.</w:t>
      </w:r>
      <w:r>
        <w:rPr>
          <w:color w:val="231F20"/>
          <w:spacing w:val="-17"/>
          <w:w w:val="105"/>
        </w:rPr>
        <w:t> </w:t>
      </w:r>
      <w:r>
        <w:rPr>
          <w:color w:val="231F20"/>
          <w:w w:val="105"/>
        </w:rPr>
        <w:t>De</w:t>
      </w:r>
      <w:r>
        <w:rPr>
          <w:color w:val="231F20"/>
          <w:spacing w:val="-12"/>
          <w:w w:val="105"/>
        </w:rPr>
        <w:t> </w:t>
      </w:r>
      <w:r>
        <w:rPr>
          <w:color w:val="231F20"/>
          <w:w w:val="105"/>
        </w:rPr>
        <w:t>acuerdo</w:t>
      </w:r>
      <w:r>
        <w:rPr>
          <w:color w:val="231F20"/>
          <w:spacing w:val="-12"/>
          <w:w w:val="105"/>
        </w:rPr>
        <w:t> </w:t>
      </w:r>
      <w:r>
        <w:rPr>
          <w:color w:val="231F20"/>
          <w:w w:val="105"/>
        </w:rPr>
        <w:t>con</w:t>
      </w:r>
      <w:r>
        <w:rPr>
          <w:color w:val="231F20"/>
          <w:spacing w:val="-12"/>
          <w:w w:val="105"/>
        </w:rPr>
        <w:t> </w:t>
      </w:r>
      <w:r>
        <w:rPr>
          <w:color w:val="231F20"/>
          <w:w w:val="105"/>
        </w:rPr>
        <w:t>Baca</w:t>
      </w:r>
      <w:r>
        <w:rPr>
          <w:color w:val="231F20"/>
          <w:spacing w:val="-12"/>
          <w:w w:val="105"/>
        </w:rPr>
        <w:t> </w:t>
      </w:r>
      <w:r>
        <w:rPr>
          <w:color w:val="231F20"/>
          <w:w w:val="105"/>
        </w:rPr>
        <w:t>(2009),</w:t>
      </w:r>
      <w:r>
        <w:rPr>
          <w:color w:val="231F20"/>
          <w:spacing w:val="-17"/>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localización</w:t>
      </w:r>
      <w:r>
        <w:rPr>
          <w:color w:val="231F20"/>
          <w:spacing w:val="-12"/>
          <w:w w:val="105"/>
        </w:rPr>
        <w:t> </w:t>
      </w:r>
      <w:r>
        <w:rPr>
          <w:color w:val="231F20"/>
          <w:w w:val="105"/>
        </w:rPr>
        <w:t>y</w:t>
      </w:r>
      <w:r>
        <w:rPr>
          <w:color w:val="231F20"/>
          <w:spacing w:val="-12"/>
          <w:w w:val="105"/>
        </w:rPr>
        <w:t> </w:t>
      </w:r>
      <w:r>
        <w:rPr>
          <w:color w:val="231F20"/>
          <w:w w:val="105"/>
        </w:rPr>
        <w:t>hete- rogeneidad de los migrantes estos se pueden agrupar en tres grupos: el</w:t>
      </w:r>
      <w:r>
        <w:rPr>
          <w:color w:val="231F20"/>
          <w:spacing w:val="-5"/>
          <w:w w:val="105"/>
        </w:rPr>
        <w:t> </w:t>
      </w:r>
      <w:r>
        <w:rPr>
          <w:color w:val="231F20"/>
          <w:w w:val="105"/>
        </w:rPr>
        <w:t>primero</w:t>
      </w:r>
      <w:r>
        <w:rPr>
          <w:color w:val="231F20"/>
          <w:spacing w:val="-5"/>
          <w:w w:val="105"/>
        </w:rPr>
        <w:t> </w:t>
      </w:r>
      <w:r>
        <w:rPr>
          <w:color w:val="231F20"/>
          <w:w w:val="105"/>
        </w:rPr>
        <w:t>puede</w:t>
      </w:r>
      <w:r>
        <w:rPr>
          <w:color w:val="231F20"/>
          <w:spacing w:val="-5"/>
          <w:w w:val="105"/>
        </w:rPr>
        <w:t> </w:t>
      </w:r>
      <w:r>
        <w:rPr>
          <w:color w:val="231F20"/>
          <w:w w:val="105"/>
        </w:rPr>
        <w:t>ser</w:t>
      </w:r>
      <w:r>
        <w:rPr>
          <w:color w:val="231F20"/>
          <w:spacing w:val="-5"/>
          <w:w w:val="105"/>
        </w:rPr>
        <w:t> </w:t>
      </w:r>
      <w:r>
        <w:rPr>
          <w:color w:val="231F20"/>
          <w:w w:val="105"/>
        </w:rPr>
        <w:t>llamado</w:t>
      </w:r>
      <w:r>
        <w:rPr>
          <w:color w:val="231F20"/>
          <w:spacing w:val="-5"/>
          <w:w w:val="105"/>
        </w:rPr>
        <w:t> </w:t>
      </w:r>
      <w:r>
        <w:rPr>
          <w:color w:val="231F20"/>
          <w:w w:val="105"/>
        </w:rPr>
        <w:t>“tradicional”</w:t>
      </w:r>
      <w:r>
        <w:rPr>
          <w:color w:val="231F20"/>
          <w:spacing w:val="-5"/>
          <w:w w:val="105"/>
        </w:rPr>
        <w:t> </w:t>
      </w:r>
      <w:r>
        <w:rPr>
          <w:color w:val="231F20"/>
          <w:w w:val="105"/>
        </w:rPr>
        <w:t>y</w:t>
      </w:r>
      <w:r>
        <w:rPr>
          <w:color w:val="231F20"/>
          <w:spacing w:val="-5"/>
          <w:w w:val="105"/>
        </w:rPr>
        <w:t> </w:t>
      </w:r>
      <w:r>
        <w:rPr>
          <w:color w:val="231F20"/>
          <w:w w:val="105"/>
        </w:rPr>
        <w:t>está</w:t>
      </w:r>
      <w:r>
        <w:rPr>
          <w:color w:val="231F20"/>
          <w:spacing w:val="-5"/>
          <w:w w:val="105"/>
        </w:rPr>
        <w:t> </w:t>
      </w:r>
      <w:r>
        <w:rPr>
          <w:color w:val="231F20"/>
          <w:w w:val="105"/>
        </w:rPr>
        <w:t>ubicado</w:t>
      </w:r>
      <w:r>
        <w:rPr>
          <w:color w:val="231F20"/>
          <w:spacing w:val="-5"/>
          <w:w w:val="105"/>
        </w:rPr>
        <w:t> </w:t>
      </w:r>
      <w:r>
        <w:rPr>
          <w:color w:val="231F20"/>
          <w:w w:val="105"/>
        </w:rPr>
        <w:t>en</w:t>
      </w:r>
      <w:r>
        <w:rPr>
          <w:color w:val="231F20"/>
          <w:spacing w:val="-5"/>
          <w:w w:val="105"/>
        </w:rPr>
        <w:t> </w:t>
      </w:r>
      <w:r>
        <w:rPr>
          <w:color w:val="231F20"/>
          <w:w w:val="105"/>
        </w:rPr>
        <w:t>municipios donde</w:t>
      </w:r>
      <w:r>
        <w:rPr>
          <w:color w:val="231F20"/>
          <w:spacing w:val="-18"/>
          <w:w w:val="105"/>
        </w:rPr>
        <w:t> </w:t>
      </w:r>
      <w:r>
        <w:rPr>
          <w:color w:val="231F20"/>
          <w:w w:val="105"/>
        </w:rPr>
        <w:t>décadas</w:t>
      </w:r>
      <w:r>
        <w:rPr>
          <w:color w:val="231F20"/>
          <w:spacing w:val="-18"/>
          <w:w w:val="105"/>
        </w:rPr>
        <w:t> </w:t>
      </w:r>
      <w:r>
        <w:rPr>
          <w:color w:val="231F20"/>
          <w:w w:val="105"/>
        </w:rPr>
        <w:t>atrás</w:t>
      </w:r>
      <w:r>
        <w:rPr>
          <w:color w:val="231F20"/>
          <w:spacing w:val="-18"/>
          <w:w w:val="105"/>
        </w:rPr>
        <w:t> </w:t>
      </w:r>
      <w:r>
        <w:rPr>
          <w:color w:val="231F20"/>
          <w:w w:val="105"/>
        </w:rPr>
        <w:t>se</w:t>
      </w:r>
      <w:r>
        <w:rPr>
          <w:color w:val="231F20"/>
          <w:spacing w:val="-18"/>
          <w:w w:val="105"/>
        </w:rPr>
        <w:t> </w:t>
      </w:r>
      <w:r>
        <w:rPr>
          <w:color w:val="231F20"/>
          <w:w w:val="105"/>
        </w:rPr>
        <w:t>implementó</w:t>
      </w:r>
      <w:r>
        <w:rPr>
          <w:color w:val="231F20"/>
          <w:spacing w:val="-18"/>
          <w:w w:val="105"/>
        </w:rPr>
        <w:t> </w:t>
      </w:r>
      <w:r>
        <w:rPr>
          <w:color w:val="231F20"/>
          <w:w w:val="105"/>
        </w:rPr>
        <w:t>el</w:t>
      </w:r>
      <w:r>
        <w:rPr>
          <w:color w:val="231F20"/>
          <w:spacing w:val="-18"/>
          <w:w w:val="105"/>
        </w:rPr>
        <w:t> </w:t>
      </w:r>
      <w:r>
        <w:rPr>
          <w:color w:val="231F20"/>
          <w:spacing w:val="-3"/>
          <w:w w:val="105"/>
        </w:rPr>
        <w:t>Programa</w:t>
      </w:r>
      <w:r>
        <w:rPr>
          <w:color w:val="231F20"/>
          <w:spacing w:val="-18"/>
          <w:w w:val="105"/>
        </w:rPr>
        <w:t> </w:t>
      </w:r>
      <w:r>
        <w:rPr>
          <w:color w:val="231F20"/>
          <w:w w:val="105"/>
        </w:rPr>
        <w:t>Bracero,</w:t>
      </w:r>
      <w:r>
        <w:rPr>
          <w:color w:val="231F20"/>
          <w:spacing w:val="-22"/>
          <w:w w:val="105"/>
        </w:rPr>
        <w:t> </w:t>
      </w:r>
      <w:r>
        <w:rPr>
          <w:color w:val="231F20"/>
          <w:w w:val="105"/>
        </w:rPr>
        <w:t>estos</w:t>
      </w:r>
      <w:r>
        <w:rPr>
          <w:color w:val="231F20"/>
          <w:spacing w:val="-18"/>
          <w:w w:val="105"/>
        </w:rPr>
        <w:t> </w:t>
      </w:r>
      <w:r>
        <w:rPr>
          <w:color w:val="231F20"/>
          <w:w w:val="105"/>
        </w:rPr>
        <w:t>se</w:t>
      </w:r>
      <w:r>
        <w:rPr>
          <w:color w:val="231F20"/>
          <w:spacing w:val="-18"/>
          <w:w w:val="105"/>
        </w:rPr>
        <w:t> </w:t>
      </w:r>
      <w:r>
        <w:rPr>
          <w:color w:val="231F20"/>
          <w:w w:val="105"/>
        </w:rPr>
        <w:t>loca- lizan principalmente al sur de la entidad; el siguiente grupo es denomi- nado</w:t>
      </w:r>
      <w:r>
        <w:rPr>
          <w:color w:val="231F20"/>
          <w:spacing w:val="-7"/>
          <w:w w:val="105"/>
        </w:rPr>
        <w:t> </w:t>
      </w:r>
      <w:r>
        <w:rPr>
          <w:color w:val="231F20"/>
          <w:w w:val="105"/>
        </w:rPr>
        <w:t>“emergente”</w:t>
      </w:r>
      <w:r>
        <w:rPr>
          <w:color w:val="231F20"/>
          <w:spacing w:val="-7"/>
          <w:w w:val="105"/>
        </w:rPr>
        <w:t> </w:t>
      </w:r>
      <w:r>
        <w:rPr>
          <w:color w:val="231F20"/>
          <w:w w:val="105"/>
        </w:rPr>
        <w:t>y</w:t>
      </w:r>
      <w:r>
        <w:rPr>
          <w:color w:val="231F20"/>
          <w:spacing w:val="-7"/>
          <w:w w:val="105"/>
        </w:rPr>
        <w:t> </w:t>
      </w:r>
      <w:r>
        <w:rPr>
          <w:color w:val="231F20"/>
          <w:w w:val="105"/>
        </w:rPr>
        <w:t>se</w:t>
      </w:r>
      <w:r>
        <w:rPr>
          <w:color w:val="231F20"/>
          <w:spacing w:val="-7"/>
          <w:w w:val="105"/>
        </w:rPr>
        <w:t> </w:t>
      </w:r>
      <w:r>
        <w:rPr>
          <w:color w:val="231F20"/>
          <w:w w:val="105"/>
        </w:rPr>
        <w:t>compone</w:t>
      </w:r>
      <w:r>
        <w:rPr>
          <w:color w:val="231F20"/>
          <w:spacing w:val="-7"/>
          <w:w w:val="105"/>
        </w:rPr>
        <w:t> </w:t>
      </w:r>
      <w:r>
        <w:rPr>
          <w:color w:val="231F20"/>
          <w:w w:val="105"/>
        </w:rPr>
        <w:t>de</w:t>
      </w:r>
      <w:r>
        <w:rPr>
          <w:color w:val="231F20"/>
          <w:spacing w:val="-7"/>
          <w:w w:val="105"/>
        </w:rPr>
        <w:t> </w:t>
      </w:r>
      <w:r>
        <w:rPr>
          <w:color w:val="231F20"/>
          <w:w w:val="105"/>
        </w:rPr>
        <w:t>migrantes</w:t>
      </w:r>
      <w:r>
        <w:rPr>
          <w:color w:val="231F20"/>
          <w:spacing w:val="-7"/>
          <w:w w:val="105"/>
        </w:rPr>
        <w:t> </w:t>
      </w:r>
      <w:r>
        <w:rPr>
          <w:color w:val="231F20"/>
          <w:w w:val="105"/>
        </w:rPr>
        <w:t>internacionales</w:t>
      </w:r>
      <w:r>
        <w:rPr>
          <w:color w:val="231F20"/>
          <w:spacing w:val="-7"/>
          <w:w w:val="105"/>
        </w:rPr>
        <w:t> </w:t>
      </w:r>
      <w:r>
        <w:rPr>
          <w:color w:val="231F20"/>
          <w:w w:val="105"/>
        </w:rPr>
        <w:t>que</w:t>
      </w:r>
      <w:r>
        <w:rPr>
          <w:color w:val="231F20"/>
          <w:spacing w:val="-7"/>
          <w:w w:val="105"/>
        </w:rPr>
        <w:t> </w:t>
      </w:r>
      <w:r>
        <w:rPr>
          <w:color w:val="231F20"/>
          <w:w w:val="105"/>
        </w:rPr>
        <w:t>resi- den</w:t>
      </w:r>
      <w:r>
        <w:rPr>
          <w:color w:val="231F20"/>
          <w:spacing w:val="-8"/>
          <w:w w:val="105"/>
        </w:rPr>
        <w:t> </w:t>
      </w:r>
      <w:r>
        <w:rPr>
          <w:color w:val="231F20"/>
          <w:w w:val="105"/>
        </w:rPr>
        <w:t>en</w:t>
      </w:r>
      <w:r>
        <w:rPr>
          <w:color w:val="231F20"/>
          <w:spacing w:val="-8"/>
          <w:w w:val="105"/>
        </w:rPr>
        <w:t> </w:t>
      </w:r>
      <w:r>
        <w:rPr>
          <w:color w:val="231F20"/>
          <w:w w:val="105"/>
        </w:rPr>
        <w:t>áreas</w:t>
      </w:r>
      <w:r>
        <w:rPr>
          <w:color w:val="231F20"/>
          <w:spacing w:val="-8"/>
          <w:w w:val="105"/>
        </w:rPr>
        <w:t> </w:t>
      </w:r>
      <w:r>
        <w:rPr>
          <w:color w:val="231F20"/>
          <w:w w:val="105"/>
        </w:rPr>
        <w:t>metropolitanas;</w:t>
      </w:r>
      <w:r>
        <w:rPr>
          <w:color w:val="231F20"/>
          <w:spacing w:val="-8"/>
          <w:w w:val="105"/>
        </w:rPr>
        <w:t> </w:t>
      </w:r>
      <w:r>
        <w:rPr>
          <w:color w:val="231F20"/>
          <w:w w:val="105"/>
        </w:rPr>
        <w:t>el</w:t>
      </w:r>
      <w:r>
        <w:rPr>
          <w:color w:val="231F20"/>
          <w:spacing w:val="-8"/>
          <w:w w:val="105"/>
        </w:rPr>
        <w:t> </w:t>
      </w:r>
      <w:r>
        <w:rPr>
          <w:color w:val="231F20"/>
          <w:w w:val="105"/>
        </w:rPr>
        <w:t>tercero</w:t>
      </w:r>
      <w:r>
        <w:rPr>
          <w:color w:val="231F20"/>
          <w:spacing w:val="-8"/>
          <w:w w:val="105"/>
        </w:rPr>
        <w:t> </w:t>
      </w:r>
      <w:r>
        <w:rPr>
          <w:color w:val="231F20"/>
          <w:w w:val="105"/>
        </w:rPr>
        <w:t>se</w:t>
      </w:r>
      <w:r>
        <w:rPr>
          <w:color w:val="231F20"/>
          <w:spacing w:val="-8"/>
          <w:w w:val="105"/>
        </w:rPr>
        <w:t> </w:t>
      </w:r>
      <w:r>
        <w:rPr>
          <w:color w:val="231F20"/>
          <w:w w:val="105"/>
        </w:rPr>
        <w:t>designa</w:t>
      </w:r>
      <w:r>
        <w:rPr>
          <w:color w:val="231F20"/>
          <w:spacing w:val="-8"/>
          <w:w w:val="105"/>
        </w:rPr>
        <w:t> </w:t>
      </w:r>
      <w:r>
        <w:rPr>
          <w:color w:val="231F20"/>
          <w:w w:val="105"/>
        </w:rPr>
        <w:t>como</w:t>
      </w:r>
      <w:r>
        <w:rPr>
          <w:color w:val="231F20"/>
          <w:spacing w:val="-8"/>
          <w:w w:val="105"/>
        </w:rPr>
        <w:t> </w:t>
      </w:r>
      <w:r>
        <w:rPr>
          <w:color w:val="231F20"/>
          <w:w w:val="105"/>
        </w:rPr>
        <w:t>“étnico”</w:t>
      </w:r>
      <w:r>
        <w:rPr>
          <w:color w:val="231F20"/>
          <w:spacing w:val="-8"/>
          <w:w w:val="105"/>
        </w:rPr>
        <w:t> </w:t>
      </w:r>
      <w:r>
        <w:rPr>
          <w:color w:val="231F20"/>
          <w:w w:val="105"/>
        </w:rPr>
        <w:t>y</w:t>
      </w:r>
      <w:r>
        <w:rPr>
          <w:color w:val="231F20"/>
          <w:spacing w:val="-8"/>
          <w:w w:val="105"/>
        </w:rPr>
        <w:t> </w:t>
      </w:r>
      <w:r>
        <w:rPr>
          <w:color w:val="231F20"/>
          <w:w w:val="105"/>
        </w:rPr>
        <w:t>está compuesto</w:t>
      </w:r>
      <w:r>
        <w:rPr>
          <w:color w:val="231F20"/>
          <w:spacing w:val="-9"/>
          <w:w w:val="105"/>
        </w:rPr>
        <w:t> </w:t>
      </w:r>
      <w:r>
        <w:rPr>
          <w:color w:val="231F20"/>
          <w:w w:val="105"/>
        </w:rPr>
        <w:t>por</w:t>
      </w:r>
      <w:r>
        <w:rPr>
          <w:color w:val="231F20"/>
          <w:spacing w:val="-9"/>
          <w:w w:val="105"/>
        </w:rPr>
        <w:t> </w:t>
      </w:r>
      <w:r>
        <w:rPr>
          <w:color w:val="231F20"/>
          <w:w w:val="105"/>
        </w:rPr>
        <w:t>población</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autoidentifica</w:t>
      </w:r>
      <w:r>
        <w:rPr>
          <w:color w:val="231F20"/>
          <w:spacing w:val="-9"/>
          <w:w w:val="105"/>
        </w:rPr>
        <w:t> </w:t>
      </w:r>
      <w:r>
        <w:rPr>
          <w:color w:val="231F20"/>
          <w:w w:val="105"/>
        </w:rPr>
        <w:t>indígena,</w:t>
      </w:r>
      <w:r>
        <w:rPr>
          <w:color w:val="231F20"/>
          <w:spacing w:val="-16"/>
          <w:w w:val="105"/>
        </w:rPr>
        <w:t> </w:t>
      </w:r>
      <w:r>
        <w:rPr>
          <w:color w:val="231F20"/>
          <w:w w:val="105"/>
        </w:rPr>
        <w:t>espacialmente se</w:t>
      </w:r>
      <w:r>
        <w:rPr>
          <w:color w:val="231F20"/>
          <w:spacing w:val="-17"/>
          <w:w w:val="105"/>
        </w:rPr>
        <w:t> </w:t>
      </w:r>
      <w:r>
        <w:rPr>
          <w:color w:val="231F20"/>
          <w:w w:val="105"/>
        </w:rPr>
        <w:t>localiza</w:t>
      </w:r>
      <w:r>
        <w:rPr>
          <w:color w:val="231F20"/>
          <w:spacing w:val="-17"/>
          <w:w w:val="105"/>
        </w:rPr>
        <w:t> </w:t>
      </w:r>
      <w:r>
        <w:rPr>
          <w:color w:val="231F20"/>
          <w:w w:val="105"/>
        </w:rPr>
        <w:t>al</w:t>
      </w:r>
      <w:r>
        <w:rPr>
          <w:color w:val="231F20"/>
          <w:spacing w:val="-17"/>
          <w:w w:val="105"/>
        </w:rPr>
        <w:t> </w:t>
      </w:r>
      <w:r>
        <w:rPr>
          <w:color w:val="231F20"/>
          <w:w w:val="105"/>
        </w:rPr>
        <w:t>norte</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entidad.</w:t>
      </w:r>
      <w:r>
        <w:rPr>
          <w:color w:val="231F20"/>
          <w:spacing w:val="-22"/>
          <w:w w:val="105"/>
        </w:rPr>
        <w:t> </w:t>
      </w:r>
      <w:r>
        <w:rPr>
          <w:color w:val="231F20"/>
          <w:w w:val="105"/>
        </w:rPr>
        <w:t>Con</w:t>
      </w:r>
      <w:r>
        <w:rPr>
          <w:color w:val="231F20"/>
          <w:spacing w:val="-17"/>
          <w:w w:val="105"/>
        </w:rPr>
        <w:t> </w:t>
      </w:r>
      <w:r>
        <w:rPr>
          <w:color w:val="231F20"/>
          <w:w w:val="105"/>
        </w:rPr>
        <w:t>respecto</w:t>
      </w:r>
      <w:r>
        <w:rPr>
          <w:color w:val="231F20"/>
          <w:spacing w:val="-17"/>
          <w:w w:val="105"/>
        </w:rPr>
        <w:t> </w:t>
      </w:r>
      <w:r>
        <w:rPr>
          <w:color w:val="231F20"/>
          <w:w w:val="105"/>
        </w:rPr>
        <w:t>a</w:t>
      </w:r>
      <w:r>
        <w:rPr>
          <w:color w:val="231F20"/>
          <w:spacing w:val="-17"/>
          <w:w w:val="105"/>
        </w:rPr>
        <w:t> </w:t>
      </w:r>
      <w:r>
        <w:rPr>
          <w:color w:val="231F20"/>
          <w:w w:val="105"/>
        </w:rPr>
        <w:t>esta</w:t>
      </w:r>
      <w:r>
        <w:rPr>
          <w:color w:val="231F20"/>
          <w:spacing w:val="-17"/>
          <w:w w:val="105"/>
        </w:rPr>
        <w:t> </w:t>
      </w:r>
      <w:r>
        <w:rPr>
          <w:color w:val="231F20"/>
          <w:w w:val="105"/>
        </w:rPr>
        <w:t>clasificación</w:t>
      </w:r>
      <w:r>
        <w:rPr>
          <w:color w:val="231F20"/>
          <w:spacing w:val="-17"/>
          <w:w w:val="105"/>
        </w:rPr>
        <w:t> </w:t>
      </w:r>
      <w:r>
        <w:rPr>
          <w:color w:val="231F20"/>
          <w:w w:val="105"/>
        </w:rPr>
        <w:t>existe la necesidad de profundizar en los perfiles de esta población migrante usando</w:t>
      </w:r>
      <w:r>
        <w:rPr>
          <w:color w:val="231F20"/>
          <w:spacing w:val="-17"/>
          <w:w w:val="105"/>
        </w:rPr>
        <w:t> </w:t>
      </w:r>
      <w:r>
        <w:rPr>
          <w:color w:val="231F20"/>
          <w:w w:val="105"/>
        </w:rPr>
        <w:t>una</w:t>
      </w:r>
      <w:r>
        <w:rPr>
          <w:color w:val="231F20"/>
          <w:spacing w:val="-17"/>
          <w:w w:val="105"/>
        </w:rPr>
        <w:t> </w:t>
      </w:r>
      <w:r>
        <w:rPr>
          <w:color w:val="231F20"/>
          <w:w w:val="105"/>
        </w:rPr>
        <w:t>perspectiva</w:t>
      </w:r>
      <w:r>
        <w:rPr>
          <w:color w:val="231F20"/>
          <w:spacing w:val="-17"/>
          <w:w w:val="105"/>
        </w:rPr>
        <w:t> </w:t>
      </w:r>
      <w:r>
        <w:rPr>
          <w:color w:val="231F20"/>
          <w:w w:val="105"/>
        </w:rPr>
        <w:t>de</w:t>
      </w:r>
      <w:r>
        <w:rPr>
          <w:color w:val="231F20"/>
          <w:spacing w:val="-17"/>
          <w:w w:val="105"/>
        </w:rPr>
        <w:t> </w:t>
      </w:r>
      <w:r>
        <w:rPr>
          <w:color w:val="231F20"/>
          <w:w w:val="105"/>
        </w:rPr>
        <w:t>género</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redes</w:t>
      </w:r>
      <w:r>
        <w:rPr>
          <w:color w:val="231F20"/>
          <w:spacing w:val="-17"/>
          <w:w w:val="105"/>
        </w:rPr>
        <w:t> </w:t>
      </w:r>
      <w:r>
        <w:rPr>
          <w:color w:val="231F20"/>
          <w:w w:val="105"/>
        </w:rPr>
        <w:t>sociales.</w:t>
      </w:r>
    </w:p>
    <w:p>
      <w:pPr>
        <w:pStyle w:val="BodyText"/>
        <w:rPr>
          <w:sz w:val="20"/>
        </w:rPr>
      </w:pPr>
    </w:p>
    <w:p>
      <w:pPr>
        <w:pStyle w:val="BodyText"/>
        <w:spacing w:before="9"/>
        <w:rPr>
          <w:sz w:val="20"/>
        </w:rPr>
      </w:pPr>
    </w:p>
    <w:p>
      <w:pPr>
        <w:pStyle w:val="Heading3"/>
      </w:pPr>
      <w:r>
        <w:rPr>
          <w:color w:val="231F20"/>
        </w:rPr>
        <w:t>Datos y métodos</w:t>
      </w:r>
    </w:p>
    <w:p>
      <w:pPr>
        <w:pStyle w:val="BodyText"/>
        <w:rPr>
          <w:rFonts w:ascii="Arial"/>
          <w:b/>
          <w:sz w:val="22"/>
        </w:rPr>
      </w:pPr>
    </w:p>
    <w:p>
      <w:pPr>
        <w:pStyle w:val="BodyText"/>
        <w:spacing w:line="261" w:lineRule="auto" w:before="163"/>
        <w:ind w:left="1837" w:right="1721"/>
        <w:jc w:val="both"/>
      </w:pPr>
      <w:r>
        <w:rPr/>
        <w:pict>
          <v:line style="position:absolute;mso-position-horizontal-relative:page;mso-position-vertical-relative:paragraph;z-index:-457192" from="15pt,138.895676pt" to="0pt,138.895676pt" stroked="true" strokeweight=".25pt" strokecolor="#000000">
            <w10:wrap type="none"/>
          </v:line>
        </w:pict>
      </w:r>
      <w:r>
        <w:rPr/>
        <w:pict>
          <v:line style="position:absolute;mso-position-horizontal-relative:page;mso-position-vertical-relative:paragraph;z-index:33016" from="508.890015pt,138.895676pt" to="523.890015pt,138.895676pt" stroked="true" strokeweight=".25pt" strokecolor="#000000">
            <w10:wrap type="none"/>
          </v:line>
        </w:pict>
      </w:r>
      <w:r>
        <w:rPr>
          <w:color w:val="231F20"/>
          <w:w w:val="105"/>
        </w:rPr>
        <w:t>Uno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objetivos</w:t>
      </w:r>
      <w:r>
        <w:rPr>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estimación,</w:t>
      </w:r>
      <w:r>
        <w:rPr>
          <w:color w:val="231F20"/>
          <w:spacing w:val="-21"/>
          <w:w w:val="105"/>
        </w:rPr>
        <w:t> </w:t>
      </w:r>
      <w:r>
        <w:rPr>
          <w:color w:val="231F20"/>
          <w:w w:val="105"/>
        </w:rPr>
        <w:t>si</w:t>
      </w:r>
      <w:r>
        <w:rPr>
          <w:color w:val="231F20"/>
          <w:spacing w:val="-16"/>
          <w:w w:val="105"/>
        </w:rPr>
        <w:t> </w:t>
      </w:r>
      <w:r>
        <w:rPr>
          <w:color w:val="231F20"/>
          <w:w w:val="105"/>
        </w:rPr>
        <w:t>las</w:t>
      </w:r>
      <w:r>
        <w:rPr>
          <w:color w:val="231F20"/>
          <w:spacing w:val="-16"/>
          <w:w w:val="105"/>
        </w:rPr>
        <w:t> </w:t>
      </w:r>
      <w:r>
        <w:rPr>
          <w:color w:val="231F20"/>
          <w:w w:val="105"/>
        </w:rPr>
        <w:t>hay,</w:t>
      </w:r>
      <w:r>
        <w:rPr>
          <w:color w:val="231F20"/>
          <w:spacing w:val="-21"/>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diferencias</w:t>
      </w:r>
      <w:r>
        <w:rPr>
          <w:color w:val="231F20"/>
          <w:spacing w:val="-16"/>
          <w:w w:val="105"/>
        </w:rPr>
        <w:t> </w:t>
      </w:r>
      <w:r>
        <w:rPr>
          <w:color w:val="231F20"/>
          <w:w w:val="105"/>
        </w:rPr>
        <w:t>en</w:t>
      </w:r>
      <w:r>
        <w:rPr>
          <w:color w:val="231F20"/>
          <w:spacing w:val="-16"/>
          <w:w w:val="105"/>
        </w:rPr>
        <w:t> </w:t>
      </w:r>
      <w:r>
        <w:rPr>
          <w:color w:val="231F20"/>
          <w:w w:val="105"/>
        </w:rPr>
        <w:t>los perfiles demográficos de los migrantes del Estado de México hacia Es- tados</w:t>
      </w:r>
      <w:r>
        <w:rPr>
          <w:color w:val="231F20"/>
          <w:spacing w:val="-11"/>
          <w:w w:val="105"/>
        </w:rPr>
        <w:t> </w:t>
      </w:r>
      <w:r>
        <w:rPr>
          <w:color w:val="231F20"/>
          <w:w w:val="105"/>
        </w:rPr>
        <w:t>Unidos,</w:t>
      </w:r>
      <w:r>
        <w:rPr>
          <w:color w:val="231F20"/>
          <w:spacing w:val="-17"/>
          <w:w w:val="105"/>
        </w:rPr>
        <w:t> </w:t>
      </w:r>
      <w:r>
        <w:rPr>
          <w:color w:val="231F20"/>
          <w:w w:val="105"/>
        </w:rPr>
        <w:t>por</w:t>
      </w:r>
      <w:r>
        <w:rPr>
          <w:color w:val="231F20"/>
          <w:spacing w:val="-11"/>
          <w:w w:val="105"/>
        </w:rPr>
        <w:t> </w:t>
      </w:r>
      <w:r>
        <w:rPr>
          <w:color w:val="231F20"/>
          <w:w w:val="105"/>
        </w:rPr>
        <w:t>esto</w:t>
      </w:r>
      <w:r>
        <w:rPr>
          <w:color w:val="231F20"/>
          <w:spacing w:val="-11"/>
          <w:w w:val="105"/>
        </w:rPr>
        <w:t> </w:t>
      </w:r>
      <w:r>
        <w:rPr>
          <w:color w:val="231F20"/>
          <w:w w:val="105"/>
        </w:rPr>
        <w:t>se</w:t>
      </w:r>
      <w:r>
        <w:rPr>
          <w:color w:val="231F20"/>
          <w:spacing w:val="-11"/>
          <w:w w:val="105"/>
        </w:rPr>
        <w:t> </w:t>
      </w:r>
      <w:r>
        <w:rPr>
          <w:color w:val="231F20"/>
          <w:w w:val="105"/>
        </w:rPr>
        <w:t>presenta</w:t>
      </w:r>
      <w:r>
        <w:rPr>
          <w:color w:val="231F20"/>
          <w:spacing w:val="-11"/>
          <w:w w:val="105"/>
        </w:rPr>
        <w:t> </w:t>
      </w:r>
      <w:r>
        <w:rPr>
          <w:color w:val="231F20"/>
          <w:w w:val="105"/>
        </w:rPr>
        <w:t>un</w:t>
      </w:r>
      <w:r>
        <w:rPr>
          <w:color w:val="231F20"/>
          <w:spacing w:val="-11"/>
          <w:w w:val="105"/>
        </w:rPr>
        <w:t> </w:t>
      </w:r>
      <w:r>
        <w:rPr>
          <w:color w:val="231F20"/>
          <w:w w:val="105"/>
        </w:rPr>
        <w:t>comparativo</w:t>
      </w:r>
      <w:r>
        <w:rPr>
          <w:color w:val="231F20"/>
          <w:spacing w:val="-11"/>
          <w:w w:val="105"/>
        </w:rPr>
        <w:t> </w:t>
      </w:r>
      <w:r>
        <w:rPr>
          <w:color w:val="231F20"/>
          <w:w w:val="105"/>
        </w:rPr>
        <w:t>de</w:t>
      </w:r>
      <w:r>
        <w:rPr>
          <w:color w:val="231F20"/>
          <w:spacing w:val="-11"/>
          <w:w w:val="105"/>
        </w:rPr>
        <w:t> </w:t>
      </w:r>
      <w:r>
        <w:rPr>
          <w:color w:val="231F20"/>
          <w:w w:val="105"/>
        </w:rPr>
        <w:t>ellos</w:t>
      </w:r>
      <w:r>
        <w:rPr>
          <w:color w:val="231F20"/>
          <w:spacing w:val="-11"/>
          <w:w w:val="105"/>
        </w:rPr>
        <w:t> </w:t>
      </w:r>
      <w:r>
        <w:rPr>
          <w:color w:val="231F20"/>
          <w:w w:val="105"/>
        </w:rPr>
        <w:t>con</w:t>
      </w:r>
      <w:r>
        <w:rPr>
          <w:color w:val="231F20"/>
          <w:spacing w:val="-11"/>
          <w:w w:val="105"/>
        </w:rPr>
        <w:t> </w:t>
      </w:r>
      <w:r>
        <w:rPr>
          <w:color w:val="231F20"/>
          <w:w w:val="105"/>
        </w:rPr>
        <w:t>base</w:t>
      </w:r>
      <w:r>
        <w:rPr>
          <w:color w:val="231F20"/>
          <w:spacing w:val="-11"/>
          <w:w w:val="105"/>
        </w:rPr>
        <w:t> </w:t>
      </w:r>
      <w:r>
        <w:rPr>
          <w:color w:val="231F20"/>
          <w:w w:val="105"/>
        </w:rPr>
        <w:t>en las</w:t>
      </w:r>
      <w:r>
        <w:rPr>
          <w:color w:val="231F20"/>
          <w:spacing w:val="-25"/>
          <w:w w:val="105"/>
        </w:rPr>
        <w:t> </w:t>
      </w:r>
      <w:r>
        <w:rPr>
          <w:color w:val="231F20"/>
          <w:w w:val="105"/>
        </w:rPr>
        <w:t>muestras</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censos</w:t>
      </w:r>
      <w:r>
        <w:rPr>
          <w:color w:val="231F20"/>
          <w:spacing w:val="-25"/>
          <w:w w:val="105"/>
        </w:rPr>
        <w:t> </w:t>
      </w:r>
      <w:r>
        <w:rPr>
          <w:color w:val="231F20"/>
          <w:w w:val="105"/>
        </w:rPr>
        <w:t>de</w:t>
      </w:r>
      <w:r>
        <w:rPr>
          <w:color w:val="231F20"/>
          <w:spacing w:val="-25"/>
          <w:w w:val="105"/>
        </w:rPr>
        <w:t> </w:t>
      </w:r>
      <w:r>
        <w:rPr>
          <w:color w:val="231F20"/>
          <w:w w:val="105"/>
        </w:rPr>
        <w:t>población</w:t>
      </w:r>
      <w:r>
        <w:rPr>
          <w:color w:val="231F20"/>
          <w:spacing w:val="-25"/>
          <w:w w:val="105"/>
        </w:rPr>
        <w:t> </w:t>
      </w:r>
      <w:r>
        <w:rPr>
          <w:color w:val="231F20"/>
          <w:w w:val="105"/>
        </w:rPr>
        <w:t>y</w:t>
      </w:r>
      <w:r>
        <w:rPr>
          <w:color w:val="231F20"/>
          <w:spacing w:val="-25"/>
          <w:w w:val="105"/>
        </w:rPr>
        <w:t> </w:t>
      </w:r>
      <w:r>
        <w:rPr>
          <w:color w:val="231F20"/>
          <w:w w:val="105"/>
        </w:rPr>
        <w:t>vivienda</w:t>
      </w:r>
      <w:r>
        <w:rPr>
          <w:color w:val="231F20"/>
          <w:spacing w:val="-25"/>
          <w:w w:val="105"/>
        </w:rPr>
        <w:t> </w:t>
      </w:r>
      <w:r>
        <w:rPr>
          <w:color w:val="231F20"/>
          <w:w w:val="105"/>
        </w:rPr>
        <w:t>de</w:t>
      </w:r>
      <w:r>
        <w:rPr>
          <w:color w:val="231F20"/>
          <w:spacing w:val="-25"/>
          <w:w w:val="105"/>
        </w:rPr>
        <w:t> </w:t>
      </w:r>
      <w:r>
        <w:rPr>
          <w:color w:val="231F20"/>
          <w:w w:val="105"/>
        </w:rPr>
        <w:t>2000</w:t>
      </w:r>
      <w:r>
        <w:rPr>
          <w:color w:val="231F20"/>
          <w:spacing w:val="-25"/>
          <w:w w:val="105"/>
        </w:rPr>
        <w:t> </w:t>
      </w:r>
      <w:r>
        <w:rPr>
          <w:color w:val="231F20"/>
          <w:w w:val="105"/>
        </w:rPr>
        <w:t>y</w:t>
      </w:r>
      <w:r>
        <w:rPr>
          <w:color w:val="231F20"/>
          <w:spacing w:val="-25"/>
          <w:w w:val="105"/>
        </w:rPr>
        <w:t> </w:t>
      </w:r>
      <w:r>
        <w:rPr>
          <w:color w:val="231F20"/>
          <w:w w:val="105"/>
        </w:rPr>
        <w:t>2010.</w:t>
      </w:r>
      <w:r>
        <w:rPr>
          <w:color w:val="231F20"/>
          <w:spacing w:val="-30"/>
          <w:w w:val="105"/>
        </w:rPr>
        <w:t> </w:t>
      </w:r>
      <w:r>
        <w:rPr>
          <w:color w:val="231F20"/>
          <w:w w:val="105"/>
        </w:rPr>
        <w:t>Estas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33088" from="15pt,-71.68644pt" to="0pt,-71.68644pt" stroked="true" strokeweight=".25pt" strokecolor="#000000">
            <w10:wrap type="none"/>
          </v:line>
        </w:pict>
      </w:r>
      <w:r>
        <w:rPr/>
        <w:pict>
          <v:line style="position:absolute;mso-position-horizontal-relative:page;mso-position-vertical-relative:paragraph;z-index:33112" from="508.890015pt,-71.68644pt" to="523.890015pt,-71.68644pt" stroked="true" strokeweight=".25pt" strokecolor="#000000">
            <w10:wrap type="none"/>
          </v:line>
        </w:pict>
      </w:r>
      <w:r>
        <w:rPr>
          <w:color w:val="231F20"/>
          <w:w w:val="105"/>
        </w:rPr>
        <w:t>fuentes</w:t>
      </w:r>
      <w:r>
        <w:rPr>
          <w:color w:val="231F20"/>
          <w:spacing w:val="-27"/>
          <w:w w:val="105"/>
        </w:rPr>
        <w:t> </w:t>
      </w:r>
      <w:r>
        <w:rPr>
          <w:color w:val="231F20"/>
          <w:w w:val="105"/>
        </w:rPr>
        <w:t>de</w:t>
      </w:r>
      <w:r>
        <w:rPr>
          <w:color w:val="231F20"/>
          <w:spacing w:val="-27"/>
          <w:w w:val="105"/>
        </w:rPr>
        <w:t> </w:t>
      </w:r>
      <w:r>
        <w:rPr>
          <w:color w:val="231F20"/>
          <w:w w:val="105"/>
        </w:rPr>
        <w:t>información</w:t>
      </w:r>
      <w:r>
        <w:rPr>
          <w:color w:val="231F20"/>
          <w:spacing w:val="-27"/>
          <w:w w:val="105"/>
        </w:rPr>
        <w:t> </w:t>
      </w:r>
      <w:r>
        <w:rPr>
          <w:color w:val="231F20"/>
          <w:w w:val="105"/>
        </w:rPr>
        <w:t>resultan</w:t>
      </w:r>
      <w:r>
        <w:rPr>
          <w:color w:val="231F20"/>
          <w:spacing w:val="-27"/>
          <w:w w:val="105"/>
        </w:rPr>
        <w:t> </w:t>
      </w:r>
      <w:r>
        <w:rPr>
          <w:color w:val="231F20"/>
          <w:w w:val="105"/>
        </w:rPr>
        <w:t>apropiadas,</w:t>
      </w:r>
      <w:r>
        <w:rPr>
          <w:color w:val="231F20"/>
          <w:spacing w:val="-32"/>
          <w:w w:val="105"/>
        </w:rPr>
        <w:t> </w:t>
      </w:r>
      <w:r>
        <w:rPr>
          <w:color w:val="231F20"/>
          <w:w w:val="105"/>
        </w:rPr>
        <w:t>pues</w:t>
      </w:r>
      <w:r>
        <w:rPr>
          <w:color w:val="231F20"/>
          <w:spacing w:val="-27"/>
          <w:w w:val="105"/>
        </w:rPr>
        <w:t> </w:t>
      </w:r>
      <w:r>
        <w:rPr>
          <w:color w:val="231F20"/>
          <w:w w:val="105"/>
        </w:rPr>
        <w:t>permiten</w:t>
      </w:r>
      <w:r>
        <w:rPr>
          <w:color w:val="231F20"/>
          <w:spacing w:val="-27"/>
          <w:w w:val="105"/>
        </w:rPr>
        <w:t> </w:t>
      </w:r>
      <w:r>
        <w:rPr>
          <w:color w:val="231F20"/>
          <w:w w:val="105"/>
        </w:rPr>
        <w:t>hacer</w:t>
      </w:r>
      <w:r>
        <w:rPr>
          <w:color w:val="231F20"/>
          <w:spacing w:val="-27"/>
          <w:w w:val="105"/>
        </w:rPr>
        <w:t> </w:t>
      </w:r>
      <w:r>
        <w:rPr>
          <w:color w:val="231F20"/>
          <w:w w:val="105"/>
        </w:rPr>
        <w:t>estima- ciones</w:t>
      </w:r>
      <w:r>
        <w:rPr>
          <w:color w:val="231F20"/>
          <w:spacing w:val="-18"/>
          <w:w w:val="105"/>
        </w:rPr>
        <w:t> </w:t>
      </w:r>
      <w:r>
        <w:rPr>
          <w:color w:val="231F20"/>
          <w:w w:val="105"/>
        </w:rPr>
        <w:t>a</w:t>
      </w:r>
      <w:r>
        <w:rPr>
          <w:color w:val="231F20"/>
          <w:spacing w:val="-18"/>
          <w:w w:val="105"/>
        </w:rPr>
        <w:t> </w:t>
      </w:r>
      <w:r>
        <w:rPr>
          <w:color w:val="231F20"/>
          <w:w w:val="105"/>
        </w:rPr>
        <w:t>nivel</w:t>
      </w:r>
      <w:r>
        <w:rPr>
          <w:color w:val="231F20"/>
          <w:spacing w:val="-18"/>
          <w:w w:val="105"/>
        </w:rPr>
        <w:t> </w:t>
      </w:r>
      <w:r>
        <w:rPr>
          <w:color w:val="231F20"/>
          <w:w w:val="105"/>
        </w:rPr>
        <w:t>municipal</w:t>
      </w:r>
      <w:r>
        <w:rPr>
          <w:color w:val="231F20"/>
          <w:spacing w:val="-18"/>
          <w:w w:val="105"/>
        </w:rPr>
        <w:t> </w:t>
      </w:r>
      <w:r>
        <w:rPr>
          <w:color w:val="231F20"/>
          <w:w w:val="105"/>
        </w:rPr>
        <w:t>y</w:t>
      </w:r>
      <w:r>
        <w:rPr>
          <w:color w:val="231F20"/>
          <w:spacing w:val="-18"/>
          <w:w w:val="105"/>
        </w:rPr>
        <w:t> </w:t>
      </w:r>
      <w:r>
        <w:rPr>
          <w:color w:val="231F20"/>
          <w:w w:val="105"/>
        </w:rPr>
        <w:t>contienen</w:t>
      </w:r>
      <w:r>
        <w:rPr>
          <w:color w:val="231F20"/>
          <w:spacing w:val="-18"/>
          <w:w w:val="105"/>
        </w:rPr>
        <w:t> </w:t>
      </w:r>
      <w:r>
        <w:rPr>
          <w:color w:val="231F20"/>
          <w:w w:val="105"/>
        </w:rPr>
        <w:t>información</w:t>
      </w:r>
      <w:r>
        <w:rPr>
          <w:color w:val="231F20"/>
          <w:spacing w:val="-18"/>
          <w:w w:val="105"/>
        </w:rPr>
        <w:t> </w:t>
      </w:r>
      <w:r>
        <w:rPr>
          <w:color w:val="231F20"/>
          <w:w w:val="105"/>
        </w:rPr>
        <w:t>relativa</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experiencia migratoria</w:t>
      </w:r>
      <w:r>
        <w:rPr>
          <w:color w:val="231F20"/>
          <w:spacing w:val="-7"/>
          <w:w w:val="105"/>
        </w:rPr>
        <w:t> </w:t>
      </w:r>
      <w:r>
        <w:rPr>
          <w:color w:val="231F20"/>
          <w:w w:val="105"/>
        </w:rPr>
        <w:t>a</w:t>
      </w:r>
      <w:r>
        <w:rPr>
          <w:color w:val="231F20"/>
          <w:spacing w:val="-7"/>
          <w:w w:val="105"/>
        </w:rPr>
        <w:t> </w:t>
      </w:r>
      <w:r>
        <w:rPr>
          <w:color w:val="231F20"/>
          <w:w w:val="105"/>
        </w:rPr>
        <w:t>nivel</w:t>
      </w:r>
      <w:r>
        <w:rPr>
          <w:color w:val="231F20"/>
          <w:spacing w:val="-7"/>
          <w:w w:val="105"/>
        </w:rPr>
        <w:t> </w:t>
      </w:r>
      <w:r>
        <w:rPr>
          <w:color w:val="231F20"/>
          <w:w w:val="105"/>
        </w:rPr>
        <w:t>de</w:t>
      </w:r>
      <w:r>
        <w:rPr>
          <w:color w:val="231F20"/>
          <w:spacing w:val="-7"/>
          <w:w w:val="105"/>
        </w:rPr>
        <w:t> </w:t>
      </w:r>
      <w:r>
        <w:rPr>
          <w:color w:val="231F20"/>
          <w:w w:val="105"/>
        </w:rPr>
        <w:t>hogares</w:t>
      </w:r>
      <w:r>
        <w:rPr>
          <w:color w:val="231F20"/>
          <w:spacing w:val="-7"/>
          <w:w w:val="105"/>
        </w:rPr>
        <w:t> </w:t>
      </w:r>
      <w:r>
        <w:rPr>
          <w:color w:val="231F20"/>
          <w:w w:val="105"/>
        </w:rPr>
        <w:t>y</w:t>
      </w:r>
      <w:r>
        <w:rPr>
          <w:color w:val="231F20"/>
          <w:spacing w:val="-7"/>
          <w:w w:val="105"/>
        </w:rPr>
        <w:t> </w:t>
      </w:r>
      <w:r>
        <w:rPr>
          <w:color w:val="231F20"/>
          <w:w w:val="105"/>
        </w:rPr>
        <w:t>viviendas.</w:t>
      </w:r>
      <w:r>
        <w:rPr>
          <w:color w:val="231F20"/>
          <w:spacing w:val="-12"/>
          <w:w w:val="105"/>
        </w:rPr>
        <w:t> </w:t>
      </w:r>
      <w:r>
        <w:rPr>
          <w:color w:val="231F20"/>
          <w:spacing w:val="-4"/>
          <w:w w:val="105"/>
        </w:rPr>
        <w:t>Para</w:t>
      </w:r>
      <w:r>
        <w:rPr>
          <w:color w:val="231F20"/>
          <w:spacing w:val="-7"/>
          <w:w w:val="105"/>
        </w:rPr>
        <w:t> </w:t>
      </w:r>
      <w:r>
        <w:rPr>
          <w:color w:val="231F20"/>
          <w:w w:val="105"/>
        </w:rPr>
        <w:t>nuestro</w:t>
      </w:r>
      <w:r>
        <w:rPr>
          <w:color w:val="231F20"/>
          <w:spacing w:val="-7"/>
          <w:w w:val="105"/>
        </w:rPr>
        <w:t> </w:t>
      </w:r>
      <w:r>
        <w:rPr>
          <w:color w:val="231F20"/>
          <w:w w:val="105"/>
        </w:rPr>
        <w:t>análisis</w:t>
      </w:r>
      <w:r>
        <w:rPr>
          <w:color w:val="231F20"/>
          <w:spacing w:val="-7"/>
          <w:w w:val="105"/>
        </w:rPr>
        <w:t> </w:t>
      </w:r>
      <w:r>
        <w:rPr>
          <w:color w:val="231F20"/>
          <w:w w:val="105"/>
        </w:rPr>
        <w:t>se</w:t>
      </w:r>
      <w:r>
        <w:rPr>
          <w:color w:val="231F20"/>
          <w:spacing w:val="-7"/>
          <w:w w:val="105"/>
        </w:rPr>
        <w:t> </w:t>
      </w:r>
      <w:r>
        <w:rPr>
          <w:color w:val="231F20"/>
          <w:w w:val="105"/>
        </w:rPr>
        <w:t>iden- tificaron tres tipos de migrantes con base en los indicadores utilizados por el Consejo Nacional de Población para la estimación de los</w:t>
      </w:r>
      <w:r>
        <w:rPr>
          <w:color w:val="231F20"/>
          <w:spacing w:val="-11"/>
          <w:w w:val="105"/>
        </w:rPr>
        <w:t> </w:t>
      </w:r>
      <w:r>
        <w:rPr>
          <w:color w:val="231F20"/>
          <w:w w:val="105"/>
        </w:rPr>
        <w:t>Índices de</w:t>
      </w:r>
      <w:r>
        <w:rPr>
          <w:color w:val="231F20"/>
          <w:spacing w:val="-28"/>
          <w:w w:val="105"/>
        </w:rPr>
        <w:t> </w:t>
      </w:r>
      <w:r>
        <w:rPr>
          <w:color w:val="231F20"/>
          <w:w w:val="105"/>
        </w:rPr>
        <w:t>Intensidad</w:t>
      </w:r>
      <w:r>
        <w:rPr>
          <w:color w:val="231F20"/>
          <w:spacing w:val="-28"/>
          <w:w w:val="105"/>
        </w:rPr>
        <w:t> </w:t>
      </w:r>
      <w:r>
        <w:rPr>
          <w:color w:val="231F20"/>
          <w:w w:val="105"/>
        </w:rPr>
        <w:t>Migratoria</w:t>
      </w:r>
      <w:r>
        <w:rPr>
          <w:color w:val="231F20"/>
          <w:spacing w:val="-28"/>
          <w:w w:val="105"/>
        </w:rPr>
        <w:t> </w:t>
      </w:r>
      <w:r>
        <w:rPr>
          <w:color w:val="231F20"/>
          <w:w w:val="105"/>
        </w:rPr>
        <w:t>México</w:t>
      </w:r>
      <w:r>
        <w:rPr>
          <w:color w:val="231F20"/>
          <w:spacing w:val="-28"/>
          <w:w w:val="105"/>
        </w:rPr>
        <w:t> </w:t>
      </w:r>
      <w:r>
        <w:rPr>
          <w:color w:val="231F20"/>
          <w:w w:val="105"/>
        </w:rPr>
        <w:t>Estados</w:t>
      </w:r>
      <w:r>
        <w:rPr>
          <w:color w:val="231F20"/>
          <w:spacing w:val="-28"/>
          <w:w w:val="105"/>
        </w:rPr>
        <w:t> </w:t>
      </w:r>
      <w:r>
        <w:rPr>
          <w:color w:val="231F20"/>
          <w:w w:val="105"/>
        </w:rPr>
        <w:t>Unidos</w:t>
      </w:r>
      <w:r>
        <w:rPr>
          <w:color w:val="231F20"/>
          <w:spacing w:val="-28"/>
          <w:w w:val="105"/>
        </w:rPr>
        <w:t> </w:t>
      </w:r>
      <w:r>
        <w:rPr>
          <w:color w:val="231F20"/>
          <w:w w:val="105"/>
        </w:rPr>
        <w:t>(</w:t>
      </w:r>
      <w:r>
        <w:rPr>
          <w:color w:val="231F20"/>
          <w:w w:val="105"/>
          <w:sz w:val="17"/>
        </w:rPr>
        <w:t>CONAPO</w:t>
      </w:r>
      <w:r>
        <w:rPr>
          <w:color w:val="231F20"/>
          <w:w w:val="105"/>
        </w:rPr>
        <w:t>,</w:t>
      </w:r>
      <w:r>
        <w:rPr>
          <w:color w:val="231F20"/>
          <w:spacing w:val="-32"/>
          <w:w w:val="105"/>
        </w:rPr>
        <w:t> </w:t>
      </w:r>
      <w:r>
        <w:rPr>
          <w:color w:val="231F20"/>
          <w:w w:val="105"/>
        </w:rPr>
        <w:t>2002;</w:t>
      </w:r>
      <w:r>
        <w:rPr>
          <w:color w:val="231F20"/>
          <w:spacing w:val="-28"/>
          <w:w w:val="105"/>
        </w:rPr>
        <w:t> </w:t>
      </w:r>
      <w:r>
        <w:rPr>
          <w:color w:val="231F20"/>
          <w:w w:val="105"/>
          <w:sz w:val="17"/>
        </w:rPr>
        <w:t>CONAPO </w:t>
      </w:r>
      <w:r>
        <w:rPr>
          <w:color w:val="231F20"/>
          <w:w w:val="105"/>
        </w:rPr>
        <w:t>2012).</w:t>
      </w:r>
      <w:r>
        <w:rPr>
          <w:color w:val="231F20"/>
          <w:spacing w:val="-43"/>
          <w:w w:val="105"/>
        </w:rPr>
        <w:t> </w:t>
      </w:r>
      <w:r>
        <w:rPr>
          <w:color w:val="231F20"/>
          <w:w w:val="105"/>
        </w:rPr>
        <w:t>Las</w:t>
      </w:r>
      <w:r>
        <w:rPr>
          <w:color w:val="231F20"/>
          <w:spacing w:val="-41"/>
          <w:w w:val="105"/>
        </w:rPr>
        <w:t> </w:t>
      </w:r>
      <w:r>
        <w:rPr>
          <w:color w:val="231F20"/>
          <w:w w:val="105"/>
        </w:rPr>
        <w:t>categorías</w:t>
      </w:r>
      <w:r>
        <w:rPr>
          <w:color w:val="231F20"/>
          <w:spacing w:val="-41"/>
          <w:w w:val="105"/>
        </w:rPr>
        <w:t> </w:t>
      </w:r>
      <w:r>
        <w:rPr>
          <w:color w:val="231F20"/>
          <w:w w:val="105"/>
        </w:rPr>
        <w:t>son:</w:t>
      </w:r>
    </w:p>
    <w:p>
      <w:pPr>
        <w:pStyle w:val="BodyText"/>
        <w:rPr>
          <w:sz w:val="23"/>
        </w:rPr>
      </w:pPr>
    </w:p>
    <w:p>
      <w:pPr>
        <w:pStyle w:val="ListParagraph"/>
        <w:numPr>
          <w:ilvl w:val="0"/>
          <w:numId w:val="6"/>
        </w:numPr>
        <w:tabs>
          <w:tab w:pos="2935" w:val="left" w:leader="none"/>
        </w:tabs>
        <w:spacing w:line="261" w:lineRule="auto" w:before="0" w:after="0"/>
        <w:ind w:left="2934" w:right="1835" w:hanging="360"/>
        <w:jc w:val="both"/>
        <w:rPr>
          <w:sz w:val="21"/>
        </w:rPr>
      </w:pPr>
      <w:r>
        <w:rPr>
          <w:color w:val="231F20"/>
          <w:w w:val="105"/>
          <w:sz w:val="21"/>
        </w:rPr>
        <w:t>Migrantes de retorno: aquellas personas que cinco años antes</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los</w:t>
      </w:r>
      <w:r>
        <w:rPr>
          <w:color w:val="231F20"/>
          <w:spacing w:val="-10"/>
          <w:w w:val="105"/>
          <w:sz w:val="21"/>
        </w:rPr>
        <w:t> </w:t>
      </w:r>
      <w:r>
        <w:rPr>
          <w:color w:val="231F20"/>
          <w:w w:val="105"/>
          <w:sz w:val="21"/>
        </w:rPr>
        <w:t>levantamientos</w:t>
      </w:r>
      <w:r>
        <w:rPr>
          <w:color w:val="231F20"/>
          <w:spacing w:val="-10"/>
          <w:w w:val="105"/>
          <w:sz w:val="21"/>
        </w:rPr>
        <w:t> </w:t>
      </w:r>
      <w:r>
        <w:rPr>
          <w:color w:val="231F20"/>
          <w:w w:val="105"/>
          <w:sz w:val="21"/>
        </w:rPr>
        <w:t>censales</w:t>
      </w:r>
      <w:r>
        <w:rPr>
          <w:color w:val="231F20"/>
          <w:spacing w:val="-10"/>
          <w:w w:val="105"/>
          <w:sz w:val="21"/>
        </w:rPr>
        <w:t> </w:t>
      </w:r>
      <w:r>
        <w:rPr>
          <w:color w:val="231F20"/>
          <w:w w:val="105"/>
          <w:sz w:val="21"/>
        </w:rPr>
        <w:t>vivían</w:t>
      </w:r>
      <w:r>
        <w:rPr>
          <w:color w:val="231F20"/>
          <w:spacing w:val="-10"/>
          <w:w w:val="105"/>
          <w:sz w:val="21"/>
        </w:rPr>
        <w:t> </w:t>
      </w:r>
      <w:r>
        <w:rPr>
          <w:color w:val="231F20"/>
          <w:w w:val="105"/>
          <w:sz w:val="21"/>
        </w:rPr>
        <w:t>en</w:t>
      </w:r>
      <w:r>
        <w:rPr>
          <w:color w:val="231F20"/>
          <w:spacing w:val="-10"/>
          <w:w w:val="105"/>
          <w:sz w:val="21"/>
        </w:rPr>
        <w:t> </w:t>
      </w:r>
      <w:r>
        <w:rPr>
          <w:color w:val="231F20"/>
          <w:w w:val="105"/>
          <w:sz w:val="21"/>
        </w:rPr>
        <w:t>los</w:t>
      </w:r>
      <w:r>
        <w:rPr>
          <w:color w:val="231F20"/>
          <w:spacing w:val="-10"/>
          <w:w w:val="105"/>
          <w:sz w:val="21"/>
        </w:rPr>
        <w:t> </w:t>
      </w:r>
      <w:r>
        <w:rPr>
          <w:color w:val="231F20"/>
          <w:w w:val="105"/>
          <w:sz w:val="21"/>
        </w:rPr>
        <w:t>Estados Unidos</w:t>
      </w:r>
      <w:r>
        <w:rPr>
          <w:color w:val="231F20"/>
          <w:spacing w:val="-11"/>
          <w:w w:val="105"/>
          <w:sz w:val="21"/>
        </w:rPr>
        <w:t> </w:t>
      </w:r>
      <w:r>
        <w:rPr>
          <w:color w:val="231F20"/>
          <w:w w:val="105"/>
          <w:sz w:val="21"/>
        </w:rPr>
        <w:t>y</w:t>
      </w:r>
      <w:r>
        <w:rPr>
          <w:color w:val="231F20"/>
          <w:spacing w:val="-11"/>
          <w:w w:val="105"/>
          <w:sz w:val="21"/>
        </w:rPr>
        <w:t> </w:t>
      </w:r>
      <w:r>
        <w:rPr>
          <w:color w:val="231F20"/>
          <w:w w:val="105"/>
          <w:sz w:val="21"/>
        </w:rPr>
        <w:t>quienes</w:t>
      </w:r>
      <w:r>
        <w:rPr>
          <w:color w:val="231F20"/>
          <w:spacing w:val="-11"/>
          <w:w w:val="105"/>
          <w:sz w:val="21"/>
        </w:rPr>
        <w:t> </w:t>
      </w:r>
      <w:r>
        <w:rPr>
          <w:color w:val="231F20"/>
          <w:w w:val="105"/>
          <w:sz w:val="21"/>
        </w:rPr>
        <w:t>al</w:t>
      </w:r>
      <w:r>
        <w:rPr>
          <w:color w:val="231F20"/>
          <w:spacing w:val="-11"/>
          <w:w w:val="105"/>
          <w:sz w:val="21"/>
        </w:rPr>
        <w:t> </w:t>
      </w:r>
      <w:r>
        <w:rPr>
          <w:color w:val="231F20"/>
          <w:w w:val="105"/>
          <w:sz w:val="21"/>
        </w:rPr>
        <w:t>momento</w:t>
      </w:r>
      <w:r>
        <w:rPr>
          <w:color w:val="231F20"/>
          <w:spacing w:val="-11"/>
          <w:w w:val="105"/>
          <w:sz w:val="21"/>
        </w:rPr>
        <w:t> </w:t>
      </w:r>
      <w:r>
        <w:rPr>
          <w:color w:val="231F20"/>
          <w:w w:val="105"/>
          <w:sz w:val="21"/>
        </w:rPr>
        <w:t>del</w:t>
      </w:r>
      <w:r>
        <w:rPr>
          <w:color w:val="231F20"/>
          <w:spacing w:val="-11"/>
          <w:w w:val="105"/>
          <w:sz w:val="21"/>
        </w:rPr>
        <w:t> </w:t>
      </w:r>
      <w:r>
        <w:rPr>
          <w:color w:val="231F20"/>
          <w:w w:val="105"/>
          <w:sz w:val="21"/>
        </w:rPr>
        <w:t>censo</w:t>
      </w:r>
      <w:r>
        <w:rPr>
          <w:color w:val="231F20"/>
          <w:spacing w:val="-11"/>
          <w:w w:val="105"/>
          <w:sz w:val="21"/>
        </w:rPr>
        <w:t> </w:t>
      </w:r>
      <w:r>
        <w:rPr>
          <w:color w:val="231F20"/>
          <w:w w:val="105"/>
          <w:sz w:val="21"/>
        </w:rPr>
        <w:t>se</w:t>
      </w:r>
      <w:r>
        <w:rPr>
          <w:color w:val="231F20"/>
          <w:spacing w:val="-11"/>
          <w:w w:val="105"/>
          <w:sz w:val="21"/>
        </w:rPr>
        <w:t> </w:t>
      </w:r>
      <w:r>
        <w:rPr>
          <w:color w:val="231F20"/>
          <w:w w:val="105"/>
          <w:sz w:val="21"/>
        </w:rPr>
        <w:t>encontraban</w:t>
      </w:r>
      <w:r>
        <w:rPr>
          <w:color w:val="231F20"/>
          <w:spacing w:val="-11"/>
          <w:w w:val="105"/>
          <w:sz w:val="21"/>
        </w:rPr>
        <w:t> </w:t>
      </w:r>
      <w:r>
        <w:rPr>
          <w:color w:val="231F20"/>
          <w:w w:val="105"/>
          <w:sz w:val="21"/>
        </w:rPr>
        <w:t>re- sidiendo</w:t>
      </w:r>
      <w:r>
        <w:rPr>
          <w:color w:val="231F20"/>
          <w:spacing w:val="-13"/>
          <w:w w:val="105"/>
          <w:sz w:val="21"/>
        </w:rPr>
        <w:t> </w:t>
      </w:r>
      <w:r>
        <w:rPr>
          <w:color w:val="231F20"/>
          <w:w w:val="105"/>
          <w:sz w:val="21"/>
        </w:rPr>
        <w:t>en</w:t>
      </w:r>
      <w:r>
        <w:rPr>
          <w:color w:val="231F20"/>
          <w:spacing w:val="-13"/>
          <w:w w:val="105"/>
          <w:sz w:val="21"/>
        </w:rPr>
        <w:t> </w:t>
      </w:r>
      <w:r>
        <w:rPr>
          <w:color w:val="231F20"/>
          <w:w w:val="105"/>
          <w:sz w:val="21"/>
        </w:rPr>
        <w:t>el</w:t>
      </w:r>
      <w:r>
        <w:rPr>
          <w:color w:val="231F20"/>
          <w:spacing w:val="-13"/>
          <w:w w:val="105"/>
          <w:sz w:val="21"/>
        </w:rPr>
        <w:t> </w:t>
      </w:r>
      <w:r>
        <w:rPr>
          <w:color w:val="231F20"/>
          <w:w w:val="105"/>
          <w:sz w:val="21"/>
        </w:rPr>
        <w:t>Estado</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México.</w:t>
      </w:r>
    </w:p>
    <w:p>
      <w:pPr>
        <w:pStyle w:val="ListParagraph"/>
        <w:numPr>
          <w:ilvl w:val="0"/>
          <w:numId w:val="6"/>
        </w:numPr>
        <w:tabs>
          <w:tab w:pos="2935" w:val="left" w:leader="none"/>
        </w:tabs>
        <w:spacing w:line="261" w:lineRule="auto" w:before="171" w:after="0"/>
        <w:ind w:left="2934" w:right="1835" w:hanging="360"/>
        <w:jc w:val="both"/>
        <w:rPr>
          <w:sz w:val="21"/>
        </w:rPr>
      </w:pPr>
      <w:r>
        <w:rPr>
          <w:color w:val="231F20"/>
          <w:w w:val="105"/>
          <w:sz w:val="21"/>
        </w:rPr>
        <w:t>Emigrantes</w:t>
      </w:r>
      <w:r>
        <w:rPr>
          <w:color w:val="231F20"/>
          <w:spacing w:val="-23"/>
          <w:w w:val="105"/>
          <w:sz w:val="21"/>
        </w:rPr>
        <w:t> </w:t>
      </w:r>
      <w:r>
        <w:rPr>
          <w:color w:val="231F20"/>
          <w:w w:val="105"/>
          <w:sz w:val="21"/>
        </w:rPr>
        <w:t>a</w:t>
      </w:r>
      <w:r>
        <w:rPr>
          <w:color w:val="231F20"/>
          <w:spacing w:val="-23"/>
          <w:w w:val="105"/>
          <w:sz w:val="21"/>
        </w:rPr>
        <w:t> </w:t>
      </w:r>
      <w:r>
        <w:rPr>
          <w:color w:val="231F20"/>
          <w:w w:val="105"/>
          <w:sz w:val="21"/>
        </w:rPr>
        <w:t>Estados</w:t>
      </w:r>
      <w:r>
        <w:rPr>
          <w:color w:val="231F20"/>
          <w:spacing w:val="-23"/>
          <w:w w:val="105"/>
          <w:sz w:val="21"/>
        </w:rPr>
        <w:t> </w:t>
      </w:r>
      <w:r>
        <w:rPr>
          <w:color w:val="231F20"/>
          <w:w w:val="105"/>
          <w:sz w:val="21"/>
        </w:rPr>
        <w:t>Unidos:</w:t>
      </w:r>
      <w:r>
        <w:rPr>
          <w:color w:val="231F20"/>
          <w:spacing w:val="-23"/>
          <w:w w:val="105"/>
          <w:sz w:val="21"/>
        </w:rPr>
        <w:t> </w:t>
      </w:r>
      <w:r>
        <w:rPr>
          <w:color w:val="231F20"/>
          <w:w w:val="105"/>
          <w:sz w:val="21"/>
        </w:rPr>
        <w:t>antiguos</w:t>
      </w:r>
      <w:r>
        <w:rPr>
          <w:color w:val="231F20"/>
          <w:spacing w:val="-23"/>
          <w:w w:val="105"/>
          <w:sz w:val="21"/>
        </w:rPr>
        <w:t> </w:t>
      </w:r>
      <w:r>
        <w:rPr>
          <w:color w:val="231F20"/>
          <w:w w:val="105"/>
          <w:sz w:val="21"/>
        </w:rPr>
        <w:t>residentes</w:t>
      </w:r>
      <w:r>
        <w:rPr>
          <w:color w:val="231F20"/>
          <w:spacing w:val="-23"/>
          <w:w w:val="105"/>
          <w:sz w:val="21"/>
        </w:rPr>
        <w:t> </w:t>
      </w:r>
      <w:r>
        <w:rPr>
          <w:color w:val="231F20"/>
          <w:w w:val="105"/>
          <w:sz w:val="21"/>
        </w:rPr>
        <w:t>del</w:t>
      </w:r>
      <w:r>
        <w:rPr>
          <w:color w:val="231F20"/>
          <w:spacing w:val="-23"/>
          <w:w w:val="105"/>
          <w:sz w:val="21"/>
        </w:rPr>
        <w:t> </w:t>
      </w:r>
      <w:r>
        <w:rPr>
          <w:color w:val="231F20"/>
          <w:w w:val="105"/>
          <w:sz w:val="21"/>
        </w:rPr>
        <w:t>Esta- do de México que migraron a Estados Unidos durante los cinco</w:t>
      </w:r>
      <w:r>
        <w:rPr>
          <w:color w:val="231F20"/>
          <w:spacing w:val="-12"/>
          <w:w w:val="105"/>
          <w:sz w:val="21"/>
        </w:rPr>
        <w:t> </w:t>
      </w:r>
      <w:r>
        <w:rPr>
          <w:color w:val="231F20"/>
          <w:w w:val="105"/>
          <w:sz w:val="21"/>
        </w:rPr>
        <w:t>años</w:t>
      </w:r>
      <w:r>
        <w:rPr>
          <w:color w:val="231F20"/>
          <w:spacing w:val="-12"/>
          <w:w w:val="105"/>
          <w:sz w:val="21"/>
        </w:rPr>
        <w:t> </w:t>
      </w:r>
      <w:r>
        <w:rPr>
          <w:color w:val="231F20"/>
          <w:w w:val="105"/>
          <w:sz w:val="21"/>
        </w:rPr>
        <w:t>previos</w:t>
      </w:r>
      <w:r>
        <w:rPr>
          <w:color w:val="231F20"/>
          <w:spacing w:val="-12"/>
          <w:w w:val="105"/>
          <w:sz w:val="21"/>
        </w:rPr>
        <w:t> </w:t>
      </w:r>
      <w:r>
        <w:rPr>
          <w:color w:val="231F20"/>
          <w:w w:val="105"/>
          <w:sz w:val="21"/>
        </w:rPr>
        <w:t>al</w:t>
      </w:r>
      <w:r>
        <w:rPr>
          <w:color w:val="231F20"/>
          <w:spacing w:val="-12"/>
          <w:w w:val="105"/>
          <w:sz w:val="21"/>
        </w:rPr>
        <w:t> </w:t>
      </w:r>
      <w:r>
        <w:rPr>
          <w:color w:val="231F20"/>
          <w:w w:val="105"/>
          <w:sz w:val="21"/>
        </w:rPr>
        <w:t>censo</w:t>
      </w:r>
      <w:r>
        <w:rPr>
          <w:color w:val="231F20"/>
          <w:spacing w:val="-12"/>
          <w:w w:val="105"/>
          <w:sz w:val="21"/>
        </w:rPr>
        <w:t> </w:t>
      </w:r>
      <w:r>
        <w:rPr>
          <w:color w:val="231F20"/>
          <w:w w:val="105"/>
          <w:sz w:val="21"/>
        </w:rPr>
        <w:t>y</w:t>
      </w:r>
      <w:r>
        <w:rPr>
          <w:color w:val="231F20"/>
          <w:spacing w:val="-12"/>
          <w:w w:val="105"/>
          <w:sz w:val="21"/>
        </w:rPr>
        <w:t> </w:t>
      </w:r>
      <w:r>
        <w:rPr>
          <w:color w:val="231F20"/>
          <w:w w:val="105"/>
          <w:sz w:val="21"/>
        </w:rPr>
        <w:t>se</w:t>
      </w:r>
      <w:r>
        <w:rPr>
          <w:color w:val="231F20"/>
          <w:spacing w:val="-12"/>
          <w:w w:val="105"/>
          <w:sz w:val="21"/>
        </w:rPr>
        <w:t> </w:t>
      </w:r>
      <w:r>
        <w:rPr>
          <w:color w:val="231F20"/>
          <w:w w:val="105"/>
          <w:sz w:val="21"/>
        </w:rPr>
        <w:t>encontraban</w:t>
      </w:r>
      <w:r>
        <w:rPr>
          <w:color w:val="231F20"/>
          <w:spacing w:val="-12"/>
          <w:w w:val="105"/>
          <w:sz w:val="21"/>
        </w:rPr>
        <w:t> </w:t>
      </w:r>
      <w:r>
        <w:rPr>
          <w:color w:val="231F20"/>
          <w:w w:val="105"/>
          <w:sz w:val="21"/>
        </w:rPr>
        <w:t>en</w:t>
      </w:r>
      <w:r>
        <w:rPr>
          <w:color w:val="231F20"/>
          <w:spacing w:val="-12"/>
          <w:w w:val="105"/>
          <w:sz w:val="21"/>
        </w:rPr>
        <w:t> </w:t>
      </w:r>
      <w:r>
        <w:rPr>
          <w:color w:val="231F20"/>
          <w:w w:val="105"/>
          <w:sz w:val="21"/>
        </w:rPr>
        <w:t>aquel</w:t>
      </w:r>
      <w:r>
        <w:rPr>
          <w:color w:val="231F20"/>
          <w:spacing w:val="-12"/>
          <w:w w:val="105"/>
          <w:sz w:val="21"/>
        </w:rPr>
        <w:t> </w:t>
      </w:r>
      <w:r>
        <w:rPr>
          <w:color w:val="231F20"/>
          <w:w w:val="105"/>
          <w:sz w:val="21"/>
        </w:rPr>
        <w:t>país al</w:t>
      </w:r>
      <w:r>
        <w:rPr>
          <w:color w:val="231F20"/>
          <w:spacing w:val="-15"/>
          <w:w w:val="105"/>
          <w:sz w:val="21"/>
        </w:rPr>
        <w:t> </w:t>
      </w:r>
      <w:r>
        <w:rPr>
          <w:color w:val="231F20"/>
          <w:w w:val="105"/>
          <w:sz w:val="21"/>
        </w:rPr>
        <w:t>momento</w:t>
      </w:r>
      <w:r>
        <w:rPr>
          <w:color w:val="231F20"/>
          <w:spacing w:val="-15"/>
          <w:w w:val="105"/>
          <w:sz w:val="21"/>
        </w:rPr>
        <w:t> </w:t>
      </w:r>
      <w:r>
        <w:rPr>
          <w:color w:val="231F20"/>
          <w:w w:val="105"/>
          <w:sz w:val="21"/>
        </w:rPr>
        <w:t>del</w:t>
      </w:r>
      <w:r>
        <w:rPr>
          <w:color w:val="231F20"/>
          <w:spacing w:val="-15"/>
          <w:w w:val="105"/>
          <w:sz w:val="21"/>
        </w:rPr>
        <w:t> </w:t>
      </w:r>
      <w:r>
        <w:rPr>
          <w:color w:val="231F20"/>
          <w:w w:val="105"/>
          <w:sz w:val="21"/>
        </w:rPr>
        <w:t>levantamiento</w:t>
      </w:r>
      <w:r>
        <w:rPr>
          <w:color w:val="231F20"/>
          <w:spacing w:val="-15"/>
          <w:w w:val="105"/>
          <w:sz w:val="21"/>
        </w:rPr>
        <w:t> </w:t>
      </w:r>
      <w:r>
        <w:rPr>
          <w:color w:val="231F20"/>
          <w:w w:val="105"/>
          <w:sz w:val="21"/>
        </w:rPr>
        <w:t>censal.</w:t>
      </w:r>
    </w:p>
    <w:p>
      <w:pPr>
        <w:pStyle w:val="ListParagraph"/>
        <w:numPr>
          <w:ilvl w:val="0"/>
          <w:numId w:val="6"/>
        </w:numPr>
        <w:tabs>
          <w:tab w:pos="2935" w:val="left" w:leader="none"/>
        </w:tabs>
        <w:spacing w:line="261" w:lineRule="auto" w:before="171" w:after="0"/>
        <w:ind w:left="2934" w:right="1835" w:hanging="360"/>
        <w:jc w:val="both"/>
        <w:rPr>
          <w:sz w:val="21"/>
        </w:rPr>
      </w:pPr>
      <w:r>
        <w:rPr>
          <w:color w:val="231F20"/>
          <w:w w:val="105"/>
          <w:sz w:val="21"/>
        </w:rPr>
        <w:t>Migrantes circulares: personas que vivían en el Estado de México</w:t>
      </w:r>
      <w:r>
        <w:rPr>
          <w:color w:val="231F20"/>
          <w:spacing w:val="-19"/>
          <w:w w:val="105"/>
          <w:sz w:val="21"/>
        </w:rPr>
        <w:t> </w:t>
      </w:r>
      <w:r>
        <w:rPr>
          <w:color w:val="231F20"/>
          <w:w w:val="105"/>
          <w:sz w:val="21"/>
        </w:rPr>
        <w:t>y</w:t>
      </w:r>
      <w:r>
        <w:rPr>
          <w:color w:val="231F20"/>
          <w:spacing w:val="-19"/>
          <w:w w:val="105"/>
          <w:sz w:val="21"/>
        </w:rPr>
        <w:t> </w:t>
      </w:r>
      <w:r>
        <w:rPr>
          <w:color w:val="231F20"/>
          <w:w w:val="105"/>
          <w:sz w:val="21"/>
        </w:rPr>
        <w:t>se</w:t>
      </w:r>
      <w:r>
        <w:rPr>
          <w:color w:val="231F20"/>
          <w:spacing w:val="-19"/>
          <w:w w:val="105"/>
          <w:sz w:val="21"/>
        </w:rPr>
        <w:t> </w:t>
      </w:r>
      <w:r>
        <w:rPr>
          <w:color w:val="231F20"/>
          <w:w w:val="105"/>
          <w:sz w:val="21"/>
        </w:rPr>
        <w:t>fueron</w:t>
      </w:r>
      <w:r>
        <w:rPr>
          <w:color w:val="231F20"/>
          <w:spacing w:val="-19"/>
          <w:w w:val="105"/>
          <w:sz w:val="21"/>
        </w:rPr>
        <w:t> </w:t>
      </w:r>
      <w:r>
        <w:rPr>
          <w:color w:val="231F20"/>
          <w:w w:val="105"/>
          <w:sz w:val="21"/>
        </w:rPr>
        <w:t>a</w:t>
      </w:r>
      <w:r>
        <w:rPr>
          <w:color w:val="231F20"/>
          <w:spacing w:val="-19"/>
          <w:w w:val="105"/>
          <w:sz w:val="21"/>
        </w:rPr>
        <w:t> </w:t>
      </w:r>
      <w:r>
        <w:rPr>
          <w:color w:val="231F20"/>
          <w:w w:val="105"/>
          <w:sz w:val="21"/>
        </w:rPr>
        <w:t>Estados</w:t>
      </w:r>
      <w:r>
        <w:rPr>
          <w:color w:val="231F20"/>
          <w:spacing w:val="-19"/>
          <w:w w:val="105"/>
          <w:sz w:val="21"/>
        </w:rPr>
        <w:t> </w:t>
      </w:r>
      <w:r>
        <w:rPr>
          <w:color w:val="231F20"/>
          <w:w w:val="105"/>
          <w:sz w:val="21"/>
        </w:rPr>
        <w:t>Unidos</w:t>
      </w:r>
      <w:r>
        <w:rPr>
          <w:color w:val="231F20"/>
          <w:spacing w:val="-19"/>
          <w:w w:val="105"/>
          <w:sz w:val="21"/>
        </w:rPr>
        <w:t> </w:t>
      </w:r>
      <w:r>
        <w:rPr>
          <w:color w:val="231F20"/>
          <w:w w:val="105"/>
          <w:sz w:val="21"/>
        </w:rPr>
        <w:t>durante</w:t>
      </w:r>
      <w:r>
        <w:rPr>
          <w:color w:val="231F20"/>
          <w:spacing w:val="-19"/>
          <w:w w:val="105"/>
          <w:sz w:val="21"/>
        </w:rPr>
        <w:t> </w:t>
      </w:r>
      <w:r>
        <w:rPr>
          <w:color w:val="231F20"/>
          <w:w w:val="105"/>
          <w:sz w:val="21"/>
        </w:rPr>
        <w:t>los</w:t>
      </w:r>
      <w:r>
        <w:rPr>
          <w:color w:val="231F20"/>
          <w:spacing w:val="-19"/>
          <w:w w:val="105"/>
          <w:sz w:val="21"/>
        </w:rPr>
        <w:t> </w:t>
      </w:r>
      <w:r>
        <w:rPr>
          <w:color w:val="231F20"/>
          <w:w w:val="105"/>
          <w:sz w:val="21"/>
        </w:rPr>
        <w:t>cinco</w:t>
      </w:r>
      <w:r>
        <w:rPr>
          <w:color w:val="231F20"/>
          <w:spacing w:val="-19"/>
          <w:w w:val="105"/>
          <w:sz w:val="21"/>
        </w:rPr>
        <w:t> </w:t>
      </w:r>
      <w:r>
        <w:rPr>
          <w:color w:val="231F20"/>
          <w:w w:val="105"/>
          <w:sz w:val="21"/>
        </w:rPr>
        <w:t>años previos</w:t>
      </w:r>
      <w:r>
        <w:rPr>
          <w:color w:val="231F20"/>
          <w:spacing w:val="-9"/>
          <w:w w:val="105"/>
          <w:sz w:val="21"/>
        </w:rPr>
        <w:t> </w:t>
      </w:r>
      <w:r>
        <w:rPr>
          <w:color w:val="231F20"/>
          <w:w w:val="105"/>
          <w:sz w:val="21"/>
        </w:rPr>
        <w:t>al</w:t>
      </w:r>
      <w:r>
        <w:rPr>
          <w:color w:val="231F20"/>
          <w:spacing w:val="-9"/>
          <w:w w:val="105"/>
          <w:sz w:val="21"/>
        </w:rPr>
        <w:t> </w:t>
      </w:r>
      <w:r>
        <w:rPr>
          <w:color w:val="231F20"/>
          <w:w w:val="105"/>
          <w:sz w:val="21"/>
        </w:rPr>
        <w:t>censo,</w:t>
      </w:r>
      <w:r>
        <w:rPr>
          <w:color w:val="231F20"/>
          <w:spacing w:val="-14"/>
          <w:w w:val="105"/>
          <w:sz w:val="21"/>
        </w:rPr>
        <w:t> </w:t>
      </w:r>
      <w:r>
        <w:rPr>
          <w:color w:val="231F20"/>
          <w:w w:val="105"/>
          <w:sz w:val="21"/>
        </w:rPr>
        <w:t>sin</w:t>
      </w:r>
      <w:r>
        <w:rPr>
          <w:color w:val="231F20"/>
          <w:spacing w:val="-9"/>
          <w:w w:val="105"/>
          <w:sz w:val="21"/>
        </w:rPr>
        <w:t> </w:t>
      </w:r>
      <w:r>
        <w:rPr>
          <w:color w:val="231F20"/>
          <w:w w:val="105"/>
          <w:sz w:val="21"/>
        </w:rPr>
        <w:t>embargo</w:t>
      </w:r>
      <w:r>
        <w:rPr>
          <w:color w:val="231F20"/>
          <w:spacing w:val="-9"/>
          <w:w w:val="105"/>
          <w:sz w:val="21"/>
        </w:rPr>
        <w:t> </w:t>
      </w:r>
      <w:r>
        <w:rPr>
          <w:color w:val="231F20"/>
          <w:w w:val="105"/>
          <w:sz w:val="21"/>
        </w:rPr>
        <w:t>regresaron</w:t>
      </w:r>
      <w:r>
        <w:rPr>
          <w:color w:val="231F20"/>
          <w:spacing w:val="-9"/>
          <w:w w:val="105"/>
          <w:sz w:val="21"/>
        </w:rPr>
        <w:t> </w:t>
      </w:r>
      <w:r>
        <w:rPr>
          <w:color w:val="231F20"/>
          <w:w w:val="105"/>
          <w:sz w:val="21"/>
        </w:rPr>
        <w:t>al</w:t>
      </w:r>
      <w:r>
        <w:rPr>
          <w:color w:val="231F20"/>
          <w:spacing w:val="-9"/>
          <w:w w:val="105"/>
          <w:sz w:val="21"/>
        </w:rPr>
        <w:t> </w:t>
      </w:r>
      <w:r>
        <w:rPr>
          <w:color w:val="231F20"/>
          <w:w w:val="105"/>
          <w:sz w:val="21"/>
        </w:rPr>
        <w:t>país</w:t>
      </w:r>
      <w:r>
        <w:rPr>
          <w:color w:val="231F20"/>
          <w:spacing w:val="-9"/>
          <w:w w:val="105"/>
          <w:sz w:val="21"/>
        </w:rPr>
        <w:t> </w:t>
      </w:r>
      <w:r>
        <w:rPr>
          <w:color w:val="231F20"/>
          <w:w w:val="105"/>
          <w:sz w:val="21"/>
        </w:rPr>
        <w:t>durante</w:t>
      </w:r>
      <w:r>
        <w:rPr>
          <w:color w:val="231F20"/>
          <w:spacing w:val="-9"/>
          <w:w w:val="105"/>
          <w:sz w:val="21"/>
        </w:rPr>
        <w:t> </w:t>
      </w:r>
      <w:r>
        <w:rPr>
          <w:color w:val="231F20"/>
          <w:w w:val="105"/>
          <w:sz w:val="21"/>
        </w:rPr>
        <w:t>el mismo</w:t>
      </w:r>
      <w:r>
        <w:rPr>
          <w:color w:val="231F20"/>
          <w:spacing w:val="13"/>
          <w:w w:val="105"/>
          <w:sz w:val="21"/>
        </w:rPr>
        <w:t> </w:t>
      </w:r>
      <w:r>
        <w:rPr>
          <w:color w:val="231F20"/>
          <w:w w:val="105"/>
          <w:sz w:val="21"/>
        </w:rPr>
        <w:t>periodo.</w:t>
      </w:r>
    </w:p>
    <w:p>
      <w:pPr>
        <w:pStyle w:val="BodyText"/>
        <w:spacing w:line="261" w:lineRule="auto" w:before="171"/>
        <w:ind w:left="1723" w:right="1834"/>
        <w:jc w:val="both"/>
      </w:pPr>
      <w:r>
        <w:rPr>
          <w:color w:val="231F20"/>
          <w:w w:val="105"/>
        </w:rPr>
        <w:t>En</w:t>
      </w:r>
      <w:r>
        <w:rPr>
          <w:color w:val="231F20"/>
          <w:spacing w:val="-38"/>
          <w:w w:val="105"/>
        </w:rPr>
        <w:t> </w:t>
      </w:r>
      <w:r>
        <w:rPr>
          <w:color w:val="231F20"/>
          <w:w w:val="105"/>
        </w:rPr>
        <w:t>la</w:t>
      </w:r>
      <w:r>
        <w:rPr>
          <w:color w:val="231F20"/>
          <w:spacing w:val="-38"/>
          <w:w w:val="105"/>
        </w:rPr>
        <w:t> </w:t>
      </w:r>
      <w:r>
        <w:rPr>
          <w:color w:val="231F20"/>
          <w:w w:val="105"/>
        </w:rPr>
        <w:t>siguiente</w:t>
      </w:r>
      <w:r>
        <w:rPr>
          <w:color w:val="231F20"/>
          <w:spacing w:val="-38"/>
          <w:w w:val="105"/>
        </w:rPr>
        <w:t> </w:t>
      </w:r>
      <w:r>
        <w:rPr>
          <w:color w:val="231F20"/>
          <w:w w:val="105"/>
        </w:rPr>
        <w:t>sección,</w:t>
      </w:r>
      <w:r>
        <w:rPr>
          <w:color w:val="231F20"/>
          <w:spacing w:val="-41"/>
          <w:w w:val="105"/>
        </w:rPr>
        <w:t> </w:t>
      </w:r>
      <w:r>
        <w:rPr>
          <w:color w:val="231F20"/>
          <w:w w:val="105"/>
        </w:rPr>
        <w:t>para</w:t>
      </w:r>
      <w:r>
        <w:rPr>
          <w:color w:val="231F20"/>
          <w:spacing w:val="-38"/>
          <w:w w:val="105"/>
        </w:rPr>
        <w:t> </w:t>
      </w:r>
      <w:r>
        <w:rPr>
          <w:color w:val="231F20"/>
          <w:w w:val="105"/>
        </w:rPr>
        <w:t>el</w:t>
      </w:r>
      <w:r>
        <w:rPr>
          <w:color w:val="231F20"/>
          <w:spacing w:val="-38"/>
          <w:w w:val="105"/>
        </w:rPr>
        <w:t> </w:t>
      </w:r>
      <w:r>
        <w:rPr>
          <w:color w:val="231F20"/>
          <w:w w:val="105"/>
        </w:rPr>
        <w:t>análisis</w:t>
      </w:r>
      <w:r>
        <w:rPr>
          <w:color w:val="231F20"/>
          <w:spacing w:val="-38"/>
          <w:w w:val="105"/>
        </w:rPr>
        <w:t> </w:t>
      </w:r>
      <w:r>
        <w:rPr>
          <w:color w:val="231F20"/>
          <w:w w:val="105"/>
        </w:rPr>
        <w:t>de</w:t>
      </w:r>
      <w:r>
        <w:rPr>
          <w:color w:val="231F20"/>
          <w:spacing w:val="-38"/>
          <w:w w:val="105"/>
        </w:rPr>
        <w:t> </w:t>
      </w:r>
      <w:r>
        <w:rPr>
          <w:color w:val="231F20"/>
          <w:w w:val="105"/>
        </w:rPr>
        <w:t>estas</w:t>
      </w:r>
      <w:r>
        <w:rPr>
          <w:color w:val="231F20"/>
          <w:spacing w:val="-38"/>
          <w:w w:val="105"/>
        </w:rPr>
        <w:t> </w:t>
      </w:r>
      <w:r>
        <w:rPr>
          <w:color w:val="231F20"/>
          <w:spacing w:val="-3"/>
          <w:w w:val="105"/>
        </w:rPr>
        <w:t>tres</w:t>
      </w:r>
      <w:r>
        <w:rPr>
          <w:color w:val="231F20"/>
          <w:spacing w:val="-38"/>
          <w:w w:val="105"/>
        </w:rPr>
        <w:t> </w:t>
      </w:r>
      <w:r>
        <w:rPr>
          <w:color w:val="231F20"/>
          <w:w w:val="105"/>
        </w:rPr>
        <w:t>modalidades</w:t>
      </w:r>
      <w:r>
        <w:rPr>
          <w:color w:val="231F20"/>
          <w:spacing w:val="-38"/>
          <w:w w:val="105"/>
        </w:rPr>
        <w:t> </w:t>
      </w:r>
      <w:r>
        <w:rPr>
          <w:color w:val="231F20"/>
          <w:spacing w:val="-3"/>
          <w:w w:val="105"/>
        </w:rPr>
        <w:t>migrato- </w:t>
      </w:r>
      <w:r>
        <w:rPr>
          <w:color w:val="231F20"/>
          <w:w w:val="105"/>
        </w:rPr>
        <w:t>rias</w:t>
      </w:r>
      <w:r>
        <w:rPr>
          <w:color w:val="231F20"/>
          <w:spacing w:val="-27"/>
          <w:w w:val="105"/>
        </w:rPr>
        <w:t> </w:t>
      </w:r>
      <w:r>
        <w:rPr>
          <w:color w:val="231F20"/>
          <w:w w:val="105"/>
        </w:rPr>
        <w:t>se</w:t>
      </w:r>
      <w:r>
        <w:rPr>
          <w:color w:val="231F20"/>
          <w:spacing w:val="-27"/>
          <w:w w:val="105"/>
        </w:rPr>
        <w:t> </w:t>
      </w:r>
      <w:r>
        <w:rPr>
          <w:color w:val="231F20"/>
          <w:spacing w:val="-3"/>
          <w:w w:val="105"/>
        </w:rPr>
        <w:t>presentan</w:t>
      </w:r>
      <w:r>
        <w:rPr>
          <w:color w:val="231F20"/>
          <w:spacing w:val="-27"/>
          <w:w w:val="105"/>
        </w:rPr>
        <w:t> </w:t>
      </w:r>
      <w:r>
        <w:rPr>
          <w:color w:val="231F20"/>
          <w:spacing w:val="-3"/>
          <w:w w:val="105"/>
        </w:rPr>
        <w:t>primero</w:t>
      </w:r>
      <w:r>
        <w:rPr>
          <w:color w:val="231F20"/>
          <w:spacing w:val="-27"/>
          <w:w w:val="105"/>
        </w:rPr>
        <w:t> </w:t>
      </w:r>
      <w:r>
        <w:rPr>
          <w:color w:val="231F20"/>
          <w:w w:val="105"/>
        </w:rPr>
        <w:t>los</w:t>
      </w:r>
      <w:r>
        <w:rPr>
          <w:color w:val="231F20"/>
          <w:spacing w:val="-27"/>
          <w:w w:val="105"/>
        </w:rPr>
        <w:t> </w:t>
      </w:r>
      <w:r>
        <w:rPr>
          <w:color w:val="231F20"/>
          <w:w w:val="105"/>
        </w:rPr>
        <w:t>perfiles</w:t>
      </w:r>
      <w:r>
        <w:rPr>
          <w:color w:val="231F20"/>
          <w:spacing w:val="-27"/>
          <w:w w:val="105"/>
        </w:rPr>
        <w:t> </w:t>
      </w:r>
      <w:r>
        <w:rPr>
          <w:color w:val="231F20"/>
          <w:w w:val="105"/>
        </w:rPr>
        <w:t>demográficos</w:t>
      </w:r>
      <w:r>
        <w:rPr>
          <w:color w:val="231F20"/>
          <w:spacing w:val="-27"/>
          <w:w w:val="105"/>
        </w:rPr>
        <w:t> </w:t>
      </w:r>
      <w:r>
        <w:rPr>
          <w:color w:val="231F20"/>
          <w:w w:val="105"/>
        </w:rPr>
        <w:t>de</w:t>
      </w:r>
      <w:r>
        <w:rPr>
          <w:color w:val="231F20"/>
          <w:spacing w:val="-27"/>
          <w:w w:val="105"/>
        </w:rPr>
        <w:t> </w:t>
      </w:r>
      <w:r>
        <w:rPr>
          <w:color w:val="231F20"/>
          <w:spacing w:val="-3"/>
          <w:w w:val="105"/>
        </w:rPr>
        <w:t>mujeres</w:t>
      </w:r>
      <w:r>
        <w:rPr>
          <w:color w:val="231F20"/>
          <w:spacing w:val="-27"/>
          <w:w w:val="105"/>
        </w:rPr>
        <w:t> </w:t>
      </w:r>
      <w:r>
        <w:rPr>
          <w:color w:val="231F20"/>
          <w:w w:val="105"/>
        </w:rPr>
        <w:t>y</w:t>
      </w:r>
      <w:r>
        <w:rPr>
          <w:color w:val="231F20"/>
          <w:spacing w:val="-27"/>
          <w:w w:val="105"/>
        </w:rPr>
        <w:t> </w:t>
      </w:r>
      <w:r>
        <w:rPr>
          <w:color w:val="231F20"/>
          <w:spacing w:val="-3"/>
          <w:w w:val="105"/>
        </w:rPr>
        <w:t>hombres </w:t>
      </w:r>
      <w:r>
        <w:rPr>
          <w:color w:val="231F20"/>
          <w:w w:val="105"/>
        </w:rPr>
        <w:t>migrantes de </w:t>
      </w:r>
      <w:r>
        <w:rPr>
          <w:color w:val="231F20"/>
          <w:spacing w:val="-3"/>
          <w:w w:val="105"/>
        </w:rPr>
        <w:t>retorno </w:t>
      </w:r>
      <w:r>
        <w:rPr>
          <w:color w:val="231F20"/>
          <w:w w:val="105"/>
        </w:rPr>
        <w:t>(estado conyugal, edad, educación, </w:t>
      </w:r>
      <w:r>
        <w:rPr>
          <w:color w:val="231F20"/>
          <w:spacing w:val="-3"/>
          <w:w w:val="105"/>
        </w:rPr>
        <w:t>participación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mercado</w:t>
      </w:r>
      <w:r>
        <w:rPr>
          <w:color w:val="231F20"/>
          <w:spacing w:val="-14"/>
          <w:w w:val="105"/>
        </w:rPr>
        <w:t> </w:t>
      </w:r>
      <w:r>
        <w:rPr>
          <w:color w:val="231F20"/>
          <w:w w:val="105"/>
        </w:rPr>
        <w:t>laboral,</w:t>
      </w:r>
      <w:r>
        <w:rPr>
          <w:color w:val="231F20"/>
          <w:spacing w:val="-20"/>
          <w:w w:val="105"/>
        </w:rPr>
        <w:t> </w:t>
      </w:r>
      <w:r>
        <w:rPr>
          <w:color w:val="231F20"/>
          <w:w w:val="105"/>
        </w:rPr>
        <w:t>identificación</w:t>
      </w:r>
      <w:r>
        <w:rPr>
          <w:color w:val="231F20"/>
          <w:spacing w:val="-14"/>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w w:val="105"/>
        </w:rPr>
        <w:t>posición</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4"/>
          <w:w w:val="105"/>
        </w:rPr>
        <w:t>hogar,</w:t>
      </w:r>
      <w:r>
        <w:rPr>
          <w:color w:val="231F20"/>
          <w:spacing w:val="-19"/>
          <w:w w:val="105"/>
        </w:rPr>
        <w:t> </w:t>
      </w:r>
      <w:r>
        <w:rPr>
          <w:color w:val="231F20"/>
          <w:w w:val="105"/>
        </w:rPr>
        <w:t>hijos</w:t>
      </w:r>
      <w:r>
        <w:rPr>
          <w:color w:val="231F20"/>
          <w:spacing w:val="-14"/>
          <w:w w:val="105"/>
        </w:rPr>
        <w:t> </w:t>
      </w:r>
      <w:r>
        <w:rPr>
          <w:color w:val="231F20"/>
          <w:w w:val="105"/>
        </w:rPr>
        <w:t>na- cidos</w:t>
      </w:r>
      <w:r>
        <w:rPr>
          <w:color w:val="231F20"/>
          <w:spacing w:val="-11"/>
          <w:w w:val="105"/>
        </w:rPr>
        <w:t> </w:t>
      </w:r>
      <w:r>
        <w:rPr>
          <w:color w:val="231F20"/>
          <w:w w:val="105"/>
        </w:rPr>
        <w:t>vivos,</w:t>
      </w:r>
      <w:r>
        <w:rPr>
          <w:color w:val="231F20"/>
          <w:spacing w:val="-16"/>
          <w:w w:val="105"/>
        </w:rPr>
        <w:t> </w:t>
      </w:r>
      <w:r>
        <w:rPr>
          <w:color w:val="231F20"/>
          <w:w w:val="105"/>
        </w:rPr>
        <w:t>tamaño</w:t>
      </w:r>
      <w:r>
        <w:rPr>
          <w:color w:val="231F20"/>
          <w:spacing w:val="-11"/>
          <w:w w:val="105"/>
        </w:rPr>
        <w:t> </w:t>
      </w:r>
      <w:r>
        <w:rPr>
          <w:color w:val="231F20"/>
          <w:w w:val="105"/>
        </w:rPr>
        <w:t>de</w:t>
      </w:r>
      <w:r>
        <w:rPr>
          <w:color w:val="231F20"/>
          <w:spacing w:val="-11"/>
          <w:w w:val="105"/>
        </w:rPr>
        <w:t> </w:t>
      </w:r>
      <w:r>
        <w:rPr>
          <w:color w:val="231F20"/>
          <w:w w:val="105"/>
        </w:rPr>
        <w:t>localidad</w:t>
      </w:r>
      <w:r>
        <w:rPr>
          <w:color w:val="231F20"/>
          <w:spacing w:val="-11"/>
          <w:w w:val="105"/>
        </w:rPr>
        <w:t> </w:t>
      </w:r>
      <w:r>
        <w:rPr>
          <w:color w:val="231F20"/>
          <w:w w:val="105"/>
        </w:rPr>
        <w:t>y</w:t>
      </w:r>
      <w:r>
        <w:rPr>
          <w:color w:val="231F20"/>
          <w:spacing w:val="-11"/>
          <w:w w:val="105"/>
        </w:rPr>
        <w:t> </w:t>
      </w:r>
      <w:r>
        <w:rPr>
          <w:color w:val="231F20"/>
          <w:w w:val="105"/>
        </w:rPr>
        <w:t>tipo</w:t>
      </w:r>
      <w:r>
        <w:rPr>
          <w:color w:val="231F20"/>
          <w:spacing w:val="-11"/>
          <w:w w:val="105"/>
        </w:rPr>
        <w:t> </w:t>
      </w:r>
      <w:r>
        <w:rPr>
          <w:color w:val="231F20"/>
          <w:w w:val="105"/>
        </w:rPr>
        <w:t>de</w:t>
      </w:r>
      <w:r>
        <w:rPr>
          <w:color w:val="231F20"/>
          <w:spacing w:val="-11"/>
          <w:w w:val="105"/>
        </w:rPr>
        <w:t> </w:t>
      </w:r>
      <w:r>
        <w:rPr>
          <w:color w:val="231F20"/>
          <w:w w:val="105"/>
        </w:rPr>
        <w:t>municipio</w:t>
      </w:r>
      <w:r>
        <w:rPr>
          <w:color w:val="231F20"/>
          <w:spacing w:val="-11"/>
          <w:w w:val="105"/>
        </w:rPr>
        <w:t> </w:t>
      </w:r>
      <w:r>
        <w:rPr>
          <w:color w:val="231F20"/>
          <w:w w:val="105"/>
        </w:rPr>
        <w:t>donde</w:t>
      </w:r>
      <w:r>
        <w:rPr>
          <w:color w:val="231F20"/>
          <w:spacing w:val="-11"/>
          <w:w w:val="105"/>
        </w:rPr>
        <w:t> </w:t>
      </w:r>
      <w:r>
        <w:rPr>
          <w:color w:val="231F20"/>
          <w:spacing w:val="-3"/>
          <w:w w:val="105"/>
        </w:rPr>
        <w:t>residían),</w:t>
      </w:r>
      <w:r>
        <w:rPr>
          <w:color w:val="231F20"/>
          <w:spacing w:val="-16"/>
          <w:w w:val="105"/>
        </w:rPr>
        <w:t> </w:t>
      </w:r>
      <w:r>
        <w:rPr>
          <w:color w:val="231F20"/>
          <w:spacing w:val="-2"/>
          <w:w w:val="105"/>
        </w:rPr>
        <w:t>así </w:t>
      </w:r>
      <w:r>
        <w:rPr>
          <w:color w:val="231F20"/>
          <w:w w:val="105"/>
        </w:rPr>
        <w:t>como</w:t>
      </w:r>
      <w:r>
        <w:rPr>
          <w:color w:val="231F20"/>
          <w:spacing w:val="-17"/>
          <w:w w:val="105"/>
        </w:rPr>
        <w:t> </w:t>
      </w:r>
      <w:r>
        <w:rPr>
          <w:color w:val="231F20"/>
          <w:w w:val="105"/>
        </w:rPr>
        <w:t>la</w:t>
      </w:r>
      <w:r>
        <w:rPr>
          <w:color w:val="231F20"/>
          <w:spacing w:val="-17"/>
          <w:w w:val="105"/>
        </w:rPr>
        <w:t> </w:t>
      </w:r>
      <w:r>
        <w:rPr>
          <w:color w:val="231F20"/>
          <w:w w:val="105"/>
        </w:rPr>
        <w:t>estimación</w:t>
      </w:r>
      <w:r>
        <w:rPr>
          <w:color w:val="231F20"/>
          <w:spacing w:val="-17"/>
          <w:w w:val="105"/>
        </w:rPr>
        <w:t> </w:t>
      </w:r>
      <w:r>
        <w:rPr>
          <w:color w:val="231F20"/>
          <w:w w:val="105"/>
        </w:rPr>
        <w:t>del</w:t>
      </w:r>
      <w:r>
        <w:rPr>
          <w:color w:val="231F20"/>
          <w:spacing w:val="-17"/>
          <w:w w:val="105"/>
        </w:rPr>
        <w:t> </w:t>
      </w:r>
      <w:r>
        <w:rPr>
          <w:color w:val="231F20"/>
          <w:spacing w:val="-3"/>
          <w:w w:val="105"/>
        </w:rPr>
        <w:t>número</w:t>
      </w:r>
      <w:r>
        <w:rPr>
          <w:color w:val="231F20"/>
          <w:spacing w:val="-17"/>
          <w:w w:val="105"/>
        </w:rPr>
        <w:t> </w:t>
      </w:r>
      <w:r>
        <w:rPr>
          <w:color w:val="231F20"/>
          <w:w w:val="105"/>
        </w:rPr>
        <w:t>de</w:t>
      </w:r>
      <w:r>
        <w:rPr>
          <w:color w:val="231F20"/>
          <w:spacing w:val="-17"/>
          <w:w w:val="105"/>
        </w:rPr>
        <w:t> </w:t>
      </w:r>
      <w:r>
        <w:rPr>
          <w:color w:val="231F20"/>
          <w:w w:val="105"/>
        </w:rPr>
        <w:t>emigrantes</w:t>
      </w:r>
      <w:r>
        <w:rPr>
          <w:color w:val="231F20"/>
          <w:spacing w:val="-17"/>
          <w:w w:val="105"/>
        </w:rPr>
        <w:t> </w:t>
      </w:r>
      <w:r>
        <w:rPr>
          <w:color w:val="231F20"/>
          <w:w w:val="105"/>
        </w:rPr>
        <w:t>a</w:t>
      </w:r>
      <w:r>
        <w:rPr>
          <w:color w:val="231F20"/>
          <w:spacing w:val="-17"/>
          <w:w w:val="105"/>
        </w:rPr>
        <w:t> </w:t>
      </w:r>
      <w:r>
        <w:rPr>
          <w:color w:val="231F20"/>
          <w:w w:val="105"/>
        </w:rPr>
        <w:t>Estados</w:t>
      </w:r>
      <w:r>
        <w:rPr>
          <w:color w:val="231F20"/>
          <w:spacing w:val="-17"/>
          <w:w w:val="105"/>
        </w:rPr>
        <w:t> </w:t>
      </w:r>
      <w:r>
        <w:rPr>
          <w:color w:val="231F20"/>
          <w:w w:val="105"/>
        </w:rPr>
        <w:t>Unidos</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spacing w:val="-2"/>
          <w:w w:val="105"/>
        </w:rPr>
        <w:t>los </w:t>
      </w:r>
      <w:r>
        <w:rPr>
          <w:color w:val="231F20"/>
          <w:w w:val="105"/>
        </w:rPr>
        <w:t>migrantes</w:t>
      </w:r>
      <w:r>
        <w:rPr>
          <w:color w:val="231F20"/>
          <w:spacing w:val="-17"/>
          <w:w w:val="105"/>
        </w:rPr>
        <w:t> </w:t>
      </w:r>
      <w:r>
        <w:rPr>
          <w:color w:val="231F20"/>
          <w:spacing w:val="-3"/>
          <w:w w:val="105"/>
        </w:rPr>
        <w:t>circulares</w:t>
      </w:r>
      <w:r>
        <w:rPr>
          <w:color w:val="231F20"/>
          <w:spacing w:val="-17"/>
          <w:w w:val="105"/>
        </w:rPr>
        <w:t> </w:t>
      </w:r>
      <w:r>
        <w:rPr>
          <w:color w:val="231F20"/>
          <w:w w:val="105"/>
        </w:rPr>
        <w:t>por</w:t>
      </w:r>
      <w:r>
        <w:rPr>
          <w:color w:val="231F20"/>
          <w:spacing w:val="-17"/>
          <w:w w:val="105"/>
        </w:rPr>
        <w:t> </w:t>
      </w:r>
      <w:r>
        <w:rPr>
          <w:color w:val="231F20"/>
          <w:w w:val="105"/>
        </w:rPr>
        <w:t>tipo</w:t>
      </w:r>
      <w:r>
        <w:rPr>
          <w:color w:val="231F20"/>
          <w:spacing w:val="-17"/>
          <w:w w:val="105"/>
        </w:rPr>
        <w:t> </w:t>
      </w:r>
      <w:r>
        <w:rPr>
          <w:color w:val="231F20"/>
          <w:w w:val="105"/>
        </w:rPr>
        <w:t>de</w:t>
      </w:r>
      <w:r>
        <w:rPr>
          <w:color w:val="231F20"/>
          <w:spacing w:val="-17"/>
          <w:w w:val="105"/>
        </w:rPr>
        <w:t> </w:t>
      </w:r>
      <w:r>
        <w:rPr>
          <w:color w:val="231F20"/>
          <w:w w:val="105"/>
        </w:rPr>
        <w:t>municipio</w:t>
      </w:r>
      <w:r>
        <w:rPr>
          <w:color w:val="231F20"/>
          <w:spacing w:val="-17"/>
          <w:w w:val="105"/>
        </w:rPr>
        <w:t> </w:t>
      </w:r>
      <w:r>
        <w:rPr>
          <w:color w:val="231F20"/>
          <w:w w:val="105"/>
        </w:rPr>
        <w:t>y</w:t>
      </w:r>
      <w:r>
        <w:rPr>
          <w:color w:val="231F20"/>
          <w:spacing w:val="-17"/>
          <w:w w:val="105"/>
        </w:rPr>
        <w:t> </w:t>
      </w:r>
      <w:r>
        <w:rPr>
          <w:color w:val="231F20"/>
          <w:w w:val="105"/>
        </w:rPr>
        <w:t>sexo</w:t>
      </w:r>
      <w:r>
        <w:rPr>
          <w:color w:val="231F20"/>
          <w:spacing w:val="-17"/>
          <w:w w:val="105"/>
        </w:rPr>
        <w:t> </w:t>
      </w:r>
      <w:r>
        <w:rPr>
          <w:color w:val="231F20"/>
          <w:w w:val="105"/>
        </w:rPr>
        <w:t>de</w:t>
      </w:r>
      <w:r>
        <w:rPr>
          <w:color w:val="231F20"/>
          <w:spacing w:val="-17"/>
          <w:w w:val="105"/>
        </w:rPr>
        <w:t> </w:t>
      </w:r>
      <w:r>
        <w:rPr>
          <w:color w:val="231F20"/>
          <w:w w:val="105"/>
        </w:rPr>
        <w:t>esta</w:t>
      </w:r>
      <w:r>
        <w:rPr>
          <w:color w:val="231F20"/>
          <w:spacing w:val="-17"/>
          <w:w w:val="105"/>
        </w:rPr>
        <w:t> </w:t>
      </w:r>
      <w:r>
        <w:rPr>
          <w:color w:val="231F20"/>
          <w:w w:val="105"/>
        </w:rPr>
        <w:t>población.</w:t>
      </w:r>
    </w:p>
    <w:p>
      <w:pPr>
        <w:pStyle w:val="BodyText"/>
        <w:spacing w:line="261" w:lineRule="auto" w:before="1"/>
        <w:ind w:left="1723" w:right="1829" w:firstLine="567"/>
        <w:jc w:val="both"/>
      </w:pPr>
      <w:r>
        <w:rPr>
          <w:color w:val="231F20"/>
          <w:w w:val="105"/>
        </w:rPr>
        <w:t>En una segunda sección del análisis estimamos la presencia de cada tipo de migración —retorno, emigración y migración circular— en los</w:t>
      </w:r>
      <w:r>
        <w:rPr>
          <w:color w:val="231F20"/>
          <w:spacing w:val="-6"/>
          <w:w w:val="105"/>
        </w:rPr>
        <w:t> </w:t>
      </w:r>
      <w:r>
        <w:rPr>
          <w:color w:val="231F20"/>
          <w:w w:val="105"/>
        </w:rPr>
        <w:t>hogares</w:t>
      </w:r>
      <w:r>
        <w:rPr>
          <w:color w:val="231F20"/>
          <w:w w:val="105"/>
          <w:position w:val="7"/>
          <w:sz w:val="12"/>
        </w:rPr>
        <w:t>3</w:t>
      </w:r>
      <w:r>
        <w:rPr>
          <w:color w:val="231F20"/>
          <w:spacing w:val="19"/>
          <w:w w:val="105"/>
          <w:position w:val="7"/>
          <w:sz w:val="12"/>
        </w:rPr>
        <w:t> </w:t>
      </w:r>
      <w:r>
        <w:rPr>
          <w:color w:val="231F20"/>
          <w:w w:val="105"/>
        </w:rPr>
        <w:t>según</w:t>
      </w:r>
      <w:r>
        <w:rPr>
          <w:color w:val="231F20"/>
          <w:spacing w:val="-6"/>
          <w:w w:val="105"/>
        </w:rPr>
        <w:t> </w:t>
      </w:r>
      <w:r>
        <w:rPr>
          <w:color w:val="231F20"/>
          <w:w w:val="105"/>
        </w:rPr>
        <w:t>el</w:t>
      </w:r>
      <w:r>
        <w:rPr>
          <w:color w:val="231F20"/>
          <w:spacing w:val="-6"/>
          <w:w w:val="105"/>
        </w:rPr>
        <w:t> </w:t>
      </w:r>
      <w:r>
        <w:rPr>
          <w:color w:val="231F20"/>
          <w:w w:val="105"/>
        </w:rPr>
        <w:t>tipo</w:t>
      </w:r>
      <w:r>
        <w:rPr>
          <w:color w:val="231F20"/>
          <w:spacing w:val="-6"/>
          <w:w w:val="105"/>
        </w:rPr>
        <w:t> </w:t>
      </w:r>
      <w:r>
        <w:rPr>
          <w:color w:val="231F20"/>
          <w:w w:val="105"/>
        </w:rPr>
        <w:t>de</w:t>
      </w:r>
      <w:r>
        <w:rPr>
          <w:color w:val="231F20"/>
          <w:spacing w:val="-6"/>
          <w:w w:val="105"/>
        </w:rPr>
        <w:t> </w:t>
      </w:r>
      <w:r>
        <w:rPr>
          <w:color w:val="231F20"/>
          <w:w w:val="105"/>
        </w:rPr>
        <w:t>municipio</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estos</w:t>
      </w:r>
      <w:r>
        <w:rPr>
          <w:color w:val="231F20"/>
          <w:spacing w:val="-6"/>
          <w:w w:val="105"/>
        </w:rPr>
        <w:t> </w:t>
      </w:r>
      <w:r>
        <w:rPr>
          <w:color w:val="231F20"/>
          <w:w w:val="105"/>
        </w:rPr>
        <w:t>se</w:t>
      </w:r>
      <w:r>
        <w:rPr>
          <w:color w:val="231F20"/>
          <w:spacing w:val="-6"/>
          <w:w w:val="105"/>
        </w:rPr>
        <w:t> </w:t>
      </w:r>
      <w:r>
        <w:rPr>
          <w:color w:val="231F20"/>
          <w:w w:val="105"/>
        </w:rPr>
        <w:t>encuentran. La</w:t>
      </w:r>
      <w:r>
        <w:rPr>
          <w:color w:val="231F20"/>
          <w:spacing w:val="-12"/>
          <w:w w:val="105"/>
        </w:rPr>
        <w:t> </w:t>
      </w:r>
      <w:r>
        <w:rPr>
          <w:color w:val="231F20"/>
          <w:w w:val="105"/>
        </w:rPr>
        <w:t>identificación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municipios</w:t>
      </w:r>
      <w:r>
        <w:rPr>
          <w:color w:val="231F20"/>
          <w:spacing w:val="-12"/>
          <w:w w:val="105"/>
        </w:rPr>
        <w:t> </w:t>
      </w:r>
      <w:r>
        <w:rPr>
          <w:color w:val="231F20"/>
          <w:w w:val="105"/>
        </w:rPr>
        <w:t>se</w:t>
      </w:r>
      <w:r>
        <w:rPr>
          <w:color w:val="231F20"/>
          <w:spacing w:val="-12"/>
          <w:w w:val="105"/>
        </w:rPr>
        <w:t> </w:t>
      </w:r>
      <w:r>
        <w:rPr>
          <w:color w:val="231F20"/>
          <w:w w:val="105"/>
        </w:rPr>
        <w:t>hizo</w:t>
      </w:r>
      <w:r>
        <w:rPr>
          <w:color w:val="231F20"/>
          <w:spacing w:val="-12"/>
          <w:w w:val="105"/>
        </w:rPr>
        <w:t> </w:t>
      </w:r>
      <w:r>
        <w:rPr>
          <w:color w:val="231F20"/>
          <w:w w:val="105"/>
        </w:rPr>
        <w:t>siguiendo</w:t>
      </w:r>
      <w:r>
        <w:rPr>
          <w:color w:val="231F20"/>
          <w:spacing w:val="-12"/>
          <w:w w:val="105"/>
        </w:rPr>
        <w:t> </w:t>
      </w:r>
      <w:r>
        <w:rPr>
          <w:color w:val="231F20"/>
          <w:w w:val="105"/>
        </w:rPr>
        <w:t>la</w:t>
      </w:r>
      <w:r>
        <w:rPr>
          <w:color w:val="231F20"/>
          <w:spacing w:val="-12"/>
          <w:w w:val="105"/>
        </w:rPr>
        <w:t> </w:t>
      </w:r>
      <w:r>
        <w:rPr>
          <w:color w:val="231F20"/>
          <w:w w:val="105"/>
        </w:rPr>
        <w:t>clasificación</w:t>
      </w:r>
      <w:r>
        <w:rPr>
          <w:color w:val="231F20"/>
          <w:spacing w:val="-12"/>
          <w:w w:val="105"/>
        </w:rPr>
        <w:t> </w:t>
      </w:r>
      <w:r>
        <w:rPr>
          <w:color w:val="231F20"/>
          <w:w w:val="105"/>
        </w:rPr>
        <w:t>pro- puesta por Baca (2009), quien considera tres categorías referentes al proceso</w:t>
      </w:r>
      <w:r>
        <w:rPr>
          <w:color w:val="231F20"/>
          <w:spacing w:val="-14"/>
          <w:w w:val="105"/>
        </w:rPr>
        <w:t> </w:t>
      </w:r>
      <w:r>
        <w:rPr>
          <w:color w:val="231F20"/>
          <w:w w:val="105"/>
        </w:rPr>
        <w:t>histórico</w:t>
      </w:r>
      <w:r>
        <w:rPr>
          <w:color w:val="231F20"/>
          <w:spacing w:val="-14"/>
          <w:w w:val="105"/>
        </w:rPr>
        <w:t> </w:t>
      </w:r>
      <w:r>
        <w:rPr>
          <w:color w:val="231F20"/>
          <w:w w:val="105"/>
        </w:rPr>
        <w:t>de</w:t>
      </w:r>
      <w:r>
        <w:rPr>
          <w:color w:val="231F20"/>
          <w:spacing w:val="-14"/>
          <w:w w:val="105"/>
        </w:rPr>
        <w:t> </w:t>
      </w:r>
      <w:r>
        <w:rPr>
          <w:color w:val="231F20"/>
          <w:w w:val="105"/>
        </w:rPr>
        <w:t>migración,</w:t>
      </w:r>
      <w:r>
        <w:rPr>
          <w:color w:val="231F20"/>
          <w:spacing w:val="-19"/>
          <w:w w:val="105"/>
        </w:rPr>
        <w:t> </w:t>
      </w:r>
      <w:r>
        <w:rPr>
          <w:color w:val="231F20"/>
          <w:w w:val="105"/>
        </w:rPr>
        <w:t>la</w:t>
      </w:r>
      <w:r>
        <w:rPr>
          <w:color w:val="231F20"/>
          <w:spacing w:val="-14"/>
          <w:w w:val="105"/>
        </w:rPr>
        <w:t> </w:t>
      </w:r>
      <w:r>
        <w:rPr>
          <w:color w:val="231F20"/>
          <w:w w:val="105"/>
        </w:rPr>
        <w:t>dinámica</w:t>
      </w:r>
      <w:r>
        <w:rPr>
          <w:color w:val="231F20"/>
          <w:spacing w:val="-14"/>
          <w:w w:val="105"/>
        </w:rPr>
        <w:t> </w:t>
      </w:r>
      <w:r>
        <w:rPr>
          <w:color w:val="231F20"/>
          <w:w w:val="105"/>
        </w:rPr>
        <w:t>metropolitana</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presencia de</w:t>
      </w:r>
      <w:r>
        <w:rPr>
          <w:color w:val="231F20"/>
          <w:spacing w:val="-11"/>
          <w:w w:val="105"/>
        </w:rPr>
        <w:t> </w:t>
      </w:r>
      <w:r>
        <w:rPr>
          <w:color w:val="231F20"/>
          <w:w w:val="105"/>
        </w:rPr>
        <w:t>grupos</w:t>
      </w:r>
      <w:r>
        <w:rPr>
          <w:color w:val="231F20"/>
          <w:spacing w:val="-11"/>
          <w:w w:val="105"/>
        </w:rPr>
        <w:t> </w:t>
      </w:r>
      <w:r>
        <w:rPr>
          <w:color w:val="231F20"/>
          <w:w w:val="105"/>
        </w:rPr>
        <w:t>indígenas.</w:t>
      </w:r>
      <w:r>
        <w:rPr>
          <w:color w:val="231F20"/>
          <w:spacing w:val="-17"/>
          <w:w w:val="105"/>
        </w:rPr>
        <w:t> </w:t>
      </w:r>
      <w:r>
        <w:rPr>
          <w:color w:val="231F20"/>
          <w:w w:val="105"/>
        </w:rPr>
        <w:t>Las</w:t>
      </w:r>
      <w:r>
        <w:rPr>
          <w:color w:val="231F20"/>
          <w:spacing w:val="-11"/>
          <w:w w:val="105"/>
        </w:rPr>
        <w:t> </w:t>
      </w:r>
      <w:r>
        <w:rPr>
          <w:color w:val="231F20"/>
          <w:w w:val="105"/>
        </w:rPr>
        <w:t>categorías</w:t>
      </w:r>
      <w:r>
        <w:rPr>
          <w:color w:val="231F20"/>
          <w:spacing w:val="-11"/>
          <w:w w:val="105"/>
        </w:rPr>
        <w:t> </w:t>
      </w:r>
      <w:r>
        <w:rPr>
          <w:color w:val="231F20"/>
          <w:w w:val="105"/>
        </w:rPr>
        <w:t>elaboradas</w:t>
      </w:r>
      <w:r>
        <w:rPr>
          <w:color w:val="231F20"/>
          <w:spacing w:val="-11"/>
          <w:w w:val="105"/>
        </w:rPr>
        <w:t> </w:t>
      </w:r>
      <w:r>
        <w:rPr>
          <w:color w:val="231F20"/>
          <w:w w:val="105"/>
        </w:rPr>
        <w:t>correspondieron,</w:t>
      </w:r>
      <w:r>
        <w:rPr>
          <w:color w:val="231F20"/>
          <w:spacing w:val="-17"/>
          <w:w w:val="105"/>
        </w:rPr>
        <w:t> </w:t>
      </w:r>
      <w:r>
        <w:rPr>
          <w:color w:val="231F20"/>
          <w:w w:val="105"/>
        </w:rPr>
        <w:t>por</w:t>
      </w:r>
      <w:r>
        <w:rPr>
          <w:color w:val="231F20"/>
          <w:spacing w:val="-11"/>
          <w:w w:val="105"/>
        </w:rPr>
        <w:t> </w:t>
      </w:r>
      <w:r>
        <w:rPr>
          <w:color w:val="231F20"/>
          <w:w w:val="105"/>
        </w:rPr>
        <w:t>lo tanto, a tres tipos de municipios con base en la migración observada: tradicional,</w:t>
      </w:r>
      <w:r>
        <w:rPr>
          <w:color w:val="231F20"/>
          <w:spacing w:val="-21"/>
          <w:w w:val="105"/>
        </w:rPr>
        <w:t> </w:t>
      </w:r>
      <w:r>
        <w:rPr>
          <w:color w:val="231F20"/>
          <w:w w:val="105"/>
        </w:rPr>
        <w:t>emergente</w:t>
      </w:r>
      <w:r>
        <w:rPr>
          <w:color w:val="231F20"/>
          <w:spacing w:val="-16"/>
          <w:w w:val="105"/>
        </w:rPr>
        <w:t> </w:t>
      </w:r>
      <w:r>
        <w:rPr>
          <w:color w:val="231F20"/>
          <w:w w:val="105"/>
        </w:rPr>
        <w:t>y</w:t>
      </w:r>
      <w:r>
        <w:rPr>
          <w:color w:val="231F20"/>
          <w:spacing w:val="-16"/>
          <w:w w:val="105"/>
        </w:rPr>
        <w:t> </w:t>
      </w:r>
      <w:r>
        <w:rPr>
          <w:color w:val="231F20"/>
          <w:w w:val="105"/>
        </w:rPr>
        <w:t>étnica.</w:t>
      </w:r>
    </w:p>
    <w:p>
      <w:pPr>
        <w:pStyle w:val="BodyText"/>
        <w:spacing w:line="261" w:lineRule="auto" w:before="1"/>
        <w:ind w:left="1724" w:right="1835" w:firstLine="567"/>
        <w:jc w:val="both"/>
      </w:pPr>
      <w:r>
        <w:rPr>
          <w:color w:val="231F20"/>
          <w:w w:val="105"/>
        </w:rPr>
        <w:t>Municipios con patrones tradicionales de migración internacional fueron identificados como aquellos con el mayor número de migrantes de</w:t>
      </w:r>
      <w:r>
        <w:rPr>
          <w:color w:val="231F20"/>
          <w:spacing w:val="-18"/>
          <w:w w:val="105"/>
        </w:rPr>
        <w:t> </w:t>
      </w:r>
      <w:r>
        <w:rPr>
          <w:color w:val="231F20"/>
          <w:w w:val="105"/>
        </w:rPr>
        <w:t>retorno,</w:t>
      </w:r>
      <w:r>
        <w:rPr>
          <w:color w:val="231F20"/>
          <w:spacing w:val="-24"/>
          <w:w w:val="105"/>
        </w:rPr>
        <w:t> </w:t>
      </w:r>
      <w:r>
        <w:rPr>
          <w:color w:val="231F20"/>
          <w:w w:val="105"/>
        </w:rPr>
        <w:t>es</w:t>
      </w:r>
      <w:r>
        <w:rPr>
          <w:color w:val="231F20"/>
          <w:spacing w:val="-18"/>
          <w:w w:val="105"/>
        </w:rPr>
        <w:t> </w:t>
      </w:r>
      <w:r>
        <w:rPr>
          <w:color w:val="231F20"/>
          <w:w w:val="105"/>
        </w:rPr>
        <w:t>decir,</w:t>
      </w:r>
      <w:r>
        <w:rPr>
          <w:color w:val="231F20"/>
          <w:spacing w:val="-24"/>
          <w:w w:val="105"/>
        </w:rPr>
        <w:t> </w:t>
      </w:r>
      <w:r>
        <w:rPr>
          <w:color w:val="231F20"/>
          <w:w w:val="105"/>
        </w:rPr>
        <w:t>se</w:t>
      </w:r>
      <w:r>
        <w:rPr>
          <w:color w:val="231F20"/>
          <w:spacing w:val="-18"/>
          <w:w w:val="105"/>
        </w:rPr>
        <w:t> </w:t>
      </w:r>
      <w:r>
        <w:rPr>
          <w:color w:val="231F20"/>
          <w:w w:val="105"/>
        </w:rPr>
        <w:t>ubicaron</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cuartil</w:t>
      </w:r>
      <w:r>
        <w:rPr>
          <w:color w:val="231F20"/>
          <w:spacing w:val="-18"/>
          <w:w w:val="105"/>
        </w:rPr>
        <w:t> </w:t>
      </w:r>
      <w:r>
        <w:rPr>
          <w:color w:val="231F20"/>
          <w:w w:val="105"/>
        </w:rPr>
        <w:t>más</w:t>
      </w:r>
      <w:r>
        <w:rPr>
          <w:color w:val="231F20"/>
          <w:spacing w:val="-18"/>
          <w:w w:val="105"/>
        </w:rPr>
        <w:t> </w:t>
      </w:r>
      <w:r>
        <w:rPr>
          <w:color w:val="231F20"/>
          <w:w w:val="105"/>
        </w:rPr>
        <w:t>alto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proporción</w:t>
      </w:r>
      <w:r>
        <w:rPr>
          <w:color w:val="231F20"/>
          <w:spacing w:val="-18"/>
          <w:w w:val="105"/>
        </w:rPr>
        <w:t> </w:t>
      </w:r>
      <w:r>
        <w:rPr>
          <w:color w:val="231F20"/>
          <w:w w:val="105"/>
        </w:rPr>
        <w:t>de</w:t>
      </w:r>
    </w:p>
    <w:p>
      <w:pPr>
        <w:pStyle w:val="BodyText"/>
        <w:spacing w:before="8"/>
        <w:rPr>
          <w:sz w:val="13"/>
        </w:rPr>
      </w:pPr>
      <w:r>
        <w:rPr/>
        <w:pict>
          <v:line style="position:absolute;mso-position-horizontal-relative:page;mso-position-vertical-relative:paragraph;z-index:33064;mso-wrap-distance-left:0;mso-wrap-distance-right:0" from="86.1968pt,9.878926pt" to="199.5828pt,9.878926pt" stroked="true" strokeweight=".25pt" strokecolor="#231f20">
            <w10:wrap type="topAndBottom"/>
          </v:line>
        </w:pict>
      </w:r>
    </w:p>
    <w:p>
      <w:pPr>
        <w:spacing w:before="8"/>
        <w:ind w:left="1723" w:right="0" w:firstLine="0"/>
        <w:jc w:val="left"/>
        <w:rPr>
          <w:rFonts w:ascii="Calibri" w:hAnsi="Calibri"/>
          <w:sz w:val="16"/>
        </w:rPr>
      </w:pPr>
      <w:r>
        <w:rPr>
          <w:rFonts w:ascii="Calibri" w:hAnsi="Calibri"/>
          <w:color w:val="414042"/>
          <w:w w:val="105"/>
          <w:position w:val="5"/>
          <w:sz w:val="9"/>
        </w:rPr>
        <w:t>3 </w:t>
      </w:r>
      <w:r>
        <w:rPr>
          <w:rFonts w:ascii="Calibri" w:hAnsi="Calibri"/>
          <w:color w:val="414042"/>
          <w:w w:val="105"/>
          <w:sz w:val="16"/>
        </w:rPr>
        <w:t>En la muestra censal de 2010, la información se estimó a nivel vivienda.</w:t>
      </w:r>
    </w:p>
    <w:p>
      <w:pPr>
        <w:spacing w:after="0"/>
        <w:jc w:val="left"/>
        <w:rPr>
          <w:rFonts w:ascii="Calibri" w:hAnsi="Calibri"/>
          <w:sz w:val="16"/>
        </w:rPr>
        <w:sectPr>
          <w:footerReference w:type="default" r:id="rId323"/>
          <w:pgSz w:w="10480" w:h="14730"/>
          <w:pgMar w:footer="940" w:header="0" w:top="300" w:bottom="1120" w:left="0" w:right="0"/>
        </w:sectPr>
      </w:pPr>
    </w:p>
    <w:p>
      <w:pPr>
        <w:pStyle w:val="BodyText"/>
        <w:rPr>
          <w:rFonts w:ascii="Calibri"/>
          <w:sz w:val="20"/>
        </w:rPr>
      </w:pPr>
    </w:p>
    <w:p>
      <w:pPr>
        <w:pStyle w:val="BodyText"/>
        <w:rPr>
          <w:rFonts w:ascii="Calibri"/>
          <w:sz w:val="20"/>
        </w:rPr>
      </w:pPr>
    </w:p>
    <w:p>
      <w:pPr>
        <w:spacing w:after="0"/>
        <w:rPr>
          <w:rFonts w:ascii="Calibri"/>
          <w:sz w:val="20"/>
        </w:rPr>
        <w:sectPr>
          <w:footerReference w:type="default" r:id="rId324"/>
          <w:pgSz w:w="10480" w:h="14730"/>
          <w:pgMar w:footer="103" w:header="0"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3136" from="405.061005pt,-27.904295pt" to="405.061005pt,6.961579pt" stroked="true" strokeweight=".35pt" strokecolor="#231f20">
            <w10:wrap type="none"/>
          </v:line>
        </w:pict>
      </w:r>
      <w:r>
        <w:rPr/>
        <w:pict>
          <v:line style="position:absolute;mso-position-horizontal-relative:page;mso-position-vertical-relative:paragraph;z-index:33160" from="15pt,-27.90452pt" to="0pt,-27.90452pt" stroked="true" strokeweight=".25pt" strokecolor="#000000">
            <w10:wrap type="none"/>
          </v:line>
        </w:pict>
      </w:r>
      <w:r>
        <w:rPr/>
        <w:pict>
          <v:line style="position:absolute;mso-position-horizontal-relative:page;mso-position-vertical-relative:paragraph;z-index:33184"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271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56976" from="15pt,715.487793pt" to="0pt,715.487793pt" stroked="true" strokeweight=".25pt" strokecolor="#000000">
            <w10:wrap type="none"/>
          </v:line>
        </w:pict>
      </w:r>
      <w:r>
        <w:rPr/>
        <w:pict>
          <v:line style="position:absolute;mso-position-horizontal-relative:page;mso-position-vertical-relative:page;z-index:33232" from="508.890015pt,715.487793pt" to="523.890015pt,715.487793pt" stroked="true" strokeweight=".25pt" strokecolor="#000000">
            <w10:wrap type="none"/>
          </v:line>
        </w:pict>
      </w:r>
    </w:p>
    <w:p>
      <w:pPr>
        <w:pStyle w:val="BodyText"/>
        <w:spacing w:before="6"/>
        <w:rPr>
          <w:rFonts w:ascii="Arial"/>
          <w:sz w:val="16"/>
        </w:rPr>
      </w:pPr>
    </w:p>
    <w:p>
      <w:pPr>
        <w:pStyle w:val="BodyText"/>
        <w:spacing w:line="261" w:lineRule="auto" w:before="60"/>
        <w:ind w:left="1808" w:right="1670"/>
        <w:jc w:val="both"/>
      </w:pPr>
      <w:r>
        <w:rPr>
          <w:color w:val="231F20"/>
          <w:w w:val="105"/>
        </w:rPr>
        <w:t>migrantes</w:t>
      </w:r>
      <w:r>
        <w:rPr>
          <w:color w:val="231F20"/>
          <w:spacing w:val="-10"/>
          <w:w w:val="105"/>
        </w:rPr>
        <w:t> </w:t>
      </w:r>
      <w:r>
        <w:rPr>
          <w:color w:val="231F20"/>
          <w:w w:val="105"/>
        </w:rPr>
        <w:t>de</w:t>
      </w:r>
      <w:r>
        <w:rPr>
          <w:color w:val="231F20"/>
          <w:spacing w:val="-10"/>
          <w:w w:val="105"/>
        </w:rPr>
        <w:t> </w:t>
      </w:r>
      <w:r>
        <w:rPr>
          <w:color w:val="231F20"/>
          <w:w w:val="105"/>
        </w:rPr>
        <w:t>retorno</w:t>
      </w:r>
      <w:r>
        <w:rPr>
          <w:color w:val="231F20"/>
          <w:spacing w:val="-10"/>
          <w:w w:val="105"/>
        </w:rPr>
        <w:t> </w:t>
      </w:r>
      <w:r>
        <w:rPr>
          <w:color w:val="231F20"/>
          <w:w w:val="105"/>
        </w:rPr>
        <w:t>según</w:t>
      </w:r>
      <w:r>
        <w:rPr>
          <w:color w:val="231F20"/>
          <w:spacing w:val="-10"/>
          <w:w w:val="105"/>
        </w:rPr>
        <w:t> </w:t>
      </w:r>
      <w:r>
        <w:rPr>
          <w:color w:val="231F20"/>
          <w:w w:val="105"/>
        </w:rPr>
        <w:t>el</w:t>
      </w:r>
      <w:r>
        <w:rPr>
          <w:color w:val="231F20"/>
          <w:spacing w:val="-10"/>
          <w:w w:val="105"/>
        </w:rPr>
        <w:t> </w:t>
      </w:r>
      <w:r>
        <w:rPr>
          <w:color w:val="231F20"/>
          <w:w w:val="105"/>
          <w:sz w:val="17"/>
        </w:rPr>
        <w:t>XI</w:t>
      </w:r>
      <w:r>
        <w:rPr>
          <w:color w:val="231F20"/>
          <w:spacing w:val="1"/>
          <w:w w:val="105"/>
          <w:sz w:val="17"/>
        </w:rPr>
        <w:t> </w:t>
      </w:r>
      <w:r>
        <w:rPr>
          <w:color w:val="231F20"/>
          <w:w w:val="105"/>
        </w:rPr>
        <w:t>Censo</w:t>
      </w:r>
      <w:r>
        <w:rPr>
          <w:color w:val="231F20"/>
          <w:spacing w:val="-10"/>
          <w:w w:val="105"/>
        </w:rPr>
        <w:t> </w:t>
      </w:r>
      <w:r>
        <w:rPr>
          <w:color w:val="231F20"/>
          <w:w w:val="105"/>
        </w:rPr>
        <w:t>General</w:t>
      </w:r>
      <w:r>
        <w:rPr>
          <w:color w:val="231F20"/>
          <w:spacing w:val="-10"/>
          <w:w w:val="105"/>
        </w:rPr>
        <w:t> </w:t>
      </w:r>
      <w:r>
        <w:rPr>
          <w:color w:val="231F20"/>
          <w:w w:val="105"/>
        </w:rPr>
        <w:t>de</w:t>
      </w:r>
      <w:r>
        <w:rPr>
          <w:color w:val="231F20"/>
          <w:spacing w:val="-10"/>
          <w:w w:val="105"/>
        </w:rPr>
        <w:t> </w:t>
      </w:r>
      <w:r>
        <w:rPr>
          <w:color w:val="231F20"/>
          <w:w w:val="105"/>
        </w:rPr>
        <w:t>Población</w:t>
      </w:r>
      <w:r>
        <w:rPr>
          <w:color w:val="231F20"/>
          <w:spacing w:val="-10"/>
          <w:w w:val="105"/>
        </w:rPr>
        <w:t> </w:t>
      </w:r>
      <w:r>
        <w:rPr>
          <w:color w:val="231F20"/>
          <w:w w:val="105"/>
        </w:rPr>
        <w:t>y</w:t>
      </w:r>
      <w:r>
        <w:rPr>
          <w:color w:val="231F20"/>
          <w:spacing w:val="-13"/>
          <w:w w:val="105"/>
        </w:rPr>
        <w:t> </w:t>
      </w:r>
      <w:r>
        <w:rPr>
          <w:color w:val="231F20"/>
          <w:w w:val="105"/>
        </w:rPr>
        <w:t>Vivienda </w:t>
      </w:r>
      <w:r>
        <w:rPr>
          <w:color w:val="231F20"/>
        </w:rPr>
        <w:t>1990 (</w:t>
      </w:r>
      <w:r>
        <w:rPr>
          <w:color w:val="231F20"/>
          <w:sz w:val="17"/>
        </w:rPr>
        <w:t>INEGI</w:t>
      </w:r>
      <w:r>
        <w:rPr>
          <w:color w:val="231F20"/>
        </w:rPr>
        <w:t>,</w:t>
      </w:r>
      <w:r>
        <w:rPr>
          <w:color w:val="231F20"/>
          <w:spacing w:val="-7"/>
        </w:rPr>
        <w:t> </w:t>
      </w:r>
      <w:r>
        <w:rPr>
          <w:color w:val="231F20"/>
        </w:rPr>
        <w:t>1990).</w:t>
      </w:r>
    </w:p>
    <w:p>
      <w:pPr>
        <w:pStyle w:val="BodyText"/>
        <w:spacing w:line="261" w:lineRule="auto" w:before="1"/>
        <w:ind w:left="1808" w:right="1670" w:firstLine="567"/>
        <w:jc w:val="both"/>
      </w:pPr>
      <w:r>
        <w:rPr>
          <w:color w:val="231F20"/>
          <w:spacing w:val="-3"/>
          <w:w w:val="105"/>
        </w:rPr>
        <w:t>Los municipios </w:t>
      </w:r>
      <w:r>
        <w:rPr>
          <w:color w:val="231F20"/>
          <w:w w:val="105"/>
        </w:rPr>
        <w:t>de </w:t>
      </w:r>
      <w:r>
        <w:rPr>
          <w:color w:val="231F20"/>
          <w:spacing w:val="-3"/>
          <w:w w:val="105"/>
        </w:rPr>
        <w:t>migración emergente </w:t>
      </w:r>
      <w:r>
        <w:rPr>
          <w:color w:val="231F20"/>
          <w:w w:val="105"/>
        </w:rPr>
        <w:t>se </w:t>
      </w:r>
      <w:r>
        <w:rPr>
          <w:color w:val="231F20"/>
          <w:spacing w:val="-3"/>
          <w:w w:val="105"/>
        </w:rPr>
        <w:t>caracterizan </w:t>
      </w:r>
      <w:r>
        <w:rPr>
          <w:color w:val="231F20"/>
          <w:w w:val="105"/>
        </w:rPr>
        <w:t>por </w:t>
      </w:r>
      <w:r>
        <w:rPr>
          <w:color w:val="231F20"/>
          <w:spacing w:val="-3"/>
          <w:w w:val="105"/>
        </w:rPr>
        <w:t>formar parte</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spacing w:val="-3"/>
          <w:w w:val="105"/>
        </w:rPr>
        <w:t>contextos</w:t>
      </w:r>
      <w:r>
        <w:rPr>
          <w:color w:val="231F20"/>
          <w:spacing w:val="-21"/>
          <w:w w:val="105"/>
        </w:rPr>
        <w:t> </w:t>
      </w:r>
      <w:r>
        <w:rPr>
          <w:color w:val="231F20"/>
          <w:spacing w:val="-3"/>
          <w:w w:val="105"/>
        </w:rPr>
        <w:t>urbanos</w:t>
      </w:r>
      <w:r>
        <w:rPr>
          <w:color w:val="231F20"/>
          <w:spacing w:val="-21"/>
          <w:w w:val="105"/>
        </w:rPr>
        <w:t> </w:t>
      </w:r>
      <w:r>
        <w:rPr>
          <w:color w:val="231F20"/>
          <w:w w:val="105"/>
        </w:rPr>
        <w:t>y</w:t>
      </w:r>
      <w:r>
        <w:rPr>
          <w:color w:val="231F20"/>
          <w:spacing w:val="-21"/>
          <w:w w:val="105"/>
        </w:rPr>
        <w:t> </w:t>
      </w:r>
      <w:r>
        <w:rPr>
          <w:color w:val="231F20"/>
          <w:spacing w:val="-4"/>
          <w:w w:val="105"/>
        </w:rPr>
        <w:t>representar</w:t>
      </w:r>
      <w:r>
        <w:rPr>
          <w:color w:val="231F20"/>
          <w:spacing w:val="-21"/>
          <w:w w:val="105"/>
        </w:rPr>
        <w:t> </w:t>
      </w:r>
      <w:r>
        <w:rPr>
          <w:color w:val="231F20"/>
          <w:w w:val="105"/>
        </w:rPr>
        <w:t>la</w:t>
      </w:r>
      <w:r>
        <w:rPr>
          <w:color w:val="231F20"/>
          <w:spacing w:val="-21"/>
          <w:w w:val="105"/>
        </w:rPr>
        <w:t> </w:t>
      </w:r>
      <w:r>
        <w:rPr>
          <w:color w:val="231F20"/>
          <w:spacing w:val="-3"/>
          <w:w w:val="105"/>
        </w:rPr>
        <w:t>mayor</w:t>
      </w:r>
      <w:r>
        <w:rPr>
          <w:color w:val="231F20"/>
          <w:spacing w:val="-21"/>
          <w:w w:val="105"/>
        </w:rPr>
        <w:t> </w:t>
      </w:r>
      <w:r>
        <w:rPr>
          <w:color w:val="231F20"/>
          <w:spacing w:val="-4"/>
          <w:w w:val="105"/>
        </w:rPr>
        <w:t>proporción</w:t>
      </w:r>
      <w:r>
        <w:rPr>
          <w:color w:val="231F20"/>
          <w:spacing w:val="-21"/>
          <w:w w:val="105"/>
        </w:rPr>
        <w:t> </w:t>
      </w:r>
      <w:r>
        <w:rPr>
          <w:color w:val="231F20"/>
          <w:w w:val="105"/>
        </w:rPr>
        <w:t>de</w:t>
      </w:r>
      <w:r>
        <w:rPr>
          <w:color w:val="231F20"/>
          <w:spacing w:val="-21"/>
          <w:w w:val="105"/>
        </w:rPr>
        <w:t> </w:t>
      </w:r>
      <w:r>
        <w:rPr>
          <w:color w:val="231F20"/>
          <w:spacing w:val="-3"/>
          <w:w w:val="105"/>
        </w:rPr>
        <w:t>migra- ción</w:t>
      </w:r>
      <w:r>
        <w:rPr>
          <w:color w:val="231F20"/>
          <w:spacing w:val="-30"/>
          <w:w w:val="105"/>
        </w:rPr>
        <w:t> </w:t>
      </w:r>
      <w:r>
        <w:rPr>
          <w:color w:val="231F20"/>
          <w:spacing w:val="-3"/>
          <w:w w:val="105"/>
        </w:rPr>
        <w:t>(Baca,</w:t>
      </w:r>
      <w:r>
        <w:rPr>
          <w:color w:val="231F20"/>
          <w:spacing w:val="-35"/>
          <w:w w:val="105"/>
        </w:rPr>
        <w:t> </w:t>
      </w:r>
      <w:r>
        <w:rPr>
          <w:color w:val="231F20"/>
          <w:spacing w:val="-3"/>
          <w:w w:val="105"/>
        </w:rPr>
        <w:t>2009).</w:t>
      </w:r>
      <w:r>
        <w:rPr>
          <w:color w:val="231F20"/>
          <w:spacing w:val="-35"/>
          <w:w w:val="105"/>
        </w:rPr>
        <w:t> </w:t>
      </w:r>
      <w:r>
        <w:rPr>
          <w:color w:val="231F20"/>
          <w:spacing w:val="-7"/>
          <w:w w:val="105"/>
        </w:rPr>
        <w:t>Por</w:t>
      </w:r>
      <w:r>
        <w:rPr>
          <w:color w:val="231F20"/>
          <w:spacing w:val="-30"/>
          <w:w w:val="105"/>
        </w:rPr>
        <w:t> </w:t>
      </w:r>
      <w:r>
        <w:rPr>
          <w:color w:val="231F20"/>
          <w:w w:val="105"/>
        </w:rPr>
        <w:t>tal</w:t>
      </w:r>
      <w:r>
        <w:rPr>
          <w:color w:val="231F20"/>
          <w:spacing w:val="-30"/>
          <w:w w:val="105"/>
        </w:rPr>
        <w:t> </w:t>
      </w:r>
      <w:r>
        <w:rPr>
          <w:color w:val="231F20"/>
          <w:spacing w:val="-3"/>
          <w:w w:val="105"/>
        </w:rPr>
        <w:t>motivo,</w:t>
      </w:r>
      <w:r>
        <w:rPr>
          <w:color w:val="231F20"/>
          <w:spacing w:val="-35"/>
          <w:w w:val="105"/>
        </w:rPr>
        <w:t> </w:t>
      </w:r>
      <w:r>
        <w:rPr>
          <w:color w:val="231F20"/>
          <w:w w:val="105"/>
        </w:rPr>
        <w:t>son</w:t>
      </w:r>
      <w:r>
        <w:rPr>
          <w:color w:val="231F20"/>
          <w:spacing w:val="-30"/>
          <w:w w:val="105"/>
        </w:rPr>
        <w:t> </w:t>
      </w:r>
      <w:r>
        <w:rPr>
          <w:color w:val="231F20"/>
          <w:spacing w:val="-3"/>
          <w:w w:val="105"/>
        </w:rPr>
        <w:t>aquellos</w:t>
      </w:r>
      <w:r>
        <w:rPr>
          <w:color w:val="231F20"/>
          <w:spacing w:val="-30"/>
          <w:w w:val="105"/>
        </w:rPr>
        <w:t> </w:t>
      </w:r>
      <w:r>
        <w:rPr>
          <w:color w:val="231F20"/>
          <w:spacing w:val="-3"/>
          <w:w w:val="105"/>
        </w:rPr>
        <w:t>ubicados</w:t>
      </w:r>
      <w:r>
        <w:rPr>
          <w:color w:val="231F20"/>
          <w:spacing w:val="-30"/>
          <w:w w:val="105"/>
        </w:rPr>
        <w:t> </w:t>
      </w:r>
      <w:r>
        <w:rPr>
          <w:color w:val="231F20"/>
          <w:w w:val="105"/>
        </w:rPr>
        <w:t>en</w:t>
      </w:r>
      <w:r>
        <w:rPr>
          <w:color w:val="231F20"/>
          <w:spacing w:val="-30"/>
          <w:w w:val="105"/>
        </w:rPr>
        <w:t> </w:t>
      </w:r>
      <w:r>
        <w:rPr>
          <w:color w:val="231F20"/>
          <w:spacing w:val="-3"/>
          <w:w w:val="105"/>
        </w:rPr>
        <w:t>zonas</w:t>
      </w:r>
      <w:r>
        <w:rPr>
          <w:color w:val="231F20"/>
          <w:spacing w:val="-30"/>
          <w:w w:val="105"/>
        </w:rPr>
        <w:t> </w:t>
      </w:r>
      <w:r>
        <w:rPr>
          <w:color w:val="231F20"/>
          <w:spacing w:val="-3"/>
          <w:w w:val="105"/>
        </w:rPr>
        <w:t>metropoli- tanas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05"/>
        </w:rPr>
        <w:t>entidad</w:t>
      </w:r>
      <w:r>
        <w:rPr>
          <w:color w:val="231F20"/>
          <w:spacing w:val="-19"/>
          <w:w w:val="105"/>
        </w:rPr>
        <w:t> </w:t>
      </w:r>
      <w:r>
        <w:rPr>
          <w:color w:val="231F20"/>
          <w:spacing w:val="-3"/>
          <w:w w:val="105"/>
        </w:rPr>
        <w:t>mexiquense:</w:t>
      </w:r>
      <w:r>
        <w:rPr>
          <w:color w:val="231F20"/>
          <w:spacing w:val="-19"/>
          <w:w w:val="105"/>
        </w:rPr>
        <w:t> </w:t>
      </w:r>
      <w:r>
        <w:rPr>
          <w:color w:val="231F20"/>
          <w:w w:val="105"/>
        </w:rPr>
        <w:t>la</w:t>
      </w:r>
      <w:r>
        <w:rPr>
          <w:color w:val="231F20"/>
          <w:spacing w:val="-19"/>
          <w:w w:val="105"/>
        </w:rPr>
        <w:t> </w:t>
      </w:r>
      <w:r>
        <w:rPr>
          <w:color w:val="231F20"/>
          <w:spacing w:val="-3"/>
          <w:w w:val="105"/>
        </w:rPr>
        <w:t>Zona</w:t>
      </w:r>
      <w:r>
        <w:rPr>
          <w:color w:val="231F20"/>
          <w:spacing w:val="-19"/>
          <w:w w:val="105"/>
        </w:rPr>
        <w:t> </w:t>
      </w:r>
      <w:r>
        <w:rPr>
          <w:color w:val="231F20"/>
          <w:spacing w:val="-3"/>
          <w:w w:val="105"/>
        </w:rPr>
        <w:t>Metropolitana</w:t>
      </w:r>
      <w:r>
        <w:rPr>
          <w:color w:val="231F20"/>
          <w:spacing w:val="-19"/>
          <w:w w:val="105"/>
        </w:rPr>
        <w:t> </w:t>
      </w:r>
      <w:r>
        <w:rPr>
          <w:color w:val="231F20"/>
          <w:w w:val="105"/>
        </w:rPr>
        <w:t>del</w:t>
      </w:r>
      <w:r>
        <w:rPr>
          <w:color w:val="231F20"/>
          <w:spacing w:val="-23"/>
          <w:w w:val="105"/>
        </w:rPr>
        <w:t> </w:t>
      </w:r>
      <w:r>
        <w:rPr>
          <w:color w:val="231F20"/>
          <w:spacing w:val="-4"/>
          <w:w w:val="105"/>
        </w:rPr>
        <w:t>Valle</w:t>
      </w:r>
      <w:r>
        <w:rPr>
          <w:color w:val="231F20"/>
          <w:spacing w:val="-19"/>
          <w:w w:val="105"/>
        </w:rPr>
        <w:t> </w:t>
      </w:r>
      <w:r>
        <w:rPr>
          <w:color w:val="231F20"/>
          <w:w w:val="105"/>
        </w:rPr>
        <w:t>de</w:t>
      </w:r>
      <w:r>
        <w:rPr>
          <w:color w:val="231F20"/>
          <w:spacing w:val="-19"/>
          <w:w w:val="105"/>
        </w:rPr>
        <w:t> </w:t>
      </w:r>
      <w:r>
        <w:rPr>
          <w:color w:val="231F20"/>
          <w:spacing w:val="-4"/>
          <w:w w:val="105"/>
        </w:rPr>
        <w:t>México </w:t>
      </w:r>
      <w:r>
        <w:rPr>
          <w:color w:val="231F20"/>
          <w:w w:val="105"/>
        </w:rPr>
        <w:t>y</w:t>
      </w:r>
      <w:r>
        <w:rPr>
          <w:color w:val="231F20"/>
          <w:spacing w:val="-37"/>
          <w:w w:val="105"/>
        </w:rPr>
        <w:t> </w:t>
      </w:r>
      <w:r>
        <w:rPr>
          <w:color w:val="231F20"/>
          <w:w w:val="105"/>
        </w:rPr>
        <w:t>la</w:t>
      </w:r>
      <w:r>
        <w:rPr>
          <w:color w:val="231F20"/>
          <w:spacing w:val="-37"/>
          <w:w w:val="105"/>
        </w:rPr>
        <w:t> </w:t>
      </w:r>
      <w:r>
        <w:rPr>
          <w:color w:val="231F20"/>
          <w:spacing w:val="-3"/>
          <w:w w:val="105"/>
        </w:rPr>
        <w:t>Zona</w:t>
      </w:r>
      <w:r>
        <w:rPr>
          <w:color w:val="231F20"/>
          <w:spacing w:val="-37"/>
          <w:w w:val="105"/>
        </w:rPr>
        <w:t> </w:t>
      </w:r>
      <w:r>
        <w:rPr>
          <w:color w:val="231F20"/>
          <w:spacing w:val="-3"/>
          <w:w w:val="105"/>
        </w:rPr>
        <w:t>Metropolitana</w:t>
      </w:r>
      <w:r>
        <w:rPr>
          <w:color w:val="231F20"/>
          <w:spacing w:val="-37"/>
          <w:w w:val="105"/>
        </w:rPr>
        <w:t> </w:t>
      </w:r>
      <w:r>
        <w:rPr>
          <w:color w:val="231F20"/>
          <w:w w:val="105"/>
        </w:rPr>
        <w:t>de</w:t>
      </w:r>
      <w:r>
        <w:rPr>
          <w:color w:val="231F20"/>
          <w:spacing w:val="-39"/>
          <w:w w:val="105"/>
        </w:rPr>
        <w:t> </w:t>
      </w:r>
      <w:r>
        <w:rPr>
          <w:color w:val="231F20"/>
          <w:spacing w:val="-6"/>
          <w:w w:val="105"/>
        </w:rPr>
        <w:t>Toluca</w:t>
      </w:r>
      <w:r>
        <w:rPr>
          <w:color w:val="231F20"/>
          <w:spacing w:val="-37"/>
          <w:w w:val="105"/>
        </w:rPr>
        <w:t> </w:t>
      </w:r>
      <w:r>
        <w:rPr>
          <w:color w:val="231F20"/>
          <w:w w:val="105"/>
        </w:rPr>
        <w:t>(</w:t>
      </w:r>
      <w:r>
        <w:rPr>
          <w:color w:val="231F20"/>
          <w:w w:val="105"/>
          <w:sz w:val="17"/>
        </w:rPr>
        <w:t>SEDESOL</w:t>
      </w:r>
      <w:r>
        <w:rPr>
          <w:color w:val="231F20"/>
          <w:w w:val="105"/>
        </w:rPr>
        <w:t>,</w:t>
      </w:r>
      <w:r>
        <w:rPr>
          <w:color w:val="231F20"/>
          <w:spacing w:val="-40"/>
          <w:w w:val="105"/>
        </w:rPr>
        <w:t> </w:t>
      </w:r>
      <w:r>
        <w:rPr>
          <w:color w:val="231F20"/>
          <w:spacing w:val="-2"/>
          <w:w w:val="105"/>
          <w:sz w:val="17"/>
        </w:rPr>
        <w:t>CONAPO</w:t>
      </w:r>
      <w:r>
        <w:rPr>
          <w:color w:val="231F20"/>
          <w:spacing w:val="-26"/>
          <w:w w:val="105"/>
          <w:sz w:val="17"/>
        </w:rPr>
        <w:t> </w:t>
      </w:r>
      <w:r>
        <w:rPr>
          <w:color w:val="231F20"/>
          <w:w w:val="105"/>
        </w:rPr>
        <w:t>e</w:t>
      </w:r>
      <w:r>
        <w:rPr>
          <w:color w:val="231F20"/>
          <w:spacing w:val="-37"/>
          <w:w w:val="105"/>
        </w:rPr>
        <w:t> </w:t>
      </w:r>
      <w:r>
        <w:rPr>
          <w:color w:val="231F20"/>
          <w:w w:val="105"/>
          <w:sz w:val="17"/>
        </w:rPr>
        <w:t>INEGI</w:t>
      </w:r>
      <w:r>
        <w:rPr>
          <w:color w:val="231F20"/>
          <w:w w:val="105"/>
        </w:rPr>
        <w:t>,</w:t>
      </w:r>
      <w:r>
        <w:rPr>
          <w:color w:val="231F20"/>
          <w:spacing w:val="-40"/>
          <w:w w:val="105"/>
        </w:rPr>
        <w:t> </w:t>
      </w:r>
      <w:r>
        <w:rPr>
          <w:color w:val="231F20"/>
          <w:spacing w:val="-3"/>
          <w:w w:val="105"/>
        </w:rPr>
        <w:t>2012).</w:t>
      </w:r>
    </w:p>
    <w:p>
      <w:pPr>
        <w:pStyle w:val="BodyText"/>
        <w:spacing w:line="261" w:lineRule="auto" w:before="1"/>
        <w:ind w:left="1808" w:right="1665" w:firstLine="567"/>
        <w:jc w:val="both"/>
      </w:pPr>
      <w:r>
        <w:rPr>
          <w:color w:val="231F20"/>
          <w:spacing w:val="-3"/>
          <w:w w:val="105"/>
        </w:rPr>
        <w:t>Los </w:t>
      </w:r>
      <w:r>
        <w:rPr>
          <w:color w:val="231F20"/>
          <w:w w:val="105"/>
        </w:rPr>
        <w:t>municipios étnicos </w:t>
      </w:r>
      <w:r>
        <w:rPr>
          <w:color w:val="231F20"/>
          <w:spacing w:val="-3"/>
          <w:w w:val="105"/>
        </w:rPr>
        <w:t>fueron </w:t>
      </w:r>
      <w:r>
        <w:rPr>
          <w:color w:val="231F20"/>
          <w:w w:val="105"/>
        </w:rPr>
        <w:t>identificados como aquellos con la mayor</w:t>
      </w:r>
      <w:r>
        <w:rPr>
          <w:color w:val="231F20"/>
          <w:spacing w:val="-15"/>
          <w:w w:val="105"/>
        </w:rPr>
        <w:t> </w:t>
      </w:r>
      <w:r>
        <w:rPr>
          <w:color w:val="231F20"/>
          <w:spacing w:val="-3"/>
          <w:w w:val="105"/>
        </w:rPr>
        <w:t>proporción</w:t>
      </w:r>
      <w:r>
        <w:rPr>
          <w:color w:val="231F20"/>
          <w:spacing w:val="-15"/>
          <w:w w:val="105"/>
        </w:rPr>
        <w:t> </w:t>
      </w:r>
      <w:r>
        <w:rPr>
          <w:color w:val="231F20"/>
          <w:w w:val="105"/>
        </w:rPr>
        <w:t>de</w:t>
      </w:r>
      <w:r>
        <w:rPr>
          <w:color w:val="231F20"/>
          <w:spacing w:val="-15"/>
          <w:w w:val="105"/>
        </w:rPr>
        <w:t> </w:t>
      </w:r>
      <w:r>
        <w:rPr>
          <w:color w:val="231F20"/>
          <w:w w:val="105"/>
        </w:rPr>
        <w:t>población</w:t>
      </w:r>
      <w:r>
        <w:rPr>
          <w:color w:val="231F20"/>
          <w:spacing w:val="-15"/>
          <w:w w:val="105"/>
        </w:rPr>
        <w:t> </w:t>
      </w:r>
      <w:r>
        <w:rPr>
          <w:color w:val="231F20"/>
          <w:w w:val="105"/>
        </w:rPr>
        <w:t>de</w:t>
      </w:r>
      <w:r>
        <w:rPr>
          <w:color w:val="231F20"/>
          <w:spacing w:val="-15"/>
          <w:w w:val="105"/>
        </w:rPr>
        <w:t> </w:t>
      </w:r>
      <w:r>
        <w:rPr>
          <w:color w:val="231F20"/>
          <w:w w:val="105"/>
        </w:rPr>
        <w:t>5</w:t>
      </w:r>
      <w:r>
        <w:rPr>
          <w:color w:val="231F20"/>
          <w:spacing w:val="-15"/>
          <w:w w:val="105"/>
        </w:rPr>
        <w:t> </w:t>
      </w:r>
      <w:r>
        <w:rPr>
          <w:color w:val="231F20"/>
          <w:w w:val="105"/>
        </w:rPr>
        <w:t>años</w:t>
      </w:r>
      <w:r>
        <w:rPr>
          <w:color w:val="231F20"/>
          <w:spacing w:val="-15"/>
          <w:w w:val="105"/>
        </w:rPr>
        <w:t> </w:t>
      </w:r>
      <w:r>
        <w:rPr>
          <w:color w:val="231F20"/>
          <w:w w:val="105"/>
        </w:rPr>
        <w:t>y</w:t>
      </w:r>
      <w:r>
        <w:rPr>
          <w:color w:val="231F20"/>
          <w:spacing w:val="-15"/>
          <w:w w:val="105"/>
        </w:rPr>
        <w:t> </w:t>
      </w:r>
      <w:r>
        <w:rPr>
          <w:color w:val="231F20"/>
          <w:w w:val="105"/>
        </w:rPr>
        <w:t>más</w:t>
      </w:r>
      <w:r>
        <w:rPr>
          <w:color w:val="231F20"/>
          <w:spacing w:val="-15"/>
          <w:w w:val="105"/>
        </w:rPr>
        <w:t> </w:t>
      </w:r>
      <w:r>
        <w:rPr>
          <w:color w:val="231F20"/>
          <w:w w:val="105"/>
        </w:rPr>
        <w:t>hablantes</w:t>
      </w:r>
      <w:r>
        <w:rPr>
          <w:color w:val="231F20"/>
          <w:spacing w:val="-15"/>
          <w:w w:val="105"/>
        </w:rPr>
        <w:t> </w:t>
      </w:r>
      <w:r>
        <w:rPr>
          <w:color w:val="231F20"/>
          <w:w w:val="105"/>
        </w:rPr>
        <w:t>de</w:t>
      </w:r>
      <w:r>
        <w:rPr>
          <w:color w:val="231F20"/>
          <w:spacing w:val="-15"/>
          <w:w w:val="105"/>
        </w:rPr>
        <w:t> </w:t>
      </w:r>
      <w:r>
        <w:rPr>
          <w:color w:val="231F20"/>
          <w:w w:val="105"/>
        </w:rPr>
        <w:t>alguna</w:t>
      </w:r>
      <w:r>
        <w:rPr>
          <w:color w:val="231F20"/>
          <w:spacing w:val="-15"/>
          <w:w w:val="105"/>
        </w:rPr>
        <w:t> </w:t>
      </w:r>
      <w:r>
        <w:rPr>
          <w:color w:val="231F20"/>
          <w:w w:val="105"/>
        </w:rPr>
        <w:t>len- gua</w:t>
      </w:r>
      <w:r>
        <w:rPr>
          <w:color w:val="231F20"/>
          <w:spacing w:val="-17"/>
          <w:w w:val="105"/>
        </w:rPr>
        <w:t> </w:t>
      </w:r>
      <w:r>
        <w:rPr>
          <w:color w:val="231F20"/>
          <w:w w:val="105"/>
        </w:rPr>
        <w:t>indígena.</w:t>
      </w:r>
      <w:r>
        <w:rPr>
          <w:color w:val="231F20"/>
          <w:spacing w:val="-22"/>
          <w:w w:val="105"/>
        </w:rPr>
        <w:t> </w:t>
      </w:r>
      <w:r>
        <w:rPr>
          <w:color w:val="231F20"/>
          <w:w w:val="105"/>
        </w:rPr>
        <w:t>Es</w:t>
      </w:r>
      <w:r>
        <w:rPr>
          <w:color w:val="231F20"/>
          <w:spacing w:val="-17"/>
          <w:w w:val="105"/>
        </w:rPr>
        <w:t> </w:t>
      </w:r>
      <w:r>
        <w:rPr>
          <w:color w:val="231F20"/>
          <w:w w:val="105"/>
        </w:rPr>
        <w:t>importante</w:t>
      </w:r>
      <w:r>
        <w:rPr>
          <w:color w:val="231F20"/>
          <w:spacing w:val="-17"/>
          <w:w w:val="105"/>
        </w:rPr>
        <w:t> </w:t>
      </w:r>
      <w:r>
        <w:rPr>
          <w:color w:val="231F20"/>
          <w:spacing w:val="-4"/>
          <w:w w:val="105"/>
        </w:rPr>
        <w:t>precisar,</w:t>
      </w:r>
      <w:r>
        <w:rPr>
          <w:color w:val="231F20"/>
          <w:spacing w:val="-22"/>
          <w:w w:val="105"/>
        </w:rPr>
        <w:t> </w:t>
      </w:r>
      <w:r>
        <w:rPr>
          <w:color w:val="231F20"/>
          <w:w w:val="105"/>
        </w:rPr>
        <w:t>si</w:t>
      </w:r>
      <w:r>
        <w:rPr>
          <w:color w:val="231F20"/>
          <w:spacing w:val="-17"/>
          <w:w w:val="105"/>
        </w:rPr>
        <w:t> </w:t>
      </w:r>
      <w:r>
        <w:rPr>
          <w:color w:val="231F20"/>
          <w:w w:val="105"/>
        </w:rPr>
        <w:t>algún</w:t>
      </w:r>
      <w:r>
        <w:rPr>
          <w:color w:val="231F20"/>
          <w:spacing w:val="-17"/>
          <w:w w:val="105"/>
        </w:rPr>
        <w:t> </w:t>
      </w:r>
      <w:r>
        <w:rPr>
          <w:color w:val="231F20"/>
          <w:w w:val="105"/>
        </w:rPr>
        <w:t>municipio</w:t>
      </w:r>
      <w:r>
        <w:rPr>
          <w:color w:val="231F20"/>
          <w:spacing w:val="-17"/>
          <w:w w:val="105"/>
        </w:rPr>
        <w:t> </w:t>
      </w:r>
      <w:r>
        <w:rPr>
          <w:color w:val="231F20"/>
          <w:w w:val="105"/>
        </w:rPr>
        <w:t>se</w:t>
      </w:r>
      <w:r>
        <w:rPr>
          <w:color w:val="231F20"/>
          <w:spacing w:val="-17"/>
          <w:w w:val="105"/>
        </w:rPr>
        <w:t> </w:t>
      </w:r>
      <w:r>
        <w:rPr>
          <w:color w:val="231F20"/>
          <w:w w:val="105"/>
        </w:rPr>
        <w:t>ubicó</w:t>
      </w:r>
      <w:r>
        <w:rPr>
          <w:color w:val="231F20"/>
          <w:spacing w:val="-17"/>
          <w:w w:val="105"/>
        </w:rPr>
        <w:t> </w:t>
      </w:r>
      <w:r>
        <w:rPr>
          <w:color w:val="231F20"/>
          <w:w w:val="105"/>
        </w:rPr>
        <w:t>simultá- neamente</w:t>
      </w:r>
      <w:r>
        <w:rPr>
          <w:color w:val="231F20"/>
          <w:spacing w:val="-24"/>
          <w:w w:val="105"/>
        </w:rPr>
        <w:t> </w:t>
      </w:r>
      <w:r>
        <w:rPr>
          <w:color w:val="231F20"/>
          <w:w w:val="105"/>
        </w:rPr>
        <w:t>en</w:t>
      </w:r>
      <w:r>
        <w:rPr>
          <w:color w:val="231F20"/>
          <w:spacing w:val="-24"/>
          <w:w w:val="105"/>
        </w:rPr>
        <w:t> </w:t>
      </w:r>
      <w:r>
        <w:rPr>
          <w:color w:val="231F20"/>
          <w:w w:val="105"/>
        </w:rPr>
        <w:t>más</w:t>
      </w:r>
      <w:r>
        <w:rPr>
          <w:color w:val="231F20"/>
          <w:spacing w:val="-24"/>
          <w:w w:val="105"/>
        </w:rPr>
        <w:t> </w:t>
      </w:r>
      <w:r>
        <w:rPr>
          <w:color w:val="231F20"/>
          <w:w w:val="105"/>
        </w:rPr>
        <w:t>de</w:t>
      </w:r>
      <w:r>
        <w:rPr>
          <w:color w:val="231F20"/>
          <w:spacing w:val="-24"/>
          <w:w w:val="105"/>
        </w:rPr>
        <w:t> </w:t>
      </w:r>
      <w:r>
        <w:rPr>
          <w:color w:val="231F20"/>
          <w:w w:val="105"/>
        </w:rPr>
        <w:t>una</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categorías</w:t>
      </w:r>
      <w:r>
        <w:rPr>
          <w:color w:val="231F20"/>
          <w:spacing w:val="-24"/>
          <w:w w:val="105"/>
        </w:rPr>
        <w:t> </w:t>
      </w:r>
      <w:r>
        <w:rPr>
          <w:color w:val="231F20"/>
          <w:w w:val="105"/>
        </w:rPr>
        <w:t>establecidas</w:t>
      </w:r>
      <w:r>
        <w:rPr>
          <w:color w:val="231F20"/>
          <w:spacing w:val="-24"/>
          <w:w w:val="105"/>
        </w:rPr>
        <w:t> </w:t>
      </w:r>
      <w:r>
        <w:rPr>
          <w:color w:val="231F20"/>
          <w:w w:val="105"/>
        </w:rPr>
        <w:t>se</w:t>
      </w:r>
      <w:r>
        <w:rPr>
          <w:color w:val="231F20"/>
          <w:spacing w:val="-24"/>
          <w:w w:val="105"/>
        </w:rPr>
        <w:t> </w:t>
      </w:r>
      <w:r>
        <w:rPr>
          <w:color w:val="231F20"/>
          <w:w w:val="105"/>
        </w:rPr>
        <w:t>dio</w:t>
      </w:r>
      <w:r>
        <w:rPr>
          <w:color w:val="231F20"/>
          <w:spacing w:val="-24"/>
          <w:w w:val="105"/>
        </w:rPr>
        <w:t> </w:t>
      </w:r>
      <w:r>
        <w:rPr>
          <w:color w:val="231F20"/>
          <w:w w:val="105"/>
        </w:rPr>
        <w:t>prioridad</w:t>
      </w:r>
      <w:r>
        <w:rPr>
          <w:color w:val="231F20"/>
          <w:spacing w:val="-24"/>
          <w:w w:val="105"/>
        </w:rPr>
        <w:t> </w:t>
      </w:r>
      <w:r>
        <w:rPr>
          <w:color w:val="231F20"/>
          <w:w w:val="105"/>
        </w:rPr>
        <w:t>a la</w:t>
      </w:r>
      <w:r>
        <w:rPr>
          <w:color w:val="231F20"/>
          <w:spacing w:val="-12"/>
          <w:w w:val="105"/>
        </w:rPr>
        <w:t> </w:t>
      </w:r>
      <w:r>
        <w:rPr>
          <w:color w:val="231F20"/>
          <w:w w:val="105"/>
        </w:rPr>
        <w:t>influencia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dinámica</w:t>
      </w:r>
      <w:r>
        <w:rPr>
          <w:color w:val="231F20"/>
          <w:spacing w:val="-12"/>
          <w:w w:val="105"/>
        </w:rPr>
        <w:t> </w:t>
      </w:r>
      <w:r>
        <w:rPr>
          <w:color w:val="231F20"/>
          <w:spacing w:val="-3"/>
          <w:w w:val="105"/>
        </w:rPr>
        <w:t>migratoria,</w:t>
      </w:r>
      <w:r>
        <w:rPr>
          <w:color w:val="231F20"/>
          <w:spacing w:val="-18"/>
          <w:w w:val="105"/>
        </w:rPr>
        <w:t> </w:t>
      </w:r>
      <w:r>
        <w:rPr>
          <w:color w:val="231F20"/>
          <w:w w:val="105"/>
        </w:rPr>
        <w:t>estableciéndolo</w:t>
      </w:r>
      <w:r>
        <w:rPr>
          <w:color w:val="231F20"/>
          <w:spacing w:val="-12"/>
          <w:w w:val="105"/>
        </w:rPr>
        <w:t> </w:t>
      </w:r>
      <w:r>
        <w:rPr>
          <w:color w:val="231F20"/>
          <w:w w:val="105"/>
        </w:rPr>
        <w:t>como</w:t>
      </w:r>
      <w:r>
        <w:rPr>
          <w:color w:val="231F20"/>
          <w:spacing w:val="-12"/>
          <w:w w:val="105"/>
        </w:rPr>
        <w:t> </w:t>
      </w:r>
      <w:r>
        <w:rPr>
          <w:color w:val="231F20"/>
          <w:spacing w:val="-3"/>
          <w:w w:val="105"/>
        </w:rPr>
        <w:t>emergente, </w:t>
      </w:r>
      <w:r>
        <w:rPr>
          <w:color w:val="231F20"/>
          <w:w w:val="105"/>
        </w:rPr>
        <w:t>seguido</w:t>
      </w:r>
      <w:r>
        <w:rPr>
          <w:color w:val="231F20"/>
          <w:spacing w:val="-30"/>
          <w:w w:val="105"/>
        </w:rPr>
        <w:t> </w:t>
      </w:r>
      <w:r>
        <w:rPr>
          <w:color w:val="231F20"/>
          <w:w w:val="105"/>
        </w:rPr>
        <w:t>de</w:t>
      </w:r>
      <w:r>
        <w:rPr>
          <w:color w:val="231F20"/>
          <w:spacing w:val="-30"/>
          <w:w w:val="105"/>
        </w:rPr>
        <w:t> </w:t>
      </w:r>
      <w:r>
        <w:rPr>
          <w:color w:val="231F20"/>
          <w:w w:val="105"/>
        </w:rPr>
        <w:t>municipios</w:t>
      </w:r>
      <w:r>
        <w:rPr>
          <w:color w:val="231F20"/>
          <w:spacing w:val="-30"/>
          <w:w w:val="105"/>
        </w:rPr>
        <w:t> </w:t>
      </w:r>
      <w:r>
        <w:rPr>
          <w:color w:val="231F20"/>
          <w:w w:val="105"/>
        </w:rPr>
        <w:t>tradicionales</w:t>
      </w:r>
      <w:r>
        <w:rPr>
          <w:color w:val="231F20"/>
          <w:spacing w:val="-30"/>
          <w:w w:val="105"/>
        </w:rPr>
        <w:t> </w:t>
      </w:r>
      <w:r>
        <w:rPr>
          <w:color w:val="231F20"/>
          <w:spacing w:val="-5"/>
          <w:w w:val="105"/>
        </w:rPr>
        <w:t>y,</w:t>
      </w:r>
      <w:r>
        <w:rPr>
          <w:color w:val="231F20"/>
          <w:spacing w:val="-34"/>
          <w:w w:val="105"/>
        </w:rPr>
        <w:t> </w:t>
      </w:r>
      <w:r>
        <w:rPr>
          <w:color w:val="231F20"/>
          <w:w w:val="105"/>
        </w:rPr>
        <w:t>finalmente,</w:t>
      </w:r>
      <w:r>
        <w:rPr>
          <w:color w:val="231F20"/>
          <w:spacing w:val="-34"/>
          <w:w w:val="105"/>
        </w:rPr>
        <w:t> </w:t>
      </w:r>
      <w:r>
        <w:rPr>
          <w:color w:val="231F20"/>
          <w:w w:val="105"/>
        </w:rPr>
        <w:t>los</w:t>
      </w:r>
      <w:r>
        <w:rPr>
          <w:color w:val="231F20"/>
          <w:spacing w:val="-30"/>
          <w:w w:val="105"/>
        </w:rPr>
        <w:t> </w:t>
      </w:r>
      <w:r>
        <w:rPr>
          <w:color w:val="231F20"/>
          <w:w w:val="105"/>
        </w:rPr>
        <w:t>municipios</w:t>
      </w:r>
      <w:r>
        <w:rPr>
          <w:color w:val="231F20"/>
          <w:spacing w:val="-30"/>
          <w:w w:val="105"/>
        </w:rPr>
        <w:t> </w:t>
      </w:r>
      <w:r>
        <w:rPr>
          <w:color w:val="231F20"/>
          <w:w w:val="105"/>
        </w:rPr>
        <w:t>étnicos.</w:t>
      </w:r>
    </w:p>
    <w:p>
      <w:pPr>
        <w:pStyle w:val="BodyText"/>
        <w:rPr>
          <w:sz w:val="20"/>
        </w:rPr>
      </w:pPr>
    </w:p>
    <w:p>
      <w:pPr>
        <w:pStyle w:val="BodyText"/>
        <w:spacing w:before="9"/>
        <w:rPr>
          <w:sz w:val="20"/>
        </w:rPr>
      </w:pPr>
    </w:p>
    <w:p>
      <w:pPr>
        <w:pStyle w:val="Heading3"/>
        <w:ind w:left="1808"/>
      </w:pPr>
      <w:r>
        <w:rPr>
          <w:color w:val="231F20"/>
        </w:rPr>
        <w:t>Resultados</w:t>
      </w:r>
    </w:p>
    <w:p>
      <w:pPr>
        <w:pStyle w:val="BodyText"/>
        <w:rPr>
          <w:rFonts w:ascii="Arial"/>
          <w:b/>
          <w:sz w:val="22"/>
        </w:rPr>
      </w:pPr>
    </w:p>
    <w:p>
      <w:pPr>
        <w:pStyle w:val="BodyText"/>
        <w:spacing w:line="261" w:lineRule="auto" w:before="163"/>
        <w:ind w:left="1808" w:right="1670"/>
        <w:jc w:val="both"/>
      </w:pPr>
      <w:r>
        <w:rPr>
          <w:color w:val="231F20"/>
          <w:w w:val="105"/>
        </w:rPr>
        <w:t>El mapa 1 muestra la distribución de los municipios del estado según la categoría donde se colocaron con base en su dinámica migratoria. Los municipios emergentes, los de mayor representatividad (58.2%), se en- cuentran</w:t>
      </w:r>
      <w:r>
        <w:rPr>
          <w:color w:val="231F20"/>
          <w:spacing w:val="-19"/>
          <w:w w:val="105"/>
        </w:rPr>
        <w:t> </w:t>
      </w:r>
      <w:r>
        <w:rPr>
          <w:color w:val="231F20"/>
          <w:w w:val="105"/>
        </w:rPr>
        <w:t>concentrados</w:t>
      </w:r>
      <w:r>
        <w:rPr>
          <w:color w:val="231F20"/>
          <w:spacing w:val="-19"/>
          <w:w w:val="105"/>
        </w:rPr>
        <w:t> </w:t>
      </w:r>
      <w:r>
        <w:rPr>
          <w:color w:val="231F20"/>
          <w:w w:val="105"/>
        </w:rPr>
        <w:t>en</w:t>
      </w:r>
      <w:r>
        <w:rPr>
          <w:color w:val="231F20"/>
          <w:spacing w:val="-19"/>
          <w:w w:val="105"/>
        </w:rPr>
        <w:t> </w:t>
      </w:r>
      <w:r>
        <w:rPr>
          <w:color w:val="231F20"/>
          <w:w w:val="105"/>
        </w:rPr>
        <w:t>las</w:t>
      </w:r>
      <w:r>
        <w:rPr>
          <w:color w:val="231F20"/>
          <w:spacing w:val="-19"/>
          <w:w w:val="105"/>
        </w:rPr>
        <w:t> </w:t>
      </w:r>
      <w:r>
        <w:rPr>
          <w:color w:val="231F20"/>
          <w:w w:val="105"/>
        </w:rPr>
        <w:t>zonas</w:t>
      </w:r>
      <w:r>
        <w:rPr>
          <w:color w:val="231F20"/>
          <w:spacing w:val="-19"/>
          <w:w w:val="105"/>
        </w:rPr>
        <w:t> </w:t>
      </w:r>
      <w:r>
        <w:rPr>
          <w:color w:val="231F20"/>
          <w:w w:val="105"/>
        </w:rPr>
        <w:t>metropolitanas</w:t>
      </w:r>
      <w:r>
        <w:rPr>
          <w:color w:val="231F20"/>
          <w:spacing w:val="-19"/>
          <w:w w:val="105"/>
        </w:rPr>
        <w:t> </w:t>
      </w:r>
      <w:r>
        <w:rPr>
          <w:color w:val="231F20"/>
          <w:w w:val="105"/>
        </w:rPr>
        <w:t>del</w:t>
      </w:r>
      <w:r>
        <w:rPr>
          <w:color w:val="231F20"/>
          <w:spacing w:val="-21"/>
          <w:w w:val="105"/>
        </w:rPr>
        <w:t> </w:t>
      </w:r>
      <w:r>
        <w:rPr>
          <w:color w:val="231F20"/>
          <w:w w:val="105"/>
        </w:rPr>
        <w:t>Valle</w:t>
      </w:r>
      <w:r>
        <w:rPr>
          <w:color w:val="231F20"/>
          <w:spacing w:val="-19"/>
          <w:w w:val="105"/>
        </w:rPr>
        <w:t> </w:t>
      </w:r>
      <w:r>
        <w:rPr>
          <w:color w:val="231F20"/>
          <w:w w:val="105"/>
        </w:rPr>
        <w:t>de</w:t>
      </w:r>
      <w:r>
        <w:rPr>
          <w:color w:val="231F20"/>
          <w:spacing w:val="-19"/>
          <w:w w:val="105"/>
        </w:rPr>
        <w:t> </w:t>
      </w:r>
      <w:r>
        <w:rPr>
          <w:color w:val="231F20"/>
          <w:w w:val="105"/>
        </w:rPr>
        <w:t>México</w:t>
      </w:r>
      <w:r>
        <w:rPr>
          <w:color w:val="231F20"/>
          <w:spacing w:val="-19"/>
          <w:w w:val="105"/>
        </w:rPr>
        <w:t> </w:t>
      </w:r>
      <w:r>
        <w:rPr>
          <w:color w:val="231F20"/>
          <w:w w:val="105"/>
        </w:rPr>
        <w:t>y de</w:t>
      </w:r>
      <w:r>
        <w:rPr>
          <w:color w:val="231F20"/>
          <w:spacing w:val="-16"/>
          <w:w w:val="105"/>
        </w:rPr>
        <w:t> </w:t>
      </w:r>
      <w:r>
        <w:rPr>
          <w:color w:val="231F20"/>
          <w:spacing w:val="-3"/>
          <w:w w:val="105"/>
        </w:rPr>
        <w:t>Toluca.</w:t>
      </w:r>
      <w:r>
        <w:rPr>
          <w:color w:val="231F20"/>
          <w:spacing w:val="-16"/>
          <w:w w:val="105"/>
        </w:rPr>
        <w:t> </w:t>
      </w:r>
      <w:r>
        <w:rPr>
          <w:color w:val="231F20"/>
          <w:w w:val="105"/>
        </w:rPr>
        <w:t>Los</w:t>
      </w:r>
      <w:r>
        <w:rPr>
          <w:color w:val="231F20"/>
          <w:spacing w:val="-11"/>
          <w:w w:val="105"/>
        </w:rPr>
        <w:t> </w:t>
      </w:r>
      <w:r>
        <w:rPr>
          <w:color w:val="231F20"/>
          <w:w w:val="105"/>
        </w:rPr>
        <w:t>municipios</w:t>
      </w:r>
      <w:r>
        <w:rPr>
          <w:color w:val="231F20"/>
          <w:spacing w:val="-11"/>
          <w:w w:val="105"/>
        </w:rPr>
        <w:t> </w:t>
      </w:r>
      <w:r>
        <w:rPr>
          <w:color w:val="231F20"/>
          <w:w w:val="105"/>
        </w:rPr>
        <w:t>étnicos</w:t>
      </w:r>
      <w:r>
        <w:rPr>
          <w:color w:val="231F20"/>
          <w:spacing w:val="-11"/>
          <w:w w:val="105"/>
        </w:rPr>
        <w:t> </w:t>
      </w:r>
      <w:r>
        <w:rPr>
          <w:color w:val="231F20"/>
          <w:w w:val="105"/>
        </w:rPr>
        <w:t>representaron</w:t>
      </w:r>
      <w:r>
        <w:rPr>
          <w:color w:val="231F20"/>
          <w:spacing w:val="-11"/>
          <w:w w:val="105"/>
        </w:rPr>
        <w:t> </w:t>
      </w:r>
      <w:r>
        <w:rPr>
          <w:color w:val="231F20"/>
          <w:w w:val="105"/>
        </w:rPr>
        <w:t>14.4%</w:t>
      </w:r>
      <w:r>
        <w:rPr>
          <w:color w:val="231F20"/>
          <w:spacing w:val="-11"/>
          <w:w w:val="105"/>
        </w:rPr>
        <w:t> </w:t>
      </w:r>
      <w:r>
        <w:rPr>
          <w:color w:val="231F20"/>
          <w:w w:val="105"/>
        </w:rPr>
        <w:t>del</w:t>
      </w:r>
      <w:r>
        <w:rPr>
          <w:color w:val="231F20"/>
          <w:spacing w:val="-11"/>
          <w:w w:val="105"/>
        </w:rPr>
        <w:t> </w:t>
      </w:r>
      <w:r>
        <w:rPr>
          <w:color w:val="231F20"/>
          <w:w w:val="105"/>
        </w:rPr>
        <w:t>total</w:t>
      </w:r>
      <w:r>
        <w:rPr>
          <w:color w:val="231F20"/>
          <w:spacing w:val="-11"/>
          <w:w w:val="105"/>
        </w:rPr>
        <w:t> </w:t>
      </w:r>
      <w:r>
        <w:rPr>
          <w:color w:val="231F20"/>
          <w:w w:val="105"/>
        </w:rPr>
        <w:t>y</w:t>
      </w:r>
      <w:r>
        <w:rPr>
          <w:color w:val="231F20"/>
          <w:spacing w:val="-11"/>
          <w:w w:val="105"/>
        </w:rPr>
        <w:t> </w:t>
      </w:r>
      <w:r>
        <w:rPr>
          <w:color w:val="231F20"/>
          <w:w w:val="105"/>
        </w:rPr>
        <w:t>se</w:t>
      </w:r>
      <w:r>
        <w:rPr>
          <w:color w:val="231F20"/>
          <w:spacing w:val="-11"/>
          <w:w w:val="105"/>
        </w:rPr>
        <w:t> </w:t>
      </w:r>
      <w:r>
        <w:rPr>
          <w:color w:val="231F20"/>
          <w:w w:val="105"/>
        </w:rPr>
        <w:t>ubi- caron en la parte noroeste de la entidad, principalmente. Los</w:t>
      </w:r>
      <w:r>
        <w:rPr>
          <w:color w:val="231F20"/>
          <w:spacing w:val="-29"/>
          <w:w w:val="105"/>
        </w:rPr>
        <w:t> </w:t>
      </w:r>
      <w:r>
        <w:rPr>
          <w:color w:val="231F20"/>
          <w:w w:val="105"/>
        </w:rPr>
        <w:t>municipios tradicionales de migración fueron los menos numerosos, representaron solamente</w:t>
      </w:r>
      <w:r>
        <w:rPr>
          <w:color w:val="231F20"/>
          <w:spacing w:val="-4"/>
          <w:w w:val="105"/>
        </w:rPr>
        <w:t> </w:t>
      </w:r>
      <w:r>
        <w:rPr>
          <w:color w:val="231F20"/>
          <w:w w:val="105"/>
        </w:rPr>
        <w:t>11.2%</w:t>
      </w:r>
      <w:r>
        <w:rPr>
          <w:color w:val="231F20"/>
          <w:spacing w:val="-4"/>
          <w:w w:val="105"/>
        </w:rPr>
        <w:t> </w:t>
      </w:r>
      <w:r>
        <w:rPr>
          <w:color w:val="231F20"/>
          <w:w w:val="105"/>
        </w:rPr>
        <w:t>del</w:t>
      </w:r>
      <w:r>
        <w:rPr>
          <w:color w:val="231F20"/>
          <w:spacing w:val="-4"/>
          <w:w w:val="105"/>
        </w:rPr>
        <w:t> </w:t>
      </w:r>
      <w:r>
        <w:rPr>
          <w:color w:val="231F20"/>
          <w:w w:val="105"/>
        </w:rPr>
        <w:t>total</w:t>
      </w:r>
      <w:r>
        <w:rPr>
          <w:color w:val="231F20"/>
          <w:spacing w:val="-4"/>
          <w:w w:val="105"/>
        </w:rPr>
        <w:t> </w:t>
      </w:r>
      <w:r>
        <w:rPr>
          <w:color w:val="231F20"/>
          <w:w w:val="105"/>
        </w:rPr>
        <w:t>de</w:t>
      </w:r>
      <w:r>
        <w:rPr>
          <w:color w:val="231F20"/>
          <w:spacing w:val="-4"/>
          <w:w w:val="105"/>
        </w:rPr>
        <w:t> </w:t>
      </w:r>
      <w:r>
        <w:rPr>
          <w:color w:val="231F20"/>
          <w:w w:val="105"/>
        </w:rPr>
        <w:t>municipios</w:t>
      </w:r>
      <w:r>
        <w:rPr>
          <w:color w:val="231F20"/>
          <w:spacing w:val="-4"/>
          <w:w w:val="105"/>
        </w:rPr>
        <w:t> </w:t>
      </w:r>
      <w:r>
        <w:rPr>
          <w:color w:val="231F20"/>
          <w:w w:val="105"/>
        </w:rPr>
        <w:t>del</w:t>
      </w:r>
      <w:r>
        <w:rPr>
          <w:color w:val="231F20"/>
          <w:spacing w:val="-4"/>
          <w:w w:val="105"/>
        </w:rPr>
        <w:t> </w:t>
      </w:r>
      <w:r>
        <w:rPr>
          <w:color w:val="231F20"/>
          <w:w w:val="105"/>
        </w:rPr>
        <w:t>estado,</w:t>
      </w:r>
      <w:r>
        <w:rPr>
          <w:color w:val="231F20"/>
          <w:spacing w:val="-10"/>
          <w:w w:val="105"/>
        </w:rPr>
        <w:t> </w:t>
      </w:r>
      <w:r>
        <w:rPr>
          <w:color w:val="231F20"/>
          <w:w w:val="105"/>
        </w:rPr>
        <w:t>se</w:t>
      </w:r>
      <w:r>
        <w:rPr>
          <w:color w:val="231F20"/>
          <w:spacing w:val="-4"/>
          <w:w w:val="105"/>
        </w:rPr>
        <w:t> </w:t>
      </w:r>
      <w:r>
        <w:rPr>
          <w:color w:val="231F20"/>
          <w:w w:val="105"/>
        </w:rPr>
        <w:t>ubican</w:t>
      </w:r>
      <w:r>
        <w:rPr>
          <w:color w:val="231F20"/>
          <w:spacing w:val="-4"/>
          <w:w w:val="105"/>
        </w:rPr>
        <w:t> </w:t>
      </w:r>
      <w:r>
        <w:rPr>
          <w:color w:val="231F20"/>
          <w:w w:val="105"/>
        </w:rPr>
        <w:t>principal- mente en la parte sur de la entidad. Alrededor de 16% de los</w:t>
      </w:r>
      <w:r>
        <w:rPr>
          <w:color w:val="231F20"/>
          <w:spacing w:val="-33"/>
          <w:w w:val="105"/>
        </w:rPr>
        <w:t> </w:t>
      </w:r>
      <w:r>
        <w:rPr>
          <w:color w:val="231F20"/>
          <w:w w:val="105"/>
        </w:rPr>
        <w:t>municipios no</w:t>
      </w:r>
      <w:r>
        <w:rPr>
          <w:color w:val="231F20"/>
          <w:spacing w:val="-20"/>
          <w:w w:val="105"/>
        </w:rPr>
        <w:t> </w:t>
      </w:r>
      <w:r>
        <w:rPr>
          <w:color w:val="231F20"/>
          <w:w w:val="105"/>
        </w:rPr>
        <w:t>pudieron</w:t>
      </w:r>
      <w:r>
        <w:rPr>
          <w:color w:val="231F20"/>
          <w:spacing w:val="-20"/>
          <w:w w:val="105"/>
        </w:rPr>
        <w:t> </w:t>
      </w:r>
      <w:r>
        <w:rPr>
          <w:color w:val="231F20"/>
          <w:w w:val="105"/>
        </w:rPr>
        <w:t>ser</w:t>
      </w:r>
      <w:r>
        <w:rPr>
          <w:color w:val="231F20"/>
          <w:spacing w:val="-20"/>
          <w:w w:val="105"/>
        </w:rPr>
        <w:t> </w:t>
      </w:r>
      <w:r>
        <w:rPr>
          <w:color w:val="231F20"/>
          <w:w w:val="105"/>
        </w:rPr>
        <w:t>clasificados</w:t>
      </w:r>
      <w:r>
        <w:rPr>
          <w:color w:val="231F20"/>
          <w:spacing w:val="-20"/>
          <w:w w:val="105"/>
        </w:rPr>
        <w:t> </w:t>
      </w:r>
      <w:r>
        <w:rPr>
          <w:color w:val="231F20"/>
          <w:w w:val="105"/>
        </w:rPr>
        <w:t>en</w:t>
      </w:r>
      <w:r>
        <w:rPr>
          <w:color w:val="231F20"/>
          <w:spacing w:val="-20"/>
          <w:w w:val="105"/>
        </w:rPr>
        <w:t> </w:t>
      </w:r>
      <w:r>
        <w:rPr>
          <w:color w:val="231F20"/>
          <w:w w:val="105"/>
        </w:rPr>
        <w:t>ninguna</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categorías</w:t>
      </w:r>
      <w:r>
        <w:rPr>
          <w:color w:val="231F20"/>
          <w:spacing w:val="-20"/>
          <w:w w:val="105"/>
        </w:rPr>
        <w:t> </w:t>
      </w:r>
      <w:r>
        <w:rPr>
          <w:color w:val="231F20"/>
          <w:w w:val="105"/>
        </w:rPr>
        <w:t>utilizadas.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0"/>
        <w:ind w:left="2074" w:right="0" w:firstLine="0"/>
        <w:jc w:val="left"/>
        <w:rPr>
          <w:rFonts w:ascii="Arial" w:hAnsi="Arial"/>
          <w:sz w:val="18"/>
        </w:rPr>
      </w:pPr>
      <w:r>
        <w:rPr/>
        <w:drawing>
          <wp:anchor distT="0" distB="0" distL="0" distR="0" allowOverlap="1" layoutInCell="1" locked="0" behindDoc="0" simplePos="0" relativeHeight="33256">
            <wp:simplePos x="0" y="0"/>
            <wp:positionH relativeFrom="page">
              <wp:posOffset>1148702</wp:posOffset>
            </wp:positionH>
            <wp:positionV relativeFrom="paragraph">
              <wp:posOffset>199440</wp:posOffset>
            </wp:positionV>
            <wp:extent cx="4214592" cy="2807207"/>
            <wp:effectExtent l="0" t="0" r="0" b="0"/>
            <wp:wrapTopAndBottom/>
            <wp:docPr id="63" name="image187.png" descr=""/>
            <wp:cNvGraphicFramePr>
              <a:graphicFrameLocks noChangeAspect="1"/>
            </wp:cNvGraphicFramePr>
            <a:graphic>
              <a:graphicData uri="http://schemas.openxmlformats.org/drawingml/2006/picture">
                <pic:pic>
                  <pic:nvPicPr>
                    <pic:cNvPr id="64" name="image187.png"/>
                    <pic:cNvPicPr/>
                  </pic:nvPicPr>
                  <pic:blipFill>
                    <a:blip r:embed="rId325" cstate="print"/>
                    <a:stretch>
                      <a:fillRect/>
                    </a:stretch>
                  </pic:blipFill>
                  <pic:spPr>
                    <a:xfrm>
                      <a:off x="0" y="0"/>
                      <a:ext cx="4214592" cy="2807207"/>
                    </a:xfrm>
                    <a:prstGeom prst="rect">
                      <a:avLst/>
                    </a:prstGeom>
                  </pic:spPr>
                </pic:pic>
              </a:graphicData>
            </a:graphic>
          </wp:anchor>
        </w:drawing>
      </w:r>
      <w:r>
        <w:rPr/>
        <w:pict>
          <v:line style="position:absolute;mso-position-horizontal-relative:page;mso-position-vertical-relative:paragraph;z-index:33304" from="15pt,-71.424232pt" to="0pt,-71.424232pt" stroked="true" strokeweight=".25pt" strokecolor="#000000">
            <w10:wrap type="none"/>
          </v:line>
        </w:pict>
      </w:r>
      <w:r>
        <w:rPr/>
        <w:pict>
          <v:line style="position:absolute;mso-position-horizontal-relative:page;mso-position-vertical-relative:paragraph;z-index:33328" from="508.890015pt,-71.424232pt" to="523.890015pt,-71.424232pt" stroked="true" strokeweight=".25pt" strokecolor="#000000">
            <w10:wrap type="none"/>
          </v:line>
        </w:pict>
      </w:r>
      <w:r>
        <w:rPr>
          <w:rFonts w:ascii="Arial" w:hAnsi="Arial"/>
          <w:color w:val="231F20"/>
          <w:w w:val="105"/>
          <w:sz w:val="18"/>
        </w:rPr>
        <w:t>Mapa 1. Municipios del Estado de México según dinámica migratoria, 2010</w:t>
      </w:r>
    </w:p>
    <w:p>
      <w:pPr>
        <w:spacing w:before="88"/>
        <w:ind w:left="1894" w:right="0" w:firstLine="0"/>
        <w:jc w:val="left"/>
        <w:rPr>
          <w:sz w:val="16"/>
        </w:rPr>
      </w:pPr>
      <w:r>
        <w:rPr>
          <w:color w:val="231F20"/>
          <w:w w:val="105"/>
          <w:sz w:val="16"/>
        </w:rPr>
        <w:t>Fuente: elaboración propia.</w:t>
      </w:r>
    </w:p>
    <w:p>
      <w:pPr>
        <w:pStyle w:val="BodyText"/>
        <w:rPr>
          <w:sz w:val="16"/>
        </w:rPr>
      </w:pPr>
    </w:p>
    <w:p>
      <w:pPr>
        <w:pStyle w:val="BodyText"/>
        <w:spacing w:line="261" w:lineRule="auto" w:before="111"/>
        <w:ind w:left="1723" w:right="1834"/>
        <w:jc w:val="both"/>
      </w:pPr>
      <w:r>
        <w:rPr>
          <w:color w:val="231F20"/>
          <w:w w:val="105"/>
        </w:rPr>
        <w:t>El</w:t>
      </w:r>
      <w:r>
        <w:rPr>
          <w:color w:val="231F20"/>
          <w:spacing w:val="-10"/>
          <w:w w:val="105"/>
        </w:rPr>
        <w:t> </w:t>
      </w:r>
      <w:r>
        <w:rPr>
          <w:color w:val="231F20"/>
          <w:w w:val="105"/>
        </w:rPr>
        <w:t>cuadro</w:t>
      </w:r>
      <w:r>
        <w:rPr>
          <w:color w:val="231F20"/>
          <w:spacing w:val="-10"/>
          <w:w w:val="105"/>
        </w:rPr>
        <w:t> </w:t>
      </w:r>
      <w:r>
        <w:rPr>
          <w:color w:val="231F20"/>
          <w:w w:val="105"/>
        </w:rPr>
        <w:t>1</w:t>
      </w:r>
      <w:r>
        <w:rPr>
          <w:color w:val="231F20"/>
          <w:spacing w:val="-10"/>
          <w:w w:val="105"/>
        </w:rPr>
        <w:t> </w:t>
      </w:r>
      <w:r>
        <w:rPr>
          <w:color w:val="231F20"/>
          <w:w w:val="105"/>
        </w:rPr>
        <w:t>contiene</w:t>
      </w:r>
      <w:r>
        <w:rPr>
          <w:color w:val="231F20"/>
          <w:spacing w:val="-10"/>
          <w:w w:val="105"/>
        </w:rPr>
        <w:t> </w:t>
      </w:r>
      <w:r>
        <w:rPr>
          <w:color w:val="231F20"/>
          <w:w w:val="105"/>
        </w:rPr>
        <w:t>información</w:t>
      </w:r>
      <w:r>
        <w:rPr>
          <w:color w:val="231F20"/>
          <w:spacing w:val="-10"/>
          <w:w w:val="105"/>
        </w:rPr>
        <w:t> </w:t>
      </w:r>
      <w:r>
        <w:rPr>
          <w:color w:val="231F20"/>
          <w:w w:val="105"/>
        </w:rPr>
        <w:t>relativa</w:t>
      </w:r>
      <w:r>
        <w:rPr>
          <w:color w:val="231F20"/>
          <w:spacing w:val="-10"/>
          <w:w w:val="105"/>
        </w:rPr>
        <w:t> </w:t>
      </w:r>
      <w:r>
        <w:rPr>
          <w:color w:val="231F20"/>
          <w:w w:val="105"/>
        </w:rPr>
        <w:t>al</w:t>
      </w:r>
      <w:r>
        <w:rPr>
          <w:color w:val="231F20"/>
          <w:spacing w:val="-10"/>
          <w:w w:val="105"/>
        </w:rPr>
        <w:t> </w:t>
      </w:r>
      <w:r>
        <w:rPr>
          <w:color w:val="231F20"/>
          <w:w w:val="105"/>
        </w:rPr>
        <w:t>tipo</w:t>
      </w:r>
      <w:r>
        <w:rPr>
          <w:color w:val="231F20"/>
          <w:spacing w:val="-10"/>
          <w:w w:val="105"/>
        </w:rPr>
        <w:t> </w:t>
      </w:r>
      <w:r>
        <w:rPr>
          <w:color w:val="231F20"/>
          <w:w w:val="105"/>
        </w:rPr>
        <w:t>de</w:t>
      </w:r>
      <w:r>
        <w:rPr>
          <w:color w:val="231F20"/>
          <w:spacing w:val="-10"/>
          <w:w w:val="105"/>
        </w:rPr>
        <w:t> </w:t>
      </w:r>
      <w:r>
        <w:rPr>
          <w:color w:val="231F20"/>
          <w:w w:val="105"/>
        </w:rPr>
        <w:t>migración</w:t>
      </w:r>
      <w:r>
        <w:rPr>
          <w:color w:val="231F20"/>
          <w:spacing w:val="-10"/>
          <w:w w:val="105"/>
        </w:rPr>
        <w:t> </w:t>
      </w:r>
      <w:r>
        <w:rPr>
          <w:color w:val="231F20"/>
          <w:w w:val="105"/>
        </w:rPr>
        <w:t>por</w:t>
      </w:r>
      <w:r>
        <w:rPr>
          <w:color w:val="231F20"/>
          <w:spacing w:val="-10"/>
          <w:w w:val="105"/>
        </w:rPr>
        <w:t> </w:t>
      </w:r>
      <w:r>
        <w:rPr>
          <w:color w:val="231F20"/>
          <w:w w:val="105"/>
        </w:rPr>
        <w:t>sexo</w:t>
      </w:r>
      <w:r>
        <w:rPr>
          <w:color w:val="231F20"/>
          <w:spacing w:val="-10"/>
          <w:w w:val="105"/>
        </w:rPr>
        <w:t> </w:t>
      </w:r>
      <w:r>
        <w:rPr>
          <w:color w:val="231F20"/>
          <w:w w:val="105"/>
        </w:rPr>
        <w:t>y año</w:t>
      </w:r>
      <w:r>
        <w:rPr>
          <w:color w:val="231F20"/>
          <w:spacing w:val="-13"/>
          <w:w w:val="105"/>
        </w:rPr>
        <w:t> </w:t>
      </w:r>
      <w:r>
        <w:rPr>
          <w:color w:val="231F20"/>
          <w:w w:val="105"/>
        </w:rPr>
        <w:t>censal.</w:t>
      </w:r>
      <w:r>
        <w:rPr>
          <w:color w:val="231F20"/>
          <w:spacing w:val="-18"/>
          <w:w w:val="105"/>
        </w:rPr>
        <w:t> </w:t>
      </w:r>
      <w:r>
        <w:rPr>
          <w:color w:val="231F20"/>
          <w:w w:val="105"/>
        </w:rPr>
        <w:t>En</w:t>
      </w:r>
      <w:r>
        <w:rPr>
          <w:color w:val="231F20"/>
          <w:spacing w:val="-13"/>
          <w:w w:val="105"/>
        </w:rPr>
        <w:t> </w:t>
      </w:r>
      <w:r>
        <w:rPr>
          <w:color w:val="231F20"/>
          <w:w w:val="105"/>
        </w:rPr>
        <w:t>general,</w:t>
      </w:r>
      <w:r>
        <w:rPr>
          <w:color w:val="231F20"/>
          <w:spacing w:val="-18"/>
          <w:w w:val="105"/>
        </w:rPr>
        <w:t> </w:t>
      </w:r>
      <w:r>
        <w:rPr>
          <w:color w:val="231F20"/>
          <w:w w:val="105"/>
        </w:rPr>
        <w:t>es</w:t>
      </w:r>
      <w:r>
        <w:rPr>
          <w:color w:val="231F20"/>
          <w:spacing w:val="-13"/>
          <w:w w:val="105"/>
        </w:rPr>
        <w:t> </w:t>
      </w:r>
      <w:r>
        <w:rPr>
          <w:color w:val="231F20"/>
          <w:w w:val="105"/>
        </w:rPr>
        <w:t>posible</w:t>
      </w:r>
      <w:r>
        <w:rPr>
          <w:color w:val="231F20"/>
          <w:spacing w:val="-13"/>
          <w:w w:val="105"/>
        </w:rPr>
        <w:t> </w:t>
      </w:r>
      <w:r>
        <w:rPr>
          <w:color w:val="231F20"/>
          <w:w w:val="105"/>
        </w:rPr>
        <w:t>observar</w:t>
      </w:r>
      <w:r>
        <w:rPr>
          <w:color w:val="231F20"/>
          <w:spacing w:val="-13"/>
          <w:w w:val="105"/>
        </w:rPr>
        <w:t> </w:t>
      </w:r>
      <w:r>
        <w:rPr>
          <w:color w:val="231F20"/>
          <w:w w:val="105"/>
        </w:rPr>
        <w:t>dos</w:t>
      </w:r>
      <w:r>
        <w:rPr>
          <w:color w:val="231F20"/>
          <w:spacing w:val="-13"/>
          <w:w w:val="105"/>
        </w:rPr>
        <w:t> </w:t>
      </w:r>
      <w:r>
        <w:rPr>
          <w:color w:val="231F20"/>
          <w:w w:val="105"/>
        </w:rPr>
        <w:t>tipos</w:t>
      </w:r>
      <w:r>
        <w:rPr>
          <w:color w:val="231F20"/>
          <w:spacing w:val="-13"/>
          <w:w w:val="105"/>
        </w:rPr>
        <w:t> </w:t>
      </w:r>
      <w:r>
        <w:rPr>
          <w:color w:val="231F20"/>
          <w:w w:val="105"/>
        </w:rPr>
        <w:t>de</w:t>
      </w:r>
      <w:r>
        <w:rPr>
          <w:color w:val="231F20"/>
          <w:spacing w:val="-13"/>
          <w:w w:val="105"/>
        </w:rPr>
        <w:t> </w:t>
      </w:r>
      <w:r>
        <w:rPr>
          <w:color w:val="231F20"/>
          <w:w w:val="105"/>
        </w:rPr>
        <w:t>comportamien- tos. El primero corresponde al comportamiento observado por los mi- grantes</w:t>
      </w:r>
      <w:r>
        <w:rPr>
          <w:color w:val="231F20"/>
          <w:spacing w:val="-29"/>
          <w:w w:val="105"/>
        </w:rPr>
        <w:t> </w:t>
      </w:r>
      <w:r>
        <w:rPr>
          <w:color w:val="231F20"/>
          <w:w w:val="105"/>
        </w:rPr>
        <w:t>de</w:t>
      </w:r>
      <w:r>
        <w:rPr>
          <w:color w:val="231F20"/>
          <w:spacing w:val="-29"/>
          <w:w w:val="105"/>
        </w:rPr>
        <w:t> </w:t>
      </w:r>
      <w:r>
        <w:rPr>
          <w:color w:val="231F20"/>
          <w:w w:val="105"/>
        </w:rPr>
        <w:t>retorno</w:t>
      </w:r>
      <w:r>
        <w:rPr>
          <w:color w:val="231F20"/>
          <w:spacing w:val="-29"/>
          <w:w w:val="105"/>
        </w:rPr>
        <w:t> </w:t>
      </w:r>
      <w:r>
        <w:rPr>
          <w:color w:val="231F20"/>
          <w:w w:val="105"/>
        </w:rPr>
        <w:t>y</w:t>
      </w:r>
      <w:r>
        <w:rPr>
          <w:color w:val="231F20"/>
          <w:spacing w:val="-29"/>
          <w:w w:val="105"/>
        </w:rPr>
        <w:t> </w:t>
      </w:r>
      <w:r>
        <w:rPr>
          <w:color w:val="231F20"/>
          <w:w w:val="105"/>
        </w:rPr>
        <w:t>circulares,</w:t>
      </w:r>
      <w:r>
        <w:rPr>
          <w:color w:val="231F20"/>
          <w:spacing w:val="-34"/>
          <w:w w:val="105"/>
        </w:rPr>
        <w:t> </w:t>
      </w:r>
      <w:r>
        <w:rPr>
          <w:color w:val="231F20"/>
          <w:w w:val="105"/>
        </w:rPr>
        <w:t>pues</w:t>
      </w:r>
      <w:r>
        <w:rPr>
          <w:color w:val="231F20"/>
          <w:spacing w:val="-29"/>
          <w:w w:val="105"/>
        </w:rPr>
        <w:t> </w:t>
      </w:r>
      <w:r>
        <w:rPr>
          <w:color w:val="231F20"/>
          <w:w w:val="105"/>
        </w:rPr>
        <w:t>ambos</w:t>
      </w:r>
      <w:r>
        <w:rPr>
          <w:color w:val="231F20"/>
          <w:spacing w:val="-29"/>
          <w:w w:val="105"/>
        </w:rPr>
        <w:t> </w:t>
      </w:r>
      <w:r>
        <w:rPr>
          <w:color w:val="231F20"/>
          <w:w w:val="105"/>
        </w:rPr>
        <w:t>flujos</w:t>
      </w:r>
      <w:r>
        <w:rPr>
          <w:color w:val="231F20"/>
          <w:spacing w:val="-29"/>
          <w:w w:val="105"/>
        </w:rPr>
        <w:t> </w:t>
      </w:r>
      <w:r>
        <w:rPr>
          <w:color w:val="231F20"/>
          <w:w w:val="105"/>
        </w:rPr>
        <w:t>mostraron</w:t>
      </w:r>
      <w:r>
        <w:rPr>
          <w:color w:val="231F20"/>
          <w:spacing w:val="-29"/>
          <w:w w:val="105"/>
        </w:rPr>
        <w:t> </w:t>
      </w:r>
      <w:r>
        <w:rPr>
          <w:color w:val="231F20"/>
          <w:w w:val="105"/>
        </w:rPr>
        <w:t>incrementos entre</w:t>
      </w:r>
      <w:r>
        <w:rPr>
          <w:color w:val="231F20"/>
          <w:spacing w:val="-6"/>
          <w:w w:val="105"/>
        </w:rPr>
        <w:t> </w:t>
      </w:r>
      <w:r>
        <w:rPr>
          <w:color w:val="231F20"/>
          <w:w w:val="105"/>
        </w:rPr>
        <w:t>los</w:t>
      </w:r>
      <w:r>
        <w:rPr>
          <w:color w:val="231F20"/>
          <w:spacing w:val="-6"/>
          <w:w w:val="105"/>
        </w:rPr>
        <w:t> </w:t>
      </w:r>
      <w:r>
        <w:rPr>
          <w:color w:val="231F20"/>
          <w:w w:val="105"/>
        </w:rPr>
        <w:t>años</w:t>
      </w:r>
      <w:r>
        <w:rPr>
          <w:color w:val="231F20"/>
          <w:spacing w:val="-6"/>
          <w:w w:val="105"/>
        </w:rPr>
        <w:t> </w:t>
      </w:r>
      <w:r>
        <w:rPr>
          <w:color w:val="231F20"/>
          <w:w w:val="105"/>
        </w:rPr>
        <w:t>2000</w:t>
      </w:r>
      <w:r>
        <w:rPr>
          <w:color w:val="231F20"/>
          <w:spacing w:val="-6"/>
          <w:w w:val="105"/>
        </w:rPr>
        <w:t> </w:t>
      </w:r>
      <w:r>
        <w:rPr>
          <w:color w:val="231F20"/>
          <w:w w:val="105"/>
        </w:rPr>
        <w:t>y</w:t>
      </w:r>
      <w:r>
        <w:rPr>
          <w:color w:val="231F20"/>
          <w:spacing w:val="-6"/>
          <w:w w:val="105"/>
        </w:rPr>
        <w:t> </w:t>
      </w:r>
      <w:r>
        <w:rPr>
          <w:color w:val="231F20"/>
          <w:w w:val="105"/>
        </w:rPr>
        <w:t>2010.</w:t>
      </w:r>
      <w:r>
        <w:rPr>
          <w:color w:val="231F20"/>
          <w:spacing w:val="-13"/>
          <w:w w:val="105"/>
        </w:rPr>
        <w:t> </w:t>
      </w:r>
      <w:r>
        <w:rPr>
          <w:color w:val="231F20"/>
          <w:w w:val="105"/>
        </w:rPr>
        <w:t>El</w:t>
      </w:r>
      <w:r>
        <w:rPr>
          <w:color w:val="231F20"/>
          <w:spacing w:val="-6"/>
          <w:w w:val="105"/>
        </w:rPr>
        <w:t> </w:t>
      </w:r>
      <w:r>
        <w:rPr>
          <w:color w:val="231F20"/>
          <w:w w:val="105"/>
        </w:rPr>
        <w:t>segundo</w:t>
      </w:r>
      <w:r>
        <w:rPr>
          <w:color w:val="231F20"/>
          <w:spacing w:val="-6"/>
          <w:w w:val="105"/>
        </w:rPr>
        <w:t> </w:t>
      </w:r>
      <w:r>
        <w:rPr>
          <w:color w:val="231F20"/>
          <w:w w:val="105"/>
        </w:rPr>
        <w:t>comportamiento</w:t>
      </w:r>
      <w:r>
        <w:rPr>
          <w:color w:val="231F20"/>
          <w:spacing w:val="-6"/>
          <w:w w:val="105"/>
        </w:rPr>
        <w:t> </w:t>
      </w:r>
      <w:r>
        <w:rPr>
          <w:color w:val="231F20"/>
          <w:w w:val="105"/>
        </w:rPr>
        <w:t>corresponde</w:t>
      </w:r>
      <w:r>
        <w:rPr>
          <w:color w:val="231F20"/>
          <w:spacing w:val="-6"/>
          <w:w w:val="105"/>
        </w:rPr>
        <w:t> </w:t>
      </w:r>
      <w:r>
        <w:rPr>
          <w:color w:val="231F20"/>
          <w:w w:val="105"/>
        </w:rPr>
        <w:t>a los</w:t>
      </w:r>
      <w:r>
        <w:rPr>
          <w:color w:val="231F20"/>
          <w:spacing w:val="-21"/>
          <w:w w:val="105"/>
        </w:rPr>
        <w:t> </w:t>
      </w:r>
      <w:r>
        <w:rPr>
          <w:color w:val="231F20"/>
          <w:w w:val="105"/>
        </w:rPr>
        <w:t>emigrantes</w:t>
      </w:r>
      <w:r>
        <w:rPr>
          <w:color w:val="231F20"/>
          <w:spacing w:val="-21"/>
          <w:w w:val="105"/>
        </w:rPr>
        <w:t> </w:t>
      </w:r>
      <w:r>
        <w:rPr>
          <w:color w:val="231F20"/>
          <w:w w:val="105"/>
        </w:rPr>
        <w:t>a</w:t>
      </w:r>
      <w:r>
        <w:rPr>
          <w:color w:val="231F20"/>
          <w:spacing w:val="-21"/>
          <w:w w:val="105"/>
        </w:rPr>
        <w:t> </w:t>
      </w:r>
      <w:r>
        <w:rPr>
          <w:color w:val="231F20"/>
          <w:w w:val="105"/>
        </w:rPr>
        <w:t>Estados</w:t>
      </w:r>
      <w:r>
        <w:rPr>
          <w:color w:val="231F20"/>
          <w:spacing w:val="-21"/>
          <w:w w:val="105"/>
        </w:rPr>
        <w:t> </w:t>
      </w:r>
      <w:r>
        <w:rPr>
          <w:color w:val="231F20"/>
          <w:w w:val="105"/>
        </w:rPr>
        <w:t>Unidos,</w:t>
      </w:r>
      <w:r>
        <w:rPr>
          <w:color w:val="231F20"/>
          <w:spacing w:val="-27"/>
          <w:w w:val="105"/>
        </w:rPr>
        <w:t> </w:t>
      </w:r>
      <w:r>
        <w:rPr>
          <w:color w:val="231F20"/>
          <w:w w:val="105"/>
        </w:rPr>
        <w:t>que</w:t>
      </w:r>
      <w:r>
        <w:rPr>
          <w:color w:val="231F20"/>
          <w:spacing w:val="-21"/>
          <w:w w:val="105"/>
        </w:rPr>
        <w:t> </w:t>
      </w:r>
      <w:r>
        <w:rPr>
          <w:color w:val="231F20"/>
          <w:w w:val="105"/>
        </w:rPr>
        <w:t>presentó</w:t>
      </w:r>
      <w:r>
        <w:rPr>
          <w:color w:val="231F20"/>
          <w:spacing w:val="-21"/>
          <w:w w:val="105"/>
        </w:rPr>
        <w:t> </w:t>
      </w:r>
      <w:r>
        <w:rPr>
          <w:color w:val="231F20"/>
          <w:w w:val="105"/>
        </w:rPr>
        <w:t>una</w:t>
      </w:r>
      <w:r>
        <w:rPr>
          <w:color w:val="231F20"/>
          <w:spacing w:val="-21"/>
          <w:w w:val="105"/>
        </w:rPr>
        <w:t> </w:t>
      </w:r>
      <w:r>
        <w:rPr>
          <w:color w:val="231F20"/>
          <w:w w:val="105"/>
        </w:rPr>
        <w:t>reducción</w:t>
      </w:r>
      <w:r>
        <w:rPr>
          <w:color w:val="231F20"/>
          <w:spacing w:val="-21"/>
          <w:w w:val="105"/>
        </w:rPr>
        <w:t> </w:t>
      </w:r>
      <w:r>
        <w:rPr>
          <w:color w:val="231F20"/>
          <w:w w:val="105"/>
        </w:rPr>
        <w:t>de</w:t>
      </w:r>
      <w:r>
        <w:rPr>
          <w:color w:val="231F20"/>
          <w:spacing w:val="-21"/>
          <w:w w:val="105"/>
        </w:rPr>
        <w:t> </w:t>
      </w:r>
      <w:r>
        <w:rPr>
          <w:color w:val="231F20"/>
          <w:w w:val="105"/>
        </w:rPr>
        <w:t>más</w:t>
      </w:r>
      <w:r>
        <w:rPr>
          <w:color w:val="231F20"/>
          <w:spacing w:val="-21"/>
          <w:w w:val="105"/>
        </w:rPr>
        <w:t> </w:t>
      </w:r>
      <w:r>
        <w:rPr>
          <w:color w:val="231F20"/>
          <w:w w:val="105"/>
        </w:rPr>
        <w:t>de 50%</w:t>
      </w:r>
      <w:r>
        <w:rPr>
          <w:color w:val="231F20"/>
          <w:spacing w:val="26"/>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niveles</w:t>
      </w:r>
      <w:r>
        <w:rPr>
          <w:color w:val="231F20"/>
          <w:spacing w:val="-17"/>
          <w:w w:val="105"/>
        </w:rPr>
        <w:t> </w:t>
      </w:r>
      <w:r>
        <w:rPr>
          <w:color w:val="231F20"/>
          <w:w w:val="105"/>
        </w:rPr>
        <w:t>observados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año</w:t>
      </w:r>
      <w:r>
        <w:rPr>
          <w:color w:val="231F20"/>
          <w:spacing w:val="-17"/>
          <w:w w:val="105"/>
        </w:rPr>
        <w:t> </w:t>
      </w:r>
      <w:r>
        <w:rPr>
          <w:color w:val="231F20"/>
          <w:w w:val="105"/>
        </w:rPr>
        <w:t>2000.</w:t>
      </w:r>
    </w:p>
    <w:p>
      <w:pPr>
        <w:pStyle w:val="BodyText"/>
        <w:spacing w:before="4"/>
      </w:pPr>
    </w:p>
    <w:p>
      <w:pPr>
        <w:spacing w:before="0"/>
        <w:ind w:left="1828" w:right="0" w:firstLine="0"/>
        <w:jc w:val="left"/>
        <w:rPr>
          <w:rFonts w:ascii="Arial" w:hAnsi="Arial"/>
          <w:sz w:val="18"/>
        </w:rPr>
      </w:pPr>
      <w:r>
        <w:rPr>
          <w:rFonts w:ascii="Arial" w:hAnsi="Arial"/>
          <w:color w:val="231F20"/>
          <w:w w:val="105"/>
          <w:sz w:val="18"/>
        </w:rPr>
        <w:t>Cuadro 1. Tipo de migrantes por sexo según año. Estado de México, 2000 y 2010</w:t>
      </w:r>
    </w:p>
    <w:p>
      <w:pPr>
        <w:pStyle w:val="BodyText"/>
        <w:spacing w:before="5"/>
        <w:rPr>
          <w:rFonts w:ascii="Arial"/>
          <w:sz w:val="13"/>
        </w:rPr>
      </w:pPr>
    </w:p>
    <w:tbl>
      <w:tblPr>
        <w:tblW w:w="0" w:type="auto"/>
        <w:jc w:val="left"/>
        <w:tblInd w:w="1722"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29"/>
        <w:gridCol w:w="2717"/>
        <w:gridCol w:w="992"/>
        <w:gridCol w:w="992"/>
        <w:gridCol w:w="992"/>
        <w:gridCol w:w="992"/>
      </w:tblGrid>
      <w:tr>
        <w:trPr>
          <w:trHeight w:val="340" w:hRule="exact"/>
        </w:trPr>
        <w:tc>
          <w:tcPr>
            <w:tcW w:w="2946" w:type="dxa"/>
            <w:gridSpan w:val="2"/>
            <w:vMerge w:val="restart"/>
          </w:tcPr>
          <w:p>
            <w:pPr>
              <w:pStyle w:val="TableParagraph"/>
              <w:spacing w:before="5"/>
              <w:rPr>
                <w:rFonts w:ascii="Arial"/>
                <w:sz w:val="18"/>
              </w:rPr>
            </w:pPr>
          </w:p>
          <w:p>
            <w:pPr>
              <w:pStyle w:val="TableParagraph"/>
              <w:spacing w:line="249" w:lineRule="auto" w:before="0"/>
              <w:ind w:left="1269" w:right="305" w:hanging="547"/>
              <w:rPr>
                <w:rFonts w:ascii="Arial" w:hAnsi="Arial"/>
                <w:sz w:val="18"/>
              </w:rPr>
            </w:pPr>
            <w:r>
              <w:rPr>
                <w:rFonts w:ascii="Arial" w:hAnsi="Arial"/>
                <w:color w:val="231F20"/>
                <w:w w:val="105"/>
                <w:sz w:val="18"/>
              </w:rPr>
              <w:t>Tipo de migración Sexo</w:t>
            </w:r>
          </w:p>
        </w:tc>
        <w:tc>
          <w:tcPr>
            <w:tcW w:w="1984" w:type="dxa"/>
            <w:gridSpan w:val="2"/>
          </w:tcPr>
          <w:p>
            <w:pPr>
              <w:pStyle w:val="TableParagraph"/>
              <w:spacing w:before="88"/>
              <w:ind w:left="674" w:right="674"/>
              <w:jc w:val="center"/>
              <w:rPr>
                <w:rFonts w:ascii="Arial"/>
                <w:sz w:val="18"/>
              </w:rPr>
            </w:pPr>
            <w:r>
              <w:rPr>
                <w:rFonts w:ascii="Arial"/>
                <w:color w:val="231F20"/>
                <w:sz w:val="18"/>
              </w:rPr>
              <w:t>Totales</w:t>
            </w:r>
          </w:p>
        </w:tc>
        <w:tc>
          <w:tcPr>
            <w:tcW w:w="1984" w:type="dxa"/>
            <w:gridSpan w:val="2"/>
          </w:tcPr>
          <w:p>
            <w:pPr>
              <w:pStyle w:val="TableParagraph"/>
              <w:spacing w:before="88"/>
              <w:ind w:left="518"/>
              <w:rPr>
                <w:rFonts w:ascii="Arial"/>
                <w:sz w:val="18"/>
              </w:rPr>
            </w:pPr>
            <w:r>
              <w:rPr>
                <w:rFonts w:ascii="Arial"/>
                <w:color w:val="231F20"/>
                <w:sz w:val="18"/>
              </w:rPr>
              <w:t>Porcentajes</w:t>
            </w:r>
          </w:p>
        </w:tc>
      </w:tr>
      <w:tr>
        <w:trPr>
          <w:trHeight w:val="340" w:hRule="exact"/>
        </w:trPr>
        <w:tc>
          <w:tcPr>
            <w:tcW w:w="2946" w:type="dxa"/>
            <w:gridSpan w:val="2"/>
            <w:vMerge/>
          </w:tcPr>
          <w:p>
            <w:pPr/>
          </w:p>
        </w:tc>
        <w:tc>
          <w:tcPr>
            <w:tcW w:w="992" w:type="dxa"/>
          </w:tcPr>
          <w:p>
            <w:pPr>
              <w:pStyle w:val="TableParagraph"/>
              <w:spacing w:before="88"/>
              <w:ind w:right="279"/>
              <w:jc w:val="right"/>
              <w:rPr>
                <w:rFonts w:ascii="Arial"/>
                <w:sz w:val="18"/>
              </w:rPr>
            </w:pPr>
            <w:r>
              <w:rPr>
                <w:rFonts w:ascii="Arial"/>
                <w:color w:val="231F20"/>
                <w:w w:val="105"/>
                <w:sz w:val="18"/>
              </w:rPr>
              <w:t>2000</w:t>
            </w:r>
          </w:p>
        </w:tc>
        <w:tc>
          <w:tcPr>
            <w:tcW w:w="992" w:type="dxa"/>
          </w:tcPr>
          <w:p>
            <w:pPr>
              <w:pStyle w:val="TableParagraph"/>
              <w:spacing w:before="88"/>
              <w:ind w:right="279"/>
              <w:jc w:val="right"/>
              <w:rPr>
                <w:rFonts w:ascii="Arial"/>
                <w:sz w:val="18"/>
              </w:rPr>
            </w:pPr>
            <w:r>
              <w:rPr>
                <w:rFonts w:ascii="Arial"/>
                <w:color w:val="231F20"/>
                <w:w w:val="105"/>
                <w:sz w:val="18"/>
              </w:rPr>
              <w:t>2010</w:t>
            </w:r>
          </w:p>
        </w:tc>
        <w:tc>
          <w:tcPr>
            <w:tcW w:w="992" w:type="dxa"/>
          </w:tcPr>
          <w:p>
            <w:pPr>
              <w:pStyle w:val="TableParagraph"/>
              <w:spacing w:before="88"/>
              <w:ind w:right="279"/>
              <w:jc w:val="right"/>
              <w:rPr>
                <w:rFonts w:ascii="Arial"/>
                <w:sz w:val="18"/>
              </w:rPr>
            </w:pPr>
            <w:r>
              <w:rPr>
                <w:rFonts w:ascii="Arial"/>
                <w:color w:val="231F20"/>
                <w:w w:val="105"/>
                <w:sz w:val="18"/>
              </w:rPr>
              <w:t>2000</w:t>
            </w:r>
          </w:p>
        </w:tc>
        <w:tc>
          <w:tcPr>
            <w:tcW w:w="992" w:type="dxa"/>
          </w:tcPr>
          <w:p>
            <w:pPr>
              <w:pStyle w:val="TableParagraph"/>
              <w:spacing w:before="88"/>
              <w:ind w:left="196" w:right="196"/>
              <w:jc w:val="center"/>
              <w:rPr>
                <w:rFonts w:ascii="Arial"/>
                <w:sz w:val="18"/>
              </w:rPr>
            </w:pPr>
            <w:r>
              <w:rPr>
                <w:rFonts w:ascii="Arial"/>
                <w:color w:val="231F20"/>
                <w:w w:val="105"/>
                <w:sz w:val="18"/>
              </w:rPr>
              <w:t>2010</w:t>
            </w:r>
          </w:p>
        </w:tc>
      </w:tr>
      <w:tr>
        <w:trPr>
          <w:trHeight w:val="340" w:hRule="exact"/>
        </w:trPr>
        <w:tc>
          <w:tcPr>
            <w:tcW w:w="2946" w:type="dxa"/>
            <w:gridSpan w:val="2"/>
          </w:tcPr>
          <w:p>
            <w:pPr>
              <w:pStyle w:val="TableParagraph"/>
              <w:ind w:left="77" w:right="305"/>
              <w:rPr>
                <w:sz w:val="18"/>
              </w:rPr>
            </w:pPr>
            <w:r>
              <w:rPr>
                <w:color w:val="231F20"/>
                <w:w w:val="105"/>
                <w:sz w:val="18"/>
              </w:rPr>
              <w:t>Migrantes de retorno</w:t>
            </w:r>
          </w:p>
        </w:tc>
        <w:tc>
          <w:tcPr>
            <w:tcW w:w="992" w:type="dxa"/>
          </w:tcPr>
          <w:p>
            <w:pPr>
              <w:pStyle w:val="TableParagraph"/>
              <w:ind w:right="222"/>
              <w:jc w:val="right"/>
              <w:rPr>
                <w:sz w:val="18"/>
              </w:rPr>
            </w:pPr>
            <w:r>
              <w:rPr>
                <w:color w:val="231F20"/>
                <w:w w:val="105"/>
                <w:sz w:val="18"/>
              </w:rPr>
              <w:t>13 597</w:t>
            </w:r>
          </w:p>
        </w:tc>
        <w:tc>
          <w:tcPr>
            <w:tcW w:w="992" w:type="dxa"/>
          </w:tcPr>
          <w:p>
            <w:pPr>
              <w:pStyle w:val="TableParagraph"/>
              <w:ind w:right="222"/>
              <w:jc w:val="right"/>
              <w:rPr>
                <w:sz w:val="18"/>
              </w:rPr>
            </w:pPr>
            <w:r>
              <w:rPr>
                <w:color w:val="231F20"/>
                <w:w w:val="105"/>
                <w:sz w:val="18"/>
              </w:rPr>
              <w:t>51 702</w:t>
            </w:r>
          </w:p>
        </w:tc>
        <w:tc>
          <w:tcPr>
            <w:tcW w:w="992" w:type="dxa"/>
          </w:tcPr>
          <w:p>
            <w:pPr>
              <w:pStyle w:val="TableParagraph"/>
              <w:ind w:right="222"/>
              <w:jc w:val="right"/>
              <w:rPr>
                <w:sz w:val="18"/>
              </w:rPr>
            </w:pPr>
            <w:r>
              <w:rPr>
                <w:color w:val="231F20"/>
                <w:sz w:val="18"/>
              </w:rPr>
              <w:t>100.0</w:t>
            </w:r>
          </w:p>
        </w:tc>
        <w:tc>
          <w:tcPr>
            <w:tcW w:w="992" w:type="dxa"/>
          </w:tcPr>
          <w:p>
            <w:pPr>
              <w:pStyle w:val="TableParagraph"/>
              <w:ind w:left="263" w:right="186"/>
              <w:jc w:val="center"/>
              <w:rPr>
                <w:sz w:val="18"/>
              </w:rPr>
            </w:pPr>
            <w:r>
              <w:rPr>
                <w:color w:val="231F20"/>
                <w:w w:val="105"/>
                <w:sz w:val="18"/>
              </w:rPr>
              <w:t>100.0</w:t>
            </w:r>
          </w:p>
        </w:tc>
      </w:tr>
      <w:tr>
        <w:trPr>
          <w:trHeight w:val="340" w:hRule="exact"/>
        </w:trPr>
        <w:tc>
          <w:tcPr>
            <w:tcW w:w="229" w:type="dxa"/>
          </w:tcPr>
          <w:p>
            <w:pPr/>
          </w:p>
        </w:tc>
        <w:tc>
          <w:tcPr>
            <w:tcW w:w="2717" w:type="dxa"/>
          </w:tcPr>
          <w:p>
            <w:pPr>
              <w:pStyle w:val="TableParagraph"/>
              <w:ind w:left="77"/>
              <w:rPr>
                <w:sz w:val="18"/>
              </w:rPr>
            </w:pPr>
            <w:r>
              <w:rPr>
                <w:color w:val="231F20"/>
                <w:w w:val="105"/>
                <w:sz w:val="18"/>
              </w:rPr>
              <w:t>Hombres</w:t>
            </w:r>
          </w:p>
        </w:tc>
        <w:tc>
          <w:tcPr>
            <w:tcW w:w="992" w:type="dxa"/>
          </w:tcPr>
          <w:p>
            <w:pPr>
              <w:pStyle w:val="TableParagraph"/>
              <w:ind w:right="222"/>
              <w:jc w:val="right"/>
              <w:rPr>
                <w:sz w:val="18"/>
              </w:rPr>
            </w:pPr>
            <w:r>
              <w:rPr>
                <w:color w:val="231F20"/>
                <w:w w:val="105"/>
                <w:sz w:val="18"/>
              </w:rPr>
              <w:t>9 005</w:t>
            </w:r>
          </w:p>
        </w:tc>
        <w:tc>
          <w:tcPr>
            <w:tcW w:w="992" w:type="dxa"/>
          </w:tcPr>
          <w:p>
            <w:pPr>
              <w:pStyle w:val="TableParagraph"/>
              <w:ind w:right="222"/>
              <w:jc w:val="right"/>
              <w:rPr>
                <w:sz w:val="18"/>
              </w:rPr>
            </w:pPr>
            <w:r>
              <w:rPr>
                <w:color w:val="231F20"/>
                <w:w w:val="105"/>
                <w:sz w:val="18"/>
              </w:rPr>
              <w:t>38 568</w:t>
            </w:r>
          </w:p>
        </w:tc>
        <w:tc>
          <w:tcPr>
            <w:tcW w:w="992" w:type="dxa"/>
          </w:tcPr>
          <w:p>
            <w:pPr>
              <w:pStyle w:val="TableParagraph"/>
              <w:ind w:right="222"/>
              <w:jc w:val="right"/>
              <w:rPr>
                <w:sz w:val="18"/>
              </w:rPr>
            </w:pPr>
            <w:r>
              <w:rPr>
                <w:color w:val="231F20"/>
                <w:sz w:val="18"/>
              </w:rPr>
              <w:t>66.2</w:t>
            </w:r>
          </w:p>
        </w:tc>
        <w:tc>
          <w:tcPr>
            <w:tcW w:w="992" w:type="dxa"/>
          </w:tcPr>
          <w:p>
            <w:pPr>
              <w:pStyle w:val="TableParagraph"/>
              <w:ind w:left="263" w:right="83"/>
              <w:jc w:val="center"/>
              <w:rPr>
                <w:sz w:val="18"/>
              </w:rPr>
            </w:pPr>
            <w:r>
              <w:rPr>
                <w:color w:val="231F20"/>
                <w:w w:val="105"/>
                <w:sz w:val="18"/>
              </w:rPr>
              <w:t>74.6</w:t>
            </w:r>
          </w:p>
        </w:tc>
      </w:tr>
      <w:tr>
        <w:trPr>
          <w:trHeight w:val="340" w:hRule="exact"/>
        </w:trPr>
        <w:tc>
          <w:tcPr>
            <w:tcW w:w="229" w:type="dxa"/>
          </w:tcPr>
          <w:p>
            <w:pPr/>
          </w:p>
        </w:tc>
        <w:tc>
          <w:tcPr>
            <w:tcW w:w="2717" w:type="dxa"/>
          </w:tcPr>
          <w:p>
            <w:pPr>
              <w:pStyle w:val="TableParagraph"/>
              <w:ind w:left="77"/>
              <w:rPr>
                <w:sz w:val="18"/>
              </w:rPr>
            </w:pPr>
            <w:r>
              <w:rPr>
                <w:color w:val="231F20"/>
                <w:w w:val="105"/>
                <w:sz w:val="18"/>
              </w:rPr>
              <w:t>Mujeres</w:t>
            </w:r>
          </w:p>
        </w:tc>
        <w:tc>
          <w:tcPr>
            <w:tcW w:w="992" w:type="dxa"/>
          </w:tcPr>
          <w:p>
            <w:pPr>
              <w:pStyle w:val="TableParagraph"/>
              <w:ind w:right="222"/>
              <w:jc w:val="right"/>
              <w:rPr>
                <w:sz w:val="18"/>
              </w:rPr>
            </w:pPr>
            <w:r>
              <w:rPr>
                <w:color w:val="231F20"/>
                <w:w w:val="105"/>
                <w:sz w:val="18"/>
              </w:rPr>
              <w:t>4 592</w:t>
            </w:r>
          </w:p>
        </w:tc>
        <w:tc>
          <w:tcPr>
            <w:tcW w:w="992" w:type="dxa"/>
          </w:tcPr>
          <w:p>
            <w:pPr>
              <w:pStyle w:val="TableParagraph"/>
              <w:ind w:right="222"/>
              <w:jc w:val="right"/>
              <w:rPr>
                <w:sz w:val="18"/>
              </w:rPr>
            </w:pPr>
            <w:r>
              <w:rPr>
                <w:color w:val="231F20"/>
                <w:w w:val="105"/>
                <w:sz w:val="18"/>
              </w:rPr>
              <w:t>13 134</w:t>
            </w:r>
          </w:p>
        </w:tc>
        <w:tc>
          <w:tcPr>
            <w:tcW w:w="992" w:type="dxa"/>
          </w:tcPr>
          <w:p>
            <w:pPr>
              <w:pStyle w:val="TableParagraph"/>
              <w:ind w:right="222"/>
              <w:jc w:val="right"/>
              <w:rPr>
                <w:sz w:val="18"/>
              </w:rPr>
            </w:pPr>
            <w:r>
              <w:rPr>
                <w:color w:val="231F20"/>
                <w:sz w:val="18"/>
              </w:rPr>
              <w:t>33.8</w:t>
            </w:r>
          </w:p>
        </w:tc>
        <w:tc>
          <w:tcPr>
            <w:tcW w:w="992" w:type="dxa"/>
          </w:tcPr>
          <w:p>
            <w:pPr>
              <w:pStyle w:val="TableParagraph"/>
              <w:ind w:left="263" w:right="83"/>
              <w:jc w:val="center"/>
              <w:rPr>
                <w:sz w:val="18"/>
              </w:rPr>
            </w:pPr>
            <w:r>
              <w:rPr>
                <w:color w:val="231F20"/>
                <w:w w:val="105"/>
                <w:sz w:val="18"/>
              </w:rPr>
              <w:t>25.4</w:t>
            </w:r>
          </w:p>
        </w:tc>
      </w:tr>
      <w:tr>
        <w:trPr>
          <w:trHeight w:val="340" w:hRule="exact"/>
        </w:trPr>
        <w:tc>
          <w:tcPr>
            <w:tcW w:w="2946" w:type="dxa"/>
            <w:gridSpan w:val="2"/>
          </w:tcPr>
          <w:p>
            <w:pPr>
              <w:pStyle w:val="TableParagraph"/>
              <w:ind w:left="77" w:right="305"/>
              <w:rPr>
                <w:sz w:val="18"/>
              </w:rPr>
            </w:pPr>
            <w:r>
              <w:rPr>
                <w:color w:val="231F20"/>
                <w:sz w:val="18"/>
              </w:rPr>
              <w:t>Emigrantes a Estados Unidos</w:t>
            </w:r>
          </w:p>
        </w:tc>
        <w:tc>
          <w:tcPr>
            <w:tcW w:w="992" w:type="dxa"/>
          </w:tcPr>
          <w:p>
            <w:pPr>
              <w:pStyle w:val="TableParagraph"/>
              <w:ind w:right="222"/>
              <w:jc w:val="right"/>
              <w:rPr>
                <w:sz w:val="18"/>
              </w:rPr>
            </w:pPr>
            <w:r>
              <w:rPr>
                <w:color w:val="231F20"/>
                <w:w w:val="105"/>
                <w:sz w:val="18"/>
              </w:rPr>
              <w:t>98 770</w:t>
            </w:r>
          </w:p>
        </w:tc>
        <w:tc>
          <w:tcPr>
            <w:tcW w:w="992" w:type="dxa"/>
          </w:tcPr>
          <w:p>
            <w:pPr>
              <w:pStyle w:val="TableParagraph"/>
              <w:ind w:right="222"/>
              <w:jc w:val="right"/>
              <w:rPr>
                <w:sz w:val="18"/>
              </w:rPr>
            </w:pPr>
            <w:r>
              <w:rPr>
                <w:color w:val="231F20"/>
                <w:w w:val="105"/>
                <w:sz w:val="18"/>
              </w:rPr>
              <w:t>45 876</w:t>
            </w:r>
          </w:p>
        </w:tc>
        <w:tc>
          <w:tcPr>
            <w:tcW w:w="992" w:type="dxa"/>
          </w:tcPr>
          <w:p>
            <w:pPr>
              <w:pStyle w:val="TableParagraph"/>
              <w:ind w:right="222"/>
              <w:jc w:val="right"/>
              <w:rPr>
                <w:sz w:val="18"/>
              </w:rPr>
            </w:pPr>
            <w:r>
              <w:rPr>
                <w:color w:val="231F20"/>
                <w:sz w:val="18"/>
              </w:rPr>
              <w:t>100.0</w:t>
            </w:r>
          </w:p>
        </w:tc>
        <w:tc>
          <w:tcPr>
            <w:tcW w:w="992" w:type="dxa"/>
          </w:tcPr>
          <w:p>
            <w:pPr>
              <w:pStyle w:val="TableParagraph"/>
              <w:ind w:left="263" w:right="186"/>
              <w:jc w:val="center"/>
              <w:rPr>
                <w:sz w:val="18"/>
              </w:rPr>
            </w:pPr>
            <w:r>
              <w:rPr>
                <w:color w:val="231F20"/>
                <w:w w:val="105"/>
                <w:sz w:val="18"/>
              </w:rPr>
              <w:t>100.0</w:t>
            </w:r>
          </w:p>
        </w:tc>
      </w:tr>
      <w:tr>
        <w:trPr>
          <w:trHeight w:val="340" w:hRule="exact"/>
        </w:trPr>
        <w:tc>
          <w:tcPr>
            <w:tcW w:w="229" w:type="dxa"/>
          </w:tcPr>
          <w:p>
            <w:pPr/>
          </w:p>
        </w:tc>
        <w:tc>
          <w:tcPr>
            <w:tcW w:w="2717" w:type="dxa"/>
          </w:tcPr>
          <w:p>
            <w:pPr>
              <w:pStyle w:val="TableParagraph"/>
              <w:ind w:left="77"/>
              <w:rPr>
                <w:sz w:val="18"/>
              </w:rPr>
            </w:pPr>
            <w:r>
              <w:rPr>
                <w:color w:val="231F20"/>
                <w:w w:val="105"/>
                <w:sz w:val="18"/>
              </w:rPr>
              <w:t>Hombres</w:t>
            </w:r>
          </w:p>
        </w:tc>
        <w:tc>
          <w:tcPr>
            <w:tcW w:w="992" w:type="dxa"/>
          </w:tcPr>
          <w:p>
            <w:pPr>
              <w:pStyle w:val="TableParagraph"/>
              <w:ind w:right="222"/>
              <w:jc w:val="right"/>
              <w:rPr>
                <w:sz w:val="18"/>
              </w:rPr>
            </w:pPr>
            <w:r>
              <w:rPr>
                <w:color w:val="231F20"/>
                <w:w w:val="105"/>
                <w:sz w:val="18"/>
              </w:rPr>
              <w:t>74 862</w:t>
            </w:r>
          </w:p>
        </w:tc>
        <w:tc>
          <w:tcPr>
            <w:tcW w:w="992" w:type="dxa"/>
          </w:tcPr>
          <w:p>
            <w:pPr>
              <w:pStyle w:val="TableParagraph"/>
              <w:ind w:right="222"/>
              <w:jc w:val="right"/>
              <w:rPr>
                <w:sz w:val="18"/>
              </w:rPr>
            </w:pPr>
            <w:r>
              <w:rPr>
                <w:color w:val="231F20"/>
                <w:w w:val="105"/>
                <w:sz w:val="18"/>
              </w:rPr>
              <w:t>35 572</w:t>
            </w:r>
          </w:p>
        </w:tc>
        <w:tc>
          <w:tcPr>
            <w:tcW w:w="992" w:type="dxa"/>
          </w:tcPr>
          <w:p>
            <w:pPr>
              <w:pStyle w:val="TableParagraph"/>
              <w:ind w:right="222"/>
              <w:jc w:val="right"/>
              <w:rPr>
                <w:sz w:val="18"/>
              </w:rPr>
            </w:pPr>
            <w:r>
              <w:rPr>
                <w:color w:val="231F20"/>
                <w:sz w:val="18"/>
              </w:rPr>
              <w:t>75.8</w:t>
            </w:r>
          </w:p>
        </w:tc>
        <w:tc>
          <w:tcPr>
            <w:tcW w:w="992" w:type="dxa"/>
          </w:tcPr>
          <w:p>
            <w:pPr>
              <w:pStyle w:val="TableParagraph"/>
              <w:ind w:left="263" w:right="82"/>
              <w:jc w:val="center"/>
              <w:rPr>
                <w:sz w:val="18"/>
              </w:rPr>
            </w:pPr>
            <w:r>
              <w:rPr>
                <w:color w:val="231F20"/>
                <w:w w:val="105"/>
                <w:sz w:val="18"/>
              </w:rPr>
              <w:t>77.5</w:t>
            </w:r>
          </w:p>
        </w:tc>
      </w:tr>
      <w:tr>
        <w:trPr>
          <w:trHeight w:val="340" w:hRule="exact"/>
        </w:trPr>
        <w:tc>
          <w:tcPr>
            <w:tcW w:w="229" w:type="dxa"/>
          </w:tcPr>
          <w:p>
            <w:pPr/>
          </w:p>
        </w:tc>
        <w:tc>
          <w:tcPr>
            <w:tcW w:w="2717" w:type="dxa"/>
          </w:tcPr>
          <w:p>
            <w:pPr>
              <w:pStyle w:val="TableParagraph"/>
              <w:ind w:left="77"/>
              <w:rPr>
                <w:sz w:val="18"/>
              </w:rPr>
            </w:pPr>
            <w:r>
              <w:rPr>
                <w:color w:val="231F20"/>
                <w:w w:val="105"/>
                <w:sz w:val="18"/>
              </w:rPr>
              <w:t>Mujeres</w:t>
            </w:r>
          </w:p>
        </w:tc>
        <w:tc>
          <w:tcPr>
            <w:tcW w:w="992" w:type="dxa"/>
          </w:tcPr>
          <w:p>
            <w:pPr>
              <w:pStyle w:val="TableParagraph"/>
              <w:ind w:right="222"/>
              <w:jc w:val="right"/>
              <w:rPr>
                <w:sz w:val="18"/>
              </w:rPr>
            </w:pPr>
            <w:r>
              <w:rPr>
                <w:color w:val="231F20"/>
                <w:w w:val="105"/>
                <w:sz w:val="18"/>
              </w:rPr>
              <w:t>23 908</w:t>
            </w:r>
          </w:p>
        </w:tc>
        <w:tc>
          <w:tcPr>
            <w:tcW w:w="992" w:type="dxa"/>
          </w:tcPr>
          <w:p>
            <w:pPr>
              <w:pStyle w:val="TableParagraph"/>
              <w:ind w:right="222"/>
              <w:jc w:val="right"/>
              <w:rPr>
                <w:sz w:val="18"/>
              </w:rPr>
            </w:pPr>
            <w:r>
              <w:rPr>
                <w:color w:val="231F20"/>
                <w:w w:val="105"/>
                <w:sz w:val="18"/>
              </w:rPr>
              <w:t>10 304</w:t>
            </w:r>
          </w:p>
        </w:tc>
        <w:tc>
          <w:tcPr>
            <w:tcW w:w="992" w:type="dxa"/>
          </w:tcPr>
          <w:p>
            <w:pPr>
              <w:pStyle w:val="TableParagraph"/>
              <w:ind w:right="222"/>
              <w:jc w:val="right"/>
              <w:rPr>
                <w:sz w:val="18"/>
              </w:rPr>
            </w:pPr>
            <w:r>
              <w:rPr>
                <w:color w:val="231F20"/>
                <w:sz w:val="18"/>
              </w:rPr>
              <w:t>24.2</w:t>
            </w:r>
          </w:p>
        </w:tc>
        <w:tc>
          <w:tcPr>
            <w:tcW w:w="992" w:type="dxa"/>
          </w:tcPr>
          <w:p>
            <w:pPr>
              <w:pStyle w:val="TableParagraph"/>
              <w:ind w:left="263" w:right="82"/>
              <w:jc w:val="center"/>
              <w:rPr>
                <w:sz w:val="18"/>
              </w:rPr>
            </w:pPr>
            <w:r>
              <w:rPr>
                <w:color w:val="231F20"/>
                <w:w w:val="105"/>
                <w:sz w:val="18"/>
              </w:rPr>
              <w:t>22.5</w:t>
            </w:r>
          </w:p>
        </w:tc>
      </w:tr>
      <w:tr>
        <w:trPr>
          <w:trHeight w:val="340" w:hRule="exact"/>
        </w:trPr>
        <w:tc>
          <w:tcPr>
            <w:tcW w:w="2946" w:type="dxa"/>
            <w:gridSpan w:val="2"/>
          </w:tcPr>
          <w:p>
            <w:pPr>
              <w:pStyle w:val="TableParagraph"/>
              <w:ind w:left="77" w:right="305"/>
              <w:rPr>
                <w:sz w:val="18"/>
              </w:rPr>
            </w:pPr>
            <w:r>
              <w:rPr>
                <w:color w:val="231F20"/>
                <w:sz w:val="18"/>
              </w:rPr>
              <w:t>Migrantes circulares</w:t>
            </w:r>
          </w:p>
        </w:tc>
        <w:tc>
          <w:tcPr>
            <w:tcW w:w="992" w:type="dxa"/>
          </w:tcPr>
          <w:p>
            <w:pPr>
              <w:pStyle w:val="TableParagraph"/>
              <w:ind w:right="222"/>
              <w:jc w:val="right"/>
              <w:rPr>
                <w:sz w:val="18"/>
              </w:rPr>
            </w:pPr>
            <w:r>
              <w:rPr>
                <w:color w:val="231F20"/>
                <w:w w:val="105"/>
                <w:sz w:val="18"/>
              </w:rPr>
              <w:t>20 401</w:t>
            </w:r>
          </w:p>
        </w:tc>
        <w:tc>
          <w:tcPr>
            <w:tcW w:w="992" w:type="dxa"/>
          </w:tcPr>
          <w:p>
            <w:pPr>
              <w:pStyle w:val="TableParagraph"/>
              <w:ind w:right="222"/>
              <w:jc w:val="right"/>
              <w:rPr>
                <w:sz w:val="18"/>
              </w:rPr>
            </w:pPr>
            <w:r>
              <w:rPr>
                <w:color w:val="231F20"/>
                <w:w w:val="105"/>
                <w:sz w:val="18"/>
              </w:rPr>
              <w:t>26 496</w:t>
            </w:r>
          </w:p>
        </w:tc>
        <w:tc>
          <w:tcPr>
            <w:tcW w:w="992" w:type="dxa"/>
          </w:tcPr>
          <w:p>
            <w:pPr>
              <w:pStyle w:val="TableParagraph"/>
              <w:ind w:right="222"/>
              <w:jc w:val="right"/>
              <w:rPr>
                <w:sz w:val="18"/>
              </w:rPr>
            </w:pPr>
            <w:r>
              <w:rPr>
                <w:color w:val="231F20"/>
                <w:sz w:val="18"/>
              </w:rPr>
              <w:t>100.0</w:t>
            </w:r>
          </w:p>
        </w:tc>
        <w:tc>
          <w:tcPr>
            <w:tcW w:w="992" w:type="dxa"/>
          </w:tcPr>
          <w:p>
            <w:pPr>
              <w:pStyle w:val="TableParagraph"/>
              <w:ind w:left="263" w:right="185"/>
              <w:jc w:val="center"/>
              <w:rPr>
                <w:sz w:val="18"/>
              </w:rPr>
            </w:pPr>
            <w:r>
              <w:rPr>
                <w:color w:val="231F20"/>
                <w:w w:val="105"/>
                <w:sz w:val="18"/>
              </w:rPr>
              <w:t>100.0</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0"/>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56904" from="131.551193pt,.203715pt" to="131.551193pt,36.006114pt" stroked="true" strokeweight=".35pt" strokecolor="#231f20">
            <w10:wrap type="none"/>
          </v:line>
        </w:pict>
      </w:r>
      <w:r>
        <w:rPr/>
        <w:pict>
          <v:line style="position:absolute;mso-position-horizontal-relative:page;mso-position-vertical-relative:paragraph;z-index:-456832" from="15pt,36.005917pt" to="0pt,36.005917pt" stroked="true" strokeweight=".25pt" strokecolor="#000000">
            <w10:wrap type="none"/>
          </v:line>
        </w:pict>
      </w:r>
      <w:r>
        <w:rPr/>
        <w:pict>
          <v:line style="position:absolute;mso-position-horizontal-relative:page;mso-position-vertical-relative:paragraph;z-index:33376" from="508.890015pt,36.005917pt" to="523.890015pt,36.005917pt" stroked="true" strokeweight=".25pt" strokecolor="#000000">
            <w10:wrap type="none"/>
          </v:line>
        </w:pict>
      </w:r>
      <w:r>
        <w:rPr>
          <w:rFonts w:ascii="Arial" w:hAnsi="Arial"/>
          <w:color w:val="414042"/>
          <w:position w:val="-5"/>
          <w:sz w:val="20"/>
        </w:rPr>
        <w:t>272</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3400" from="405.061005pt,-27.904295pt" to="405.061005pt,6.961579pt" stroked="true" strokeweight=".35pt" strokecolor="#231f20">
            <w10:wrap type="none"/>
          </v:line>
        </w:pict>
      </w:r>
      <w:r>
        <w:rPr/>
        <w:pict>
          <v:line style="position:absolute;mso-position-horizontal-relative:page;mso-position-vertical-relative:paragraph;z-index:33424" from="15pt,-27.90452pt" to="0pt,-27.90452pt" stroked="true" strokeweight=".25pt" strokecolor="#000000">
            <w10:wrap type="none"/>
          </v:line>
        </w:pict>
      </w:r>
      <w:r>
        <w:rPr/>
        <w:pict>
          <v:line style="position:absolute;mso-position-horizontal-relative:page;mso-position-vertical-relative:paragraph;z-index:33448"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273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56712" from="15pt,715.487793pt" to="0pt,715.487793pt" stroked="true" strokeweight=".25pt" strokecolor="#000000">
            <w10:wrap type="none"/>
          </v:line>
        </w:pict>
      </w:r>
      <w:r>
        <w:rPr/>
        <w:pict>
          <v:line style="position:absolute;mso-position-horizontal-relative:page;mso-position-vertical-relative:page;z-index:33496" from="508.890015pt,715.487793pt" to="523.890015pt,715.487793pt" stroked="true" strokeweight=".25pt" strokecolor="#000000">
            <w10:wrap type="none"/>
          </v:line>
        </w:pict>
      </w:r>
    </w:p>
    <w:p>
      <w:pPr>
        <w:pStyle w:val="BodyText"/>
        <w:spacing w:before="4"/>
        <w:rPr>
          <w:rFonts w:ascii="Arial"/>
          <w:sz w:val="20"/>
        </w:rPr>
      </w:pPr>
    </w:p>
    <w:tbl>
      <w:tblPr>
        <w:tblW w:w="0" w:type="auto"/>
        <w:jc w:val="left"/>
        <w:tblInd w:w="1836"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29"/>
        <w:gridCol w:w="2717"/>
        <w:gridCol w:w="992"/>
        <w:gridCol w:w="992"/>
        <w:gridCol w:w="992"/>
        <w:gridCol w:w="992"/>
      </w:tblGrid>
      <w:tr>
        <w:trPr>
          <w:trHeight w:val="340" w:hRule="exact"/>
        </w:trPr>
        <w:tc>
          <w:tcPr>
            <w:tcW w:w="229" w:type="dxa"/>
          </w:tcPr>
          <w:p>
            <w:pPr/>
          </w:p>
        </w:tc>
        <w:tc>
          <w:tcPr>
            <w:tcW w:w="2717" w:type="dxa"/>
          </w:tcPr>
          <w:p>
            <w:pPr>
              <w:pStyle w:val="TableParagraph"/>
              <w:ind w:left="77"/>
              <w:rPr>
                <w:sz w:val="18"/>
              </w:rPr>
            </w:pPr>
            <w:r>
              <w:rPr>
                <w:color w:val="231F20"/>
                <w:w w:val="105"/>
                <w:sz w:val="18"/>
              </w:rPr>
              <w:t>Hombres</w:t>
            </w:r>
          </w:p>
        </w:tc>
        <w:tc>
          <w:tcPr>
            <w:tcW w:w="992" w:type="dxa"/>
          </w:tcPr>
          <w:p>
            <w:pPr>
              <w:pStyle w:val="TableParagraph"/>
              <w:ind w:right="223"/>
              <w:jc w:val="right"/>
              <w:rPr>
                <w:sz w:val="18"/>
              </w:rPr>
            </w:pPr>
            <w:r>
              <w:rPr>
                <w:color w:val="231F20"/>
                <w:w w:val="105"/>
                <w:sz w:val="18"/>
              </w:rPr>
              <w:t>16 174</w:t>
            </w:r>
          </w:p>
        </w:tc>
        <w:tc>
          <w:tcPr>
            <w:tcW w:w="992" w:type="dxa"/>
          </w:tcPr>
          <w:p>
            <w:pPr>
              <w:pStyle w:val="TableParagraph"/>
              <w:ind w:left="174" w:right="196"/>
              <w:jc w:val="center"/>
              <w:rPr>
                <w:sz w:val="18"/>
              </w:rPr>
            </w:pPr>
            <w:r>
              <w:rPr>
                <w:color w:val="231F20"/>
                <w:w w:val="105"/>
                <w:sz w:val="18"/>
              </w:rPr>
              <w:t>22 236</w:t>
            </w:r>
          </w:p>
        </w:tc>
        <w:tc>
          <w:tcPr>
            <w:tcW w:w="992" w:type="dxa"/>
          </w:tcPr>
          <w:p>
            <w:pPr>
              <w:pStyle w:val="TableParagraph"/>
              <w:ind w:right="223"/>
              <w:jc w:val="right"/>
              <w:rPr>
                <w:sz w:val="18"/>
              </w:rPr>
            </w:pPr>
            <w:r>
              <w:rPr>
                <w:color w:val="231F20"/>
                <w:sz w:val="18"/>
              </w:rPr>
              <w:t>79.3</w:t>
            </w:r>
          </w:p>
        </w:tc>
        <w:tc>
          <w:tcPr>
            <w:tcW w:w="992" w:type="dxa"/>
          </w:tcPr>
          <w:p>
            <w:pPr>
              <w:pStyle w:val="TableParagraph"/>
              <w:ind w:right="223"/>
              <w:jc w:val="right"/>
              <w:rPr>
                <w:sz w:val="18"/>
              </w:rPr>
            </w:pPr>
            <w:r>
              <w:rPr>
                <w:color w:val="231F20"/>
                <w:sz w:val="18"/>
              </w:rPr>
              <w:t>83.9</w:t>
            </w:r>
          </w:p>
        </w:tc>
      </w:tr>
      <w:tr>
        <w:trPr>
          <w:trHeight w:val="340" w:hRule="exact"/>
        </w:trPr>
        <w:tc>
          <w:tcPr>
            <w:tcW w:w="229" w:type="dxa"/>
          </w:tcPr>
          <w:p>
            <w:pPr/>
          </w:p>
        </w:tc>
        <w:tc>
          <w:tcPr>
            <w:tcW w:w="2717" w:type="dxa"/>
          </w:tcPr>
          <w:p>
            <w:pPr>
              <w:pStyle w:val="TableParagraph"/>
              <w:ind w:left="77"/>
              <w:rPr>
                <w:sz w:val="18"/>
              </w:rPr>
            </w:pPr>
            <w:r>
              <w:rPr>
                <w:color w:val="231F20"/>
                <w:w w:val="105"/>
                <w:sz w:val="18"/>
              </w:rPr>
              <w:t>Mujeres</w:t>
            </w:r>
          </w:p>
        </w:tc>
        <w:tc>
          <w:tcPr>
            <w:tcW w:w="992" w:type="dxa"/>
          </w:tcPr>
          <w:p>
            <w:pPr>
              <w:pStyle w:val="TableParagraph"/>
              <w:ind w:right="223"/>
              <w:jc w:val="right"/>
              <w:rPr>
                <w:sz w:val="18"/>
              </w:rPr>
            </w:pPr>
            <w:r>
              <w:rPr>
                <w:color w:val="231F20"/>
                <w:w w:val="105"/>
                <w:sz w:val="18"/>
              </w:rPr>
              <w:t>4 227</w:t>
            </w:r>
          </w:p>
        </w:tc>
        <w:tc>
          <w:tcPr>
            <w:tcW w:w="992" w:type="dxa"/>
          </w:tcPr>
          <w:p>
            <w:pPr>
              <w:pStyle w:val="TableParagraph"/>
              <w:ind w:left="263" w:right="185"/>
              <w:jc w:val="center"/>
              <w:rPr>
                <w:sz w:val="18"/>
              </w:rPr>
            </w:pPr>
            <w:r>
              <w:rPr>
                <w:color w:val="231F20"/>
                <w:w w:val="105"/>
                <w:sz w:val="18"/>
              </w:rPr>
              <w:t>4 260</w:t>
            </w:r>
          </w:p>
        </w:tc>
        <w:tc>
          <w:tcPr>
            <w:tcW w:w="992" w:type="dxa"/>
          </w:tcPr>
          <w:p>
            <w:pPr>
              <w:pStyle w:val="TableParagraph"/>
              <w:ind w:right="223"/>
              <w:jc w:val="right"/>
              <w:rPr>
                <w:sz w:val="18"/>
              </w:rPr>
            </w:pPr>
            <w:r>
              <w:rPr>
                <w:color w:val="231F20"/>
                <w:sz w:val="18"/>
              </w:rPr>
              <w:t>20.7</w:t>
            </w:r>
          </w:p>
        </w:tc>
        <w:tc>
          <w:tcPr>
            <w:tcW w:w="992" w:type="dxa"/>
          </w:tcPr>
          <w:p>
            <w:pPr>
              <w:pStyle w:val="TableParagraph"/>
              <w:ind w:right="223"/>
              <w:jc w:val="right"/>
              <w:rPr>
                <w:sz w:val="18"/>
              </w:rPr>
            </w:pPr>
            <w:r>
              <w:rPr>
                <w:color w:val="231F20"/>
                <w:sz w:val="18"/>
              </w:rPr>
              <w:t>16.1</w:t>
            </w:r>
          </w:p>
        </w:tc>
      </w:tr>
    </w:tbl>
    <w:p>
      <w:pPr>
        <w:spacing w:line="254" w:lineRule="auto" w:before="78"/>
        <w:ind w:left="1837" w:right="1721" w:hanging="1"/>
        <w:jc w:val="both"/>
        <w:rPr>
          <w:sz w:val="16"/>
        </w:rPr>
      </w:pPr>
      <w:r>
        <w:rPr>
          <w:color w:val="231F20"/>
          <w:sz w:val="16"/>
        </w:rPr>
        <w:t>Fuente: estimaciones propias con base en </w:t>
      </w:r>
      <w:r>
        <w:rPr>
          <w:color w:val="231F20"/>
          <w:sz w:val="14"/>
        </w:rPr>
        <w:t>INEGI</w:t>
      </w:r>
      <w:r>
        <w:rPr>
          <w:color w:val="231F20"/>
          <w:sz w:val="16"/>
        </w:rPr>
        <w:t>, muestras censales de </w:t>
      </w:r>
      <w:r>
        <w:rPr>
          <w:color w:val="231F20"/>
          <w:sz w:val="14"/>
        </w:rPr>
        <w:t>XII </w:t>
      </w:r>
      <w:r>
        <w:rPr>
          <w:color w:val="231F20"/>
          <w:sz w:val="16"/>
        </w:rPr>
        <w:t>Censo General de Po- blación y Vivienda 2000 y Censo de Población y Vivienda 2010.</w:t>
      </w:r>
    </w:p>
    <w:p>
      <w:pPr>
        <w:pStyle w:val="BodyText"/>
        <w:rPr>
          <w:sz w:val="16"/>
        </w:rPr>
      </w:pPr>
    </w:p>
    <w:p>
      <w:pPr>
        <w:pStyle w:val="BodyText"/>
        <w:spacing w:line="261" w:lineRule="auto" w:before="101"/>
        <w:ind w:left="1837" w:right="1715"/>
        <w:jc w:val="both"/>
      </w:pPr>
      <w:r>
        <w:rPr>
          <w:color w:val="231F20"/>
          <w:w w:val="105"/>
        </w:rPr>
        <w:t>El cuadro 2 contiene informacion demográfica de la poblacion</w:t>
      </w:r>
      <w:r>
        <w:rPr>
          <w:color w:val="231F20"/>
          <w:spacing w:val="-23"/>
          <w:w w:val="105"/>
        </w:rPr>
        <w:t> </w:t>
      </w:r>
      <w:r>
        <w:rPr>
          <w:color w:val="231F20"/>
          <w:w w:val="105"/>
        </w:rPr>
        <w:t>migrante de</w:t>
      </w:r>
      <w:r>
        <w:rPr>
          <w:color w:val="231F20"/>
          <w:spacing w:val="-3"/>
          <w:w w:val="105"/>
        </w:rPr>
        <w:t> </w:t>
      </w:r>
      <w:r>
        <w:rPr>
          <w:color w:val="231F20"/>
          <w:w w:val="105"/>
        </w:rPr>
        <w:t>retorno.</w:t>
      </w:r>
      <w:r>
        <w:rPr>
          <w:color w:val="231F20"/>
          <w:spacing w:val="-10"/>
          <w:w w:val="105"/>
        </w:rPr>
        <w:t> </w:t>
      </w:r>
      <w:r>
        <w:rPr>
          <w:color w:val="231F20"/>
          <w:w w:val="105"/>
        </w:rPr>
        <w:t>Con</w:t>
      </w:r>
      <w:r>
        <w:rPr>
          <w:color w:val="231F20"/>
          <w:spacing w:val="-3"/>
          <w:w w:val="105"/>
        </w:rPr>
        <w:t> </w:t>
      </w:r>
      <w:r>
        <w:rPr>
          <w:color w:val="231F20"/>
          <w:w w:val="105"/>
        </w:rPr>
        <w:t>respecto</w:t>
      </w:r>
      <w:r>
        <w:rPr>
          <w:color w:val="231F20"/>
          <w:spacing w:val="-3"/>
          <w:w w:val="105"/>
        </w:rPr>
        <w:t> </w:t>
      </w:r>
      <w:r>
        <w:rPr>
          <w:color w:val="231F20"/>
          <w:w w:val="105"/>
        </w:rPr>
        <w:t>a</w:t>
      </w:r>
      <w:r>
        <w:rPr>
          <w:color w:val="231F20"/>
          <w:spacing w:val="-3"/>
          <w:w w:val="105"/>
        </w:rPr>
        <w:t> </w:t>
      </w:r>
      <w:r>
        <w:rPr>
          <w:color w:val="231F20"/>
          <w:w w:val="105"/>
        </w:rPr>
        <w:t>la</w:t>
      </w:r>
      <w:r>
        <w:rPr>
          <w:color w:val="231F20"/>
          <w:spacing w:val="-3"/>
          <w:w w:val="105"/>
        </w:rPr>
        <w:t> </w:t>
      </w:r>
      <w:r>
        <w:rPr>
          <w:color w:val="231F20"/>
          <w:w w:val="105"/>
        </w:rPr>
        <w:t>edad,</w:t>
      </w:r>
      <w:r>
        <w:rPr>
          <w:color w:val="231F20"/>
          <w:spacing w:val="-10"/>
          <w:w w:val="105"/>
        </w:rPr>
        <w:t> </w:t>
      </w:r>
      <w:r>
        <w:rPr>
          <w:color w:val="231F20"/>
          <w:w w:val="105"/>
        </w:rPr>
        <w:t>notamos</w:t>
      </w:r>
      <w:r>
        <w:rPr>
          <w:color w:val="231F20"/>
          <w:spacing w:val="-3"/>
          <w:w w:val="105"/>
        </w:rPr>
        <w:t> </w:t>
      </w:r>
      <w:r>
        <w:rPr>
          <w:color w:val="231F20"/>
          <w:w w:val="105"/>
        </w:rPr>
        <w:t>que</w:t>
      </w:r>
      <w:r>
        <w:rPr>
          <w:color w:val="231F20"/>
          <w:spacing w:val="-3"/>
          <w:w w:val="105"/>
        </w:rPr>
        <w:t> </w:t>
      </w:r>
      <w:r>
        <w:rPr>
          <w:color w:val="231F20"/>
          <w:w w:val="105"/>
        </w:rPr>
        <w:t>el</w:t>
      </w:r>
      <w:r>
        <w:rPr>
          <w:color w:val="231F20"/>
          <w:spacing w:val="-3"/>
          <w:w w:val="105"/>
        </w:rPr>
        <w:t> </w:t>
      </w:r>
      <w:r>
        <w:rPr>
          <w:color w:val="231F20"/>
          <w:w w:val="105"/>
        </w:rPr>
        <w:t>único</w:t>
      </w:r>
      <w:r>
        <w:rPr>
          <w:color w:val="231F20"/>
          <w:spacing w:val="-3"/>
          <w:w w:val="105"/>
        </w:rPr>
        <w:t> </w:t>
      </w:r>
      <w:r>
        <w:rPr>
          <w:color w:val="231F20"/>
          <w:w w:val="105"/>
        </w:rPr>
        <w:t>grupo</w:t>
      </w:r>
      <w:r>
        <w:rPr>
          <w:color w:val="231F20"/>
          <w:spacing w:val="-3"/>
          <w:w w:val="105"/>
        </w:rPr>
        <w:t> </w:t>
      </w:r>
      <w:r>
        <w:rPr>
          <w:color w:val="231F20"/>
          <w:w w:val="105"/>
        </w:rPr>
        <w:t>que</w:t>
      </w:r>
      <w:r>
        <w:rPr>
          <w:color w:val="231F20"/>
          <w:spacing w:val="-3"/>
          <w:w w:val="105"/>
        </w:rPr>
        <w:t> </w:t>
      </w:r>
      <w:r>
        <w:rPr>
          <w:color w:val="231F20"/>
          <w:w w:val="105"/>
        </w:rPr>
        <w:t>no tuvo una disminución en la proporción de migrantes retornados entre</w:t>
      </w:r>
      <w:r>
        <w:rPr>
          <w:color w:val="231F20"/>
          <w:spacing w:val="-34"/>
          <w:w w:val="105"/>
        </w:rPr>
        <w:t> </w:t>
      </w:r>
      <w:r>
        <w:rPr>
          <w:color w:val="231F20"/>
          <w:w w:val="105"/>
        </w:rPr>
        <w:t>el año</w:t>
      </w:r>
      <w:r>
        <w:rPr>
          <w:color w:val="231F20"/>
          <w:spacing w:val="-15"/>
          <w:w w:val="105"/>
        </w:rPr>
        <w:t> </w:t>
      </w:r>
      <w:r>
        <w:rPr>
          <w:color w:val="231F20"/>
          <w:w w:val="105"/>
        </w:rPr>
        <w:t>2000</w:t>
      </w:r>
      <w:r>
        <w:rPr>
          <w:color w:val="231F20"/>
          <w:spacing w:val="-15"/>
          <w:w w:val="105"/>
        </w:rPr>
        <w:t> </w:t>
      </w:r>
      <w:r>
        <w:rPr>
          <w:color w:val="231F20"/>
          <w:w w:val="105"/>
        </w:rPr>
        <w:t>y</w:t>
      </w:r>
      <w:r>
        <w:rPr>
          <w:color w:val="231F20"/>
          <w:spacing w:val="-15"/>
          <w:w w:val="105"/>
        </w:rPr>
        <w:t> </w:t>
      </w:r>
      <w:r>
        <w:rPr>
          <w:color w:val="231F20"/>
          <w:w w:val="105"/>
        </w:rPr>
        <w:t>2010</w:t>
      </w:r>
      <w:r>
        <w:rPr>
          <w:color w:val="231F20"/>
          <w:spacing w:val="-15"/>
          <w:w w:val="105"/>
        </w:rPr>
        <w:t> </w:t>
      </w:r>
      <w:r>
        <w:rPr>
          <w:color w:val="231F20"/>
          <w:w w:val="105"/>
        </w:rPr>
        <w:t>fue</w:t>
      </w:r>
      <w:r>
        <w:rPr>
          <w:color w:val="231F20"/>
          <w:spacing w:val="-15"/>
          <w:w w:val="105"/>
        </w:rPr>
        <w:t> </w:t>
      </w:r>
      <w:r>
        <w:rPr>
          <w:color w:val="231F20"/>
          <w:w w:val="105"/>
        </w:rPr>
        <w:t>el</w:t>
      </w:r>
      <w:r>
        <w:rPr>
          <w:color w:val="231F20"/>
          <w:spacing w:val="-15"/>
          <w:w w:val="105"/>
        </w:rPr>
        <w:t> </w:t>
      </w:r>
      <w:r>
        <w:rPr>
          <w:color w:val="231F20"/>
          <w:w w:val="105"/>
        </w:rPr>
        <w:t>que</w:t>
      </w:r>
      <w:r>
        <w:rPr>
          <w:color w:val="231F20"/>
          <w:spacing w:val="-15"/>
          <w:w w:val="105"/>
        </w:rPr>
        <w:t> </w:t>
      </w:r>
      <w:r>
        <w:rPr>
          <w:color w:val="231F20"/>
          <w:w w:val="105"/>
        </w:rPr>
        <w:t>comprende</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29"/>
          <w:w w:val="105"/>
        </w:rPr>
        <w:t> </w:t>
      </w:r>
      <w:r>
        <w:rPr>
          <w:color w:val="231F20"/>
          <w:w w:val="105"/>
        </w:rPr>
        <w:t>30</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39</w:t>
      </w:r>
      <w:r>
        <w:rPr>
          <w:color w:val="231F20"/>
          <w:spacing w:val="-15"/>
          <w:w w:val="105"/>
        </w:rPr>
        <w:t> </w:t>
      </w:r>
      <w:r>
        <w:rPr>
          <w:color w:val="231F20"/>
          <w:w w:val="105"/>
        </w:rPr>
        <w:t>años.</w:t>
      </w:r>
      <w:r>
        <w:rPr>
          <w:color w:val="231F20"/>
          <w:spacing w:val="-21"/>
          <w:w w:val="105"/>
        </w:rPr>
        <w:t> </w:t>
      </w:r>
      <w:r>
        <w:rPr>
          <w:color w:val="231F20"/>
          <w:w w:val="105"/>
        </w:rPr>
        <w:t>El</w:t>
      </w:r>
      <w:r>
        <w:rPr>
          <w:color w:val="231F20"/>
          <w:spacing w:val="-15"/>
          <w:w w:val="105"/>
        </w:rPr>
        <w:t> </w:t>
      </w:r>
      <w:r>
        <w:rPr>
          <w:color w:val="231F20"/>
          <w:w w:val="105"/>
        </w:rPr>
        <w:t>efecto contrario se identificó en los primeros grupos de edad, de los cuales,  el rango de 5 a 19 años destaca por las diferencias pronunciadas entre sexos.</w:t>
      </w:r>
      <w:r>
        <w:rPr>
          <w:color w:val="231F20"/>
          <w:spacing w:val="-16"/>
          <w:w w:val="105"/>
        </w:rPr>
        <w:t> </w:t>
      </w:r>
      <w:r>
        <w:rPr>
          <w:color w:val="231F20"/>
          <w:w w:val="105"/>
        </w:rPr>
        <w:t>En</w:t>
      </w:r>
      <w:r>
        <w:rPr>
          <w:color w:val="231F20"/>
          <w:spacing w:val="-11"/>
          <w:w w:val="105"/>
        </w:rPr>
        <w:t> </w:t>
      </w:r>
      <w:r>
        <w:rPr>
          <w:color w:val="231F20"/>
          <w:w w:val="105"/>
        </w:rPr>
        <w:t>este</w:t>
      </w:r>
      <w:r>
        <w:rPr>
          <w:color w:val="231F20"/>
          <w:spacing w:val="-11"/>
          <w:w w:val="105"/>
        </w:rPr>
        <w:t> </w:t>
      </w:r>
      <w:r>
        <w:rPr>
          <w:color w:val="231F20"/>
          <w:w w:val="105"/>
        </w:rPr>
        <w:t>respecto</w:t>
      </w:r>
      <w:r>
        <w:rPr>
          <w:color w:val="231F20"/>
          <w:spacing w:val="-11"/>
          <w:w w:val="105"/>
        </w:rPr>
        <w:t> </w:t>
      </w:r>
      <w:r>
        <w:rPr>
          <w:color w:val="231F20"/>
          <w:w w:val="105"/>
        </w:rPr>
        <w:t>en</w:t>
      </w:r>
      <w:r>
        <w:rPr>
          <w:color w:val="231F20"/>
          <w:spacing w:val="-11"/>
          <w:w w:val="105"/>
        </w:rPr>
        <w:t> </w:t>
      </w:r>
      <w:r>
        <w:rPr>
          <w:color w:val="231F20"/>
          <w:w w:val="105"/>
        </w:rPr>
        <w:t>primer</w:t>
      </w:r>
      <w:r>
        <w:rPr>
          <w:color w:val="231F20"/>
          <w:spacing w:val="-11"/>
          <w:w w:val="105"/>
        </w:rPr>
        <w:t> </w:t>
      </w:r>
      <w:r>
        <w:rPr>
          <w:color w:val="231F20"/>
          <w:w w:val="105"/>
        </w:rPr>
        <w:t>lugar</w:t>
      </w:r>
      <w:r>
        <w:rPr>
          <w:color w:val="231F20"/>
          <w:spacing w:val="-11"/>
          <w:w w:val="105"/>
        </w:rPr>
        <w:t> </w:t>
      </w:r>
      <w:r>
        <w:rPr>
          <w:color w:val="231F20"/>
          <w:w w:val="105"/>
        </w:rPr>
        <w:t>observamos</w:t>
      </w:r>
      <w:r>
        <w:rPr>
          <w:color w:val="231F20"/>
          <w:spacing w:val="-11"/>
          <w:w w:val="105"/>
        </w:rPr>
        <w:t> </w:t>
      </w:r>
      <w:r>
        <w:rPr>
          <w:color w:val="231F20"/>
          <w:w w:val="105"/>
        </w:rPr>
        <w:t>que</w:t>
      </w:r>
      <w:r>
        <w:rPr>
          <w:color w:val="231F20"/>
          <w:spacing w:val="-11"/>
          <w:w w:val="105"/>
        </w:rPr>
        <w:t> </w:t>
      </w:r>
      <w:r>
        <w:rPr>
          <w:color w:val="231F20"/>
          <w:w w:val="105"/>
        </w:rPr>
        <w:t>entre</w:t>
      </w:r>
      <w:r>
        <w:rPr>
          <w:color w:val="231F20"/>
          <w:spacing w:val="-11"/>
          <w:w w:val="105"/>
        </w:rPr>
        <w:t> </w:t>
      </w:r>
      <w:r>
        <w:rPr>
          <w:color w:val="231F20"/>
          <w:w w:val="105"/>
        </w:rPr>
        <w:t>los</w:t>
      </w:r>
      <w:r>
        <w:rPr>
          <w:color w:val="231F20"/>
          <w:spacing w:val="-11"/>
          <w:w w:val="105"/>
        </w:rPr>
        <w:t> </w:t>
      </w:r>
      <w:r>
        <w:rPr>
          <w:color w:val="231F20"/>
          <w:w w:val="105"/>
        </w:rPr>
        <w:t>hom- bres retornados ocurrió una disminución de 11.2 a 5.7% en el periodo estudiado,</w:t>
      </w:r>
      <w:r>
        <w:rPr>
          <w:color w:val="231F20"/>
          <w:spacing w:val="-28"/>
          <w:w w:val="105"/>
        </w:rPr>
        <w:t> </w:t>
      </w:r>
      <w:r>
        <w:rPr>
          <w:color w:val="231F20"/>
          <w:w w:val="105"/>
        </w:rPr>
        <w:t>mientras</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mujeres</w:t>
      </w:r>
      <w:r>
        <w:rPr>
          <w:color w:val="231F20"/>
          <w:spacing w:val="-23"/>
          <w:w w:val="105"/>
        </w:rPr>
        <w:t> </w:t>
      </w:r>
      <w:r>
        <w:rPr>
          <w:color w:val="231F20"/>
          <w:w w:val="105"/>
        </w:rPr>
        <w:t>el</w:t>
      </w:r>
      <w:r>
        <w:rPr>
          <w:color w:val="231F20"/>
          <w:spacing w:val="-23"/>
          <w:w w:val="105"/>
        </w:rPr>
        <w:t> </w:t>
      </w:r>
      <w:r>
        <w:rPr>
          <w:color w:val="231F20"/>
          <w:w w:val="105"/>
        </w:rPr>
        <w:t>descenso</w:t>
      </w:r>
      <w:r>
        <w:rPr>
          <w:color w:val="231F20"/>
          <w:spacing w:val="-23"/>
          <w:w w:val="105"/>
        </w:rPr>
        <w:t> </w:t>
      </w:r>
      <w:r>
        <w:rPr>
          <w:color w:val="231F20"/>
          <w:w w:val="105"/>
        </w:rPr>
        <w:t>fue</w:t>
      </w:r>
      <w:r>
        <w:rPr>
          <w:color w:val="231F20"/>
          <w:spacing w:val="-23"/>
          <w:w w:val="105"/>
        </w:rPr>
        <w:t> </w:t>
      </w:r>
      <w:r>
        <w:rPr>
          <w:color w:val="231F20"/>
          <w:w w:val="105"/>
        </w:rPr>
        <w:t>del</w:t>
      </w:r>
      <w:r>
        <w:rPr>
          <w:color w:val="231F20"/>
          <w:spacing w:val="-23"/>
          <w:w w:val="105"/>
        </w:rPr>
        <w:t> </w:t>
      </w:r>
      <w:r>
        <w:rPr>
          <w:color w:val="231F20"/>
          <w:w w:val="105"/>
        </w:rPr>
        <w:t>22.1</w:t>
      </w:r>
      <w:r>
        <w:rPr>
          <w:color w:val="231F20"/>
          <w:spacing w:val="-23"/>
          <w:w w:val="105"/>
        </w:rPr>
        <w:t> </w:t>
      </w:r>
      <w:r>
        <w:rPr>
          <w:color w:val="231F20"/>
          <w:w w:val="105"/>
        </w:rPr>
        <w:t>al</w:t>
      </w:r>
      <w:r>
        <w:rPr>
          <w:color w:val="231F20"/>
          <w:spacing w:val="-23"/>
          <w:w w:val="105"/>
        </w:rPr>
        <w:t> </w:t>
      </w:r>
      <w:r>
        <w:rPr>
          <w:color w:val="231F20"/>
          <w:w w:val="105"/>
        </w:rPr>
        <w:t>17.9%</w:t>
      </w:r>
      <w:r>
        <w:rPr>
          <w:color w:val="231F20"/>
          <w:spacing w:val="-23"/>
          <w:w w:val="105"/>
        </w:rPr>
        <w:t> </w:t>
      </w:r>
      <w:r>
        <w:rPr>
          <w:color w:val="231F20"/>
          <w:w w:val="105"/>
        </w:rPr>
        <w:t>.</w:t>
      </w:r>
      <w:r>
        <w:rPr>
          <w:color w:val="231F20"/>
          <w:spacing w:val="-28"/>
          <w:w w:val="105"/>
        </w:rPr>
        <w:t> </w:t>
      </w:r>
      <w:r>
        <w:rPr>
          <w:color w:val="231F20"/>
          <w:w w:val="105"/>
        </w:rPr>
        <w:t>En segundo lugar está el hecho de que las diferencias porcentuales entre sexos</w:t>
      </w:r>
      <w:r>
        <w:rPr>
          <w:color w:val="231F20"/>
          <w:spacing w:val="-7"/>
          <w:w w:val="105"/>
        </w:rPr>
        <w:t> </w:t>
      </w:r>
      <w:r>
        <w:rPr>
          <w:color w:val="231F20"/>
          <w:w w:val="105"/>
        </w:rPr>
        <w:t>son</w:t>
      </w:r>
      <w:r>
        <w:rPr>
          <w:color w:val="231F20"/>
          <w:spacing w:val="-7"/>
          <w:w w:val="105"/>
        </w:rPr>
        <w:t> </w:t>
      </w:r>
      <w:r>
        <w:rPr>
          <w:color w:val="231F20"/>
          <w:w w:val="105"/>
        </w:rPr>
        <w:t>relevantes.</w:t>
      </w:r>
      <w:r>
        <w:rPr>
          <w:color w:val="231F20"/>
          <w:spacing w:val="-12"/>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año</w:t>
      </w:r>
      <w:r>
        <w:rPr>
          <w:color w:val="231F20"/>
          <w:spacing w:val="-7"/>
          <w:w w:val="105"/>
        </w:rPr>
        <w:t> </w:t>
      </w:r>
      <w:r>
        <w:rPr>
          <w:color w:val="231F20"/>
          <w:w w:val="105"/>
        </w:rPr>
        <w:t>2000</w:t>
      </w:r>
      <w:r>
        <w:rPr>
          <w:color w:val="231F20"/>
          <w:spacing w:val="-7"/>
          <w:w w:val="105"/>
        </w:rPr>
        <w:t> </w:t>
      </w:r>
      <w:r>
        <w:rPr>
          <w:color w:val="231F20"/>
          <w:w w:val="105"/>
        </w:rPr>
        <w:t>la</w:t>
      </w:r>
      <w:r>
        <w:rPr>
          <w:color w:val="231F20"/>
          <w:spacing w:val="-7"/>
          <w:w w:val="105"/>
        </w:rPr>
        <w:t> </w:t>
      </w:r>
      <w:r>
        <w:rPr>
          <w:color w:val="231F20"/>
          <w:w w:val="105"/>
        </w:rPr>
        <w:t>proporción</w:t>
      </w:r>
      <w:r>
        <w:rPr>
          <w:color w:val="231F20"/>
          <w:spacing w:val="-7"/>
          <w:w w:val="105"/>
        </w:rPr>
        <w:t> </w:t>
      </w:r>
      <w:r>
        <w:rPr>
          <w:color w:val="231F20"/>
          <w:w w:val="105"/>
        </w:rPr>
        <w:t>de</w:t>
      </w:r>
      <w:r>
        <w:rPr>
          <w:color w:val="231F20"/>
          <w:spacing w:val="-7"/>
          <w:w w:val="105"/>
        </w:rPr>
        <w:t> </w:t>
      </w:r>
      <w:r>
        <w:rPr>
          <w:color w:val="231F20"/>
          <w:w w:val="105"/>
        </w:rPr>
        <w:t>hombres</w:t>
      </w:r>
      <w:r>
        <w:rPr>
          <w:color w:val="231F20"/>
          <w:spacing w:val="-7"/>
          <w:w w:val="105"/>
        </w:rPr>
        <w:t> </w:t>
      </w:r>
      <w:r>
        <w:rPr>
          <w:color w:val="231F20"/>
          <w:w w:val="105"/>
        </w:rPr>
        <w:t>en</w:t>
      </w:r>
      <w:r>
        <w:rPr>
          <w:color w:val="231F20"/>
          <w:spacing w:val="-7"/>
          <w:w w:val="105"/>
        </w:rPr>
        <w:t> </w:t>
      </w:r>
      <w:r>
        <w:rPr>
          <w:color w:val="231F20"/>
          <w:w w:val="105"/>
        </w:rPr>
        <w:t>este primer grupo de edad es la mitad con respecto a las mujeres, y en el 2010 es una tercera parte. Entendemos que en este grupo compuesto en</w:t>
      </w:r>
      <w:r>
        <w:rPr>
          <w:color w:val="231F20"/>
          <w:spacing w:val="-6"/>
          <w:w w:val="105"/>
        </w:rPr>
        <w:t> </w:t>
      </w:r>
      <w:r>
        <w:rPr>
          <w:color w:val="231F20"/>
          <w:w w:val="105"/>
        </w:rPr>
        <w:t>su</w:t>
      </w:r>
      <w:r>
        <w:rPr>
          <w:color w:val="231F20"/>
          <w:spacing w:val="-6"/>
          <w:w w:val="105"/>
        </w:rPr>
        <w:t> </w:t>
      </w:r>
      <w:r>
        <w:rPr>
          <w:color w:val="231F20"/>
          <w:w w:val="105"/>
        </w:rPr>
        <w:t>mayoría</w:t>
      </w:r>
      <w:r>
        <w:rPr>
          <w:color w:val="231F20"/>
          <w:spacing w:val="-6"/>
          <w:w w:val="105"/>
        </w:rPr>
        <w:t> </w:t>
      </w:r>
      <w:r>
        <w:rPr>
          <w:color w:val="231F20"/>
          <w:w w:val="105"/>
        </w:rPr>
        <w:t>por</w:t>
      </w:r>
      <w:r>
        <w:rPr>
          <w:color w:val="231F20"/>
          <w:spacing w:val="-6"/>
          <w:w w:val="105"/>
        </w:rPr>
        <w:t> </w:t>
      </w:r>
      <w:r>
        <w:rPr>
          <w:color w:val="231F20"/>
          <w:w w:val="105"/>
        </w:rPr>
        <w:t>menores</w:t>
      </w:r>
      <w:r>
        <w:rPr>
          <w:color w:val="231F20"/>
          <w:spacing w:val="-6"/>
          <w:w w:val="105"/>
        </w:rPr>
        <w:t> </w:t>
      </w:r>
      <w:r>
        <w:rPr>
          <w:color w:val="231F20"/>
          <w:w w:val="105"/>
        </w:rPr>
        <w:t>de</w:t>
      </w:r>
      <w:r>
        <w:rPr>
          <w:color w:val="231F20"/>
          <w:spacing w:val="-6"/>
          <w:w w:val="105"/>
        </w:rPr>
        <w:t> </w:t>
      </w:r>
      <w:r>
        <w:rPr>
          <w:color w:val="231F20"/>
          <w:w w:val="105"/>
        </w:rPr>
        <w:t>edad</w:t>
      </w:r>
      <w:r>
        <w:rPr>
          <w:color w:val="231F20"/>
          <w:spacing w:val="-6"/>
          <w:w w:val="105"/>
        </w:rPr>
        <w:t> </w:t>
      </w:r>
      <w:r>
        <w:rPr>
          <w:color w:val="231F20"/>
          <w:w w:val="105"/>
        </w:rPr>
        <w:t>la</w:t>
      </w:r>
      <w:r>
        <w:rPr>
          <w:color w:val="231F20"/>
          <w:spacing w:val="-6"/>
          <w:w w:val="105"/>
        </w:rPr>
        <w:t> </w:t>
      </w:r>
      <w:r>
        <w:rPr>
          <w:color w:val="231F20"/>
          <w:w w:val="105"/>
        </w:rPr>
        <w:t>decisión</w:t>
      </w:r>
      <w:r>
        <w:rPr>
          <w:color w:val="231F20"/>
          <w:spacing w:val="-6"/>
          <w:w w:val="105"/>
        </w:rPr>
        <w:t> </w:t>
      </w:r>
      <w:r>
        <w:rPr>
          <w:color w:val="231F20"/>
          <w:w w:val="105"/>
        </w:rPr>
        <w:t>de</w:t>
      </w:r>
      <w:r>
        <w:rPr>
          <w:color w:val="231F20"/>
          <w:spacing w:val="-6"/>
          <w:w w:val="105"/>
        </w:rPr>
        <w:t> </w:t>
      </w:r>
      <w:r>
        <w:rPr>
          <w:color w:val="231F20"/>
          <w:w w:val="105"/>
        </w:rPr>
        <w:t>regresar</w:t>
      </w:r>
      <w:r>
        <w:rPr>
          <w:color w:val="231F20"/>
          <w:spacing w:val="-6"/>
          <w:w w:val="105"/>
        </w:rPr>
        <w:t> </w:t>
      </w:r>
      <w:r>
        <w:rPr>
          <w:color w:val="231F20"/>
          <w:w w:val="105"/>
        </w:rPr>
        <w:t>de</w:t>
      </w:r>
      <w:r>
        <w:rPr>
          <w:color w:val="231F20"/>
          <w:spacing w:val="-6"/>
          <w:w w:val="105"/>
        </w:rPr>
        <w:t> </w:t>
      </w:r>
      <w:r>
        <w:rPr>
          <w:color w:val="231F20"/>
          <w:w w:val="105"/>
        </w:rPr>
        <w:t>Estados Unidos a México la toma predominantemente el tutor de éstos. Con lo anterior establecemos como hipótesis: las diferencias existentes</w:t>
      </w:r>
      <w:r>
        <w:rPr>
          <w:color w:val="231F20"/>
          <w:spacing w:val="-26"/>
          <w:w w:val="105"/>
        </w:rPr>
        <w:t> </w:t>
      </w:r>
      <w:r>
        <w:rPr>
          <w:color w:val="231F20"/>
          <w:w w:val="105"/>
        </w:rPr>
        <w:t>nacen de</w:t>
      </w:r>
      <w:r>
        <w:rPr>
          <w:color w:val="231F20"/>
          <w:spacing w:val="-4"/>
          <w:w w:val="105"/>
        </w:rPr>
        <w:t> </w:t>
      </w:r>
      <w:r>
        <w:rPr>
          <w:color w:val="231F20"/>
          <w:w w:val="105"/>
        </w:rPr>
        <w:t>una</w:t>
      </w:r>
      <w:r>
        <w:rPr>
          <w:color w:val="231F20"/>
          <w:spacing w:val="-4"/>
          <w:w w:val="105"/>
        </w:rPr>
        <w:t> </w:t>
      </w:r>
      <w:r>
        <w:rPr>
          <w:color w:val="231F20"/>
          <w:w w:val="105"/>
        </w:rPr>
        <w:t>selección</w:t>
      </w:r>
      <w:r>
        <w:rPr>
          <w:color w:val="231F20"/>
          <w:spacing w:val="-4"/>
          <w:w w:val="105"/>
        </w:rPr>
        <w:t> </w:t>
      </w:r>
      <w:r>
        <w:rPr>
          <w:color w:val="231F20"/>
          <w:w w:val="105"/>
        </w:rPr>
        <w:t>hecha</w:t>
      </w:r>
      <w:r>
        <w:rPr>
          <w:color w:val="231F20"/>
          <w:spacing w:val="-4"/>
          <w:w w:val="105"/>
        </w:rPr>
        <w:t> </w:t>
      </w:r>
      <w:r>
        <w:rPr>
          <w:color w:val="231F20"/>
          <w:w w:val="105"/>
        </w:rPr>
        <w:t>por</w:t>
      </w:r>
      <w:r>
        <w:rPr>
          <w:color w:val="231F20"/>
          <w:spacing w:val="-4"/>
          <w:w w:val="105"/>
        </w:rPr>
        <w:t> </w:t>
      </w:r>
      <w:r>
        <w:rPr>
          <w:color w:val="231F20"/>
          <w:w w:val="105"/>
        </w:rPr>
        <w:t>las</w:t>
      </w:r>
      <w:r>
        <w:rPr>
          <w:color w:val="231F20"/>
          <w:spacing w:val="-4"/>
          <w:w w:val="105"/>
        </w:rPr>
        <w:t> </w:t>
      </w:r>
      <w:r>
        <w:rPr>
          <w:color w:val="231F20"/>
          <w:w w:val="105"/>
        </w:rPr>
        <w:t>familias,</w:t>
      </w:r>
      <w:r>
        <w:rPr>
          <w:color w:val="231F20"/>
          <w:spacing w:val="-9"/>
          <w:w w:val="105"/>
        </w:rPr>
        <w:t> </w:t>
      </w:r>
      <w:r>
        <w:rPr>
          <w:color w:val="231F20"/>
          <w:w w:val="105"/>
        </w:rPr>
        <w:t>la</w:t>
      </w:r>
      <w:r>
        <w:rPr>
          <w:color w:val="231F20"/>
          <w:spacing w:val="-4"/>
          <w:w w:val="105"/>
        </w:rPr>
        <w:t> </w:t>
      </w:r>
      <w:r>
        <w:rPr>
          <w:color w:val="231F20"/>
          <w:w w:val="105"/>
        </w:rPr>
        <w:t>cual</w:t>
      </w:r>
      <w:r>
        <w:rPr>
          <w:color w:val="231F20"/>
          <w:spacing w:val="-4"/>
          <w:w w:val="105"/>
        </w:rPr>
        <w:t> </w:t>
      </w:r>
      <w:r>
        <w:rPr>
          <w:color w:val="231F20"/>
          <w:w w:val="105"/>
        </w:rPr>
        <w:t>implica</w:t>
      </w:r>
      <w:r>
        <w:rPr>
          <w:color w:val="231F20"/>
          <w:spacing w:val="-4"/>
          <w:w w:val="105"/>
        </w:rPr>
        <w:t> </w:t>
      </w:r>
      <w:r>
        <w:rPr>
          <w:color w:val="231F20"/>
          <w:w w:val="105"/>
        </w:rPr>
        <w:t>que</w:t>
      </w:r>
      <w:r>
        <w:rPr>
          <w:color w:val="231F20"/>
          <w:spacing w:val="-4"/>
          <w:w w:val="105"/>
        </w:rPr>
        <w:t> </w:t>
      </w:r>
      <w:r>
        <w:rPr>
          <w:color w:val="231F20"/>
          <w:w w:val="105"/>
        </w:rPr>
        <w:t>los</w:t>
      </w:r>
      <w:r>
        <w:rPr>
          <w:color w:val="231F20"/>
          <w:spacing w:val="-4"/>
          <w:w w:val="105"/>
        </w:rPr>
        <w:t> </w:t>
      </w:r>
      <w:r>
        <w:rPr>
          <w:color w:val="231F20"/>
          <w:w w:val="105"/>
        </w:rPr>
        <w:t>varones niños</w:t>
      </w:r>
      <w:r>
        <w:rPr>
          <w:color w:val="231F20"/>
          <w:spacing w:val="-20"/>
          <w:w w:val="105"/>
        </w:rPr>
        <w:t> </w:t>
      </w:r>
      <w:r>
        <w:rPr>
          <w:color w:val="231F20"/>
          <w:w w:val="105"/>
        </w:rPr>
        <w:t>y</w:t>
      </w:r>
      <w:r>
        <w:rPr>
          <w:color w:val="231F20"/>
          <w:spacing w:val="-20"/>
          <w:w w:val="105"/>
        </w:rPr>
        <w:t> </w:t>
      </w:r>
      <w:r>
        <w:rPr>
          <w:color w:val="231F20"/>
          <w:w w:val="105"/>
        </w:rPr>
        <w:t>adolescentes</w:t>
      </w:r>
      <w:r>
        <w:rPr>
          <w:color w:val="231F20"/>
          <w:spacing w:val="-20"/>
          <w:w w:val="105"/>
        </w:rPr>
        <w:t> </w:t>
      </w:r>
      <w:r>
        <w:rPr>
          <w:color w:val="231F20"/>
          <w:w w:val="105"/>
        </w:rPr>
        <w:t>pueden</w:t>
      </w:r>
      <w:r>
        <w:rPr>
          <w:color w:val="231F20"/>
          <w:spacing w:val="-20"/>
          <w:w w:val="105"/>
        </w:rPr>
        <w:t> </w:t>
      </w:r>
      <w:r>
        <w:rPr>
          <w:color w:val="231F20"/>
          <w:w w:val="105"/>
        </w:rPr>
        <w:t>permanecer</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país</w:t>
      </w:r>
      <w:r>
        <w:rPr>
          <w:color w:val="231F20"/>
          <w:spacing w:val="-20"/>
          <w:w w:val="105"/>
        </w:rPr>
        <w:t> </w:t>
      </w:r>
      <w:r>
        <w:rPr>
          <w:color w:val="231F20"/>
          <w:w w:val="105"/>
        </w:rPr>
        <w:t>extranjero,</w:t>
      </w:r>
      <w:r>
        <w:rPr>
          <w:color w:val="231F20"/>
          <w:spacing w:val="-25"/>
          <w:w w:val="105"/>
        </w:rPr>
        <w:t> </w:t>
      </w:r>
      <w:r>
        <w:rPr>
          <w:color w:val="231F20"/>
          <w:w w:val="105"/>
        </w:rPr>
        <w:t>mientras que</w:t>
      </w:r>
      <w:r>
        <w:rPr>
          <w:color w:val="231F20"/>
          <w:spacing w:val="-29"/>
          <w:w w:val="105"/>
        </w:rPr>
        <w:t> </w:t>
      </w:r>
      <w:r>
        <w:rPr>
          <w:color w:val="231F20"/>
          <w:w w:val="105"/>
        </w:rPr>
        <w:t>las</w:t>
      </w:r>
      <w:r>
        <w:rPr>
          <w:color w:val="231F20"/>
          <w:spacing w:val="-29"/>
          <w:w w:val="105"/>
        </w:rPr>
        <w:t> </w:t>
      </w:r>
      <w:r>
        <w:rPr>
          <w:color w:val="231F20"/>
          <w:w w:val="105"/>
        </w:rPr>
        <w:t>niñas</w:t>
      </w:r>
      <w:r>
        <w:rPr>
          <w:color w:val="231F20"/>
          <w:spacing w:val="-29"/>
          <w:w w:val="105"/>
        </w:rPr>
        <w:t> </w:t>
      </w:r>
      <w:r>
        <w:rPr>
          <w:color w:val="231F20"/>
          <w:w w:val="105"/>
        </w:rPr>
        <w:t>y</w:t>
      </w:r>
      <w:r>
        <w:rPr>
          <w:color w:val="231F20"/>
          <w:spacing w:val="-29"/>
          <w:w w:val="105"/>
        </w:rPr>
        <w:t> </w:t>
      </w:r>
      <w:r>
        <w:rPr>
          <w:color w:val="231F20"/>
          <w:w w:val="105"/>
        </w:rPr>
        <w:t>adolescentes</w:t>
      </w:r>
      <w:r>
        <w:rPr>
          <w:color w:val="231F20"/>
          <w:spacing w:val="-29"/>
          <w:w w:val="105"/>
        </w:rPr>
        <w:t> </w:t>
      </w:r>
      <w:r>
        <w:rPr>
          <w:color w:val="231F20"/>
          <w:w w:val="105"/>
        </w:rPr>
        <w:t>regresan</w:t>
      </w:r>
      <w:r>
        <w:rPr>
          <w:color w:val="231F20"/>
          <w:spacing w:val="-29"/>
          <w:w w:val="105"/>
        </w:rPr>
        <w:t> </w:t>
      </w:r>
      <w:r>
        <w:rPr>
          <w:color w:val="231F20"/>
          <w:w w:val="105"/>
        </w:rPr>
        <w:t>con</w:t>
      </w:r>
      <w:r>
        <w:rPr>
          <w:color w:val="231F20"/>
          <w:spacing w:val="-29"/>
          <w:w w:val="105"/>
        </w:rPr>
        <w:t> </w:t>
      </w:r>
      <w:r>
        <w:rPr>
          <w:color w:val="231F20"/>
          <w:w w:val="105"/>
        </w:rPr>
        <w:t>sus</w:t>
      </w:r>
      <w:r>
        <w:rPr>
          <w:color w:val="231F20"/>
          <w:spacing w:val="-29"/>
          <w:w w:val="105"/>
        </w:rPr>
        <w:t> </w:t>
      </w:r>
      <w:r>
        <w:rPr>
          <w:color w:val="231F20"/>
          <w:w w:val="105"/>
        </w:rPr>
        <w:t>familias</w:t>
      </w:r>
      <w:r>
        <w:rPr>
          <w:color w:val="231F20"/>
          <w:spacing w:val="-29"/>
          <w:w w:val="105"/>
        </w:rPr>
        <w:t> </w:t>
      </w:r>
      <w:r>
        <w:rPr>
          <w:color w:val="231F20"/>
          <w:w w:val="105"/>
        </w:rPr>
        <w:t>a</w:t>
      </w:r>
      <w:r>
        <w:rPr>
          <w:color w:val="231F20"/>
          <w:spacing w:val="-29"/>
          <w:w w:val="105"/>
        </w:rPr>
        <w:t> </w:t>
      </w:r>
      <w:r>
        <w:rPr>
          <w:color w:val="231F20"/>
          <w:w w:val="105"/>
        </w:rPr>
        <w:t>México.</w:t>
      </w:r>
      <w:r>
        <w:rPr>
          <w:color w:val="231F20"/>
          <w:spacing w:val="-33"/>
          <w:w w:val="105"/>
        </w:rPr>
        <w:t> </w:t>
      </w:r>
      <w:r>
        <w:rPr>
          <w:color w:val="231F20"/>
          <w:spacing w:val="-6"/>
          <w:w w:val="105"/>
        </w:rPr>
        <w:t>Por</w:t>
      </w:r>
      <w:r>
        <w:rPr>
          <w:color w:val="231F20"/>
          <w:spacing w:val="-29"/>
          <w:w w:val="105"/>
        </w:rPr>
        <w:t> </w:t>
      </w:r>
      <w:r>
        <w:rPr>
          <w:color w:val="231F20"/>
          <w:w w:val="105"/>
        </w:rPr>
        <w:t>otra, parte en el universo de migrantes de retorno, la edad media de estos aumentó</w:t>
      </w:r>
      <w:r>
        <w:rPr>
          <w:color w:val="231F20"/>
          <w:spacing w:val="-19"/>
          <w:w w:val="105"/>
        </w:rPr>
        <w:t> </w:t>
      </w:r>
      <w:r>
        <w:rPr>
          <w:color w:val="231F20"/>
          <w:w w:val="105"/>
        </w:rPr>
        <w:t>ligeramente</w:t>
      </w:r>
      <w:r>
        <w:rPr>
          <w:color w:val="231F20"/>
          <w:spacing w:val="-19"/>
          <w:w w:val="105"/>
        </w:rPr>
        <w:t> </w:t>
      </w:r>
      <w:r>
        <w:rPr>
          <w:color w:val="231F20"/>
          <w:w w:val="105"/>
        </w:rPr>
        <w:t>entre</w:t>
      </w:r>
      <w:r>
        <w:rPr>
          <w:color w:val="231F20"/>
          <w:spacing w:val="-19"/>
          <w:w w:val="105"/>
        </w:rPr>
        <w:t> </w:t>
      </w:r>
      <w:r>
        <w:rPr>
          <w:color w:val="231F20"/>
          <w:w w:val="105"/>
        </w:rPr>
        <w:t>las</w:t>
      </w:r>
      <w:r>
        <w:rPr>
          <w:color w:val="231F20"/>
          <w:spacing w:val="-19"/>
          <w:w w:val="105"/>
        </w:rPr>
        <w:t> </w:t>
      </w:r>
      <w:r>
        <w:rPr>
          <w:color w:val="231F20"/>
          <w:w w:val="105"/>
        </w:rPr>
        <w:t>dos</w:t>
      </w:r>
      <w:r>
        <w:rPr>
          <w:color w:val="231F20"/>
          <w:spacing w:val="-19"/>
          <w:w w:val="105"/>
        </w:rPr>
        <w:t> </w:t>
      </w:r>
      <w:r>
        <w:rPr>
          <w:color w:val="231F20"/>
          <w:w w:val="105"/>
        </w:rPr>
        <w:t>décadas.</w:t>
      </w:r>
    </w:p>
    <w:p>
      <w:pPr>
        <w:pStyle w:val="BodyText"/>
        <w:spacing w:before="4"/>
      </w:pPr>
    </w:p>
    <w:p>
      <w:pPr>
        <w:spacing w:line="249" w:lineRule="auto" w:before="0"/>
        <w:ind w:left="4022" w:right="2511" w:hanging="1388"/>
        <w:jc w:val="left"/>
        <w:rPr>
          <w:rFonts w:ascii="Arial" w:hAnsi="Arial"/>
          <w:sz w:val="18"/>
        </w:rPr>
      </w:pPr>
      <w:r>
        <w:rPr>
          <w:rFonts w:ascii="Arial" w:hAnsi="Arial"/>
          <w:color w:val="231F20"/>
          <w:w w:val="105"/>
          <w:sz w:val="18"/>
        </w:rPr>
        <w:t>Cuadro</w:t>
      </w:r>
      <w:r>
        <w:rPr>
          <w:rFonts w:ascii="Arial" w:hAnsi="Arial"/>
          <w:color w:val="231F20"/>
          <w:spacing w:val="-13"/>
          <w:w w:val="105"/>
          <w:sz w:val="18"/>
        </w:rPr>
        <w:t> </w:t>
      </w:r>
      <w:r>
        <w:rPr>
          <w:rFonts w:ascii="Arial" w:hAnsi="Arial"/>
          <w:color w:val="231F20"/>
          <w:w w:val="105"/>
          <w:sz w:val="18"/>
        </w:rPr>
        <w:t>2.</w:t>
      </w:r>
      <w:r>
        <w:rPr>
          <w:rFonts w:ascii="Arial" w:hAnsi="Arial"/>
          <w:color w:val="231F20"/>
          <w:spacing w:val="-18"/>
          <w:w w:val="105"/>
          <w:sz w:val="18"/>
        </w:rPr>
        <w:t> </w:t>
      </w:r>
      <w:r>
        <w:rPr>
          <w:rFonts w:ascii="Arial" w:hAnsi="Arial"/>
          <w:color w:val="231F20"/>
          <w:w w:val="105"/>
          <w:sz w:val="18"/>
        </w:rPr>
        <w:t>Migrantes</w:t>
      </w:r>
      <w:r>
        <w:rPr>
          <w:rFonts w:ascii="Arial" w:hAnsi="Arial"/>
          <w:color w:val="231F20"/>
          <w:spacing w:val="-13"/>
          <w:w w:val="105"/>
          <w:sz w:val="18"/>
        </w:rPr>
        <w:t> </w:t>
      </w:r>
      <w:r>
        <w:rPr>
          <w:rFonts w:ascii="Arial" w:hAnsi="Arial"/>
          <w:color w:val="231F20"/>
          <w:w w:val="105"/>
          <w:sz w:val="18"/>
        </w:rPr>
        <w:t>de</w:t>
      </w:r>
      <w:r>
        <w:rPr>
          <w:rFonts w:ascii="Arial" w:hAnsi="Arial"/>
          <w:color w:val="231F20"/>
          <w:spacing w:val="-13"/>
          <w:w w:val="105"/>
          <w:sz w:val="18"/>
        </w:rPr>
        <w:t> </w:t>
      </w:r>
      <w:r>
        <w:rPr>
          <w:rFonts w:ascii="Arial" w:hAnsi="Arial"/>
          <w:color w:val="231F20"/>
          <w:w w:val="105"/>
          <w:sz w:val="18"/>
        </w:rPr>
        <w:t>retorno</w:t>
      </w:r>
      <w:r>
        <w:rPr>
          <w:rFonts w:ascii="Arial" w:hAnsi="Arial"/>
          <w:color w:val="231F20"/>
          <w:spacing w:val="-13"/>
          <w:w w:val="105"/>
          <w:sz w:val="18"/>
        </w:rPr>
        <w:t> </w:t>
      </w:r>
      <w:r>
        <w:rPr>
          <w:rFonts w:ascii="Arial" w:hAnsi="Arial"/>
          <w:color w:val="231F20"/>
          <w:w w:val="105"/>
          <w:sz w:val="18"/>
        </w:rPr>
        <w:t>por</w:t>
      </w:r>
      <w:r>
        <w:rPr>
          <w:rFonts w:ascii="Arial" w:hAnsi="Arial"/>
          <w:color w:val="231F20"/>
          <w:spacing w:val="-13"/>
          <w:w w:val="105"/>
          <w:sz w:val="18"/>
        </w:rPr>
        <w:t> </w:t>
      </w:r>
      <w:r>
        <w:rPr>
          <w:rFonts w:ascii="Arial" w:hAnsi="Arial"/>
          <w:color w:val="231F20"/>
          <w:w w:val="105"/>
          <w:sz w:val="18"/>
        </w:rPr>
        <w:t>características</w:t>
      </w:r>
      <w:r>
        <w:rPr>
          <w:rFonts w:ascii="Arial" w:hAnsi="Arial"/>
          <w:color w:val="231F20"/>
          <w:spacing w:val="-13"/>
          <w:w w:val="105"/>
          <w:sz w:val="18"/>
        </w:rPr>
        <w:t> </w:t>
      </w:r>
      <w:r>
        <w:rPr>
          <w:rFonts w:ascii="Arial" w:hAnsi="Arial"/>
          <w:color w:val="231F20"/>
          <w:w w:val="105"/>
          <w:sz w:val="18"/>
        </w:rPr>
        <w:t>demográficas según</w:t>
      </w:r>
      <w:r>
        <w:rPr>
          <w:rFonts w:ascii="Arial" w:hAnsi="Arial"/>
          <w:color w:val="231F20"/>
          <w:spacing w:val="-13"/>
          <w:w w:val="105"/>
          <w:sz w:val="18"/>
        </w:rPr>
        <w:t> </w:t>
      </w:r>
      <w:r>
        <w:rPr>
          <w:rFonts w:ascii="Arial" w:hAnsi="Arial"/>
          <w:color w:val="231F20"/>
          <w:w w:val="105"/>
          <w:sz w:val="18"/>
        </w:rPr>
        <w:t>sexo</w:t>
      </w:r>
      <w:r>
        <w:rPr>
          <w:rFonts w:ascii="Arial" w:hAnsi="Arial"/>
          <w:color w:val="231F20"/>
          <w:spacing w:val="-13"/>
          <w:w w:val="105"/>
          <w:sz w:val="18"/>
        </w:rPr>
        <w:t> </w:t>
      </w:r>
      <w:r>
        <w:rPr>
          <w:rFonts w:ascii="Arial" w:hAnsi="Arial"/>
          <w:color w:val="231F20"/>
          <w:w w:val="105"/>
          <w:sz w:val="18"/>
        </w:rPr>
        <w:t>y</w:t>
      </w:r>
      <w:r>
        <w:rPr>
          <w:rFonts w:ascii="Arial" w:hAnsi="Arial"/>
          <w:color w:val="231F20"/>
          <w:spacing w:val="-13"/>
          <w:w w:val="105"/>
          <w:sz w:val="18"/>
        </w:rPr>
        <w:t> </w:t>
      </w:r>
      <w:r>
        <w:rPr>
          <w:rFonts w:ascii="Arial" w:hAnsi="Arial"/>
          <w:color w:val="231F20"/>
          <w:w w:val="105"/>
          <w:sz w:val="18"/>
        </w:rPr>
        <w:t>año,</w:t>
      </w:r>
      <w:r>
        <w:rPr>
          <w:rFonts w:ascii="Arial" w:hAnsi="Arial"/>
          <w:color w:val="231F20"/>
          <w:spacing w:val="-18"/>
          <w:w w:val="105"/>
          <w:sz w:val="18"/>
        </w:rPr>
        <w:t> </w:t>
      </w:r>
      <w:r>
        <w:rPr>
          <w:rFonts w:ascii="Arial" w:hAnsi="Arial"/>
          <w:color w:val="231F20"/>
          <w:w w:val="105"/>
          <w:sz w:val="18"/>
        </w:rPr>
        <w:t>2000</w:t>
      </w:r>
      <w:r>
        <w:rPr>
          <w:rFonts w:ascii="Arial" w:hAnsi="Arial"/>
          <w:color w:val="231F20"/>
          <w:spacing w:val="-13"/>
          <w:w w:val="105"/>
          <w:sz w:val="18"/>
        </w:rPr>
        <w:t> </w:t>
      </w:r>
      <w:r>
        <w:rPr>
          <w:rFonts w:ascii="Arial" w:hAnsi="Arial"/>
          <w:color w:val="231F20"/>
          <w:w w:val="105"/>
          <w:sz w:val="18"/>
        </w:rPr>
        <w:t>y</w:t>
      </w:r>
      <w:r>
        <w:rPr>
          <w:rFonts w:ascii="Arial" w:hAnsi="Arial"/>
          <w:color w:val="231F20"/>
          <w:spacing w:val="-13"/>
          <w:w w:val="105"/>
          <w:sz w:val="18"/>
        </w:rPr>
        <w:t> </w:t>
      </w:r>
      <w:r>
        <w:rPr>
          <w:rFonts w:ascii="Arial" w:hAnsi="Arial"/>
          <w:color w:val="231F20"/>
          <w:w w:val="105"/>
          <w:sz w:val="18"/>
        </w:rPr>
        <w:t>2010</w:t>
      </w:r>
    </w:p>
    <w:p>
      <w:pPr>
        <w:pStyle w:val="BodyText"/>
        <w:spacing w:before="9"/>
        <w:rPr>
          <w:rFonts w:ascii="Arial"/>
          <w:sz w:val="12"/>
        </w:rPr>
      </w:pPr>
    </w:p>
    <w:tbl>
      <w:tblPr>
        <w:tblW w:w="0" w:type="auto"/>
        <w:jc w:val="left"/>
        <w:tblInd w:w="183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90"/>
        <w:gridCol w:w="2567"/>
        <w:gridCol w:w="992"/>
        <w:gridCol w:w="992"/>
        <w:gridCol w:w="992"/>
        <w:gridCol w:w="992"/>
      </w:tblGrid>
      <w:tr>
        <w:trPr>
          <w:trHeight w:val="402" w:hRule="exact"/>
        </w:trPr>
        <w:tc>
          <w:tcPr>
            <w:tcW w:w="2957" w:type="dxa"/>
            <w:gridSpan w:val="2"/>
            <w:vMerge w:val="restart"/>
          </w:tcPr>
          <w:p>
            <w:pPr>
              <w:pStyle w:val="TableParagraph"/>
              <w:spacing w:before="2"/>
              <w:rPr>
                <w:rFonts w:ascii="Arial"/>
                <w:sz w:val="25"/>
              </w:rPr>
            </w:pPr>
          </w:p>
          <w:p>
            <w:pPr>
              <w:pStyle w:val="TableParagraph"/>
              <w:spacing w:before="0"/>
              <w:ind w:left="286" w:right="-9"/>
              <w:rPr>
                <w:rFonts w:ascii="Arial" w:hAnsi="Arial"/>
                <w:sz w:val="18"/>
              </w:rPr>
            </w:pPr>
            <w:r>
              <w:rPr>
                <w:rFonts w:ascii="Arial" w:hAnsi="Arial"/>
                <w:color w:val="231F20"/>
                <w:sz w:val="18"/>
              </w:rPr>
              <w:t>Características seleccionadas</w:t>
            </w:r>
          </w:p>
        </w:tc>
        <w:tc>
          <w:tcPr>
            <w:tcW w:w="1984" w:type="dxa"/>
            <w:gridSpan w:val="2"/>
          </w:tcPr>
          <w:p>
            <w:pPr>
              <w:pStyle w:val="TableParagraph"/>
              <w:spacing w:before="150"/>
              <w:ind w:left="674" w:right="674"/>
              <w:jc w:val="center"/>
              <w:rPr>
                <w:rFonts w:ascii="Arial"/>
                <w:sz w:val="18"/>
              </w:rPr>
            </w:pPr>
            <w:r>
              <w:rPr>
                <w:rFonts w:ascii="Arial"/>
                <w:color w:val="231F20"/>
                <w:w w:val="105"/>
                <w:sz w:val="18"/>
              </w:rPr>
              <w:t>2000</w:t>
            </w:r>
          </w:p>
        </w:tc>
        <w:tc>
          <w:tcPr>
            <w:tcW w:w="1984" w:type="dxa"/>
            <w:gridSpan w:val="2"/>
          </w:tcPr>
          <w:p>
            <w:pPr>
              <w:pStyle w:val="TableParagraph"/>
              <w:spacing w:before="150"/>
              <w:ind w:left="674" w:right="674"/>
              <w:jc w:val="center"/>
              <w:rPr>
                <w:rFonts w:ascii="Arial"/>
                <w:sz w:val="18"/>
              </w:rPr>
            </w:pPr>
            <w:r>
              <w:rPr>
                <w:rFonts w:ascii="Arial"/>
                <w:color w:val="231F20"/>
                <w:w w:val="105"/>
                <w:sz w:val="18"/>
              </w:rPr>
              <w:t>2010</w:t>
            </w:r>
          </w:p>
        </w:tc>
      </w:tr>
      <w:tr>
        <w:trPr>
          <w:trHeight w:val="340" w:hRule="exact"/>
        </w:trPr>
        <w:tc>
          <w:tcPr>
            <w:tcW w:w="2957" w:type="dxa"/>
            <w:gridSpan w:val="2"/>
            <w:vMerge/>
          </w:tcPr>
          <w:p>
            <w:pPr/>
          </w:p>
        </w:tc>
        <w:tc>
          <w:tcPr>
            <w:tcW w:w="992" w:type="dxa"/>
          </w:tcPr>
          <w:p>
            <w:pPr>
              <w:pStyle w:val="TableParagraph"/>
              <w:spacing w:before="88"/>
              <w:ind w:left="116"/>
              <w:rPr>
                <w:rFonts w:ascii="Arial"/>
                <w:sz w:val="18"/>
              </w:rPr>
            </w:pPr>
            <w:r>
              <w:rPr>
                <w:rFonts w:ascii="Arial"/>
                <w:color w:val="231F20"/>
                <w:w w:val="105"/>
                <w:sz w:val="18"/>
              </w:rPr>
              <w:t>Hombres</w:t>
            </w:r>
          </w:p>
        </w:tc>
        <w:tc>
          <w:tcPr>
            <w:tcW w:w="992" w:type="dxa"/>
          </w:tcPr>
          <w:p>
            <w:pPr>
              <w:pStyle w:val="TableParagraph"/>
              <w:spacing w:before="88"/>
              <w:ind w:right="165"/>
              <w:jc w:val="right"/>
              <w:rPr>
                <w:rFonts w:ascii="Arial"/>
                <w:sz w:val="18"/>
              </w:rPr>
            </w:pPr>
            <w:r>
              <w:rPr>
                <w:rFonts w:ascii="Arial"/>
                <w:color w:val="231F20"/>
                <w:sz w:val="18"/>
              </w:rPr>
              <w:t>Mujeres</w:t>
            </w:r>
          </w:p>
        </w:tc>
        <w:tc>
          <w:tcPr>
            <w:tcW w:w="992" w:type="dxa"/>
          </w:tcPr>
          <w:p>
            <w:pPr>
              <w:pStyle w:val="TableParagraph"/>
              <w:spacing w:before="88"/>
              <w:ind w:left="116"/>
              <w:rPr>
                <w:rFonts w:ascii="Arial"/>
                <w:sz w:val="18"/>
              </w:rPr>
            </w:pPr>
            <w:r>
              <w:rPr>
                <w:rFonts w:ascii="Arial"/>
                <w:color w:val="231F20"/>
                <w:w w:val="105"/>
                <w:sz w:val="18"/>
              </w:rPr>
              <w:t>Hombres</w:t>
            </w:r>
          </w:p>
        </w:tc>
        <w:tc>
          <w:tcPr>
            <w:tcW w:w="992" w:type="dxa"/>
          </w:tcPr>
          <w:p>
            <w:pPr>
              <w:pStyle w:val="TableParagraph"/>
              <w:spacing w:before="88"/>
              <w:ind w:right="163"/>
              <w:jc w:val="right"/>
              <w:rPr>
                <w:rFonts w:ascii="Arial"/>
                <w:sz w:val="18"/>
              </w:rPr>
            </w:pPr>
            <w:r>
              <w:rPr>
                <w:rFonts w:ascii="Arial"/>
                <w:color w:val="231F20"/>
                <w:sz w:val="18"/>
              </w:rPr>
              <w:t>Mujeres</w:t>
            </w:r>
          </w:p>
        </w:tc>
      </w:tr>
      <w:tr>
        <w:trPr>
          <w:trHeight w:val="340" w:hRule="exact"/>
        </w:trPr>
        <w:tc>
          <w:tcPr>
            <w:tcW w:w="2957" w:type="dxa"/>
            <w:gridSpan w:val="2"/>
          </w:tcPr>
          <w:p>
            <w:pPr>
              <w:pStyle w:val="TableParagraph"/>
              <w:ind w:left="77" w:right="-9"/>
              <w:rPr>
                <w:sz w:val="18"/>
              </w:rPr>
            </w:pPr>
            <w:r>
              <w:rPr>
                <w:color w:val="231F20"/>
                <w:w w:val="105"/>
                <w:sz w:val="18"/>
              </w:rPr>
              <w:t>Edad</w:t>
            </w:r>
          </w:p>
        </w:tc>
        <w:tc>
          <w:tcPr>
            <w:tcW w:w="992" w:type="dxa"/>
          </w:tcPr>
          <w:p>
            <w:pPr>
              <w:pStyle w:val="TableParagraph"/>
              <w:ind w:left="302"/>
              <w:rPr>
                <w:sz w:val="18"/>
              </w:rPr>
            </w:pPr>
            <w:r>
              <w:rPr>
                <w:color w:val="231F20"/>
                <w:w w:val="105"/>
                <w:sz w:val="18"/>
              </w:rPr>
              <w:t>100.0</w:t>
            </w:r>
          </w:p>
        </w:tc>
        <w:tc>
          <w:tcPr>
            <w:tcW w:w="992" w:type="dxa"/>
          </w:tcPr>
          <w:p>
            <w:pPr>
              <w:pStyle w:val="TableParagraph"/>
              <w:ind w:left="302"/>
              <w:rPr>
                <w:sz w:val="18"/>
              </w:rPr>
            </w:pPr>
            <w:r>
              <w:rPr>
                <w:color w:val="231F20"/>
                <w:w w:val="105"/>
                <w:sz w:val="18"/>
              </w:rPr>
              <w:t>100.0</w:t>
            </w:r>
          </w:p>
        </w:tc>
        <w:tc>
          <w:tcPr>
            <w:tcW w:w="992" w:type="dxa"/>
          </w:tcPr>
          <w:p>
            <w:pPr>
              <w:pStyle w:val="TableParagraph"/>
              <w:ind w:left="302"/>
              <w:rPr>
                <w:sz w:val="18"/>
              </w:rPr>
            </w:pPr>
            <w:r>
              <w:rPr>
                <w:color w:val="231F20"/>
                <w:w w:val="105"/>
                <w:sz w:val="18"/>
              </w:rPr>
              <w:t>100.0</w:t>
            </w:r>
          </w:p>
        </w:tc>
        <w:tc>
          <w:tcPr>
            <w:tcW w:w="992" w:type="dxa"/>
          </w:tcPr>
          <w:p>
            <w:pPr>
              <w:pStyle w:val="TableParagraph"/>
              <w:ind w:right="222"/>
              <w:jc w:val="right"/>
              <w:rPr>
                <w:sz w:val="18"/>
              </w:rPr>
            </w:pPr>
            <w:r>
              <w:rPr>
                <w:color w:val="231F20"/>
                <w:sz w:val="18"/>
              </w:rPr>
              <w:t>100.0</w:t>
            </w:r>
          </w:p>
        </w:tc>
      </w:tr>
      <w:tr>
        <w:trPr>
          <w:trHeight w:val="340" w:hRule="exact"/>
        </w:trPr>
        <w:tc>
          <w:tcPr>
            <w:tcW w:w="390" w:type="dxa"/>
          </w:tcPr>
          <w:p>
            <w:pPr/>
          </w:p>
        </w:tc>
        <w:tc>
          <w:tcPr>
            <w:tcW w:w="2567" w:type="dxa"/>
          </w:tcPr>
          <w:p>
            <w:pPr>
              <w:pStyle w:val="TableParagraph"/>
              <w:ind w:left="77"/>
              <w:rPr>
                <w:sz w:val="18"/>
              </w:rPr>
            </w:pPr>
            <w:r>
              <w:rPr>
                <w:color w:val="231F20"/>
                <w:w w:val="105"/>
                <w:sz w:val="18"/>
              </w:rPr>
              <w:t>5 a 19</w:t>
            </w:r>
          </w:p>
        </w:tc>
        <w:tc>
          <w:tcPr>
            <w:tcW w:w="992" w:type="dxa"/>
          </w:tcPr>
          <w:p>
            <w:pPr>
              <w:pStyle w:val="TableParagraph"/>
              <w:ind w:left="406"/>
              <w:rPr>
                <w:sz w:val="18"/>
              </w:rPr>
            </w:pPr>
            <w:r>
              <w:rPr>
                <w:color w:val="231F20"/>
                <w:w w:val="105"/>
                <w:sz w:val="18"/>
              </w:rPr>
              <w:t>11.2</w:t>
            </w:r>
          </w:p>
        </w:tc>
        <w:tc>
          <w:tcPr>
            <w:tcW w:w="992" w:type="dxa"/>
          </w:tcPr>
          <w:p>
            <w:pPr>
              <w:pStyle w:val="TableParagraph"/>
              <w:ind w:left="406"/>
              <w:rPr>
                <w:sz w:val="18"/>
              </w:rPr>
            </w:pPr>
            <w:r>
              <w:rPr>
                <w:color w:val="231F20"/>
                <w:w w:val="105"/>
                <w:sz w:val="18"/>
              </w:rPr>
              <w:t>22.1</w:t>
            </w:r>
          </w:p>
        </w:tc>
        <w:tc>
          <w:tcPr>
            <w:tcW w:w="992" w:type="dxa"/>
          </w:tcPr>
          <w:p>
            <w:pPr>
              <w:pStyle w:val="TableParagraph"/>
              <w:ind w:left="509"/>
              <w:rPr>
                <w:sz w:val="18"/>
              </w:rPr>
            </w:pPr>
            <w:r>
              <w:rPr>
                <w:color w:val="231F20"/>
                <w:sz w:val="18"/>
              </w:rPr>
              <w:t>5.7</w:t>
            </w:r>
          </w:p>
        </w:tc>
        <w:tc>
          <w:tcPr>
            <w:tcW w:w="992" w:type="dxa"/>
          </w:tcPr>
          <w:p>
            <w:pPr>
              <w:pStyle w:val="TableParagraph"/>
              <w:ind w:right="222"/>
              <w:jc w:val="right"/>
              <w:rPr>
                <w:sz w:val="18"/>
              </w:rPr>
            </w:pPr>
            <w:r>
              <w:rPr>
                <w:color w:val="231F20"/>
                <w:sz w:val="18"/>
              </w:rPr>
              <w:t>17.9</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20 a 29</w:t>
            </w:r>
          </w:p>
        </w:tc>
        <w:tc>
          <w:tcPr>
            <w:tcW w:w="992" w:type="dxa"/>
          </w:tcPr>
          <w:p>
            <w:pPr>
              <w:pStyle w:val="TableParagraph"/>
              <w:ind w:left="406"/>
              <w:rPr>
                <w:sz w:val="18"/>
              </w:rPr>
            </w:pPr>
            <w:r>
              <w:rPr>
                <w:color w:val="231F20"/>
                <w:w w:val="105"/>
                <w:sz w:val="18"/>
              </w:rPr>
              <w:t>38.7</w:t>
            </w:r>
          </w:p>
        </w:tc>
        <w:tc>
          <w:tcPr>
            <w:tcW w:w="992" w:type="dxa"/>
          </w:tcPr>
          <w:p>
            <w:pPr>
              <w:pStyle w:val="TableParagraph"/>
              <w:ind w:left="406"/>
              <w:rPr>
                <w:sz w:val="18"/>
              </w:rPr>
            </w:pPr>
            <w:r>
              <w:rPr>
                <w:color w:val="231F20"/>
                <w:w w:val="105"/>
                <w:sz w:val="18"/>
              </w:rPr>
              <w:t>36.2</w:t>
            </w:r>
          </w:p>
        </w:tc>
        <w:tc>
          <w:tcPr>
            <w:tcW w:w="992" w:type="dxa"/>
          </w:tcPr>
          <w:p>
            <w:pPr>
              <w:pStyle w:val="TableParagraph"/>
              <w:ind w:left="406"/>
              <w:rPr>
                <w:sz w:val="18"/>
              </w:rPr>
            </w:pPr>
            <w:r>
              <w:rPr>
                <w:color w:val="231F20"/>
                <w:w w:val="105"/>
                <w:sz w:val="18"/>
              </w:rPr>
              <w:t>30.8</w:t>
            </w:r>
          </w:p>
        </w:tc>
        <w:tc>
          <w:tcPr>
            <w:tcW w:w="992" w:type="dxa"/>
          </w:tcPr>
          <w:p>
            <w:pPr>
              <w:pStyle w:val="TableParagraph"/>
              <w:ind w:right="222"/>
              <w:jc w:val="right"/>
              <w:rPr>
                <w:sz w:val="18"/>
              </w:rPr>
            </w:pPr>
            <w:r>
              <w:rPr>
                <w:color w:val="231F20"/>
                <w:sz w:val="18"/>
              </w:rPr>
              <w:t>27.4</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30 a 39</w:t>
            </w:r>
          </w:p>
        </w:tc>
        <w:tc>
          <w:tcPr>
            <w:tcW w:w="992" w:type="dxa"/>
          </w:tcPr>
          <w:p>
            <w:pPr>
              <w:pStyle w:val="TableParagraph"/>
              <w:ind w:left="406"/>
              <w:rPr>
                <w:sz w:val="18"/>
              </w:rPr>
            </w:pPr>
            <w:r>
              <w:rPr>
                <w:color w:val="231F20"/>
                <w:w w:val="105"/>
                <w:sz w:val="18"/>
              </w:rPr>
              <w:t>30.5</w:t>
            </w:r>
          </w:p>
        </w:tc>
        <w:tc>
          <w:tcPr>
            <w:tcW w:w="992" w:type="dxa"/>
          </w:tcPr>
          <w:p>
            <w:pPr>
              <w:pStyle w:val="TableParagraph"/>
              <w:ind w:left="406"/>
              <w:rPr>
                <w:sz w:val="18"/>
              </w:rPr>
            </w:pPr>
            <w:r>
              <w:rPr>
                <w:color w:val="231F20"/>
                <w:w w:val="105"/>
                <w:sz w:val="18"/>
              </w:rPr>
              <w:t>26.1</w:t>
            </w:r>
          </w:p>
        </w:tc>
        <w:tc>
          <w:tcPr>
            <w:tcW w:w="992" w:type="dxa"/>
          </w:tcPr>
          <w:p>
            <w:pPr>
              <w:pStyle w:val="TableParagraph"/>
              <w:ind w:left="406"/>
              <w:rPr>
                <w:sz w:val="18"/>
              </w:rPr>
            </w:pPr>
            <w:r>
              <w:rPr>
                <w:color w:val="231F20"/>
                <w:w w:val="105"/>
                <w:sz w:val="18"/>
              </w:rPr>
              <w:t>37.8</w:t>
            </w:r>
          </w:p>
        </w:tc>
        <w:tc>
          <w:tcPr>
            <w:tcW w:w="992" w:type="dxa"/>
          </w:tcPr>
          <w:p>
            <w:pPr>
              <w:pStyle w:val="TableParagraph"/>
              <w:ind w:right="222"/>
              <w:jc w:val="right"/>
              <w:rPr>
                <w:sz w:val="18"/>
              </w:rPr>
            </w:pPr>
            <w:r>
              <w:rPr>
                <w:color w:val="231F20"/>
                <w:sz w:val="18"/>
              </w:rPr>
              <w:t>34.5</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40 a 49</w:t>
            </w:r>
          </w:p>
        </w:tc>
        <w:tc>
          <w:tcPr>
            <w:tcW w:w="992" w:type="dxa"/>
          </w:tcPr>
          <w:p>
            <w:pPr>
              <w:pStyle w:val="TableParagraph"/>
              <w:ind w:left="406"/>
              <w:rPr>
                <w:sz w:val="18"/>
              </w:rPr>
            </w:pPr>
            <w:r>
              <w:rPr>
                <w:color w:val="231F20"/>
                <w:w w:val="105"/>
                <w:sz w:val="18"/>
              </w:rPr>
              <w:t>11.6</w:t>
            </w:r>
          </w:p>
        </w:tc>
        <w:tc>
          <w:tcPr>
            <w:tcW w:w="992" w:type="dxa"/>
          </w:tcPr>
          <w:p>
            <w:pPr>
              <w:pStyle w:val="TableParagraph"/>
              <w:ind w:right="222"/>
              <w:jc w:val="right"/>
              <w:rPr>
                <w:sz w:val="18"/>
              </w:rPr>
            </w:pPr>
            <w:r>
              <w:rPr>
                <w:color w:val="231F20"/>
                <w:sz w:val="18"/>
              </w:rPr>
              <w:t>8.3</w:t>
            </w:r>
          </w:p>
        </w:tc>
        <w:tc>
          <w:tcPr>
            <w:tcW w:w="992" w:type="dxa"/>
          </w:tcPr>
          <w:p>
            <w:pPr>
              <w:pStyle w:val="TableParagraph"/>
              <w:ind w:left="406"/>
              <w:rPr>
                <w:sz w:val="18"/>
              </w:rPr>
            </w:pPr>
            <w:r>
              <w:rPr>
                <w:color w:val="231F20"/>
                <w:w w:val="105"/>
                <w:sz w:val="18"/>
              </w:rPr>
              <w:t>15.9</w:t>
            </w:r>
          </w:p>
        </w:tc>
        <w:tc>
          <w:tcPr>
            <w:tcW w:w="992" w:type="dxa"/>
          </w:tcPr>
          <w:p>
            <w:pPr>
              <w:pStyle w:val="TableParagraph"/>
              <w:ind w:right="222"/>
              <w:jc w:val="right"/>
              <w:rPr>
                <w:sz w:val="18"/>
              </w:rPr>
            </w:pPr>
            <w:r>
              <w:rPr>
                <w:color w:val="231F20"/>
                <w:sz w:val="18"/>
              </w:rPr>
              <w:t>11.1</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50 a 59</w:t>
            </w:r>
          </w:p>
        </w:tc>
        <w:tc>
          <w:tcPr>
            <w:tcW w:w="992" w:type="dxa"/>
          </w:tcPr>
          <w:p>
            <w:pPr>
              <w:pStyle w:val="TableParagraph"/>
              <w:ind w:left="510"/>
              <w:rPr>
                <w:sz w:val="18"/>
              </w:rPr>
            </w:pPr>
            <w:r>
              <w:rPr>
                <w:color w:val="231F20"/>
                <w:sz w:val="18"/>
              </w:rPr>
              <w:t>5.5</w:t>
            </w:r>
          </w:p>
        </w:tc>
        <w:tc>
          <w:tcPr>
            <w:tcW w:w="992" w:type="dxa"/>
          </w:tcPr>
          <w:p>
            <w:pPr>
              <w:pStyle w:val="TableParagraph"/>
              <w:ind w:right="221"/>
              <w:jc w:val="right"/>
              <w:rPr>
                <w:sz w:val="18"/>
              </w:rPr>
            </w:pPr>
            <w:r>
              <w:rPr>
                <w:color w:val="231F20"/>
                <w:sz w:val="18"/>
              </w:rPr>
              <w:t>3.7</w:t>
            </w:r>
          </w:p>
        </w:tc>
        <w:tc>
          <w:tcPr>
            <w:tcW w:w="992" w:type="dxa"/>
          </w:tcPr>
          <w:p>
            <w:pPr>
              <w:pStyle w:val="TableParagraph"/>
              <w:ind w:left="510"/>
              <w:rPr>
                <w:sz w:val="18"/>
              </w:rPr>
            </w:pPr>
            <w:r>
              <w:rPr>
                <w:color w:val="231F20"/>
                <w:sz w:val="18"/>
              </w:rPr>
              <w:t>6.7</w:t>
            </w:r>
          </w:p>
        </w:tc>
        <w:tc>
          <w:tcPr>
            <w:tcW w:w="992" w:type="dxa"/>
          </w:tcPr>
          <w:p>
            <w:pPr>
              <w:pStyle w:val="TableParagraph"/>
              <w:ind w:right="221"/>
              <w:jc w:val="right"/>
              <w:rPr>
                <w:sz w:val="18"/>
              </w:rPr>
            </w:pPr>
            <w:r>
              <w:rPr>
                <w:color w:val="231F20"/>
                <w:sz w:val="18"/>
              </w:rPr>
              <w:t>6.1</w:t>
            </w:r>
          </w:p>
        </w:tc>
      </w:tr>
      <w:tr>
        <w:trPr>
          <w:trHeight w:val="340" w:hRule="exact"/>
        </w:trPr>
        <w:tc>
          <w:tcPr>
            <w:tcW w:w="390" w:type="dxa"/>
            <w:tcBorders>
              <w:bottom w:val="triple" w:sz="2" w:space="0" w:color="231F20"/>
            </w:tcBorders>
          </w:tcPr>
          <w:p>
            <w:pPr/>
          </w:p>
        </w:tc>
        <w:tc>
          <w:tcPr>
            <w:tcW w:w="2567" w:type="dxa"/>
            <w:tcBorders>
              <w:bottom w:val="triple" w:sz="2" w:space="0" w:color="231F20"/>
            </w:tcBorders>
          </w:tcPr>
          <w:p>
            <w:pPr>
              <w:pStyle w:val="TableParagraph"/>
              <w:ind w:left="78"/>
              <w:rPr>
                <w:sz w:val="18"/>
              </w:rPr>
            </w:pPr>
            <w:r>
              <w:rPr>
                <w:color w:val="231F20"/>
                <w:sz w:val="18"/>
              </w:rPr>
              <w:t>60 y más</w:t>
            </w:r>
          </w:p>
        </w:tc>
        <w:tc>
          <w:tcPr>
            <w:tcW w:w="992" w:type="dxa"/>
            <w:tcBorders>
              <w:bottom w:val="triple" w:sz="2" w:space="0" w:color="231F20"/>
            </w:tcBorders>
          </w:tcPr>
          <w:p>
            <w:pPr>
              <w:pStyle w:val="TableParagraph"/>
              <w:ind w:left="510"/>
              <w:rPr>
                <w:sz w:val="18"/>
              </w:rPr>
            </w:pPr>
            <w:r>
              <w:rPr>
                <w:color w:val="231F20"/>
                <w:sz w:val="18"/>
              </w:rPr>
              <w:t>2.5</w:t>
            </w:r>
          </w:p>
        </w:tc>
        <w:tc>
          <w:tcPr>
            <w:tcW w:w="992" w:type="dxa"/>
            <w:tcBorders>
              <w:bottom w:val="triple" w:sz="2" w:space="0" w:color="231F20"/>
            </w:tcBorders>
          </w:tcPr>
          <w:p>
            <w:pPr>
              <w:pStyle w:val="TableParagraph"/>
              <w:ind w:right="221"/>
              <w:jc w:val="right"/>
              <w:rPr>
                <w:sz w:val="18"/>
              </w:rPr>
            </w:pPr>
            <w:r>
              <w:rPr>
                <w:color w:val="231F20"/>
                <w:sz w:val="18"/>
              </w:rPr>
              <w:t>3.5</w:t>
            </w:r>
          </w:p>
        </w:tc>
        <w:tc>
          <w:tcPr>
            <w:tcW w:w="992" w:type="dxa"/>
            <w:tcBorders>
              <w:bottom w:val="triple" w:sz="2" w:space="0" w:color="231F20"/>
            </w:tcBorders>
          </w:tcPr>
          <w:p>
            <w:pPr>
              <w:pStyle w:val="TableParagraph"/>
              <w:ind w:left="510"/>
              <w:rPr>
                <w:sz w:val="18"/>
              </w:rPr>
            </w:pPr>
            <w:r>
              <w:rPr>
                <w:color w:val="231F20"/>
                <w:sz w:val="18"/>
              </w:rPr>
              <w:t>3.2</w:t>
            </w:r>
          </w:p>
        </w:tc>
        <w:tc>
          <w:tcPr>
            <w:tcW w:w="992" w:type="dxa"/>
            <w:tcBorders>
              <w:bottom w:val="triple" w:sz="2" w:space="0" w:color="231F20"/>
            </w:tcBorders>
          </w:tcPr>
          <w:p>
            <w:pPr>
              <w:pStyle w:val="TableParagraph"/>
              <w:ind w:right="221"/>
              <w:jc w:val="right"/>
              <w:rPr>
                <w:sz w:val="18"/>
              </w:rPr>
            </w:pPr>
            <w:r>
              <w:rPr>
                <w:color w:val="231F20"/>
                <w:sz w:val="18"/>
              </w:rPr>
              <w:t>3.0</w:t>
            </w:r>
          </w:p>
        </w:tc>
      </w:tr>
    </w:tbl>
    <w:p>
      <w:pPr>
        <w:spacing w:after="0"/>
        <w:jc w:val="right"/>
        <w:rPr>
          <w:sz w:val="18"/>
        </w:rPr>
        <w:sectPr>
          <w:type w:val="continuous"/>
          <w:pgSz w:w="10480" w:h="14730"/>
          <w:pgMar w:top="0" w:bottom="0" w:left="0" w:right="0"/>
        </w:sectPr>
      </w:pPr>
    </w:p>
    <w:p>
      <w:pPr>
        <w:pStyle w:val="BodyText"/>
        <w:rPr>
          <w:rFonts w:ascii="Arial"/>
          <w:sz w:val="20"/>
        </w:rPr>
      </w:pPr>
      <w:r>
        <w:rPr/>
        <w:pict>
          <v:line style="position:absolute;mso-position-horizontal-relative:page;mso-position-vertical-relative:page;z-index:33544" from="15pt,20.999777pt" to="0pt,20.999777pt" stroked="true" strokeweight=".25pt" strokecolor="#000000">
            <w10:wrap type="none"/>
          </v:line>
        </w:pict>
      </w:r>
      <w:r>
        <w:rPr/>
        <w:pict>
          <v:line style="position:absolute;mso-position-horizontal-relative:page;mso-position-vertical-relative:page;z-index:33568" from="508.890015pt,20.999777pt" to="523.890015pt,20.999777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7"/>
        </w:rPr>
      </w:pPr>
    </w:p>
    <w:tbl>
      <w:tblPr>
        <w:tblW w:w="0" w:type="auto"/>
        <w:jc w:val="left"/>
        <w:tblInd w:w="171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90"/>
        <w:gridCol w:w="2567"/>
        <w:gridCol w:w="992"/>
        <w:gridCol w:w="992"/>
        <w:gridCol w:w="992"/>
        <w:gridCol w:w="992"/>
      </w:tblGrid>
      <w:tr>
        <w:trPr>
          <w:trHeight w:val="340" w:hRule="exact"/>
        </w:trPr>
        <w:tc>
          <w:tcPr>
            <w:tcW w:w="2957" w:type="dxa"/>
            <w:gridSpan w:val="2"/>
            <w:tcBorders>
              <w:top w:val="triple" w:sz="2" w:space="0" w:color="231F20"/>
              <w:bottom w:val="triple" w:sz="2" w:space="0" w:color="231F20"/>
            </w:tcBorders>
          </w:tcPr>
          <w:p>
            <w:pPr>
              <w:pStyle w:val="TableParagraph"/>
              <w:ind w:left="77" w:right="-9"/>
              <w:rPr>
                <w:sz w:val="18"/>
              </w:rPr>
            </w:pPr>
            <w:r>
              <w:rPr>
                <w:color w:val="231F20"/>
                <w:w w:val="105"/>
                <w:sz w:val="18"/>
              </w:rPr>
              <w:t>Edad media</w:t>
            </w:r>
          </w:p>
        </w:tc>
        <w:tc>
          <w:tcPr>
            <w:tcW w:w="992" w:type="dxa"/>
            <w:tcBorders>
              <w:top w:val="triple" w:sz="2" w:space="0" w:color="231F20"/>
              <w:bottom w:val="triple" w:sz="2" w:space="0" w:color="231F20"/>
            </w:tcBorders>
          </w:tcPr>
          <w:p>
            <w:pPr>
              <w:pStyle w:val="TableParagraph"/>
              <w:ind w:right="223"/>
              <w:jc w:val="right"/>
              <w:rPr>
                <w:sz w:val="18"/>
              </w:rPr>
            </w:pPr>
            <w:r>
              <w:rPr>
                <w:color w:val="231F20"/>
                <w:sz w:val="18"/>
              </w:rPr>
              <w:t>34.9</w:t>
            </w:r>
          </w:p>
        </w:tc>
        <w:tc>
          <w:tcPr>
            <w:tcW w:w="992" w:type="dxa"/>
            <w:tcBorders>
              <w:top w:val="triple" w:sz="2" w:space="0" w:color="231F20"/>
              <w:bottom w:val="triple" w:sz="2" w:space="0" w:color="231F20"/>
            </w:tcBorders>
          </w:tcPr>
          <w:p>
            <w:pPr>
              <w:pStyle w:val="TableParagraph"/>
              <w:ind w:right="223"/>
              <w:jc w:val="right"/>
              <w:rPr>
                <w:sz w:val="18"/>
              </w:rPr>
            </w:pPr>
            <w:r>
              <w:rPr>
                <w:color w:val="231F20"/>
                <w:sz w:val="18"/>
              </w:rPr>
              <w:t>28.8</w:t>
            </w:r>
          </w:p>
        </w:tc>
        <w:tc>
          <w:tcPr>
            <w:tcW w:w="992" w:type="dxa"/>
            <w:tcBorders>
              <w:top w:val="triple" w:sz="2" w:space="0" w:color="231F20"/>
              <w:bottom w:val="triple" w:sz="2" w:space="0" w:color="231F20"/>
            </w:tcBorders>
          </w:tcPr>
          <w:p>
            <w:pPr>
              <w:pStyle w:val="TableParagraph"/>
              <w:ind w:right="223"/>
              <w:jc w:val="right"/>
              <w:rPr>
                <w:sz w:val="18"/>
              </w:rPr>
            </w:pPr>
            <w:r>
              <w:rPr>
                <w:color w:val="231F20"/>
                <w:sz w:val="18"/>
              </w:rPr>
              <w:t>35.7</w:t>
            </w:r>
          </w:p>
        </w:tc>
        <w:tc>
          <w:tcPr>
            <w:tcW w:w="992" w:type="dxa"/>
            <w:tcBorders>
              <w:top w:val="triple" w:sz="2" w:space="0" w:color="231F20"/>
              <w:bottom w:val="triple" w:sz="2" w:space="0" w:color="231F20"/>
            </w:tcBorders>
          </w:tcPr>
          <w:p>
            <w:pPr>
              <w:pStyle w:val="TableParagraph"/>
              <w:ind w:right="224"/>
              <w:jc w:val="right"/>
              <w:rPr>
                <w:sz w:val="18"/>
              </w:rPr>
            </w:pPr>
            <w:r>
              <w:rPr>
                <w:color w:val="231F20"/>
                <w:sz w:val="18"/>
              </w:rPr>
              <w:t>31.2</w:t>
            </w:r>
          </w:p>
        </w:tc>
      </w:tr>
      <w:tr>
        <w:trPr>
          <w:trHeight w:val="340" w:hRule="exact"/>
        </w:trPr>
        <w:tc>
          <w:tcPr>
            <w:tcW w:w="2957" w:type="dxa"/>
            <w:gridSpan w:val="2"/>
            <w:tcBorders>
              <w:top w:val="triple" w:sz="2" w:space="0" w:color="231F20"/>
            </w:tcBorders>
          </w:tcPr>
          <w:p>
            <w:pPr>
              <w:pStyle w:val="TableParagraph"/>
              <w:ind w:left="77" w:right="-9"/>
              <w:rPr>
                <w:sz w:val="18"/>
              </w:rPr>
            </w:pPr>
            <w:r>
              <w:rPr>
                <w:color w:val="231F20"/>
                <w:w w:val="105"/>
                <w:sz w:val="18"/>
              </w:rPr>
              <w:t>Posición en el hogar</w:t>
            </w:r>
          </w:p>
        </w:tc>
        <w:tc>
          <w:tcPr>
            <w:tcW w:w="992" w:type="dxa"/>
            <w:tcBorders>
              <w:top w:val="triple" w:sz="2" w:space="0" w:color="231F20"/>
            </w:tcBorders>
          </w:tcPr>
          <w:p>
            <w:pPr>
              <w:pStyle w:val="TableParagraph"/>
              <w:ind w:right="222"/>
              <w:jc w:val="right"/>
              <w:rPr>
                <w:sz w:val="18"/>
              </w:rPr>
            </w:pPr>
            <w:r>
              <w:rPr>
                <w:color w:val="231F20"/>
                <w:sz w:val="18"/>
              </w:rPr>
              <w:t>100.0</w:t>
            </w:r>
          </w:p>
        </w:tc>
        <w:tc>
          <w:tcPr>
            <w:tcW w:w="992" w:type="dxa"/>
            <w:tcBorders>
              <w:top w:val="triple" w:sz="2" w:space="0" w:color="231F20"/>
            </w:tcBorders>
          </w:tcPr>
          <w:p>
            <w:pPr>
              <w:pStyle w:val="TableParagraph"/>
              <w:ind w:right="222"/>
              <w:jc w:val="right"/>
              <w:rPr>
                <w:sz w:val="18"/>
              </w:rPr>
            </w:pPr>
            <w:r>
              <w:rPr>
                <w:color w:val="231F20"/>
                <w:sz w:val="18"/>
              </w:rPr>
              <w:t>100.0</w:t>
            </w:r>
          </w:p>
        </w:tc>
        <w:tc>
          <w:tcPr>
            <w:tcW w:w="992" w:type="dxa"/>
            <w:tcBorders>
              <w:top w:val="triple" w:sz="2" w:space="0" w:color="231F20"/>
            </w:tcBorders>
          </w:tcPr>
          <w:p>
            <w:pPr>
              <w:pStyle w:val="TableParagraph"/>
              <w:ind w:right="222"/>
              <w:jc w:val="right"/>
              <w:rPr>
                <w:sz w:val="18"/>
              </w:rPr>
            </w:pPr>
            <w:r>
              <w:rPr>
                <w:color w:val="231F20"/>
                <w:sz w:val="18"/>
              </w:rPr>
              <w:t>100.0</w:t>
            </w:r>
          </w:p>
        </w:tc>
        <w:tc>
          <w:tcPr>
            <w:tcW w:w="992" w:type="dxa"/>
            <w:tcBorders>
              <w:top w:val="triple" w:sz="2" w:space="0" w:color="231F20"/>
            </w:tcBorders>
          </w:tcPr>
          <w:p>
            <w:pPr>
              <w:pStyle w:val="TableParagraph"/>
              <w:ind w:right="222"/>
              <w:jc w:val="right"/>
              <w:rPr>
                <w:sz w:val="18"/>
              </w:rPr>
            </w:pPr>
            <w:r>
              <w:rPr>
                <w:color w:val="231F20"/>
                <w:sz w:val="18"/>
              </w:rPr>
              <w:t>100.0</w:t>
            </w:r>
          </w:p>
        </w:tc>
      </w:tr>
      <w:tr>
        <w:trPr>
          <w:trHeight w:val="340" w:hRule="exact"/>
        </w:trPr>
        <w:tc>
          <w:tcPr>
            <w:tcW w:w="390" w:type="dxa"/>
          </w:tcPr>
          <w:p>
            <w:pPr/>
          </w:p>
        </w:tc>
        <w:tc>
          <w:tcPr>
            <w:tcW w:w="2567" w:type="dxa"/>
          </w:tcPr>
          <w:p>
            <w:pPr>
              <w:pStyle w:val="TableParagraph"/>
              <w:ind w:left="77"/>
              <w:rPr>
                <w:sz w:val="18"/>
              </w:rPr>
            </w:pPr>
            <w:r>
              <w:rPr>
                <w:color w:val="231F20"/>
                <w:w w:val="105"/>
                <w:sz w:val="18"/>
              </w:rPr>
              <w:t>Jefe o jefa</w:t>
            </w:r>
          </w:p>
        </w:tc>
        <w:tc>
          <w:tcPr>
            <w:tcW w:w="992" w:type="dxa"/>
          </w:tcPr>
          <w:p>
            <w:pPr>
              <w:pStyle w:val="TableParagraph"/>
              <w:ind w:right="222"/>
              <w:jc w:val="right"/>
              <w:rPr>
                <w:sz w:val="18"/>
              </w:rPr>
            </w:pPr>
            <w:r>
              <w:rPr>
                <w:color w:val="231F20"/>
                <w:sz w:val="18"/>
              </w:rPr>
              <w:t>55.8</w:t>
            </w:r>
          </w:p>
        </w:tc>
        <w:tc>
          <w:tcPr>
            <w:tcW w:w="992" w:type="dxa"/>
          </w:tcPr>
          <w:p>
            <w:pPr>
              <w:pStyle w:val="TableParagraph"/>
              <w:ind w:right="222"/>
              <w:jc w:val="right"/>
              <w:rPr>
                <w:sz w:val="18"/>
              </w:rPr>
            </w:pPr>
            <w:r>
              <w:rPr>
                <w:color w:val="231F20"/>
                <w:sz w:val="18"/>
              </w:rPr>
              <w:t>13.7</w:t>
            </w:r>
          </w:p>
        </w:tc>
        <w:tc>
          <w:tcPr>
            <w:tcW w:w="992" w:type="dxa"/>
          </w:tcPr>
          <w:p>
            <w:pPr>
              <w:pStyle w:val="TableParagraph"/>
              <w:ind w:right="222"/>
              <w:jc w:val="right"/>
              <w:rPr>
                <w:sz w:val="18"/>
              </w:rPr>
            </w:pPr>
            <w:r>
              <w:rPr>
                <w:color w:val="231F20"/>
                <w:sz w:val="18"/>
              </w:rPr>
              <w:t>59.9</w:t>
            </w:r>
          </w:p>
        </w:tc>
        <w:tc>
          <w:tcPr>
            <w:tcW w:w="992" w:type="dxa"/>
          </w:tcPr>
          <w:p>
            <w:pPr>
              <w:pStyle w:val="TableParagraph"/>
              <w:ind w:right="222"/>
              <w:jc w:val="right"/>
              <w:rPr>
                <w:sz w:val="18"/>
              </w:rPr>
            </w:pPr>
            <w:r>
              <w:rPr>
                <w:color w:val="231F20"/>
                <w:sz w:val="18"/>
              </w:rPr>
              <w:t>14.5</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Cónyuge</w:t>
            </w:r>
          </w:p>
        </w:tc>
        <w:tc>
          <w:tcPr>
            <w:tcW w:w="992" w:type="dxa"/>
          </w:tcPr>
          <w:p>
            <w:pPr>
              <w:pStyle w:val="TableParagraph"/>
              <w:ind w:right="222"/>
              <w:jc w:val="right"/>
              <w:rPr>
                <w:sz w:val="18"/>
              </w:rPr>
            </w:pPr>
            <w:r>
              <w:rPr>
                <w:color w:val="231F20"/>
                <w:sz w:val="18"/>
              </w:rPr>
              <w:t>0.9</w:t>
            </w:r>
          </w:p>
        </w:tc>
        <w:tc>
          <w:tcPr>
            <w:tcW w:w="992" w:type="dxa"/>
          </w:tcPr>
          <w:p>
            <w:pPr>
              <w:pStyle w:val="TableParagraph"/>
              <w:ind w:right="222"/>
              <w:jc w:val="right"/>
              <w:rPr>
                <w:sz w:val="18"/>
              </w:rPr>
            </w:pPr>
            <w:r>
              <w:rPr>
                <w:color w:val="231F20"/>
                <w:sz w:val="18"/>
              </w:rPr>
              <w:t>41.3</w:t>
            </w:r>
          </w:p>
        </w:tc>
        <w:tc>
          <w:tcPr>
            <w:tcW w:w="992" w:type="dxa"/>
          </w:tcPr>
          <w:p>
            <w:pPr>
              <w:pStyle w:val="TableParagraph"/>
              <w:ind w:right="222"/>
              <w:jc w:val="right"/>
              <w:rPr>
                <w:sz w:val="18"/>
              </w:rPr>
            </w:pPr>
            <w:r>
              <w:rPr>
                <w:color w:val="231F20"/>
                <w:sz w:val="18"/>
              </w:rPr>
              <w:t>2.2</w:t>
            </w:r>
          </w:p>
        </w:tc>
        <w:tc>
          <w:tcPr>
            <w:tcW w:w="992" w:type="dxa"/>
          </w:tcPr>
          <w:p>
            <w:pPr>
              <w:pStyle w:val="TableParagraph"/>
              <w:ind w:right="222"/>
              <w:jc w:val="right"/>
              <w:rPr>
                <w:sz w:val="18"/>
              </w:rPr>
            </w:pPr>
            <w:r>
              <w:rPr>
                <w:color w:val="231F20"/>
                <w:sz w:val="18"/>
              </w:rPr>
              <w:t>41.6</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Hijo o hija</w:t>
            </w:r>
          </w:p>
        </w:tc>
        <w:tc>
          <w:tcPr>
            <w:tcW w:w="992" w:type="dxa"/>
          </w:tcPr>
          <w:p>
            <w:pPr>
              <w:pStyle w:val="TableParagraph"/>
              <w:ind w:right="222"/>
              <w:jc w:val="right"/>
              <w:rPr>
                <w:sz w:val="18"/>
              </w:rPr>
            </w:pPr>
            <w:r>
              <w:rPr>
                <w:color w:val="231F20"/>
                <w:sz w:val="18"/>
              </w:rPr>
              <w:t>33.4</w:t>
            </w:r>
          </w:p>
        </w:tc>
        <w:tc>
          <w:tcPr>
            <w:tcW w:w="992" w:type="dxa"/>
          </w:tcPr>
          <w:p>
            <w:pPr>
              <w:pStyle w:val="TableParagraph"/>
              <w:ind w:right="222"/>
              <w:jc w:val="right"/>
              <w:rPr>
                <w:sz w:val="18"/>
              </w:rPr>
            </w:pPr>
            <w:r>
              <w:rPr>
                <w:color w:val="231F20"/>
                <w:sz w:val="18"/>
              </w:rPr>
              <w:t>31.0</w:t>
            </w:r>
          </w:p>
        </w:tc>
        <w:tc>
          <w:tcPr>
            <w:tcW w:w="992" w:type="dxa"/>
          </w:tcPr>
          <w:p>
            <w:pPr>
              <w:pStyle w:val="TableParagraph"/>
              <w:ind w:right="222"/>
              <w:jc w:val="right"/>
              <w:rPr>
                <w:sz w:val="18"/>
              </w:rPr>
            </w:pPr>
            <w:r>
              <w:rPr>
                <w:color w:val="231F20"/>
                <w:sz w:val="18"/>
              </w:rPr>
              <w:t>25.7</w:t>
            </w:r>
          </w:p>
        </w:tc>
        <w:tc>
          <w:tcPr>
            <w:tcW w:w="992" w:type="dxa"/>
          </w:tcPr>
          <w:p>
            <w:pPr>
              <w:pStyle w:val="TableParagraph"/>
              <w:ind w:right="222"/>
              <w:jc w:val="right"/>
              <w:rPr>
                <w:sz w:val="18"/>
              </w:rPr>
            </w:pPr>
            <w:r>
              <w:rPr>
                <w:color w:val="231F20"/>
                <w:sz w:val="18"/>
              </w:rPr>
              <w:t>30.2</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Otro parentesco</w:t>
            </w:r>
          </w:p>
        </w:tc>
        <w:tc>
          <w:tcPr>
            <w:tcW w:w="992" w:type="dxa"/>
          </w:tcPr>
          <w:p>
            <w:pPr>
              <w:pStyle w:val="TableParagraph"/>
              <w:ind w:right="222"/>
              <w:jc w:val="right"/>
              <w:rPr>
                <w:sz w:val="18"/>
              </w:rPr>
            </w:pPr>
            <w:r>
              <w:rPr>
                <w:color w:val="231F20"/>
                <w:sz w:val="18"/>
              </w:rPr>
              <w:t>9.1</w:t>
            </w:r>
          </w:p>
        </w:tc>
        <w:tc>
          <w:tcPr>
            <w:tcW w:w="992" w:type="dxa"/>
          </w:tcPr>
          <w:p>
            <w:pPr>
              <w:pStyle w:val="TableParagraph"/>
              <w:ind w:right="222"/>
              <w:jc w:val="right"/>
              <w:rPr>
                <w:sz w:val="18"/>
              </w:rPr>
            </w:pPr>
            <w:r>
              <w:rPr>
                <w:color w:val="231F20"/>
                <w:sz w:val="18"/>
              </w:rPr>
              <w:t>13.0</w:t>
            </w:r>
          </w:p>
        </w:tc>
        <w:tc>
          <w:tcPr>
            <w:tcW w:w="992" w:type="dxa"/>
          </w:tcPr>
          <w:p>
            <w:pPr>
              <w:pStyle w:val="TableParagraph"/>
              <w:ind w:right="222"/>
              <w:jc w:val="right"/>
              <w:rPr>
                <w:sz w:val="18"/>
              </w:rPr>
            </w:pPr>
            <w:r>
              <w:rPr>
                <w:color w:val="231F20"/>
                <w:sz w:val="18"/>
              </w:rPr>
              <w:t>9.4</w:t>
            </w:r>
          </w:p>
        </w:tc>
        <w:tc>
          <w:tcPr>
            <w:tcW w:w="992" w:type="dxa"/>
          </w:tcPr>
          <w:p>
            <w:pPr>
              <w:pStyle w:val="TableParagraph"/>
              <w:ind w:right="222"/>
              <w:jc w:val="right"/>
              <w:rPr>
                <w:sz w:val="18"/>
              </w:rPr>
            </w:pPr>
            <w:r>
              <w:rPr>
                <w:color w:val="231F20"/>
                <w:sz w:val="18"/>
              </w:rPr>
              <w:t>8.9</w:t>
            </w:r>
          </w:p>
        </w:tc>
      </w:tr>
      <w:tr>
        <w:trPr>
          <w:trHeight w:val="340" w:hRule="exact"/>
        </w:trPr>
        <w:tc>
          <w:tcPr>
            <w:tcW w:w="390" w:type="dxa"/>
            <w:tcBorders>
              <w:bottom w:val="triple" w:sz="2" w:space="0" w:color="231F20"/>
            </w:tcBorders>
          </w:tcPr>
          <w:p>
            <w:pPr/>
          </w:p>
        </w:tc>
        <w:tc>
          <w:tcPr>
            <w:tcW w:w="2567" w:type="dxa"/>
            <w:tcBorders>
              <w:bottom w:val="triple" w:sz="2" w:space="0" w:color="231F20"/>
            </w:tcBorders>
          </w:tcPr>
          <w:p>
            <w:pPr>
              <w:pStyle w:val="TableParagraph"/>
              <w:ind w:left="78"/>
              <w:rPr>
                <w:sz w:val="18"/>
              </w:rPr>
            </w:pPr>
            <w:r>
              <w:rPr>
                <w:color w:val="231F20"/>
                <w:w w:val="110"/>
                <w:sz w:val="18"/>
              </w:rPr>
              <w:t>Otro</w:t>
            </w:r>
          </w:p>
        </w:tc>
        <w:tc>
          <w:tcPr>
            <w:tcW w:w="992" w:type="dxa"/>
            <w:tcBorders>
              <w:bottom w:val="triple" w:sz="2" w:space="0" w:color="231F20"/>
            </w:tcBorders>
          </w:tcPr>
          <w:p>
            <w:pPr>
              <w:pStyle w:val="TableParagraph"/>
              <w:ind w:right="222"/>
              <w:jc w:val="right"/>
              <w:rPr>
                <w:sz w:val="18"/>
              </w:rPr>
            </w:pPr>
            <w:r>
              <w:rPr>
                <w:color w:val="231F20"/>
                <w:sz w:val="18"/>
              </w:rPr>
              <w:t>0.8</w:t>
            </w:r>
          </w:p>
        </w:tc>
        <w:tc>
          <w:tcPr>
            <w:tcW w:w="992" w:type="dxa"/>
            <w:tcBorders>
              <w:bottom w:val="triple" w:sz="2" w:space="0" w:color="231F20"/>
            </w:tcBorders>
          </w:tcPr>
          <w:p>
            <w:pPr>
              <w:pStyle w:val="TableParagraph"/>
              <w:ind w:right="223"/>
              <w:jc w:val="right"/>
              <w:rPr>
                <w:sz w:val="18"/>
              </w:rPr>
            </w:pPr>
            <w:r>
              <w:rPr>
                <w:color w:val="231F20"/>
                <w:sz w:val="18"/>
              </w:rPr>
              <w:t>0.9</w:t>
            </w:r>
          </w:p>
        </w:tc>
        <w:tc>
          <w:tcPr>
            <w:tcW w:w="992" w:type="dxa"/>
            <w:tcBorders>
              <w:bottom w:val="triple" w:sz="2" w:space="0" w:color="231F20"/>
            </w:tcBorders>
          </w:tcPr>
          <w:p>
            <w:pPr>
              <w:pStyle w:val="TableParagraph"/>
              <w:ind w:right="221"/>
              <w:jc w:val="right"/>
              <w:rPr>
                <w:sz w:val="18"/>
              </w:rPr>
            </w:pPr>
            <w:r>
              <w:rPr>
                <w:color w:val="231F20"/>
                <w:sz w:val="18"/>
              </w:rPr>
              <w:t>2.8</w:t>
            </w:r>
          </w:p>
        </w:tc>
        <w:tc>
          <w:tcPr>
            <w:tcW w:w="992" w:type="dxa"/>
            <w:tcBorders>
              <w:bottom w:val="triple" w:sz="2" w:space="0" w:color="231F20"/>
            </w:tcBorders>
          </w:tcPr>
          <w:p>
            <w:pPr>
              <w:pStyle w:val="TableParagraph"/>
              <w:ind w:right="221"/>
              <w:jc w:val="right"/>
              <w:rPr>
                <w:sz w:val="18"/>
              </w:rPr>
            </w:pPr>
            <w:r>
              <w:rPr>
                <w:color w:val="231F20"/>
                <w:sz w:val="18"/>
              </w:rPr>
              <w:t>4.8</w:t>
            </w:r>
          </w:p>
        </w:tc>
      </w:tr>
      <w:tr>
        <w:trPr>
          <w:trHeight w:val="340" w:hRule="exact"/>
        </w:trPr>
        <w:tc>
          <w:tcPr>
            <w:tcW w:w="2957" w:type="dxa"/>
            <w:gridSpan w:val="2"/>
            <w:tcBorders>
              <w:top w:val="triple" w:sz="2" w:space="0" w:color="231F20"/>
            </w:tcBorders>
          </w:tcPr>
          <w:p>
            <w:pPr>
              <w:pStyle w:val="TableParagraph"/>
              <w:ind w:left="78" w:right="-9"/>
              <w:rPr>
                <w:sz w:val="18"/>
              </w:rPr>
            </w:pPr>
            <w:r>
              <w:rPr>
                <w:color w:val="231F20"/>
                <w:sz w:val="18"/>
              </w:rPr>
              <w:t>Estado conyugal</w:t>
            </w:r>
          </w:p>
        </w:tc>
        <w:tc>
          <w:tcPr>
            <w:tcW w:w="992" w:type="dxa"/>
            <w:tcBorders>
              <w:top w:val="triple" w:sz="2" w:space="0" w:color="231F20"/>
            </w:tcBorders>
          </w:tcPr>
          <w:p>
            <w:pPr>
              <w:pStyle w:val="TableParagraph"/>
              <w:ind w:right="221"/>
              <w:jc w:val="right"/>
              <w:rPr>
                <w:sz w:val="18"/>
              </w:rPr>
            </w:pPr>
            <w:r>
              <w:rPr>
                <w:color w:val="231F20"/>
                <w:sz w:val="18"/>
              </w:rPr>
              <w:t>100.0</w:t>
            </w:r>
          </w:p>
        </w:tc>
        <w:tc>
          <w:tcPr>
            <w:tcW w:w="992" w:type="dxa"/>
            <w:tcBorders>
              <w:top w:val="triple" w:sz="2" w:space="0" w:color="231F20"/>
            </w:tcBorders>
          </w:tcPr>
          <w:p>
            <w:pPr>
              <w:pStyle w:val="TableParagraph"/>
              <w:ind w:right="221"/>
              <w:jc w:val="right"/>
              <w:rPr>
                <w:sz w:val="18"/>
              </w:rPr>
            </w:pPr>
            <w:r>
              <w:rPr>
                <w:color w:val="231F20"/>
                <w:sz w:val="18"/>
              </w:rPr>
              <w:t>100.0</w:t>
            </w:r>
          </w:p>
        </w:tc>
        <w:tc>
          <w:tcPr>
            <w:tcW w:w="992" w:type="dxa"/>
            <w:tcBorders>
              <w:top w:val="triple" w:sz="2" w:space="0" w:color="231F20"/>
            </w:tcBorders>
          </w:tcPr>
          <w:p>
            <w:pPr>
              <w:pStyle w:val="TableParagraph"/>
              <w:ind w:right="221"/>
              <w:jc w:val="right"/>
              <w:rPr>
                <w:sz w:val="18"/>
              </w:rPr>
            </w:pPr>
            <w:r>
              <w:rPr>
                <w:color w:val="231F20"/>
                <w:sz w:val="18"/>
              </w:rPr>
              <w:t>100.0</w:t>
            </w:r>
          </w:p>
        </w:tc>
        <w:tc>
          <w:tcPr>
            <w:tcW w:w="992" w:type="dxa"/>
            <w:tcBorders>
              <w:top w:val="triple" w:sz="2" w:space="0" w:color="231F20"/>
            </w:tcBorders>
          </w:tcPr>
          <w:p>
            <w:pPr>
              <w:pStyle w:val="TableParagraph"/>
              <w:ind w:right="221"/>
              <w:jc w:val="right"/>
              <w:rPr>
                <w:sz w:val="18"/>
              </w:rPr>
            </w:pPr>
            <w:r>
              <w:rPr>
                <w:color w:val="231F20"/>
                <w:sz w:val="18"/>
              </w:rPr>
              <w:t>100.0</w:t>
            </w:r>
          </w:p>
        </w:tc>
      </w:tr>
      <w:tr>
        <w:trPr>
          <w:trHeight w:val="340" w:hRule="exact"/>
        </w:trPr>
        <w:tc>
          <w:tcPr>
            <w:tcW w:w="390" w:type="dxa"/>
          </w:tcPr>
          <w:p>
            <w:pPr/>
          </w:p>
        </w:tc>
        <w:tc>
          <w:tcPr>
            <w:tcW w:w="2567" w:type="dxa"/>
          </w:tcPr>
          <w:p>
            <w:pPr>
              <w:pStyle w:val="TableParagraph"/>
              <w:ind w:left="79"/>
              <w:rPr>
                <w:sz w:val="18"/>
              </w:rPr>
            </w:pPr>
            <w:r>
              <w:rPr>
                <w:color w:val="231F20"/>
                <w:w w:val="105"/>
                <w:sz w:val="18"/>
              </w:rPr>
              <w:t>Soltero o soltera</w:t>
            </w:r>
          </w:p>
        </w:tc>
        <w:tc>
          <w:tcPr>
            <w:tcW w:w="992" w:type="dxa"/>
          </w:tcPr>
          <w:p>
            <w:pPr>
              <w:pStyle w:val="TableParagraph"/>
              <w:ind w:right="221"/>
              <w:jc w:val="right"/>
              <w:rPr>
                <w:sz w:val="18"/>
              </w:rPr>
            </w:pPr>
            <w:r>
              <w:rPr>
                <w:color w:val="231F20"/>
                <w:sz w:val="18"/>
              </w:rPr>
              <w:t>30.0</w:t>
            </w:r>
          </w:p>
        </w:tc>
        <w:tc>
          <w:tcPr>
            <w:tcW w:w="992" w:type="dxa"/>
          </w:tcPr>
          <w:p>
            <w:pPr>
              <w:pStyle w:val="TableParagraph"/>
              <w:ind w:right="221"/>
              <w:jc w:val="right"/>
              <w:rPr>
                <w:sz w:val="18"/>
              </w:rPr>
            </w:pPr>
            <w:r>
              <w:rPr>
                <w:color w:val="231F20"/>
                <w:sz w:val="18"/>
              </w:rPr>
              <w:t>21.0</w:t>
            </w:r>
          </w:p>
        </w:tc>
        <w:tc>
          <w:tcPr>
            <w:tcW w:w="992" w:type="dxa"/>
          </w:tcPr>
          <w:p>
            <w:pPr>
              <w:pStyle w:val="TableParagraph"/>
              <w:ind w:right="221"/>
              <w:jc w:val="right"/>
              <w:rPr>
                <w:sz w:val="18"/>
              </w:rPr>
            </w:pPr>
            <w:r>
              <w:rPr>
                <w:color w:val="231F20"/>
                <w:sz w:val="18"/>
              </w:rPr>
              <w:t>23.4</w:t>
            </w:r>
          </w:p>
        </w:tc>
        <w:tc>
          <w:tcPr>
            <w:tcW w:w="992" w:type="dxa"/>
          </w:tcPr>
          <w:p>
            <w:pPr>
              <w:pStyle w:val="TableParagraph"/>
              <w:ind w:right="221"/>
              <w:jc w:val="right"/>
              <w:rPr>
                <w:sz w:val="18"/>
              </w:rPr>
            </w:pPr>
            <w:r>
              <w:rPr>
                <w:color w:val="231F20"/>
                <w:sz w:val="18"/>
              </w:rPr>
              <w:t>21.3</w:t>
            </w:r>
          </w:p>
        </w:tc>
      </w:tr>
      <w:tr>
        <w:trPr>
          <w:trHeight w:val="340" w:hRule="exact"/>
        </w:trPr>
        <w:tc>
          <w:tcPr>
            <w:tcW w:w="390" w:type="dxa"/>
          </w:tcPr>
          <w:p>
            <w:pPr/>
          </w:p>
        </w:tc>
        <w:tc>
          <w:tcPr>
            <w:tcW w:w="2567" w:type="dxa"/>
          </w:tcPr>
          <w:p>
            <w:pPr>
              <w:pStyle w:val="TableParagraph"/>
              <w:ind w:left="79"/>
              <w:rPr>
                <w:sz w:val="18"/>
              </w:rPr>
            </w:pPr>
            <w:r>
              <w:rPr>
                <w:color w:val="231F20"/>
                <w:sz w:val="18"/>
              </w:rPr>
              <w:t>Casado o casada</w:t>
            </w:r>
          </w:p>
        </w:tc>
        <w:tc>
          <w:tcPr>
            <w:tcW w:w="992" w:type="dxa"/>
          </w:tcPr>
          <w:p>
            <w:pPr>
              <w:pStyle w:val="TableParagraph"/>
              <w:ind w:right="221"/>
              <w:jc w:val="right"/>
              <w:rPr>
                <w:sz w:val="18"/>
              </w:rPr>
            </w:pPr>
            <w:r>
              <w:rPr>
                <w:color w:val="231F20"/>
                <w:sz w:val="18"/>
              </w:rPr>
              <w:t>44.6</w:t>
            </w:r>
          </w:p>
        </w:tc>
        <w:tc>
          <w:tcPr>
            <w:tcW w:w="992" w:type="dxa"/>
          </w:tcPr>
          <w:p>
            <w:pPr>
              <w:pStyle w:val="TableParagraph"/>
              <w:ind w:right="221"/>
              <w:jc w:val="right"/>
              <w:rPr>
                <w:sz w:val="18"/>
              </w:rPr>
            </w:pPr>
            <w:r>
              <w:rPr>
                <w:color w:val="231F20"/>
                <w:sz w:val="18"/>
              </w:rPr>
              <w:t>44.7</w:t>
            </w:r>
          </w:p>
        </w:tc>
        <w:tc>
          <w:tcPr>
            <w:tcW w:w="992" w:type="dxa"/>
          </w:tcPr>
          <w:p>
            <w:pPr>
              <w:pStyle w:val="TableParagraph"/>
              <w:ind w:right="221"/>
              <w:jc w:val="right"/>
              <w:rPr>
                <w:sz w:val="18"/>
              </w:rPr>
            </w:pPr>
            <w:r>
              <w:rPr>
                <w:color w:val="231F20"/>
                <w:sz w:val="18"/>
              </w:rPr>
              <w:t>41.0</w:t>
            </w:r>
          </w:p>
        </w:tc>
        <w:tc>
          <w:tcPr>
            <w:tcW w:w="992" w:type="dxa"/>
          </w:tcPr>
          <w:p>
            <w:pPr>
              <w:pStyle w:val="TableParagraph"/>
              <w:ind w:right="221"/>
              <w:jc w:val="right"/>
              <w:rPr>
                <w:sz w:val="18"/>
              </w:rPr>
            </w:pPr>
            <w:r>
              <w:rPr>
                <w:color w:val="231F20"/>
                <w:sz w:val="18"/>
              </w:rPr>
              <w:t>36.3</w:t>
            </w:r>
          </w:p>
        </w:tc>
      </w:tr>
      <w:tr>
        <w:trPr>
          <w:trHeight w:val="340" w:hRule="exact"/>
        </w:trPr>
        <w:tc>
          <w:tcPr>
            <w:tcW w:w="390" w:type="dxa"/>
          </w:tcPr>
          <w:p>
            <w:pPr/>
          </w:p>
        </w:tc>
        <w:tc>
          <w:tcPr>
            <w:tcW w:w="2567" w:type="dxa"/>
          </w:tcPr>
          <w:p>
            <w:pPr>
              <w:pStyle w:val="TableParagraph"/>
              <w:ind w:left="79"/>
              <w:rPr>
                <w:sz w:val="18"/>
              </w:rPr>
            </w:pPr>
            <w:r>
              <w:rPr>
                <w:color w:val="231F20"/>
                <w:w w:val="105"/>
                <w:sz w:val="18"/>
              </w:rPr>
              <w:t>Unión libre</w:t>
            </w:r>
          </w:p>
        </w:tc>
        <w:tc>
          <w:tcPr>
            <w:tcW w:w="992" w:type="dxa"/>
          </w:tcPr>
          <w:p>
            <w:pPr>
              <w:pStyle w:val="TableParagraph"/>
              <w:ind w:right="221"/>
              <w:jc w:val="right"/>
              <w:rPr>
                <w:sz w:val="18"/>
              </w:rPr>
            </w:pPr>
            <w:r>
              <w:rPr>
                <w:color w:val="231F20"/>
                <w:sz w:val="18"/>
              </w:rPr>
              <w:t>16.2</w:t>
            </w:r>
          </w:p>
        </w:tc>
        <w:tc>
          <w:tcPr>
            <w:tcW w:w="992" w:type="dxa"/>
          </w:tcPr>
          <w:p>
            <w:pPr>
              <w:pStyle w:val="TableParagraph"/>
              <w:ind w:right="221"/>
              <w:jc w:val="right"/>
              <w:rPr>
                <w:sz w:val="18"/>
              </w:rPr>
            </w:pPr>
            <w:r>
              <w:rPr>
                <w:color w:val="231F20"/>
                <w:sz w:val="18"/>
              </w:rPr>
              <w:t>13.3</w:t>
            </w:r>
          </w:p>
        </w:tc>
        <w:tc>
          <w:tcPr>
            <w:tcW w:w="992" w:type="dxa"/>
          </w:tcPr>
          <w:p>
            <w:pPr>
              <w:pStyle w:val="TableParagraph"/>
              <w:ind w:right="221"/>
              <w:jc w:val="right"/>
              <w:rPr>
                <w:sz w:val="18"/>
              </w:rPr>
            </w:pPr>
            <w:r>
              <w:rPr>
                <w:color w:val="231F20"/>
                <w:sz w:val="18"/>
              </w:rPr>
              <w:t>24.7</w:t>
            </w:r>
          </w:p>
        </w:tc>
        <w:tc>
          <w:tcPr>
            <w:tcW w:w="992" w:type="dxa"/>
          </w:tcPr>
          <w:p>
            <w:pPr>
              <w:pStyle w:val="TableParagraph"/>
              <w:ind w:right="221"/>
              <w:jc w:val="right"/>
              <w:rPr>
                <w:sz w:val="18"/>
              </w:rPr>
            </w:pPr>
            <w:r>
              <w:rPr>
                <w:color w:val="231F20"/>
                <w:sz w:val="18"/>
              </w:rPr>
              <w:t>23.3</w:t>
            </w:r>
          </w:p>
        </w:tc>
      </w:tr>
      <w:tr>
        <w:trPr>
          <w:trHeight w:val="340" w:hRule="exact"/>
        </w:trPr>
        <w:tc>
          <w:tcPr>
            <w:tcW w:w="390" w:type="dxa"/>
          </w:tcPr>
          <w:p>
            <w:pPr/>
          </w:p>
        </w:tc>
        <w:tc>
          <w:tcPr>
            <w:tcW w:w="2567" w:type="dxa"/>
          </w:tcPr>
          <w:p>
            <w:pPr>
              <w:pStyle w:val="TableParagraph"/>
              <w:ind w:left="79"/>
              <w:rPr>
                <w:sz w:val="18"/>
              </w:rPr>
            </w:pPr>
            <w:r>
              <w:rPr>
                <w:color w:val="231F20"/>
                <w:w w:val="105"/>
                <w:sz w:val="18"/>
              </w:rPr>
              <w:t>Separado, divorciado o viudo</w:t>
            </w:r>
          </w:p>
        </w:tc>
        <w:tc>
          <w:tcPr>
            <w:tcW w:w="992" w:type="dxa"/>
          </w:tcPr>
          <w:p>
            <w:pPr>
              <w:pStyle w:val="TableParagraph"/>
              <w:ind w:right="221"/>
              <w:jc w:val="right"/>
              <w:rPr>
                <w:sz w:val="18"/>
              </w:rPr>
            </w:pPr>
            <w:r>
              <w:rPr>
                <w:color w:val="231F20"/>
                <w:sz w:val="18"/>
              </w:rPr>
              <w:t>5.2</w:t>
            </w:r>
          </w:p>
        </w:tc>
        <w:tc>
          <w:tcPr>
            <w:tcW w:w="992" w:type="dxa"/>
          </w:tcPr>
          <w:p>
            <w:pPr>
              <w:pStyle w:val="TableParagraph"/>
              <w:ind w:right="221"/>
              <w:jc w:val="right"/>
              <w:rPr>
                <w:sz w:val="18"/>
              </w:rPr>
            </w:pPr>
            <w:r>
              <w:rPr>
                <w:color w:val="231F20"/>
                <w:sz w:val="18"/>
              </w:rPr>
              <w:t>9.9</w:t>
            </w:r>
          </w:p>
        </w:tc>
        <w:tc>
          <w:tcPr>
            <w:tcW w:w="992" w:type="dxa"/>
          </w:tcPr>
          <w:p>
            <w:pPr>
              <w:pStyle w:val="TableParagraph"/>
              <w:ind w:right="221"/>
              <w:jc w:val="right"/>
              <w:rPr>
                <w:sz w:val="18"/>
              </w:rPr>
            </w:pPr>
            <w:r>
              <w:rPr>
                <w:color w:val="231F20"/>
                <w:sz w:val="18"/>
              </w:rPr>
              <w:t>8.4</w:t>
            </w:r>
          </w:p>
        </w:tc>
        <w:tc>
          <w:tcPr>
            <w:tcW w:w="992" w:type="dxa"/>
          </w:tcPr>
          <w:p>
            <w:pPr>
              <w:pStyle w:val="TableParagraph"/>
              <w:ind w:right="221"/>
              <w:jc w:val="right"/>
              <w:rPr>
                <w:sz w:val="18"/>
              </w:rPr>
            </w:pPr>
            <w:r>
              <w:rPr>
                <w:color w:val="231F20"/>
                <w:sz w:val="18"/>
              </w:rPr>
              <w:t>13.2</w:t>
            </w:r>
          </w:p>
        </w:tc>
      </w:tr>
      <w:tr>
        <w:trPr>
          <w:trHeight w:val="340" w:hRule="exact"/>
        </w:trPr>
        <w:tc>
          <w:tcPr>
            <w:tcW w:w="390" w:type="dxa"/>
            <w:tcBorders>
              <w:bottom w:val="triple" w:sz="2" w:space="0" w:color="231F20"/>
            </w:tcBorders>
          </w:tcPr>
          <w:p>
            <w:pPr/>
          </w:p>
        </w:tc>
        <w:tc>
          <w:tcPr>
            <w:tcW w:w="2567" w:type="dxa"/>
            <w:tcBorders>
              <w:bottom w:val="triple" w:sz="2" w:space="0" w:color="231F20"/>
            </w:tcBorders>
          </w:tcPr>
          <w:p>
            <w:pPr>
              <w:pStyle w:val="TableParagraph"/>
              <w:spacing w:before="92"/>
              <w:ind w:left="79"/>
              <w:rPr>
                <w:sz w:val="18"/>
              </w:rPr>
            </w:pPr>
            <w:r>
              <w:rPr>
                <w:color w:val="231F20"/>
                <w:w w:val="110"/>
                <w:sz w:val="18"/>
              </w:rPr>
              <w:t>Otro</w:t>
            </w:r>
          </w:p>
        </w:tc>
        <w:tc>
          <w:tcPr>
            <w:tcW w:w="992" w:type="dxa"/>
            <w:tcBorders>
              <w:bottom w:val="triple" w:sz="2" w:space="0" w:color="231F20"/>
            </w:tcBorders>
          </w:tcPr>
          <w:p>
            <w:pPr>
              <w:pStyle w:val="TableParagraph"/>
              <w:spacing w:before="92"/>
              <w:ind w:right="220"/>
              <w:jc w:val="right"/>
              <w:rPr>
                <w:sz w:val="18"/>
              </w:rPr>
            </w:pPr>
            <w:r>
              <w:rPr>
                <w:color w:val="231F20"/>
                <w:sz w:val="18"/>
              </w:rPr>
              <w:t>4.1</w:t>
            </w:r>
          </w:p>
        </w:tc>
        <w:tc>
          <w:tcPr>
            <w:tcW w:w="992" w:type="dxa"/>
            <w:tcBorders>
              <w:bottom w:val="triple" w:sz="2" w:space="0" w:color="231F20"/>
            </w:tcBorders>
          </w:tcPr>
          <w:p>
            <w:pPr>
              <w:pStyle w:val="TableParagraph"/>
              <w:spacing w:before="92"/>
              <w:ind w:right="220"/>
              <w:jc w:val="right"/>
              <w:rPr>
                <w:sz w:val="18"/>
              </w:rPr>
            </w:pPr>
            <w:r>
              <w:rPr>
                <w:color w:val="231F20"/>
                <w:sz w:val="18"/>
              </w:rPr>
              <w:t>11.1</w:t>
            </w:r>
          </w:p>
        </w:tc>
        <w:tc>
          <w:tcPr>
            <w:tcW w:w="992" w:type="dxa"/>
            <w:tcBorders>
              <w:bottom w:val="triple" w:sz="2" w:space="0" w:color="231F20"/>
            </w:tcBorders>
          </w:tcPr>
          <w:p>
            <w:pPr>
              <w:pStyle w:val="TableParagraph"/>
              <w:spacing w:before="92"/>
              <w:ind w:right="220"/>
              <w:jc w:val="right"/>
              <w:rPr>
                <w:sz w:val="18"/>
              </w:rPr>
            </w:pPr>
            <w:r>
              <w:rPr>
                <w:color w:val="231F20"/>
                <w:sz w:val="18"/>
              </w:rPr>
              <w:t>2.5</w:t>
            </w:r>
          </w:p>
        </w:tc>
        <w:tc>
          <w:tcPr>
            <w:tcW w:w="992" w:type="dxa"/>
            <w:tcBorders>
              <w:bottom w:val="triple" w:sz="2" w:space="0" w:color="231F20"/>
            </w:tcBorders>
          </w:tcPr>
          <w:p>
            <w:pPr>
              <w:pStyle w:val="TableParagraph"/>
              <w:spacing w:before="92"/>
              <w:ind w:right="220"/>
              <w:jc w:val="right"/>
              <w:rPr>
                <w:sz w:val="18"/>
              </w:rPr>
            </w:pPr>
            <w:r>
              <w:rPr>
                <w:color w:val="231F20"/>
                <w:sz w:val="18"/>
              </w:rPr>
              <w:t>5.9</w:t>
            </w:r>
          </w:p>
        </w:tc>
      </w:tr>
      <w:tr>
        <w:trPr>
          <w:trHeight w:val="360" w:hRule="exact"/>
        </w:trPr>
        <w:tc>
          <w:tcPr>
            <w:tcW w:w="2957" w:type="dxa"/>
            <w:gridSpan w:val="2"/>
            <w:tcBorders>
              <w:top w:val="triple" w:sz="2" w:space="0" w:color="231F20"/>
            </w:tcBorders>
          </w:tcPr>
          <w:p>
            <w:pPr>
              <w:pStyle w:val="TableParagraph"/>
              <w:spacing w:before="111"/>
              <w:ind w:left="79" w:right="-9"/>
              <w:rPr>
                <w:sz w:val="10"/>
              </w:rPr>
            </w:pPr>
            <w:r>
              <w:rPr>
                <w:color w:val="231F20"/>
                <w:w w:val="105"/>
                <w:sz w:val="18"/>
              </w:rPr>
              <w:t>Con algún hijo nacido vivo</w:t>
            </w:r>
            <w:r>
              <w:rPr>
                <w:color w:val="231F20"/>
                <w:w w:val="105"/>
                <w:position w:val="6"/>
                <w:sz w:val="10"/>
              </w:rPr>
              <w:t>1</w:t>
            </w:r>
          </w:p>
        </w:tc>
        <w:tc>
          <w:tcPr>
            <w:tcW w:w="992" w:type="dxa"/>
            <w:tcBorders>
              <w:top w:val="triple" w:sz="2" w:space="0" w:color="231F20"/>
            </w:tcBorders>
          </w:tcPr>
          <w:p>
            <w:pPr/>
          </w:p>
        </w:tc>
        <w:tc>
          <w:tcPr>
            <w:tcW w:w="992" w:type="dxa"/>
            <w:tcBorders>
              <w:top w:val="triple" w:sz="2" w:space="0" w:color="231F20"/>
            </w:tcBorders>
          </w:tcPr>
          <w:p>
            <w:pPr>
              <w:pStyle w:val="TableParagraph"/>
              <w:spacing w:before="111"/>
              <w:ind w:right="223"/>
              <w:jc w:val="right"/>
              <w:rPr>
                <w:sz w:val="18"/>
              </w:rPr>
            </w:pPr>
            <w:r>
              <w:rPr>
                <w:color w:val="231F20"/>
                <w:sz w:val="18"/>
              </w:rPr>
              <w:t>100.0</w:t>
            </w:r>
          </w:p>
        </w:tc>
        <w:tc>
          <w:tcPr>
            <w:tcW w:w="992" w:type="dxa"/>
            <w:tcBorders>
              <w:top w:val="triple" w:sz="2" w:space="0" w:color="231F20"/>
            </w:tcBorders>
          </w:tcPr>
          <w:p>
            <w:pPr/>
          </w:p>
        </w:tc>
        <w:tc>
          <w:tcPr>
            <w:tcW w:w="992" w:type="dxa"/>
            <w:tcBorders>
              <w:top w:val="triple" w:sz="2" w:space="0" w:color="231F20"/>
            </w:tcBorders>
          </w:tcPr>
          <w:p>
            <w:pPr>
              <w:pStyle w:val="TableParagraph"/>
              <w:spacing w:before="111"/>
              <w:ind w:right="223"/>
              <w:jc w:val="right"/>
              <w:rPr>
                <w:sz w:val="18"/>
              </w:rPr>
            </w:pPr>
            <w:r>
              <w:rPr>
                <w:color w:val="231F20"/>
                <w:sz w:val="18"/>
              </w:rPr>
              <w:t>100.0</w:t>
            </w:r>
          </w:p>
        </w:tc>
      </w:tr>
      <w:tr>
        <w:trPr>
          <w:trHeight w:val="340" w:hRule="exact"/>
        </w:trPr>
        <w:tc>
          <w:tcPr>
            <w:tcW w:w="390" w:type="dxa"/>
          </w:tcPr>
          <w:p>
            <w:pPr/>
          </w:p>
        </w:tc>
        <w:tc>
          <w:tcPr>
            <w:tcW w:w="2567" w:type="dxa"/>
          </w:tcPr>
          <w:p>
            <w:pPr>
              <w:pStyle w:val="TableParagraph"/>
              <w:ind w:left="77"/>
              <w:rPr>
                <w:sz w:val="18"/>
              </w:rPr>
            </w:pPr>
            <w:r>
              <w:rPr>
                <w:color w:val="231F20"/>
                <w:w w:val="110"/>
                <w:sz w:val="18"/>
              </w:rPr>
              <w:t>No</w:t>
            </w:r>
          </w:p>
        </w:tc>
        <w:tc>
          <w:tcPr>
            <w:tcW w:w="992" w:type="dxa"/>
          </w:tcPr>
          <w:p>
            <w:pPr/>
          </w:p>
        </w:tc>
        <w:tc>
          <w:tcPr>
            <w:tcW w:w="992" w:type="dxa"/>
          </w:tcPr>
          <w:p>
            <w:pPr>
              <w:pStyle w:val="TableParagraph"/>
              <w:ind w:right="224"/>
              <w:jc w:val="right"/>
              <w:rPr>
                <w:sz w:val="18"/>
              </w:rPr>
            </w:pPr>
            <w:r>
              <w:rPr>
                <w:color w:val="231F20"/>
                <w:sz w:val="18"/>
              </w:rPr>
              <w:t>23.3</w:t>
            </w:r>
          </w:p>
        </w:tc>
        <w:tc>
          <w:tcPr>
            <w:tcW w:w="992" w:type="dxa"/>
          </w:tcPr>
          <w:p>
            <w:pPr/>
          </w:p>
        </w:tc>
        <w:tc>
          <w:tcPr>
            <w:tcW w:w="992" w:type="dxa"/>
          </w:tcPr>
          <w:p>
            <w:pPr>
              <w:pStyle w:val="TableParagraph"/>
              <w:ind w:right="222"/>
              <w:jc w:val="right"/>
              <w:rPr>
                <w:sz w:val="18"/>
              </w:rPr>
            </w:pPr>
            <w:r>
              <w:rPr>
                <w:color w:val="231F20"/>
                <w:sz w:val="18"/>
              </w:rPr>
              <w:t>23.5</w:t>
            </w:r>
          </w:p>
        </w:tc>
      </w:tr>
      <w:tr>
        <w:trPr>
          <w:trHeight w:val="340" w:hRule="exact"/>
        </w:trPr>
        <w:tc>
          <w:tcPr>
            <w:tcW w:w="390" w:type="dxa"/>
            <w:tcBorders>
              <w:bottom w:val="triple" w:sz="2" w:space="0" w:color="231F20"/>
            </w:tcBorders>
          </w:tcPr>
          <w:p>
            <w:pPr/>
          </w:p>
        </w:tc>
        <w:tc>
          <w:tcPr>
            <w:tcW w:w="2567" w:type="dxa"/>
            <w:tcBorders>
              <w:bottom w:val="triple" w:sz="2" w:space="0" w:color="231F20"/>
            </w:tcBorders>
          </w:tcPr>
          <w:p>
            <w:pPr>
              <w:pStyle w:val="TableParagraph"/>
              <w:ind w:left="77"/>
              <w:rPr>
                <w:sz w:val="18"/>
              </w:rPr>
            </w:pPr>
            <w:r>
              <w:rPr>
                <w:color w:val="231F20"/>
                <w:sz w:val="18"/>
              </w:rPr>
              <w:t>Sí</w:t>
            </w:r>
          </w:p>
        </w:tc>
        <w:tc>
          <w:tcPr>
            <w:tcW w:w="992" w:type="dxa"/>
            <w:tcBorders>
              <w:bottom w:val="triple" w:sz="2" w:space="0" w:color="231F20"/>
            </w:tcBorders>
          </w:tcPr>
          <w:p>
            <w:pPr/>
          </w:p>
        </w:tc>
        <w:tc>
          <w:tcPr>
            <w:tcW w:w="992" w:type="dxa"/>
            <w:tcBorders>
              <w:bottom w:val="triple" w:sz="2" w:space="0" w:color="231F20"/>
            </w:tcBorders>
          </w:tcPr>
          <w:p>
            <w:pPr>
              <w:pStyle w:val="TableParagraph"/>
              <w:ind w:right="222"/>
              <w:jc w:val="right"/>
              <w:rPr>
                <w:sz w:val="18"/>
              </w:rPr>
            </w:pPr>
            <w:r>
              <w:rPr>
                <w:color w:val="231F20"/>
                <w:sz w:val="18"/>
              </w:rPr>
              <w:t>76.7</w:t>
            </w:r>
          </w:p>
        </w:tc>
        <w:tc>
          <w:tcPr>
            <w:tcW w:w="992" w:type="dxa"/>
            <w:tcBorders>
              <w:bottom w:val="triple" w:sz="2" w:space="0" w:color="231F20"/>
            </w:tcBorders>
          </w:tcPr>
          <w:p>
            <w:pPr/>
          </w:p>
        </w:tc>
        <w:tc>
          <w:tcPr>
            <w:tcW w:w="992" w:type="dxa"/>
            <w:tcBorders>
              <w:bottom w:val="triple" w:sz="2" w:space="0" w:color="231F20"/>
            </w:tcBorders>
          </w:tcPr>
          <w:p>
            <w:pPr>
              <w:pStyle w:val="TableParagraph"/>
              <w:ind w:right="222"/>
              <w:jc w:val="right"/>
              <w:rPr>
                <w:sz w:val="18"/>
              </w:rPr>
            </w:pPr>
            <w:r>
              <w:rPr>
                <w:color w:val="231F20"/>
                <w:sz w:val="18"/>
              </w:rPr>
              <w:t>76.5</w:t>
            </w:r>
          </w:p>
        </w:tc>
      </w:tr>
      <w:tr>
        <w:trPr>
          <w:trHeight w:val="340" w:hRule="exact"/>
        </w:trPr>
        <w:tc>
          <w:tcPr>
            <w:tcW w:w="2957" w:type="dxa"/>
            <w:gridSpan w:val="2"/>
            <w:tcBorders>
              <w:top w:val="triple" w:sz="2" w:space="0" w:color="231F20"/>
            </w:tcBorders>
          </w:tcPr>
          <w:p>
            <w:pPr>
              <w:pStyle w:val="TableParagraph"/>
              <w:ind w:left="77" w:right="-9"/>
              <w:rPr>
                <w:sz w:val="18"/>
              </w:rPr>
            </w:pPr>
            <w:r>
              <w:rPr>
                <w:color w:val="231F20"/>
                <w:sz w:val="18"/>
              </w:rPr>
              <w:t>Escolaridad</w:t>
            </w:r>
          </w:p>
        </w:tc>
        <w:tc>
          <w:tcPr>
            <w:tcW w:w="992" w:type="dxa"/>
            <w:tcBorders>
              <w:top w:val="triple" w:sz="2" w:space="0" w:color="231F20"/>
            </w:tcBorders>
          </w:tcPr>
          <w:p>
            <w:pPr>
              <w:pStyle w:val="TableParagraph"/>
              <w:ind w:right="222"/>
              <w:jc w:val="right"/>
              <w:rPr>
                <w:sz w:val="18"/>
              </w:rPr>
            </w:pPr>
            <w:r>
              <w:rPr>
                <w:color w:val="231F20"/>
                <w:sz w:val="18"/>
              </w:rPr>
              <w:t>100.0</w:t>
            </w:r>
          </w:p>
        </w:tc>
        <w:tc>
          <w:tcPr>
            <w:tcW w:w="992" w:type="dxa"/>
            <w:tcBorders>
              <w:top w:val="triple" w:sz="2" w:space="0" w:color="231F20"/>
            </w:tcBorders>
          </w:tcPr>
          <w:p>
            <w:pPr>
              <w:pStyle w:val="TableParagraph"/>
              <w:ind w:right="222"/>
              <w:jc w:val="right"/>
              <w:rPr>
                <w:sz w:val="18"/>
              </w:rPr>
            </w:pPr>
            <w:r>
              <w:rPr>
                <w:color w:val="231F20"/>
                <w:sz w:val="18"/>
              </w:rPr>
              <w:t>100.0</w:t>
            </w:r>
          </w:p>
        </w:tc>
        <w:tc>
          <w:tcPr>
            <w:tcW w:w="992" w:type="dxa"/>
            <w:tcBorders>
              <w:top w:val="triple" w:sz="2" w:space="0" w:color="231F20"/>
            </w:tcBorders>
          </w:tcPr>
          <w:p>
            <w:pPr>
              <w:pStyle w:val="TableParagraph"/>
              <w:ind w:right="222"/>
              <w:jc w:val="right"/>
              <w:rPr>
                <w:sz w:val="18"/>
              </w:rPr>
            </w:pPr>
            <w:r>
              <w:rPr>
                <w:color w:val="231F20"/>
                <w:sz w:val="18"/>
              </w:rPr>
              <w:t>100.0</w:t>
            </w:r>
          </w:p>
        </w:tc>
        <w:tc>
          <w:tcPr>
            <w:tcW w:w="992" w:type="dxa"/>
            <w:tcBorders>
              <w:top w:val="triple" w:sz="2" w:space="0" w:color="231F20"/>
            </w:tcBorders>
          </w:tcPr>
          <w:p>
            <w:pPr>
              <w:pStyle w:val="TableParagraph"/>
              <w:ind w:right="222"/>
              <w:jc w:val="right"/>
              <w:rPr>
                <w:sz w:val="18"/>
              </w:rPr>
            </w:pPr>
            <w:r>
              <w:rPr>
                <w:color w:val="231F20"/>
                <w:sz w:val="18"/>
              </w:rPr>
              <w:t>100.0</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Primaria incompleta o menos</w:t>
            </w:r>
          </w:p>
        </w:tc>
        <w:tc>
          <w:tcPr>
            <w:tcW w:w="992" w:type="dxa"/>
          </w:tcPr>
          <w:p>
            <w:pPr>
              <w:pStyle w:val="TableParagraph"/>
              <w:ind w:right="222"/>
              <w:jc w:val="right"/>
              <w:rPr>
                <w:sz w:val="18"/>
              </w:rPr>
            </w:pPr>
            <w:r>
              <w:rPr>
                <w:color w:val="231F20"/>
                <w:sz w:val="18"/>
              </w:rPr>
              <w:t>17.8</w:t>
            </w:r>
          </w:p>
        </w:tc>
        <w:tc>
          <w:tcPr>
            <w:tcW w:w="992" w:type="dxa"/>
          </w:tcPr>
          <w:p>
            <w:pPr>
              <w:pStyle w:val="TableParagraph"/>
              <w:ind w:right="222"/>
              <w:jc w:val="right"/>
              <w:rPr>
                <w:sz w:val="18"/>
              </w:rPr>
            </w:pPr>
            <w:r>
              <w:rPr>
                <w:color w:val="231F20"/>
                <w:sz w:val="18"/>
              </w:rPr>
              <w:t>20.6</w:t>
            </w:r>
          </w:p>
        </w:tc>
        <w:tc>
          <w:tcPr>
            <w:tcW w:w="992" w:type="dxa"/>
          </w:tcPr>
          <w:p>
            <w:pPr>
              <w:pStyle w:val="TableParagraph"/>
              <w:ind w:right="222"/>
              <w:jc w:val="right"/>
              <w:rPr>
                <w:sz w:val="18"/>
              </w:rPr>
            </w:pPr>
            <w:r>
              <w:rPr>
                <w:color w:val="231F20"/>
                <w:sz w:val="18"/>
              </w:rPr>
              <w:t>11.8</w:t>
            </w:r>
          </w:p>
        </w:tc>
        <w:tc>
          <w:tcPr>
            <w:tcW w:w="992" w:type="dxa"/>
          </w:tcPr>
          <w:p>
            <w:pPr>
              <w:pStyle w:val="TableParagraph"/>
              <w:ind w:right="222"/>
              <w:jc w:val="right"/>
              <w:rPr>
                <w:sz w:val="18"/>
              </w:rPr>
            </w:pPr>
            <w:r>
              <w:rPr>
                <w:color w:val="231F20"/>
                <w:sz w:val="18"/>
              </w:rPr>
              <w:t>12.7</w:t>
            </w:r>
          </w:p>
        </w:tc>
      </w:tr>
      <w:tr>
        <w:trPr>
          <w:trHeight w:val="340" w:hRule="exact"/>
        </w:trPr>
        <w:tc>
          <w:tcPr>
            <w:tcW w:w="390" w:type="dxa"/>
          </w:tcPr>
          <w:p>
            <w:pPr/>
          </w:p>
        </w:tc>
        <w:tc>
          <w:tcPr>
            <w:tcW w:w="2567" w:type="dxa"/>
          </w:tcPr>
          <w:p>
            <w:pPr>
              <w:pStyle w:val="TableParagraph"/>
              <w:ind w:left="78"/>
              <w:rPr>
                <w:sz w:val="18"/>
              </w:rPr>
            </w:pPr>
            <w:r>
              <w:rPr>
                <w:color w:val="231F20"/>
                <w:sz w:val="18"/>
              </w:rPr>
              <w:t>Primaria completa</w:t>
            </w:r>
          </w:p>
        </w:tc>
        <w:tc>
          <w:tcPr>
            <w:tcW w:w="992" w:type="dxa"/>
          </w:tcPr>
          <w:p>
            <w:pPr>
              <w:pStyle w:val="TableParagraph"/>
              <w:ind w:right="222"/>
              <w:jc w:val="right"/>
              <w:rPr>
                <w:sz w:val="18"/>
              </w:rPr>
            </w:pPr>
            <w:r>
              <w:rPr>
                <w:color w:val="231F20"/>
                <w:sz w:val="18"/>
              </w:rPr>
              <w:t>16.8</w:t>
            </w:r>
          </w:p>
        </w:tc>
        <w:tc>
          <w:tcPr>
            <w:tcW w:w="992" w:type="dxa"/>
          </w:tcPr>
          <w:p>
            <w:pPr>
              <w:pStyle w:val="TableParagraph"/>
              <w:ind w:right="222"/>
              <w:jc w:val="right"/>
              <w:rPr>
                <w:sz w:val="18"/>
              </w:rPr>
            </w:pPr>
            <w:r>
              <w:rPr>
                <w:color w:val="231F20"/>
                <w:sz w:val="18"/>
              </w:rPr>
              <w:t>16.0</w:t>
            </w:r>
          </w:p>
        </w:tc>
        <w:tc>
          <w:tcPr>
            <w:tcW w:w="992" w:type="dxa"/>
          </w:tcPr>
          <w:p>
            <w:pPr>
              <w:pStyle w:val="TableParagraph"/>
              <w:ind w:right="222"/>
              <w:jc w:val="right"/>
              <w:rPr>
                <w:sz w:val="18"/>
              </w:rPr>
            </w:pPr>
            <w:r>
              <w:rPr>
                <w:color w:val="231F20"/>
                <w:sz w:val="18"/>
              </w:rPr>
              <w:t>19.3</w:t>
            </w:r>
          </w:p>
        </w:tc>
        <w:tc>
          <w:tcPr>
            <w:tcW w:w="992" w:type="dxa"/>
          </w:tcPr>
          <w:p>
            <w:pPr>
              <w:pStyle w:val="TableParagraph"/>
              <w:ind w:right="222"/>
              <w:jc w:val="right"/>
              <w:rPr>
                <w:sz w:val="18"/>
              </w:rPr>
            </w:pPr>
            <w:r>
              <w:rPr>
                <w:color w:val="231F20"/>
                <w:sz w:val="18"/>
              </w:rPr>
              <w:t>12.8</w:t>
            </w:r>
          </w:p>
        </w:tc>
      </w:tr>
      <w:tr>
        <w:trPr>
          <w:trHeight w:val="340" w:hRule="exact"/>
        </w:trPr>
        <w:tc>
          <w:tcPr>
            <w:tcW w:w="390" w:type="dxa"/>
          </w:tcPr>
          <w:p>
            <w:pPr/>
          </w:p>
        </w:tc>
        <w:tc>
          <w:tcPr>
            <w:tcW w:w="2567" w:type="dxa"/>
          </w:tcPr>
          <w:p>
            <w:pPr>
              <w:pStyle w:val="TableParagraph"/>
              <w:ind w:left="78"/>
              <w:rPr>
                <w:sz w:val="18"/>
              </w:rPr>
            </w:pPr>
            <w:r>
              <w:rPr>
                <w:color w:val="231F20"/>
                <w:sz w:val="18"/>
              </w:rPr>
              <w:t>Secundaria incompleta</w:t>
            </w:r>
          </w:p>
        </w:tc>
        <w:tc>
          <w:tcPr>
            <w:tcW w:w="992" w:type="dxa"/>
          </w:tcPr>
          <w:p>
            <w:pPr>
              <w:pStyle w:val="TableParagraph"/>
              <w:ind w:right="222"/>
              <w:jc w:val="right"/>
              <w:rPr>
                <w:sz w:val="18"/>
              </w:rPr>
            </w:pPr>
            <w:r>
              <w:rPr>
                <w:color w:val="231F20"/>
                <w:sz w:val="18"/>
              </w:rPr>
              <w:t>8.1</w:t>
            </w:r>
          </w:p>
        </w:tc>
        <w:tc>
          <w:tcPr>
            <w:tcW w:w="992" w:type="dxa"/>
          </w:tcPr>
          <w:p>
            <w:pPr>
              <w:pStyle w:val="TableParagraph"/>
              <w:ind w:right="222"/>
              <w:jc w:val="right"/>
              <w:rPr>
                <w:sz w:val="18"/>
              </w:rPr>
            </w:pPr>
            <w:r>
              <w:rPr>
                <w:color w:val="231F20"/>
                <w:sz w:val="18"/>
              </w:rPr>
              <w:t>5.6</w:t>
            </w:r>
          </w:p>
        </w:tc>
        <w:tc>
          <w:tcPr>
            <w:tcW w:w="992" w:type="dxa"/>
          </w:tcPr>
          <w:p>
            <w:pPr>
              <w:pStyle w:val="TableParagraph"/>
              <w:ind w:right="222"/>
              <w:jc w:val="right"/>
              <w:rPr>
                <w:sz w:val="18"/>
              </w:rPr>
            </w:pPr>
            <w:r>
              <w:rPr>
                <w:color w:val="231F20"/>
                <w:sz w:val="18"/>
              </w:rPr>
              <w:t>7.1</w:t>
            </w:r>
          </w:p>
        </w:tc>
        <w:tc>
          <w:tcPr>
            <w:tcW w:w="992" w:type="dxa"/>
          </w:tcPr>
          <w:p>
            <w:pPr>
              <w:pStyle w:val="TableParagraph"/>
              <w:ind w:right="222"/>
              <w:jc w:val="right"/>
              <w:rPr>
                <w:sz w:val="18"/>
              </w:rPr>
            </w:pPr>
            <w:r>
              <w:rPr>
                <w:color w:val="231F20"/>
                <w:sz w:val="18"/>
              </w:rPr>
              <w:t>7.1</w:t>
            </w:r>
          </w:p>
        </w:tc>
      </w:tr>
      <w:tr>
        <w:trPr>
          <w:trHeight w:val="340" w:hRule="exact"/>
        </w:trPr>
        <w:tc>
          <w:tcPr>
            <w:tcW w:w="390" w:type="dxa"/>
          </w:tcPr>
          <w:p>
            <w:pPr/>
          </w:p>
        </w:tc>
        <w:tc>
          <w:tcPr>
            <w:tcW w:w="2567" w:type="dxa"/>
          </w:tcPr>
          <w:p>
            <w:pPr>
              <w:pStyle w:val="TableParagraph"/>
              <w:ind w:left="78"/>
              <w:rPr>
                <w:sz w:val="18"/>
              </w:rPr>
            </w:pPr>
            <w:r>
              <w:rPr>
                <w:color w:val="231F20"/>
                <w:sz w:val="18"/>
              </w:rPr>
              <w:t>Secundaria</w:t>
            </w:r>
          </w:p>
        </w:tc>
        <w:tc>
          <w:tcPr>
            <w:tcW w:w="992" w:type="dxa"/>
          </w:tcPr>
          <w:p>
            <w:pPr>
              <w:pStyle w:val="TableParagraph"/>
              <w:ind w:right="221"/>
              <w:jc w:val="right"/>
              <w:rPr>
                <w:sz w:val="18"/>
              </w:rPr>
            </w:pPr>
            <w:r>
              <w:rPr>
                <w:color w:val="231F20"/>
                <w:sz w:val="18"/>
              </w:rPr>
              <w:t>24.6</w:t>
            </w:r>
          </w:p>
        </w:tc>
        <w:tc>
          <w:tcPr>
            <w:tcW w:w="992" w:type="dxa"/>
          </w:tcPr>
          <w:p>
            <w:pPr>
              <w:pStyle w:val="TableParagraph"/>
              <w:ind w:right="221"/>
              <w:jc w:val="right"/>
              <w:rPr>
                <w:sz w:val="18"/>
              </w:rPr>
            </w:pPr>
            <w:r>
              <w:rPr>
                <w:color w:val="231F20"/>
                <w:sz w:val="18"/>
              </w:rPr>
              <w:t>18.8</w:t>
            </w:r>
          </w:p>
        </w:tc>
        <w:tc>
          <w:tcPr>
            <w:tcW w:w="992" w:type="dxa"/>
          </w:tcPr>
          <w:p>
            <w:pPr>
              <w:pStyle w:val="TableParagraph"/>
              <w:ind w:right="221"/>
              <w:jc w:val="right"/>
              <w:rPr>
                <w:sz w:val="18"/>
              </w:rPr>
            </w:pPr>
            <w:r>
              <w:rPr>
                <w:color w:val="231F20"/>
                <w:sz w:val="18"/>
              </w:rPr>
              <w:t>33.4</w:t>
            </w:r>
          </w:p>
        </w:tc>
        <w:tc>
          <w:tcPr>
            <w:tcW w:w="992" w:type="dxa"/>
          </w:tcPr>
          <w:p>
            <w:pPr>
              <w:pStyle w:val="TableParagraph"/>
              <w:ind w:right="221"/>
              <w:jc w:val="right"/>
              <w:rPr>
                <w:sz w:val="18"/>
              </w:rPr>
            </w:pPr>
            <w:r>
              <w:rPr>
                <w:color w:val="231F20"/>
                <w:sz w:val="18"/>
              </w:rPr>
              <w:t>32.6</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Algo de bachillerato</w:t>
            </w:r>
          </w:p>
        </w:tc>
        <w:tc>
          <w:tcPr>
            <w:tcW w:w="992" w:type="dxa"/>
          </w:tcPr>
          <w:p>
            <w:pPr>
              <w:pStyle w:val="TableParagraph"/>
              <w:ind w:right="221"/>
              <w:jc w:val="right"/>
              <w:rPr>
                <w:sz w:val="18"/>
              </w:rPr>
            </w:pPr>
            <w:r>
              <w:rPr>
                <w:color w:val="231F20"/>
                <w:sz w:val="18"/>
              </w:rPr>
              <w:t>17.7</w:t>
            </w:r>
          </w:p>
        </w:tc>
        <w:tc>
          <w:tcPr>
            <w:tcW w:w="992" w:type="dxa"/>
          </w:tcPr>
          <w:p>
            <w:pPr>
              <w:pStyle w:val="TableParagraph"/>
              <w:ind w:right="221"/>
              <w:jc w:val="right"/>
              <w:rPr>
                <w:sz w:val="18"/>
              </w:rPr>
            </w:pPr>
            <w:r>
              <w:rPr>
                <w:color w:val="231F20"/>
                <w:sz w:val="18"/>
              </w:rPr>
              <w:t>13.9</w:t>
            </w:r>
          </w:p>
        </w:tc>
        <w:tc>
          <w:tcPr>
            <w:tcW w:w="992" w:type="dxa"/>
          </w:tcPr>
          <w:p>
            <w:pPr>
              <w:pStyle w:val="TableParagraph"/>
              <w:ind w:right="221"/>
              <w:jc w:val="right"/>
              <w:rPr>
                <w:sz w:val="18"/>
              </w:rPr>
            </w:pPr>
            <w:r>
              <w:rPr>
                <w:color w:val="231F20"/>
                <w:sz w:val="18"/>
              </w:rPr>
              <w:t>19.3</w:t>
            </w:r>
          </w:p>
        </w:tc>
        <w:tc>
          <w:tcPr>
            <w:tcW w:w="992" w:type="dxa"/>
          </w:tcPr>
          <w:p>
            <w:pPr>
              <w:pStyle w:val="TableParagraph"/>
              <w:ind w:right="221"/>
              <w:jc w:val="right"/>
              <w:rPr>
                <w:sz w:val="18"/>
              </w:rPr>
            </w:pPr>
            <w:r>
              <w:rPr>
                <w:color w:val="231F20"/>
                <w:sz w:val="18"/>
              </w:rPr>
              <w:t>17.7</w:t>
            </w:r>
          </w:p>
        </w:tc>
      </w:tr>
      <w:tr>
        <w:trPr>
          <w:trHeight w:val="340" w:hRule="exact"/>
        </w:trPr>
        <w:tc>
          <w:tcPr>
            <w:tcW w:w="390" w:type="dxa"/>
          </w:tcPr>
          <w:p>
            <w:pPr/>
          </w:p>
        </w:tc>
        <w:tc>
          <w:tcPr>
            <w:tcW w:w="2567" w:type="dxa"/>
          </w:tcPr>
          <w:p>
            <w:pPr>
              <w:pStyle w:val="TableParagraph"/>
              <w:ind w:left="79"/>
              <w:rPr>
                <w:sz w:val="18"/>
              </w:rPr>
            </w:pPr>
            <w:r>
              <w:rPr>
                <w:color w:val="231F20"/>
                <w:w w:val="105"/>
                <w:sz w:val="18"/>
              </w:rPr>
              <w:t>Normal o técnica</w:t>
            </w:r>
          </w:p>
        </w:tc>
        <w:tc>
          <w:tcPr>
            <w:tcW w:w="992" w:type="dxa"/>
          </w:tcPr>
          <w:p>
            <w:pPr>
              <w:pStyle w:val="TableParagraph"/>
              <w:ind w:right="221"/>
              <w:jc w:val="right"/>
              <w:rPr>
                <w:sz w:val="18"/>
              </w:rPr>
            </w:pPr>
            <w:r>
              <w:rPr>
                <w:color w:val="231F20"/>
                <w:sz w:val="18"/>
              </w:rPr>
              <w:t>2.8</w:t>
            </w:r>
          </w:p>
        </w:tc>
        <w:tc>
          <w:tcPr>
            <w:tcW w:w="992" w:type="dxa"/>
          </w:tcPr>
          <w:p>
            <w:pPr>
              <w:pStyle w:val="TableParagraph"/>
              <w:ind w:right="221"/>
              <w:jc w:val="right"/>
              <w:rPr>
                <w:sz w:val="18"/>
              </w:rPr>
            </w:pPr>
            <w:r>
              <w:rPr>
                <w:color w:val="231F20"/>
                <w:sz w:val="18"/>
              </w:rPr>
              <w:t>13.9</w:t>
            </w:r>
          </w:p>
        </w:tc>
        <w:tc>
          <w:tcPr>
            <w:tcW w:w="992" w:type="dxa"/>
          </w:tcPr>
          <w:p>
            <w:pPr>
              <w:pStyle w:val="TableParagraph"/>
              <w:ind w:right="221"/>
              <w:jc w:val="right"/>
              <w:rPr>
                <w:sz w:val="18"/>
              </w:rPr>
            </w:pPr>
            <w:r>
              <w:rPr>
                <w:color w:val="231F20"/>
                <w:sz w:val="18"/>
              </w:rPr>
              <w:t>0.3</w:t>
            </w:r>
          </w:p>
        </w:tc>
        <w:tc>
          <w:tcPr>
            <w:tcW w:w="992" w:type="dxa"/>
          </w:tcPr>
          <w:p>
            <w:pPr>
              <w:pStyle w:val="TableParagraph"/>
              <w:ind w:right="221"/>
              <w:jc w:val="right"/>
              <w:rPr>
                <w:sz w:val="18"/>
              </w:rPr>
            </w:pPr>
            <w:r>
              <w:rPr>
                <w:color w:val="231F20"/>
                <w:sz w:val="18"/>
              </w:rPr>
              <w:t>0.6</w:t>
            </w:r>
          </w:p>
        </w:tc>
      </w:tr>
      <w:tr>
        <w:trPr>
          <w:trHeight w:val="340" w:hRule="exact"/>
        </w:trPr>
        <w:tc>
          <w:tcPr>
            <w:tcW w:w="390" w:type="dxa"/>
          </w:tcPr>
          <w:p>
            <w:pPr/>
          </w:p>
        </w:tc>
        <w:tc>
          <w:tcPr>
            <w:tcW w:w="2567" w:type="dxa"/>
          </w:tcPr>
          <w:p>
            <w:pPr>
              <w:pStyle w:val="TableParagraph"/>
              <w:ind w:left="79"/>
              <w:rPr>
                <w:sz w:val="18"/>
              </w:rPr>
            </w:pPr>
            <w:r>
              <w:rPr>
                <w:color w:val="231F20"/>
                <w:sz w:val="18"/>
              </w:rPr>
              <w:t>Licenciatura o más</w:t>
            </w:r>
          </w:p>
        </w:tc>
        <w:tc>
          <w:tcPr>
            <w:tcW w:w="992" w:type="dxa"/>
          </w:tcPr>
          <w:p>
            <w:pPr>
              <w:pStyle w:val="TableParagraph"/>
              <w:ind w:right="221"/>
              <w:jc w:val="right"/>
              <w:rPr>
                <w:sz w:val="18"/>
              </w:rPr>
            </w:pPr>
            <w:r>
              <w:rPr>
                <w:color w:val="231F20"/>
                <w:sz w:val="18"/>
              </w:rPr>
              <w:t>10.9</w:t>
            </w:r>
          </w:p>
        </w:tc>
        <w:tc>
          <w:tcPr>
            <w:tcW w:w="992" w:type="dxa"/>
          </w:tcPr>
          <w:p>
            <w:pPr>
              <w:pStyle w:val="TableParagraph"/>
              <w:ind w:right="221"/>
              <w:jc w:val="right"/>
              <w:rPr>
                <w:sz w:val="18"/>
              </w:rPr>
            </w:pPr>
            <w:r>
              <w:rPr>
                <w:color w:val="231F20"/>
                <w:sz w:val="18"/>
              </w:rPr>
              <w:t>11.0</w:t>
            </w:r>
          </w:p>
        </w:tc>
        <w:tc>
          <w:tcPr>
            <w:tcW w:w="992" w:type="dxa"/>
          </w:tcPr>
          <w:p>
            <w:pPr>
              <w:pStyle w:val="TableParagraph"/>
              <w:ind w:right="221"/>
              <w:jc w:val="right"/>
              <w:rPr>
                <w:sz w:val="18"/>
              </w:rPr>
            </w:pPr>
            <w:r>
              <w:rPr>
                <w:color w:val="231F20"/>
                <w:sz w:val="18"/>
              </w:rPr>
              <w:t>8.6</w:t>
            </w:r>
          </w:p>
        </w:tc>
        <w:tc>
          <w:tcPr>
            <w:tcW w:w="992" w:type="dxa"/>
          </w:tcPr>
          <w:p>
            <w:pPr>
              <w:pStyle w:val="TableParagraph"/>
              <w:ind w:right="221"/>
              <w:jc w:val="right"/>
              <w:rPr>
                <w:sz w:val="18"/>
              </w:rPr>
            </w:pPr>
            <w:r>
              <w:rPr>
                <w:color w:val="231F20"/>
                <w:sz w:val="18"/>
              </w:rPr>
              <w:t>16.2</w:t>
            </w:r>
          </w:p>
        </w:tc>
      </w:tr>
      <w:tr>
        <w:trPr>
          <w:trHeight w:val="340" w:hRule="exact"/>
        </w:trPr>
        <w:tc>
          <w:tcPr>
            <w:tcW w:w="390" w:type="dxa"/>
            <w:tcBorders>
              <w:bottom w:val="triple" w:sz="2" w:space="0" w:color="231F20"/>
            </w:tcBorders>
          </w:tcPr>
          <w:p>
            <w:pPr/>
          </w:p>
        </w:tc>
        <w:tc>
          <w:tcPr>
            <w:tcW w:w="2567" w:type="dxa"/>
            <w:tcBorders>
              <w:bottom w:val="triple" w:sz="2" w:space="0" w:color="231F20"/>
            </w:tcBorders>
          </w:tcPr>
          <w:p>
            <w:pPr>
              <w:pStyle w:val="TableParagraph"/>
              <w:ind w:left="79"/>
              <w:rPr>
                <w:sz w:val="18"/>
              </w:rPr>
            </w:pPr>
            <w:r>
              <w:rPr>
                <w:color w:val="231F20"/>
                <w:w w:val="105"/>
                <w:sz w:val="18"/>
              </w:rPr>
              <w:t>No especificado</w:t>
            </w:r>
          </w:p>
        </w:tc>
        <w:tc>
          <w:tcPr>
            <w:tcW w:w="992" w:type="dxa"/>
            <w:tcBorders>
              <w:bottom w:val="triple" w:sz="2" w:space="0" w:color="231F20"/>
            </w:tcBorders>
          </w:tcPr>
          <w:p>
            <w:pPr>
              <w:pStyle w:val="TableParagraph"/>
              <w:ind w:right="221"/>
              <w:jc w:val="right"/>
              <w:rPr>
                <w:sz w:val="18"/>
              </w:rPr>
            </w:pPr>
            <w:r>
              <w:rPr>
                <w:color w:val="231F20"/>
                <w:sz w:val="18"/>
              </w:rPr>
              <w:t>1.4</w:t>
            </w:r>
          </w:p>
        </w:tc>
        <w:tc>
          <w:tcPr>
            <w:tcW w:w="992" w:type="dxa"/>
            <w:tcBorders>
              <w:bottom w:val="triple" w:sz="2" w:space="0" w:color="231F20"/>
            </w:tcBorders>
          </w:tcPr>
          <w:p>
            <w:pPr>
              <w:pStyle w:val="TableParagraph"/>
              <w:ind w:right="221"/>
              <w:jc w:val="right"/>
              <w:rPr>
                <w:sz w:val="18"/>
              </w:rPr>
            </w:pPr>
            <w:r>
              <w:rPr>
                <w:color w:val="231F20"/>
                <w:sz w:val="18"/>
              </w:rPr>
              <w:t>0.2</w:t>
            </w:r>
          </w:p>
        </w:tc>
        <w:tc>
          <w:tcPr>
            <w:tcW w:w="992" w:type="dxa"/>
            <w:tcBorders>
              <w:bottom w:val="triple" w:sz="2" w:space="0" w:color="231F20"/>
            </w:tcBorders>
          </w:tcPr>
          <w:p>
            <w:pPr>
              <w:pStyle w:val="TableParagraph"/>
              <w:ind w:right="221"/>
              <w:jc w:val="right"/>
              <w:rPr>
                <w:sz w:val="18"/>
              </w:rPr>
            </w:pPr>
            <w:r>
              <w:rPr>
                <w:color w:val="231F20"/>
                <w:sz w:val="18"/>
              </w:rPr>
              <w:t>0.3</w:t>
            </w:r>
          </w:p>
        </w:tc>
        <w:tc>
          <w:tcPr>
            <w:tcW w:w="992" w:type="dxa"/>
            <w:tcBorders>
              <w:bottom w:val="triple" w:sz="2" w:space="0" w:color="231F20"/>
            </w:tcBorders>
          </w:tcPr>
          <w:p>
            <w:pPr>
              <w:pStyle w:val="TableParagraph"/>
              <w:ind w:right="221"/>
              <w:jc w:val="right"/>
              <w:rPr>
                <w:sz w:val="18"/>
              </w:rPr>
            </w:pPr>
            <w:r>
              <w:rPr>
                <w:color w:val="231F20"/>
                <w:sz w:val="18"/>
              </w:rPr>
              <w:t>0.3</w:t>
            </w:r>
          </w:p>
        </w:tc>
      </w:tr>
      <w:tr>
        <w:trPr>
          <w:trHeight w:val="340" w:hRule="exact"/>
        </w:trPr>
        <w:tc>
          <w:tcPr>
            <w:tcW w:w="2957" w:type="dxa"/>
            <w:gridSpan w:val="2"/>
            <w:tcBorders>
              <w:top w:val="triple" w:sz="2" w:space="0" w:color="231F20"/>
              <w:bottom w:val="triple" w:sz="2" w:space="0" w:color="231F20"/>
            </w:tcBorders>
          </w:tcPr>
          <w:p>
            <w:pPr>
              <w:pStyle w:val="TableParagraph"/>
              <w:ind w:left="79" w:right="-9"/>
              <w:rPr>
                <w:sz w:val="18"/>
              </w:rPr>
            </w:pPr>
            <w:r>
              <w:rPr>
                <w:color w:val="231F20"/>
                <w:w w:val="105"/>
                <w:sz w:val="18"/>
              </w:rPr>
              <w:t>Años promedio de escolaridad</w:t>
            </w:r>
          </w:p>
        </w:tc>
        <w:tc>
          <w:tcPr>
            <w:tcW w:w="992" w:type="dxa"/>
            <w:tcBorders>
              <w:top w:val="triple" w:sz="2" w:space="0" w:color="231F20"/>
              <w:bottom w:val="triple" w:sz="2" w:space="0" w:color="231F20"/>
            </w:tcBorders>
          </w:tcPr>
          <w:p>
            <w:pPr>
              <w:pStyle w:val="TableParagraph"/>
              <w:ind w:right="221"/>
              <w:jc w:val="right"/>
              <w:rPr>
                <w:sz w:val="18"/>
              </w:rPr>
            </w:pPr>
            <w:r>
              <w:rPr>
                <w:color w:val="231F20"/>
                <w:sz w:val="18"/>
              </w:rPr>
              <w:t>8.4</w:t>
            </w:r>
          </w:p>
        </w:tc>
        <w:tc>
          <w:tcPr>
            <w:tcW w:w="992" w:type="dxa"/>
            <w:tcBorders>
              <w:top w:val="triple" w:sz="2" w:space="0" w:color="231F20"/>
              <w:bottom w:val="triple" w:sz="2" w:space="0" w:color="231F20"/>
            </w:tcBorders>
          </w:tcPr>
          <w:p>
            <w:pPr>
              <w:pStyle w:val="TableParagraph"/>
              <w:ind w:right="221"/>
              <w:jc w:val="right"/>
              <w:rPr>
                <w:sz w:val="18"/>
              </w:rPr>
            </w:pPr>
            <w:r>
              <w:rPr>
                <w:color w:val="231F20"/>
                <w:sz w:val="18"/>
              </w:rPr>
              <w:t>8.5</w:t>
            </w:r>
          </w:p>
        </w:tc>
        <w:tc>
          <w:tcPr>
            <w:tcW w:w="992" w:type="dxa"/>
            <w:tcBorders>
              <w:top w:val="triple" w:sz="2" w:space="0" w:color="231F20"/>
              <w:bottom w:val="triple" w:sz="2" w:space="0" w:color="231F20"/>
            </w:tcBorders>
          </w:tcPr>
          <w:p>
            <w:pPr>
              <w:pStyle w:val="TableParagraph"/>
              <w:ind w:right="220"/>
              <w:jc w:val="right"/>
              <w:rPr>
                <w:sz w:val="18"/>
              </w:rPr>
            </w:pPr>
            <w:r>
              <w:rPr>
                <w:color w:val="231F20"/>
                <w:sz w:val="18"/>
              </w:rPr>
              <w:t>8.6</w:t>
            </w:r>
          </w:p>
        </w:tc>
        <w:tc>
          <w:tcPr>
            <w:tcW w:w="992" w:type="dxa"/>
            <w:tcBorders>
              <w:top w:val="triple" w:sz="2" w:space="0" w:color="231F20"/>
              <w:bottom w:val="triple" w:sz="2" w:space="0" w:color="231F20"/>
            </w:tcBorders>
          </w:tcPr>
          <w:p>
            <w:pPr>
              <w:pStyle w:val="TableParagraph"/>
              <w:ind w:right="220"/>
              <w:jc w:val="right"/>
              <w:rPr>
                <w:sz w:val="18"/>
              </w:rPr>
            </w:pPr>
            <w:r>
              <w:rPr>
                <w:color w:val="231F20"/>
                <w:sz w:val="18"/>
              </w:rPr>
              <w:t>9.1</w:t>
            </w:r>
          </w:p>
        </w:tc>
      </w:tr>
      <w:tr>
        <w:trPr>
          <w:trHeight w:val="360" w:hRule="exact"/>
        </w:trPr>
        <w:tc>
          <w:tcPr>
            <w:tcW w:w="2957" w:type="dxa"/>
            <w:gridSpan w:val="2"/>
            <w:tcBorders>
              <w:top w:val="triple" w:sz="2" w:space="0" w:color="231F20"/>
            </w:tcBorders>
          </w:tcPr>
          <w:p>
            <w:pPr>
              <w:pStyle w:val="TableParagraph"/>
              <w:spacing w:before="111"/>
              <w:ind w:left="79" w:right="-9"/>
              <w:rPr>
                <w:sz w:val="10"/>
              </w:rPr>
            </w:pPr>
            <w:r>
              <w:rPr>
                <w:color w:val="231F20"/>
                <w:w w:val="105"/>
                <w:sz w:val="18"/>
              </w:rPr>
              <w:t>Condición de actividad</w:t>
            </w:r>
            <w:r>
              <w:rPr>
                <w:color w:val="231F20"/>
                <w:w w:val="105"/>
                <w:position w:val="6"/>
                <w:sz w:val="10"/>
              </w:rPr>
              <w:t>1</w:t>
            </w:r>
          </w:p>
        </w:tc>
        <w:tc>
          <w:tcPr>
            <w:tcW w:w="992" w:type="dxa"/>
            <w:tcBorders>
              <w:top w:val="triple" w:sz="2" w:space="0" w:color="231F20"/>
            </w:tcBorders>
          </w:tcPr>
          <w:p>
            <w:pPr>
              <w:pStyle w:val="TableParagraph"/>
              <w:spacing w:before="111"/>
              <w:ind w:right="223"/>
              <w:jc w:val="right"/>
              <w:rPr>
                <w:sz w:val="18"/>
              </w:rPr>
            </w:pPr>
            <w:r>
              <w:rPr>
                <w:color w:val="231F20"/>
                <w:sz w:val="18"/>
              </w:rPr>
              <w:t>100.0</w:t>
            </w:r>
          </w:p>
        </w:tc>
        <w:tc>
          <w:tcPr>
            <w:tcW w:w="992" w:type="dxa"/>
            <w:tcBorders>
              <w:top w:val="triple" w:sz="2" w:space="0" w:color="231F20"/>
            </w:tcBorders>
          </w:tcPr>
          <w:p>
            <w:pPr>
              <w:pStyle w:val="TableParagraph"/>
              <w:spacing w:before="111"/>
              <w:ind w:right="223"/>
              <w:jc w:val="right"/>
              <w:rPr>
                <w:sz w:val="18"/>
              </w:rPr>
            </w:pPr>
            <w:r>
              <w:rPr>
                <w:color w:val="231F20"/>
                <w:sz w:val="18"/>
              </w:rPr>
              <w:t>100.0</w:t>
            </w:r>
          </w:p>
        </w:tc>
        <w:tc>
          <w:tcPr>
            <w:tcW w:w="992" w:type="dxa"/>
            <w:tcBorders>
              <w:top w:val="triple" w:sz="2" w:space="0" w:color="231F20"/>
            </w:tcBorders>
          </w:tcPr>
          <w:p>
            <w:pPr>
              <w:pStyle w:val="TableParagraph"/>
              <w:spacing w:before="111"/>
              <w:ind w:right="223"/>
              <w:jc w:val="right"/>
              <w:rPr>
                <w:sz w:val="18"/>
              </w:rPr>
            </w:pPr>
            <w:r>
              <w:rPr>
                <w:color w:val="231F20"/>
                <w:sz w:val="18"/>
              </w:rPr>
              <w:t>100.0</w:t>
            </w:r>
          </w:p>
        </w:tc>
        <w:tc>
          <w:tcPr>
            <w:tcW w:w="992" w:type="dxa"/>
            <w:tcBorders>
              <w:top w:val="triple" w:sz="2" w:space="0" w:color="231F20"/>
            </w:tcBorders>
          </w:tcPr>
          <w:p>
            <w:pPr>
              <w:pStyle w:val="TableParagraph"/>
              <w:spacing w:before="111"/>
              <w:ind w:right="223"/>
              <w:jc w:val="right"/>
              <w:rPr>
                <w:sz w:val="18"/>
              </w:rPr>
            </w:pPr>
            <w:r>
              <w:rPr>
                <w:color w:val="231F20"/>
                <w:sz w:val="18"/>
              </w:rPr>
              <w:t>100.0</w:t>
            </w:r>
          </w:p>
        </w:tc>
      </w:tr>
      <w:tr>
        <w:trPr>
          <w:trHeight w:val="340" w:hRule="exact"/>
        </w:trPr>
        <w:tc>
          <w:tcPr>
            <w:tcW w:w="390" w:type="dxa"/>
          </w:tcPr>
          <w:p>
            <w:pPr/>
          </w:p>
        </w:tc>
        <w:tc>
          <w:tcPr>
            <w:tcW w:w="2567" w:type="dxa"/>
          </w:tcPr>
          <w:p>
            <w:pPr>
              <w:pStyle w:val="TableParagraph"/>
              <w:ind w:left="77"/>
              <w:rPr>
                <w:sz w:val="18"/>
              </w:rPr>
            </w:pPr>
            <w:r>
              <w:rPr>
                <w:color w:val="231F20"/>
                <w:w w:val="105"/>
                <w:sz w:val="18"/>
              </w:rPr>
              <w:t>Ocupado</w:t>
            </w:r>
          </w:p>
        </w:tc>
        <w:tc>
          <w:tcPr>
            <w:tcW w:w="992" w:type="dxa"/>
          </w:tcPr>
          <w:p>
            <w:pPr>
              <w:pStyle w:val="TableParagraph"/>
              <w:ind w:right="222"/>
              <w:jc w:val="right"/>
              <w:rPr>
                <w:sz w:val="18"/>
              </w:rPr>
            </w:pPr>
            <w:r>
              <w:rPr>
                <w:color w:val="231F20"/>
                <w:sz w:val="18"/>
              </w:rPr>
              <w:t>71.9</w:t>
            </w:r>
          </w:p>
        </w:tc>
        <w:tc>
          <w:tcPr>
            <w:tcW w:w="992" w:type="dxa"/>
          </w:tcPr>
          <w:p>
            <w:pPr>
              <w:pStyle w:val="TableParagraph"/>
              <w:ind w:right="222"/>
              <w:jc w:val="right"/>
              <w:rPr>
                <w:sz w:val="18"/>
              </w:rPr>
            </w:pPr>
            <w:r>
              <w:rPr>
                <w:color w:val="231F20"/>
                <w:sz w:val="18"/>
              </w:rPr>
              <w:t>33.3</w:t>
            </w:r>
          </w:p>
        </w:tc>
        <w:tc>
          <w:tcPr>
            <w:tcW w:w="992" w:type="dxa"/>
          </w:tcPr>
          <w:p>
            <w:pPr>
              <w:pStyle w:val="TableParagraph"/>
              <w:ind w:right="222"/>
              <w:jc w:val="right"/>
              <w:rPr>
                <w:sz w:val="18"/>
              </w:rPr>
            </w:pPr>
            <w:r>
              <w:rPr>
                <w:color w:val="231F20"/>
                <w:sz w:val="18"/>
              </w:rPr>
              <w:t>78.8</w:t>
            </w:r>
          </w:p>
        </w:tc>
        <w:tc>
          <w:tcPr>
            <w:tcW w:w="992" w:type="dxa"/>
          </w:tcPr>
          <w:p>
            <w:pPr>
              <w:pStyle w:val="TableParagraph"/>
              <w:ind w:right="222"/>
              <w:jc w:val="right"/>
              <w:rPr>
                <w:sz w:val="18"/>
              </w:rPr>
            </w:pPr>
            <w:r>
              <w:rPr>
                <w:color w:val="231F20"/>
                <w:sz w:val="18"/>
              </w:rPr>
              <w:t>32.6</w:t>
            </w:r>
          </w:p>
        </w:tc>
      </w:tr>
      <w:tr>
        <w:trPr>
          <w:trHeight w:val="340" w:hRule="exact"/>
        </w:trPr>
        <w:tc>
          <w:tcPr>
            <w:tcW w:w="390" w:type="dxa"/>
          </w:tcPr>
          <w:p>
            <w:pPr/>
          </w:p>
        </w:tc>
        <w:tc>
          <w:tcPr>
            <w:tcW w:w="2567" w:type="dxa"/>
          </w:tcPr>
          <w:p>
            <w:pPr>
              <w:pStyle w:val="TableParagraph"/>
              <w:ind w:left="77"/>
              <w:rPr>
                <w:sz w:val="18"/>
              </w:rPr>
            </w:pPr>
            <w:r>
              <w:rPr>
                <w:color w:val="231F20"/>
                <w:w w:val="105"/>
                <w:sz w:val="18"/>
              </w:rPr>
              <w:t>Desocupado</w:t>
            </w:r>
          </w:p>
        </w:tc>
        <w:tc>
          <w:tcPr>
            <w:tcW w:w="992" w:type="dxa"/>
          </w:tcPr>
          <w:p>
            <w:pPr>
              <w:pStyle w:val="TableParagraph"/>
              <w:ind w:right="222"/>
              <w:jc w:val="right"/>
              <w:rPr>
                <w:sz w:val="18"/>
              </w:rPr>
            </w:pPr>
            <w:r>
              <w:rPr>
                <w:color w:val="231F20"/>
                <w:sz w:val="18"/>
              </w:rPr>
              <w:t>20.5</w:t>
            </w:r>
          </w:p>
        </w:tc>
        <w:tc>
          <w:tcPr>
            <w:tcW w:w="992" w:type="dxa"/>
          </w:tcPr>
          <w:p>
            <w:pPr>
              <w:pStyle w:val="TableParagraph"/>
              <w:ind w:right="222"/>
              <w:jc w:val="right"/>
              <w:rPr>
                <w:sz w:val="18"/>
              </w:rPr>
            </w:pPr>
            <w:r>
              <w:rPr>
                <w:color w:val="231F20"/>
                <w:sz w:val="18"/>
              </w:rPr>
              <w:t>13.6</w:t>
            </w:r>
          </w:p>
        </w:tc>
        <w:tc>
          <w:tcPr>
            <w:tcW w:w="992" w:type="dxa"/>
          </w:tcPr>
          <w:p>
            <w:pPr>
              <w:pStyle w:val="TableParagraph"/>
              <w:ind w:right="222"/>
              <w:jc w:val="right"/>
              <w:rPr>
                <w:sz w:val="18"/>
              </w:rPr>
            </w:pPr>
            <w:r>
              <w:rPr>
                <w:color w:val="231F20"/>
                <w:sz w:val="18"/>
              </w:rPr>
              <w:t>14.8</w:t>
            </w:r>
          </w:p>
        </w:tc>
        <w:tc>
          <w:tcPr>
            <w:tcW w:w="992" w:type="dxa"/>
          </w:tcPr>
          <w:p>
            <w:pPr>
              <w:pStyle w:val="TableParagraph"/>
              <w:ind w:right="222"/>
              <w:jc w:val="right"/>
              <w:rPr>
                <w:sz w:val="18"/>
              </w:rPr>
            </w:pPr>
            <w:r>
              <w:rPr>
                <w:color w:val="231F20"/>
                <w:sz w:val="18"/>
              </w:rPr>
              <w:t>4.8</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Inactivo</w:t>
            </w:r>
          </w:p>
        </w:tc>
        <w:tc>
          <w:tcPr>
            <w:tcW w:w="992" w:type="dxa"/>
          </w:tcPr>
          <w:p>
            <w:pPr>
              <w:pStyle w:val="TableParagraph"/>
              <w:ind w:right="222"/>
              <w:jc w:val="right"/>
              <w:rPr>
                <w:sz w:val="18"/>
              </w:rPr>
            </w:pPr>
            <w:r>
              <w:rPr>
                <w:color w:val="231F20"/>
                <w:sz w:val="18"/>
              </w:rPr>
              <w:t>6.7</w:t>
            </w:r>
          </w:p>
        </w:tc>
        <w:tc>
          <w:tcPr>
            <w:tcW w:w="992" w:type="dxa"/>
          </w:tcPr>
          <w:p>
            <w:pPr>
              <w:pStyle w:val="TableParagraph"/>
              <w:ind w:right="222"/>
              <w:jc w:val="right"/>
              <w:rPr>
                <w:sz w:val="18"/>
              </w:rPr>
            </w:pPr>
            <w:r>
              <w:rPr>
                <w:color w:val="231F20"/>
                <w:sz w:val="18"/>
              </w:rPr>
              <w:t>53.2</w:t>
            </w:r>
          </w:p>
        </w:tc>
        <w:tc>
          <w:tcPr>
            <w:tcW w:w="992" w:type="dxa"/>
          </w:tcPr>
          <w:p>
            <w:pPr>
              <w:pStyle w:val="TableParagraph"/>
              <w:ind w:right="222"/>
              <w:jc w:val="right"/>
              <w:rPr>
                <w:sz w:val="18"/>
              </w:rPr>
            </w:pPr>
            <w:r>
              <w:rPr>
                <w:color w:val="231F20"/>
                <w:sz w:val="18"/>
              </w:rPr>
              <w:t>5.8</w:t>
            </w:r>
          </w:p>
        </w:tc>
        <w:tc>
          <w:tcPr>
            <w:tcW w:w="992" w:type="dxa"/>
          </w:tcPr>
          <w:p>
            <w:pPr>
              <w:pStyle w:val="TableParagraph"/>
              <w:ind w:right="222"/>
              <w:jc w:val="right"/>
              <w:rPr>
                <w:sz w:val="18"/>
              </w:rPr>
            </w:pPr>
            <w:r>
              <w:rPr>
                <w:color w:val="231F20"/>
                <w:sz w:val="18"/>
              </w:rPr>
              <w:t>61.7</w:t>
            </w:r>
          </w:p>
        </w:tc>
      </w:tr>
      <w:tr>
        <w:trPr>
          <w:trHeight w:val="340" w:hRule="exact"/>
        </w:trPr>
        <w:tc>
          <w:tcPr>
            <w:tcW w:w="390" w:type="dxa"/>
            <w:tcBorders>
              <w:bottom w:val="triple" w:sz="2" w:space="0" w:color="231F20"/>
            </w:tcBorders>
          </w:tcPr>
          <w:p>
            <w:pPr/>
          </w:p>
        </w:tc>
        <w:tc>
          <w:tcPr>
            <w:tcW w:w="2567" w:type="dxa"/>
            <w:tcBorders>
              <w:bottom w:val="triple" w:sz="2" w:space="0" w:color="231F20"/>
            </w:tcBorders>
          </w:tcPr>
          <w:p>
            <w:pPr>
              <w:pStyle w:val="TableParagraph"/>
              <w:ind w:left="78"/>
              <w:rPr>
                <w:sz w:val="18"/>
              </w:rPr>
            </w:pPr>
            <w:r>
              <w:rPr>
                <w:color w:val="231F20"/>
                <w:w w:val="105"/>
                <w:sz w:val="18"/>
              </w:rPr>
              <w:t>No especificado</w:t>
            </w:r>
          </w:p>
        </w:tc>
        <w:tc>
          <w:tcPr>
            <w:tcW w:w="992" w:type="dxa"/>
            <w:tcBorders>
              <w:bottom w:val="triple" w:sz="2" w:space="0" w:color="231F20"/>
            </w:tcBorders>
          </w:tcPr>
          <w:p>
            <w:pPr>
              <w:pStyle w:val="TableParagraph"/>
              <w:ind w:right="222"/>
              <w:jc w:val="right"/>
              <w:rPr>
                <w:sz w:val="18"/>
              </w:rPr>
            </w:pPr>
            <w:r>
              <w:rPr>
                <w:color w:val="231F20"/>
                <w:sz w:val="18"/>
              </w:rPr>
              <w:t>1.0</w:t>
            </w:r>
          </w:p>
        </w:tc>
        <w:tc>
          <w:tcPr>
            <w:tcW w:w="992" w:type="dxa"/>
            <w:tcBorders>
              <w:bottom w:val="triple" w:sz="2" w:space="0" w:color="231F20"/>
            </w:tcBorders>
          </w:tcPr>
          <w:p>
            <w:pPr/>
          </w:p>
        </w:tc>
        <w:tc>
          <w:tcPr>
            <w:tcW w:w="992" w:type="dxa"/>
            <w:tcBorders>
              <w:bottom w:val="triple" w:sz="2" w:space="0" w:color="231F20"/>
            </w:tcBorders>
          </w:tcPr>
          <w:p>
            <w:pPr>
              <w:pStyle w:val="TableParagraph"/>
              <w:ind w:right="222"/>
              <w:jc w:val="right"/>
              <w:rPr>
                <w:sz w:val="18"/>
              </w:rPr>
            </w:pPr>
            <w:r>
              <w:rPr>
                <w:color w:val="231F20"/>
                <w:sz w:val="18"/>
              </w:rPr>
              <w:t>0.6</w:t>
            </w:r>
          </w:p>
        </w:tc>
        <w:tc>
          <w:tcPr>
            <w:tcW w:w="992" w:type="dxa"/>
            <w:tcBorders>
              <w:bottom w:val="triple" w:sz="2" w:space="0" w:color="231F20"/>
            </w:tcBorders>
          </w:tcPr>
          <w:p>
            <w:pPr>
              <w:pStyle w:val="TableParagraph"/>
              <w:ind w:right="222"/>
              <w:jc w:val="right"/>
              <w:rPr>
                <w:sz w:val="18"/>
              </w:rPr>
            </w:pPr>
            <w:r>
              <w:rPr>
                <w:color w:val="231F20"/>
                <w:sz w:val="18"/>
              </w:rPr>
              <w:t>0.9</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56664" from="131.551193pt,3.753715pt" to="131.551193pt,39.556114pt" stroked="true" strokeweight=".35pt" strokecolor="#231f20">
            <w10:wrap type="none"/>
          </v:line>
        </w:pict>
      </w:r>
      <w:r>
        <w:rPr/>
        <w:pict>
          <v:line style="position:absolute;mso-position-horizontal-relative:page;mso-position-vertical-relative:paragraph;z-index:-456592" from="15pt,39.555916pt" to="0pt,39.555916pt" stroked="true" strokeweight=".25pt" strokecolor="#000000">
            <w10:wrap type="none"/>
          </v:line>
        </w:pict>
      </w:r>
      <w:r>
        <w:rPr/>
        <w:pict>
          <v:line style="position:absolute;mso-position-horizontal-relative:page;mso-position-vertical-relative:paragraph;z-index:33616" from="508.890015pt,39.555916pt" to="523.890015pt,39.555916pt" stroked="true" strokeweight=".25pt" strokecolor="#000000">
            <w10:wrap type="none"/>
          </v:line>
        </w:pict>
      </w:r>
      <w:r>
        <w:rPr>
          <w:rFonts w:ascii="Arial" w:hAnsi="Arial"/>
          <w:color w:val="414042"/>
          <w:position w:val="-5"/>
          <w:sz w:val="20"/>
        </w:rPr>
        <w:t>274</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3640" from="405.061005pt,-27.904295pt" to="405.061005pt,6.961579pt" stroked="true" strokeweight=".35pt" strokecolor="#231f20">
            <w10:wrap type="none"/>
          </v:line>
        </w:pict>
      </w:r>
      <w:r>
        <w:rPr/>
        <w:pict>
          <v:line style="position:absolute;mso-position-horizontal-relative:page;mso-position-vertical-relative:paragraph;z-index:33664" from="15pt,-27.90452pt" to="0pt,-27.90452pt" stroked="true" strokeweight=".25pt" strokecolor="#000000">
            <w10:wrap type="none"/>
          </v:line>
        </w:pict>
      </w:r>
      <w:r>
        <w:rPr/>
        <w:pict>
          <v:line style="position:absolute;mso-position-horizontal-relative:page;mso-position-vertical-relative:paragraph;z-index:33688"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275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20"/>
        </w:rPr>
      </w:pPr>
    </w:p>
    <w:p>
      <w:pPr>
        <w:pStyle w:val="BodyText"/>
        <w:rPr>
          <w:rFonts w:ascii="Arial"/>
          <w:sz w:val="16"/>
        </w:rPr>
      </w:pPr>
    </w:p>
    <w:tbl>
      <w:tblPr>
        <w:tblW w:w="0" w:type="auto"/>
        <w:jc w:val="left"/>
        <w:tblInd w:w="183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90"/>
        <w:gridCol w:w="2567"/>
        <w:gridCol w:w="992"/>
        <w:gridCol w:w="992"/>
        <w:gridCol w:w="992"/>
        <w:gridCol w:w="992"/>
      </w:tblGrid>
      <w:tr>
        <w:trPr>
          <w:trHeight w:val="340" w:hRule="exact"/>
        </w:trPr>
        <w:tc>
          <w:tcPr>
            <w:tcW w:w="2957" w:type="dxa"/>
            <w:gridSpan w:val="2"/>
            <w:tcBorders>
              <w:top w:val="triple" w:sz="2" w:space="0" w:color="231F20"/>
            </w:tcBorders>
          </w:tcPr>
          <w:p>
            <w:pPr>
              <w:pStyle w:val="TableParagraph"/>
              <w:ind w:left="77" w:right="-9"/>
              <w:rPr>
                <w:sz w:val="18"/>
              </w:rPr>
            </w:pPr>
            <w:r>
              <w:rPr>
                <w:color w:val="231F20"/>
                <w:w w:val="105"/>
                <w:sz w:val="18"/>
              </w:rPr>
              <w:t>Hablante de lengua indígena</w:t>
            </w:r>
          </w:p>
        </w:tc>
        <w:tc>
          <w:tcPr>
            <w:tcW w:w="992" w:type="dxa"/>
            <w:tcBorders>
              <w:top w:val="triple" w:sz="2" w:space="0" w:color="231F20"/>
            </w:tcBorders>
          </w:tcPr>
          <w:p>
            <w:pPr>
              <w:pStyle w:val="TableParagraph"/>
              <w:ind w:right="223"/>
              <w:jc w:val="right"/>
              <w:rPr>
                <w:sz w:val="18"/>
              </w:rPr>
            </w:pPr>
            <w:r>
              <w:rPr>
                <w:color w:val="231F20"/>
                <w:sz w:val="18"/>
              </w:rPr>
              <w:t>100.0</w:t>
            </w:r>
          </w:p>
        </w:tc>
        <w:tc>
          <w:tcPr>
            <w:tcW w:w="992" w:type="dxa"/>
            <w:tcBorders>
              <w:top w:val="triple" w:sz="2" w:space="0" w:color="231F20"/>
            </w:tcBorders>
          </w:tcPr>
          <w:p>
            <w:pPr>
              <w:pStyle w:val="TableParagraph"/>
              <w:ind w:right="223"/>
              <w:jc w:val="right"/>
              <w:rPr>
                <w:sz w:val="18"/>
              </w:rPr>
            </w:pPr>
            <w:r>
              <w:rPr>
                <w:color w:val="231F20"/>
                <w:sz w:val="18"/>
              </w:rPr>
              <w:t>100.0</w:t>
            </w:r>
          </w:p>
        </w:tc>
        <w:tc>
          <w:tcPr>
            <w:tcW w:w="992" w:type="dxa"/>
            <w:tcBorders>
              <w:top w:val="triple" w:sz="2" w:space="0" w:color="231F20"/>
            </w:tcBorders>
          </w:tcPr>
          <w:p>
            <w:pPr>
              <w:pStyle w:val="TableParagraph"/>
              <w:ind w:right="223"/>
              <w:jc w:val="right"/>
              <w:rPr>
                <w:sz w:val="18"/>
              </w:rPr>
            </w:pPr>
            <w:r>
              <w:rPr>
                <w:color w:val="231F20"/>
                <w:sz w:val="18"/>
              </w:rPr>
              <w:t>100.0</w:t>
            </w:r>
          </w:p>
        </w:tc>
        <w:tc>
          <w:tcPr>
            <w:tcW w:w="992" w:type="dxa"/>
            <w:tcBorders>
              <w:top w:val="triple" w:sz="2" w:space="0" w:color="231F20"/>
            </w:tcBorders>
          </w:tcPr>
          <w:p>
            <w:pPr>
              <w:pStyle w:val="TableParagraph"/>
              <w:ind w:right="224"/>
              <w:jc w:val="right"/>
              <w:rPr>
                <w:sz w:val="18"/>
              </w:rPr>
            </w:pPr>
            <w:r>
              <w:rPr>
                <w:color w:val="231F20"/>
                <w:sz w:val="18"/>
              </w:rPr>
              <w:t>100.0</w:t>
            </w:r>
          </w:p>
        </w:tc>
      </w:tr>
      <w:tr>
        <w:trPr>
          <w:trHeight w:val="340" w:hRule="exact"/>
        </w:trPr>
        <w:tc>
          <w:tcPr>
            <w:tcW w:w="390" w:type="dxa"/>
          </w:tcPr>
          <w:p>
            <w:pPr/>
          </w:p>
        </w:tc>
        <w:tc>
          <w:tcPr>
            <w:tcW w:w="2567" w:type="dxa"/>
          </w:tcPr>
          <w:p>
            <w:pPr>
              <w:pStyle w:val="TableParagraph"/>
              <w:ind w:left="77"/>
              <w:rPr>
                <w:sz w:val="18"/>
              </w:rPr>
            </w:pPr>
            <w:r>
              <w:rPr>
                <w:color w:val="231F20"/>
                <w:w w:val="110"/>
                <w:sz w:val="18"/>
              </w:rPr>
              <w:t>No</w:t>
            </w:r>
          </w:p>
        </w:tc>
        <w:tc>
          <w:tcPr>
            <w:tcW w:w="992" w:type="dxa"/>
          </w:tcPr>
          <w:p>
            <w:pPr>
              <w:pStyle w:val="TableParagraph"/>
              <w:ind w:right="222"/>
              <w:jc w:val="right"/>
              <w:rPr>
                <w:sz w:val="18"/>
              </w:rPr>
            </w:pPr>
            <w:r>
              <w:rPr>
                <w:color w:val="231F20"/>
                <w:sz w:val="18"/>
              </w:rPr>
              <w:t>97.4</w:t>
            </w:r>
          </w:p>
        </w:tc>
        <w:tc>
          <w:tcPr>
            <w:tcW w:w="992" w:type="dxa"/>
          </w:tcPr>
          <w:p>
            <w:pPr>
              <w:pStyle w:val="TableParagraph"/>
              <w:ind w:right="222"/>
              <w:jc w:val="right"/>
              <w:rPr>
                <w:sz w:val="18"/>
              </w:rPr>
            </w:pPr>
            <w:r>
              <w:rPr>
                <w:color w:val="231F20"/>
                <w:sz w:val="18"/>
              </w:rPr>
              <w:t>99.0</w:t>
            </w:r>
          </w:p>
        </w:tc>
        <w:tc>
          <w:tcPr>
            <w:tcW w:w="992" w:type="dxa"/>
          </w:tcPr>
          <w:p>
            <w:pPr>
              <w:pStyle w:val="TableParagraph"/>
              <w:ind w:right="222"/>
              <w:jc w:val="right"/>
              <w:rPr>
                <w:sz w:val="18"/>
              </w:rPr>
            </w:pPr>
            <w:r>
              <w:rPr>
                <w:color w:val="231F20"/>
                <w:sz w:val="18"/>
              </w:rPr>
              <w:t>97.1</w:t>
            </w:r>
          </w:p>
        </w:tc>
        <w:tc>
          <w:tcPr>
            <w:tcW w:w="992" w:type="dxa"/>
          </w:tcPr>
          <w:p>
            <w:pPr>
              <w:pStyle w:val="TableParagraph"/>
              <w:ind w:right="222"/>
              <w:jc w:val="right"/>
              <w:rPr>
                <w:sz w:val="18"/>
              </w:rPr>
            </w:pPr>
            <w:r>
              <w:rPr>
                <w:color w:val="231F20"/>
                <w:sz w:val="18"/>
              </w:rPr>
              <w:t>98.3</w:t>
            </w:r>
          </w:p>
        </w:tc>
      </w:tr>
      <w:tr>
        <w:trPr>
          <w:trHeight w:val="340" w:hRule="exact"/>
        </w:trPr>
        <w:tc>
          <w:tcPr>
            <w:tcW w:w="390" w:type="dxa"/>
            <w:tcBorders>
              <w:bottom w:val="triple" w:sz="2" w:space="0" w:color="231F20"/>
            </w:tcBorders>
          </w:tcPr>
          <w:p>
            <w:pPr/>
          </w:p>
        </w:tc>
        <w:tc>
          <w:tcPr>
            <w:tcW w:w="2567" w:type="dxa"/>
            <w:tcBorders>
              <w:bottom w:val="triple" w:sz="2" w:space="0" w:color="231F20"/>
            </w:tcBorders>
          </w:tcPr>
          <w:p>
            <w:pPr>
              <w:pStyle w:val="TableParagraph"/>
              <w:ind w:left="77"/>
              <w:rPr>
                <w:sz w:val="18"/>
              </w:rPr>
            </w:pPr>
            <w:r>
              <w:rPr>
                <w:color w:val="231F20"/>
                <w:sz w:val="18"/>
              </w:rPr>
              <w:t>Sí</w:t>
            </w:r>
          </w:p>
        </w:tc>
        <w:tc>
          <w:tcPr>
            <w:tcW w:w="992" w:type="dxa"/>
            <w:tcBorders>
              <w:bottom w:val="triple" w:sz="2" w:space="0" w:color="231F20"/>
            </w:tcBorders>
          </w:tcPr>
          <w:p>
            <w:pPr>
              <w:pStyle w:val="TableParagraph"/>
              <w:ind w:right="222"/>
              <w:jc w:val="right"/>
              <w:rPr>
                <w:sz w:val="18"/>
              </w:rPr>
            </w:pPr>
            <w:r>
              <w:rPr>
                <w:color w:val="231F20"/>
                <w:sz w:val="18"/>
              </w:rPr>
              <w:t>2.6</w:t>
            </w:r>
          </w:p>
        </w:tc>
        <w:tc>
          <w:tcPr>
            <w:tcW w:w="992" w:type="dxa"/>
            <w:tcBorders>
              <w:bottom w:val="triple" w:sz="2" w:space="0" w:color="231F20"/>
            </w:tcBorders>
          </w:tcPr>
          <w:p>
            <w:pPr>
              <w:pStyle w:val="TableParagraph"/>
              <w:ind w:right="222"/>
              <w:jc w:val="right"/>
              <w:rPr>
                <w:sz w:val="18"/>
              </w:rPr>
            </w:pPr>
            <w:r>
              <w:rPr>
                <w:color w:val="231F20"/>
                <w:sz w:val="18"/>
              </w:rPr>
              <w:t>1.0</w:t>
            </w:r>
          </w:p>
        </w:tc>
        <w:tc>
          <w:tcPr>
            <w:tcW w:w="992" w:type="dxa"/>
            <w:tcBorders>
              <w:bottom w:val="triple" w:sz="2" w:space="0" w:color="231F20"/>
            </w:tcBorders>
          </w:tcPr>
          <w:p>
            <w:pPr>
              <w:pStyle w:val="TableParagraph"/>
              <w:ind w:right="222"/>
              <w:jc w:val="right"/>
              <w:rPr>
                <w:sz w:val="18"/>
              </w:rPr>
            </w:pPr>
            <w:r>
              <w:rPr>
                <w:color w:val="231F20"/>
                <w:sz w:val="18"/>
              </w:rPr>
              <w:t>2.9</w:t>
            </w:r>
          </w:p>
        </w:tc>
        <w:tc>
          <w:tcPr>
            <w:tcW w:w="992" w:type="dxa"/>
            <w:tcBorders>
              <w:bottom w:val="triple" w:sz="2" w:space="0" w:color="231F20"/>
            </w:tcBorders>
          </w:tcPr>
          <w:p>
            <w:pPr>
              <w:pStyle w:val="TableParagraph"/>
              <w:ind w:right="222"/>
              <w:jc w:val="right"/>
              <w:rPr>
                <w:sz w:val="18"/>
              </w:rPr>
            </w:pPr>
            <w:r>
              <w:rPr>
                <w:color w:val="231F20"/>
                <w:sz w:val="18"/>
              </w:rPr>
              <w:t>1.7</w:t>
            </w:r>
          </w:p>
        </w:tc>
      </w:tr>
      <w:tr>
        <w:trPr>
          <w:trHeight w:val="340" w:hRule="exact"/>
        </w:trPr>
        <w:tc>
          <w:tcPr>
            <w:tcW w:w="2957" w:type="dxa"/>
            <w:gridSpan w:val="2"/>
            <w:tcBorders>
              <w:top w:val="triple" w:sz="2" w:space="0" w:color="231F20"/>
            </w:tcBorders>
          </w:tcPr>
          <w:p>
            <w:pPr>
              <w:pStyle w:val="TableParagraph"/>
              <w:ind w:left="78" w:right="-9"/>
              <w:rPr>
                <w:sz w:val="18"/>
              </w:rPr>
            </w:pPr>
            <w:r>
              <w:rPr>
                <w:color w:val="231F20"/>
                <w:w w:val="105"/>
                <w:sz w:val="18"/>
              </w:rPr>
              <w:t>Tipo de municipio de residencia</w:t>
            </w:r>
          </w:p>
        </w:tc>
        <w:tc>
          <w:tcPr>
            <w:tcW w:w="992" w:type="dxa"/>
            <w:tcBorders>
              <w:top w:val="triple" w:sz="2" w:space="0" w:color="231F20"/>
            </w:tcBorders>
          </w:tcPr>
          <w:p>
            <w:pPr>
              <w:pStyle w:val="TableParagraph"/>
              <w:ind w:right="222"/>
              <w:jc w:val="right"/>
              <w:rPr>
                <w:sz w:val="18"/>
              </w:rPr>
            </w:pPr>
            <w:r>
              <w:rPr>
                <w:color w:val="231F20"/>
                <w:sz w:val="18"/>
              </w:rPr>
              <w:t>100.0</w:t>
            </w:r>
          </w:p>
        </w:tc>
        <w:tc>
          <w:tcPr>
            <w:tcW w:w="992" w:type="dxa"/>
            <w:tcBorders>
              <w:top w:val="triple" w:sz="2" w:space="0" w:color="231F20"/>
            </w:tcBorders>
          </w:tcPr>
          <w:p>
            <w:pPr>
              <w:pStyle w:val="TableParagraph"/>
              <w:ind w:right="222"/>
              <w:jc w:val="right"/>
              <w:rPr>
                <w:sz w:val="18"/>
              </w:rPr>
            </w:pPr>
            <w:r>
              <w:rPr>
                <w:color w:val="231F20"/>
                <w:sz w:val="18"/>
              </w:rPr>
              <w:t>100.0</w:t>
            </w:r>
          </w:p>
        </w:tc>
        <w:tc>
          <w:tcPr>
            <w:tcW w:w="992" w:type="dxa"/>
            <w:tcBorders>
              <w:top w:val="triple" w:sz="2" w:space="0" w:color="231F20"/>
            </w:tcBorders>
          </w:tcPr>
          <w:p>
            <w:pPr>
              <w:pStyle w:val="TableParagraph"/>
              <w:ind w:right="222"/>
              <w:jc w:val="right"/>
              <w:rPr>
                <w:sz w:val="18"/>
              </w:rPr>
            </w:pPr>
            <w:r>
              <w:rPr>
                <w:color w:val="231F20"/>
                <w:sz w:val="18"/>
              </w:rPr>
              <w:t>100.0</w:t>
            </w:r>
          </w:p>
        </w:tc>
        <w:tc>
          <w:tcPr>
            <w:tcW w:w="992" w:type="dxa"/>
            <w:tcBorders>
              <w:top w:val="triple" w:sz="2" w:space="0" w:color="231F20"/>
            </w:tcBorders>
          </w:tcPr>
          <w:p>
            <w:pPr>
              <w:pStyle w:val="TableParagraph"/>
              <w:ind w:right="222"/>
              <w:jc w:val="right"/>
              <w:rPr>
                <w:sz w:val="18"/>
              </w:rPr>
            </w:pPr>
            <w:r>
              <w:rPr>
                <w:color w:val="231F20"/>
                <w:sz w:val="18"/>
              </w:rPr>
              <w:t>100.0</w:t>
            </w:r>
          </w:p>
        </w:tc>
      </w:tr>
      <w:tr>
        <w:trPr>
          <w:trHeight w:val="340" w:hRule="exact"/>
        </w:trPr>
        <w:tc>
          <w:tcPr>
            <w:tcW w:w="390" w:type="dxa"/>
          </w:tcPr>
          <w:p>
            <w:pPr/>
          </w:p>
        </w:tc>
        <w:tc>
          <w:tcPr>
            <w:tcW w:w="2567" w:type="dxa"/>
          </w:tcPr>
          <w:p>
            <w:pPr>
              <w:pStyle w:val="TableParagraph"/>
              <w:ind w:left="78"/>
              <w:rPr>
                <w:sz w:val="18"/>
              </w:rPr>
            </w:pPr>
            <w:r>
              <w:rPr>
                <w:color w:val="231F20"/>
                <w:sz w:val="18"/>
              </w:rPr>
              <w:t>Étnico</w:t>
            </w:r>
          </w:p>
        </w:tc>
        <w:tc>
          <w:tcPr>
            <w:tcW w:w="992" w:type="dxa"/>
          </w:tcPr>
          <w:p>
            <w:pPr>
              <w:pStyle w:val="TableParagraph"/>
              <w:ind w:right="222"/>
              <w:jc w:val="right"/>
              <w:rPr>
                <w:sz w:val="18"/>
              </w:rPr>
            </w:pPr>
            <w:r>
              <w:rPr>
                <w:color w:val="231F20"/>
                <w:sz w:val="18"/>
              </w:rPr>
              <w:t>3.0</w:t>
            </w:r>
          </w:p>
        </w:tc>
        <w:tc>
          <w:tcPr>
            <w:tcW w:w="992" w:type="dxa"/>
          </w:tcPr>
          <w:p>
            <w:pPr>
              <w:pStyle w:val="TableParagraph"/>
              <w:ind w:right="222"/>
              <w:jc w:val="right"/>
              <w:rPr>
                <w:sz w:val="18"/>
              </w:rPr>
            </w:pPr>
            <w:r>
              <w:rPr>
                <w:color w:val="231F20"/>
                <w:sz w:val="18"/>
              </w:rPr>
              <w:t>1.4</w:t>
            </w:r>
          </w:p>
        </w:tc>
        <w:tc>
          <w:tcPr>
            <w:tcW w:w="992" w:type="dxa"/>
          </w:tcPr>
          <w:p>
            <w:pPr>
              <w:pStyle w:val="TableParagraph"/>
              <w:ind w:right="222"/>
              <w:jc w:val="right"/>
              <w:rPr>
                <w:sz w:val="18"/>
              </w:rPr>
            </w:pPr>
            <w:r>
              <w:rPr>
                <w:color w:val="231F20"/>
                <w:sz w:val="18"/>
              </w:rPr>
              <w:t>11.5</w:t>
            </w:r>
          </w:p>
        </w:tc>
        <w:tc>
          <w:tcPr>
            <w:tcW w:w="992" w:type="dxa"/>
          </w:tcPr>
          <w:p>
            <w:pPr>
              <w:pStyle w:val="TableParagraph"/>
              <w:ind w:right="222"/>
              <w:jc w:val="right"/>
              <w:rPr>
                <w:sz w:val="18"/>
              </w:rPr>
            </w:pPr>
            <w:r>
              <w:rPr>
                <w:color w:val="231F20"/>
                <w:sz w:val="18"/>
              </w:rPr>
              <w:t>7.0</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Tradicional</w:t>
            </w:r>
          </w:p>
        </w:tc>
        <w:tc>
          <w:tcPr>
            <w:tcW w:w="992" w:type="dxa"/>
          </w:tcPr>
          <w:p>
            <w:pPr>
              <w:pStyle w:val="TableParagraph"/>
              <w:ind w:right="222"/>
              <w:jc w:val="right"/>
              <w:rPr>
                <w:sz w:val="18"/>
              </w:rPr>
            </w:pPr>
            <w:r>
              <w:rPr>
                <w:color w:val="231F20"/>
                <w:sz w:val="18"/>
              </w:rPr>
              <w:t>20.0</w:t>
            </w:r>
          </w:p>
        </w:tc>
        <w:tc>
          <w:tcPr>
            <w:tcW w:w="992" w:type="dxa"/>
          </w:tcPr>
          <w:p>
            <w:pPr>
              <w:pStyle w:val="TableParagraph"/>
              <w:ind w:right="222"/>
              <w:jc w:val="right"/>
              <w:rPr>
                <w:sz w:val="18"/>
              </w:rPr>
            </w:pPr>
            <w:r>
              <w:rPr>
                <w:color w:val="231F20"/>
                <w:sz w:val="18"/>
              </w:rPr>
              <w:t>16.0</w:t>
            </w:r>
          </w:p>
        </w:tc>
        <w:tc>
          <w:tcPr>
            <w:tcW w:w="992" w:type="dxa"/>
          </w:tcPr>
          <w:p>
            <w:pPr>
              <w:pStyle w:val="TableParagraph"/>
              <w:ind w:right="222"/>
              <w:jc w:val="right"/>
              <w:rPr>
                <w:sz w:val="18"/>
              </w:rPr>
            </w:pPr>
            <w:r>
              <w:rPr>
                <w:color w:val="231F20"/>
                <w:sz w:val="18"/>
              </w:rPr>
              <w:t>13.9</w:t>
            </w:r>
          </w:p>
        </w:tc>
        <w:tc>
          <w:tcPr>
            <w:tcW w:w="992" w:type="dxa"/>
          </w:tcPr>
          <w:p>
            <w:pPr>
              <w:pStyle w:val="TableParagraph"/>
              <w:ind w:right="222"/>
              <w:jc w:val="right"/>
              <w:rPr>
                <w:sz w:val="18"/>
              </w:rPr>
            </w:pPr>
            <w:r>
              <w:rPr>
                <w:color w:val="231F20"/>
                <w:sz w:val="18"/>
              </w:rPr>
              <w:t>14.1</w:t>
            </w:r>
          </w:p>
        </w:tc>
      </w:tr>
      <w:tr>
        <w:trPr>
          <w:trHeight w:val="340" w:hRule="exact"/>
        </w:trPr>
        <w:tc>
          <w:tcPr>
            <w:tcW w:w="390" w:type="dxa"/>
          </w:tcPr>
          <w:p>
            <w:pPr/>
          </w:p>
        </w:tc>
        <w:tc>
          <w:tcPr>
            <w:tcW w:w="2567" w:type="dxa"/>
          </w:tcPr>
          <w:p>
            <w:pPr>
              <w:pStyle w:val="TableParagraph"/>
              <w:ind w:left="78"/>
              <w:rPr>
                <w:sz w:val="18"/>
              </w:rPr>
            </w:pPr>
            <w:r>
              <w:rPr>
                <w:color w:val="231F20"/>
                <w:w w:val="105"/>
                <w:sz w:val="18"/>
              </w:rPr>
              <w:t>Emergente</w:t>
            </w:r>
          </w:p>
        </w:tc>
        <w:tc>
          <w:tcPr>
            <w:tcW w:w="992" w:type="dxa"/>
          </w:tcPr>
          <w:p>
            <w:pPr>
              <w:pStyle w:val="TableParagraph"/>
              <w:ind w:right="222"/>
              <w:jc w:val="right"/>
              <w:rPr>
                <w:sz w:val="18"/>
              </w:rPr>
            </w:pPr>
            <w:r>
              <w:rPr>
                <w:color w:val="231F20"/>
                <w:sz w:val="18"/>
              </w:rPr>
              <w:t>72.7</w:t>
            </w:r>
          </w:p>
        </w:tc>
        <w:tc>
          <w:tcPr>
            <w:tcW w:w="992" w:type="dxa"/>
          </w:tcPr>
          <w:p>
            <w:pPr>
              <w:pStyle w:val="TableParagraph"/>
              <w:ind w:right="223"/>
              <w:jc w:val="right"/>
              <w:rPr>
                <w:sz w:val="18"/>
              </w:rPr>
            </w:pPr>
            <w:r>
              <w:rPr>
                <w:color w:val="231F20"/>
                <w:sz w:val="18"/>
              </w:rPr>
              <w:t>80.2</w:t>
            </w:r>
          </w:p>
        </w:tc>
        <w:tc>
          <w:tcPr>
            <w:tcW w:w="992" w:type="dxa"/>
          </w:tcPr>
          <w:p>
            <w:pPr>
              <w:pStyle w:val="TableParagraph"/>
              <w:ind w:right="221"/>
              <w:jc w:val="right"/>
              <w:rPr>
                <w:sz w:val="18"/>
              </w:rPr>
            </w:pPr>
            <w:r>
              <w:rPr>
                <w:color w:val="231F20"/>
                <w:sz w:val="18"/>
              </w:rPr>
              <w:t>64.7</w:t>
            </w:r>
          </w:p>
        </w:tc>
        <w:tc>
          <w:tcPr>
            <w:tcW w:w="992" w:type="dxa"/>
          </w:tcPr>
          <w:p>
            <w:pPr>
              <w:pStyle w:val="TableParagraph"/>
              <w:ind w:right="221"/>
              <w:jc w:val="right"/>
              <w:rPr>
                <w:sz w:val="18"/>
              </w:rPr>
            </w:pPr>
            <w:r>
              <w:rPr>
                <w:color w:val="231F20"/>
                <w:sz w:val="18"/>
              </w:rPr>
              <w:t>71.3</w:t>
            </w:r>
          </w:p>
        </w:tc>
      </w:tr>
      <w:tr>
        <w:trPr>
          <w:trHeight w:val="340" w:hRule="exact"/>
        </w:trPr>
        <w:tc>
          <w:tcPr>
            <w:tcW w:w="390" w:type="dxa"/>
            <w:tcBorders>
              <w:bottom w:val="triple" w:sz="2" w:space="0" w:color="231F20"/>
            </w:tcBorders>
          </w:tcPr>
          <w:p>
            <w:pPr/>
          </w:p>
        </w:tc>
        <w:tc>
          <w:tcPr>
            <w:tcW w:w="2567" w:type="dxa"/>
            <w:tcBorders>
              <w:bottom w:val="triple" w:sz="2" w:space="0" w:color="231F20"/>
            </w:tcBorders>
          </w:tcPr>
          <w:p>
            <w:pPr>
              <w:pStyle w:val="TableParagraph"/>
              <w:ind w:left="78"/>
              <w:rPr>
                <w:sz w:val="18"/>
              </w:rPr>
            </w:pPr>
            <w:r>
              <w:rPr>
                <w:color w:val="231F20"/>
                <w:w w:val="110"/>
                <w:sz w:val="18"/>
              </w:rPr>
              <w:t>Otro</w:t>
            </w:r>
          </w:p>
        </w:tc>
        <w:tc>
          <w:tcPr>
            <w:tcW w:w="992" w:type="dxa"/>
            <w:tcBorders>
              <w:bottom w:val="triple" w:sz="2" w:space="0" w:color="231F20"/>
            </w:tcBorders>
          </w:tcPr>
          <w:p>
            <w:pPr>
              <w:pStyle w:val="TableParagraph"/>
              <w:ind w:right="221"/>
              <w:jc w:val="right"/>
              <w:rPr>
                <w:sz w:val="18"/>
              </w:rPr>
            </w:pPr>
            <w:r>
              <w:rPr>
                <w:color w:val="231F20"/>
                <w:sz w:val="18"/>
              </w:rPr>
              <w:t>4.3</w:t>
            </w:r>
          </w:p>
        </w:tc>
        <w:tc>
          <w:tcPr>
            <w:tcW w:w="992" w:type="dxa"/>
            <w:tcBorders>
              <w:bottom w:val="triple" w:sz="2" w:space="0" w:color="231F20"/>
            </w:tcBorders>
          </w:tcPr>
          <w:p>
            <w:pPr>
              <w:pStyle w:val="TableParagraph"/>
              <w:ind w:right="221"/>
              <w:jc w:val="right"/>
              <w:rPr>
                <w:sz w:val="18"/>
              </w:rPr>
            </w:pPr>
            <w:r>
              <w:rPr>
                <w:color w:val="231F20"/>
                <w:sz w:val="18"/>
              </w:rPr>
              <w:t>2.4</w:t>
            </w:r>
          </w:p>
        </w:tc>
        <w:tc>
          <w:tcPr>
            <w:tcW w:w="992" w:type="dxa"/>
            <w:tcBorders>
              <w:bottom w:val="triple" w:sz="2" w:space="0" w:color="231F20"/>
            </w:tcBorders>
          </w:tcPr>
          <w:p>
            <w:pPr>
              <w:pStyle w:val="TableParagraph"/>
              <w:ind w:right="221"/>
              <w:jc w:val="right"/>
              <w:rPr>
                <w:sz w:val="18"/>
              </w:rPr>
            </w:pPr>
            <w:r>
              <w:rPr>
                <w:color w:val="231F20"/>
                <w:sz w:val="18"/>
              </w:rPr>
              <w:t>9.9</w:t>
            </w:r>
          </w:p>
        </w:tc>
        <w:tc>
          <w:tcPr>
            <w:tcW w:w="992" w:type="dxa"/>
            <w:tcBorders>
              <w:bottom w:val="triple" w:sz="2" w:space="0" w:color="231F20"/>
            </w:tcBorders>
          </w:tcPr>
          <w:p>
            <w:pPr>
              <w:pStyle w:val="TableParagraph"/>
              <w:ind w:right="221"/>
              <w:jc w:val="right"/>
              <w:rPr>
                <w:sz w:val="18"/>
              </w:rPr>
            </w:pPr>
            <w:r>
              <w:rPr>
                <w:color w:val="231F20"/>
                <w:sz w:val="18"/>
              </w:rPr>
              <w:t>7.6</w:t>
            </w:r>
          </w:p>
        </w:tc>
      </w:tr>
      <w:tr>
        <w:trPr>
          <w:trHeight w:val="340" w:hRule="exact"/>
        </w:trPr>
        <w:tc>
          <w:tcPr>
            <w:tcW w:w="2957" w:type="dxa"/>
            <w:gridSpan w:val="2"/>
            <w:tcBorders>
              <w:top w:val="triple" w:sz="2" w:space="0" w:color="231F20"/>
            </w:tcBorders>
          </w:tcPr>
          <w:p>
            <w:pPr>
              <w:pStyle w:val="TableParagraph"/>
              <w:ind w:left="78" w:right="-9"/>
              <w:rPr>
                <w:sz w:val="18"/>
              </w:rPr>
            </w:pPr>
            <w:r>
              <w:rPr>
                <w:color w:val="231F20"/>
                <w:spacing w:val="-5"/>
                <w:w w:val="105"/>
                <w:sz w:val="18"/>
              </w:rPr>
              <w:t>Tamaño </w:t>
            </w:r>
            <w:r>
              <w:rPr>
                <w:color w:val="231F20"/>
                <w:w w:val="105"/>
                <w:sz w:val="18"/>
              </w:rPr>
              <w:t>de localidad de </w:t>
            </w:r>
            <w:r>
              <w:rPr>
                <w:color w:val="231F20"/>
                <w:spacing w:val="-3"/>
                <w:w w:val="105"/>
                <w:sz w:val="18"/>
              </w:rPr>
              <w:t>residencia</w:t>
            </w:r>
          </w:p>
        </w:tc>
        <w:tc>
          <w:tcPr>
            <w:tcW w:w="992" w:type="dxa"/>
            <w:tcBorders>
              <w:top w:val="triple" w:sz="2" w:space="0" w:color="231F20"/>
            </w:tcBorders>
          </w:tcPr>
          <w:p>
            <w:pPr>
              <w:pStyle w:val="TableParagraph"/>
              <w:ind w:right="221"/>
              <w:jc w:val="right"/>
              <w:rPr>
                <w:sz w:val="18"/>
              </w:rPr>
            </w:pPr>
            <w:r>
              <w:rPr>
                <w:color w:val="231F20"/>
                <w:sz w:val="18"/>
              </w:rPr>
              <w:t>100.0</w:t>
            </w:r>
          </w:p>
        </w:tc>
        <w:tc>
          <w:tcPr>
            <w:tcW w:w="992" w:type="dxa"/>
            <w:tcBorders>
              <w:top w:val="triple" w:sz="2" w:space="0" w:color="231F20"/>
            </w:tcBorders>
          </w:tcPr>
          <w:p>
            <w:pPr>
              <w:pStyle w:val="TableParagraph"/>
              <w:ind w:right="221"/>
              <w:jc w:val="right"/>
              <w:rPr>
                <w:sz w:val="18"/>
              </w:rPr>
            </w:pPr>
            <w:r>
              <w:rPr>
                <w:color w:val="231F20"/>
                <w:sz w:val="18"/>
              </w:rPr>
              <w:t>100.0</w:t>
            </w:r>
          </w:p>
        </w:tc>
        <w:tc>
          <w:tcPr>
            <w:tcW w:w="992" w:type="dxa"/>
            <w:tcBorders>
              <w:top w:val="triple" w:sz="2" w:space="0" w:color="231F20"/>
            </w:tcBorders>
          </w:tcPr>
          <w:p>
            <w:pPr>
              <w:pStyle w:val="TableParagraph"/>
              <w:ind w:right="221"/>
              <w:jc w:val="right"/>
              <w:rPr>
                <w:sz w:val="18"/>
              </w:rPr>
            </w:pPr>
            <w:r>
              <w:rPr>
                <w:color w:val="231F20"/>
                <w:sz w:val="18"/>
              </w:rPr>
              <w:t>100.0</w:t>
            </w:r>
          </w:p>
        </w:tc>
        <w:tc>
          <w:tcPr>
            <w:tcW w:w="992" w:type="dxa"/>
            <w:tcBorders>
              <w:top w:val="triple" w:sz="2" w:space="0" w:color="231F20"/>
            </w:tcBorders>
          </w:tcPr>
          <w:p>
            <w:pPr>
              <w:pStyle w:val="TableParagraph"/>
              <w:ind w:right="221"/>
              <w:jc w:val="right"/>
              <w:rPr>
                <w:sz w:val="18"/>
              </w:rPr>
            </w:pPr>
            <w:r>
              <w:rPr>
                <w:color w:val="231F20"/>
                <w:sz w:val="18"/>
              </w:rPr>
              <w:t>100.0</w:t>
            </w:r>
          </w:p>
        </w:tc>
      </w:tr>
      <w:tr>
        <w:trPr>
          <w:trHeight w:val="340" w:hRule="exact"/>
        </w:trPr>
        <w:tc>
          <w:tcPr>
            <w:tcW w:w="390" w:type="dxa"/>
          </w:tcPr>
          <w:p>
            <w:pPr/>
          </w:p>
        </w:tc>
        <w:tc>
          <w:tcPr>
            <w:tcW w:w="2567" w:type="dxa"/>
          </w:tcPr>
          <w:p>
            <w:pPr>
              <w:pStyle w:val="TableParagraph"/>
              <w:ind w:left="79"/>
              <w:rPr>
                <w:sz w:val="18"/>
              </w:rPr>
            </w:pPr>
            <w:r>
              <w:rPr>
                <w:color w:val="231F20"/>
                <w:w w:val="105"/>
                <w:sz w:val="18"/>
              </w:rPr>
              <w:t>Menos de 2 500 habitantes</w:t>
            </w:r>
          </w:p>
        </w:tc>
        <w:tc>
          <w:tcPr>
            <w:tcW w:w="992" w:type="dxa"/>
          </w:tcPr>
          <w:p>
            <w:pPr>
              <w:pStyle w:val="TableParagraph"/>
              <w:ind w:right="221"/>
              <w:jc w:val="right"/>
              <w:rPr>
                <w:sz w:val="18"/>
              </w:rPr>
            </w:pPr>
            <w:r>
              <w:rPr>
                <w:color w:val="231F20"/>
                <w:sz w:val="18"/>
              </w:rPr>
              <w:t>16.7</w:t>
            </w:r>
          </w:p>
        </w:tc>
        <w:tc>
          <w:tcPr>
            <w:tcW w:w="992" w:type="dxa"/>
          </w:tcPr>
          <w:p>
            <w:pPr>
              <w:pStyle w:val="TableParagraph"/>
              <w:ind w:right="221"/>
              <w:jc w:val="right"/>
              <w:rPr>
                <w:sz w:val="18"/>
              </w:rPr>
            </w:pPr>
            <w:r>
              <w:rPr>
                <w:color w:val="231F20"/>
                <w:sz w:val="18"/>
              </w:rPr>
              <w:t>9.4</w:t>
            </w:r>
          </w:p>
        </w:tc>
        <w:tc>
          <w:tcPr>
            <w:tcW w:w="992" w:type="dxa"/>
          </w:tcPr>
          <w:p>
            <w:pPr>
              <w:pStyle w:val="TableParagraph"/>
              <w:ind w:right="221"/>
              <w:jc w:val="right"/>
              <w:rPr>
                <w:sz w:val="18"/>
              </w:rPr>
            </w:pPr>
            <w:r>
              <w:rPr>
                <w:color w:val="231F20"/>
                <w:sz w:val="18"/>
              </w:rPr>
              <w:t>23.9</w:t>
            </w:r>
          </w:p>
        </w:tc>
        <w:tc>
          <w:tcPr>
            <w:tcW w:w="992" w:type="dxa"/>
          </w:tcPr>
          <w:p>
            <w:pPr>
              <w:pStyle w:val="TableParagraph"/>
              <w:ind w:right="221"/>
              <w:jc w:val="right"/>
              <w:rPr>
                <w:sz w:val="18"/>
              </w:rPr>
            </w:pPr>
            <w:r>
              <w:rPr>
                <w:color w:val="231F20"/>
                <w:sz w:val="18"/>
              </w:rPr>
              <w:t>18.4</w:t>
            </w:r>
          </w:p>
        </w:tc>
      </w:tr>
      <w:tr>
        <w:trPr>
          <w:trHeight w:val="340" w:hRule="exact"/>
        </w:trPr>
        <w:tc>
          <w:tcPr>
            <w:tcW w:w="390" w:type="dxa"/>
          </w:tcPr>
          <w:p>
            <w:pPr/>
          </w:p>
        </w:tc>
        <w:tc>
          <w:tcPr>
            <w:tcW w:w="2567" w:type="dxa"/>
          </w:tcPr>
          <w:p>
            <w:pPr>
              <w:pStyle w:val="TableParagraph"/>
              <w:ind w:left="79"/>
              <w:rPr>
                <w:sz w:val="18"/>
              </w:rPr>
            </w:pPr>
            <w:r>
              <w:rPr>
                <w:color w:val="231F20"/>
                <w:w w:val="105"/>
                <w:sz w:val="18"/>
              </w:rPr>
              <w:t>2 500 a 14 999 habitantes</w:t>
            </w:r>
          </w:p>
        </w:tc>
        <w:tc>
          <w:tcPr>
            <w:tcW w:w="992" w:type="dxa"/>
          </w:tcPr>
          <w:p>
            <w:pPr>
              <w:pStyle w:val="TableParagraph"/>
              <w:ind w:right="221"/>
              <w:jc w:val="right"/>
              <w:rPr>
                <w:sz w:val="18"/>
              </w:rPr>
            </w:pPr>
            <w:r>
              <w:rPr>
                <w:color w:val="231F20"/>
                <w:sz w:val="18"/>
              </w:rPr>
              <w:t>11.3</w:t>
            </w:r>
          </w:p>
        </w:tc>
        <w:tc>
          <w:tcPr>
            <w:tcW w:w="992" w:type="dxa"/>
          </w:tcPr>
          <w:p>
            <w:pPr>
              <w:pStyle w:val="TableParagraph"/>
              <w:ind w:right="221"/>
              <w:jc w:val="right"/>
              <w:rPr>
                <w:sz w:val="18"/>
              </w:rPr>
            </w:pPr>
            <w:r>
              <w:rPr>
                <w:color w:val="231F20"/>
                <w:sz w:val="18"/>
              </w:rPr>
              <w:t>12.3</w:t>
            </w:r>
          </w:p>
        </w:tc>
        <w:tc>
          <w:tcPr>
            <w:tcW w:w="992" w:type="dxa"/>
          </w:tcPr>
          <w:p>
            <w:pPr>
              <w:pStyle w:val="TableParagraph"/>
              <w:ind w:right="221"/>
              <w:jc w:val="right"/>
              <w:rPr>
                <w:sz w:val="18"/>
              </w:rPr>
            </w:pPr>
            <w:r>
              <w:rPr>
                <w:color w:val="231F20"/>
                <w:sz w:val="18"/>
              </w:rPr>
              <w:t>16.2</w:t>
            </w:r>
          </w:p>
        </w:tc>
        <w:tc>
          <w:tcPr>
            <w:tcW w:w="992" w:type="dxa"/>
          </w:tcPr>
          <w:p>
            <w:pPr>
              <w:pStyle w:val="TableParagraph"/>
              <w:ind w:right="221"/>
              <w:jc w:val="right"/>
              <w:rPr>
                <w:sz w:val="18"/>
              </w:rPr>
            </w:pPr>
            <w:r>
              <w:rPr>
                <w:color w:val="231F20"/>
                <w:sz w:val="18"/>
              </w:rPr>
              <w:t>17.2</w:t>
            </w:r>
          </w:p>
        </w:tc>
      </w:tr>
      <w:tr>
        <w:trPr>
          <w:trHeight w:val="340" w:hRule="exact"/>
        </w:trPr>
        <w:tc>
          <w:tcPr>
            <w:tcW w:w="390" w:type="dxa"/>
          </w:tcPr>
          <w:p>
            <w:pPr/>
          </w:p>
        </w:tc>
        <w:tc>
          <w:tcPr>
            <w:tcW w:w="2567" w:type="dxa"/>
          </w:tcPr>
          <w:p>
            <w:pPr>
              <w:pStyle w:val="TableParagraph"/>
              <w:ind w:left="79"/>
              <w:rPr>
                <w:sz w:val="18"/>
              </w:rPr>
            </w:pPr>
            <w:r>
              <w:rPr>
                <w:color w:val="231F20"/>
                <w:w w:val="105"/>
                <w:sz w:val="18"/>
              </w:rPr>
              <w:t>15 000 a 99 999 habitantes</w:t>
            </w:r>
          </w:p>
        </w:tc>
        <w:tc>
          <w:tcPr>
            <w:tcW w:w="992" w:type="dxa"/>
          </w:tcPr>
          <w:p>
            <w:pPr>
              <w:pStyle w:val="TableParagraph"/>
              <w:ind w:right="221"/>
              <w:jc w:val="right"/>
              <w:rPr>
                <w:sz w:val="18"/>
              </w:rPr>
            </w:pPr>
            <w:r>
              <w:rPr>
                <w:color w:val="231F20"/>
                <w:sz w:val="18"/>
              </w:rPr>
              <w:t>6.6</w:t>
            </w:r>
          </w:p>
        </w:tc>
        <w:tc>
          <w:tcPr>
            <w:tcW w:w="992" w:type="dxa"/>
          </w:tcPr>
          <w:p>
            <w:pPr>
              <w:pStyle w:val="TableParagraph"/>
              <w:ind w:right="221"/>
              <w:jc w:val="right"/>
              <w:rPr>
                <w:sz w:val="18"/>
              </w:rPr>
            </w:pPr>
            <w:r>
              <w:rPr>
                <w:color w:val="231F20"/>
                <w:sz w:val="18"/>
              </w:rPr>
              <w:t>8.3</w:t>
            </w:r>
          </w:p>
        </w:tc>
        <w:tc>
          <w:tcPr>
            <w:tcW w:w="992" w:type="dxa"/>
          </w:tcPr>
          <w:p>
            <w:pPr>
              <w:pStyle w:val="TableParagraph"/>
              <w:ind w:right="221"/>
              <w:jc w:val="right"/>
              <w:rPr>
                <w:sz w:val="18"/>
              </w:rPr>
            </w:pPr>
            <w:r>
              <w:rPr>
                <w:color w:val="231F20"/>
                <w:sz w:val="18"/>
              </w:rPr>
              <w:t>12.7</w:t>
            </w:r>
          </w:p>
        </w:tc>
        <w:tc>
          <w:tcPr>
            <w:tcW w:w="992" w:type="dxa"/>
          </w:tcPr>
          <w:p>
            <w:pPr>
              <w:pStyle w:val="TableParagraph"/>
              <w:ind w:right="221"/>
              <w:jc w:val="right"/>
              <w:rPr>
                <w:sz w:val="18"/>
              </w:rPr>
            </w:pPr>
            <w:r>
              <w:rPr>
                <w:color w:val="231F20"/>
                <w:sz w:val="18"/>
              </w:rPr>
              <w:t>12.1</w:t>
            </w:r>
          </w:p>
        </w:tc>
      </w:tr>
      <w:tr>
        <w:trPr>
          <w:trHeight w:val="340" w:hRule="exact"/>
        </w:trPr>
        <w:tc>
          <w:tcPr>
            <w:tcW w:w="390" w:type="dxa"/>
            <w:tcBorders>
              <w:bottom w:val="single" w:sz="3" w:space="0" w:color="231F20"/>
            </w:tcBorders>
          </w:tcPr>
          <w:p>
            <w:pPr/>
          </w:p>
        </w:tc>
        <w:tc>
          <w:tcPr>
            <w:tcW w:w="2567" w:type="dxa"/>
            <w:tcBorders>
              <w:bottom w:val="single" w:sz="3" w:space="0" w:color="231F20"/>
            </w:tcBorders>
          </w:tcPr>
          <w:p>
            <w:pPr>
              <w:pStyle w:val="TableParagraph"/>
              <w:spacing w:before="92"/>
              <w:ind w:left="79"/>
              <w:rPr>
                <w:sz w:val="18"/>
              </w:rPr>
            </w:pPr>
            <w:r>
              <w:rPr>
                <w:color w:val="231F20"/>
                <w:sz w:val="18"/>
              </w:rPr>
              <w:t>100 000 y más</w:t>
            </w:r>
          </w:p>
        </w:tc>
        <w:tc>
          <w:tcPr>
            <w:tcW w:w="992" w:type="dxa"/>
            <w:tcBorders>
              <w:bottom w:val="single" w:sz="3" w:space="0" w:color="231F20"/>
            </w:tcBorders>
          </w:tcPr>
          <w:p>
            <w:pPr>
              <w:pStyle w:val="TableParagraph"/>
              <w:spacing w:before="92"/>
              <w:ind w:right="220"/>
              <w:jc w:val="right"/>
              <w:rPr>
                <w:sz w:val="18"/>
              </w:rPr>
            </w:pPr>
            <w:r>
              <w:rPr>
                <w:color w:val="231F20"/>
                <w:sz w:val="18"/>
              </w:rPr>
              <w:t>65.4</w:t>
            </w:r>
          </w:p>
        </w:tc>
        <w:tc>
          <w:tcPr>
            <w:tcW w:w="992" w:type="dxa"/>
            <w:tcBorders>
              <w:bottom w:val="single" w:sz="3" w:space="0" w:color="231F20"/>
            </w:tcBorders>
          </w:tcPr>
          <w:p>
            <w:pPr>
              <w:pStyle w:val="TableParagraph"/>
              <w:spacing w:before="92"/>
              <w:ind w:right="220"/>
              <w:jc w:val="right"/>
              <w:rPr>
                <w:sz w:val="18"/>
              </w:rPr>
            </w:pPr>
            <w:r>
              <w:rPr>
                <w:color w:val="231F20"/>
                <w:sz w:val="18"/>
              </w:rPr>
              <w:t>69.9</w:t>
            </w:r>
          </w:p>
        </w:tc>
        <w:tc>
          <w:tcPr>
            <w:tcW w:w="992" w:type="dxa"/>
            <w:tcBorders>
              <w:bottom w:val="single" w:sz="3" w:space="0" w:color="231F20"/>
            </w:tcBorders>
          </w:tcPr>
          <w:p>
            <w:pPr>
              <w:pStyle w:val="TableParagraph"/>
              <w:spacing w:before="92"/>
              <w:ind w:right="220"/>
              <w:jc w:val="right"/>
              <w:rPr>
                <w:sz w:val="18"/>
              </w:rPr>
            </w:pPr>
            <w:r>
              <w:rPr>
                <w:color w:val="231F20"/>
                <w:sz w:val="18"/>
              </w:rPr>
              <w:t>47.3</w:t>
            </w:r>
          </w:p>
        </w:tc>
        <w:tc>
          <w:tcPr>
            <w:tcW w:w="992" w:type="dxa"/>
            <w:tcBorders>
              <w:bottom w:val="single" w:sz="3" w:space="0" w:color="231F20"/>
            </w:tcBorders>
          </w:tcPr>
          <w:p>
            <w:pPr>
              <w:pStyle w:val="TableParagraph"/>
              <w:spacing w:before="92"/>
              <w:ind w:right="220"/>
              <w:jc w:val="right"/>
              <w:rPr>
                <w:sz w:val="18"/>
              </w:rPr>
            </w:pPr>
            <w:r>
              <w:rPr>
                <w:color w:val="231F20"/>
                <w:sz w:val="18"/>
              </w:rPr>
              <w:t>52.3</w:t>
            </w:r>
          </w:p>
        </w:tc>
      </w:tr>
      <w:tr>
        <w:trPr>
          <w:trHeight w:val="340" w:hRule="exact"/>
        </w:trPr>
        <w:tc>
          <w:tcPr>
            <w:tcW w:w="390" w:type="dxa"/>
            <w:tcBorders>
              <w:top w:val="single" w:sz="3" w:space="0" w:color="231F20"/>
            </w:tcBorders>
          </w:tcPr>
          <w:p>
            <w:pPr>
              <w:pStyle w:val="TableParagraph"/>
              <w:ind w:left="79"/>
              <w:rPr>
                <w:sz w:val="18"/>
              </w:rPr>
            </w:pPr>
            <w:r>
              <w:rPr>
                <w:color w:val="231F20"/>
                <w:w w:val="105"/>
                <w:sz w:val="18"/>
              </w:rPr>
              <w:t>N</w:t>
            </w:r>
          </w:p>
        </w:tc>
        <w:tc>
          <w:tcPr>
            <w:tcW w:w="2567" w:type="dxa"/>
            <w:tcBorders>
              <w:top w:val="single" w:sz="3" w:space="0" w:color="231F20"/>
            </w:tcBorders>
          </w:tcPr>
          <w:p>
            <w:pPr/>
          </w:p>
        </w:tc>
        <w:tc>
          <w:tcPr>
            <w:tcW w:w="992" w:type="dxa"/>
            <w:tcBorders>
              <w:top w:val="single" w:sz="3" w:space="0" w:color="231F20"/>
            </w:tcBorders>
          </w:tcPr>
          <w:p>
            <w:pPr>
              <w:pStyle w:val="TableParagraph"/>
              <w:ind w:right="220"/>
              <w:jc w:val="right"/>
              <w:rPr>
                <w:sz w:val="18"/>
              </w:rPr>
            </w:pPr>
            <w:r>
              <w:rPr>
                <w:color w:val="231F20"/>
                <w:w w:val="105"/>
                <w:sz w:val="18"/>
              </w:rPr>
              <w:t>9 005</w:t>
            </w:r>
          </w:p>
        </w:tc>
        <w:tc>
          <w:tcPr>
            <w:tcW w:w="992" w:type="dxa"/>
            <w:tcBorders>
              <w:top w:val="single" w:sz="3" w:space="0" w:color="231F20"/>
            </w:tcBorders>
          </w:tcPr>
          <w:p>
            <w:pPr>
              <w:pStyle w:val="TableParagraph"/>
              <w:ind w:right="220"/>
              <w:jc w:val="right"/>
              <w:rPr>
                <w:sz w:val="18"/>
              </w:rPr>
            </w:pPr>
            <w:r>
              <w:rPr>
                <w:color w:val="231F20"/>
                <w:w w:val="105"/>
                <w:sz w:val="18"/>
              </w:rPr>
              <w:t>4 592</w:t>
            </w:r>
          </w:p>
        </w:tc>
        <w:tc>
          <w:tcPr>
            <w:tcW w:w="992" w:type="dxa"/>
            <w:tcBorders>
              <w:top w:val="single" w:sz="3" w:space="0" w:color="231F20"/>
            </w:tcBorders>
          </w:tcPr>
          <w:p>
            <w:pPr>
              <w:pStyle w:val="TableParagraph"/>
              <w:ind w:right="220"/>
              <w:jc w:val="right"/>
              <w:rPr>
                <w:sz w:val="18"/>
              </w:rPr>
            </w:pPr>
            <w:r>
              <w:rPr>
                <w:color w:val="231F20"/>
                <w:w w:val="105"/>
                <w:sz w:val="18"/>
              </w:rPr>
              <w:t>38 568</w:t>
            </w:r>
          </w:p>
        </w:tc>
        <w:tc>
          <w:tcPr>
            <w:tcW w:w="992" w:type="dxa"/>
            <w:tcBorders>
              <w:top w:val="single" w:sz="3" w:space="0" w:color="231F20"/>
            </w:tcBorders>
          </w:tcPr>
          <w:p>
            <w:pPr>
              <w:pStyle w:val="TableParagraph"/>
              <w:ind w:right="220"/>
              <w:jc w:val="right"/>
              <w:rPr>
                <w:sz w:val="18"/>
              </w:rPr>
            </w:pPr>
            <w:r>
              <w:rPr>
                <w:color w:val="231F20"/>
                <w:w w:val="105"/>
                <w:sz w:val="18"/>
              </w:rPr>
              <w:t>13 134</w:t>
            </w:r>
          </w:p>
        </w:tc>
      </w:tr>
      <w:tr>
        <w:trPr>
          <w:trHeight w:val="340" w:hRule="exact"/>
        </w:trPr>
        <w:tc>
          <w:tcPr>
            <w:tcW w:w="390" w:type="dxa"/>
          </w:tcPr>
          <w:p>
            <w:pPr>
              <w:pStyle w:val="TableParagraph"/>
              <w:spacing w:before="1"/>
              <w:rPr>
                <w:rFonts w:ascii="Arial"/>
                <w:sz w:val="9"/>
              </w:rPr>
            </w:pPr>
          </w:p>
          <w:p>
            <w:pPr>
              <w:pStyle w:val="TableParagraph"/>
              <w:spacing w:before="1"/>
              <w:ind w:left="246"/>
              <w:rPr>
                <w:sz w:val="10"/>
              </w:rPr>
            </w:pPr>
            <w:r>
              <w:rPr>
                <w:color w:val="231F20"/>
                <w:w w:val="109"/>
                <w:sz w:val="10"/>
              </w:rPr>
              <w:t>1</w:t>
            </w:r>
          </w:p>
        </w:tc>
        <w:tc>
          <w:tcPr>
            <w:tcW w:w="2567" w:type="dxa"/>
          </w:tcPr>
          <w:p>
            <w:pPr>
              <w:pStyle w:val="TableParagraph"/>
              <w:ind w:left="77"/>
              <w:rPr>
                <w:sz w:val="18"/>
              </w:rPr>
            </w:pPr>
            <w:r>
              <w:rPr>
                <w:color w:val="231F20"/>
                <w:w w:val="105"/>
                <w:sz w:val="18"/>
              </w:rPr>
              <w:t>Población de 12 años y más.</w:t>
            </w:r>
          </w:p>
        </w:tc>
        <w:tc>
          <w:tcPr>
            <w:tcW w:w="992" w:type="dxa"/>
          </w:tcPr>
          <w:p>
            <w:pPr/>
          </w:p>
        </w:tc>
        <w:tc>
          <w:tcPr>
            <w:tcW w:w="992" w:type="dxa"/>
          </w:tcPr>
          <w:p>
            <w:pPr/>
          </w:p>
        </w:tc>
        <w:tc>
          <w:tcPr>
            <w:tcW w:w="992" w:type="dxa"/>
          </w:tcPr>
          <w:p>
            <w:pPr/>
          </w:p>
        </w:tc>
        <w:tc>
          <w:tcPr>
            <w:tcW w:w="992" w:type="dxa"/>
          </w:tcPr>
          <w:p>
            <w:pPr/>
          </w:p>
        </w:tc>
      </w:tr>
    </w:tbl>
    <w:p>
      <w:pPr>
        <w:spacing w:line="254" w:lineRule="auto" w:before="78"/>
        <w:ind w:left="1837" w:right="1721" w:hanging="1"/>
        <w:jc w:val="both"/>
        <w:rPr>
          <w:sz w:val="16"/>
        </w:rPr>
      </w:pPr>
      <w:r>
        <w:rPr>
          <w:color w:val="231F20"/>
          <w:sz w:val="16"/>
        </w:rPr>
        <w:t>Fuente: estimaciones propias con base en </w:t>
      </w:r>
      <w:r>
        <w:rPr>
          <w:color w:val="231F20"/>
          <w:sz w:val="14"/>
        </w:rPr>
        <w:t>INEGI</w:t>
      </w:r>
      <w:r>
        <w:rPr>
          <w:color w:val="231F20"/>
          <w:sz w:val="16"/>
        </w:rPr>
        <w:t>, muestras censales de </w:t>
      </w:r>
      <w:r>
        <w:rPr>
          <w:color w:val="231F20"/>
          <w:sz w:val="14"/>
        </w:rPr>
        <w:t>XII </w:t>
      </w:r>
      <w:r>
        <w:rPr>
          <w:color w:val="231F20"/>
          <w:sz w:val="16"/>
        </w:rPr>
        <w:t>Censo General de Po- blación y Vivienda 2000 y Censo de Población y Vivienda 2010.</w:t>
      </w:r>
    </w:p>
    <w:p>
      <w:pPr>
        <w:pStyle w:val="BodyText"/>
        <w:rPr>
          <w:sz w:val="16"/>
        </w:rPr>
      </w:pPr>
    </w:p>
    <w:p>
      <w:pPr>
        <w:pStyle w:val="BodyText"/>
        <w:spacing w:line="261" w:lineRule="auto" w:before="101"/>
        <w:ind w:left="1837" w:right="1721"/>
        <w:jc w:val="both"/>
      </w:pPr>
      <w:r>
        <w:rPr>
          <w:color w:val="231F20"/>
          <w:w w:val="105"/>
        </w:rPr>
        <w:t>De</w:t>
      </w:r>
      <w:r>
        <w:rPr>
          <w:color w:val="231F20"/>
          <w:spacing w:val="-9"/>
          <w:w w:val="105"/>
        </w:rPr>
        <w:t> </w:t>
      </w:r>
      <w:r>
        <w:rPr>
          <w:color w:val="231F20"/>
          <w:spacing w:val="-3"/>
          <w:w w:val="105"/>
        </w:rPr>
        <w:t>acuerdo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spacing w:val="-3"/>
          <w:w w:val="105"/>
        </w:rPr>
        <w:t>posición</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spacing w:val="-3"/>
          <w:w w:val="105"/>
        </w:rPr>
        <w:t>familia</w:t>
      </w:r>
      <w:r>
        <w:rPr>
          <w:color w:val="231F20"/>
          <w:spacing w:val="-9"/>
          <w:w w:val="105"/>
        </w:rPr>
        <w:t> </w:t>
      </w:r>
      <w:r>
        <w:rPr>
          <w:color w:val="231F20"/>
          <w:spacing w:val="-3"/>
          <w:w w:val="105"/>
        </w:rPr>
        <w:t>encontramos</w:t>
      </w:r>
      <w:r>
        <w:rPr>
          <w:color w:val="231F20"/>
          <w:spacing w:val="-9"/>
          <w:w w:val="105"/>
        </w:rPr>
        <w:t> </w:t>
      </w:r>
      <w:r>
        <w:rPr>
          <w:color w:val="231F20"/>
          <w:w w:val="105"/>
        </w:rPr>
        <w:t>un</w:t>
      </w:r>
      <w:r>
        <w:rPr>
          <w:color w:val="231F20"/>
          <w:spacing w:val="-9"/>
          <w:w w:val="105"/>
        </w:rPr>
        <w:t> </w:t>
      </w:r>
      <w:r>
        <w:rPr>
          <w:color w:val="231F20"/>
          <w:spacing w:val="-4"/>
          <w:w w:val="105"/>
        </w:rPr>
        <w:t>patrón</w:t>
      </w:r>
      <w:r>
        <w:rPr>
          <w:color w:val="231F20"/>
          <w:spacing w:val="-9"/>
          <w:w w:val="105"/>
        </w:rPr>
        <w:t> </w:t>
      </w:r>
      <w:r>
        <w:rPr>
          <w:color w:val="231F20"/>
          <w:spacing w:val="-3"/>
          <w:w w:val="105"/>
        </w:rPr>
        <w:t>persistente </w:t>
      </w:r>
      <w:r>
        <w:rPr>
          <w:color w:val="231F20"/>
          <w:w w:val="105"/>
        </w:rPr>
        <w:t>en el </w:t>
      </w:r>
      <w:r>
        <w:rPr>
          <w:color w:val="231F20"/>
          <w:spacing w:val="-3"/>
          <w:w w:val="105"/>
        </w:rPr>
        <w:t>tiempo, donde poco </w:t>
      </w:r>
      <w:r>
        <w:rPr>
          <w:color w:val="231F20"/>
          <w:w w:val="105"/>
        </w:rPr>
        <w:t>más de 55% de la </w:t>
      </w:r>
      <w:r>
        <w:rPr>
          <w:color w:val="231F20"/>
          <w:spacing w:val="-3"/>
          <w:w w:val="105"/>
        </w:rPr>
        <w:t>población masculina </w:t>
      </w:r>
      <w:r>
        <w:rPr>
          <w:color w:val="231F20"/>
          <w:w w:val="105"/>
        </w:rPr>
        <w:t>se de- </w:t>
      </w:r>
      <w:r>
        <w:rPr>
          <w:color w:val="231F20"/>
          <w:spacing w:val="-3"/>
          <w:w w:val="105"/>
        </w:rPr>
        <w:t>claró jefe </w:t>
      </w:r>
      <w:r>
        <w:rPr>
          <w:color w:val="231F20"/>
          <w:w w:val="105"/>
        </w:rPr>
        <w:t>de </w:t>
      </w:r>
      <w:r>
        <w:rPr>
          <w:color w:val="231F20"/>
          <w:spacing w:val="-5"/>
          <w:w w:val="105"/>
        </w:rPr>
        <w:t>hogar, </w:t>
      </w:r>
      <w:r>
        <w:rPr>
          <w:color w:val="231F20"/>
          <w:w w:val="105"/>
        </w:rPr>
        <w:t>en las </w:t>
      </w:r>
      <w:r>
        <w:rPr>
          <w:color w:val="231F20"/>
          <w:spacing w:val="-3"/>
          <w:w w:val="105"/>
        </w:rPr>
        <w:t>mujeres </w:t>
      </w:r>
      <w:r>
        <w:rPr>
          <w:color w:val="231F20"/>
          <w:w w:val="105"/>
        </w:rPr>
        <w:t>se </w:t>
      </w:r>
      <w:r>
        <w:rPr>
          <w:color w:val="231F20"/>
          <w:spacing w:val="-4"/>
          <w:w w:val="105"/>
        </w:rPr>
        <w:t>aproxima </w:t>
      </w:r>
      <w:r>
        <w:rPr>
          <w:color w:val="231F20"/>
          <w:w w:val="105"/>
        </w:rPr>
        <w:t>a 14% en </w:t>
      </w:r>
      <w:r>
        <w:rPr>
          <w:color w:val="231F20"/>
          <w:spacing w:val="-3"/>
          <w:w w:val="105"/>
        </w:rPr>
        <w:t>ambos perio- dos. </w:t>
      </w:r>
      <w:r>
        <w:rPr>
          <w:color w:val="231F20"/>
          <w:w w:val="105"/>
        </w:rPr>
        <w:t>La </w:t>
      </w:r>
      <w:r>
        <w:rPr>
          <w:color w:val="231F20"/>
          <w:spacing w:val="-3"/>
          <w:w w:val="105"/>
        </w:rPr>
        <w:t>población migrante femenina </w:t>
      </w:r>
      <w:r>
        <w:rPr>
          <w:color w:val="231F20"/>
          <w:w w:val="105"/>
        </w:rPr>
        <w:t>se </w:t>
      </w:r>
      <w:r>
        <w:rPr>
          <w:color w:val="231F20"/>
          <w:spacing w:val="-3"/>
          <w:w w:val="105"/>
        </w:rPr>
        <w:t>concentra </w:t>
      </w:r>
      <w:r>
        <w:rPr>
          <w:color w:val="231F20"/>
          <w:spacing w:val="-4"/>
          <w:w w:val="105"/>
        </w:rPr>
        <w:t>predominantemente </w:t>
      </w:r>
      <w:r>
        <w:rPr>
          <w:color w:val="231F20"/>
          <w:w w:val="105"/>
        </w:rPr>
        <w:t>en</w:t>
      </w:r>
      <w:r>
        <w:rPr>
          <w:color w:val="231F20"/>
          <w:spacing w:val="-14"/>
          <w:w w:val="105"/>
        </w:rPr>
        <w:t> </w:t>
      </w:r>
      <w:r>
        <w:rPr>
          <w:color w:val="231F20"/>
          <w:spacing w:val="-3"/>
          <w:w w:val="105"/>
        </w:rPr>
        <w:t>cónyuges</w:t>
      </w:r>
      <w:r>
        <w:rPr>
          <w:color w:val="231F20"/>
          <w:spacing w:val="-14"/>
          <w:w w:val="105"/>
        </w:rPr>
        <w:t> </w:t>
      </w:r>
      <w:r>
        <w:rPr>
          <w:color w:val="231F20"/>
          <w:spacing w:val="-3"/>
          <w:w w:val="105"/>
        </w:rPr>
        <w:t>(40%)</w:t>
      </w:r>
      <w:r>
        <w:rPr>
          <w:color w:val="231F20"/>
          <w:spacing w:val="-14"/>
          <w:w w:val="105"/>
        </w:rPr>
        <w:t> </w:t>
      </w:r>
      <w:r>
        <w:rPr>
          <w:color w:val="231F20"/>
          <w:w w:val="105"/>
        </w:rPr>
        <w:t>e</w:t>
      </w:r>
      <w:r>
        <w:rPr>
          <w:color w:val="231F20"/>
          <w:spacing w:val="-14"/>
          <w:w w:val="105"/>
        </w:rPr>
        <w:t> </w:t>
      </w:r>
      <w:r>
        <w:rPr>
          <w:color w:val="231F20"/>
          <w:spacing w:val="-3"/>
          <w:w w:val="105"/>
        </w:rPr>
        <w:t>hijas</w:t>
      </w:r>
      <w:r>
        <w:rPr>
          <w:color w:val="231F20"/>
          <w:spacing w:val="-14"/>
          <w:w w:val="105"/>
        </w:rPr>
        <w:t> </w:t>
      </w:r>
      <w:r>
        <w:rPr>
          <w:color w:val="231F20"/>
          <w:spacing w:val="-3"/>
          <w:w w:val="105"/>
        </w:rPr>
        <w:t>(30%).</w:t>
      </w:r>
      <w:r>
        <w:rPr>
          <w:color w:val="231F20"/>
          <w:spacing w:val="-20"/>
          <w:w w:val="105"/>
        </w:rPr>
        <w:t> </w:t>
      </w:r>
      <w:r>
        <w:rPr>
          <w:color w:val="231F20"/>
          <w:spacing w:val="-3"/>
          <w:w w:val="105"/>
        </w:rPr>
        <w:t>Esta</w:t>
      </w:r>
      <w:r>
        <w:rPr>
          <w:color w:val="231F20"/>
          <w:spacing w:val="-14"/>
          <w:w w:val="105"/>
        </w:rPr>
        <w:t> </w:t>
      </w:r>
      <w:r>
        <w:rPr>
          <w:color w:val="231F20"/>
          <w:spacing w:val="-3"/>
          <w:w w:val="105"/>
        </w:rPr>
        <w:t>situación</w:t>
      </w:r>
      <w:r>
        <w:rPr>
          <w:color w:val="231F20"/>
          <w:spacing w:val="-14"/>
          <w:w w:val="105"/>
        </w:rPr>
        <w:t> </w:t>
      </w:r>
      <w:r>
        <w:rPr>
          <w:color w:val="231F20"/>
          <w:w w:val="105"/>
        </w:rPr>
        <w:t>nos</w:t>
      </w:r>
      <w:r>
        <w:rPr>
          <w:color w:val="231F20"/>
          <w:spacing w:val="-14"/>
          <w:w w:val="105"/>
        </w:rPr>
        <w:t> </w:t>
      </w:r>
      <w:r>
        <w:rPr>
          <w:color w:val="231F20"/>
          <w:spacing w:val="-3"/>
          <w:w w:val="105"/>
        </w:rPr>
        <w:t>indica</w:t>
      </w:r>
      <w:r>
        <w:rPr>
          <w:color w:val="231F20"/>
          <w:spacing w:val="-14"/>
          <w:w w:val="105"/>
        </w:rPr>
        <w:t> </w:t>
      </w:r>
      <w:r>
        <w:rPr>
          <w:color w:val="231F20"/>
          <w:w w:val="105"/>
        </w:rPr>
        <w:t>que</w:t>
      </w:r>
      <w:r>
        <w:rPr>
          <w:color w:val="231F20"/>
          <w:spacing w:val="-14"/>
          <w:w w:val="105"/>
        </w:rPr>
        <w:t> </w:t>
      </w:r>
      <w:r>
        <w:rPr>
          <w:color w:val="231F20"/>
          <w:spacing w:val="-3"/>
          <w:w w:val="105"/>
        </w:rPr>
        <w:t>probable- mente</w:t>
      </w:r>
      <w:r>
        <w:rPr>
          <w:color w:val="231F20"/>
          <w:spacing w:val="-27"/>
          <w:w w:val="105"/>
        </w:rPr>
        <w:t> </w:t>
      </w:r>
      <w:r>
        <w:rPr>
          <w:color w:val="231F20"/>
          <w:w w:val="105"/>
        </w:rPr>
        <w:t>la</w:t>
      </w:r>
      <w:r>
        <w:rPr>
          <w:color w:val="231F20"/>
          <w:spacing w:val="-27"/>
          <w:w w:val="105"/>
        </w:rPr>
        <w:t> </w:t>
      </w:r>
      <w:r>
        <w:rPr>
          <w:color w:val="231F20"/>
          <w:spacing w:val="-3"/>
          <w:w w:val="105"/>
        </w:rPr>
        <w:t>migración</w:t>
      </w:r>
      <w:r>
        <w:rPr>
          <w:color w:val="231F20"/>
          <w:spacing w:val="-27"/>
          <w:w w:val="105"/>
        </w:rPr>
        <w:t> </w:t>
      </w:r>
      <w:r>
        <w:rPr>
          <w:color w:val="231F20"/>
          <w:spacing w:val="-3"/>
          <w:w w:val="105"/>
        </w:rPr>
        <w:t>mexiquense</w:t>
      </w:r>
      <w:r>
        <w:rPr>
          <w:color w:val="231F20"/>
          <w:spacing w:val="-27"/>
          <w:w w:val="105"/>
        </w:rPr>
        <w:t> </w:t>
      </w:r>
      <w:r>
        <w:rPr>
          <w:color w:val="231F20"/>
          <w:w w:val="105"/>
        </w:rPr>
        <w:t>a</w:t>
      </w:r>
      <w:r>
        <w:rPr>
          <w:color w:val="231F20"/>
          <w:spacing w:val="-27"/>
          <w:w w:val="105"/>
        </w:rPr>
        <w:t> </w:t>
      </w:r>
      <w:r>
        <w:rPr>
          <w:color w:val="231F20"/>
          <w:spacing w:val="-3"/>
          <w:w w:val="105"/>
        </w:rPr>
        <w:t>Estados</w:t>
      </w:r>
      <w:r>
        <w:rPr>
          <w:color w:val="231F20"/>
          <w:spacing w:val="-27"/>
          <w:w w:val="105"/>
        </w:rPr>
        <w:t> </w:t>
      </w:r>
      <w:r>
        <w:rPr>
          <w:color w:val="231F20"/>
          <w:spacing w:val="-3"/>
          <w:w w:val="105"/>
        </w:rPr>
        <w:t>Unidos</w:t>
      </w:r>
      <w:r>
        <w:rPr>
          <w:color w:val="231F20"/>
          <w:spacing w:val="-27"/>
          <w:w w:val="105"/>
        </w:rPr>
        <w:t> </w:t>
      </w:r>
      <w:r>
        <w:rPr>
          <w:color w:val="231F20"/>
          <w:w w:val="105"/>
        </w:rPr>
        <w:t>por</w:t>
      </w:r>
      <w:r>
        <w:rPr>
          <w:color w:val="231F20"/>
          <w:spacing w:val="-27"/>
          <w:w w:val="105"/>
        </w:rPr>
        <w:t> </w:t>
      </w:r>
      <w:r>
        <w:rPr>
          <w:color w:val="231F20"/>
          <w:spacing w:val="-3"/>
          <w:w w:val="105"/>
        </w:rPr>
        <w:t>parte</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spacing w:val="-4"/>
          <w:w w:val="105"/>
        </w:rPr>
        <w:t>mujeres </w:t>
      </w:r>
      <w:r>
        <w:rPr>
          <w:color w:val="231F20"/>
          <w:spacing w:val="-3"/>
          <w:w w:val="105"/>
        </w:rPr>
        <w:t>corresponde</w:t>
      </w:r>
      <w:r>
        <w:rPr>
          <w:color w:val="231F20"/>
          <w:spacing w:val="-17"/>
          <w:w w:val="105"/>
        </w:rPr>
        <w:t> </w:t>
      </w:r>
      <w:r>
        <w:rPr>
          <w:color w:val="231F20"/>
          <w:spacing w:val="-3"/>
          <w:w w:val="105"/>
        </w:rPr>
        <w:t>primariamente</w:t>
      </w:r>
      <w:r>
        <w:rPr>
          <w:color w:val="231F20"/>
          <w:spacing w:val="-17"/>
          <w:w w:val="105"/>
        </w:rPr>
        <w:t> </w:t>
      </w:r>
      <w:r>
        <w:rPr>
          <w:color w:val="231F20"/>
          <w:w w:val="105"/>
        </w:rPr>
        <w:t>a</w:t>
      </w:r>
      <w:r>
        <w:rPr>
          <w:color w:val="231F20"/>
          <w:spacing w:val="-17"/>
          <w:w w:val="105"/>
        </w:rPr>
        <w:t> </w:t>
      </w:r>
      <w:r>
        <w:rPr>
          <w:color w:val="231F20"/>
          <w:w w:val="105"/>
        </w:rPr>
        <w:t>un</w:t>
      </w:r>
      <w:r>
        <w:rPr>
          <w:color w:val="231F20"/>
          <w:spacing w:val="-17"/>
          <w:w w:val="105"/>
        </w:rPr>
        <w:t> </w:t>
      </w:r>
      <w:r>
        <w:rPr>
          <w:color w:val="231F20"/>
          <w:spacing w:val="-4"/>
          <w:w w:val="105"/>
        </w:rPr>
        <w:t>patrón</w:t>
      </w:r>
      <w:r>
        <w:rPr>
          <w:color w:val="231F20"/>
          <w:spacing w:val="-17"/>
          <w:w w:val="105"/>
        </w:rPr>
        <w:t> </w:t>
      </w:r>
      <w:r>
        <w:rPr>
          <w:color w:val="231F20"/>
          <w:w w:val="105"/>
        </w:rPr>
        <w:t>de</w:t>
      </w:r>
      <w:r>
        <w:rPr>
          <w:color w:val="231F20"/>
          <w:spacing w:val="-17"/>
          <w:w w:val="105"/>
        </w:rPr>
        <w:t> </w:t>
      </w:r>
      <w:r>
        <w:rPr>
          <w:color w:val="231F20"/>
          <w:spacing w:val="-3"/>
          <w:w w:val="105"/>
        </w:rPr>
        <w:t>acompañamiento,</w:t>
      </w:r>
      <w:r>
        <w:rPr>
          <w:color w:val="231F20"/>
          <w:spacing w:val="-24"/>
          <w:w w:val="105"/>
        </w:rPr>
        <w:t> </w:t>
      </w:r>
      <w:r>
        <w:rPr>
          <w:color w:val="231F20"/>
          <w:spacing w:val="-3"/>
          <w:w w:val="105"/>
        </w:rPr>
        <w:t>siendo</w:t>
      </w:r>
      <w:r>
        <w:rPr>
          <w:color w:val="231F20"/>
          <w:spacing w:val="-17"/>
          <w:w w:val="105"/>
        </w:rPr>
        <w:t> </w:t>
      </w:r>
      <w:r>
        <w:rPr>
          <w:color w:val="231F20"/>
          <w:spacing w:val="-3"/>
          <w:w w:val="105"/>
        </w:rPr>
        <w:t>cón- yuges </w:t>
      </w:r>
      <w:r>
        <w:rPr>
          <w:color w:val="231F20"/>
          <w:w w:val="105"/>
        </w:rPr>
        <w:t>o </w:t>
      </w:r>
      <w:r>
        <w:rPr>
          <w:color w:val="231F20"/>
          <w:spacing w:val="-3"/>
          <w:w w:val="105"/>
        </w:rPr>
        <w:t>posiblemente hijas </w:t>
      </w:r>
      <w:r>
        <w:rPr>
          <w:color w:val="231F20"/>
          <w:w w:val="105"/>
        </w:rPr>
        <w:t>del </w:t>
      </w:r>
      <w:r>
        <w:rPr>
          <w:color w:val="231F20"/>
          <w:spacing w:val="-3"/>
          <w:w w:val="105"/>
        </w:rPr>
        <w:t>jefe </w:t>
      </w:r>
      <w:r>
        <w:rPr>
          <w:color w:val="231F20"/>
          <w:w w:val="105"/>
        </w:rPr>
        <w:t>de </w:t>
      </w:r>
      <w:r>
        <w:rPr>
          <w:color w:val="231F20"/>
          <w:spacing w:val="-3"/>
          <w:w w:val="105"/>
        </w:rPr>
        <w:t>familia. </w:t>
      </w:r>
      <w:r>
        <w:rPr>
          <w:color w:val="231F20"/>
          <w:w w:val="105"/>
        </w:rPr>
        <w:t>Es </w:t>
      </w:r>
      <w:r>
        <w:rPr>
          <w:color w:val="231F20"/>
          <w:spacing w:val="-3"/>
          <w:w w:val="105"/>
        </w:rPr>
        <w:t>notable </w:t>
      </w:r>
      <w:r>
        <w:rPr>
          <w:color w:val="231F20"/>
          <w:w w:val="105"/>
        </w:rPr>
        <w:t>que 76% de </w:t>
      </w:r>
      <w:r>
        <w:rPr>
          <w:color w:val="231F20"/>
          <w:spacing w:val="-3"/>
          <w:w w:val="105"/>
        </w:rPr>
        <w:t>la población femenina declaró </w:t>
      </w:r>
      <w:r>
        <w:rPr>
          <w:color w:val="231F20"/>
          <w:w w:val="105"/>
        </w:rPr>
        <w:t>en </w:t>
      </w:r>
      <w:r>
        <w:rPr>
          <w:color w:val="231F20"/>
          <w:spacing w:val="-3"/>
          <w:w w:val="105"/>
        </w:rPr>
        <w:t>ambos años 2000 </w:t>
      </w:r>
      <w:r>
        <w:rPr>
          <w:color w:val="231F20"/>
          <w:w w:val="105"/>
        </w:rPr>
        <w:t>y </w:t>
      </w:r>
      <w:r>
        <w:rPr>
          <w:color w:val="231F20"/>
          <w:spacing w:val="-3"/>
          <w:w w:val="105"/>
        </w:rPr>
        <w:t>2010 tener </w:t>
      </w:r>
      <w:r>
        <w:rPr>
          <w:color w:val="231F20"/>
          <w:w w:val="105"/>
        </w:rPr>
        <w:t>al </w:t>
      </w:r>
      <w:r>
        <w:rPr>
          <w:color w:val="231F20"/>
          <w:spacing w:val="-3"/>
          <w:w w:val="105"/>
        </w:rPr>
        <w:t>menos </w:t>
      </w:r>
      <w:r>
        <w:rPr>
          <w:color w:val="231F20"/>
          <w:w w:val="105"/>
        </w:rPr>
        <w:t>un </w:t>
      </w:r>
      <w:r>
        <w:rPr>
          <w:color w:val="231F20"/>
          <w:spacing w:val="-3"/>
          <w:w w:val="105"/>
        </w:rPr>
        <w:t>hijo nacido vivo, </w:t>
      </w:r>
      <w:r>
        <w:rPr>
          <w:color w:val="231F20"/>
          <w:w w:val="105"/>
        </w:rPr>
        <w:t>por lo </w:t>
      </w:r>
      <w:r>
        <w:rPr>
          <w:color w:val="231F20"/>
          <w:spacing w:val="-3"/>
          <w:w w:val="105"/>
        </w:rPr>
        <w:t>cual sería pertinente preguntarnos ¿cómo </w:t>
      </w:r>
      <w:r>
        <w:rPr>
          <w:color w:val="231F20"/>
          <w:w w:val="105"/>
        </w:rPr>
        <w:t>in- fluye</w:t>
      </w:r>
      <w:r>
        <w:rPr>
          <w:color w:val="231F20"/>
          <w:spacing w:val="-29"/>
          <w:w w:val="105"/>
        </w:rPr>
        <w:t> </w:t>
      </w:r>
      <w:r>
        <w:rPr>
          <w:color w:val="231F20"/>
          <w:spacing w:val="-3"/>
          <w:w w:val="105"/>
        </w:rPr>
        <w:t>este</w:t>
      </w:r>
      <w:r>
        <w:rPr>
          <w:color w:val="231F20"/>
          <w:spacing w:val="-29"/>
          <w:w w:val="105"/>
        </w:rPr>
        <w:t> </w:t>
      </w:r>
      <w:r>
        <w:rPr>
          <w:color w:val="231F20"/>
          <w:spacing w:val="-3"/>
          <w:w w:val="105"/>
        </w:rPr>
        <w:t>factor</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spacing w:val="-3"/>
          <w:w w:val="105"/>
        </w:rPr>
        <w:t>decisión</w:t>
      </w:r>
      <w:r>
        <w:rPr>
          <w:color w:val="231F20"/>
          <w:spacing w:val="-29"/>
          <w:w w:val="105"/>
        </w:rPr>
        <w:t> </w:t>
      </w:r>
      <w:r>
        <w:rPr>
          <w:color w:val="231F20"/>
          <w:w w:val="105"/>
        </w:rPr>
        <w:t>de</w:t>
      </w:r>
      <w:r>
        <w:rPr>
          <w:color w:val="231F20"/>
          <w:spacing w:val="-29"/>
          <w:w w:val="105"/>
        </w:rPr>
        <w:t> </w:t>
      </w:r>
      <w:r>
        <w:rPr>
          <w:color w:val="231F20"/>
          <w:spacing w:val="-3"/>
          <w:w w:val="105"/>
        </w:rPr>
        <w:t>acompañar</w:t>
      </w:r>
      <w:r>
        <w:rPr>
          <w:color w:val="231F20"/>
          <w:spacing w:val="-29"/>
          <w:w w:val="105"/>
        </w:rPr>
        <w:t> </w:t>
      </w:r>
      <w:r>
        <w:rPr>
          <w:color w:val="231F20"/>
          <w:w w:val="105"/>
        </w:rPr>
        <w:t>a</w:t>
      </w:r>
      <w:r>
        <w:rPr>
          <w:color w:val="231F20"/>
          <w:spacing w:val="-29"/>
          <w:w w:val="105"/>
        </w:rPr>
        <w:t> </w:t>
      </w:r>
      <w:r>
        <w:rPr>
          <w:color w:val="231F20"/>
          <w:w w:val="105"/>
        </w:rPr>
        <w:t>su</w:t>
      </w:r>
      <w:r>
        <w:rPr>
          <w:color w:val="231F20"/>
          <w:spacing w:val="-29"/>
          <w:w w:val="105"/>
        </w:rPr>
        <w:t> </w:t>
      </w:r>
      <w:r>
        <w:rPr>
          <w:color w:val="231F20"/>
          <w:spacing w:val="-3"/>
          <w:w w:val="105"/>
        </w:rPr>
        <w:t>pareja?</w:t>
      </w:r>
      <w:r>
        <w:rPr>
          <w:color w:val="231F20"/>
          <w:spacing w:val="-29"/>
          <w:w w:val="105"/>
        </w:rPr>
        <w:t> </w:t>
      </w:r>
      <w:r>
        <w:rPr>
          <w:color w:val="231F20"/>
          <w:spacing w:val="-7"/>
          <w:w w:val="105"/>
        </w:rPr>
        <w:t>Por</w:t>
      </w:r>
      <w:r>
        <w:rPr>
          <w:color w:val="231F20"/>
          <w:spacing w:val="-29"/>
          <w:w w:val="105"/>
        </w:rPr>
        <w:t> </w:t>
      </w:r>
      <w:r>
        <w:rPr>
          <w:color w:val="231F20"/>
          <w:spacing w:val="-3"/>
          <w:w w:val="105"/>
        </w:rPr>
        <w:t>otra</w:t>
      </w:r>
      <w:r>
        <w:rPr>
          <w:color w:val="231F20"/>
          <w:spacing w:val="-29"/>
          <w:w w:val="105"/>
        </w:rPr>
        <w:t> </w:t>
      </w:r>
      <w:r>
        <w:rPr>
          <w:color w:val="231F20"/>
          <w:spacing w:val="-3"/>
          <w:w w:val="105"/>
        </w:rPr>
        <w:t>parte</w:t>
      </w:r>
      <w:r>
        <w:rPr>
          <w:color w:val="231F20"/>
          <w:spacing w:val="-29"/>
          <w:w w:val="105"/>
        </w:rPr>
        <w:t> </w:t>
      </w:r>
      <w:r>
        <w:rPr>
          <w:color w:val="231F20"/>
          <w:spacing w:val="-3"/>
          <w:w w:val="105"/>
        </w:rPr>
        <w:t>las mujeres</w:t>
      </w:r>
      <w:r>
        <w:rPr>
          <w:color w:val="231F20"/>
          <w:spacing w:val="-11"/>
          <w:w w:val="105"/>
        </w:rPr>
        <w:t> </w:t>
      </w:r>
      <w:r>
        <w:rPr>
          <w:color w:val="231F20"/>
          <w:w w:val="105"/>
        </w:rPr>
        <w:t>sin</w:t>
      </w:r>
      <w:r>
        <w:rPr>
          <w:color w:val="231F20"/>
          <w:spacing w:val="-11"/>
          <w:w w:val="105"/>
        </w:rPr>
        <w:t> </w:t>
      </w:r>
      <w:r>
        <w:rPr>
          <w:color w:val="231F20"/>
          <w:w w:val="105"/>
        </w:rPr>
        <w:t>una</w:t>
      </w:r>
      <w:r>
        <w:rPr>
          <w:color w:val="231F20"/>
          <w:spacing w:val="-11"/>
          <w:w w:val="105"/>
        </w:rPr>
        <w:t> </w:t>
      </w:r>
      <w:r>
        <w:rPr>
          <w:color w:val="231F20"/>
          <w:spacing w:val="-3"/>
          <w:w w:val="105"/>
        </w:rPr>
        <w:t>relación</w:t>
      </w:r>
      <w:r>
        <w:rPr>
          <w:color w:val="231F20"/>
          <w:spacing w:val="-11"/>
          <w:w w:val="105"/>
        </w:rPr>
        <w:t> </w:t>
      </w:r>
      <w:r>
        <w:rPr>
          <w:color w:val="231F20"/>
          <w:spacing w:val="-3"/>
          <w:w w:val="105"/>
        </w:rPr>
        <w:t>conyugal</w:t>
      </w:r>
      <w:r>
        <w:rPr>
          <w:color w:val="231F20"/>
          <w:spacing w:val="-11"/>
          <w:w w:val="105"/>
        </w:rPr>
        <w:t> </w:t>
      </w:r>
      <w:r>
        <w:rPr>
          <w:color w:val="231F20"/>
          <w:w w:val="105"/>
        </w:rPr>
        <w:t>y</w:t>
      </w:r>
      <w:r>
        <w:rPr>
          <w:color w:val="231F20"/>
          <w:spacing w:val="-11"/>
          <w:w w:val="105"/>
        </w:rPr>
        <w:t> </w:t>
      </w:r>
      <w:r>
        <w:rPr>
          <w:color w:val="231F20"/>
          <w:spacing w:val="-3"/>
          <w:w w:val="105"/>
        </w:rPr>
        <w:t>tienen</w:t>
      </w:r>
      <w:r>
        <w:rPr>
          <w:color w:val="231F20"/>
          <w:spacing w:val="-11"/>
          <w:w w:val="105"/>
        </w:rPr>
        <w:t> </w:t>
      </w:r>
      <w:r>
        <w:rPr>
          <w:color w:val="231F20"/>
          <w:w w:val="105"/>
        </w:rPr>
        <w:t>una</w:t>
      </w:r>
      <w:r>
        <w:rPr>
          <w:color w:val="231F20"/>
          <w:spacing w:val="-11"/>
          <w:w w:val="105"/>
        </w:rPr>
        <w:t> </w:t>
      </w:r>
      <w:r>
        <w:rPr>
          <w:color w:val="231F20"/>
          <w:spacing w:val="-4"/>
          <w:w w:val="105"/>
        </w:rPr>
        <w:t>proporción</w:t>
      </w:r>
      <w:r>
        <w:rPr>
          <w:color w:val="231F20"/>
          <w:spacing w:val="-11"/>
          <w:w w:val="105"/>
        </w:rPr>
        <w:t> </w:t>
      </w:r>
      <w:r>
        <w:rPr>
          <w:color w:val="231F20"/>
          <w:spacing w:val="-3"/>
          <w:w w:val="105"/>
        </w:rPr>
        <w:t>menor</w:t>
      </w:r>
      <w:r>
        <w:rPr>
          <w:color w:val="231F20"/>
          <w:spacing w:val="-11"/>
          <w:w w:val="105"/>
        </w:rPr>
        <w:t> </w:t>
      </w:r>
      <w:r>
        <w:rPr>
          <w:color w:val="231F20"/>
          <w:w w:val="105"/>
        </w:rPr>
        <w:t>que</w:t>
      </w:r>
      <w:r>
        <w:rPr>
          <w:color w:val="231F20"/>
          <w:spacing w:val="-11"/>
          <w:w w:val="105"/>
        </w:rPr>
        <w:t> </w:t>
      </w:r>
      <w:r>
        <w:rPr>
          <w:color w:val="231F20"/>
          <w:spacing w:val="-3"/>
          <w:w w:val="105"/>
        </w:rPr>
        <w:t>los varones</w:t>
      </w:r>
      <w:r>
        <w:rPr>
          <w:color w:val="231F20"/>
          <w:spacing w:val="-27"/>
          <w:w w:val="105"/>
        </w:rPr>
        <w:t> </w:t>
      </w:r>
      <w:r>
        <w:rPr>
          <w:color w:val="231F20"/>
          <w:spacing w:val="-3"/>
          <w:w w:val="105"/>
        </w:rPr>
        <w:t>migrantes,</w:t>
      </w:r>
      <w:r>
        <w:rPr>
          <w:color w:val="231F20"/>
          <w:spacing w:val="-31"/>
          <w:w w:val="105"/>
        </w:rPr>
        <w:t> </w:t>
      </w:r>
      <w:r>
        <w:rPr>
          <w:color w:val="231F20"/>
          <w:w w:val="105"/>
        </w:rPr>
        <w:t>con</w:t>
      </w:r>
      <w:r>
        <w:rPr>
          <w:color w:val="231F20"/>
          <w:spacing w:val="-27"/>
          <w:w w:val="105"/>
        </w:rPr>
        <w:t> </w:t>
      </w:r>
      <w:r>
        <w:rPr>
          <w:color w:val="231F20"/>
          <w:spacing w:val="-3"/>
          <w:w w:val="105"/>
        </w:rPr>
        <w:t>alrededor</w:t>
      </w:r>
      <w:r>
        <w:rPr>
          <w:color w:val="231F20"/>
          <w:spacing w:val="-27"/>
          <w:w w:val="105"/>
        </w:rPr>
        <w:t> </w:t>
      </w:r>
      <w:r>
        <w:rPr>
          <w:color w:val="231F20"/>
          <w:w w:val="105"/>
        </w:rPr>
        <w:t>de</w:t>
      </w:r>
      <w:r>
        <w:rPr>
          <w:color w:val="231F20"/>
          <w:spacing w:val="-27"/>
          <w:w w:val="105"/>
        </w:rPr>
        <w:t> </w:t>
      </w:r>
      <w:r>
        <w:rPr>
          <w:color w:val="231F20"/>
          <w:w w:val="105"/>
        </w:rPr>
        <w:t>20%</w:t>
      </w:r>
      <w:r>
        <w:rPr>
          <w:color w:val="231F20"/>
          <w:spacing w:val="-27"/>
          <w:w w:val="105"/>
        </w:rPr>
        <w:t> </w:t>
      </w:r>
      <w:r>
        <w:rPr>
          <w:color w:val="231F20"/>
          <w:w w:val="105"/>
        </w:rPr>
        <w:t>en</w:t>
      </w:r>
      <w:r>
        <w:rPr>
          <w:color w:val="231F20"/>
          <w:spacing w:val="-27"/>
          <w:w w:val="105"/>
        </w:rPr>
        <w:t> </w:t>
      </w:r>
      <w:r>
        <w:rPr>
          <w:color w:val="231F20"/>
          <w:spacing w:val="-3"/>
          <w:w w:val="105"/>
        </w:rPr>
        <w:t>ambas</w:t>
      </w:r>
      <w:r>
        <w:rPr>
          <w:color w:val="231F20"/>
          <w:spacing w:val="-27"/>
          <w:w w:val="105"/>
        </w:rPr>
        <w:t> </w:t>
      </w:r>
      <w:r>
        <w:rPr>
          <w:color w:val="231F20"/>
          <w:spacing w:val="-3"/>
          <w:w w:val="105"/>
        </w:rPr>
        <w:t>observaciones.</w:t>
      </w:r>
    </w:p>
    <w:p>
      <w:pPr>
        <w:pStyle w:val="BodyText"/>
        <w:spacing w:line="261" w:lineRule="auto" w:before="1"/>
        <w:ind w:left="1837" w:right="1721" w:firstLine="567"/>
        <w:jc w:val="both"/>
      </w:pPr>
      <w:r>
        <w:rPr>
          <w:color w:val="231F20"/>
          <w:w w:val="105"/>
        </w:rPr>
        <w:t>En</w:t>
      </w:r>
      <w:r>
        <w:rPr>
          <w:color w:val="231F20"/>
          <w:spacing w:val="-16"/>
          <w:w w:val="105"/>
        </w:rPr>
        <w:t> </w:t>
      </w:r>
      <w:r>
        <w:rPr>
          <w:color w:val="231F20"/>
          <w:w w:val="105"/>
        </w:rPr>
        <w:t>términos</w:t>
      </w:r>
      <w:r>
        <w:rPr>
          <w:color w:val="231F20"/>
          <w:spacing w:val="-16"/>
          <w:w w:val="105"/>
        </w:rPr>
        <w:t> </w:t>
      </w:r>
      <w:r>
        <w:rPr>
          <w:color w:val="231F20"/>
          <w:w w:val="105"/>
        </w:rPr>
        <w:t>de</w:t>
      </w:r>
      <w:r>
        <w:rPr>
          <w:color w:val="231F20"/>
          <w:spacing w:val="-16"/>
          <w:w w:val="105"/>
        </w:rPr>
        <w:t> </w:t>
      </w:r>
      <w:r>
        <w:rPr>
          <w:color w:val="231F20"/>
          <w:w w:val="105"/>
        </w:rPr>
        <w:t>escolaridad</w:t>
      </w:r>
      <w:r>
        <w:rPr>
          <w:color w:val="231F20"/>
          <w:spacing w:val="-16"/>
          <w:w w:val="105"/>
        </w:rPr>
        <w:t> </w:t>
      </w:r>
      <w:r>
        <w:rPr>
          <w:color w:val="231F20"/>
          <w:w w:val="105"/>
        </w:rPr>
        <w:t>observamos</w:t>
      </w:r>
      <w:r>
        <w:rPr>
          <w:color w:val="231F20"/>
          <w:spacing w:val="-16"/>
          <w:w w:val="105"/>
        </w:rPr>
        <w:t> </w:t>
      </w:r>
      <w:r>
        <w:rPr>
          <w:color w:val="231F20"/>
          <w:w w:val="105"/>
        </w:rPr>
        <w:t>un</w:t>
      </w:r>
      <w:r>
        <w:rPr>
          <w:color w:val="231F20"/>
          <w:spacing w:val="-16"/>
          <w:w w:val="105"/>
        </w:rPr>
        <w:t> </w:t>
      </w:r>
      <w:r>
        <w:rPr>
          <w:color w:val="231F20"/>
          <w:w w:val="105"/>
        </w:rPr>
        <w:t>ligero</w:t>
      </w:r>
      <w:r>
        <w:rPr>
          <w:color w:val="231F20"/>
          <w:spacing w:val="-16"/>
          <w:w w:val="105"/>
        </w:rPr>
        <w:t> </w:t>
      </w:r>
      <w:r>
        <w:rPr>
          <w:color w:val="231F20"/>
          <w:w w:val="105"/>
        </w:rPr>
        <w:t>aumento</w:t>
      </w:r>
      <w:r>
        <w:rPr>
          <w:color w:val="231F20"/>
          <w:spacing w:val="-16"/>
          <w:w w:val="105"/>
        </w:rPr>
        <w:t> </w:t>
      </w:r>
      <w:r>
        <w:rPr>
          <w:color w:val="231F20"/>
          <w:w w:val="105"/>
        </w:rPr>
        <w:t>en</w:t>
      </w:r>
      <w:r>
        <w:rPr>
          <w:color w:val="231F20"/>
          <w:spacing w:val="-16"/>
          <w:w w:val="105"/>
        </w:rPr>
        <w:t> </w:t>
      </w:r>
      <w:r>
        <w:rPr>
          <w:color w:val="231F20"/>
          <w:w w:val="105"/>
        </w:rPr>
        <w:t>am- bos sexos en el periodo observado sobre todo para las mujeres, lo</w:t>
      </w:r>
      <w:r>
        <w:rPr>
          <w:color w:val="231F20"/>
          <w:spacing w:val="-38"/>
          <w:w w:val="105"/>
        </w:rPr>
        <w:t> </w:t>
      </w:r>
      <w:r>
        <w:rPr>
          <w:color w:val="231F20"/>
          <w:w w:val="105"/>
        </w:rPr>
        <w:t>cual corresponde con el cambio positivo a nivel macro sucedidos en</w:t>
      </w:r>
      <w:r>
        <w:rPr>
          <w:color w:val="231F20"/>
          <w:spacing w:val="-20"/>
          <w:w w:val="105"/>
        </w:rPr>
        <w:t> </w:t>
      </w:r>
      <w:r>
        <w:rPr>
          <w:color w:val="231F20"/>
          <w:w w:val="105"/>
        </w:rPr>
        <w:t>México en términos de</w:t>
      </w:r>
      <w:r>
        <w:rPr>
          <w:color w:val="231F20"/>
          <w:spacing w:val="-36"/>
          <w:w w:val="105"/>
        </w:rPr>
        <w:t> </w:t>
      </w:r>
      <w:r>
        <w:rPr>
          <w:color w:val="231F20"/>
          <w:w w:val="105"/>
        </w:rPr>
        <w:t>escolaridad.</w:t>
      </w:r>
    </w:p>
    <w:p>
      <w:pPr>
        <w:pStyle w:val="BodyText"/>
        <w:spacing w:line="261" w:lineRule="auto" w:before="1"/>
        <w:ind w:left="1837" w:right="1715" w:firstLine="567"/>
        <w:jc w:val="both"/>
      </w:pPr>
      <w:r>
        <w:rPr/>
        <w:pict>
          <v:line style="position:absolute;mso-position-horizontal-relative:page;mso-position-vertical-relative:paragraph;z-index:-456472" from="15pt,101.228584pt" to="0pt,101.228584pt" stroked="true" strokeweight=".25pt" strokecolor="#000000">
            <w10:wrap type="none"/>
          </v:line>
        </w:pict>
      </w:r>
      <w:r>
        <w:rPr/>
        <w:pict>
          <v:line style="position:absolute;mso-position-horizontal-relative:page;mso-position-vertical-relative:paragraph;z-index:33736" from="508.890015pt,101.228584pt" to="523.890015pt,101.228584pt" stroked="true" strokeweight=".25pt" strokecolor="#000000">
            <w10:wrap type="none"/>
          </v:line>
        </w:pict>
      </w:r>
      <w:r>
        <w:rPr>
          <w:color w:val="231F20"/>
          <w:w w:val="105"/>
        </w:rPr>
        <w:t>La</w:t>
      </w:r>
      <w:r>
        <w:rPr>
          <w:color w:val="231F20"/>
          <w:spacing w:val="-11"/>
          <w:w w:val="105"/>
        </w:rPr>
        <w:t> </w:t>
      </w:r>
      <w:r>
        <w:rPr>
          <w:color w:val="231F20"/>
          <w:w w:val="105"/>
        </w:rPr>
        <w:t>condición</w:t>
      </w:r>
      <w:r>
        <w:rPr>
          <w:color w:val="231F20"/>
          <w:spacing w:val="-11"/>
          <w:w w:val="105"/>
        </w:rPr>
        <w:t> </w:t>
      </w:r>
      <w:r>
        <w:rPr>
          <w:color w:val="231F20"/>
          <w:w w:val="105"/>
        </w:rPr>
        <w:t>de</w:t>
      </w:r>
      <w:r>
        <w:rPr>
          <w:color w:val="231F20"/>
          <w:spacing w:val="-11"/>
          <w:w w:val="105"/>
        </w:rPr>
        <w:t> </w:t>
      </w:r>
      <w:r>
        <w:rPr>
          <w:color w:val="231F20"/>
          <w:w w:val="105"/>
        </w:rPr>
        <w:t>actividad</w:t>
      </w:r>
      <w:r>
        <w:rPr>
          <w:color w:val="231F20"/>
          <w:spacing w:val="-11"/>
          <w:w w:val="105"/>
        </w:rPr>
        <w:t> </w:t>
      </w:r>
      <w:r>
        <w:rPr>
          <w:color w:val="231F20"/>
          <w:w w:val="105"/>
        </w:rPr>
        <w:t>tiene</w:t>
      </w:r>
      <w:r>
        <w:rPr>
          <w:color w:val="231F20"/>
          <w:spacing w:val="-11"/>
          <w:w w:val="105"/>
        </w:rPr>
        <w:t> </w:t>
      </w:r>
      <w:r>
        <w:rPr>
          <w:color w:val="231F20"/>
          <w:w w:val="105"/>
        </w:rPr>
        <w:t>un</w:t>
      </w:r>
      <w:r>
        <w:rPr>
          <w:color w:val="231F20"/>
          <w:spacing w:val="-11"/>
          <w:w w:val="105"/>
        </w:rPr>
        <w:t> </w:t>
      </w:r>
      <w:r>
        <w:rPr>
          <w:color w:val="231F20"/>
          <w:w w:val="105"/>
        </w:rPr>
        <w:t>patrón</w:t>
      </w:r>
      <w:r>
        <w:rPr>
          <w:color w:val="231F20"/>
          <w:spacing w:val="-11"/>
          <w:w w:val="105"/>
        </w:rPr>
        <w:t> </w:t>
      </w:r>
      <w:r>
        <w:rPr>
          <w:color w:val="231F20"/>
          <w:w w:val="105"/>
        </w:rPr>
        <w:t>persistente</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tiempo, el</w:t>
      </w:r>
      <w:r>
        <w:rPr>
          <w:color w:val="231F20"/>
          <w:spacing w:val="-25"/>
          <w:w w:val="105"/>
        </w:rPr>
        <w:t> </w:t>
      </w:r>
      <w:r>
        <w:rPr>
          <w:color w:val="231F20"/>
          <w:w w:val="105"/>
        </w:rPr>
        <w:t>cual</w:t>
      </w:r>
      <w:r>
        <w:rPr>
          <w:color w:val="231F20"/>
          <w:spacing w:val="-25"/>
          <w:w w:val="105"/>
        </w:rPr>
        <w:t> </w:t>
      </w:r>
      <w:r>
        <w:rPr>
          <w:color w:val="231F20"/>
          <w:w w:val="105"/>
        </w:rPr>
        <w:t>indica</w:t>
      </w:r>
      <w:r>
        <w:rPr>
          <w:color w:val="231F20"/>
          <w:spacing w:val="-25"/>
          <w:w w:val="105"/>
        </w:rPr>
        <w:t> </w:t>
      </w:r>
      <w:r>
        <w:rPr>
          <w:color w:val="231F20"/>
          <w:w w:val="105"/>
        </w:rPr>
        <w:t>que</w:t>
      </w:r>
      <w:r>
        <w:rPr>
          <w:color w:val="231F20"/>
          <w:spacing w:val="-25"/>
          <w:w w:val="105"/>
        </w:rPr>
        <w:t> </w:t>
      </w:r>
      <w:r>
        <w:rPr>
          <w:color w:val="231F20"/>
          <w:w w:val="105"/>
        </w:rPr>
        <w:t>las</w:t>
      </w:r>
      <w:r>
        <w:rPr>
          <w:color w:val="231F20"/>
          <w:spacing w:val="-25"/>
          <w:w w:val="105"/>
        </w:rPr>
        <w:t> </w:t>
      </w:r>
      <w:r>
        <w:rPr>
          <w:color w:val="231F20"/>
          <w:w w:val="105"/>
        </w:rPr>
        <w:t>mujeres</w:t>
      </w:r>
      <w:r>
        <w:rPr>
          <w:color w:val="231F20"/>
          <w:spacing w:val="-25"/>
          <w:w w:val="105"/>
        </w:rPr>
        <w:t> </w:t>
      </w:r>
      <w:r>
        <w:rPr>
          <w:color w:val="231F20"/>
          <w:w w:val="105"/>
        </w:rPr>
        <w:t>predominantemente</w:t>
      </w:r>
      <w:r>
        <w:rPr>
          <w:color w:val="231F20"/>
          <w:spacing w:val="-25"/>
          <w:w w:val="105"/>
        </w:rPr>
        <w:t> </w:t>
      </w:r>
      <w:r>
        <w:rPr>
          <w:color w:val="231F20"/>
          <w:w w:val="105"/>
        </w:rPr>
        <w:t>(53.2%</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año</w:t>
      </w:r>
      <w:r>
        <w:rPr>
          <w:color w:val="231F20"/>
          <w:spacing w:val="-25"/>
          <w:w w:val="105"/>
        </w:rPr>
        <w:t> </w:t>
      </w:r>
      <w:r>
        <w:rPr>
          <w:color w:val="231F20"/>
          <w:w w:val="105"/>
        </w:rPr>
        <w:t>2000</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9"/>
        <w:jc w:val="both"/>
      </w:pPr>
      <w:r>
        <w:rPr/>
        <w:pict>
          <v:line style="position:absolute;mso-position-horizontal-relative:page;mso-position-vertical-relative:paragraph;z-index:33784" from="15pt,-71.68644pt" to="0pt,-71.68644pt" stroked="true" strokeweight=".25pt" strokecolor="#000000">
            <w10:wrap type="none"/>
          </v:line>
        </w:pict>
      </w:r>
      <w:r>
        <w:rPr/>
        <w:pict>
          <v:line style="position:absolute;mso-position-horizontal-relative:page;mso-position-vertical-relative:paragraph;z-index:33808" from="508.890015pt,-71.68644pt" to="523.890015pt,-71.68644pt" stroked="true" strokeweight=".25pt" strokecolor="#000000">
            <w10:wrap type="none"/>
          </v:line>
        </w:pict>
      </w:r>
      <w:r>
        <w:rPr>
          <w:color w:val="231F20"/>
          <w:w w:val="105"/>
        </w:rPr>
        <w:t>y</w:t>
      </w:r>
      <w:r>
        <w:rPr>
          <w:color w:val="231F20"/>
          <w:spacing w:val="-8"/>
          <w:w w:val="105"/>
        </w:rPr>
        <w:t> </w:t>
      </w:r>
      <w:r>
        <w:rPr>
          <w:color w:val="231F20"/>
          <w:w w:val="105"/>
        </w:rPr>
        <w:t>61.7%</w:t>
      </w:r>
      <w:r>
        <w:rPr>
          <w:color w:val="231F20"/>
          <w:spacing w:val="-8"/>
          <w:w w:val="105"/>
        </w:rPr>
        <w:t> </w:t>
      </w:r>
      <w:r>
        <w:rPr>
          <w:color w:val="231F20"/>
          <w:w w:val="105"/>
        </w:rPr>
        <w:t>en</w:t>
      </w:r>
      <w:r>
        <w:rPr>
          <w:color w:val="231F20"/>
          <w:spacing w:val="-8"/>
          <w:w w:val="105"/>
        </w:rPr>
        <w:t> </w:t>
      </w:r>
      <w:r>
        <w:rPr>
          <w:color w:val="231F20"/>
          <w:w w:val="105"/>
        </w:rPr>
        <w:t>2010)</w:t>
      </w:r>
      <w:r>
        <w:rPr>
          <w:color w:val="231F20"/>
          <w:spacing w:val="-8"/>
          <w:w w:val="105"/>
        </w:rPr>
        <w:t> </w:t>
      </w:r>
      <w:r>
        <w:rPr>
          <w:color w:val="231F20"/>
          <w:w w:val="105"/>
        </w:rPr>
        <w:t>se</w:t>
      </w:r>
      <w:r>
        <w:rPr>
          <w:color w:val="231F20"/>
          <w:spacing w:val="-8"/>
          <w:w w:val="105"/>
        </w:rPr>
        <w:t> </w:t>
      </w:r>
      <w:r>
        <w:rPr>
          <w:color w:val="231F20"/>
          <w:w w:val="105"/>
        </w:rPr>
        <w:t>encuentran</w:t>
      </w:r>
      <w:r>
        <w:rPr>
          <w:color w:val="231F20"/>
          <w:spacing w:val="-8"/>
          <w:w w:val="105"/>
        </w:rPr>
        <w:t> </w:t>
      </w:r>
      <w:r>
        <w:rPr>
          <w:color w:val="231F20"/>
          <w:w w:val="105"/>
        </w:rPr>
        <w:t>realizando</w:t>
      </w:r>
      <w:r>
        <w:rPr>
          <w:color w:val="231F20"/>
          <w:spacing w:val="-8"/>
          <w:w w:val="105"/>
        </w:rPr>
        <w:t> </w:t>
      </w:r>
      <w:r>
        <w:rPr>
          <w:color w:val="231F20"/>
          <w:w w:val="105"/>
        </w:rPr>
        <w:t>trabajo</w:t>
      </w:r>
      <w:r>
        <w:rPr>
          <w:color w:val="231F20"/>
          <w:spacing w:val="-8"/>
          <w:w w:val="105"/>
        </w:rPr>
        <w:t> </w:t>
      </w:r>
      <w:r>
        <w:rPr>
          <w:color w:val="231F20"/>
          <w:w w:val="105"/>
        </w:rPr>
        <w:t>doméstico</w:t>
      </w:r>
      <w:r>
        <w:rPr>
          <w:color w:val="231F20"/>
          <w:spacing w:val="-8"/>
          <w:w w:val="105"/>
        </w:rPr>
        <w:t> </w:t>
      </w:r>
      <w:r>
        <w:rPr>
          <w:color w:val="231F20"/>
          <w:w w:val="105"/>
        </w:rPr>
        <w:t>no</w:t>
      </w:r>
      <w:r>
        <w:rPr>
          <w:color w:val="231F20"/>
          <w:spacing w:val="-8"/>
          <w:w w:val="105"/>
        </w:rPr>
        <w:t> </w:t>
      </w:r>
      <w:r>
        <w:rPr>
          <w:color w:val="231F20"/>
          <w:w w:val="105"/>
        </w:rPr>
        <w:t>remu- nerado,</w:t>
      </w:r>
      <w:r>
        <w:rPr>
          <w:color w:val="231F20"/>
          <w:spacing w:val="-27"/>
          <w:w w:val="105"/>
        </w:rPr>
        <w:t> </w:t>
      </w:r>
      <w:r>
        <w:rPr>
          <w:color w:val="231F20"/>
          <w:w w:val="105"/>
        </w:rPr>
        <w:t>esto</w:t>
      </w:r>
      <w:r>
        <w:rPr>
          <w:color w:val="231F20"/>
          <w:spacing w:val="-21"/>
          <w:w w:val="105"/>
        </w:rPr>
        <w:t> </w:t>
      </w:r>
      <w:r>
        <w:rPr>
          <w:color w:val="231F20"/>
          <w:w w:val="105"/>
        </w:rPr>
        <w:t>las</w:t>
      </w:r>
      <w:r>
        <w:rPr>
          <w:color w:val="231F20"/>
          <w:spacing w:val="-21"/>
          <w:w w:val="105"/>
        </w:rPr>
        <w:t> </w:t>
      </w:r>
      <w:r>
        <w:rPr>
          <w:color w:val="231F20"/>
          <w:w w:val="105"/>
        </w:rPr>
        <w:t>coloca</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clasificación</w:t>
      </w:r>
      <w:r>
        <w:rPr>
          <w:color w:val="231F20"/>
          <w:spacing w:val="-21"/>
          <w:w w:val="105"/>
        </w:rPr>
        <w:t> </w:t>
      </w:r>
      <w:r>
        <w:rPr>
          <w:color w:val="231F20"/>
          <w:w w:val="105"/>
        </w:rPr>
        <w:t>de</w:t>
      </w:r>
      <w:r>
        <w:rPr>
          <w:color w:val="231F20"/>
          <w:spacing w:val="-21"/>
          <w:w w:val="105"/>
        </w:rPr>
        <w:t> </w:t>
      </w:r>
      <w:r>
        <w:rPr>
          <w:color w:val="231F20"/>
          <w:w w:val="105"/>
        </w:rPr>
        <w:t>“inactividad”</w:t>
      </w:r>
      <w:r>
        <w:rPr>
          <w:color w:val="231F20"/>
          <w:spacing w:val="-21"/>
          <w:w w:val="105"/>
        </w:rPr>
        <w:t> </w:t>
      </w:r>
      <w:r>
        <w:rPr>
          <w:color w:val="231F20"/>
          <w:w w:val="105"/>
        </w:rPr>
        <w:t>catalogado</w:t>
      </w:r>
      <w:r>
        <w:rPr>
          <w:color w:val="231F20"/>
          <w:spacing w:val="-21"/>
          <w:w w:val="105"/>
        </w:rPr>
        <w:t> </w:t>
      </w:r>
      <w:r>
        <w:rPr>
          <w:color w:val="231F20"/>
          <w:w w:val="105"/>
        </w:rPr>
        <w:t>por el</w:t>
      </w:r>
      <w:r>
        <w:rPr>
          <w:color w:val="231F20"/>
          <w:spacing w:val="-26"/>
          <w:w w:val="105"/>
        </w:rPr>
        <w:t> </w:t>
      </w:r>
      <w:r>
        <w:rPr>
          <w:color w:val="231F20"/>
          <w:w w:val="105"/>
          <w:sz w:val="17"/>
        </w:rPr>
        <w:t>INEGI</w:t>
      </w:r>
      <w:r>
        <w:rPr>
          <w:color w:val="231F20"/>
          <w:w w:val="105"/>
        </w:rPr>
        <w:t>.</w:t>
      </w:r>
      <w:r>
        <w:rPr>
          <w:color w:val="231F20"/>
          <w:spacing w:val="-30"/>
          <w:w w:val="105"/>
        </w:rPr>
        <w:t> </w:t>
      </w:r>
      <w:r>
        <w:rPr>
          <w:color w:val="231F20"/>
          <w:w w:val="105"/>
        </w:rPr>
        <w:t>En</w:t>
      </w:r>
      <w:r>
        <w:rPr>
          <w:color w:val="231F20"/>
          <w:spacing w:val="-26"/>
          <w:w w:val="105"/>
        </w:rPr>
        <w:t> </w:t>
      </w:r>
      <w:r>
        <w:rPr>
          <w:color w:val="231F20"/>
          <w:w w:val="105"/>
        </w:rPr>
        <w:t>ambas</w:t>
      </w:r>
      <w:r>
        <w:rPr>
          <w:color w:val="231F20"/>
          <w:spacing w:val="-26"/>
          <w:w w:val="105"/>
        </w:rPr>
        <w:t> </w:t>
      </w:r>
      <w:r>
        <w:rPr>
          <w:color w:val="231F20"/>
          <w:w w:val="105"/>
        </w:rPr>
        <w:t>observaciones</w:t>
      </w:r>
      <w:r>
        <w:rPr>
          <w:color w:val="231F20"/>
          <w:spacing w:val="-26"/>
          <w:w w:val="105"/>
        </w:rPr>
        <w:t> </w:t>
      </w:r>
      <w:r>
        <w:rPr>
          <w:color w:val="231F20"/>
          <w:w w:val="105"/>
        </w:rPr>
        <w:t>la</w:t>
      </w:r>
      <w:r>
        <w:rPr>
          <w:color w:val="231F20"/>
          <w:spacing w:val="-26"/>
          <w:w w:val="105"/>
        </w:rPr>
        <w:t> </w:t>
      </w:r>
      <w:r>
        <w:rPr>
          <w:color w:val="231F20"/>
          <w:w w:val="105"/>
        </w:rPr>
        <w:t>mayoría</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varones</w:t>
      </w:r>
      <w:r>
        <w:rPr>
          <w:color w:val="231F20"/>
          <w:spacing w:val="-26"/>
          <w:w w:val="105"/>
        </w:rPr>
        <w:t> </w:t>
      </w:r>
      <w:r>
        <w:rPr>
          <w:color w:val="231F20"/>
          <w:w w:val="105"/>
        </w:rPr>
        <w:t>se</w:t>
      </w:r>
      <w:r>
        <w:rPr>
          <w:color w:val="231F20"/>
          <w:spacing w:val="-26"/>
          <w:w w:val="105"/>
        </w:rPr>
        <w:t> </w:t>
      </w:r>
      <w:r>
        <w:rPr>
          <w:color w:val="231F20"/>
          <w:w w:val="105"/>
        </w:rPr>
        <w:t>encuentra trabajando,</w:t>
      </w:r>
      <w:r>
        <w:rPr>
          <w:color w:val="231F20"/>
          <w:spacing w:val="-18"/>
          <w:w w:val="105"/>
        </w:rPr>
        <w:t> </w:t>
      </w:r>
      <w:r>
        <w:rPr>
          <w:color w:val="231F20"/>
          <w:w w:val="105"/>
        </w:rPr>
        <w:t>con</w:t>
      </w:r>
      <w:r>
        <w:rPr>
          <w:color w:val="231F20"/>
          <w:spacing w:val="-13"/>
          <w:w w:val="105"/>
        </w:rPr>
        <w:t> </w:t>
      </w:r>
      <w:r>
        <w:rPr>
          <w:color w:val="231F20"/>
          <w:w w:val="105"/>
        </w:rPr>
        <w:t>proporciones</w:t>
      </w:r>
      <w:r>
        <w:rPr>
          <w:color w:val="231F20"/>
          <w:spacing w:val="-13"/>
          <w:w w:val="105"/>
        </w:rPr>
        <w:t> </w:t>
      </w:r>
      <w:r>
        <w:rPr>
          <w:color w:val="231F20"/>
          <w:w w:val="105"/>
        </w:rPr>
        <w:t>mayores</w:t>
      </w:r>
      <w:r>
        <w:rPr>
          <w:color w:val="231F20"/>
          <w:spacing w:val="-13"/>
          <w:w w:val="105"/>
        </w:rPr>
        <w:t> </w:t>
      </w:r>
      <w:r>
        <w:rPr>
          <w:color w:val="231F20"/>
          <w:w w:val="105"/>
        </w:rPr>
        <w:t>a</w:t>
      </w:r>
      <w:r>
        <w:rPr>
          <w:color w:val="231F20"/>
          <w:spacing w:val="-13"/>
          <w:w w:val="105"/>
        </w:rPr>
        <w:t> </w:t>
      </w:r>
      <w:r>
        <w:rPr>
          <w:color w:val="231F20"/>
          <w:w w:val="105"/>
        </w:rPr>
        <w:t>70%;</w:t>
      </w:r>
      <w:r>
        <w:rPr>
          <w:color w:val="231F20"/>
          <w:spacing w:val="-13"/>
          <w:w w:val="105"/>
        </w:rPr>
        <w:t> </w:t>
      </w:r>
      <w:r>
        <w:rPr>
          <w:color w:val="231F20"/>
          <w:w w:val="105"/>
        </w:rPr>
        <w:t>mientras</w:t>
      </w:r>
      <w:r>
        <w:rPr>
          <w:color w:val="231F20"/>
          <w:spacing w:val="-13"/>
          <w:w w:val="105"/>
        </w:rPr>
        <w:t> </w:t>
      </w:r>
      <w:r>
        <w:rPr>
          <w:color w:val="231F20"/>
          <w:w w:val="105"/>
        </w:rPr>
        <w:t>tanto</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mu- jeres,</w:t>
      </w:r>
      <w:r>
        <w:rPr>
          <w:color w:val="231F20"/>
          <w:spacing w:val="-28"/>
          <w:w w:val="105"/>
        </w:rPr>
        <w:t> </w:t>
      </w:r>
      <w:r>
        <w:rPr>
          <w:color w:val="231F20"/>
          <w:w w:val="105"/>
        </w:rPr>
        <w:t>aproximadamente,</w:t>
      </w:r>
      <w:r>
        <w:rPr>
          <w:color w:val="231F20"/>
          <w:spacing w:val="-28"/>
          <w:w w:val="105"/>
        </w:rPr>
        <w:t> </w:t>
      </w:r>
      <w:r>
        <w:rPr>
          <w:color w:val="231F20"/>
          <w:w w:val="105"/>
        </w:rPr>
        <w:t>33%</w:t>
      </w:r>
      <w:r>
        <w:rPr>
          <w:color w:val="231F20"/>
          <w:spacing w:val="-24"/>
          <w:w w:val="105"/>
        </w:rPr>
        <w:t> </w:t>
      </w:r>
      <w:r>
        <w:rPr>
          <w:color w:val="231F20"/>
          <w:w w:val="105"/>
        </w:rPr>
        <w:t>presenta</w:t>
      </w:r>
      <w:r>
        <w:rPr>
          <w:color w:val="231F20"/>
          <w:spacing w:val="-24"/>
          <w:w w:val="105"/>
        </w:rPr>
        <w:t> </w:t>
      </w:r>
      <w:r>
        <w:rPr>
          <w:color w:val="231F20"/>
          <w:w w:val="105"/>
        </w:rPr>
        <w:t>esta</w:t>
      </w:r>
      <w:r>
        <w:rPr>
          <w:color w:val="231F20"/>
          <w:spacing w:val="-24"/>
          <w:w w:val="105"/>
        </w:rPr>
        <w:t> </w:t>
      </w:r>
      <w:r>
        <w:rPr>
          <w:color w:val="231F20"/>
          <w:w w:val="105"/>
        </w:rPr>
        <w:t>situación.</w:t>
      </w:r>
      <w:r>
        <w:rPr>
          <w:color w:val="231F20"/>
          <w:spacing w:val="-28"/>
          <w:w w:val="105"/>
        </w:rPr>
        <w:t> </w:t>
      </w:r>
      <w:r>
        <w:rPr>
          <w:color w:val="231F20"/>
          <w:w w:val="105"/>
        </w:rPr>
        <w:t>Esto</w:t>
      </w:r>
      <w:r>
        <w:rPr>
          <w:color w:val="231F20"/>
          <w:spacing w:val="-24"/>
          <w:w w:val="105"/>
        </w:rPr>
        <w:t> </w:t>
      </w:r>
      <w:r>
        <w:rPr>
          <w:color w:val="231F20"/>
          <w:w w:val="105"/>
        </w:rPr>
        <w:t>último</w:t>
      </w:r>
      <w:r>
        <w:rPr>
          <w:color w:val="231F20"/>
          <w:spacing w:val="-24"/>
          <w:w w:val="105"/>
        </w:rPr>
        <w:t> </w:t>
      </w:r>
      <w:r>
        <w:rPr>
          <w:color w:val="231F20"/>
          <w:w w:val="105"/>
        </w:rPr>
        <w:t>posee sentido</w:t>
      </w:r>
      <w:r>
        <w:rPr>
          <w:color w:val="231F20"/>
          <w:spacing w:val="-23"/>
          <w:w w:val="105"/>
        </w:rPr>
        <w:t> </w:t>
      </w:r>
      <w:r>
        <w:rPr>
          <w:color w:val="231F20"/>
          <w:w w:val="105"/>
        </w:rPr>
        <w:t>si</w:t>
      </w:r>
      <w:r>
        <w:rPr>
          <w:color w:val="231F20"/>
          <w:spacing w:val="-23"/>
          <w:w w:val="105"/>
        </w:rPr>
        <w:t> </w:t>
      </w:r>
      <w:r>
        <w:rPr>
          <w:color w:val="231F20"/>
          <w:w w:val="105"/>
        </w:rPr>
        <w:t>pensamos</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w w:val="105"/>
        </w:rPr>
        <w:t>mayoría</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mujeres</w:t>
      </w:r>
      <w:r>
        <w:rPr>
          <w:color w:val="231F20"/>
          <w:spacing w:val="-23"/>
          <w:w w:val="105"/>
        </w:rPr>
        <w:t> </w:t>
      </w:r>
      <w:r>
        <w:rPr>
          <w:color w:val="231F20"/>
          <w:w w:val="105"/>
        </w:rPr>
        <w:t>migrantes</w:t>
      </w:r>
      <w:r>
        <w:rPr>
          <w:color w:val="231F20"/>
          <w:spacing w:val="-23"/>
          <w:w w:val="105"/>
        </w:rPr>
        <w:t> </w:t>
      </w:r>
      <w:r>
        <w:rPr>
          <w:color w:val="231F20"/>
          <w:w w:val="105"/>
        </w:rPr>
        <w:t>retornadas tienen</w:t>
      </w:r>
      <w:r>
        <w:rPr>
          <w:color w:val="231F20"/>
          <w:spacing w:val="-19"/>
          <w:w w:val="105"/>
        </w:rPr>
        <w:t> </w:t>
      </w:r>
      <w:r>
        <w:rPr>
          <w:color w:val="231F20"/>
          <w:w w:val="105"/>
        </w:rPr>
        <w:t>al</w:t>
      </w:r>
      <w:r>
        <w:rPr>
          <w:color w:val="231F20"/>
          <w:spacing w:val="-19"/>
          <w:w w:val="105"/>
        </w:rPr>
        <w:t> </w:t>
      </w:r>
      <w:r>
        <w:rPr>
          <w:color w:val="231F20"/>
          <w:w w:val="105"/>
        </w:rPr>
        <w:t>menos</w:t>
      </w:r>
      <w:r>
        <w:rPr>
          <w:color w:val="231F20"/>
          <w:spacing w:val="-19"/>
          <w:w w:val="105"/>
        </w:rPr>
        <w:t> </w:t>
      </w:r>
      <w:r>
        <w:rPr>
          <w:color w:val="231F20"/>
          <w:w w:val="105"/>
        </w:rPr>
        <w:t>un</w:t>
      </w:r>
      <w:r>
        <w:rPr>
          <w:color w:val="231F20"/>
          <w:spacing w:val="-19"/>
          <w:w w:val="105"/>
        </w:rPr>
        <w:t> </w:t>
      </w:r>
      <w:r>
        <w:rPr>
          <w:color w:val="231F20"/>
          <w:w w:val="105"/>
        </w:rPr>
        <w:t>hijo,</w:t>
      </w:r>
      <w:r>
        <w:rPr>
          <w:color w:val="231F20"/>
          <w:spacing w:val="-24"/>
          <w:w w:val="105"/>
        </w:rPr>
        <w:t> </w:t>
      </w:r>
      <w:r>
        <w:rPr>
          <w:color w:val="231F20"/>
          <w:w w:val="105"/>
        </w:rPr>
        <w:t>y</w:t>
      </w:r>
      <w:r>
        <w:rPr>
          <w:color w:val="231F20"/>
          <w:spacing w:val="-19"/>
          <w:w w:val="105"/>
        </w:rPr>
        <w:t> </w:t>
      </w:r>
      <w:r>
        <w:rPr>
          <w:color w:val="231F20"/>
          <w:w w:val="105"/>
        </w:rPr>
        <w:t>en</w:t>
      </w:r>
      <w:r>
        <w:rPr>
          <w:color w:val="231F20"/>
          <w:spacing w:val="-19"/>
          <w:w w:val="105"/>
        </w:rPr>
        <w:t> </w:t>
      </w:r>
      <w:r>
        <w:rPr>
          <w:color w:val="231F20"/>
          <w:w w:val="105"/>
        </w:rPr>
        <w:t>México</w:t>
      </w:r>
      <w:r>
        <w:rPr>
          <w:color w:val="231F20"/>
          <w:spacing w:val="-19"/>
          <w:w w:val="105"/>
        </w:rPr>
        <w:t> </w:t>
      </w:r>
      <w:r>
        <w:rPr>
          <w:color w:val="231F20"/>
          <w:w w:val="105"/>
        </w:rPr>
        <w:t>la</w:t>
      </w:r>
      <w:r>
        <w:rPr>
          <w:color w:val="231F20"/>
          <w:spacing w:val="-19"/>
          <w:w w:val="105"/>
        </w:rPr>
        <w:t> </w:t>
      </w:r>
      <w:r>
        <w:rPr>
          <w:color w:val="231F20"/>
          <w:w w:val="105"/>
        </w:rPr>
        <w:t>división</w:t>
      </w:r>
      <w:r>
        <w:rPr>
          <w:color w:val="231F20"/>
          <w:spacing w:val="-19"/>
          <w:w w:val="105"/>
        </w:rPr>
        <w:t> </w:t>
      </w:r>
      <w:r>
        <w:rPr>
          <w:color w:val="231F20"/>
          <w:w w:val="105"/>
        </w:rPr>
        <w:t>de</w:t>
      </w:r>
      <w:r>
        <w:rPr>
          <w:color w:val="231F20"/>
          <w:spacing w:val="-19"/>
          <w:w w:val="105"/>
        </w:rPr>
        <w:t> </w:t>
      </w:r>
      <w:r>
        <w:rPr>
          <w:color w:val="231F20"/>
          <w:w w:val="105"/>
        </w:rPr>
        <w:t>tareas</w:t>
      </w:r>
      <w:r>
        <w:rPr>
          <w:color w:val="231F20"/>
          <w:spacing w:val="-19"/>
          <w:w w:val="105"/>
        </w:rPr>
        <w:t> </w:t>
      </w:r>
      <w:r>
        <w:rPr>
          <w:color w:val="231F20"/>
          <w:w w:val="105"/>
        </w:rPr>
        <w:t>domésticas,</w:t>
      </w:r>
      <w:r>
        <w:rPr>
          <w:color w:val="231F20"/>
          <w:spacing w:val="-24"/>
          <w:w w:val="105"/>
        </w:rPr>
        <w:t> </w:t>
      </w:r>
      <w:r>
        <w:rPr>
          <w:color w:val="231F20"/>
          <w:w w:val="105"/>
        </w:rPr>
        <w:t>so- bre todo el cuidado de los hijos, prevalece como una función</w:t>
      </w:r>
      <w:r>
        <w:rPr>
          <w:color w:val="231F20"/>
          <w:spacing w:val="-11"/>
          <w:w w:val="105"/>
        </w:rPr>
        <w:t> </w:t>
      </w:r>
      <w:r>
        <w:rPr>
          <w:color w:val="231F20"/>
          <w:w w:val="105"/>
        </w:rPr>
        <w:t>femenina. En el caso de los migrantes varones retornados es interesante el</w:t>
      </w:r>
      <w:r>
        <w:rPr>
          <w:color w:val="231F20"/>
          <w:spacing w:val="-36"/>
          <w:w w:val="105"/>
        </w:rPr>
        <w:t> </w:t>
      </w:r>
      <w:r>
        <w:rPr>
          <w:color w:val="231F20"/>
          <w:w w:val="105"/>
        </w:rPr>
        <w:t>grado de desocupación, pues es más alto que la media nacional (la cual ron- da alrededor de 5%), llegando a ser de 20.5 y 14.8% respectivamente en</w:t>
      </w:r>
      <w:r>
        <w:rPr>
          <w:color w:val="231F20"/>
          <w:spacing w:val="-10"/>
          <w:w w:val="105"/>
        </w:rPr>
        <w:t> </w:t>
      </w:r>
      <w:r>
        <w:rPr>
          <w:color w:val="231F20"/>
          <w:w w:val="105"/>
        </w:rPr>
        <w:t>cada</w:t>
      </w:r>
      <w:r>
        <w:rPr>
          <w:color w:val="231F20"/>
          <w:spacing w:val="-10"/>
          <w:w w:val="105"/>
        </w:rPr>
        <w:t> </w:t>
      </w:r>
      <w:r>
        <w:rPr>
          <w:color w:val="231F20"/>
          <w:w w:val="105"/>
        </w:rPr>
        <w:t>año.</w:t>
      </w:r>
      <w:r>
        <w:rPr>
          <w:color w:val="231F20"/>
          <w:spacing w:val="-15"/>
          <w:w w:val="105"/>
        </w:rPr>
        <w:t> </w:t>
      </w:r>
      <w:r>
        <w:rPr>
          <w:color w:val="231F20"/>
          <w:w w:val="105"/>
        </w:rPr>
        <w:t>Lo</w:t>
      </w:r>
      <w:r>
        <w:rPr>
          <w:color w:val="231F20"/>
          <w:spacing w:val="-10"/>
          <w:w w:val="105"/>
        </w:rPr>
        <w:t> </w:t>
      </w:r>
      <w:r>
        <w:rPr>
          <w:color w:val="231F20"/>
          <w:w w:val="105"/>
        </w:rPr>
        <w:t>anterior,</w:t>
      </w:r>
      <w:r>
        <w:rPr>
          <w:color w:val="231F20"/>
          <w:spacing w:val="-15"/>
          <w:w w:val="105"/>
        </w:rPr>
        <w:t> </w:t>
      </w:r>
      <w:r>
        <w:rPr>
          <w:color w:val="231F20"/>
          <w:w w:val="105"/>
        </w:rPr>
        <w:t>creemos,</w:t>
      </w:r>
      <w:r>
        <w:rPr>
          <w:color w:val="231F20"/>
          <w:spacing w:val="-15"/>
          <w:w w:val="105"/>
        </w:rPr>
        <w:t> </w:t>
      </w:r>
      <w:r>
        <w:rPr>
          <w:color w:val="231F20"/>
          <w:w w:val="105"/>
        </w:rPr>
        <w:t>se</w:t>
      </w:r>
      <w:r>
        <w:rPr>
          <w:color w:val="231F20"/>
          <w:spacing w:val="-10"/>
          <w:w w:val="105"/>
        </w:rPr>
        <w:t> </w:t>
      </w:r>
      <w:r>
        <w:rPr>
          <w:color w:val="231F20"/>
          <w:w w:val="105"/>
        </w:rPr>
        <w:t>explica</w:t>
      </w:r>
      <w:r>
        <w:rPr>
          <w:color w:val="231F20"/>
          <w:spacing w:val="-10"/>
          <w:w w:val="105"/>
        </w:rPr>
        <w:t> </w:t>
      </w:r>
      <w:r>
        <w:rPr>
          <w:color w:val="231F20"/>
          <w:w w:val="105"/>
        </w:rPr>
        <w:t>probablemente</w:t>
      </w:r>
      <w:r>
        <w:rPr>
          <w:color w:val="231F20"/>
          <w:spacing w:val="-10"/>
          <w:w w:val="105"/>
        </w:rPr>
        <w:t> </w:t>
      </w:r>
      <w:r>
        <w:rPr>
          <w:color w:val="231F20"/>
          <w:w w:val="105"/>
        </w:rPr>
        <w:t>porque</w:t>
      </w:r>
      <w:r>
        <w:rPr>
          <w:color w:val="231F20"/>
          <w:spacing w:val="-10"/>
          <w:w w:val="105"/>
        </w:rPr>
        <w:t> </w:t>
      </w:r>
      <w:r>
        <w:rPr>
          <w:color w:val="231F20"/>
          <w:w w:val="105"/>
        </w:rPr>
        <w:t>tal población logró ahorrar una cantidad significativa de dinero durante su estadía</w:t>
      </w:r>
      <w:r>
        <w:rPr>
          <w:color w:val="231F20"/>
          <w:spacing w:val="-13"/>
          <w:w w:val="105"/>
        </w:rPr>
        <w:t> </w:t>
      </w:r>
      <w:r>
        <w:rPr>
          <w:color w:val="231F20"/>
          <w:w w:val="105"/>
        </w:rPr>
        <w:t>en</w:t>
      </w:r>
      <w:r>
        <w:rPr>
          <w:color w:val="231F20"/>
          <w:spacing w:val="-13"/>
          <w:w w:val="105"/>
        </w:rPr>
        <w:t> </w:t>
      </w:r>
      <w:r>
        <w:rPr>
          <w:color w:val="231F20"/>
          <w:w w:val="105"/>
        </w:rPr>
        <w:t>Estados</w:t>
      </w:r>
      <w:r>
        <w:rPr>
          <w:color w:val="231F20"/>
          <w:spacing w:val="-13"/>
          <w:w w:val="105"/>
        </w:rPr>
        <w:t> </w:t>
      </w:r>
      <w:r>
        <w:rPr>
          <w:color w:val="231F20"/>
          <w:w w:val="105"/>
        </w:rPr>
        <w:t>Unidos,</w:t>
      </w:r>
      <w:r>
        <w:rPr>
          <w:color w:val="231F20"/>
          <w:spacing w:val="-17"/>
          <w:w w:val="105"/>
        </w:rPr>
        <w:t> </w:t>
      </w:r>
      <w:r>
        <w:rPr>
          <w:color w:val="231F20"/>
          <w:w w:val="105"/>
        </w:rPr>
        <w:t>lo</w:t>
      </w:r>
      <w:r>
        <w:rPr>
          <w:color w:val="231F20"/>
          <w:spacing w:val="-13"/>
          <w:w w:val="105"/>
        </w:rPr>
        <w:t> </w:t>
      </w:r>
      <w:r>
        <w:rPr>
          <w:color w:val="231F20"/>
          <w:w w:val="105"/>
        </w:rPr>
        <w:t>cual</w:t>
      </w:r>
      <w:r>
        <w:rPr>
          <w:color w:val="231F20"/>
          <w:spacing w:val="-13"/>
          <w:w w:val="105"/>
        </w:rPr>
        <w:t> </w:t>
      </w:r>
      <w:r>
        <w:rPr>
          <w:color w:val="231F20"/>
          <w:w w:val="105"/>
        </w:rPr>
        <w:t>le</w:t>
      </w:r>
      <w:r>
        <w:rPr>
          <w:color w:val="231F20"/>
          <w:spacing w:val="-13"/>
          <w:w w:val="105"/>
        </w:rPr>
        <w:t> </w:t>
      </w:r>
      <w:r>
        <w:rPr>
          <w:color w:val="231F20"/>
          <w:w w:val="105"/>
        </w:rPr>
        <w:t>permite</w:t>
      </w:r>
      <w:r>
        <w:rPr>
          <w:color w:val="231F20"/>
          <w:spacing w:val="-13"/>
          <w:w w:val="105"/>
        </w:rPr>
        <w:t> </w:t>
      </w:r>
      <w:r>
        <w:rPr>
          <w:color w:val="231F20"/>
          <w:w w:val="105"/>
        </w:rPr>
        <w:t>ser</w:t>
      </w:r>
      <w:r>
        <w:rPr>
          <w:color w:val="231F20"/>
          <w:spacing w:val="-13"/>
          <w:w w:val="105"/>
        </w:rPr>
        <w:t> </w:t>
      </w:r>
      <w:r>
        <w:rPr>
          <w:color w:val="231F20"/>
          <w:w w:val="105"/>
        </w:rPr>
        <w:t>más</w:t>
      </w:r>
      <w:r>
        <w:rPr>
          <w:color w:val="231F20"/>
          <w:spacing w:val="-13"/>
          <w:w w:val="105"/>
        </w:rPr>
        <w:t> </w:t>
      </w:r>
      <w:r>
        <w:rPr>
          <w:color w:val="231F20"/>
          <w:w w:val="105"/>
        </w:rPr>
        <w:t>selectiva</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hora de volver a entrar a la fuerza laboral. Otro escenario posible es que no cuenten</w:t>
      </w:r>
      <w:r>
        <w:rPr>
          <w:color w:val="231F20"/>
          <w:spacing w:val="-9"/>
          <w:w w:val="105"/>
        </w:rPr>
        <w:t> </w:t>
      </w:r>
      <w:r>
        <w:rPr>
          <w:color w:val="231F20"/>
          <w:w w:val="105"/>
        </w:rPr>
        <w:t>con</w:t>
      </w:r>
      <w:r>
        <w:rPr>
          <w:color w:val="231F20"/>
          <w:spacing w:val="-9"/>
          <w:w w:val="105"/>
        </w:rPr>
        <w:t> </w:t>
      </w:r>
      <w:r>
        <w:rPr>
          <w:color w:val="231F20"/>
          <w:w w:val="105"/>
        </w:rPr>
        <w:t>lo</w:t>
      </w:r>
      <w:r>
        <w:rPr>
          <w:color w:val="231F20"/>
          <w:spacing w:val="-9"/>
          <w:w w:val="105"/>
        </w:rPr>
        <w:t> </w:t>
      </w:r>
      <w:r>
        <w:rPr>
          <w:color w:val="231F20"/>
          <w:w w:val="105"/>
        </w:rPr>
        <w:t>necesario</w:t>
      </w:r>
      <w:r>
        <w:rPr>
          <w:color w:val="231F20"/>
          <w:spacing w:val="-9"/>
          <w:w w:val="105"/>
        </w:rPr>
        <w:t> </w:t>
      </w:r>
      <w:r>
        <w:rPr>
          <w:color w:val="231F20"/>
          <w:w w:val="105"/>
        </w:rPr>
        <w:t>para</w:t>
      </w:r>
      <w:r>
        <w:rPr>
          <w:color w:val="231F20"/>
          <w:spacing w:val="-9"/>
          <w:w w:val="105"/>
        </w:rPr>
        <w:t> </w:t>
      </w:r>
      <w:r>
        <w:rPr>
          <w:color w:val="231F20"/>
          <w:w w:val="105"/>
        </w:rPr>
        <w:t>acreditar</w:t>
      </w:r>
      <w:r>
        <w:rPr>
          <w:color w:val="231F20"/>
          <w:spacing w:val="-9"/>
          <w:w w:val="105"/>
        </w:rPr>
        <w:t> </w:t>
      </w:r>
      <w:r>
        <w:rPr>
          <w:color w:val="231F20"/>
          <w:w w:val="105"/>
        </w:rPr>
        <w:t>experiencia</w:t>
      </w:r>
      <w:r>
        <w:rPr>
          <w:color w:val="231F20"/>
          <w:spacing w:val="-9"/>
          <w:w w:val="105"/>
        </w:rPr>
        <w:t> </w:t>
      </w:r>
      <w:r>
        <w:rPr>
          <w:color w:val="231F20"/>
          <w:w w:val="105"/>
        </w:rPr>
        <w:t>laboral</w:t>
      </w:r>
      <w:r>
        <w:rPr>
          <w:color w:val="231F20"/>
          <w:spacing w:val="-9"/>
          <w:w w:val="105"/>
        </w:rPr>
        <w:t> </w:t>
      </w:r>
      <w:r>
        <w:rPr>
          <w:color w:val="231F20"/>
          <w:w w:val="105"/>
        </w:rPr>
        <w:t>o</w:t>
      </w:r>
      <w:r>
        <w:rPr>
          <w:color w:val="231F20"/>
          <w:spacing w:val="-9"/>
          <w:w w:val="105"/>
        </w:rPr>
        <w:t> </w:t>
      </w:r>
      <w:r>
        <w:rPr>
          <w:color w:val="231F20"/>
          <w:w w:val="105"/>
        </w:rPr>
        <w:t>incluso</w:t>
      </w:r>
      <w:r>
        <w:rPr>
          <w:color w:val="231F20"/>
          <w:spacing w:val="-9"/>
          <w:w w:val="105"/>
        </w:rPr>
        <w:t> </w:t>
      </w:r>
      <w:r>
        <w:rPr>
          <w:color w:val="231F20"/>
          <w:w w:val="105"/>
        </w:rPr>
        <w:t>su identidad</w:t>
      </w:r>
      <w:r>
        <w:rPr>
          <w:color w:val="231F20"/>
          <w:spacing w:val="-8"/>
          <w:w w:val="105"/>
        </w:rPr>
        <w:t> </w:t>
      </w:r>
      <w:r>
        <w:rPr>
          <w:color w:val="231F20"/>
          <w:spacing w:val="-4"/>
          <w:w w:val="105"/>
        </w:rPr>
        <w:t>y,</w:t>
      </w:r>
      <w:r>
        <w:rPr>
          <w:color w:val="231F20"/>
          <w:spacing w:val="-14"/>
          <w:w w:val="105"/>
        </w:rPr>
        <w:t> </w:t>
      </w:r>
      <w:r>
        <w:rPr>
          <w:color w:val="231F20"/>
          <w:w w:val="105"/>
        </w:rPr>
        <w:t>por</w:t>
      </w:r>
      <w:r>
        <w:rPr>
          <w:color w:val="231F20"/>
          <w:spacing w:val="-8"/>
          <w:w w:val="105"/>
        </w:rPr>
        <w:t> </w:t>
      </w:r>
      <w:r>
        <w:rPr>
          <w:color w:val="231F20"/>
          <w:w w:val="105"/>
        </w:rPr>
        <w:t>ende,</w:t>
      </w:r>
      <w:r>
        <w:rPr>
          <w:color w:val="231F20"/>
          <w:spacing w:val="-14"/>
          <w:w w:val="105"/>
        </w:rPr>
        <w:t> </w:t>
      </w:r>
      <w:r>
        <w:rPr>
          <w:color w:val="231F20"/>
          <w:w w:val="105"/>
        </w:rPr>
        <w:t>les</w:t>
      </w:r>
      <w:r>
        <w:rPr>
          <w:color w:val="231F20"/>
          <w:spacing w:val="-8"/>
          <w:w w:val="105"/>
        </w:rPr>
        <w:t> </w:t>
      </w:r>
      <w:r>
        <w:rPr>
          <w:color w:val="231F20"/>
          <w:w w:val="105"/>
        </w:rPr>
        <w:t>sea</w:t>
      </w:r>
      <w:r>
        <w:rPr>
          <w:color w:val="231F20"/>
          <w:spacing w:val="-8"/>
          <w:w w:val="105"/>
        </w:rPr>
        <w:t> </w:t>
      </w:r>
      <w:r>
        <w:rPr>
          <w:color w:val="231F20"/>
          <w:w w:val="105"/>
        </w:rPr>
        <w:t>difícil</w:t>
      </w:r>
      <w:r>
        <w:rPr>
          <w:color w:val="231F20"/>
          <w:spacing w:val="-8"/>
          <w:w w:val="105"/>
        </w:rPr>
        <w:t> </w:t>
      </w:r>
      <w:r>
        <w:rPr>
          <w:color w:val="231F20"/>
          <w:w w:val="105"/>
        </w:rPr>
        <w:t>encontrar</w:t>
      </w:r>
      <w:r>
        <w:rPr>
          <w:color w:val="231F20"/>
          <w:spacing w:val="-8"/>
          <w:w w:val="105"/>
        </w:rPr>
        <w:t> </w:t>
      </w:r>
      <w:r>
        <w:rPr>
          <w:color w:val="231F20"/>
          <w:w w:val="105"/>
        </w:rPr>
        <w:t>un</w:t>
      </w:r>
      <w:r>
        <w:rPr>
          <w:color w:val="231F20"/>
          <w:spacing w:val="-8"/>
          <w:w w:val="105"/>
        </w:rPr>
        <w:t> </w:t>
      </w:r>
      <w:r>
        <w:rPr>
          <w:color w:val="231F20"/>
          <w:w w:val="105"/>
        </w:rPr>
        <w:t>empleo.</w:t>
      </w:r>
      <w:r>
        <w:rPr>
          <w:color w:val="231F20"/>
          <w:spacing w:val="-14"/>
          <w:w w:val="105"/>
        </w:rPr>
        <w:t> </w:t>
      </w:r>
      <w:r>
        <w:rPr>
          <w:color w:val="231F20"/>
          <w:spacing w:val="-6"/>
          <w:w w:val="105"/>
        </w:rPr>
        <w:t>Por</w:t>
      </w:r>
      <w:r>
        <w:rPr>
          <w:color w:val="231F20"/>
          <w:spacing w:val="-8"/>
          <w:w w:val="105"/>
        </w:rPr>
        <w:t> </w:t>
      </w:r>
      <w:r>
        <w:rPr>
          <w:color w:val="231F20"/>
          <w:w w:val="105"/>
        </w:rPr>
        <w:t>último,</w:t>
      </w:r>
      <w:r>
        <w:rPr>
          <w:color w:val="231F20"/>
          <w:spacing w:val="-14"/>
          <w:w w:val="105"/>
        </w:rPr>
        <w:t> </w:t>
      </w:r>
      <w:r>
        <w:rPr>
          <w:color w:val="231F20"/>
          <w:w w:val="105"/>
        </w:rPr>
        <w:t>po- demos ver que quienes residieron alguna vez fuera del país y ahora se asentaron en el Estado de México presentan un patrón muy tradicional en</w:t>
      </w:r>
      <w:r>
        <w:rPr>
          <w:color w:val="231F20"/>
          <w:spacing w:val="-9"/>
          <w:w w:val="105"/>
        </w:rPr>
        <w:t> </w:t>
      </w:r>
      <w:r>
        <w:rPr>
          <w:color w:val="231F20"/>
          <w:w w:val="105"/>
        </w:rPr>
        <w:t>cuanto</w:t>
      </w:r>
      <w:r>
        <w:rPr>
          <w:color w:val="231F20"/>
          <w:spacing w:val="-9"/>
          <w:w w:val="105"/>
        </w:rPr>
        <w:t> </w:t>
      </w:r>
      <w:r>
        <w:rPr>
          <w:color w:val="231F20"/>
          <w:w w:val="105"/>
        </w:rPr>
        <w:t>a</w:t>
      </w:r>
      <w:r>
        <w:rPr>
          <w:color w:val="231F20"/>
          <w:spacing w:val="-9"/>
          <w:w w:val="105"/>
        </w:rPr>
        <w:t> </w:t>
      </w:r>
      <w:r>
        <w:rPr>
          <w:color w:val="231F20"/>
          <w:w w:val="105"/>
        </w:rPr>
        <w:t>las</w:t>
      </w:r>
      <w:r>
        <w:rPr>
          <w:color w:val="231F20"/>
          <w:spacing w:val="-9"/>
          <w:w w:val="105"/>
        </w:rPr>
        <w:t> </w:t>
      </w:r>
      <w:r>
        <w:rPr>
          <w:color w:val="231F20"/>
          <w:w w:val="105"/>
        </w:rPr>
        <w:t>relaciones</w:t>
      </w:r>
      <w:r>
        <w:rPr>
          <w:color w:val="231F20"/>
          <w:spacing w:val="-9"/>
          <w:w w:val="105"/>
        </w:rPr>
        <w:t> </w:t>
      </w:r>
      <w:r>
        <w:rPr>
          <w:color w:val="231F20"/>
          <w:w w:val="105"/>
        </w:rPr>
        <w:t>de</w:t>
      </w:r>
      <w:r>
        <w:rPr>
          <w:color w:val="231F20"/>
          <w:spacing w:val="-9"/>
          <w:w w:val="105"/>
        </w:rPr>
        <w:t> </w:t>
      </w:r>
      <w:r>
        <w:rPr>
          <w:color w:val="231F20"/>
          <w:w w:val="105"/>
        </w:rPr>
        <w:t>género,</w:t>
      </w:r>
      <w:r>
        <w:rPr>
          <w:color w:val="231F20"/>
          <w:spacing w:val="-14"/>
          <w:w w:val="105"/>
        </w:rPr>
        <w:t> </w:t>
      </w:r>
      <w:r>
        <w:rPr>
          <w:color w:val="231F20"/>
          <w:w w:val="105"/>
        </w:rPr>
        <w:t>pues</w:t>
      </w:r>
      <w:r>
        <w:rPr>
          <w:color w:val="231F20"/>
          <w:spacing w:val="-9"/>
          <w:w w:val="105"/>
        </w:rPr>
        <w:t> </w:t>
      </w:r>
      <w:r>
        <w:rPr>
          <w:color w:val="231F20"/>
          <w:w w:val="105"/>
        </w:rPr>
        <w:t>los</w:t>
      </w:r>
      <w:r>
        <w:rPr>
          <w:color w:val="231F20"/>
          <w:spacing w:val="-9"/>
          <w:w w:val="105"/>
        </w:rPr>
        <w:t> </w:t>
      </w:r>
      <w:r>
        <w:rPr>
          <w:color w:val="231F20"/>
          <w:w w:val="105"/>
        </w:rPr>
        <w:t>hombres</w:t>
      </w:r>
      <w:r>
        <w:rPr>
          <w:color w:val="231F20"/>
          <w:spacing w:val="-9"/>
          <w:w w:val="105"/>
        </w:rPr>
        <w:t> </w:t>
      </w:r>
      <w:r>
        <w:rPr>
          <w:color w:val="231F20"/>
          <w:w w:val="105"/>
        </w:rPr>
        <w:t>persisten</w:t>
      </w:r>
      <w:r>
        <w:rPr>
          <w:color w:val="231F20"/>
          <w:spacing w:val="-9"/>
          <w:w w:val="105"/>
        </w:rPr>
        <w:t> </w:t>
      </w:r>
      <w:r>
        <w:rPr>
          <w:color w:val="231F20"/>
          <w:w w:val="105"/>
        </w:rPr>
        <w:t>como los proveedores económicos del hogar y las mujeres se encargan de</w:t>
      </w:r>
      <w:r>
        <w:rPr>
          <w:color w:val="231F20"/>
          <w:spacing w:val="-26"/>
          <w:w w:val="105"/>
        </w:rPr>
        <w:t> </w:t>
      </w:r>
      <w:r>
        <w:rPr>
          <w:color w:val="231F20"/>
          <w:w w:val="105"/>
        </w:rPr>
        <w:t>la reproducción de la vida</w:t>
      </w:r>
      <w:r>
        <w:rPr>
          <w:color w:val="231F20"/>
          <w:spacing w:val="-41"/>
          <w:w w:val="105"/>
        </w:rPr>
        <w:t> </w:t>
      </w:r>
      <w:r>
        <w:rPr>
          <w:color w:val="231F20"/>
          <w:w w:val="105"/>
        </w:rPr>
        <w:t>familiar.</w:t>
      </w:r>
    </w:p>
    <w:p>
      <w:pPr>
        <w:pStyle w:val="BodyText"/>
        <w:spacing w:line="261" w:lineRule="auto" w:before="1"/>
        <w:ind w:left="1723" w:right="1835" w:firstLine="567"/>
        <w:jc w:val="both"/>
      </w:pPr>
      <w:r>
        <w:rPr>
          <w:color w:val="231F20"/>
          <w:w w:val="105"/>
        </w:rPr>
        <w:t>Características del lugar donde habita esta población, nos</w:t>
      </w:r>
      <w:r>
        <w:rPr>
          <w:color w:val="231F20"/>
          <w:spacing w:val="-38"/>
          <w:w w:val="105"/>
        </w:rPr>
        <w:t> </w:t>
      </w:r>
      <w:r>
        <w:rPr>
          <w:color w:val="231F20"/>
          <w:w w:val="105"/>
        </w:rPr>
        <w:t>ayuda- ran</w:t>
      </w:r>
      <w:r>
        <w:rPr>
          <w:color w:val="231F20"/>
          <w:spacing w:val="-13"/>
          <w:w w:val="105"/>
        </w:rPr>
        <w:t> </w:t>
      </w:r>
      <w:r>
        <w:rPr>
          <w:color w:val="231F20"/>
          <w:w w:val="105"/>
        </w:rPr>
        <w:t>a</w:t>
      </w:r>
      <w:r>
        <w:rPr>
          <w:color w:val="231F20"/>
          <w:spacing w:val="-13"/>
          <w:w w:val="105"/>
        </w:rPr>
        <w:t> </w:t>
      </w:r>
      <w:r>
        <w:rPr>
          <w:color w:val="231F20"/>
          <w:w w:val="105"/>
        </w:rPr>
        <w:t>hipotetizar</w:t>
      </w:r>
      <w:r>
        <w:rPr>
          <w:color w:val="231F20"/>
          <w:spacing w:val="-13"/>
          <w:w w:val="105"/>
        </w:rPr>
        <w:t> </w:t>
      </w:r>
      <w:r>
        <w:rPr>
          <w:color w:val="231F20"/>
          <w:w w:val="105"/>
        </w:rPr>
        <w:t>sobre</w:t>
      </w:r>
      <w:r>
        <w:rPr>
          <w:color w:val="231F20"/>
          <w:spacing w:val="-13"/>
          <w:w w:val="105"/>
        </w:rPr>
        <w:t> </w:t>
      </w:r>
      <w:r>
        <w:rPr>
          <w:color w:val="231F20"/>
          <w:w w:val="105"/>
        </w:rPr>
        <w:t>otras</w:t>
      </w:r>
      <w:r>
        <w:rPr>
          <w:color w:val="231F20"/>
          <w:spacing w:val="-13"/>
          <w:w w:val="105"/>
        </w:rPr>
        <w:t> </w:t>
      </w:r>
      <w:r>
        <w:rPr>
          <w:color w:val="231F20"/>
          <w:w w:val="105"/>
        </w:rPr>
        <w:t>formas</w:t>
      </w:r>
      <w:r>
        <w:rPr>
          <w:color w:val="231F20"/>
          <w:spacing w:val="-13"/>
          <w:w w:val="105"/>
        </w:rPr>
        <w:t> </w:t>
      </w:r>
      <w:r>
        <w:rPr>
          <w:color w:val="231F20"/>
          <w:w w:val="105"/>
        </w:rPr>
        <w:t>de</w:t>
      </w:r>
      <w:r>
        <w:rPr>
          <w:color w:val="231F20"/>
          <w:spacing w:val="-13"/>
          <w:w w:val="105"/>
        </w:rPr>
        <w:t> </w:t>
      </w:r>
      <w:r>
        <w:rPr>
          <w:color w:val="231F20"/>
          <w:w w:val="105"/>
        </w:rPr>
        <w:t>entender</w:t>
      </w:r>
      <w:r>
        <w:rPr>
          <w:color w:val="231F20"/>
          <w:spacing w:val="-13"/>
          <w:w w:val="105"/>
        </w:rPr>
        <w:t> </w:t>
      </w:r>
      <w:r>
        <w:rPr>
          <w:color w:val="231F20"/>
          <w:w w:val="105"/>
        </w:rPr>
        <w:t>la</w:t>
      </w:r>
      <w:r>
        <w:rPr>
          <w:color w:val="231F20"/>
          <w:spacing w:val="-13"/>
          <w:w w:val="105"/>
        </w:rPr>
        <w:t> </w:t>
      </w:r>
      <w:r>
        <w:rPr>
          <w:color w:val="231F20"/>
          <w:w w:val="105"/>
        </w:rPr>
        <w:t>migración</w:t>
      </w:r>
      <w:r>
        <w:rPr>
          <w:color w:val="231F20"/>
          <w:spacing w:val="-13"/>
          <w:w w:val="105"/>
        </w:rPr>
        <w:t> </w:t>
      </w:r>
      <w:r>
        <w:rPr>
          <w:color w:val="231F20"/>
          <w:w w:val="105"/>
        </w:rPr>
        <w:t>internacio- nal</w:t>
      </w:r>
      <w:r>
        <w:rPr>
          <w:color w:val="231F20"/>
          <w:spacing w:val="-11"/>
          <w:w w:val="105"/>
        </w:rPr>
        <w:t> </w:t>
      </w:r>
      <w:r>
        <w:rPr>
          <w:color w:val="231F20"/>
          <w:w w:val="105"/>
        </w:rPr>
        <w:t>hacia</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entidad</w:t>
      </w:r>
      <w:r>
        <w:rPr>
          <w:color w:val="231F20"/>
          <w:spacing w:val="-11"/>
          <w:w w:val="105"/>
        </w:rPr>
        <w:t> </w:t>
      </w:r>
      <w:r>
        <w:rPr>
          <w:color w:val="231F20"/>
          <w:w w:val="105"/>
        </w:rPr>
        <w:t>mexiquense.</w:t>
      </w:r>
      <w:r>
        <w:rPr>
          <w:color w:val="231F20"/>
          <w:spacing w:val="-16"/>
          <w:w w:val="105"/>
        </w:rPr>
        <w:t> </w:t>
      </w:r>
      <w:r>
        <w:rPr>
          <w:color w:val="231F20"/>
          <w:w w:val="105"/>
        </w:rPr>
        <w:t>El</w:t>
      </w:r>
      <w:r>
        <w:rPr>
          <w:color w:val="231F20"/>
          <w:spacing w:val="-11"/>
          <w:w w:val="105"/>
        </w:rPr>
        <w:t> </w:t>
      </w:r>
      <w:r>
        <w:rPr>
          <w:color w:val="231F20"/>
          <w:w w:val="105"/>
        </w:rPr>
        <w:t>primer</w:t>
      </w:r>
      <w:r>
        <w:rPr>
          <w:color w:val="231F20"/>
          <w:spacing w:val="-11"/>
          <w:w w:val="105"/>
        </w:rPr>
        <w:t> </w:t>
      </w:r>
      <w:r>
        <w:rPr>
          <w:color w:val="231F20"/>
          <w:w w:val="105"/>
        </w:rPr>
        <w:t>elemento presentado en el cuadro dos consiste en la reconstrucción de tres</w:t>
      </w:r>
      <w:r>
        <w:rPr>
          <w:color w:val="231F20"/>
          <w:spacing w:val="-29"/>
          <w:w w:val="105"/>
        </w:rPr>
        <w:t> </w:t>
      </w:r>
      <w:r>
        <w:rPr>
          <w:color w:val="231F20"/>
          <w:w w:val="105"/>
        </w:rPr>
        <w:t>tipos de</w:t>
      </w:r>
      <w:r>
        <w:rPr>
          <w:color w:val="231F20"/>
          <w:spacing w:val="-15"/>
          <w:w w:val="105"/>
        </w:rPr>
        <w:t> </w:t>
      </w:r>
      <w:r>
        <w:rPr>
          <w:color w:val="231F20"/>
          <w:w w:val="105"/>
        </w:rPr>
        <w:t>comunidades</w:t>
      </w:r>
      <w:r>
        <w:rPr>
          <w:color w:val="231F20"/>
          <w:spacing w:val="-15"/>
          <w:w w:val="105"/>
        </w:rPr>
        <w:t> </w:t>
      </w:r>
      <w:r>
        <w:rPr>
          <w:color w:val="231F20"/>
          <w:w w:val="105"/>
        </w:rPr>
        <w:t>expulsoras</w:t>
      </w:r>
      <w:r>
        <w:rPr>
          <w:color w:val="231F20"/>
          <w:spacing w:val="-15"/>
          <w:w w:val="105"/>
        </w:rPr>
        <w:t> </w:t>
      </w:r>
      <w:r>
        <w:rPr>
          <w:color w:val="231F20"/>
          <w:w w:val="105"/>
        </w:rPr>
        <w:t>como</w:t>
      </w:r>
      <w:r>
        <w:rPr>
          <w:color w:val="231F20"/>
          <w:spacing w:val="-15"/>
          <w:w w:val="105"/>
        </w:rPr>
        <w:t> </w:t>
      </w:r>
      <w:r>
        <w:rPr>
          <w:color w:val="231F20"/>
          <w:w w:val="105"/>
        </w:rPr>
        <w:t>se</w:t>
      </w:r>
      <w:r>
        <w:rPr>
          <w:color w:val="231F20"/>
          <w:spacing w:val="-15"/>
          <w:w w:val="105"/>
        </w:rPr>
        <w:t> </w:t>
      </w:r>
      <w:r>
        <w:rPr>
          <w:color w:val="231F20"/>
          <w:w w:val="105"/>
        </w:rPr>
        <w:t>explicó</w:t>
      </w:r>
      <w:r>
        <w:rPr>
          <w:color w:val="231F20"/>
          <w:spacing w:val="-15"/>
          <w:w w:val="105"/>
        </w:rPr>
        <w:t> </w:t>
      </w:r>
      <w:r>
        <w:rPr>
          <w:color w:val="231F20"/>
          <w:w w:val="105"/>
        </w:rPr>
        <w:t>al</w:t>
      </w:r>
      <w:r>
        <w:rPr>
          <w:color w:val="231F20"/>
          <w:spacing w:val="-15"/>
          <w:w w:val="105"/>
        </w:rPr>
        <w:t> </w:t>
      </w:r>
      <w:r>
        <w:rPr>
          <w:color w:val="231F20"/>
          <w:w w:val="105"/>
        </w:rPr>
        <w:t>inicio</w:t>
      </w:r>
      <w:r>
        <w:rPr>
          <w:color w:val="231F20"/>
          <w:spacing w:val="-15"/>
          <w:w w:val="105"/>
        </w:rPr>
        <w:t> </w:t>
      </w:r>
      <w:r>
        <w:rPr>
          <w:color w:val="231F20"/>
          <w:w w:val="105"/>
        </w:rPr>
        <w:t>de</w:t>
      </w:r>
      <w:r>
        <w:rPr>
          <w:color w:val="231F20"/>
          <w:spacing w:val="-15"/>
          <w:w w:val="105"/>
        </w:rPr>
        <w:t> </w:t>
      </w:r>
      <w:r>
        <w:rPr>
          <w:color w:val="231F20"/>
          <w:w w:val="105"/>
        </w:rPr>
        <w:t>esta</w:t>
      </w:r>
      <w:r>
        <w:rPr>
          <w:color w:val="231F20"/>
          <w:spacing w:val="-15"/>
          <w:w w:val="105"/>
        </w:rPr>
        <w:t> </w:t>
      </w:r>
      <w:r>
        <w:rPr>
          <w:color w:val="231F20"/>
          <w:w w:val="105"/>
        </w:rPr>
        <w:t>sección.</w:t>
      </w:r>
      <w:r>
        <w:rPr>
          <w:color w:val="231F20"/>
          <w:spacing w:val="-20"/>
          <w:w w:val="105"/>
        </w:rPr>
        <w:t> </w:t>
      </w:r>
      <w:r>
        <w:rPr>
          <w:color w:val="231F20"/>
          <w:w w:val="105"/>
        </w:rPr>
        <w:t>El tipo</w:t>
      </w:r>
      <w:r>
        <w:rPr>
          <w:color w:val="231F20"/>
          <w:spacing w:val="-8"/>
          <w:w w:val="105"/>
        </w:rPr>
        <w:t> </w:t>
      </w:r>
      <w:r>
        <w:rPr>
          <w:color w:val="231F20"/>
          <w:w w:val="105"/>
        </w:rPr>
        <w:t>de</w:t>
      </w:r>
      <w:r>
        <w:rPr>
          <w:color w:val="231F20"/>
          <w:spacing w:val="-8"/>
          <w:w w:val="105"/>
        </w:rPr>
        <w:t> </w:t>
      </w:r>
      <w:r>
        <w:rPr>
          <w:color w:val="231F20"/>
          <w:w w:val="105"/>
        </w:rPr>
        <w:t>comunidad</w:t>
      </w:r>
      <w:r>
        <w:rPr>
          <w:color w:val="231F20"/>
          <w:spacing w:val="-8"/>
          <w:w w:val="105"/>
        </w:rPr>
        <w:t> </w:t>
      </w:r>
      <w:r>
        <w:rPr>
          <w:color w:val="231F20"/>
          <w:w w:val="105"/>
        </w:rPr>
        <w:t>tradicional</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construyó</w:t>
      </w:r>
      <w:r>
        <w:rPr>
          <w:color w:val="231F20"/>
          <w:spacing w:val="-8"/>
          <w:w w:val="105"/>
        </w:rPr>
        <w:t> </w:t>
      </w:r>
      <w:r>
        <w:rPr>
          <w:color w:val="231F20"/>
          <w:w w:val="105"/>
        </w:rPr>
        <w:t>usando</w:t>
      </w:r>
      <w:r>
        <w:rPr>
          <w:color w:val="231F20"/>
          <w:spacing w:val="-8"/>
          <w:w w:val="105"/>
        </w:rPr>
        <w:t> </w:t>
      </w:r>
      <w:r>
        <w:rPr>
          <w:color w:val="231F20"/>
          <w:w w:val="105"/>
        </w:rPr>
        <w:t>datos</w:t>
      </w:r>
      <w:r>
        <w:rPr>
          <w:color w:val="231F20"/>
          <w:spacing w:val="-8"/>
          <w:w w:val="105"/>
        </w:rPr>
        <w:t> </w:t>
      </w:r>
      <w:r>
        <w:rPr>
          <w:color w:val="231F20"/>
          <w:w w:val="105"/>
        </w:rPr>
        <w:t>del</w:t>
      </w:r>
      <w:r>
        <w:rPr>
          <w:color w:val="231F20"/>
          <w:spacing w:val="-8"/>
          <w:w w:val="105"/>
        </w:rPr>
        <w:t> </w:t>
      </w:r>
      <w:r>
        <w:rPr>
          <w:color w:val="231F20"/>
          <w:w w:val="105"/>
        </w:rPr>
        <w:t>censo de 1990 presenta una disminución en la migración de retorno del año 2000 al 2010, si bien contribuyó en la primera observación a 20% de la migración</w:t>
      </w:r>
      <w:r>
        <w:rPr>
          <w:color w:val="231F20"/>
          <w:spacing w:val="-13"/>
          <w:w w:val="105"/>
        </w:rPr>
        <w:t> </w:t>
      </w:r>
      <w:r>
        <w:rPr>
          <w:color w:val="231F20"/>
          <w:w w:val="105"/>
        </w:rPr>
        <w:t>masculina,</w:t>
      </w:r>
      <w:r>
        <w:rPr>
          <w:color w:val="231F20"/>
          <w:spacing w:val="-18"/>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segundo</w:t>
      </w:r>
      <w:r>
        <w:rPr>
          <w:color w:val="231F20"/>
          <w:spacing w:val="-13"/>
          <w:w w:val="105"/>
        </w:rPr>
        <w:t> </w:t>
      </w:r>
      <w:r>
        <w:rPr>
          <w:color w:val="231F20"/>
          <w:w w:val="105"/>
        </w:rPr>
        <w:t>periodo</w:t>
      </w:r>
      <w:r>
        <w:rPr>
          <w:color w:val="231F20"/>
          <w:spacing w:val="-13"/>
          <w:w w:val="105"/>
        </w:rPr>
        <w:t> </w:t>
      </w:r>
      <w:r>
        <w:rPr>
          <w:color w:val="231F20"/>
          <w:w w:val="105"/>
        </w:rPr>
        <w:t>se</w:t>
      </w:r>
      <w:r>
        <w:rPr>
          <w:color w:val="231F20"/>
          <w:spacing w:val="-13"/>
          <w:w w:val="105"/>
        </w:rPr>
        <w:t> </w:t>
      </w:r>
      <w:r>
        <w:rPr>
          <w:color w:val="231F20"/>
          <w:w w:val="105"/>
        </w:rPr>
        <w:t>acercó</w:t>
      </w:r>
      <w:r>
        <w:rPr>
          <w:color w:val="231F20"/>
          <w:spacing w:val="-13"/>
          <w:w w:val="105"/>
        </w:rPr>
        <w:t> </w:t>
      </w:r>
      <w:r>
        <w:rPr>
          <w:color w:val="231F20"/>
          <w:w w:val="105"/>
        </w:rPr>
        <w:t>sólo</w:t>
      </w:r>
      <w:r>
        <w:rPr>
          <w:color w:val="231F20"/>
          <w:spacing w:val="-13"/>
          <w:w w:val="105"/>
        </w:rPr>
        <w:t> </w:t>
      </w:r>
      <w:r>
        <w:rPr>
          <w:color w:val="231F20"/>
          <w:w w:val="105"/>
        </w:rPr>
        <w:t>a</w:t>
      </w:r>
      <w:r>
        <w:rPr>
          <w:color w:val="231F20"/>
          <w:spacing w:val="-13"/>
          <w:w w:val="105"/>
        </w:rPr>
        <w:t> </w:t>
      </w:r>
      <w:r>
        <w:rPr>
          <w:color w:val="231F20"/>
          <w:w w:val="105"/>
        </w:rPr>
        <w:t>14%;</w:t>
      </w:r>
      <w:r>
        <w:rPr>
          <w:color w:val="231F20"/>
          <w:spacing w:val="-13"/>
          <w:w w:val="105"/>
        </w:rPr>
        <w:t> </w:t>
      </w:r>
      <w:r>
        <w:rPr>
          <w:color w:val="231F20"/>
          <w:w w:val="105"/>
        </w:rPr>
        <w:t>en</w:t>
      </w:r>
      <w:r>
        <w:rPr>
          <w:color w:val="231F20"/>
          <w:spacing w:val="-13"/>
          <w:w w:val="105"/>
        </w:rPr>
        <w:t> </w:t>
      </w:r>
      <w:r>
        <w:rPr>
          <w:color w:val="231F20"/>
          <w:w w:val="105"/>
        </w:rPr>
        <w:t>el caso</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mujeres</w:t>
      </w:r>
      <w:r>
        <w:rPr>
          <w:color w:val="231F20"/>
          <w:spacing w:val="-4"/>
          <w:w w:val="105"/>
        </w:rPr>
        <w:t> </w:t>
      </w:r>
      <w:r>
        <w:rPr>
          <w:color w:val="231F20"/>
          <w:w w:val="105"/>
        </w:rPr>
        <w:t>pasó</w:t>
      </w:r>
      <w:r>
        <w:rPr>
          <w:color w:val="231F20"/>
          <w:spacing w:val="-4"/>
          <w:w w:val="105"/>
        </w:rPr>
        <w:t> </w:t>
      </w:r>
      <w:r>
        <w:rPr>
          <w:color w:val="231F20"/>
          <w:w w:val="105"/>
        </w:rPr>
        <w:t>de</w:t>
      </w:r>
      <w:r>
        <w:rPr>
          <w:color w:val="231F20"/>
          <w:spacing w:val="-4"/>
          <w:w w:val="105"/>
        </w:rPr>
        <w:t> </w:t>
      </w:r>
      <w:r>
        <w:rPr>
          <w:color w:val="231F20"/>
          <w:w w:val="105"/>
        </w:rPr>
        <w:t>16</w:t>
      </w:r>
      <w:r>
        <w:rPr>
          <w:color w:val="231F20"/>
          <w:spacing w:val="-4"/>
          <w:w w:val="105"/>
        </w:rPr>
        <w:t> </w:t>
      </w:r>
      <w:r>
        <w:rPr>
          <w:color w:val="231F20"/>
          <w:w w:val="105"/>
        </w:rPr>
        <w:t>al</w:t>
      </w:r>
      <w:r>
        <w:rPr>
          <w:color w:val="231F20"/>
          <w:spacing w:val="-4"/>
          <w:w w:val="105"/>
        </w:rPr>
        <w:t> </w:t>
      </w:r>
      <w:r>
        <w:rPr>
          <w:color w:val="231F20"/>
          <w:w w:val="105"/>
        </w:rPr>
        <w:t>14%.</w:t>
      </w:r>
      <w:r>
        <w:rPr>
          <w:color w:val="231F20"/>
          <w:spacing w:val="-10"/>
          <w:w w:val="105"/>
        </w:rPr>
        <w:t> </w:t>
      </w:r>
      <w:r>
        <w:rPr>
          <w:color w:val="231F20"/>
          <w:spacing w:val="-6"/>
          <w:w w:val="105"/>
        </w:rPr>
        <w:t>Por</w:t>
      </w:r>
      <w:r>
        <w:rPr>
          <w:color w:val="231F20"/>
          <w:spacing w:val="-4"/>
          <w:w w:val="105"/>
        </w:rPr>
        <w:t> </w:t>
      </w:r>
      <w:r>
        <w:rPr>
          <w:color w:val="231F20"/>
          <w:w w:val="105"/>
        </w:rPr>
        <w:t>lo</w:t>
      </w:r>
      <w:r>
        <w:rPr>
          <w:color w:val="231F20"/>
          <w:spacing w:val="-4"/>
          <w:w w:val="105"/>
        </w:rPr>
        <w:t> </w:t>
      </w:r>
      <w:r>
        <w:rPr>
          <w:color w:val="231F20"/>
          <w:w w:val="105"/>
        </w:rPr>
        <w:t>tanto,</w:t>
      </w:r>
      <w:r>
        <w:rPr>
          <w:color w:val="231F20"/>
          <w:spacing w:val="-10"/>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última</w:t>
      </w:r>
      <w:r>
        <w:rPr>
          <w:color w:val="231F20"/>
          <w:spacing w:val="-4"/>
          <w:w w:val="105"/>
        </w:rPr>
        <w:t> </w:t>
      </w:r>
      <w:r>
        <w:rPr>
          <w:color w:val="231F20"/>
          <w:w w:val="105"/>
        </w:rPr>
        <w:t>obser- vación se encuentra equilibrada la proporción de migrantes hombres y mujeres</w:t>
      </w:r>
      <w:r>
        <w:rPr>
          <w:color w:val="231F20"/>
          <w:spacing w:val="-9"/>
          <w:w w:val="105"/>
        </w:rPr>
        <w:t> </w:t>
      </w:r>
      <w:r>
        <w:rPr>
          <w:color w:val="231F20"/>
          <w:w w:val="105"/>
        </w:rPr>
        <w:t>retornados</w:t>
      </w:r>
      <w:r>
        <w:rPr>
          <w:color w:val="231F20"/>
          <w:spacing w:val="-9"/>
          <w:w w:val="105"/>
        </w:rPr>
        <w:t> </w:t>
      </w:r>
      <w:r>
        <w:rPr>
          <w:color w:val="231F20"/>
          <w:w w:val="105"/>
        </w:rPr>
        <w:t>de</w:t>
      </w:r>
      <w:r>
        <w:rPr>
          <w:color w:val="231F20"/>
          <w:spacing w:val="-9"/>
          <w:w w:val="105"/>
        </w:rPr>
        <w:t> </w:t>
      </w:r>
      <w:r>
        <w:rPr>
          <w:color w:val="231F20"/>
          <w:w w:val="105"/>
        </w:rPr>
        <w:t>este</w:t>
      </w:r>
      <w:r>
        <w:rPr>
          <w:color w:val="231F20"/>
          <w:spacing w:val="-9"/>
          <w:w w:val="105"/>
        </w:rPr>
        <w:t> </w:t>
      </w:r>
      <w:r>
        <w:rPr>
          <w:color w:val="231F20"/>
          <w:w w:val="105"/>
        </w:rPr>
        <w:t>tipo</w:t>
      </w:r>
      <w:r>
        <w:rPr>
          <w:color w:val="231F20"/>
          <w:spacing w:val="-9"/>
          <w:w w:val="105"/>
        </w:rPr>
        <w:t> </w:t>
      </w:r>
      <w:r>
        <w:rPr>
          <w:color w:val="231F20"/>
          <w:w w:val="105"/>
        </w:rPr>
        <w:t>de</w:t>
      </w:r>
      <w:r>
        <w:rPr>
          <w:color w:val="231F20"/>
          <w:spacing w:val="-9"/>
          <w:w w:val="105"/>
        </w:rPr>
        <w:t> </w:t>
      </w:r>
      <w:r>
        <w:rPr>
          <w:color w:val="231F20"/>
          <w:w w:val="105"/>
        </w:rPr>
        <w:t>comunidad</w:t>
      </w:r>
      <w:r>
        <w:rPr>
          <w:color w:val="231F20"/>
          <w:spacing w:val="-9"/>
          <w:w w:val="105"/>
        </w:rPr>
        <w:t> </w:t>
      </w:r>
      <w:r>
        <w:rPr>
          <w:color w:val="231F20"/>
          <w:w w:val="105"/>
        </w:rPr>
        <w:t>expulsora.</w:t>
      </w:r>
    </w:p>
    <w:p>
      <w:pPr>
        <w:pStyle w:val="BodyText"/>
        <w:spacing w:line="261" w:lineRule="auto" w:before="1"/>
        <w:ind w:left="1723" w:right="1834" w:firstLine="567"/>
        <w:jc w:val="both"/>
      </w:pPr>
      <w:r>
        <w:rPr>
          <w:color w:val="231F20"/>
          <w:w w:val="105"/>
        </w:rPr>
        <w:t>En el caso de las comunidades emergentes, municipios metro- politanos, encontramos que contienen a la mayor parte de población migrante, lo cual es un efecto de su volumen de población. Con esta consideración,</w:t>
      </w:r>
      <w:r>
        <w:rPr>
          <w:color w:val="231F20"/>
          <w:spacing w:val="-14"/>
          <w:w w:val="105"/>
        </w:rPr>
        <w:t> </w:t>
      </w:r>
      <w:r>
        <w:rPr>
          <w:color w:val="231F20"/>
          <w:w w:val="105"/>
        </w:rPr>
        <w:t>es</w:t>
      </w:r>
      <w:r>
        <w:rPr>
          <w:color w:val="231F20"/>
          <w:spacing w:val="-8"/>
          <w:w w:val="105"/>
        </w:rPr>
        <w:t> </w:t>
      </w:r>
      <w:r>
        <w:rPr>
          <w:color w:val="231F20"/>
          <w:w w:val="105"/>
        </w:rPr>
        <w:t>posible</w:t>
      </w:r>
      <w:r>
        <w:rPr>
          <w:color w:val="231F20"/>
          <w:spacing w:val="-8"/>
          <w:w w:val="105"/>
        </w:rPr>
        <w:t> </w:t>
      </w:r>
      <w:r>
        <w:rPr>
          <w:color w:val="231F20"/>
          <w:w w:val="105"/>
        </w:rPr>
        <w:t>observar</w:t>
      </w:r>
      <w:r>
        <w:rPr>
          <w:color w:val="231F20"/>
          <w:spacing w:val="-8"/>
          <w:w w:val="105"/>
        </w:rPr>
        <w:t> </w:t>
      </w:r>
      <w:r>
        <w:rPr>
          <w:color w:val="231F20"/>
          <w:w w:val="105"/>
        </w:rPr>
        <w:t>una</w:t>
      </w:r>
      <w:r>
        <w:rPr>
          <w:color w:val="231F20"/>
          <w:spacing w:val="-8"/>
          <w:w w:val="105"/>
        </w:rPr>
        <w:t> </w:t>
      </w:r>
      <w:r>
        <w:rPr>
          <w:color w:val="231F20"/>
          <w:w w:val="105"/>
        </w:rPr>
        <w:t>disminución</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proporción</w:t>
      </w:r>
      <w:r>
        <w:rPr>
          <w:color w:val="231F20"/>
          <w:spacing w:val="-8"/>
          <w:w w:val="105"/>
        </w:rPr>
        <w:t> </w:t>
      </w:r>
      <w:r>
        <w:rPr>
          <w:color w:val="231F20"/>
          <w:w w:val="105"/>
        </w:rPr>
        <w:t>de ambos</w:t>
      </w:r>
      <w:r>
        <w:rPr>
          <w:color w:val="231F20"/>
          <w:spacing w:val="-9"/>
          <w:w w:val="105"/>
        </w:rPr>
        <w:t> </w:t>
      </w:r>
      <w:r>
        <w:rPr>
          <w:color w:val="231F20"/>
          <w:w w:val="105"/>
        </w:rPr>
        <w:t>sexos,</w:t>
      </w:r>
      <w:r>
        <w:rPr>
          <w:color w:val="231F20"/>
          <w:spacing w:val="-15"/>
          <w:w w:val="105"/>
        </w:rPr>
        <w:t> </w:t>
      </w:r>
      <w:r>
        <w:rPr>
          <w:color w:val="231F20"/>
          <w:w w:val="105"/>
        </w:rPr>
        <w:t>lo</w:t>
      </w:r>
      <w:r>
        <w:rPr>
          <w:color w:val="231F20"/>
          <w:spacing w:val="-9"/>
          <w:w w:val="105"/>
        </w:rPr>
        <w:t> </w:t>
      </w:r>
      <w:r>
        <w:rPr>
          <w:color w:val="231F20"/>
          <w:w w:val="105"/>
        </w:rPr>
        <w:t>cual</w:t>
      </w:r>
      <w:r>
        <w:rPr>
          <w:color w:val="231F20"/>
          <w:spacing w:val="-9"/>
          <w:w w:val="105"/>
        </w:rPr>
        <w:t> </w:t>
      </w:r>
      <w:r>
        <w:rPr>
          <w:color w:val="231F20"/>
          <w:w w:val="105"/>
        </w:rPr>
        <w:t>corresponde</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patrón</w:t>
      </w:r>
      <w:r>
        <w:rPr>
          <w:color w:val="231F20"/>
          <w:spacing w:val="-9"/>
          <w:w w:val="105"/>
        </w:rPr>
        <w:t> </w:t>
      </w:r>
      <w:r>
        <w:rPr>
          <w:color w:val="231F20"/>
          <w:w w:val="105"/>
        </w:rPr>
        <w:t>ocurrido</w:t>
      </w:r>
      <w:r>
        <w:rPr>
          <w:color w:val="231F20"/>
          <w:spacing w:val="-9"/>
          <w:w w:val="105"/>
        </w:rPr>
        <w:t> </w:t>
      </w:r>
      <w:r>
        <w:rPr>
          <w:color w:val="231F20"/>
          <w:w w:val="105"/>
        </w:rPr>
        <w:t>en</w:t>
      </w:r>
      <w:r>
        <w:rPr>
          <w:color w:val="231F20"/>
          <w:spacing w:val="-9"/>
          <w:w w:val="105"/>
        </w:rPr>
        <w:t> </w:t>
      </w:r>
      <w:r>
        <w:rPr>
          <w:color w:val="231F20"/>
          <w:w w:val="105"/>
        </w:rPr>
        <w:t>todo</w:t>
      </w:r>
      <w:r>
        <w:rPr>
          <w:color w:val="231F20"/>
          <w:spacing w:val="-9"/>
          <w:w w:val="105"/>
        </w:rPr>
        <w:t> </w:t>
      </w:r>
      <w:r>
        <w:rPr>
          <w:color w:val="231F20"/>
          <w:w w:val="105"/>
        </w:rPr>
        <w:t>el</w:t>
      </w:r>
      <w:r>
        <w:rPr>
          <w:color w:val="231F20"/>
          <w:spacing w:val="-9"/>
          <w:w w:val="105"/>
        </w:rPr>
        <w:t> </w:t>
      </w:r>
      <w:r>
        <w:rPr>
          <w:color w:val="231F20"/>
          <w:w w:val="105"/>
        </w:rPr>
        <w:t>país a</w:t>
      </w:r>
      <w:r>
        <w:rPr>
          <w:color w:val="231F20"/>
          <w:spacing w:val="-12"/>
          <w:w w:val="105"/>
        </w:rPr>
        <w:t> </w:t>
      </w:r>
      <w:r>
        <w:rPr>
          <w:color w:val="231F20"/>
          <w:w w:val="105"/>
        </w:rPr>
        <w:t>causa</w:t>
      </w:r>
      <w:r>
        <w:rPr>
          <w:color w:val="231F20"/>
          <w:spacing w:val="-12"/>
          <w:w w:val="105"/>
        </w:rPr>
        <w:t> </w:t>
      </w:r>
      <w:r>
        <w:rPr>
          <w:color w:val="231F20"/>
          <w:w w:val="105"/>
        </w:rPr>
        <w:t>del</w:t>
      </w:r>
      <w:r>
        <w:rPr>
          <w:color w:val="231F20"/>
          <w:spacing w:val="-12"/>
          <w:w w:val="105"/>
        </w:rPr>
        <w:t> </w:t>
      </w:r>
      <w:r>
        <w:rPr>
          <w:color w:val="231F20"/>
          <w:w w:val="105"/>
        </w:rPr>
        <w:t>aumento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vigilancia</w:t>
      </w:r>
      <w:r>
        <w:rPr>
          <w:color w:val="231F20"/>
          <w:spacing w:val="-12"/>
          <w:w w:val="105"/>
        </w:rPr>
        <w:t> </w:t>
      </w:r>
      <w:r>
        <w:rPr>
          <w:color w:val="231F20"/>
          <w:w w:val="105"/>
        </w:rPr>
        <w:t>fronteriza;</w:t>
      </w:r>
      <w:r>
        <w:rPr>
          <w:color w:val="231F20"/>
          <w:spacing w:val="-12"/>
          <w:w w:val="105"/>
        </w:rPr>
        <w:t> </w:t>
      </w:r>
      <w:r>
        <w:rPr>
          <w:color w:val="231F20"/>
          <w:w w:val="105"/>
        </w:rPr>
        <w:t>por</w:t>
      </w:r>
      <w:r>
        <w:rPr>
          <w:color w:val="231F20"/>
          <w:spacing w:val="-12"/>
          <w:w w:val="105"/>
        </w:rPr>
        <w:t> </w:t>
      </w:r>
      <w:r>
        <w:rPr>
          <w:color w:val="231F20"/>
          <w:w w:val="105"/>
        </w:rPr>
        <w:t>otra</w:t>
      </w:r>
      <w:r>
        <w:rPr>
          <w:color w:val="231F20"/>
          <w:spacing w:val="-12"/>
          <w:w w:val="105"/>
        </w:rPr>
        <w:t> </w:t>
      </w:r>
      <w:r>
        <w:rPr>
          <w:color w:val="231F20"/>
          <w:w w:val="105"/>
        </w:rPr>
        <w:t>parte,</w:t>
      </w:r>
      <w:r>
        <w:rPr>
          <w:color w:val="231F20"/>
          <w:spacing w:val="-17"/>
          <w:w w:val="105"/>
        </w:rPr>
        <w:t> </w:t>
      </w:r>
      <w:r>
        <w:rPr>
          <w:color w:val="231F20"/>
          <w:w w:val="105"/>
        </w:rPr>
        <w:t>en</w:t>
      </w:r>
      <w:r>
        <w:rPr>
          <w:color w:val="231F20"/>
          <w:spacing w:val="-12"/>
          <w:w w:val="105"/>
        </w:rPr>
        <w:t> </w:t>
      </w:r>
      <w:r>
        <w:rPr>
          <w:color w:val="231F20"/>
          <w:w w:val="105"/>
        </w:rPr>
        <w:t>ambas observaciones</w:t>
      </w:r>
      <w:r>
        <w:rPr>
          <w:color w:val="231F20"/>
          <w:spacing w:val="-6"/>
          <w:w w:val="105"/>
        </w:rPr>
        <w:t> </w:t>
      </w:r>
      <w:r>
        <w:rPr>
          <w:color w:val="231F20"/>
          <w:w w:val="105"/>
        </w:rPr>
        <w:t>la</w:t>
      </w:r>
      <w:r>
        <w:rPr>
          <w:color w:val="231F20"/>
          <w:spacing w:val="-6"/>
          <w:w w:val="105"/>
        </w:rPr>
        <w:t> </w:t>
      </w:r>
      <w:r>
        <w:rPr>
          <w:color w:val="231F20"/>
          <w:w w:val="105"/>
        </w:rPr>
        <w:t>proporción</w:t>
      </w:r>
      <w:r>
        <w:rPr>
          <w:color w:val="231F20"/>
          <w:spacing w:val="-6"/>
          <w:w w:val="105"/>
        </w:rPr>
        <w:t> </w:t>
      </w:r>
      <w:r>
        <w:rPr>
          <w:color w:val="231F20"/>
          <w:w w:val="105"/>
        </w:rPr>
        <w:t>de</w:t>
      </w:r>
      <w:r>
        <w:rPr>
          <w:color w:val="231F20"/>
          <w:spacing w:val="-6"/>
          <w:w w:val="105"/>
        </w:rPr>
        <w:t> </w:t>
      </w:r>
      <w:r>
        <w:rPr>
          <w:color w:val="231F20"/>
          <w:w w:val="105"/>
        </w:rPr>
        <w:t>mujeres</w:t>
      </w:r>
      <w:r>
        <w:rPr>
          <w:color w:val="231F20"/>
          <w:spacing w:val="-6"/>
          <w:w w:val="105"/>
        </w:rPr>
        <w:t> </w:t>
      </w:r>
      <w:r>
        <w:rPr>
          <w:color w:val="231F20"/>
          <w:w w:val="105"/>
        </w:rPr>
        <w:t>migrantes</w:t>
      </w:r>
      <w:r>
        <w:rPr>
          <w:color w:val="231F20"/>
          <w:spacing w:val="-6"/>
          <w:w w:val="105"/>
        </w:rPr>
        <w:t> </w:t>
      </w:r>
      <w:r>
        <w:rPr>
          <w:color w:val="231F20"/>
          <w:w w:val="105"/>
        </w:rPr>
        <w:t>de</w:t>
      </w:r>
      <w:r>
        <w:rPr>
          <w:color w:val="231F20"/>
          <w:spacing w:val="-6"/>
          <w:w w:val="105"/>
        </w:rPr>
        <w:t> </w:t>
      </w:r>
      <w:r>
        <w:rPr>
          <w:color w:val="231F20"/>
          <w:w w:val="105"/>
        </w:rPr>
        <w:t>retorno</w:t>
      </w:r>
      <w:r>
        <w:rPr>
          <w:color w:val="231F20"/>
          <w:spacing w:val="-6"/>
          <w:w w:val="105"/>
        </w:rPr>
        <w:t> </w:t>
      </w:r>
      <w:r>
        <w:rPr>
          <w:color w:val="231F20"/>
          <w:w w:val="105"/>
        </w:rPr>
        <w:t>sea</w:t>
      </w:r>
      <w:r>
        <w:rPr>
          <w:color w:val="231F20"/>
          <w:spacing w:val="-6"/>
          <w:w w:val="105"/>
        </w:rPr>
        <w:t> </w:t>
      </w:r>
      <w:r>
        <w:rPr>
          <w:color w:val="231F20"/>
          <w:w w:val="105"/>
        </w:rPr>
        <w:t>liger- amente</w:t>
      </w:r>
      <w:r>
        <w:rPr>
          <w:color w:val="231F20"/>
          <w:spacing w:val="-14"/>
          <w:w w:val="105"/>
        </w:rPr>
        <w:t> </w:t>
      </w:r>
      <w:r>
        <w:rPr>
          <w:color w:val="231F20"/>
          <w:w w:val="105"/>
        </w:rPr>
        <w:t>mayor</w:t>
      </w:r>
      <w:r>
        <w:rPr>
          <w:color w:val="231F20"/>
          <w:spacing w:val="-14"/>
          <w:w w:val="105"/>
        </w:rPr>
        <w:t> </w:t>
      </w:r>
      <w:r>
        <w:rPr>
          <w:color w:val="231F20"/>
          <w:w w:val="105"/>
        </w:rPr>
        <w:t>comparada</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hombres.</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6424" from="131.551193pt,3.703715pt" to="131.551193pt,39.506114pt" stroked="true" strokeweight=".35pt" strokecolor="#231f20">
            <w10:wrap type="none"/>
          </v:line>
        </w:pict>
      </w:r>
      <w:r>
        <w:rPr/>
        <w:pict>
          <v:line style="position:absolute;mso-position-horizontal-relative:page;mso-position-vertical-relative:paragraph;z-index:-456352" from="15pt,39.505917pt" to="0pt,39.505917pt" stroked="true" strokeweight=".25pt" strokecolor="#000000">
            <w10:wrap type="none"/>
          </v:line>
        </w:pict>
      </w:r>
      <w:r>
        <w:rPr/>
        <w:pict>
          <v:line style="position:absolute;mso-position-horizontal-relative:page;mso-position-vertical-relative:paragraph;z-index:33856" from="508.890015pt,39.505917pt" to="523.890015pt,39.505917pt" stroked="true" strokeweight=".25pt" strokecolor="#000000">
            <w10:wrap type="none"/>
          </v:line>
        </w:pict>
      </w:r>
      <w:r>
        <w:rPr>
          <w:rFonts w:ascii="Arial" w:hAnsi="Arial"/>
          <w:color w:val="414042"/>
          <w:position w:val="-5"/>
          <w:sz w:val="20"/>
        </w:rPr>
        <w:t>276</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3880" from="405.061005pt,-27.904295pt" to="405.061005pt,6.961579pt" stroked="true" strokeweight=".35pt" strokecolor="#231f20">
            <w10:wrap type="none"/>
          </v:line>
        </w:pict>
      </w:r>
      <w:r>
        <w:rPr/>
        <w:pict>
          <v:line style="position:absolute;mso-position-horizontal-relative:page;mso-position-vertical-relative:paragraph;z-index:33904" from="15pt,-27.90452pt" to="0pt,-27.90452pt" stroked="true" strokeweight=".25pt" strokecolor="#000000">
            <w10:wrap type="none"/>
          </v:line>
        </w:pict>
      </w:r>
      <w:r>
        <w:rPr/>
        <w:pict>
          <v:line style="position:absolute;mso-position-horizontal-relative:page;mso-position-vertical-relative:paragraph;z-index:33928"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277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56232" from="15pt,715.487793pt" to="0pt,715.487793pt" stroked="true" strokeweight=".25pt" strokecolor="#000000">
            <w10:wrap type="none"/>
          </v:line>
        </w:pict>
      </w:r>
      <w:r>
        <w:rPr/>
        <w:pict>
          <v:line style="position:absolute;mso-position-horizontal-relative:page;mso-position-vertical-relative:page;z-index:33976" from="508.890015pt,715.487793pt" to="523.890015pt,715.487793pt" stroked="true" strokeweight=".25pt" strokecolor="#000000">
            <w10:wrap type="none"/>
          </v:line>
        </w:pict>
      </w:r>
    </w:p>
    <w:p>
      <w:pPr>
        <w:pStyle w:val="BodyText"/>
        <w:spacing w:before="6"/>
        <w:rPr>
          <w:rFonts w:ascii="Arial"/>
          <w:sz w:val="16"/>
        </w:rPr>
      </w:pPr>
    </w:p>
    <w:p>
      <w:pPr>
        <w:pStyle w:val="BodyText"/>
        <w:spacing w:line="261" w:lineRule="auto" w:before="60"/>
        <w:ind w:left="1837" w:right="1715"/>
        <w:jc w:val="both"/>
      </w:pP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municipios</w:t>
      </w:r>
      <w:r>
        <w:rPr>
          <w:color w:val="231F20"/>
          <w:spacing w:val="-14"/>
          <w:w w:val="105"/>
        </w:rPr>
        <w:t> </w:t>
      </w:r>
      <w:r>
        <w:rPr>
          <w:color w:val="231F20"/>
          <w:w w:val="105"/>
        </w:rPr>
        <w:t>étnicos,</w:t>
      </w:r>
      <w:r>
        <w:rPr>
          <w:color w:val="231F20"/>
          <w:spacing w:val="-19"/>
          <w:w w:val="105"/>
        </w:rPr>
        <w:t> </w:t>
      </w:r>
      <w:r>
        <w:rPr>
          <w:color w:val="231F20"/>
          <w:w w:val="105"/>
        </w:rPr>
        <w:t>a</w:t>
      </w:r>
      <w:r>
        <w:rPr>
          <w:color w:val="231F20"/>
          <w:spacing w:val="-14"/>
          <w:w w:val="105"/>
        </w:rPr>
        <w:t> </w:t>
      </w:r>
      <w:r>
        <w:rPr>
          <w:color w:val="231F20"/>
          <w:w w:val="105"/>
        </w:rPr>
        <w:t>pesar</w:t>
      </w:r>
      <w:r>
        <w:rPr>
          <w:color w:val="231F20"/>
          <w:spacing w:val="-14"/>
          <w:w w:val="105"/>
        </w:rPr>
        <w:t> </w:t>
      </w:r>
      <w:r>
        <w:rPr>
          <w:color w:val="231F20"/>
          <w:w w:val="105"/>
        </w:rPr>
        <w:t>de</w:t>
      </w:r>
      <w:r>
        <w:rPr>
          <w:color w:val="231F20"/>
          <w:spacing w:val="-14"/>
          <w:w w:val="105"/>
        </w:rPr>
        <w:t> </w:t>
      </w:r>
      <w:r>
        <w:rPr>
          <w:color w:val="231F20"/>
          <w:w w:val="105"/>
        </w:rPr>
        <w:t>tener</w:t>
      </w:r>
      <w:r>
        <w:rPr>
          <w:color w:val="231F20"/>
          <w:spacing w:val="-14"/>
          <w:w w:val="105"/>
        </w:rPr>
        <w:t> </w:t>
      </w:r>
      <w:r>
        <w:rPr>
          <w:color w:val="231F20"/>
          <w:w w:val="105"/>
        </w:rPr>
        <w:t>pocas</w:t>
      </w:r>
      <w:r>
        <w:rPr>
          <w:color w:val="231F20"/>
          <w:spacing w:val="-14"/>
          <w:w w:val="105"/>
        </w:rPr>
        <w:t> </w:t>
      </w:r>
      <w:r>
        <w:rPr>
          <w:color w:val="231F20"/>
          <w:w w:val="105"/>
        </w:rPr>
        <w:t>observaciones</w:t>
      </w:r>
      <w:r>
        <w:rPr>
          <w:color w:val="231F20"/>
          <w:spacing w:val="-14"/>
          <w:w w:val="105"/>
        </w:rPr>
        <w:t> </w:t>
      </w:r>
      <w:r>
        <w:rPr>
          <w:color w:val="231F20"/>
          <w:w w:val="105"/>
        </w:rPr>
        <w:t>para</w:t>
      </w:r>
      <w:r>
        <w:rPr>
          <w:color w:val="231F20"/>
          <w:spacing w:val="-14"/>
          <w:w w:val="105"/>
        </w:rPr>
        <w:t> </w:t>
      </w:r>
      <w:r>
        <w:rPr>
          <w:color w:val="231F20"/>
          <w:w w:val="105"/>
        </w:rPr>
        <w:t>el año 2000, vemos que hay una proporción mayor de hombres que emi- graron y regresaron con respecto a las mujeres. En el año 2010 la pro- porción de esta población migrante aumentó considerablemente, con- stituyendo</w:t>
      </w:r>
      <w:r>
        <w:rPr>
          <w:color w:val="231F20"/>
          <w:spacing w:val="-14"/>
          <w:w w:val="105"/>
        </w:rPr>
        <w:t> </w:t>
      </w:r>
      <w:r>
        <w:rPr>
          <w:color w:val="231F20"/>
          <w:w w:val="105"/>
        </w:rPr>
        <w:t>11.5%</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hombres</w:t>
      </w:r>
      <w:r>
        <w:rPr>
          <w:color w:val="231F20"/>
          <w:spacing w:val="-14"/>
          <w:w w:val="105"/>
        </w:rPr>
        <w:t> </w:t>
      </w:r>
      <w:r>
        <w:rPr>
          <w:color w:val="231F20"/>
          <w:w w:val="105"/>
        </w:rPr>
        <w:t>retornados</w:t>
      </w:r>
      <w:r>
        <w:rPr>
          <w:color w:val="231F20"/>
          <w:spacing w:val="-14"/>
          <w:w w:val="105"/>
        </w:rPr>
        <w:t> </w:t>
      </w:r>
      <w:r>
        <w:rPr>
          <w:color w:val="231F20"/>
          <w:w w:val="105"/>
        </w:rPr>
        <w:t>y</w:t>
      </w:r>
      <w:r>
        <w:rPr>
          <w:color w:val="231F20"/>
          <w:spacing w:val="-14"/>
          <w:w w:val="105"/>
        </w:rPr>
        <w:t> </w:t>
      </w:r>
      <w:r>
        <w:rPr>
          <w:color w:val="231F20"/>
          <w:w w:val="105"/>
        </w:rPr>
        <w:t>7%</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mujeres.</w:t>
      </w:r>
      <w:r>
        <w:rPr>
          <w:color w:val="231F20"/>
          <w:spacing w:val="-19"/>
          <w:w w:val="105"/>
        </w:rPr>
        <w:t> </w:t>
      </w:r>
      <w:r>
        <w:rPr>
          <w:color w:val="231F20"/>
          <w:w w:val="105"/>
        </w:rPr>
        <w:t>Estas diferencias son interesantes pues vemos que en los otros dos tipos de comunidades</w:t>
      </w:r>
      <w:r>
        <w:rPr>
          <w:color w:val="231F20"/>
          <w:spacing w:val="-11"/>
          <w:w w:val="105"/>
        </w:rPr>
        <w:t> </w:t>
      </w:r>
      <w:r>
        <w:rPr>
          <w:color w:val="231F20"/>
          <w:w w:val="105"/>
        </w:rPr>
        <w:t>expulsoras</w:t>
      </w:r>
      <w:r>
        <w:rPr>
          <w:color w:val="231F20"/>
          <w:spacing w:val="-11"/>
          <w:w w:val="105"/>
        </w:rPr>
        <w:t> </w:t>
      </w:r>
      <w:r>
        <w:rPr>
          <w:color w:val="231F20"/>
          <w:w w:val="105"/>
        </w:rPr>
        <w:t>se</w:t>
      </w:r>
      <w:r>
        <w:rPr>
          <w:color w:val="231F20"/>
          <w:spacing w:val="-11"/>
          <w:w w:val="105"/>
        </w:rPr>
        <w:t> </w:t>
      </w:r>
      <w:r>
        <w:rPr>
          <w:color w:val="231F20"/>
          <w:w w:val="105"/>
        </w:rPr>
        <w:t>igualó</w:t>
      </w:r>
      <w:r>
        <w:rPr>
          <w:color w:val="231F20"/>
          <w:spacing w:val="-11"/>
          <w:w w:val="105"/>
        </w:rPr>
        <w:t> </w:t>
      </w:r>
      <w:r>
        <w:rPr>
          <w:color w:val="231F20"/>
          <w:w w:val="105"/>
        </w:rPr>
        <w:t>la</w:t>
      </w:r>
      <w:r>
        <w:rPr>
          <w:color w:val="231F20"/>
          <w:spacing w:val="-11"/>
          <w:w w:val="105"/>
        </w:rPr>
        <w:t> </w:t>
      </w:r>
      <w:r>
        <w:rPr>
          <w:color w:val="231F20"/>
          <w:w w:val="105"/>
        </w:rPr>
        <w:t>proporción</w:t>
      </w:r>
      <w:r>
        <w:rPr>
          <w:color w:val="231F20"/>
          <w:spacing w:val="-11"/>
          <w:w w:val="105"/>
        </w:rPr>
        <w:t> </w:t>
      </w:r>
      <w:r>
        <w:rPr>
          <w:color w:val="231F20"/>
          <w:w w:val="105"/>
        </w:rPr>
        <w:t>de</w:t>
      </w:r>
      <w:r>
        <w:rPr>
          <w:color w:val="231F20"/>
          <w:spacing w:val="-11"/>
          <w:w w:val="105"/>
        </w:rPr>
        <w:t> </w:t>
      </w:r>
      <w:r>
        <w:rPr>
          <w:color w:val="231F20"/>
          <w:w w:val="105"/>
        </w:rPr>
        <w:t>hombres</w:t>
      </w:r>
      <w:r>
        <w:rPr>
          <w:color w:val="231F20"/>
          <w:spacing w:val="-11"/>
          <w:w w:val="105"/>
        </w:rPr>
        <w:t> </w:t>
      </w:r>
      <w:r>
        <w:rPr>
          <w:color w:val="231F20"/>
          <w:w w:val="105"/>
        </w:rPr>
        <w:t>y</w:t>
      </w:r>
      <w:r>
        <w:rPr>
          <w:color w:val="231F20"/>
          <w:spacing w:val="-11"/>
          <w:w w:val="105"/>
        </w:rPr>
        <w:t> </w:t>
      </w:r>
      <w:r>
        <w:rPr>
          <w:color w:val="231F20"/>
          <w:w w:val="105"/>
        </w:rPr>
        <w:t>mujeres, o</w:t>
      </w:r>
      <w:r>
        <w:rPr>
          <w:color w:val="231F20"/>
          <w:spacing w:val="-21"/>
          <w:w w:val="105"/>
        </w:rPr>
        <w:t> </w:t>
      </w:r>
      <w:r>
        <w:rPr>
          <w:color w:val="231F20"/>
          <w:w w:val="105"/>
        </w:rPr>
        <w:t>bien</w:t>
      </w:r>
      <w:r>
        <w:rPr>
          <w:color w:val="231F20"/>
          <w:spacing w:val="-21"/>
          <w:w w:val="105"/>
        </w:rPr>
        <w:t> </w:t>
      </w:r>
      <w:r>
        <w:rPr>
          <w:color w:val="231F20"/>
          <w:w w:val="105"/>
        </w:rPr>
        <w:t>las</w:t>
      </w:r>
      <w:r>
        <w:rPr>
          <w:color w:val="231F20"/>
          <w:spacing w:val="-21"/>
          <w:w w:val="105"/>
        </w:rPr>
        <w:t> </w:t>
      </w:r>
      <w:r>
        <w:rPr>
          <w:color w:val="231F20"/>
          <w:w w:val="105"/>
        </w:rPr>
        <w:t>mujeres</w:t>
      </w:r>
      <w:r>
        <w:rPr>
          <w:color w:val="231F20"/>
          <w:spacing w:val="-21"/>
          <w:w w:val="105"/>
        </w:rPr>
        <w:t> </w:t>
      </w:r>
      <w:r>
        <w:rPr>
          <w:color w:val="231F20"/>
          <w:w w:val="105"/>
        </w:rPr>
        <w:t>tienen</w:t>
      </w:r>
      <w:r>
        <w:rPr>
          <w:color w:val="231F20"/>
          <w:spacing w:val="-21"/>
          <w:w w:val="105"/>
        </w:rPr>
        <w:t> </w:t>
      </w:r>
      <w:r>
        <w:rPr>
          <w:color w:val="231F20"/>
          <w:w w:val="105"/>
        </w:rPr>
        <w:t>predominancia,</w:t>
      </w:r>
      <w:r>
        <w:rPr>
          <w:color w:val="231F20"/>
          <w:spacing w:val="-27"/>
          <w:w w:val="105"/>
        </w:rPr>
        <w:t> </w:t>
      </w:r>
      <w:r>
        <w:rPr>
          <w:color w:val="231F20"/>
          <w:w w:val="105"/>
        </w:rPr>
        <w:t>pero</w:t>
      </w:r>
      <w:r>
        <w:rPr>
          <w:color w:val="231F20"/>
          <w:spacing w:val="-21"/>
          <w:w w:val="105"/>
        </w:rPr>
        <w:t> </w:t>
      </w:r>
      <w:r>
        <w:rPr>
          <w:color w:val="231F20"/>
          <w:w w:val="105"/>
        </w:rPr>
        <w:t>en</w:t>
      </w:r>
      <w:r>
        <w:rPr>
          <w:color w:val="231F20"/>
          <w:spacing w:val="-21"/>
          <w:w w:val="105"/>
        </w:rPr>
        <w:t> </w:t>
      </w:r>
      <w:r>
        <w:rPr>
          <w:color w:val="231F20"/>
          <w:w w:val="105"/>
        </w:rPr>
        <w:t>este</w:t>
      </w:r>
      <w:r>
        <w:rPr>
          <w:color w:val="231F20"/>
          <w:spacing w:val="-21"/>
          <w:w w:val="105"/>
        </w:rPr>
        <w:t> </w:t>
      </w:r>
      <w:r>
        <w:rPr>
          <w:color w:val="231F20"/>
          <w:w w:val="105"/>
        </w:rPr>
        <w:t>último</w:t>
      </w:r>
      <w:r>
        <w:rPr>
          <w:color w:val="231F20"/>
          <w:spacing w:val="-21"/>
          <w:w w:val="105"/>
        </w:rPr>
        <w:t> </w:t>
      </w:r>
      <w:r>
        <w:rPr>
          <w:color w:val="231F20"/>
          <w:w w:val="105"/>
        </w:rPr>
        <w:t>caso,</w:t>
      </w:r>
      <w:r>
        <w:rPr>
          <w:color w:val="231F20"/>
          <w:spacing w:val="-27"/>
          <w:w w:val="105"/>
        </w:rPr>
        <w:t> </w:t>
      </w:r>
      <w:r>
        <w:rPr>
          <w:color w:val="231F20"/>
          <w:w w:val="105"/>
        </w:rPr>
        <w:t>de</w:t>
      </w:r>
      <w:r>
        <w:rPr>
          <w:color w:val="231F20"/>
          <w:spacing w:val="-21"/>
          <w:w w:val="105"/>
        </w:rPr>
        <w:t> </w:t>
      </w:r>
      <w:r>
        <w:rPr>
          <w:color w:val="231F20"/>
          <w:w w:val="105"/>
        </w:rPr>
        <w:t>los municipios donde se habla lengua indígena, los hombres son quienes migraron y regresaron en mayor cuantía. Finalmente una dimensión a considerar es el tamaño de localidad y su interacción con la migración de</w:t>
      </w:r>
      <w:r>
        <w:rPr>
          <w:color w:val="231F20"/>
          <w:spacing w:val="-10"/>
          <w:w w:val="105"/>
        </w:rPr>
        <w:t> </w:t>
      </w:r>
      <w:r>
        <w:rPr>
          <w:color w:val="231F20"/>
          <w:w w:val="105"/>
        </w:rPr>
        <w:t>retorno.</w:t>
      </w:r>
      <w:r>
        <w:rPr>
          <w:color w:val="231F20"/>
          <w:spacing w:val="-17"/>
          <w:w w:val="105"/>
        </w:rPr>
        <w:t> </w:t>
      </w:r>
      <w:r>
        <w:rPr>
          <w:color w:val="231F20"/>
          <w:w w:val="105"/>
        </w:rPr>
        <w:t>Del</w:t>
      </w:r>
      <w:r>
        <w:rPr>
          <w:color w:val="231F20"/>
          <w:spacing w:val="-10"/>
          <w:w w:val="105"/>
        </w:rPr>
        <w:t> </w:t>
      </w:r>
      <w:r>
        <w:rPr>
          <w:color w:val="231F20"/>
          <w:w w:val="105"/>
        </w:rPr>
        <w:t>año</w:t>
      </w:r>
      <w:r>
        <w:rPr>
          <w:color w:val="231F20"/>
          <w:spacing w:val="-10"/>
          <w:w w:val="105"/>
        </w:rPr>
        <w:t> </w:t>
      </w:r>
      <w:r>
        <w:rPr>
          <w:color w:val="231F20"/>
          <w:w w:val="105"/>
        </w:rPr>
        <w:t>2000</w:t>
      </w:r>
      <w:r>
        <w:rPr>
          <w:color w:val="231F20"/>
          <w:spacing w:val="-10"/>
          <w:w w:val="105"/>
        </w:rPr>
        <w:t> </w:t>
      </w:r>
      <w:r>
        <w:rPr>
          <w:color w:val="231F20"/>
          <w:w w:val="105"/>
        </w:rPr>
        <w:t>al</w:t>
      </w:r>
      <w:r>
        <w:rPr>
          <w:color w:val="231F20"/>
          <w:spacing w:val="-10"/>
          <w:w w:val="105"/>
        </w:rPr>
        <w:t> </w:t>
      </w:r>
      <w:r>
        <w:rPr>
          <w:color w:val="231F20"/>
          <w:w w:val="105"/>
        </w:rPr>
        <w:t>2010</w:t>
      </w:r>
      <w:r>
        <w:rPr>
          <w:color w:val="231F20"/>
          <w:spacing w:val="-11"/>
          <w:w w:val="105"/>
        </w:rPr>
        <w:t> </w:t>
      </w:r>
      <w:r>
        <w:rPr>
          <w:color w:val="231F20"/>
          <w:w w:val="105"/>
        </w:rPr>
        <w:t>ocurrió</w:t>
      </w:r>
      <w:r>
        <w:rPr>
          <w:color w:val="231F20"/>
          <w:spacing w:val="-10"/>
          <w:w w:val="105"/>
        </w:rPr>
        <w:t> </w:t>
      </w:r>
      <w:r>
        <w:rPr>
          <w:color w:val="231F20"/>
          <w:w w:val="105"/>
        </w:rPr>
        <w:t>un</w:t>
      </w:r>
      <w:r>
        <w:rPr>
          <w:color w:val="231F20"/>
          <w:spacing w:val="-10"/>
          <w:w w:val="105"/>
        </w:rPr>
        <w:t> </w:t>
      </w:r>
      <w:r>
        <w:rPr>
          <w:color w:val="231F20"/>
          <w:w w:val="105"/>
        </w:rPr>
        <w:t>descenso</w:t>
      </w:r>
      <w:r>
        <w:rPr>
          <w:color w:val="231F20"/>
          <w:spacing w:val="-10"/>
          <w:w w:val="105"/>
        </w:rPr>
        <w:t> </w:t>
      </w:r>
      <w:r>
        <w:rPr>
          <w:color w:val="231F20"/>
          <w:w w:val="105"/>
        </w:rPr>
        <w:t>de</w:t>
      </w:r>
      <w:r>
        <w:rPr>
          <w:color w:val="231F20"/>
          <w:spacing w:val="-10"/>
          <w:w w:val="105"/>
        </w:rPr>
        <w:t> </w:t>
      </w:r>
      <w:r>
        <w:rPr>
          <w:color w:val="231F20"/>
          <w:w w:val="105"/>
        </w:rPr>
        <w:t>esta</w:t>
      </w:r>
      <w:r>
        <w:rPr>
          <w:color w:val="231F20"/>
          <w:spacing w:val="-10"/>
          <w:w w:val="105"/>
        </w:rPr>
        <w:t> </w:t>
      </w:r>
      <w:r>
        <w:rPr>
          <w:color w:val="231F20"/>
          <w:w w:val="105"/>
        </w:rPr>
        <w:t>población en</w:t>
      </w:r>
      <w:r>
        <w:rPr>
          <w:color w:val="231F20"/>
          <w:spacing w:val="-12"/>
          <w:w w:val="105"/>
        </w:rPr>
        <w:t> </w:t>
      </w:r>
      <w:r>
        <w:rPr>
          <w:color w:val="231F20"/>
          <w:w w:val="105"/>
        </w:rPr>
        <w:t>comunidades</w:t>
      </w:r>
      <w:r>
        <w:rPr>
          <w:color w:val="231F20"/>
          <w:spacing w:val="-12"/>
          <w:w w:val="105"/>
        </w:rPr>
        <w:t> </w:t>
      </w:r>
      <w:r>
        <w:rPr>
          <w:color w:val="231F20"/>
          <w:w w:val="105"/>
        </w:rPr>
        <w:t>de</w:t>
      </w:r>
      <w:r>
        <w:rPr>
          <w:color w:val="231F20"/>
          <w:spacing w:val="-12"/>
          <w:w w:val="105"/>
        </w:rPr>
        <w:t> </w:t>
      </w:r>
      <w:r>
        <w:rPr>
          <w:color w:val="231F20"/>
          <w:w w:val="105"/>
        </w:rPr>
        <w:t>100,000</w:t>
      </w:r>
      <w:r>
        <w:rPr>
          <w:color w:val="231F20"/>
          <w:spacing w:val="-12"/>
          <w:w w:val="105"/>
        </w:rPr>
        <w:t> </w:t>
      </w:r>
      <w:r>
        <w:rPr>
          <w:color w:val="231F20"/>
          <w:w w:val="105"/>
        </w:rPr>
        <w:t>y</w:t>
      </w:r>
      <w:r>
        <w:rPr>
          <w:color w:val="231F20"/>
          <w:spacing w:val="-12"/>
          <w:w w:val="105"/>
        </w:rPr>
        <w:t> </w:t>
      </w:r>
      <w:r>
        <w:rPr>
          <w:color w:val="231F20"/>
          <w:w w:val="105"/>
        </w:rPr>
        <w:t>más</w:t>
      </w:r>
      <w:r>
        <w:rPr>
          <w:color w:val="231F20"/>
          <w:spacing w:val="-12"/>
          <w:w w:val="105"/>
        </w:rPr>
        <w:t> </w:t>
      </w:r>
      <w:r>
        <w:rPr>
          <w:color w:val="231F20"/>
          <w:w w:val="105"/>
        </w:rPr>
        <w:t>habitantes</w:t>
      </w:r>
      <w:r>
        <w:rPr>
          <w:color w:val="231F20"/>
          <w:spacing w:val="-12"/>
          <w:w w:val="105"/>
        </w:rPr>
        <w:t> </w:t>
      </w:r>
      <w:r>
        <w:rPr>
          <w:color w:val="231F20"/>
          <w:w w:val="105"/>
        </w:rPr>
        <w:t>para</w:t>
      </w:r>
      <w:r>
        <w:rPr>
          <w:color w:val="231F20"/>
          <w:spacing w:val="-12"/>
          <w:w w:val="105"/>
        </w:rPr>
        <w:t> </w:t>
      </w:r>
      <w:r>
        <w:rPr>
          <w:color w:val="231F20"/>
          <w:w w:val="105"/>
        </w:rPr>
        <w:t>distribuirse</w:t>
      </w:r>
      <w:r>
        <w:rPr>
          <w:color w:val="231F20"/>
          <w:spacing w:val="-12"/>
          <w:w w:val="105"/>
        </w:rPr>
        <w:t> </w:t>
      </w:r>
      <w:r>
        <w:rPr>
          <w:color w:val="231F20"/>
          <w:w w:val="105"/>
        </w:rPr>
        <w:t>entre</w:t>
      </w:r>
      <w:r>
        <w:rPr>
          <w:color w:val="231F20"/>
          <w:spacing w:val="-12"/>
          <w:w w:val="105"/>
        </w:rPr>
        <w:t> </w:t>
      </w:r>
      <w:r>
        <w:rPr>
          <w:color w:val="231F20"/>
          <w:w w:val="105"/>
        </w:rPr>
        <w:t>los otros</w:t>
      </w:r>
      <w:r>
        <w:rPr>
          <w:color w:val="231F20"/>
          <w:spacing w:val="-21"/>
          <w:w w:val="105"/>
        </w:rPr>
        <w:t> </w:t>
      </w:r>
      <w:r>
        <w:rPr>
          <w:color w:val="231F20"/>
          <w:w w:val="105"/>
        </w:rPr>
        <w:t>tamaños</w:t>
      </w:r>
      <w:r>
        <w:rPr>
          <w:color w:val="231F20"/>
          <w:spacing w:val="-21"/>
          <w:w w:val="105"/>
        </w:rPr>
        <w:t> </w:t>
      </w:r>
      <w:r>
        <w:rPr>
          <w:color w:val="231F20"/>
          <w:w w:val="105"/>
        </w:rPr>
        <w:t>de</w:t>
      </w:r>
      <w:r>
        <w:rPr>
          <w:color w:val="231F20"/>
          <w:spacing w:val="-21"/>
          <w:w w:val="105"/>
        </w:rPr>
        <w:t> </w:t>
      </w:r>
      <w:r>
        <w:rPr>
          <w:color w:val="231F20"/>
          <w:w w:val="105"/>
        </w:rPr>
        <w:t>localidad.</w:t>
      </w:r>
      <w:r>
        <w:rPr>
          <w:color w:val="231F20"/>
          <w:spacing w:val="-26"/>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periodo</w:t>
      </w:r>
      <w:r>
        <w:rPr>
          <w:color w:val="231F20"/>
          <w:spacing w:val="-21"/>
          <w:w w:val="105"/>
        </w:rPr>
        <w:t> </w:t>
      </w:r>
      <w:r>
        <w:rPr>
          <w:color w:val="231F20"/>
          <w:w w:val="105"/>
        </w:rPr>
        <w:t>estudiado</w:t>
      </w:r>
      <w:r>
        <w:rPr>
          <w:color w:val="231F20"/>
          <w:spacing w:val="-21"/>
          <w:w w:val="105"/>
        </w:rPr>
        <w:t> </w:t>
      </w:r>
      <w:r>
        <w:rPr>
          <w:color w:val="231F20"/>
          <w:w w:val="105"/>
        </w:rPr>
        <w:t>la</w:t>
      </w:r>
      <w:r>
        <w:rPr>
          <w:color w:val="231F20"/>
          <w:spacing w:val="-21"/>
          <w:w w:val="105"/>
        </w:rPr>
        <w:t> </w:t>
      </w:r>
      <w:r>
        <w:rPr>
          <w:color w:val="231F20"/>
          <w:w w:val="105"/>
        </w:rPr>
        <w:t>ganancia</w:t>
      </w:r>
      <w:r>
        <w:rPr>
          <w:color w:val="231F20"/>
          <w:spacing w:val="-21"/>
          <w:w w:val="105"/>
        </w:rPr>
        <w:t> </w:t>
      </w:r>
      <w:r>
        <w:rPr>
          <w:color w:val="231F20"/>
          <w:w w:val="105"/>
        </w:rPr>
        <w:t>más</w:t>
      </w:r>
      <w:r>
        <w:rPr>
          <w:color w:val="231F20"/>
          <w:spacing w:val="-21"/>
          <w:w w:val="105"/>
        </w:rPr>
        <w:t> </w:t>
      </w:r>
      <w:r>
        <w:rPr>
          <w:color w:val="231F20"/>
          <w:w w:val="105"/>
        </w:rPr>
        <w:t>sig- nificativa la tuvieron las localidades con menos 2,500 habitantes</w:t>
      </w:r>
      <w:r>
        <w:rPr>
          <w:color w:val="231F20"/>
          <w:spacing w:val="-26"/>
          <w:w w:val="105"/>
        </w:rPr>
        <w:t> </w:t>
      </w:r>
      <w:r>
        <w:rPr>
          <w:color w:val="231F20"/>
          <w:w w:val="105"/>
        </w:rPr>
        <w:t>donde existe</w:t>
      </w:r>
      <w:r>
        <w:rPr>
          <w:color w:val="231F20"/>
          <w:spacing w:val="-18"/>
          <w:w w:val="105"/>
        </w:rPr>
        <w:t> </w:t>
      </w:r>
      <w:r>
        <w:rPr>
          <w:color w:val="231F20"/>
          <w:w w:val="105"/>
        </w:rPr>
        <w:t>también</w:t>
      </w:r>
      <w:r>
        <w:rPr>
          <w:color w:val="231F20"/>
          <w:spacing w:val="-18"/>
          <w:w w:val="105"/>
        </w:rPr>
        <w:t> </w:t>
      </w:r>
      <w:r>
        <w:rPr>
          <w:color w:val="231F20"/>
          <w:w w:val="105"/>
        </w:rPr>
        <w:t>una</w:t>
      </w:r>
      <w:r>
        <w:rPr>
          <w:color w:val="231F20"/>
          <w:spacing w:val="-18"/>
          <w:w w:val="105"/>
        </w:rPr>
        <w:t> </w:t>
      </w:r>
      <w:r>
        <w:rPr>
          <w:color w:val="231F20"/>
          <w:w w:val="105"/>
        </w:rPr>
        <w:t>diferencia</w:t>
      </w:r>
      <w:r>
        <w:rPr>
          <w:color w:val="231F20"/>
          <w:spacing w:val="-18"/>
          <w:w w:val="105"/>
        </w:rPr>
        <w:t> </w:t>
      </w:r>
      <w:r>
        <w:rPr>
          <w:color w:val="231F20"/>
          <w:w w:val="105"/>
        </w:rPr>
        <w:t>de</w:t>
      </w:r>
      <w:r>
        <w:rPr>
          <w:color w:val="231F20"/>
          <w:spacing w:val="-18"/>
          <w:w w:val="105"/>
        </w:rPr>
        <w:t> </w:t>
      </w:r>
      <w:r>
        <w:rPr>
          <w:color w:val="231F20"/>
          <w:w w:val="105"/>
        </w:rPr>
        <w:t>5</w:t>
      </w:r>
      <w:r>
        <w:rPr>
          <w:color w:val="231F20"/>
          <w:spacing w:val="-18"/>
          <w:w w:val="105"/>
        </w:rPr>
        <w:t> </w:t>
      </w:r>
      <w:r>
        <w:rPr>
          <w:color w:val="231F20"/>
          <w:w w:val="105"/>
        </w:rPr>
        <w:t>puntos</w:t>
      </w:r>
      <w:r>
        <w:rPr>
          <w:color w:val="231F20"/>
          <w:spacing w:val="-18"/>
          <w:w w:val="105"/>
        </w:rPr>
        <w:t> </w:t>
      </w:r>
      <w:r>
        <w:rPr>
          <w:color w:val="231F20"/>
          <w:w w:val="105"/>
        </w:rPr>
        <w:t>porcentuales</w:t>
      </w:r>
      <w:r>
        <w:rPr>
          <w:color w:val="231F20"/>
          <w:spacing w:val="-18"/>
          <w:w w:val="105"/>
        </w:rPr>
        <w:t> </w:t>
      </w:r>
      <w:r>
        <w:rPr>
          <w:color w:val="231F20"/>
          <w:w w:val="105"/>
        </w:rPr>
        <w:t>entre</w:t>
      </w:r>
      <w:r>
        <w:rPr>
          <w:color w:val="231F20"/>
          <w:spacing w:val="-18"/>
          <w:w w:val="105"/>
        </w:rPr>
        <w:t> </w:t>
      </w:r>
      <w:r>
        <w:rPr>
          <w:color w:val="231F20"/>
          <w:w w:val="105"/>
        </w:rPr>
        <w:t>sexos.</w:t>
      </w:r>
    </w:p>
    <w:p>
      <w:pPr>
        <w:pStyle w:val="BodyText"/>
        <w:spacing w:line="261" w:lineRule="auto" w:before="1"/>
        <w:ind w:left="1837" w:right="1721" w:firstLine="567"/>
        <w:jc w:val="both"/>
      </w:pPr>
      <w:r>
        <w:rPr>
          <w:color w:val="231F20"/>
          <w:w w:val="105"/>
        </w:rPr>
        <w:t>Después de haber presentado la información obtenida de la po- blación migrante de retorno en la entidad mexiquense, en el cuadro si- guiente podemos observar los resultados correspondientes a las otras dos</w:t>
      </w:r>
      <w:r>
        <w:rPr>
          <w:color w:val="231F20"/>
          <w:spacing w:val="-22"/>
          <w:w w:val="105"/>
        </w:rPr>
        <w:t> </w:t>
      </w:r>
      <w:r>
        <w:rPr>
          <w:color w:val="231F20"/>
          <w:w w:val="105"/>
        </w:rPr>
        <w:t>clasificaciones</w:t>
      </w:r>
      <w:r>
        <w:rPr>
          <w:color w:val="231F20"/>
          <w:spacing w:val="-22"/>
          <w:w w:val="105"/>
        </w:rPr>
        <w:t> </w:t>
      </w:r>
      <w:r>
        <w:rPr>
          <w:color w:val="231F20"/>
          <w:w w:val="105"/>
        </w:rPr>
        <w:t>de</w:t>
      </w:r>
      <w:r>
        <w:rPr>
          <w:color w:val="231F20"/>
          <w:spacing w:val="-22"/>
          <w:w w:val="105"/>
        </w:rPr>
        <w:t> </w:t>
      </w:r>
      <w:r>
        <w:rPr>
          <w:color w:val="231F20"/>
          <w:w w:val="105"/>
        </w:rPr>
        <w:t>migrantes</w:t>
      </w:r>
      <w:r>
        <w:rPr>
          <w:color w:val="231F20"/>
          <w:spacing w:val="-22"/>
          <w:w w:val="105"/>
        </w:rPr>
        <w:t> </w:t>
      </w:r>
      <w:r>
        <w:rPr>
          <w:color w:val="231F20"/>
          <w:w w:val="105"/>
        </w:rPr>
        <w:t>seleccionados,</w:t>
      </w:r>
      <w:r>
        <w:rPr>
          <w:color w:val="231F20"/>
          <w:spacing w:val="-25"/>
          <w:w w:val="105"/>
        </w:rPr>
        <w:t> </w:t>
      </w:r>
      <w:r>
        <w:rPr>
          <w:color w:val="231F20"/>
          <w:w w:val="105"/>
        </w:rPr>
        <w:t>éstas</w:t>
      </w:r>
      <w:r>
        <w:rPr>
          <w:color w:val="231F20"/>
          <w:spacing w:val="-22"/>
          <w:w w:val="105"/>
        </w:rPr>
        <w:t> </w:t>
      </w:r>
      <w:r>
        <w:rPr>
          <w:color w:val="231F20"/>
          <w:w w:val="105"/>
        </w:rPr>
        <w:t>son</w:t>
      </w:r>
      <w:r>
        <w:rPr>
          <w:color w:val="231F20"/>
          <w:spacing w:val="-22"/>
          <w:w w:val="105"/>
        </w:rPr>
        <w:t> </w:t>
      </w:r>
      <w:r>
        <w:rPr>
          <w:color w:val="231F20"/>
          <w:w w:val="105"/>
        </w:rPr>
        <w:t>migrantes</w:t>
      </w:r>
      <w:r>
        <w:rPr>
          <w:color w:val="231F20"/>
          <w:spacing w:val="-22"/>
          <w:w w:val="105"/>
        </w:rPr>
        <w:t> </w:t>
      </w:r>
      <w:r>
        <w:rPr>
          <w:color w:val="231F20"/>
          <w:w w:val="105"/>
        </w:rPr>
        <w:t>cir- culares</w:t>
      </w:r>
      <w:r>
        <w:rPr>
          <w:color w:val="231F20"/>
          <w:spacing w:val="-39"/>
          <w:w w:val="105"/>
        </w:rPr>
        <w:t> </w:t>
      </w:r>
      <w:r>
        <w:rPr>
          <w:color w:val="231F20"/>
          <w:w w:val="105"/>
        </w:rPr>
        <w:t>y</w:t>
      </w:r>
      <w:r>
        <w:rPr>
          <w:color w:val="231F20"/>
          <w:spacing w:val="-39"/>
          <w:w w:val="105"/>
        </w:rPr>
        <w:t> </w:t>
      </w:r>
      <w:r>
        <w:rPr>
          <w:color w:val="231F20"/>
          <w:w w:val="105"/>
        </w:rPr>
        <w:t>emigrantes.</w:t>
      </w:r>
    </w:p>
    <w:p>
      <w:pPr>
        <w:pStyle w:val="BodyText"/>
        <w:spacing w:before="4"/>
      </w:pPr>
    </w:p>
    <w:p>
      <w:pPr>
        <w:spacing w:line="249" w:lineRule="auto" w:before="0"/>
        <w:ind w:left="3851" w:right="2675" w:hanging="987"/>
        <w:jc w:val="left"/>
        <w:rPr>
          <w:rFonts w:ascii="Arial" w:hAnsi="Arial"/>
          <w:sz w:val="18"/>
        </w:rPr>
      </w:pPr>
      <w:r>
        <w:rPr>
          <w:rFonts w:ascii="Arial" w:hAnsi="Arial"/>
          <w:color w:val="231F20"/>
          <w:w w:val="105"/>
          <w:sz w:val="18"/>
        </w:rPr>
        <w:t>Cuadro 3. Población migrante según modalidad migratoria y tipo de municipio, por año y sexo</w:t>
      </w:r>
    </w:p>
    <w:p>
      <w:pPr>
        <w:pStyle w:val="BodyText"/>
        <w:spacing w:before="9"/>
        <w:rPr>
          <w:rFonts w:ascii="Arial"/>
          <w:sz w:val="12"/>
        </w:rPr>
      </w:pPr>
    </w:p>
    <w:tbl>
      <w:tblPr>
        <w:tblW w:w="0" w:type="auto"/>
        <w:jc w:val="left"/>
        <w:tblInd w:w="1846"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00"/>
        <w:gridCol w:w="146"/>
        <w:gridCol w:w="2693"/>
        <w:gridCol w:w="964"/>
        <w:gridCol w:w="964"/>
        <w:gridCol w:w="964"/>
        <w:gridCol w:w="964"/>
      </w:tblGrid>
      <w:tr>
        <w:trPr>
          <w:trHeight w:val="340" w:hRule="exact"/>
        </w:trPr>
        <w:tc>
          <w:tcPr>
            <w:tcW w:w="3039" w:type="dxa"/>
            <w:gridSpan w:val="3"/>
            <w:vMerge w:val="restart"/>
          </w:tcPr>
          <w:p>
            <w:pPr>
              <w:pStyle w:val="TableParagraph"/>
              <w:spacing w:line="249" w:lineRule="auto" w:before="150"/>
              <w:ind w:left="1023" w:hanging="770"/>
              <w:rPr>
                <w:rFonts w:ascii="Arial" w:hAnsi="Arial"/>
                <w:sz w:val="18"/>
              </w:rPr>
            </w:pPr>
            <w:r>
              <w:rPr>
                <w:rFonts w:ascii="Arial" w:hAnsi="Arial"/>
                <w:color w:val="231F20"/>
                <w:w w:val="105"/>
                <w:sz w:val="18"/>
              </w:rPr>
              <w:t>Tipo de migración, municipio y edad media</w:t>
            </w:r>
          </w:p>
        </w:tc>
        <w:tc>
          <w:tcPr>
            <w:tcW w:w="1928" w:type="dxa"/>
            <w:gridSpan w:val="2"/>
          </w:tcPr>
          <w:p>
            <w:pPr>
              <w:pStyle w:val="TableParagraph"/>
              <w:spacing w:before="88"/>
              <w:ind w:left="731" w:right="731"/>
              <w:jc w:val="center"/>
              <w:rPr>
                <w:rFonts w:ascii="Arial"/>
                <w:sz w:val="18"/>
              </w:rPr>
            </w:pPr>
            <w:r>
              <w:rPr>
                <w:rFonts w:ascii="Arial"/>
                <w:color w:val="231F20"/>
                <w:w w:val="105"/>
                <w:sz w:val="18"/>
              </w:rPr>
              <w:t>2000</w:t>
            </w:r>
          </w:p>
        </w:tc>
        <w:tc>
          <w:tcPr>
            <w:tcW w:w="1928" w:type="dxa"/>
            <w:gridSpan w:val="2"/>
          </w:tcPr>
          <w:p>
            <w:pPr>
              <w:pStyle w:val="TableParagraph"/>
              <w:spacing w:before="88"/>
              <w:ind w:left="731" w:right="731"/>
              <w:jc w:val="center"/>
              <w:rPr>
                <w:rFonts w:ascii="Arial"/>
                <w:sz w:val="18"/>
              </w:rPr>
            </w:pPr>
            <w:r>
              <w:rPr>
                <w:rFonts w:ascii="Arial"/>
                <w:color w:val="231F20"/>
                <w:w w:val="105"/>
                <w:sz w:val="18"/>
              </w:rPr>
              <w:t>2010</w:t>
            </w:r>
          </w:p>
        </w:tc>
      </w:tr>
      <w:tr>
        <w:trPr>
          <w:trHeight w:val="340" w:hRule="exact"/>
        </w:trPr>
        <w:tc>
          <w:tcPr>
            <w:tcW w:w="3039" w:type="dxa"/>
            <w:gridSpan w:val="3"/>
            <w:vMerge/>
          </w:tcPr>
          <w:p>
            <w:pPr/>
          </w:p>
        </w:tc>
        <w:tc>
          <w:tcPr>
            <w:tcW w:w="964" w:type="dxa"/>
          </w:tcPr>
          <w:p>
            <w:pPr>
              <w:pStyle w:val="TableParagraph"/>
              <w:spacing w:before="88"/>
              <w:ind w:left="102"/>
              <w:rPr>
                <w:rFonts w:ascii="Arial"/>
                <w:sz w:val="18"/>
              </w:rPr>
            </w:pPr>
            <w:r>
              <w:rPr>
                <w:rFonts w:ascii="Arial"/>
                <w:color w:val="231F20"/>
                <w:w w:val="105"/>
                <w:sz w:val="18"/>
              </w:rPr>
              <w:t>Hombres</w:t>
            </w:r>
          </w:p>
        </w:tc>
        <w:tc>
          <w:tcPr>
            <w:tcW w:w="964" w:type="dxa"/>
          </w:tcPr>
          <w:p>
            <w:pPr>
              <w:pStyle w:val="TableParagraph"/>
              <w:spacing w:before="88"/>
              <w:ind w:left="150"/>
              <w:rPr>
                <w:rFonts w:ascii="Arial"/>
                <w:sz w:val="18"/>
              </w:rPr>
            </w:pPr>
            <w:r>
              <w:rPr>
                <w:rFonts w:ascii="Arial"/>
                <w:color w:val="231F20"/>
                <w:w w:val="105"/>
                <w:sz w:val="18"/>
              </w:rPr>
              <w:t>Mujeres</w:t>
            </w:r>
          </w:p>
        </w:tc>
        <w:tc>
          <w:tcPr>
            <w:tcW w:w="964" w:type="dxa"/>
          </w:tcPr>
          <w:p>
            <w:pPr>
              <w:pStyle w:val="TableParagraph"/>
              <w:spacing w:before="88"/>
              <w:ind w:left="101"/>
              <w:rPr>
                <w:rFonts w:ascii="Arial"/>
                <w:sz w:val="18"/>
              </w:rPr>
            </w:pPr>
            <w:r>
              <w:rPr>
                <w:rFonts w:ascii="Arial"/>
                <w:color w:val="231F20"/>
                <w:w w:val="105"/>
                <w:sz w:val="18"/>
              </w:rPr>
              <w:t>Hombres</w:t>
            </w:r>
          </w:p>
        </w:tc>
        <w:tc>
          <w:tcPr>
            <w:tcW w:w="964" w:type="dxa"/>
          </w:tcPr>
          <w:p>
            <w:pPr>
              <w:pStyle w:val="TableParagraph"/>
              <w:spacing w:before="88"/>
              <w:ind w:left="150"/>
              <w:rPr>
                <w:rFonts w:ascii="Arial"/>
                <w:sz w:val="18"/>
              </w:rPr>
            </w:pPr>
            <w:r>
              <w:rPr>
                <w:rFonts w:ascii="Arial"/>
                <w:color w:val="231F20"/>
                <w:w w:val="105"/>
                <w:sz w:val="18"/>
              </w:rPr>
              <w:t>Mujeres</w:t>
            </w:r>
          </w:p>
        </w:tc>
      </w:tr>
      <w:tr>
        <w:trPr>
          <w:trHeight w:val="340" w:hRule="exact"/>
        </w:trPr>
        <w:tc>
          <w:tcPr>
            <w:tcW w:w="3039" w:type="dxa"/>
            <w:gridSpan w:val="3"/>
          </w:tcPr>
          <w:p>
            <w:pPr>
              <w:pStyle w:val="TableParagraph"/>
              <w:ind w:left="77"/>
              <w:rPr>
                <w:sz w:val="18"/>
              </w:rPr>
            </w:pPr>
            <w:r>
              <w:rPr>
                <w:color w:val="231F20"/>
                <w:sz w:val="18"/>
              </w:rPr>
              <w:t>Emigrantes a Estados Unidos</w:t>
            </w:r>
          </w:p>
        </w:tc>
        <w:tc>
          <w:tcPr>
            <w:tcW w:w="964" w:type="dxa"/>
          </w:tcPr>
          <w:p>
            <w:pPr>
              <w:pStyle w:val="TableParagraph"/>
              <w:ind w:left="77"/>
              <w:rPr>
                <w:sz w:val="18"/>
              </w:rPr>
            </w:pPr>
            <w:r>
              <w:rPr>
                <w:color w:val="231F20"/>
                <w:w w:val="105"/>
                <w:sz w:val="18"/>
              </w:rPr>
              <w:t>74 862</w:t>
            </w:r>
          </w:p>
        </w:tc>
        <w:tc>
          <w:tcPr>
            <w:tcW w:w="964" w:type="dxa"/>
          </w:tcPr>
          <w:p>
            <w:pPr>
              <w:pStyle w:val="TableParagraph"/>
              <w:ind w:left="77"/>
              <w:rPr>
                <w:sz w:val="18"/>
              </w:rPr>
            </w:pPr>
            <w:r>
              <w:rPr>
                <w:color w:val="231F20"/>
                <w:w w:val="105"/>
                <w:sz w:val="18"/>
              </w:rPr>
              <w:t>23 908</w:t>
            </w:r>
          </w:p>
        </w:tc>
        <w:tc>
          <w:tcPr>
            <w:tcW w:w="964" w:type="dxa"/>
          </w:tcPr>
          <w:p>
            <w:pPr>
              <w:pStyle w:val="TableParagraph"/>
              <w:ind w:left="77"/>
              <w:rPr>
                <w:sz w:val="18"/>
              </w:rPr>
            </w:pPr>
            <w:r>
              <w:rPr>
                <w:color w:val="231F20"/>
                <w:w w:val="105"/>
                <w:sz w:val="18"/>
              </w:rPr>
              <w:t>35 572</w:t>
            </w:r>
          </w:p>
        </w:tc>
        <w:tc>
          <w:tcPr>
            <w:tcW w:w="964" w:type="dxa"/>
          </w:tcPr>
          <w:p>
            <w:pPr>
              <w:pStyle w:val="TableParagraph"/>
              <w:ind w:left="77"/>
              <w:rPr>
                <w:sz w:val="18"/>
              </w:rPr>
            </w:pPr>
            <w:r>
              <w:rPr>
                <w:color w:val="231F20"/>
                <w:w w:val="105"/>
                <w:sz w:val="18"/>
              </w:rPr>
              <w:t>10 304</w:t>
            </w:r>
          </w:p>
        </w:tc>
      </w:tr>
      <w:tr>
        <w:trPr>
          <w:trHeight w:val="340" w:hRule="exact"/>
        </w:trPr>
        <w:tc>
          <w:tcPr>
            <w:tcW w:w="200" w:type="dxa"/>
          </w:tcPr>
          <w:p>
            <w:pPr/>
          </w:p>
        </w:tc>
        <w:tc>
          <w:tcPr>
            <w:tcW w:w="2839" w:type="dxa"/>
            <w:gridSpan w:val="2"/>
          </w:tcPr>
          <w:p>
            <w:pPr>
              <w:pStyle w:val="TableParagraph"/>
              <w:ind w:left="77"/>
              <w:rPr>
                <w:sz w:val="18"/>
              </w:rPr>
            </w:pPr>
            <w:r>
              <w:rPr>
                <w:color w:val="231F20"/>
                <w:w w:val="105"/>
                <w:sz w:val="18"/>
              </w:rPr>
              <w:t>Municipio de residencia</w:t>
            </w:r>
          </w:p>
        </w:tc>
        <w:tc>
          <w:tcPr>
            <w:tcW w:w="964" w:type="dxa"/>
          </w:tcPr>
          <w:p>
            <w:pPr>
              <w:pStyle w:val="TableParagraph"/>
              <w:ind w:left="77"/>
              <w:rPr>
                <w:sz w:val="18"/>
              </w:rPr>
            </w:pPr>
            <w:r>
              <w:rPr>
                <w:color w:val="231F20"/>
                <w:w w:val="105"/>
                <w:sz w:val="18"/>
              </w:rPr>
              <w:t>100.0</w:t>
            </w:r>
          </w:p>
        </w:tc>
        <w:tc>
          <w:tcPr>
            <w:tcW w:w="964" w:type="dxa"/>
          </w:tcPr>
          <w:p>
            <w:pPr>
              <w:pStyle w:val="TableParagraph"/>
              <w:ind w:left="77"/>
              <w:rPr>
                <w:sz w:val="18"/>
              </w:rPr>
            </w:pPr>
            <w:r>
              <w:rPr>
                <w:color w:val="231F20"/>
                <w:w w:val="105"/>
                <w:sz w:val="18"/>
              </w:rPr>
              <w:t>100.0</w:t>
            </w:r>
          </w:p>
        </w:tc>
        <w:tc>
          <w:tcPr>
            <w:tcW w:w="964" w:type="dxa"/>
          </w:tcPr>
          <w:p>
            <w:pPr>
              <w:pStyle w:val="TableParagraph"/>
              <w:ind w:left="77"/>
              <w:rPr>
                <w:sz w:val="18"/>
              </w:rPr>
            </w:pPr>
            <w:r>
              <w:rPr>
                <w:color w:val="231F20"/>
                <w:w w:val="105"/>
                <w:sz w:val="18"/>
              </w:rPr>
              <w:t>100.0</w:t>
            </w:r>
          </w:p>
        </w:tc>
        <w:tc>
          <w:tcPr>
            <w:tcW w:w="964" w:type="dxa"/>
          </w:tcPr>
          <w:p>
            <w:pPr>
              <w:pStyle w:val="TableParagraph"/>
              <w:ind w:left="77"/>
              <w:rPr>
                <w:sz w:val="18"/>
              </w:rPr>
            </w:pPr>
            <w:r>
              <w:rPr>
                <w:color w:val="231F20"/>
                <w:w w:val="105"/>
                <w:sz w:val="18"/>
              </w:rPr>
              <w:t>100.0</w:t>
            </w:r>
          </w:p>
        </w:tc>
      </w:tr>
      <w:tr>
        <w:trPr>
          <w:trHeight w:val="340" w:hRule="exact"/>
        </w:trPr>
        <w:tc>
          <w:tcPr>
            <w:tcW w:w="200" w:type="dxa"/>
          </w:tcPr>
          <w:p>
            <w:pPr/>
          </w:p>
        </w:tc>
        <w:tc>
          <w:tcPr>
            <w:tcW w:w="146" w:type="dxa"/>
          </w:tcPr>
          <w:p>
            <w:pPr/>
          </w:p>
        </w:tc>
        <w:tc>
          <w:tcPr>
            <w:tcW w:w="2693" w:type="dxa"/>
          </w:tcPr>
          <w:p>
            <w:pPr>
              <w:pStyle w:val="TableParagraph"/>
              <w:ind w:left="76"/>
              <w:rPr>
                <w:sz w:val="18"/>
              </w:rPr>
            </w:pPr>
            <w:r>
              <w:rPr>
                <w:color w:val="231F20"/>
                <w:sz w:val="18"/>
              </w:rPr>
              <w:t>Étnico</w:t>
            </w:r>
          </w:p>
        </w:tc>
        <w:tc>
          <w:tcPr>
            <w:tcW w:w="964" w:type="dxa"/>
          </w:tcPr>
          <w:p>
            <w:pPr>
              <w:pStyle w:val="TableParagraph"/>
              <w:ind w:left="77"/>
              <w:rPr>
                <w:sz w:val="18"/>
              </w:rPr>
            </w:pPr>
            <w:r>
              <w:rPr>
                <w:color w:val="231F20"/>
                <w:sz w:val="18"/>
              </w:rPr>
              <w:t>7.3</w:t>
            </w:r>
          </w:p>
        </w:tc>
        <w:tc>
          <w:tcPr>
            <w:tcW w:w="964" w:type="dxa"/>
          </w:tcPr>
          <w:p>
            <w:pPr>
              <w:pStyle w:val="TableParagraph"/>
              <w:ind w:left="76"/>
              <w:rPr>
                <w:sz w:val="18"/>
              </w:rPr>
            </w:pPr>
            <w:r>
              <w:rPr>
                <w:color w:val="231F20"/>
                <w:sz w:val="18"/>
              </w:rPr>
              <w:t>3.8</w:t>
            </w:r>
          </w:p>
        </w:tc>
        <w:tc>
          <w:tcPr>
            <w:tcW w:w="964" w:type="dxa"/>
          </w:tcPr>
          <w:p>
            <w:pPr>
              <w:pStyle w:val="TableParagraph"/>
              <w:ind w:left="76"/>
              <w:rPr>
                <w:sz w:val="18"/>
              </w:rPr>
            </w:pPr>
            <w:r>
              <w:rPr>
                <w:color w:val="231F20"/>
                <w:w w:val="105"/>
                <w:sz w:val="18"/>
              </w:rPr>
              <w:t>15.3</w:t>
            </w:r>
          </w:p>
        </w:tc>
        <w:tc>
          <w:tcPr>
            <w:tcW w:w="964" w:type="dxa"/>
          </w:tcPr>
          <w:p>
            <w:pPr>
              <w:pStyle w:val="TableParagraph"/>
              <w:ind w:left="76"/>
              <w:rPr>
                <w:sz w:val="18"/>
              </w:rPr>
            </w:pPr>
            <w:r>
              <w:rPr>
                <w:color w:val="231F20"/>
                <w:w w:val="105"/>
                <w:sz w:val="18"/>
              </w:rPr>
              <w:t>10.2</w:t>
            </w:r>
          </w:p>
        </w:tc>
      </w:tr>
      <w:tr>
        <w:trPr>
          <w:trHeight w:val="340" w:hRule="exact"/>
        </w:trPr>
        <w:tc>
          <w:tcPr>
            <w:tcW w:w="200" w:type="dxa"/>
          </w:tcPr>
          <w:p>
            <w:pPr/>
          </w:p>
        </w:tc>
        <w:tc>
          <w:tcPr>
            <w:tcW w:w="146" w:type="dxa"/>
          </w:tcPr>
          <w:p>
            <w:pPr/>
          </w:p>
        </w:tc>
        <w:tc>
          <w:tcPr>
            <w:tcW w:w="2693" w:type="dxa"/>
          </w:tcPr>
          <w:p>
            <w:pPr>
              <w:pStyle w:val="TableParagraph"/>
              <w:ind w:left="76"/>
              <w:rPr>
                <w:sz w:val="18"/>
              </w:rPr>
            </w:pPr>
            <w:r>
              <w:rPr>
                <w:color w:val="231F20"/>
                <w:w w:val="105"/>
                <w:sz w:val="18"/>
              </w:rPr>
              <w:t>Tradicional</w:t>
            </w:r>
          </w:p>
        </w:tc>
        <w:tc>
          <w:tcPr>
            <w:tcW w:w="964" w:type="dxa"/>
          </w:tcPr>
          <w:p>
            <w:pPr>
              <w:pStyle w:val="TableParagraph"/>
              <w:ind w:left="76"/>
              <w:rPr>
                <w:sz w:val="18"/>
              </w:rPr>
            </w:pPr>
            <w:r>
              <w:rPr>
                <w:color w:val="231F20"/>
                <w:w w:val="105"/>
                <w:sz w:val="18"/>
              </w:rPr>
              <w:t>16.7</w:t>
            </w:r>
          </w:p>
        </w:tc>
        <w:tc>
          <w:tcPr>
            <w:tcW w:w="964" w:type="dxa"/>
          </w:tcPr>
          <w:p>
            <w:pPr>
              <w:pStyle w:val="TableParagraph"/>
              <w:ind w:left="76"/>
              <w:rPr>
                <w:sz w:val="18"/>
              </w:rPr>
            </w:pPr>
            <w:r>
              <w:rPr>
                <w:color w:val="231F20"/>
                <w:w w:val="105"/>
                <w:sz w:val="18"/>
              </w:rPr>
              <w:t>14.9</w:t>
            </w:r>
          </w:p>
        </w:tc>
        <w:tc>
          <w:tcPr>
            <w:tcW w:w="964" w:type="dxa"/>
          </w:tcPr>
          <w:p>
            <w:pPr>
              <w:pStyle w:val="TableParagraph"/>
              <w:ind w:left="76"/>
              <w:rPr>
                <w:sz w:val="18"/>
              </w:rPr>
            </w:pPr>
            <w:r>
              <w:rPr>
                <w:color w:val="231F20"/>
                <w:w w:val="105"/>
                <w:sz w:val="18"/>
              </w:rPr>
              <w:t>13.9</w:t>
            </w:r>
          </w:p>
        </w:tc>
        <w:tc>
          <w:tcPr>
            <w:tcW w:w="964" w:type="dxa"/>
          </w:tcPr>
          <w:p>
            <w:pPr>
              <w:pStyle w:val="TableParagraph"/>
              <w:ind w:left="76"/>
              <w:rPr>
                <w:sz w:val="18"/>
              </w:rPr>
            </w:pPr>
            <w:r>
              <w:rPr>
                <w:color w:val="231F20"/>
                <w:w w:val="105"/>
                <w:sz w:val="18"/>
              </w:rPr>
              <w:t>15.5</w:t>
            </w:r>
          </w:p>
        </w:tc>
      </w:tr>
      <w:tr>
        <w:trPr>
          <w:trHeight w:val="340" w:hRule="exact"/>
        </w:trPr>
        <w:tc>
          <w:tcPr>
            <w:tcW w:w="200" w:type="dxa"/>
          </w:tcPr>
          <w:p>
            <w:pPr/>
          </w:p>
        </w:tc>
        <w:tc>
          <w:tcPr>
            <w:tcW w:w="146" w:type="dxa"/>
          </w:tcPr>
          <w:p>
            <w:pPr/>
          </w:p>
        </w:tc>
        <w:tc>
          <w:tcPr>
            <w:tcW w:w="2693" w:type="dxa"/>
          </w:tcPr>
          <w:p>
            <w:pPr>
              <w:pStyle w:val="TableParagraph"/>
              <w:ind w:left="76"/>
              <w:rPr>
                <w:sz w:val="18"/>
              </w:rPr>
            </w:pPr>
            <w:r>
              <w:rPr>
                <w:color w:val="231F20"/>
                <w:w w:val="105"/>
                <w:sz w:val="18"/>
              </w:rPr>
              <w:t>Emergente</w:t>
            </w:r>
          </w:p>
        </w:tc>
        <w:tc>
          <w:tcPr>
            <w:tcW w:w="964" w:type="dxa"/>
          </w:tcPr>
          <w:p>
            <w:pPr>
              <w:pStyle w:val="TableParagraph"/>
              <w:ind w:left="76"/>
              <w:rPr>
                <w:sz w:val="18"/>
              </w:rPr>
            </w:pPr>
            <w:r>
              <w:rPr>
                <w:color w:val="231F20"/>
                <w:w w:val="105"/>
                <w:sz w:val="18"/>
              </w:rPr>
              <w:t>69.2</w:t>
            </w:r>
          </w:p>
        </w:tc>
        <w:tc>
          <w:tcPr>
            <w:tcW w:w="964" w:type="dxa"/>
          </w:tcPr>
          <w:p>
            <w:pPr>
              <w:pStyle w:val="TableParagraph"/>
              <w:ind w:left="76"/>
              <w:rPr>
                <w:sz w:val="18"/>
              </w:rPr>
            </w:pPr>
            <w:r>
              <w:rPr>
                <w:color w:val="231F20"/>
                <w:w w:val="105"/>
                <w:sz w:val="18"/>
              </w:rPr>
              <w:t>77.8</w:t>
            </w:r>
          </w:p>
        </w:tc>
        <w:tc>
          <w:tcPr>
            <w:tcW w:w="964" w:type="dxa"/>
          </w:tcPr>
          <w:p>
            <w:pPr>
              <w:pStyle w:val="TableParagraph"/>
              <w:ind w:left="76"/>
              <w:rPr>
                <w:sz w:val="18"/>
              </w:rPr>
            </w:pPr>
            <w:r>
              <w:rPr>
                <w:color w:val="231F20"/>
                <w:w w:val="105"/>
                <w:sz w:val="18"/>
              </w:rPr>
              <w:t>61.7</w:t>
            </w:r>
          </w:p>
        </w:tc>
        <w:tc>
          <w:tcPr>
            <w:tcW w:w="964" w:type="dxa"/>
          </w:tcPr>
          <w:p>
            <w:pPr>
              <w:pStyle w:val="TableParagraph"/>
              <w:ind w:left="76"/>
              <w:rPr>
                <w:sz w:val="18"/>
              </w:rPr>
            </w:pPr>
            <w:r>
              <w:rPr>
                <w:color w:val="231F20"/>
                <w:w w:val="105"/>
                <w:sz w:val="18"/>
              </w:rPr>
              <w:t>66.5</w:t>
            </w:r>
          </w:p>
        </w:tc>
      </w:tr>
      <w:tr>
        <w:trPr>
          <w:trHeight w:val="340" w:hRule="exact"/>
        </w:trPr>
        <w:tc>
          <w:tcPr>
            <w:tcW w:w="200" w:type="dxa"/>
          </w:tcPr>
          <w:p>
            <w:pPr/>
          </w:p>
        </w:tc>
        <w:tc>
          <w:tcPr>
            <w:tcW w:w="146" w:type="dxa"/>
          </w:tcPr>
          <w:p>
            <w:pPr/>
          </w:p>
        </w:tc>
        <w:tc>
          <w:tcPr>
            <w:tcW w:w="2693" w:type="dxa"/>
          </w:tcPr>
          <w:p>
            <w:pPr>
              <w:pStyle w:val="TableParagraph"/>
              <w:ind w:left="76"/>
              <w:rPr>
                <w:sz w:val="18"/>
              </w:rPr>
            </w:pPr>
            <w:r>
              <w:rPr>
                <w:color w:val="231F20"/>
                <w:w w:val="110"/>
                <w:sz w:val="18"/>
              </w:rPr>
              <w:t>Otro</w:t>
            </w:r>
          </w:p>
        </w:tc>
        <w:tc>
          <w:tcPr>
            <w:tcW w:w="964" w:type="dxa"/>
          </w:tcPr>
          <w:p>
            <w:pPr>
              <w:pStyle w:val="TableParagraph"/>
              <w:ind w:left="76"/>
              <w:rPr>
                <w:sz w:val="18"/>
              </w:rPr>
            </w:pPr>
            <w:r>
              <w:rPr>
                <w:color w:val="231F20"/>
                <w:sz w:val="18"/>
              </w:rPr>
              <w:t>6.8</w:t>
            </w:r>
          </w:p>
        </w:tc>
        <w:tc>
          <w:tcPr>
            <w:tcW w:w="964" w:type="dxa"/>
          </w:tcPr>
          <w:p>
            <w:pPr>
              <w:pStyle w:val="TableParagraph"/>
              <w:ind w:left="76"/>
              <w:rPr>
                <w:sz w:val="18"/>
              </w:rPr>
            </w:pPr>
            <w:r>
              <w:rPr>
                <w:color w:val="231F20"/>
                <w:sz w:val="18"/>
              </w:rPr>
              <w:t>3.5</w:t>
            </w:r>
          </w:p>
        </w:tc>
        <w:tc>
          <w:tcPr>
            <w:tcW w:w="964" w:type="dxa"/>
          </w:tcPr>
          <w:p>
            <w:pPr>
              <w:pStyle w:val="TableParagraph"/>
              <w:ind w:left="76"/>
              <w:rPr>
                <w:sz w:val="18"/>
              </w:rPr>
            </w:pPr>
            <w:r>
              <w:rPr>
                <w:color w:val="231F20"/>
                <w:sz w:val="18"/>
              </w:rPr>
              <w:t>9.1</w:t>
            </w:r>
          </w:p>
        </w:tc>
        <w:tc>
          <w:tcPr>
            <w:tcW w:w="964" w:type="dxa"/>
          </w:tcPr>
          <w:p>
            <w:pPr>
              <w:pStyle w:val="TableParagraph"/>
              <w:ind w:left="76"/>
              <w:rPr>
                <w:sz w:val="18"/>
              </w:rPr>
            </w:pPr>
            <w:r>
              <w:rPr>
                <w:color w:val="231F20"/>
                <w:sz w:val="18"/>
              </w:rPr>
              <w:t>7.8</w:t>
            </w:r>
          </w:p>
        </w:tc>
      </w:tr>
      <w:tr>
        <w:trPr>
          <w:trHeight w:val="340" w:hRule="exact"/>
        </w:trPr>
        <w:tc>
          <w:tcPr>
            <w:tcW w:w="200" w:type="dxa"/>
          </w:tcPr>
          <w:p>
            <w:pPr/>
          </w:p>
        </w:tc>
        <w:tc>
          <w:tcPr>
            <w:tcW w:w="2839" w:type="dxa"/>
            <w:gridSpan w:val="2"/>
          </w:tcPr>
          <w:p>
            <w:pPr>
              <w:pStyle w:val="TableParagraph"/>
              <w:spacing w:before="92"/>
              <w:ind w:left="76"/>
              <w:rPr>
                <w:sz w:val="18"/>
              </w:rPr>
            </w:pPr>
            <w:r>
              <w:rPr>
                <w:color w:val="231F20"/>
                <w:w w:val="105"/>
                <w:sz w:val="18"/>
              </w:rPr>
              <w:t>Edad promedio</w:t>
            </w:r>
          </w:p>
        </w:tc>
        <w:tc>
          <w:tcPr>
            <w:tcW w:w="964" w:type="dxa"/>
          </w:tcPr>
          <w:p>
            <w:pPr>
              <w:pStyle w:val="TableParagraph"/>
              <w:spacing w:before="92"/>
              <w:ind w:left="76"/>
              <w:rPr>
                <w:sz w:val="18"/>
              </w:rPr>
            </w:pPr>
            <w:r>
              <w:rPr>
                <w:color w:val="231F20"/>
                <w:w w:val="105"/>
                <w:sz w:val="18"/>
              </w:rPr>
              <w:t>24.8</w:t>
            </w:r>
          </w:p>
        </w:tc>
        <w:tc>
          <w:tcPr>
            <w:tcW w:w="964" w:type="dxa"/>
          </w:tcPr>
          <w:p>
            <w:pPr>
              <w:pStyle w:val="TableParagraph"/>
              <w:spacing w:before="92"/>
              <w:ind w:left="76"/>
              <w:rPr>
                <w:sz w:val="18"/>
              </w:rPr>
            </w:pPr>
            <w:r>
              <w:rPr>
                <w:color w:val="231F20"/>
                <w:w w:val="105"/>
                <w:sz w:val="18"/>
              </w:rPr>
              <w:t>24.0</w:t>
            </w:r>
          </w:p>
        </w:tc>
        <w:tc>
          <w:tcPr>
            <w:tcW w:w="964" w:type="dxa"/>
          </w:tcPr>
          <w:p>
            <w:pPr>
              <w:pStyle w:val="TableParagraph"/>
              <w:spacing w:before="92"/>
              <w:ind w:left="76"/>
              <w:rPr>
                <w:sz w:val="18"/>
              </w:rPr>
            </w:pPr>
            <w:r>
              <w:rPr>
                <w:color w:val="231F20"/>
                <w:w w:val="105"/>
                <w:sz w:val="18"/>
              </w:rPr>
              <w:t>26.4</w:t>
            </w:r>
          </w:p>
        </w:tc>
        <w:tc>
          <w:tcPr>
            <w:tcW w:w="964" w:type="dxa"/>
          </w:tcPr>
          <w:p>
            <w:pPr>
              <w:pStyle w:val="TableParagraph"/>
              <w:spacing w:before="92"/>
              <w:ind w:left="76"/>
              <w:rPr>
                <w:sz w:val="18"/>
              </w:rPr>
            </w:pPr>
            <w:r>
              <w:rPr>
                <w:color w:val="231F20"/>
                <w:w w:val="105"/>
                <w:sz w:val="18"/>
              </w:rPr>
              <w:t>25.1</w:t>
            </w:r>
          </w:p>
        </w:tc>
      </w:tr>
      <w:tr>
        <w:trPr>
          <w:trHeight w:val="340" w:hRule="exact"/>
        </w:trPr>
        <w:tc>
          <w:tcPr>
            <w:tcW w:w="3039" w:type="dxa"/>
            <w:gridSpan w:val="3"/>
          </w:tcPr>
          <w:p>
            <w:pPr>
              <w:pStyle w:val="TableParagraph"/>
              <w:spacing w:before="92"/>
              <w:ind w:left="76"/>
              <w:rPr>
                <w:sz w:val="18"/>
              </w:rPr>
            </w:pPr>
            <w:r>
              <w:rPr>
                <w:color w:val="231F20"/>
                <w:sz w:val="18"/>
              </w:rPr>
              <w:t>Migrantes circulares</w:t>
            </w:r>
          </w:p>
        </w:tc>
        <w:tc>
          <w:tcPr>
            <w:tcW w:w="964" w:type="dxa"/>
          </w:tcPr>
          <w:p>
            <w:pPr>
              <w:pStyle w:val="TableParagraph"/>
              <w:spacing w:before="92"/>
              <w:ind w:left="76"/>
              <w:rPr>
                <w:sz w:val="18"/>
              </w:rPr>
            </w:pPr>
            <w:r>
              <w:rPr>
                <w:color w:val="231F20"/>
                <w:w w:val="105"/>
                <w:sz w:val="18"/>
              </w:rPr>
              <w:t>16 174</w:t>
            </w:r>
          </w:p>
        </w:tc>
        <w:tc>
          <w:tcPr>
            <w:tcW w:w="964" w:type="dxa"/>
          </w:tcPr>
          <w:p>
            <w:pPr>
              <w:pStyle w:val="TableParagraph"/>
              <w:spacing w:before="92"/>
              <w:ind w:left="76"/>
              <w:rPr>
                <w:sz w:val="18"/>
              </w:rPr>
            </w:pPr>
            <w:r>
              <w:rPr>
                <w:color w:val="231F20"/>
                <w:w w:val="105"/>
                <w:sz w:val="18"/>
              </w:rPr>
              <w:t>4 227</w:t>
            </w:r>
          </w:p>
        </w:tc>
        <w:tc>
          <w:tcPr>
            <w:tcW w:w="964" w:type="dxa"/>
          </w:tcPr>
          <w:p>
            <w:pPr>
              <w:pStyle w:val="TableParagraph"/>
              <w:spacing w:before="92"/>
              <w:ind w:left="75"/>
              <w:rPr>
                <w:sz w:val="18"/>
              </w:rPr>
            </w:pPr>
            <w:r>
              <w:rPr>
                <w:color w:val="231F20"/>
                <w:w w:val="105"/>
                <w:sz w:val="18"/>
              </w:rPr>
              <w:t>22 236</w:t>
            </w:r>
          </w:p>
        </w:tc>
        <w:tc>
          <w:tcPr>
            <w:tcW w:w="964" w:type="dxa"/>
          </w:tcPr>
          <w:p>
            <w:pPr>
              <w:pStyle w:val="TableParagraph"/>
              <w:spacing w:before="92"/>
              <w:ind w:left="75"/>
              <w:rPr>
                <w:sz w:val="18"/>
              </w:rPr>
            </w:pPr>
            <w:r>
              <w:rPr>
                <w:color w:val="231F20"/>
                <w:w w:val="105"/>
                <w:sz w:val="18"/>
              </w:rPr>
              <w:t>4 260</w:t>
            </w:r>
          </w:p>
        </w:tc>
      </w:tr>
      <w:tr>
        <w:trPr>
          <w:trHeight w:val="340" w:hRule="exact"/>
        </w:trPr>
        <w:tc>
          <w:tcPr>
            <w:tcW w:w="200" w:type="dxa"/>
          </w:tcPr>
          <w:p>
            <w:pPr/>
          </w:p>
        </w:tc>
        <w:tc>
          <w:tcPr>
            <w:tcW w:w="2839" w:type="dxa"/>
            <w:gridSpan w:val="2"/>
          </w:tcPr>
          <w:p>
            <w:pPr>
              <w:pStyle w:val="TableParagraph"/>
              <w:spacing w:before="92"/>
              <w:ind w:left="75"/>
              <w:rPr>
                <w:sz w:val="18"/>
              </w:rPr>
            </w:pPr>
            <w:r>
              <w:rPr>
                <w:color w:val="231F20"/>
                <w:w w:val="105"/>
                <w:sz w:val="18"/>
              </w:rPr>
              <w:t>Municipio de residencia</w:t>
            </w:r>
          </w:p>
        </w:tc>
        <w:tc>
          <w:tcPr>
            <w:tcW w:w="964" w:type="dxa"/>
          </w:tcPr>
          <w:p>
            <w:pPr>
              <w:pStyle w:val="TableParagraph"/>
              <w:spacing w:before="92"/>
              <w:ind w:left="75"/>
              <w:rPr>
                <w:sz w:val="18"/>
              </w:rPr>
            </w:pPr>
            <w:r>
              <w:rPr>
                <w:color w:val="231F20"/>
                <w:w w:val="105"/>
                <w:sz w:val="18"/>
              </w:rPr>
              <w:t>100.0</w:t>
            </w:r>
          </w:p>
        </w:tc>
        <w:tc>
          <w:tcPr>
            <w:tcW w:w="964" w:type="dxa"/>
          </w:tcPr>
          <w:p>
            <w:pPr>
              <w:pStyle w:val="TableParagraph"/>
              <w:spacing w:before="92"/>
              <w:ind w:left="75"/>
              <w:rPr>
                <w:sz w:val="18"/>
              </w:rPr>
            </w:pPr>
            <w:r>
              <w:rPr>
                <w:color w:val="231F20"/>
                <w:w w:val="105"/>
                <w:sz w:val="18"/>
              </w:rPr>
              <w:t>100.0</w:t>
            </w:r>
          </w:p>
        </w:tc>
        <w:tc>
          <w:tcPr>
            <w:tcW w:w="964" w:type="dxa"/>
          </w:tcPr>
          <w:p>
            <w:pPr>
              <w:pStyle w:val="TableParagraph"/>
              <w:spacing w:before="92"/>
              <w:ind w:left="75"/>
              <w:rPr>
                <w:sz w:val="18"/>
              </w:rPr>
            </w:pPr>
            <w:r>
              <w:rPr>
                <w:color w:val="231F20"/>
                <w:w w:val="105"/>
                <w:sz w:val="18"/>
              </w:rPr>
              <w:t>100.0</w:t>
            </w:r>
          </w:p>
        </w:tc>
        <w:tc>
          <w:tcPr>
            <w:tcW w:w="964" w:type="dxa"/>
          </w:tcPr>
          <w:p>
            <w:pPr>
              <w:pStyle w:val="TableParagraph"/>
              <w:spacing w:before="92"/>
              <w:ind w:left="75"/>
              <w:rPr>
                <w:sz w:val="18"/>
              </w:rPr>
            </w:pPr>
            <w:r>
              <w:rPr>
                <w:color w:val="231F20"/>
                <w:w w:val="105"/>
                <w:sz w:val="18"/>
              </w:rPr>
              <w:t>100.0</w:t>
            </w:r>
          </w:p>
        </w:tc>
      </w:tr>
      <w:tr>
        <w:trPr>
          <w:trHeight w:val="340" w:hRule="exact"/>
        </w:trPr>
        <w:tc>
          <w:tcPr>
            <w:tcW w:w="200" w:type="dxa"/>
          </w:tcPr>
          <w:p>
            <w:pPr/>
          </w:p>
        </w:tc>
        <w:tc>
          <w:tcPr>
            <w:tcW w:w="146" w:type="dxa"/>
          </w:tcPr>
          <w:p>
            <w:pPr/>
          </w:p>
        </w:tc>
        <w:tc>
          <w:tcPr>
            <w:tcW w:w="2693" w:type="dxa"/>
          </w:tcPr>
          <w:p>
            <w:pPr>
              <w:pStyle w:val="TableParagraph"/>
              <w:spacing w:before="92"/>
              <w:ind w:left="75"/>
              <w:rPr>
                <w:sz w:val="18"/>
              </w:rPr>
            </w:pPr>
            <w:r>
              <w:rPr>
                <w:color w:val="231F20"/>
                <w:sz w:val="18"/>
              </w:rPr>
              <w:t>Étnico</w:t>
            </w:r>
          </w:p>
        </w:tc>
        <w:tc>
          <w:tcPr>
            <w:tcW w:w="964" w:type="dxa"/>
          </w:tcPr>
          <w:p>
            <w:pPr>
              <w:pStyle w:val="TableParagraph"/>
              <w:spacing w:before="92"/>
              <w:ind w:left="75"/>
              <w:rPr>
                <w:sz w:val="18"/>
              </w:rPr>
            </w:pPr>
            <w:r>
              <w:rPr>
                <w:color w:val="231F20"/>
                <w:sz w:val="18"/>
              </w:rPr>
              <w:t>7.2</w:t>
            </w:r>
          </w:p>
        </w:tc>
        <w:tc>
          <w:tcPr>
            <w:tcW w:w="964" w:type="dxa"/>
          </w:tcPr>
          <w:p>
            <w:pPr>
              <w:pStyle w:val="TableParagraph"/>
              <w:spacing w:before="92"/>
              <w:ind w:left="75"/>
              <w:rPr>
                <w:sz w:val="18"/>
              </w:rPr>
            </w:pPr>
            <w:r>
              <w:rPr>
                <w:color w:val="231F20"/>
                <w:sz w:val="18"/>
              </w:rPr>
              <w:t>1.1</w:t>
            </w:r>
          </w:p>
        </w:tc>
        <w:tc>
          <w:tcPr>
            <w:tcW w:w="964" w:type="dxa"/>
          </w:tcPr>
          <w:p>
            <w:pPr>
              <w:pStyle w:val="TableParagraph"/>
              <w:spacing w:before="92"/>
              <w:ind w:left="75"/>
              <w:rPr>
                <w:sz w:val="18"/>
              </w:rPr>
            </w:pPr>
            <w:r>
              <w:rPr>
                <w:color w:val="231F20"/>
                <w:w w:val="105"/>
                <w:sz w:val="18"/>
              </w:rPr>
              <w:t>15.7</w:t>
            </w:r>
          </w:p>
        </w:tc>
        <w:tc>
          <w:tcPr>
            <w:tcW w:w="964" w:type="dxa"/>
          </w:tcPr>
          <w:p>
            <w:pPr>
              <w:pStyle w:val="TableParagraph"/>
              <w:spacing w:before="92"/>
              <w:ind w:left="75"/>
              <w:rPr>
                <w:sz w:val="18"/>
              </w:rPr>
            </w:pPr>
            <w:r>
              <w:rPr>
                <w:color w:val="231F20"/>
                <w:w w:val="105"/>
                <w:sz w:val="18"/>
              </w:rPr>
              <w:t>10.3</w:t>
            </w:r>
          </w:p>
        </w:tc>
      </w:tr>
      <w:tr>
        <w:trPr>
          <w:trHeight w:val="340" w:hRule="exact"/>
        </w:trPr>
        <w:tc>
          <w:tcPr>
            <w:tcW w:w="200" w:type="dxa"/>
          </w:tcPr>
          <w:p>
            <w:pPr/>
          </w:p>
        </w:tc>
        <w:tc>
          <w:tcPr>
            <w:tcW w:w="146" w:type="dxa"/>
          </w:tcPr>
          <w:p>
            <w:pPr/>
          </w:p>
        </w:tc>
        <w:tc>
          <w:tcPr>
            <w:tcW w:w="2693" w:type="dxa"/>
          </w:tcPr>
          <w:p>
            <w:pPr>
              <w:pStyle w:val="TableParagraph"/>
              <w:spacing w:before="92"/>
              <w:ind w:left="75"/>
              <w:rPr>
                <w:sz w:val="18"/>
              </w:rPr>
            </w:pPr>
            <w:r>
              <w:rPr>
                <w:color w:val="231F20"/>
                <w:w w:val="105"/>
                <w:sz w:val="18"/>
              </w:rPr>
              <w:t>Tradicional</w:t>
            </w:r>
          </w:p>
        </w:tc>
        <w:tc>
          <w:tcPr>
            <w:tcW w:w="964" w:type="dxa"/>
          </w:tcPr>
          <w:p>
            <w:pPr>
              <w:pStyle w:val="TableParagraph"/>
              <w:spacing w:before="92"/>
              <w:ind w:left="75"/>
              <w:rPr>
                <w:sz w:val="18"/>
              </w:rPr>
            </w:pPr>
            <w:r>
              <w:rPr>
                <w:color w:val="231F20"/>
                <w:w w:val="105"/>
                <w:sz w:val="18"/>
              </w:rPr>
              <w:t>15.5</w:t>
            </w:r>
          </w:p>
        </w:tc>
        <w:tc>
          <w:tcPr>
            <w:tcW w:w="964" w:type="dxa"/>
          </w:tcPr>
          <w:p>
            <w:pPr>
              <w:pStyle w:val="TableParagraph"/>
              <w:spacing w:before="92"/>
              <w:ind w:left="75"/>
              <w:rPr>
                <w:sz w:val="18"/>
              </w:rPr>
            </w:pPr>
            <w:r>
              <w:rPr>
                <w:color w:val="231F20"/>
                <w:sz w:val="18"/>
              </w:rPr>
              <w:t>9.7</w:t>
            </w:r>
          </w:p>
        </w:tc>
        <w:tc>
          <w:tcPr>
            <w:tcW w:w="964" w:type="dxa"/>
          </w:tcPr>
          <w:p>
            <w:pPr>
              <w:pStyle w:val="TableParagraph"/>
              <w:spacing w:before="92"/>
              <w:ind w:left="75"/>
              <w:rPr>
                <w:sz w:val="18"/>
              </w:rPr>
            </w:pPr>
            <w:r>
              <w:rPr>
                <w:color w:val="231F20"/>
                <w:w w:val="105"/>
                <w:sz w:val="18"/>
              </w:rPr>
              <w:t>13.0</w:t>
            </w:r>
          </w:p>
        </w:tc>
        <w:tc>
          <w:tcPr>
            <w:tcW w:w="964" w:type="dxa"/>
          </w:tcPr>
          <w:p>
            <w:pPr>
              <w:pStyle w:val="TableParagraph"/>
              <w:spacing w:before="92"/>
              <w:ind w:left="75"/>
              <w:rPr>
                <w:sz w:val="18"/>
              </w:rPr>
            </w:pPr>
            <w:r>
              <w:rPr>
                <w:color w:val="231F20"/>
                <w:w w:val="105"/>
                <w:sz w:val="18"/>
              </w:rPr>
              <w:t>13.9</w:t>
            </w:r>
          </w:p>
        </w:tc>
      </w:tr>
    </w:tbl>
    <w:p>
      <w:pPr>
        <w:spacing w:after="0"/>
        <w:rPr>
          <w:sz w:val="18"/>
        </w:rPr>
        <w:sectPr>
          <w:type w:val="continuous"/>
          <w:pgSz w:w="10480" w:h="14730"/>
          <w:pgMar w:top="0" w:bottom="0" w:left="0" w:right="0"/>
        </w:sectPr>
      </w:pPr>
    </w:p>
    <w:p>
      <w:pPr>
        <w:pStyle w:val="BodyText"/>
        <w:rPr>
          <w:rFonts w:ascii="Arial"/>
          <w:sz w:val="20"/>
        </w:rPr>
      </w:pPr>
      <w:r>
        <w:rPr/>
        <w:pict>
          <v:line style="position:absolute;mso-position-horizontal-relative:page;mso-position-vertical-relative:page;z-index:34024" from="15pt,20.999777pt" to="0pt,20.999777pt" stroked="true" strokeweight=".25pt" strokecolor="#000000">
            <w10:wrap type="none"/>
          </v:line>
        </w:pict>
      </w:r>
      <w:r>
        <w:rPr/>
        <w:pict>
          <v:line style="position:absolute;mso-position-horizontal-relative:page;mso-position-vertical-relative:page;z-index:34048" from="508.890015pt,20.999777pt" to="523.890015pt,20.999777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13"/>
        </w:rPr>
      </w:pPr>
    </w:p>
    <w:tbl>
      <w:tblPr>
        <w:tblW w:w="0" w:type="auto"/>
        <w:jc w:val="left"/>
        <w:tblInd w:w="1732"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00"/>
        <w:gridCol w:w="146"/>
        <w:gridCol w:w="2693"/>
        <w:gridCol w:w="964"/>
        <w:gridCol w:w="964"/>
        <w:gridCol w:w="964"/>
        <w:gridCol w:w="964"/>
      </w:tblGrid>
      <w:tr>
        <w:trPr>
          <w:trHeight w:val="340" w:hRule="exact"/>
        </w:trPr>
        <w:tc>
          <w:tcPr>
            <w:tcW w:w="200" w:type="dxa"/>
          </w:tcPr>
          <w:p>
            <w:pPr/>
          </w:p>
        </w:tc>
        <w:tc>
          <w:tcPr>
            <w:tcW w:w="146" w:type="dxa"/>
          </w:tcPr>
          <w:p>
            <w:pPr/>
          </w:p>
        </w:tc>
        <w:tc>
          <w:tcPr>
            <w:tcW w:w="2693" w:type="dxa"/>
          </w:tcPr>
          <w:p>
            <w:pPr>
              <w:pStyle w:val="TableParagraph"/>
              <w:ind w:left="77"/>
              <w:rPr>
                <w:sz w:val="18"/>
              </w:rPr>
            </w:pPr>
            <w:r>
              <w:rPr>
                <w:color w:val="231F20"/>
                <w:w w:val="105"/>
                <w:sz w:val="18"/>
              </w:rPr>
              <w:t>Emergente</w:t>
            </w:r>
          </w:p>
        </w:tc>
        <w:tc>
          <w:tcPr>
            <w:tcW w:w="964" w:type="dxa"/>
          </w:tcPr>
          <w:p>
            <w:pPr>
              <w:pStyle w:val="TableParagraph"/>
              <w:ind w:left="77"/>
              <w:rPr>
                <w:sz w:val="18"/>
              </w:rPr>
            </w:pPr>
            <w:r>
              <w:rPr>
                <w:color w:val="231F20"/>
                <w:w w:val="105"/>
                <w:sz w:val="18"/>
              </w:rPr>
              <w:t>71.1</w:t>
            </w:r>
          </w:p>
        </w:tc>
        <w:tc>
          <w:tcPr>
            <w:tcW w:w="964" w:type="dxa"/>
          </w:tcPr>
          <w:p>
            <w:pPr>
              <w:pStyle w:val="TableParagraph"/>
              <w:ind w:left="77"/>
              <w:rPr>
                <w:sz w:val="18"/>
              </w:rPr>
            </w:pPr>
            <w:r>
              <w:rPr>
                <w:color w:val="231F20"/>
                <w:w w:val="105"/>
                <w:sz w:val="18"/>
              </w:rPr>
              <w:t>86.3</w:t>
            </w:r>
          </w:p>
        </w:tc>
        <w:tc>
          <w:tcPr>
            <w:tcW w:w="964" w:type="dxa"/>
          </w:tcPr>
          <w:p>
            <w:pPr>
              <w:pStyle w:val="TableParagraph"/>
              <w:ind w:left="77"/>
              <w:rPr>
                <w:sz w:val="18"/>
              </w:rPr>
            </w:pPr>
            <w:r>
              <w:rPr>
                <w:color w:val="231F20"/>
                <w:w w:val="105"/>
                <w:sz w:val="18"/>
              </w:rPr>
              <w:t>64.2</w:t>
            </w:r>
          </w:p>
        </w:tc>
        <w:tc>
          <w:tcPr>
            <w:tcW w:w="964" w:type="dxa"/>
          </w:tcPr>
          <w:p>
            <w:pPr>
              <w:pStyle w:val="TableParagraph"/>
              <w:ind w:left="77"/>
              <w:rPr>
                <w:sz w:val="18"/>
              </w:rPr>
            </w:pPr>
            <w:r>
              <w:rPr>
                <w:color w:val="231F20"/>
                <w:w w:val="105"/>
                <w:sz w:val="18"/>
              </w:rPr>
              <w:t>71.0</w:t>
            </w:r>
          </w:p>
        </w:tc>
      </w:tr>
      <w:tr>
        <w:trPr>
          <w:trHeight w:val="340" w:hRule="exact"/>
        </w:trPr>
        <w:tc>
          <w:tcPr>
            <w:tcW w:w="200" w:type="dxa"/>
          </w:tcPr>
          <w:p>
            <w:pPr/>
          </w:p>
        </w:tc>
        <w:tc>
          <w:tcPr>
            <w:tcW w:w="146" w:type="dxa"/>
          </w:tcPr>
          <w:p>
            <w:pPr/>
          </w:p>
        </w:tc>
        <w:tc>
          <w:tcPr>
            <w:tcW w:w="2693" w:type="dxa"/>
          </w:tcPr>
          <w:p>
            <w:pPr>
              <w:pStyle w:val="TableParagraph"/>
              <w:ind w:left="77"/>
              <w:rPr>
                <w:sz w:val="18"/>
              </w:rPr>
            </w:pPr>
            <w:r>
              <w:rPr>
                <w:color w:val="231F20"/>
                <w:w w:val="110"/>
                <w:sz w:val="18"/>
              </w:rPr>
              <w:t>Otro</w:t>
            </w:r>
          </w:p>
        </w:tc>
        <w:tc>
          <w:tcPr>
            <w:tcW w:w="964" w:type="dxa"/>
          </w:tcPr>
          <w:p>
            <w:pPr>
              <w:pStyle w:val="TableParagraph"/>
              <w:ind w:left="77"/>
              <w:rPr>
                <w:sz w:val="18"/>
              </w:rPr>
            </w:pPr>
            <w:r>
              <w:rPr>
                <w:color w:val="231F20"/>
                <w:sz w:val="18"/>
              </w:rPr>
              <w:t>6.2</w:t>
            </w:r>
          </w:p>
        </w:tc>
        <w:tc>
          <w:tcPr>
            <w:tcW w:w="964" w:type="dxa"/>
          </w:tcPr>
          <w:p>
            <w:pPr>
              <w:pStyle w:val="TableParagraph"/>
              <w:ind w:left="77"/>
              <w:rPr>
                <w:sz w:val="18"/>
              </w:rPr>
            </w:pPr>
            <w:r>
              <w:rPr>
                <w:color w:val="231F20"/>
                <w:sz w:val="18"/>
              </w:rPr>
              <w:t>2.9</w:t>
            </w:r>
          </w:p>
        </w:tc>
        <w:tc>
          <w:tcPr>
            <w:tcW w:w="964" w:type="dxa"/>
          </w:tcPr>
          <w:p>
            <w:pPr>
              <w:pStyle w:val="TableParagraph"/>
              <w:ind w:left="77"/>
              <w:rPr>
                <w:sz w:val="18"/>
              </w:rPr>
            </w:pPr>
            <w:r>
              <w:rPr>
                <w:color w:val="231F20"/>
                <w:sz w:val="18"/>
              </w:rPr>
              <w:t>7.1</w:t>
            </w:r>
          </w:p>
        </w:tc>
        <w:tc>
          <w:tcPr>
            <w:tcW w:w="964" w:type="dxa"/>
          </w:tcPr>
          <w:p>
            <w:pPr>
              <w:pStyle w:val="TableParagraph"/>
              <w:ind w:left="77"/>
              <w:rPr>
                <w:sz w:val="18"/>
              </w:rPr>
            </w:pPr>
            <w:r>
              <w:rPr>
                <w:color w:val="231F20"/>
                <w:sz w:val="18"/>
              </w:rPr>
              <w:t>4.9</w:t>
            </w:r>
          </w:p>
        </w:tc>
      </w:tr>
      <w:tr>
        <w:trPr>
          <w:trHeight w:val="340" w:hRule="exact"/>
        </w:trPr>
        <w:tc>
          <w:tcPr>
            <w:tcW w:w="200" w:type="dxa"/>
          </w:tcPr>
          <w:p>
            <w:pPr/>
          </w:p>
        </w:tc>
        <w:tc>
          <w:tcPr>
            <w:tcW w:w="2839" w:type="dxa"/>
            <w:gridSpan w:val="2"/>
          </w:tcPr>
          <w:p>
            <w:pPr>
              <w:pStyle w:val="TableParagraph"/>
              <w:ind w:left="77"/>
              <w:rPr>
                <w:sz w:val="18"/>
              </w:rPr>
            </w:pPr>
            <w:r>
              <w:rPr>
                <w:color w:val="231F20"/>
                <w:w w:val="105"/>
                <w:sz w:val="18"/>
              </w:rPr>
              <w:t>Edad promedio</w:t>
            </w:r>
          </w:p>
        </w:tc>
        <w:tc>
          <w:tcPr>
            <w:tcW w:w="964" w:type="dxa"/>
          </w:tcPr>
          <w:p>
            <w:pPr>
              <w:pStyle w:val="TableParagraph"/>
              <w:ind w:left="77"/>
              <w:rPr>
                <w:sz w:val="18"/>
              </w:rPr>
            </w:pPr>
            <w:r>
              <w:rPr>
                <w:color w:val="231F20"/>
                <w:w w:val="105"/>
                <w:sz w:val="18"/>
              </w:rPr>
              <w:t>27.8</w:t>
            </w:r>
          </w:p>
        </w:tc>
        <w:tc>
          <w:tcPr>
            <w:tcW w:w="964" w:type="dxa"/>
          </w:tcPr>
          <w:p>
            <w:pPr>
              <w:pStyle w:val="TableParagraph"/>
              <w:ind w:left="77"/>
              <w:rPr>
                <w:sz w:val="18"/>
              </w:rPr>
            </w:pPr>
            <w:r>
              <w:rPr>
                <w:color w:val="231F20"/>
                <w:w w:val="105"/>
                <w:sz w:val="18"/>
              </w:rPr>
              <w:t>27.0</w:t>
            </w:r>
          </w:p>
        </w:tc>
        <w:tc>
          <w:tcPr>
            <w:tcW w:w="964" w:type="dxa"/>
          </w:tcPr>
          <w:p>
            <w:pPr>
              <w:pStyle w:val="TableParagraph"/>
              <w:ind w:left="77"/>
              <w:rPr>
                <w:sz w:val="18"/>
              </w:rPr>
            </w:pPr>
            <w:r>
              <w:rPr>
                <w:color w:val="231F20"/>
                <w:w w:val="105"/>
                <w:sz w:val="18"/>
              </w:rPr>
              <w:t>28.6</w:t>
            </w:r>
          </w:p>
        </w:tc>
        <w:tc>
          <w:tcPr>
            <w:tcW w:w="964" w:type="dxa"/>
          </w:tcPr>
          <w:p>
            <w:pPr>
              <w:pStyle w:val="TableParagraph"/>
              <w:ind w:left="77"/>
              <w:rPr>
                <w:sz w:val="18"/>
              </w:rPr>
            </w:pPr>
            <w:r>
              <w:rPr>
                <w:color w:val="231F20"/>
                <w:w w:val="105"/>
                <w:sz w:val="18"/>
              </w:rPr>
              <w:t>26.9</w:t>
            </w:r>
          </w:p>
        </w:tc>
      </w:tr>
    </w:tbl>
    <w:p>
      <w:pPr>
        <w:spacing w:line="254" w:lineRule="auto" w:before="78"/>
        <w:ind w:left="1723" w:right="1738" w:firstLine="0"/>
        <w:jc w:val="left"/>
        <w:rPr>
          <w:sz w:val="16"/>
        </w:rPr>
      </w:pPr>
      <w:r>
        <w:rPr>
          <w:color w:val="231F20"/>
          <w:sz w:val="16"/>
        </w:rPr>
        <w:t>Nota: números en itálicas corresponden a estimaciones con menos de 50 casos muestrales. Fuente: estimaciones propias con base </w:t>
      </w:r>
      <w:r>
        <w:rPr>
          <w:color w:val="231F20"/>
          <w:sz w:val="14"/>
        </w:rPr>
        <w:t>INEGI</w:t>
      </w:r>
      <w:r>
        <w:rPr>
          <w:color w:val="231F20"/>
          <w:sz w:val="16"/>
        </w:rPr>
        <w:t>, muestras censales de </w:t>
      </w:r>
      <w:r>
        <w:rPr>
          <w:color w:val="231F20"/>
          <w:sz w:val="14"/>
        </w:rPr>
        <w:t>XII </w:t>
      </w:r>
      <w:r>
        <w:rPr>
          <w:color w:val="231F20"/>
          <w:sz w:val="16"/>
        </w:rPr>
        <w:t>Censo General de Pobla- ción y Vivienda 2000 y Censo de Población y Vivienda 2010.</w:t>
      </w:r>
    </w:p>
    <w:p>
      <w:pPr>
        <w:pStyle w:val="BodyText"/>
        <w:rPr>
          <w:sz w:val="16"/>
        </w:rPr>
      </w:pPr>
    </w:p>
    <w:p>
      <w:pPr>
        <w:pStyle w:val="BodyText"/>
        <w:spacing w:line="261" w:lineRule="auto" w:before="101"/>
        <w:ind w:left="1723" w:right="1828"/>
        <w:jc w:val="both"/>
      </w:pPr>
      <w:r>
        <w:rPr>
          <w:color w:val="231F20"/>
          <w:w w:val="105"/>
        </w:rPr>
        <w:t>En</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respecta</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población</w:t>
      </w:r>
      <w:r>
        <w:rPr>
          <w:color w:val="231F20"/>
          <w:spacing w:val="-16"/>
          <w:w w:val="105"/>
        </w:rPr>
        <w:t> </w:t>
      </w:r>
      <w:r>
        <w:rPr>
          <w:color w:val="231F20"/>
          <w:w w:val="105"/>
        </w:rPr>
        <w:t>emigrante</w:t>
      </w:r>
      <w:r>
        <w:rPr>
          <w:color w:val="231F20"/>
          <w:spacing w:val="-16"/>
          <w:w w:val="105"/>
        </w:rPr>
        <w:t> </w:t>
      </w:r>
      <w:r>
        <w:rPr>
          <w:color w:val="231F20"/>
          <w:w w:val="105"/>
        </w:rPr>
        <w:t>se</w:t>
      </w:r>
      <w:r>
        <w:rPr>
          <w:color w:val="231F20"/>
          <w:spacing w:val="-16"/>
          <w:w w:val="105"/>
        </w:rPr>
        <w:t> </w:t>
      </w:r>
      <w:r>
        <w:rPr>
          <w:color w:val="231F20"/>
          <w:w w:val="105"/>
        </w:rPr>
        <w:t>observa</w:t>
      </w:r>
      <w:r>
        <w:rPr>
          <w:color w:val="231F20"/>
          <w:spacing w:val="-16"/>
          <w:w w:val="105"/>
        </w:rPr>
        <w:t> </w:t>
      </w:r>
      <w:r>
        <w:rPr>
          <w:color w:val="231F20"/>
          <w:w w:val="105"/>
        </w:rPr>
        <w:t>una</w:t>
      </w:r>
      <w:r>
        <w:rPr>
          <w:color w:val="231F20"/>
          <w:spacing w:val="-16"/>
          <w:w w:val="105"/>
        </w:rPr>
        <w:t> </w:t>
      </w:r>
      <w:r>
        <w:rPr>
          <w:color w:val="231F20"/>
          <w:w w:val="105"/>
        </w:rPr>
        <w:t>disminución importante</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volumen</w:t>
      </w:r>
      <w:r>
        <w:rPr>
          <w:color w:val="231F20"/>
          <w:spacing w:val="-8"/>
          <w:w w:val="105"/>
        </w:rPr>
        <w:t> </w:t>
      </w:r>
      <w:r>
        <w:rPr>
          <w:color w:val="231F20"/>
          <w:w w:val="105"/>
        </w:rPr>
        <w:t>para</w:t>
      </w:r>
      <w:r>
        <w:rPr>
          <w:color w:val="231F20"/>
          <w:spacing w:val="-8"/>
          <w:w w:val="105"/>
        </w:rPr>
        <w:t> </w:t>
      </w:r>
      <w:r>
        <w:rPr>
          <w:color w:val="231F20"/>
          <w:w w:val="105"/>
        </w:rPr>
        <w:t>ambos</w:t>
      </w:r>
      <w:r>
        <w:rPr>
          <w:color w:val="231F20"/>
          <w:spacing w:val="-8"/>
          <w:w w:val="105"/>
        </w:rPr>
        <w:t> </w:t>
      </w:r>
      <w:r>
        <w:rPr>
          <w:color w:val="231F20"/>
          <w:w w:val="105"/>
        </w:rPr>
        <w:t>sexos,</w:t>
      </w:r>
      <w:r>
        <w:rPr>
          <w:color w:val="231F20"/>
          <w:spacing w:val="-14"/>
          <w:w w:val="105"/>
        </w:rPr>
        <w:t> </w:t>
      </w:r>
      <w:r>
        <w:rPr>
          <w:color w:val="231F20"/>
          <w:w w:val="105"/>
        </w:rPr>
        <w:t>con</w:t>
      </w:r>
      <w:r>
        <w:rPr>
          <w:color w:val="231F20"/>
          <w:spacing w:val="-8"/>
          <w:w w:val="105"/>
        </w:rPr>
        <w:t> </w:t>
      </w:r>
      <w:r>
        <w:rPr>
          <w:color w:val="231F20"/>
          <w:w w:val="105"/>
        </w:rPr>
        <w:t>poco</w:t>
      </w:r>
      <w:r>
        <w:rPr>
          <w:color w:val="231F20"/>
          <w:spacing w:val="-8"/>
          <w:w w:val="105"/>
        </w:rPr>
        <w:t> </w:t>
      </w:r>
      <w:r>
        <w:rPr>
          <w:color w:val="231F20"/>
          <w:w w:val="105"/>
        </w:rPr>
        <w:t>más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mitad. En el año 2000 se reportaron 74 862 hombres que se mudaron a Esta- dos</w:t>
      </w:r>
      <w:r>
        <w:rPr>
          <w:color w:val="231F20"/>
          <w:spacing w:val="-5"/>
          <w:w w:val="105"/>
        </w:rPr>
        <w:t> </w:t>
      </w:r>
      <w:r>
        <w:rPr>
          <w:color w:val="231F20"/>
          <w:w w:val="105"/>
        </w:rPr>
        <w:t>Unidos,</w:t>
      </w:r>
      <w:r>
        <w:rPr>
          <w:color w:val="231F20"/>
          <w:spacing w:val="-10"/>
          <w:w w:val="105"/>
        </w:rPr>
        <w:t> </w:t>
      </w:r>
      <w:r>
        <w:rPr>
          <w:color w:val="231F20"/>
          <w:w w:val="105"/>
        </w:rPr>
        <w:t>mientras</w:t>
      </w:r>
      <w:r>
        <w:rPr>
          <w:color w:val="231F20"/>
          <w:spacing w:val="-5"/>
          <w:w w:val="105"/>
        </w:rPr>
        <w:t> </w:t>
      </w:r>
      <w:r>
        <w:rPr>
          <w:color w:val="231F20"/>
          <w:w w:val="105"/>
        </w:rPr>
        <w:t>tanto,</w:t>
      </w:r>
      <w:r>
        <w:rPr>
          <w:color w:val="231F20"/>
          <w:spacing w:val="-10"/>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año</w:t>
      </w:r>
      <w:r>
        <w:rPr>
          <w:color w:val="231F20"/>
          <w:spacing w:val="-5"/>
          <w:w w:val="105"/>
        </w:rPr>
        <w:t> </w:t>
      </w:r>
      <w:r>
        <w:rPr>
          <w:color w:val="231F20"/>
          <w:w w:val="105"/>
        </w:rPr>
        <w:t>2010</w:t>
      </w:r>
      <w:r>
        <w:rPr>
          <w:color w:val="231F20"/>
          <w:spacing w:val="-5"/>
          <w:w w:val="105"/>
        </w:rPr>
        <w:t> </w:t>
      </w:r>
      <w:r>
        <w:rPr>
          <w:color w:val="231F20"/>
          <w:w w:val="105"/>
        </w:rPr>
        <w:t>sólo</w:t>
      </w:r>
      <w:r>
        <w:rPr>
          <w:color w:val="231F20"/>
          <w:spacing w:val="-5"/>
          <w:w w:val="105"/>
        </w:rPr>
        <w:t> </w:t>
      </w:r>
      <w:r>
        <w:rPr>
          <w:color w:val="231F20"/>
          <w:w w:val="105"/>
        </w:rPr>
        <w:t>se</w:t>
      </w:r>
      <w:r>
        <w:rPr>
          <w:color w:val="231F20"/>
          <w:spacing w:val="-5"/>
          <w:w w:val="105"/>
        </w:rPr>
        <w:t> </w:t>
      </w:r>
      <w:r>
        <w:rPr>
          <w:color w:val="231F20"/>
          <w:w w:val="105"/>
        </w:rPr>
        <w:t>contaron</w:t>
      </w:r>
      <w:r>
        <w:rPr>
          <w:color w:val="231F20"/>
          <w:spacing w:val="-5"/>
          <w:w w:val="105"/>
        </w:rPr>
        <w:t> </w:t>
      </w:r>
      <w:r>
        <w:rPr>
          <w:color w:val="231F20"/>
          <w:w w:val="105"/>
        </w:rPr>
        <w:t>35</w:t>
      </w:r>
      <w:r>
        <w:rPr>
          <w:color w:val="231F20"/>
          <w:spacing w:val="-5"/>
          <w:w w:val="105"/>
        </w:rPr>
        <w:t> </w:t>
      </w:r>
      <w:r>
        <w:rPr>
          <w:color w:val="231F20"/>
          <w:w w:val="105"/>
        </w:rPr>
        <w:t>572.</w:t>
      </w:r>
      <w:r>
        <w:rPr>
          <w:color w:val="231F20"/>
          <w:spacing w:val="-10"/>
          <w:w w:val="105"/>
        </w:rPr>
        <w:t> </w:t>
      </w:r>
      <w:r>
        <w:rPr>
          <w:color w:val="231F20"/>
          <w:w w:val="105"/>
        </w:rPr>
        <w:t>En el</w:t>
      </w:r>
      <w:r>
        <w:rPr>
          <w:color w:val="231F20"/>
          <w:spacing w:val="-5"/>
          <w:w w:val="105"/>
        </w:rPr>
        <w:t> </w:t>
      </w:r>
      <w:r>
        <w:rPr>
          <w:color w:val="231F20"/>
          <w:w w:val="105"/>
        </w:rPr>
        <w:t>caso</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mujeres</w:t>
      </w:r>
      <w:r>
        <w:rPr>
          <w:color w:val="231F20"/>
          <w:spacing w:val="-5"/>
          <w:w w:val="105"/>
        </w:rPr>
        <w:t> </w:t>
      </w:r>
      <w:r>
        <w:rPr>
          <w:color w:val="231F20"/>
          <w:w w:val="105"/>
        </w:rPr>
        <w:t>se</w:t>
      </w:r>
      <w:r>
        <w:rPr>
          <w:color w:val="231F20"/>
          <w:spacing w:val="-5"/>
          <w:w w:val="105"/>
        </w:rPr>
        <w:t> </w:t>
      </w:r>
      <w:r>
        <w:rPr>
          <w:color w:val="231F20"/>
          <w:w w:val="105"/>
        </w:rPr>
        <w:t>registraron</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primera</w:t>
      </w:r>
      <w:r>
        <w:rPr>
          <w:color w:val="231F20"/>
          <w:spacing w:val="-5"/>
          <w:w w:val="105"/>
        </w:rPr>
        <w:t> </w:t>
      </w:r>
      <w:r>
        <w:rPr>
          <w:color w:val="231F20"/>
          <w:w w:val="105"/>
        </w:rPr>
        <w:t>observación</w:t>
      </w:r>
      <w:r>
        <w:rPr>
          <w:color w:val="231F20"/>
          <w:spacing w:val="-5"/>
          <w:w w:val="105"/>
        </w:rPr>
        <w:t> </w:t>
      </w:r>
      <w:r>
        <w:rPr>
          <w:color w:val="231F20"/>
          <w:w w:val="105"/>
        </w:rPr>
        <w:t>23</w:t>
      </w:r>
      <w:r>
        <w:rPr>
          <w:color w:val="231F20"/>
          <w:spacing w:val="-5"/>
          <w:w w:val="105"/>
        </w:rPr>
        <w:t> </w:t>
      </w:r>
      <w:r>
        <w:rPr>
          <w:color w:val="231F20"/>
          <w:w w:val="105"/>
        </w:rPr>
        <w:t>908, y</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año</w:t>
      </w:r>
      <w:r>
        <w:rPr>
          <w:color w:val="231F20"/>
          <w:spacing w:val="-7"/>
          <w:w w:val="105"/>
        </w:rPr>
        <w:t> </w:t>
      </w:r>
      <w:r>
        <w:rPr>
          <w:color w:val="231F20"/>
          <w:w w:val="105"/>
        </w:rPr>
        <w:t>2010</w:t>
      </w:r>
      <w:r>
        <w:rPr>
          <w:color w:val="231F20"/>
          <w:spacing w:val="-7"/>
          <w:w w:val="105"/>
        </w:rPr>
        <w:t> </w:t>
      </w:r>
      <w:r>
        <w:rPr>
          <w:color w:val="231F20"/>
          <w:w w:val="105"/>
        </w:rPr>
        <w:t>fueron</w:t>
      </w:r>
      <w:r>
        <w:rPr>
          <w:color w:val="231F20"/>
          <w:spacing w:val="-7"/>
          <w:w w:val="105"/>
        </w:rPr>
        <w:t> </w:t>
      </w:r>
      <w:r>
        <w:rPr>
          <w:color w:val="231F20"/>
          <w:w w:val="105"/>
        </w:rPr>
        <w:t>captadas</w:t>
      </w:r>
      <w:r>
        <w:rPr>
          <w:color w:val="231F20"/>
          <w:spacing w:val="-7"/>
          <w:w w:val="105"/>
        </w:rPr>
        <w:t> </w:t>
      </w:r>
      <w:r>
        <w:rPr>
          <w:color w:val="231F20"/>
          <w:w w:val="105"/>
        </w:rPr>
        <w:t>10</w:t>
      </w:r>
      <w:r>
        <w:rPr>
          <w:color w:val="231F20"/>
          <w:spacing w:val="-7"/>
          <w:w w:val="105"/>
        </w:rPr>
        <w:t> </w:t>
      </w:r>
      <w:r>
        <w:rPr>
          <w:color w:val="231F20"/>
          <w:w w:val="105"/>
        </w:rPr>
        <w:t>304.</w:t>
      </w:r>
      <w:r>
        <w:rPr>
          <w:color w:val="231F20"/>
          <w:spacing w:val="-13"/>
          <w:w w:val="105"/>
        </w:rPr>
        <w:t> </w:t>
      </w:r>
      <w:r>
        <w:rPr>
          <w:color w:val="231F20"/>
          <w:spacing w:val="-4"/>
          <w:w w:val="105"/>
        </w:rPr>
        <w:t>Para</w:t>
      </w:r>
      <w:r>
        <w:rPr>
          <w:color w:val="231F20"/>
          <w:spacing w:val="-7"/>
          <w:w w:val="105"/>
        </w:rPr>
        <w:t> </w:t>
      </w:r>
      <w:r>
        <w:rPr>
          <w:color w:val="231F20"/>
          <w:w w:val="105"/>
        </w:rPr>
        <w:t>los</w:t>
      </w:r>
      <w:r>
        <w:rPr>
          <w:color w:val="231F20"/>
          <w:spacing w:val="-7"/>
          <w:w w:val="105"/>
        </w:rPr>
        <w:t> </w:t>
      </w:r>
      <w:r>
        <w:rPr>
          <w:color w:val="231F20"/>
          <w:w w:val="105"/>
        </w:rPr>
        <w:t>municipios</w:t>
      </w:r>
      <w:r>
        <w:rPr>
          <w:color w:val="231F20"/>
          <w:spacing w:val="-7"/>
          <w:w w:val="105"/>
        </w:rPr>
        <w:t> </w:t>
      </w:r>
      <w:r>
        <w:rPr>
          <w:color w:val="231F20"/>
          <w:w w:val="105"/>
        </w:rPr>
        <w:t>emergen- tes y tradicionales se observó un patrón de disminución de esta pobla- ción en términos proporcionales. Entonces resulta relevante el caso de los municipios considerados como étnicos, donde la proporción de los hombres</w:t>
      </w:r>
      <w:r>
        <w:rPr>
          <w:color w:val="231F20"/>
          <w:spacing w:val="-8"/>
          <w:w w:val="105"/>
        </w:rPr>
        <w:t> </w:t>
      </w:r>
      <w:r>
        <w:rPr>
          <w:color w:val="231F20"/>
          <w:w w:val="105"/>
        </w:rPr>
        <w:t>se</w:t>
      </w:r>
      <w:r>
        <w:rPr>
          <w:color w:val="231F20"/>
          <w:spacing w:val="-8"/>
          <w:w w:val="105"/>
        </w:rPr>
        <w:t> </w:t>
      </w:r>
      <w:r>
        <w:rPr>
          <w:color w:val="231F20"/>
          <w:w w:val="105"/>
        </w:rPr>
        <w:t>duplica</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mujeres</w:t>
      </w:r>
      <w:r>
        <w:rPr>
          <w:color w:val="231F20"/>
          <w:spacing w:val="-8"/>
          <w:w w:val="105"/>
        </w:rPr>
        <w:t> </w:t>
      </w:r>
      <w:r>
        <w:rPr>
          <w:color w:val="231F20"/>
          <w:w w:val="105"/>
        </w:rPr>
        <w:t>se</w:t>
      </w:r>
      <w:r>
        <w:rPr>
          <w:color w:val="231F20"/>
          <w:spacing w:val="-8"/>
          <w:w w:val="105"/>
        </w:rPr>
        <w:t> </w:t>
      </w:r>
      <w:r>
        <w:rPr>
          <w:color w:val="231F20"/>
          <w:w w:val="105"/>
        </w:rPr>
        <w:t>triplica.</w:t>
      </w:r>
      <w:r>
        <w:rPr>
          <w:color w:val="231F20"/>
          <w:spacing w:val="-14"/>
          <w:w w:val="105"/>
        </w:rPr>
        <w:t> </w:t>
      </w:r>
      <w:r>
        <w:rPr>
          <w:color w:val="231F20"/>
          <w:w w:val="105"/>
        </w:rPr>
        <w:t>Esta</w:t>
      </w:r>
      <w:r>
        <w:rPr>
          <w:color w:val="231F20"/>
          <w:spacing w:val="-8"/>
          <w:w w:val="105"/>
        </w:rPr>
        <w:t> </w:t>
      </w:r>
      <w:r>
        <w:rPr>
          <w:color w:val="231F20"/>
          <w:w w:val="105"/>
        </w:rPr>
        <w:t>dinámica</w:t>
      </w:r>
      <w:r>
        <w:rPr>
          <w:color w:val="231F20"/>
          <w:spacing w:val="-8"/>
          <w:w w:val="105"/>
        </w:rPr>
        <w:t> </w:t>
      </w:r>
      <w:r>
        <w:rPr>
          <w:color w:val="231F20"/>
          <w:w w:val="105"/>
        </w:rPr>
        <w:t>resulta interesante</w:t>
      </w:r>
      <w:r>
        <w:rPr>
          <w:color w:val="231F20"/>
          <w:spacing w:val="-5"/>
          <w:w w:val="105"/>
        </w:rPr>
        <w:t> </w:t>
      </w:r>
      <w:r>
        <w:rPr>
          <w:color w:val="231F20"/>
          <w:w w:val="105"/>
        </w:rPr>
        <w:t>y</w:t>
      </w:r>
      <w:r>
        <w:rPr>
          <w:color w:val="231F20"/>
          <w:spacing w:val="-5"/>
          <w:w w:val="105"/>
        </w:rPr>
        <w:t> </w:t>
      </w:r>
      <w:r>
        <w:rPr>
          <w:color w:val="231F20"/>
          <w:w w:val="105"/>
        </w:rPr>
        <w:t>puede</w:t>
      </w:r>
      <w:r>
        <w:rPr>
          <w:color w:val="231F20"/>
          <w:spacing w:val="-5"/>
          <w:w w:val="105"/>
        </w:rPr>
        <w:t> </w:t>
      </w:r>
      <w:r>
        <w:rPr>
          <w:color w:val="231F20"/>
          <w:w w:val="105"/>
        </w:rPr>
        <w:t>ser</w:t>
      </w:r>
      <w:r>
        <w:rPr>
          <w:color w:val="231F20"/>
          <w:spacing w:val="-5"/>
          <w:w w:val="105"/>
        </w:rPr>
        <w:t> </w:t>
      </w:r>
      <w:r>
        <w:rPr>
          <w:color w:val="231F20"/>
          <w:w w:val="105"/>
        </w:rPr>
        <w:t>reflejo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consolidación</w:t>
      </w:r>
      <w:r>
        <w:rPr>
          <w:color w:val="231F20"/>
          <w:spacing w:val="-5"/>
          <w:w w:val="105"/>
        </w:rPr>
        <w:t> </w:t>
      </w:r>
      <w:r>
        <w:rPr>
          <w:color w:val="231F20"/>
          <w:w w:val="105"/>
        </w:rPr>
        <w:t>de</w:t>
      </w:r>
      <w:r>
        <w:rPr>
          <w:color w:val="231F20"/>
          <w:spacing w:val="-5"/>
          <w:w w:val="105"/>
        </w:rPr>
        <w:t> </w:t>
      </w:r>
      <w:r>
        <w:rPr>
          <w:color w:val="231F20"/>
          <w:w w:val="105"/>
        </w:rPr>
        <w:t>redes</w:t>
      </w:r>
      <w:r>
        <w:rPr>
          <w:color w:val="231F20"/>
          <w:spacing w:val="-5"/>
          <w:w w:val="105"/>
        </w:rPr>
        <w:t> </w:t>
      </w:r>
      <w:r>
        <w:rPr>
          <w:color w:val="231F20"/>
          <w:w w:val="105"/>
        </w:rPr>
        <w:t>migratorias en</w:t>
      </w:r>
      <w:r>
        <w:rPr>
          <w:color w:val="231F20"/>
          <w:spacing w:val="-18"/>
          <w:w w:val="105"/>
        </w:rPr>
        <w:t> </w:t>
      </w:r>
      <w:r>
        <w:rPr>
          <w:color w:val="231F20"/>
          <w:w w:val="105"/>
        </w:rPr>
        <w:t>este</w:t>
      </w:r>
      <w:r>
        <w:rPr>
          <w:color w:val="231F20"/>
          <w:spacing w:val="-18"/>
          <w:w w:val="105"/>
        </w:rPr>
        <w:t> </w:t>
      </w:r>
      <w:r>
        <w:rPr>
          <w:color w:val="231F20"/>
          <w:w w:val="105"/>
        </w:rPr>
        <w:t>tipo</w:t>
      </w:r>
      <w:r>
        <w:rPr>
          <w:color w:val="231F20"/>
          <w:spacing w:val="-18"/>
          <w:w w:val="105"/>
        </w:rPr>
        <w:t> </w:t>
      </w:r>
      <w:r>
        <w:rPr>
          <w:color w:val="231F20"/>
          <w:w w:val="105"/>
        </w:rPr>
        <w:t>de</w:t>
      </w:r>
      <w:r>
        <w:rPr>
          <w:color w:val="231F20"/>
          <w:spacing w:val="-18"/>
          <w:w w:val="105"/>
        </w:rPr>
        <w:t> </w:t>
      </w:r>
      <w:r>
        <w:rPr>
          <w:color w:val="231F20"/>
          <w:w w:val="105"/>
        </w:rPr>
        <w:t>municipios</w:t>
      </w:r>
      <w:r>
        <w:rPr>
          <w:color w:val="231F20"/>
          <w:spacing w:val="-18"/>
          <w:w w:val="105"/>
        </w:rPr>
        <w:t> </w:t>
      </w:r>
      <w:r>
        <w:rPr>
          <w:color w:val="231F20"/>
          <w:w w:val="105"/>
        </w:rPr>
        <w:t>desde</w:t>
      </w:r>
      <w:r>
        <w:rPr>
          <w:color w:val="231F20"/>
          <w:spacing w:val="-18"/>
          <w:w w:val="105"/>
        </w:rPr>
        <w:t> </w:t>
      </w:r>
      <w:r>
        <w:rPr>
          <w:color w:val="231F20"/>
          <w:w w:val="105"/>
        </w:rPr>
        <w:t>comienzos</w:t>
      </w:r>
      <w:r>
        <w:rPr>
          <w:color w:val="231F20"/>
          <w:spacing w:val="-18"/>
          <w:w w:val="105"/>
        </w:rPr>
        <w:t> </w:t>
      </w:r>
      <w:r>
        <w:rPr>
          <w:color w:val="231F20"/>
          <w:w w:val="105"/>
        </w:rPr>
        <w:t>de</w:t>
      </w:r>
      <w:r>
        <w:rPr>
          <w:color w:val="231F20"/>
          <w:spacing w:val="-18"/>
          <w:w w:val="105"/>
        </w:rPr>
        <w:t> </w:t>
      </w:r>
      <w:r>
        <w:rPr>
          <w:color w:val="231F20"/>
          <w:w w:val="105"/>
        </w:rPr>
        <w:t>este</w:t>
      </w:r>
      <w:r>
        <w:rPr>
          <w:color w:val="231F20"/>
          <w:spacing w:val="-18"/>
          <w:w w:val="105"/>
        </w:rPr>
        <w:t> </w:t>
      </w:r>
      <w:r>
        <w:rPr>
          <w:color w:val="231F20"/>
          <w:w w:val="105"/>
        </w:rPr>
        <w:t>siglo.</w:t>
      </w:r>
      <w:r>
        <w:rPr>
          <w:color w:val="231F20"/>
          <w:spacing w:val="-24"/>
          <w:w w:val="105"/>
        </w:rPr>
        <w:t> </w:t>
      </w:r>
      <w:r>
        <w:rPr>
          <w:color w:val="231F20"/>
          <w:w w:val="105"/>
        </w:rPr>
        <w:t>Es</w:t>
      </w:r>
      <w:r>
        <w:rPr>
          <w:color w:val="231F20"/>
          <w:spacing w:val="-18"/>
          <w:w w:val="105"/>
        </w:rPr>
        <w:t> </w:t>
      </w:r>
      <w:r>
        <w:rPr>
          <w:color w:val="231F20"/>
          <w:w w:val="105"/>
        </w:rPr>
        <w:t>también</w:t>
      </w:r>
      <w:r>
        <w:rPr>
          <w:color w:val="231F20"/>
          <w:spacing w:val="-18"/>
          <w:w w:val="105"/>
        </w:rPr>
        <w:t> </w:t>
      </w:r>
      <w:r>
        <w:rPr>
          <w:color w:val="231F20"/>
          <w:w w:val="105"/>
        </w:rPr>
        <w:t>de resaltar</w:t>
      </w:r>
      <w:r>
        <w:rPr>
          <w:color w:val="231F20"/>
          <w:spacing w:val="-11"/>
          <w:w w:val="105"/>
        </w:rPr>
        <w:t> </w:t>
      </w:r>
      <w:r>
        <w:rPr>
          <w:color w:val="231F20"/>
          <w:w w:val="105"/>
        </w:rPr>
        <w:t>que</w:t>
      </w:r>
      <w:r>
        <w:rPr>
          <w:color w:val="231F20"/>
          <w:spacing w:val="-10"/>
          <w:w w:val="105"/>
        </w:rPr>
        <w:t> </w:t>
      </w:r>
      <w:r>
        <w:rPr>
          <w:color w:val="231F20"/>
          <w:w w:val="105"/>
        </w:rPr>
        <w:t>la</w:t>
      </w:r>
      <w:r>
        <w:rPr>
          <w:color w:val="231F20"/>
          <w:spacing w:val="-11"/>
          <w:w w:val="105"/>
        </w:rPr>
        <w:t> </w:t>
      </w:r>
      <w:r>
        <w:rPr>
          <w:color w:val="231F20"/>
          <w:w w:val="105"/>
        </w:rPr>
        <w:t>edad</w:t>
      </w:r>
      <w:r>
        <w:rPr>
          <w:color w:val="231F20"/>
          <w:spacing w:val="-10"/>
          <w:w w:val="105"/>
        </w:rPr>
        <w:t> </w:t>
      </w:r>
      <w:r>
        <w:rPr>
          <w:color w:val="231F20"/>
          <w:w w:val="105"/>
        </w:rPr>
        <w:t>promedio</w:t>
      </w:r>
      <w:r>
        <w:rPr>
          <w:color w:val="231F20"/>
          <w:spacing w:val="-11"/>
          <w:w w:val="105"/>
        </w:rPr>
        <w:t> </w:t>
      </w:r>
      <w:r>
        <w:rPr>
          <w:color w:val="231F20"/>
          <w:w w:val="105"/>
        </w:rPr>
        <w:t>de</w:t>
      </w:r>
      <w:r>
        <w:rPr>
          <w:color w:val="231F20"/>
          <w:spacing w:val="-10"/>
          <w:w w:val="105"/>
        </w:rPr>
        <w:t> </w:t>
      </w:r>
      <w:r>
        <w:rPr>
          <w:color w:val="231F20"/>
          <w:w w:val="105"/>
        </w:rPr>
        <w:t>estos</w:t>
      </w:r>
      <w:r>
        <w:rPr>
          <w:color w:val="231F20"/>
          <w:spacing w:val="-10"/>
          <w:w w:val="105"/>
        </w:rPr>
        <w:t> </w:t>
      </w:r>
      <w:r>
        <w:rPr>
          <w:color w:val="231F20"/>
          <w:w w:val="105"/>
        </w:rPr>
        <w:t>emigrantes,</w:t>
      </w:r>
      <w:r>
        <w:rPr>
          <w:color w:val="231F20"/>
          <w:spacing w:val="-16"/>
          <w:w w:val="105"/>
        </w:rPr>
        <w:t> </w:t>
      </w:r>
      <w:r>
        <w:rPr>
          <w:color w:val="231F20"/>
          <w:w w:val="105"/>
        </w:rPr>
        <w:t>en</w:t>
      </w:r>
      <w:r>
        <w:rPr>
          <w:color w:val="231F20"/>
          <w:spacing w:val="-10"/>
          <w:w w:val="105"/>
        </w:rPr>
        <w:t> </w:t>
      </w:r>
      <w:r>
        <w:rPr>
          <w:color w:val="231F20"/>
          <w:w w:val="105"/>
        </w:rPr>
        <w:t>ambos</w:t>
      </w:r>
      <w:r>
        <w:rPr>
          <w:color w:val="231F20"/>
          <w:spacing w:val="-10"/>
          <w:w w:val="105"/>
        </w:rPr>
        <w:t> </w:t>
      </w:r>
      <w:r>
        <w:rPr>
          <w:color w:val="231F20"/>
          <w:w w:val="105"/>
        </w:rPr>
        <w:t>sexos,</w:t>
      </w:r>
      <w:r>
        <w:rPr>
          <w:color w:val="231F20"/>
          <w:spacing w:val="-16"/>
          <w:w w:val="105"/>
        </w:rPr>
        <w:t> </w:t>
      </w:r>
      <w:r>
        <w:rPr>
          <w:color w:val="231F20"/>
          <w:w w:val="105"/>
        </w:rPr>
        <w:t>es menor</w:t>
      </w:r>
      <w:r>
        <w:rPr>
          <w:color w:val="231F20"/>
          <w:spacing w:val="-13"/>
          <w:w w:val="105"/>
        </w:rPr>
        <w:t> </w:t>
      </w:r>
      <w:r>
        <w:rPr>
          <w:color w:val="231F20"/>
          <w:w w:val="105"/>
        </w:rPr>
        <w:t>con</w:t>
      </w:r>
      <w:r>
        <w:rPr>
          <w:color w:val="231F20"/>
          <w:spacing w:val="-13"/>
          <w:w w:val="105"/>
        </w:rPr>
        <w:t> </w:t>
      </w:r>
      <w:r>
        <w:rPr>
          <w:color w:val="231F20"/>
          <w:w w:val="105"/>
        </w:rPr>
        <w:t>respecto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observada</w:t>
      </w:r>
      <w:r>
        <w:rPr>
          <w:color w:val="231F20"/>
          <w:spacing w:val="-13"/>
          <w:w w:val="105"/>
        </w:rPr>
        <w:t> </w:t>
      </w:r>
      <w:r>
        <w:rPr>
          <w:color w:val="231F20"/>
          <w:w w:val="105"/>
        </w:rPr>
        <w:t>para</w:t>
      </w:r>
      <w:r>
        <w:rPr>
          <w:color w:val="231F20"/>
          <w:spacing w:val="-13"/>
          <w:w w:val="105"/>
        </w:rPr>
        <w:t> </w:t>
      </w:r>
      <w:r>
        <w:rPr>
          <w:color w:val="231F20"/>
          <w:w w:val="105"/>
        </w:rPr>
        <w:t>los</w:t>
      </w:r>
      <w:r>
        <w:rPr>
          <w:color w:val="231F20"/>
          <w:spacing w:val="-13"/>
          <w:w w:val="105"/>
        </w:rPr>
        <w:t> </w:t>
      </w:r>
      <w:r>
        <w:rPr>
          <w:color w:val="231F20"/>
          <w:w w:val="105"/>
        </w:rPr>
        <w:t>migrantes</w:t>
      </w:r>
      <w:r>
        <w:rPr>
          <w:color w:val="231F20"/>
          <w:spacing w:val="-13"/>
          <w:w w:val="105"/>
        </w:rPr>
        <w:t> </w:t>
      </w:r>
      <w:r>
        <w:rPr>
          <w:color w:val="231F20"/>
          <w:w w:val="105"/>
        </w:rPr>
        <w:t>de</w:t>
      </w:r>
      <w:r>
        <w:rPr>
          <w:color w:val="231F20"/>
          <w:spacing w:val="-13"/>
          <w:w w:val="105"/>
        </w:rPr>
        <w:t> </w:t>
      </w:r>
      <w:r>
        <w:rPr>
          <w:color w:val="231F20"/>
          <w:w w:val="105"/>
        </w:rPr>
        <w:t>retorno.</w:t>
      </w:r>
      <w:r>
        <w:rPr>
          <w:color w:val="231F20"/>
          <w:spacing w:val="-20"/>
          <w:w w:val="105"/>
        </w:rPr>
        <w:t> </w:t>
      </w:r>
      <w:r>
        <w:rPr>
          <w:color w:val="231F20"/>
          <w:spacing w:val="-4"/>
          <w:w w:val="105"/>
        </w:rPr>
        <w:t>Pode- </w:t>
      </w:r>
      <w:r>
        <w:rPr>
          <w:color w:val="231F20"/>
          <w:w w:val="105"/>
        </w:rPr>
        <w:t>mos</w:t>
      </w:r>
      <w:r>
        <w:rPr>
          <w:color w:val="231F20"/>
          <w:spacing w:val="-11"/>
          <w:w w:val="105"/>
        </w:rPr>
        <w:t> </w:t>
      </w:r>
      <w:r>
        <w:rPr>
          <w:color w:val="231F20"/>
          <w:w w:val="105"/>
        </w:rPr>
        <w:t>agregar</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w w:val="105"/>
        </w:rPr>
        <w:t>hombres</w:t>
      </w:r>
      <w:r>
        <w:rPr>
          <w:color w:val="231F20"/>
          <w:spacing w:val="-11"/>
          <w:w w:val="105"/>
        </w:rPr>
        <w:t> </w:t>
      </w:r>
      <w:r>
        <w:rPr>
          <w:color w:val="231F20"/>
          <w:w w:val="105"/>
        </w:rPr>
        <w:t>tienen</w:t>
      </w:r>
      <w:r>
        <w:rPr>
          <w:color w:val="231F20"/>
          <w:spacing w:val="-11"/>
          <w:w w:val="105"/>
        </w:rPr>
        <w:t> </w:t>
      </w:r>
      <w:r>
        <w:rPr>
          <w:color w:val="231F20"/>
          <w:w w:val="105"/>
        </w:rPr>
        <w:t>mayor</w:t>
      </w:r>
      <w:r>
        <w:rPr>
          <w:color w:val="231F20"/>
          <w:spacing w:val="-11"/>
          <w:w w:val="105"/>
        </w:rPr>
        <w:t> </w:t>
      </w:r>
      <w:r>
        <w:rPr>
          <w:color w:val="231F20"/>
          <w:w w:val="105"/>
        </w:rPr>
        <w:t>presencia</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municipios étnicos</w:t>
      </w:r>
      <w:r>
        <w:rPr>
          <w:color w:val="231F20"/>
          <w:spacing w:val="-29"/>
          <w:w w:val="105"/>
        </w:rPr>
        <w:t> </w:t>
      </w:r>
      <w:r>
        <w:rPr>
          <w:color w:val="231F20"/>
          <w:w w:val="105"/>
        </w:rPr>
        <w:t>y</w:t>
      </w:r>
      <w:r>
        <w:rPr>
          <w:color w:val="231F20"/>
          <w:spacing w:val="-29"/>
          <w:w w:val="105"/>
        </w:rPr>
        <w:t> </w:t>
      </w:r>
      <w:r>
        <w:rPr>
          <w:color w:val="231F20"/>
          <w:w w:val="105"/>
        </w:rPr>
        <w:t>tradicionales</w:t>
      </w:r>
      <w:r>
        <w:rPr>
          <w:color w:val="231F20"/>
          <w:spacing w:val="-29"/>
          <w:w w:val="105"/>
        </w:rPr>
        <w:t> </w:t>
      </w:r>
      <w:r>
        <w:rPr>
          <w:color w:val="231F20"/>
          <w:w w:val="105"/>
        </w:rPr>
        <w:t>en</w:t>
      </w:r>
      <w:r>
        <w:rPr>
          <w:color w:val="231F20"/>
          <w:spacing w:val="-29"/>
          <w:w w:val="105"/>
        </w:rPr>
        <w:t> </w:t>
      </w:r>
      <w:r>
        <w:rPr>
          <w:color w:val="231F20"/>
          <w:w w:val="105"/>
        </w:rPr>
        <w:t>comparación</w:t>
      </w:r>
      <w:r>
        <w:rPr>
          <w:color w:val="231F20"/>
          <w:spacing w:val="-29"/>
          <w:w w:val="105"/>
        </w:rPr>
        <w:t> </w:t>
      </w:r>
      <w:r>
        <w:rPr>
          <w:color w:val="231F20"/>
          <w:w w:val="105"/>
        </w:rPr>
        <w:t>a</w:t>
      </w:r>
      <w:r>
        <w:rPr>
          <w:color w:val="231F20"/>
          <w:spacing w:val="-29"/>
          <w:w w:val="105"/>
        </w:rPr>
        <w:t> </w:t>
      </w:r>
      <w:r>
        <w:rPr>
          <w:color w:val="231F20"/>
          <w:w w:val="105"/>
        </w:rPr>
        <w:t>las</w:t>
      </w:r>
      <w:r>
        <w:rPr>
          <w:color w:val="231F20"/>
          <w:spacing w:val="-29"/>
          <w:w w:val="105"/>
        </w:rPr>
        <w:t> </w:t>
      </w:r>
      <w:r>
        <w:rPr>
          <w:color w:val="231F20"/>
          <w:w w:val="105"/>
        </w:rPr>
        <w:t>mujeres,</w:t>
      </w:r>
      <w:r>
        <w:rPr>
          <w:color w:val="231F20"/>
          <w:spacing w:val="-33"/>
          <w:w w:val="105"/>
        </w:rPr>
        <w:t> </w:t>
      </w:r>
      <w:r>
        <w:rPr>
          <w:color w:val="231F20"/>
          <w:w w:val="105"/>
        </w:rPr>
        <w:t>quienes</w:t>
      </w:r>
      <w:r>
        <w:rPr>
          <w:color w:val="231F20"/>
          <w:spacing w:val="-29"/>
          <w:w w:val="105"/>
        </w:rPr>
        <w:t> </w:t>
      </w:r>
      <w:r>
        <w:rPr>
          <w:color w:val="231F20"/>
          <w:w w:val="105"/>
        </w:rPr>
        <w:t>se</w:t>
      </w:r>
      <w:r>
        <w:rPr>
          <w:color w:val="231F20"/>
          <w:spacing w:val="-29"/>
          <w:w w:val="105"/>
        </w:rPr>
        <w:t> </w:t>
      </w:r>
      <w:r>
        <w:rPr>
          <w:color w:val="231F20"/>
          <w:w w:val="105"/>
        </w:rPr>
        <w:t>encuen- tran</w:t>
      </w:r>
      <w:r>
        <w:rPr>
          <w:color w:val="231F20"/>
          <w:spacing w:val="-10"/>
          <w:w w:val="105"/>
        </w:rPr>
        <w:t> </w:t>
      </w:r>
      <w:r>
        <w:rPr>
          <w:color w:val="231F20"/>
          <w:w w:val="105"/>
        </w:rPr>
        <w:t>principalmente</w:t>
      </w:r>
      <w:r>
        <w:rPr>
          <w:color w:val="231F20"/>
          <w:spacing w:val="-10"/>
          <w:w w:val="105"/>
        </w:rPr>
        <w:t> </w:t>
      </w:r>
      <w:r>
        <w:rPr>
          <w:color w:val="231F20"/>
          <w:w w:val="105"/>
        </w:rPr>
        <w:t>concentradas</w:t>
      </w:r>
      <w:r>
        <w:rPr>
          <w:color w:val="231F20"/>
          <w:spacing w:val="-10"/>
          <w:w w:val="105"/>
        </w:rPr>
        <w:t> </w:t>
      </w:r>
      <w:r>
        <w:rPr>
          <w:color w:val="231F20"/>
          <w:w w:val="105"/>
        </w:rPr>
        <w:t>en</w:t>
      </w:r>
      <w:r>
        <w:rPr>
          <w:color w:val="231F20"/>
          <w:spacing w:val="-10"/>
          <w:w w:val="105"/>
        </w:rPr>
        <w:t> </w:t>
      </w:r>
      <w:r>
        <w:rPr>
          <w:color w:val="231F20"/>
          <w:w w:val="105"/>
        </w:rPr>
        <w:t>municipios</w:t>
      </w:r>
      <w:r>
        <w:rPr>
          <w:color w:val="231F20"/>
          <w:spacing w:val="-10"/>
          <w:w w:val="105"/>
        </w:rPr>
        <w:t> </w:t>
      </w:r>
      <w:r>
        <w:rPr>
          <w:color w:val="231F20"/>
          <w:w w:val="105"/>
        </w:rPr>
        <w:t>emergentes</w:t>
      </w:r>
      <w:r>
        <w:rPr>
          <w:color w:val="231F20"/>
          <w:spacing w:val="-10"/>
          <w:w w:val="105"/>
        </w:rPr>
        <w:t> </w:t>
      </w:r>
      <w:r>
        <w:rPr>
          <w:color w:val="231F20"/>
          <w:w w:val="105"/>
        </w:rPr>
        <w:t>o</w:t>
      </w:r>
      <w:r>
        <w:rPr>
          <w:color w:val="231F20"/>
          <w:spacing w:val="-10"/>
          <w:w w:val="105"/>
        </w:rPr>
        <w:t> </w:t>
      </w:r>
      <w:r>
        <w:rPr>
          <w:color w:val="231F20"/>
          <w:w w:val="105"/>
        </w:rPr>
        <w:t>urbanos. Lo</w:t>
      </w:r>
      <w:r>
        <w:rPr>
          <w:color w:val="231F20"/>
          <w:spacing w:val="-6"/>
          <w:w w:val="105"/>
        </w:rPr>
        <w:t> </w:t>
      </w:r>
      <w:r>
        <w:rPr>
          <w:color w:val="231F20"/>
          <w:w w:val="105"/>
        </w:rPr>
        <w:t>anterior</w:t>
      </w:r>
      <w:r>
        <w:rPr>
          <w:color w:val="231F20"/>
          <w:spacing w:val="-6"/>
          <w:w w:val="105"/>
        </w:rPr>
        <w:t> </w:t>
      </w:r>
      <w:r>
        <w:rPr>
          <w:color w:val="231F20"/>
          <w:w w:val="105"/>
        </w:rPr>
        <w:t>implicaría</w:t>
      </w:r>
      <w:r>
        <w:rPr>
          <w:color w:val="231F20"/>
          <w:spacing w:val="-6"/>
          <w:w w:val="105"/>
        </w:rPr>
        <w:t> </w:t>
      </w:r>
      <w:r>
        <w:rPr>
          <w:color w:val="231F20"/>
          <w:w w:val="105"/>
        </w:rPr>
        <w:t>que</w:t>
      </w:r>
      <w:r>
        <w:rPr>
          <w:color w:val="231F20"/>
          <w:spacing w:val="-6"/>
          <w:w w:val="105"/>
        </w:rPr>
        <w:t> </w:t>
      </w:r>
      <w:r>
        <w:rPr>
          <w:color w:val="231F20"/>
          <w:w w:val="105"/>
        </w:rPr>
        <w:t>éstas</w:t>
      </w:r>
      <w:r>
        <w:rPr>
          <w:color w:val="231F20"/>
          <w:spacing w:val="-6"/>
          <w:w w:val="105"/>
        </w:rPr>
        <w:t> </w:t>
      </w:r>
      <w:r>
        <w:rPr>
          <w:color w:val="231F20"/>
          <w:w w:val="105"/>
        </w:rPr>
        <w:t>migran</w:t>
      </w:r>
      <w:r>
        <w:rPr>
          <w:color w:val="231F20"/>
          <w:spacing w:val="-6"/>
          <w:w w:val="105"/>
        </w:rPr>
        <w:t> </w:t>
      </w:r>
      <w:r>
        <w:rPr>
          <w:color w:val="231F20"/>
          <w:w w:val="105"/>
        </w:rPr>
        <w:t>más</w:t>
      </w:r>
      <w:r>
        <w:rPr>
          <w:color w:val="231F20"/>
          <w:spacing w:val="-6"/>
          <w:w w:val="105"/>
        </w:rPr>
        <w:t> </w:t>
      </w:r>
      <w:r>
        <w:rPr>
          <w:color w:val="231F20"/>
          <w:w w:val="105"/>
        </w:rPr>
        <w:t>con</w:t>
      </w:r>
      <w:r>
        <w:rPr>
          <w:color w:val="231F20"/>
          <w:spacing w:val="-6"/>
          <w:w w:val="105"/>
        </w:rPr>
        <w:t> </w:t>
      </w:r>
      <w:r>
        <w:rPr>
          <w:color w:val="231F20"/>
          <w:w w:val="105"/>
        </w:rPr>
        <w:t>un</w:t>
      </w:r>
      <w:r>
        <w:rPr>
          <w:color w:val="231F20"/>
          <w:spacing w:val="-6"/>
          <w:w w:val="105"/>
        </w:rPr>
        <w:t> </w:t>
      </w:r>
      <w:r>
        <w:rPr>
          <w:color w:val="231F20"/>
          <w:w w:val="105"/>
        </w:rPr>
        <w:t>fin</w:t>
      </w:r>
      <w:r>
        <w:rPr>
          <w:color w:val="231F20"/>
          <w:spacing w:val="-6"/>
          <w:w w:val="105"/>
        </w:rPr>
        <w:t> </w:t>
      </w:r>
      <w:r>
        <w:rPr>
          <w:color w:val="231F20"/>
          <w:w w:val="105"/>
        </w:rPr>
        <w:t>de</w:t>
      </w:r>
      <w:r>
        <w:rPr>
          <w:color w:val="231F20"/>
          <w:spacing w:val="-6"/>
          <w:w w:val="105"/>
        </w:rPr>
        <w:t> </w:t>
      </w:r>
      <w:r>
        <w:rPr>
          <w:color w:val="231F20"/>
          <w:w w:val="105"/>
        </w:rPr>
        <w:t>asentamiento definitivo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país</w:t>
      </w:r>
      <w:r>
        <w:rPr>
          <w:color w:val="231F20"/>
          <w:spacing w:val="-13"/>
          <w:w w:val="105"/>
        </w:rPr>
        <w:t> </w:t>
      </w:r>
      <w:r>
        <w:rPr>
          <w:color w:val="231F20"/>
          <w:w w:val="105"/>
        </w:rPr>
        <w:t>extranjero.</w:t>
      </w:r>
    </w:p>
    <w:p>
      <w:pPr>
        <w:pStyle w:val="BodyText"/>
        <w:spacing w:line="261" w:lineRule="auto" w:before="1"/>
        <w:ind w:left="1723" w:right="1835" w:firstLine="567"/>
        <w:jc w:val="both"/>
      </w:pPr>
      <w:r>
        <w:rPr>
          <w:color w:val="231F20"/>
          <w:w w:val="105"/>
        </w:rPr>
        <w:t>En</w:t>
      </w:r>
      <w:r>
        <w:rPr>
          <w:color w:val="231F20"/>
          <w:spacing w:val="-11"/>
          <w:w w:val="105"/>
        </w:rPr>
        <w:t> </w:t>
      </w:r>
      <w:r>
        <w:rPr>
          <w:color w:val="231F20"/>
          <w:w w:val="105"/>
        </w:rPr>
        <w:t>otro</w:t>
      </w:r>
      <w:r>
        <w:rPr>
          <w:color w:val="231F20"/>
          <w:spacing w:val="-11"/>
          <w:w w:val="105"/>
        </w:rPr>
        <w:t> </w:t>
      </w:r>
      <w:r>
        <w:rPr>
          <w:color w:val="231F20"/>
          <w:w w:val="105"/>
        </w:rPr>
        <w:t>rubro,</w:t>
      </w:r>
      <w:r>
        <w:rPr>
          <w:color w:val="231F20"/>
          <w:spacing w:val="-16"/>
          <w:w w:val="105"/>
        </w:rPr>
        <w:t> </w:t>
      </w:r>
      <w:r>
        <w:rPr>
          <w:color w:val="231F20"/>
          <w:w w:val="105"/>
        </w:rPr>
        <w:t>la</w:t>
      </w:r>
      <w:r>
        <w:rPr>
          <w:color w:val="231F20"/>
          <w:spacing w:val="-11"/>
          <w:w w:val="105"/>
        </w:rPr>
        <w:t> </w:t>
      </w:r>
      <w:r>
        <w:rPr>
          <w:color w:val="231F20"/>
          <w:w w:val="105"/>
        </w:rPr>
        <w:t>migración</w:t>
      </w:r>
      <w:r>
        <w:rPr>
          <w:color w:val="231F20"/>
          <w:spacing w:val="-11"/>
          <w:w w:val="105"/>
        </w:rPr>
        <w:t> </w:t>
      </w:r>
      <w:r>
        <w:rPr>
          <w:color w:val="231F20"/>
          <w:w w:val="105"/>
        </w:rPr>
        <w:t>circular</w:t>
      </w:r>
      <w:r>
        <w:rPr>
          <w:color w:val="231F20"/>
          <w:spacing w:val="-11"/>
          <w:w w:val="105"/>
        </w:rPr>
        <w:t> </w:t>
      </w:r>
      <w:r>
        <w:rPr>
          <w:color w:val="231F20"/>
          <w:w w:val="105"/>
        </w:rPr>
        <w:t>registra</w:t>
      </w:r>
      <w:r>
        <w:rPr>
          <w:color w:val="231F20"/>
          <w:spacing w:val="-11"/>
          <w:w w:val="105"/>
        </w:rPr>
        <w:t> </w:t>
      </w:r>
      <w:r>
        <w:rPr>
          <w:color w:val="231F20"/>
          <w:w w:val="105"/>
        </w:rPr>
        <w:t>una</w:t>
      </w:r>
      <w:r>
        <w:rPr>
          <w:color w:val="231F20"/>
          <w:spacing w:val="-11"/>
          <w:w w:val="105"/>
        </w:rPr>
        <w:t> </w:t>
      </w:r>
      <w:r>
        <w:rPr>
          <w:color w:val="231F20"/>
          <w:w w:val="105"/>
        </w:rPr>
        <w:t>mayor</w:t>
      </w:r>
      <w:r>
        <w:rPr>
          <w:color w:val="231F20"/>
          <w:spacing w:val="-11"/>
          <w:w w:val="105"/>
        </w:rPr>
        <w:t> </w:t>
      </w:r>
      <w:r>
        <w:rPr>
          <w:color w:val="231F20"/>
          <w:w w:val="105"/>
        </w:rPr>
        <w:t>representa- 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hombres</w:t>
      </w:r>
      <w:r>
        <w:rPr>
          <w:color w:val="231F20"/>
          <w:spacing w:val="-9"/>
          <w:w w:val="105"/>
        </w:rPr>
        <w:t> </w:t>
      </w:r>
      <w:r>
        <w:rPr>
          <w:color w:val="231F20"/>
          <w:w w:val="105"/>
        </w:rPr>
        <w:t>en</w:t>
      </w:r>
      <w:r>
        <w:rPr>
          <w:color w:val="231F20"/>
          <w:spacing w:val="-9"/>
          <w:w w:val="105"/>
        </w:rPr>
        <w:t> </w:t>
      </w:r>
      <w:r>
        <w:rPr>
          <w:color w:val="231F20"/>
          <w:w w:val="105"/>
        </w:rPr>
        <w:t>ambas</w:t>
      </w:r>
      <w:r>
        <w:rPr>
          <w:color w:val="231F20"/>
          <w:spacing w:val="-9"/>
          <w:w w:val="105"/>
        </w:rPr>
        <w:t> </w:t>
      </w:r>
      <w:r>
        <w:rPr>
          <w:color w:val="231F20"/>
          <w:w w:val="105"/>
        </w:rPr>
        <w:t>observaciones.</w:t>
      </w:r>
      <w:r>
        <w:rPr>
          <w:color w:val="231F20"/>
          <w:spacing w:val="-14"/>
          <w:w w:val="105"/>
        </w:rPr>
        <w:t> </w:t>
      </w:r>
      <w:r>
        <w:rPr>
          <w:color w:val="231F20"/>
          <w:w w:val="105"/>
        </w:rPr>
        <w:t>Un</w:t>
      </w:r>
      <w:r>
        <w:rPr>
          <w:color w:val="231F20"/>
          <w:spacing w:val="-9"/>
          <w:w w:val="105"/>
        </w:rPr>
        <w:t> </w:t>
      </w:r>
      <w:r>
        <w:rPr>
          <w:color w:val="231F20"/>
          <w:w w:val="105"/>
        </w:rPr>
        <w:t>resultado</w:t>
      </w:r>
      <w:r>
        <w:rPr>
          <w:color w:val="231F20"/>
          <w:spacing w:val="-9"/>
          <w:w w:val="105"/>
        </w:rPr>
        <w:t> </w:t>
      </w:r>
      <w:r>
        <w:rPr>
          <w:color w:val="231F20"/>
          <w:w w:val="105"/>
        </w:rPr>
        <w:t>inesperado fue</w:t>
      </w:r>
      <w:r>
        <w:rPr>
          <w:color w:val="231F20"/>
          <w:spacing w:val="-7"/>
          <w:w w:val="105"/>
        </w:rPr>
        <w:t> </w:t>
      </w:r>
      <w:r>
        <w:rPr>
          <w:color w:val="231F20"/>
          <w:w w:val="105"/>
        </w:rPr>
        <w:t>el</w:t>
      </w:r>
      <w:r>
        <w:rPr>
          <w:color w:val="231F20"/>
          <w:spacing w:val="-7"/>
          <w:w w:val="105"/>
        </w:rPr>
        <w:t> </w:t>
      </w:r>
      <w:r>
        <w:rPr>
          <w:color w:val="231F20"/>
          <w:w w:val="105"/>
        </w:rPr>
        <w:t>aumento</w:t>
      </w:r>
      <w:r>
        <w:rPr>
          <w:color w:val="231F20"/>
          <w:spacing w:val="-7"/>
          <w:w w:val="105"/>
        </w:rPr>
        <w:t> </w:t>
      </w:r>
      <w:r>
        <w:rPr>
          <w:color w:val="231F20"/>
          <w:w w:val="105"/>
        </w:rPr>
        <w:t>de</w:t>
      </w:r>
      <w:r>
        <w:rPr>
          <w:color w:val="231F20"/>
          <w:spacing w:val="-7"/>
          <w:w w:val="105"/>
        </w:rPr>
        <w:t> </w:t>
      </w:r>
      <w:r>
        <w:rPr>
          <w:color w:val="231F20"/>
          <w:w w:val="105"/>
        </w:rPr>
        <w:t>migrantes</w:t>
      </w:r>
      <w:r>
        <w:rPr>
          <w:color w:val="231F20"/>
          <w:spacing w:val="-7"/>
          <w:w w:val="105"/>
        </w:rPr>
        <w:t> </w:t>
      </w:r>
      <w:r>
        <w:rPr>
          <w:color w:val="231F20"/>
          <w:w w:val="105"/>
        </w:rPr>
        <w:t>circulares</w:t>
      </w:r>
      <w:r>
        <w:rPr>
          <w:color w:val="231F20"/>
          <w:spacing w:val="-7"/>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año</w:t>
      </w:r>
      <w:r>
        <w:rPr>
          <w:color w:val="231F20"/>
          <w:spacing w:val="-7"/>
          <w:w w:val="105"/>
        </w:rPr>
        <w:t> </w:t>
      </w:r>
      <w:r>
        <w:rPr>
          <w:color w:val="231F20"/>
          <w:w w:val="105"/>
        </w:rPr>
        <w:t>2010</w:t>
      </w:r>
      <w:r>
        <w:rPr>
          <w:color w:val="231F20"/>
          <w:spacing w:val="-7"/>
          <w:w w:val="105"/>
        </w:rPr>
        <w:t> </w:t>
      </w:r>
      <w:r>
        <w:rPr>
          <w:color w:val="231F20"/>
          <w:w w:val="105"/>
        </w:rPr>
        <w:t>cuando</w:t>
      </w:r>
      <w:r>
        <w:rPr>
          <w:color w:val="231F20"/>
          <w:spacing w:val="-7"/>
          <w:w w:val="105"/>
        </w:rPr>
        <w:t> </w:t>
      </w:r>
      <w:r>
        <w:rPr>
          <w:color w:val="231F20"/>
          <w:w w:val="105"/>
        </w:rPr>
        <w:t>llegó</w:t>
      </w:r>
      <w:r>
        <w:rPr>
          <w:color w:val="231F20"/>
          <w:spacing w:val="-7"/>
          <w:w w:val="105"/>
        </w:rPr>
        <w:t> </w:t>
      </w:r>
      <w:r>
        <w:rPr>
          <w:color w:val="231F20"/>
          <w:w w:val="105"/>
        </w:rPr>
        <w:t>a 22</w:t>
      </w:r>
      <w:r>
        <w:rPr>
          <w:color w:val="231F20"/>
          <w:spacing w:val="-7"/>
          <w:w w:val="105"/>
        </w:rPr>
        <w:t> </w:t>
      </w:r>
      <w:r>
        <w:rPr>
          <w:color w:val="231F20"/>
          <w:w w:val="105"/>
        </w:rPr>
        <w:t>236,</w:t>
      </w:r>
      <w:r>
        <w:rPr>
          <w:color w:val="231F20"/>
          <w:spacing w:val="-14"/>
          <w:w w:val="105"/>
        </w:rPr>
        <w:t> </w:t>
      </w:r>
      <w:r>
        <w:rPr>
          <w:color w:val="231F20"/>
          <w:w w:val="105"/>
        </w:rPr>
        <w:t>pues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año</w:t>
      </w:r>
      <w:r>
        <w:rPr>
          <w:color w:val="231F20"/>
          <w:spacing w:val="-7"/>
          <w:w w:val="105"/>
        </w:rPr>
        <w:t> </w:t>
      </w:r>
      <w:r>
        <w:rPr>
          <w:color w:val="231F20"/>
          <w:w w:val="105"/>
        </w:rPr>
        <w:t>2000</w:t>
      </w:r>
      <w:r>
        <w:rPr>
          <w:color w:val="231F20"/>
          <w:spacing w:val="-7"/>
          <w:w w:val="105"/>
        </w:rPr>
        <w:t> </w:t>
      </w:r>
      <w:r>
        <w:rPr>
          <w:color w:val="231F20"/>
          <w:w w:val="105"/>
        </w:rPr>
        <w:t>fue</w:t>
      </w:r>
      <w:r>
        <w:rPr>
          <w:color w:val="231F20"/>
          <w:spacing w:val="-7"/>
          <w:w w:val="105"/>
        </w:rPr>
        <w:t> </w:t>
      </w:r>
      <w:r>
        <w:rPr>
          <w:color w:val="231F20"/>
          <w:w w:val="105"/>
        </w:rPr>
        <w:t>de</w:t>
      </w:r>
      <w:r>
        <w:rPr>
          <w:color w:val="231F20"/>
          <w:spacing w:val="-7"/>
          <w:w w:val="105"/>
        </w:rPr>
        <w:t> </w:t>
      </w:r>
      <w:r>
        <w:rPr>
          <w:color w:val="231F20"/>
          <w:w w:val="105"/>
        </w:rPr>
        <w:t>sólo</w:t>
      </w:r>
      <w:r>
        <w:rPr>
          <w:color w:val="231F20"/>
          <w:spacing w:val="-7"/>
          <w:w w:val="105"/>
        </w:rPr>
        <w:t> </w:t>
      </w:r>
      <w:r>
        <w:rPr>
          <w:color w:val="231F20"/>
          <w:w w:val="105"/>
        </w:rPr>
        <w:t>16</w:t>
      </w:r>
      <w:r>
        <w:rPr>
          <w:color w:val="231F20"/>
          <w:spacing w:val="-7"/>
          <w:w w:val="105"/>
        </w:rPr>
        <w:t> </w:t>
      </w:r>
      <w:r>
        <w:rPr>
          <w:color w:val="231F20"/>
          <w:w w:val="105"/>
        </w:rPr>
        <w:t>174.</w:t>
      </w:r>
      <w:r>
        <w:rPr>
          <w:color w:val="231F20"/>
          <w:spacing w:val="-18"/>
          <w:w w:val="105"/>
        </w:rPr>
        <w:t> </w:t>
      </w:r>
      <w:r>
        <w:rPr>
          <w:color w:val="231F20"/>
          <w:w w:val="105"/>
        </w:rPr>
        <w:t>Al</w:t>
      </w:r>
      <w:r>
        <w:rPr>
          <w:color w:val="231F20"/>
          <w:spacing w:val="-7"/>
          <w:w w:val="105"/>
        </w:rPr>
        <w:t> </w:t>
      </w:r>
      <w:r>
        <w:rPr>
          <w:color w:val="231F20"/>
          <w:w w:val="105"/>
        </w:rPr>
        <w:t>mismo</w:t>
      </w:r>
      <w:r>
        <w:rPr>
          <w:color w:val="231F20"/>
          <w:spacing w:val="-7"/>
          <w:w w:val="105"/>
        </w:rPr>
        <w:t> </w:t>
      </w:r>
      <w:r>
        <w:rPr>
          <w:color w:val="231F20"/>
          <w:w w:val="105"/>
        </w:rPr>
        <w:t>tiempo,</w:t>
      </w:r>
      <w:r>
        <w:rPr>
          <w:color w:val="231F20"/>
          <w:spacing w:val="-14"/>
          <w:w w:val="105"/>
        </w:rPr>
        <w:t> </w:t>
      </w:r>
      <w:r>
        <w:rPr>
          <w:color w:val="231F20"/>
          <w:w w:val="105"/>
        </w:rPr>
        <w:t>dicho aumento no fue observado para las mujeres, esto señala una dinámica diferenciada en los tipos de desplazamientos de hombres y mujeres.</w:t>
      </w:r>
      <w:r>
        <w:rPr>
          <w:color w:val="231F20"/>
          <w:spacing w:val="-35"/>
          <w:w w:val="105"/>
        </w:rPr>
        <w:t> </w:t>
      </w:r>
      <w:r>
        <w:rPr>
          <w:color w:val="231F20"/>
          <w:w w:val="105"/>
        </w:rPr>
        <w:t>Al estudiar</w:t>
      </w:r>
      <w:r>
        <w:rPr>
          <w:color w:val="231F20"/>
          <w:spacing w:val="-6"/>
          <w:w w:val="105"/>
        </w:rPr>
        <w:t> </w:t>
      </w:r>
      <w:r>
        <w:rPr>
          <w:color w:val="231F20"/>
          <w:w w:val="105"/>
        </w:rPr>
        <w:t>las</w:t>
      </w:r>
      <w:r>
        <w:rPr>
          <w:color w:val="231F20"/>
          <w:spacing w:val="-6"/>
          <w:w w:val="105"/>
        </w:rPr>
        <w:t> </w:t>
      </w:r>
      <w:r>
        <w:rPr>
          <w:color w:val="231F20"/>
          <w:w w:val="105"/>
        </w:rPr>
        <w:t>proporciones</w:t>
      </w:r>
      <w:r>
        <w:rPr>
          <w:color w:val="231F20"/>
          <w:spacing w:val="-6"/>
          <w:w w:val="105"/>
        </w:rPr>
        <w:t> </w:t>
      </w:r>
      <w:r>
        <w:rPr>
          <w:color w:val="231F20"/>
          <w:w w:val="105"/>
        </w:rPr>
        <w:t>advertimos</w:t>
      </w:r>
      <w:r>
        <w:rPr>
          <w:color w:val="231F20"/>
          <w:spacing w:val="-6"/>
          <w:w w:val="105"/>
        </w:rPr>
        <w:t> </w:t>
      </w:r>
      <w:r>
        <w:rPr>
          <w:color w:val="231F20"/>
          <w:w w:val="105"/>
        </w:rPr>
        <w:t>nuevamente</w:t>
      </w:r>
      <w:r>
        <w:rPr>
          <w:color w:val="231F20"/>
          <w:spacing w:val="-6"/>
          <w:w w:val="105"/>
        </w:rPr>
        <w:t> </w:t>
      </w:r>
      <w:r>
        <w:rPr>
          <w:color w:val="231F20"/>
          <w:w w:val="105"/>
        </w:rPr>
        <w:t>el</w:t>
      </w:r>
      <w:r>
        <w:rPr>
          <w:color w:val="231F20"/>
          <w:spacing w:val="-6"/>
          <w:w w:val="105"/>
        </w:rPr>
        <w:t> </w:t>
      </w:r>
      <w:r>
        <w:rPr>
          <w:color w:val="231F20"/>
          <w:w w:val="105"/>
        </w:rPr>
        <w:t>papel</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muni- cipios</w:t>
      </w:r>
      <w:r>
        <w:rPr>
          <w:color w:val="231F20"/>
          <w:spacing w:val="-13"/>
          <w:w w:val="105"/>
        </w:rPr>
        <w:t> </w:t>
      </w:r>
      <w:r>
        <w:rPr>
          <w:color w:val="231F20"/>
          <w:w w:val="105"/>
        </w:rPr>
        <w:t>étnicos,</w:t>
      </w:r>
      <w:r>
        <w:rPr>
          <w:color w:val="231F20"/>
          <w:spacing w:val="-18"/>
          <w:w w:val="105"/>
        </w:rPr>
        <w:t> </w:t>
      </w:r>
      <w:r>
        <w:rPr>
          <w:color w:val="231F20"/>
          <w:w w:val="105"/>
        </w:rPr>
        <w:t>porque</w:t>
      </w:r>
      <w:r>
        <w:rPr>
          <w:color w:val="231F20"/>
          <w:spacing w:val="-13"/>
          <w:w w:val="105"/>
        </w:rPr>
        <w:t> </w:t>
      </w:r>
      <w:r>
        <w:rPr>
          <w:color w:val="231F20"/>
          <w:w w:val="105"/>
        </w:rPr>
        <w:t>resalta</w:t>
      </w:r>
      <w:r>
        <w:rPr>
          <w:color w:val="231F20"/>
          <w:spacing w:val="-13"/>
          <w:w w:val="105"/>
        </w:rPr>
        <w:t> </w:t>
      </w:r>
      <w:r>
        <w:rPr>
          <w:color w:val="231F20"/>
          <w:w w:val="105"/>
        </w:rPr>
        <w:t>con</w:t>
      </w:r>
      <w:r>
        <w:rPr>
          <w:color w:val="231F20"/>
          <w:spacing w:val="-13"/>
          <w:w w:val="105"/>
        </w:rPr>
        <w:t> </w:t>
      </w:r>
      <w:r>
        <w:rPr>
          <w:color w:val="231F20"/>
          <w:w w:val="105"/>
        </w:rPr>
        <w:t>una</w:t>
      </w:r>
      <w:r>
        <w:rPr>
          <w:color w:val="231F20"/>
          <w:spacing w:val="-13"/>
          <w:w w:val="105"/>
        </w:rPr>
        <w:t> </w:t>
      </w:r>
      <w:r>
        <w:rPr>
          <w:color w:val="231F20"/>
          <w:w w:val="105"/>
        </w:rPr>
        <w:t>intensidad</w:t>
      </w:r>
      <w:r>
        <w:rPr>
          <w:color w:val="231F20"/>
          <w:spacing w:val="-13"/>
          <w:w w:val="105"/>
        </w:rPr>
        <w:t> </w:t>
      </w:r>
      <w:r>
        <w:rPr>
          <w:color w:val="231F20"/>
          <w:w w:val="105"/>
        </w:rPr>
        <w:t>mayor</w:t>
      </w:r>
      <w:r>
        <w:rPr>
          <w:color w:val="231F20"/>
          <w:spacing w:val="-13"/>
          <w:w w:val="105"/>
        </w:rPr>
        <w:t> </w:t>
      </w:r>
      <w:r>
        <w:rPr>
          <w:color w:val="231F20"/>
          <w:w w:val="105"/>
        </w:rPr>
        <w:t>tanto</w:t>
      </w:r>
      <w:r>
        <w:rPr>
          <w:color w:val="231F20"/>
          <w:spacing w:val="-13"/>
          <w:w w:val="105"/>
        </w:rPr>
        <w:t> </w:t>
      </w:r>
      <w:r>
        <w:rPr>
          <w:color w:val="231F20"/>
          <w:w w:val="105"/>
        </w:rPr>
        <w:t>para</w:t>
      </w:r>
      <w:r>
        <w:rPr>
          <w:color w:val="231F20"/>
          <w:spacing w:val="-13"/>
          <w:w w:val="105"/>
        </w:rPr>
        <w:t> </w:t>
      </w:r>
      <w:r>
        <w:rPr>
          <w:color w:val="231F20"/>
          <w:w w:val="105"/>
        </w:rPr>
        <w:t>hom- bres</w:t>
      </w:r>
      <w:r>
        <w:rPr>
          <w:color w:val="231F20"/>
          <w:spacing w:val="-4"/>
          <w:w w:val="105"/>
        </w:rPr>
        <w:t> </w:t>
      </w:r>
      <w:r>
        <w:rPr>
          <w:color w:val="231F20"/>
          <w:w w:val="105"/>
        </w:rPr>
        <w:t>como</w:t>
      </w:r>
      <w:r>
        <w:rPr>
          <w:color w:val="231F20"/>
          <w:spacing w:val="-4"/>
          <w:w w:val="105"/>
        </w:rPr>
        <w:t> </w:t>
      </w:r>
      <w:r>
        <w:rPr>
          <w:color w:val="231F20"/>
          <w:w w:val="105"/>
        </w:rPr>
        <w:t>para</w:t>
      </w:r>
      <w:r>
        <w:rPr>
          <w:color w:val="231F20"/>
          <w:spacing w:val="-4"/>
          <w:w w:val="105"/>
        </w:rPr>
        <w:t> </w:t>
      </w:r>
      <w:r>
        <w:rPr>
          <w:color w:val="231F20"/>
          <w:w w:val="105"/>
        </w:rPr>
        <w:t>mujeres.</w:t>
      </w:r>
      <w:r>
        <w:rPr>
          <w:color w:val="231F20"/>
          <w:spacing w:val="-9"/>
          <w:w w:val="105"/>
        </w:rPr>
        <w:t> </w:t>
      </w:r>
      <w:r>
        <w:rPr>
          <w:color w:val="231F20"/>
          <w:w w:val="105"/>
        </w:rPr>
        <w:t>En</w:t>
      </w:r>
      <w:r>
        <w:rPr>
          <w:color w:val="231F20"/>
          <w:spacing w:val="-4"/>
          <w:w w:val="105"/>
        </w:rPr>
        <w:t> </w:t>
      </w:r>
      <w:r>
        <w:rPr>
          <w:color w:val="231F20"/>
          <w:w w:val="105"/>
        </w:rPr>
        <w:t>términos</w:t>
      </w:r>
      <w:r>
        <w:rPr>
          <w:color w:val="231F20"/>
          <w:spacing w:val="-4"/>
          <w:w w:val="105"/>
        </w:rPr>
        <w:t> </w:t>
      </w:r>
      <w:r>
        <w:rPr>
          <w:color w:val="231F20"/>
          <w:w w:val="105"/>
        </w:rPr>
        <w:t>de</w:t>
      </w:r>
      <w:r>
        <w:rPr>
          <w:color w:val="231F20"/>
          <w:spacing w:val="-4"/>
          <w:w w:val="105"/>
        </w:rPr>
        <w:t> </w:t>
      </w:r>
      <w:r>
        <w:rPr>
          <w:color w:val="231F20"/>
          <w:w w:val="105"/>
        </w:rPr>
        <w:t>edad,</w:t>
      </w:r>
      <w:r>
        <w:rPr>
          <w:color w:val="231F20"/>
          <w:spacing w:val="-9"/>
          <w:w w:val="105"/>
        </w:rPr>
        <w:t> </w:t>
      </w:r>
      <w:r>
        <w:rPr>
          <w:color w:val="231F20"/>
          <w:w w:val="105"/>
        </w:rPr>
        <w:t>los</w:t>
      </w:r>
      <w:r>
        <w:rPr>
          <w:color w:val="231F20"/>
          <w:spacing w:val="-4"/>
          <w:w w:val="105"/>
        </w:rPr>
        <w:t> </w:t>
      </w:r>
      <w:r>
        <w:rPr>
          <w:color w:val="231F20"/>
          <w:w w:val="105"/>
        </w:rPr>
        <w:t>migrantes</w:t>
      </w:r>
      <w:r>
        <w:rPr>
          <w:color w:val="231F20"/>
          <w:spacing w:val="-4"/>
          <w:w w:val="105"/>
        </w:rPr>
        <w:t> </w:t>
      </w:r>
      <w:r>
        <w:rPr>
          <w:color w:val="231F20"/>
          <w:w w:val="105"/>
        </w:rPr>
        <w:t>circulares son</w:t>
      </w:r>
      <w:r>
        <w:rPr>
          <w:color w:val="231F20"/>
          <w:spacing w:val="-6"/>
          <w:w w:val="105"/>
        </w:rPr>
        <w:t> </w:t>
      </w:r>
      <w:r>
        <w:rPr>
          <w:color w:val="231F20"/>
          <w:w w:val="105"/>
        </w:rPr>
        <w:t>poco</w:t>
      </w:r>
      <w:r>
        <w:rPr>
          <w:color w:val="231F20"/>
          <w:spacing w:val="-6"/>
          <w:w w:val="105"/>
        </w:rPr>
        <w:t> </w:t>
      </w:r>
      <w:r>
        <w:rPr>
          <w:color w:val="231F20"/>
          <w:w w:val="105"/>
        </w:rPr>
        <w:t>mayores</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emigrantes,</w:t>
      </w:r>
      <w:r>
        <w:rPr>
          <w:color w:val="231F20"/>
          <w:spacing w:val="-12"/>
          <w:w w:val="105"/>
        </w:rPr>
        <w:t> </w:t>
      </w:r>
      <w:r>
        <w:rPr>
          <w:color w:val="231F20"/>
          <w:w w:val="105"/>
        </w:rPr>
        <w:t>pero</w:t>
      </w:r>
      <w:r>
        <w:rPr>
          <w:color w:val="231F20"/>
          <w:spacing w:val="-6"/>
          <w:w w:val="105"/>
        </w:rPr>
        <w:t> </w:t>
      </w:r>
      <w:r>
        <w:rPr>
          <w:color w:val="231F20"/>
          <w:w w:val="105"/>
        </w:rPr>
        <w:t>más</w:t>
      </w:r>
      <w:r>
        <w:rPr>
          <w:color w:val="231F20"/>
          <w:spacing w:val="-6"/>
          <w:w w:val="105"/>
        </w:rPr>
        <w:t> </w:t>
      </w:r>
      <w:r>
        <w:rPr>
          <w:color w:val="231F20"/>
          <w:w w:val="105"/>
        </w:rPr>
        <w:t>jóvenes</w:t>
      </w:r>
      <w:r>
        <w:rPr>
          <w:color w:val="231F20"/>
          <w:spacing w:val="-6"/>
          <w:w w:val="105"/>
        </w:rPr>
        <w:t> </w:t>
      </w:r>
      <w:r>
        <w:rPr>
          <w:color w:val="231F20"/>
          <w:w w:val="105"/>
        </w:rPr>
        <w:t>cuando</w:t>
      </w:r>
      <w:r>
        <w:rPr>
          <w:color w:val="231F20"/>
          <w:spacing w:val="-6"/>
          <w:w w:val="105"/>
        </w:rPr>
        <w:t> </w:t>
      </w:r>
      <w:r>
        <w:rPr>
          <w:color w:val="231F20"/>
          <w:w w:val="105"/>
        </w:rPr>
        <w:t>se</w:t>
      </w:r>
      <w:r>
        <w:rPr>
          <w:color w:val="231F20"/>
          <w:spacing w:val="-6"/>
          <w:w w:val="105"/>
        </w:rPr>
        <w:t> </w:t>
      </w:r>
      <w:r>
        <w:rPr>
          <w:color w:val="231F20"/>
          <w:w w:val="105"/>
        </w:rPr>
        <w:t>les compara</w:t>
      </w:r>
      <w:r>
        <w:rPr>
          <w:color w:val="231F20"/>
          <w:spacing w:val="-11"/>
          <w:w w:val="105"/>
        </w:rPr>
        <w:t> </w:t>
      </w:r>
      <w:r>
        <w:rPr>
          <w:color w:val="231F20"/>
          <w:w w:val="105"/>
        </w:rPr>
        <w:t>con</w:t>
      </w:r>
      <w:r>
        <w:rPr>
          <w:color w:val="231F20"/>
          <w:spacing w:val="-11"/>
          <w:w w:val="105"/>
        </w:rPr>
        <w:t> </w:t>
      </w:r>
      <w:r>
        <w:rPr>
          <w:color w:val="231F20"/>
          <w:w w:val="105"/>
        </w:rPr>
        <w:t>los</w:t>
      </w:r>
      <w:r>
        <w:rPr>
          <w:color w:val="231F20"/>
          <w:spacing w:val="-11"/>
          <w:w w:val="105"/>
        </w:rPr>
        <w:t> </w:t>
      </w:r>
      <w:r>
        <w:rPr>
          <w:color w:val="231F20"/>
          <w:w w:val="105"/>
        </w:rPr>
        <w:t>migrantes</w:t>
      </w:r>
      <w:r>
        <w:rPr>
          <w:color w:val="231F20"/>
          <w:spacing w:val="-11"/>
          <w:w w:val="105"/>
        </w:rPr>
        <w:t> </w:t>
      </w:r>
      <w:r>
        <w:rPr>
          <w:color w:val="231F20"/>
          <w:w w:val="105"/>
        </w:rPr>
        <w:t>de</w:t>
      </w:r>
      <w:r>
        <w:rPr>
          <w:color w:val="231F20"/>
          <w:spacing w:val="-11"/>
          <w:w w:val="105"/>
        </w:rPr>
        <w:t> </w:t>
      </w:r>
      <w:r>
        <w:rPr>
          <w:color w:val="231F20"/>
          <w:w w:val="105"/>
        </w:rPr>
        <w:t>retorno.</w:t>
      </w:r>
    </w:p>
    <w:p>
      <w:pPr>
        <w:pStyle w:val="BodyText"/>
        <w:spacing w:line="261" w:lineRule="auto" w:before="1"/>
        <w:ind w:left="1723" w:right="1834" w:firstLine="567"/>
        <w:jc w:val="both"/>
      </w:pPr>
      <w:r>
        <w:rPr>
          <w:color w:val="231F20"/>
          <w:w w:val="105"/>
        </w:rPr>
        <w:t>El</w:t>
      </w:r>
      <w:r>
        <w:rPr>
          <w:color w:val="231F20"/>
          <w:spacing w:val="-18"/>
          <w:w w:val="105"/>
        </w:rPr>
        <w:t> </w:t>
      </w:r>
      <w:r>
        <w:rPr>
          <w:color w:val="231F20"/>
          <w:w w:val="105"/>
        </w:rPr>
        <w:t>cuadro</w:t>
      </w:r>
      <w:r>
        <w:rPr>
          <w:color w:val="231F20"/>
          <w:spacing w:val="-18"/>
          <w:w w:val="105"/>
        </w:rPr>
        <w:t> </w:t>
      </w:r>
      <w:r>
        <w:rPr>
          <w:color w:val="231F20"/>
          <w:w w:val="105"/>
        </w:rPr>
        <w:t>4</w:t>
      </w:r>
      <w:r>
        <w:rPr>
          <w:color w:val="231F20"/>
          <w:spacing w:val="-18"/>
          <w:w w:val="105"/>
        </w:rPr>
        <w:t> </w:t>
      </w:r>
      <w:r>
        <w:rPr>
          <w:color w:val="231F20"/>
          <w:w w:val="105"/>
        </w:rPr>
        <w:t>muestra,</w:t>
      </w:r>
      <w:r>
        <w:rPr>
          <w:color w:val="231F20"/>
          <w:spacing w:val="-25"/>
          <w:w w:val="105"/>
        </w:rPr>
        <w:t> </w:t>
      </w:r>
      <w:r>
        <w:rPr>
          <w:color w:val="231F20"/>
          <w:w w:val="105"/>
        </w:rPr>
        <w:t>para</w:t>
      </w:r>
      <w:r>
        <w:rPr>
          <w:color w:val="231F20"/>
          <w:spacing w:val="-18"/>
          <w:w w:val="105"/>
        </w:rPr>
        <w:t> </w:t>
      </w:r>
      <w:r>
        <w:rPr>
          <w:color w:val="231F20"/>
          <w:w w:val="105"/>
        </w:rPr>
        <w:t>cada</w:t>
      </w:r>
      <w:r>
        <w:rPr>
          <w:color w:val="231F20"/>
          <w:spacing w:val="-18"/>
          <w:w w:val="105"/>
        </w:rPr>
        <w:t> </w:t>
      </w:r>
      <w:r>
        <w:rPr>
          <w:color w:val="231F20"/>
          <w:w w:val="105"/>
        </w:rPr>
        <w:t>tipo</w:t>
      </w:r>
      <w:r>
        <w:rPr>
          <w:color w:val="231F20"/>
          <w:spacing w:val="-18"/>
          <w:w w:val="105"/>
        </w:rPr>
        <w:t> </w:t>
      </w:r>
      <w:r>
        <w:rPr>
          <w:color w:val="231F20"/>
          <w:w w:val="105"/>
        </w:rPr>
        <w:t>de</w:t>
      </w:r>
      <w:r>
        <w:rPr>
          <w:color w:val="231F20"/>
          <w:spacing w:val="-18"/>
          <w:w w:val="105"/>
        </w:rPr>
        <w:t> </w:t>
      </w:r>
      <w:r>
        <w:rPr>
          <w:color w:val="231F20"/>
          <w:w w:val="105"/>
        </w:rPr>
        <w:t>municipio,</w:t>
      </w:r>
      <w:r>
        <w:rPr>
          <w:color w:val="231F20"/>
          <w:spacing w:val="-25"/>
          <w:w w:val="105"/>
        </w:rPr>
        <w:t> </w:t>
      </w:r>
      <w:r>
        <w:rPr>
          <w:color w:val="231F20"/>
          <w:w w:val="105"/>
        </w:rPr>
        <w:t>la</w:t>
      </w:r>
      <w:r>
        <w:rPr>
          <w:color w:val="231F20"/>
          <w:spacing w:val="-18"/>
          <w:w w:val="105"/>
        </w:rPr>
        <w:t> </w:t>
      </w:r>
      <w:r>
        <w:rPr>
          <w:color w:val="231F20"/>
          <w:w w:val="105"/>
        </w:rPr>
        <w:t>distribución</w:t>
      </w:r>
      <w:r>
        <w:rPr>
          <w:color w:val="231F20"/>
          <w:spacing w:val="-18"/>
          <w:w w:val="105"/>
        </w:rPr>
        <w:t> </w:t>
      </w:r>
      <w:r>
        <w:rPr>
          <w:color w:val="231F20"/>
          <w:w w:val="105"/>
        </w:rPr>
        <w:t>de hombres</w:t>
      </w:r>
      <w:r>
        <w:rPr>
          <w:color w:val="231F20"/>
          <w:spacing w:val="-18"/>
          <w:w w:val="105"/>
        </w:rPr>
        <w:t> </w:t>
      </w:r>
      <w:r>
        <w:rPr>
          <w:color w:val="231F20"/>
          <w:w w:val="105"/>
        </w:rPr>
        <w:t>y</w:t>
      </w:r>
      <w:r>
        <w:rPr>
          <w:color w:val="231F20"/>
          <w:spacing w:val="-18"/>
          <w:w w:val="105"/>
        </w:rPr>
        <w:t> </w:t>
      </w:r>
      <w:r>
        <w:rPr>
          <w:color w:val="231F20"/>
          <w:w w:val="105"/>
        </w:rPr>
        <w:t>mujeres</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periodos</w:t>
      </w:r>
      <w:r>
        <w:rPr>
          <w:color w:val="231F20"/>
          <w:spacing w:val="-18"/>
          <w:w w:val="105"/>
        </w:rPr>
        <w:t> </w:t>
      </w:r>
      <w:r>
        <w:rPr>
          <w:color w:val="231F20"/>
          <w:w w:val="105"/>
        </w:rPr>
        <w:t>analizados</w:t>
      </w:r>
      <w:r>
        <w:rPr>
          <w:color w:val="231F20"/>
          <w:spacing w:val="-18"/>
          <w:w w:val="105"/>
        </w:rPr>
        <w:t> </w:t>
      </w:r>
      <w:r>
        <w:rPr>
          <w:color w:val="231F20"/>
          <w:w w:val="105"/>
        </w:rPr>
        <w:t>y</w:t>
      </w:r>
      <w:r>
        <w:rPr>
          <w:color w:val="231F20"/>
          <w:spacing w:val="-18"/>
          <w:w w:val="105"/>
        </w:rPr>
        <w:t> </w:t>
      </w:r>
      <w:r>
        <w:rPr>
          <w:color w:val="231F20"/>
          <w:w w:val="105"/>
        </w:rPr>
        <w:t>por</w:t>
      </w:r>
      <w:r>
        <w:rPr>
          <w:color w:val="231F20"/>
          <w:spacing w:val="-18"/>
          <w:w w:val="105"/>
        </w:rPr>
        <w:t> </w:t>
      </w:r>
      <w:r>
        <w:rPr>
          <w:color w:val="231F20"/>
          <w:w w:val="105"/>
        </w:rPr>
        <w:t>tipo</w:t>
      </w:r>
      <w:r>
        <w:rPr>
          <w:color w:val="231F20"/>
          <w:spacing w:val="-18"/>
          <w:w w:val="105"/>
        </w:rPr>
        <w:t> </w:t>
      </w:r>
      <w:r>
        <w:rPr>
          <w:color w:val="231F20"/>
          <w:w w:val="105"/>
        </w:rPr>
        <w:t>de</w:t>
      </w:r>
      <w:r>
        <w:rPr>
          <w:color w:val="231F20"/>
          <w:spacing w:val="-18"/>
          <w:w w:val="105"/>
        </w:rPr>
        <w:t> </w:t>
      </w:r>
      <w:r>
        <w:rPr>
          <w:color w:val="231F20"/>
          <w:w w:val="105"/>
        </w:rPr>
        <w:t>migración</w:t>
      </w:r>
      <w:r>
        <w:rPr>
          <w:color w:val="231F20"/>
          <w:spacing w:val="-18"/>
          <w:w w:val="105"/>
        </w:rPr>
        <w:t> </w:t>
      </w:r>
      <w:r>
        <w:rPr>
          <w:color w:val="231F20"/>
          <w:w w:val="105"/>
        </w:rPr>
        <w:t>en estudio.</w:t>
      </w:r>
      <w:r>
        <w:rPr>
          <w:color w:val="231F20"/>
          <w:spacing w:val="-29"/>
          <w:w w:val="105"/>
        </w:rPr>
        <w:t> </w:t>
      </w:r>
      <w:r>
        <w:rPr>
          <w:color w:val="231F20"/>
          <w:w w:val="105"/>
        </w:rPr>
        <w:t>La</w:t>
      </w:r>
      <w:r>
        <w:rPr>
          <w:color w:val="231F20"/>
          <w:spacing w:val="-24"/>
          <w:w w:val="105"/>
        </w:rPr>
        <w:t> </w:t>
      </w:r>
      <w:r>
        <w:rPr>
          <w:color w:val="231F20"/>
          <w:w w:val="105"/>
        </w:rPr>
        <w:t>presencia</w:t>
      </w:r>
      <w:r>
        <w:rPr>
          <w:color w:val="231F20"/>
          <w:spacing w:val="-24"/>
          <w:w w:val="105"/>
        </w:rPr>
        <w:t> </w:t>
      </w:r>
      <w:r>
        <w:rPr>
          <w:color w:val="231F20"/>
          <w:w w:val="105"/>
        </w:rPr>
        <w:t>relativa</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mujeres</w:t>
      </w:r>
      <w:r>
        <w:rPr>
          <w:color w:val="231F20"/>
          <w:spacing w:val="-24"/>
          <w:w w:val="105"/>
        </w:rPr>
        <w:t> </w:t>
      </w:r>
      <w:r>
        <w:rPr>
          <w:color w:val="231F20"/>
          <w:w w:val="105"/>
        </w:rPr>
        <w:t>entre</w:t>
      </w:r>
      <w:r>
        <w:rPr>
          <w:color w:val="231F20"/>
          <w:spacing w:val="-24"/>
          <w:w w:val="105"/>
        </w:rPr>
        <w:t> </w:t>
      </w:r>
      <w:r>
        <w:rPr>
          <w:color w:val="231F20"/>
          <w:w w:val="105"/>
        </w:rPr>
        <w:t>los</w:t>
      </w:r>
      <w:r>
        <w:rPr>
          <w:color w:val="231F20"/>
          <w:spacing w:val="-24"/>
          <w:w w:val="105"/>
        </w:rPr>
        <w:t> </w:t>
      </w:r>
      <w:r>
        <w:rPr>
          <w:color w:val="231F20"/>
          <w:w w:val="105"/>
        </w:rPr>
        <w:t>migrantes</w:t>
      </w:r>
      <w:r>
        <w:rPr>
          <w:color w:val="231F20"/>
          <w:spacing w:val="-24"/>
          <w:w w:val="105"/>
        </w:rPr>
        <w:t> </w:t>
      </w:r>
      <w:r>
        <w:rPr>
          <w:color w:val="231F20"/>
          <w:w w:val="105"/>
        </w:rPr>
        <w:t>de</w:t>
      </w:r>
      <w:r>
        <w:rPr>
          <w:color w:val="231F20"/>
          <w:spacing w:val="-24"/>
          <w:w w:val="105"/>
        </w:rPr>
        <w:t> </w:t>
      </w:r>
      <w:r>
        <w:rPr>
          <w:color w:val="231F20"/>
          <w:w w:val="105"/>
        </w:rPr>
        <w:t>retor- no se redujo entre los años 2000 y 2010 en todos los municipios. </w:t>
      </w:r>
      <w:r>
        <w:rPr>
          <w:color w:val="231F20"/>
          <w:spacing w:val="-6"/>
          <w:w w:val="105"/>
        </w:rPr>
        <w:t>Por</w:t>
      </w:r>
      <w:r>
        <w:rPr>
          <w:color w:val="231F20"/>
          <w:spacing w:val="-30"/>
          <w:w w:val="105"/>
        </w:rPr>
        <w:t> </w:t>
      </w:r>
      <w:r>
        <w:rPr>
          <w:color w:val="231F20"/>
          <w:w w:val="105"/>
        </w:rPr>
        <w:t>el contrario</w:t>
      </w:r>
      <w:r>
        <w:rPr>
          <w:color w:val="231F20"/>
          <w:spacing w:val="-15"/>
          <w:w w:val="105"/>
        </w:rPr>
        <w:t> </w:t>
      </w:r>
      <w:r>
        <w:rPr>
          <w:color w:val="231F20"/>
          <w:w w:val="105"/>
        </w:rPr>
        <w:t>entre</w:t>
      </w:r>
      <w:r>
        <w:rPr>
          <w:color w:val="231F20"/>
          <w:spacing w:val="-15"/>
          <w:w w:val="105"/>
        </w:rPr>
        <w:t> </w:t>
      </w:r>
      <w:r>
        <w:rPr>
          <w:color w:val="231F20"/>
          <w:w w:val="105"/>
        </w:rPr>
        <w:t>migrantes</w:t>
      </w:r>
      <w:r>
        <w:rPr>
          <w:color w:val="231F20"/>
          <w:spacing w:val="-15"/>
          <w:w w:val="105"/>
        </w:rPr>
        <w:t> </w:t>
      </w:r>
      <w:r>
        <w:rPr>
          <w:color w:val="231F20"/>
          <w:w w:val="105"/>
        </w:rPr>
        <w:t>circulares</w:t>
      </w:r>
      <w:r>
        <w:rPr>
          <w:color w:val="231F20"/>
          <w:spacing w:val="-15"/>
          <w:w w:val="105"/>
        </w:rPr>
        <w:t> </w:t>
      </w:r>
      <w:r>
        <w:rPr>
          <w:color w:val="231F20"/>
          <w:w w:val="105"/>
        </w:rPr>
        <w:t>y</w:t>
      </w:r>
      <w:r>
        <w:rPr>
          <w:color w:val="231F20"/>
          <w:spacing w:val="-15"/>
          <w:w w:val="105"/>
        </w:rPr>
        <w:t> </w:t>
      </w:r>
      <w:r>
        <w:rPr>
          <w:color w:val="231F20"/>
          <w:w w:val="105"/>
        </w:rPr>
        <w:t>emigrantes</w:t>
      </w:r>
      <w:r>
        <w:rPr>
          <w:color w:val="231F20"/>
          <w:spacing w:val="-15"/>
          <w:w w:val="105"/>
        </w:rPr>
        <w:t> </w:t>
      </w:r>
      <w:r>
        <w:rPr>
          <w:color w:val="231F20"/>
          <w:w w:val="105"/>
        </w:rPr>
        <w:t>la</w:t>
      </w:r>
      <w:r>
        <w:rPr>
          <w:color w:val="231F20"/>
          <w:spacing w:val="-15"/>
          <w:w w:val="105"/>
        </w:rPr>
        <w:t> </w:t>
      </w:r>
      <w:r>
        <w:rPr>
          <w:color w:val="231F20"/>
          <w:w w:val="105"/>
        </w:rPr>
        <w:t>dinámica</w:t>
      </w:r>
      <w:r>
        <w:rPr>
          <w:color w:val="231F20"/>
          <w:spacing w:val="-15"/>
          <w:w w:val="105"/>
        </w:rPr>
        <w:t> </w:t>
      </w:r>
      <w:r>
        <w:rPr>
          <w:color w:val="231F20"/>
          <w:w w:val="105"/>
        </w:rPr>
        <w:t>es</w:t>
      </w:r>
      <w:r>
        <w:rPr>
          <w:color w:val="231F20"/>
          <w:spacing w:val="-15"/>
          <w:w w:val="105"/>
        </w:rPr>
        <w:t> </w:t>
      </w:r>
      <w:r>
        <w:rPr>
          <w:color w:val="231F20"/>
          <w:w w:val="105"/>
        </w:rPr>
        <w:t>diferen-</w:t>
      </w:r>
    </w:p>
    <w:p>
      <w:pPr>
        <w:pStyle w:val="BodyText"/>
        <w:rPr>
          <w:sz w:val="20"/>
        </w:rPr>
      </w:pPr>
    </w:p>
    <w:p>
      <w:pPr>
        <w:pStyle w:val="BodyText"/>
        <w:rPr>
          <w:sz w:val="20"/>
        </w:rPr>
      </w:pPr>
    </w:p>
    <w:p>
      <w:pPr>
        <w:pStyle w:val="BodyText"/>
        <w:spacing w:before="2"/>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56184" from="131.551193pt,.203715pt" to="131.551193pt,36.006114pt" stroked="true" strokeweight=".35pt" strokecolor="#231f20">
            <w10:wrap type="none"/>
          </v:line>
        </w:pict>
      </w:r>
      <w:r>
        <w:rPr/>
        <w:pict>
          <v:line style="position:absolute;mso-position-horizontal-relative:page;mso-position-vertical-relative:paragraph;z-index:-456112" from="15pt,36.005917pt" to="0pt,36.005917pt" stroked="true" strokeweight=".25pt" strokecolor="#000000">
            <w10:wrap type="none"/>
          </v:line>
        </w:pict>
      </w:r>
      <w:r>
        <w:rPr/>
        <w:pict>
          <v:line style="position:absolute;mso-position-horizontal-relative:page;mso-position-vertical-relative:paragraph;z-index:34096" from="508.890015pt,36.005917pt" to="523.890015pt,36.005917pt" stroked="true" strokeweight=".25pt" strokecolor="#000000">
            <w10:wrap type="none"/>
          </v:line>
        </w:pict>
      </w:r>
      <w:r>
        <w:rPr>
          <w:rFonts w:ascii="Arial" w:hAnsi="Arial"/>
          <w:color w:val="414042"/>
          <w:position w:val="-5"/>
          <w:sz w:val="20"/>
        </w:rPr>
        <w:t>278</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4120" from="405.061005pt,-27.904295pt" to="405.061005pt,6.961579pt" stroked="true" strokeweight=".35pt" strokecolor="#231f20">
            <w10:wrap type="none"/>
          </v:line>
        </w:pict>
      </w:r>
      <w:r>
        <w:rPr/>
        <w:pict>
          <v:line style="position:absolute;mso-position-horizontal-relative:page;mso-position-vertical-relative:paragraph;z-index:34144" from="15pt,-27.90452pt" to="0pt,-27.90452pt" stroked="true" strokeweight=".25pt" strokecolor="#000000">
            <w10:wrap type="none"/>
          </v:line>
        </w:pict>
      </w:r>
      <w:r>
        <w:rPr/>
        <w:pict>
          <v:line style="position:absolute;mso-position-horizontal-relative:page;mso-position-vertical-relative:paragraph;z-index:34168"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279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21"/>
        <w:jc w:val="both"/>
      </w:pPr>
      <w:r>
        <w:rPr>
          <w:color w:val="231F20"/>
          <w:w w:val="105"/>
        </w:rPr>
        <w:t>ciada</w:t>
      </w:r>
      <w:r>
        <w:rPr>
          <w:color w:val="231F20"/>
          <w:spacing w:val="-7"/>
          <w:w w:val="105"/>
        </w:rPr>
        <w:t> </w:t>
      </w:r>
      <w:r>
        <w:rPr>
          <w:color w:val="231F20"/>
          <w:w w:val="105"/>
        </w:rPr>
        <w:t>dependiendo</w:t>
      </w:r>
      <w:r>
        <w:rPr>
          <w:color w:val="231F20"/>
          <w:spacing w:val="-7"/>
          <w:w w:val="105"/>
        </w:rPr>
        <w:t> </w:t>
      </w:r>
      <w:r>
        <w:rPr>
          <w:color w:val="231F20"/>
          <w:w w:val="105"/>
        </w:rPr>
        <w:t>el</w:t>
      </w:r>
      <w:r>
        <w:rPr>
          <w:color w:val="231F20"/>
          <w:spacing w:val="-7"/>
          <w:w w:val="105"/>
        </w:rPr>
        <w:t> </w:t>
      </w:r>
      <w:r>
        <w:rPr>
          <w:color w:val="231F20"/>
          <w:w w:val="105"/>
        </w:rPr>
        <w:t>tipo</w:t>
      </w:r>
      <w:r>
        <w:rPr>
          <w:color w:val="231F20"/>
          <w:spacing w:val="-7"/>
          <w:w w:val="105"/>
        </w:rPr>
        <w:t> </w:t>
      </w:r>
      <w:r>
        <w:rPr>
          <w:color w:val="231F20"/>
          <w:w w:val="105"/>
        </w:rPr>
        <w:t>de</w:t>
      </w:r>
      <w:r>
        <w:rPr>
          <w:color w:val="231F20"/>
          <w:spacing w:val="-7"/>
          <w:w w:val="105"/>
        </w:rPr>
        <w:t> </w:t>
      </w:r>
      <w:r>
        <w:rPr>
          <w:color w:val="231F20"/>
          <w:w w:val="105"/>
        </w:rPr>
        <w:t>municipio.</w:t>
      </w:r>
      <w:r>
        <w:rPr>
          <w:color w:val="231F20"/>
          <w:spacing w:val="-13"/>
          <w:w w:val="105"/>
        </w:rPr>
        <w:t> </w:t>
      </w:r>
      <w:r>
        <w:rPr>
          <w:color w:val="231F20"/>
          <w:w w:val="105"/>
        </w:rPr>
        <w:t>Entre</w:t>
      </w:r>
      <w:r>
        <w:rPr>
          <w:color w:val="231F20"/>
          <w:spacing w:val="-7"/>
          <w:w w:val="105"/>
        </w:rPr>
        <w:t> </w:t>
      </w:r>
      <w:r>
        <w:rPr>
          <w:color w:val="231F20"/>
          <w:w w:val="105"/>
        </w:rPr>
        <w:t>los</w:t>
      </w:r>
      <w:r>
        <w:rPr>
          <w:color w:val="231F20"/>
          <w:spacing w:val="-7"/>
          <w:w w:val="105"/>
        </w:rPr>
        <w:t> </w:t>
      </w:r>
      <w:r>
        <w:rPr>
          <w:color w:val="231F20"/>
          <w:w w:val="105"/>
        </w:rPr>
        <w:t>emigrantes</w:t>
      </w:r>
      <w:r>
        <w:rPr>
          <w:color w:val="231F20"/>
          <w:spacing w:val="-7"/>
          <w:w w:val="105"/>
        </w:rPr>
        <w:t> </w:t>
      </w:r>
      <w:r>
        <w:rPr>
          <w:color w:val="231F20"/>
          <w:w w:val="105"/>
        </w:rPr>
        <w:t>a</w:t>
      </w:r>
      <w:r>
        <w:rPr>
          <w:color w:val="231F20"/>
          <w:spacing w:val="-7"/>
          <w:w w:val="105"/>
        </w:rPr>
        <w:t> </w:t>
      </w:r>
      <w:r>
        <w:rPr>
          <w:color w:val="231F20"/>
          <w:w w:val="105"/>
        </w:rPr>
        <w:t>Estados Unidos,</w:t>
      </w:r>
      <w:r>
        <w:rPr>
          <w:color w:val="231F20"/>
          <w:spacing w:val="-17"/>
          <w:w w:val="105"/>
        </w:rPr>
        <w:t> </w:t>
      </w:r>
      <w:r>
        <w:rPr>
          <w:color w:val="231F20"/>
          <w:w w:val="105"/>
        </w:rPr>
        <w:t>las</w:t>
      </w:r>
      <w:r>
        <w:rPr>
          <w:color w:val="231F20"/>
          <w:spacing w:val="-12"/>
          <w:w w:val="105"/>
        </w:rPr>
        <w:t> </w:t>
      </w:r>
      <w:r>
        <w:rPr>
          <w:color w:val="231F20"/>
          <w:w w:val="105"/>
        </w:rPr>
        <w:t>mujeres</w:t>
      </w:r>
      <w:r>
        <w:rPr>
          <w:color w:val="231F20"/>
          <w:spacing w:val="-12"/>
          <w:w w:val="105"/>
        </w:rPr>
        <w:t> </w:t>
      </w:r>
      <w:r>
        <w:rPr>
          <w:color w:val="231F20"/>
          <w:w w:val="105"/>
        </w:rPr>
        <w:t>representaron</w:t>
      </w:r>
      <w:r>
        <w:rPr>
          <w:color w:val="231F20"/>
          <w:spacing w:val="-12"/>
          <w:w w:val="105"/>
        </w:rPr>
        <w:t> </w:t>
      </w:r>
      <w:r>
        <w:rPr>
          <w:color w:val="231F20"/>
          <w:w w:val="105"/>
        </w:rPr>
        <w:t>mayores</w:t>
      </w:r>
      <w:r>
        <w:rPr>
          <w:color w:val="231F20"/>
          <w:spacing w:val="-12"/>
          <w:w w:val="105"/>
        </w:rPr>
        <w:t> </w:t>
      </w:r>
      <w:r>
        <w:rPr>
          <w:color w:val="231F20"/>
          <w:w w:val="105"/>
        </w:rPr>
        <w:t>porcentajes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población en</w:t>
      </w:r>
      <w:r>
        <w:rPr>
          <w:color w:val="231F20"/>
          <w:spacing w:val="-9"/>
          <w:w w:val="105"/>
        </w:rPr>
        <w:t> </w:t>
      </w:r>
      <w:r>
        <w:rPr>
          <w:color w:val="231F20"/>
          <w:w w:val="105"/>
        </w:rPr>
        <w:t>municipios</w:t>
      </w:r>
      <w:r>
        <w:rPr>
          <w:color w:val="231F20"/>
          <w:spacing w:val="-9"/>
          <w:w w:val="105"/>
        </w:rPr>
        <w:t> </w:t>
      </w:r>
      <w:r>
        <w:rPr>
          <w:color w:val="231F20"/>
          <w:w w:val="105"/>
        </w:rPr>
        <w:t>étnicos</w:t>
      </w:r>
      <w:r>
        <w:rPr>
          <w:color w:val="231F20"/>
          <w:spacing w:val="-9"/>
          <w:w w:val="105"/>
        </w:rPr>
        <w:t> </w:t>
      </w:r>
      <w:r>
        <w:rPr>
          <w:color w:val="231F20"/>
          <w:w w:val="105"/>
        </w:rPr>
        <w:t>y</w:t>
      </w:r>
      <w:r>
        <w:rPr>
          <w:color w:val="231F20"/>
          <w:spacing w:val="-9"/>
          <w:w w:val="105"/>
        </w:rPr>
        <w:t> </w:t>
      </w:r>
      <w:r>
        <w:rPr>
          <w:color w:val="231F20"/>
          <w:w w:val="105"/>
        </w:rPr>
        <w:t>tradicionales,</w:t>
      </w:r>
      <w:r>
        <w:rPr>
          <w:color w:val="231F20"/>
          <w:spacing w:val="-13"/>
          <w:w w:val="105"/>
        </w:rPr>
        <w:t> </w:t>
      </w:r>
      <w:r>
        <w:rPr>
          <w:color w:val="231F20"/>
          <w:w w:val="105"/>
        </w:rPr>
        <w:t>mientras</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presencia</w:t>
      </w:r>
      <w:r>
        <w:rPr>
          <w:color w:val="231F20"/>
          <w:spacing w:val="-9"/>
          <w:w w:val="105"/>
        </w:rPr>
        <w:t> </w:t>
      </w:r>
      <w:r>
        <w:rPr>
          <w:color w:val="231F20"/>
          <w:w w:val="105"/>
        </w:rPr>
        <w:t>relativa disminuyó en los municipios emergentes. Un patrón similar se observa entre los migrantes circulares, donde una de cada cuatro personas en este flujo era mujer en el año 2000,</w:t>
      </w:r>
      <w:r>
        <w:rPr>
          <w:color w:val="231F20"/>
          <w:spacing w:val="-41"/>
          <w:w w:val="105"/>
        </w:rPr>
        <w:t> </w:t>
      </w:r>
      <w:r>
        <w:rPr>
          <w:color w:val="231F20"/>
          <w:w w:val="105"/>
        </w:rPr>
        <w:t>pero en 2010 representaron menos de</w:t>
      </w:r>
      <w:r>
        <w:rPr>
          <w:color w:val="231F20"/>
          <w:spacing w:val="-13"/>
          <w:w w:val="105"/>
        </w:rPr>
        <w:t> </w:t>
      </w:r>
      <w:r>
        <w:rPr>
          <w:color w:val="231F20"/>
          <w:w w:val="105"/>
        </w:rPr>
        <w:t>una</w:t>
      </w:r>
      <w:r>
        <w:rPr>
          <w:color w:val="231F20"/>
          <w:spacing w:val="-13"/>
          <w:w w:val="105"/>
        </w:rPr>
        <w:t> </w:t>
      </w:r>
      <w:r>
        <w:rPr>
          <w:color w:val="231F20"/>
          <w:w w:val="105"/>
        </w:rPr>
        <w:t>de</w:t>
      </w:r>
      <w:r>
        <w:rPr>
          <w:color w:val="231F20"/>
          <w:spacing w:val="-13"/>
          <w:w w:val="105"/>
        </w:rPr>
        <w:t> </w:t>
      </w:r>
      <w:r>
        <w:rPr>
          <w:color w:val="231F20"/>
          <w:w w:val="105"/>
        </w:rPr>
        <w:t>cada</w:t>
      </w:r>
      <w:r>
        <w:rPr>
          <w:color w:val="231F20"/>
          <w:spacing w:val="-13"/>
          <w:w w:val="105"/>
        </w:rPr>
        <w:t> </w:t>
      </w:r>
      <w:r>
        <w:rPr>
          <w:color w:val="231F20"/>
          <w:w w:val="105"/>
        </w:rPr>
        <w:t>cinco.</w:t>
      </w:r>
    </w:p>
    <w:p>
      <w:pPr>
        <w:pStyle w:val="BodyText"/>
        <w:spacing w:before="4"/>
      </w:pPr>
    </w:p>
    <w:p>
      <w:pPr>
        <w:spacing w:before="0"/>
        <w:ind w:left="1875" w:right="0" w:firstLine="0"/>
        <w:jc w:val="both"/>
        <w:rPr>
          <w:rFonts w:ascii="Arial" w:hAnsi="Arial"/>
          <w:sz w:val="18"/>
        </w:rPr>
      </w:pPr>
      <w:r>
        <w:rPr>
          <w:rFonts w:ascii="Arial" w:hAnsi="Arial"/>
          <w:color w:val="231F20"/>
          <w:w w:val="105"/>
          <w:sz w:val="18"/>
        </w:rPr>
        <w:t>Cuadro 4. Distribución por sexo según tipo de migración y municipio de residencia</w:t>
      </w:r>
    </w:p>
    <w:p>
      <w:pPr>
        <w:pStyle w:val="BodyText"/>
        <w:spacing w:before="5"/>
        <w:rPr>
          <w:rFonts w:ascii="Arial"/>
          <w:sz w:val="13"/>
        </w:rPr>
      </w:pPr>
    </w:p>
    <w:tbl>
      <w:tblPr>
        <w:tblW w:w="0" w:type="auto"/>
        <w:jc w:val="left"/>
        <w:tblInd w:w="1836"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77"/>
        <w:gridCol w:w="222"/>
        <w:gridCol w:w="1539"/>
        <w:gridCol w:w="737"/>
        <w:gridCol w:w="850"/>
        <w:gridCol w:w="850"/>
        <w:gridCol w:w="737"/>
        <w:gridCol w:w="850"/>
        <w:gridCol w:w="850"/>
      </w:tblGrid>
      <w:tr>
        <w:trPr>
          <w:trHeight w:val="340" w:hRule="exact"/>
        </w:trPr>
        <w:tc>
          <w:tcPr>
            <w:tcW w:w="2038" w:type="dxa"/>
            <w:gridSpan w:val="3"/>
          </w:tcPr>
          <w:p>
            <w:pPr>
              <w:pStyle w:val="TableParagraph"/>
              <w:spacing w:before="88"/>
              <w:ind w:left="269"/>
              <w:rPr>
                <w:rFonts w:ascii="Arial" w:hAnsi="Arial"/>
                <w:sz w:val="18"/>
              </w:rPr>
            </w:pPr>
            <w:r>
              <w:rPr>
                <w:rFonts w:ascii="Arial" w:hAnsi="Arial"/>
                <w:color w:val="231F20"/>
                <w:w w:val="105"/>
                <w:sz w:val="18"/>
              </w:rPr>
              <w:t>Tipo de migración</w:t>
            </w:r>
          </w:p>
        </w:tc>
        <w:tc>
          <w:tcPr>
            <w:tcW w:w="2438" w:type="dxa"/>
            <w:gridSpan w:val="3"/>
          </w:tcPr>
          <w:p>
            <w:pPr>
              <w:pStyle w:val="TableParagraph"/>
              <w:spacing w:before="88"/>
              <w:ind w:left="985" w:right="986"/>
              <w:jc w:val="center"/>
              <w:rPr>
                <w:rFonts w:ascii="Arial"/>
                <w:sz w:val="18"/>
              </w:rPr>
            </w:pPr>
            <w:r>
              <w:rPr>
                <w:rFonts w:ascii="Arial"/>
                <w:color w:val="231F20"/>
                <w:w w:val="105"/>
                <w:sz w:val="18"/>
              </w:rPr>
              <w:t>2000</w:t>
            </w:r>
          </w:p>
        </w:tc>
        <w:tc>
          <w:tcPr>
            <w:tcW w:w="2438" w:type="dxa"/>
            <w:gridSpan w:val="3"/>
          </w:tcPr>
          <w:p>
            <w:pPr>
              <w:pStyle w:val="TableParagraph"/>
              <w:spacing w:before="88"/>
              <w:ind w:left="985" w:right="986"/>
              <w:jc w:val="center"/>
              <w:rPr>
                <w:rFonts w:ascii="Arial"/>
                <w:sz w:val="18"/>
              </w:rPr>
            </w:pPr>
            <w:r>
              <w:rPr>
                <w:rFonts w:ascii="Arial"/>
                <w:color w:val="231F20"/>
                <w:w w:val="105"/>
                <w:sz w:val="18"/>
              </w:rPr>
              <w:t>2010</w:t>
            </w:r>
          </w:p>
        </w:tc>
      </w:tr>
      <w:tr>
        <w:trPr>
          <w:trHeight w:val="340" w:hRule="exact"/>
        </w:trPr>
        <w:tc>
          <w:tcPr>
            <w:tcW w:w="277" w:type="dxa"/>
          </w:tcPr>
          <w:p>
            <w:pPr/>
          </w:p>
        </w:tc>
        <w:tc>
          <w:tcPr>
            <w:tcW w:w="1761" w:type="dxa"/>
            <w:gridSpan w:val="2"/>
          </w:tcPr>
          <w:p>
            <w:pPr>
              <w:pStyle w:val="TableParagraph"/>
              <w:spacing w:before="88"/>
              <w:ind w:left="135"/>
              <w:rPr>
                <w:rFonts w:ascii="Arial"/>
                <w:sz w:val="18"/>
              </w:rPr>
            </w:pPr>
            <w:r>
              <w:rPr>
                <w:rFonts w:ascii="Arial"/>
                <w:color w:val="231F20"/>
                <w:w w:val="110"/>
                <w:sz w:val="18"/>
              </w:rPr>
              <w:t>Tipo de municipio</w:t>
            </w:r>
          </w:p>
        </w:tc>
        <w:tc>
          <w:tcPr>
            <w:tcW w:w="737" w:type="dxa"/>
          </w:tcPr>
          <w:p>
            <w:pPr>
              <w:pStyle w:val="TableParagraph"/>
              <w:spacing w:before="88"/>
              <w:ind w:right="167"/>
              <w:jc w:val="right"/>
              <w:rPr>
                <w:rFonts w:ascii="Arial"/>
                <w:sz w:val="18"/>
              </w:rPr>
            </w:pPr>
            <w:r>
              <w:rPr>
                <w:rFonts w:ascii="Arial"/>
                <w:color w:val="231F20"/>
                <w:w w:val="105"/>
                <w:sz w:val="18"/>
              </w:rPr>
              <w:t>Total</w:t>
            </w:r>
          </w:p>
        </w:tc>
        <w:tc>
          <w:tcPr>
            <w:tcW w:w="850" w:type="dxa"/>
          </w:tcPr>
          <w:p>
            <w:pPr>
              <w:pStyle w:val="TableParagraph"/>
              <w:spacing w:before="107"/>
              <w:ind w:left="87"/>
              <w:rPr>
                <w:rFonts w:ascii="Arial"/>
                <w:sz w:val="16"/>
              </w:rPr>
            </w:pPr>
            <w:r>
              <w:rPr>
                <w:rFonts w:ascii="Arial"/>
                <w:color w:val="231F20"/>
                <w:w w:val="105"/>
                <w:sz w:val="16"/>
              </w:rPr>
              <w:t>Hombres</w:t>
            </w:r>
          </w:p>
        </w:tc>
        <w:tc>
          <w:tcPr>
            <w:tcW w:w="850" w:type="dxa"/>
          </w:tcPr>
          <w:p>
            <w:pPr>
              <w:pStyle w:val="TableParagraph"/>
              <w:spacing w:before="107"/>
              <w:ind w:left="130"/>
              <w:rPr>
                <w:rFonts w:ascii="Arial"/>
                <w:sz w:val="16"/>
              </w:rPr>
            </w:pPr>
            <w:r>
              <w:rPr>
                <w:rFonts w:ascii="Arial"/>
                <w:color w:val="231F20"/>
                <w:w w:val="105"/>
                <w:sz w:val="16"/>
              </w:rPr>
              <w:t>Mujeres</w:t>
            </w:r>
          </w:p>
        </w:tc>
        <w:tc>
          <w:tcPr>
            <w:tcW w:w="737" w:type="dxa"/>
          </w:tcPr>
          <w:p>
            <w:pPr>
              <w:pStyle w:val="TableParagraph"/>
              <w:spacing w:before="88"/>
              <w:ind w:right="167"/>
              <w:jc w:val="right"/>
              <w:rPr>
                <w:rFonts w:ascii="Arial"/>
                <w:sz w:val="18"/>
              </w:rPr>
            </w:pPr>
            <w:r>
              <w:rPr>
                <w:rFonts w:ascii="Arial"/>
                <w:color w:val="231F20"/>
                <w:w w:val="105"/>
                <w:sz w:val="18"/>
              </w:rPr>
              <w:t>Total</w:t>
            </w:r>
          </w:p>
        </w:tc>
        <w:tc>
          <w:tcPr>
            <w:tcW w:w="850" w:type="dxa"/>
          </w:tcPr>
          <w:p>
            <w:pPr>
              <w:pStyle w:val="TableParagraph"/>
              <w:spacing w:before="107"/>
              <w:ind w:left="87"/>
              <w:rPr>
                <w:rFonts w:ascii="Arial"/>
                <w:sz w:val="16"/>
              </w:rPr>
            </w:pPr>
            <w:r>
              <w:rPr>
                <w:rFonts w:ascii="Arial"/>
                <w:color w:val="231F20"/>
                <w:w w:val="105"/>
                <w:sz w:val="16"/>
              </w:rPr>
              <w:t>Hombres</w:t>
            </w:r>
          </w:p>
        </w:tc>
        <w:tc>
          <w:tcPr>
            <w:tcW w:w="850" w:type="dxa"/>
          </w:tcPr>
          <w:p>
            <w:pPr>
              <w:pStyle w:val="TableParagraph"/>
              <w:spacing w:before="107"/>
              <w:ind w:left="130"/>
              <w:rPr>
                <w:rFonts w:ascii="Arial"/>
                <w:sz w:val="16"/>
              </w:rPr>
            </w:pPr>
            <w:r>
              <w:rPr>
                <w:rFonts w:ascii="Arial"/>
                <w:color w:val="231F20"/>
                <w:w w:val="105"/>
                <w:sz w:val="16"/>
              </w:rPr>
              <w:t>Mujeres</w:t>
            </w:r>
          </w:p>
        </w:tc>
      </w:tr>
      <w:tr>
        <w:trPr>
          <w:trHeight w:val="340" w:hRule="exact"/>
        </w:trPr>
        <w:tc>
          <w:tcPr>
            <w:tcW w:w="2038" w:type="dxa"/>
            <w:gridSpan w:val="3"/>
          </w:tcPr>
          <w:p>
            <w:pPr>
              <w:pStyle w:val="TableParagraph"/>
              <w:ind w:left="77"/>
              <w:rPr>
                <w:sz w:val="18"/>
              </w:rPr>
            </w:pPr>
            <w:r>
              <w:rPr>
                <w:color w:val="231F20"/>
                <w:w w:val="105"/>
                <w:sz w:val="18"/>
              </w:rPr>
              <w:t>Migrantes de retorno</w:t>
            </w:r>
          </w:p>
        </w:tc>
        <w:tc>
          <w:tcPr>
            <w:tcW w:w="737" w:type="dxa"/>
          </w:tcPr>
          <w:p>
            <w:pPr/>
          </w:p>
        </w:tc>
        <w:tc>
          <w:tcPr>
            <w:tcW w:w="850" w:type="dxa"/>
          </w:tcPr>
          <w:p>
            <w:pPr/>
          </w:p>
        </w:tc>
        <w:tc>
          <w:tcPr>
            <w:tcW w:w="850" w:type="dxa"/>
          </w:tcPr>
          <w:p>
            <w:pPr/>
          </w:p>
        </w:tc>
        <w:tc>
          <w:tcPr>
            <w:tcW w:w="737" w:type="dxa"/>
          </w:tcPr>
          <w:p>
            <w:pPr/>
          </w:p>
        </w:tc>
        <w:tc>
          <w:tcPr>
            <w:tcW w:w="850" w:type="dxa"/>
          </w:tcPr>
          <w:p>
            <w:pPr/>
          </w:p>
        </w:tc>
        <w:tc>
          <w:tcPr>
            <w:tcW w:w="850" w:type="dxa"/>
          </w:tcPr>
          <w:p>
            <w:pPr/>
          </w:p>
        </w:tc>
      </w:tr>
      <w:tr>
        <w:trPr>
          <w:trHeight w:val="340" w:hRule="exact"/>
        </w:trPr>
        <w:tc>
          <w:tcPr>
            <w:tcW w:w="277" w:type="dxa"/>
          </w:tcPr>
          <w:p>
            <w:pPr/>
          </w:p>
        </w:tc>
        <w:tc>
          <w:tcPr>
            <w:tcW w:w="222" w:type="dxa"/>
          </w:tcPr>
          <w:p>
            <w:pPr/>
          </w:p>
        </w:tc>
        <w:tc>
          <w:tcPr>
            <w:tcW w:w="1539" w:type="dxa"/>
          </w:tcPr>
          <w:p>
            <w:pPr>
              <w:pStyle w:val="TableParagraph"/>
              <w:ind w:left="77"/>
              <w:rPr>
                <w:sz w:val="18"/>
              </w:rPr>
            </w:pPr>
            <w:r>
              <w:rPr>
                <w:color w:val="231F20"/>
                <w:sz w:val="18"/>
              </w:rPr>
              <w:t>Étnico</w:t>
            </w:r>
          </w:p>
        </w:tc>
        <w:tc>
          <w:tcPr>
            <w:tcW w:w="737" w:type="dxa"/>
          </w:tcPr>
          <w:p>
            <w:pPr>
              <w:pStyle w:val="TableParagraph"/>
              <w:ind w:right="192"/>
              <w:jc w:val="right"/>
              <w:rPr>
                <w:sz w:val="18"/>
              </w:rPr>
            </w:pPr>
            <w:r>
              <w:rPr>
                <w:color w:val="231F20"/>
                <w:sz w:val="18"/>
              </w:rPr>
              <w:t>100.0</w:t>
            </w:r>
          </w:p>
        </w:tc>
        <w:tc>
          <w:tcPr>
            <w:tcW w:w="850" w:type="dxa"/>
          </w:tcPr>
          <w:p>
            <w:pPr>
              <w:pStyle w:val="TableParagraph"/>
              <w:ind w:left="77"/>
              <w:rPr>
                <w:sz w:val="18"/>
              </w:rPr>
            </w:pPr>
            <w:r>
              <w:rPr>
                <w:color w:val="231F20"/>
                <w:w w:val="105"/>
                <w:sz w:val="18"/>
              </w:rPr>
              <w:t>80.7</w:t>
            </w:r>
          </w:p>
        </w:tc>
        <w:tc>
          <w:tcPr>
            <w:tcW w:w="850" w:type="dxa"/>
          </w:tcPr>
          <w:p>
            <w:pPr>
              <w:pStyle w:val="TableParagraph"/>
              <w:ind w:left="77"/>
              <w:rPr>
                <w:sz w:val="18"/>
              </w:rPr>
            </w:pPr>
            <w:r>
              <w:rPr>
                <w:color w:val="231F20"/>
                <w:w w:val="105"/>
                <w:sz w:val="18"/>
              </w:rPr>
              <w:t>19.3</w:t>
            </w:r>
          </w:p>
        </w:tc>
        <w:tc>
          <w:tcPr>
            <w:tcW w:w="737" w:type="dxa"/>
          </w:tcPr>
          <w:p>
            <w:pPr>
              <w:pStyle w:val="TableParagraph"/>
              <w:ind w:right="193"/>
              <w:jc w:val="right"/>
              <w:rPr>
                <w:sz w:val="18"/>
              </w:rPr>
            </w:pPr>
            <w:r>
              <w:rPr>
                <w:color w:val="231F20"/>
                <w:sz w:val="18"/>
              </w:rPr>
              <w:t>100.0</w:t>
            </w:r>
          </w:p>
        </w:tc>
        <w:tc>
          <w:tcPr>
            <w:tcW w:w="850" w:type="dxa"/>
          </w:tcPr>
          <w:p>
            <w:pPr>
              <w:pStyle w:val="TableParagraph"/>
              <w:ind w:left="76"/>
              <w:rPr>
                <w:sz w:val="18"/>
              </w:rPr>
            </w:pPr>
            <w:r>
              <w:rPr>
                <w:color w:val="231F20"/>
                <w:w w:val="105"/>
                <w:sz w:val="18"/>
              </w:rPr>
              <w:t>83.0</w:t>
            </w:r>
          </w:p>
        </w:tc>
        <w:tc>
          <w:tcPr>
            <w:tcW w:w="850" w:type="dxa"/>
          </w:tcPr>
          <w:p>
            <w:pPr>
              <w:pStyle w:val="TableParagraph"/>
              <w:ind w:left="76"/>
              <w:rPr>
                <w:sz w:val="18"/>
              </w:rPr>
            </w:pPr>
            <w:r>
              <w:rPr>
                <w:color w:val="231F20"/>
                <w:w w:val="105"/>
                <w:sz w:val="18"/>
              </w:rPr>
              <w:t>17.0</w:t>
            </w:r>
          </w:p>
        </w:tc>
      </w:tr>
      <w:tr>
        <w:trPr>
          <w:trHeight w:val="340" w:hRule="exact"/>
        </w:trPr>
        <w:tc>
          <w:tcPr>
            <w:tcW w:w="277" w:type="dxa"/>
          </w:tcPr>
          <w:p>
            <w:pPr/>
          </w:p>
        </w:tc>
        <w:tc>
          <w:tcPr>
            <w:tcW w:w="222" w:type="dxa"/>
          </w:tcPr>
          <w:p>
            <w:pPr/>
          </w:p>
        </w:tc>
        <w:tc>
          <w:tcPr>
            <w:tcW w:w="1539" w:type="dxa"/>
          </w:tcPr>
          <w:p>
            <w:pPr>
              <w:pStyle w:val="TableParagraph"/>
              <w:ind w:left="76"/>
              <w:rPr>
                <w:sz w:val="18"/>
              </w:rPr>
            </w:pPr>
            <w:r>
              <w:rPr>
                <w:color w:val="231F20"/>
                <w:w w:val="105"/>
                <w:sz w:val="18"/>
              </w:rPr>
              <w:t>Tradicional</w:t>
            </w:r>
          </w:p>
        </w:tc>
        <w:tc>
          <w:tcPr>
            <w:tcW w:w="737" w:type="dxa"/>
          </w:tcPr>
          <w:p>
            <w:pPr>
              <w:pStyle w:val="TableParagraph"/>
              <w:ind w:right="193"/>
              <w:jc w:val="right"/>
              <w:rPr>
                <w:sz w:val="18"/>
              </w:rPr>
            </w:pPr>
            <w:r>
              <w:rPr>
                <w:color w:val="231F20"/>
                <w:sz w:val="18"/>
              </w:rPr>
              <w:t>100.0</w:t>
            </w:r>
          </w:p>
        </w:tc>
        <w:tc>
          <w:tcPr>
            <w:tcW w:w="850" w:type="dxa"/>
          </w:tcPr>
          <w:p>
            <w:pPr>
              <w:pStyle w:val="TableParagraph"/>
              <w:ind w:left="76"/>
              <w:rPr>
                <w:sz w:val="18"/>
              </w:rPr>
            </w:pPr>
            <w:r>
              <w:rPr>
                <w:color w:val="231F20"/>
                <w:w w:val="105"/>
                <w:sz w:val="18"/>
              </w:rPr>
              <w:t>71.0</w:t>
            </w:r>
          </w:p>
        </w:tc>
        <w:tc>
          <w:tcPr>
            <w:tcW w:w="850" w:type="dxa"/>
          </w:tcPr>
          <w:p>
            <w:pPr>
              <w:pStyle w:val="TableParagraph"/>
              <w:ind w:left="76"/>
              <w:rPr>
                <w:sz w:val="18"/>
              </w:rPr>
            </w:pPr>
            <w:r>
              <w:rPr>
                <w:color w:val="231F20"/>
                <w:w w:val="105"/>
                <w:sz w:val="18"/>
              </w:rPr>
              <w:t>29.0</w:t>
            </w:r>
          </w:p>
        </w:tc>
        <w:tc>
          <w:tcPr>
            <w:tcW w:w="737" w:type="dxa"/>
          </w:tcPr>
          <w:p>
            <w:pPr>
              <w:pStyle w:val="TableParagraph"/>
              <w:ind w:right="193"/>
              <w:jc w:val="right"/>
              <w:rPr>
                <w:sz w:val="18"/>
              </w:rPr>
            </w:pPr>
            <w:r>
              <w:rPr>
                <w:color w:val="231F20"/>
                <w:sz w:val="18"/>
              </w:rPr>
              <w:t>100.0</w:t>
            </w:r>
          </w:p>
        </w:tc>
        <w:tc>
          <w:tcPr>
            <w:tcW w:w="850" w:type="dxa"/>
          </w:tcPr>
          <w:p>
            <w:pPr>
              <w:pStyle w:val="TableParagraph"/>
              <w:ind w:left="76"/>
              <w:rPr>
                <w:sz w:val="18"/>
              </w:rPr>
            </w:pPr>
            <w:r>
              <w:rPr>
                <w:color w:val="231F20"/>
                <w:w w:val="105"/>
                <w:sz w:val="18"/>
              </w:rPr>
              <w:t>74.3</w:t>
            </w:r>
          </w:p>
        </w:tc>
        <w:tc>
          <w:tcPr>
            <w:tcW w:w="850" w:type="dxa"/>
          </w:tcPr>
          <w:p>
            <w:pPr>
              <w:pStyle w:val="TableParagraph"/>
              <w:ind w:left="76"/>
              <w:rPr>
                <w:sz w:val="18"/>
              </w:rPr>
            </w:pPr>
            <w:r>
              <w:rPr>
                <w:color w:val="231F20"/>
                <w:w w:val="105"/>
                <w:sz w:val="18"/>
              </w:rPr>
              <w:t>25.7</w:t>
            </w:r>
          </w:p>
        </w:tc>
      </w:tr>
      <w:tr>
        <w:trPr>
          <w:trHeight w:val="340" w:hRule="exact"/>
        </w:trPr>
        <w:tc>
          <w:tcPr>
            <w:tcW w:w="277" w:type="dxa"/>
          </w:tcPr>
          <w:p>
            <w:pPr/>
          </w:p>
        </w:tc>
        <w:tc>
          <w:tcPr>
            <w:tcW w:w="222" w:type="dxa"/>
          </w:tcPr>
          <w:p>
            <w:pPr/>
          </w:p>
        </w:tc>
        <w:tc>
          <w:tcPr>
            <w:tcW w:w="1539" w:type="dxa"/>
          </w:tcPr>
          <w:p>
            <w:pPr>
              <w:pStyle w:val="TableParagraph"/>
              <w:ind w:left="76"/>
              <w:rPr>
                <w:sz w:val="18"/>
              </w:rPr>
            </w:pPr>
            <w:r>
              <w:rPr>
                <w:color w:val="231F20"/>
                <w:w w:val="105"/>
                <w:sz w:val="18"/>
              </w:rPr>
              <w:t>Emergente</w:t>
            </w:r>
          </w:p>
        </w:tc>
        <w:tc>
          <w:tcPr>
            <w:tcW w:w="737" w:type="dxa"/>
          </w:tcPr>
          <w:p>
            <w:pPr>
              <w:pStyle w:val="TableParagraph"/>
              <w:ind w:right="195"/>
              <w:jc w:val="right"/>
              <w:rPr>
                <w:sz w:val="18"/>
              </w:rPr>
            </w:pPr>
            <w:r>
              <w:rPr>
                <w:color w:val="231F20"/>
                <w:sz w:val="18"/>
              </w:rPr>
              <w:t>100.0</w:t>
            </w:r>
          </w:p>
        </w:tc>
        <w:tc>
          <w:tcPr>
            <w:tcW w:w="850" w:type="dxa"/>
          </w:tcPr>
          <w:p>
            <w:pPr>
              <w:pStyle w:val="TableParagraph"/>
              <w:ind w:left="76"/>
              <w:rPr>
                <w:sz w:val="18"/>
              </w:rPr>
            </w:pPr>
            <w:r>
              <w:rPr>
                <w:color w:val="231F20"/>
                <w:w w:val="105"/>
                <w:sz w:val="18"/>
              </w:rPr>
              <w:t>64.0</w:t>
            </w:r>
          </w:p>
        </w:tc>
        <w:tc>
          <w:tcPr>
            <w:tcW w:w="850" w:type="dxa"/>
          </w:tcPr>
          <w:p>
            <w:pPr>
              <w:pStyle w:val="TableParagraph"/>
              <w:ind w:left="75"/>
              <w:rPr>
                <w:sz w:val="18"/>
              </w:rPr>
            </w:pPr>
            <w:r>
              <w:rPr>
                <w:color w:val="231F20"/>
                <w:w w:val="105"/>
                <w:sz w:val="18"/>
              </w:rPr>
              <w:t>36.0</w:t>
            </w:r>
          </w:p>
        </w:tc>
        <w:tc>
          <w:tcPr>
            <w:tcW w:w="737" w:type="dxa"/>
          </w:tcPr>
          <w:p>
            <w:pPr>
              <w:pStyle w:val="TableParagraph"/>
              <w:ind w:right="194"/>
              <w:jc w:val="right"/>
              <w:rPr>
                <w:sz w:val="18"/>
              </w:rPr>
            </w:pPr>
            <w:r>
              <w:rPr>
                <w:color w:val="231F20"/>
                <w:sz w:val="18"/>
              </w:rPr>
              <w:t>100.0</w:t>
            </w:r>
          </w:p>
        </w:tc>
        <w:tc>
          <w:tcPr>
            <w:tcW w:w="850" w:type="dxa"/>
          </w:tcPr>
          <w:p>
            <w:pPr>
              <w:pStyle w:val="TableParagraph"/>
              <w:ind w:left="75"/>
              <w:rPr>
                <w:sz w:val="18"/>
              </w:rPr>
            </w:pPr>
            <w:r>
              <w:rPr>
                <w:color w:val="231F20"/>
                <w:w w:val="105"/>
                <w:sz w:val="18"/>
              </w:rPr>
              <w:t>72.7</w:t>
            </w:r>
          </w:p>
        </w:tc>
        <w:tc>
          <w:tcPr>
            <w:tcW w:w="850" w:type="dxa"/>
          </w:tcPr>
          <w:p>
            <w:pPr>
              <w:pStyle w:val="TableParagraph"/>
              <w:ind w:left="75"/>
              <w:rPr>
                <w:sz w:val="18"/>
              </w:rPr>
            </w:pPr>
            <w:r>
              <w:rPr>
                <w:color w:val="231F20"/>
                <w:w w:val="105"/>
                <w:sz w:val="18"/>
              </w:rPr>
              <w:t>27.3</w:t>
            </w:r>
          </w:p>
        </w:tc>
      </w:tr>
      <w:tr>
        <w:trPr>
          <w:trHeight w:val="340" w:hRule="exact"/>
        </w:trPr>
        <w:tc>
          <w:tcPr>
            <w:tcW w:w="277" w:type="dxa"/>
          </w:tcPr>
          <w:p>
            <w:pPr/>
          </w:p>
        </w:tc>
        <w:tc>
          <w:tcPr>
            <w:tcW w:w="222" w:type="dxa"/>
          </w:tcPr>
          <w:p>
            <w:pPr/>
          </w:p>
        </w:tc>
        <w:tc>
          <w:tcPr>
            <w:tcW w:w="1539" w:type="dxa"/>
          </w:tcPr>
          <w:p>
            <w:pPr>
              <w:pStyle w:val="TableParagraph"/>
              <w:ind w:left="75"/>
              <w:rPr>
                <w:sz w:val="18"/>
              </w:rPr>
            </w:pPr>
            <w:r>
              <w:rPr>
                <w:color w:val="231F20"/>
                <w:w w:val="110"/>
                <w:sz w:val="18"/>
              </w:rPr>
              <w:t>Otro</w:t>
            </w:r>
          </w:p>
        </w:tc>
        <w:tc>
          <w:tcPr>
            <w:tcW w:w="737" w:type="dxa"/>
          </w:tcPr>
          <w:p>
            <w:pPr>
              <w:pStyle w:val="TableParagraph"/>
              <w:ind w:right="194"/>
              <w:jc w:val="right"/>
              <w:rPr>
                <w:sz w:val="18"/>
              </w:rPr>
            </w:pPr>
            <w:r>
              <w:rPr>
                <w:color w:val="231F20"/>
                <w:sz w:val="18"/>
              </w:rPr>
              <w:t>100.0</w:t>
            </w:r>
          </w:p>
        </w:tc>
        <w:tc>
          <w:tcPr>
            <w:tcW w:w="850" w:type="dxa"/>
          </w:tcPr>
          <w:p>
            <w:pPr>
              <w:pStyle w:val="TableParagraph"/>
              <w:ind w:left="75"/>
              <w:rPr>
                <w:sz w:val="18"/>
              </w:rPr>
            </w:pPr>
            <w:r>
              <w:rPr>
                <w:color w:val="231F20"/>
                <w:w w:val="105"/>
                <w:sz w:val="18"/>
              </w:rPr>
              <w:t>77.9</w:t>
            </w:r>
          </w:p>
        </w:tc>
        <w:tc>
          <w:tcPr>
            <w:tcW w:w="850" w:type="dxa"/>
          </w:tcPr>
          <w:p>
            <w:pPr>
              <w:pStyle w:val="TableParagraph"/>
              <w:ind w:left="75"/>
              <w:rPr>
                <w:sz w:val="18"/>
              </w:rPr>
            </w:pPr>
            <w:r>
              <w:rPr>
                <w:color w:val="231F20"/>
                <w:w w:val="105"/>
                <w:sz w:val="18"/>
              </w:rPr>
              <w:t>22.1</w:t>
            </w:r>
          </w:p>
        </w:tc>
        <w:tc>
          <w:tcPr>
            <w:tcW w:w="737" w:type="dxa"/>
          </w:tcPr>
          <w:p>
            <w:pPr>
              <w:pStyle w:val="TableParagraph"/>
              <w:ind w:right="194"/>
              <w:jc w:val="right"/>
              <w:rPr>
                <w:sz w:val="18"/>
              </w:rPr>
            </w:pPr>
            <w:r>
              <w:rPr>
                <w:color w:val="231F20"/>
                <w:sz w:val="18"/>
              </w:rPr>
              <w:t>100.0</w:t>
            </w:r>
          </w:p>
        </w:tc>
        <w:tc>
          <w:tcPr>
            <w:tcW w:w="850" w:type="dxa"/>
          </w:tcPr>
          <w:p>
            <w:pPr>
              <w:pStyle w:val="TableParagraph"/>
              <w:ind w:left="75"/>
              <w:rPr>
                <w:sz w:val="18"/>
              </w:rPr>
            </w:pPr>
            <w:r>
              <w:rPr>
                <w:color w:val="231F20"/>
                <w:w w:val="105"/>
                <w:sz w:val="18"/>
              </w:rPr>
              <w:t>79.3</w:t>
            </w:r>
          </w:p>
        </w:tc>
        <w:tc>
          <w:tcPr>
            <w:tcW w:w="850" w:type="dxa"/>
          </w:tcPr>
          <w:p>
            <w:pPr>
              <w:pStyle w:val="TableParagraph"/>
              <w:ind w:left="75"/>
              <w:rPr>
                <w:sz w:val="18"/>
              </w:rPr>
            </w:pPr>
            <w:r>
              <w:rPr>
                <w:color w:val="231F20"/>
                <w:w w:val="105"/>
                <w:sz w:val="18"/>
              </w:rPr>
              <w:t>20.7</w:t>
            </w:r>
          </w:p>
        </w:tc>
      </w:tr>
      <w:tr>
        <w:trPr>
          <w:trHeight w:val="556" w:hRule="exact"/>
        </w:trPr>
        <w:tc>
          <w:tcPr>
            <w:tcW w:w="2038" w:type="dxa"/>
            <w:gridSpan w:val="3"/>
          </w:tcPr>
          <w:p>
            <w:pPr>
              <w:pStyle w:val="TableParagraph"/>
              <w:spacing w:line="254" w:lineRule="auto"/>
              <w:ind w:left="75"/>
              <w:rPr>
                <w:sz w:val="18"/>
              </w:rPr>
            </w:pPr>
            <w:r>
              <w:rPr>
                <w:color w:val="231F20"/>
                <w:sz w:val="18"/>
              </w:rPr>
              <w:t>Emigrantes a Estados Unidos</w:t>
            </w:r>
          </w:p>
        </w:tc>
        <w:tc>
          <w:tcPr>
            <w:tcW w:w="737" w:type="dxa"/>
          </w:tcPr>
          <w:p>
            <w:pPr/>
          </w:p>
        </w:tc>
        <w:tc>
          <w:tcPr>
            <w:tcW w:w="850" w:type="dxa"/>
          </w:tcPr>
          <w:p>
            <w:pPr/>
          </w:p>
        </w:tc>
        <w:tc>
          <w:tcPr>
            <w:tcW w:w="850" w:type="dxa"/>
          </w:tcPr>
          <w:p>
            <w:pPr/>
          </w:p>
        </w:tc>
        <w:tc>
          <w:tcPr>
            <w:tcW w:w="737" w:type="dxa"/>
          </w:tcPr>
          <w:p>
            <w:pPr/>
          </w:p>
        </w:tc>
        <w:tc>
          <w:tcPr>
            <w:tcW w:w="850" w:type="dxa"/>
          </w:tcPr>
          <w:p>
            <w:pPr/>
          </w:p>
        </w:tc>
        <w:tc>
          <w:tcPr>
            <w:tcW w:w="850" w:type="dxa"/>
          </w:tcPr>
          <w:p>
            <w:pPr/>
          </w:p>
        </w:tc>
      </w:tr>
      <w:tr>
        <w:trPr>
          <w:trHeight w:val="340" w:hRule="exact"/>
        </w:trPr>
        <w:tc>
          <w:tcPr>
            <w:tcW w:w="277" w:type="dxa"/>
          </w:tcPr>
          <w:p>
            <w:pPr/>
          </w:p>
        </w:tc>
        <w:tc>
          <w:tcPr>
            <w:tcW w:w="222" w:type="dxa"/>
          </w:tcPr>
          <w:p>
            <w:pPr/>
          </w:p>
        </w:tc>
        <w:tc>
          <w:tcPr>
            <w:tcW w:w="1539" w:type="dxa"/>
          </w:tcPr>
          <w:p>
            <w:pPr>
              <w:pStyle w:val="TableParagraph"/>
              <w:ind w:left="75"/>
              <w:rPr>
                <w:sz w:val="18"/>
              </w:rPr>
            </w:pPr>
            <w:r>
              <w:rPr>
                <w:color w:val="231F20"/>
                <w:sz w:val="18"/>
              </w:rPr>
              <w:t>Étnico</w:t>
            </w:r>
          </w:p>
        </w:tc>
        <w:tc>
          <w:tcPr>
            <w:tcW w:w="737" w:type="dxa"/>
          </w:tcPr>
          <w:p>
            <w:pPr>
              <w:pStyle w:val="TableParagraph"/>
              <w:ind w:right="195"/>
              <w:jc w:val="right"/>
              <w:rPr>
                <w:sz w:val="18"/>
              </w:rPr>
            </w:pPr>
            <w:r>
              <w:rPr>
                <w:color w:val="231F20"/>
                <w:sz w:val="18"/>
              </w:rPr>
              <w:t>100.0</w:t>
            </w:r>
          </w:p>
        </w:tc>
        <w:tc>
          <w:tcPr>
            <w:tcW w:w="850" w:type="dxa"/>
          </w:tcPr>
          <w:p>
            <w:pPr>
              <w:pStyle w:val="TableParagraph"/>
              <w:ind w:left="74"/>
              <w:rPr>
                <w:sz w:val="18"/>
              </w:rPr>
            </w:pPr>
            <w:r>
              <w:rPr>
                <w:color w:val="231F20"/>
                <w:w w:val="105"/>
                <w:sz w:val="18"/>
              </w:rPr>
              <w:t>85.8</w:t>
            </w:r>
          </w:p>
        </w:tc>
        <w:tc>
          <w:tcPr>
            <w:tcW w:w="850" w:type="dxa"/>
          </w:tcPr>
          <w:p>
            <w:pPr>
              <w:pStyle w:val="TableParagraph"/>
              <w:ind w:left="74"/>
              <w:rPr>
                <w:sz w:val="18"/>
              </w:rPr>
            </w:pPr>
            <w:r>
              <w:rPr>
                <w:color w:val="231F20"/>
                <w:w w:val="105"/>
                <w:sz w:val="18"/>
              </w:rPr>
              <w:t>14.2</w:t>
            </w:r>
          </w:p>
        </w:tc>
        <w:tc>
          <w:tcPr>
            <w:tcW w:w="737" w:type="dxa"/>
          </w:tcPr>
          <w:p>
            <w:pPr>
              <w:pStyle w:val="TableParagraph"/>
              <w:ind w:right="195"/>
              <w:jc w:val="right"/>
              <w:rPr>
                <w:sz w:val="18"/>
              </w:rPr>
            </w:pPr>
            <w:r>
              <w:rPr>
                <w:color w:val="231F20"/>
                <w:sz w:val="18"/>
              </w:rPr>
              <w:t>100.0</w:t>
            </w:r>
          </w:p>
        </w:tc>
        <w:tc>
          <w:tcPr>
            <w:tcW w:w="850" w:type="dxa"/>
          </w:tcPr>
          <w:p>
            <w:pPr>
              <w:pStyle w:val="TableParagraph"/>
              <w:ind w:left="74"/>
              <w:rPr>
                <w:sz w:val="18"/>
              </w:rPr>
            </w:pPr>
            <w:r>
              <w:rPr>
                <w:color w:val="231F20"/>
                <w:w w:val="105"/>
                <w:sz w:val="18"/>
              </w:rPr>
              <w:t>83.8</w:t>
            </w:r>
          </w:p>
        </w:tc>
        <w:tc>
          <w:tcPr>
            <w:tcW w:w="850" w:type="dxa"/>
          </w:tcPr>
          <w:p>
            <w:pPr>
              <w:pStyle w:val="TableParagraph"/>
              <w:ind w:left="74"/>
              <w:rPr>
                <w:sz w:val="18"/>
              </w:rPr>
            </w:pPr>
            <w:r>
              <w:rPr>
                <w:color w:val="231F20"/>
                <w:w w:val="105"/>
                <w:sz w:val="18"/>
              </w:rPr>
              <w:t>16.2</w:t>
            </w:r>
          </w:p>
        </w:tc>
      </w:tr>
      <w:tr>
        <w:trPr>
          <w:trHeight w:val="340" w:hRule="exact"/>
        </w:trPr>
        <w:tc>
          <w:tcPr>
            <w:tcW w:w="277" w:type="dxa"/>
          </w:tcPr>
          <w:p>
            <w:pPr/>
          </w:p>
        </w:tc>
        <w:tc>
          <w:tcPr>
            <w:tcW w:w="222" w:type="dxa"/>
          </w:tcPr>
          <w:p>
            <w:pPr/>
          </w:p>
        </w:tc>
        <w:tc>
          <w:tcPr>
            <w:tcW w:w="1539" w:type="dxa"/>
          </w:tcPr>
          <w:p>
            <w:pPr>
              <w:pStyle w:val="TableParagraph"/>
              <w:ind w:left="74"/>
              <w:rPr>
                <w:sz w:val="18"/>
              </w:rPr>
            </w:pPr>
            <w:r>
              <w:rPr>
                <w:color w:val="231F20"/>
                <w:w w:val="105"/>
                <w:sz w:val="18"/>
              </w:rPr>
              <w:t>Tradicional</w:t>
            </w:r>
          </w:p>
        </w:tc>
        <w:tc>
          <w:tcPr>
            <w:tcW w:w="737" w:type="dxa"/>
          </w:tcPr>
          <w:p>
            <w:pPr>
              <w:pStyle w:val="TableParagraph"/>
              <w:ind w:right="195"/>
              <w:jc w:val="right"/>
              <w:rPr>
                <w:sz w:val="18"/>
              </w:rPr>
            </w:pPr>
            <w:r>
              <w:rPr>
                <w:color w:val="231F20"/>
                <w:sz w:val="18"/>
              </w:rPr>
              <w:t>100.0</w:t>
            </w:r>
          </w:p>
        </w:tc>
        <w:tc>
          <w:tcPr>
            <w:tcW w:w="850" w:type="dxa"/>
          </w:tcPr>
          <w:p>
            <w:pPr>
              <w:pStyle w:val="TableParagraph"/>
              <w:ind w:left="74"/>
              <w:rPr>
                <w:sz w:val="18"/>
              </w:rPr>
            </w:pPr>
            <w:r>
              <w:rPr>
                <w:color w:val="231F20"/>
                <w:w w:val="105"/>
                <w:sz w:val="18"/>
              </w:rPr>
              <w:t>77.9</w:t>
            </w:r>
          </w:p>
        </w:tc>
        <w:tc>
          <w:tcPr>
            <w:tcW w:w="850" w:type="dxa"/>
          </w:tcPr>
          <w:p>
            <w:pPr>
              <w:pStyle w:val="TableParagraph"/>
              <w:ind w:left="74"/>
              <w:rPr>
                <w:sz w:val="18"/>
              </w:rPr>
            </w:pPr>
            <w:r>
              <w:rPr>
                <w:color w:val="231F20"/>
                <w:w w:val="105"/>
                <w:sz w:val="18"/>
              </w:rPr>
              <w:t>22.1</w:t>
            </w:r>
          </w:p>
        </w:tc>
        <w:tc>
          <w:tcPr>
            <w:tcW w:w="737" w:type="dxa"/>
          </w:tcPr>
          <w:p>
            <w:pPr>
              <w:pStyle w:val="TableParagraph"/>
              <w:ind w:right="195"/>
              <w:jc w:val="right"/>
              <w:rPr>
                <w:sz w:val="18"/>
              </w:rPr>
            </w:pPr>
            <w:r>
              <w:rPr>
                <w:color w:val="231F20"/>
                <w:sz w:val="18"/>
              </w:rPr>
              <w:t>100.0</w:t>
            </w:r>
          </w:p>
        </w:tc>
        <w:tc>
          <w:tcPr>
            <w:tcW w:w="850" w:type="dxa"/>
          </w:tcPr>
          <w:p>
            <w:pPr>
              <w:pStyle w:val="TableParagraph"/>
              <w:ind w:left="74"/>
              <w:rPr>
                <w:sz w:val="18"/>
              </w:rPr>
            </w:pPr>
            <w:r>
              <w:rPr>
                <w:color w:val="231F20"/>
                <w:w w:val="105"/>
                <w:sz w:val="18"/>
              </w:rPr>
              <w:t>75.6</w:t>
            </w:r>
          </w:p>
        </w:tc>
        <w:tc>
          <w:tcPr>
            <w:tcW w:w="850" w:type="dxa"/>
          </w:tcPr>
          <w:p>
            <w:pPr>
              <w:pStyle w:val="TableParagraph"/>
              <w:ind w:left="74"/>
              <w:rPr>
                <w:sz w:val="18"/>
              </w:rPr>
            </w:pPr>
            <w:r>
              <w:rPr>
                <w:color w:val="231F20"/>
                <w:w w:val="105"/>
                <w:sz w:val="18"/>
              </w:rPr>
              <w:t>24.4</w:t>
            </w:r>
          </w:p>
        </w:tc>
      </w:tr>
      <w:tr>
        <w:trPr>
          <w:trHeight w:val="340" w:hRule="exact"/>
        </w:trPr>
        <w:tc>
          <w:tcPr>
            <w:tcW w:w="277" w:type="dxa"/>
          </w:tcPr>
          <w:p>
            <w:pPr/>
          </w:p>
        </w:tc>
        <w:tc>
          <w:tcPr>
            <w:tcW w:w="222" w:type="dxa"/>
          </w:tcPr>
          <w:p>
            <w:pPr/>
          </w:p>
        </w:tc>
        <w:tc>
          <w:tcPr>
            <w:tcW w:w="1539" w:type="dxa"/>
          </w:tcPr>
          <w:p>
            <w:pPr>
              <w:pStyle w:val="TableParagraph"/>
              <w:ind w:left="74"/>
              <w:rPr>
                <w:sz w:val="18"/>
              </w:rPr>
            </w:pPr>
            <w:r>
              <w:rPr>
                <w:color w:val="231F20"/>
                <w:w w:val="105"/>
                <w:sz w:val="18"/>
              </w:rPr>
              <w:t>Emergente</w:t>
            </w:r>
          </w:p>
        </w:tc>
        <w:tc>
          <w:tcPr>
            <w:tcW w:w="737" w:type="dxa"/>
          </w:tcPr>
          <w:p>
            <w:pPr>
              <w:pStyle w:val="TableParagraph"/>
              <w:ind w:right="196"/>
              <w:jc w:val="right"/>
              <w:rPr>
                <w:sz w:val="18"/>
              </w:rPr>
            </w:pPr>
            <w:r>
              <w:rPr>
                <w:color w:val="231F20"/>
                <w:sz w:val="18"/>
              </w:rPr>
              <w:t>100.0</w:t>
            </w:r>
          </w:p>
        </w:tc>
        <w:tc>
          <w:tcPr>
            <w:tcW w:w="850" w:type="dxa"/>
          </w:tcPr>
          <w:p>
            <w:pPr>
              <w:pStyle w:val="TableParagraph"/>
              <w:ind w:left="73"/>
              <w:rPr>
                <w:sz w:val="18"/>
              </w:rPr>
            </w:pPr>
            <w:r>
              <w:rPr>
                <w:color w:val="231F20"/>
                <w:w w:val="105"/>
                <w:sz w:val="18"/>
              </w:rPr>
              <w:t>73.6</w:t>
            </w:r>
          </w:p>
        </w:tc>
        <w:tc>
          <w:tcPr>
            <w:tcW w:w="850" w:type="dxa"/>
          </w:tcPr>
          <w:p>
            <w:pPr>
              <w:pStyle w:val="TableParagraph"/>
              <w:ind w:left="73"/>
              <w:rPr>
                <w:sz w:val="18"/>
              </w:rPr>
            </w:pPr>
            <w:r>
              <w:rPr>
                <w:color w:val="231F20"/>
                <w:w w:val="105"/>
                <w:sz w:val="18"/>
              </w:rPr>
              <w:t>26.4</w:t>
            </w:r>
          </w:p>
        </w:tc>
        <w:tc>
          <w:tcPr>
            <w:tcW w:w="737" w:type="dxa"/>
          </w:tcPr>
          <w:p>
            <w:pPr>
              <w:pStyle w:val="TableParagraph"/>
              <w:ind w:right="196"/>
              <w:jc w:val="right"/>
              <w:rPr>
                <w:sz w:val="18"/>
              </w:rPr>
            </w:pPr>
            <w:r>
              <w:rPr>
                <w:color w:val="231F20"/>
                <w:sz w:val="18"/>
              </w:rPr>
              <w:t>100.0</w:t>
            </w:r>
          </w:p>
        </w:tc>
        <w:tc>
          <w:tcPr>
            <w:tcW w:w="850" w:type="dxa"/>
          </w:tcPr>
          <w:p>
            <w:pPr>
              <w:pStyle w:val="TableParagraph"/>
              <w:ind w:left="73"/>
              <w:rPr>
                <w:sz w:val="18"/>
              </w:rPr>
            </w:pPr>
            <w:r>
              <w:rPr>
                <w:color w:val="231F20"/>
                <w:w w:val="105"/>
                <w:sz w:val="18"/>
              </w:rPr>
              <w:t>76.2</w:t>
            </w:r>
          </w:p>
        </w:tc>
        <w:tc>
          <w:tcPr>
            <w:tcW w:w="850" w:type="dxa"/>
          </w:tcPr>
          <w:p>
            <w:pPr>
              <w:pStyle w:val="TableParagraph"/>
              <w:ind w:left="73"/>
              <w:rPr>
                <w:sz w:val="18"/>
              </w:rPr>
            </w:pPr>
            <w:r>
              <w:rPr>
                <w:color w:val="231F20"/>
                <w:w w:val="105"/>
                <w:sz w:val="18"/>
              </w:rPr>
              <w:t>23.8</w:t>
            </w:r>
          </w:p>
        </w:tc>
      </w:tr>
      <w:tr>
        <w:trPr>
          <w:trHeight w:val="340" w:hRule="exact"/>
        </w:trPr>
        <w:tc>
          <w:tcPr>
            <w:tcW w:w="277" w:type="dxa"/>
          </w:tcPr>
          <w:p>
            <w:pPr/>
          </w:p>
        </w:tc>
        <w:tc>
          <w:tcPr>
            <w:tcW w:w="222" w:type="dxa"/>
          </w:tcPr>
          <w:p>
            <w:pPr/>
          </w:p>
        </w:tc>
        <w:tc>
          <w:tcPr>
            <w:tcW w:w="1539" w:type="dxa"/>
          </w:tcPr>
          <w:p>
            <w:pPr>
              <w:pStyle w:val="TableParagraph"/>
              <w:ind w:left="73"/>
              <w:rPr>
                <w:sz w:val="18"/>
              </w:rPr>
            </w:pPr>
            <w:r>
              <w:rPr>
                <w:color w:val="231F20"/>
                <w:w w:val="110"/>
                <w:sz w:val="18"/>
              </w:rPr>
              <w:t>Otro</w:t>
            </w:r>
          </w:p>
        </w:tc>
        <w:tc>
          <w:tcPr>
            <w:tcW w:w="737" w:type="dxa"/>
          </w:tcPr>
          <w:p>
            <w:pPr>
              <w:pStyle w:val="TableParagraph"/>
              <w:ind w:right="196"/>
              <w:jc w:val="right"/>
              <w:rPr>
                <w:sz w:val="18"/>
              </w:rPr>
            </w:pPr>
            <w:r>
              <w:rPr>
                <w:color w:val="231F20"/>
                <w:sz w:val="18"/>
              </w:rPr>
              <w:t>100.0</w:t>
            </w:r>
          </w:p>
        </w:tc>
        <w:tc>
          <w:tcPr>
            <w:tcW w:w="850" w:type="dxa"/>
          </w:tcPr>
          <w:p>
            <w:pPr>
              <w:pStyle w:val="TableParagraph"/>
              <w:ind w:left="73"/>
              <w:rPr>
                <w:sz w:val="18"/>
              </w:rPr>
            </w:pPr>
            <w:r>
              <w:rPr>
                <w:color w:val="231F20"/>
                <w:w w:val="105"/>
                <w:sz w:val="18"/>
              </w:rPr>
              <w:t>85.9</w:t>
            </w:r>
          </w:p>
        </w:tc>
        <w:tc>
          <w:tcPr>
            <w:tcW w:w="850" w:type="dxa"/>
          </w:tcPr>
          <w:p>
            <w:pPr>
              <w:pStyle w:val="TableParagraph"/>
              <w:ind w:left="73"/>
              <w:rPr>
                <w:sz w:val="18"/>
              </w:rPr>
            </w:pPr>
            <w:r>
              <w:rPr>
                <w:color w:val="231F20"/>
                <w:w w:val="105"/>
                <w:sz w:val="18"/>
              </w:rPr>
              <w:t>14.1</w:t>
            </w:r>
          </w:p>
        </w:tc>
        <w:tc>
          <w:tcPr>
            <w:tcW w:w="737" w:type="dxa"/>
          </w:tcPr>
          <w:p>
            <w:pPr>
              <w:pStyle w:val="TableParagraph"/>
              <w:ind w:right="196"/>
              <w:jc w:val="right"/>
              <w:rPr>
                <w:sz w:val="18"/>
              </w:rPr>
            </w:pPr>
            <w:r>
              <w:rPr>
                <w:color w:val="231F20"/>
                <w:sz w:val="18"/>
              </w:rPr>
              <w:t>100.0</w:t>
            </w:r>
          </w:p>
        </w:tc>
        <w:tc>
          <w:tcPr>
            <w:tcW w:w="850" w:type="dxa"/>
          </w:tcPr>
          <w:p>
            <w:pPr>
              <w:pStyle w:val="TableParagraph"/>
              <w:ind w:left="73"/>
              <w:rPr>
                <w:sz w:val="18"/>
              </w:rPr>
            </w:pPr>
            <w:r>
              <w:rPr>
                <w:color w:val="231F20"/>
                <w:w w:val="105"/>
                <w:sz w:val="18"/>
              </w:rPr>
              <w:t>80.0</w:t>
            </w:r>
          </w:p>
        </w:tc>
        <w:tc>
          <w:tcPr>
            <w:tcW w:w="850" w:type="dxa"/>
          </w:tcPr>
          <w:p>
            <w:pPr>
              <w:pStyle w:val="TableParagraph"/>
              <w:ind w:left="73"/>
              <w:rPr>
                <w:sz w:val="18"/>
              </w:rPr>
            </w:pPr>
            <w:r>
              <w:rPr>
                <w:color w:val="231F20"/>
                <w:w w:val="105"/>
                <w:sz w:val="18"/>
              </w:rPr>
              <w:t>20.0</w:t>
            </w:r>
          </w:p>
        </w:tc>
      </w:tr>
      <w:tr>
        <w:trPr>
          <w:trHeight w:val="340" w:hRule="exact"/>
        </w:trPr>
        <w:tc>
          <w:tcPr>
            <w:tcW w:w="2038" w:type="dxa"/>
            <w:gridSpan w:val="3"/>
          </w:tcPr>
          <w:p>
            <w:pPr>
              <w:pStyle w:val="TableParagraph"/>
              <w:ind w:left="73"/>
              <w:rPr>
                <w:sz w:val="18"/>
              </w:rPr>
            </w:pPr>
            <w:r>
              <w:rPr>
                <w:color w:val="231F20"/>
                <w:sz w:val="18"/>
              </w:rPr>
              <w:t>Migrantes circulares</w:t>
            </w:r>
          </w:p>
        </w:tc>
        <w:tc>
          <w:tcPr>
            <w:tcW w:w="737" w:type="dxa"/>
          </w:tcPr>
          <w:p>
            <w:pPr/>
          </w:p>
        </w:tc>
        <w:tc>
          <w:tcPr>
            <w:tcW w:w="850" w:type="dxa"/>
          </w:tcPr>
          <w:p>
            <w:pPr/>
          </w:p>
        </w:tc>
        <w:tc>
          <w:tcPr>
            <w:tcW w:w="850" w:type="dxa"/>
          </w:tcPr>
          <w:p>
            <w:pPr/>
          </w:p>
        </w:tc>
        <w:tc>
          <w:tcPr>
            <w:tcW w:w="737" w:type="dxa"/>
          </w:tcPr>
          <w:p>
            <w:pPr/>
          </w:p>
        </w:tc>
        <w:tc>
          <w:tcPr>
            <w:tcW w:w="850" w:type="dxa"/>
          </w:tcPr>
          <w:p>
            <w:pPr/>
          </w:p>
        </w:tc>
        <w:tc>
          <w:tcPr>
            <w:tcW w:w="850" w:type="dxa"/>
          </w:tcPr>
          <w:p>
            <w:pPr/>
          </w:p>
        </w:tc>
      </w:tr>
      <w:tr>
        <w:trPr>
          <w:trHeight w:val="340" w:hRule="exact"/>
        </w:trPr>
        <w:tc>
          <w:tcPr>
            <w:tcW w:w="277" w:type="dxa"/>
          </w:tcPr>
          <w:p>
            <w:pPr/>
          </w:p>
        </w:tc>
        <w:tc>
          <w:tcPr>
            <w:tcW w:w="222" w:type="dxa"/>
          </w:tcPr>
          <w:p>
            <w:pPr/>
          </w:p>
        </w:tc>
        <w:tc>
          <w:tcPr>
            <w:tcW w:w="1539" w:type="dxa"/>
          </w:tcPr>
          <w:p>
            <w:pPr>
              <w:pStyle w:val="TableParagraph"/>
              <w:ind w:left="72"/>
              <w:rPr>
                <w:sz w:val="18"/>
              </w:rPr>
            </w:pPr>
            <w:r>
              <w:rPr>
                <w:color w:val="231F20"/>
                <w:sz w:val="18"/>
              </w:rPr>
              <w:t>Étnico</w:t>
            </w:r>
          </w:p>
        </w:tc>
        <w:tc>
          <w:tcPr>
            <w:tcW w:w="737" w:type="dxa"/>
          </w:tcPr>
          <w:p>
            <w:pPr>
              <w:pStyle w:val="TableParagraph"/>
              <w:ind w:right="197"/>
              <w:jc w:val="right"/>
              <w:rPr>
                <w:sz w:val="18"/>
              </w:rPr>
            </w:pPr>
            <w:r>
              <w:rPr>
                <w:color w:val="231F20"/>
                <w:sz w:val="18"/>
              </w:rPr>
              <w:t>100.0</w:t>
            </w:r>
          </w:p>
        </w:tc>
        <w:tc>
          <w:tcPr>
            <w:tcW w:w="850" w:type="dxa"/>
          </w:tcPr>
          <w:p>
            <w:pPr>
              <w:pStyle w:val="TableParagraph"/>
              <w:ind w:left="72"/>
              <w:rPr>
                <w:sz w:val="18"/>
              </w:rPr>
            </w:pPr>
            <w:r>
              <w:rPr>
                <w:color w:val="231F20"/>
                <w:w w:val="105"/>
                <w:sz w:val="18"/>
              </w:rPr>
              <w:t>96.1</w:t>
            </w:r>
          </w:p>
        </w:tc>
        <w:tc>
          <w:tcPr>
            <w:tcW w:w="850" w:type="dxa"/>
          </w:tcPr>
          <w:p>
            <w:pPr>
              <w:pStyle w:val="TableParagraph"/>
              <w:ind w:left="72"/>
              <w:rPr>
                <w:sz w:val="18"/>
              </w:rPr>
            </w:pPr>
            <w:r>
              <w:rPr>
                <w:color w:val="231F20"/>
                <w:sz w:val="18"/>
              </w:rPr>
              <w:t>3.9</w:t>
            </w:r>
          </w:p>
        </w:tc>
        <w:tc>
          <w:tcPr>
            <w:tcW w:w="737" w:type="dxa"/>
          </w:tcPr>
          <w:p>
            <w:pPr>
              <w:pStyle w:val="TableParagraph"/>
              <w:ind w:right="197"/>
              <w:jc w:val="right"/>
              <w:rPr>
                <w:sz w:val="18"/>
              </w:rPr>
            </w:pPr>
            <w:r>
              <w:rPr>
                <w:color w:val="231F20"/>
                <w:sz w:val="18"/>
              </w:rPr>
              <w:t>100.0</w:t>
            </w:r>
          </w:p>
        </w:tc>
        <w:tc>
          <w:tcPr>
            <w:tcW w:w="850" w:type="dxa"/>
          </w:tcPr>
          <w:p>
            <w:pPr>
              <w:pStyle w:val="TableParagraph"/>
              <w:ind w:left="72"/>
              <w:rPr>
                <w:sz w:val="18"/>
              </w:rPr>
            </w:pPr>
            <w:r>
              <w:rPr>
                <w:color w:val="231F20"/>
                <w:w w:val="105"/>
                <w:sz w:val="18"/>
              </w:rPr>
              <w:t>88.9</w:t>
            </w:r>
          </w:p>
        </w:tc>
        <w:tc>
          <w:tcPr>
            <w:tcW w:w="850" w:type="dxa"/>
          </w:tcPr>
          <w:p>
            <w:pPr>
              <w:pStyle w:val="TableParagraph"/>
              <w:ind w:left="72"/>
              <w:rPr>
                <w:sz w:val="18"/>
              </w:rPr>
            </w:pPr>
            <w:r>
              <w:rPr>
                <w:color w:val="231F20"/>
                <w:w w:val="105"/>
                <w:sz w:val="18"/>
              </w:rPr>
              <w:t>11.1</w:t>
            </w:r>
          </w:p>
        </w:tc>
      </w:tr>
      <w:tr>
        <w:trPr>
          <w:trHeight w:val="340" w:hRule="exact"/>
        </w:trPr>
        <w:tc>
          <w:tcPr>
            <w:tcW w:w="277" w:type="dxa"/>
          </w:tcPr>
          <w:p>
            <w:pPr/>
          </w:p>
        </w:tc>
        <w:tc>
          <w:tcPr>
            <w:tcW w:w="222" w:type="dxa"/>
          </w:tcPr>
          <w:p>
            <w:pPr/>
          </w:p>
        </w:tc>
        <w:tc>
          <w:tcPr>
            <w:tcW w:w="1539" w:type="dxa"/>
          </w:tcPr>
          <w:p>
            <w:pPr>
              <w:pStyle w:val="TableParagraph"/>
              <w:spacing w:before="92"/>
              <w:ind w:left="72"/>
              <w:rPr>
                <w:sz w:val="18"/>
              </w:rPr>
            </w:pPr>
            <w:r>
              <w:rPr>
                <w:color w:val="231F20"/>
                <w:w w:val="105"/>
                <w:sz w:val="18"/>
              </w:rPr>
              <w:t>Tradicional</w:t>
            </w:r>
          </w:p>
        </w:tc>
        <w:tc>
          <w:tcPr>
            <w:tcW w:w="737" w:type="dxa"/>
          </w:tcPr>
          <w:p>
            <w:pPr>
              <w:pStyle w:val="TableParagraph"/>
              <w:spacing w:before="92"/>
              <w:ind w:right="197"/>
              <w:jc w:val="right"/>
              <w:rPr>
                <w:sz w:val="18"/>
              </w:rPr>
            </w:pPr>
            <w:r>
              <w:rPr>
                <w:color w:val="231F20"/>
                <w:sz w:val="18"/>
              </w:rPr>
              <w:t>100.0</w:t>
            </w:r>
          </w:p>
        </w:tc>
        <w:tc>
          <w:tcPr>
            <w:tcW w:w="850" w:type="dxa"/>
          </w:tcPr>
          <w:p>
            <w:pPr>
              <w:pStyle w:val="TableParagraph"/>
              <w:spacing w:before="92"/>
              <w:ind w:left="72"/>
              <w:rPr>
                <w:sz w:val="18"/>
              </w:rPr>
            </w:pPr>
            <w:r>
              <w:rPr>
                <w:color w:val="231F20"/>
                <w:w w:val="105"/>
                <w:sz w:val="18"/>
              </w:rPr>
              <w:t>85.9</w:t>
            </w:r>
          </w:p>
        </w:tc>
        <w:tc>
          <w:tcPr>
            <w:tcW w:w="850" w:type="dxa"/>
          </w:tcPr>
          <w:p>
            <w:pPr>
              <w:pStyle w:val="TableParagraph"/>
              <w:spacing w:before="92"/>
              <w:ind w:left="72"/>
              <w:rPr>
                <w:sz w:val="18"/>
              </w:rPr>
            </w:pPr>
            <w:r>
              <w:rPr>
                <w:color w:val="231F20"/>
                <w:w w:val="105"/>
                <w:sz w:val="18"/>
              </w:rPr>
              <w:t>14.1</w:t>
            </w:r>
          </w:p>
        </w:tc>
        <w:tc>
          <w:tcPr>
            <w:tcW w:w="737" w:type="dxa"/>
          </w:tcPr>
          <w:p>
            <w:pPr>
              <w:pStyle w:val="TableParagraph"/>
              <w:spacing w:before="92"/>
              <w:ind w:right="198"/>
              <w:jc w:val="right"/>
              <w:rPr>
                <w:sz w:val="18"/>
              </w:rPr>
            </w:pPr>
            <w:r>
              <w:rPr>
                <w:color w:val="231F20"/>
                <w:sz w:val="18"/>
              </w:rPr>
              <w:t>100.0</w:t>
            </w:r>
          </w:p>
        </w:tc>
        <w:tc>
          <w:tcPr>
            <w:tcW w:w="850" w:type="dxa"/>
          </w:tcPr>
          <w:p>
            <w:pPr>
              <w:pStyle w:val="TableParagraph"/>
              <w:spacing w:before="92"/>
              <w:ind w:left="72"/>
              <w:rPr>
                <w:sz w:val="18"/>
              </w:rPr>
            </w:pPr>
            <w:r>
              <w:rPr>
                <w:color w:val="231F20"/>
                <w:w w:val="105"/>
                <w:sz w:val="18"/>
              </w:rPr>
              <w:t>83.1</w:t>
            </w:r>
          </w:p>
        </w:tc>
        <w:tc>
          <w:tcPr>
            <w:tcW w:w="850" w:type="dxa"/>
          </w:tcPr>
          <w:p>
            <w:pPr>
              <w:pStyle w:val="TableParagraph"/>
              <w:spacing w:before="92"/>
              <w:ind w:left="71"/>
              <w:rPr>
                <w:sz w:val="18"/>
              </w:rPr>
            </w:pPr>
            <w:r>
              <w:rPr>
                <w:color w:val="231F20"/>
                <w:w w:val="105"/>
                <w:sz w:val="18"/>
              </w:rPr>
              <w:t>16.9</w:t>
            </w:r>
          </w:p>
        </w:tc>
      </w:tr>
      <w:tr>
        <w:trPr>
          <w:trHeight w:val="340" w:hRule="exact"/>
        </w:trPr>
        <w:tc>
          <w:tcPr>
            <w:tcW w:w="277" w:type="dxa"/>
          </w:tcPr>
          <w:p>
            <w:pPr/>
          </w:p>
        </w:tc>
        <w:tc>
          <w:tcPr>
            <w:tcW w:w="222" w:type="dxa"/>
          </w:tcPr>
          <w:p>
            <w:pPr/>
          </w:p>
        </w:tc>
        <w:tc>
          <w:tcPr>
            <w:tcW w:w="1539" w:type="dxa"/>
          </w:tcPr>
          <w:p>
            <w:pPr>
              <w:pStyle w:val="TableParagraph"/>
              <w:spacing w:before="92"/>
              <w:ind w:left="71"/>
              <w:rPr>
                <w:sz w:val="18"/>
              </w:rPr>
            </w:pPr>
            <w:r>
              <w:rPr>
                <w:color w:val="231F20"/>
                <w:w w:val="105"/>
                <w:sz w:val="18"/>
              </w:rPr>
              <w:t>Emergente</w:t>
            </w:r>
          </w:p>
        </w:tc>
        <w:tc>
          <w:tcPr>
            <w:tcW w:w="737" w:type="dxa"/>
          </w:tcPr>
          <w:p>
            <w:pPr>
              <w:pStyle w:val="TableParagraph"/>
              <w:spacing w:before="92"/>
              <w:ind w:right="198"/>
              <w:jc w:val="right"/>
              <w:rPr>
                <w:sz w:val="18"/>
              </w:rPr>
            </w:pPr>
            <w:r>
              <w:rPr>
                <w:color w:val="231F20"/>
                <w:sz w:val="18"/>
              </w:rPr>
              <w:t>100.0</w:t>
            </w:r>
          </w:p>
        </w:tc>
        <w:tc>
          <w:tcPr>
            <w:tcW w:w="850" w:type="dxa"/>
          </w:tcPr>
          <w:p>
            <w:pPr>
              <w:pStyle w:val="TableParagraph"/>
              <w:spacing w:before="92"/>
              <w:ind w:left="71"/>
              <w:rPr>
                <w:sz w:val="18"/>
              </w:rPr>
            </w:pPr>
            <w:r>
              <w:rPr>
                <w:color w:val="231F20"/>
                <w:w w:val="105"/>
                <w:sz w:val="18"/>
              </w:rPr>
              <w:t>75.9</w:t>
            </w:r>
          </w:p>
        </w:tc>
        <w:tc>
          <w:tcPr>
            <w:tcW w:w="850" w:type="dxa"/>
          </w:tcPr>
          <w:p>
            <w:pPr>
              <w:pStyle w:val="TableParagraph"/>
              <w:spacing w:before="92"/>
              <w:ind w:left="71"/>
              <w:rPr>
                <w:sz w:val="18"/>
              </w:rPr>
            </w:pPr>
            <w:r>
              <w:rPr>
                <w:color w:val="231F20"/>
                <w:w w:val="105"/>
                <w:sz w:val="18"/>
              </w:rPr>
              <w:t>24.1</w:t>
            </w:r>
          </w:p>
        </w:tc>
        <w:tc>
          <w:tcPr>
            <w:tcW w:w="737" w:type="dxa"/>
          </w:tcPr>
          <w:p>
            <w:pPr>
              <w:pStyle w:val="TableParagraph"/>
              <w:spacing w:before="92"/>
              <w:ind w:right="198"/>
              <w:jc w:val="right"/>
              <w:rPr>
                <w:sz w:val="18"/>
              </w:rPr>
            </w:pPr>
            <w:r>
              <w:rPr>
                <w:color w:val="231F20"/>
                <w:sz w:val="18"/>
              </w:rPr>
              <w:t>100.0</w:t>
            </w:r>
          </w:p>
        </w:tc>
        <w:tc>
          <w:tcPr>
            <w:tcW w:w="850" w:type="dxa"/>
          </w:tcPr>
          <w:p>
            <w:pPr>
              <w:pStyle w:val="TableParagraph"/>
              <w:spacing w:before="92"/>
              <w:ind w:left="71"/>
              <w:rPr>
                <w:sz w:val="18"/>
              </w:rPr>
            </w:pPr>
            <w:r>
              <w:rPr>
                <w:color w:val="231F20"/>
                <w:w w:val="105"/>
                <w:sz w:val="18"/>
              </w:rPr>
              <w:t>82.5</w:t>
            </w:r>
          </w:p>
        </w:tc>
        <w:tc>
          <w:tcPr>
            <w:tcW w:w="850" w:type="dxa"/>
          </w:tcPr>
          <w:p>
            <w:pPr>
              <w:pStyle w:val="TableParagraph"/>
              <w:spacing w:before="92"/>
              <w:ind w:left="71"/>
              <w:rPr>
                <w:sz w:val="18"/>
              </w:rPr>
            </w:pPr>
            <w:r>
              <w:rPr>
                <w:color w:val="231F20"/>
                <w:w w:val="105"/>
                <w:sz w:val="18"/>
              </w:rPr>
              <w:t>17.5</w:t>
            </w:r>
          </w:p>
        </w:tc>
      </w:tr>
      <w:tr>
        <w:trPr>
          <w:trHeight w:val="340" w:hRule="exact"/>
        </w:trPr>
        <w:tc>
          <w:tcPr>
            <w:tcW w:w="277" w:type="dxa"/>
          </w:tcPr>
          <w:p>
            <w:pPr/>
          </w:p>
        </w:tc>
        <w:tc>
          <w:tcPr>
            <w:tcW w:w="222" w:type="dxa"/>
          </w:tcPr>
          <w:p>
            <w:pPr/>
          </w:p>
        </w:tc>
        <w:tc>
          <w:tcPr>
            <w:tcW w:w="1539" w:type="dxa"/>
          </w:tcPr>
          <w:p>
            <w:pPr>
              <w:pStyle w:val="TableParagraph"/>
              <w:spacing w:before="92"/>
              <w:ind w:left="71"/>
              <w:rPr>
                <w:sz w:val="18"/>
              </w:rPr>
            </w:pPr>
            <w:r>
              <w:rPr>
                <w:color w:val="231F20"/>
                <w:w w:val="110"/>
                <w:sz w:val="18"/>
              </w:rPr>
              <w:t>Otro</w:t>
            </w:r>
          </w:p>
        </w:tc>
        <w:tc>
          <w:tcPr>
            <w:tcW w:w="737" w:type="dxa"/>
          </w:tcPr>
          <w:p>
            <w:pPr>
              <w:pStyle w:val="TableParagraph"/>
              <w:spacing w:before="92"/>
              <w:ind w:right="198"/>
              <w:jc w:val="right"/>
              <w:rPr>
                <w:sz w:val="18"/>
              </w:rPr>
            </w:pPr>
            <w:r>
              <w:rPr>
                <w:color w:val="231F20"/>
                <w:sz w:val="18"/>
              </w:rPr>
              <w:t>100.0</w:t>
            </w:r>
          </w:p>
        </w:tc>
        <w:tc>
          <w:tcPr>
            <w:tcW w:w="850" w:type="dxa"/>
          </w:tcPr>
          <w:p>
            <w:pPr>
              <w:pStyle w:val="TableParagraph"/>
              <w:spacing w:before="92"/>
              <w:ind w:left="71"/>
              <w:rPr>
                <w:sz w:val="18"/>
              </w:rPr>
            </w:pPr>
            <w:r>
              <w:rPr>
                <w:color w:val="231F20"/>
                <w:w w:val="105"/>
                <w:sz w:val="18"/>
              </w:rPr>
              <w:t>89.0</w:t>
            </w:r>
          </w:p>
        </w:tc>
        <w:tc>
          <w:tcPr>
            <w:tcW w:w="850" w:type="dxa"/>
          </w:tcPr>
          <w:p>
            <w:pPr>
              <w:pStyle w:val="TableParagraph"/>
              <w:spacing w:before="92"/>
              <w:ind w:left="71"/>
              <w:rPr>
                <w:sz w:val="18"/>
              </w:rPr>
            </w:pPr>
            <w:r>
              <w:rPr>
                <w:color w:val="231F20"/>
                <w:w w:val="105"/>
                <w:sz w:val="18"/>
              </w:rPr>
              <w:t>11.0</w:t>
            </w:r>
          </w:p>
        </w:tc>
        <w:tc>
          <w:tcPr>
            <w:tcW w:w="737" w:type="dxa"/>
          </w:tcPr>
          <w:p>
            <w:pPr>
              <w:pStyle w:val="TableParagraph"/>
              <w:spacing w:before="92"/>
              <w:ind w:right="199"/>
              <w:jc w:val="right"/>
              <w:rPr>
                <w:sz w:val="18"/>
              </w:rPr>
            </w:pPr>
            <w:r>
              <w:rPr>
                <w:color w:val="231F20"/>
                <w:sz w:val="18"/>
              </w:rPr>
              <w:t>100.0</w:t>
            </w:r>
          </w:p>
        </w:tc>
        <w:tc>
          <w:tcPr>
            <w:tcW w:w="850" w:type="dxa"/>
          </w:tcPr>
          <w:p>
            <w:pPr>
              <w:pStyle w:val="TableParagraph"/>
              <w:spacing w:before="92"/>
              <w:ind w:left="70"/>
              <w:rPr>
                <w:sz w:val="18"/>
              </w:rPr>
            </w:pPr>
            <w:r>
              <w:rPr>
                <w:color w:val="231F20"/>
                <w:w w:val="105"/>
                <w:sz w:val="18"/>
              </w:rPr>
              <w:t>88.3</w:t>
            </w:r>
          </w:p>
        </w:tc>
        <w:tc>
          <w:tcPr>
            <w:tcW w:w="850" w:type="dxa"/>
          </w:tcPr>
          <w:p>
            <w:pPr>
              <w:pStyle w:val="TableParagraph"/>
              <w:spacing w:before="92"/>
              <w:ind w:left="70"/>
              <w:rPr>
                <w:sz w:val="18"/>
              </w:rPr>
            </w:pPr>
            <w:r>
              <w:rPr>
                <w:color w:val="231F20"/>
                <w:w w:val="105"/>
                <w:sz w:val="18"/>
              </w:rPr>
              <w:t>11.7</w:t>
            </w:r>
          </w:p>
        </w:tc>
      </w:tr>
    </w:tbl>
    <w:p>
      <w:pPr>
        <w:spacing w:line="254" w:lineRule="auto" w:before="78"/>
        <w:ind w:left="1837" w:right="1683" w:firstLine="0"/>
        <w:jc w:val="left"/>
        <w:rPr>
          <w:sz w:val="16"/>
        </w:rPr>
      </w:pPr>
      <w:r>
        <w:rPr>
          <w:color w:val="231F20"/>
          <w:sz w:val="16"/>
        </w:rPr>
        <w:t>Nota: números en itálicas corresponden a estimaciones con menos de 50 casos muestrales. Fuente: estimaciones propias con base </w:t>
      </w:r>
      <w:r>
        <w:rPr>
          <w:color w:val="231F20"/>
          <w:sz w:val="14"/>
        </w:rPr>
        <w:t>INEGI</w:t>
      </w:r>
      <w:r>
        <w:rPr>
          <w:color w:val="231F20"/>
          <w:sz w:val="16"/>
        </w:rPr>
        <w:t>, muestras censales de </w:t>
      </w:r>
      <w:r>
        <w:rPr>
          <w:color w:val="231F20"/>
          <w:sz w:val="14"/>
        </w:rPr>
        <w:t>XII </w:t>
      </w:r>
      <w:r>
        <w:rPr>
          <w:color w:val="231F20"/>
          <w:sz w:val="16"/>
        </w:rPr>
        <w:t>Censo General de Pobla- ción y Vivienda 2000 y Censo de Población y Vivienda 2010.</w:t>
      </w:r>
    </w:p>
    <w:p>
      <w:pPr>
        <w:pStyle w:val="BodyText"/>
        <w:rPr>
          <w:sz w:val="16"/>
        </w:rPr>
      </w:pPr>
    </w:p>
    <w:p>
      <w:pPr>
        <w:pStyle w:val="BodyText"/>
        <w:rPr>
          <w:sz w:val="16"/>
        </w:rPr>
      </w:pPr>
    </w:p>
    <w:p>
      <w:pPr>
        <w:pStyle w:val="Heading3"/>
        <w:spacing w:before="120"/>
        <w:jc w:val="left"/>
      </w:pPr>
      <w:r>
        <w:rPr>
          <w:color w:val="231F20"/>
          <w:w w:val="95"/>
        </w:rPr>
        <w:t>Discusión y conclusiones</w:t>
      </w:r>
    </w:p>
    <w:p>
      <w:pPr>
        <w:pStyle w:val="BodyText"/>
        <w:rPr>
          <w:rFonts w:ascii="Arial"/>
          <w:b/>
          <w:sz w:val="22"/>
        </w:rPr>
      </w:pPr>
    </w:p>
    <w:p>
      <w:pPr>
        <w:pStyle w:val="BodyText"/>
        <w:spacing w:line="261" w:lineRule="auto" w:before="163"/>
        <w:ind w:left="1837" w:right="1721"/>
        <w:jc w:val="both"/>
      </w:pPr>
      <w:r>
        <w:rPr/>
        <w:pict>
          <v:line style="position:absolute;mso-position-horizontal-relative:page;mso-position-vertical-relative:paragraph;z-index:-455992" from="15pt,119.443291pt" to="0pt,119.443291pt" stroked="true" strokeweight=".25pt" strokecolor="#000000">
            <w10:wrap type="none"/>
          </v:line>
        </w:pict>
      </w:r>
      <w:r>
        <w:rPr/>
        <w:pict>
          <v:line style="position:absolute;mso-position-horizontal-relative:page;mso-position-vertical-relative:paragraph;z-index:34216" from="508.890015pt,119.443291pt" to="523.890015pt,119.443291pt" stroked="true" strokeweight=".25pt" strokecolor="#000000">
            <w10:wrap type="none"/>
          </v:line>
        </w:pict>
      </w:r>
      <w:r>
        <w:rPr>
          <w:color w:val="231F20"/>
          <w:w w:val="105"/>
        </w:rPr>
        <w:t>La</w:t>
      </w:r>
      <w:r>
        <w:rPr>
          <w:color w:val="231F20"/>
          <w:spacing w:val="-6"/>
          <w:w w:val="105"/>
        </w:rPr>
        <w:t> </w:t>
      </w:r>
      <w:r>
        <w:rPr>
          <w:color w:val="231F20"/>
          <w:w w:val="105"/>
        </w:rPr>
        <w:t>dinámica</w:t>
      </w:r>
      <w:r>
        <w:rPr>
          <w:color w:val="231F20"/>
          <w:spacing w:val="-6"/>
          <w:w w:val="105"/>
        </w:rPr>
        <w:t> </w:t>
      </w:r>
      <w:r>
        <w:rPr>
          <w:color w:val="231F20"/>
          <w:w w:val="105"/>
        </w:rPr>
        <w:t>migratoria</w:t>
      </w:r>
      <w:r>
        <w:rPr>
          <w:color w:val="231F20"/>
          <w:spacing w:val="-6"/>
          <w:w w:val="105"/>
        </w:rPr>
        <w:t> </w:t>
      </w:r>
      <w:r>
        <w:rPr>
          <w:color w:val="231F20"/>
          <w:w w:val="105"/>
        </w:rPr>
        <w:t>del</w:t>
      </w:r>
      <w:r>
        <w:rPr>
          <w:color w:val="231F20"/>
          <w:spacing w:val="-6"/>
          <w:w w:val="105"/>
        </w:rPr>
        <w:t> </w:t>
      </w:r>
      <w:r>
        <w:rPr>
          <w:color w:val="231F20"/>
          <w:w w:val="105"/>
        </w:rPr>
        <w:t>Estado</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resultado</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se- rie de patrones históricos, conjugados con nuevas tendencias y moda- lidades</w:t>
      </w:r>
      <w:r>
        <w:rPr>
          <w:color w:val="231F20"/>
          <w:spacing w:val="20"/>
          <w:w w:val="105"/>
        </w:rPr>
        <w:t> </w:t>
      </w:r>
      <w:r>
        <w:rPr>
          <w:color w:val="231F20"/>
          <w:w w:val="105"/>
        </w:rPr>
        <w:t>de</w:t>
      </w:r>
      <w:r>
        <w:rPr>
          <w:color w:val="231F20"/>
          <w:spacing w:val="20"/>
          <w:w w:val="105"/>
        </w:rPr>
        <w:t> </w:t>
      </w:r>
      <w:r>
        <w:rPr>
          <w:color w:val="231F20"/>
          <w:w w:val="105"/>
        </w:rPr>
        <w:t>migración</w:t>
      </w:r>
      <w:r>
        <w:rPr>
          <w:color w:val="231F20"/>
          <w:spacing w:val="20"/>
          <w:w w:val="105"/>
        </w:rPr>
        <w:t> </w:t>
      </w:r>
      <w:r>
        <w:rPr>
          <w:color w:val="231F20"/>
          <w:w w:val="105"/>
        </w:rPr>
        <w:t>a</w:t>
      </w:r>
      <w:r>
        <w:rPr>
          <w:color w:val="231F20"/>
          <w:spacing w:val="20"/>
          <w:w w:val="105"/>
        </w:rPr>
        <w:t> </w:t>
      </w:r>
      <w:r>
        <w:rPr>
          <w:color w:val="231F20"/>
          <w:w w:val="105"/>
        </w:rPr>
        <w:t>lo</w:t>
      </w:r>
      <w:r>
        <w:rPr>
          <w:color w:val="231F20"/>
          <w:spacing w:val="20"/>
          <w:w w:val="105"/>
        </w:rPr>
        <w:t> </w:t>
      </w:r>
      <w:r>
        <w:rPr>
          <w:color w:val="231F20"/>
          <w:w w:val="105"/>
        </w:rPr>
        <w:t>largo</w:t>
      </w:r>
      <w:r>
        <w:rPr>
          <w:color w:val="231F20"/>
          <w:spacing w:val="20"/>
          <w:w w:val="105"/>
        </w:rPr>
        <w:t> </w:t>
      </w:r>
      <w:r>
        <w:rPr>
          <w:color w:val="231F20"/>
          <w:w w:val="105"/>
        </w:rPr>
        <w:t>y</w:t>
      </w:r>
      <w:r>
        <w:rPr>
          <w:color w:val="231F20"/>
          <w:spacing w:val="20"/>
          <w:w w:val="105"/>
        </w:rPr>
        <w:t> </w:t>
      </w:r>
      <w:r>
        <w:rPr>
          <w:color w:val="231F20"/>
          <w:w w:val="105"/>
        </w:rPr>
        <w:t>ancho</w:t>
      </w:r>
      <w:r>
        <w:rPr>
          <w:color w:val="231F20"/>
          <w:spacing w:val="20"/>
          <w:w w:val="105"/>
        </w:rPr>
        <w:t> </w:t>
      </w:r>
      <w:r>
        <w:rPr>
          <w:color w:val="231F20"/>
          <w:w w:val="105"/>
        </w:rPr>
        <w:t>del</w:t>
      </w:r>
      <w:r>
        <w:rPr>
          <w:color w:val="231F20"/>
          <w:spacing w:val="20"/>
          <w:w w:val="105"/>
        </w:rPr>
        <w:t> </w:t>
      </w:r>
      <w:r>
        <w:rPr>
          <w:color w:val="231F20"/>
          <w:w w:val="105"/>
        </w:rPr>
        <w:t>territorio</w:t>
      </w:r>
      <w:r>
        <w:rPr>
          <w:color w:val="231F20"/>
          <w:spacing w:val="20"/>
          <w:w w:val="105"/>
        </w:rPr>
        <w:t> </w:t>
      </w:r>
      <w:r>
        <w:rPr>
          <w:color w:val="231F20"/>
          <w:w w:val="105"/>
        </w:rPr>
        <w:t>estatal.</w:t>
      </w:r>
      <w:r>
        <w:rPr>
          <w:color w:val="231F20"/>
          <w:spacing w:val="13"/>
          <w:w w:val="105"/>
        </w:rPr>
        <w:t> </w:t>
      </w:r>
      <w:r>
        <w:rPr>
          <w:color w:val="231F20"/>
          <w:w w:val="105"/>
        </w:rPr>
        <w:t>De</w:t>
      </w:r>
      <w:r>
        <w:rPr>
          <w:color w:val="231F20"/>
          <w:spacing w:val="20"/>
          <w:w w:val="105"/>
        </w:rPr>
        <w:t> </w:t>
      </w:r>
      <w:r>
        <w:rPr>
          <w:color w:val="231F20"/>
          <w:w w:val="105"/>
        </w:rPr>
        <w:t>igual</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9"/>
        <w:jc w:val="both"/>
      </w:pPr>
      <w:r>
        <w:rPr/>
        <w:pict>
          <v:line style="position:absolute;mso-position-horizontal-relative:page;mso-position-vertical-relative:paragraph;z-index:34264" from="15pt,-71.68644pt" to="0pt,-71.68644pt" stroked="true" strokeweight=".25pt" strokecolor="#000000">
            <w10:wrap type="none"/>
          </v:line>
        </w:pict>
      </w:r>
      <w:r>
        <w:rPr/>
        <w:pict>
          <v:line style="position:absolute;mso-position-horizontal-relative:page;mso-position-vertical-relative:paragraph;z-index:34288" from="508.890015pt,-71.68644pt" to="523.890015pt,-71.68644pt" stroked="true" strokeweight=".25pt" strokecolor="#000000">
            <w10:wrap type="none"/>
          </v:line>
        </w:pict>
      </w:r>
      <w:r>
        <w:rPr>
          <w:color w:val="231F20"/>
          <w:w w:val="105"/>
        </w:rPr>
        <w:t>manera,</w:t>
      </w:r>
      <w:r>
        <w:rPr>
          <w:color w:val="231F20"/>
          <w:spacing w:val="-13"/>
          <w:w w:val="105"/>
        </w:rPr>
        <w:t> </w:t>
      </w:r>
      <w:r>
        <w:rPr>
          <w:color w:val="231F20"/>
          <w:w w:val="105"/>
        </w:rPr>
        <w:t>los</w:t>
      </w:r>
      <w:r>
        <w:rPr>
          <w:color w:val="231F20"/>
          <w:spacing w:val="-8"/>
          <w:w w:val="105"/>
        </w:rPr>
        <w:t> </w:t>
      </w:r>
      <w:r>
        <w:rPr>
          <w:color w:val="231F20"/>
          <w:w w:val="105"/>
        </w:rPr>
        <w:t>niveles</w:t>
      </w:r>
      <w:r>
        <w:rPr>
          <w:color w:val="231F20"/>
          <w:spacing w:val="-8"/>
          <w:w w:val="105"/>
        </w:rPr>
        <w:t> </w:t>
      </w:r>
      <w:r>
        <w:rPr>
          <w:color w:val="231F20"/>
          <w:w w:val="105"/>
        </w:rPr>
        <w:t>y</w:t>
      </w:r>
      <w:r>
        <w:rPr>
          <w:color w:val="231F20"/>
          <w:spacing w:val="-8"/>
          <w:w w:val="105"/>
        </w:rPr>
        <w:t> </w:t>
      </w:r>
      <w:r>
        <w:rPr>
          <w:color w:val="231F20"/>
          <w:w w:val="105"/>
        </w:rPr>
        <w:t>tendencias</w:t>
      </w:r>
      <w:r>
        <w:rPr>
          <w:color w:val="231F20"/>
          <w:spacing w:val="-8"/>
          <w:w w:val="105"/>
        </w:rPr>
        <w:t> </w:t>
      </w:r>
      <w:r>
        <w:rPr>
          <w:color w:val="231F20"/>
          <w:w w:val="105"/>
        </w:rPr>
        <w:t>migratorias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entidad,</w:t>
      </w:r>
      <w:r>
        <w:rPr>
          <w:color w:val="231F20"/>
          <w:spacing w:val="-13"/>
          <w:w w:val="105"/>
        </w:rPr>
        <w:t> </w:t>
      </w:r>
      <w:r>
        <w:rPr>
          <w:color w:val="231F20"/>
          <w:w w:val="105"/>
        </w:rPr>
        <w:t>así</w:t>
      </w:r>
      <w:r>
        <w:rPr>
          <w:color w:val="231F20"/>
          <w:spacing w:val="-8"/>
          <w:w w:val="105"/>
        </w:rPr>
        <w:t> </w:t>
      </w:r>
      <w:r>
        <w:rPr>
          <w:color w:val="231F20"/>
          <w:w w:val="105"/>
        </w:rPr>
        <w:t>como</w:t>
      </w:r>
      <w:r>
        <w:rPr>
          <w:color w:val="231F20"/>
          <w:spacing w:val="-8"/>
          <w:w w:val="105"/>
        </w:rPr>
        <w:t> </w:t>
      </w:r>
      <w:r>
        <w:rPr>
          <w:color w:val="231F20"/>
          <w:w w:val="105"/>
        </w:rPr>
        <w:t>los niveles</w:t>
      </w:r>
      <w:r>
        <w:rPr>
          <w:color w:val="231F20"/>
          <w:spacing w:val="-25"/>
          <w:w w:val="105"/>
        </w:rPr>
        <w:t> </w:t>
      </w:r>
      <w:r>
        <w:rPr>
          <w:color w:val="231F20"/>
          <w:w w:val="105"/>
        </w:rPr>
        <w:t>observados</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país,</w:t>
      </w:r>
      <w:r>
        <w:rPr>
          <w:color w:val="231F20"/>
          <w:spacing w:val="-29"/>
          <w:w w:val="105"/>
        </w:rPr>
        <w:t> </w:t>
      </w:r>
      <w:r>
        <w:rPr>
          <w:color w:val="231F20"/>
          <w:w w:val="105"/>
        </w:rPr>
        <w:t>obedecen</w:t>
      </w:r>
      <w:r>
        <w:rPr>
          <w:color w:val="231F20"/>
          <w:spacing w:val="-25"/>
          <w:w w:val="105"/>
        </w:rPr>
        <w:t> </w:t>
      </w:r>
      <w:r>
        <w:rPr>
          <w:color w:val="231F20"/>
          <w:w w:val="105"/>
        </w:rPr>
        <w:t>a</w:t>
      </w:r>
      <w:r>
        <w:rPr>
          <w:color w:val="231F20"/>
          <w:spacing w:val="-25"/>
          <w:w w:val="105"/>
        </w:rPr>
        <w:t> </w:t>
      </w:r>
      <w:r>
        <w:rPr>
          <w:color w:val="231F20"/>
          <w:w w:val="105"/>
        </w:rPr>
        <w:t>una</w:t>
      </w:r>
      <w:r>
        <w:rPr>
          <w:color w:val="231F20"/>
          <w:spacing w:val="-25"/>
          <w:w w:val="105"/>
        </w:rPr>
        <w:t> </w:t>
      </w:r>
      <w:r>
        <w:rPr>
          <w:color w:val="231F20"/>
          <w:w w:val="105"/>
        </w:rPr>
        <w:t>serie</w:t>
      </w:r>
      <w:r>
        <w:rPr>
          <w:color w:val="231F20"/>
          <w:spacing w:val="-25"/>
          <w:w w:val="105"/>
        </w:rPr>
        <w:t> </w:t>
      </w:r>
      <w:r>
        <w:rPr>
          <w:color w:val="231F20"/>
          <w:w w:val="105"/>
        </w:rPr>
        <w:t>de</w:t>
      </w:r>
      <w:r>
        <w:rPr>
          <w:color w:val="231F20"/>
          <w:spacing w:val="-25"/>
          <w:w w:val="105"/>
        </w:rPr>
        <w:t> </w:t>
      </w:r>
      <w:r>
        <w:rPr>
          <w:color w:val="231F20"/>
          <w:w w:val="105"/>
        </w:rPr>
        <w:t>factores</w:t>
      </w:r>
      <w:r>
        <w:rPr>
          <w:color w:val="231F20"/>
          <w:spacing w:val="-25"/>
          <w:w w:val="105"/>
        </w:rPr>
        <w:t> </w:t>
      </w:r>
      <w:r>
        <w:rPr>
          <w:color w:val="231F20"/>
          <w:w w:val="105"/>
        </w:rPr>
        <w:t>sociales, económicos y</w:t>
      </w:r>
      <w:r>
        <w:rPr>
          <w:color w:val="231F20"/>
          <w:spacing w:val="-26"/>
          <w:w w:val="105"/>
        </w:rPr>
        <w:t> </w:t>
      </w:r>
      <w:r>
        <w:rPr>
          <w:color w:val="231F20"/>
          <w:w w:val="105"/>
        </w:rPr>
        <w:t>políticos.</w:t>
      </w:r>
    </w:p>
    <w:p>
      <w:pPr>
        <w:pStyle w:val="BodyText"/>
        <w:spacing w:line="261" w:lineRule="auto" w:before="1"/>
        <w:ind w:left="1723" w:right="1828" w:firstLine="567"/>
        <w:jc w:val="both"/>
      </w:pPr>
      <w:r>
        <w:rPr>
          <w:color w:val="231F20"/>
          <w:w w:val="105"/>
        </w:rPr>
        <w:t>La migración de retorno en el Estado de México estuvo caracter- izada por incrementos considerables en su volumen. La composición por sexo de este grupo migratorio se modificó de manera</w:t>
      </w:r>
      <w:r>
        <w:rPr>
          <w:color w:val="231F20"/>
          <w:spacing w:val="-29"/>
          <w:w w:val="105"/>
        </w:rPr>
        <w:t> </w:t>
      </w:r>
      <w:r>
        <w:rPr>
          <w:color w:val="231F20"/>
          <w:w w:val="105"/>
        </w:rPr>
        <w:t>considerable, dado</w:t>
      </w:r>
      <w:r>
        <w:rPr>
          <w:color w:val="231F20"/>
          <w:spacing w:val="-6"/>
          <w:w w:val="105"/>
        </w:rPr>
        <w:t> </w:t>
      </w:r>
      <w:r>
        <w:rPr>
          <w:color w:val="231F20"/>
          <w:w w:val="105"/>
        </w:rPr>
        <w:t>que</w:t>
      </w:r>
      <w:r>
        <w:rPr>
          <w:color w:val="231F20"/>
          <w:spacing w:val="-6"/>
          <w:w w:val="105"/>
        </w:rPr>
        <w:t> </w:t>
      </w:r>
      <w:r>
        <w:rPr>
          <w:color w:val="231F20"/>
          <w:w w:val="105"/>
        </w:rPr>
        <w:t>las</w:t>
      </w:r>
      <w:r>
        <w:rPr>
          <w:color w:val="231F20"/>
          <w:spacing w:val="-6"/>
          <w:w w:val="105"/>
        </w:rPr>
        <w:t> </w:t>
      </w:r>
      <w:r>
        <w:rPr>
          <w:color w:val="231F20"/>
          <w:w w:val="105"/>
        </w:rPr>
        <w:t>mujeres</w:t>
      </w:r>
      <w:r>
        <w:rPr>
          <w:color w:val="231F20"/>
          <w:spacing w:val="-6"/>
          <w:w w:val="105"/>
        </w:rPr>
        <w:t> </w:t>
      </w:r>
      <w:r>
        <w:rPr>
          <w:color w:val="231F20"/>
          <w:w w:val="105"/>
        </w:rPr>
        <w:t>retornadas</w:t>
      </w:r>
      <w:r>
        <w:rPr>
          <w:color w:val="231F20"/>
          <w:spacing w:val="-6"/>
          <w:w w:val="105"/>
        </w:rPr>
        <w:t> </w:t>
      </w:r>
      <w:r>
        <w:rPr>
          <w:color w:val="231F20"/>
          <w:w w:val="105"/>
        </w:rPr>
        <w:t>redujeron</w:t>
      </w:r>
      <w:r>
        <w:rPr>
          <w:color w:val="231F20"/>
          <w:spacing w:val="-6"/>
          <w:w w:val="105"/>
        </w:rPr>
        <w:t> </w:t>
      </w:r>
      <w:r>
        <w:rPr>
          <w:color w:val="231F20"/>
          <w:w w:val="105"/>
        </w:rPr>
        <w:t>su</w:t>
      </w:r>
      <w:r>
        <w:rPr>
          <w:color w:val="231F20"/>
          <w:spacing w:val="-6"/>
          <w:w w:val="105"/>
        </w:rPr>
        <w:t> </w:t>
      </w:r>
      <w:r>
        <w:rPr>
          <w:color w:val="231F20"/>
          <w:w w:val="105"/>
        </w:rPr>
        <w:t>representación.</w:t>
      </w:r>
      <w:r>
        <w:rPr>
          <w:color w:val="231F20"/>
          <w:spacing w:val="-11"/>
          <w:w w:val="105"/>
        </w:rPr>
        <w:t> </w:t>
      </w:r>
      <w:r>
        <w:rPr>
          <w:color w:val="231F20"/>
          <w:w w:val="105"/>
        </w:rPr>
        <w:t>Un</w:t>
      </w:r>
      <w:r>
        <w:rPr>
          <w:color w:val="231F20"/>
          <w:spacing w:val="-6"/>
          <w:w w:val="105"/>
        </w:rPr>
        <w:t> </w:t>
      </w:r>
      <w:r>
        <w:rPr>
          <w:color w:val="231F20"/>
          <w:w w:val="105"/>
        </w:rPr>
        <w:t>com- portamiento similar se observó entre migrantes circulares,</w:t>
      </w:r>
      <w:r>
        <w:rPr>
          <w:color w:val="231F20"/>
          <w:spacing w:val="-43"/>
          <w:w w:val="105"/>
        </w:rPr>
        <w:t> </w:t>
      </w:r>
      <w:r>
        <w:rPr>
          <w:color w:val="231F20"/>
          <w:w w:val="105"/>
        </w:rPr>
        <w:t>en los que la importancia relativa de las mujeres disminuyó en el periodo analizado. Cabe preguntar si las reducciones en los emigrantes y migrantes</w:t>
      </w:r>
      <w:r>
        <w:rPr>
          <w:color w:val="231F20"/>
          <w:spacing w:val="-17"/>
          <w:w w:val="105"/>
        </w:rPr>
        <w:t> </w:t>
      </w:r>
      <w:r>
        <w:rPr>
          <w:color w:val="231F20"/>
          <w:w w:val="105"/>
        </w:rPr>
        <w:t>circu- lares</w:t>
      </w:r>
      <w:r>
        <w:rPr>
          <w:color w:val="231F20"/>
          <w:spacing w:val="-10"/>
          <w:w w:val="105"/>
        </w:rPr>
        <w:t> </w:t>
      </w:r>
      <w:r>
        <w:rPr>
          <w:color w:val="231F20"/>
          <w:w w:val="105"/>
        </w:rPr>
        <w:t>responden</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menor</w:t>
      </w:r>
      <w:r>
        <w:rPr>
          <w:color w:val="231F20"/>
          <w:spacing w:val="-10"/>
          <w:w w:val="105"/>
        </w:rPr>
        <w:t> </w:t>
      </w:r>
      <w:r>
        <w:rPr>
          <w:color w:val="231F20"/>
          <w:w w:val="105"/>
        </w:rPr>
        <w:t>participación</w:t>
      </w:r>
      <w:r>
        <w:rPr>
          <w:color w:val="231F20"/>
          <w:spacing w:val="-10"/>
          <w:w w:val="105"/>
        </w:rPr>
        <w:t> </w:t>
      </w:r>
      <w:r>
        <w:rPr>
          <w:color w:val="231F20"/>
          <w:w w:val="105"/>
        </w:rPr>
        <w:t>migratoria</w:t>
      </w:r>
      <w:r>
        <w:rPr>
          <w:color w:val="231F20"/>
          <w:spacing w:val="-10"/>
          <w:w w:val="105"/>
        </w:rPr>
        <w:t> </w:t>
      </w:r>
      <w:r>
        <w:rPr>
          <w:color w:val="231F20"/>
          <w:w w:val="105"/>
        </w:rPr>
        <w:t>femenina</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enti- dad</w:t>
      </w:r>
      <w:r>
        <w:rPr>
          <w:color w:val="231F20"/>
          <w:spacing w:val="-6"/>
          <w:w w:val="105"/>
        </w:rPr>
        <w:t> </w:t>
      </w:r>
      <w:r>
        <w:rPr>
          <w:color w:val="231F20"/>
          <w:w w:val="105"/>
        </w:rPr>
        <w:t>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modalidad</w:t>
      </w:r>
      <w:r>
        <w:rPr>
          <w:color w:val="231F20"/>
          <w:spacing w:val="-6"/>
          <w:w w:val="105"/>
        </w:rPr>
        <w:t> </w:t>
      </w:r>
      <w:r>
        <w:rPr>
          <w:color w:val="231F20"/>
          <w:w w:val="105"/>
        </w:rPr>
        <w:t>de</w:t>
      </w:r>
      <w:r>
        <w:rPr>
          <w:color w:val="231F20"/>
          <w:spacing w:val="-6"/>
          <w:w w:val="105"/>
        </w:rPr>
        <w:t> </w:t>
      </w:r>
      <w:r>
        <w:rPr>
          <w:color w:val="231F20"/>
          <w:w w:val="105"/>
        </w:rPr>
        <w:t>migración.</w:t>
      </w:r>
      <w:r>
        <w:rPr>
          <w:color w:val="231F20"/>
          <w:spacing w:val="-14"/>
          <w:w w:val="105"/>
        </w:rPr>
        <w:t> </w:t>
      </w:r>
      <w:r>
        <w:rPr>
          <w:color w:val="231F20"/>
          <w:spacing w:val="-6"/>
          <w:w w:val="105"/>
        </w:rPr>
        <w:t>Por </w:t>
      </w:r>
      <w:r>
        <w:rPr>
          <w:color w:val="231F20"/>
          <w:w w:val="105"/>
        </w:rPr>
        <w:t>otro</w:t>
      </w:r>
      <w:r>
        <w:rPr>
          <w:color w:val="231F20"/>
          <w:spacing w:val="-6"/>
          <w:w w:val="105"/>
        </w:rPr>
        <w:t> </w:t>
      </w:r>
      <w:r>
        <w:rPr>
          <w:color w:val="231F20"/>
          <w:w w:val="105"/>
        </w:rPr>
        <w:t>lado,</w:t>
      </w:r>
      <w:r>
        <w:rPr>
          <w:color w:val="231F20"/>
          <w:spacing w:val="-14"/>
          <w:w w:val="105"/>
        </w:rPr>
        <w:t> </w:t>
      </w:r>
      <w:r>
        <w:rPr>
          <w:color w:val="231F20"/>
          <w:w w:val="105"/>
        </w:rPr>
        <w:t>la</w:t>
      </w:r>
      <w:r>
        <w:rPr>
          <w:color w:val="231F20"/>
          <w:spacing w:val="-6"/>
          <w:w w:val="105"/>
        </w:rPr>
        <w:t> </w:t>
      </w:r>
      <w:r>
        <w:rPr>
          <w:color w:val="231F20"/>
          <w:w w:val="105"/>
        </w:rPr>
        <w:t>menor</w:t>
      </w:r>
      <w:r>
        <w:rPr>
          <w:color w:val="231F20"/>
          <w:spacing w:val="-6"/>
          <w:w w:val="105"/>
        </w:rPr>
        <w:t> </w:t>
      </w:r>
      <w:r>
        <w:rPr>
          <w:color w:val="231F20"/>
          <w:w w:val="105"/>
        </w:rPr>
        <w:t>participación femenina en la migración no corresponde a los valores observados en la</w:t>
      </w:r>
      <w:r>
        <w:rPr>
          <w:color w:val="231F20"/>
          <w:spacing w:val="-6"/>
          <w:w w:val="105"/>
        </w:rPr>
        <w:t> </w:t>
      </w:r>
      <w:r>
        <w:rPr>
          <w:color w:val="231F20"/>
          <w:w w:val="105"/>
        </w:rPr>
        <w:t>proporción</w:t>
      </w:r>
      <w:r>
        <w:rPr>
          <w:color w:val="231F20"/>
          <w:spacing w:val="-6"/>
          <w:w w:val="105"/>
        </w:rPr>
        <w:t> </w:t>
      </w:r>
      <w:r>
        <w:rPr>
          <w:color w:val="231F20"/>
          <w:w w:val="105"/>
        </w:rPr>
        <w:t>de</w:t>
      </w:r>
      <w:r>
        <w:rPr>
          <w:color w:val="231F20"/>
          <w:spacing w:val="-6"/>
          <w:w w:val="105"/>
        </w:rPr>
        <w:t> </w:t>
      </w:r>
      <w:r>
        <w:rPr>
          <w:color w:val="231F20"/>
          <w:w w:val="105"/>
        </w:rPr>
        <w:t>mujeres</w:t>
      </w:r>
      <w:r>
        <w:rPr>
          <w:color w:val="231F20"/>
          <w:spacing w:val="-6"/>
          <w:w w:val="105"/>
        </w:rPr>
        <w:t> </w:t>
      </w:r>
      <w:r>
        <w:rPr>
          <w:color w:val="231F20"/>
          <w:w w:val="105"/>
        </w:rPr>
        <w:t>identificadas</w:t>
      </w:r>
      <w:r>
        <w:rPr>
          <w:color w:val="231F20"/>
          <w:spacing w:val="-6"/>
          <w:w w:val="105"/>
        </w:rPr>
        <w:t> </w:t>
      </w:r>
      <w:r>
        <w:rPr>
          <w:color w:val="231F20"/>
          <w:w w:val="105"/>
        </w:rPr>
        <w:t>como</w:t>
      </w:r>
      <w:r>
        <w:rPr>
          <w:color w:val="231F20"/>
          <w:spacing w:val="-6"/>
          <w:w w:val="105"/>
        </w:rPr>
        <w:t> </w:t>
      </w:r>
      <w:r>
        <w:rPr>
          <w:color w:val="231F20"/>
          <w:w w:val="105"/>
        </w:rPr>
        <w:t>emigrantes</w:t>
      </w:r>
      <w:r>
        <w:rPr>
          <w:color w:val="231F20"/>
          <w:spacing w:val="-6"/>
          <w:w w:val="105"/>
        </w:rPr>
        <w:t> </w:t>
      </w:r>
      <w:r>
        <w:rPr>
          <w:color w:val="231F20"/>
          <w:w w:val="105"/>
        </w:rPr>
        <w:t>a</w:t>
      </w:r>
      <w:r>
        <w:rPr>
          <w:color w:val="231F20"/>
          <w:spacing w:val="-6"/>
          <w:w w:val="105"/>
        </w:rPr>
        <w:t> </w:t>
      </w:r>
      <w:r>
        <w:rPr>
          <w:color w:val="231F20"/>
          <w:w w:val="105"/>
        </w:rPr>
        <w:t>Estados</w:t>
      </w:r>
      <w:r>
        <w:rPr>
          <w:color w:val="231F20"/>
          <w:spacing w:val="-6"/>
          <w:w w:val="105"/>
        </w:rPr>
        <w:t> </w:t>
      </w:r>
      <w:r>
        <w:rPr>
          <w:color w:val="231F20"/>
          <w:w w:val="105"/>
        </w:rPr>
        <w:t>Uni- dos.</w:t>
      </w:r>
      <w:r>
        <w:rPr>
          <w:color w:val="231F20"/>
          <w:spacing w:val="-15"/>
          <w:w w:val="105"/>
        </w:rPr>
        <w:t> </w:t>
      </w:r>
      <w:r>
        <w:rPr>
          <w:color w:val="231F20"/>
          <w:w w:val="105"/>
        </w:rPr>
        <w:t>Este</w:t>
      </w:r>
      <w:r>
        <w:rPr>
          <w:color w:val="231F20"/>
          <w:spacing w:val="-9"/>
          <w:w w:val="105"/>
        </w:rPr>
        <w:t> </w:t>
      </w:r>
      <w:r>
        <w:rPr>
          <w:color w:val="231F20"/>
          <w:w w:val="105"/>
        </w:rPr>
        <w:t>grupo,</w:t>
      </w:r>
      <w:r>
        <w:rPr>
          <w:color w:val="231F20"/>
          <w:spacing w:val="-15"/>
          <w:w w:val="105"/>
        </w:rPr>
        <w:t> </w:t>
      </w:r>
      <w:r>
        <w:rPr>
          <w:color w:val="231F20"/>
          <w:w w:val="105"/>
        </w:rPr>
        <w:t>si</w:t>
      </w:r>
      <w:r>
        <w:rPr>
          <w:color w:val="231F20"/>
          <w:spacing w:val="-9"/>
          <w:w w:val="105"/>
        </w:rPr>
        <w:t> </w:t>
      </w:r>
      <w:r>
        <w:rPr>
          <w:color w:val="231F20"/>
          <w:w w:val="105"/>
        </w:rPr>
        <w:t>bien</w:t>
      </w:r>
      <w:r>
        <w:rPr>
          <w:color w:val="231F20"/>
          <w:spacing w:val="-9"/>
          <w:w w:val="105"/>
        </w:rPr>
        <w:t> </w:t>
      </w:r>
      <w:r>
        <w:rPr>
          <w:color w:val="231F20"/>
          <w:w w:val="105"/>
        </w:rPr>
        <w:t>presentó</w:t>
      </w:r>
      <w:r>
        <w:rPr>
          <w:color w:val="231F20"/>
          <w:spacing w:val="-9"/>
          <w:w w:val="105"/>
        </w:rPr>
        <w:t> </w:t>
      </w:r>
      <w:r>
        <w:rPr>
          <w:color w:val="231F20"/>
          <w:w w:val="105"/>
        </w:rPr>
        <w:t>una</w:t>
      </w:r>
      <w:r>
        <w:rPr>
          <w:color w:val="231F20"/>
          <w:spacing w:val="-9"/>
          <w:w w:val="105"/>
        </w:rPr>
        <w:t> </w:t>
      </w:r>
      <w:r>
        <w:rPr>
          <w:color w:val="231F20"/>
          <w:w w:val="105"/>
        </w:rPr>
        <w:t>reducción</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porcentaje</w:t>
      </w:r>
      <w:r>
        <w:rPr>
          <w:color w:val="231F20"/>
          <w:spacing w:val="-9"/>
          <w:w w:val="105"/>
        </w:rPr>
        <w:t> </w:t>
      </w:r>
      <w:r>
        <w:rPr>
          <w:color w:val="231F20"/>
          <w:w w:val="105"/>
        </w:rPr>
        <w:t>de</w:t>
      </w:r>
      <w:r>
        <w:rPr>
          <w:color w:val="231F20"/>
          <w:spacing w:val="-9"/>
          <w:w w:val="105"/>
        </w:rPr>
        <w:t> </w:t>
      </w:r>
      <w:r>
        <w:rPr>
          <w:color w:val="231F20"/>
          <w:w w:val="105"/>
        </w:rPr>
        <w:t>mu- jeres (al igual que en el volumen total), ésta no explica por completo la dinámica</w:t>
      </w:r>
      <w:r>
        <w:rPr>
          <w:color w:val="231F20"/>
          <w:spacing w:val="-15"/>
          <w:w w:val="105"/>
        </w:rPr>
        <w:t> </w:t>
      </w:r>
      <w:r>
        <w:rPr>
          <w:color w:val="231F20"/>
          <w:w w:val="105"/>
        </w:rPr>
        <w:t>observada</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otros</w:t>
      </w:r>
      <w:r>
        <w:rPr>
          <w:color w:val="231F20"/>
          <w:spacing w:val="-15"/>
          <w:w w:val="105"/>
        </w:rPr>
        <w:t> </w:t>
      </w:r>
      <w:r>
        <w:rPr>
          <w:color w:val="231F20"/>
          <w:w w:val="105"/>
        </w:rPr>
        <w:t>grupos.</w:t>
      </w:r>
    </w:p>
    <w:p>
      <w:pPr>
        <w:pStyle w:val="BodyText"/>
        <w:spacing w:line="261" w:lineRule="auto" w:before="1"/>
        <w:ind w:left="1723" w:right="1829" w:firstLine="567"/>
        <w:jc w:val="both"/>
      </w:pPr>
      <w:r>
        <w:rPr>
          <w:color w:val="231F20"/>
          <w:w w:val="105"/>
        </w:rPr>
        <w:t>Las muestras censales nos proporcionaron información acerca del perfil demográfico de la población migrante, pero no brindan in- formación</w:t>
      </w:r>
      <w:r>
        <w:rPr>
          <w:color w:val="231F20"/>
          <w:spacing w:val="-7"/>
          <w:w w:val="105"/>
        </w:rPr>
        <w:t> </w:t>
      </w:r>
      <w:r>
        <w:rPr>
          <w:color w:val="231F20"/>
          <w:w w:val="105"/>
        </w:rPr>
        <w:t>sobre</w:t>
      </w:r>
      <w:r>
        <w:rPr>
          <w:color w:val="231F20"/>
          <w:spacing w:val="-7"/>
          <w:w w:val="105"/>
        </w:rPr>
        <w:t> </w:t>
      </w:r>
      <w:r>
        <w:rPr>
          <w:color w:val="231F20"/>
          <w:w w:val="105"/>
        </w:rPr>
        <w:t>las</w:t>
      </w:r>
      <w:r>
        <w:rPr>
          <w:color w:val="231F20"/>
          <w:spacing w:val="-7"/>
          <w:w w:val="105"/>
        </w:rPr>
        <w:t> </w:t>
      </w:r>
      <w:r>
        <w:rPr>
          <w:color w:val="231F20"/>
          <w:w w:val="105"/>
        </w:rPr>
        <w:t>características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desplazamientos</w:t>
      </w:r>
      <w:r>
        <w:rPr>
          <w:color w:val="231F20"/>
          <w:spacing w:val="-7"/>
          <w:w w:val="105"/>
        </w:rPr>
        <w:t> </w:t>
      </w:r>
      <w:r>
        <w:rPr>
          <w:color w:val="231F20"/>
          <w:w w:val="105"/>
        </w:rPr>
        <w:t>migratorios. Consideramos importante mencionar que los motivos de cruce pueden tener</w:t>
      </w:r>
      <w:r>
        <w:rPr>
          <w:color w:val="231F20"/>
          <w:spacing w:val="-20"/>
          <w:w w:val="105"/>
        </w:rPr>
        <w:t> </w:t>
      </w:r>
      <w:r>
        <w:rPr>
          <w:color w:val="231F20"/>
          <w:w w:val="105"/>
        </w:rPr>
        <w:t>implicaciones</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relaciones</w:t>
      </w:r>
      <w:r>
        <w:rPr>
          <w:color w:val="231F20"/>
          <w:spacing w:val="-20"/>
          <w:w w:val="105"/>
        </w:rPr>
        <w:t> </w:t>
      </w:r>
      <w:r>
        <w:rPr>
          <w:color w:val="231F20"/>
          <w:w w:val="105"/>
        </w:rPr>
        <w:t>de</w:t>
      </w:r>
      <w:r>
        <w:rPr>
          <w:color w:val="231F20"/>
          <w:spacing w:val="-20"/>
          <w:w w:val="105"/>
        </w:rPr>
        <w:t> </w:t>
      </w:r>
      <w:r>
        <w:rPr>
          <w:color w:val="231F20"/>
          <w:w w:val="105"/>
        </w:rPr>
        <w:t>género</w:t>
      </w:r>
      <w:r>
        <w:rPr>
          <w:color w:val="231F20"/>
          <w:spacing w:val="-20"/>
          <w:w w:val="105"/>
        </w:rPr>
        <w:t> </w:t>
      </w:r>
      <w:r>
        <w:rPr>
          <w:color w:val="231F20"/>
          <w:w w:val="105"/>
        </w:rPr>
        <w:t>a</w:t>
      </w:r>
      <w:r>
        <w:rPr>
          <w:color w:val="231F20"/>
          <w:spacing w:val="-20"/>
          <w:w w:val="105"/>
        </w:rPr>
        <w:t> </w:t>
      </w:r>
      <w:r>
        <w:rPr>
          <w:color w:val="231F20"/>
          <w:w w:val="105"/>
        </w:rPr>
        <w:t>largo</w:t>
      </w:r>
      <w:r>
        <w:rPr>
          <w:color w:val="231F20"/>
          <w:spacing w:val="-20"/>
          <w:w w:val="105"/>
        </w:rPr>
        <w:t> </w:t>
      </w:r>
      <w:r>
        <w:rPr>
          <w:color w:val="231F20"/>
          <w:w w:val="105"/>
        </w:rPr>
        <w:t>plazo,</w:t>
      </w:r>
      <w:r>
        <w:rPr>
          <w:color w:val="231F20"/>
          <w:spacing w:val="-25"/>
          <w:w w:val="105"/>
        </w:rPr>
        <w:t> </w:t>
      </w:r>
      <w:r>
        <w:rPr>
          <w:color w:val="231F20"/>
          <w:w w:val="105"/>
        </w:rPr>
        <w:t>sobre</w:t>
      </w:r>
      <w:r>
        <w:rPr>
          <w:color w:val="231F20"/>
          <w:spacing w:val="-20"/>
          <w:w w:val="105"/>
        </w:rPr>
        <w:t> </w:t>
      </w:r>
      <w:r>
        <w:rPr>
          <w:color w:val="231F20"/>
          <w:w w:val="105"/>
        </w:rPr>
        <w:t>todo si el cruce migratorio fue planeado como algo temporal o un cambio   de residencia de tipo más permanente. </w:t>
      </w:r>
      <w:r>
        <w:rPr>
          <w:color w:val="231F20"/>
          <w:spacing w:val="-6"/>
          <w:w w:val="105"/>
        </w:rPr>
        <w:t>Por </w:t>
      </w:r>
      <w:r>
        <w:rPr>
          <w:color w:val="231F20"/>
          <w:w w:val="105"/>
        </w:rPr>
        <w:t>lo tanto, para estudiar esto calculamos con las encuestas de flujos migratorios en la frontera norte (</w:t>
      </w:r>
      <w:r>
        <w:rPr>
          <w:color w:val="231F20"/>
          <w:w w:val="105"/>
          <w:sz w:val="17"/>
        </w:rPr>
        <w:t>EMIF</w:t>
      </w:r>
      <w:r>
        <w:rPr>
          <w:color w:val="231F20"/>
          <w:spacing w:val="-3"/>
          <w:w w:val="105"/>
          <w:sz w:val="17"/>
        </w:rPr>
        <w:t> </w:t>
      </w:r>
      <w:r>
        <w:rPr>
          <w:color w:val="231F20"/>
          <w:w w:val="105"/>
        </w:rPr>
        <w:t>Norte)</w:t>
      </w:r>
      <w:r>
        <w:rPr>
          <w:color w:val="231F20"/>
          <w:spacing w:val="-14"/>
          <w:w w:val="105"/>
        </w:rPr>
        <w:t> </w:t>
      </w:r>
      <w:r>
        <w:rPr>
          <w:color w:val="231F20"/>
          <w:w w:val="105"/>
        </w:rPr>
        <w:t>las</w:t>
      </w:r>
      <w:r>
        <w:rPr>
          <w:color w:val="231F20"/>
          <w:spacing w:val="-14"/>
          <w:w w:val="105"/>
        </w:rPr>
        <w:t> </w:t>
      </w:r>
      <w:r>
        <w:rPr>
          <w:color w:val="231F20"/>
          <w:w w:val="105"/>
        </w:rPr>
        <w:t>características</w:t>
      </w:r>
      <w:r>
        <w:rPr>
          <w:color w:val="231F20"/>
          <w:spacing w:val="-14"/>
          <w:w w:val="105"/>
        </w:rPr>
        <w:t> </w:t>
      </w:r>
      <w:r>
        <w:rPr>
          <w:color w:val="231F20"/>
          <w:w w:val="105"/>
        </w:rPr>
        <w:t>e</w:t>
      </w:r>
      <w:r>
        <w:rPr>
          <w:color w:val="231F20"/>
          <w:spacing w:val="-14"/>
          <w:w w:val="105"/>
        </w:rPr>
        <w:t> </w:t>
      </w:r>
      <w:r>
        <w:rPr>
          <w:color w:val="231F20"/>
          <w:w w:val="105"/>
        </w:rPr>
        <w:t>intenciones</w:t>
      </w:r>
      <w:r>
        <w:rPr>
          <w:color w:val="231F20"/>
          <w:spacing w:val="-14"/>
          <w:w w:val="105"/>
        </w:rPr>
        <w:t> </w:t>
      </w:r>
      <w:r>
        <w:rPr>
          <w:color w:val="231F20"/>
          <w:w w:val="105"/>
        </w:rPr>
        <w:t>de</w:t>
      </w:r>
      <w:r>
        <w:rPr>
          <w:color w:val="231F20"/>
          <w:spacing w:val="-14"/>
          <w:w w:val="105"/>
        </w:rPr>
        <w:t> </w:t>
      </w:r>
      <w:r>
        <w:rPr>
          <w:color w:val="231F20"/>
          <w:w w:val="105"/>
        </w:rPr>
        <w:t>cruce.</w:t>
      </w:r>
      <w:r>
        <w:rPr>
          <w:color w:val="231F20"/>
          <w:spacing w:val="-19"/>
          <w:w w:val="105"/>
        </w:rPr>
        <w:t> </w:t>
      </w:r>
      <w:r>
        <w:rPr>
          <w:color w:val="231F20"/>
          <w:w w:val="105"/>
        </w:rPr>
        <w:t>Las</w:t>
      </w:r>
      <w:r>
        <w:rPr>
          <w:color w:val="231F20"/>
          <w:spacing w:val="-14"/>
          <w:w w:val="105"/>
        </w:rPr>
        <w:t> </w:t>
      </w:r>
      <w:r>
        <w:rPr>
          <w:color w:val="231F20"/>
          <w:w w:val="105"/>
        </w:rPr>
        <w:t>gráficas</w:t>
      </w:r>
      <w:r>
        <w:rPr>
          <w:color w:val="231F20"/>
          <w:spacing w:val="-14"/>
          <w:w w:val="105"/>
        </w:rPr>
        <w:t> </w:t>
      </w:r>
      <w:r>
        <w:rPr>
          <w:color w:val="231F20"/>
          <w:w w:val="105"/>
        </w:rPr>
        <w:t>3</w:t>
      </w:r>
      <w:r>
        <w:rPr>
          <w:color w:val="231F20"/>
          <w:spacing w:val="-14"/>
          <w:w w:val="105"/>
        </w:rPr>
        <w:t> </w:t>
      </w:r>
      <w:r>
        <w:rPr>
          <w:color w:val="231F20"/>
          <w:w w:val="105"/>
        </w:rPr>
        <w:t>y</w:t>
      </w:r>
      <w:r>
        <w:rPr>
          <w:color w:val="231F20"/>
          <w:spacing w:val="-14"/>
          <w:w w:val="105"/>
        </w:rPr>
        <w:t> </w:t>
      </w:r>
      <w:r>
        <w:rPr>
          <w:color w:val="231F20"/>
          <w:w w:val="105"/>
        </w:rPr>
        <w:t>4 presentan</w:t>
      </w:r>
      <w:r>
        <w:rPr>
          <w:color w:val="231F20"/>
          <w:spacing w:val="-7"/>
          <w:w w:val="105"/>
        </w:rPr>
        <w:t> </w:t>
      </w:r>
      <w:r>
        <w:rPr>
          <w:color w:val="231F20"/>
          <w:w w:val="105"/>
        </w:rPr>
        <w:t>la</w:t>
      </w:r>
      <w:r>
        <w:rPr>
          <w:color w:val="231F20"/>
          <w:spacing w:val="-7"/>
          <w:w w:val="105"/>
        </w:rPr>
        <w:t> </w:t>
      </w:r>
      <w:r>
        <w:rPr>
          <w:color w:val="231F20"/>
          <w:w w:val="105"/>
        </w:rPr>
        <w:t>distribución</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condición</w:t>
      </w:r>
      <w:r>
        <w:rPr>
          <w:color w:val="231F20"/>
          <w:spacing w:val="-7"/>
          <w:w w:val="105"/>
        </w:rPr>
        <w:t> </w:t>
      </w:r>
      <w:r>
        <w:rPr>
          <w:color w:val="231F20"/>
          <w:w w:val="105"/>
        </w:rPr>
        <w:t>de</w:t>
      </w:r>
      <w:r>
        <w:rPr>
          <w:color w:val="231F20"/>
          <w:spacing w:val="-7"/>
          <w:w w:val="105"/>
        </w:rPr>
        <w:t> </w:t>
      </w:r>
      <w:r>
        <w:rPr>
          <w:color w:val="231F20"/>
          <w:w w:val="105"/>
        </w:rPr>
        <w:t>tenencia</w:t>
      </w:r>
      <w:r>
        <w:rPr>
          <w:color w:val="231F20"/>
          <w:spacing w:val="-7"/>
          <w:w w:val="105"/>
        </w:rPr>
        <w:t> </w:t>
      </w:r>
      <w:r>
        <w:rPr>
          <w:color w:val="231F20"/>
          <w:w w:val="105"/>
        </w:rPr>
        <w:t>de</w:t>
      </w:r>
      <w:r>
        <w:rPr>
          <w:color w:val="231F20"/>
          <w:spacing w:val="-7"/>
          <w:w w:val="105"/>
        </w:rPr>
        <w:t> </w:t>
      </w:r>
      <w:r>
        <w:rPr>
          <w:color w:val="231F20"/>
          <w:w w:val="105"/>
        </w:rPr>
        <w:t>documentos</w:t>
      </w:r>
      <w:r>
        <w:rPr>
          <w:color w:val="231F20"/>
          <w:spacing w:val="-7"/>
          <w:w w:val="105"/>
        </w:rPr>
        <w:t> </w:t>
      </w:r>
      <w:r>
        <w:rPr>
          <w:color w:val="231F20"/>
          <w:w w:val="105"/>
        </w:rPr>
        <w:t>de cruce fronterizo y el motivo de cruce para quienes declararon tener la intención de internarse a territorio estadounidense y reportaron vivir en el</w:t>
      </w:r>
      <w:r>
        <w:rPr>
          <w:color w:val="231F20"/>
          <w:spacing w:val="-23"/>
          <w:w w:val="105"/>
        </w:rPr>
        <w:t> </w:t>
      </w:r>
      <w:r>
        <w:rPr>
          <w:color w:val="231F20"/>
          <w:w w:val="105"/>
        </w:rPr>
        <w:t>Estado</w:t>
      </w:r>
      <w:r>
        <w:rPr>
          <w:color w:val="231F20"/>
          <w:spacing w:val="-23"/>
          <w:w w:val="105"/>
        </w:rPr>
        <w:t> </w:t>
      </w:r>
      <w:r>
        <w:rPr>
          <w:color w:val="231F20"/>
          <w:w w:val="105"/>
        </w:rPr>
        <w:t>de</w:t>
      </w:r>
      <w:r>
        <w:rPr>
          <w:color w:val="231F20"/>
          <w:spacing w:val="-23"/>
          <w:w w:val="105"/>
        </w:rPr>
        <w:t> </w:t>
      </w:r>
      <w:r>
        <w:rPr>
          <w:color w:val="231F20"/>
          <w:w w:val="105"/>
        </w:rPr>
        <w:t>México.</w:t>
      </w:r>
      <w:r>
        <w:rPr>
          <w:color w:val="231F20"/>
          <w:spacing w:val="-29"/>
          <w:w w:val="105"/>
        </w:rPr>
        <w:t> </w:t>
      </w:r>
      <w:r>
        <w:rPr>
          <w:color w:val="231F20"/>
          <w:w w:val="105"/>
        </w:rPr>
        <w:t>Si</w:t>
      </w:r>
      <w:r>
        <w:rPr>
          <w:color w:val="231F20"/>
          <w:spacing w:val="-23"/>
          <w:w w:val="105"/>
        </w:rPr>
        <w:t> </w:t>
      </w:r>
      <w:r>
        <w:rPr>
          <w:color w:val="231F20"/>
          <w:w w:val="105"/>
        </w:rPr>
        <w:t>bien,</w:t>
      </w:r>
      <w:r>
        <w:rPr>
          <w:color w:val="231F20"/>
          <w:spacing w:val="-29"/>
          <w:w w:val="105"/>
        </w:rPr>
        <w:t> </w:t>
      </w:r>
      <w:r>
        <w:rPr>
          <w:color w:val="231F20"/>
          <w:w w:val="105"/>
        </w:rPr>
        <w:t>esta</w:t>
      </w:r>
      <w:r>
        <w:rPr>
          <w:color w:val="231F20"/>
          <w:spacing w:val="-23"/>
          <w:w w:val="105"/>
        </w:rPr>
        <w:t> </w:t>
      </w:r>
      <w:r>
        <w:rPr>
          <w:color w:val="231F20"/>
          <w:w w:val="105"/>
        </w:rPr>
        <w:t>información</w:t>
      </w:r>
      <w:r>
        <w:rPr>
          <w:color w:val="231F20"/>
          <w:spacing w:val="-23"/>
          <w:w w:val="105"/>
        </w:rPr>
        <w:t> </w:t>
      </w:r>
      <w:r>
        <w:rPr>
          <w:color w:val="231F20"/>
          <w:w w:val="105"/>
        </w:rPr>
        <w:t>corresponde</w:t>
      </w:r>
      <w:r>
        <w:rPr>
          <w:color w:val="231F20"/>
          <w:spacing w:val="-23"/>
          <w:w w:val="105"/>
        </w:rPr>
        <w:t> </w:t>
      </w:r>
      <w:r>
        <w:rPr>
          <w:color w:val="231F20"/>
          <w:w w:val="105"/>
        </w:rPr>
        <w:t>a</w:t>
      </w:r>
      <w:r>
        <w:rPr>
          <w:color w:val="231F20"/>
          <w:spacing w:val="-23"/>
          <w:w w:val="105"/>
        </w:rPr>
        <w:t> </w:t>
      </w:r>
      <w:r>
        <w:rPr>
          <w:color w:val="231F20"/>
          <w:w w:val="105"/>
        </w:rPr>
        <w:t>intenciones de</w:t>
      </w:r>
      <w:r>
        <w:rPr>
          <w:color w:val="231F20"/>
          <w:spacing w:val="-6"/>
          <w:w w:val="105"/>
        </w:rPr>
        <w:t> </w:t>
      </w:r>
      <w:r>
        <w:rPr>
          <w:color w:val="231F20"/>
          <w:w w:val="105"/>
        </w:rPr>
        <w:t>cruce</w:t>
      </w:r>
      <w:r>
        <w:rPr>
          <w:color w:val="231F20"/>
          <w:spacing w:val="-6"/>
          <w:w w:val="105"/>
        </w:rPr>
        <w:t> </w:t>
      </w:r>
      <w:r>
        <w:rPr>
          <w:color w:val="231F20"/>
          <w:w w:val="105"/>
        </w:rPr>
        <w:t>y</w:t>
      </w:r>
      <w:r>
        <w:rPr>
          <w:color w:val="231F20"/>
          <w:spacing w:val="-6"/>
          <w:w w:val="105"/>
        </w:rPr>
        <w:t> </w:t>
      </w:r>
      <w:r>
        <w:rPr>
          <w:color w:val="231F20"/>
          <w:w w:val="105"/>
        </w:rPr>
        <w:t>no</w:t>
      </w:r>
      <w:r>
        <w:rPr>
          <w:color w:val="231F20"/>
          <w:spacing w:val="-6"/>
          <w:w w:val="105"/>
        </w:rPr>
        <w:t> </w:t>
      </w:r>
      <w:r>
        <w:rPr>
          <w:color w:val="231F20"/>
          <w:w w:val="105"/>
        </w:rPr>
        <w:t>el</w:t>
      </w:r>
      <w:r>
        <w:rPr>
          <w:color w:val="231F20"/>
          <w:spacing w:val="-6"/>
          <w:w w:val="105"/>
        </w:rPr>
        <w:t> </w:t>
      </w:r>
      <w:r>
        <w:rPr>
          <w:color w:val="231F20"/>
          <w:w w:val="105"/>
        </w:rPr>
        <w:t>movimiento</w:t>
      </w:r>
      <w:r>
        <w:rPr>
          <w:color w:val="231F20"/>
          <w:spacing w:val="-6"/>
          <w:w w:val="105"/>
        </w:rPr>
        <w:t> </w:t>
      </w:r>
      <w:r>
        <w:rPr>
          <w:color w:val="231F20"/>
          <w:w w:val="105"/>
        </w:rPr>
        <w:t>migratorio</w:t>
      </w:r>
      <w:r>
        <w:rPr>
          <w:color w:val="231F20"/>
          <w:spacing w:val="-6"/>
          <w:w w:val="105"/>
        </w:rPr>
        <w:t> </w:t>
      </w:r>
      <w:r>
        <w:rPr>
          <w:rFonts w:ascii="Arial" w:hAnsi="Arial"/>
          <w:i/>
          <w:color w:val="231F20"/>
          <w:w w:val="105"/>
        </w:rPr>
        <w:t>per</w:t>
      </w:r>
      <w:r>
        <w:rPr>
          <w:rFonts w:ascii="Arial" w:hAnsi="Arial"/>
          <w:i/>
          <w:color w:val="231F20"/>
          <w:spacing w:val="-8"/>
          <w:w w:val="105"/>
        </w:rPr>
        <w:t> </w:t>
      </w:r>
      <w:r>
        <w:rPr>
          <w:rFonts w:ascii="Arial" w:hAnsi="Arial"/>
          <w:i/>
          <w:color w:val="231F20"/>
          <w:w w:val="105"/>
        </w:rPr>
        <w:t>se,</w:t>
      </w:r>
      <w:r>
        <w:rPr>
          <w:rFonts w:ascii="Arial" w:hAnsi="Arial"/>
          <w:i/>
          <w:color w:val="231F20"/>
          <w:spacing w:val="-8"/>
          <w:w w:val="105"/>
        </w:rPr>
        <w:t> </w:t>
      </w:r>
      <w:r>
        <w:rPr>
          <w:color w:val="231F20"/>
          <w:w w:val="105"/>
        </w:rPr>
        <w:t>sirve</w:t>
      </w:r>
      <w:r>
        <w:rPr>
          <w:color w:val="231F20"/>
          <w:spacing w:val="-6"/>
          <w:w w:val="105"/>
        </w:rPr>
        <w:t> </w:t>
      </w:r>
      <w:r>
        <w:rPr>
          <w:color w:val="231F20"/>
          <w:w w:val="105"/>
        </w:rPr>
        <w:t>para</w:t>
      </w:r>
      <w:r>
        <w:rPr>
          <w:color w:val="231F20"/>
          <w:spacing w:val="-6"/>
          <w:w w:val="105"/>
        </w:rPr>
        <w:t> </w:t>
      </w:r>
      <w:r>
        <w:rPr>
          <w:color w:val="231F20"/>
          <w:w w:val="105"/>
        </w:rPr>
        <w:t>ilustrar</w:t>
      </w:r>
      <w:r>
        <w:rPr>
          <w:color w:val="231F20"/>
          <w:spacing w:val="-6"/>
          <w:w w:val="105"/>
        </w:rPr>
        <w:t> </w:t>
      </w:r>
      <w:r>
        <w:rPr>
          <w:color w:val="231F20"/>
          <w:w w:val="105"/>
        </w:rPr>
        <w:t>los</w:t>
      </w:r>
      <w:r>
        <w:rPr>
          <w:color w:val="231F20"/>
          <w:spacing w:val="-6"/>
          <w:w w:val="105"/>
        </w:rPr>
        <w:t> </w:t>
      </w:r>
      <w:r>
        <w:rPr>
          <w:color w:val="231F20"/>
          <w:w w:val="105"/>
        </w:rPr>
        <w:t>pa- trones generales entre las mujeres y los hombres migrantes. La preva- lencia de cruces con documentos de las mujeres, sería un indicador de mayor circularidad migratoria entre ellas en comparación con los hom- bres.</w:t>
      </w:r>
      <w:r>
        <w:rPr>
          <w:color w:val="231F20"/>
          <w:spacing w:val="-16"/>
          <w:w w:val="105"/>
        </w:rPr>
        <w:t> </w:t>
      </w:r>
      <w:r>
        <w:rPr>
          <w:color w:val="231F20"/>
          <w:w w:val="105"/>
        </w:rPr>
        <w:t>Los</w:t>
      </w:r>
      <w:r>
        <w:rPr>
          <w:color w:val="231F20"/>
          <w:spacing w:val="-11"/>
          <w:w w:val="105"/>
        </w:rPr>
        <w:t> </w:t>
      </w:r>
      <w:r>
        <w:rPr>
          <w:color w:val="231F20"/>
          <w:w w:val="105"/>
        </w:rPr>
        <w:t>resultados</w:t>
      </w:r>
      <w:r>
        <w:rPr>
          <w:color w:val="231F20"/>
          <w:spacing w:val="-11"/>
          <w:w w:val="105"/>
        </w:rPr>
        <w:t> </w:t>
      </w:r>
      <w:r>
        <w:rPr>
          <w:color w:val="231F20"/>
          <w:w w:val="105"/>
        </w:rPr>
        <w:t>muestran</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w w:val="105"/>
        </w:rPr>
        <w:t>hombres</w:t>
      </w:r>
      <w:r>
        <w:rPr>
          <w:color w:val="231F20"/>
          <w:spacing w:val="-11"/>
          <w:w w:val="105"/>
        </w:rPr>
        <w:t> </w:t>
      </w:r>
      <w:r>
        <w:rPr>
          <w:color w:val="231F20"/>
          <w:w w:val="105"/>
        </w:rPr>
        <w:t>procedentes</w:t>
      </w:r>
      <w:r>
        <w:rPr>
          <w:color w:val="231F20"/>
          <w:spacing w:val="-11"/>
          <w:w w:val="105"/>
        </w:rPr>
        <w:t> </w:t>
      </w:r>
      <w:r>
        <w:rPr>
          <w:color w:val="231F20"/>
          <w:w w:val="105"/>
        </w:rPr>
        <w:t>del</w:t>
      </w:r>
      <w:r>
        <w:rPr>
          <w:color w:val="231F20"/>
          <w:spacing w:val="-11"/>
          <w:w w:val="105"/>
        </w:rPr>
        <w:t> </w:t>
      </w:r>
      <w:r>
        <w:rPr>
          <w:color w:val="231F20"/>
          <w:w w:val="105"/>
        </w:rPr>
        <w:t>Estado de</w:t>
      </w:r>
      <w:r>
        <w:rPr>
          <w:color w:val="231F20"/>
          <w:spacing w:val="-13"/>
          <w:w w:val="105"/>
        </w:rPr>
        <w:t> </w:t>
      </w:r>
      <w:r>
        <w:rPr>
          <w:color w:val="231F20"/>
          <w:w w:val="105"/>
        </w:rPr>
        <w:t>México</w:t>
      </w:r>
      <w:r>
        <w:rPr>
          <w:color w:val="231F20"/>
          <w:spacing w:val="-13"/>
          <w:w w:val="105"/>
        </w:rPr>
        <w:t> </w:t>
      </w:r>
      <w:r>
        <w:rPr>
          <w:color w:val="231F20"/>
          <w:w w:val="105"/>
        </w:rPr>
        <w:t>señalan</w:t>
      </w:r>
      <w:r>
        <w:rPr>
          <w:color w:val="231F20"/>
          <w:spacing w:val="-13"/>
          <w:w w:val="105"/>
        </w:rPr>
        <w:t> </w:t>
      </w:r>
      <w:r>
        <w:rPr>
          <w:color w:val="231F20"/>
          <w:w w:val="105"/>
        </w:rPr>
        <w:t>como</w:t>
      </w:r>
      <w:r>
        <w:rPr>
          <w:color w:val="231F20"/>
          <w:spacing w:val="-13"/>
          <w:w w:val="105"/>
        </w:rPr>
        <w:t> </w:t>
      </w:r>
      <w:r>
        <w:rPr>
          <w:color w:val="231F20"/>
          <w:w w:val="105"/>
        </w:rPr>
        <w:t>principal</w:t>
      </w:r>
      <w:r>
        <w:rPr>
          <w:color w:val="231F20"/>
          <w:spacing w:val="-13"/>
          <w:w w:val="105"/>
        </w:rPr>
        <w:t> </w:t>
      </w:r>
      <w:r>
        <w:rPr>
          <w:color w:val="231F20"/>
          <w:w w:val="105"/>
        </w:rPr>
        <w:t>motivo</w:t>
      </w:r>
      <w:r>
        <w:rPr>
          <w:color w:val="231F20"/>
          <w:spacing w:val="-13"/>
          <w:w w:val="105"/>
        </w:rPr>
        <w:t> </w:t>
      </w:r>
      <w:r>
        <w:rPr>
          <w:color w:val="231F20"/>
          <w:w w:val="105"/>
        </w:rPr>
        <w:t>de</w:t>
      </w:r>
      <w:r>
        <w:rPr>
          <w:color w:val="231F20"/>
          <w:spacing w:val="-13"/>
          <w:w w:val="105"/>
        </w:rPr>
        <w:t> </w:t>
      </w:r>
      <w:r>
        <w:rPr>
          <w:color w:val="231F20"/>
          <w:w w:val="105"/>
        </w:rPr>
        <w:t>cruce</w:t>
      </w:r>
      <w:r>
        <w:rPr>
          <w:color w:val="231F20"/>
          <w:spacing w:val="-13"/>
          <w:w w:val="105"/>
        </w:rPr>
        <w:t> </w:t>
      </w:r>
      <w:r>
        <w:rPr>
          <w:color w:val="231F20"/>
          <w:w w:val="105"/>
        </w:rPr>
        <w:t>el</w:t>
      </w:r>
      <w:r>
        <w:rPr>
          <w:color w:val="231F20"/>
          <w:spacing w:val="-13"/>
          <w:w w:val="105"/>
        </w:rPr>
        <w:t> </w:t>
      </w:r>
      <w:r>
        <w:rPr>
          <w:color w:val="231F20"/>
          <w:w w:val="105"/>
        </w:rPr>
        <w:t>desempeño</w:t>
      </w:r>
      <w:r>
        <w:rPr>
          <w:color w:val="231F20"/>
          <w:spacing w:val="-13"/>
          <w:w w:val="105"/>
        </w:rPr>
        <w:t> </w:t>
      </w:r>
      <w:r>
        <w:rPr>
          <w:color w:val="231F20"/>
          <w:w w:val="105"/>
        </w:rPr>
        <w:t>de</w:t>
      </w:r>
      <w:r>
        <w:rPr>
          <w:color w:val="231F20"/>
          <w:spacing w:val="-13"/>
          <w:w w:val="105"/>
        </w:rPr>
        <w:t> </w:t>
      </w:r>
      <w:r>
        <w:rPr>
          <w:color w:val="231F20"/>
          <w:w w:val="105"/>
        </w:rPr>
        <w:t>ac- tividades</w:t>
      </w:r>
      <w:r>
        <w:rPr>
          <w:color w:val="231F20"/>
          <w:spacing w:val="-21"/>
          <w:w w:val="105"/>
        </w:rPr>
        <w:t> </w:t>
      </w:r>
      <w:r>
        <w:rPr>
          <w:color w:val="231F20"/>
          <w:w w:val="105"/>
        </w:rPr>
        <w:t>relacionadas</w:t>
      </w:r>
      <w:r>
        <w:rPr>
          <w:color w:val="231F20"/>
          <w:spacing w:val="-21"/>
          <w:w w:val="105"/>
        </w:rPr>
        <w:t> </w:t>
      </w:r>
      <w:r>
        <w:rPr>
          <w:color w:val="231F20"/>
          <w:w w:val="105"/>
        </w:rPr>
        <w:t>con</w:t>
      </w:r>
      <w:r>
        <w:rPr>
          <w:color w:val="231F20"/>
          <w:spacing w:val="-21"/>
          <w:w w:val="105"/>
        </w:rPr>
        <w:t> </w:t>
      </w:r>
      <w:r>
        <w:rPr>
          <w:color w:val="231F20"/>
          <w:w w:val="105"/>
        </w:rPr>
        <w:t>trabajo</w:t>
      </w:r>
      <w:r>
        <w:rPr>
          <w:color w:val="231F20"/>
          <w:spacing w:val="-21"/>
          <w:w w:val="105"/>
        </w:rPr>
        <w:t> </w:t>
      </w:r>
      <w:r>
        <w:rPr>
          <w:color w:val="231F20"/>
          <w:w w:val="105"/>
        </w:rPr>
        <w:t>o</w:t>
      </w:r>
      <w:r>
        <w:rPr>
          <w:color w:val="231F20"/>
          <w:spacing w:val="-21"/>
          <w:w w:val="105"/>
        </w:rPr>
        <w:t> </w:t>
      </w:r>
      <w:r>
        <w:rPr>
          <w:color w:val="231F20"/>
          <w:w w:val="105"/>
        </w:rPr>
        <w:t>la</w:t>
      </w:r>
      <w:r>
        <w:rPr>
          <w:color w:val="231F20"/>
          <w:spacing w:val="-21"/>
          <w:w w:val="105"/>
        </w:rPr>
        <w:t> </w:t>
      </w:r>
      <w:r>
        <w:rPr>
          <w:color w:val="231F20"/>
          <w:w w:val="105"/>
        </w:rPr>
        <w:t>búsqueda</w:t>
      </w:r>
      <w:r>
        <w:rPr>
          <w:color w:val="231F20"/>
          <w:spacing w:val="-21"/>
          <w:w w:val="105"/>
        </w:rPr>
        <w:t> </w:t>
      </w:r>
      <w:r>
        <w:rPr>
          <w:color w:val="231F20"/>
          <w:w w:val="105"/>
        </w:rPr>
        <w:t>de</w:t>
      </w:r>
      <w:r>
        <w:rPr>
          <w:color w:val="231F20"/>
          <w:spacing w:val="-21"/>
          <w:w w:val="105"/>
        </w:rPr>
        <w:t> </w:t>
      </w:r>
      <w:r>
        <w:rPr>
          <w:color w:val="231F20"/>
          <w:w w:val="105"/>
        </w:rPr>
        <w:t>éste.</w:t>
      </w:r>
      <w:r>
        <w:rPr>
          <w:color w:val="231F20"/>
          <w:spacing w:val="-27"/>
          <w:w w:val="105"/>
        </w:rPr>
        <w:t> </w:t>
      </w:r>
      <w:r>
        <w:rPr>
          <w:color w:val="231F20"/>
          <w:w w:val="105"/>
        </w:rPr>
        <w:t>La</w:t>
      </w:r>
      <w:r>
        <w:rPr>
          <w:color w:val="231F20"/>
          <w:spacing w:val="-21"/>
          <w:w w:val="105"/>
        </w:rPr>
        <w:t> </w:t>
      </w:r>
      <w:r>
        <w:rPr>
          <w:color w:val="231F20"/>
          <w:w w:val="105"/>
        </w:rPr>
        <w:t>mayor</w:t>
      </w:r>
      <w:r>
        <w:rPr>
          <w:color w:val="231F20"/>
          <w:spacing w:val="-21"/>
          <w:w w:val="105"/>
        </w:rPr>
        <w:t> </w:t>
      </w:r>
      <w:r>
        <w:rPr>
          <w:color w:val="231F20"/>
          <w:w w:val="105"/>
        </w:rPr>
        <w:t>parte de las mujeres mencionó motivos laborales como la razón principal de su</w:t>
      </w:r>
      <w:r>
        <w:rPr>
          <w:color w:val="231F20"/>
          <w:spacing w:val="-15"/>
          <w:w w:val="105"/>
        </w:rPr>
        <w:t> </w:t>
      </w:r>
      <w:r>
        <w:rPr>
          <w:color w:val="231F20"/>
          <w:w w:val="105"/>
        </w:rPr>
        <w:t>desplazamiento,</w:t>
      </w:r>
      <w:r>
        <w:rPr>
          <w:color w:val="231F20"/>
          <w:spacing w:val="-20"/>
          <w:w w:val="105"/>
        </w:rPr>
        <w:t> </w:t>
      </w:r>
      <w:r>
        <w:rPr>
          <w:color w:val="231F20"/>
          <w:w w:val="105"/>
        </w:rPr>
        <w:t>el</w:t>
      </w:r>
      <w:r>
        <w:rPr>
          <w:color w:val="231F20"/>
          <w:spacing w:val="-15"/>
          <w:w w:val="105"/>
        </w:rPr>
        <w:t> </w:t>
      </w:r>
      <w:r>
        <w:rPr>
          <w:color w:val="231F20"/>
          <w:w w:val="105"/>
        </w:rPr>
        <w:t>porcentaje</w:t>
      </w:r>
      <w:r>
        <w:rPr>
          <w:color w:val="231F20"/>
          <w:spacing w:val="-15"/>
          <w:w w:val="105"/>
        </w:rPr>
        <w:t> </w:t>
      </w:r>
      <w:r>
        <w:rPr>
          <w:color w:val="231F20"/>
          <w:w w:val="105"/>
        </w:rPr>
        <w:t>de</w:t>
      </w:r>
      <w:r>
        <w:rPr>
          <w:color w:val="231F20"/>
          <w:spacing w:val="-15"/>
          <w:w w:val="105"/>
        </w:rPr>
        <w:t> </w:t>
      </w:r>
      <w:r>
        <w:rPr>
          <w:color w:val="231F20"/>
          <w:w w:val="105"/>
        </w:rPr>
        <w:t>mujeres</w:t>
      </w:r>
      <w:r>
        <w:rPr>
          <w:color w:val="231F20"/>
          <w:spacing w:val="-15"/>
          <w:w w:val="105"/>
        </w:rPr>
        <w:t> </w:t>
      </w:r>
      <w:r>
        <w:rPr>
          <w:color w:val="231F20"/>
          <w:w w:val="105"/>
        </w:rPr>
        <w:t>que</w:t>
      </w:r>
      <w:r>
        <w:rPr>
          <w:color w:val="231F20"/>
          <w:spacing w:val="-15"/>
          <w:w w:val="105"/>
        </w:rPr>
        <w:t> </w:t>
      </w:r>
      <w:r>
        <w:rPr>
          <w:color w:val="231F20"/>
          <w:w w:val="105"/>
        </w:rPr>
        <w:t>señaló</w:t>
      </w:r>
      <w:r>
        <w:rPr>
          <w:color w:val="231F20"/>
          <w:spacing w:val="-15"/>
          <w:w w:val="105"/>
        </w:rPr>
        <w:t> </w:t>
      </w:r>
      <w:r>
        <w:rPr>
          <w:color w:val="231F20"/>
          <w:w w:val="105"/>
        </w:rPr>
        <w:t>como</w:t>
      </w:r>
      <w:r>
        <w:rPr>
          <w:color w:val="231F20"/>
          <w:spacing w:val="-15"/>
          <w:w w:val="105"/>
        </w:rPr>
        <w:t> </w:t>
      </w:r>
      <w:r>
        <w:rPr>
          <w:color w:val="231F20"/>
          <w:w w:val="105"/>
        </w:rPr>
        <w:t>intención reunirse</w:t>
      </w:r>
      <w:r>
        <w:rPr>
          <w:color w:val="231F20"/>
          <w:spacing w:val="-23"/>
          <w:w w:val="105"/>
        </w:rPr>
        <w:t> </w:t>
      </w:r>
      <w:r>
        <w:rPr>
          <w:color w:val="231F20"/>
          <w:w w:val="105"/>
        </w:rPr>
        <w:t>con</w:t>
      </w:r>
      <w:r>
        <w:rPr>
          <w:color w:val="231F20"/>
          <w:spacing w:val="-23"/>
          <w:w w:val="105"/>
        </w:rPr>
        <w:t> </w:t>
      </w:r>
      <w:r>
        <w:rPr>
          <w:color w:val="231F20"/>
          <w:w w:val="105"/>
        </w:rPr>
        <w:t>familiares</w:t>
      </w:r>
      <w:r>
        <w:rPr>
          <w:color w:val="231F20"/>
          <w:spacing w:val="-23"/>
          <w:w w:val="105"/>
        </w:rPr>
        <w:t> </w:t>
      </w:r>
      <w:r>
        <w:rPr>
          <w:color w:val="231F20"/>
          <w:w w:val="105"/>
        </w:rPr>
        <w:t>o</w:t>
      </w:r>
      <w:r>
        <w:rPr>
          <w:color w:val="231F20"/>
          <w:spacing w:val="-23"/>
          <w:w w:val="105"/>
        </w:rPr>
        <w:t> </w:t>
      </w:r>
      <w:r>
        <w:rPr>
          <w:color w:val="231F20"/>
          <w:w w:val="105"/>
        </w:rPr>
        <w:t>amigos</w:t>
      </w:r>
      <w:r>
        <w:rPr>
          <w:color w:val="231F20"/>
          <w:spacing w:val="-23"/>
          <w:w w:val="105"/>
        </w:rPr>
        <w:t> </w:t>
      </w:r>
      <w:r>
        <w:rPr>
          <w:color w:val="231F20"/>
          <w:w w:val="105"/>
        </w:rPr>
        <w:t>es</w:t>
      </w:r>
      <w:r>
        <w:rPr>
          <w:color w:val="231F20"/>
          <w:spacing w:val="-23"/>
          <w:w w:val="105"/>
        </w:rPr>
        <w:t> </w:t>
      </w:r>
      <w:r>
        <w:rPr>
          <w:color w:val="231F20"/>
          <w:w w:val="105"/>
        </w:rPr>
        <w:t>también</w:t>
      </w:r>
      <w:r>
        <w:rPr>
          <w:color w:val="231F20"/>
          <w:spacing w:val="-23"/>
          <w:w w:val="105"/>
        </w:rPr>
        <w:t> </w:t>
      </w:r>
      <w:r>
        <w:rPr>
          <w:color w:val="231F20"/>
          <w:w w:val="105"/>
        </w:rPr>
        <w:t>significativa.</w:t>
      </w:r>
      <w:r>
        <w:rPr>
          <w:color w:val="231F20"/>
          <w:spacing w:val="-27"/>
          <w:w w:val="105"/>
        </w:rPr>
        <w:t> </w:t>
      </w:r>
      <w:r>
        <w:rPr>
          <w:color w:val="231F20"/>
          <w:w w:val="105"/>
        </w:rPr>
        <w:t>Entonces,</w:t>
      </w:r>
      <w:r>
        <w:rPr>
          <w:color w:val="231F20"/>
          <w:spacing w:val="-27"/>
          <w:w w:val="105"/>
        </w:rPr>
        <w:t> </w:t>
      </w:r>
      <w:r>
        <w:rPr>
          <w:color w:val="231F20"/>
          <w:w w:val="105"/>
        </w:rPr>
        <w:t>el</w:t>
      </w:r>
      <w:r>
        <w:rPr>
          <w:color w:val="231F20"/>
          <w:spacing w:val="-23"/>
          <w:w w:val="105"/>
        </w:rPr>
        <w:t> </w:t>
      </w:r>
      <w:r>
        <w:rPr>
          <w:color w:val="231F20"/>
          <w:w w:val="105"/>
        </w:rPr>
        <w:t>in- cremento de la vigilancia fronteriza, aunado a la mayor documentación migratoria</w:t>
      </w:r>
      <w:r>
        <w:rPr>
          <w:color w:val="231F20"/>
          <w:spacing w:val="-9"/>
          <w:w w:val="105"/>
        </w:rPr>
        <w:t> </w:t>
      </w:r>
      <w:r>
        <w:rPr>
          <w:color w:val="231F20"/>
          <w:w w:val="105"/>
        </w:rPr>
        <w:t>femenina,</w:t>
      </w:r>
      <w:r>
        <w:rPr>
          <w:color w:val="231F20"/>
          <w:spacing w:val="-14"/>
          <w:w w:val="105"/>
        </w:rPr>
        <w:t> </w:t>
      </w:r>
      <w:r>
        <w:rPr>
          <w:color w:val="231F20"/>
          <w:w w:val="105"/>
        </w:rPr>
        <w:t>así</w:t>
      </w:r>
      <w:r>
        <w:rPr>
          <w:color w:val="231F20"/>
          <w:spacing w:val="-9"/>
          <w:w w:val="105"/>
        </w:rPr>
        <w:t> </w:t>
      </w:r>
      <w:r>
        <w:rPr>
          <w:color w:val="231F20"/>
          <w:w w:val="105"/>
        </w:rPr>
        <w:t>como</w:t>
      </w:r>
      <w:r>
        <w:rPr>
          <w:color w:val="231F20"/>
          <w:spacing w:val="-9"/>
          <w:w w:val="105"/>
        </w:rPr>
        <w:t> </w:t>
      </w:r>
      <w:r>
        <w:rPr>
          <w:color w:val="231F20"/>
          <w:w w:val="105"/>
        </w:rPr>
        <w:t>los</w:t>
      </w:r>
      <w:r>
        <w:rPr>
          <w:color w:val="231F20"/>
          <w:spacing w:val="-9"/>
          <w:w w:val="105"/>
        </w:rPr>
        <w:t> </w:t>
      </w:r>
      <w:r>
        <w:rPr>
          <w:color w:val="231F20"/>
          <w:w w:val="105"/>
        </w:rPr>
        <w:t>motivos</w:t>
      </w:r>
      <w:r>
        <w:rPr>
          <w:color w:val="231F20"/>
          <w:spacing w:val="-9"/>
          <w:w w:val="105"/>
        </w:rPr>
        <w:t> </w:t>
      </w:r>
      <w:r>
        <w:rPr>
          <w:color w:val="231F20"/>
          <w:w w:val="105"/>
        </w:rPr>
        <w:t>para</w:t>
      </w:r>
      <w:r>
        <w:rPr>
          <w:color w:val="231F20"/>
          <w:spacing w:val="-9"/>
          <w:w w:val="105"/>
        </w:rPr>
        <w:t> </w:t>
      </w:r>
      <w:r>
        <w:rPr>
          <w:color w:val="231F20"/>
          <w:w w:val="105"/>
        </w:rPr>
        <w:t>migrar</w:t>
      </w:r>
      <w:r>
        <w:rPr>
          <w:color w:val="231F20"/>
          <w:spacing w:val="-9"/>
          <w:w w:val="105"/>
        </w:rPr>
        <w:t> </w:t>
      </w:r>
      <w:r>
        <w:rPr>
          <w:color w:val="231F20"/>
          <w:w w:val="105"/>
        </w:rPr>
        <w:t>(reunificación</w:t>
      </w:r>
      <w:r>
        <w:rPr>
          <w:color w:val="231F20"/>
          <w:spacing w:val="-9"/>
          <w:w w:val="105"/>
        </w:rPr>
        <w:t> </w:t>
      </w:r>
      <w:r>
        <w:rPr>
          <w:color w:val="231F20"/>
          <w:w w:val="105"/>
        </w:rPr>
        <w:t>fa-</w:t>
      </w:r>
    </w:p>
    <w:p>
      <w:pPr>
        <w:pStyle w:val="BodyText"/>
        <w:rPr>
          <w:sz w:val="20"/>
        </w:rPr>
      </w:pPr>
    </w:p>
    <w:p>
      <w:pPr>
        <w:pStyle w:val="BodyText"/>
        <w:rPr>
          <w:sz w:val="20"/>
        </w:rPr>
      </w:pPr>
    </w:p>
    <w:p>
      <w:pPr>
        <w:pStyle w:val="BodyText"/>
        <w:spacing w:before="11"/>
        <w:rPr>
          <w:sz w:val="25"/>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5944" from="131.551193pt,3.703715pt" to="131.551193pt,39.506114pt" stroked="true" strokeweight=".35pt" strokecolor="#231f20">
            <w10:wrap type="none"/>
          </v:line>
        </w:pict>
      </w:r>
      <w:r>
        <w:rPr/>
        <w:pict>
          <v:line style="position:absolute;mso-position-horizontal-relative:page;mso-position-vertical-relative:paragraph;z-index:-455872" from="15pt,39.505917pt" to="0pt,39.505917pt" stroked="true" strokeweight=".25pt" strokecolor="#000000">
            <w10:wrap type="none"/>
          </v:line>
        </w:pict>
      </w:r>
      <w:r>
        <w:rPr/>
        <w:pict>
          <v:line style="position:absolute;mso-position-horizontal-relative:page;mso-position-vertical-relative:paragraph;z-index:34336" from="508.890015pt,39.505917pt" to="523.890015pt,39.505917pt" stroked="true" strokeweight=".25pt" strokecolor="#000000">
            <w10:wrap type="none"/>
          </v:line>
        </w:pict>
      </w:r>
      <w:r>
        <w:rPr>
          <w:rFonts w:ascii="Arial" w:hAnsi="Arial"/>
          <w:color w:val="414042"/>
          <w:position w:val="-5"/>
          <w:sz w:val="20"/>
        </w:rPr>
        <w:t>280</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4360" from="405.061005pt,-27.904295pt" to="405.061005pt,6.961579pt" stroked="true" strokeweight=".35pt" strokecolor="#231f20">
            <w10:wrap type="none"/>
          </v:line>
        </w:pict>
      </w:r>
      <w:r>
        <w:rPr/>
        <w:pict>
          <v:line style="position:absolute;mso-position-horizontal-relative:page;mso-position-vertical-relative:paragraph;z-index:34744" from="15pt,-27.90452pt" to="0pt,-27.90452pt" stroked="true" strokeweight=".25pt" strokecolor="#000000">
            <w10:wrap type="none"/>
          </v:line>
        </w:pict>
      </w:r>
      <w:r>
        <w:rPr/>
        <w:pict>
          <v:line style="position:absolute;mso-position-horizontal-relative:page;mso-position-vertical-relative:paragraph;z-index:34768"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281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5"/>
        <w:jc w:val="both"/>
      </w:pPr>
      <w:r>
        <w:rPr>
          <w:color w:val="231F20"/>
          <w:w w:val="105"/>
        </w:rPr>
        <w:t>miliar</w:t>
      </w:r>
      <w:r>
        <w:rPr>
          <w:color w:val="231F20"/>
          <w:spacing w:val="-15"/>
          <w:w w:val="105"/>
        </w:rPr>
        <w:t> </w:t>
      </w:r>
      <w:r>
        <w:rPr>
          <w:color w:val="231F20"/>
          <w:w w:val="105"/>
        </w:rPr>
        <w:t>con</w:t>
      </w:r>
      <w:r>
        <w:rPr>
          <w:color w:val="231F20"/>
          <w:spacing w:val="-15"/>
          <w:w w:val="105"/>
        </w:rPr>
        <w:t> </w:t>
      </w:r>
      <w:r>
        <w:rPr>
          <w:color w:val="231F20"/>
          <w:w w:val="105"/>
        </w:rPr>
        <w:t>migrantes</w:t>
      </w:r>
      <w:r>
        <w:rPr>
          <w:color w:val="231F20"/>
          <w:spacing w:val="-15"/>
          <w:w w:val="105"/>
        </w:rPr>
        <w:t> </w:t>
      </w:r>
      <w:r>
        <w:rPr>
          <w:color w:val="231F20"/>
          <w:w w:val="105"/>
        </w:rPr>
        <w:t>que</w:t>
      </w:r>
      <w:r>
        <w:rPr>
          <w:color w:val="231F20"/>
          <w:spacing w:val="-15"/>
          <w:w w:val="105"/>
        </w:rPr>
        <w:t> </w:t>
      </w:r>
      <w:r>
        <w:rPr>
          <w:color w:val="231F20"/>
          <w:w w:val="105"/>
        </w:rPr>
        <w:t>ya</w:t>
      </w:r>
      <w:r>
        <w:rPr>
          <w:color w:val="231F20"/>
          <w:spacing w:val="-15"/>
          <w:w w:val="105"/>
        </w:rPr>
        <w:t> </w:t>
      </w:r>
      <w:r>
        <w:rPr>
          <w:color w:val="231F20"/>
          <w:w w:val="105"/>
        </w:rPr>
        <w:t>se</w:t>
      </w:r>
      <w:r>
        <w:rPr>
          <w:color w:val="231F20"/>
          <w:spacing w:val="-15"/>
          <w:w w:val="105"/>
        </w:rPr>
        <w:t> </w:t>
      </w:r>
      <w:r>
        <w:rPr>
          <w:color w:val="231F20"/>
          <w:w w:val="105"/>
        </w:rPr>
        <w:t>encuentran</w:t>
      </w:r>
      <w:r>
        <w:rPr>
          <w:color w:val="231F20"/>
          <w:spacing w:val="-15"/>
          <w:w w:val="105"/>
        </w:rPr>
        <w:t> </w:t>
      </w:r>
      <w:r>
        <w:rPr>
          <w:color w:val="231F20"/>
          <w:w w:val="105"/>
        </w:rPr>
        <w:t>en</w:t>
      </w:r>
      <w:r>
        <w:rPr>
          <w:color w:val="231F20"/>
          <w:spacing w:val="-15"/>
          <w:w w:val="105"/>
        </w:rPr>
        <w:t> </w:t>
      </w:r>
      <w:r>
        <w:rPr>
          <w:color w:val="231F20"/>
          <w:w w:val="105"/>
        </w:rPr>
        <w:t>Estados</w:t>
      </w:r>
      <w:r>
        <w:rPr>
          <w:color w:val="231F20"/>
          <w:spacing w:val="-15"/>
          <w:w w:val="105"/>
        </w:rPr>
        <w:t> </w:t>
      </w:r>
      <w:r>
        <w:rPr>
          <w:color w:val="231F20"/>
          <w:w w:val="105"/>
        </w:rPr>
        <w:t>Unidos)</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prev- alencia</w:t>
      </w:r>
      <w:r>
        <w:rPr>
          <w:color w:val="231F20"/>
          <w:spacing w:val="-4"/>
          <w:w w:val="105"/>
        </w:rPr>
        <w:t> </w:t>
      </w:r>
      <w:r>
        <w:rPr>
          <w:color w:val="231F20"/>
          <w:w w:val="105"/>
        </w:rPr>
        <w:t>de</w:t>
      </w:r>
      <w:r>
        <w:rPr>
          <w:color w:val="231F20"/>
          <w:spacing w:val="-4"/>
          <w:w w:val="105"/>
        </w:rPr>
        <w:t> </w:t>
      </w:r>
      <w:r>
        <w:rPr>
          <w:color w:val="231F20"/>
          <w:w w:val="105"/>
        </w:rPr>
        <w:t>condición</w:t>
      </w:r>
      <w:r>
        <w:rPr>
          <w:color w:val="231F20"/>
          <w:spacing w:val="-4"/>
          <w:w w:val="105"/>
        </w:rPr>
        <w:t> </w:t>
      </w:r>
      <w:r>
        <w:rPr>
          <w:color w:val="231F20"/>
          <w:w w:val="105"/>
        </w:rPr>
        <w:t>de</w:t>
      </w:r>
      <w:r>
        <w:rPr>
          <w:color w:val="231F20"/>
          <w:spacing w:val="-4"/>
          <w:w w:val="105"/>
        </w:rPr>
        <w:t> </w:t>
      </w:r>
      <w:r>
        <w:rPr>
          <w:color w:val="231F20"/>
          <w:w w:val="105"/>
        </w:rPr>
        <w:t>cónyuge</w:t>
      </w:r>
      <w:r>
        <w:rPr>
          <w:color w:val="231F20"/>
          <w:spacing w:val="-4"/>
          <w:w w:val="105"/>
        </w:rPr>
        <w:t> </w:t>
      </w:r>
      <w:r>
        <w:rPr>
          <w:color w:val="231F20"/>
          <w:w w:val="105"/>
        </w:rPr>
        <w:t>de</w:t>
      </w:r>
      <w:r>
        <w:rPr>
          <w:color w:val="231F20"/>
          <w:spacing w:val="-4"/>
          <w:w w:val="105"/>
        </w:rPr>
        <w:t> </w:t>
      </w:r>
      <w:r>
        <w:rPr>
          <w:color w:val="231F20"/>
          <w:w w:val="105"/>
        </w:rPr>
        <w:t>éstas,</w:t>
      </w:r>
      <w:r>
        <w:rPr>
          <w:color w:val="231F20"/>
          <w:spacing w:val="-9"/>
          <w:w w:val="105"/>
        </w:rPr>
        <w:t> </w:t>
      </w:r>
      <w:r>
        <w:rPr>
          <w:color w:val="231F20"/>
          <w:w w:val="105"/>
        </w:rPr>
        <w:t>serían</w:t>
      </w:r>
      <w:r>
        <w:rPr>
          <w:color w:val="231F20"/>
          <w:spacing w:val="-4"/>
          <w:w w:val="105"/>
        </w:rPr>
        <w:t> </w:t>
      </w:r>
      <w:r>
        <w:rPr>
          <w:color w:val="231F20"/>
          <w:w w:val="105"/>
        </w:rPr>
        <w:t>elementos</w:t>
      </w:r>
      <w:r>
        <w:rPr>
          <w:color w:val="231F20"/>
          <w:spacing w:val="-4"/>
          <w:w w:val="105"/>
        </w:rPr>
        <w:t> </w:t>
      </w:r>
      <w:r>
        <w:rPr>
          <w:color w:val="231F20"/>
          <w:w w:val="105"/>
        </w:rPr>
        <w:t>clave</w:t>
      </w:r>
      <w:r>
        <w:rPr>
          <w:color w:val="231F20"/>
          <w:spacing w:val="-4"/>
          <w:w w:val="105"/>
        </w:rPr>
        <w:t> </w:t>
      </w:r>
      <w:r>
        <w:rPr>
          <w:color w:val="231F20"/>
          <w:w w:val="105"/>
        </w:rPr>
        <w:t>para explicar</w:t>
      </w:r>
      <w:r>
        <w:rPr>
          <w:color w:val="231F20"/>
          <w:spacing w:val="-10"/>
          <w:w w:val="105"/>
        </w:rPr>
        <w:t> </w:t>
      </w:r>
      <w:r>
        <w:rPr>
          <w:color w:val="231F20"/>
          <w:w w:val="105"/>
        </w:rPr>
        <w:t>la</w:t>
      </w:r>
      <w:r>
        <w:rPr>
          <w:color w:val="231F20"/>
          <w:spacing w:val="-10"/>
          <w:w w:val="105"/>
        </w:rPr>
        <w:t> </w:t>
      </w:r>
      <w:r>
        <w:rPr>
          <w:color w:val="231F20"/>
          <w:w w:val="105"/>
        </w:rPr>
        <w:t>reducción</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migración</w:t>
      </w:r>
      <w:r>
        <w:rPr>
          <w:color w:val="231F20"/>
          <w:spacing w:val="-10"/>
          <w:w w:val="105"/>
        </w:rPr>
        <w:t> </w:t>
      </w:r>
      <w:r>
        <w:rPr>
          <w:color w:val="231F20"/>
          <w:w w:val="105"/>
        </w:rPr>
        <w:t>de</w:t>
      </w:r>
      <w:r>
        <w:rPr>
          <w:color w:val="231F20"/>
          <w:spacing w:val="-10"/>
          <w:w w:val="105"/>
        </w:rPr>
        <w:t> </w:t>
      </w:r>
      <w:r>
        <w:rPr>
          <w:color w:val="231F20"/>
          <w:w w:val="105"/>
        </w:rPr>
        <w:t>retorno</w:t>
      </w:r>
      <w:r>
        <w:rPr>
          <w:color w:val="231F20"/>
          <w:spacing w:val="-10"/>
          <w:w w:val="105"/>
        </w:rPr>
        <w:t> </w:t>
      </w:r>
      <w:r>
        <w:rPr>
          <w:color w:val="231F20"/>
          <w:w w:val="105"/>
        </w:rPr>
        <w:t>y</w:t>
      </w:r>
      <w:r>
        <w:rPr>
          <w:color w:val="231F20"/>
          <w:spacing w:val="-10"/>
          <w:w w:val="105"/>
        </w:rPr>
        <w:t> </w:t>
      </w:r>
      <w:r>
        <w:rPr>
          <w:color w:val="231F20"/>
          <w:w w:val="105"/>
        </w:rPr>
        <w:t>circularidad</w:t>
      </w:r>
      <w:r>
        <w:rPr>
          <w:color w:val="231F20"/>
          <w:spacing w:val="-10"/>
          <w:w w:val="105"/>
        </w:rPr>
        <w:t> </w:t>
      </w:r>
      <w:r>
        <w:rPr>
          <w:color w:val="231F20"/>
          <w:w w:val="105"/>
        </w:rPr>
        <w:t>femenina.</w:t>
      </w:r>
    </w:p>
    <w:p>
      <w:pPr>
        <w:pStyle w:val="BodyText"/>
        <w:spacing w:before="4"/>
      </w:pPr>
    </w:p>
    <w:p>
      <w:pPr>
        <w:spacing w:line="249" w:lineRule="auto" w:before="0"/>
        <w:ind w:left="1943" w:right="1827" w:firstLine="0"/>
        <w:jc w:val="center"/>
        <w:rPr>
          <w:rFonts w:ascii="Arial" w:hAnsi="Arial"/>
          <w:sz w:val="18"/>
        </w:rPr>
      </w:pPr>
      <w:r>
        <w:rPr>
          <w:rFonts w:ascii="Arial" w:hAnsi="Arial"/>
          <w:color w:val="231F20"/>
          <w:w w:val="105"/>
          <w:sz w:val="18"/>
        </w:rPr>
        <w:t>Gráfica</w:t>
      </w:r>
      <w:r>
        <w:rPr>
          <w:rFonts w:ascii="Arial" w:hAnsi="Arial"/>
          <w:color w:val="231F20"/>
          <w:spacing w:val="-9"/>
          <w:w w:val="105"/>
          <w:sz w:val="18"/>
        </w:rPr>
        <w:t> </w:t>
      </w:r>
      <w:r>
        <w:rPr>
          <w:rFonts w:ascii="Arial" w:hAnsi="Arial"/>
          <w:color w:val="231F20"/>
          <w:w w:val="105"/>
          <w:sz w:val="18"/>
        </w:rPr>
        <w:t>3.</w:t>
      </w:r>
      <w:r>
        <w:rPr>
          <w:rFonts w:ascii="Arial" w:hAnsi="Arial"/>
          <w:color w:val="231F20"/>
          <w:spacing w:val="-19"/>
          <w:w w:val="105"/>
          <w:sz w:val="18"/>
        </w:rPr>
        <w:t> </w:t>
      </w:r>
      <w:r>
        <w:rPr>
          <w:rFonts w:ascii="Arial" w:hAnsi="Arial"/>
          <w:color w:val="231F20"/>
          <w:spacing w:val="-3"/>
          <w:w w:val="105"/>
          <w:sz w:val="18"/>
        </w:rPr>
        <w:t>Tenencia</w:t>
      </w:r>
      <w:r>
        <w:rPr>
          <w:rFonts w:ascii="Arial" w:hAnsi="Arial"/>
          <w:color w:val="231F20"/>
          <w:spacing w:val="-9"/>
          <w:w w:val="105"/>
          <w:sz w:val="18"/>
        </w:rPr>
        <w:t> </w:t>
      </w:r>
      <w:r>
        <w:rPr>
          <w:rFonts w:ascii="Arial" w:hAnsi="Arial"/>
          <w:color w:val="231F20"/>
          <w:w w:val="105"/>
          <w:sz w:val="18"/>
        </w:rPr>
        <w:t>de</w:t>
      </w:r>
      <w:r>
        <w:rPr>
          <w:rFonts w:ascii="Arial" w:hAnsi="Arial"/>
          <w:color w:val="231F20"/>
          <w:spacing w:val="-9"/>
          <w:w w:val="105"/>
          <w:sz w:val="18"/>
        </w:rPr>
        <w:t> </w:t>
      </w:r>
      <w:r>
        <w:rPr>
          <w:rFonts w:ascii="Arial" w:hAnsi="Arial"/>
          <w:color w:val="231F20"/>
          <w:w w:val="105"/>
          <w:sz w:val="18"/>
        </w:rPr>
        <w:t>documentos</w:t>
      </w:r>
      <w:r>
        <w:rPr>
          <w:rFonts w:ascii="Arial" w:hAnsi="Arial"/>
          <w:color w:val="231F20"/>
          <w:spacing w:val="-9"/>
          <w:w w:val="105"/>
          <w:sz w:val="18"/>
        </w:rPr>
        <w:t> </w:t>
      </w:r>
      <w:r>
        <w:rPr>
          <w:rFonts w:ascii="Arial" w:hAnsi="Arial"/>
          <w:color w:val="231F20"/>
          <w:w w:val="105"/>
          <w:sz w:val="18"/>
        </w:rPr>
        <w:t>migratorios</w:t>
      </w:r>
      <w:r>
        <w:rPr>
          <w:rFonts w:ascii="Arial" w:hAnsi="Arial"/>
          <w:color w:val="231F20"/>
          <w:spacing w:val="-9"/>
          <w:w w:val="105"/>
          <w:sz w:val="18"/>
        </w:rPr>
        <w:t> </w:t>
      </w:r>
      <w:r>
        <w:rPr>
          <w:rFonts w:ascii="Arial" w:hAnsi="Arial"/>
          <w:color w:val="231F20"/>
          <w:w w:val="105"/>
          <w:sz w:val="18"/>
        </w:rPr>
        <w:t>para</w:t>
      </w:r>
      <w:r>
        <w:rPr>
          <w:rFonts w:ascii="Arial" w:hAnsi="Arial"/>
          <w:color w:val="231F20"/>
          <w:spacing w:val="-9"/>
          <w:w w:val="105"/>
          <w:sz w:val="18"/>
        </w:rPr>
        <w:t> </w:t>
      </w:r>
      <w:r>
        <w:rPr>
          <w:rFonts w:ascii="Arial" w:hAnsi="Arial"/>
          <w:color w:val="231F20"/>
          <w:w w:val="105"/>
          <w:sz w:val="18"/>
        </w:rPr>
        <w:t>el</w:t>
      </w:r>
      <w:r>
        <w:rPr>
          <w:rFonts w:ascii="Arial" w:hAnsi="Arial"/>
          <w:color w:val="231F20"/>
          <w:spacing w:val="-9"/>
          <w:w w:val="105"/>
          <w:sz w:val="18"/>
        </w:rPr>
        <w:t> </w:t>
      </w:r>
      <w:r>
        <w:rPr>
          <w:rFonts w:ascii="Arial" w:hAnsi="Arial"/>
          <w:color w:val="231F20"/>
          <w:w w:val="105"/>
          <w:sz w:val="18"/>
        </w:rPr>
        <w:t>cruce</w:t>
      </w:r>
      <w:r>
        <w:rPr>
          <w:rFonts w:ascii="Arial" w:hAnsi="Arial"/>
          <w:color w:val="231F20"/>
          <w:spacing w:val="-9"/>
          <w:w w:val="105"/>
          <w:sz w:val="18"/>
        </w:rPr>
        <w:t> </w:t>
      </w:r>
      <w:r>
        <w:rPr>
          <w:rFonts w:ascii="Arial" w:hAnsi="Arial"/>
          <w:color w:val="231F20"/>
          <w:w w:val="105"/>
          <w:sz w:val="18"/>
        </w:rPr>
        <w:t>fronterizo</w:t>
      </w:r>
      <w:r>
        <w:rPr>
          <w:rFonts w:ascii="Arial" w:hAnsi="Arial"/>
          <w:color w:val="231F20"/>
          <w:spacing w:val="-9"/>
          <w:w w:val="105"/>
          <w:sz w:val="18"/>
        </w:rPr>
        <w:t> </w:t>
      </w:r>
      <w:r>
        <w:rPr>
          <w:rFonts w:ascii="Arial" w:hAnsi="Arial"/>
          <w:color w:val="231F20"/>
          <w:w w:val="105"/>
          <w:sz w:val="18"/>
        </w:rPr>
        <w:t>de migrantes</w:t>
      </w:r>
      <w:r>
        <w:rPr>
          <w:rFonts w:ascii="Arial" w:hAnsi="Arial"/>
          <w:color w:val="231F20"/>
          <w:spacing w:val="-9"/>
          <w:w w:val="105"/>
          <w:sz w:val="18"/>
        </w:rPr>
        <w:t> </w:t>
      </w:r>
      <w:r>
        <w:rPr>
          <w:rFonts w:ascii="Arial" w:hAnsi="Arial"/>
          <w:color w:val="231F20"/>
          <w:w w:val="105"/>
          <w:sz w:val="18"/>
        </w:rPr>
        <w:t>con</w:t>
      </w:r>
      <w:r>
        <w:rPr>
          <w:rFonts w:ascii="Arial" w:hAnsi="Arial"/>
          <w:color w:val="231F20"/>
          <w:spacing w:val="-9"/>
          <w:w w:val="105"/>
          <w:sz w:val="18"/>
        </w:rPr>
        <w:t> </w:t>
      </w:r>
      <w:r>
        <w:rPr>
          <w:rFonts w:ascii="Arial" w:hAnsi="Arial"/>
          <w:color w:val="231F20"/>
          <w:w w:val="105"/>
          <w:sz w:val="18"/>
        </w:rPr>
        <w:t>intención</w:t>
      </w:r>
      <w:r>
        <w:rPr>
          <w:rFonts w:ascii="Arial" w:hAnsi="Arial"/>
          <w:color w:val="231F20"/>
          <w:spacing w:val="-9"/>
          <w:w w:val="105"/>
          <w:sz w:val="18"/>
        </w:rPr>
        <w:t> </w:t>
      </w:r>
      <w:r>
        <w:rPr>
          <w:rFonts w:ascii="Arial" w:hAnsi="Arial"/>
          <w:color w:val="231F20"/>
          <w:w w:val="105"/>
          <w:sz w:val="18"/>
        </w:rPr>
        <w:t>de</w:t>
      </w:r>
      <w:r>
        <w:rPr>
          <w:rFonts w:ascii="Arial" w:hAnsi="Arial"/>
          <w:color w:val="231F20"/>
          <w:spacing w:val="-9"/>
          <w:w w:val="105"/>
          <w:sz w:val="18"/>
        </w:rPr>
        <w:t> </w:t>
      </w:r>
      <w:r>
        <w:rPr>
          <w:rFonts w:ascii="Arial" w:hAnsi="Arial"/>
          <w:color w:val="231F20"/>
          <w:w w:val="105"/>
          <w:sz w:val="18"/>
        </w:rPr>
        <w:t>cruzar</w:t>
      </w:r>
      <w:r>
        <w:rPr>
          <w:rFonts w:ascii="Arial" w:hAnsi="Arial"/>
          <w:color w:val="231F20"/>
          <w:spacing w:val="-9"/>
          <w:w w:val="105"/>
          <w:sz w:val="18"/>
        </w:rPr>
        <w:t> </w:t>
      </w:r>
      <w:r>
        <w:rPr>
          <w:rFonts w:ascii="Arial" w:hAnsi="Arial"/>
          <w:color w:val="231F20"/>
          <w:w w:val="105"/>
          <w:sz w:val="18"/>
        </w:rPr>
        <w:t>la</w:t>
      </w:r>
      <w:r>
        <w:rPr>
          <w:rFonts w:ascii="Arial" w:hAnsi="Arial"/>
          <w:color w:val="231F20"/>
          <w:spacing w:val="-9"/>
          <w:w w:val="105"/>
          <w:sz w:val="18"/>
        </w:rPr>
        <w:t> </w:t>
      </w:r>
      <w:r>
        <w:rPr>
          <w:rFonts w:ascii="Arial" w:hAnsi="Arial"/>
          <w:color w:val="231F20"/>
          <w:w w:val="105"/>
          <w:sz w:val="18"/>
        </w:rPr>
        <w:t>frontera,</w:t>
      </w:r>
      <w:r>
        <w:rPr>
          <w:rFonts w:ascii="Arial" w:hAnsi="Arial"/>
          <w:color w:val="231F20"/>
          <w:spacing w:val="-15"/>
          <w:w w:val="105"/>
          <w:sz w:val="18"/>
        </w:rPr>
        <w:t> </w:t>
      </w:r>
      <w:r>
        <w:rPr>
          <w:rFonts w:ascii="Arial" w:hAnsi="Arial"/>
          <w:color w:val="231F20"/>
          <w:w w:val="105"/>
          <w:sz w:val="18"/>
        </w:rPr>
        <w:t>Estado</w:t>
      </w:r>
      <w:r>
        <w:rPr>
          <w:rFonts w:ascii="Arial" w:hAnsi="Arial"/>
          <w:color w:val="231F20"/>
          <w:spacing w:val="-9"/>
          <w:w w:val="105"/>
          <w:sz w:val="18"/>
        </w:rPr>
        <w:t> </w:t>
      </w:r>
      <w:r>
        <w:rPr>
          <w:rFonts w:ascii="Arial" w:hAnsi="Arial"/>
          <w:color w:val="231F20"/>
          <w:w w:val="105"/>
          <w:sz w:val="18"/>
        </w:rPr>
        <w:t>de</w:t>
      </w:r>
      <w:r>
        <w:rPr>
          <w:rFonts w:ascii="Arial" w:hAnsi="Arial"/>
          <w:color w:val="231F20"/>
          <w:spacing w:val="-9"/>
          <w:w w:val="105"/>
          <w:sz w:val="18"/>
        </w:rPr>
        <w:t> </w:t>
      </w:r>
      <w:r>
        <w:rPr>
          <w:rFonts w:ascii="Arial" w:hAnsi="Arial"/>
          <w:color w:val="231F20"/>
          <w:w w:val="105"/>
          <w:sz w:val="18"/>
        </w:rPr>
        <w:t>México</w:t>
      </w:r>
      <w:r>
        <w:rPr>
          <w:rFonts w:ascii="Arial" w:hAnsi="Arial"/>
          <w:color w:val="231F20"/>
          <w:spacing w:val="-9"/>
          <w:w w:val="105"/>
          <w:sz w:val="18"/>
        </w:rPr>
        <w:t> </w:t>
      </w:r>
      <w:r>
        <w:rPr>
          <w:rFonts w:ascii="Arial" w:hAnsi="Arial"/>
          <w:color w:val="231F20"/>
          <w:w w:val="105"/>
          <w:sz w:val="18"/>
        </w:rPr>
        <w:t>2000-2010</w:t>
      </w:r>
    </w:p>
    <w:p>
      <w:pPr>
        <w:tabs>
          <w:tab w:pos="3126" w:val="left" w:leader="none"/>
        </w:tabs>
        <w:spacing w:before="88"/>
        <w:ind w:left="130" w:right="0" w:firstLine="0"/>
        <w:jc w:val="center"/>
        <w:rPr>
          <w:rFonts w:ascii="Arial"/>
          <w:sz w:val="15"/>
        </w:rPr>
      </w:pPr>
      <w:r>
        <w:rPr>
          <w:rFonts w:ascii="Arial"/>
          <w:color w:val="231F20"/>
          <w:w w:val="105"/>
          <w:sz w:val="15"/>
        </w:rPr>
        <w:t>Hombres</w:t>
        <w:tab/>
        <w:t>Mujeres</w:t>
      </w:r>
    </w:p>
    <w:p>
      <w:pPr>
        <w:pStyle w:val="BodyText"/>
        <w:rPr>
          <w:rFonts w:ascii="Arial"/>
          <w:sz w:val="20"/>
        </w:rPr>
      </w:pPr>
    </w:p>
    <w:p>
      <w:pPr>
        <w:pStyle w:val="BodyText"/>
        <w:rPr>
          <w:rFonts w:ascii="Arial"/>
          <w:sz w:val="20"/>
        </w:rPr>
      </w:pPr>
    </w:p>
    <w:p>
      <w:pPr>
        <w:pStyle w:val="BodyText"/>
        <w:rPr>
          <w:rFonts w:ascii="Arial"/>
          <w:sz w:val="10"/>
        </w:rPr>
      </w:pPr>
    </w:p>
    <w:p>
      <w:pPr>
        <w:pStyle w:val="BodyText"/>
        <w:spacing w:before="1"/>
        <w:rPr>
          <w:rFonts w:ascii="Arial"/>
          <w:sz w:val="11"/>
        </w:rPr>
      </w:pPr>
    </w:p>
    <w:p>
      <w:pPr>
        <w:spacing w:before="0"/>
        <w:ind w:left="1119" w:right="2804" w:firstLine="0"/>
        <w:jc w:val="center"/>
        <w:rPr>
          <w:rFonts w:ascii="Arial"/>
          <w:sz w:val="10"/>
        </w:rPr>
      </w:pPr>
      <w:r>
        <w:rPr/>
        <w:pict>
          <v:group style="position:absolute;margin-left:135.007263pt;margin-top:-28.455679pt;width:113.55pt;height:126.2pt;mso-position-horizontal-relative:page;mso-position-vertical-relative:paragraph;z-index:-455800" coordorigin="2700,-569" coordsize="2271,2524">
            <v:shape style="position:absolute;left:3835;top:-569;width:1136;height:1192" coordorigin="3835,-569" coordsize="1136,1192" path="m4970,622l3835,583,3835,-569,3898,-567,3959,-562,4019,-554,4079,-543,4137,-528,4222,-500,4304,-467,4383,-426,4458,-381,4529,-329,4596,-272,4658,-211,4716,-144,4768,-73,4816,1,4857,80,4892,162,4913,219,4930,277,4944,336,4956,396,4964,457,4969,520,4971,583,4971,596,4970,609,4970,622xe" filled="true" fillcolor="#a1a3a5" stroked="false">
              <v:path arrowok="t"/>
              <v:fill type="solid"/>
            </v:shape>
            <v:shape style="position:absolute;left:2700;top:-569;width:2270;height:2305" coordorigin="2700,-569" coordsize="2270,2305" path="m3828,1735l3766,1733,3704,1727,3643,1719,3584,1707,3525,1692,3440,1663,3358,1629,3280,1588,3205,1541,3134,1489,3068,1432,3006,1370,2949,1303,2897,1231,2850,1156,2810,1077,2775,995,2746,910,2731,851,2719,792,2709,731,2703,670,2700,607,2700,576,2701,544,2705,480,2712,417,2722,356,2736,295,2753,236,2772,178,2795,122,2820,67,2848,14,2895,-63,2947,-135,3005,-203,3068,-266,3135,-324,3207,-376,3282,-423,3362,-464,3445,-499,3502,-518,3560,-535,3619,-548,3680,-558,3741,-565,3804,-569,3835,-569,3835,583,4970,622,4966,685,4959,747,4949,808,4935,868,4919,927,4900,984,4878,1040,4840,1121,4796,1198,4746,1271,4691,1340,4631,1404,4567,1464,4498,1518,4425,1567,4349,1611,4269,1648,4186,1679,4100,1704,4041,1716,3981,1726,3921,1732,3859,1735,3828,1735xe" filled="true" fillcolor="#d0d2d3" stroked="false">
              <v:path arrowok="t"/>
              <v:fill type="solid"/>
            </v:shape>
            <v:line style="position:absolute" from="4233,1805" to="4233,1905" stroked="true" strokeweight="4.945962pt" strokecolor="#a1a3a5"/>
            <w10:wrap type="none"/>
          </v:group>
        </w:pict>
      </w:r>
      <w:r>
        <w:rPr/>
        <w:pict>
          <v:group style="position:absolute;margin-left:281.786621pt;margin-top:-30.61125pt;width:113.8pt;height:115.5pt;mso-position-horizontal-relative:page;mso-position-vertical-relative:paragraph;z-index:34480" coordorigin="5636,-612" coordsize="2276,2310">
            <v:shape style="position:absolute;left:6408;top:-606;width:1505;height:2303" coordorigin="6408,-606" coordsize="1505,2303" path="m6777,1697l6709,1695,6640,1689,6573,1678,6506,1664,6440,1645,6408,1634,6777,546,6777,-606,6839,-604,6901,-599,6961,-591,7020,-579,7079,-565,7164,-537,7246,-503,7324,-463,7399,-417,7470,-366,7537,-309,7600,-247,7657,-181,7710,-110,7757,-35,7798,43,7834,125,7854,182,7871,240,7886,299,7897,359,7905,420,7910,483,7912,546,7911,577,7908,640,7901,702,7892,763,7879,822,7863,881,7844,938,7811,1021,7771,1101,7726,1177,7675,1249,7619,1317,7559,1381,7493,1439,7423,1492,7350,1540,7272,1582,7191,1618,7107,1648,7020,1671,6961,1682,6901,1690,6839,1696,6808,1697,6777,1697xe" filled="true" fillcolor="#a1a3a5" stroked="false">
              <v:path arrowok="t"/>
              <v:fill type="solid"/>
            </v:shape>
            <v:shape style="position:absolute;left:5642;top:-606;width:1135;height:2241" coordorigin="5642,-606" coordsize="1135,2241" path="m6408,1634l6349,1612,6293,1587,6238,1559,6186,1529,6136,1496,6064,1442,5997,1383,5936,1319,5880,1251,5829,1178,5784,1103,5745,1024,5712,942,5685,858,5664,771,5650,683,5643,594,5642,534,5643,504,5647,443,5654,383,5664,322,5678,261,5695,201,5715,140,5739,80,5767,22,5797,-34,5830,-88,5866,-140,5904,-190,5945,-237,5988,-282,6034,-324,6081,-364,6131,-401,6182,-435,6236,-466,6291,-495,6347,-520,6405,-542,6465,-561,6525,-577,6587,-589,6649,-598,6713,-604,6777,-606,6777,546,6408,1634xe" filled="true" fillcolor="#d0d2d3" stroked="false">
              <v:path arrowok="t"/>
              <v:fill type="solid"/>
            </v:shape>
            <v:shape style="position:absolute;left:5642;top:-606;width:1135;height:2241" coordorigin="5642,-606" coordsize="1135,2241" path="m6408,1634l6349,1612,6293,1587,6238,1559,6186,1529,6136,1496,6064,1442,5997,1383,5936,1319,5880,1251,5829,1178,5784,1103,5745,1024,5712,942,5685,858,5664,771,5650,683,5643,594,5642,534,5643,504,5647,443,5654,383,5664,322,5678,261,5695,201,5715,140,5739,80,5767,22,5797,-34,5830,-88,5866,-140,5904,-190,5945,-237,5988,-282,6034,-324,6081,-364,6131,-401,6182,-435,6236,-466,6291,-495,6347,-520,6405,-542,6465,-561,6525,-577,6587,-589,6649,-598,6713,-604,6777,-606,6777,546,6408,1634xe" filled="false" stroked="true" strokeweight=".622303pt" strokecolor="#ffffff">
              <v:path arrowok="t"/>
            </v:shape>
            <v:shape style="position:absolute;left:5973;top:372;width:281;height:101" type="#_x0000_t202" filled="false" stroked="false">
              <v:textbox inset="0,0,0,0">
                <w:txbxContent>
                  <w:p>
                    <w:pPr>
                      <w:spacing w:line="95" w:lineRule="exact" w:before="0"/>
                      <w:ind w:left="0" w:right="-9" w:firstLine="0"/>
                      <w:jc w:val="left"/>
                      <w:rPr>
                        <w:rFonts w:ascii="Arial"/>
                        <w:sz w:val="10"/>
                      </w:rPr>
                    </w:pPr>
                    <w:r>
                      <w:rPr>
                        <w:rFonts w:ascii="Arial"/>
                        <w:color w:val="231F20"/>
                        <w:w w:val="95"/>
                        <w:sz w:val="10"/>
                      </w:rPr>
                      <w:t>44.7%</w:t>
                    </w:r>
                  </w:p>
                </w:txbxContent>
              </v:textbox>
              <w10:wrap type="none"/>
            </v:shape>
            <v:shape style="position:absolute;left:7410;top:659;width:281;height:101" type="#_x0000_t202" filled="false" stroked="false">
              <v:textbox inset="0,0,0,0">
                <w:txbxContent>
                  <w:p>
                    <w:pPr>
                      <w:spacing w:line="95" w:lineRule="exact" w:before="0"/>
                      <w:ind w:left="0" w:right="-9" w:firstLine="0"/>
                      <w:jc w:val="left"/>
                      <w:rPr>
                        <w:rFonts w:ascii="Arial"/>
                        <w:sz w:val="10"/>
                      </w:rPr>
                    </w:pPr>
                    <w:r>
                      <w:rPr>
                        <w:rFonts w:ascii="Arial"/>
                        <w:color w:val="FFFFFF"/>
                        <w:w w:val="95"/>
                        <w:sz w:val="10"/>
                      </w:rPr>
                      <w:t>55.3%</w:t>
                    </w:r>
                  </w:p>
                </w:txbxContent>
              </v:textbox>
              <w10:wrap type="none"/>
            </v:shape>
            <w10:wrap type="none"/>
          </v:group>
        </w:pict>
      </w:r>
      <w:r>
        <w:rPr>
          <w:rFonts w:ascii="Arial"/>
          <w:color w:val="FFFFFF"/>
          <w:sz w:val="10"/>
        </w:rPr>
        <w:t>25.5%</w:t>
      </w:r>
    </w:p>
    <w:p>
      <w:pPr>
        <w:pStyle w:val="BodyText"/>
        <w:rPr>
          <w:rFonts w:ascii="Arial"/>
          <w:sz w:val="20"/>
        </w:rPr>
      </w:pPr>
    </w:p>
    <w:p>
      <w:pPr>
        <w:pStyle w:val="BodyText"/>
        <w:rPr>
          <w:rFonts w:ascii="Arial"/>
          <w:sz w:val="20"/>
        </w:rPr>
      </w:pPr>
    </w:p>
    <w:p>
      <w:pPr>
        <w:pStyle w:val="BodyText"/>
        <w:spacing w:before="4"/>
        <w:rPr>
          <w:rFonts w:ascii="Arial"/>
          <w:sz w:val="19"/>
        </w:rPr>
      </w:pPr>
    </w:p>
    <w:p>
      <w:pPr>
        <w:spacing w:before="80"/>
        <w:ind w:left="3138" w:right="6753" w:firstLine="0"/>
        <w:jc w:val="left"/>
        <w:rPr>
          <w:rFonts w:ascii="Arial"/>
          <w:sz w:val="10"/>
        </w:rPr>
      </w:pPr>
      <w:r>
        <w:rPr>
          <w:rFonts w:ascii="Arial"/>
          <w:color w:val="231F20"/>
          <w:sz w:val="10"/>
        </w:rPr>
        <w:t>74.5%</w:t>
      </w:r>
    </w:p>
    <w:p>
      <w:pPr>
        <w:pStyle w:val="BodyText"/>
        <w:rPr>
          <w:rFonts w:ascii="Arial"/>
          <w:sz w:val="20"/>
        </w:rPr>
      </w:pPr>
    </w:p>
    <w:p>
      <w:pPr>
        <w:pStyle w:val="BodyText"/>
        <w:rPr>
          <w:rFonts w:ascii="Arial"/>
          <w:sz w:val="20"/>
        </w:rPr>
      </w:pPr>
    </w:p>
    <w:p>
      <w:pPr>
        <w:pStyle w:val="BodyText"/>
        <w:spacing w:before="9"/>
        <w:rPr>
          <w:rFonts w:ascii="Arial"/>
          <w:sz w:val="20"/>
        </w:rPr>
      </w:pPr>
    </w:p>
    <w:p>
      <w:pPr>
        <w:tabs>
          <w:tab w:pos="2002" w:val="left" w:leader="none"/>
        </w:tabs>
        <w:spacing w:before="76"/>
        <w:ind w:left="574" w:right="0" w:firstLine="0"/>
        <w:jc w:val="center"/>
        <w:rPr>
          <w:rFonts w:ascii="Arial"/>
          <w:sz w:val="13"/>
        </w:rPr>
      </w:pPr>
      <w:r>
        <w:rPr/>
        <w:pict>
          <v:line style="position:absolute;mso-position-horizontal-relative:page;mso-position-vertical-relative:paragraph;z-index:-455776" from="283.002777pt,5.623678pt" to="283.002777pt,10.642859pt" stroked="true" strokeweight="4.945548pt" strokecolor="#d0d2d3">
            <w10:wrap type="none"/>
          </v:line>
        </w:pict>
      </w:r>
      <w:r>
        <w:rPr>
          <w:rFonts w:ascii="Arial"/>
          <w:color w:val="434244"/>
          <w:w w:val="105"/>
          <w:sz w:val="13"/>
        </w:rPr>
        <w:t>Con</w:t>
      </w:r>
      <w:r>
        <w:rPr>
          <w:rFonts w:ascii="Arial"/>
          <w:color w:val="434244"/>
          <w:spacing w:val="-1"/>
          <w:w w:val="105"/>
          <w:sz w:val="13"/>
        </w:rPr>
        <w:t> </w:t>
      </w:r>
      <w:r>
        <w:rPr>
          <w:rFonts w:ascii="Arial"/>
          <w:color w:val="434244"/>
          <w:w w:val="105"/>
          <w:sz w:val="13"/>
        </w:rPr>
        <w:t>documentos</w:t>
        <w:tab/>
        <w:t>Sin</w:t>
      </w:r>
      <w:r>
        <w:rPr>
          <w:rFonts w:ascii="Arial"/>
          <w:color w:val="434244"/>
          <w:spacing w:val="-3"/>
          <w:w w:val="105"/>
          <w:sz w:val="13"/>
        </w:rPr>
        <w:t> </w:t>
      </w:r>
      <w:r>
        <w:rPr>
          <w:rFonts w:ascii="Arial"/>
          <w:color w:val="434244"/>
          <w:w w:val="105"/>
          <w:sz w:val="13"/>
        </w:rPr>
        <w:t>documentos</w:t>
      </w:r>
    </w:p>
    <w:p>
      <w:pPr>
        <w:spacing w:line="252" w:lineRule="auto" w:before="38"/>
        <w:ind w:left="2631" w:right="2511" w:firstLine="0"/>
        <w:jc w:val="both"/>
        <w:rPr>
          <w:sz w:val="16"/>
        </w:rPr>
      </w:pPr>
      <w:r>
        <w:rPr>
          <w:color w:val="231F20"/>
          <w:w w:val="105"/>
          <w:sz w:val="16"/>
        </w:rPr>
        <w:t>Fuente: elaboración propia con base en El Colegio de la </w:t>
      </w:r>
      <w:r>
        <w:rPr>
          <w:color w:val="231F20"/>
          <w:spacing w:val="-3"/>
          <w:w w:val="105"/>
          <w:sz w:val="16"/>
        </w:rPr>
        <w:t>Frontera </w:t>
      </w:r>
      <w:r>
        <w:rPr>
          <w:color w:val="231F20"/>
          <w:w w:val="105"/>
          <w:sz w:val="16"/>
        </w:rPr>
        <w:t>Norte, Secretaría</w:t>
      </w:r>
      <w:r>
        <w:rPr>
          <w:color w:val="231F20"/>
          <w:spacing w:val="-9"/>
          <w:w w:val="105"/>
          <w:sz w:val="16"/>
        </w:rPr>
        <w:t> </w:t>
      </w:r>
      <w:r>
        <w:rPr>
          <w:color w:val="231F20"/>
          <w:w w:val="105"/>
          <w:sz w:val="16"/>
        </w:rPr>
        <w:t>del</w:t>
      </w:r>
      <w:r>
        <w:rPr>
          <w:color w:val="231F20"/>
          <w:spacing w:val="-12"/>
          <w:w w:val="105"/>
          <w:sz w:val="16"/>
        </w:rPr>
        <w:t> </w:t>
      </w:r>
      <w:r>
        <w:rPr>
          <w:color w:val="231F20"/>
          <w:spacing w:val="-4"/>
          <w:w w:val="105"/>
          <w:sz w:val="16"/>
        </w:rPr>
        <w:t>Trabajo</w:t>
      </w:r>
      <w:r>
        <w:rPr>
          <w:color w:val="231F20"/>
          <w:spacing w:val="-9"/>
          <w:w w:val="105"/>
          <w:sz w:val="16"/>
        </w:rPr>
        <w:t> </w:t>
      </w:r>
      <w:r>
        <w:rPr>
          <w:color w:val="231F20"/>
          <w:w w:val="105"/>
          <w:sz w:val="16"/>
        </w:rPr>
        <w:t>y</w:t>
      </w:r>
      <w:r>
        <w:rPr>
          <w:color w:val="231F20"/>
          <w:spacing w:val="-9"/>
          <w:w w:val="105"/>
          <w:sz w:val="16"/>
        </w:rPr>
        <w:t> </w:t>
      </w:r>
      <w:r>
        <w:rPr>
          <w:color w:val="231F20"/>
          <w:spacing w:val="-3"/>
          <w:w w:val="105"/>
          <w:sz w:val="16"/>
        </w:rPr>
        <w:t>Previsión</w:t>
      </w:r>
      <w:r>
        <w:rPr>
          <w:color w:val="231F20"/>
          <w:spacing w:val="-9"/>
          <w:w w:val="105"/>
          <w:sz w:val="16"/>
        </w:rPr>
        <w:t> </w:t>
      </w:r>
      <w:r>
        <w:rPr>
          <w:color w:val="231F20"/>
          <w:w w:val="105"/>
          <w:sz w:val="16"/>
        </w:rPr>
        <w:t>Social,</w:t>
      </w:r>
      <w:r>
        <w:rPr>
          <w:color w:val="231F20"/>
          <w:spacing w:val="-13"/>
          <w:w w:val="105"/>
          <w:sz w:val="16"/>
        </w:rPr>
        <w:t> </w:t>
      </w:r>
      <w:r>
        <w:rPr>
          <w:color w:val="231F20"/>
          <w:w w:val="105"/>
          <w:sz w:val="16"/>
        </w:rPr>
        <w:t>Consejo</w:t>
      </w:r>
      <w:r>
        <w:rPr>
          <w:color w:val="231F20"/>
          <w:spacing w:val="-9"/>
          <w:w w:val="105"/>
          <w:sz w:val="16"/>
        </w:rPr>
        <w:t> </w:t>
      </w:r>
      <w:r>
        <w:rPr>
          <w:color w:val="231F20"/>
          <w:w w:val="105"/>
          <w:sz w:val="16"/>
        </w:rPr>
        <w:t>Nacional</w:t>
      </w:r>
      <w:r>
        <w:rPr>
          <w:color w:val="231F20"/>
          <w:spacing w:val="-9"/>
          <w:w w:val="105"/>
          <w:sz w:val="16"/>
        </w:rPr>
        <w:t> </w:t>
      </w:r>
      <w:r>
        <w:rPr>
          <w:color w:val="231F20"/>
          <w:w w:val="105"/>
          <w:sz w:val="16"/>
        </w:rPr>
        <w:t>de</w:t>
      </w:r>
      <w:r>
        <w:rPr>
          <w:color w:val="231F20"/>
          <w:spacing w:val="-9"/>
          <w:w w:val="105"/>
          <w:sz w:val="16"/>
        </w:rPr>
        <w:t> </w:t>
      </w:r>
      <w:r>
        <w:rPr>
          <w:color w:val="231F20"/>
          <w:spacing w:val="-3"/>
          <w:w w:val="105"/>
          <w:sz w:val="16"/>
        </w:rPr>
        <w:t>Población, </w:t>
      </w:r>
      <w:r>
        <w:rPr>
          <w:color w:val="231F20"/>
          <w:sz w:val="16"/>
        </w:rPr>
        <w:t>Unidad de </w:t>
      </w:r>
      <w:r>
        <w:rPr>
          <w:color w:val="231F20"/>
          <w:spacing w:val="-3"/>
          <w:sz w:val="16"/>
        </w:rPr>
        <w:t>Política </w:t>
      </w:r>
      <w:r>
        <w:rPr>
          <w:color w:val="231F20"/>
          <w:sz w:val="16"/>
        </w:rPr>
        <w:t>Migratoria, Secretaría de Relaciones Exteriores, </w:t>
      </w:r>
      <w:r>
        <w:rPr>
          <w:rFonts w:ascii="Arial" w:hAnsi="Arial"/>
          <w:i/>
          <w:color w:val="231F20"/>
          <w:sz w:val="16"/>
        </w:rPr>
        <w:t>Encues- </w:t>
      </w:r>
      <w:r>
        <w:rPr>
          <w:rFonts w:ascii="Arial" w:hAnsi="Arial"/>
          <w:i/>
          <w:color w:val="231F20"/>
          <w:w w:val="105"/>
          <w:sz w:val="16"/>
        </w:rPr>
        <w:t>ta</w:t>
      </w:r>
      <w:r>
        <w:rPr>
          <w:rFonts w:ascii="Arial" w:hAnsi="Arial"/>
          <w:i/>
          <w:color w:val="231F20"/>
          <w:spacing w:val="-23"/>
          <w:w w:val="105"/>
          <w:sz w:val="16"/>
        </w:rPr>
        <w:t> </w:t>
      </w:r>
      <w:r>
        <w:rPr>
          <w:rFonts w:ascii="Arial" w:hAnsi="Arial"/>
          <w:i/>
          <w:color w:val="231F20"/>
          <w:w w:val="105"/>
          <w:sz w:val="16"/>
        </w:rPr>
        <w:t>sobre</w:t>
      </w:r>
      <w:r>
        <w:rPr>
          <w:rFonts w:ascii="Arial" w:hAnsi="Arial"/>
          <w:i/>
          <w:color w:val="231F20"/>
          <w:spacing w:val="-23"/>
          <w:w w:val="105"/>
          <w:sz w:val="16"/>
        </w:rPr>
        <w:t> </w:t>
      </w:r>
      <w:r>
        <w:rPr>
          <w:rFonts w:ascii="Arial" w:hAnsi="Arial"/>
          <w:i/>
          <w:color w:val="231F20"/>
          <w:w w:val="105"/>
          <w:sz w:val="16"/>
        </w:rPr>
        <w:t>Migración</w:t>
      </w:r>
      <w:r>
        <w:rPr>
          <w:rFonts w:ascii="Arial" w:hAnsi="Arial"/>
          <w:i/>
          <w:color w:val="231F20"/>
          <w:spacing w:val="-23"/>
          <w:w w:val="105"/>
          <w:sz w:val="16"/>
        </w:rPr>
        <w:t> </w:t>
      </w:r>
      <w:r>
        <w:rPr>
          <w:rFonts w:ascii="Arial" w:hAnsi="Arial"/>
          <w:i/>
          <w:color w:val="231F20"/>
          <w:w w:val="105"/>
          <w:sz w:val="16"/>
        </w:rPr>
        <w:t>en</w:t>
      </w:r>
      <w:r>
        <w:rPr>
          <w:rFonts w:ascii="Arial" w:hAnsi="Arial"/>
          <w:i/>
          <w:color w:val="231F20"/>
          <w:spacing w:val="-23"/>
          <w:w w:val="105"/>
          <w:sz w:val="16"/>
        </w:rPr>
        <w:t> </w:t>
      </w:r>
      <w:r>
        <w:rPr>
          <w:rFonts w:ascii="Arial" w:hAnsi="Arial"/>
          <w:i/>
          <w:color w:val="231F20"/>
          <w:w w:val="105"/>
          <w:sz w:val="16"/>
        </w:rPr>
        <w:t>la</w:t>
      </w:r>
      <w:r>
        <w:rPr>
          <w:rFonts w:ascii="Arial" w:hAnsi="Arial"/>
          <w:i/>
          <w:color w:val="231F20"/>
          <w:spacing w:val="-23"/>
          <w:w w:val="105"/>
          <w:sz w:val="16"/>
        </w:rPr>
        <w:t> </w:t>
      </w:r>
      <w:r>
        <w:rPr>
          <w:rFonts w:ascii="Arial" w:hAnsi="Arial"/>
          <w:i/>
          <w:color w:val="231F20"/>
          <w:spacing w:val="-3"/>
          <w:w w:val="105"/>
          <w:sz w:val="16"/>
        </w:rPr>
        <w:t>Frontera</w:t>
      </w:r>
      <w:r>
        <w:rPr>
          <w:rFonts w:ascii="Arial" w:hAnsi="Arial"/>
          <w:i/>
          <w:color w:val="231F20"/>
          <w:spacing w:val="-23"/>
          <w:w w:val="105"/>
          <w:sz w:val="16"/>
        </w:rPr>
        <w:t> </w:t>
      </w:r>
      <w:r>
        <w:rPr>
          <w:rFonts w:ascii="Arial" w:hAnsi="Arial"/>
          <w:i/>
          <w:color w:val="231F20"/>
          <w:w w:val="105"/>
          <w:sz w:val="16"/>
        </w:rPr>
        <w:t>Norte</w:t>
      </w:r>
      <w:r>
        <w:rPr>
          <w:rFonts w:ascii="Arial" w:hAnsi="Arial"/>
          <w:i/>
          <w:color w:val="231F20"/>
          <w:spacing w:val="-23"/>
          <w:w w:val="105"/>
          <w:sz w:val="16"/>
        </w:rPr>
        <w:t> </w:t>
      </w:r>
      <w:r>
        <w:rPr>
          <w:rFonts w:ascii="Arial" w:hAnsi="Arial"/>
          <w:i/>
          <w:color w:val="231F20"/>
          <w:w w:val="105"/>
          <w:sz w:val="16"/>
        </w:rPr>
        <w:t>de</w:t>
      </w:r>
      <w:r>
        <w:rPr>
          <w:rFonts w:ascii="Arial" w:hAnsi="Arial"/>
          <w:i/>
          <w:color w:val="231F20"/>
          <w:spacing w:val="-23"/>
          <w:w w:val="105"/>
          <w:sz w:val="16"/>
        </w:rPr>
        <w:t> </w:t>
      </w:r>
      <w:r>
        <w:rPr>
          <w:rFonts w:ascii="Arial" w:hAnsi="Arial"/>
          <w:i/>
          <w:color w:val="231F20"/>
          <w:w w:val="105"/>
          <w:sz w:val="16"/>
        </w:rPr>
        <w:t>México,</w:t>
      </w:r>
      <w:r>
        <w:rPr>
          <w:rFonts w:ascii="Arial" w:hAnsi="Arial"/>
          <w:i/>
          <w:color w:val="231F20"/>
          <w:spacing w:val="-25"/>
          <w:w w:val="105"/>
          <w:sz w:val="16"/>
        </w:rPr>
        <w:t> </w:t>
      </w:r>
      <w:hyperlink r:id="rId326">
        <w:r>
          <w:rPr>
            <w:color w:val="231F20"/>
            <w:w w:val="105"/>
            <w:sz w:val="16"/>
          </w:rPr>
          <w:t>www.colef.mx/emif.</w:t>
        </w:r>
      </w:hyperlink>
    </w:p>
    <w:p>
      <w:pPr>
        <w:pStyle w:val="BodyText"/>
        <w:rPr>
          <w:sz w:val="16"/>
        </w:rPr>
      </w:pPr>
    </w:p>
    <w:p>
      <w:pPr>
        <w:pStyle w:val="BodyText"/>
        <w:spacing w:before="5"/>
        <w:rPr>
          <w:sz w:val="13"/>
        </w:rPr>
      </w:pPr>
    </w:p>
    <w:p>
      <w:pPr>
        <w:spacing w:line="249" w:lineRule="auto" w:before="0"/>
        <w:ind w:left="4077" w:right="2068" w:hanging="1885"/>
        <w:jc w:val="left"/>
        <w:rPr>
          <w:rFonts w:ascii="Arial" w:hAnsi="Arial"/>
          <w:sz w:val="18"/>
        </w:rPr>
      </w:pPr>
      <w:r>
        <w:rPr>
          <w:rFonts w:ascii="Arial" w:hAnsi="Arial"/>
          <w:color w:val="231F20"/>
          <w:w w:val="105"/>
          <w:sz w:val="18"/>
        </w:rPr>
        <w:t>Gráfica</w:t>
      </w:r>
      <w:r>
        <w:rPr>
          <w:rFonts w:ascii="Arial" w:hAnsi="Arial"/>
          <w:color w:val="231F20"/>
          <w:spacing w:val="-9"/>
          <w:w w:val="105"/>
          <w:sz w:val="18"/>
        </w:rPr>
        <w:t> </w:t>
      </w:r>
      <w:r>
        <w:rPr>
          <w:rFonts w:ascii="Arial" w:hAnsi="Arial"/>
          <w:color w:val="231F20"/>
          <w:w w:val="105"/>
          <w:sz w:val="18"/>
        </w:rPr>
        <w:t>4.</w:t>
      </w:r>
      <w:r>
        <w:rPr>
          <w:rFonts w:ascii="Arial" w:hAnsi="Arial"/>
          <w:color w:val="231F20"/>
          <w:spacing w:val="-15"/>
          <w:w w:val="105"/>
          <w:sz w:val="18"/>
        </w:rPr>
        <w:t> </w:t>
      </w:r>
      <w:r>
        <w:rPr>
          <w:rFonts w:ascii="Arial" w:hAnsi="Arial"/>
          <w:color w:val="231F20"/>
          <w:w w:val="105"/>
          <w:sz w:val="18"/>
        </w:rPr>
        <w:t>Motivo</w:t>
      </w:r>
      <w:r>
        <w:rPr>
          <w:rFonts w:ascii="Arial" w:hAnsi="Arial"/>
          <w:color w:val="231F20"/>
          <w:spacing w:val="-9"/>
          <w:w w:val="105"/>
          <w:sz w:val="18"/>
        </w:rPr>
        <w:t> </w:t>
      </w:r>
      <w:r>
        <w:rPr>
          <w:rFonts w:ascii="Arial" w:hAnsi="Arial"/>
          <w:color w:val="231F20"/>
          <w:w w:val="105"/>
          <w:sz w:val="18"/>
        </w:rPr>
        <w:t>de</w:t>
      </w:r>
      <w:r>
        <w:rPr>
          <w:rFonts w:ascii="Arial" w:hAnsi="Arial"/>
          <w:color w:val="231F20"/>
          <w:spacing w:val="-9"/>
          <w:w w:val="105"/>
          <w:sz w:val="18"/>
        </w:rPr>
        <w:t> </w:t>
      </w:r>
      <w:r>
        <w:rPr>
          <w:rFonts w:ascii="Arial" w:hAnsi="Arial"/>
          <w:color w:val="231F20"/>
          <w:w w:val="105"/>
          <w:sz w:val="18"/>
        </w:rPr>
        <w:t>cruce</w:t>
      </w:r>
      <w:r>
        <w:rPr>
          <w:rFonts w:ascii="Arial" w:hAnsi="Arial"/>
          <w:color w:val="231F20"/>
          <w:spacing w:val="-9"/>
          <w:w w:val="105"/>
          <w:sz w:val="18"/>
        </w:rPr>
        <w:t> </w:t>
      </w:r>
      <w:r>
        <w:rPr>
          <w:rFonts w:ascii="Arial" w:hAnsi="Arial"/>
          <w:color w:val="231F20"/>
          <w:w w:val="105"/>
          <w:sz w:val="18"/>
        </w:rPr>
        <w:t>de</w:t>
      </w:r>
      <w:r>
        <w:rPr>
          <w:rFonts w:ascii="Arial" w:hAnsi="Arial"/>
          <w:color w:val="231F20"/>
          <w:spacing w:val="-9"/>
          <w:w w:val="105"/>
          <w:sz w:val="18"/>
        </w:rPr>
        <w:t> </w:t>
      </w:r>
      <w:r>
        <w:rPr>
          <w:rFonts w:ascii="Arial" w:hAnsi="Arial"/>
          <w:color w:val="231F20"/>
          <w:w w:val="105"/>
          <w:sz w:val="18"/>
        </w:rPr>
        <w:t>migrantes</w:t>
      </w:r>
      <w:r>
        <w:rPr>
          <w:rFonts w:ascii="Arial" w:hAnsi="Arial"/>
          <w:color w:val="231F20"/>
          <w:spacing w:val="-9"/>
          <w:w w:val="105"/>
          <w:sz w:val="18"/>
        </w:rPr>
        <w:t> </w:t>
      </w:r>
      <w:r>
        <w:rPr>
          <w:rFonts w:ascii="Arial" w:hAnsi="Arial"/>
          <w:color w:val="231F20"/>
          <w:w w:val="105"/>
          <w:sz w:val="18"/>
        </w:rPr>
        <w:t>con</w:t>
      </w:r>
      <w:r>
        <w:rPr>
          <w:rFonts w:ascii="Arial" w:hAnsi="Arial"/>
          <w:color w:val="231F20"/>
          <w:spacing w:val="-9"/>
          <w:w w:val="105"/>
          <w:sz w:val="18"/>
        </w:rPr>
        <w:t> </w:t>
      </w:r>
      <w:r>
        <w:rPr>
          <w:rFonts w:ascii="Arial" w:hAnsi="Arial"/>
          <w:color w:val="231F20"/>
          <w:w w:val="105"/>
          <w:sz w:val="18"/>
        </w:rPr>
        <w:t>intención</w:t>
      </w:r>
      <w:r>
        <w:rPr>
          <w:rFonts w:ascii="Arial" w:hAnsi="Arial"/>
          <w:color w:val="231F20"/>
          <w:spacing w:val="-9"/>
          <w:w w:val="105"/>
          <w:sz w:val="18"/>
        </w:rPr>
        <w:t> </w:t>
      </w:r>
      <w:r>
        <w:rPr>
          <w:rFonts w:ascii="Arial" w:hAnsi="Arial"/>
          <w:color w:val="231F20"/>
          <w:w w:val="105"/>
          <w:sz w:val="18"/>
        </w:rPr>
        <w:t>de</w:t>
      </w:r>
      <w:r>
        <w:rPr>
          <w:rFonts w:ascii="Arial" w:hAnsi="Arial"/>
          <w:color w:val="231F20"/>
          <w:spacing w:val="-9"/>
          <w:w w:val="105"/>
          <w:sz w:val="18"/>
        </w:rPr>
        <w:t> </w:t>
      </w:r>
      <w:r>
        <w:rPr>
          <w:rFonts w:ascii="Arial" w:hAnsi="Arial"/>
          <w:color w:val="231F20"/>
          <w:w w:val="105"/>
          <w:sz w:val="18"/>
        </w:rPr>
        <w:t>cruzar</w:t>
      </w:r>
      <w:r>
        <w:rPr>
          <w:rFonts w:ascii="Arial" w:hAnsi="Arial"/>
          <w:color w:val="231F20"/>
          <w:spacing w:val="-9"/>
          <w:w w:val="105"/>
          <w:sz w:val="18"/>
        </w:rPr>
        <w:t> </w:t>
      </w:r>
      <w:r>
        <w:rPr>
          <w:rFonts w:ascii="Arial" w:hAnsi="Arial"/>
          <w:color w:val="231F20"/>
          <w:w w:val="105"/>
          <w:sz w:val="18"/>
        </w:rPr>
        <w:t>la</w:t>
      </w:r>
      <w:r>
        <w:rPr>
          <w:rFonts w:ascii="Arial" w:hAnsi="Arial"/>
          <w:color w:val="231F20"/>
          <w:spacing w:val="-9"/>
          <w:w w:val="105"/>
          <w:sz w:val="18"/>
        </w:rPr>
        <w:t> </w:t>
      </w:r>
      <w:r>
        <w:rPr>
          <w:rFonts w:ascii="Arial" w:hAnsi="Arial"/>
          <w:color w:val="231F20"/>
          <w:w w:val="105"/>
          <w:sz w:val="18"/>
        </w:rPr>
        <w:t>frontera, Estado de México</w:t>
      </w:r>
      <w:r>
        <w:rPr>
          <w:rFonts w:ascii="Arial" w:hAnsi="Arial"/>
          <w:color w:val="231F20"/>
          <w:spacing w:val="-22"/>
          <w:w w:val="105"/>
          <w:sz w:val="18"/>
        </w:rPr>
        <w:t> </w:t>
      </w:r>
      <w:r>
        <w:rPr>
          <w:rFonts w:ascii="Arial" w:hAnsi="Arial"/>
          <w:color w:val="231F20"/>
          <w:w w:val="105"/>
          <w:sz w:val="18"/>
        </w:rPr>
        <w:t>2000-2010</w:t>
      </w:r>
    </w:p>
    <w:p>
      <w:pPr>
        <w:spacing w:after="0" w:line="249" w:lineRule="auto"/>
        <w:jc w:val="left"/>
        <w:rPr>
          <w:rFonts w:ascii="Arial" w:hAnsi="Arial"/>
          <w:sz w:val="18"/>
        </w:rPr>
        <w:sectPr>
          <w:type w:val="continuous"/>
          <w:pgSz w:w="10480" w:h="14730"/>
          <w:pgMar w:top="0" w:bottom="0" w:left="0" w:right="0"/>
        </w:sectPr>
      </w:pPr>
    </w:p>
    <w:p>
      <w:pPr>
        <w:pStyle w:val="BodyText"/>
        <w:spacing w:before="8"/>
        <w:rPr>
          <w:rFonts w:ascii="Arial"/>
          <w:sz w:val="9"/>
        </w:rPr>
      </w:pPr>
    </w:p>
    <w:p>
      <w:pPr>
        <w:spacing w:before="0"/>
        <w:ind w:left="0" w:right="0" w:firstLine="0"/>
        <w:jc w:val="right"/>
        <w:rPr>
          <w:rFonts w:ascii="Arial"/>
          <w:b/>
          <w:sz w:val="11"/>
        </w:rPr>
      </w:pPr>
      <w:r>
        <w:rPr>
          <w:rFonts w:ascii="Arial"/>
          <w:b/>
          <w:color w:val="231F20"/>
          <w:sz w:val="11"/>
        </w:rPr>
        <w:t>Porcentaje</w:t>
      </w:r>
    </w:p>
    <w:p>
      <w:pPr>
        <w:spacing w:before="31"/>
        <w:ind w:left="0" w:right="250" w:firstLine="0"/>
        <w:jc w:val="right"/>
        <w:rPr>
          <w:rFonts w:ascii="Lucida Sans Unicode"/>
          <w:sz w:val="11"/>
        </w:rPr>
      </w:pPr>
      <w:r>
        <w:rPr/>
        <w:pict>
          <v:line style="position:absolute;mso-position-horizontal-relative:page;mso-position-vertical-relative:paragraph;z-index:-455536" from="160.894699pt,5.298296pt" to="388.926699pt,5.298296pt" stroked="true" strokeweight=".308pt" strokecolor="#e2e3e4">
            <w10:wrap type="none"/>
          </v:line>
        </w:pict>
      </w:r>
      <w:r>
        <w:rPr>
          <w:rFonts w:ascii="Lucida Sans Unicode"/>
          <w:color w:val="231F20"/>
          <w:w w:val="95"/>
          <w:sz w:val="11"/>
        </w:rPr>
        <w:t>90</w:t>
      </w:r>
    </w:p>
    <w:p>
      <w:pPr>
        <w:spacing w:before="66"/>
        <w:ind w:left="0" w:right="250" w:firstLine="0"/>
        <w:jc w:val="right"/>
        <w:rPr>
          <w:rFonts w:ascii="Lucida Sans Unicode"/>
          <w:sz w:val="11"/>
        </w:rPr>
      </w:pPr>
      <w:r>
        <w:rPr/>
        <w:pict>
          <v:group style="position:absolute;margin-left:160.659607pt;margin-top:2.256683pt;width:228.45pt;height:98.95pt;mso-position-horizontal-relative:page;mso-position-vertical-relative:paragraph;z-index:34624" coordorigin="3213,45" coordsize="4569,1979">
            <v:shape style="position:absolute;left:0;top:4890;width:4561;height:1645" coordorigin="0,4890" coordsize="4561,1645" path="m7344,1784l7779,1784m6838,1784l6945,1784m6332,1784l6439,1784m4049,1784l5933,1784m3218,1784l3654,1784m4049,1550l5933,1550m3218,1550l3654,1550m4049,1316l5933,1316m3218,1316l3654,1316m4049,1079l5933,1079m3218,1079l3654,1079m4049,845l7779,845m3218,845l3654,845m4049,611l7779,611m3218,611l3654,611m4049,377l7779,377m3218,377l3654,377m4049,140l7779,140m3218,140l3654,140e" filled="false" stroked="true" strokeweight=".308pt" strokecolor="#e2e3e4">
              <v:path arrowok="t"/>
            </v:shape>
            <v:rect style="position:absolute;left:3654;top:49;width:396;height:1972" filled="true" fillcolor="#858789" stroked="false">
              <v:fill type="solid"/>
            </v:rect>
            <v:shape style="position:absolute;left:3114;top:5830;width:1447;height:471" coordorigin="3114,5830" coordsize="1447,471" path="m6332,1550l6439,1550m6332,1316l6439,1316m6332,1079l7779,1079e" filled="false" stroked="true" strokeweight=".308pt" strokecolor="#e2e3e4">
              <v:path arrowok="t"/>
            </v:shape>
            <v:rect style="position:absolute;left:5933;top:1012;width:398;height:1008" filled="true" fillcolor="#858789" stroked="false">
              <v:fill type="solid"/>
            </v:rect>
            <v:shape style="position:absolute;left:0;top:6535;width:2678;height:1972" coordorigin="0,6535" coordsize="2678,1972" path="m3654,49l4049,49,4049,2020,3654,2020,3654,49xm5933,1012l6332,1012,6332,2020,5933,2020,5933,1012xe" filled="false" stroked="true" strokeweight=".308pt" strokecolor="#231f20">
              <v:path arrowok="t"/>
            </v:shape>
            <v:rect style="position:absolute;left:4157;top:1809;width:398;height:212" filled="true" fillcolor="#bec0c2" stroked="false">
              <v:fill type="solid"/>
            </v:rect>
            <v:shape style="position:absolute;left:3620;top:6066;width:941;height:235" coordorigin="3620,6066" coordsize="941,235" path="m6838,1550l7779,1550m6838,1316l7779,1316e" filled="false" stroked="true" strokeweight=".308pt" strokecolor="#e2e3e4">
              <v:path arrowok="t"/>
            </v:shape>
            <v:rect style="position:absolute;left:6439;top:1125;width:398;height:895" filled="true" fillcolor="#bec0c2" stroked="false">
              <v:fill type="solid"/>
            </v:rect>
            <v:shape style="position:absolute;left:0;top:5851;width:2681;height:896" coordorigin="0,5851" coordsize="2681,896" path="m4157,1809l4555,1809,4555,2020,4157,2020,4157,1809xm6439,1125l6838,1125,6838,2020,6439,2020,6439,1125xe" filled="false" stroked="true" strokeweight=".308pt" strokecolor="#231f20">
              <v:path arrowok="t"/>
            </v:shape>
            <v:shape style="position:absolute;left:4663;top:1575;width:2681;height:446" coordorigin="4663,1575" coordsize="2681,446" path="m5061,1854l4663,1854,4663,2020,5061,2020,5061,1854m7344,1575l6945,1575,6945,2020,7344,2020,7344,1575e" filled="true" fillcolor="#f3f4f4" stroked="false">
              <v:path arrowok="t"/>
              <v:fill type="solid"/>
            </v:shape>
            <v:shape style="position:absolute;left:0;top:6255;width:2681;height:446" coordorigin="0,6255" coordsize="2681,446" path="m4663,1854l5061,1854,5061,2020,4663,2020,4663,1854xm6945,1575l7344,1575,7344,2020,6945,2020,6945,1575xe" filled="false" stroked="true" strokeweight=".308pt" strokecolor="#231f20">
              <v:path arrowok="t"/>
            </v:shape>
            <v:line style="position:absolute" from="3217,2020" to="7779,2020" stroked="true" strokeweight=".308pt" strokecolor="#e2e3e4"/>
            <v:shape style="position:absolute;left:4285;top:1655;width:164;height:116" type="#_x0000_t202" filled="false" stroked="false">
              <v:textbox inset="0,0,0,0">
                <w:txbxContent>
                  <w:p>
                    <w:pPr>
                      <w:spacing w:line="115" w:lineRule="exact" w:before="0"/>
                      <w:ind w:left="0" w:right="-13" w:firstLine="0"/>
                      <w:jc w:val="left"/>
                      <w:rPr>
                        <w:rFonts w:ascii="Lucida Sans Unicode"/>
                        <w:sz w:val="11"/>
                      </w:rPr>
                    </w:pPr>
                    <w:r>
                      <w:rPr>
                        <w:rFonts w:ascii="Lucida Sans Unicode"/>
                        <w:color w:val="231F20"/>
                        <w:w w:val="90"/>
                        <w:sz w:val="11"/>
                      </w:rPr>
                      <w:t>9.0</w:t>
                    </w:r>
                  </w:p>
                </w:txbxContent>
              </v:textbox>
              <w10:wrap type="none"/>
            </v:shape>
            <v:shape style="position:absolute;left:4791;top:1702;width:164;height:116" type="#_x0000_t202" filled="false" stroked="false">
              <v:textbox inset="0,0,0,0">
                <w:txbxContent>
                  <w:p>
                    <w:pPr>
                      <w:spacing w:line="115" w:lineRule="exact" w:before="0"/>
                      <w:ind w:left="0" w:right="-13" w:firstLine="0"/>
                      <w:jc w:val="left"/>
                      <w:rPr>
                        <w:rFonts w:ascii="Lucida Sans Unicode"/>
                        <w:sz w:val="11"/>
                      </w:rPr>
                    </w:pPr>
                    <w:r>
                      <w:rPr>
                        <w:rFonts w:ascii="Lucida Sans Unicode"/>
                        <w:color w:val="231F20"/>
                        <w:w w:val="90"/>
                        <w:sz w:val="11"/>
                      </w:rPr>
                      <w:t>7.0</w:t>
                    </w:r>
                  </w:p>
                </w:txbxContent>
              </v:textbox>
              <w10:wrap type="none"/>
            </v:shape>
            <v:shape style="position:absolute;left:6032;top:859;width:231;height:116" type="#_x0000_t202" filled="false" stroked="false">
              <v:textbox inset="0,0,0,0">
                <w:txbxContent>
                  <w:p>
                    <w:pPr>
                      <w:spacing w:line="115" w:lineRule="exact" w:before="0"/>
                      <w:ind w:left="0" w:right="-9" w:firstLine="0"/>
                      <w:jc w:val="left"/>
                      <w:rPr>
                        <w:rFonts w:ascii="Lucida Sans Unicode"/>
                        <w:sz w:val="11"/>
                      </w:rPr>
                    </w:pPr>
                    <w:r>
                      <w:rPr>
                        <w:rFonts w:ascii="Lucida Sans Unicode"/>
                        <w:color w:val="231F20"/>
                        <w:w w:val="90"/>
                        <w:sz w:val="11"/>
                      </w:rPr>
                      <w:t>42.9</w:t>
                    </w:r>
                  </w:p>
                </w:txbxContent>
              </v:textbox>
              <w10:wrap type="none"/>
            </v:shape>
            <v:shape style="position:absolute;left:6537;top:973;width:231;height:116" type="#_x0000_t202" filled="false" stroked="false">
              <v:textbox inset="0,0,0,0">
                <w:txbxContent>
                  <w:p>
                    <w:pPr>
                      <w:spacing w:line="115" w:lineRule="exact" w:before="0"/>
                      <w:ind w:left="0" w:right="-9" w:firstLine="0"/>
                      <w:jc w:val="left"/>
                      <w:rPr>
                        <w:rFonts w:ascii="Lucida Sans Unicode"/>
                        <w:sz w:val="11"/>
                      </w:rPr>
                    </w:pPr>
                    <w:r>
                      <w:rPr>
                        <w:rFonts w:ascii="Lucida Sans Unicode"/>
                        <w:color w:val="231F20"/>
                        <w:w w:val="90"/>
                        <w:sz w:val="11"/>
                      </w:rPr>
                      <w:t>38.1</w:t>
                    </w:r>
                  </w:p>
                </w:txbxContent>
              </v:textbox>
              <w10:wrap type="none"/>
            </v:shape>
            <v:shape style="position:absolute;left:7043;top:1422;width:231;height:116" type="#_x0000_t202" filled="false" stroked="false">
              <v:textbox inset="0,0,0,0">
                <w:txbxContent>
                  <w:p>
                    <w:pPr>
                      <w:spacing w:line="115" w:lineRule="exact" w:before="0"/>
                      <w:ind w:left="0" w:right="-9" w:firstLine="0"/>
                      <w:jc w:val="left"/>
                      <w:rPr>
                        <w:rFonts w:ascii="Lucida Sans Unicode"/>
                        <w:sz w:val="11"/>
                      </w:rPr>
                    </w:pPr>
                    <w:r>
                      <w:rPr>
                        <w:rFonts w:ascii="Lucida Sans Unicode"/>
                        <w:color w:val="231F20"/>
                        <w:w w:val="90"/>
                        <w:sz w:val="11"/>
                      </w:rPr>
                      <w:t>19.0</w:t>
                    </w:r>
                  </w:p>
                </w:txbxContent>
              </v:textbox>
              <w10:wrap type="none"/>
            </v:shape>
            <w10:wrap type="none"/>
          </v:group>
        </w:pict>
      </w:r>
      <w:r>
        <w:rPr>
          <w:rFonts w:ascii="Lucida Sans Unicode"/>
          <w:color w:val="231F20"/>
          <w:w w:val="95"/>
          <w:sz w:val="11"/>
        </w:rPr>
        <w:t>80</w:t>
      </w:r>
    </w:p>
    <w:p>
      <w:pPr>
        <w:pStyle w:val="BodyText"/>
        <w:rPr>
          <w:rFonts w:ascii="Lucida Sans Unicode"/>
          <w:sz w:val="12"/>
        </w:rPr>
      </w:pPr>
      <w:r>
        <w:rPr/>
        <w:br w:type="column"/>
      </w:r>
      <w:r>
        <w:rPr>
          <w:rFonts w:ascii="Lucida Sans Unicode"/>
          <w:sz w:val="12"/>
        </w:rPr>
      </w:r>
    </w:p>
    <w:p>
      <w:pPr>
        <w:pStyle w:val="BodyText"/>
        <w:spacing w:before="6"/>
        <w:rPr>
          <w:rFonts w:ascii="Lucida Sans Unicode"/>
          <w:sz w:val="7"/>
        </w:rPr>
      </w:pPr>
    </w:p>
    <w:p>
      <w:pPr>
        <w:spacing w:before="0"/>
        <w:ind w:left="320" w:right="0" w:firstLine="0"/>
        <w:jc w:val="left"/>
        <w:rPr>
          <w:rFonts w:ascii="Lucida Sans Unicode"/>
          <w:sz w:val="11"/>
        </w:rPr>
      </w:pPr>
      <w:r>
        <w:rPr>
          <w:rFonts w:ascii="Lucida Sans Unicode"/>
          <w:color w:val="231F20"/>
          <w:sz w:val="11"/>
        </w:rPr>
        <w:t>83.9</w:t>
      </w:r>
    </w:p>
    <w:p>
      <w:pPr>
        <w:spacing w:after="0"/>
        <w:jc w:val="left"/>
        <w:rPr>
          <w:rFonts w:ascii="Lucida Sans Unicode"/>
          <w:sz w:val="11"/>
        </w:rPr>
        <w:sectPr>
          <w:type w:val="continuous"/>
          <w:pgSz w:w="10480" w:h="14730"/>
          <w:pgMar w:top="0" w:bottom="0" w:left="0" w:right="0"/>
          <w:cols w:num="2" w:equalWidth="0">
            <w:col w:w="3390" w:space="40"/>
            <w:col w:w="7050"/>
          </w:cols>
        </w:sectPr>
      </w:pPr>
    </w:p>
    <w:p>
      <w:pPr>
        <w:spacing w:before="66"/>
        <w:ind w:left="3003" w:right="6753" w:firstLine="0"/>
        <w:jc w:val="left"/>
        <w:rPr>
          <w:rFonts w:ascii="Lucida Sans Unicode"/>
          <w:sz w:val="11"/>
        </w:rPr>
      </w:pPr>
      <w:r>
        <w:rPr>
          <w:rFonts w:ascii="Lucida Sans Unicode"/>
          <w:color w:val="231F20"/>
          <w:sz w:val="11"/>
        </w:rPr>
        <w:t>70</w:t>
      </w:r>
    </w:p>
    <w:p>
      <w:pPr>
        <w:spacing w:before="66"/>
        <w:ind w:left="3003" w:right="6753" w:firstLine="0"/>
        <w:jc w:val="left"/>
        <w:rPr>
          <w:rFonts w:ascii="Lucida Sans Unicode"/>
          <w:sz w:val="11"/>
        </w:rPr>
      </w:pPr>
      <w:r>
        <w:rPr>
          <w:rFonts w:ascii="Lucida Sans Unicode"/>
          <w:color w:val="231F20"/>
          <w:sz w:val="11"/>
        </w:rPr>
        <w:t>60</w:t>
      </w:r>
    </w:p>
    <w:p>
      <w:pPr>
        <w:spacing w:before="66"/>
        <w:ind w:left="3003" w:right="6753" w:firstLine="0"/>
        <w:jc w:val="left"/>
        <w:rPr>
          <w:rFonts w:ascii="Lucida Sans Unicode"/>
          <w:sz w:val="11"/>
        </w:rPr>
      </w:pPr>
      <w:r>
        <w:rPr>
          <w:rFonts w:ascii="Lucida Sans Unicode"/>
          <w:color w:val="231F20"/>
          <w:sz w:val="11"/>
        </w:rPr>
        <w:t>50</w:t>
      </w:r>
    </w:p>
    <w:p>
      <w:pPr>
        <w:spacing w:before="66"/>
        <w:ind w:left="3003" w:right="6753" w:firstLine="0"/>
        <w:jc w:val="left"/>
        <w:rPr>
          <w:rFonts w:ascii="Lucida Sans Unicode"/>
          <w:sz w:val="11"/>
        </w:rPr>
      </w:pPr>
      <w:r>
        <w:rPr>
          <w:rFonts w:ascii="Lucida Sans Unicode"/>
          <w:color w:val="231F20"/>
          <w:sz w:val="11"/>
        </w:rPr>
        <w:t>40</w:t>
      </w:r>
    </w:p>
    <w:p>
      <w:pPr>
        <w:spacing w:before="66"/>
        <w:ind w:left="3003" w:right="6753" w:firstLine="0"/>
        <w:jc w:val="left"/>
        <w:rPr>
          <w:rFonts w:ascii="Lucida Sans Unicode"/>
          <w:sz w:val="11"/>
        </w:rPr>
      </w:pPr>
      <w:r>
        <w:rPr>
          <w:rFonts w:ascii="Lucida Sans Unicode"/>
          <w:color w:val="231F20"/>
          <w:sz w:val="11"/>
        </w:rPr>
        <w:t>30</w:t>
      </w:r>
    </w:p>
    <w:p>
      <w:pPr>
        <w:spacing w:before="66"/>
        <w:ind w:left="3003" w:right="6753" w:firstLine="0"/>
        <w:jc w:val="left"/>
        <w:rPr>
          <w:rFonts w:ascii="Lucida Sans Unicode"/>
          <w:sz w:val="11"/>
        </w:rPr>
      </w:pPr>
      <w:r>
        <w:rPr>
          <w:rFonts w:ascii="Lucida Sans Unicode"/>
          <w:color w:val="231F20"/>
          <w:sz w:val="11"/>
        </w:rPr>
        <w:t>20</w:t>
      </w:r>
    </w:p>
    <w:p>
      <w:pPr>
        <w:spacing w:before="66"/>
        <w:ind w:left="3003" w:right="6753" w:firstLine="0"/>
        <w:jc w:val="left"/>
        <w:rPr>
          <w:rFonts w:ascii="Lucida Sans Unicode"/>
          <w:sz w:val="11"/>
        </w:rPr>
      </w:pPr>
      <w:r>
        <w:rPr>
          <w:rFonts w:ascii="Lucida Sans Unicode"/>
          <w:color w:val="231F20"/>
          <w:sz w:val="11"/>
        </w:rPr>
        <w:t>10</w:t>
      </w:r>
    </w:p>
    <w:p>
      <w:pPr>
        <w:spacing w:line="153" w:lineRule="exact" w:before="66"/>
        <w:ind w:left="3061" w:right="0" w:firstLine="0"/>
        <w:jc w:val="left"/>
        <w:rPr>
          <w:rFonts w:ascii="Lucida Sans Unicode"/>
          <w:sz w:val="11"/>
        </w:rPr>
      </w:pPr>
      <w:r>
        <w:rPr>
          <w:rFonts w:ascii="Lucida Sans Unicode"/>
          <w:color w:val="231F20"/>
          <w:w w:val="95"/>
          <w:sz w:val="11"/>
        </w:rPr>
        <w:t>0</w:t>
      </w:r>
    </w:p>
    <w:p>
      <w:pPr>
        <w:tabs>
          <w:tab w:pos="2843" w:val="left" w:leader="none"/>
        </w:tabs>
        <w:spacing w:line="153" w:lineRule="exact" w:before="0"/>
        <w:ind w:left="541" w:right="0" w:firstLine="0"/>
        <w:jc w:val="center"/>
        <w:rPr>
          <w:rFonts w:ascii="Lucida Sans Unicode"/>
          <w:sz w:val="11"/>
        </w:rPr>
      </w:pPr>
      <w:r>
        <w:rPr>
          <w:rFonts w:ascii="Lucida Sans Unicode"/>
          <w:color w:val="231F20"/>
          <w:sz w:val="11"/>
        </w:rPr>
        <w:t>Hombres</w:t>
        <w:tab/>
        <w:t>Mujeres</w:t>
      </w:r>
    </w:p>
    <w:p>
      <w:pPr>
        <w:tabs>
          <w:tab w:pos="2093" w:val="left" w:leader="none"/>
          <w:tab w:pos="4059" w:val="left" w:leader="none"/>
        </w:tabs>
        <w:spacing w:before="53"/>
        <w:ind w:left="392" w:right="0" w:firstLine="0"/>
        <w:jc w:val="center"/>
        <w:rPr>
          <w:rFonts w:ascii="Lucida Sans Unicode"/>
          <w:sz w:val="11"/>
        </w:rPr>
      </w:pPr>
      <w:r>
        <w:rPr/>
        <w:pict>
          <v:group style="position:absolute;margin-left:153.626999pt;margin-top:5.081034pt;width:8.7pt;height:4.7pt;mso-position-horizontal-relative:page;mso-position-vertical-relative:paragraph;z-index:34672" coordorigin="3073,102" coordsize="174,94">
            <v:line style="position:absolute" from="3116,148" to="3202,148" stroked="true" strokeweight="4.302pt" strokecolor="#858789"/>
            <v:rect style="position:absolute;left:3116;top:105;width:86;height:86" filled="false" stroked="true" strokeweight=".308pt" strokecolor="#231f20"/>
            <w10:wrap type="none"/>
          </v:group>
        </w:pict>
      </w:r>
      <w:r>
        <w:rPr/>
        <w:pict>
          <v:group style="position:absolute;margin-left:238.985001pt;margin-top:5.081034pt;width:8.7pt;height:4.7pt;mso-position-horizontal-relative:page;mso-position-vertical-relative:paragraph;z-index:-455488" coordorigin="4780,102" coordsize="174,94">
            <v:line style="position:absolute" from="4823,148" to="4909,148" stroked="true" strokeweight="4.302pt" strokecolor="#bec0c2"/>
            <v:rect style="position:absolute;left:4823;top:105;width:86;height:86" filled="false" stroked="true" strokeweight=".308pt" strokecolor="#231f20"/>
            <w10:wrap type="none"/>
          </v:group>
        </w:pict>
      </w:r>
      <w:r>
        <w:rPr/>
        <w:pict>
          <v:group style="position:absolute;margin-left:338.109985pt;margin-top:5.081034pt;width:8.7pt;height:4.7pt;mso-position-horizontal-relative:page;mso-position-vertical-relative:paragraph;z-index:-455464" coordorigin="6762,102" coordsize="174,94">
            <v:line style="position:absolute" from="6806,148" to="6892,148" stroked="true" strokeweight="4.302pt" strokecolor="#f3f4f4"/>
            <v:rect style="position:absolute;left:6806;top:105;width:86;height:86" filled="false" stroked="true" strokeweight=".308pt" strokecolor="#231f20"/>
            <w10:wrap type="none"/>
          </v:group>
        </w:pict>
      </w:r>
      <w:r>
        <w:rPr>
          <w:rFonts w:ascii="Lucida Sans Unicode"/>
          <w:color w:val="231F20"/>
          <w:sz w:val="11"/>
        </w:rPr>
        <w:t>Trabajar o</w:t>
      </w:r>
      <w:r>
        <w:rPr>
          <w:rFonts w:ascii="Lucida Sans Unicode"/>
          <w:color w:val="231F20"/>
          <w:spacing w:val="-21"/>
          <w:sz w:val="11"/>
        </w:rPr>
        <w:t> </w:t>
      </w:r>
      <w:r>
        <w:rPr>
          <w:rFonts w:ascii="Lucida Sans Unicode"/>
          <w:color w:val="231F20"/>
          <w:sz w:val="11"/>
        </w:rPr>
        <w:t>buscar</w:t>
      </w:r>
      <w:r>
        <w:rPr>
          <w:rFonts w:ascii="Lucida Sans Unicode"/>
          <w:color w:val="231F20"/>
          <w:spacing w:val="-11"/>
          <w:sz w:val="11"/>
        </w:rPr>
        <w:t> </w:t>
      </w:r>
      <w:r>
        <w:rPr>
          <w:rFonts w:ascii="Lucida Sans Unicode"/>
          <w:color w:val="231F20"/>
          <w:sz w:val="11"/>
        </w:rPr>
        <w:t>trabajo</w:t>
        <w:tab/>
        <w:t>Reunirse</w:t>
      </w:r>
      <w:r>
        <w:rPr>
          <w:rFonts w:ascii="Lucida Sans Unicode"/>
          <w:color w:val="231F20"/>
          <w:spacing w:val="-10"/>
          <w:sz w:val="11"/>
        </w:rPr>
        <w:t> </w:t>
      </w:r>
      <w:r>
        <w:rPr>
          <w:rFonts w:ascii="Lucida Sans Unicode"/>
          <w:color w:val="231F20"/>
          <w:sz w:val="11"/>
        </w:rPr>
        <w:t>con</w:t>
      </w:r>
      <w:r>
        <w:rPr>
          <w:rFonts w:ascii="Lucida Sans Unicode"/>
          <w:color w:val="231F20"/>
          <w:spacing w:val="-10"/>
          <w:sz w:val="11"/>
        </w:rPr>
        <w:t> </w:t>
      </w:r>
      <w:r>
        <w:rPr>
          <w:rFonts w:ascii="Lucida Sans Unicode"/>
          <w:color w:val="231F20"/>
          <w:sz w:val="11"/>
        </w:rPr>
        <w:t>familia</w:t>
      </w:r>
      <w:r>
        <w:rPr>
          <w:rFonts w:ascii="Lucida Sans Unicode"/>
          <w:color w:val="231F20"/>
          <w:spacing w:val="-10"/>
          <w:sz w:val="11"/>
        </w:rPr>
        <w:t> </w:t>
      </w:r>
      <w:r>
        <w:rPr>
          <w:rFonts w:ascii="Lucida Sans Unicode"/>
          <w:color w:val="231F20"/>
          <w:sz w:val="11"/>
        </w:rPr>
        <w:t>o</w:t>
      </w:r>
      <w:r>
        <w:rPr>
          <w:rFonts w:ascii="Lucida Sans Unicode"/>
          <w:color w:val="231F20"/>
          <w:spacing w:val="-10"/>
          <w:sz w:val="11"/>
        </w:rPr>
        <w:t> </w:t>
      </w:r>
      <w:r>
        <w:rPr>
          <w:rFonts w:ascii="Lucida Sans Unicode"/>
          <w:color w:val="231F20"/>
          <w:sz w:val="11"/>
        </w:rPr>
        <w:t>amigos</w:t>
        <w:tab/>
        <w:t>Otro</w:t>
      </w:r>
      <w:r>
        <w:rPr>
          <w:rFonts w:ascii="Lucida Sans Unicode"/>
          <w:color w:val="231F20"/>
          <w:spacing w:val="-4"/>
          <w:sz w:val="11"/>
        </w:rPr>
        <w:t> </w:t>
      </w:r>
      <w:r>
        <w:rPr>
          <w:rFonts w:ascii="Lucida Sans Unicode"/>
          <w:color w:val="231F20"/>
          <w:sz w:val="11"/>
        </w:rPr>
        <w:t>motivo</w:t>
      </w:r>
    </w:p>
    <w:p>
      <w:pPr>
        <w:spacing w:line="254" w:lineRule="auto" w:before="14"/>
        <w:ind w:left="2801" w:right="2680" w:firstLine="0"/>
        <w:jc w:val="both"/>
        <w:rPr>
          <w:sz w:val="16"/>
        </w:rPr>
      </w:pPr>
      <w:r>
        <w:rPr>
          <w:color w:val="231F20"/>
          <w:w w:val="105"/>
          <w:sz w:val="16"/>
        </w:rPr>
        <w:t>Fuente: elaboración propia con base en El Colegio de la </w:t>
      </w:r>
      <w:r>
        <w:rPr>
          <w:color w:val="231F20"/>
          <w:spacing w:val="-3"/>
          <w:w w:val="105"/>
          <w:sz w:val="16"/>
        </w:rPr>
        <w:t>Frontera </w:t>
      </w:r>
      <w:r>
        <w:rPr>
          <w:color w:val="231F20"/>
          <w:w w:val="105"/>
          <w:sz w:val="16"/>
        </w:rPr>
        <w:t>Norte,</w:t>
      </w:r>
      <w:r>
        <w:rPr>
          <w:color w:val="231F20"/>
          <w:spacing w:val="-17"/>
          <w:w w:val="105"/>
          <w:sz w:val="16"/>
        </w:rPr>
        <w:t> </w:t>
      </w:r>
      <w:r>
        <w:rPr>
          <w:color w:val="231F20"/>
          <w:w w:val="105"/>
          <w:sz w:val="16"/>
        </w:rPr>
        <w:t>Secretaría</w:t>
      </w:r>
      <w:r>
        <w:rPr>
          <w:color w:val="231F20"/>
          <w:spacing w:val="-14"/>
          <w:w w:val="105"/>
          <w:sz w:val="16"/>
        </w:rPr>
        <w:t> </w:t>
      </w:r>
      <w:r>
        <w:rPr>
          <w:color w:val="231F20"/>
          <w:w w:val="105"/>
          <w:sz w:val="16"/>
        </w:rPr>
        <w:t>del</w:t>
      </w:r>
      <w:r>
        <w:rPr>
          <w:color w:val="231F20"/>
          <w:spacing w:val="-16"/>
          <w:w w:val="105"/>
          <w:sz w:val="16"/>
        </w:rPr>
        <w:t> </w:t>
      </w:r>
      <w:r>
        <w:rPr>
          <w:color w:val="231F20"/>
          <w:spacing w:val="-4"/>
          <w:w w:val="105"/>
          <w:sz w:val="16"/>
        </w:rPr>
        <w:t>Trabajo</w:t>
      </w:r>
      <w:r>
        <w:rPr>
          <w:color w:val="231F20"/>
          <w:spacing w:val="-14"/>
          <w:w w:val="105"/>
          <w:sz w:val="16"/>
        </w:rPr>
        <w:t> </w:t>
      </w:r>
      <w:r>
        <w:rPr>
          <w:color w:val="231F20"/>
          <w:w w:val="105"/>
          <w:sz w:val="16"/>
        </w:rPr>
        <w:t>y</w:t>
      </w:r>
      <w:r>
        <w:rPr>
          <w:color w:val="231F20"/>
          <w:spacing w:val="-14"/>
          <w:w w:val="105"/>
          <w:sz w:val="16"/>
        </w:rPr>
        <w:t> </w:t>
      </w:r>
      <w:r>
        <w:rPr>
          <w:color w:val="231F20"/>
          <w:spacing w:val="-3"/>
          <w:w w:val="105"/>
          <w:sz w:val="16"/>
        </w:rPr>
        <w:t>Previsión</w:t>
      </w:r>
      <w:r>
        <w:rPr>
          <w:color w:val="231F20"/>
          <w:spacing w:val="-14"/>
          <w:w w:val="105"/>
          <w:sz w:val="16"/>
        </w:rPr>
        <w:t> </w:t>
      </w:r>
      <w:r>
        <w:rPr>
          <w:color w:val="231F20"/>
          <w:w w:val="105"/>
          <w:sz w:val="16"/>
        </w:rPr>
        <w:t>Social,</w:t>
      </w:r>
      <w:r>
        <w:rPr>
          <w:color w:val="231F20"/>
          <w:spacing w:val="-17"/>
          <w:w w:val="105"/>
          <w:sz w:val="16"/>
        </w:rPr>
        <w:t> </w:t>
      </w:r>
      <w:r>
        <w:rPr>
          <w:color w:val="231F20"/>
          <w:w w:val="105"/>
          <w:sz w:val="16"/>
        </w:rPr>
        <w:t>Consejo</w:t>
      </w:r>
      <w:r>
        <w:rPr>
          <w:color w:val="231F20"/>
          <w:spacing w:val="-14"/>
          <w:w w:val="105"/>
          <w:sz w:val="16"/>
        </w:rPr>
        <w:t> </w:t>
      </w:r>
      <w:r>
        <w:rPr>
          <w:color w:val="231F20"/>
          <w:w w:val="105"/>
          <w:sz w:val="16"/>
        </w:rPr>
        <w:t>Nacional</w:t>
      </w:r>
      <w:r>
        <w:rPr>
          <w:color w:val="231F20"/>
          <w:spacing w:val="-14"/>
          <w:w w:val="105"/>
          <w:sz w:val="16"/>
        </w:rPr>
        <w:t> </w:t>
      </w:r>
      <w:r>
        <w:rPr>
          <w:color w:val="231F20"/>
          <w:w w:val="105"/>
          <w:sz w:val="16"/>
        </w:rPr>
        <w:t>de </w:t>
      </w:r>
      <w:r>
        <w:rPr>
          <w:color w:val="231F20"/>
          <w:spacing w:val="-3"/>
          <w:w w:val="105"/>
          <w:sz w:val="16"/>
        </w:rPr>
        <w:t>Población, </w:t>
      </w:r>
      <w:r>
        <w:rPr>
          <w:color w:val="231F20"/>
          <w:w w:val="105"/>
          <w:sz w:val="16"/>
        </w:rPr>
        <w:t>Unidad de </w:t>
      </w:r>
      <w:r>
        <w:rPr>
          <w:color w:val="231F20"/>
          <w:spacing w:val="-3"/>
          <w:w w:val="105"/>
          <w:sz w:val="16"/>
        </w:rPr>
        <w:t>Política </w:t>
      </w:r>
      <w:r>
        <w:rPr>
          <w:color w:val="231F20"/>
          <w:w w:val="105"/>
          <w:sz w:val="16"/>
        </w:rPr>
        <w:t>Migratoria, Secretaría de Relaciones Exteriores,</w:t>
      </w:r>
      <w:r>
        <w:rPr>
          <w:color w:val="231F20"/>
          <w:spacing w:val="-22"/>
          <w:w w:val="105"/>
          <w:sz w:val="16"/>
        </w:rPr>
        <w:t> </w:t>
      </w:r>
      <w:r>
        <w:rPr>
          <w:rFonts w:ascii="Arial" w:hAnsi="Arial"/>
          <w:i/>
          <w:color w:val="231F20"/>
          <w:w w:val="105"/>
          <w:sz w:val="16"/>
        </w:rPr>
        <w:t>Encuesta</w:t>
      </w:r>
      <w:r>
        <w:rPr>
          <w:rFonts w:ascii="Arial" w:hAnsi="Arial"/>
          <w:i/>
          <w:color w:val="231F20"/>
          <w:spacing w:val="-21"/>
          <w:w w:val="105"/>
          <w:sz w:val="16"/>
        </w:rPr>
        <w:t> </w:t>
      </w:r>
      <w:r>
        <w:rPr>
          <w:rFonts w:ascii="Arial" w:hAnsi="Arial"/>
          <w:i/>
          <w:color w:val="231F20"/>
          <w:w w:val="105"/>
          <w:sz w:val="16"/>
        </w:rPr>
        <w:t>sobre</w:t>
      </w:r>
      <w:r>
        <w:rPr>
          <w:rFonts w:ascii="Arial" w:hAnsi="Arial"/>
          <w:i/>
          <w:color w:val="231F20"/>
          <w:spacing w:val="-21"/>
          <w:w w:val="105"/>
          <w:sz w:val="16"/>
        </w:rPr>
        <w:t> </w:t>
      </w:r>
      <w:r>
        <w:rPr>
          <w:rFonts w:ascii="Arial" w:hAnsi="Arial"/>
          <w:i/>
          <w:color w:val="231F20"/>
          <w:w w:val="105"/>
          <w:sz w:val="16"/>
        </w:rPr>
        <w:t>Migración</w:t>
      </w:r>
      <w:r>
        <w:rPr>
          <w:rFonts w:ascii="Arial" w:hAnsi="Arial"/>
          <w:i/>
          <w:color w:val="231F20"/>
          <w:spacing w:val="-21"/>
          <w:w w:val="105"/>
          <w:sz w:val="16"/>
        </w:rPr>
        <w:t> </w:t>
      </w:r>
      <w:r>
        <w:rPr>
          <w:rFonts w:ascii="Arial" w:hAnsi="Arial"/>
          <w:i/>
          <w:color w:val="231F20"/>
          <w:w w:val="105"/>
          <w:sz w:val="16"/>
        </w:rPr>
        <w:t>en</w:t>
      </w:r>
      <w:r>
        <w:rPr>
          <w:rFonts w:ascii="Arial" w:hAnsi="Arial"/>
          <w:i/>
          <w:color w:val="231F20"/>
          <w:spacing w:val="-21"/>
          <w:w w:val="105"/>
          <w:sz w:val="16"/>
        </w:rPr>
        <w:t> </w:t>
      </w:r>
      <w:r>
        <w:rPr>
          <w:rFonts w:ascii="Arial" w:hAnsi="Arial"/>
          <w:i/>
          <w:color w:val="231F20"/>
          <w:w w:val="105"/>
          <w:sz w:val="16"/>
        </w:rPr>
        <w:t>la</w:t>
      </w:r>
      <w:r>
        <w:rPr>
          <w:rFonts w:ascii="Arial" w:hAnsi="Arial"/>
          <w:i/>
          <w:color w:val="231F20"/>
          <w:spacing w:val="-21"/>
          <w:w w:val="105"/>
          <w:sz w:val="16"/>
        </w:rPr>
        <w:t> </w:t>
      </w:r>
      <w:r>
        <w:rPr>
          <w:rFonts w:ascii="Arial" w:hAnsi="Arial"/>
          <w:i/>
          <w:color w:val="231F20"/>
          <w:spacing w:val="-3"/>
          <w:w w:val="105"/>
          <w:sz w:val="16"/>
        </w:rPr>
        <w:t>Frontera</w:t>
      </w:r>
      <w:r>
        <w:rPr>
          <w:rFonts w:ascii="Arial" w:hAnsi="Arial"/>
          <w:i/>
          <w:color w:val="231F20"/>
          <w:spacing w:val="-21"/>
          <w:w w:val="105"/>
          <w:sz w:val="16"/>
        </w:rPr>
        <w:t> </w:t>
      </w:r>
      <w:r>
        <w:rPr>
          <w:rFonts w:ascii="Arial" w:hAnsi="Arial"/>
          <w:i/>
          <w:color w:val="231F20"/>
          <w:w w:val="105"/>
          <w:sz w:val="16"/>
        </w:rPr>
        <w:t>Norte</w:t>
      </w:r>
      <w:r>
        <w:rPr>
          <w:rFonts w:ascii="Arial" w:hAnsi="Arial"/>
          <w:i/>
          <w:color w:val="231F20"/>
          <w:spacing w:val="-21"/>
          <w:w w:val="105"/>
          <w:sz w:val="16"/>
        </w:rPr>
        <w:t> </w:t>
      </w:r>
      <w:r>
        <w:rPr>
          <w:rFonts w:ascii="Arial" w:hAnsi="Arial"/>
          <w:i/>
          <w:color w:val="231F20"/>
          <w:w w:val="105"/>
          <w:sz w:val="16"/>
        </w:rPr>
        <w:t>de</w:t>
      </w:r>
      <w:r>
        <w:rPr>
          <w:rFonts w:ascii="Arial" w:hAnsi="Arial"/>
          <w:i/>
          <w:color w:val="231F20"/>
          <w:spacing w:val="-21"/>
          <w:w w:val="105"/>
          <w:sz w:val="16"/>
        </w:rPr>
        <w:t> </w:t>
      </w:r>
      <w:r>
        <w:rPr>
          <w:rFonts w:ascii="Arial" w:hAnsi="Arial"/>
          <w:i/>
          <w:color w:val="231F20"/>
          <w:w w:val="105"/>
          <w:sz w:val="16"/>
        </w:rPr>
        <w:t>México, </w:t>
      </w:r>
      <w:hyperlink r:id="rId326">
        <w:r>
          <w:rPr>
            <w:color w:val="231F20"/>
            <w:w w:val="105"/>
            <w:sz w:val="16"/>
          </w:rPr>
          <w:t>www.colef.mx/emif.</w:t>
        </w:r>
      </w:hyperlink>
    </w:p>
    <w:p>
      <w:pPr>
        <w:pStyle w:val="BodyText"/>
        <w:rPr>
          <w:sz w:val="16"/>
        </w:rPr>
      </w:pPr>
    </w:p>
    <w:p>
      <w:pPr>
        <w:pStyle w:val="BodyText"/>
        <w:spacing w:line="261" w:lineRule="auto" w:before="101"/>
        <w:ind w:left="1837" w:right="1721"/>
        <w:jc w:val="both"/>
      </w:pPr>
      <w:r>
        <w:rPr/>
        <w:pict>
          <v:line style="position:absolute;mso-position-horizontal-relative:page;mso-position-vertical-relative:paragraph;z-index:-455392" from="15pt,124.272789pt" to="0pt,124.272789pt" stroked="true" strokeweight=".25pt" strokecolor="#000000">
            <w10:wrap type="none"/>
          </v:line>
        </w:pict>
      </w:r>
      <w:r>
        <w:rPr/>
        <w:pict>
          <v:line style="position:absolute;mso-position-horizontal-relative:page;mso-position-vertical-relative:paragraph;z-index:34816" from="508.890015pt,124.272789pt" to="523.890015pt,124.272789pt" stroked="true" strokeweight=".25pt" strokecolor="#000000">
            <w10:wrap type="none"/>
          </v:line>
        </w:pict>
      </w:r>
      <w:r>
        <w:rPr>
          <w:color w:val="231F20"/>
          <w:w w:val="105"/>
        </w:rPr>
        <w:t>A</w:t>
      </w:r>
      <w:r>
        <w:rPr>
          <w:color w:val="231F20"/>
          <w:spacing w:val="-16"/>
          <w:w w:val="105"/>
        </w:rPr>
        <w:t> </w:t>
      </w:r>
      <w:r>
        <w:rPr>
          <w:color w:val="231F20"/>
          <w:w w:val="105"/>
        </w:rPr>
        <w:t>partir</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categorización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municipios</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tres</w:t>
      </w:r>
      <w:r>
        <w:rPr>
          <w:color w:val="231F20"/>
          <w:spacing w:val="-13"/>
          <w:w w:val="105"/>
        </w:rPr>
        <w:t> </w:t>
      </w:r>
      <w:r>
        <w:rPr>
          <w:color w:val="231F20"/>
          <w:w w:val="105"/>
        </w:rPr>
        <w:t>gru- pos, fue posible notar el incremento en la importancia relativa de la mi- gración</w:t>
      </w:r>
      <w:r>
        <w:rPr>
          <w:color w:val="231F20"/>
          <w:spacing w:val="-11"/>
          <w:w w:val="105"/>
        </w:rPr>
        <w:t> </w:t>
      </w:r>
      <w:r>
        <w:rPr>
          <w:color w:val="231F20"/>
          <w:w w:val="105"/>
        </w:rPr>
        <w:t>femenina</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municipios</w:t>
      </w:r>
      <w:r>
        <w:rPr>
          <w:color w:val="231F20"/>
          <w:spacing w:val="-11"/>
          <w:w w:val="105"/>
        </w:rPr>
        <w:t> </w:t>
      </w:r>
      <w:r>
        <w:rPr>
          <w:color w:val="231F20"/>
          <w:w w:val="105"/>
        </w:rPr>
        <w:t>no</w:t>
      </w:r>
      <w:r>
        <w:rPr>
          <w:color w:val="231F20"/>
          <w:spacing w:val="-11"/>
          <w:w w:val="105"/>
        </w:rPr>
        <w:t> </w:t>
      </w:r>
      <w:r>
        <w:rPr>
          <w:color w:val="231F20"/>
          <w:w w:val="105"/>
        </w:rPr>
        <w:t>metropolitanos.</w:t>
      </w:r>
      <w:r>
        <w:rPr>
          <w:color w:val="231F20"/>
          <w:spacing w:val="-16"/>
          <w:w w:val="105"/>
        </w:rPr>
        <w:t> </w:t>
      </w:r>
      <w:r>
        <w:rPr>
          <w:color w:val="231F20"/>
          <w:w w:val="105"/>
        </w:rPr>
        <w:t>En</w:t>
      </w:r>
      <w:r>
        <w:rPr>
          <w:color w:val="231F20"/>
          <w:spacing w:val="-11"/>
          <w:w w:val="105"/>
        </w:rPr>
        <w:t> </w:t>
      </w:r>
      <w:r>
        <w:rPr>
          <w:color w:val="231F20"/>
          <w:w w:val="105"/>
        </w:rPr>
        <w:t>particular,</w:t>
      </w:r>
      <w:r>
        <w:rPr>
          <w:color w:val="231F20"/>
          <w:spacing w:val="-16"/>
          <w:w w:val="105"/>
        </w:rPr>
        <w:t> </w:t>
      </w:r>
      <w:r>
        <w:rPr>
          <w:color w:val="231F20"/>
          <w:w w:val="105"/>
        </w:rPr>
        <w:t>los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34864" from="15pt,-71.68644pt" to="0pt,-71.68644pt" stroked="true" strokeweight=".25pt" strokecolor="#000000">
            <w10:wrap type="none"/>
          </v:line>
        </w:pict>
      </w:r>
      <w:r>
        <w:rPr/>
        <w:pict>
          <v:line style="position:absolute;mso-position-horizontal-relative:page;mso-position-vertical-relative:paragraph;z-index:34888" from="508.890015pt,-71.68644pt" to="523.890015pt,-71.68644pt" stroked="true" strokeweight=".25pt" strokecolor="#000000">
            <w10:wrap type="none"/>
          </v:line>
        </w:pict>
      </w:r>
      <w:r>
        <w:rPr>
          <w:color w:val="231F20"/>
          <w:w w:val="105"/>
        </w:rPr>
        <w:t>municipios</w:t>
      </w:r>
      <w:r>
        <w:rPr>
          <w:color w:val="231F20"/>
          <w:spacing w:val="-6"/>
          <w:w w:val="105"/>
        </w:rPr>
        <w:t> </w:t>
      </w:r>
      <w:r>
        <w:rPr>
          <w:color w:val="231F20"/>
          <w:w w:val="105"/>
        </w:rPr>
        <w:t>étnicos</w:t>
      </w:r>
      <w:r>
        <w:rPr>
          <w:color w:val="231F20"/>
          <w:spacing w:val="-6"/>
          <w:w w:val="105"/>
        </w:rPr>
        <w:t> </w:t>
      </w:r>
      <w:r>
        <w:rPr>
          <w:color w:val="231F20"/>
          <w:w w:val="105"/>
        </w:rPr>
        <w:t>y</w:t>
      </w:r>
      <w:r>
        <w:rPr>
          <w:color w:val="231F20"/>
          <w:spacing w:val="-6"/>
          <w:w w:val="105"/>
        </w:rPr>
        <w:t> </w:t>
      </w:r>
      <w:r>
        <w:rPr>
          <w:color w:val="231F20"/>
          <w:w w:val="105"/>
        </w:rPr>
        <w:t>más</w:t>
      </w:r>
      <w:r>
        <w:rPr>
          <w:color w:val="231F20"/>
          <w:spacing w:val="-6"/>
          <w:w w:val="105"/>
        </w:rPr>
        <w:t> </w:t>
      </w:r>
      <w:r>
        <w:rPr>
          <w:color w:val="231F20"/>
          <w:w w:val="105"/>
        </w:rPr>
        <w:t>tradicionales</w:t>
      </w:r>
      <w:r>
        <w:rPr>
          <w:color w:val="231F20"/>
          <w:spacing w:val="-6"/>
          <w:w w:val="105"/>
        </w:rPr>
        <w:t> </w:t>
      </w:r>
      <w:r>
        <w:rPr>
          <w:color w:val="231F20"/>
          <w:w w:val="105"/>
        </w:rPr>
        <w:t>de</w:t>
      </w:r>
      <w:r>
        <w:rPr>
          <w:color w:val="231F20"/>
          <w:spacing w:val="-6"/>
          <w:w w:val="105"/>
        </w:rPr>
        <w:t> </w:t>
      </w:r>
      <w:r>
        <w:rPr>
          <w:color w:val="231F20"/>
          <w:w w:val="105"/>
        </w:rPr>
        <w:t>migración,</w:t>
      </w:r>
      <w:r>
        <w:rPr>
          <w:color w:val="231F20"/>
          <w:spacing w:val="-12"/>
          <w:w w:val="105"/>
        </w:rPr>
        <w:t> </w:t>
      </w:r>
      <w:r>
        <w:rPr>
          <w:color w:val="231F20"/>
          <w:w w:val="105"/>
        </w:rPr>
        <w:t>los</w:t>
      </w:r>
      <w:r>
        <w:rPr>
          <w:color w:val="231F20"/>
          <w:spacing w:val="-6"/>
          <w:w w:val="105"/>
        </w:rPr>
        <w:t> </w:t>
      </w:r>
      <w:r>
        <w:rPr>
          <w:color w:val="231F20"/>
          <w:w w:val="105"/>
        </w:rPr>
        <w:t>cuales</w:t>
      </w:r>
      <w:r>
        <w:rPr>
          <w:color w:val="231F20"/>
          <w:spacing w:val="-6"/>
          <w:w w:val="105"/>
        </w:rPr>
        <w:t> </w:t>
      </w:r>
      <w:r>
        <w:rPr>
          <w:color w:val="231F20"/>
          <w:w w:val="105"/>
        </w:rPr>
        <w:t>mostra- ron</w:t>
      </w:r>
      <w:r>
        <w:rPr>
          <w:color w:val="231F20"/>
          <w:spacing w:val="-26"/>
          <w:w w:val="105"/>
        </w:rPr>
        <w:t> </w:t>
      </w:r>
      <w:r>
        <w:rPr>
          <w:color w:val="231F20"/>
          <w:w w:val="105"/>
        </w:rPr>
        <w:t>aumentos</w:t>
      </w:r>
      <w:r>
        <w:rPr>
          <w:color w:val="231F20"/>
          <w:spacing w:val="-26"/>
          <w:w w:val="105"/>
        </w:rPr>
        <w:t> </w:t>
      </w:r>
      <w:r>
        <w:rPr>
          <w:color w:val="231F20"/>
          <w:w w:val="105"/>
        </w:rPr>
        <w:t>importantes</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migración</w:t>
      </w:r>
      <w:r>
        <w:rPr>
          <w:color w:val="231F20"/>
          <w:spacing w:val="-26"/>
          <w:w w:val="105"/>
        </w:rPr>
        <w:t> </w:t>
      </w:r>
      <w:r>
        <w:rPr>
          <w:color w:val="231F20"/>
          <w:w w:val="105"/>
        </w:rPr>
        <w:t>circular,</w:t>
      </w:r>
      <w:r>
        <w:rPr>
          <w:color w:val="231F20"/>
          <w:spacing w:val="-31"/>
          <w:w w:val="105"/>
        </w:rPr>
        <w:t> </w:t>
      </w:r>
      <w:r>
        <w:rPr>
          <w:color w:val="231F20"/>
          <w:w w:val="105"/>
        </w:rPr>
        <w:t>así</w:t>
      </w:r>
      <w:r>
        <w:rPr>
          <w:color w:val="231F20"/>
          <w:spacing w:val="-26"/>
          <w:w w:val="105"/>
        </w:rPr>
        <w:t> </w:t>
      </w:r>
      <w:r>
        <w:rPr>
          <w:color w:val="231F20"/>
          <w:w w:val="105"/>
        </w:rPr>
        <w:t>como</w:t>
      </w:r>
      <w:r>
        <w:rPr>
          <w:color w:val="231F20"/>
          <w:spacing w:val="-26"/>
          <w:w w:val="105"/>
        </w:rPr>
        <w:t> </w:t>
      </w:r>
      <w:r>
        <w:rPr>
          <w:color w:val="231F20"/>
          <w:w w:val="105"/>
        </w:rPr>
        <w:t>incrementos menos pronunciados en el flujo de emigrantes, llaman la atención para el</w:t>
      </w:r>
      <w:r>
        <w:rPr>
          <w:color w:val="231F20"/>
          <w:spacing w:val="-17"/>
          <w:w w:val="105"/>
        </w:rPr>
        <w:t> </w:t>
      </w:r>
      <w:r>
        <w:rPr>
          <w:color w:val="231F20"/>
          <w:w w:val="105"/>
        </w:rPr>
        <w:t>análisis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implicaciones</w:t>
      </w:r>
      <w:r>
        <w:rPr>
          <w:color w:val="231F20"/>
          <w:spacing w:val="-17"/>
          <w:w w:val="105"/>
        </w:rPr>
        <w:t> </w:t>
      </w:r>
      <w:r>
        <w:rPr>
          <w:color w:val="231F20"/>
          <w:w w:val="105"/>
        </w:rPr>
        <w:t>que</w:t>
      </w:r>
      <w:r>
        <w:rPr>
          <w:color w:val="231F20"/>
          <w:spacing w:val="-17"/>
          <w:w w:val="105"/>
        </w:rPr>
        <w:t> </w:t>
      </w:r>
      <w:r>
        <w:rPr>
          <w:color w:val="231F20"/>
          <w:w w:val="105"/>
        </w:rPr>
        <w:t>traerá</w:t>
      </w:r>
      <w:r>
        <w:rPr>
          <w:color w:val="231F20"/>
          <w:spacing w:val="-17"/>
          <w:w w:val="105"/>
        </w:rPr>
        <w:t> </w:t>
      </w:r>
      <w:r>
        <w:rPr>
          <w:color w:val="231F20"/>
          <w:w w:val="105"/>
        </w:rPr>
        <w:t>la</w:t>
      </w:r>
      <w:r>
        <w:rPr>
          <w:color w:val="231F20"/>
          <w:spacing w:val="-17"/>
          <w:w w:val="105"/>
        </w:rPr>
        <w:t> </w:t>
      </w:r>
      <w:r>
        <w:rPr>
          <w:color w:val="231F20"/>
          <w:w w:val="105"/>
        </w:rPr>
        <w:t>incorporación</w:t>
      </w:r>
      <w:r>
        <w:rPr>
          <w:color w:val="231F20"/>
          <w:spacing w:val="-17"/>
          <w:w w:val="105"/>
        </w:rPr>
        <w:t> </w:t>
      </w:r>
      <w:r>
        <w:rPr>
          <w:color w:val="231F20"/>
          <w:w w:val="105"/>
        </w:rPr>
        <w:t>de</w:t>
      </w:r>
      <w:r>
        <w:rPr>
          <w:color w:val="231F20"/>
          <w:spacing w:val="-17"/>
          <w:w w:val="105"/>
        </w:rPr>
        <w:t> </w:t>
      </w:r>
      <w:r>
        <w:rPr>
          <w:color w:val="231F20"/>
          <w:w w:val="105"/>
        </w:rPr>
        <w:t>un</w:t>
      </w:r>
      <w:r>
        <w:rPr>
          <w:color w:val="231F20"/>
          <w:spacing w:val="-17"/>
          <w:w w:val="105"/>
        </w:rPr>
        <w:t> </w:t>
      </w:r>
      <w:r>
        <w:rPr>
          <w:color w:val="231F20"/>
          <w:w w:val="105"/>
        </w:rPr>
        <w:t>número mayor</w:t>
      </w:r>
      <w:r>
        <w:rPr>
          <w:color w:val="231F20"/>
          <w:spacing w:val="-19"/>
          <w:w w:val="105"/>
        </w:rPr>
        <w:t> </w:t>
      </w:r>
      <w:r>
        <w:rPr>
          <w:color w:val="231F20"/>
          <w:w w:val="105"/>
        </w:rPr>
        <w:t>de</w:t>
      </w:r>
      <w:r>
        <w:rPr>
          <w:color w:val="231F20"/>
          <w:spacing w:val="-19"/>
          <w:w w:val="105"/>
        </w:rPr>
        <w:t> </w:t>
      </w:r>
      <w:r>
        <w:rPr>
          <w:color w:val="231F20"/>
          <w:w w:val="105"/>
        </w:rPr>
        <w:t>mujeres</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dinámica</w:t>
      </w:r>
      <w:r>
        <w:rPr>
          <w:color w:val="231F20"/>
          <w:spacing w:val="-19"/>
          <w:w w:val="105"/>
        </w:rPr>
        <w:t> </w:t>
      </w:r>
      <w:r>
        <w:rPr>
          <w:color w:val="231F20"/>
          <w:w w:val="105"/>
        </w:rPr>
        <w:t>migratoria</w:t>
      </w:r>
      <w:r>
        <w:rPr>
          <w:color w:val="231F20"/>
          <w:spacing w:val="-19"/>
          <w:w w:val="105"/>
        </w:rPr>
        <w:t> </w:t>
      </w:r>
      <w:r>
        <w:rPr>
          <w:color w:val="231F20"/>
          <w:w w:val="105"/>
        </w:rPr>
        <w:t>estatal.</w:t>
      </w:r>
    </w:p>
    <w:p>
      <w:pPr>
        <w:pStyle w:val="BodyText"/>
        <w:spacing w:line="261" w:lineRule="auto" w:before="1"/>
        <w:ind w:left="1723" w:right="1829" w:firstLine="567"/>
        <w:jc w:val="both"/>
      </w:pPr>
      <w:r>
        <w:rPr>
          <w:color w:val="231F20"/>
          <w:w w:val="105"/>
        </w:rPr>
        <w:t>Además, la tipología de los municipios de residencia brindó infor- mación valiosa en cuanto a la distribución de los migrantes y establece una base para investigación futura acerca de cómo las redes sociales moldean</w:t>
      </w:r>
      <w:r>
        <w:rPr>
          <w:color w:val="231F20"/>
          <w:spacing w:val="-13"/>
          <w:w w:val="105"/>
        </w:rPr>
        <w:t> </w:t>
      </w:r>
      <w:r>
        <w:rPr>
          <w:color w:val="231F20"/>
          <w:w w:val="105"/>
        </w:rPr>
        <w:t>el</w:t>
      </w:r>
      <w:r>
        <w:rPr>
          <w:color w:val="231F20"/>
          <w:spacing w:val="-13"/>
          <w:w w:val="105"/>
        </w:rPr>
        <w:t> </w:t>
      </w:r>
      <w:r>
        <w:rPr>
          <w:color w:val="231F20"/>
          <w:w w:val="105"/>
        </w:rPr>
        <w:t>proceso</w:t>
      </w:r>
      <w:r>
        <w:rPr>
          <w:color w:val="231F20"/>
          <w:spacing w:val="-13"/>
          <w:w w:val="105"/>
        </w:rPr>
        <w:t> </w:t>
      </w:r>
      <w:r>
        <w:rPr>
          <w:color w:val="231F20"/>
          <w:w w:val="105"/>
        </w:rPr>
        <w:t>migratorio.</w:t>
      </w:r>
      <w:r>
        <w:rPr>
          <w:color w:val="231F20"/>
          <w:spacing w:val="-18"/>
          <w:w w:val="105"/>
        </w:rPr>
        <w:t> </w:t>
      </w:r>
      <w:r>
        <w:rPr>
          <w:color w:val="231F20"/>
          <w:w w:val="105"/>
        </w:rPr>
        <w:t>Los</w:t>
      </w:r>
      <w:r>
        <w:rPr>
          <w:color w:val="231F20"/>
          <w:spacing w:val="-13"/>
          <w:w w:val="105"/>
        </w:rPr>
        <w:t> </w:t>
      </w:r>
      <w:r>
        <w:rPr>
          <w:color w:val="231F20"/>
          <w:w w:val="105"/>
        </w:rPr>
        <w:t>resultados</w:t>
      </w:r>
      <w:r>
        <w:rPr>
          <w:color w:val="231F20"/>
          <w:spacing w:val="-13"/>
          <w:w w:val="105"/>
        </w:rPr>
        <w:t> </w:t>
      </w:r>
      <w:r>
        <w:rPr>
          <w:color w:val="231F20"/>
          <w:w w:val="105"/>
        </w:rPr>
        <w:t>obtenidos</w:t>
      </w:r>
      <w:r>
        <w:rPr>
          <w:color w:val="231F20"/>
          <w:spacing w:val="-13"/>
          <w:w w:val="105"/>
        </w:rPr>
        <w:t> </w:t>
      </w:r>
      <w:r>
        <w:rPr>
          <w:color w:val="231F20"/>
          <w:w w:val="105"/>
        </w:rPr>
        <w:t>mostraron</w:t>
      </w:r>
      <w:r>
        <w:rPr>
          <w:color w:val="231F20"/>
          <w:spacing w:val="-13"/>
          <w:w w:val="105"/>
        </w:rPr>
        <w:t> </w:t>
      </w:r>
      <w:r>
        <w:rPr>
          <w:color w:val="231F20"/>
          <w:w w:val="105"/>
        </w:rPr>
        <w:t>que los migrantes de retorno incrementaron de manera significativa en los municipios</w:t>
      </w:r>
      <w:r>
        <w:rPr>
          <w:color w:val="231F20"/>
          <w:spacing w:val="-31"/>
          <w:w w:val="105"/>
        </w:rPr>
        <w:t> </w:t>
      </w:r>
      <w:r>
        <w:rPr>
          <w:color w:val="231F20"/>
          <w:w w:val="105"/>
        </w:rPr>
        <w:t>étnicos,</w:t>
      </w:r>
      <w:r>
        <w:rPr>
          <w:color w:val="231F20"/>
          <w:spacing w:val="-35"/>
          <w:w w:val="105"/>
        </w:rPr>
        <w:t> </w:t>
      </w:r>
      <w:r>
        <w:rPr>
          <w:color w:val="231F20"/>
          <w:w w:val="105"/>
        </w:rPr>
        <w:t>aunado</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creciente</w:t>
      </w:r>
      <w:r>
        <w:rPr>
          <w:color w:val="231F20"/>
          <w:spacing w:val="-31"/>
          <w:w w:val="105"/>
        </w:rPr>
        <w:t> </w:t>
      </w:r>
      <w:r>
        <w:rPr>
          <w:color w:val="231F20"/>
          <w:w w:val="105"/>
        </w:rPr>
        <w:t>migración</w:t>
      </w:r>
      <w:r>
        <w:rPr>
          <w:color w:val="231F20"/>
          <w:spacing w:val="-31"/>
          <w:w w:val="105"/>
        </w:rPr>
        <w:t> </w:t>
      </w:r>
      <w:r>
        <w:rPr>
          <w:color w:val="231F20"/>
          <w:w w:val="105"/>
        </w:rPr>
        <w:t>procedente</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w w:val="105"/>
        </w:rPr>
        <w:t>zo- nas</w:t>
      </w:r>
      <w:r>
        <w:rPr>
          <w:color w:val="231F20"/>
          <w:spacing w:val="-37"/>
          <w:w w:val="105"/>
        </w:rPr>
        <w:t> </w:t>
      </w:r>
      <w:r>
        <w:rPr>
          <w:color w:val="231F20"/>
          <w:w w:val="105"/>
        </w:rPr>
        <w:t>urbanas</w:t>
      </w:r>
      <w:r>
        <w:rPr>
          <w:color w:val="231F20"/>
          <w:spacing w:val="-37"/>
          <w:w w:val="105"/>
        </w:rPr>
        <w:t> </w:t>
      </w:r>
      <w:r>
        <w:rPr>
          <w:color w:val="231F20"/>
          <w:w w:val="105"/>
        </w:rPr>
        <w:t>establecen</w:t>
      </w:r>
      <w:r>
        <w:rPr>
          <w:color w:val="231F20"/>
          <w:spacing w:val="-37"/>
          <w:w w:val="105"/>
        </w:rPr>
        <w:t> </w:t>
      </w:r>
      <w:r>
        <w:rPr>
          <w:color w:val="231F20"/>
          <w:w w:val="105"/>
        </w:rPr>
        <w:t>claros</w:t>
      </w:r>
      <w:r>
        <w:rPr>
          <w:color w:val="231F20"/>
          <w:spacing w:val="-37"/>
          <w:w w:val="105"/>
        </w:rPr>
        <w:t> </w:t>
      </w:r>
      <w:r>
        <w:rPr>
          <w:color w:val="231F20"/>
          <w:w w:val="105"/>
        </w:rPr>
        <w:t>patrones</w:t>
      </w:r>
      <w:r>
        <w:rPr>
          <w:color w:val="231F20"/>
          <w:spacing w:val="-37"/>
          <w:w w:val="105"/>
        </w:rPr>
        <w:t> </w:t>
      </w:r>
      <w:r>
        <w:rPr>
          <w:color w:val="231F20"/>
          <w:w w:val="105"/>
        </w:rPr>
        <w:t>divergentes</w:t>
      </w:r>
      <w:r>
        <w:rPr>
          <w:color w:val="231F20"/>
          <w:spacing w:val="-37"/>
          <w:w w:val="105"/>
        </w:rPr>
        <w:t> </w:t>
      </w:r>
      <w:r>
        <w:rPr>
          <w:color w:val="231F20"/>
          <w:w w:val="105"/>
        </w:rPr>
        <w:t>en</w:t>
      </w:r>
      <w:r>
        <w:rPr>
          <w:color w:val="231F20"/>
          <w:spacing w:val="-37"/>
          <w:w w:val="105"/>
        </w:rPr>
        <w:t> </w:t>
      </w:r>
      <w:r>
        <w:rPr>
          <w:color w:val="231F20"/>
          <w:w w:val="105"/>
        </w:rPr>
        <w:t>las</w:t>
      </w:r>
      <w:r>
        <w:rPr>
          <w:color w:val="231F20"/>
          <w:spacing w:val="-37"/>
          <w:w w:val="105"/>
        </w:rPr>
        <w:t> </w:t>
      </w:r>
      <w:r>
        <w:rPr>
          <w:color w:val="231F20"/>
          <w:w w:val="105"/>
        </w:rPr>
        <w:t>características de</w:t>
      </w:r>
      <w:r>
        <w:rPr>
          <w:color w:val="231F20"/>
          <w:spacing w:val="-15"/>
          <w:w w:val="105"/>
        </w:rPr>
        <w:t> </w:t>
      </w:r>
      <w:r>
        <w:rPr>
          <w:color w:val="231F20"/>
          <w:w w:val="105"/>
        </w:rPr>
        <w:t>las</w:t>
      </w:r>
      <w:r>
        <w:rPr>
          <w:color w:val="231F20"/>
          <w:spacing w:val="-15"/>
          <w:w w:val="105"/>
        </w:rPr>
        <w:t> </w:t>
      </w:r>
      <w:r>
        <w:rPr>
          <w:color w:val="231F20"/>
          <w:w w:val="105"/>
        </w:rPr>
        <w:t>poblaciones</w:t>
      </w:r>
      <w:r>
        <w:rPr>
          <w:color w:val="231F20"/>
          <w:spacing w:val="-15"/>
          <w:w w:val="105"/>
        </w:rPr>
        <w:t> </w:t>
      </w:r>
      <w:r>
        <w:rPr>
          <w:color w:val="231F20"/>
          <w:w w:val="105"/>
        </w:rPr>
        <w:t>migrantes,</w:t>
      </w:r>
      <w:r>
        <w:rPr>
          <w:color w:val="231F20"/>
          <w:spacing w:val="-20"/>
          <w:w w:val="105"/>
        </w:rPr>
        <w:t> </w:t>
      </w:r>
      <w:r>
        <w:rPr>
          <w:color w:val="231F20"/>
          <w:w w:val="105"/>
        </w:rPr>
        <w:t>caracterizados</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contrastante</w:t>
      </w:r>
      <w:r>
        <w:rPr>
          <w:color w:val="231F20"/>
          <w:spacing w:val="-15"/>
          <w:w w:val="105"/>
        </w:rPr>
        <w:t> </w:t>
      </w:r>
      <w:r>
        <w:rPr>
          <w:color w:val="231F20"/>
          <w:w w:val="105"/>
        </w:rPr>
        <w:t>urbani- dad-indigenismo característica de la migración mexiquense (González, 2006). Con lo anterior, consideramos pertinente poner sobre la mesa que en las comunidades étnicas expulsoras prevalece un patrón de</w:t>
      </w:r>
      <w:r>
        <w:rPr>
          <w:color w:val="231F20"/>
          <w:spacing w:val="-28"/>
          <w:w w:val="105"/>
        </w:rPr>
        <w:t> </w:t>
      </w:r>
      <w:r>
        <w:rPr>
          <w:color w:val="231F20"/>
          <w:w w:val="105"/>
        </w:rPr>
        <w:t>mi- gración</w:t>
      </w:r>
      <w:r>
        <w:rPr>
          <w:color w:val="231F20"/>
          <w:spacing w:val="-5"/>
          <w:w w:val="105"/>
        </w:rPr>
        <w:t> </w:t>
      </w:r>
      <w:r>
        <w:rPr>
          <w:color w:val="231F20"/>
          <w:w w:val="105"/>
        </w:rPr>
        <w:t>masculinizado,</w:t>
      </w:r>
      <w:r>
        <w:rPr>
          <w:color w:val="231F20"/>
          <w:spacing w:val="-10"/>
          <w:w w:val="105"/>
        </w:rPr>
        <w:t> </w:t>
      </w:r>
      <w:r>
        <w:rPr>
          <w:color w:val="231F20"/>
          <w:w w:val="105"/>
        </w:rPr>
        <w:t>mientras</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otros</w:t>
      </w:r>
      <w:r>
        <w:rPr>
          <w:color w:val="231F20"/>
          <w:spacing w:val="-5"/>
          <w:w w:val="105"/>
        </w:rPr>
        <w:t> </w:t>
      </w:r>
      <w:r>
        <w:rPr>
          <w:color w:val="231F20"/>
          <w:w w:val="105"/>
        </w:rPr>
        <w:t>dos</w:t>
      </w:r>
      <w:r>
        <w:rPr>
          <w:color w:val="231F20"/>
          <w:spacing w:val="-5"/>
          <w:w w:val="105"/>
        </w:rPr>
        <w:t> </w:t>
      </w:r>
      <w:r>
        <w:rPr>
          <w:color w:val="231F20"/>
          <w:w w:val="105"/>
        </w:rPr>
        <w:t>tipos</w:t>
      </w:r>
      <w:r>
        <w:rPr>
          <w:color w:val="231F20"/>
          <w:spacing w:val="-5"/>
          <w:w w:val="105"/>
        </w:rPr>
        <w:t> </w:t>
      </w:r>
      <w:r>
        <w:rPr>
          <w:color w:val="231F20"/>
          <w:w w:val="105"/>
        </w:rPr>
        <w:t>de</w:t>
      </w:r>
      <w:r>
        <w:rPr>
          <w:color w:val="231F20"/>
          <w:spacing w:val="-5"/>
          <w:w w:val="105"/>
        </w:rPr>
        <w:t> </w:t>
      </w:r>
      <w:r>
        <w:rPr>
          <w:color w:val="231F20"/>
          <w:w w:val="105"/>
        </w:rPr>
        <w:t>comunidades se ha ido poco a poco haciendo más igualitario el proceso migratorio entre hombres y mujeres, lo cual debe tener implicaciones importantes en</w:t>
      </w:r>
      <w:r>
        <w:rPr>
          <w:color w:val="231F20"/>
          <w:spacing w:val="-10"/>
          <w:w w:val="105"/>
        </w:rPr>
        <w:t> </w:t>
      </w:r>
      <w:r>
        <w:rPr>
          <w:color w:val="231F20"/>
          <w:w w:val="105"/>
        </w:rPr>
        <w:t>las</w:t>
      </w:r>
      <w:r>
        <w:rPr>
          <w:color w:val="231F20"/>
          <w:spacing w:val="-10"/>
          <w:w w:val="105"/>
        </w:rPr>
        <w:t> </w:t>
      </w:r>
      <w:r>
        <w:rPr>
          <w:color w:val="231F20"/>
          <w:w w:val="105"/>
        </w:rPr>
        <w:t>relaciones</w:t>
      </w:r>
      <w:r>
        <w:rPr>
          <w:color w:val="231F20"/>
          <w:spacing w:val="-10"/>
          <w:w w:val="105"/>
        </w:rPr>
        <w:t> </w:t>
      </w:r>
      <w:r>
        <w:rPr>
          <w:color w:val="231F20"/>
          <w:w w:val="105"/>
        </w:rPr>
        <w:t>de</w:t>
      </w:r>
      <w:r>
        <w:rPr>
          <w:color w:val="231F20"/>
          <w:spacing w:val="-10"/>
          <w:w w:val="105"/>
        </w:rPr>
        <w:t> </w:t>
      </w:r>
      <w:r>
        <w:rPr>
          <w:color w:val="231F20"/>
          <w:w w:val="105"/>
        </w:rPr>
        <w:t>género</w:t>
      </w:r>
      <w:r>
        <w:rPr>
          <w:color w:val="231F20"/>
          <w:spacing w:val="-10"/>
          <w:w w:val="105"/>
        </w:rPr>
        <w:t> </w:t>
      </w:r>
      <w:r>
        <w:rPr>
          <w:color w:val="231F20"/>
          <w:w w:val="105"/>
        </w:rPr>
        <w:t>que</w:t>
      </w:r>
      <w:r>
        <w:rPr>
          <w:color w:val="231F20"/>
          <w:spacing w:val="-10"/>
          <w:w w:val="105"/>
        </w:rPr>
        <w:t> </w:t>
      </w:r>
      <w:r>
        <w:rPr>
          <w:color w:val="231F20"/>
          <w:w w:val="105"/>
        </w:rPr>
        <w:t>deben</w:t>
      </w:r>
      <w:r>
        <w:rPr>
          <w:color w:val="231F20"/>
          <w:spacing w:val="-10"/>
          <w:w w:val="105"/>
        </w:rPr>
        <w:t> </w:t>
      </w:r>
      <w:r>
        <w:rPr>
          <w:color w:val="231F20"/>
          <w:w w:val="105"/>
        </w:rPr>
        <w:t>ser</w:t>
      </w:r>
      <w:r>
        <w:rPr>
          <w:color w:val="231F20"/>
          <w:spacing w:val="-10"/>
          <w:w w:val="105"/>
        </w:rPr>
        <w:t> </w:t>
      </w:r>
      <w:r>
        <w:rPr>
          <w:color w:val="231F20"/>
          <w:w w:val="105"/>
        </w:rPr>
        <w:t>exploradas</w:t>
      </w:r>
      <w:r>
        <w:rPr>
          <w:color w:val="231F20"/>
          <w:spacing w:val="-10"/>
          <w:w w:val="105"/>
        </w:rPr>
        <w:t> </w:t>
      </w:r>
      <w:r>
        <w:rPr>
          <w:color w:val="231F20"/>
          <w:w w:val="105"/>
        </w:rPr>
        <w:t>a</w:t>
      </w:r>
      <w:r>
        <w:rPr>
          <w:color w:val="231F20"/>
          <w:spacing w:val="-10"/>
          <w:w w:val="105"/>
        </w:rPr>
        <w:t> </w:t>
      </w:r>
      <w:r>
        <w:rPr>
          <w:color w:val="231F20"/>
          <w:w w:val="105"/>
        </w:rPr>
        <w:t>profundidad</w:t>
      </w:r>
      <w:r>
        <w:rPr>
          <w:color w:val="231F20"/>
          <w:spacing w:val="-10"/>
          <w:w w:val="105"/>
        </w:rPr>
        <w:t> </w:t>
      </w:r>
      <w:r>
        <w:rPr>
          <w:color w:val="231F20"/>
          <w:w w:val="105"/>
        </w:rPr>
        <w:t>en trabajos</w:t>
      </w:r>
      <w:r>
        <w:rPr>
          <w:color w:val="231F20"/>
          <w:spacing w:val="-37"/>
          <w:w w:val="105"/>
        </w:rPr>
        <w:t> </w:t>
      </w:r>
      <w:r>
        <w:rPr>
          <w:color w:val="231F20"/>
          <w:w w:val="105"/>
        </w:rPr>
        <w:t>futuros.</w:t>
      </w:r>
    </w:p>
    <w:p>
      <w:pPr>
        <w:pStyle w:val="BodyText"/>
        <w:spacing w:line="261" w:lineRule="auto" w:before="1"/>
        <w:ind w:left="1723" w:right="1829" w:firstLine="567"/>
        <w:jc w:val="both"/>
      </w:pPr>
      <w:r>
        <w:rPr>
          <w:color w:val="231F20"/>
          <w:w w:val="105"/>
        </w:rPr>
        <w:t>Finalmente,</w:t>
      </w:r>
      <w:r>
        <w:rPr>
          <w:color w:val="231F20"/>
          <w:spacing w:val="-14"/>
          <w:w w:val="105"/>
        </w:rPr>
        <w:t> </w:t>
      </w:r>
      <w:r>
        <w:rPr>
          <w:color w:val="231F20"/>
          <w:w w:val="105"/>
        </w:rPr>
        <w:t>consideramos</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análisis</w:t>
      </w:r>
      <w:r>
        <w:rPr>
          <w:color w:val="231F20"/>
          <w:spacing w:val="-8"/>
          <w:w w:val="105"/>
        </w:rPr>
        <w:t> </w:t>
      </w:r>
      <w:r>
        <w:rPr>
          <w:color w:val="231F20"/>
          <w:w w:val="105"/>
        </w:rPr>
        <w:t>de</w:t>
      </w:r>
      <w:r>
        <w:rPr>
          <w:color w:val="231F20"/>
          <w:spacing w:val="-8"/>
          <w:w w:val="105"/>
        </w:rPr>
        <w:t> </w:t>
      </w:r>
      <w:r>
        <w:rPr>
          <w:color w:val="231F20"/>
          <w:w w:val="105"/>
        </w:rPr>
        <w:t>migración</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com- posición de las poblaciones migrantes deben tomar en cuenta los</w:t>
      </w:r>
      <w:r>
        <w:rPr>
          <w:color w:val="231F20"/>
          <w:spacing w:val="-24"/>
          <w:w w:val="105"/>
        </w:rPr>
        <w:t> </w:t>
      </w:r>
      <w:r>
        <w:rPr>
          <w:color w:val="231F20"/>
          <w:w w:val="105"/>
        </w:rPr>
        <w:t>cam- bios en la distribución de la población, la metropolización de la</w:t>
      </w:r>
      <w:r>
        <w:rPr>
          <w:color w:val="231F20"/>
          <w:spacing w:val="-18"/>
          <w:w w:val="105"/>
        </w:rPr>
        <w:t> </w:t>
      </w:r>
      <w:r>
        <w:rPr>
          <w:color w:val="231F20"/>
          <w:w w:val="105"/>
        </w:rPr>
        <w:t>entidad, y</w:t>
      </w:r>
      <w:r>
        <w:rPr>
          <w:color w:val="231F20"/>
          <w:spacing w:val="-20"/>
          <w:w w:val="105"/>
        </w:rPr>
        <w:t> </w:t>
      </w:r>
      <w:r>
        <w:rPr>
          <w:color w:val="231F20"/>
          <w:w w:val="105"/>
        </w:rPr>
        <w:t>los</w:t>
      </w:r>
      <w:r>
        <w:rPr>
          <w:color w:val="231F20"/>
          <w:spacing w:val="-20"/>
          <w:w w:val="105"/>
        </w:rPr>
        <w:t> </w:t>
      </w:r>
      <w:r>
        <w:rPr>
          <w:color w:val="231F20"/>
          <w:w w:val="105"/>
        </w:rPr>
        <w:t>cambios</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dinámicas</w:t>
      </w:r>
      <w:r>
        <w:rPr>
          <w:color w:val="231F20"/>
          <w:spacing w:val="-20"/>
          <w:w w:val="105"/>
        </w:rPr>
        <w:t> </w:t>
      </w:r>
      <w:r>
        <w:rPr>
          <w:color w:val="231F20"/>
          <w:w w:val="105"/>
        </w:rPr>
        <w:t>migratorias</w:t>
      </w:r>
      <w:r>
        <w:rPr>
          <w:color w:val="231F20"/>
          <w:spacing w:val="-20"/>
          <w:w w:val="105"/>
        </w:rPr>
        <w:t> </w:t>
      </w:r>
      <w:r>
        <w:rPr>
          <w:color w:val="231F20"/>
          <w:w w:val="105"/>
        </w:rPr>
        <w:t>de</w:t>
      </w:r>
      <w:r>
        <w:rPr>
          <w:color w:val="231F20"/>
          <w:spacing w:val="-20"/>
          <w:w w:val="105"/>
        </w:rPr>
        <w:t> </w:t>
      </w:r>
      <w:r>
        <w:rPr>
          <w:color w:val="231F20"/>
          <w:w w:val="105"/>
        </w:rPr>
        <w:t>hombres</w:t>
      </w:r>
      <w:r>
        <w:rPr>
          <w:color w:val="231F20"/>
          <w:spacing w:val="-20"/>
          <w:w w:val="105"/>
        </w:rPr>
        <w:t> </w:t>
      </w:r>
      <w:r>
        <w:rPr>
          <w:color w:val="231F20"/>
          <w:w w:val="105"/>
        </w:rPr>
        <w:t>y</w:t>
      </w:r>
      <w:r>
        <w:rPr>
          <w:color w:val="231F20"/>
          <w:spacing w:val="-20"/>
          <w:w w:val="105"/>
        </w:rPr>
        <w:t> </w:t>
      </w:r>
      <w:r>
        <w:rPr>
          <w:color w:val="231F20"/>
          <w:w w:val="105"/>
        </w:rPr>
        <w:t>mujeres.</w:t>
      </w:r>
    </w:p>
    <w:p>
      <w:pPr>
        <w:pStyle w:val="BodyText"/>
        <w:rPr>
          <w:sz w:val="20"/>
        </w:rPr>
      </w:pPr>
    </w:p>
    <w:p>
      <w:pPr>
        <w:pStyle w:val="BodyText"/>
        <w:spacing w:before="9"/>
        <w:rPr>
          <w:sz w:val="20"/>
        </w:rPr>
      </w:pPr>
    </w:p>
    <w:p>
      <w:pPr>
        <w:pStyle w:val="Heading3"/>
        <w:ind w:left="1723" w:right="6753"/>
        <w:jc w:val="left"/>
      </w:pPr>
      <w:r>
        <w:rPr>
          <w:color w:val="231F20"/>
        </w:rPr>
        <w:t>Bibliografía</w:t>
      </w:r>
    </w:p>
    <w:p>
      <w:pPr>
        <w:pStyle w:val="BodyText"/>
        <w:rPr>
          <w:rFonts w:ascii="Arial"/>
          <w:b/>
          <w:sz w:val="22"/>
        </w:rPr>
      </w:pPr>
    </w:p>
    <w:p>
      <w:pPr>
        <w:pStyle w:val="BodyText"/>
        <w:spacing w:line="261" w:lineRule="auto" w:before="163"/>
        <w:ind w:left="2461" w:right="1828" w:hanging="738"/>
        <w:jc w:val="both"/>
      </w:pPr>
      <w:r>
        <w:rPr>
          <w:color w:val="231F20"/>
        </w:rPr>
        <w:t>Baca Tavira, Norma, (2009), “Migración y gobierno. Atención a migrantes internacionales en el Estado de México”, </w:t>
      </w:r>
      <w:r>
        <w:rPr>
          <w:rFonts w:ascii="Arial" w:hAnsi="Arial"/>
          <w:i/>
          <w:color w:val="231F20"/>
        </w:rPr>
        <w:t>Revista Gaceta Laboral</w:t>
      </w:r>
      <w:r>
        <w:rPr>
          <w:color w:val="231F20"/>
        </w:rPr>
        <w:t>, vol. 15, núm. 3.</w:t>
      </w:r>
    </w:p>
    <w:p>
      <w:pPr>
        <w:pStyle w:val="BodyText"/>
        <w:spacing w:line="259" w:lineRule="auto" w:before="1"/>
        <w:ind w:left="2461" w:right="1835" w:hanging="738"/>
        <w:jc w:val="both"/>
      </w:pPr>
      <w:r>
        <w:rPr>
          <w:color w:val="231F20"/>
          <w:w w:val="105"/>
        </w:rPr>
        <w:t>Boyd,</w:t>
      </w:r>
      <w:r>
        <w:rPr>
          <w:color w:val="231F20"/>
          <w:spacing w:val="-28"/>
          <w:w w:val="105"/>
        </w:rPr>
        <w:t> </w:t>
      </w:r>
      <w:r>
        <w:rPr>
          <w:color w:val="231F20"/>
          <w:w w:val="105"/>
        </w:rPr>
        <w:t>Monica,</w:t>
      </w:r>
      <w:r>
        <w:rPr>
          <w:color w:val="231F20"/>
          <w:spacing w:val="-28"/>
          <w:w w:val="105"/>
        </w:rPr>
        <w:t> </w:t>
      </w:r>
      <w:r>
        <w:rPr>
          <w:color w:val="231F20"/>
          <w:w w:val="105"/>
        </w:rPr>
        <w:t>(1989),</w:t>
      </w:r>
      <w:r>
        <w:rPr>
          <w:color w:val="231F20"/>
          <w:spacing w:val="-28"/>
          <w:w w:val="105"/>
        </w:rPr>
        <w:t> </w:t>
      </w:r>
      <w:r>
        <w:rPr>
          <w:color w:val="231F20"/>
          <w:w w:val="105"/>
        </w:rPr>
        <w:t>“Family</w:t>
      </w:r>
      <w:r>
        <w:rPr>
          <w:color w:val="231F20"/>
          <w:spacing w:val="-25"/>
          <w:w w:val="105"/>
        </w:rPr>
        <w:t> </w:t>
      </w:r>
      <w:r>
        <w:rPr>
          <w:color w:val="231F20"/>
          <w:w w:val="105"/>
        </w:rPr>
        <w:t>and</w:t>
      </w:r>
      <w:r>
        <w:rPr>
          <w:color w:val="231F20"/>
          <w:spacing w:val="-25"/>
          <w:w w:val="105"/>
        </w:rPr>
        <w:t> </w:t>
      </w:r>
      <w:r>
        <w:rPr>
          <w:color w:val="231F20"/>
          <w:w w:val="105"/>
        </w:rPr>
        <w:t>Personal</w:t>
      </w:r>
      <w:r>
        <w:rPr>
          <w:color w:val="231F20"/>
          <w:spacing w:val="-25"/>
          <w:w w:val="105"/>
        </w:rPr>
        <w:t> </w:t>
      </w:r>
      <w:r>
        <w:rPr>
          <w:color w:val="231F20"/>
          <w:w w:val="105"/>
        </w:rPr>
        <w:t>Networks</w:t>
      </w:r>
      <w:r>
        <w:rPr>
          <w:color w:val="231F20"/>
          <w:spacing w:val="-25"/>
          <w:w w:val="105"/>
        </w:rPr>
        <w:t> </w:t>
      </w:r>
      <w:r>
        <w:rPr>
          <w:color w:val="231F20"/>
          <w:w w:val="105"/>
        </w:rPr>
        <w:t>in</w:t>
      </w:r>
      <w:r>
        <w:rPr>
          <w:color w:val="231F20"/>
          <w:spacing w:val="-25"/>
          <w:w w:val="105"/>
        </w:rPr>
        <w:t> </w:t>
      </w:r>
      <w:r>
        <w:rPr>
          <w:color w:val="231F20"/>
          <w:w w:val="105"/>
        </w:rPr>
        <w:t>International</w:t>
      </w:r>
      <w:r>
        <w:rPr>
          <w:color w:val="231F20"/>
          <w:spacing w:val="-25"/>
          <w:w w:val="105"/>
        </w:rPr>
        <w:t> </w:t>
      </w:r>
      <w:r>
        <w:rPr>
          <w:color w:val="231F20"/>
          <w:w w:val="105"/>
        </w:rPr>
        <w:t>Mi- gration: Recent Developments and New </w:t>
      </w:r>
      <w:r>
        <w:rPr>
          <w:color w:val="231F20"/>
          <w:spacing w:val="-3"/>
          <w:w w:val="105"/>
        </w:rPr>
        <w:t>Agendas”,</w:t>
      </w:r>
      <w:r>
        <w:rPr>
          <w:color w:val="231F20"/>
          <w:spacing w:val="-25"/>
          <w:w w:val="105"/>
        </w:rPr>
        <w:t> </w:t>
      </w:r>
      <w:r>
        <w:rPr>
          <w:rFonts w:ascii="Arial" w:hAnsi="Arial"/>
          <w:i/>
          <w:color w:val="231F20"/>
          <w:w w:val="105"/>
        </w:rPr>
        <w:t>International </w:t>
      </w:r>
      <w:r>
        <w:rPr>
          <w:rFonts w:ascii="Arial" w:hAnsi="Arial"/>
          <w:i/>
          <w:color w:val="231F20"/>
          <w:w w:val="105"/>
        </w:rPr>
        <w:t>Migration</w:t>
      </w:r>
      <w:r>
        <w:rPr>
          <w:rFonts w:ascii="Arial" w:hAnsi="Arial"/>
          <w:i/>
          <w:color w:val="231F20"/>
          <w:spacing w:val="-35"/>
          <w:w w:val="105"/>
        </w:rPr>
        <w:t> </w:t>
      </w:r>
      <w:r>
        <w:rPr>
          <w:rFonts w:ascii="Arial" w:hAnsi="Arial"/>
          <w:i/>
          <w:color w:val="231F20"/>
          <w:w w:val="105"/>
        </w:rPr>
        <w:t>Review</w:t>
      </w:r>
      <w:r>
        <w:rPr>
          <w:color w:val="231F20"/>
          <w:w w:val="105"/>
        </w:rPr>
        <w:t>,</w:t>
      </w:r>
      <w:r>
        <w:rPr>
          <w:color w:val="231F20"/>
          <w:spacing w:val="-36"/>
          <w:w w:val="105"/>
        </w:rPr>
        <w:t> </w:t>
      </w:r>
      <w:r>
        <w:rPr>
          <w:color w:val="231F20"/>
          <w:w w:val="105"/>
        </w:rPr>
        <w:t>núm.</w:t>
      </w:r>
      <w:r>
        <w:rPr>
          <w:color w:val="231F20"/>
          <w:spacing w:val="-36"/>
          <w:w w:val="105"/>
        </w:rPr>
        <w:t> </w:t>
      </w:r>
      <w:r>
        <w:rPr>
          <w:color w:val="231F20"/>
          <w:w w:val="105"/>
        </w:rPr>
        <w:t>23.</w:t>
      </w:r>
    </w:p>
    <w:p>
      <w:pPr>
        <w:spacing w:line="259" w:lineRule="auto" w:before="0"/>
        <w:ind w:left="2461" w:right="1830" w:hanging="738"/>
        <w:jc w:val="both"/>
        <w:rPr>
          <w:sz w:val="21"/>
        </w:rPr>
      </w:pPr>
      <w:r>
        <w:rPr>
          <w:color w:val="231F20"/>
          <w:w w:val="105"/>
          <w:sz w:val="21"/>
        </w:rPr>
        <w:t>Castles, Stephen, De Haas, Hein y Miller, Mark, (2009), </w:t>
      </w:r>
      <w:r>
        <w:rPr>
          <w:rFonts w:ascii="Arial"/>
          <w:i/>
          <w:color w:val="231F20"/>
          <w:w w:val="105"/>
          <w:sz w:val="21"/>
        </w:rPr>
        <w:t>The Age of Mi- </w:t>
      </w:r>
      <w:r>
        <w:rPr>
          <w:rFonts w:ascii="Arial"/>
          <w:i/>
          <w:color w:val="231F20"/>
          <w:w w:val="105"/>
          <w:sz w:val="21"/>
        </w:rPr>
        <w:t>gration</w:t>
      </w:r>
      <w:r>
        <w:rPr>
          <w:rFonts w:ascii="Arial"/>
          <w:i/>
          <w:color w:val="231F20"/>
          <w:spacing w:val="-26"/>
          <w:w w:val="105"/>
          <w:sz w:val="21"/>
        </w:rPr>
        <w:t> </w:t>
      </w:r>
      <w:r>
        <w:rPr>
          <w:rFonts w:ascii="Arial"/>
          <w:i/>
          <w:color w:val="231F20"/>
          <w:w w:val="105"/>
          <w:sz w:val="21"/>
        </w:rPr>
        <w:t>International</w:t>
      </w:r>
      <w:r>
        <w:rPr>
          <w:rFonts w:ascii="Arial"/>
          <w:i/>
          <w:color w:val="231F20"/>
          <w:spacing w:val="-26"/>
          <w:w w:val="105"/>
          <w:sz w:val="21"/>
        </w:rPr>
        <w:t> </w:t>
      </w:r>
      <w:r>
        <w:rPr>
          <w:rFonts w:ascii="Arial"/>
          <w:i/>
          <w:color w:val="231F20"/>
          <w:w w:val="105"/>
          <w:sz w:val="21"/>
        </w:rPr>
        <w:t>Population</w:t>
      </w:r>
      <w:r>
        <w:rPr>
          <w:rFonts w:ascii="Arial"/>
          <w:i/>
          <w:color w:val="231F20"/>
          <w:spacing w:val="-26"/>
          <w:w w:val="105"/>
          <w:sz w:val="21"/>
        </w:rPr>
        <w:t> </w:t>
      </w:r>
      <w:r>
        <w:rPr>
          <w:rFonts w:ascii="Arial"/>
          <w:i/>
          <w:color w:val="231F20"/>
          <w:w w:val="105"/>
          <w:sz w:val="21"/>
        </w:rPr>
        <w:t>Movements</w:t>
      </w:r>
      <w:r>
        <w:rPr>
          <w:rFonts w:ascii="Arial"/>
          <w:i/>
          <w:color w:val="231F20"/>
          <w:spacing w:val="-26"/>
          <w:w w:val="105"/>
          <w:sz w:val="21"/>
        </w:rPr>
        <w:t> </w:t>
      </w:r>
      <w:r>
        <w:rPr>
          <w:rFonts w:ascii="Arial"/>
          <w:i/>
          <w:color w:val="231F20"/>
          <w:w w:val="105"/>
          <w:sz w:val="21"/>
        </w:rPr>
        <w:t>in</w:t>
      </w:r>
      <w:r>
        <w:rPr>
          <w:rFonts w:ascii="Arial"/>
          <w:i/>
          <w:color w:val="231F20"/>
          <w:spacing w:val="-26"/>
          <w:w w:val="105"/>
          <w:sz w:val="21"/>
        </w:rPr>
        <w:t> </w:t>
      </w:r>
      <w:r>
        <w:rPr>
          <w:rFonts w:ascii="Arial"/>
          <w:i/>
          <w:color w:val="231F20"/>
          <w:w w:val="105"/>
          <w:sz w:val="21"/>
        </w:rPr>
        <w:t>the</w:t>
      </w:r>
      <w:r>
        <w:rPr>
          <w:rFonts w:ascii="Arial"/>
          <w:i/>
          <w:color w:val="231F20"/>
          <w:spacing w:val="-26"/>
          <w:w w:val="105"/>
          <w:sz w:val="21"/>
        </w:rPr>
        <w:t> </w:t>
      </w:r>
      <w:r>
        <w:rPr>
          <w:rFonts w:ascii="Arial"/>
          <w:i/>
          <w:color w:val="231F20"/>
          <w:w w:val="105"/>
          <w:sz w:val="21"/>
        </w:rPr>
        <w:t>Modern</w:t>
      </w:r>
      <w:r>
        <w:rPr>
          <w:rFonts w:ascii="Arial"/>
          <w:i/>
          <w:color w:val="231F20"/>
          <w:spacing w:val="-28"/>
          <w:w w:val="105"/>
          <w:sz w:val="21"/>
        </w:rPr>
        <w:t> </w:t>
      </w:r>
      <w:r>
        <w:rPr>
          <w:rFonts w:ascii="Arial"/>
          <w:i/>
          <w:color w:val="231F20"/>
          <w:w w:val="105"/>
          <w:sz w:val="21"/>
        </w:rPr>
        <w:t>World, </w:t>
      </w:r>
      <w:r>
        <w:rPr>
          <w:color w:val="231F20"/>
          <w:w w:val="105"/>
          <w:sz w:val="21"/>
        </w:rPr>
        <w:t>New</w:t>
      </w:r>
      <w:r>
        <w:rPr>
          <w:color w:val="231F20"/>
          <w:spacing w:val="-31"/>
          <w:w w:val="105"/>
          <w:sz w:val="21"/>
        </w:rPr>
        <w:t> </w:t>
      </w:r>
      <w:r>
        <w:rPr>
          <w:color w:val="231F20"/>
          <w:spacing w:val="-4"/>
          <w:w w:val="105"/>
          <w:sz w:val="21"/>
        </w:rPr>
        <w:t>York:</w:t>
      </w:r>
      <w:r>
        <w:rPr>
          <w:color w:val="231F20"/>
          <w:spacing w:val="-31"/>
          <w:w w:val="105"/>
          <w:sz w:val="21"/>
        </w:rPr>
        <w:t> </w:t>
      </w:r>
      <w:r>
        <w:rPr>
          <w:color w:val="231F20"/>
          <w:w w:val="105"/>
          <w:sz w:val="21"/>
        </w:rPr>
        <w:t>The</w:t>
      </w:r>
      <w:r>
        <w:rPr>
          <w:color w:val="231F20"/>
          <w:spacing w:val="-28"/>
          <w:w w:val="105"/>
          <w:sz w:val="21"/>
        </w:rPr>
        <w:t> </w:t>
      </w:r>
      <w:r>
        <w:rPr>
          <w:color w:val="231F20"/>
          <w:w w:val="105"/>
          <w:sz w:val="21"/>
        </w:rPr>
        <w:t>Guildford</w:t>
      </w:r>
      <w:r>
        <w:rPr>
          <w:color w:val="231F20"/>
          <w:spacing w:val="-28"/>
          <w:w w:val="105"/>
          <w:sz w:val="21"/>
        </w:rPr>
        <w:t> </w:t>
      </w:r>
      <w:r>
        <w:rPr>
          <w:color w:val="231F20"/>
          <w:spacing w:val="-3"/>
          <w:w w:val="105"/>
          <w:sz w:val="21"/>
        </w:rPr>
        <w:t>Press.</w:t>
      </w:r>
    </w:p>
    <w:p>
      <w:pPr>
        <w:spacing w:line="259" w:lineRule="auto" w:before="0"/>
        <w:ind w:left="2460" w:right="1835" w:hanging="737"/>
        <w:jc w:val="both"/>
        <w:rPr>
          <w:sz w:val="21"/>
        </w:rPr>
      </w:pPr>
      <w:r>
        <w:rPr>
          <w:color w:val="231F20"/>
          <w:sz w:val="21"/>
        </w:rPr>
        <w:t>Consejo Nacional de Población (</w:t>
      </w:r>
      <w:r>
        <w:rPr>
          <w:color w:val="231F20"/>
          <w:sz w:val="17"/>
        </w:rPr>
        <w:t>CONAPO</w:t>
      </w:r>
      <w:r>
        <w:rPr>
          <w:color w:val="231F20"/>
          <w:sz w:val="21"/>
        </w:rPr>
        <w:t>), (2002), </w:t>
      </w:r>
      <w:r>
        <w:rPr>
          <w:rFonts w:ascii="Arial" w:hAnsi="Arial"/>
          <w:i/>
          <w:color w:val="231F20"/>
          <w:sz w:val="21"/>
        </w:rPr>
        <w:t>Índices de intensidad </w:t>
      </w:r>
      <w:r>
        <w:rPr>
          <w:rFonts w:ascii="Arial" w:hAnsi="Arial"/>
          <w:i/>
          <w:color w:val="231F20"/>
          <w:sz w:val="21"/>
        </w:rPr>
        <w:t>migratoria México-Estados Unidos, 2000, </w:t>
      </w:r>
      <w:r>
        <w:rPr>
          <w:color w:val="231F20"/>
          <w:sz w:val="21"/>
        </w:rPr>
        <w:t>México:  </w:t>
      </w:r>
      <w:r>
        <w:rPr>
          <w:color w:val="231F20"/>
          <w:sz w:val="17"/>
        </w:rPr>
        <w:t>CONAPO</w:t>
      </w:r>
      <w:r>
        <w:rPr>
          <w:color w:val="231F20"/>
          <w:sz w:val="21"/>
        </w:rPr>
        <w:t>.</w:t>
      </w:r>
    </w:p>
    <w:p>
      <w:pPr>
        <w:tabs>
          <w:tab w:pos="2563" w:val="left" w:leader="none"/>
        </w:tabs>
        <w:spacing w:line="259" w:lineRule="auto" w:before="0"/>
        <w:ind w:left="2461" w:right="1828" w:hanging="738"/>
        <w:jc w:val="both"/>
        <w:rPr>
          <w:sz w:val="21"/>
        </w:rPr>
      </w:pPr>
      <w:r>
        <w:rPr>
          <w:color w:val="231F20"/>
          <w:w w:val="94"/>
          <w:sz w:val="21"/>
          <w:u w:val="single" w:color="221E1F"/>
        </w:rPr>
        <w:t> </w:t>
      </w:r>
      <w:r>
        <w:rPr>
          <w:color w:val="231F20"/>
          <w:sz w:val="21"/>
          <w:u w:val="single" w:color="221E1F"/>
        </w:rPr>
        <w:tab/>
        <w:tab/>
      </w:r>
      <w:r>
        <w:rPr>
          <w:color w:val="231F20"/>
          <w:spacing w:val="-14"/>
          <w:sz w:val="21"/>
        </w:rPr>
        <w:t> </w:t>
      </w:r>
      <w:r>
        <w:rPr>
          <w:color w:val="231F20"/>
          <w:sz w:val="21"/>
        </w:rPr>
        <w:t>(2012), </w:t>
      </w:r>
      <w:r>
        <w:rPr>
          <w:rFonts w:ascii="Arial" w:hAnsi="Arial"/>
          <w:i/>
          <w:color w:val="231F20"/>
          <w:sz w:val="21"/>
        </w:rPr>
        <w:t>Índices de intensidad migratoria</w:t>
      </w:r>
      <w:r>
        <w:rPr>
          <w:rFonts w:ascii="Arial" w:hAnsi="Arial"/>
          <w:i/>
          <w:color w:val="231F20"/>
          <w:spacing w:val="24"/>
          <w:sz w:val="21"/>
        </w:rPr>
        <w:t> </w:t>
      </w:r>
      <w:r>
        <w:rPr>
          <w:rFonts w:ascii="Arial" w:hAnsi="Arial"/>
          <w:i/>
          <w:color w:val="231F20"/>
          <w:sz w:val="21"/>
        </w:rPr>
        <w:t>México-Estados</w:t>
      </w:r>
      <w:r>
        <w:rPr>
          <w:rFonts w:ascii="Arial" w:hAnsi="Arial"/>
          <w:i/>
          <w:color w:val="231F20"/>
          <w:spacing w:val="4"/>
          <w:sz w:val="21"/>
        </w:rPr>
        <w:t> </w:t>
      </w:r>
      <w:r>
        <w:rPr>
          <w:rFonts w:ascii="Arial" w:hAnsi="Arial"/>
          <w:i/>
          <w:color w:val="231F20"/>
          <w:sz w:val="21"/>
        </w:rPr>
        <w:t>Unidos,</w:t>
      </w:r>
      <w:r>
        <w:rPr>
          <w:rFonts w:ascii="Arial" w:hAnsi="Arial"/>
          <w:i/>
          <w:color w:val="231F20"/>
          <w:w w:val="102"/>
          <w:sz w:val="21"/>
        </w:rPr>
        <w:t> </w:t>
      </w:r>
      <w:r>
        <w:rPr>
          <w:rFonts w:ascii="Arial" w:hAnsi="Arial"/>
          <w:i/>
          <w:color w:val="231F20"/>
          <w:sz w:val="21"/>
        </w:rPr>
        <w:t>2010, </w:t>
      </w:r>
      <w:r>
        <w:rPr>
          <w:color w:val="231F20"/>
          <w:sz w:val="21"/>
        </w:rPr>
        <w:t>México:</w:t>
      </w:r>
      <w:r>
        <w:rPr>
          <w:color w:val="231F20"/>
          <w:spacing w:val="44"/>
          <w:sz w:val="21"/>
        </w:rPr>
        <w:t> </w:t>
      </w:r>
      <w:r>
        <w:rPr>
          <w:color w:val="231F20"/>
          <w:sz w:val="17"/>
        </w:rPr>
        <w:t>CONAPO</w:t>
      </w:r>
      <w:r>
        <w:rPr>
          <w:color w:val="231F20"/>
          <w:sz w:val="21"/>
        </w:rPr>
        <w:t>.</w:t>
      </w:r>
    </w:p>
    <w:p>
      <w:pPr>
        <w:pStyle w:val="BodyText"/>
        <w:rPr>
          <w:sz w:val="20"/>
        </w:rPr>
      </w:pPr>
    </w:p>
    <w:p>
      <w:pPr>
        <w:pStyle w:val="BodyText"/>
        <w:rPr>
          <w:sz w:val="20"/>
        </w:rPr>
      </w:pPr>
    </w:p>
    <w:p>
      <w:pPr>
        <w:pStyle w:val="BodyText"/>
        <w:spacing w:before="1"/>
        <w:rPr>
          <w:sz w:val="1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55344" from="131.551193pt,3.753715pt" to="131.551193pt,39.556114pt" stroked="true" strokeweight=".35pt" strokecolor="#231f20">
            <w10:wrap type="none"/>
          </v:line>
        </w:pict>
      </w:r>
      <w:r>
        <w:rPr/>
        <w:pict>
          <v:line style="position:absolute;mso-position-horizontal-relative:page;mso-position-vertical-relative:paragraph;z-index:-455272" from="15pt,39.555916pt" to="0pt,39.555916pt" stroked="true" strokeweight=".25pt" strokecolor="#000000">
            <w10:wrap type="none"/>
          </v:line>
        </w:pict>
      </w:r>
      <w:r>
        <w:rPr/>
        <w:pict>
          <v:line style="position:absolute;mso-position-horizontal-relative:page;mso-position-vertical-relative:paragraph;z-index:34936" from="508.890015pt,39.555916pt" to="523.890015pt,39.555916pt" stroked="true" strokeweight=".25pt" strokecolor="#000000">
            <w10:wrap type="none"/>
          </v:line>
        </w:pict>
      </w:r>
      <w:r>
        <w:rPr>
          <w:rFonts w:ascii="Arial" w:hAnsi="Arial"/>
          <w:color w:val="414042"/>
          <w:position w:val="-5"/>
          <w:sz w:val="20"/>
        </w:rPr>
        <w:t>282</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3416" w:right="-8" w:firstLine="0"/>
        <w:jc w:val="left"/>
        <w:rPr>
          <w:rFonts w:ascii="Lucida Sans Unicode"/>
          <w:sz w:val="14"/>
        </w:rPr>
      </w:pPr>
      <w:r>
        <w:rPr/>
        <w:pict>
          <v:line style="position:absolute;mso-position-horizontal-relative:page;mso-position-vertical-relative:paragraph;z-index:34960" from="405.061005pt,-27.904295pt" to="405.061005pt,6.961579pt" stroked="true" strokeweight=".35pt" strokecolor="#231f20">
            <w10:wrap type="none"/>
          </v:line>
        </w:pict>
      </w:r>
      <w:r>
        <w:rPr/>
        <w:pict>
          <v:line style="position:absolute;mso-position-horizontal-relative:page;mso-position-vertical-relative:paragraph;z-index:34984" from="15pt,-27.90452pt" to="0pt,-27.90452pt" stroked="true" strokeweight=".25pt" strokecolor="#000000">
            <w10:wrap type="none"/>
          </v:line>
        </w:pict>
      </w:r>
      <w:r>
        <w:rPr/>
        <w:pict>
          <v:line style="position:absolute;mso-position-horizontal-relative:page;mso-position-vertical-relative:paragraph;z-index:35008" from="508.890015pt,-27.90452pt" to="523.890015pt,-27.90452pt" stroked="true" strokeweight=".25pt" strokecolor="#000000">
            <w10:wrap type="none"/>
          </v:line>
        </w:pict>
      </w:r>
      <w:r>
        <w:rPr>
          <w:rFonts w:ascii="Lucida Sans Unicode"/>
          <w:color w:val="6D6E71"/>
          <w:w w:val="90"/>
          <w:sz w:val="14"/>
        </w:rPr>
        <w:t>CAMBIOS Y CONTINUIDADES EN EL PROCESO MIGRATORIO DE LAS</w:t>
      </w:r>
      <w:r>
        <w:rPr>
          <w:rFonts w:ascii="Lucida Sans Unicode"/>
          <w:color w:val="6D6E71"/>
          <w:spacing w:val="-28"/>
          <w:w w:val="90"/>
          <w:sz w:val="14"/>
        </w:rPr>
        <w:t> </w:t>
      </w:r>
      <w:r>
        <w:rPr>
          <w:rFonts w:ascii="Lucida Sans Unicode"/>
          <w:color w:val="6D6E71"/>
          <w:w w:val="90"/>
          <w:sz w:val="14"/>
        </w:rPr>
        <w:t>MUJERES</w:t>
      </w:r>
    </w:p>
    <w:p>
      <w:pPr>
        <w:spacing w:line="198" w:lineRule="exact" w:before="0"/>
        <w:ind w:left="5254" w:right="-11" w:firstLine="0"/>
        <w:jc w:val="left"/>
        <w:rPr>
          <w:rFonts w:ascii="Lucida Sans Unicode" w:hAnsi="Lucida Sans Unicode"/>
          <w:sz w:val="14"/>
        </w:rPr>
      </w:pPr>
      <w:r>
        <w:rPr>
          <w:rFonts w:ascii="Lucida Sans Unicode" w:hAnsi="Lucida Sans Unicode"/>
          <w:color w:val="6D6E71"/>
          <w:w w:val="90"/>
          <w:sz w:val="14"/>
        </w:rPr>
        <w:t>DEL ESTADO DE MÉXICO A ESTADOS</w:t>
      </w:r>
      <w:r>
        <w:rPr>
          <w:rFonts w:ascii="Lucida Sans Unicode" w:hAnsi="Lucida Sans Unicode"/>
          <w:color w:val="6D6E71"/>
          <w:spacing w:val="-13"/>
          <w:w w:val="90"/>
          <w:sz w:val="14"/>
        </w:rPr>
        <w:t> </w:t>
      </w:r>
      <w:r>
        <w:rPr>
          <w:rFonts w:ascii="Lucida Sans Unicode" w:hAnsi="Lucida Sans Unicode"/>
          <w:color w:val="6D6E71"/>
          <w:w w:val="90"/>
          <w:sz w:val="14"/>
        </w:rPr>
        <w:t>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283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tabs>
          <w:tab w:pos="2677" w:val="left" w:leader="none"/>
        </w:tabs>
        <w:spacing w:line="261" w:lineRule="auto" w:before="57"/>
        <w:ind w:left="2574" w:right="1716" w:hanging="738"/>
        <w:jc w:val="both"/>
        <w:rPr>
          <w:sz w:val="21"/>
        </w:rPr>
      </w:pPr>
      <w:r>
        <w:rPr>
          <w:color w:val="231F20"/>
          <w:w w:val="94"/>
          <w:sz w:val="21"/>
          <w:u w:val="single" w:color="221E1F"/>
        </w:rPr>
        <w:t> </w:t>
      </w:r>
      <w:r>
        <w:rPr>
          <w:color w:val="231F20"/>
          <w:sz w:val="21"/>
          <w:u w:val="single" w:color="221E1F"/>
        </w:rPr>
        <w:tab/>
        <w:tab/>
      </w:r>
      <w:r>
        <w:rPr>
          <w:color w:val="231F20"/>
          <w:sz w:val="21"/>
        </w:rPr>
        <w:t> </w:t>
      </w:r>
      <w:r>
        <w:rPr>
          <w:color w:val="231F20"/>
          <w:spacing w:val="-3"/>
          <w:sz w:val="21"/>
        </w:rPr>
        <w:t> </w:t>
      </w:r>
      <w:r>
        <w:rPr>
          <w:color w:val="231F20"/>
          <w:w w:val="105"/>
          <w:sz w:val="21"/>
        </w:rPr>
        <w:t>(2013), </w:t>
      </w:r>
      <w:r>
        <w:rPr>
          <w:rFonts w:ascii="Arial" w:hAnsi="Arial"/>
          <w:i/>
          <w:color w:val="231F20"/>
          <w:w w:val="105"/>
          <w:sz w:val="21"/>
        </w:rPr>
        <w:t>La migración femenina mexicana a </w:t>
      </w:r>
      <w:r>
        <w:rPr>
          <w:rFonts w:ascii="Arial" w:hAnsi="Arial"/>
          <w:i/>
          <w:color w:val="231F20"/>
          <w:spacing w:val="45"/>
          <w:w w:val="105"/>
          <w:sz w:val="21"/>
        </w:rPr>
        <w:t> </w:t>
      </w:r>
      <w:r>
        <w:rPr>
          <w:rFonts w:ascii="Arial" w:hAnsi="Arial"/>
          <w:i/>
          <w:color w:val="231F20"/>
          <w:w w:val="105"/>
          <w:sz w:val="21"/>
        </w:rPr>
        <w:t>Estados</w:t>
      </w:r>
      <w:r>
        <w:rPr>
          <w:rFonts w:ascii="Arial" w:hAnsi="Arial"/>
          <w:i/>
          <w:color w:val="231F20"/>
          <w:spacing w:val="18"/>
          <w:w w:val="105"/>
          <w:sz w:val="21"/>
        </w:rPr>
        <w:t> </w:t>
      </w:r>
      <w:r>
        <w:rPr>
          <w:rFonts w:ascii="Arial" w:hAnsi="Arial"/>
          <w:i/>
          <w:color w:val="231F20"/>
          <w:w w:val="105"/>
          <w:sz w:val="21"/>
        </w:rPr>
        <w:t>Unidos.</w:t>
      </w:r>
      <w:r>
        <w:rPr>
          <w:rFonts w:ascii="Arial" w:hAnsi="Arial"/>
          <w:i/>
          <w:color w:val="231F20"/>
          <w:w w:val="102"/>
          <w:sz w:val="21"/>
        </w:rPr>
        <w:t> </w:t>
      </w:r>
      <w:r>
        <w:rPr>
          <w:rFonts w:ascii="Arial" w:hAnsi="Arial"/>
          <w:i/>
          <w:color w:val="231F20"/>
          <w:spacing w:val="-3"/>
          <w:w w:val="105"/>
          <w:sz w:val="21"/>
        </w:rPr>
        <w:t>Tendencias </w:t>
      </w:r>
      <w:r>
        <w:rPr>
          <w:rFonts w:ascii="Arial" w:hAnsi="Arial"/>
          <w:i/>
          <w:color w:val="231F20"/>
          <w:w w:val="105"/>
          <w:sz w:val="21"/>
        </w:rPr>
        <w:t>actuales, </w:t>
      </w:r>
      <w:r>
        <w:rPr>
          <w:color w:val="231F20"/>
          <w:w w:val="105"/>
          <w:sz w:val="21"/>
        </w:rPr>
        <w:t>recuperado de </w:t>
      </w:r>
      <w:hyperlink r:id="rId327">
        <w:r>
          <w:rPr>
            <w:color w:val="231F20"/>
            <w:w w:val="105"/>
            <w:sz w:val="21"/>
          </w:rPr>
          <w:t>http://www.conapo.gob.</w:t>
        </w:r>
      </w:hyperlink>
      <w:r>
        <w:rPr>
          <w:color w:val="231F20"/>
          <w:w w:val="105"/>
          <w:sz w:val="21"/>
        </w:rPr>
        <w:t> </w:t>
      </w:r>
      <w:r>
        <w:rPr>
          <w:color w:val="231F20"/>
          <w:spacing w:val="4"/>
          <w:w w:val="105"/>
          <w:sz w:val="21"/>
        </w:rPr>
        <w:t>mx/work/models/OMI/Resource/652/1/images/boletinMigra- </w:t>
      </w:r>
      <w:r>
        <w:rPr>
          <w:color w:val="231F20"/>
          <w:w w:val="105"/>
          <w:sz w:val="21"/>
        </w:rPr>
        <w:t>cionNo1_8_03_13.pdf</w:t>
      </w:r>
    </w:p>
    <w:p>
      <w:pPr>
        <w:pStyle w:val="BodyText"/>
        <w:spacing w:line="261" w:lineRule="auto" w:before="1"/>
        <w:ind w:left="2574" w:right="1715" w:hanging="738"/>
        <w:jc w:val="both"/>
      </w:pPr>
      <w:r>
        <w:rPr>
          <w:color w:val="231F20"/>
        </w:rPr>
        <w:t>Curran, Sara y Rivero-Fuentes, Estela, (2003), “Engendering Migrant Net- works: the Case of Mexican </w:t>
      </w:r>
      <w:r>
        <w:rPr>
          <w:color w:val="231F20"/>
          <w:spacing w:val="-3"/>
        </w:rPr>
        <w:t>Migration”, </w:t>
      </w:r>
      <w:r>
        <w:rPr>
          <w:rFonts w:ascii="Arial" w:hAnsi="Arial"/>
          <w:i/>
          <w:color w:val="231F20"/>
        </w:rPr>
        <w:t>Demography</w:t>
      </w:r>
      <w:r>
        <w:rPr>
          <w:color w:val="231F20"/>
        </w:rPr>
        <w:t>, vol. 40,  núm.</w:t>
      </w:r>
      <w:r>
        <w:rPr>
          <w:color w:val="231F20"/>
          <w:spacing w:val="8"/>
        </w:rPr>
        <w:t> </w:t>
      </w:r>
      <w:r>
        <w:rPr>
          <w:color w:val="231F20"/>
        </w:rPr>
        <w:t>2.</w:t>
      </w:r>
    </w:p>
    <w:p>
      <w:pPr>
        <w:pStyle w:val="BodyText"/>
        <w:spacing w:line="261" w:lineRule="auto" w:before="1"/>
        <w:ind w:left="2574" w:right="1715" w:hanging="738"/>
        <w:jc w:val="both"/>
      </w:pPr>
      <w:r>
        <w:rPr>
          <w:color w:val="231F20"/>
          <w:w w:val="105"/>
        </w:rPr>
        <w:t>Curran, Sara, Shafer, Steven, Donato, Katharine y Garip, Filiz, (2006), “Mapping Gender and Migration in Sociological Scholarship: is it</w:t>
      </w:r>
      <w:r>
        <w:rPr>
          <w:color w:val="231F20"/>
          <w:spacing w:val="-16"/>
          <w:w w:val="105"/>
        </w:rPr>
        <w:t> </w:t>
      </w:r>
      <w:r>
        <w:rPr>
          <w:color w:val="231F20"/>
          <w:w w:val="105"/>
        </w:rPr>
        <w:t>Segregation</w:t>
      </w:r>
      <w:r>
        <w:rPr>
          <w:color w:val="231F20"/>
          <w:spacing w:val="-16"/>
          <w:w w:val="105"/>
        </w:rPr>
        <w:t> </w:t>
      </w:r>
      <w:r>
        <w:rPr>
          <w:color w:val="231F20"/>
          <w:w w:val="105"/>
        </w:rPr>
        <w:t>or</w:t>
      </w:r>
      <w:r>
        <w:rPr>
          <w:color w:val="231F20"/>
          <w:spacing w:val="-16"/>
          <w:w w:val="105"/>
        </w:rPr>
        <w:t> </w:t>
      </w:r>
      <w:r>
        <w:rPr>
          <w:color w:val="231F20"/>
          <w:spacing w:val="-3"/>
          <w:w w:val="105"/>
        </w:rPr>
        <w:t>Integration”,</w:t>
      </w:r>
      <w:r>
        <w:rPr>
          <w:color w:val="231F20"/>
          <w:spacing w:val="-21"/>
          <w:w w:val="105"/>
        </w:rPr>
        <w:t> </w:t>
      </w:r>
      <w:r>
        <w:rPr>
          <w:rFonts w:ascii="Arial" w:hAnsi="Arial"/>
          <w:i/>
          <w:color w:val="231F20"/>
          <w:w w:val="105"/>
        </w:rPr>
        <w:t>International</w:t>
      </w:r>
      <w:r>
        <w:rPr>
          <w:rFonts w:ascii="Arial" w:hAnsi="Arial"/>
          <w:i/>
          <w:color w:val="231F20"/>
          <w:spacing w:val="-18"/>
          <w:w w:val="105"/>
        </w:rPr>
        <w:t> </w:t>
      </w:r>
      <w:r>
        <w:rPr>
          <w:rFonts w:ascii="Arial" w:hAnsi="Arial"/>
          <w:i/>
          <w:color w:val="231F20"/>
          <w:w w:val="105"/>
        </w:rPr>
        <w:t>Migration</w:t>
      </w:r>
      <w:r>
        <w:rPr>
          <w:rFonts w:ascii="Arial" w:hAnsi="Arial"/>
          <w:i/>
          <w:color w:val="231F20"/>
          <w:spacing w:val="-18"/>
          <w:w w:val="105"/>
        </w:rPr>
        <w:t> </w:t>
      </w:r>
      <w:r>
        <w:rPr>
          <w:rFonts w:ascii="Arial" w:hAnsi="Arial"/>
          <w:i/>
          <w:color w:val="231F20"/>
          <w:w w:val="105"/>
        </w:rPr>
        <w:t>Review</w:t>
      </w:r>
      <w:r>
        <w:rPr>
          <w:color w:val="231F20"/>
          <w:w w:val="105"/>
        </w:rPr>
        <w:t>,</w:t>
      </w:r>
      <w:r>
        <w:rPr>
          <w:color w:val="231F20"/>
          <w:spacing w:val="-21"/>
          <w:w w:val="105"/>
        </w:rPr>
        <w:t> </w:t>
      </w:r>
      <w:r>
        <w:rPr>
          <w:color w:val="231F20"/>
          <w:w w:val="105"/>
        </w:rPr>
        <w:t>vol. 40,</w:t>
      </w:r>
      <w:r>
        <w:rPr>
          <w:color w:val="231F20"/>
          <w:spacing w:val="-24"/>
          <w:w w:val="105"/>
        </w:rPr>
        <w:t> </w:t>
      </w:r>
      <w:r>
        <w:rPr>
          <w:color w:val="231F20"/>
          <w:w w:val="105"/>
        </w:rPr>
        <w:t>núm.</w:t>
      </w:r>
      <w:r>
        <w:rPr>
          <w:color w:val="231F20"/>
          <w:spacing w:val="-24"/>
          <w:w w:val="105"/>
        </w:rPr>
        <w:t> </w:t>
      </w:r>
      <w:r>
        <w:rPr>
          <w:color w:val="231F20"/>
          <w:w w:val="105"/>
        </w:rPr>
        <w:t>1.</w:t>
      </w:r>
    </w:p>
    <w:p>
      <w:pPr>
        <w:pStyle w:val="BodyText"/>
        <w:spacing w:line="261" w:lineRule="auto" w:before="1"/>
        <w:ind w:left="2574" w:right="1721" w:hanging="738"/>
        <w:jc w:val="both"/>
      </w:pPr>
      <w:r>
        <w:rPr>
          <w:color w:val="231F20"/>
        </w:rPr>
        <w:t>Delgado Wise, Raúl y Márquez Covarrubias, Humberto, (2007), “El siste- ma migratorio México-Estados Unidos: dilemas de la integración regional, el desarrollo y la </w:t>
      </w:r>
      <w:r>
        <w:rPr>
          <w:color w:val="231F20"/>
          <w:spacing w:val="-3"/>
        </w:rPr>
        <w:t>migración”, </w:t>
      </w:r>
      <w:r>
        <w:rPr>
          <w:color w:val="231F20"/>
        </w:rPr>
        <w:t>Stephen Castles y Raúl Delgado Wise (coords.), </w:t>
      </w:r>
      <w:r>
        <w:rPr>
          <w:rFonts w:ascii="Arial" w:hAnsi="Arial"/>
          <w:i/>
          <w:color w:val="231F20"/>
        </w:rPr>
        <w:t>Migración y desarrollo: perspectivas des- </w:t>
      </w:r>
      <w:r>
        <w:rPr>
          <w:rFonts w:ascii="Arial" w:hAnsi="Arial"/>
          <w:i/>
          <w:color w:val="231F20"/>
        </w:rPr>
        <w:t>de el sur</w:t>
      </w:r>
      <w:r>
        <w:rPr>
          <w:color w:val="231F20"/>
        </w:rPr>
        <w:t>, México: </w:t>
      </w:r>
      <w:r>
        <w:rPr>
          <w:color w:val="231F20"/>
          <w:sz w:val="17"/>
        </w:rPr>
        <w:t>UAZ</w:t>
      </w:r>
      <w:r>
        <w:rPr>
          <w:color w:val="231F20"/>
        </w:rPr>
        <w:t>/Miguel Ángel </w:t>
      </w:r>
      <w:r>
        <w:rPr>
          <w:color w:val="231F20"/>
          <w:spacing w:val="53"/>
        </w:rPr>
        <w:t> </w:t>
      </w:r>
      <w:r>
        <w:rPr>
          <w:color w:val="231F20"/>
          <w:spacing w:val="-3"/>
        </w:rPr>
        <w:t>Porrúa.</w:t>
      </w:r>
    </w:p>
    <w:p>
      <w:pPr>
        <w:spacing w:line="259" w:lineRule="auto" w:before="0"/>
        <w:ind w:left="2574" w:right="1721" w:hanging="738"/>
        <w:jc w:val="both"/>
        <w:rPr>
          <w:sz w:val="21"/>
        </w:rPr>
      </w:pPr>
      <w:r>
        <w:rPr>
          <w:color w:val="231F20"/>
          <w:w w:val="105"/>
          <w:sz w:val="21"/>
        </w:rPr>
        <w:t>Donato,</w:t>
      </w:r>
      <w:r>
        <w:rPr>
          <w:color w:val="231F20"/>
          <w:spacing w:val="-25"/>
          <w:w w:val="105"/>
          <w:sz w:val="21"/>
        </w:rPr>
        <w:t> </w:t>
      </w:r>
      <w:r>
        <w:rPr>
          <w:color w:val="231F20"/>
          <w:w w:val="105"/>
          <w:sz w:val="21"/>
        </w:rPr>
        <w:t>Katharine</w:t>
      </w:r>
      <w:r>
        <w:rPr>
          <w:color w:val="231F20"/>
          <w:spacing w:val="-20"/>
          <w:w w:val="105"/>
          <w:sz w:val="21"/>
        </w:rPr>
        <w:t> </w:t>
      </w:r>
      <w:r>
        <w:rPr>
          <w:color w:val="231F20"/>
          <w:w w:val="105"/>
          <w:sz w:val="21"/>
        </w:rPr>
        <w:t>y</w:t>
      </w:r>
      <w:r>
        <w:rPr>
          <w:color w:val="231F20"/>
          <w:spacing w:val="-23"/>
          <w:w w:val="105"/>
          <w:sz w:val="21"/>
        </w:rPr>
        <w:t> </w:t>
      </w:r>
      <w:r>
        <w:rPr>
          <w:color w:val="231F20"/>
          <w:w w:val="105"/>
          <w:sz w:val="21"/>
        </w:rPr>
        <w:t>Armenta,</w:t>
      </w:r>
      <w:r>
        <w:rPr>
          <w:color w:val="231F20"/>
          <w:spacing w:val="-28"/>
          <w:w w:val="105"/>
          <w:sz w:val="21"/>
        </w:rPr>
        <w:t> </w:t>
      </w:r>
      <w:r>
        <w:rPr>
          <w:color w:val="231F20"/>
          <w:w w:val="105"/>
          <w:sz w:val="21"/>
        </w:rPr>
        <w:t>Amada,</w:t>
      </w:r>
      <w:r>
        <w:rPr>
          <w:color w:val="231F20"/>
          <w:spacing w:val="-25"/>
          <w:w w:val="105"/>
          <w:sz w:val="21"/>
        </w:rPr>
        <w:t> </w:t>
      </w:r>
      <w:r>
        <w:rPr>
          <w:color w:val="231F20"/>
          <w:w w:val="105"/>
          <w:sz w:val="21"/>
        </w:rPr>
        <w:t>(2011),</w:t>
      </w:r>
      <w:r>
        <w:rPr>
          <w:color w:val="231F20"/>
          <w:spacing w:val="-25"/>
          <w:w w:val="105"/>
          <w:sz w:val="21"/>
        </w:rPr>
        <w:t> </w:t>
      </w:r>
      <w:r>
        <w:rPr>
          <w:color w:val="231F20"/>
          <w:w w:val="105"/>
          <w:sz w:val="21"/>
        </w:rPr>
        <w:t>“What</w:t>
      </w:r>
      <w:r>
        <w:rPr>
          <w:color w:val="231F20"/>
          <w:spacing w:val="-22"/>
          <w:w w:val="105"/>
          <w:sz w:val="21"/>
        </w:rPr>
        <w:t> </w:t>
      </w:r>
      <w:r>
        <w:rPr>
          <w:color w:val="231F20"/>
          <w:spacing w:val="-4"/>
          <w:w w:val="105"/>
          <w:sz w:val="21"/>
        </w:rPr>
        <w:t>We</w:t>
      </w:r>
      <w:r>
        <w:rPr>
          <w:color w:val="231F20"/>
          <w:spacing w:val="-20"/>
          <w:w w:val="105"/>
          <w:sz w:val="21"/>
        </w:rPr>
        <w:t> </w:t>
      </w:r>
      <w:r>
        <w:rPr>
          <w:color w:val="231F20"/>
          <w:w w:val="105"/>
          <w:sz w:val="21"/>
        </w:rPr>
        <w:t>Know</w:t>
      </w:r>
      <w:r>
        <w:rPr>
          <w:color w:val="231F20"/>
          <w:spacing w:val="-20"/>
          <w:w w:val="105"/>
          <w:sz w:val="21"/>
        </w:rPr>
        <w:t> </w:t>
      </w:r>
      <w:r>
        <w:rPr>
          <w:color w:val="231F20"/>
          <w:w w:val="105"/>
          <w:sz w:val="21"/>
        </w:rPr>
        <w:t>about</w:t>
      </w:r>
      <w:r>
        <w:rPr>
          <w:color w:val="231F20"/>
          <w:spacing w:val="-20"/>
          <w:w w:val="105"/>
          <w:sz w:val="21"/>
        </w:rPr>
        <w:t> </w:t>
      </w:r>
      <w:r>
        <w:rPr>
          <w:color w:val="231F20"/>
          <w:w w:val="105"/>
          <w:sz w:val="21"/>
        </w:rPr>
        <w:t>Un- authorized</w:t>
      </w:r>
      <w:r>
        <w:rPr>
          <w:color w:val="231F20"/>
          <w:spacing w:val="-20"/>
          <w:w w:val="105"/>
          <w:sz w:val="21"/>
        </w:rPr>
        <w:t> </w:t>
      </w:r>
      <w:r>
        <w:rPr>
          <w:color w:val="231F20"/>
          <w:spacing w:val="-3"/>
          <w:w w:val="105"/>
          <w:sz w:val="21"/>
        </w:rPr>
        <w:t>Migration”,</w:t>
      </w:r>
      <w:r>
        <w:rPr>
          <w:color w:val="231F20"/>
          <w:spacing w:val="-25"/>
          <w:w w:val="105"/>
          <w:sz w:val="21"/>
        </w:rPr>
        <w:t> </w:t>
      </w:r>
      <w:r>
        <w:rPr>
          <w:rFonts w:ascii="Arial" w:hAnsi="Arial"/>
          <w:i/>
          <w:color w:val="231F20"/>
          <w:w w:val="105"/>
          <w:sz w:val="21"/>
        </w:rPr>
        <w:t>Annual</w:t>
      </w:r>
      <w:r>
        <w:rPr>
          <w:rFonts w:ascii="Arial" w:hAnsi="Arial"/>
          <w:i/>
          <w:color w:val="231F20"/>
          <w:spacing w:val="-22"/>
          <w:w w:val="105"/>
          <w:sz w:val="21"/>
        </w:rPr>
        <w:t> </w:t>
      </w:r>
      <w:r>
        <w:rPr>
          <w:rFonts w:ascii="Arial" w:hAnsi="Arial"/>
          <w:i/>
          <w:color w:val="231F20"/>
          <w:w w:val="105"/>
          <w:sz w:val="21"/>
        </w:rPr>
        <w:t>Review</w:t>
      </w:r>
      <w:r>
        <w:rPr>
          <w:rFonts w:ascii="Arial" w:hAnsi="Arial"/>
          <w:i/>
          <w:color w:val="231F20"/>
          <w:spacing w:val="-22"/>
          <w:w w:val="105"/>
          <w:sz w:val="21"/>
        </w:rPr>
        <w:t> </w:t>
      </w:r>
      <w:r>
        <w:rPr>
          <w:rFonts w:ascii="Arial" w:hAnsi="Arial"/>
          <w:i/>
          <w:color w:val="231F20"/>
          <w:w w:val="105"/>
          <w:sz w:val="21"/>
        </w:rPr>
        <w:t>of</w:t>
      </w:r>
      <w:r>
        <w:rPr>
          <w:rFonts w:ascii="Arial" w:hAnsi="Arial"/>
          <w:i/>
          <w:color w:val="231F20"/>
          <w:spacing w:val="-19"/>
          <w:w w:val="105"/>
          <w:sz w:val="21"/>
        </w:rPr>
        <w:t> </w:t>
      </w:r>
      <w:r>
        <w:rPr>
          <w:rFonts w:ascii="Arial" w:hAnsi="Arial"/>
          <w:i/>
          <w:color w:val="231F20"/>
          <w:w w:val="105"/>
          <w:sz w:val="21"/>
        </w:rPr>
        <w:t>Sociology</w:t>
      </w:r>
      <w:r>
        <w:rPr>
          <w:color w:val="231F20"/>
          <w:w w:val="105"/>
          <w:sz w:val="21"/>
        </w:rPr>
        <w:t>,</w:t>
      </w:r>
      <w:r>
        <w:rPr>
          <w:color w:val="231F20"/>
          <w:spacing w:val="-25"/>
          <w:w w:val="105"/>
          <w:sz w:val="21"/>
        </w:rPr>
        <w:t> </w:t>
      </w:r>
      <w:r>
        <w:rPr>
          <w:color w:val="231F20"/>
          <w:w w:val="105"/>
          <w:sz w:val="21"/>
        </w:rPr>
        <w:t>núm.</w:t>
      </w:r>
      <w:r>
        <w:rPr>
          <w:color w:val="231F20"/>
          <w:spacing w:val="-25"/>
          <w:w w:val="105"/>
          <w:sz w:val="21"/>
        </w:rPr>
        <w:t> </w:t>
      </w:r>
      <w:r>
        <w:rPr>
          <w:color w:val="231F20"/>
          <w:w w:val="105"/>
          <w:sz w:val="21"/>
        </w:rPr>
        <w:t>37.</w:t>
      </w:r>
    </w:p>
    <w:p>
      <w:pPr>
        <w:pStyle w:val="BodyText"/>
        <w:spacing w:line="259" w:lineRule="auto" w:before="3"/>
        <w:ind w:left="2574" w:right="1722" w:hanging="738"/>
        <w:jc w:val="both"/>
      </w:pPr>
      <w:r>
        <w:rPr>
          <w:color w:val="231F20"/>
          <w:w w:val="105"/>
        </w:rPr>
        <w:t>Garip,</w:t>
      </w:r>
      <w:r>
        <w:rPr>
          <w:color w:val="231F20"/>
          <w:spacing w:val="-31"/>
          <w:w w:val="105"/>
        </w:rPr>
        <w:t> </w:t>
      </w:r>
      <w:r>
        <w:rPr>
          <w:color w:val="231F20"/>
          <w:w w:val="105"/>
        </w:rPr>
        <w:t>Filiz,</w:t>
      </w:r>
      <w:r>
        <w:rPr>
          <w:color w:val="231F20"/>
          <w:spacing w:val="-31"/>
          <w:w w:val="105"/>
        </w:rPr>
        <w:t> </w:t>
      </w:r>
      <w:r>
        <w:rPr>
          <w:color w:val="231F20"/>
          <w:w w:val="105"/>
        </w:rPr>
        <w:t>(2008),</w:t>
      </w:r>
      <w:r>
        <w:rPr>
          <w:color w:val="231F20"/>
          <w:spacing w:val="-31"/>
          <w:w w:val="105"/>
        </w:rPr>
        <w:t> </w:t>
      </w:r>
      <w:r>
        <w:rPr>
          <w:color w:val="231F20"/>
          <w:w w:val="105"/>
        </w:rPr>
        <w:t>“Social</w:t>
      </w:r>
      <w:r>
        <w:rPr>
          <w:color w:val="231F20"/>
          <w:spacing w:val="-26"/>
          <w:w w:val="105"/>
        </w:rPr>
        <w:t> </w:t>
      </w:r>
      <w:r>
        <w:rPr>
          <w:color w:val="231F20"/>
          <w:w w:val="105"/>
        </w:rPr>
        <w:t>Capital</w:t>
      </w:r>
      <w:r>
        <w:rPr>
          <w:color w:val="231F20"/>
          <w:spacing w:val="-26"/>
          <w:w w:val="105"/>
        </w:rPr>
        <w:t> </w:t>
      </w:r>
      <w:r>
        <w:rPr>
          <w:color w:val="231F20"/>
          <w:w w:val="105"/>
        </w:rPr>
        <w:t>and</w:t>
      </w:r>
      <w:r>
        <w:rPr>
          <w:color w:val="231F20"/>
          <w:spacing w:val="-26"/>
          <w:w w:val="105"/>
        </w:rPr>
        <w:t> </w:t>
      </w:r>
      <w:r>
        <w:rPr>
          <w:color w:val="231F20"/>
          <w:w w:val="105"/>
        </w:rPr>
        <w:t>Migration:</w:t>
      </w:r>
      <w:r>
        <w:rPr>
          <w:color w:val="231F20"/>
          <w:spacing w:val="-26"/>
          <w:w w:val="105"/>
        </w:rPr>
        <w:t> </w:t>
      </w:r>
      <w:r>
        <w:rPr>
          <w:color w:val="231F20"/>
          <w:w w:val="105"/>
        </w:rPr>
        <w:t>How</w:t>
      </w:r>
      <w:r>
        <w:rPr>
          <w:color w:val="231F20"/>
          <w:spacing w:val="-26"/>
          <w:w w:val="105"/>
        </w:rPr>
        <w:t> </w:t>
      </w:r>
      <w:r>
        <w:rPr>
          <w:color w:val="231F20"/>
          <w:w w:val="105"/>
        </w:rPr>
        <w:t>do</w:t>
      </w:r>
      <w:r>
        <w:rPr>
          <w:color w:val="231F20"/>
          <w:spacing w:val="-26"/>
          <w:w w:val="105"/>
        </w:rPr>
        <w:t> </w:t>
      </w:r>
      <w:r>
        <w:rPr>
          <w:color w:val="231F20"/>
          <w:w w:val="105"/>
        </w:rPr>
        <w:t>similar</w:t>
      </w:r>
      <w:r>
        <w:rPr>
          <w:color w:val="231F20"/>
          <w:spacing w:val="-26"/>
          <w:w w:val="105"/>
        </w:rPr>
        <w:t> </w:t>
      </w:r>
      <w:r>
        <w:rPr>
          <w:color w:val="231F20"/>
          <w:w w:val="105"/>
        </w:rPr>
        <w:t>resourc- es</w:t>
      </w:r>
      <w:r>
        <w:rPr>
          <w:color w:val="231F20"/>
          <w:spacing w:val="-12"/>
          <w:w w:val="105"/>
        </w:rPr>
        <w:t> </w:t>
      </w:r>
      <w:r>
        <w:rPr>
          <w:color w:val="231F20"/>
          <w:w w:val="105"/>
        </w:rPr>
        <w:t>lead</w:t>
      </w:r>
      <w:r>
        <w:rPr>
          <w:color w:val="231F20"/>
          <w:spacing w:val="-12"/>
          <w:w w:val="105"/>
        </w:rPr>
        <w:t> </w:t>
      </w:r>
      <w:r>
        <w:rPr>
          <w:color w:val="231F20"/>
          <w:w w:val="105"/>
        </w:rPr>
        <w:t>to</w:t>
      </w:r>
      <w:r>
        <w:rPr>
          <w:color w:val="231F20"/>
          <w:spacing w:val="-12"/>
          <w:w w:val="105"/>
        </w:rPr>
        <w:t> </w:t>
      </w:r>
      <w:r>
        <w:rPr>
          <w:color w:val="231F20"/>
          <w:w w:val="105"/>
        </w:rPr>
        <w:t>divergent</w:t>
      </w:r>
      <w:r>
        <w:rPr>
          <w:color w:val="231F20"/>
          <w:spacing w:val="-12"/>
          <w:w w:val="105"/>
        </w:rPr>
        <w:t> </w:t>
      </w:r>
      <w:r>
        <w:rPr>
          <w:color w:val="231F20"/>
          <w:spacing w:val="-3"/>
          <w:w w:val="105"/>
        </w:rPr>
        <w:t>outcomes”,</w:t>
      </w:r>
      <w:r>
        <w:rPr>
          <w:color w:val="231F20"/>
          <w:spacing w:val="-17"/>
          <w:w w:val="105"/>
        </w:rPr>
        <w:t> </w:t>
      </w:r>
      <w:r>
        <w:rPr>
          <w:rFonts w:ascii="Arial" w:hAnsi="Arial"/>
          <w:i/>
          <w:color w:val="231F20"/>
          <w:w w:val="105"/>
        </w:rPr>
        <w:t>Demography</w:t>
      </w:r>
      <w:r>
        <w:rPr>
          <w:color w:val="231F20"/>
          <w:w w:val="105"/>
        </w:rPr>
        <w:t>,</w:t>
      </w:r>
      <w:r>
        <w:rPr>
          <w:color w:val="231F20"/>
          <w:spacing w:val="-17"/>
          <w:w w:val="105"/>
        </w:rPr>
        <w:t> </w:t>
      </w:r>
      <w:r>
        <w:rPr>
          <w:color w:val="231F20"/>
          <w:w w:val="105"/>
        </w:rPr>
        <w:t>núm.</w:t>
      </w:r>
      <w:r>
        <w:rPr>
          <w:color w:val="231F20"/>
          <w:spacing w:val="-17"/>
          <w:w w:val="105"/>
        </w:rPr>
        <w:t> </w:t>
      </w:r>
      <w:r>
        <w:rPr>
          <w:color w:val="231F20"/>
          <w:w w:val="105"/>
        </w:rPr>
        <w:t>45,</w:t>
      </w:r>
      <w:r>
        <w:rPr>
          <w:color w:val="231F20"/>
          <w:spacing w:val="-17"/>
          <w:w w:val="105"/>
        </w:rPr>
        <w:t> </w:t>
      </w:r>
      <w:r>
        <w:rPr>
          <w:color w:val="231F20"/>
          <w:w w:val="105"/>
        </w:rPr>
        <w:t>vol.</w:t>
      </w:r>
      <w:r>
        <w:rPr>
          <w:color w:val="231F20"/>
          <w:spacing w:val="-17"/>
          <w:w w:val="105"/>
        </w:rPr>
        <w:t> </w:t>
      </w:r>
      <w:r>
        <w:rPr>
          <w:color w:val="231F20"/>
          <w:w w:val="105"/>
        </w:rPr>
        <w:t>3.</w:t>
      </w:r>
    </w:p>
    <w:p>
      <w:pPr>
        <w:pStyle w:val="BodyText"/>
        <w:spacing w:line="259" w:lineRule="auto" w:before="3"/>
        <w:ind w:left="2574" w:right="1721" w:hanging="738"/>
        <w:jc w:val="both"/>
      </w:pPr>
      <w:r>
        <w:rPr>
          <w:color w:val="231F20"/>
          <w:w w:val="105"/>
        </w:rPr>
        <w:t>González</w:t>
      </w:r>
      <w:r>
        <w:rPr>
          <w:color w:val="231F20"/>
          <w:spacing w:val="-7"/>
          <w:w w:val="105"/>
        </w:rPr>
        <w:t> </w:t>
      </w:r>
      <w:r>
        <w:rPr>
          <w:color w:val="231F20"/>
          <w:w w:val="105"/>
        </w:rPr>
        <w:t>Becerril,</w:t>
      </w:r>
      <w:r>
        <w:rPr>
          <w:color w:val="231F20"/>
          <w:spacing w:val="-13"/>
          <w:w w:val="105"/>
        </w:rPr>
        <w:t> </w:t>
      </w:r>
      <w:r>
        <w:rPr>
          <w:color w:val="231F20"/>
          <w:w w:val="105"/>
        </w:rPr>
        <w:t>Juan</w:t>
      </w:r>
      <w:r>
        <w:rPr>
          <w:color w:val="231F20"/>
          <w:spacing w:val="-7"/>
          <w:w w:val="105"/>
        </w:rPr>
        <w:t> </w:t>
      </w:r>
      <w:r>
        <w:rPr>
          <w:color w:val="231F20"/>
          <w:w w:val="105"/>
        </w:rPr>
        <w:t>Gabino,</w:t>
      </w:r>
      <w:r>
        <w:rPr>
          <w:color w:val="231F20"/>
          <w:spacing w:val="-11"/>
          <w:w w:val="105"/>
        </w:rPr>
        <w:t> </w:t>
      </w:r>
      <w:r>
        <w:rPr>
          <w:color w:val="231F20"/>
          <w:w w:val="105"/>
        </w:rPr>
        <w:t>(2006),</w:t>
      </w:r>
      <w:r>
        <w:rPr>
          <w:color w:val="231F20"/>
          <w:spacing w:val="-11"/>
          <w:w w:val="105"/>
        </w:rPr>
        <w:t> </w:t>
      </w:r>
      <w:r>
        <w:rPr>
          <w:color w:val="231F20"/>
          <w:w w:val="105"/>
        </w:rPr>
        <w:t>“Migración</w:t>
      </w:r>
      <w:r>
        <w:rPr>
          <w:color w:val="231F20"/>
          <w:spacing w:val="-7"/>
          <w:w w:val="105"/>
        </w:rPr>
        <w:t> </w:t>
      </w:r>
      <w:r>
        <w:rPr>
          <w:color w:val="231F20"/>
          <w:w w:val="105"/>
        </w:rPr>
        <w:t>y</w:t>
      </w:r>
      <w:r>
        <w:rPr>
          <w:color w:val="231F20"/>
          <w:spacing w:val="-7"/>
          <w:w w:val="105"/>
        </w:rPr>
        <w:t> </w:t>
      </w:r>
      <w:r>
        <w:rPr>
          <w:color w:val="231F20"/>
          <w:w w:val="105"/>
        </w:rPr>
        <w:t>remesas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sur del</w:t>
      </w:r>
      <w:r>
        <w:rPr>
          <w:color w:val="231F20"/>
          <w:spacing w:val="-23"/>
          <w:w w:val="105"/>
        </w:rPr>
        <w:t> </w:t>
      </w:r>
      <w:r>
        <w:rPr>
          <w:color w:val="231F20"/>
          <w:w w:val="105"/>
        </w:rPr>
        <w:t>Estado</w:t>
      </w:r>
      <w:r>
        <w:rPr>
          <w:color w:val="231F20"/>
          <w:spacing w:val="-23"/>
          <w:w w:val="105"/>
        </w:rPr>
        <w:t> </w:t>
      </w:r>
      <w:r>
        <w:rPr>
          <w:color w:val="231F20"/>
          <w:w w:val="105"/>
        </w:rPr>
        <w:t>de</w:t>
      </w:r>
      <w:r>
        <w:rPr>
          <w:color w:val="231F20"/>
          <w:spacing w:val="-23"/>
          <w:w w:val="105"/>
        </w:rPr>
        <w:t> </w:t>
      </w:r>
      <w:r>
        <w:rPr>
          <w:color w:val="231F20"/>
          <w:spacing w:val="-4"/>
          <w:w w:val="105"/>
        </w:rPr>
        <w:t>México”,</w:t>
      </w:r>
      <w:r>
        <w:rPr>
          <w:color w:val="231F20"/>
          <w:spacing w:val="-27"/>
          <w:w w:val="105"/>
        </w:rPr>
        <w:t> </w:t>
      </w:r>
      <w:r>
        <w:rPr>
          <w:rFonts w:ascii="Arial" w:hAnsi="Arial"/>
          <w:i/>
          <w:color w:val="231F20"/>
          <w:w w:val="105"/>
        </w:rPr>
        <w:t>Papeles</w:t>
      </w:r>
      <w:r>
        <w:rPr>
          <w:rFonts w:ascii="Arial" w:hAnsi="Arial"/>
          <w:i/>
          <w:color w:val="231F20"/>
          <w:spacing w:val="-26"/>
          <w:w w:val="105"/>
        </w:rPr>
        <w:t> </w:t>
      </w:r>
      <w:r>
        <w:rPr>
          <w:rFonts w:ascii="Arial" w:hAnsi="Arial"/>
          <w:i/>
          <w:color w:val="231F20"/>
          <w:w w:val="105"/>
        </w:rPr>
        <w:t>de</w:t>
      </w:r>
      <w:r>
        <w:rPr>
          <w:rFonts w:ascii="Arial" w:hAnsi="Arial"/>
          <w:i/>
          <w:color w:val="231F20"/>
          <w:spacing w:val="-26"/>
          <w:w w:val="105"/>
        </w:rPr>
        <w:t> </w:t>
      </w:r>
      <w:r>
        <w:rPr>
          <w:rFonts w:ascii="Arial" w:hAnsi="Arial"/>
          <w:i/>
          <w:color w:val="231F20"/>
          <w:w w:val="105"/>
        </w:rPr>
        <w:t>Población</w:t>
      </w:r>
      <w:r>
        <w:rPr>
          <w:color w:val="231F20"/>
          <w:w w:val="105"/>
        </w:rPr>
        <w:t>,</w:t>
      </w:r>
      <w:r>
        <w:rPr>
          <w:color w:val="231F20"/>
          <w:spacing w:val="-27"/>
          <w:w w:val="105"/>
        </w:rPr>
        <w:t> </w:t>
      </w:r>
      <w:r>
        <w:rPr>
          <w:color w:val="231F20"/>
          <w:w w:val="105"/>
        </w:rPr>
        <w:t>núm.</w:t>
      </w:r>
      <w:r>
        <w:rPr>
          <w:color w:val="231F20"/>
          <w:spacing w:val="-27"/>
          <w:w w:val="105"/>
        </w:rPr>
        <w:t> </w:t>
      </w:r>
      <w:r>
        <w:rPr>
          <w:color w:val="231F20"/>
          <w:w w:val="105"/>
        </w:rPr>
        <w:t>50.</w:t>
      </w:r>
    </w:p>
    <w:p>
      <w:pPr>
        <w:pStyle w:val="BodyText"/>
        <w:spacing w:line="259" w:lineRule="auto" w:before="3"/>
        <w:ind w:left="2574" w:right="1721" w:hanging="738"/>
        <w:jc w:val="both"/>
      </w:pPr>
      <w:r>
        <w:rPr>
          <w:color w:val="231F20"/>
          <w:w w:val="105"/>
        </w:rPr>
        <w:t>Hagan, Jacqueline Maria, (1998), “Social Networks, Gender, and</w:t>
      </w:r>
      <w:r>
        <w:rPr>
          <w:color w:val="231F20"/>
          <w:spacing w:val="-9"/>
          <w:w w:val="105"/>
        </w:rPr>
        <w:t> </w:t>
      </w:r>
      <w:r>
        <w:rPr>
          <w:color w:val="231F20"/>
          <w:w w:val="105"/>
        </w:rPr>
        <w:t>Immi- grant</w:t>
      </w:r>
      <w:r>
        <w:rPr>
          <w:color w:val="231F20"/>
          <w:spacing w:val="-36"/>
          <w:w w:val="105"/>
        </w:rPr>
        <w:t> </w:t>
      </w:r>
      <w:r>
        <w:rPr>
          <w:color w:val="231F20"/>
          <w:w w:val="105"/>
        </w:rPr>
        <w:t>Incorporation:</w:t>
      </w:r>
      <w:r>
        <w:rPr>
          <w:color w:val="231F20"/>
          <w:spacing w:val="-36"/>
          <w:w w:val="105"/>
        </w:rPr>
        <w:t> </w:t>
      </w:r>
      <w:r>
        <w:rPr>
          <w:color w:val="231F20"/>
          <w:w w:val="105"/>
        </w:rPr>
        <w:t>Resources</w:t>
      </w:r>
      <w:r>
        <w:rPr>
          <w:color w:val="231F20"/>
          <w:spacing w:val="-36"/>
          <w:w w:val="105"/>
        </w:rPr>
        <w:t> </w:t>
      </w:r>
      <w:r>
        <w:rPr>
          <w:color w:val="231F20"/>
          <w:w w:val="105"/>
        </w:rPr>
        <w:t>and</w:t>
      </w:r>
      <w:r>
        <w:rPr>
          <w:color w:val="231F20"/>
          <w:spacing w:val="-36"/>
          <w:w w:val="105"/>
        </w:rPr>
        <w:t> </w:t>
      </w:r>
      <w:r>
        <w:rPr>
          <w:color w:val="231F20"/>
          <w:spacing w:val="-3"/>
          <w:w w:val="105"/>
        </w:rPr>
        <w:t>Constraints”,</w:t>
      </w:r>
      <w:r>
        <w:rPr>
          <w:color w:val="231F20"/>
          <w:spacing w:val="-39"/>
          <w:w w:val="105"/>
        </w:rPr>
        <w:t> </w:t>
      </w:r>
      <w:r>
        <w:rPr>
          <w:rFonts w:ascii="Arial" w:hAnsi="Arial"/>
          <w:i/>
          <w:color w:val="231F20"/>
          <w:w w:val="105"/>
        </w:rPr>
        <w:t>American</w:t>
      </w:r>
      <w:r>
        <w:rPr>
          <w:rFonts w:ascii="Arial" w:hAnsi="Arial"/>
          <w:i/>
          <w:color w:val="231F20"/>
          <w:spacing w:val="-39"/>
          <w:w w:val="105"/>
        </w:rPr>
        <w:t> </w:t>
      </w:r>
      <w:r>
        <w:rPr>
          <w:rFonts w:ascii="Arial" w:hAnsi="Arial"/>
          <w:i/>
          <w:color w:val="231F20"/>
          <w:w w:val="105"/>
        </w:rPr>
        <w:t>Socio- </w:t>
      </w:r>
      <w:r>
        <w:rPr>
          <w:rFonts w:ascii="Arial" w:hAnsi="Arial"/>
          <w:i/>
          <w:color w:val="231F20"/>
          <w:w w:val="105"/>
        </w:rPr>
        <w:t>logical</w:t>
      </w:r>
      <w:r>
        <w:rPr>
          <w:rFonts w:ascii="Arial" w:hAnsi="Arial"/>
          <w:i/>
          <w:color w:val="231F20"/>
          <w:spacing w:val="-28"/>
          <w:w w:val="105"/>
        </w:rPr>
        <w:t> </w:t>
      </w:r>
      <w:r>
        <w:rPr>
          <w:rFonts w:ascii="Arial" w:hAnsi="Arial"/>
          <w:i/>
          <w:color w:val="231F20"/>
          <w:w w:val="105"/>
        </w:rPr>
        <w:t>Review</w:t>
      </w:r>
      <w:r>
        <w:rPr>
          <w:color w:val="231F20"/>
          <w:w w:val="105"/>
        </w:rPr>
        <w:t>,</w:t>
      </w:r>
      <w:r>
        <w:rPr>
          <w:color w:val="231F20"/>
          <w:spacing w:val="-29"/>
          <w:w w:val="105"/>
        </w:rPr>
        <w:t> </w:t>
      </w:r>
      <w:r>
        <w:rPr>
          <w:color w:val="231F20"/>
          <w:w w:val="105"/>
        </w:rPr>
        <w:t>vol.</w:t>
      </w:r>
      <w:r>
        <w:rPr>
          <w:color w:val="231F20"/>
          <w:spacing w:val="-29"/>
          <w:w w:val="105"/>
        </w:rPr>
        <w:t> </w:t>
      </w:r>
      <w:r>
        <w:rPr>
          <w:color w:val="231F20"/>
          <w:w w:val="105"/>
        </w:rPr>
        <w:t>63,</w:t>
      </w:r>
      <w:r>
        <w:rPr>
          <w:color w:val="231F20"/>
          <w:spacing w:val="-29"/>
          <w:w w:val="105"/>
        </w:rPr>
        <w:t> </w:t>
      </w:r>
      <w:r>
        <w:rPr>
          <w:color w:val="231F20"/>
          <w:w w:val="105"/>
        </w:rPr>
        <w:t>núm.</w:t>
      </w:r>
      <w:r>
        <w:rPr>
          <w:color w:val="231F20"/>
          <w:spacing w:val="-29"/>
          <w:w w:val="105"/>
        </w:rPr>
        <w:t> </w:t>
      </w:r>
      <w:r>
        <w:rPr>
          <w:color w:val="231F20"/>
          <w:w w:val="105"/>
        </w:rPr>
        <w:t>1.</w:t>
      </w:r>
    </w:p>
    <w:p>
      <w:pPr>
        <w:pStyle w:val="BodyText"/>
        <w:spacing w:line="259" w:lineRule="auto" w:before="3"/>
        <w:ind w:left="2574" w:right="1721" w:hanging="738"/>
        <w:jc w:val="both"/>
      </w:pPr>
      <w:r>
        <w:rPr>
          <w:color w:val="231F20"/>
          <w:w w:val="105"/>
        </w:rPr>
        <w:t>Hondagneu-Sotelo,</w:t>
      </w:r>
      <w:r>
        <w:rPr>
          <w:color w:val="231F20"/>
          <w:spacing w:val="-22"/>
          <w:w w:val="105"/>
        </w:rPr>
        <w:t> </w:t>
      </w:r>
      <w:r>
        <w:rPr>
          <w:color w:val="231F20"/>
          <w:w w:val="105"/>
        </w:rPr>
        <w:t>Pierrette,</w:t>
      </w:r>
      <w:r>
        <w:rPr>
          <w:color w:val="231F20"/>
          <w:spacing w:val="-22"/>
          <w:w w:val="105"/>
        </w:rPr>
        <w:t> </w:t>
      </w:r>
      <w:r>
        <w:rPr>
          <w:color w:val="231F20"/>
          <w:w w:val="105"/>
        </w:rPr>
        <w:t>(2003),</w:t>
      </w:r>
      <w:r>
        <w:rPr>
          <w:color w:val="231F20"/>
          <w:spacing w:val="-22"/>
          <w:w w:val="105"/>
        </w:rPr>
        <w:t> </w:t>
      </w:r>
      <w:r>
        <w:rPr>
          <w:color w:val="231F20"/>
          <w:w w:val="105"/>
        </w:rPr>
        <w:t>“Gender</w:t>
      </w:r>
      <w:r>
        <w:rPr>
          <w:color w:val="231F20"/>
          <w:spacing w:val="-18"/>
          <w:w w:val="105"/>
        </w:rPr>
        <w:t> </w:t>
      </w:r>
      <w:r>
        <w:rPr>
          <w:color w:val="231F20"/>
          <w:w w:val="105"/>
        </w:rPr>
        <w:t>and</w:t>
      </w:r>
      <w:r>
        <w:rPr>
          <w:color w:val="231F20"/>
          <w:spacing w:val="-18"/>
          <w:w w:val="105"/>
        </w:rPr>
        <w:t> </w:t>
      </w:r>
      <w:r>
        <w:rPr>
          <w:color w:val="231F20"/>
          <w:w w:val="105"/>
        </w:rPr>
        <w:t>Immigration.</w:t>
      </w:r>
      <w:r>
        <w:rPr>
          <w:color w:val="231F20"/>
          <w:spacing w:val="-25"/>
          <w:w w:val="105"/>
        </w:rPr>
        <w:t> </w:t>
      </w:r>
      <w:r>
        <w:rPr>
          <w:color w:val="231F20"/>
          <w:w w:val="105"/>
        </w:rPr>
        <w:t>A</w:t>
      </w:r>
      <w:r>
        <w:rPr>
          <w:color w:val="231F20"/>
          <w:spacing w:val="-20"/>
          <w:w w:val="105"/>
        </w:rPr>
        <w:t> </w:t>
      </w:r>
      <w:r>
        <w:rPr>
          <w:color w:val="231F20"/>
          <w:w w:val="105"/>
        </w:rPr>
        <w:t>Retro- spective</w:t>
      </w:r>
      <w:r>
        <w:rPr>
          <w:color w:val="231F20"/>
          <w:spacing w:val="-8"/>
          <w:w w:val="105"/>
        </w:rPr>
        <w:t> </w:t>
      </w:r>
      <w:r>
        <w:rPr>
          <w:color w:val="231F20"/>
          <w:w w:val="105"/>
        </w:rPr>
        <w:t>and</w:t>
      </w:r>
      <w:r>
        <w:rPr>
          <w:color w:val="231F20"/>
          <w:spacing w:val="-8"/>
          <w:w w:val="105"/>
        </w:rPr>
        <w:t> </w:t>
      </w:r>
      <w:r>
        <w:rPr>
          <w:color w:val="231F20"/>
          <w:spacing w:val="-3"/>
          <w:w w:val="105"/>
        </w:rPr>
        <w:t>Introduction”,</w:t>
      </w:r>
      <w:r>
        <w:rPr>
          <w:color w:val="231F20"/>
          <w:spacing w:val="-13"/>
          <w:w w:val="105"/>
        </w:rPr>
        <w:t> </w:t>
      </w:r>
      <w:r>
        <w:rPr>
          <w:color w:val="231F20"/>
          <w:w w:val="105"/>
        </w:rPr>
        <w:t>en</w:t>
      </w:r>
      <w:r>
        <w:rPr>
          <w:color w:val="231F20"/>
          <w:spacing w:val="-8"/>
          <w:w w:val="105"/>
        </w:rPr>
        <w:t> </w:t>
      </w:r>
      <w:r>
        <w:rPr>
          <w:color w:val="231F20"/>
          <w:w w:val="105"/>
        </w:rPr>
        <w:t>Pierrette</w:t>
      </w:r>
      <w:r>
        <w:rPr>
          <w:color w:val="231F20"/>
          <w:spacing w:val="-8"/>
          <w:w w:val="105"/>
        </w:rPr>
        <w:t> </w:t>
      </w:r>
      <w:r>
        <w:rPr>
          <w:color w:val="231F20"/>
          <w:w w:val="105"/>
        </w:rPr>
        <w:t>Hondagneu</w:t>
      </w:r>
      <w:r>
        <w:rPr>
          <w:color w:val="231F20"/>
          <w:spacing w:val="-8"/>
          <w:w w:val="105"/>
        </w:rPr>
        <w:t> </w:t>
      </w:r>
      <w:r>
        <w:rPr>
          <w:color w:val="231F20"/>
          <w:w w:val="105"/>
        </w:rPr>
        <w:t>Sotelo,</w:t>
      </w:r>
      <w:r>
        <w:rPr>
          <w:color w:val="231F20"/>
          <w:spacing w:val="-13"/>
          <w:w w:val="105"/>
        </w:rPr>
        <w:t> </w:t>
      </w:r>
      <w:r>
        <w:rPr>
          <w:rFonts w:ascii="Arial" w:hAnsi="Arial"/>
          <w:i/>
          <w:color w:val="231F20"/>
          <w:w w:val="105"/>
        </w:rPr>
        <w:t>Gen- </w:t>
      </w:r>
      <w:r>
        <w:rPr>
          <w:rFonts w:ascii="Arial" w:hAnsi="Arial"/>
          <w:i/>
          <w:color w:val="231F20"/>
          <w:w w:val="105"/>
        </w:rPr>
        <w:t>der</w:t>
      </w:r>
      <w:r>
        <w:rPr>
          <w:rFonts w:ascii="Arial" w:hAnsi="Arial"/>
          <w:i/>
          <w:color w:val="231F20"/>
          <w:spacing w:val="-34"/>
          <w:w w:val="105"/>
        </w:rPr>
        <w:t> </w:t>
      </w:r>
      <w:r>
        <w:rPr>
          <w:rFonts w:ascii="Arial" w:hAnsi="Arial"/>
          <w:i/>
          <w:color w:val="231F20"/>
          <w:w w:val="105"/>
        </w:rPr>
        <w:t>and</w:t>
      </w:r>
      <w:r>
        <w:rPr>
          <w:rFonts w:ascii="Arial" w:hAnsi="Arial"/>
          <w:i/>
          <w:color w:val="231F20"/>
          <w:spacing w:val="-34"/>
          <w:w w:val="105"/>
        </w:rPr>
        <w:t> </w:t>
      </w:r>
      <w:r>
        <w:rPr>
          <w:rFonts w:ascii="Arial" w:hAnsi="Arial"/>
          <w:i/>
          <w:color w:val="231F20"/>
          <w:w w:val="105"/>
        </w:rPr>
        <w:t>U.S.</w:t>
      </w:r>
      <w:r>
        <w:rPr>
          <w:rFonts w:ascii="Arial" w:hAnsi="Arial"/>
          <w:i/>
          <w:color w:val="231F20"/>
          <w:spacing w:val="-38"/>
          <w:w w:val="105"/>
        </w:rPr>
        <w:t> </w:t>
      </w:r>
      <w:r>
        <w:rPr>
          <w:rFonts w:ascii="Arial" w:hAnsi="Arial"/>
          <w:i/>
          <w:color w:val="231F20"/>
          <w:w w:val="105"/>
        </w:rPr>
        <w:t>Immigration</w:t>
      </w:r>
      <w:r>
        <w:rPr>
          <w:color w:val="231F20"/>
          <w:w w:val="105"/>
        </w:rPr>
        <w:t>,</w:t>
      </w:r>
      <w:r>
        <w:rPr>
          <w:color w:val="231F20"/>
          <w:spacing w:val="-35"/>
          <w:w w:val="105"/>
        </w:rPr>
        <w:t> </w:t>
      </w:r>
      <w:r>
        <w:rPr>
          <w:color w:val="231F20"/>
          <w:w w:val="105"/>
        </w:rPr>
        <w:t>Los</w:t>
      </w:r>
      <w:r>
        <w:rPr>
          <w:color w:val="231F20"/>
          <w:spacing w:val="-34"/>
          <w:w w:val="105"/>
        </w:rPr>
        <w:t> </w:t>
      </w:r>
      <w:r>
        <w:rPr>
          <w:color w:val="231F20"/>
          <w:w w:val="105"/>
        </w:rPr>
        <w:t>Angeles:</w:t>
      </w:r>
      <w:r>
        <w:rPr>
          <w:color w:val="231F20"/>
          <w:spacing w:val="-32"/>
          <w:w w:val="105"/>
        </w:rPr>
        <w:t> </w:t>
      </w:r>
      <w:r>
        <w:rPr>
          <w:color w:val="231F20"/>
          <w:w w:val="105"/>
          <w:sz w:val="17"/>
        </w:rPr>
        <w:t>UCLA</w:t>
      </w:r>
      <w:r>
        <w:rPr>
          <w:color w:val="231F20"/>
          <w:w w:val="105"/>
        </w:rPr>
        <w:t>.</w:t>
      </w:r>
    </w:p>
    <w:p>
      <w:pPr>
        <w:spacing w:line="259" w:lineRule="auto" w:before="0"/>
        <w:ind w:left="2574" w:right="1721" w:hanging="737"/>
        <w:jc w:val="both"/>
        <w:rPr>
          <w:sz w:val="21"/>
        </w:rPr>
      </w:pPr>
      <w:r>
        <w:rPr>
          <w:color w:val="231F20"/>
          <w:sz w:val="21"/>
        </w:rPr>
        <w:t>Instituto Nacional de Estadística y Geografía (</w:t>
      </w:r>
      <w:r>
        <w:rPr>
          <w:color w:val="231F20"/>
          <w:sz w:val="17"/>
        </w:rPr>
        <w:t>INEGI</w:t>
      </w:r>
      <w:r>
        <w:rPr>
          <w:color w:val="231F20"/>
          <w:sz w:val="21"/>
        </w:rPr>
        <w:t>), (1990), </w:t>
      </w:r>
      <w:r>
        <w:rPr>
          <w:rFonts w:ascii="Arial" w:hAnsi="Arial"/>
          <w:i/>
          <w:color w:val="231F20"/>
          <w:sz w:val="17"/>
        </w:rPr>
        <w:t>XI </w:t>
      </w:r>
      <w:r>
        <w:rPr>
          <w:rFonts w:ascii="Arial" w:hAnsi="Arial"/>
          <w:i/>
          <w:color w:val="231F20"/>
          <w:sz w:val="21"/>
        </w:rPr>
        <w:t>Censo</w:t>
      </w:r>
      <w:r>
        <w:rPr>
          <w:rFonts w:ascii="Arial" w:hAnsi="Arial"/>
          <w:i/>
          <w:color w:val="231F20"/>
          <w:spacing w:val="-40"/>
          <w:sz w:val="21"/>
        </w:rPr>
        <w:t> </w:t>
      </w:r>
      <w:r>
        <w:rPr>
          <w:rFonts w:ascii="Arial" w:hAnsi="Arial"/>
          <w:i/>
          <w:color w:val="231F20"/>
          <w:sz w:val="21"/>
        </w:rPr>
        <w:t>Gen- </w:t>
      </w:r>
      <w:r>
        <w:rPr>
          <w:rFonts w:ascii="Arial" w:hAnsi="Arial"/>
          <w:i/>
          <w:color w:val="231F20"/>
          <w:sz w:val="21"/>
        </w:rPr>
        <w:t>eral de Población y Vivienda 1990</w:t>
      </w:r>
      <w:r>
        <w:rPr>
          <w:color w:val="231F20"/>
          <w:sz w:val="21"/>
        </w:rPr>
        <w:t>, Aguascalientes, México:</w:t>
      </w:r>
      <w:r>
        <w:rPr>
          <w:color w:val="231F20"/>
          <w:spacing w:val="24"/>
          <w:sz w:val="21"/>
        </w:rPr>
        <w:t> </w:t>
      </w:r>
      <w:r>
        <w:rPr>
          <w:color w:val="231F20"/>
          <w:sz w:val="17"/>
        </w:rPr>
        <w:t>INEGI</w:t>
      </w:r>
      <w:r>
        <w:rPr>
          <w:color w:val="231F20"/>
          <w:sz w:val="21"/>
        </w:rPr>
        <w:t>.</w:t>
      </w:r>
    </w:p>
    <w:p>
      <w:pPr>
        <w:tabs>
          <w:tab w:pos="2677" w:val="left" w:leader="none"/>
        </w:tabs>
        <w:spacing w:line="261" w:lineRule="auto" w:before="0"/>
        <w:ind w:left="2574" w:right="1722" w:hanging="738"/>
        <w:jc w:val="both"/>
        <w:rPr>
          <w:sz w:val="21"/>
        </w:rPr>
      </w:pPr>
      <w:r>
        <w:rPr>
          <w:color w:val="231F20"/>
          <w:w w:val="94"/>
          <w:sz w:val="21"/>
          <w:u w:val="single" w:color="221E1F"/>
        </w:rPr>
        <w:t> </w:t>
      </w:r>
      <w:r>
        <w:rPr>
          <w:color w:val="231F20"/>
          <w:sz w:val="21"/>
          <w:u w:val="single" w:color="221E1F"/>
        </w:rPr>
        <w:tab/>
        <w:tab/>
      </w:r>
      <w:r>
        <w:rPr>
          <w:color w:val="231F20"/>
          <w:spacing w:val="-8"/>
          <w:sz w:val="21"/>
        </w:rPr>
        <w:t> </w:t>
      </w:r>
      <w:r>
        <w:rPr>
          <w:color w:val="231F20"/>
          <w:sz w:val="21"/>
        </w:rPr>
        <w:t>(2000), </w:t>
      </w:r>
      <w:r>
        <w:rPr>
          <w:rFonts w:ascii="Arial" w:hAnsi="Arial"/>
          <w:i/>
          <w:color w:val="231F20"/>
          <w:sz w:val="17"/>
        </w:rPr>
        <w:t>XI </w:t>
      </w:r>
      <w:r>
        <w:rPr>
          <w:rFonts w:ascii="Arial" w:hAnsi="Arial"/>
          <w:i/>
          <w:color w:val="231F20"/>
          <w:sz w:val="21"/>
        </w:rPr>
        <w:t>Censo General de Población y Vivienda </w:t>
      </w:r>
      <w:r>
        <w:rPr>
          <w:rFonts w:ascii="Arial" w:hAnsi="Arial"/>
          <w:i/>
          <w:color w:val="231F20"/>
          <w:spacing w:val="13"/>
          <w:sz w:val="21"/>
        </w:rPr>
        <w:t> </w:t>
      </w:r>
      <w:r>
        <w:rPr>
          <w:rFonts w:ascii="Arial" w:hAnsi="Arial"/>
          <w:i/>
          <w:color w:val="231F20"/>
          <w:sz w:val="21"/>
        </w:rPr>
        <w:t>2000</w:t>
      </w:r>
      <w:r>
        <w:rPr>
          <w:color w:val="231F20"/>
          <w:sz w:val="21"/>
        </w:rPr>
        <w:t>,</w:t>
      </w:r>
      <w:r>
        <w:rPr>
          <w:color w:val="231F20"/>
          <w:spacing w:val="-1"/>
          <w:sz w:val="21"/>
        </w:rPr>
        <w:t> </w:t>
      </w:r>
      <w:r>
        <w:rPr>
          <w:color w:val="231F20"/>
          <w:sz w:val="21"/>
        </w:rPr>
        <w:t>Aguas-</w:t>
      </w:r>
      <w:r>
        <w:rPr>
          <w:color w:val="231F20"/>
          <w:w w:val="96"/>
          <w:sz w:val="21"/>
        </w:rPr>
        <w:t> </w:t>
      </w:r>
      <w:r>
        <w:rPr>
          <w:color w:val="231F20"/>
          <w:sz w:val="21"/>
        </w:rPr>
        <w:t>calientes, México:</w:t>
      </w:r>
      <w:r>
        <w:rPr>
          <w:color w:val="231F20"/>
          <w:spacing w:val="10"/>
          <w:sz w:val="21"/>
        </w:rPr>
        <w:t> </w:t>
      </w:r>
      <w:r>
        <w:rPr>
          <w:color w:val="231F20"/>
          <w:sz w:val="17"/>
        </w:rPr>
        <w:t>INEGI</w:t>
      </w:r>
      <w:r>
        <w:rPr>
          <w:color w:val="231F20"/>
          <w:sz w:val="21"/>
        </w:rPr>
        <w:t>.</w:t>
      </w:r>
    </w:p>
    <w:p>
      <w:pPr>
        <w:tabs>
          <w:tab w:pos="2677" w:val="left" w:leader="none"/>
        </w:tabs>
        <w:spacing w:line="261" w:lineRule="auto" w:before="0"/>
        <w:ind w:left="2574" w:right="1721" w:hanging="738"/>
        <w:jc w:val="both"/>
        <w:rPr>
          <w:sz w:val="21"/>
        </w:rPr>
      </w:pPr>
      <w:r>
        <w:rPr>
          <w:color w:val="231F20"/>
          <w:w w:val="94"/>
          <w:sz w:val="21"/>
          <w:u w:val="single" w:color="221E1F"/>
        </w:rPr>
        <w:t> </w:t>
      </w:r>
      <w:r>
        <w:rPr>
          <w:color w:val="231F20"/>
          <w:sz w:val="21"/>
          <w:u w:val="single" w:color="221E1F"/>
        </w:rPr>
        <w:tab/>
        <w:tab/>
      </w:r>
      <w:r>
        <w:rPr>
          <w:color w:val="231F20"/>
          <w:spacing w:val="4"/>
          <w:sz w:val="21"/>
        </w:rPr>
        <w:t> </w:t>
      </w:r>
      <w:r>
        <w:rPr>
          <w:color w:val="231F20"/>
          <w:sz w:val="21"/>
        </w:rPr>
        <w:t>(2010), </w:t>
      </w:r>
      <w:r>
        <w:rPr>
          <w:rFonts w:ascii="Arial" w:hAnsi="Arial"/>
          <w:i/>
          <w:color w:val="231F20"/>
          <w:sz w:val="17"/>
        </w:rPr>
        <w:t>XI </w:t>
      </w:r>
      <w:r>
        <w:rPr>
          <w:rFonts w:ascii="Arial" w:hAnsi="Arial"/>
          <w:i/>
          <w:color w:val="231F20"/>
          <w:sz w:val="21"/>
        </w:rPr>
        <w:t>Censo General de Población y Vivienda </w:t>
      </w:r>
      <w:r>
        <w:rPr>
          <w:rFonts w:ascii="Arial" w:hAnsi="Arial"/>
          <w:i/>
          <w:color w:val="231F20"/>
          <w:spacing w:val="5"/>
          <w:sz w:val="21"/>
        </w:rPr>
        <w:t> </w:t>
      </w:r>
      <w:r>
        <w:rPr>
          <w:rFonts w:ascii="Arial" w:hAnsi="Arial"/>
          <w:i/>
          <w:color w:val="231F20"/>
          <w:sz w:val="21"/>
        </w:rPr>
        <w:t>2010</w:t>
      </w:r>
      <w:r>
        <w:rPr>
          <w:color w:val="231F20"/>
          <w:sz w:val="21"/>
        </w:rPr>
        <w:t>,</w:t>
      </w:r>
      <w:r>
        <w:rPr>
          <w:color w:val="231F20"/>
          <w:spacing w:val="-1"/>
          <w:sz w:val="21"/>
        </w:rPr>
        <w:t> </w:t>
      </w:r>
      <w:r>
        <w:rPr>
          <w:color w:val="231F20"/>
          <w:sz w:val="21"/>
        </w:rPr>
        <w:t>Aguas-</w:t>
      </w:r>
      <w:r>
        <w:rPr>
          <w:color w:val="231F20"/>
          <w:w w:val="96"/>
          <w:sz w:val="21"/>
        </w:rPr>
        <w:t> </w:t>
      </w:r>
      <w:r>
        <w:rPr>
          <w:color w:val="231F20"/>
          <w:sz w:val="21"/>
        </w:rPr>
        <w:t>calientes, México:</w:t>
      </w:r>
      <w:r>
        <w:rPr>
          <w:color w:val="231F20"/>
          <w:spacing w:val="10"/>
          <w:sz w:val="21"/>
        </w:rPr>
        <w:t> </w:t>
      </w:r>
      <w:r>
        <w:rPr>
          <w:color w:val="231F20"/>
          <w:sz w:val="17"/>
        </w:rPr>
        <w:t>INEGI</w:t>
      </w:r>
      <w:r>
        <w:rPr>
          <w:color w:val="231F20"/>
          <w:sz w:val="21"/>
        </w:rPr>
        <w:t>.</w:t>
      </w:r>
    </w:p>
    <w:p>
      <w:pPr>
        <w:spacing w:line="261" w:lineRule="auto" w:before="1"/>
        <w:ind w:left="2574" w:right="1715" w:hanging="738"/>
        <w:jc w:val="both"/>
        <w:rPr>
          <w:sz w:val="21"/>
        </w:rPr>
      </w:pPr>
      <w:r>
        <w:rPr>
          <w:color w:val="231F20"/>
          <w:w w:val="105"/>
          <w:sz w:val="21"/>
        </w:rPr>
        <w:t>Leite, Paula, Angoa, María Adela y Rodríguez, Mauricio, (2009), “Emi- gración mexicana a Estados Unidos: balance de las últimas dé- cadas”, en </w:t>
      </w:r>
      <w:r>
        <w:rPr>
          <w:color w:val="231F20"/>
          <w:w w:val="105"/>
          <w:sz w:val="17"/>
        </w:rPr>
        <w:t>CONAPO</w:t>
      </w:r>
      <w:r>
        <w:rPr>
          <w:color w:val="231F20"/>
          <w:w w:val="105"/>
          <w:sz w:val="21"/>
        </w:rPr>
        <w:t>, </w:t>
      </w:r>
      <w:r>
        <w:rPr>
          <w:rFonts w:ascii="Arial" w:hAnsi="Arial"/>
          <w:i/>
          <w:color w:val="231F20"/>
          <w:w w:val="105"/>
          <w:sz w:val="21"/>
        </w:rPr>
        <w:t>La situación demográfica de México 2009</w:t>
      </w:r>
      <w:r>
        <w:rPr>
          <w:color w:val="231F20"/>
          <w:w w:val="105"/>
          <w:sz w:val="21"/>
        </w:rPr>
        <w:t>, México: </w:t>
      </w:r>
      <w:r>
        <w:rPr>
          <w:color w:val="231F20"/>
          <w:w w:val="105"/>
          <w:sz w:val="17"/>
        </w:rPr>
        <w:t>CONAPO</w:t>
      </w:r>
      <w:r>
        <w:rPr>
          <w:color w:val="231F20"/>
          <w:w w:val="105"/>
          <w:sz w:val="21"/>
        </w:rPr>
        <w:t>.</w:t>
      </w:r>
    </w:p>
    <w:p>
      <w:pPr>
        <w:pStyle w:val="BodyText"/>
        <w:spacing w:line="261" w:lineRule="auto" w:before="1"/>
        <w:ind w:left="2574" w:right="1722" w:hanging="738"/>
        <w:jc w:val="both"/>
      </w:pPr>
      <w:r>
        <w:rPr/>
        <w:pict>
          <v:line style="position:absolute;mso-position-horizontal-relative:page;mso-position-vertical-relative:paragraph;z-index:-455152" from="15pt,128.852585pt" to="0pt,128.852585pt" stroked="true" strokeweight=".25pt" strokecolor="#000000">
            <w10:wrap type="none"/>
          </v:line>
        </w:pict>
      </w:r>
      <w:r>
        <w:rPr/>
        <w:pict>
          <v:line style="position:absolute;mso-position-horizontal-relative:page;mso-position-vertical-relative:paragraph;z-index:35056" from="508.890015pt,128.852585pt" to="523.890015pt,128.852585pt" stroked="true" strokeweight=".25pt" strokecolor="#000000">
            <w10:wrap type="none"/>
          </v:line>
        </w:pict>
      </w:r>
      <w:r>
        <w:rPr>
          <w:color w:val="231F20"/>
        </w:rPr>
        <w:t>Massey, Douglas, </w:t>
      </w:r>
      <w:r>
        <w:rPr>
          <w:color w:val="231F20"/>
          <w:spacing w:val="-3"/>
        </w:rPr>
        <w:t>Pren, </w:t>
      </w:r>
      <w:r>
        <w:rPr>
          <w:color w:val="231F20"/>
        </w:rPr>
        <w:t>Karen y Durand, Jorge, (2009), “Nuevos escenari- os de la migración México-Estados Unidos. Las consecuencias de la guerra antiinmigrante”, </w:t>
      </w:r>
      <w:r>
        <w:rPr>
          <w:rFonts w:ascii="Arial" w:hAnsi="Arial"/>
          <w:i/>
          <w:color w:val="231F20"/>
        </w:rPr>
        <w:t>Papeles de Población</w:t>
      </w:r>
      <w:r>
        <w:rPr>
          <w:color w:val="231F20"/>
        </w:rPr>
        <w:t>, vol. 15, núm. 61.</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line="261" w:lineRule="auto" w:before="60"/>
        <w:ind w:left="2461" w:right="1829" w:hanging="738"/>
        <w:jc w:val="both"/>
        <w:rPr>
          <w:sz w:val="21"/>
        </w:rPr>
      </w:pPr>
      <w:r>
        <w:rPr>
          <w:color w:val="231F20"/>
          <w:sz w:val="21"/>
        </w:rPr>
        <w:t>Mummert, Gail, (2010), “¡Quién sabe qué será ese norte!: Mujeres ante    la migración mexicana a Estados Unidos y </w:t>
      </w:r>
      <w:r>
        <w:rPr>
          <w:color w:val="231F20"/>
          <w:spacing w:val="-5"/>
          <w:sz w:val="21"/>
        </w:rPr>
        <w:t>Canadá”, </w:t>
      </w:r>
      <w:r>
        <w:rPr>
          <w:color w:val="231F20"/>
          <w:sz w:val="21"/>
        </w:rPr>
        <w:t>en Francis-  co Alba, Manuel Ángel Castillo y Agustín Verduzco (coords.), </w:t>
      </w:r>
      <w:r>
        <w:rPr>
          <w:rFonts w:ascii="Arial" w:hAnsi="Arial"/>
          <w:i/>
          <w:color w:val="231F20"/>
          <w:sz w:val="21"/>
        </w:rPr>
        <w:t>Los </w:t>
      </w:r>
      <w:r>
        <w:rPr>
          <w:rFonts w:ascii="Arial" w:hAnsi="Arial"/>
          <w:i/>
          <w:color w:val="231F20"/>
          <w:sz w:val="21"/>
        </w:rPr>
        <w:t>grandes problemas de México: Migraciones internacionales III</w:t>
      </w:r>
      <w:r>
        <w:rPr>
          <w:color w:val="231F20"/>
          <w:sz w:val="21"/>
        </w:rPr>
        <w:t>, México:</w:t>
      </w:r>
      <w:r>
        <w:rPr>
          <w:color w:val="231F20"/>
          <w:spacing w:val="16"/>
          <w:sz w:val="21"/>
        </w:rPr>
        <w:t> </w:t>
      </w:r>
      <w:r>
        <w:rPr>
          <w:color w:val="231F20"/>
          <w:sz w:val="17"/>
        </w:rPr>
        <w:t>COLMEX</w:t>
      </w:r>
      <w:r>
        <w:rPr>
          <w:color w:val="231F20"/>
          <w:sz w:val="21"/>
        </w:rPr>
        <w:t>.</w:t>
      </w:r>
    </w:p>
    <w:p>
      <w:pPr>
        <w:spacing w:line="261" w:lineRule="auto" w:before="0"/>
        <w:ind w:left="2461" w:right="1834" w:hanging="738"/>
        <w:jc w:val="both"/>
        <w:rPr>
          <w:sz w:val="21"/>
        </w:rPr>
      </w:pPr>
      <w:r>
        <w:rPr>
          <w:color w:val="231F20"/>
          <w:w w:val="105"/>
          <w:sz w:val="21"/>
        </w:rPr>
        <w:t>Naciones</w:t>
      </w:r>
      <w:r>
        <w:rPr>
          <w:color w:val="231F20"/>
          <w:spacing w:val="-7"/>
          <w:w w:val="105"/>
          <w:sz w:val="21"/>
        </w:rPr>
        <w:t> </w:t>
      </w:r>
      <w:r>
        <w:rPr>
          <w:color w:val="231F20"/>
          <w:w w:val="105"/>
          <w:sz w:val="21"/>
        </w:rPr>
        <w:t>Unidas,</w:t>
      </w:r>
      <w:r>
        <w:rPr>
          <w:color w:val="231F20"/>
          <w:spacing w:val="-13"/>
          <w:w w:val="105"/>
          <w:sz w:val="21"/>
        </w:rPr>
        <w:t> </w:t>
      </w:r>
      <w:r>
        <w:rPr>
          <w:color w:val="231F20"/>
          <w:w w:val="105"/>
          <w:sz w:val="21"/>
        </w:rPr>
        <w:t>(2006),</w:t>
      </w:r>
      <w:r>
        <w:rPr>
          <w:color w:val="231F20"/>
          <w:spacing w:val="-13"/>
          <w:w w:val="105"/>
          <w:sz w:val="21"/>
        </w:rPr>
        <w:t> </w:t>
      </w:r>
      <w:r>
        <w:rPr>
          <w:rFonts w:ascii="Arial" w:hAnsi="Arial"/>
          <w:i/>
          <w:color w:val="231F20"/>
          <w:w w:val="105"/>
          <w:sz w:val="21"/>
        </w:rPr>
        <w:t>Estudio</w:t>
      </w:r>
      <w:r>
        <w:rPr>
          <w:rFonts w:ascii="Arial" w:hAnsi="Arial"/>
          <w:i/>
          <w:color w:val="231F20"/>
          <w:spacing w:val="-10"/>
          <w:w w:val="105"/>
          <w:sz w:val="21"/>
        </w:rPr>
        <w:t> </w:t>
      </w:r>
      <w:r>
        <w:rPr>
          <w:rFonts w:ascii="Arial" w:hAnsi="Arial"/>
          <w:i/>
          <w:color w:val="231F20"/>
          <w:w w:val="105"/>
          <w:sz w:val="21"/>
        </w:rPr>
        <w:t>mundial</w:t>
      </w:r>
      <w:r>
        <w:rPr>
          <w:rFonts w:ascii="Arial" w:hAnsi="Arial"/>
          <w:i/>
          <w:color w:val="231F20"/>
          <w:spacing w:val="-10"/>
          <w:w w:val="105"/>
          <w:sz w:val="21"/>
        </w:rPr>
        <w:t> </w:t>
      </w:r>
      <w:r>
        <w:rPr>
          <w:rFonts w:ascii="Arial" w:hAnsi="Arial"/>
          <w:i/>
          <w:color w:val="231F20"/>
          <w:w w:val="105"/>
          <w:sz w:val="21"/>
        </w:rPr>
        <w:t>sobre</w:t>
      </w:r>
      <w:r>
        <w:rPr>
          <w:rFonts w:ascii="Arial" w:hAnsi="Arial"/>
          <w:i/>
          <w:color w:val="231F20"/>
          <w:spacing w:val="-10"/>
          <w:w w:val="105"/>
          <w:sz w:val="21"/>
        </w:rPr>
        <w:t> </w:t>
      </w:r>
      <w:r>
        <w:rPr>
          <w:rFonts w:ascii="Arial" w:hAnsi="Arial"/>
          <w:i/>
          <w:color w:val="231F20"/>
          <w:w w:val="105"/>
          <w:sz w:val="21"/>
        </w:rPr>
        <w:t>el</w:t>
      </w:r>
      <w:r>
        <w:rPr>
          <w:rFonts w:ascii="Arial" w:hAnsi="Arial"/>
          <w:i/>
          <w:color w:val="231F20"/>
          <w:spacing w:val="-10"/>
          <w:w w:val="105"/>
          <w:sz w:val="21"/>
        </w:rPr>
        <w:t> </w:t>
      </w:r>
      <w:r>
        <w:rPr>
          <w:rFonts w:ascii="Arial" w:hAnsi="Arial"/>
          <w:i/>
          <w:color w:val="231F20"/>
          <w:w w:val="105"/>
          <w:sz w:val="21"/>
        </w:rPr>
        <w:t>papel</w:t>
      </w:r>
      <w:r>
        <w:rPr>
          <w:rFonts w:ascii="Arial" w:hAnsi="Arial"/>
          <w:i/>
          <w:color w:val="231F20"/>
          <w:spacing w:val="-10"/>
          <w:w w:val="105"/>
          <w:sz w:val="21"/>
        </w:rPr>
        <w:t> </w:t>
      </w:r>
      <w:r>
        <w:rPr>
          <w:rFonts w:ascii="Arial" w:hAnsi="Arial"/>
          <w:i/>
          <w:color w:val="231F20"/>
          <w:w w:val="105"/>
          <w:sz w:val="21"/>
        </w:rPr>
        <w:t>de</w:t>
      </w:r>
      <w:r>
        <w:rPr>
          <w:rFonts w:ascii="Arial" w:hAnsi="Arial"/>
          <w:i/>
          <w:color w:val="231F20"/>
          <w:spacing w:val="-10"/>
          <w:w w:val="105"/>
          <w:sz w:val="21"/>
        </w:rPr>
        <w:t> </w:t>
      </w:r>
      <w:r>
        <w:rPr>
          <w:rFonts w:ascii="Arial" w:hAnsi="Arial"/>
          <w:i/>
          <w:color w:val="231F20"/>
          <w:w w:val="105"/>
          <w:sz w:val="21"/>
        </w:rPr>
        <w:t>la</w:t>
      </w:r>
      <w:r>
        <w:rPr>
          <w:rFonts w:ascii="Arial" w:hAnsi="Arial"/>
          <w:i/>
          <w:color w:val="231F20"/>
          <w:spacing w:val="-10"/>
          <w:w w:val="105"/>
          <w:sz w:val="21"/>
        </w:rPr>
        <w:t> </w:t>
      </w:r>
      <w:r>
        <w:rPr>
          <w:rFonts w:ascii="Arial" w:hAnsi="Arial"/>
          <w:i/>
          <w:color w:val="231F20"/>
          <w:w w:val="105"/>
          <w:sz w:val="21"/>
        </w:rPr>
        <w:t>mujer</w:t>
      </w:r>
      <w:r>
        <w:rPr>
          <w:rFonts w:ascii="Arial" w:hAnsi="Arial"/>
          <w:i/>
          <w:color w:val="231F20"/>
          <w:spacing w:val="-10"/>
          <w:w w:val="105"/>
          <w:sz w:val="21"/>
        </w:rPr>
        <w:t> </w:t>
      </w:r>
      <w:r>
        <w:rPr>
          <w:rFonts w:ascii="Arial" w:hAnsi="Arial"/>
          <w:i/>
          <w:color w:val="231F20"/>
          <w:w w:val="105"/>
          <w:sz w:val="21"/>
        </w:rPr>
        <w:t>en </w:t>
      </w:r>
      <w:r>
        <w:rPr>
          <w:rFonts w:ascii="Arial" w:hAnsi="Arial"/>
          <w:i/>
          <w:color w:val="231F20"/>
          <w:w w:val="105"/>
          <w:sz w:val="21"/>
        </w:rPr>
        <w:t>el</w:t>
      </w:r>
      <w:r>
        <w:rPr>
          <w:rFonts w:ascii="Arial" w:hAnsi="Arial"/>
          <w:i/>
          <w:color w:val="231F20"/>
          <w:spacing w:val="-5"/>
          <w:w w:val="105"/>
          <w:sz w:val="21"/>
        </w:rPr>
        <w:t> </w:t>
      </w:r>
      <w:r>
        <w:rPr>
          <w:rFonts w:ascii="Arial" w:hAnsi="Arial"/>
          <w:i/>
          <w:color w:val="231F20"/>
          <w:w w:val="105"/>
          <w:sz w:val="21"/>
        </w:rPr>
        <w:t>desarrollo</w:t>
      </w:r>
      <w:r>
        <w:rPr>
          <w:rFonts w:ascii="Arial" w:hAnsi="Arial"/>
          <w:i/>
          <w:color w:val="231F20"/>
          <w:spacing w:val="-5"/>
          <w:w w:val="105"/>
          <w:sz w:val="21"/>
        </w:rPr>
        <w:t> </w:t>
      </w:r>
      <w:r>
        <w:rPr>
          <w:rFonts w:ascii="Arial" w:hAnsi="Arial"/>
          <w:i/>
          <w:color w:val="231F20"/>
          <w:w w:val="105"/>
          <w:sz w:val="21"/>
        </w:rPr>
        <w:t>2004.</w:t>
      </w:r>
      <w:r>
        <w:rPr>
          <w:rFonts w:ascii="Arial" w:hAnsi="Arial"/>
          <w:i/>
          <w:color w:val="231F20"/>
          <w:spacing w:val="-10"/>
          <w:w w:val="105"/>
          <w:sz w:val="21"/>
        </w:rPr>
        <w:t> </w:t>
      </w:r>
      <w:r>
        <w:rPr>
          <w:rFonts w:ascii="Arial" w:hAnsi="Arial"/>
          <w:i/>
          <w:color w:val="231F20"/>
          <w:w w:val="105"/>
          <w:sz w:val="21"/>
        </w:rPr>
        <w:t>La</w:t>
      </w:r>
      <w:r>
        <w:rPr>
          <w:rFonts w:ascii="Arial" w:hAnsi="Arial"/>
          <w:i/>
          <w:color w:val="231F20"/>
          <w:spacing w:val="-5"/>
          <w:w w:val="105"/>
          <w:sz w:val="21"/>
        </w:rPr>
        <w:t> </w:t>
      </w:r>
      <w:r>
        <w:rPr>
          <w:rFonts w:ascii="Arial" w:hAnsi="Arial"/>
          <w:i/>
          <w:color w:val="231F20"/>
          <w:w w:val="105"/>
          <w:sz w:val="21"/>
        </w:rPr>
        <w:t>mujer</w:t>
      </w:r>
      <w:r>
        <w:rPr>
          <w:rFonts w:ascii="Arial" w:hAnsi="Arial"/>
          <w:i/>
          <w:color w:val="231F20"/>
          <w:spacing w:val="-5"/>
          <w:w w:val="105"/>
          <w:sz w:val="21"/>
        </w:rPr>
        <w:t> </w:t>
      </w:r>
      <w:r>
        <w:rPr>
          <w:rFonts w:ascii="Arial" w:hAnsi="Arial"/>
          <w:i/>
          <w:color w:val="231F20"/>
          <w:w w:val="105"/>
          <w:sz w:val="21"/>
        </w:rPr>
        <w:t>y</w:t>
      </w:r>
      <w:r>
        <w:rPr>
          <w:rFonts w:ascii="Arial" w:hAnsi="Arial"/>
          <w:i/>
          <w:color w:val="231F20"/>
          <w:spacing w:val="-5"/>
          <w:w w:val="105"/>
          <w:sz w:val="21"/>
        </w:rPr>
        <w:t> </w:t>
      </w:r>
      <w:r>
        <w:rPr>
          <w:rFonts w:ascii="Arial" w:hAnsi="Arial"/>
          <w:i/>
          <w:color w:val="231F20"/>
          <w:w w:val="105"/>
          <w:sz w:val="21"/>
        </w:rPr>
        <w:t>la</w:t>
      </w:r>
      <w:r>
        <w:rPr>
          <w:rFonts w:ascii="Arial" w:hAnsi="Arial"/>
          <w:i/>
          <w:color w:val="231F20"/>
          <w:spacing w:val="-5"/>
          <w:w w:val="105"/>
          <w:sz w:val="21"/>
        </w:rPr>
        <w:t> </w:t>
      </w:r>
      <w:r>
        <w:rPr>
          <w:rFonts w:ascii="Arial" w:hAnsi="Arial"/>
          <w:i/>
          <w:color w:val="231F20"/>
          <w:w w:val="105"/>
          <w:sz w:val="21"/>
        </w:rPr>
        <w:t>migración</w:t>
      </w:r>
      <w:r>
        <w:rPr>
          <w:rFonts w:ascii="Arial" w:hAnsi="Arial"/>
          <w:i/>
          <w:color w:val="231F20"/>
          <w:spacing w:val="-5"/>
          <w:w w:val="105"/>
          <w:sz w:val="21"/>
        </w:rPr>
        <w:t> </w:t>
      </w:r>
      <w:r>
        <w:rPr>
          <w:rFonts w:ascii="Arial" w:hAnsi="Arial"/>
          <w:i/>
          <w:color w:val="231F20"/>
          <w:w w:val="105"/>
          <w:sz w:val="21"/>
        </w:rPr>
        <w:t>internacional</w:t>
      </w:r>
      <w:r>
        <w:rPr>
          <w:color w:val="231F20"/>
          <w:w w:val="105"/>
          <w:sz w:val="21"/>
        </w:rPr>
        <w:t>,</w:t>
      </w:r>
      <w:r>
        <w:rPr>
          <w:color w:val="231F20"/>
          <w:spacing w:val="-7"/>
          <w:w w:val="105"/>
          <w:sz w:val="21"/>
        </w:rPr>
        <w:t> </w:t>
      </w:r>
      <w:r>
        <w:rPr>
          <w:color w:val="231F20"/>
          <w:w w:val="105"/>
          <w:sz w:val="21"/>
        </w:rPr>
        <w:t>Nueva </w:t>
      </w:r>
      <w:r>
        <w:rPr>
          <w:color w:val="231F20"/>
          <w:spacing w:val="-4"/>
          <w:w w:val="105"/>
          <w:sz w:val="21"/>
        </w:rPr>
        <w:t>York:</w:t>
      </w:r>
      <w:r>
        <w:rPr>
          <w:color w:val="231F20"/>
          <w:spacing w:val="-15"/>
          <w:w w:val="105"/>
          <w:sz w:val="21"/>
        </w:rPr>
        <w:t> </w:t>
      </w:r>
      <w:r>
        <w:rPr>
          <w:color w:val="231F20"/>
          <w:w w:val="105"/>
          <w:sz w:val="21"/>
        </w:rPr>
        <w:t>Naciones</w:t>
      </w:r>
      <w:r>
        <w:rPr>
          <w:color w:val="231F20"/>
          <w:spacing w:val="-15"/>
          <w:w w:val="105"/>
          <w:sz w:val="21"/>
        </w:rPr>
        <w:t> </w:t>
      </w:r>
      <w:r>
        <w:rPr>
          <w:color w:val="231F20"/>
          <w:w w:val="105"/>
          <w:sz w:val="21"/>
        </w:rPr>
        <w:t>Unidas/Departamento</w:t>
      </w:r>
      <w:r>
        <w:rPr>
          <w:color w:val="231F20"/>
          <w:spacing w:val="-15"/>
          <w:w w:val="105"/>
          <w:sz w:val="21"/>
        </w:rPr>
        <w:t> </w:t>
      </w:r>
      <w:r>
        <w:rPr>
          <w:color w:val="231F20"/>
          <w:w w:val="105"/>
          <w:sz w:val="21"/>
        </w:rPr>
        <w:t>de</w:t>
      </w:r>
      <w:r>
        <w:rPr>
          <w:color w:val="231F20"/>
          <w:spacing w:val="-18"/>
          <w:w w:val="105"/>
          <w:sz w:val="21"/>
        </w:rPr>
        <w:t> </w:t>
      </w:r>
      <w:r>
        <w:rPr>
          <w:color w:val="231F20"/>
          <w:w w:val="105"/>
          <w:sz w:val="21"/>
        </w:rPr>
        <w:t>Asuntos</w:t>
      </w:r>
      <w:r>
        <w:rPr>
          <w:color w:val="231F20"/>
          <w:spacing w:val="-15"/>
          <w:w w:val="105"/>
          <w:sz w:val="21"/>
        </w:rPr>
        <w:t> </w:t>
      </w:r>
      <w:r>
        <w:rPr>
          <w:color w:val="231F20"/>
          <w:w w:val="105"/>
          <w:sz w:val="21"/>
        </w:rPr>
        <w:t>Económicos</w:t>
      </w:r>
      <w:r>
        <w:rPr>
          <w:color w:val="231F20"/>
          <w:spacing w:val="-15"/>
          <w:w w:val="105"/>
          <w:sz w:val="21"/>
        </w:rPr>
        <w:t> </w:t>
      </w:r>
      <w:r>
        <w:rPr>
          <w:color w:val="231F20"/>
          <w:w w:val="105"/>
          <w:sz w:val="21"/>
        </w:rPr>
        <w:t>y Sociales/División</w:t>
      </w:r>
      <w:r>
        <w:rPr>
          <w:color w:val="231F20"/>
          <w:spacing w:val="-18"/>
          <w:w w:val="105"/>
          <w:sz w:val="21"/>
        </w:rPr>
        <w:t> </w:t>
      </w:r>
      <w:r>
        <w:rPr>
          <w:color w:val="231F20"/>
          <w:w w:val="105"/>
          <w:sz w:val="21"/>
        </w:rPr>
        <w:t>para</w:t>
      </w:r>
      <w:r>
        <w:rPr>
          <w:color w:val="231F20"/>
          <w:spacing w:val="-18"/>
          <w:w w:val="105"/>
          <w:sz w:val="21"/>
        </w:rPr>
        <w:t> </w:t>
      </w:r>
      <w:r>
        <w:rPr>
          <w:color w:val="231F20"/>
          <w:w w:val="105"/>
          <w:sz w:val="21"/>
        </w:rPr>
        <w:t>el</w:t>
      </w:r>
      <w:r>
        <w:rPr>
          <w:color w:val="231F20"/>
          <w:spacing w:val="-21"/>
          <w:w w:val="105"/>
          <w:sz w:val="21"/>
        </w:rPr>
        <w:t> </w:t>
      </w:r>
      <w:r>
        <w:rPr>
          <w:color w:val="231F20"/>
          <w:w w:val="105"/>
          <w:sz w:val="21"/>
        </w:rPr>
        <w:t>Adelanto</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Mujer.</w:t>
      </w:r>
    </w:p>
    <w:p>
      <w:pPr>
        <w:spacing w:line="259" w:lineRule="auto" w:before="0"/>
        <w:ind w:left="2461" w:right="1835" w:hanging="738"/>
        <w:jc w:val="both"/>
        <w:rPr>
          <w:sz w:val="21"/>
        </w:rPr>
      </w:pPr>
      <w:r>
        <w:rPr>
          <w:color w:val="231F20"/>
          <w:w w:val="105"/>
          <w:sz w:val="21"/>
        </w:rPr>
        <w:t>Nevins,</w:t>
      </w:r>
      <w:r>
        <w:rPr>
          <w:color w:val="231F20"/>
          <w:spacing w:val="-13"/>
          <w:w w:val="105"/>
          <w:sz w:val="21"/>
        </w:rPr>
        <w:t> </w:t>
      </w:r>
      <w:r>
        <w:rPr>
          <w:color w:val="231F20"/>
          <w:w w:val="105"/>
          <w:sz w:val="21"/>
        </w:rPr>
        <w:t>Joseph,</w:t>
      </w:r>
      <w:r>
        <w:rPr>
          <w:color w:val="231F20"/>
          <w:spacing w:val="-12"/>
          <w:w w:val="105"/>
          <w:sz w:val="21"/>
        </w:rPr>
        <w:t> </w:t>
      </w:r>
      <w:r>
        <w:rPr>
          <w:color w:val="231F20"/>
          <w:w w:val="105"/>
          <w:sz w:val="21"/>
        </w:rPr>
        <w:t>(2010),</w:t>
      </w:r>
      <w:r>
        <w:rPr>
          <w:color w:val="231F20"/>
          <w:spacing w:val="-12"/>
          <w:w w:val="105"/>
          <w:sz w:val="21"/>
        </w:rPr>
        <w:t> </w:t>
      </w:r>
      <w:r>
        <w:rPr>
          <w:rFonts w:ascii="Arial" w:hAnsi="Arial"/>
          <w:i/>
          <w:color w:val="231F20"/>
          <w:w w:val="105"/>
          <w:sz w:val="21"/>
        </w:rPr>
        <w:t>Operation</w:t>
      </w:r>
      <w:r>
        <w:rPr>
          <w:rFonts w:ascii="Arial" w:hAnsi="Arial"/>
          <w:i/>
          <w:color w:val="231F20"/>
          <w:spacing w:val="-10"/>
          <w:w w:val="105"/>
          <w:sz w:val="21"/>
        </w:rPr>
        <w:t> </w:t>
      </w:r>
      <w:r>
        <w:rPr>
          <w:rFonts w:ascii="Arial" w:hAnsi="Arial"/>
          <w:i/>
          <w:color w:val="231F20"/>
          <w:w w:val="105"/>
          <w:sz w:val="21"/>
        </w:rPr>
        <w:t>Gatekeeper</w:t>
      </w:r>
      <w:r>
        <w:rPr>
          <w:rFonts w:ascii="Arial" w:hAnsi="Arial"/>
          <w:i/>
          <w:color w:val="231F20"/>
          <w:spacing w:val="-10"/>
          <w:w w:val="105"/>
          <w:sz w:val="21"/>
        </w:rPr>
        <w:t> </w:t>
      </w:r>
      <w:r>
        <w:rPr>
          <w:rFonts w:ascii="Arial" w:hAnsi="Arial"/>
          <w:i/>
          <w:color w:val="231F20"/>
          <w:w w:val="105"/>
          <w:sz w:val="21"/>
        </w:rPr>
        <w:t>and</w:t>
      </w:r>
      <w:r>
        <w:rPr>
          <w:rFonts w:ascii="Arial" w:hAnsi="Arial"/>
          <w:i/>
          <w:color w:val="231F20"/>
          <w:spacing w:val="-10"/>
          <w:w w:val="105"/>
          <w:sz w:val="21"/>
        </w:rPr>
        <w:t> </w:t>
      </w:r>
      <w:r>
        <w:rPr>
          <w:rFonts w:ascii="Arial" w:hAnsi="Arial"/>
          <w:i/>
          <w:color w:val="231F20"/>
          <w:w w:val="105"/>
          <w:sz w:val="21"/>
        </w:rPr>
        <w:t>Beyond:</w:t>
      </w:r>
      <w:r>
        <w:rPr>
          <w:rFonts w:ascii="Arial" w:hAnsi="Arial"/>
          <w:i/>
          <w:color w:val="231F20"/>
          <w:spacing w:val="-10"/>
          <w:w w:val="105"/>
          <w:sz w:val="21"/>
        </w:rPr>
        <w:t> </w:t>
      </w:r>
      <w:r>
        <w:rPr>
          <w:rFonts w:ascii="Arial" w:hAnsi="Arial"/>
          <w:i/>
          <w:color w:val="231F20"/>
          <w:w w:val="105"/>
          <w:sz w:val="21"/>
        </w:rPr>
        <w:t>the</w:t>
      </w:r>
      <w:r>
        <w:rPr>
          <w:rFonts w:ascii="Arial" w:hAnsi="Arial"/>
          <w:i/>
          <w:color w:val="231F20"/>
          <w:spacing w:val="-11"/>
          <w:w w:val="105"/>
          <w:sz w:val="21"/>
        </w:rPr>
        <w:t> </w:t>
      </w:r>
      <w:r>
        <w:rPr>
          <w:rFonts w:ascii="Arial" w:hAnsi="Arial"/>
          <w:i/>
          <w:color w:val="231F20"/>
          <w:w w:val="105"/>
          <w:sz w:val="21"/>
        </w:rPr>
        <w:t>War</w:t>
      </w:r>
      <w:r>
        <w:rPr>
          <w:rFonts w:ascii="Arial" w:hAnsi="Arial"/>
          <w:i/>
          <w:color w:val="231F20"/>
          <w:spacing w:val="-10"/>
          <w:w w:val="105"/>
          <w:sz w:val="21"/>
        </w:rPr>
        <w:t> </w:t>
      </w:r>
      <w:r>
        <w:rPr>
          <w:rFonts w:ascii="Arial" w:hAnsi="Arial"/>
          <w:i/>
          <w:color w:val="231F20"/>
          <w:w w:val="105"/>
          <w:sz w:val="21"/>
        </w:rPr>
        <w:t>on </w:t>
      </w:r>
      <w:r>
        <w:rPr>
          <w:rFonts w:ascii="Arial" w:hAnsi="Arial"/>
          <w:i/>
          <w:color w:val="231F20"/>
          <w:w w:val="105"/>
          <w:sz w:val="21"/>
        </w:rPr>
        <w:t>“Illegals”</w:t>
      </w:r>
      <w:r>
        <w:rPr>
          <w:rFonts w:ascii="Arial" w:hAnsi="Arial"/>
          <w:i/>
          <w:color w:val="231F20"/>
          <w:spacing w:val="-30"/>
          <w:w w:val="105"/>
          <w:sz w:val="21"/>
        </w:rPr>
        <w:t> </w:t>
      </w:r>
      <w:r>
        <w:rPr>
          <w:rFonts w:ascii="Arial" w:hAnsi="Arial"/>
          <w:i/>
          <w:color w:val="231F20"/>
          <w:w w:val="105"/>
          <w:sz w:val="21"/>
        </w:rPr>
        <w:t>and</w:t>
      </w:r>
      <w:r>
        <w:rPr>
          <w:rFonts w:ascii="Arial" w:hAnsi="Arial"/>
          <w:i/>
          <w:color w:val="231F20"/>
          <w:spacing w:val="-30"/>
          <w:w w:val="105"/>
          <w:sz w:val="21"/>
        </w:rPr>
        <w:t> </w:t>
      </w:r>
      <w:r>
        <w:rPr>
          <w:rFonts w:ascii="Arial" w:hAnsi="Arial"/>
          <w:i/>
          <w:color w:val="231F20"/>
          <w:w w:val="105"/>
          <w:sz w:val="21"/>
        </w:rPr>
        <w:t>the</w:t>
      </w:r>
      <w:r>
        <w:rPr>
          <w:rFonts w:ascii="Arial" w:hAnsi="Arial"/>
          <w:i/>
          <w:color w:val="231F20"/>
          <w:spacing w:val="-30"/>
          <w:w w:val="105"/>
          <w:sz w:val="21"/>
        </w:rPr>
        <w:t> </w:t>
      </w:r>
      <w:r>
        <w:rPr>
          <w:rFonts w:ascii="Arial" w:hAnsi="Arial"/>
          <w:i/>
          <w:color w:val="231F20"/>
          <w:w w:val="105"/>
          <w:sz w:val="21"/>
        </w:rPr>
        <w:t>Remaking</w:t>
      </w:r>
      <w:r>
        <w:rPr>
          <w:rFonts w:ascii="Arial" w:hAnsi="Arial"/>
          <w:i/>
          <w:color w:val="231F20"/>
          <w:spacing w:val="-30"/>
          <w:w w:val="105"/>
          <w:sz w:val="21"/>
        </w:rPr>
        <w:t> </w:t>
      </w:r>
      <w:r>
        <w:rPr>
          <w:rFonts w:ascii="Arial" w:hAnsi="Arial"/>
          <w:i/>
          <w:color w:val="231F20"/>
          <w:w w:val="105"/>
          <w:sz w:val="21"/>
        </w:rPr>
        <w:t>of</w:t>
      </w:r>
      <w:r>
        <w:rPr>
          <w:rFonts w:ascii="Arial" w:hAnsi="Arial"/>
          <w:i/>
          <w:color w:val="231F20"/>
          <w:spacing w:val="-27"/>
          <w:w w:val="105"/>
          <w:sz w:val="21"/>
        </w:rPr>
        <w:t> </w:t>
      </w:r>
      <w:r>
        <w:rPr>
          <w:rFonts w:ascii="Arial" w:hAnsi="Arial"/>
          <w:i/>
          <w:color w:val="231F20"/>
          <w:w w:val="105"/>
          <w:sz w:val="21"/>
        </w:rPr>
        <w:t>the</w:t>
      </w:r>
      <w:r>
        <w:rPr>
          <w:rFonts w:ascii="Arial" w:hAnsi="Arial"/>
          <w:i/>
          <w:color w:val="231F20"/>
          <w:spacing w:val="-30"/>
          <w:w w:val="105"/>
          <w:sz w:val="21"/>
        </w:rPr>
        <w:t> </w:t>
      </w:r>
      <w:r>
        <w:rPr>
          <w:rFonts w:ascii="Arial" w:hAnsi="Arial"/>
          <w:i/>
          <w:color w:val="231F20"/>
          <w:w w:val="105"/>
          <w:sz w:val="21"/>
        </w:rPr>
        <w:t>U.S.-Mexico</w:t>
      </w:r>
      <w:r>
        <w:rPr>
          <w:rFonts w:ascii="Arial" w:hAnsi="Arial"/>
          <w:i/>
          <w:color w:val="231F20"/>
          <w:spacing w:val="-30"/>
          <w:w w:val="105"/>
          <w:sz w:val="21"/>
        </w:rPr>
        <w:t> </w:t>
      </w:r>
      <w:r>
        <w:rPr>
          <w:rFonts w:ascii="Arial" w:hAnsi="Arial"/>
          <w:i/>
          <w:color w:val="231F20"/>
          <w:w w:val="105"/>
          <w:sz w:val="21"/>
        </w:rPr>
        <w:t>Boundary</w:t>
      </w:r>
      <w:r>
        <w:rPr>
          <w:color w:val="231F20"/>
          <w:w w:val="105"/>
          <w:sz w:val="21"/>
        </w:rPr>
        <w:t>,</w:t>
      </w:r>
      <w:r>
        <w:rPr>
          <w:color w:val="231F20"/>
          <w:spacing w:val="-31"/>
          <w:w w:val="105"/>
          <w:sz w:val="21"/>
        </w:rPr>
        <w:t> </w:t>
      </w:r>
      <w:r>
        <w:rPr>
          <w:color w:val="231F20"/>
          <w:w w:val="105"/>
          <w:sz w:val="21"/>
        </w:rPr>
        <w:t>Los</w:t>
      </w:r>
      <w:r>
        <w:rPr>
          <w:color w:val="231F20"/>
          <w:spacing w:val="-30"/>
          <w:w w:val="105"/>
          <w:sz w:val="21"/>
        </w:rPr>
        <w:t> </w:t>
      </w:r>
      <w:r>
        <w:rPr>
          <w:color w:val="231F20"/>
          <w:w w:val="105"/>
          <w:sz w:val="21"/>
        </w:rPr>
        <w:t>An- geles:</w:t>
      </w:r>
      <w:r>
        <w:rPr>
          <w:color w:val="231F20"/>
          <w:spacing w:val="-29"/>
          <w:w w:val="105"/>
          <w:sz w:val="21"/>
        </w:rPr>
        <w:t> </w:t>
      </w:r>
      <w:r>
        <w:rPr>
          <w:color w:val="231F20"/>
          <w:w w:val="105"/>
          <w:sz w:val="21"/>
        </w:rPr>
        <w:t>Routledge.</w:t>
      </w:r>
    </w:p>
    <w:p>
      <w:pPr>
        <w:pStyle w:val="BodyText"/>
        <w:spacing w:line="261" w:lineRule="auto" w:before="3"/>
        <w:ind w:left="1724" w:right="1834" w:hanging="1"/>
        <w:jc w:val="right"/>
        <w:rPr>
          <w:sz w:val="17"/>
        </w:rPr>
      </w:pPr>
      <w:r>
        <w:rPr>
          <w:color w:val="231F20"/>
          <w:spacing w:val="-3"/>
          <w:w w:val="105"/>
        </w:rPr>
        <w:t>Parrado,</w:t>
      </w:r>
      <w:r>
        <w:rPr>
          <w:color w:val="231F20"/>
          <w:spacing w:val="-29"/>
          <w:w w:val="105"/>
        </w:rPr>
        <w:t> </w:t>
      </w:r>
      <w:r>
        <w:rPr>
          <w:color w:val="231F20"/>
          <w:w w:val="105"/>
        </w:rPr>
        <w:t>Emilio</w:t>
      </w:r>
      <w:r>
        <w:rPr>
          <w:color w:val="231F20"/>
          <w:spacing w:val="-25"/>
          <w:w w:val="105"/>
        </w:rPr>
        <w:t> </w:t>
      </w:r>
      <w:r>
        <w:rPr>
          <w:color w:val="231F20"/>
          <w:w w:val="105"/>
        </w:rPr>
        <w:t>y</w:t>
      </w:r>
      <w:r>
        <w:rPr>
          <w:color w:val="231F20"/>
          <w:spacing w:val="-25"/>
          <w:w w:val="105"/>
        </w:rPr>
        <w:t> </w:t>
      </w:r>
      <w:r>
        <w:rPr>
          <w:color w:val="231F20"/>
          <w:w w:val="105"/>
        </w:rPr>
        <w:t>Chenoa,</w:t>
      </w:r>
      <w:r>
        <w:rPr>
          <w:color w:val="231F20"/>
          <w:spacing w:val="-29"/>
          <w:w w:val="105"/>
        </w:rPr>
        <w:t> </w:t>
      </w:r>
      <w:r>
        <w:rPr>
          <w:color w:val="231F20"/>
          <w:w w:val="105"/>
        </w:rPr>
        <w:t>Flippen,</w:t>
      </w:r>
      <w:r>
        <w:rPr>
          <w:color w:val="231F20"/>
          <w:spacing w:val="-29"/>
          <w:w w:val="105"/>
        </w:rPr>
        <w:t> </w:t>
      </w:r>
      <w:r>
        <w:rPr>
          <w:color w:val="231F20"/>
          <w:w w:val="105"/>
        </w:rPr>
        <w:t>(2005),</w:t>
      </w:r>
      <w:r>
        <w:rPr>
          <w:color w:val="231F20"/>
          <w:spacing w:val="-29"/>
          <w:w w:val="105"/>
        </w:rPr>
        <w:t> </w:t>
      </w:r>
      <w:r>
        <w:rPr>
          <w:color w:val="231F20"/>
          <w:w w:val="105"/>
        </w:rPr>
        <w:t>“Migration</w:t>
      </w:r>
      <w:r>
        <w:rPr>
          <w:color w:val="231F20"/>
          <w:spacing w:val="-25"/>
          <w:w w:val="105"/>
        </w:rPr>
        <w:t> </w:t>
      </w:r>
      <w:r>
        <w:rPr>
          <w:color w:val="231F20"/>
          <w:w w:val="105"/>
        </w:rPr>
        <w:t>and</w:t>
      </w:r>
      <w:r>
        <w:rPr>
          <w:color w:val="231F20"/>
          <w:spacing w:val="-25"/>
          <w:w w:val="105"/>
        </w:rPr>
        <w:t> </w:t>
      </w:r>
      <w:r>
        <w:rPr>
          <w:color w:val="231F20"/>
          <w:w w:val="105"/>
        </w:rPr>
        <w:t>Gender</w:t>
      </w:r>
      <w:r>
        <w:rPr>
          <w:color w:val="231F20"/>
          <w:spacing w:val="-25"/>
          <w:w w:val="105"/>
        </w:rPr>
        <w:t> </w:t>
      </w:r>
      <w:r>
        <w:rPr>
          <w:color w:val="231F20"/>
          <w:w w:val="105"/>
        </w:rPr>
        <w:t>among</w:t>
      </w:r>
      <w:r>
        <w:rPr>
          <w:color w:val="231F20"/>
          <w:w w:val="105"/>
        </w:rPr>
        <w:t> </w:t>
      </w:r>
      <w:r>
        <w:rPr>
          <w:color w:val="231F20"/>
          <w:w w:val="105"/>
        </w:rPr>
        <w:t>Mexican</w:t>
      </w:r>
      <w:r>
        <w:rPr>
          <w:color w:val="231F20"/>
          <w:spacing w:val="-29"/>
          <w:w w:val="105"/>
        </w:rPr>
        <w:t> </w:t>
      </w:r>
      <w:r>
        <w:rPr>
          <w:color w:val="231F20"/>
          <w:spacing w:val="-5"/>
          <w:w w:val="105"/>
        </w:rPr>
        <w:t>Women”,</w:t>
      </w:r>
      <w:r>
        <w:rPr>
          <w:color w:val="231F20"/>
          <w:spacing w:val="-31"/>
          <w:w w:val="105"/>
        </w:rPr>
        <w:t> </w:t>
      </w:r>
      <w:r>
        <w:rPr>
          <w:rFonts w:ascii="Arial" w:hAnsi="Arial"/>
          <w:i/>
          <w:color w:val="231F20"/>
          <w:w w:val="105"/>
        </w:rPr>
        <w:t>American</w:t>
      </w:r>
      <w:r>
        <w:rPr>
          <w:rFonts w:ascii="Arial" w:hAnsi="Arial"/>
          <w:i/>
          <w:color w:val="231F20"/>
          <w:spacing w:val="-30"/>
          <w:w w:val="105"/>
        </w:rPr>
        <w:t> </w:t>
      </w:r>
      <w:r>
        <w:rPr>
          <w:rFonts w:ascii="Arial" w:hAnsi="Arial"/>
          <w:i/>
          <w:color w:val="231F20"/>
          <w:w w:val="105"/>
        </w:rPr>
        <w:t>Sociological</w:t>
      </w:r>
      <w:r>
        <w:rPr>
          <w:rFonts w:ascii="Arial" w:hAnsi="Arial"/>
          <w:i/>
          <w:color w:val="231F20"/>
          <w:spacing w:val="-30"/>
          <w:w w:val="105"/>
        </w:rPr>
        <w:t> </w:t>
      </w:r>
      <w:r>
        <w:rPr>
          <w:rFonts w:ascii="Arial" w:hAnsi="Arial"/>
          <w:i/>
          <w:color w:val="231F20"/>
          <w:w w:val="105"/>
        </w:rPr>
        <w:t>Review</w:t>
      </w:r>
      <w:r>
        <w:rPr>
          <w:color w:val="231F20"/>
          <w:w w:val="105"/>
        </w:rPr>
        <w:t>,</w:t>
      </w:r>
      <w:r>
        <w:rPr>
          <w:color w:val="231F20"/>
          <w:spacing w:val="-31"/>
          <w:w w:val="105"/>
        </w:rPr>
        <w:t> </w:t>
      </w:r>
      <w:r>
        <w:rPr>
          <w:color w:val="231F20"/>
          <w:w w:val="105"/>
        </w:rPr>
        <w:t>vol.</w:t>
      </w:r>
      <w:r>
        <w:rPr>
          <w:color w:val="231F20"/>
          <w:spacing w:val="-31"/>
          <w:w w:val="105"/>
        </w:rPr>
        <w:t> </w:t>
      </w:r>
      <w:r>
        <w:rPr>
          <w:color w:val="231F20"/>
          <w:w w:val="105"/>
        </w:rPr>
        <w:t>70,</w:t>
      </w:r>
      <w:r>
        <w:rPr>
          <w:color w:val="231F20"/>
          <w:spacing w:val="-31"/>
          <w:w w:val="105"/>
        </w:rPr>
        <w:t> </w:t>
      </w:r>
      <w:r>
        <w:rPr>
          <w:color w:val="231F20"/>
          <w:w w:val="105"/>
        </w:rPr>
        <w:t>núm.</w:t>
      </w:r>
      <w:r>
        <w:rPr>
          <w:color w:val="231F20"/>
          <w:spacing w:val="-31"/>
          <w:w w:val="105"/>
        </w:rPr>
        <w:t> </w:t>
      </w:r>
      <w:r>
        <w:rPr>
          <w:color w:val="231F20"/>
          <w:w w:val="105"/>
        </w:rPr>
        <w:t>4.</w:t>
      </w:r>
      <w:r>
        <w:rPr>
          <w:color w:val="231F20"/>
          <w:w w:val="100"/>
        </w:rPr>
        <w:t> </w:t>
      </w:r>
      <w:r>
        <w:rPr>
          <w:color w:val="231F20"/>
          <w:w w:val="105"/>
        </w:rPr>
        <w:t>Secretaría de Desarrollo Social, Consejo Nacional de Población</w:t>
      </w:r>
      <w:r>
        <w:rPr>
          <w:color w:val="231F20"/>
          <w:spacing w:val="-26"/>
          <w:w w:val="105"/>
        </w:rPr>
        <w:t> </w:t>
      </w:r>
      <w:r>
        <w:rPr>
          <w:color w:val="231F20"/>
          <w:w w:val="105"/>
        </w:rPr>
        <w:t>e</w:t>
      </w:r>
      <w:r>
        <w:rPr>
          <w:color w:val="231F20"/>
          <w:spacing w:val="-3"/>
          <w:w w:val="105"/>
        </w:rPr>
        <w:t> </w:t>
      </w:r>
      <w:r>
        <w:rPr>
          <w:color w:val="231F20"/>
          <w:w w:val="105"/>
        </w:rPr>
        <w:t>Insti-</w:t>
      </w:r>
      <w:r>
        <w:rPr>
          <w:color w:val="231F20"/>
          <w:w w:val="96"/>
        </w:rPr>
        <w:t> </w:t>
      </w:r>
      <w:r>
        <w:rPr>
          <w:color w:val="231F20"/>
          <w:w w:val="105"/>
        </w:rPr>
        <w:t>tuto</w:t>
      </w:r>
      <w:r>
        <w:rPr>
          <w:color w:val="231F20"/>
          <w:spacing w:val="-17"/>
          <w:w w:val="105"/>
        </w:rPr>
        <w:t> </w:t>
      </w:r>
      <w:r>
        <w:rPr>
          <w:color w:val="231F20"/>
          <w:w w:val="105"/>
        </w:rPr>
        <w:t>Nacional</w:t>
      </w:r>
      <w:r>
        <w:rPr>
          <w:color w:val="231F20"/>
          <w:spacing w:val="-17"/>
          <w:w w:val="105"/>
        </w:rPr>
        <w:t> </w:t>
      </w:r>
      <w:r>
        <w:rPr>
          <w:color w:val="231F20"/>
          <w:w w:val="105"/>
        </w:rPr>
        <w:t>de</w:t>
      </w:r>
      <w:r>
        <w:rPr>
          <w:color w:val="231F20"/>
          <w:spacing w:val="-17"/>
          <w:w w:val="105"/>
        </w:rPr>
        <w:t> </w:t>
      </w:r>
      <w:r>
        <w:rPr>
          <w:color w:val="231F20"/>
          <w:w w:val="105"/>
        </w:rPr>
        <w:t>Geografía</w:t>
      </w:r>
      <w:r>
        <w:rPr>
          <w:color w:val="231F20"/>
          <w:spacing w:val="-17"/>
          <w:w w:val="105"/>
        </w:rPr>
        <w:t> </w:t>
      </w:r>
      <w:r>
        <w:rPr>
          <w:color w:val="231F20"/>
          <w:w w:val="105"/>
        </w:rPr>
        <w:t>y</w:t>
      </w:r>
      <w:r>
        <w:rPr>
          <w:color w:val="231F20"/>
          <w:spacing w:val="-17"/>
          <w:w w:val="105"/>
        </w:rPr>
        <w:t> </w:t>
      </w:r>
      <w:r>
        <w:rPr>
          <w:color w:val="231F20"/>
          <w:w w:val="105"/>
        </w:rPr>
        <w:t>Estadística</w:t>
      </w:r>
      <w:r>
        <w:rPr>
          <w:color w:val="231F20"/>
          <w:spacing w:val="-17"/>
          <w:w w:val="105"/>
        </w:rPr>
        <w:t> </w:t>
      </w:r>
      <w:r>
        <w:rPr>
          <w:color w:val="231F20"/>
          <w:w w:val="105"/>
        </w:rPr>
        <w:t>(</w:t>
      </w:r>
      <w:r>
        <w:rPr>
          <w:color w:val="231F20"/>
          <w:w w:val="105"/>
          <w:sz w:val="17"/>
        </w:rPr>
        <w:t>SEDESOL</w:t>
      </w:r>
      <w:r>
        <w:rPr>
          <w:color w:val="231F20"/>
          <w:w w:val="105"/>
        </w:rPr>
        <w:t>,</w:t>
      </w:r>
      <w:r>
        <w:rPr>
          <w:color w:val="231F20"/>
          <w:spacing w:val="-20"/>
          <w:w w:val="105"/>
        </w:rPr>
        <w:t> </w:t>
      </w:r>
      <w:r>
        <w:rPr>
          <w:color w:val="231F20"/>
          <w:w w:val="105"/>
          <w:sz w:val="17"/>
        </w:rPr>
        <w:t>CONAPO</w:t>
      </w:r>
      <w:r>
        <w:rPr>
          <w:color w:val="231F20"/>
          <w:w w:val="105"/>
        </w:rPr>
        <w:t>,</w:t>
      </w:r>
      <w:r>
        <w:rPr>
          <w:color w:val="231F20"/>
          <w:spacing w:val="-20"/>
          <w:w w:val="105"/>
        </w:rPr>
        <w:t> </w:t>
      </w:r>
      <w:r>
        <w:rPr>
          <w:color w:val="231F20"/>
          <w:w w:val="105"/>
        </w:rPr>
        <w:t>e</w:t>
      </w:r>
      <w:r>
        <w:rPr>
          <w:color w:val="231F20"/>
          <w:spacing w:val="-17"/>
          <w:w w:val="105"/>
        </w:rPr>
        <w:t> </w:t>
      </w:r>
      <w:r>
        <w:rPr>
          <w:color w:val="231F20"/>
          <w:w w:val="105"/>
          <w:sz w:val="17"/>
        </w:rPr>
        <w:t>IN-</w:t>
      </w:r>
    </w:p>
    <w:p>
      <w:pPr>
        <w:spacing w:line="259" w:lineRule="auto" w:before="0"/>
        <w:ind w:left="2461" w:right="1683" w:hanging="1"/>
        <w:jc w:val="left"/>
        <w:rPr>
          <w:sz w:val="21"/>
        </w:rPr>
      </w:pPr>
      <w:r>
        <w:rPr>
          <w:color w:val="231F20"/>
          <w:sz w:val="17"/>
        </w:rPr>
        <w:t>EGI</w:t>
      </w:r>
      <w:r>
        <w:rPr>
          <w:color w:val="231F20"/>
          <w:sz w:val="21"/>
        </w:rPr>
        <w:t>), (2012), </w:t>
      </w:r>
      <w:r>
        <w:rPr>
          <w:rFonts w:ascii="Arial" w:hAnsi="Arial"/>
          <w:i/>
          <w:color w:val="231F20"/>
          <w:sz w:val="21"/>
        </w:rPr>
        <w:t>Delimitación de las zonas metropolitanas de México, </w:t>
      </w:r>
      <w:r>
        <w:rPr>
          <w:rFonts w:ascii="Arial" w:hAnsi="Arial"/>
          <w:i/>
          <w:color w:val="231F20"/>
          <w:sz w:val="21"/>
        </w:rPr>
        <w:t>2010</w:t>
      </w:r>
      <w:r>
        <w:rPr>
          <w:color w:val="231F20"/>
          <w:sz w:val="21"/>
        </w:rPr>
        <w:t>, México: </w:t>
      </w:r>
      <w:r>
        <w:rPr>
          <w:color w:val="231F20"/>
          <w:sz w:val="17"/>
        </w:rPr>
        <w:t>CONAPO</w:t>
      </w:r>
      <w:r>
        <w:rPr>
          <w:color w:val="231F20"/>
          <w:sz w:val="21"/>
        </w:rPr>
        <w:t>/</w:t>
      </w:r>
      <w:r>
        <w:rPr>
          <w:color w:val="231F20"/>
          <w:sz w:val="17"/>
        </w:rPr>
        <w:t>SEDESOL</w:t>
      </w:r>
      <w:r>
        <w:rPr>
          <w:color w:val="231F20"/>
          <w:sz w:val="21"/>
        </w:rPr>
        <w:t>/</w:t>
      </w:r>
      <w:r>
        <w:rPr>
          <w:color w:val="231F20"/>
          <w:sz w:val="17"/>
        </w:rPr>
        <w:t>INEGI</w:t>
      </w:r>
      <w:r>
        <w:rPr>
          <w:color w:val="231F20"/>
          <w:sz w:val="21"/>
        </w:rPr>
        <w:t>.</w:t>
      </w:r>
    </w:p>
    <w:p>
      <w:pPr>
        <w:pStyle w:val="BodyText"/>
        <w:spacing w:line="261" w:lineRule="auto" w:before="3"/>
        <w:ind w:left="2461" w:right="1828" w:hanging="738"/>
        <w:jc w:val="both"/>
      </w:pPr>
      <w:r>
        <w:rPr>
          <w:color w:val="231F20"/>
        </w:rPr>
        <w:t>Tuirán, Rodolfo y Ávila, José Luis, (2010), “La migración México-Estados Unidos, 1940-2010”, en Francisco Alba, Manuel Ángel Castillo y Agustín Verduzco (coords.), </w:t>
      </w:r>
      <w:r>
        <w:rPr>
          <w:rFonts w:ascii="Arial" w:hAnsi="Arial"/>
          <w:i/>
          <w:color w:val="231F20"/>
        </w:rPr>
        <w:t>Los grandes problemas de México</w:t>
      </w:r>
      <w:r>
        <w:rPr>
          <w:color w:val="231F20"/>
        </w:rPr>
        <w:t>, México: </w:t>
      </w:r>
      <w:r>
        <w:rPr>
          <w:color w:val="231F20"/>
          <w:sz w:val="17"/>
        </w:rPr>
        <w:t>COLMEX</w:t>
      </w:r>
      <w:r>
        <w:rPr>
          <w:color w:val="231F20"/>
        </w:rPr>
        <w:t>.</w:t>
      </w:r>
    </w:p>
    <w:p>
      <w:pPr>
        <w:pStyle w:val="BodyText"/>
        <w:spacing w:line="261" w:lineRule="auto" w:before="1"/>
        <w:ind w:left="2461" w:right="1834" w:hanging="738"/>
        <w:jc w:val="both"/>
      </w:pPr>
      <w:r>
        <w:rPr>
          <w:color w:val="231F20"/>
          <w:w w:val="105"/>
        </w:rPr>
        <w:t>Zhou, Min, (2002), “Contemporary Female Immigration to the United States: A Demographic </w:t>
      </w:r>
      <w:r>
        <w:rPr>
          <w:color w:val="231F20"/>
          <w:spacing w:val="-5"/>
          <w:w w:val="105"/>
        </w:rPr>
        <w:t>Profile”, </w:t>
      </w:r>
      <w:r>
        <w:rPr>
          <w:color w:val="231F20"/>
          <w:w w:val="105"/>
        </w:rPr>
        <w:t>en Philippa Strum y Danielle </w:t>
      </w:r>
      <w:r>
        <w:rPr>
          <w:color w:val="231F20"/>
          <w:spacing w:val="-3"/>
          <w:w w:val="105"/>
        </w:rPr>
        <w:t>Tarantolo</w:t>
      </w:r>
      <w:r>
        <w:rPr>
          <w:color w:val="231F20"/>
          <w:spacing w:val="-13"/>
          <w:w w:val="105"/>
        </w:rPr>
        <w:t> </w:t>
      </w:r>
      <w:r>
        <w:rPr>
          <w:color w:val="231F20"/>
          <w:w w:val="105"/>
        </w:rPr>
        <w:t>(eds.),</w:t>
      </w:r>
      <w:r>
        <w:rPr>
          <w:color w:val="231F20"/>
          <w:spacing w:val="-17"/>
          <w:w w:val="105"/>
        </w:rPr>
        <w:t> </w:t>
      </w:r>
      <w:r>
        <w:rPr>
          <w:rFonts w:ascii="Arial" w:hAnsi="Arial"/>
          <w:i/>
          <w:color w:val="231F20"/>
          <w:w w:val="105"/>
        </w:rPr>
        <w:t>Women</w:t>
      </w:r>
      <w:r>
        <w:rPr>
          <w:rFonts w:ascii="Arial" w:hAnsi="Arial"/>
          <w:i/>
          <w:color w:val="231F20"/>
          <w:spacing w:val="-16"/>
          <w:w w:val="105"/>
        </w:rPr>
        <w:t> </w:t>
      </w:r>
      <w:r>
        <w:rPr>
          <w:rFonts w:ascii="Arial" w:hAnsi="Arial"/>
          <w:i/>
          <w:color w:val="231F20"/>
          <w:w w:val="105"/>
        </w:rPr>
        <w:t>Immigrants</w:t>
      </w:r>
      <w:r>
        <w:rPr>
          <w:rFonts w:ascii="Arial" w:hAnsi="Arial"/>
          <w:i/>
          <w:color w:val="231F20"/>
          <w:spacing w:val="-16"/>
          <w:w w:val="105"/>
        </w:rPr>
        <w:t> </w:t>
      </w:r>
      <w:r>
        <w:rPr>
          <w:rFonts w:ascii="Arial" w:hAnsi="Arial"/>
          <w:i/>
          <w:color w:val="231F20"/>
          <w:w w:val="105"/>
        </w:rPr>
        <w:t>in</w:t>
      </w:r>
      <w:r>
        <w:rPr>
          <w:rFonts w:ascii="Arial" w:hAnsi="Arial"/>
          <w:i/>
          <w:color w:val="231F20"/>
          <w:spacing w:val="-16"/>
          <w:w w:val="105"/>
        </w:rPr>
        <w:t> </w:t>
      </w:r>
      <w:r>
        <w:rPr>
          <w:rFonts w:ascii="Arial" w:hAnsi="Arial"/>
          <w:i/>
          <w:color w:val="231F20"/>
          <w:w w:val="105"/>
        </w:rPr>
        <w:t>the</w:t>
      </w:r>
      <w:r>
        <w:rPr>
          <w:rFonts w:ascii="Arial" w:hAnsi="Arial"/>
          <w:i/>
          <w:color w:val="231F20"/>
          <w:spacing w:val="-16"/>
          <w:w w:val="105"/>
        </w:rPr>
        <w:t> </w:t>
      </w:r>
      <w:r>
        <w:rPr>
          <w:rFonts w:ascii="Arial" w:hAnsi="Arial"/>
          <w:i/>
          <w:color w:val="231F20"/>
          <w:w w:val="105"/>
        </w:rPr>
        <w:t>United</w:t>
      </w:r>
      <w:r>
        <w:rPr>
          <w:rFonts w:ascii="Arial" w:hAnsi="Arial"/>
          <w:i/>
          <w:color w:val="231F20"/>
          <w:spacing w:val="-16"/>
          <w:w w:val="105"/>
        </w:rPr>
        <w:t> </w:t>
      </w:r>
      <w:r>
        <w:rPr>
          <w:rFonts w:ascii="Arial" w:hAnsi="Arial"/>
          <w:i/>
          <w:color w:val="231F20"/>
          <w:w w:val="105"/>
        </w:rPr>
        <w:t>States</w:t>
      </w:r>
      <w:r>
        <w:rPr>
          <w:color w:val="231F20"/>
          <w:w w:val="105"/>
        </w:rPr>
        <w:t>,</w:t>
      </w:r>
      <w:r>
        <w:rPr>
          <w:color w:val="231F20"/>
          <w:spacing w:val="-19"/>
          <w:w w:val="105"/>
        </w:rPr>
        <w:t> </w:t>
      </w:r>
      <w:r>
        <w:rPr>
          <w:color w:val="231F20"/>
          <w:w w:val="105"/>
        </w:rPr>
        <w:t>Wash- ington</w:t>
      </w:r>
      <w:r>
        <w:rPr>
          <w:color w:val="231F20"/>
          <w:spacing w:val="-16"/>
          <w:w w:val="105"/>
        </w:rPr>
        <w:t> </w:t>
      </w:r>
      <w:r>
        <w:rPr>
          <w:color w:val="231F20"/>
          <w:spacing w:val="-3"/>
          <w:w w:val="105"/>
        </w:rPr>
        <w:t>D.C:</w:t>
      </w:r>
      <w:r>
        <w:rPr>
          <w:color w:val="231F20"/>
          <w:spacing w:val="-18"/>
          <w:w w:val="105"/>
        </w:rPr>
        <w:t> </w:t>
      </w:r>
      <w:r>
        <w:rPr>
          <w:color w:val="231F20"/>
          <w:w w:val="105"/>
        </w:rPr>
        <w:t>Woodrow</w:t>
      </w:r>
      <w:r>
        <w:rPr>
          <w:color w:val="231F20"/>
          <w:spacing w:val="-18"/>
          <w:w w:val="105"/>
        </w:rPr>
        <w:t> </w:t>
      </w:r>
      <w:r>
        <w:rPr>
          <w:color w:val="231F20"/>
          <w:w w:val="105"/>
        </w:rPr>
        <w:t>Wilson</w:t>
      </w:r>
      <w:r>
        <w:rPr>
          <w:color w:val="231F20"/>
          <w:spacing w:val="-16"/>
          <w:w w:val="105"/>
        </w:rPr>
        <w:t> </w:t>
      </w:r>
      <w:r>
        <w:rPr>
          <w:color w:val="231F20"/>
          <w:w w:val="105"/>
        </w:rPr>
        <w:t>International</w:t>
      </w:r>
      <w:r>
        <w:rPr>
          <w:color w:val="231F20"/>
          <w:spacing w:val="-16"/>
          <w:w w:val="105"/>
        </w:rPr>
        <w:t> </w:t>
      </w:r>
      <w:r>
        <w:rPr>
          <w:color w:val="231F20"/>
          <w:w w:val="105"/>
        </w:rPr>
        <w:t>Center</w:t>
      </w:r>
      <w:r>
        <w:rPr>
          <w:color w:val="231F20"/>
          <w:spacing w:val="-16"/>
          <w:w w:val="105"/>
        </w:rPr>
        <w:t> </w:t>
      </w:r>
      <w:r>
        <w:rPr>
          <w:color w:val="231F20"/>
          <w:w w:val="105"/>
        </w:rPr>
        <w:t>for</w:t>
      </w:r>
      <w:r>
        <w:rPr>
          <w:color w:val="231F20"/>
          <w:spacing w:val="-16"/>
          <w:w w:val="105"/>
        </w:rPr>
        <w:t> </w:t>
      </w:r>
      <w:r>
        <w:rPr>
          <w:color w:val="231F20"/>
          <w:w w:val="105"/>
        </w:rPr>
        <w:t>Scholars.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55104" from="131.551193pt,.203715pt" to="131.551193pt,36.006114pt" stroked="true" strokeweight=".35pt" strokecolor="#231f20">
            <w10:wrap type="none"/>
          </v:line>
        </w:pict>
      </w:r>
      <w:r>
        <w:rPr/>
        <w:pict>
          <v:line style="position:absolute;mso-position-horizontal-relative:page;mso-position-vertical-relative:paragraph;z-index:-455080" from="15pt,36.005917pt" to="0pt,36.005917pt" stroked="true" strokeweight=".25pt" strokecolor="#000000">
            <w10:wrap type="none"/>
          </v:line>
        </w:pict>
      </w:r>
      <w:r>
        <w:rPr/>
        <w:pict>
          <v:line style="position:absolute;mso-position-horizontal-relative:page;mso-position-vertical-relative:paragraph;z-index:35128" from="508.890015pt,36.005917pt" to="523.890015pt,36.005917pt" stroked="true" strokeweight=".25pt" strokecolor="#000000">
            <w10:wrap type="none"/>
          </v:line>
        </w:pict>
      </w:r>
      <w:r>
        <w:rPr>
          <w:rFonts w:ascii="Arial" w:hAnsi="Arial"/>
          <w:color w:val="414042"/>
          <w:position w:val="-5"/>
          <w:sz w:val="20"/>
        </w:rPr>
        <w:t>284</w:t>
        <w:tab/>
      </w:r>
      <w:r>
        <w:rPr>
          <w:rFonts w:ascii="Calibri" w:hAnsi="Calibri"/>
          <w:color w:val="6D6E71"/>
          <w:sz w:val="15"/>
        </w:rPr>
        <w:t>Andrea Bautista León y Mauricio Rodríguez </w:t>
      </w:r>
      <w:r>
        <w:rPr>
          <w:rFonts w:ascii="Calibri" w:hAnsi="Calibri"/>
          <w:color w:val="6D6E71"/>
          <w:spacing w:val="23"/>
          <w:sz w:val="15"/>
        </w:rPr>
        <w:t> </w:t>
      </w:r>
      <w:r>
        <w:rPr>
          <w:rFonts w:ascii="Calibri" w:hAnsi="Calibri"/>
          <w:color w:val="6D6E71"/>
          <w:sz w:val="15"/>
        </w:rPr>
        <w:t>Abreu</w:t>
      </w:r>
    </w:p>
    <w:p>
      <w:pPr>
        <w:spacing w:after="0"/>
        <w:jc w:val="left"/>
        <w:rPr>
          <w:rFonts w:ascii="Calibri" w:hAnsi="Calibri"/>
          <w:sz w:val="15"/>
        </w:rPr>
        <w:sectPr>
          <w:headerReference w:type="default" r:id="rId328"/>
          <w:pgSz w:w="10480" w:h="14730"/>
          <w:pgMar w:header="0" w:footer="103" w:top="420" w:bottom="300" w:left="0" w:right="0"/>
        </w:sectPr>
      </w:pPr>
    </w:p>
    <w:p>
      <w:pPr>
        <w:pStyle w:val="BodyText"/>
        <w:rPr>
          <w:rFonts w:ascii="Calibri"/>
          <w:sz w:val="20"/>
        </w:rPr>
      </w:pPr>
      <w:r>
        <w:rPr/>
        <w:pict>
          <v:group style="position:absolute;margin-left:21pt;margin-top:20.999975pt;width:481.9pt;height:694.5pt;mso-position-horizontal-relative:page;mso-position-vertical-relative:page;z-index:-455032" coordorigin="420,420" coordsize="9638,13890">
            <v:rect style="position:absolute;left:420;top:420;width:9638;height:13890" filled="true" fillcolor="#77787b" stroked="false">
              <v:fill type="solid"/>
            </v:rect>
            <v:shape style="position:absolute;left:420;top:6577;width:9638;height:7733" type="#_x0000_t75" stroked="false">
              <v:imagedata r:id="rId317" o:title=""/>
            </v:shape>
            <w10:wrap type="none"/>
          </v:group>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9"/>
        </w:rPr>
      </w:pPr>
    </w:p>
    <w:p>
      <w:pPr>
        <w:pStyle w:val="Heading2"/>
        <w:tabs>
          <w:tab w:pos="5415" w:val="left" w:leader="none"/>
        </w:tabs>
        <w:spacing w:line="187" w:lineRule="auto"/>
        <w:ind w:left="3045" w:right="4772" w:hanging="193"/>
      </w:pPr>
      <w:r>
        <w:rPr>
          <w:color w:val="FFFFFF"/>
          <w:w w:val="90"/>
        </w:rPr>
        <w:t>TERRITORIALIDAD RURAL Y </w:t>
      </w:r>
      <w:r>
        <w:rPr>
          <w:color w:val="FFFFFF"/>
        </w:rPr>
        <w:t>REDES</w:t>
      </w:r>
      <w:r>
        <w:rPr>
          <w:color w:val="FFFFFF"/>
          <w:spacing w:val="-42"/>
        </w:rPr>
        <w:t> </w:t>
      </w:r>
      <w:r>
        <w:rPr>
          <w:color w:val="FFFFFF"/>
        </w:rPr>
        <w:t>DE</w:t>
      </w:r>
      <w:r>
        <w:rPr>
          <w:color w:val="FFFFFF"/>
          <w:spacing w:val="-42"/>
        </w:rPr>
        <w:t> </w:t>
      </w:r>
      <w:r>
        <w:rPr>
          <w:color w:val="FFFFFF"/>
        </w:rPr>
        <w:t>MIftRA</w:t>
        <w:tab/>
      </w:r>
      <w:r>
        <w:rPr>
          <w:color w:val="FFFFFF"/>
          <w:w w:val="90"/>
        </w:rPr>
        <w:t>DE</w:t>
      </w:r>
    </w:p>
    <w:p>
      <w:pPr>
        <w:spacing w:line="187" w:lineRule="auto" w:before="0"/>
        <w:ind w:left="2363" w:right="5613" w:firstLine="442"/>
        <w:jc w:val="left"/>
        <w:rPr>
          <w:rFonts w:ascii="Lucida Sans Unicode" w:hAnsi="Lucida Sans Unicode"/>
          <w:sz w:val="24"/>
        </w:rPr>
      </w:pPr>
      <w:r>
        <w:rPr>
          <w:rFonts w:ascii="Lucida Sans Unicode" w:hAnsi="Lucida Sans Unicode"/>
          <w:color w:val="FFFFFF"/>
          <w:spacing w:val="-5"/>
          <w:sz w:val="24"/>
        </w:rPr>
        <w:t>ALMOLOYA </w:t>
      </w:r>
      <w:r>
        <w:rPr>
          <w:rFonts w:ascii="Lucida Sans Unicode" w:hAnsi="Lucida Sans Unicode"/>
          <w:color w:val="FFFFFF"/>
          <w:sz w:val="24"/>
        </w:rPr>
        <w:t>DE</w:t>
      </w:r>
      <w:r>
        <w:rPr>
          <w:rFonts w:ascii="Lucida Sans Unicode" w:hAnsi="Lucida Sans Unicode"/>
          <w:color w:val="FFFFFF"/>
          <w:spacing w:val="-50"/>
          <w:sz w:val="24"/>
        </w:rPr>
        <w:t> </w:t>
      </w:r>
      <w:r>
        <w:rPr>
          <w:rFonts w:ascii="Lucida Sans Unicode" w:hAnsi="Lucida Sans Unicode"/>
          <w:color w:val="FFFFFF"/>
          <w:sz w:val="24"/>
        </w:rPr>
        <w:t>AL </w:t>
      </w:r>
      <w:r>
        <w:rPr>
          <w:rFonts w:ascii="Lucida Sans Unicode" w:hAnsi="Lucida Sans Unicode"/>
          <w:color w:val="FFFFFF"/>
          <w:w w:val="95"/>
          <w:sz w:val="24"/>
        </w:rPr>
        <w:t>UN ANáLISIS DESDE LA</w:t>
      </w:r>
    </w:p>
    <w:p>
      <w:pPr>
        <w:spacing w:line="311" w:lineRule="exact" w:before="0"/>
        <w:ind w:left="3131" w:right="0" w:firstLine="0"/>
        <w:jc w:val="left"/>
        <w:rPr>
          <w:rFonts w:ascii="Lucida Sans Unicode"/>
          <w:sz w:val="24"/>
        </w:rPr>
      </w:pPr>
      <w:r>
        <w:rPr>
          <w:rFonts w:ascii="Lucida Sans Unicode"/>
          <w:color w:val="FFFFFF"/>
          <w:w w:val="90"/>
          <w:sz w:val="24"/>
        </w:rPr>
        <w:t>DE SUS PROTAftONISTAS</w:t>
      </w:r>
    </w:p>
    <w:p>
      <w:pPr>
        <w:pStyle w:val="Heading4"/>
        <w:spacing w:line="264" w:lineRule="exact" w:before="85"/>
        <w:ind w:left="5692" w:right="1738"/>
        <w:rPr>
          <w:sz w:val="18"/>
        </w:rPr>
      </w:pPr>
      <w:r>
        <w:rPr>
          <w:color w:val="FFFFFF"/>
        </w:rPr>
        <w:t>Francisco Herrera Tapia</w:t>
      </w:r>
      <w:r>
        <w:rPr>
          <w:color w:val="FFFFFF"/>
          <w:sz w:val="18"/>
        </w:rPr>
        <w:t>* </w:t>
      </w:r>
      <w:r>
        <w:rPr>
          <w:color w:val="FFFFFF"/>
        </w:rPr>
        <w:t>Alejandro Rosendo Chávez</w:t>
      </w:r>
      <w:r>
        <w:rPr>
          <w:color w:val="FFFFFF"/>
          <w:sz w:val="18"/>
        </w:rPr>
        <w:t>**</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line="180" w:lineRule="exact" w:before="194"/>
        <w:ind w:left="2126" w:right="1683" w:firstLine="0"/>
        <w:jc w:val="left"/>
        <w:rPr>
          <w:rFonts w:ascii="Calibri" w:hAnsi="Calibri"/>
          <w:sz w:val="15"/>
        </w:rPr>
      </w:pPr>
      <w:r>
        <w:rPr>
          <w:rFonts w:ascii="Calibri" w:hAnsi="Calibri"/>
          <w:color w:val="FFFFFF"/>
          <w:w w:val="105"/>
          <w:sz w:val="15"/>
        </w:rPr>
        <w:t>* Doctor en Ciencias Agropecuarias y Recursos Naturales. Investigador del Instituto de Ciencias Agrope- cuarias y Rurales de la Universidad Autónoma del Estado de México.</w:t>
      </w:r>
    </w:p>
    <w:p>
      <w:pPr>
        <w:spacing w:line="182" w:lineRule="exact" w:before="1"/>
        <w:ind w:left="2126" w:right="0" w:firstLine="0"/>
        <w:jc w:val="left"/>
        <w:rPr>
          <w:rFonts w:ascii="Calibri"/>
          <w:i/>
          <w:sz w:val="15"/>
        </w:rPr>
      </w:pPr>
      <w:hyperlink r:id="rId330">
        <w:r>
          <w:rPr>
            <w:rFonts w:ascii="Calibri"/>
            <w:i/>
            <w:color w:val="FFFFFF"/>
            <w:sz w:val="15"/>
          </w:rPr>
          <w:t>herreratapia2001@yahoo.com.mx</w:t>
        </w:r>
      </w:hyperlink>
    </w:p>
    <w:p>
      <w:pPr>
        <w:spacing w:line="235" w:lineRule="auto" w:before="1"/>
        <w:ind w:left="2126" w:right="1753" w:firstLine="0"/>
        <w:jc w:val="left"/>
        <w:rPr>
          <w:rFonts w:ascii="Calibri" w:hAnsi="Calibri"/>
          <w:sz w:val="15"/>
        </w:rPr>
      </w:pPr>
      <w:r>
        <w:rPr>
          <w:rFonts w:ascii="Calibri" w:hAnsi="Calibri"/>
          <w:color w:val="FFFFFF"/>
          <w:w w:val="105"/>
          <w:sz w:val="15"/>
        </w:rPr>
        <w:t>**</w:t>
      </w:r>
      <w:r>
        <w:rPr>
          <w:rFonts w:ascii="Calibri" w:hAnsi="Calibri"/>
          <w:color w:val="FFFFFF"/>
          <w:spacing w:val="-11"/>
          <w:w w:val="105"/>
          <w:sz w:val="15"/>
        </w:rPr>
        <w:t> </w:t>
      </w:r>
      <w:r>
        <w:rPr>
          <w:rFonts w:ascii="Calibri" w:hAnsi="Calibri"/>
          <w:color w:val="FFFFFF"/>
          <w:w w:val="105"/>
          <w:sz w:val="15"/>
        </w:rPr>
        <w:t>Doctorante</w:t>
      </w:r>
      <w:r>
        <w:rPr>
          <w:rFonts w:ascii="Calibri" w:hAnsi="Calibri"/>
          <w:color w:val="FFFFFF"/>
          <w:spacing w:val="-11"/>
          <w:w w:val="105"/>
          <w:sz w:val="15"/>
        </w:rPr>
        <w:t> </w:t>
      </w:r>
      <w:r>
        <w:rPr>
          <w:rFonts w:ascii="Calibri" w:hAnsi="Calibri"/>
          <w:color w:val="FFFFFF"/>
          <w:w w:val="105"/>
          <w:sz w:val="15"/>
        </w:rPr>
        <w:t>en</w:t>
      </w:r>
      <w:r>
        <w:rPr>
          <w:rFonts w:ascii="Calibri" w:hAnsi="Calibri"/>
          <w:color w:val="FFFFFF"/>
          <w:spacing w:val="-11"/>
          <w:w w:val="105"/>
          <w:sz w:val="15"/>
        </w:rPr>
        <w:t> </w:t>
      </w:r>
      <w:r>
        <w:rPr>
          <w:rFonts w:ascii="Calibri" w:hAnsi="Calibri"/>
          <w:color w:val="FFFFFF"/>
          <w:w w:val="105"/>
          <w:sz w:val="15"/>
        </w:rPr>
        <w:t>Ciencias</w:t>
      </w:r>
      <w:r>
        <w:rPr>
          <w:rFonts w:ascii="Calibri" w:hAnsi="Calibri"/>
          <w:color w:val="FFFFFF"/>
          <w:spacing w:val="-11"/>
          <w:w w:val="105"/>
          <w:sz w:val="15"/>
        </w:rPr>
        <w:t> </w:t>
      </w:r>
      <w:r>
        <w:rPr>
          <w:rFonts w:ascii="Calibri" w:hAnsi="Calibri"/>
          <w:color w:val="FFFFFF"/>
          <w:w w:val="105"/>
          <w:sz w:val="15"/>
        </w:rPr>
        <w:t>Agropecuarias</w:t>
      </w:r>
      <w:r>
        <w:rPr>
          <w:rFonts w:ascii="Calibri" w:hAnsi="Calibri"/>
          <w:color w:val="FFFFFF"/>
          <w:spacing w:val="-12"/>
          <w:w w:val="105"/>
          <w:sz w:val="15"/>
        </w:rPr>
        <w:t> </w:t>
      </w:r>
      <w:r>
        <w:rPr>
          <w:rFonts w:ascii="Calibri" w:hAnsi="Calibri"/>
          <w:color w:val="FFFFFF"/>
          <w:w w:val="105"/>
          <w:sz w:val="15"/>
        </w:rPr>
        <w:t>y</w:t>
      </w:r>
      <w:r>
        <w:rPr>
          <w:rFonts w:ascii="Calibri" w:hAnsi="Calibri"/>
          <w:color w:val="FFFFFF"/>
          <w:spacing w:val="-11"/>
          <w:w w:val="105"/>
          <w:sz w:val="15"/>
        </w:rPr>
        <w:t> </w:t>
      </w:r>
      <w:r>
        <w:rPr>
          <w:rFonts w:ascii="Calibri" w:hAnsi="Calibri"/>
          <w:color w:val="FFFFFF"/>
          <w:w w:val="105"/>
          <w:sz w:val="15"/>
        </w:rPr>
        <w:t>Recursos</w:t>
      </w:r>
      <w:r>
        <w:rPr>
          <w:rFonts w:ascii="Calibri" w:hAnsi="Calibri"/>
          <w:color w:val="FFFFFF"/>
          <w:spacing w:val="-11"/>
          <w:w w:val="105"/>
          <w:sz w:val="15"/>
        </w:rPr>
        <w:t> </w:t>
      </w:r>
      <w:r>
        <w:rPr>
          <w:rFonts w:ascii="Calibri" w:hAnsi="Calibri"/>
          <w:color w:val="FFFFFF"/>
          <w:w w:val="105"/>
          <w:sz w:val="15"/>
        </w:rPr>
        <w:t>Naturales</w:t>
      </w:r>
      <w:r>
        <w:rPr>
          <w:rFonts w:ascii="Calibri" w:hAnsi="Calibri"/>
          <w:color w:val="FFFFFF"/>
          <w:spacing w:val="-11"/>
          <w:w w:val="105"/>
          <w:sz w:val="15"/>
        </w:rPr>
        <w:t> </w:t>
      </w:r>
      <w:r>
        <w:rPr>
          <w:rFonts w:ascii="Calibri" w:hAnsi="Calibri"/>
          <w:color w:val="FFFFFF"/>
          <w:w w:val="105"/>
          <w:sz w:val="15"/>
        </w:rPr>
        <w:t>en</w:t>
      </w:r>
      <w:r>
        <w:rPr>
          <w:rFonts w:ascii="Calibri" w:hAnsi="Calibri"/>
          <w:color w:val="FFFFFF"/>
          <w:spacing w:val="-11"/>
          <w:w w:val="105"/>
          <w:sz w:val="15"/>
        </w:rPr>
        <w:t> </w:t>
      </w:r>
      <w:r>
        <w:rPr>
          <w:rFonts w:ascii="Calibri" w:hAnsi="Calibri"/>
          <w:color w:val="FFFFFF"/>
          <w:w w:val="105"/>
          <w:sz w:val="15"/>
        </w:rPr>
        <w:t>el</w:t>
      </w:r>
      <w:r>
        <w:rPr>
          <w:rFonts w:ascii="Calibri" w:hAnsi="Calibri"/>
          <w:color w:val="FFFFFF"/>
          <w:spacing w:val="-11"/>
          <w:w w:val="105"/>
          <w:sz w:val="15"/>
        </w:rPr>
        <w:t> </w:t>
      </w:r>
      <w:r>
        <w:rPr>
          <w:rFonts w:ascii="Calibri" w:hAnsi="Calibri"/>
          <w:color w:val="FFFFFF"/>
          <w:w w:val="105"/>
          <w:sz w:val="15"/>
        </w:rPr>
        <w:t>Instituto</w:t>
      </w:r>
      <w:r>
        <w:rPr>
          <w:rFonts w:ascii="Calibri" w:hAnsi="Calibri"/>
          <w:color w:val="FFFFFF"/>
          <w:spacing w:val="-11"/>
          <w:w w:val="105"/>
          <w:sz w:val="15"/>
        </w:rPr>
        <w:t> </w:t>
      </w:r>
      <w:r>
        <w:rPr>
          <w:rFonts w:ascii="Calibri" w:hAnsi="Calibri"/>
          <w:color w:val="FFFFFF"/>
          <w:w w:val="105"/>
          <w:sz w:val="15"/>
        </w:rPr>
        <w:t>de</w:t>
      </w:r>
      <w:r>
        <w:rPr>
          <w:rFonts w:ascii="Calibri" w:hAnsi="Calibri"/>
          <w:color w:val="FFFFFF"/>
          <w:spacing w:val="-11"/>
          <w:w w:val="105"/>
          <w:sz w:val="15"/>
        </w:rPr>
        <w:t> </w:t>
      </w:r>
      <w:r>
        <w:rPr>
          <w:rFonts w:ascii="Calibri" w:hAnsi="Calibri"/>
          <w:color w:val="FFFFFF"/>
          <w:w w:val="105"/>
          <w:sz w:val="15"/>
        </w:rPr>
        <w:t>Ciencias</w:t>
      </w:r>
      <w:r>
        <w:rPr>
          <w:rFonts w:ascii="Calibri" w:hAnsi="Calibri"/>
          <w:color w:val="FFFFFF"/>
          <w:spacing w:val="-11"/>
          <w:w w:val="105"/>
          <w:sz w:val="15"/>
        </w:rPr>
        <w:t> </w:t>
      </w:r>
      <w:r>
        <w:rPr>
          <w:rFonts w:ascii="Calibri" w:hAnsi="Calibri"/>
          <w:color w:val="FFFFFF"/>
          <w:w w:val="105"/>
          <w:sz w:val="15"/>
        </w:rPr>
        <w:t>Agropecuarias</w:t>
      </w:r>
      <w:r>
        <w:rPr>
          <w:rFonts w:ascii="Calibri" w:hAnsi="Calibri"/>
          <w:color w:val="FFFFFF"/>
          <w:spacing w:val="-12"/>
          <w:w w:val="105"/>
          <w:sz w:val="15"/>
        </w:rPr>
        <w:t> </w:t>
      </w:r>
      <w:r>
        <w:rPr>
          <w:rFonts w:ascii="Calibri" w:hAnsi="Calibri"/>
          <w:color w:val="FFFFFF"/>
          <w:w w:val="105"/>
          <w:sz w:val="15"/>
        </w:rPr>
        <w:t>y Rurales</w:t>
      </w:r>
      <w:r>
        <w:rPr>
          <w:rFonts w:ascii="Calibri" w:hAnsi="Calibri"/>
          <w:color w:val="FFFFFF"/>
          <w:spacing w:val="-13"/>
          <w:w w:val="105"/>
          <w:sz w:val="15"/>
        </w:rPr>
        <w:t> </w:t>
      </w:r>
      <w:r>
        <w:rPr>
          <w:rFonts w:ascii="Calibri" w:hAnsi="Calibri"/>
          <w:color w:val="FFFFFF"/>
          <w:w w:val="105"/>
          <w:sz w:val="15"/>
        </w:rPr>
        <w:t>de</w:t>
      </w:r>
      <w:r>
        <w:rPr>
          <w:rFonts w:ascii="Calibri" w:hAnsi="Calibri"/>
          <w:color w:val="FFFFFF"/>
          <w:spacing w:val="-13"/>
          <w:w w:val="105"/>
          <w:sz w:val="15"/>
        </w:rPr>
        <w:t> </w:t>
      </w:r>
      <w:r>
        <w:rPr>
          <w:rFonts w:ascii="Calibri" w:hAnsi="Calibri"/>
          <w:color w:val="FFFFFF"/>
          <w:w w:val="105"/>
          <w:sz w:val="15"/>
        </w:rPr>
        <w:t>la</w:t>
      </w:r>
      <w:r>
        <w:rPr>
          <w:rFonts w:ascii="Calibri" w:hAnsi="Calibri"/>
          <w:color w:val="FFFFFF"/>
          <w:spacing w:val="-13"/>
          <w:w w:val="105"/>
          <w:sz w:val="15"/>
        </w:rPr>
        <w:t> </w:t>
      </w:r>
      <w:r>
        <w:rPr>
          <w:rFonts w:ascii="Calibri" w:hAnsi="Calibri"/>
          <w:color w:val="FFFFFF"/>
          <w:w w:val="105"/>
          <w:sz w:val="15"/>
        </w:rPr>
        <w:t>Universidad</w:t>
      </w:r>
      <w:r>
        <w:rPr>
          <w:rFonts w:ascii="Calibri" w:hAnsi="Calibri"/>
          <w:color w:val="FFFFFF"/>
          <w:spacing w:val="-13"/>
          <w:w w:val="105"/>
          <w:sz w:val="15"/>
        </w:rPr>
        <w:t> </w:t>
      </w:r>
      <w:r>
        <w:rPr>
          <w:rFonts w:ascii="Calibri" w:hAnsi="Calibri"/>
          <w:color w:val="FFFFFF"/>
          <w:w w:val="105"/>
          <w:sz w:val="15"/>
        </w:rPr>
        <w:t>Autónoma</w:t>
      </w:r>
      <w:r>
        <w:rPr>
          <w:rFonts w:ascii="Calibri" w:hAnsi="Calibri"/>
          <w:color w:val="FFFFFF"/>
          <w:spacing w:val="-13"/>
          <w:w w:val="105"/>
          <w:sz w:val="15"/>
        </w:rPr>
        <w:t> </w:t>
      </w:r>
      <w:r>
        <w:rPr>
          <w:rFonts w:ascii="Calibri" w:hAnsi="Calibri"/>
          <w:color w:val="FFFFFF"/>
          <w:w w:val="105"/>
          <w:sz w:val="15"/>
        </w:rPr>
        <w:t>del</w:t>
      </w:r>
      <w:r>
        <w:rPr>
          <w:rFonts w:ascii="Calibri" w:hAnsi="Calibri"/>
          <w:color w:val="FFFFFF"/>
          <w:spacing w:val="-13"/>
          <w:w w:val="105"/>
          <w:sz w:val="15"/>
        </w:rPr>
        <w:t> </w:t>
      </w:r>
      <w:r>
        <w:rPr>
          <w:rFonts w:ascii="Calibri" w:hAnsi="Calibri"/>
          <w:color w:val="FFFFFF"/>
          <w:w w:val="105"/>
          <w:sz w:val="15"/>
        </w:rPr>
        <w:t>Estado</w:t>
      </w:r>
      <w:r>
        <w:rPr>
          <w:rFonts w:ascii="Calibri" w:hAnsi="Calibri"/>
          <w:color w:val="FFFFFF"/>
          <w:spacing w:val="-13"/>
          <w:w w:val="105"/>
          <w:sz w:val="15"/>
        </w:rPr>
        <w:t> </w:t>
      </w:r>
      <w:r>
        <w:rPr>
          <w:rFonts w:ascii="Calibri" w:hAnsi="Calibri"/>
          <w:color w:val="FFFFFF"/>
          <w:w w:val="105"/>
          <w:sz w:val="15"/>
        </w:rPr>
        <w:t>de</w:t>
      </w:r>
      <w:r>
        <w:rPr>
          <w:rFonts w:ascii="Calibri" w:hAnsi="Calibri"/>
          <w:color w:val="FFFFFF"/>
          <w:spacing w:val="-13"/>
          <w:w w:val="105"/>
          <w:sz w:val="15"/>
        </w:rPr>
        <w:t> </w:t>
      </w:r>
      <w:r>
        <w:rPr>
          <w:rFonts w:ascii="Calibri" w:hAnsi="Calibri"/>
          <w:color w:val="FFFFFF"/>
          <w:w w:val="105"/>
          <w:sz w:val="15"/>
        </w:rPr>
        <w:t>México.</w:t>
      </w:r>
    </w:p>
    <w:p>
      <w:pPr>
        <w:spacing w:line="181" w:lineRule="exact" w:before="0"/>
        <w:ind w:left="2126" w:right="6753" w:firstLine="0"/>
        <w:jc w:val="left"/>
        <w:rPr>
          <w:rFonts w:ascii="Calibri"/>
          <w:i/>
          <w:sz w:val="15"/>
        </w:rPr>
      </w:pPr>
      <w:hyperlink r:id="rId331">
        <w:r>
          <w:rPr>
            <w:rFonts w:ascii="Calibri"/>
            <w:i/>
            <w:color w:val="FFFFFF"/>
            <w:sz w:val="15"/>
          </w:rPr>
          <w:t>arc_1222@hotmail.com</w:t>
        </w:r>
      </w:hyperlink>
    </w:p>
    <w:p>
      <w:pPr>
        <w:spacing w:after="0" w:line="181" w:lineRule="exact"/>
        <w:jc w:val="left"/>
        <w:rPr>
          <w:rFonts w:ascii="Calibri"/>
          <w:sz w:val="15"/>
        </w:rPr>
        <w:sectPr>
          <w:footerReference w:type="default" r:id="rId329"/>
          <w:pgSz w:w="10480" w:h="14730"/>
          <w:pgMar w:footer="223" w:header="0" w:top="420" w:bottom="420" w:left="0" w:right="0"/>
        </w:sectPr>
      </w:pPr>
    </w:p>
    <w:p>
      <w:pPr>
        <w:pStyle w:val="BodyText"/>
        <w:spacing w:before="4"/>
        <w:rPr>
          <w:rFonts w:ascii="Times New Roman"/>
          <w:sz w:val="17"/>
        </w:rPr>
      </w:pPr>
    </w:p>
    <w:p>
      <w:pPr>
        <w:spacing w:after="0"/>
        <w:rPr>
          <w:rFonts w:ascii="Times New Roman"/>
          <w:sz w:val="17"/>
        </w:rPr>
        <w:sectPr>
          <w:footerReference w:type="default" r:id="rId332"/>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21"/>
        <w:jc w:val="both"/>
      </w:pPr>
      <w:r>
        <w:rPr/>
        <w:pict>
          <v:shape style="position:absolute;margin-left:99.408798pt;margin-top:12.83302pt;width:39.7pt;height:51pt;mso-position-horizontal-relative:page;mso-position-vertical-relative:paragraph;z-index:3517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A</w:t>
                  </w:r>
                </w:p>
              </w:txbxContent>
            </v:textbox>
            <w10:wrap type="none"/>
          </v:shape>
        </w:pict>
      </w:r>
      <w:r>
        <w:rPr>
          <w:color w:val="231F20"/>
          <w:w w:val="105"/>
        </w:rPr>
        <w:t>mérica</w:t>
      </w:r>
      <w:r>
        <w:rPr>
          <w:color w:val="231F20"/>
          <w:spacing w:val="-25"/>
          <w:w w:val="105"/>
        </w:rPr>
        <w:t> </w:t>
      </w:r>
      <w:r>
        <w:rPr>
          <w:color w:val="231F20"/>
          <w:w w:val="105"/>
        </w:rPr>
        <w:t>Latina</w:t>
      </w:r>
      <w:r>
        <w:rPr>
          <w:color w:val="231F20"/>
          <w:spacing w:val="-25"/>
          <w:w w:val="105"/>
        </w:rPr>
        <w:t> </w:t>
      </w:r>
      <w:r>
        <w:rPr>
          <w:color w:val="231F20"/>
          <w:w w:val="105"/>
        </w:rPr>
        <w:t>con</w:t>
      </w:r>
      <w:r>
        <w:rPr>
          <w:color w:val="231F20"/>
          <w:spacing w:val="-25"/>
          <w:w w:val="105"/>
        </w:rPr>
        <w:t> </w:t>
      </w:r>
      <w:r>
        <w:rPr>
          <w:color w:val="231F20"/>
          <w:w w:val="105"/>
        </w:rPr>
        <w:t>una</w:t>
      </w:r>
      <w:r>
        <w:rPr>
          <w:color w:val="231F20"/>
          <w:spacing w:val="-25"/>
          <w:w w:val="105"/>
        </w:rPr>
        <w:t> </w:t>
      </w:r>
      <w:r>
        <w:rPr>
          <w:color w:val="231F20"/>
          <w:w w:val="105"/>
        </w:rPr>
        <w:t>extraordinaria</w:t>
      </w:r>
      <w:r>
        <w:rPr>
          <w:color w:val="231F20"/>
          <w:spacing w:val="-25"/>
          <w:w w:val="105"/>
        </w:rPr>
        <w:t> </w:t>
      </w:r>
      <w:r>
        <w:rPr>
          <w:color w:val="231F20"/>
          <w:w w:val="105"/>
        </w:rPr>
        <w:t>dotación</w:t>
      </w:r>
      <w:r>
        <w:rPr>
          <w:color w:val="231F20"/>
          <w:spacing w:val="-25"/>
          <w:w w:val="105"/>
        </w:rPr>
        <w:t> </w:t>
      </w:r>
      <w:r>
        <w:rPr>
          <w:color w:val="231F20"/>
          <w:w w:val="105"/>
        </w:rPr>
        <w:t>de</w:t>
      </w:r>
      <w:r>
        <w:rPr>
          <w:color w:val="231F20"/>
          <w:spacing w:val="-25"/>
          <w:w w:val="105"/>
        </w:rPr>
        <w:t> </w:t>
      </w:r>
      <w:r>
        <w:rPr>
          <w:color w:val="231F20"/>
          <w:w w:val="105"/>
        </w:rPr>
        <w:t>recursos</w:t>
      </w:r>
      <w:r>
        <w:rPr>
          <w:color w:val="231F20"/>
          <w:spacing w:val="-25"/>
          <w:w w:val="105"/>
        </w:rPr>
        <w:t> </w:t>
      </w:r>
      <w:r>
        <w:rPr>
          <w:color w:val="231F20"/>
          <w:w w:val="105"/>
        </w:rPr>
        <w:t>na- turales</w:t>
      </w:r>
      <w:r>
        <w:rPr>
          <w:color w:val="231F20"/>
          <w:spacing w:val="-9"/>
          <w:w w:val="105"/>
        </w:rPr>
        <w:t> </w:t>
      </w:r>
      <w:r>
        <w:rPr>
          <w:color w:val="231F20"/>
          <w:w w:val="105"/>
        </w:rPr>
        <w:t>de</w:t>
      </w:r>
      <w:r>
        <w:rPr>
          <w:color w:val="231F20"/>
          <w:spacing w:val="-9"/>
          <w:w w:val="105"/>
        </w:rPr>
        <w:t> </w:t>
      </w:r>
      <w:r>
        <w:rPr>
          <w:color w:val="231F20"/>
          <w:w w:val="105"/>
        </w:rPr>
        <w:t>uso</w:t>
      </w:r>
      <w:r>
        <w:rPr>
          <w:color w:val="231F20"/>
          <w:spacing w:val="-9"/>
          <w:w w:val="105"/>
        </w:rPr>
        <w:t> </w:t>
      </w:r>
      <w:r>
        <w:rPr>
          <w:color w:val="231F20"/>
          <w:w w:val="105"/>
        </w:rPr>
        <w:t>agrícola</w:t>
      </w:r>
      <w:r>
        <w:rPr>
          <w:color w:val="231F20"/>
          <w:spacing w:val="-9"/>
          <w:w w:val="105"/>
        </w:rPr>
        <w:t> </w:t>
      </w:r>
      <w:r>
        <w:rPr>
          <w:color w:val="231F20"/>
          <w:w w:val="105"/>
        </w:rPr>
        <w:t>ha</w:t>
      </w:r>
      <w:r>
        <w:rPr>
          <w:color w:val="231F20"/>
          <w:spacing w:val="-9"/>
          <w:w w:val="105"/>
        </w:rPr>
        <w:t> </w:t>
      </w:r>
      <w:r>
        <w:rPr>
          <w:color w:val="231F20"/>
          <w:w w:val="105"/>
        </w:rPr>
        <w:t>experimentado</w:t>
      </w:r>
      <w:r>
        <w:rPr>
          <w:color w:val="231F20"/>
          <w:spacing w:val="-9"/>
          <w:w w:val="105"/>
        </w:rPr>
        <w:t> </w:t>
      </w:r>
      <w:r>
        <w:rPr>
          <w:color w:val="231F20"/>
          <w:w w:val="105"/>
        </w:rPr>
        <w:t>un</w:t>
      </w:r>
      <w:r>
        <w:rPr>
          <w:color w:val="231F20"/>
          <w:spacing w:val="-9"/>
          <w:w w:val="105"/>
        </w:rPr>
        <w:t> </w:t>
      </w:r>
      <w:r>
        <w:rPr>
          <w:color w:val="231F20"/>
          <w:w w:val="105"/>
        </w:rPr>
        <w:t>proceso</w:t>
      </w:r>
      <w:r>
        <w:rPr>
          <w:color w:val="231F20"/>
          <w:spacing w:val="-9"/>
          <w:w w:val="105"/>
        </w:rPr>
        <w:t> </w:t>
      </w:r>
      <w:r>
        <w:rPr>
          <w:color w:val="231F20"/>
          <w:w w:val="105"/>
        </w:rPr>
        <w:t>de</w:t>
      </w:r>
      <w:r>
        <w:rPr>
          <w:color w:val="231F20"/>
          <w:spacing w:val="-9"/>
          <w:w w:val="105"/>
        </w:rPr>
        <w:t> </w:t>
      </w:r>
      <w:r>
        <w:rPr>
          <w:color w:val="231F20"/>
          <w:w w:val="105"/>
        </w:rPr>
        <w:t>cre- cimiento urbano acelerado de urbanización en la segunda mitad del siglo </w:t>
      </w:r>
      <w:r>
        <w:rPr>
          <w:color w:val="231F20"/>
          <w:w w:val="105"/>
          <w:sz w:val="17"/>
        </w:rPr>
        <w:t>XX</w:t>
      </w:r>
      <w:r>
        <w:rPr>
          <w:color w:val="231F20"/>
          <w:w w:val="105"/>
        </w:rPr>
        <w:t>, siendo la emigración una realidad que muestra</w:t>
      </w:r>
      <w:r>
        <w:rPr>
          <w:color w:val="231F20"/>
          <w:spacing w:val="-15"/>
          <w:w w:val="105"/>
        </w:rPr>
        <w:t> </w:t>
      </w:r>
      <w:r>
        <w:rPr>
          <w:color w:val="231F20"/>
          <w:w w:val="105"/>
        </w:rPr>
        <w:t>la</w:t>
      </w:r>
      <w:r>
        <w:rPr>
          <w:color w:val="231F20"/>
          <w:spacing w:val="-15"/>
          <w:w w:val="105"/>
        </w:rPr>
        <w:t> </w:t>
      </w:r>
      <w:r>
        <w:rPr>
          <w:color w:val="231F20"/>
          <w:w w:val="105"/>
        </w:rPr>
        <w:t>incapacidad</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zonas</w:t>
      </w:r>
      <w:r>
        <w:rPr>
          <w:color w:val="231F20"/>
          <w:spacing w:val="-15"/>
          <w:w w:val="105"/>
        </w:rPr>
        <w:t> </w:t>
      </w:r>
      <w:r>
        <w:rPr>
          <w:color w:val="231F20"/>
          <w:w w:val="105"/>
        </w:rPr>
        <w:t>rurales</w:t>
      </w:r>
      <w:r>
        <w:rPr>
          <w:color w:val="231F20"/>
          <w:spacing w:val="-15"/>
          <w:w w:val="105"/>
        </w:rPr>
        <w:t> </w:t>
      </w:r>
      <w:r>
        <w:rPr>
          <w:color w:val="231F20"/>
          <w:w w:val="105"/>
        </w:rPr>
        <w:t>para</w:t>
      </w:r>
      <w:r>
        <w:rPr>
          <w:color w:val="231F20"/>
          <w:spacing w:val="-15"/>
          <w:w w:val="105"/>
        </w:rPr>
        <w:t> </w:t>
      </w:r>
      <w:r>
        <w:rPr>
          <w:color w:val="231F20"/>
          <w:w w:val="105"/>
        </w:rPr>
        <w:t>ofrecer</w:t>
      </w:r>
      <w:r>
        <w:rPr>
          <w:color w:val="231F20"/>
          <w:spacing w:val="-15"/>
          <w:w w:val="105"/>
        </w:rPr>
        <w:t> </w:t>
      </w:r>
      <w:r>
        <w:rPr>
          <w:color w:val="231F20"/>
          <w:w w:val="105"/>
        </w:rPr>
        <w:t>em-</w:t>
      </w:r>
    </w:p>
    <w:p>
      <w:pPr>
        <w:pStyle w:val="BodyText"/>
        <w:spacing w:line="261" w:lineRule="auto" w:before="1"/>
        <w:ind w:left="1837" w:right="1721"/>
        <w:jc w:val="both"/>
      </w:pPr>
      <w:r>
        <w:rPr>
          <w:color w:val="231F20"/>
          <w:w w:val="105"/>
        </w:rPr>
        <w:t>pleo</w:t>
      </w:r>
      <w:r>
        <w:rPr>
          <w:color w:val="231F20"/>
          <w:spacing w:val="-18"/>
          <w:w w:val="105"/>
        </w:rPr>
        <w:t> </w:t>
      </w:r>
      <w:r>
        <w:rPr>
          <w:color w:val="231F20"/>
          <w:w w:val="105"/>
        </w:rPr>
        <w:t>a</w:t>
      </w:r>
      <w:r>
        <w:rPr>
          <w:color w:val="231F20"/>
          <w:spacing w:val="-18"/>
          <w:w w:val="105"/>
        </w:rPr>
        <w:t> </w:t>
      </w:r>
      <w:r>
        <w:rPr>
          <w:color w:val="231F20"/>
          <w:w w:val="105"/>
        </w:rPr>
        <w:t>una</w:t>
      </w:r>
      <w:r>
        <w:rPr>
          <w:color w:val="231F20"/>
          <w:spacing w:val="-18"/>
          <w:w w:val="105"/>
        </w:rPr>
        <w:t> </w:t>
      </w:r>
      <w:r>
        <w:rPr>
          <w:color w:val="231F20"/>
          <w:w w:val="105"/>
        </w:rPr>
        <w:t>población</w:t>
      </w:r>
      <w:r>
        <w:rPr>
          <w:color w:val="231F20"/>
          <w:spacing w:val="-18"/>
          <w:w w:val="105"/>
        </w:rPr>
        <w:t> </w:t>
      </w:r>
      <w:r>
        <w:rPr>
          <w:color w:val="231F20"/>
          <w:w w:val="105"/>
        </w:rPr>
        <w:t>total</w:t>
      </w:r>
      <w:r>
        <w:rPr>
          <w:color w:val="231F20"/>
          <w:spacing w:val="-18"/>
          <w:w w:val="105"/>
        </w:rPr>
        <w:t> </w:t>
      </w:r>
      <w:r>
        <w:rPr>
          <w:color w:val="231F20"/>
          <w:w w:val="105"/>
        </w:rPr>
        <w:t>en</w:t>
      </w:r>
      <w:r>
        <w:rPr>
          <w:color w:val="231F20"/>
          <w:spacing w:val="-18"/>
          <w:w w:val="105"/>
        </w:rPr>
        <w:t> </w:t>
      </w:r>
      <w:r>
        <w:rPr>
          <w:color w:val="231F20"/>
          <w:w w:val="105"/>
        </w:rPr>
        <w:t>aumento</w:t>
      </w:r>
      <w:r>
        <w:rPr>
          <w:color w:val="231F20"/>
          <w:spacing w:val="-18"/>
          <w:w w:val="105"/>
        </w:rPr>
        <w:t> </w:t>
      </w:r>
      <w:r>
        <w:rPr>
          <w:color w:val="231F20"/>
          <w:w w:val="105"/>
        </w:rPr>
        <w:t>(Manzanal,</w:t>
      </w:r>
      <w:r>
        <w:rPr>
          <w:color w:val="231F20"/>
          <w:spacing w:val="-23"/>
          <w:w w:val="105"/>
        </w:rPr>
        <w:t> </w:t>
      </w:r>
      <w:r>
        <w:rPr>
          <w:color w:val="231F20"/>
          <w:w w:val="105"/>
        </w:rPr>
        <w:t>2006).</w:t>
      </w:r>
      <w:r>
        <w:rPr>
          <w:color w:val="231F20"/>
          <w:spacing w:val="-23"/>
          <w:w w:val="105"/>
        </w:rPr>
        <w:t> </w:t>
      </w:r>
      <w:r>
        <w:rPr>
          <w:color w:val="231F20"/>
          <w:w w:val="105"/>
        </w:rPr>
        <w:t>Este</w:t>
      </w:r>
      <w:r>
        <w:rPr>
          <w:color w:val="231F20"/>
          <w:spacing w:val="-18"/>
          <w:w w:val="105"/>
        </w:rPr>
        <w:t> </w:t>
      </w:r>
      <w:r>
        <w:rPr>
          <w:color w:val="231F20"/>
          <w:w w:val="105"/>
        </w:rPr>
        <w:t>fenómeno en</w:t>
      </w:r>
      <w:r>
        <w:rPr>
          <w:color w:val="231F20"/>
          <w:spacing w:val="-11"/>
          <w:w w:val="105"/>
        </w:rPr>
        <w:t> </w:t>
      </w:r>
      <w:r>
        <w:rPr>
          <w:color w:val="231F20"/>
          <w:w w:val="105"/>
        </w:rPr>
        <w:t>el</w:t>
      </w:r>
      <w:r>
        <w:rPr>
          <w:color w:val="231F20"/>
          <w:spacing w:val="-11"/>
          <w:w w:val="105"/>
        </w:rPr>
        <w:t> </w:t>
      </w:r>
      <w:r>
        <w:rPr>
          <w:color w:val="231F20"/>
          <w:w w:val="105"/>
        </w:rPr>
        <w:t>siglo</w:t>
      </w:r>
      <w:r>
        <w:rPr>
          <w:color w:val="231F20"/>
          <w:spacing w:val="-11"/>
          <w:w w:val="105"/>
        </w:rPr>
        <w:t> </w:t>
      </w:r>
      <w:r>
        <w:rPr>
          <w:color w:val="231F20"/>
          <w:w w:val="105"/>
          <w:sz w:val="17"/>
        </w:rPr>
        <w:t>XXI </w:t>
      </w:r>
      <w:r>
        <w:rPr>
          <w:color w:val="231F20"/>
          <w:w w:val="105"/>
        </w:rPr>
        <w:t>ha</w:t>
      </w:r>
      <w:r>
        <w:rPr>
          <w:color w:val="231F20"/>
          <w:spacing w:val="-11"/>
          <w:w w:val="105"/>
        </w:rPr>
        <w:t> </w:t>
      </w:r>
      <w:r>
        <w:rPr>
          <w:color w:val="231F20"/>
          <w:w w:val="105"/>
        </w:rPr>
        <w:t>derivado</w:t>
      </w:r>
      <w:r>
        <w:rPr>
          <w:color w:val="231F20"/>
          <w:spacing w:val="-11"/>
          <w:w w:val="105"/>
        </w:rPr>
        <w:t> </w:t>
      </w:r>
      <w:r>
        <w:rPr>
          <w:color w:val="231F20"/>
          <w:w w:val="105"/>
        </w:rPr>
        <w:t>en</w:t>
      </w:r>
      <w:r>
        <w:rPr>
          <w:color w:val="231F20"/>
          <w:spacing w:val="-11"/>
          <w:w w:val="105"/>
        </w:rPr>
        <w:t> </w:t>
      </w:r>
      <w:r>
        <w:rPr>
          <w:color w:val="231F20"/>
          <w:w w:val="105"/>
        </w:rPr>
        <w:t>una</w:t>
      </w:r>
      <w:r>
        <w:rPr>
          <w:color w:val="231F20"/>
          <w:spacing w:val="-11"/>
          <w:w w:val="105"/>
        </w:rPr>
        <w:t> </w:t>
      </w:r>
      <w:r>
        <w:rPr>
          <w:color w:val="231F20"/>
          <w:w w:val="105"/>
        </w:rPr>
        <w:t>creciente</w:t>
      </w:r>
      <w:r>
        <w:rPr>
          <w:color w:val="231F20"/>
          <w:spacing w:val="-11"/>
          <w:w w:val="105"/>
        </w:rPr>
        <w:t> </w:t>
      </w:r>
      <w:r>
        <w:rPr>
          <w:color w:val="231F20"/>
          <w:w w:val="105"/>
        </w:rPr>
        <w:t>expulsión</w:t>
      </w:r>
      <w:r>
        <w:rPr>
          <w:color w:val="231F20"/>
          <w:spacing w:val="-11"/>
          <w:w w:val="105"/>
        </w:rPr>
        <w:t> </w:t>
      </w:r>
      <w:r>
        <w:rPr>
          <w:color w:val="231F20"/>
          <w:w w:val="105"/>
        </w:rPr>
        <w:t>de</w:t>
      </w:r>
      <w:r>
        <w:rPr>
          <w:color w:val="231F20"/>
          <w:spacing w:val="-11"/>
          <w:w w:val="105"/>
        </w:rPr>
        <w:t> </w:t>
      </w:r>
      <w:r>
        <w:rPr>
          <w:color w:val="231F20"/>
          <w:w w:val="105"/>
        </w:rPr>
        <w:t>población</w:t>
      </w:r>
      <w:r>
        <w:rPr>
          <w:color w:val="231F20"/>
          <w:spacing w:val="-11"/>
          <w:w w:val="105"/>
        </w:rPr>
        <w:t> </w:t>
      </w:r>
      <w:r>
        <w:rPr>
          <w:color w:val="231F20"/>
          <w:w w:val="105"/>
        </w:rPr>
        <w:t>rural en</w:t>
      </w:r>
      <w:r>
        <w:rPr>
          <w:color w:val="231F20"/>
          <w:spacing w:val="-32"/>
          <w:w w:val="105"/>
        </w:rPr>
        <w:t> </w:t>
      </w:r>
      <w:r>
        <w:rPr>
          <w:color w:val="231F20"/>
          <w:w w:val="105"/>
        </w:rPr>
        <w:t>América</w:t>
      </w:r>
      <w:r>
        <w:rPr>
          <w:color w:val="231F20"/>
          <w:spacing w:val="-29"/>
          <w:w w:val="105"/>
        </w:rPr>
        <w:t> </w:t>
      </w:r>
      <w:r>
        <w:rPr>
          <w:color w:val="231F20"/>
          <w:w w:val="105"/>
        </w:rPr>
        <w:t>Latina</w:t>
      </w:r>
      <w:r>
        <w:rPr>
          <w:color w:val="231F20"/>
          <w:spacing w:val="-29"/>
          <w:w w:val="105"/>
        </w:rPr>
        <w:t> </w:t>
      </w:r>
      <w:r>
        <w:rPr>
          <w:color w:val="231F20"/>
          <w:w w:val="105"/>
        </w:rPr>
        <w:t>hacia</w:t>
      </w:r>
      <w:r>
        <w:rPr>
          <w:color w:val="231F20"/>
          <w:spacing w:val="-29"/>
          <w:w w:val="105"/>
        </w:rPr>
        <w:t> </w:t>
      </w:r>
      <w:r>
        <w:rPr>
          <w:color w:val="231F20"/>
          <w:w w:val="105"/>
        </w:rPr>
        <w:t>zonas</w:t>
      </w:r>
      <w:r>
        <w:rPr>
          <w:color w:val="231F20"/>
          <w:spacing w:val="-29"/>
          <w:w w:val="105"/>
        </w:rPr>
        <w:t> </w:t>
      </w:r>
      <w:r>
        <w:rPr>
          <w:color w:val="231F20"/>
          <w:w w:val="105"/>
        </w:rPr>
        <w:t>urbanas</w:t>
      </w:r>
      <w:r>
        <w:rPr>
          <w:color w:val="231F20"/>
          <w:spacing w:val="-29"/>
          <w:w w:val="105"/>
        </w:rPr>
        <w:t> </w:t>
      </w:r>
      <w:r>
        <w:rPr>
          <w:color w:val="231F20"/>
          <w:w w:val="105"/>
        </w:rPr>
        <w:t>y</w:t>
      </w:r>
      <w:r>
        <w:rPr>
          <w:color w:val="231F20"/>
          <w:spacing w:val="-29"/>
          <w:w w:val="105"/>
        </w:rPr>
        <w:t> </w:t>
      </w:r>
      <w:r>
        <w:rPr>
          <w:color w:val="231F20"/>
          <w:w w:val="105"/>
        </w:rPr>
        <w:t>hacia</w:t>
      </w:r>
      <w:r>
        <w:rPr>
          <w:color w:val="231F20"/>
          <w:spacing w:val="-29"/>
          <w:w w:val="105"/>
        </w:rPr>
        <w:t> </w:t>
      </w:r>
      <w:r>
        <w:rPr>
          <w:color w:val="231F20"/>
          <w:w w:val="105"/>
        </w:rPr>
        <w:t>otros</w:t>
      </w:r>
      <w:r>
        <w:rPr>
          <w:color w:val="231F20"/>
          <w:spacing w:val="-29"/>
          <w:w w:val="105"/>
        </w:rPr>
        <w:t> </w:t>
      </w:r>
      <w:r>
        <w:rPr>
          <w:color w:val="231F20"/>
          <w:w w:val="105"/>
        </w:rPr>
        <w:t>países</w:t>
      </w:r>
      <w:r>
        <w:rPr>
          <w:color w:val="231F20"/>
          <w:spacing w:val="-29"/>
          <w:w w:val="105"/>
        </w:rPr>
        <w:t> </w:t>
      </w:r>
      <w:r>
        <w:rPr>
          <w:color w:val="231F20"/>
          <w:w w:val="105"/>
        </w:rPr>
        <w:t>de</w:t>
      </w:r>
      <w:r>
        <w:rPr>
          <w:color w:val="231F20"/>
          <w:spacing w:val="-29"/>
          <w:w w:val="105"/>
        </w:rPr>
        <w:t> </w:t>
      </w:r>
      <w:r>
        <w:rPr>
          <w:color w:val="231F20"/>
          <w:w w:val="105"/>
        </w:rPr>
        <w:t>Europa</w:t>
      </w:r>
      <w:r>
        <w:rPr>
          <w:color w:val="231F20"/>
          <w:spacing w:val="-29"/>
          <w:w w:val="105"/>
        </w:rPr>
        <w:t> </w:t>
      </w:r>
      <w:r>
        <w:rPr>
          <w:color w:val="231F20"/>
          <w:w w:val="105"/>
        </w:rPr>
        <w:t>y</w:t>
      </w:r>
      <w:r>
        <w:rPr>
          <w:color w:val="231F20"/>
          <w:spacing w:val="-29"/>
          <w:w w:val="105"/>
        </w:rPr>
        <w:t> </w:t>
      </w:r>
      <w:r>
        <w:rPr>
          <w:color w:val="231F20"/>
          <w:w w:val="105"/>
        </w:rPr>
        <w:t>a </w:t>
      </w:r>
      <w:r>
        <w:rPr>
          <w:color w:val="231F20"/>
        </w:rPr>
        <w:t>Estados</w:t>
      </w:r>
      <w:r>
        <w:rPr>
          <w:color w:val="231F20"/>
          <w:spacing w:val="9"/>
        </w:rPr>
        <w:t> </w:t>
      </w:r>
      <w:r>
        <w:rPr>
          <w:color w:val="231F20"/>
        </w:rPr>
        <w:t>Unidos.</w:t>
      </w:r>
    </w:p>
    <w:p>
      <w:pPr>
        <w:pStyle w:val="BodyText"/>
        <w:spacing w:line="261" w:lineRule="auto" w:before="1"/>
        <w:ind w:left="1837" w:right="1721" w:firstLine="567"/>
        <w:jc w:val="both"/>
      </w:pPr>
      <w:r>
        <w:rPr>
          <w:color w:val="231F20"/>
          <w:w w:val="105"/>
        </w:rPr>
        <w:t>Lo anterior trae consigo cambios profundos en los lugares de ori- gen y de destino de los migrantes, lo cual se refleja en nuevos proce- sos</w:t>
      </w:r>
      <w:r>
        <w:rPr>
          <w:color w:val="231F20"/>
          <w:spacing w:val="-20"/>
          <w:w w:val="105"/>
        </w:rPr>
        <w:t> </w:t>
      </w:r>
      <w:r>
        <w:rPr>
          <w:color w:val="231F20"/>
          <w:w w:val="105"/>
        </w:rPr>
        <w:t>sociales,</w:t>
      </w:r>
      <w:r>
        <w:rPr>
          <w:color w:val="231F20"/>
          <w:spacing w:val="-25"/>
          <w:w w:val="105"/>
        </w:rPr>
        <w:t> </w:t>
      </w:r>
      <w:r>
        <w:rPr>
          <w:color w:val="231F20"/>
          <w:w w:val="105"/>
        </w:rPr>
        <w:t>económicos,</w:t>
      </w:r>
      <w:r>
        <w:rPr>
          <w:color w:val="231F20"/>
          <w:spacing w:val="-25"/>
          <w:w w:val="105"/>
        </w:rPr>
        <w:t> </w:t>
      </w:r>
      <w:r>
        <w:rPr>
          <w:color w:val="231F20"/>
          <w:w w:val="105"/>
        </w:rPr>
        <w:t>ambientales</w:t>
      </w:r>
      <w:r>
        <w:rPr>
          <w:color w:val="231F20"/>
          <w:spacing w:val="-20"/>
          <w:w w:val="105"/>
        </w:rPr>
        <w:t> </w:t>
      </w:r>
      <w:r>
        <w:rPr>
          <w:color w:val="231F20"/>
          <w:w w:val="105"/>
        </w:rPr>
        <w:t>y</w:t>
      </w:r>
      <w:r>
        <w:rPr>
          <w:color w:val="231F20"/>
          <w:spacing w:val="-20"/>
          <w:w w:val="105"/>
        </w:rPr>
        <w:t> </w:t>
      </w:r>
      <w:r>
        <w:rPr>
          <w:color w:val="231F20"/>
          <w:w w:val="105"/>
        </w:rPr>
        <w:t>culturales</w:t>
      </w:r>
      <w:r>
        <w:rPr>
          <w:color w:val="231F20"/>
          <w:spacing w:val="-20"/>
          <w:w w:val="105"/>
        </w:rPr>
        <w:t> </w:t>
      </w:r>
      <w:r>
        <w:rPr>
          <w:color w:val="231F20"/>
          <w:w w:val="105"/>
        </w:rPr>
        <w:t>que</w:t>
      </w:r>
      <w:r>
        <w:rPr>
          <w:color w:val="231F20"/>
          <w:spacing w:val="-20"/>
          <w:w w:val="105"/>
        </w:rPr>
        <w:t> </w:t>
      </w:r>
      <w:r>
        <w:rPr>
          <w:color w:val="231F20"/>
          <w:w w:val="105"/>
        </w:rPr>
        <w:t>reconstruyen</w:t>
      </w:r>
      <w:r>
        <w:rPr>
          <w:color w:val="231F20"/>
          <w:spacing w:val="-20"/>
          <w:w w:val="105"/>
        </w:rPr>
        <w:t> </w:t>
      </w:r>
      <w:r>
        <w:rPr>
          <w:color w:val="231F20"/>
          <w:w w:val="105"/>
        </w:rPr>
        <w:t>los territorios.</w:t>
      </w:r>
      <w:r>
        <w:rPr>
          <w:color w:val="231F20"/>
          <w:spacing w:val="-14"/>
          <w:w w:val="105"/>
        </w:rPr>
        <w:t> </w:t>
      </w:r>
      <w:r>
        <w:rPr>
          <w:color w:val="231F20"/>
          <w:w w:val="105"/>
        </w:rPr>
        <w:t>Al</w:t>
      </w:r>
      <w:r>
        <w:rPr>
          <w:color w:val="231F20"/>
          <w:spacing w:val="-6"/>
          <w:w w:val="105"/>
        </w:rPr>
        <w:t> </w:t>
      </w:r>
      <w:r>
        <w:rPr>
          <w:color w:val="231F20"/>
          <w:w w:val="105"/>
        </w:rPr>
        <w:t>seno</w:t>
      </w:r>
      <w:r>
        <w:rPr>
          <w:color w:val="231F20"/>
          <w:spacing w:val="-6"/>
          <w:w w:val="105"/>
        </w:rPr>
        <w:t> </w:t>
      </w:r>
      <w:r>
        <w:rPr>
          <w:color w:val="231F20"/>
          <w:w w:val="105"/>
        </w:rPr>
        <w:t>de</w:t>
      </w:r>
      <w:r>
        <w:rPr>
          <w:color w:val="231F20"/>
          <w:spacing w:val="-6"/>
          <w:w w:val="105"/>
        </w:rPr>
        <w:t> </w:t>
      </w:r>
      <w:r>
        <w:rPr>
          <w:color w:val="231F20"/>
          <w:w w:val="105"/>
        </w:rPr>
        <w:t>estos</w:t>
      </w:r>
      <w:r>
        <w:rPr>
          <w:color w:val="231F20"/>
          <w:spacing w:val="-6"/>
          <w:w w:val="105"/>
        </w:rPr>
        <w:t> </w:t>
      </w:r>
      <w:r>
        <w:rPr>
          <w:color w:val="231F20"/>
          <w:w w:val="105"/>
        </w:rPr>
        <w:t>procesos</w:t>
      </w:r>
      <w:r>
        <w:rPr>
          <w:color w:val="231F20"/>
          <w:spacing w:val="-6"/>
          <w:w w:val="105"/>
        </w:rPr>
        <w:t> </w:t>
      </w:r>
      <w:r>
        <w:rPr>
          <w:color w:val="231F20"/>
          <w:w w:val="105"/>
        </w:rPr>
        <w:t>los</w:t>
      </w:r>
      <w:r>
        <w:rPr>
          <w:color w:val="231F20"/>
          <w:spacing w:val="-6"/>
          <w:w w:val="105"/>
        </w:rPr>
        <w:t> </w:t>
      </w:r>
      <w:r>
        <w:rPr>
          <w:color w:val="231F20"/>
          <w:w w:val="105"/>
        </w:rPr>
        <w:t>migrantes</w:t>
      </w:r>
      <w:r>
        <w:rPr>
          <w:color w:val="231F20"/>
          <w:spacing w:val="-6"/>
          <w:w w:val="105"/>
        </w:rPr>
        <w:t> </w:t>
      </w:r>
      <w:r>
        <w:rPr>
          <w:color w:val="231F20"/>
          <w:w w:val="105"/>
        </w:rPr>
        <w:t>rurales</w:t>
      </w:r>
      <w:r>
        <w:rPr>
          <w:color w:val="231F20"/>
          <w:spacing w:val="-6"/>
          <w:w w:val="105"/>
        </w:rPr>
        <w:t> </w:t>
      </w:r>
      <w:r>
        <w:rPr>
          <w:color w:val="231F20"/>
          <w:w w:val="105"/>
        </w:rPr>
        <w:t>son</w:t>
      </w:r>
      <w:r>
        <w:rPr>
          <w:color w:val="231F20"/>
          <w:spacing w:val="-6"/>
          <w:w w:val="105"/>
        </w:rPr>
        <w:t> </w:t>
      </w:r>
      <w:r>
        <w:rPr>
          <w:color w:val="231F20"/>
          <w:w w:val="105"/>
        </w:rPr>
        <w:t>agentes permanentes de cambio social que inciden directa e indirectamente en las transformaciones sociales contemporáneas. </w:t>
      </w:r>
      <w:r>
        <w:rPr>
          <w:color w:val="231F20"/>
          <w:spacing w:val="-6"/>
          <w:w w:val="105"/>
        </w:rPr>
        <w:t>Por </w:t>
      </w:r>
      <w:r>
        <w:rPr>
          <w:color w:val="231F20"/>
          <w:w w:val="105"/>
        </w:rPr>
        <w:t>ello en este</w:t>
      </w:r>
      <w:r>
        <w:rPr>
          <w:color w:val="231F20"/>
          <w:spacing w:val="-37"/>
          <w:w w:val="105"/>
        </w:rPr>
        <w:t> </w:t>
      </w:r>
      <w:r>
        <w:rPr>
          <w:color w:val="231F20"/>
          <w:w w:val="105"/>
        </w:rPr>
        <w:t>trabajo se</w:t>
      </w:r>
      <w:r>
        <w:rPr>
          <w:color w:val="231F20"/>
          <w:spacing w:val="-19"/>
          <w:w w:val="105"/>
        </w:rPr>
        <w:t> </w:t>
      </w:r>
      <w:r>
        <w:rPr>
          <w:color w:val="231F20"/>
          <w:w w:val="105"/>
        </w:rPr>
        <w:t>destaca</w:t>
      </w:r>
      <w:r>
        <w:rPr>
          <w:color w:val="231F20"/>
          <w:spacing w:val="-19"/>
          <w:w w:val="105"/>
        </w:rPr>
        <w:t> </w:t>
      </w:r>
      <w:r>
        <w:rPr>
          <w:color w:val="231F20"/>
          <w:w w:val="105"/>
        </w:rPr>
        <w:t>el</w:t>
      </w:r>
      <w:r>
        <w:rPr>
          <w:color w:val="231F20"/>
          <w:spacing w:val="-19"/>
          <w:w w:val="105"/>
        </w:rPr>
        <w:t> </w:t>
      </w:r>
      <w:r>
        <w:rPr>
          <w:color w:val="231F20"/>
          <w:w w:val="105"/>
        </w:rPr>
        <w:t>rol</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migrantes</w:t>
      </w:r>
      <w:r>
        <w:rPr>
          <w:color w:val="231F20"/>
          <w:spacing w:val="-19"/>
          <w:w w:val="105"/>
        </w:rPr>
        <w:t> </w:t>
      </w:r>
      <w:r>
        <w:rPr>
          <w:color w:val="231F20"/>
          <w:w w:val="105"/>
        </w:rPr>
        <w:t>rurales</w:t>
      </w:r>
      <w:r>
        <w:rPr>
          <w:color w:val="231F20"/>
          <w:spacing w:val="-19"/>
          <w:w w:val="105"/>
        </w:rPr>
        <w:t> </w:t>
      </w:r>
      <w:r>
        <w:rPr>
          <w:color w:val="231F20"/>
          <w:w w:val="105"/>
        </w:rPr>
        <w:t>como</w:t>
      </w:r>
      <w:r>
        <w:rPr>
          <w:color w:val="231F20"/>
          <w:spacing w:val="-19"/>
          <w:w w:val="105"/>
        </w:rPr>
        <w:t> </w:t>
      </w:r>
      <w:r>
        <w:rPr>
          <w:color w:val="231F20"/>
          <w:w w:val="105"/>
        </w:rPr>
        <w:t>actores</w:t>
      </w:r>
      <w:r>
        <w:rPr>
          <w:color w:val="231F20"/>
          <w:spacing w:val="-19"/>
          <w:w w:val="105"/>
        </w:rPr>
        <w:t> </w:t>
      </w:r>
      <w:r>
        <w:rPr>
          <w:color w:val="231F20"/>
          <w:w w:val="105"/>
        </w:rPr>
        <w:t>clave</w:t>
      </w:r>
      <w:r>
        <w:rPr>
          <w:color w:val="231F20"/>
          <w:spacing w:val="-19"/>
          <w:w w:val="105"/>
        </w:rPr>
        <w:t> </w:t>
      </w:r>
      <w:r>
        <w:rPr>
          <w:color w:val="231F20"/>
          <w:w w:val="105"/>
        </w:rPr>
        <w:t>que</w:t>
      </w:r>
      <w:r>
        <w:rPr>
          <w:color w:val="231F20"/>
          <w:spacing w:val="-19"/>
          <w:w w:val="105"/>
        </w:rPr>
        <w:t> </w:t>
      </w:r>
      <w:r>
        <w:rPr>
          <w:color w:val="231F20"/>
          <w:w w:val="105"/>
        </w:rPr>
        <w:t>confor- man</w:t>
      </w:r>
      <w:r>
        <w:rPr>
          <w:color w:val="231F20"/>
          <w:spacing w:val="-20"/>
          <w:w w:val="105"/>
        </w:rPr>
        <w:t> </w:t>
      </w:r>
      <w:r>
        <w:rPr>
          <w:color w:val="231F20"/>
          <w:w w:val="105"/>
        </w:rPr>
        <w:t>tejidos</w:t>
      </w:r>
      <w:r>
        <w:rPr>
          <w:color w:val="231F20"/>
          <w:spacing w:val="-20"/>
          <w:w w:val="105"/>
        </w:rPr>
        <w:t> </w:t>
      </w:r>
      <w:r>
        <w:rPr>
          <w:color w:val="231F20"/>
          <w:w w:val="105"/>
        </w:rPr>
        <w:t>sociales,</w:t>
      </w:r>
      <w:r>
        <w:rPr>
          <w:color w:val="231F20"/>
          <w:spacing w:val="-24"/>
          <w:w w:val="105"/>
        </w:rPr>
        <w:t> </w:t>
      </w:r>
      <w:r>
        <w:rPr>
          <w:color w:val="231F20"/>
          <w:w w:val="105"/>
        </w:rPr>
        <w:t>acercan</w:t>
      </w:r>
      <w:r>
        <w:rPr>
          <w:color w:val="231F20"/>
          <w:spacing w:val="-20"/>
          <w:w w:val="105"/>
        </w:rPr>
        <w:t> </w:t>
      </w:r>
      <w:r>
        <w:rPr>
          <w:color w:val="231F20"/>
          <w:w w:val="105"/>
        </w:rPr>
        <w:t>personas</w:t>
      </w:r>
      <w:r>
        <w:rPr>
          <w:color w:val="231F20"/>
          <w:spacing w:val="-20"/>
          <w:w w:val="105"/>
        </w:rPr>
        <w:t> </w:t>
      </w:r>
      <w:r>
        <w:rPr>
          <w:color w:val="231F20"/>
          <w:w w:val="105"/>
        </w:rPr>
        <w:t>y</w:t>
      </w:r>
      <w:r>
        <w:rPr>
          <w:color w:val="231F20"/>
          <w:spacing w:val="-20"/>
          <w:w w:val="105"/>
        </w:rPr>
        <w:t> </w:t>
      </w:r>
      <w:r>
        <w:rPr>
          <w:color w:val="231F20"/>
          <w:w w:val="105"/>
        </w:rPr>
        <w:t>territorios,</w:t>
      </w:r>
      <w:r>
        <w:rPr>
          <w:color w:val="231F20"/>
          <w:spacing w:val="-24"/>
          <w:w w:val="105"/>
        </w:rPr>
        <w:t> </w:t>
      </w:r>
      <w:r>
        <w:rPr>
          <w:color w:val="231F20"/>
          <w:w w:val="105"/>
        </w:rPr>
        <w:t>dinamizan,</w:t>
      </w:r>
      <w:r>
        <w:rPr>
          <w:color w:val="231F20"/>
          <w:spacing w:val="-24"/>
          <w:w w:val="105"/>
        </w:rPr>
        <w:t> </w:t>
      </w:r>
      <w:r>
        <w:rPr>
          <w:color w:val="231F20"/>
          <w:w w:val="105"/>
        </w:rPr>
        <w:t>cohesio- nan</w:t>
      </w:r>
      <w:r>
        <w:rPr>
          <w:color w:val="231F20"/>
          <w:spacing w:val="-16"/>
          <w:w w:val="105"/>
        </w:rPr>
        <w:t> </w:t>
      </w:r>
      <w:r>
        <w:rPr>
          <w:color w:val="231F20"/>
          <w:w w:val="105"/>
        </w:rPr>
        <w:t>o</w:t>
      </w:r>
      <w:r>
        <w:rPr>
          <w:color w:val="231F20"/>
          <w:spacing w:val="-16"/>
          <w:w w:val="105"/>
        </w:rPr>
        <w:t> </w:t>
      </w:r>
      <w:r>
        <w:rPr>
          <w:color w:val="231F20"/>
          <w:w w:val="105"/>
        </w:rPr>
        <w:t>también</w:t>
      </w:r>
      <w:r>
        <w:rPr>
          <w:color w:val="231F20"/>
          <w:spacing w:val="-16"/>
          <w:w w:val="105"/>
        </w:rPr>
        <w:t> </w:t>
      </w:r>
      <w:r>
        <w:rPr>
          <w:color w:val="231F20"/>
          <w:w w:val="105"/>
        </w:rPr>
        <w:t>recrean</w:t>
      </w:r>
      <w:r>
        <w:rPr>
          <w:color w:val="231F20"/>
          <w:spacing w:val="-16"/>
          <w:w w:val="105"/>
        </w:rPr>
        <w:t> </w:t>
      </w:r>
      <w:r>
        <w:rPr>
          <w:color w:val="231F20"/>
          <w:w w:val="105"/>
        </w:rPr>
        <w:t>su</w:t>
      </w:r>
      <w:r>
        <w:rPr>
          <w:color w:val="231F20"/>
          <w:spacing w:val="-16"/>
          <w:w w:val="105"/>
        </w:rPr>
        <w:t> </w:t>
      </w:r>
      <w:r>
        <w:rPr>
          <w:color w:val="231F20"/>
          <w:w w:val="105"/>
        </w:rPr>
        <w:t>cultura</w:t>
      </w:r>
      <w:r>
        <w:rPr>
          <w:color w:val="231F20"/>
          <w:spacing w:val="-16"/>
          <w:w w:val="105"/>
        </w:rPr>
        <w:t> </w:t>
      </w:r>
      <w:r>
        <w:rPr>
          <w:color w:val="231F20"/>
          <w:w w:val="105"/>
        </w:rPr>
        <w:t>originaria.</w:t>
      </w:r>
    </w:p>
    <w:p>
      <w:pPr>
        <w:pStyle w:val="BodyText"/>
        <w:spacing w:line="261" w:lineRule="auto" w:before="1"/>
        <w:ind w:left="1837" w:right="1715" w:firstLine="567"/>
        <w:jc w:val="both"/>
      </w:pPr>
      <w:r>
        <w:rPr>
          <w:color w:val="231F20"/>
        </w:rPr>
        <w:t>De ahí se reconoce que son múltiples los aspectos y oportunidades que permiten desarrollar el diálogo y la cooperación  entre  territorios,  pero hay uno que  merece  una  especial  atención, </w:t>
      </w:r>
      <w:r>
        <w:rPr>
          <w:rFonts w:ascii="Arial" w:hAnsi="Arial"/>
          <w:i/>
          <w:color w:val="231F20"/>
        </w:rPr>
        <w:t>las  migraciones</w:t>
      </w:r>
      <w:r>
        <w:rPr>
          <w:color w:val="231F20"/>
        </w:rPr>
        <w:t>. </w:t>
      </w:r>
      <w:r>
        <w:rPr>
          <w:color w:val="231F20"/>
          <w:spacing w:val="-6"/>
        </w:rPr>
        <w:t>Por </w:t>
      </w:r>
      <w:r>
        <w:rPr>
          <w:color w:val="231F20"/>
        </w:rPr>
        <w:t>su doble cultura y su doble pertenencia,   desempeñan un papel motor    en la creación de puentes de cooperación y solidaridad entre territorios (Merlet, </w:t>
      </w:r>
      <w:r>
        <w:rPr>
          <w:rFonts w:ascii="Arial" w:hAnsi="Arial"/>
          <w:i/>
          <w:color w:val="231F20"/>
        </w:rPr>
        <w:t>et al., </w:t>
      </w:r>
      <w:r>
        <w:rPr>
          <w:color w:val="231F20"/>
        </w:rPr>
        <w:t>2006). La conexión territorial a través de los fenómenos mi- gratorios, así como las causas y consecuencias de la migración  </w:t>
      </w:r>
      <w:r>
        <w:rPr>
          <w:color w:val="231F20"/>
          <w:spacing w:val="18"/>
        </w:rPr>
        <w:t> </w:t>
      </w:r>
      <w:r>
        <w:rPr>
          <w:color w:val="231F20"/>
        </w:rPr>
        <w:t>permiten</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34"/>
        <w:jc w:val="both"/>
      </w:pPr>
      <w:r>
        <w:rPr>
          <w:color w:val="231F20"/>
          <w:w w:val="105"/>
        </w:rPr>
        <w:t>abrir</w:t>
      </w:r>
      <w:r>
        <w:rPr>
          <w:color w:val="231F20"/>
          <w:spacing w:val="-16"/>
          <w:w w:val="105"/>
        </w:rPr>
        <w:t> </w:t>
      </w:r>
      <w:r>
        <w:rPr>
          <w:color w:val="231F20"/>
          <w:w w:val="105"/>
        </w:rPr>
        <w:t>la</w:t>
      </w:r>
      <w:r>
        <w:rPr>
          <w:color w:val="231F20"/>
          <w:spacing w:val="-16"/>
          <w:w w:val="105"/>
        </w:rPr>
        <w:t> </w:t>
      </w:r>
      <w:r>
        <w:rPr>
          <w:color w:val="231F20"/>
          <w:w w:val="105"/>
        </w:rPr>
        <w:t>discusión</w:t>
      </w:r>
      <w:r>
        <w:rPr>
          <w:color w:val="231F20"/>
          <w:spacing w:val="-16"/>
          <w:w w:val="105"/>
        </w:rPr>
        <w:t> </w:t>
      </w:r>
      <w:r>
        <w:rPr>
          <w:color w:val="231F20"/>
          <w:w w:val="105"/>
        </w:rPr>
        <w:t>académica</w:t>
      </w:r>
      <w:r>
        <w:rPr>
          <w:color w:val="231F20"/>
          <w:spacing w:val="-16"/>
          <w:w w:val="105"/>
        </w:rPr>
        <w:t> </w:t>
      </w:r>
      <w:r>
        <w:rPr>
          <w:color w:val="231F20"/>
          <w:w w:val="105"/>
        </w:rPr>
        <w:t>de</w:t>
      </w:r>
      <w:r>
        <w:rPr>
          <w:color w:val="231F20"/>
          <w:spacing w:val="-16"/>
          <w:w w:val="105"/>
        </w:rPr>
        <w:t> </w:t>
      </w:r>
      <w:r>
        <w:rPr>
          <w:color w:val="231F20"/>
          <w:w w:val="105"/>
        </w:rPr>
        <w:t>cómo</w:t>
      </w:r>
      <w:r>
        <w:rPr>
          <w:color w:val="231F20"/>
          <w:spacing w:val="-16"/>
          <w:w w:val="105"/>
        </w:rPr>
        <w:t> </w:t>
      </w:r>
      <w:r>
        <w:rPr>
          <w:color w:val="231F20"/>
          <w:w w:val="105"/>
        </w:rPr>
        <w:t>los</w:t>
      </w:r>
      <w:r>
        <w:rPr>
          <w:color w:val="231F20"/>
          <w:spacing w:val="-16"/>
          <w:w w:val="105"/>
        </w:rPr>
        <w:t> </w:t>
      </w:r>
      <w:r>
        <w:rPr>
          <w:color w:val="231F20"/>
          <w:w w:val="105"/>
        </w:rPr>
        <w:t>migrantes</w:t>
      </w:r>
      <w:r>
        <w:rPr>
          <w:color w:val="231F20"/>
          <w:spacing w:val="-16"/>
          <w:w w:val="105"/>
        </w:rPr>
        <w:t> </w:t>
      </w:r>
      <w:r>
        <w:rPr>
          <w:color w:val="231F20"/>
          <w:w w:val="105"/>
        </w:rPr>
        <w:t>interpretan</w:t>
      </w:r>
      <w:r>
        <w:rPr>
          <w:color w:val="231F20"/>
          <w:spacing w:val="-16"/>
          <w:w w:val="105"/>
        </w:rPr>
        <w:t> </w:t>
      </w:r>
      <w:r>
        <w:rPr>
          <w:color w:val="231F20"/>
          <w:w w:val="105"/>
        </w:rPr>
        <w:t>su</w:t>
      </w:r>
      <w:r>
        <w:rPr>
          <w:color w:val="231F20"/>
          <w:spacing w:val="-16"/>
          <w:w w:val="105"/>
        </w:rPr>
        <w:t> </w:t>
      </w:r>
      <w:r>
        <w:rPr>
          <w:color w:val="231F20"/>
          <w:w w:val="105"/>
        </w:rPr>
        <w:t>expe- riencia,</w:t>
      </w:r>
      <w:r>
        <w:rPr>
          <w:color w:val="231F20"/>
          <w:spacing w:val="-23"/>
          <w:w w:val="105"/>
        </w:rPr>
        <w:t> </w:t>
      </w:r>
      <w:r>
        <w:rPr>
          <w:color w:val="231F20"/>
          <w:w w:val="105"/>
        </w:rPr>
        <w:t>y</w:t>
      </w:r>
      <w:r>
        <w:rPr>
          <w:color w:val="231F20"/>
          <w:spacing w:val="-18"/>
          <w:w w:val="105"/>
        </w:rPr>
        <w:t> </w:t>
      </w:r>
      <w:r>
        <w:rPr>
          <w:color w:val="231F20"/>
          <w:w w:val="105"/>
        </w:rPr>
        <w:t>cómo</w:t>
      </w:r>
      <w:r>
        <w:rPr>
          <w:color w:val="231F20"/>
          <w:spacing w:val="-18"/>
          <w:w w:val="105"/>
        </w:rPr>
        <w:t> </w:t>
      </w:r>
      <w:r>
        <w:rPr>
          <w:color w:val="231F20"/>
          <w:w w:val="105"/>
        </w:rPr>
        <w:t>a</w:t>
      </w:r>
      <w:r>
        <w:rPr>
          <w:color w:val="231F20"/>
          <w:spacing w:val="-18"/>
          <w:w w:val="105"/>
        </w:rPr>
        <w:t> </w:t>
      </w:r>
      <w:r>
        <w:rPr>
          <w:color w:val="231F20"/>
          <w:w w:val="105"/>
        </w:rPr>
        <w:t>través</w:t>
      </w:r>
      <w:r>
        <w:rPr>
          <w:color w:val="231F20"/>
          <w:spacing w:val="-18"/>
          <w:w w:val="105"/>
        </w:rPr>
        <w:t> </w:t>
      </w:r>
      <w:r>
        <w:rPr>
          <w:color w:val="231F20"/>
          <w:w w:val="105"/>
        </w:rPr>
        <w:t>de</w:t>
      </w:r>
      <w:r>
        <w:rPr>
          <w:color w:val="231F20"/>
          <w:spacing w:val="-18"/>
          <w:w w:val="105"/>
        </w:rPr>
        <w:t> </w:t>
      </w:r>
      <w:r>
        <w:rPr>
          <w:color w:val="231F20"/>
          <w:w w:val="105"/>
        </w:rPr>
        <w:t>sus</w:t>
      </w:r>
      <w:r>
        <w:rPr>
          <w:color w:val="231F20"/>
          <w:spacing w:val="-18"/>
          <w:w w:val="105"/>
        </w:rPr>
        <w:t> </w:t>
      </w:r>
      <w:r>
        <w:rPr>
          <w:color w:val="231F20"/>
          <w:w w:val="105"/>
        </w:rPr>
        <w:t>prácticas</w:t>
      </w:r>
      <w:r>
        <w:rPr>
          <w:color w:val="231F20"/>
          <w:spacing w:val="-18"/>
          <w:w w:val="105"/>
        </w:rPr>
        <w:t> </w:t>
      </w:r>
      <w:r>
        <w:rPr>
          <w:color w:val="231F20"/>
          <w:w w:val="105"/>
        </w:rPr>
        <w:t>discursivas</w:t>
      </w:r>
      <w:r>
        <w:rPr>
          <w:color w:val="231F20"/>
          <w:spacing w:val="-18"/>
          <w:w w:val="105"/>
        </w:rPr>
        <w:t> </w:t>
      </w:r>
      <w:r>
        <w:rPr>
          <w:color w:val="231F20"/>
          <w:w w:val="105"/>
        </w:rPr>
        <w:t>también</w:t>
      </w:r>
      <w:r>
        <w:rPr>
          <w:color w:val="231F20"/>
          <w:spacing w:val="-18"/>
          <w:w w:val="105"/>
        </w:rPr>
        <w:t> </w:t>
      </w:r>
      <w:r>
        <w:rPr>
          <w:color w:val="231F20"/>
          <w:w w:val="105"/>
        </w:rPr>
        <w:t>construyen una identidad</w:t>
      </w:r>
      <w:r>
        <w:rPr>
          <w:color w:val="231F20"/>
          <w:spacing w:val="14"/>
          <w:w w:val="105"/>
        </w:rPr>
        <w:t> </w:t>
      </w:r>
      <w:r>
        <w:rPr>
          <w:color w:val="231F20"/>
          <w:w w:val="105"/>
        </w:rPr>
        <w:t>territorial.</w:t>
      </w:r>
    </w:p>
    <w:p>
      <w:pPr>
        <w:pStyle w:val="BodyText"/>
        <w:spacing w:line="261" w:lineRule="auto" w:before="1"/>
        <w:ind w:left="1723" w:right="1834" w:firstLine="567"/>
        <w:jc w:val="both"/>
      </w:pPr>
      <w:r>
        <w:rPr>
          <w:color w:val="231F20"/>
          <w:w w:val="105"/>
        </w:rPr>
        <w:t>La</w:t>
      </w:r>
      <w:r>
        <w:rPr>
          <w:color w:val="231F20"/>
          <w:spacing w:val="-19"/>
          <w:w w:val="105"/>
        </w:rPr>
        <w:t> </w:t>
      </w:r>
      <w:r>
        <w:rPr>
          <w:color w:val="231F20"/>
          <w:w w:val="105"/>
        </w:rPr>
        <w:t>migración</w:t>
      </w:r>
      <w:r>
        <w:rPr>
          <w:color w:val="231F20"/>
          <w:spacing w:val="-19"/>
          <w:w w:val="105"/>
        </w:rPr>
        <w:t> </w:t>
      </w:r>
      <w:r>
        <w:rPr>
          <w:color w:val="231F20"/>
          <w:w w:val="105"/>
        </w:rPr>
        <w:t>internacional</w:t>
      </w:r>
      <w:r>
        <w:rPr>
          <w:color w:val="231F20"/>
          <w:spacing w:val="-19"/>
          <w:w w:val="105"/>
        </w:rPr>
        <w:t> </w:t>
      </w:r>
      <w:r>
        <w:rPr>
          <w:color w:val="231F20"/>
          <w:w w:val="105"/>
        </w:rPr>
        <w:t>de</w:t>
      </w:r>
      <w:r>
        <w:rPr>
          <w:color w:val="231F20"/>
          <w:spacing w:val="-19"/>
          <w:w w:val="105"/>
        </w:rPr>
        <w:t> </w:t>
      </w:r>
      <w:r>
        <w:rPr>
          <w:color w:val="231F20"/>
          <w:w w:val="105"/>
        </w:rPr>
        <w:t>origen</w:t>
      </w:r>
      <w:r>
        <w:rPr>
          <w:color w:val="231F20"/>
          <w:spacing w:val="-19"/>
          <w:w w:val="105"/>
        </w:rPr>
        <w:t> </w:t>
      </w:r>
      <w:r>
        <w:rPr>
          <w:color w:val="231F20"/>
          <w:w w:val="105"/>
        </w:rPr>
        <w:t>rural</w:t>
      </w:r>
      <w:r>
        <w:rPr>
          <w:color w:val="231F20"/>
          <w:spacing w:val="-19"/>
          <w:w w:val="105"/>
        </w:rPr>
        <w:t> </w:t>
      </w:r>
      <w:r>
        <w:rPr>
          <w:color w:val="231F20"/>
          <w:w w:val="105"/>
        </w:rPr>
        <w:t>ha</w:t>
      </w:r>
      <w:r>
        <w:rPr>
          <w:color w:val="231F20"/>
          <w:spacing w:val="-19"/>
          <w:w w:val="105"/>
        </w:rPr>
        <w:t> </w:t>
      </w:r>
      <w:r>
        <w:rPr>
          <w:color w:val="231F20"/>
          <w:w w:val="105"/>
        </w:rPr>
        <w:t>sido</w:t>
      </w:r>
      <w:r>
        <w:rPr>
          <w:color w:val="231F20"/>
          <w:spacing w:val="-19"/>
          <w:w w:val="105"/>
        </w:rPr>
        <w:t> </w:t>
      </w:r>
      <w:r>
        <w:rPr>
          <w:color w:val="231F20"/>
          <w:w w:val="105"/>
        </w:rPr>
        <w:t>importante</w:t>
      </w:r>
      <w:r>
        <w:rPr>
          <w:color w:val="231F20"/>
          <w:spacing w:val="-19"/>
          <w:w w:val="105"/>
        </w:rPr>
        <w:t> </w:t>
      </w:r>
      <w:r>
        <w:rPr>
          <w:color w:val="231F20"/>
          <w:w w:val="105"/>
        </w:rPr>
        <w:t>en</w:t>
      </w:r>
      <w:r>
        <w:rPr>
          <w:color w:val="231F20"/>
          <w:spacing w:val="-19"/>
          <w:w w:val="105"/>
        </w:rPr>
        <w:t> </w:t>
      </w:r>
      <w:r>
        <w:rPr>
          <w:color w:val="231F20"/>
          <w:w w:val="105"/>
        </w:rPr>
        <w:t>al- gunos</w:t>
      </w:r>
      <w:r>
        <w:rPr>
          <w:color w:val="231F20"/>
          <w:spacing w:val="-26"/>
          <w:w w:val="105"/>
        </w:rPr>
        <w:t> </w:t>
      </w:r>
      <w:r>
        <w:rPr>
          <w:color w:val="231F20"/>
          <w:w w:val="105"/>
        </w:rPr>
        <w:t>países,</w:t>
      </w:r>
      <w:r>
        <w:rPr>
          <w:color w:val="231F20"/>
          <w:spacing w:val="-30"/>
          <w:w w:val="105"/>
        </w:rPr>
        <w:t> </w:t>
      </w:r>
      <w:r>
        <w:rPr>
          <w:color w:val="231F20"/>
          <w:w w:val="105"/>
        </w:rPr>
        <w:t>especialmente</w:t>
      </w:r>
      <w:r>
        <w:rPr>
          <w:color w:val="231F20"/>
          <w:spacing w:val="-26"/>
          <w:w w:val="105"/>
        </w:rPr>
        <w:t> </w:t>
      </w:r>
      <w:r>
        <w:rPr>
          <w:color w:val="231F20"/>
          <w:w w:val="105"/>
        </w:rPr>
        <w:t>en</w:t>
      </w:r>
      <w:r>
        <w:rPr>
          <w:color w:val="231F20"/>
          <w:spacing w:val="-26"/>
          <w:w w:val="105"/>
        </w:rPr>
        <w:t> </w:t>
      </w:r>
      <w:r>
        <w:rPr>
          <w:color w:val="231F20"/>
          <w:w w:val="105"/>
        </w:rPr>
        <w:t>México,</w:t>
      </w:r>
      <w:r>
        <w:rPr>
          <w:color w:val="231F20"/>
          <w:spacing w:val="-30"/>
          <w:w w:val="105"/>
        </w:rPr>
        <w:t> </w:t>
      </w:r>
      <w:r>
        <w:rPr>
          <w:color w:val="231F20"/>
          <w:w w:val="105"/>
        </w:rPr>
        <w:t>ello</w:t>
      </w:r>
      <w:r>
        <w:rPr>
          <w:color w:val="231F20"/>
          <w:spacing w:val="-26"/>
          <w:w w:val="105"/>
        </w:rPr>
        <w:t> </w:t>
      </w:r>
      <w:r>
        <w:rPr>
          <w:color w:val="231F20"/>
          <w:w w:val="105"/>
        </w:rPr>
        <w:t>ha</w:t>
      </w:r>
      <w:r>
        <w:rPr>
          <w:color w:val="231F20"/>
          <w:spacing w:val="-26"/>
          <w:w w:val="105"/>
        </w:rPr>
        <w:t> </w:t>
      </w:r>
      <w:r>
        <w:rPr>
          <w:color w:val="231F20"/>
          <w:w w:val="105"/>
        </w:rPr>
        <w:t>creado</w:t>
      </w:r>
      <w:r>
        <w:rPr>
          <w:color w:val="231F20"/>
          <w:spacing w:val="-26"/>
          <w:w w:val="105"/>
        </w:rPr>
        <w:t> </w:t>
      </w:r>
      <w:r>
        <w:rPr>
          <w:color w:val="231F20"/>
          <w:w w:val="105"/>
        </w:rPr>
        <w:t>vínculos</w:t>
      </w:r>
      <w:r>
        <w:rPr>
          <w:color w:val="231F20"/>
          <w:spacing w:val="-26"/>
          <w:w w:val="105"/>
        </w:rPr>
        <w:t> </w:t>
      </w:r>
      <w:r>
        <w:rPr>
          <w:color w:val="231F20"/>
          <w:w w:val="105"/>
        </w:rPr>
        <w:t>globales de</w:t>
      </w:r>
      <w:r>
        <w:rPr>
          <w:color w:val="231F20"/>
          <w:spacing w:val="-3"/>
          <w:w w:val="105"/>
        </w:rPr>
        <w:t> </w:t>
      </w:r>
      <w:r>
        <w:rPr>
          <w:color w:val="231F20"/>
          <w:w w:val="105"/>
        </w:rPr>
        <w:t>relaciones</w:t>
      </w:r>
      <w:r>
        <w:rPr>
          <w:color w:val="231F20"/>
          <w:spacing w:val="-3"/>
          <w:w w:val="105"/>
        </w:rPr>
        <w:t> </w:t>
      </w:r>
      <w:r>
        <w:rPr>
          <w:color w:val="231F20"/>
          <w:w w:val="105"/>
        </w:rPr>
        <w:t>y</w:t>
      </w:r>
      <w:r>
        <w:rPr>
          <w:color w:val="231F20"/>
          <w:spacing w:val="-3"/>
          <w:w w:val="105"/>
        </w:rPr>
        <w:t> </w:t>
      </w:r>
      <w:r>
        <w:rPr>
          <w:color w:val="231F20"/>
          <w:w w:val="105"/>
        </w:rPr>
        <w:t>flujos</w:t>
      </w:r>
      <w:r>
        <w:rPr>
          <w:color w:val="231F20"/>
          <w:spacing w:val="-3"/>
          <w:w w:val="105"/>
        </w:rPr>
        <w:t> </w:t>
      </w:r>
      <w:r>
        <w:rPr>
          <w:color w:val="231F20"/>
          <w:w w:val="105"/>
        </w:rPr>
        <w:t>de</w:t>
      </w:r>
      <w:r>
        <w:rPr>
          <w:color w:val="231F20"/>
          <w:spacing w:val="-3"/>
          <w:w w:val="105"/>
        </w:rPr>
        <w:t> </w:t>
      </w:r>
      <w:r>
        <w:rPr>
          <w:color w:val="231F20"/>
          <w:w w:val="105"/>
        </w:rPr>
        <w:t>enorme</w:t>
      </w:r>
      <w:r>
        <w:rPr>
          <w:color w:val="231F20"/>
          <w:spacing w:val="-3"/>
          <w:w w:val="105"/>
        </w:rPr>
        <w:t> </w:t>
      </w:r>
      <w:r>
        <w:rPr>
          <w:color w:val="231F20"/>
          <w:w w:val="105"/>
        </w:rPr>
        <w:t>significado,</w:t>
      </w:r>
      <w:r>
        <w:rPr>
          <w:color w:val="231F20"/>
          <w:spacing w:val="-9"/>
          <w:w w:val="105"/>
        </w:rPr>
        <w:t> </w:t>
      </w:r>
      <w:r>
        <w:rPr>
          <w:color w:val="231F20"/>
          <w:w w:val="105"/>
        </w:rPr>
        <w:t>tal</w:t>
      </w:r>
      <w:r>
        <w:rPr>
          <w:color w:val="231F20"/>
          <w:spacing w:val="-3"/>
          <w:w w:val="105"/>
        </w:rPr>
        <w:t> </w:t>
      </w:r>
      <w:r>
        <w:rPr>
          <w:color w:val="231F20"/>
          <w:w w:val="105"/>
        </w:rPr>
        <w:t>como</w:t>
      </w:r>
      <w:r>
        <w:rPr>
          <w:color w:val="231F20"/>
          <w:spacing w:val="-3"/>
          <w:w w:val="105"/>
        </w:rPr>
        <w:t> </w:t>
      </w:r>
      <w:r>
        <w:rPr>
          <w:color w:val="231F20"/>
          <w:w w:val="105"/>
        </w:rPr>
        <w:t>las</w:t>
      </w:r>
      <w:r>
        <w:rPr>
          <w:color w:val="231F20"/>
          <w:spacing w:val="-3"/>
          <w:w w:val="105"/>
        </w:rPr>
        <w:t> </w:t>
      </w:r>
      <w:r>
        <w:rPr>
          <w:color w:val="231F20"/>
          <w:w w:val="105"/>
        </w:rPr>
        <w:t>remesas,</w:t>
      </w:r>
      <w:r>
        <w:rPr>
          <w:color w:val="231F20"/>
          <w:spacing w:val="-9"/>
          <w:w w:val="105"/>
        </w:rPr>
        <w:t> </w:t>
      </w:r>
      <w:r>
        <w:rPr>
          <w:color w:val="231F20"/>
          <w:w w:val="105"/>
        </w:rPr>
        <w:t>que ha</w:t>
      </w:r>
      <w:r>
        <w:rPr>
          <w:color w:val="231F20"/>
          <w:spacing w:val="-13"/>
          <w:w w:val="105"/>
        </w:rPr>
        <w:t> </w:t>
      </w:r>
      <w:r>
        <w:rPr>
          <w:color w:val="231F20"/>
          <w:w w:val="105"/>
        </w:rPr>
        <w:t>tenido</w:t>
      </w:r>
      <w:r>
        <w:rPr>
          <w:color w:val="231F20"/>
          <w:spacing w:val="-13"/>
          <w:w w:val="105"/>
        </w:rPr>
        <w:t> </w:t>
      </w:r>
      <w:r>
        <w:rPr>
          <w:color w:val="231F20"/>
          <w:w w:val="105"/>
        </w:rPr>
        <w:t>significativas</w:t>
      </w:r>
      <w:r>
        <w:rPr>
          <w:color w:val="231F20"/>
          <w:spacing w:val="-13"/>
          <w:w w:val="105"/>
        </w:rPr>
        <w:t> </w:t>
      </w:r>
      <w:r>
        <w:rPr>
          <w:color w:val="231F20"/>
          <w:w w:val="105"/>
        </w:rPr>
        <w:t>repercusiones</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condiciones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vida</w:t>
      </w:r>
      <w:r>
        <w:rPr>
          <w:color w:val="231F20"/>
          <w:spacing w:val="-13"/>
          <w:w w:val="105"/>
        </w:rPr>
        <w:t> </w:t>
      </w:r>
      <w:r>
        <w:rPr>
          <w:color w:val="231F20"/>
          <w:w w:val="105"/>
        </w:rPr>
        <w:t>rural (Echeverri</w:t>
      </w:r>
      <w:r>
        <w:rPr>
          <w:color w:val="231F20"/>
          <w:spacing w:val="-7"/>
          <w:w w:val="105"/>
        </w:rPr>
        <w:t> </w:t>
      </w:r>
      <w:r>
        <w:rPr>
          <w:color w:val="231F20"/>
          <w:w w:val="105"/>
        </w:rPr>
        <w:t>y</w:t>
      </w:r>
      <w:r>
        <w:rPr>
          <w:color w:val="231F20"/>
          <w:spacing w:val="-7"/>
          <w:w w:val="105"/>
        </w:rPr>
        <w:t> </w:t>
      </w:r>
      <w:r>
        <w:rPr>
          <w:color w:val="231F20"/>
          <w:w w:val="105"/>
        </w:rPr>
        <w:t>Sotomayor,</w:t>
      </w:r>
      <w:r>
        <w:rPr>
          <w:color w:val="231F20"/>
          <w:spacing w:val="-12"/>
          <w:w w:val="105"/>
        </w:rPr>
        <w:t> </w:t>
      </w:r>
      <w:r>
        <w:rPr>
          <w:color w:val="231F20"/>
          <w:w w:val="105"/>
        </w:rPr>
        <w:t>2010).</w:t>
      </w:r>
      <w:r>
        <w:rPr>
          <w:color w:val="231F20"/>
          <w:spacing w:val="-12"/>
          <w:w w:val="105"/>
        </w:rPr>
        <w:t> </w:t>
      </w:r>
      <w:r>
        <w:rPr>
          <w:color w:val="231F20"/>
          <w:w w:val="105"/>
        </w:rPr>
        <w:t>De</w:t>
      </w:r>
      <w:r>
        <w:rPr>
          <w:color w:val="231F20"/>
          <w:spacing w:val="-7"/>
          <w:w w:val="105"/>
        </w:rPr>
        <w:t> </w:t>
      </w:r>
      <w:r>
        <w:rPr>
          <w:color w:val="231F20"/>
          <w:w w:val="105"/>
        </w:rPr>
        <w:t>allí</w:t>
      </w:r>
      <w:r>
        <w:rPr>
          <w:color w:val="231F20"/>
          <w:spacing w:val="-7"/>
          <w:w w:val="105"/>
        </w:rPr>
        <w:t> </w:t>
      </w:r>
      <w:r>
        <w:rPr>
          <w:color w:val="231F20"/>
          <w:w w:val="105"/>
        </w:rPr>
        <w:t>que</w:t>
      </w:r>
      <w:r>
        <w:rPr>
          <w:color w:val="231F20"/>
          <w:spacing w:val="-7"/>
          <w:w w:val="105"/>
        </w:rPr>
        <w:t> </w:t>
      </w:r>
      <w:r>
        <w:rPr>
          <w:color w:val="231F20"/>
          <w:w w:val="105"/>
        </w:rPr>
        <w:t>este</w:t>
      </w:r>
      <w:r>
        <w:rPr>
          <w:color w:val="231F20"/>
          <w:spacing w:val="-7"/>
          <w:w w:val="105"/>
        </w:rPr>
        <w:t> </w:t>
      </w:r>
      <w:r>
        <w:rPr>
          <w:color w:val="231F20"/>
          <w:w w:val="105"/>
        </w:rPr>
        <w:t>trabajo</w:t>
      </w:r>
      <w:r>
        <w:rPr>
          <w:color w:val="231F20"/>
          <w:spacing w:val="-7"/>
          <w:w w:val="105"/>
        </w:rPr>
        <w:t> </w:t>
      </w:r>
      <w:r>
        <w:rPr>
          <w:color w:val="231F20"/>
          <w:w w:val="105"/>
        </w:rPr>
        <w:t>de</w:t>
      </w:r>
      <w:r>
        <w:rPr>
          <w:color w:val="231F20"/>
          <w:spacing w:val="-7"/>
          <w:w w:val="105"/>
        </w:rPr>
        <w:t> </w:t>
      </w:r>
      <w:r>
        <w:rPr>
          <w:color w:val="231F20"/>
          <w:w w:val="105"/>
        </w:rPr>
        <w:t>investigación realizado entre 2013 y 2015 se enfocó a crear un perfil de los migran- tes</w:t>
      </w:r>
      <w:r>
        <w:rPr>
          <w:color w:val="231F20"/>
          <w:spacing w:val="-11"/>
          <w:w w:val="105"/>
        </w:rPr>
        <w:t> </w:t>
      </w:r>
      <w:r>
        <w:rPr>
          <w:color w:val="231F20"/>
          <w:w w:val="105"/>
        </w:rPr>
        <w:t>internacionales</w:t>
      </w:r>
      <w:r>
        <w:rPr>
          <w:color w:val="231F20"/>
          <w:spacing w:val="-11"/>
          <w:w w:val="105"/>
        </w:rPr>
        <w:t> </w:t>
      </w:r>
      <w:r>
        <w:rPr>
          <w:color w:val="231F20"/>
          <w:w w:val="105"/>
        </w:rPr>
        <w:t>de</w:t>
      </w:r>
      <w:r>
        <w:rPr>
          <w:color w:val="231F20"/>
          <w:spacing w:val="-11"/>
          <w:w w:val="105"/>
        </w:rPr>
        <w:t> </w:t>
      </w:r>
      <w:r>
        <w:rPr>
          <w:color w:val="231F20"/>
          <w:w w:val="105"/>
        </w:rPr>
        <w:t>origen</w:t>
      </w:r>
      <w:r>
        <w:rPr>
          <w:color w:val="231F20"/>
          <w:spacing w:val="-11"/>
          <w:w w:val="105"/>
        </w:rPr>
        <w:t> </w:t>
      </w:r>
      <w:r>
        <w:rPr>
          <w:color w:val="231F20"/>
          <w:w w:val="105"/>
        </w:rPr>
        <w:t>rural</w:t>
      </w:r>
      <w:r>
        <w:rPr>
          <w:color w:val="231F20"/>
          <w:spacing w:val="-11"/>
          <w:w w:val="105"/>
        </w:rPr>
        <w:t> </w:t>
      </w:r>
      <w:r>
        <w:rPr>
          <w:color w:val="231F20"/>
          <w:w w:val="105"/>
        </w:rPr>
        <w:t>de</w:t>
      </w:r>
      <w:r>
        <w:rPr>
          <w:color w:val="231F20"/>
          <w:spacing w:val="-13"/>
          <w:w w:val="105"/>
        </w:rPr>
        <w:t> </w:t>
      </w:r>
      <w:r>
        <w:rPr>
          <w:color w:val="231F20"/>
          <w:w w:val="105"/>
        </w:rPr>
        <w:t>Almoloya</w:t>
      </w:r>
      <w:r>
        <w:rPr>
          <w:color w:val="231F20"/>
          <w:spacing w:val="-11"/>
          <w:w w:val="105"/>
        </w:rPr>
        <w:t> </w:t>
      </w:r>
      <w:r>
        <w:rPr>
          <w:color w:val="231F20"/>
          <w:w w:val="105"/>
        </w:rPr>
        <w:t>de</w:t>
      </w:r>
      <w:r>
        <w:rPr>
          <w:color w:val="231F20"/>
          <w:spacing w:val="-13"/>
          <w:w w:val="105"/>
        </w:rPr>
        <w:t> </w:t>
      </w:r>
      <w:r>
        <w:rPr>
          <w:color w:val="231F20"/>
          <w:w w:val="105"/>
        </w:rPr>
        <w:t>Alquisiras,</w:t>
      </w:r>
      <w:r>
        <w:rPr>
          <w:color w:val="231F20"/>
          <w:spacing w:val="-16"/>
          <w:w w:val="105"/>
        </w:rPr>
        <w:t> </w:t>
      </w:r>
      <w:r>
        <w:rPr>
          <w:color w:val="231F20"/>
          <w:w w:val="105"/>
        </w:rPr>
        <w:t>Estado</w:t>
      </w:r>
      <w:r>
        <w:rPr>
          <w:color w:val="231F20"/>
          <w:spacing w:val="-11"/>
          <w:w w:val="105"/>
        </w:rPr>
        <w:t> </w:t>
      </w:r>
      <w:r>
        <w:rPr>
          <w:color w:val="231F20"/>
          <w:w w:val="105"/>
        </w:rPr>
        <w:t>de México,</w:t>
      </w:r>
      <w:r>
        <w:rPr>
          <w:color w:val="231F20"/>
          <w:spacing w:val="-15"/>
          <w:w w:val="105"/>
        </w:rPr>
        <w:t> </w:t>
      </w:r>
      <w:r>
        <w:rPr>
          <w:color w:val="231F20"/>
          <w:w w:val="105"/>
        </w:rPr>
        <w:t>y</w:t>
      </w:r>
      <w:r>
        <w:rPr>
          <w:color w:val="231F20"/>
          <w:spacing w:val="-10"/>
          <w:w w:val="105"/>
        </w:rPr>
        <w:t> </w:t>
      </w:r>
      <w:r>
        <w:rPr>
          <w:color w:val="231F20"/>
          <w:w w:val="105"/>
        </w:rPr>
        <w:t>profundiza</w:t>
      </w:r>
      <w:r>
        <w:rPr>
          <w:color w:val="231F20"/>
          <w:spacing w:val="-10"/>
          <w:w w:val="105"/>
        </w:rPr>
        <w:t> </w:t>
      </w:r>
      <w:r>
        <w:rPr>
          <w:color w:val="231F20"/>
          <w:w w:val="105"/>
        </w:rPr>
        <w:t>en</w:t>
      </w:r>
      <w:r>
        <w:rPr>
          <w:color w:val="231F20"/>
          <w:spacing w:val="-10"/>
          <w:w w:val="105"/>
        </w:rPr>
        <w:t> </w:t>
      </w:r>
      <w:r>
        <w:rPr>
          <w:color w:val="231F20"/>
          <w:w w:val="105"/>
        </w:rPr>
        <w:t>sus</w:t>
      </w:r>
      <w:r>
        <w:rPr>
          <w:color w:val="231F20"/>
          <w:spacing w:val="-10"/>
          <w:w w:val="105"/>
        </w:rPr>
        <w:t> </w:t>
      </w:r>
      <w:r>
        <w:rPr>
          <w:color w:val="231F20"/>
          <w:w w:val="105"/>
        </w:rPr>
        <w:t>discursos</w:t>
      </w:r>
      <w:r>
        <w:rPr>
          <w:color w:val="231F20"/>
          <w:spacing w:val="-10"/>
          <w:w w:val="105"/>
        </w:rPr>
        <w:t> </w:t>
      </w:r>
      <w:r>
        <w:rPr>
          <w:color w:val="231F20"/>
          <w:w w:val="105"/>
        </w:rPr>
        <w:t>sobre</w:t>
      </w:r>
      <w:r>
        <w:rPr>
          <w:color w:val="231F20"/>
          <w:spacing w:val="-10"/>
          <w:w w:val="105"/>
        </w:rPr>
        <w:t> </w:t>
      </w:r>
      <w:r>
        <w:rPr>
          <w:color w:val="231F20"/>
          <w:w w:val="105"/>
        </w:rPr>
        <w:t>sus</w:t>
      </w:r>
      <w:r>
        <w:rPr>
          <w:color w:val="231F20"/>
          <w:spacing w:val="-10"/>
          <w:w w:val="105"/>
        </w:rPr>
        <w:t> </w:t>
      </w:r>
      <w:r>
        <w:rPr>
          <w:color w:val="231F20"/>
          <w:w w:val="105"/>
        </w:rPr>
        <w:t>vivencias</w:t>
      </w:r>
      <w:r>
        <w:rPr>
          <w:color w:val="231F20"/>
          <w:spacing w:val="-10"/>
          <w:w w:val="105"/>
        </w:rPr>
        <w:t> </w:t>
      </w:r>
      <w:r>
        <w:rPr>
          <w:color w:val="231F20"/>
          <w:w w:val="105"/>
        </w:rPr>
        <w:t>dentro</w:t>
      </w:r>
      <w:r>
        <w:rPr>
          <w:color w:val="231F20"/>
          <w:spacing w:val="-10"/>
          <w:w w:val="105"/>
        </w:rPr>
        <w:t> </w:t>
      </w:r>
      <w:r>
        <w:rPr>
          <w:color w:val="231F20"/>
          <w:w w:val="105"/>
        </w:rPr>
        <w:t>de</w:t>
      </w:r>
      <w:r>
        <w:rPr>
          <w:color w:val="231F20"/>
          <w:spacing w:val="-10"/>
          <w:w w:val="105"/>
        </w:rPr>
        <w:t> </w:t>
      </w:r>
      <w:r>
        <w:rPr>
          <w:color w:val="231F20"/>
          <w:w w:val="105"/>
        </w:rPr>
        <w:t>los procesos migratorios, todo ello con la finalidad de destacar cómo los migrantes</w:t>
      </w:r>
      <w:r>
        <w:rPr>
          <w:color w:val="231F20"/>
          <w:spacing w:val="-5"/>
          <w:w w:val="105"/>
        </w:rPr>
        <w:t> </w:t>
      </w:r>
      <w:r>
        <w:rPr>
          <w:color w:val="231F20"/>
          <w:w w:val="105"/>
        </w:rPr>
        <w:t>rurales</w:t>
      </w:r>
      <w:r>
        <w:rPr>
          <w:color w:val="231F20"/>
          <w:spacing w:val="-5"/>
          <w:w w:val="105"/>
        </w:rPr>
        <w:t> </w:t>
      </w:r>
      <w:r>
        <w:rPr>
          <w:color w:val="231F20"/>
          <w:w w:val="105"/>
        </w:rPr>
        <w:t>de</w:t>
      </w:r>
      <w:r>
        <w:rPr>
          <w:color w:val="231F20"/>
          <w:spacing w:val="-5"/>
          <w:w w:val="105"/>
        </w:rPr>
        <w:t> </w:t>
      </w:r>
      <w:r>
        <w:rPr>
          <w:color w:val="231F20"/>
          <w:w w:val="105"/>
        </w:rPr>
        <w:t>este</w:t>
      </w:r>
      <w:r>
        <w:rPr>
          <w:color w:val="231F20"/>
          <w:spacing w:val="-5"/>
          <w:w w:val="105"/>
        </w:rPr>
        <w:t> </w:t>
      </w:r>
      <w:r>
        <w:rPr>
          <w:color w:val="231F20"/>
          <w:w w:val="105"/>
        </w:rPr>
        <w:t>municipio</w:t>
      </w:r>
      <w:r>
        <w:rPr>
          <w:color w:val="231F20"/>
          <w:spacing w:val="-5"/>
          <w:w w:val="105"/>
        </w:rPr>
        <w:t> </w:t>
      </w:r>
      <w:r>
        <w:rPr>
          <w:color w:val="231F20"/>
          <w:w w:val="105"/>
        </w:rPr>
        <w:t>perciben</w:t>
      </w:r>
      <w:r>
        <w:rPr>
          <w:color w:val="231F20"/>
          <w:spacing w:val="-5"/>
          <w:w w:val="105"/>
        </w:rPr>
        <w:t> </w:t>
      </w:r>
      <w:r>
        <w:rPr>
          <w:color w:val="231F20"/>
          <w:w w:val="105"/>
        </w:rPr>
        <w:t>y</w:t>
      </w:r>
      <w:r>
        <w:rPr>
          <w:color w:val="231F20"/>
          <w:spacing w:val="-5"/>
          <w:w w:val="105"/>
        </w:rPr>
        <w:t> </w:t>
      </w:r>
      <w:r>
        <w:rPr>
          <w:color w:val="231F20"/>
          <w:w w:val="105"/>
        </w:rPr>
        <w:t>construyen</w:t>
      </w:r>
      <w:r>
        <w:rPr>
          <w:color w:val="231F20"/>
          <w:spacing w:val="-5"/>
          <w:w w:val="105"/>
        </w:rPr>
        <w:t> </w:t>
      </w:r>
      <w:r>
        <w:rPr>
          <w:color w:val="231F20"/>
          <w:w w:val="105"/>
        </w:rPr>
        <w:t>el</w:t>
      </w:r>
      <w:r>
        <w:rPr>
          <w:color w:val="231F20"/>
          <w:spacing w:val="-5"/>
          <w:w w:val="105"/>
        </w:rPr>
        <w:t> </w:t>
      </w:r>
      <w:r>
        <w:rPr>
          <w:color w:val="231F20"/>
          <w:w w:val="105"/>
        </w:rPr>
        <w:t>fenómeno migratorio en distintas escalas y dimensiones, lo cual permite a esta</w:t>
      </w:r>
      <w:r>
        <w:rPr>
          <w:color w:val="231F20"/>
          <w:spacing w:val="-35"/>
          <w:w w:val="105"/>
        </w:rPr>
        <w:t> </w:t>
      </w:r>
      <w:r>
        <w:rPr>
          <w:color w:val="231F20"/>
          <w:w w:val="105"/>
        </w:rPr>
        <w:t>in- vestigación</w:t>
      </w:r>
      <w:r>
        <w:rPr>
          <w:color w:val="231F20"/>
          <w:spacing w:val="-11"/>
          <w:w w:val="105"/>
        </w:rPr>
        <w:t> </w:t>
      </w:r>
      <w:r>
        <w:rPr>
          <w:color w:val="231F20"/>
          <w:w w:val="105"/>
        </w:rPr>
        <w:t>destacar</w:t>
      </w:r>
      <w:r>
        <w:rPr>
          <w:color w:val="231F20"/>
          <w:spacing w:val="-11"/>
          <w:w w:val="105"/>
        </w:rPr>
        <w:t> </w:t>
      </w:r>
      <w:r>
        <w:rPr>
          <w:color w:val="231F20"/>
          <w:w w:val="105"/>
        </w:rPr>
        <w:t>algunas</w:t>
      </w:r>
      <w:r>
        <w:rPr>
          <w:color w:val="231F20"/>
          <w:spacing w:val="-11"/>
          <w:w w:val="105"/>
        </w:rPr>
        <w:t> </w:t>
      </w:r>
      <w:r>
        <w:rPr>
          <w:color w:val="231F20"/>
          <w:w w:val="105"/>
        </w:rPr>
        <w:t>reflexiones</w:t>
      </w:r>
      <w:r>
        <w:rPr>
          <w:color w:val="231F20"/>
          <w:spacing w:val="-11"/>
          <w:w w:val="105"/>
        </w:rPr>
        <w:t> </w:t>
      </w:r>
      <w:r>
        <w:rPr>
          <w:color w:val="231F20"/>
          <w:w w:val="105"/>
        </w:rPr>
        <w:t>y</w:t>
      </w:r>
      <w:r>
        <w:rPr>
          <w:color w:val="231F20"/>
          <w:spacing w:val="-11"/>
          <w:w w:val="105"/>
        </w:rPr>
        <w:t> </w:t>
      </w:r>
      <w:r>
        <w:rPr>
          <w:color w:val="231F20"/>
          <w:w w:val="105"/>
        </w:rPr>
        <w:t>conclusiones</w:t>
      </w:r>
      <w:r>
        <w:rPr>
          <w:color w:val="231F20"/>
          <w:spacing w:val="-11"/>
          <w:w w:val="105"/>
        </w:rPr>
        <w:t> </w:t>
      </w:r>
      <w:r>
        <w:rPr>
          <w:color w:val="231F20"/>
          <w:w w:val="105"/>
        </w:rPr>
        <w:t>sobre</w:t>
      </w:r>
      <w:r>
        <w:rPr>
          <w:color w:val="231F20"/>
          <w:spacing w:val="-11"/>
          <w:w w:val="105"/>
        </w:rPr>
        <w:t> </w:t>
      </w:r>
      <w:r>
        <w:rPr>
          <w:color w:val="231F20"/>
          <w:w w:val="105"/>
        </w:rPr>
        <w:t>la</w:t>
      </w:r>
      <w:r>
        <w:rPr>
          <w:color w:val="231F20"/>
          <w:spacing w:val="-11"/>
          <w:w w:val="105"/>
        </w:rPr>
        <w:t> </w:t>
      </w:r>
      <w:r>
        <w:rPr>
          <w:color w:val="231F20"/>
          <w:w w:val="105"/>
        </w:rPr>
        <w:t>impor- tancia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redes</w:t>
      </w:r>
      <w:r>
        <w:rPr>
          <w:color w:val="231F20"/>
          <w:spacing w:val="-8"/>
          <w:w w:val="105"/>
        </w:rPr>
        <w:t> </w:t>
      </w:r>
      <w:r>
        <w:rPr>
          <w:color w:val="231F20"/>
          <w:w w:val="105"/>
        </w:rPr>
        <w:t>de</w:t>
      </w:r>
      <w:r>
        <w:rPr>
          <w:color w:val="231F20"/>
          <w:spacing w:val="-8"/>
          <w:w w:val="105"/>
        </w:rPr>
        <w:t> </w:t>
      </w:r>
      <w:r>
        <w:rPr>
          <w:color w:val="231F20"/>
          <w:w w:val="105"/>
        </w:rPr>
        <w:t>migrantes</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constitución</w:t>
      </w:r>
      <w:r>
        <w:rPr>
          <w:color w:val="231F20"/>
          <w:spacing w:val="-8"/>
          <w:w w:val="105"/>
        </w:rPr>
        <w:t> </w:t>
      </w:r>
      <w:r>
        <w:rPr>
          <w:color w:val="231F20"/>
          <w:w w:val="105"/>
        </w:rPr>
        <w:t>de</w:t>
      </w:r>
      <w:r>
        <w:rPr>
          <w:color w:val="231F20"/>
          <w:spacing w:val="-8"/>
          <w:w w:val="105"/>
        </w:rPr>
        <w:t> </w:t>
      </w:r>
      <w:r>
        <w:rPr>
          <w:color w:val="231F20"/>
          <w:w w:val="105"/>
        </w:rPr>
        <w:t>nuevos</w:t>
      </w:r>
      <w:r>
        <w:rPr>
          <w:color w:val="231F20"/>
          <w:spacing w:val="-8"/>
          <w:w w:val="105"/>
        </w:rPr>
        <w:t> </w:t>
      </w:r>
      <w:r>
        <w:rPr>
          <w:color w:val="231F20"/>
          <w:w w:val="105"/>
        </w:rPr>
        <w:t>territorios rurales,</w:t>
      </w:r>
      <w:r>
        <w:rPr>
          <w:color w:val="231F20"/>
          <w:spacing w:val="-20"/>
          <w:w w:val="105"/>
        </w:rPr>
        <w:t> </w:t>
      </w:r>
      <w:r>
        <w:rPr>
          <w:color w:val="231F20"/>
          <w:w w:val="105"/>
        </w:rPr>
        <w:t>tanto</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lugares</w:t>
      </w:r>
      <w:r>
        <w:rPr>
          <w:color w:val="231F20"/>
          <w:spacing w:val="-15"/>
          <w:w w:val="105"/>
        </w:rPr>
        <w:t> </w:t>
      </w:r>
      <w:r>
        <w:rPr>
          <w:color w:val="231F20"/>
          <w:w w:val="105"/>
        </w:rPr>
        <w:t>de</w:t>
      </w:r>
      <w:r>
        <w:rPr>
          <w:color w:val="231F20"/>
          <w:spacing w:val="-15"/>
          <w:w w:val="105"/>
        </w:rPr>
        <w:t> </w:t>
      </w:r>
      <w:r>
        <w:rPr>
          <w:color w:val="231F20"/>
          <w:w w:val="105"/>
        </w:rPr>
        <w:t>origen,</w:t>
      </w:r>
      <w:r>
        <w:rPr>
          <w:color w:val="231F20"/>
          <w:spacing w:val="-20"/>
          <w:w w:val="105"/>
        </w:rPr>
        <w:t> </w:t>
      </w:r>
      <w:r>
        <w:rPr>
          <w:color w:val="231F20"/>
          <w:w w:val="105"/>
        </w:rPr>
        <w:t>tránsito</w:t>
      </w:r>
      <w:r>
        <w:rPr>
          <w:color w:val="231F20"/>
          <w:spacing w:val="-15"/>
          <w:w w:val="105"/>
        </w:rPr>
        <w:t> </w:t>
      </w:r>
      <w:r>
        <w:rPr>
          <w:color w:val="231F20"/>
          <w:w w:val="105"/>
        </w:rPr>
        <w:t>y</w:t>
      </w:r>
      <w:r>
        <w:rPr>
          <w:color w:val="231F20"/>
          <w:spacing w:val="-15"/>
          <w:w w:val="105"/>
        </w:rPr>
        <w:t> </w:t>
      </w:r>
      <w:r>
        <w:rPr>
          <w:color w:val="231F20"/>
          <w:w w:val="105"/>
        </w:rPr>
        <w:t>destino.</w:t>
      </w:r>
    </w:p>
    <w:p>
      <w:pPr>
        <w:pStyle w:val="BodyText"/>
        <w:spacing w:line="261" w:lineRule="auto" w:before="1"/>
        <w:ind w:left="1723" w:right="1834" w:firstLine="567"/>
        <w:jc w:val="both"/>
      </w:pPr>
      <w:r>
        <w:rPr>
          <w:color w:val="231F20"/>
          <w:w w:val="105"/>
        </w:rPr>
        <w:t>El texto plantea de inicio un breve recuento de los antecedentes de</w:t>
      </w:r>
      <w:r>
        <w:rPr>
          <w:color w:val="231F20"/>
          <w:spacing w:val="-22"/>
          <w:w w:val="105"/>
        </w:rPr>
        <w:t> </w:t>
      </w:r>
      <w:r>
        <w:rPr>
          <w:color w:val="231F20"/>
          <w:w w:val="105"/>
        </w:rPr>
        <w:t>la</w:t>
      </w:r>
      <w:r>
        <w:rPr>
          <w:color w:val="231F20"/>
          <w:spacing w:val="-22"/>
          <w:w w:val="105"/>
        </w:rPr>
        <w:t> </w:t>
      </w:r>
      <w:r>
        <w:rPr>
          <w:color w:val="231F20"/>
          <w:w w:val="105"/>
        </w:rPr>
        <w:t>migración</w:t>
      </w:r>
      <w:r>
        <w:rPr>
          <w:color w:val="231F20"/>
          <w:spacing w:val="-22"/>
          <w:w w:val="105"/>
        </w:rPr>
        <w:t> </w:t>
      </w:r>
      <w:r>
        <w:rPr>
          <w:color w:val="231F20"/>
          <w:w w:val="105"/>
        </w:rPr>
        <w:t>de</w:t>
      </w:r>
      <w:r>
        <w:rPr>
          <w:color w:val="231F20"/>
          <w:spacing w:val="-22"/>
          <w:w w:val="105"/>
        </w:rPr>
        <w:t> </w:t>
      </w:r>
      <w:r>
        <w:rPr>
          <w:color w:val="231F20"/>
          <w:w w:val="105"/>
        </w:rPr>
        <w:t>mexicanos</w:t>
      </w:r>
      <w:r>
        <w:rPr>
          <w:color w:val="231F20"/>
          <w:spacing w:val="-22"/>
          <w:w w:val="105"/>
        </w:rPr>
        <w:t> </w:t>
      </w:r>
      <w:r>
        <w:rPr>
          <w:color w:val="231F20"/>
          <w:w w:val="105"/>
        </w:rPr>
        <w:t>a</w:t>
      </w:r>
      <w:r>
        <w:rPr>
          <w:color w:val="231F20"/>
          <w:spacing w:val="-22"/>
          <w:w w:val="105"/>
        </w:rPr>
        <w:t> </w:t>
      </w:r>
      <w:r>
        <w:rPr>
          <w:color w:val="231F20"/>
          <w:w w:val="105"/>
        </w:rPr>
        <w:t>Estados</w:t>
      </w:r>
      <w:r>
        <w:rPr>
          <w:color w:val="231F20"/>
          <w:spacing w:val="-22"/>
          <w:w w:val="105"/>
        </w:rPr>
        <w:t> </w:t>
      </w:r>
      <w:r>
        <w:rPr>
          <w:color w:val="231F20"/>
          <w:w w:val="105"/>
        </w:rPr>
        <w:t>Unidos,</w:t>
      </w:r>
      <w:r>
        <w:rPr>
          <w:color w:val="231F20"/>
          <w:spacing w:val="-26"/>
          <w:w w:val="105"/>
        </w:rPr>
        <w:t> </w:t>
      </w:r>
      <w:r>
        <w:rPr>
          <w:color w:val="231F20"/>
          <w:w w:val="105"/>
        </w:rPr>
        <w:t>y</w:t>
      </w:r>
      <w:r>
        <w:rPr>
          <w:color w:val="231F20"/>
          <w:spacing w:val="-22"/>
          <w:w w:val="105"/>
        </w:rPr>
        <w:t> </w:t>
      </w:r>
      <w:r>
        <w:rPr>
          <w:color w:val="231F20"/>
          <w:w w:val="105"/>
        </w:rPr>
        <w:t>particularmente</w:t>
      </w:r>
      <w:r>
        <w:rPr>
          <w:color w:val="231F20"/>
          <w:spacing w:val="-22"/>
          <w:w w:val="105"/>
        </w:rPr>
        <w:t> </w:t>
      </w:r>
      <w:r>
        <w:rPr>
          <w:color w:val="231F20"/>
          <w:w w:val="105"/>
        </w:rPr>
        <w:t>en</w:t>
      </w:r>
      <w:r>
        <w:rPr>
          <w:color w:val="231F20"/>
          <w:spacing w:val="-22"/>
          <w:w w:val="105"/>
        </w:rPr>
        <w:t> </w:t>
      </w:r>
      <w:r>
        <w:rPr>
          <w:color w:val="231F20"/>
          <w:w w:val="105"/>
        </w:rPr>
        <w:t>los mexiquenses</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encuentran</w:t>
      </w:r>
      <w:r>
        <w:rPr>
          <w:color w:val="231F20"/>
          <w:spacing w:val="-18"/>
          <w:w w:val="105"/>
        </w:rPr>
        <w:t> </w:t>
      </w:r>
      <w:r>
        <w:rPr>
          <w:color w:val="231F20"/>
          <w:w w:val="105"/>
        </w:rPr>
        <w:t>en</w:t>
      </w:r>
      <w:r>
        <w:rPr>
          <w:color w:val="231F20"/>
          <w:spacing w:val="-18"/>
          <w:w w:val="105"/>
        </w:rPr>
        <w:t> </w:t>
      </w:r>
      <w:r>
        <w:rPr>
          <w:color w:val="231F20"/>
          <w:w w:val="105"/>
        </w:rPr>
        <w:t>territorio</w:t>
      </w:r>
      <w:r>
        <w:rPr>
          <w:color w:val="231F20"/>
          <w:spacing w:val="-18"/>
          <w:w w:val="105"/>
        </w:rPr>
        <w:t> </w:t>
      </w:r>
      <w:r>
        <w:rPr>
          <w:color w:val="231F20"/>
          <w:w w:val="105"/>
        </w:rPr>
        <w:t>estadunidense.</w:t>
      </w:r>
      <w:r>
        <w:rPr>
          <w:color w:val="231F20"/>
          <w:spacing w:val="-23"/>
          <w:w w:val="105"/>
        </w:rPr>
        <w:t> </w:t>
      </w:r>
      <w:r>
        <w:rPr>
          <w:color w:val="231F20"/>
          <w:w w:val="105"/>
        </w:rPr>
        <w:t>De</w:t>
      </w:r>
      <w:r>
        <w:rPr>
          <w:color w:val="231F20"/>
          <w:spacing w:val="-18"/>
          <w:w w:val="105"/>
        </w:rPr>
        <w:t> </w:t>
      </w:r>
      <w:r>
        <w:rPr>
          <w:color w:val="231F20"/>
          <w:w w:val="105"/>
        </w:rPr>
        <w:t>manera especial se destaca el origen rural regional de los mexiquenses del sur del Estado de México, como caso emblemático de la migración del Es- tado de México. En esta región se encuentra el municipio de Almoloya de Alquisiras, del cual son originarios los migrantes entrevistados. Los resultados</w:t>
      </w:r>
      <w:r>
        <w:rPr>
          <w:color w:val="231F20"/>
          <w:spacing w:val="-19"/>
          <w:w w:val="105"/>
        </w:rPr>
        <w:t> </w:t>
      </w:r>
      <w:r>
        <w:rPr>
          <w:color w:val="231F20"/>
          <w:w w:val="105"/>
        </w:rPr>
        <w:t>en</w:t>
      </w:r>
      <w:r>
        <w:rPr>
          <w:color w:val="231F20"/>
          <w:spacing w:val="-19"/>
          <w:w w:val="105"/>
        </w:rPr>
        <w:t> </w:t>
      </w:r>
      <w:r>
        <w:rPr>
          <w:color w:val="231F20"/>
          <w:w w:val="105"/>
        </w:rPr>
        <w:t>ese</w:t>
      </w:r>
      <w:r>
        <w:rPr>
          <w:color w:val="231F20"/>
          <w:spacing w:val="-19"/>
          <w:w w:val="105"/>
        </w:rPr>
        <w:t> </w:t>
      </w:r>
      <w:r>
        <w:rPr>
          <w:color w:val="231F20"/>
          <w:w w:val="105"/>
        </w:rPr>
        <w:t>sentido,</w:t>
      </w:r>
      <w:r>
        <w:rPr>
          <w:color w:val="231F20"/>
          <w:spacing w:val="-24"/>
          <w:w w:val="105"/>
        </w:rPr>
        <w:t> </w:t>
      </w:r>
      <w:r>
        <w:rPr>
          <w:color w:val="231F20"/>
          <w:w w:val="105"/>
        </w:rPr>
        <w:t>dan</w:t>
      </w:r>
      <w:r>
        <w:rPr>
          <w:color w:val="231F20"/>
          <w:spacing w:val="-19"/>
          <w:w w:val="105"/>
        </w:rPr>
        <w:t> </w:t>
      </w:r>
      <w:r>
        <w:rPr>
          <w:color w:val="231F20"/>
          <w:w w:val="105"/>
        </w:rPr>
        <w:t>cuenta</w:t>
      </w:r>
      <w:r>
        <w:rPr>
          <w:color w:val="231F20"/>
          <w:spacing w:val="-19"/>
          <w:w w:val="105"/>
        </w:rPr>
        <w:t> </w:t>
      </w:r>
      <w:r>
        <w:rPr>
          <w:color w:val="231F20"/>
          <w:w w:val="105"/>
        </w:rPr>
        <w:t>de</w:t>
      </w:r>
      <w:r>
        <w:rPr>
          <w:color w:val="231F20"/>
          <w:spacing w:val="-19"/>
          <w:w w:val="105"/>
        </w:rPr>
        <w:t> </w:t>
      </w:r>
      <w:r>
        <w:rPr>
          <w:color w:val="231F20"/>
          <w:w w:val="105"/>
        </w:rPr>
        <w:t>una</w:t>
      </w:r>
      <w:r>
        <w:rPr>
          <w:color w:val="231F20"/>
          <w:spacing w:val="-19"/>
          <w:w w:val="105"/>
        </w:rPr>
        <w:t> </w:t>
      </w:r>
      <w:r>
        <w:rPr>
          <w:color w:val="231F20"/>
          <w:w w:val="105"/>
        </w:rPr>
        <w:t>territorialidad</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migra- ciones poco visible en otros estudios, al grado de marginar al territorio como</w:t>
      </w:r>
      <w:r>
        <w:rPr>
          <w:color w:val="231F20"/>
          <w:spacing w:val="-24"/>
          <w:w w:val="105"/>
        </w:rPr>
        <w:t> </w:t>
      </w:r>
      <w:r>
        <w:rPr>
          <w:color w:val="231F20"/>
          <w:w w:val="105"/>
        </w:rPr>
        <w:t>categoría</w:t>
      </w:r>
      <w:r>
        <w:rPr>
          <w:color w:val="231F20"/>
          <w:spacing w:val="-24"/>
          <w:w w:val="105"/>
        </w:rPr>
        <w:t> </w:t>
      </w:r>
      <w:r>
        <w:rPr>
          <w:color w:val="231F20"/>
          <w:w w:val="105"/>
        </w:rPr>
        <w:t>fundamental</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construcción</w:t>
      </w:r>
      <w:r>
        <w:rPr>
          <w:color w:val="231F20"/>
          <w:spacing w:val="-24"/>
          <w:w w:val="105"/>
        </w:rPr>
        <w:t> </w:t>
      </w:r>
      <w:r>
        <w:rPr>
          <w:color w:val="231F20"/>
          <w:w w:val="105"/>
        </w:rPr>
        <w:t>de</w:t>
      </w:r>
      <w:r>
        <w:rPr>
          <w:color w:val="231F20"/>
          <w:spacing w:val="-24"/>
          <w:w w:val="105"/>
        </w:rPr>
        <w:t> </w:t>
      </w:r>
      <w:r>
        <w:rPr>
          <w:color w:val="231F20"/>
          <w:w w:val="105"/>
        </w:rPr>
        <w:t>relaciones</w:t>
      </w:r>
      <w:r>
        <w:rPr>
          <w:color w:val="231F20"/>
          <w:spacing w:val="-24"/>
          <w:w w:val="105"/>
        </w:rPr>
        <w:t> </w:t>
      </w:r>
      <w:r>
        <w:rPr>
          <w:color w:val="231F20"/>
          <w:w w:val="105"/>
        </w:rPr>
        <w:t>sociocultu- rales.</w:t>
      </w:r>
      <w:r>
        <w:rPr>
          <w:color w:val="231F20"/>
          <w:spacing w:val="-12"/>
          <w:w w:val="105"/>
        </w:rPr>
        <w:t> </w:t>
      </w:r>
      <w:r>
        <w:rPr>
          <w:color w:val="231F20"/>
          <w:w w:val="105"/>
        </w:rPr>
        <w:t>Es</w:t>
      </w:r>
      <w:r>
        <w:rPr>
          <w:color w:val="231F20"/>
          <w:spacing w:val="-7"/>
          <w:w w:val="105"/>
        </w:rPr>
        <w:t> </w:t>
      </w:r>
      <w:r>
        <w:rPr>
          <w:color w:val="231F20"/>
          <w:w w:val="105"/>
        </w:rPr>
        <w:t>decir,</w:t>
      </w:r>
      <w:r>
        <w:rPr>
          <w:color w:val="231F20"/>
          <w:spacing w:val="-12"/>
          <w:w w:val="105"/>
        </w:rPr>
        <w:t> </w:t>
      </w:r>
      <w:r>
        <w:rPr>
          <w:color w:val="231F20"/>
          <w:w w:val="105"/>
        </w:rPr>
        <w:t>comúnmente</w:t>
      </w:r>
      <w:r>
        <w:rPr>
          <w:color w:val="231F20"/>
          <w:spacing w:val="-7"/>
          <w:w w:val="105"/>
        </w:rPr>
        <w:t> </w:t>
      </w:r>
      <w:r>
        <w:rPr>
          <w:color w:val="231F20"/>
          <w:w w:val="105"/>
        </w:rPr>
        <w:t>se</w:t>
      </w:r>
      <w:r>
        <w:rPr>
          <w:color w:val="231F20"/>
          <w:spacing w:val="-7"/>
          <w:w w:val="105"/>
        </w:rPr>
        <w:t> </w:t>
      </w:r>
      <w:r>
        <w:rPr>
          <w:color w:val="231F20"/>
          <w:w w:val="105"/>
        </w:rPr>
        <w:t>omite</w:t>
      </w:r>
      <w:r>
        <w:rPr>
          <w:color w:val="231F20"/>
          <w:spacing w:val="-7"/>
          <w:w w:val="105"/>
        </w:rPr>
        <w:t> </w:t>
      </w:r>
      <w:r>
        <w:rPr>
          <w:color w:val="231F20"/>
          <w:w w:val="105"/>
        </w:rPr>
        <w:t>el</w:t>
      </w:r>
      <w:r>
        <w:rPr>
          <w:color w:val="231F20"/>
          <w:spacing w:val="-7"/>
          <w:w w:val="105"/>
        </w:rPr>
        <w:t> </w:t>
      </w:r>
      <w:r>
        <w:rPr>
          <w:color w:val="231F20"/>
          <w:w w:val="105"/>
        </w:rPr>
        <w:t>papel</w:t>
      </w:r>
      <w:r>
        <w:rPr>
          <w:color w:val="231F20"/>
          <w:spacing w:val="-7"/>
          <w:w w:val="105"/>
        </w:rPr>
        <w:t> </w:t>
      </w:r>
      <w:r>
        <w:rPr>
          <w:color w:val="231F20"/>
          <w:w w:val="105"/>
        </w:rPr>
        <w:t>del</w:t>
      </w:r>
      <w:r>
        <w:rPr>
          <w:color w:val="231F20"/>
          <w:spacing w:val="-7"/>
          <w:w w:val="105"/>
        </w:rPr>
        <w:t> </w:t>
      </w:r>
      <w:r>
        <w:rPr>
          <w:color w:val="231F20"/>
          <w:w w:val="105"/>
        </w:rPr>
        <w:t>territorio</w:t>
      </w:r>
      <w:r>
        <w:rPr>
          <w:color w:val="231F20"/>
          <w:spacing w:val="-7"/>
          <w:w w:val="105"/>
        </w:rPr>
        <w:t> </w:t>
      </w:r>
      <w:r>
        <w:rPr>
          <w:color w:val="231F20"/>
          <w:w w:val="105"/>
        </w:rPr>
        <w:t>como</w:t>
      </w:r>
      <w:r>
        <w:rPr>
          <w:color w:val="231F20"/>
          <w:spacing w:val="-7"/>
          <w:w w:val="105"/>
        </w:rPr>
        <w:t> </w:t>
      </w:r>
      <w:r>
        <w:rPr>
          <w:color w:val="231F20"/>
          <w:w w:val="105"/>
        </w:rPr>
        <w:t>un</w:t>
      </w:r>
      <w:r>
        <w:rPr>
          <w:color w:val="231F20"/>
          <w:spacing w:val="-7"/>
          <w:w w:val="105"/>
        </w:rPr>
        <w:t> </w:t>
      </w:r>
      <w:r>
        <w:rPr>
          <w:color w:val="231F20"/>
          <w:w w:val="105"/>
        </w:rPr>
        <w:t>es- pacio</w:t>
      </w:r>
      <w:r>
        <w:rPr>
          <w:color w:val="231F20"/>
          <w:spacing w:val="-21"/>
          <w:w w:val="105"/>
        </w:rPr>
        <w:t> </w:t>
      </w:r>
      <w:r>
        <w:rPr>
          <w:color w:val="231F20"/>
          <w:w w:val="105"/>
        </w:rPr>
        <w:t>de</w:t>
      </w:r>
      <w:r>
        <w:rPr>
          <w:color w:val="231F20"/>
          <w:spacing w:val="-21"/>
          <w:w w:val="105"/>
        </w:rPr>
        <w:t> </w:t>
      </w:r>
      <w:r>
        <w:rPr>
          <w:color w:val="231F20"/>
          <w:w w:val="105"/>
        </w:rPr>
        <w:t>identidad</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construye</w:t>
      </w:r>
      <w:r>
        <w:rPr>
          <w:color w:val="231F20"/>
          <w:spacing w:val="-21"/>
          <w:w w:val="105"/>
        </w:rPr>
        <w:t> </w:t>
      </w:r>
      <w:r>
        <w:rPr>
          <w:color w:val="231F20"/>
          <w:w w:val="105"/>
        </w:rPr>
        <w:t>mediante</w:t>
      </w:r>
      <w:r>
        <w:rPr>
          <w:color w:val="231F20"/>
          <w:spacing w:val="-21"/>
          <w:w w:val="105"/>
        </w:rPr>
        <w:t> </w:t>
      </w:r>
      <w:r>
        <w:rPr>
          <w:color w:val="231F20"/>
          <w:w w:val="105"/>
        </w:rPr>
        <w:t>redes</w:t>
      </w:r>
      <w:r>
        <w:rPr>
          <w:color w:val="231F20"/>
          <w:spacing w:val="-21"/>
          <w:w w:val="105"/>
        </w:rPr>
        <w:t> </w:t>
      </w:r>
      <w:r>
        <w:rPr>
          <w:color w:val="231F20"/>
          <w:w w:val="105"/>
        </w:rPr>
        <w:t>sociales</w:t>
      </w:r>
      <w:r>
        <w:rPr>
          <w:color w:val="231F20"/>
          <w:spacing w:val="-21"/>
          <w:w w:val="105"/>
        </w:rPr>
        <w:t> </w:t>
      </w:r>
      <w:r>
        <w:rPr>
          <w:color w:val="231F20"/>
          <w:w w:val="105"/>
        </w:rPr>
        <w:t>de</w:t>
      </w:r>
      <w:r>
        <w:rPr>
          <w:color w:val="231F20"/>
          <w:spacing w:val="-21"/>
          <w:w w:val="105"/>
        </w:rPr>
        <w:t> </w:t>
      </w:r>
      <w:r>
        <w:rPr>
          <w:color w:val="231F20"/>
          <w:w w:val="105"/>
        </w:rPr>
        <w:t>acuerdo con</w:t>
      </w:r>
      <w:r>
        <w:rPr>
          <w:color w:val="231F20"/>
          <w:spacing w:val="-26"/>
          <w:w w:val="105"/>
        </w:rPr>
        <w:t> </w:t>
      </w:r>
      <w:r>
        <w:rPr>
          <w:color w:val="231F20"/>
          <w:w w:val="105"/>
        </w:rPr>
        <w:t>los</w:t>
      </w:r>
      <w:r>
        <w:rPr>
          <w:color w:val="231F20"/>
          <w:spacing w:val="-26"/>
          <w:w w:val="105"/>
        </w:rPr>
        <w:t> </w:t>
      </w:r>
      <w:r>
        <w:rPr>
          <w:color w:val="231F20"/>
          <w:w w:val="105"/>
        </w:rPr>
        <w:t>valores</w:t>
      </w:r>
      <w:r>
        <w:rPr>
          <w:color w:val="231F20"/>
          <w:spacing w:val="-26"/>
          <w:w w:val="105"/>
        </w:rPr>
        <w:t> </w:t>
      </w:r>
      <w:r>
        <w:rPr>
          <w:color w:val="231F20"/>
          <w:w w:val="105"/>
        </w:rPr>
        <w:t>e</w:t>
      </w:r>
      <w:r>
        <w:rPr>
          <w:color w:val="231F20"/>
          <w:spacing w:val="-26"/>
          <w:w w:val="105"/>
        </w:rPr>
        <w:t> </w:t>
      </w:r>
      <w:r>
        <w:rPr>
          <w:color w:val="231F20"/>
          <w:w w:val="105"/>
        </w:rPr>
        <w:t>intereses</w:t>
      </w:r>
      <w:r>
        <w:rPr>
          <w:color w:val="231F20"/>
          <w:spacing w:val="-26"/>
          <w:w w:val="105"/>
        </w:rPr>
        <w:t> </w:t>
      </w:r>
      <w:r>
        <w:rPr>
          <w:color w:val="231F20"/>
          <w:w w:val="105"/>
        </w:rPr>
        <w:t>de</w:t>
      </w:r>
      <w:r>
        <w:rPr>
          <w:color w:val="231F20"/>
          <w:spacing w:val="-26"/>
          <w:w w:val="105"/>
        </w:rPr>
        <w:t> </w:t>
      </w:r>
      <w:r>
        <w:rPr>
          <w:color w:val="231F20"/>
          <w:w w:val="105"/>
        </w:rPr>
        <w:t>sus</w:t>
      </w:r>
      <w:r>
        <w:rPr>
          <w:color w:val="231F20"/>
          <w:spacing w:val="-26"/>
          <w:w w:val="105"/>
        </w:rPr>
        <w:t> </w:t>
      </w:r>
      <w:r>
        <w:rPr>
          <w:color w:val="231F20"/>
          <w:w w:val="105"/>
        </w:rPr>
        <w:t>agentes.</w:t>
      </w:r>
    </w:p>
    <w:p>
      <w:pPr>
        <w:pStyle w:val="BodyText"/>
        <w:spacing w:line="261" w:lineRule="auto" w:before="1"/>
        <w:ind w:left="1723" w:right="1828" w:firstLine="567"/>
        <w:jc w:val="both"/>
      </w:pPr>
      <w:r>
        <w:rPr>
          <w:color w:val="231F20"/>
          <w:w w:val="105"/>
        </w:rPr>
        <w:t>Al</w:t>
      </w:r>
      <w:r>
        <w:rPr>
          <w:color w:val="231F20"/>
          <w:spacing w:val="-11"/>
          <w:w w:val="105"/>
        </w:rPr>
        <w:t> </w:t>
      </w:r>
      <w:r>
        <w:rPr>
          <w:color w:val="231F20"/>
          <w:w w:val="105"/>
        </w:rPr>
        <w:t>finalizar</w:t>
      </w:r>
      <w:r>
        <w:rPr>
          <w:color w:val="231F20"/>
          <w:spacing w:val="-11"/>
          <w:w w:val="105"/>
        </w:rPr>
        <w:t> </w:t>
      </w:r>
      <w:r>
        <w:rPr>
          <w:color w:val="231F20"/>
          <w:w w:val="105"/>
        </w:rPr>
        <w:t>el</w:t>
      </w:r>
      <w:r>
        <w:rPr>
          <w:color w:val="231F20"/>
          <w:spacing w:val="-11"/>
          <w:w w:val="105"/>
        </w:rPr>
        <w:t> </w:t>
      </w:r>
      <w:r>
        <w:rPr>
          <w:color w:val="231F20"/>
          <w:w w:val="105"/>
        </w:rPr>
        <w:t>texto</w:t>
      </w:r>
      <w:r>
        <w:rPr>
          <w:color w:val="231F20"/>
          <w:spacing w:val="-11"/>
          <w:w w:val="105"/>
        </w:rPr>
        <w:t> </w:t>
      </w:r>
      <w:r>
        <w:rPr>
          <w:color w:val="231F20"/>
          <w:w w:val="105"/>
        </w:rPr>
        <w:t>pone</w:t>
      </w:r>
      <w:r>
        <w:rPr>
          <w:color w:val="231F20"/>
          <w:spacing w:val="-11"/>
          <w:w w:val="105"/>
        </w:rPr>
        <w:t> </w:t>
      </w:r>
      <w:r>
        <w:rPr>
          <w:color w:val="231F20"/>
          <w:w w:val="105"/>
        </w:rPr>
        <w:t>sobre</w:t>
      </w:r>
      <w:r>
        <w:rPr>
          <w:color w:val="231F20"/>
          <w:spacing w:val="-11"/>
          <w:w w:val="105"/>
        </w:rPr>
        <w:t> </w:t>
      </w:r>
      <w:r>
        <w:rPr>
          <w:color w:val="231F20"/>
          <w:w w:val="105"/>
        </w:rPr>
        <w:t>relieve</w:t>
      </w:r>
      <w:r>
        <w:rPr>
          <w:color w:val="231F20"/>
          <w:spacing w:val="-11"/>
          <w:w w:val="105"/>
        </w:rPr>
        <w:t> </w:t>
      </w:r>
      <w:r>
        <w:rPr>
          <w:color w:val="231F20"/>
          <w:w w:val="105"/>
        </w:rPr>
        <w:t>la</w:t>
      </w:r>
      <w:r>
        <w:rPr>
          <w:color w:val="231F20"/>
          <w:spacing w:val="-11"/>
          <w:w w:val="105"/>
        </w:rPr>
        <w:t> </w:t>
      </w:r>
      <w:r>
        <w:rPr>
          <w:color w:val="231F20"/>
          <w:w w:val="105"/>
        </w:rPr>
        <w:t>importancia</w:t>
      </w:r>
      <w:r>
        <w:rPr>
          <w:color w:val="231F20"/>
          <w:spacing w:val="-11"/>
          <w:w w:val="105"/>
        </w:rPr>
        <w:t> </w:t>
      </w:r>
      <w:r>
        <w:rPr>
          <w:color w:val="231F20"/>
          <w:w w:val="105"/>
        </w:rPr>
        <w:t>de</w:t>
      </w:r>
      <w:r>
        <w:rPr>
          <w:color w:val="231F20"/>
          <w:spacing w:val="-11"/>
          <w:w w:val="105"/>
        </w:rPr>
        <w:t> </w:t>
      </w:r>
      <w:r>
        <w:rPr>
          <w:color w:val="231F20"/>
          <w:w w:val="105"/>
        </w:rPr>
        <w:t>incorporar la</w:t>
      </w:r>
      <w:r>
        <w:rPr>
          <w:color w:val="231F20"/>
          <w:spacing w:val="-23"/>
          <w:w w:val="105"/>
        </w:rPr>
        <w:t> </w:t>
      </w:r>
      <w:r>
        <w:rPr>
          <w:color w:val="231F20"/>
          <w:w w:val="105"/>
        </w:rPr>
        <w:t>dimensión</w:t>
      </w:r>
      <w:r>
        <w:rPr>
          <w:color w:val="231F20"/>
          <w:spacing w:val="-23"/>
          <w:w w:val="105"/>
        </w:rPr>
        <w:t> </w:t>
      </w:r>
      <w:r>
        <w:rPr>
          <w:color w:val="231F20"/>
          <w:w w:val="105"/>
        </w:rPr>
        <w:t>territorial</w:t>
      </w:r>
      <w:r>
        <w:rPr>
          <w:color w:val="231F20"/>
          <w:spacing w:val="-23"/>
          <w:w w:val="105"/>
        </w:rPr>
        <w:t> </w:t>
      </w:r>
      <w:r>
        <w:rPr>
          <w:color w:val="231F20"/>
          <w:w w:val="105"/>
        </w:rPr>
        <w:t>a</w:t>
      </w:r>
      <w:r>
        <w:rPr>
          <w:color w:val="231F20"/>
          <w:spacing w:val="-23"/>
          <w:w w:val="105"/>
        </w:rPr>
        <w:t> </w:t>
      </w:r>
      <w:r>
        <w:rPr>
          <w:color w:val="231F20"/>
          <w:w w:val="105"/>
        </w:rPr>
        <w:t>los</w:t>
      </w:r>
      <w:r>
        <w:rPr>
          <w:color w:val="231F20"/>
          <w:spacing w:val="-23"/>
          <w:w w:val="105"/>
        </w:rPr>
        <w:t> </w:t>
      </w:r>
      <w:r>
        <w:rPr>
          <w:color w:val="231F20"/>
          <w:w w:val="105"/>
        </w:rPr>
        <w:t>estudios</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migraciones</w:t>
      </w:r>
      <w:r>
        <w:rPr>
          <w:color w:val="231F20"/>
          <w:spacing w:val="-23"/>
          <w:w w:val="105"/>
        </w:rPr>
        <w:t> </w:t>
      </w:r>
      <w:r>
        <w:rPr>
          <w:color w:val="231F20"/>
          <w:w w:val="105"/>
        </w:rPr>
        <w:t>rurales</w:t>
      </w:r>
      <w:r>
        <w:rPr>
          <w:color w:val="231F20"/>
          <w:spacing w:val="-23"/>
          <w:w w:val="105"/>
        </w:rPr>
        <w:t> </w:t>
      </w:r>
      <w:r>
        <w:rPr>
          <w:color w:val="231F20"/>
          <w:w w:val="105"/>
        </w:rPr>
        <w:t>hacia</w:t>
      </w:r>
      <w:r>
        <w:rPr>
          <w:color w:val="231F20"/>
          <w:spacing w:val="-23"/>
          <w:w w:val="105"/>
        </w:rPr>
        <w:t> </w:t>
      </w:r>
      <w:r>
        <w:rPr>
          <w:color w:val="231F20"/>
          <w:w w:val="105"/>
        </w:rPr>
        <w:t>Es- tados</w:t>
      </w:r>
      <w:r>
        <w:rPr>
          <w:color w:val="231F20"/>
          <w:spacing w:val="-20"/>
          <w:w w:val="105"/>
        </w:rPr>
        <w:t> </w:t>
      </w:r>
      <w:r>
        <w:rPr>
          <w:color w:val="231F20"/>
          <w:w w:val="105"/>
        </w:rPr>
        <w:t>Unidos,</w:t>
      </w:r>
      <w:r>
        <w:rPr>
          <w:color w:val="231F20"/>
          <w:spacing w:val="-25"/>
          <w:w w:val="105"/>
        </w:rPr>
        <w:t> </w:t>
      </w:r>
      <w:r>
        <w:rPr>
          <w:color w:val="231F20"/>
          <w:w w:val="105"/>
        </w:rPr>
        <w:t>valorando</w:t>
      </w:r>
      <w:r>
        <w:rPr>
          <w:color w:val="231F20"/>
          <w:spacing w:val="-20"/>
          <w:w w:val="105"/>
        </w:rPr>
        <w:t> </w:t>
      </w:r>
      <w:r>
        <w:rPr>
          <w:color w:val="231F20"/>
          <w:w w:val="105"/>
        </w:rPr>
        <w:t>los</w:t>
      </w:r>
      <w:r>
        <w:rPr>
          <w:color w:val="231F20"/>
          <w:spacing w:val="-20"/>
          <w:w w:val="105"/>
        </w:rPr>
        <w:t> </w:t>
      </w:r>
      <w:r>
        <w:rPr>
          <w:color w:val="231F20"/>
          <w:w w:val="105"/>
        </w:rPr>
        <w:t>impactos</w:t>
      </w:r>
      <w:r>
        <w:rPr>
          <w:color w:val="231F20"/>
          <w:spacing w:val="-20"/>
          <w:w w:val="105"/>
        </w:rPr>
        <w:t> </w:t>
      </w:r>
      <w:r>
        <w:rPr>
          <w:color w:val="231F20"/>
          <w:w w:val="105"/>
        </w:rPr>
        <w:t>en</w:t>
      </w:r>
      <w:r>
        <w:rPr>
          <w:color w:val="231F20"/>
          <w:spacing w:val="-20"/>
          <w:w w:val="105"/>
        </w:rPr>
        <w:t> </w:t>
      </w:r>
      <w:r>
        <w:rPr>
          <w:color w:val="231F20"/>
          <w:w w:val="105"/>
        </w:rPr>
        <w:t>sus</w:t>
      </w:r>
      <w:r>
        <w:rPr>
          <w:color w:val="231F20"/>
          <w:spacing w:val="-20"/>
          <w:w w:val="105"/>
        </w:rPr>
        <w:t> </w:t>
      </w:r>
      <w:r>
        <w:rPr>
          <w:color w:val="231F20"/>
          <w:w w:val="105"/>
        </w:rPr>
        <w:t>lugares</w:t>
      </w:r>
      <w:r>
        <w:rPr>
          <w:color w:val="231F20"/>
          <w:spacing w:val="-20"/>
          <w:w w:val="105"/>
        </w:rPr>
        <w:t> </w:t>
      </w:r>
      <w:r>
        <w:rPr>
          <w:color w:val="231F20"/>
          <w:w w:val="105"/>
        </w:rPr>
        <w:t>de</w:t>
      </w:r>
      <w:r>
        <w:rPr>
          <w:color w:val="231F20"/>
          <w:spacing w:val="-20"/>
          <w:w w:val="105"/>
        </w:rPr>
        <w:t> </w:t>
      </w:r>
      <w:r>
        <w:rPr>
          <w:color w:val="231F20"/>
          <w:w w:val="105"/>
        </w:rPr>
        <w:t>origen,</w:t>
      </w:r>
      <w:r>
        <w:rPr>
          <w:color w:val="231F20"/>
          <w:spacing w:val="-25"/>
          <w:w w:val="105"/>
        </w:rPr>
        <w:t> </w:t>
      </w:r>
      <w:r>
        <w:rPr>
          <w:color w:val="231F20"/>
          <w:w w:val="105"/>
        </w:rPr>
        <w:t>tránsito</w:t>
      </w:r>
      <w:r>
        <w:rPr>
          <w:color w:val="231F20"/>
          <w:spacing w:val="-20"/>
          <w:w w:val="105"/>
        </w:rPr>
        <w:t> </w:t>
      </w:r>
      <w:r>
        <w:rPr>
          <w:color w:val="231F20"/>
          <w:w w:val="105"/>
        </w:rPr>
        <w:t>y destino</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migrantes.</w:t>
      </w:r>
      <w:r>
        <w:rPr>
          <w:color w:val="231F20"/>
          <w:spacing w:val="-26"/>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caso</w:t>
      </w:r>
      <w:r>
        <w:rPr>
          <w:color w:val="231F20"/>
          <w:spacing w:val="-21"/>
          <w:w w:val="105"/>
        </w:rPr>
        <w:t> </w:t>
      </w:r>
      <w:r>
        <w:rPr>
          <w:color w:val="231F20"/>
          <w:w w:val="105"/>
        </w:rPr>
        <w:t>particular</w:t>
      </w:r>
      <w:r>
        <w:rPr>
          <w:color w:val="231F20"/>
          <w:spacing w:val="-21"/>
          <w:w w:val="105"/>
        </w:rPr>
        <w:t> </w:t>
      </w:r>
      <w:r>
        <w:rPr>
          <w:color w:val="231F20"/>
          <w:w w:val="105"/>
        </w:rPr>
        <w:t>de</w:t>
      </w:r>
      <w:r>
        <w:rPr>
          <w:color w:val="231F20"/>
          <w:spacing w:val="-24"/>
          <w:w w:val="105"/>
        </w:rPr>
        <w:t> </w:t>
      </w:r>
      <w:r>
        <w:rPr>
          <w:color w:val="231F20"/>
          <w:w w:val="105"/>
        </w:rPr>
        <w:t>Almoloya</w:t>
      </w:r>
      <w:r>
        <w:rPr>
          <w:color w:val="231F20"/>
          <w:spacing w:val="-21"/>
          <w:w w:val="105"/>
        </w:rPr>
        <w:t> </w:t>
      </w:r>
      <w:r>
        <w:rPr>
          <w:color w:val="231F20"/>
          <w:w w:val="105"/>
        </w:rPr>
        <w:t>de</w:t>
      </w:r>
      <w:r>
        <w:rPr>
          <w:color w:val="231F20"/>
          <w:spacing w:val="-24"/>
          <w:w w:val="105"/>
        </w:rPr>
        <w:t> </w:t>
      </w:r>
      <w:r>
        <w:rPr>
          <w:color w:val="231F20"/>
          <w:w w:val="105"/>
        </w:rPr>
        <w:t>Alquisiras, como territorio migratorio se erige como un caso heurísticamente per- tinente para analizarlo a través de sus actores debido a su importancia como</w:t>
      </w:r>
      <w:r>
        <w:rPr>
          <w:color w:val="231F20"/>
          <w:spacing w:val="-7"/>
          <w:w w:val="105"/>
        </w:rPr>
        <w:t> </w:t>
      </w:r>
      <w:r>
        <w:rPr>
          <w:color w:val="231F20"/>
          <w:w w:val="105"/>
        </w:rPr>
        <w:t>uno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municipios</w:t>
      </w:r>
      <w:r>
        <w:rPr>
          <w:color w:val="231F20"/>
          <w:spacing w:val="-7"/>
          <w:w w:val="105"/>
        </w:rPr>
        <w:t> </w:t>
      </w:r>
      <w:r>
        <w:rPr>
          <w:color w:val="231F20"/>
          <w:w w:val="105"/>
        </w:rPr>
        <w:t>pioneros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migración</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sur</w:t>
      </w:r>
      <w:r>
        <w:rPr>
          <w:color w:val="231F20"/>
          <w:spacing w:val="-7"/>
          <w:w w:val="105"/>
        </w:rPr>
        <w:t> </w:t>
      </w:r>
      <w:r>
        <w:rPr>
          <w:color w:val="231F20"/>
          <w:w w:val="105"/>
        </w:rPr>
        <w:t>del</w:t>
      </w:r>
      <w:r>
        <w:rPr>
          <w:color w:val="231F20"/>
          <w:spacing w:val="-7"/>
          <w:w w:val="105"/>
        </w:rPr>
        <w:t> </w:t>
      </w:r>
      <w:r>
        <w:rPr>
          <w:color w:val="231F20"/>
          <w:w w:val="105"/>
        </w:rPr>
        <w:t>Esta- do de México, hecho que permite hacer una revisión multidimensional de</w:t>
      </w:r>
      <w:r>
        <w:rPr>
          <w:color w:val="231F20"/>
          <w:spacing w:val="-19"/>
          <w:w w:val="105"/>
        </w:rPr>
        <w:t> </w:t>
      </w:r>
      <w:r>
        <w:rPr>
          <w:color w:val="231F20"/>
          <w:w w:val="105"/>
        </w:rPr>
        <w:t>dicho</w:t>
      </w:r>
      <w:r>
        <w:rPr>
          <w:color w:val="231F20"/>
          <w:spacing w:val="-19"/>
          <w:w w:val="105"/>
        </w:rPr>
        <w:t> </w:t>
      </w:r>
      <w:r>
        <w:rPr>
          <w:color w:val="231F20"/>
          <w:w w:val="105"/>
        </w:rPr>
        <w:t>fenómeno,</w:t>
      </w:r>
      <w:r>
        <w:rPr>
          <w:color w:val="231F20"/>
          <w:spacing w:val="-24"/>
          <w:w w:val="105"/>
        </w:rPr>
        <w:t> </w:t>
      </w:r>
      <w:r>
        <w:rPr>
          <w:color w:val="231F20"/>
          <w:w w:val="105"/>
        </w:rPr>
        <w:t>aportando</w:t>
      </w:r>
      <w:r>
        <w:rPr>
          <w:color w:val="231F20"/>
          <w:spacing w:val="-19"/>
          <w:w w:val="105"/>
        </w:rPr>
        <w:t> </w:t>
      </w:r>
      <w:r>
        <w:rPr>
          <w:color w:val="231F20"/>
          <w:w w:val="105"/>
        </w:rPr>
        <w:t>a</w:t>
      </w:r>
      <w:r>
        <w:rPr>
          <w:color w:val="231F20"/>
          <w:spacing w:val="-19"/>
          <w:w w:val="105"/>
        </w:rPr>
        <w:t> </w:t>
      </w:r>
      <w:r>
        <w:rPr>
          <w:color w:val="231F20"/>
          <w:w w:val="105"/>
        </w:rPr>
        <w:t>su</w:t>
      </w:r>
      <w:r>
        <w:rPr>
          <w:color w:val="231F20"/>
          <w:spacing w:val="-19"/>
          <w:w w:val="105"/>
        </w:rPr>
        <w:t> </w:t>
      </w:r>
      <w:r>
        <w:rPr>
          <w:color w:val="231F20"/>
          <w:w w:val="105"/>
        </w:rPr>
        <w:t>vez</w:t>
      </w:r>
      <w:r>
        <w:rPr>
          <w:color w:val="231F20"/>
          <w:spacing w:val="-19"/>
          <w:w w:val="105"/>
        </w:rPr>
        <w:t> </w:t>
      </w:r>
      <w:r>
        <w:rPr>
          <w:color w:val="231F20"/>
          <w:w w:val="105"/>
        </w:rPr>
        <w:t>alternativas</w:t>
      </w:r>
      <w:r>
        <w:rPr>
          <w:color w:val="231F20"/>
          <w:spacing w:val="-19"/>
          <w:w w:val="105"/>
        </w:rPr>
        <w:t> </w:t>
      </w:r>
      <w:r>
        <w:rPr>
          <w:color w:val="231F20"/>
          <w:w w:val="105"/>
        </w:rPr>
        <w:t>sobre</w:t>
      </w:r>
      <w:r>
        <w:rPr>
          <w:color w:val="231F20"/>
          <w:spacing w:val="-19"/>
          <w:w w:val="105"/>
        </w:rPr>
        <w:t> </w:t>
      </w:r>
      <w:r>
        <w:rPr>
          <w:color w:val="231F20"/>
          <w:w w:val="105"/>
        </w:rPr>
        <w:t>posibles</w:t>
      </w:r>
      <w:r>
        <w:rPr>
          <w:color w:val="231F20"/>
          <w:spacing w:val="-19"/>
          <w:w w:val="105"/>
        </w:rPr>
        <w:t> </w:t>
      </w:r>
      <w:r>
        <w:rPr>
          <w:color w:val="231F20"/>
          <w:w w:val="105"/>
        </w:rPr>
        <w:t>opor- tunidades y áreas de intervención para políticas públicas de desarrollo local</w:t>
      </w:r>
      <w:r>
        <w:rPr>
          <w:color w:val="231F20"/>
          <w:spacing w:val="-12"/>
          <w:w w:val="105"/>
        </w:rPr>
        <w:t> </w:t>
      </w:r>
      <w:r>
        <w:rPr>
          <w:color w:val="231F20"/>
          <w:w w:val="105"/>
        </w:rPr>
        <w:t>en</w:t>
      </w:r>
      <w:r>
        <w:rPr>
          <w:color w:val="231F20"/>
          <w:spacing w:val="-12"/>
          <w:w w:val="105"/>
        </w:rPr>
        <w:t> </w:t>
      </w:r>
      <w:r>
        <w:rPr>
          <w:color w:val="231F20"/>
          <w:w w:val="105"/>
        </w:rPr>
        <w:t>contextos</w:t>
      </w:r>
      <w:r>
        <w:rPr>
          <w:color w:val="231F20"/>
          <w:spacing w:val="-12"/>
          <w:w w:val="105"/>
        </w:rPr>
        <w:t> </w:t>
      </w:r>
      <w:r>
        <w:rPr>
          <w:color w:val="231F20"/>
          <w:w w:val="105"/>
        </w:rPr>
        <w:t>de</w:t>
      </w:r>
      <w:r>
        <w:rPr>
          <w:color w:val="231F20"/>
          <w:spacing w:val="-12"/>
          <w:w w:val="105"/>
        </w:rPr>
        <w:t> </w:t>
      </w:r>
      <w:r>
        <w:rPr>
          <w:color w:val="231F20"/>
          <w:w w:val="105"/>
        </w:rPr>
        <w:t>migración</w:t>
      </w:r>
      <w:r>
        <w:rPr>
          <w:color w:val="231F20"/>
          <w:spacing w:val="-12"/>
          <w:w w:val="105"/>
        </w:rPr>
        <w:t> </w:t>
      </w:r>
      <w:r>
        <w:rPr>
          <w:color w:val="231F20"/>
          <w:w w:val="105"/>
        </w:rPr>
        <w:t>rural.</w:t>
      </w:r>
    </w:p>
    <w:p>
      <w:pPr>
        <w:pStyle w:val="BodyText"/>
        <w:rPr>
          <w:sz w:val="20"/>
        </w:rPr>
      </w:pPr>
    </w:p>
    <w:p>
      <w:pPr>
        <w:pStyle w:val="BodyText"/>
        <w:rPr>
          <w:sz w:val="20"/>
        </w:rPr>
      </w:pPr>
    </w:p>
    <w:p>
      <w:pPr>
        <w:pStyle w:val="BodyText"/>
        <w:rPr>
          <w:sz w:val="20"/>
        </w:rPr>
      </w:pPr>
    </w:p>
    <w:p>
      <w:pPr>
        <w:pStyle w:val="BodyText"/>
        <w:rPr>
          <w:sz w:val="29"/>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4984" from="131.551193pt,3.703715pt" to="131.551193pt,39.506114pt" stroked="true" strokeweight=".35pt" strokecolor="#231f20">
            <w10:wrap type="none"/>
          </v:line>
        </w:pict>
      </w:r>
      <w:r>
        <w:rPr/>
        <w:pict>
          <v:line style="position:absolute;mso-position-horizontal-relative:page;mso-position-vertical-relative:paragraph;z-index:-454960" from="15pt,39.505917pt" to="0pt,39.505917pt" stroked="true" strokeweight=".25pt" strokecolor="#000000">
            <w10:wrap type="none"/>
          </v:line>
        </w:pict>
      </w:r>
      <w:r>
        <w:rPr/>
        <w:pict>
          <v:line style="position:absolute;mso-position-horizontal-relative:page;mso-position-vertical-relative:paragraph;z-index:35248" from="508.890015pt,39.505917pt" to="523.890015pt,39.505917pt" stroked="true" strokeweight=".25pt" strokecolor="#000000">
            <w10:wrap type="none"/>
          </v:line>
        </w:pict>
      </w:r>
      <w:r>
        <w:rPr>
          <w:rFonts w:ascii="Arial" w:hAnsi="Arial"/>
          <w:color w:val="414042"/>
          <w:position w:val="-5"/>
          <w:sz w:val="20"/>
        </w:rPr>
        <w:t>288</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footerReference w:type="default" r:id="rId333"/>
          <w:pgSz w:w="10480" w:h="14730"/>
          <w:pgMar w:footer="103" w:header="0" w:top="42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headerReference w:type="default" r:id="rId334"/>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5272"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5296" from="15pt,-28.286539pt" to="0pt,-28.286539pt" stroked="true" strokeweight=".25pt" strokecolor="#000000">
            <w10:wrap type="none"/>
          </v:line>
        </w:pict>
      </w:r>
      <w:r>
        <w:rPr/>
        <w:pict>
          <v:line style="position:absolute;mso-position-horizontal-relative:page;mso-position-vertical-relative:paragraph;z-index:35320" from="508.890015pt,-28.286539pt" to="523.890015pt,-28.286539pt" stroked="true" strokeweight=".25pt" strokecolor="#000000">
            <w10:wrap type="none"/>
          </v:line>
        </w:pict>
      </w:r>
      <w:r>
        <w:rPr>
          <w:rFonts w:ascii="Arial"/>
          <w:color w:val="414042"/>
          <w:sz w:val="20"/>
        </w:rPr>
        <w:t>289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7"/>
        </w:rPr>
      </w:pPr>
    </w:p>
    <w:p>
      <w:pPr>
        <w:pStyle w:val="Heading3"/>
        <w:spacing w:before="1"/>
      </w:pPr>
      <w:r>
        <w:rPr>
          <w:color w:val="231F20"/>
        </w:rPr>
        <w:t>Antecedentes de la migración de México a Estados Unidos</w:t>
      </w:r>
    </w:p>
    <w:p>
      <w:pPr>
        <w:pStyle w:val="BodyText"/>
        <w:rPr>
          <w:rFonts w:ascii="Arial"/>
          <w:b/>
          <w:sz w:val="22"/>
        </w:rPr>
      </w:pPr>
    </w:p>
    <w:p>
      <w:pPr>
        <w:pStyle w:val="BodyText"/>
        <w:spacing w:line="261" w:lineRule="auto" w:before="163"/>
        <w:ind w:left="1837" w:right="1721"/>
        <w:jc w:val="both"/>
      </w:pPr>
      <w:r>
        <w:rPr>
          <w:color w:val="231F20"/>
          <w:w w:val="105"/>
        </w:rPr>
        <w:t>Diversos</w:t>
      </w:r>
      <w:r>
        <w:rPr>
          <w:color w:val="231F20"/>
          <w:spacing w:val="-7"/>
          <w:w w:val="105"/>
        </w:rPr>
        <w:t> </w:t>
      </w:r>
      <w:r>
        <w:rPr>
          <w:color w:val="231F20"/>
          <w:w w:val="105"/>
        </w:rPr>
        <w:t>autores</w:t>
      </w:r>
      <w:r>
        <w:rPr>
          <w:color w:val="231F20"/>
          <w:spacing w:val="-7"/>
          <w:w w:val="105"/>
        </w:rPr>
        <w:t> </w:t>
      </w:r>
      <w:r>
        <w:rPr>
          <w:color w:val="231F20"/>
          <w:w w:val="105"/>
        </w:rPr>
        <w:t>han</w:t>
      </w:r>
      <w:r>
        <w:rPr>
          <w:color w:val="231F20"/>
          <w:spacing w:val="-7"/>
          <w:w w:val="105"/>
        </w:rPr>
        <w:t> </w:t>
      </w:r>
      <w:r>
        <w:rPr>
          <w:color w:val="231F20"/>
          <w:w w:val="105"/>
        </w:rPr>
        <w:t>definido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6"/>
          <w:w w:val="105"/>
        </w:rPr>
        <w:t> </w:t>
      </w:r>
      <w:r>
        <w:rPr>
          <w:color w:val="231F20"/>
          <w:w w:val="105"/>
        </w:rPr>
        <w:t>migración</w:t>
      </w:r>
      <w:r>
        <w:rPr>
          <w:color w:val="231F20"/>
          <w:spacing w:val="-7"/>
          <w:w w:val="105"/>
        </w:rPr>
        <w:t> </w:t>
      </w:r>
      <w:r>
        <w:rPr>
          <w:color w:val="231F20"/>
          <w:w w:val="105"/>
        </w:rPr>
        <w:t>internacional</w:t>
      </w:r>
      <w:r>
        <w:rPr>
          <w:color w:val="231F20"/>
          <w:spacing w:val="-7"/>
          <w:w w:val="105"/>
        </w:rPr>
        <w:t> </w:t>
      </w:r>
      <w:r>
        <w:rPr>
          <w:color w:val="231F20"/>
          <w:w w:val="105"/>
        </w:rPr>
        <w:t>como</w:t>
      </w:r>
      <w:r>
        <w:rPr>
          <w:color w:val="231F20"/>
          <w:spacing w:val="-7"/>
          <w:w w:val="105"/>
        </w:rPr>
        <w:t> </w:t>
      </w:r>
      <w:r>
        <w:rPr>
          <w:color w:val="231F20"/>
          <w:w w:val="105"/>
        </w:rPr>
        <w:t>el</w:t>
      </w:r>
      <w:r>
        <w:rPr>
          <w:color w:val="231F20"/>
          <w:spacing w:val="-7"/>
          <w:w w:val="105"/>
        </w:rPr>
        <w:t> </w:t>
      </w:r>
      <w:r>
        <w:rPr>
          <w:color w:val="231F20"/>
          <w:w w:val="105"/>
        </w:rPr>
        <w:t>des- plazamiento de una persona que vive en un país a otro por diversas</w:t>
      </w:r>
      <w:r>
        <w:rPr>
          <w:color w:val="231F20"/>
          <w:spacing w:val="-21"/>
          <w:w w:val="105"/>
        </w:rPr>
        <w:t> </w:t>
      </w:r>
      <w:r>
        <w:rPr>
          <w:color w:val="231F20"/>
          <w:w w:val="105"/>
        </w:rPr>
        <w:t>ra- zones. El proceso migratorio de México a Estados Unidos es un buen ejemplo, con características que se diferencian de otras, tales como: el tamaño de la frontera que comparten ambos países, el</w:t>
      </w:r>
      <w:r>
        <w:rPr>
          <w:color w:val="231F20"/>
          <w:spacing w:val="-22"/>
          <w:w w:val="105"/>
        </w:rPr>
        <w:t> </w:t>
      </w:r>
      <w:r>
        <w:rPr>
          <w:color w:val="231F20"/>
          <w:w w:val="105"/>
        </w:rPr>
        <w:t>desplazamiento de</w:t>
      </w:r>
      <w:r>
        <w:rPr>
          <w:color w:val="231F20"/>
          <w:spacing w:val="-21"/>
          <w:w w:val="105"/>
        </w:rPr>
        <w:t> </w:t>
      </w:r>
      <w:r>
        <w:rPr>
          <w:color w:val="231F20"/>
          <w:w w:val="105"/>
        </w:rPr>
        <w:t>jóvenes,</w:t>
      </w:r>
      <w:r>
        <w:rPr>
          <w:color w:val="231F20"/>
          <w:spacing w:val="-26"/>
          <w:w w:val="105"/>
        </w:rPr>
        <w:t> </w:t>
      </w:r>
      <w:r>
        <w:rPr>
          <w:color w:val="231F20"/>
          <w:w w:val="105"/>
        </w:rPr>
        <w:t>hombres</w:t>
      </w:r>
      <w:r>
        <w:rPr>
          <w:color w:val="231F20"/>
          <w:spacing w:val="-21"/>
          <w:w w:val="105"/>
        </w:rPr>
        <w:t> </w:t>
      </w:r>
      <w:r>
        <w:rPr>
          <w:color w:val="231F20"/>
          <w:w w:val="105"/>
        </w:rPr>
        <w:t>y</w:t>
      </w:r>
      <w:r>
        <w:rPr>
          <w:color w:val="231F20"/>
          <w:spacing w:val="-21"/>
          <w:w w:val="105"/>
        </w:rPr>
        <w:t> </w:t>
      </w:r>
      <w:r>
        <w:rPr>
          <w:color w:val="231F20"/>
          <w:w w:val="105"/>
        </w:rPr>
        <w:t>mujeres,</w:t>
      </w:r>
      <w:r>
        <w:rPr>
          <w:color w:val="231F20"/>
          <w:spacing w:val="-26"/>
          <w:w w:val="105"/>
        </w:rPr>
        <w:t> </w:t>
      </w:r>
      <w:r>
        <w:rPr>
          <w:color w:val="231F20"/>
          <w:w w:val="105"/>
        </w:rPr>
        <w:t>de</w:t>
      </w:r>
      <w:r>
        <w:rPr>
          <w:color w:val="231F20"/>
          <w:spacing w:val="-21"/>
          <w:w w:val="105"/>
        </w:rPr>
        <w:t> </w:t>
      </w:r>
      <w:r>
        <w:rPr>
          <w:color w:val="231F20"/>
          <w:w w:val="105"/>
        </w:rPr>
        <w:t>origen</w:t>
      </w:r>
      <w:r>
        <w:rPr>
          <w:color w:val="231F20"/>
          <w:spacing w:val="-21"/>
          <w:w w:val="105"/>
        </w:rPr>
        <w:t> </w:t>
      </w:r>
      <w:r>
        <w:rPr>
          <w:color w:val="231F20"/>
          <w:w w:val="105"/>
        </w:rPr>
        <w:t>rural</w:t>
      </w:r>
      <w:r>
        <w:rPr>
          <w:color w:val="231F20"/>
          <w:spacing w:val="-21"/>
          <w:w w:val="105"/>
        </w:rPr>
        <w:t> </w:t>
      </w:r>
      <w:r>
        <w:rPr>
          <w:color w:val="231F20"/>
          <w:w w:val="105"/>
        </w:rPr>
        <w:t>y</w:t>
      </w:r>
      <w:r>
        <w:rPr>
          <w:color w:val="231F20"/>
          <w:spacing w:val="-21"/>
          <w:w w:val="105"/>
        </w:rPr>
        <w:t> </w:t>
      </w:r>
      <w:r>
        <w:rPr>
          <w:color w:val="231F20"/>
          <w:w w:val="105"/>
        </w:rPr>
        <w:t>urbano,</w:t>
      </w:r>
      <w:r>
        <w:rPr>
          <w:color w:val="231F20"/>
          <w:spacing w:val="-26"/>
          <w:w w:val="105"/>
        </w:rPr>
        <w:t> </w:t>
      </w:r>
      <w:r>
        <w:rPr>
          <w:color w:val="231F20"/>
          <w:w w:val="105"/>
        </w:rPr>
        <w:t>las</w:t>
      </w:r>
      <w:r>
        <w:rPr>
          <w:color w:val="231F20"/>
          <w:spacing w:val="-21"/>
          <w:w w:val="105"/>
        </w:rPr>
        <w:t> </w:t>
      </w:r>
      <w:r>
        <w:rPr>
          <w:color w:val="231F20"/>
          <w:w w:val="105"/>
        </w:rPr>
        <w:t>redes</w:t>
      </w:r>
      <w:r>
        <w:rPr>
          <w:color w:val="231F20"/>
          <w:spacing w:val="-21"/>
          <w:w w:val="105"/>
        </w:rPr>
        <w:t> </w:t>
      </w:r>
      <w:r>
        <w:rPr>
          <w:color w:val="231F20"/>
          <w:w w:val="105"/>
        </w:rPr>
        <w:t>socia- les</w:t>
      </w:r>
      <w:r>
        <w:rPr>
          <w:color w:val="231F20"/>
          <w:spacing w:val="-23"/>
          <w:w w:val="105"/>
        </w:rPr>
        <w:t> </w:t>
      </w:r>
      <w:r>
        <w:rPr>
          <w:color w:val="231F20"/>
          <w:w w:val="105"/>
        </w:rPr>
        <w:t>bien</w:t>
      </w:r>
      <w:r>
        <w:rPr>
          <w:color w:val="231F20"/>
          <w:spacing w:val="-23"/>
          <w:w w:val="105"/>
        </w:rPr>
        <w:t> </w:t>
      </w:r>
      <w:r>
        <w:rPr>
          <w:color w:val="231F20"/>
          <w:w w:val="105"/>
        </w:rPr>
        <w:t>consolidadas</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cantidad</w:t>
      </w:r>
      <w:r>
        <w:rPr>
          <w:color w:val="231F20"/>
          <w:spacing w:val="-23"/>
          <w:w w:val="105"/>
        </w:rPr>
        <w:t> </w:t>
      </w:r>
      <w:r>
        <w:rPr>
          <w:color w:val="231F20"/>
          <w:w w:val="105"/>
        </w:rPr>
        <w:t>de</w:t>
      </w:r>
      <w:r>
        <w:rPr>
          <w:color w:val="231F20"/>
          <w:spacing w:val="-23"/>
          <w:w w:val="105"/>
        </w:rPr>
        <w:t> </w:t>
      </w:r>
      <w:r>
        <w:rPr>
          <w:color w:val="231F20"/>
          <w:w w:val="105"/>
        </w:rPr>
        <w:t>remesas</w:t>
      </w:r>
      <w:r>
        <w:rPr>
          <w:color w:val="231F20"/>
          <w:spacing w:val="-23"/>
          <w:w w:val="105"/>
        </w:rPr>
        <w:t> </w:t>
      </w:r>
      <w:r>
        <w:rPr>
          <w:color w:val="231F20"/>
          <w:w w:val="105"/>
        </w:rPr>
        <w:t>enviadas.</w:t>
      </w:r>
    </w:p>
    <w:p>
      <w:pPr>
        <w:pStyle w:val="BodyText"/>
        <w:spacing w:line="261" w:lineRule="auto" w:before="1"/>
        <w:ind w:left="1837" w:right="1721" w:firstLine="567"/>
        <w:jc w:val="both"/>
      </w:pPr>
      <w:r>
        <w:rPr>
          <w:color w:val="231F20"/>
          <w:spacing w:val="-5"/>
          <w:w w:val="105"/>
        </w:rPr>
        <w:t>Tratar </w:t>
      </w:r>
      <w:r>
        <w:rPr>
          <w:color w:val="231F20"/>
          <w:w w:val="105"/>
        </w:rPr>
        <w:t>de especificar la fecha exacta de cuándo se inicia la</w:t>
      </w:r>
      <w:r>
        <w:rPr>
          <w:color w:val="231F20"/>
          <w:spacing w:val="-22"/>
          <w:w w:val="105"/>
        </w:rPr>
        <w:t> </w:t>
      </w:r>
      <w:r>
        <w:rPr>
          <w:color w:val="231F20"/>
          <w:w w:val="105"/>
        </w:rPr>
        <w:t>migra- ción</w:t>
      </w:r>
      <w:r>
        <w:rPr>
          <w:color w:val="231F20"/>
          <w:spacing w:val="-25"/>
          <w:w w:val="105"/>
        </w:rPr>
        <w:t> </w:t>
      </w:r>
      <w:r>
        <w:rPr>
          <w:color w:val="231F20"/>
          <w:w w:val="105"/>
        </w:rPr>
        <w:t>de</w:t>
      </w:r>
      <w:r>
        <w:rPr>
          <w:color w:val="231F20"/>
          <w:spacing w:val="-25"/>
          <w:w w:val="105"/>
        </w:rPr>
        <w:t> </w:t>
      </w:r>
      <w:r>
        <w:rPr>
          <w:color w:val="231F20"/>
          <w:w w:val="105"/>
        </w:rPr>
        <w:t>mexicanos</w:t>
      </w:r>
      <w:r>
        <w:rPr>
          <w:color w:val="231F20"/>
          <w:spacing w:val="-25"/>
          <w:w w:val="105"/>
        </w:rPr>
        <w:t> </w:t>
      </w:r>
      <w:r>
        <w:rPr>
          <w:color w:val="231F20"/>
          <w:w w:val="105"/>
        </w:rPr>
        <w:t>a</w:t>
      </w:r>
      <w:r>
        <w:rPr>
          <w:color w:val="231F20"/>
          <w:spacing w:val="-25"/>
          <w:w w:val="105"/>
        </w:rPr>
        <w:t> </w:t>
      </w:r>
      <w:r>
        <w:rPr>
          <w:color w:val="231F20"/>
          <w:w w:val="105"/>
        </w:rPr>
        <w:t>Estados</w:t>
      </w:r>
      <w:r>
        <w:rPr>
          <w:color w:val="231F20"/>
          <w:spacing w:val="-25"/>
          <w:w w:val="105"/>
        </w:rPr>
        <w:t> </w:t>
      </w:r>
      <w:r>
        <w:rPr>
          <w:color w:val="231F20"/>
          <w:w w:val="105"/>
        </w:rPr>
        <w:t>Unidos</w:t>
      </w:r>
      <w:r>
        <w:rPr>
          <w:color w:val="231F20"/>
          <w:spacing w:val="-25"/>
          <w:w w:val="105"/>
        </w:rPr>
        <w:t> </w:t>
      </w:r>
      <w:r>
        <w:rPr>
          <w:color w:val="231F20"/>
          <w:w w:val="105"/>
        </w:rPr>
        <w:t>es</w:t>
      </w:r>
      <w:r>
        <w:rPr>
          <w:color w:val="231F20"/>
          <w:spacing w:val="-25"/>
          <w:w w:val="105"/>
        </w:rPr>
        <w:t> </w:t>
      </w:r>
      <w:r>
        <w:rPr>
          <w:color w:val="231F20"/>
          <w:w w:val="105"/>
        </w:rPr>
        <w:t>casi</w:t>
      </w:r>
      <w:r>
        <w:rPr>
          <w:color w:val="231F20"/>
          <w:spacing w:val="-25"/>
          <w:w w:val="105"/>
        </w:rPr>
        <w:t> </w:t>
      </w:r>
      <w:r>
        <w:rPr>
          <w:color w:val="231F20"/>
          <w:w w:val="105"/>
        </w:rPr>
        <w:t>imposible.</w:t>
      </w:r>
      <w:r>
        <w:rPr>
          <w:color w:val="231F20"/>
          <w:spacing w:val="-30"/>
          <w:w w:val="105"/>
        </w:rPr>
        <w:t> </w:t>
      </w:r>
      <w:r>
        <w:rPr>
          <w:color w:val="231F20"/>
          <w:w w:val="105"/>
        </w:rPr>
        <w:t>Durand</w:t>
      </w:r>
      <w:r>
        <w:rPr>
          <w:color w:val="231F20"/>
          <w:spacing w:val="-25"/>
          <w:w w:val="105"/>
        </w:rPr>
        <w:t> </w:t>
      </w:r>
      <w:r>
        <w:rPr>
          <w:color w:val="231F20"/>
          <w:w w:val="105"/>
        </w:rPr>
        <w:t>(1998)</w:t>
      </w:r>
      <w:r>
        <w:rPr>
          <w:color w:val="231F20"/>
          <w:spacing w:val="-25"/>
          <w:w w:val="105"/>
        </w:rPr>
        <w:t> </w:t>
      </w:r>
      <w:r>
        <w:rPr>
          <w:color w:val="231F20"/>
          <w:w w:val="105"/>
        </w:rPr>
        <w:t>en su libro </w:t>
      </w:r>
      <w:r>
        <w:rPr>
          <w:rFonts w:ascii="Arial" w:hAnsi="Arial"/>
          <w:i/>
          <w:color w:val="231F20"/>
          <w:w w:val="105"/>
        </w:rPr>
        <w:t>política, modelos y patrones migratorios </w:t>
      </w:r>
      <w:r>
        <w:rPr>
          <w:color w:val="231F20"/>
          <w:w w:val="105"/>
        </w:rPr>
        <w:t>menciona que el flujo migratorio,</w:t>
      </w:r>
      <w:r>
        <w:rPr>
          <w:color w:val="231F20"/>
          <w:spacing w:val="-19"/>
          <w:w w:val="105"/>
        </w:rPr>
        <w:t> </w:t>
      </w:r>
      <w:r>
        <w:rPr>
          <w:color w:val="231F20"/>
          <w:w w:val="105"/>
        </w:rPr>
        <w:t>tiene</w:t>
      </w:r>
      <w:r>
        <w:rPr>
          <w:color w:val="231F20"/>
          <w:spacing w:val="-14"/>
          <w:w w:val="105"/>
        </w:rPr>
        <w:t> </w:t>
      </w:r>
      <w:r>
        <w:rPr>
          <w:color w:val="231F20"/>
          <w:w w:val="105"/>
        </w:rPr>
        <w:t>sus</w:t>
      </w:r>
      <w:r>
        <w:rPr>
          <w:color w:val="231F20"/>
          <w:spacing w:val="-14"/>
          <w:w w:val="105"/>
        </w:rPr>
        <w:t> </w:t>
      </w:r>
      <w:r>
        <w:rPr>
          <w:color w:val="231F20"/>
          <w:w w:val="105"/>
        </w:rPr>
        <w:t>inicios</w:t>
      </w:r>
      <w:r>
        <w:rPr>
          <w:color w:val="231F20"/>
          <w:spacing w:val="-14"/>
          <w:w w:val="105"/>
        </w:rPr>
        <w:t> </w:t>
      </w:r>
      <w:r>
        <w:rPr>
          <w:color w:val="231F20"/>
          <w:w w:val="105"/>
        </w:rPr>
        <w:t>desde</w:t>
      </w:r>
      <w:r>
        <w:rPr>
          <w:color w:val="231F20"/>
          <w:spacing w:val="-14"/>
          <w:w w:val="105"/>
        </w:rPr>
        <w:t> </w:t>
      </w:r>
      <w:r>
        <w:rPr>
          <w:color w:val="231F20"/>
          <w:w w:val="105"/>
        </w:rPr>
        <w:t>finales</w:t>
      </w:r>
      <w:r>
        <w:rPr>
          <w:color w:val="231F20"/>
          <w:spacing w:val="-14"/>
          <w:w w:val="105"/>
        </w:rPr>
        <w:t> </w:t>
      </w:r>
      <w:r>
        <w:rPr>
          <w:color w:val="231F20"/>
          <w:w w:val="105"/>
        </w:rPr>
        <w:t>del</w:t>
      </w:r>
      <w:r>
        <w:rPr>
          <w:color w:val="231F20"/>
          <w:spacing w:val="-14"/>
          <w:w w:val="105"/>
        </w:rPr>
        <w:t> </w:t>
      </w:r>
      <w:r>
        <w:rPr>
          <w:color w:val="231F20"/>
          <w:w w:val="105"/>
        </w:rPr>
        <w:t>siglo</w:t>
      </w:r>
      <w:r>
        <w:rPr>
          <w:color w:val="231F20"/>
          <w:spacing w:val="-14"/>
          <w:w w:val="105"/>
        </w:rPr>
        <w:t> </w:t>
      </w:r>
      <w:r>
        <w:rPr>
          <w:color w:val="231F20"/>
          <w:w w:val="105"/>
          <w:sz w:val="17"/>
        </w:rPr>
        <w:t>XIX</w:t>
      </w:r>
      <w:r>
        <w:rPr>
          <w:color w:val="231F20"/>
          <w:w w:val="105"/>
        </w:rPr>
        <w:t>,</w:t>
      </w:r>
      <w:r>
        <w:rPr>
          <w:color w:val="231F20"/>
          <w:spacing w:val="-19"/>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última</w:t>
      </w:r>
      <w:r>
        <w:rPr>
          <w:color w:val="231F20"/>
          <w:spacing w:val="-14"/>
          <w:w w:val="105"/>
        </w:rPr>
        <w:t> </w:t>
      </w:r>
      <w:r>
        <w:rPr>
          <w:color w:val="231F20"/>
          <w:w w:val="105"/>
        </w:rPr>
        <w:t>déca- da</w:t>
      </w:r>
      <w:r>
        <w:rPr>
          <w:color w:val="231F20"/>
          <w:spacing w:val="-18"/>
          <w:w w:val="105"/>
        </w:rPr>
        <w:t> </w:t>
      </w:r>
      <w:r>
        <w:rPr>
          <w:color w:val="231F20"/>
          <w:w w:val="105"/>
        </w:rPr>
        <w:t>(1890),</w:t>
      </w:r>
      <w:r>
        <w:rPr>
          <w:color w:val="231F20"/>
          <w:spacing w:val="-24"/>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desarrollo</w:t>
      </w:r>
      <w:r>
        <w:rPr>
          <w:color w:val="231F20"/>
          <w:spacing w:val="-18"/>
          <w:w w:val="105"/>
        </w:rPr>
        <w:t> </w:t>
      </w:r>
      <w:r>
        <w:rPr>
          <w:color w:val="231F20"/>
          <w:w w:val="105"/>
        </w:rPr>
        <w:t>del</w:t>
      </w:r>
      <w:r>
        <w:rPr>
          <w:color w:val="231F20"/>
          <w:spacing w:val="-18"/>
          <w:w w:val="105"/>
        </w:rPr>
        <w:t> </w:t>
      </w:r>
      <w:r>
        <w:rPr>
          <w:color w:val="231F20"/>
          <w:w w:val="105"/>
        </w:rPr>
        <w:t>ferrocarril</w:t>
      </w:r>
      <w:r>
        <w:rPr>
          <w:color w:val="231F20"/>
          <w:spacing w:val="-18"/>
          <w:w w:val="105"/>
        </w:rPr>
        <w:t> </w:t>
      </w:r>
      <w:r>
        <w:rPr>
          <w:color w:val="231F20"/>
          <w:w w:val="105"/>
        </w:rPr>
        <w:t>que</w:t>
      </w:r>
      <w:r>
        <w:rPr>
          <w:color w:val="231F20"/>
          <w:spacing w:val="-18"/>
          <w:w w:val="105"/>
        </w:rPr>
        <w:t> </w:t>
      </w:r>
      <w:r>
        <w:rPr>
          <w:color w:val="231F20"/>
          <w:w w:val="105"/>
        </w:rPr>
        <w:t>conectó</w:t>
      </w:r>
      <w:r>
        <w:rPr>
          <w:color w:val="231F20"/>
          <w:spacing w:val="-18"/>
          <w:w w:val="105"/>
        </w:rPr>
        <w:t> </w:t>
      </w:r>
      <w:r>
        <w:rPr>
          <w:color w:val="231F20"/>
          <w:w w:val="105"/>
        </w:rPr>
        <w:t>ambos</w:t>
      </w:r>
      <w:r>
        <w:rPr>
          <w:color w:val="231F20"/>
          <w:spacing w:val="-18"/>
          <w:w w:val="105"/>
        </w:rPr>
        <w:t> </w:t>
      </w:r>
      <w:r>
        <w:rPr>
          <w:color w:val="231F20"/>
          <w:w w:val="105"/>
        </w:rPr>
        <w:t>países</w:t>
      </w:r>
      <w:r>
        <w:rPr>
          <w:color w:val="231F20"/>
          <w:spacing w:val="-18"/>
          <w:w w:val="105"/>
        </w:rPr>
        <w:t> </w:t>
      </w:r>
      <w:r>
        <w:rPr>
          <w:color w:val="231F20"/>
          <w:w w:val="105"/>
        </w:rPr>
        <w:t>con el</w:t>
      </w:r>
      <w:r>
        <w:rPr>
          <w:color w:val="231F20"/>
          <w:spacing w:val="-12"/>
          <w:w w:val="105"/>
        </w:rPr>
        <w:t> </w:t>
      </w:r>
      <w:r>
        <w:rPr>
          <w:color w:val="231F20"/>
          <w:w w:val="105"/>
        </w:rPr>
        <w:t>propósito</w:t>
      </w:r>
      <w:r>
        <w:rPr>
          <w:color w:val="231F20"/>
          <w:spacing w:val="-12"/>
          <w:w w:val="105"/>
        </w:rPr>
        <w:t> </w:t>
      </w:r>
      <w:r>
        <w:rPr>
          <w:color w:val="231F20"/>
          <w:w w:val="105"/>
        </w:rPr>
        <w:t>de</w:t>
      </w:r>
      <w:r>
        <w:rPr>
          <w:color w:val="231F20"/>
          <w:spacing w:val="-12"/>
          <w:w w:val="105"/>
        </w:rPr>
        <w:t> </w:t>
      </w:r>
      <w:r>
        <w:rPr>
          <w:color w:val="231F20"/>
          <w:w w:val="105"/>
        </w:rPr>
        <w:t>facilitar</w:t>
      </w:r>
      <w:r>
        <w:rPr>
          <w:color w:val="231F20"/>
          <w:spacing w:val="-12"/>
          <w:w w:val="105"/>
        </w:rPr>
        <w:t> </w:t>
      </w:r>
      <w:r>
        <w:rPr>
          <w:color w:val="231F20"/>
          <w:w w:val="105"/>
        </w:rPr>
        <w:t>el</w:t>
      </w:r>
      <w:r>
        <w:rPr>
          <w:color w:val="231F20"/>
          <w:spacing w:val="-12"/>
          <w:w w:val="105"/>
        </w:rPr>
        <w:t> </w:t>
      </w:r>
      <w:r>
        <w:rPr>
          <w:color w:val="231F20"/>
          <w:w w:val="105"/>
        </w:rPr>
        <w:t>intercambios</w:t>
      </w:r>
      <w:r>
        <w:rPr>
          <w:color w:val="231F20"/>
          <w:spacing w:val="-12"/>
          <w:w w:val="105"/>
        </w:rPr>
        <w:t> </w:t>
      </w:r>
      <w:r>
        <w:rPr>
          <w:color w:val="231F20"/>
          <w:w w:val="105"/>
        </w:rPr>
        <w:t>de</w:t>
      </w:r>
      <w:r>
        <w:rPr>
          <w:color w:val="231F20"/>
          <w:spacing w:val="-12"/>
          <w:w w:val="105"/>
        </w:rPr>
        <w:t> </w:t>
      </w:r>
      <w:r>
        <w:rPr>
          <w:color w:val="231F20"/>
          <w:w w:val="105"/>
        </w:rPr>
        <w:t>mercancías.</w:t>
      </w:r>
    </w:p>
    <w:p>
      <w:pPr>
        <w:pStyle w:val="BodyText"/>
        <w:spacing w:line="261" w:lineRule="auto" w:before="1"/>
        <w:ind w:left="1837" w:right="1721" w:firstLine="567"/>
        <w:jc w:val="both"/>
      </w:pPr>
      <w:r>
        <w:rPr>
          <w:color w:val="231F20"/>
          <w:w w:val="105"/>
        </w:rPr>
        <w:t>Hasta</w:t>
      </w:r>
      <w:r>
        <w:rPr>
          <w:color w:val="231F20"/>
          <w:spacing w:val="-10"/>
          <w:w w:val="105"/>
        </w:rPr>
        <w:t> </w:t>
      </w:r>
      <w:r>
        <w:rPr>
          <w:color w:val="231F20"/>
          <w:w w:val="105"/>
        </w:rPr>
        <w:t>la</w:t>
      </w:r>
      <w:r>
        <w:rPr>
          <w:color w:val="231F20"/>
          <w:spacing w:val="-10"/>
          <w:w w:val="105"/>
        </w:rPr>
        <w:t> </w:t>
      </w:r>
      <w:r>
        <w:rPr>
          <w:color w:val="231F20"/>
          <w:w w:val="105"/>
        </w:rPr>
        <w:t>década</w:t>
      </w:r>
      <w:r>
        <w:rPr>
          <w:color w:val="231F20"/>
          <w:spacing w:val="-10"/>
          <w:w w:val="105"/>
        </w:rPr>
        <w:t> </w:t>
      </w:r>
      <w:r>
        <w:rPr>
          <w:color w:val="231F20"/>
          <w:w w:val="105"/>
        </w:rPr>
        <w:t>de</w:t>
      </w:r>
      <w:r>
        <w:rPr>
          <w:color w:val="231F20"/>
          <w:spacing w:val="-10"/>
          <w:w w:val="105"/>
        </w:rPr>
        <w:t> </w:t>
      </w:r>
      <w:r>
        <w:rPr>
          <w:color w:val="231F20"/>
          <w:w w:val="105"/>
        </w:rPr>
        <w:t>1940,</w:t>
      </w:r>
      <w:r>
        <w:rPr>
          <w:color w:val="231F20"/>
          <w:spacing w:val="-16"/>
          <w:w w:val="105"/>
        </w:rPr>
        <w:t> </w:t>
      </w:r>
      <w:r>
        <w:rPr>
          <w:color w:val="231F20"/>
          <w:w w:val="105"/>
        </w:rPr>
        <w:t>el</w:t>
      </w:r>
      <w:r>
        <w:rPr>
          <w:color w:val="231F20"/>
          <w:spacing w:val="-10"/>
          <w:w w:val="105"/>
        </w:rPr>
        <w:t> </w:t>
      </w:r>
      <w:r>
        <w:rPr>
          <w:color w:val="231F20"/>
          <w:w w:val="105"/>
        </w:rPr>
        <w:t>proceso</w:t>
      </w:r>
      <w:r>
        <w:rPr>
          <w:color w:val="231F20"/>
          <w:spacing w:val="-10"/>
          <w:w w:val="105"/>
        </w:rPr>
        <w:t> </w:t>
      </w:r>
      <w:r>
        <w:rPr>
          <w:color w:val="231F20"/>
          <w:w w:val="105"/>
        </w:rPr>
        <w:t>migratorio</w:t>
      </w:r>
      <w:r>
        <w:rPr>
          <w:color w:val="231F20"/>
          <w:spacing w:val="-10"/>
          <w:w w:val="105"/>
        </w:rPr>
        <w:t> </w:t>
      </w:r>
      <w:r>
        <w:rPr>
          <w:color w:val="231F20"/>
          <w:w w:val="105"/>
        </w:rPr>
        <w:t>se</w:t>
      </w:r>
      <w:r>
        <w:rPr>
          <w:color w:val="231F20"/>
          <w:spacing w:val="-10"/>
          <w:w w:val="105"/>
        </w:rPr>
        <w:t> </w:t>
      </w:r>
      <w:r>
        <w:rPr>
          <w:color w:val="231F20"/>
          <w:w w:val="105"/>
        </w:rPr>
        <w:t>fue</w:t>
      </w:r>
      <w:r>
        <w:rPr>
          <w:color w:val="231F20"/>
          <w:spacing w:val="-10"/>
          <w:w w:val="105"/>
        </w:rPr>
        <w:t> </w:t>
      </w:r>
      <w:r>
        <w:rPr>
          <w:color w:val="231F20"/>
          <w:w w:val="105"/>
        </w:rPr>
        <w:t>conforman- do por factores específicos tales como; altibajos económicos y conmo- ciones</w:t>
      </w:r>
      <w:r>
        <w:rPr>
          <w:color w:val="231F20"/>
          <w:spacing w:val="-30"/>
          <w:w w:val="105"/>
        </w:rPr>
        <w:t> </w:t>
      </w:r>
      <w:r>
        <w:rPr>
          <w:color w:val="231F20"/>
          <w:w w:val="105"/>
        </w:rPr>
        <w:t>políticas</w:t>
      </w:r>
      <w:r>
        <w:rPr>
          <w:color w:val="231F20"/>
          <w:spacing w:val="-30"/>
          <w:w w:val="105"/>
        </w:rPr>
        <w:t> </w:t>
      </w:r>
      <w:r>
        <w:rPr>
          <w:color w:val="231F20"/>
          <w:w w:val="105"/>
        </w:rPr>
        <w:t>(la</w:t>
      </w:r>
      <w:r>
        <w:rPr>
          <w:color w:val="231F20"/>
          <w:spacing w:val="-30"/>
          <w:w w:val="105"/>
        </w:rPr>
        <w:t> </w:t>
      </w:r>
      <w:r>
        <w:rPr>
          <w:color w:val="231F20"/>
          <w:w w:val="105"/>
        </w:rPr>
        <w:t>crisis</w:t>
      </w:r>
      <w:r>
        <w:rPr>
          <w:color w:val="231F20"/>
          <w:spacing w:val="-30"/>
          <w:w w:val="105"/>
        </w:rPr>
        <w:t> </w:t>
      </w:r>
      <w:r>
        <w:rPr>
          <w:color w:val="231F20"/>
          <w:w w:val="105"/>
        </w:rPr>
        <w:t>económica</w:t>
      </w:r>
      <w:r>
        <w:rPr>
          <w:color w:val="231F20"/>
          <w:spacing w:val="-30"/>
          <w:w w:val="105"/>
        </w:rPr>
        <w:t> </w:t>
      </w:r>
      <w:r>
        <w:rPr>
          <w:color w:val="231F20"/>
          <w:w w:val="105"/>
        </w:rPr>
        <w:t>mundial</w:t>
      </w:r>
      <w:r>
        <w:rPr>
          <w:color w:val="231F20"/>
          <w:spacing w:val="-30"/>
          <w:w w:val="105"/>
        </w:rPr>
        <w:t> </w:t>
      </w:r>
      <w:r>
        <w:rPr>
          <w:color w:val="231F20"/>
          <w:w w:val="105"/>
        </w:rPr>
        <w:t>de</w:t>
      </w:r>
      <w:r>
        <w:rPr>
          <w:color w:val="231F20"/>
          <w:spacing w:val="-30"/>
          <w:w w:val="105"/>
        </w:rPr>
        <w:t> </w:t>
      </w:r>
      <w:r>
        <w:rPr>
          <w:color w:val="231F20"/>
          <w:w w:val="105"/>
        </w:rPr>
        <w:t>1929,</w:t>
      </w:r>
      <w:r>
        <w:rPr>
          <w:color w:val="231F20"/>
          <w:spacing w:val="-34"/>
          <w:w w:val="105"/>
        </w:rPr>
        <w:t> </w:t>
      </w:r>
      <w:r>
        <w:rPr>
          <w:color w:val="231F20"/>
          <w:w w:val="105"/>
        </w:rPr>
        <w:t>la</w:t>
      </w:r>
      <w:r>
        <w:rPr>
          <w:color w:val="231F20"/>
          <w:spacing w:val="-30"/>
          <w:w w:val="105"/>
        </w:rPr>
        <w:t> </w:t>
      </w:r>
      <w:r>
        <w:rPr>
          <w:color w:val="231F20"/>
          <w:w w:val="105"/>
        </w:rPr>
        <w:t>Primera</w:t>
      </w:r>
      <w:r>
        <w:rPr>
          <w:color w:val="231F20"/>
          <w:spacing w:val="-30"/>
          <w:w w:val="105"/>
        </w:rPr>
        <w:t> </w:t>
      </w:r>
      <w:r>
        <w:rPr>
          <w:color w:val="231F20"/>
          <w:w w:val="105"/>
        </w:rPr>
        <w:t>y</w:t>
      </w:r>
      <w:r>
        <w:rPr>
          <w:color w:val="231F20"/>
          <w:spacing w:val="-30"/>
          <w:w w:val="105"/>
        </w:rPr>
        <w:t> </w:t>
      </w:r>
      <w:r>
        <w:rPr>
          <w:color w:val="231F20"/>
          <w:w w:val="105"/>
        </w:rPr>
        <w:t>Segun- da</w:t>
      </w:r>
      <w:r>
        <w:rPr>
          <w:color w:val="231F20"/>
          <w:spacing w:val="-31"/>
          <w:w w:val="105"/>
        </w:rPr>
        <w:t> </w:t>
      </w:r>
      <w:r>
        <w:rPr>
          <w:color w:val="231F20"/>
          <w:w w:val="105"/>
        </w:rPr>
        <w:t>Guerras</w:t>
      </w:r>
      <w:r>
        <w:rPr>
          <w:color w:val="231F20"/>
          <w:spacing w:val="-31"/>
          <w:w w:val="105"/>
        </w:rPr>
        <w:t> </w:t>
      </w:r>
      <w:r>
        <w:rPr>
          <w:color w:val="231F20"/>
          <w:w w:val="105"/>
        </w:rPr>
        <w:t>Mundiales</w:t>
      </w:r>
      <w:r>
        <w:rPr>
          <w:color w:val="231F20"/>
          <w:spacing w:val="-31"/>
          <w:w w:val="105"/>
        </w:rPr>
        <w:t> </w:t>
      </w:r>
      <w:r>
        <w:rPr>
          <w:color w:val="231F20"/>
          <w:w w:val="105"/>
        </w:rPr>
        <w:t>y</w:t>
      </w:r>
      <w:r>
        <w:rPr>
          <w:color w:val="231F20"/>
          <w:spacing w:val="-31"/>
          <w:w w:val="105"/>
        </w:rPr>
        <w:t> </w:t>
      </w:r>
      <w:r>
        <w:rPr>
          <w:color w:val="231F20"/>
          <w:w w:val="105"/>
        </w:rPr>
        <w:t>para</w:t>
      </w:r>
      <w:r>
        <w:rPr>
          <w:color w:val="231F20"/>
          <w:spacing w:val="-31"/>
          <w:w w:val="105"/>
        </w:rPr>
        <w:t> </w:t>
      </w:r>
      <w:r>
        <w:rPr>
          <w:color w:val="231F20"/>
          <w:w w:val="105"/>
        </w:rPr>
        <w:t>nuestro</w:t>
      </w:r>
      <w:r>
        <w:rPr>
          <w:color w:val="231F20"/>
          <w:spacing w:val="-31"/>
          <w:w w:val="105"/>
        </w:rPr>
        <w:t> </w:t>
      </w:r>
      <w:r>
        <w:rPr>
          <w:color w:val="231F20"/>
          <w:w w:val="105"/>
        </w:rPr>
        <w:t>país</w:t>
      </w:r>
      <w:r>
        <w:rPr>
          <w:color w:val="231F20"/>
          <w:spacing w:val="-31"/>
          <w:w w:val="105"/>
        </w:rPr>
        <w:t> </w:t>
      </w:r>
      <w:r>
        <w:rPr>
          <w:color w:val="231F20"/>
          <w:w w:val="105"/>
        </w:rPr>
        <w:t>La</w:t>
      </w:r>
      <w:r>
        <w:rPr>
          <w:color w:val="231F20"/>
          <w:spacing w:val="-31"/>
          <w:w w:val="105"/>
        </w:rPr>
        <w:t> </w:t>
      </w:r>
      <w:r>
        <w:rPr>
          <w:color w:val="231F20"/>
          <w:w w:val="105"/>
        </w:rPr>
        <w:t>Revolución</w:t>
      </w:r>
      <w:r>
        <w:rPr>
          <w:color w:val="231F20"/>
          <w:spacing w:val="-31"/>
          <w:w w:val="105"/>
        </w:rPr>
        <w:t> </w:t>
      </w:r>
      <w:r>
        <w:rPr>
          <w:color w:val="231F20"/>
          <w:w w:val="105"/>
        </w:rPr>
        <w:t>Mexicana).</w:t>
      </w:r>
    </w:p>
    <w:p>
      <w:pPr>
        <w:pStyle w:val="BodyText"/>
        <w:spacing w:line="261" w:lineRule="auto" w:before="1"/>
        <w:ind w:left="1837" w:right="1721" w:firstLine="567"/>
        <w:jc w:val="both"/>
      </w:pPr>
      <w:r>
        <w:rPr>
          <w:color w:val="231F20"/>
          <w:spacing w:val="-4"/>
          <w:w w:val="105"/>
        </w:rPr>
        <w:t>Para</w:t>
      </w:r>
      <w:r>
        <w:rPr>
          <w:color w:val="231F20"/>
          <w:spacing w:val="-7"/>
          <w:w w:val="105"/>
        </w:rPr>
        <w:t> </w:t>
      </w:r>
      <w:r>
        <w:rPr>
          <w:color w:val="231F20"/>
          <w:w w:val="105"/>
        </w:rPr>
        <w:t>la</w:t>
      </w:r>
      <w:r>
        <w:rPr>
          <w:color w:val="231F20"/>
          <w:spacing w:val="-7"/>
          <w:w w:val="105"/>
        </w:rPr>
        <w:t> </w:t>
      </w:r>
      <w:r>
        <w:rPr>
          <w:color w:val="231F20"/>
          <w:w w:val="105"/>
        </w:rPr>
        <w:t>década</w:t>
      </w:r>
      <w:r>
        <w:rPr>
          <w:color w:val="231F20"/>
          <w:spacing w:val="-7"/>
          <w:w w:val="105"/>
        </w:rPr>
        <w:t> </w:t>
      </w:r>
      <w:r>
        <w:rPr>
          <w:color w:val="231F20"/>
          <w:w w:val="105"/>
        </w:rPr>
        <w:t>de</w:t>
      </w:r>
      <w:r>
        <w:rPr>
          <w:color w:val="231F20"/>
          <w:spacing w:val="-7"/>
          <w:w w:val="105"/>
        </w:rPr>
        <w:t> </w:t>
      </w:r>
      <w:r>
        <w:rPr>
          <w:color w:val="231F20"/>
          <w:w w:val="105"/>
        </w:rPr>
        <w:t>1940</w:t>
      </w:r>
      <w:r>
        <w:rPr>
          <w:color w:val="231F20"/>
          <w:spacing w:val="-7"/>
          <w:w w:val="105"/>
        </w:rPr>
        <w:t> </w:t>
      </w:r>
      <w:r>
        <w:rPr>
          <w:color w:val="231F20"/>
          <w:w w:val="105"/>
        </w:rPr>
        <w:t>hasta</w:t>
      </w:r>
      <w:r>
        <w:rPr>
          <w:color w:val="231F20"/>
          <w:spacing w:val="-7"/>
          <w:w w:val="105"/>
        </w:rPr>
        <w:t> </w:t>
      </w:r>
      <w:r>
        <w:rPr>
          <w:color w:val="231F20"/>
          <w:w w:val="105"/>
        </w:rPr>
        <w:t>1960</w:t>
      </w:r>
      <w:r>
        <w:rPr>
          <w:color w:val="231F20"/>
          <w:spacing w:val="-7"/>
          <w:w w:val="105"/>
        </w:rPr>
        <w:t> </w:t>
      </w:r>
      <w:r>
        <w:rPr>
          <w:color w:val="231F20"/>
          <w:w w:val="105"/>
        </w:rPr>
        <w:t>inicia</w:t>
      </w:r>
      <w:r>
        <w:rPr>
          <w:color w:val="231F20"/>
          <w:spacing w:val="-7"/>
          <w:w w:val="105"/>
        </w:rPr>
        <w:t> </w:t>
      </w:r>
      <w:r>
        <w:rPr>
          <w:color w:val="231F20"/>
          <w:w w:val="105"/>
        </w:rPr>
        <w:t>un</w:t>
      </w:r>
      <w:r>
        <w:rPr>
          <w:color w:val="231F20"/>
          <w:spacing w:val="-7"/>
          <w:w w:val="105"/>
        </w:rPr>
        <w:t> </w:t>
      </w:r>
      <w:r>
        <w:rPr>
          <w:color w:val="231F20"/>
          <w:w w:val="105"/>
        </w:rPr>
        <w:t>periodo</w:t>
      </w:r>
      <w:r>
        <w:rPr>
          <w:color w:val="231F20"/>
          <w:spacing w:val="-7"/>
          <w:w w:val="105"/>
        </w:rPr>
        <w:t> </w:t>
      </w:r>
      <w:r>
        <w:rPr>
          <w:color w:val="231F20"/>
          <w:w w:val="105"/>
        </w:rPr>
        <w:t>marcado</w:t>
      </w:r>
      <w:r>
        <w:rPr>
          <w:color w:val="231F20"/>
          <w:spacing w:val="-7"/>
          <w:w w:val="105"/>
        </w:rPr>
        <w:t> </w:t>
      </w:r>
      <w:r>
        <w:rPr>
          <w:color w:val="231F20"/>
          <w:w w:val="105"/>
        </w:rPr>
        <w:t>por la</w:t>
      </w:r>
      <w:r>
        <w:rPr>
          <w:color w:val="231F20"/>
          <w:spacing w:val="-18"/>
          <w:w w:val="105"/>
        </w:rPr>
        <w:t> </w:t>
      </w:r>
      <w:r>
        <w:rPr>
          <w:color w:val="231F20"/>
          <w:w w:val="105"/>
        </w:rPr>
        <w:t>puesta</w:t>
      </w:r>
      <w:r>
        <w:rPr>
          <w:color w:val="231F20"/>
          <w:spacing w:val="-18"/>
          <w:w w:val="105"/>
        </w:rPr>
        <w:t> </w:t>
      </w:r>
      <w:r>
        <w:rPr>
          <w:color w:val="231F20"/>
          <w:w w:val="105"/>
        </w:rPr>
        <w:t>en</w:t>
      </w:r>
      <w:r>
        <w:rPr>
          <w:color w:val="231F20"/>
          <w:spacing w:val="-18"/>
          <w:w w:val="105"/>
        </w:rPr>
        <w:t> </w:t>
      </w:r>
      <w:r>
        <w:rPr>
          <w:color w:val="231F20"/>
          <w:w w:val="105"/>
        </w:rPr>
        <w:t>marcha</w:t>
      </w:r>
      <w:r>
        <w:rPr>
          <w:color w:val="231F20"/>
          <w:spacing w:val="-18"/>
          <w:w w:val="105"/>
        </w:rPr>
        <w:t> </w:t>
      </w:r>
      <w:r>
        <w:rPr>
          <w:color w:val="231F20"/>
          <w:w w:val="105"/>
        </w:rPr>
        <w:t>del</w:t>
      </w:r>
      <w:r>
        <w:rPr>
          <w:color w:val="231F20"/>
          <w:spacing w:val="-18"/>
          <w:w w:val="105"/>
        </w:rPr>
        <w:t> </w:t>
      </w:r>
      <w:r>
        <w:rPr>
          <w:rFonts w:ascii="Arial" w:hAnsi="Arial"/>
          <w:i/>
          <w:color w:val="231F20"/>
          <w:spacing w:val="-3"/>
          <w:w w:val="105"/>
        </w:rPr>
        <w:t>Programa</w:t>
      </w:r>
      <w:r>
        <w:rPr>
          <w:rFonts w:ascii="Arial" w:hAnsi="Arial"/>
          <w:i/>
          <w:color w:val="231F20"/>
          <w:spacing w:val="-20"/>
          <w:w w:val="105"/>
        </w:rPr>
        <w:t> </w:t>
      </w:r>
      <w:r>
        <w:rPr>
          <w:rFonts w:ascii="Arial" w:hAnsi="Arial"/>
          <w:i/>
          <w:color w:val="231F20"/>
          <w:w w:val="105"/>
        </w:rPr>
        <w:t>Bracero</w:t>
      </w:r>
      <w:r>
        <w:rPr>
          <w:color w:val="231F20"/>
          <w:w w:val="105"/>
        </w:rPr>
        <w:t>.</w:t>
      </w:r>
      <w:r>
        <w:rPr>
          <w:color w:val="231F20"/>
          <w:spacing w:val="-22"/>
          <w:w w:val="105"/>
        </w:rPr>
        <w:t> </w:t>
      </w:r>
      <w:r>
        <w:rPr>
          <w:color w:val="231F20"/>
          <w:w w:val="105"/>
        </w:rPr>
        <w:t>Esta</w:t>
      </w:r>
      <w:r>
        <w:rPr>
          <w:color w:val="231F20"/>
          <w:spacing w:val="-18"/>
          <w:w w:val="105"/>
        </w:rPr>
        <w:t> </w:t>
      </w:r>
      <w:r>
        <w:rPr>
          <w:color w:val="231F20"/>
          <w:w w:val="105"/>
        </w:rPr>
        <w:t>fase</w:t>
      </w:r>
      <w:r>
        <w:rPr>
          <w:color w:val="231F20"/>
          <w:spacing w:val="-18"/>
          <w:w w:val="105"/>
        </w:rPr>
        <w:t> </w:t>
      </w:r>
      <w:r>
        <w:rPr>
          <w:color w:val="231F20"/>
          <w:w w:val="105"/>
        </w:rPr>
        <w:t>la</w:t>
      </w:r>
      <w:r>
        <w:rPr>
          <w:color w:val="231F20"/>
          <w:spacing w:val="-18"/>
          <w:w w:val="105"/>
        </w:rPr>
        <w:t> </w:t>
      </w:r>
      <w:r>
        <w:rPr>
          <w:color w:val="231F20"/>
          <w:w w:val="105"/>
        </w:rPr>
        <w:t>migración</w:t>
      </w:r>
      <w:r>
        <w:rPr>
          <w:color w:val="231F20"/>
          <w:spacing w:val="-18"/>
          <w:w w:val="105"/>
        </w:rPr>
        <w:t> </w:t>
      </w:r>
      <w:r>
        <w:rPr>
          <w:color w:val="231F20"/>
          <w:w w:val="105"/>
        </w:rPr>
        <w:t>se</w:t>
      </w:r>
      <w:r>
        <w:rPr>
          <w:color w:val="231F20"/>
          <w:spacing w:val="-18"/>
          <w:w w:val="105"/>
        </w:rPr>
        <w:t> </w:t>
      </w:r>
      <w:r>
        <w:rPr>
          <w:color w:val="231F20"/>
          <w:w w:val="105"/>
        </w:rPr>
        <w:t>ca- racteriza por el flujo predominantemente circular, compuesto por hom- bres adultos y jóvenes de origen rural que entraban en la Unión Ameri- cana</w:t>
      </w:r>
      <w:r>
        <w:rPr>
          <w:color w:val="231F20"/>
          <w:spacing w:val="-25"/>
          <w:w w:val="105"/>
        </w:rPr>
        <w:t> </w:t>
      </w:r>
      <w:r>
        <w:rPr>
          <w:color w:val="231F20"/>
          <w:w w:val="105"/>
        </w:rPr>
        <w:t>para</w:t>
      </w:r>
      <w:r>
        <w:rPr>
          <w:color w:val="231F20"/>
          <w:spacing w:val="-25"/>
          <w:w w:val="105"/>
        </w:rPr>
        <w:t> </w:t>
      </w:r>
      <w:r>
        <w:rPr>
          <w:color w:val="231F20"/>
          <w:w w:val="105"/>
        </w:rPr>
        <w:t>trabajar</w:t>
      </w:r>
      <w:r>
        <w:rPr>
          <w:color w:val="231F20"/>
          <w:spacing w:val="-25"/>
          <w:w w:val="105"/>
        </w:rPr>
        <w:t> </w:t>
      </w:r>
      <w:r>
        <w:rPr>
          <w:color w:val="231F20"/>
          <w:w w:val="105"/>
        </w:rPr>
        <w:t>temporalmente</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agricultura,</w:t>
      </w:r>
      <w:r>
        <w:rPr>
          <w:color w:val="231F20"/>
          <w:spacing w:val="-29"/>
          <w:w w:val="105"/>
        </w:rPr>
        <w:t> </w:t>
      </w:r>
      <w:r>
        <w:rPr>
          <w:color w:val="231F20"/>
          <w:w w:val="105"/>
        </w:rPr>
        <w:t>para</w:t>
      </w:r>
      <w:r>
        <w:rPr>
          <w:color w:val="231F20"/>
          <w:spacing w:val="-25"/>
          <w:w w:val="105"/>
        </w:rPr>
        <w:t> </w:t>
      </w:r>
      <w:r>
        <w:rPr>
          <w:color w:val="231F20"/>
          <w:w w:val="105"/>
        </w:rPr>
        <w:t>más</w:t>
      </w:r>
      <w:r>
        <w:rPr>
          <w:color w:val="231F20"/>
          <w:spacing w:val="-25"/>
          <w:w w:val="105"/>
        </w:rPr>
        <w:t> </w:t>
      </w:r>
      <w:r>
        <w:rPr>
          <w:color w:val="231F20"/>
          <w:w w:val="105"/>
        </w:rPr>
        <w:t>tarde,</w:t>
      </w:r>
      <w:r>
        <w:rPr>
          <w:color w:val="231F20"/>
          <w:spacing w:val="-29"/>
          <w:w w:val="105"/>
        </w:rPr>
        <w:t> </w:t>
      </w:r>
      <w:r>
        <w:rPr>
          <w:color w:val="231F20"/>
          <w:w w:val="105"/>
        </w:rPr>
        <w:t>entre seis</w:t>
      </w:r>
      <w:r>
        <w:rPr>
          <w:color w:val="231F20"/>
          <w:spacing w:val="-26"/>
          <w:w w:val="105"/>
        </w:rPr>
        <w:t> </w:t>
      </w:r>
      <w:r>
        <w:rPr>
          <w:color w:val="231F20"/>
          <w:w w:val="105"/>
        </w:rPr>
        <w:t>y</w:t>
      </w:r>
      <w:r>
        <w:rPr>
          <w:color w:val="231F20"/>
          <w:spacing w:val="-26"/>
          <w:w w:val="105"/>
        </w:rPr>
        <w:t> </w:t>
      </w:r>
      <w:r>
        <w:rPr>
          <w:color w:val="231F20"/>
          <w:w w:val="105"/>
        </w:rPr>
        <w:t>ocho</w:t>
      </w:r>
      <w:r>
        <w:rPr>
          <w:color w:val="231F20"/>
          <w:spacing w:val="-26"/>
          <w:w w:val="105"/>
        </w:rPr>
        <w:t> </w:t>
      </w:r>
      <w:r>
        <w:rPr>
          <w:color w:val="231F20"/>
          <w:w w:val="105"/>
        </w:rPr>
        <w:t>meses,</w:t>
      </w:r>
      <w:r>
        <w:rPr>
          <w:color w:val="231F20"/>
          <w:spacing w:val="-30"/>
          <w:w w:val="105"/>
        </w:rPr>
        <w:t> </w:t>
      </w:r>
      <w:r>
        <w:rPr>
          <w:color w:val="231F20"/>
          <w:w w:val="105"/>
        </w:rPr>
        <w:t>regresar</w:t>
      </w:r>
      <w:r>
        <w:rPr>
          <w:color w:val="231F20"/>
          <w:spacing w:val="-26"/>
          <w:w w:val="105"/>
        </w:rPr>
        <w:t> </w:t>
      </w:r>
      <w:r>
        <w:rPr>
          <w:color w:val="231F20"/>
          <w:w w:val="105"/>
        </w:rPr>
        <w:t>a</w:t>
      </w:r>
      <w:r>
        <w:rPr>
          <w:color w:val="231F20"/>
          <w:spacing w:val="-26"/>
          <w:w w:val="105"/>
        </w:rPr>
        <w:t> </w:t>
      </w:r>
      <w:r>
        <w:rPr>
          <w:color w:val="231F20"/>
          <w:w w:val="105"/>
        </w:rPr>
        <w:t>sus</w:t>
      </w:r>
      <w:r>
        <w:rPr>
          <w:color w:val="231F20"/>
          <w:spacing w:val="-26"/>
          <w:w w:val="105"/>
        </w:rPr>
        <w:t> </w:t>
      </w:r>
      <w:r>
        <w:rPr>
          <w:color w:val="231F20"/>
          <w:w w:val="105"/>
        </w:rPr>
        <w:t>lugares</w:t>
      </w:r>
      <w:r>
        <w:rPr>
          <w:color w:val="231F20"/>
          <w:spacing w:val="-26"/>
          <w:w w:val="105"/>
        </w:rPr>
        <w:t> </w:t>
      </w:r>
      <w:r>
        <w:rPr>
          <w:color w:val="231F20"/>
          <w:w w:val="105"/>
        </w:rPr>
        <w:t>de</w:t>
      </w:r>
      <w:r>
        <w:rPr>
          <w:color w:val="231F20"/>
          <w:spacing w:val="-26"/>
          <w:w w:val="105"/>
        </w:rPr>
        <w:t> </w:t>
      </w:r>
      <w:r>
        <w:rPr>
          <w:color w:val="231F20"/>
          <w:w w:val="105"/>
        </w:rPr>
        <w:t>origen</w:t>
      </w:r>
      <w:r>
        <w:rPr>
          <w:color w:val="231F20"/>
          <w:spacing w:val="-26"/>
          <w:w w:val="105"/>
        </w:rPr>
        <w:t> </w:t>
      </w:r>
      <w:r>
        <w:rPr>
          <w:color w:val="231F20"/>
          <w:spacing w:val="-3"/>
          <w:w w:val="105"/>
        </w:rPr>
        <w:t>(Tuirán,</w:t>
      </w:r>
      <w:r>
        <w:rPr>
          <w:color w:val="231F20"/>
          <w:spacing w:val="-30"/>
          <w:w w:val="105"/>
        </w:rPr>
        <w:t> </w:t>
      </w:r>
      <w:r>
        <w:rPr>
          <w:color w:val="231F20"/>
          <w:w w:val="105"/>
        </w:rPr>
        <w:t>2000).</w:t>
      </w:r>
    </w:p>
    <w:p>
      <w:pPr>
        <w:pStyle w:val="BodyText"/>
        <w:spacing w:line="261" w:lineRule="auto" w:before="1"/>
        <w:ind w:left="1837" w:right="1722" w:firstLine="567"/>
        <w:jc w:val="both"/>
      </w:pPr>
      <w:r>
        <w:rPr>
          <w:color w:val="231F20"/>
          <w:w w:val="105"/>
        </w:rPr>
        <w:t>El</w:t>
      </w:r>
      <w:r>
        <w:rPr>
          <w:color w:val="231F20"/>
          <w:spacing w:val="-15"/>
          <w:w w:val="105"/>
        </w:rPr>
        <w:t> </w:t>
      </w:r>
      <w:r>
        <w:rPr>
          <w:color w:val="231F20"/>
          <w:spacing w:val="-3"/>
          <w:w w:val="105"/>
        </w:rPr>
        <w:t>Programa</w:t>
      </w:r>
      <w:r>
        <w:rPr>
          <w:color w:val="231F20"/>
          <w:spacing w:val="-15"/>
          <w:w w:val="105"/>
        </w:rPr>
        <w:t> </w:t>
      </w:r>
      <w:r>
        <w:rPr>
          <w:color w:val="231F20"/>
          <w:w w:val="105"/>
        </w:rPr>
        <w:t>Bracero</w:t>
      </w:r>
      <w:r>
        <w:rPr>
          <w:color w:val="231F20"/>
          <w:spacing w:val="-15"/>
          <w:w w:val="105"/>
        </w:rPr>
        <w:t> </w:t>
      </w:r>
      <w:r>
        <w:rPr>
          <w:color w:val="231F20"/>
          <w:w w:val="105"/>
        </w:rPr>
        <w:t>en</w:t>
      </w:r>
      <w:r>
        <w:rPr>
          <w:color w:val="231F20"/>
          <w:spacing w:val="-15"/>
          <w:w w:val="105"/>
        </w:rPr>
        <w:t> </w:t>
      </w:r>
      <w:r>
        <w:rPr>
          <w:color w:val="231F20"/>
          <w:w w:val="105"/>
        </w:rPr>
        <w:t>México</w:t>
      </w:r>
      <w:r>
        <w:rPr>
          <w:color w:val="231F20"/>
          <w:spacing w:val="-15"/>
          <w:w w:val="105"/>
        </w:rPr>
        <w:t> </w:t>
      </w:r>
      <w:r>
        <w:rPr>
          <w:color w:val="231F20"/>
          <w:w w:val="105"/>
        </w:rPr>
        <w:t>despertó</w:t>
      </w:r>
      <w:r>
        <w:rPr>
          <w:color w:val="231F20"/>
          <w:spacing w:val="-15"/>
          <w:w w:val="105"/>
        </w:rPr>
        <w:t> </w:t>
      </w:r>
      <w:r>
        <w:rPr>
          <w:color w:val="231F20"/>
          <w:w w:val="105"/>
        </w:rPr>
        <w:t>grandes</w:t>
      </w:r>
      <w:r>
        <w:rPr>
          <w:color w:val="231F20"/>
          <w:spacing w:val="-15"/>
          <w:w w:val="105"/>
        </w:rPr>
        <w:t> </w:t>
      </w:r>
      <w:r>
        <w:rPr>
          <w:color w:val="231F20"/>
          <w:w w:val="105"/>
        </w:rPr>
        <w:t>expectativas</w:t>
      </w:r>
      <w:r>
        <w:rPr>
          <w:color w:val="231F20"/>
          <w:spacing w:val="-15"/>
          <w:w w:val="105"/>
        </w:rPr>
        <w:t> </w:t>
      </w:r>
      <w:r>
        <w:rPr>
          <w:color w:val="231F20"/>
          <w:w w:val="105"/>
        </w:rPr>
        <w:t>en la</w:t>
      </w:r>
      <w:r>
        <w:rPr>
          <w:color w:val="231F20"/>
          <w:spacing w:val="-7"/>
          <w:w w:val="105"/>
        </w:rPr>
        <w:t> </w:t>
      </w:r>
      <w:r>
        <w:rPr>
          <w:color w:val="231F20"/>
          <w:w w:val="105"/>
        </w:rPr>
        <w:t>población,</w:t>
      </w:r>
      <w:r>
        <w:rPr>
          <w:color w:val="231F20"/>
          <w:spacing w:val="-13"/>
          <w:w w:val="105"/>
        </w:rPr>
        <w:t> </w:t>
      </w:r>
      <w:r>
        <w:rPr>
          <w:color w:val="231F20"/>
          <w:spacing w:val="-3"/>
          <w:w w:val="105"/>
        </w:rPr>
        <w:t>“eran</w:t>
      </w:r>
      <w:r>
        <w:rPr>
          <w:color w:val="231F20"/>
          <w:spacing w:val="-7"/>
          <w:w w:val="105"/>
        </w:rPr>
        <w:t> </w:t>
      </w:r>
      <w:r>
        <w:rPr>
          <w:color w:val="231F20"/>
          <w:w w:val="105"/>
        </w:rPr>
        <w:t>tantos</w:t>
      </w:r>
      <w:r>
        <w:rPr>
          <w:color w:val="231F20"/>
          <w:spacing w:val="-7"/>
          <w:w w:val="105"/>
        </w:rPr>
        <w:t> </w:t>
      </w:r>
      <w:r>
        <w:rPr>
          <w:color w:val="231F20"/>
          <w:w w:val="105"/>
        </w:rPr>
        <w:t>los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inscribían</w:t>
      </w:r>
      <w:r>
        <w:rPr>
          <w:color w:val="231F20"/>
          <w:spacing w:val="-7"/>
          <w:w w:val="105"/>
        </w:rPr>
        <w:t> </w:t>
      </w:r>
      <w:r>
        <w:rPr>
          <w:color w:val="231F20"/>
          <w:w w:val="105"/>
        </w:rPr>
        <w:t>y</w:t>
      </w:r>
      <w:r>
        <w:rPr>
          <w:color w:val="231F20"/>
          <w:spacing w:val="-7"/>
          <w:w w:val="105"/>
        </w:rPr>
        <w:t> </w:t>
      </w:r>
      <w:r>
        <w:rPr>
          <w:color w:val="231F20"/>
          <w:w w:val="105"/>
        </w:rPr>
        <w:t>tan</w:t>
      </w:r>
      <w:r>
        <w:rPr>
          <w:color w:val="231F20"/>
          <w:spacing w:val="-7"/>
          <w:w w:val="105"/>
        </w:rPr>
        <w:t> </w:t>
      </w:r>
      <w:r>
        <w:rPr>
          <w:color w:val="231F20"/>
          <w:w w:val="105"/>
        </w:rPr>
        <w:t>pocos</w:t>
      </w:r>
      <w:r>
        <w:rPr>
          <w:color w:val="231F20"/>
          <w:spacing w:val="-7"/>
          <w:w w:val="105"/>
        </w:rPr>
        <w:t> </w:t>
      </w:r>
      <w:r>
        <w:rPr>
          <w:color w:val="231F20"/>
          <w:w w:val="105"/>
        </w:rPr>
        <w:t>los</w:t>
      </w:r>
      <w:r>
        <w:rPr>
          <w:color w:val="231F20"/>
          <w:spacing w:val="-7"/>
          <w:w w:val="105"/>
        </w:rPr>
        <w:t> </w:t>
      </w:r>
      <w:r>
        <w:rPr>
          <w:color w:val="231F20"/>
          <w:w w:val="105"/>
        </w:rPr>
        <w:t>elegidos” (Durand,</w:t>
      </w:r>
      <w:r>
        <w:rPr>
          <w:color w:val="231F20"/>
          <w:spacing w:val="-15"/>
          <w:w w:val="105"/>
        </w:rPr>
        <w:t> </w:t>
      </w:r>
      <w:r>
        <w:rPr>
          <w:color w:val="231F20"/>
          <w:w w:val="105"/>
        </w:rPr>
        <w:t>1998:</w:t>
      </w:r>
      <w:r>
        <w:rPr>
          <w:color w:val="231F20"/>
          <w:spacing w:val="-10"/>
          <w:w w:val="105"/>
        </w:rPr>
        <w:t> </w:t>
      </w:r>
      <w:r>
        <w:rPr>
          <w:color w:val="231F20"/>
          <w:w w:val="105"/>
        </w:rPr>
        <w:t>17).</w:t>
      </w:r>
      <w:r>
        <w:rPr>
          <w:color w:val="231F20"/>
          <w:spacing w:val="-15"/>
          <w:w w:val="105"/>
        </w:rPr>
        <w:t> </w:t>
      </w:r>
      <w:r>
        <w:rPr>
          <w:color w:val="231F20"/>
          <w:w w:val="105"/>
        </w:rPr>
        <w:t>Sin</w:t>
      </w:r>
      <w:r>
        <w:rPr>
          <w:color w:val="231F20"/>
          <w:spacing w:val="-10"/>
          <w:w w:val="105"/>
        </w:rPr>
        <w:t> </w:t>
      </w:r>
      <w:r>
        <w:rPr>
          <w:color w:val="231F20"/>
          <w:w w:val="105"/>
        </w:rPr>
        <w:t>embargo,</w:t>
      </w:r>
      <w:r>
        <w:rPr>
          <w:color w:val="231F20"/>
          <w:spacing w:val="-15"/>
          <w:w w:val="105"/>
        </w:rPr>
        <w:t> </w:t>
      </w:r>
      <w:r>
        <w:rPr>
          <w:color w:val="231F20"/>
          <w:w w:val="105"/>
        </w:rPr>
        <w:t>las</w:t>
      </w:r>
      <w:r>
        <w:rPr>
          <w:color w:val="231F20"/>
          <w:spacing w:val="-10"/>
          <w:w w:val="105"/>
        </w:rPr>
        <w:t> </w:t>
      </w:r>
      <w:r>
        <w:rPr>
          <w:color w:val="231F20"/>
          <w:w w:val="105"/>
        </w:rPr>
        <w:t>personas</w:t>
      </w:r>
      <w:r>
        <w:rPr>
          <w:color w:val="231F20"/>
          <w:spacing w:val="-10"/>
          <w:w w:val="105"/>
        </w:rPr>
        <w:t> </w:t>
      </w:r>
      <w:r>
        <w:rPr>
          <w:color w:val="231F20"/>
          <w:w w:val="105"/>
        </w:rPr>
        <w:t>que</w:t>
      </w:r>
      <w:r>
        <w:rPr>
          <w:color w:val="231F20"/>
          <w:spacing w:val="-10"/>
          <w:w w:val="105"/>
        </w:rPr>
        <w:t> </w:t>
      </w:r>
      <w:r>
        <w:rPr>
          <w:color w:val="231F20"/>
          <w:w w:val="105"/>
        </w:rPr>
        <w:t>no</w:t>
      </w:r>
      <w:r>
        <w:rPr>
          <w:color w:val="231F20"/>
          <w:spacing w:val="-10"/>
          <w:w w:val="105"/>
        </w:rPr>
        <w:t> </w:t>
      </w:r>
      <w:r>
        <w:rPr>
          <w:color w:val="231F20"/>
          <w:w w:val="105"/>
        </w:rPr>
        <w:t>eran</w:t>
      </w:r>
      <w:r>
        <w:rPr>
          <w:color w:val="231F20"/>
          <w:spacing w:val="-10"/>
          <w:w w:val="105"/>
        </w:rPr>
        <w:t> </w:t>
      </w:r>
      <w:r>
        <w:rPr>
          <w:color w:val="231F20"/>
          <w:w w:val="105"/>
        </w:rPr>
        <w:t>contratadas se</w:t>
      </w:r>
      <w:r>
        <w:rPr>
          <w:color w:val="231F20"/>
          <w:spacing w:val="-5"/>
          <w:w w:val="105"/>
        </w:rPr>
        <w:t> </w:t>
      </w:r>
      <w:r>
        <w:rPr>
          <w:color w:val="231F20"/>
          <w:w w:val="105"/>
        </w:rPr>
        <w:t>arriesgaban</w:t>
      </w:r>
      <w:r>
        <w:rPr>
          <w:color w:val="231F20"/>
          <w:spacing w:val="-5"/>
          <w:w w:val="105"/>
        </w:rPr>
        <w:t> </w:t>
      </w:r>
      <w:r>
        <w:rPr>
          <w:color w:val="231F20"/>
          <w:w w:val="105"/>
        </w:rPr>
        <w:t>a</w:t>
      </w:r>
      <w:r>
        <w:rPr>
          <w:color w:val="231F20"/>
          <w:spacing w:val="-5"/>
          <w:w w:val="105"/>
        </w:rPr>
        <w:t> </w:t>
      </w:r>
      <w:r>
        <w:rPr>
          <w:color w:val="231F20"/>
          <w:w w:val="105"/>
        </w:rPr>
        <w:t>intentar</w:t>
      </w:r>
      <w:r>
        <w:rPr>
          <w:color w:val="231F20"/>
          <w:spacing w:val="-5"/>
          <w:w w:val="105"/>
        </w:rPr>
        <w:t> </w:t>
      </w:r>
      <w:r>
        <w:rPr>
          <w:color w:val="231F20"/>
          <w:w w:val="105"/>
        </w:rPr>
        <w:t>la</w:t>
      </w:r>
      <w:r>
        <w:rPr>
          <w:color w:val="231F20"/>
          <w:spacing w:val="-5"/>
          <w:w w:val="105"/>
        </w:rPr>
        <w:t> </w:t>
      </w:r>
      <w:r>
        <w:rPr>
          <w:color w:val="231F20"/>
          <w:w w:val="105"/>
        </w:rPr>
        <w:t>travesía</w:t>
      </w:r>
      <w:r>
        <w:rPr>
          <w:color w:val="231F20"/>
          <w:spacing w:val="-5"/>
          <w:w w:val="105"/>
        </w:rPr>
        <w:t> </w:t>
      </w:r>
      <w:r>
        <w:rPr>
          <w:color w:val="231F20"/>
          <w:w w:val="105"/>
        </w:rPr>
        <w:t>sin</w:t>
      </w:r>
      <w:r>
        <w:rPr>
          <w:color w:val="231F20"/>
          <w:spacing w:val="-5"/>
          <w:w w:val="105"/>
        </w:rPr>
        <w:t> </w:t>
      </w:r>
      <w:r>
        <w:rPr>
          <w:color w:val="231F20"/>
          <w:w w:val="105"/>
        </w:rPr>
        <w:t>papeles</w:t>
      </w:r>
      <w:r>
        <w:rPr>
          <w:color w:val="231F20"/>
          <w:spacing w:val="-5"/>
          <w:w w:val="105"/>
        </w:rPr>
        <w:t> </w:t>
      </w:r>
      <w:r>
        <w:rPr>
          <w:color w:val="231F20"/>
          <w:w w:val="105"/>
        </w:rPr>
        <w:t>ni</w:t>
      </w:r>
      <w:r>
        <w:rPr>
          <w:color w:val="231F20"/>
          <w:spacing w:val="-5"/>
          <w:w w:val="105"/>
        </w:rPr>
        <w:t> </w:t>
      </w:r>
      <w:r>
        <w:rPr>
          <w:color w:val="231F20"/>
          <w:w w:val="105"/>
        </w:rPr>
        <w:t>contrato,</w:t>
      </w:r>
      <w:r>
        <w:rPr>
          <w:color w:val="231F20"/>
          <w:spacing w:val="-10"/>
          <w:w w:val="105"/>
        </w:rPr>
        <w:t> </w:t>
      </w:r>
      <w:r>
        <w:rPr>
          <w:color w:val="231F20"/>
          <w:w w:val="105"/>
        </w:rPr>
        <w:t>pero</w:t>
      </w:r>
      <w:r>
        <w:rPr>
          <w:color w:val="231F20"/>
          <w:spacing w:val="-5"/>
          <w:w w:val="105"/>
        </w:rPr>
        <w:t> </w:t>
      </w:r>
      <w:r>
        <w:rPr>
          <w:color w:val="231F20"/>
          <w:w w:val="105"/>
        </w:rPr>
        <w:t>con</w:t>
      </w:r>
      <w:r>
        <w:rPr>
          <w:color w:val="231F20"/>
          <w:spacing w:val="-5"/>
          <w:w w:val="105"/>
        </w:rPr>
        <w:t> </w:t>
      </w:r>
      <w:r>
        <w:rPr>
          <w:color w:val="231F20"/>
          <w:w w:val="105"/>
        </w:rPr>
        <w:t>la certeza</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había</w:t>
      </w:r>
      <w:r>
        <w:rPr>
          <w:color w:val="231F20"/>
          <w:spacing w:val="-20"/>
          <w:w w:val="105"/>
        </w:rPr>
        <w:t> </w:t>
      </w:r>
      <w:r>
        <w:rPr>
          <w:color w:val="231F20"/>
          <w:w w:val="105"/>
        </w:rPr>
        <w:t>trabajo</w:t>
      </w:r>
      <w:r>
        <w:rPr>
          <w:color w:val="231F20"/>
          <w:spacing w:val="-20"/>
          <w:w w:val="105"/>
        </w:rPr>
        <w:t> </w:t>
      </w:r>
      <w:r>
        <w:rPr>
          <w:color w:val="231F20"/>
          <w:w w:val="105"/>
        </w:rPr>
        <w:t>en</w:t>
      </w:r>
      <w:r>
        <w:rPr>
          <w:color w:val="231F20"/>
          <w:spacing w:val="-20"/>
          <w:w w:val="105"/>
        </w:rPr>
        <w:t> </w:t>
      </w:r>
      <w:r>
        <w:rPr>
          <w:color w:val="231F20"/>
          <w:w w:val="105"/>
        </w:rPr>
        <w:t>Estados</w:t>
      </w:r>
      <w:r>
        <w:rPr>
          <w:color w:val="231F20"/>
          <w:spacing w:val="-20"/>
          <w:w w:val="105"/>
        </w:rPr>
        <w:t> </w:t>
      </w:r>
      <w:r>
        <w:rPr>
          <w:color w:val="231F20"/>
          <w:w w:val="105"/>
        </w:rPr>
        <w:t>Unidos.</w:t>
      </w:r>
    </w:p>
    <w:p>
      <w:pPr>
        <w:pStyle w:val="BodyText"/>
        <w:spacing w:line="261" w:lineRule="auto" w:before="1"/>
        <w:ind w:left="1837" w:right="1722"/>
        <w:jc w:val="both"/>
      </w:pPr>
      <w:r>
        <w:rPr>
          <w:color w:val="231F20"/>
          <w:w w:val="105"/>
        </w:rPr>
        <w:t>Así,</w:t>
      </w:r>
      <w:r>
        <w:rPr>
          <w:color w:val="231F20"/>
          <w:spacing w:val="-27"/>
          <w:w w:val="105"/>
        </w:rPr>
        <w:t> </w:t>
      </w:r>
      <w:r>
        <w:rPr>
          <w:color w:val="231F20"/>
          <w:w w:val="105"/>
        </w:rPr>
        <w:t>se</w:t>
      </w:r>
      <w:r>
        <w:rPr>
          <w:color w:val="231F20"/>
          <w:spacing w:val="-21"/>
          <w:w w:val="105"/>
        </w:rPr>
        <w:t> </w:t>
      </w:r>
      <w:r>
        <w:rPr>
          <w:color w:val="231F20"/>
          <w:w w:val="105"/>
        </w:rPr>
        <w:t>desencadenó</w:t>
      </w:r>
      <w:r>
        <w:rPr>
          <w:color w:val="231F20"/>
          <w:spacing w:val="-21"/>
          <w:w w:val="105"/>
        </w:rPr>
        <w:t> </w:t>
      </w:r>
      <w:r>
        <w:rPr>
          <w:color w:val="231F20"/>
          <w:w w:val="105"/>
        </w:rPr>
        <w:t>la</w:t>
      </w:r>
      <w:r>
        <w:rPr>
          <w:color w:val="231F20"/>
          <w:spacing w:val="-21"/>
          <w:w w:val="105"/>
        </w:rPr>
        <w:t> </w:t>
      </w:r>
      <w:r>
        <w:rPr>
          <w:color w:val="231F20"/>
          <w:w w:val="105"/>
        </w:rPr>
        <w:t>existencia</w:t>
      </w:r>
      <w:r>
        <w:rPr>
          <w:color w:val="231F20"/>
          <w:spacing w:val="-21"/>
          <w:w w:val="105"/>
        </w:rPr>
        <w:t> </w:t>
      </w:r>
      <w:r>
        <w:rPr>
          <w:color w:val="231F20"/>
          <w:w w:val="105"/>
        </w:rPr>
        <w:t>de</w:t>
      </w:r>
      <w:r>
        <w:rPr>
          <w:color w:val="231F20"/>
          <w:spacing w:val="-21"/>
          <w:w w:val="105"/>
        </w:rPr>
        <w:t> </w:t>
      </w:r>
      <w:r>
        <w:rPr>
          <w:color w:val="231F20"/>
          <w:w w:val="105"/>
        </w:rPr>
        <w:t>dos</w:t>
      </w:r>
      <w:r>
        <w:rPr>
          <w:color w:val="231F20"/>
          <w:spacing w:val="-21"/>
          <w:w w:val="105"/>
        </w:rPr>
        <w:t> </w:t>
      </w:r>
      <w:r>
        <w:rPr>
          <w:color w:val="231F20"/>
          <w:w w:val="105"/>
        </w:rPr>
        <w:t>corrientes</w:t>
      </w:r>
      <w:r>
        <w:rPr>
          <w:color w:val="231F20"/>
          <w:spacing w:val="-21"/>
          <w:w w:val="105"/>
        </w:rPr>
        <w:t> </w:t>
      </w:r>
      <w:r>
        <w:rPr>
          <w:color w:val="231F20"/>
          <w:w w:val="105"/>
        </w:rPr>
        <w:t>migratorias</w:t>
      </w:r>
      <w:r>
        <w:rPr>
          <w:color w:val="231F20"/>
          <w:spacing w:val="-21"/>
          <w:w w:val="105"/>
        </w:rPr>
        <w:t> </w:t>
      </w:r>
      <w:r>
        <w:rPr>
          <w:color w:val="231F20"/>
          <w:w w:val="105"/>
        </w:rPr>
        <w:t>que</w:t>
      </w:r>
      <w:r>
        <w:rPr>
          <w:color w:val="231F20"/>
          <w:spacing w:val="-21"/>
          <w:w w:val="105"/>
        </w:rPr>
        <w:t> </w:t>
      </w:r>
      <w:r>
        <w:rPr>
          <w:color w:val="231F20"/>
          <w:w w:val="105"/>
        </w:rPr>
        <w:t>sub- sistían</w:t>
      </w:r>
      <w:r>
        <w:rPr>
          <w:color w:val="231F20"/>
          <w:spacing w:val="-17"/>
          <w:w w:val="105"/>
        </w:rPr>
        <w:t> </w:t>
      </w:r>
      <w:r>
        <w:rPr>
          <w:color w:val="231F20"/>
          <w:w w:val="105"/>
        </w:rPr>
        <w:t>al</w:t>
      </w:r>
      <w:r>
        <w:rPr>
          <w:color w:val="231F20"/>
          <w:spacing w:val="-17"/>
          <w:w w:val="105"/>
        </w:rPr>
        <w:t> </w:t>
      </w:r>
      <w:r>
        <w:rPr>
          <w:color w:val="231F20"/>
          <w:w w:val="105"/>
        </w:rPr>
        <w:t>mismo</w:t>
      </w:r>
      <w:r>
        <w:rPr>
          <w:color w:val="231F20"/>
          <w:spacing w:val="-17"/>
          <w:w w:val="105"/>
        </w:rPr>
        <w:t> </w:t>
      </w:r>
      <w:r>
        <w:rPr>
          <w:color w:val="231F20"/>
          <w:w w:val="105"/>
        </w:rPr>
        <w:t>tiempo:</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17"/>
          <w:w w:val="105"/>
        </w:rPr>
        <w:t> </w:t>
      </w:r>
      <w:r>
        <w:rPr>
          <w:color w:val="231F20"/>
          <w:w w:val="105"/>
        </w:rPr>
        <w:t>legal</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braceros</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migración irregular</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personas</w:t>
      </w:r>
      <w:r>
        <w:rPr>
          <w:color w:val="231F20"/>
          <w:spacing w:val="-15"/>
          <w:w w:val="105"/>
        </w:rPr>
        <w:t> </w:t>
      </w:r>
      <w:r>
        <w:rPr>
          <w:color w:val="231F20"/>
          <w:w w:val="105"/>
        </w:rPr>
        <w:t>no</w:t>
      </w:r>
      <w:r>
        <w:rPr>
          <w:color w:val="231F20"/>
          <w:spacing w:val="-15"/>
          <w:w w:val="105"/>
        </w:rPr>
        <w:t> </w:t>
      </w:r>
      <w:r>
        <w:rPr>
          <w:color w:val="231F20"/>
          <w:w w:val="105"/>
        </w:rPr>
        <w:t>documentadas.</w:t>
      </w:r>
      <w:r>
        <w:rPr>
          <w:color w:val="231F20"/>
          <w:spacing w:val="-19"/>
          <w:w w:val="105"/>
        </w:rPr>
        <w:t> </w:t>
      </w:r>
      <w:r>
        <w:rPr>
          <w:color w:val="231F20"/>
          <w:w w:val="105"/>
        </w:rPr>
        <w:t>Las</w:t>
      </w:r>
      <w:r>
        <w:rPr>
          <w:color w:val="231F20"/>
          <w:spacing w:val="-15"/>
          <w:w w:val="105"/>
        </w:rPr>
        <w:t> </w:t>
      </w:r>
      <w:r>
        <w:rPr>
          <w:color w:val="231F20"/>
          <w:w w:val="105"/>
        </w:rPr>
        <w:t>estadísticas</w:t>
      </w:r>
      <w:r>
        <w:rPr>
          <w:color w:val="231F20"/>
          <w:spacing w:val="-15"/>
          <w:w w:val="105"/>
        </w:rPr>
        <w:t> </w:t>
      </w:r>
      <w:r>
        <w:rPr>
          <w:color w:val="231F20"/>
          <w:w w:val="105"/>
        </w:rPr>
        <w:t>evidencian que durante los 22 años de implementación del Programa, fueron con- tratados</w:t>
      </w:r>
      <w:r>
        <w:rPr>
          <w:color w:val="231F20"/>
          <w:spacing w:val="-25"/>
          <w:w w:val="105"/>
        </w:rPr>
        <w:t> </w:t>
      </w:r>
      <w:r>
        <w:rPr>
          <w:color w:val="231F20"/>
          <w:w w:val="105"/>
        </w:rPr>
        <w:t>alrededor</w:t>
      </w:r>
      <w:r>
        <w:rPr>
          <w:color w:val="231F20"/>
          <w:spacing w:val="-25"/>
          <w:w w:val="105"/>
        </w:rPr>
        <w:t> </w:t>
      </w:r>
      <w:r>
        <w:rPr>
          <w:color w:val="231F20"/>
          <w:w w:val="105"/>
        </w:rPr>
        <w:t>de</w:t>
      </w:r>
      <w:r>
        <w:rPr>
          <w:color w:val="231F20"/>
          <w:spacing w:val="-25"/>
          <w:w w:val="105"/>
        </w:rPr>
        <w:t> </w:t>
      </w:r>
      <w:r>
        <w:rPr>
          <w:color w:val="231F20"/>
          <w:w w:val="105"/>
        </w:rPr>
        <w:t>cinco</w:t>
      </w:r>
      <w:r>
        <w:rPr>
          <w:color w:val="231F20"/>
          <w:spacing w:val="-25"/>
          <w:w w:val="105"/>
        </w:rPr>
        <w:t> </w:t>
      </w:r>
      <w:r>
        <w:rPr>
          <w:color w:val="231F20"/>
          <w:w w:val="105"/>
        </w:rPr>
        <w:t>millones</w:t>
      </w:r>
      <w:r>
        <w:rPr>
          <w:color w:val="231F20"/>
          <w:spacing w:val="-25"/>
          <w:w w:val="105"/>
        </w:rPr>
        <w:t> </w:t>
      </w:r>
      <w:r>
        <w:rPr>
          <w:color w:val="231F20"/>
          <w:w w:val="105"/>
        </w:rPr>
        <w:t>de</w:t>
      </w:r>
      <w:r>
        <w:rPr>
          <w:color w:val="231F20"/>
          <w:spacing w:val="-25"/>
          <w:w w:val="105"/>
        </w:rPr>
        <w:t> </w:t>
      </w:r>
      <w:r>
        <w:rPr>
          <w:color w:val="231F20"/>
          <w:w w:val="105"/>
        </w:rPr>
        <w:t>braceros.</w:t>
      </w:r>
      <w:r>
        <w:rPr>
          <w:color w:val="231F20"/>
          <w:spacing w:val="-30"/>
          <w:w w:val="105"/>
        </w:rPr>
        <w:t> </w:t>
      </w:r>
      <w:r>
        <w:rPr>
          <w:color w:val="231F20"/>
          <w:spacing w:val="-6"/>
          <w:w w:val="105"/>
        </w:rPr>
        <w:t>Por</w:t>
      </w:r>
      <w:r>
        <w:rPr>
          <w:color w:val="231F20"/>
          <w:spacing w:val="-25"/>
          <w:w w:val="105"/>
        </w:rPr>
        <w:t> </w:t>
      </w:r>
      <w:r>
        <w:rPr>
          <w:color w:val="231F20"/>
          <w:w w:val="105"/>
        </w:rPr>
        <w:t>su</w:t>
      </w:r>
      <w:r>
        <w:rPr>
          <w:color w:val="231F20"/>
          <w:spacing w:val="-25"/>
          <w:w w:val="105"/>
        </w:rPr>
        <w:t> </w:t>
      </w:r>
      <w:r>
        <w:rPr>
          <w:color w:val="231F20"/>
          <w:w w:val="105"/>
        </w:rPr>
        <w:t>parte,</w:t>
      </w:r>
      <w:r>
        <w:rPr>
          <w:color w:val="231F20"/>
          <w:spacing w:val="-30"/>
          <w:w w:val="105"/>
        </w:rPr>
        <w:t> </w:t>
      </w:r>
      <w:r>
        <w:rPr>
          <w:color w:val="231F20"/>
          <w:w w:val="105"/>
        </w:rPr>
        <w:t>el</w:t>
      </w:r>
      <w:r>
        <w:rPr>
          <w:color w:val="231F20"/>
          <w:spacing w:val="-25"/>
          <w:w w:val="105"/>
        </w:rPr>
        <w:t> </w:t>
      </w:r>
      <w:r>
        <w:rPr>
          <w:color w:val="231F20"/>
          <w:w w:val="105"/>
        </w:rPr>
        <w:t>Servicio Nacional de Migración (</w:t>
      </w:r>
      <w:r>
        <w:rPr>
          <w:color w:val="231F20"/>
          <w:w w:val="105"/>
          <w:sz w:val="17"/>
        </w:rPr>
        <w:t>INS</w:t>
      </w:r>
      <w:r>
        <w:rPr>
          <w:color w:val="231F20"/>
          <w:w w:val="105"/>
        </w:rPr>
        <w:t>, por sus siglas en inglés), reportó una cifra similar</w:t>
      </w:r>
      <w:r>
        <w:rPr>
          <w:color w:val="231F20"/>
          <w:spacing w:val="-19"/>
          <w:w w:val="105"/>
        </w:rPr>
        <w:t> </w:t>
      </w:r>
      <w:r>
        <w:rPr>
          <w:color w:val="231F20"/>
          <w:w w:val="105"/>
        </w:rPr>
        <w:t>de</w:t>
      </w:r>
      <w:r>
        <w:rPr>
          <w:color w:val="231F20"/>
          <w:spacing w:val="-19"/>
          <w:w w:val="105"/>
        </w:rPr>
        <w:t> </w:t>
      </w:r>
      <w:r>
        <w:rPr>
          <w:color w:val="231F20"/>
          <w:w w:val="105"/>
        </w:rPr>
        <w:t>deportados</w:t>
      </w:r>
      <w:r>
        <w:rPr>
          <w:color w:val="231F20"/>
          <w:spacing w:val="-19"/>
          <w:w w:val="105"/>
        </w:rPr>
        <w:t> </w:t>
      </w:r>
      <w:r>
        <w:rPr>
          <w:color w:val="231F20"/>
          <w:w w:val="105"/>
        </w:rPr>
        <w:t>(Morales,</w:t>
      </w:r>
      <w:r>
        <w:rPr>
          <w:color w:val="231F20"/>
          <w:spacing w:val="-24"/>
          <w:w w:val="105"/>
        </w:rPr>
        <w:t> </w:t>
      </w:r>
      <w:r>
        <w:rPr>
          <w:color w:val="231F20"/>
          <w:w w:val="105"/>
        </w:rPr>
        <w:t>1982).</w:t>
      </w:r>
    </w:p>
    <w:p>
      <w:pPr>
        <w:pStyle w:val="BodyText"/>
        <w:spacing w:line="261" w:lineRule="auto" w:before="1"/>
        <w:ind w:left="1837" w:right="1715" w:firstLine="567"/>
        <w:jc w:val="both"/>
      </w:pPr>
      <w:r>
        <w:rPr/>
        <w:pict>
          <v:line style="position:absolute;mso-position-horizontal-relative:page;mso-position-vertical-relative:paragraph;z-index:-454840" from="15pt,138.054291pt" to="0pt,138.054291pt" stroked="true" strokeweight=".25pt" strokecolor="#000000">
            <w10:wrap type="none"/>
          </v:line>
        </w:pict>
      </w:r>
      <w:r>
        <w:rPr/>
        <w:pict>
          <v:line style="position:absolute;mso-position-horizontal-relative:page;mso-position-vertical-relative:paragraph;z-index:35368" from="508.890015pt,138.054291pt" to="523.890015pt,138.054291pt" stroked="true" strokeweight=".25pt" strokecolor="#000000">
            <w10:wrap type="none"/>
          </v:line>
        </w:pic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década</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sesenta,</w:t>
      </w:r>
      <w:r>
        <w:rPr>
          <w:color w:val="231F20"/>
          <w:spacing w:val="-30"/>
          <w:w w:val="105"/>
        </w:rPr>
        <w:t> </w:t>
      </w:r>
      <w:r>
        <w:rPr>
          <w:color w:val="231F20"/>
          <w:w w:val="105"/>
        </w:rPr>
        <w:t>al</w:t>
      </w:r>
      <w:r>
        <w:rPr>
          <w:color w:val="231F20"/>
          <w:spacing w:val="-26"/>
          <w:w w:val="105"/>
        </w:rPr>
        <w:t> </w:t>
      </w:r>
      <w:r>
        <w:rPr>
          <w:color w:val="231F20"/>
          <w:w w:val="105"/>
        </w:rPr>
        <w:t>finalizar</w:t>
      </w:r>
      <w:r>
        <w:rPr>
          <w:color w:val="231F20"/>
          <w:spacing w:val="-26"/>
          <w:w w:val="105"/>
        </w:rPr>
        <w:t> </w:t>
      </w:r>
      <w:r>
        <w:rPr>
          <w:color w:val="231F20"/>
          <w:w w:val="105"/>
        </w:rPr>
        <w:t>el</w:t>
      </w:r>
      <w:r>
        <w:rPr>
          <w:color w:val="231F20"/>
          <w:spacing w:val="-26"/>
          <w:w w:val="105"/>
        </w:rPr>
        <w:t> </w:t>
      </w:r>
      <w:r>
        <w:rPr>
          <w:color w:val="231F20"/>
          <w:w w:val="105"/>
        </w:rPr>
        <w:t>Programa,</w:t>
      </w:r>
      <w:r>
        <w:rPr>
          <w:color w:val="231F20"/>
          <w:spacing w:val="-30"/>
          <w:w w:val="105"/>
        </w:rPr>
        <w:t> </w:t>
      </w:r>
      <w:r>
        <w:rPr>
          <w:color w:val="231F20"/>
          <w:w w:val="105"/>
        </w:rPr>
        <w:t>se</w:t>
      </w:r>
      <w:r>
        <w:rPr>
          <w:color w:val="231F20"/>
          <w:spacing w:val="-26"/>
          <w:w w:val="105"/>
        </w:rPr>
        <w:t> </w:t>
      </w:r>
      <w:r>
        <w:rPr>
          <w:color w:val="231F20"/>
          <w:w w:val="105"/>
        </w:rPr>
        <w:t>genera</w:t>
      </w:r>
      <w:r>
        <w:rPr>
          <w:color w:val="231F20"/>
          <w:spacing w:val="-26"/>
          <w:w w:val="105"/>
        </w:rPr>
        <w:t> </w:t>
      </w:r>
      <w:r>
        <w:rPr>
          <w:color w:val="231F20"/>
          <w:w w:val="105"/>
        </w:rPr>
        <w:t>una nueva</w:t>
      </w:r>
      <w:r>
        <w:rPr>
          <w:color w:val="231F20"/>
          <w:spacing w:val="-17"/>
          <w:w w:val="105"/>
        </w:rPr>
        <w:t> </w:t>
      </w:r>
      <w:r>
        <w:rPr>
          <w:color w:val="231F20"/>
          <w:w w:val="105"/>
        </w:rPr>
        <w:t>corriente</w:t>
      </w:r>
      <w:r>
        <w:rPr>
          <w:color w:val="231F20"/>
          <w:spacing w:val="-17"/>
          <w:w w:val="105"/>
        </w:rPr>
        <w:t> </w:t>
      </w:r>
      <w:r>
        <w:rPr>
          <w:color w:val="231F20"/>
          <w:w w:val="105"/>
        </w:rPr>
        <w:t>migratoria</w:t>
      </w:r>
      <w:r>
        <w:rPr>
          <w:color w:val="231F20"/>
          <w:spacing w:val="-17"/>
          <w:w w:val="105"/>
        </w:rPr>
        <w:t> </w:t>
      </w:r>
      <w:r>
        <w:rPr>
          <w:color w:val="231F20"/>
          <w:w w:val="105"/>
        </w:rPr>
        <w:t>que</w:t>
      </w:r>
      <w:r>
        <w:rPr>
          <w:color w:val="231F20"/>
          <w:spacing w:val="-17"/>
          <w:w w:val="105"/>
        </w:rPr>
        <w:t> </w:t>
      </w:r>
      <w:r>
        <w:rPr>
          <w:color w:val="231F20"/>
          <w:w w:val="105"/>
        </w:rPr>
        <w:t>es</w:t>
      </w:r>
      <w:r>
        <w:rPr>
          <w:color w:val="231F20"/>
          <w:spacing w:val="-17"/>
          <w:w w:val="105"/>
        </w:rPr>
        <w:t> </w:t>
      </w:r>
      <w:r>
        <w:rPr>
          <w:color w:val="231F20"/>
          <w:w w:val="105"/>
        </w:rPr>
        <w:t>conocida</w:t>
      </w:r>
      <w:r>
        <w:rPr>
          <w:color w:val="231F20"/>
          <w:spacing w:val="-17"/>
          <w:w w:val="105"/>
        </w:rPr>
        <w:t> </w:t>
      </w:r>
      <w:r>
        <w:rPr>
          <w:color w:val="231F20"/>
          <w:w w:val="105"/>
        </w:rPr>
        <w:t>como</w:t>
      </w:r>
      <w:r>
        <w:rPr>
          <w:color w:val="231F20"/>
          <w:spacing w:val="-17"/>
          <w:w w:val="105"/>
        </w:rPr>
        <w:t> </w:t>
      </w:r>
      <w:r>
        <w:rPr>
          <w:color w:val="231F20"/>
          <w:w w:val="105"/>
        </w:rPr>
        <w:t>la</w:t>
      </w:r>
      <w:r>
        <w:rPr>
          <w:color w:val="231F20"/>
          <w:spacing w:val="-17"/>
          <w:w w:val="105"/>
        </w:rPr>
        <w:t> </w:t>
      </w:r>
      <w:r>
        <w:rPr>
          <w:color w:val="231F20"/>
          <w:w w:val="105"/>
        </w:rPr>
        <w:t>era</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migrantes indocumentados, caracterizada por dos aspectos importantes,</w:t>
      </w:r>
      <w:r>
        <w:rPr>
          <w:color w:val="231F20"/>
          <w:spacing w:val="-20"/>
          <w:w w:val="105"/>
        </w:rPr>
        <w:t> </w:t>
      </w:r>
      <w:r>
        <w:rPr>
          <w:color w:val="231F20"/>
          <w:w w:val="105"/>
        </w:rPr>
        <w:t>primero, definida por el abandono del gobierno mexicano de las personas acos- tumbradas</w:t>
      </w:r>
      <w:r>
        <w:rPr>
          <w:color w:val="231F20"/>
          <w:spacing w:val="-25"/>
          <w:w w:val="105"/>
        </w:rPr>
        <w:t> </w:t>
      </w:r>
      <w:r>
        <w:rPr>
          <w:color w:val="231F20"/>
          <w:w w:val="105"/>
        </w:rPr>
        <w:t>a</w:t>
      </w:r>
      <w:r>
        <w:rPr>
          <w:color w:val="231F20"/>
          <w:spacing w:val="-25"/>
          <w:w w:val="105"/>
        </w:rPr>
        <w:t> </w:t>
      </w:r>
      <w:r>
        <w:rPr>
          <w:color w:val="231F20"/>
          <w:w w:val="105"/>
        </w:rPr>
        <w:t>los</w:t>
      </w:r>
      <w:r>
        <w:rPr>
          <w:color w:val="231F20"/>
          <w:spacing w:val="-25"/>
          <w:w w:val="105"/>
        </w:rPr>
        <w:t> </w:t>
      </w:r>
      <w:r>
        <w:rPr>
          <w:color w:val="231F20"/>
          <w:w w:val="105"/>
        </w:rPr>
        <w:t>ingresos</w:t>
      </w:r>
      <w:r>
        <w:rPr>
          <w:color w:val="231F20"/>
          <w:spacing w:val="-25"/>
          <w:w w:val="105"/>
        </w:rPr>
        <w:t> </w:t>
      </w:r>
      <w:r>
        <w:rPr>
          <w:color w:val="231F20"/>
          <w:w w:val="105"/>
        </w:rPr>
        <w:t>monetarios</w:t>
      </w:r>
      <w:r>
        <w:rPr>
          <w:color w:val="231F20"/>
          <w:spacing w:val="-25"/>
          <w:w w:val="105"/>
        </w:rPr>
        <w:t> </w:t>
      </w:r>
      <w:r>
        <w:rPr>
          <w:color w:val="231F20"/>
          <w:w w:val="105"/>
        </w:rPr>
        <w:t>fruto</w:t>
      </w:r>
      <w:r>
        <w:rPr>
          <w:color w:val="231F20"/>
          <w:spacing w:val="-25"/>
          <w:w w:val="105"/>
        </w:rPr>
        <w:t> </w:t>
      </w:r>
      <w:r>
        <w:rPr>
          <w:color w:val="231F20"/>
          <w:w w:val="105"/>
        </w:rPr>
        <w:t>del</w:t>
      </w:r>
      <w:r>
        <w:rPr>
          <w:color w:val="231F20"/>
          <w:spacing w:val="-25"/>
          <w:w w:val="105"/>
        </w:rPr>
        <w:t> </w:t>
      </w:r>
      <w:r>
        <w:rPr>
          <w:color w:val="231F20"/>
          <w:w w:val="105"/>
        </w:rPr>
        <w:t>trabajo</w:t>
      </w:r>
      <w:r>
        <w:rPr>
          <w:color w:val="231F20"/>
          <w:spacing w:val="-25"/>
          <w:w w:val="105"/>
        </w:rPr>
        <w:t> </w:t>
      </w:r>
      <w:r>
        <w:rPr>
          <w:color w:val="231F20"/>
          <w:w w:val="105"/>
        </w:rPr>
        <w:t>en</w:t>
      </w:r>
      <w:r>
        <w:rPr>
          <w:color w:val="231F20"/>
          <w:spacing w:val="-25"/>
          <w:w w:val="105"/>
        </w:rPr>
        <w:t> </w:t>
      </w:r>
      <w:r>
        <w:rPr>
          <w:color w:val="231F20"/>
          <w:w w:val="105"/>
        </w:rPr>
        <w:t>Estados</w:t>
      </w:r>
      <w:r>
        <w:rPr>
          <w:color w:val="231F20"/>
          <w:spacing w:val="-25"/>
          <w:w w:val="105"/>
        </w:rPr>
        <w:t> </w:t>
      </w:r>
      <w:r>
        <w:rPr>
          <w:color w:val="231F20"/>
          <w:w w:val="105"/>
        </w:rPr>
        <w:t>Unidos,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35416" from="15pt,-71.68644pt" to="0pt,-71.68644pt" stroked="true" strokeweight=".25pt" strokecolor="#000000">
            <w10:wrap type="none"/>
          </v:line>
        </w:pict>
      </w:r>
      <w:r>
        <w:rPr/>
        <w:pict>
          <v:line style="position:absolute;mso-position-horizontal-relative:page;mso-position-vertical-relative:paragraph;z-index:35440" from="508.890015pt,-71.68644pt" to="523.890015pt,-71.68644pt" stroked="true" strokeweight=".25pt" strokecolor="#000000">
            <w10:wrap type="none"/>
          </v:line>
        </w:pict>
      </w:r>
      <w:r>
        <w:rPr>
          <w:color w:val="231F20"/>
          <w:w w:val="105"/>
        </w:rPr>
        <w:t>y por otra parte el gobierno y la población estadounidense que los ven con hostilidad, como una amenaza (Durand, 1998).</w:t>
      </w:r>
    </w:p>
    <w:p>
      <w:pPr>
        <w:pStyle w:val="BodyText"/>
        <w:spacing w:line="261" w:lineRule="auto" w:before="1"/>
        <w:ind w:left="1723" w:right="1835" w:firstLine="567"/>
        <w:jc w:val="both"/>
      </w:pPr>
      <w:r>
        <w:rPr>
          <w:color w:val="231F20"/>
          <w:spacing w:val="-4"/>
          <w:w w:val="105"/>
        </w:rPr>
        <w:t>Para</w:t>
      </w:r>
      <w:r>
        <w:rPr>
          <w:color w:val="231F20"/>
          <w:spacing w:val="-7"/>
          <w:w w:val="105"/>
        </w:rPr>
        <w:t> </w:t>
      </w:r>
      <w:r>
        <w:rPr>
          <w:color w:val="231F20"/>
          <w:w w:val="105"/>
        </w:rPr>
        <w:t>la</w:t>
      </w:r>
      <w:r>
        <w:rPr>
          <w:color w:val="231F20"/>
          <w:spacing w:val="-7"/>
          <w:w w:val="105"/>
        </w:rPr>
        <w:t> </w:t>
      </w:r>
      <w:r>
        <w:rPr>
          <w:color w:val="231F20"/>
          <w:w w:val="105"/>
        </w:rPr>
        <w:t>década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años</w:t>
      </w:r>
      <w:r>
        <w:rPr>
          <w:color w:val="231F20"/>
          <w:spacing w:val="-7"/>
          <w:w w:val="105"/>
        </w:rPr>
        <w:t> </w:t>
      </w:r>
      <w:r>
        <w:rPr>
          <w:color w:val="231F20"/>
          <w:w w:val="105"/>
        </w:rPr>
        <w:t>ochenta</w:t>
      </w:r>
      <w:r>
        <w:rPr>
          <w:color w:val="231F20"/>
          <w:spacing w:val="-7"/>
          <w:w w:val="105"/>
        </w:rPr>
        <w:t> </w:t>
      </w:r>
      <w:r>
        <w:rPr>
          <w:color w:val="231F20"/>
          <w:w w:val="105"/>
        </w:rPr>
        <w:t>hasta</w:t>
      </w:r>
      <w:r>
        <w:rPr>
          <w:color w:val="231F20"/>
          <w:spacing w:val="-7"/>
          <w:w w:val="105"/>
        </w:rPr>
        <w:t> </w:t>
      </w:r>
      <w:r>
        <w:rPr>
          <w:color w:val="231F20"/>
          <w:w w:val="105"/>
        </w:rPr>
        <w:t>los</w:t>
      </w:r>
      <w:r>
        <w:rPr>
          <w:color w:val="231F20"/>
          <w:spacing w:val="-7"/>
          <w:w w:val="105"/>
        </w:rPr>
        <w:t> </w:t>
      </w:r>
      <w:r>
        <w:rPr>
          <w:color w:val="231F20"/>
          <w:w w:val="105"/>
        </w:rPr>
        <w:t>años</w:t>
      </w:r>
      <w:r>
        <w:rPr>
          <w:color w:val="231F20"/>
          <w:spacing w:val="-7"/>
          <w:w w:val="105"/>
        </w:rPr>
        <w:t> </w:t>
      </w:r>
      <w:r>
        <w:rPr>
          <w:color w:val="231F20"/>
          <w:w w:val="105"/>
        </w:rPr>
        <w:t>dos</w:t>
      </w:r>
      <w:r>
        <w:rPr>
          <w:color w:val="231F20"/>
          <w:spacing w:val="-7"/>
          <w:w w:val="105"/>
        </w:rPr>
        <w:t> </w:t>
      </w:r>
      <w:r>
        <w:rPr>
          <w:color w:val="231F20"/>
          <w:w w:val="105"/>
        </w:rPr>
        <w:t>mil,</w:t>
      </w:r>
      <w:r>
        <w:rPr>
          <w:color w:val="231F20"/>
          <w:spacing w:val="-11"/>
          <w:w w:val="105"/>
        </w:rPr>
        <w:t> </w:t>
      </w:r>
      <w:r>
        <w:rPr>
          <w:color w:val="231F20"/>
          <w:w w:val="105"/>
        </w:rPr>
        <w:t>con</w:t>
      </w:r>
      <w:r>
        <w:rPr>
          <w:color w:val="231F20"/>
          <w:spacing w:val="-7"/>
          <w:w w:val="105"/>
        </w:rPr>
        <w:t> </w:t>
      </w:r>
      <w:r>
        <w:rPr>
          <w:color w:val="231F20"/>
          <w:w w:val="105"/>
        </w:rPr>
        <w:t>la reconfiguración del patrón migratorio y según Rodolfo </w:t>
      </w:r>
      <w:r>
        <w:rPr>
          <w:color w:val="231F20"/>
          <w:spacing w:val="-4"/>
          <w:w w:val="105"/>
        </w:rPr>
        <w:t>Tuirán </w:t>
      </w:r>
      <w:r>
        <w:rPr>
          <w:color w:val="231F20"/>
          <w:w w:val="105"/>
        </w:rPr>
        <w:t>(2000) se establecen</w:t>
      </w:r>
      <w:r>
        <w:rPr>
          <w:color w:val="231F20"/>
          <w:spacing w:val="-12"/>
          <w:w w:val="105"/>
        </w:rPr>
        <w:t> </w:t>
      </w:r>
      <w:r>
        <w:rPr>
          <w:color w:val="231F20"/>
          <w:w w:val="105"/>
        </w:rPr>
        <w:t>cinco</w:t>
      </w:r>
      <w:r>
        <w:rPr>
          <w:color w:val="231F20"/>
          <w:spacing w:val="-12"/>
          <w:w w:val="105"/>
        </w:rPr>
        <w:t> </w:t>
      </w:r>
      <w:r>
        <w:rPr>
          <w:color w:val="231F20"/>
          <w:w w:val="105"/>
        </w:rPr>
        <w:t>cambios</w:t>
      </w:r>
      <w:r>
        <w:rPr>
          <w:color w:val="231F20"/>
          <w:spacing w:val="-12"/>
          <w:w w:val="105"/>
        </w:rPr>
        <w:t> </w:t>
      </w:r>
      <w:r>
        <w:rPr>
          <w:color w:val="231F20"/>
          <w:w w:val="105"/>
        </w:rPr>
        <w:t>importantes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proceso</w:t>
      </w:r>
      <w:r>
        <w:rPr>
          <w:color w:val="231F20"/>
          <w:spacing w:val="-12"/>
          <w:w w:val="105"/>
        </w:rPr>
        <w:t> </w:t>
      </w:r>
      <w:r>
        <w:rPr>
          <w:color w:val="231F20"/>
          <w:w w:val="105"/>
        </w:rPr>
        <w:t>migratorio.</w:t>
      </w:r>
    </w:p>
    <w:p>
      <w:pPr>
        <w:pStyle w:val="BodyText"/>
        <w:rPr>
          <w:sz w:val="23"/>
        </w:rPr>
      </w:pPr>
    </w:p>
    <w:p>
      <w:pPr>
        <w:pStyle w:val="ListParagraph"/>
        <w:numPr>
          <w:ilvl w:val="0"/>
          <w:numId w:val="7"/>
        </w:numPr>
        <w:tabs>
          <w:tab w:pos="2935" w:val="left" w:leader="none"/>
        </w:tabs>
        <w:spacing w:line="261" w:lineRule="auto" w:before="0" w:after="0"/>
        <w:ind w:left="2934" w:right="1834" w:hanging="360"/>
        <w:jc w:val="both"/>
        <w:rPr>
          <w:sz w:val="21"/>
        </w:rPr>
      </w:pPr>
      <w:r>
        <w:rPr>
          <w:color w:val="231F20"/>
          <w:w w:val="105"/>
          <w:sz w:val="21"/>
        </w:rPr>
        <w:t>El</w:t>
      </w:r>
      <w:r>
        <w:rPr>
          <w:color w:val="231F20"/>
          <w:spacing w:val="-11"/>
          <w:w w:val="105"/>
          <w:sz w:val="21"/>
        </w:rPr>
        <w:t> </w:t>
      </w:r>
      <w:r>
        <w:rPr>
          <w:color w:val="231F20"/>
          <w:w w:val="105"/>
          <w:sz w:val="21"/>
        </w:rPr>
        <w:t>incremento</w:t>
      </w:r>
      <w:r>
        <w:rPr>
          <w:color w:val="231F20"/>
          <w:spacing w:val="-11"/>
          <w:w w:val="105"/>
          <w:sz w:val="21"/>
        </w:rPr>
        <w:t> </w:t>
      </w:r>
      <w:r>
        <w:rPr>
          <w:color w:val="231F20"/>
          <w:w w:val="105"/>
          <w:sz w:val="21"/>
        </w:rPr>
        <w:t>en</w:t>
      </w:r>
      <w:r>
        <w:rPr>
          <w:color w:val="231F20"/>
          <w:spacing w:val="-11"/>
          <w:w w:val="105"/>
          <w:sz w:val="21"/>
        </w:rPr>
        <w:t> </w:t>
      </w:r>
      <w:r>
        <w:rPr>
          <w:color w:val="231F20"/>
          <w:w w:val="105"/>
          <w:sz w:val="21"/>
        </w:rPr>
        <w:t>número</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personas</w:t>
      </w:r>
      <w:r>
        <w:rPr>
          <w:color w:val="231F20"/>
          <w:spacing w:val="-11"/>
          <w:w w:val="105"/>
          <w:sz w:val="21"/>
        </w:rPr>
        <w:t> </w:t>
      </w:r>
      <w:r>
        <w:rPr>
          <w:color w:val="231F20"/>
          <w:w w:val="105"/>
          <w:sz w:val="21"/>
        </w:rPr>
        <w:t>migrantes</w:t>
      </w:r>
      <w:r>
        <w:rPr>
          <w:color w:val="231F20"/>
          <w:spacing w:val="-11"/>
          <w:w w:val="105"/>
          <w:sz w:val="21"/>
        </w:rPr>
        <w:t> </w:t>
      </w:r>
      <w:r>
        <w:rPr>
          <w:color w:val="231F20"/>
          <w:w w:val="105"/>
          <w:sz w:val="21"/>
        </w:rPr>
        <w:t>a</w:t>
      </w:r>
      <w:r>
        <w:rPr>
          <w:color w:val="231F20"/>
          <w:spacing w:val="-11"/>
          <w:w w:val="105"/>
          <w:sz w:val="21"/>
        </w:rPr>
        <w:t> </w:t>
      </w:r>
      <w:r>
        <w:rPr>
          <w:color w:val="231F20"/>
          <w:w w:val="105"/>
          <w:sz w:val="21"/>
        </w:rPr>
        <w:t>Estados Unidos,</w:t>
      </w:r>
      <w:r>
        <w:rPr>
          <w:color w:val="231F20"/>
          <w:spacing w:val="-12"/>
          <w:w w:val="105"/>
          <w:sz w:val="21"/>
        </w:rPr>
        <w:t> </w:t>
      </w:r>
      <w:r>
        <w:rPr>
          <w:color w:val="231F20"/>
          <w:w w:val="105"/>
          <w:sz w:val="21"/>
        </w:rPr>
        <w:t>en</w:t>
      </w:r>
      <w:r>
        <w:rPr>
          <w:color w:val="231F20"/>
          <w:spacing w:val="-6"/>
          <w:w w:val="105"/>
          <w:sz w:val="21"/>
        </w:rPr>
        <w:t> </w:t>
      </w:r>
      <w:r>
        <w:rPr>
          <w:color w:val="231F20"/>
          <w:w w:val="105"/>
          <w:sz w:val="21"/>
        </w:rPr>
        <w:t>1900</w:t>
      </w:r>
      <w:r>
        <w:rPr>
          <w:color w:val="231F20"/>
          <w:spacing w:val="-6"/>
          <w:w w:val="105"/>
          <w:sz w:val="21"/>
        </w:rPr>
        <w:t> </w:t>
      </w:r>
      <w:r>
        <w:rPr>
          <w:color w:val="231F20"/>
          <w:w w:val="105"/>
          <w:sz w:val="21"/>
        </w:rPr>
        <w:t>alrededor</w:t>
      </w:r>
      <w:r>
        <w:rPr>
          <w:color w:val="231F20"/>
          <w:spacing w:val="-6"/>
          <w:w w:val="105"/>
          <w:sz w:val="21"/>
        </w:rPr>
        <w:t> </w:t>
      </w:r>
      <w:r>
        <w:rPr>
          <w:color w:val="231F20"/>
          <w:w w:val="105"/>
          <w:sz w:val="21"/>
        </w:rPr>
        <w:t>de</w:t>
      </w:r>
      <w:r>
        <w:rPr>
          <w:color w:val="231F20"/>
          <w:spacing w:val="-6"/>
          <w:w w:val="105"/>
          <w:sz w:val="21"/>
        </w:rPr>
        <w:t> </w:t>
      </w:r>
      <w:r>
        <w:rPr>
          <w:color w:val="231F20"/>
          <w:w w:val="105"/>
          <w:sz w:val="21"/>
        </w:rPr>
        <w:t>100</w:t>
      </w:r>
      <w:r>
        <w:rPr>
          <w:color w:val="231F20"/>
          <w:spacing w:val="-6"/>
          <w:w w:val="105"/>
          <w:sz w:val="21"/>
        </w:rPr>
        <w:t> </w:t>
      </w:r>
      <w:r>
        <w:rPr>
          <w:color w:val="231F20"/>
          <w:w w:val="105"/>
          <w:sz w:val="21"/>
        </w:rPr>
        <w:t>mil</w:t>
      </w:r>
      <w:r>
        <w:rPr>
          <w:color w:val="231F20"/>
          <w:spacing w:val="-6"/>
          <w:w w:val="105"/>
          <w:sz w:val="21"/>
        </w:rPr>
        <w:t> </w:t>
      </w:r>
      <w:r>
        <w:rPr>
          <w:color w:val="231F20"/>
          <w:w w:val="105"/>
          <w:sz w:val="21"/>
        </w:rPr>
        <w:t>personas</w:t>
      </w:r>
      <w:r>
        <w:rPr>
          <w:color w:val="231F20"/>
          <w:spacing w:val="-6"/>
          <w:w w:val="105"/>
          <w:sz w:val="21"/>
        </w:rPr>
        <w:t> </w:t>
      </w:r>
      <w:r>
        <w:rPr>
          <w:color w:val="231F20"/>
          <w:w w:val="105"/>
          <w:sz w:val="21"/>
        </w:rPr>
        <w:t>nacidas</w:t>
      </w:r>
      <w:r>
        <w:rPr>
          <w:color w:val="231F20"/>
          <w:spacing w:val="-6"/>
          <w:w w:val="105"/>
          <w:sz w:val="21"/>
        </w:rPr>
        <w:t> </w:t>
      </w:r>
      <w:r>
        <w:rPr>
          <w:color w:val="231F20"/>
          <w:w w:val="105"/>
          <w:sz w:val="21"/>
        </w:rPr>
        <w:t>en México</w:t>
      </w:r>
      <w:r>
        <w:rPr>
          <w:color w:val="231F20"/>
          <w:spacing w:val="-9"/>
          <w:w w:val="105"/>
          <w:sz w:val="21"/>
        </w:rPr>
        <w:t> </w:t>
      </w:r>
      <w:r>
        <w:rPr>
          <w:color w:val="231F20"/>
          <w:w w:val="105"/>
          <w:sz w:val="21"/>
        </w:rPr>
        <w:t>residían</w:t>
      </w:r>
      <w:r>
        <w:rPr>
          <w:color w:val="231F20"/>
          <w:spacing w:val="-9"/>
          <w:w w:val="105"/>
          <w:sz w:val="21"/>
        </w:rPr>
        <w:t> </w:t>
      </w:r>
      <w:r>
        <w:rPr>
          <w:color w:val="231F20"/>
          <w:w w:val="105"/>
          <w:sz w:val="21"/>
        </w:rPr>
        <w:t>en</w:t>
      </w:r>
      <w:r>
        <w:rPr>
          <w:color w:val="231F20"/>
          <w:spacing w:val="-9"/>
          <w:w w:val="105"/>
          <w:sz w:val="21"/>
        </w:rPr>
        <w:t> </w:t>
      </w:r>
      <w:r>
        <w:rPr>
          <w:color w:val="231F20"/>
          <w:w w:val="105"/>
          <w:sz w:val="21"/>
        </w:rPr>
        <w:t>la</w:t>
      </w:r>
      <w:r>
        <w:rPr>
          <w:color w:val="231F20"/>
          <w:spacing w:val="-9"/>
          <w:w w:val="105"/>
          <w:sz w:val="21"/>
        </w:rPr>
        <w:t> </w:t>
      </w:r>
      <w:r>
        <w:rPr>
          <w:color w:val="231F20"/>
          <w:w w:val="105"/>
          <w:sz w:val="21"/>
        </w:rPr>
        <w:t>Unión</w:t>
      </w:r>
      <w:r>
        <w:rPr>
          <w:color w:val="231F20"/>
          <w:spacing w:val="-9"/>
          <w:w w:val="105"/>
          <w:sz w:val="21"/>
        </w:rPr>
        <w:t> </w:t>
      </w:r>
      <w:r>
        <w:rPr>
          <w:color w:val="231F20"/>
          <w:w w:val="105"/>
          <w:sz w:val="21"/>
        </w:rPr>
        <w:t>americana,</w:t>
      </w:r>
      <w:r>
        <w:rPr>
          <w:color w:val="231F20"/>
          <w:spacing w:val="-14"/>
          <w:w w:val="105"/>
          <w:sz w:val="21"/>
        </w:rPr>
        <w:t> </w:t>
      </w:r>
      <w:r>
        <w:rPr>
          <w:color w:val="231F20"/>
          <w:w w:val="105"/>
          <w:sz w:val="21"/>
        </w:rPr>
        <w:t>para</w:t>
      </w:r>
      <w:r>
        <w:rPr>
          <w:color w:val="231F20"/>
          <w:spacing w:val="-9"/>
          <w:w w:val="105"/>
          <w:sz w:val="21"/>
        </w:rPr>
        <w:t> </w:t>
      </w:r>
      <w:r>
        <w:rPr>
          <w:color w:val="231F20"/>
          <w:w w:val="105"/>
          <w:sz w:val="21"/>
        </w:rPr>
        <w:t>el</w:t>
      </w:r>
      <w:r>
        <w:rPr>
          <w:color w:val="231F20"/>
          <w:spacing w:val="-9"/>
          <w:w w:val="105"/>
          <w:sz w:val="21"/>
        </w:rPr>
        <w:t> </w:t>
      </w:r>
      <w:r>
        <w:rPr>
          <w:color w:val="231F20"/>
          <w:w w:val="105"/>
          <w:sz w:val="21"/>
        </w:rPr>
        <w:t>año</w:t>
      </w:r>
      <w:r>
        <w:rPr>
          <w:color w:val="231F20"/>
          <w:spacing w:val="-9"/>
          <w:w w:val="105"/>
          <w:sz w:val="21"/>
        </w:rPr>
        <w:t> </w:t>
      </w:r>
      <w:r>
        <w:rPr>
          <w:color w:val="231F20"/>
          <w:w w:val="105"/>
          <w:sz w:val="21"/>
        </w:rPr>
        <w:t>2000</w:t>
      </w:r>
      <w:r>
        <w:rPr>
          <w:color w:val="231F20"/>
          <w:spacing w:val="-9"/>
          <w:w w:val="105"/>
          <w:sz w:val="21"/>
        </w:rPr>
        <w:t> </w:t>
      </w:r>
      <w:r>
        <w:rPr>
          <w:color w:val="231F20"/>
          <w:w w:val="105"/>
          <w:sz w:val="21"/>
        </w:rPr>
        <w:t>el número</w:t>
      </w:r>
      <w:r>
        <w:rPr>
          <w:color w:val="231F20"/>
          <w:spacing w:val="-8"/>
          <w:w w:val="105"/>
          <w:sz w:val="21"/>
        </w:rPr>
        <w:t> </w:t>
      </w:r>
      <w:r>
        <w:rPr>
          <w:color w:val="231F20"/>
          <w:w w:val="105"/>
          <w:sz w:val="21"/>
        </w:rPr>
        <w:t>de</w:t>
      </w:r>
      <w:r>
        <w:rPr>
          <w:color w:val="231F20"/>
          <w:spacing w:val="-8"/>
          <w:w w:val="105"/>
          <w:sz w:val="21"/>
        </w:rPr>
        <w:t> </w:t>
      </w:r>
      <w:r>
        <w:rPr>
          <w:color w:val="231F20"/>
          <w:w w:val="105"/>
          <w:sz w:val="21"/>
        </w:rPr>
        <w:t>mexicanos</w:t>
      </w:r>
      <w:r>
        <w:rPr>
          <w:color w:val="231F20"/>
          <w:spacing w:val="-8"/>
          <w:w w:val="105"/>
          <w:sz w:val="21"/>
        </w:rPr>
        <w:t> </w:t>
      </w:r>
      <w:r>
        <w:rPr>
          <w:color w:val="231F20"/>
          <w:w w:val="105"/>
          <w:sz w:val="21"/>
        </w:rPr>
        <w:t>radicados</w:t>
      </w:r>
      <w:r>
        <w:rPr>
          <w:color w:val="231F20"/>
          <w:spacing w:val="-8"/>
          <w:w w:val="105"/>
          <w:sz w:val="21"/>
        </w:rPr>
        <w:t> </w:t>
      </w:r>
      <w:r>
        <w:rPr>
          <w:color w:val="231F20"/>
          <w:w w:val="105"/>
          <w:sz w:val="21"/>
        </w:rPr>
        <w:t>en</w:t>
      </w:r>
      <w:r>
        <w:rPr>
          <w:color w:val="231F20"/>
          <w:spacing w:val="-8"/>
          <w:w w:val="105"/>
          <w:sz w:val="21"/>
        </w:rPr>
        <w:t> </w:t>
      </w:r>
      <w:r>
        <w:rPr>
          <w:color w:val="231F20"/>
          <w:w w:val="105"/>
          <w:sz w:val="21"/>
        </w:rPr>
        <w:t>Estados</w:t>
      </w:r>
      <w:r>
        <w:rPr>
          <w:color w:val="231F20"/>
          <w:spacing w:val="-8"/>
          <w:w w:val="105"/>
          <w:sz w:val="21"/>
        </w:rPr>
        <w:t> </w:t>
      </w:r>
      <w:r>
        <w:rPr>
          <w:color w:val="231F20"/>
          <w:w w:val="105"/>
          <w:sz w:val="21"/>
        </w:rPr>
        <w:t>Unidos</w:t>
      </w:r>
      <w:r>
        <w:rPr>
          <w:color w:val="231F20"/>
          <w:spacing w:val="-8"/>
          <w:w w:val="105"/>
          <w:sz w:val="21"/>
        </w:rPr>
        <w:t> </w:t>
      </w:r>
      <w:r>
        <w:rPr>
          <w:color w:val="231F20"/>
          <w:w w:val="105"/>
          <w:sz w:val="21"/>
        </w:rPr>
        <w:t>fue</w:t>
      </w:r>
      <w:r>
        <w:rPr>
          <w:color w:val="231F20"/>
          <w:spacing w:val="-8"/>
          <w:w w:val="105"/>
          <w:sz w:val="21"/>
        </w:rPr>
        <w:t> </w:t>
      </w:r>
      <w:r>
        <w:rPr>
          <w:color w:val="231F20"/>
          <w:w w:val="105"/>
          <w:sz w:val="21"/>
        </w:rPr>
        <w:t>de</w:t>
      </w:r>
    </w:p>
    <w:p>
      <w:pPr>
        <w:pStyle w:val="BodyText"/>
        <w:spacing w:before="1"/>
        <w:ind w:left="2934"/>
      </w:pPr>
      <w:r>
        <w:rPr>
          <w:color w:val="231F20"/>
          <w:w w:val="105"/>
        </w:rPr>
        <w:t>10.6 millones.</w:t>
      </w:r>
    </w:p>
    <w:p>
      <w:pPr>
        <w:pStyle w:val="BodyText"/>
        <w:spacing w:before="11"/>
        <w:rPr>
          <w:sz w:val="16"/>
        </w:rPr>
      </w:pPr>
    </w:p>
    <w:p>
      <w:pPr>
        <w:pStyle w:val="ListParagraph"/>
        <w:numPr>
          <w:ilvl w:val="0"/>
          <w:numId w:val="7"/>
        </w:numPr>
        <w:tabs>
          <w:tab w:pos="2935" w:val="left" w:leader="none"/>
        </w:tabs>
        <w:spacing w:line="261" w:lineRule="auto" w:before="0" w:after="0"/>
        <w:ind w:left="2934" w:right="1835" w:hanging="360"/>
        <w:jc w:val="both"/>
        <w:rPr>
          <w:sz w:val="21"/>
        </w:rPr>
      </w:pPr>
      <w:r>
        <w:rPr>
          <w:color w:val="231F20"/>
          <w:w w:val="105"/>
          <w:sz w:val="21"/>
        </w:rPr>
        <w:t>La creciente diversificación territorial del flujo, el origen geográfico</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los</w:t>
      </w:r>
      <w:r>
        <w:rPr>
          <w:color w:val="231F20"/>
          <w:spacing w:val="-15"/>
          <w:w w:val="105"/>
          <w:sz w:val="21"/>
        </w:rPr>
        <w:t> </w:t>
      </w:r>
      <w:r>
        <w:rPr>
          <w:color w:val="231F20"/>
          <w:w w:val="105"/>
          <w:sz w:val="21"/>
        </w:rPr>
        <w:t>migrantes</w:t>
      </w:r>
      <w:r>
        <w:rPr>
          <w:color w:val="231F20"/>
          <w:spacing w:val="-15"/>
          <w:w w:val="105"/>
          <w:sz w:val="21"/>
        </w:rPr>
        <w:t> </w:t>
      </w:r>
      <w:r>
        <w:rPr>
          <w:color w:val="231F20"/>
          <w:w w:val="105"/>
          <w:sz w:val="21"/>
        </w:rPr>
        <w:t>se</w:t>
      </w:r>
      <w:r>
        <w:rPr>
          <w:color w:val="231F20"/>
          <w:spacing w:val="-15"/>
          <w:w w:val="105"/>
          <w:sz w:val="21"/>
        </w:rPr>
        <w:t> </w:t>
      </w:r>
      <w:r>
        <w:rPr>
          <w:color w:val="231F20"/>
          <w:w w:val="105"/>
          <w:sz w:val="21"/>
        </w:rPr>
        <w:t>ha</w:t>
      </w:r>
      <w:r>
        <w:rPr>
          <w:color w:val="231F20"/>
          <w:spacing w:val="-15"/>
          <w:w w:val="105"/>
          <w:sz w:val="21"/>
        </w:rPr>
        <w:t> </w:t>
      </w:r>
      <w:r>
        <w:rPr>
          <w:color w:val="231F20"/>
          <w:w w:val="105"/>
          <w:sz w:val="21"/>
        </w:rPr>
        <w:t>extendido</w:t>
      </w:r>
      <w:r>
        <w:rPr>
          <w:color w:val="231F20"/>
          <w:spacing w:val="-15"/>
          <w:w w:val="105"/>
          <w:sz w:val="21"/>
        </w:rPr>
        <w:t> </w:t>
      </w:r>
      <w:r>
        <w:rPr>
          <w:color w:val="231F20"/>
          <w:w w:val="105"/>
          <w:sz w:val="21"/>
        </w:rPr>
        <w:t>más</w:t>
      </w:r>
      <w:r>
        <w:rPr>
          <w:color w:val="231F20"/>
          <w:spacing w:val="-15"/>
          <w:w w:val="105"/>
          <w:sz w:val="21"/>
        </w:rPr>
        <w:t> </w:t>
      </w:r>
      <w:r>
        <w:rPr>
          <w:color w:val="231F20"/>
          <w:w w:val="105"/>
          <w:sz w:val="21"/>
        </w:rPr>
        <w:t>allá</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las entidades y municipios tradicionales surgiendo entidades que toman importancia como Puebla, Hidalgo, Estado de México,</w:t>
      </w:r>
      <w:r>
        <w:rPr>
          <w:color w:val="231F20"/>
          <w:spacing w:val="-27"/>
          <w:w w:val="105"/>
          <w:sz w:val="21"/>
        </w:rPr>
        <w:t> </w:t>
      </w:r>
      <w:r>
        <w:rPr>
          <w:color w:val="231F20"/>
          <w:w w:val="105"/>
          <w:sz w:val="21"/>
        </w:rPr>
        <w:t>Distrito</w:t>
      </w:r>
      <w:r>
        <w:rPr>
          <w:color w:val="231F20"/>
          <w:spacing w:val="-23"/>
          <w:w w:val="105"/>
          <w:sz w:val="21"/>
        </w:rPr>
        <w:t> </w:t>
      </w:r>
      <w:r>
        <w:rPr>
          <w:color w:val="231F20"/>
          <w:w w:val="105"/>
          <w:sz w:val="21"/>
        </w:rPr>
        <w:t>Federal</w:t>
      </w:r>
      <w:r>
        <w:rPr>
          <w:color w:val="231F20"/>
          <w:spacing w:val="-23"/>
          <w:w w:val="105"/>
          <w:sz w:val="21"/>
        </w:rPr>
        <w:t> </w:t>
      </w:r>
      <w:r>
        <w:rPr>
          <w:color w:val="231F20"/>
          <w:w w:val="105"/>
          <w:sz w:val="21"/>
        </w:rPr>
        <w:t>y</w:t>
      </w:r>
      <w:r>
        <w:rPr>
          <w:color w:val="231F20"/>
          <w:spacing w:val="-23"/>
          <w:w w:val="105"/>
          <w:sz w:val="21"/>
        </w:rPr>
        <w:t> </w:t>
      </w:r>
      <w:r>
        <w:rPr>
          <w:color w:val="231F20"/>
          <w:w w:val="105"/>
          <w:sz w:val="21"/>
        </w:rPr>
        <w:t>Morelos.</w:t>
      </w:r>
    </w:p>
    <w:p>
      <w:pPr>
        <w:pStyle w:val="ListParagraph"/>
        <w:numPr>
          <w:ilvl w:val="0"/>
          <w:numId w:val="7"/>
        </w:numPr>
        <w:tabs>
          <w:tab w:pos="2935" w:val="left" w:leader="none"/>
        </w:tabs>
        <w:spacing w:line="261" w:lineRule="auto" w:before="171" w:after="0"/>
        <w:ind w:left="2934" w:right="1828" w:hanging="360"/>
        <w:jc w:val="both"/>
        <w:rPr>
          <w:sz w:val="21"/>
        </w:rPr>
      </w:pPr>
      <w:r>
        <w:rPr>
          <w:color w:val="231F20"/>
          <w:w w:val="105"/>
          <w:sz w:val="21"/>
        </w:rPr>
        <w:t>El desgaste de los mecanismos de circularidad migratoria, asociada a la mayor propensión de una migración de ca- rácter definitivo. Una tendencia a prolongar su estancia o  a establecer su residencia a razón de la intensificación de los</w:t>
      </w:r>
      <w:r>
        <w:rPr>
          <w:color w:val="231F20"/>
          <w:spacing w:val="-17"/>
          <w:w w:val="105"/>
          <w:sz w:val="21"/>
        </w:rPr>
        <w:t> </w:t>
      </w:r>
      <w:r>
        <w:rPr>
          <w:color w:val="231F20"/>
          <w:w w:val="105"/>
          <w:sz w:val="21"/>
        </w:rPr>
        <w:t>controles</w:t>
      </w:r>
      <w:r>
        <w:rPr>
          <w:color w:val="231F20"/>
          <w:spacing w:val="-17"/>
          <w:w w:val="105"/>
          <w:sz w:val="21"/>
        </w:rPr>
        <w:t> </w:t>
      </w:r>
      <w:r>
        <w:rPr>
          <w:color w:val="231F20"/>
          <w:w w:val="105"/>
          <w:sz w:val="21"/>
        </w:rPr>
        <w:t>fronterizos</w:t>
      </w:r>
      <w:r>
        <w:rPr>
          <w:color w:val="231F20"/>
          <w:spacing w:val="-17"/>
          <w:w w:val="105"/>
          <w:sz w:val="21"/>
        </w:rPr>
        <w:t> </w:t>
      </w:r>
      <w:r>
        <w:rPr>
          <w:color w:val="231F20"/>
          <w:w w:val="105"/>
          <w:sz w:val="21"/>
        </w:rPr>
        <w:t>y</w:t>
      </w:r>
      <w:r>
        <w:rPr>
          <w:color w:val="231F20"/>
          <w:spacing w:val="-17"/>
          <w:w w:val="105"/>
          <w:sz w:val="21"/>
        </w:rPr>
        <w:t> </w:t>
      </w:r>
      <w:r>
        <w:rPr>
          <w:color w:val="231F20"/>
          <w:w w:val="105"/>
          <w:sz w:val="21"/>
        </w:rPr>
        <w:t>el</w:t>
      </w:r>
      <w:r>
        <w:rPr>
          <w:color w:val="231F20"/>
          <w:spacing w:val="-17"/>
          <w:w w:val="105"/>
          <w:sz w:val="21"/>
        </w:rPr>
        <w:t> </w:t>
      </w:r>
      <w:r>
        <w:rPr>
          <w:color w:val="231F20"/>
          <w:w w:val="105"/>
          <w:sz w:val="21"/>
        </w:rPr>
        <w:t>consecuente</w:t>
      </w:r>
      <w:r>
        <w:rPr>
          <w:color w:val="231F20"/>
          <w:spacing w:val="-17"/>
          <w:w w:val="105"/>
          <w:sz w:val="21"/>
        </w:rPr>
        <w:t> </w:t>
      </w:r>
      <w:r>
        <w:rPr>
          <w:color w:val="231F20"/>
          <w:w w:val="105"/>
          <w:sz w:val="21"/>
        </w:rPr>
        <w:t>incremento</w:t>
      </w:r>
      <w:r>
        <w:rPr>
          <w:color w:val="231F20"/>
          <w:spacing w:val="-17"/>
          <w:w w:val="105"/>
          <w:sz w:val="21"/>
        </w:rPr>
        <w:t> </w:t>
      </w:r>
      <w:r>
        <w:rPr>
          <w:color w:val="231F20"/>
          <w:w w:val="105"/>
          <w:sz w:val="21"/>
        </w:rPr>
        <w:t>en</w:t>
      </w:r>
      <w:r>
        <w:rPr>
          <w:color w:val="231F20"/>
          <w:spacing w:val="-17"/>
          <w:w w:val="105"/>
          <w:sz w:val="21"/>
        </w:rPr>
        <w:t> </w:t>
      </w:r>
      <w:r>
        <w:rPr>
          <w:color w:val="231F20"/>
          <w:w w:val="105"/>
          <w:sz w:val="21"/>
        </w:rPr>
        <w:t>los riesgos</w:t>
      </w:r>
      <w:r>
        <w:rPr>
          <w:color w:val="231F20"/>
          <w:spacing w:val="-21"/>
          <w:w w:val="105"/>
          <w:sz w:val="21"/>
        </w:rPr>
        <w:t> </w:t>
      </w:r>
      <w:r>
        <w:rPr>
          <w:color w:val="231F20"/>
          <w:w w:val="105"/>
          <w:sz w:val="21"/>
        </w:rPr>
        <w:t>y</w:t>
      </w:r>
      <w:r>
        <w:rPr>
          <w:color w:val="231F20"/>
          <w:spacing w:val="-21"/>
          <w:w w:val="105"/>
          <w:sz w:val="21"/>
        </w:rPr>
        <w:t> </w:t>
      </w:r>
      <w:r>
        <w:rPr>
          <w:color w:val="231F20"/>
          <w:w w:val="105"/>
          <w:sz w:val="21"/>
        </w:rPr>
        <w:t>costos</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cruce.</w:t>
      </w:r>
    </w:p>
    <w:p>
      <w:pPr>
        <w:pStyle w:val="ListParagraph"/>
        <w:numPr>
          <w:ilvl w:val="0"/>
          <w:numId w:val="7"/>
        </w:numPr>
        <w:tabs>
          <w:tab w:pos="2935" w:val="left" w:leader="none"/>
        </w:tabs>
        <w:spacing w:line="261" w:lineRule="auto" w:before="171" w:after="0"/>
        <w:ind w:left="2934" w:right="1835" w:hanging="360"/>
        <w:jc w:val="both"/>
        <w:rPr>
          <w:sz w:val="21"/>
        </w:rPr>
      </w:pPr>
      <w:r>
        <w:rPr>
          <w:color w:val="231F20"/>
          <w:w w:val="105"/>
          <w:sz w:val="21"/>
        </w:rPr>
        <w:t>Una cada vez más notoria presencia de migrantes proce- dentes</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las</w:t>
      </w:r>
      <w:r>
        <w:rPr>
          <w:color w:val="231F20"/>
          <w:spacing w:val="-11"/>
          <w:w w:val="105"/>
          <w:sz w:val="21"/>
        </w:rPr>
        <w:t> </w:t>
      </w:r>
      <w:r>
        <w:rPr>
          <w:color w:val="231F20"/>
          <w:w w:val="105"/>
          <w:sz w:val="21"/>
        </w:rPr>
        <w:t>zonas</w:t>
      </w:r>
      <w:r>
        <w:rPr>
          <w:color w:val="231F20"/>
          <w:spacing w:val="-11"/>
          <w:w w:val="105"/>
          <w:sz w:val="21"/>
        </w:rPr>
        <w:t> </w:t>
      </w:r>
      <w:r>
        <w:rPr>
          <w:color w:val="231F20"/>
          <w:w w:val="105"/>
          <w:sz w:val="21"/>
        </w:rPr>
        <w:t>urbanas,</w:t>
      </w:r>
      <w:r>
        <w:rPr>
          <w:color w:val="231F20"/>
          <w:spacing w:val="-15"/>
          <w:w w:val="105"/>
          <w:sz w:val="21"/>
        </w:rPr>
        <w:t> </w:t>
      </w:r>
      <w:r>
        <w:rPr>
          <w:color w:val="231F20"/>
          <w:w w:val="105"/>
          <w:sz w:val="21"/>
        </w:rPr>
        <w:t>los</w:t>
      </w:r>
      <w:r>
        <w:rPr>
          <w:color w:val="231F20"/>
          <w:spacing w:val="-11"/>
          <w:w w:val="105"/>
          <w:sz w:val="21"/>
        </w:rPr>
        <w:t> </w:t>
      </w:r>
      <w:r>
        <w:rPr>
          <w:color w:val="231F20"/>
          <w:w w:val="105"/>
          <w:sz w:val="21"/>
        </w:rPr>
        <w:t>grandes</w:t>
      </w:r>
      <w:r>
        <w:rPr>
          <w:color w:val="231F20"/>
          <w:spacing w:val="-11"/>
          <w:w w:val="105"/>
          <w:sz w:val="21"/>
        </w:rPr>
        <w:t> </w:t>
      </w:r>
      <w:r>
        <w:rPr>
          <w:color w:val="231F20"/>
          <w:w w:val="105"/>
          <w:sz w:val="21"/>
        </w:rPr>
        <w:t>focos</w:t>
      </w:r>
      <w:r>
        <w:rPr>
          <w:color w:val="231F20"/>
          <w:spacing w:val="-11"/>
          <w:w w:val="105"/>
          <w:sz w:val="21"/>
        </w:rPr>
        <w:t> </w:t>
      </w:r>
      <w:r>
        <w:rPr>
          <w:color w:val="231F20"/>
          <w:w w:val="105"/>
          <w:sz w:val="21"/>
        </w:rPr>
        <w:t>urbanos</w:t>
      </w:r>
      <w:r>
        <w:rPr>
          <w:color w:val="231F20"/>
          <w:spacing w:val="-11"/>
          <w:w w:val="105"/>
          <w:sz w:val="21"/>
        </w:rPr>
        <w:t> </w:t>
      </w:r>
      <w:r>
        <w:rPr>
          <w:color w:val="231F20"/>
          <w:w w:val="105"/>
          <w:sz w:val="21"/>
        </w:rPr>
        <w:t>ya no</w:t>
      </w:r>
      <w:r>
        <w:rPr>
          <w:color w:val="231F20"/>
          <w:spacing w:val="-18"/>
          <w:w w:val="105"/>
          <w:sz w:val="21"/>
        </w:rPr>
        <w:t> </w:t>
      </w:r>
      <w:r>
        <w:rPr>
          <w:color w:val="231F20"/>
          <w:w w:val="105"/>
          <w:sz w:val="21"/>
        </w:rPr>
        <w:t>sólo</w:t>
      </w:r>
      <w:r>
        <w:rPr>
          <w:color w:val="231F20"/>
          <w:spacing w:val="-18"/>
          <w:w w:val="105"/>
          <w:sz w:val="21"/>
        </w:rPr>
        <w:t> </w:t>
      </w:r>
      <w:r>
        <w:rPr>
          <w:color w:val="231F20"/>
          <w:w w:val="105"/>
          <w:sz w:val="21"/>
        </w:rPr>
        <w:t>son</w:t>
      </w:r>
      <w:r>
        <w:rPr>
          <w:color w:val="231F20"/>
          <w:spacing w:val="-18"/>
          <w:w w:val="105"/>
          <w:sz w:val="21"/>
        </w:rPr>
        <w:t> </w:t>
      </w:r>
      <w:r>
        <w:rPr>
          <w:color w:val="231F20"/>
          <w:w w:val="105"/>
          <w:sz w:val="21"/>
        </w:rPr>
        <w:t>importantes</w:t>
      </w:r>
      <w:r>
        <w:rPr>
          <w:color w:val="231F20"/>
          <w:spacing w:val="-18"/>
          <w:w w:val="105"/>
          <w:sz w:val="21"/>
        </w:rPr>
        <w:t> </w:t>
      </w:r>
      <w:r>
        <w:rPr>
          <w:color w:val="231F20"/>
          <w:w w:val="105"/>
          <w:sz w:val="21"/>
        </w:rPr>
        <w:t>centros</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atracción</w:t>
      </w:r>
      <w:r>
        <w:rPr>
          <w:color w:val="231F20"/>
          <w:spacing w:val="-18"/>
          <w:w w:val="105"/>
          <w:sz w:val="21"/>
        </w:rPr>
        <w:t> </w:t>
      </w:r>
      <w:r>
        <w:rPr>
          <w:color w:val="231F20"/>
          <w:w w:val="105"/>
          <w:sz w:val="21"/>
        </w:rPr>
        <w:t>para</w:t>
      </w:r>
      <w:r>
        <w:rPr>
          <w:color w:val="231F20"/>
          <w:spacing w:val="-18"/>
          <w:w w:val="105"/>
          <w:sz w:val="21"/>
        </w:rPr>
        <w:t> </w:t>
      </w:r>
      <w:r>
        <w:rPr>
          <w:color w:val="231F20"/>
          <w:w w:val="105"/>
          <w:sz w:val="21"/>
        </w:rPr>
        <w:t>personas de origen rural sino que son plataformas para la migración internacional.</w:t>
      </w:r>
    </w:p>
    <w:p>
      <w:pPr>
        <w:pStyle w:val="ListParagraph"/>
        <w:numPr>
          <w:ilvl w:val="0"/>
          <w:numId w:val="7"/>
        </w:numPr>
        <w:tabs>
          <w:tab w:pos="2935" w:val="left" w:leader="none"/>
        </w:tabs>
        <w:spacing w:line="261" w:lineRule="auto" w:before="171" w:after="0"/>
        <w:ind w:left="2934" w:right="1830" w:hanging="360"/>
        <w:jc w:val="both"/>
        <w:rPr>
          <w:sz w:val="21"/>
        </w:rPr>
      </w:pPr>
      <w:r>
        <w:rPr>
          <w:color w:val="231F20"/>
          <w:w w:val="105"/>
          <w:sz w:val="21"/>
        </w:rPr>
        <w:t>Una</w:t>
      </w:r>
      <w:r>
        <w:rPr>
          <w:color w:val="231F20"/>
          <w:spacing w:val="-19"/>
          <w:w w:val="105"/>
          <w:sz w:val="21"/>
        </w:rPr>
        <w:t> </w:t>
      </w:r>
      <w:r>
        <w:rPr>
          <w:color w:val="231F20"/>
          <w:w w:val="105"/>
          <w:sz w:val="21"/>
        </w:rPr>
        <w:t>mayor</w:t>
      </w:r>
      <w:r>
        <w:rPr>
          <w:color w:val="231F20"/>
          <w:spacing w:val="-19"/>
          <w:w w:val="105"/>
          <w:sz w:val="21"/>
        </w:rPr>
        <w:t> </w:t>
      </w:r>
      <w:r>
        <w:rPr>
          <w:color w:val="231F20"/>
          <w:w w:val="105"/>
          <w:sz w:val="21"/>
        </w:rPr>
        <w:t>diversificación</w:t>
      </w:r>
      <w:r>
        <w:rPr>
          <w:color w:val="231F20"/>
          <w:spacing w:val="-19"/>
          <w:w w:val="105"/>
          <w:sz w:val="21"/>
        </w:rPr>
        <w:t> </w:t>
      </w:r>
      <w:r>
        <w:rPr>
          <w:color w:val="231F20"/>
          <w:w w:val="105"/>
          <w:sz w:val="21"/>
        </w:rPr>
        <w:t>ocupacional</w:t>
      </w:r>
      <w:r>
        <w:rPr>
          <w:color w:val="231F20"/>
          <w:spacing w:val="-19"/>
          <w:w w:val="105"/>
          <w:sz w:val="21"/>
        </w:rPr>
        <w:t> </w:t>
      </w:r>
      <w:r>
        <w:rPr>
          <w:color w:val="231F20"/>
          <w:w w:val="105"/>
          <w:sz w:val="21"/>
        </w:rPr>
        <w:t>y</w:t>
      </w:r>
      <w:r>
        <w:rPr>
          <w:color w:val="231F20"/>
          <w:spacing w:val="-19"/>
          <w:w w:val="105"/>
          <w:sz w:val="21"/>
        </w:rPr>
        <w:t> </w:t>
      </w:r>
      <w:r>
        <w:rPr>
          <w:color w:val="231F20"/>
          <w:w w:val="105"/>
          <w:sz w:val="21"/>
        </w:rPr>
        <w:t>sectorial</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los</w:t>
      </w:r>
      <w:r>
        <w:rPr>
          <w:color w:val="231F20"/>
          <w:spacing w:val="-19"/>
          <w:w w:val="105"/>
          <w:sz w:val="21"/>
        </w:rPr>
        <w:t> </w:t>
      </w:r>
      <w:r>
        <w:rPr>
          <w:color w:val="231F20"/>
          <w:w w:val="105"/>
          <w:sz w:val="21"/>
        </w:rPr>
        <w:t>mi- grantes,</w:t>
      </w:r>
      <w:r>
        <w:rPr>
          <w:color w:val="231F20"/>
          <w:spacing w:val="-25"/>
          <w:w w:val="105"/>
          <w:sz w:val="21"/>
        </w:rPr>
        <w:t> </w:t>
      </w:r>
      <w:r>
        <w:rPr>
          <w:color w:val="231F20"/>
          <w:w w:val="105"/>
          <w:sz w:val="21"/>
        </w:rPr>
        <w:t>hoy</w:t>
      </w:r>
      <w:r>
        <w:rPr>
          <w:color w:val="231F20"/>
          <w:spacing w:val="-20"/>
          <w:w w:val="105"/>
          <w:sz w:val="21"/>
        </w:rPr>
        <w:t> </w:t>
      </w:r>
      <w:r>
        <w:rPr>
          <w:color w:val="231F20"/>
          <w:w w:val="105"/>
          <w:sz w:val="21"/>
        </w:rPr>
        <w:t>en</w:t>
      </w:r>
      <w:r>
        <w:rPr>
          <w:color w:val="231F20"/>
          <w:spacing w:val="-20"/>
          <w:w w:val="105"/>
          <w:sz w:val="21"/>
        </w:rPr>
        <w:t> </w:t>
      </w:r>
      <w:r>
        <w:rPr>
          <w:color w:val="231F20"/>
          <w:w w:val="105"/>
          <w:sz w:val="21"/>
        </w:rPr>
        <w:t>día</w:t>
      </w:r>
      <w:r>
        <w:rPr>
          <w:color w:val="231F20"/>
          <w:spacing w:val="-20"/>
          <w:w w:val="105"/>
          <w:sz w:val="21"/>
        </w:rPr>
        <w:t> </w:t>
      </w:r>
      <w:r>
        <w:rPr>
          <w:color w:val="231F20"/>
          <w:w w:val="105"/>
          <w:sz w:val="21"/>
        </w:rPr>
        <w:t>ya</w:t>
      </w:r>
      <w:r>
        <w:rPr>
          <w:color w:val="231F20"/>
          <w:spacing w:val="-20"/>
          <w:w w:val="105"/>
          <w:sz w:val="21"/>
        </w:rPr>
        <w:t> </w:t>
      </w:r>
      <w:r>
        <w:rPr>
          <w:color w:val="231F20"/>
          <w:w w:val="105"/>
          <w:sz w:val="21"/>
        </w:rPr>
        <w:t>no</w:t>
      </w:r>
      <w:r>
        <w:rPr>
          <w:color w:val="231F20"/>
          <w:spacing w:val="-20"/>
          <w:w w:val="105"/>
          <w:sz w:val="21"/>
        </w:rPr>
        <w:t> </w:t>
      </w:r>
      <w:r>
        <w:rPr>
          <w:color w:val="231F20"/>
          <w:w w:val="105"/>
          <w:sz w:val="21"/>
        </w:rPr>
        <w:t>sólo</w:t>
      </w:r>
      <w:r>
        <w:rPr>
          <w:color w:val="231F20"/>
          <w:spacing w:val="-20"/>
          <w:w w:val="105"/>
          <w:sz w:val="21"/>
        </w:rPr>
        <w:t> </w:t>
      </w:r>
      <w:r>
        <w:rPr>
          <w:color w:val="231F20"/>
          <w:w w:val="105"/>
          <w:sz w:val="21"/>
        </w:rPr>
        <w:t>se</w:t>
      </w:r>
      <w:r>
        <w:rPr>
          <w:color w:val="231F20"/>
          <w:spacing w:val="-20"/>
          <w:w w:val="105"/>
          <w:sz w:val="21"/>
        </w:rPr>
        <w:t> </w:t>
      </w:r>
      <w:r>
        <w:rPr>
          <w:color w:val="231F20"/>
          <w:w w:val="105"/>
          <w:sz w:val="21"/>
        </w:rPr>
        <w:t>dedican</w:t>
      </w:r>
      <w:r>
        <w:rPr>
          <w:color w:val="231F20"/>
          <w:spacing w:val="-20"/>
          <w:w w:val="105"/>
          <w:sz w:val="21"/>
        </w:rPr>
        <w:t> </w:t>
      </w:r>
      <w:r>
        <w:rPr>
          <w:color w:val="231F20"/>
          <w:w w:val="105"/>
          <w:sz w:val="21"/>
        </w:rPr>
        <w:t>a</w:t>
      </w:r>
      <w:r>
        <w:rPr>
          <w:color w:val="231F20"/>
          <w:spacing w:val="-20"/>
          <w:w w:val="105"/>
          <w:sz w:val="21"/>
        </w:rPr>
        <w:t> </w:t>
      </w:r>
      <w:r>
        <w:rPr>
          <w:color w:val="231F20"/>
          <w:w w:val="105"/>
          <w:sz w:val="21"/>
        </w:rPr>
        <w:t>los</w:t>
      </w:r>
      <w:r>
        <w:rPr>
          <w:color w:val="231F20"/>
          <w:spacing w:val="-20"/>
          <w:w w:val="105"/>
          <w:sz w:val="21"/>
        </w:rPr>
        <w:t> </w:t>
      </w:r>
      <w:r>
        <w:rPr>
          <w:color w:val="231F20"/>
          <w:w w:val="105"/>
          <w:sz w:val="21"/>
        </w:rPr>
        <w:t>trabajos</w:t>
      </w:r>
      <w:r>
        <w:rPr>
          <w:color w:val="231F20"/>
          <w:spacing w:val="-20"/>
          <w:w w:val="105"/>
          <w:sz w:val="21"/>
        </w:rPr>
        <w:t> </w:t>
      </w:r>
      <w:r>
        <w:rPr>
          <w:color w:val="231F20"/>
          <w:w w:val="105"/>
          <w:sz w:val="21"/>
        </w:rPr>
        <w:t>agrí- colas</w:t>
      </w:r>
      <w:r>
        <w:rPr>
          <w:color w:val="231F20"/>
          <w:spacing w:val="-16"/>
          <w:w w:val="105"/>
          <w:sz w:val="21"/>
        </w:rPr>
        <w:t> </w:t>
      </w:r>
      <w:r>
        <w:rPr>
          <w:color w:val="231F20"/>
          <w:w w:val="105"/>
          <w:sz w:val="21"/>
        </w:rPr>
        <w:t>en</w:t>
      </w:r>
      <w:r>
        <w:rPr>
          <w:color w:val="231F20"/>
          <w:spacing w:val="-16"/>
          <w:w w:val="105"/>
          <w:sz w:val="21"/>
        </w:rPr>
        <w:t> </w:t>
      </w:r>
      <w:r>
        <w:rPr>
          <w:color w:val="231F20"/>
          <w:w w:val="105"/>
          <w:sz w:val="21"/>
        </w:rPr>
        <w:t>Estados</w:t>
      </w:r>
      <w:r>
        <w:rPr>
          <w:color w:val="231F20"/>
          <w:spacing w:val="-16"/>
          <w:w w:val="105"/>
          <w:sz w:val="21"/>
        </w:rPr>
        <w:t> </w:t>
      </w:r>
      <w:r>
        <w:rPr>
          <w:color w:val="231F20"/>
          <w:w w:val="105"/>
          <w:sz w:val="21"/>
        </w:rPr>
        <w:t>Unidos</w:t>
      </w:r>
      <w:r>
        <w:rPr>
          <w:color w:val="231F20"/>
          <w:spacing w:val="-16"/>
          <w:w w:val="105"/>
          <w:sz w:val="21"/>
        </w:rPr>
        <w:t> </w:t>
      </w:r>
      <w:r>
        <w:rPr>
          <w:color w:val="231F20"/>
          <w:w w:val="105"/>
          <w:sz w:val="21"/>
        </w:rPr>
        <w:t>y</w:t>
      </w:r>
      <w:r>
        <w:rPr>
          <w:color w:val="231F20"/>
          <w:spacing w:val="-16"/>
          <w:w w:val="105"/>
          <w:sz w:val="21"/>
        </w:rPr>
        <w:t> </w:t>
      </w:r>
      <w:r>
        <w:rPr>
          <w:color w:val="231F20"/>
          <w:spacing w:val="-3"/>
          <w:w w:val="105"/>
          <w:sz w:val="21"/>
        </w:rPr>
        <w:t>México,</w:t>
      </w:r>
      <w:r>
        <w:rPr>
          <w:color w:val="231F20"/>
          <w:spacing w:val="-22"/>
          <w:w w:val="105"/>
          <w:sz w:val="21"/>
        </w:rPr>
        <w:t> </w:t>
      </w:r>
      <w:r>
        <w:rPr>
          <w:color w:val="231F20"/>
          <w:w w:val="105"/>
          <w:sz w:val="21"/>
        </w:rPr>
        <w:t>por</w:t>
      </w:r>
      <w:r>
        <w:rPr>
          <w:color w:val="231F20"/>
          <w:spacing w:val="-16"/>
          <w:w w:val="105"/>
          <w:sz w:val="21"/>
        </w:rPr>
        <w:t> </w:t>
      </w:r>
      <w:r>
        <w:rPr>
          <w:color w:val="231F20"/>
          <w:w w:val="105"/>
          <w:sz w:val="21"/>
        </w:rPr>
        <w:t>ejemplo</w:t>
      </w:r>
      <w:r>
        <w:rPr>
          <w:color w:val="231F20"/>
          <w:spacing w:val="-16"/>
          <w:w w:val="105"/>
          <w:sz w:val="21"/>
        </w:rPr>
        <w:t> </w:t>
      </w:r>
      <w:r>
        <w:rPr>
          <w:color w:val="231F20"/>
          <w:w w:val="105"/>
          <w:sz w:val="21"/>
        </w:rPr>
        <w:t>en</w:t>
      </w:r>
      <w:r>
        <w:rPr>
          <w:color w:val="231F20"/>
          <w:spacing w:val="-16"/>
          <w:w w:val="105"/>
          <w:sz w:val="21"/>
        </w:rPr>
        <w:t> </w:t>
      </w:r>
      <w:r>
        <w:rPr>
          <w:color w:val="231F20"/>
          <w:w w:val="105"/>
          <w:sz w:val="21"/>
        </w:rPr>
        <w:t>2000,</w:t>
      </w:r>
      <w:r>
        <w:rPr>
          <w:color w:val="231F20"/>
          <w:spacing w:val="-22"/>
          <w:w w:val="105"/>
          <w:sz w:val="21"/>
        </w:rPr>
        <w:t> </w:t>
      </w:r>
      <w:r>
        <w:rPr>
          <w:color w:val="231F20"/>
          <w:spacing w:val="-2"/>
          <w:w w:val="105"/>
          <w:sz w:val="21"/>
        </w:rPr>
        <w:t>los </w:t>
      </w:r>
      <w:r>
        <w:rPr>
          <w:color w:val="231F20"/>
          <w:spacing w:val="-3"/>
          <w:w w:val="105"/>
          <w:sz w:val="21"/>
        </w:rPr>
        <w:t>sectores </w:t>
      </w:r>
      <w:r>
        <w:rPr>
          <w:color w:val="231F20"/>
          <w:spacing w:val="-2"/>
          <w:w w:val="105"/>
          <w:sz w:val="21"/>
        </w:rPr>
        <w:t>primario, </w:t>
      </w:r>
      <w:r>
        <w:rPr>
          <w:color w:val="231F20"/>
          <w:w w:val="105"/>
          <w:sz w:val="21"/>
        </w:rPr>
        <w:t>secundario y </w:t>
      </w:r>
      <w:r>
        <w:rPr>
          <w:color w:val="231F20"/>
          <w:spacing w:val="-3"/>
          <w:w w:val="105"/>
          <w:sz w:val="21"/>
        </w:rPr>
        <w:t>terciario </w:t>
      </w:r>
      <w:r>
        <w:rPr>
          <w:color w:val="231F20"/>
          <w:spacing w:val="-2"/>
          <w:w w:val="105"/>
          <w:sz w:val="21"/>
        </w:rPr>
        <w:t>concentraban </w:t>
      </w:r>
      <w:r>
        <w:rPr>
          <w:color w:val="231F20"/>
          <w:spacing w:val="-3"/>
          <w:w w:val="105"/>
          <w:sz w:val="21"/>
        </w:rPr>
        <w:t>res- </w:t>
      </w:r>
      <w:r>
        <w:rPr>
          <w:color w:val="231F20"/>
          <w:w w:val="105"/>
          <w:sz w:val="21"/>
        </w:rPr>
        <w:t>pectivamente,</w:t>
      </w:r>
      <w:r>
        <w:rPr>
          <w:color w:val="231F20"/>
          <w:spacing w:val="-47"/>
          <w:w w:val="105"/>
          <w:sz w:val="21"/>
        </w:rPr>
        <w:t> </w:t>
      </w:r>
      <w:r>
        <w:rPr>
          <w:color w:val="231F20"/>
          <w:w w:val="105"/>
          <w:sz w:val="21"/>
        </w:rPr>
        <w:t>6%,</w:t>
      </w:r>
      <w:r>
        <w:rPr>
          <w:color w:val="231F20"/>
          <w:spacing w:val="-47"/>
          <w:w w:val="105"/>
          <w:sz w:val="21"/>
        </w:rPr>
        <w:t> </w:t>
      </w:r>
      <w:r>
        <w:rPr>
          <w:color w:val="231F20"/>
          <w:w w:val="105"/>
          <w:sz w:val="21"/>
        </w:rPr>
        <w:t>37%</w:t>
      </w:r>
      <w:r>
        <w:rPr>
          <w:color w:val="231F20"/>
          <w:spacing w:val="-44"/>
          <w:w w:val="105"/>
          <w:sz w:val="21"/>
        </w:rPr>
        <w:t> </w:t>
      </w:r>
      <w:r>
        <w:rPr>
          <w:color w:val="231F20"/>
          <w:w w:val="105"/>
          <w:sz w:val="21"/>
        </w:rPr>
        <w:t>y</w:t>
      </w:r>
      <w:r>
        <w:rPr>
          <w:color w:val="231F20"/>
          <w:spacing w:val="-44"/>
          <w:w w:val="105"/>
          <w:sz w:val="21"/>
        </w:rPr>
        <w:t> </w:t>
      </w:r>
      <w:r>
        <w:rPr>
          <w:color w:val="231F20"/>
          <w:w w:val="105"/>
          <w:sz w:val="21"/>
        </w:rPr>
        <w:t>57%</w:t>
      </w:r>
      <w:r>
        <w:rPr>
          <w:color w:val="231F20"/>
          <w:spacing w:val="-44"/>
          <w:w w:val="105"/>
          <w:sz w:val="21"/>
        </w:rPr>
        <w:t> </w:t>
      </w:r>
      <w:r>
        <w:rPr>
          <w:color w:val="231F20"/>
          <w:w w:val="105"/>
          <w:sz w:val="21"/>
        </w:rPr>
        <w:t>de</w:t>
      </w:r>
      <w:r>
        <w:rPr>
          <w:color w:val="231F20"/>
          <w:spacing w:val="-44"/>
          <w:w w:val="105"/>
          <w:sz w:val="21"/>
        </w:rPr>
        <w:t> </w:t>
      </w:r>
      <w:r>
        <w:rPr>
          <w:color w:val="231F20"/>
          <w:w w:val="105"/>
          <w:sz w:val="21"/>
        </w:rPr>
        <w:t>los</w:t>
      </w:r>
      <w:r>
        <w:rPr>
          <w:color w:val="231F20"/>
          <w:spacing w:val="-44"/>
          <w:w w:val="105"/>
          <w:sz w:val="21"/>
        </w:rPr>
        <w:t> </w:t>
      </w:r>
      <w:r>
        <w:rPr>
          <w:color w:val="231F20"/>
          <w:spacing w:val="-3"/>
          <w:w w:val="105"/>
          <w:sz w:val="21"/>
        </w:rPr>
        <w:t>trabajadores</w:t>
      </w:r>
      <w:r>
        <w:rPr>
          <w:color w:val="231F20"/>
          <w:spacing w:val="-44"/>
          <w:w w:val="105"/>
          <w:sz w:val="21"/>
        </w:rPr>
        <w:t> </w:t>
      </w:r>
      <w:r>
        <w:rPr>
          <w:color w:val="231F20"/>
          <w:spacing w:val="-3"/>
          <w:w w:val="105"/>
          <w:sz w:val="21"/>
        </w:rPr>
        <w:t>mexicanos.</w:t>
      </w:r>
    </w:p>
    <w:p>
      <w:pPr>
        <w:pStyle w:val="BodyText"/>
        <w:spacing w:line="261" w:lineRule="auto" w:before="171"/>
        <w:ind w:left="1723" w:right="1834"/>
        <w:jc w:val="both"/>
      </w:pPr>
      <w:r>
        <w:rPr>
          <w:color w:val="231F20"/>
          <w:spacing w:val="-3"/>
          <w:w w:val="105"/>
        </w:rPr>
        <w:t>Fue </w:t>
      </w:r>
      <w:r>
        <w:rPr>
          <w:color w:val="231F20"/>
          <w:w w:val="105"/>
        </w:rPr>
        <w:t>así como la migración mexicana de origen rural a Estados Unidos ha experimentado cambios sustantivos en los últimos treinta años, que constituyen tanto la acumulación de tendencias previas, como el</w:t>
      </w:r>
      <w:r>
        <w:rPr>
          <w:color w:val="231F20"/>
          <w:spacing w:val="-34"/>
          <w:w w:val="105"/>
        </w:rPr>
        <w:t> </w:t>
      </w:r>
      <w:r>
        <w:rPr>
          <w:color w:val="231F20"/>
          <w:w w:val="105"/>
        </w:rPr>
        <w:t>efecto de</w:t>
      </w:r>
      <w:r>
        <w:rPr>
          <w:color w:val="231F20"/>
          <w:spacing w:val="-26"/>
          <w:w w:val="105"/>
        </w:rPr>
        <w:t> </w:t>
      </w:r>
      <w:r>
        <w:rPr>
          <w:color w:val="231F20"/>
          <w:w w:val="105"/>
        </w:rPr>
        <w:t>procesos</w:t>
      </w:r>
      <w:r>
        <w:rPr>
          <w:color w:val="231F20"/>
          <w:spacing w:val="-26"/>
          <w:w w:val="105"/>
        </w:rPr>
        <w:t> </w:t>
      </w:r>
      <w:r>
        <w:rPr>
          <w:color w:val="231F20"/>
          <w:w w:val="105"/>
        </w:rPr>
        <w:t>estructurales</w:t>
      </w:r>
      <w:r>
        <w:rPr>
          <w:color w:val="231F20"/>
          <w:spacing w:val="-26"/>
          <w:w w:val="105"/>
        </w:rPr>
        <w:t> </w:t>
      </w:r>
      <w:r>
        <w:rPr>
          <w:color w:val="231F20"/>
          <w:w w:val="105"/>
        </w:rPr>
        <w:t>de</w:t>
      </w:r>
      <w:r>
        <w:rPr>
          <w:color w:val="231F20"/>
          <w:spacing w:val="-26"/>
          <w:w w:val="105"/>
        </w:rPr>
        <w:t> </w:t>
      </w:r>
      <w:r>
        <w:rPr>
          <w:color w:val="231F20"/>
          <w:w w:val="105"/>
        </w:rPr>
        <w:t>más</w:t>
      </w:r>
      <w:r>
        <w:rPr>
          <w:color w:val="231F20"/>
          <w:spacing w:val="-26"/>
          <w:w w:val="105"/>
        </w:rPr>
        <w:t> </w:t>
      </w:r>
      <w:r>
        <w:rPr>
          <w:color w:val="231F20"/>
          <w:w w:val="105"/>
        </w:rPr>
        <w:t>corto</w:t>
      </w:r>
      <w:r>
        <w:rPr>
          <w:color w:val="231F20"/>
          <w:spacing w:val="-26"/>
          <w:w w:val="105"/>
        </w:rPr>
        <w:t> </w:t>
      </w:r>
      <w:r>
        <w:rPr>
          <w:color w:val="231F20"/>
          <w:w w:val="105"/>
        </w:rPr>
        <w:t>plazo.</w:t>
      </w:r>
      <w:r>
        <w:rPr>
          <w:color w:val="231F20"/>
          <w:spacing w:val="-34"/>
          <w:w w:val="105"/>
        </w:rPr>
        <w:t> </w:t>
      </w:r>
      <w:r>
        <w:rPr>
          <w:color w:val="231F20"/>
          <w:spacing w:val="-5"/>
          <w:w w:val="105"/>
        </w:rPr>
        <w:t>Tales</w:t>
      </w:r>
      <w:r>
        <w:rPr>
          <w:color w:val="231F20"/>
          <w:spacing w:val="-26"/>
          <w:w w:val="105"/>
        </w:rPr>
        <w:t> </w:t>
      </w:r>
      <w:r>
        <w:rPr>
          <w:color w:val="231F20"/>
          <w:w w:val="105"/>
        </w:rPr>
        <w:t>cambios</w:t>
      </w:r>
      <w:r>
        <w:rPr>
          <w:color w:val="231F20"/>
          <w:spacing w:val="-26"/>
          <w:w w:val="105"/>
        </w:rPr>
        <w:t> </w:t>
      </w:r>
      <w:r>
        <w:rPr>
          <w:color w:val="231F20"/>
          <w:w w:val="105"/>
        </w:rPr>
        <w:t>son</w:t>
      </w:r>
      <w:r>
        <w:rPr>
          <w:color w:val="231F20"/>
          <w:spacing w:val="-26"/>
          <w:w w:val="105"/>
        </w:rPr>
        <w:t> </w:t>
      </w:r>
      <w:r>
        <w:rPr>
          <w:color w:val="231F20"/>
          <w:w w:val="105"/>
        </w:rPr>
        <w:t>percep- tibles no sólo en la conformación de los flujos migratorios, sus</w:t>
      </w:r>
      <w:r>
        <w:rPr>
          <w:color w:val="231F20"/>
          <w:spacing w:val="-34"/>
          <w:w w:val="105"/>
        </w:rPr>
        <w:t> </w:t>
      </w:r>
      <w:r>
        <w:rPr>
          <w:color w:val="231F20"/>
          <w:w w:val="105"/>
        </w:rPr>
        <w:t>orígenes y destinos, su temporalidad, la emergencia de nuevos actores sociales o</w:t>
      </w:r>
      <w:r>
        <w:rPr>
          <w:color w:val="231F20"/>
          <w:spacing w:val="-9"/>
          <w:w w:val="105"/>
        </w:rPr>
        <w:t> </w:t>
      </w:r>
      <w:r>
        <w:rPr>
          <w:color w:val="231F20"/>
          <w:w w:val="105"/>
        </w:rPr>
        <w:t>la</w:t>
      </w:r>
      <w:r>
        <w:rPr>
          <w:color w:val="231F20"/>
          <w:spacing w:val="-9"/>
          <w:w w:val="105"/>
        </w:rPr>
        <w:t> </w:t>
      </w:r>
      <w:r>
        <w:rPr>
          <w:color w:val="231F20"/>
          <w:w w:val="105"/>
        </w:rPr>
        <w:t>creciente</w:t>
      </w:r>
      <w:r>
        <w:rPr>
          <w:color w:val="231F20"/>
          <w:spacing w:val="-9"/>
          <w:w w:val="105"/>
        </w:rPr>
        <w:t> </w:t>
      </w:r>
      <w:r>
        <w:rPr>
          <w:color w:val="231F20"/>
          <w:w w:val="105"/>
        </w:rPr>
        <w:t>importancia</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remesas,</w:t>
      </w:r>
      <w:r>
        <w:rPr>
          <w:color w:val="231F20"/>
          <w:spacing w:val="-14"/>
          <w:w w:val="105"/>
        </w:rPr>
        <w:t> </w:t>
      </w:r>
      <w:r>
        <w:rPr>
          <w:color w:val="231F20"/>
          <w:w w:val="105"/>
        </w:rPr>
        <w:t>sino</w:t>
      </w:r>
      <w:r>
        <w:rPr>
          <w:color w:val="231F20"/>
          <w:spacing w:val="-9"/>
          <w:w w:val="105"/>
        </w:rPr>
        <w:t> </w:t>
      </w:r>
      <w:r>
        <w:rPr>
          <w:color w:val="231F20"/>
          <w:w w:val="105"/>
        </w:rPr>
        <w:t>fundamentalmente</w:t>
      </w:r>
      <w:r>
        <w:rPr>
          <w:color w:val="231F20"/>
          <w:spacing w:val="-9"/>
          <w:w w:val="105"/>
        </w:rPr>
        <w:t> </w:t>
      </w:r>
      <w:r>
        <w:rPr>
          <w:color w:val="231F20"/>
          <w:w w:val="105"/>
        </w:rPr>
        <w:t>en</w:t>
      </w:r>
      <w:r>
        <w:rPr>
          <w:color w:val="231F20"/>
          <w:spacing w:val="-9"/>
          <w:w w:val="105"/>
        </w:rPr>
        <w:t> </w:t>
      </w:r>
      <w:r>
        <w:rPr>
          <w:color w:val="231F20"/>
          <w:w w:val="105"/>
        </w:rPr>
        <w:t>la</w:t>
      </w:r>
    </w:p>
    <w:p>
      <w:pPr>
        <w:pStyle w:val="BodyText"/>
        <w:rPr>
          <w:sz w:val="20"/>
        </w:rPr>
      </w:pPr>
    </w:p>
    <w:p>
      <w:pPr>
        <w:pStyle w:val="BodyText"/>
        <w:rPr>
          <w:sz w:val="20"/>
        </w:rPr>
      </w:pPr>
    </w:p>
    <w:p>
      <w:pPr>
        <w:pStyle w:val="BodyText"/>
        <w:spacing w:before="9"/>
        <w:rPr>
          <w:sz w:val="19"/>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4792" from="131.551193pt,3.703715pt" to="131.551193pt,39.506114pt" stroked="true" strokeweight=".35pt" strokecolor="#231f20">
            <w10:wrap type="none"/>
          </v:line>
        </w:pict>
      </w:r>
      <w:r>
        <w:rPr/>
        <w:pict>
          <v:line style="position:absolute;mso-position-horizontal-relative:page;mso-position-vertical-relative:paragraph;z-index:-454720" from="15pt,39.505917pt" to="0pt,39.505917pt" stroked="true" strokeweight=".25pt" strokecolor="#000000">
            <w10:wrap type="none"/>
          </v:line>
        </w:pict>
      </w:r>
      <w:r>
        <w:rPr/>
        <w:pict>
          <v:line style="position:absolute;mso-position-horizontal-relative:page;mso-position-vertical-relative:paragraph;z-index:35488" from="508.890015pt,39.505917pt" to="523.890015pt,39.505917pt" stroked="true" strokeweight=".25pt" strokecolor="#000000">
            <w10:wrap type="none"/>
          </v:line>
        </w:pict>
      </w:r>
      <w:r>
        <w:rPr>
          <w:rFonts w:ascii="Arial" w:hAnsi="Arial"/>
          <w:color w:val="414042"/>
          <w:position w:val="-5"/>
          <w:sz w:val="20"/>
        </w:rPr>
        <w:t>290</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5536"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5560" from="15pt,-28.286539pt" to="0pt,-28.286539pt" stroked="true" strokeweight=".25pt" strokecolor="#000000">
            <w10:wrap type="none"/>
          </v:line>
        </w:pict>
      </w:r>
      <w:r>
        <w:rPr/>
        <w:pict>
          <v:line style="position:absolute;mso-position-horizontal-relative:page;mso-position-vertical-relative:paragraph;z-index:35584" from="508.890015pt,-28.286539pt" to="523.890015pt,-28.286539pt" stroked="true" strokeweight=".25pt" strokecolor="#000000">
            <w10:wrap type="none"/>
          </v:line>
        </w:pict>
      </w:r>
      <w:r>
        <w:rPr>
          <w:rFonts w:ascii="Arial"/>
          <w:color w:val="414042"/>
          <w:sz w:val="20"/>
        </w:rPr>
        <w:t>291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54576" from="15pt,715.487793pt" to="0pt,715.487793pt" stroked="true" strokeweight=".25pt" strokecolor="#000000">
            <w10:wrap type="none"/>
          </v:line>
        </w:pict>
      </w:r>
      <w:r>
        <w:rPr/>
        <w:pict>
          <v:line style="position:absolute;mso-position-horizontal-relative:page;mso-position-vertical-relative:page;z-index:35632" from="508.890015pt,715.487793pt" to="523.890015pt,715.487793pt" stroked="true" strokeweight=".25pt" strokecolor="#000000">
            <w10:wrap type="none"/>
          </v:line>
        </w:pict>
      </w:r>
    </w:p>
    <w:p>
      <w:pPr>
        <w:pStyle w:val="BodyText"/>
        <w:spacing w:before="8"/>
        <w:rPr>
          <w:rFonts w:ascii="Arial"/>
          <w:sz w:val="18"/>
        </w:rPr>
      </w:pPr>
    </w:p>
    <w:p>
      <w:pPr>
        <w:pStyle w:val="BodyText"/>
        <w:spacing w:line="261" w:lineRule="auto" w:before="61"/>
        <w:ind w:left="1837" w:right="1721"/>
        <w:jc w:val="both"/>
      </w:pPr>
      <w:r>
        <w:rPr>
          <w:color w:val="231F20"/>
          <w:w w:val="105"/>
        </w:rPr>
        <w:t>ampliación</w:t>
      </w:r>
      <w:r>
        <w:rPr>
          <w:color w:val="231F20"/>
          <w:spacing w:val="-13"/>
          <w:w w:val="105"/>
        </w:rPr>
        <w:t> </w:t>
      </w:r>
      <w:r>
        <w:rPr>
          <w:color w:val="231F20"/>
          <w:w w:val="105"/>
        </w:rPr>
        <w:t>de</w:t>
      </w:r>
      <w:r>
        <w:rPr>
          <w:color w:val="231F20"/>
          <w:spacing w:val="-12"/>
          <w:w w:val="105"/>
        </w:rPr>
        <w:t> </w:t>
      </w:r>
      <w:r>
        <w:rPr>
          <w:color w:val="231F20"/>
          <w:w w:val="105"/>
        </w:rPr>
        <w:t>sus</w:t>
      </w:r>
      <w:r>
        <w:rPr>
          <w:color w:val="231F20"/>
          <w:spacing w:val="-13"/>
          <w:w w:val="105"/>
        </w:rPr>
        <w:t> </w:t>
      </w:r>
      <w:r>
        <w:rPr>
          <w:color w:val="231F20"/>
          <w:w w:val="105"/>
        </w:rPr>
        <w:t>repercusiones</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ámbitos</w:t>
      </w:r>
      <w:r>
        <w:rPr>
          <w:color w:val="231F20"/>
          <w:spacing w:val="-13"/>
          <w:w w:val="105"/>
        </w:rPr>
        <w:t> </w:t>
      </w:r>
      <w:r>
        <w:rPr>
          <w:color w:val="231F20"/>
          <w:w w:val="105"/>
        </w:rPr>
        <w:t>más</w:t>
      </w:r>
      <w:r>
        <w:rPr>
          <w:color w:val="231F20"/>
          <w:spacing w:val="-12"/>
          <w:w w:val="105"/>
        </w:rPr>
        <w:t> </w:t>
      </w:r>
      <w:r>
        <w:rPr>
          <w:color w:val="231F20"/>
          <w:w w:val="105"/>
        </w:rPr>
        <w:t>diversos</w:t>
      </w:r>
      <w:r>
        <w:rPr>
          <w:color w:val="231F20"/>
          <w:spacing w:val="-12"/>
          <w:w w:val="105"/>
        </w:rPr>
        <w:t> </w:t>
      </w:r>
      <w:r>
        <w:rPr>
          <w:color w:val="231F20"/>
          <w:w w:val="105"/>
        </w:rPr>
        <w:t>de</w:t>
      </w:r>
      <w:r>
        <w:rPr>
          <w:color w:val="231F20"/>
          <w:spacing w:val="-13"/>
          <w:w w:val="105"/>
        </w:rPr>
        <w:t> </w:t>
      </w:r>
      <w:r>
        <w:rPr>
          <w:color w:val="231F20"/>
          <w:w w:val="105"/>
        </w:rPr>
        <w:t>la</w:t>
      </w:r>
      <w:r>
        <w:rPr>
          <w:color w:val="231F20"/>
          <w:spacing w:val="-12"/>
          <w:w w:val="105"/>
        </w:rPr>
        <w:t> </w:t>
      </w:r>
      <w:r>
        <w:rPr>
          <w:color w:val="231F20"/>
          <w:w w:val="105"/>
        </w:rPr>
        <w:t>vida social</w:t>
      </w:r>
      <w:r>
        <w:rPr>
          <w:color w:val="231F20"/>
          <w:spacing w:val="-38"/>
          <w:w w:val="105"/>
        </w:rPr>
        <w:t> </w:t>
      </w:r>
      <w:r>
        <w:rPr>
          <w:color w:val="231F20"/>
          <w:w w:val="105"/>
        </w:rPr>
        <w:t>(Ariza</w:t>
      </w:r>
      <w:r>
        <w:rPr>
          <w:color w:val="231F20"/>
          <w:spacing w:val="-38"/>
          <w:w w:val="105"/>
        </w:rPr>
        <w:t> </w:t>
      </w:r>
      <w:r>
        <w:rPr>
          <w:color w:val="231F20"/>
          <w:w w:val="105"/>
        </w:rPr>
        <w:t>y</w:t>
      </w:r>
      <w:r>
        <w:rPr>
          <w:color w:val="231F20"/>
          <w:spacing w:val="-38"/>
          <w:w w:val="105"/>
        </w:rPr>
        <w:t> </w:t>
      </w:r>
      <w:r>
        <w:rPr>
          <w:color w:val="231F20"/>
          <w:spacing w:val="-3"/>
          <w:w w:val="105"/>
        </w:rPr>
        <w:t>Portes,</w:t>
      </w:r>
      <w:r>
        <w:rPr>
          <w:color w:val="231F20"/>
          <w:spacing w:val="-41"/>
          <w:w w:val="105"/>
        </w:rPr>
        <w:t> </w:t>
      </w:r>
      <w:r>
        <w:rPr>
          <w:color w:val="231F20"/>
          <w:w w:val="105"/>
        </w:rPr>
        <w:t>2007).</w:t>
      </w:r>
    </w:p>
    <w:p>
      <w:pPr>
        <w:pStyle w:val="BodyText"/>
        <w:spacing w:line="261" w:lineRule="auto" w:before="1"/>
        <w:ind w:left="1837" w:right="1721" w:firstLine="567"/>
        <w:jc w:val="both"/>
      </w:pPr>
      <w:r>
        <w:rPr>
          <w:color w:val="231F20"/>
          <w:w w:val="105"/>
        </w:rPr>
        <w:t>La</w:t>
      </w:r>
      <w:r>
        <w:rPr>
          <w:color w:val="231F20"/>
          <w:spacing w:val="-16"/>
          <w:w w:val="105"/>
        </w:rPr>
        <w:t> </w:t>
      </w:r>
      <w:r>
        <w:rPr>
          <w:color w:val="231F20"/>
          <w:w w:val="105"/>
        </w:rPr>
        <w:t>evolución</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flujos,</w:t>
      </w:r>
      <w:r>
        <w:rPr>
          <w:color w:val="231F20"/>
          <w:spacing w:val="-21"/>
          <w:w w:val="105"/>
        </w:rPr>
        <w:t> </w:t>
      </w:r>
      <w:r>
        <w:rPr>
          <w:color w:val="231F20"/>
          <w:w w:val="105"/>
        </w:rPr>
        <w:t>patrones</w:t>
      </w:r>
      <w:r>
        <w:rPr>
          <w:color w:val="231F20"/>
          <w:spacing w:val="-16"/>
          <w:w w:val="105"/>
        </w:rPr>
        <w:t> </w:t>
      </w:r>
      <w:r>
        <w:rPr>
          <w:color w:val="231F20"/>
          <w:w w:val="105"/>
        </w:rPr>
        <w:t>y</w:t>
      </w:r>
      <w:r>
        <w:rPr>
          <w:color w:val="231F20"/>
          <w:spacing w:val="-16"/>
          <w:w w:val="105"/>
        </w:rPr>
        <w:t> </w:t>
      </w:r>
      <w:r>
        <w:rPr>
          <w:color w:val="231F20"/>
          <w:w w:val="105"/>
        </w:rPr>
        <w:t>en</w:t>
      </w:r>
      <w:r>
        <w:rPr>
          <w:color w:val="231F20"/>
          <w:spacing w:val="-16"/>
          <w:w w:val="105"/>
        </w:rPr>
        <w:t> </w:t>
      </w:r>
      <w:r>
        <w:rPr>
          <w:color w:val="231F20"/>
          <w:w w:val="105"/>
        </w:rPr>
        <w:t>general</w:t>
      </w:r>
      <w:r>
        <w:rPr>
          <w:color w:val="231F20"/>
          <w:spacing w:val="-16"/>
          <w:w w:val="105"/>
        </w:rPr>
        <w:t> </w:t>
      </w:r>
      <w:r>
        <w:rPr>
          <w:color w:val="231F20"/>
          <w:w w:val="105"/>
        </w:rPr>
        <w:t>la</w:t>
      </w:r>
      <w:r>
        <w:rPr>
          <w:color w:val="231F20"/>
          <w:spacing w:val="-16"/>
          <w:w w:val="105"/>
        </w:rPr>
        <w:t> </w:t>
      </w:r>
      <w:r>
        <w:rPr>
          <w:color w:val="231F20"/>
          <w:w w:val="105"/>
        </w:rPr>
        <w:t>reconfiguración de</w:t>
      </w:r>
      <w:r>
        <w:rPr>
          <w:color w:val="231F20"/>
          <w:spacing w:val="-14"/>
          <w:w w:val="105"/>
        </w:rPr>
        <w:t> </w:t>
      </w:r>
      <w:r>
        <w:rPr>
          <w:color w:val="231F20"/>
          <w:w w:val="105"/>
        </w:rPr>
        <w:t>la</w:t>
      </w:r>
      <w:r>
        <w:rPr>
          <w:color w:val="231F20"/>
          <w:spacing w:val="-14"/>
          <w:w w:val="105"/>
        </w:rPr>
        <w:t> </w:t>
      </w:r>
      <w:r>
        <w:rPr>
          <w:color w:val="231F20"/>
          <w:w w:val="105"/>
        </w:rPr>
        <w:t>migración</w:t>
      </w:r>
      <w:r>
        <w:rPr>
          <w:color w:val="231F20"/>
          <w:spacing w:val="-14"/>
          <w:w w:val="105"/>
        </w:rPr>
        <w:t> </w:t>
      </w:r>
      <w:r>
        <w:rPr>
          <w:color w:val="231F20"/>
          <w:w w:val="105"/>
        </w:rPr>
        <w:t>desde</w:t>
      </w:r>
      <w:r>
        <w:rPr>
          <w:color w:val="231F20"/>
          <w:spacing w:val="-14"/>
          <w:w w:val="105"/>
        </w:rPr>
        <w:t> </w:t>
      </w:r>
      <w:r>
        <w:rPr>
          <w:color w:val="231F20"/>
          <w:w w:val="105"/>
        </w:rPr>
        <w:t>el</w:t>
      </w:r>
      <w:r>
        <w:rPr>
          <w:color w:val="231F20"/>
          <w:spacing w:val="-14"/>
          <w:w w:val="105"/>
        </w:rPr>
        <w:t> </w:t>
      </w:r>
      <w:r>
        <w:rPr>
          <w:color w:val="231F20"/>
          <w:w w:val="105"/>
        </w:rPr>
        <w:t>siglo</w:t>
      </w:r>
      <w:r>
        <w:rPr>
          <w:color w:val="231F20"/>
          <w:spacing w:val="-14"/>
          <w:w w:val="105"/>
        </w:rPr>
        <w:t> </w:t>
      </w:r>
      <w:r>
        <w:rPr>
          <w:color w:val="231F20"/>
          <w:w w:val="105"/>
          <w:sz w:val="17"/>
        </w:rPr>
        <w:t>XX</w:t>
      </w:r>
      <w:r>
        <w:rPr>
          <w:color w:val="231F20"/>
          <w:spacing w:val="-3"/>
          <w:w w:val="105"/>
          <w:sz w:val="17"/>
        </w:rPr>
        <w:t> </w:t>
      </w:r>
      <w:r>
        <w:rPr>
          <w:color w:val="231F20"/>
          <w:w w:val="105"/>
        </w:rPr>
        <w:t>hasta</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llevamos</w:t>
      </w:r>
      <w:r>
        <w:rPr>
          <w:color w:val="231F20"/>
          <w:spacing w:val="-14"/>
          <w:w w:val="105"/>
        </w:rPr>
        <w:t> </w:t>
      </w:r>
      <w:r>
        <w:rPr>
          <w:color w:val="231F20"/>
          <w:w w:val="105"/>
        </w:rPr>
        <w:t>del</w:t>
      </w:r>
      <w:r>
        <w:rPr>
          <w:color w:val="231F20"/>
          <w:spacing w:val="-14"/>
          <w:w w:val="105"/>
        </w:rPr>
        <w:t> </w:t>
      </w:r>
      <w:r>
        <w:rPr>
          <w:color w:val="231F20"/>
          <w:w w:val="105"/>
        </w:rPr>
        <w:t>siglo</w:t>
      </w:r>
      <w:r>
        <w:rPr>
          <w:color w:val="231F20"/>
          <w:spacing w:val="-14"/>
          <w:w w:val="105"/>
        </w:rPr>
        <w:t> </w:t>
      </w:r>
      <w:r>
        <w:rPr>
          <w:color w:val="231F20"/>
          <w:w w:val="105"/>
          <w:sz w:val="17"/>
        </w:rPr>
        <w:t>XXI</w:t>
      </w:r>
      <w:r>
        <w:rPr>
          <w:color w:val="231F20"/>
          <w:spacing w:val="-3"/>
          <w:w w:val="105"/>
          <w:sz w:val="17"/>
        </w:rPr>
        <w:t> </w:t>
      </w:r>
      <w:r>
        <w:rPr>
          <w:color w:val="231F20"/>
          <w:w w:val="105"/>
        </w:rPr>
        <w:t>tam- bién ha transformado los territorios rurales no sólo de origen, sino de tránsito</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destino</w:t>
      </w:r>
      <w:r>
        <w:rPr>
          <w:color w:val="231F20"/>
          <w:w w:val="105"/>
          <w:position w:val="7"/>
          <w:sz w:val="12"/>
        </w:rPr>
        <w:t>1</w:t>
      </w:r>
      <w:r>
        <w:rPr>
          <w:color w:val="231F20"/>
          <w:spacing w:val="16"/>
          <w:w w:val="105"/>
          <w:position w:val="7"/>
          <w:sz w:val="12"/>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migrantes.</w:t>
      </w:r>
      <w:r>
        <w:rPr>
          <w:color w:val="231F20"/>
          <w:spacing w:val="-15"/>
          <w:w w:val="105"/>
        </w:rPr>
        <w:t> </w:t>
      </w:r>
      <w:r>
        <w:rPr>
          <w:color w:val="231F20"/>
          <w:w w:val="105"/>
        </w:rPr>
        <w:t>Esta</w:t>
      </w:r>
      <w:r>
        <w:rPr>
          <w:color w:val="231F20"/>
          <w:spacing w:val="-9"/>
          <w:w w:val="105"/>
        </w:rPr>
        <w:t> </w:t>
      </w:r>
      <w:r>
        <w:rPr>
          <w:color w:val="231F20"/>
          <w:w w:val="105"/>
        </w:rPr>
        <w:t>transformación</w:t>
      </w:r>
      <w:r>
        <w:rPr>
          <w:color w:val="231F20"/>
          <w:spacing w:val="-9"/>
          <w:w w:val="105"/>
        </w:rPr>
        <w:t> </w:t>
      </w:r>
      <w:r>
        <w:rPr>
          <w:color w:val="231F20"/>
          <w:w w:val="105"/>
        </w:rPr>
        <w:t>territorial</w:t>
      </w:r>
      <w:r>
        <w:rPr>
          <w:color w:val="231F20"/>
          <w:spacing w:val="-9"/>
          <w:w w:val="105"/>
        </w:rPr>
        <w:t> </w:t>
      </w:r>
      <w:r>
        <w:rPr>
          <w:color w:val="231F20"/>
          <w:w w:val="105"/>
        </w:rPr>
        <w:t>se manifiesta en distintas escalas y dimensiones que mantienen un </w:t>
      </w:r>
      <w:r>
        <w:rPr>
          <w:rFonts w:ascii="Arial" w:hAnsi="Arial"/>
          <w:i/>
          <w:color w:val="231F20"/>
          <w:w w:val="105"/>
        </w:rPr>
        <w:t>conti- </w:t>
      </w:r>
      <w:r>
        <w:rPr>
          <w:rFonts w:ascii="Arial" w:hAnsi="Arial"/>
          <w:i/>
          <w:color w:val="231F20"/>
          <w:w w:val="105"/>
        </w:rPr>
        <w:t>nuum </w:t>
      </w:r>
      <w:r>
        <w:rPr>
          <w:color w:val="231F20"/>
          <w:w w:val="105"/>
        </w:rPr>
        <w:t>territorial del fenómeno en el que las redes de migración adquie- ren</w:t>
      </w:r>
      <w:r>
        <w:rPr>
          <w:color w:val="231F20"/>
          <w:spacing w:val="-7"/>
          <w:w w:val="105"/>
        </w:rPr>
        <w:t> </w:t>
      </w:r>
      <w:r>
        <w:rPr>
          <w:color w:val="231F20"/>
          <w:w w:val="105"/>
        </w:rPr>
        <w:t>un</w:t>
      </w:r>
      <w:r>
        <w:rPr>
          <w:color w:val="231F20"/>
          <w:spacing w:val="-7"/>
          <w:w w:val="105"/>
        </w:rPr>
        <w:t> </w:t>
      </w:r>
      <w:r>
        <w:rPr>
          <w:color w:val="231F20"/>
          <w:w w:val="105"/>
        </w:rPr>
        <w:t>papel</w:t>
      </w:r>
      <w:r>
        <w:rPr>
          <w:color w:val="231F20"/>
          <w:spacing w:val="-7"/>
          <w:w w:val="105"/>
        </w:rPr>
        <w:t> </w:t>
      </w:r>
      <w:r>
        <w:rPr>
          <w:color w:val="231F20"/>
          <w:w w:val="105"/>
        </w:rPr>
        <w:t>preponderante</w:t>
      </w:r>
      <w:r>
        <w:rPr>
          <w:color w:val="231F20"/>
          <w:spacing w:val="-7"/>
          <w:w w:val="105"/>
        </w:rPr>
        <w:t> </w:t>
      </w:r>
      <w:r>
        <w:rPr>
          <w:color w:val="231F20"/>
          <w:w w:val="105"/>
        </w:rPr>
        <w:t>como</w:t>
      </w:r>
      <w:r>
        <w:rPr>
          <w:color w:val="231F20"/>
          <w:spacing w:val="-7"/>
          <w:w w:val="105"/>
        </w:rPr>
        <w:t> </w:t>
      </w:r>
      <w:r>
        <w:rPr>
          <w:color w:val="231F20"/>
          <w:w w:val="105"/>
        </w:rPr>
        <w:t>factor</w:t>
      </w:r>
      <w:r>
        <w:rPr>
          <w:color w:val="231F20"/>
          <w:spacing w:val="-7"/>
          <w:w w:val="105"/>
        </w:rPr>
        <w:t> </w:t>
      </w:r>
      <w:r>
        <w:rPr>
          <w:color w:val="231F20"/>
          <w:w w:val="105"/>
        </w:rPr>
        <w:t>de</w:t>
      </w:r>
      <w:r>
        <w:rPr>
          <w:color w:val="231F20"/>
          <w:spacing w:val="-7"/>
          <w:w w:val="105"/>
        </w:rPr>
        <w:t> </w:t>
      </w:r>
      <w:r>
        <w:rPr>
          <w:color w:val="231F20"/>
          <w:w w:val="105"/>
        </w:rPr>
        <w:t>cohesión</w:t>
      </w:r>
      <w:r>
        <w:rPr>
          <w:color w:val="231F20"/>
          <w:spacing w:val="-7"/>
          <w:w w:val="105"/>
        </w:rPr>
        <w:t> </w:t>
      </w:r>
      <w:r>
        <w:rPr>
          <w:color w:val="231F20"/>
          <w:w w:val="105"/>
        </w:rPr>
        <w:t>social.</w:t>
      </w:r>
    </w:p>
    <w:p>
      <w:pPr>
        <w:pStyle w:val="BodyText"/>
        <w:spacing w:line="261" w:lineRule="auto" w:before="1"/>
        <w:ind w:left="1837" w:right="1716" w:firstLine="567"/>
        <w:jc w:val="both"/>
      </w:pPr>
      <w:r>
        <w:rPr>
          <w:color w:val="231F20"/>
          <w:w w:val="105"/>
        </w:rPr>
        <w:t>El</w:t>
      </w:r>
      <w:r>
        <w:rPr>
          <w:color w:val="231F20"/>
          <w:spacing w:val="-9"/>
          <w:w w:val="105"/>
        </w:rPr>
        <w:t> </w:t>
      </w:r>
      <w:r>
        <w:rPr>
          <w:color w:val="231F20"/>
          <w:w w:val="105"/>
        </w:rPr>
        <w:t>territorio</w:t>
      </w:r>
      <w:r>
        <w:rPr>
          <w:color w:val="231F20"/>
          <w:spacing w:val="-9"/>
          <w:w w:val="105"/>
        </w:rPr>
        <w:t> </w:t>
      </w:r>
      <w:r>
        <w:rPr>
          <w:color w:val="231F20"/>
          <w:w w:val="105"/>
        </w:rPr>
        <w:t>así</w:t>
      </w:r>
      <w:r>
        <w:rPr>
          <w:color w:val="231F20"/>
          <w:spacing w:val="-9"/>
          <w:w w:val="105"/>
        </w:rPr>
        <w:t> </w:t>
      </w:r>
      <w:r>
        <w:rPr>
          <w:color w:val="231F20"/>
          <w:w w:val="105"/>
        </w:rPr>
        <w:t>constituye</w:t>
      </w:r>
      <w:r>
        <w:rPr>
          <w:color w:val="231F20"/>
          <w:spacing w:val="-9"/>
          <w:w w:val="105"/>
        </w:rPr>
        <w:t> </w:t>
      </w:r>
      <w:r>
        <w:rPr>
          <w:color w:val="231F20"/>
          <w:w w:val="105"/>
        </w:rPr>
        <w:t>el</w:t>
      </w:r>
      <w:r>
        <w:rPr>
          <w:color w:val="231F20"/>
          <w:spacing w:val="-9"/>
          <w:w w:val="105"/>
        </w:rPr>
        <w:t> </w:t>
      </w:r>
      <w:r>
        <w:rPr>
          <w:color w:val="231F20"/>
          <w:w w:val="105"/>
        </w:rPr>
        <w:t>marco</w:t>
      </w:r>
      <w:r>
        <w:rPr>
          <w:color w:val="231F20"/>
          <w:spacing w:val="-9"/>
          <w:w w:val="105"/>
        </w:rPr>
        <w:t> </w:t>
      </w:r>
      <w:r>
        <w:rPr>
          <w:color w:val="231F20"/>
          <w:w w:val="105"/>
        </w:rPr>
        <w:t>obligado</w:t>
      </w:r>
      <w:r>
        <w:rPr>
          <w:color w:val="231F20"/>
          <w:spacing w:val="-9"/>
          <w:w w:val="105"/>
        </w:rPr>
        <w:t> </w:t>
      </w:r>
      <w:r>
        <w:rPr>
          <w:color w:val="231F20"/>
          <w:w w:val="105"/>
        </w:rPr>
        <w:t>de</w:t>
      </w:r>
      <w:r>
        <w:rPr>
          <w:color w:val="231F20"/>
          <w:spacing w:val="-9"/>
          <w:w w:val="105"/>
        </w:rPr>
        <w:t> </w:t>
      </w:r>
      <w:r>
        <w:rPr>
          <w:color w:val="231F20"/>
          <w:w w:val="105"/>
        </w:rPr>
        <w:t>ciertos</w:t>
      </w:r>
      <w:r>
        <w:rPr>
          <w:color w:val="231F20"/>
          <w:spacing w:val="-9"/>
          <w:w w:val="105"/>
        </w:rPr>
        <w:t> </w:t>
      </w:r>
      <w:r>
        <w:rPr>
          <w:color w:val="231F20"/>
          <w:w w:val="105"/>
        </w:rPr>
        <w:t>fenómenos sociales,</w:t>
      </w:r>
      <w:r>
        <w:rPr>
          <w:color w:val="231F20"/>
          <w:spacing w:val="-21"/>
          <w:w w:val="105"/>
        </w:rPr>
        <w:t> </w:t>
      </w:r>
      <w:r>
        <w:rPr>
          <w:color w:val="231F20"/>
          <w:w w:val="105"/>
        </w:rPr>
        <w:t>como</w:t>
      </w:r>
      <w:r>
        <w:rPr>
          <w:color w:val="231F20"/>
          <w:spacing w:val="-16"/>
          <w:w w:val="105"/>
        </w:rPr>
        <w:t> </w:t>
      </w:r>
      <w:r>
        <w:rPr>
          <w:color w:val="231F20"/>
          <w:w w:val="105"/>
        </w:rPr>
        <w:t>el</w:t>
      </w:r>
      <w:r>
        <w:rPr>
          <w:color w:val="231F20"/>
          <w:spacing w:val="-16"/>
          <w:w w:val="105"/>
        </w:rPr>
        <w:t> </w:t>
      </w:r>
      <w:r>
        <w:rPr>
          <w:color w:val="231F20"/>
          <w:w w:val="105"/>
        </w:rPr>
        <w:t>arraigo,</w:t>
      </w:r>
      <w:r>
        <w:rPr>
          <w:color w:val="231F20"/>
          <w:spacing w:val="-21"/>
          <w:w w:val="105"/>
        </w:rPr>
        <w:t> </w:t>
      </w:r>
      <w:r>
        <w:rPr>
          <w:color w:val="231F20"/>
          <w:w w:val="105"/>
        </w:rPr>
        <w:t>el</w:t>
      </w:r>
      <w:r>
        <w:rPr>
          <w:color w:val="231F20"/>
          <w:spacing w:val="-16"/>
          <w:w w:val="105"/>
        </w:rPr>
        <w:t> </w:t>
      </w:r>
      <w:r>
        <w:rPr>
          <w:color w:val="231F20"/>
          <w:w w:val="105"/>
        </w:rPr>
        <w:t>apego</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sentimiento</w:t>
      </w:r>
      <w:r>
        <w:rPr>
          <w:color w:val="231F20"/>
          <w:spacing w:val="-16"/>
          <w:w w:val="105"/>
        </w:rPr>
        <w:t> </w:t>
      </w:r>
      <w:r>
        <w:rPr>
          <w:color w:val="231F20"/>
          <w:w w:val="105"/>
        </w:rPr>
        <w:t>de</w:t>
      </w:r>
      <w:r>
        <w:rPr>
          <w:color w:val="231F20"/>
          <w:spacing w:val="-16"/>
          <w:w w:val="105"/>
        </w:rPr>
        <w:t> </w:t>
      </w:r>
      <w:r>
        <w:rPr>
          <w:color w:val="231F20"/>
          <w:w w:val="105"/>
        </w:rPr>
        <w:t>partencia</w:t>
      </w:r>
      <w:r>
        <w:rPr>
          <w:color w:val="231F20"/>
          <w:spacing w:val="-16"/>
          <w:w w:val="105"/>
        </w:rPr>
        <w:t> </w:t>
      </w:r>
      <w:r>
        <w:rPr>
          <w:color w:val="231F20"/>
          <w:w w:val="105"/>
        </w:rPr>
        <w:t>sociote- rritorial,</w:t>
      </w:r>
      <w:r>
        <w:rPr>
          <w:color w:val="231F20"/>
          <w:spacing w:val="-17"/>
          <w:w w:val="105"/>
        </w:rPr>
        <w:t> </w:t>
      </w:r>
      <w:r>
        <w:rPr>
          <w:color w:val="231F20"/>
          <w:w w:val="105"/>
        </w:rPr>
        <w:t>por</w:t>
      </w:r>
      <w:r>
        <w:rPr>
          <w:color w:val="231F20"/>
          <w:spacing w:val="-11"/>
          <w:w w:val="105"/>
        </w:rPr>
        <w:t> </w:t>
      </w:r>
      <w:r>
        <w:rPr>
          <w:color w:val="231F20"/>
          <w:w w:val="105"/>
        </w:rPr>
        <w:t>un</w:t>
      </w:r>
      <w:r>
        <w:rPr>
          <w:color w:val="231F20"/>
          <w:spacing w:val="-11"/>
          <w:w w:val="105"/>
        </w:rPr>
        <w:t> </w:t>
      </w:r>
      <w:r>
        <w:rPr>
          <w:color w:val="231F20"/>
          <w:w w:val="105"/>
        </w:rPr>
        <w:t>lado,</w:t>
      </w:r>
      <w:r>
        <w:rPr>
          <w:color w:val="231F20"/>
          <w:spacing w:val="-17"/>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movilidad,</w:t>
      </w:r>
      <w:r>
        <w:rPr>
          <w:color w:val="231F20"/>
          <w:spacing w:val="-17"/>
          <w:w w:val="105"/>
        </w:rPr>
        <w:t> </w:t>
      </w:r>
      <w:r>
        <w:rPr>
          <w:color w:val="231F20"/>
          <w:w w:val="105"/>
        </w:rPr>
        <w:t>la</w:t>
      </w:r>
      <w:r>
        <w:rPr>
          <w:color w:val="231F20"/>
          <w:spacing w:val="-11"/>
          <w:w w:val="105"/>
        </w:rPr>
        <w:t> </w:t>
      </w:r>
      <w:r>
        <w:rPr>
          <w:color w:val="231F20"/>
          <w:w w:val="105"/>
        </w:rPr>
        <w:t>migración</w:t>
      </w:r>
      <w:r>
        <w:rPr>
          <w:color w:val="231F20"/>
          <w:spacing w:val="-11"/>
          <w:w w:val="105"/>
        </w:rPr>
        <w:t> </w:t>
      </w:r>
      <w:r>
        <w:rPr>
          <w:color w:val="231F20"/>
          <w:w w:val="105"/>
        </w:rPr>
        <w:t>y</w:t>
      </w:r>
      <w:r>
        <w:rPr>
          <w:color w:val="231F20"/>
          <w:spacing w:val="-11"/>
          <w:w w:val="105"/>
        </w:rPr>
        <w:t> </w:t>
      </w:r>
      <w:r>
        <w:rPr>
          <w:color w:val="231F20"/>
          <w:w w:val="105"/>
        </w:rPr>
        <w:t>hasta</w:t>
      </w:r>
      <w:r>
        <w:rPr>
          <w:color w:val="231F20"/>
          <w:spacing w:val="-11"/>
          <w:w w:val="105"/>
        </w:rPr>
        <w:t> </w:t>
      </w:r>
      <w:r>
        <w:rPr>
          <w:color w:val="231F20"/>
          <w:w w:val="105"/>
        </w:rPr>
        <w:t>la</w:t>
      </w:r>
      <w:r>
        <w:rPr>
          <w:color w:val="231F20"/>
          <w:spacing w:val="-11"/>
          <w:w w:val="105"/>
        </w:rPr>
        <w:t> </w:t>
      </w:r>
      <w:r>
        <w:rPr>
          <w:color w:val="231F20"/>
          <w:w w:val="105"/>
        </w:rPr>
        <w:t>globalización, por</w:t>
      </w:r>
      <w:r>
        <w:rPr>
          <w:color w:val="231F20"/>
          <w:spacing w:val="-10"/>
          <w:w w:val="105"/>
        </w:rPr>
        <w:t> </w:t>
      </w:r>
      <w:r>
        <w:rPr>
          <w:color w:val="231F20"/>
          <w:w w:val="105"/>
        </w:rPr>
        <w:t>otro</w:t>
      </w:r>
      <w:r>
        <w:rPr>
          <w:color w:val="231F20"/>
          <w:spacing w:val="-10"/>
          <w:w w:val="105"/>
        </w:rPr>
        <w:t> </w:t>
      </w:r>
      <w:r>
        <w:rPr>
          <w:color w:val="231F20"/>
          <w:w w:val="105"/>
        </w:rPr>
        <w:t>(Giménez,</w:t>
      </w:r>
      <w:r>
        <w:rPr>
          <w:color w:val="231F20"/>
          <w:spacing w:val="-15"/>
          <w:w w:val="105"/>
        </w:rPr>
        <w:t> </w:t>
      </w:r>
      <w:r>
        <w:rPr>
          <w:color w:val="231F20"/>
          <w:w w:val="105"/>
        </w:rPr>
        <w:t>2001).</w:t>
      </w:r>
      <w:r>
        <w:rPr>
          <w:color w:val="231F20"/>
          <w:spacing w:val="-15"/>
          <w:w w:val="105"/>
        </w:rPr>
        <w:t> </w:t>
      </w:r>
      <w:r>
        <w:rPr>
          <w:color w:val="231F20"/>
          <w:w w:val="105"/>
        </w:rPr>
        <w:t>El</w:t>
      </w:r>
      <w:r>
        <w:rPr>
          <w:color w:val="231F20"/>
          <w:spacing w:val="-10"/>
          <w:w w:val="105"/>
        </w:rPr>
        <w:t> </w:t>
      </w:r>
      <w:r>
        <w:rPr>
          <w:color w:val="231F20"/>
          <w:w w:val="105"/>
        </w:rPr>
        <w:t>territorio</w:t>
      </w:r>
      <w:r>
        <w:rPr>
          <w:color w:val="231F20"/>
          <w:spacing w:val="-10"/>
          <w:w w:val="105"/>
        </w:rPr>
        <w:t> </w:t>
      </w:r>
      <w:r>
        <w:rPr>
          <w:color w:val="231F20"/>
          <w:w w:val="105"/>
        </w:rPr>
        <w:t>migratorio</w:t>
      </w:r>
      <w:r>
        <w:rPr>
          <w:color w:val="231F20"/>
          <w:spacing w:val="-10"/>
          <w:w w:val="105"/>
        </w:rPr>
        <w:t> </w:t>
      </w:r>
      <w:r>
        <w:rPr>
          <w:color w:val="231F20"/>
          <w:w w:val="105"/>
        </w:rPr>
        <w:t>en</w:t>
      </w:r>
      <w:r>
        <w:rPr>
          <w:color w:val="231F20"/>
          <w:spacing w:val="-10"/>
          <w:w w:val="105"/>
        </w:rPr>
        <w:t> </w:t>
      </w:r>
      <w:r>
        <w:rPr>
          <w:color w:val="231F20"/>
          <w:w w:val="105"/>
        </w:rPr>
        <w:t>sus</w:t>
      </w:r>
      <w:r>
        <w:rPr>
          <w:color w:val="231F20"/>
          <w:spacing w:val="-10"/>
          <w:w w:val="105"/>
        </w:rPr>
        <w:t> </w:t>
      </w:r>
      <w:r>
        <w:rPr>
          <w:color w:val="231F20"/>
          <w:w w:val="105"/>
        </w:rPr>
        <w:t>diferentes</w:t>
      </w:r>
      <w:r>
        <w:rPr>
          <w:color w:val="231F20"/>
          <w:spacing w:val="-10"/>
          <w:w w:val="105"/>
        </w:rPr>
        <w:t> </w:t>
      </w:r>
      <w:r>
        <w:rPr>
          <w:color w:val="231F20"/>
          <w:w w:val="105"/>
        </w:rPr>
        <w:t>esca- las puede ser apropiado por oleadas de migrantes como expresión de cohesión social, pero también los procesos migratorios en otros casos fragmentan territorios y sociedades locales tanto en los lugares de ori- gen y de tránsito por</w:t>
      </w:r>
      <w:r>
        <w:rPr>
          <w:color w:val="231F20"/>
          <w:spacing w:val="-10"/>
          <w:w w:val="105"/>
        </w:rPr>
        <w:t> </w:t>
      </w:r>
      <w:r>
        <w:rPr>
          <w:color w:val="231F20"/>
          <w:w w:val="105"/>
        </w:rPr>
        <w:t>ejemplo.</w:t>
      </w:r>
    </w:p>
    <w:p>
      <w:pPr>
        <w:pStyle w:val="BodyText"/>
        <w:rPr>
          <w:sz w:val="20"/>
        </w:rPr>
      </w:pPr>
    </w:p>
    <w:p>
      <w:pPr>
        <w:pStyle w:val="BodyText"/>
        <w:spacing w:before="6"/>
        <w:rPr>
          <w:sz w:val="19"/>
        </w:rPr>
      </w:pPr>
    </w:p>
    <w:p>
      <w:pPr>
        <w:pStyle w:val="Heading3"/>
        <w:rPr>
          <w:rFonts w:ascii="Tahoma"/>
        </w:rPr>
      </w:pPr>
      <w:r>
        <w:rPr>
          <w:rFonts w:ascii="Tahoma"/>
          <w:color w:val="231F20"/>
          <w:w w:val="95"/>
        </w:rPr>
        <w:t>Los mexiquenses en el territorio estadounidense</w:t>
      </w:r>
    </w:p>
    <w:p>
      <w:pPr>
        <w:pStyle w:val="BodyText"/>
        <w:rPr>
          <w:rFonts w:ascii="Tahoma"/>
          <w:b/>
          <w:sz w:val="22"/>
        </w:rPr>
      </w:pPr>
    </w:p>
    <w:p>
      <w:pPr>
        <w:pStyle w:val="BodyText"/>
        <w:spacing w:line="261" w:lineRule="auto" w:before="152"/>
        <w:ind w:left="1837" w:right="1715"/>
        <w:jc w:val="both"/>
      </w:pPr>
      <w:r>
        <w:rPr>
          <w:color w:val="231F20"/>
          <w:w w:val="105"/>
        </w:rPr>
        <w:t>La</w:t>
      </w:r>
      <w:r>
        <w:rPr>
          <w:color w:val="231F20"/>
          <w:spacing w:val="-16"/>
          <w:w w:val="105"/>
        </w:rPr>
        <w:t> </w:t>
      </w:r>
      <w:r>
        <w:rPr>
          <w:color w:val="231F20"/>
          <w:w w:val="105"/>
        </w:rPr>
        <w:t>migración</w:t>
      </w:r>
      <w:r>
        <w:rPr>
          <w:color w:val="231F20"/>
          <w:spacing w:val="-16"/>
          <w:w w:val="105"/>
        </w:rPr>
        <w:t> </w:t>
      </w:r>
      <w:r>
        <w:rPr>
          <w:color w:val="231F20"/>
          <w:w w:val="105"/>
        </w:rPr>
        <w:t>a</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16"/>
          <w:w w:val="105"/>
        </w:rPr>
        <w:t> </w:t>
      </w:r>
      <w:r>
        <w:rPr>
          <w:color w:val="231F20"/>
          <w:w w:val="105"/>
        </w:rPr>
        <w:t>se</w:t>
      </w:r>
      <w:r>
        <w:rPr>
          <w:color w:val="231F20"/>
          <w:spacing w:val="-16"/>
          <w:w w:val="105"/>
        </w:rPr>
        <w:t> </w:t>
      </w:r>
      <w:r>
        <w:rPr>
          <w:color w:val="231F20"/>
          <w:w w:val="105"/>
        </w:rPr>
        <w:t>volvió</w:t>
      </w:r>
      <w:r>
        <w:rPr>
          <w:color w:val="231F20"/>
          <w:spacing w:val="-16"/>
          <w:w w:val="105"/>
        </w:rPr>
        <w:t> </w:t>
      </w:r>
      <w:r>
        <w:rPr>
          <w:color w:val="231F20"/>
          <w:w w:val="105"/>
        </w:rPr>
        <w:t>una</w:t>
      </w:r>
      <w:r>
        <w:rPr>
          <w:color w:val="231F20"/>
          <w:spacing w:val="-16"/>
          <w:w w:val="105"/>
        </w:rPr>
        <w:t> </w:t>
      </w:r>
      <w:r>
        <w:rPr>
          <w:color w:val="231F20"/>
          <w:w w:val="105"/>
        </w:rPr>
        <w:t>realidad</w:t>
      </w:r>
      <w:r>
        <w:rPr>
          <w:color w:val="231F20"/>
          <w:spacing w:val="-16"/>
          <w:w w:val="105"/>
        </w:rPr>
        <w:t> </w:t>
      </w:r>
      <w:r>
        <w:rPr>
          <w:color w:val="231F20"/>
          <w:w w:val="105"/>
        </w:rPr>
        <w:t>en</w:t>
      </w:r>
      <w:r>
        <w:rPr>
          <w:color w:val="231F20"/>
          <w:spacing w:val="-16"/>
          <w:w w:val="105"/>
        </w:rPr>
        <w:t> </w:t>
      </w:r>
      <w:r>
        <w:rPr>
          <w:color w:val="231F20"/>
          <w:w w:val="105"/>
        </w:rPr>
        <w:t>92%</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mu- nicipios</w:t>
      </w:r>
      <w:r>
        <w:rPr>
          <w:color w:val="231F20"/>
          <w:spacing w:val="-25"/>
          <w:w w:val="105"/>
        </w:rPr>
        <w:t> </w:t>
      </w:r>
      <w:r>
        <w:rPr>
          <w:color w:val="231F20"/>
          <w:w w:val="105"/>
        </w:rPr>
        <w:t>del</w:t>
      </w:r>
      <w:r>
        <w:rPr>
          <w:color w:val="231F20"/>
          <w:spacing w:val="-25"/>
          <w:w w:val="105"/>
        </w:rPr>
        <w:t> </w:t>
      </w:r>
      <w:r>
        <w:rPr>
          <w:color w:val="231F20"/>
          <w:w w:val="105"/>
        </w:rPr>
        <w:t>país</w:t>
      </w:r>
      <w:r>
        <w:rPr>
          <w:color w:val="231F20"/>
          <w:spacing w:val="-25"/>
          <w:w w:val="105"/>
        </w:rPr>
        <w:t> </w:t>
      </w:r>
      <w:r>
        <w:rPr>
          <w:color w:val="231F20"/>
          <w:w w:val="105"/>
        </w:rPr>
        <w:t>para</w:t>
      </w:r>
      <w:r>
        <w:rPr>
          <w:color w:val="231F20"/>
          <w:spacing w:val="-25"/>
          <w:w w:val="105"/>
        </w:rPr>
        <w:t> </w:t>
      </w:r>
      <w:r>
        <w:rPr>
          <w:color w:val="231F20"/>
          <w:w w:val="105"/>
        </w:rPr>
        <w:t>el</w:t>
      </w:r>
      <w:r>
        <w:rPr>
          <w:color w:val="231F20"/>
          <w:spacing w:val="-25"/>
          <w:w w:val="105"/>
        </w:rPr>
        <w:t> </w:t>
      </w:r>
      <w:r>
        <w:rPr>
          <w:color w:val="231F20"/>
          <w:w w:val="105"/>
        </w:rPr>
        <w:t>año</w:t>
      </w:r>
      <w:r>
        <w:rPr>
          <w:color w:val="231F20"/>
          <w:spacing w:val="-25"/>
          <w:w w:val="105"/>
        </w:rPr>
        <w:t> </w:t>
      </w:r>
      <w:r>
        <w:rPr>
          <w:color w:val="231F20"/>
          <w:w w:val="105"/>
        </w:rPr>
        <w:t>2000</w:t>
      </w:r>
      <w:r>
        <w:rPr>
          <w:color w:val="231F20"/>
          <w:spacing w:val="-25"/>
          <w:w w:val="105"/>
        </w:rPr>
        <w:t> </w:t>
      </w:r>
      <w:r>
        <w:rPr>
          <w:color w:val="231F20"/>
          <w:w w:val="105"/>
        </w:rPr>
        <w:t>(</w:t>
      </w:r>
      <w:r>
        <w:rPr>
          <w:color w:val="231F20"/>
          <w:w w:val="105"/>
          <w:sz w:val="17"/>
        </w:rPr>
        <w:t>CONAPO</w:t>
      </w:r>
      <w:r>
        <w:rPr>
          <w:color w:val="231F20"/>
          <w:w w:val="105"/>
        </w:rPr>
        <w:t>,</w:t>
      </w:r>
      <w:r>
        <w:rPr>
          <w:color w:val="231F20"/>
          <w:spacing w:val="-31"/>
          <w:w w:val="105"/>
        </w:rPr>
        <w:t> </w:t>
      </w:r>
      <w:r>
        <w:rPr>
          <w:color w:val="231F20"/>
          <w:w w:val="105"/>
        </w:rPr>
        <w:t>2001).</w:t>
      </w:r>
      <w:r>
        <w:rPr>
          <w:color w:val="231F20"/>
          <w:spacing w:val="-31"/>
          <w:w w:val="105"/>
        </w:rPr>
        <w:t> </w:t>
      </w:r>
      <w:r>
        <w:rPr>
          <w:color w:val="231F20"/>
          <w:w w:val="105"/>
        </w:rPr>
        <w:t>Regiones</w:t>
      </w:r>
      <w:r>
        <w:rPr>
          <w:color w:val="231F20"/>
          <w:spacing w:val="-25"/>
          <w:w w:val="105"/>
        </w:rPr>
        <w:t> </w:t>
      </w:r>
      <w:r>
        <w:rPr>
          <w:color w:val="231F20"/>
          <w:w w:val="105"/>
        </w:rPr>
        <w:t>como</w:t>
      </w:r>
      <w:r>
        <w:rPr>
          <w:color w:val="231F20"/>
          <w:spacing w:val="-25"/>
          <w:w w:val="105"/>
        </w:rPr>
        <w:t> </w:t>
      </w:r>
      <w:r>
        <w:rPr>
          <w:color w:val="231F20"/>
          <w:w w:val="105"/>
        </w:rPr>
        <w:t>la</w:t>
      </w:r>
      <w:r>
        <w:rPr>
          <w:color w:val="231F20"/>
          <w:spacing w:val="-25"/>
          <w:w w:val="105"/>
        </w:rPr>
        <w:t> </w:t>
      </w:r>
      <w:r>
        <w:rPr>
          <w:color w:val="231F20"/>
          <w:w w:val="105"/>
        </w:rPr>
        <w:t>cen- tro-occidente, centro-norte, sur-pacífico, se identifican como las de ma- yor</w:t>
      </w:r>
      <w:r>
        <w:rPr>
          <w:color w:val="231F20"/>
          <w:spacing w:val="-12"/>
          <w:w w:val="105"/>
        </w:rPr>
        <w:t> </w:t>
      </w:r>
      <w:r>
        <w:rPr>
          <w:color w:val="231F20"/>
          <w:w w:val="105"/>
        </w:rPr>
        <w:t>tradición</w:t>
      </w:r>
      <w:r>
        <w:rPr>
          <w:color w:val="231F20"/>
          <w:spacing w:val="-12"/>
          <w:w w:val="105"/>
        </w:rPr>
        <w:t> </w:t>
      </w:r>
      <w:r>
        <w:rPr>
          <w:color w:val="231F20"/>
          <w:w w:val="105"/>
        </w:rPr>
        <w:t>migratoria</w:t>
      </w:r>
      <w:r>
        <w:rPr>
          <w:color w:val="231F20"/>
          <w:spacing w:val="-12"/>
          <w:w w:val="105"/>
        </w:rPr>
        <w:t> </w:t>
      </w:r>
      <w:r>
        <w:rPr>
          <w:color w:val="231F20"/>
          <w:w w:val="105"/>
        </w:rPr>
        <w:t>internacional</w:t>
      </w:r>
      <w:r>
        <w:rPr>
          <w:color w:val="231F20"/>
          <w:spacing w:val="-12"/>
          <w:w w:val="105"/>
        </w:rPr>
        <w:t> </w:t>
      </w:r>
      <w:r>
        <w:rPr>
          <w:color w:val="231F20"/>
          <w:spacing w:val="-4"/>
          <w:w w:val="105"/>
        </w:rPr>
        <w:t>y,</w:t>
      </w:r>
      <w:r>
        <w:rPr>
          <w:color w:val="231F20"/>
          <w:spacing w:val="-18"/>
          <w:w w:val="105"/>
        </w:rPr>
        <w:t> </w:t>
      </w:r>
      <w:r>
        <w:rPr>
          <w:color w:val="231F20"/>
          <w:w w:val="105"/>
        </w:rPr>
        <w:t>como</w:t>
      </w:r>
      <w:r>
        <w:rPr>
          <w:color w:val="231F20"/>
          <w:spacing w:val="-12"/>
          <w:w w:val="105"/>
        </w:rPr>
        <w:t> </w:t>
      </w:r>
      <w:r>
        <w:rPr>
          <w:color w:val="231F20"/>
          <w:w w:val="105"/>
        </w:rPr>
        <w:t>de</w:t>
      </w:r>
      <w:r>
        <w:rPr>
          <w:color w:val="231F20"/>
          <w:spacing w:val="-12"/>
          <w:w w:val="105"/>
        </w:rPr>
        <w:t> </w:t>
      </w:r>
      <w:r>
        <w:rPr>
          <w:color w:val="231F20"/>
          <w:w w:val="105"/>
        </w:rPr>
        <w:t>migración</w:t>
      </w:r>
      <w:r>
        <w:rPr>
          <w:color w:val="231F20"/>
          <w:spacing w:val="-12"/>
          <w:w w:val="105"/>
        </w:rPr>
        <w:t> </w:t>
      </w:r>
      <w:r>
        <w:rPr>
          <w:color w:val="231F20"/>
          <w:w w:val="105"/>
        </w:rPr>
        <w:t>internacional emergente se ubican las regiones centro y oriente. Se reconocen</w:t>
      </w:r>
      <w:r>
        <w:rPr>
          <w:color w:val="231F20"/>
          <w:spacing w:val="-38"/>
          <w:w w:val="105"/>
        </w:rPr>
        <w:t> </w:t>
      </w:r>
      <w:r>
        <w:rPr>
          <w:color w:val="231F20"/>
          <w:w w:val="105"/>
        </w:rPr>
        <w:t>como nuevas</w:t>
      </w:r>
      <w:r>
        <w:rPr>
          <w:color w:val="231F20"/>
          <w:spacing w:val="-39"/>
          <w:w w:val="105"/>
        </w:rPr>
        <w:t> </w:t>
      </w:r>
      <w:r>
        <w:rPr>
          <w:color w:val="231F20"/>
          <w:w w:val="105"/>
        </w:rPr>
        <w:t>entidades</w:t>
      </w:r>
      <w:r>
        <w:rPr>
          <w:color w:val="231F20"/>
          <w:spacing w:val="-39"/>
          <w:w w:val="105"/>
        </w:rPr>
        <w:t> </w:t>
      </w:r>
      <w:r>
        <w:rPr>
          <w:color w:val="231F20"/>
          <w:w w:val="105"/>
        </w:rPr>
        <w:t>altamente</w:t>
      </w:r>
      <w:r>
        <w:rPr>
          <w:color w:val="231F20"/>
          <w:spacing w:val="-39"/>
          <w:w w:val="105"/>
        </w:rPr>
        <w:t> </w:t>
      </w:r>
      <w:r>
        <w:rPr>
          <w:color w:val="231F20"/>
          <w:w w:val="105"/>
        </w:rPr>
        <w:t>expulsoras,</w:t>
      </w:r>
      <w:r>
        <w:rPr>
          <w:color w:val="231F20"/>
          <w:spacing w:val="-42"/>
          <w:w w:val="105"/>
        </w:rPr>
        <w:t> </w:t>
      </w:r>
      <w:r>
        <w:rPr>
          <w:color w:val="231F20"/>
          <w:w w:val="105"/>
        </w:rPr>
        <w:t>los</w:t>
      </w:r>
      <w:r>
        <w:rPr>
          <w:color w:val="231F20"/>
          <w:spacing w:val="-39"/>
          <w:w w:val="105"/>
        </w:rPr>
        <w:t> </w:t>
      </w:r>
      <w:r>
        <w:rPr>
          <w:color w:val="231F20"/>
          <w:w w:val="105"/>
        </w:rPr>
        <w:t>estados</w:t>
      </w:r>
      <w:r>
        <w:rPr>
          <w:color w:val="231F20"/>
          <w:spacing w:val="-39"/>
          <w:w w:val="105"/>
        </w:rPr>
        <w:t> </w:t>
      </w:r>
      <w:r>
        <w:rPr>
          <w:color w:val="231F20"/>
          <w:w w:val="105"/>
        </w:rPr>
        <w:t>de</w:t>
      </w:r>
      <w:r>
        <w:rPr>
          <w:color w:val="231F20"/>
          <w:spacing w:val="-39"/>
          <w:w w:val="105"/>
        </w:rPr>
        <w:t> </w:t>
      </w:r>
      <w:r>
        <w:rPr>
          <w:color w:val="231F20"/>
          <w:w w:val="105"/>
        </w:rPr>
        <w:t>México,</w:t>
      </w:r>
      <w:r>
        <w:rPr>
          <w:color w:val="231F20"/>
          <w:spacing w:val="-44"/>
          <w:w w:val="105"/>
        </w:rPr>
        <w:t> </w:t>
      </w:r>
      <w:r>
        <w:rPr>
          <w:color w:val="231F20"/>
          <w:w w:val="105"/>
        </w:rPr>
        <w:t>Veracruz, Puebla,</w:t>
      </w:r>
      <w:r>
        <w:rPr>
          <w:color w:val="231F20"/>
          <w:spacing w:val="-34"/>
          <w:w w:val="105"/>
        </w:rPr>
        <w:t> </w:t>
      </w:r>
      <w:r>
        <w:rPr>
          <w:color w:val="231F20"/>
          <w:w w:val="105"/>
        </w:rPr>
        <w:t>Guerrero</w:t>
      </w:r>
      <w:r>
        <w:rPr>
          <w:color w:val="231F20"/>
          <w:spacing w:val="-31"/>
          <w:w w:val="105"/>
        </w:rPr>
        <w:t> </w:t>
      </w:r>
      <w:r>
        <w:rPr>
          <w:color w:val="231F20"/>
          <w:w w:val="105"/>
        </w:rPr>
        <w:t>y</w:t>
      </w:r>
      <w:r>
        <w:rPr>
          <w:color w:val="231F20"/>
          <w:spacing w:val="-31"/>
          <w:w w:val="105"/>
        </w:rPr>
        <w:t> </w:t>
      </w:r>
      <w:r>
        <w:rPr>
          <w:color w:val="231F20"/>
          <w:w w:val="105"/>
        </w:rPr>
        <w:t>el</w:t>
      </w:r>
      <w:r>
        <w:rPr>
          <w:color w:val="231F20"/>
          <w:spacing w:val="-31"/>
          <w:w w:val="105"/>
        </w:rPr>
        <w:t> </w:t>
      </w:r>
      <w:r>
        <w:rPr>
          <w:color w:val="231F20"/>
          <w:w w:val="105"/>
        </w:rPr>
        <w:t>Distrito</w:t>
      </w:r>
      <w:r>
        <w:rPr>
          <w:color w:val="231F20"/>
          <w:spacing w:val="-31"/>
          <w:w w:val="105"/>
        </w:rPr>
        <w:t> </w:t>
      </w:r>
      <w:r>
        <w:rPr>
          <w:color w:val="231F20"/>
          <w:w w:val="105"/>
        </w:rPr>
        <w:t>Federal</w:t>
      </w:r>
      <w:r>
        <w:rPr>
          <w:color w:val="231F20"/>
          <w:spacing w:val="-31"/>
          <w:w w:val="105"/>
        </w:rPr>
        <w:t> </w:t>
      </w:r>
      <w:r>
        <w:rPr>
          <w:color w:val="231F20"/>
          <w:w w:val="105"/>
        </w:rPr>
        <w:t>(Baca,</w:t>
      </w:r>
      <w:r>
        <w:rPr>
          <w:color w:val="231F20"/>
          <w:spacing w:val="-34"/>
          <w:w w:val="105"/>
        </w:rPr>
        <w:t> </w:t>
      </w:r>
      <w:r>
        <w:rPr>
          <w:color w:val="231F20"/>
          <w:w w:val="105"/>
        </w:rPr>
        <w:t>2006).</w:t>
      </w:r>
    </w:p>
    <w:p>
      <w:pPr>
        <w:pStyle w:val="BodyText"/>
        <w:spacing w:line="261" w:lineRule="auto" w:before="1"/>
        <w:ind w:left="1837" w:right="1715" w:firstLine="567"/>
        <w:jc w:val="both"/>
      </w:pPr>
      <w:r>
        <w:rPr>
          <w:color w:val="231F20"/>
          <w:w w:val="105"/>
        </w:rPr>
        <w:t>Si bien, los datos sobre migrantes internacionales se concentran en</w:t>
      </w:r>
      <w:r>
        <w:rPr>
          <w:color w:val="231F20"/>
          <w:spacing w:val="-14"/>
          <w:w w:val="105"/>
        </w:rPr>
        <w:t> </w:t>
      </w:r>
      <w:r>
        <w:rPr>
          <w:color w:val="231F20"/>
          <w:w w:val="105"/>
        </w:rPr>
        <w:t>los</w:t>
      </w:r>
      <w:r>
        <w:rPr>
          <w:color w:val="231F20"/>
          <w:spacing w:val="-14"/>
          <w:w w:val="105"/>
        </w:rPr>
        <w:t> </w:t>
      </w:r>
      <w:r>
        <w:rPr>
          <w:color w:val="231F20"/>
          <w:w w:val="105"/>
        </w:rPr>
        <w:t>intercambios</w:t>
      </w:r>
      <w:r>
        <w:rPr>
          <w:color w:val="231F20"/>
          <w:spacing w:val="-14"/>
          <w:w w:val="105"/>
        </w:rPr>
        <w:t> </w:t>
      </w:r>
      <w:r>
        <w:rPr>
          <w:color w:val="231F20"/>
          <w:w w:val="105"/>
        </w:rPr>
        <w:t>de</w:t>
      </w:r>
      <w:r>
        <w:rPr>
          <w:color w:val="231F20"/>
          <w:spacing w:val="-14"/>
          <w:w w:val="105"/>
        </w:rPr>
        <w:t> </w:t>
      </w:r>
      <w:r>
        <w:rPr>
          <w:color w:val="231F20"/>
          <w:w w:val="105"/>
        </w:rPr>
        <w:t>población</w:t>
      </w:r>
      <w:r>
        <w:rPr>
          <w:color w:val="231F20"/>
          <w:spacing w:val="-14"/>
          <w:w w:val="105"/>
        </w:rPr>
        <w:t> </w:t>
      </w:r>
      <w:r>
        <w:rPr>
          <w:color w:val="231F20"/>
          <w:w w:val="105"/>
        </w:rPr>
        <w:t>entre</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y</w:t>
      </w:r>
      <w:r>
        <w:rPr>
          <w:color w:val="231F20"/>
          <w:spacing w:val="-14"/>
          <w:w w:val="105"/>
        </w:rPr>
        <w:t> </w:t>
      </w:r>
      <w:r>
        <w:rPr>
          <w:color w:val="231F20"/>
          <w:w w:val="105"/>
        </w:rPr>
        <w:t>México,</w:t>
      </w:r>
      <w:r>
        <w:rPr>
          <w:color w:val="231F20"/>
          <w:spacing w:val="-19"/>
          <w:w w:val="105"/>
        </w:rPr>
        <w:t> </w:t>
      </w:r>
      <w:r>
        <w:rPr>
          <w:color w:val="231F20"/>
          <w:w w:val="105"/>
        </w:rPr>
        <w:t>hoy</w:t>
      </w:r>
      <w:r>
        <w:rPr>
          <w:color w:val="231F20"/>
          <w:spacing w:val="-14"/>
          <w:w w:val="105"/>
        </w:rPr>
        <w:t> </w:t>
      </w:r>
      <w:r>
        <w:rPr>
          <w:color w:val="231F20"/>
          <w:w w:val="105"/>
        </w:rPr>
        <w:t>se comienza a evidenciar la necesidad de observar también al Estado de México,</w:t>
      </w:r>
      <w:r>
        <w:rPr>
          <w:color w:val="231F20"/>
          <w:spacing w:val="-21"/>
          <w:w w:val="105"/>
        </w:rPr>
        <w:t> </w:t>
      </w:r>
      <w:r>
        <w:rPr>
          <w:color w:val="231F20"/>
          <w:w w:val="105"/>
        </w:rPr>
        <w:t>como</w:t>
      </w:r>
      <w:r>
        <w:rPr>
          <w:color w:val="231F20"/>
          <w:spacing w:val="-15"/>
          <w:w w:val="105"/>
        </w:rPr>
        <w:t> </w:t>
      </w:r>
      <w:r>
        <w:rPr>
          <w:color w:val="231F20"/>
          <w:w w:val="105"/>
        </w:rPr>
        <w:t>una</w:t>
      </w:r>
      <w:r>
        <w:rPr>
          <w:color w:val="231F20"/>
          <w:spacing w:val="-15"/>
          <w:w w:val="105"/>
        </w:rPr>
        <w:t> </w:t>
      </w:r>
      <w:r>
        <w:rPr>
          <w:color w:val="231F20"/>
          <w:w w:val="105"/>
        </w:rPr>
        <w:t>entidad</w:t>
      </w:r>
      <w:r>
        <w:rPr>
          <w:color w:val="231F20"/>
          <w:spacing w:val="-15"/>
          <w:w w:val="105"/>
        </w:rPr>
        <w:t> </w:t>
      </w:r>
      <w:r>
        <w:rPr>
          <w:color w:val="231F20"/>
          <w:w w:val="105"/>
        </w:rPr>
        <w:t>de</w:t>
      </w:r>
      <w:r>
        <w:rPr>
          <w:color w:val="231F20"/>
          <w:spacing w:val="-15"/>
          <w:w w:val="105"/>
        </w:rPr>
        <w:t> </w:t>
      </w:r>
      <w:r>
        <w:rPr>
          <w:color w:val="231F20"/>
          <w:w w:val="105"/>
        </w:rPr>
        <w:t>migración</w:t>
      </w:r>
      <w:r>
        <w:rPr>
          <w:color w:val="231F20"/>
          <w:spacing w:val="-15"/>
          <w:w w:val="105"/>
        </w:rPr>
        <w:t> </w:t>
      </w:r>
      <w:r>
        <w:rPr>
          <w:color w:val="231F20"/>
          <w:w w:val="105"/>
        </w:rPr>
        <w:t>internacional,</w:t>
      </w:r>
      <w:r>
        <w:rPr>
          <w:color w:val="231F20"/>
          <w:spacing w:val="-21"/>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conjun- to</w:t>
      </w:r>
      <w:r>
        <w:rPr>
          <w:color w:val="231F20"/>
          <w:spacing w:val="-14"/>
          <w:w w:val="105"/>
        </w:rPr>
        <w:t> </w:t>
      </w:r>
      <w:r>
        <w:rPr>
          <w:color w:val="231F20"/>
          <w:w w:val="105"/>
        </w:rPr>
        <w:t>no</w:t>
      </w:r>
      <w:r>
        <w:rPr>
          <w:color w:val="231F20"/>
          <w:spacing w:val="-14"/>
          <w:w w:val="105"/>
        </w:rPr>
        <w:t> </w:t>
      </w:r>
      <w:r>
        <w:rPr>
          <w:color w:val="231F20"/>
          <w:w w:val="105"/>
        </w:rPr>
        <w:t>es</w:t>
      </w:r>
      <w:r>
        <w:rPr>
          <w:color w:val="231F20"/>
          <w:spacing w:val="-14"/>
          <w:w w:val="105"/>
        </w:rPr>
        <w:t> </w:t>
      </w:r>
      <w:r>
        <w:rPr>
          <w:color w:val="231F20"/>
          <w:w w:val="105"/>
        </w:rPr>
        <w:t>de</w:t>
      </w:r>
      <w:r>
        <w:rPr>
          <w:color w:val="231F20"/>
          <w:spacing w:val="-14"/>
          <w:w w:val="105"/>
        </w:rPr>
        <w:t> </w:t>
      </w:r>
      <w:r>
        <w:rPr>
          <w:color w:val="231F20"/>
          <w:w w:val="105"/>
        </w:rPr>
        <w:t>prácticas</w:t>
      </w:r>
      <w:r>
        <w:rPr>
          <w:color w:val="231F20"/>
          <w:spacing w:val="-14"/>
          <w:w w:val="105"/>
        </w:rPr>
        <w:t> </w:t>
      </w:r>
      <w:r>
        <w:rPr>
          <w:color w:val="231F20"/>
          <w:w w:val="105"/>
        </w:rPr>
        <w:t>migratorias</w:t>
      </w:r>
      <w:r>
        <w:rPr>
          <w:color w:val="231F20"/>
          <w:spacing w:val="-14"/>
          <w:w w:val="105"/>
        </w:rPr>
        <w:t> </w:t>
      </w:r>
      <w:r>
        <w:rPr>
          <w:color w:val="231F20"/>
          <w:w w:val="105"/>
        </w:rPr>
        <w:t>de</w:t>
      </w:r>
      <w:r>
        <w:rPr>
          <w:color w:val="231F20"/>
          <w:spacing w:val="-14"/>
          <w:w w:val="105"/>
        </w:rPr>
        <w:t> </w:t>
      </w:r>
      <w:r>
        <w:rPr>
          <w:color w:val="231F20"/>
          <w:w w:val="105"/>
        </w:rPr>
        <w:t>alta</w:t>
      </w:r>
      <w:r>
        <w:rPr>
          <w:color w:val="231F20"/>
          <w:spacing w:val="-14"/>
          <w:w w:val="105"/>
        </w:rPr>
        <w:t> </w:t>
      </w:r>
      <w:r>
        <w:rPr>
          <w:color w:val="231F20"/>
          <w:w w:val="105"/>
        </w:rPr>
        <w:t>tradición,</w:t>
      </w:r>
      <w:r>
        <w:rPr>
          <w:color w:val="231F20"/>
          <w:spacing w:val="-20"/>
          <w:w w:val="105"/>
        </w:rPr>
        <w:t> </w:t>
      </w:r>
      <w:r>
        <w:rPr>
          <w:color w:val="231F20"/>
          <w:w w:val="105"/>
        </w:rPr>
        <w:t>no</w:t>
      </w:r>
      <w:r>
        <w:rPr>
          <w:color w:val="231F20"/>
          <w:spacing w:val="-14"/>
          <w:w w:val="105"/>
        </w:rPr>
        <w:t> </w:t>
      </w:r>
      <w:r>
        <w:rPr>
          <w:color w:val="231F20"/>
          <w:w w:val="105"/>
        </w:rPr>
        <w:t>así</w:t>
      </w:r>
      <w:r>
        <w:rPr>
          <w:color w:val="231F20"/>
          <w:spacing w:val="-14"/>
          <w:w w:val="105"/>
        </w:rPr>
        <w:t> </w:t>
      </w:r>
      <w:r>
        <w:rPr>
          <w:color w:val="231F20"/>
          <w:w w:val="105"/>
        </w:rPr>
        <w:t>a</w:t>
      </w:r>
      <w:r>
        <w:rPr>
          <w:color w:val="231F20"/>
          <w:spacing w:val="-14"/>
          <w:w w:val="105"/>
        </w:rPr>
        <w:t> </w:t>
      </w:r>
      <w:r>
        <w:rPr>
          <w:color w:val="231F20"/>
          <w:w w:val="105"/>
        </w:rPr>
        <w:t>nivel</w:t>
      </w:r>
      <w:r>
        <w:rPr>
          <w:color w:val="231F20"/>
          <w:spacing w:val="-14"/>
          <w:w w:val="105"/>
        </w:rPr>
        <w:t> </w:t>
      </w:r>
      <w:r>
        <w:rPr>
          <w:color w:val="231F20"/>
          <w:w w:val="105"/>
        </w:rPr>
        <w:t>regional. La entidad mexiquense en las últimas tres décadas ha adquirido gran importancia,</w:t>
      </w:r>
      <w:r>
        <w:rPr>
          <w:color w:val="231F20"/>
          <w:spacing w:val="-29"/>
          <w:w w:val="105"/>
        </w:rPr>
        <w:t> </w:t>
      </w:r>
      <w:r>
        <w:rPr>
          <w:color w:val="231F20"/>
          <w:w w:val="105"/>
        </w:rPr>
        <w:t>por</w:t>
      </w:r>
      <w:r>
        <w:rPr>
          <w:color w:val="231F20"/>
          <w:spacing w:val="-23"/>
          <w:w w:val="105"/>
        </w:rPr>
        <w:t> </w:t>
      </w:r>
      <w:r>
        <w:rPr>
          <w:color w:val="231F20"/>
          <w:w w:val="105"/>
        </w:rPr>
        <w:t>el</w:t>
      </w:r>
      <w:r>
        <w:rPr>
          <w:color w:val="231F20"/>
          <w:spacing w:val="-23"/>
          <w:w w:val="105"/>
        </w:rPr>
        <w:t> </w:t>
      </w:r>
      <w:r>
        <w:rPr>
          <w:color w:val="231F20"/>
          <w:w w:val="105"/>
        </w:rPr>
        <w:t>número</w:t>
      </w:r>
      <w:r>
        <w:rPr>
          <w:color w:val="231F20"/>
          <w:spacing w:val="-23"/>
          <w:w w:val="105"/>
        </w:rPr>
        <w:t> </w:t>
      </w:r>
      <w:r>
        <w:rPr>
          <w:color w:val="231F20"/>
          <w:w w:val="105"/>
        </w:rPr>
        <w:t>de</w:t>
      </w:r>
      <w:r>
        <w:rPr>
          <w:color w:val="231F20"/>
          <w:spacing w:val="-23"/>
          <w:w w:val="105"/>
        </w:rPr>
        <w:t> </w:t>
      </w:r>
      <w:r>
        <w:rPr>
          <w:color w:val="231F20"/>
          <w:w w:val="105"/>
        </w:rPr>
        <w:t>personas</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desplazan</w:t>
      </w:r>
      <w:r>
        <w:rPr>
          <w:color w:val="231F20"/>
          <w:spacing w:val="-23"/>
          <w:w w:val="105"/>
        </w:rPr>
        <w:t> </w:t>
      </w:r>
      <w:r>
        <w:rPr>
          <w:color w:val="231F20"/>
          <w:w w:val="105"/>
        </w:rPr>
        <w:t>a</w:t>
      </w:r>
      <w:r>
        <w:rPr>
          <w:color w:val="231F20"/>
          <w:spacing w:val="-23"/>
          <w:w w:val="105"/>
        </w:rPr>
        <w:t> </w:t>
      </w:r>
      <w:r>
        <w:rPr>
          <w:color w:val="231F20"/>
          <w:w w:val="105"/>
        </w:rPr>
        <w:t>Estados</w:t>
      </w:r>
      <w:r>
        <w:rPr>
          <w:color w:val="231F20"/>
          <w:spacing w:val="-23"/>
          <w:w w:val="105"/>
        </w:rPr>
        <w:t> </w:t>
      </w:r>
      <w:r>
        <w:rPr>
          <w:color w:val="231F20"/>
          <w:w w:val="105"/>
        </w:rPr>
        <w:t>Uni- dos;</w:t>
      </w:r>
      <w:r>
        <w:rPr>
          <w:color w:val="231F20"/>
          <w:spacing w:val="-4"/>
          <w:w w:val="105"/>
        </w:rPr>
        <w:t> </w:t>
      </w:r>
      <w:r>
        <w:rPr>
          <w:color w:val="231F20"/>
          <w:w w:val="105"/>
        </w:rPr>
        <w:t>el</w:t>
      </w:r>
      <w:r>
        <w:rPr>
          <w:color w:val="231F20"/>
          <w:spacing w:val="-4"/>
          <w:w w:val="105"/>
        </w:rPr>
        <w:t> </w:t>
      </w:r>
      <w:r>
        <w:rPr>
          <w:color w:val="231F20"/>
          <w:w w:val="105"/>
        </w:rPr>
        <w:t>número</w:t>
      </w:r>
      <w:r>
        <w:rPr>
          <w:color w:val="231F20"/>
          <w:spacing w:val="-4"/>
          <w:w w:val="105"/>
        </w:rPr>
        <w:t> </w:t>
      </w:r>
      <w:r>
        <w:rPr>
          <w:color w:val="231F20"/>
          <w:w w:val="105"/>
        </w:rPr>
        <w:t>de</w:t>
      </w:r>
      <w:r>
        <w:rPr>
          <w:color w:val="231F20"/>
          <w:spacing w:val="-4"/>
          <w:w w:val="105"/>
        </w:rPr>
        <w:t> </w:t>
      </w:r>
      <w:r>
        <w:rPr>
          <w:color w:val="231F20"/>
          <w:w w:val="105"/>
        </w:rPr>
        <w:t>hogares</w:t>
      </w:r>
      <w:r>
        <w:rPr>
          <w:color w:val="231F20"/>
          <w:spacing w:val="-4"/>
          <w:w w:val="105"/>
        </w:rPr>
        <w:t> </w:t>
      </w:r>
      <w:r>
        <w:rPr>
          <w:color w:val="231F20"/>
          <w:w w:val="105"/>
        </w:rPr>
        <w:t>y</w:t>
      </w:r>
      <w:r>
        <w:rPr>
          <w:color w:val="231F20"/>
          <w:spacing w:val="-4"/>
          <w:w w:val="105"/>
        </w:rPr>
        <w:t> </w:t>
      </w:r>
      <w:r>
        <w:rPr>
          <w:color w:val="231F20"/>
          <w:w w:val="105"/>
        </w:rPr>
        <w:t>la</w:t>
      </w:r>
      <w:r>
        <w:rPr>
          <w:color w:val="231F20"/>
          <w:spacing w:val="-4"/>
          <w:w w:val="105"/>
        </w:rPr>
        <w:t> </w:t>
      </w:r>
      <w:r>
        <w:rPr>
          <w:color w:val="231F20"/>
          <w:w w:val="105"/>
        </w:rPr>
        <w:t>cantidad</w:t>
      </w:r>
      <w:r>
        <w:rPr>
          <w:color w:val="231F20"/>
          <w:spacing w:val="-4"/>
          <w:w w:val="105"/>
        </w:rPr>
        <w:t> </w:t>
      </w:r>
      <w:r>
        <w:rPr>
          <w:color w:val="231F20"/>
          <w:w w:val="105"/>
        </w:rPr>
        <w:t>de</w:t>
      </w:r>
      <w:r>
        <w:rPr>
          <w:color w:val="231F20"/>
          <w:spacing w:val="-4"/>
          <w:w w:val="105"/>
        </w:rPr>
        <w:t> </w:t>
      </w:r>
      <w:r>
        <w:rPr>
          <w:color w:val="231F20"/>
          <w:w w:val="105"/>
        </w:rPr>
        <w:t>remesas</w:t>
      </w:r>
      <w:r>
        <w:rPr>
          <w:color w:val="231F20"/>
          <w:spacing w:val="-4"/>
          <w:w w:val="105"/>
        </w:rPr>
        <w:t> </w:t>
      </w:r>
      <w:r>
        <w:rPr>
          <w:color w:val="231F20"/>
          <w:w w:val="105"/>
        </w:rPr>
        <w:t>que</w:t>
      </w:r>
      <w:r>
        <w:rPr>
          <w:color w:val="231F20"/>
          <w:spacing w:val="-4"/>
          <w:w w:val="105"/>
        </w:rPr>
        <w:t> </w:t>
      </w:r>
      <w:r>
        <w:rPr>
          <w:color w:val="231F20"/>
          <w:w w:val="105"/>
        </w:rPr>
        <w:t>envían</w:t>
      </w:r>
      <w:r>
        <w:rPr>
          <w:color w:val="231F20"/>
          <w:spacing w:val="-4"/>
          <w:w w:val="105"/>
        </w:rPr>
        <w:t> </w:t>
      </w:r>
      <w:r>
        <w:rPr>
          <w:color w:val="231F20"/>
          <w:w w:val="105"/>
        </w:rPr>
        <w:t>los</w:t>
      </w:r>
      <w:r>
        <w:rPr>
          <w:color w:val="231F20"/>
          <w:spacing w:val="-4"/>
          <w:w w:val="105"/>
        </w:rPr>
        <w:t> </w:t>
      </w:r>
      <w:r>
        <w:rPr>
          <w:color w:val="231F20"/>
          <w:w w:val="105"/>
        </w:rPr>
        <w:t>mi- grantes</w:t>
      </w:r>
      <w:r>
        <w:rPr>
          <w:color w:val="231F20"/>
          <w:spacing w:val="-25"/>
          <w:w w:val="105"/>
        </w:rPr>
        <w:t> </w:t>
      </w:r>
      <w:r>
        <w:rPr>
          <w:color w:val="231F20"/>
          <w:w w:val="105"/>
        </w:rPr>
        <w:t>e</w:t>
      </w:r>
      <w:r>
        <w:rPr>
          <w:color w:val="231F20"/>
          <w:spacing w:val="-25"/>
          <w:w w:val="105"/>
        </w:rPr>
        <w:t> </w:t>
      </w:r>
      <w:r>
        <w:rPr>
          <w:color w:val="231F20"/>
          <w:w w:val="105"/>
        </w:rPr>
        <w:t>incluso</w:t>
      </w:r>
      <w:r>
        <w:rPr>
          <w:color w:val="231F20"/>
          <w:spacing w:val="-25"/>
          <w:w w:val="105"/>
        </w:rPr>
        <w:t> </w:t>
      </w:r>
      <w:r>
        <w:rPr>
          <w:color w:val="231F20"/>
          <w:w w:val="105"/>
        </w:rPr>
        <w:t>por</w:t>
      </w:r>
      <w:r>
        <w:rPr>
          <w:color w:val="231F20"/>
          <w:spacing w:val="-25"/>
          <w:w w:val="105"/>
        </w:rPr>
        <w:t> </w:t>
      </w:r>
      <w:r>
        <w:rPr>
          <w:color w:val="231F20"/>
          <w:w w:val="105"/>
        </w:rPr>
        <w:t>las</w:t>
      </w:r>
      <w:r>
        <w:rPr>
          <w:color w:val="231F20"/>
          <w:spacing w:val="-25"/>
          <w:w w:val="105"/>
        </w:rPr>
        <w:t> </w:t>
      </w:r>
      <w:r>
        <w:rPr>
          <w:color w:val="231F20"/>
          <w:w w:val="105"/>
        </w:rPr>
        <w:t>redes</w:t>
      </w:r>
      <w:r>
        <w:rPr>
          <w:color w:val="231F20"/>
          <w:spacing w:val="-25"/>
          <w:w w:val="105"/>
        </w:rPr>
        <w:t> </w:t>
      </w:r>
      <w:r>
        <w:rPr>
          <w:color w:val="231F20"/>
          <w:w w:val="105"/>
        </w:rPr>
        <w:t>sociales</w:t>
      </w:r>
      <w:r>
        <w:rPr>
          <w:color w:val="231F20"/>
          <w:spacing w:val="-25"/>
          <w:w w:val="105"/>
        </w:rPr>
        <w:t> </w:t>
      </w:r>
      <w:r>
        <w:rPr>
          <w:color w:val="231F20"/>
          <w:w w:val="105"/>
        </w:rPr>
        <w:t>bien</w:t>
      </w:r>
      <w:r>
        <w:rPr>
          <w:color w:val="231F20"/>
          <w:spacing w:val="-25"/>
          <w:w w:val="105"/>
        </w:rPr>
        <w:t> </w:t>
      </w:r>
      <w:r>
        <w:rPr>
          <w:color w:val="231F20"/>
          <w:w w:val="105"/>
        </w:rPr>
        <w:t>consolidadas</w:t>
      </w:r>
      <w:r>
        <w:rPr>
          <w:color w:val="231F20"/>
          <w:spacing w:val="-25"/>
          <w:w w:val="105"/>
        </w:rPr>
        <w:t> </w:t>
      </w:r>
      <w:r>
        <w:rPr>
          <w:color w:val="231F20"/>
          <w:w w:val="105"/>
        </w:rPr>
        <w:t>que</w:t>
      </w:r>
      <w:r>
        <w:rPr>
          <w:color w:val="231F20"/>
          <w:spacing w:val="-25"/>
          <w:w w:val="105"/>
        </w:rPr>
        <w:t> </w:t>
      </w:r>
      <w:r>
        <w:rPr>
          <w:color w:val="231F20"/>
          <w:w w:val="105"/>
        </w:rPr>
        <w:t>se</w:t>
      </w:r>
      <w:r>
        <w:rPr>
          <w:color w:val="231F20"/>
          <w:spacing w:val="-25"/>
          <w:w w:val="105"/>
        </w:rPr>
        <w:t> </w:t>
      </w:r>
      <w:r>
        <w:rPr>
          <w:color w:val="231F20"/>
          <w:w w:val="105"/>
        </w:rPr>
        <w:t>pueden observar</w:t>
      </w:r>
      <w:r>
        <w:rPr>
          <w:color w:val="231F20"/>
          <w:spacing w:val="-10"/>
          <w:w w:val="105"/>
        </w:rPr>
        <w:t> </w:t>
      </w:r>
      <w:r>
        <w:rPr>
          <w:color w:val="231F20"/>
          <w:w w:val="105"/>
        </w:rPr>
        <w:t>en</w:t>
      </w:r>
      <w:r>
        <w:rPr>
          <w:color w:val="231F20"/>
          <w:spacing w:val="-10"/>
          <w:w w:val="105"/>
        </w:rPr>
        <w:t> </w:t>
      </w:r>
      <w:r>
        <w:rPr>
          <w:color w:val="231F20"/>
          <w:w w:val="105"/>
        </w:rPr>
        <w:t>territorios</w:t>
      </w:r>
      <w:r>
        <w:rPr>
          <w:color w:val="231F20"/>
          <w:spacing w:val="-10"/>
          <w:w w:val="105"/>
        </w:rPr>
        <w:t> </w:t>
      </w:r>
      <w:r>
        <w:rPr>
          <w:color w:val="231F20"/>
          <w:w w:val="105"/>
        </w:rPr>
        <w:t>del</w:t>
      </w:r>
      <w:r>
        <w:rPr>
          <w:color w:val="231F20"/>
          <w:spacing w:val="-10"/>
          <w:w w:val="105"/>
        </w:rPr>
        <w:t> </w:t>
      </w:r>
      <w:r>
        <w:rPr>
          <w:color w:val="231F20"/>
          <w:w w:val="105"/>
        </w:rPr>
        <w:t>sur</w:t>
      </w:r>
      <w:r>
        <w:rPr>
          <w:color w:val="231F20"/>
          <w:spacing w:val="-10"/>
          <w:w w:val="105"/>
        </w:rPr>
        <w:t> </w:t>
      </w:r>
      <w:r>
        <w:rPr>
          <w:color w:val="231F20"/>
          <w:w w:val="105"/>
        </w:rPr>
        <w:t>del</w:t>
      </w:r>
      <w:r>
        <w:rPr>
          <w:color w:val="231F20"/>
          <w:spacing w:val="-10"/>
          <w:w w:val="105"/>
        </w:rPr>
        <w:t> </w:t>
      </w:r>
      <w:r>
        <w:rPr>
          <w:color w:val="231F20"/>
          <w:w w:val="105"/>
        </w:rPr>
        <w:t>estado.</w:t>
      </w:r>
    </w:p>
    <w:p>
      <w:pPr>
        <w:pStyle w:val="BodyText"/>
        <w:spacing w:before="11"/>
        <w:rPr>
          <w:sz w:val="22"/>
        </w:rPr>
      </w:pPr>
      <w:r>
        <w:rPr/>
        <w:pict>
          <v:line style="position:absolute;mso-position-horizontal-relative:page;mso-position-vertical-relative:paragraph;z-index:35512;mso-wrap-distance-left:0;mso-wrap-distance-right:0" from="91.866096pt,15.077026pt" to="205.252096pt,15.077026pt" stroked="true" strokeweight=".25pt" strokecolor="#231f20">
            <w10:wrap type="topAndBottom"/>
          </v:line>
        </w:pict>
      </w:r>
    </w:p>
    <w:p>
      <w:pPr>
        <w:spacing w:line="192" w:lineRule="exact" w:before="7"/>
        <w:ind w:left="1837" w:right="1721" w:hanging="1"/>
        <w:jc w:val="both"/>
        <w:rPr>
          <w:rFonts w:ascii="Calibri" w:hAnsi="Calibri"/>
          <w:sz w:val="16"/>
        </w:rPr>
      </w:pPr>
      <w:r>
        <w:rPr>
          <w:rFonts w:ascii="Calibri" w:hAnsi="Calibri"/>
          <w:color w:val="414042"/>
          <w:position w:val="5"/>
          <w:sz w:val="9"/>
        </w:rPr>
        <w:t>1 </w:t>
      </w:r>
      <w:r>
        <w:rPr>
          <w:rFonts w:ascii="Calibri" w:hAnsi="Calibri"/>
          <w:color w:val="414042"/>
          <w:sz w:val="16"/>
        </w:rPr>
        <w:t>Lo peculiar de este proceso es que las comunidades de migrantes establecidos en el territorio nortea- mericano, tienen un territorio y una cultura matriótica que les sirve como referente territorial y matriz    de pertenencia. Esto es justo lo que hace posible la formación de la comunidad filial y el establecimiento de</w:t>
      </w:r>
      <w:r>
        <w:rPr>
          <w:rFonts w:ascii="Calibri" w:hAnsi="Calibri"/>
          <w:color w:val="414042"/>
          <w:spacing w:val="12"/>
          <w:sz w:val="16"/>
        </w:rPr>
        <w:t> </w:t>
      </w:r>
      <w:r>
        <w:rPr>
          <w:rFonts w:ascii="Calibri" w:hAnsi="Calibri"/>
          <w:color w:val="414042"/>
          <w:sz w:val="16"/>
        </w:rPr>
        <w:t>los</w:t>
      </w:r>
      <w:r>
        <w:rPr>
          <w:rFonts w:ascii="Calibri" w:hAnsi="Calibri"/>
          <w:color w:val="414042"/>
          <w:spacing w:val="12"/>
          <w:sz w:val="16"/>
        </w:rPr>
        <w:t> </w:t>
      </w:r>
      <w:r>
        <w:rPr>
          <w:rFonts w:ascii="Calibri" w:hAnsi="Calibri"/>
          <w:color w:val="414042"/>
          <w:sz w:val="16"/>
        </w:rPr>
        <w:t>lazos</w:t>
      </w:r>
      <w:r>
        <w:rPr>
          <w:rFonts w:ascii="Calibri" w:hAnsi="Calibri"/>
          <w:color w:val="414042"/>
          <w:spacing w:val="12"/>
          <w:sz w:val="16"/>
        </w:rPr>
        <w:t> </w:t>
      </w:r>
      <w:r>
        <w:rPr>
          <w:rFonts w:ascii="Calibri" w:hAnsi="Calibri"/>
          <w:color w:val="414042"/>
          <w:sz w:val="16"/>
        </w:rPr>
        <w:t>entre</w:t>
      </w:r>
      <w:r>
        <w:rPr>
          <w:rFonts w:ascii="Calibri" w:hAnsi="Calibri"/>
          <w:color w:val="414042"/>
          <w:spacing w:val="12"/>
          <w:sz w:val="16"/>
        </w:rPr>
        <w:t> </w:t>
      </w:r>
      <w:r>
        <w:rPr>
          <w:rFonts w:ascii="Calibri" w:hAnsi="Calibri"/>
          <w:color w:val="414042"/>
          <w:sz w:val="16"/>
        </w:rPr>
        <w:t>los</w:t>
      </w:r>
      <w:r>
        <w:rPr>
          <w:rFonts w:ascii="Calibri" w:hAnsi="Calibri"/>
          <w:color w:val="414042"/>
          <w:spacing w:val="12"/>
          <w:sz w:val="16"/>
        </w:rPr>
        <w:t> </w:t>
      </w:r>
      <w:r>
        <w:rPr>
          <w:rFonts w:ascii="Calibri" w:hAnsi="Calibri"/>
          <w:color w:val="414042"/>
          <w:sz w:val="16"/>
        </w:rPr>
        <w:t>distintos</w:t>
      </w:r>
      <w:r>
        <w:rPr>
          <w:rFonts w:ascii="Calibri" w:hAnsi="Calibri"/>
          <w:color w:val="414042"/>
          <w:spacing w:val="12"/>
          <w:sz w:val="16"/>
        </w:rPr>
        <w:t> </w:t>
      </w:r>
      <w:r>
        <w:rPr>
          <w:rFonts w:ascii="Calibri" w:hAnsi="Calibri"/>
          <w:color w:val="414042"/>
          <w:sz w:val="16"/>
        </w:rPr>
        <w:t>asentamientos</w:t>
      </w:r>
      <w:r>
        <w:rPr>
          <w:rFonts w:ascii="Calibri" w:hAnsi="Calibri"/>
          <w:color w:val="414042"/>
          <w:spacing w:val="12"/>
          <w:sz w:val="16"/>
        </w:rPr>
        <w:t> </w:t>
      </w:r>
      <w:r>
        <w:rPr>
          <w:rFonts w:ascii="Calibri" w:hAnsi="Calibri"/>
          <w:color w:val="414042"/>
          <w:sz w:val="16"/>
        </w:rPr>
        <w:t>que</w:t>
      </w:r>
      <w:r>
        <w:rPr>
          <w:rFonts w:ascii="Calibri" w:hAnsi="Calibri"/>
          <w:color w:val="414042"/>
          <w:spacing w:val="12"/>
          <w:sz w:val="16"/>
        </w:rPr>
        <w:t> </w:t>
      </w:r>
      <w:r>
        <w:rPr>
          <w:rFonts w:ascii="Calibri" w:hAnsi="Calibri"/>
          <w:color w:val="414042"/>
          <w:sz w:val="16"/>
        </w:rPr>
        <w:t>conforman</w:t>
      </w:r>
      <w:r>
        <w:rPr>
          <w:rFonts w:ascii="Calibri" w:hAnsi="Calibri"/>
          <w:color w:val="414042"/>
          <w:spacing w:val="12"/>
          <w:sz w:val="16"/>
        </w:rPr>
        <w:t> </w:t>
      </w:r>
      <w:r>
        <w:rPr>
          <w:rFonts w:ascii="Calibri" w:hAnsi="Calibri"/>
          <w:color w:val="414042"/>
          <w:sz w:val="16"/>
        </w:rPr>
        <w:t>el</w:t>
      </w:r>
      <w:r>
        <w:rPr>
          <w:rFonts w:ascii="Calibri" w:hAnsi="Calibri"/>
          <w:color w:val="414042"/>
          <w:spacing w:val="12"/>
          <w:sz w:val="16"/>
        </w:rPr>
        <w:t> </w:t>
      </w:r>
      <w:r>
        <w:rPr>
          <w:rFonts w:ascii="Calibri" w:hAnsi="Calibri"/>
          <w:color w:val="414042"/>
          <w:sz w:val="16"/>
        </w:rPr>
        <w:t>circuito</w:t>
      </w:r>
      <w:r>
        <w:rPr>
          <w:rFonts w:ascii="Calibri" w:hAnsi="Calibri"/>
          <w:color w:val="414042"/>
          <w:spacing w:val="12"/>
          <w:sz w:val="16"/>
        </w:rPr>
        <w:t> </w:t>
      </w:r>
      <w:r>
        <w:rPr>
          <w:rFonts w:ascii="Calibri" w:hAnsi="Calibri"/>
          <w:color w:val="414042"/>
          <w:sz w:val="16"/>
        </w:rPr>
        <w:t>migratorio</w:t>
      </w:r>
      <w:r>
        <w:rPr>
          <w:rFonts w:ascii="Calibri" w:hAnsi="Calibri"/>
          <w:color w:val="414042"/>
          <w:spacing w:val="12"/>
          <w:sz w:val="16"/>
        </w:rPr>
        <w:t> </w:t>
      </w:r>
      <w:r>
        <w:rPr>
          <w:rFonts w:ascii="Calibri" w:hAnsi="Calibri"/>
          <w:color w:val="414042"/>
          <w:sz w:val="16"/>
        </w:rPr>
        <w:t>(Moctezuma,</w:t>
      </w:r>
      <w:r>
        <w:rPr>
          <w:rFonts w:ascii="Calibri" w:hAnsi="Calibri"/>
          <w:color w:val="414042"/>
          <w:spacing w:val="12"/>
          <w:sz w:val="16"/>
        </w:rPr>
        <w:t> </w:t>
      </w:r>
      <w:r>
        <w:rPr>
          <w:rFonts w:ascii="Calibri" w:hAnsi="Calibri"/>
          <w:color w:val="414042"/>
          <w:sz w:val="16"/>
        </w:rPr>
        <w:t>2013).</w:t>
      </w:r>
    </w:p>
    <w:p>
      <w:pPr>
        <w:spacing w:after="0" w:line="192" w:lineRule="exact"/>
        <w:jc w:val="both"/>
        <w:rPr>
          <w:rFonts w:ascii="Calibri" w:hAnsi="Calibri"/>
          <w:sz w:val="16"/>
        </w:rPr>
        <w:sectPr>
          <w:type w:val="continuous"/>
          <w:pgSz w:w="10480" w:h="14730"/>
          <w:pgMar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28"/>
        <w:jc w:val="both"/>
      </w:pPr>
      <w:r>
        <w:rPr/>
        <w:pict>
          <v:line style="position:absolute;mso-position-horizontal-relative:page;mso-position-vertical-relative:paragraph;z-index:35704" from="15pt,-68.636444pt" to="0pt,-68.636444pt" stroked="true" strokeweight=".25pt" strokecolor="#000000">
            <w10:wrap type="none"/>
          </v:line>
        </w:pict>
      </w:r>
      <w:r>
        <w:rPr/>
        <w:pict>
          <v:line style="position:absolute;mso-position-horizontal-relative:page;mso-position-vertical-relative:paragraph;z-index:35728" from="508.890015pt,-68.636444pt" to="523.890015pt,-68.636444pt" stroked="true" strokeweight=".25pt" strokecolor="#000000">
            <w10:wrap type="none"/>
          </v:line>
        </w:pict>
      </w:r>
      <w:r>
        <w:rPr>
          <w:color w:val="231F20"/>
          <w:w w:val="105"/>
        </w:rPr>
        <w:t>En la entidad se puede observar una composición migratoria diversa, porque</w:t>
      </w:r>
      <w:r>
        <w:rPr>
          <w:color w:val="231F20"/>
          <w:spacing w:val="-16"/>
          <w:w w:val="105"/>
        </w:rPr>
        <w:t> </w:t>
      </w:r>
      <w:r>
        <w:rPr>
          <w:color w:val="231F20"/>
          <w:w w:val="105"/>
        </w:rPr>
        <w:t>los</w:t>
      </w:r>
      <w:r>
        <w:rPr>
          <w:color w:val="231F20"/>
          <w:spacing w:val="-16"/>
          <w:w w:val="105"/>
        </w:rPr>
        <w:t> </w:t>
      </w:r>
      <w:r>
        <w:rPr>
          <w:color w:val="231F20"/>
          <w:w w:val="105"/>
        </w:rPr>
        <w:t>25</w:t>
      </w:r>
      <w:r>
        <w:rPr>
          <w:color w:val="231F20"/>
          <w:spacing w:val="-16"/>
          <w:w w:val="105"/>
        </w:rPr>
        <w:t> </w:t>
      </w:r>
      <w:r>
        <w:rPr>
          <w:color w:val="231F20"/>
          <w:w w:val="105"/>
        </w:rPr>
        <w:t>000</w:t>
      </w:r>
      <w:r>
        <w:rPr>
          <w:color w:val="231F20"/>
          <w:spacing w:val="-16"/>
          <w:w w:val="105"/>
        </w:rPr>
        <w:t> </w:t>
      </w:r>
      <w:r>
        <w:rPr>
          <w:color w:val="231F20"/>
          <w:w w:val="105"/>
        </w:rPr>
        <w:t>mexiquense</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desplazan</w:t>
      </w:r>
      <w:r>
        <w:rPr>
          <w:color w:val="231F20"/>
          <w:spacing w:val="-16"/>
          <w:w w:val="105"/>
        </w:rPr>
        <w:t> </w:t>
      </w:r>
      <w:r>
        <w:rPr>
          <w:color w:val="231F20"/>
          <w:w w:val="105"/>
        </w:rPr>
        <w:t>cada</w:t>
      </w:r>
      <w:r>
        <w:rPr>
          <w:color w:val="231F20"/>
          <w:spacing w:val="-16"/>
          <w:w w:val="105"/>
        </w:rPr>
        <w:t> </w:t>
      </w:r>
      <w:r>
        <w:rPr>
          <w:color w:val="231F20"/>
          <w:w w:val="105"/>
        </w:rPr>
        <w:t>año</w:t>
      </w:r>
      <w:r>
        <w:rPr>
          <w:color w:val="231F20"/>
          <w:spacing w:val="-16"/>
          <w:w w:val="105"/>
        </w:rPr>
        <w:t> </w:t>
      </w:r>
      <w:r>
        <w:rPr>
          <w:color w:val="231F20"/>
          <w:w w:val="105"/>
        </w:rPr>
        <w:t>provienen</w:t>
      </w:r>
      <w:r>
        <w:rPr>
          <w:color w:val="231F20"/>
          <w:spacing w:val="-16"/>
          <w:w w:val="105"/>
        </w:rPr>
        <w:t> </w:t>
      </w:r>
      <w:r>
        <w:rPr>
          <w:color w:val="231F20"/>
          <w:w w:val="105"/>
        </w:rPr>
        <w:t>de todas</w:t>
      </w:r>
      <w:r>
        <w:rPr>
          <w:color w:val="231F20"/>
          <w:spacing w:val="-28"/>
          <w:w w:val="105"/>
        </w:rPr>
        <w:t> </w:t>
      </w:r>
      <w:r>
        <w:rPr>
          <w:color w:val="231F20"/>
          <w:w w:val="105"/>
        </w:rPr>
        <w:t>las</w:t>
      </w:r>
      <w:r>
        <w:rPr>
          <w:color w:val="231F20"/>
          <w:spacing w:val="-28"/>
          <w:w w:val="105"/>
        </w:rPr>
        <w:t> </w:t>
      </w:r>
      <w:r>
        <w:rPr>
          <w:color w:val="231F20"/>
          <w:w w:val="105"/>
        </w:rPr>
        <w:t>regiones,</w:t>
      </w:r>
      <w:r>
        <w:rPr>
          <w:color w:val="231F20"/>
          <w:spacing w:val="-32"/>
          <w:w w:val="105"/>
        </w:rPr>
        <w:t> </w:t>
      </w:r>
      <w:r>
        <w:rPr>
          <w:color w:val="231F20"/>
          <w:w w:val="105"/>
        </w:rPr>
        <w:t>tanto</w:t>
      </w:r>
      <w:r>
        <w:rPr>
          <w:color w:val="231F20"/>
          <w:spacing w:val="-28"/>
          <w:w w:val="105"/>
        </w:rPr>
        <w:t> </w:t>
      </w:r>
      <w:r>
        <w:rPr>
          <w:color w:val="231F20"/>
          <w:w w:val="105"/>
        </w:rPr>
        <w:t>de</w:t>
      </w:r>
      <w:r>
        <w:rPr>
          <w:color w:val="231F20"/>
          <w:spacing w:val="-28"/>
          <w:w w:val="105"/>
        </w:rPr>
        <w:t> </w:t>
      </w:r>
      <w:r>
        <w:rPr>
          <w:color w:val="231F20"/>
          <w:w w:val="105"/>
        </w:rPr>
        <w:t>zonas</w:t>
      </w:r>
      <w:r>
        <w:rPr>
          <w:color w:val="231F20"/>
          <w:spacing w:val="-28"/>
          <w:w w:val="105"/>
        </w:rPr>
        <w:t> </w:t>
      </w:r>
      <w:r>
        <w:rPr>
          <w:color w:val="231F20"/>
          <w:w w:val="105"/>
        </w:rPr>
        <w:t>urbanas</w:t>
      </w:r>
      <w:r>
        <w:rPr>
          <w:color w:val="231F20"/>
          <w:spacing w:val="-28"/>
          <w:w w:val="105"/>
        </w:rPr>
        <w:t> </w:t>
      </w:r>
      <w:r>
        <w:rPr>
          <w:color w:val="231F20"/>
          <w:w w:val="105"/>
        </w:rPr>
        <w:t>y</w:t>
      </w:r>
      <w:r>
        <w:rPr>
          <w:color w:val="231F20"/>
          <w:spacing w:val="-28"/>
          <w:w w:val="105"/>
        </w:rPr>
        <w:t> </w:t>
      </w:r>
      <w:r>
        <w:rPr>
          <w:color w:val="231F20"/>
          <w:w w:val="105"/>
        </w:rPr>
        <w:t>semiurbanas,</w:t>
      </w:r>
      <w:r>
        <w:rPr>
          <w:color w:val="231F20"/>
          <w:spacing w:val="-32"/>
          <w:w w:val="105"/>
        </w:rPr>
        <w:t> </w:t>
      </w:r>
      <w:r>
        <w:rPr>
          <w:color w:val="231F20"/>
          <w:w w:val="105"/>
        </w:rPr>
        <w:t>como</w:t>
      </w:r>
      <w:r>
        <w:rPr>
          <w:color w:val="231F20"/>
          <w:spacing w:val="-28"/>
          <w:w w:val="105"/>
        </w:rPr>
        <w:t> </w:t>
      </w:r>
      <w:r>
        <w:rPr>
          <w:color w:val="231F20"/>
          <w:w w:val="105"/>
        </w:rPr>
        <w:t>también de</w:t>
      </w:r>
      <w:r>
        <w:rPr>
          <w:color w:val="231F20"/>
          <w:spacing w:val="-13"/>
          <w:w w:val="105"/>
        </w:rPr>
        <w:t> </w:t>
      </w:r>
      <w:r>
        <w:rPr>
          <w:color w:val="231F20"/>
          <w:w w:val="105"/>
        </w:rPr>
        <w:t>regiones</w:t>
      </w:r>
      <w:r>
        <w:rPr>
          <w:color w:val="231F20"/>
          <w:spacing w:val="-13"/>
          <w:w w:val="105"/>
        </w:rPr>
        <w:t> </w:t>
      </w:r>
      <w:r>
        <w:rPr>
          <w:color w:val="231F20"/>
          <w:w w:val="105"/>
        </w:rPr>
        <w:t>rurales;</w:t>
      </w:r>
      <w:r>
        <w:rPr>
          <w:color w:val="231F20"/>
          <w:spacing w:val="-13"/>
          <w:w w:val="105"/>
        </w:rPr>
        <w:t> </w:t>
      </w:r>
      <w:r>
        <w:rPr>
          <w:color w:val="231F20"/>
          <w:w w:val="105"/>
        </w:rPr>
        <w:t>integrando</w:t>
      </w:r>
      <w:r>
        <w:rPr>
          <w:color w:val="231F20"/>
          <w:spacing w:val="-13"/>
          <w:w w:val="105"/>
        </w:rPr>
        <w:t> </w:t>
      </w:r>
      <w:r>
        <w:rPr>
          <w:color w:val="231F20"/>
          <w:w w:val="105"/>
        </w:rPr>
        <w:t>mujeres</w:t>
      </w:r>
      <w:r>
        <w:rPr>
          <w:color w:val="231F20"/>
          <w:spacing w:val="-13"/>
          <w:w w:val="105"/>
        </w:rPr>
        <w:t> </w:t>
      </w:r>
      <w:r>
        <w:rPr>
          <w:color w:val="231F20"/>
          <w:w w:val="105"/>
        </w:rPr>
        <w:t>y</w:t>
      </w:r>
      <w:r>
        <w:rPr>
          <w:color w:val="231F20"/>
          <w:spacing w:val="-13"/>
          <w:w w:val="105"/>
        </w:rPr>
        <w:t> </w:t>
      </w:r>
      <w:r>
        <w:rPr>
          <w:color w:val="231F20"/>
          <w:w w:val="105"/>
        </w:rPr>
        <w:t>hombres</w:t>
      </w:r>
      <w:r>
        <w:rPr>
          <w:color w:val="231F20"/>
          <w:spacing w:val="-13"/>
          <w:w w:val="105"/>
        </w:rPr>
        <w:t> </w:t>
      </w:r>
      <w:r>
        <w:rPr>
          <w:color w:val="231F20"/>
          <w:w w:val="105"/>
        </w:rPr>
        <w:t>jóvenes,</w:t>
      </w:r>
      <w:r>
        <w:rPr>
          <w:color w:val="231F20"/>
          <w:spacing w:val="-19"/>
          <w:w w:val="105"/>
        </w:rPr>
        <w:t> </w:t>
      </w:r>
      <w:r>
        <w:rPr>
          <w:color w:val="231F20"/>
          <w:w w:val="105"/>
        </w:rPr>
        <w:t>indígenas</w:t>
      </w:r>
      <w:r>
        <w:rPr>
          <w:color w:val="231F20"/>
          <w:spacing w:val="-13"/>
          <w:w w:val="105"/>
        </w:rPr>
        <w:t> </w:t>
      </w:r>
      <w:r>
        <w:rPr>
          <w:color w:val="231F20"/>
          <w:w w:val="105"/>
        </w:rPr>
        <w:t>y menores de edad a esta dinámica, lo que refleja el origen heterogéneo de la población. La información más reciente sugiere un nuevo patrón migratorio de los mexiquenses a Estados Unidos, que ya no es predo- minantemente de origen rural sino urbano, la migración urbana ahora rebasa</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rural</w:t>
      </w:r>
      <w:r>
        <w:rPr>
          <w:color w:val="231F20"/>
          <w:spacing w:val="-13"/>
          <w:w w:val="105"/>
        </w:rPr>
        <w:t> </w:t>
      </w:r>
      <w:r>
        <w:rPr>
          <w:color w:val="231F20"/>
          <w:w w:val="105"/>
        </w:rPr>
        <w:t>en</w:t>
      </w:r>
      <w:r>
        <w:rPr>
          <w:color w:val="231F20"/>
          <w:spacing w:val="-13"/>
          <w:w w:val="105"/>
        </w:rPr>
        <w:t> </w:t>
      </w:r>
      <w:r>
        <w:rPr>
          <w:color w:val="231F20"/>
          <w:w w:val="105"/>
        </w:rPr>
        <w:t>proporciones</w:t>
      </w:r>
      <w:r>
        <w:rPr>
          <w:color w:val="231F20"/>
          <w:spacing w:val="-13"/>
          <w:w w:val="105"/>
        </w:rPr>
        <w:t> </w:t>
      </w:r>
      <w:r>
        <w:rPr>
          <w:color w:val="231F20"/>
          <w:w w:val="105"/>
        </w:rPr>
        <w:t>de</w:t>
      </w:r>
      <w:r>
        <w:rPr>
          <w:color w:val="231F20"/>
          <w:spacing w:val="-13"/>
          <w:w w:val="105"/>
        </w:rPr>
        <w:t> </w:t>
      </w:r>
      <w:r>
        <w:rPr>
          <w:color w:val="231F20"/>
          <w:w w:val="105"/>
        </w:rPr>
        <w:t>dos</w:t>
      </w:r>
      <w:r>
        <w:rPr>
          <w:color w:val="231F20"/>
          <w:spacing w:val="-13"/>
          <w:w w:val="105"/>
        </w:rPr>
        <w:t> </w:t>
      </w:r>
      <w:r>
        <w:rPr>
          <w:color w:val="231F20"/>
          <w:w w:val="105"/>
        </w:rPr>
        <w:t>a</w:t>
      </w:r>
      <w:r>
        <w:rPr>
          <w:color w:val="231F20"/>
          <w:spacing w:val="-13"/>
          <w:w w:val="105"/>
        </w:rPr>
        <w:t> </w:t>
      </w:r>
      <w:r>
        <w:rPr>
          <w:color w:val="231F20"/>
          <w:w w:val="105"/>
        </w:rPr>
        <w:t>uno.</w:t>
      </w:r>
    </w:p>
    <w:p>
      <w:pPr>
        <w:pStyle w:val="BodyText"/>
        <w:spacing w:line="261" w:lineRule="auto" w:before="1"/>
        <w:ind w:left="1723" w:right="1834" w:firstLine="567"/>
        <w:jc w:val="both"/>
      </w:pPr>
      <w:r>
        <w:rPr>
          <w:color w:val="231F20"/>
          <w:w w:val="105"/>
        </w:rPr>
        <w:t>No </w:t>
      </w:r>
      <w:r>
        <w:rPr>
          <w:color w:val="231F20"/>
          <w:spacing w:val="-3"/>
          <w:w w:val="105"/>
        </w:rPr>
        <w:t>obstante </w:t>
      </w:r>
      <w:r>
        <w:rPr>
          <w:color w:val="231F20"/>
          <w:w w:val="105"/>
        </w:rPr>
        <w:t>la </w:t>
      </w:r>
      <w:r>
        <w:rPr>
          <w:color w:val="231F20"/>
          <w:spacing w:val="-3"/>
          <w:w w:val="105"/>
        </w:rPr>
        <w:t>migración </w:t>
      </w:r>
      <w:r>
        <w:rPr>
          <w:color w:val="231F20"/>
          <w:w w:val="105"/>
        </w:rPr>
        <w:t>más </w:t>
      </w:r>
      <w:r>
        <w:rPr>
          <w:color w:val="231F20"/>
          <w:spacing w:val="-3"/>
          <w:w w:val="105"/>
        </w:rPr>
        <w:t>añeja </w:t>
      </w:r>
      <w:r>
        <w:rPr>
          <w:color w:val="231F20"/>
          <w:w w:val="105"/>
        </w:rPr>
        <w:t>de </w:t>
      </w:r>
      <w:r>
        <w:rPr>
          <w:color w:val="231F20"/>
          <w:spacing w:val="-3"/>
          <w:w w:val="105"/>
        </w:rPr>
        <w:t>origen rural prevalece </w:t>
      </w:r>
      <w:r>
        <w:rPr>
          <w:color w:val="231F20"/>
          <w:w w:val="105"/>
        </w:rPr>
        <w:t>y </w:t>
      </w:r>
      <w:r>
        <w:rPr>
          <w:color w:val="231F20"/>
          <w:spacing w:val="-3"/>
          <w:w w:val="105"/>
        </w:rPr>
        <w:t>en algunos</w:t>
      </w:r>
      <w:r>
        <w:rPr>
          <w:color w:val="231F20"/>
          <w:spacing w:val="-13"/>
          <w:w w:val="105"/>
        </w:rPr>
        <w:t> </w:t>
      </w:r>
      <w:r>
        <w:rPr>
          <w:color w:val="231F20"/>
          <w:spacing w:val="-3"/>
          <w:w w:val="105"/>
        </w:rPr>
        <w:t>casos</w:t>
      </w:r>
      <w:r>
        <w:rPr>
          <w:color w:val="231F20"/>
          <w:spacing w:val="-13"/>
          <w:w w:val="105"/>
        </w:rPr>
        <w:t> </w:t>
      </w:r>
      <w:r>
        <w:rPr>
          <w:color w:val="231F20"/>
          <w:w w:val="105"/>
        </w:rPr>
        <w:t>ha</w:t>
      </w:r>
      <w:r>
        <w:rPr>
          <w:color w:val="231F20"/>
          <w:spacing w:val="-13"/>
          <w:w w:val="105"/>
        </w:rPr>
        <w:t> </w:t>
      </w:r>
      <w:r>
        <w:rPr>
          <w:color w:val="231F20"/>
          <w:spacing w:val="-3"/>
          <w:w w:val="105"/>
        </w:rPr>
        <w:t>aumentado,</w:t>
      </w:r>
      <w:r>
        <w:rPr>
          <w:color w:val="231F20"/>
          <w:spacing w:val="-17"/>
          <w:w w:val="105"/>
        </w:rPr>
        <w:t> </w:t>
      </w:r>
      <w:r>
        <w:rPr>
          <w:color w:val="231F20"/>
          <w:w w:val="105"/>
        </w:rPr>
        <w:t>a</w:t>
      </w:r>
      <w:r>
        <w:rPr>
          <w:color w:val="231F20"/>
          <w:spacing w:val="-13"/>
          <w:w w:val="105"/>
        </w:rPr>
        <w:t> </w:t>
      </w:r>
      <w:r>
        <w:rPr>
          <w:color w:val="231F20"/>
          <w:spacing w:val="-3"/>
          <w:w w:val="105"/>
        </w:rPr>
        <w:t>pesar</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spacing w:val="-3"/>
          <w:w w:val="105"/>
        </w:rPr>
        <w:t>controles</w:t>
      </w:r>
      <w:r>
        <w:rPr>
          <w:color w:val="231F20"/>
          <w:spacing w:val="-13"/>
          <w:w w:val="105"/>
        </w:rPr>
        <w:t> </w:t>
      </w:r>
      <w:r>
        <w:rPr>
          <w:color w:val="231F20"/>
          <w:spacing w:val="-4"/>
          <w:w w:val="105"/>
        </w:rPr>
        <w:t>migratorios</w:t>
      </w:r>
      <w:r>
        <w:rPr>
          <w:color w:val="231F20"/>
          <w:spacing w:val="-13"/>
          <w:w w:val="105"/>
        </w:rPr>
        <w:t> </w:t>
      </w:r>
      <w:r>
        <w:rPr>
          <w:color w:val="231F20"/>
          <w:w w:val="105"/>
        </w:rPr>
        <w:t>en</w:t>
      </w:r>
      <w:r>
        <w:rPr>
          <w:color w:val="231F20"/>
          <w:spacing w:val="-13"/>
          <w:w w:val="105"/>
        </w:rPr>
        <w:t> </w:t>
      </w:r>
      <w:r>
        <w:rPr>
          <w:color w:val="231F20"/>
          <w:w w:val="105"/>
        </w:rPr>
        <w:t>Es- </w:t>
      </w:r>
      <w:r>
        <w:rPr>
          <w:color w:val="231F20"/>
          <w:spacing w:val="-3"/>
          <w:w w:val="105"/>
        </w:rPr>
        <w:t>tados Unidos. </w:t>
      </w:r>
      <w:r>
        <w:rPr>
          <w:color w:val="231F20"/>
          <w:w w:val="105"/>
        </w:rPr>
        <w:t>Las </w:t>
      </w:r>
      <w:r>
        <w:rPr>
          <w:color w:val="231F20"/>
          <w:spacing w:val="-3"/>
          <w:w w:val="105"/>
        </w:rPr>
        <w:t>regiones </w:t>
      </w:r>
      <w:r>
        <w:rPr>
          <w:color w:val="231F20"/>
          <w:w w:val="105"/>
        </w:rPr>
        <w:t>del sur y </w:t>
      </w:r>
      <w:r>
        <w:rPr>
          <w:color w:val="231F20"/>
          <w:spacing w:val="-3"/>
          <w:w w:val="105"/>
        </w:rPr>
        <w:t>norte </w:t>
      </w:r>
      <w:r>
        <w:rPr>
          <w:color w:val="231F20"/>
          <w:w w:val="105"/>
        </w:rPr>
        <w:t>del </w:t>
      </w:r>
      <w:r>
        <w:rPr>
          <w:color w:val="231F20"/>
          <w:spacing w:val="-3"/>
          <w:w w:val="105"/>
        </w:rPr>
        <w:t>Estado </w:t>
      </w:r>
      <w:r>
        <w:rPr>
          <w:color w:val="231F20"/>
          <w:w w:val="105"/>
        </w:rPr>
        <w:t>de </w:t>
      </w:r>
      <w:r>
        <w:rPr>
          <w:color w:val="231F20"/>
          <w:spacing w:val="-3"/>
          <w:w w:val="105"/>
        </w:rPr>
        <w:t>México consi- deradas como territorialidades rurales coexisten </w:t>
      </w:r>
      <w:r>
        <w:rPr>
          <w:color w:val="231F20"/>
          <w:w w:val="105"/>
        </w:rPr>
        <w:t>con una </w:t>
      </w:r>
      <w:r>
        <w:rPr>
          <w:color w:val="231F20"/>
          <w:spacing w:val="-3"/>
          <w:w w:val="105"/>
        </w:rPr>
        <w:t>nueva </w:t>
      </w:r>
      <w:r>
        <w:rPr>
          <w:color w:val="231F20"/>
          <w:spacing w:val="-4"/>
          <w:w w:val="105"/>
        </w:rPr>
        <w:t>ruralidad </w:t>
      </w:r>
      <w:r>
        <w:rPr>
          <w:color w:val="231F20"/>
          <w:spacing w:val="-3"/>
          <w:w w:val="105"/>
        </w:rPr>
        <w:t>manifiesta</w:t>
      </w:r>
      <w:r>
        <w:rPr>
          <w:color w:val="231F20"/>
          <w:spacing w:val="-11"/>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spacing w:val="-3"/>
          <w:w w:val="105"/>
        </w:rPr>
        <w:t>incremento</w:t>
      </w:r>
      <w:r>
        <w:rPr>
          <w:color w:val="231F20"/>
          <w:spacing w:val="-11"/>
          <w:w w:val="105"/>
        </w:rPr>
        <w:t> </w:t>
      </w:r>
      <w:r>
        <w:rPr>
          <w:color w:val="231F20"/>
          <w:spacing w:val="-3"/>
          <w:w w:val="105"/>
        </w:rPr>
        <w:t>sustantivo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uso</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spacing w:val="-3"/>
          <w:w w:val="105"/>
        </w:rPr>
        <w:t>tecnologías</w:t>
      </w:r>
      <w:r>
        <w:rPr>
          <w:color w:val="231F20"/>
          <w:spacing w:val="-11"/>
          <w:w w:val="105"/>
        </w:rPr>
        <w:t> </w:t>
      </w:r>
      <w:r>
        <w:rPr>
          <w:color w:val="231F20"/>
          <w:w w:val="105"/>
        </w:rPr>
        <w:t>de</w:t>
      </w:r>
      <w:r>
        <w:rPr>
          <w:color w:val="231F20"/>
          <w:spacing w:val="-11"/>
          <w:w w:val="105"/>
        </w:rPr>
        <w:t> </w:t>
      </w:r>
      <w:r>
        <w:rPr>
          <w:color w:val="231F20"/>
          <w:spacing w:val="-3"/>
          <w:w w:val="105"/>
        </w:rPr>
        <w:t>la comunicación </w:t>
      </w:r>
      <w:r>
        <w:rPr>
          <w:color w:val="231F20"/>
          <w:w w:val="105"/>
        </w:rPr>
        <w:t>e </w:t>
      </w:r>
      <w:r>
        <w:rPr>
          <w:color w:val="231F20"/>
          <w:spacing w:val="-3"/>
          <w:w w:val="105"/>
        </w:rPr>
        <w:t>información, pero </w:t>
      </w:r>
      <w:r>
        <w:rPr>
          <w:color w:val="231F20"/>
          <w:w w:val="105"/>
        </w:rPr>
        <w:t>a la vez en </w:t>
      </w:r>
      <w:r>
        <w:rPr>
          <w:color w:val="231F20"/>
          <w:spacing w:val="-3"/>
          <w:w w:val="105"/>
        </w:rPr>
        <w:t>estas regiones existe una baja productividad regional </w:t>
      </w:r>
      <w:r>
        <w:rPr>
          <w:color w:val="231F20"/>
          <w:w w:val="105"/>
        </w:rPr>
        <w:t>e </w:t>
      </w:r>
      <w:r>
        <w:rPr>
          <w:color w:val="231F20"/>
          <w:spacing w:val="-3"/>
          <w:w w:val="105"/>
        </w:rPr>
        <w:t>incapacidad </w:t>
      </w:r>
      <w:r>
        <w:rPr>
          <w:color w:val="231F20"/>
          <w:w w:val="105"/>
        </w:rPr>
        <w:t>de la </w:t>
      </w:r>
      <w:r>
        <w:rPr>
          <w:color w:val="231F20"/>
          <w:spacing w:val="-3"/>
          <w:w w:val="105"/>
        </w:rPr>
        <w:t>economía para absorber </w:t>
      </w:r>
      <w:r>
        <w:rPr>
          <w:color w:val="231F20"/>
          <w:w w:val="105"/>
        </w:rPr>
        <w:t>la</w:t>
      </w:r>
      <w:r>
        <w:rPr>
          <w:color w:val="231F20"/>
          <w:spacing w:val="-11"/>
          <w:w w:val="105"/>
        </w:rPr>
        <w:t> </w:t>
      </w:r>
      <w:r>
        <w:rPr>
          <w:color w:val="231F20"/>
          <w:spacing w:val="-3"/>
          <w:w w:val="105"/>
        </w:rPr>
        <w:t>mano</w:t>
      </w:r>
      <w:r>
        <w:rPr>
          <w:color w:val="231F20"/>
          <w:spacing w:val="-11"/>
          <w:w w:val="105"/>
        </w:rPr>
        <w:t> </w:t>
      </w:r>
      <w:r>
        <w:rPr>
          <w:color w:val="231F20"/>
          <w:w w:val="105"/>
        </w:rPr>
        <w:t>de</w:t>
      </w:r>
      <w:r>
        <w:rPr>
          <w:color w:val="231F20"/>
          <w:spacing w:val="-11"/>
          <w:w w:val="105"/>
        </w:rPr>
        <w:t> </w:t>
      </w:r>
      <w:r>
        <w:rPr>
          <w:color w:val="231F20"/>
          <w:spacing w:val="-3"/>
          <w:w w:val="105"/>
        </w:rPr>
        <w:t>obra</w:t>
      </w:r>
      <w:r>
        <w:rPr>
          <w:color w:val="231F20"/>
          <w:spacing w:val="-11"/>
          <w:w w:val="105"/>
        </w:rPr>
        <w:t> </w:t>
      </w:r>
      <w:r>
        <w:rPr>
          <w:color w:val="231F20"/>
          <w:spacing w:val="-3"/>
          <w:w w:val="105"/>
        </w:rPr>
        <w:t>disponible.</w:t>
      </w:r>
      <w:r>
        <w:rPr>
          <w:color w:val="231F20"/>
          <w:spacing w:val="-17"/>
          <w:w w:val="105"/>
        </w:rPr>
        <w:t> </w:t>
      </w:r>
      <w:r>
        <w:rPr>
          <w:color w:val="231F20"/>
          <w:spacing w:val="-3"/>
          <w:w w:val="105"/>
        </w:rPr>
        <w:t>Esto</w:t>
      </w:r>
      <w:r>
        <w:rPr>
          <w:color w:val="231F20"/>
          <w:spacing w:val="-11"/>
          <w:w w:val="105"/>
        </w:rPr>
        <w:t> </w:t>
      </w:r>
      <w:r>
        <w:rPr>
          <w:color w:val="231F20"/>
          <w:spacing w:val="-3"/>
          <w:w w:val="105"/>
        </w:rPr>
        <w:t>sumado</w:t>
      </w:r>
      <w:r>
        <w:rPr>
          <w:color w:val="231F20"/>
          <w:spacing w:val="-11"/>
          <w:w w:val="105"/>
        </w:rPr>
        <w:t> </w:t>
      </w:r>
      <w:r>
        <w:rPr>
          <w:color w:val="231F20"/>
          <w:w w:val="105"/>
        </w:rPr>
        <w:t>a</w:t>
      </w:r>
      <w:r>
        <w:rPr>
          <w:color w:val="231F20"/>
          <w:spacing w:val="-11"/>
          <w:w w:val="105"/>
        </w:rPr>
        <w:t> </w:t>
      </w:r>
      <w:r>
        <w:rPr>
          <w:color w:val="231F20"/>
          <w:spacing w:val="-3"/>
          <w:w w:val="105"/>
        </w:rPr>
        <w:t>fenómenos</w:t>
      </w:r>
      <w:r>
        <w:rPr>
          <w:color w:val="231F20"/>
          <w:spacing w:val="-11"/>
          <w:w w:val="105"/>
        </w:rPr>
        <w:t> </w:t>
      </w:r>
      <w:r>
        <w:rPr>
          <w:color w:val="231F20"/>
          <w:spacing w:val="-3"/>
          <w:w w:val="105"/>
        </w:rPr>
        <w:t>como</w:t>
      </w:r>
      <w:r>
        <w:rPr>
          <w:color w:val="231F20"/>
          <w:spacing w:val="-11"/>
          <w:w w:val="105"/>
        </w:rPr>
        <w:t> </w:t>
      </w:r>
      <w:r>
        <w:rPr>
          <w:color w:val="231F20"/>
          <w:w w:val="105"/>
        </w:rPr>
        <w:t>el</w:t>
      </w:r>
      <w:r>
        <w:rPr>
          <w:color w:val="231F20"/>
          <w:spacing w:val="-11"/>
          <w:w w:val="105"/>
        </w:rPr>
        <w:t> </w:t>
      </w:r>
      <w:r>
        <w:rPr>
          <w:color w:val="231F20"/>
          <w:spacing w:val="-3"/>
          <w:w w:val="105"/>
        </w:rPr>
        <w:t>envejeci- miento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población</w:t>
      </w:r>
      <w:r>
        <w:rPr>
          <w:color w:val="231F20"/>
          <w:spacing w:val="-14"/>
          <w:w w:val="105"/>
        </w:rPr>
        <w:t> </w:t>
      </w:r>
      <w:r>
        <w:rPr>
          <w:color w:val="231F20"/>
          <w:spacing w:val="-3"/>
          <w:w w:val="105"/>
        </w:rPr>
        <w:t>rural,</w:t>
      </w:r>
      <w:r>
        <w:rPr>
          <w:color w:val="231F20"/>
          <w:spacing w:val="-20"/>
          <w:w w:val="105"/>
        </w:rPr>
        <w:t> </w:t>
      </w:r>
      <w:r>
        <w:rPr>
          <w:color w:val="231F20"/>
          <w:w w:val="105"/>
        </w:rPr>
        <w:t>la</w:t>
      </w:r>
      <w:r>
        <w:rPr>
          <w:color w:val="231F20"/>
          <w:spacing w:val="-14"/>
          <w:w w:val="105"/>
        </w:rPr>
        <w:t> </w:t>
      </w:r>
      <w:r>
        <w:rPr>
          <w:color w:val="231F20"/>
          <w:spacing w:val="-3"/>
          <w:w w:val="105"/>
        </w:rPr>
        <w:t>presión</w:t>
      </w:r>
      <w:r>
        <w:rPr>
          <w:color w:val="231F20"/>
          <w:spacing w:val="-14"/>
          <w:w w:val="105"/>
        </w:rPr>
        <w:t> </w:t>
      </w:r>
      <w:r>
        <w:rPr>
          <w:color w:val="231F20"/>
          <w:spacing w:val="-3"/>
          <w:w w:val="105"/>
        </w:rPr>
        <w:t>sobre</w:t>
      </w:r>
      <w:r>
        <w:rPr>
          <w:color w:val="231F20"/>
          <w:spacing w:val="-14"/>
          <w:w w:val="105"/>
        </w:rPr>
        <w:t> </w:t>
      </w:r>
      <w:r>
        <w:rPr>
          <w:color w:val="231F20"/>
          <w:w w:val="105"/>
        </w:rPr>
        <w:t>los</w:t>
      </w:r>
      <w:r>
        <w:rPr>
          <w:color w:val="231F20"/>
          <w:spacing w:val="-14"/>
          <w:w w:val="105"/>
        </w:rPr>
        <w:t> </w:t>
      </w:r>
      <w:r>
        <w:rPr>
          <w:color w:val="231F20"/>
          <w:spacing w:val="-3"/>
          <w:w w:val="105"/>
        </w:rPr>
        <w:t>recursos</w:t>
      </w:r>
      <w:r>
        <w:rPr>
          <w:color w:val="231F20"/>
          <w:spacing w:val="-14"/>
          <w:w w:val="105"/>
        </w:rPr>
        <w:t> </w:t>
      </w:r>
      <w:r>
        <w:rPr>
          <w:color w:val="231F20"/>
          <w:spacing w:val="-4"/>
          <w:w w:val="105"/>
        </w:rPr>
        <w:t>naturales</w:t>
      </w:r>
      <w:r>
        <w:rPr>
          <w:color w:val="231F20"/>
          <w:spacing w:val="-14"/>
          <w:w w:val="105"/>
        </w:rPr>
        <w:t> </w:t>
      </w:r>
      <w:r>
        <w:rPr>
          <w:color w:val="231F20"/>
          <w:spacing w:val="-3"/>
          <w:w w:val="105"/>
        </w:rPr>
        <w:t>como </w:t>
      </w:r>
      <w:r>
        <w:rPr>
          <w:color w:val="231F20"/>
          <w:w w:val="105"/>
        </w:rPr>
        <w:t>el</w:t>
      </w:r>
      <w:r>
        <w:rPr>
          <w:color w:val="231F20"/>
          <w:spacing w:val="-7"/>
          <w:w w:val="105"/>
        </w:rPr>
        <w:t> </w:t>
      </w:r>
      <w:r>
        <w:rPr>
          <w:color w:val="231F20"/>
          <w:spacing w:val="-3"/>
          <w:w w:val="105"/>
        </w:rPr>
        <w:t>agua</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spacing w:val="-3"/>
          <w:w w:val="105"/>
        </w:rPr>
        <w:t>bosque,</w:t>
      </w:r>
      <w:r>
        <w:rPr>
          <w:color w:val="231F20"/>
          <w:spacing w:val="-13"/>
          <w:w w:val="105"/>
        </w:rPr>
        <w:t> </w:t>
      </w:r>
      <w:r>
        <w:rPr>
          <w:color w:val="231F20"/>
          <w:w w:val="105"/>
        </w:rPr>
        <w:t>el</w:t>
      </w:r>
      <w:r>
        <w:rPr>
          <w:color w:val="231F20"/>
          <w:spacing w:val="-7"/>
          <w:w w:val="105"/>
        </w:rPr>
        <w:t> </w:t>
      </w:r>
      <w:r>
        <w:rPr>
          <w:color w:val="231F20"/>
          <w:spacing w:val="-3"/>
          <w:w w:val="105"/>
        </w:rPr>
        <w:t>abandono</w:t>
      </w:r>
      <w:r>
        <w:rPr>
          <w:color w:val="231F20"/>
          <w:spacing w:val="-7"/>
          <w:w w:val="105"/>
        </w:rPr>
        <w:t> </w:t>
      </w:r>
      <w:r>
        <w:rPr>
          <w:color w:val="231F20"/>
          <w:w w:val="105"/>
        </w:rPr>
        <w:t>del</w:t>
      </w:r>
      <w:r>
        <w:rPr>
          <w:color w:val="231F20"/>
          <w:spacing w:val="-7"/>
          <w:w w:val="105"/>
        </w:rPr>
        <w:t> </w:t>
      </w:r>
      <w:r>
        <w:rPr>
          <w:color w:val="231F20"/>
          <w:spacing w:val="-3"/>
          <w:w w:val="105"/>
        </w:rPr>
        <w:t>campo</w:t>
      </w:r>
      <w:r>
        <w:rPr>
          <w:color w:val="231F20"/>
          <w:spacing w:val="-7"/>
          <w:w w:val="105"/>
        </w:rPr>
        <w:t> </w:t>
      </w:r>
      <w:r>
        <w:rPr>
          <w:color w:val="231F20"/>
          <w:w w:val="105"/>
        </w:rPr>
        <w:t>por</w:t>
      </w:r>
      <w:r>
        <w:rPr>
          <w:color w:val="231F20"/>
          <w:spacing w:val="-7"/>
          <w:w w:val="105"/>
        </w:rPr>
        <w:t> </w:t>
      </w:r>
      <w:r>
        <w:rPr>
          <w:color w:val="231F20"/>
          <w:spacing w:val="-3"/>
          <w:w w:val="105"/>
        </w:rPr>
        <w:t>parte</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spacing w:val="-3"/>
          <w:w w:val="105"/>
        </w:rPr>
        <w:t>jóvenes</w:t>
      </w:r>
      <w:r>
        <w:rPr>
          <w:color w:val="231F20"/>
          <w:spacing w:val="-7"/>
          <w:w w:val="105"/>
        </w:rPr>
        <w:t> </w:t>
      </w:r>
      <w:r>
        <w:rPr>
          <w:color w:val="231F20"/>
          <w:w w:val="105"/>
        </w:rPr>
        <w:t>mi- </w:t>
      </w:r>
      <w:r>
        <w:rPr>
          <w:color w:val="231F20"/>
          <w:spacing w:val="-3"/>
          <w:w w:val="105"/>
        </w:rPr>
        <w:t>grantes, </w:t>
      </w:r>
      <w:r>
        <w:rPr>
          <w:color w:val="231F20"/>
          <w:w w:val="105"/>
        </w:rPr>
        <w:t>así </w:t>
      </w:r>
      <w:r>
        <w:rPr>
          <w:color w:val="231F20"/>
          <w:spacing w:val="-3"/>
          <w:w w:val="105"/>
        </w:rPr>
        <w:t>como </w:t>
      </w:r>
      <w:r>
        <w:rPr>
          <w:color w:val="231F20"/>
          <w:w w:val="105"/>
        </w:rPr>
        <w:t>el </w:t>
      </w:r>
      <w:r>
        <w:rPr>
          <w:color w:val="231F20"/>
          <w:spacing w:val="-3"/>
          <w:w w:val="105"/>
        </w:rPr>
        <w:t>notable incremento </w:t>
      </w:r>
      <w:r>
        <w:rPr>
          <w:color w:val="231F20"/>
          <w:w w:val="105"/>
        </w:rPr>
        <w:t>del </w:t>
      </w:r>
      <w:r>
        <w:rPr>
          <w:color w:val="231F20"/>
          <w:spacing w:val="-3"/>
          <w:w w:val="105"/>
        </w:rPr>
        <w:t>crimen organizado </w:t>
      </w:r>
      <w:r>
        <w:rPr>
          <w:color w:val="231F20"/>
          <w:w w:val="105"/>
        </w:rPr>
        <w:t>o la </w:t>
      </w:r>
      <w:r>
        <w:rPr>
          <w:color w:val="231F20"/>
          <w:spacing w:val="-3"/>
          <w:w w:val="105"/>
        </w:rPr>
        <w:t>vio- lencia</w:t>
      </w:r>
      <w:r>
        <w:rPr>
          <w:color w:val="231F20"/>
          <w:spacing w:val="-20"/>
          <w:w w:val="105"/>
        </w:rPr>
        <w:t> </w:t>
      </w:r>
      <w:r>
        <w:rPr>
          <w:color w:val="231F20"/>
          <w:spacing w:val="-3"/>
          <w:w w:val="105"/>
        </w:rPr>
        <w:t>social,</w:t>
      </w:r>
      <w:r>
        <w:rPr>
          <w:color w:val="231F20"/>
          <w:spacing w:val="-26"/>
          <w:w w:val="105"/>
        </w:rPr>
        <w:t> </w:t>
      </w:r>
      <w:r>
        <w:rPr>
          <w:color w:val="231F20"/>
          <w:w w:val="105"/>
        </w:rPr>
        <w:t>ha</w:t>
      </w:r>
      <w:r>
        <w:rPr>
          <w:color w:val="231F20"/>
          <w:spacing w:val="-20"/>
          <w:w w:val="105"/>
        </w:rPr>
        <w:t> </w:t>
      </w:r>
      <w:r>
        <w:rPr>
          <w:color w:val="231F20"/>
          <w:spacing w:val="-4"/>
          <w:w w:val="105"/>
        </w:rPr>
        <w:t>creado</w:t>
      </w:r>
      <w:r>
        <w:rPr>
          <w:color w:val="231F20"/>
          <w:spacing w:val="-20"/>
          <w:w w:val="105"/>
        </w:rPr>
        <w:t> </w:t>
      </w:r>
      <w:r>
        <w:rPr>
          <w:color w:val="231F20"/>
          <w:w w:val="105"/>
        </w:rPr>
        <w:t>un</w:t>
      </w:r>
      <w:r>
        <w:rPr>
          <w:color w:val="231F20"/>
          <w:spacing w:val="-20"/>
          <w:w w:val="105"/>
        </w:rPr>
        <w:t> </w:t>
      </w:r>
      <w:r>
        <w:rPr>
          <w:color w:val="231F20"/>
          <w:spacing w:val="-3"/>
          <w:w w:val="105"/>
        </w:rPr>
        <w:t>espacio</w:t>
      </w:r>
      <w:r>
        <w:rPr>
          <w:color w:val="231F20"/>
          <w:spacing w:val="-20"/>
          <w:w w:val="105"/>
        </w:rPr>
        <w:t> </w:t>
      </w:r>
      <w:r>
        <w:rPr>
          <w:color w:val="231F20"/>
          <w:spacing w:val="-3"/>
          <w:w w:val="105"/>
        </w:rPr>
        <w:t>propicio</w:t>
      </w:r>
      <w:r>
        <w:rPr>
          <w:color w:val="231F20"/>
          <w:spacing w:val="-20"/>
          <w:w w:val="105"/>
        </w:rPr>
        <w:t> </w:t>
      </w:r>
      <w:r>
        <w:rPr>
          <w:color w:val="231F20"/>
          <w:spacing w:val="-3"/>
          <w:w w:val="105"/>
        </w:rPr>
        <w:t>para</w:t>
      </w:r>
      <w:r>
        <w:rPr>
          <w:color w:val="231F20"/>
          <w:spacing w:val="-20"/>
          <w:w w:val="105"/>
        </w:rPr>
        <w:t> </w:t>
      </w:r>
      <w:r>
        <w:rPr>
          <w:color w:val="231F20"/>
          <w:w w:val="105"/>
        </w:rPr>
        <w:t>la</w:t>
      </w:r>
      <w:r>
        <w:rPr>
          <w:color w:val="231F20"/>
          <w:spacing w:val="-20"/>
          <w:w w:val="105"/>
        </w:rPr>
        <w:t> </w:t>
      </w:r>
      <w:r>
        <w:rPr>
          <w:color w:val="231F20"/>
          <w:spacing w:val="-3"/>
          <w:w w:val="105"/>
        </w:rPr>
        <w:t>descomposición</w:t>
      </w:r>
      <w:r>
        <w:rPr>
          <w:color w:val="231F20"/>
          <w:spacing w:val="-20"/>
          <w:w w:val="105"/>
        </w:rPr>
        <w:t> </w:t>
      </w:r>
      <w:r>
        <w:rPr>
          <w:color w:val="231F20"/>
          <w:spacing w:val="-3"/>
          <w:w w:val="105"/>
        </w:rPr>
        <w:t>social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spacing w:val="-3"/>
          <w:w w:val="105"/>
        </w:rPr>
        <w:t>redes</w:t>
      </w:r>
      <w:r>
        <w:rPr>
          <w:color w:val="231F20"/>
          <w:spacing w:val="-14"/>
          <w:w w:val="105"/>
        </w:rPr>
        <w:t> </w:t>
      </w:r>
      <w:r>
        <w:rPr>
          <w:color w:val="231F20"/>
          <w:w w:val="105"/>
        </w:rPr>
        <w:t>de</w:t>
      </w:r>
      <w:r>
        <w:rPr>
          <w:color w:val="231F20"/>
          <w:spacing w:val="-14"/>
          <w:w w:val="105"/>
        </w:rPr>
        <w:t> </w:t>
      </w:r>
      <w:r>
        <w:rPr>
          <w:color w:val="231F20"/>
          <w:spacing w:val="-3"/>
          <w:w w:val="105"/>
        </w:rPr>
        <w:t>migración</w:t>
      </w:r>
      <w:r>
        <w:rPr>
          <w:color w:val="231F20"/>
          <w:spacing w:val="-14"/>
          <w:w w:val="105"/>
        </w:rPr>
        <w:t> </w:t>
      </w:r>
      <w:r>
        <w:rPr>
          <w:color w:val="231F20"/>
          <w:spacing w:val="-3"/>
          <w:w w:val="105"/>
        </w:rPr>
        <w:t>pueden</w:t>
      </w:r>
      <w:r>
        <w:rPr>
          <w:color w:val="231F20"/>
          <w:spacing w:val="-14"/>
          <w:w w:val="105"/>
        </w:rPr>
        <w:t> </w:t>
      </w:r>
      <w:r>
        <w:rPr>
          <w:color w:val="231F20"/>
          <w:w w:val="105"/>
        </w:rPr>
        <w:t>ser</w:t>
      </w:r>
      <w:r>
        <w:rPr>
          <w:color w:val="231F20"/>
          <w:spacing w:val="-14"/>
          <w:w w:val="105"/>
        </w:rPr>
        <w:t> </w:t>
      </w:r>
      <w:r>
        <w:rPr>
          <w:color w:val="231F20"/>
          <w:spacing w:val="-3"/>
          <w:w w:val="105"/>
        </w:rPr>
        <w:t>parte</w:t>
      </w:r>
      <w:r>
        <w:rPr>
          <w:color w:val="231F20"/>
          <w:spacing w:val="-14"/>
          <w:w w:val="105"/>
        </w:rPr>
        <w:t> </w:t>
      </w:r>
      <w:r>
        <w:rPr>
          <w:color w:val="231F20"/>
          <w:spacing w:val="-3"/>
          <w:w w:val="105"/>
        </w:rPr>
        <w:t>vital</w:t>
      </w:r>
      <w:r>
        <w:rPr>
          <w:color w:val="231F20"/>
          <w:spacing w:val="-14"/>
          <w:w w:val="105"/>
        </w:rPr>
        <w:t> </w:t>
      </w:r>
      <w:r>
        <w:rPr>
          <w:color w:val="231F20"/>
          <w:w w:val="105"/>
        </w:rPr>
        <w:t>de</w:t>
      </w:r>
      <w:r>
        <w:rPr>
          <w:color w:val="231F20"/>
          <w:spacing w:val="-14"/>
          <w:w w:val="105"/>
        </w:rPr>
        <w:t> </w:t>
      </w:r>
      <w:r>
        <w:rPr>
          <w:color w:val="231F20"/>
          <w:spacing w:val="-3"/>
          <w:w w:val="105"/>
        </w:rPr>
        <w:t>estos</w:t>
      </w:r>
      <w:r>
        <w:rPr>
          <w:color w:val="231F20"/>
          <w:spacing w:val="-14"/>
          <w:w w:val="105"/>
        </w:rPr>
        <w:t> </w:t>
      </w:r>
      <w:r>
        <w:rPr>
          <w:color w:val="231F20"/>
          <w:spacing w:val="-4"/>
          <w:w w:val="105"/>
        </w:rPr>
        <w:t>procesos </w:t>
      </w:r>
      <w:r>
        <w:rPr>
          <w:color w:val="231F20"/>
          <w:spacing w:val="-3"/>
          <w:w w:val="105"/>
        </w:rPr>
        <w:t>para</w:t>
      </w:r>
      <w:r>
        <w:rPr>
          <w:color w:val="231F20"/>
          <w:spacing w:val="-14"/>
          <w:w w:val="105"/>
        </w:rPr>
        <w:t> </w:t>
      </w:r>
      <w:r>
        <w:rPr>
          <w:color w:val="231F20"/>
          <w:spacing w:val="-4"/>
          <w:w w:val="105"/>
        </w:rPr>
        <w:t>resarcir</w:t>
      </w:r>
      <w:r>
        <w:rPr>
          <w:color w:val="231F20"/>
          <w:spacing w:val="-14"/>
          <w:w w:val="105"/>
        </w:rPr>
        <w:t> </w:t>
      </w:r>
      <w:r>
        <w:rPr>
          <w:color w:val="231F20"/>
          <w:w w:val="105"/>
        </w:rPr>
        <w:t>el</w:t>
      </w:r>
      <w:r>
        <w:rPr>
          <w:color w:val="231F20"/>
          <w:spacing w:val="-14"/>
          <w:w w:val="105"/>
        </w:rPr>
        <w:t> </w:t>
      </w:r>
      <w:r>
        <w:rPr>
          <w:color w:val="231F20"/>
          <w:spacing w:val="-3"/>
          <w:w w:val="105"/>
        </w:rPr>
        <w:t>tejido</w:t>
      </w:r>
      <w:r>
        <w:rPr>
          <w:color w:val="231F20"/>
          <w:spacing w:val="-14"/>
          <w:w w:val="105"/>
        </w:rPr>
        <w:t> </w:t>
      </w:r>
      <w:r>
        <w:rPr>
          <w:color w:val="231F20"/>
          <w:spacing w:val="-3"/>
          <w:w w:val="105"/>
        </w:rPr>
        <w:t>cultural</w:t>
      </w:r>
      <w:r>
        <w:rPr>
          <w:color w:val="231F20"/>
          <w:spacing w:val="-14"/>
          <w:w w:val="105"/>
        </w:rPr>
        <w:t> </w:t>
      </w:r>
      <w:r>
        <w:rPr>
          <w:color w:val="231F20"/>
          <w:w w:val="105"/>
        </w:rPr>
        <w:t>y</w:t>
      </w:r>
      <w:r>
        <w:rPr>
          <w:color w:val="231F20"/>
          <w:spacing w:val="-14"/>
          <w:w w:val="105"/>
        </w:rPr>
        <w:t> </w:t>
      </w:r>
      <w:r>
        <w:rPr>
          <w:color w:val="231F20"/>
          <w:spacing w:val="-3"/>
          <w:w w:val="105"/>
        </w:rPr>
        <w:t>comunitario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diáspora</w:t>
      </w:r>
      <w:r>
        <w:rPr>
          <w:color w:val="231F20"/>
          <w:spacing w:val="-14"/>
          <w:w w:val="105"/>
        </w:rPr>
        <w:t> </w:t>
      </w:r>
      <w:r>
        <w:rPr>
          <w:color w:val="231F20"/>
          <w:spacing w:val="-4"/>
          <w:w w:val="105"/>
        </w:rPr>
        <w:t>mexiquense.</w:t>
      </w:r>
    </w:p>
    <w:p>
      <w:pPr>
        <w:pStyle w:val="BodyText"/>
        <w:rPr>
          <w:sz w:val="20"/>
        </w:rPr>
      </w:pPr>
    </w:p>
    <w:p>
      <w:pPr>
        <w:pStyle w:val="BodyText"/>
        <w:spacing w:before="9"/>
        <w:rPr>
          <w:sz w:val="20"/>
        </w:rPr>
      </w:pPr>
    </w:p>
    <w:p>
      <w:pPr>
        <w:pStyle w:val="Heading3"/>
        <w:ind w:left="1723"/>
      </w:pPr>
      <w:r>
        <w:rPr>
          <w:color w:val="231F20"/>
        </w:rPr>
        <w:t>Aproximaciones a la migración de la región sur del Estado de México</w:t>
      </w:r>
    </w:p>
    <w:p>
      <w:pPr>
        <w:pStyle w:val="BodyText"/>
        <w:rPr>
          <w:rFonts w:ascii="Arial"/>
          <w:b/>
          <w:sz w:val="22"/>
        </w:rPr>
      </w:pPr>
    </w:p>
    <w:p>
      <w:pPr>
        <w:pStyle w:val="BodyText"/>
        <w:spacing w:line="261" w:lineRule="auto" w:before="163"/>
        <w:ind w:left="1723" w:right="1834"/>
        <w:jc w:val="both"/>
      </w:pPr>
      <w:r>
        <w:rPr>
          <w:color w:val="231F20"/>
          <w:w w:val="105"/>
        </w:rPr>
        <w:t>El</w:t>
      </w:r>
      <w:r>
        <w:rPr>
          <w:color w:val="231F20"/>
          <w:spacing w:val="-23"/>
          <w:w w:val="105"/>
        </w:rPr>
        <w:t> </w:t>
      </w:r>
      <w:r>
        <w:rPr>
          <w:color w:val="231F20"/>
          <w:w w:val="105"/>
        </w:rPr>
        <w:t>sur</w:t>
      </w:r>
      <w:r>
        <w:rPr>
          <w:color w:val="231F20"/>
          <w:spacing w:val="-23"/>
          <w:w w:val="105"/>
        </w:rPr>
        <w:t> </w:t>
      </w:r>
      <w:r>
        <w:rPr>
          <w:color w:val="231F20"/>
          <w:w w:val="105"/>
        </w:rPr>
        <w:t>del</w:t>
      </w:r>
      <w:r>
        <w:rPr>
          <w:color w:val="231F20"/>
          <w:spacing w:val="-23"/>
          <w:w w:val="105"/>
        </w:rPr>
        <w:t> </w:t>
      </w:r>
      <w:r>
        <w:rPr>
          <w:color w:val="231F20"/>
          <w:w w:val="105"/>
        </w:rPr>
        <w:t>Estado</w:t>
      </w:r>
      <w:r>
        <w:rPr>
          <w:color w:val="231F20"/>
          <w:spacing w:val="-23"/>
          <w:w w:val="105"/>
        </w:rPr>
        <w:t> </w:t>
      </w:r>
      <w:r>
        <w:rPr>
          <w:color w:val="231F20"/>
          <w:w w:val="105"/>
        </w:rPr>
        <w:t>de</w:t>
      </w:r>
      <w:r>
        <w:rPr>
          <w:color w:val="231F20"/>
          <w:spacing w:val="-23"/>
          <w:w w:val="105"/>
        </w:rPr>
        <w:t> </w:t>
      </w:r>
      <w:r>
        <w:rPr>
          <w:color w:val="231F20"/>
          <w:w w:val="105"/>
        </w:rPr>
        <w:t>México</w:t>
      </w:r>
      <w:r>
        <w:rPr>
          <w:color w:val="231F20"/>
          <w:spacing w:val="-23"/>
          <w:w w:val="105"/>
        </w:rPr>
        <w:t> </w:t>
      </w:r>
      <w:r>
        <w:rPr>
          <w:color w:val="231F20"/>
          <w:w w:val="105"/>
        </w:rPr>
        <w:t>es</w:t>
      </w:r>
      <w:r>
        <w:rPr>
          <w:color w:val="231F20"/>
          <w:spacing w:val="-23"/>
          <w:w w:val="105"/>
        </w:rPr>
        <w:t> </w:t>
      </w:r>
      <w:r>
        <w:rPr>
          <w:color w:val="231F20"/>
          <w:w w:val="105"/>
        </w:rPr>
        <w:t>la</w:t>
      </w:r>
      <w:r>
        <w:rPr>
          <w:color w:val="231F20"/>
          <w:spacing w:val="-23"/>
          <w:w w:val="105"/>
        </w:rPr>
        <w:t> </w:t>
      </w:r>
      <w:r>
        <w:rPr>
          <w:color w:val="231F20"/>
          <w:w w:val="105"/>
        </w:rPr>
        <w:t>zona</w:t>
      </w:r>
      <w:r>
        <w:rPr>
          <w:color w:val="231F20"/>
          <w:spacing w:val="-23"/>
          <w:w w:val="105"/>
        </w:rPr>
        <w:t> </w:t>
      </w:r>
      <w:r>
        <w:rPr>
          <w:color w:val="231F20"/>
          <w:w w:val="105"/>
        </w:rPr>
        <w:t>de</w:t>
      </w:r>
      <w:r>
        <w:rPr>
          <w:color w:val="231F20"/>
          <w:spacing w:val="-23"/>
          <w:w w:val="105"/>
        </w:rPr>
        <w:t> </w:t>
      </w:r>
      <w:r>
        <w:rPr>
          <w:color w:val="231F20"/>
          <w:w w:val="105"/>
        </w:rPr>
        <w:t>mayor</w:t>
      </w:r>
      <w:r>
        <w:rPr>
          <w:color w:val="231F20"/>
          <w:spacing w:val="-23"/>
          <w:w w:val="105"/>
        </w:rPr>
        <w:t> </w:t>
      </w:r>
      <w:r>
        <w:rPr>
          <w:color w:val="231F20"/>
          <w:w w:val="105"/>
        </w:rPr>
        <w:t>tradición</w:t>
      </w:r>
      <w:r>
        <w:rPr>
          <w:color w:val="231F20"/>
          <w:spacing w:val="-23"/>
          <w:w w:val="105"/>
        </w:rPr>
        <w:t> </w:t>
      </w:r>
      <w:r>
        <w:rPr>
          <w:color w:val="231F20"/>
          <w:w w:val="105"/>
        </w:rPr>
        <w:t>migratoria</w:t>
      </w:r>
      <w:r>
        <w:rPr>
          <w:color w:val="231F20"/>
          <w:spacing w:val="-23"/>
          <w:w w:val="105"/>
        </w:rPr>
        <w:t> </w:t>
      </w:r>
      <w:r>
        <w:rPr>
          <w:color w:val="231F20"/>
          <w:w w:val="105"/>
        </w:rPr>
        <w:t>de</w:t>
      </w:r>
      <w:r>
        <w:rPr>
          <w:color w:val="231F20"/>
          <w:spacing w:val="-23"/>
          <w:w w:val="105"/>
        </w:rPr>
        <w:t> </w:t>
      </w:r>
      <w:r>
        <w:rPr>
          <w:color w:val="231F20"/>
          <w:w w:val="105"/>
        </w:rPr>
        <w:t>la entidad</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remonta</w:t>
      </w:r>
      <w:r>
        <w:rPr>
          <w:color w:val="231F20"/>
          <w:spacing w:val="-20"/>
          <w:w w:val="105"/>
        </w:rPr>
        <w:t> </w:t>
      </w:r>
      <w:r>
        <w:rPr>
          <w:color w:val="231F20"/>
          <w:w w:val="105"/>
        </w:rPr>
        <w:t>al</w:t>
      </w:r>
      <w:r>
        <w:rPr>
          <w:color w:val="231F20"/>
          <w:spacing w:val="-20"/>
          <w:w w:val="105"/>
        </w:rPr>
        <w:t> </w:t>
      </w:r>
      <w:r>
        <w:rPr>
          <w:color w:val="231F20"/>
          <w:spacing w:val="-3"/>
          <w:w w:val="105"/>
        </w:rPr>
        <w:t>Programa</w:t>
      </w:r>
      <w:r>
        <w:rPr>
          <w:color w:val="231F20"/>
          <w:spacing w:val="-20"/>
          <w:w w:val="105"/>
        </w:rPr>
        <w:t> </w:t>
      </w:r>
      <w:r>
        <w:rPr>
          <w:color w:val="231F20"/>
          <w:w w:val="105"/>
        </w:rPr>
        <w:t>Bracero,</w:t>
      </w:r>
      <w:r>
        <w:rPr>
          <w:color w:val="231F20"/>
          <w:spacing w:val="-25"/>
          <w:w w:val="105"/>
        </w:rPr>
        <w:t> </w:t>
      </w:r>
      <w:r>
        <w:rPr>
          <w:color w:val="231F20"/>
          <w:w w:val="105"/>
        </w:rPr>
        <w:t>misma</w:t>
      </w:r>
      <w:r>
        <w:rPr>
          <w:color w:val="231F20"/>
          <w:spacing w:val="-20"/>
          <w:w w:val="105"/>
        </w:rPr>
        <w:t> </w:t>
      </w:r>
      <w:r>
        <w:rPr>
          <w:color w:val="231F20"/>
          <w:w w:val="105"/>
        </w:rPr>
        <w:t>región</w:t>
      </w:r>
      <w:r>
        <w:rPr>
          <w:color w:val="231F20"/>
          <w:spacing w:val="-20"/>
          <w:w w:val="105"/>
        </w:rPr>
        <w:t> </w:t>
      </w:r>
      <w:r>
        <w:rPr>
          <w:color w:val="231F20"/>
          <w:w w:val="105"/>
        </w:rPr>
        <w:t>que</w:t>
      </w:r>
      <w:r>
        <w:rPr>
          <w:color w:val="231F20"/>
          <w:spacing w:val="-20"/>
          <w:w w:val="105"/>
        </w:rPr>
        <w:t> </w:t>
      </w:r>
      <w:r>
        <w:rPr>
          <w:color w:val="231F20"/>
          <w:w w:val="105"/>
        </w:rPr>
        <w:t>compar- te</w:t>
      </w:r>
      <w:r>
        <w:rPr>
          <w:color w:val="231F20"/>
          <w:spacing w:val="-5"/>
          <w:w w:val="105"/>
        </w:rPr>
        <w:t> </w:t>
      </w:r>
      <w:r>
        <w:rPr>
          <w:color w:val="231F20"/>
          <w:w w:val="105"/>
        </w:rPr>
        <w:t>muchos</w:t>
      </w:r>
      <w:r>
        <w:rPr>
          <w:color w:val="231F20"/>
          <w:spacing w:val="-5"/>
          <w:w w:val="105"/>
        </w:rPr>
        <w:t> </w:t>
      </w:r>
      <w:r>
        <w:rPr>
          <w:color w:val="231F20"/>
          <w:w w:val="105"/>
        </w:rPr>
        <w:t>rasgos</w:t>
      </w:r>
      <w:r>
        <w:rPr>
          <w:color w:val="231F20"/>
          <w:spacing w:val="-5"/>
          <w:w w:val="105"/>
        </w:rPr>
        <w:t> </w:t>
      </w:r>
      <w:r>
        <w:rPr>
          <w:color w:val="231F20"/>
          <w:w w:val="105"/>
        </w:rPr>
        <w:t>con</w:t>
      </w:r>
      <w:r>
        <w:rPr>
          <w:color w:val="231F20"/>
          <w:spacing w:val="-5"/>
          <w:w w:val="105"/>
        </w:rPr>
        <w:t> </w:t>
      </w:r>
      <w:r>
        <w:rPr>
          <w:color w:val="231F20"/>
          <w:w w:val="105"/>
        </w:rPr>
        <w:t>las</w:t>
      </w:r>
      <w:r>
        <w:rPr>
          <w:color w:val="231F20"/>
          <w:spacing w:val="-5"/>
          <w:w w:val="105"/>
        </w:rPr>
        <w:t> </w:t>
      </w:r>
      <w:r>
        <w:rPr>
          <w:color w:val="231F20"/>
          <w:w w:val="105"/>
        </w:rPr>
        <w:t>entidades</w:t>
      </w:r>
      <w:r>
        <w:rPr>
          <w:color w:val="231F20"/>
          <w:spacing w:val="-5"/>
          <w:w w:val="105"/>
        </w:rPr>
        <w:t> </w:t>
      </w:r>
      <w:r>
        <w:rPr>
          <w:color w:val="231F20"/>
          <w:w w:val="105"/>
        </w:rPr>
        <w:t>de</w:t>
      </w:r>
      <w:r>
        <w:rPr>
          <w:color w:val="231F20"/>
          <w:spacing w:val="-5"/>
          <w:w w:val="105"/>
        </w:rPr>
        <w:t> </w:t>
      </w:r>
      <w:r>
        <w:rPr>
          <w:color w:val="231F20"/>
          <w:w w:val="105"/>
        </w:rPr>
        <w:t>mayor</w:t>
      </w:r>
      <w:r>
        <w:rPr>
          <w:color w:val="231F20"/>
          <w:spacing w:val="-5"/>
          <w:w w:val="105"/>
        </w:rPr>
        <w:t> </w:t>
      </w:r>
      <w:r>
        <w:rPr>
          <w:color w:val="231F20"/>
          <w:w w:val="105"/>
        </w:rPr>
        <w:t>tradición</w:t>
      </w:r>
      <w:r>
        <w:rPr>
          <w:color w:val="231F20"/>
          <w:spacing w:val="-5"/>
          <w:w w:val="105"/>
        </w:rPr>
        <w:t> </w:t>
      </w:r>
      <w:r>
        <w:rPr>
          <w:color w:val="231F20"/>
          <w:w w:val="105"/>
        </w:rPr>
        <w:t>migratoria</w:t>
      </w:r>
      <w:r>
        <w:rPr>
          <w:color w:val="231F20"/>
          <w:spacing w:val="-5"/>
          <w:w w:val="105"/>
        </w:rPr>
        <w:t> </w:t>
      </w:r>
      <w:r>
        <w:rPr>
          <w:color w:val="231F20"/>
          <w:w w:val="105"/>
        </w:rPr>
        <w:t>en</w:t>
      </w:r>
      <w:r>
        <w:rPr>
          <w:color w:val="231F20"/>
          <w:spacing w:val="-5"/>
          <w:w w:val="105"/>
        </w:rPr>
        <w:t> </w:t>
      </w:r>
      <w:r>
        <w:rPr>
          <w:color w:val="231F20"/>
          <w:w w:val="105"/>
        </w:rPr>
        <w:t>el occidente</w:t>
      </w:r>
      <w:r>
        <w:rPr>
          <w:color w:val="231F20"/>
          <w:spacing w:val="-20"/>
          <w:w w:val="105"/>
        </w:rPr>
        <w:t> </w:t>
      </w:r>
      <w:r>
        <w:rPr>
          <w:color w:val="231F20"/>
          <w:w w:val="105"/>
        </w:rPr>
        <w:t>de</w:t>
      </w:r>
      <w:r>
        <w:rPr>
          <w:color w:val="231F20"/>
          <w:spacing w:val="-20"/>
          <w:w w:val="105"/>
        </w:rPr>
        <w:t> </w:t>
      </w:r>
      <w:r>
        <w:rPr>
          <w:color w:val="231F20"/>
          <w:w w:val="105"/>
        </w:rPr>
        <w:t>México.</w:t>
      </w:r>
      <w:r>
        <w:rPr>
          <w:color w:val="231F20"/>
          <w:spacing w:val="-26"/>
          <w:w w:val="105"/>
        </w:rPr>
        <w:t> </w:t>
      </w:r>
      <w:r>
        <w:rPr>
          <w:color w:val="231F20"/>
          <w:w w:val="105"/>
        </w:rPr>
        <w:t>Esta</w:t>
      </w:r>
      <w:r>
        <w:rPr>
          <w:color w:val="231F20"/>
          <w:spacing w:val="-20"/>
          <w:w w:val="105"/>
        </w:rPr>
        <w:t> </w:t>
      </w:r>
      <w:r>
        <w:rPr>
          <w:color w:val="231F20"/>
          <w:w w:val="105"/>
        </w:rPr>
        <w:t>tradición</w:t>
      </w:r>
      <w:r>
        <w:rPr>
          <w:color w:val="231F20"/>
          <w:spacing w:val="-20"/>
          <w:w w:val="105"/>
        </w:rPr>
        <w:t> </w:t>
      </w:r>
      <w:r>
        <w:rPr>
          <w:color w:val="231F20"/>
          <w:w w:val="105"/>
        </w:rPr>
        <w:t>migratoria</w:t>
      </w:r>
      <w:r>
        <w:rPr>
          <w:color w:val="231F20"/>
          <w:spacing w:val="-20"/>
          <w:w w:val="105"/>
        </w:rPr>
        <w:t> </w:t>
      </w:r>
      <w:r>
        <w:rPr>
          <w:color w:val="231F20"/>
          <w:w w:val="105"/>
        </w:rPr>
        <w:t>se</w:t>
      </w:r>
      <w:r>
        <w:rPr>
          <w:color w:val="231F20"/>
          <w:spacing w:val="-20"/>
          <w:w w:val="105"/>
        </w:rPr>
        <w:t> </w:t>
      </w:r>
      <w:r>
        <w:rPr>
          <w:color w:val="231F20"/>
          <w:w w:val="105"/>
        </w:rPr>
        <w:t>manifiesta</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redes sociales</w:t>
      </w:r>
      <w:r>
        <w:rPr>
          <w:color w:val="231F20"/>
          <w:spacing w:val="-17"/>
          <w:w w:val="105"/>
        </w:rPr>
        <w:t> </w:t>
      </w:r>
      <w:r>
        <w:rPr>
          <w:color w:val="231F20"/>
          <w:w w:val="105"/>
        </w:rPr>
        <w:t>que</w:t>
      </w:r>
      <w:r>
        <w:rPr>
          <w:color w:val="231F20"/>
          <w:spacing w:val="-17"/>
          <w:w w:val="105"/>
        </w:rPr>
        <w:t> </w:t>
      </w:r>
      <w:r>
        <w:rPr>
          <w:color w:val="231F20"/>
          <w:w w:val="105"/>
        </w:rPr>
        <w:t>existen</w:t>
      </w:r>
      <w:r>
        <w:rPr>
          <w:color w:val="231F20"/>
          <w:spacing w:val="-17"/>
          <w:w w:val="105"/>
        </w:rPr>
        <w:t> </w:t>
      </w:r>
      <w:r>
        <w:rPr>
          <w:color w:val="231F20"/>
          <w:w w:val="105"/>
        </w:rPr>
        <w:t>desde</w:t>
      </w:r>
      <w:r>
        <w:rPr>
          <w:color w:val="231F20"/>
          <w:spacing w:val="-17"/>
          <w:w w:val="105"/>
        </w:rPr>
        <w:t> </w:t>
      </w:r>
      <w:r>
        <w:rPr>
          <w:color w:val="231F20"/>
          <w:w w:val="105"/>
        </w:rPr>
        <w:t>hace</w:t>
      </w:r>
      <w:r>
        <w:rPr>
          <w:color w:val="231F20"/>
          <w:spacing w:val="-17"/>
          <w:w w:val="105"/>
        </w:rPr>
        <w:t> </w:t>
      </w:r>
      <w:r>
        <w:rPr>
          <w:color w:val="231F20"/>
          <w:w w:val="105"/>
        </w:rPr>
        <w:t>mucho</w:t>
      </w:r>
      <w:r>
        <w:rPr>
          <w:color w:val="231F20"/>
          <w:spacing w:val="-17"/>
          <w:w w:val="105"/>
        </w:rPr>
        <w:t> </w:t>
      </w:r>
      <w:r>
        <w:rPr>
          <w:color w:val="231F20"/>
          <w:w w:val="105"/>
        </w:rPr>
        <w:t>tiempo</w:t>
      </w:r>
      <w:r>
        <w:rPr>
          <w:color w:val="231F20"/>
          <w:spacing w:val="-17"/>
          <w:w w:val="105"/>
        </w:rPr>
        <w:t> </w:t>
      </w:r>
      <w:r>
        <w:rPr>
          <w:color w:val="231F20"/>
          <w:w w:val="105"/>
        </w:rPr>
        <w:t>y</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han</w:t>
      </w:r>
      <w:r>
        <w:rPr>
          <w:color w:val="231F20"/>
          <w:spacing w:val="-17"/>
          <w:w w:val="105"/>
        </w:rPr>
        <w:t> </w:t>
      </w:r>
      <w:r>
        <w:rPr>
          <w:color w:val="231F20"/>
          <w:w w:val="105"/>
        </w:rPr>
        <w:t>ido</w:t>
      </w:r>
      <w:r>
        <w:rPr>
          <w:color w:val="231F20"/>
          <w:spacing w:val="-17"/>
          <w:w w:val="105"/>
        </w:rPr>
        <w:t> </w:t>
      </w:r>
      <w:r>
        <w:rPr>
          <w:color w:val="231F20"/>
          <w:w w:val="105"/>
        </w:rPr>
        <w:t>consoli- dando,</w:t>
      </w:r>
      <w:r>
        <w:rPr>
          <w:color w:val="231F20"/>
          <w:spacing w:val="-25"/>
          <w:w w:val="105"/>
        </w:rPr>
        <w:t> </w:t>
      </w:r>
      <w:r>
        <w:rPr>
          <w:color w:val="231F20"/>
          <w:w w:val="105"/>
        </w:rPr>
        <w:t>también</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envío</w:t>
      </w:r>
      <w:r>
        <w:rPr>
          <w:color w:val="231F20"/>
          <w:spacing w:val="-21"/>
          <w:w w:val="105"/>
        </w:rPr>
        <w:t> </w:t>
      </w:r>
      <w:r>
        <w:rPr>
          <w:color w:val="231F20"/>
          <w:w w:val="105"/>
        </w:rPr>
        <w:t>de</w:t>
      </w:r>
      <w:r>
        <w:rPr>
          <w:color w:val="231F20"/>
          <w:spacing w:val="-21"/>
          <w:w w:val="105"/>
        </w:rPr>
        <w:t> </w:t>
      </w:r>
      <w:r>
        <w:rPr>
          <w:color w:val="231F20"/>
          <w:w w:val="105"/>
        </w:rPr>
        <w:t>remesas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paisanos</w:t>
      </w:r>
      <w:r>
        <w:rPr>
          <w:color w:val="231F20"/>
          <w:spacing w:val="-21"/>
          <w:w w:val="105"/>
        </w:rPr>
        <w:t> </w:t>
      </w:r>
      <w:r>
        <w:rPr>
          <w:color w:val="231F20"/>
          <w:w w:val="105"/>
        </w:rPr>
        <w:t>a</w:t>
      </w:r>
      <w:r>
        <w:rPr>
          <w:color w:val="231F20"/>
          <w:spacing w:val="-21"/>
          <w:w w:val="105"/>
        </w:rPr>
        <w:t> </w:t>
      </w:r>
      <w:r>
        <w:rPr>
          <w:color w:val="231F20"/>
          <w:w w:val="105"/>
        </w:rPr>
        <w:t>sus</w:t>
      </w:r>
      <w:r>
        <w:rPr>
          <w:color w:val="231F20"/>
          <w:spacing w:val="-21"/>
          <w:w w:val="105"/>
        </w:rPr>
        <w:t> </w:t>
      </w:r>
      <w:r>
        <w:rPr>
          <w:color w:val="231F20"/>
          <w:w w:val="105"/>
        </w:rPr>
        <w:t>hogares</w:t>
      </w:r>
      <w:r>
        <w:rPr>
          <w:color w:val="231F20"/>
          <w:spacing w:val="-21"/>
          <w:w w:val="105"/>
        </w:rPr>
        <w:t> </w:t>
      </w:r>
      <w:r>
        <w:rPr>
          <w:color w:val="231F20"/>
          <w:w w:val="105"/>
        </w:rPr>
        <w:t>en México, además debemos agregar el entorno cultural de la</w:t>
      </w:r>
      <w:r>
        <w:rPr>
          <w:color w:val="231F20"/>
          <w:spacing w:val="-11"/>
          <w:w w:val="105"/>
        </w:rPr>
        <w:t> </w:t>
      </w:r>
      <w:r>
        <w:rPr>
          <w:color w:val="231F20"/>
          <w:w w:val="105"/>
        </w:rPr>
        <w:t>circularidad migratoria</w:t>
      </w:r>
      <w:r>
        <w:rPr>
          <w:color w:val="231F20"/>
          <w:spacing w:val="-15"/>
          <w:w w:val="105"/>
        </w:rPr>
        <w:t> </w:t>
      </w:r>
      <w:r>
        <w:rPr>
          <w:color w:val="231F20"/>
          <w:w w:val="105"/>
        </w:rPr>
        <w:t>como</w:t>
      </w:r>
      <w:r>
        <w:rPr>
          <w:color w:val="231F20"/>
          <w:spacing w:val="-15"/>
          <w:w w:val="105"/>
        </w:rPr>
        <w:t> </w:t>
      </w:r>
      <w:r>
        <w:rPr>
          <w:color w:val="231F20"/>
          <w:w w:val="105"/>
        </w:rPr>
        <w:t>las</w:t>
      </w:r>
      <w:r>
        <w:rPr>
          <w:color w:val="231F20"/>
          <w:spacing w:val="-15"/>
          <w:w w:val="105"/>
        </w:rPr>
        <w:t> </w:t>
      </w:r>
      <w:r>
        <w:rPr>
          <w:color w:val="231F20"/>
          <w:w w:val="105"/>
        </w:rPr>
        <w:t>actividades</w:t>
      </w:r>
      <w:r>
        <w:rPr>
          <w:color w:val="231F20"/>
          <w:spacing w:val="-15"/>
          <w:w w:val="105"/>
        </w:rPr>
        <w:t> </w:t>
      </w:r>
      <w:r>
        <w:rPr>
          <w:color w:val="231F20"/>
          <w:w w:val="105"/>
        </w:rPr>
        <w:t>colectivas</w:t>
      </w:r>
      <w:r>
        <w:rPr>
          <w:color w:val="231F20"/>
          <w:spacing w:val="-15"/>
          <w:w w:val="105"/>
        </w:rPr>
        <w:t> </w:t>
      </w:r>
      <w:r>
        <w:rPr>
          <w:color w:val="231F20"/>
          <w:w w:val="105"/>
        </w:rPr>
        <w:t>relacionadas</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identidad territorial,</w:t>
      </w:r>
      <w:r>
        <w:rPr>
          <w:color w:val="231F20"/>
          <w:w w:val="105"/>
          <w:position w:val="7"/>
          <w:sz w:val="12"/>
        </w:rPr>
        <w:t>2 </w:t>
      </w:r>
      <w:r>
        <w:rPr>
          <w:color w:val="231F20"/>
          <w:w w:val="105"/>
        </w:rPr>
        <w:t>lo cual se evidencia en las festividades patronales,</w:t>
      </w:r>
      <w:r>
        <w:rPr>
          <w:color w:val="231F20"/>
          <w:spacing w:val="-35"/>
          <w:w w:val="105"/>
        </w:rPr>
        <w:t> </w:t>
      </w:r>
      <w:r>
        <w:rPr>
          <w:color w:val="231F20"/>
          <w:w w:val="105"/>
        </w:rPr>
        <w:t>organiza- ción</w:t>
      </w:r>
      <w:r>
        <w:rPr>
          <w:color w:val="231F20"/>
          <w:spacing w:val="-22"/>
          <w:w w:val="105"/>
        </w:rPr>
        <w:t> </w:t>
      </w:r>
      <w:r>
        <w:rPr>
          <w:color w:val="231F20"/>
          <w:w w:val="105"/>
        </w:rPr>
        <w:t>de</w:t>
      </w:r>
      <w:r>
        <w:rPr>
          <w:color w:val="231F20"/>
          <w:spacing w:val="-22"/>
          <w:w w:val="105"/>
        </w:rPr>
        <w:t> </w:t>
      </w:r>
      <w:r>
        <w:rPr>
          <w:color w:val="231F20"/>
          <w:w w:val="105"/>
        </w:rPr>
        <w:t>eventos</w:t>
      </w:r>
      <w:r>
        <w:rPr>
          <w:color w:val="231F20"/>
          <w:spacing w:val="-22"/>
          <w:w w:val="105"/>
        </w:rPr>
        <w:t> </w:t>
      </w:r>
      <w:r>
        <w:rPr>
          <w:color w:val="231F20"/>
          <w:w w:val="105"/>
        </w:rPr>
        <w:t>binacionales,</w:t>
      </w:r>
      <w:r>
        <w:rPr>
          <w:color w:val="231F20"/>
          <w:spacing w:val="-27"/>
          <w:w w:val="105"/>
        </w:rPr>
        <w:t> </w:t>
      </w:r>
      <w:r>
        <w:rPr>
          <w:color w:val="231F20"/>
          <w:w w:val="105"/>
        </w:rPr>
        <w:t>e</w:t>
      </w:r>
      <w:r>
        <w:rPr>
          <w:color w:val="231F20"/>
          <w:spacing w:val="-22"/>
          <w:w w:val="105"/>
        </w:rPr>
        <w:t> </w:t>
      </w:r>
      <w:r>
        <w:rPr>
          <w:color w:val="231F20"/>
          <w:w w:val="105"/>
        </w:rPr>
        <w:t>incluso</w:t>
      </w:r>
      <w:r>
        <w:rPr>
          <w:color w:val="231F20"/>
          <w:spacing w:val="-22"/>
          <w:w w:val="105"/>
        </w:rPr>
        <w:t> </w:t>
      </w:r>
      <w:r>
        <w:rPr>
          <w:color w:val="231F20"/>
          <w:w w:val="105"/>
        </w:rPr>
        <w:t>el</w:t>
      </w:r>
      <w:r>
        <w:rPr>
          <w:color w:val="231F20"/>
          <w:spacing w:val="-22"/>
          <w:w w:val="105"/>
        </w:rPr>
        <w:t> </w:t>
      </w:r>
      <w:r>
        <w:rPr>
          <w:color w:val="231F20"/>
          <w:w w:val="105"/>
        </w:rPr>
        <w:t>envío</w:t>
      </w:r>
      <w:r>
        <w:rPr>
          <w:color w:val="231F20"/>
          <w:spacing w:val="-22"/>
          <w:w w:val="105"/>
        </w:rPr>
        <w:t> </w:t>
      </w:r>
      <w:r>
        <w:rPr>
          <w:color w:val="231F20"/>
          <w:w w:val="105"/>
        </w:rPr>
        <w:t>a</w:t>
      </w:r>
      <w:r>
        <w:rPr>
          <w:color w:val="231F20"/>
          <w:spacing w:val="-22"/>
          <w:w w:val="105"/>
        </w:rPr>
        <w:t> </w:t>
      </w:r>
      <w:r>
        <w:rPr>
          <w:color w:val="231F20"/>
          <w:w w:val="105"/>
        </w:rPr>
        <w:t>Estados</w:t>
      </w:r>
      <w:r>
        <w:rPr>
          <w:color w:val="231F20"/>
          <w:spacing w:val="-22"/>
          <w:w w:val="105"/>
        </w:rPr>
        <w:t> </w:t>
      </w:r>
      <w:r>
        <w:rPr>
          <w:color w:val="231F20"/>
          <w:w w:val="105"/>
        </w:rPr>
        <w:t>Unidos</w:t>
      </w:r>
      <w:r>
        <w:rPr>
          <w:color w:val="231F20"/>
          <w:spacing w:val="-22"/>
          <w:w w:val="105"/>
        </w:rPr>
        <w:t> </w:t>
      </w:r>
      <w:r>
        <w:rPr>
          <w:color w:val="231F20"/>
          <w:w w:val="105"/>
        </w:rPr>
        <w:t>de</w:t>
      </w:r>
      <w:r>
        <w:rPr>
          <w:color w:val="231F20"/>
          <w:spacing w:val="-22"/>
          <w:w w:val="105"/>
        </w:rPr>
        <w:t> </w:t>
      </w:r>
      <w:r>
        <w:rPr>
          <w:color w:val="231F20"/>
          <w:w w:val="105"/>
        </w:rPr>
        <w:t>pro- ductos gastronómicos típicos de la</w:t>
      </w:r>
      <w:r>
        <w:rPr>
          <w:color w:val="231F20"/>
          <w:spacing w:val="-40"/>
          <w:w w:val="105"/>
        </w:rPr>
        <w:t> </w:t>
      </w:r>
      <w:r>
        <w:rPr>
          <w:color w:val="231F20"/>
          <w:w w:val="105"/>
        </w:rPr>
        <w:t>región.</w:t>
      </w:r>
    </w:p>
    <w:p>
      <w:pPr>
        <w:pStyle w:val="BodyText"/>
        <w:spacing w:before="10"/>
        <w:rPr>
          <w:sz w:val="22"/>
        </w:rPr>
      </w:pPr>
      <w:r>
        <w:rPr/>
        <w:pict>
          <v:line style="position:absolute;mso-position-horizontal-relative:page;mso-position-vertical-relative:paragraph;z-index:35656;mso-wrap-distance-left:0;mso-wrap-distance-right:0" from="86.1968pt,15.064026pt" to="199.5828pt,15.064026pt" stroked="true" strokeweight=".25pt" strokecolor="#231f20">
            <w10:wrap type="topAndBottom"/>
          </v:line>
        </w:pict>
      </w:r>
    </w:p>
    <w:p>
      <w:pPr>
        <w:spacing w:line="192" w:lineRule="exact" w:before="7"/>
        <w:ind w:left="1723" w:right="1834" w:firstLine="0"/>
        <w:jc w:val="both"/>
        <w:rPr>
          <w:rFonts w:ascii="Calibri" w:hAnsi="Calibri"/>
          <w:sz w:val="16"/>
        </w:rPr>
      </w:pPr>
      <w:r>
        <w:rPr>
          <w:rFonts w:ascii="Calibri" w:hAnsi="Calibri"/>
          <w:color w:val="414042"/>
          <w:position w:val="5"/>
          <w:sz w:val="9"/>
        </w:rPr>
        <w:t>2 </w:t>
      </w:r>
      <w:r>
        <w:rPr>
          <w:rFonts w:ascii="Calibri" w:hAnsi="Calibri"/>
          <w:color w:val="414042"/>
          <w:sz w:val="16"/>
        </w:rPr>
        <w:t>Vista como un sentimiento de apego afectivo al terruño, y como representación simbólica de carácter colectivo del territorio, la cual puede derivar en acciones de integración cultural como festividades, com- partición de valores, símbolos, historias, rituales y demás factores de cohesión social que se dan a partir  de la cultura de origen local y regional de los  </w:t>
      </w:r>
      <w:r>
        <w:rPr>
          <w:rFonts w:ascii="Calibri" w:hAnsi="Calibri"/>
          <w:color w:val="414042"/>
          <w:spacing w:val="8"/>
          <w:sz w:val="16"/>
        </w:rPr>
        <w:t> </w:t>
      </w:r>
      <w:r>
        <w:rPr>
          <w:rFonts w:ascii="Calibri" w:hAnsi="Calibri"/>
          <w:color w:val="414042"/>
          <w:sz w:val="16"/>
        </w:rPr>
        <w:t>migrantes.</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54504" from="131.551193pt,3.753715pt" to="131.551193pt,39.556114pt" stroked="true" strokeweight=".35pt" strokecolor="#231f20">
            <w10:wrap type="none"/>
          </v:line>
        </w:pict>
      </w:r>
      <w:r>
        <w:rPr/>
        <w:pict>
          <v:line style="position:absolute;mso-position-horizontal-relative:page;mso-position-vertical-relative:paragraph;z-index:-454432" from="15pt,39.555916pt" to="0pt,39.555916pt" stroked="true" strokeweight=".25pt" strokecolor="#000000">
            <w10:wrap type="none"/>
          </v:line>
        </w:pict>
      </w:r>
      <w:r>
        <w:rPr/>
        <w:pict>
          <v:line style="position:absolute;mso-position-horizontal-relative:page;mso-position-vertical-relative:paragraph;z-index:35776" from="508.890015pt,39.555916pt" to="523.890015pt,39.555916pt" stroked="true" strokeweight=".25pt" strokecolor="#000000">
            <w10:wrap type="none"/>
          </v:line>
        </w:pict>
      </w:r>
      <w:r>
        <w:rPr>
          <w:rFonts w:ascii="Arial" w:hAnsi="Arial"/>
          <w:color w:val="414042"/>
          <w:position w:val="-5"/>
          <w:sz w:val="20"/>
        </w:rPr>
        <w:t>292</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5824"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5848" from="15pt,-28.286539pt" to="0pt,-28.286539pt" stroked="true" strokeweight=".25pt" strokecolor="#000000">
            <w10:wrap type="none"/>
          </v:line>
        </w:pict>
      </w:r>
      <w:r>
        <w:rPr/>
        <w:pict>
          <v:line style="position:absolute;mso-position-horizontal-relative:page;mso-position-vertical-relative:paragraph;z-index:35872" from="508.890015pt,-28.286539pt" to="523.890015pt,-28.286539pt" stroked="true" strokeweight=".25pt" strokecolor="#000000">
            <w10:wrap type="none"/>
          </v:line>
        </w:pict>
      </w:r>
      <w:r>
        <w:rPr>
          <w:rFonts w:ascii="Arial"/>
          <w:color w:val="414042"/>
          <w:sz w:val="20"/>
        </w:rPr>
        <w:t>293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spacing w:before="4"/>
        <w:rPr>
          <w:rFonts w:ascii="Arial"/>
          <w:sz w:val="28"/>
        </w:rPr>
      </w:pPr>
      <w:r>
        <w:rPr/>
        <w:pict>
          <v:line style="position:absolute;mso-position-horizontal-relative:page;mso-position-vertical-relative:page;z-index:-454288" from="15pt,715.487793pt" to="0pt,715.487793pt" stroked="true" strokeweight=".25pt" strokecolor="#000000">
            <w10:wrap type="none"/>
          </v:line>
        </w:pict>
      </w:r>
      <w:r>
        <w:rPr/>
        <w:pict>
          <v:line style="position:absolute;mso-position-horizontal-relative:page;mso-position-vertical-relative:page;z-index:35920" from="508.890015pt,715.487793pt" to="523.890015pt,715.487793pt" stroked="true" strokeweight=".25pt" strokecolor="#000000">
            <w10:wrap type="none"/>
          </v:line>
        </w:pict>
      </w:r>
    </w:p>
    <w:p>
      <w:pPr>
        <w:pStyle w:val="BodyText"/>
        <w:spacing w:line="261" w:lineRule="auto" w:before="61"/>
        <w:ind w:left="1837" w:right="1721"/>
        <w:jc w:val="both"/>
      </w:pPr>
      <w:r>
        <w:rPr>
          <w:color w:val="231F20"/>
          <w:w w:val="105"/>
        </w:rPr>
        <w:t>La</w:t>
      </w:r>
      <w:r>
        <w:rPr>
          <w:color w:val="231F20"/>
          <w:spacing w:val="-20"/>
          <w:w w:val="105"/>
        </w:rPr>
        <w:t> </w:t>
      </w:r>
      <w:r>
        <w:rPr>
          <w:color w:val="231F20"/>
          <w:w w:val="105"/>
        </w:rPr>
        <w:t>migración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sur</w:t>
      </w:r>
      <w:r>
        <w:rPr>
          <w:color w:val="231F20"/>
          <w:spacing w:val="-20"/>
          <w:w w:val="105"/>
        </w:rPr>
        <w:t> </w:t>
      </w:r>
      <w:r>
        <w:rPr>
          <w:color w:val="231F20"/>
          <w:w w:val="105"/>
        </w:rPr>
        <w:t>del</w:t>
      </w:r>
      <w:r>
        <w:rPr>
          <w:color w:val="231F20"/>
          <w:spacing w:val="-20"/>
          <w:w w:val="105"/>
        </w:rPr>
        <w:t> </w:t>
      </w:r>
      <w:r>
        <w:rPr>
          <w:color w:val="231F20"/>
          <w:w w:val="105"/>
        </w:rPr>
        <w:t>Estado</w:t>
      </w:r>
      <w:r>
        <w:rPr>
          <w:color w:val="231F20"/>
          <w:spacing w:val="-20"/>
          <w:w w:val="105"/>
        </w:rPr>
        <w:t> </w:t>
      </w:r>
      <w:r>
        <w:rPr>
          <w:color w:val="231F20"/>
          <w:w w:val="105"/>
        </w:rPr>
        <w:t>de</w:t>
      </w:r>
      <w:r>
        <w:rPr>
          <w:color w:val="231F20"/>
          <w:spacing w:val="-20"/>
          <w:w w:val="105"/>
        </w:rPr>
        <w:t> </w:t>
      </w:r>
      <w:r>
        <w:rPr>
          <w:color w:val="231F20"/>
          <w:w w:val="105"/>
        </w:rPr>
        <w:t>México</w:t>
      </w:r>
      <w:r>
        <w:rPr>
          <w:color w:val="231F20"/>
          <w:spacing w:val="-20"/>
          <w:w w:val="105"/>
        </w:rPr>
        <w:t> </w:t>
      </w:r>
      <w:r>
        <w:rPr>
          <w:color w:val="231F20"/>
          <w:w w:val="105"/>
        </w:rPr>
        <w:t>ha</w:t>
      </w:r>
      <w:r>
        <w:rPr>
          <w:color w:val="231F20"/>
          <w:spacing w:val="-20"/>
          <w:w w:val="105"/>
        </w:rPr>
        <w:t> </w:t>
      </w:r>
      <w:r>
        <w:rPr>
          <w:color w:val="231F20"/>
          <w:w w:val="105"/>
        </w:rPr>
        <w:t>traído</w:t>
      </w:r>
      <w:r>
        <w:rPr>
          <w:color w:val="231F20"/>
          <w:spacing w:val="-20"/>
          <w:w w:val="105"/>
        </w:rPr>
        <w:t> </w:t>
      </w:r>
      <w:r>
        <w:rPr>
          <w:color w:val="231F20"/>
          <w:w w:val="105"/>
        </w:rPr>
        <w:t>diferentes</w:t>
      </w:r>
      <w:r>
        <w:rPr>
          <w:color w:val="231F20"/>
          <w:spacing w:val="-20"/>
          <w:w w:val="105"/>
        </w:rPr>
        <w:t> </w:t>
      </w:r>
      <w:r>
        <w:rPr>
          <w:color w:val="231F20"/>
          <w:w w:val="105"/>
        </w:rPr>
        <w:t>cambios como</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mayoría</w:t>
      </w:r>
      <w:r>
        <w:rPr>
          <w:color w:val="231F20"/>
          <w:spacing w:val="-17"/>
          <w:w w:val="105"/>
        </w:rPr>
        <w:t> </w:t>
      </w:r>
      <w:r>
        <w:rPr>
          <w:color w:val="231F20"/>
          <w:w w:val="105"/>
        </w:rPr>
        <w:t>los</w:t>
      </w:r>
      <w:r>
        <w:rPr>
          <w:color w:val="231F20"/>
          <w:spacing w:val="-17"/>
          <w:w w:val="105"/>
        </w:rPr>
        <w:t> </w:t>
      </w:r>
      <w:r>
        <w:rPr>
          <w:color w:val="231F20"/>
          <w:w w:val="105"/>
        </w:rPr>
        <w:t>municipios</w:t>
      </w:r>
      <w:r>
        <w:rPr>
          <w:color w:val="231F20"/>
          <w:spacing w:val="-17"/>
          <w:w w:val="105"/>
        </w:rPr>
        <w:t> </w:t>
      </w:r>
      <w:r>
        <w:rPr>
          <w:color w:val="231F20"/>
          <w:w w:val="105"/>
        </w:rPr>
        <w:t>del</w:t>
      </w:r>
      <w:r>
        <w:rPr>
          <w:color w:val="231F20"/>
          <w:spacing w:val="-17"/>
          <w:w w:val="105"/>
        </w:rPr>
        <w:t> </w:t>
      </w:r>
      <w:r>
        <w:rPr>
          <w:color w:val="231F20"/>
          <w:w w:val="105"/>
        </w:rPr>
        <w:t>país</w:t>
      </w:r>
      <w:r>
        <w:rPr>
          <w:color w:val="231F20"/>
          <w:spacing w:val="-17"/>
          <w:w w:val="105"/>
        </w:rPr>
        <w:t> </w:t>
      </w:r>
      <w:r>
        <w:rPr>
          <w:color w:val="231F20"/>
          <w:w w:val="105"/>
        </w:rPr>
        <w:t>en</w:t>
      </w:r>
      <w:r>
        <w:rPr>
          <w:color w:val="231F20"/>
          <w:spacing w:val="-17"/>
          <w:w w:val="105"/>
        </w:rPr>
        <w:t> </w:t>
      </w:r>
      <w:r>
        <w:rPr>
          <w:color w:val="231F20"/>
          <w:w w:val="105"/>
        </w:rPr>
        <w:t>donde</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17"/>
          <w:w w:val="105"/>
        </w:rPr>
        <w:t> </w:t>
      </w:r>
      <w:r>
        <w:rPr>
          <w:color w:val="231F20"/>
          <w:w w:val="105"/>
        </w:rPr>
        <w:t>es</w:t>
      </w:r>
      <w:r>
        <w:rPr>
          <w:color w:val="231F20"/>
          <w:spacing w:val="-17"/>
          <w:w w:val="105"/>
        </w:rPr>
        <w:t> </w:t>
      </w:r>
      <w:r>
        <w:rPr>
          <w:color w:val="231F20"/>
          <w:w w:val="105"/>
        </w:rPr>
        <w:t>una forma de vida, por mencionar algunos ejemplos tenemos la forma de vestir de la población que adquiere una influencia norteamericana, así como el modo de hablar, utilizando algunas palabras en inglés</w:t>
      </w:r>
      <w:r>
        <w:rPr>
          <w:color w:val="231F20"/>
          <w:spacing w:val="-12"/>
          <w:w w:val="105"/>
        </w:rPr>
        <w:t> </w:t>
      </w:r>
      <w:r>
        <w:rPr>
          <w:color w:val="231F20"/>
          <w:w w:val="105"/>
        </w:rPr>
        <w:t>mezcla- das</w:t>
      </w:r>
      <w:r>
        <w:rPr>
          <w:color w:val="231F20"/>
          <w:spacing w:val="-30"/>
          <w:w w:val="105"/>
        </w:rPr>
        <w:t> </w:t>
      </w:r>
      <w:r>
        <w:rPr>
          <w:color w:val="231F20"/>
          <w:w w:val="105"/>
        </w:rPr>
        <w:t>con</w:t>
      </w:r>
      <w:r>
        <w:rPr>
          <w:color w:val="231F20"/>
          <w:spacing w:val="-30"/>
          <w:w w:val="105"/>
        </w:rPr>
        <w:t> </w:t>
      </w:r>
      <w:r>
        <w:rPr>
          <w:color w:val="231F20"/>
          <w:w w:val="105"/>
        </w:rPr>
        <w:t>el</w:t>
      </w:r>
      <w:r>
        <w:rPr>
          <w:color w:val="231F20"/>
          <w:spacing w:val="-30"/>
          <w:w w:val="105"/>
        </w:rPr>
        <w:t> </w:t>
      </w:r>
      <w:r>
        <w:rPr>
          <w:color w:val="231F20"/>
          <w:w w:val="105"/>
        </w:rPr>
        <w:t>español</w:t>
      </w:r>
      <w:r>
        <w:rPr>
          <w:color w:val="231F20"/>
          <w:spacing w:val="-30"/>
          <w:w w:val="105"/>
        </w:rPr>
        <w:t> </w:t>
      </w:r>
      <w:r>
        <w:rPr>
          <w:color w:val="231F20"/>
          <w:w w:val="105"/>
        </w:rPr>
        <w:t>(</w:t>
      </w:r>
      <w:r>
        <w:rPr>
          <w:rFonts w:ascii="Arial" w:hAnsi="Arial"/>
          <w:i/>
          <w:color w:val="231F20"/>
          <w:w w:val="105"/>
        </w:rPr>
        <w:t>spanglish</w:t>
      </w:r>
      <w:r>
        <w:rPr>
          <w:color w:val="231F20"/>
          <w:w w:val="105"/>
        </w:rPr>
        <w:t>),</w:t>
      </w:r>
      <w:r>
        <w:rPr>
          <w:color w:val="231F20"/>
          <w:spacing w:val="-34"/>
          <w:w w:val="105"/>
        </w:rPr>
        <w:t> </w:t>
      </w:r>
      <w:r>
        <w:rPr>
          <w:color w:val="231F20"/>
          <w:w w:val="105"/>
        </w:rPr>
        <w:t>la</w:t>
      </w:r>
      <w:r>
        <w:rPr>
          <w:color w:val="231F20"/>
          <w:spacing w:val="-30"/>
          <w:w w:val="105"/>
        </w:rPr>
        <w:t> </w:t>
      </w:r>
      <w:r>
        <w:rPr>
          <w:color w:val="231F20"/>
          <w:w w:val="105"/>
        </w:rPr>
        <w:t>forma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construcción</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casas</w:t>
      </w:r>
      <w:r>
        <w:rPr>
          <w:color w:val="231F20"/>
          <w:spacing w:val="-30"/>
          <w:w w:val="105"/>
        </w:rPr>
        <w:t> </w:t>
      </w:r>
      <w:r>
        <w:rPr>
          <w:color w:val="231F20"/>
          <w:w w:val="105"/>
        </w:rPr>
        <w:t>de los</w:t>
      </w:r>
      <w:r>
        <w:rPr>
          <w:color w:val="231F20"/>
          <w:spacing w:val="-9"/>
          <w:w w:val="105"/>
        </w:rPr>
        <w:t> </w:t>
      </w:r>
      <w:r>
        <w:rPr>
          <w:color w:val="231F20"/>
          <w:w w:val="105"/>
        </w:rPr>
        <w:t>migrantes</w:t>
      </w:r>
      <w:r>
        <w:rPr>
          <w:color w:val="231F20"/>
          <w:spacing w:val="-9"/>
          <w:w w:val="105"/>
        </w:rPr>
        <w:t> </w:t>
      </w:r>
      <w:r>
        <w:rPr>
          <w:color w:val="231F20"/>
          <w:w w:val="105"/>
        </w:rPr>
        <w:t>que</w:t>
      </w:r>
      <w:r>
        <w:rPr>
          <w:color w:val="231F20"/>
          <w:spacing w:val="-9"/>
          <w:w w:val="105"/>
        </w:rPr>
        <w:t> </w:t>
      </w:r>
      <w:r>
        <w:rPr>
          <w:color w:val="231F20"/>
          <w:w w:val="105"/>
        </w:rPr>
        <w:t>muestran</w:t>
      </w:r>
      <w:r>
        <w:rPr>
          <w:color w:val="231F20"/>
          <w:spacing w:val="-9"/>
          <w:w w:val="105"/>
        </w:rPr>
        <w:t> </w:t>
      </w:r>
      <w:r>
        <w:rPr>
          <w:color w:val="231F20"/>
          <w:w w:val="105"/>
        </w:rPr>
        <w:t>rasgos</w:t>
      </w:r>
      <w:r>
        <w:rPr>
          <w:color w:val="231F20"/>
          <w:spacing w:val="-9"/>
          <w:w w:val="105"/>
        </w:rPr>
        <w:t> </w:t>
      </w:r>
      <w:r>
        <w:rPr>
          <w:color w:val="231F20"/>
          <w:w w:val="105"/>
        </w:rPr>
        <w:t>cosmopolitas,</w:t>
      </w:r>
      <w:r>
        <w:rPr>
          <w:color w:val="231F20"/>
          <w:spacing w:val="-14"/>
          <w:w w:val="105"/>
        </w:rPr>
        <w:t> </w:t>
      </w:r>
      <w:r>
        <w:rPr>
          <w:color w:val="231F20"/>
          <w:w w:val="105"/>
        </w:rPr>
        <w:t>y</w:t>
      </w:r>
      <w:r>
        <w:rPr>
          <w:color w:val="231F20"/>
          <w:spacing w:val="-9"/>
          <w:w w:val="105"/>
        </w:rPr>
        <w:t> </w:t>
      </w:r>
      <w:r>
        <w:rPr>
          <w:color w:val="231F20"/>
          <w:w w:val="105"/>
        </w:rPr>
        <w:t>en</w:t>
      </w:r>
      <w:r>
        <w:rPr>
          <w:color w:val="231F20"/>
          <w:spacing w:val="-9"/>
          <w:w w:val="105"/>
        </w:rPr>
        <w:t> </w:t>
      </w:r>
      <w:r>
        <w:rPr>
          <w:color w:val="231F20"/>
          <w:w w:val="105"/>
        </w:rPr>
        <w:t>general</w:t>
      </w:r>
      <w:r>
        <w:rPr>
          <w:color w:val="231F20"/>
          <w:spacing w:val="-9"/>
          <w:w w:val="105"/>
        </w:rPr>
        <w:t> </w:t>
      </w:r>
      <w:r>
        <w:rPr>
          <w:color w:val="231F20"/>
          <w:w w:val="105"/>
        </w:rPr>
        <w:t>los</w:t>
      </w:r>
      <w:r>
        <w:rPr>
          <w:color w:val="231F20"/>
          <w:spacing w:val="-9"/>
          <w:w w:val="105"/>
        </w:rPr>
        <w:t> </w:t>
      </w:r>
      <w:r>
        <w:rPr>
          <w:color w:val="231F20"/>
          <w:w w:val="105"/>
        </w:rPr>
        <w:t>cam- bios culturales y su propia identidad</w:t>
      </w:r>
      <w:r>
        <w:rPr>
          <w:color w:val="231F20"/>
          <w:spacing w:val="-34"/>
          <w:w w:val="105"/>
        </w:rPr>
        <w:t> </w:t>
      </w:r>
      <w:r>
        <w:rPr>
          <w:color w:val="231F20"/>
          <w:w w:val="105"/>
        </w:rPr>
        <w:t>territorial.</w:t>
      </w:r>
    </w:p>
    <w:p>
      <w:pPr>
        <w:pStyle w:val="BodyText"/>
        <w:spacing w:line="261" w:lineRule="auto" w:before="1"/>
        <w:ind w:left="1837" w:right="1715" w:firstLine="567"/>
        <w:jc w:val="both"/>
      </w:pPr>
      <w:r>
        <w:rPr>
          <w:color w:val="231F20"/>
          <w:w w:val="105"/>
        </w:rPr>
        <w:t>En</w:t>
      </w:r>
      <w:r>
        <w:rPr>
          <w:color w:val="231F20"/>
          <w:spacing w:val="-20"/>
          <w:w w:val="105"/>
        </w:rPr>
        <w:t> </w:t>
      </w:r>
      <w:r>
        <w:rPr>
          <w:color w:val="231F20"/>
          <w:w w:val="105"/>
        </w:rPr>
        <w:t>términos</w:t>
      </w:r>
      <w:r>
        <w:rPr>
          <w:color w:val="231F20"/>
          <w:spacing w:val="-20"/>
          <w:w w:val="105"/>
        </w:rPr>
        <w:t> </w:t>
      </w:r>
      <w:r>
        <w:rPr>
          <w:color w:val="231F20"/>
          <w:w w:val="105"/>
        </w:rPr>
        <w:t>generales</w:t>
      </w:r>
      <w:r>
        <w:rPr>
          <w:color w:val="231F20"/>
          <w:spacing w:val="-20"/>
          <w:w w:val="105"/>
        </w:rPr>
        <w:t> </w:t>
      </w:r>
      <w:r>
        <w:rPr>
          <w:color w:val="231F20"/>
          <w:w w:val="105"/>
        </w:rPr>
        <w:t>para</w:t>
      </w:r>
      <w:r>
        <w:rPr>
          <w:color w:val="231F20"/>
          <w:spacing w:val="-20"/>
          <w:w w:val="105"/>
        </w:rPr>
        <w:t> </w:t>
      </w:r>
      <w:r>
        <w:rPr>
          <w:color w:val="231F20"/>
          <w:w w:val="105"/>
        </w:rPr>
        <w:t>efectos</w:t>
      </w:r>
      <w:r>
        <w:rPr>
          <w:color w:val="231F20"/>
          <w:spacing w:val="-20"/>
          <w:w w:val="105"/>
        </w:rPr>
        <w:t> </w:t>
      </w:r>
      <w:r>
        <w:rPr>
          <w:color w:val="231F20"/>
          <w:w w:val="105"/>
        </w:rPr>
        <w:t>de</w:t>
      </w:r>
      <w:r>
        <w:rPr>
          <w:color w:val="231F20"/>
          <w:spacing w:val="-20"/>
          <w:w w:val="105"/>
        </w:rPr>
        <w:t> </w:t>
      </w:r>
      <w:r>
        <w:rPr>
          <w:color w:val="231F20"/>
          <w:w w:val="105"/>
        </w:rPr>
        <w:t>este</w:t>
      </w:r>
      <w:r>
        <w:rPr>
          <w:color w:val="231F20"/>
          <w:spacing w:val="-20"/>
          <w:w w:val="105"/>
        </w:rPr>
        <w:t> </w:t>
      </w:r>
      <w:r>
        <w:rPr>
          <w:color w:val="231F20"/>
          <w:w w:val="105"/>
        </w:rPr>
        <w:t>estudio</w:t>
      </w:r>
      <w:r>
        <w:rPr>
          <w:color w:val="231F20"/>
          <w:spacing w:val="-20"/>
          <w:w w:val="105"/>
        </w:rPr>
        <w:t> </w:t>
      </w:r>
      <w:r>
        <w:rPr>
          <w:color w:val="231F20"/>
          <w:w w:val="105"/>
        </w:rPr>
        <w:t>en</w:t>
      </w:r>
      <w:r>
        <w:rPr>
          <w:color w:val="231F20"/>
          <w:spacing w:val="-20"/>
          <w:w w:val="105"/>
        </w:rPr>
        <w:t> </w:t>
      </w:r>
      <w:r>
        <w:rPr>
          <w:color w:val="231F20"/>
          <w:w w:val="105"/>
        </w:rPr>
        <w:t>esta</w:t>
      </w:r>
      <w:r>
        <w:rPr>
          <w:color w:val="231F20"/>
          <w:spacing w:val="-20"/>
          <w:w w:val="105"/>
        </w:rPr>
        <w:t> </w:t>
      </w:r>
      <w:r>
        <w:rPr>
          <w:color w:val="231F20"/>
          <w:w w:val="105"/>
        </w:rPr>
        <w:t>región</w:t>
      </w:r>
      <w:r>
        <w:rPr>
          <w:color w:val="231F20"/>
          <w:w w:val="105"/>
          <w:position w:val="7"/>
          <w:sz w:val="12"/>
        </w:rPr>
        <w:t>3 </w:t>
      </w:r>
      <w:r>
        <w:rPr>
          <w:color w:val="231F20"/>
          <w:w w:val="105"/>
        </w:rPr>
        <w:t>a la que pertenece Almoloya de Alquisiras muestra un comportamiento heterogéneo, pero a la vez muy dinámico en cuanto a los procesos mi- gratorios,</w:t>
      </w:r>
      <w:r>
        <w:rPr>
          <w:color w:val="231F20"/>
          <w:spacing w:val="-14"/>
          <w:w w:val="105"/>
        </w:rPr>
        <w:t> </w:t>
      </w:r>
      <w:r>
        <w:rPr>
          <w:color w:val="231F20"/>
          <w:w w:val="105"/>
        </w:rPr>
        <w:t>ya</w:t>
      </w:r>
      <w:r>
        <w:rPr>
          <w:color w:val="231F20"/>
          <w:spacing w:val="-7"/>
          <w:w w:val="105"/>
        </w:rPr>
        <w:t> </w:t>
      </w:r>
      <w:r>
        <w:rPr>
          <w:color w:val="231F20"/>
          <w:w w:val="105"/>
        </w:rPr>
        <w:t>que,</w:t>
      </w:r>
      <w:r>
        <w:rPr>
          <w:color w:val="231F20"/>
          <w:spacing w:val="-14"/>
          <w:w w:val="105"/>
        </w:rPr>
        <w:t> </w:t>
      </w:r>
      <w:r>
        <w:rPr>
          <w:color w:val="231F20"/>
          <w:w w:val="105"/>
        </w:rPr>
        <w:t>por</w:t>
      </w:r>
      <w:r>
        <w:rPr>
          <w:color w:val="231F20"/>
          <w:spacing w:val="-8"/>
          <w:w w:val="105"/>
        </w:rPr>
        <w:t> </w:t>
      </w:r>
      <w:r>
        <w:rPr>
          <w:color w:val="231F20"/>
          <w:w w:val="105"/>
        </w:rPr>
        <w:t>ejemplo,</w:t>
      </w:r>
      <w:r>
        <w:rPr>
          <w:color w:val="231F20"/>
          <w:spacing w:val="-14"/>
          <w:w w:val="105"/>
        </w:rPr>
        <w:t> </w:t>
      </w:r>
      <w:r>
        <w:rPr>
          <w:color w:val="231F20"/>
          <w:w w:val="105"/>
        </w:rPr>
        <w:t>mantiene</w:t>
      </w:r>
      <w:r>
        <w:rPr>
          <w:color w:val="231F20"/>
          <w:spacing w:val="-8"/>
          <w:w w:val="105"/>
        </w:rPr>
        <w:t> </w:t>
      </w:r>
      <w:r>
        <w:rPr>
          <w:color w:val="231F20"/>
          <w:w w:val="105"/>
        </w:rPr>
        <w:t>una</w:t>
      </w:r>
      <w:r>
        <w:rPr>
          <w:color w:val="231F20"/>
          <w:spacing w:val="-7"/>
          <w:w w:val="105"/>
        </w:rPr>
        <w:t> </w:t>
      </w:r>
      <w:r>
        <w:rPr>
          <w:color w:val="231F20"/>
          <w:w w:val="105"/>
        </w:rPr>
        <w:t>tasa</w:t>
      </w:r>
      <w:r>
        <w:rPr>
          <w:color w:val="231F20"/>
          <w:spacing w:val="-7"/>
          <w:w w:val="105"/>
        </w:rPr>
        <w:t> </w:t>
      </w:r>
      <w:r>
        <w:rPr>
          <w:color w:val="231F20"/>
          <w:w w:val="105"/>
        </w:rPr>
        <w:t>constante</w:t>
      </w:r>
      <w:r>
        <w:rPr>
          <w:color w:val="231F20"/>
          <w:spacing w:val="-8"/>
          <w:w w:val="105"/>
        </w:rPr>
        <w:t> </w:t>
      </w:r>
      <w:r>
        <w:rPr>
          <w:color w:val="231F20"/>
          <w:w w:val="105"/>
        </w:rPr>
        <w:t>de</w:t>
      </w:r>
      <w:r>
        <w:rPr>
          <w:color w:val="231F20"/>
          <w:spacing w:val="-8"/>
          <w:w w:val="105"/>
        </w:rPr>
        <w:t> </w:t>
      </w:r>
      <w:r>
        <w:rPr>
          <w:color w:val="231F20"/>
          <w:w w:val="105"/>
        </w:rPr>
        <w:t>decreci- miento poblacional, reflejo de la migración interna e internacional de la población,</w:t>
      </w:r>
      <w:r>
        <w:rPr>
          <w:color w:val="231F20"/>
          <w:spacing w:val="-11"/>
          <w:w w:val="105"/>
        </w:rPr>
        <w:t> </w:t>
      </w:r>
      <w:r>
        <w:rPr>
          <w:color w:val="231F20"/>
          <w:w w:val="105"/>
        </w:rPr>
        <w:t>provocando</w:t>
      </w:r>
      <w:r>
        <w:rPr>
          <w:color w:val="231F20"/>
          <w:spacing w:val="-5"/>
          <w:w w:val="105"/>
        </w:rPr>
        <w:t> </w:t>
      </w:r>
      <w:r>
        <w:rPr>
          <w:color w:val="231F20"/>
          <w:w w:val="105"/>
        </w:rPr>
        <w:t>a</w:t>
      </w:r>
      <w:r>
        <w:rPr>
          <w:color w:val="231F20"/>
          <w:spacing w:val="-5"/>
          <w:w w:val="105"/>
        </w:rPr>
        <w:t> </w:t>
      </w:r>
      <w:r>
        <w:rPr>
          <w:color w:val="231F20"/>
          <w:w w:val="105"/>
        </w:rPr>
        <w:t>su</w:t>
      </w:r>
      <w:r>
        <w:rPr>
          <w:color w:val="231F20"/>
          <w:spacing w:val="-5"/>
          <w:w w:val="105"/>
        </w:rPr>
        <w:t> </w:t>
      </w:r>
      <w:r>
        <w:rPr>
          <w:color w:val="231F20"/>
          <w:w w:val="105"/>
        </w:rPr>
        <w:t>vez</w:t>
      </w:r>
      <w:r>
        <w:rPr>
          <w:color w:val="231F20"/>
          <w:spacing w:val="-5"/>
          <w:w w:val="105"/>
        </w:rPr>
        <w:t> </w:t>
      </w:r>
      <w:r>
        <w:rPr>
          <w:color w:val="231F20"/>
          <w:w w:val="105"/>
        </w:rPr>
        <w:t>inestabilidad</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ritmo</w:t>
      </w:r>
      <w:r>
        <w:rPr>
          <w:color w:val="231F20"/>
          <w:spacing w:val="-5"/>
          <w:w w:val="105"/>
        </w:rPr>
        <w:t> </w:t>
      </w:r>
      <w:r>
        <w:rPr>
          <w:color w:val="231F20"/>
          <w:w w:val="105"/>
        </w:rPr>
        <w:t>de</w:t>
      </w:r>
      <w:r>
        <w:rPr>
          <w:color w:val="231F20"/>
          <w:spacing w:val="-5"/>
          <w:w w:val="105"/>
        </w:rPr>
        <w:t> </w:t>
      </w:r>
      <w:r>
        <w:rPr>
          <w:color w:val="231F20"/>
          <w:w w:val="105"/>
        </w:rPr>
        <w:t>crecimiento social y natural, asumiendo que muchos de los migrantes no regresan, quedando en el territorio regional, mayormente, población femenina y de</w:t>
      </w:r>
      <w:r>
        <w:rPr>
          <w:color w:val="231F20"/>
          <w:spacing w:val="-21"/>
          <w:w w:val="105"/>
        </w:rPr>
        <w:t> </w:t>
      </w:r>
      <w:r>
        <w:rPr>
          <w:color w:val="231F20"/>
          <w:w w:val="105"/>
        </w:rPr>
        <w:t>la</w:t>
      </w:r>
      <w:r>
        <w:rPr>
          <w:color w:val="231F20"/>
          <w:spacing w:val="-21"/>
          <w:w w:val="105"/>
        </w:rPr>
        <w:t> </w:t>
      </w:r>
      <w:r>
        <w:rPr>
          <w:color w:val="231F20"/>
          <w:w w:val="105"/>
        </w:rPr>
        <w:t>tercera</w:t>
      </w:r>
      <w:r>
        <w:rPr>
          <w:color w:val="231F20"/>
          <w:spacing w:val="-21"/>
          <w:w w:val="105"/>
        </w:rPr>
        <w:t> </w:t>
      </w:r>
      <w:r>
        <w:rPr>
          <w:color w:val="231F20"/>
          <w:w w:val="105"/>
        </w:rPr>
        <w:t>edad</w:t>
      </w:r>
      <w:r>
        <w:rPr>
          <w:color w:val="231F20"/>
          <w:spacing w:val="-21"/>
          <w:w w:val="105"/>
        </w:rPr>
        <w:t> </w:t>
      </w:r>
      <w:r>
        <w:rPr>
          <w:color w:val="231F20"/>
          <w:w w:val="105"/>
        </w:rPr>
        <w:t>(</w:t>
      </w:r>
      <w:r>
        <w:rPr>
          <w:color w:val="231F20"/>
          <w:w w:val="105"/>
          <w:sz w:val="17"/>
        </w:rPr>
        <w:t>GEM</w:t>
      </w:r>
      <w:r>
        <w:rPr>
          <w:color w:val="231F20"/>
          <w:w w:val="105"/>
        </w:rPr>
        <w:t>,</w:t>
      </w:r>
      <w:r>
        <w:rPr>
          <w:color w:val="231F20"/>
          <w:spacing w:val="-26"/>
          <w:w w:val="105"/>
        </w:rPr>
        <w:t> </w:t>
      </w:r>
      <w:r>
        <w:rPr>
          <w:color w:val="231F20"/>
          <w:w w:val="105"/>
        </w:rPr>
        <w:t>2011).</w:t>
      </w:r>
    </w:p>
    <w:p>
      <w:pPr>
        <w:pStyle w:val="BodyText"/>
        <w:rPr>
          <w:sz w:val="20"/>
        </w:rPr>
      </w:pPr>
    </w:p>
    <w:p>
      <w:pPr>
        <w:pStyle w:val="BodyText"/>
        <w:spacing w:before="6"/>
        <w:rPr>
          <w:sz w:val="19"/>
        </w:rPr>
      </w:pPr>
    </w:p>
    <w:p>
      <w:pPr>
        <w:pStyle w:val="Heading3"/>
        <w:rPr>
          <w:rFonts w:ascii="Tahoma"/>
        </w:rPr>
      </w:pPr>
      <w:r>
        <w:rPr>
          <w:rFonts w:ascii="Tahoma"/>
          <w:color w:val="231F20"/>
          <w:w w:val="95"/>
        </w:rPr>
        <w:t>Almoloya de Alquisiras: Territorio migratorio</w:t>
      </w:r>
    </w:p>
    <w:p>
      <w:pPr>
        <w:pStyle w:val="BodyText"/>
        <w:rPr>
          <w:rFonts w:ascii="Tahoma"/>
          <w:b/>
          <w:sz w:val="22"/>
        </w:rPr>
      </w:pPr>
    </w:p>
    <w:p>
      <w:pPr>
        <w:pStyle w:val="BodyText"/>
        <w:spacing w:line="261" w:lineRule="auto" w:before="152"/>
        <w:ind w:left="1837" w:right="1721"/>
        <w:jc w:val="both"/>
      </w:pPr>
      <w:r>
        <w:rPr>
          <w:color w:val="231F20"/>
          <w:w w:val="105"/>
        </w:rPr>
        <w:t>El</w:t>
      </w:r>
      <w:r>
        <w:rPr>
          <w:color w:val="231F20"/>
          <w:spacing w:val="-9"/>
          <w:w w:val="105"/>
        </w:rPr>
        <w:t> </w:t>
      </w:r>
      <w:r>
        <w:rPr>
          <w:color w:val="231F20"/>
          <w:w w:val="105"/>
        </w:rPr>
        <w:t>municipio</w:t>
      </w:r>
      <w:r>
        <w:rPr>
          <w:color w:val="231F20"/>
          <w:spacing w:val="-9"/>
          <w:w w:val="105"/>
        </w:rPr>
        <w:t> </w:t>
      </w:r>
      <w:r>
        <w:rPr>
          <w:color w:val="231F20"/>
          <w:w w:val="105"/>
        </w:rPr>
        <w:t>de</w:t>
      </w:r>
      <w:r>
        <w:rPr>
          <w:color w:val="231F20"/>
          <w:spacing w:val="-12"/>
          <w:w w:val="105"/>
        </w:rPr>
        <w:t> </w:t>
      </w:r>
      <w:r>
        <w:rPr>
          <w:color w:val="231F20"/>
          <w:w w:val="105"/>
        </w:rPr>
        <w:t>Almoloya</w:t>
      </w:r>
      <w:r>
        <w:rPr>
          <w:color w:val="231F20"/>
          <w:spacing w:val="-9"/>
          <w:w w:val="105"/>
        </w:rPr>
        <w:t> </w:t>
      </w:r>
      <w:r>
        <w:rPr>
          <w:color w:val="231F20"/>
          <w:w w:val="105"/>
        </w:rPr>
        <w:t>de</w:t>
      </w:r>
      <w:r>
        <w:rPr>
          <w:color w:val="231F20"/>
          <w:spacing w:val="-12"/>
          <w:w w:val="105"/>
        </w:rPr>
        <w:t> </w:t>
      </w:r>
      <w:r>
        <w:rPr>
          <w:color w:val="231F20"/>
          <w:w w:val="105"/>
        </w:rPr>
        <w:t>Alquisiras</w:t>
      </w:r>
      <w:r>
        <w:rPr>
          <w:color w:val="231F20"/>
          <w:spacing w:val="-9"/>
          <w:w w:val="105"/>
        </w:rPr>
        <w:t> </w:t>
      </w:r>
      <w:r>
        <w:rPr>
          <w:color w:val="231F20"/>
          <w:w w:val="105"/>
        </w:rPr>
        <w:t>se</w:t>
      </w:r>
      <w:r>
        <w:rPr>
          <w:color w:val="231F20"/>
          <w:spacing w:val="-9"/>
          <w:w w:val="105"/>
        </w:rPr>
        <w:t> </w:t>
      </w:r>
      <w:r>
        <w:rPr>
          <w:color w:val="231F20"/>
          <w:w w:val="105"/>
        </w:rPr>
        <w:t>encuentra</w:t>
      </w:r>
      <w:r>
        <w:rPr>
          <w:color w:val="231F20"/>
          <w:spacing w:val="-9"/>
          <w:w w:val="105"/>
        </w:rPr>
        <w:t> </w:t>
      </w:r>
      <w:r>
        <w:rPr>
          <w:color w:val="231F20"/>
          <w:w w:val="105"/>
        </w:rPr>
        <w:t>dentro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región VI de Ixtapan de la Sal, se ubica aproximadamente a 75 kilómetros de </w:t>
      </w:r>
      <w:r>
        <w:rPr>
          <w:color w:val="231F20"/>
          <w:spacing w:val="-3"/>
          <w:w w:val="105"/>
        </w:rPr>
        <w:t>Toluca, </w:t>
      </w:r>
      <w:r>
        <w:rPr>
          <w:color w:val="231F20"/>
          <w:w w:val="105"/>
        </w:rPr>
        <w:t>capital estatal. Es considerado por el Consejo Nacional de </w:t>
      </w:r>
      <w:r>
        <w:rPr>
          <w:color w:val="231F20"/>
          <w:spacing w:val="-6"/>
          <w:w w:val="105"/>
        </w:rPr>
        <w:t>Po- </w:t>
      </w:r>
      <w:r>
        <w:rPr>
          <w:color w:val="231F20"/>
          <w:w w:val="105"/>
        </w:rPr>
        <w:t>blación</w:t>
      </w:r>
      <w:r>
        <w:rPr>
          <w:color w:val="231F20"/>
          <w:spacing w:val="-10"/>
          <w:w w:val="105"/>
        </w:rPr>
        <w:t> </w:t>
      </w:r>
      <w:r>
        <w:rPr>
          <w:color w:val="231F20"/>
          <w:w w:val="105"/>
        </w:rPr>
        <w:t>(2010)</w:t>
      </w:r>
      <w:r>
        <w:rPr>
          <w:color w:val="231F20"/>
          <w:spacing w:val="-10"/>
          <w:w w:val="105"/>
        </w:rPr>
        <w:t> </w:t>
      </w:r>
      <w:r>
        <w:rPr>
          <w:color w:val="231F20"/>
          <w:w w:val="105"/>
        </w:rPr>
        <w:t>como</w:t>
      </w:r>
      <w:r>
        <w:rPr>
          <w:color w:val="231F20"/>
          <w:spacing w:val="-10"/>
          <w:w w:val="105"/>
        </w:rPr>
        <w:t> </w:t>
      </w:r>
      <w:r>
        <w:rPr>
          <w:color w:val="231F20"/>
          <w:w w:val="105"/>
        </w:rPr>
        <w:t>el</w:t>
      </w:r>
      <w:r>
        <w:rPr>
          <w:color w:val="231F20"/>
          <w:spacing w:val="-10"/>
          <w:w w:val="105"/>
        </w:rPr>
        <w:t> </w:t>
      </w:r>
      <w:r>
        <w:rPr>
          <w:color w:val="231F20"/>
          <w:w w:val="105"/>
        </w:rPr>
        <w:t>sexto</w:t>
      </w:r>
      <w:r>
        <w:rPr>
          <w:color w:val="231F20"/>
          <w:spacing w:val="-10"/>
          <w:w w:val="105"/>
        </w:rPr>
        <w:t> </w:t>
      </w:r>
      <w:r>
        <w:rPr>
          <w:color w:val="231F20"/>
          <w:w w:val="105"/>
        </w:rPr>
        <w:t>municipio</w:t>
      </w:r>
      <w:r>
        <w:rPr>
          <w:color w:val="231F20"/>
          <w:spacing w:val="-10"/>
          <w:w w:val="105"/>
        </w:rPr>
        <w:t> </w:t>
      </w:r>
      <w:r>
        <w:rPr>
          <w:color w:val="231F20"/>
          <w:w w:val="105"/>
        </w:rPr>
        <w:t>con</w:t>
      </w:r>
      <w:r>
        <w:rPr>
          <w:color w:val="231F20"/>
          <w:spacing w:val="-10"/>
          <w:w w:val="105"/>
        </w:rPr>
        <w:t> </w:t>
      </w:r>
      <w:r>
        <w:rPr>
          <w:color w:val="231F20"/>
          <w:w w:val="105"/>
        </w:rPr>
        <w:t>mayor</w:t>
      </w:r>
      <w:r>
        <w:rPr>
          <w:color w:val="231F20"/>
          <w:spacing w:val="-10"/>
          <w:w w:val="105"/>
        </w:rPr>
        <w:t> </w:t>
      </w:r>
      <w:r>
        <w:rPr>
          <w:color w:val="231F20"/>
          <w:w w:val="105"/>
        </w:rPr>
        <w:t>intensidad</w:t>
      </w:r>
      <w:r>
        <w:rPr>
          <w:color w:val="231F20"/>
          <w:spacing w:val="-10"/>
          <w:w w:val="105"/>
        </w:rPr>
        <w:t> </w:t>
      </w:r>
      <w:r>
        <w:rPr>
          <w:color w:val="231F20"/>
          <w:w w:val="105"/>
        </w:rPr>
        <w:t>migratoria absoluta,</w:t>
      </w:r>
      <w:r>
        <w:rPr>
          <w:color w:val="231F20"/>
          <w:spacing w:val="-22"/>
          <w:w w:val="105"/>
        </w:rPr>
        <w:t> </w:t>
      </w:r>
      <w:r>
        <w:rPr>
          <w:color w:val="231F20"/>
          <w:w w:val="105"/>
        </w:rPr>
        <w:t>después</w:t>
      </w:r>
      <w:r>
        <w:rPr>
          <w:color w:val="231F20"/>
          <w:spacing w:val="-19"/>
          <w:w w:val="105"/>
        </w:rPr>
        <w:t> </w:t>
      </w:r>
      <w:r>
        <w:rPr>
          <w:color w:val="231F20"/>
          <w:w w:val="105"/>
        </w:rPr>
        <w:t>de</w:t>
      </w:r>
      <w:r>
        <w:rPr>
          <w:color w:val="231F20"/>
          <w:spacing w:val="-19"/>
          <w:w w:val="105"/>
        </w:rPr>
        <w:t> </w:t>
      </w:r>
      <w:r>
        <w:rPr>
          <w:color w:val="231F20"/>
          <w:w w:val="105"/>
        </w:rPr>
        <w:t>Luvianos,</w:t>
      </w:r>
      <w:r>
        <w:rPr>
          <w:color w:val="231F20"/>
          <w:spacing w:val="-22"/>
          <w:w w:val="105"/>
        </w:rPr>
        <w:t> </w:t>
      </w:r>
      <w:r>
        <w:rPr>
          <w:color w:val="231F20"/>
          <w:w w:val="105"/>
        </w:rPr>
        <w:t>Zumpahuacán,</w:t>
      </w:r>
      <w:r>
        <w:rPr>
          <w:color w:val="231F20"/>
          <w:spacing w:val="-25"/>
          <w:w w:val="105"/>
        </w:rPr>
        <w:t> </w:t>
      </w:r>
      <w:r>
        <w:rPr>
          <w:color w:val="231F20"/>
          <w:w w:val="105"/>
        </w:rPr>
        <w:t>Tlatlaya,</w:t>
      </w:r>
      <w:r>
        <w:rPr>
          <w:color w:val="231F20"/>
          <w:spacing w:val="-22"/>
          <w:w w:val="105"/>
        </w:rPr>
        <w:t> </w:t>
      </w:r>
      <w:r>
        <w:rPr>
          <w:color w:val="231F20"/>
          <w:w w:val="105"/>
        </w:rPr>
        <w:t>Coatepec</w:t>
      </w:r>
      <w:r>
        <w:rPr>
          <w:color w:val="231F20"/>
          <w:spacing w:val="-19"/>
          <w:w w:val="105"/>
        </w:rPr>
        <w:t> </w:t>
      </w:r>
      <w:r>
        <w:rPr>
          <w:color w:val="231F20"/>
          <w:w w:val="105"/>
        </w:rPr>
        <w:t>Hari- nas y Amatepec, es un municipio con marginación media y sus centros poblacionales</w:t>
      </w:r>
      <w:r>
        <w:rPr>
          <w:color w:val="231F20"/>
          <w:spacing w:val="-30"/>
          <w:w w:val="105"/>
        </w:rPr>
        <w:t> </w:t>
      </w:r>
      <w:r>
        <w:rPr>
          <w:color w:val="231F20"/>
          <w:w w:val="105"/>
        </w:rPr>
        <w:t>son</w:t>
      </w:r>
      <w:r>
        <w:rPr>
          <w:color w:val="231F20"/>
          <w:spacing w:val="-30"/>
          <w:w w:val="105"/>
        </w:rPr>
        <w:t> </w:t>
      </w:r>
      <w:r>
        <w:rPr>
          <w:color w:val="231F20"/>
          <w:w w:val="105"/>
        </w:rPr>
        <w:t>dispersos.</w:t>
      </w:r>
    </w:p>
    <w:p>
      <w:pPr>
        <w:pStyle w:val="BodyText"/>
        <w:spacing w:line="261" w:lineRule="auto" w:before="1"/>
        <w:ind w:left="1837" w:right="1715" w:firstLine="567"/>
        <w:jc w:val="both"/>
      </w:pPr>
      <w:r>
        <w:rPr>
          <w:color w:val="231F20"/>
          <w:w w:val="105"/>
        </w:rPr>
        <w:t>Almoloya de Alquisiras tiene características migratorias de corte internacional</w:t>
      </w:r>
      <w:r>
        <w:rPr>
          <w:color w:val="231F20"/>
          <w:spacing w:val="-12"/>
          <w:w w:val="105"/>
        </w:rPr>
        <w:t> </w:t>
      </w:r>
      <w:r>
        <w:rPr>
          <w:color w:val="231F20"/>
          <w:w w:val="105"/>
        </w:rPr>
        <w:t>representadas</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migración</w:t>
      </w:r>
      <w:r>
        <w:rPr>
          <w:color w:val="231F20"/>
          <w:spacing w:val="-12"/>
          <w:w w:val="105"/>
        </w:rPr>
        <w:t> </w:t>
      </w:r>
      <w:r>
        <w:rPr>
          <w:color w:val="231F20"/>
          <w:w w:val="105"/>
        </w:rPr>
        <w:t>a</w:t>
      </w:r>
      <w:r>
        <w:rPr>
          <w:color w:val="231F20"/>
          <w:spacing w:val="-12"/>
          <w:w w:val="105"/>
        </w:rPr>
        <w:t> </w:t>
      </w:r>
      <w:r>
        <w:rPr>
          <w:color w:val="231F20"/>
          <w:w w:val="105"/>
        </w:rPr>
        <w:t>Estados</w:t>
      </w:r>
      <w:r>
        <w:rPr>
          <w:color w:val="231F20"/>
          <w:spacing w:val="-12"/>
          <w:w w:val="105"/>
        </w:rPr>
        <w:t> </w:t>
      </w:r>
      <w:r>
        <w:rPr>
          <w:color w:val="231F20"/>
          <w:w w:val="105"/>
        </w:rPr>
        <w:t>Unidos,</w:t>
      </w:r>
      <w:r>
        <w:rPr>
          <w:color w:val="231F20"/>
          <w:spacing w:val="-17"/>
          <w:w w:val="105"/>
        </w:rPr>
        <w:t> </w:t>
      </w:r>
      <w:r>
        <w:rPr>
          <w:color w:val="231F20"/>
          <w:w w:val="105"/>
        </w:rPr>
        <w:t>con</w:t>
      </w:r>
      <w:r>
        <w:rPr>
          <w:color w:val="231F20"/>
          <w:spacing w:val="-12"/>
          <w:w w:val="105"/>
        </w:rPr>
        <w:t> </w:t>
      </w:r>
      <w:r>
        <w:rPr>
          <w:color w:val="231F20"/>
          <w:w w:val="105"/>
        </w:rPr>
        <w:t>vín- culos</w:t>
      </w:r>
      <w:r>
        <w:rPr>
          <w:color w:val="231F20"/>
          <w:spacing w:val="-18"/>
          <w:w w:val="105"/>
        </w:rPr>
        <w:t> </w:t>
      </w:r>
      <w:r>
        <w:rPr>
          <w:color w:val="231F20"/>
          <w:w w:val="105"/>
        </w:rPr>
        <w:t>intensos</w:t>
      </w:r>
      <w:r>
        <w:rPr>
          <w:color w:val="231F20"/>
          <w:spacing w:val="-18"/>
          <w:w w:val="105"/>
        </w:rPr>
        <w:t> </w:t>
      </w:r>
      <w:r>
        <w:rPr>
          <w:color w:val="231F20"/>
          <w:w w:val="105"/>
        </w:rPr>
        <w:t>y</w:t>
      </w:r>
      <w:r>
        <w:rPr>
          <w:color w:val="231F20"/>
          <w:spacing w:val="-18"/>
          <w:w w:val="105"/>
        </w:rPr>
        <w:t> </w:t>
      </w:r>
      <w:r>
        <w:rPr>
          <w:color w:val="231F20"/>
          <w:w w:val="105"/>
        </w:rPr>
        <w:t>duraderos</w:t>
      </w:r>
      <w:r>
        <w:rPr>
          <w:color w:val="231F20"/>
          <w:spacing w:val="-18"/>
          <w:w w:val="105"/>
        </w:rPr>
        <w:t> </w:t>
      </w:r>
      <w:r>
        <w:rPr>
          <w:color w:val="231F20"/>
          <w:w w:val="105"/>
        </w:rPr>
        <w:t>en</w:t>
      </w:r>
      <w:r>
        <w:rPr>
          <w:color w:val="231F20"/>
          <w:spacing w:val="-18"/>
          <w:w w:val="105"/>
        </w:rPr>
        <w:t> </w:t>
      </w:r>
      <w:r>
        <w:rPr>
          <w:color w:val="231F20"/>
          <w:w w:val="105"/>
        </w:rPr>
        <w:t>sus</w:t>
      </w:r>
      <w:r>
        <w:rPr>
          <w:color w:val="231F20"/>
          <w:spacing w:val="-18"/>
          <w:w w:val="105"/>
        </w:rPr>
        <w:t> </w:t>
      </w:r>
      <w:r>
        <w:rPr>
          <w:color w:val="231F20"/>
          <w:w w:val="105"/>
        </w:rPr>
        <w:t>redes</w:t>
      </w:r>
      <w:r>
        <w:rPr>
          <w:color w:val="231F20"/>
          <w:spacing w:val="-18"/>
          <w:w w:val="105"/>
        </w:rPr>
        <w:t> </w:t>
      </w:r>
      <w:r>
        <w:rPr>
          <w:color w:val="231F20"/>
          <w:w w:val="105"/>
        </w:rPr>
        <w:t>sociales.</w:t>
      </w:r>
      <w:r>
        <w:rPr>
          <w:color w:val="231F20"/>
          <w:spacing w:val="-23"/>
          <w:w w:val="105"/>
        </w:rPr>
        <w:t> </w:t>
      </w:r>
      <w:r>
        <w:rPr>
          <w:color w:val="231F20"/>
          <w:w w:val="105"/>
        </w:rPr>
        <w:t>En</w:t>
      </w:r>
      <w:r>
        <w:rPr>
          <w:color w:val="231F20"/>
          <w:spacing w:val="-18"/>
          <w:w w:val="105"/>
        </w:rPr>
        <w:t> </w:t>
      </w:r>
      <w:r>
        <w:rPr>
          <w:color w:val="231F20"/>
          <w:w w:val="105"/>
        </w:rPr>
        <w:t>buena</w:t>
      </w:r>
      <w:r>
        <w:rPr>
          <w:color w:val="231F20"/>
          <w:spacing w:val="-18"/>
          <w:w w:val="105"/>
        </w:rPr>
        <w:t> </w:t>
      </w:r>
      <w:r>
        <w:rPr>
          <w:color w:val="231F20"/>
          <w:w w:val="105"/>
        </w:rPr>
        <w:t>medida</w:t>
      </w:r>
      <w:r>
        <w:rPr>
          <w:color w:val="231F20"/>
          <w:spacing w:val="-18"/>
          <w:w w:val="105"/>
        </w:rPr>
        <w:t> </w:t>
      </w:r>
      <w:r>
        <w:rPr>
          <w:color w:val="231F20"/>
          <w:w w:val="105"/>
        </w:rPr>
        <w:t>este municipio rural conforma su vida social, económica y política con base en</w:t>
      </w:r>
      <w:r>
        <w:rPr>
          <w:color w:val="231F20"/>
          <w:spacing w:val="-24"/>
          <w:w w:val="105"/>
        </w:rPr>
        <w:t> </w:t>
      </w:r>
      <w:r>
        <w:rPr>
          <w:color w:val="231F20"/>
          <w:w w:val="105"/>
        </w:rPr>
        <w:t>el</w:t>
      </w:r>
      <w:r>
        <w:rPr>
          <w:color w:val="231F20"/>
          <w:spacing w:val="-24"/>
          <w:w w:val="105"/>
        </w:rPr>
        <w:t> </w:t>
      </w:r>
      <w:r>
        <w:rPr>
          <w:color w:val="231F20"/>
          <w:w w:val="105"/>
        </w:rPr>
        <w:t>fenómeno</w:t>
      </w:r>
      <w:r>
        <w:rPr>
          <w:color w:val="231F20"/>
          <w:spacing w:val="-24"/>
          <w:w w:val="105"/>
        </w:rPr>
        <w:t> </w:t>
      </w:r>
      <w:r>
        <w:rPr>
          <w:color w:val="231F20"/>
          <w:w w:val="105"/>
        </w:rPr>
        <w:t>migratorio,</w:t>
      </w:r>
      <w:r>
        <w:rPr>
          <w:color w:val="231F20"/>
          <w:spacing w:val="-29"/>
          <w:w w:val="105"/>
        </w:rPr>
        <w:t> </w:t>
      </w:r>
      <w:r>
        <w:rPr>
          <w:color w:val="231F20"/>
          <w:w w:val="105"/>
        </w:rPr>
        <w:t>el</w:t>
      </w:r>
      <w:r>
        <w:rPr>
          <w:color w:val="231F20"/>
          <w:spacing w:val="-24"/>
          <w:w w:val="105"/>
        </w:rPr>
        <w:t> </w:t>
      </w:r>
      <w:r>
        <w:rPr>
          <w:color w:val="231F20"/>
          <w:w w:val="105"/>
        </w:rPr>
        <w:t>cual</w:t>
      </w:r>
      <w:r>
        <w:rPr>
          <w:color w:val="231F20"/>
          <w:spacing w:val="-24"/>
          <w:w w:val="105"/>
        </w:rPr>
        <w:t> </w:t>
      </w:r>
      <w:r>
        <w:rPr>
          <w:color w:val="231F20"/>
          <w:w w:val="105"/>
        </w:rPr>
        <w:t>se</w:t>
      </w:r>
      <w:r>
        <w:rPr>
          <w:color w:val="231F20"/>
          <w:spacing w:val="-24"/>
          <w:w w:val="105"/>
        </w:rPr>
        <w:t> </w:t>
      </w:r>
      <w:r>
        <w:rPr>
          <w:color w:val="231F20"/>
          <w:w w:val="105"/>
        </w:rPr>
        <w:t>expresa</w:t>
      </w:r>
      <w:r>
        <w:rPr>
          <w:color w:val="231F20"/>
          <w:spacing w:val="-24"/>
          <w:w w:val="105"/>
        </w:rPr>
        <w:t> </w:t>
      </w:r>
      <w:r>
        <w:rPr>
          <w:color w:val="231F20"/>
          <w:w w:val="105"/>
        </w:rPr>
        <w:t>en</w:t>
      </w:r>
      <w:r>
        <w:rPr>
          <w:color w:val="231F20"/>
          <w:spacing w:val="-24"/>
          <w:w w:val="105"/>
        </w:rPr>
        <w:t> </w:t>
      </w:r>
      <w:r>
        <w:rPr>
          <w:color w:val="231F20"/>
          <w:w w:val="105"/>
        </w:rPr>
        <w:t>nuevas</w:t>
      </w:r>
      <w:r>
        <w:rPr>
          <w:color w:val="231F20"/>
          <w:spacing w:val="-24"/>
          <w:w w:val="105"/>
        </w:rPr>
        <w:t> </w:t>
      </w:r>
      <w:r>
        <w:rPr>
          <w:color w:val="231F20"/>
          <w:w w:val="105"/>
        </w:rPr>
        <w:t>territorialidades, entendidas</w:t>
      </w:r>
      <w:r>
        <w:rPr>
          <w:color w:val="231F20"/>
          <w:spacing w:val="-22"/>
          <w:w w:val="105"/>
        </w:rPr>
        <w:t> </w:t>
      </w:r>
      <w:r>
        <w:rPr>
          <w:color w:val="231F20"/>
          <w:w w:val="105"/>
        </w:rPr>
        <w:t>éstas</w:t>
      </w:r>
      <w:r>
        <w:rPr>
          <w:color w:val="231F20"/>
          <w:spacing w:val="-22"/>
          <w:w w:val="105"/>
        </w:rPr>
        <w:t> </w:t>
      </w:r>
      <w:r>
        <w:rPr>
          <w:color w:val="231F20"/>
          <w:w w:val="105"/>
        </w:rPr>
        <w:t>como</w:t>
      </w:r>
      <w:r>
        <w:rPr>
          <w:color w:val="231F20"/>
          <w:spacing w:val="-22"/>
          <w:w w:val="105"/>
        </w:rPr>
        <w:t> </w:t>
      </w:r>
      <w:r>
        <w:rPr>
          <w:color w:val="231F20"/>
          <w:w w:val="105"/>
        </w:rPr>
        <w:t>transformaciones</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expresan</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territorio en distintas dimensiones a partir de los efectos de la migración, como puede</w:t>
      </w:r>
      <w:r>
        <w:rPr>
          <w:color w:val="231F20"/>
          <w:spacing w:val="-12"/>
          <w:w w:val="105"/>
        </w:rPr>
        <w:t> </w:t>
      </w:r>
      <w:r>
        <w:rPr>
          <w:color w:val="231F20"/>
          <w:w w:val="105"/>
        </w:rPr>
        <w:t>ser</w:t>
      </w:r>
      <w:r>
        <w:rPr>
          <w:color w:val="231F20"/>
          <w:spacing w:val="-12"/>
          <w:w w:val="105"/>
        </w:rPr>
        <w:t> </w:t>
      </w:r>
      <w:r>
        <w:rPr>
          <w:color w:val="231F20"/>
          <w:w w:val="105"/>
        </w:rPr>
        <w:t>en</w:t>
      </w:r>
      <w:r>
        <w:rPr>
          <w:color w:val="231F20"/>
          <w:spacing w:val="-12"/>
          <w:w w:val="105"/>
        </w:rPr>
        <w:t> </w:t>
      </w:r>
      <w:r>
        <w:rPr>
          <w:color w:val="231F20"/>
          <w:w w:val="105"/>
        </w:rPr>
        <w:t>lo</w:t>
      </w:r>
      <w:r>
        <w:rPr>
          <w:color w:val="231F20"/>
          <w:spacing w:val="-12"/>
          <w:w w:val="105"/>
        </w:rPr>
        <w:t> </w:t>
      </w:r>
      <w:r>
        <w:rPr>
          <w:color w:val="231F20"/>
          <w:w w:val="105"/>
        </w:rPr>
        <w:t>económico,</w:t>
      </w:r>
      <w:r>
        <w:rPr>
          <w:color w:val="231F20"/>
          <w:spacing w:val="-18"/>
          <w:w w:val="105"/>
        </w:rPr>
        <w:t> </w:t>
      </w:r>
      <w:r>
        <w:rPr>
          <w:color w:val="231F20"/>
          <w:w w:val="105"/>
        </w:rPr>
        <w:t>social,</w:t>
      </w:r>
      <w:r>
        <w:rPr>
          <w:color w:val="231F20"/>
          <w:spacing w:val="-18"/>
          <w:w w:val="105"/>
        </w:rPr>
        <w:t> </w:t>
      </w:r>
      <w:r>
        <w:rPr>
          <w:color w:val="231F20"/>
          <w:w w:val="105"/>
        </w:rPr>
        <w:t>cultural</w:t>
      </w:r>
      <w:r>
        <w:rPr>
          <w:color w:val="231F20"/>
          <w:spacing w:val="-12"/>
          <w:w w:val="105"/>
        </w:rPr>
        <w:t> </w:t>
      </w:r>
      <w:r>
        <w:rPr>
          <w:color w:val="231F20"/>
          <w:w w:val="105"/>
        </w:rPr>
        <w:t>o</w:t>
      </w:r>
      <w:r>
        <w:rPr>
          <w:color w:val="231F20"/>
          <w:spacing w:val="-12"/>
          <w:w w:val="105"/>
        </w:rPr>
        <w:t> </w:t>
      </w:r>
      <w:r>
        <w:rPr>
          <w:color w:val="231F20"/>
          <w:w w:val="105"/>
        </w:rPr>
        <w:t>lo</w:t>
      </w:r>
      <w:r>
        <w:rPr>
          <w:color w:val="231F20"/>
          <w:spacing w:val="-12"/>
          <w:w w:val="105"/>
        </w:rPr>
        <w:t> </w:t>
      </w:r>
      <w:r>
        <w:rPr>
          <w:color w:val="231F20"/>
          <w:w w:val="105"/>
        </w:rPr>
        <w:t>físico-ambiental.</w:t>
      </w:r>
    </w:p>
    <w:p>
      <w:pPr>
        <w:pStyle w:val="BodyText"/>
        <w:spacing w:line="261" w:lineRule="auto" w:before="1"/>
        <w:ind w:left="1837" w:right="1721" w:firstLine="567"/>
        <w:jc w:val="both"/>
      </w:pPr>
      <w:r>
        <w:rPr>
          <w:color w:val="231F20"/>
          <w:w w:val="105"/>
        </w:rPr>
        <w:t>La construcción de nuevas viviendas, la incursión de emprendi- mientos</w:t>
      </w:r>
      <w:r>
        <w:rPr>
          <w:color w:val="231F20"/>
          <w:spacing w:val="-4"/>
          <w:w w:val="105"/>
        </w:rPr>
        <w:t> </w:t>
      </w:r>
      <w:r>
        <w:rPr>
          <w:color w:val="231F20"/>
          <w:w w:val="105"/>
        </w:rPr>
        <w:t>productivos,</w:t>
      </w:r>
      <w:r>
        <w:rPr>
          <w:color w:val="231F20"/>
          <w:spacing w:val="-9"/>
          <w:w w:val="105"/>
        </w:rPr>
        <w:t> </w:t>
      </w:r>
      <w:r>
        <w:rPr>
          <w:color w:val="231F20"/>
          <w:w w:val="105"/>
        </w:rPr>
        <w:t>la</w:t>
      </w:r>
      <w:r>
        <w:rPr>
          <w:color w:val="231F20"/>
          <w:spacing w:val="-4"/>
          <w:w w:val="105"/>
        </w:rPr>
        <w:t> </w:t>
      </w:r>
      <w:r>
        <w:rPr>
          <w:color w:val="231F20"/>
          <w:w w:val="105"/>
        </w:rPr>
        <w:t>utilización</w:t>
      </w:r>
      <w:r>
        <w:rPr>
          <w:color w:val="231F20"/>
          <w:spacing w:val="-4"/>
          <w:w w:val="105"/>
        </w:rPr>
        <w:t> </w:t>
      </w:r>
      <w:r>
        <w:rPr>
          <w:color w:val="231F20"/>
          <w:w w:val="105"/>
        </w:rPr>
        <w:t>intensiva</w:t>
      </w:r>
      <w:r>
        <w:rPr>
          <w:color w:val="231F20"/>
          <w:spacing w:val="-4"/>
          <w:w w:val="105"/>
        </w:rPr>
        <w:t> </w:t>
      </w:r>
      <w:r>
        <w:rPr>
          <w:color w:val="231F20"/>
          <w:w w:val="105"/>
        </w:rPr>
        <w:t>del</w:t>
      </w:r>
      <w:r>
        <w:rPr>
          <w:color w:val="231F20"/>
          <w:spacing w:val="-4"/>
          <w:w w:val="105"/>
        </w:rPr>
        <w:t> </w:t>
      </w:r>
      <w:r>
        <w:rPr>
          <w:color w:val="231F20"/>
          <w:w w:val="105"/>
        </w:rPr>
        <w:t>internet,</w:t>
      </w:r>
      <w:r>
        <w:rPr>
          <w:color w:val="231F20"/>
          <w:spacing w:val="-9"/>
          <w:w w:val="105"/>
        </w:rPr>
        <w:t> </w:t>
      </w:r>
      <w:r>
        <w:rPr>
          <w:color w:val="231F20"/>
          <w:w w:val="105"/>
        </w:rPr>
        <w:t>el</w:t>
      </w:r>
      <w:r>
        <w:rPr>
          <w:color w:val="231F20"/>
          <w:spacing w:val="-4"/>
          <w:w w:val="105"/>
        </w:rPr>
        <w:t> </w:t>
      </w:r>
      <w:r>
        <w:rPr>
          <w:color w:val="231F20"/>
          <w:w w:val="105"/>
        </w:rPr>
        <w:t>uso</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fi- nanzas</w:t>
      </w:r>
      <w:r>
        <w:rPr>
          <w:color w:val="231F20"/>
          <w:spacing w:val="-30"/>
          <w:w w:val="105"/>
        </w:rPr>
        <w:t> </w:t>
      </w:r>
      <w:r>
        <w:rPr>
          <w:color w:val="231F20"/>
          <w:w w:val="105"/>
        </w:rPr>
        <w:t>rurales</w:t>
      </w:r>
      <w:r>
        <w:rPr>
          <w:color w:val="231F20"/>
          <w:spacing w:val="-30"/>
          <w:w w:val="105"/>
        </w:rPr>
        <w:t> </w:t>
      </w:r>
      <w:r>
        <w:rPr>
          <w:color w:val="231F20"/>
          <w:w w:val="105"/>
        </w:rPr>
        <w:t>o</w:t>
      </w:r>
      <w:r>
        <w:rPr>
          <w:color w:val="231F20"/>
          <w:spacing w:val="-30"/>
          <w:w w:val="105"/>
        </w:rPr>
        <w:t> </w:t>
      </w:r>
      <w:r>
        <w:rPr>
          <w:color w:val="231F20"/>
          <w:w w:val="105"/>
        </w:rPr>
        <w:t>la</w:t>
      </w:r>
      <w:r>
        <w:rPr>
          <w:color w:val="231F20"/>
          <w:spacing w:val="-30"/>
          <w:w w:val="105"/>
        </w:rPr>
        <w:t> </w:t>
      </w:r>
      <w:r>
        <w:rPr>
          <w:color w:val="231F20"/>
          <w:w w:val="105"/>
        </w:rPr>
        <w:t>restructuración</w:t>
      </w:r>
      <w:r>
        <w:rPr>
          <w:color w:val="231F20"/>
          <w:spacing w:val="-30"/>
          <w:w w:val="105"/>
        </w:rPr>
        <w:t> </w:t>
      </w:r>
      <w:r>
        <w:rPr>
          <w:color w:val="231F20"/>
          <w:w w:val="105"/>
        </w:rPr>
        <w:t>familiar</w:t>
      </w:r>
      <w:r>
        <w:rPr>
          <w:color w:val="231F20"/>
          <w:spacing w:val="-30"/>
          <w:w w:val="105"/>
        </w:rPr>
        <w:t> </w:t>
      </w:r>
      <w:r>
        <w:rPr>
          <w:color w:val="231F20"/>
          <w:w w:val="105"/>
        </w:rPr>
        <w:t>son</w:t>
      </w:r>
      <w:r>
        <w:rPr>
          <w:color w:val="231F20"/>
          <w:spacing w:val="-30"/>
          <w:w w:val="105"/>
        </w:rPr>
        <w:t> </w:t>
      </w:r>
      <w:r>
        <w:rPr>
          <w:color w:val="231F20"/>
          <w:w w:val="105"/>
        </w:rPr>
        <w:t>sólo</w:t>
      </w:r>
      <w:r>
        <w:rPr>
          <w:color w:val="231F20"/>
          <w:spacing w:val="-30"/>
          <w:w w:val="105"/>
        </w:rPr>
        <w:t> </w:t>
      </w:r>
      <w:r>
        <w:rPr>
          <w:color w:val="231F20"/>
          <w:w w:val="105"/>
        </w:rPr>
        <w:t>algunos</w:t>
      </w:r>
      <w:r>
        <w:rPr>
          <w:color w:val="231F20"/>
          <w:spacing w:val="-30"/>
          <w:w w:val="105"/>
        </w:rPr>
        <w:t> </w:t>
      </w:r>
      <w:r>
        <w:rPr>
          <w:color w:val="231F20"/>
          <w:w w:val="105"/>
        </w:rPr>
        <w:t>rasgos</w:t>
      </w:r>
      <w:r>
        <w:rPr>
          <w:color w:val="231F20"/>
          <w:spacing w:val="-30"/>
          <w:w w:val="105"/>
        </w:rPr>
        <w:t> </w:t>
      </w:r>
      <w:r>
        <w:rPr>
          <w:color w:val="231F20"/>
          <w:w w:val="105"/>
        </w:rPr>
        <w:t>que</w:t>
      </w:r>
      <w:r>
        <w:rPr>
          <w:color w:val="231F20"/>
          <w:spacing w:val="-30"/>
          <w:w w:val="105"/>
        </w:rPr>
        <w:t> </w:t>
      </w:r>
      <w:r>
        <w:rPr>
          <w:color w:val="231F20"/>
          <w:w w:val="105"/>
        </w:rPr>
        <w:t>la migración</w:t>
      </w:r>
      <w:r>
        <w:rPr>
          <w:color w:val="231F20"/>
          <w:spacing w:val="-11"/>
          <w:w w:val="105"/>
        </w:rPr>
        <w:t> </w:t>
      </w:r>
      <w:r>
        <w:rPr>
          <w:color w:val="231F20"/>
          <w:w w:val="105"/>
        </w:rPr>
        <w:t>deja</w:t>
      </w:r>
      <w:r>
        <w:rPr>
          <w:color w:val="231F20"/>
          <w:spacing w:val="-11"/>
          <w:w w:val="105"/>
        </w:rPr>
        <w:t> </w:t>
      </w:r>
      <w:r>
        <w:rPr>
          <w:color w:val="231F20"/>
          <w:w w:val="105"/>
        </w:rPr>
        <w:t>detrás</w:t>
      </w:r>
      <w:r>
        <w:rPr>
          <w:color w:val="231F20"/>
          <w:spacing w:val="-11"/>
          <w:w w:val="105"/>
        </w:rPr>
        <w:t> </w:t>
      </w:r>
      <w:r>
        <w:rPr>
          <w:color w:val="231F20"/>
          <w:w w:val="105"/>
        </w:rPr>
        <w:t>de</w:t>
      </w:r>
      <w:r>
        <w:rPr>
          <w:color w:val="231F20"/>
          <w:spacing w:val="-11"/>
          <w:w w:val="105"/>
        </w:rPr>
        <w:t> </w:t>
      </w:r>
      <w:r>
        <w:rPr>
          <w:color w:val="231F20"/>
          <w:w w:val="105"/>
        </w:rPr>
        <w:t>sí</w:t>
      </w:r>
      <w:r>
        <w:rPr>
          <w:color w:val="231F20"/>
          <w:spacing w:val="-11"/>
          <w:w w:val="105"/>
        </w:rPr>
        <w:t> </w:t>
      </w:r>
      <w:r>
        <w:rPr>
          <w:color w:val="231F20"/>
          <w:w w:val="105"/>
        </w:rPr>
        <w:t>en</w:t>
      </w:r>
      <w:r>
        <w:rPr>
          <w:color w:val="231F20"/>
          <w:spacing w:val="-11"/>
          <w:w w:val="105"/>
        </w:rPr>
        <w:t> </w:t>
      </w:r>
      <w:r>
        <w:rPr>
          <w:color w:val="231F20"/>
          <w:w w:val="105"/>
        </w:rPr>
        <w:t>su</w:t>
      </w:r>
      <w:r>
        <w:rPr>
          <w:color w:val="231F20"/>
          <w:spacing w:val="-11"/>
          <w:w w:val="105"/>
        </w:rPr>
        <w:t> </w:t>
      </w:r>
      <w:r>
        <w:rPr>
          <w:color w:val="231F20"/>
          <w:w w:val="105"/>
        </w:rPr>
        <w:t>expresión</w:t>
      </w:r>
      <w:r>
        <w:rPr>
          <w:color w:val="231F20"/>
          <w:spacing w:val="-11"/>
          <w:w w:val="105"/>
        </w:rPr>
        <w:t> </w:t>
      </w:r>
      <w:r>
        <w:rPr>
          <w:color w:val="231F20"/>
          <w:w w:val="105"/>
        </w:rPr>
        <w:t>social,</w:t>
      </w:r>
      <w:r>
        <w:rPr>
          <w:color w:val="231F20"/>
          <w:spacing w:val="-16"/>
          <w:w w:val="105"/>
        </w:rPr>
        <w:t> </w:t>
      </w:r>
      <w:r>
        <w:rPr>
          <w:color w:val="231F20"/>
          <w:w w:val="105"/>
        </w:rPr>
        <w:t>configurando</w:t>
      </w:r>
      <w:r>
        <w:rPr>
          <w:color w:val="231F20"/>
          <w:spacing w:val="-11"/>
          <w:w w:val="105"/>
        </w:rPr>
        <w:t> </w:t>
      </w:r>
      <w:r>
        <w:rPr>
          <w:color w:val="231F20"/>
          <w:w w:val="105"/>
        </w:rPr>
        <w:t>así</w:t>
      </w:r>
      <w:r>
        <w:rPr>
          <w:color w:val="231F20"/>
          <w:spacing w:val="-11"/>
          <w:w w:val="105"/>
        </w:rPr>
        <w:t> </w:t>
      </w:r>
      <w:r>
        <w:rPr>
          <w:color w:val="231F20"/>
          <w:w w:val="105"/>
        </w:rPr>
        <w:t>una</w:t>
      </w:r>
    </w:p>
    <w:p>
      <w:pPr>
        <w:pStyle w:val="BodyText"/>
        <w:rPr>
          <w:sz w:val="13"/>
        </w:rPr>
      </w:pPr>
      <w:r>
        <w:rPr/>
        <w:pict>
          <v:line style="position:absolute;mso-position-horizontal-relative:page;mso-position-vertical-relative:paragraph;z-index:35800;mso-wrap-distance-left:0;mso-wrap-distance-right:0" from="91.866096pt,9.45163pt" to="205.252096pt,9.45163pt" stroked="true" strokeweight=".25pt" strokecolor="#231f20">
            <w10:wrap type="topAndBottom"/>
          </v:line>
        </w:pict>
      </w:r>
    </w:p>
    <w:p>
      <w:pPr>
        <w:spacing w:line="192" w:lineRule="exact" w:before="7"/>
        <w:ind w:left="1837" w:right="1721" w:firstLine="0"/>
        <w:jc w:val="both"/>
        <w:rPr>
          <w:rFonts w:ascii="Calibri" w:hAnsi="Calibri"/>
          <w:sz w:val="16"/>
        </w:rPr>
      </w:pPr>
      <w:r>
        <w:rPr>
          <w:rFonts w:ascii="Calibri" w:hAnsi="Calibri"/>
          <w:color w:val="414042"/>
          <w:w w:val="105"/>
          <w:position w:val="5"/>
          <w:sz w:val="9"/>
        </w:rPr>
        <w:t>3 </w:t>
      </w:r>
      <w:r>
        <w:rPr>
          <w:rFonts w:ascii="Calibri" w:hAnsi="Calibri"/>
          <w:color w:val="414042"/>
          <w:w w:val="105"/>
          <w:sz w:val="16"/>
        </w:rPr>
        <w:t>Comprende los municipio de Almoloya de Alquisiras, Coatepec Harinas, Ixtapan de la Sal,</w:t>
      </w:r>
      <w:r>
        <w:rPr>
          <w:rFonts w:ascii="Calibri" w:hAnsi="Calibri"/>
          <w:color w:val="414042"/>
          <w:spacing w:val="-19"/>
          <w:w w:val="105"/>
          <w:sz w:val="16"/>
        </w:rPr>
        <w:t> </w:t>
      </w:r>
      <w:r>
        <w:rPr>
          <w:rFonts w:ascii="Calibri" w:hAnsi="Calibri"/>
          <w:color w:val="414042"/>
          <w:w w:val="105"/>
          <w:sz w:val="16"/>
        </w:rPr>
        <w:t>Joquicingo, Malinalco,</w:t>
      </w:r>
      <w:r>
        <w:rPr>
          <w:rFonts w:ascii="Calibri" w:hAnsi="Calibri"/>
          <w:color w:val="414042"/>
          <w:spacing w:val="-23"/>
          <w:w w:val="105"/>
          <w:sz w:val="16"/>
        </w:rPr>
        <w:t> </w:t>
      </w:r>
      <w:r>
        <w:rPr>
          <w:rFonts w:ascii="Calibri" w:hAnsi="Calibri"/>
          <w:color w:val="414042"/>
          <w:w w:val="105"/>
          <w:sz w:val="16"/>
        </w:rPr>
        <w:t>Ocuilan,</w:t>
      </w:r>
      <w:r>
        <w:rPr>
          <w:rFonts w:ascii="Calibri" w:hAnsi="Calibri"/>
          <w:color w:val="414042"/>
          <w:spacing w:val="-23"/>
          <w:w w:val="105"/>
          <w:sz w:val="16"/>
        </w:rPr>
        <w:t> </w:t>
      </w:r>
      <w:r>
        <w:rPr>
          <w:rFonts w:ascii="Calibri" w:hAnsi="Calibri"/>
          <w:color w:val="414042"/>
          <w:w w:val="105"/>
          <w:sz w:val="16"/>
        </w:rPr>
        <w:t>San</w:t>
      </w:r>
      <w:r>
        <w:rPr>
          <w:rFonts w:ascii="Calibri" w:hAnsi="Calibri"/>
          <w:color w:val="414042"/>
          <w:spacing w:val="-23"/>
          <w:w w:val="105"/>
          <w:sz w:val="16"/>
        </w:rPr>
        <w:t> </w:t>
      </w:r>
      <w:r>
        <w:rPr>
          <w:rFonts w:ascii="Calibri" w:hAnsi="Calibri"/>
          <w:color w:val="414042"/>
          <w:w w:val="105"/>
          <w:sz w:val="16"/>
        </w:rPr>
        <w:t>Simón</w:t>
      </w:r>
      <w:r>
        <w:rPr>
          <w:rFonts w:ascii="Calibri" w:hAnsi="Calibri"/>
          <w:color w:val="414042"/>
          <w:spacing w:val="-23"/>
          <w:w w:val="105"/>
          <w:sz w:val="16"/>
        </w:rPr>
        <w:t> </w:t>
      </w:r>
      <w:r>
        <w:rPr>
          <w:rFonts w:ascii="Calibri" w:hAnsi="Calibri"/>
          <w:color w:val="414042"/>
          <w:w w:val="105"/>
          <w:sz w:val="16"/>
        </w:rPr>
        <w:t>de</w:t>
      </w:r>
      <w:r>
        <w:rPr>
          <w:rFonts w:ascii="Calibri" w:hAnsi="Calibri"/>
          <w:color w:val="414042"/>
          <w:spacing w:val="-23"/>
          <w:w w:val="105"/>
          <w:sz w:val="16"/>
        </w:rPr>
        <w:t> </w:t>
      </w:r>
      <w:r>
        <w:rPr>
          <w:rFonts w:ascii="Calibri" w:hAnsi="Calibri"/>
          <w:color w:val="414042"/>
          <w:w w:val="105"/>
          <w:sz w:val="16"/>
        </w:rPr>
        <w:t>Guerrero,</w:t>
      </w:r>
      <w:r>
        <w:rPr>
          <w:rFonts w:ascii="Calibri" w:hAnsi="Calibri"/>
          <w:color w:val="414042"/>
          <w:spacing w:val="-23"/>
          <w:w w:val="105"/>
          <w:sz w:val="16"/>
        </w:rPr>
        <w:t> </w:t>
      </w:r>
      <w:r>
        <w:rPr>
          <w:rFonts w:ascii="Calibri" w:hAnsi="Calibri"/>
          <w:color w:val="414042"/>
          <w:w w:val="105"/>
          <w:sz w:val="16"/>
        </w:rPr>
        <w:t>Sultepec,</w:t>
      </w:r>
      <w:r>
        <w:rPr>
          <w:rFonts w:ascii="Calibri" w:hAnsi="Calibri"/>
          <w:color w:val="414042"/>
          <w:spacing w:val="-24"/>
          <w:w w:val="105"/>
          <w:sz w:val="16"/>
        </w:rPr>
        <w:t> </w:t>
      </w:r>
      <w:r>
        <w:rPr>
          <w:rFonts w:ascii="Calibri" w:hAnsi="Calibri"/>
          <w:color w:val="414042"/>
          <w:w w:val="105"/>
          <w:sz w:val="16"/>
        </w:rPr>
        <w:t>Temascaltepec,</w:t>
      </w:r>
      <w:r>
        <w:rPr>
          <w:rFonts w:ascii="Calibri" w:hAnsi="Calibri"/>
          <w:color w:val="414042"/>
          <w:spacing w:val="-24"/>
          <w:w w:val="105"/>
          <w:sz w:val="16"/>
        </w:rPr>
        <w:t> </w:t>
      </w:r>
      <w:r>
        <w:rPr>
          <w:rFonts w:ascii="Calibri" w:hAnsi="Calibri"/>
          <w:color w:val="414042"/>
          <w:w w:val="105"/>
          <w:sz w:val="16"/>
        </w:rPr>
        <w:t>Tenancingo,</w:t>
      </w:r>
      <w:r>
        <w:rPr>
          <w:rFonts w:ascii="Calibri" w:hAnsi="Calibri"/>
          <w:color w:val="414042"/>
          <w:spacing w:val="-24"/>
          <w:w w:val="105"/>
          <w:sz w:val="16"/>
        </w:rPr>
        <w:t> </w:t>
      </w:r>
      <w:r>
        <w:rPr>
          <w:rFonts w:ascii="Calibri" w:hAnsi="Calibri"/>
          <w:color w:val="414042"/>
          <w:w w:val="105"/>
          <w:sz w:val="16"/>
        </w:rPr>
        <w:t>Texcaltitlán,</w:t>
      </w:r>
      <w:r>
        <w:rPr>
          <w:rFonts w:ascii="Calibri" w:hAnsi="Calibri"/>
          <w:color w:val="414042"/>
          <w:spacing w:val="-24"/>
          <w:w w:val="105"/>
          <w:sz w:val="16"/>
        </w:rPr>
        <w:t> </w:t>
      </w:r>
      <w:r>
        <w:rPr>
          <w:rFonts w:ascii="Calibri" w:hAnsi="Calibri"/>
          <w:color w:val="414042"/>
          <w:w w:val="105"/>
          <w:sz w:val="16"/>
        </w:rPr>
        <w:t>Tonatico, Villa</w:t>
      </w:r>
      <w:r>
        <w:rPr>
          <w:rFonts w:ascii="Calibri" w:hAnsi="Calibri"/>
          <w:color w:val="414042"/>
          <w:spacing w:val="-16"/>
          <w:w w:val="105"/>
          <w:sz w:val="16"/>
        </w:rPr>
        <w:t> </w:t>
      </w:r>
      <w:r>
        <w:rPr>
          <w:rFonts w:ascii="Calibri" w:hAnsi="Calibri"/>
          <w:color w:val="414042"/>
          <w:w w:val="105"/>
          <w:sz w:val="16"/>
        </w:rPr>
        <w:t>Guerrero,</w:t>
      </w:r>
      <w:r>
        <w:rPr>
          <w:rFonts w:ascii="Calibri" w:hAnsi="Calibri"/>
          <w:color w:val="414042"/>
          <w:spacing w:val="-16"/>
          <w:w w:val="105"/>
          <w:sz w:val="16"/>
        </w:rPr>
        <w:t> </w:t>
      </w:r>
      <w:r>
        <w:rPr>
          <w:rFonts w:ascii="Calibri" w:hAnsi="Calibri"/>
          <w:color w:val="414042"/>
          <w:w w:val="105"/>
          <w:sz w:val="16"/>
        </w:rPr>
        <w:t>Zacualpan</w:t>
      </w:r>
      <w:r>
        <w:rPr>
          <w:rFonts w:ascii="Calibri" w:hAnsi="Calibri"/>
          <w:color w:val="414042"/>
          <w:spacing w:val="-17"/>
          <w:w w:val="105"/>
          <w:sz w:val="16"/>
        </w:rPr>
        <w:t> </w:t>
      </w:r>
      <w:r>
        <w:rPr>
          <w:rFonts w:ascii="Calibri" w:hAnsi="Calibri"/>
          <w:color w:val="414042"/>
          <w:w w:val="105"/>
          <w:sz w:val="16"/>
        </w:rPr>
        <w:t>y</w:t>
      </w:r>
      <w:r>
        <w:rPr>
          <w:rFonts w:ascii="Calibri" w:hAnsi="Calibri"/>
          <w:color w:val="414042"/>
          <w:spacing w:val="-16"/>
          <w:w w:val="105"/>
          <w:sz w:val="16"/>
        </w:rPr>
        <w:t> </w:t>
      </w:r>
      <w:r>
        <w:rPr>
          <w:rFonts w:ascii="Calibri" w:hAnsi="Calibri"/>
          <w:color w:val="414042"/>
          <w:w w:val="105"/>
          <w:sz w:val="16"/>
        </w:rPr>
        <w:t>Zumpahuacán.</w:t>
      </w:r>
    </w:p>
    <w:p>
      <w:pPr>
        <w:spacing w:after="0" w:line="192" w:lineRule="exact"/>
        <w:jc w:val="both"/>
        <w:rPr>
          <w:rFonts w:ascii="Calibri" w:hAnsi="Calibri"/>
          <w:sz w:val="16"/>
        </w:rPr>
        <w:sectPr>
          <w:type w:val="continuous"/>
          <w:pgSz w:w="10480" w:h="14730"/>
          <w:pgMar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8"/>
        </w:rPr>
      </w:pPr>
    </w:p>
    <w:p>
      <w:pPr>
        <w:pStyle w:val="BodyText"/>
        <w:spacing w:line="261" w:lineRule="auto" w:before="60"/>
        <w:ind w:left="1723" w:right="1835"/>
        <w:jc w:val="both"/>
      </w:pPr>
      <w:r>
        <w:rPr/>
        <w:pict>
          <v:line style="position:absolute;mso-position-horizontal-relative:page;mso-position-vertical-relative:paragraph;z-index:35968" from="15pt,-66.560524pt" to="0pt,-66.560524pt" stroked="true" strokeweight=".25pt" strokecolor="#000000">
            <w10:wrap type="none"/>
          </v:line>
        </w:pict>
      </w:r>
      <w:r>
        <w:rPr/>
        <w:pict>
          <v:line style="position:absolute;mso-position-horizontal-relative:page;mso-position-vertical-relative:paragraph;z-index:35992" from="508.890015pt,-66.560524pt" to="523.890015pt,-66.560524pt" stroked="true" strokeweight=".25pt" strokecolor="#000000">
            <w10:wrap type="none"/>
          </v:line>
        </w:pict>
      </w:r>
      <w:r>
        <w:rPr>
          <w:color w:val="231F20"/>
          <w:w w:val="105"/>
        </w:rPr>
        <w:t>nueva</w:t>
      </w:r>
      <w:r>
        <w:rPr>
          <w:color w:val="231F20"/>
          <w:spacing w:val="-19"/>
          <w:w w:val="105"/>
        </w:rPr>
        <w:t> </w:t>
      </w:r>
      <w:r>
        <w:rPr>
          <w:color w:val="231F20"/>
          <w:w w:val="105"/>
        </w:rPr>
        <w:t>territorialidad</w:t>
      </w:r>
      <w:r>
        <w:rPr>
          <w:color w:val="231F20"/>
          <w:spacing w:val="-19"/>
          <w:w w:val="105"/>
        </w:rPr>
        <w:t> </w:t>
      </w:r>
      <w:r>
        <w:rPr>
          <w:color w:val="231F20"/>
          <w:w w:val="105"/>
        </w:rPr>
        <w:t>rural,</w:t>
      </w:r>
      <w:r>
        <w:rPr>
          <w:color w:val="231F20"/>
          <w:spacing w:val="-25"/>
          <w:w w:val="105"/>
        </w:rPr>
        <w:t> </w:t>
      </w:r>
      <w:r>
        <w:rPr>
          <w:color w:val="231F20"/>
          <w:w w:val="105"/>
        </w:rPr>
        <w:t>misma</w:t>
      </w:r>
      <w:r>
        <w:rPr>
          <w:color w:val="231F20"/>
          <w:spacing w:val="-19"/>
          <w:w w:val="105"/>
        </w:rPr>
        <w:t> </w:t>
      </w:r>
      <w:r>
        <w:rPr>
          <w:color w:val="231F20"/>
          <w:w w:val="105"/>
        </w:rPr>
        <w:t>que</w:t>
      </w:r>
      <w:r>
        <w:rPr>
          <w:color w:val="231F20"/>
          <w:spacing w:val="-19"/>
          <w:w w:val="105"/>
        </w:rPr>
        <w:t> </w:t>
      </w:r>
      <w:r>
        <w:rPr>
          <w:color w:val="231F20"/>
          <w:w w:val="105"/>
        </w:rPr>
        <w:t>no</w:t>
      </w:r>
      <w:r>
        <w:rPr>
          <w:color w:val="231F20"/>
          <w:spacing w:val="-19"/>
          <w:w w:val="105"/>
        </w:rPr>
        <w:t> </w:t>
      </w:r>
      <w:r>
        <w:rPr>
          <w:color w:val="231F20"/>
          <w:w w:val="105"/>
        </w:rPr>
        <w:t>podría</w:t>
      </w:r>
      <w:r>
        <w:rPr>
          <w:color w:val="231F20"/>
          <w:spacing w:val="-19"/>
          <w:w w:val="105"/>
        </w:rPr>
        <w:t> </w:t>
      </w:r>
      <w:r>
        <w:rPr>
          <w:color w:val="231F20"/>
          <w:w w:val="105"/>
        </w:rPr>
        <w:t>explicarse</w:t>
      </w:r>
      <w:r>
        <w:rPr>
          <w:color w:val="231F20"/>
          <w:spacing w:val="-19"/>
          <w:w w:val="105"/>
        </w:rPr>
        <w:t> </w:t>
      </w:r>
      <w:r>
        <w:rPr>
          <w:color w:val="231F20"/>
          <w:w w:val="105"/>
        </w:rPr>
        <w:t>sin</w:t>
      </w:r>
      <w:r>
        <w:rPr>
          <w:color w:val="231F20"/>
          <w:spacing w:val="-19"/>
          <w:w w:val="105"/>
        </w:rPr>
        <w:t> </w:t>
      </w:r>
      <w:r>
        <w:rPr>
          <w:color w:val="231F20"/>
          <w:w w:val="105"/>
        </w:rPr>
        <w:t>el</w:t>
      </w:r>
      <w:r>
        <w:rPr>
          <w:color w:val="231F20"/>
          <w:spacing w:val="-19"/>
          <w:w w:val="105"/>
        </w:rPr>
        <w:t> </w:t>
      </w:r>
      <w:r>
        <w:rPr>
          <w:color w:val="231F20"/>
          <w:w w:val="105"/>
        </w:rPr>
        <w:t>fenóme- no</w:t>
      </w:r>
      <w:r>
        <w:rPr>
          <w:color w:val="231F20"/>
          <w:spacing w:val="-19"/>
          <w:w w:val="105"/>
        </w:rPr>
        <w:t> </w:t>
      </w:r>
      <w:r>
        <w:rPr>
          <w:color w:val="231F20"/>
          <w:w w:val="105"/>
        </w:rPr>
        <w:t>migratorio</w:t>
      </w:r>
      <w:r>
        <w:rPr>
          <w:color w:val="231F20"/>
          <w:spacing w:val="-19"/>
          <w:w w:val="105"/>
        </w:rPr>
        <w:t> </w:t>
      </w:r>
      <w:r>
        <w:rPr>
          <w:color w:val="231F20"/>
          <w:w w:val="105"/>
        </w:rPr>
        <w:t>y</w:t>
      </w:r>
      <w:r>
        <w:rPr>
          <w:color w:val="231F20"/>
          <w:spacing w:val="-19"/>
          <w:w w:val="105"/>
        </w:rPr>
        <w:t> </w:t>
      </w:r>
      <w:r>
        <w:rPr>
          <w:color w:val="231F20"/>
          <w:w w:val="105"/>
        </w:rPr>
        <w:t>su</w:t>
      </w:r>
      <w:r>
        <w:rPr>
          <w:color w:val="231F20"/>
          <w:spacing w:val="-19"/>
          <w:w w:val="105"/>
        </w:rPr>
        <w:t> </w:t>
      </w:r>
      <w:r>
        <w:rPr>
          <w:color w:val="231F20"/>
          <w:w w:val="105"/>
        </w:rPr>
        <w:t>funcionalidad</w:t>
      </w:r>
      <w:r>
        <w:rPr>
          <w:color w:val="231F20"/>
          <w:spacing w:val="-19"/>
          <w:w w:val="105"/>
        </w:rPr>
        <w:t> </w:t>
      </w:r>
      <w:r>
        <w:rPr>
          <w:color w:val="231F20"/>
          <w:w w:val="105"/>
        </w:rPr>
        <w:t>a</w:t>
      </w:r>
      <w:r>
        <w:rPr>
          <w:color w:val="231F20"/>
          <w:spacing w:val="-19"/>
          <w:w w:val="105"/>
        </w:rPr>
        <w:t> </w:t>
      </w:r>
      <w:r>
        <w:rPr>
          <w:color w:val="231F20"/>
          <w:w w:val="105"/>
        </w:rPr>
        <w:t>través</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redes</w:t>
      </w:r>
      <w:r>
        <w:rPr>
          <w:color w:val="231F20"/>
          <w:spacing w:val="-19"/>
          <w:w w:val="105"/>
        </w:rPr>
        <w:t> </w:t>
      </w:r>
      <w:r>
        <w:rPr>
          <w:color w:val="231F20"/>
          <w:w w:val="105"/>
        </w:rPr>
        <w:t>sociales.</w:t>
      </w:r>
    </w:p>
    <w:p>
      <w:pPr>
        <w:pStyle w:val="BodyText"/>
        <w:spacing w:before="6"/>
        <w:rPr>
          <w:sz w:val="29"/>
        </w:rPr>
      </w:pPr>
    </w:p>
    <w:p>
      <w:pPr>
        <w:pStyle w:val="Heading3"/>
        <w:ind w:left="1723"/>
        <w:rPr>
          <w:rFonts w:ascii="Tahoma" w:hAnsi="Tahoma"/>
        </w:rPr>
      </w:pPr>
      <w:r>
        <w:rPr>
          <w:rFonts w:ascii="Tahoma" w:hAnsi="Tahoma"/>
          <w:color w:val="231F20"/>
          <w:w w:val="95"/>
        </w:rPr>
        <w:t>Perfil de la migración de los oriundos de Almoloya de Alquisiras</w:t>
      </w:r>
    </w:p>
    <w:p>
      <w:pPr>
        <w:pStyle w:val="BodyText"/>
        <w:rPr>
          <w:rFonts w:ascii="Tahoma"/>
          <w:b/>
          <w:sz w:val="22"/>
        </w:rPr>
      </w:pPr>
    </w:p>
    <w:p>
      <w:pPr>
        <w:spacing w:before="149"/>
        <w:ind w:left="1723" w:right="0" w:firstLine="0"/>
        <w:jc w:val="both"/>
        <w:rPr>
          <w:rFonts w:ascii="Arial"/>
          <w:i/>
          <w:sz w:val="21"/>
        </w:rPr>
      </w:pPr>
      <w:r>
        <w:rPr>
          <w:rFonts w:ascii="Arial"/>
          <w:i/>
          <w:color w:val="231F20"/>
          <w:sz w:val="21"/>
        </w:rPr>
        <w:t>Edades de los migrantes alquisirenses</w:t>
      </w:r>
    </w:p>
    <w:p>
      <w:pPr>
        <w:pStyle w:val="BodyText"/>
        <w:spacing w:before="5"/>
        <w:rPr>
          <w:rFonts w:ascii="Arial"/>
          <w:i/>
          <w:sz w:val="24"/>
        </w:rPr>
      </w:pPr>
    </w:p>
    <w:p>
      <w:pPr>
        <w:pStyle w:val="BodyText"/>
        <w:spacing w:line="261" w:lineRule="auto" w:before="1"/>
        <w:ind w:left="1723" w:right="1834" w:hanging="1"/>
        <w:jc w:val="both"/>
      </w:pPr>
      <w:r>
        <w:rPr>
          <w:color w:val="231F20"/>
          <w:w w:val="105"/>
        </w:rPr>
        <w:t>De</w:t>
      </w:r>
      <w:r>
        <w:rPr>
          <w:color w:val="231F20"/>
          <w:spacing w:val="-30"/>
          <w:w w:val="105"/>
        </w:rPr>
        <w:t> </w:t>
      </w:r>
      <w:r>
        <w:rPr>
          <w:color w:val="231F20"/>
          <w:w w:val="105"/>
        </w:rPr>
        <w:t>acuerdo</w:t>
      </w:r>
      <w:r>
        <w:rPr>
          <w:color w:val="231F20"/>
          <w:spacing w:val="-30"/>
          <w:w w:val="105"/>
        </w:rPr>
        <w:t> </w:t>
      </w:r>
      <w:r>
        <w:rPr>
          <w:color w:val="231F20"/>
          <w:w w:val="105"/>
        </w:rPr>
        <w:t>con</w:t>
      </w:r>
      <w:r>
        <w:rPr>
          <w:color w:val="231F20"/>
          <w:spacing w:val="-30"/>
          <w:w w:val="105"/>
        </w:rPr>
        <w:t> </w:t>
      </w:r>
      <w:r>
        <w:rPr>
          <w:color w:val="231F20"/>
          <w:w w:val="105"/>
        </w:rPr>
        <w:t>datos</w:t>
      </w:r>
      <w:r>
        <w:rPr>
          <w:color w:val="231F20"/>
          <w:spacing w:val="-30"/>
          <w:w w:val="105"/>
        </w:rPr>
        <w:t> </w:t>
      </w:r>
      <w:r>
        <w:rPr>
          <w:color w:val="231F20"/>
          <w:w w:val="105"/>
        </w:rPr>
        <w:t>del</w:t>
      </w:r>
      <w:r>
        <w:rPr>
          <w:color w:val="231F20"/>
          <w:spacing w:val="-30"/>
          <w:w w:val="105"/>
        </w:rPr>
        <w:t> </w:t>
      </w:r>
      <w:r>
        <w:rPr>
          <w:color w:val="231F20"/>
          <w:w w:val="105"/>
        </w:rPr>
        <w:t>Censo</w:t>
      </w:r>
      <w:r>
        <w:rPr>
          <w:color w:val="231F20"/>
          <w:spacing w:val="-30"/>
          <w:w w:val="105"/>
        </w:rPr>
        <w:t> </w:t>
      </w:r>
      <w:r>
        <w:rPr>
          <w:color w:val="231F20"/>
          <w:w w:val="105"/>
        </w:rPr>
        <w:t>de</w:t>
      </w:r>
      <w:r>
        <w:rPr>
          <w:color w:val="231F20"/>
          <w:spacing w:val="-30"/>
          <w:w w:val="105"/>
        </w:rPr>
        <w:t> </w:t>
      </w:r>
      <w:r>
        <w:rPr>
          <w:color w:val="231F20"/>
          <w:w w:val="105"/>
        </w:rPr>
        <w:t>Población</w:t>
      </w:r>
      <w:r>
        <w:rPr>
          <w:color w:val="231F20"/>
          <w:spacing w:val="-30"/>
          <w:w w:val="105"/>
        </w:rPr>
        <w:t> </w:t>
      </w:r>
      <w:r>
        <w:rPr>
          <w:color w:val="231F20"/>
          <w:w w:val="105"/>
        </w:rPr>
        <w:t>y</w:t>
      </w:r>
      <w:r>
        <w:rPr>
          <w:color w:val="231F20"/>
          <w:spacing w:val="-33"/>
          <w:w w:val="105"/>
        </w:rPr>
        <w:t> </w:t>
      </w:r>
      <w:r>
        <w:rPr>
          <w:color w:val="231F20"/>
          <w:w w:val="105"/>
        </w:rPr>
        <w:t>Vivienda</w:t>
      </w:r>
      <w:r>
        <w:rPr>
          <w:color w:val="231F20"/>
          <w:spacing w:val="-30"/>
          <w:w w:val="105"/>
        </w:rPr>
        <w:t> </w:t>
      </w:r>
      <w:r>
        <w:rPr>
          <w:color w:val="231F20"/>
          <w:w w:val="105"/>
        </w:rPr>
        <w:t>de</w:t>
      </w:r>
      <w:r>
        <w:rPr>
          <w:color w:val="231F20"/>
          <w:spacing w:val="-31"/>
          <w:w w:val="105"/>
        </w:rPr>
        <w:t> </w:t>
      </w:r>
      <w:r>
        <w:rPr>
          <w:color w:val="231F20"/>
          <w:w w:val="105"/>
          <w:sz w:val="17"/>
        </w:rPr>
        <w:t>INEGI</w:t>
      </w:r>
      <w:r>
        <w:rPr>
          <w:color w:val="231F20"/>
          <w:spacing w:val="-20"/>
          <w:w w:val="105"/>
          <w:sz w:val="17"/>
        </w:rPr>
        <w:t> </w:t>
      </w:r>
      <w:r>
        <w:rPr>
          <w:color w:val="231F20"/>
          <w:w w:val="105"/>
        </w:rPr>
        <w:t>(2010a) el municipio de Almoloya de Alquisiras cuenta con 14 856 mil habitan- tes,</w:t>
      </w:r>
      <w:r>
        <w:rPr>
          <w:color w:val="231F20"/>
          <w:spacing w:val="-13"/>
          <w:w w:val="105"/>
        </w:rPr>
        <w:t> </w:t>
      </w:r>
      <w:r>
        <w:rPr>
          <w:color w:val="231F20"/>
          <w:w w:val="105"/>
        </w:rPr>
        <w:t>el</w:t>
      </w:r>
      <w:r>
        <w:rPr>
          <w:color w:val="231F20"/>
          <w:spacing w:val="-7"/>
          <w:w w:val="105"/>
        </w:rPr>
        <w:t> </w:t>
      </w:r>
      <w:r>
        <w:rPr>
          <w:color w:val="231F20"/>
          <w:w w:val="105"/>
        </w:rPr>
        <w:t>promedio</w:t>
      </w:r>
      <w:r>
        <w:rPr>
          <w:color w:val="231F20"/>
          <w:spacing w:val="-7"/>
          <w:w w:val="105"/>
        </w:rPr>
        <w:t> </w:t>
      </w:r>
      <w:r>
        <w:rPr>
          <w:color w:val="231F20"/>
          <w:w w:val="105"/>
        </w:rPr>
        <w:t>de</w:t>
      </w:r>
      <w:r>
        <w:rPr>
          <w:color w:val="231F20"/>
          <w:spacing w:val="-7"/>
          <w:w w:val="105"/>
        </w:rPr>
        <w:t> </w:t>
      </w:r>
      <w:r>
        <w:rPr>
          <w:color w:val="231F20"/>
          <w:w w:val="105"/>
        </w:rPr>
        <w:t>edad</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municipio</w:t>
      </w:r>
      <w:r>
        <w:rPr>
          <w:color w:val="231F20"/>
          <w:spacing w:val="-7"/>
          <w:w w:val="105"/>
        </w:rPr>
        <w:t> </w:t>
      </w:r>
      <w:r>
        <w:rPr>
          <w:color w:val="231F20"/>
          <w:w w:val="105"/>
        </w:rPr>
        <w:t>es</w:t>
      </w:r>
      <w:r>
        <w:rPr>
          <w:color w:val="231F20"/>
          <w:spacing w:val="-7"/>
          <w:w w:val="105"/>
        </w:rPr>
        <w:t> </w:t>
      </w:r>
      <w:r>
        <w:rPr>
          <w:color w:val="231F20"/>
          <w:w w:val="105"/>
        </w:rPr>
        <w:t>de</w:t>
      </w:r>
      <w:r>
        <w:rPr>
          <w:color w:val="231F20"/>
          <w:spacing w:val="-7"/>
          <w:w w:val="105"/>
        </w:rPr>
        <w:t> </w:t>
      </w:r>
      <w:r>
        <w:rPr>
          <w:color w:val="231F20"/>
          <w:w w:val="105"/>
        </w:rPr>
        <w:t>22</w:t>
      </w:r>
      <w:r>
        <w:rPr>
          <w:color w:val="231F20"/>
          <w:spacing w:val="-7"/>
          <w:w w:val="105"/>
        </w:rPr>
        <w:t> </w:t>
      </w:r>
      <w:r>
        <w:rPr>
          <w:color w:val="231F20"/>
          <w:w w:val="105"/>
        </w:rPr>
        <w:t>años,</w:t>
      </w:r>
      <w:r>
        <w:rPr>
          <w:color w:val="231F20"/>
          <w:spacing w:val="-13"/>
          <w:w w:val="105"/>
        </w:rPr>
        <w:t> </w:t>
      </w:r>
      <w:r>
        <w:rPr>
          <w:color w:val="231F20"/>
          <w:w w:val="105"/>
        </w:rPr>
        <w:t>esto</w:t>
      </w:r>
      <w:r>
        <w:rPr>
          <w:color w:val="231F20"/>
          <w:spacing w:val="-7"/>
          <w:w w:val="105"/>
        </w:rPr>
        <w:t> </w:t>
      </w:r>
      <w:r>
        <w:rPr>
          <w:color w:val="231F20"/>
          <w:w w:val="105"/>
        </w:rPr>
        <w:t>revela</w:t>
      </w:r>
      <w:r>
        <w:rPr>
          <w:color w:val="231F20"/>
          <w:spacing w:val="-7"/>
          <w:w w:val="105"/>
        </w:rPr>
        <w:t> </w:t>
      </w:r>
      <w:r>
        <w:rPr>
          <w:color w:val="231F20"/>
          <w:w w:val="105"/>
        </w:rPr>
        <w:t>que su población es joven, porque la mitad de su población tiene 20 años o menos.</w:t>
      </w:r>
      <w:r>
        <w:rPr>
          <w:color w:val="231F20"/>
          <w:spacing w:val="-20"/>
          <w:w w:val="105"/>
        </w:rPr>
        <w:t> </w:t>
      </w:r>
      <w:r>
        <w:rPr>
          <w:color w:val="231F20"/>
          <w:w w:val="105"/>
        </w:rPr>
        <w:t>Mientras</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edad</w:t>
      </w:r>
      <w:r>
        <w:rPr>
          <w:color w:val="231F20"/>
          <w:spacing w:val="-14"/>
          <w:w w:val="105"/>
        </w:rPr>
        <w:t> </w:t>
      </w:r>
      <w:r>
        <w:rPr>
          <w:color w:val="231F20"/>
          <w:w w:val="105"/>
        </w:rPr>
        <w:t>promedio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a</w:t>
      </w:r>
      <w:r>
        <w:rPr>
          <w:color w:val="231F20"/>
          <w:spacing w:val="-14"/>
          <w:w w:val="105"/>
        </w:rPr>
        <w:t> </w:t>
      </w:r>
      <w:r>
        <w:rPr>
          <w:color w:val="231F20"/>
          <w:w w:val="105"/>
        </w:rPr>
        <w:t>nivel</w:t>
      </w:r>
      <w:r>
        <w:rPr>
          <w:color w:val="231F20"/>
          <w:spacing w:val="-14"/>
          <w:w w:val="105"/>
        </w:rPr>
        <w:t> </w:t>
      </w:r>
      <w:r>
        <w:rPr>
          <w:color w:val="231F20"/>
          <w:w w:val="105"/>
        </w:rPr>
        <w:t>nacional para el año 2011 según la Jornada (2011) era de 25 años, y en lo que respecta</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edad</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migrantes</w:t>
      </w:r>
      <w:r>
        <w:rPr>
          <w:color w:val="231F20"/>
          <w:spacing w:val="-28"/>
          <w:w w:val="105"/>
        </w:rPr>
        <w:t> </w:t>
      </w:r>
      <w:r>
        <w:rPr>
          <w:color w:val="231F20"/>
          <w:w w:val="105"/>
        </w:rPr>
        <w:t>mexiquense</w:t>
      </w:r>
      <w:r>
        <w:rPr>
          <w:color w:val="231F20"/>
          <w:spacing w:val="-28"/>
          <w:w w:val="105"/>
        </w:rPr>
        <w:t> </w:t>
      </w:r>
      <w:r>
        <w:rPr>
          <w:color w:val="231F20"/>
          <w:w w:val="105"/>
        </w:rPr>
        <w:t>según</w:t>
      </w:r>
      <w:r>
        <w:rPr>
          <w:color w:val="231F20"/>
          <w:spacing w:val="-28"/>
          <w:w w:val="105"/>
        </w:rPr>
        <w:t> </w:t>
      </w:r>
      <w:r>
        <w:rPr>
          <w:color w:val="231F20"/>
          <w:w w:val="105"/>
        </w:rPr>
        <w:t>Román</w:t>
      </w:r>
      <w:r>
        <w:rPr>
          <w:color w:val="231F20"/>
          <w:spacing w:val="-28"/>
          <w:w w:val="105"/>
        </w:rPr>
        <w:t> </w:t>
      </w:r>
      <w:r>
        <w:rPr>
          <w:color w:val="231F20"/>
          <w:w w:val="105"/>
        </w:rPr>
        <w:t>(2012),</w:t>
      </w:r>
      <w:r>
        <w:rPr>
          <w:color w:val="231F20"/>
          <w:spacing w:val="-32"/>
          <w:w w:val="105"/>
        </w:rPr>
        <w:t> </w:t>
      </w:r>
      <w:r>
        <w:rPr>
          <w:color w:val="231F20"/>
          <w:w w:val="105"/>
        </w:rPr>
        <w:t>en el</w:t>
      </w:r>
      <w:r>
        <w:rPr>
          <w:color w:val="231F20"/>
          <w:spacing w:val="-13"/>
          <w:w w:val="105"/>
        </w:rPr>
        <w:t> </w:t>
      </w:r>
      <w:r>
        <w:rPr>
          <w:color w:val="231F20"/>
          <w:w w:val="105"/>
        </w:rPr>
        <w:t>año</w:t>
      </w:r>
      <w:r>
        <w:rPr>
          <w:color w:val="231F20"/>
          <w:spacing w:val="-13"/>
          <w:w w:val="105"/>
        </w:rPr>
        <w:t> </w:t>
      </w:r>
      <w:r>
        <w:rPr>
          <w:color w:val="231F20"/>
          <w:w w:val="105"/>
        </w:rPr>
        <w:t>2010</w:t>
      </w:r>
      <w:r>
        <w:rPr>
          <w:color w:val="231F20"/>
          <w:spacing w:val="-13"/>
          <w:w w:val="105"/>
        </w:rPr>
        <w:t> </w:t>
      </w:r>
      <w:r>
        <w:rPr>
          <w:color w:val="231F20"/>
          <w:w w:val="105"/>
        </w:rPr>
        <w:t>fue</w:t>
      </w:r>
      <w:r>
        <w:rPr>
          <w:color w:val="231F20"/>
          <w:spacing w:val="-13"/>
          <w:w w:val="105"/>
        </w:rPr>
        <w:t> </w:t>
      </w:r>
      <w:r>
        <w:rPr>
          <w:color w:val="231F20"/>
          <w:w w:val="105"/>
        </w:rPr>
        <w:t>de</w:t>
      </w:r>
      <w:r>
        <w:rPr>
          <w:color w:val="231F20"/>
          <w:spacing w:val="-13"/>
          <w:w w:val="105"/>
        </w:rPr>
        <w:t> </w:t>
      </w:r>
      <w:r>
        <w:rPr>
          <w:color w:val="231F20"/>
          <w:w w:val="105"/>
        </w:rPr>
        <w:t>25</w:t>
      </w:r>
      <w:r>
        <w:rPr>
          <w:color w:val="231F20"/>
          <w:spacing w:val="-13"/>
          <w:w w:val="105"/>
        </w:rPr>
        <w:t> </w:t>
      </w:r>
      <w:r>
        <w:rPr>
          <w:color w:val="231F20"/>
          <w:w w:val="105"/>
        </w:rPr>
        <w:t>a</w:t>
      </w:r>
      <w:r>
        <w:rPr>
          <w:color w:val="231F20"/>
          <w:spacing w:val="-13"/>
          <w:w w:val="105"/>
        </w:rPr>
        <w:t> </w:t>
      </w:r>
      <w:r>
        <w:rPr>
          <w:color w:val="231F20"/>
          <w:w w:val="105"/>
        </w:rPr>
        <w:t>29</w:t>
      </w:r>
      <w:r>
        <w:rPr>
          <w:color w:val="231F20"/>
          <w:spacing w:val="-13"/>
          <w:w w:val="105"/>
        </w:rPr>
        <w:t> </w:t>
      </w:r>
      <w:r>
        <w:rPr>
          <w:color w:val="231F20"/>
          <w:w w:val="105"/>
        </w:rPr>
        <w:t>años.</w:t>
      </w:r>
    </w:p>
    <w:p>
      <w:pPr>
        <w:pStyle w:val="BodyText"/>
        <w:spacing w:line="261" w:lineRule="auto" w:before="1"/>
        <w:ind w:left="1723" w:right="1834" w:firstLine="567"/>
        <w:jc w:val="both"/>
      </w:pPr>
      <w:r>
        <w:rPr>
          <w:color w:val="231F20"/>
        </w:rPr>
        <w:t>Sin embargo, para los migrantes alquisirenses, según González (2002) se puede observar un incremento en las edades de las personas que se van; porque en el periodo 1995-2000 el flujo se componía en        su mayoría por personas que al momento de partir tenían entre 15 y 29 años, para el 2009 se nota una disminución en su participación y un lige- ro aumento de personas adultas (entre 30 y 59 años) dentro del total del flujo; así mismo, se percibe que la migración sigue siendo predominan- temente masculina (3 de cada 4 migrantes son  </w:t>
      </w:r>
      <w:r>
        <w:rPr>
          <w:color w:val="231F20"/>
          <w:spacing w:val="5"/>
        </w:rPr>
        <w:t> </w:t>
      </w:r>
      <w:r>
        <w:rPr>
          <w:color w:val="231F20"/>
        </w:rPr>
        <w:t>hombres).</w:t>
      </w:r>
    </w:p>
    <w:p>
      <w:pPr>
        <w:pStyle w:val="BodyText"/>
        <w:spacing w:line="261" w:lineRule="auto" w:before="1"/>
        <w:ind w:left="1723" w:right="1834" w:firstLine="567"/>
        <w:jc w:val="both"/>
      </w:pPr>
      <w:r>
        <w:rPr>
          <w:color w:val="231F20"/>
          <w:w w:val="105"/>
        </w:rPr>
        <w:t>Respecto a la población entrevistada en este estudio predomina el</w:t>
      </w:r>
      <w:r>
        <w:rPr>
          <w:color w:val="231F20"/>
          <w:spacing w:val="-3"/>
          <w:w w:val="105"/>
        </w:rPr>
        <w:t> </w:t>
      </w:r>
      <w:r>
        <w:rPr>
          <w:color w:val="231F20"/>
          <w:w w:val="105"/>
        </w:rPr>
        <w:t>grupo</w:t>
      </w:r>
      <w:r>
        <w:rPr>
          <w:color w:val="231F20"/>
          <w:spacing w:val="-3"/>
          <w:w w:val="105"/>
        </w:rPr>
        <w:t> </w:t>
      </w:r>
      <w:r>
        <w:rPr>
          <w:color w:val="231F20"/>
          <w:w w:val="105"/>
        </w:rPr>
        <w:t>de</w:t>
      </w:r>
      <w:r>
        <w:rPr>
          <w:color w:val="231F20"/>
          <w:spacing w:val="-3"/>
          <w:w w:val="105"/>
        </w:rPr>
        <w:t> </w:t>
      </w:r>
      <w:r>
        <w:rPr>
          <w:color w:val="231F20"/>
          <w:w w:val="105"/>
        </w:rPr>
        <w:t>edad</w:t>
      </w:r>
      <w:r>
        <w:rPr>
          <w:color w:val="231F20"/>
          <w:spacing w:val="-3"/>
          <w:w w:val="105"/>
        </w:rPr>
        <w:t> </w:t>
      </w:r>
      <w:r>
        <w:rPr>
          <w:color w:val="231F20"/>
          <w:w w:val="105"/>
        </w:rPr>
        <w:t>que</w:t>
      </w:r>
      <w:r>
        <w:rPr>
          <w:color w:val="231F20"/>
          <w:spacing w:val="-3"/>
          <w:w w:val="105"/>
        </w:rPr>
        <w:t> </w:t>
      </w:r>
      <w:r>
        <w:rPr>
          <w:color w:val="231F20"/>
          <w:w w:val="105"/>
        </w:rPr>
        <w:t>va</w:t>
      </w:r>
      <w:r>
        <w:rPr>
          <w:color w:val="231F20"/>
          <w:spacing w:val="-3"/>
          <w:w w:val="105"/>
        </w:rPr>
        <w:t> </w:t>
      </w:r>
      <w:r>
        <w:rPr>
          <w:color w:val="231F20"/>
          <w:w w:val="105"/>
        </w:rPr>
        <w:t>de</w:t>
      </w:r>
      <w:r>
        <w:rPr>
          <w:color w:val="231F20"/>
          <w:spacing w:val="-3"/>
          <w:w w:val="105"/>
        </w:rPr>
        <w:t> </w:t>
      </w:r>
      <w:r>
        <w:rPr>
          <w:color w:val="231F20"/>
          <w:w w:val="105"/>
        </w:rPr>
        <w:t>los</w:t>
      </w:r>
      <w:r>
        <w:rPr>
          <w:color w:val="231F20"/>
          <w:spacing w:val="-3"/>
          <w:w w:val="105"/>
        </w:rPr>
        <w:t> </w:t>
      </w:r>
      <w:r>
        <w:rPr>
          <w:color w:val="231F20"/>
          <w:w w:val="105"/>
        </w:rPr>
        <w:t>29</w:t>
      </w:r>
      <w:r>
        <w:rPr>
          <w:color w:val="231F20"/>
          <w:spacing w:val="-3"/>
          <w:w w:val="105"/>
        </w:rPr>
        <w:t> </w:t>
      </w:r>
      <w:r>
        <w:rPr>
          <w:color w:val="231F20"/>
          <w:w w:val="105"/>
        </w:rPr>
        <w:t>a</w:t>
      </w:r>
      <w:r>
        <w:rPr>
          <w:color w:val="231F20"/>
          <w:spacing w:val="-3"/>
          <w:w w:val="105"/>
        </w:rPr>
        <w:t> </w:t>
      </w:r>
      <w:r>
        <w:rPr>
          <w:color w:val="231F20"/>
          <w:w w:val="105"/>
        </w:rPr>
        <w:t>los</w:t>
      </w:r>
      <w:r>
        <w:rPr>
          <w:color w:val="231F20"/>
          <w:spacing w:val="-3"/>
          <w:w w:val="105"/>
        </w:rPr>
        <w:t> </w:t>
      </w:r>
      <w:r>
        <w:rPr>
          <w:color w:val="231F20"/>
          <w:w w:val="105"/>
        </w:rPr>
        <w:t>40</w:t>
      </w:r>
      <w:r>
        <w:rPr>
          <w:color w:val="231F20"/>
          <w:spacing w:val="-3"/>
          <w:w w:val="105"/>
        </w:rPr>
        <w:t> </w:t>
      </w:r>
      <w:r>
        <w:rPr>
          <w:color w:val="231F20"/>
          <w:w w:val="105"/>
        </w:rPr>
        <w:t>años,</w:t>
      </w:r>
      <w:r>
        <w:rPr>
          <w:color w:val="231F20"/>
          <w:spacing w:val="-8"/>
          <w:w w:val="105"/>
        </w:rPr>
        <w:t> </w:t>
      </w:r>
      <w:r>
        <w:rPr>
          <w:color w:val="231F20"/>
          <w:w w:val="105"/>
        </w:rPr>
        <w:t>es</w:t>
      </w:r>
      <w:r>
        <w:rPr>
          <w:color w:val="231F20"/>
          <w:spacing w:val="-3"/>
          <w:w w:val="105"/>
        </w:rPr>
        <w:t> </w:t>
      </w:r>
      <w:r>
        <w:rPr>
          <w:color w:val="231F20"/>
          <w:w w:val="105"/>
        </w:rPr>
        <w:t>clara</w:t>
      </w:r>
      <w:r>
        <w:rPr>
          <w:color w:val="231F20"/>
          <w:spacing w:val="-3"/>
          <w:w w:val="105"/>
        </w:rPr>
        <w:t> </w:t>
      </w:r>
      <w:r>
        <w:rPr>
          <w:color w:val="231F20"/>
          <w:w w:val="105"/>
        </w:rPr>
        <w:t>la</w:t>
      </w:r>
      <w:r>
        <w:rPr>
          <w:color w:val="231F20"/>
          <w:spacing w:val="-3"/>
          <w:w w:val="105"/>
        </w:rPr>
        <w:t> </w:t>
      </w:r>
      <w:r>
        <w:rPr>
          <w:color w:val="231F20"/>
          <w:w w:val="105"/>
        </w:rPr>
        <w:t>propensión de personas con un promedio mayor de años que el promedio del mu- nicipio,</w:t>
      </w:r>
      <w:r>
        <w:rPr>
          <w:color w:val="231F20"/>
          <w:spacing w:val="-18"/>
          <w:w w:val="105"/>
        </w:rPr>
        <w:t> </w:t>
      </w:r>
      <w:r>
        <w:rPr>
          <w:color w:val="231F20"/>
          <w:w w:val="105"/>
        </w:rPr>
        <w:t>sin</w:t>
      </w:r>
      <w:r>
        <w:rPr>
          <w:color w:val="231F20"/>
          <w:spacing w:val="-11"/>
          <w:w w:val="105"/>
        </w:rPr>
        <w:t> </w:t>
      </w:r>
      <w:r>
        <w:rPr>
          <w:color w:val="231F20"/>
          <w:w w:val="105"/>
        </w:rPr>
        <w:t>embargo</w:t>
      </w:r>
      <w:r>
        <w:rPr>
          <w:color w:val="231F20"/>
          <w:spacing w:val="-11"/>
          <w:w w:val="105"/>
        </w:rPr>
        <w:t> </w:t>
      </w:r>
      <w:r>
        <w:rPr>
          <w:color w:val="231F20"/>
          <w:w w:val="105"/>
        </w:rPr>
        <w:t>esto</w:t>
      </w:r>
      <w:r>
        <w:rPr>
          <w:color w:val="231F20"/>
          <w:spacing w:val="-11"/>
          <w:w w:val="105"/>
        </w:rPr>
        <w:t> </w:t>
      </w:r>
      <w:r>
        <w:rPr>
          <w:color w:val="231F20"/>
          <w:w w:val="105"/>
        </w:rPr>
        <w:t>no</w:t>
      </w:r>
      <w:r>
        <w:rPr>
          <w:color w:val="231F20"/>
          <w:spacing w:val="-11"/>
          <w:w w:val="105"/>
        </w:rPr>
        <w:t> </w:t>
      </w:r>
      <w:r>
        <w:rPr>
          <w:color w:val="231F20"/>
          <w:w w:val="105"/>
        </w:rPr>
        <w:t>quiere</w:t>
      </w:r>
      <w:r>
        <w:rPr>
          <w:color w:val="231F20"/>
          <w:spacing w:val="-11"/>
          <w:w w:val="105"/>
        </w:rPr>
        <w:t> </w:t>
      </w:r>
      <w:r>
        <w:rPr>
          <w:color w:val="231F20"/>
          <w:w w:val="105"/>
        </w:rPr>
        <w:t>decir</w:t>
      </w:r>
      <w:r>
        <w:rPr>
          <w:color w:val="231F20"/>
          <w:spacing w:val="-11"/>
          <w:w w:val="105"/>
        </w:rPr>
        <w:t> </w:t>
      </w:r>
      <w:r>
        <w:rPr>
          <w:color w:val="231F20"/>
          <w:w w:val="105"/>
        </w:rPr>
        <w:t>que</w:t>
      </w:r>
      <w:r>
        <w:rPr>
          <w:color w:val="231F20"/>
          <w:spacing w:val="-11"/>
          <w:w w:val="105"/>
        </w:rPr>
        <w:t> </w:t>
      </w:r>
      <w:r>
        <w:rPr>
          <w:color w:val="231F20"/>
          <w:w w:val="105"/>
        </w:rPr>
        <w:t>sólo</w:t>
      </w:r>
      <w:r>
        <w:rPr>
          <w:color w:val="231F20"/>
          <w:spacing w:val="-11"/>
          <w:w w:val="105"/>
        </w:rPr>
        <w:t> </w:t>
      </w:r>
      <w:r>
        <w:rPr>
          <w:color w:val="231F20"/>
          <w:w w:val="105"/>
        </w:rPr>
        <w:t>se</w:t>
      </w:r>
      <w:r>
        <w:rPr>
          <w:color w:val="231F20"/>
          <w:spacing w:val="-11"/>
          <w:w w:val="105"/>
        </w:rPr>
        <w:t> </w:t>
      </w:r>
      <w:r>
        <w:rPr>
          <w:color w:val="231F20"/>
          <w:w w:val="105"/>
        </w:rPr>
        <w:t>estén</w:t>
      </w:r>
      <w:r>
        <w:rPr>
          <w:color w:val="231F20"/>
          <w:spacing w:val="-11"/>
          <w:w w:val="105"/>
        </w:rPr>
        <w:t> </w:t>
      </w:r>
      <w:r>
        <w:rPr>
          <w:color w:val="231F20"/>
          <w:w w:val="105"/>
        </w:rPr>
        <w:t>desplazando personas con esta edad, porque es posible que la gente más joven se encuentre</w:t>
      </w:r>
      <w:r>
        <w:rPr>
          <w:color w:val="231F20"/>
          <w:spacing w:val="-23"/>
          <w:w w:val="105"/>
        </w:rPr>
        <w:t> </w:t>
      </w:r>
      <w:r>
        <w:rPr>
          <w:color w:val="231F20"/>
          <w:w w:val="105"/>
        </w:rPr>
        <w:t>en</w:t>
      </w:r>
      <w:r>
        <w:rPr>
          <w:color w:val="231F20"/>
          <w:spacing w:val="-23"/>
          <w:w w:val="105"/>
        </w:rPr>
        <w:t> </w:t>
      </w:r>
      <w:r>
        <w:rPr>
          <w:color w:val="231F20"/>
          <w:w w:val="105"/>
        </w:rPr>
        <w:t>Estados</w:t>
      </w:r>
      <w:r>
        <w:rPr>
          <w:color w:val="231F20"/>
          <w:spacing w:val="-23"/>
          <w:w w:val="105"/>
        </w:rPr>
        <w:t> </w:t>
      </w:r>
      <w:r>
        <w:rPr>
          <w:color w:val="231F20"/>
          <w:w w:val="105"/>
        </w:rPr>
        <w:t>Unidos</w:t>
      </w:r>
      <w:r>
        <w:rPr>
          <w:color w:val="231F20"/>
          <w:spacing w:val="-23"/>
          <w:w w:val="105"/>
        </w:rPr>
        <w:t> </w:t>
      </w:r>
      <w:r>
        <w:rPr>
          <w:color w:val="231F20"/>
          <w:w w:val="105"/>
        </w:rPr>
        <w:t>prolongando</w:t>
      </w:r>
      <w:r>
        <w:rPr>
          <w:color w:val="231F20"/>
          <w:spacing w:val="-23"/>
          <w:w w:val="105"/>
        </w:rPr>
        <w:t> </w:t>
      </w:r>
      <w:r>
        <w:rPr>
          <w:color w:val="231F20"/>
          <w:w w:val="105"/>
        </w:rPr>
        <w:t>su</w:t>
      </w:r>
      <w:r>
        <w:rPr>
          <w:color w:val="231F20"/>
          <w:spacing w:val="-23"/>
          <w:w w:val="105"/>
        </w:rPr>
        <w:t> </w:t>
      </w:r>
      <w:r>
        <w:rPr>
          <w:color w:val="231F20"/>
          <w:w w:val="105"/>
        </w:rPr>
        <w:t>estancia.</w:t>
      </w:r>
    </w:p>
    <w:p>
      <w:pPr>
        <w:pStyle w:val="BodyText"/>
        <w:spacing w:before="8"/>
        <w:rPr>
          <w:sz w:val="22"/>
        </w:rPr>
      </w:pPr>
    </w:p>
    <w:p>
      <w:pPr>
        <w:spacing w:before="0"/>
        <w:ind w:left="1723" w:right="0" w:firstLine="0"/>
        <w:jc w:val="both"/>
        <w:rPr>
          <w:rFonts w:ascii="Arial" w:hAnsi="Arial"/>
          <w:i/>
          <w:sz w:val="21"/>
        </w:rPr>
      </w:pPr>
      <w:r>
        <w:rPr>
          <w:rFonts w:ascii="Arial" w:hAnsi="Arial"/>
          <w:i/>
          <w:color w:val="231F20"/>
          <w:sz w:val="21"/>
        </w:rPr>
        <w:t>Actividades económicas en México y Estados Unidos</w:t>
      </w:r>
    </w:p>
    <w:p>
      <w:pPr>
        <w:pStyle w:val="BodyText"/>
        <w:spacing w:before="5"/>
        <w:rPr>
          <w:rFonts w:ascii="Arial"/>
          <w:i/>
          <w:sz w:val="24"/>
        </w:rPr>
      </w:pPr>
    </w:p>
    <w:p>
      <w:pPr>
        <w:pStyle w:val="BodyText"/>
        <w:spacing w:line="261" w:lineRule="auto" w:before="1"/>
        <w:ind w:left="1723" w:right="1828"/>
        <w:jc w:val="both"/>
      </w:pPr>
      <w:r>
        <w:rPr>
          <w:color w:val="231F20"/>
          <w:w w:val="105"/>
        </w:rPr>
        <w:t>No es raro decir que los mexicanos constituyen la principal fuente de mano</w:t>
      </w:r>
      <w:r>
        <w:rPr>
          <w:color w:val="231F20"/>
          <w:spacing w:val="-17"/>
          <w:w w:val="105"/>
        </w:rPr>
        <w:t> </w:t>
      </w:r>
      <w:r>
        <w:rPr>
          <w:color w:val="231F20"/>
          <w:w w:val="105"/>
        </w:rPr>
        <w:t>de</w:t>
      </w:r>
      <w:r>
        <w:rPr>
          <w:color w:val="231F20"/>
          <w:spacing w:val="-17"/>
          <w:w w:val="105"/>
        </w:rPr>
        <w:t> </w:t>
      </w:r>
      <w:r>
        <w:rPr>
          <w:color w:val="231F20"/>
          <w:w w:val="105"/>
        </w:rPr>
        <w:t>obra</w:t>
      </w:r>
      <w:r>
        <w:rPr>
          <w:color w:val="231F20"/>
          <w:spacing w:val="-17"/>
          <w:w w:val="105"/>
        </w:rPr>
        <w:t> </w:t>
      </w:r>
      <w:r>
        <w:rPr>
          <w:color w:val="231F20"/>
          <w:w w:val="105"/>
        </w:rPr>
        <w:t>migrante,</w:t>
      </w:r>
      <w:r>
        <w:rPr>
          <w:color w:val="231F20"/>
          <w:spacing w:val="-24"/>
          <w:w w:val="105"/>
        </w:rPr>
        <w:t> </w:t>
      </w:r>
      <w:r>
        <w:rPr>
          <w:color w:val="231F20"/>
          <w:w w:val="105"/>
        </w:rPr>
        <w:t>ya</w:t>
      </w:r>
      <w:r>
        <w:rPr>
          <w:color w:val="231F20"/>
          <w:spacing w:val="-17"/>
          <w:w w:val="105"/>
        </w:rPr>
        <w:t> </w:t>
      </w:r>
      <w:r>
        <w:rPr>
          <w:color w:val="231F20"/>
          <w:w w:val="105"/>
        </w:rPr>
        <w:t>que</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año</w:t>
      </w:r>
      <w:r>
        <w:rPr>
          <w:color w:val="231F20"/>
          <w:spacing w:val="-17"/>
          <w:w w:val="105"/>
        </w:rPr>
        <w:t> </w:t>
      </w:r>
      <w:r>
        <w:rPr>
          <w:color w:val="231F20"/>
          <w:w w:val="105"/>
        </w:rPr>
        <w:t>2009,</w:t>
      </w:r>
      <w:r>
        <w:rPr>
          <w:color w:val="231F20"/>
          <w:spacing w:val="-24"/>
          <w:w w:val="105"/>
        </w:rPr>
        <w:t> </w:t>
      </w:r>
      <w:r>
        <w:rPr>
          <w:color w:val="231F20"/>
          <w:w w:val="105"/>
        </w:rPr>
        <w:t>del</w:t>
      </w:r>
      <w:r>
        <w:rPr>
          <w:color w:val="231F20"/>
          <w:spacing w:val="-17"/>
          <w:w w:val="105"/>
        </w:rPr>
        <w:t> </w:t>
      </w:r>
      <w:r>
        <w:rPr>
          <w:color w:val="231F20"/>
          <w:w w:val="105"/>
        </w:rPr>
        <w:t>total</w:t>
      </w:r>
      <w:r>
        <w:rPr>
          <w:color w:val="231F20"/>
          <w:spacing w:val="-17"/>
          <w:w w:val="105"/>
        </w:rPr>
        <w:t> </w:t>
      </w:r>
      <w:r>
        <w:rPr>
          <w:color w:val="231F20"/>
          <w:w w:val="105"/>
        </w:rPr>
        <w:t>de</w:t>
      </w:r>
      <w:r>
        <w:rPr>
          <w:color w:val="231F20"/>
          <w:spacing w:val="-17"/>
          <w:w w:val="105"/>
        </w:rPr>
        <w:t> </w:t>
      </w:r>
      <w:r>
        <w:rPr>
          <w:color w:val="231F20"/>
          <w:w w:val="105"/>
        </w:rPr>
        <w:t>empleos</w:t>
      </w:r>
      <w:r>
        <w:rPr>
          <w:color w:val="231F20"/>
          <w:spacing w:val="-17"/>
          <w:w w:val="105"/>
        </w:rPr>
        <w:t> </w:t>
      </w:r>
      <w:r>
        <w:rPr>
          <w:color w:val="231F20"/>
          <w:w w:val="105"/>
        </w:rPr>
        <w:t>en Estados</w:t>
      </w:r>
      <w:r>
        <w:rPr>
          <w:color w:val="231F20"/>
          <w:spacing w:val="-35"/>
          <w:w w:val="105"/>
        </w:rPr>
        <w:t> </w:t>
      </w:r>
      <w:r>
        <w:rPr>
          <w:color w:val="231F20"/>
          <w:w w:val="105"/>
        </w:rPr>
        <w:t>Unidos:</w:t>
      </w:r>
      <w:r>
        <w:rPr>
          <w:color w:val="231F20"/>
          <w:spacing w:val="-35"/>
          <w:w w:val="105"/>
        </w:rPr>
        <w:t> </w:t>
      </w:r>
      <w:r>
        <w:rPr>
          <w:color w:val="231F20"/>
          <w:w w:val="105"/>
        </w:rPr>
        <w:t>la</w:t>
      </w:r>
      <w:r>
        <w:rPr>
          <w:color w:val="231F20"/>
          <w:spacing w:val="-35"/>
          <w:w w:val="105"/>
        </w:rPr>
        <w:t> </w:t>
      </w:r>
      <w:r>
        <w:rPr>
          <w:color w:val="231F20"/>
          <w:w w:val="105"/>
        </w:rPr>
        <w:t>agricultura,</w:t>
      </w:r>
      <w:r>
        <w:rPr>
          <w:color w:val="231F20"/>
          <w:spacing w:val="-38"/>
          <w:w w:val="105"/>
        </w:rPr>
        <w:t> </w:t>
      </w:r>
      <w:r>
        <w:rPr>
          <w:color w:val="231F20"/>
          <w:w w:val="105"/>
        </w:rPr>
        <w:t>pesca</w:t>
      </w:r>
      <w:r>
        <w:rPr>
          <w:color w:val="231F20"/>
          <w:spacing w:val="-35"/>
          <w:w w:val="105"/>
        </w:rPr>
        <w:t> </w:t>
      </w:r>
      <w:r>
        <w:rPr>
          <w:color w:val="231F20"/>
          <w:w w:val="105"/>
        </w:rPr>
        <w:t>y</w:t>
      </w:r>
      <w:r>
        <w:rPr>
          <w:color w:val="231F20"/>
          <w:spacing w:val="-35"/>
          <w:w w:val="105"/>
        </w:rPr>
        <w:t> </w:t>
      </w:r>
      <w:r>
        <w:rPr>
          <w:color w:val="231F20"/>
          <w:w w:val="105"/>
        </w:rPr>
        <w:t>silvicultura</w:t>
      </w:r>
      <w:r>
        <w:rPr>
          <w:color w:val="231F20"/>
          <w:spacing w:val="-35"/>
          <w:w w:val="105"/>
        </w:rPr>
        <w:t> </w:t>
      </w:r>
      <w:r>
        <w:rPr>
          <w:color w:val="231F20"/>
          <w:w w:val="105"/>
        </w:rPr>
        <w:t>representaba</w:t>
      </w:r>
      <w:r>
        <w:rPr>
          <w:color w:val="231F20"/>
          <w:spacing w:val="-35"/>
          <w:w w:val="105"/>
        </w:rPr>
        <w:t> </w:t>
      </w:r>
      <w:r>
        <w:rPr>
          <w:color w:val="231F20"/>
          <w:w w:val="105"/>
        </w:rPr>
        <w:t>el</w:t>
      </w:r>
      <w:r>
        <w:rPr>
          <w:color w:val="231F20"/>
          <w:spacing w:val="-35"/>
          <w:w w:val="105"/>
        </w:rPr>
        <w:t> </w:t>
      </w:r>
      <w:r>
        <w:rPr>
          <w:color w:val="231F20"/>
          <w:w w:val="105"/>
        </w:rPr>
        <w:t>36.4%; en lo que respecta a la ocupación en la construcción, mantenimiento y reparación</w:t>
      </w:r>
      <w:r>
        <w:rPr>
          <w:color w:val="231F20"/>
          <w:spacing w:val="-9"/>
          <w:w w:val="105"/>
        </w:rPr>
        <w:t> </w:t>
      </w:r>
      <w:r>
        <w:rPr>
          <w:color w:val="231F20"/>
          <w:w w:val="105"/>
        </w:rPr>
        <w:t>tenemos</w:t>
      </w:r>
      <w:r>
        <w:rPr>
          <w:color w:val="231F20"/>
          <w:spacing w:val="-9"/>
          <w:w w:val="105"/>
        </w:rPr>
        <w:t> </w:t>
      </w:r>
      <w:r>
        <w:rPr>
          <w:color w:val="231F20"/>
          <w:w w:val="105"/>
        </w:rPr>
        <w:t>el</w:t>
      </w:r>
      <w:r>
        <w:rPr>
          <w:color w:val="231F20"/>
          <w:spacing w:val="-9"/>
          <w:w w:val="105"/>
        </w:rPr>
        <w:t> </w:t>
      </w:r>
      <w:r>
        <w:rPr>
          <w:color w:val="231F20"/>
          <w:w w:val="105"/>
        </w:rPr>
        <w:t>11.1%;</w:t>
      </w:r>
      <w:r>
        <w:rPr>
          <w:color w:val="231F20"/>
          <w:spacing w:val="-9"/>
          <w:w w:val="105"/>
        </w:rPr>
        <w:t> </w:t>
      </w:r>
      <w:r>
        <w:rPr>
          <w:color w:val="231F20"/>
          <w:w w:val="105"/>
        </w:rPr>
        <w:t>en</w:t>
      </w:r>
      <w:r>
        <w:rPr>
          <w:color w:val="231F20"/>
          <w:spacing w:val="-9"/>
          <w:w w:val="105"/>
        </w:rPr>
        <w:t> </w:t>
      </w:r>
      <w:r>
        <w:rPr>
          <w:color w:val="231F20"/>
          <w:w w:val="105"/>
        </w:rPr>
        <w:t>limpieza</w:t>
      </w:r>
      <w:r>
        <w:rPr>
          <w:color w:val="231F20"/>
          <w:spacing w:val="-9"/>
          <w:w w:val="105"/>
        </w:rPr>
        <w:t> </w:t>
      </w:r>
      <w:r>
        <w:rPr>
          <w:color w:val="231F20"/>
          <w:w w:val="105"/>
        </w:rPr>
        <w:t>y</w:t>
      </w:r>
      <w:r>
        <w:rPr>
          <w:color w:val="231F20"/>
          <w:spacing w:val="-9"/>
          <w:w w:val="105"/>
        </w:rPr>
        <w:t> </w:t>
      </w:r>
      <w:r>
        <w:rPr>
          <w:color w:val="231F20"/>
          <w:w w:val="105"/>
        </w:rPr>
        <w:t>mantenimiento</w:t>
      </w:r>
      <w:r>
        <w:rPr>
          <w:color w:val="231F20"/>
          <w:spacing w:val="-9"/>
          <w:w w:val="105"/>
        </w:rPr>
        <w:t> </w:t>
      </w:r>
      <w:r>
        <w:rPr>
          <w:color w:val="231F20"/>
          <w:w w:val="105"/>
        </w:rPr>
        <w:t>de</w:t>
      </w:r>
      <w:r>
        <w:rPr>
          <w:color w:val="231F20"/>
          <w:spacing w:val="-9"/>
          <w:w w:val="105"/>
        </w:rPr>
        <w:t> </w:t>
      </w:r>
      <w:r>
        <w:rPr>
          <w:color w:val="231F20"/>
          <w:w w:val="105"/>
        </w:rPr>
        <w:t>edificios, y</w:t>
      </w:r>
      <w:r>
        <w:rPr>
          <w:color w:val="231F20"/>
          <w:spacing w:val="-15"/>
          <w:w w:val="105"/>
        </w:rPr>
        <w:t> </w:t>
      </w:r>
      <w:r>
        <w:rPr>
          <w:color w:val="231F20"/>
          <w:w w:val="105"/>
        </w:rPr>
        <w:t>preparación</w:t>
      </w:r>
      <w:r>
        <w:rPr>
          <w:color w:val="231F20"/>
          <w:spacing w:val="-15"/>
          <w:w w:val="105"/>
        </w:rPr>
        <w:t> </w:t>
      </w:r>
      <w:r>
        <w:rPr>
          <w:color w:val="231F20"/>
          <w:w w:val="105"/>
        </w:rPr>
        <w:t>de</w:t>
      </w:r>
      <w:r>
        <w:rPr>
          <w:color w:val="231F20"/>
          <w:spacing w:val="-15"/>
          <w:w w:val="105"/>
        </w:rPr>
        <w:t> </w:t>
      </w:r>
      <w:r>
        <w:rPr>
          <w:color w:val="231F20"/>
          <w:w w:val="105"/>
        </w:rPr>
        <w:t>alimentos</w:t>
      </w:r>
      <w:r>
        <w:rPr>
          <w:color w:val="231F20"/>
          <w:spacing w:val="-15"/>
          <w:w w:val="105"/>
        </w:rPr>
        <w:t> </w:t>
      </w:r>
      <w:r>
        <w:rPr>
          <w:color w:val="231F20"/>
          <w:w w:val="105"/>
        </w:rPr>
        <w:t>13.3%;</w:t>
      </w:r>
      <w:r>
        <w:rPr>
          <w:color w:val="231F20"/>
          <w:spacing w:val="-15"/>
          <w:w w:val="105"/>
        </w:rPr>
        <w:t> </w:t>
      </w:r>
      <w:r>
        <w:rPr>
          <w:color w:val="231F20"/>
          <w:w w:val="105"/>
        </w:rPr>
        <w:t>en</w:t>
      </w:r>
      <w:r>
        <w:rPr>
          <w:color w:val="231F20"/>
          <w:spacing w:val="-15"/>
          <w:w w:val="105"/>
        </w:rPr>
        <w:t> </w:t>
      </w:r>
      <w:r>
        <w:rPr>
          <w:color w:val="231F20"/>
          <w:w w:val="105"/>
        </w:rPr>
        <w:t>producción</w:t>
      </w:r>
      <w:r>
        <w:rPr>
          <w:color w:val="231F20"/>
          <w:spacing w:val="-15"/>
          <w:w w:val="105"/>
        </w:rPr>
        <w:t> </w:t>
      </w:r>
      <w:r>
        <w:rPr>
          <w:color w:val="231F20"/>
          <w:w w:val="105"/>
        </w:rPr>
        <w:t>y</w:t>
      </w:r>
      <w:r>
        <w:rPr>
          <w:color w:val="231F20"/>
          <w:spacing w:val="-15"/>
          <w:w w:val="105"/>
        </w:rPr>
        <w:t> </w:t>
      </w:r>
      <w:r>
        <w:rPr>
          <w:color w:val="231F20"/>
          <w:w w:val="105"/>
        </w:rPr>
        <w:t>transporte</w:t>
      </w:r>
      <w:r>
        <w:rPr>
          <w:color w:val="231F20"/>
          <w:spacing w:val="-15"/>
          <w:w w:val="105"/>
        </w:rPr>
        <w:t> </w:t>
      </w:r>
      <w:r>
        <w:rPr>
          <w:color w:val="231F20"/>
          <w:w w:val="105"/>
        </w:rPr>
        <w:t>8.6%.</w:t>
      </w:r>
      <w:r>
        <w:rPr>
          <w:color w:val="231F20"/>
          <w:spacing w:val="-20"/>
          <w:w w:val="105"/>
        </w:rPr>
        <w:t> </w:t>
      </w:r>
      <w:r>
        <w:rPr>
          <w:color w:val="231F20"/>
          <w:spacing w:val="-6"/>
          <w:w w:val="105"/>
        </w:rPr>
        <w:t>Por </w:t>
      </w:r>
      <w:r>
        <w:rPr>
          <w:color w:val="231F20"/>
          <w:w w:val="105"/>
        </w:rPr>
        <w:t>otra</w:t>
      </w:r>
      <w:r>
        <w:rPr>
          <w:color w:val="231F20"/>
          <w:spacing w:val="-9"/>
          <w:w w:val="105"/>
        </w:rPr>
        <w:t> </w:t>
      </w:r>
      <w:r>
        <w:rPr>
          <w:color w:val="231F20"/>
          <w:w w:val="105"/>
        </w:rPr>
        <w:t>parte,</w:t>
      </w:r>
      <w:r>
        <w:rPr>
          <w:color w:val="231F20"/>
          <w:spacing w:val="-15"/>
          <w:w w:val="105"/>
        </w:rPr>
        <w:t> </w:t>
      </w:r>
      <w:r>
        <w:rPr>
          <w:color w:val="231F20"/>
          <w:w w:val="105"/>
        </w:rPr>
        <w:t>el</w:t>
      </w:r>
      <w:r>
        <w:rPr>
          <w:color w:val="231F20"/>
          <w:spacing w:val="-9"/>
          <w:w w:val="105"/>
        </w:rPr>
        <w:t> </w:t>
      </w:r>
      <w:r>
        <w:rPr>
          <w:color w:val="231F20"/>
          <w:w w:val="105"/>
        </w:rPr>
        <w:t>peso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nativos</w:t>
      </w:r>
      <w:r>
        <w:rPr>
          <w:color w:val="231F20"/>
          <w:spacing w:val="-9"/>
          <w:w w:val="105"/>
        </w:rPr>
        <w:t> </w:t>
      </w:r>
      <w:r>
        <w:rPr>
          <w:color w:val="231F20"/>
          <w:w w:val="105"/>
        </w:rPr>
        <w:t>mexicanos</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actividades</w:t>
      </w:r>
      <w:r>
        <w:rPr>
          <w:color w:val="231F20"/>
          <w:spacing w:val="-9"/>
          <w:w w:val="105"/>
        </w:rPr>
        <w:t> </w:t>
      </w:r>
      <w:r>
        <w:rPr>
          <w:color w:val="231F20"/>
          <w:w w:val="105"/>
        </w:rPr>
        <w:t>profesio- nales y en las ocupaciones relacionadas con los servicios, las ventas y la</w:t>
      </w:r>
      <w:r>
        <w:rPr>
          <w:color w:val="231F20"/>
          <w:spacing w:val="-29"/>
          <w:w w:val="105"/>
        </w:rPr>
        <w:t> </w:t>
      </w:r>
      <w:r>
        <w:rPr>
          <w:color w:val="231F20"/>
          <w:w w:val="105"/>
        </w:rPr>
        <w:t>administración</w:t>
      </w:r>
      <w:r>
        <w:rPr>
          <w:color w:val="231F20"/>
          <w:spacing w:val="-29"/>
          <w:w w:val="105"/>
        </w:rPr>
        <w:t> </w:t>
      </w:r>
      <w:r>
        <w:rPr>
          <w:color w:val="231F20"/>
          <w:w w:val="105"/>
        </w:rPr>
        <w:t>es</w:t>
      </w:r>
      <w:r>
        <w:rPr>
          <w:color w:val="231F20"/>
          <w:spacing w:val="-29"/>
          <w:w w:val="105"/>
        </w:rPr>
        <w:t> </w:t>
      </w:r>
      <w:r>
        <w:rPr>
          <w:color w:val="231F20"/>
          <w:w w:val="105"/>
        </w:rPr>
        <w:t>bastante</w:t>
      </w:r>
      <w:r>
        <w:rPr>
          <w:color w:val="231F20"/>
          <w:spacing w:val="-29"/>
          <w:w w:val="105"/>
        </w:rPr>
        <w:t> </w:t>
      </w:r>
      <w:r>
        <w:rPr>
          <w:color w:val="231F20"/>
          <w:w w:val="105"/>
        </w:rPr>
        <w:t>reducida,</w:t>
      </w:r>
      <w:r>
        <w:rPr>
          <w:color w:val="231F20"/>
          <w:spacing w:val="-33"/>
          <w:w w:val="105"/>
        </w:rPr>
        <w:t> </w:t>
      </w:r>
      <w:r>
        <w:rPr>
          <w:color w:val="231F20"/>
          <w:w w:val="105"/>
        </w:rPr>
        <w:t>representando,</w:t>
      </w:r>
      <w:r>
        <w:rPr>
          <w:color w:val="231F20"/>
          <w:spacing w:val="-33"/>
          <w:w w:val="105"/>
        </w:rPr>
        <w:t> </w:t>
      </w:r>
      <w:r>
        <w:rPr>
          <w:color w:val="231F20"/>
          <w:w w:val="105"/>
        </w:rPr>
        <w:t>respectivamente, 0.9%</w:t>
      </w:r>
      <w:r>
        <w:rPr>
          <w:color w:val="231F20"/>
          <w:spacing w:val="-27"/>
          <w:w w:val="105"/>
        </w:rPr>
        <w:t> </w:t>
      </w:r>
      <w:r>
        <w:rPr>
          <w:color w:val="231F20"/>
          <w:w w:val="105"/>
        </w:rPr>
        <w:t>y</w:t>
      </w:r>
      <w:r>
        <w:rPr>
          <w:color w:val="231F20"/>
          <w:spacing w:val="-27"/>
          <w:w w:val="105"/>
        </w:rPr>
        <w:t> </w:t>
      </w:r>
      <w:r>
        <w:rPr>
          <w:color w:val="231F20"/>
          <w:w w:val="105"/>
        </w:rPr>
        <w:t>2.1%</w:t>
      </w:r>
      <w:r>
        <w:rPr>
          <w:color w:val="231F20"/>
          <w:spacing w:val="-27"/>
          <w:w w:val="105"/>
        </w:rPr>
        <w:t> </w:t>
      </w:r>
      <w:r>
        <w:rPr>
          <w:color w:val="231F20"/>
          <w:w w:val="105"/>
        </w:rPr>
        <w:t>del</w:t>
      </w:r>
      <w:r>
        <w:rPr>
          <w:color w:val="231F20"/>
          <w:spacing w:val="-27"/>
          <w:w w:val="105"/>
        </w:rPr>
        <w:t> </w:t>
      </w:r>
      <w:r>
        <w:rPr>
          <w:color w:val="231F20"/>
          <w:w w:val="105"/>
        </w:rPr>
        <w:t>total</w:t>
      </w:r>
      <w:r>
        <w:rPr>
          <w:color w:val="231F20"/>
          <w:spacing w:val="-27"/>
          <w:w w:val="105"/>
        </w:rPr>
        <w:t> </w:t>
      </w:r>
      <w:r>
        <w:rPr>
          <w:color w:val="231F20"/>
          <w:w w:val="105"/>
        </w:rPr>
        <w:t>de</w:t>
      </w:r>
      <w:r>
        <w:rPr>
          <w:color w:val="231F20"/>
          <w:spacing w:val="-27"/>
          <w:w w:val="105"/>
        </w:rPr>
        <w:t> </w:t>
      </w:r>
      <w:r>
        <w:rPr>
          <w:color w:val="231F20"/>
          <w:w w:val="105"/>
        </w:rPr>
        <w:t>inmigrantes</w:t>
      </w:r>
      <w:r>
        <w:rPr>
          <w:color w:val="231F20"/>
          <w:spacing w:val="-27"/>
          <w:w w:val="105"/>
        </w:rPr>
        <w:t> </w:t>
      </w:r>
      <w:r>
        <w:rPr>
          <w:color w:val="231F20"/>
          <w:w w:val="105"/>
        </w:rPr>
        <w:t>en</w:t>
      </w:r>
      <w:r>
        <w:rPr>
          <w:color w:val="231F20"/>
          <w:spacing w:val="-27"/>
          <w:w w:val="105"/>
        </w:rPr>
        <w:t> </w:t>
      </w:r>
      <w:r>
        <w:rPr>
          <w:color w:val="231F20"/>
          <w:w w:val="105"/>
        </w:rPr>
        <w:t>ellas</w:t>
      </w:r>
      <w:r>
        <w:rPr>
          <w:color w:val="231F20"/>
          <w:spacing w:val="-27"/>
          <w:w w:val="105"/>
        </w:rPr>
        <w:t> </w:t>
      </w:r>
      <w:r>
        <w:rPr>
          <w:color w:val="231F20"/>
          <w:w w:val="105"/>
        </w:rPr>
        <w:t>empleados</w:t>
      </w:r>
      <w:r>
        <w:rPr>
          <w:color w:val="231F20"/>
          <w:spacing w:val="-27"/>
          <w:w w:val="105"/>
        </w:rPr>
        <w:t> </w:t>
      </w:r>
      <w:r>
        <w:rPr>
          <w:color w:val="231F20"/>
          <w:w w:val="105"/>
        </w:rPr>
        <w:t>(Caicedo,</w:t>
      </w:r>
      <w:r>
        <w:rPr>
          <w:color w:val="231F20"/>
          <w:spacing w:val="-32"/>
          <w:w w:val="105"/>
        </w:rPr>
        <w:t> </w:t>
      </w:r>
      <w:r>
        <w:rPr>
          <w:color w:val="231F20"/>
          <w:w w:val="105"/>
        </w:rPr>
        <w:t>2010).</w:t>
      </w:r>
    </w:p>
    <w:p>
      <w:pPr>
        <w:pStyle w:val="BodyText"/>
        <w:rPr>
          <w:sz w:val="20"/>
        </w:rPr>
      </w:pPr>
    </w:p>
    <w:p>
      <w:pPr>
        <w:pStyle w:val="BodyText"/>
        <w:spacing w:before="9"/>
        <w:rPr>
          <w:sz w:val="2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4240" from="131.551193pt,3.703715pt" to="131.551193pt,39.506114pt" stroked="true" strokeweight=".35pt" strokecolor="#231f20">
            <w10:wrap type="none"/>
          </v:line>
        </w:pict>
      </w:r>
      <w:r>
        <w:rPr/>
        <w:pict>
          <v:line style="position:absolute;mso-position-horizontal-relative:page;mso-position-vertical-relative:paragraph;z-index:-454168" from="15pt,39.505917pt" to="0pt,39.505917pt" stroked="true" strokeweight=".25pt" strokecolor="#000000">
            <w10:wrap type="none"/>
          </v:line>
        </w:pict>
      </w:r>
      <w:r>
        <w:rPr/>
        <w:pict>
          <v:line style="position:absolute;mso-position-horizontal-relative:page;mso-position-vertical-relative:paragraph;z-index:36040" from="508.890015pt,39.505917pt" to="523.890015pt,39.505917pt" stroked="true" strokeweight=".25pt" strokecolor="#000000">
            <w10:wrap type="none"/>
          </v:line>
        </w:pict>
      </w:r>
      <w:r>
        <w:rPr>
          <w:rFonts w:ascii="Arial" w:hAnsi="Arial"/>
          <w:color w:val="414042"/>
          <w:position w:val="-5"/>
          <w:sz w:val="20"/>
        </w:rPr>
        <w:t>294</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6088"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6112" from="15pt,-28.286539pt" to="0pt,-28.286539pt" stroked="true" strokeweight=".25pt" strokecolor="#000000">
            <w10:wrap type="none"/>
          </v:line>
        </w:pict>
      </w:r>
      <w:r>
        <w:rPr/>
        <w:pict>
          <v:line style="position:absolute;mso-position-horizontal-relative:page;mso-position-vertical-relative:paragraph;z-index:36136" from="508.890015pt,-28.286539pt" to="523.890015pt,-28.286539pt" stroked="true" strokeweight=".25pt" strokecolor="#000000">
            <w10:wrap type="none"/>
          </v:line>
        </w:pict>
      </w:r>
      <w:r>
        <w:rPr>
          <w:rFonts w:ascii="Arial"/>
          <w:color w:val="414042"/>
          <w:sz w:val="20"/>
        </w:rPr>
        <w:t>295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54024" from="15pt,715.487793pt" to="0pt,715.487793pt" stroked="true" strokeweight=".25pt" strokecolor="#000000">
            <w10:wrap type="none"/>
          </v:line>
        </w:pict>
      </w:r>
      <w:r>
        <w:rPr/>
        <w:pict>
          <v:line style="position:absolute;mso-position-horizontal-relative:page;mso-position-vertical-relative:page;z-index:36184" from="508.890015pt,715.487793pt" to="523.890015pt,715.487793pt" stroked="true" strokeweight=".25pt" strokecolor="#000000">
            <w10:wrap type="none"/>
          </v:line>
        </w:pict>
      </w:r>
    </w:p>
    <w:p>
      <w:pPr>
        <w:pStyle w:val="BodyText"/>
        <w:spacing w:before="3"/>
        <w:rPr>
          <w:rFonts w:ascii="Arial"/>
          <w:sz w:val="16"/>
        </w:rPr>
      </w:pPr>
    </w:p>
    <w:p>
      <w:pPr>
        <w:pStyle w:val="BodyText"/>
        <w:spacing w:line="261" w:lineRule="auto" w:before="60"/>
        <w:ind w:left="1837" w:right="1721"/>
        <w:jc w:val="both"/>
      </w:pPr>
      <w:r>
        <w:rPr>
          <w:color w:val="231F20"/>
          <w:w w:val="105"/>
        </w:rPr>
        <w:t>En</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respecta</w:t>
      </w:r>
      <w:r>
        <w:rPr>
          <w:color w:val="231F20"/>
          <w:spacing w:val="-20"/>
          <w:w w:val="105"/>
        </w:rPr>
        <w:t> </w:t>
      </w:r>
      <w:r>
        <w:rPr>
          <w:color w:val="231F20"/>
          <w:w w:val="105"/>
        </w:rPr>
        <w:t>a</w:t>
      </w:r>
      <w:r>
        <w:rPr>
          <w:color w:val="231F20"/>
          <w:spacing w:val="-20"/>
          <w:w w:val="105"/>
        </w:rPr>
        <w:t> </w:t>
      </w:r>
      <w:r>
        <w:rPr>
          <w:color w:val="231F20"/>
          <w:w w:val="105"/>
        </w:rPr>
        <w:t>las</w:t>
      </w:r>
      <w:r>
        <w:rPr>
          <w:color w:val="231F20"/>
          <w:spacing w:val="-20"/>
          <w:w w:val="105"/>
        </w:rPr>
        <w:t> </w:t>
      </w:r>
      <w:r>
        <w:rPr>
          <w:color w:val="231F20"/>
          <w:w w:val="105"/>
        </w:rPr>
        <w:t>principales</w:t>
      </w:r>
      <w:r>
        <w:rPr>
          <w:color w:val="231F20"/>
          <w:spacing w:val="-20"/>
          <w:w w:val="105"/>
        </w:rPr>
        <w:t> </w:t>
      </w:r>
      <w:r>
        <w:rPr>
          <w:color w:val="231F20"/>
          <w:w w:val="105"/>
        </w:rPr>
        <w:t>actividades</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realizan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mu- nicipio</w:t>
      </w:r>
      <w:r>
        <w:rPr>
          <w:color w:val="231F20"/>
          <w:spacing w:val="-20"/>
          <w:w w:val="105"/>
        </w:rPr>
        <w:t> </w:t>
      </w:r>
      <w:r>
        <w:rPr>
          <w:color w:val="231F20"/>
          <w:w w:val="105"/>
        </w:rPr>
        <w:t>y</w:t>
      </w:r>
      <w:r>
        <w:rPr>
          <w:color w:val="231F20"/>
          <w:spacing w:val="-20"/>
          <w:w w:val="105"/>
        </w:rPr>
        <w:t> </w:t>
      </w:r>
      <w:r>
        <w:rPr>
          <w:color w:val="231F20"/>
          <w:w w:val="105"/>
        </w:rPr>
        <w:t>de</w:t>
      </w:r>
      <w:r>
        <w:rPr>
          <w:color w:val="231F20"/>
          <w:spacing w:val="-20"/>
          <w:w w:val="105"/>
        </w:rPr>
        <w:t> </w:t>
      </w:r>
      <w:r>
        <w:rPr>
          <w:color w:val="231F20"/>
          <w:w w:val="105"/>
        </w:rPr>
        <w:t>acuerdo</w:t>
      </w:r>
      <w:r>
        <w:rPr>
          <w:color w:val="231F20"/>
          <w:spacing w:val="-20"/>
          <w:w w:val="105"/>
        </w:rPr>
        <w:t> </w:t>
      </w:r>
      <w:r>
        <w:rPr>
          <w:color w:val="231F20"/>
          <w:w w:val="105"/>
        </w:rPr>
        <w:t>con</w:t>
      </w:r>
      <w:r>
        <w:rPr>
          <w:color w:val="231F20"/>
          <w:spacing w:val="-20"/>
          <w:w w:val="105"/>
        </w:rPr>
        <w:t> </w:t>
      </w:r>
      <w:r>
        <w:rPr>
          <w:color w:val="231F20"/>
          <w:w w:val="105"/>
        </w:rPr>
        <w:t>la</w:t>
      </w:r>
      <w:r>
        <w:rPr>
          <w:color w:val="231F20"/>
          <w:spacing w:val="-20"/>
          <w:w w:val="105"/>
        </w:rPr>
        <w:t> </w:t>
      </w:r>
      <w:r>
        <w:rPr>
          <w:color w:val="231F20"/>
          <w:w w:val="105"/>
        </w:rPr>
        <w:t>distribución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Población</w:t>
      </w:r>
      <w:r>
        <w:rPr>
          <w:color w:val="231F20"/>
          <w:spacing w:val="-20"/>
          <w:w w:val="105"/>
        </w:rPr>
        <w:t> </w:t>
      </w:r>
      <w:r>
        <w:rPr>
          <w:color w:val="231F20"/>
          <w:w w:val="105"/>
        </w:rPr>
        <w:t>Económicamente Activa</w:t>
      </w:r>
      <w:r>
        <w:rPr>
          <w:color w:val="231F20"/>
          <w:spacing w:val="-26"/>
          <w:w w:val="105"/>
        </w:rPr>
        <w:t> </w:t>
      </w:r>
      <w:r>
        <w:rPr>
          <w:color w:val="231F20"/>
          <w:w w:val="105"/>
        </w:rPr>
        <w:t>(</w:t>
      </w:r>
      <w:r>
        <w:rPr>
          <w:color w:val="231F20"/>
          <w:w w:val="105"/>
          <w:sz w:val="17"/>
        </w:rPr>
        <w:t>PEA</w:t>
      </w:r>
      <w:r>
        <w:rPr>
          <w:color w:val="231F20"/>
          <w:w w:val="105"/>
        </w:rPr>
        <w:t>)</w:t>
      </w:r>
      <w:r>
        <w:rPr>
          <w:color w:val="231F20"/>
          <w:spacing w:val="-26"/>
          <w:w w:val="105"/>
        </w:rPr>
        <w:t> </w:t>
      </w:r>
      <w:r>
        <w:rPr>
          <w:color w:val="231F20"/>
          <w:w w:val="105"/>
        </w:rPr>
        <w:t>por</w:t>
      </w:r>
      <w:r>
        <w:rPr>
          <w:color w:val="231F20"/>
          <w:spacing w:val="-26"/>
          <w:w w:val="105"/>
        </w:rPr>
        <w:t> </w:t>
      </w:r>
      <w:r>
        <w:rPr>
          <w:color w:val="231F20"/>
          <w:w w:val="105"/>
        </w:rPr>
        <w:t>sector</w:t>
      </w:r>
      <w:r>
        <w:rPr>
          <w:color w:val="231F20"/>
          <w:spacing w:val="-26"/>
          <w:w w:val="105"/>
        </w:rPr>
        <w:t> </w:t>
      </w:r>
      <w:r>
        <w:rPr>
          <w:color w:val="231F20"/>
          <w:w w:val="105"/>
        </w:rPr>
        <w:t>de</w:t>
      </w:r>
      <w:r>
        <w:rPr>
          <w:color w:val="231F20"/>
          <w:spacing w:val="-26"/>
          <w:w w:val="105"/>
        </w:rPr>
        <w:t> </w:t>
      </w:r>
      <w:r>
        <w:rPr>
          <w:color w:val="231F20"/>
          <w:w w:val="105"/>
        </w:rPr>
        <w:t>actividad,</w:t>
      </w:r>
      <w:r>
        <w:rPr>
          <w:color w:val="231F20"/>
          <w:spacing w:val="-31"/>
          <w:w w:val="105"/>
        </w:rPr>
        <w:t> </w:t>
      </w:r>
      <w:r>
        <w:rPr>
          <w:color w:val="231F20"/>
          <w:w w:val="105"/>
        </w:rPr>
        <w:t>para</w:t>
      </w:r>
      <w:r>
        <w:rPr>
          <w:color w:val="231F20"/>
          <w:spacing w:val="-26"/>
          <w:w w:val="105"/>
        </w:rPr>
        <w:t> </w:t>
      </w:r>
      <w:r>
        <w:rPr>
          <w:color w:val="231F20"/>
          <w:w w:val="105"/>
        </w:rPr>
        <w:t>el</w:t>
      </w:r>
      <w:r>
        <w:rPr>
          <w:color w:val="231F20"/>
          <w:spacing w:val="-26"/>
          <w:w w:val="105"/>
        </w:rPr>
        <w:t> </w:t>
      </w:r>
      <w:r>
        <w:rPr>
          <w:color w:val="231F20"/>
          <w:w w:val="105"/>
        </w:rPr>
        <w:t>año</w:t>
      </w:r>
      <w:r>
        <w:rPr>
          <w:color w:val="231F20"/>
          <w:spacing w:val="-26"/>
          <w:w w:val="105"/>
        </w:rPr>
        <w:t> </w:t>
      </w:r>
      <w:r>
        <w:rPr>
          <w:color w:val="231F20"/>
          <w:w w:val="105"/>
        </w:rPr>
        <w:t>2010</w:t>
      </w:r>
      <w:r>
        <w:rPr>
          <w:color w:val="231F20"/>
          <w:spacing w:val="-26"/>
          <w:w w:val="105"/>
        </w:rPr>
        <w:t> </w:t>
      </w:r>
      <w:r>
        <w:rPr>
          <w:color w:val="231F20"/>
          <w:w w:val="105"/>
        </w:rPr>
        <w:t>según</w:t>
      </w:r>
      <w:r>
        <w:rPr>
          <w:color w:val="231F20"/>
          <w:spacing w:val="-26"/>
          <w:w w:val="105"/>
        </w:rPr>
        <w:t> </w:t>
      </w:r>
      <w:r>
        <w:rPr>
          <w:color w:val="231F20"/>
          <w:w w:val="105"/>
          <w:sz w:val="17"/>
        </w:rPr>
        <w:t>INEGI</w:t>
      </w:r>
      <w:r>
        <w:rPr>
          <w:color w:val="231F20"/>
          <w:spacing w:val="-15"/>
          <w:w w:val="105"/>
          <w:sz w:val="17"/>
        </w:rPr>
        <w:t> </w:t>
      </w:r>
      <w:r>
        <w:rPr>
          <w:color w:val="231F20"/>
          <w:w w:val="105"/>
        </w:rPr>
        <w:t>(2010b) la distribución por sector presenta la siguiente estructura: 46.62% que correspondió</w:t>
      </w:r>
      <w:r>
        <w:rPr>
          <w:color w:val="231F20"/>
          <w:spacing w:val="-20"/>
          <w:w w:val="105"/>
        </w:rPr>
        <w:t> </w:t>
      </w:r>
      <w:r>
        <w:rPr>
          <w:color w:val="231F20"/>
          <w:w w:val="105"/>
        </w:rPr>
        <w:t>a</w:t>
      </w:r>
      <w:r>
        <w:rPr>
          <w:color w:val="231F20"/>
          <w:spacing w:val="-20"/>
          <w:w w:val="105"/>
        </w:rPr>
        <w:t> </w:t>
      </w:r>
      <w:r>
        <w:rPr>
          <w:color w:val="231F20"/>
          <w:w w:val="105"/>
        </w:rPr>
        <w:t>las</w:t>
      </w:r>
      <w:r>
        <w:rPr>
          <w:color w:val="231F20"/>
          <w:spacing w:val="-20"/>
          <w:w w:val="105"/>
        </w:rPr>
        <w:t> </w:t>
      </w:r>
      <w:r>
        <w:rPr>
          <w:color w:val="231F20"/>
          <w:w w:val="105"/>
        </w:rPr>
        <w:t>actividades</w:t>
      </w:r>
      <w:r>
        <w:rPr>
          <w:color w:val="231F20"/>
          <w:spacing w:val="-20"/>
          <w:w w:val="105"/>
        </w:rPr>
        <w:t> </w:t>
      </w:r>
      <w:r>
        <w:rPr>
          <w:color w:val="231F20"/>
          <w:w w:val="105"/>
        </w:rPr>
        <w:t>primarias,</w:t>
      </w:r>
      <w:r>
        <w:rPr>
          <w:color w:val="231F20"/>
          <w:spacing w:val="-24"/>
          <w:w w:val="105"/>
        </w:rPr>
        <w:t> </w:t>
      </w:r>
      <w:r>
        <w:rPr>
          <w:color w:val="231F20"/>
          <w:w w:val="105"/>
        </w:rPr>
        <w:t>las</w:t>
      </w:r>
      <w:r>
        <w:rPr>
          <w:color w:val="231F20"/>
          <w:spacing w:val="-20"/>
          <w:w w:val="105"/>
        </w:rPr>
        <w:t> </w:t>
      </w:r>
      <w:r>
        <w:rPr>
          <w:color w:val="231F20"/>
          <w:w w:val="105"/>
        </w:rPr>
        <w:t>actividades</w:t>
      </w:r>
      <w:r>
        <w:rPr>
          <w:color w:val="231F20"/>
          <w:spacing w:val="-20"/>
          <w:w w:val="105"/>
        </w:rPr>
        <w:t> </w:t>
      </w:r>
      <w:r>
        <w:rPr>
          <w:color w:val="231F20"/>
          <w:w w:val="105"/>
        </w:rPr>
        <w:t>secundarias</w:t>
      </w:r>
      <w:r>
        <w:rPr>
          <w:color w:val="231F20"/>
          <w:spacing w:val="-20"/>
          <w:w w:val="105"/>
        </w:rPr>
        <w:t> </w:t>
      </w:r>
      <w:r>
        <w:rPr>
          <w:color w:val="231F20"/>
          <w:w w:val="105"/>
        </w:rPr>
        <w:t>re- presentan</w:t>
      </w:r>
      <w:r>
        <w:rPr>
          <w:color w:val="231F20"/>
          <w:spacing w:val="-5"/>
          <w:w w:val="105"/>
        </w:rPr>
        <w:t> </w:t>
      </w:r>
      <w:r>
        <w:rPr>
          <w:color w:val="231F20"/>
          <w:w w:val="105"/>
        </w:rPr>
        <w:t>el</w:t>
      </w:r>
      <w:r>
        <w:rPr>
          <w:color w:val="231F20"/>
          <w:spacing w:val="-5"/>
          <w:w w:val="105"/>
        </w:rPr>
        <w:t> </w:t>
      </w:r>
      <w:r>
        <w:rPr>
          <w:color w:val="231F20"/>
          <w:w w:val="105"/>
        </w:rPr>
        <w:t>15.92%</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sector</w:t>
      </w:r>
      <w:r>
        <w:rPr>
          <w:color w:val="231F20"/>
          <w:spacing w:val="-5"/>
          <w:w w:val="105"/>
        </w:rPr>
        <w:t> </w:t>
      </w:r>
      <w:r>
        <w:rPr>
          <w:color w:val="231F20"/>
          <w:w w:val="105"/>
        </w:rPr>
        <w:t>terciario</w:t>
      </w:r>
      <w:r>
        <w:rPr>
          <w:color w:val="231F20"/>
          <w:spacing w:val="-5"/>
          <w:w w:val="105"/>
        </w:rPr>
        <w:t> </w:t>
      </w:r>
      <w:r>
        <w:rPr>
          <w:color w:val="231F20"/>
          <w:w w:val="105"/>
        </w:rPr>
        <w:t>representó</w:t>
      </w:r>
      <w:r>
        <w:rPr>
          <w:color w:val="231F20"/>
          <w:spacing w:val="-5"/>
          <w:w w:val="105"/>
        </w:rPr>
        <w:t> </w:t>
      </w:r>
      <w:r>
        <w:rPr>
          <w:color w:val="231F20"/>
          <w:w w:val="105"/>
        </w:rPr>
        <w:t>el</w:t>
      </w:r>
      <w:r>
        <w:rPr>
          <w:color w:val="231F20"/>
          <w:spacing w:val="-5"/>
          <w:w w:val="105"/>
        </w:rPr>
        <w:t> </w:t>
      </w:r>
      <w:r>
        <w:rPr>
          <w:color w:val="231F20"/>
          <w:w w:val="105"/>
        </w:rPr>
        <w:t>34.06%.</w:t>
      </w:r>
      <w:r>
        <w:rPr>
          <w:color w:val="231F20"/>
          <w:spacing w:val="-10"/>
          <w:w w:val="105"/>
        </w:rPr>
        <w:t> </w:t>
      </w:r>
      <w:r>
        <w:rPr>
          <w:color w:val="231F20"/>
          <w:w w:val="105"/>
        </w:rPr>
        <w:t>Demos- trando que la actividad predominante de este municipio rural es la re- ferida con el sector agropecuario, esto se puede constatar con lo que comentó un</w:t>
      </w:r>
      <w:r>
        <w:rPr>
          <w:color w:val="231F20"/>
          <w:spacing w:val="-7"/>
          <w:w w:val="105"/>
        </w:rPr>
        <w:t> </w:t>
      </w:r>
      <w:r>
        <w:rPr>
          <w:color w:val="231F20"/>
          <w:w w:val="105"/>
        </w:rPr>
        <w:t>migrante.</w:t>
      </w:r>
    </w:p>
    <w:p>
      <w:pPr>
        <w:pStyle w:val="BodyText"/>
        <w:spacing w:before="7"/>
        <w:rPr>
          <w:sz w:val="18"/>
        </w:rPr>
      </w:pPr>
    </w:p>
    <w:p>
      <w:pPr>
        <w:spacing w:line="254" w:lineRule="auto" w:before="0"/>
        <w:ind w:left="2971" w:right="1721" w:firstLine="0"/>
        <w:jc w:val="both"/>
        <w:rPr>
          <w:sz w:val="18"/>
        </w:rPr>
      </w:pPr>
      <w:r>
        <w:rPr>
          <w:color w:val="231F20"/>
          <w:spacing w:val="-9"/>
          <w:w w:val="105"/>
          <w:sz w:val="18"/>
        </w:rPr>
        <w:t>Yo</w:t>
      </w:r>
      <w:r>
        <w:rPr>
          <w:color w:val="231F20"/>
          <w:spacing w:val="-10"/>
          <w:w w:val="105"/>
          <w:sz w:val="18"/>
        </w:rPr>
        <w:t> </w:t>
      </w:r>
      <w:r>
        <w:rPr>
          <w:color w:val="231F20"/>
          <w:w w:val="105"/>
          <w:sz w:val="18"/>
        </w:rPr>
        <w:t>me</w:t>
      </w:r>
      <w:r>
        <w:rPr>
          <w:color w:val="231F20"/>
          <w:spacing w:val="-10"/>
          <w:w w:val="105"/>
          <w:sz w:val="18"/>
        </w:rPr>
        <w:t> </w:t>
      </w:r>
      <w:r>
        <w:rPr>
          <w:color w:val="231F20"/>
          <w:w w:val="105"/>
          <w:sz w:val="18"/>
        </w:rPr>
        <w:t>dedico</w:t>
      </w:r>
      <w:r>
        <w:rPr>
          <w:color w:val="231F20"/>
          <w:spacing w:val="-10"/>
          <w:w w:val="105"/>
          <w:sz w:val="18"/>
        </w:rPr>
        <w:t> </w:t>
      </w:r>
      <w:r>
        <w:rPr>
          <w:color w:val="231F20"/>
          <w:w w:val="105"/>
          <w:sz w:val="18"/>
        </w:rPr>
        <w:t>al</w:t>
      </w:r>
      <w:r>
        <w:rPr>
          <w:color w:val="231F20"/>
          <w:spacing w:val="-10"/>
          <w:w w:val="105"/>
          <w:sz w:val="18"/>
        </w:rPr>
        <w:t> </w:t>
      </w:r>
      <w:r>
        <w:rPr>
          <w:color w:val="231F20"/>
          <w:w w:val="105"/>
          <w:sz w:val="18"/>
        </w:rPr>
        <w:t>campo,</w:t>
      </w:r>
      <w:r>
        <w:rPr>
          <w:color w:val="231F20"/>
          <w:spacing w:val="-14"/>
          <w:w w:val="105"/>
          <w:sz w:val="18"/>
        </w:rPr>
        <w:t> </w:t>
      </w:r>
      <w:r>
        <w:rPr>
          <w:color w:val="231F20"/>
          <w:w w:val="105"/>
          <w:sz w:val="18"/>
        </w:rPr>
        <w:t>a</w:t>
      </w:r>
      <w:r>
        <w:rPr>
          <w:color w:val="231F20"/>
          <w:spacing w:val="-10"/>
          <w:w w:val="105"/>
          <w:sz w:val="18"/>
        </w:rPr>
        <w:t> </w:t>
      </w:r>
      <w:r>
        <w:rPr>
          <w:color w:val="231F20"/>
          <w:w w:val="105"/>
          <w:sz w:val="18"/>
        </w:rPr>
        <w:t>sembrar,</w:t>
      </w:r>
      <w:r>
        <w:rPr>
          <w:color w:val="231F20"/>
          <w:spacing w:val="-14"/>
          <w:w w:val="105"/>
          <w:sz w:val="18"/>
        </w:rPr>
        <w:t> </w:t>
      </w:r>
      <w:r>
        <w:rPr>
          <w:color w:val="231F20"/>
          <w:w w:val="105"/>
          <w:sz w:val="18"/>
        </w:rPr>
        <w:t>a</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agricultura</w:t>
      </w:r>
      <w:r>
        <w:rPr>
          <w:color w:val="231F20"/>
          <w:spacing w:val="-10"/>
          <w:w w:val="105"/>
          <w:sz w:val="18"/>
        </w:rPr>
        <w:t> </w:t>
      </w:r>
      <w:r>
        <w:rPr>
          <w:color w:val="231F20"/>
          <w:w w:val="105"/>
          <w:sz w:val="18"/>
        </w:rPr>
        <w:t>ahora</w:t>
      </w:r>
      <w:r>
        <w:rPr>
          <w:color w:val="231F20"/>
          <w:spacing w:val="-10"/>
          <w:w w:val="105"/>
          <w:sz w:val="18"/>
        </w:rPr>
        <w:t> </w:t>
      </w:r>
      <w:r>
        <w:rPr>
          <w:color w:val="231F20"/>
          <w:w w:val="105"/>
          <w:sz w:val="18"/>
        </w:rPr>
        <w:t>se</w:t>
      </w:r>
      <w:r>
        <w:rPr>
          <w:color w:val="231F20"/>
          <w:spacing w:val="-10"/>
          <w:w w:val="105"/>
          <w:sz w:val="18"/>
        </w:rPr>
        <w:t> </w:t>
      </w:r>
      <w:r>
        <w:rPr>
          <w:color w:val="231F20"/>
          <w:w w:val="105"/>
          <w:sz w:val="18"/>
        </w:rPr>
        <w:t>ha</w:t>
      </w:r>
      <w:r>
        <w:rPr>
          <w:color w:val="231F20"/>
          <w:spacing w:val="-10"/>
          <w:w w:val="105"/>
          <w:sz w:val="18"/>
        </w:rPr>
        <w:t> </w:t>
      </w:r>
      <w:r>
        <w:rPr>
          <w:color w:val="231F20"/>
          <w:w w:val="105"/>
          <w:sz w:val="18"/>
        </w:rPr>
        <w:t>puesto más difícil, bueno como siempre todo el tiempo ha estado difícil, aquí no hay oportunidad de hacer nada, yo te puedo decir que si no tienes dinero</w:t>
      </w:r>
      <w:r>
        <w:rPr>
          <w:color w:val="231F20"/>
          <w:spacing w:val="-8"/>
          <w:w w:val="105"/>
          <w:sz w:val="18"/>
        </w:rPr>
        <w:t> </w:t>
      </w:r>
      <w:r>
        <w:rPr>
          <w:color w:val="231F20"/>
          <w:w w:val="105"/>
          <w:sz w:val="18"/>
        </w:rPr>
        <w:t>o</w:t>
      </w:r>
      <w:r>
        <w:rPr>
          <w:color w:val="231F20"/>
          <w:spacing w:val="-8"/>
          <w:w w:val="105"/>
          <w:sz w:val="18"/>
        </w:rPr>
        <w:t> </w:t>
      </w:r>
      <w:r>
        <w:rPr>
          <w:color w:val="231F20"/>
          <w:w w:val="105"/>
          <w:sz w:val="18"/>
        </w:rPr>
        <w:t>no</w:t>
      </w:r>
      <w:r>
        <w:rPr>
          <w:color w:val="231F20"/>
          <w:spacing w:val="-8"/>
          <w:w w:val="105"/>
          <w:sz w:val="18"/>
        </w:rPr>
        <w:t> </w:t>
      </w:r>
      <w:r>
        <w:rPr>
          <w:color w:val="231F20"/>
          <w:w w:val="105"/>
          <w:sz w:val="18"/>
        </w:rPr>
        <w:t>tienes</w:t>
      </w:r>
      <w:r>
        <w:rPr>
          <w:color w:val="231F20"/>
          <w:spacing w:val="-8"/>
          <w:w w:val="105"/>
          <w:sz w:val="18"/>
        </w:rPr>
        <w:t> </w:t>
      </w:r>
      <w:r>
        <w:rPr>
          <w:color w:val="231F20"/>
          <w:w w:val="105"/>
          <w:sz w:val="18"/>
        </w:rPr>
        <w:t>un</w:t>
      </w:r>
      <w:r>
        <w:rPr>
          <w:color w:val="231F20"/>
          <w:spacing w:val="-8"/>
          <w:w w:val="105"/>
          <w:sz w:val="18"/>
        </w:rPr>
        <w:t> </w:t>
      </w:r>
      <w:r>
        <w:rPr>
          <w:color w:val="231F20"/>
          <w:w w:val="105"/>
          <w:sz w:val="18"/>
        </w:rPr>
        <w:t>negocio</w:t>
      </w:r>
      <w:r>
        <w:rPr>
          <w:color w:val="231F20"/>
          <w:spacing w:val="-8"/>
          <w:w w:val="105"/>
          <w:sz w:val="18"/>
        </w:rPr>
        <w:t> </w:t>
      </w:r>
      <w:r>
        <w:rPr>
          <w:color w:val="231F20"/>
          <w:w w:val="105"/>
          <w:sz w:val="18"/>
        </w:rPr>
        <w:t>aquí</w:t>
      </w:r>
      <w:r>
        <w:rPr>
          <w:color w:val="231F20"/>
          <w:spacing w:val="-8"/>
          <w:w w:val="105"/>
          <w:sz w:val="18"/>
        </w:rPr>
        <w:t> </w:t>
      </w:r>
      <w:r>
        <w:rPr>
          <w:color w:val="231F20"/>
          <w:w w:val="105"/>
          <w:sz w:val="18"/>
        </w:rPr>
        <w:t>no</w:t>
      </w:r>
      <w:r>
        <w:rPr>
          <w:color w:val="231F20"/>
          <w:spacing w:val="-8"/>
          <w:w w:val="105"/>
          <w:sz w:val="18"/>
        </w:rPr>
        <w:t> </w:t>
      </w:r>
      <w:r>
        <w:rPr>
          <w:color w:val="231F20"/>
          <w:w w:val="105"/>
          <w:sz w:val="18"/>
        </w:rPr>
        <w:t>haces</w:t>
      </w:r>
      <w:r>
        <w:rPr>
          <w:color w:val="231F20"/>
          <w:spacing w:val="-8"/>
          <w:w w:val="105"/>
          <w:sz w:val="18"/>
        </w:rPr>
        <w:t> </w:t>
      </w:r>
      <w:r>
        <w:rPr>
          <w:color w:val="231F20"/>
          <w:w w:val="105"/>
          <w:sz w:val="18"/>
        </w:rPr>
        <w:t>nada,</w:t>
      </w:r>
      <w:r>
        <w:rPr>
          <w:color w:val="231F20"/>
          <w:spacing w:val="-14"/>
          <w:w w:val="105"/>
          <w:sz w:val="18"/>
        </w:rPr>
        <w:t> </w:t>
      </w:r>
      <w:r>
        <w:rPr>
          <w:color w:val="231F20"/>
          <w:w w:val="105"/>
          <w:sz w:val="18"/>
        </w:rPr>
        <w:t>te</w:t>
      </w:r>
      <w:r>
        <w:rPr>
          <w:color w:val="231F20"/>
          <w:spacing w:val="-8"/>
          <w:w w:val="105"/>
          <w:sz w:val="18"/>
        </w:rPr>
        <w:t> </w:t>
      </w:r>
      <w:r>
        <w:rPr>
          <w:color w:val="231F20"/>
          <w:w w:val="105"/>
          <w:sz w:val="18"/>
        </w:rPr>
        <w:t>tienes</w:t>
      </w:r>
      <w:r>
        <w:rPr>
          <w:color w:val="231F20"/>
          <w:spacing w:val="-8"/>
          <w:w w:val="105"/>
          <w:sz w:val="18"/>
        </w:rPr>
        <w:t> </w:t>
      </w:r>
      <w:r>
        <w:rPr>
          <w:color w:val="231F20"/>
          <w:w w:val="105"/>
          <w:sz w:val="18"/>
        </w:rPr>
        <w:t>que</w:t>
      </w:r>
      <w:r>
        <w:rPr>
          <w:color w:val="231F20"/>
          <w:spacing w:val="-8"/>
          <w:w w:val="105"/>
          <w:sz w:val="18"/>
        </w:rPr>
        <w:t> </w:t>
      </w:r>
      <w:r>
        <w:rPr>
          <w:color w:val="231F20"/>
          <w:w w:val="105"/>
          <w:sz w:val="18"/>
        </w:rPr>
        <w:t>ir</w:t>
      </w:r>
      <w:r>
        <w:rPr>
          <w:color w:val="231F20"/>
          <w:spacing w:val="-8"/>
          <w:w w:val="105"/>
          <w:sz w:val="18"/>
        </w:rPr>
        <w:t> </w:t>
      </w:r>
      <w:r>
        <w:rPr>
          <w:color w:val="231F20"/>
          <w:w w:val="105"/>
          <w:sz w:val="18"/>
        </w:rPr>
        <w:t>por- que</w:t>
      </w:r>
      <w:r>
        <w:rPr>
          <w:color w:val="231F20"/>
          <w:spacing w:val="-13"/>
          <w:w w:val="105"/>
          <w:sz w:val="18"/>
        </w:rPr>
        <w:t> </w:t>
      </w:r>
      <w:r>
        <w:rPr>
          <w:color w:val="231F20"/>
          <w:w w:val="105"/>
          <w:sz w:val="18"/>
        </w:rPr>
        <w:t>allá</w:t>
      </w:r>
      <w:r>
        <w:rPr>
          <w:color w:val="231F20"/>
          <w:spacing w:val="-13"/>
          <w:w w:val="105"/>
          <w:sz w:val="18"/>
        </w:rPr>
        <w:t> </w:t>
      </w:r>
      <w:r>
        <w:rPr>
          <w:color w:val="231F20"/>
          <w:w w:val="105"/>
          <w:sz w:val="18"/>
        </w:rPr>
        <w:t>es</w:t>
      </w:r>
      <w:r>
        <w:rPr>
          <w:color w:val="231F20"/>
          <w:spacing w:val="-13"/>
          <w:w w:val="105"/>
          <w:sz w:val="18"/>
        </w:rPr>
        <w:t> </w:t>
      </w:r>
      <w:r>
        <w:rPr>
          <w:color w:val="231F20"/>
          <w:w w:val="105"/>
          <w:sz w:val="18"/>
        </w:rPr>
        <w:t>donde</w:t>
      </w:r>
      <w:r>
        <w:rPr>
          <w:color w:val="231F20"/>
          <w:spacing w:val="-13"/>
          <w:w w:val="105"/>
          <w:sz w:val="18"/>
        </w:rPr>
        <w:t> </w:t>
      </w:r>
      <w:r>
        <w:rPr>
          <w:color w:val="231F20"/>
          <w:w w:val="105"/>
          <w:sz w:val="18"/>
        </w:rPr>
        <w:t>se</w:t>
      </w:r>
      <w:r>
        <w:rPr>
          <w:color w:val="231F20"/>
          <w:spacing w:val="-13"/>
          <w:w w:val="105"/>
          <w:sz w:val="18"/>
        </w:rPr>
        <w:t> </w:t>
      </w:r>
      <w:r>
        <w:rPr>
          <w:color w:val="231F20"/>
          <w:w w:val="105"/>
          <w:sz w:val="18"/>
        </w:rPr>
        <w:t>puede</w:t>
      </w:r>
      <w:r>
        <w:rPr>
          <w:color w:val="231F20"/>
          <w:spacing w:val="-13"/>
          <w:w w:val="105"/>
          <w:sz w:val="18"/>
        </w:rPr>
        <w:t> </w:t>
      </w:r>
      <w:r>
        <w:rPr>
          <w:color w:val="231F20"/>
          <w:w w:val="105"/>
          <w:sz w:val="18"/>
        </w:rPr>
        <w:t>hacer</w:t>
      </w:r>
      <w:r>
        <w:rPr>
          <w:color w:val="231F20"/>
          <w:spacing w:val="-13"/>
          <w:w w:val="105"/>
          <w:sz w:val="18"/>
        </w:rPr>
        <w:t> </w:t>
      </w:r>
      <w:r>
        <w:rPr>
          <w:color w:val="231F20"/>
          <w:w w:val="105"/>
          <w:sz w:val="18"/>
        </w:rPr>
        <w:t>algo</w:t>
      </w:r>
      <w:r>
        <w:rPr>
          <w:color w:val="231F20"/>
          <w:spacing w:val="-13"/>
          <w:w w:val="105"/>
          <w:sz w:val="18"/>
        </w:rPr>
        <w:t> </w:t>
      </w:r>
      <w:r>
        <w:rPr>
          <w:color w:val="231F20"/>
          <w:w w:val="105"/>
          <w:sz w:val="18"/>
        </w:rPr>
        <w:t>(Rafael/30/4)</w:t>
      </w:r>
      <w:r>
        <w:rPr>
          <w:color w:val="231F20"/>
          <w:w w:val="105"/>
          <w:position w:val="6"/>
          <w:sz w:val="10"/>
        </w:rPr>
        <w:t>4</w:t>
      </w:r>
      <w:r>
        <w:rPr>
          <w:color w:val="231F20"/>
          <w:w w:val="105"/>
          <w:sz w:val="18"/>
        </w:rPr>
        <w:t>.</w:t>
      </w:r>
    </w:p>
    <w:p>
      <w:pPr>
        <w:pStyle w:val="BodyText"/>
        <w:spacing w:before="5"/>
      </w:pPr>
    </w:p>
    <w:p>
      <w:pPr>
        <w:pStyle w:val="BodyText"/>
        <w:spacing w:line="261" w:lineRule="auto"/>
        <w:ind w:left="1837" w:right="1716"/>
        <w:jc w:val="both"/>
      </w:pPr>
      <w:r>
        <w:rPr>
          <w:color w:val="231F20"/>
          <w:w w:val="105"/>
        </w:rPr>
        <w:t>El</w:t>
      </w:r>
      <w:r>
        <w:rPr>
          <w:color w:val="231F20"/>
          <w:spacing w:val="-6"/>
          <w:w w:val="105"/>
        </w:rPr>
        <w:t> </w:t>
      </w:r>
      <w:r>
        <w:rPr>
          <w:color w:val="231F20"/>
          <w:w w:val="105"/>
        </w:rPr>
        <w:t>hecho</w:t>
      </w:r>
      <w:r>
        <w:rPr>
          <w:color w:val="231F20"/>
          <w:spacing w:val="-6"/>
          <w:w w:val="105"/>
        </w:rPr>
        <w:t> </w:t>
      </w:r>
      <w:r>
        <w:rPr>
          <w:color w:val="231F20"/>
          <w:w w:val="105"/>
        </w:rPr>
        <w:t>de</w:t>
      </w:r>
      <w:r>
        <w:rPr>
          <w:color w:val="231F20"/>
          <w:spacing w:val="-6"/>
          <w:w w:val="105"/>
        </w:rPr>
        <w:t> </w:t>
      </w:r>
      <w:r>
        <w:rPr>
          <w:color w:val="231F20"/>
          <w:w w:val="105"/>
        </w:rPr>
        <w:t>asociar</w:t>
      </w:r>
      <w:r>
        <w:rPr>
          <w:color w:val="231F20"/>
          <w:spacing w:val="-6"/>
          <w:w w:val="105"/>
        </w:rPr>
        <w:t> </w:t>
      </w:r>
      <w:r>
        <w:rPr>
          <w:color w:val="231F20"/>
          <w:w w:val="105"/>
        </w:rPr>
        <w:t>la</w:t>
      </w:r>
      <w:r>
        <w:rPr>
          <w:color w:val="231F20"/>
          <w:spacing w:val="-6"/>
          <w:w w:val="105"/>
        </w:rPr>
        <w:t> </w:t>
      </w:r>
      <w:r>
        <w:rPr>
          <w:color w:val="231F20"/>
          <w:w w:val="105"/>
        </w:rPr>
        <w:t>agricultura</w:t>
      </w:r>
      <w:r>
        <w:rPr>
          <w:color w:val="231F20"/>
          <w:spacing w:val="-6"/>
          <w:w w:val="105"/>
        </w:rPr>
        <w:t> </w:t>
      </w:r>
      <w:r>
        <w:rPr>
          <w:color w:val="231F20"/>
          <w:w w:val="105"/>
        </w:rPr>
        <w:t>y</w:t>
      </w:r>
      <w:r>
        <w:rPr>
          <w:color w:val="231F20"/>
          <w:spacing w:val="-6"/>
          <w:w w:val="105"/>
        </w:rPr>
        <w:t> </w:t>
      </w:r>
      <w:r>
        <w:rPr>
          <w:color w:val="231F20"/>
          <w:w w:val="105"/>
        </w:rPr>
        <w:t>su</w:t>
      </w:r>
      <w:r>
        <w:rPr>
          <w:color w:val="231F20"/>
          <w:spacing w:val="-6"/>
          <w:w w:val="105"/>
        </w:rPr>
        <w:t> </w:t>
      </w:r>
      <w:r>
        <w:rPr>
          <w:color w:val="231F20"/>
          <w:w w:val="105"/>
        </w:rPr>
        <w:t>grado</w:t>
      </w:r>
      <w:r>
        <w:rPr>
          <w:color w:val="231F20"/>
          <w:spacing w:val="-6"/>
          <w:w w:val="105"/>
        </w:rPr>
        <w:t> </w:t>
      </w:r>
      <w:r>
        <w:rPr>
          <w:color w:val="231F20"/>
          <w:w w:val="105"/>
        </w:rPr>
        <w:t>de</w:t>
      </w:r>
      <w:r>
        <w:rPr>
          <w:color w:val="231F20"/>
          <w:spacing w:val="-6"/>
          <w:w w:val="105"/>
        </w:rPr>
        <w:t> </w:t>
      </w:r>
      <w:r>
        <w:rPr>
          <w:color w:val="231F20"/>
          <w:w w:val="105"/>
        </w:rPr>
        <w:t>dificultad</w:t>
      </w:r>
      <w:r>
        <w:rPr>
          <w:color w:val="231F20"/>
          <w:spacing w:val="-6"/>
          <w:w w:val="105"/>
        </w:rPr>
        <w:t> </w:t>
      </w:r>
      <w:r>
        <w:rPr>
          <w:color w:val="231F20"/>
          <w:w w:val="105"/>
        </w:rPr>
        <w:t>para</w:t>
      </w:r>
      <w:r>
        <w:rPr>
          <w:color w:val="231F20"/>
          <w:spacing w:val="-6"/>
          <w:w w:val="105"/>
        </w:rPr>
        <w:t> </w:t>
      </w:r>
      <w:r>
        <w:rPr>
          <w:color w:val="231F20"/>
          <w:w w:val="105"/>
        </w:rPr>
        <w:t>hacer</w:t>
      </w:r>
      <w:r>
        <w:rPr>
          <w:color w:val="231F20"/>
          <w:spacing w:val="-6"/>
          <w:w w:val="105"/>
        </w:rPr>
        <w:t> </w:t>
      </w:r>
      <w:r>
        <w:rPr>
          <w:color w:val="231F20"/>
          <w:w w:val="105"/>
        </w:rPr>
        <w:t>de ella una actividad económica rentable, parece ser algo recurrente en el discurso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migrantes.</w:t>
      </w:r>
      <w:r>
        <w:rPr>
          <w:color w:val="231F20"/>
          <w:spacing w:val="-13"/>
          <w:w w:val="105"/>
        </w:rPr>
        <w:t> </w:t>
      </w:r>
      <w:r>
        <w:rPr>
          <w:color w:val="231F20"/>
          <w:w w:val="105"/>
        </w:rPr>
        <w:t>El</w:t>
      </w:r>
      <w:r>
        <w:rPr>
          <w:color w:val="231F20"/>
          <w:spacing w:val="-7"/>
          <w:w w:val="105"/>
        </w:rPr>
        <w:t> </w:t>
      </w:r>
      <w:r>
        <w:rPr>
          <w:color w:val="231F20"/>
          <w:w w:val="105"/>
        </w:rPr>
        <w:t>análisis</w:t>
      </w:r>
      <w:r>
        <w:rPr>
          <w:color w:val="231F20"/>
          <w:spacing w:val="-7"/>
          <w:w w:val="105"/>
        </w:rPr>
        <w:t> </w:t>
      </w:r>
      <w:r>
        <w:rPr>
          <w:color w:val="231F20"/>
          <w:w w:val="105"/>
        </w:rPr>
        <w:t>que</w:t>
      </w:r>
      <w:r>
        <w:rPr>
          <w:color w:val="231F20"/>
          <w:spacing w:val="-7"/>
          <w:w w:val="105"/>
        </w:rPr>
        <w:t> </w:t>
      </w:r>
      <w:r>
        <w:rPr>
          <w:color w:val="231F20"/>
          <w:w w:val="105"/>
        </w:rPr>
        <w:t>extraemos</w:t>
      </w:r>
      <w:r>
        <w:rPr>
          <w:color w:val="231F20"/>
          <w:spacing w:val="-7"/>
          <w:w w:val="105"/>
        </w:rPr>
        <w:t> </w:t>
      </w:r>
      <w:r>
        <w:rPr>
          <w:color w:val="231F20"/>
          <w:w w:val="105"/>
        </w:rPr>
        <w:t>refiere</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falta</w:t>
      </w:r>
      <w:r>
        <w:rPr>
          <w:color w:val="231F20"/>
          <w:spacing w:val="-7"/>
          <w:w w:val="105"/>
        </w:rPr>
        <w:t> </w:t>
      </w:r>
      <w:r>
        <w:rPr>
          <w:color w:val="231F20"/>
          <w:w w:val="105"/>
        </w:rPr>
        <w:t>de oportunidades, la carencia de dinero o de un negocio que hace que la población</w:t>
      </w:r>
      <w:r>
        <w:rPr>
          <w:color w:val="231F20"/>
          <w:spacing w:val="-6"/>
          <w:w w:val="105"/>
        </w:rPr>
        <w:t> </w:t>
      </w:r>
      <w:r>
        <w:rPr>
          <w:color w:val="231F20"/>
          <w:w w:val="105"/>
        </w:rPr>
        <w:t>local</w:t>
      </w:r>
      <w:r>
        <w:rPr>
          <w:color w:val="231F20"/>
          <w:spacing w:val="-6"/>
          <w:w w:val="105"/>
        </w:rPr>
        <w:t> </w:t>
      </w:r>
      <w:r>
        <w:rPr>
          <w:color w:val="231F20"/>
          <w:w w:val="105"/>
        </w:rPr>
        <w:t>opte</w:t>
      </w:r>
      <w:r>
        <w:rPr>
          <w:color w:val="231F20"/>
          <w:spacing w:val="-6"/>
          <w:w w:val="105"/>
        </w:rPr>
        <w:t> </w:t>
      </w:r>
      <w:r>
        <w:rPr>
          <w:color w:val="231F20"/>
          <w:w w:val="105"/>
        </w:rPr>
        <w:t>por</w:t>
      </w:r>
      <w:r>
        <w:rPr>
          <w:color w:val="231F20"/>
          <w:spacing w:val="-6"/>
          <w:w w:val="105"/>
        </w:rPr>
        <w:t> </w:t>
      </w:r>
      <w:r>
        <w:rPr>
          <w:color w:val="231F20"/>
          <w:w w:val="105"/>
        </w:rPr>
        <w:t>emigrar</w:t>
      </w:r>
      <w:r>
        <w:rPr>
          <w:color w:val="231F20"/>
          <w:spacing w:val="-6"/>
          <w:w w:val="105"/>
        </w:rPr>
        <w:t> </w:t>
      </w:r>
      <w:r>
        <w:rPr>
          <w:color w:val="231F20"/>
          <w:w w:val="105"/>
        </w:rPr>
        <w:t>como</w:t>
      </w:r>
      <w:r>
        <w:rPr>
          <w:color w:val="231F20"/>
          <w:spacing w:val="-6"/>
          <w:w w:val="105"/>
        </w:rPr>
        <w:t> </w:t>
      </w:r>
      <w:r>
        <w:rPr>
          <w:color w:val="231F20"/>
          <w:w w:val="105"/>
        </w:rPr>
        <w:t>una</w:t>
      </w:r>
      <w:r>
        <w:rPr>
          <w:color w:val="231F20"/>
          <w:spacing w:val="-6"/>
          <w:w w:val="105"/>
        </w:rPr>
        <w:t> </w:t>
      </w:r>
      <w:r>
        <w:rPr>
          <w:color w:val="231F20"/>
          <w:w w:val="105"/>
        </w:rPr>
        <w:t>estrategia</w:t>
      </w:r>
      <w:r>
        <w:rPr>
          <w:color w:val="231F20"/>
          <w:spacing w:val="-6"/>
          <w:w w:val="105"/>
        </w:rPr>
        <w:t> </w:t>
      </w:r>
      <w:r>
        <w:rPr>
          <w:color w:val="231F20"/>
          <w:w w:val="105"/>
        </w:rPr>
        <w:t>de</w:t>
      </w:r>
      <w:r>
        <w:rPr>
          <w:color w:val="231F20"/>
          <w:spacing w:val="-6"/>
          <w:w w:val="105"/>
        </w:rPr>
        <w:t> </w:t>
      </w:r>
      <w:r>
        <w:rPr>
          <w:color w:val="231F20"/>
          <w:w w:val="105"/>
        </w:rPr>
        <w:t>sobrevivencia. El</w:t>
      </w:r>
      <w:r>
        <w:rPr>
          <w:color w:val="231F20"/>
          <w:spacing w:val="-4"/>
          <w:w w:val="105"/>
        </w:rPr>
        <w:t> </w:t>
      </w:r>
      <w:r>
        <w:rPr>
          <w:color w:val="231F20"/>
          <w:w w:val="105"/>
        </w:rPr>
        <w:t>“ir</w:t>
      </w:r>
      <w:r>
        <w:rPr>
          <w:color w:val="231F20"/>
          <w:spacing w:val="-4"/>
          <w:w w:val="105"/>
        </w:rPr>
        <w:t> </w:t>
      </w:r>
      <w:r>
        <w:rPr>
          <w:color w:val="231F20"/>
          <w:w w:val="105"/>
        </w:rPr>
        <w:t>allá”</w:t>
      </w:r>
      <w:r>
        <w:rPr>
          <w:color w:val="231F20"/>
          <w:spacing w:val="-4"/>
          <w:w w:val="105"/>
        </w:rPr>
        <w:t> </w:t>
      </w:r>
      <w:r>
        <w:rPr>
          <w:color w:val="231F20"/>
          <w:w w:val="105"/>
        </w:rPr>
        <w:t>(Estados</w:t>
      </w:r>
      <w:r>
        <w:rPr>
          <w:color w:val="231F20"/>
          <w:spacing w:val="-4"/>
          <w:w w:val="105"/>
        </w:rPr>
        <w:t> </w:t>
      </w:r>
      <w:r>
        <w:rPr>
          <w:color w:val="231F20"/>
          <w:w w:val="105"/>
        </w:rPr>
        <w:t>Unidos),</w:t>
      </w:r>
      <w:r>
        <w:rPr>
          <w:color w:val="231F20"/>
          <w:spacing w:val="-9"/>
          <w:w w:val="105"/>
        </w:rPr>
        <w:t> </w:t>
      </w:r>
      <w:r>
        <w:rPr>
          <w:color w:val="231F20"/>
          <w:w w:val="105"/>
        </w:rPr>
        <w:t>“donde</w:t>
      </w:r>
      <w:r>
        <w:rPr>
          <w:color w:val="231F20"/>
          <w:spacing w:val="-4"/>
          <w:w w:val="105"/>
        </w:rPr>
        <w:t> </w:t>
      </w:r>
      <w:r>
        <w:rPr>
          <w:color w:val="231F20"/>
          <w:w w:val="105"/>
        </w:rPr>
        <w:t>se</w:t>
      </w:r>
      <w:r>
        <w:rPr>
          <w:color w:val="231F20"/>
          <w:spacing w:val="-4"/>
          <w:w w:val="105"/>
        </w:rPr>
        <w:t> </w:t>
      </w:r>
      <w:r>
        <w:rPr>
          <w:color w:val="231F20"/>
          <w:w w:val="105"/>
        </w:rPr>
        <w:t>puede</w:t>
      </w:r>
      <w:r>
        <w:rPr>
          <w:color w:val="231F20"/>
          <w:spacing w:val="-4"/>
          <w:w w:val="105"/>
        </w:rPr>
        <w:t> </w:t>
      </w:r>
      <w:r>
        <w:rPr>
          <w:color w:val="231F20"/>
          <w:w w:val="105"/>
        </w:rPr>
        <w:t>hacer</w:t>
      </w:r>
      <w:r>
        <w:rPr>
          <w:color w:val="231F20"/>
          <w:spacing w:val="-4"/>
          <w:w w:val="105"/>
        </w:rPr>
        <w:t> </w:t>
      </w:r>
      <w:r>
        <w:rPr>
          <w:color w:val="231F20"/>
          <w:spacing w:val="-5"/>
          <w:w w:val="105"/>
        </w:rPr>
        <w:t>algo”,</w:t>
      </w:r>
      <w:r>
        <w:rPr>
          <w:color w:val="231F20"/>
          <w:spacing w:val="-9"/>
          <w:w w:val="105"/>
        </w:rPr>
        <w:t> </w:t>
      </w:r>
      <w:r>
        <w:rPr>
          <w:color w:val="231F20"/>
          <w:w w:val="105"/>
        </w:rPr>
        <w:t>es</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de- termina</w:t>
      </w:r>
      <w:r>
        <w:rPr>
          <w:color w:val="231F20"/>
          <w:spacing w:val="-8"/>
          <w:w w:val="105"/>
        </w:rPr>
        <w:t> </w:t>
      </w:r>
      <w:r>
        <w:rPr>
          <w:color w:val="231F20"/>
          <w:w w:val="105"/>
        </w:rPr>
        <w:t>en</w:t>
      </w:r>
      <w:r>
        <w:rPr>
          <w:color w:val="231F20"/>
          <w:spacing w:val="-8"/>
          <w:w w:val="105"/>
        </w:rPr>
        <w:t> </w:t>
      </w:r>
      <w:r>
        <w:rPr>
          <w:color w:val="231F20"/>
          <w:w w:val="105"/>
        </w:rPr>
        <w:t>buena</w:t>
      </w:r>
      <w:r>
        <w:rPr>
          <w:color w:val="231F20"/>
          <w:spacing w:val="-8"/>
          <w:w w:val="105"/>
        </w:rPr>
        <w:t> </w:t>
      </w:r>
      <w:r>
        <w:rPr>
          <w:color w:val="231F20"/>
          <w:w w:val="105"/>
        </w:rPr>
        <w:t>medida</w:t>
      </w:r>
      <w:r>
        <w:rPr>
          <w:color w:val="231F20"/>
          <w:spacing w:val="-8"/>
          <w:w w:val="105"/>
        </w:rPr>
        <w:t> </w:t>
      </w:r>
      <w:r>
        <w:rPr>
          <w:color w:val="231F20"/>
          <w:w w:val="105"/>
        </w:rPr>
        <w:t>el</w:t>
      </w:r>
      <w:r>
        <w:rPr>
          <w:color w:val="231F20"/>
          <w:spacing w:val="-8"/>
          <w:w w:val="105"/>
        </w:rPr>
        <w:t> </w:t>
      </w:r>
      <w:r>
        <w:rPr>
          <w:color w:val="231F20"/>
          <w:w w:val="105"/>
        </w:rPr>
        <w:t>hecho</w:t>
      </w:r>
      <w:r>
        <w:rPr>
          <w:color w:val="231F20"/>
          <w:spacing w:val="-8"/>
          <w:w w:val="105"/>
        </w:rPr>
        <w:t> </w:t>
      </w:r>
      <w:r>
        <w:rPr>
          <w:color w:val="231F20"/>
          <w:w w:val="105"/>
        </w:rPr>
        <w:t>de</w:t>
      </w:r>
      <w:r>
        <w:rPr>
          <w:color w:val="231F20"/>
          <w:spacing w:val="-8"/>
          <w:w w:val="105"/>
        </w:rPr>
        <w:t> </w:t>
      </w:r>
      <w:r>
        <w:rPr>
          <w:color w:val="231F20"/>
          <w:w w:val="105"/>
        </w:rPr>
        <w:t>emigrar.</w:t>
      </w:r>
    </w:p>
    <w:p>
      <w:pPr>
        <w:pStyle w:val="BodyText"/>
        <w:spacing w:line="261" w:lineRule="auto" w:before="1"/>
        <w:ind w:left="1837" w:right="1721" w:firstLine="567"/>
        <w:jc w:val="both"/>
      </w:pPr>
      <w:r>
        <w:rPr>
          <w:color w:val="231F20"/>
        </w:rPr>
        <w:t>En lo que respecta a las actividades en Estados Unidos, paradóji- camente la agricultura y algunas otras actividades relacionadas con los servicios son las tareas principales que desarrollan los migrantes alqui- sirenses, quienes tienen como destino principal Pennsylvania, como lo vemos en las siguientes entrevistas.</w:t>
      </w:r>
    </w:p>
    <w:p>
      <w:pPr>
        <w:pStyle w:val="BodyText"/>
        <w:spacing w:before="7"/>
        <w:rPr>
          <w:sz w:val="18"/>
        </w:rPr>
      </w:pPr>
    </w:p>
    <w:p>
      <w:pPr>
        <w:spacing w:line="254" w:lineRule="auto" w:before="1"/>
        <w:ind w:left="2971" w:right="1716" w:firstLine="0"/>
        <w:jc w:val="both"/>
        <w:rPr>
          <w:sz w:val="18"/>
        </w:rPr>
      </w:pPr>
      <w:r>
        <w:rPr>
          <w:color w:val="231F20"/>
          <w:w w:val="105"/>
          <w:sz w:val="18"/>
        </w:rPr>
        <w:t>Me</w:t>
      </w:r>
      <w:r>
        <w:rPr>
          <w:color w:val="231F20"/>
          <w:spacing w:val="-11"/>
          <w:w w:val="105"/>
          <w:sz w:val="18"/>
        </w:rPr>
        <w:t> </w:t>
      </w:r>
      <w:r>
        <w:rPr>
          <w:color w:val="231F20"/>
          <w:w w:val="105"/>
          <w:sz w:val="18"/>
        </w:rPr>
        <w:t>fui</w:t>
      </w:r>
      <w:r>
        <w:rPr>
          <w:color w:val="231F20"/>
          <w:spacing w:val="-11"/>
          <w:w w:val="105"/>
          <w:sz w:val="18"/>
        </w:rPr>
        <w:t> </w:t>
      </w:r>
      <w:r>
        <w:rPr>
          <w:color w:val="231F20"/>
          <w:w w:val="105"/>
          <w:sz w:val="18"/>
        </w:rPr>
        <w:t>a</w:t>
      </w:r>
      <w:r>
        <w:rPr>
          <w:color w:val="231F20"/>
          <w:spacing w:val="-11"/>
          <w:w w:val="105"/>
          <w:sz w:val="18"/>
        </w:rPr>
        <w:t> </w:t>
      </w:r>
      <w:r>
        <w:rPr>
          <w:color w:val="231F20"/>
          <w:w w:val="105"/>
          <w:sz w:val="18"/>
        </w:rPr>
        <w:t>Pennsylvania</w:t>
      </w:r>
      <w:r>
        <w:rPr>
          <w:color w:val="231F20"/>
          <w:spacing w:val="-11"/>
          <w:w w:val="105"/>
          <w:sz w:val="18"/>
        </w:rPr>
        <w:t> </w:t>
      </w:r>
      <w:r>
        <w:rPr>
          <w:color w:val="231F20"/>
          <w:w w:val="105"/>
          <w:sz w:val="18"/>
        </w:rPr>
        <w:t>con</w:t>
      </w:r>
      <w:r>
        <w:rPr>
          <w:color w:val="231F20"/>
          <w:spacing w:val="-11"/>
          <w:w w:val="105"/>
          <w:sz w:val="18"/>
        </w:rPr>
        <w:t> </w:t>
      </w:r>
      <w:r>
        <w:rPr>
          <w:color w:val="231F20"/>
          <w:w w:val="105"/>
          <w:sz w:val="18"/>
        </w:rPr>
        <w:t>mi</w:t>
      </w:r>
      <w:r>
        <w:rPr>
          <w:color w:val="231F20"/>
          <w:spacing w:val="-11"/>
          <w:w w:val="105"/>
          <w:sz w:val="18"/>
        </w:rPr>
        <w:t> </w:t>
      </w:r>
      <w:r>
        <w:rPr>
          <w:color w:val="231F20"/>
          <w:w w:val="105"/>
          <w:sz w:val="18"/>
        </w:rPr>
        <w:t>hermano</w:t>
      </w:r>
      <w:r>
        <w:rPr>
          <w:color w:val="231F20"/>
          <w:spacing w:val="-11"/>
          <w:w w:val="105"/>
          <w:sz w:val="18"/>
        </w:rPr>
        <w:t> </w:t>
      </w:r>
      <w:r>
        <w:rPr>
          <w:color w:val="231F20"/>
          <w:w w:val="105"/>
          <w:sz w:val="18"/>
        </w:rPr>
        <w:t>y</w:t>
      </w:r>
      <w:r>
        <w:rPr>
          <w:color w:val="231F20"/>
          <w:spacing w:val="-11"/>
          <w:w w:val="105"/>
          <w:sz w:val="18"/>
        </w:rPr>
        <w:t> </w:t>
      </w:r>
      <w:r>
        <w:rPr>
          <w:color w:val="231F20"/>
          <w:w w:val="105"/>
          <w:sz w:val="18"/>
        </w:rPr>
        <w:t>su</w:t>
      </w:r>
      <w:r>
        <w:rPr>
          <w:color w:val="231F20"/>
          <w:spacing w:val="-11"/>
          <w:w w:val="105"/>
          <w:sz w:val="18"/>
        </w:rPr>
        <w:t> </w:t>
      </w:r>
      <w:r>
        <w:rPr>
          <w:color w:val="231F20"/>
          <w:w w:val="105"/>
          <w:sz w:val="18"/>
        </w:rPr>
        <w:t>familia,</w:t>
      </w:r>
      <w:r>
        <w:rPr>
          <w:color w:val="231F20"/>
          <w:spacing w:val="-16"/>
          <w:w w:val="105"/>
          <w:sz w:val="18"/>
        </w:rPr>
        <w:t> </w:t>
      </w:r>
      <w:r>
        <w:rPr>
          <w:color w:val="231F20"/>
          <w:w w:val="105"/>
          <w:sz w:val="18"/>
        </w:rPr>
        <w:t>ellos</w:t>
      </w:r>
      <w:r>
        <w:rPr>
          <w:color w:val="231F20"/>
          <w:spacing w:val="-11"/>
          <w:w w:val="105"/>
          <w:sz w:val="18"/>
        </w:rPr>
        <w:t> </w:t>
      </w:r>
      <w:r>
        <w:rPr>
          <w:color w:val="231F20"/>
          <w:w w:val="105"/>
          <w:sz w:val="18"/>
        </w:rPr>
        <w:t>tienen</w:t>
      </w:r>
      <w:r>
        <w:rPr>
          <w:color w:val="231F20"/>
          <w:spacing w:val="-11"/>
          <w:w w:val="105"/>
          <w:sz w:val="18"/>
        </w:rPr>
        <w:t> </w:t>
      </w:r>
      <w:r>
        <w:rPr>
          <w:color w:val="231F20"/>
          <w:w w:val="105"/>
          <w:sz w:val="18"/>
        </w:rPr>
        <w:t>tres</w:t>
      </w:r>
      <w:r>
        <w:rPr>
          <w:color w:val="231F20"/>
          <w:spacing w:val="-11"/>
          <w:w w:val="105"/>
          <w:sz w:val="18"/>
        </w:rPr>
        <w:t> </w:t>
      </w:r>
      <w:r>
        <w:rPr>
          <w:color w:val="231F20"/>
          <w:w w:val="105"/>
          <w:sz w:val="18"/>
        </w:rPr>
        <w:t>ni- ños</w:t>
      </w:r>
      <w:r>
        <w:rPr>
          <w:color w:val="231F20"/>
          <w:spacing w:val="-10"/>
          <w:w w:val="105"/>
          <w:sz w:val="18"/>
        </w:rPr>
        <w:t> </w:t>
      </w:r>
      <w:r>
        <w:rPr>
          <w:color w:val="231F20"/>
          <w:w w:val="105"/>
          <w:sz w:val="18"/>
        </w:rPr>
        <w:t>y</w:t>
      </w:r>
      <w:r>
        <w:rPr>
          <w:color w:val="231F20"/>
          <w:spacing w:val="-10"/>
          <w:w w:val="105"/>
          <w:sz w:val="18"/>
        </w:rPr>
        <w:t> </w:t>
      </w:r>
      <w:r>
        <w:rPr>
          <w:color w:val="231F20"/>
          <w:w w:val="105"/>
          <w:sz w:val="18"/>
        </w:rPr>
        <w:t>me</w:t>
      </w:r>
      <w:r>
        <w:rPr>
          <w:color w:val="231F20"/>
          <w:spacing w:val="-10"/>
          <w:w w:val="105"/>
          <w:sz w:val="18"/>
        </w:rPr>
        <w:t> </w:t>
      </w:r>
      <w:r>
        <w:rPr>
          <w:color w:val="231F20"/>
          <w:w w:val="105"/>
          <w:sz w:val="18"/>
        </w:rPr>
        <w:t>quedé</w:t>
      </w:r>
      <w:r>
        <w:rPr>
          <w:color w:val="231F20"/>
          <w:spacing w:val="-10"/>
          <w:w w:val="105"/>
          <w:sz w:val="18"/>
        </w:rPr>
        <w:t> </w:t>
      </w:r>
      <w:r>
        <w:rPr>
          <w:color w:val="231F20"/>
          <w:w w:val="105"/>
          <w:sz w:val="18"/>
        </w:rPr>
        <w:t>con</w:t>
      </w:r>
      <w:r>
        <w:rPr>
          <w:color w:val="231F20"/>
          <w:spacing w:val="-10"/>
          <w:w w:val="105"/>
          <w:sz w:val="18"/>
        </w:rPr>
        <w:t> </w:t>
      </w:r>
      <w:r>
        <w:rPr>
          <w:color w:val="231F20"/>
          <w:w w:val="105"/>
          <w:sz w:val="18"/>
        </w:rPr>
        <w:t>ellos,</w:t>
      </w:r>
      <w:r>
        <w:rPr>
          <w:color w:val="231F20"/>
          <w:spacing w:val="-15"/>
          <w:w w:val="105"/>
          <w:sz w:val="18"/>
        </w:rPr>
        <w:t> </w:t>
      </w:r>
      <w:r>
        <w:rPr>
          <w:color w:val="231F20"/>
          <w:w w:val="105"/>
          <w:sz w:val="18"/>
        </w:rPr>
        <w:t>mi</w:t>
      </w:r>
      <w:r>
        <w:rPr>
          <w:color w:val="231F20"/>
          <w:spacing w:val="-10"/>
          <w:w w:val="105"/>
          <w:sz w:val="18"/>
        </w:rPr>
        <w:t> </w:t>
      </w:r>
      <w:r>
        <w:rPr>
          <w:color w:val="231F20"/>
          <w:w w:val="105"/>
          <w:sz w:val="18"/>
        </w:rPr>
        <w:t>hermano</w:t>
      </w:r>
      <w:r>
        <w:rPr>
          <w:color w:val="231F20"/>
          <w:spacing w:val="-10"/>
          <w:w w:val="105"/>
          <w:sz w:val="18"/>
        </w:rPr>
        <w:t> </w:t>
      </w:r>
      <w:r>
        <w:rPr>
          <w:color w:val="231F20"/>
          <w:w w:val="105"/>
          <w:sz w:val="18"/>
        </w:rPr>
        <w:t>se</w:t>
      </w:r>
      <w:r>
        <w:rPr>
          <w:color w:val="231F20"/>
          <w:spacing w:val="-10"/>
          <w:w w:val="105"/>
          <w:sz w:val="18"/>
        </w:rPr>
        <w:t> </w:t>
      </w:r>
      <w:r>
        <w:rPr>
          <w:color w:val="231F20"/>
          <w:w w:val="105"/>
          <w:sz w:val="18"/>
        </w:rPr>
        <w:t>dedica</w:t>
      </w:r>
      <w:r>
        <w:rPr>
          <w:color w:val="231F20"/>
          <w:spacing w:val="-10"/>
          <w:w w:val="105"/>
          <w:sz w:val="18"/>
        </w:rPr>
        <w:t> </w:t>
      </w:r>
      <w:r>
        <w:rPr>
          <w:color w:val="231F20"/>
          <w:w w:val="105"/>
          <w:sz w:val="18"/>
        </w:rPr>
        <w:t>a</w:t>
      </w:r>
      <w:r>
        <w:rPr>
          <w:color w:val="231F20"/>
          <w:spacing w:val="-10"/>
          <w:w w:val="105"/>
          <w:sz w:val="18"/>
        </w:rPr>
        <w:t> </w:t>
      </w:r>
      <w:r>
        <w:rPr>
          <w:color w:val="231F20"/>
          <w:w w:val="105"/>
          <w:sz w:val="18"/>
        </w:rPr>
        <w:t>trabajar</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los</w:t>
      </w:r>
      <w:r>
        <w:rPr>
          <w:color w:val="231F20"/>
          <w:spacing w:val="-10"/>
          <w:w w:val="105"/>
          <w:sz w:val="18"/>
        </w:rPr>
        <w:t> </w:t>
      </w:r>
      <w:r>
        <w:rPr>
          <w:color w:val="231F20"/>
          <w:w w:val="105"/>
          <w:sz w:val="18"/>
        </w:rPr>
        <w:t>hon- gos,</w:t>
      </w:r>
      <w:r>
        <w:rPr>
          <w:color w:val="231F20"/>
          <w:spacing w:val="-23"/>
          <w:w w:val="105"/>
          <w:sz w:val="18"/>
        </w:rPr>
        <w:t> </w:t>
      </w:r>
      <w:r>
        <w:rPr>
          <w:color w:val="231F20"/>
          <w:w w:val="105"/>
          <w:sz w:val="18"/>
        </w:rPr>
        <w:t>a</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cosecha</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hongos,</w:t>
      </w:r>
      <w:r>
        <w:rPr>
          <w:color w:val="231F20"/>
          <w:spacing w:val="-23"/>
          <w:w w:val="105"/>
          <w:sz w:val="18"/>
        </w:rPr>
        <w:t> </w:t>
      </w:r>
      <w:r>
        <w:rPr>
          <w:color w:val="231F20"/>
          <w:w w:val="105"/>
          <w:sz w:val="18"/>
        </w:rPr>
        <w:t>porque</w:t>
      </w:r>
      <w:r>
        <w:rPr>
          <w:color w:val="231F20"/>
          <w:spacing w:val="-18"/>
          <w:w w:val="105"/>
          <w:sz w:val="18"/>
        </w:rPr>
        <w:t> </w:t>
      </w:r>
      <w:r>
        <w:rPr>
          <w:color w:val="231F20"/>
          <w:w w:val="105"/>
          <w:sz w:val="18"/>
        </w:rPr>
        <w:t>allá</w:t>
      </w:r>
      <w:r>
        <w:rPr>
          <w:color w:val="231F20"/>
          <w:spacing w:val="-18"/>
          <w:w w:val="105"/>
          <w:sz w:val="18"/>
        </w:rPr>
        <w:t> </w:t>
      </w:r>
      <w:r>
        <w:rPr>
          <w:color w:val="231F20"/>
          <w:w w:val="105"/>
          <w:sz w:val="18"/>
        </w:rPr>
        <w:t>es</w:t>
      </w:r>
      <w:r>
        <w:rPr>
          <w:color w:val="231F20"/>
          <w:spacing w:val="-18"/>
          <w:w w:val="105"/>
          <w:sz w:val="18"/>
        </w:rPr>
        <w:t> </w:t>
      </w:r>
      <w:r>
        <w:rPr>
          <w:color w:val="231F20"/>
          <w:w w:val="105"/>
          <w:sz w:val="18"/>
        </w:rPr>
        <w:t>lo</w:t>
      </w:r>
      <w:r>
        <w:rPr>
          <w:color w:val="231F20"/>
          <w:spacing w:val="-18"/>
          <w:w w:val="105"/>
          <w:sz w:val="18"/>
        </w:rPr>
        <w:t> </w:t>
      </w:r>
      <w:r>
        <w:rPr>
          <w:color w:val="231F20"/>
          <w:w w:val="105"/>
          <w:sz w:val="18"/>
        </w:rPr>
        <w:t>que</w:t>
      </w:r>
      <w:r>
        <w:rPr>
          <w:color w:val="231F20"/>
          <w:spacing w:val="-18"/>
          <w:w w:val="105"/>
          <w:sz w:val="18"/>
        </w:rPr>
        <w:t> </w:t>
      </w:r>
      <w:r>
        <w:rPr>
          <w:color w:val="231F20"/>
          <w:w w:val="105"/>
          <w:sz w:val="18"/>
        </w:rPr>
        <w:t>siembran,</w:t>
      </w:r>
      <w:r>
        <w:rPr>
          <w:color w:val="231F20"/>
          <w:spacing w:val="-23"/>
          <w:w w:val="105"/>
          <w:sz w:val="18"/>
        </w:rPr>
        <w:t> </w:t>
      </w:r>
      <w:r>
        <w:rPr>
          <w:color w:val="231F20"/>
          <w:w w:val="105"/>
          <w:sz w:val="18"/>
        </w:rPr>
        <w:t>y</w:t>
      </w:r>
      <w:r>
        <w:rPr>
          <w:color w:val="231F20"/>
          <w:spacing w:val="-18"/>
          <w:w w:val="105"/>
          <w:sz w:val="18"/>
        </w:rPr>
        <w:t> </w:t>
      </w:r>
      <w:r>
        <w:rPr>
          <w:color w:val="231F20"/>
          <w:w w:val="105"/>
          <w:sz w:val="18"/>
        </w:rPr>
        <w:t>yo</w:t>
      </w:r>
      <w:r>
        <w:rPr>
          <w:color w:val="231F20"/>
          <w:spacing w:val="-18"/>
          <w:w w:val="105"/>
          <w:sz w:val="18"/>
        </w:rPr>
        <w:t> </w:t>
      </w:r>
      <w:r>
        <w:rPr>
          <w:color w:val="231F20"/>
          <w:w w:val="105"/>
          <w:sz w:val="18"/>
        </w:rPr>
        <w:t>como acá</w:t>
      </w:r>
      <w:r>
        <w:rPr>
          <w:color w:val="231F20"/>
          <w:spacing w:val="-4"/>
          <w:w w:val="105"/>
          <w:sz w:val="18"/>
        </w:rPr>
        <w:t> </w:t>
      </w:r>
      <w:r>
        <w:rPr>
          <w:color w:val="231F20"/>
          <w:w w:val="105"/>
          <w:sz w:val="18"/>
        </w:rPr>
        <w:t>me</w:t>
      </w:r>
      <w:r>
        <w:rPr>
          <w:color w:val="231F20"/>
          <w:spacing w:val="-4"/>
          <w:w w:val="105"/>
          <w:sz w:val="18"/>
        </w:rPr>
        <w:t> </w:t>
      </w:r>
      <w:r>
        <w:rPr>
          <w:color w:val="231F20"/>
          <w:w w:val="105"/>
          <w:sz w:val="18"/>
        </w:rPr>
        <w:t>dedico</w:t>
      </w:r>
      <w:r>
        <w:rPr>
          <w:color w:val="231F20"/>
          <w:spacing w:val="-4"/>
          <w:w w:val="105"/>
          <w:sz w:val="18"/>
        </w:rPr>
        <w:t> </w:t>
      </w:r>
      <w:r>
        <w:rPr>
          <w:color w:val="231F20"/>
          <w:w w:val="105"/>
          <w:sz w:val="18"/>
        </w:rPr>
        <w:t>a</w:t>
      </w:r>
      <w:r>
        <w:rPr>
          <w:color w:val="231F20"/>
          <w:spacing w:val="-4"/>
          <w:w w:val="105"/>
          <w:sz w:val="18"/>
        </w:rPr>
        <w:t> </w:t>
      </w:r>
      <w:r>
        <w:rPr>
          <w:color w:val="231F20"/>
          <w:w w:val="105"/>
          <w:sz w:val="18"/>
        </w:rPr>
        <w:t>la</w:t>
      </w:r>
      <w:r>
        <w:rPr>
          <w:color w:val="231F20"/>
          <w:spacing w:val="-4"/>
          <w:w w:val="105"/>
          <w:sz w:val="18"/>
        </w:rPr>
        <w:t> </w:t>
      </w:r>
      <w:r>
        <w:rPr>
          <w:color w:val="231F20"/>
          <w:w w:val="105"/>
          <w:sz w:val="18"/>
        </w:rPr>
        <w:t>construcción</w:t>
      </w:r>
      <w:r>
        <w:rPr>
          <w:color w:val="231F20"/>
          <w:spacing w:val="-4"/>
          <w:w w:val="105"/>
          <w:sz w:val="18"/>
        </w:rPr>
        <w:t> </w:t>
      </w:r>
      <w:r>
        <w:rPr>
          <w:color w:val="231F20"/>
          <w:w w:val="105"/>
          <w:sz w:val="18"/>
        </w:rPr>
        <w:t>pues</w:t>
      </w:r>
      <w:r>
        <w:rPr>
          <w:color w:val="231F20"/>
          <w:spacing w:val="-4"/>
          <w:w w:val="105"/>
          <w:sz w:val="18"/>
        </w:rPr>
        <w:t> </w:t>
      </w:r>
      <w:r>
        <w:rPr>
          <w:color w:val="231F20"/>
          <w:w w:val="105"/>
          <w:sz w:val="18"/>
        </w:rPr>
        <w:t>me</w:t>
      </w:r>
      <w:r>
        <w:rPr>
          <w:color w:val="231F20"/>
          <w:spacing w:val="-4"/>
          <w:w w:val="105"/>
          <w:sz w:val="18"/>
        </w:rPr>
        <w:t> </w:t>
      </w:r>
      <w:r>
        <w:rPr>
          <w:color w:val="231F20"/>
          <w:w w:val="105"/>
          <w:sz w:val="18"/>
        </w:rPr>
        <w:t>fui</w:t>
      </w:r>
      <w:r>
        <w:rPr>
          <w:color w:val="231F20"/>
          <w:spacing w:val="-4"/>
          <w:w w:val="105"/>
          <w:sz w:val="18"/>
        </w:rPr>
        <w:t> </w:t>
      </w:r>
      <w:r>
        <w:rPr>
          <w:color w:val="231F20"/>
          <w:w w:val="105"/>
          <w:sz w:val="18"/>
        </w:rPr>
        <w:t>a</w:t>
      </w:r>
      <w:r>
        <w:rPr>
          <w:color w:val="231F20"/>
          <w:spacing w:val="-4"/>
          <w:w w:val="105"/>
          <w:sz w:val="18"/>
        </w:rPr>
        <w:t> </w:t>
      </w:r>
      <w:r>
        <w:rPr>
          <w:color w:val="231F20"/>
          <w:w w:val="105"/>
          <w:sz w:val="18"/>
        </w:rPr>
        <w:t>trabajar</w:t>
      </w:r>
      <w:r>
        <w:rPr>
          <w:color w:val="231F20"/>
          <w:spacing w:val="-4"/>
          <w:w w:val="105"/>
          <w:sz w:val="18"/>
        </w:rPr>
        <w:t> </w:t>
      </w:r>
      <w:r>
        <w:rPr>
          <w:color w:val="231F20"/>
          <w:w w:val="105"/>
          <w:sz w:val="18"/>
        </w:rPr>
        <w:t>a</w:t>
      </w:r>
      <w:r>
        <w:rPr>
          <w:color w:val="231F20"/>
          <w:spacing w:val="-4"/>
          <w:w w:val="105"/>
          <w:sz w:val="18"/>
        </w:rPr>
        <w:t> </w:t>
      </w:r>
      <w:r>
        <w:rPr>
          <w:color w:val="231F20"/>
          <w:w w:val="105"/>
          <w:sz w:val="18"/>
        </w:rPr>
        <w:t>hacer</w:t>
      </w:r>
      <w:r>
        <w:rPr>
          <w:color w:val="231F20"/>
          <w:spacing w:val="-4"/>
          <w:w w:val="105"/>
          <w:sz w:val="18"/>
        </w:rPr>
        <w:t> </w:t>
      </w:r>
      <w:r>
        <w:rPr>
          <w:color w:val="231F20"/>
          <w:w w:val="105"/>
          <w:sz w:val="18"/>
        </w:rPr>
        <w:t>casas, a la construcción con un amigo de mi hermano que creo que es de Honduras,</w:t>
      </w:r>
      <w:r>
        <w:rPr>
          <w:color w:val="231F20"/>
          <w:spacing w:val="-11"/>
          <w:w w:val="105"/>
          <w:sz w:val="18"/>
        </w:rPr>
        <w:t> </w:t>
      </w:r>
      <w:r>
        <w:rPr>
          <w:color w:val="231F20"/>
          <w:w w:val="105"/>
          <w:sz w:val="18"/>
        </w:rPr>
        <w:t>nos</w:t>
      </w:r>
      <w:r>
        <w:rPr>
          <w:color w:val="231F20"/>
          <w:spacing w:val="-6"/>
          <w:w w:val="105"/>
          <w:sz w:val="18"/>
        </w:rPr>
        <w:t> </w:t>
      </w:r>
      <w:r>
        <w:rPr>
          <w:color w:val="231F20"/>
          <w:w w:val="105"/>
          <w:sz w:val="18"/>
        </w:rPr>
        <w:t>dedicábamos</w:t>
      </w:r>
      <w:r>
        <w:rPr>
          <w:color w:val="231F20"/>
          <w:spacing w:val="-6"/>
          <w:w w:val="105"/>
          <w:sz w:val="18"/>
        </w:rPr>
        <w:t> </w:t>
      </w:r>
      <w:r>
        <w:rPr>
          <w:color w:val="231F20"/>
          <w:w w:val="105"/>
          <w:sz w:val="18"/>
        </w:rPr>
        <w:t>a</w:t>
      </w:r>
      <w:r>
        <w:rPr>
          <w:color w:val="231F20"/>
          <w:spacing w:val="-6"/>
          <w:w w:val="105"/>
          <w:sz w:val="18"/>
        </w:rPr>
        <w:t> </w:t>
      </w:r>
      <w:r>
        <w:rPr>
          <w:color w:val="231F20"/>
          <w:w w:val="105"/>
          <w:sz w:val="18"/>
        </w:rPr>
        <w:t>construir</w:t>
      </w:r>
      <w:r>
        <w:rPr>
          <w:color w:val="231F20"/>
          <w:spacing w:val="-6"/>
          <w:w w:val="105"/>
          <w:sz w:val="18"/>
        </w:rPr>
        <w:t> </w:t>
      </w:r>
      <w:r>
        <w:rPr>
          <w:color w:val="231F20"/>
          <w:w w:val="105"/>
          <w:sz w:val="18"/>
        </w:rPr>
        <w:t>casas,</w:t>
      </w:r>
      <w:r>
        <w:rPr>
          <w:color w:val="231F20"/>
          <w:spacing w:val="-11"/>
          <w:w w:val="105"/>
          <w:sz w:val="18"/>
        </w:rPr>
        <w:t> </w:t>
      </w:r>
      <w:r>
        <w:rPr>
          <w:color w:val="231F20"/>
          <w:w w:val="105"/>
          <w:sz w:val="18"/>
        </w:rPr>
        <w:t>pero</w:t>
      </w:r>
      <w:r>
        <w:rPr>
          <w:color w:val="231F20"/>
          <w:spacing w:val="-6"/>
          <w:w w:val="105"/>
          <w:sz w:val="18"/>
        </w:rPr>
        <w:t> </w:t>
      </w:r>
      <w:r>
        <w:rPr>
          <w:color w:val="231F20"/>
          <w:w w:val="105"/>
          <w:sz w:val="18"/>
        </w:rPr>
        <w:t>cuando</w:t>
      </w:r>
      <w:r>
        <w:rPr>
          <w:color w:val="231F20"/>
          <w:spacing w:val="-6"/>
          <w:w w:val="105"/>
          <w:sz w:val="18"/>
        </w:rPr>
        <w:t> </w:t>
      </w:r>
      <w:r>
        <w:rPr>
          <w:color w:val="231F20"/>
          <w:w w:val="105"/>
          <w:sz w:val="18"/>
        </w:rPr>
        <w:t>se</w:t>
      </w:r>
      <w:r>
        <w:rPr>
          <w:color w:val="231F20"/>
          <w:spacing w:val="-6"/>
          <w:w w:val="105"/>
          <w:sz w:val="18"/>
        </w:rPr>
        <w:t> </w:t>
      </w:r>
      <w:r>
        <w:rPr>
          <w:color w:val="231F20"/>
          <w:w w:val="105"/>
          <w:sz w:val="18"/>
        </w:rPr>
        <w:t>acabó el trabajo me fui a cosechar hongos con mi hermano, porque se</w:t>
      </w:r>
      <w:r>
        <w:rPr>
          <w:color w:val="231F20"/>
          <w:spacing w:val="-21"/>
          <w:w w:val="105"/>
          <w:sz w:val="18"/>
        </w:rPr>
        <w:t> </w:t>
      </w:r>
      <w:r>
        <w:rPr>
          <w:color w:val="231F20"/>
          <w:w w:val="105"/>
          <w:sz w:val="18"/>
        </w:rPr>
        <w:t>gana bien</w:t>
      </w:r>
      <w:r>
        <w:rPr>
          <w:color w:val="231F20"/>
          <w:spacing w:val="-15"/>
          <w:w w:val="105"/>
          <w:sz w:val="18"/>
        </w:rPr>
        <w:t> </w:t>
      </w:r>
      <w:r>
        <w:rPr>
          <w:color w:val="231F20"/>
          <w:w w:val="105"/>
          <w:sz w:val="18"/>
        </w:rPr>
        <w:t>y</w:t>
      </w:r>
      <w:r>
        <w:rPr>
          <w:color w:val="231F20"/>
          <w:spacing w:val="-15"/>
          <w:w w:val="105"/>
          <w:sz w:val="18"/>
        </w:rPr>
        <w:t> </w:t>
      </w:r>
      <w:r>
        <w:rPr>
          <w:color w:val="231F20"/>
          <w:w w:val="105"/>
          <w:sz w:val="18"/>
        </w:rPr>
        <w:t>sí</w:t>
      </w:r>
      <w:r>
        <w:rPr>
          <w:color w:val="231F20"/>
          <w:spacing w:val="-15"/>
          <w:w w:val="105"/>
          <w:sz w:val="18"/>
        </w:rPr>
        <w:t> </w:t>
      </w:r>
      <w:r>
        <w:rPr>
          <w:color w:val="231F20"/>
          <w:w w:val="105"/>
          <w:sz w:val="18"/>
        </w:rPr>
        <w:t>hay</w:t>
      </w:r>
      <w:r>
        <w:rPr>
          <w:color w:val="231F20"/>
          <w:spacing w:val="-15"/>
          <w:w w:val="105"/>
          <w:sz w:val="18"/>
        </w:rPr>
        <w:t> </w:t>
      </w:r>
      <w:r>
        <w:rPr>
          <w:color w:val="231F20"/>
          <w:w w:val="105"/>
          <w:sz w:val="18"/>
        </w:rPr>
        <w:t>trabajo</w:t>
      </w:r>
      <w:r>
        <w:rPr>
          <w:color w:val="231F20"/>
          <w:spacing w:val="-15"/>
          <w:w w:val="105"/>
          <w:sz w:val="18"/>
        </w:rPr>
        <w:t> </w:t>
      </w:r>
      <w:r>
        <w:rPr>
          <w:color w:val="231F20"/>
          <w:w w:val="105"/>
          <w:sz w:val="18"/>
        </w:rPr>
        <w:t>(Juan/31/1).</w:t>
      </w:r>
    </w:p>
    <w:p>
      <w:pPr>
        <w:pStyle w:val="BodyText"/>
        <w:spacing w:before="5"/>
      </w:pPr>
    </w:p>
    <w:p>
      <w:pPr>
        <w:pStyle w:val="BodyText"/>
        <w:ind w:left="1837"/>
        <w:jc w:val="both"/>
      </w:pPr>
      <w:r>
        <w:rPr>
          <w:color w:val="231F20"/>
          <w:w w:val="105"/>
        </w:rPr>
        <w:t>Por su parte Carlos nos menciona que trabajó en el sector servicios:</w:t>
      </w:r>
    </w:p>
    <w:p>
      <w:pPr>
        <w:pStyle w:val="BodyText"/>
        <w:spacing w:before="6"/>
        <w:rPr>
          <w:sz w:val="20"/>
        </w:rPr>
      </w:pPr>
    </w:p>
    <w:p>
      <w:pPr>
        <w:spacing w:line="254" w:lineRule="auto" w:before="0"/>
        <w:ind w:left="2971" w:right="1716" w:firstLine="0"/>
        <w:jc w:val="both"/>
        <w:rPr>
          <w:sz w:val="18"/>
        </w:rPr>
      </w:pPr>
      <w:r>
        <w:rPr>
          <w:color w:val="231F20"/>
          <w:sz w:val="18"/>
        </w:rPr>
        <w:t>Llegué a trabajar en un restaurante y a la costura, pues hay nada más para comer tan siquiera sacaba uno, porque le pagan a uno barato,     me pagaban a ocho la hora, yo trabajaba ocho horas nada  </w:t>
      </w:r>
      <w:r>
        <w:rPr>
          <w:color w:val="231F20"/>
          <w:spacing w:val="35"/>
          <w:sz w:val="18"/>
        </w:rPr>
        <w:t> </w:t>
      </w:r>
      <w:r>
        <w:rPr>
          <w:color w:val="231F20"/>
          <w:sz w:val="18"/>
        </w:rPr>
        <w:t>más, bueno</w:t>
      </w:r>
    </w:p>
    <w:p>
      <w:pPr>
        <w:pStyle w:val="BodyText"/>
        <w:rPr>
          <w:sz w:val="20"/>
        </w:rPr>
      </w:pPr>
      <w:r>
        <w:rPr/>
        <w:pict>
          <v:line style="position:absolute;mso-position-horizontal-relative:page;mso-position-vertical-relative:paragraph;z-index:36064;mso-wrap-distance-left:0;mso-wrap-distance-right:0" from="91.866096pt,13.422853pt" to="205.252096pt,13.422853pt" stroked="true" strokeweight=".25pt" strokecolor="#231f20">
            <w10:wrap type="topAndBottom"/>
          </v:line>
        </w:pict>
      </w:r>
    </w:p>
    <w:p>
      <w:pPr>
        <w:spacing w:line="192" w:lineRule="exact" w:before="7"/>
        <w:ind w:left="1837" w:right="1721" w:firstLine="0"/>
        <w:jc w:val="both"/>
        <w:rPr>
          <w:rFonts w:ascii="Calibri" w:hAnsi="Calibri"/>
          <w:sz w:val="16"/>
        </w:rPr>
      </w:pPr>
      <w:r>
        <w:rPr>
          <w:rFonts w:ascii="Calibri" w:hAnsi="Calibri"/>
          <w:color w:val="414042"/>
          <w:w w:val="105"/>
          <w:position w:val="5"/>
          <w:sz w:val="9"/>
        </w:rPr>
        <w:t>4</w:t>
      </w:r>
      <w:r>
        <w:rPr>
          <w:rFonts w:ascii="Calibri" w:hAnsi="Calibri"/>
          <w:color w:val="414042"/>
          <w:spacing w:val="3"/>
          <w:w w:val="105"/>
          <w:position w:val="5"/>
          <w:sz w:val="9"/>
        </w:rPr>
        <w:t> </w:t>
      </w:r>
      <w:r>
        <w:rPr>
          <w:rFonts w:ascii="Calibri" w:hAnsi="Calibri"/>
          <w:color w:val="414042"/>
          <w:w w:val="105"/>
          <w:sz w:val="16"/>
        </w:rPr>
        <w:t>Para</w:t>
      </w:r>
      <w:r>
        <w:rPr>
          <w:rFonts w:ascii="Calibri" w:hAnsi="Calibri"/>
          <w:color w:val="414042"/>
          <w:spacing w:val="-14"/>
          <w:w w:val="105"/>
          <w:sz w:val="16"/>
        </w:rPr>
        <w:t> </w:t>
      </w:r>
      <w:r>
        <w:rPr>
          <w:rFonts w:ascii="Calibri" w:hAnsi="Calibri"/>
          <w:color w:val="414042"/>
          <w:w w:val="105"/>
          <w:sz w:val="16"/>
        </w:rPr>
        <w:t>conservar</w:t>
      </w:r>
      <w:r>
        <w:rPr>
          <w:rFonts w:ascii="Calibri" w:hAnsi="Calibri"/>
          <w:color w:val="414042"/>
          <w:spacing w:val="-14"/>
          <w:w w:val="105"/>
          <w:sz w:val="16"/>
        </w:rPr>
        <w:t> </w:t>
      </w:r>
      <w:r>
        <w:rPr>
          <w:rFonts w:ascii="Calibri" w:hAnsi="Calibri"/>
          <w:color w:val="414042"/>
          <w:w w:val="105"/>
          <w:sz w:val="16"/>
        </w:rPr>
        <w:t>el</w:t>
      </w:r>
      <w:r>
        <w:rPr>
          <w:rFonts w:ascii="Calibri" w:hAnsi="Calibri"/>
          <w:color w:val="414042"/>
          <w:spacing w:val="-14"/>
          <w:w w:val="105"/>
          <w:sz w:val="16"/>
        </w:rPr>
        <w:t> </w:t>
      </w:r>
      <w:r>
        <w:rPr>
          <w:rFonts w:ascii="Calibri" w:hAnsi="Calibri"/>
          <w:color w:val="414042"/>
          <w:w w:val="105"/>
          <w:sz w:val="16"/>
        </w:rPr>
        <w:t>anónimato</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los</w:t>
      </w:r>
      <w:r>
        <w:rPr>
          <w:rFonts w:ascii="Calibri" w:hAnsi="Calibri"/>
          <w:color w:val="414042"/>
          <w:spacing w:val="-14"/>
          <w:w w:val="105"/>
          <w:sz w:val="16"/>
        </w:rPr>
        <w:t> </w:t>
      </w:r>
      <w:r>
        <w:rPr>
          <w:rFonts w:ascii="Calibri" w:hAnsi="Calibri"/>
          <w:color w:val="414042"/>
          <w:w w:val="105"/>
          <w:sz w:val="16"/>
        </w:rPr>
        <w:t>informantes</w:t>
      </w:r>
      <w:r>
        <w:rPr>
          <w:rFonts w:ascii="Calibri" w:hAnsi="Calibri"/>
          <w:color w:val="414042"/>
          <w:spacing w:val="-14"/>
          <w:w w:val="105"/>
          <w:sz w:val="16"/>
        </w:rPr>
        <w:t> </w:t>
      </w:r>
      <w:r>
        <w:rPr>
          <w:rFonts w:ascii="Calibri" w:hAnsi="Calibri"/>
          <w:color w:val="414042"/>
          <w:w w:val="105"/>
          <w:sz w:val="16"/>
        </w:rPr>
        <w:t>se</w:t>
      </w:r>
      <w:r>
        <w:rPr>
          <w:rFonts w:ascii="Calibri" w:hAnsi="Calibri"/>
          <w:color w:val="414042"/>
          <w:spacing w:val="-14"/>
          <w:w w:val="105"/>
          <w:sz w:val="16"/>
        </w:rPr>
        <w:t> </w:t>
      </w:r>
      <w:r>
        <w:rPr>
          <w:rFonts w:ascii="Calibri" w:hAnsi="Calibri"/>
          <w:color w:val="414042"/>
          <w:w w:val="105"/>
          <w:sz w:val="16"/>
        </w:rPr>
        <w:t>le</w:t>
      </w:r>
      <w:r>
        <w:rPr>
          <w:rFonts w:ascii="Calibri" w:hAnsi="Calibri"/>
          <w:color w:val="414042"/>
          <w:spacing w:val="-14"/>
          <w:w w:val="105"/>
          <w:sz w:val="16"/>
        </w:rPr>
        <w:t> </w:t>
      </w:r>
      <w:r>
        <w:rPr>
          <w:rFonts w:ascii="Calibri" w:hAnsi="Calibri"/>
          <w:color w:val="414042"/>
          <w:w w:val="105"/>
          <w:sz w:val="16"/>
        </w:rPr>
        <w:t>asignó</w:t>
      </w:r>
      <w:r>
        <w:rPr>
          <w:rFonts w:ascii="Calibri" w:hAnsi="Calibri"/>
          <w:color w:val="414042"/>
          <w:spacing w:val="-14"/>
          <w:w w:val="105"/>
          <w:sz w:val="16"/>
        </w:rPr>
        <w:t> </w:t>
      </w:r>
      <w:r>
        <w:rPr>
          <w:rFonts w:ascii="Calibri" w:hAnsi="Calibri"/>
          <w:color w:val="414042"/>
          <w:w w:val="105"/>
          <w:sz w:val="16"/>
        </w:rPr>
        <w:t>un</w:t>
      </w:r>
      <w:r>
        <w:rPr>
          <w:rFonts w:ascii="Calibri" w:hAnsi="Calibri"/>
          <w:color w:val="414042"/>
          <w:spacing w:val="-14"/>
          <w:w w:val="105"/>
          <w:sz w:val="16"/>
        </w:rPr>
        <w:t> </w:t>
      </w:r>
      <w:r>
        <w:rPr>
          <w:rFonts w:ascii="Calibri" w:hAnsi="Calibri"/>
          <w:color w:val="414042"/>
          <w:w w:val="105"/>
          <w:sz w:val="16"/>
        </w:rPr>
        <w:t>sobrenombre</w:t>
      </w:r>
      <w:r>
        <w:rPr>
          <w:rFonts w:ascii="Calibri" w:hAnsi="Calibri"/>
          <w:color w:val="414042"/>
          <w:spacing w:val="-14"/>
          <w:w w:val="105"/>
          <w:sz w:val="16"/>
        </w:rPr>
        <w:t> </w:t>
      </w:r>
      <w:r>
        <w:rPr>
          <w:rFonts w:ascii="Calibri" w:hAnsi="Calibri"/>
          <w:color w:val="414042"/>
          <w:w w:val="105"/>
          <w:sz w:val="16"/>
        </w:rPr>
        <w:t>a</w:t>
      </w:r>
      <w:r>
        <w:rPr>
          <w:rFonts w:ascii="Calibri" w:hAnsi="Calibri"/>
          <w:color w:val="414042"/>
          <w:spacing w:val="-14"/>
          <w:w w:val="105"/>
          <w:sz w:val="16"/>
        </w:rPr>
        <w:t> </w:t>
      </w:r>
      <w:r>
        <w:rPr>
          <w:rFonts w:ascii="Calibri" w:hAnsi="Calibri"/>
          <w:color w:val="414042"/>
          <w:w w:val="105"/>
          <w:sz w:val="16"/>
        </w:rPr>
        <w:t>cada</w:t>
      </w:r>
      <w:r>
        <w:rPr>
          <w:rFonts w:ascii="Calibri" w:hAnsi="Calibri"/>
          <w:color w:val="414042"/>
          <w:spacing w:val="-14"/>
          <w:w w:val="105"/>
          <w:sz w:val="16"/>
        </w:rPr>
        <w:t> </w:t>
      </w:r>
      <w:r>
        <w:rPr>
          <w:rFonts w:ascii="Calibri" w:hAnsi="Calibri"/>
          <w:color w:val="414042"/>
          <w:w w:val="105"/>
          <w:sz w:val="16"/>
        </w:rPr>
        <w:t>uno</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los</w:t>
      </w:r>
      <w:r>
        <w:rPr>
          <w:rFonts w:ascii="Calibri" w:hAnsi="Calibri"/>
          <w:color w:val="414042"/>
          <w:spacing w:val="-14"/>
          <w:w w:val="105"/>
          <w:sz w:val="16"/>
        </w:rPr>
        <w:t> </w:t>
      </w:r>
      <w:r>
        <w:rPr>
          <w:rFonts w:ascii="Calibri" w:hAnsi="Calibri"/>
          <w:color w:val="414042"/>
          <w:w w:val="105"/>
          <w:sz w:val="16"/>
        </w:rPr>
        <w:t>migran- tes</w:t>
      </w:r>
      <w:r>
        <w:rPr>
          <w:rFonts w:ascii="Calibri" w:hAnsi="Calibri"/>
          <w:color w:val="414042"/>
          <w:spacing w:val="-20"/>
          <w:w w:val="105"/>
          <w:sz w:val="16"/>
        </w:rPr>
        <w:t> </w:t>
      </w:r>
      <w:r>
        <w:rPr>
          <w:rFonts w:ascii="Calibri" w:hAnsi="Calibri"/>
          <w:color w:val="414042"/>
          <w:w w:val="105"/>
          <w:sz w:val="16"/>
        </w:rPr>
        <w:t>entrevistados.</w:t>
      </w:r>
      <w:r>
        <w:rPr>
          <w:rFonts w:ascii="Calibri" w:hAnsi="Calibri"/>
          <w:color w:val="414042"/>
          <w:spacing w:val="-20"/>
          <w:w w:val="105"/>
          <w:sz w:val="16"/>
        </w:rPr>
        <w:t> </w:t>
      </w:r>
      <w:r>
        <w:rPr>
          <w:rFonts w:ascii="Calibri" w:hAnsi="Calibri"/>
          <w:color w:val="414042"/>
          <w:w w:val="105"/>
          <w:sz w:val="16"/>
        </w:rPr>
        <w:t>De</w:t>
      </w:r>
      <w:r>
        <w:rPr>
          <w:rFonts w:ascii="Calibri" w:hAnsi="Calibri"/>
          <w:color w:val="414042"/>
          <w:spacing w:val="-20"/>
          <w:w w:val="105"/>
          <w:sz w:val="16"/>
        </w:rPr>
        <w:t> </w:t>
      </w:r>
      <w:r>
        <w:rPr>
          <w:rFonts w:ascii="Calibri" w:hAnsi="Calibri"/>
          <w:color w:val="414042"/>
          <w:w w:val="105"/>
          <w:sz w:val="16"/>
        </w:rPr>
        <w:t>aquí</w:t>
      </w:r>
      <w:r>
        <w:rPr>
          <w:rFonts w:ascii="Calibri" w:hAnsi="Calibri"/>
          <w:color w:val="414042"/>
          <w:spacing w:val="-20"/>
          <w:w w:val="105"/>
          <w:sz w:val="16"/>
        </w:rPr>
        <w:t> </w:t>
      </w:r>
      <w:r>
        <w:rPr>
          <w:rFonts w:ascii="Calibri" w:hAnsi="Calibri"/>
          <w:color w:val="414042"/>
          <w:w w:val="105"/>
          <w:sz w:val="16"/>
        </w:rPr>
        <w:t>en</w:t>
      </w:r>
      <w:r>
        <w:rPr>
          <w:rFonts w:ascii="Calibri" w:hAnsi="Calibri"/>
          <w:color w:val="414042"/>
          <w:spacing w:val="-20"/>
          <w:w w:val="105"/>
          <w:sz w:val="16"/>
        </w:rPr>
        <w:t> </w:t>
      </w:r>
      <w:r>
        <w:rPr>
          <w:rFonts w:ascii="Calibri" w:hAnsi="Calibri"/>
          <w:color w:val="414042"/>
          <w:w w:val="105"/>
          <w:sz w:val="16"/>
        </w:rPr>
        <w:t>adelante,</w:t>
      </w:r>
      <w:r>
        <w:rPr>
          <w:rFonts w:ascii="Calibri" w:hAnsi="Calibri"/>
          <w:color w:val="414042"/>
          <w:spacing w:val="-20"/>
          <w:w w:val="105"/>
          <w:sz w:val="16"/>
        </w:rPr>
        <w:t> </w:t>
      </w:r>
      <w:r>
        <w:rPr>
          <w:rFonts w:ascii="Calibri" w:hAnsi="Calibri"/>
          <w:color w:val="414042"/>
          <w:w w:val="105"/>
          <w:sz w:val="16"/>
        </w:rPr>
        <w:t>los</w:t>
      </w:r>
      <w:r>
        <w:rPr>
          <w:rFonts w:ascii="Calibri" w:hAnsi="Calibri"/>
          <w:color w:val="414042"/>
          <w:spacing w:val="-20"/>
          <w:w w:val="105"/>
          <w:sz w:val="16"/>
        </w:rPr>
        <w:t> </w:t>
      </w:r>
      <w:r>
        <w:rPr>
          <w:rFonts w:ascii="Calibri" w:hAnsi="Calibri"/>
          <w:color w:val="414042"/>
          <w:w w:val="105"/>
          <w:sz w:val="16"/>
        </w:rPr>
        <w:t>testimonios</w:t>
      </w:r>
      <w:r>
        <w:rPr>
          <w:rFonts w:ascii="Calibri" w:hAnsi="Calibri"/>
          <w:color w:val="414042"/>
          <w:spacing w:val="-20"/>
          <w:w w:val="105"/>
          <w:sz w:val="16"/>
        </w:rPr>
        <w:t> </w:t>
      </w:r>
      <w:r>
        <w:rPr>
          <w:rFonts w:ascii="Calibri" w:hAnsi="Calibri"/>
          <w:color w:val="414042"/>
          <w:w w:val="105"/>
          <w:sz w:val="16"/>
        </w:rPr>
        <w:t>de</w:t>
      </w:r>
      <w:r>
        <w:rPr>
          <w:rFonts w:ascii="Calibri" w:hAnsi="Calibri"/>
          <w:color w:val="414042"/>
          <w:spacing w:val="-20"/>
          <w:w w:val="105"/>
          <w:sz w:val="16"/>
        </w:rPr>
        <w:t> </w:t>
      </w:r>
      <w:r>
        <w:rPr>
          <w:rFonts w:ascii="Calibri" w:hAnsi="Calibri"/>
          <w:color w:val="414042"/>
          <w:w w:val="105"/>
          <w:sz w:val="16"/>
        </w:rPr>
        <w:t>este</w:t>
      </w:r>
      <w:r>
        <w:rPr>
          <w:rFonts w:ascii="Calibri" w:hAnsi="Calibri"/>
          <w:color w:val="414042"/>
          <w:spacing w:val="-20"/>
          <w:w w:val="105"/>
          <w:sz w:val="16"/>
        </w:rPr>
        <w:t> </w:t>
      </w:r>
      <w:r>
        <w:rPr>
          <w:rFonts w:ascii="Calibri" w:hAnsi="Calibri"/>
          <w:color w:val="414042"/>
          <w:w w:val="105"/>
          <w:sz w:val="16"/>
        </w:rPr>
        <w:t>tipo</w:t>
      </w:r>
      <w:r>
        <w:rPr>
          <w:rFonts w:ascii="Calibri" w:hAnsi="Calibri"/>
          <w:color w:val="414042"/>
          <w:spacing w:val="-20"/>
          <w:w w:val="105"/>
          <w:sz w:val="16"/>
        </w:rPr>
        <w:t> </w:t>
      </w:r>
      <w:r>
        <w:rPr>
          <w:rFonts w:ascii="Calibri" w:hAnsi="Calibri"/>
          <w:color w:val="414042"/>
          <w:w w:val="105"/>
          <w:sz w:val="16"/>
        </w:rPr>
        <w:t>serán</w:t>
      </w:r>
      <w:r>
        <w:rPr>
          <w:rFonts w:ascii="Calibri" w:hAnsi="Calibri"/>
          <w:color w:val="414042"/>
          <w:spacing w:val="-20"/>
          <w:w w:val="105"/>
          <w:sz w:val="16"/>
        </w:rPr>
        <w:t> </w:t>
      </w:r>
      <w:r>
        <w:rPr>
          <w:rFonts w:ascii="Calibri" w:hAnsi="Calibri"/>
          <w:color w:val="414042"/>
          <w:w w:val="105"/>
          <w:sz w:val="16"/>
        </w:rPr>
        <w:t>identificados</w:t>
      </w:r>
      <w:r>
        <w:rPr>
          <w:rFonts w:ascii="Calibri" w:hAnsi="Calibri"/>
          <w:color w:val="414042"/>
          <w:spacing w:val="-20"/>
          <w:w w:val="105"/>
          <w:sz w:val="16"/>
        </w:rPr>
        <w:t> </w:t>
      </w:r>
      <w:r>
        <w:rPr>
          <w:rFonts w:ascii="Calibri" w:hAnsi="Calibri"/>
          <w:color w:val="414042"/>
          <w:w w:val="105"/>
          <w:sz w:val="16"/>
        </w:rPr>
        <w:t>con</w:t>
      </w:r>
      <w:r>
        <w:rPr>
          <w:rFonts w:ascii="Calibri" w:hAnsi="Calibri"/>
          <w:color w:val="414042"/>
          <w:spacing w:val="-20"/>
          <w:w w:val="105"/>
          <w:sz w:val="16"/>
        </w:rPr>
        <w:t> </w:t>
      </w:r>
      <w:r>
        <w:rPr>
          <w:rFonts w:ascii="Calibri" w:hAnsi="Calibri"/>
          <w:color w:val="414042"/>
          <w:w w:val="105"/>
          <w:sz w:val="16"/>
        </w:rPr>
        <w:t>el</w:t>
      </w:r>
      <w:r>
        <w:rPr>
          <w:rFonts w:ascii="Calibri" w:hAnsi="Calibri"/>
          <w:color w:val="414042"/>
          <w:spacing w:val="-20"/>
          <w:w w:val="105"/>
          <w:sz w:val="16"/>
        </w:rPr>
        <w:t> </w:t>
      </w:r>
      <w:r>
        <w:rPr>
          <w:rFonts w:ascii="Calibri" w:hAnsi="Calibri"/>
          <w:color w:val="414042"/>
          <w:w w:val="105"/>
          <w:sz w:val="16"/>
        </w:rPr>
        <w:t>seudónimo, la</w:t>
      </w:r>
      <w:r>
        <w:rPr>
          <w:rFonts w:ascii="Calibri" w:hAnsi="Calibri"/>
          <w:color w:val="414042"/>
          <w:spacing w:val="-12"/>
          <w:w w:val="105"/>
          <w:sz w:val="16"/>
        </w:rPr>
        <w:t> </w:t>
      </w:r>
      <w:r>
        <w:rPr>
          <w:rFonts w:ascii="Calibri" w:hAnsi="Calibri"/>
          <w:color w:val="414042"/>
          <w:w w:val="105"/>
          <w:sz w:val="16"/>
        </w:rPr>
        <w:t>edad</w:t>
      </w:r>
      <w:r>
        <w:rPr>
          <w:rFonts w:ascii="Calibri" w:hAnsi="Calibri"/>
          <w:color w:val="414042"/>
          <w:spacing w:val="-13"/>
          <w:w w:val="105"/>
          <w:sz w:val="16"/>
        </w:rPr>
        <w:t> </w:t>
      </w:r>
      <w:r>
        <w:rPr>
          <w:rFonts w:ascii="Calibri" w:hAnsi="Calibri"/>
          <w:color w:val="414042"/>
          <w:w w:val="105"/>
          <w:sz w:val="16"/>
        </w:rPr>
        <w:t>y</w:t>
      </w:r>
      <w:r>
        <w:rPr>
          <w:rFonts w:ascii="Calibri" w:hAnsi="Calibri"/>
          <w:color w:val="414042"/>
          <w:spacing w:val="-12"/>
          <w:w w:val="105"/>
          <w:sz w:val="16"/>
        </w:rPr>
        <w:t> </w:t>
      </w:r>
      <w:r>
        <w:rPr>
          <w:rFonts w:ascii="Calibri" w:hAnsi="Calibri"/>
          <w:color w:val="414042"/>
          <w:w w:val="105"/>
          <w:sz w:val="16"/>
        </w:rPr>
        <w:t>los</w:t>
      </w:r>
      <w:r>
        <w:rPr>
          <w:rFonts w:ascii="Calibri" w:hAnsi="Calibri"/>
          <w:color w:val="414042"/>
          <w:spacing w:val="-12"/>
          <w:w w:val="105"/>
          <w:sz w:val="16"/>
        </w:rPr>
        <w:t> </w:t>
      </w:r>
      <w:r>
        <w:rPr>
          <w:rFonts w:ascii="Calibri" w:hAnsi="Calibri"/>
          <w:color w:val="414042"/>
          <w:w w:val="105"/>
          <w:sz w:val="16"/>
        </w:rPr>
        <w:t>años</w:t>
      </w:r>
      <w:r>
        <w:rPr>
          <w:rFonts w:ascii="Calibri" w:hAnsi="Calibri"/>
          <w:color w:val="414042"/>
          <w:spacing w:val="-12"/>
          <w:w w:val="105"/>
          <w:sz w:val="16"/>
        </w:rPr>
        <w:t> </w:t>
      </w:r>
      <w:r>
        <w:rPr>
          <w:rFonts w:ascii="Calibri" w:hAnsi="Calibri"/>
          <w:color w:val="414042"/>
          <w:w w:val="105"/>
          <w:sz w:val="16"/>
        </w:rPr>
        <w:t>que</w:t>
      </w:r>
      <w:r>
        <w:rPr>
          <w:rFonts w:ascii="Calibri" w:hAnsi="Calibri"/>
          <w:color w:val="414042"/>
          <w:spacing w:val="-12"/>
          <w:w w:val="105"/>
          <w:sz w:val="16"/>
        </w:rPr>
        <w:t> </w:t>
      </w:r>
      <w:r>
        <w:rPr>
          <w:rFonts w:ascii="Calibri" w:hAnsi="Calibri"/>
          <w:color w:val="414042"/>
          <w:w w:val="105"/>
          <w:sz w:val="16"/>
        </w:rPr>
        <w:t>tiene</w:t>
      </w:r>
      <w:r>
        <w:rPr>
          <w:rFonts w:ascii="Calibri" w:hAnsi="Calibri"/>
          <w:color w:val="414042"/>
          <w:spacing w:val="-12"/>
          <w:w w:val="105"/>
          <w:sz w:val="16"/>
        </w:rPr>
        <w:t> </w:t>
      </w:r>
      <w:r>
        <w:rPr>
          <w:rFonts w:ascii="Calibri" w:hAnsi="Calibri"/>
          <w:color w:val="414042"/>
          <w:w w:val="105"/>
          <w:sz w:val="16"/>
        </w:rPr>
        <w:t>el</w:t>
      </w:r>
      <w:r>
        <w:rPr>
          <w:rFonts w:ascii="Calibri" w:hAnsi="Calibri"/>
          <w:color w:val="414042"/>
          <w:spacing w:val="-12"/>
          <w:w w:val="105"/>
          <w:sz w:val="16"/>
        </w:rPr>
        <w:t> </w:t>
      </w:r>
      <w:r>
        <w:rPr>
          <w:rFonts w:ascii="Calibri" w:hAnsi="Calibri"/>
          <w:color w:val="414042"/>
          <w:w w:val="105"/>
          <w:sz w:val="16"/>
        </w:rPr>
        <w:t>migrante</w:t>
      </w:r>
      <w:r>
        <w:rPr>
          <w:rFonts w:ascii="Calibri" w:hAnsi="Calibri"/>
          <w:color w:val="414042"/>
          <w:spacing w:val="-12"/>
          <w:w w:val="105"/>
          <w:sz w:val="16"/>
        </w:rPr>
        <w:t> </w:t>
      </w:r>
      <w:r>
        <w:rPr>
          <w:rFonts w:ascii="Calibri" w:hAnsi="Calibri"/>
          <w:color w:val="414042"/>
          <w:w w:val="105"/>
          <w:sz w:val="16"/>
        </w:rPr>
        <w:t>que</w:t>
      </w:r>
      <w:r>
        <w:rPr>
          <w:rFonts w:ascii="Calibri" w:hAnsi="Calibri"/>
          <w:color w:val="414042"/>
          <w:spacing w:val="-14"/>
          <w:w w:val="105"/>
          <w:sz w:val="16"/>
        </w:rPr>
        <w:t> </w:t>
      </w:r>
      <w:r>
        <w:rPr>
          <w:rFonts w:ascii="Calibri" w:hAnsi="Calibri"/>
          <w:color w:val="414042"/>
          <w:w w:val="105"/>
          <w:sz w:val="16"/>
        </w:rPr>
        <w:t>volvió</w:t>
      </w:r>
      <w:r>
        <w:rPr>
          <w:rFonts w:ascii="Calibri" w:hAnsi="Calibri"/>
          <w:color w:val="414042"/>
          <w:spacing w:val="-12"/>
          <w:w w:val="105"/>
          <w:sz w:val="16"/>
        </w:rPr>
        <w:t> </w:t>
      </w:r>
      <w:r>
        <w:rPr>
          <w:rFonts w:ascii="Calibri" w:hAnsi="Calibri"/>
          <w:color w:val="414042"/>
          <w:w w:val="105"/>
          <w:sz w:val="16"/>
        </w:rPr>
        <w:t>al</w:t>
      </w:r>
      <w:r>
        <w:rPr>
          <w:rFonts w:ascii="Calibri" w:hAnsi="Calibri"/>
          <w:color w:val="414042"/>
          <w:spacing w:val="-12"/>
          <w:w w:val="105"/>
          <w:sz w:val="16"/>
        </w:rPr>
        <w:t> </w:t>
      </w:r>
      <w:r>
        <w:rPr>
          <w:rFonts w:ascii="Calibri" w:hAnsi="Calibri"/>
          <w:color w:val="414042"/>
          <w:w w:val="105"/>
          <w:sz w:val="16"/>
        </w:rPr>
        <w:t>municipio.</w:t>
      </w:r>
    </w:p>
    <w:p>
      <w:pPr>
        <w:spacing w:after="0" w:line="192" w:lineRule="exact"/>
        <w:jc w:val="both"/>
        <w:rPr>
          <w:rFonts w:ascii="Calibri" w:hAnsi="Calibri"/>
          <w:sz w:val="16"/>
        </w:rPr>
        <w:sectPr>
          <w:type w:val="continuous"/>
          <w:pgSz w:w="10480" w:h="14730"/>
          <w:pgMar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rPr>
      </w:pPr>
    </w:p>
    <w:p>
      <w:pPr>
        <w:spacing w:line="254" w:lineRule="auto" w:before="66"/>
        <w:ind w:left="2857" w:right="1834" w:firstLine="0"/>
        <w:jc w:val="both"/>
        <w:rPr>
          <w:sz w:val="18"/>
        </w:rPr>
      </w:pPr>
      <w:r>
        <w:rPr/>
        <w:pict>
          <v:line style="position:absolute;mso-position-horizontal-relative:page;mso-position-vertical-relative:paragraph;z-index:36232" from="15pt,-68.269257pt" to="0pt,-68.269257pt" stroked="true" strokeweight=".25pt" strokecolor="#000000">
            <w10:wrap type="none"/>
          </v:line>
        </w:pict>
      </w:r>
      <w:r>
        <w:rPr/>
        <w:pict>
          <v:line style="position:absolute;mso-position-horizontal-relative:page;mso-position-vertical-relative:paragraph;z-index:36256" from="508.890015pt,-68.269257pt" to="523.890015pt,-68.269257pt" stroked="true" strokeweight=".25pt" strokecolor="#000000">
            <w10:wrap type="none"/>
          </v:line>
        </w:pict>
      </w:r>
      <w:r>
        <w:rPr>
          <w:color w:val="231F20"/>
          <w:w w:val="105"/>
          <w:sz w:val="18"/>
        </w:rPr>
        <w:t>pero siquiera sí me fue bien no me quejo lo que sí es que las últimas veces</w:t>
      </w:r>
      <w:r>
        <w:rPr>
          <w:color w:val="231F20"/>
          <w:spacing w:val="-10"/>
          <w:w w:val="105"/>
          <w:sz w:val="18"/>
        </w:rPr>
        <w:t> </w:t>
      </w:r>
      <w:r>
        <w:rPr>
          <w:color w:val="231F20"/>
          <w:w w:val="105"/>
          <w:sz w:val="18"/>
        </w:rPr>
        <w:t>que</w:t>
      </w:r>
      <w:r>
        <w:rPr>
          <w:color w:val="231F20"/>
          <w:spacing w:val="-10"/>
          <w:w w:val="105"/>
          <w:sz w:val="18"/>
        </w:rPr>
        <w:t> </w:t>
      </w:r>
      <w:r>
        <w:rPr>
          <w:color w:val="231F20"/>
          <w:w w:val="105"/>
          <w:sz w:val="18"/>
        </w:rPr>
        <w:t>fui</w:t>
      </w:r>
      <w:r>
        <w:rPr>
          <w:color w:val="231F20"/>
          <w:spacing w:val="-10"/>
          <w:w w:val="105"/>
          <w:sz w:val="18"/>
        </w:rPr>
        <w:t> </w:t>
      </w:r>
      <w:r>
        <w:rPr>
          <w:color w:val="231F20"/>
          <w:w w:val="105"/>
          <w:sz w:val="18"/>
        </w:rPr>
        <w:t>ya</w:t>
      </w:r>
      <w:r>
        <w:rPr>
          <w:color w:val="231F20"/>
          <w:spacing w:val="-10"/>
          <w:w w:val="105"/>
          <w:sz w:val="18"/>
        </w:rPr>
        <w:t> </w:t>
      </w:r>
      <w:r>
        <w:rPr>
          <w:color w:val="231F20"/>
          <w:w w:val="105"/>
          <w:sz w:val="18"/>
        </w:rPr>
        <w:t>tan</w:t>
      </w:r>
      <w:r>
        <w:rPr>
          <w:color w:val="231F20"/>
          <w:spacing w:val="-10"/>
          <w:w w:val="105"/>
          <w:sz w:val="18"/>
        </w:rPr>
        <w:t> </w:t>
      </w:r>
      <w:r>
        <w:rPr>
          <w:color w:val="231F20"/>
          <w:w w:val="105"/>
          <w:sz w:val="18"/>
        </w:rPr>
        <w:t>sólo</w:t>
      </w:r>
      <w:r>
        <w:rPr>
          <w:color w:val="231F20"/>
          <w:spacing w:val="-10"/>
          <w:w w:val="105"/>
          <w:sz w:val="18"/>
        </w:rPr>
        <w:t> </w:t>
      </w:r>
      <w:r>
        <w:rPr>
          <w:color w:val="231F20"/>
          <w:w w:val="105"/>
          <w:sz w:val="18"/>
        </w:rPr>
        <w:t>trabajaba</w:t>
      </w:r>
      <w:r>
        <w:rPr>
          <w:color w:val="231F20"/>
          <w:spacing w:val="-10"/>
          <w:w w:val="105"/>
          <w:sz w:val="18"/>
        </w:rPr>
        <w:t> </w:t>
      </w:r>
      <w:r>
        <w:rPr>
          <w:color w:val="231F20"/>
          <w:w w:val="105"/>
          <w:sz w:val="18"/>
        </w:rPr>
        <w:t>unas</w:t>
      </w:r>
      <w:r>
        <w:rPr>
          <w:color w:val="231F20"/>
          <w:spacing w:val="-10"/>
          <w:w w:val="105"/>
          <w:sz w:val="18"/>
        </w:rPr>
        <w:t> </w:t>
      </w:r>
      <w:r>
        <w:rPr>
          <w:color w:val="231F20"/>
          <w:w w:val="105"/>
          <w:sz w:val="18"/>
        </w:rPr>
        <w:t>tres</w:t>
      </w:r>
      <w:r>
        <w:rPr>
          <w:color w:val="231F20"/>
          <w:spacing w:val="-10"/>
          <w:w w:val="105"/>
          <w:sz w:val="18"/>
        </w:rPr>
        <w:t> </w:t>
      </w:r>
      <w:r>
        <w:rPr>
          <w:color w:val="231F20"/>
          <w:w w:val="105"/>
          <w:sz w:val="18"/>
        </w:rPr>
        <w:t>o</w:t>
      </w:r>
      <w:r>
        <w:rPr>
          <w:color w:val="231F20"/>
          <w:spacing w:val="-10"/>
          <w:w w:val="105"/>
          <w:sz w:val="18"/>
        </w:rPr>
        <w:t> </w:t>
      </w:r>
      <w:r>
        <w:rPr>
          <w:color w:val="231F20"/>
          <w:w w:val="105"/>
          <w:sz w:val="18"/>
        </w:rPr>
        <w:t>cuatro</w:t>
      </w:r>
      <w:r>
        <w:rPr>
          <w:color w:val="231F20"/>
          <w:spacing w:val="-10"/>
          <w:w w:val="105"/>
          <w:sz w:val="18"/>
        </w:rPr>
        <w:t> </w:t>
      </w:r>
      <w:r>
        <w:rPr>
          <w:color w:val="231F20"/>
          <w:w w:val="105"/>
          <w:sz w:val="18"/>
        </w:rPr>
        <w:t>horas,</w:t>
      </w:r>
      <w:r>
        <w:rPr>
          <w:color w:val="231F20"/>
          <w:spacing w:val="-14"/>
          <w:w w:val="105"/>
          <w:sz w:val="18"/>
        </w:rPr>
        <w:t> </w:t>
      </w:r>
      <w:r>
        <w:rPr>
          <w:color w:val="231F20"/>
          <w:w w:val="105"/>
          <w:sz w:val="18"/>
        </w:rPr>
        <w:t>ya</w:t>
      </w:r>
      <w:r>
        <w:rPr>
          <w:color w:val="231F20"/>
          <w:spacing w:val="-10"/>
          <w:w w:val="105"/>
          <w:sz w:val="18"/>
        </w:rPr>
        <w:t> </w:t>
      </w:r>
      <w:r>
        <w:rPr>
          <w:color w:val="231F20"/>
          <w:w w:val="105"/>
          <w:sz w:val="18"/>
        </w:rPr>
        <w:t>no</w:t>
      </w:r>
      <w:r>
        <w:rPr>
          <w:color w:val="231F20"/>
          <w:spacing w:val="-10"/>
          <w:w w:val="105"/>
          <w:sz w:val="18"/>
        </w:rPr>
        <w:t> </w:t>
      </w:r>
      <w:r>
        <w:rPr>
          <w:color w:val="231F20"/>
          <w:w w:val="105"/>
          <w:sz w:val="18"/>
        </w:rPr>
        <w:t>hay trabajo,</w:t>
      </w:r>
      <w:r>
        <w:rPr>
          <w:color w:val="231F20"/>
          <w:spacing w:val="-17"/>
          <w:w w:val="105"/>
          <w:sz w:val="18"/>
        </w:rPr>
        <w:t> </w:t>
      </w:r>
      <w:r>
        <w:rPr>
          <w:color w:val="231F20"/>
          <w:w w:val="105"/>
          <w:sz w:val="18"/>
        </w:rPr>
        <w:t>se</w:t>
      </w:r>
      <w:r>
        <w:rPr>
          <w:color w:val="231F20"/>
          <w:spacing w:val="-12"/>
          <w:w w:val="105"/>
          <w:sz w:val="18"/>
        </w:rPr>
        <w:t> </w:t>
      </w:r>
      <w:r>
        <w:rPr>
          <w:color w:val="231F20"/>
          <w:w w:val="105"/>
          <w:sz w:val="18"/>
        </w:rPr>
        <w:t>puso</w:t>
      </w:r>
      <w:r>
        <w:rPr>
          <w:color w:val="231F20"/>
          <w:spacing w:val="-12"/>
          <w:w w:val="105"/>
          <w:sz w:val="18"/>
        </w:rPr>
        <w:t> </w:t>
      </w:r>
      <w:r>
        <w:rPr>
          <w:color w:val="231F20"/>
          <w:w w:val="105"/>
          <w:sz w:val="18"/>
        </w:rPr>
        <w:t>muy</w:t>
      </w:r>
      <w:r>
        <w:rPr>
          <w:color w:val="231F20"/>
          <w:spacing w:val="-12"/>
          <w:w w:val="105"/>
          <w:sz w:val="18"/>
        </w:rPr>
        <w:t> </w:t>
      </w:r>
      <w:r>
        <w:rPr>
          <w:color w:val="231F20"/>
          <w:w w:val="105"/>
          <w:sz w:val="18"/>
        </w:rPr>
        <w:t>duro</w:t>
      </w:r>
      <w:r>
        <w:rPr>
          <w:color w:val="231F20"/>
          <w:spacing w:val="-12"/>
          <w:w w:val="105"/>
          <w:sz w:val="18"/>
        </w:rPr>
        <w:t> </w:t>
      </w:r>
      <w:r>
        <w:rPr>
          <w:color w:val="231F20"/>
          <w:w w:val="105"/>
          <w:sz w:val="18"/>
        </w:rPr>
        <w:t>con</w:t>
      </w:r>
      <w:r>
        <w:rPr>
          <w:color w:val="231F20"/>
          <w:spacing w:val="-12"/>
          <w:w w:val="105"/>
          <w:sz w:val="18"/>
        </w:rPr>
        <w:t> </w:t>
      </w:r>
      <w:r>
        <w:rPr>
          <w:color w:val="231F20"/>
          <w:w w:val="105"/>
          <w:sz w:val="18"/>
        </w:rPr>
        <w:t>lo</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amnistía</w:t>
      </w:r>
      <w:r>
        <w:rPr>
          <w:color w:val="231F20"/>
          <w:spacing w:val="-12"/>
          <w:w w:val="105"/>
          <w:sz w:val="18"/>
        </w:rPr>
        <w:t> </w:t>
      </w:r>
      <w:r>
        <w:rPr>
          <w:color w:val="231F20"/>
          <w:w w:val="105"/>
          <w:sz w:val="18"/>
        </w:rPr>
        <w:t>(Carlos/29/2).</w:t>
      </w:r>
    </w:p>
    <w:p>
      <w:pPr>
        <w:pStyle w:val="BodyText"/>
        <w:spacing w:before="5"/>
      </w:pPr>
    </w:p>
    <w:p>
      <w:pPr>
        <w:pStyle w:val="BodyText"/>
        <w:spacing w:line="261" w:lineRule="auto"/>
        <w:ind w:left="1723" w:right="1834"/>
        <w:jc w:val="both"/>
      </w:pPr>
      <w:r>
        <w:rPr>
          <w:color w:val="231F20"/>
          <w:w w:val="105"/>
        </w:rPr>
        <w:t>El análisis de la dimensión laboral y del trabajo es una condición nece- saria</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prospectiva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migración</w:t>
      </w:r>
      <w:r>
        <w:rPr>
          <w:color w:val="231F20"/>
          <w:spacing w:val="-7"/>
          <w:w w:val="105"/>
        </w:rPr>
        <w:t> </w:t>
      </w:r>
      <w:r>
        <w:rPr>
          <w:color w:val="231F20"/>
          <w:w w:val="105"/>
        </w:rPr>
        <w:t>rural,</w:t>
      </w:r>
      <w:r>
        <w:rPr>
          <w:color w:val="231F20"/>
          <w:spacing w:val="-12"/>
          <w:w w:val="105"/>
        </w:rPr>
        <w:t> </w:t>
      </w:r>
      <w:r>
        <w:rPr>
          <w:color w:val="231F20"/>
          <w:w w:val="105"/>
        </w:rPr>
        <w:t>por</w:t>
      </w:r>
      <w:r>
        <w:rPr>
          <w:color w:val="231F20"/>
          <w:spacing w:val="-7"/>
          <w:w w:val="105"/>
        </w:rPr>
        <w:t> </w:t>
      </w:r>
      <w:r>
        <w:rPr>
          <w:color w:val="231F20"/>
          <w:w w:val="105"/>
        </w:rPr>
        <w:t>ello</w:t>
      </w:r>
      <w:r>
        <w:rPr>
          <w:color w:val="231F20"/>
          <w:spacing w:val="-7"/>
          <w:w w:val="105"/>
        </w:rPr>
        <w:t> </w:t>
      </w:r>
      <w:r>
        <w:rPr>
          <w:color w:val="231F20"/>
          <w:w w:val="105"/>
        </w:rPr>
        <w:t>es</w:t>
      </w:r>
      <w:r>
        <w:rPr>
          <w:color w:val="231F20"/>
          <w:spacing w:val="-7"/>
          <w:w w:val="105"/>
        </w:rPr>
        <w:t> </w:t>
      </w:r>
      <w:r>
        <w:rPr>
          <w:color w:val="231F20"/>
          <w:w w:val="105"/>
        </w:rPr>
        <w:t>pertinente</w:t>
      </w:r>
      <w:r>
        <w:rPr>
          <w:color w:val="231F20"/>
          <w:spacing w:val="-7"/>
          <w:w w:val="105"/>
        </w:rPr>
        <w:t> </w:t>
      </w:r>
      <w:r>
        <w:rPr>
          <w:color w:val="231F20"/>
          <w:w w:val="105"/>
        </w:rPr>
        <w:t>co- nocer los flujos y las implicaciones socioeconómicas que afectan el te- rritorio,</w:t>
      </w:r>
      <w:r>
        <w:rPr>
          <w:color w:val="231F20"/>
          <w:spacing w:val="-18"/>
          <w:w w:val="105"/>
        </w:rPr>
        <w:t> </w:t>
      </w:r>
      <w:r>
        <w:rPr>
          <w:color w:val="231F20"/>
          <w:w w:val="105"/>
        </w:rPr>
        <w:t>pues</w:t>
      </w:r>
      <w:r>
        <w:rPr>
          <w:color w:val="231F20"/>
          <w:spacing w:val="-13"/>
          <w:w w:val="105"/>
        </w:rPr>
        <w:t> </w:t>
      </w:r>
      <w:r>
        <w:rPr>
          <w:color w:val="231F20"/>
          <w:w w:val="105"/>
        </w:rPr>
        <w:t>como</w:t>
      </w:r>
      <w:r>
        <w:rPr>
          <w:color w:val="231F20"/>
          <w:spacing w:val="-13"/>
          <w:w w:val="105"/>
        </w:rPr>
        <w:t> </w:t>
      </w:r>
      <w:r>
        <w:rPr>
          <w:color w:val="231F20"/>
          <w:w w:val="105"/>
        </w:rPr>
        <w:t>se</w:t>
      </w:r>
      <w:r>
        <w:rPr>
          <w:color w:val="231F20"/>
          <w:spacing w:val="-13"/>
          <w:w w:val="105"/>
        </w:rPr>
        <w:t> </w:t>
      </w:r>
      <w:r>
        <w:rPr>
          <w:color w:val="231F20"/>
          <w:w w:val="105"/>
        </w:rPr>
        <w:t>observa</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entrevistas,</w:t>
      </w:r>
      <w:r>
        <w:rPr>
          <w:color w:val="231F20"/>
          <w:spacing w:val="-18"/>
          <w:w w:val="105"/>
        </w:rPr>
        <w:t> </w:t>
      </w:r>
      <w:r>
        <w:rPr>
          <w:color w:val="231F20"/>
          <w:w w:val="105"/>
        </w:rPr>
        <w:t>los</w:t>
      </w:r>
      <w:r>
        <w:rPr>
          <w:color w:val="231F20"/>
          <w:spacing w:val="-13"/>
          <w:w w:val="105"/>
        </w:rPr>
        <w:t> </w:t>
      </w:r>
      <w:r>
        <w:rPr>
          <w:color w:val="231F20"/>
          <w:w w:val="105"/>
        </w:rPr>
        <w:t>actores</w:t>
      </w:r>
      <w:r>
        <w:rPr>
          <w:color w:val="231F20"/>
          <w:spacing w:val="-13"/>
          <w:w w:val="105"/>
        </w:rPr>
        <w:t> </w:t>
      </w:r>
      <w:r>
        <w:rPr>
          <w:color w:val="231F20"/>
          <w:w w:val="105"/>
        </w:rPr>
        <w:t>construyen estrategias económicas en respuesta a las oportunidades que existen dentro de su municipio y allende fronteras, transformado así los territo- rios</w:t>
      </w:r>
      <w:r>
        <w:rPr>
          <w:color w:val="231F20"/>
          <w:spacing w:val="-12"/>
          <w:w w:val="105"/>
        </w:rPr>
        <w:t> </w:t>
      </w:r>
      <w:r>
        <w:rPr>
          <w:color w:val="231F20"/>
          <w:w w:val="105"/>
        </w:rPr>
        <w:t>por</w:t>
      </w:r>
      <w:r>
        <w:rPr>
          <w:color w:val="231F20"/>
          <w:spacing w:val="-12"/>
          <w:w w:val="105"/>
        </w:rPr>
        <w:t> </w:t>
      </w:r>
      <w:r>
        <w:rPr>
          <w:color w:val="231F20"/>
          <w:w w:val="105"/>
        </w:rPr>
        <w:t>los</w:t>
      </w:r>
      <w:r>
        <w:rPr>
          <w:color w:val="231F20"/>
          <w:spacing w:val="-12"/>
          <w:w w:val="105"/>
        </w:rPr>
        <w:t> </w:t>
      </w:r>
      <w:r>
        <w:rPr>
          <w:color w:val="231F20"/>
          <w:w w:val="105"/>
        </w:rPr>
        <w:t>que</w:t>
      </w:r>
      <w:r>
        <w:rPr>
          <w:color w:val="231F20"/>
          <w:spacing w:val="-12"/>
          <w:w w:val="105"/>
        </w:rPr>
        <w:t> </w:t>
      </w:r>
      <w:r>
        <w:rPr>
          <w:color w:val="231F20"/>
          <w:w w:val="105"/>
        </w:rPr>
        <w:t>caminan.</w:t>
      </w:r>
    </w:p>
    <w:p>
      <w:pPr>
        <w:pStyle w:val="BodyText"/>
        <w:spacing w:line="261" w:lineRule="auto" w:before="1"/>
        <w:ind w:left="1723" w:right="1834" w:firstLine="567"/>
        <w:jc w:val="both"/>
      </w:pPr>
      <w:r>
        <w:rPr>
          <w:color w:val="231F20"/>
          <w:w w:val="105"/>
        </w:rPr>
        <w:t>No</w:t>
      </w:r>
      <w:r>
        <w:rPr>
          <w:color w:val="231F20"/>
          <w:spacing w:val="-6"/>
          <w:w w:val="105"/>
        </w:rPr>
        <w:t> </w:t>
      </w:r>
      <w:r>
        <w:rPr>
          <w:color w:val="231F20"/>
          <w:w w:val="105"/>
        </w:rPr>
        <w:t>es</w:t>
      </w:r>
      <w:r>
        <w:rPr>
          <w:color w:val="231F20"/>
          <w:spacing w:val="-6"/>
          <w:w w:val="105"/>
        </w:rPr>
        <w:t> </w:t>
      </w:r>
      <w:r>
        <w:rPr>
          <w:color w:val="231F20"/>
          <w:w w:val="105"/>
        </w:rPr>
        <w:t>una</w:t>
      </w:r>
      <w:r>
        <w:rPr>
          <w:color w:val="231F20"/>
          <w:spacing w:val="-6"/>
          <w:w w:val="105"/>
        </w:rPr>
        <w:t> </w:t>
      </w:r>
      <w:r>
        <w:rPr>
          <w:color w:val="231F20"/>
          <w:w w:val="105"/>
        </w:rPr>
        <w:t>casualidad</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zona</w:t>
      </w:r>
      <w:r>
        <w:rPr>
          <w:color w:val="231F20"/>
          <w:spacing w:val="-6"/>
          <w:w w:val="105"/>
        </w:rPr>
        <w:t> </w:t>
      </w:r>
      <w:r>
        <w:rPr>
          <w:color w:val="231F20"/>
          <w:w w:val="105"/>
        </w:rPr>
        <w:t>productora</w:t>
      </w:r>
      <w:r>
        <w:rPr>
          <w:color w:val="231F20"/>
          <w:spacing w:val="-6"/>
          <w:w w:val="105"/>
        </w:rPr>
        <w:t> </w:t>
      </w:r>
      <w:r>
        <w:rPr>
          <w:color w:val="231F20"/>
          <w:w w:val="105"/>
        </w:rPr>
        <w:t>de</w:t>
      </w:r>
      <w:r>
        <w:rPr>
          <w:color w:val="231F20"/>
          <w:spacing w:val="-6"/>
          <w:w w:val="105"/>
        </w:rPr>
        <w:t> </w:t>
      </w:r>
      <w:r>
        <w:rPr>
          <w:color w:val="231F20"/>
          <w:w w:val="105"/>
        </w:rPr>
        <w:t>champiñones en</w:t>
      </w:r>
      <w:r>
        <w:rPr>
          <w:color w:val="231F20"/>
          <w:spacing w:val="-19"/>
          <w:w w:val="105"/>
        </w:rPr>
        <w:t> </w:t>
      </w:r>
      <w:r>
        <w:rPr>
          <w:color w:val="231F20"/>
          <w:w w:val="105"/>
        </w:rPr>
        <w:t>Pennsylvania</w:t>
      </w:r>
      <w:r>
        <w:rPr>
          <w:color w:val="231F20"/>
          <w:spacing w:val="-19"/>
          <w:w w:val="105"/>
        </w:rPr>
        <w:t> </w:t>
      </w:r>
      <w:r>
        <w:rPr>
          <w:color w:val="231F20"/>
          <w:w w:val="105"/>
        </w:rPr>
        <w:t>se</w:t>
      </w:r>
      <w:r>
        <w:rPr>
          <w:color w:val="231F20"/>
          <w:spacing w:val="-19"/>
          <w:w w:val="105"/>
        </w:rPr>
        <w:t> </w:t>
      </w:r>
      <w:r>
        <w:rPr>
          <w:color w:val="231F20"/>
          <w:w w:val="105"/>
        </w:rPr>
        <w:t>construyan</w:t>
      </w:r>
      <w:r>
        <w:rPr>
          <w:color w:val="231F20"/>
          <w:spacing w:val="-19"/>
          <w:w w:val="105"/>
        </w:rPr>
        <w:t> </w:t>
      </w:r>
      <w:r>
        <w:rPr>
          <w:color w:val="231F20"/>
          <w:w w:val="105"/>
        </w:rPr>
        <w:t>dinámicas</w:t>
      </w:r>
      <w:r>
        <w:rPr>
          <w:color w:val="231F20"/>
          <w:spacing w:val="-19"/>
          <w:w w:val="105"/>
        </w:rPr>
        <w:t> </w:t>
      </w:r>
      <w:r>
        <w:rPr>
          <w:color w:val="231F20"/>
          <w:w w:val="105"/>
        </w:rPr>
        <w:t>sociales</w:t>
      </w:r>
      <w:r>
        <w:rPr>
          <w:color w:val="231F20"/>
          <w:spacing w:val="-19"/>
          <w:w w:val="105"/>
        </w:rPr>
        <w:t> </w:t>
      </w:r>
      <w:r>
        <w:rPr>
          <w:color w:val="231F20"/>
          <w:w w:val="105"/>
        </w:rPr>
        <w:t>y</w:t>
      </w:r>
      <w:r>
        <w:rPr>
          <w:color w:val="231F20"/>
          <w:spacing w:val="-19"/>
          <w:w w:val="105"/>
        </w:rPr>
        <w:t> </w:t>
      </w:r>
      <w:r>
        <w:rPr>
          <w:color w:val="231F20"/>
          <w:w w:val="105"/>
        </w:rPr>
        <w:t>económicas</w:t>
      </w:r>
      <w:r>
        <w:rPr>
          <w:color w:val="231F20"/>
          <w:spacing w:val="-19"/>
          <w:w w:val="105"/>
        </w:rPr>
        <w:t> </w:t>
      </w:r>
      <w:r>
        <w:rPr>
          <w:color w:val="231F20"/>
          <w:w w:val="105"/>
        </w:rPr>
        <w:t>de</w:t>
      </w:r>
      <w:r>
        <w:rPr>
          <w:color w:val="231F20"/>
          <w:spacing w:val="-19"/>
          <w:w w:val="105"/>
        </w:rPr>
        <w:t> </w:t>
      </w:r>
      <w:r>
        <w:rPr>
          <w:color w:val="231F20"/>
          <w:w w:val="105"/>
        </w:rPr>
        <w:t>tipo enclave entre los oriundos de Almoloya de Alquisiras, donde las acti- vidades del fútbol, la convivencia de fines de semana, la economía de apoyo</w:t>
      </w:r>
      <w:r>
        <w:rPr>
          <w:color w:val="231F20"/>
          <w:spacing w:val="-21"/>
          <w:w w:val="105"/>
        </w:rPr>
        <w:t> </w:t>
      </w:r>
      <w:r>
        <w:rPr>
          <w:color w:val="231F20"/>
          <w:w w:val="105"/>
        </w:rPr>
        <w:t>solidario,</w:t>
      </w:r>
      <w:r>
        <w:rPr>
          <w:color w:val="231F20"/>
          <w:spacing w:val="-26"/>
          <w:w w:val="105"/>
        </w:rPr>
        <w:t> </w:t>
      </w:r>
      <w:r>
        <w:rPr>
          <w:color w:val="231F20"/>
          <w:w w:val="105"/>
        </w:rPr>
        <w:t>las</w:t>
      </w:r>
      <w:r>
        <w:rPr>
          <w:color w:val="231F20"/>
          <w:spacing w:val="-21"/>
          <w:w w:val="105"/>
        </w:rPr>
        <w:t> </w:t>
      </w:r>
      <w:r>
        <w:rPr>
          <w:color w:val="231F20"/>
          <w:w w:val="105"/>
        </w:rPr>
        <w:t>festividades</w:t>
      </w:r>
      <w:r>
        <w:rPr>
          <w:color w:val="231F20"/>
          <w:spacing w:val="-21"/>
          <w:w w:val="105"/>
        </w:rPr>
        <w:t> </w:t>
      </w:r>
      <w:r>
        <w:rPr>
          <w:color w:val="231F20"/>
          <w:w w:val="105"/>
        </w:rPr>
        <w:t>mexicanas,</w:t>
      </w:r>
      <w:r>
        <w:rPr>
          <w:color w:val="231F20"/>
          <w:spacing w:val="-26"/>
          <w:w w:val="105"/>
        </w:rPr>
        <w:t> </w:t>
      </w:r>
      <w:r>
        <w:rPr>
          <w:color w:val="231F20"/>
          <w:w w:val="105"/>
        </w:rPr>
        <w:t>o</w:t>
      </w:r>
      <w:r>
        <w:rPr>
          <w:color w:val="231F20"/>
          <w:spacing w:val="-21"/>
          <w:w w:val="105"/>
        </w:rPr>
        <w:t> </w:t>
      </w:r>
      <w:r>
        <w:rPr>
          <w:color w:val="231F20"/>
          <w:w w:val="105"/>
        </w:rPr>
        <w:t>los</w:t>
      </w:r>
      <w:r>
        <w:rPr>
          <w:color w:val="231F20"/>
          <w:spacing w:val="-21"/>
          <w:w w:val="105"/>
        </w:rPr>
        <w:t> </w:t>
      </w:r>
      <w:r>
        <w:rPr>
          <w:color w:val="231F20"/>
          <w:w w:val="105"/>
        </w:rPr>
        <w:t>diálogos</w:t>
      </w:r>
      <w:r>
        <w:rPr>
          <w:color w:val="231F20"/>
          <w:spacing w:val="-21"/>
          <w:w w:val="105"/>
        </w:rPr>
        <w:t> </w:t>
      </w:r>
      <w:r>
        <w:rPr>
          <w:color w:val="231F20"/>
          <w:w w:val="105"/>
        </w:rPr>
        <w:t>en</w:t>
      </w:r>
      <w:r>
        <w:rPr>
          <w:color w:val="231F20"/>
          <w:spacing w:val="-21"/>
          <w:w w:val="105"/>
        </w:rPr>
        <w:t> </w:t>
      </w:r>
      <w:r>
        <w:rPr>
          <w:color w:val="231F20"/>
          <w:w w:val="105"/>
        </w:rPr>
        <w:t>español</w:t>
      </w:r>
      <w:r>
        <w:rPr>
          <w:color w:val="231F20"/>
          <w:spacing w:val="-21"/>
          <w:w w:val="105"/>
        </w:rPr>
        <w:t> </w:t>
      </w:r>
      <w:r>
        <w:rPr>
          <w:color w:val="231F20"/>
          <w:w w:val="105"/>
        </w:rPr>
        <w:t>en lugares públicos o laborales sobre las últimas noticias de su pueblo de origen,</w:t>
      </w:r>
      <w:r>
        <w:rPr>
          <w:color w:val="231F20"/>
          <w:spacing w:val="-17"/>
          <w:w w:val="105"/>
        </w:rPr>
        <w:t> </w:t>
      </w:r>
      <w:r>
        <w:rPr>
          <w:color w:val="231F20"/>
          <w:w w:val="105"/>
        </w:rPr>
        <w:t>van</w:t>
      </w:r>
      <w:r>
        <w:rPr>
          <w:color w:val="231F20"/>
          <w:spacing w:val="-11"/>
          <w:w w:val="105"/>
        </w:rPr>
        <w:t> </w:t>
      </w:r>
      <w:r>
        <w:rPr>
          <w:color w:val="231F20"/>
          <w:w w:val="105"/>
        </w:rPr>
        <w:t>creando</w:t>
      </w:r>
      <w:r>
        <w:rPr>
          <w:color w:val="231F20"/>
          <w:spacing w:val="-11"/>
          <w:w w:val="105"/>
        </w:rPr>
        <w:t> </w:t>
      </w:r>
      <w:r>
        <w:rPr>
          <w:color w:val="231F20"/>
          <w:w w:val="105"/>
        </w:rPr>
        <w:t>una</w:t>
      </w:r>
      <w:r>
        <w:rPr>
          <w:color w:val="231F20"/>
          <w:spacing w:val="-11"/>
          <w:w w:val="105"/>
        </w:rPr>
        <w:t> </w:t>
      </w:r>
      <w:r>
        <w:rPr>
          <w:color w:val="231F20"/>
          <w:w w:val="105"/>
        </w:rPr>
        <w:t>apropiación</w:t>
      </w:r>
      <w:r>
        <w:rPr>
          <w:color w:val="231F20"/>
          <w:spacing w:val="-11"/>
          <w:w w:val="105"/>
        </w:rPr>
        <w:t> </w:t>
      </w:r>
      <w:r>
        <w:rPr>
          <w:color w:val="231F20"/>
          <w:w w:val="105"/>
        </w:rPr>
        <w:t>simbólica</w:t>
      </w:r>
      <w:r>
        <w:rPr>
          <w:color w:val="231F20"/>
          <w:spacing w:val="-11"/>
          <w:w w:val="105"/>
        </w:rPr>
        <w:t> </w:t>
      </w:r>
      <w:r>
        <w:rPr>
          <w:color w:val="231F20"/>
          <w:w w:val="105"/>
        </w:rPr>
        <w:t>del</w:t>
      </w:r>
      <w:r>
        <w:rPr>
          <w:color w:val="231F20"/>
          <w:spacing w:val="-11"/>
          <w:w w:val="105"/>
        </w:rPr>
        <w:t> </w:t>
      </w:r>
      <w:r>
        <w:rPr>
          <w:color w:val="231F20"/>
          <w:w w:val="105"/>
        </w:rPr>
        <w:t>entorno</w:t>
      </w:r>
      <w:r>
        <w:rPr>
          <w:color w:val="231F20"/>
          <w:spacing w:val="-11"/>
          <w:w w:val="105"/>
        </w:rPr>
        <w:t> </w:t>
      </w:r>
      <w:r>
        <w:rPr>
          <w:color w:val="231F20"/>
          <w:w w:val="105"/>
        </w:rPr>
        <w:t>sociocultural de</w:t>
      </w:r>
      <w:r>
        <w:rPr>
          <w:color w:val="231F20"/>
          <w:spacing w:val="-27"/>
          <w:w w:val="105"/>
        </w:rPr>
        <w:t> </w:t>
      </w:r>
      <w:r>
        <w:rPr>
          <w:color w:val="231F20"/>
          <w:w w:val="105"/>
        </w:rPr>
        <w:t>ciertos</w:t>
      </w:r>
      <w:r>
        <w:rPr>
          <w:color w:val="231F20"/>
          <w:spacing w:val="-27"/>
          <w:w w:val="105"/>
        </w:rPr>
        <w:t> </w:t>
      </w:r>
      <w:r>
        <w:rPr>
          <w:color w:val="231F20"/>
          <w:w w:val="105"/>
        </w:rPr>
        <w:t>espacios</w:t>
      </w:r>
      <w:r>
        <w:rPr>
          <w:color w:val="231F20"/>
          <w:spacing w:val="-27"/>
          <w:w w:val="105"/>
        </w:rPr>
        <w:t> </w:t>
      </w:r>
      <w:r>
        <w:rPr>
          <w:color w:val="231F20"/>
          <w:w w:val="105"/>
        </w:rPr>
        <w:t>en</w:t>
      </w:r>
      <w:r>
        <w:rPr>
          <w:color w:val="231F20"/>
          <w:spacing w:val="-27"/>
          <w:w w:val="105"/>
        </w:rPr>
        <w:t> </w:t>
      </w:r>
      <w:r>
        <w:rPr>
          <w:color w:val="231F20"/>
          <w:w w:val="105"/>
        </w:rPr>
        <w:t>Estados</w:t>
      </w:r>
      <w:r>
        <w:rPr>
          <w:color w:val="231F20"/>
          <w:spacing w:val="-27"/>
          <w:w w:val="105"/>
        </w:rPr>
        <w:t> </w:t>
      </w:r>
      <w:r>
        <w:rPr>
          <w:color w:val="231F20"/>
          <w:w w:val="105"/>
        </w:rPr>
        <w:t>Unidos.</w:t>
      </w:r>
    </w:p>
    <w:p>
      <w:pPr>
        <w:pStyle w:val="BodyText"/>
        <w:spacing w:line="261" w:lineRule="auto" w:before="1"/>
        <w:ind w:left="1723" w:right="1830" w:firstLine="567"/>
        <w:jc w:val="both"/>
      </w:pPr>
      <w:r>
        <w:rPr>
          <w:color w:val="231F20"/>
          <w:w w:val="105"/>
        </w:rPr>
        <w:t>Al mismo tiempo en Almoloya de Alquisiras la ausencia de hom- bres,</w:t>
      </w:r>
      <w:r>
        <w:rPr>
          <w:color w:val="231F20"/>
          <w:spacing w:val="-13"/>
          <w:w w:val="105"/>
        </w:rPr>
        <w:t> </w:t>
      </w:r>
      <w:r>
        <w:rPr>
          <w:color w:val="231F20"/>
          <w:w w:val="105"/>
        </w:rPr>
        <w:t>mujeres</w:t>
      </w:r>
      <w:r>
        <w:rPr>
          <w:color w:val="231F20"/>
          <w:spacing w:val="-9"/>
          <w:w w:val="105"/>
        </w:rPr>
        <w:t> </w:t>
      </w:r>
      <w:r>
        <w:rPr>
          <w:color w:val="231F20"/>
          <w:w w:val="105"/>
        </w:rPr>
        <w:t>o</w:t>
      </w:r>
      <w:r>
        <w:rPr>
          <w:color w:val="231F20"/>
          <w:spacing w:val="-9"/>
          <w:w w:val="105"/>
        </w:rPr>
        <w:t> </w:t>
      </w:r>
      <w:r>
        <w:rPr>
          <w:color w:val="231F20"/>
          <w:w w:val="105"/>
        </w:rPr>
        <w:t>las</w:t>
      </w:r>
      <w:r>
        <w:rPr>
          <w:color w:val="231F20"/>
          <w:spacing w:val="-9"/>
          <w:w w:val="105"/>
        </w:rPr>
        <w:t> </w:t>
      </w:r>
      <w:r>
        <w:rPr>
          <w:color w:val="231F20"/>
          <w:w w:val="105"/>
        </w:rPr>
        <w:t>familias</w:t>
      </w:r>
      <w:r>
        <w:rPr>
          <w:color w:val="231F20"/>
          <w:spacing w:val="-9"/>
          <w:w w:val="105"/>
        </w:rPr>
        <w:t> </w:t>
      </w:r>
      <w:r>
        <w:rPr>
          <w:color w:val="231F20"/>
          <w:w w:val="105"/>
        </w:rPr>
        <w:t>rurales</w:t>
      </w:r>
      <w:r>
        <w:rPr>
          <w:color w:val="231F20"/>
          <w:spacing w:val="-9"/>
          <w:w w:val="105"/>
        </w:rPr>
        <w:t> </w:t>
      </w:r>
      <w:r>
        <w:rPr>
          <w:color w:val="231F20"/>
          <w:w w:val="105"/>
        </w:rPr>
        <w:t>que</w:t>
      </w:r>
      <w:r>
        <w:rPr>
          <w:color w:val="231F20"/>
          <w:spacing w:val="-9"/>
          <w:w w:val="105"/>
        </w:rPr>
        <w:t> </w:t>
      </w:r>
      <w:r>
        <w:rPr>
          <w:color w:val="231F20"/>
          <w:w w:val="105"/>
        </w:rPr>
        <w:t>cultivan</w:t>
      </w:r>
      <w:r>
        <w:rPr>
          <w:color w:val="231F20"/>
          <w:spacing w:val="-9"/>
          <w:w w:val="105"/>
        </w:rPr>
        <w:t> </w:t>
      </w:r>
      <w:r>
        <w:rPr>
          <w:color w:val="231F20"/>
          <w:w w:val="105"/>
        </w:rPr>
        <w:t>la</w:t>
      </w:r>
      <w:r>
        <w:rPr>
          <w:color w:val="231F20"/>
          <w:spacing w:val="-9"/>
          <w:w w:val="105"/>
        </w:rPr>
        <w:t> </w:t>
      </w:r>
      <w:r>
        <w:rPr>
          <w:color w:val="231F20"/>
          <w:w w:val="105"/>
        </w:rPr>
        <w:t>tierra,</w:t>
      </w:r>
      <w:r>
        <w:rPr>
          <w:color w:val="231F20"/>
          <w:spacing w:val="-13"/>
          <w:w w:val="105"/>
        </w:rPr>
        <w:t> </w:t>
      </w:r>
      <w:r>
        <w:rPr>
          <w:color w:val="231F20"/>
          <w:w w:val="105"/>
        </w:rPr>
        <w:t>al</w:t>
      </w:r>
      <w:r>
        <w:rPr>
          <w:color w:val="231F20"/>
          <w:spacing w:val="-9"/>
          <w:w w:val="105"/>
        </w:rPr>
        <w:t> </w:t>
      </w:r>
      <w:r>
        <w:rPr>
          <w:color w:val="231F20"/>
          <w:w w:val="105"/>
        </w:rPr>
        <w:t>no</w:t>
      </w:r>
      <w:r>
        <w:rPr>
          <w:color w:val="231F20"/>
          <w:spacing w:val="-9"/>
          <w:w w:val="105"/>
        </w:rPr>
        <w:t> </w:t>
      </w:r>
      <w:r>
        <w:rPr>
          <w:color w:val="231F20"/>
          <w:w w:val="105"/>
        </w:rPr>
        <w:t>estar</w:t>
      </w:r>
      <w:r>
        <w:rPr>
          <w:color w:val="231F20"/>
          <w:spacing w:val="-9"/>
          <w:w w:val="105"/>
        </w:rPr>
        <w:t> </w:t>
      </w:r>
      <w:r>
        <w:rPr>
          <w:color w:val="231F20"/>
          <w:w w:val="105"/>
        </w:rPr>
        <w:t>pre- sentes de una manera constante hacen que dicha actividad se debilite y en algunos sitios desaparezca, dejando detrás de sí parcelas aban- donadas, terrenos baldíos, asentamientos humanos irregulares y otros conflictos agrarios que hacen que la migración como fenómeno social, indirectamente cambie el paisaje rural y la dinámica territorial local;</w:t>
      </w:r>
      <w:r>
        <w:rPr>
          <w:color w:val="231F20"/>
          <w:spacing w:val="-14"/>
          <w:w w:val="105"/>
        </w:rPr>
        <w:t> </w:t>
      </w:r>
      <w:r>
        <w:rPr>
          <w:color w:val="231F20"/>
          <w:w w:val="105"/>
        </w:rPr>
        <w:t>por consecuencia</w:t>
      </w:r>
      <w:r>
        <w:rPr>
          <w:color w:val="231F20"/>
          <w:spacing w:val="-24"/>
          <w:w w:val="105"/>
        </w:rPr>
        <w:t> </w:t>
      </w:r>
      <w:r>
        <w:rPr>
          <w:color w:val="231F20"/>
          <w:w w:val="105"/>
        </w:rPr>
        <w:t>las</w:t>
      </w:r>
      <w:r>
        <w:rPr>
          <w:color w:val="231F20"/>
          <w:spacing w:val="-24"/>
          <w:w w:val="105"/>
        </w:rPr>
        <w:t> </w:t>
      </w:r>
      <w:r>
        <w:rPr>
          <w:color w:val="231F20"/>
          <w:w w:val="105"/>
        </w:rPr>
        <w:t>actividades</w:t>
      </w:r>
      <w:r>
        <w:rPr>
          <w:color w:val="231F20"/>
          <w:spacing w:val="-24"/>
          <w:w w:val="105"/>
        </w:rPr>
        <w:t> </w:t>
      </w:r>
      <w:r>
        <w:rPr>
          <w:color w:val="231F20"/>
          <w:w w:val="105"/>
        </w:rPr>
        <w:t>económicas</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escasos</w:t>
      </w:r>
      <w:r>
        <w:rPr>
          <w:color w:val="231F20"/>
          <w:spacing w:val="-24"/>
          <w:w w:val="105"/>
        </w:rPr>
        <w:t> </w:t>
      </w:r>
      <w:r>
        <w:rPr>
          <w:color w:val="231F20"/>
          <w:w w:val="105"/>
        </w:rPr>
        <w:t>habitantes</w:t>
      </w:r>
      <w:r>
        <w:rPr>
          <w:color w:val="231F20"/>
          <w:spacing w:val="-24"/>
          <w:w w:val="105"/>
        </w:rPr>
        <w:t> </w:t>
      </w:r>
      <w:r>
        <w:rPr>
          <w:color w:val="231F20"/>
          <w:w w:val="105"/>
        </w:rPr>
        <w:t>que se</w:t>
      </w:r>
      <w:r>
        <w:rPr>
          <w:color w:val="231F20"/>
          <w:spacing w:val="-27"/>
          <w:w w:val="105"/>
        </w:rPr>
        <w:t> </w:t>
      </w:r>
      <w:r>
        <w:rPr>
          <w:color w:val="231F20"/>
          <w:w w:val="105"/>
        </w:rPr>
        <w:t>quedan</w:t>
      </w:r>
      <w:r>
        <w:rPr>
          <w:color w:val="231F20"/>
          <w:spacing w:val="-27"/>
          <w:w w:val="105"/>
        </w:rPr>
        <w:t> </w:t>
      </w:r>
      <w:r>
        <w:rPr>
          <w:color w:val="231F20"/>
          <w:w w:val="105"/>
        </w:rPr>
        <w:t>tiende</w:t>
      </w:r>
      <w:r>
        <w:rPr>
          <w:color w:val="231F20"/>
          <w:spacing w:val="-27"/>
          <w:w w:val="105"/>
        </w:rPr>
        <w:t> </w:t>
      </w:r>
      <w:r>
        <w:rPr>
          <w:color w:val="231F20"/>
          <w:w w:val="105"/>
        </w:rPr>
        <w:t>a</w:t>
      </w:r>
      <w:r>
        <w:rPr>
          <w:color w:val="231F20"/>
          <w:spacing w:val="-27"/>
          <w:w w:val="105"/>
        </w:rPr>
        <w:t> </w:t>
      </w:r>
      <w:r>
        <w:rPr>
          <w:color w:val="231F20"/>
          <w:w w:val="105"/>
        </w:rPr>
        <w:t>diversificarse</w:t>
      </w:r>
      <w:r>
        <w:rPr>
          <w:color w:val="231F20"/>
          <w:spacing w:val="-27"/>
          <w:w w:val="105"/>
        </w:rPr>
        <w:t> </w:t>
      </w:r>
      <w:r>
        <w:rPr>
          <w:color w:val="231F20"/>
          <w:w w:val="105"/>
        </w:rPr>
        <w:t>en</w:t>
      </w:r>
      <w:r>
        <w:rPr>
          <w:color w:val="231F20"/>
          <w:spacing w:val="-27"/>
          <w:w w:val="105"/>
        </w:rPr>
        <w:t> </w:t>
      </w:r>
      <w:r>
        <w:rPr>
          <w:color w:val="231F20"/>
          <w:w w:val="105"/>
        </w:rPr>
        <w:t>actividades</w:t>
      </w:r>
      <w:r>
        <w:rPr>
          <w:color w:val="231F20"/>
          <w:spacing w:val="-27"/>
          <w:w w:val="105"/>
        </w:rPr>
        <w:t> </w:t>
      </w:r>
      <w:r>
        <w:rPr>
          <w:color w:val="231F20"/>
          <w:w w:val="105"/>
        </w:rPr>
        <w:t>no</w:t>
      </w:r>
      <w:r>
        <w:rPr>
          <w:color w:val="231F20"/>
          <w:spacing w:val="-27"/>
          <w:w w:val="105"/>
        </w:rPr>
        <w:t> </w:t>
      </w:r>
      <w:r>
        <w:rPr>
          <w:color w:val="231F20"/>
          <w:w w:val="105"/>
        </w:rPr>
        <w:t>agropecuarias,</w:t>
      </w:r>
      <w:r>
        <w:rPr>
          <w:color w:val="231F20"/>
          <w:spacing w:val="-32"/>
          <w:w w:val="105"/>
        </w:rPr>
        <w:t> </w:t>
      </w:r>
      <w:r>
        <w:rPr>
          <w:color w:val="231F20"/>
          <w:w w:val="105"/>
        </w:rPr>
        <w:t>y</w:t>
      </w:r>
      <w:r>
        <w:rPr>
          <w:color w:val="231F20"/>
          <w:spacing w:val="-27"/>
          <w:w w:val="105"/>
        </w:rPr>
        <w:t> </w:t>
      </w:r>
      <w:r>
        <w:rPr>
          <w:color w:val="231F20"/>
          <w:w w:val="105"/>
        </w:rPr>
        <w:t>en</w:t>
      </w:r>
      <w:r>
        <w:rPr>
          <w:color w:val="231F20"/>
          <w:spacing w:val="-27"/>
          <w:w w:val="105"/>
        </w:rPr>
        <w:t> </w:t>
      </w:r>
      <w:r>
        <w:rPr>
          <w:color w:val="231F20"/>
          <w:w w:val="105"/>
        </w:rPr>
        <w:t>la captación</w:t>
      </w:r>
      <w:r>
        <w:rPr>
          <w:color w:val="231F20"/>
          <w:spacing w:val="-23"/>
          <w:w w:val="105"/>
        </w:rPr>
        <w:t> </w:t>
      </w:r>
      <w:r>
        <w:rPr>
          <w:color w:val="231F20"/>
          <w:w w:val="105"/>
        </w:rPr>
        <w:t>de</w:t>
      </w:r>
      <w:r>
        <w:rPr>
          <w:color w:val="231F20"/>
          <w:spacing w:val="-23"/>
          <w:w w:val="105"/>
        </w:rPr>
        <w:t> </w:t>
      </w:r>
      <w:r>
        <w:rPr>
          <w:color w:val="231F20"/>
          <w:w w:val="105"/>
        </w:rPr>
        <w:t>subsidios</w:t>
      </w:r>
      <w:r>
        <w:rPr>
          <w:color w:val="231F20"/>
          <w:spacing w:val="-23"/>
          <w:w w:val="105"/>
        </w:rPr>
        <w:t> </w:t>
      </w:r>
      <w:r>
        <w:rPr>
          <w:color w:val="231F20"/>
          <w:w w:val="105"/>
        </w:rPr>
        <w:t>públicos</w:t>
      </w:r>
      <w:r>
        <w:rPr>
          <w:color w:val="231F20"/>
          <w:spacing w:val="-23"/>
          <w:w w:val="105"/>
        </w:rPr>
        <w:t> </w:t>
      </w:r>
      <w:r>
        <w:rPr>
          <w:color w:val="231F20"/>
          <w:w w:val="105"/>
        </w:rPr>
        <w:t>mediante</w:t>
      </w:r>
      <w:r>
        <w:rPr>
          <w:color w:val="231F20"/>
          <w:spacing w:val="-23"/>
          <w:w w:val="105"/>
        </w:rPr>
        <w:t> </w:t>
      </w:r>
      <w:r>
        <w:rPr>
          <w:color w:val="231F20"/>
          <w:w w:val="105"/>
        </w:rPr>
        <w:t>programas</w:t>
      </w:r>
      <w:r>
        <w:rPr>
          <w:color w:val="231F20"/>
          <w:spacing w:val="-23"/>
          <w:w w:val="105"/>
        </w:rPr>
        <w:t> </w:t>
      </w:r>
      <w:r>
        <w:rPr>
          <w:color w:val="231F20"/>
          <w:w w:val="105"/>
        </w:rPr>
        <w:t>asistenciales.</w:t>
      </w:r>
    </w:p>
    <w:p>
      <w:pPr>
        <w:pStyle w:val="BodyText"/>
        <w:spacing w:line="261" w:lineRule="auto" w:before="1"/>
        <w:ind w:left="1723" w:right="1828" w:firstLine="567"/>
        <w:jc w:val="both"/>
      </w:pPr>
      <w:r>
        <w:rPr>
          <w:color w:val="231F20"/>
          <w:w w:val="105"/>
        </w:rPr>
        <w:t>La</w:t>
      </w:r>
      <w:r>
        <w:rPr>
          <w:color w:val="231F20"/>
          <w:spacing w:val="-6"/>
          <w:w w:val="105"/>
        </w:rPr>
        <w:t> </w:t>
      </w:r>
      <w:r>
        <w:rPr>
          <w:color w:val="231F20"/>
          <w:w w:val="105"/>
        </w:rPr>
        <w:t>pluriactividad</w:t>
      </w:r>
      <w:r>
        <w:rPr>
          <w:color w:val="231F20"/>
          <w:spacing w:val="-6"/>
          <w:w w:val="105"/>
        </w:rPr>
        <w:t> </w:t>
      </w:r>
      <w:r>
        <w:rPr>
          <w:color w:val="231F20"/>
          <w:w w:val="105"/>
        </w:rPr>
        <w:t>que</w:t>
      </w:r>
      <w:r>
        <w:rPr>
          <w:color w:val="231F20"/>
          <w:spacing w:val="-6"/>
          <w:w w:val="105"/>
        </w:rPr>
        <w:t> </w:t>
      </w:r>
      <w:r>
        <w:rPr>
          <w:color w:val="231F20"/>
          <w:w w:val="105"/>
        </w:rPr>
        <w:t>actualmente</w:t>
      </w:r>
      <w:r>
        <w:rPr>
          <w:color w:val="231F20"/>
          <w:spacing w:val="-6"/>
          <w:w w:val="105"/>
        </w:rPr>
        <w:t> </w:t>
      </w:r>
      <w:r>
        <w:rPr>
          <w:color w:val="231F20"/>
          <w:w w:val="105"/>
        </w:rPr>
        <w:t>se</w:t>
      </w:r>
      <w:r>
        <w:rPr>
          <w:color w:val="231F20"/>
          <w:spacing w:val="-6"/>
          <w:w w:val="105"/>
        </w:rPr>
        <w:t> </w:t>
      </w:r>
      <w:r>
        <w:rPr>
          <w:color w:val="231F20"/>
          <w:w w:val="105"/>
        </w:rPr>
        <w:t>manifiesta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medio</w:t>
      </w:r>
      <w:r>
        <w:rPr>
          <w:color w:val="231F20"/>
          <w:spacing w:val="-6"/>
          <w:w w:val="105"/>
        </w:rPr>
        <w:t> </w:t>
      </w:r>
      <w:r>
        <w:rPr>
          <w:color w:val="231F20"/>
          <w:w w:val="105"/>
        </w:rPr>
        <w:t>rural, confirma</w:t>
      </w:r>
      <w:r>
        <w:rPr>
          <w:color w:val="231F20"/>
          <w:spacing w:val="-14"/>
          <w:w w:val="105"/>
        </w:rPr>
        <w:t> </w:t>
      </w:r>
      <w:r>
        <w:rPr>
          <w:color w:val="231F20"/>
          <w:w w:val="105"/>
        </w:rPr>
        <w:t>que</w:t>
      </w:r>
      <w:r>
        <w:rPr>
          <w:color w:val="231F20"/>
          <w:spacing w:val="-14"/>
          <w:w w:val="105"/>
        </w:rPr>
        <w:t> </w:t>
      </w:r>
      <w:r>
        <w:rPr>
          <w:color w:val="231F20"/>
          <w:w w:val="105"/>
        </w:rPr>
        <w:t>tanto</w:t>
      </w:r>
      <w:r>
        <w:rPr>
          <w:color w:val="231F20"/>
          <w:spacing w:val="-14"/>
          <w:w w:val="105"/>
        </w:rPr>
        <w:t> </w:t>
      </w:r>
      <w:r>
        <w:rPr>
          <w:color w:val="231F20"/>
          <w:w w:val="105"/>
        </w:rPr>
        <w:t>en</w:t>
      </w:r>
      <w:r>
        <w:rPr>
          <w:color w:val="231F20"/>
          <w:spacing w:val="-14"/>
          <w:w w:val="105"/>
        </w:rPr>
        <w:t> </w:t>
      </w:r>
      <w:r>
        <w:rPr>
          <w:color w:val="231F20"/>
          <w:w w:val="105"/>
        </w:rPr>
        <w:t>México</w:t>
      </w:r>
      <w:r>
        <w:rPr>
          <w:color w:val="231F20"/>
          <w:spacing w:val="-14"/>
          <w:w w:val="105"/>
        </w:rPr>
        <w:t> </w:t>
      </w:r>
      <w:r>
        <w:rPr>
          <w:color w:val="231F20"/>
          <w:w w:val="105"/>
        </w:rPr>
        <w:t>como</w:t>
      </w:r>
      <w:r>
        <w:rPr>
          <w:color w:val="231F20"/>
          <w:spacing w:val="-14"/>
          <w:w w:val="105"/>
        </w:rPr>
        <w:t> </w:t>
      </w:r>
      <w:r>
        <w:rPr>
          <w:color w:val="231F20"/>
          <w:w w:val="105"/>
        </w:rPr>
        <w:t>en</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de origen</w:t>
      </w:r>
      <w:r>
        <w:rPr>
          <w:color w:val="231F20"/>
          <w:spacing w:val="-9"/>
          <w:w w:val="105"/>
        </w:rPr>
        <w:t> </w:t>
      </w:r>
      <w:r>
        <w:rPr>
          <w:color w:val="231F20"/>
          <w:w w:val="105"/>
        </w:rPr>
        <w:t>rural</w:t>
      </w:r>
      <w:r>
        <w:rPr>
          <w:color w:val="231F20"/>
          <w:spacing w:val="-9"/>
          <w:w w:val="105"/>
        </w:rPr>
        <w:t> </w:t>
      </w:r>
      <w:r>
        <w:rPr>
          <w:color w:val="231F20"/>
          <w:w w:val="105"/>
        </w:rPr>
        <w:t>en</w:t>
      </w:r>
      <w:r>
        <w:rPr>
          <w:color w:val="231F20"/>
          <w:spacing w:val="-9"/>
          <w:w w:val="105"/>
        </w:rPr>
        <w:t> </w:t>
      </w:r>
      <w:r>
        <w:rPr>
          <w:color w:val="231F20"/>
          <w:w w:val="105"/>
        </w:rPr>
        <w:t>muchos</w:t>
      </w:r>
      <w:r>
        <w:rPr>
          <w:color w:val="231F20"/>
          <w:spacing w:val="-9"/>
          <w:w w:val="105"/>
        </w:rPr>
        <w:t> </w:t>
      </w:r>
      <w:r>
        <w:rPr>
          <w:color w:val="231F20"/>
          <w:w w:val="105"/>
        </w:rPr>
        <w:t>casos</w:t>
      </w:r>
      <w:r>
        <w:rPr>
          <w:color w:val="231F20"/>
          <w:spacing w:val="-9"/>
          <w:w w:val="105"/>
        </w:rPr>
        <w:t> </w:t>
      </w:r>
      <w:r>
        <w:rPr>
          <w:color w:val="231F20"/>
          <w:w w:val="105"/>
        </w:rPr>
        <w:t>han</w:t>
      </w:r>
      <w:r>
        <w:rPr>
          <w:color w:val="231F20"/>
          <w:spacing w:val="-9"/>
          <w:w w:val="105"/>
        </w:rPr>
        <w:t> </w:t>
      </w:r>
      <w:r>
        <w:rPr>
          <w:color w:val="231F20"/>
          <w:w w:val="105"/>
        </w:rPr>
        <w:t>diversificado</w:t>
      </w:r>
      <w:r>
        <w:rPr>
          <w:color w:val="231F20"/>
          <w:spacing w:val="-9"/>
          <w:w w:val="105"/>
        </w:rPr>
        <w:t> </w:t>
      </w:r>
      <w:r>
        <w:rPr>
          <w:color w:val="231F20"/>
          <w:w w:val="105"/>
        </w:rPr>
        <w:t>sus</w:t>
      </w:r>
      <w:r>
        <w:rPr>
          <w:color w:val="231F20"/>
          <w:spacing w:val="-9"/>
          <w:w w:val="105"/>
        </w:rPr>
        <w:t> </w:t>
      </w:r>
      <w:r>
        <w:rPr>
          <w:color w:val="231F20"/>
          <w:w w:val="105"/>
        </w:rPr>
        <w:t>actividades,</w:t>
      </w:r>
      <w:r>
        <w:rPr>
          <w:color w:val="231F20"/>
          <w:spacing w:val="-14"/>
          <w:w w:val="105"/>
        </w:rPr>
        <w:t> </w:t>
      </w:r>
      <w:r>
        <w:rPr>
          <w:color w:val="231F20"/>
          <w:w w:val="105"/>
        </w:rPr>
        <w:t>esto</w:t>
      </w:r>
      <w:r>
        <w:rPr>
          <w:color w:val="231F20"/>
          <w:spacing w:val="-9"/>
          <w:w w:val="105"/>
        </w:rPr>
        <w:t> </w:t>
      </w:r>
      <w:r>
        <w:rPr>
          <w:color w:val="231F20"/>
          <w:w w:val="105"/>
        </w:rPr>
        <w:t>no sólo</w:t>
      </w:r>
      <w:r>
        <w:rPr>
          <w:color w:val="231F20"/>
          <w:spacing w:val="-24"/>
          <w:w w:val="105"/>
        </w:rPr>
        <w:t> </w:t>
      </w:r>
      <w:r>
        <w:rPr>
          <w:color w:val="231F20"/>
          <w:w w:val="105"/>
        </w:rPr>
        <w:t>es</w:t>
      </w:r>
      <w:r>
        <w:rPr>
          <w:color w:val="231F20"/>
          <w:spacing w:val="-24"/>
          <w:w w:val="105"/>
        </w:rPr>
        <w:t> </w:t>
      </w:r>
      <w:r>
        <w:rPr>
          <w:color w:val="231F20"/>
          <w:w w:val="105"/>
        </w:rPr>
        <w:t>una</w:t>
      </w:r>
      <w:r>
        <w:rPr>
          <w:color w:val="231F20"/>
          <w:spacing w:val="-24"/>
          <w:w w:val="105"/>
        </w:rPr>
        <w:t> </w:t>
      </w:r>
      <w:r>
        <w:rPr>
          <w:color w:val="231F20"/>
          <w:w w:val="105"/>
        </w:rPr>
        <w:t>estrategia</w:t>
      </w:r>
      <w:r>
        <w:rPr>
          <w:color w:val="231F20"/>
          <w:spacing w:val="-24"/>
          <w:w w:val="105"/>
        </w:rPr>
        <w:t> </w:t>
      </w:r>
      <w:r>
        <w:rPr>
          <w:color w:val="231F20"/>
          <w:w w:val="105"/>
        </w:rPr>
        <w:t>para</w:t>
      </w:r>
      <w:r>
        <w:rPr>
          <w:color w:val="231F20"/>
          <w:spacing w:val="-24"/>
          <w:w w:val="105"/>
        </w:rPr>
        <w:t> </w:t>
      </w:r>
      <w:r>
        <w:rPr>
          <w:color w:val="231F20"/>
          <w:w w:val="105"/>
        </w:rPr>
        <w:t>ampliar</w:t>
      </w:r>
      <w:r>
        <w:rPr>
          <w:color w:val="231F20"/>
          <w:spacing w:val="-24"/>
          <w:w w:val="105"/>
        </w:rPr>
        <w:t> </w:t>
      </w:r>
      <w:r>
        <w:rPr>
          <w:color w:val="231F20"/>
          <w:w w:val="105"/>
        </w:rPr>
        <w:t>los</w:t>
      </w:r>
      <w:r>
        <w:rPr>
          <w:color w:val="231F20"/>
          <w:spacing w:val="-24"/>
          <w:w w:val="105"/>
        </w:rPr>
        <w:t> </w:t>
      </w:r>
      <w:r>
        <w:rPr>
          <w:color w:val="231F20"/>
          <w:w w:val="105"/>
        </w:rPr>
        <w:t>ingresos</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hogares,</w:t>
      </w:r>
      <w:r>
        <w:rPr>
          <w:color w:val="231F20"/>
          <w:spacing w:val="-28"/>
          <w:w w:val="105"/>
        </w:rPr>
        <w:t> </w:t>
      </w:r>
      <w:r>
        <w:rPr>
          <w:color w:val="231F20"/>
          <w:w w:val="105"/>
        </w:rPr>
        <w:t>sino</w:t>
      </w:r>
      <w:r>
        <w:rPr>
          <w:color w:val="231F20"/>
          <w:spacing w:val="-24"/>
          <w:w w:val="105"/>
        </w:rPr>
        <w:t> </w:t>
      </w:r>
      <w:r>
        <w:rPr>
          <w:color w:val="231F20"/>
          <w:w w:val="105"/>
        </w:rPr>
        <w:t>tam- bién, es muestra de la precarización del empleo y la falta de un trabajo decente en el plano local y</w:t>
      </w:r>
      <w:r>
        <w:rPr>
          <w:color w:val="231F20"/>
          <w:spacing w:val="-31"/>
          <w:w w:val="105"/>
        </w:rPr>
        <w:t> </w:t>
      </w:r>
      <w:r>
        <w:rPr>
          <w:color w:val="231F20"/>
          <w:w w:val="105"/>
        </w:rPr>
        <w:t>global.</w:t>
      </w:r>
    </w:p>
    <w:p>
      <w:pPr>
        <w:pStyle w:val="BodyText"/>
        <w:rPr>
          <w:sz w:val="20"/>
        </w:rPr>
      </w:pPr>
    </w:p>
    <w:p>
      <w:pPr>
        <w:pStyle w:val="BodyText"/>
        <w:spacing w:before="7"/>
        <w:rPr>
          <w:sz w:val="19"/>
        </w:rPr>
      </w:pPr>
    </w:p>
    <w:p>
      <w:pPr>
        <w:pStyle w:val="Heading3"/>
        <w:ind w:left="1723"/>
        <w:rPr>
          <w:rFonts w:ascii="Tahoma"/>
        </w:rPr>
      </w:pPr>
      <w:r>
        <w:rPr>
          <w:rFonts w:ascii="Tahoma"/>
          <w:color w:val="231F20"/>
          <w:w w:val="95"/>
        </w:rPr>
        <w:t>Redes sociales y territorios de los migrantes alquisirenses</w:t>
      </w:r>
    </w:p>
    <w:p>
      <w:pPr>
        <w:pStyle w:val="BodyText"/>
        <w:rPr>
          <w:rFonts w:ascii="Tahoma"/>
          <w:b/>
          <w:sz w:val="22"/>
        </w:rPr>
      </w:pPr>
    </w:p>
    <w:p>
      <w:pPr>
        <w:spacing w:before="149"/>
        <w:ind w:left="1723" w:right="0" w:firstLine="0"/>
        <w:jc w:val="both"/>
        <w:rPr>
          <w:rFonts w:ascii="Arial"/>
          <w:i/>
          <w:sz w:val="21"/>
        </w:rPr>
      </w:pPr>
      <w:r>
        <w:rPr>
          <w:rFonts w:ascii="Arial"/>
          <w:i/>
          <w:color w:val="231F20"/>
          <w:sz w:val="21"/>
        </w:rPr>
        <w:t>Las redes sociales y el continuum territorial transnacional</w:t>
      </w:r>
    </w:p>
    <w:p>
      <w:pPr>
        <w:pStyle w:val="BodyText"/>
        <w:spacing w:before="5"/>
        <w:rPr>
          <w:rFonts w:ascii="Arial"/>
          <w:i/>
          <w:sz w:val="24"/>
        </w:rPr>
      </w:pPr>
    </w:p>
    <w:p>
      <w:pPr>
        <w:pStyle w:val="BodyText"/>
        <w:spacing w:line="261" w:lineRule="auto" w:before="1"/>
        <w:ind w:left="1723" w:right="1835"/>
        <w:jc w:val="both"/>
      </w:pPr>
      <w:r>
        <w:rPr>
          <w:color w:val="231F20"/>
          <w:w w:val="105"/>
        </w:rPr>
        <w:t>En</w:t>
      </w:r>
      <w:r>
        <w:rPr>
          <w:color w:val="231F20"/>
          <w:spacing w:val="-27"/>
          <w:w w:val="105"/>
        </w:rPr>
        <w:t> </w:t>
      </w:r>
      <w:r>
        <w:rPr>
          <w:color w:val="231F20"/>
          <w:w w:val="105"/>
        </w:rPr>
        <w:t>los</w:t>
      </w:r>
      <w:r>
        <w:rPr>
          <w:color w:val="231F20"/>
          <w:spacing w:val="-27"/>
          <w:w w:val="105"/>
        </w:rPr>
        <w:t> </w:t>
      </w:r>
      <w:r>
        <w:rPr>
          <w:color w:val="231F20"/>
          <w:w w:val="105"/>
        </w:rPr>
        <w:t>estudios</w:t>
      </w:r>
      <w:r>
        <w:rPr>
          <w:color w:val="231F20"/>
          <w:spacing w:val="-27"/>
          <w:w w:val="105"/>
        </w:rPr>
        <w:t> </w:t>
      </w:r>
      <w:r>
        <w:rPr>
          <w:color w:val="231F20"/>
          <w:w w:val="105"/>
        </w:rPr>
        <w:t>sobre</w:t>
      </w:r>
      <w:r>
        <w:rPr>
          <w:color w:val="231F20"/>
          <w:spacing w:val="-27"/>
          <w:w w:val="105"/>
        </w:rPr>
        <w:t> </w:t>
      </w:r>
      <w:r>
        <w:rPr>
          <w:color w:val="231F20"/>
          <w:w w:val="105"/>
        </w:rPr>
        <w:t>migración</w:t>
      </w:r>
      <w:r>
        <w:rPr>
          <w:color w:val="231F20"/>
          <w:spacing w:val="-27"/>
          <w:w w:val="105"/>
        </w:rPr>
        <w:t> </w:t>
      </w:r>
      <w:r>
        <w:rPr>
          <w:color w:val="231F20"/>
          <w:w w:val="105"/>
        </w:rPr>
        <w:t>internacional,</w:t>
      </w:r>
      <w:r>
        <w:rPr>
          <w:color w:val="231F20"/>
          <w:spacing w:val="-31"/>
          <w:w w:val="105"/>
        </w:rPr>
        <w:t> </w:t>
      </w:r>
      <w:r>
        <w:rPr>
          <w:color w:val="231F20"/>
          <w:w w:val="105"/>
        </w:rPr>
        <w:t>se</w:t>
      </w:r>
      <w:r>
        <w:rPr>
          <w:color w:val="231F20"/>
          <w:spacing w:val="-27"/>
          <w:w w:val="105"/>
        </w:rPr>
        <w:t> </w:t>
      </w:r>
      <w:r>
        <w:rPr>
          <w:color w:val="231F20"/>
          <w:w w:val="105"/>
        </w:rPr>
        <w:t>considera</w:t>
      </w:r>
      <w:r>
        <w:rPr>
          <w:color w:val="231F20"/>
          <w:spacing w:val="-27"/>
          <w:w w:val="105"/>
        </w:rPr>
        <w:t> </w:t>
      </w:r>
      <w:r>
        <w:rPr>
          <w:color w:val="231F20"/>
          <w:w w:val="105"/>
        </w:rPr>
        <w:t>que</w:t>
      </w:r>
      <w:r>
        <w:rPr>
          <w:color w:val="231F20"/>
          <w:spacing w:val="-27"/>
          <w:w w:val="105"/>
        </w:rPr>
        <w:t> </w:t>
      </w:r>
      <w:r>
        <w:rPr>
          <w:color w:val="231F20"/>
          <w:w w:val="105"/>
        </w:rPr>
        <w:t>las</w:t>
      </w:r>
      <w:r>
        <w:rPr>
          <w:color w:val="231F20"/>
          <w:spacing w:val="-27"/>
          <w:w w:val="105"/>
        </w:rPr>
        <w:t> </w:t>
      </w:r>
      <w:r>
        <w:rPr>
          <w:color w:val="231F20"/>
          <w:w w:val="105"/>
        </w:rPr>
        <w:t>redes de</w:t>
      </w:r>
      <w:r>
        <w:rPr>
          <w:color w:val="231F20"/>
          <w:spacing w:val="-9"/>
          <w:w w:val="105"/>
        </w:rPr>
        <w:t> </w:t>
      </w:r>
      <w:r>
        <w:rPr>
          <w:color w:val="231F20"/>
          <w:w w:val="105"/>
        </w:rPr>
        <w:t>relaciones</w:t>
      </w:r>
      <w:r>
        <w:rPr>
          <w:color w:val="231F20"/>
          <w:spacing w:val="-9"/>
          <w:w w:val="105"/>
        </w:rPr>
        <w:t> </w:t>
      </w:r>
      <w:r>
        <w:rPr>
          <w:color w:val="231F20"/>
          <w:w w:val="105"/>
        </w:rPr>
        <w:t>sociales</w:t>
      </w:r>
      <w:r>
        <w:rPr>
          <w:color w:val="231F20"/>
          <w:spacing w:val="-9"/>
          <w:w w:val="105"/>
        </w:rPr>
        <w:t> </w:t>
      </w:r>
      <w:r>
        <w:rPr>
          <w:color w:val="231F20"/>
          <w:w w:val="105"/>
        </w:rPr>
        <w:t>apoyan</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movilidad</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personas</w:t>
      </w:r>
      <w:r>
        <w:rPr>
          <w:color w:val="231F20"/>
          <w:spacing w:val="-9"/>
          <w:w w:val="105"/>
        </w:rPr>
        <w:t> </w:t>
      </w:r>
      <w:r>
        <w:rPr>
          <w:color w:val="231F20"/>
          <w:w w:val="105"/>
        </w:rPr>
        <w:t>involucra-</w:t>
      </w:r>
    </w:p>
    <w:p>
      <w:pPr>
        <w:pStyle w:val="BodyText"/>
        <w:rPr>
          <w:sz w:val="20"/>
        </w:rPr>
      </w:pPr>
    </w:p>
    <w:p>
      <w:pPr>
        <w:pStyle w:val="BodyText"/>
        <w:spacing w:before="4"/>
        <w:rPr>
          <w:sz w:val="2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3976" from="131.551193pt,3.703715pt" to="131.551193pt,39.506114pt" stroked="true" strokeweight=".35pt" strokecolor="#231f20">
            <w10:wrap type="none"/>
          </v:line>
        </w:pict>
      </w:r>
      <w:r>
        <w:rPr/>
        <w:pict>
          <v:line style="position:absolute;mso-position-horizontal-relative:page;mso-position-vertical-relative:paragraph;z-index:-453904" from="15pt,39.505917pt" to="0pt,39.505917pt" stroked="true" strokeweight=".25pt" strokecolor="#000000">
            <w10:wrap type="none"/>
          </v:line>
        </w:pict>
      </w:r>
      <w:r>
        <w:rPr/>
        <w:pict>
          <v:line style="position:absolute;mso-position-horizontal-relative:page;mso-position-vertical-relative:paragraph;z-index:36304" from="508.890015pt,39.505917pt" to="523.890015pt,39.505917pt" stroked="true" strokeweight=".25pt" strokecolor="#000000">
            <w10:wrap type="none"/>
          </v:line>
        </w:pict>
      </w:r>
      <w:r>
        <w:rPr>
          <w:rFonts w:ascii="Arial" w:hAnsi="Arial"/>
          <w:color w:val="414042"/>
          <w:position w:val="-5"/>
          <w:sz w:val="20"/>
        </w:rPr>
        <w:t>296</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6352"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6376" from="15pt,-28.286539pt" to="0pt,-28.286539pt" stroked="true" strokeweight=".25pt" strokecolor="#000000">
            <w10:wrap type="none"/>
          </v:line>
        </w:pict>
      </w:r>
      <w:r>
        <w:rPr/>
        <w:pict>
          <v:line style="position:absolute;mso-position-horizontal-relative:page;mso-position-vertical-relative:paragraph;z-index:36400" from="508.890015pt,-28.286539pt" to="523.890015pt,-28.286539pt" stroked="true" strokeweight=".25pt" strokecolor="#000000">
            <w10:wrap type="none"/>
          </v:line>
        </w:pict>
      </w:r>
      <w:r>
        <w:rPr>
          <w:rFonts w:ascii="Arial"/>
          <w:color w:val="414042"/>
          <w:sz w:val="20"/>
        </w:rPr>
        <w:t>297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53760" from="15pt,715.487793pt" to="0pt,715.487793pt" stroked="true" strokeweight=".25pt" strokecolor="#000000">
            <w10:wrap type="none"/>
          </v:line>
        </w:pict>
      </w:r>
      <w:r>
        <w:rPr/>
        <w:pict>
          <v:line style="position:absolute;mso-position-horizontal-relative:page;mso-position-vertical-relative:page;z-index:36448" from="508.890015pt,715.487793pt" to="523.890015pt,715.487793pt" stroked="true" strokeweight=".25pt" strokecolor="#000000">
            <w10:wrap type="none"/>
          </v:line>
        </w:pict>
      </w:r>
    </w:p>
    <w:p>
      <w:pPr>
        <w:pStyle w:val="BodyText"/>
        <w:spacing w:before="8"/>
        <w:rPr>
          <w:rFonts w:ascii="Arial"/>
          <w:sz w:val="18"/>
        </w:rPr>
      </w:pPr>
    </w:p>
    <w:p>
      <w:pPr>
        <w:pStyle w:val="BodyText"/>
        <w:spacing w:line="261" w:lineRule="auto" w:before="61"/>
        <w:ind w:left="1837" w:right="1721"/>
        <w:jc w:val="both"/>
      </w:pPr>
      <w:r>
        <w:rPr>
          <w:color w:val="231F20"/>
          <w:w w:val="105"/>
        </w:rPr>
        <w:t>das</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procesos</w:t>
      </w:r>
      <w:r>
        <w:rPr>
          <w:color w:val="231F20"/>
          <w:spacing w:val="-13"/>
          <w:w w:val="105"/>
        </w:rPr>
        <w:t> </w:t>
      </w:r>
      <w:r>
        <w:rPr>
          <w:color w:val="231F20"/>
          <w:w w:val="105"/>
        </w:rPr>
        <w:t>migratorios</w:t>
      </w:r>
      <w:r>
        <w:rPr>
          <w:color w:val="231F20"/>
          <w:spacing w:val="-13"/>
          <w:w w:val="105"/>
        </w:rPr>
        <w:t> </w:t>
      </w:r>
      <w:r>
        <w:rPr>
          <w:color w:val="231F20"/>
          <w:w w:val="105"/>
        </w:rPr>
        <w:t>reduciendo</w:t>
      </w:r>
      <w:r>
        <w:rPr>
          <w:color w:val="231F20"/>
          <w:spacing w:val="-13"/>
          <w:w w:val="105"/>
        </w:rPr>
        <w:t> </w:t>
      </w:r>
      <w:r>
        <w:rPr>
          <w:color w:val="231F20"/>
          <w:w w:val="105"/>
        </w:rPr>
        <w:t>costos</w:t>
      </w:r>
      <w:r>
        <w:rPr>
          <w:color w:val="231F20"/>
          <w:spacing w:val="-13"/>
          <w:w w:val="105"/>
        </w:rPr>
        <w:t> </w:t>
      </w:r>
      <w:r>
        <w:rPr>
          <w:color w:val="231F20"/>
          <w:w w:val="105"/>
        </w:rPr>
        <w:t>y</w:t>
      </w:r>
      <w:r>
        <w:rPr>
          <w:color w:val="231F20"/>
          <w:spacing w:val="-13"/>
          <w:w w:val="105"/>
        </w:rPr>
        <w:t> </w:t>
      </w:r>
      <w:r>
        <w:rPr>
          <w:color w:val="231F20"/>
          <w:w w:val="105"/>
        </w:rPr>
        <w:t>riesgos,</w:t>
      </w:r>
      <w:r>
        <w:rPr>
          <w:color w:val="231F20"/>
          <w:spacing w:val="-19"/>
          <w:w w:val="105"/>
        </w:rPr>
        <w:t> </w:t>
      </w:r>
      <w:r>
        <w:rPr>
          <w:color w:val="231F20"/>
          <w:w w:val="105"/>
        </w:rPr>
        <w:t>ampliando las</w:t>
      </w:r>
      <w:r>
        <w:rPr>
          <w:color w:val="231F20"/>
          <w:spacing w:val="-20"/>
          <w:w w:val="105"/>
        </w:rPr>
        <w:t> </w:t>
      </w:r>
      <w:r>
        <w:rPr>
          <w:color w:val="231F20"/>
          <w:w w:val="105"/>
        </w:rPr>
        <w:t>posibilidades</w:t>
      </w:r>
      <w:r>
        <w:rPr>
          <w:color w:val="231F20"/>
          <w:spacing w:val="-20"/>
          <w:w w:val="105"/>
        </w:rPr>
        <w:t> </w:t>
      </w:r>
      <w:r>
        <w:rPr>
          <w:color w:val="231F20"/>
          <w:w w:val="105"/>
        </w:rPr>
        <w:t>y</w:t>
      </w:r>
      <w:r>
        <w:rPr>
          <w:color w:val="231F20"/>
          <w:spacing w:val="-20"/>
          <w:w w:val="105"/>
        </w:rPr>
        <w:t> </w:t>
      </w:r>
      <w:r>
        <w:rPr>
          <w:color w:val="231F20"/>
          <w:w w:val="105"/>
        </w:rPr>
        <w:t>oportunidades</w:t>
      </w:r>
      <w:r>
        <w:rPr>
          <w:color w:val="231F20"/>
          <w:spacing w:val="-20"/>
          <w:w w:val="105"/>
        </w:rPr>
        <w:t> </w:t>
      </w:r>
      <w:r>
        <w:rPr>
          <w:color w:val="231F20"/>
          <w:w w:val="105"/>
        </w:rPr>
        <w:t>para</w:t>
      </w:r>
      <w:r>
        <w:rPr>
          <w:color w:val="231F20"/>
          <w:spacing w:val="-20"/>
          <w:w w:val="105"/>
        </w:rPr>
        <w:t> </w:t>
      </w:r>
      <w:r>
        <w:rPr>
          <w:color w:val="231F20"/>
          <w:w w:val="105"/>
        </w:rPr>
        <w:t>una</w:t>
      </w:r>
      <w:r>
        <w:rPr>
          <w:color w:val="231F20"/>
          <w:spacing w:val="-20"/>
          <w:w w:val="105"/>
        </w:rPr>
        <w:t> </w:t>
      </w:r>
      <w:r>
        <w:rPr>
          <w:color w:val="231F20"/>
          <w:w w:val="105"/>
        </w:rPr>
        <w:t>movilidad</w:t>
      </w:r>
      <w:r>
        <w:rPr>
          <w:color w:val="231F20"/>
          <w:spacing w:val="-20"/>
          <w:w w:val="105"/>
        </w:rPr>
        <w:t> </w:t>
      </w:r>
      <w:r>
        <w:rPr>
          <w:color w:val="231F20"/>
          <w:w w:val="105"/>
        </w:rPr>
        <w:t>exitosa</w:t>
      </w:r>
      <w:r>
        <w:rPr>
          <w:color w:val="231F20"/>
          <w:spacing w:val="-20"/>
          <w:w w:val="105"/>
        </w:rPr>
        <w:t> </w:t>
      </w:r>
      <w:r>
        <w:rPr>
          <w:color w:val="231F20"/>
          <w:w w:val="105"/>
        </w:rPr>
        <w:t>que,</w:t>
      </w:r>
      <w:r>
        <w:rPr>
          <w:color w:val="231F20"/>
          <w:spacing w:val="-25"/>
          <w:w w:val="105"/>
        </w:rPr>
        <w:t> </w:t>
      </w:r>
      <w:r>
        <w:rPr>
          <w:color w:val="231F20"/>
          <w:w w:val="105"/>
        </w:rPr>
        <w:t>si</w:t>
      </w:r>
      <w:r>
        <w:rPr>
          <w:color w:val="231F20"/>
          <w:spacing w:val="-20"/>
          <w:w w:val="105"/>
        </w:rPr>
        <w:t> </w:t>
      </w:r>
      <w:r>
        <w:rPr>
          <w:color w:val="231F20"/>
          <w:w w:val="105"/>
        </w:rPr>
        <w:t>bien inicia</w:t>
      </w:r>
      <w:r>
        <w:rPr>
          <w:color w:val="231F20"/>
          <w:spacing w:val="-23"/>
          <w:w w:val="105"/>
        </w:rPr>
        <w:t> </w:t>
      </w:r>
      <w:r>
        <w:rPr>
          <w:color w:val="231F20"/>
          <w:w w:val="105"/>
        </w:rPr>
        <w:t>con</w:t>
      </w:r>
      <w:r>
        <w:rPr>
          <w:color w:val="231F20"/>
          <w:spacing w:val="-23"/>
          <w:w w:val="105"/>
        </w:rPr>
        <w:t> </w:t>
      </w:r>
      <w:r>
        <w:rPr>
          <w:color w:val="231F20"/>
          <w:w w:val="105"/>
        </w:rPr>
        <w:t>el</w:t>
      </w:r>
      <w:r>
        <w:rPr>
          <w:color w:val="231F20"/>
          <w:spacing w:val="-23"/>
          <w:w w:val="105"/>
        </w:rPr>
        <w:t> </w:t>
      </w:r>
      <w:r>
        <w:rPr>
          <w:color w:val="231F20"/>
          <w:w w:val="105"/>
        </w:rPr>
        <w:t>proyecto</w:t>
      </w:r>
      <w:r>
        <w:rPr>
          <w:color w:val="231F20"/>
          <w:spacing w:val="-23"/>
          <w:w w:val="105"/>
        </w:rPr>
        <w:t> </w:t>
      </w:r>
      <w:r>
        <w:rPr>
          <w:color w:val="231F20"/>
          <w:w w:val="105"/>
        </w:rPr>
        <w:t>migratorio,</w:t>
      </w:r>
      <w:r>
        <w:rPr>
          <w:color w:val="231F20"/>
          <w:spacing w:val="-29"/>
          <w:w w:val="105"/>
        </w:rPr>
        <w:t> </w:t>
      </w:r>
      <w:r>
        <w:rPr>
          <w:color w:val="231F20"/>
          <w:w w:val="105"/>
        </w:rPr>
        <w:t>se</w:t>
      </w:r>
      <w:r>
        <w:rPr>
          <w:color w:val="231F20"/>
          <w:spacing w:val="-23"/>
          <w:w w:val="105"/>
        </w:rPr>
        <w:t> </w:t>
      </w:r>
      <w:r>
        <w:rPr>
          <w:color w:val="231F20"/>
          <w:w w:val="105"/>
        </w:rPr>
        <w:t>extiende</w:t>
      </w:r>
      <w:r>
        <w:rPr>
          <w:color w:val="231F20"/>
          <w:spacing w:val="-23"/>
          <w:w w:val="105"/>
        </w:rPr>
        <w:t> </w:t>
      </w:r>
      <w:r>
        <w:rPr>
          <w:color w:val="231F20"/>
          <w:w w:val="105"/>
        </w:rPr>
        <w:t>a</w:t>
      </w:r>
      <w:r>
        <w:rPr>
          <w:color w:val="231F20"/>
          <w:spacing w:val="-23"/>
          <w:w w:val="105"/>
        </w:rPr>
        <w:t> </w:t>
      </w:r>
      <w:r>
        <w:rPr>
          <w:color w:val="231F20"/>
          <w:w w:val="105"/>
        </w:rPr>
        <w:t>los</w:t>
      </w:r>
      <w:r>
        <w:rPr>
          <w:color w:val="231F20"/>
          <w:spacing w:val="-23"/>
          <w:w w:val="105"/>
        </w:rPr>
        <w:t> </w:t>
      </w:r>
      <w:r>
        <w:rPr>
          <w:color w:val="231F20"/>
          <w:w w:val="105"/>
        </w:rPr>
        <w:t>desplazamientos</w:t>
      </w:r>
      <w:r>
        <w:rPr>
          <w:color w:val="231F20"/>
          <w:spacing w:val="-23"/>
          <w:w w:val="105"/>
        </w:rPr>
        <w:t> </w:t>
      </w:r>
      <w:r>
        <w:rPr>
          <w:color w:val="231F20"/>
          <w:w w:val="105"/>
        </w:rPr>
        <w:t>entre los lugares de origen y destino, la instalación y búsqueda de empleo y vivienda,</w:t>
      </w:r>
      <w:r>
        <w:rPr>
          <w:color w:val="231F20"/>
          <w:spacing w:val="-20"/>
          <w:w w:val="105"/>
        </w:rPr>
        <w:t> </w:t>
      </w:r>
      <w:r>
        <w:rPr>
          <w:color w:val="231F20"/>
          <w:w w:val="105"/>
        </w:rPr>
        <w:t>por</w:t>
      </w:r>
      <w:r>
        <w:rPr>
          <w:color w:val="231F20"/>
          <w:spacing w:val="-15"/>
          <w:w w:val="105"/>
        </w:rPr>
        <w:t> </w:t>
      </w:r>
      <w:r>
        <w:rPr>
          <w:color w:val="231F20"/>
          <w:w w:val="105"/>
        </w:rPr>
        <w:t>ejemplo</w:t>
      </w:r>
      <w:r>
        <w:rPr>
          <w:color w:val="231F20"/>
          <w:spacing w:val="-15"/>
          <w:w w:val="105"/>
        </w:rPr>
        <w:t> </w:t>
      </w:r>
      <w:r>
        <w:rPr>
          <w:color w:val="231F20"/>
          <w:w w:val="105"/>
        </w:rPr>
        <w:t>(Anguiano</w:t>
      </w:r>
      <w:r>
        <w:rPr>
          <w:color w:val="231F20"/>
          <w:spacing w:val="-15"/>
          <w:w w:val="105"/>
        </w:rPr>
        <w:t> </w:t>
      </w:r>
      <w:r>
        <w:rPr>
          <w:color w:val="231F20"/>
          <w:w w:val="105"/>
        </w:rPr>
        <w:t>y</w:t>
      </w:r>
      <w:r>
        <w:rPr>
          <w:color w:val="231F20"/>
          <w:spacing w:val="-15"/>
          <w:w w:val="105"/>
        </w:rPr>
        <w:t> </w:t>
      </w:r>
      <w:r>
        <w:rPr>
          <w:color w:val="231F20"/>
          <w:w w:val="105"/>
        </w:rPr>
        <w:t>Cardoso,</w:t>
      </w:r>
      <w:r>
        <w:rPr>
          <w:color w:val="231F20"/>
          <w:spacing w:val="-20"/>
          <w:w w:val="105"/>
        </w:rPr>
        <w:t> </w:t>
      </w:r>
      <w:r>
        <w:rPr>
          <w:color w:val="231F20"/>
          <w:w w:val="105"/>
        </w:rPr>
        <w:t>2012).</w:t>
      </w:r>
    </w:p>
    <w:p>
      <w:pPr>
        <w:pStyle w:val="BodyText"/>
        <w:spacing w:line="261" w:lineRule="auto" w:before="1"/>
        <w:ind w:left="1837" w:right="1721" w:firstLine="567"/>
        <w:jc w:val="both"/>
      </w:pPr>
      <w:r>
        <w:rPr>
          <w:color w:val="231F20"/>
          <w:w w:val="105"/>
        </w:rPr>
        <w:t>En</w:t>
      </w:r>
      <w:r>
        <w:rPr>
          <w:color w:val="231F20"/>
          <w:spacing w:val="-13"/>
          <w:w w:val="105"/>
        </w:rPr>
        <w:t> </w:t>
      </w:r>
      <w:r>
        <w:rPr>
          <w:color w:val="231F20"/>
          <w:w w:val="105"/>
        </w:rPr>
        <w:t>efecto,</w:t>
      </w:r>
      <w:r>
        <w:rPr>
          <w:color w:val="231F20"/>
          <w:spacing w:val="-19"/>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escenario</w:t>
      </w:r>
      <w:r>
        <w:rPr>
          <w:color w:val="231F20"/>
          <w:spacing w:val="-13"/>
          <w:w w:val="105"/>
        </w:rPr>
        <w:t> </w:t>
      </w:r>
      <w:r>
        <w:rPr>
          <w:color w:val="231F20"/>
          <w:w w:val="105"/>
        </w:rPr>
        <w:t>sureño</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13"/>
          <w:w w:val="105"/>
        </w:rPr>
        <w:t> </w:t>
      </w:r>
      <w:r>
        <w:rPr>
          <w:color w:val="231F20"/>
          <w:w w:val="105"/>
        </w:rPr>
        <w:t>el</w:t>
      </w:r>
      <w:r>
        <w:rPr>
          <w:color w:val="231F20"/>
          <w:spacing w:val="-13"/>
          <w:w w:val="105"/>
        </w:rPr>
        <w:t> </w:t>
      </w:r>
      <w:r>
        <w:rPr>
          <w:color w:val="231F20"/>
          <w:w w:val="105"/>
        </w:rPr>
        <w:t>flujo</w:t>
      </w:r>
      <w:r>
        <w:rPr>
          <w:color w:val="231F20"/>
          <w:spacing w:val="-13"/>
          <w:w w:val="105"/>
        </w:rPr>
        <w:t> </w:t>
      </w:r>
      <w:r>
        <w:rPr>
          <w:color w:val="231F20"/>
          <w:w w:val="105"/>
        </w:rPr>
        <w:t>mi- gratorio ha estado presente desde inicios del siglo pasado, lo que ha permitido</w:t>
      </w:r>
      <w:r>
        <w:rPr>
          <w:color w:val="231F20"/>
          <w:spacing w:val="-14"/>
          <w:w w:val="105"/>
        </w:rPr>
        <w:t> </w:t>
      </w:r>
      <w:r>
        <w:rPr>
          <w:color w:val="231F20"/>
          <w:w w:val="105"/>
        </w:rPr>
        <w:t>la</w:t>
      </w:r>
      <w:r>
        <w:rPr>
          <w:color w:val="231F20"/>
          <w:spacing w:val="-14"/>
          <w:w w:val="105"/>
        </w:rPr>
        <w:t> </w:t>
      </w:r>
      <w:r>
        <w:rPr>
          <w:color w:val="231F20"/>
          <w:w w:val="105"/>
        </w:rPr>
        <w:t>conformación</w:t>
      </w:r>
      <w:r>
        <w:rPr>
          <w:color w:val="231F20"/>
          <w:spacing w:val="-14"/>
          <w:w w:val="105"/>
        </w:rPr>
        <w:t> </w:t>
      </w:r>
      <w:r>
        <w:rPr>
          <w:color w:val="231F20"/>
          <w:w w:val="105"/>
        </w:rPr>
        <w:t>y</w:t>
      </w:r>
      <w:r>
        <w:rPr>
          <w:color w:val="231F20"/>
          <w:spacing w:val="-14"/>
          <w:w w:val="105"/>
        </w:rPr>
        <w:t> </w:t>
      </w:r>
      <w:r>
        <w:rPr>
          <w:color w:val="231F20"/>
          <w:w w:val="105"/>
        </w:rPr>
        <w:t>consolidación</w:t>
      </w:r>
      <w:r>
        <w:rPr>
          <w:color w:val="231F20"/>
          <w:spacing w:val="-14"/>
          <w:w w:val="105"/>
        </w:rPr>
        <w:t> </w:t>
      </w:r>
      <w:r>
        <w:rPr>
          <w:color w:val="231F20"/>
          <w:w w:val="105"/>
        </w:rPr>
        <w:t>de</w:t>
      </w:r>
      <w:r>
        <w:rPr>
          <w:color w:val="231F20"/>
          <w:spacing w:val="-14"/>
          <w:w w:val="105"/>
        </w:rPr>
        <w:t> </w:t>
      </w:r>
      <w:r>
        <w:rPr>
          <w:color w:val="231F20"/>
          <w:w w:val="105"/>
        </w:rPr>
        <w:t>redes</w:t>
      </w:r>
      <w:r>
        <w:rPr>
          <w:color w:val="231F20"/>
          <w:spacing w:val="-14"/>
          <w:w w:val="105"/>
        </w:rPr>
        <w:t> </w:t>
      </w:r>
      <w:r>
        <w:rPr>
          <w:color w:val="231F20"/>
          <w:w w:val="105"/>
        </w:rPr>
        <w:t>sociales</w:t>
      </w:r>
      <w:r>
        <w:rPr>
          <w:color w:val="231F20"/>
          <w:spacing w:val="-14"/>
          <w:w w:val="105"/>
        </w:rPr>
        <w:t> </w:t>
      </w:r>
      <w:r>
        <w:rPr>
          <w:color w:val="231F20"/>
          <w:w w:val="105"/>
        </w:rPr>
        <w:t>y</w:t>
      </w:r>
      <w:r>
        <w:rPr>
          <w:color w:val="231F20"/>
          <w:spacing w:val="-14"/>
          <w:w w:val="105"/>
        </w:rPr>
        <w:t> </w:t>
      </w:r>
      <w:r>
        <w:rPr>
          <w:color w:val="231F20"/>
          <w:w w:val="105"/>
        </w:rPr>
        <w:t>familiares que</w:t>
      </w:r>
      <w:r>
        <w:rPr>
          <w:color w:val="231F20"/>
          <w:spacing w:val="-14"/>
          <w:w w:val="105"/>
        </w:rPr>
        <w:t> </w:t>
      </w:r>
      <w:r>
        <w:rPr>
          <w:color w:val="231F20"/>
          <w:w w:val="105"/>
        </w:rPr>
        <w:t>forman</w:t>
      </w:r>
      <w:r>
        <w:rPr>
          <w:color w:val="231F20"/>
          <w:spacing w:val="-14"/>
          <w:w w:val="105"/>
        </w:rPr>
        <w:t> </w:t>
      </w:r>
      <w:r>
        <w:rPr>
          <w:color w:val="231F20"/>
          <w:w w:val="105"/>
        </w:rPr>
        <w:t>parte</w:t>
      </w:r>
      <w:r>
        <w:rPr>
          <w:color w:val="231F20"/>
          <w:spacing w:val="-14"/>
          <w:w w:val="105"/>
        </w:rPr>
        <w:t> </w:t>
      </w:r>
      <w:r>
        <w:rPr>
          <w:color w:val="231F20"/>
          <w:w w:val="105"/>
        </w:rPr>
        <w:t>de</w:t>
      </w:r>
      <w:r>
        <w:rPr>
          <w:color w:val="231F20"/>
          <w:spacing w:val="-14"/>
          <w:w w:val="105"/>
        </w:rPr>
        <w:t> </w:t>
      </w:r>
      <w:r>
        <w:rPr>
          <w:color w:val="231F20"/>
          <w:w w:val="105"/>
        </w:rPr>
        <w:t>dicho</w:t>
      </w:r>
      <w:r>
        <w:rPr>
          <w:color w:val="231F20"/>
          <w:spacing w:val="-14"/>
          <w:w w:val="105"/>
        </w:rPr>
        <w:t> </w:t>
      </w:r>
      <w:r>
        <w:rPr>
          <w:color w:val="231F20"/>
          <w:w w:val="105"/>
        </w:rPr>
        <w:t>proceso,</w:t>
      </w:r>
      <w:r>
        <w:rPr>
          <w:color w:val="231F20"/>
          <w:spacing w:val="-20"/>
          <w:w w:val="105"/>
        </w:rPr>
        <w:t> </w:t>
      </w:r>
      <w:r>
        <w:rPr>
          <w:color w:val="231F20"/>
          <w:w w:val="105"/>
        </w:rPr>
        <w:t>especialmente</w:t>
      </w:r>
      <w:r>
        <w:rPr>
          <w:color w:val="231F20"/>
          <w:spacing w:val="-14"/>
          <w:w w:val="105"/>
        </w:rPr>
        <w:t> </w:t>
      </w:r>
      <w:r>
        <w:rPr>
          <w:color w:val="231F20"/>
          <w:w w:val="105"/>
        </w:rPr>
        <w:t>en</w:t>
      </w:r>
      <w:r>
        <w:rPr>
          <w:color w:val="231F20"/>
          <w:spacing w:val="-14"/>
          <w:w w:val="105"/>
        </w:rPr>
        <w:t> </w:t>
      </w:r>
      <w:r>
        <w:rPr>
          <w:color w:val="231F20"/>
          <w:w w:val="105"/>
        </w:rPr>
        <w:t>aquellas</w:t>
      </w:r>
      <w:r>
        <w:rPr>
          <w:color w:val="231F20"/>
          <w:spacing w:val="-14"/>
          <w:w w:val="105"/>
        </w:rPr>
        <w:t> </w:t>
      </w:r>
      <w:r>
        <w:rPr>
          <w:color w:val="231F20"/>
          <w:w w:val="105"/>
        </w:rPr>
        <w:t>regiones de</w:t>
      </w:r>
      <w:r>
        <w:rPr>
          <w:color w:val="231F20"/>
          <w:spacing w:val="-4"/>
          <w:w w:val="105"/>
        </w:rPr>
        <w:t> </w:t>
      </w:r>
      <w:r>
        <w:rPr>
          <w:color w:val="231F20"/>
          <w:w w:val="105"/>
        </w:rPr>
        <w:t>la</w:t>
      </w:r>
      <w:r>
        <w:rPr>
          <w:color w:val="231F20"/>
          <w:spacing w:val="-4"/>
          <w:w w:val="105"/>
        </w:rPr>
        <w:t> </w:t>
      </w:r>
      <w:r>
        <w:rPr>
          <w:color w:val="231F20"/>
          <w:w w:val="105"/>
        </w:rPr>
        <w:t>entidad</w:t>
      </w:r>
      <w:r>
        <w:rPr>
          <w:color w:val="231F20"/>
          <w:spacing w:val="-4"/>
          <w:w w:val="105"/>
        </w:rPr>
        <w:t> </w:t>
      </w:r>
      <w:r>
        <w:rPr>
          <w:color w:val="231F20"/>
          <w:w w:val="105"/>
        </w:rPr>
        <w:t>donde</w:t>
      </w:r>
      <w:r>
        <w:rPr>
          <w:color w:val="231F20"/>
          <w:spacing w:val="-4"/>
          <w:w w:val="105"/>
        </w:rPr>
        <w:t> </w:t>
      </w:r>
      <w:r>
        <w:rPr>
          <w:color w:val="231F20"/>
          <w:w w:val="105"/>
        </w:rPr>
        <w:t>se</w:t>
      </w:r>
      <w:r>
        <w:rPr>
          <w:color w:val="231F20"/>
          <w:spacing w:val="-4"/>
          <w:w w:val="105"/>
        </w:rPr>
        <w:t> </w:t>
      </w:r>
      <w:r>
        <w:rPr>
          <w:color w:val="231F20"/>
          <w:w w:val="105"/>
        </w:rPr>
        <w:t>ha</w:t>
      </w:r>
      <w:r>
        <w:rPr>
          <w:color w:val="231F20"/>
          <w:spacing w:val="-4"/>
          <w:w w:val="105"/>
        </w:rPr>
        <w:t> </w:t>
      </w:r>
      <w:r>
        <w:rPr>
          <w:color w:val="231F20"/>
          <w:w w:val="105"/>
        </w:rPr>
        <w:t>presentado</w:t>
      </w:r>
      <w:r>
        <w:rPr>
          <w:color w:val="231F20"/>
          <w:spacing w:val="-4"/>
          <w:w w:val="105"/>
        </w:rPr>
        <w:t> </w:t>
      </w:r>
      <w:r>
        <w:rPr>
          <w:color w:val="231F20"/>
          <w:w w:val="105"/>
        </w:rPr>
        <w:t>con</w:t>
      </w:r>
      <w:r>
        <w:rPr>
          <w:color w:val="231F20"/>
          <w:spacing w:val="-4"/>
          <w:w w:val="105"/>
        </w:rPr>
        <w:t> </w:t>
      </w:r>
      <w:r>
        <w:rPr>
          <w:color w:val="231F20"/>
          <w:w w:val="105"/>
        </w:rPr>
        <w:t>más</w:t>
      </w:r>
      <w:r>
        <w:rPr>
          <w:color w:val="231F20"/>
          <w:spacing w:val="-4"/>
          <w:w w:val="105"/>
        </w:rPr>
        <w:t> </w:t>
      </w:r>
      <w:r>
        <w:rPr>
          <w:color w:val="231F20"/>
          <w:w w:val="105"/>
        </w:rPr>
        <w:t>intensidad</w:t>
      </w:r>
      <w:r>
        <w:rPr>
          <w:color w:val="231F20"/>
          <w:spacing w:val="-4"/>
          <w:w w:val="105"/>
        </w:rPr>
        <w:t> </w:t>
      </w:r>
      <w:r>
        <w:rPr>
          <w:color w:val="231F20"/>
          <w:w w:val="105"/>
        </w:rPr>
        <w:t>a</w:t>
      </w:r>
      <w:r>
        <w:rPr>
          <w:color w:val="231F20"/>
          <w:spacing w:val="-4"/>
          <w:w w:val="105"/>
        </w:rPr>
        <w:t> </w:t>
      </w:r>
      <w:r>
        <w:rPr>
          <w:color w:val="231F20"/>
          <w:w w:val="105"/>
        </w:rPr>
        <w:t>lo</w:t>
      </w:r>
      <w:r>
        <w:rPr>
          <w:color w:val="231F20"/>
          <w:spacing w:val="-4"/>
          <w:w w:val="105"/>
        </w:rPr>
        <w:t> </w:t>
      </w:r>
      <w:r>
        <w:rPr>
          <w:color w:val="231F20"/>
          <w:w w:val="105"/>
        </w:rPr>
        <w:t>largo</w:t>
      </w:r>
      <w:r>
        <w:rPr>
          <w:color w:val="231F20"/>
          <w:spacing w:val="-4"/>
          <w:w w:val="105"/>
        </w:rPr>
        <w:t> </w:t>
      </w:r>
      <w:r>
        <w:rPr>
          <w:color w:val="231F20"/>
          <w:w w:val="105"/>
        </w:rPr>
        <w:t>del tiempo,</w:t>
      </w:r>
      <w:r>
        <w:rPr>
          <w:color w:val="231F20"/>
          <w:spacing w:val="-18"/>
          <w:w w:val="105"/>
        </w:rPr>
        <w:t> </w:t>
      </w:r>
      <w:r>
        <w:rPr>
          <w:color w:val="231F20"/>
          <w:w w:val="105"/>
        </w:rPr>
        <w:t>como</w:t>
      </w:r>
      <w:r>
        <w:rPr>
          <w:color w:val="231F20"/>
          <w:spacing w:val="-13"/>
          <w:w w:val="105"/>
        </w:rPr>
        <w:t> </w:t>
      </w:r>
      <w:r>
        <w:rPr>
          <w:color w:val="231F20"/>
          <w:w w:val="105"/>
        </w:rPr>
        <w:t>es</w:t>
      </w:r>
      <w:r>
        <w:rPr>
          <w:color w:val="231F20"/>
          <w:spacing w:val="-13"/>
          <w:w w:val="105"/>
        </w:rPr>
        <w:t> </w:t>
      </w:r>
      <w:r>
        <w:rPr>
          <w:color w:val="231F20"/>
          <w:w w:val="105"/>
        </w:rPr>
        <w:t>el</w:t>
      </w:r>
      <w:r>
        <w:rPr>
          <w:color w:val="231F20"/>
          <w:spacing w:val="-13"/>
          <w:w w:val="105"/>
        </w:rPr>
        <w:t> </w:t>
      </w:r>
      <w:r>
        <w:rPr>
          <w:color w:val="231F20"/>
          <w:w w:val="105"/>
        </w:rPr>
        <w:t>caso</w:t>
      </w:r>
      <w:r>
        <w:rPr>
          <w:color w:val="231F20"/>
          <w:spacing w:val="-13"/>
          <w:w w:val="105"/>
        </w:rPr>
        <w:t> </w:t>
      </w:r>
      <w:r>
        <w:rPr>
          <w:color w:val="231F20"/>
          <w:w w:val="105"/>
        </w:rPr>
        <w:t>de</w:t>
      </w:r>
      <w:r>
        <w:rPr>
          <w:color w:val="231F20"/>
          <w:spacing w:val="-16"/>
          <w:w w:val="105"/>
        </w:rPr>
        <w:t> </w:t>
      </w:r>
      <w:r>
        <w:rPr>
          <w:color w:val="231F20"/>
          <w:w w:val="105"/>
        </w:rPr>
        <w:t>Almoloya</w:t>
      </w:r>
      <w:r>
        <w:rPr>
          <w:color w:val="231F20"/>
          <w:spacing w:val="-13"/>
          <w:w w:val="105"/>
        </w:rPr>
        <w:t> </w:t>
      </w:r>
      <w:r>
        <w:rPr>
          <w:color w:val="231F20"/>
          <w:w w:val="105"/>
        </w:rPr>
        <w:t>de</w:t>
      </w:r>
      <w:r>
        <w:rPr>
          <w:color w:val="231F20"/>
          <w:spacing w:val="-16"/>
          <w:w w:val="105"/>
        </w:rPr>
        <w:t> </w:t>
      </w:r>
      <w:r>
        <w:rPr>
          <w:color w:val="231F20"/>
          <w:w w:val="105"/>
        </w:rPr>
        <w:t>Alquisiras.</w:t>
      </w:r>
    </w:p>
    <w:p>
      <w:pPr>
        <w:pStyle w:val="BodyText"/>
        <w:spacing w:line="261" w:lineRule="auto" w:before="1"/>
        <w:ind w:left="1837" w:right="1715" w:firstLine="567"/>
        <w:jc w:val="right"/>
      </w:pPr>
      <w:r>
        <w:rPr>
          <w:color w:val="231F20"/>
        </w:rPr>
        <w:t>El mencionar </w:t>
      </w:r>
      <w:r>
        <w:rPr>
          <w:color w:val="231F20"/>
          <w:spacing w:val="-3"/>
        </w:rPr>
        <w:t>redes </w:t>
      </w:r>
      <w:r>
        <w:rPr>
          <w:color w:val="231F20"/>
        </w:rPr>
        <w:t>sociales se </w:t>
      </w:r>
      <w:r>
        <w:rPr>
          <w:color w:val="231F20"/>
          <w:spacing w:val="-3"/>
        </w:rPr>
        <w:t>refiere </w:t>
      </w:r>
      <w:r>
        <w:rPr>
          <w:color w:val="231F20"/>
        </w:rPr>
        <w:t>a un conjunto de</w:t>
      </w:r>
      <w:r>
        <w:rPr>
          <w:color w:val="231F20"/>
          <w:spacing w:val="36"/>
        </w:rPr>
        <w:t> </w:t>
      </w:r>
      <w:r>
        <w:rPr>
          <w:color w:val="231F20"/>
        </w:rPr>
        <w:t>lazos,</w:t>
      </w:r>
      <w:r>
        <w:rPr>
          <w:color w:val="231F20"/>
          <w:spacing w:val="7"/>
        </w:rPr>
        <w:t> </w:t>
      </w:r>
      <w:r>
        <w:rPr>
          <w:color w:val="231F20"/>
        </w:rPr>
        <w:t>gra-</w:t>
      </w:r>
      <w:r>
        <w:rPr>
          <w:color w:val="231F20"/>
          <w:w w:val="96"/>
        </w:rPr>
        <w:t> </w:t>
      </w:r>
      <w:r>
        <w:rPr>
          <w:color w:val="231F20"/>
        </w:rPr>
        <w:t>cias a los cuales se puede facilitar el </w:t>
      </w:r>
      <w:r>
        <w:rPr>
          <w:color w:val="231F20"/>
          <w:spacing w:val="-3"/>
        </w:rPr>
        <w:t>proceso migratorio, </w:t>
      </w:r>
      <w:r>
        <w:rPr>
          <w:color w:val="231F20"/>
        </w:rPr>
        <w:t>además</w:t>
      </w:r>
      <w:r>
        <w:rPr>
          <w:color w:val="231F20"/>
          <w:spacing w:val="11"/>
        </w:rPr>
        <w:t> </w:t>
      </w:r>
      <w:r>
        <w:rPr>
          <w:color w:val="231F20"/>
        </w:rPr>
        <w:t>estas</w:t>
      </w:r>
      <w:r>
        <w:rPr>
          <w:color w:val="231F20"/>
          <w:spacing w:val="1"/>
        </w:rPr>
        <w:t> </w:t>
      </w:r>
      <w:r>
        <w:rPr>
          <w:color w:val="231F20"/>
          <w:spacing w:val="-3"/>
        </w:rPr>
        <w:t>re-</w:t>
      </w:r>
      <w:r>
        <w:rPr>
          <w:color w:val="231F20"/>
          <w:w w:val="96"/>
        </w:rPr>
        <w:t> </w:t>
      </w:r>
      <w:r>
        <w:rPr>
          <w:color w:val="231F20"/>
        </w:rPr>
        <w:t>des sociales fungen como vasos vinculantes </w:t>
      </w:r>
      <w:r>
        <w:rPr>
          <w:color w:val="231F20"/>
          <w:spacing w:val="-3"/>
        </w:rPr>
        <w:t>entre </w:t>
      </w:r>
      <w:r>
        <w:rPr>
          <w:color w:val="231F20"/>
        </w:rPr>
        <w:t>los</w:t>
      </w:r>
      <w:r>
        <w:rPr>
          <w:color w:val="231F20"/>
          <w:spacing w:val="27"/>
        </w:rPr>
        <w:t> </w:t>
      </w:r>
      <w:r>
        <w:rPr>
          <w:color w:val="231F20"/>
        </w:rPr>
        <w:t>territorios,</w:t>
      </w:r>
      <w:r>
        <w:rPr>
          <w:color w:val="231F20"/>
          <w:spacing w:val="2"/>
        </w:rPr>
        <w:t> </w:t>
      </w:r>
      <w:r>
        <w:rPr>
          <w:color w:val="231F20"/>
        </w:rPr>
        <w:t>también</w:t>
      </w:r>
      <w:r>
        <w:rPr>
          <w:color w:val="231F20"/>
          <w:spacing w:val="-2"/>
          <w:w w:val="105"/>
        </w:rPr>
        <w:t> </w:t>
      </w:r>
      <w:r>
        <w:rPr>
          <w:color w:val="231F20"/>
        </w:rPr>
        <w:t>son en ese sentido, factor de cohesión social </w:t>
      </w:r>
      <w:r>
        <w:rPr>
          <w:color w:val="231F20"/>
          <w:spacing w:val="-3"/>
        </w:rPr>
        <w:t>entre </w:t>
      </w:r>
      <w:r>
        <w:rPr>
          <w:color w:val="231F20"/>
        </w:rPr>
        <w:t>los</w:t>
      </w:r>
      <w:r>
        <w:rPr>
          <w:color w:val="231F20"/>
          <w:spacing w:val="20"/>
        </w:rPr>
        <w:t> </w:t>
      </w:r>
      <w:r>
        <w:rPr>
          <w:color w:val="231F20"/>
        </w:rPr>
        <w:t>migrantes,</w:t>
      </w:r>
      <w:r>
        <w:rPr>
          <w:color w:val="231F20"/>
          <w:spacing w:val="-5"/>
        </w:rPr>
        <w:t> </w:t>
      </w:r>
      <w:r>
        <w:rPr>
          <w:color w:val="231F20"/>
        </w:rPr>
        <w:t>amigos,</w:t>
      </w:r>
      <w:r>
        <w:rPr>
          <w:color w:val="231F20"/>
          <w:spacing w:val="-2"/>
          <w:w w:val="103"/>
        </w:rPr>
        <w:t> </w:t>
      </w:r>
      <w:r>
        <w:rPr>
          <w:color w:val="231F20"/>
          <w:spacing w:val="-3"/>
        </w:rPr>
        <w:t>familiares </w:t>
      </w:r>
      <w:r>
        <w:rPr>
          <w:color w:val="231F20"/>
        </w:rPr>
        <w:t>y en general con el paisanaje de sus </w:t>
      </w:r>
      <w:r>
        <w:rPr>
          <w:color w:val="231F20"/>
          <w:spacing w:val="-3"/>
        </w:rPr>
        <w:t>lugares </w:t>
      </w:r>
      <w:r>
        <w:rPr>
          <w:color w:val="231F20"/>
        </w:rPr>
        <w:t>de origen.</w:t>
      </w:r>
      <w:r>
        <w:rPr>
          <w:color w:val="231F20"/>
          <w:spacing w:val="7"/>
        </w:rPr>
        <w:t> </w:t>
      </w:r>
      <w:r>
        <w:rPr>
          <w:color w:val="231F20"/>
        </w:rPr>
        <w:t>A medi-</w:t>
      </w:r>
      <w:r>
        <w:rPr>
          <w:color w:val="231F20"/>
          <w:w w:val="96"/>
        </w:rPr>
        <w:t> </w:t>
      </w:r>
      <w:r>
        <w:rPr>
          <w:color w:val="231F20"/>
        </w:rPr>
        <w:t>da</w:t>
      </w:r>
      <w:r>
        <w:rPr>
          <w:color w:val="231F20"/>
          <w:spacing w:val="-13"/>
        </w:rPr>
        <w:t> </w:t>
      </w:r>
      <w:r>
        <w:rPr>
          <w:color w:val="231F20"/>
        </w:rPr>
        <w:t>que</w:t>
      </w:r>
      <w:r>
        <w:rPr>
          <w:color w:val="231F20"/>
          <w:spacing w:val="-13"/>
        </w:rPr>
        <w:t> </w:t>
      </w:r>
      <w:r>
        <w:rPr>
          <w:color w:val="231F20"/>
        </w:rPr>
        <w:t>más</w:t>
      </w:r>
      <w:r>
        <w:rPr>
          <w:color w:val="231F20"/>
          <w:spacing w:val="-13"/>
        </w:rPr>
        <w:t> </w:t>
      </w:r>
      <w:r>
        <w:rPr>
          <w:color w:val="231F20"/>
        </w:rPr>
        <w:t>y</w:t>
      </w:r>
      <w:r>
        <w:rPr>
          <w:color w:val="231F20"/>
          <w:spacing w:val="-13"/>
        </w:rPr>
        <w:t> </w:t>
      </w:r>
      <w:r>
        <w:rPr>
          <w:color w:val="231F20"/>
        </w:rPr>
        <w:t>más</w:t>
      </w:r>
      <w:r>
        <w:rPr>
          <w:color w:val="231F20"/>
          <w:spacing w:val="-13"/>
        </w:rPr>
        <w:t> </w:t>
      </w:r>
      <w:r>
        <w:rPr>
          <w:color w:val="231F20"/>
          <w:spacing w:val="-3"/>
        </w:rPr>
        <w:t>alquisirenses</w:t>
      </w:r>
      <w:r>
        <w:rPr>
          <w:color w:val="231F20"/>
          <w:spacing w:val="-13"/>
        </w:rPr>
        <w:t> </w:t>
      </w:r>
      <w:r>
        <w:rPr>
          <w:color w:val="231F20"/>
        </w:rPr>
        <w:t>se</w:t>
      </w:r>
      <w:r>
        <w:rPr>
          <w:color w:val="231F20"/>
          <w:spacing w:val="-13"/>
        </w:rPr>
        <w:t> </w:t>
      </w:r>
      <w:r>
        <w:rPr>
          <w:color w:val="231F20"/>
        </w:rPr>
        <w:t>van,</w:t>
      </w:r>
      <w:r>
        <w:rPr>
          <w:color w:val="231F20"/>
          <w:spacing w:val="-20"/>
        </w:rPr>
        <w:t> </w:t>
      </w:r>
      <w:r>
        <w:rPr>
          <w:color w:val="231F20"/>
        </w:rPr>
        <w:t>las</w:t>
      </w:r>
      <w:r>
        <w:rPr>
          <w:color w:val="231F20"/>
          <w:spacing w:val="-13"/>
        </w:rPr>
        <w:t> </w:t>
      </w:r>
      <w:r>
        <w:rPr>
          <w:color w:val="231F20"/>
          <w:spacing w:val="-3"/>
        </w:rPr>
        <w:t>redes</w:t>
      </w:r>
      <w:r>
        <w:rPr>
          <w:color w:val="231F20"/>
          <w:spacing w:val="-13"/>
        </w:rPr>
        <w:t> </w:t>
      </w:r>
      <w:r>
        <w:rPr>
          <w:color w:val="231F20"/>
        </w:rPr>
        <w:t>sociales</w:t>
      </w:r>
      <w:r>
        <w:rPr>
          <w:color w:val="231F20"/>
          <w:spacing w:val="-13"/>
        </w:rPr>
        <w:t> </w:t>
      </w:r>
      <w:r>
        <w:rPr>
          <w:color w:val="231F20"/>
        </w:rPr>
        <w:t>tienden</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con-</w:t>
      </w:r>
      <w:r>
        <w:rPr>
          <w:color w:val="231F20"/>
          <w:w w:val="96"/>
        </w:rPr>
        <w:t> </w:t>
      </w:r>
      <w:r>
        <w:rPr>
          <w:color w:val="231F20"/>
        </w:rPr>
        <w:t>solidación como lo podemos constatar con la </w:t>
      </w:r>
      <w:r>
        <w:rPr>
          <w:color w:val="231F20"/>
          <w:spacing w:val="-3"/>
        </w:rPr>
        <w:t>entrevista </w:t>
      </w:r>
      <w:r>
        <w:rPr>
          <w:color w:val="231F20"/>
        </w:rPr>
        <w:t>de </w:t>
      </w:r>
      <w:r>
        <w:rPr>
          <w:color w:val="231F20"/>
          <w:spacing w:val="10"/>
        </w:rPr>
        <w:t> </w:t>
      </w:r>
      <w:r>
        <w:rPr>
          <w:color w:val="231F20"/>
        </w:rPr>
        <w:t>un</w:t>
      </w:r>
      <w:r>
        <w:rPr>
          <w:color w:val="231F20"/>
          <w:spacing w:val="31"/>
        </w:rPr>
        <w:t> </w:t>
      </w:r>
      <w:r>
        <w:rPr>
          <w:color w:val="231F20"/>
          <w:spacing w:val="-3"/>
        </w:rPr>
        <w:t>migrante</w:t>
      </w:r>
      <w:r>
        <w:rPr>
          <w:color w:val="231F20"/>
          <w:spacing w:val="-2"/>
          <w:w w:val="102"/>
        </w:rPr>
        <w:t> </w:t>
      </w:r>
      <w:r>
        <w:rPr>
          <w:color w:val="231F20"/>
        </w:rPr>
        <w:t>de la localidad de Plan de </w:t>
      </w:r>
      <w:r>
        <w:rPr>
          <w:color w:val="231F20"/>
          <w:spacing w:val="-3"/>
        </w:rPr>
        <w:t>Vigas </w:t>
      </w:r>
      <w:r>
        <w:rPr>
          <w:color w:val="231F20"/>
        </w:rPr>
        <w:t>del municipio de Almoloya de  </w:t>
      </w:r>
      <w:r>
        <w:rPr>
          <w:color w:val="231F20"/>
          <w:spacing w:val="15"/>
        </w:rPr>
        <w:t> </w:t>
      </w:r>
      <w:r>
        <w:rPr>
          <w:color w:val="231F20"/>
          <w:spacing w:val="-3"/>
        </w:rPr>
        <w:t>Alquisiras.</w:t>
      </w:r>
    </w:p>
    <w:p>
      <w:pPr>
        <w:pStyle w:val="BodyText"/>
        <w:spacing w:before="8"/>
        <w:rPr>
          <w:sz w:val="18"/>
        </w:rPr>
      </w:pPr>
    </w:p>
    <w:p>
      <w:pPr>
        <w:spacing w:line="254" w:lineRule="auto" w:before="0"/>
        <w:ind w:left="2971" w:right="1715" w:firstLine="0"/>
        <w:jc w:val="both"/>
        <w:rPr>
          <w:sz w:val="18"/>
        </w:rPr>
      </w:pPr>
      <w:r>
        <w:rPr>
          <w:color w:val="231F20"/>
          <w:sz w:val="18"/>
        </w:rPr>
        <w:t>Mira yo ya no he ido porque está canijo el cruce, mis sobrinos son los que me animan a </w:t>
      </w:r>
      <w:r>
        <w:rPr>
          <w:color w:val="231F20"/>
          <w:spacing w:val="-3"/>
          <w:sz w:val="18"/>
        </w:rPr>
        <w:t>ir, </w:t>
      </w:r>
      <w:r>
        <w:rPr>
          <w:color w:val="231F20"/>
          <w:sz w:val="18"/>
        </w:rPr>
        <w:t>me dicen (que) ellos me mandan para el cruce y me puedo quedar en su casa mientras consigo dónde, se hace fácil cuando ya tiene uno papeles, ellos ya los arreglaron y ya es fácil pero para uno está más canijo, ellos si tienen trabajo pero yo no sé si puedan buscar algo para mí, pero en eso estoy de que me quiero </w:t>
      </w:r>
      <w:r>
        <w:rPr>
          <w:color w:val="231F20"/>
          <w:spacing w:val="-3"/>
          <w:sz w:val="18"/>
        </w:rPr>
        <w:t>ir, </w:t>
      </w:r>
      <w:r>
        <w:rPr>
          <w:color w:val="231F20"/>
          <w:sz w:val="18"/>
        </w:rPr>
        <w:t>porque como te  digo aquí  no  hay  trabajo, no  puede  uno  trabajar. Mira  yo  me  quiero ir y ya les hablé pero quiero ver si me consiguen una visa de trabajo, porque te sale más fácil y más barato que irte por tu cuenta, arriesgarte al desierto, al monte, porque vas a intentar a ver si pasas, y si no pasas tienes que pagar de todos modos y una visa te cobran dos mil dólares, pero sabes que te vas sin ningún peligro  </w:t>
      </w:r>
      <w:r>
        <w:rPr>
          <w:color w:val="231F20"/>
          <w:spacing w:val="8"/>
          <w:sz w:val="18"/>
        </w:rPr>
        <w:t> </w:t>
      </w:r>
      <w:r>
        <w:rPr>
          <w:color w:val="231F20"/>
          <w:sz w:val="18"/>
        </w:rPr>
        <w:t>(Rafael/30/4).</w:t>
      </w:r>
    </w:p>
    <w:p>
      <w:pPr>
        <w:pStyle w:val="BodyText"/>
        <w:spacing w:before="5"/>
      </w:pPr>
    </w:p>
    <w:p>
      <w:pPr>
        <w:pStyle w:val="BodyText"/>
        <w:spacing w:line="261" w:lineRule="auto"/>
        <w:ind w:left="1837" w:right="1721"/>
        <w:jc w:val="both"/>
      </w:pPr>
      <w:r>
        <w:rPr>
          <w:color w:val="231F20"/>
          <w:w w:val="105"/>
        </w:rPr>
        <w:t>Las redes sociales están presentes en todo el proceso migratorio que puede comprender varias etapas: el contacto desde el territorio de ori- gen, el cruce y la instalación en lugar de destino, lo cual implica la ma- yoría de las veces contratar los servicios de un coyote</w:t>
      </w:r>
      <w:r>
        <w:rPr>
          <w:color w:val="231F20"/>
          <w:w w:val="105"/>
          <w:position w:val="7"/>
          <w:sz w:val="12"/>
        </w:rPr>
        <w:t>5</w:t>
      </w:r>
      <w:r>
        <w:rPr>
          <w:color w:val="231F20"/>
          <w:w w:val="105"/>
        </w:rPr>
        <w:t>, incluso existe la modalidad donde el propio traslado a la frontera puede hacerse con dinero que se puede mandar desde Estados Unidos.</w:t>
      </w:r>
    </w:p>
    <w:p>
      <w:pPr>
        <w:pStyle w:val="BodyText"/>
        <w:spacing w:line="261" w:lineRule="auto" w:before="1"/>
        <w:ind w:left="1837" w:right="1721" w:firstLine="567"/>
        <w:jc w:val="both"/>
      </w:pPr>
      <w:r>
        <w:rPr>
          <w:color w:val="231F20"/>
          <w:w w:val="105"/>
        </w:rPr>
        <w:t>El</w:t>
      </w:r>
      <w:r>
        <w:rPr>
          <w:color w:val="231F20"/>
          <w:spacing w:val="-22"/>
          <w:w w:val="105"/>
        </w:rPr>
        <w:t> </w:t>
      </w:r>
      <w:r>
        <w:rPr>
          <w:color w:val="231F20"/>
          <w:w w:val="105"/>
        </w:rPr>
        <w:t>énfasis</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territorios</w:t>
      </w:r>
      <w:r>
        <w:rPr>
          <w:color w:val="231F20"/>
          <w:spacing w:val="-22"/>
          <w:w w:val="105"/>
        </w:rPr>
        <w:t> </w:t>
      </w:r>
      <w:r>
        <w:rPr>
          <w:color w:val="231F20"/>
          <w:w w:val="105"/>
        </w:rPr>
        <w:t>de</w:t>
      </w:r>
      <w:r>
        <w:rPr>
          <w:color w:val="231F20"/>
          <w:spacing w:val="-22"/>
          <w:w w:val="105"/>
        </w:rPr>
        <w:t> </w:t>
      </w:r>
      <w:r>
        <w:rPr>
          <w:color w:val="231F20"/>
          <w:w w:val="105"/>
        </w:rPr>
        <w:t>tránsito,</w:t>
      </w:r>
      <w:r>
        <w:rPr>
          <w:color w:val="231F20"/>
          <w:spacing w:val="-27"/>
          <w:w w:val="105"/>
        </w:rPr>
        <w:t> </w:t>
      </w:r>
      <w:r>
        <w:rPr>
          <w:color w:val="231F20"/>
          <w:w w:val="105"/>
        </w:rPr>
        <w:t>especialmente</w:t>
      </w:r>
      <w:r>
        <w:rPr>
          <w:color w:val="231F20"/>
          <w:spacing w:val="-22"/>
          <w:w w:val="105"/>
        </w:rPr>
        <w:t> </w:t>
      </w:r>
      <w:r>
        <w:rPr>
          <w:color w:val="231F20"/>
          <w:w w:val="105"/>
        </w:rPr>
        <w:t>la</w:t>
      </w:r>
      <w:r>
        <w:rPr>
          <w:color w:val="231F20"/>
          <w:spacing w:val="-22"/>
          <w:w w:val="105"/>
        </w:rPr>
        <w:t> </w:t>
      </w:r>
      <w:r>
        <w:rPr>
          <w:color w:val="231F20"/>
          <w:w w:val="105"/>
        </w:rPr>
        <w:t>frontera</w:t>
      </w:r>
      <w:r>
        <w:rPr>
          <w:color w:val="231F20"/>
          <w:spacing w:val="-22"/>
          <w:w w:val="105"/>
        </w:rPr>
        <w:t> </w:t>
      </w:r>
      <w:r>
        <w:rPr>
          <w:color w:val="231F20"/>
          <w:w w:val="105"/>
        </w:rPr>
        <w:t>de México</w:t>
      </w:r>
      <w:r>
        <w:rPr>
          <w:color w:val="231F20"/>
          <w:spacing w:val="-16"/>
          <w:w w:val="105"/>
        </w:rPr>
        <w:t> </w:t>
      </w:r>
      <w:r>
        <w:rPr>
          <w:color w:val="231F20"/>
          <w:w w:val="105"/>
        </w:rPr>
        <w:t>con</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16"/>
          <w:w w:val="105"/>
        </w:rPr>
        <w:t> </w:t>
      </w:r>
      <w:r>
        <w:rPr>
          <w:color w:val="231F20"/>
          <w:w w:val="105"/>
        </w:rPr>
        <w:t>es</w:t>
      </w:r>
      <w:r>
        <w:rPr>
          <w:color w:val="231F20"/>
          <w:spacing w:val="-16"/>
          <w:w w:val="105"/>
        </w:rPr>
        <w:t> </w:t>
      </w:r>
      <w:r>
        <w:rPr>
          <w:color w:val="231F20"/>
          <w:w w:val="105"/>
        </w:rPr>
        <w:t>porque</w:t>
      </w:r>
      <w:r>
        <w:rPr>
          <w:color w:val="231F20"/>
          <w:spacing w:val="-16"/>
          <w:w w:val="105"/>
        </w:rPr>
        <w:t> </w:t>
      </w:r>
      <w:r>
        <w:rPr>
          <w:color w:val="231F20"/>
          <w:w w:val="105"/>
        </w:rPr>
        <w:t>se</w:t>
      </w:r>
      <w:r>
        <w:rPr>
          <w:color w:val="231F20"/>
          <w:spacing w:val="-16"/>
          <w:w w:val="105"/>
        </w:rPr>
        <w:t> </w:t>
      </w:r>
      <w:r>
        <w:rPr>
          <w:color w:val="231F20"/>
          <w:w w:val="105"/>
        </w:rPr>
        <w:t>considera</w:t>
      </w:r>
      <w:r>
        <w:rPr>
          <w:color w:val="231F20"/>
          <w:spacing w:val="-16"/>
          <w:w w:val="105"/>
        </w:rPr>
        <w:t> </w:t>
      </w:r>
      <w:r>
        <w:rPr>
          <w:color w:val="231F20"/>
          <w:w w:val="105"/>
        </w:rPr>
        <w:t>que</w:t>
      </w:r>
      <w:r>
        <w:rPr>
          <w:color w:val="231F20"/>
          <w:spacing w:val="-16"/>
          <w:w w:val="105"/>
        </w:rPr>
        <w:t> </w:t>
      </w:r>
      <w:r>
        <w:rPr>
          <w:color w:val="231F20"/>
          <w:w w:val="105"/>
        </w:rPr>
        <w:t>este</w:t>
      </w:r>
      <w:r>
        <w:rPr>
          <w:color w:val="231F20"/>
          <w:spacing w:val="-16"/>
          <w:w w:val="105"/>
        </w:rPr>
        <w:t> </w:t>
      </w:r>
      <w:r>
        <w:rPr>
          <w:color w:val="231F20"/>
          <w:w w:val="105"/>
        </w:rPr>
        <w:t>espacio</w:t>
      </w:r>
      <w:r>
        <w:rPr>
          <w:color w:val="231F20"/>
          <w:spacing w:val="-16"/>
          <w:w w:val="105"/>
        </w:rPr>
        <w:t> </w:t>
      </w:r>
      <w:r>
        <w:rPr>
          <w:color w:val="231F20"/>
          <w:w w:val="105"/>
        </w:rPr>
        <w:t>de movilidad poblacional crea un ambiente propicio para una “economía subterránea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spacing w:val="-3"/>
          <w:w w:val="105"/>
        </w:rPr>
        <w:t>migraciones”,</w:t>
      </w:r>
      <w:r>
        <w:rPr>
          <w:color w:val="231F20"/>
          <w:spacing w:val="-22"/>
          <w:w w:val="105"/>
        </w:rPr>
        <w:t> </w:t>
      </w:r>
      <w:r>
        <w:rPr>
          <w:color w:val="231F20"/>
          <w:w w:val="105"/>
        </w:rPr>
        <w:t>es</w:t>
      </w:r>
      <w:r>
        <w:rPr>
          <w:color w:val="231F20"/>
          <w:spacing w:val="-17"/>
          <w:w w:val="105"/>
        </w:rPr>
        <w:t> </w:t>
      </w:r>
      <w:r>
        <w:rPr>
          <w:color w:val="231F20"/>
          <w:w w:val="105"/>
        </w:rPr>
        <w:t>decir,</w:t>
      </w:r>
      <w:r>
        <w:rPr>
          <w:color w:val="231F20"/>
          <w:spacing w:val="-22"/>
          <w:w w:val="105"/>
        </w:rPr>
        <w:t> </w:t>
      </w:r>
      <w:r>
        <w:rPr>
          <w:color w:val="231F20"/>
          <w:w w:val="105"/>
        </w:rPr>
        <w:t>una</w:t>
      </w:r>
      <w:r>
        <w:rPr>
          <w:color w:val="231F20"/>
          <w:spacing w:val="-17"/>
          <w:w w:val="105"/>
        </w:rPr>
        <w:t> </w:t>
      </w:r>
      <w:r>
        <w:rPr>
          <w:color w:val="231F20"/>
          <w:w w:val="105"/>
        </w:rPr>
        <w:t>economía</w:t>
      </w:r>
      <w:r>
        <w:rPr>
          <w:color w:val="231F20"/>
          <w:spacing w:val="-17"/>
          <w:w w:val="105"/>
        </w:rPr>
        <w:t> </w:t>
      </w:r>
      <w:r>
        <w:rPr>
          <w:color w:val="231F20"/>
          <w:w w:val="105"/>
        </w:rPr>
        <w:t>monetaria</w:t>
      </w:r>
      <w:r>
        <w:rPr>
          <w:color w:val="231F20"/>
          <w:spacing w:val="-17"/>
          <w:w w:val="105"/>
        </w:rPr>
        <w:t> </w:t>
      </w:r>
      <w:r>
        <w:rPr>
          <w:color w:val="231F20"/>
          <w:w w:val="105"/>
        </w:rPr>
        <w:t>e</w:t>
      </w:r>
      <w:r>
        <w:rPr>
          <w:color w:val="231F20"/>
          <w:spacing w:val="-17"/>
          <w:w w:val="105"/>
        </w:rPr>
        <w:t> </w:t>
      </w:r>
      <w:r>
        <w:rPr>
          <w:color w:val="231F20"/>
          <w:w w:val="105"/>
        </w:rPr>
        <w:t>ile-</w:t>
      </w:r>
    </w:p>
    <w:p>
      <w:pPr>
        <w:pStyle w:val="BodyText"/>
        <w:spacing w:before="5"/>
        <w:rPr>
          <w:sz w:val="19"/>
        </w:rPr>
      </w:pPr>
      <w:r>
        <w:rPr/>
        <w:pict>
          <v:line style="position:absolute;mso-position-horizontal-relative:page;mso-position-vertical-relative:paragraph;z-index:36328;mso-wrap-distance-left:0;mso-wrap-distance-right:0" from="91.866096pt,13.110524pt" to="205.252096pt,13.110524pt" stroked="true" strokeweight=".25pt" strokecolor="#231f20">
            <w10:wrap type="topAndBottom"/>
          </v:line>
        </w:pict>
      </w:r>
    </w:p>
    <w:p>
      <w:pPr>
        <w:spacing w:before="8"/>
        <w:ind w:left="1837" w:right="6753" w:firstLine="0"/>
        <w:jc w:val="left"/>
        <w:rPr>
          <w:rFonts w:ascii="Calibri"/>
          <w:sz w:val="16"/>
        </w:rPr>
      </w:pPr>
      <w:r>
        <w:rPr>
          <w:rFonts w:ascii="Calibri"/>
          <w:color w:val="414042"/>
          <w:position w:val="5"/>
          <w:sz w:val="9"/>
        </w:rPr>
        <w:t>5  </w:t>
      </w:r>
      <w:r>
        <w:rPr>
          <w:rFonts w:ascii="Calibri"/>
          <w:color w:val="414042"/>
          <w:sz w:val="16"/>
        </w:rPr>
        <w:t>Traficante de personas.</w:t>
      </w:r>
    </w:p>
    <w:p>
      <w:pPr>
        <w:spacing w:after="0"/>
        <w:jc w:val="left"/>
        <w:rPr>
          <w:rFonts w:ascii="Calibri"/>
          <w:sz w:val="16"/>
        </w:rPr>
        <w:sectPr>
          <w:type w:val="continuous"/>
          <w:pgSz w:w="10480" w:h="14730"/>
          <w:pgMar w:top="0" w:bottom="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34"/>
        <w:jc w:val="both"/>
      </w:pPr>
      <w:r>
        <w:rPr/>
        <w:pict>
          <v:line style="position:absolute;mso-position-horizontal-relative:page;mso-position-vertical-relative:paragraph;z-index:36496" from="15pt,-68.636444pt" to="0pt,-68.636444pt" stroked="true" strokeweight=".25pt" strokecolor="#000000">
            <w10:wrap type="none"/>
          </v:line>
        </w:pict>
      </w:r>
      <w:r>
        <w:rPr/>
        <w:pict>
          <v:line style="position:absolute;mso-position-horizontal-relative:page;mso-position-vertical-relative:paragraph;z-index:36520" from="508.890015pt,-68.636444pt" to="523.890015pt,-68.636444pt" stroked="true" strokeweight=".25pt" strokecolor="#000000">
            <w10:wrap type="none"/>
          </v:line>
        </w:pict>
      </w:r>
      <w:r>
        <w:rPr>
          <w:color w:val="231F20"/>
          <w:w w:val="105"/>
        </w:rPr>
        <w:t>gal</w:t>
      </w:r>
      <w:r>
        <w:rPr>
          <w:color w:val="231F20"/>
          <w:spacing w:val="-21"/>
          <w:w w:val="105"/>
        </w:rPr>
        <w:t> </w:t>
      </w:r>
      <w:r>
        <w:rPr>
          <w:color w:val="231F20"/>
          <w:w w:val="105"/>
        </w:rPr>
        <w:t>que</w:t>
      </w:r>
      <w:r>
        <w:rPr>
          <w:color w:val="231F20"/>
          <w:spacing w:val="-21"/>
          <w:w w:val="105"/>
        </w:rPr>
        <w:t> </w:t>
      </w:r>
      <w:r>
        <w:rPr>
          <w:color w:val="231F20"/>
          <w:w w:val="105"/>
        </w:rPr>
        <w:t>hace</w:t>
      </w:r>
      <w:r>
        <w:rPr>
          <w:color w:val="231F20"/>
          <w:spacing w:val="-21"/>
          <w:w w:val="105"/>
        </w:rPr>
        <w:t> </w:t>
      </w:r>
      <w:r>
        <w:rPr>
          <w:color w:val="231F20"/>
          <w:w w:val="105"/>
        </w:rPr>
        <w:t>posible</w:t>
      </w:r>
      <w:r>
        <w:rPr>
          <w:color w:val="231F20"/>
          <w:spacing w:val="-21"/>
          <w:w w:val="105"/>
        </w:rPr>
        <w:t> </w:t>
      </w:r>
      <w:r>
        <w:rPr>
          <w:color w:val="231F20"/>
          <w:w w:val="105"/>
        </w:rPr>
        <w:t>la</w:t>
      </w:r>
      <w:r>
        <w:rPr>
          <w:color w:val="231F20"/>
          <w:spacing w:val="-21"/>
          <w:w w:val="105"/>
        </w:rPr>
        <w:t> </w:t>
      </w:r>
      <w:r>
        <w:rPr>
          <w:color w:val="231F20"/>
          <w:w w:val="105"/>
        </w:rPr>
        <w:t>movilidad</w:t>
      </w:r>
      <w:r>
        <w:rPr>
          <w:color w:val="231F20"/>
          <w:spacing w:val="-21"/>
          <w:w w:val="105"/>
        </w:rPr>
        <w:t> </w:t>
      </w:r>
      <w:r>
        <w:rPr>
          <w:color w:val="231F20"/>
          <w:w w:val="105"/>
        </w:rPr>
        <w:t>no</w:t>
      </w:r>
      <w:r>
        <w:rPr>
          <w:color w:val="231F20"/>
          <w:spacing w:val="-21"/>
          <w:w w:val="105"/>
        </w:rPr>
        <w:t> </w:t>
      </w:r>
      <w:r>
        <w:rPr>
          <w:color w:val="231F20"/>
          <w:w w:val="105"/>
        </w:rPr>
        <w:t>documentada</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personas</w:t>
      </w:r>
      <w:r>
        <w:rPr>
          <w:color w:val="231F20"/>
          <w:spacing w:val="-21"/>
          <w:w w:val="105"/>
        </w:rPr>
        <w:t> </w:t>
      </w:r>
      <w:r>
        <w:rPr>
          <w:color w:val="231F20"/>
          <w:w w:val="105"/>
        </w:rPr>
        <w:t>hacia Estados</w:t>
      </w:r>
      <w:r>
        <w:rPr>
          <w:color w:val="231F20"/>
          <w:spacing w:val="-9"/>
          <w:w w:val="105"/>
        </w:rPr>
        <w:t> </w:t>
      </w:r>
      <w:r>
        <w:rPr>
          <w:color w:val="231F20"/>
          <w:w w:val="105"/>
        </w:rPr>
        <w:t>Unidos,</w:t>
      </w:r>
      <w:r>
        <w:rPr>
          <w:color w:val="231F20"/>
          <w:spacing w:val="-13"/>
          <w:w w:val="105"/>
        </w:rPr>
        <w:t> </w:t>
      </w:r>
      <w:r>
        <w:rPr>
          <w:color w:val="231F20"/>
          <w:w w:val="105"/>
        </w:rPr>
        <w:t>la</w:t>
      </w:r>
      <w:r>
        <w:rPr>
          <w:color w:val="231F20"/>
          <w:spacing w:val="-9"/>
          <w:w w:val="105"/>
        </w:rPr>
        <w:t> </w:t>
      </w:r>
      <w:r>
        <w:rPr>
          <w:color w:val="231F20"/>
          <w:w w:val="105"/>
        </w:rPr>
        <w:t>cual</w:t>
      </w:r>
      <w:r>
        <w:rPr>
          <w:color w:val="231F20"/>
          <w:spacing w:val="-9"/>
          <w:w w:val="105"/>
        </w:rPr>
        <w:t> </w:t>
      </w:r>
      <w:r>
        <w:rPr>
          <w:color w:val="231F20"/>
          <w:w w:val="105"/>
        </w:rPr>
        <w:t>deviene</w:t>
      </w:r>
      <w:r>
        <w:rPr>
          <w:color w:val="231F20"/>
          <w:spacing w:val="-9"/>
          <w:w w:val="105"/>
        </w:rPr>
        <w:t> </w:t>
      </w:r>
      <w:r>
        <w:rPr>
          <w:color w:val="231F20"/>
          <w:w w:val="105"/>
        </w:rPr>
        <w:t>en</w:t>
      </w:r>
      <w:r>
        <w:rPr>
          <w:color w:val="231F20"/>
          <w:spacing w:val="-9"/>
          <w:w w:val="105"/>
        </w:rPr>
        <w:t> </w:t>
      </w:r>
      <w:r>
        <w:rPr>
          <w:color w:val="231F20"/>
          <w:w w:val="105"/>
        </w:rPr>
        <w:t>actividades</w:t>
      </w:r>
      <w:r>
        <w:rPr>
          <w:color w:val="231F20"/>
          <w:spacing w:val="-9"/>
          <w:w w:val="105"/>
        </w:rPr>
        <w:t> </w:t>
      </w:r>
      <w:r>
        <w:rPr>
          <w:color w:val="231F20"/>
          <w:w w:val="105"/>
        </w:rPr>
        <w:t>ilícitas</w:t>
      </w:r>
      <w:r>
        <w:rPr>
          <w:color w:val="231F20"/>
          <w:spacing w:val="-9"/>
          <w:w w:val="105"/>
        </w:rPr>
        <w:t> </w:t>
      </w:r>
      <w:r>
        <w:rPr>
          <w:color w:val="231F20"/>
          <w:w w:val="105"/>
        </w:rPr>
        <w:t>con</w:t>
      </w:r>
      <w:r>
        <w:rPr>
          <w:color w:val="231F20"/>
          <w:spacing w:val="-9"/>
          <w:w w:val="105"/>
        </w:rPr>
        <w:t> </w:t>
      </w:r>
      <w:r>
        <w:rPr>
          <w:color w:val="231F20"/>
          <w:w w:val="105"/>
        </w:rPr>
        <w:t>las</w:t>
      </w:r>
      <w:r>
        <w:rPr>
          <w:color w:val="231F20"/>
          <w:spacing w:val="-9"/>
          <w:w w:val="105"/>
        </w:rPr>
        <w:t> </w:t>
      </w:r>
      <w:r>
        <w:rPr>
          <w:color w:val="231F20"/>
          <w:w w:val="105"/>
        </w:rPr>
        <w:t>cuales</w:t>
      </w:r>
      <w:r>
        <w:rPr>
          <w:color w:val="231F20"/>
          <w:spacing w:val="-9"/>
          <w:w w:val="105"/>
        </w:rPr>
        <w:t> </w:t>
      </w:r>
      <w:r>
        <w:rPr>
          <w:color w:val="231F20"/>
          <w:w w:val="105"/>
        </w:rPr>
        <w:t>se entrecruza la migración como el tráfico de drogas, el secuestro, la trata de personas y demás actos ligados al crimen organizado instaurado</w:t>
      </w:r>
      <w:r>
        <w:rPr>
          <w:color w:val="231F20"/>
          <w:spacing w:val="-34"/>
          <w:w w:val="105"/>
        </w:rPr>
        <w:t> </w:t>
      </w:r>
      <w:r>
        <w:rPr>
          <w:color w:val="231F20"/>
          <w:w w:val="105"/>
        </w:rPr>
        <w:t>en los territorios</w:t>
      </w:r>
      <w:r>
        <w:rPr>
          <w:color w:val="231F20"/>
          <w:spacing w:val="-34"/>
          <w:w w:val="105"/>
        </w:rPr>
        <w:t> </w:t>
      </w:r>
      <w:r>
        <w:rPr>
          <w:color w:val="231F20"/>
          <w:w w:val="105"/>
        </w:rPr>
        <w:t>fronterizos.</w:t>
      </w:r>
    </w:p>
    <w:p>
      <w:pPr>
        <w:pStyle w:val="BodyText"/>
        <w:spacing w:line="261" w:lineRule="auto" w:before="1"/>
        <w:ind w:left="1723" w:right="1835" w:firstLine="567"/>
        <w:jc w:val="both"/>
      </w:pPr>
      <w:r>
        <w:rPr>
          <w:color w:val="231F20"/>
          <w:spacing w:val="-6"/>
          <w:w w:val="105"/>
        </w:rPr>
        <w:t>Por</w:t>
      </w:r>
      <w:r>
        <w:rPr>
          <w:color w:val="231F20"/>
          <w:spacing w:val="-7"/>
          <w:w w:val="105"/>
        </w:rPr>
        <w:t> </w:t>
      </w:r>
      <w:r>
        <w:rPr>
          <w:color w:val="231F20"/>
          <w:w w:val="105"/>
        </w:rPr>
        <w:t>ello</w:t>
      </w:r>
      <w:r>
        <w:rPr>
          <w:color w:val="231F20"/>
          <w:spacing w:val="-7"/>
          <w:w w:val="105"/>
        </w:rPr>
        <w:t> </w:t>
      </w:r>
      <w:r>
        <w:rPr>
          <w:color w:val="231F20"/>
          <w:w w:val="105"/>
        </w:rPr>
        <w:t>el</w:t>
      </w:r>
      <w:r>
        <w:rPr>
          <w:color w:val="231F20"/>
          <w:spacing w:val="-7"/>
          <w:w w:val="105"/>
        </w:rPr>
        <w:t> </w:t>
      </w:r>
      <w:r>
        <w:rPr>
          <w:color w:val="231F20"/>
          <w:w w:val="105"/>
        </w:rPr>
        <w:t>reto</w:t>
      </w:r>
      <w:r>
        <w:rPr>
          <w:color w:val="231F20"/>
          <w:spacing w:val="-7"/>
          <w:w w:val="105"/>
        </w:rPr>
        <w:t> </w:t>
      </w:r>
      <w:r>
        <w:rPr>
          <w:color w:val="231F20"/>
          <w:w w:val="105"/>
        </w:rPr>
        <w:t>de</w:t>
      </w:r>
      <w:r>
        <w:rPr>
          <w:color w:val="231F20"/>
          <w:spacing w:val="-7"/>
          <w:w w:val="105"/>
        </w:rPr>
        <w:t> </w:t>
      </w:r>
      <w:r>
        <w:rPr>
          <w:color w:val="231F20"/>
          <w:w w:val="105"/>
        </w:rPr>
        <w:t>cruzar</w:t>
      </w:r>
      <w:r>
        <w:rPr>
          <w:color w:val="231F20"/>
          <w:spacing w:val="-7"/>
          <w:w w:val="105"/>
        </w:rPr>
        <w:t> </w:t>
      </w:r>
      <w:r>
        <w:rPr>
          <w:color w:val="231F20"/>
          <w:w w:val="105"/>
        </w:rPr>
        <w:t>la</w:t>
      </w:r>
      <w:r>
        <w:rPr>
          <w:color w:val="231F20"/>
          <w:spacing w:val="-7"/>
          <w:w w:val="105"/>
        </w:rPr>
        <w:t> </w:t>
      </w:r>
      <w:r>
        <w:rPr>
          <w:color w:val="231F20"/>
          <w:w w:val="105"/>
        </w:rPr>
        <w:t>frontera</w:t>
      </w:r>
      <w:r>
        <w:rPr>
          <w:color w:val="231F20"/>
          <w:spacing w:val="-7"/>
          <w:w w:val="105"/>
        </w:rPr>
        <w:t> </w:t>
      </w:r>
      <w:r>
        <w:rPr>
          <w:color w:val="231F20"/>
          <w:w w:val="105"/>
        </w:rPr>
        <w:t>suele</w:t>
      </w:r>
      <w:r>
        <w:rPr>
          <w:color w:val="231F20"/>
          <w:spacing w:val="-7"/>
          <w:w w:val="105"/>
        </w:rPr>
        <w:t> </w:t>
      </w:r>
      <w:r>
        <w:rPr>
          <w:color w:val="231F20"/>
          <w:w w:val="105"/>
        </w:rPr>
        <w:t>ser</w:t>
      </w:r>
      <w:r>
        <w:rPr>
          <w:color w:val="231F20"/>
          <w:spacing w:val="-7"/>
          <w:w w:val="105"/>
        </w:rPr>
        <w:t> </w:t>
      </w:r>
      <w:r>
        <w:rPr>
          <w:color w:val="231F20"/>
          <w:w w:val="105"/>
        </w:rPr>
        <w:t>también</w:t>
      </w:r>
      <w:r>
        <w:rPr>
          <w:color w:val="231F20"/>
          <w:spacing w:val="-7"/>
          <w:w w:val="105"/>
        </w:rPr>
        <w:t> </w:t>
      </w:r>
      <w:r>
        <w:rPr>
          <w:color w:val="231F20"/>
          <w:w w:val="105"/>
        </w:rPr>
        <w:t>una</w:t>
      </w:r>
      <w:r>
        <w:rPr>
          <w:color w:val="231F20"/>
          <w:spacing w:val="-7"/>
          <w:w w:val="105"/>
        </w:rPr>
        <w:t> </w:t>
      </w:r>
      <w:r>
        <w:rPr>
          <w:color w:val="231F20"/>
          <w:w w:val="105"/>
        </w:rPr>
        <w:t>acto</w:t>
      </w:r>
      <w:r>
        <w:rPr>
          <w:color w:val="231F20"/>
          <w:spacing w:val="-7"/>
          <w:w w:val="105"/>
        </w:rPr>
        <w:t> </w:t>
      </w:r>
      <w:r>
        <w:rPr>
          <w:color w:val="231F20"/>
          <w:w w:val="105"/>
        </w:rPr>
        <w:t>de valentía</w:t>
      </w:r>
      <w:r>
        <w:rPr>
          <w:color w:val="231F20"/>
          <w:spacing w:val="-13"/>
          <w:w w:val="105"/>
        </w:rPr>
        <w:t> </w:t>
      </w:r>
      <w:r>
        <w:rPr>
          <w:color w:val="231F20"/>
          <w:w w:val="105"/>
        </w:rPr>
        <w:t>el</w:t>
      </w:r>
      <w:r>
        <w:rPr>
          <w:color w:val="231F20"/>
          <w:spacing w:val="-13"/>
          <w:w w:val="105"/>
        </w:rPr>
        <w:t> </w:t>
      </w:r>
      <w:r>
        <w:rPr>
          <w:color w:val="231F20"/>
          <w:w w:val="105"/>
        </w:rPr>
        <w:t>cual</w:t>
      </w:r>
      <w:r>
        <w:rPr>
          <w:color w:val="231F20"/>
          <w:spacing w:val="-13"/>
          <w:w w:val="105"/>
        </w:rPr>
        <w:t> </w:t>
      </w:r>
      <w:r>
        <w:rPr>
          <w:color w:val="231F20"/>
          <w:w w:val="105"/>
        </w:rPr>
        <w:t>obtiene</w:t>
      </w:r>
      <w:r>
        <w:rPr>
          <w:color w:val="231F20"/>
          <w:spacing w:val="-13"/>
          <w:w w:val="105"/>
        </w:rPr>
        <w:t> </w:t>
      </w:r>
      <w:r>
        <w:rPr>
          <w:color w:val="231F20"/>
          <w:w w:val="105"/>
        </w:rPr>
        <w:t>su</w:t>
      </w:r>
      <w:r>
        <w:rPr>
          <w:color w:val="231F20"/>
          <w:spacing w:val="-13"/>
          <w:w w:val="105"/>
        </w:rPr>
        <w:t> </w:t>
      </w:r>
      <w:r>
        <w:rPr>
          <w:color w:val="231F20"/>
          <w:w w:val="105"/>
        </w:rPr>
        <w:t>recompensa</w:t>
      </w:r>
      <w:r>
        <w:rPr>
          <w:color w:val="231F20"/>
          <w:spacing w:val="-13"/>
          <w:w w:val="105"/>
        </w:rPr>
        <w:t> </w:t>
      </w:r>
      <w:r>
        <w:rPr>
          <w:color w:val="231F20"/>
          <w:w w:val="105"/>
        </w:rPr>
        <w:t>al</w:t>
      </w:r>
      <w:r>
        <w:rPr>
          <w:color w:val="231F20"/>
          <w:spacing w:val="-13"/>
          <w:w w:val="105"/>
        </w:rPr>
        <w:t> </w:t>
      </w:r>
      <w:r>
        <w:rPr>
          <w:color w:val="231F20"/>
          <w:w w:val="105"/>
        </w:rPr>
        <w:t>conseguir</w:t>
      </w:r>
      <w:r>
        <w:rPr>
          <w:color w:val="231F20"/>
          <w:spacing w:val="-13"/>
          <w:w w:val="105"/>
        </w:rPr>
        <w:t> </w:t>
      </w:r>
      <w:r>
        <w:rPr>
          <w:color w:val="231F20"/>
          <w:w w:val="105"/>
        </w:rPr>
        <w:t>a</w:t>
      </w:r>
      <w:r>
        <w:rPr>
          <w:color w:val="231F20"/>
          <w:spacing w:val="-13"/>
          <w:w w:val="105"/>
        </w:rPr>
        <w:t> </w:t>
      </w:r>
      <w:r>
        <w:rPr>
          <w:color w:val="231F20"/>
          <w:w w:val="105"/>
        </w:rPr>
        <w:t>dónde</w:t>
      </w:r>
      <w:r>
        <w:rPr>
          <w:color w:val="231F20"/>
          <w:spacing w:val="-13"/>
          <w:w w:val="105"/>
        </w:rPr>
        <w:t> </w:t>
      </w:r>
      <w:r>
        <w:rPr>
          <w:color w:val="231F20"/>
          <w:w w:val="105"/>
        </w:rPr>
        <w:t>quedarse</w:t>
      </w:r>
      <w:r>
        <w:rPr>
          <w:color w:val="231F20"/>
          <w:spacing w:val="-13"/>
          <w:w w:val="105"/>
        </w:rPr>
        <w:t> </w:t>
      </w:r>
      <w:r>
        <w:rPr>
          <w:color w:val="231F20"/>
          <w:w w:val="105"/>
        </w:rPr>
        <w:t>y obtener trabajo en </w:t>
      </w:r>
      <w:r>
        <w:rPr>
          <w:color w:val="231F20"/>
          <w:spacing w:val="-3"/>
          <w:w w:val="105"/>
        </w:rPr>
        <w:t>“el </w:t>
      </w:r>
      <w:r>
        <w:rPr>
          <w:color w:val="231F20"/>
          <w:w w:val="105"/>
        </w:rPr>
        <w:t>otro </w:t>
      </w:r>
      <w:r>
        <w:rPr>
          <w:color w:val="231F20"/>
          <w:spacing w:val="-5"/>
          <w:w w:val="105"/>
        </w:rPr>
        <w:t>lado”, </w:t>
      </w:r>
      <w:r>
        <w:rPr>
          <w:color w:val="231F20"/>
          <w:w w:val="105"/>
        </w:rPr>
        <w:t>sin embargo, la dificultad de encontrar un lugar para vivir y el alto costo de la vida en la unión americana hace que</w:t>
      </w:r>
      <w:r>
        <w:rPr>
          <w:color w:val="231F20"/>
          <w:spacing w:val="-16"/>
          <w:w w:val="105"/>
        </w:rPr>
        <w:t> </w:t>
      </w:r>
      <w:r>
        <w:rPr>
          <w:color w:val="231F20"/>
          <w:w w:val="105"/>
        </w:rPr>
        <w:t>los</w:t>
      </w:r>
      <w:r>
        <w:rPr>
          <w:color w:val="231F20"/>
          <w:spacing w:val="-16"/>
          <w:w w:val="105"/>
        </w:rPr>
        <w:t> </w:t>
      </w:r>
      <w:r>
        <w:rPr>
          <w:color w:val="231F20"/>
          <w:w w:val="105"/>
        </w:rPr>
        <w:t>migrantes</w:t>
      </w:r>
      <w:r>
        <w:rPr>
          <w:color w:val="231F20"/>
          <w:spacing w:val="-16"/>
          <w:w w:val="105"/>
        </w:rPr>
        <w:t> </w:t>
      </w:r>
      <w:r>
        <w:rPr>
          <w:color w:val="231F20"/>
          <w:w w:val="105"/>
        </w:rPr>
        <w:t>dependan</w:t>
      </w:r>
      <w:r>
        <w:rPr>
          <w:color w:val="231F20"/>
          <w:spacing w:val="-16"/>
          <w:w w:val="105"/>
        </w:rPr>
        <w:t> </w:t>
      </w:r>
      <w:r>
        <w:rPr>
          <w:color w:val="231F20"/>
          <w:w w:val="105"/>
        </w:rPr>
        <w:t>en</w:t>
      </w:r>
      <w:r>
        <w:rPr>
          <w:color w:val="231F20"/>
          <w:spacing w:val="-16"/>
          <w:w w:val="105"/>
        </w:rPr>
        <w:t> </w:t>
      </w:r>
      <w:r>
        <w:rPr>
          <w:color w:val="231F20"/>
          <w:w w:val="105"/>
        </w:rPr>
        <w:t>gran</w:t>
      </w:r>
      <w:r>
        <w:rPr>
          <w:color w:val="231F20"/>
          <w:spacing w:val="-16"/>
          <w:w w:val="105"/>
        </w:rPr>
        <w:t> </w:t>
      </w:r>
      <w:r>
        <w:rPr>
          <w:color w:val="231F20"/>
          <w:w w:val="105"/>
        </w:rPr>
        <w:t>medida</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redes</w:t>
      </w:r>
      <w:r>
        <w:rPr>
          <w:color w:val="231F20"/>
          <w:spacing w:val="-16"/>
          <w:w w:val="105"/>
        </w:rPr>
        <w:t> </w:t>
      </w:r>
      <w:r>
        <w:rPr>
          <w:color w:val="231F20"/>
          <w:w w:val="105"/>
        </w:rPr>
        <w:t>sociales</w:t>
      </w:r>
      <w:r>
        <w:rPr>
          <w:color w:val="231F20"/>
          <w:spacing w:val="-16"/>
          <w:w w:val="105"/>
        </w:rPr>
        <w:t> </w:t>
      </w:r>
      <w:r>
        <w:rPr>
          <w:color w:val="231F20"/>
          <w:w w:val="105"/>
        </w:rPr>
        <w:t>como medio</w:t>
      </w:r>
      <w:r>
        <w:rPr>
          <w:color w:val="231F20"/>
          <w:spacing w:val="-14"/>
          <w:w w:val="105"/>
        </w:rPr>
        <w:t> </w:t>
      </w:r>
      <w:r>
        <w:rPr>
          <w:color w:val="231F20"/>
          <w:w w:val="105"/>
        </w:rPr>
        <w:t>de</w:t>
      </w:r>
      <w:r>
        <w:rPr>
          <w:color w:val="231F20"/>
          <w:spacing w:val="-14"/>
          <w:w w:val="105"/>
        </w:rPr>
        <w:t> </w:t>
      </w:r>
      <w:r>
        <w:rPr>
          <w:color w:val="231F20"/>
          <w:w w:val="105"/>
        </w:rPr>
        <w:t>supervivencia,</w:t>
      </w:r>
      <w:r>
        <w:rPr>
          <w:color w:val="231F20"/>
          <w:spacing w:val="-19"/>
          <w:w w:val="105"/>
        </w:rPr>
        <w:t> </w:t>
      </w:r>
      <w:r>
        <w:rPr>
          <w:color w:val="231F20"/>
          <w:w w:val="105"/>
        </w:rPr>
        <w:t>como</w:t>
      </w:r>
      <w:r>
        <w:rPr>
          <w:color w:val="231F20"/>
          <w:spacing w:val="-14"/>
          <w:w w:val="105"/>
        </w:rPr>
        <w:t> </w:t>
      </w:r>
      <w:r>
        <w:rPr>
          <w:color w:val="231F20"/>
          <w:w w:val="105"/>
        </w:rPr>
        <w:t>nos</w:t>
      </w:r>
      <w:r>
        <w:rPr>
          <w:color w:val="231F20"/>
          <w:spacing w:val="-14"/>
          <w:w w:val="105"/>
        </w:rPr>
        <w:t> </w:t>
      </w:r>
      <w:r>
        <w:rPr>
          <w:color w:val="231F20"/>
          <w:w w:val="105"/>
        </w:rPr>
        <w:t>refiere</w:t>
      </w:r>
      <w:r>
        <w:rPr>
          <w:color w:val="231F20"/>
          <w:spacing w:val="-15"/>
          <w:w w:val="105"/>
        </w:rPr>
        <w:t> </w:t>
      </w:r>
      <w:r>
        <w:rPr>
          <w:color w:val="231F20"/>
          <w:w w:val="105"/>
        </w:rPr>
        <w:t>Jorge</w:t>
      </w:r>
      <w:r>
        <w:rPr>
          <w:color w:val="231F20"/>
          <w:spacing w:val="-14"/>
          <w:w w:val="105"/>
        </w:rPr>
        <w:t> </w:t>
      </w:r>
      <w:r>
        <w:rPr>
          <w:color w:val="231F20"/>
          <w:w w:val="105"/>
        </w:rPr>
        <w:t>en</w:t>
      </w:r>
      <w:r>
        <w:rPr>
          <w:color w:val="231F20"/>
          <w:spacing w:val="-14"/>
          <w:w w:val="105"/>
        </w:rPr>
        <w:t> </w:t>
      </w:r>
      <w:r>
        <w:rPr>
          <w:color w:val="231F20"/>
          <w:w w:val="105"/>
        </w:rPr>
        <w:t>su</w:t>
      </w:r>
      <w:r>
        <w:rPr>
          <w:color w:val="231F20"/>
          <w:spacing w:val="-14"/>
          <w:w w:val="105"/>
        </w:rPr>
        <w:t> </w:t>
      </w:r>
      <w:r>
        <w:rPr>
          <w:color w:val="231F20"/>
          <w:w w:val="105"/>
        </w:rPr>
        <w:t>siguiente</w:t>
      </w:r>
      <w:r>
        <w:rPr>
          <w:color w:val="231F20"/>
          <w:spacing w:val="-14"/>
          <w:w w:val="105"/>
        </w:rPr>
        <w:t> </w:t>
      </w:r>
      <w:r>
        <w:rPr>
          <w:color w:val="231F20"/>
          <w:w w:val="105"/>
        </w:rPr>
        <w:t>relato.</w:t>
      </w:r>
    </w:p>
    <w:p>
      <w:pPr>
        <w:pStyle w:val="BodyText"/>
        <w:spacing w:before="7"/>
        <w:rPr>
          <w:sz w:val="18"/>
        </w:rPr>
      </w:pPr>
    </w:p>
    <w:p>
      <w:pPr>
        <w:spacing w:line="254" w:lineRule="auto" w:before="1"/>
        <w:ind w:left="2857" w:right="1829" w:firstLine="0"/>
        <w:jc w:val="both"/>
        <w:rPr>
          <w:sz w:val="18"/>
        </w:rPr>
      </w:pPr>
      <w:r>
        <w:rPr>
          <w:color w:val="231F20"/>
          <w:w w:val="105"/>
          <w:sz w:val="18"/>
        </w:rPr>
        <w:t>porque se sufre allá para conseguir todo: trabajo, casa, comida,</w:t>
      </w:r>
      <w:r>
        <w:rPr>
          <w:color w:val="231F20"/>
          <w:spacing w:val="-14"/>
          <w:w w:val="105"/>
          <w:sz w:val="18"/>
        </w:rPr>
        <w:t> </w:t>
      </w:r>
      <w:r>
        <w:rPr>
          <w:color w:val="231F20"/>
          <w:w w:val="105"/>
          <w:sz w:val="18"/>
        </w:rPr>
        <w:t>todo, no</w:t>
      </w:r>
      <w:r>
        <w:rPr>
          <w:color w:val="231F20"/>
          <w:spacing w:val="-22"/>
          <w:w w:val="105"/>
          <w:sz w:val="18"/>
        </w:rPr>
        <w:t> </w:t>
      </w:r>
      <w:r>
        <w:rPr>
          <w:color w:val="231F20"/>
          <w:w w:val="105"/>
          <w:sz w:val="18"/>
        </w:rPr>
        <w:t>creas</w:t>
      </w:r>
      <w:r>
        <w:rPr>
          <w:color w:val="231F20"/>
          <w:spacing w:val="-22"/>
          <w:w w:val="105"/>
          <w:sz w:val="18"/>
        </w:rPr>
        <w:t> </w:t>
      </w:r>
      <w:r>
        <w:rPr>
          <w:color w:val="231F20"/>
          <w:w w:val="105"/>
          <w:sz w:val="18"/>
        </w:rPr>
        <w:t>que</w:t>
      </w:r>
      <w:r>
        <w:rPr>
          <w:color w:val="231F20"/>
          <w:spacing w:val="-22"/>
          <w:w w:val="105"/>
          <w:sz w:val="18"/>
        </w:rPr>
        <w:t> </w:t>
      </w:r>
      <w:r>
        <w:rPr>
          <w:color w:val="231F20"/>
          <w:w w:val="105"/>
          <w:sz w:val="18"/>
        </w:rPr>
        <w:t>porque</w:t>
      </w:r>
      <w:r>
        <w:rPr>
          <w:color w:val="231F20"/>
          <w:spacing w:val="-22"/>
          <w:w w:val="105"/>
          <w:sz w:val="18"/>
        </w:rPr>
        <w:t> </w:t>
      </w:r>
      <w:r>
        <w:rPr>
          <w:color w:val="231F20"/>
          <w:w w:val="105"/>
          <w:sz w:val="18"/>
        </w:rPr>
        <w:t>ya</w:t>
      </w:r>
      <w:r>
        <w:rPr>
          <w:color w:val="231F20"/>
          <w:spacing w:val="-22"/>
          <w:w w:val="105"/>
          <w:sz w:val="18"/>
        </w:rPr>
        <w:t> </w:t>
      </w:r>
      <w:r>
        <w:rPr>
          <w:color w:val="231F20"/>
          <w:w w:val="105"/>
          <w:sz w:val="18"/>
        </w:rPr>
        <w:t>estas</w:t>
      </w:r>
      <w:r>
        <w:rPr>
          <w:color w:val="231F20"/>
          <w:spacing w:val="-22"/>
          <w:w w:val="105"/>
          <w:sz w:val="18"/>
        </w:rPr>
        <w:t> </w:t>
      </w:r>
      <w:r>
        <w:rPr>
          <w:color w:val="231F20"/>
          <w:w w:val="105"/>
          <w:sz w:val="18"/>
        </w:rPr>
        <w:t>allá</w:t>
      </w:r>
      <w:r>
        <w:rPr>
          <w:color w:val="231F20"/>
          <w:spacing w:val="-22"/>
          <w:w w:val="105"/>
          <w:sz w:val="18"/>
        </w:rPr>
        <w:t> </w:t>
      </w:r>
      <w:r>
        <w:rPr>
          <w:color w:val="231F20"/>
          <w:w w:val="105"/>
          <w:sz w:val="18"/>
        </w:rPr>
        <w:t>ya</w:t>
      </w:r>
      <w:r>
        <w:rPr>
          <w:color w:val="231F20"/>
          <w:spacing w:val="-22"/>
          <w:w w:val="105"/>
          <w:sz w:val="18"/>
        </w:rPr>
        <w:t> </w:t>
      </w:r>
      <w:r>
        <w:rPr>
          <w:color w:val="231F20"/>
          <w:w w:val="105"/>
          <w:sz w:val="18"/>
        </w:rPr>
        <w:t>tienes</w:t>
      </w:r>
      <w:r>
        <w:rPr>
          <w:color w:val="231F20"/>
          <w:spacing w:val="-22"/>
          <w:w w:val="105"/>
          <w:sz w:val="18"/>
        </w:rPr>
        <w:t> </w:t>
      </w:r>
      <w:r>
        <w:rPr>
          <w:color w:val="231F20"/>
          <w:w w:val="105"/>
          <w:sz w:val="18"/>
        </w:rPr>
        <w:t>todo</w:t>
      </w:r>
      <w:r>
        <w:rPr>
          <w:color w:val="231F20"/>
          <w:spacing w:val="-22"/>
          <w:w w:val="105"/>
          <w:sz w:val="18"/>
        </w:rPr>
        <w:t> </w:t>
      </w:r>
      <w:r>
        <w:rPr>
          <w:color w:val="231F20"/>
          <w:w w:val="105"/>
          <w:sz w:val="18"/>
        </w:rPr>
        <w:t>y</w:t>
      </w:r>
      <w:r>
        <w:rPr>
          <w:color w:val="231F20"/>
          <w:spacing w:val="-22"/>
          <w:w w:val="105"/>
          <w:sz w:val="18"/>
        </w:rPr>
        <w:t> </w:t>
      </w:r>
      <w:r>
        <w:rPr>
          <w:color w:val="231F20"/>
          <w:w w:val="105"/>
          <w:sz w:val="18"/>
        </w:rPr>
        <w:t>que</w:t>
      </w:r>
      <w:r>
        <w:rPr>
          <w:color w:val="231F20"/>
          <w:spacing w:val="-22"/>
          <w:w w:val="105"/>
          <w:sz w:val="18"/>
        </w:rPr>
        <w:t> </w:t>
      </w:r>
      <w:r>
        <w:rPr>
          <w:color w:val="231F20"/>
          <w:w w:val="105"/>
          <w:sz w:val="18"/>
        </w:rPr>
        <w:t>no</w:t>
      </w:r>
      <w:r>
        <w:rPr>
          <w:color w:val="231F20"/>
          <w:spacing w:val="-22"/>
          <w:w w:val="105"/>
          <w:sz w:val="18"/>
        </w:rPr>
        <w:t> </w:t>
      </w:r>
      <w:r>
        <w:rPr>
          <w:color w:val="231F20"/>
          <w:w w:val="105"/>
          <w:sz w:val="18"/>
        </w:rPr>
        <w:t>se</w:t>
      </w:r>
      <w:r>
        <w:rPr>
          <w:color w:val="231F20"/>
          <w:spacing w:val="-22"/>
          <w:w w:val="105"/>
          <w:sz w:val="18"/>
        </w:rPr>
        <w:t> </w:t>
      </w:r>
      <w:r>
        <w:rPr>
          <w:color w:val="231F20"/>
          <w:w w:val="105"/>
          <w:sz w:val="18"/>
        </w:rPr>
        <w:t>sufre,</w:t>
      </w:r>
      <w:r>
        <w:rPr>
          <w:color w:val="231F20"/>
          <w:spacing w:val="-27"/>
          <w:w w:val="105"/>
          <w:sz w:val="18"/>
        </w:rPr>
        <w:t> </w:t>
      </w:r>
      <w:r>
        <w:rPr>
          <w:color w:val="231F20"/>
          <w:w w:val="105"/>
          <w:sz w:val="18"/>
        </w:rPr>
        <w:t>cuan- do no tienes trabajo nadie te quiere </w:t>
      </w:r>
      <w:r>
        <w:rPr>
          <w:color w:val="231F20"/>
          <w:spacing w:val="-3"/>
          <w:w w:val="105"/>
          <w:sz w:val="18"/>
        </w:rPr>
        <w:t>dar, </w:t>
      </w:r>
      <w:r>
        <w:rPr>
          <w:color w:val="231F20"/>
          <w:w w:val="105"/>
          <w:sz w:val="18"/>
        </w:rPr>
        <w:t>cuando no tienes llega uno a buscar,</w:t>
      </w:r>
      <w:r>
        <w:rPr>
          <w:color w:val="231F20"/>
          <w:spacing w:val="-24"/>
          <w:w w:val="105"/>
          <w:sz w:val="18"/>
        </w:rPr>
        <w:t> </w:t>
      </w:r>
      <w:r>
        <w:rPr>
          <w:color w:val="231F20"/>
          <w:w w:val="105"/>
          <w:sz w:val="18"/>
        </w:rPr>
        <w:t>en</w:t>
      </w:r>
      <w:r>
        <w:rPr>
          <w:color w:val="231F20"/>
          <w:spacing w:val="-19"/>
          <w:w w:val="105"/>
          <w:sz w:val="18"/>
        </w:rPr>
        <w:t> </w:t>
      </w:r>
      <w:r>
        <w:rPr>
          <w:color w:val="231F20"/>
          <w:w w:val="105"/>
          <w:sz w:val="18"/>
        </w:rPr>
        <w:t>veces</w:t>
      </w:r>
      <w:r>
        <w:rPr>
          <w:color w:val="231F20"/>
          <w:spacing w:val="-19"/>
          <w:w w:val="105"/>
          <w:sz w:val="18"/>
        </w:rPr>
        <w:t> </w:t>
      </w:r>
      <w:r>
        <w:rPr>
          <w:color w:val="231F20"/>
          <w:w w:val="105"/>
          <w:sz w:val="18"/>
        </w:rPr>
        <w:t>le</w:t>
      </w:r>
      <w:r>
        <w:rPr>
          <w:color w:val="231F20"/>
          <w:spacing w:val="-19"/>
          <w:w w:val="105"/>
          <w:sz w:val="18"/>
        </w:rPr>
        <w:t> </w:t>
      </w:r>
      <w:r>
        <w:rPr>
          <w:color w:val="231F20"/>
          <w:w w:val="105"/>
          <w:sz w:val="18"/>
        </w:rPr>
        <w:t>quieren</w:t>
      </w:r>
      <w:r>
        <w:rPr>
          <w:color w:val="231F20"/>
          <w:spacing w:val="-19"/>
          <w:w w:val="105"/>
          <w:sz w:val="18"/>
        </w:rPr>
        <w:t> </w:t>
      </w:r>
      <w:r>
        <w:rPr>
          <w:color w:val="231F20"/>
          <w:w w:val="105"/>
          <w:sz w:val="18"/>
        </w:rPr>
        <w:t>dar</w:t>
      </w:r>
      <w:r>
        <w:rPr>
          <w:color w:val="231F20"/>
          <w:spacing w:val="-19"/>
          <w:w w:val="105"/>
          <w:sz w:val="18"/>
        </w:rPr>
        <w:t> </w:t>
      </w:r>
      <w:r>
        <w:rPr>
          <w:color w:val="231F20"/>
          <w:w w:val="105"/>
          <w:sz w:val="18"/>
        </w:rPr>
        <w:t>a</w:t>
      </w:r>
      <w:r>
        <w:rPr>
          <w:color w:val="231F20"/>
          <w:spacing w:val="-19"/>
          <w:w w:val="105"/>
          <w:sz w:val="18"/>
        </w:rPr>
        <w:t> </w:t>
      </w:r>
      <w:r>
        <w:rPr>
          <w:color w:val="231F20"/>
          <w:w w:val="105"/>
          <w:sz w:val="18"/>
        </w:rPr>
        <w:t>uno</w:t>
      </w:r>
      <w:r>
        <w:rPr>
          <w:color w:val="231F20"/>
          <w:spacing w:val="-19"/>
          <w:w w:val="105"/>
          <w:sz w:val="18"/>
        </w:rPr>
        <w:t> </w:t>
      </w:r>
      <w:r>
        <w:rPr>
          <w:color w:val="231F20"/>
          <w:w w:val="105"/>
          <w:sz w:val="18"/>
        </w:rPr>
        <w:t>y</w:t>
      </w:r>
      <w:r>
        <w:rPr>
          <w:color w:val="231F20"/>
          <w:spacing w:val="-19"/>
          <w:w w:val="105"/>
          <w:sz w:val="18"/>
        </w:rPr>
        <w:t> </w:t>
      </w:r>
      <w:r>
        <w:rPr>
          <w:color w:val="231F20"/>
          <w:w w:val="105"/>
          <w:sz w:val="18"/>
        </w:rPr>
        <w:t>en</w:t>
      </w:r>
      <w:r>
        <w:rPr>
          <w:color w:val="231F20"/>
          <w:spacing w:val="-19"/>
          <w:w w:val="105"/>
          <w:sz w:val="18"/>
        </w:rPr>
        <w:t> </w:t>
      </w:r>
      <w:r>
        <w:rPr>
          <w:color w:val="231F20"/>
          <w:w w:val="105"/>
          <w:sz w:val="18"/>
        </w:rPr>
        <w:t>veces</w:t>
      </w:r>
      <w:r>
        <w:rPr>
          <w:color w:val="231F20"/>
          <w:spacing w:val="-19"/>
          <w:w w:val="105"/>
          <w:sz w:val="18"/>
        </w:rPr>
        <w:t> </w:t>
      </w:r>
      <w:r>
        <w:rPr>
          <w:color w:val="231F20"/>
          <w:w w:val="105"/>
          <w:sz w:val="18"/>
        </w:rPr>
        <w:t>no</w:t>
      </w:r>
      <w:r>
        <w:rPr>
          <w:color w:val="231F20"/>
          <w:spacing w:val="-19"/>
          <w:w w:val="105"/>
          <w:sz w:val="18"/>
        </w:rPr>
        <w:t> </w:t>
      </w:r>
      <w:r>
        <w:rPr>
          <w:color w:val="231F20"/>
          <w:w w:val="105"/>
          <w:sz w:val="18"/>
        </w:rPr>
        <w:t>le</w:t>
      </w:r>
      <w:r>
        <w:rPr>
          <w:color w:val="231F20"/>
          <w:spacing w:val="-19"/>
          <w:w w:val="105"/>
          <w:sz w:val="18"/>
        </w:rPr>
        <w:t> </w:t>
      </w:r>
      <w:r>
        <w:rPr>
          <w:color w:val="231F20"/>
          <w:w w:val="105"/>
          <w:sz w:val="18"/>
        </w:rPr>
        <w:t>quieren</w:t>
      </w:r>
      <w:r>
        <w:rPr>
          <w:color w:val="231F20"/>
          <w:spacing w:val="-19"/>
          <w:w w:val="105"/>
          <w:sz w:val="18"/>
        </w:rPr>
        <w:t> </w:t>
      </w:r>
      <w:r>
        <w:rPr>
          <w:color w:val="231F20"/>
          <w:w w:val="105"/>
          <w:sz w:val="18"/>
        </w:rPr>
        <w:t>dar</w:t>
      </w:r>
      <w:r>
        <w:rPr>
          <w:color w:val="231F20"/>
          <w:spacing w:val="-19"/>
          <w:w w:val="105"/>
          <w:sz w:val="18"/>
        </w:rPr>
        <w:t> </w:t>
      </w:r>
      <w:r>
        <w:rPr>
          <w:color w:val="231F20"/>
          <w:w w:val="105"/>
          <w:sz w:val="18"/>
        </w:rPr>
        <w:t>a</w:t>
      </w:r>
      <w:r>
        <w:rPr>
          <w:color w:val="231F20"/>
          <w:spacing w:val="-19"/>
          <w:w w:val="105"/>
          <w:sz w:val="18"/>
        </w:rPr>
        <w:t> </w:t>
      </w:r>
      <w:r>
        <w:rPr>
          <w:color w:val="231F20"/>
          <w:w w:val="105"/>
          <w:sz w:val="18"/>
        </w:rPr>
        <w:t>uno nada, y por falta de papeles no nos dan, lo bueno es que allá tengo a mi</w:t>
      </w:r>
      <w:r>
        <w:rPr>
          <w:color w:val="231F20"/>
          <w:spacing w:val="-10"/>
          <w:w w:val="105"/>
          <w:sz w:val="18"/>
        </w:rPr>
        <w:t> </w:t>
      </w:r>
      <w:r>
        <w:rPr>
          <w:color w:val="231F20"/>
          <w:w w:val="105"/>
          <w:sz w:val="18"/>
        </w:rPr>
        <w:t>hermano</w:t>
      </w:r>
      <w:r>
        <w:rPr>
          <w:color w:val="231F20"/>
          <w:spacing w:val="-10"/>
          <w:w w:val="105"/>
          <w:sz w:val="18"/>
        </w:rPr>
        <w:t> </w:t>
      </w:r>
      <w:r>
        <w:rPr>
          <w:color w:val="231F20"/>
          <w:w w:val="105"/>
          <w:sz w:val="18"/>
        </w:rPr>
        <w:t>y</w:t>
      </w:r>
      <w:r>
        <w:rPr>
          <w:color w:val="231F20"/>
          <w:spacing w:val="-10"/>
          <w:w w:val="105"/>
          <w:sz w:val="18"/>
        </w:rPr>
        <w:t> </w:t>
      </w:r>
      <w:r>
        <w:rPr>
          <w:color w:val="231F20"/>
          <w:w w:val="105"/>
          <w:sz w:val="18"/>
        </w:rPr>
        <w:t>su</w:t>
      </w:r>
      <w:r>
        <w:rPr>
          <w:color w:val="231F20"/>
          <w:spacing w:val="-10"/>
          <w:w w:val="105"/>
          <w:sz w:val="18"/>
        </w:rPr>
        <w:t> </w:t>
      </w:r>
      <w:r>
        <w:rPr>
          <w:color w:val="231F20"/>
          <w:w w:val="105"/>
          <w:sz w:val="18"/>
        </w:rPr>
        <w:t>familia,</w:t>
      </w:r>
      <w:r>
        <w:rPr>
          <w:color w:val="231F20"/>
          <w:spacing w:val="-14"/>
          <w:w w:val="105"/>
          <w:sz w:val="18"/>
        </w:rPr>
        <w:t> </w:t>
      </w:r>
      <w:r>
        <w:rPr>
          <w:color w:val="231F20"/>
          <w:w w:val="105"/>
          <w:sz w:val="18"/>
        </w:rPr>
        <w:t>cuando</w:t>
      </w:r>
      <w:r>
        <w:rPr>
          <w:color w:val="231F20"/>
          <w:spacing w:val="-10"/>
          <w:w w:val="105"/>
          <w:sz w:val="18"/>
        </w:rPr>
        <w:t> </w:t>
      </w:r>
      <w:r>
        <w:rPr>
          <w:color w:val="231F20"/>
          <w:w w:val="105"/>
          <w:sz w:val="18"/>
        </w:rPr>
        <w:t>voy,</w:t>
      </w:r>
      <w:r>
        <w:rPr>
          <w:color w:val="231F20"/>
          <w:spacing w:val="-14"/>
          <w:w w:val="105"/>
          <w:sz w:val="18"/>
        </w:rPr>
        <w:t> </w:t>
      </w:r>
      <w:r>
        <w:rPr>
          <w:color w:val="231F20"/>
          <w:w w:val="105"/>
          <w:sz w:val="18"/>
        </w:rPr>
        <w:t>llego</w:t>
      </w:r>
      <w:r>
        <w:rPr>
          <w:color w:val="231F20"/>
          <w:spacing w:val="-10"/>
          <w:w w:val="105"/>
          <w:sz w:val="18"/>
        </w:rPr>
        <w:t> </w:t>
      </w:r>
      <w:r>
        <w:rPr>
          <w:color w:val="231F20"/>
          <w:w w:val="105"/>
          <w:sz w:val="18"/>
        </w:rPr>
        <w:t>con</w:t>
      </w:r>
      <w:r>
        <w:rPr>
          <w:color w:val="231F20"/>
          <w:spacing w:val="-10"/>
          <w:w w:val="105"/>
          <w:sz w:val="18"/>
        </w:rPr>
        <w:t> </w:t>
      </w:r>
      <w:r>
        <w:rPr>
          <w:color w:val="231F20"/>
          <w:w w:val="105"/>
          <w:sz w:val="18"/>
        </w:rPr>
        <w:t>ellos</w:t>
      </w:r>
      <w:r>
        <w:rPr>
          <w:color w:val="231F20"/>
          <w:spacing w:val="-10"/>
          <w:w w:val="105"/>
          <w:sz w:val="18"/>
        </w:rPr>
        <w:t> </w:t>
      </w:r>
      <w:r>
        <w:rPr>
          <w:color w:val="231F20"/>
          <w:w w:val="105"/>
          <w:sz w:val="18"/>
        </w:rPr>
        <w:t>y</w:t>
      </w:r>
      <w:r>
        <w:rPr>
          <w:color w:val="231F20"/>
          <w:spacing w:val="-10"/>
          <w:w w:val="105"/>
          <w:sz w:val="18"/>
        </w:rPr>
        <w:t> </w:t>
      </w:r>
      <w:r>
        <w:rPr>
          <w:color w:val="231F20"/>
          <w:w w:val="105"/>
          <w:sz w:val="18"/>
        </w:rPr>
        <w:t>es</w:t>
      </w:r>
      <w:r>
        <w:rPr>
          <w:color w:val="231F20"/>
          <w:spacing w:val="-10"/>
          <w:w w:val="105"/>
          <w:sz w:val="18"/>
        </w:rPr>
        <w:t> </w:t>
      </w:r>
      <w:r>
        <w:rPr>
          <w:color w:val="231F20"/>
          <w:w w:val="105"/>
          <w:sz w:val="18"/>
        </w:rPr>
        <w:t>más</w:t>
      </w:r>
      <w:r>
        <w:rPr>
          <w:color w:val="231F20"/>
          <w:spacing w:val="-10"/>
          <w:w w:val="105"/>
          <w:sz w:val="18"/>
        </w:rPr>
        <w:t> </w:t>
      </w:r>
      <w:r>
        <w:rPr>
          <w:color w:val="231F20"/>
          <w:w w:val="105"/>
          <w:sz w:val="18"/>
        </w:rPr>
        <w:t>fácil</w:t>
      </w:r>
      <w:r>
        <w:rPr>
          <w:color w:val="231F20"/>
          <w:spacing w:val="-10"/>
          <w:w w:val="105"/>
          <w:sz w:val="18"/>
        </w:rPr>
        <w:t> </w:t>
      </w:r>
      <w:r>
        <w:rPr>
          <w:color w:val="231F20"/>
          <w:w w:val="105"/>
          <w:sz w:val="18"/>
        </w:rPr>
        <w:t>que para</w:t>
      </w:r>
      <w:r>
        <w:rPr>
          <w:color w:val="231F20"/>
          <w:spacing w:val="-12"/>
          <w:w w:val="105"/>
          <w:sz w:val="18"/>
        </w:rPr>
        <w:t> </w:t>
      </w:r>
      <w:r>
        <w:rPr>
          <w:color w:val="231F20"/>
          <w:w w:val="105"/>
          <w:sz w:val="18"/>
        </w:rPr>
        <w:t>otros,</w:t>
      </w:r>
      <w:r>
        <w:rPr>
          <w:color w:val="231F20"/>
          <w:spacing w:val="-16"/>
          <w:w w:val="105"/>
          <w:sz w:val="18"/>
        </w:rPr>
        <w:t> </w:t>
      </w:r>
      <w:r>
        <w:rPr>
          <w:color w:val="231F20"/>
          <w:w w:val="105"/>
          <w:sz w:val="18"/>
        </w:rPr>
        <w:t>porque</w:t>
      </w:r>
      <w:r>
        <w:rPr>
          <w:color w:val="231F20"/>
          <w:spacing w:val="-12"/>
          <w:w w:val="105"/>
          <w:sz w:val="18"/>
        </w:rPr>
        <w:t> </w:t>
      </w:r>
      <w:r>
        <w:rPr>
          <w:color w:val="231F20"/>
          <w:w w:val="105"/>
          <w:sz w:val="18"/>
        </w:rPr>
        <w:t>si</w:t>
      </w:r>
      <w:r>
        <w:rPr>
          <w:color w:val="231F20"/>
          <w:spacing w:val="-12"/>
          <w:w w:val="105"/>
          <w:sz w:val="18"/>
        </w:rPr>
        <w:t> </w:t>
      </w:r>
      <w:r>
        <w:rPr>
          <w:color w:val="231F20"/>
          <w:w w:val="105"/>
          <w:sz w:val="18"/>
        </w:rPr>
        <w:t>no</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tiene</w:t>
      </w:r>
      <w:r>
        <w:rPr>
          <w:color w:val="231F20"/>
          <w:spacing w:val="-12"/>
          <w:w w:val="105"/>
          <w:sz w:val="18"/>
        </w:rPr>
        <w:t> </w:t>
      </w:r>
      <w:r>
        <w:rPr>
          <w:color w:val="231F20"/>
          <w:w w:val="105"/>
          <w:sz w:val="18"/>
        </w:rPr>
        <w:t>a</w:t>
      </w:r>
      <w:r>
        <w:rPr>
          <w:color w:val="231F20"/>
          <w:spacing w:val="-12"/>
          <w:w w:val="105"/>
          <w:sz w:val="18"/>
        </w:rPr>
        <w:t> </w:t>
      </w:r>
      <w:r>
        <w:rPr>
          <w:color w:val="231F20"/>
          <w:w w:val="105"/>
          <w:sz w:val="18"/>
        </w:rPr>
        <w:t>nadie</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sufre</w:t>
      </w:r>
      <w:r>
        <w:rPr>
          <w:color w:val="231F20"/>
          <w:spacing w:val="-12"/>
          <w:w w:val="105"/>
          <w:sz w:val="18"/>
        </w:rPr>
        <w:t> </w:t>
      </w:r>
      <w:r>
        <w:rPr>
          <w:color w:val="231F20"/>
          <w:w w:val="105"/>
          <w:sz w:val="18"/>
        </w:rPr>
        <w:t>mucho,</w:t>
      </w:r>
      <w:r>
        <w:rPr>
          <w:color w:val="231F20"/>
          <w:spacing w:val="-16"/>
          <w:w w:val="105"/>
          <w:sz w:val="18"/>
        </w:rPr>
        <w:t> </w:t>
      </w:r>
      <w:r>
        <w:rPr>
          <w:color w:val="231F20"/>
          <w:w w:val="105"/>
          <w:sz w:val="18"/>
        </w:rPr>
        <w:t>si</w:t>
      </w:r>
      <w:r>
        <w:rPr>
          <w:color w:val="231F20"/>
          <w:spacing w:val="-12"/>
          <w:w w:val="105"/>
          <w:sz w:val="18"/>
        </w:rPr>
        <w:t> </w:t>
      </w:r>
      <w:r>
        <w:rPr>
          <w:color w:val="231F20"/>
          <w:w w:val="105"/>
          <w:sz w:val="18"/>
        </w:rPr>
        <w:t>así</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sufre imagínate</w:t>
      </w:r>
      <w:r>
        <w:rPr>
          <w:color w:val="231F20"/>
          <w:spacing w:val="-13"/>
          <w:w w:val="105"/>
          <w:sz w:val="18"/>
        </w:rPr>
        <w:t> </w:t>
      </w:r>
      <w:r>
        <w:rPr>
          <w:color w:val="231F20"/>
          <w:w w:val="105"/>
          <w:sz w:val="18"/>
        </w:rPr>
        <w:t>si</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los</w:t>
      </w:r>
      <w:r>
        <w:rPr>
          <w:color w:val="231F20"/>
          <w:spacing w:val="-13"/>
          <w:w w:val="105"/>
          <w:sz w:val="18"/>
        </w:rPr>
        <w:t> </w:t>
      </w:r>
      <w:r>
        <w:rPr>
          <w:color w:val="231F20"/>
          <w:w w:val="105"/>
          <w:sz w:val="18"/>
        </w:rPr>
        <w:t>tuviera</w:t>
      </w:r>
      <w:r>
        <w:rPr>
          <w:color w:val="231F20"/>
          <w:spacing w:val="-13"/>
          <w:w w:val="105"/>
          <w:sz w:val="18"/>
        </w:rPr>
        <w:t> </w:t>
      </w:r>
      <w:r>
        <w:rPr>
          <w:color w:val="231F20"/>
          <w:w w:val="105"/>
          <w:sz w:val="18"/>
        </w:rPr>
        <w:t>(Jorge/40/3).</w:t>
      </w:r>
    </w:p>
    <w:p>
      <w:pPr>
        <w:pStyle w:val="BodyText"/>
        <w:spacing w:before="5"/>
      </w:pPr>
    </w:p>
    <w:p>
      <w:pPr>
        <w:pStyle w:val="BodyText"/>
        <w:spacing w:line="261" w:lineRule="auto"/>
        <w:ind w:left="1723" w:right="1834"/>
        <w:jc w:val="both"/>
      </w:pP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sentido,</w:t>
      </w:r>
      <w:r>
        <w:rPr>
          <w:color w:val="231F20"/>
          <w:spacing w:val="-13"/>
          <w:w w:val="105"/>
        </w:rPr>
        <w:t> </w:t>
      </w:r>
      <w:r>
        <w:rPr>
          <w:color w:val="231F20"/>
          <w:w w:val="105"/>
        </w:rPr>
        <w:t>algunos</w:t>
      </w:r>
      <w:r>
        <w:rPr>
          <w:color w:val="231F20"/>
          <w:spacing w:val="-8"/>
          <w:w w:val="105"/>
        </w:rPr>
        <w:t> </w:t>
      </w:r>
      <w:r>
        <w:rPr>
          <w:color w:val="231F20"/>
          <w:w w:val="105"/>
        </w:rPr>
        <w:t>estudios</w:t>
      </w:r>
      <w:r>
        <w:rPr>
          <w:color w:val="231F20"/>
          <w:spacing w:val="-8"/>
          <w:w w:val="105"/>
        </w:rPr>
        <w:t> </w:t>
      </w:r>
      <w:r>
        <w:rPr>
          <w:color w:val="231F20"/>
          <w:w w:val="105"/>
        </w:rPr>
        <w:t>consideran</w:t>
      </w:r>
      <w:r>
        <w:rPr>
          <w:color w:val="231F20"/>
          <w:spacing w:val="-8"/>
          <w:w w:val="105"/>
        </w:rPr>
        <w:t> </w:t>
      </w:r>
      <w:r>
        <w:rPr>
          <w:color w:val="231F20"/>
          <w:w w:val="105"/>
        </w:rPr>
        <w:t>que</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años</w:t>
      </w:r>
      <w:r>
        <w:rPr>
          <w:color w:val="231F20"/>
          <w:spacing w:val="-8"/>
          <w:w w:val="105"/>
        </w:rPr>
        <w:t> </w:t>
      </w:r>
      <w:r>
        <w:rPr>
          <w:color w:val="231F20"/>
          <w:w w:val="105"/>
        </w:rPr>
        <w:t>recientes se ha detectado que la migración internacional mexicana se encuentra en el umbral de una “nueva </w:t>
      </w:r>
      <w:r>
        <w:rPr>
          <w:color w:val="231F20"/>
          <w:spacing w:val="-3"/>
          <w:w w:val="105"/>
        </w:rPr>
        <w:t>era” </w:t>
      </w:r>
      <w:r>
        <w:rPr>
          <w:color w:val="231F20"/>
          <w:w w:val="105"/>
        </w:rPr>
        <w:t>que la distingue claramente de las</w:t>
      </w:r>
      <w:r>
        <w:rPr>
          <w:color w:val="231F20"/>
          <w:spacing w:val="-36"/>
          <w:w w:val="105"/>
        </w:rPr>
        <w:t> </w:t>
      </w:r>
      <w:r>
        <w:rPr>
          <w:color w:val="231F20"/>
          <w:w w:val="105"/>
        </w:rPr>
        <w:t>eta- pas</w:t>
      </w:r>
      <w:r>
        <w:rPr>
          <w:color w:val="231F20"/>
          <w:spacing w:val="-27"/>
          <w:w w:val="105"/>
        </w:rPr>
        <w:t> </w:t>
      </w:r>
      <w:r>
        <w:rPr>
          <w:color w:val="231F20"/>
          <w:w w:val="105"/>
        </w:rPr>
        <w:t>previas</w:t>
      </w:r>
      <w:r>
        <w:rPr>
          <w:color w:val="231F20"/>
          <w:spacing w:val="-27"/>
          <w:w w:val="105"/>
        </w:rPr>
        <w:t> </w:t>
      </w:r>
      <w:r>
        <w:rPr>
          <w:color w:val="231F20"/>
          <w:w w:val="105"/>
        </w:rPr>
        <w:t>tanto</w:t>
      </w:r>
      <w:r>
        <w:rPr>
          <w:color w:val="231F20"/>
          <w:spacing w:val="-27"/>
          <w:w w:val="105"/>
        </w:rPr>
        <w:t> </w:t>
      </w:r>
      <w:r>
        <w:rPr>
          <w:color w:val="231F20"/>
          <w:w w:val="105"/>
        </w:rPr>
        <w:t>por</w:t>
      </w:r>
      <w:r>
        <w:rPr>
          <w:color w:val="231F20"/>
          <w:spacing w:val="-27"/>
          <w:w w:val="105"/>
        </w:rPr>
        <w:t> </w:t>
      </w:r>
      <w:r>
        <w:rPr>
          <w:color w:val="231F20"/>
          <w:w w:val="105"/>
        </w:rPr>
        <w:t>la</w:t>
      </w:r>
      <w:r>
        <w:rPr>
          <w:color w:val="231F20"/>
          <w:spacing w:val="-27"/>
          <w:w w:val="105"/>
        </w:rPr>
        <w:t> </w:t>
      </w:r>
      <w:r>
        <w:rPr>
          <w:color w:val="231F20"/>
          <w:w w:val="105"/>
        </w:rPr>
        <w:t>composición</w:t>
      </w:r>
      <w:r>
        <w:rPr>
          <w:color w:val="231F20"/>
          <w:spacing w:val="-27"/>
          <w:w w:val="105"/>
        </w:rPr>
        <w:t> </w:t>
      </w:r>
      <w:r>
        <w:rPr>
          <w:color w:val="231F20"/>
          <w:w w:val="105"/>
        </w:rPr>
        <w:t>de</w:t>
      </w:r>
      <w:r>
        <w:rPr>
          <w:color w:val="231F20"/>
          <w:spacing w:val="-27"/>
          <w:w w:val="105"/>
        </w:rPr>
        <w:t> </w:t>
      </w:r>
      <w:r>
        <w:rPr>
          <w:color w:val="231F20"/>
          <w:w w:val="105"/>
        </w:rPr>
        <w:t>sus</w:t>
      </w:r>
      <w:r>
        <w:rPr>
          <w:color w:val="231F20"/>
          <w:spacing w:val="-27"/>
          <w:w w:val="105"/>
        </w:rPr>
        <w:t> </w:t>
      </w:r>
      <w:r>
        <w:rPr>
          <w:color w:val="231F20"/>
          <w:w w:val="105"/>
        </w:rPr>
        <w:t>protagonistas</w:t>
      </w:r>
      <w:r>
        <w:rPr>
          <w:color w:val="231F20"/>
          <w:spacing w:val="-27"/>
          <w:w w:val="105"/>
        </w:rPr>
        <w:t> </w:t>
      </w:r>
      <w:r>
        <w:rPr>
          <w:color w:val="231F20"/>
          <w:w w:val="105"/>
        </w:rPr>
        <w:t>(los</w:t>
      </w:r>
      <w:r>
        <w:rPr>
          <w:color w:val="231F20"/>
          <w:spacing w:val="-27"/>
          <w:w w:val="105"/>
        </w:rPr>
        <w:t> </w:t>
      </w:r>
      <w:r>
        <w:rPr>
          <w:color w:val="231F20"/>
          <w:w w:val="105"/>
        </w:rPr>
        <w:t>migrantes) por</w:t>
      </w:r>
      <w:r>
        <w:rPr>
          <w:color w:val="231F20"/>
          <w:spacing w:val="-14"/>
          <w:w w:val="105"/>
        </w:rPr>
        <w:t> </w:t>
      </w:r>
      <w:r>
        <w:rPr>
          <w:color w:val="231F20"/>
          <w:w w:val="105"/>
        </w:rPr>
        <w:t>su</w:t>
      </w:r>
      <w:r>
        <w:rPr>
          <w:color w:val="231F20"/>
          <w:spacing w:val="-14"/>
          <w:w w:val="105"/>
        </w:rPr>
        <w:t> </w:t>
      </w:r>
      <w:r>
        <w:rPr>
          <w:color w:val="231F20"/>
          <w:w w:val="105"/>
        </w:rPr>
        <w:t>carácter</w:t>
      </w:r>
      <w:r>
        <w:rPr>
          <w:color w:val="231F20"/>
          <w:spacing w:val="31"/>
          <w:w w:val="105"/>
        </w:rPr>
        <w:t> </w:t>
      </w:r>
      <w:r>
        <w:rPr>
          <w:color w:val="231F20"/>
          <w:w w:val="105"/>
        </w:rPr>
        <w:t>temporal,</w:t>
      </w:r>
      <w:r>
        <w:rPr>
          <w:color w:val="231F20"/>
          <w:spacing w:val="-21"/>
          <w:w w:val="105"/>
        </w:rPr>
        <w:t> </w:t>
      </w:r>
      <w:r>
        <w:rPr>
          <w:color w:val="231F20"/>
          <w:w w:val="105"/>
        </w:rPr>
        <w:t>intencionalidad,</w:t>
      </w:r>
      <w:r>
        <w:rPr>
          <w:color w:val="231F20"/>
          <w:spacing w:val="-21"/>
          <w:w w:val="105"/>
        </w:rPr>
        <w:t> </w:t>
      </w:r>
      <w:r>
        <w:rPr>
          <w:color w:val="231F20"/>
          <w:w w:val="105"/>
        </w:rPr>
        <w:t>modalidades</w:t>
      </w:r>
      <w:r>
        <w:rPr>
          <w:color w:val="231F20"/>
          <w:spacing w:val="-14"/>
          <w:w w:val="105"/>
        </w:rPr>
        <w:t> </w:t>
      </w:r>
      <w:r>
        <w:rPr>
          <w:color w:val="231F20"/>
          <w:w w:val="105"/>
        </w:rPr>
        <w:t>e</w:t>
      </w:r>
      <w:r>
        <w:rPr>
          <w:color w:val="231F20"/>
          <w:spacing w:val="-14"/>
          <w:w w:val="105"/>
        </w:rPr>
        <w:t> </w:t>
      </w:r>
      <w:r>
        <w:rPr>
          <w:color w:val="231F20"/>
          <w:w w:val="105"/>
        </w:rPr>
        <w:t>impacto</w:t>
      </w:r>
      <w:r>
        <w:rPr>
          <w:color w:val="231F20"/>
          <w:spacing w:val="-14"/>
          <w:w w:val="105"/>
        </w:rPr>
        <w:t> </w:t>
      </w:r>
      <w:r>
        <w:rPr>
          <w:color w:val="231F20"/>
          <w:w w:val="105"/>
        </w:rPr>
        <w:t>social y</w:t>
      </w:r>
      <w:r>
        <w:rPr>
          <w:color w:val="231F20"/>
          <w:spacing w:val="-16"/>
          <w:w w:val="105"/>
        </w:rPr>
        <w:t> </w:t>
      </w:r>
      <w:r>
        <w:rPr>
          <w:color w:val="231F20"/>
          <w:w w:val="105"/>
        </w:rPr>
        <w:t>económico</w:t>
      </w:r>
      <w:r>
        <w:rPr>
          <w:color w:val="231F20"/>
          <w:spacing w:val="-16"/>
          <w:w w:val="105"/>
        </w:rPr>
        <w:t> </w:t>
      </w:r>
      <w:r>
        <w:rPr>
          <w:color w:val="231F20"/>
          <w:w w:val="105"/>
        </w:rPr>
        <w:t>(</w:t>
      </w:r>
      <w:r>
        <w:rPr>
          <w:color w:val="231F20"/>
          <w:w w:val="105"/>
          <w:sz w:val="17"/>
        </w:rPr>
        <w:t>ENADID</w:t>
      </w:r>
      <w:r>
        <w:rPr>
          <w:color w:val="231F20"/>
          <w:w w:val="105"/>
        </w:rPr>
        <w:t>,</w:t>
      </w:r>
      <w:r>
        <w:rPr>
          <w:color w:val="231F20"/>
          <w:spacing w:val="-21"/>
          <w:w w:val="105"/>
        </w:rPr>
        <w:t> </w:t>
      </w:r>
      <w:r>
        <w:rPr>
          <w:color w:val="231F20"/>
          <w:w w:val="105"/>
        </w:rPr>
        <w:t>2009).</w:t>
      </w:r>
      <w:r>
        <w:rPr>
          <w:color w:val="231F20"/>
          <w:spacing w:val="-21"/>
          <w:w w:val="105"/>
        </w:rPr>
        <w:t> </w:t>
      </w:r>
      <w:r>
        <w:rPr>
          <w:color w:val="231F20"/>
          <w:w w:val="105"/>
        </w:rPr>
        <w:t>La</w:t>
      </w:r>
      <w:r>
        <w:rPr>
          <w:color w:val="231F20"/>
          <w:spacing w:val="-16"/>
          <w:w w:val="105"/>
        </w:rPr>
        <w:t> </w:t>
      </w:r>
      <w:r>
        <w:rPr>
          <w:color w:val="231F20"/>
          <w:w w:val="105"/>
        </w:rPr>
        <w:t>transformación</w:t>
      </w:r>
      <w:r>
        <w:rPr>
          <w:color w:val="231F20"/>
          <w:spacing w:val="-16"/>
          <w:w w:val="105"/>
        </w:rPr>
        <w:t> </w:t>
      </w:r>
      <w:r>
        <w:rPr>
          <w:color w:val="231F20"/>
          <w:w w:val="105"/>
        </w:rPr>
        <w:t>del</w:t>
      </w:r>
      <w:r>
        <w:rPr>
          <w:color w:val="231F20"/>
          <w:spacing w:val="-16"/>
          <w:w w:val="105"/>
        </w:rPr>
        <w:t> </w:t>
      </w:r>
      <w:r>
        <w:rPr>
          <w:color w:val="231F20"/>
          <w:w w:val="105"/>
        </w:rPr>
        <w:t>fenómeno</w:t>
      </w:r>
      <w:r>
        <w:rPr>
          <w:color w:val="231F20"/>
          <w:spacing w:val="-16"/>
          <w:w w:val="105"/>
        </w:rPr>
        <w:t> </w:t>
      </w:r>
      <w:r>
        <w:rPr>
          <w:color w:val="231F20"/>
          <w:w w:val="105"/>
        </w:rPr>
        <w:t>migratorio en las últimas décadas ha hecho que los migrante surjan como nuevos actores</w:t>
      </w:r>
      <w:r>
        <w:rPr>
          <w:color w:val="231F20"/>
          <w:spacing w:val="-12"/>
          <w:w w:val="105"/>
        </w:rPr>
        <w:t> </w:t>
      </w:r>
      <w:r>
        <w:rPr>
          <w:color w:val="231F20"/>
          <w:w w:val="105"/>
        </w:rPr>
        <w:t>territoriales</w:t>
      </w:r>
      <w:r>
        <w:rPr>
          <w:color w:val="231F20"/>
          <w:spacing w:val="-12"/>
          <w:w w:val="105"/>
        </w:rPr>
        <w:t> </w:t>
      </w:r>
      <w:r>
        <w:rPr>
          <w:color w:val="231F20"/>
          <w:w w:val="105"/>
        </w:rPr>
        <w:t>transnacionales,</w:t>
      </w:r>
      <w:r>
        <w:rPr>
          <w:color w:val="231F20"/>
          <w:spacing w:val="-17"/>
          <w:w w:val="105"/>
        </w:rPr>
        <w:t> </w:t>
      </w:r>
      <w:r>
        <w:rPr>
          <w:color w:val="231F20"/>
          <w:w w:val="105"/>
        </w:rPr>
        <w:t>que</w:t>
      </w:r>
      <w:r>
        <w:rPr>
          <w:color w:val="231F20"/>
          <w:spacing w:val="-12"/>
          <w:w w:val="105"/>
        </w:rPr>
        <w:t> </w:t>
      </w:r>
      <w:r>
        <w:rPr>
          <w:color w:val="231F20"/>
          <w:w w:val="105"/>
        </w:rPr>
        <w:t>influyen</w:t>
      </w:r>
      <w:r>
        <w:rPr>
          <w:color w:val="231F20"/>
          <w:spacing w:val="-12"/>
          <w:w w:val="105"/>
        </w:rPr>
        <w:t> </w:t>
      </w:r>
      <w:r>
        <w:rPr>
          <w:color w:val="231F20"/>
          <w:w w:val="105"/>
        </w:rPr>
        <w:t>de</w:t>
      </w:r>
      <w:r>
        <w:rPr>
          <w:color w:val="231F20"/>
          <w:spacing w:val="-12"/>
          <w:w w:val="105"/>
        </w:rPr>
        <w:t> </w:t>
      </w:r>
      <w:r>
        <w:rPr>
          <w:color w:val="231F20"/>
          <w:w w:val="105"/>
        </w:rPr>
        <w:t>manera</w:t>
      </w:r>
      <w:r>
        <w:rPr>
          <w:color w:val="231F20"/>
          <w:spacing w:val="-12"/>
          <w:w w:val="105"/>
        </w:rPr>
        <w:t> </w:t>
      </w:r>
      <w:r>
        <w:rPr>
          <w:color w:val="231F20"/>
          <w:w w:val="105"/>
        </w:rPr>
        <w:t>importante en sus lugares de origen, tránsito y destino, y donde las redes sociales son el componente principal de esas transformaciones como tejido so- cial</w:t>
      </w:r>
      <w:r>
        <w:rPr>
          <w:color w:val="231F20"/>
          <w:spacing w:val="-22"/>
          <w:w w:val="105"/>
        </w:rPr>
        <w:t> </w:t>
      </w:r>
      <w:r>
        <w:rPr>
          <w:color w:val="231F20"/>
          <w:w w:val="105"/>
        </w:rPr>
        <w:t>vivo</w:t>
      </w:r>
      <w:r>
        <w:rPr>
          <w:color w:val="231F20"/>
          <w:spacing w:val="-22"/>
          <w:w w:val="105"/>
        </w:rPr>
        <w:t> </w:t>
      </w:r>
      <w:r>
        <w:rPr>
          <w:color w:val="231F20"/>
          <w:w w:val="105"/>
        </w:rPr>
        <w:t>de</w:t>
      </w:r>
      <w:r>
        <w:rPr>
          <w:color w:val="231F20"/>
          <w:spacing w:val="-22"/>
          <w:w w:val="105"/>
        </w:rPr>
        <w:t> </w:t>
      </w:r>
      <w:r>
        <w:rPr>
          <w:color w:val="231F20"/>
          <w:w w:val="105"/>
        </w:rPr>
        <w:t>carácter</w:t>
      </w:r>
      <w:r>
        <w:rPr>
          <w:color w:val="231F20"/>
          <w:spacing w:val="-22"/>
          <w:w w:val="105"/>
        </w:rPr>
        <w:t> </w:t>
      </w:r>
      <w:r>
        <w:rPr>
          <w:color w:val="231F20"/>
          <w:w w:val="105"/>
        </w:rPr>
        <w:t>local,</w:t>
      </w:r>
      <w:r>
        <w:rPr>
          <w:color w:val="231F20"/>
          <w:spacing w:val="-26"/>
          <w:w w:val="105"/>
        </w:rPr>
        <w:t> </w:t>
      </w:r>
      <w:r>
        <w:rPr>
          <w:color w:val="231F20"/>
          <w:w w:val="105"/>
        </w:rPr>
        <w:t>regional</w:t>
      </w:r>
      <w:r>
        <w:rPr>
          <w:color w:val="231F20"/>
          <w:spacing w:val="-22"/>
          <w:w w:val="105"/>
        </w:rPr>
        <w:t> </w:t>
      </w:r>
      <w:r>
        <w:rPr>
          <w:color w:val="231F20"/>
          <w:w w:val="105"/>
        </w:rPr>
        <w:t>y</w:t>
      </w:r>
      <w:r>
        <w:rPr>
          <w:color w:val="231F20"/>
          <w:spacing w:val="-22"/>
          <w:w w:val="105"/>
        </w:rPr>
        <w:t> </w:t>
      </w:r>
      <w:r>
        <w:rPr>
          <w:color w:val="231F20"/>
          <w:w w:val="105"/>
        </w:rPr>
        <w:t>transnacional.</w:t>
      </w:r>
    </w:p>
    <w:p>
      <w:pPr>
        <w:pStyle w:val="BodyText"/>
        <w:spacing w:before="8"/>
        <w:rPr>
          <w:sz w:val="22"/>
        </w:rPr>
      </w:pPr>
    </w:p>
    <w:p>
      <w:pPr>
        <w:spacing w:before="0"/>
        <w:ind w:left="1723" w:right="0" w:firstLine="0"/>
        <w:jc w:val="both"/>
        <w:rPr>
          <w:rFonts w:ascii="Arial" w:hAnsi="Arial"/>
          <w:i/>
          <w:sz w:val="21"/>
        </w:rPr>
      </w:pPr>
      <w:r>
        <w:rPr>
          <w:rFonts w:ascii="Arial" w:hAnsi="Arial"/>
          <w:i/>
          <w:color w:val="231F20"/>
          <w:w w:val="105"/>
          <w:sz w:val="21"/>
        </w:rPr>
        <w:t>La temporalidad de la migración</w:t>
      </w:r>
    </w:p>
    <w:p>
      <w:pPr>
        <w:pStyle w:val="BodyText"/>
        <w:spacing w:before="5"/>
        <w:rPr>
          <w:rFonts w:ascii="Arial"/>
          <w:i/>
          <w:sz w:val="24"/>
        </w:rPr>
      </w:pPr>
    </w:p>
    <w:p>
      <w:pPr>
        <w:pStyle w:val="BodyText"/>
        <w:spacing w:line="261" w:lineRule="auto" w:before="1"/>
        <w:ind w:left="1723" w:right="1834"/>
        <w:jc w:val="both"/>
      </w:pPr>
      <w:r>
        <w:rPr>
          <w:color w:val="231F20"/>
          <w:w w:val="105"/>
        </w:rPr>
        <w:t>La</w:t>
      </w:r>
      <w:r>
        <w:rPr>
          <w:color w:val="231F20"/>
          <w:spacing w:val="-9"/>
          <w:w w:val="105"/>
        </w:rPr>
        <w:t> </w:t>
      </w:r>
      <w:r>
        <w:rPr>
          <w:color w:val="231F20"/>
          <w:w w:val="105"/>
        </w:rPr>
        <w:t>temporalidad</w:t>
      </w:r>
      <w:r>
        <w:rPr>
          <w:color w:val="231F20"/>
          <w:spacing w:val="-9"/>
          <w:w w:val="105"/>
        </w:rPr>
        <w:t> </w:t>
      </w:r>
      <w:r>
        <w:rPr>
          <w:color w:val="231F20"/>
          <w:w w:val="105"/>
        </w:rPr>
        <w:t>se</w:t>
      </w:r>
      <w:r>
        <w:rPr>
          <w:color w:val="231F20"/>
          <w:spacing w:val="-9"/>
          <w:w w:val="105"/>
        </w:rPr>
        <w:t> </w:t>
      </w:r>
      <w:r>
        <w:rPr>
          <w:color w:val="231F20"/>
          <w:w w:val="105"/>
        </w:rPr>
        <w:t>refiere</w:t>
      </w:r>
      <w:r>
        <w:rPr>
          <w:color w:val="231F20"/>
          <w:spacing w:val="-9"/>
          <w:w w:val="105"/>
        </w:rPr>
        <w:t> </w:t>
      </w:r>
      <w:r>
        <w:rPr>
          <w:color w:val="231F20"/>
          <w:w w:val="105"/>
        </w:rPr>
        <w:t>al</w:t>
      </w:r>
      <w:r>
        <w:rPr>
          <w:color w:val="231F20"/>
          <w:spacing w:val="-9"/>
          <w:w w:val="105"/>
        </w:rPr>
        <w:t> </w:t>
      </w:r>
      <w:r>
        <w:rPr>
          <w:color w:val="231F20"/>
          <w:w w:val="105"/>
        </w:rPr>
        <w:t>tiempo</w:t>
      </w:r>
      <w:r>
        <w:rPr>
          <w:color w:val="231F20"/>
          <w:spacing w:val="-9"/>
          <w:w w:val="105"/>
        </w:rPr>
        <w:t> </w:t>
      </w:r>
      <w:r>
        <w:rPr>
          <w:color w:val="231F20"/>
          <w:w w:val="105"/>
        </w:rPr>
        <w:t>promedio</w:t>
      </w:r>
      <w:r>
        <w:rPr>
          <w:color w:val="231F20"/>
          <w:spacing w:val="-9"/>
          <w:w w:val="105"/>
        </w:rPr>
        <w:t> </w:t>
      </w:r>
      <w:r>
        <w:rPr>
          <w:color w:val="231F20"/>
          <w:w w:val="105"/>
        </w:rPr>
        <w:t>de</w:t>
      </w:r>
      <w:r>
        <w:rPr>
          <w:color w:val="231F20"/>
          <w:spacing w:val="-9"/>
          <w:w w:val="105"/>
        </w:rPr>
        <w:t> </w:t>
      </w:r>
      <w:r>
        <w:rPr>
          <w:color w:val="231F20"/>
          <w:w w:val="105"/>
        </w:rPr>
        <w:t>estancia</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perso- nas que van a Estados Unidos. La situación de los cambios</w:t>
      </w:r>
      <w:r>
        <w:rPr>
          <w:color w:val="231F20"/>
          <w:spacing w:val="-40"/>
          <w:w w:val="105"/>
        </w:rPr>
        <w:t> </w:t>
      </w:r>
      <w:r>
        <w:rPr>
          <w:color w:val="231F20"/>
          <w:w w:val="105"/>
        </w:rPr>
        <w:t>registrados en la temporalidad puede deberse, entre otras causas, al aumento de la vigilancia en la frontera, los altos costos del viaje de reingreso,</w:t>
      </w:r>
      <w:r>
        <w:rPr>
          <w:color w:val="231F20"/>
          <w:spacing w:val="-34"/>
          <w:w w:val="105"/>
        </w:rPr>
        <w:t> </w:t>
      </w:r>
      <w:r>
        <w:rPr>
          <w:color w:val="231F20"/>
          <w:w w:val="105"/>
        </w:rPr>
        <w:t>espe- cialmente para quienes carecen de algún documento que les permita hacerlo de forma legal, los peligros que enfrentan quienes regresan de forma</w:t>
      </w:r>
      <w:r>
        <w:rPr>
          <w:color w:val="231F20"/>
          <w:spacing w:val="-18"/>
          <w:w w:val="105"/>
        </w:rPr>
        <w:t> </w:t>
      </w:r>
      <w:r>
        <w:rPr>
          <w:color w:val="231F20"/>
          <w:w w:val="105"/>
        </w:rPr>
        <w:t>no</w:t>
      </w:r>
      <w:r>
        <w:rPr>
          <w:color w:val="231F20"/>
          <w:spacing w:val="-18"/>
          <w:w w:val="105"/>
        </w:rPr>
        <w:t> </w:t>
      </w:r>
      <w:r>
        <w:rPr>
          <w:color w:val="231F20"/>
          <w:w w:val="105"/>
        </w:rPr>
        <w:t>autorizada</w:t>
      </w:r>
      <w:r>
        <w:rPr>
          <w:color w:val="231F20"/>
          <w:spacing w:val="-18"/>
          <w:w w:val="105"/>
        </w:rPr>
        <w:t> </w:t>
      </w:r>
      <w:r>
        <w:rPr>
          <w:color w:val="231F20"/>
          <w:w w:val="105"/>
        </w:rPr>
        <w:t>a</w:t>
      </w:r>
      <w:r>
        <w:rPr>
          <w:color w:val="231F20"/>
          <w:spacing w:val="-18"/>
          <w:w w:val="105"/>
        </w:rPr>
        <w:t> </w:t>
      </w:r>
      <w:r>
        <w:rPr>
          <w:color w:val="231F20"/>
          <w:w w:val="105"/>
        </w:rPr>
        <w:t>Estados</w:t>
      </w:r>
      <w:r>
        <w:rPr>
          <w:color w:val="231F20"/>
          <w:spacing w:val="-18"/>
          <w:w w:val="105"/>
        </w:rPr>
        <w:t> </w:t>
      </w:r>
      <w:r>
        <w:rPr>
          <w:color w:val="231F20"/>
          <w:w w:val="105"/>
        </w:rPr>
        <w:t>Unidos,</w:t>
      </w:r>
      <w:r>
        <w:rPr>
          <w:color w:val="231F20"/>
          <w:spacing w:val="-23"/>
          <w:w w:val="105"/>
        </w:rPr>
        <w:t> </w:t>
      </w:r>
      <w:r>
        <w:rPr>
          <w:color w:val="231F20"/>
          <w:w w:val="105"/>
        </w:rPr>
        <w:t>así</w:t>
      </w:r>
      <w:r>
        <w:rPr>
          <w:color w:val="231F20"/>
          <w:spacing w:val="-18"/>
          <w:w w:val="105"/>
        </w:rPr>
        <w:t> </w:t>
      </w:r>
      <w:r>
        <w:rPr>
          <w:color w:val="231F20"/>
          <w:w w:val="105"/>
        </w:rPr>
        <w:t>como</w:t>
      </w:r>
      <w:r>
        <w:rPr>
          <w:color w:val="231F20"/>
          <w:spacing w:val="-18"/>
          <w:w w:val="105"/>
        </w:rPr>
        <w:t> </w:t>
      </w:r>
      <w:r>
        <w:rPr>
          <w:color w:val="231F20"/>
          <w:w w:val="105"/>
        </w:rPr>
        <w:t>la</w:t>
      </w:r>
      <w:r>
        <w:rPr>
          <w:color w:val="231F20"/>
          <w:spacing w:val="-18"/>
          <w:w w:val="105"/>
        </w:rPr>
        <w:t> </w:t>
      </w:r>
      <w:r>
        <w:rPr>
          <w:color w:val="231F20"/>
          <w:w w:val="105"/>
        </w:rPr>
        <w:t>percepción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falta de</w:t>
      </w:r>
      <w:r>
        <w:rPr>
          <w:color w:val="231F20"/>
          <w:spacing w:val="-13"/>
          <w:w w:val="105"/>
        </w:rPr>
        <w:t> </w:t>
      </w:r>
      <w:r>
        <w:rPr>
          <w:color w:val="231F20"/>
          <w:w w:val="105"/>
        </w:rPr>
        <w:t>oportunidades</w:t>
      </w:r>
      <w:r>
        <w:rPr>
          <w:color w:val="231F20"/>
          <w:spacing w:val="-13"/>
          <w:w w:val="105"/>
        </w:rPr>
        <w:t> </w:t>
      </w:r>
      <w:r>
        <w:rPr>
          <w:color w:val="231F20"/>
          <w:w w:val="105"/>
        </w:rPr>
        <w:t>para</w:t>
      </w:r>
      <w:r>
        <w:rPr>
          <w:color w:val="231F20"/>
          <w:spacing w:val="-13"/>
          <w:w w:val="105"/>
        </w:rPr>
        <w:t> </w:t>
      </w:r>
      <w:r>
        <w:rPr>
          <w:color w:val="231F20"/>
          <w:w w:val="105"/>
        </w:rPr>
        <w:t>un</w:t>
      </w:r>
      <w:r>
        <w:rPr>
          <w:color w:val="231F20"/>
          <w:spacing w:val="-13"/>
          <w:w w:val="105"/>
        </w:rPr>
        <w:t> </w:t>
      </w:r>
      <w:r>
        <w:rPr>
          <w:color w:val="231F20"/>
          <w:w w:val="105"/>
        </w:rPr>
        <w:t>mejor</w:t>
      </w:r>
      <w:r>
        <w:rPr>
          <w:color w:val="231F20"/>
          <w:spacing w:val="-13"/>
          <w:w w:val="105"/>
        </w:rPr>
        <w:t> </w:t>
      </w:r>
      <w:r>
        <w:rPr>
          <w:color w:val="231F20"/>
          <w:w w:val="105"/>
        </w:rPr>
        <w:t>desarrollo</w:t>
      </w:r>
      <w:r>
        <w:rPr>
          <w:color w:val="231F20"/>
          <w:spacing w:val="-13"/>
          <w:w w:val="105"/>
        </w:rPr>
        <w:t> </w:t>
      </w:r>
      <w:r>
        <w:rPr>
          <w:color w:val="231F20"/>
          <w:w w:val="105"/>
        </w:rPr>
        <w:t>en</w:t>
      </w:r>
      <w:r>
        <w:rPr>
          <w:color w:val="231F20"/>
          <w:spacing w:val="-13"/>
          <w:w w:val="105"/>
        </w:rPr>
        <w:t> </w:t>
      </w:r>
      <w:r>
        <w:rPr>
          <w:color w:val="231F20"/>
          <w:w w:val="105"/>
        </w:rPr>
        <w:t>México</w:t>
      </w:r>
      <w:r>
        <w:rPr>
          <w:color w:val="231F20"/>
          <w:spacing w:val="-13"/>
          <w:w w:val="105"/>
        </w:rPr>
        <w:t> </w:t>
      </w:r>
      <w:r>
        <w:rPr>
          <w:color w:val="231F20"/>
          <w:w w:val="105"/>
        </w:rPr>
        <w:t>(</w:t>
      </w:r>
      <w:r>
        <w:rPr>
          <w:color w:val="231F20"/>
          <w:w w:val="105"/>
          <w:sz w:val="17"/>
        </w:rPr>
        <w:t>ENADID</w:t>
      </w:r>
      <w:r>
        <w:rPr>
          <w:color w:val="231F20"/>
          <w:w w:val="105"/>
        </w:rPr>
        <w:t>,</w:t>
      </w:r>
      <w:r>
        <w:rPr>
          <w:color w:val="231F20"/>
          <w:spacing w:val="-18"/>
          <w:w w:val="105"/>
        </w:rPr>
        <w:t> </w:t>
      </w:r>
      <w:r>
        <w:rPr>
          <w:color w:val="231F20"/>
          <w:w w:val="105"/>
        </w:rPr>
        <w:t>2009).</w:t>
      </w:r>
    </w:p>
    <w:p>
      <w:pPr>
        <w:pStyle w:val="BodyText"/>
        <w:rPr>
          <w:sz w:val="20"/>
        </w:rPr>
      </w:pPr>
    </w:p>
    <w:p>
      <w:pPr>
        <w:pStyle w:val="BodyText"/>
        <w:rPr>
          <w:sz w:val="20"/>
        </w:rPr>
      </w:pPr>
    </w:p>
    <w:p>
      <w:pPr>
        <w:pStyle w:val="BodyText"/>
        <w:rPr>
          <w:sz w:val="20"/>
        </w:rPr>
      </w:pPr>
    </w:p>
    <w:p>
      <w:pPr>
        <w:pStyle w:val="BodyText"/>
        <w:spacing w:before="10"/>
        <w:rPr>
          <w:sz w:val="19"/>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53712" from="131.551193pt,3.753715pt" to="131.551193pt,39.556114pt" stroked="true" strokeweight=".35pt" strokecolor="#231f20">
            <w10:wrap type="none"/>
          </v:line>
        </w:pict>
      </w:r>
      <w:r>
        <w:rPr/>
        <w:pict>
          <v:line style="position:absolute;mso-position-horizontal-relative:page;mso-position-vertical-relative:paragraph;z-index:-453640" from="15pt,39.555916pt" to="0pt,39.555916pt" stroked="true" strokeweight=".25pt" strokecolor="#000000">
            <w10:wrap type="none"/>
          </v:line>
        </w:pict>
      </w:r>
      <w:r>
        <w:rPr/>
        <w:pict>
          <v:line style="position:absolute;mso-position-horizontal-relative:page;mso-position-vertical-relative:paragraph;z-index:36568" from="508.890015pt,39.555916pt" to="523.890015pt,39.555916pt" stroked="true" strokeweight=".25pt" strokecolor="#000000">
            <w10:wrap type="none"/>
          </v:line>
        </w:pict>
      </w:r>
      <w:r>
        <w:rPr>
          <w:rFonts w:ascii="Arial" w:hAnsi="Arial"/>
          <w:color w:val="414042"/>
          <w:position w:val="-5"/>
          <w:sz w:val="20"/>
        </w:rPr>
        <w:t>298</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6592"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6616" from="15pt,-28.286539pt" to="0pt,-28.286539pt" stroked="true" strokeweight=".25pt" strokecolor="#000000">
            <w10:wrap type="none"/>
          </v:line>
        </w:pict>
      </w:r>
      <w:r>
        <w:rPr/>
        <w:pict>
          <v:line style="position:absolute;mso-position-horizontal-relative:page;mso-position-vertical-relative:paragraph;z-index:36640" from="508.890015pt,-28.286539pt" to="523.890015pt,-28.286539pt" stroked="true" strokeweight=".25pt" strokecolor="#000000">
            <w10:wrap type="none"/>
          </v:line>
        </w:pict>
      </w:r>
      <w:r>
        <w:rPr>
          <w:rFonts w:ascii="Arial"/>
          <w:color w:val="414042"/>
          <w:sz w:val="20"/>
        </w:rPr>
        <w:t>299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w w:val="105"/>
        </w:rPr>
        <w:t>Los</w:t>
      </w:r>
      <w:r>
        <w:rPr>
          <w:color w:val="231F20"/>
          <w:spacing w:val="-23"/>
          <w:w w:val="105"/>
        </w:rPr>
        <w:t> </w:t>
      </w:r>
      <w:r>
        <w:rPr>
          <w:color w:val="231F20"/>
          <w:w w:val="105"/>
        </w:rPr>
        <w:t>argumentos</w:t>
      </w:r>
      <w:r>
        <w:rPr>
          <w:color w:val="231F20"/>
          <w:spacing w:val="-23"/>
          <w:w w:val="105"/>
        </w:rPr>
        <w:t> </w:t>
      </w:r>
      <w:r>
        <w:rPr>
          <w:color w:val="231F20"/>
          <w:w w:val="105"/>
        </w:rPr>
        <w:t>señalados</w:t>
      </w:r>
      <w:r>
        <w:rPr>
          <w:color w:val="231F20"/>
          <w:spacing w:val="-23"/>
          <w:w w:val="105"/>
        </w:rPr>
        <w:t> </w:t>
      </w:r>
      <w:r>
        <w:rPr>
          <w:color w:val="231F20"/>
          <w:w w:val="105"/>
        </w:rPr>
        <w:t>se</w:t>
      </w:r>
      <w:r>
        <w:rPr>
          <w:color w:val="231F20"/>
          <w:spacing w:val="-23"/>
          <w:w w:val="105"/>
        </w:rPr>
        <w:t> </w:t>
      </w:r>
      <w:r>
        <w:rPr>
          <w:color w:val="231F20"/>
          <w:w w:val="105"/>
        </w:rPr>
        <w:t>relacionan</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w w:val="105"/>
        </w:rPr>
        <w:t>información</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obtu- vo</w:t>
      </w:r>
      <w:r>
        <w:rPr>
          <w:color w:val="231F20"/>
          <w:spacing w:val="-5"/>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entrevistas</w:t>
      </w:r>
      <w:r>
        <w:rPr>
          <w:color w:val="231F20"/>
          <w:spacing w:val="-5"/>
          <w:w w:val="105"/>
        </w:rPr>
        <w:t> </w:t>
      </w:r>
      <w:r>
        <w:rPr>
          <w:color w:val="231F20"/>
          <w:w w:val="105"/>
        </w:rPr>
        <w:t>realizadas</w:t>
      </w:r>
      <w:r>
        <w:rPr>
          <w:color w:val="231F20"/>
          <w:spacing w:val="-5"/>
          <w:w w:val="105"/>
        </w:rPr>
        <w:t> </w:t>
      </w:r>
      <w:r>
        <w:rPr>
          <w:color w:val="231F20"/>
          <w:w w:val="105"/>
        </w:rPr>
        <w:t>en</w:t>
      </w:r>
      <w:r>
        <w:rPr>
          <w:color w:val="231F20"/>
          <w:spacing w:val="-4"/>
          <w:w w:val="105"/>
        </w:rPr>
        <w:t> </w:t>
      </w:r>
      <w:r>
        <w:rPr>
          <w:color w:val="231F20"/>
          <w:w w:val="105"/>
        </w:rPr>
        <w:t>el</w:t>
      </w:r>
      <w:r>
        <w:rPr>
          <w:color w:val="231F20"/>
          <w:spacing w:val="-5"/>
          <w:w w:val="105"/>
        </w:rPr>
        <w:t> </w:t>
      </w:r>
      <w:r>
        <w:rPr>
          <w:color w:val="231F20"/>
          <w:w w:val="105"/>
        </w:rPr>
        <w:t>municipio</w:t>
      </w:r>
      <w:r>
        <w:rPr>
          <w:color w:val="231F20"/>
          <w:spacing w:val="-4"/>
          <w:w w:val="105"/>
        </w:rPr>
        <w:t> </w:t>
      </w:r>
      <w:r>
        <w:rPr>
          <w:color w:val="231F20"/>
          <w:w w:val="105"/>
        </w:rPr>
        <w:t>de</w:t>
      </w:r>
      <w:r>
        <w:rPr>
          <w:color w:val="231F20"/>
          <w:spacing w:val="-7"/>
          <w:w w:val="105"/>
        </w:rPr>
        <w:t> </w:t>
      </w:r>
      <w:r>
        <w:rPr>
          <w:color w:val="231F20"/>
          <w:w w:val="105"/>
        </w:rPr>
        <w:t>Almoloya</w:t>
      </w:r>
      <w:r>
        <w:rPr>
          <w:color w:val="231F20"/>
          <w:spacing w:val="-5"/>
          <w:w w:val="105"/>
        </w:rPr>
        <w:t> </w:t>
      </w:r>
      <w:r>
        <w:rPr>
          <w:color w:val="231F20"/>
          <w:w w:val="105"/>
        </w:rPr>
        <w:t>de</w:t>
      </w:r>
      <w:r>
        <w:rPr>
          <w:color w:val="231F20"/>
          <w:spacing w:val="-7"/>
          <w:w w:val="105"/>
        </w:rPr>
        <w:t> </w:t>
      </w:r>
      <w:r>
        <w:rPr>
          <w:color w:val="231F20"/>
          <w:w w:val="105"/>
        </w:rPr>
        <w:t>Alquisi- ras,</w:t>
      </w:r>
      <w:r>
        <w:rPr>
          <w:color w:val="231F20"/>
          <w:spacing w:val="-24"/>
          <w:w w:val="105"/>
        </w:rPr>
        <w:t> </w:t>
      </w:r>
      <w:r>
        <w:rPr>
          <w:color w:val="231F20"/>
          <w:w w:val="105"/>
        </w:rPr>
        <w:t>para</w:t>
      </w:r>
      <w:r>
        <w:rPr>
          <w:color w:val="231F20"/>
          <w:spacing w:val="-18"/>
          <w:w w:val="105"/>
        </w:rPr>
        <w:t> </w:t>
      </w:r>
      <w:r>
        <w:rPr>
          <w:color w:val="231F20"/>
          <w:w w:val="105"/>
        </w:rPr>
        <w:t>esto</w:t>
      </w:r>
      <w:r>
        <w:rPr>
          <w:color w:val="231F20"/>
          <w:spacing w:val="-18"/>
          <w:w w:val="105"/>
        </w:rPr>
        <w:t> </w:t>
      </w:r>
      <w:r>
        <w:rPr>
          <w:color w:val="231F20"/>
          <w:w w:val="105"/>
        </w:rPr>
        <w:t>es</w:t>
      </w:r>
      <w:r>
        <w:rPr>
          <w:color w:val="231F20"/>
          <w:spacing w:val="-18"/>
          <w:w w:val="105"/>
        </w:rPr>
        <w:t> </w:t>
      </w:r>
      <w:r>
        <w:rPr>
          <w:color w:val="231F20"/>
          <w:w w:val="105"/>
        </w:rPr>
        <w:t>conveniente</w:t>
      </w:r>
      <w:r>
        <w:rPr>
          <w:color w:val="231F20"/>
          <w:spacing w:val="-18"/>
          <w:w w:val="105"/>
        </w:rPr>
        <w:t> </w:t>
      </w:r>
      <w:r>
        <w:rPr>
          <w:color w:val="231F20"/>
          <w:w w:val="105"/>
        </w:rPr>
        <w:t>remitirse</w:t>
      </w:r>
      <w:r>
        <w:rPr>
          <w:color w:val="231F20"/>
          <w:spacing w:val="-18"/>
          <w:w w:val="105"/>
        </w:rPr>
        <w:t> </w:t>
      </w:r>
      <w:r>
        <w:rPr>
          <w:color w:val="231F20"/>
          <w:w w:val="105"/>
        </w:rPr>
        <w:t>a</w:t>
      </w:r>
      <w:r>
        <w:rPr>
          <w:color w:val="231F20"/>
          <w:spacing w:val="-18"/>
          <w:w w:val="105"/>
        </w:rPr>
        <w:t> </w:t>
      </w:r>
      <w:r>
        <w:rPr>
          <w:color w:val="231F20"/>
          <w:w w:val="105"/>
        </w:rPr>
        <w:t>Salvador,</w:t>
      </w:r>
      <w:r>
        <w:rPr>
          <w:color w:val="231F20"/>
          <w:spacing w:val="-24"/>
          <w:w w:val="105"/>
        </w:rPr>
        <w:t> </w:t>
      </w:r>
      <w:r>
        <w:rPr>
          <w:color w:val="231F20"/>
          <w:w w:val="105"/>
        </w:rPr>
        <w:t>migrante</w:t>
      </w:r>
      <w:r>
        <w:rPr>
          <w:color w:val="231F20"/>
          <w:spacing w:val="-18"/>
          <w:w w:val="105"/>
        </w:rPr>
        <w:t> </w:t>
      </w:r>
      <w:r>
        <w:rPr>
          <w:color w:val="231F20"/>
          <w:w w:val="105"/>
        </w:rPr>
        <w:t>del</w:t>
      </w:r>
      <w:r>
        <w:rPr>
          <w:color w:val="231F20"/>
          <w:spacing w:val="-18"/>
          <w:w w:val="105"/>
        </w:rPr>
        <w:t> </w:t>
      </w:r>
      <w:r>
        <w:rPr>
          <w:color w:val="231F20"/>
          <w:w w:val="105"/>
        </w:rPr>
        <w:t>territorio donde</w:t>
      </w:r>
      <w:r>
        <w:rPr>
          <w:color w:val="231F20"/>
          <w:spacing w:val="-13"/>
          <w:w w:val="105"/>
        </w:rPr>
        <w:t> </w:t>
      </w:r>
      <w:r>
        <w:rPr>
          <w:color w:val="231F20"/>
          <w:w w:val="105"/>
        </w:rPr>
        <w:t>focalizamos</w:t>
      </w:r>
      <w:r>
        <w:rPr>
          <w:color w:val="231F20"/>
          <w:spacing w:val="-13"/>
          <w:w w:val="105"/>
        </w:rPr>
        <w:t> </w:t>
      </w:r>
      <w:r>
        <w:rPr>
          <w:color w:val="231F20"/>
          <w:w w:val="105"/>
        </w:rPr>
        <w:t>este</w:t>
      </w:r>
      <w:r>
        <w:rPr>
          <w:color w:val="231F20"/>
          <w:spacing w:val="-13"/>
          <w:w w:val="105"/>
        </w:rPr>
        <w:t> </w:t>
      </w:r>
      <w:r>
        <w:rPr>
          <w:color w:val="231F20"/>
          <w:w w:val="105"/>
        </w:rPr>
        <w:t>estudio</w:t>
      </w:r>
      <w:r>
        <w:rPr>
          <w:color w:val="231F20"/>
          <w:spacing w:val="-13"/>
          <w:w w:val="105"/>
        </w:rPr>
        <w:t> </w:t>
      </w:r>
      <w:r>
        <w:rPr>
          <w:color w:val="231F20"/>
          <w:w w:val="105"/>
        </w:rPr>
        <w:t>quien</w:t>
      </w:r>
      <w:r>
        <w:rPr>
          <w:color w:val="231F20"/>
          <w:spacing w:val="-13"/>
          <w:w w:val="105"/>
        </w:rPr>
        <w:t> </w:t>
      </w:r>
      <w:r>
        <w:rPr>
          <w:color w:val="231F20"/>
          <w:w w:val="105"/>
        </w:rPr>
        <w:t>menciona:</w:t>
      </w:r>
    </w:p>
    <w:p>
      <w:pPr>
        <w:pStyle w:val="BodyText"/>
        <w:spacing w:before="7"/>
        <w:rPr>
          <w:sz w:val="18"/>
        </w:rPr>
      </w:pPr>
    </w:p>
    <w:p>
      <w:pPr>
        <w:spacing w:line="254" w:lineRule="auto" w:before="0"/>
        <w:ind w:left="2971" w:right="1721" w:firstLine="0"/>
        <w:jc w:val="both"/>
        <w:rPr>
          <w:sz w:val="18"/>
        </w:rPr>
      </w:pPr>
      <w:r>
        <w:rPr>
          <w:color w:val="231F20"/>
          <w:w w:val="105"/>
          <w:sz w:val="18"/>
        </w:rPr>
        <w:t>La</w:t>
      </w:r>
      <w:r>
        <w:rPr>
          <w:color w:val="231F20"/>
          <w:spacing w:val="-4"/>
          <w:w w:val="105"/>
          <w:sz w:val="18"/>
        </w:rPr>
        <w:t> </w:t>
      </w:r>
      <w:r>
        <w:rPr>
          <w:color w:val="231F20"/>
          <w:w w:val="105"/>
          <w:sz w:val="18"/>
        </w:rPr>
        <w:t>última</w:t>
      </w:r>
      <w:r>
        <w:rPr>
          <w:color w:val="231F20"/>
          <w:spacing w:val="-4"/>
          <w:w w:val="105"/>
          <w:sz w:val="18"/>
        </w:rPr>
        <w:t> </w:t>
      </w:r>
      <w:r>
        <w:rPr>
          <w:color w:val="231F20"/>
          <w:w w:val="105"/>
          <w:sz w:val="18"/>
        </w:rPr>
        <w:t>vez</w:t>
      </w:r>
      <w:r>
        <w:rPr>
          <w:color w:val="231F20"/>
          <w:spacing w:val="-4"/>
          <w:w w:val="105"/>
          <w:sz w:val="18"/>
        </w:rPr>
        <w:t> </w:t>
      </w:r>
      <w:r>
        <w:rPr>
          <w:color w:val="231F20"/>
          <w:w w:val="105"/>
          <w:sz w:val="18"/>
        </w:rPr>
        <w:t>que</w:t>
      </w:r>
      <w:r>
        <w:rPr>
          <w:color w:val="231F20"/>
          <w:spacing w:val="-4"/>
          <w:w w:val="105"/>
          <w:sz w:val="18"/>
        </w:rPr>
        <w:t> </w:t>
      </w:r>
      <w:r>
        <w:rPr>
          <w:color w:val="231F20"/>
          <w:w w:val="105"/>
          <w:sz w:val="18"/>
        </w:rPr>
        <w:t>fui</w:t>
      </w:r>
      <w:r>
        <w:rPr>
          <w:color w:val="231F20"/>
          <w:spacing w:val="-4"/>
          <w:w w:val="105"/>
          <w:sz w:val="18"/>
        </w:rPr>
        <w:t> </w:t>
      </w:r>
      <w:r>
        <w:rPr>
          <w:color w:val="231F20"/>
          <w:w w:val="105"/>
          <w:sz w:val="18"/>
        </w:rPr>
        <w:t>al</w:t>
      </w:r>
      <w:r>
        <w:rPr>
          <w:color w:val="231F20"/>
          <w:spacing w:val="-4"/>
          <w:w w:val="105"/>
          <w:sz w:val="18"/>
        </w:rPr>
        <w:t> </w:t>
      </w:r>
      <w:r>
        <w:rPr>
          <w:color w:val="231F20"/>
          <w:w w:val="105"/>
          <w:sz w:val="18"/>
        </w:rPr>
        <w:t>otro</w:t>
      </w:r>
      <w:r>
        <w:rPr>
          <w:color w:val="231F20"/>
          <w:spacing w:val="-4"/>
          <w:w w:val="105"/>
          <w:sz w:val="18"/>
        </w:rPr>
        <w:t> </w:t>
      </w:r>
      <w:r>
        <w:rPr>
          <w:color w:val="231F20"/>
          <w:w w:val="105"/>
          <w:sz w:val="18"/>
        </w:rPr>
        <w:t>lado</w:t>
      </w:r>
      <w:r>
        <w:rPr>
          <w:color w:val="231F20"/>
          <w:spacing w:val="-4"/>
          <w:w w:val="105"/>
          <w:sz w:val="18"/>
        </w:rPr>
        <w:t> </w:t>
      </w:r>
      <w:r>
        <w:rPr>
          <w:color w:val="231F20"/>
          <w:w w:val="105"/>
          <w:sz w:val="18"/>
        </w:rPr>
        <w:t>estuve</w:t>
      </w:r>
      <w:r>
        <w:rPr>
          <w:color w:val="231F20"/>
          <w:spacing w:val="-4"/>
          <w:w w:val="105"/>
          <w:sz w:val="18"/>
        </w:rPr>
        <w:t> </w:t>
      </w:r>
      <w:r>
        <w:rPr>
          <w:color w:val="231F20"/>
          <w:w w:val="105"/>
          <w:sz w:val="18"/>
        </w:rPr>
        <w:t>muy</w:t>
      </w:r>
      <w:r>
        <w:rPr>
          <w:color w:val="231F20"/>
          <w:spacing w:val="-4"/>
          <w:w w:val="105"/>
          <w:sz w:val="18"/>
        </w:rPr>
        <w:t> </w:t>
      </w:r>
      <w:r>
        <w:rPr>
          <w:color w:val="231F20"/>
          <w:w w:val="105"/>
          <w:sz w:val="18"/>
        </w:rPr>
        <w:t>poquito,</w:t>
      </w:r>
      <w:r>
        <w:rPr>
          <w:color w:val="231F20"/>
          <w:spacing w:val="-8"/>
          <w:w w:val="105"/>
          <w:sz w:val="18"/>
        </w:rPr>
        <w:t> </w:t>
      </w:r>
      <w:r>
        <w:rPr>
          <w:color w:val="231F20"/>
          <w:w w:val="105"/>
          <w:sz w:val="18"/>
        </w:rPr>
        <w:t>seis</w:t>
      </w:r>
      <w:r>
        <w:rPr>
          <w:color w:val="231F20"/>
          <w:spacing w:val="-4"/>
          <w:w w:val="105"/>
          <w:sz w:val="18"/>
        </w:rPr>
        <w:t> </w:t>
      </w:r>
      <w:r>
        <w:rPr>
          <w:color w:val="231F20"/>
          <w:w w:val="105"/>
          <w:sz w:val="18"/>
        </w:rPr>
        <w:t>meses,</w:t>
      </w:r>
      <w:r>
        <w:rPr>
          <w:color w:val="231F20"/>
          <w:spacing w:val="-8"/>
          <w:w w:val="105"/>
          <w:sz w:val="18"/>
        </w:rPr>
        <w:t> </w:t>
      </w:r>
      <w:r>
        <w:rPr>
          <w:color w:val="231F20"/>
          <w:w w:val="105"/>
          <w:sz w:val="18"/>
        </w:rPr>
        <w:t>tra- bajé</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el</w:t>
      </w:r>
      <w:r>
        <w:rPr>
          <w:color w:val="231F20"/>
          <w:spacing w:val="-10"/>
          <w:w w:val="105"/>
          <w:sz w:val="18"/>
        </w:rPr>
        <w:t> </w:t>
      </w:r>
      <w:r>
        <w:rPr>
          <w:color w:val="231F20"/>
          <w:w w:val="105"/>
          <w:sz w:val="18"/>
        </w:rPr>
        <w:t>restaurante</w:t>
      </w:r>
      <w:r>
        <w:rPr>
          <w:color w:val="231F20"/>
          <w:spacing w:val="-10"/>
          <w:w w:val="105"/>
          <w:sz w:val="18"/>
        </w:rPr>
        <w:t> </w:t>
      </w:r>
      <w:r>
        <w:rPr>
          <w:color w:val="231F20"/>
          <w:w w:val="105"/>
          <w:sz w:val="18"/>
        </w:rPr>
        <w:t>y</w:t>
      </w:r>
      <w:r>
        <w:rPr>
          <w:color w:val="231F20"/>
          <w:spacing w:val="-10"/>
          <w:w w:val="105"/>
          <w:sz w:val="18"/>
        </w:rPr>
        <w:t> </w:t>
      </w:r>
      <w:r>
        <w:rPr>
          <w:color w:val="231F20"/>
          <w:w w:val="105"/>
          <w:sz w:val="18"/>
        </w:rPr>
        <w:t>me</w:t>
      </w:r>
      <w:r>
        <w:rPr>
          <w:color w:val="231F20"/>
          <w:spacing w:val="-10"/>
          <w:w w:val="105"/>
          <w:sz w:val="18"/>
        </w:rPr>
        <w:t> </w:t>
      </w:r>
      <w:r>
        <w:rPr>
          <w:color w:val="231F20"/>
          <w:w w:val="105"/>
          <w:sz w:val="18"/>
        </w:rPr>
        <w:t>iba</w:t>
      </w:r>
      <w:r>
        <w:rPr>
          <w:color w:val="231F20"/>
          <w:spacing w:val="-10"/>
          <w:w w:val="105"/>
          <w:sz w:val="18"/>
        </w:rPr>
        <w:t> </w:t>
      </w:r>
      <w:r>
        <w:rPr>
          <w:color w:val="231F20"/>
          <w:w w:val="105"/>
          <w:sz w:val="18"/>
        </w:rPr>
        <w:t>bien,</w:t>
      </w:r>
      <w:r>
        <w:rPr>
          <w:color w:val="231F20"/>
          <w:spacing w:val="-15"/>
          <w:w w:val="105"/>
          <w:sz w:val="18"/>
        </w:rPr>
        <w:t> </w:t>
      </w:r>
      <w:r>
        <w:rPr>
          <w:color w:val="231F20"/>
          <w:w w:val="105"/>
          <w:sz w:val="18"/>
        </w:rPr>
        <w:t>ya</w:t>
      </w:r>
      <w:r>
        <w:rPr>
          <w:color w:val="231F20"/>
          <w:spacing w:val="-10"/>
          <w:w w:val="105"/>
          <w:sz w:val="18"/>
        </w:rPr>
        <w:t> </w:t>
      </w:r>
      <w:r>
        <w:rPr>
          <w:color w:val="231F20"/>
          <w:w w:val="105"/>
          <w:sz w:val="18"/>
        </w:rPr>
        <w:t>tiene</w:t>
      </w:r>
      <w:r>
        <w:rPr>
          <w:color w:val="231F20"/>
          <w:spacing w:val="-10"/>
          <w:w w:val="105"/>
          <w:sz w:val="18"/>
        </w:rPr>
        <w:t> </w:t>
      </w:r>
      <w:r>
        <w:rPr>
          <w:color w:val="231F20"/>
          <w:w w:val="105"/>
          <w:sz w:val="18"/>
        </w:rPr>
        <w:t>casi</w:t>
      </w:r>
      <w:r>
        <w:rPr>
          <w:color w:val="231F20"/>
          <w:spacing w:val="-10"/>
          <w:w w:val="105"/>
          <w:sz w:val="18"/>
        </w:rPr>
        <w:t> </w:t>
      </w:r>
      <w:r>
        <w:rPr>
          <w:color w:val="231F20"/>
          <w:w w:val="105"/>
          <w:sz w:val="18"/>
        </w:rPr>
        <w:t>dos</w:t>
      </w:r>
      <w:r>
        <w:rPr>
          <w:color w:val="231F20"/>
          <w:spacing w:val="-10"/>
          <w:w w:val="105"/>
          <w:sz w:val="18"/>
        </w:rPr>
        <w:t> </w:t>
      </w:r>
      <w:r>
        <w:rPr>
          <w:color w:val="231F20"/>
          <w:w w:val="105"/>
          <w:sz w:val="18"/>
        </w:rPr>
        <w:t>años</w:t>
      </w:r>
      <w:r>
        <w:rPr>
          <w:color w:val="231F20"/>
          <w:spacing w:val="-10"/>
          <w:w w:val="105"/>
          <w:sz w:val="18"/>
        </w:rPr>
        <w:t> </w:t>
      </w:r>
      <w:r>
        <w:rPr>
          <w:color w:val="231F20"/>
          <w:w w:val="105"/>
          <w:sz w:val="18"/>
        </w:rPr>
        <w:t>que</w:t>
      </w:r>
      <w:r>
        <w:rPr>
          <w:color w:val="231F20"/>
          <w:spacing w:val="-10"/>
          <w:w w:val="105"/>
          <w:sz w:val="18"/>
        </w:rPr>
        <w:t> </w:t>
      </w:r>
      <w:r>
        <w:rPr>
          <w:color w:val="231F20"/>
          <w:w w:val="105"/>
          <w:sz w:val="18"/>
        </w:rPr>
        <w:t>no</w:t>
      </w:r>
      <w:r>
        <w:rPr>
          <w:color w:val="231F20"/>
          <w:spacing w:val="-10"/>
          <w:w w:val="105"/>
          <w:sz w:val="18"/>
        </w:rPr>
        <w:t> </w:t>
      </w:r>
      <w:r>
        <w:rPr>
          <w:color w:val="231F20"/>
          <w:w w:val="105"/>
          <w:sz w:val="18"/>
        </w:rPr>
        <w:t>voy para</w:t>
      </w:r>
      <w:r>
        <w:rPr>
          <w:color w:val="231F20"/>
          <w:spacing w:val="-21"/>
          <w:w w:val="105"/>
          <w:sz w:val="18"/>
        </w:rPr>
        <w:t> </w:t>
      </w:r>
      <w:r>
        <w:rPr>
          <w:color w:val="231F20"/>
          <w:w w:val="105"/>
          <w:sz w:val="18"/>
        </w:rPr>
        <w:t>allá,</w:t>
      </w:r>
      <w:r>
        <w:rPr>
          <w:color w:val="231F20"/>
          <w:spacing w:val="-25"/>
          <w:w w:val="105"/>
          <w:sz w:val="18"/>
        </w:rPr>
        <w:t> </w:t>
      </w:r>
      <w:r>
        <w:rPr>
          <w:color w:val="231F20"/>
          <w:w w:val="105"/>
          <w:sz w:val="18"/>
        </w:rPr>
        <w:t>porque</w:t>
      </w:r>
      <w:r>
        <w:rPr>
          <w:color w:val="231F20"/>
          <w:spacing w:val="-21"/>
          <w:w w:val="105"/>
          <w:sz w:val="18"/>
        </w:rPr>
        <w:t> </w:t>
      </w:r>
      <w:r>
        <w:rPr>
          <w:color w:val="231F20"/>
          <w:w w:val="105"/>
          <w:sz w:val="18"/>
        </w:rPr>
        <w:t>ya</w:t>
      </w:r>
      <w:r>
        <w:rPr>
          <w:color w:val="231F20"/>
          <w:spacing w:val="-21"/>
          <w:w w:val="105"/>
          <w:sz w:val="18"/>
        </w:rPr>
        <w:t> </w:t>
      </w:r>
      <w:r>
        <w:rPr>
          <w:color w:val="231F20"/>
          <w:w w:val="105"/>
          <w:sz w:val="18"/>
        </w:rPr>
        <w:t>se</w:t>
      </w:r>
      <w:r>
        <w:rPr>
          <w:color w:val="231F20"/>
          <w:spacing w:val="-21"/>
          <w:w w:val="105"/>
          <w:sz w:val="18"/>
        </w:rPr>
        <w:t> </w:t>
      </w:r>
      <w:r>
        <w:rPr>
          <w:color w:val="231F20"/>
          <w:w w:val="105"/>
          <w:sz w:val="18"/>
        </w:rPr>
        <w:t>puso</w:t>
      </w:r>
      <w:r>
        <w:rPr>
          <w:color w:val="231F20"/>
          <w:spacing w:val="-21"/>
          <w:w w:val="105"/>
          <w:sz w:val="18"/>
        </w:rPr>
        <w:t> </w:t>
      </w:r>
      <w:r>
        <w:rPr>
          <w:color w:val="231F20"/>
          <w:w w:val="105"/>
          <w:sz w:val="18"/>
        </w:rPr>
        <w:t>difícil</w:t>
      </w:r>
      <w:r>
        <w:rPr>
          <w:color w:val="231F20"/>
          <w:spacing w:val="-21"/>
          <w:w w:val="105"/>
          <w:sz w:val="18"/>
        </w:rPr>
        <w:t> </w:t>
      </w:r>
      <w:r>
        <w:rPr>
          <w:color w:val="231F20"/>
          <w:w w:val="105"/>
          <w:sz w:val="18"/>
        </w:rPr>
        <w:t>la</w:t>
      </w:r>
      <w:r>
        <w:rPr>
          <w:color w:val="231F20"/>
          <w:spacing w:val="-21"/>
          <w:w w:val="105"/>
          <w:sz w:val="18"/>
        </w:rPr>
        <w:t> </w:t>
      </w:r>
      <w:r>
        <w:rPr>
          <w:color w:val="231F20"/>
          <w:w w:val="105"/>
          <w:sz w:val="18"/>
        </w:rPr>
        <w:t>cosa,</w:t>
      </w:r>
      <w:r>
        <w:rPr>
          <w:color w:val="231F20"/>
          <w:spacing w:val="-25"/>
          <w:w w:val="105"/>
          <w:sz w:val="18"/>
        </w:rPr>
        <w:t> </w:t>
      </w:r>
      <w:r>
        <w:rPr>
          <w:color w:val="231F20"/>
          <w:w w:val="105"/>
          <w:sz w:val="18"/>
        </w:rPr>
        <w:t>ya</w:t>
      </w:r>
      <w:r>
        <w:rPr>
          <w:color w:val="231F20"/>
          <w:spacing w:val="-21"/>
          <w:w w:val="105"/>
          <w:sz w:val="18"/>
        </w:rPr>
        <w:t> </w:t>
      </w:r>
      <w:r>
        <w:rPr>
          <w:color w:val="231F20"/>
          <w:w w:val="105"/>
          <w:sz w:val="18"/>
        </w:rPr>
        <w:t>no</w:t>
      </w:r>
      <w:r>
        <w:rPr>
          <w:color w:val="231F20"/>
          <w:spacing w:val="-21"/>
          <w:w w:val="105"/>
          <w:sz w:val="18"/>
        </w:rPr>
        <w:t> </w:t>
      </w:r>
      <w:r>
        <w:rPr>
          <w:color w:val="231F20"/>
          <w:w w:val="105"/>
          <w:sz w:val="18"/>
        </w:rPr>
        <w:t>hay</w:t>
      </w:r>
      <w:r>
        <w:rPr>
          <w:color w:val="231F20"/>
          <w:spacing w:val="-21"/>
          <w:w w:val="105"/>
          <w:sz w:val="18"/>
        </w:rPr>
        <w:t> </w:t>
      </w:r>
      <w:r>
        <w:rPr>
          <w:color w:val="231F20"/>
          <w:w w:val="105"/>
          <w:sz w:val="18"/>
        </w:rPr>
        <w:t>trabajo</w:t>
      </w:r>
      <w:r>
        <w:rPr>
          <w:color w:val="231F20"/>
          <w:spacing w:val="-21"/>
          <w:w w:val="105"/>
          <w:sz w:val="18"/>
        </w:rPr>
        <w:t> </w:t>
      </w:r>
      <w:r>
        <w:rPr>
          <w:color w:val="231F20"/>
          <w:w w:val="105"/>
          <w:sz w:val="18"/>
        </w:rPr>
        <w:t>como</w:t>
      </w:r>
      <w:r>
        <w:rPr>
          <w:color w:val="231F20"/>
          <w:spacing w:val="-21"/>
          <w:w w:val="105"/>
          <w:sz w:val="18"/>
        </w:rPr>
        <w:t> </w:t>
      </w:r>
      <w:r>
        <w:rPr>
          <w:color w:val="231F20"/>
          <w:w w:val="105"/>
          <w:sz w:val="18"/>
        </w:rPr>
        <w:t>antes porque</w:t>
      </w:r>
      <w:r>
        <w:rPr>
          <w:color w:val="231F20"/>
          <w:spacing w:val="-25"/>
          <w:w w:val="105"/>
          <w:sz w:val="18"/>
        </w:rPr>
        <w:t> </w:t>
      </w:r>
      <w:r>
        <w:rPr>
          <w:color w:val="231F20"/>
          <w:w w:val="105"/>
          <w:sz w:val="18"/>
        </w:rPr>
        <w:t>la</w:t>
      </w:r>
      <w:r>
        <w:rPr>
          <w:color w:val="231F20"/>
          <w:spacing w:val="-25"/>
          <w:w w:val="105"/>
          <w:sz w:val="18"/>
        </w:rPr>
        <w:t> </w:t>
      </w:r>
      <w:r>
        <w:rPr>
          <w:color w:val="231F20"/>
          <w:w w:val="105"/>
          <w:sz w:val="18"/>
        </w:rPr>
        <w:t>leyes</w:t>
      </w:r>
      <w:r>
        <w:rPr>
          <w:color w:val="231F20"/>
          <w:spacing w:val="-25"/>
          <w:w w:val="105"/>
          <w:sz w:val="18"/>
        </w:rPr>
        <w:t> </w:t>
      </w:r>
      <w:r>
        <w:rPr>
          <w:color w:val="231F20"/>
          <w:w w:val="105"/>
          <w:sz w:val="18"/>
        </w:rPr>
        <w:t>se</w:t>
      </w:r>
      <w:r>
        <w:rPr>
          <w:color w:val="231F20"/>
          <w:spacing w:val="-25"/>
          <w:w w:val="105"/>
          <w:sz w:val="18"/>
        </w:rPr>
        <w:t> </w:t>
      </w:r>
      <w:r>
        <w:rPr>
          <w:color w:val="231F20"/>
          <w:w w:val="105"/>
          <w:sz w:val="18"/>
        </w:rPr>
        <w:t>pusieron</w:t>
      </w:r>
      <w:r>
        <w:rPr>
          <w:color w:val="231F20"/>
          <w:spacing w:val="-25"/>
          <w:w w:val="105"/>
          <w:sz w:val="18"/>
        </w:rPr>
        <w:t> </w:t>
      </w:r>
      <w:r>
        <w:rPr>
          <w:color w:val="231F20"/>
          <w:w w:val="105"/>
          <w:sz w:val="18"/>
        </w:rPr>
        <w:t>duras</w:t>
      </w:r>
      <w:r>
        <w:rPr>
          <w:color w:val="231F20"/>
          <w:spacing w:val="-25"/>
          <w:w w:val="105"/>
          <w:sz w:val="18"/>
        </w:rPr>
        <w:t> </w:t>
      </w:r>
      <w:r>
        <w:rPr>
          <w:color w:val="231F20"/>
          <w:w w:val="105"/>
          <w:sz w:val="18"/>
        </w:rPr>
        <w:t>con</w:t>
      </w:r>
      <w:r>
        <w:rPr>
          <w:color w:val="231F20"/>
          <w:spacing w:val="-25"/>
          <w:w w:val="105"/>
          <w:sz w:val="18"/>
        </w:rPr>
        <w:t> </w:t>
      </w:r>
      <w:r>
        <w:rPr>
          <w:color w:val="231F20"/>
          <w:w w:val="105"/>
          <w:sz w:val="18"/>
        </w:rPr>
        <w:t>nosotros</w:t>
      </w:r>
      <w:r>
        <w:rPr>
          <w:color w:val="231F20"/>
          <w:spacing w:val="-25"/>
          <w:w w:val="105"/>
          <w:sz w:val="18"/>
        </w:rPr>
        <w:t> </w:t>
      </w:r>
      <w:r>
        <w:rPr>
          <w:color w:val="231F20"/>
          <w:w w:val="105"/>
          <w:sz w:val="18"/>
        </w:rPr>
        <w:t>que</w:t>
      </w:r>
      <w:r>
        <w:rPr>
          <w:color w:val="231F20"/>
          <w:spacing w:val="-25"/>
          <w:w w:val="105"/>
          <w:sz w:val="18"/>
        </w:rPr>
        <w:t> </w:t>
      </w:r>
      <w:r>
        <w:rPr>
          <w:color w:val="231F20"/>
          <w:w w:val="105"/>
          <w:sz w:val="18"/>
        </w:rPr>
        <w:t>vamos</w:t>
      </w:r>
      <w:r>
        <w:rPr>
          <w:color w:val="231F20"/>
          <w:spacing w:val="-25"/>
          <w:w w:val="105"/>
          <w:sz w:val="18"/>
        </w:rPr>
        <w:t> </w:t>
      </w:r>
      <w:r>
        <w:rPr>
          <w:color w:val="231F20"/>
          <w:w w:val="105"/>
          <w:sz w:val="18"/>
        </w:rPr>
        <w:t>a</w:t>
      </w:r>
      <w:r>
        <w:rPr>
          <w:color w:val="231F20"/>
          <w:spacing w:val="-25"/>
          <w:w w:val="105"/>
          <w:sz w:val="18"/>
        </w:rPr>
        <w:t> </w:t>
      </w:r>
      <w:r>
        <w:rPr>
          <w:color w:val="231F20"/>
          <w:w w:val="105"/>
          <w:sz w:val="18"/>
        </w:rPr>
        <w:t>trabajar,</w:t>
      </w:r>
      <w:r>
        <w:rPr>
          <w:color w:val="231F20"/>
          <w:spacing w:val="-30"/>
          <w:w w:val="105"/>
          <w:sz w:val="18"/>
        </w:rPr>
        <w:t> </w:t>
      </w:r>
      <w:r>
        <w:rPr>
          <w:color w:val="231F20"/>
          <w:w w:val="105"/>
          <w:sz w:val="18"/>
        </w:rPr>
        <w:t>ya se</w:t>
      </w:r>
      <w:r>
        <w:rPr>
          <w:color w:val="231F20"/>
          <w:spacing w:val="-13"/>
          <w:w w:val="105"/>
          <w:sz w:val="18"/>
        </w:rPr>
        <w:t> </w:t>
      </w:r>
      <w:r>
        <w:rPr>
          <w:color w:val="231F20"/>
          <w:w w:val="105"/>
          <w:sz w:val="18"/>
        </w:rPr>
        <w:t>tiene</w:t>
      </w:r>
      <w:r>
        <w:rPr>
          <w:color w:val="231F20"/>
          <w:spacing w:val="-13"/>
          <w:w w:val="105"/>
          <w:sz w:val="18"/>
        </w:rPr>
        <w:t> </w:t>
      </w:r>
      <w:r>
        <w:rPr>
          <w:color w:val="231F20"/>
          <w:w w:val="105"/>
          <w:sz w:val="18"/>
        </w:rPr>
        <w:t>más</w:t>
      </w:r>
      <w:r>
        <w:rPr>
          <w:color w:val="231F20"/>
          <w:spacing w:val="-13"/>
          <w:w w:val="105"/>
          <w:sz w:val="18"/>
        </w:rPr>
        <w:t> </w:t>
      </w:r>
      <w:r>
        <w:rPr>
          <w:color w:val="231F20"/>
          <w:w w:val="105"/>
          <w:sz w:val="18"/>
        </w:rPr>
        <w:t>vigilancia</w:t>
      </w:r>
      <w:r>
        <w:rPr>
          <w:color w:val="231F20"/>
          <w:spacing w:val="-13"/>
          <w:w w:val="105"/>
          <w:sz w:val="18"/>
        </w:rPr>
        <w:t> </w:t>
      </w:r>
      <w:r>
        <w:rPr>
          <w:color w:val="231F20"/>
          <w:w w:val="105"/>
          <w:sz w:val="18"/>
        </w:rPr>
        <w:t>en</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línea</w:t>
      </w:r>
      <w:r>
        <w:rPr>
          <w:color w:val="231F20"/>
          <w:spacing w:val="-13"/>
          <w:w w:val="105"/>
          <w:sz w:val="18"/>
        </w:rPr>
        <w:t> </w:t>
      </w:r>
      <w:r>
        <w:rPr>
          <w:color w:val="231F20"/>
          <w:w w:val="105"/>
          <w:sz w:val="18"/>
        </w:rPr>
        <w:t>hay</w:t>
      </w:r>
      <w:r>
        <w:rPr>
          <w:color w:val="231F20"/>
          <w:spacing w:val="-13"/>
          <w:w w:val="105"/>
          <w:sz w:val="18"/>
        </w:rPr>
        <w:t> </w:t>
      </w:r>
      <w:r>
        <w:rPr>
          <w:color w:val="231F20"/>
          <w:w w:val="105"/>
          <w:sz w:val="18"/>
        </w:rPr>
        <w:t>mucha</w:t>
      </w:r>
      <w:r>
        <w:rPr>
          <w:color w:val="231F20"/>
          <w:spacing w:val="-13"/>
          <w:w w:val="105"/>
          <w:sz w:val="18"/>
        </w:rPr>
        <w:t> </w:t>
      </w:r>
      <w:r>
        <w:rPr>
          <w:color w:val="231F20"/>
          <w:w w:val="105"/>
          <w:sz w:val="18"/>
        </w:rPr>
        <w:t>migra</w:t>
      </w:r>
      <w:r>
        <w:rPr>
          <w:color w:val="231F20"/>
          <w:spacing w:val="-13"/>
          <w:w w:val="105"/>
          <w:sz w:val="18"/>
        </w:rPr>
        <w:t> </w:t>
      </w:r>
      <w:r>
        <w:rPr>
          <w:color w:val="231F20"/>
          <w:w w:val="105"/>
          <w:sz w:val="18"/>
        </w:rPr>
        <w:t>y</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te</w:t>
      </w:r>
      <w:r>
        <w:rPr>
          <w:color w:val="231F20"/>
          <w:spacing w:val="-13"/>
          <w:w w:val="105"/>
          <w:sz w:val="18"/>
        </w:rPr>
        <w:t> </w:t>
      </w:r>
      <w:r>
        <w:rPr>
          <w:color w:val="231F20"/>
          <w:w w:val="105"/>
          <w:sz w:val="18"/>
        </w:rPr>
        <w:t>dejan</w:t>
      </w:r>
      <w:r>
        <w:rPr>
          <w:color w:val="231F20"/>
          <w:spacing w:val="-13"/>
          <w:w w:val="105"/>
          <w:sz w:val="18"/>
        </w:rPr>
        <w:t> </w:t>
      </w:r>
      <w:r>
        <w:rPr>
          <w:color w:val="231F20"/>
          <w:w w:val="105"/>
          <w:sz w:val="18"/>
        </w:rPr>
        <w:t>pasar y</w:t>
      </w:r>
      <w:r>
        <w:rPr>
          <w:color w:val="231F20"/>
          <w:spacing w:val="-6"/>
          <w:w w:val="105"/>
          <w:sz w:val="18"/>
        </w:rPr>
        <w:t> </w:t>
      </w:r>
      <w:r>
        <w:rPr>
          <w:color w:val="231F20"/>
          <w:w w:val="105"/>
          <w:sz w:val="18"/>
        </w:rPr>
        <w:t>todo</w:t>
      </w:r>
      <w:r>
        <w:rPr>
          <w:color w:val="231F20"/>
          <w:spacing w:val="-6"/>
          <w:w w:val="105"/>
          <w:sz w:val="18"/>
        </w:rPr>
        <w:t> </w:t>
      </w:r>
      <w:r>
        <w:rPr>
          <w:color w:val="231F20"/>
          <w:w w:val="105"/>
          <w:sz w:val="18"/>
        </w:rPr>
        <w:t>está</w:t>
      </w:r>
      <w:r>
        <w:rPr>
          <w:color w:val="231F20"/>
          <w:spacing w:val="-6"/>
          <w:w w:val="105"/>
          <w:sz w:val="18"/>
        </w:rPr>
        <w:t> </w:t>
      </w:r>
      <w:r>
        <w:rPr>
          <w:color w:val="231F20"/>
          <w:w w:val="105"/>
          <w:sz w:val="18"/>
        </w:rPr>
        <w:t>más</w:t>
      </w:r>
      <w:r>
        <w:rPr>
          <w:color w:val="231F20"/>
          <w:spacing w:val="-6"/>
          <w:w w:val="105"/>
          <w:sz w:val="18"/>
        </w:rPr>
        <w:t> </w:t>
      </w:r>
      <w:r>
        <w:rPr>
          <w:color w:val="231F20"/>
          <w:w w:val="105"/>
          <w:sz w:val="18"/>
        </w:rPr>
        <w:t>caro,</w:t>
      </w:r>
      <w:r>
        <w:rPr>
          <w:color w:val="231F20"/>
          <w:spacing w:val="-10"/>
          <w:w w:val="105"/>
          <w:sz w:val="18"/>
        </w:rPr>
        <w:t> </w:t>
      </w:r>
      <w:r>
        <w:rPr>
          <w:color w:val="231F20"/>
          <w:w w:val="105"/>
          <w:sz w:val="18"/>
        </w:rPr>
        <w:t>sale</w:t>
      </w:r>
      <w:r>
        <w:rPr>
          <w:color w:val="231F20"/>
          <w:spacing w:val="-6"/>
          <w:w w:val="105"/>
          <w:sz w:val="18"/>
        </w:rPr>
        <w:t> </w:t>
      </w:r>
      <w:r>
        <w:rPr>
          <w:color w:val="231F20"/>
          <w:w w:val="105"/>
          <w:sz w:val="18"/>
        </w:rPr>
        <w:t>caro</w:t>
      </w:r>
      <w:r>
        <w:rPr>
          <w:color w:val="231F20"/>
          <w:spacing w:val="-6"/>
          <w:w w:val="105"/>
          <w:sz w:val="18"/>
        </w:rPr>
        <w:t> </w:t>
      </w:r>
      <w:r>
        <w:rPr>
          <w:color w:val="231F20"/>
          <w:w w:val="105"/>
          <w:sz w:val="18"/>
        </w:rPr>
        <w:t>para</w:t>
      </w:r>
      <w:r>
        <w:rPr>
          <w:color w:val="231F20"/>
          <w:spacing w:val="-6"/>
          <w:w w:val="105"/>
          <w:sz w:val="18"/>
        </w:rPr>
        <w:t> </w:t>
      </w:r>
      <w:r>
        <w:rPr>
          <w:color w:val="231F20"/>
          <w:w w:val="105"/>
          <w:sz w:val="18"/>
        </w:rPr>
        <w:t>irse</w:t>
      </w:r>
      <w:r>
        <w:rPr>
          <w:color w:val="231F20"/>
          <w:spacing w:val="-6"/>
          <w:w w:val="105"/>
          <w:sz w:val="18"/>
        </w:rPr>
        <w:t> </w:t>
      </w:r>
      <w:r>
        <w:rPr>
          <w:color w:val="231F20"/>
          <w:w w:val="105"/>
          <w:sz w:val="18"/>
        </w:rPr>
        <w:t>y</w:t>
      </w:r>
      <w:r>
        <w:rPr>
          <w:color w:val="231F20"/>
          <w:spacing w:val="-6"/>
          <w:w w:val="105"/>
          <w:sz w:val="18"/>
        </w:rPr>
        <w:t> </w:t>
      </w:r>
      <w:r>
        <w:rPr>
          <w:color w:val="231F20"/>
          <w:w w:val="105"/>
          <w:sz w:val="18"/>
        </w:rPr>
        <w:t>si</w:t>
      </w:r>
      <w:r>
        <w:rPr>
          <w:color w:val="231F20"/>
          <w:spacing w:val="-6"/>
          <w:w w:val="105"/>
          <w:sz w:val="18"/>
        </w:rPr>
        <w:t> </w:t>
      </w:r>
      <w:r>
        <w:rPr>
          <w:color w:val="231F20"/>
          <w:w w:val="105"/>
          <w:sz w:val="18"/>
        </w:rPr>
        <w:t>no</w:t>
      </w:r>
      <w:r>
        <w:rPr>
          <w:color w:val="231F20"/>
          <w:spacing w:val="-6"/>
          <w:w w:val="105"/>
          <w:sz w:val="18"/>
        </w:rPr>
        <w:t> </w:t>
      </w:r>
      <w:r>
        <w:rPr>
          <w:color w:val="231F20"/>
          <w:w w:val="105"/>
          <w:sz w:val="18"/>
        </w:rPr>
        <w:t>encuentras</w:t>
      </w:r>
      <w:r>
        <w:rPr>
          <w:color w:val="231F20"/>
          <w:spacing w:val="-6"/>
          <w:w w:val="105"/>
          <w:sz w:val="18"/>
        </w:rPr>
        <w:t> </w:t>
      </w:r>
      <w:r>
        <w:rPr>
          <w:color w:val="231F20"/>
          <w:w w:val="105"/>
          <w:sz w:val="18"/>
        </w:rPr>
        <w:t>trabajo</w:t>
      </w:r>
      <w:r>
        <w:rPr>
          <w:color w:val="231F20"/>
          <w:spacing w:val="-6"/>
          <w:w w:val="105"/>
          <w:sz w:val="18"/>
        </w:rPr>
        <w:t> </w:t>
      </w:r>
      <w:r>
        <w:rPr>
          <w:color w:val="231F20"/>
          <w:w w:val="105"/>
          <w:sz w:val="18"/>
        </w:rPr>
        <w:t>ya no tienes para pagar lo que pides para el cruce, yo la última vez que fui</w:t>
      </w:r>
      <w:r>
        <w:rPr>
          <w:color w:val="231F20"/>
          <w:spacing w:val="-4"/>
          <w:w w:val="105"/>
          <w:sz w:val="18"/>
        </w:rPr>
        <w:t> </w:t>
      </w:r>
      <w:r>
        <w:rPr>
          <w:color w:val="231F20"/>
          <w:w w:val="105"/>
          <w:sz w:val="18"/>
        </w:rPr>
        <w:t>para</w:t>
      </w:r>
      <w:r>
        <w:rPr>
          <w:color w:val="231F20"/>
          <w:spacing w:val="-4"/>
          <w:w w:val="105"/>
          <w:sz w:val="18"/>
        </w:rPr>
        <w:t> </w:t>
      </w:r>
      <w:r>
        <w:rPr>
          <w:color w:val="231F20"/>
          <w:w w:val="105"/>
          <w:sz w:val="18"/>
        </w:rPr>
        <w:t>allá</w:t>
      </w:r>
      <w:r>
        <w:rPr>
          <w:color w:val="231F20"/>
          <w:spacing w:val="-4"/>
          <w:w w:val="105"/>
          <w:sz w:val="18"/>
        </w:rPr>
        <w:t> </w:t>
      </w:r>
      <w:r>
        <w:rPr>
          <w:color w:val="231F20"/>
          <w:w w:val="105"/>
          <w:sz w:val="18"/>
        </w:rPr>
        <w:t>me</w:t>
      </w:r>
      <w:r>
        <w:rPr>
          <w:color w:val="231F20"/>
          <w:spacing w:val="-4"/>
          <w:w w:val="105"/>
          <w:sz w:val="18"/>
        </w:rPr>
        <w:t> </w:t>
      </w:r>
      <w:r>
        <w:rPr>
          <w:color w:val="231F20"/>
          <w:w w:val="105"/>
          <w:sz w:val="18"/>
        </w:rPr>
        <w:t>fue</w:t>
      </w:r>
      <w:r>
        <w:rPr>
          <w:color w:val="231F20"/>
          <w:spacing w:val="-4"/>
          <w:w w:val="105"/>
          <w:sz w:val="18"/>
        </w:rPr>
        <w:t> </w:t>
      </w:r>
      <w:r>
        <w:rPr>
          <w:color w:val="231F20"/>
          <w:w w:val="105"/>
          <w:sz w:val="18"/>
        </w:rPr>
        <w:t>mal</w:t>
      </w:r>
      <w:r>
        <w:rPr>
          <w:color w:val="231F20"/>
          <w:spacing w:val="-4"/>
          <w:w w:val="105"/>
          <w:sz w:val="18"/>
        </w:rPr>
        <w:t> </w:t>
      </w:r>
      <w:r>
        <w:rPr>
          <w:color w:val="231F20"/>
          <w:w w:val="105"/>
          <w:sz w:val="18"/>
        </w:rPr>
        <w:t>y</w:t>
      </w:r>
      <w:r>
        <w:rPr>
          <w:color w:val="231F20"/>
          <w:spacing w:val="-4"/>
          <w:w w:val="105"/>
          <w:sz w:val="18"/>
        </w:rPr>
        <w:t> </w:t>
      </w:r>
      <w:r>
        <w:rPr>
          <w:color w:val="231F20"/>
          <w:w w:val="105"/>
          <w:sz w:val="18"/>
        </w:rPr>
        <w:t>me</w:t>
      </w:r>
      <w:r>
        <w:rPr>
          <w:color w:val="231F20"/>
          <w:spacing w:val="-4"/>
          <w:w w:val="105"/>
          <w:sz w:val="18"/>
        </w:rPr>
        <w:t> </w:t>
      </w:r>
      <w:r>
        <w:rPr>
          <w:color w:val="231F20"/>
          <w:w w:val="105"/>
          <w:sz w:val="18"/>
        </w:rPr>
        <w:t>tuve</w:t>
      </w:r>
      <w:r>
        <w:rPr>
          <w:color w:val="231F20"/>
          <w:spacing w:val="-4"/>
          <w:w w:val="105"/>
          <w:sz w:val="18"/>
        </w:rPr>
        <w:t> </w:t>
      </w:r>
      <w:r>
        <w:rPr>
          <w:color w:val="231F20"/>
          <w:w w:val="105"/>
          <w:sz w:val="18"/>
        </w:rPr>
        <w:t>que</w:t>
      </w:r>
      <w:r>
        <w:rPr>
          <w:color w:val="231F20"/>
          <w:spacing w:val="-4"/>
          <w:w w:val="105"/>
          <w:sz w:val="18"/>
        </w:rPr>
        <w:t> </w:t>
      </w:r>
      <w:r>
        <w:rPr>
          <w:color w:val="231F20"/>
          <w:w w:val="105"/>
          <w:sz w:val="18"/>
        </w:rPr>
        <w:t>regresar</w:t>
      </w:r>
      <w:r>
        <w:rPr>
          <w:color w:val="231F20"/>
          <w:spacing w:val="-4"/>
          <w:w w:val="105"/>
          <w:sz w:val="18"/>
        </w:rPr>
        <w:t> </w:t>
      </w:r>
      <w:r>
        <w:rPr>
          <w:color w:val="231F20"/>
          <w:w w:val="105"/>
          <w:sz w:val="18"/>
        </w:rPr>
        <w:t>porque</w:t>
      </w:r>
      <w:r>
        <w:rPr>
          <w:color w:val="231F20"/>
          <w:spacing w:val="-4"/>
          <w:w w:val="105"/>
          <w:sz w:val="18"/>
        </w:rPr>
        <w:t> </w:t>
      </w:r>
      <w:r>
        <w:rPr>
          <w:color w:val="231F20"/>
          <w:w w:val="105"/>
          <w:sz w:val="18"/>
        </w:rPr>
        <w:t>no</w:t>
      </w:r>
      <w:r>
        <w:rPr>
          <w:color w:val="231F20"/>
          <w:spacing w:val="-4"/>
          <w:w w:val="105"/>
          <w:sz w:val="18"/>
        </w:rPr>
        <w:t> </w:t>
      </w:r>
      <w:r>
        <w:rPr>
          <w:color w:val="231F20"/>
          <w:w w:val="105"/>
          <w:sz w:val="18"/>
        </w:rPr>
        <w:t>hay</w:t>
      </w:r>
      <w:r>
        <w:rPr>
          <w:color w:val="231F20"/>
          <w:spacing w:val="-4"/>
          <w:w w:val="105"/>
          <w:sz w:val="18"/>
        </w:rPr>
        <w:t> </w:t>
      </w:r>
      <w:r>
        <w:rPr>
          <w:color w:val="231F20"/>
          <w:w w:val="105"/>
          <w:sz w:val="18"/>
        </w:rPr>
        <w:t>trabajo (Salvador/29/2).</w:t>
      </w:r>
    </w:p>
    <w:p>
      <w:pPr>
        <w:pStyle w:val="BodyText"/>
        <w:spacing w:before="5"/>
      </w:pPr>
    </w:p>
    <w:p>
      <w:pPr>
        <w:pStyle w:val="BodyText"/>
        <w:spacing w:line="261" w:lineRule="auto"/>
        <w:ind w:left="1837" w:right="1716"/>
        <w:jc w:val="right"/>
      </w:pPr>
      <w:r>
        <w:rPr>
          <w:color w:val="231F20"/>
          <w:spacing w:val="-5"/>
          <w:w w:val="105"/>
        </w:rPr>
        <w:t>También </w:t>
      </w:r>
      <w:r>
        <w:rPr>
          <w:color w:val="231F20"/>
          <w:w w:val="105"/>
        </w:rPr>
        <w:t>y de </w:t>
      </w:r>
      <w:r>
        <w:rPr>
          <w:color w:val="231F20"/>
          <w:spacing w:val="-3"/>
          <w:w w:val="105"/>
        </w:rPr>
        <w:t>acuerdo </w:t>
      </w:r>
      <w:r>
        <w:rPr>
          <w:color w:val="231F20"/>
          <w:w w:val="105"/>
        </w:rPr>
        <w:t>con las </w:t>
      </w:r>
      <w:r>
        <w:rPr>
          <w:color w:val="231F20"/>
          <w:spacing w:val="-3"/>
          <w:w w:val="105"/>
        </w:rPr>
        <w:t>entrevistas realizadas </w:t>
      </w:r>
      <w:r>
        <w:rPr>
          <w:color w:val="231F20"/>
          <w:w w:val="105"/>
        </w:rPr>
        <w:t>uno de</w:t>
      </w:r>
      <w:r>
        <w:rPr>
          <w:color w:val="231F20"/>
          <w:spacing w:val="-18"/>
          <w:w w:val="105"/>
        </w:rPr>
        <w:t> </w:t>
      </w:r>
      <w:r>
        <w:rPr>
          <w:color w:val="231F20"/>
          <w:w w:val="105"/>
        </w:rPr>
        <w:t>los</w:t>
      </w:r>
      <w:r>
        <w:rPr>
          <w:color w:val="231F20"/>
          <w:spacing w:val="-4"/>
          <w:w w:val="105"/>
        </w:rPr>
        <w:t> </w:t>
      </w:r>
      <w:r>
        <w:rPr>
          <w:color w:val="231F20"/>
          <w:spacing w:val="-3"/>
          <w:w w:val="105"/>
        </w:rPr>
        <w:t>factores</w:t>
      </w:r>
      <w:r>
        <w:rPr>
          <w:color w:val="231F20"/>
          <w:spacing w:val="-2"/>
          <w:w w:val="96"/>
        </w:rPr>
        <w:t> </w:t>
      </w:r>
      <w:r>
        <w:rPr>
          <w:color w:val="231F20"/>
          <w:w w:val="105"/>
        </w:rPr>
        <w:t>del</w:t>
      </w:r>
      <w:r>
        <w:rPr>
          <w:color w:val="231F20"/>
          <w:spacing w:val="-19"/>
          <w:w w:val="105"/>
        </w:rPr>
        <w:t> </w:t>
      </w:r>
      <w:r>
        <w:rPr>
          <w:color w:val="231F20"/>
          <w:w w:val="105"/>
        </w:rPr>
        <w:t>por</w:t>
      </w:r>
      <w:r>
        <w:rPr>
          <w:color w:val="231F20"/>
          <w:spacing w:val="-19"/>
          <w:w w:val="105"/>
        </w:rPr>
        <w:t> </w:t>
      </w:r>
      <w:r>
        <w:rPr>
          <w:color w:val="231F20"/>
          <w:w w:val="105"/>
        </w:rPr>
        <w:t>qué</w:t>
      </w:r>
      <w:r>
        <w:rPr>
          <w:color w:val="231F20"/>
          <w:spacing w:val="-19"/>
          <w:w w:val="105"/>
        </w:rPr>
        <w:t> </w:t>
      </w:r>
      <w:r>
        <w:rPr>
          <w:color w:val="231F20"/>
          <w:w w:val="105"/>
        </w:rPr>
        <w:t>los</w:t>
      </w:r>
      <w:r>
        <w:rPr>
          <w:color w:val="231F20"/>
          <w:spacing w:val="-19"/>
          <w:w w:val="105"/>
        </w:rPr>
        <w:t> </w:t>
      </w:r>
      <w:r>
        <w:rPr>
          <w:color w:val="231F20"/>
          <w:w w:val="105"/>
        </w:rPr>
        <w:t>migrantes</w:t>
      </w:r>
      <w:r>
        <w:rPr>
          <w:color w:val="231F20"/>
          <w:spacing w:val="-19"/>
          <w:w w:val="105"/>
        </w:rPr>
        <w:t> </w:t>
      </w:r>
      <w:r>
        <w:rPr>
          <w:color w:val="231F20"/>
          <w:w w:val="105"/>
        </w:rPr>
        <w:t>han</w:t>
      </w:r>
      <w:r>
        <w:rPr>
          <w:color w:val="231F20"/>
          <w:spacing w:val="-19"/>
          <w:w w:val="105"/>
        </w:rPr>
        <w:t> </w:t>
      </w:r>
      <w:r>
        <w:rPr>
          <w:color w:val="231F20"/>
          <w:w w:val="105"/>
        </w:rPr>
        <w:t>cambiado</w:t>
      </w:r>
      <w:r>
        <w:rPr>
          <w:color w:val="231F20"/>
          <w:spacing w:val="-19"/>
          <w:w w:val="105"/>
        </w:rPr>
        <w:t> </w:t>
      </w:r>
      <w:r>
        <w:rPr>
          <w:color w:val="231F20"/>
          <w:w w:val="105"/>
        </w:rPr>
        <w:t>su</w:t>
      </w:r>
      <w:r>
        <w:rPr>
          <w:color w:val="231F20"/>
          <w:spacing w:val="-19"/>
          <w:w w:val="105"/>
        </w:rPr>
        <w:t> </w:t>
      </w:r>
      <w:r>
        <w:rPr>
          <w:color w:val="231F20"/>
          <w:w w:val="105"/>
        </w:rPr>
        <w:t>temporalidad</w:t>
      </w:r>
      <w:r>
        <w:rPr>
          <w:color w:val="231F20"/>
          <w:spacing w:val="-19"/>
          <w:w w:val="105"/>
        </w:rPr>
        <w:t> </w:t>
      </w:r>
      <w:r>
        <w:rPr>
          <w:color w:val="231F20"/>
          <w:w w:val="105"/>
        </w:rPr>
        <w:t>es</w:t>
      </w:r>
      <w:r>
        <w:rPr>
          <w:color w:val="231F20"/>
          <w:spacing w:val="-19"/>
          <w:w w:val="105"/>
        </w:rPr>
        <w:t> </w:t>
      </w:r>
      <w:r>
        <w:rPr>
          <w:color w:val="231F20"/>
          <w:w w:val="105"/>
        </w:rPr>
        <w:t>el</w:t>
      </w:r>
      <w:r>
        <w:rPr>
          <w:color w:val="231F20"/>
          <w:spacing w:val="-19"/>
          <w:w w:val="105"/>
        </w:rPr>
        <w:t> </w:t>
      </w:r>
      <w:r>
        <w:rPr>
          <w:color w:val="231F20"/>
          <w:spacing w:val="-3"/>
          <w:w w:val="105"/>
        </w:rPr>
        <w:t>incremen-</w:t>
      </w:r>
      <w:r>
        <w:rPr>
          <w:color w:val="231F20"/>
          <w:w w:val="96"/>
        </w:rPr>
        <w:t> </w:t>
      </w:r>
      <w:r>
        <w:rPr>
          <w:color w:val="231F20"/>
          <w:w w:val="105"/>
        </w:rPr>
        <w:t>to en la vigilancia de la </w:t>
      </w:r>
      <w:r>
        <w:rPr>
          <w:color w:val="231F20"/>
          <w:spacing w:val="-3"/>
          <w:w w:val="105"/>
        </w:rPr>
        <w:t>frontera </w:t>
      </w:r>
      <w:r>
        <w:rPr>
          <w:color w:val="231F20"/>
          <w:w w:val="105"/>
        </w:rPr>
        <w:t>con Estados Unidos, como</w:t>
      </w:r>
      <w:r>
        <w:rPr>
          <w:color w:val="231F20"/>
          <w:spacing w:val="-18"/>
          <w:w w:val="105"/>
        </w:rPr>
        <w:t> </w:t>
      </w:r>
      <w:r>
        <w:rPr>
          <w:color w:val="231F20"/>
          <w:w w:val="105"/>
        </w:rPr>
        <w:t>lo</w:t>
      </w:r>
      <w:r>
        <w:rPr>
          <w:color w:val="231F20"/>
          <w:spacing w:val="-2"/>
          <w:w w:val="105"/>
        </w:rPr>
        <w:t> </w:t>
      </w:r>
      <w:r>
        <w:rPr>
          <w:color w:val="231F20"/>
          <w:w w:val="105"/>
        </w:rPr>
        <w:t>podemos</w:t>
      </w:r>
      <w:r>
        <w:rPr>
          <w:color w:val="231F20"/>
          <w:spacing w:val="-2"/>
          <w:w w:val="106"/>
        </w:rPr>
        <w:t> </w:t>
      </w:r>
      <w:r>
        <w:rPr>
          <w:color w:val="231F20"/>
          <w:w w:val="105"/>
        </w:rPr>
        <w:t>observar</w:t>
      </w:r>
      <w:r>
        <w:rPr>
          <w:color w:val="231F20"/>
          <w:spacing w:val="-33"/>
          <w:w w:val="105"/>
        </w:rPr>
        <w:t> </w:t>
      </w:r>
      <w:r>
        <w:rPr>
          <w:color w:val="231F20"/>
          <w:w w:val="105"/>
        </w:rPr>
        <w:t>en</w:t>
      </w:r>
      <w:r>
        <w:rPr>
          <w:color w:val="231F20"/>
          <w:spacing w:val="-33"/>
          <w:w w:val="105"/>
        </w:rPr>
        <w:t> </w:t>
      </w:r>
      <w:r>
        <w:rPr>
          <w:color w:val="231F20"/>
          <w:w w:val="105"/>
        </w:rPr>
        <w:t>los</w:t>
      </w:r>
      <w:r>
        <w:rPr>
          <w:color w:val="231F20"/>
          <w:spacing w:val="-33"/>
          <w:w w:val="105"/>
        </w:rPr>
        <w:t> </w:t>
      </w:r>
      <w:r>
        <w:rPr>
          <w:color w:val="231F20"/>
          <w:w w:val="105"/>
        </w:rPr>
        <w:t>comentarios</w:t>
      </w:r>
      <w:r>
        <w:rPr>
          <w:color w:val="231F20"/>
          <w:spacing w:val="-33"/>
          <w:w w:val="105"/>
        </w:rPr>
        <w:t> </w:t>
      </w:r>
      <w:r>
        <w:rPr>
          <w:color w:val="231F20"/>
          <w:w w:val="105"/>
        </w:rPr>
        <w:t>de</w:t>
      </w:r>
      <w:r>
        <w:rPr>
          <w:color w:val="231F20"/>
          <w:spacing w:val="-34"/>
          <w:w w:val="105"/>
        </w:rPr>
        <w:t> </w:t>
      </w:r>
      <w:r>
        <w:rPr>
          <w:color w:val="231F20"/>
          <w:spacing w:val="-3"/>
          <w:w w:val="105"/>
        </w:rPr>
        <w:t>Jorge,</w:t>
      </w:r>
      <w:r>
        <w:rPr>
          <w:color w:val="231F20"/>
          <w:spacing w:val="-37"/>
          <w:w w:val="105"/>
        </w:rPr>
        <w:t> </w:t>
      </w:r>
      <w:r>
        <w:rPr>
          <w:color w:val="231F20"/>
          <w:w w:val="105"/>
        </w:rPr>
        <w:t>migrante</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cabecera</w:t>
      </w:r>
      <w:r>
        <w:rPr>
          <w:color w:val="231F20"/>
          <w:spacing w:val="-33"/>
          <w:w w:val="105"/>
        </w:rPr>
        <w:t> </w:t>
      </w:r>
      <w:r>
        <w:rPr>
          <w:color w:val="231F20"/>
          <w:w w:val="105"/>
        </w:rPr>
        <w:t>municipal.</w:t>
      </w:r>
    </w:p>
    <w:p>
      <w:pPr>
        <w:pStyle w:val="BodyText"/>
        <w:spacing w:before="7"/>
        <w:rPr>
          <w:sz w:val="18"/>
        </w:rPr>
      </w:pPr>
    </w:p>
    <w:p>
      <w:pPr>
        <w:spacing w:line="254" w:lineRule="auto" w:before="0"/>
        <w:ind w:left="2971" w:right="1721" w:firstLine="0"/>
        <w:jc w:val="both"/>
        <w:rPr>
          <w:sz w:val="18"/>
        </w:rPr>
      </w:pPr>
      <w:r>
        <w:rPr>
          <w:color w:val="231F20"/>
          <w:w w:val="105"/>
          <w:sz w:val="18"/>
        </w:rPr>
        <w:t>mira</w:t>
      </w:r>
      <w:r>
        <w:rPr>
          <w:color w:val="231F20"/>
          <w:spacing w:val="-10"/>
          <w:w w:val="105"/>
          <w:sz w:val="18"/>
        </w:rPr>
        <w:t> </w:t>
      </w:r>
      <w:r>
        <w:rPr>
          <w:color w:val="231F20"/>
          <w:w w:val="105"/>
          <w:sz w:val="18"/>
        </w:rPr>
        <w:t>antes</w:t>
      </w:r>
      <w:r>
        <w:rPr>
          <w:color w:val="231F20"/>
          <w:spacing w:val="-10"/>
          <w:w w:val="105"/>
          <w:sz w:val="18"/>
        </w:rPr>
        <w:t> </w:t>
      </w:r>
      <w:r>
        <w:rPr>
          <w:color w:val="231F20"/>
          <w:w w:val="105"/>
          <w:sz w:val="18"/>
        </w:rPr>
        <w:t>yo</w:t>
      </w:r>
      <w:r>
        <w:rPr>
          <w:color w:val="231F20"/>
          <w:spacing w:val="-10"/>
          <w:w w:val="105"/>
          <w:sz w:val="18"/>
        </w:rPr>
        <w:t> </w:t>
      </w:r>
      <w:r>
        <w:rPr>
          <w:color w:val="231F20"/>
          <w:w w:val="105"/>
          <w:sz w:val="18"/>
        </w:rPr>
        <w:t>iba</w:t>
      </w:r>
      <w:r>
        <w:rPr>
          <w:color w:val="231F20"/>
          <w:spacing w:val="-10"/>
          <w:w w:val="105"/>
          <w:sz w:val="18"/>
        </w:rPr>
        <w:t> </w:t>
      </w:r>
      <w:r>
        <w:rPr>
          <w:color w:val="231F20"/>
          <w:w w:val="105"/>
          <w:sz w:val="18"/>
        </w:rPr>
        <w:t>más,</w:t>
      </w:r>
      <w:r>
        <w:rPr>
          <w:color w:val="231F20"/>
          <w:spacing w:val="-16"/>
          <w:w w:val="105"/>
          <w:sz w:val="18"/>
        </w:rPr>
        <w:t> </w:t>
      </w:r>
      <w:r>
        <w:rPr>
          <w:color w:val="231F20"/>
          <w:w w:val="105"/>
          <w:sz w:val="18"/>
        </w:rPr>
        <w:t>pero</w:t>
      </w:r>
      <w:r>
        <w:rPr>
          <w:color w:val="231F20"/>
          <w:spacing w:val="-10"/>
          <w:w w:val="105"/>
          <w:sz w:val="18"/>
        </w:rPr>
        <w:t> </w:t>
      </w:r>
      <w:r>
        <w:rPr>
          <w:color w:val="231F20"/>
          <w:w w:val="105"/>
          <w:sz w:val="18"/>
        </w:rPr>
        <w:t>ya</w:t>
      </w:r>
      <w:r>
        <w:rPr>
          <w:color w:val="231F20"/>
          <w:spacing w:val="-10"/>
          <w:w w:val="105"/>
          <w:sz w:val="18"/>
        </w:rPr>
        <w:t> </w:t>
      </w:r>
      <w:r>
        <w:rPr>
          <w:color w:val="231F20"/>
          <w:w w:val="105"/>
          <w:sz w:val="18"/>
        </w:rPr>
        <w:t>tiene</w:t>
      </w:r>
      <w:r>
        <w:rPr>
          <w:color w:val="231F20"/>
          <w:spacing w:val="-10"/>
          <w:w w:val="105"/>
          <w:sz w:val="18"/>
        </w:rPr>
        <w:t> </w:t>
      </w:r>
      <w:r>
        <w:rPr>
          <w:color w:val="231F20"/>
          <w:w w:val="105"/>
          <w:sz w:val="18"/>
        </w:rPr>
        <w:t>varios</w:t>
      </w:r>
      <w:r>
        <w:rPr>
          <w:color w:val="231F20"/>
          <w:spacing w:val="-10"/>
          <w:w w:val="105"/>
          <w:sz w:val="18"/>
        </w:rPr>
        <w:t> </w:t>
      </w:r>
      <w:r>
        <w:rPr>
          <w:color w:val="231F20"/>
          <w:w w:val="105"/>
          <w:sz w:val="18"/>
        </w:rPr>
        <w:t>años</w:t>
      </w:r>
      <w:r>
        <w:rPr>
          <w:color w:val="231F20"/>
          <w:spacing w:val="-10"/>
          <w:w w:val="105"/>
          <w:sz w:val="18"/>
        </w:rPr>
        <w:t> </w:t>
      </w:r>
      <w:r>
        <w:rPr>
          <w:color w:val="231F20"/>
          <w:w w:val="105"/>
          <w:sz w:val="18"/>
        </w:rPr>
        <w:t>que</w:t>
      </w:r>
      <w:r>
        <w:rPr>
          <w:color w:val="231F20"/>
          <w:spacing w:val="-10"/>
          <w:w w:val="105"/>
          <w:sz w:val="18"/>
        </w:rPr>
        <w:t> </w:t>
      </w:r>
      <w:r>
        <w:rPr>
          <w:color w:val="231F20"/>
          <w:w w:val="105"/>
          <w:sz w:val="18"/>
        </w:rPr>
        <w:t>no</w:t>
      </w:r>
      <w:r>
        <w:rPr>
          <w:color w:val="231F20"/>
          <w:spacing w:val="-10"/>
          <w:w w:val="105"/>
          <w:sz w:val="18"/>
        </w:rPr>
        <w:t> </w:t>
      </w:r>
      <w:r>
        <w:rPr>
          <w:color w:val="231F20"/>
          <w:w w:val="105"/>
          <w:sz w:val="18"/>
        </w:rPr>
        <w:t>voy</w:t>
      </w:r>
      <w:r>
        <w:rPr>
          <w:color w:val="231F20"/>
          <w:spacing w:val="-10"/>
          <w:w w:val="105"/>
          <w:sz w:val="18"/>
        </w:rPr>
        <w:t> </w:t>
      </w:r>
      <w:r>
        <w:rPr>
          <w:color w:val="231F20"/>
          <w:w w:val="105"/>
          <w:sz w:val="18"/>
        </w:rPr>
        <w:t>porque</w:t>
      </w:r>
      <w:r>
        <w:rPr>
          <w:color w:val="231F20"/>
          <w:spacing w:val="-10"/>
          <w:w w:val="105"/>
          <w:sz w:val="18"/>
        </w:rPr>
        <w:t> </w:t>
      </w:r>
      <w:r>
        <w:rPr>
          <w:color w:val="231F20"/>
          <w:w w:val="105"/>
          <w:sz w:val="18"/>
        </w:rPr>
        <w:t>no tengo papeles, permiso, yo me iba de mojado, antes no había mucho gobierno, había bien poco (vigilancia), pero ahora está reforzada la</w:t>
      </w:r>
      <w:r>
        <w:rPr>
          <w:color w:val="231F20"/>
          <w:spacing w:val="-19"/>
          <w:w w:val="105"/>
          <w:sz w:val="18"/>
        </w:rPr>
        <w:t> </w:t>
      </w:r>
      <w:r>
        <w:rPr>
          <w:color w:val="231F20"/>
          <w:w w:val="105"/>
          <w:sz w:val="18"/>
        </w:rPr>
        <w:t>lí- nea,</w:t>
      </w:r>
      <w:r>
        <w:rPr>
          <w:color w:val="231F20"/>
          <w:spacing w:val="-13"/>
          <w:w w:val="105"/>
          <w:sz w:val="18"/>
        </w:rPr>
        <w:t> </w:t>
      </w:r>
      <w:r>
        <w:rPr>
          <w:color w:val="231F20"/>
          <w:w w:val="105"/>
          <w:sz w:val="18"/>
        </w:rPr>
        <w:t>por</w:t>
      </w:r>
      <w:r>
        <w:rPr>
          <w:color w:val="231F20"/>
          <w:spacing w:val="-8"/>
          <w:w w:val="105"/>
          <w:sz w:val="18"/>
        </w:rPr>
        <w:t> </w:t>
      </w:r>
      <w:r>
        <w:rPr>
          <w:color w:val="231F20"/>
          <w:w w:val="105"/>
          <w:sz w:val="18"/>
        </w:rPr>
        <w:t>eso</w:t>
      </w:r>
      <w:r>
        <w:rPr>
          <w:color w:val="231F20"/>
          <w:spacing w:val="-8"/>
          <w:w w:val="105"/>
          <w:sz w:val="18"/>
        </w:rPr>
        <w:t> </w:t>
      </w:r>
      <w:r>
        <w:rPr>
          <w:color w:val="231F20"/>
          <w:w w:val="105"/>
          <w:sz w:val="18"/>
        </w:rPr>
        <w:t>ya</w:t>
      </w:r>
      <w:r>
        <w:rPr>
          <w:color w:val="231F20"/>
          <w:spacing w:val="-8"/>
          <w:w w:val="105"/>
          <w:sz w:val="18"/>
        </w:rPr>
        <w:t> </w:t>
      </w:r>
      <w:r>
        <w:rPr>
          <w:color w:val="231F20"/>
          <w:w w:val="105"/>
          <w:sz w:val="18"/>
        </w:rPr>
        <w:t>no</w:t>
      </w:r>
      <w:r>
        <w:rPr>
          <w:color w:val="231F20"/>
          <w:spacing w:val="-8"/>
          <w:w w:val="105"/>
          <w:sz w:val="18"/>
        </w:rPr>
        <w:t> </w:t>
      </w:r>
      <w:r>
        <w:rPr>
          <w:color w:val="231F20"/>
          <w:w w:val="105"/>
          <w:sz w:val="18"/>
        </w:rPr>
        <w:t>he</w:t>
      </w:r>
      <w:r>
        <w:rPr>
          <w:color w:val="231F20"/>
          <w:spacing w:val="-8"/>
          <w:w w:val="105"/>
          <w:sz w:val="18"/>
        </w:rPr>
        <w:t> </w:t>
      </w:r>
      <w:r>
        <w:rPr>
          <w:color w:val="231F20"/>
          <w:w w:val="105"/>
          <w:sz w:val="18"/>
        </w:rPr>
        <w:t>ido</w:t>
      </w:r>
      <w:r>
        <w:rPr>
          <w:color w:val="231F20"/>
          <w:spacing w:val="-8"/>
          <w:w w:val="105"/>
          <w:sz w:val="18"/>
        </w:rPr>
        <w:t> </w:t>
      </w:r>
      <w:r>
        <w:rPr>
          <w:color w:val="231F20"/>
          <w:w w:val="105"/>
          <w:sz w:val="18"/>
        </w:rPr>
        <w:t>(Jorge/40/3).</w:t>
      </w:r>
    </w:p>
    <w:p>
      <w:pPr>
        <w:pStyle w:val="BodyText"/>
        <w:spacing w:before="5"/>
      </w:pPr>
    </w:p>
    <w:p>
      <w:pPr>
        <w:pStyle w:val="BodyText"/>
        <w:spacing w:line="261" w:lineRule="auto"/>
        <w:ind w:left="1837" w:right="1722"/>
        <w:jc w:val="both"/>
      </w:pPr>
      <w:r>
        <w:rPr>
          <w:color w:val="231F20"/>
          <w:w w:val="105"/>
        </w:rPr>
        <w:t>Al respecto también menciona Ismael migrante de la comunidad de</w:t>
      </w:r>
      <w:r>
        <w:rPr>
          <w:color w:val="231F20"/>
          <w:spacing w:val="-39"/>
          <w:w w:val="105"/>
        </w:rPr>
        <w:t> </w:t>
      </w:r>
      <w:r>
        <w:rPr>
          <w:color w:val="231F20"/>
          <w:spacing w:val="-5"/>
          <w:w w:val="105"/>
        </w:rPr>
        <w:t>Pa- </w:t>
      </w:r>
      <w:r>
        <w:rPr>
          <w:color w:val="231F20"/>
          <w:w w:val="105"/>
        </w:rPr>
        <w:t>chuquilla lo</w:t>
      </w:r>
      <w:r>
        <w:rPr>
          <w:color w:val="231F20"/>
          <w:spacing w:val="-6"/>
          <w:w w:val="105"/>
        </w:rPr>
        <w:t> </w:t>
      </w:r>
      <w:r>
        <w:rPr>
          <w:color w:val="231F20"/>
          <w:w w:val="105"/>
        </w:rPr>
        <w:t>siguiente:</w:t>
      </w:r>
    </w:p>
    <w:p>
      <w:pPr>
        <w:pStyle w:val="BodyText"/>
        <w:spacing w:before="7"/>
        <w:rPr>
          <w:sz w:val="18"/>
        </w:rPr>
      </w:pPr>
    </w:p>
    <w:p>
      <w:pPr>
        <w:spacing w:line="254" w:lineRule="auto" w:before="0"/>
        <w:ind w:left="2971" w:right="1717" w:firstLine="0"/>
        <w:jc w:val="both"/>
        <w:rPr>
          <w:sz w:val="18"/>
        </w:rPr>
      </w:pPr>
      <w:r>
        <w:rPr>
          <w:color w:val="231F20"/>
          <w:w w:val="105"/>
          <w:sz w:val="18"/>
        </w:rPr>
        <w:t>yo</w:t>
      </w:r>
      <w:r>
        <w:rPr>
          <w:color w:val="231F20"/>
          <w:spacing w:val="-28"/>
          <w:w w:val="105"/>
          <w:sz w:val="18"/>
        </w:rPr>
        <w:t> </w:t>
      </w:r>
      <w:r>
        <w:rPr>
          <w:color w:val="231F20"/>
          <w:w w:val="105"/>
          <w:sz w:val="18"/>
        </w:rPr>
        <w:t>voy</w:t>
      </w:r>
      <w:r>
        <w:rPr>
          <w:color w:val="231F20"/>
          <w:spacing w:val="-28"/>
          <w:w w:val="105"/>
          <w:sz w:val="18"/>
        </w:rPr>
        <w:t> </w:t>
      </w:r>
      <w:r>
        <w:rPr>
          <w:color w:val="231F20"/>
          <w:w w:val="105"/>
          <w:sz w:val="18"/>
        </w:rPr>
        <w:t>desde</w:t>
      </w:r>
      <w:r>
        <w:rPr>
          <w:color w:val="231F20"/>
          <w:spacing w:val="-28"/>
          <w:w w:val="105"/>
          <w:sz w:val="18"/>
        </w:rPr>
        <w:t> </w:t>
      </w:r>
      <w:r>
        <w:rPr>
          <w:color w:val="231F20"/>
          <w:w w:val="105"/>
          <w:sz w:val="18"/>
        </w:rPr>
        <w:t>el</w:t>
      </w:r>
      <w:r>
        <w:rPr>
          <w:color w:val="231F20"/>
          <w:spacing w:val="-28"/>
          <w:w w:val="105"/>
          <w:sz w:val="18"/>
        </w:rPr>
        <w:t> </w:t>
      </w:r>
      <w:r>
        <w:rPr>
          <w:color w:val="231F20"/>
          <w:w w:val="105"/>
          <w:sz w:val="18"/>
        </w:rPr>
        <w:t>95</w:t>
      </w:r>
      <w:r>
        <w:rPr>
          <w:color w:val="231F20"/>
          <w:spacing w:val="-28"/>
          <w:w w:val="105"/>
          <w:sz w:val="18"/>
        </w:rPr>
        <w:t> </w:t>
      </w:r>
      <w:r>
        <w:rPr>
          <w:color w:val="231F20"/>
          <w:w w:val="105"/>
          <w:sz w:val="18"/>
        </w:rPr>
        <w:t>(1995)</w:t>
      </w:r>
      <w:r>
        <w:rPr>
          <w:color w:val="231F20"/>
          <w:spacing w:val="-28"/>
          <w:w w:val="105"/>
          <w:sz w:val="18"/>
        </w:rPr>
        <w:t> </w:t>
      </w:r>
      <w:r>
        <w:rPr>
          <w:color w:val="231F20"/>
          <w:w w:val="105"/>
          <w:sz w:val="18"/>
        </w:rPr>
        <w:t>y</w:t>
      </w:r>
      <w:r>
        <w:rPr>
          <w:color w:val="231F20"/>
          <w:spacing w:val="-28"/>
          <w:w w:val="105"/>
          <w:sz w:val="18"/>
        </w:rPr>
        <w:t> </w:t>
      </w:r>
      <w:r>
        <w:rPr>
          <w:color w:val="231F20"/>
          <w:w w:val="105"/>
          <w:sz w:val="18"/>
        </w:rPr>
        <w:t>la</w:t>
      </w:r>
      <w:r>
        <w:rPr>
          <w:color w:val="231F20"/>
          <w:spacing w:val="-28"/>
          <w:w w:val="105"/>
          <w:sz w:val="18"/>
        </w:rPr>
        <w:t> </w:t>
      </w:r>
      <w:r>
        <w:rPr>
          <w:color w:val="231F20"/>
          <w:w w:val="105"/>
          <w:sz w:val="18"/>
        </w:rPr>
        <w:t>última</w:t>
      </w:r>
      <w:r>
        <w:rPr>
          <w:color w:val="231F20"/>
          <w:spacing w:val="-28"/>
          <w:w w:val="105"/>
          <w:sz w:val="18"/>
        </w:rPr>
        <w:t> </w:t>
      </w:r>
      <w:r>
        <w:rPr>
          <w:color w:val="231F20"/>
          <w:w w:val="105"/>
          <w:sz w:val="18"/>
        </w:rPr>
        <w:t>vez</w:t>
      </w:r>
      <w:r>
        <w:rPr>
          <w:color w:val="231F20"/>
          <w:spacing w:val="-28"/>
          <w:w w:val="105"/>
          <w:sz w:val="18"/>
        </w:rPr>
        <w:t> </w:t>
      </w:r>
      <w:r>
        <w:rPr>
          <w:color w:val="231F20"/>
          <w:w w:val="105"/>
          <w:sz w:val="18"/>
        </w:rPr>
        <w:t>fui</w:t>
      </w:r>
      <w:r>
        <w:rPr>
          <w:color w:val="231F20"/>
          <w:spacing w:val="-28"/>
          <w:w w:val="105"/>
          <w:sz w:val="18"/>
        </w:rPr>
        <w:t> </w:t>
      </w:r>
      <w:r>
        <w:rPr>
          <w:color w:val="231F20"/>
          <w:w w:val="105"/>
          <w:sz w:val="18"/>
        </w:rPr>
        <w:t>ya</w:t>
      </w:r>
      <w:r>
        <w:rPr>
          <w:color w:val="231F20"/>
          <w:spacing w:val="-28"/>
          <w:w w:val="105"/>
          <w:sz w:val="18"/>
        </w:rPr>
        <w:t> </w:t>
      </w:r>
      <w:r>
        <w:rPr>
          <w:color w:val="231F20"/>
          <w:w w:val="105"/>
          <w:sz w:val="18"/>
        </w:rPr>
        <w:t>tiene</w:t>
      </w:r>
      <w:r>
        <w:rPr>
          <w:color w:val="231F20"/>
          <w:spacing w:val="-28"/>
          <w:w w:val="105"/>
          <w:sz w:val="18"/>
        </w:rPr>
        <w:t> </w:t>
      </w:r>
      <w:r>
        <w:rPr>
          <w:color w:val="231F20"/>
          <w:w w:val="105"/>
          <w:sz w:val="18"/>
        </w:rPr>
        <w:t>casi</w:t>
      </w:r>
      <w:r>
        <w:rPr>
          <w:color w:val="231F20"/>
          <w:spacing w:val="-28"/>
          <w:w w:val="105"/>
          <w:sz w:val="18"/>
        </w:rPr>
        <w:t> </w:t>
      </w:r>
      <w:r>
        <w:rPr>
          <w:color w:val="231F20"/>
          <w:w w:val="105"/>
          <w:sz w:val="18"/>
        </w:rPr>
        <w:t>dos</w:t>
      </w:r>
      <w:r>
        <w:rPr>
          <w:color w:val="231F20"/>
          <w:spacing w:val="-28"/>
          <w:w w:val="105"/>
          <w:sz w:val="18"/>
        </w:rPr>
        <w:t> </w:t>
      </w:r>
      <w:r>
        <w:rPr>
          <w:color w:val="231F20"/>
          <w:w w:val="105"/>
          <w:sz w:val="18"/>
        </w:rPr>
        <w:t>años</w:t>
      </w:r>
      <w:r>
        <w:rPr>
          <w:color w:val="231F20"/>
          <w:spacing w:val="-28"/>
          <w:w w:val="105"/>
          <w:sz w:val="18"/>
        </w:rPr>
        <w:t> </w:t>
      </w:r>
      <w:r>
        <w:rPr>
          <w:color w:val="231F20"/>
          <w:w w:val="105"/>
          <w:sz w:val="18"/>
        </w:rPr>
        <w:t>(2011), yo no más iba de entrada por salida, ya no he ido porque está canijo cruzar</w:t>
      </w:r>
      <w:r>
        <w:rPr>
          <w:color w:val="231F20"/>
          <w:spacing w:val="-12"/>
          <w:w w:val="105"/>
          <w:sz w:val="18"/>
        </w:rPr>
        <w:t> </w:t>
      </w:r>
      <w:r>
        <w:rPr>
          <w:color w:val="231F20"/>
          <w:w w:val="105"/>
          <w:sz w:val="18"/>
        </w:rPr>
        <w:t>sin</w:t>
      </w:r>
      <w:r>
        <w:rPr>
          <w:color w:val="231F20"/>
          <w:spacing w:val="-12"/>
          <w:w w:val="105"/>
          <w:sz w:val="18"/>
        </w:rPr>
        <w:t> </w:t>
      </w:r>
      <w:r>
        <w:rPr>
          <w:color w:val="231F20"/>
          <w:w w:val="105"/>
          <w:sz w:val="18"/>
        </w:rPr>
        <w:t>papeles,</w:t>
      </w:r>
      <w:r>
        <w:rPr>
          <w:color w:val="231F20"/>
          <w:spacing w:val="-17"/>
          <w:w w:val="105"/>
          <w:sz w:val="18"/>
        </w:rPr>
        <w:t> </w:t>
      </w:r>
      <w:r>
        <w:rPr>
          <w:color w:val="231F20"/>
          <w:w w:val="105"/>
          <w:sz w:val="18"/>
        </w:rPr>
        <w:t>se</w:t>
      </w:r>
      <w:r>
        <w:rPr>
          <w:color w:val="231F20"/>
          <w:spacing w:val="-12"/>
          <w:w w:val="105"/>
          <w:sz w:val="18"/>
        </w:rPr>
        <w:t> </w:t>
      </w:r>
      <w:r>
        <w:rPr>
          <w:color w:val="231F20"/>
          <w:w w:val="105"/>
          <w:sz w:val="18"/>
        </w:rPr>
        <w:t>puso</w:t>
      </w:r>
      <w:r>
        <w:rPr>
          <w:color w:val="231F20"/>
          <w:spacing w:val="-12"/>
          <w:w w:val="105"/>
          <w:sz w:val="18"/>
        </w:rPr>
        <w:t> </w:t>
      </w:r>
      <w:r>
        <w:rPr>
          <w:color w:val="231F20"/>
          <w:w w:val="105"/>
          <w:sz w:val="18"/>
        </w:rPr>
        <w:t>duro</w:t>
      </w:r>
      <w:r>
        <w:rPr>
          <w:color w:val="231F20"/>
          <w:spacing w:val="-12"/>
          <w:w w:val="105"/>
          <w:sz w:val="18"/>
        </w:rPr>
        <w:t> </w:t>
      </w:r>
      <w:r>
        <w:rPr>
          <w:color w:val="231F20"/>
          <w:w w:val="105"/>
          <w:sz w:val="18"/>
        </w:rPr>
        <w:t>con</w:t>
      </w:r>
      <w:r>
        <w:rPr>
          <w:color w:val="231F20"/>
          <w:spacing w:val="-12"/>
          <w:w w:val="105"/>
          <w:sz w:val="18"/>
        </w:rPr>
        <w:t> </w:t>
      </w:r>
      <w:r>
        <w:rPr>
          <w:color w:val="231F20"/>
          <w:w w:val="105"/>
          <w:sz w:val="18"/>
        </w:rPr>
        <w:t>lo</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los</w:t>
      </w:r>
      <w:r>
        <w:rPr>
          <w:color w:val="231F20"/>
          <w:spacing w:val="-12"/>
          <w:w w:val="105"/>
          <w:sz w:val="18"/>
        </w:rPr>
        <w:t> </w:t>
      </w:r>
      <w:r>
        <w:rPr>
          <w:color w:val="231F20"/>
          <w:w w:val="105"/>
          <w:sz w:val="18"/>
        </w:rPr>
        <w:t>terroristas</w:t>
      </w:r>
      <w:r>
        <w:rPr>
          <w:color w:val="231F20"/>
          <w:spacing w:val="-12"/>
          <w:w w:val="105"/>
          <w:sz w:val="18"/>
        </w:rPr>
        <w:t> </w:t>
      </w:r>
      <w:r>
        <w:rPr>
          <w:color w:val="231F20"/>
          <w:w w:val="105"/>
          <w:sz w:val="18"/>
        </w:rPr>
        <w:t>y</w:t>
      </w:r>
      <w:r>
        <w:rPr>
          <w:color w:val="231F20"/>
          <w:spacing w:val="-12"/>
          <w:w w:val="105"/>
          <w:sz w:val="18"/>
        </w:rPr>
        <w:t> </w:t>
      </w:r>
      <w:r>
        <w:rPr>
          <w:color w:val="231F20"/>
          <w:w w:val="105"/>
          <w:sz w:val="18"/>
        </w:rPr>
        <w:t>todo</w:t>
      </w:r>
      <w:r>
        <w:rPr>
          <w:color w:val="231F20"/>
          <w:spacing w:val="-12"/>
          <w:w w:val="105"/>
          <w:sz w:val="18"/>
        </w:rPr>
        <w:t> </w:t>
      </w:r>
      <w:r>
        <w:rPr>
          <w:color w:val="231F20"/>
          <w:w w:val="105"/>
          <w:sz w:val="18"/>
        </w:rPr>
        <w:t>eso,</w:t>
      </w:r>
      <w:r>
        <w:rPr>
          <w:color w:val="231F20"/>
          <w:spacing w:val="-17"/>
          <w:w w:val="105"/>
          <w:sz w:val="18"/>
        </w:rPr>
        <w:t> </w:t>
      </w:r>
      <w:r>
        <w:rPr>
          <w:color w:val="231F20"/>
          <w:w w:val="105"/>
          <w:sz w:val="18"/>
        </w:rPr>
        <w:t>no es</w:t>
      </w:r>
      <w:r>
        <w:rPr>
          <w:color w:val="231F20"/>
          <w:spacing w:val="-15"/>
          <w:w w:val="105"/>
          <w:sz w:val="18"/>
        </w:rPr>
        <w:t> </w:t>
      </w:r>
      <w:r>
        <w:rPr>
          <w:color w:val="231F20"/>
          <w:w w:val="105"/>
          <w:sz w:val="18"/>
        </w:rPr>
        <w:t>tan</w:t>
      </w:r>
      <w:r>
        <w:rPr>
          <w:color w:val="231F20"/>
          <w:spacing w:val="-15"/>
          <w:w w:val="105"/>
          <w:sz w:val="18"/>
        </w:rPr>
        <w:t> </w:t>
      </w:r>
      <w:r>
        <w:rPr>
          <w:color w:val="231F20"/>
          <w:w w:val="105"/>
          <w:sz w:val="18"/>
        </w:rPr>
        <w:t>fácil</w:t>
      </w:r>
      <w:r>
        <w:rPr>
          <w:color w:val="231F20"/>
          <w:spacing w:val="-15"/>
          <w:w w:val="105"/>
          <w:sz w:val="18"/>
        </w:rPr>
        <w:t> </w:t>
      </w:r>
      <w:r>
        <w:rPr>
          <w:color w:val="231F20"/>
          <w:w w:val="105"/>
          <w:sz w:val="18"/>
        </w:rPr>
        <w:t>cruzar</w:t>
      </w:r>
      <w:r>
        <w:rPr>
          <w:color w:val="231F20"/>
          <w:spacing w:val="-15"/>
          <w:w w:val="105"/>
          <w:sz w:val="18"/>
        </w:rPr>
        <w:t> </w:t>
      </w:r>
      <w:r>
        <w:rPr>
          <w:color w:val="231F20"/>
          <w:w w:val="105"/>
          <w:sz w:val="18"/>
        </w:rPr>
        <w:t>por</w:t>
      </w:r>
      <w:r>
        <w:rPr>
          <w:color w:val="231F20"/>
          <w:spacing w:val="-15"/>
          <w:w w:val="105"/>
          <w:sz w:val="18"/>
        </w:rPr>
        <w:t> </w:t>
      </w:r>
      <w:r>
        <w:rPr>
          <w:color w:val="231F20"/>
          <w:w w:val="105"/>
          <w:sz w:val="18"/>
        </w:rPr>
        <w:t>eso</w:t>
      </w:r>
      <w:r>
        <w:rPr>
          <w:color w:val="231F20"/>
          <w:spacing w:val="-15"/>
          <w:w w:val="105"/>
          <w:sz w:val="18"/>
        </w:rPr>
        <w:t> </w:t>
      </w:r>
      <w:r>
        <w:rPr>
          <w:color w:val="231F20"/>
          <w:w w:val="105"/>
          <w:sz w:val="18"/>
        </w:rPr>
        <w:t>es</w:t>
      </w:r>
      <w:r>
        <w:rPr>
          <w:color w:val="231F20"/>
          <w:spacing w:val="-15"/>
          <w:w w:val="105"/>
          <w:sz w:val="18"/>
        </w:rPr>
        <w:t> </w:t>
      </w:r>
      <w:r>
        <w:rPr>
          <w:color w:val="231F20"/>
          <w:w w:val="105"/>
          <w:sz w:val="18"/>
        </w:rPr>
        <w:t>que</w:t>
      </w:r>
      <w:r>
        <w:rPr>
          <w:color w:val="231F20"/>
          <w:spacing w:val="-15"/>
          <w:w w:val="105"/>
          <w:sz w:val="18"/>
        </w:rPr>
        <w:t> </w:t>
      </w:r>
      <w:r>
        <w:rPr>
          <w:color w:val="231F20"/>
          <w:w w:val="105"/>
          <w:sz w:val="18"/>
        </w:rPr>
        <w:t>uno</w:t>
      </w:r>
      <w:r>
        <w:rPr>
          <w:color w:val="231F20"/>
          <w:spacing w:val="-15"/>
          <w:w w:val="105"/>
          <w:sz w:val="18"/>
        </w:rPr>
        <w:t> </w:t>
      </w:r>
      <w:r>
        <w:rPr>
          <w:color w:val="231F20"/>
          <w:w w:val="105"/>
          <w:sz w:val="18"/>
        </w:rPr>
        <w:t>ya</w:t>
      </w:r>
      <w:r>
        <w:rPr>
          <w:color w:val="231F20"/>
          <w:spacing w:val="-15"/>
          <w:w w:val="105"/>
          <w:sz w:val="18"/>
        </w:rPr>
        <w:t> </w:t>
      </w:r>
      <w:r>
        <w:rPr>
          <w:color w:val="231F20"/>
          <w:w w:val="105"/>
          <w:sz w:val="18"/>
        </w:rPr>
        <w:t>no</w:t>
      </w:r>
      <w:r>
        <w:rPr>
          <w:color w:val="231F20"/>
          <w:spacing w:val="-15"/>
          <w:w w:val="105"/>
          <w:sz w:val="18"/>
        </w:rPr>
        <w:t> </w:t>
      </w:r>
      <w:r>
        <w:rPr>
          <w:color w:val="231F20"/>
          <w:w w:val="105"/>
          <w:sz w:val="18"/>
        </w:rPr>
        <w:t>va</w:t>
      </w:r>
      <w:r>
        <w:rPr>
          <w:color w:val="231F20"/>
          <w:spacing w:val="-15"/>
          <w:w w:val="105"/>
          <w:sz w:val="18"/>
        </w:rPr>
        <w:t> </w:t>
      </w:r>
      <w:r>
        <w:rPr>
          <w:color w:val="231F20"/>
          <w:w w:val="105"/>
          <w:sz w:val="18"/>
        </w:rPr>
        <w:t>para</w:t>
      </w:r>
      <w:r>
        <w:rPr>
          <w:color w:val="231F20"/>
          <w:spacing w:val="-15"/>
          <w:w w:val="105"/>
          <w:sz w:val="18"/>
        </w:rPr>
        <w:t> </w:t>
      </w:r>
      <w:r>
        <w:rPr>
          <w:color w:val="231F20"/>
          <w:w w:val="105"/>
          <w:sz w:val="18"/>
        </w:rPr>
        <w:t>allá</w:t>
      </w:r>
      <w:r>
        <w:rPr>
          <w:color w:val="231F20"/>
          <w:spacing w:val="-15"/>
          <w:w w:val="105"/>
          <w:sz w:val="18"/>
        </w:rPr>
        <w:t> </w:t>
      </w:r>
      <w:r>
        <w:rPr>
          <w:color w:val="231F20"/>
          <w:w w:val="105"/>
          <w:sz w:val="18"/>
        </w:rPr>
        <w:t>(Ismael/37/3).</w:t>
      </w:r>
    </w:p>
    <w:p>
      <w:pPr>
        <w:pStyle w:val="BodyText"/>
        <w:spacing w:before="5"/>
      </w:pPr>
    </w:p>
    <w:p>
      <w:pPr>
        <w:pStyle w:val="BodyText"/>
        <w:spacing w:line="261" w:lineRule="auto"/>
        <w:ind w:left="1837" w:right="1721"/>
        <w:jc w:val="both"/>
      </w:pPr>
      <w:r>
        <w:rPr/>
        <w:pict>
          <v:line style="position:absolute;mso-position-horizontal-relative:page;mso-position-vertical-relative:paragraph;z-index:-453520" from="15pt,241.17009pt" to="0pt,241.17009pt" stroked="true" strokeweight=".25pt" strokecolor="#000000">
            <w10:wrap type="none"/>
          </v:line>
        </w:pict>
      </w:r>
      <w:r>
        <w:rPr/>
        <w:pict>
          <v:line style="position:absolute;mso-position-horizontal-relative:page;mso-position-vertical-relative:paragraph;z-index:36688" from="508.890015pt,241.17009pt" to="523.890015pt,241.17009pt" stroked="true" strokeweight=".25pt" strokecolor="#000000">
            <w10:wrap type="none"/>
          </v:line>
        </w:pict>
      </w:r>
      <w:r>
        <w:rPr>
          <w:color w:val="231F20"/>
          <w:w w:val="105"/>
        </w:rPr>
        <w:t>El factor temporalidad se ha tenido que modificar para los migrantes del municipio de Almoloya de Alquisiras debido al blindaje del territo- rio estadounidense y la nueva política mundial antiterrorista, todo ello  a pesar de que los migrantes cuentan con redes sociales bien estable- cidas, factor que anteriormente había servido para facilitar la movilidad de</w:t>
      </w:r>
      <w:r>
        <w:rPr>
          <w:color w:val="231F20"/>
          <w:spacing w:val="-6"/>
          <w:w w:val="105"/>
        </w:rPr>
        <w:t> </w:t>
      </w:r>
      <w:r>
        <w:rPr>
          <w:color w:val="231F20"/>
          <w:w w:val="105"/>
        </w:rPr>
        <w:t>las</w:t>
      </w:r>
      <w:r>
        <w:rPr>
          <w:color w:val="231F20"/>
          <w:spacing w:val="-6"/>
          <w:w w:val="105"/>
        </w:rPr>
        <w:t> </w:t>
      </w:r>
      <w:r>
        <w:rPr>
          <w:color w:val="231F20"/>
          <w:w w:val="105"/>
        </w:rPr>
        <w:t>personas,</w:t>
      </w:r>
      <w:r>
        <w:rPr>
          <w:color w:val="231F20"/>
          <w:spacing w:val="-12"/>
          <w:w w:val="105"/>
        </w:rPr>
        <w:t> </w:t>
      </w:r>
      <w:r>
        <w:rPr>
          <w:color w:val="231F20"/>
          <w:w w:val="105"/>
        </w:rPr>
        <w:t>pero</w:t>
      </w:r>
      <w:r>
        <w:rPr>
          <w:color w:val="231F20"/>
          <w:spacing w:val="-6"/>
          <w:w w:val="105"/>
        </w:rPr>
        <w:t> </w:t>
      </w:r>
      <w:r>
        <w:rPr>
          <w:color w:val="231F20"/>
          <w:w w:val="105"/>
        </w:rPr>
        <w:t>que</w:t>
      </w:r>
      <w:r>
        <w:rPr>
          <w:color w:val="231F20"/>
          <w:spacing w:val="-6"/>
          <w:w w:val="105"/>
        </w:rPr>
        <w:t> </w:t>
      </w:r>
      <w:r>
        <w:rPr>
          <w:color w:val="231F20"/>
          <w:w w:val="105"/>
        </w:rPr>
        <w:t>ahora</w:t>
      </w:r>
      <w:r>
        <w:rPr>
          <w:color w:val="231F20"/>
          <w:spacing w:val="-6"/>
          <w:w w:val="105"/>
        </w:rPr>
        <w:t> </w:t>
      </w:r>
      <w:r>
        <w:rPr>
          <w:color w:val="231F20"/>
          <w:w w:val="105"/>
        </w:rPr>
        <w:t>pueden</w:t>
      </w:r>
      <w:r>
        <w:rPr>
          <w:color w:val="231F20"/>
          <w:spacing w:val="-6"/>
          <w:w w:val="105"/>
        </w:rPr>
        <w:t> </w:t>
      </w:r>
      <w:r>
        <w:rPr>
          <w:color w:val="231F20"/>
          <w:w w:val="105"/>
        </w:rPr>
        <w:t>ser</w:t>
      </w:r>
      <w:r>
        <w:rPr>
          <w:color w:val="231F20"/>
          <w:spacing w:val="-6"/>
          <w:w w:val="105"/>
        </w:rPr>
        <w:t> </w:t>
      </w:r>
      <w:r>
        <w:rPr>
          <w:color w:val="231F20"/>
          <w:w w:val="105"/>
        </w:rPr>
        <w:t>un</w:t>
      </w:r>
      <w:r>
        <w:rPr>
          <w:color w:val="231F20"/>
          <w:spacing w:val="-6"/>
          <w:w w:val="105"/>
        </w:rPr>
        <w:t> </w:t>
      </w:r>
      <w:r>
        <w:rPr>
          <w:color w:val="231F20"/>
          <w:w w:val="105"/>
        </w:rPr>
        <w:t>elemento</w:t>
      </w:r>
      <w:r>
        <w:rPr>
          <w:color w:val="231F20"/>
          <w:spacing w:val="-6"/>
          <w:w w:val="105"/>
        </w:rPr>
        <w:t> </w:t>
      </w:r>
      <w:r>
        <w:rPr>
          <w:color w:val="231F20"/>
          <w:w w:val="105"/>
        </w:rPr>
        <w:t>decisivo</w:t>
      </w:r>
      <w:r>
        <w:rPr>
          <w:color w:val="231F20"/>
          <w:spacing w:val="-6"/>
          <w:w w:val="105"/>
        </w:rPr>
        <w:t> </w:t>
      </w:r>
      <w:r>
        <w:rPr>
          <w:color w:val="231F20"/>
          <w:w w:val="105"/>
        </w:rPr>
        <w:t>en</w:t>
      </w:r>
      <w:r>
        <w:rPr>
          <w:color w:val="231F20"/>
          <w:spacing w:val="-6"/>
          <w:w w:val="105"/>
        </w:rPr>
        <w:t> </w:t>
      </w:r>
      <w:r>
        <w:rPr>
          <w:color w:val="231F20"/>
          <w:w w:val="105"/>
        </w:rPr>
        <w:t>la continuidad de las migraciones. Esto aunado a que su permanencia en Estados</w:t>
      </w:r>
      <w:r>
        <w:rPr>
          <w:color w:val="231F20"/>
          <w:spacing w:val="-13"/>
          <w:w w:val="105"/>
        </w:rPr>
        <w:t> </w:t>
      </w:r>
      <w:r>
        <w:rPr>
          <w:color w:val="231F20"/>
          <w:w w:val="105"/>
        </w:rPr>
        <w:t>Unidos</w:t>
      </w:r>
      <w:r>
        <w:rPr>
          <w:color w:val="231F20"/>
          <w:spacing w:val="-13"/>
          <w:w w:val="105"/>
        </w:rPr>
        <w:t> </w:t>
      </w:r>
      <w:r>
        <w:rPr>
          <w:color w:val="231F20"/>
          <w:w w:val="105"/>
        </w:rPr>
        <w:t>está</w:t>
      </w:r>
      <w:r>
        <w:rPr>
          <w:color w:val="231F20"/>
          <w:spacing w:val="-13"/>
          <w:w w:val="105"/>
        </w:rPr>
        <w:t> </w:t>
      </w:r>
      <w:r>
        <w:rPr>
          <w:color w:val="231F20"/>
          <w:w w:val="105"/>
        </w:rPr>
        <w:t>determinada</w:t>
      </w:r>
      <w:r>
        <w:rPr>
          <w:color w:val="231F20"/>
          <w:spacing w:val="-13"/>
          <w:w w:val="105"/>
        </w:rPr>
        <w:t> </w:t>
      </w:r>
      <w:r>
        <w:rPr>
          <w:color w:val="231F20"/>
          <w:w w:val="105"/>
        </w:rPr>
        <w:t>por</w:t>
      </w:r>
      <w:r>
        <w:rPr>
          <w:color w:val="231F20"/>
          <w:spacing w:val="-13"/>
          <w:w w:val="105"/>
        </w:rPr>
        <w:t> </w:t>
      </w:r>
      <w:r>
        <w:rPr>
          <w:color w:val="231F20"/>
          <w:w w:val="105"/>
        </w:rPr>
        <w:t>el</w:t>
      </w:r>
      <w:r>
        <w:rPr>
          <w:color w:val="231F20"/>
          <w:spacing w:val="-13"/>
          <w:w w:val="105"/>
        </w:rPr>
        <w:t> </w:t>
      </w:r>
      <w:r>
        <w:rPr>
          <w:color w:val="231F20"/>
          <w:w w:val="105"/>
        </w:rPr>
        <w:t>incremento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dificultad</w:t>
      </w:r>
      <w:r>
        <w:rPr>
          <w:color w:val="231F20"/>
          <w:spacing w:val="-13"/>
          <w:w w:val="105"/>
        </w:rPr>
        <w:t> </w:t>
      </w:r>
      <w:r>
        <w:rPr>
          <w:color w:val="231F20"/>
          <w:w w:val="105"/>
        </w:rPr>
        <w:t>para conseguir trabajo en ese país agrava la situación, ya que por una parte el flujo de remesas en escenarios de crisis suele disminuir en los</w:t>
      </w:r>
      <w:r>
        <w:rPr>
          <w:color w:val="231F20"/>
          <w:spacing w:val="-33"/>
          <w:w w:val="105"/>
        </w:rPr>
        <w:t> </w:t>
      </w:r>
      <w:r>
        <w:rPr>
          <w:color w:val="231F20"/>
          <w:w w:val="105"/>
        </w:rPr>
        <w:t>hoga- res de migrantes mexicanos, por otro lado, en los territorios fronterizos se</w:t>
      </w:r>
      <w:r>
        <w:rPr>
          <w:color w:val="231F20"/>
          <w:spacing w:val="-11"/>
          <w:w w:val="105"/>
        </w:rPr>
        <w:t> </w:t>
      </w:r>
      <w:r>
        <w:rPr>
          <w:color w:val="231F20"/>
          <w:w w:val="105"/>
        </w:rPr>
        <w:t>estacionan</w:t>
      </w:r>
      <w:r>
        <w:rPr>
          <w:color w:val="231F20"/>
          <w:spacing w:val="-11"/>
          <w:w w:val="105"/>
        </w:rPr>
        <w:t> </w:t>
      </w:r>
      <w:r>
        <w:rPr>
          <w:color w:val="231F20"/>
          <w:w w:val="105"/>
        </w:rPr>
        <w:t>muchas</w:t>
      </w:r>
      <w:r>
        <w:rPr>
          <w:color w:val="231F20"/>
          <w:spacing w:val="-11"/>
          <w:w w:val="105"/>
        </w:rPr>
        <w:t> </w:t>
      </w:r>
      <w:r>
        <w:rPr>
          <w:color w:val="231F20"/>
          <w:w w:val="105"/>
        </w:rPr>
        <w:t>personas</w:t>
      </w:r>
      <w:r>
        <w:rPr>
          <w:color w:val="231F20"/>
          <w:spacing w:val="-11"/>
          <w:w w:val="105"/>
        </w:rPr>
        <w:t> </w:t>
      </w:r>
      <w:r>
        <w:rPr>
          <w:color w:val="231F20"/>
          <w:w w:val="105"/>
        </w:rPr>
        <w:t>deportadas</w:t>
      </w:r>
      <w:r>
        <w:rPr>
          <w:color w:val="231F20"/>
          <w:spacing w:val="-11"/>
          <w:w w:val="105"/>
        </w:rPr>
        <w:t> </w:t>
      </w:r>
      <w:r>
        <w:rPr>
          <w:color w:val="231F20"/>
          <w:w w:val="105"/>
        </w:rPr>
        <w:t>o</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pueden</w:t>
      </w:r>
      <w:r>
        <w:rPr>
          <w:color w:val="231F20"/>
          <w:spacing w:val="-11"/>
          <w:w w:val="105"/>
        </w:rPr>
        <w:t> </w:t>
      </w:r>
      <w:r>
        <w:rPr>
          <w:color w:val="231F20"/>
          <w:w w:val="105"/>
        </w:rPr>
        <w:t>pasar</w:t>
      </w:r>
      <w:r>
        <w:rPr>
          <w:color w:val="231F20"/>
          <w:spacing w:val="-11"/>
          <w:w w:val="105"/>
        </w:rPr>
        <w:t> </w:t>
      </w:r>
      <w:r>
        <w:rPr>
          <w:color w:val="231F20"/>
          <w:w w:val="105"/>
        </w:rPr>
        <w:t>por</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36736" from="15pt,-71.68644pt" to="0pt,-71.68644pt" stroked="true" strokeweight=".25pt" strokecolor="#000000">
            <w10:wrap type="none"/>
          </v:line>
        </w:pict>
      </w:r>
      <w:r>
        <w:rPr/>
        <w:pict>
          <v:line style="position:absolute;mso-position-horizontal-relative:page;mso-position-vertical-relative:paragraph;z-index:36760" from="508.890015pt,-71.68644pt" to="523.890015pt,-71.68644pt" stroked="true" strokeweight=".25pt" strokecolor="#000000">
            <w10:wrap type="none"/>
          </v:line>
        </w:pict>
      </w:r>
      <w:r>
        <w:rPr>
          <w:color w:val="231F20"/>
          <w:w w:val="105"/>
        </w:rPr>
        <w:t>el endurecimiento de las restricciones del gobierno Norteamericano, y finalmente los territorios de origen al recibir a una cantidad importante de</w:t>
      </w:r>
      <w:r>
        <w:rPr>
          <w:color w:val="231F20"/>
          <w:spacing w:val="-22"/>
          <w:w w:val="105"/>
        </w:rPr>
        <w:t> </w:t>
      </w:r>
      <w:r>
        <w:rPr>
          <w:color w:val="231F20"/>
          <w:w w:val="105"/>
        </w:rPr>
        <w:t>migrantes</w:t>
      </w:r>
      <w:r>
        <w:rPr>
          <w:color w:val="231F20"/>
          <w:spacing w:val="-22"/>
          <w:w w:val="105"/>
        </w:rPr>
        <w:t> </w:t>
      </w:r>
      <w:r>
        <w:rPr>
          <w:color w:val="231F20"/>
          <w:w w:val="105"/>
        </w:rPr>
        <w:t>retornados</w:t>
      </w:r>
      <w:r>
        <w:rPr>
          <w:color w:val="231F20"/>
          <w:spacing w:val="-22"/>
          <w:w w:val="105"/>
        </w:rPr>
        <w:t> </w:t>
      </w:r>
      <w:r>
        <w:rPr>
          <w:color w:val="231F20"/>
          <w:w w:val="105"/>
        </w:rPr>
        <w:t>encuentran</w:t>
      </w:r>
      <w:r>
        <w:rPr>
          <w:color w:val="231F20"/>
          <w:spacing w:val="-22"/>
          <w:w w:val="105"/>
        </w:rPr>
        <w:t> </w:t>
      </w:r>
      <w:r>
        <w:rPr>
          <w:color w:val="231F20"/>
          <w:w w:val="105"/>
        </w:rPr>
        <w:t>severas</w:t>
      </w:r>
      <w:r>
        <w:rPr>
          <w:color w:val="231F20"/>
          <w:spacing w:val="-22"/>
          <w:w w:val="105"/>
        </w:rPr>
        <w:t> </w:t>
      </w:r>
      <w:r>
        <w:rPr>
          <w:color w:val="231F20"/>
          <w:w w:val="105"/>
        </w:rPr>
        <w:t>dificultades</w:t>
      </w:r>
      <w:r>
        <w:rPr>
          <w:color w:val="231F20"/>
          <w:spacing w:val="-22"/>
          <w:w w:val="105"/>
        </w:rPr>
        <w:t> </w:t>
      </w:r>
      <w:r>
        <w:rPr>
          <w:color w:val="231F20"/>
          <w:w w:val="105"/>
        </w:rPr>
        <w:t>para</w:t>
      </w:r>
      <w:r>
        <w:rPr>
          <w:color w:val="231F20"/>
          <w:spacing w:val="-22"/>
          <w:w w:val="105"/>
        </w:rPr>
        <w:t> </w:t>
      </w:r>
      <w:r>
        <w:rPr>
          <w:color w:val="231F20"/>
          <w:w w:val="105"/>
        </w:rPr>
        <w:t>emplear</w:t>
      </w:r>
      <w:r>
        <w:rPr>
          <w:color w:val="231F20"/>
          <w:spacing w:val="-22"/>
          <w:w w:val="105"/>
        </w:rPr>
        <w:t> </w:t>
      </w:r>
      <w:r>
        <w:rPr>
          <w:color w:val="231F20"/>
          <w:w w:val="105"/>
        </w:rPr>
        <w:t>a una</w:t>
      </w:r>
      <w:r>
        <w:rPr>
          <w:color w:val="231F20"/>
          <w:spacing w:val="-12"/>
          <w:w w:val="105"/>
        </w:rPr>
        <w:t> </w:t>
      </w:r>
      <w:r>
        <w:rPr>
          <w:color w:val="231F20"/>
          <w:w w:val="105"/>
        </w:rPr>
        <w:t>población</w:t>
      </w:r>
      <w:r>
        <w:rPr>
          <w:color w:val="231F20"/>
          <w:spacing w:val="-12"/>
          <w:w w:val="105"/>
        </w:rPr>
        <w:t> </w:t>
      </w:r>
      <w:r>
        <w:rPr>
          <w:color w:val="231F20"/>
          <w:w w:val="105"/>
        </w:rPr>
        <w:t>con</w:t>
      </w:r>
      <w:r>
        <w:rPr>
          <w:color w:val="231F20"/>
          <w:spacing w:val="-12"/>
          <w:w w:val="105"/>
        </w:rPr>
        <w:t> </w:t>
      </w:r>
      <w:r>
        <w:rPr>
          <w:color w:val="231F20"/>
          <w:w w:val="105"/>
        </w:rPr>
        <w:t>muchas</w:t>
      </w:r>
      <w:r>
        <w:rPr>
          <w:color w:val="231F20"/>
          <w:spacing w:val="-12"/>
          <w:w w:val="105"/>
        </w:rPr>
        <w:t> </w:t>
      </w:r>
      <w:r>
        <w:rPr>
          <w:color w:val="231F20"/>
          <w:w w:val="105"/>
        </w:rPr>
        <w:t>necesidades</w:t>
      </w:r>
      <w:r>
        <w:rPr>
          <w:color w:val="231F20"/>
          <w:spacing w:val="-12"/>
          <w:w w:val="105"/>
        </w:rPr>
        <w:t> </w:t>
      </w:r>
      <w:r>
        <w:rPr>
          <w:color w:val="231F20"/>
          <w:w w:val="105"/>
        </w:rPr>
        <w:t>y</w:t>
      </w:r>
      <w:r>
        <w:rPr>
          <w:color w:val="231F20"/>
          <w:spacing w:val="-12"/>
          <w:w w:val="105"/>
        </w:rPr>
        <w:t> </w:t>
      </w:r>
      <w:r>
        <w:rPr>
          <w:color w:val="231F20"/>
          <w:w w:val="105"/>
        </w:rPr>
        <w:t>habida</w:t>
      </w:r>
      <w:r>
        <w:rPr>
          <w:color w:val="231F20"/>
          <w:spacing w:val="-12"/>
          <w:w w:val="105"/>
        </w:rPr>
        <w:t> </w:t>
      </w:r>
      <w:r>
        <w:rPr>
          <w:color w:val="231F20"/>
          <w:w w:val="105"/>
        </w:rPr>
        <w:t>de</w:t>
      </w:r>
      <w:r>
        <w:rPr>
          <w:color w:val="231F20"/>
          <w:spacing w:val="-12"/>
          <w:w w:val="105"/>
        </w:rPr>
        <w:t> </w:t>
      </w:r>
      <w:r>
        <w:rPr>
          <w:color w:val="231F20"/>
          <w:w w:val="105"/>
        </w:rPr>
        <w:t>oportunidades.</w:t>
      </w:r>
    </w:p>
    <w:p>
      <w:pPr>
        <w:pStyle w:val="BodyText"/>
        <w:spacing w:before="8"/>
        <w:rPr>
          <w:sz w:val="22"/>
        </w:rPr>
      </w:pPr>
    </w:p>
    <w:p>
      <w:pPr>
        <w:spacing w:before="0"/>
        <w:ind w:left="1723" w:right="0" w:firstLine="0"/>
        <w:jc w:val="both"/>
        <w:rPr>
          <w:rFonts w:ascii="Arial"/>
          <w:i/>
          <w:sz w:val="21"/>
        </w:rPr>
      </w:pPr>
      <w:r>
        <w:rPr>
          <w:rFonts w:ascii="Arial"/>
          <w:i/>
          <w:color w:val="231F20"/>
          <w:sz w:val="21"/>
        </w:rPr>
        <w:t>El cruce</w:t>
      </w:r>
    </w:p>
    <w:p>
      <w:pPr>
        <w:pStyle w:val="BodyText"/>
        <w:spacing w:before="5"/>
        <w:rPr>
          <w:rFonts w:ascii="Arial"/>
          <w:i/>
          <w:sz w:val="24"/>
        </w:rPr>
      </w:pPr>
    </w:p>
    <w:p>
      <w:pPr>
        <w:pStyle w:val="BodyText"/>
        <w:spacing w:line="261" w:lineRule="auto" w:before="1"/>
        <w:ind w:left="1723" w:right="1835"/>
        <w:jc w:val="both"/>
      </w:pPr>
      <w:r>
        <w:rPr>
          <w:color w:val="231F20"/>
          <w:w w:val="105"/>
        </w:rPr>
        <w:t>Las</w:t>
      </w:r>
      <w:r>
        <w:rPr>
          <w:color w:val="231F20"/>
          <w:spacing w:val="-19"/>
          <w:w w:val="105"/>
        </w:rPr>
        <w:t> </w:t>
      </w:r>
      <w:r>
        <w:rPr>
          <w:color w:val="231F20"/>
          <w:w w:val="105"/>
        </w:rPr>
        <w:t>redes</w:t>
      </w:r>
      <w:r>
        <w:rPr>
          <w:color w:val="231F20"/>
          <w:spacing w:val="-19"/>
          <w:w w:val="105"/>
        </w:rPr>
        <w:t> </w:t>
      </w:r>
      <w:r>
        <w:rPr>
          <w:color w:val="231F20"/>
          <w:w w:val="105"/>
        </w:rPr>
        <w:t>sociales</w:t>
      </w:r>
      <w:r>
        <w:rPr>
          <w:color w:val="231F20"/>
          <w:spacing w:val="-19"/>
          <w:w w:val="105"/>
        </w:rPr>
        <w:t> </w:t>
      </w:r>
      <w:r>
        <w:rPr>
          <w:color w:val="231F20"/>
          <w:w w:val="105"/>
        </w:rPr>
        <w:t>y</w:t>
      </w:r>
      <w:r>
        <w:rPr>
          <w:color w:val="231F20"/>
          <w:spacing w:val="-19"/>
          <w:w w:val="105"/>
        </w:rPr>
        <w:t> </w:t>
      </w:r>
      <w:r>
        <w:rPr>
          <w:color w:val="231F20"/>
          <w:w w:val="105"/>
        </w:rPr>
        <w:t>familiares</w:t>
      </w:r>
      <w:r>
        <w:rPr>
          <w:color w:val="231F20"/>
          <w:spacing w:val="-19"/>
          <w:w w:val="105"/>
        </w:rPr>
        <w:t> </w:t>
      </w:r>
      <w:r>
        <w:rPr>
          <w:color w:val="231F20"/>
          <w:w w:val="105"/>
        </w:rPr>
        <w:t>permiten</w:t>
      </w:r>
      <w:r>
        <w:rPr>
          <w:color w:val="231F20"/>
          <w:spacing w:val="-19"/>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w w:val="105"/>
        </w:rPr>
        <w:t>migrantes</w:t>
      </w:r>
      <w:r>
        <w:rPr>
          <w:color w:val="231F20"/>
          <w:spacing w:val="-19"/>
          <w:w w:val="105"/>
        </w:rPr>
        <w:t> </w:t>
      </w:r>
      <w:r>
        <w:rPr>
          <w:color w:val="231F20"/>
          <w:w w:val="105"/>
        </w:rPr>
        <w:t>lograr</w:t>
      </w:r>
      <w:r>
        <w:rPr>
          <w:color w:val="231F20"/>
          <w:spacing w:val="-19"/>
          <w:w w:val="105"/>
        </w:rPr>
        <w:t> </w:t>
      </w:r>
      <w:r>
        <w:rPr>
          <w:color w:val="231F20"/>
          <w:w w:val="105"/>
        </w:rPr>
        <w:t>con</w:t>
      </w:r>
      <w:r>
        <w:rPr>
          <w:color w:val="231F20"/>
          <w:spacing w:val="-19"/>
          <w:w w:val="105"/>
        </w:rPr>
        <w:t> </w:t>
      </w:r>
      <w:r>
        <w:rPr>
          <w:color w:val="231F20"/>
          <w:w w:val="105"/>
        </w:rPr>
        <w:t>relati- vo</w:t>
      </w:r>
      <w:r>
        <w:rPr>
          <w:color w:val="231F20"/>
          <w:spacing w:val="-17"/>
          <w:w w:val="105"/>
        </w:rPr>
        <w:t> </w:t>
      </w:r>
      <w:r>
        <w:rPr>
          <w:color w:val="231F20"/>
          <w:w w:val="105"/>
        </w:rPr>
        <w:t>éxito</w:t>
      </w:r>
      <w:r>
        <w:rPr>
          <w:color w:val="231F20"/>
          <w:spacing w:val="-17"/>
          <w:w w:val="105"/>
        </w:rPr>
        <w:t> </w:t>
      </w:r>
      <w:r>
        <w:rPr>
          <w:color w:val="231F20"/>
          <w:w w:val="105"/>
        </w:rPr>
        <w:t>cruzar</w:t>
      </w:r>
      <w:r>
        <w:rPr>
          <w:color w:val="231F20"/>
          <w:spacing w:val="-17"/>
          <w:w w:val="105"/>
        </w:rPr>
        <w:t> </w:t>
      </w:r>
      <w:r>
        <w:rPr>
          <w:color w:val="231F20"/>
          <w:w w:val="105"/>
        </w:rPr>
        <w:t>la</w:t>
      </w:r>
      <w:r>
        <w:rPr>
          <w:color w:val="231F20"/>
          <w:spacing w:val="-17"/>
          <w:w w:val="105"/>
        </w:rPr>
        <w:t> </w:t>
      </w:r>
      <w:r>
        <w:rPr>
          <w:color w:val="231F20"/>
          <w:w w:val="105"/>
        </w:rPr>
        <w:t>frontera</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w w:val="105"/>
        </w:rPr>
        <w:t>Estados</w:t>
      </w:r>
      <w:r>
        <w:rPr>
          <w:color w:val="231F20"/>
          <w:spacing w:val="-17"/>
          <w:w w:val="105"/>
        </w:rPr>
        <w:t> </w:t>
      </w:r>
      <w:r>
        <w:rPr>
          <w:color w:val="231F20"/>
          <w:w w:val="105"/>
        </w:rPr>
        <w:t>Unidos</w:t>
      </w:r>
      <w:r>
        <w:rPr>
          <w:color w:val="231F20"/>
          <w:spacing w:val="-17"/>
          <w:w w:val="105"/>
        </w:rPr>
        <w:t> </w:t>
      </w:r>
      <w:r>
        <w:rPr>
          <w:color w:val="231F20"/>
          <w:w w:val="105"/>
        </w:rPr>
        <w:t>con</w:t>
      </w:r>
      <w:r>
        <w:rPr>
          <w:color w:val="231F20"/>
          <w:spacing w:val="-17"/>
          <w:w w:val="105"/>
        </w:rPr>
        <w:t> </w:t>
      </w:r>
      <w:r>
        <w:rPr>
          <w:color w:val="231F20"/>
          <w:w w:val="105"/>
        </w:rPr>
        <w:t>todo</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situación</w:t>
      </w:r>
      <w:r>
        <w:rPr>
          <w:color w:val="231F20"/>
          <w:spacing w:val="-17"/>
          <w:w w:val="105"/>
        </w:rPr>
        <w:t> </w:t>
      </w:r>
      <w:r>
        <w:rPr>
          <w:color w:val="231F20"/>
          <w:w w:val="105"/>
        </w:rPr>
        <w:t>de riesgo</w:t>
      </w:r>
      <w:r>
        <w:rPr>
          <w:color w:val="231F20"/>
          <w:spacing w:val="-11"/>
          <w:w w:val="105"/>
        </w:rPr>
        <w:t> </w:t>
      </w:r>
      <w:r>
        <w:rPr>
          <w:color w:val="231F20"/>
          <w:w w:val="105"/>
        </w:rPr>
        <w:t>que</w:t>
      </w:r>
      <w:r>
        <w:rPr>
          <w:color w:val="231F20"/>
          <w:spacing w:val="-11"/>
          <w:w w:val="105"/>
        </w:rPr>
        <w:t> </w:t>
      </w:r>
      <w:r>
        <w:rPr>
          <w:color w:val="231F20"/>
          <w:w w:val="105"/>
        </w:rPr>
        <w:t>ello</w:t>
      </w:r>
      <w:r>
        <w:rPr>
          <w:color w:val="231F20"/>
          <w:spacing w:val="-11"/>
          <w:w w:val="105"/>
        </w:rPr>
        <w:t> </w:t>
      </w:r>
      <w:r>
        <w:rPr>
          <w:color w:val="231F20"/>
          <w:w w:val="105"/>
        </w:rPr>
        <w:t>significa</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actualidad.</w:t>
      </w:r>
    </w:p>
    <w:p>
      <w:pPr>
        <w:pStyle w:val="BodyText"/>
        <w:spacing w:line="261" w:lineRule="auto" w:before="1"/>
        <w:ind w:left="1723" w:right="1829" w:firstLine="567"/>
        <w:jc w:val="both"/>
      </w:pPr>
      <w:r>
        <w:rPr>
          <w:color w:val="231F20"/>
          <w:w w:val="105"/>
        </w:rPr>
        <w:t>Aunque el flujo de migrantes que salieron de México a Estados Unidos durante el periodo 2004-2009 se distribuye en casi todo el te- rritorio</w:t>
      </w:r>
      <w:r>
        <w:rPr>
          <w:color w:val="231F20"/>
          <w:spacing w:val="-21"/>
          <w:w w:val="105"/>
        </w:rPr>
        <w:t> </w:t>
      </w:r>
      <w:r>
        <w:rPr>
          <w:color w:val="231F20"/>
          <w:w w:val="105"/>
        </w:rPr>
        <w:t>estadounidense,</w:t>
      </w:r>
      <w:r>
        <w:rPr>
          <w:color w:val="231F20"/>
          <w:spacing w:val="-25"/>
          <w:w w:val="105"/>
        </w:rPr>
        <w:t> </w:t>
      </w:r>
      <w:r>
        <w:rPr>
          <w:color w:val="231F20"/>
          <w:w w:val="105"/>
        </w:rPr>
        <w:t>resaltan</w:t>
      </w:r>
      <w:r>
        <w:rPr>
          <w:color w:val="231F20"/>
          <w:spacing w:val="-21"/>
          <w:w w:val="105"/>
        </w:rPr>
        <w:t> </w:t>
      </w:r>
      <w:r>
        <w:rPr>
          <w:color w:val="231F20"/>
          <w:w w:val="105"/>
        </w:rPr>
        <w:t>California</w:t>
      </w:r>
      <w:r>
        <w:rPr>
          <w:color w:val="231F20"/>
          <w:spacing w:val="-21"/>
          <w:w w:val="105"/>
        </w:rPr>
        <w:t> </w:t>
      </w:r>
      <w:r>
        <w:rPr>
          <w:color w:val="231F20"/>
          <w:w w:val="105"/>
        </w:rPr>
        <w:t>con</w:t>
      </w:r>
      <w:r>
        <w:rPr>
          <w:color w:val="231F20"/>
          <w:spacing w:val="-21"/>
          <w:w w:val="105"/>
        </w:rPr>
        <w:t> </w:t>
      </w:r>
      <w:r>
        <w:rPr>
          <w:color w:val="231F20"/>
          <w:w w:val="105"/>
        </w:rPr>
        <w:t>30.7%,</w:t>
      </w:r>
      <w:r>
        <w:rPr>
          <w:color w:val="231F20"/>
          <w:spacing w:val="-28"/>
          <w:w w:val="105"/>
        </w:rPr>
        <w:t> </w:t>
      </w:r>
      <w:r>
        <w:rPr>
          <w:color w:val="231F20"/>
          <w:spacing w:val="-5"/>
          <w:w w:val="105"/>
        </w:rPr>
        <w:t>Texas</w:t>
      </w:r>
      <w:r>
        <w:rPr>
          <w:color w:val="231F20"/>
          <w:spacing w:val="-21"/>
          <w:w w:val="105"/>
        </w:rPr>
        <w:t> </w:t>
      </w:r>
      <w:r>
        <w:rPr>
          <w:color w:val="231F20"/>
          <w:w w:val="105"/>
        </w:rPr>
        <w:t>con</w:t>
      </w:r>
      <w:r>
        <w:rPr>
          <w:color w:val="231F20"/>
          <w:spacing w:val="-21"/>
          <w:w w:val="105"/>
        </w:rPr>
        <w:t> </w:t>
      </w:r>
      <w:r>
        <w:rPr>
          <w:color w:val="231F20"/>
          <w:w w:val="105"/>
        </w:rPr>
        <w:t>16.4%, Florida</w:t>
      </w:r>
      <w:r>
        <w:rPr>
          <w:color w:val="231F20"/>
          <w:spacing w:val="-25"/>
          <w:w w:val="105"/>
        </w:rPr>
        <w:t> </w:t>
      </w:r>
      <w:r>
        <w:rPr>
          <w:color w:val="231F20"/>
          <w:w w:val="105"/>
        </w:rPr>
        <w:t>con</w:t>
      </w:r>
      <w:r>
        <w:rPr>
          <w:color w:val="231F20"/>
          <w:spacing w:val="-25"/>
          <w:w w:val="105"/>
        </w:rPr>
        <w:t> </w:t>
      </w:r>
      <w:r>
        <w:rPr>
          <w:color w:val="231F20"/>
          <w:w w:val="105"/>
        </w:rPr>
        <w:t>8.1%,</w:t>
      </w:r>
      <w:r>
        <w:rPr>
          <w:color w:val="231F20"/>
          <w:spacing w:val="-32"/>
          <w:w w:val="105"/>
        </w:rPr>
        <w:t> </w:t>
      </w:r>
      <w:r>
        <w:rPr>
          <w:color w:val="231F20"/>
          <w:w w:val="105"/>
        </w:rPr>
        <w:t>Arizona</w:t>
      </w:r>
      <w:r>
        <w:rPr>
          <w:color w:val="231F20"/>
          <w:spacing w:val="-25"/>
          <w:w w:val="105"/>
        </w:rPr>
        <w:t> </w:t>
      </w:r>
      <w:r>
        <w:rPr>
          <w:color w:val="231F20"/>
          <w:w w:val="105"/>
        </w:rPr>
        <w:t>con</w:t>
      </w:r>
      <w:r>
        <w:rPr>
          <w:color w:val="231F20"/>
          <w:spacing w:val="-25"/>
          <w:w w:val="105"/>
        </w:rPr>
        <w:t> </w:t>
      </w:r>
      <w:r>
        <w:rPr>
          <w:color w:val="231F20"/>
          <w:w w:val="105"/>
        </w:rPr>
        <w:t>6.9%,</w:t>
      </w:r>
      <w:r>
        <w:rPr>
          <w:color w:val="231F20"/>
          <w:spacing w:val="-30"/>
          <w:w w:val="105"/>
        </w:rPr>
        <w:t> </w:t>
      </w:r>
      <w:r>
        <w:rPr>
          <w:color w:val="231F20"/>
          <w:w w:val="105"/>
        </w:rPr>
        <w:t>New</w:t>
      </w:r>
      <w:r>
        <w:rPr>
          <w:color w:val="231F20"/>
          <w:spacing w:val="-29"/>
          <w:w w:val="105"/>
        </w:rPr>
        <w:t> </w:t>
      </w:r>
      <w:r>
        <w:rPr>
          <w:color w:val="231F20"/>
          <w:spacing w:val="-5"/>
          <w:w w:val="105"/>
        </w:rPr>
        <w:t>York</w:t>
      </w:r>
      <w:r>
        <w:rPr>
          <w:color w:val="231F20"/>
          <w:spacing w:val="-25"/>
          <w:w w:val="105"/>
        </w:rPr>
        <w:t> </w:t>
      </w:r>
      <w:r>
        <w:rPr>
          <w:color w:val="231F20"/>
          <w:w w:val="105"/>
        </w:rPr>
        <w:t>con</w:t>
      </w:r>
      <w:r>
        <w:rPr>
          <w:color w:val="231F20"/>
          <w:spacing w:val="-25"/>
          <w:w w:val="105"/>
        </w:rPr>
        <w:t> </w:t>
      </w:r>
      <w:r>
        <w:rPr>
          <w:color w:val="231F20"/>
          <w:w w:val="105"/>
        </w:rPr>
        <w:t>6.6%,</w:t>
      </w:r>
      <w:r>
        <w:rPr>
          <w:color w:val="231F20"/>
          <w:spacing w:val="-30"/>
          <w:w w:val="105"/>
        </w:rPr>
        <w:t> </w:t>
      </w:r>
      <w:r>
        <w:rPr>
          <w:color w:val="231F20"/>
          <w:w w:val="105"/>
        </w:rPr>
        <w:t>Illinois</w:t>
      </w:r>
      <w:r>
        <w:rPr>
          <w:color w:val="231F20"/>
          <w:spacing w:val="-25"/>
          <w:w w:val="105"/>
        </w:rPr>
        <w:t> </w:t>
      </w:r>
      <w:r>
        <w:rPr>
          <w:color w:val="231F20"/>
          <w:w w:val="105"/>
        </w:rPr>
        <w:t>con</w:t>
      </w:r>
      <w:r>
        <w:rPr>
          <w:color w:val="231F20"/>
          <w:spacing w:val="-25"/>
          <w:w w:val="105"/>
        </w:rPr>
        <w:t> </w:t>
      </w:r>
      <w:r>
        <w:rPr>
          <w:color w:val="231F20"/>
          <w:w w:val="105"/>
        </w:rPr>
        <w:t>5.4% y Georgia con 4% como las principales entidades de destino (</w:t>
      </w:r>
      <w:r>
        <w:rPr>
          <w:color w:val="231F20"/>
          <w:w w:val="105"/>
          <w:sz w:val="17"/>
        </w:rPr>
        <w:t>ENADID</w:t>
      </w:r>
      <w:r>
        <w:rPr>
          <w:color w:val="231F20"/>
          <w:w w:val="105"/>
        </w:rPr>
        <w:t>, 2009).</w:t>
      </w:r>
      <w:r>
        <w:rPr>
          <w:color w:val="231F20"/>
          <w:spacing w:val="-15"/>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medida</w:t>
      </w:r>
      <w:r>
        <w:rPr>
          <w:color w:val="231F20"/>
          <w:spacing w:val="-10"/>
          <w:w w:val="105"/>
        </w:rPr>
        <w:t> </w:t>
      </w:r>
      <w:r>
        <w:rPr>
          <w:color w:val="231F20"/>
          <w:w w:val="105"/>
        </w:rPr>
        <w:t>en</w:t>
      </w:r>
      <w:r>
        <w:rPr>
          <w:color w:val="231F20"/>
          <w:spacing w:val="-10"/>
          <w:w w:val="105"/>
        </w:rPr>
        <w:t> </w:t>
      </w:r>
      <w:r>
        <w:rPr>
          <w:color w:val="231F20"/>
          <w:w w:val="105"/>
        </w:rPr>
        <w:t>que</w:t>
      </w:r>
      <w:r>
        <w:rPr>
          <w:color w:val="231F20"/>
          <w:spacing w:val="-10"/>
          <w:w w:val="105"/>
        </w:rPr>
        <w:t> </w:t>
      </w:r>
      <w:r>
        <w:rPr>
          <w:color w:val="231F20"/>
          <w:w w:val="105"/>
        </w:rPr>
        <w:t>las</w:t>
      </w:r>
      <w:r>
        <w:rPr>
          <w:color w:val="231F20"/>
          <w:spacing w:val="-10"/>
          <w:w w:val="105"/>
        </w:rPr>
        <w:t> </w:t>
      </w:r>
      <w:r>
        <w:rPr>
          <w:color w:val="231F20"/>
          <w:w w:val="105"/>
        </w:rPr>
        <w:t>restricciones</w:t>
      </w:r>
      <w:r>
        <w:rPr>
          <w:color w:val="231F20"/>
          <w:spacing w:val="-10"/>
          <w:w w:val="105"/>
        </w:rPr>
        <w:t> </w:t>
      </w:r>
      <w:r>
        <w:rPr>
          <w:color w:val="231F20"/>
          <w:w w:val="105"/>
        </w:rPr>
        <w:t>hicieron</w:t>
      </w:r>
      <w:r>
        <w:rPr>
          <w:color w:val="231F20"/>
          <w:spacing w:val="-10"/>
          <w:w w:val="105"/>
        </w:rPr>
        <w:t> </w:t>
      </w:r>
      <w:r>
        <w:rPr>
          <w:color w:val="231F20"/>
          <w:w w:val="105"/>
        </w:rPr>
        <w:t>más</w:t>
      </w:r>
      <w:r>
        <w:rPr>
          <w:color w:val="231F20"/>
          <w:spacing w:val="-10"/>
          <w:w w:val="105"/>
        </w:rPr>
        <w:t> </w:t>
      </w:r>
      <w:r>
        <w:rPr>
          <w:color w:val="231F20"/>
          <w:w w:val="105"/>
        </w:rPr>
        <w:t>difícil</w:t>
      </w:r>
      <w:r>
        <w:rPr>
          <w:color w:val="231F20"/>
          <w:spacing w:val="-10"/>
          <w:w w:val="105"/>
        </w:rPr>
        <w:t> </w:t>
      </w:r>
      <w:r>
        <w:rPr>
          <w:color w:val="231F20"/>
          <w:w w:val="105"/>
        </w:rPr>
        <w:t>el</w:t>
      </w:r>
      <w:r>
        <w:rPr>
          <w:color w:val="231F20"/>
          <w:spacing w:val="-10"/>
          <w:w w:val="105"/>
        </w:rPr>
        <w:t> </w:t>
      </w:r>
      <w:r>
        <w:rPr>
          <w:color w:val="231F20"/>
          <w:w w:val="105"/>
        </w:rPr>
        <w:t>cruce fronterizo, el flujo migratorio se fue desplazando hacia lugares despo- blados e inhóspitos, por donde se dificulta la detección por parte de la patrulla</w:t>
      </w:r>
      <w:r>
        <w:rPr>
          <w:color w:val="231F20"/>
          <w:spacing w:val="-18"/>
          <w:w w:val="105"/>
        </w:rPr>
        <w:t> </w:t>
      </w:r>
      <w:r>
        <w:rPr>
          <w:color w:val="231F20"/>
          <w:w w:val="105"/>
        </w:rPr>
        <w:t>fronteriza.</w:t>
      </w:r>
      <w:r>
        <w:rPr>
          <w:color w:val="231F20"/>
          <w:spacing w:val="-23"/>
          <w:w w:val="105"/>
        </w:rPr>
        <w:t> </w:t>
      </w:r>
      <w:r>
        <w:rPr>
          <w:color w:val="231F20"/>
          <w:w w:val="105"/>
        </w:rPr>
        <w:t>De</w:t>
      </w:r>
      <w:r>
        <w:rPr>
          <w:color w:val="231F20"/>
          <w:spacing w:val="-18"/>
          <w:w w:val="105"/>
        </w:rPr>
        <w:t> </w:t>
      </w:r>
      <w:r>
        <w:rPr>
          <w:color w:val="231F20"/>
          <w:w w:val="105"/>
        </w:rPr>
        <w:t>acuerdo</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sz w:val="17"/>
        </w:rPr>
        <w:t>EMIF</w:t>
      </w:r>
      <w:r>
        <w:rPr>
          <w:color w:val="231F20"/>
          <w:spacing w:val="-7"/>
          <w:w w:val="105"/>
          <w:sz w:val="17"/>
        </w:rPr>
        <w:t> </w:t>
      </w:r>
      <w:r>
        <w:rPr>
          <w:color w:val="231F20"/>
          <w:w w:val="105"/>
        </w:rPr>
        <w:t>Norte</w:t>
      </w:r>
      <w:r>
        <w:rPr>
          <w:color w:val="231F20"/>
          <w:spacing w:val="-18"/>
          <w:w w:val="105"/>
        </w:rPr>
        <w:t> </w:t>
      </w:r>
      <w:r>
        <w:rPr>
          <w:color w:val="231F20"/>
          <w:w w:val="105"/>
        </w:rPr>
        <w:t>(2010),</w:t>
      </w:r>
      <w:r>
        <w:rPr>
          <w:color w:val="231F20"/>
          <w:spacing w:val="-23"/>
          <w:w w:val="105"/>
        </w:rPr>
        <w:t> </w:t>
      </w:r>
      <w:r>
        <w:rPr>
          <w:color w:val="231F20"/>
          <w:w w:val="105"/>
        </w:rPr>
        <w:t>los</w:t>
      </w:r>
      <w:r>
        <w:rPr>
          <w:color w:val="231F20"/>
          <w:spacing w:val="-18"/>
          <w:w w:val="105"/>
        </w:rPr>
        <w:t> </w:t>
      </w:r>
      <w:r>
        <w:rPr>
          <w:color w:val="231F20"/>
          <w:w w:val="105"/>
        </w:rPr>
        <w:t>migrantes</w:t>
      </w:r>
      <w:r>
        <w:rPr>
          <w:color w:val="231F20"/>
          <w:spacing w:val="-18"/>
          <w:w w:val="105"/>
        </w:rPr>
        <w:t> </w:t>
      </w:r>
      <w:r>
        <w:rPr>
          <w:color w:val="231F20"/>
          <w:w w:val="105"/>
        </w:rPr>
        <w:t>no documentados se han apartado de las ciudades de cruces tradiciona- les,</w:t>
      </w:r>
      <w:r>
        <w:rPr>
          <w:color w:val="231F20"/>
          <w:spacing w:val="-23"/>
          <w:w w:val="105"/>
        </w:rPr>
        <w:t> </w:t>
      </w:r>
      <w:r>
        <w:rPr>
          <w:color w:val="231F20"/>
          <w:w w:val="105"/>
        </w:rPr>
        <w:t>como</w:t>
      </w:r>
      <w:r>
        <w:rPr>
          <w:color w:val="231F20"/>
          <w:spacing w:val="-21"/>
          <w:w w:val="105"/>
        </w:rPr>
        <w:t> </w:t>
      </w:r>
      <w:r>
        <w:rPr>
          <w:color w:val="231F20"/>
          <w:w w:val="105"/>
        </w:rPr>
        <w:t>Tijuana,</w:t>
      </w:r>
      <w:r>
        <w:rPr>
          <w:color w:val="231F20"/>
          <w:spacing w:val="-23"/>
          <w:w w:val="105"/>
        </w:rPr>
        <w:t> </w:t>
      </w:r>
      <w:r>
        <w:rPr>
          <w:color w:val="231F20"/>
          <w:w w:val="105"/>
        </w:rPr>
        <w:t>Ciudad</w:t>
      </w:r>
      <w:r>
        <w:rPr>
          <w:color w:val="231F20"/>
          <w:spacing w:val="-20"/>
          <w:w w:val="105"/>
        </w:rPr>
        <w:t> </w:t>
      </w:r>
      <w:r>
        <w:rPr>
          <w:color w:val="231F20"/>
          <w:w w:val="105"/>
        </w:rPr>
        <w:t>Juárez</w:t>
      </w:r>
      <w:r>
        <w:rPr>
          <w:color w:val="231F20"/>
          <w:spacing w:val="-17"/>
          <w:w w:val="105"/>
        </w:rPr>
        <w:t> </w:t>
      </w:r>
      <w:r>
        <w:rPr>
          <w:color w:val="231F20"/>
          <w:w w:val="105"/>
        </w:rPr>
        <w:t>y</w:t>
      </w:r>
      <w:r>
        <w:rPr>
          <w:color w:val="231F20"/>
          <w:spacing w:val="-17"/>
          <w:w w:val="105"/>
        </w:rPr>
        <w:t> </w:t>
      </w:r>
      <w:r>
        <w:rPr>
          <w:color w:val="231F20"/>
          <w:w w:val="105"/>
        </w:rPr>
        <w:t>Nuevo</w:t>
      </w:r>
      <w:r>
        <w:rPr>
          <w:color w:val="231F20"/>
          <w:spacing w:val="-17"/>
          <w:w w:val="105"/>
        </w:rPr>
        <w:t> </w:t>
      </w:r>
      <w:r>
        <w:rPr>
          <w:color w:val="231F20"/>
          <w:w w:val="105"/>
        </w:rPr>
        <w:t>Laredo,</w:t>
      </w:r>
      <w:r>
        <w:rPr>
          <w:color w:val="231F20"/>
          <w:spacing w:val="-23"/>
          <w:w w:val="105"/>
        </w:rPr>
        <w:t> </w:t>
      </w:r>
      <w:r>
        <w:rPr>
          <w:color w:val="231F20"/>
          <w:w w:val="105"/>
        </w:rPr>
        <w:t>y</w:t>
      </w:r>
      <w:r>
        <w:rPr>
          <w:color w:val="231F20"/>
          <w:spacing w:val="-17"/>
          <w:w w:val="105"/>
        </w:rPr>
        <w:t> </w:t>
      </w:r>
      <w:r>
        <w:rPr>
          <w:color w:val="231F20"/>
          <w:w w:val="105"/>
        </w:rPr>
        <w:t>trasladado</w:t>
      </w:r>
      <w:r>
        <w:rPr>
          <w:color w:val="231F20"/>
          <w:spacing w:val="-17"/>
          <w:w w:val="105"/>
        </w:rPr>
        <w:t> </w:t>
      </w:r>
      <w:r>
        <w:rPr>
          <w:color w:val="231F20"/>
          <w:w w:val="105"/>
        </w:rPr>
        <w:t>en</w:t>
      </w:r>
      <w:r>
        <w:rPr>
          <w:color w:val="231F20"/>
          <w:spacing w:val="-17"/>
          <w:w w:val="105"/>
        </w:rPr>
        <w:t> </w:t>
      </w:r>
      <w:r>
        <w:rPr>
          <w:color w:val="231F20"/>
          <w:w w:val="105"/>
        </w:rPr>
        <w:t>forma progresiva</w:t>
      </w:r>
      <w:r>
        <w:rPr>
          <w:color w:val="231F20"/>
          <w:spacing w:val="-21"/>
          <w:w w:val="105"/>
        </w:rPr>
        <w:t> </w:t>
      </w:r>
      <w:r>
        <w:rPr>
          <w:color w:val="231F20"/>
          <w:w w:val="105"/>
        </w:rPr>
        <w:t>y</w:t>
      </w:r>
      <w:r>
        <w:rPr>
          <w:color w:val="231F20"/>
          <w:spacing w:val="-21"/>
          <w:w w:val="105"/>
        </w:rPr>
        <w:t> </w:t>
      </w:r>
      <w:r>
        <w:rPr>
          <w:color w:val="231F20"/>
          <w:w w:val="105"/>
        </w:rPr>
        <w:t>creciente</w:t>
      </w:r>
      <w:r>
        <w:rPr>
          <w:color w:val="231F20"/>
          <w:spacing w:val="-21"/>
          <w:w w:val="105"/>
        </w:rPr>
        <w:t> </w:t>
      </w:r>
      <w:r>
        <w:rPr>
          <w:color w:val="231F20"/>
          <w:w w:val="105"/>
        </w:rPr>
        <w:t>a</w:t>
      </w:r>
      <w:r>
        <w:rPr>
          <w:color w:val="231F20"/>
          <w:spacing w:val="-21"/>
          <w:w w:val="105"/>
        </w:rPr>
        <w:t> </w:t>
      </w:r>
      <w:r>
        <w:rPr>
          <w:color w:val="231F20"/>
          <w:w w:val="105"/>
        </w:rPr>
        <w:t>Sonora</w:t>
      </w:r>
      <w:r>
        <w:rPr>
          <w:color w:val="231F20"/>
          <w:spacing w:val="-21"/>
          <w:w w:val="105"/>
        </w:rPr>
        <w:t> </w:t>
      </w:r>
      <w:r>
        <w:rPr>
          <w:color w:val="231F20"/>
          <w:w w:val="105"/>
        </w:rPr>
        <w:t>(San</w:t>
      </w:r>
      <w:r>
        <w:rPr>
          <w:color w:val="231F20"/>
          <w:spacing w:val="-21"/>
          <w:w w:val="105"/>
        </w:rPr>
        <w:t> </w:t>
      </w:r>
      <w:r>
        <w:rPr>
          <w:color w:val="231F20"/>
          <w:w w:val="105"/>
        </w:rPr>
        <w:t>Luis</w:t>
      </w:r>
      <w:r>
        <w:rPr>
          <w:color w:val="231F20"/>
          <w:spacing w:val="17"/>
          <w:w w:val="105"/>
        </w:rPr>
        <w:t> </w:t>
      </w:r>
      <w:r>
        <w:rPr>
          <w:color w:val="231F20"/>
          <w:w w:val="105"/>
        </w:rPr>
        <w:t>Río</w:t>
      </w:r>
      <w:r>
        <w:rPr>
          <w:color w:val="231F20"/>
          <w:spacing w:val="-21"/>
          <w:w w:val="105"/>
        </w:rPr>
        <w:t> </w:t>
      </w:r>
      <w:r>
        <w:rPr>
          <w:color w:val="231F20"/>
          <w:w w:val="105"/>
        </w:rPr>
        <w:t>Colorado,</w:t>
      </w:r>
      <w:r>
        <w:rPr>
          <w:color w:val="231F20"/>
          <w:spacing w:val="-28"/>
          <w:w w:val="105"/>
        </w:rPr>
        <w:t> </w:t>
      </w:r>
      <w:r>
        <w:rPr>
          <w:color w:val="231F20"/>
          <w:w w:val="105"/>
        </w:rPr>
        <w:t>Altar,</w:t>
      </w:r>
      <w:r>
        <w:rPr>
          <w:color w:val="231F20"/>
          <w:spacing w:val="-25"/>
          <w:w w:val="105"/>
        </w:rPr>
        <w:t> </w:t>
      </w:r>
      <w:r>
        <w:rPr>
          <w:color w:val="231F20"/>
          <w:w w:val="105"/>
        </w:rPr>
        <w:t>Nogales</w:t>
      </w:r>
      <w:r>
        <w:rPr>
          <w:color w:val="231F20"/>
          <w:spacing w:val="-21"/>
          <w:w w:val="105"/>
        </w:rPr>
        <w:t> </w:t>
      </w:r>
      <w:r>
        <w:rPr>
          <w:color w:val="231F20"/>
          <w:w w:val="105"/>
        </w:rPr>
        <w:t>y </w:t>
      </w:r>
      <w:r>
        <w:rPr>
          <w:color w:val="231F20"/>
        </w:rPr>
        <w:t>Agua</w:t>
      </w:r>
      <w:r>
        <w:rPr>
          <w:color w:val="231F20"/>
          <w:spacing w:val="-4"/>
        </w:rPr>
        <w:t> </w:t>
      </w:r>
      <w:r>
        <w:rPr>
          <w:color w:val="231F20"/>
        </w:rPr>
        <w:t>Prieta).</w:t>
      </w:r>
    </w:p>
    <w:p>
      <w:pPr>
        <w:pStyle w:val="BodyText"/>
        <w:spacing w:line="261" w:lineRule="auto" w:before="1"/>
        <w:ind w:left="1723" w:right="1829" w:firstLine="567"/>
        <w:jc w:val="right"/>
      </w:pPr>
      <w:r>
        <w:rPr>
          <w:color w:val="231F20"/>
          <w:w w:val="105"/>
        </w:rPr>
        <w:t>La</w:t>
      </w:r>
      <w:r>
        <w:rPr>
          <w:color w:val="231F20"/>
          <w:spacing w:val="-25"/>
          <w:w w:val="105"/>
        </w:rPr>
        <w:t> </w:t>
      </w:r>
      <w:r>
        <w:rPr>
          <w:color w:val="231F20"/>
          <w:spacing w:val="-3"/>
          <w:w w:val="105"/>
        </w:rPr>
        <w:t>elección</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spacing w:val="-3"/>
          <w:w w:val="105"/>
        </w:rPr>
        <w:t>localidades</w:t>
      </w:r>
      <w:r>
        <w:rPr>
          <w:color w:val="231F20"/>
          <w:spacing w:val="-25"/>
          <w:w w:val="105"/>
        </w:rPr>
        <w:t> </w:t>
      </w:r>
      <w:r>
        <w:rPr>
          <w:color w:val="231F20"/>
          <w:w w:val="105"/>
        </w:rPr>
        <w:t>de</w:t>
      </w:r>
      <w:r>
        <w:rPr>
          <w:color w:val="231F20"/>
          <w:spacing w:val="-25"/>
          <w:w w:val="105"/>
        </w:rPr>
        <w:t> </w:t>
      </w:r>
      <w:r>
        <w:rPr>
          <w:color w:val="231F20"/>
          <w:spacing w:val="-3"/>
          <w:w w:val="105"/>
        </w:rPr>
        <w:t>llegada</w:t>
      </w:r>
      <w:r>
        <w:rPr>
          <w:color w:val="231F20"/>
          <w:spacing w:val="-25"/>
          <w:w w:val="105"/>
        </w:rPr>
        <w:t> </w:t>
      </w:r>
      <w:r>
        <w:rPr>
          <w:color w:val="231F20"/>
          <w:w w:val="105"/>
        </w:rPr>
        <w:t>y</w:t>
      </w:r>
      <w:r>
        <w:rPr>
          <w:color w:val="231F20"/>
          <w:spacing w:val="-25"/>
          <w:w w:val="105"/>
        </w:rPr>
        <w:t> </w:t>
      </w:r>
      <w:r>
        <w:rPr>
          <w:color w:val="231F20"/>
          <w:spacing w:val="-3"/>
          <w:w w:val="105"/>
        </w:rPr>
        <w:t>cruce</w:t>
      </w:r>
      <w:r>
        <w:rPr>
          <w:color w:val="231F20"/>
          <w:spacing w:val="-25"/>
          <w:w w:val="105"/>
        </w:rPr>
        <w:t> </w:t>
      </w:r>
      <w:r>
        <w:rPr>
          <w:color w:val="231F20"/>
          <w:spacing w:val="-3"/>
          <w:w w:val="105"/>
        </w:rPr>
        <w:t>fronterizo</w:t>
      </w:r>
      <w:r>
        <w:rPr>
          <w:color w:val="231F20"/>
          <w:spacing w:val="-25"/>
          <w:w w:val="105"/>
        </w:rPr>
        <w:t> </w:t>
      </w:r>
      <w:r>
        <w:rPr>
          <w:color w:val="231F20"/>
          <w:spacing w:val="-3"/>
          <w:w w:val="105"/>
        </w:rPr>
        <w:t>está</w:t>
      </w:r>
      <w:r>
        <w:rPr>
          <w:color w:val="231F20"/>
          <w:spacing w:val="-25"/>
          <w:w w:val="105"/>
        </w:rPr>
        <w:t> </w:t>
      </w:r>
      <w:r>
        <w:rPr>
          <w:color w:val="231F20"/>
          <w:spacing w:val="-3"/>
          <w:w w:val="105"/>
        </w:rPr>
        <w:t>rela-</w:t>
      </w:r>
      <w:r>
        <w:rPr>
          <w:color w:val="231F20"/>
          <w:w w:val="96"/>
        </w:rPr>
        <w:t> </w:t>
      </w:r>
      <w:r>
        <w:rPr>
          <w:color w:val="231F20"/>
          <w:spacing w:val="-3"/>
          <w:w w:val="105"/>
        </w:rPr>
        <w:t>cionada</w:t>
      </w:r>
      <w:r>
        <w:rPr>
          <w:color w:val="231F20"/>
          <w:spacing w:val="16"/>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spacing w:val="-3"/>
          <w:w w:val="105"/>
        </w:rPr>
        <w:t>cercanía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ciudad</w:t>
      </w:r>
      <w:r>
        <w:rPr>
          <w:color w:val="231F20"/>
          <w:spacing w:val="-23"/>
          <w:w w:val="105"/>
        </w:rPr>
        <w:t> </w:t>
      </w:r>
      <w:r>
        <w:rPr>
          <w:color w:val="231F20"/>
          <w:spacing w:val="-3"/>
          <w:w w:val="105"/>
        </w:rPr>
        <w:t>estadounidense</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spacing w:val="-3"/>
          <w:w w:val="105"/>
        </w:rPr>
        <w:t>dirigen</w:t>
      </w:r>
      <w:r>
        <w:rPr>
          <w:color w:val="231F20"/>
          <w:spacing w:val="-23"/>
          <w:w w:val="105"/>
        </w:rPr>
        <w:t> </w:t>
      </w:r>
      <w:r>
        <w:rPr>
          <w:color w:val="231F20"/>
          <w:spacing w:val="-5"/>
          <w:w w:val="105"/>
        </w:rPr>
        <w:t>y,</w:t>
      </w:r>
      <w:r>
        <w:rPr>
          <w:color w:val="231F20"/>
          <w:w w:val="93"/>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spacing w:val="-3"/>
          <w:w w:val="105"/>
        </w:rPr>
        <w:t>caso</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spacing w:val="-3"/>
          <w:w w:val="105"/>
        </w:rPr>
        <w:t>migrantes</w:t>
      </w:r>
      <w:r>
        <w:rPr>
          <w:color w:val="231F20"/>
          <w:spacing w:val="-26"/>
          <w:w w:val="105"/>
        </w:rPr>
        <w:t> </w:t>
      </w:r>
      <w:r>
        <w:rPr>
          <w:color w:val="231F20"/>
          <w:w w:val="105"/>
        </w:rPr>
        <w:t>no</w:t>
      </w:r>
      <w:r>
        <w:rPr>
          <w:color w:val="231F20"/>
          <w:spacing w:val="-26"/>
          <w:w w:val="105"/>
        </w:rPr>
        <w:t> </w:t>
      </w:r>
      <w:r>
        <w:rPr>
          <w:color w:val="231F20"/>
          <w:spacing w:val="-3"/>
          <w:w w:val="105"/>
        </w:rPr>
        <w:t>documentados,</w:t>
      </w:r>
      <w:r>
        <w:rPr>
          <w:color w:val="231F20"/>
          <w:spacing w:val="-31"/>
          <w:w w:val="105"/>
        </w:rPr>
        <w:t> </w:t>
      </w:r>
      <w:r>
        <w:rPr>
          <w:color w:val="231F20"/>
          <w:w w:val="105"/>
        </w:rPr>
        <w:t>con</w:t>
      </w:r>
      <w:r>
        <w:rPr>
          <w:color w:val="231F20"/>
          <w:spacing w:val="-26"/>
          <w:w w:val="105"/>
        </w:rPr>
        <w:t> </w:t>
      </w:r>
      <w:r>
        <w:rPr>
          <w:color w:val="231F20"/>
          <w:w w:val="105"/>
        </w:rPr>
        <w:t>la</w:t>
      </w:r>
      <w:r>
        <w:rPr>
          <w:color w:val="231F20"/>
          <w:spacing w:val="-26"/>
          <w:w w:val="105"/>
        </w:rPr>
        <w:t> </w:t>
      </w:r>
      <w:r>
        <w:rPr>
          <w:color w:val="231F20"/>
          <w:spacing w:val="-3"/>
          <w:w w:val="105"/>
        </w:rPr>
        <w:t>búsqueda</w:t>
      </w:r>
      <w:r>
        <w:rPr>
          <w:color w:val="231F20"/>
          <w:spacing w:val="-26"/>
          <w:w w:val="105"/>
        </w:rPr>
        <w:t> </w:t>
      </w:r>
      <w:r>
        <w:rPr>
          <w:color w:val="231F20"/>
          <w:w w:val="105"/>
        </w:rPr>
        <w:t>de</w:t>
      </w:r>
      <w:r>
        <w:rPr>
          <w:color w:val="231F20"/>
          <w:spacing w:val="-26"/>
          <w:w w:val="105"/>
        </w:rPr>
        <w:t> </w:t>
      </w:r>
      <w:r>
        <w:rPr>
          <w:color w:val="231F20"/>
          <w:spacing w:val="-4"/>
          <w:w w:val="105"/>
        </w:rPr>
        <w:t>lugares</w:t>
      </w:r>
      <w:r>
        <w:rPr>
          <w:color w:val="231F20"/>
          <w:spacing w:val="-3"/>
          <w:w w:val="96"/>
        </w:rPr>
        <w:t> </w:t>
      </w:r>
      <w:r>
        <w:rPr>
          <w:color w:val="231F20"/>
          <w:spacing w:val="-3"/>
          <w:w w:val="105"/>
        </w:rPr>
        <w:t>menos vigilados </w:t>
      </w:r>
      <w:r>
        <w:rPr>
          <w:color w:val="231F20"/>
          <w:w w:val="105"/>
        </w:rPr>
        <w:t>por las </w:t>
      </w:r>
      <w:r>
        <w:rPr>
          <w:color w:val="231F20"/>
          <w:spacing w:val="-3"/>
          <w:w w:val="105"/>
        </w:rPr>
        <w:t>autoridades </w:t>
      </w:r>
      <w:r>
        <w:rPr>
          <w:color w:val="231F20"/>
          <w:spacing w:val="-4"/>
          <w:w w:val="105"/>
        </w:rPr>
        <w:t>migratorias, </w:t>
      </w:r>
      <w:r>
        <w:rPr>
          <w:color w:val="231F20"/>
          <w:spacing w:val="-3"/>
          <w:w w:val="105"/>
        </w:rPr>
        <w:t>como </w:t>
      </w:r>
      <w:r>
        <w:rPr>
          <w:color w:val="231F20"/>
          <w:w w:val="105"/>
        </w:rPr>
        <w:t>es el </w:t>
      </w:r>
      <w:r>
        <w:rPr>
          <w:color w:val="231F20"/>
          <w:spacing w:val="-3"/>
          <w:w w:val="105"/>
        </w:rPr>
        <w:t>caso</w:t>
      </w:r>
      <w:r>
        <w:rPr>
          <w:color w:val="231F20"/>
          <w:spacing w:val="22"/>
          <w:w w:val="105"/>
        </w:rPr>
        <w:t> </w:t>
      </w:r>
      <w:r>
        <w:rPr>
          <w:color w:val="231F20"/>
          <w:w w:val="105"/>
        </w:rPr>
        <w:t>de</w:t>
      </w:r>
      <w:r>
        <w:rPr>
          <w:color w:val="231F20"/>
          <w:spacing w:val="1"/>
          <w:w w:val="105"/>
        </w:rPr>
        <w:t> </w:t>
      </w:r>
      <w:r>
        <w:rPr>
          <w:color w:val="231F20"/>
          <w:spacing w:val="-3"/>
          <w:w w:val="105"/>
        </w:rPr>
        <w:t>las</w:t>
      </w:r>
      <w:r>
        <w:rPr>
          <w:color w:val="231F20"/>
          <w:spacing w:val="-3"/>
          <w:w w:val="95"/>
        </w:rPr>
        <w:t> </w:t>
      </w:r>
      <w:r>
        <w:rPr>
          <w:color w:val="231F20"/>
          <w:spacing w:val="-3"/>
          <w:w w:val="105"/>
        </w:rPr>
        <w:t>localidades</w:t>
      </w:r>
      <w:r>
        <w:rPr>
          <w:color w:val="231F20"/>
          <w:spacing w:val="-16"/>
          <w:w w:val="105"/>
        </w:rPr>
        <w:t> </w:t>
      </w:r>
      <w:r>
        <w:rPr>
          <w:color w:val="231F20"/>
          <w:w w:val="105"/>
        </w:rPr>
        <w:t>de</w:t>
      </w:r>
      <w:r>
        <w:rPr>
          <w:color w:val="231F20"/>
          <w:spacing w:val="-19"/>
          <w:w w:val="105"/>
        </w:rPr>
        <w:t> </w:t>
      </w:r>
      <w:r>
        <w:rPr>
          <w:color w:val="231F20"/>
          <w:spacing w:val="-5"/>
          <w:w w:val="105"/>
        </w:rPr>
        <w:t>Altar,</w:t>
      </w:r>
      <w:r>
        <w:rPr>
          <w:color w:val="231F20"/>
          <w:spacing w:val="-21"/>
          <w:w w:val="105"/>
        </w:rPr>
        <w:t> </w:t>
      </w:r>
      <w:r>
        <w:rPr>
          <w:color w:val="231F20"/>
          <w:spacing w:val="-3"/>
          <w:w w:val="105"/>
        </w:rPr>
        <w:t>Sonora</w:t>
      </w:r>
      <w:r>
        <w:rPr>
          <w:color w:val="231F20"/>
          <w:spacing w:val="-16"/>
          <w:w w:val="105"/>
        </w:rPr>
        <w:t> </w:t>
      </w:r>
      <w:r>
        <w:rPr>
          <w:color w:val="231F20"/>
          <w:spacing w:val="-5"/>
          <w:w w:val="105"/>
        </w:rPr>
        <w:t>y,</w:t>
      </w:r>
      <w:r>
        <w:rPr>
          <w:color w:val="231F20"/>
          <w:spacing w:val="-21"/>
          <w:w w:val="105"/>
        </w:rPr>
        <w:t> </w:t>
      </w:r>
      <w:r>
        <w:rPr>
          <w:color w:val="231F20"/>
          <w:spacing w:val="-3"/>
          <w:w w:val="105"/>
        </w:rPr>
        <w:t>recientemente,</w:t>
      </w:r>
      <w:r>
        <w:rPr>
          <w:color w:val="231F20"/>
          <w:spacing w:val="-21"/>
          <w:w w:val="105"/>
        </w:rPr>
        <w:t> </w:t>
      </w:r>
      <w:r>
        <w:rPr>
          <w:color w:val="231F20"/>
          <w:spacing w:val="-4"/>
          <w:w w:val="105"/>
        </w:rPr>
        <w:t>Cananea,</w:t>
      </w:r>
      <w:r>
        <w:rPr>
          <w:color w:val="231F20"/>
          <w:spacing w:val="-21"/>
          <w:w w:val="105"/>
        </w:rPr>
        <w:t> </w:t>
      </w:r>
      <w:r>
        <w:rPr>
          <w:color w:val="231F20"/>
          <w:w w:val="105"/>
        </w:rPr>
        <w:t>en</w:t>
      </w:r>
      <w:r>
        <w:rPr>
          <w:color w:val="231F20"/>
          <w:spacing w:val="-16"/>
          <w:w w:val="105"/>
        </w:rPr>
        <w:t> </w:t>
      </w:r>
      <w:r>
        <w:rPr>
          <w:color w:val="231F20"/>
          <w:spacing w:val="-3"/>
          <w:w w:val="105"/>
        </w:rPr>
        <w:t>Sonora,</w:t>
      </w:r>
      <w:r>
        <w:rPr>
          <w:color w:val="231F20"/>
          <w:spacing w:val="-21"/>
          <w:w w:val="105"/>
        </w:rPr>
        <w:t> </w:t>
      </w:r>
      <w:r>
        <w:rPr>
          <w:color w:val="231F20"/>
          <w:w w:val="105"/>
        </w:rPr>
        <w:t>y</w:t>
      </w:r>
      <w:r>
        <w:rPr>
          <w:color w:val="231F20"/>
          <w:spacing w:val="-16"/>
          <w:w w:val="105"/>
        </w:rPr>
        <w:t> </w:t>
      </w:r>
      <w:r>
        <w:rPr>
          <w:color w:val="231F20"/>
          <w:spacing w:val="-3"/>
          <w:w w:val="105"/>
        </w:rPr>
        <w:t>que</w:t>
      </w:r>
      <w:r>
        <w:rPr>
          <w:color w:val="231F20"/>
          <w:spacing w:val="-3"/>
          <w:w w:val="107"/>
        </w:rPr>
        <w:t> </w:t>
      </w:r>
      <w:r>
        <w:rPr>
          <w:color w:val="231F20"/>
          <w:w w:val="105"/>
        </w:rPr>
        <w:t>por</w:t>
      </w:r>
      <w:r>
        <w:rPr>
          <w:color w:val="231F20"/>
          <w:spacing w:val="-13"/>
          <w:w w:val="105"/>
        </w:rPr>
        <w:t> </w:t>
      </w:r>
      <w:r>
        <w:rPr>
          <w:color w:val="231F20"/>
          <w:spacing w:val="-3"/>
          <w:w w:val="105"/>
        </w:rPr>
        <w:t>ende</w:t>
      </w:r>
      <w:r>
        <w:rPr>
          <w:color w:val="231F20"/>
          <w:spacing w:val="-13"/>
          <w:w w:val="105"/>
        </w:rPr>
        <w:t> </w:t>
      </w:r>
      <w:r>
        <w:rPr>
          <w:color w:val="231F20"/>
          <w:spacing w:val="-4"/>
          <w:w w:val="105"/>
        </w:rPr>
        <w:t>representan</w:t>
      </w:r>
      <w:r>
        <w:rPr>
          <w:color w:val="231F20"/>
          <w:spacing w:val="-13"/>
          <w:w w:val="105"/>
        </w:rPr>
        <w:t> </w:t>
      </w:r>
      <w:r>
        <w:rPr>
          <w:color w:val="231F20"/>
          <w:w w:val="105"/>
        </w:rPr>
        <w:t>una</w:t>
      </w:r>
      <w:r>
        <w:rPr>
          <w:color w:val="231F20"/>
          <w:spacing w:val="-13"/>
          <w:w w:val="105"/>
        </w:rPr>
        <w:t> </w:t>
      </w:r>
      <w:r>
        <w:rPr>
          <w:color w:val="231F20"/>
          <w:spacing w:val="-3"/>
          <w:w w:val="105"/>
        </w:rPr>
        <w:t>mejor</w:t>
      </w:r>
      <w:r>
        <w:rPr>
          <w:color w:val="231F20"/>
          <w:spacing w:val="-13"/>
          <w:w w:val="105"/>
        </w:rPr>
        <w:t> </w:t>
      </w:r>
      <w:r>
        <w:rPr>
          <w:color w:val="231F20"/>
          <w:spacing w:val="-3"/>
          <w:w w:val="105"/>
        </w:rPr>
        <w:t>oportunidad</w:t>
      </w:r>
      <w:r>
        <w:rPr>
          <w:color w:val="231F20"/>
          <w:spacing w:val="-13"/>
          <w:w w:val="105"/>
        </w:rPr>
        <w:t> </w:t>
      </w:r>
      <w:r>
        <w:rPr>
          <w:color w:val="231F20"/>
          <w:w w:val="105"/>
        </w:rPr>
        <w:t>de</w:t>
      </w:r>
      <w:r>
        <w:rPr>
          <w:color w:val="231F20"/>
          <w:spacing w:val="-13"/>
          <w:w w:val="105"/>
        </w:rPr>
        <w:t> </w:t>
      </w:r>
      <w:r>
        <w:rPr>
          <w:color w:val="231F20"/>
          <w:spacing w:val="-3"/>
          <w:w w:val="105"/>
        </w:rPr>
        <w:t>cruce</w:t>
      </w:r>
      <w:r>
        <w:rPr>
          <w:color w:val="231F20"/>
          <w:spacing w:val="-13"/>
          <w:w w:val="105"/>
        </w:rPr>
        <w:t> </w:t>
      </w:r>
      <w:r>
        <w:rPr>
          <w:color w:val="231F20"/>
          <w:w w:val="105"/>
        </w:rPr>
        <w:t>a</w:t>
      </w:r>
      <w:r>
        <w:rPr>
          <w:color w:val="231F20"/>
          <w:spacing w:val="-13"/>
          <w:w w:val="105"/>
        </w:rPr>
        <w:t> </w:t>
      </w:r>
      <w:r>
        <w:rPr>
          <w:color w:val="231F20"/>
          <w:spacing w:val="-3"/>
          <w:w w:val="105"/>
        </w:rPr>
        <w:t>Estados</w:t>
      </w:r>
      <w:r>
        <w:rPr>
          <w:color w:val="231F20"/>
          <w:spacing w:val="-13"/>
          <w:w w:val="105"/>
        </w:rPr>
        <w:t> </w:t>
      </w:r>
      <w:r>
        <w:rPr>
          <w:color w:val="231F20"/>
          <w:spacing w:val="-3"/>
          <w:w w:val="105"/>
        </w:rPr>
        <w:t>Unidos.</w:t>
      </w:r>
      <w:r>
        <w:rPr>
          <w:color w:val="231F20"/>
          <w:spacing w:val="-3"/>
          <w:w w:val="102"/>
        </w:rPr>
        <w:t> </w:t>
      </w:r>
      <w:r>
        <w:rPr>
          <w:color w:val="231F20"/>
          <w:w w:val="105"/>
        </w:rPr>
        <w:t>Así</w:t>
      </w:r>
      <w:r>
        <w:rPr>
          <w:color w:val="231F20"/>
          <w:spacing w:val="-5"/>
          <w:w w:val="105"/>
        </w:rPr>
        <w:t> </w:t>
      </w:r>
      <w:r>
        <w:rPr>
          <w:color w:val="231F20"/>
          <w:w w:val="105"/>
        </w:rPr>
        <w:t>por</w:t>
      </w:r>
      <w:r>
        <w:rPr>
          <w:color w:val="231F20"/>
          <w:spacing w:val="-5"/>
          <w:w w:val="105"/>
        </w:rPr>
        <w:t> </w:t>
      </w:r>
      <w:r>
        <w:rPr>
          <w:color w:val="231F20"/>
          <w:w w:val="105"/>
        </w:rPr>
        <w:t>ejemplo,</w:t>
      </w:r>
      <w:r>
        <w:rPr>
          <w:color w:val="231F20"/>
          <w:spacing w:val="-11"/>
          <w:w w:val="105"/>
        </w:rPr>
        <w:t> </w:t>
      </w:r>
      <w:r>
        <w:rPr>
          <w:color w:val="231F20"/>
          <w:w w:val="105"/>
        </w:rPr>
        <w:t>los</w:t>
      </w:r>
      <w:r>
        <w:rPr>
          <w:color w:val="231F20"/>
          <w:spacing w:val="-5"/>
          <w:w w:val="105"/>
        </w:rPr>
        <w:t> </w:t>
      </w:r>
      <w:r>
        <w:rPr>
          <w:color w:val="231F20"/>
          <w:w w:val="105"/>
        </w:rPr>
        <w:t>flujos</w:t>
      </w:r>
      <w:r>
        <w:rPr>
          <w:color w:val="231F20"/>
          <w:spacing w:val="-5"/>
          <w:w w:val="105"/>
        </w:rPr>
        <w:t> </w:t>
      </w:r>
      <w:r>
        <w:rPr>
          <w:color w:val="231F20"/>
          <w:w w:val="105"/>
        </w:rPr>
        <w:t>que</w:t>
      </w:r>
      <w:r>
        <w:rPr>
          <w:color w:val="231F20"/>
          <w:spacing w:val="-5"/>
          <w:w w:val="105"/>
        </w:rPr>
        <w:t> </w:t>
      </w:r>
      <w:r>
        <w:rPr>
          <w:color w:val="231F20"/>
          <w:w w:val="105"/>
        </w:rPr>
        <w:t>cruzan</w:t>
      </w:r>
      <w:r>
        <w:rPr>
          <w:color w:val="231F20"/>
          <w:spacing w:val="-5"/>
          <w:w w:val="105"/>
        </w:rPr>
        <w:t> </w:t>
      </w:r>
      <w:r>
        <w:rPr>
          <w:color w:val="231F20"/>
          <w:w w:val="105"/>
        </w:rPr>
        <w:t>por</w:t>
      </w:r>
      <w:r>
        <w:rPr>
          <w:color w:val="231F20"/>
          <w:spacing w:val="-10"/>
          <w:w w:val="105"/>
        </w:rPr>
        <w:t> </w:t>
      </w:r>
      <w:r>
        <w:rPr>
          <w:color w:val="231F20"/>
          <w:w w:val="105"/>
        </w:rPr>
        <w:t>Tijuana</w:t>
      </w:r>
      <w:r>
        <w:rPr>
          <w:color w:val="231F20"/>
          <w:spacing w:val="-5"/>
          <w:w w:val="105"/>
        </w:rPr>
        <w:t> </w:t>
      </w:r>
      <w:r>
        <w:rPr>
          <w:color w:val="231F20"/>
          <w:w w:val="105"/>
        </w:rPr>
        <w:t>se</w:t>
      </w:r>
      <w:r>
        <w:rPr>
          <w:color w:val="231F20"/>
          <w:spacing w:val="-5"/>
          <w:w w:val="105"/>
        </w:rPr>
        <w:t> </w:t>
      </w:r>
      <w:r>
        <w:rPr>
          <w:color w:val="231F20"/>
          <w:w w:val="105"/>
        </w:rPr>
        <w:t>dirigen</w:t>
      </w:r>
      <w:r>
        <w:rPr>
          <w:color w:val="231F20"/>
          <w:spacing w:val="-5"/>
          <w:w w:val="105"/>
        </w:rPr>
        <w:t> </w:t>
      </w:r>
      <w:r>
        <w:rPr>
          <w:color w:val="231F20"/>
          <w:w w:val="105"/>
        </w:rPr>
        <w:t>hacia</w:t>
      </w:r>
      <w:r>
        <w:rPr>
          <w:color w:val="231F20"/>
          <w:w w:val="100"/>
        </w:rPr>
        <w:t> </w:t>
      </w:r>
      <w:r>
        <w:rPr>
          <w:color w:val="231F20"/>
          <w:w w:val="105"/>
        </w:rPr>
        <w:t>California,</w:t>
      </w:r>
      <w:r>
        <w:rPr>
          <w:color w:val="231F20"/>
          <w:spacing w:val="-16"/>
          <w:w w:val="105"/>
        </w:rPr>
        <w:t> </w:t>
      </w:r>
      <w:r>
        <w:rPr>
          <w:color w:val="231F20"/>
          <w:w w:val="105"/>
        </w:rPr>
        <w:t>los</w:t>
      </w:r>
      <w:r>
        <w:rPr>
          <w:color w:val="231F20"/>
          <w:spacing w:val="-11"/>
          <w:w w:val="105"/>
        </w:rPr>
        <w:t> </w:t>
      </w:r>
      <w:r>
        <w:rPr>
          <w:color w:val="231F20"/>
          <w:w w:val="105"/>
        </w:rPr>
        <w:t>que</w:t>
      </w:r>
      <w:r>
        <w:rPr>
          <w:color w:val="231F20"/>
          <w:spacing w:val="-11"/>
          <w:w w:val="105"/>
        </w:rPr>
        <w:t> </w:t>
      </w:r>
      <w:r>
        <w:rPr>
          <w:color w:val="231F20"/>
          <w:w w:val="105"/>
        </w:rPr>
        <w:t>lo</w:t>
      </w:r>
      <w:r>
        <w:rPr>
          <w:color w:val="231F20"/>
          <w:spacing w:val="-11"/>
          <w:w w:val="105"/>
        </w:rPr>
        <w:t> </w:t>
      </w:r>
      <w:r>
        <w:rPr>
          <w:color w:val="231F20"/>
          <w:w w:val="105"/>
        </w:rPr>
        <w:t>hacen</w:t>
      </w:r>
      <w:r>
        <w:rPr>
          <w:color w:val="231F20"/>
          <w:spacing w:val="-11"/>
          <w:w w:val="105"/>
        </w:rPr>
        <w:t> </w:t>
      </w:r>
      <w:r>
        <w:rPr>
          <w:color w:val="231F20"/>
          <w:w w:val="105"/>
        </w:rPr>
        <w:t>por</w:t>
      </w:r>
      <w:r>
        <w:rPr>
          <w:color w:val="231F20"/>
          <w:spacing w:val="-11"/>
          <w:w w:val="105"/>
        </w:rPr>
        <w:t> </w:t>
      </w:r>
      <w:r>
        <w:rPr>
          <w:color w:val="231F20"/>
          <w:w w:val="105"/>
        </w:rPr>
        <w:t>Sonora</w:t>
      </w:r>
      <w:r>
        <w:rPr>
          <w:color w:val="231F20"/>
          <w:spacing w:val="-11"/>
          <w:w w:val="105"/>
        </w:rPr>
        <w:t> </w:t>
      </w:r>
      <w:r>
        <w:rPr>
          <w:color w:val="231F20"/>
          <w:w w:val="105"/>
        </w:rPr>
        <w:t>se</w:t>
      </w:r>
      <w:r>
        <w:rPr>
          <w:color w:val="231F20"/>
          <w:spacing w:val="-11"/>
          <w:w w:val="105"/>
        </w:rPr>
        <w:t> </w:t>
      </w:r>
      <w:r>
        <w:rPr>
          <w:color w:val="231F20"/>
          <w:w w:val="105"/>
        </w:rPr>
        <w:t>internan</w:t>
      </w:r>
      <w:r>
        <w:rPr>
          <w:color w:val="231F20"/>
          <w:spacing w:val="-11"/>
          <w:w w:val="105"/>
        </w:rPr>
        <w:t> </w:t>
      </w:r>
      <w:r>
        <w:rPr>
          <w:color w:val="231F20"/>
          <w:w w:val="105"/>
        </w:rPr>
        <w:t>en</w:t>
      </w:r>
      <w:r>
        <w:rPr>
          <w:color w:val="231F20"/>
          <w:spacing w:val="-14"/>
          <w:w w:val="105"/>
        </w:rPr>
        <w:t> </w:t>
      </w:r>
      <w:r>
        <w:rPr>
          <w:color w:val="231F20"/>
          <w:w w:val="105"/>
        </w:rPr>
        <w:t>Arizona,</w:t>
      </w:r>
      <w:r>
        <w:rPr>
          <w:color w:val="231F20"/>
          <w:spacing w:val="-16"/>
          <w:w w:val="105"/>
        </w:rPr>
        <w:t> </w:t>
      </w:r>
      <w:r>
        <w:rPr>
          <w:color w:val="231F20"/>
          <w:w w:val="105"/>
        </w:rPr>
        <w:t>y</w:t>
      </w:r>
      <w:r>
        <w:rPr>
          <w:color w:val="231F20"/>
          <w:spacing w:val="-11"/>
          <w:w w:val="105"/>
        </w:rPr>
        <w:t> </w:t>
      </w:r>
      <w:r>
        <w:rPr>
          <w:color w:val="231F20"/>
          <w:w w:val="105"/>
        </w:rPr>
        <w:t>los</w:t>
      </w:r>
      <w:r>
        <w:rPr>
          <w:color w:val="231F20"/>
          <w:spacing w:val="-11"/>
          <w:w w:val="105"/>
        </w:rPr>
        <w:t> </w:t>
      </w:r>
      <w:r>
        <w:rPr>
          <w:color w:val="231F20"/>
          <w:w w:val="105"/>
        </w:rPr>
        <w:t>que</w:t>
      </w:r>
      <w:r>
        <w:rPr>
          <w:color w:val="231F20"/>
          <w:w w:val="107"/>
        </w:rPr>
        <w:t> </w:t>
      </w:r>
      <w:r>
        <w:rPr>
          <w:color w:val="231F20"/>
          <w:w w:val="105"/>
        </w:rPr>
        <w:t>llegan</w:t>
      </w:r>
      <w:r>
        <w:rPr>
          <w:color w:val="231F20"/>
          <w:spacing w:val="-20"/>
          <w:w w:val="105"/>
        </w:rPr>
        <w:t> </w:t>
      </w:r>
      <w:r>
        <w:rPr>
          <w:color w:val="231F20"/>
          <w:w w:val="105"/>
        </w:rPr>
        <w:t>a</w:t>
      </w:r>
      <w:r>
        <w:rPr>
          <w:color w:val="231F20"/>
          <w:spacing w:val="-20"/>
          <w:w w:val="105"/>
        </w:rPr>
        <w:t> </w:t>
      </w:r>
      <w:r>
        <w:rPr>
          <w:color w:val="231F20"/>
          <w:w w:val="105"/>
        </w:rPr>
        <w:t>Ciudad</w:t>
      </w:r>
      <w:r>
        <w:rPr>
          <w:color w:val="231F20"/>
          <w:spacing w:val="-21"/>
          <w:w w:val="105"/>
        </w:rPr>
        <w:t> </w:t>
      </w:r>
      <w:r>
        <w:rPr>
          <w:color w:val="231F20"/>
          <w:w w:val="105"/>
        </w:rPr>
        <w:t>Juárez</w:t>
      </w:r>
      <w:r>
        <w:rPr>
          <w:color w:val="231F20"/>
          <w:spacing w:val="-20"/>
          <w:w w:val="105"/>
        </w:rPr>
        <w:t> </w:t>
      </w:r>
      <w:r>
        <w:rPr>
          <w:color w:val="231F20"/>
          <w:w w:val="105"/>
        </w:rPr>
        <w:t>y</w:t>
      </w:r>
      <w:r>
        <w:rPr>
          <w:color w:val="231F20"/>
          <w:spacing w:val="-20"/>
          <w:w w:val="105"/>
        </w:rPr>
        <w:t> </w:t>
      </w:r>
      <w:r>
        <w:rPr>
          <w:color w:val="231F20"/>
          <w:w w:val="105"/>
        </w:rPr>
        <w:t>Matamoros</w:t>
      </w:r>
      <w:r>
        <w:rPr>
          <w:color w:val="231F20"/>
          <w:spacing w:val="-20"/>
          <w:w w:val="105"/>
        </w:rPr>
        <w:t> </w:t>
      </w:r>
      <w:r>
        <w:rPr>
          <w:color w:val="231F20"/>
          <w:w w:val="105"/>
        </w:rPr>
        <w:t>desembocan</w:t>
      </w:r>
      <w:r>
        <w:rPr>
          <w:color w:val="231F20"/>
          <w:spacing w:val="-20"/>
          <w:w w:val="105"/>
        </w:rPr>
        <w:t> </w:t>
      </w:r>
      <w:r>
        <w:rPr>
          <w:color w:val="231F20"/>
          <w:w w:val="105"/>
        </w:rPr>
        <w:t>en</w:t>
      </w:r>
      <w:r>
        <w:rPr>
          <w:color w:val="231F20"/>
          <w:spacing w:val="-23"/>
          <w:w w:val="105"/>
        </w:rPr>
        <w:t> </w:t>
      </w:r>
      <w:r>
        <w:rPr>
          <w:color w:val="231F20"/>
          <w:spacing w:val="-4"/>
          <w:w w:val="105"/>
        </w:rPr>
        <w:t>Texas.</w:t>
      </w:r>
      <w:r>
        <w:rPr>
          <w:color w:val="231F20"/>
          <w:spacing w:val="-24"/>
          <w:w w:val="105"/>
        </w:rPr>
        <w:t> </w:t>
      </w:r>
      <w:r>
        <w:rPr>
          <w:color w:val="231F20"/>
          <w:w w:val="105"/>
        </w:rPr>
        <w:t>Su</w:t>
      </w:r>
      <w:r>
        <w:rPr>
          <w:color w:val="231F20"/>
          <w:spacing w:val="-20"/>
          <w:w w:val="105"/>
        </w:rPr>
        <w:t> </w:t>
      </w:r>
      <w:r>
        <w:rPr>
          <w:color w:val="231F20"/>
          <w:w w:val="105"/>
        </w:rPr>
        <w:t>estancia</w:t>
      </w:r>
      <w:r>
        <w:rPr>
          <w:color w:val="231F20"/>
          <w:w w:val="100"/>
        </w:rPr>
        <w:t> </w:t>
      </w:r>
      <w:r>
        <w:rPr>
          <w:color w:val="231F20"/>
          <w:w w:val="105"/>
        </w:rPr>
        <w:t>en las localidades “norteñas” puede ser de horas, días, semanas</w:t>
      </w:r>
      <w:r>
        <w:rPr>
          <w:color w:val="231F20"/>
          <w:spacing w:val="49"/>
          <w:w w:val="105"/>
        </w:rPr>
        <w:t> </w:t>
      </w:r>
      <w:r>
        <w:rPr>
          <w:color w:val="231F20"/>
          <w:w w:val="105"/>
        </w:rPr>
        <w:t>o</w:t>
      </w:r>
      <w:r>
        <w:rPr>
          <w:color w:val="231F20"/>
          <w:spacing w:val="11"/>
          <w:w w:val="105"/>
        </w:rPr>
        <w:t> </w:t>
      </w:r>
      <w:r>
        <w:rPr>
          <w:color w:val="231F20"/>
          <w:w w:val="105"/>
        </w:rPr>
        <w:t>in-</w:t>
      </w:r>
      <w:r>
        <w:rPr>
          <w:color w:val="231F20"/>
          <w:w w:val="96"/>
        </w:rPr>
        <w:t> </w:t>
      </w:r>
      <w:r>
        <w:rPr>
          <w:color w:val="231F20"/>
          <w:w w:val="105"/>
        </w:rPr>
        <w:t>cluso meses, dependiendo de su situación migratoria, redes</w:t>
      </w:r>
      <w:r>
        <w:rPr>
          <w:color w:val="231F20"/>
          <w:spacing w:val="20"/>
          <w:w w:val="105"/>
        </w:rPr>
        <w:t> </w:t>
      </w:r>
      <w:r>
        <w:rPr>
          <w:color w:val="231F20"/>
          <w:w w:val="105"/>
        </w:rPr>
        <w:t>sociales</w:t>
      </w:r>
      <w:r>
        <w:rPr>
          <w:color w:val="231F20"/>
          <w:spacing w:val="4"/>
          <w:w w:val="105"/>
        </w:rPr>
        <w:t> </w:t>
      </w:r>
      <w:r>
        <w:rPr>
          <w:color w:val="231F20"/>
          <w:w w:val="105"/>
        </w:rPr>
        <w:t>y</w:t>
      </w:r>
      <w:r>
        <w:rPr>
          <w:color w:val="231F20"/>
          <w:w w:val="97"/>
        </w:rPr>
        <w:t> </w:t>
      </w:r>
      <w:r>
        <w:rPr>
          <w:color w:val="231F20"/>
          <w:w w:val="105"/>
        </w:rPr>
        <w:t>experiencia</w:t>
      </w:r>
      <w:r>
        <w:rPr>
          <w:color w:val="231F20"/>
          <w:spacing w:val="-10"/>
          <w:w w:val="105"/>
        </w:rPr>
        <w:t> </w:t>
      </w:r>
      <w:r>
        <w:rPr>
          <w:color w:val="231F20"/>
          <w:w w:val="105"/>
        </w:rPr>
        <w:t>migratoria</w:t>
      </w:r>
      <w:r>
        <w:rPr>
          <w:color w:val="231F20"/>
          <w:spacing w:val="-10"/>
          <w:w w:val="105"/>
        </w:rPr>
        <w:t> </w:t>
      </w:r>
      <w:r>
        <w:rPr>
          <w:color w:val="231F20"/>
          <w:w w:val="105"/>
        </w:rPr>
        <w:t>(</w:t>
      </w:r>
      <w:r>
        <w:rPr>
          <w:color w:val="231F20"/>
          <w:w w:val="105"/>
          <w:sz w:val="17"/>
        </w:rPr>
        <w:t>EMIF</w:t>
      </w:r>
      <w:r>
        <w:rPr>
          <w:color w:val="231F20"/>
          <w:w w:val="105"/>
        </w:rPr>
        <w:t>,</w:t>
      </w:r>
      <w:r>
        <w:rPr>
          <w:color w:val="231F20"/>
          <w:spacing w:val="-14"/>
          <w:w w:val="105"/>
        </w:rPr>
        <w:t> </w:t>
      </w:r>
      <w:r>
        <w:rPr>
          <w:color w:val="231F20"/>
          <w:w w:val="105"/>
        </w:rPr>
        <w:t>2010).</w:t>
      </w:r>
      <w:r>
        <w:rPr>
          <w:color w:val="231F20"/>
          <w:spacing w:val="-14"/>
          <w:w w:val="105"/>
        </w:rPr>
        <w:t> </w:t>
      </w:r>
      <w:r>
        <w:rPr>
          <w:color w:val="231F20"/>
          <w:spacing w:val="-4"/>
          <w:w w:val="105"/>
        </w:rPr>
        <w:t>Para</w:t>
      </w:r>
      <w:r>
        <w:rPr>
          <w:color w:val="231F20"/>
          <w:spacing w:val="-10"/>
          <w:w w:val="105"/>
        </w:rPr>
        <w:t> </w:t>
      </w:r>
      <w:r>
        <w:rPr>
          <w:color w:val="231F20"/>
          <w:w w:val="105"/>
        </w:rPr>
        <w:t>los</w:t>
      </w:r>
      <w:r>
        <w:rPr>
          <w:color w:val="231F20"/>
          <w:spacing w:val="-10"/>
          <w:w w:val="105"/>
        </w:rPr>
        <w:t> </w:t>
      </w:r>
      <w:r>
        <w:rPr>
          <w:color w:val="231F20"/>
          <w:w w:val="105"/>
        </w:rPr>
        <w:t>migrantes</w:t>
      </w:r>
      <w:r>
        <w:rPr>
          <w:color w:val="231F20"/>
          <w:spacing w:val="-10"/>
          <w:w w:val="105"/>
        </w:rPr>
        <w:t> </w:t>
      </w:r>
      <w:r>
        <w:rPr>
          <w:color w:val="231F20"/>
          <w:w w:val="105"/>
        </w:rPr>
        <w:t>alquisirenses</w:t>
      </w:r>
      <w:r>
        <w:rPr>
          <w:color w:val="231F20"/>
          <w:spacing w:val="-10"/>
          <w:w w:val="105"/>
        </w:rPr>
        <w:t> </w:t>
      </w:r>
      <w:r>
        <w:rPr>
          <w:color w:val="231F20"/>
          <w:w w:val="105"/>
        </w:rPr>
        <w:t>su</w:t>
      </w:r>
      <w:r>
        <w:rPr>
          <w:color w:val="231F20"/>
          <w:w w:val="97"/>
        </w:rPr>
        <w:t> </w:t>
      </w:r>
      <w:r>
        <w:rPr>
          <w:color w:val="231F20"/>
          <w:w w:val="105"/>
        </w:rPr>
        <w:t>principal</w:t>
      </w:r>
      <w:r>
        <w:rPr>
          <w:color w:val="231F20"/>
          <w:spacing w:val="-11"/>
          <w:w w:val="105"/>
        </w:rPr>
        <w:t> </w:t>
      </w:r>
      <w:r>
        <w:rPr>
          <w:color w:val="231F20"/>
          <w:w w:val="105"/>
        </w:rPr>
        <w:t>lugar</w:t>
      </w:r>
      <w:r>
        <w:rPr>
          <w:color w:val="231F20"/>
          <w:spacing w:val="-11"/>
          <w:w w:val="105"/>
        </w:rPr>
        <w:t> </w:t>
      </w:r>
      <w:r>
        <w:rPr>
          <w:color w:val="231F20"/>
          <w:w w:val="105"/>
        </w:rPr>
        <w:t>de</w:t>
      </w:r>
      <w:r>
        <w:rPr>
          <w:color w:val="231F20"/>
          <w:spacing w:val="-11"/>
          <w:w w:val="105"/>
        </w:rPr>
        <w:t> </w:t>
      </w:r>
      <w:r>
        <w:rPr>
          <w:color w:val="231F20"/>
          <w:w w:val="105"/>
        </w:rPr>
        <w:t>destino</w:t>
      </w:r>
      <w:r>
        <w:rPr>
          <w:color w:val="231F20"/>
          <w:spacing w:val="-11"/>
          <w:w w:val="105"/>
        </w:rPr>
        <w:t> </w:t>
      </w:r>
      <w:r>
        <w:rPr>
          <w:color w:val="231F20"/>
          <w:w w:val="105"/>
        </w:rPr>
        <w:t>son</w:t>
      </w:r>
      <w:r>
        <w:rPr>
          <w:color w:val="231F20"/>
          <w:spacing w:val="-11"/>
          <w:w w:val="105"/>
        </w:rPr>
        <w:t> </w:t>
      </w:r>
      <w:r>
        <w:rPr>
          <w:color w:val="231F20"/>
          <w:w w:val="105"/>
        </w:rPr>
        <w:t>los</w:t>
      </w:r>
      <w:r>
        <w:rPr>
          <w:color w:val="231F20"/>
          <w:spacing w:val="-11"/>
          <w:w w:val="105"/>
        </w:rPr>
        <w:t> </w:t>
      </w:r>
      <w:r>
        <w:rPr>
          <w:color w:val="231F20"/>
          <w:w w:val="105"/>
        </w:rPr>
        <w:t>estados</w:t>
      </w:r>
      <w:r>
        <w:rPr>
          <w:color w:val="231F20"/>
          <w:spacing w:val="-11"/>
          <w:w w:val="105"/>
        </w:rPr>
        <w:t> </w:t>
      </w:r>
      <w:r>
        <w:rPr>
          <w:color w:val="231F20"/>
          <w:w w:val="105"/>
        </w:rPr>
        <w:t>de</w:t>
      </w:r>
      <w:r>
        <w:rPr>
          <w:color w:val="231F20"/>
          <w:spacing w:val="-11"/>
          <w:w w:val="105"/>
        </w:rPr>
        <w:t> </w:t>
      </w:r>
      <w:r>
        <w:rPr>
          <w:color w:val="231F20"/>
          <w:w w:val="105"/>
        </w:rPr>
        <w:t>Pennsylvania</w:t>
      </w:r>
      <w:r>
        <w:rPr>
          <w:color w:val="231F20"/>
          <w:spacing w:val="-11"/>
          <w:w w:val="105"/>
        </w:rPr>
        <w:t> </w:t>
      </w:r>
      <w:r>
        <w:rPr>
          <w:color w:val="231F20"/>
          <w:w w:val="105"/>
        </w:rPr>
        <w:t>e</w:t>
      </w:r>
      <w:r>
        <w:rPr>
          <w:color w:val="231F20"/>
          <w:spacing w:val="-11"/>
          <w:w w:val="105"/>
        </w:rPr>
        <w:t> </w:t>
      </w:r>
      <w:r>
        <w:rPr>
          <w:color w:val="231F20"/>
          <w:w w:val="105"/>
        </w:rPr>
        <w:t>Illinois</w:t>
      </w:r>
      <w:r>
        <w:rPr>
          <w:color w:val="231F20"/>
          <w:spacing w:val="-11"/>
          <w:w w:val="105"/>
        </w:rPr>
        <w:t> </w:t>
      </w:r>
      <w:r>
        <w:rPr>
          <w:color w:val="231F20"/>
          <w:w w:val="105"/>
        </w:rPr>
        <w:t>y</w:t>
      </w:r>
      <w:r>
        <w:rPr>
          <w:color w:val="231F20"/>
          <w:spacing w:val="-11"/>
          <w:w w:val="105"/>
        </w:rPr>
        <w:t> </w:t>
      </w:r>
      <w:r>
        <w:rPr>
          <w:color w:val="231F20"/>
          <w:w w:val="105"/>
        </w:rPr>
        <w:t>su</w:t>
      </w:r>
      <w:r>
        <w:rPr>
          <w:color w:val="231F20"/>
          <w:w w:val="97"/>
        </w:rPr>
        <w:t> </w:t>
      </w:r>
      <w:r>
        <w:rPr>
          <w:color w:val="231F20"/>
          <w:w w:val="105"/>
        </w:rPr>
        <w:t>primordial punto de cruce es Sonora, por Agua Prieta, </w:t>
      </w:r>
      <w:r>
        <w:rPr>
          <w:color w:val="231F20"/>
          <w:spacing w:val="47"/>
          <w:w w:val="105"/>
        </w:rPr>
        <w:t> </w:t>
      </w:r>
      <w:r>
        <w:rPr>
          <w:color w:val="231F20"/>
          <w:w w:val="105"/>
        </w:rPr>
        <w:t>principalmente,</w:t>
      </w:r>
    </w:p>
    <w:p>
      <w:pPr>
        <w:pStyle w:val="BodyText"/>
        <w:spacing w:before="1"/>
        <w:ind w:left="1723"/>
        <w:jc w:val="both"/>
      </w:pPr>
      <w:r>
        <w:rPr>
          <w:color w:val="231F20"/>
          <w:w w:val="105"/>
        </w:rPr>
        <w:t>como lo menciona un migrante.</w:t>
      </w:r>
    </w:p>
    <w:p>
      <w:pPr>
        <w:pStyle w:val="BodyText"/>
        <w:spacing w:before="6"/>
        <w:rPr>
          <w:sz w:val="20"/>
        </w:rPr>
      </w:pPr>
    </w:p>
    <w:p>
      <w:pPr>
        <w:spacing w:line="254" w:lineRule="auto" w:before="0"/>
        <w:ind w:left="2857" w:right="1834" w:firstLine="0"/>
        <w:jc w:val="both"/>
        <w:rPr>
          <w:sz w:val="18"/>
        </w:rPr>
      </w:pPr>
      <w:r>
        <w:rPr>
          <w:color w:val="231F20"/>
          <w:w w:val="105"/>
          <w:sz w:val="18"/>
        </w:rPr>
        <w:t>Pues se puede ir uno por varias partes, yo de aquí me voy a Toluca y de Toluca a, depende a la frontera que quiera ir uno a Nogales, Agua Prieta, Chihuahua, a diferentes fronteras, yo me fui la última vez por Agua Prieta, me crucé por el desierto, caminábamos dos días y   dos</w:t>
      </w:r>
    </w:p>
    <w:p>
      <w:pPr>
        <w:pStyle w:val="BodyText"/>
        <w:rPr>
          <w:sz w:val="20"/>
        </w:rPr>
      </w:pPr>
    </w:p>
    <w:p>
      <w:pPr>
        <w:pStyle w:val="BodyText"/>
        <w:rPr>
          <w:sz w:val="20"/>
        </w:rPr>
      </w:pPr>
    </w:p>
    <w:p>
      <w:pPr>
        <w:pStyle w:val="BodyText"/>
        <w:spacing w:before="9"/>
        <w:rPr>
          <w:sz w:val="22"/>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3472" from="131.551193pt,3.703715pt" to="131.551193pt,39.506114pt" stroked="true" strokeweight=".35pt" strokecolor="#231f20">
            <w10:wrap type="none"/>
          </v:line>
        </w:pict>
      </w:r>
      <w:r>
        <w:rPr/>
        <w:pict>
          <v:line style="position:absolute;mso-position-horizontal-relative:page;mso-position-vertical-relative:paragraph;z-index:-453400" from="15pt,39.505917pt" to="0pt,39.505917pt" stroked="true" strokeweight=".25pt" strokecolor="#000000">
            <w10:wrap type="none"/>
          </v:line>
        </w:pict>
      </w:r>
      <w:r>
        <w:rPr/>
        <w:pict>
          <v:line style="position:absolute;mso-position-horizontal-relative:page;mso-position-vertical-relative:paragraph;z-index:36808" from="508.890015pt,39.505917pt" to="523.890015pt,39.505917pt" stroked="true" strokeweight=".25pt" strokecolor="#000000">
            <w10:wrap type="none"/>
          </v:line>
        </w:pict>
      </w:r>
      <w:r>
        <w:rPr>
          <w:rFonts w:ascii="Arial" w:hAnsi="Arial"/>
          <w:color w:val="414042"/>
          <w:position w:val="-5"/>
          <w:sz w:val="20"/>
        </w:rPr>
        <w:t>300</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6832"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6856" from="15pt,-28.286539pt" to="0pt,-28.286539pt" stroked="true" strokeweight=".25pt" strokecolor="#000000">
            <w10:wrap type="none"/>
          </v:line>
        </w:pict>
      </w:r>
      <w:r>
        <w:rPr/>
        <w:pict>
          <v:line style="position:absolute;mso-position-horizontal-relative:page;mso-position-vertical-relative:paragraph;z-index:36880" from="508.890015pt,-28.286539pt" to="523.890015pt,-28.286539pt" stroked="true" strokeweight=".25pt" strokecolor="#000000">
            <w10:wrap type="none"/>
          </v:line>
        </w:pict>
      </w:r>
      <w:r>
        <w:rPr>
          <w:rFonts w:ascii="Arial"/>
          <w:color w:val="414042"/>
          <w:sz w:val="20"/>
        </w:rPr>
        <w:t>301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18"/>
        </w:rPr>
      </w:pPr>
    </w:p>
    <w:p>
      <w:pPr>
        <w:spacing w:line="254" w:lineRule="auto" w:before="66"/>
        <w:ind w:left="2971" w:right="1721" w:firstLine="0"/>
        <w:jc w:val="both"/>
        <w:rPr>
          <w:sz w:val="18"/>
        </w:rPr>
      </w:pPr>
      <w:r>
        <w:rPr>
          <w:color w:val="231F20"/>
          <w:w w:val="105"/>
          <w:sz w:val="18"/>
        </w:rPr>
        <w:t>noches,</w:t>
      </w:r>
      <w:r>
        <w:rPr>
          <w:color w:val="231F20"/>
          <w:spacing w:val="-22"/>
          <w:w w:val="105"/>
          <w:sz w:val="18"/>
        </w:rPr>
        <w:t> </w:t>
      </w:r>
      <w:r>
        <w:rPr>
          <w:color w:val="231F20"/>
          <w:w w:val="105"/>
          <w:sz w:val="18"/>
        </w:rPr>
        <w:t>sin</w:t>
      </w:r>
      <w:r>
        <w:rPr>
          <w:color w:val="231F20"/>
          <w:spacing w:val="-17"/>
          <w:w w:val="105"/>
          <w:sz w:val="18"/>
        </w:rPr>
        <w:t> </w:t>
      </w:r>
      <w:r>
        <w:rPr>
          <w:color w:val="231F20"/>
          <w:w w:val="105"/>
          <w:sz w:val="18"/>
        </w:rPr>
        <w:t>comer</w:t>
      </w:r>
      <w:r>
        <w:rPr>
          <w:color w:val="231F20"/>
          <w:spacing w:val="-17"/>
          <w:w w:val="105"/>
          <w:sz w:val="18"/>
        </w:rPr>
        <w:t> </w:t>
      </w:r>
      <w:r>
        <w:rPr>
          <w:color w:val="231F20"/>
          <w:w w:val="105"/>
          <w:sz w:val="18"/>
        </w:rPr>
        <w:t>sin</w:t>
      </w:r>
      <w:r>
        <w:rPr>
          <w:color w:val="231F20"/>
          <w:spacing w:val="-17"/>
          <w:w w:val="105"/>
          <w:sz w:val="18"/>
        </w:rPr>
        <w:t> </w:t>
      </w:r>
      <w:r>
        <w:rPr>
          <w:color w:val="231F20"/>
          <w:w w:val="105"/>
          <w:sz w:val="18"/>
        </w:rPr>
        <w:t>tomar</w:t>
      </w:r>
      <w:r>
        <w:rPr>
          <w:color w:val="231F20"/>
          <w:spacing w:val="-17"/>
          <w:w w:val="105"/>
          <w:sz w:val="18"/>
        </w:rPr>
        <w:t> </w:t>
      </w:r>
      <w:r>
        <w:rPr>
          <w:color w:val="231F20"/>
          <w:w w:val="105"/>
          <w:sz w:val="18"/>
        </w:rPr>
        <w:t>agua</w:t>
      </w:r>
      <w:r>
        <w:rPr>
          <w:color w:val="231F20"/>
          <w:spacing w:val="-17"/>
          <w:w w:val="105"/>
          <w:sz w:val="18"/>
        </w:rPr>
        <w:t> </w:t>
      </w:r>
      <w:r>
        <w:rPr>
          <w:color w:val="231F20"/>
          <w:w w:val="105"/>
          <w:sz w:val="18"/>
        </w:rPr>
        <w:t>porque</w:t>
      </w:r>
      <w:r>
        <w:rPr>
          <w:color w:val="231F20"/>
          <w:spacing w:val="-17"/>
          <w:w w:val="105"/>
          <w:sz w:val="18"/>
        </w:rPr>
        <w:t> </w:t>
      </w:r>
      <w:r>
        <w:rPr>
          <w:color w:val="231F20"/>
          <w:w w:val="105"/>
          <w:sz w:val="18"/>
        </w:rPr>
        <w:t>llevabas</w:t>
      </w:r>
      <w:r>
        <w:rPr>
          <w:color w:val="231F20"/>
          <w:spacing w:val="-17"/>
          <w:w w:val="105"/>
          <w:sz w:val="18"/>
        </w:rPr>
        <w:t> </w:t>
      </w:r>
      <w:r>
        <w:rPr>
          <w:color w:val="231F20"/>
          <w:w w:val="105"/>
          <w:sz w:val="18"/>
        </w:rPr>
        <w:t>agua</w:t>
      </w:r>
      <w:r>
        <w:rPr>
          <w:color w:val="231F20"/>
          <w:spacing w:val="-17"/>
          <w:w w:val="105"/>
          <w:sz w:val="18"/>
        </w:rPr>
        <w:t> </w:t>
      </w:r>
      <w:r>
        <w:rPr>
          <w:color w:val="231F20"/>
          <w:w w:val="105"/>
          <w:sz w:val="18"/>
        </w:rPr>
        <w:t>para</w:t>
      </w:r>
      <w:r>
        <w:rPr>
          <w:color w:val="231F20"/>
          <w:spacing w:val="-17"/>
          <w:w w:val="105"/>
          <w:sz w:val="18"/>
        </w:rPr>
        <w:t> </w:t>
      </w:r>
      <w:r>
        <w:rPr>
          <w:color w:val="231F20"/>
          <w:w w:val="105"/>
          <w:sz w:val="18"/>
        </w:rPr>
        <w:t>dos</w:t>
      </w:r>
      <w:r>
        <w:rPr>
          <w:color w:val="231F20"/>
          <w:spacing w:val="-17"/>
          <w:w w:val="105"/>
          <w:sz w:val="18"/>
        </w:rPr>
        <w:t> </w:t>
      </w:r>
      <w:r>
        <w:rPr>
          <w:color w:val="231F20"/>
          <w:w w:val="105"/>
          <w:sz w:val="18"/>
        </w:rPr>
        <w:t>o</w:t>
      </w:r>
      <w:r>
        <w:rPr>
          <w:color w:val="231F20"/>
          <w:spacing w:val="-17"/>
          <w:w w:val="105"/>
          <w:sz w:val="18"/>
        </w:rPr>
        <w:t> </w:t>
      </w:r>
      <w:r>
        <w:rPr>
          <w:color w:val="231F20"/>
          <w:w w:val="105"/>
          <w:sz w:val="18"/>
        </w:rPr>
        <w:t>tres días, llevaba un galón de agua pero lo dejé porque luego ya no podía caminar,</w:t>
      </w:r>
      <w:r>
        <w:rPr>
          <w:color w:val="231F20"/>
          <w:spacing w:val="-11"/>
          <w:w w:val="105"/>
          <w:sz w:val="18"/>
        </w:rPr>
        <w:t> </w:t>
      </w:r>
      <w:r>
        <w:rPr>
          <w:color w:val="231F20"/>
          <w:w w:val="105"/>
          <w:sz w:val="18"/>
        </w:rPr>
        <w:t>de</w:t>
      </w:r>
      <w:r>
        <w:rPr>
          <w:color w:val="231F20"/>
          <w:spacing w:val="-7"/>
          <w:w w:val="105"/>
          <w:sz w:val="18"/>
        </w:rPr>
        <w:t> </w:t>
      </w:r>
      <w:r>
        <w:rPr>
          <w:color w:val="231F20"/>
          <w:w w:val="105"/>
          <w:sz w:val="18"/>
        </w:rPr>
        <w:t>comida</w:t>
      </w:r>
      <w:r>
        <w:rPr>
          <w:color w:val="231F20"/>
          <w:spacing w:val="-7"/>
          <w:w w:val="105"/>
          <w:sz w:val="18"/>
        </w:rPr>
        <w:t> </w:t>
      </w:r>
      <w:r>
        <w:rPr>
          <w:color w:val="231F20"/>
          <w:w w:val="105"/>
          <w:sz w:val="18"/>
        </w:rPr>
        <w:t>llevas</w:t>
      </w:r>
      <w:r>
        <w:rPr>
          <w:color w:val="231F20"/>
          <w:spacing w:val="-7"/>
          <w:w w:val="105"/>
          <w:sz w:val="18"/>
        </w:rPr>
        <w:t> </w:t>
      </w:r>
      <w:r>
        <w:rPr>
          <w:color w:val="231F20"/>
          <w:w w:val="105"/>
          <w:sz w:val="18"/>
        </w:rPr>
        <w:t>el</w:t>
      </w:r>
      <w:r>
        <w:rPr>
          <w:color w:val="231F20"/>
          <w:spacing w:val="-7"/>
          <w:w w:val="105"/>
          <w:sz w:val="18"/>
        </w:rPr>
        <w:t> </w:t>
      </w:r>
      <w:r>
        <w:rPr>
          <w:color w:val="231F20"/>
          <w:w w:val="105"/>
          <w:sz w:val="18"/>
        </w:rPr>
        <w:t>pan</w:t>
      </w:r>
      <w:r>
        <w:rPr>
          <w:color w:val="231F20"/>
          <w:spacing w:val="-7"/>
          <w:w w:val="105"/>
          <w:sz w:val="18"/>
        </w:rPr>
        <w:t> </w:t>
      </w:r>
      <w:r>
        <w:rPr>
          <w:color w:val="231F20"/>
          <w:w w:val="105"/>
          <w:sz w:val="18"/>
        </w:rPr>
        <w:t>seco</w:t>
      </w:r>
      <w:r>
        <w:rPr>
          <w:color w:val="231F20"/>
          <w:spacing w:val="-7"/>
          <w:w w:val="105"/>
          <w:sz w:val="18"/>
        </w:rPr>
        <w:t> </w:t>
      </w:r>
      <w:r>
        <w:rPr>
          <w:color w:val="231F20"/>
          <w:w w:val="105"/>
          <w:sz w:val="18"/>
        </w:rPr>
        <w:t>que</w:t>
      </w:r>
      <w:r>
        <w:rPr>
          <w:color w:val="231F20"/>
          <w:spacing w:val="-7"/>
          <w:w w:val="105"/>
          <w:sz w:val="18"/>
        </w:rPr>
        <w:t> </w:t>
      </w:r>
      <w:r>
        <w:rPr>
          <w:color w:val="231F20"/>
          <w:w w:val="105"/>
          <w:sz w:val="18"/>
        </w:rPr>
        <w:t>llevas</w:t>
      </w:r>
      <w:r>
        <w:rPr>
          <w:color w:val="231F20"/>
          <w:spacing w:val="-7"/>
          <w:w w:val="105"/>
          <w:sz w:val="18"/>
        </w:rPr>
        <w:t> </w:t>
      </w:r>
      <w:r>
        <w:rPr>
          <w:color w:val="231F20"/>
          <w:w w:val="105"/>
          <w:sz w:val="18"/>
        </w:rPr>
        <w:t>comiendo,</w:t>
      </w:r>
      <w:r>
        <w:rPr>
          <w:color w:val="231F20"/>
          <w:spacing w:val="-11"/>
          <w:w w:val="105"/>
          <w:sz w:val="18"/>
        </w:rPr>
        <w:t> </w:t>
      </w:r>
      <w:r>
        <w:rPr>
          <w:color w:val="231F20"/>
          <w:w w:val="105"/>
          <w:sz w:val="18"/>
        </w:rPr>
        <w:t>por</w:t>
      </w:r>
      <w:r>
        <w:rPr>
          <w:color w:val="231F20"/>
          <w:spacing w:val="-7"/>
          <w:w w:val="105"/>
          <w:sz w:val="18"/>
        </w:rPr>
        <w:t> </w:t>
      </w:r>
      <w:r>
        <w:rPr>
          <w:color w:val="231F20"/>
          <w:w w:val="105"/>
          <w:sz w:val="18"/>
        </w:rPr>
        <w:t>todos lados que uno quiera cruzar está canijo porque te piden que lleves lo menos</w:t>
      </w:r>
      <w:r>
        <w:rPr>
          <w:color w:val="231F20"/>
          <w:spacing w:val="-20"/>
          <w:w w:val="105"/>
          <w:sz w:val="18"/>
        </w:rPr>
        <w:t> </w:t>
      </w:r>
      <w:r>
        <w:rPr>
          <w:color w:val="231F20"/>
          <w:w w:val="105"/>
          <w:sz w:val="18"/>
        </w:rPr>
        <w:t>que</w:t>
      </w:r>
      <w:r>
        <w:rPr>
          <w:color w:val="231F20"/>
          <w:spacing w:val="-20"/>
          <w:w w:val="105"/>
          <w:sz w:val="18"/>
        </w:rPr>
        <w:t> </w:t>
      </w:r>
      <w:r>
        <w:rPr>
          <w:color w:val="231F20"/>
          <w:w w:val="105"/>
          <w:sz w:val="18"/>
        </w:rPr>
        <w:t>se</w:t>
      </w:r>
      <w:r>
        <w:rPr>
          <w:color w:val="231F20"/>
          <w:spacing w:val="-20"/>
          <w:w w:val="105"/>
          <w:sz w:val="18"/>
        </w:rPr>
        <w:t> </w:t>
      </w:r>
      <w:r>
        <w:rPr>
          <w:color w:val="231F20"/>
          <w:w w:val="105"/>
          <w:sz w:val="18"/>
        </w:rPr>
        <w:t>pueda,</w:t>
      </w:r>
      <w:r>
        <w:rPr>
          <w:color w:val="231F20"/>
          <w:spacing w:val="-25"/>
          <w:w w:val="105"/>
          <w:sz w:val="18"/>
        </w:rPr>
        <w:t> </w:t>
      </w:r>
      <w:r>
        <w:rPr>
          <w:color w:val="231F20"/>
          <w:w w:val="105"/>
          <w:sz w:val="18"/>
        </w:rPr>
        <w:t>yo</w:t>
      </w:r>
      <w:r>
        <w:rPr>
          <w:color w:val="231F20"/>
          <w:spacing w:val="-20"/>
          <w:w w:val="105"/>
          <w:sz w:val="18"/>
        </w:rPr>
        <w:t> </w:t>
      </w:r>
      <w:r>
        <w:rPr>
          <w:color w:val="231F20"/>
          <w:w w:val="105"/>
          <w:sz w:val="18"/>
        </w:rPr>
        <w:t>tuve</w:t>
      </w:r>
      <w:r>
        <w:rPr>
          <w:color w:val="231F20"/>
          <w:spacing w:val="-20"/>
          <w:w w:val="105"/>
          <w:sz w:val="18"/>
        </w:rPr>
        <w:t> </w:t>
      </w:r>
      <w:r>
        <w:rPr>
          <w:color w:val="231F20"/>
          <w:w w:val="105"/>
          <w:sz w:val="18"/>
        </w:rPr>
        <w:t>que</w:t>
      </w:r>
      <w:r>
        <w:rPr>
          <w:color w:val="231F20"/>
          <w:spacing w:val="-20"/>
          <w:w w:val="105"/>
          <w:sz w:val="18"/>
        </w:rPr>
        <w:t> </w:t>
      </w:r>
      <w:r>
        <w:rPr>
          <w:color w:val="231F20"/>
          <w:w w:val="105"/>
          <w:sz w:val="18"/>
        </w:rPr>
        <w:t>regalar</w:t>
      </w:r>
      <w:r>
        <w:rPr>
          <w:color w:val="231F20"/>
          <w:spacing w:val="-20"/>
          <w:w w:val="105"/>
          <w:sz w:val="18"/>
        </w:rPr>
        <w:t> </w:t>
      </w:r>
      <w:r>
        <w:rPr>
          <w:color w:val="231F20"/>
          <w:w w:val="105"/>
          <w:sz w:val="18"/>
        </w:rPr>
        <w:t>mis</w:t>
      </w:r>
      <w:r>
        <w:rPr>
          <w:color w:val="231F20"/>
          <w:spacing w:val="-20"/>
          <w:w w:val="105"/>
          <w:sz w:val="18"/>
        </w:rPr>
        <w:t> </w:t>
      </w:r>
      <w:r>
        <w:rPr>
          <w:color w:val="231F20"/>
          <w:w w:val="105"/>
          <w:sz w:val="18"/>
        </w:rPr>
        <w:t>cosas</w:t>
      </w:r>
      <w:r>
        <w:rPr>
          <w:color w:val="231F20"/>
          <w:spacing w:val="-20"/>
          <w:w w:val="105"/>
          <w:sz w:val="18"/>
        </w:rPr>
        <w:t> </w:t>
      </w:r>
      <w:r>
        <w:rPr>
          <w:color w:val="231F20"/>
          <w:w w:val="105"/>
          <w:sz w:val="18"/>
        </w:rPr>
        <w:t>que</w:t>
      </w:r>
      <w:r>
        <w:rPr>
          <w:color w:val="231F20"/>
          <w:spacing w:val="-20"/>
          <w:w w:val="105"/>
          <w:sz w:val="18"/>
        </w:rPr>
        <w:t> </w:t>
      </w:r>
      <w:r>
        <w:rPr>
          <w:color w:val="231F20"/>
          <w:w w:val="105"/>
          <w:sz w:val="18"/>
        </w:rPr>
        <w:t>llevaba</w:t>
      </w:r>
      <w:r>
        <w:rPr>
          <w:color w:val="231F20"/>
          <w:spacing w:val="-20"/>
          <w:w w:val="105"/>
          <w:sz w:val="18"/>
        </w:rPr>
        <w:t> </w:t>
      </w:r>
      <w:r>
        <w:rPr>
          <w:color w:val="231F20"/>
          <w:w w:val="105"/>
          <w:sz w:val="18"/>
        </w:rPr>
        <w:t>porque no podía ir cargando todo, eso sí tienes que llevar tu agua pero por más que puedas cargar se te acaba y luego empieza lo malo porque se</w:t>
      </w:r>
      <w:r>
        <w:rPr>
          <w:color w:val="231F20"/>
          <w:spacing w:val="-15"/>
          <w:w w:val="105"/>
          <w:sz w:val="18"/>
        </w:rPr>
        <w:t> </w:t>
      </w:r>
      <w:r>
        <w:rPr>
          <w:color w:val="231F20"/>
          <w:w w:val="105"/>
          <w:sz w:val="18"/>
        </w:rPr>
        <w:t>hace</w:t>
      </w:r>
      <w:r>
        <w:rPr>
          <w:color w:val="231F20"/>
          <w:spacing w:val="-15"/>
          <w:w w:val="105"/>
          <w:sz w:val="18"/>
        </w:rPr>
        <w:t> </w:t>
      </w:r>
      <w:r>
        <w:rPr>
          <w:color w:val="231F20"/>
          <w:w w:val="105"/>
          <w:sz w:val="18"/>
        </w:rPr>
        <w:t>más</w:t>
      </w:r>
      <w:r>
        <w:rPr>
          <w:color w:val="231F20"/>
          <w:spacing w:val="-15"/>
          <w:w w:val="105"/>
          <w:sz w:val="18"/>
        </w:rPr>
        <w:t> </w:t>
      </w:r>
      <w:r>
        <w:rPr>
          <w:color w:val="231F20"/>
          <w:w w:val="105"/>
          <w:sz w:val="18"/>
        </w:rPr>
        <w:t>difícil</w:t>
      </w:r>
      <w:r>
        <w:rPr>
          <w:color w:val="231F20"/>
          <w:spacing w:val="-15"/>
          <w:w w:val="105"/>
          <w:sz w:val="18"/>
        </w:rPr>
        <w:t> </w:t>
      </w:r>
      <w:r>
        <w:rPr>
          <w:color w:val="231F20"/>
          <w:w w:val="105"/>
          <w:sz w:val="18"/>
        </w:rPr>
        <w:t>cada</w:t>
      </w:r>
      <w:r>
        <w:rPr>
          <w:color w:val="231F20"/>
          <w:spacing w:val="-15"/>
          <w:w w:val="105"/>
          <w:sz w:val="18"/>
        </w:rPr>
        <w:t> </w:t>
      </w:r>
      <w:r>
        <w:rPr>
          <w:color w:val="231F20"/>
          <w:w w:val="105"/>
          <w:sz w:val="18"/>
        </w:rPr>
        <w:t>vez</w:t>
      </w:r>
      <w:r>
        <w:rPr>
          <w:color w:val="231F20"/>
          <w:spacing w:val="-15"/>
          <w:w w:val="105"/>
          <w:sz w:val="18"/>
        </w:rPr>
        <w:t> </w:t>
      </w:r>
      <w:r>
        <w:rPr>
          <w:color w:val="231F20"/>
          <w:w w:val="105"/>
          <w:sz w:val="18"/>
        </w:rPr>
        <w:t>que</w:t>
      </w:r>
      <w:r>
        <w:rPr>
          <w:color w:val="231F20"/>
          <w:spacing w:val="-15"/>
          <w:w w:val="105"/>
          <w:sz w:val="18"/>
        </w:rPr>
        <w:t> </w:t>
      </w:r>
      <w:r>
        <w:rPr>
          <w:color w:val="231F20"/>
          <w:w w:val="105"/>
          <w:sz w:val="18"/>
        </w:rPr>
        <w:t>te</w:t>
      </w:r>
      <w:r>
        <w:rPr>
          <w:color w:val="231F20"/>
          <w:spacing w:val="-15"/>
          <w:w w:val="105"/>
          <w:sz w:val="18"/>
        </w:rPr>
        <w:t> </w:t>
      </w:r>
      <w:r>
        <w:rPr>
          <w:color w:val="231F20"/>
          <w:w w:val="105"/>
          <w:sz w:val="18"/>
        </w:rPr>
        <w:t>tardas</w:t>
      </w:r>
      <w:r>
        <w:rPr>
          <w:color w:val="231F20"/>
          <w:spacing w:val="-15"/>
          <w:w w:val="105"/>
          <w:sz w:val="18"/>
        </w:rPr>
        <w:t> </w:t>
      </w:r>
      <w:r>
        <w:rPr>
          <w:color w:val="231F20"/>
          <w:w w:val="105"/>
          <w:sz w:val="18"/>
        </w:rPr>
        <w:t>más.</w:t>
      </w:r>
      <w:r>
        <w:rPr>
          <w:color w:val="231F20"/>
          <w:spacing w:val="-19"/>
          <w:w w:val="105"/>
          <w:sz w:val="18"/>
        </w:rPr>
        <w:t> </w:t>
      </w:r>
      <w:r>
        <w:rPr>
          <w:color w:val="231F20"/>
          <w:w w:val="105"/>
          <w:sz w:val="18"/>
        </w:rPr>
        <w:t>Es</w:t>
      </w:r>
      <w:r>
        <w:rPr>
          <w:color w:val="231F20"/>
          <w:spacing w:val="-15"/>
          <w:w w:val="105"/>
          <w:sz w:val="18"/>
        </w:rPr>
        <w:t> </w:t>
      </w:r>
      <w:r>
        <w:rPr>
          <w:color w:val="231F20"/>
          <w:w w:val="105"/>
          <w:sz w:val="18"/>
        </w:rPr>
        <w:t>ir</w:t>
      </w:r>
      <w:r>
        <w:rPr>
          <w:color w:val="231F20"/>
          <w:spacing w:val="-15"/>
          <w:w w:val="105"/>
          <w:sz w:val="18"/>
        </w:rPr>
        <w:t> </w:t>
      </w:r>
      <w:r>
        <w:rPr>
          <w:color w:val="231F20"/>
          <w:w w:val="105"/>
          <w:sz w:val="18"/>
        </w:rPr>
        <w:t>a</w:t>
      </w:r>
      <w:r>
        <w:rPr>
          <w:color w:val="231F20"/>
          <w:spacing w:val="-15"/>
          <w:w w:val="105"/>
          <w:sz w:val="18"/>
        </w:rPr>
        <w:t> </w:t>
      </w:r>
      <w:r>
        <w:rPr>
          <w:color w:val="231F20"/>
          <w:w w:val="105"/>
          <w:sz w:val="18"/>
        </w:rPr>
        <w:t>sufrir</w:t>
      </w:r>
      <w:r>
        <w:rPr>
          <w:color w:val="231F20"/>
          <w:spacing w:val="-15"/>
          <w:w w:val="105"/>
          <w:sz w:val="18"/>
        </w:rPr>
        <w:t> </w:t>
      </w:r>
      <w:r>
        <w:rPr>
          <w:color w:val="231F20"/>
          <w:w w:val="105"/>
          <w:sz w:val="18"/>
        </w:rPr>
        <w:t>porque</w:t>
      </w:r>
      <w:r>
        <w:rPr>
          <w:color w:val="231F20"/>
          <w:spacing w:val="-15"/>
          <w:w w:val="105"/>
          <w:sz w:val="18"/>
        </w:rPr>
        <w:t> </w:t>
      </w:r>
      <w:r>
        <w:rPr>
          <w:color w:val="231F20"/>
          <w:w w:val="105"/>
          <w:sz w:val="18"/>
        </w:rPr>
        <w:t>hay mucho</w:t>
      </w:r>
      <w:r>
        <w:rPr>
          <w:color w:val="231F20"/>
          <w:spacing w:val="-15"/>
          <w:w w:val="105"/>
          <w:sz w:val="18"/>
        </w:rPr>
        <w:t> </w:t>
      </w:r>
      <w:r>
        <w:rPr>
          <w:color w:val="231F20"/>
          <w:w w:val="105"/>
          <w:sz w:val="18"/>
        </w:rPr>
        <w:t>animal</w:t>
      </w:r>
      <w:r>
        <w:rPr>
          <w:color w:val="231F20"/>
          <w:spacing w:val="-15"/>
          <w:w w:val="105"/>
          <w:sz w:val="18"/>
        </w:rPr>
        <w:t> </w:t>
      </w:r>
      <w:r>
        <w:rPr>
          <w:color w:val="231F20"/>
          <w:w w:val="105"/>
          <w:sz w:val="18"/>
        </w:rPr>
        <w:t>venenoso</w:t>
      </w:r>
      <w:r>
        <w:rPr>
          <w:color w:val="231F20"/>
          <w:spacing w:val="-15"/>
          <w:w w:val="105"/>
          <w:sz w:val="18"/>
        </w:rPr>
        <w:t> </w:t>
      </w:r>
      <w:r>
        <w:rPr>
          <w:color w:val="231F20"/>
          <w:w w:val="105"/>
          <w:sz w:val="18"/>
        </w:rPr>
        <w:t>y</w:t>
      </w:r>
      <w:r>
        <w:rPr>
          <w:color w:val="231F20"/>
          <w:spacing w:val="-15"/>
          <w:w w:val="105"/>
          <w:sz w:val="18"/>
        </w:rPr>
        <w:t> </w:t>
      </w:r>
      <w:r>
        <w:rPr>
          <w:color w:val="231F20"/>
          <w:w w:val="105"/>
          <w:sz w:val="18"/>
        </w:rPr>
        <w:t>peligroso</w:t>
      </w:r>
      <w:r>
        <w:rPr>
          <w:color w:val="231F20"/>
          <w:spacing w:val="-15"/>
          <w:w w:val="105"/>
          <w:sz w:val="18"/>
        </w:rPr>
        <w:t> </w:t>
      </w:r>
      <w:r>
        <w:rPr>
          <w:color w:val="231F20"/>
          <w:w w:val="105"/>
          <w:sz w:val="18"/>
        </w:rPr>
        <w:t>(Ismael/37/3).</w:t>
      </w:r>
    </w:p>
    <w:p>
      <w:pPr>
        <w:pStyle w:val="BodyText"/>
        <w:spacing w:before="5"/>
      </w:pPr>
    </w:p>
    <w:p>
      <w:pPr>
        <w:pStyle w:val="BodyText"/>
        <w:spacing w:line="261" w:lineRule="auto"/>
        <w:ind w:left="1837" w:right="1716"/>
        <w:jc w:val="both"/>
      </w:pPr>
      <w:r>
        <w:rPr>
          <w:color w:val="231F20"/>
          <w:w w:val="105"/>
        </w:rPr>
        <w:t>El</w:t>
      </w:r>
      <w:r>
        <w:rPr>
          <w:color w:val="231F20"/>
          <w:spacing w:val="-12"/>
          <w:w w:val="105"/>
        </w:rPr>
        <w:t> </w:t>
      </w:r>
      <w:r>
        <w:rPr>
          <w:color w:val="231F20"/>
          <w:w w:val="105"/>
        </w:rPr>
        <w:t>cruce</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línea,</w:t>
      </w:r>
      <w:r>
        <w:rPr>
          <w:color w:val="231F20"/>
          <w:spacing w:val="-18"/>
          <w:w w:val="105"/>
        </w:rPr>
        <w:t> </w:t>
      </w:r>
      <w:r>
        <w:rPr>
          <w:color w:val="231F20"/>
          <w:w w:val="105"/>
        </w:rPr>
        <w:t>por</w:t>
      </w:r>
      <w:r>
        <w:rPr>
          <w:color w:val="231F20"/>
          <w:spacing w:val="-12"/>
          <w:w w:val="105"/>
        </w:rPr>
        <w:t> </w:t>
      </w:r>
      <w:r>
        <w:rPr>
          <w:color w:val="231F20"/>
          <w:w w:val="105"/>
        </w:rPr>
        <w:t>el</w:t>
      </w:r>
      <w:r>
        <w:rPr>
          <w:color w:val="231F20"/>
          <w:spacing w:val="-12"/>
          <w:w w:val="105"/>
        </w:rPr>
        <w:t> </w:t>
      </w:r>
      <w:r>
        <w:rPr>
          <w:color w:val="231F20"/>
          <w:w w:val="105"/>
        </w:rPr>
        <w:t>alto</w:t>
      </w:r>
      <w:r>
        <w:rPr>
          <w:color w:val="231F20"/>
          <w:spacing w:val="-12"/>
          <w:w w:val="105"/>
        </w:rPr>
        <w:t> </w:t>
      </w:r>
      <w:r>
        <w:rPr>
          <w:color w:val="231F20"/>
          <w:w w:val="105"/>
        </w:rPr>
        <w:t>riesgo</w:t>
      </w:r>
      <w:r>
        <w:rPr>
          <w:color w:val="231F20"/>
          <w:spacing w:val="-12"/>
          <w:w w:val="105"/>
        </w:rPr>
        <w:t> </w:t>
      </w:r>
      <w:r>
        <w:rPr>
          <w:color w:val="231F20"/>
          <w:w w:val="105"/>
        </w:rPr>
        <w:t>que</w:t>
      </w:r>
      <w:r>
        <w:rPr>
          <w:color w:val="231F20"/>
          <w:spacing w:val="-12"/>
          <w:w w:val="105"/>
        </w:rPr>
        <w:t> </w:t>
      </w:r>
      <w:r>
        <w:rPr>
          <w:color w:val="231F20"/>
          <w:w w:val="105"/>
        </w:rPr>
        <w:t>supone</w:t>
      </w:r>
      <w:r>
        <w:rPr>
          <w:color w:val="231F20"/>
          <w:spacing w:val="-12"/>
          <w:w w:val="105"/>
        </w:rPr>
        <w:t> </w:t>
      </w:r>
      <w:r>
        <w:rPr>
          <w:color w:val="231F20"/>
          <w:w w:val="105"/>
        </w:rPr>
        <w:t>cruzar</w:t>
      </w:r>
      <w:r>
        <w:rPr>
          <w:color w:val="231F20"/>
          <w:spacing w:val="-12"/>
          <w:w w:val="105"/>
        </w:rPr>
        <w:t> </w:t>
      </w:r>
      <w:r>
        <w:rPr>
          <w:color w:val="231F20"/>
          <w:w w:val="105"/>
        </w:rPr>
        <w:t>requiere</w:t>
      </w:r>
      <w:r>
        <w:rPr>
          <w:color w:val="231F20"/>
          <w:spacing w:val="-12"/>
          <w:w w:val="105"/>
        </w:rPr>
        <w:t> </w:t>
      </w:r>
      <w:r>
        <w:rPr>
          <w:color w:val="231F20"/>
          <w:w w:val="105"/>
        </w:rPr>
        <w:t>de</w:t>
      </w:r>
      <w:r>
        <w:rPr>
          <w:color w:val="231F20"/>
          <w:spacing w:val="-12"/>
          <w:w w:val="105"/>
        </w:rPr>
        <w:t> </w:t>
      </w:r>
      <w:r>
        <w:rPr>
          <w:color w:val="231F20"/>
          <w:w w:val="105"/>
        </w:rPr>
        <w:t>una buena coordinación, de estar comunicados constantemente y de</w:t>
      </w:r>
      <w:r>
        <w:rPr>
          <w:color w:val="231F20"/>
          <w:spacing w:val="-21"/>
          <w:w w:val="105"/>
        </w:rPr>
        <w:t> </w:t>
      </w:r>
      <w:r>
        <w:rPr>
          <w:color w:val="231F20"/>
          <w:w w:val="105"/>
        </w:rPr>
        <w:t>recur- sos principalmente económicos, entre los integrantes de la red social, como</w:t>
      </w:r>
      <w:r>
        <w:rPr>
          <w:color w:val="231F20"/>
          <w:spacing w:val="-11"/>
          <w:w w:val="105"/>
        </w:rPr>
        <w:t> </w:t>
      </w:r>
      <w:r>
        <w:rPr>
          <w:color w:val="231F20"/>
          <w:w w:val="105"/>
        </w:rPr>
        <w:t>nos</w:t>
      </w:r>
      <w:r>
        <w:rPr>
          <w:color w:val="231F20"/>
          <w:spacing w:val="-11"/>
          <w:w w:val="105"/>
        </w:rPr>
        <w:t> </w:t>
      </w:r>
      <w:r>
        <w:rPr>
          <w:color w:val="231F20"/>
          <w:w w:val="105"/>
        </w:rPr>
        <w:t>refiere</w:t>
      </w:r>
      <w:r>
        <w:rPr>
          <w:color w:val="231F20"/>
          <w:spacing w:val="-11"/>
          <w:w w:val="105"/>
        </w:rPr>
        <w:t> </w:t>
      </w:r>
      <w:r>
        <w:rPr>
          <w:color w:val="231F20"/>
          <w:w w:val="105"/>
        </w:rPr>
        <w:t>un</w:t>
      </w:r>
      <w:r>
        <w:rPr>
          <w:color w:val="231F20"/>
          <w:spacing w:val="-11"/>
          <w:w w:val="105"/>
        </w:rPr>
        <w:t> </w:t>
      </w:r>
      <w:r>
        <w:rPr>
          <w:color w:val="231F20"/>
          <w:w w:val="105"/>
        </w:rPr>
        <w:t>migrante.</w:t>
      </w:r>
    </w:p>
    <w:p>
      <w:pPr>
        <w:pStyle w:val="BodyText"/>
        <w:spacing w:before="7"/>
        <w:rPr>
          <w:sz w:val="18"/>
        </w:rPr>
      </w:pPr>
    </w:p>
    <w:p>
      <w:pPr>
        <w:spacing w:line="254" w:lineRule="auto" w:before="0"/>
        <w:ind w:left="2971" w:right="1721" w:firstLine="0"/>
        <w:jc w:val="both"/>
        <w:rPr>
          <w:sz w:val="18"/>
        </w:rPr>
      </w:pPr>
      <w:r>
        <w:rPr>
          <w:color w:val="231F20"/>
          <w:w w:val="105"/>
          <w:sz w:val="18"/>
        </w:rPr>
        <w:t>se sufre mucho hasta para cruzar, porque yo tardé simplemente para cruzar de tres a cuatro días y eso que ya mi hermano me esperaba y la</w:t>
      </w:r>
      <w:r>
        <w:rPr>
          <w:color w:val="231F20"/>
          <w:spacing w:val="-7"/>
          <w:w w:val="105"/>
          <w:sz w:val="18"/>
        </w:rPr>
        <w:t> </w:t>
      </w:r>
      <w:r>
        <w:rPr>
          <w:color w:val="231F20"/>
          <w:w w:val="105"/>
          <w:sz w:val="18"/>
        </w:rPr>
        <w:t>gente,</w:t>
      </w:r>
      <w:r>
        <w:rPr>
          <w:color w:val="231F20"/>
          <w:spacing w:val="-12"/>
          <w:w w:val="105"/>
          <w:sz w:val="18"/>
        </w:rPr>
        <w:t> </w:t>
      </w:r>
      <w:r>
        <w:rPr>
          <w:color w:val="231F20"/>
          <w:w w:val="105"/>
          <w:sz w:val="18"/>
        </w:rPr>
        <w:t>los</w:t>
      </w:r>
      <w:r>
        <w:rPr>
          <w:color w:val="231F20"/>
          <w:spacing w:val="-7"/>
          <w:w w:val="105"/>
          <w:sz w:val="18"/>
        </w:rPr>
        <w:t> </w:t>
      </w:r>
      <w:r>
        <w:rPr>
          <w:color w:val="231F20"/>
          <w:w w:val="105"/>
          <w:sz w:val="18"/>
        </w:rPr>
        <w:t>guías</w:t>
      </w:r>
      <w:r>
        <w:rPr>
          <w:color w:val="231F20"/>
          <w:spacing w:val="-7"/>
          <w:w w:val="105"/>
          <w:sz w:val="18"/>
        </w:rPr>
        <w:t> </w:t>
      </w:r>
      <w:r>
        <w:rPr>
          <w:color w:val="231F20"/>
          <w:w w:val="105"/>
          <w:sz w:val="18"/>
        </w:rPr>
        <w:t>que</w:t>
      </w:r>
      <w:r>
        <w:rPr>
          <w:color w:val="231F20"/>
          <w:spacing w:val="-7"/>
          <w:w w:val="105"/>
          <w:sz w:val="18"/>
        </w:rPr>
        <w:t> </w:t>
      </w:r>
      <w:r>
        <w:rPr>
          <w:color w:val="231F20"/>
          <w:w w:val="105"/>
          <w:sz w:val="18"/>
        </w:rPr>
        <w:t>nos</w:t>
      </w:r>
      <w:r>
        <w:rPr>
          <w:color w:val="231F20"/>
          <w:spacing w:val="-7"/>
          <w:w w:val="105"/>
          <w:sz w:val="18"/>
        </w:rPr>
        <w:t> </w:t>
      </w:r>
      <w:r>
        <w:rPr>
          <w:color w:val="231F20"/>
          <w:w w:val="105"/>
          <w:sz w:val="18"/>
        </w:rPr>
        <w:t>cruzan</w:t>
      </w:r>
      <w:r>
        <w:rPr>
          <w:color w:val="231F20"/>
          <w:spacing w:val="-7"/>
          <w:w w:val="105"/>
          <w:sz w:val="18"/>
        </w:rPr>
        <w:t> </w:t>
      </w:r>
      <w:r>
        <w:rPr>
          <w:color w:val="231F20"/>
          <w:w w:val="105"/>
          <w:sz w:val="18"/>
        </w:rPr>
        <w:t>ya</w:t>
      </w:r>
      <w:r>
        <w:rPr>
          <w:color w:val="231F20"/>
          <w:spacing w:val="-7"/>
          <w:w w:val="105"/>
          <w:sz w:val="18"/>
        </w:rPr>
        <w:t> </w:t>
      </w:r>
      <w:r>
        <w:rPr>
          <w:color w:val="231F20"/>
          <w:w w:val="105"/>
          <w:sz w:val="18"/>
        </w:rPr>
        <w:t>estaban</w:t>
      </w:r>
      <w:r>
        <w:rPr>
          <w:color w:val="231F20"/>
          <w:spacing w:val="-7"/>
          <w:w w:val="105"/>
          <w:sz w:val="18"/>
        </w:rPr>
        <w:t> </w:t>
      </w:r>
      <w:r>
        <w:rPr>
          <w:color w:val="231F20"/>
          <w:w w:val="105"/>
          <w:sz w:val="18"/>
        </w:rPr>
        <w:t>listos,</w:t>
      </w:r>
      <w:r>
        <w:rPr>
          <w:color w:val="231F20"/>
          <w:spacing w:val="-12"/>
          <w:w w:val="105"/>
          <w:sz w:val="18"/>
        </w:rPr>
        <w:t> </w:t>
      </w:r>
      <w:r>
        <w:rPr>
          <w:color w:val="231F20"/>
          <w:w w:val="105"/>
          <w:sz w:val="18"/>
        </w:rPr>
        <w:t>pero</w:t>
      </w:r>
      <w:r>
        <w:rPr>
          <w:color w:val="231F20"/>
          <w:spacing w:val="-7"/>
          <w:w w:val="105"/>
          <w:sz w:val="18"/>
        </w:rPr>
        <w:t> </w:t>
      </w:r>
      <w:r>
        <w:rPr>
          <w:color w:val="231F20"/>
          <w:w w:val="105"/>
          <w:sz w:val="18"/>
        </w:rPr>
        <w:t>se</w:t>
      </w:r>
      <w:r>
        <w:rPr>
          <w:color w:val="231F20"/>
          <w:spacing w:val="-7"/>
          <w:w w:val="105"/>
          <w:sz w:val="18"/>
        </w:rPr>
        <w:t> </w:t>
      </w:r>
      <w:r>
        <w:rPr>
          <w:color w:val="231F20"/>
          <w:w w:val="105"/>
          <w:sz w:val="18"/>
        </w:rPr>
        <w:t>tiene</w:t>
      </w:r>
      <w:r>
        <w:rPr>
          <w:color w:val="231F20"/>
          <w:spacing w:val="-7"/>
          <w:w w:val="105"/>
          <w:sz w:val="18"/>
        </w:rPr>
        <w:t> </w:t>
      </w:r>
      <w:r>
        <w:rPr>
          <w:color w:val="231F20"/>
          <w:w w:val="105"/>
          <w:sz w:val="18"/>
        </w:rPr>
        <w:t>uno que esperar hasta que ellos digan ya y ya, pero cuando te dicen que tenemos que esperar tenemos que esperar no nos queda otra, en la frontera</w:t>
      </w:r>
      <w:r>
        <w:rPr>
          <w:color w:val="231F20"/>
          <w:spacing w:val="-12"/>
          <w:w w:val="105"/>
          <w:sz w:val="18"/>
        </w:rPr>
        <w:t> </w:t>
      </w:r>
      <w:r>
        <w:rPr>
          <w:color w:val="231F20"/>
          <w:w w:val="105"/>
          <w:sz w:val="18"/>
        </w:rPr>
        <w:t>hay</w:t>
      </w:r>
      <w:r>
        <w:rPr>
          <w:color w:val="231F20"/>
          <w:spacing w:val="-12"/>
          <w:w w:val="105"/>
          <w:sz w:val="18"/>
        </w:rPr>
        <w:t> </w:t>
      </w:r>
      <w:r>
        <w:rPr>
          <w:color w:val="231F20"/>
          <w:w w:val="105"/>
          <w:sz w:val="18"/>
        </w:rPr>
        <w:t>mucha</w:t>
      </w:r>
      <w:r>
        <w:rPr>
          <w:color w:val="231F20"/>
          <w:spacing w:val="-12"/>
          <w:w w:val="105"/>
          <w:sz w:val="18"/>
        </w:rPr>
        <w:t> </w:t>
      </w:r>
      <w:r>
        <w:rPr>
          <w:color w:val="231F20"/>
          <w:w w:val="105"/>
          <w:sz w:val="18"/>
        </w:rPr>
        <w:t>gente</w:t>
      </w:r>
      <w:r>
        <w:rPr>
          <w:color w:val="231F20"/>
          <w:spacing w:val="-12"/>
          <w:w w:val="105"/>
          <w:sz w:val="18"/>
        </w:rPr>
        <w:t> </w:t>
      </w:r>
      <w:r>
        <w:rPr>
          <w:color w:val="231F20"/>
          <w:w w:val="105"/>
          <w:sz w:val="18"/>
        </w:rPr>
        <w:t>que</w:t>
      </w:r>
      <w:r>
        <w:rPr>
          <w:color w:val="231F20"/>
          <w:spacing w:val="-12"/>
          <w:w w:val="105"/>
          <w:sz w:val="18"/>
        </w:rPr>
        <w:t> </w:t>
      </w:r>
      <w:r>
        <w:rPr>
          <w:color w:val="231F20"/>
          <w:w w:val="105"/>
          <w:sz w:val="18"/>
        </w:rPr>
        <w:t>tarda</w:t>
      </w:r>
      <w:r>
        <w:rPr>
          <w:color w:val="231F20"/>
          <w:spacing w:val="-12"/>
          <w:w w:val="105"/>
          <w:sz w:val="18"/>
        </w:rPr>
        <w:t> </w:t>
      </w:r>
      <w:r>
        <w:rPr>
          <w:color w:val="231F20"/>
          <w:w w:val="105"/>
          <w:sz w:val="18"/>
        </w:rPr>
        <w:t>meses</w:t>
      </w:r>
      <w:r>
        <w:rPr>
          <w:color w:val="231F20"/>
          <w:spacing w:val="-12"/>
          <w:w w:val="105"/>
          <w:sz w:val="18"/>
        </w:rPr>
        <w:t> </w:t>
      </w:r>
      <w:r>
        <w:rPr>
          <w:color w:val="231F20"/>
          <w:w w:val="105"/>
          <w:sz w:val="18"/>
        </w:rPr>
        <w:t>para</w:t>
      </w:r>
      <w:r>
        <w:rPr>
          <w:color w:val="231F20"/>
          <w:spacing w:val="-12"/>
          <w:w w:val="105"/>
          <w:sz w:val="18"/>
        </w:rPr>
        <w:t> </w:t>
      </w:r>
      <w:r>
        <w:rPr>
          <w:color w:val="231F20"/>
          <w:w w:val="105"/>
          <w:sz w:val="18"/>
        </w:rPr>
        <w:t>cruzar</w:t>
      </w:r>
      <w:r>
        <w:rPr>
          <w:color w:val="231F20"/>
          <w:spacing w:val="-12"/>
          <w:w w:val="105"/>
          <w:sz w:val="18"/>
        </w:rPr>
        <w:t> </w:t>
      </w:r>
      <w:r>
        <w:rPr>
          <w:color w:val="231F20"/>
          <w:w w:val="105"/>
          <w:sz w:val="18"/>
        </w:rPr>
        <w:t>yo</w:t>
      </w:r>
      <w:r>
        <w:rPr>
          <w:color w:val="231F20"/>
          <w:spacing w:val="-12"/>
          <w:w w:val="105"/>
          <w:sz w:val="18"/>
        </w:rPr>
        <w:t> </w:t>
      </w:r>
      <w:r>
        <w:rPr>
          <w:color w:val="231F20"/>
          <w:w w:val="105"/>
          <w:sz w:val="18"/>
        </w:rPr>
        <w:t>tardé</w:t>
      </w:r>
      <w:r>
        <w:rPr>
          <w:color w:val="231F20"/>
          <w:spacing w:val="-12"/>
          <w:w w:val="105"/>
          <w:sz w:val="18"/>
        </w:rPr>
        <w:t> </w:t>
      </w:r>
      <w:r>
        <w:rPr>
          <w:color w:val="231F20"/>
          <w:w w:val="105"/>
          <w:sz w:val="18"/>
        </w:rPr>
        <w:t>poqui- to</w:t>
      </w:r>
      <w:r>
        <w:rPr>
          <w:color w:val="231F20"/>
          <w:spacing w:val="-2"/>
          <w:w w:val="105"/>
          <w:sz w:val="18"/>
        </w:rPr>
        <w:t> </w:t>
      </w:r>
      <w:r>
        <w:rPr>
          <w:color w:val="231F20"/>
          <w:w w:val="105"/>
          <w:sz w:val="18"/>
        </w:rPr>
        <w:t>porque</w:t>
      </w:r>
      <w:r>
        <w:rPr>
          <w:color w:val="231F20"/>
          <w:spacing w:val="-2"/>
          <w:w w:val="105"/>
          <w:sz w:val="18"/>
        </w:rPr>
        <w:t> </w:t>
      </w:r>
      <w:r>
        <w:rPr>
          <w:color w:val="231F20"/>
          <w:w w:val="105"/>
          <w:sz w:val="18"/>
        </w:rPr>
        <w:t>mi</w:t>
      </w:r>
      <w:r>
        <w:rPr>
          <w:color w:val="231F20"/>
          <w:spacing w:val="-2"/>
          <w:w w:val="105"/>
          <w:sz w:val="18"/>
        </w:rPr>
        <w:t> </w:t>
      </w:r>
      <w:r>
        <w:rPr>
          <w:color w:val="231F20"/>
          <w:w w:val="105"/>
          <w:sz w:val="18"/>
        </w:rPr>
        <w:t>hermano</w:t>
      </w:r>
      <w:r>
        <w:rPr>
          <w:color w:val="231F20"/>
          <w:spacing w:val="-2"/>
          <w:w w:val="105"/>
          <w:sz w:val="18"/>
        </w:rPr>
        <w:t> </w:t>
      </w:r>
      <w:r>
        <w:rPr>
          <w:color w:val="231F20"/>
          <w:w w:val="105"/>
          <w:sz w:val="18"/>
        </w:rPr>
        <w:t>me</w:t>
      </w:r>
      <w:r>
        <w:rPr>
          <w:color w:val="231F20"/>
          <w:spacing w:val="-2"/>
          <w:w w:val="105"/>
          <w:sz w:val="18"/>
        </w:rPr>
        <w:t> </w:t>
      </w:r>
      <w:r>
        <w:rPr>
          <w:color w:val="231F20"/>
          <w:w w:val="105"/>
          <w:sz w:val="18"/>
        </w:rPr>
        <w:t>ayudó,</w:t>
      </w:r>
      <w:r>
        <w:rPr>
          <w:color w:val="231F20"/>
          <w:spacing w:val="-8"/>
          <w:w w:val="105"/>
          <w:sz w:val="18"/>
        </w:rPr>
        <w:t> </w:t>
      </w:r>
      <w:r>
        <w:rPr>
          <w:color w:val="231F20"/>
          <w:w w:val="105"/>
          <w:sz w:val="18"/>
        </w:rPr>
        <w:t>pero</w:t>
      </w:r>
      <w:r>
        <w:rPr>
          <w:color w:val="231F20"/>
          <w:spacing w:val="-2"/>
          <w:w w:val="105"/>
          <w:sz w:val="18"/>
        </w:rPr>
        <w:t> </w:t>
      </w:r>
      <w:r>
        <w:rPr>
          <w:color w:val="231F20"/>
          <w:w w:val="105"/>
          <w:sz w:val="18"/>
        </w:rPr>
        <w:t>sí</w:t>
      </w:r>
      <w:r>
        <w:rPr>
          <w:color w:val="231F20"/>
          <w:spacing w:val="-2"/>
          <w:w w:val="105"/>
          <w:sz w:val="18"/>
        </w:rPr>
        <w:t> </w:t>
      </w:r>
      <w:r>
        <w:rPr>
          <w:color w:val="231F20"/>
          <w:w w:val="105"/>
          <w:sz w:val="18"/>
        </w:rPr>
        <w:t>se</w:t>
      </w:r>
      <w:r>
        <w:rPr>
          <w:color w:val="231F20"/>
          <w:spacing w:val="-2"/>
          <w:w w:val="105"/>
          <w:sz w:val="18"/>
        </w:rPr>
        <w:t> </w:t>
      </w:r>
      <w:r>
        <w:rPr>
          <w:color w:val="231F20"/>
          <w:w w:val="105"/>
          <w:sz w:val="18"/>
        </w:rPr>
        <w:t>sufre</w:t>
      </w:r>
      <w:r>
        <w:rPr>
          <w:color w:val="231F20"/>
          <w:spacing w:val="-2"/>
          <w:w w:val="105"/>
          <w:sz w:val="18"/>
        </w:rPr>
        <w:t> </w:t>
      </w:r>
      <w:r>
        <w:rPr>
          <w:color w:val="231F20"/>
          <w:w w:val="105"/>
          <w:sz w:val="18"/>
        </w:rPr>
        <w:t>yo</w:t>
      </w:r>
      <w:r>
        <w:rPr>
          <w:color w:val="231F20"/>
          <w:spacing w:val="-2"/>
          <w:w w:val="105"/>
          <w:sz w:val="18"/>
        </w:rPr>
        <w:t> </w:t>
      </w:r>
      <w:r>
        <w:rPr>
          <w:color w:val="231F20"/>
          <w:w w:val="105"/>
          <w:sz w:val="18"/>
        </w:rPr>
        <w:t>lo</w:t>
      </w:r>
      <w:r>
        <w:rPr>
          <w:color w:val="231F20"/>
          <w:spacing w:val="-2"/>
          <w:w w:val="105"/>
          <w:sz w:val="18"/>
        </w:rPr>
        <w:t> </w:t>
      </w:r>
      <w:r>
        <w:rPr>
          <w:color w:val="231F20"/>
          <w:w w:val="105"/>
          <w:sz w:val="18"/>
        </w:rPr>
        <w:t>viví</w:t>
      </w:r>
      <w:r>
        <w:rPr>
          <w:color w:val="231F20"/>
          <w:spacing w:val="-2"/>
          <w:w w:val="105"/>
          <w:sz w:val="18"/>
        </w:rPr>
        <w:t> </w:t>
      </w:r>
      <w:r>
        <w:rPr>
          <w:color w:val="231F20"/>
          <w:w w:val="105"/>
          <w:sz w:val="18"/>
        </w:rPr>
        <w:t>y</w:t>
      </w:r>
      <w:r>
        <w:rPr>
          <w:color w:val="231F20"/>
          <w:spacing w:val="-2"/>
          <w:w w:val="105"/>
          <w:sz w:val="18"/>
        </w:rPr>
        <w:t> </w:t>
      </w:r>
      <w:r>
        <w:rPr>
          <w:color w:val="231F20"/>
          <w:w w:val="105"/>
          <w:sz w:val="18"/>
        </w:rPr>
        <w:t>te</w:t>
      </w:r>
      <w:r>
        <w:rPr>
          <w:color w:val="231F20"/>
          <w:spacing w:val="-2"/>
          <w:w w:val="105"/>
          <w:sz w:val="18"/>
        </w:rPr>
        <w:t> </w:t>
      </w:r>
      <w:r>
        <w:rPr>
          <w:color w:val="231F20"/>
          <w:w w:val="105"/>
          <w:sz w:val="18"/>
        </w:rPr>
        <w:t>puedo decir</w:t>
      </w:r>
      <w:r>
        <w:rPr>
          <w:color w:val="231F20"/>
          <w:spacing w:val="-13"/>
          <w:w w:val="105"/>
          <w:sz w:val="18"/>
        </w:rPr>
        <w:t> </w:t>
      </w:r>
      <w:r>
        <w:rPr>
          <w:color w:val="231F20"/>
          <w:w w:val="105"/>
          <w:sz w:val="18"/>
        </w:rPr>
        <w:t>que</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es</w:t>
      </w:r>
      <w:r>
        <w:rPr>
          <w:color w:val="231F20"/>
          <w:spacing w:val="-13"/>
          <w:w w:val="105"/>
          <w:sz w:val="18"/>
        </w:rPr>
        <w:t> </w:t>
      </w:r>
      <w:r>
        <w:rPr>
          <w:color w:val="231F20"/>
          <w:w w:val="105"/>
          <w:sz w:val="18"/>
        </w:rPr>
        <w:t>fácil</w:t>
      </w:r>
      <w:r>
        <w:rPr>
          <w:color w:val="231F20"/>
          <w:spacing w:val="-13"/>
          <w:w w:val="105"/>
          <w:sz w:val="18"/>
        </w:rPr>
        <w:t> </w:t>
      </w:r>
      <w:r>
        <w:rPr>
          <w:color w:val="231F20"/>
          <w:w w:val="105"/>
          <w:sz w:val="18"/>
        </w:rPr>
        <w:t>(Salvador/29/2).</w:t>
      </w:r>
    </w:p>
    <w:p>
      <w:pPr>
        <w:pStyle w:val="BodyText"/>
        <w:spacing w:before="5"/>
      </w:pPr>
    </w:p>
    <w:p>
      <w:pPr>
        <w:pStyle w:val="BodyText"/>
        <w:spacing w:line="261" w:lineRule="auto"/>
        <w:ind w:left="1837" w:right="1721"/>
        <w:jc w:val="both"/>
      </w:pPr>
      <w:r>
        <w:rPr>
          <w:color w:val="231F20"/>
        </w:rPr>
        <w:t>Con lo anterior se puede constatar que en todo el proceso migratorio       de los alquisirenses se observa la ayuda de la red social y familiar ya que esto permite disminuir los costos y riesgos del traslado e incluso el cruce de la frontera, así como conseguir vivienda, trabajo y proporcionar ayuda en situaciones</w:t>
      </w:r>
      <w:r>
        <w:rPr>
          <w:color w:val="231F20"/>
          <w:spacing w:val="42"/>
        </w:rPr>
        <w:t> </w:t>
      </w:r>
      <w:r>
        <w:rPr>
          <w:color w:val="231F20"/>
        </w:rPr>
        <w:t>difíciles.</w:t>
      </w:r>
    </w:p>
    <w:p>
      <w:pPr>
        <w:pStyle w:val="BodyText"/>
        <w:spacing w:before="8"/>
        <w:rPr>
          <w:sz w:val="22"/>
        </w:rPr>
      </w:pPr>
    </w:p>
    <w:p>
      <w:pPr>
        <w:spacing w:before="0"/>
        <w:ind w:left="1837" w:right="0" w:firstLine="0"/>
        <w:jc w:val="both"/>
        <w:rPr>
          <w:rFonts w:ascii="Arial"/>
          <w:i/>
          <w:sz w:val="21"/>
        </w:rPr>
      </w:pPr>
      <w:r>
        <w:rPr>
          <w:rFonts w:ascii="Arial"/>
          <w:i/>
          <w:color w:val="231F20"/>
          <w:sz w:val="21"/>
        </w:rPr>
        <w:t>La permanencia en Estados Unidos</w:t>
      </w:r>
    </w:p>
    <w:p>
      <w:pPr>
        <w:pStyle w:val="BodyText"/>
        <w:spacing w:before="5"/>
        <w:rPr>
          <w:rFonts w:ascii="Arial"/>
          <w:i/>
          <w:sz w:val="24"/>
        </w:rPr>
      </w:pPr>
    </w:p>
    <w:p>
      <w:pPr>
        <w:pStyle w:val="BodyText"/>
        <w:spacing w:line="261" w:lineRule="auto" w:before="1"/>
        <w:ind w:left="1837" w:right="1716"/>
        <w:jc w:val="both"/>
      </w:pPr>
      <w:r>
        <w:rPr>
          <w:color w:val="231F20"/>
          <w:w w:val="105"/>
        </w:rPr>
        <w:t>Una</w:t>
      </w:r>
      <w:r>
        <w:rPr>
          <w:color w:val="231F20"/>
          <w:spacing w:val="-14"/>
          <w:w w:val="105"/>
        </w:rPr>
        <w:t> </w:t>
      </w:r>
      <w:r>
        <w:rPr>
          <w:color w:val="231F20"/>
          <w:w w:val="105"/>
        </w:rPr>
        <w:t>vez</w:t>
      </w:r>
      <w:r>
        <w:rPr>
          <w:color w:val="231F20"/>
          <w:spacing w:val="-14"/>
          <w:w w:val="105"/>
        </w:rPr>
        <w:t> </w:t>
      </w:r>
      <w:r>
        <w:rPr>
          <w:color w:val="231F20"/>
          <w:w w:val="105"/>
        </w:rPr>
        <w:t>que</w:t>
      </w:r>
      <w:r>
        <w:rPr>
          <w:color w:val="231F20"/>
          <w:spacing w:val="-14"/>
          <w:w w:val="105"/>
        </w:rPr>
        <w:t> </w:t>
      </w:r>
      <w:r>
        <w:rPr>
          <w:color w:val="231F20"/>
          <w:w w:val="105"/>
        </w:rPr>
        <w:t>el</w:t>
      </w:r>
      <w:r>
        <w:rPr>
          <w:color w:val="231F20"/>
          <w:spacing w:val="-14"/>
          <w:w w:val="105"/>
        </w:rPr>
        <w:t> </w:t>
      </w:r>
      <w:r>
        <w:rPr>
          <w:color w:val="231F20"/>
          <w:w w:val="105"/>
        </w:rPr>
        <w:t>migrante</w:t>
      </w:r>
      <w:r>
        <w:rPr>
          <w:color w:val="231F20"/>
          <w:spacing w:val="-14"/>
          <w:w w:val="105"/>
        </w:rPr>
        <w:t> </w:t>
      </w:r>
      <w:r>
        <w:rPr>
          <w:color w:val="231F20"/>
          <w:w w:val="105"/>
        </w:rPr>
        <w:t>se</w:t>
      </w:r>
      <w:r>
        <w:rPr>
          <w:color w:val="231F20"/>
          <w:spacing w:val="-14"/>
          <w:w w:val="105"/>
        </w:rPr>
        <w:t> </w:t>
      </w:r>
      <w:r>
        <w:rPr>
          <w:color w:val="231F20"/>
          <w:w w:val="105"/>
        </w:rPr>
        <w:t>encuentra</w:t>
      </w:r>
      <w:r>
        <w:rPr>
          <w:color w:val="231F20"/>
          <w:spacing w:val="-14"/>
          <w:w w:val="105"/>
        </w:rPr>
        <w:t> </w:t>
      </w:r>
      <w:r>
        <w:rPr>
          <w:color w:val="231F20"/>
          <w:spacing w:val="-3"/>
          <w:w w:val="105"/>
        </w:rPr>
        <w:t>“del</w:t>
      </w:r>
      <w:r>
        <w:rPr>
          <w:color w:val="231F20"/>
          <w:spacing w:val="-14"/>
          <w:w w:val="105"/>
        </w:rPr>
        <w:t> </w:t>
      </w:r>
      <w:r>
        <w:rPr>
          <w:color w:val="231F20"/>
          <w:w w:val="105"/>
        </w:rPr>
        <w:t>otro</w:t>
      </w:r>
      <w:r>
        <w:rPr>
          <w:color w:val="231F20"/>
          <w:spacing w:val="-14"/>
          <w:w w:val="105"/>
        </w:rPr>
        <w:t> </w:t>
      </w:r>
      <w:r>
        <w:rPr>
          <w:color w:val="231F20"/>
          <w:spacing w:val="-5"/>
          <w:w w:val="105"/>
        </w:rPr>
        <w:t>lado”,</w:t>
      </w:r>
      <w:r>
        <w:rPr>
          <w:color w:val="231F20"/>
          <w:spacing w:val="-20"/>
          <w:w w:val="105"/>
        </w:rPr>
        <w:t> </w:t>
      </w:r>
      <w:r>
        <w:rPr>
          <w:color w:val="231F20"/>
          <w:w w:val="105"/>
        </w:rPr>
        <w:t>la</w:t>
      </w:r>
      <w:r>
        <w:rPr>
          <w:color w:val="231F20"/>
          <w:spacing w:val="-14"/>
          <w:w w:val="105"/>
        </w:rPr>
        <w:t> </w:t>
      </w:r>
      <w:r>
        <w:rPr>
          <w:color w:val="231F20"/>
          <w:w w:val="105"/>
        </w:rPr>
        <w:t>red</w:t>
      </w:r>
      <w:r>
        <w:rPr>
          <w:color w:val="231F20"/>
          <w:spacing w:val="-14"/>
          <w:w w:val="105"/>
        </w:rPr>
        <w:t> </w:t>
      </w:r>
      <w:r>
        <w:rPr>
          <w:color w:val="231F20"/>
          <w:w w:val="105"/>
        </w:rPr>
        <w:t>de</w:t>
      </w:r>
      <w:r>
        <w:rPr>
          <w:color w:val="231F20"/>
          <w:spacing w:val="-14"/>
          <w:w w:val="105"/>
        </w:rPr>
        <w:t> </w:t>
      </w:r>
      <w:r>
        <w:rPr>
          <w:color w:val="231F20"/>
          <w:w w:val="105"/>
        </w:rPr>
        <w:t>parientes, amigos</w:t>
      </w:r>
      <w:r>
        <w:rPr>
          <w:color w:val="231F20"/>
          <w:spacing w:val="-6"/>
          <w:w w:val="105"/>
        </w:rPr>
        <w:t> </w:t>
      </w:r>
      <w:r>
        <w:rPr>
          <w:color w:val="231F20"/>
          <w:w w:val="105"/>
        </w:rPr>
        <w:t>y</w:t>
      </w:r>
      <w:r>
        <w:rPr>
          <w:color w:val="231F20"/>
          <w:spacing w:val="-6"/>
          <w:w w:val="105"/>
        </w:rPr>
        <w:t> </w:t>
      </w:r>
      <w:r>
        <w:rPr>
          <w:color w:val="231F20"/>
          <w:w w:val="105"/>
        </w:rPr>
        <w:t>paisanos</w:t>
      </w:r>
      <w:r>
        <w:rPr>
          <w:color w:val="231F20"/>
          <w:spacing w:val="-6"/>
          <w:w w:val="105"/>
        </w:rPr>
        <w:t> </w:t>
      </w:r>
      <w:r>
        <w:rPr>
          <w:color w:val="231F20"/>
          <w:w w:val="105"/>
        </w:rPr>
        <w:t>es</w:t>
      </w:r>
      <w:r>
        <w:rPr>
          <w:color w:val="231F20"/>
          <w:spacing w:val="-6"/>
          <w:w w:val="105"/>
        </w:rPr>
        <w:t> </w:t>
      </w:r>
      <w:r>
        <w:rPr>
          <w:color w:val="231F20"/>
          <w:w w:val="105"/>
        </w:rPr>
        <w:t>esencial</w:t>
      </w:r>
      <w:r>
        <w:rPr>
          <w:color w:val="231F20"/>
          <w:spacing w:val="-6"/>
          <w:w w:val="105"/>
        </w:rPr>
        <w:t> </w:t>
      </w:r>
      <w:r>
        <w:rPr>
          <w:color w:val="231F20"/>
          <w:w w:val="105"/>
        </w:rPr>
        <w:t>porque</w:t>
      </w:r>
      <w:r>
        <w:rPr>
          <w:color w:val="231F20"/>
          <w:spacing w:val="-6"/>
          <w:w w:val="105"/>
        </w:rPr>
        <w:t> </w:t>
      </w:r>
      <w:r>
        <w:rPr>
          <w:color w:val="231F20"/>
          <w:w w:val="105"/>
        </w:rPr>
        <w:t>son</w:t>
      </w:r>
      <w:r>
        <w:rPr>
          <w:color w:val="231F20"/>
          <w:spacing w:val="-6"/>
          <w:w w:val="105"/>
        </w:rPr>
        <w:t> </w:t>
      </w:r>
      <w:r>
        <w:rPr>
          <w:color w:val="231F20"/>
          <w:w w:val="105"/>
        </w:rPr>
        <w:t>ellos</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les</w:t>
      </w:r>
      <w:r>
        <w:rPr>
          <w:color w:val="231F20"/>
          <w:spacing w:val="-6"/>
          <w:w w:val="105"/>
        </w:rPr>
        <w:t> </w:t>
      </w:r>
      <w:r>
        <w:rPr>
          <w:color w:val="231F20"/>
          <w:w w:val="105"/>
        </w:rPr>
        <w:t>van</w:t>
      </w:r>
      <w:r>
        <w:rPr>
          <w:color w:val="231F20"/>
          <w:spacing w:val="-6"/>
          <w:w w:val="105"/>
        </w:rPr>
        <w:t> </w:t>
      </w:r>
      <w:r>
        <w:rPr>
          <w:color w:val="231F20"/>
          <w:w w:val="105"/>
        </w:rPr>
        <w:t>a</w:t>
      </w:r>
      <w:r>
        <w:rPr>
          <w:color w:val="231F20"/>
          <w:spacing w:val="-6"/>
          <w:w w:val="105"/>
        </w:rPr>
        <w:t> </w:t>
      </w:r>
      <w:r>
        <w:rPr>
          <w:color w:val="231F20"/>
          <w:w w:val="105"/>
        </w:rPr>
        <w:t>trans- mitir</w:t>
      </w:r>
      <w:r>
        <w:rPr>
          <w:color w:val="231F20"/>
          <w:spacing w:val="-8"/>
          <w:w w:val="105"/>
        </w:rPr>
        <w:t> </w:t>
      </w:r>
      <w:r>
        <w:rPr>
          <w:color w:val="231F20"/>
          <w:w w:val="105"/>
        </w:rPr>
        <w:t>los</w:t>
      </w:r>
      <w:r>
        <w:rPr>
          <w:color w:val="231F20"/>
          <w:spacing w:val="-8"/>
          <w:w w:val="105"/>
        </w:rPr>
        <w:t> </w:t>
      </w:r>
      <w:r>
        <w:rPr>
          <w:color w:val="231F20"/>
          <w:w w:val="105"/>
        </w:rPr>
        <w:t>códigos</w:t>
      </w:r>
      <w:r>
        <w:rPr>
          <w:color w:val="231F20"/>
          <w:spacing w:val="-8"/>
          <w:w w:val="105"/>
        </w:rPr>
        <w:t> </w:t>
      </w:r>
      <w:r>
        <w:rPr>
          <w:color w:val="231F20"/>
          <w:w w:val="105"/>
        </w:rPr>
        <w:t>culturales;</w:t>
      </w:r>
      <w:r>
        <w:rPr>
          <w:color w:val="231F20"/>
          <w:spacing w:val="-8"/>
          <w:w w:val="105"/>
        </w:rPr>
        <w:t> </w:t>
      </w:r>
      <w:r>
        <w:rPr>
          <w:color w:val="231F20"/>
          <w:w w:val="105"/>
        </w:rPr>
        <w:t>las</w:t>
      </w:r>
      <w:r>
        <w:rPr>
          <w:color w:val="231F20"/>
          <w:spacing w:val="-8"/>
          <w:w w:val="105"/>
        </w:rPr>
        <w:t> </w:t>
      </w:r>
      <w:r>
        <w:rPr>
          <w:color w:val="231F20"/>
          <w:w w:val="105"/>
        </w:rPr>
        <w:t>normas</w:t>
      </w:r>
      <w:r>
        <w:rPr>
          <w:color w:val="231F20"/>
          <w:spacing w:val="-8"/>
          <w:w w:val="105"/>
        </w:rPr>
        <w:t> </w:t>
      </w:r>
      <w:r>
        <w:rPr>
          <w:color w:val="231F20"/>
          <w:w w:val="105"/>
        </w:rPr>
        <w:t>laborales</w:t>
      </w:r>
      <w:r>
        <w:rPr>
          <w:color w:val="231F20"/>
          <w:spacing w:val="-8"/>
          <w:w w:val="105"/>
        </w:rPr>
        <w:t> </w:t>
      </w:r>
      <w:r>
        <w:rPr>
          <w:color w:val="231F20"/>
          <w:w w:val="105"/>
        </w:rPr>
        <w:t>y</w:t>
      </w:r>
      <w:r>
        <w:rPr>
          <w:color w:val="231F20"/>
          <w:spacing w:val="-8"/>
          <w:w w:val="105"/>
        </w:rPr>
        <w:t> </w:t>
      </w:r>
      <w:r>
        <w:rPr>
          <w:color w:val="231F20"/>
          <w:w w:val="105"/>
        </w:rPr>
        <w:t>sociales</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se deberán</w:t>
      </w:r>
      <w:r>
        <w:rPr>
          <w:color w:val="231F20"/>
          <w:spacing w:val="-19"/>
          <w:w w:val="105"/>
        </w:rPr>
        <w:t> </w:t>
      </w:r>
      <w:r>
        <w:rPr>
          <w:color w:val="231F20"/>
          <w:w w:val="105"/>
        </w:rPr>
        <w:t>ajustar</w:t>
      </w:r>
      <w:r>
        <w:rPr>
          <w:color w:val="231F20"/>
          <w:spacing w:val="-19"/>
          <w:w w:val="105"/>
        </w:rPr>
        <w:t> </w:t>
      </w:r>
      <w:r>
        <w:rPr>
          <w:color w:val="231F20"/>
          <w:w w:val="105"/>
        </w:rPr>
        <w:t>los</w:t>
      </w:r>
      <w:r>
        <w:rPr>
          <w:color w:val="231F20"/>
          <w:spacing w:val="-19"/>
          <w:w w:val="105"/>
        </w:rPr>
        <w:t> </w:t>
      </w:r>
      <w:r>
        <w:rPr>
          <w:color w:val="231F20"/>
          <w:w w:val="105"/>
        </w:rPr>
        <w:t>recién</w:t>
      </w:r>
      <w:r>
        <w:rPr>
          <w:color w:val="231F20"/>
          <w:spacing w:val="-19"/>
          <w:w w:val="105"/>
        </w:rPr>
        <w:t> </w:t>
      </w:r>
      <w:r>
        <w:rPr>
          <w:color w:val="231F20"/>
          <w:w w:val="105"/>
        </w:rPr>
        <w:t>llegados,</w:t>
      </w:r>
      <w:r>
        <w:rPr>
          <w:color w:val="231F20"/>
          <w:spacing w:val="-25"/>
          <w:w w:val="105"/>
        </w:rPr>
        <w:t> </w:t>
      </w:r>
      <w:r>
        <w:rPr>
          <w:color w:val="231F20"/>
          <w:w w:val="105"/>
        </w:rPr>
        <w:t>como</w:t>
      </w:r>
      <w:r>
        <w:rPr>
          <w:color w:val="231F20"/>
          <w:spacing w:val="-19"/>
          <w:w w:val="105"/>
        </w:rPr>
        <w:t> </w:t>
      </w:r>
      <w:r>
        <w:rPr>
          <w:color w:val="231F20"/>
          <w:w w:val="105"/>
        </w:rPr>
        <w:t>lo</w:t>
      </w:r>
      <w:r>
        <w:rPr>
          <w:color w:val="231F20"/>
          <w:spacing w:val="-19"/>
          <w:w w:val="105"/>
        </w:rPr>
        <w:t> </w:t>
      </w:r>
      <w:r>
        <w:rPr>
          <w:color w:val="231F20"/>
          <w:w w:val="105"/>
        </w:rPr>
        <w:t>podemos</w:t>
      </w:r>
      <w:r>
        <w:rPr>
          <w:color w:val="231F20"/>
          <w:spacing w:val="-19"/>
          <w:w w:val="105"/>
        </w:rPr>
        <w:t> </w:t>
      </w:r>
      <w:r>
        <w:rPr>
          <w:color w:val="231F20"/>
          <w:w w:val="105"/>
        </w:rPr>
        <w:t>ver</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siguiente relato de un</w:t>
      </w:r>
      <w:r>
        <w:rPr>
          <w:color w:val="231F20"/>
          <w:spacing w:val="-19"/>
          <w:w w:val="105"/>
        </w:rPr>
        <w:t> </w:t>
      </w:r>
      <w:r>
        <w:rPr>
          <w:color w:val="231F20"/>
          <w:w w:val="105"/>
        </w:rPr>
        <w:t>migrante.</w:t>
      </w:r>
    </w:p>
    <w:p>
      <w:pPr>
        <w:pStyle w:val="BodyText"/>
        <w:spacing w:before="7"/>
        <w:rPr>
          <w:sz w:val="18"/>
        </w:rPr>
      </w:pPr>
    </w:p>
    <w:p>
      <w:pPr>
        <w:spacing w:line="254" w:lineRule="auto" w:before="1"/>
        <w:ind w:left="2971" w:right="1716" w:firstLine="0"/>
        <w:jc w:val="both"/>
        <w:rPr>
          <w:sz w:val="18"/>
        </w:rPr>
      </w:pPr>
      <w:r>
        <w:rPr>
          <w:color w:val="231F20"/>
          <w:w w:val="105"/>
          <w:sz w:val="18"/>
        </w:rPr>
        <w:t>Cuando me fui por última vez, me fui a Pennsylvania con mi</w:t>
      </w:r>
      <w:r>
        <w:rPr>
          <w:color w:val="231F20"/>
          <w:spacing w:val="-26"/>
          <w:w w:val="105"/>
          <w:sz w:val="18"/>
        </w:rPr>
        <w:t> </w:t>
      </w:r>
      <w:r>
        <w:rPr>
          <w:color w:val="231F20"/>
          <w:w w:val="105"/>
          <w:sz w:val="18"/>
        </w:rPr>
        <w:t>hermano y su familia. Ellos tienes tres niños y me quedé con ellos, mi</w:t>
      </w:r>
      <w:r>
        <w:rPr>
          <w:color w:val="231F20"/>
          <w:spacing w:val="-30"/>
          <w:w w:val="105"/>
          <w:sz w:val="18"/>
        </w:rPr>
        <w:t> </w:t>
      </w:r>
      <w:r>
        <w:rPr>
          <w:color w:val="231F20"/>
          <w:w w:val="105"/>
          <w:sz w:val="18"/>
        </w:rPr>
        <w:t>hermano me</w:t>
      </w:r>
      <w:r>
        <w:rPr>
          <w:color w:val="231F20"/>
          <w:spacing w:val="-12"/>
          <w:w w:val="105"/>
          <w:sz w:val="18"/>
        </w:rPr>
        <w:t> </w:t>
      </w:r>
      <w:r>
        <w:rPr>
          <w:color w:val="231F20"/>
          <w:w w:val="105"/>
          <w:sz w:val="18"/>
        </w:rPr>
        <w:t>ayudó</w:t>
      </w:r>
      <w:r>
        <w:rPr>
          <w:color w:val="231F20"/>
          <w:spacing w:val="-12"/>
          <w:w w:val="105"/>
          <w:sz w:val="18"/>
        </w:rPr>
        <w:t> </w:t>
      </w:r>
      <w:r>
        <w:rPr>
          <w:color w:val="231F20"/>
          <w:w w:val="105"/>
          <w:sz w:val="18"/>
        </w:rPr>
        <w:t>a</w:t>
      </w:r>
      <w:r>
        <w:rPr>
          <w:color w:val="231F20"/>
          <w:spacing w:val="-12"/>
          <w:w w:val="105"/>
          <w:sz w:val="18"/>
        </w:rPr>
        <w:t> </w:t>
      </w:r>
      <w:r>
        <w:rPr>
          <w:color w:val="231F20"/>
          <w:w w:val="105"/>
          <w:sz w:val="18"/>
        </w:rPr>
        <w:t>conseguir</w:t>
      </w:r>
      <w:r>
        <w:rPr>
          <w:color w:val="231F20"/>
          <w:spacing w:val="-12"/>
          <w:w w:val="105"/>
          <w:sz w:val="18"/>
        </w:rPr>
        <w:t> </w:t>
      </w:r>
      <w:r>
        <w:rPr>
          <w:color w:val="231F20"/>
          <w:w w:val="105"/>
          <w:sz w:val="18"/>
        </w:rPr>
        <w:t>trabajo,</w:t>
      </w:r>
      <w:r>
        <w:rPr>
          <w:color w:val="231F20"/>
          <w:spacing w:val="-17"/>
          <w:w w:val="105"/>
          <w:sz w:val="18"/>
        </w:rPr>
        <w:t> </w:t>
      </w:r>
      <w:r>
        <w:rPr>
          <w:color w:val="231F20"/>
          <w:w w:val="105"/>
          <w:sz w:val="18"/>
        </w:rPr>
        <w:t>un</w:t>
      </w:r>
      <w:r>
        <w:rPr>
          <w:color w:val="231F20"/>
          <w:spacing w:val="-12"/>
          <w:w w:val="105"/>
          <w:sz w:val="18"/>
        </w:rPr>
        <w:t> </w:t>
      </w:r>
      <w:r>
        <w:rPr>
          <w:color w:val="231F20"/>
          <w:w w:val="105"/>
          <w:sz w:val="18"/>
        </w:rPr>
        <w:t>día</w:t>
      </w:r>
      <w:r>
        <w:rPr>
          <w:color w:val="231F20"/>
          <w:spacing w:val="-12"/>
          <w:w w:val="105"/>
          <w:sz w:val="18"/>
        </w:rPr>
        <w:t> </w:t>
      </w:r>
      <w:r>
        <w:rPr>
          <w:color w:val="231F20"/>
          <w:w w:val="105"/>
          <w:sz w:val="18"/>
        </w:rPr>
        <w:t>cuando</w:t>
      </w:r>
      <w:r>
        <w:rPr>
          <w:color w:val="231F20"/>
          <w:spacing w:val="-12"/>
          <w:w w:val="105"/>
          <w:sz w:val="18"/>
        </w:rPr>
        <w:t> </w:t>
      </w:r>
      <w:r>
        <w:rPr>
          <w:color w:val="231F20"/>
          <w:w w:val="105"/>
          <w:sz w:val="18"/>
        </w:rPr>
        <w:t>él</w:t>
      </w:r>
      <w:r>
        <w:rPr>
          <w:color w:val="231F20"/>
          <w:spacing w:val="-12"/>
          <w:w w:val="105"/>
          <w:sz w:val="18"/>
        </w:rPr>
        <w:t> </w:t>
      </w:r>
      <w:r>
        <w:rPr>
          <w:color w:val="231F20"/>
          <w:w w:val="105"/>
          <w:sz w:val="18"/>
        </w:rPr>
        <w:t>me</w:t>
      </w:r>
      <w:r>
        <w:rPr>
          <w:color w:val="231F20"/>
          <w:spacing w:val="-12"/>
          <w:w w:val="105"/>
          <w:sz w:val="18"/>
        </w:rPr>
        <w:t> </w:t>
      </w:r>
      <w:r>
        <w:rPr>
          <w:color w:val="231F20"/>
          <w:w w:val="105"/>
          <w:sz w:val="18"/>
        </w:rPr>
        <w:t>dijo</w:t>
      </w:r>
      <w:r>
        <w:rPr>
          <w:color w:val="231F20"/>
          <w:spacing w:val="-12"/>
          <w:w w:val="105"/>
          <w:sz w:val="18"/>
        </w:rPr>
        <w:t> </w:t>
      </w:r>
      <w:r>
        <w:rPr>
          <w:color w:val="231F20"/>
          <w:w w:val="105"/>
          <w:sz w:val="18"/>
        </w:rPr>
        <w:t>ya</w:t>
      </w:r>
      <w:r>
        <w:rPr>
          <w:color w:val="231F20"/>
          <w:spacing w:val="-12"/>
          <w:w w:val="105"/>
          <w:sz w:val="18"/>
        </w:rPr>
        <w:t> </w:t>
      </w:r>
      <w:r>
        <w:rPr>
          <w:color w:val="231F20"/>
          <w:w w:val="105"/>
          <w:sz w:val="18"/>
        </w:rPr>
        <w:t>vamos</w:t>
      </w:r>
      <w:r>
        <w:rPr>
          <w:color w:val="231F20"/>
          <w:spacing w:val="-12"/>
          <w:w w:val="105"/>
          <w:sz w:val="18"/>
        </w:rPr>
        <w:t> </w:t>
      </w:r>
      <w:r>
        <w:rPr>
          <w:color w:val="231F20"/>
          <w:w w:val="105"/>
          <w:sz w:val="18"/>
        </w:rPr>
        <w:t>y</w:t>
      </w:r>
      <w:r>
        <w:rPr>
          <w:color w:val="231F20"/>
          <w:spacing w:val="-12"/>
          <w:w w:val="105"/>
          <w:sz w:val="18"/>
        </w:rPr>
        <w:t> </w:t>
      </w:r>
      <w:r>
        <w:rPr>
          <w:color w:val="231F20"/>
          <w:w w:val="105"/>
          <w:sz w:val="18"/>
        </w:rPr>
        <w:t>me llevó con el patrón le dijo él es, ahí se lo encargo, y me dio el trabajo, pero</w:t>
      </w:r>
      <w:r>
        <w:rPr>
          <w:color w:val="231F20"/>
          <w:spacing w:val="-7"/>
          <w:w w:val="105"/>
          <w:sz w:val="18"/>
        </w:rPr>
        <w:t> </w:t>
      </w:r>
      <w:r>
        <w:rPr>
          <w:color w:val="231F20"/>
          <w:w w:val="105"/>
          <w:sz w:val="18"/>
        </w:rPr>
        <w:t>eso</w:t>
      </w:r>
      <w:r>
        <w:rPr>
          <w:color w:val="231F20"/>
          <w:spacing w:val="-7"/>
          <w:w w:val="105"/>
          <w:sz w:val="18"/>
        </w:rPr>
        <w:t> </w:t>
      </w:r>
      <w:r>
        <w:rPr>
          <w:color w:val="231F20"/>
          <w:w w:val="105"/>
          <w:sz w:val="18"/>
        </w:rPr>
        <w:t>si</w:t>
      </w:r>
      <w:r>
        <w:rPr>
          <w:color w:val="231F20"/>
          <w:spacing w:val="-7"/>
          <w:w w:val="105"/>
          <w:sz w:val="18"/>
        </w:rPr>
        <w:t> </w:t>
      </w:r>
      <w:r>
        <w:rPr>
          <w:color w:val="231F20"/>
          <w:w w:val="105"/>
          <w:sz w:val="18"/>
        </w:rPr>
        <w:t>me</w:t>
      </w:r>
      <w:r>
        <w:rPr>
          <w:color w:val="231F20"/>
          <w:spacing w:val="-7"/>
          <w:w w:val="105"/>
          <w:sz w:val="18"/>
        </w:rPr>
        <w:t> </w:t>
      </w:r>
      <w:r>
        <w:rPr>
          <w:color w:val="231F20"/>
          <w:w w:val="105"/>
          <w:sz w:val="18"/>
        </w:rPr>
        <w:t>dijo</w:t>
      </w:r>
      <w:r>
        <w:rPr>
          <w:color w:val="231F20"/>
          <w:spacing w:val="-7"/>
          <w:w w:val="105"/>
          <w:sz w:val="18"/>
        </w:rPr>
        <w:t> </w:t>
      </w:r>
      <w:r>
        <w:rPr>
          <w:color w:val="231F20"/>
          <w:w w:val="105"/>
          <w:sz w:val="18"/>
        </w:rPr>
        <w:t>que</w:t>
      </w:r>
      <w:r>
        <w:rPr>
          <w:color w:val="231F20"/>
          <w:spacing w:val="-7"/>
          <w:w w:val="105"/>
          <w:sz w:val="18"/>
        </w:rPr>
        <w:t> </w:t>
      </w:r>
      <w:r>
        <w:rPr>
          <w:color w:val="231F20"/>
          <w:w w:val="105"/>
          <w:sz w:val="18"/>
        </w:rPr>
        <w:t>tenía</w:t>
      </w:r>
      <w:r>
        <w:rPr>
          <w:color w:val="231F20"/>
          <w:spacing w:val="-7"/>
          <w:w w:val="105"/>
          <w:sz w:val="18"/>
        </w:rPr>
        <w:t> </w:t>
      </w:r>
      <w:r>
        <w:rPr>
          <w:color w:val="231F20"/>
          <w:w w:val="105"/>
          <w:sz w:val="18"/>
        </w:rPr>
        <w:t>que</w:t>
      </w:r>
      <w:r>
        <w:rPr>
          <w:color w:val="231F20"/>
          <w:spacing w:val="-7"/>
          <w:w w:val="105"/>
          <w:sz w:val="18"/>
        </w:rPr>
        <w:t> </w:t>
      </w:r>
      <w:r>
        <w:rPr>
          <w:color w:val="231F20"/>
          <w:w w:val="105"/>
          <w:sz w:val="18"/>
        </w:rPr>
        <w:t>portarme</w:t>
      </w:r>
      <w:r>
        <w:rPr>
          <w:color w:val="231F20"/>
          <w:spacing w:val="-7"/>
          <w:w w:val="105"/>
          <w:sz w:val="18"/>
        </w:rPr>
        <w:t> </w:t>
      </w:r>
      <w:r>
        <w:rPr>
          <w:color w:val="231F20"/>
          <w:w w:val="105"/>
          <w:sz w:val="18"/>
        </w:rPr>
        <w:t>bien</w:t>
      </w:r>
      <w:r>
        <w:rPr>
          <w:color w:val="231F20"/>
          <w:spacing w:val="-7"/>
          <w:w w:val="105"/>
          <w:sz w:val="18"/>
        </w:rPr>
        <w:t> </w:t>
      </w:r>
      <w:r>
        <w:rPr>
          <w:color w:val="231F20"/>
          <w:w w:val="105"/>
          <w:sz w:val="18"/>
        </w:rPr>
        <w:t>y</w:t>
      </w:r>
      <w:r>
        <w:rPr>
          <w:color w:val="231F20"/>
          <w:spacing w:val="-7"/>
          <w:w w:val="105"/>
          <w:sz w:val="18"/>
        </w:rPr>
        <w:t> </w:t>
      </w:r>
      <w:r>
        <w:rPr>
          <w:color w:val="231F20"/>
          <w:w w:val="105"/>
          <w:sz w:val="18"/>
        </w:rPr>
        <w:t>que</w:t>
      </w:r>
      <w:r>
        <w:rPr>
          <w:color w:val="231F20"/>
          <w:spacing w:val="-7"/>
          <w:w w:val="105"/>
          <w:sz w:val="18"/>
        </w:rPr>
        <w:t> </w:t>
      </w:r>
      <w:r>
        <w:rPr>
          <w:color w:val="231F20"/>
          <w:w w:val="105"/>
          <w:sz w:val="18"/>
        </w:rPr>
        <w:t>no</w:t>
      </w:r>
      <w:r>
        <w:rPr>
          <w:color w:val="231F20"/>
          <w:spacing w:val="-7"/>
          <w:w w:val="105"/>
          <w:sz w:val="18"/>
        </w:rPr>
        <w:t> </w:t>
      </w:r>
      <w:r>
        <w:rPr>
          <w:color w:val="231F20"/>
          <w:w w:val="105"/>
          <w:sz w:val="18"/>
        </w:rPr>
        <w:t>buscara</w:t>
      </w:r>
      <w:r>
        <w:rPr>
          <w:color w:val="231F20"/>
          <w:spacing w:val="-7"/>
          <w:w w:val="105"/>
          <w:sz w:val="18"/>
        </w:rPr>
        <w:t> </w:t>
      </w:r>
      <w:r>
        <w:rPr>
          <w:color w:val="231F20"/>
          <w:w w:val="105"/>
          <w:sz w:val="18"/>
        </w:rPr>
        <w:t>pro- blemas porque el patrón luego te puede quitar el trabajo</w:t>
      </w:r>
      <w:r>
        <w:rPr>
          <w:color w:val="231F20"/>
          <w:spacing w:val="-24"/>
          <w:w w:val="105"/>
          <w:sz w:val="18"/>
        </w:rPr>
        <w:t> </w:t>
      </w:r>
      <w:r>
        <w:rPr>
          <w:color w:val="231F20"/>
          <w:w w:val="105"/>
          <w:sz w:val="18"/>
        </w:rPr>
        <w:t>(Jorge/40/3).</w:t>
      </w:r>
    </w:p>
    <w:p>
      <w:pPr>
        <w:pStyle w:val="BodyText"/>
        <w:spacing w:before="5"/>
      </w:pPr>
    </w:p>
    <w:p>
      <w:pPr>
        <w:pStyle w:val="BodyText"/>
        <w:ind w:left="1837"/>
        <w:jc w:val="both"/>
      </w:pPr>
      <w:r>
        <w:rPr/>
        <w:pict>
          <v:line style="position:absolute;mso-position-horizontal-relative:page;mso-position-vertical-relative:paragraph;z-index:-453280" from="15pt,96.00869pt" to="0pt,96.00869pt" stroked="true" strokeweight=".25pt" strokecolor="#000000">
            <w10:wrap type="none"/>
          </v:line>
        </w:pict>
      </w:r>
      <w:r>
        <w:rPr/>
        <w:pict>
          <v:line style="position:absolute;mso-position-horizontal-relative:page;mso-position-vertical-relative:paragraph;z-index:36928" from="508.890015pt,96.00869pt" to="523.890015pt,96.00869pt" stroked="true" strokeweight=".25pt" strokecolor="#000000">
            <w10:wrap type="none"/>
          </v:line>
        </w:pict>
      </w:r>
      <w:r>
        <w:rPr>
          <w:color w:val="231F20"/>
          <w:w w:val="105"/>
        </w:rPr>
        <w:t>Al respecto también tenemos el testimonio de Carlos:</w:t>
      </w:r>
    </w:p>
    <w:p>
      <w:pPr>
        <w:spacing w:after="0"/>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line="254" w:lineRule="auto" w:before="0"/>
        <w:ind w:left="2857" w:right="1834" w:firstLine="0"/>
        <w:jc w:val="both"/>
        <w:rPr>
          <w:sz w:val="18"/>
        </w:rPr>
      </w:pPr>
      <w:r>
        <w:rPr/>
        <w:pict>
          <v:line style="position:absolute;mso-position-horizontal-relative:page;mso-position-vertical-relative:paragraph;z-index:37000" from="15pt,-71.569252pt" to="0pt,-71.569252pt" stroked="true" strokeweight=".25pt" strokecolor="#000000">
            <w10:wrap type="none"/>
          </v:line>
        </w:pict>
      </w:r>
      <w:r>
        <w:rPr/>
        <w:pict>
          <v:line style="position:absolute;mso-position-horizontal-relative:page;mso-position-vertical-relative:paragraph;z-index:37024" from="508.890015pt,-71.569252pt" to="523.890015pt,-71.569252pt" stroked="true" strokeweight=".25pt" strokecolor="#000000">
            <w10:wrap type="none"/>
          </v:line>
        </w:pict>
      </w:r>
      <w:r>
        <w:rPr>
          <w:color w:val="231F20"/>
          <w:w w:val="105"/>
          <w:sz w:val="18"/>
        </w:rPr>
        <w:t>la</w:t>
      </w:r>
      <w:r>
        <w:rPr>
          <w:color w:val="231F20"/>
          <w:spacing w:val="-19"/>
          <w:w w:val="105"/>
          <w:sz w:val="18"/>
        </w:rPr>
        <w:t> </w:t>
      </w:r>
      <w:r>
        <w:rPr>
          <w:color w:val="231F20"/>
          <w:w w:val="105"/>
          <w:sz w:val="18"/>
        </w:rPr>
        <w:t>primera</w:t>
      </w:r>
      <w:r>
        <w:rPr>
          <w:color w:val="231F20"/>
          <w:spacing w:val="-19"/>
          <w:w w:val="105"/>
          <w:sz w:val="18"/>
        </w:rPr>
        <w:t> </w:t>
      </w:r>
      <w:r>
        <w:rPr>
          <w:color w:val="231F20"/>
          <w:w w:val="105"/>
          <w:sz w:val="18"/>
        </w:rPr>
        <w:t>vez</w:t>
      </w:r>
      <w:r>
        <w:rPr>
          <w:color w:val="231F20"/>
          <w:spacing w:val="-19"/>
          <w:w w:val="105"/>
          <w:sz w:val="18"/>
        </w:rPr>
        <w:t> </w:t>
      </w:r>
      <w:r>
        <w:rPr>
          <w:color w:val="231F20"/>
          <w:w w:val="105"/>
          <w:sz w:val="18"/>
        </w:rPr>
        <w:t>fui</w:t>
      </w:r>
      <w:r>
        <w:rPr>
          <w:color w:val="231F20"/>
          <w:spacing w:val="-19"/>
          <w:w w:val="105"/>
          <w:sz w:val="18"/>
        </w:rPr>
        <w:t> </w:t>
      </w:r>
      <w:r>
        <w:rPr>
          <w:color w:val="231F20"/>
          <w:w w:val="105"/>
          <w:sz w:val="18"/>
        </w:rPr>
        <w:t>a</w:t>
      </w:r>
      <w:r>
        <w:rPr>
          <w:color w:val="231F20"/>
          <w:spacing w:val="-19"/>
          <w:w w:val="105"/>
          <w:sz w:val="18"/>
        </w:rPr>
        <w:t> </w:t>
      </w:r>
      <w:r>
        <w:rPr>
          <w:color w:val="231F20"/>
          <w:w w:val="105"/>
          <w:sz w:val="18"/>
        </w:rPr>
        <w:t>California</w:t>
      </w:r>
      <w:r>
        <w:rPr>
          <w:color w:val="231F20"/>
          <w:spacing w:val="-19"/>
          <w:w w:val="105"/>
          <w:sz w:val="18"/>
        </w:rPr>
        <w:t> </w:t>
      </w:r>
      <w:r>
        <w:rPr>
          <w:color w:val="231F20"/>
          <w:w w:val="105"/>
          <w:sz w:val="18"/>
        </w:rPr>
        <w:t>y</w:t>
      </w:r>
      <w:r>
        <w:rPr>
          <w:color w:val="231F20"/>
          <w:spacing w:val="-19"/>
          <w:w w:val="105"/>
          <w:sz w:val="18"/>
        </w:rPr>
        <w:t> </w:t>
      </w:r>
      <w:r>
        <w:rPr>
          <w:color w:val="231F20"/>
          <w:w w:val="105"/>
          <w:sz w:val="18"/>
        </w:rPr>
        <w:t>ya</w:t>
      </w:r>
      <w:r>
        <w:rPr>
          <w:color w:val="231F20"/>
          <w:spacing w:val="-19"/>
          <w:w w:val="105"/>
          <w:sz w:val="18"/>
        </w:rPr>
        <w:t> </w:t>
      </w:r>
      <w:r>
        <w:rPr>
          <w:color w:val="231F20"/>
          <w:w w:val="105"/>
          <w:sz w:val="18"/>
        </w:rPr>
        <w:t>las</w:t>
      </w:r>
      <w:r>
        <w:rPr>
          <w:color w:val="231F20"/>
          <w:spacing w:val="-19"/>
          <w:w w:val="105"/>
          <w:sz w:val="18"/>
        </w:rPr>
        <w:t> </w:t>
      </w:r>
      <w:r>
        <w:rPr>
          <w:color w:val="231F20"/>
          <w:w w:val="105"/>
          <w:sz w:val="18"/>
        </w:rPr>
        <w:t>otras</w:t>
      </w:r>
      <w:r>
        <w:rPr>
          <w:color w:val="231F20"/>
          <w:spacing w:val="-19"/>
          <w:w w:val="105"/>
          <w:sz w:val="18"/>
        </w:rPr>
        <w:t> </w:t>
      </w:r>
      <w:r>
        <w:rPr>
          <w:color w:val="231F20"/>
          <w:w w:val="105"/>
          <w:sz w:val="18"/>
        </w:rPr>
        <w:t>veces</w:t>
      </w:r>
      <w:r>
        <w:rPr>
          <w:color w:val="231F20"/>
          <w:spacing w:val="-19"/>
          <w:w w:val="105"/>
          <w:sz w:val="18"/>
        </w:rPr>
        <w:t> </w:t>
      </w:r>
      <w:r>
        <w:rPr>
          <w:color w:val="231F20"/>
          <w:w w:val="105"/>
          <w:sz w:val="18"/>
        </w:rPr>
        <w:t>fui</w:t>
      </w:r>
      <w:r>
        <w:rPr>
          <w:color w:val="231F20"/>
          <w:spacing w:val="-19"/>
          <w:w w:val="105"/>
          <w:sz w:val="18"/>
        </w:rPr>
        <w:t> </w:t>
      </w:r>
      <w:r>
        <w:rPr>
          <w:color w:val="231F20"/>
          <w:w w:val="105"/>
          <w:sz w:val="18"/>
        </w:rPr>
        <w:t>a</w:t>
      </w:r>
      <w:r>
        <w:rPr>
          <w:color w:val="231F20"/>
          <w:spacing w:val="-19"/>
          <w:w w:val="105"/>
          <w:sz w:val="18"/>
        </w:rPr>
        <w:t> </w:t>
      </w:r>
      <w:r>
        <w:rPr>
          <w:color w:val="231F20"/>
          <w:w w:val="105"/>
          <w:sz w:val="18"/>
        </w:rPr>
        <w:t>Pennsylvania.</w:t>
      </w:r>
      <w:r>
        <w:rPr>
          <w:color w:val="231F20"/>
          <w:spacing w:val="-22"/>
          <w:w w:val="105"/>
          <w:sz w:val="18"/>
        </w:rPr>
        <w:t> </w:t>
      </w:r>
      <w:r>
        <w:rPr>
          <w:color w:val="231F20"/>
          <w:w w:val="105"/>
          <w:sz w:val="18"/>
        </w:rPr>
        <w:t>La primera vez fue la más dura porque no conocía nada, pero lo que si hay son un “chingo” de mexicanos parece plaga, pero es bueno para uno que va de nuevo, porque son ellos los que te ayudan, no todos porque otros ni siquiera te hablan como todo, pero me hice amigo de un paisano de Tejupilco y él me ayudó a salir y a dejar el miedo que tenía</w:t>
      </w:r>
      <w:r>
        <w:rPr>
          <w:color w:val="231F20"/>
          <w:spacing w:val="-34"/>
          <w:w w:val="105"/>
          <w:sz w:val="18"/>
        </w:rPr>
        <w:t> </w:t>
      </w:r>
      <w:r>
        <w:rPr>
          <w:color w:val="231F20"/>
          <w:w w:val="105"/>
          <w:sz w:val="18"/>
        </w:rPr>
        <w:t>(Carlos/29/2).</w:t>
      </w:r>
    </w:p>
    <w:p>
      <w:pPr>
        <w:pStyle w:val="BodyText"/>
        <w:rPr>
          <w:sz w:val="18"/>
        </w:rPr>
      </w:pPr>
    </w:p>
    <w:p>
      <w:pPr>
        <w:pStyle w:val="BodyText"/>
        <w:rPr>
          <w:sz w:val="18"/>
        </w:rPr>
      </w:pPr>
    </w:p>
    <w:p>
      <w:pPr>
        <w:pStyle w:val="BodyText"/>
        <w:spacing w:before="11"/>
        <w:rPr>
          <w:sz w:val="24"/>
        </w:rPr>
      </w:pPr>
    </w:p>
    <w:p>
      <w:pPr>
        <w:pStyle w:val="Heading3"/>
        <w:spacing w:line="264" w:lineRule="auto"/>
        <w:ind w:left="1723" w:right="1835"/>
      </w:pPr>
      <w:r>
        <w:rPr>
          <w:rFonts w:ascii="Tahoma" w:hAnsi="Tahoma"/>
          <w:color w:val="231F20"/>
          <w:spacing w:val="-3"/>
          <w:w w:val="95"/>
        </w:rPr>
        <w:t>Almoloya</w:t>
      </w:r>
      <w:r>
        <w:rPr>
          <w:rFonts w:ascii="Tahoma" w:hAnsi="Tahoma"/>
          <w:color w:val="231F20"/>
          <w:spacing w:val="-11"/>
          <w:w w:val="95"/>
        </w:rPr>
        <w:t> </w:t>
      </w:r>
      <w:r>
        <w:rPr>
          <w:rFonts w:ascii="Tahoma" w:hAnsi="Tahoma"/>
          <w:color w:val="231F20"/>
          <w:w w:val="95"/>
        </w:rPr>
        <w:t>de</w:t>
      </w:r>
      <w:r>
        <w:rPr>
          <w:rFonts w:ascii="Tahoma" w:hAnsi="Tahoma"/>
          <w:color w:val="231F20"/>
          <w:spacing w:val="-14"/>
          <w:w w:val="95"/>
        </w:rPr>
        <w:t> </w:t>
      </w:r>
      <w:r>
        <w:rPr>
          <w:rFonts w:ascii="Tahoma" w:hAnsi="Tahoma"/>
          <w:color w:val="231F20"/>
          <w:spacing w:val="-3"/>
          <w:w w:val="95"/>
        </w:rPr>
        <w:t>Alquisiras:</w:t>
      </w:r>
      <w:r>
        <w:rPr>
          <w:rFonts w:ascii="Tahoma" w:hAnsi="Tahoma"/>
          <w:color w:val="231F20"/>
          <w:spacing w:val="-11"/>
          <w:w w:val="95"/>
        </w:rPr>
        <w:t> </w:t>
      </w:r>
      <w:r>
        <w:rPr>
          <w:rFonts w:ascii="Tahoma" w:hAnsi="Tahoma"/>
          <w:color w:val="231F20"/>
          <w:spacing w:val="-5"/>
          <w:w w:val="95"/>
        </w:rPr>
        <w:t>¿Territorio</w:t>
      </w:r>
      <w:r>
        <w:rPr>
          <w:rFonts w:ascii="Tahoma" w:hAnsi="Tahoma"/>
          <w:color w:val="231F20"/>
          <w:spacing w:val="-11"/>
          <w:w w:val="95"/>
        </w:rPr>
        <w:t> </w:t>
      </w:r>
      <w:r>
        <w:rPr>
          <w:rFonts w:ascii="Tahoma" w:hAnsi="Tahoma"/>
          <w:color w:val="231F20"/>
          <w:spacing w:val="-4"/>
          <w:w w:val="95"/>
        </w:rPr>
        <w:t>migratorio</w:t>
      </w:r>
      <w:r>
        <w:rPr>
          <w:rFonts w:ascii="Tahoma" w:hAnsi="Tahoma"/>
          <w:color w:val="231F20"/>
          <w:spacing w:val="-11"/>
          <w:w w:val="95"/>
        </w:rPr>
        <w:t> </w:t>
      </w:r>
      <w:r>
        <w:rPr>
          <w:rFonts w:ascii="Tahoma" w:hAnsi="Tahoma"/>
          <w:color w:val="231F20"/>
          <w:w w:val="95"/>
        </w:rPr>
        <w:t>con</w:t>
      </w:r>
      <w:r>
        <w:rPr>
          <w:rFonts w:ascii="Tahoma" w:hAnsi="Tahoma"/>
          <w:color w:val="231F20"/>
          <w:spacing w:val="-11"/>
          <w:w w:val="95"/>
        </w:rPr>
        <w:t> </w:t>
      </w:r>
      <w:r>
        <w:rPr>
          <w:rFonts w:ascii="Tahoma" w:hAnsi="Tahoma"/>
          <w:color w:val="231F20"/>
          <w:spacing w:val="-3"/>
          <w:w w:val="95"/>
        </w:rPr>
        <w:t>opciones</w:t>
      </w:r>
      <w:r>
        <w:rPr>
          <w:rFonts w:ascii="Tahoma" w:hAnsi="Tahoma"/>
          <w:color w:val="231F20"/>
          <w:spacing w:val="-11"/>
          <w:w w:val="95"/>
        </w:rPr>
        <w:t> </w:t>
      </w:r>
      <w:r>
        <w:rPr>
          <w:rFonts w:ascii="Tahoma" w:hAnsi="Tahoma"/>
          <w:color w:val="231F20"/>
          <w:w w:val="95"/>
        </w:rPr>
        <w:t>de</w:t>
      </w:r>
      <w:r>
        <w:rPr>
          <w:rFonts w:ascii="Tahoma" w:hAnsi="Tahoma"/>
          <w:color w:val="231F20"/>
          <w:spacing w:val="-11"/>
          <w:w w:val="95"/>
        </w:rPr>
        <w:t> </w:t>
      </w:r>
      <w:r>
        <w:rPr>
          <w:rFonts w:ascii="Tahoma" w:hAnsi="Tahoma"/>
          <w:color w:val="231F20"/>
          <w:spacing w:val="-3"/>
          <w:w w:val="95"/>
        </w:rPr>
        <w:t>desa</w:t>
      </w:r>
      <w:r>
        <w:rPr>
          <w:color w:val="231F20"/>
          <w:spacing w:val="-3"/>
          <w:w w:val="95"/>
        </w:rPr>
        <w:t>- </w:t>
      </w:r>
      <w:r>
        <w:rPr>
          <w:color w:val="231F20"/>
          <w:w w:val="95"/>
        </w:rPr>
        <w:t>rrollo</w:t>
      </w:r>
      <w:r>
        <w:rPr>
          <w:color w:val="231F20"/>
          <w:spacing w:val="-5"/>
          <w:w w:val="95"/>
        </w:rPr>
        <w:t> </w:t>
      </w:r>
      <w:r>
        <w:rPr>
          <w:color w:val="231F20"/>
          <w:w w:val="95"/>
        </w:rPr>
        <w:t>local?</w:t>
      </w:r>
    </w:p>
    <w:p>
      <w:pPr>
        <w:pStyle w:val="BodyText"/>
        <w:rPr>
          <w:rFonts w:ascii="Arial"/>
          <w:b/>
          <w:sz w:val="22"/>
        </w:rPr>
      </w:pPr>
    </w:p>
    <w:p>
      <w:pPr>
        <w:pStyle w:val="BodyText"/>
        <w:spacing w:line="261" w:lineRule="auto" w:before="139"/>
        <w:ind w:left="1723" w:right="1828"/>
        <w:jc w:val="both"/>
      </w:pPr>
      <w:r>
        <w:rPr>
          <w:color w:val="231F20"/>
          <w:w w:val="105"/>
        </w:rPr>
        <w:t>La tipología de territorios nos orienta a pensar en Almoloya de Alquisi- ras como un territorio intrínsecamente vinculado con la migración</w:t>
      </w:r>
      <w:r>
        <w:rPr>
          <w:color w:val="231F20"/>
          <w:spacing w:val="-24"/>
          <w:w w:val="105"/>
        </w:rPr>
        <w:t> </w:t>
      </w:r>
      <w:r>
        <w:rPr>
          <w:color w:val="231F20"/>
          <w:w w:val="105"/>
        </w:rPr>
        <w:t>hacia Estados Unidos como un hecho manifiesto de la globalización y la ca- rencia</w:t>
      </w:r>
      <w:r>
        <w:rPr>
          <w:color w:val="231F20"/>
          <w:spacing w:val="-7"/>
          <w:w w:val="105"/>
        </w:rPr>
        <w:t> </w:t>
      </w:r>
      <w:r>
        <w:rPr>
          <w:color w:val="231F20"/>
          <w:w w:val="105"/>
        </w:rPr>
        <w:t>de</w:t>
      </w:r>
      <w:r>
        <w:rPr>
          <w:color w:val="231F20"/>
          <w:spacing w:val="-7"/>
          <w:w w:val="105"/>
        </w:rPr>
        <w:t> </w:t>
      </w:r>
      <w:r>
        <w:rPr>
          <w:color w:val="231F20"/>
          <w:w w:val="105"/>
        </w:rPr>
        <w:t>factores</w:t>
      </w:r>
      <w:r>
        <w:rPr>
          <w:color w:val="231F20"/>
          <w:spacing w:val="-7"/>
          <w:w w:val="105"/>
        </w:rPr>
        <w:t> </w:t>
      </w:r>
      <w:r>
        <w:rPr>
          <w:color w:val="231F20"/>
          <w:w w:val="105"/>
        </w:rPr>
        <w:t>productivos</w:t>
      </w:r>
      <w:r>
        <w:rPr>
          <w:color w:val="231F20"/>
          <w:spacing w:val="-7"/>
          <w:w w:val="105"/>
        </w:rPr>
        <w:t> </w:t>
      </w:r>
      <w:r>
        <w:rPr>
          <w:color w:val="231F20"/>
          <w:w w:val="105"/>
        </w:rPr>
        <w:t>de</w:t>
      </w:r>
      <w:r>
        <w:rPr>
          <w:color w:val="231F20"/>
          <w:spacing w:val="-7"/>
          <w:w w:val="105"/>
        </w:rPr>
        <w:t> </w:t>
      </w:r>
      <w:r>
        <w:rPr>
          <w:color w:val="231F20"/>
          <w:w w:val="105"/>
        </w:rPr>
        <w:t>anclaje</w:t>
      </w:r>
      <w:r>
        <w:rPr>
          <w:color w:val="231F20"/>
          <w:spacing w:val="-7"/>
          <w:w w:val="105"/>
        </w:rPr>
        <w:t> </w:t>
      </w:r>
      <w:r>
        <w:rPr>
          <w:color w:val="231F20"/>
          <w:w w:val="105"/>
        </w:rPr>
        <w:t>territorial;</w:t>
      </w:r>
      <w:r>
        <w:rPr>
          <w:color w:val="231F20"/>
          <w:spacing w:val="-7"/>
          <w:w w:val="105"/>
        </w:rPr>
        <w:t> </w:t>
      </w:r>
      <w:r>
        <w:rPr>
          <w:color w:val="231F20"/>
          <w:w w:val="105"/>
        </w:rPr>
        <w:t>hechos</w:t>
      </w:r>
      <w:r>
        <w:rPr>
          <w:color w:val="231F20"/>
          <w:spacing w:val="-7"/>
          <w:w w:val="105"/>
        </w:rPr>
        <w:t> </w:t>
      </w:r>
      <w:r>
        <w:rPr>
          <w:color w:val="231F20"/>
          <w:w w:val="105"/>
        </w:rPr>
        <w:t>que</w:t>
      </w:r>
      <w:r>
        <w:rPr>
          <w:color w:val="231F20"/>
          <w:spacing w:val="-7"/>
          <w:w w:val="105"/>
        </w:rPr>
        <w:t> </w:t>
      </w:r>
      <w:r>
        <w:rPr>
          <w:color w:val="231F20"/>
          <w:w w:val="105"/>
        </w:rPr>
        <w:t>marcan la pauta para la creación de acciones de desarrollo local</w:t>
      </w:r>
      <w:r>
        <w:rPr>
          <w:color w:val="231F20"/>
          <w:w w:val="105"/>
          <w:position w:val="7"/>
          <w:sz w:val="12"/>
        </w:rPr>
        <w:t>6 </w:t>
      </w:r>
      <w:r>
        <w:rPr>
          <w:color w:val="231F20"/>
          <w:w w:val="105"/>
        </w:rPr>
        <w:t>incorporando necesariamente a los migrantes como agentes de cambio. </w:t>
      </w:r>
      <w:r>
        <w:rPr>
          <w:color w:val="231F20"/>
          <w:spacing w:val="-4"/>
          <w:w w:val="105"/>
        </w:rPr>
        <w:t>Para </w:t>
      </w:r>
      <w:r>
        <w:rPr>
          <w:color w:val="231F20"/>
          <w:w w:val="105"/>
        </w:rPr>
        <w:t>ello es necesario</w:t>
      </w:r>
      <w:r>
        <w:rPr>
          <w:color w:val="231F20"/>
          <w:spacing w:val="-13"/>
          <w:w w:val="105"/>
        </w:rPr>
        <w:t> </w:t>
      </w:r>
      <w:r>
        <w:rPr>
          <w:color w:val="231F20"/>
          <w:w w:val="105"/>
        </w:rPr>
        <w:t>en</w:t>
      </w:r>
      <w:r>
        <w:rPr>
          <w:color w:val="231F20"/>
          <w:spacing w:val="-13"/>
          <w:w w:val="105"/>
        </w:rPr>
        <w:t> </w:t>
      </w:r>
      <w:r>
        <w:rPr>
          <w:color w:val="231F20"/>
          <w:w w:val="105"/>
        </w:rPr>
        <w:t>cualquier</w:t>
      </w:r>
      <w:r>
        <w:rPr>
          <w:color w:val="231F20"/>
          <w:spacing w:val="-13"/>
          <w:w w:val="105"/>
        </w:rPr>
        <w:t> </w:t>
      </w:r>
      <w:r>
        <w:rPr>
          <w:color w:val="231F20"/>
          <w:w w:val="105"/>
        </w:rPr>
        <w:t>esquema</w:t>
      </w:r>
      <w:r>
        <w:rPr>
          <w:color w:val="231F20"/>
          <w:spacing w:val="-13"/>
          <w:w w:val="105"/>
        </w:rPr>
        <w:t> </w:t>
      </w:r>
      <w:r>
        <w:rPr>
          <w:color w:val="231F20"/>
          <w:w w:val="105"/>
        </w:rPr>
        <w:t>de</w:t>
      </w:r>
      <w:r>
        <w:rPr>
          <w:color w:val="231F20"/>
          <w:spacing w:val="-13"/>
          <w:w w:val="105"/>
        </w:rPr>
        <w:t> </w:t>
      </w:r>
      <w:r>
        <w:rPr>
          <w:color w:val="231F20"/>
          <w:w w:val="105"/>
        </w:rPr>
        <w:t>desarrollo</w:t>
      </w:r>
      <w:r>
        <w:rPr>
          <w:color w:val="231F20"/>
          <w:spacing w:val="-13"/>
          <w:w w:val="105"/>
        </w:rPr>
        <w:t> </w:t>
      </w:r>
      <w:r>
        <w:rPr>
          <w:color w:val="231F20"/>
          <w:w w:val="105"/>
        </w:rPr>
        <w:t>local</w:t>
      </w:r>
      <w:r>
        <w:rPr>
          <w:color w:val="231F20"/>
          <w:spacing w:val="-13"/>
          <w:w w:val="105"/>
        </w:rPr>
        <w:t> </w:t>
      </w:r>
      <w:r>
        <w:rPr>
          <w:color w:val="231F20"/>
          <w:w w:val="105"/>
        </w:rPr>
        <w:t>propuesto,</w:t>
      </w:r>
      <w:r>
        <w:rPr>
          <w:color w:val="231F20"/>
          <w:spacing w:val="-19"/>
          <w:w w:val="105"/>
        </w:rPr>
        <w:t> </w:t>
      </w:r>
      <w:r>
        <w:rPr>
          <w:color w:val="231F20"/>
          <w:w w:val="105"/>
        </w:rPr>
        <w:t>conside- rar</w:t>
      </w:r>
      <w:r>
        <w:rPr>
          <w:color w:val="231F20"/>
          <w:spacing w:val="-28"/>
          <w:w w:val="105"/>
        </w:rPr>
        <w:t> </w:t>
      </w:r>
      <w:r>
        <w:rPr>
          <w:color w:val="231F20"/>
          <w:w w:val="105"/>
        </w:rPr>
        <w:t>el</w:t>
      </w:r>
      <w:r>
        <w:rPr>
          <w:color w:val="231F20"/>
          <w:spacing w:val="-28"/>
          <w:w w:val="105"/>
        </w:rPr>
        <w:t> </w:t>
      </w:r>
      <w:r>
        <w:rPr>
          <w:color w:val="231F20"/>
          <w:w w:val="105"/>
        </w:rPr>
        <w:t>análisis</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institucionalidad</w:t>
      </w:r>
      <w:r>
        <w:rPr>
          <w:color w:val="231F20"/>
          <w:spacing w:val="-28"/>
          <w:w w:val="105"/>
        </w:rPr>
        <w:t> </w:t>
      </w:r>
      <w:r>
        <w:rPr>
          <w:color w:val="231F20"/>
          <w:w w:val="105"/>
        </w:rPr>
        <w:t>local,</w:t>
      </w:r>
      <w:r>
        <w:rPr>
          <w:color w:val="231F20"/>
          <w:spacing w:val="-33"/>
          <w:w w:val="105"/>
        </w:rPr>
        <w:t> </w:t>
      </w:r>
      <w:r>
        <w:rPr>
          <w:color w:val="231F20"/>
          <w:w w:val="105"/>
        </w:rPr>
        <w:t>ya</w:t>
      </w:r>
      <w:r>
        <w:rPr>
          <w:color w:val="231F20"/>
          <w:spacing w:val="-28"/>
          <w:w w:val="105"/>
        </w:rPr>
        <w:t> </w:t>
      </w:r>
      <w:r>
        <w:rPr>
          <w:color w:val="231F20"/>
          <w:w w:val="105"/>
        </w:rPr>
        <w:t>que</w:t>
      </w:r>
      <w:r>
        <w:rPr>
          <w:color w:val="231F20"/>
          <w:spacing w:val="-28"/>
          <w:w w:val="105"/>
        </w:rPr>
        <w:t> </w:t>
      </w:r>
      <w:r>
        <w:rPr>
          <w:color w:val="231F20"/>
          <w:w w:val="105"/>
        </w:rPr>
        <w:t>ello</w:t>
      </w:r>
      <w:r>
        <w:rPr>
          <w:color w:val="231F20"/>
          <w:spacing w:val="-28"/>
          <w:w w:val="105"/>
        </w:rPr>
        <w:t> </w:t>
      </w:r>
      <w:r>
        <w:rPr>
          <w:color w:val="231F20"/>
          <w:w w:val="105"/>
        </w:rPr>
        <w:t>elevaría</w:t>
      </w:r>
      <w:r>
        <w:rPr>
          <w:color w:val="231F20"/>
          <w:spacing w:val="-28"/>
          <w:w w:val="105"/>
        </w:rPr>
        <w:t> </w:t>
      </w:r>
      <w:r>
        <w:rPr>
          <w:color w:val="231F20"/>
          <w:w w:val="105"/>
        </w:rPr>
        <w:t>las</w:t>
      </w:r>
      <w:r>
        <w:rPr>
          <w:color w:val="231F20"/>
          <w:spacing w:val="-28"/>
          <w:w w:val="105"/>
        </w:rPr>
        <w:t> </w:t>
      </w:r>
      <w:r>
        <w:rPr>
          <w:color w:val="231F20"/>
          <w:w w:val="105"/>
        </w:rPr>
        <w:t>expecta- tivas</w:t>
      </w:r>
      <w:r>
        <w:rPr>
          <w:color w:val="231F20"/>
          <w:spacing w:val="-12"/>
          <w:w w:val="105"/>
        </w:rPr>
        <w:t> </w:t>
      </w:r>
      <w:r>
        <w:rPr>
          <w:color w:val="231F20"/>
          <w:w w:val="105"/>
        </w:rPr>
        <w:t>sobre</w:t>
      </w:r>
      <w:r>
        <w:rPr>
          <w:color w:val="231F20"/>
          <w:spacing w:val="-12"/>
          <w:w w:val="105"/>
        </w:rPr>
        <w:t> </w:t>
      </w:r>
      <w:r>
        <w:rPr>
          <w:color w:val="231F20"/>
          <w:w w:val="105"/>
        </w:rPr>
        <w:t>las</w:t>
      </w:r>
      <w:r>
        <w:rPr>
          <w:color w:val="231F20"/>
          <w:spacing w:val="-12"/>
          <w:w w:val="105"/>
        </w:rPr>
        <w:t> </w:t>
      </w:r>
      <w:r>
        <w:rPr>
          <w:color w:val="231F20"/>
          <w:w w:val="105"/>
        </w:rPr>
        <w:t>posibilidades</w:t>
      </w:r>
      <w:r>
        <w:rPr>
          <w:color w:val="231F20"/>
          <w:spacing w:val="-12"/>
          <w:w w:val="105"/>
        </w:rPr>
        <w:t> </w:t>
      </w:r>
      <w:r>
        <w:rPr>
          <w:color w:val="231F20"/>
          <w:w w:val="105"/>
        </w:rPr>
        <w:t>de</w:t>
      </w:r>
      <w:r>
        <w:rPr>
          <w:color w:val="231F20"/>
          <w:spacing w:val="-12"/>
          <w:w w:val="105"/>
        </w:rPr>
        <w:t> </w:t>
      </w:r>
      <w:r>
        <w:rPr>
          <w:color w:val="231F20"/>
          <w:w w:val="105"/>
        </w:rPr>
        <w:t>desarrollo</w:t>
      </w:r>
      <w:r>
        <w:rPr>
          <w:color w:val="231F20"/>
          <w:spacing w:val="-12"/>
          <w:w w:val="105"/>
        </w:rPr>
        <w:t> </w:t>
      </w:r>
      <w:r>
        <w:rPr>
          <w:color w:val="231F20"/>
          <w:w w:val="105"/>
        </w:rPr>
        <w:t>en</w:t>
      </w:r>
      <w:r>
        <w:rPr>
          <w:color w:val="231F20"/>
          <w:spacing w:val="-12"/>
          <w:w w:val="105"/>
        </w:rPr>
        <w:t> </w:t>
      </w:r>
      <w:r>
        <w:rPr>
          <w:color w:val="231F20"/>
          <w:w w:val="105"/>
        </w:rPr>
        <w:t>contextos</w:t>
      </w:r>
      <w:r>
        <w:rPr>
          <w:color w:val="231F20"/>
          <w:spacing w:val="-12"/>
          <w:w w:val="105"/>
        </w:rPr>
        <w:t> </w:t>
      </w:r>
      <w:r>
        <w:rPr>
          <w:color w:val="231F20"/>
          <w:w w:val="105"/>
        </w:rPr>
        <w:t>migratorios;</w:t>
      </w:r>
      <w:r>
        <w:rPr>
          <w:color w:val="231F20"/>
          <w:spacing w:val="-12"/>
          <w:w w:val="105"/>
        </w:rPr>
        <w:t> </w:t>
      </w:r>
      <w:r>
        <w:rPr>
          <w:color w:val="231F20"/>
          <w:w w:val="105"/>
        </w:rPr>
        <w:t>con una</w:t>
      </w:r>
      <w:r>
        <w:rPr>
          <w:color w:val="231F20"/>
          <w:spacing w:val="-6"/>
          <w:w w:val="105"/>
        </w:rPr>
        <w:t> </w:t>
      </w:r>
      <w:r>
        <w:rPr>
          <w:color w:val="231F20"/>
          <w:w w:val="105"/>
        </w:rPr>
        <w:t>institucionalidad</w:t>
      </w:r>
      <w:r>
        <w:rPr>
          <w:color w:val="231F20"/>
          <w:spacing w:val="-6"/>
          <w:w w:val="105"/>
        </w:rPr>
        <w:t> </w:t>
      </w:r>
      <w:r>
        <w:rPr>
          <w:color w:val="231F20"/>
          <w:w w:val="105"/>
        </w:rPr>
        <w:t>robusta</w:t>
      </w:r>
      <w:r>
        <w:rPr>
          <w:color w:val="231F20"/>
          <w:spacing w:val="-6"/>
          <w:w w:val="105"/>
        </w:rPr>
        <w:t> </w:t>
      </w:r>
      <w:r>
        <w:rPr>
          <w:color w:val="231F20"/>
          <w:w w:val="105"/>
        </w:rPr>
        <w:t>creada</w:t>
      </w:r>
      <w:r>
        <w:rPr>
          <w:color w:val="231F20"/>
          <w:spacing w:val="-6"/>
          <w:w w:val="105"/>
        </w:rPr>
        <w:t> </w:t>
      </w:r>
      <w:r>
        <w:rPr>
          <w:color w:val="231F20"/>
          <w:w w:val="105"/>
        </w:rPr>
        <w:t>por</w:t>
      </w:r>
      <w:r>
        <w:rPr>
          <w:color w:val="231F20"/>
          <w:spacing w:val="-6"/>
          <w:w w:val="105"/>
        </w:rPr>
        <w:t> </w:t>
      </w:r>
      <w:r>
        <w:rPr>
          <w:color w:val="231F20"/>
          <w:w w:val="105"/>
        </w:rPr>
        <w:t>más</w:t>
      </w:r>
      <w:r>
        <w:rPr>
          <w:color w:val="231F20"/>
          <w:spacing w:val="-6"/>
          <w:w w:val="105"/>
        </w:rPr>
        <w:t> </w:t>
      </w:r>
      <w:r>
        <w:rPr>
          <w:color w:val="231F20"/>
          <w:w w:val="105"/>
        </w:rPr>
        <w:t>sociedad</w:t>
      </w:r>
      <w:r>
        <w:rPr>
          <w:color w:val="231F20"/>
          <w:spacing w:val="-6"/>
          <w:w w:val="105"/>
        </w:rPr>
        <w:t> </w:t>
      </w:r>
      <w:r>
        <w:rPr>
          <w:color w:val="231F20"/>
          <w:w w:val="105"/>
        </w:rPr>
        <w:t>civil</w:t>
      </w:r>
      <w:r>
        <w:rPr>
          <w:color w:val="231F20"/>
          <w:spacing w:val="-6"/>
          <w:w w:val="105"/>
        </w:rPr>
        <w:t> </w:t>
      </w:r>
      <w:r>
        <w:rPr>
          <w:color w:val="231F20"/>
          <w:w w:val="105"/>
        </w:rPr>
        <w:t>organizada, empresas</w:t>
      </w:r>
      <w:r>
        <w:rPr>
          <w:color w:val="231F20"/>
          <w:spacing w:val="-27"/>
          <w:w w:val="105"/>
        </w:rPr>
        <w:t> </w:t>
      </w:r>
      <w:r>
        <w:rPr>
          <w:color w:val="231F20"/>
          <w:w w:val="105"/>
        </w:rPr>
        <w:t>rurales</w:t>
      </w:r>
      <w:r>
        <w:rPr>
          <w:color w:val="231F20"/>
          <w:spacing w:val="-27"/>
          <w:w w:val="105"/>
        </w:rPr>
        <w:t> </w:t>
      </w:r>
      <w:r>
        <w:rPr>
          <w:color w:val="231F20"/>
          <w:w w:val="105"/>
        </w:rPr>
        <w:t>y</w:t>
      </w:r>
      <w:r>
        <w:rPr>
          <w:color w:val="231F20"/>
          <w:spacing w:val="-27"/>
          <w:w w:val="105"/>
        </w:rPr>
        <w:t> </w:t>
      </w:r>
      <w:r>
        <w:rPr>
          <w:color w:val="231F20"/>
          <w:w w:val="105"/>
        </w:rPr>
        <w:t>consumidores</w:t>
      </w:r>
      <w:r>
        <w:rPr>
          <w:color w:val="231F20"/>
          <w:spacing w:val="-27"/>
          <w:w w:val="105"/>
        </w:rPr>
        <w:t> </w:t>
      </w:r>
      <w:r>
        <w:rPr>
          <w:color w:val="231F20"/>
          <w:w w:val="105"/>
        </w:rPr>
        <w:t>en</w:t>
      </w:r>
      <w:r>
        <w:rPr>
          <w:color w:val="231F20"/>
          <w:spacing w:val="-27"/>
          <w:w w:val="105"/>
        </w:rPr>
        <w:t> </w:t>
      </w:r>
      <w:r>
        <w:rPr>
          <w:color w:val="231F20"/>
          <w:w w:val="105"/>
        </w:rPr>
        <w:t>sinergia,</w:t>
      </w:r>
      <w:r>
        <w:rPr>
          <w:color w:val="231F20"/>
          <w:spacing w:val="-31"/>
          <w:w w:val="105"/>
        </w:rPr>
        <w:t> </w:t>
      </w:r>
      <w:r>
        <w:rPr>
          <w:color w:val="231F20"/>
          <w:w w:val="105"/>
        </w:rPr>
        <w:t>desarrollo</w:t>
      </w:r>
      <w:r>
        <w:rPr>
          <w:color w:val="231F20"/>
          <w:spacing w:val="-27"/>
          <w:w w:val="105"/>
        </w:rPr>
        <w:t> </w:t>
      </w:r>
      <w:r>
        <w:rPr>
          <w:color w:val="231F20"/>
          <w:w w:val="105"/>
        </w:rPr>
        <w:t>de</w:t>
      </w:r>
      <w:r>
        <w:rPr>
          <w:color w:val="231F20"/>
          <w:spacing w:val="-27"/>
          <w:w w:val="105"/>
        </w:rPr>
        <w:t> </w:t>
      </w:r>
      <w:r>
        <w:rPr>
          <w:color w:val="231F20"/>
          <w:w w:val="105"/>
        </w:rPr>
        <w:t>capacidades e</w:t>
      </w:r>
      <w:r>
        <w:rPr>
          <w:color w:val="231F20"/>
          <w:spacing w:val="-29"/>
          <w:w w:val="105"/>
        </w:rPr>
        <w:t> </w:t>
      </w:r>
      <w:r>
        <w:rPr>
          <w:color w:val="231F20"/>
          <w:w w:val="105"/>
        </w:rPr>
        <w:t>iniciativas</w:t>
      </w:r>
      <w:r>
        <w:rPr>
          <w:color w:val="231F20"/>
          <w:spacing w:val="-29"/>
          <w:w w:val="105"/>
        </w:rPr>
        <w:t> </w:t>
      </w:r>
      <w:r>
        <w:rPr>
          <w:color w:val="231F20"/>
          <w:w w:val="105"/>
        </w:rPr>
        <w:t>ciudadanas</w:t>
      </w:r>
      <w:r>
        <w:rPr>
          <w:color w:val="231F20"/>
          <w:spacing w:val="-29"/>
          <w:w w:val="105"/>
        </w:rPr>
        <w:t> </w:t>
      </w:r>
      <w:r>
        <w:rPr>
          <w:color w:val="231F20"/>
          <w:w w:val="105"/>
        </w:rPr>
        <w:t>es</w:t>
      </w:r>
      <w:r>
        <w:rPr>
          <w:color w:val="231F20"/>
          <w:spacing w:val="-29"/>
          <w:w w:val="105"/>
        </w:rPr>
        <w:t> </w:t>
      </w:r>
      <w:r>
        <w:rPr>
          <w:color w:val="231F20"/>
          <w:w w:val="105"/>
        </w:rPr>
        <w:t>más</w:t>
      </w:r>
      <w:r>
        <w:rPr>
          <w:color w:val="231F20"/>
          <w:spacing w:val="-29"/>
          <w:w w:val="105"/>
        </w:rPr>
        <w:t> </w:t>
      </w:r>
      <w:r>
        <w:rPr>
          <w:color w:val="231F20"/>
          <w:w w:val="105"/>
        </w:rPr>
        <w:t>probable</w:t>
      </w:r>
      <w:r>
        <w:rPr>
          <w:color w:val="231F20"/>
          <w:spacing w:val="-29"/>
          <w:w w:val="105"/>
        </w:rPr>
        <w:t> </w:t>
      </w:r>
      <w:r>
        <w:rPr>
          <w:color w:val="231F20"/>
          <w:w w:val="105"/>
        </w:rPr>
        <w:t>que</w:t>
      </w:r>
      <w:r>
        <w:rPr>
          <w:color w:val="231F20"/>
          <w:spacing w:val="-29"/>
          <w:w w:val="105"/>
        </w:rPr>
        <w:t> </w:t>
      </w:r>
      <w:r>
        <w:rPr>
          <w:color w:val="231F20"/>
          <w:w w:val="105"/>
        </w:rPr>
        <w:t>los</w:t>
      </w:r>
      <w:r>
        <w:rPr>
          <w:color w:val="231F20"/>
          <w:spacing w:val="-29"/>
          <w:w w:val="105"/>
        </w:rPr>
        <w:t> </w:t>
      </w:r>
      <w:r>
        <w:rPr>
          <w:color w:val="231F20"/>
          <w:w w:val="105"/>
        </w:rPr>
        <w:t>migrantes</w:t>
      </w:r>
      <w:r>
        <w:rPr>
          <w:color w:val="231F20"/>
          <w:spacing w:val="-29"/>
          <w:w w:val="105"/>
        </w:rPr>
        <w:t> </w:t>
      </w:r>
      <w:r>
        <w:rPr>
          <w:color w:val="231F20"/>
          <w:w w:val="105"/>
        </w:rPr>
        <w:t>puedan</w:t>
      </w:r>
      <w:r>
        <w:rPr>
          <w:color w:val="231F20"/>
          <w:spacing w:val="-29"/>
          <w:w w:val="105"/>
        </w:rPr>
        <w:t> </w:t>
      </w:r>
      <w:r>
        <w:rPr>
          <w:color w:val="231F20"/>
          <w:w w:val="105"/>
        </w:rPr>
        <w:t>acce- der</w:t>
      </w:r>
      <w:r>
        <w:rPr>
          <w:color w:val="231F20"/>
          <w:spacing w:val="-8"/>
          <w:w w:val="105"/>
        </w:rPr>
        <w:t> </w:t>
      </w:r>
      <w:r>
        <w:rPr>
          <w:color w:val="231F20"/>
          <w:w w:val="105"/>
        </w:rPr>
        <w:t>a</w:t>
      </w:r>
      <w:r>
        <w:rPr>
          <w:color w:val="231F20"/>
          <w:spacing w:val="-8"/>
          <w:w w:val="105"/>
        </w:rPr>
        <w:t> </w:t>
      </w:r>
      <w:r>
        <w:rPr>
          <w:color w:val="231F20"/>
          <w:w w:val="105"/>
        </w:rPr>
        <w:t>oportunidades</w:t>
      </w:r>
      <w:r>
        <w:rPr>
          <w:color w:val="231F20"/>
          <w:spacing w:val="-8"/>
          <w:w w:val="105"/>
        </w:rPr>
        <w:t> </w:t>
      </w:r>
      <w:r>
        <w:rPr>
          <w:color w:val="231F20"/>
          <w:w w:val="105"/>
        </w:rPr>
        <w:t>de</w:t>
      </w:r>
      <w:r>
        <w:rPr>
          <w:color w:val="231F20"/>
          <w:spacing w:val="-8"/>
          <w:w w:val="105"/>
        </w:rPr>
        <w:t> </w:t>
      </w:r>
      <w:r>
        <w:rPr>
          <w:color w:val="231F20"/>
          <w:w w:val="105"/>
        </w:rPr>
        <w:t>trabajo</w:t>
      </w:r>
      <w:r>
        <w:rPr>
          <w:color w:val="231F20"/>
          <w:spacing w:val="-8"/>
          <w:w w:val="105"/>
        </w:rPr>
        <w:t> </w:t>
      </w:r>
      <w:r>
        <w:rPr>
          <w:color w:val="231F20"/>
          <w:w w:val="105"/>
        </w:rPr>
        <w:t>dignas</w:t>
      </w:r>
      <w:r>
        <w:rPr>
          <w:color w:val="231F20"/>
          <w:spacing w:val="-8"/>
          <w:w w:val="105"/>
        </w:rPr>
        <w:t> </w:t>
      </w:r>
      <w:r>
        <w:rPr>
          <w:color w:val="231F20"/>
          <w:w w:val="105"/>
        </w:rPr>
        <w:t>en</w:t>
      </w:r>
      <w:r>
        <w:rPr>
          <w:color w:val="231F20"/>
          <w:spacing w:val="-8"/>
          <w:w w:val="105"/>
        </w:rPr>
        <w:t> </w:t>
      </w:r>
      <w:r>
        <w:rPr>
          <w:color w:val="231F20"/>
          <w:w w:val="105"/>
        </w:rPr>
        <w:t>sus</w:t>
      </w:r>
      <w:r>
        <w:rPr>
          <w:color w:val="231F20"/>
          <w:spacing w:val="-8"/>
          <w:w w:val="105"/>
        </w:rPr>
        <w:t> </w:t>
      </w:r>
      <w:r>
        <w:rPr>
          <w:color w:val="231F20"/>
          <w:w w:val="105"/>
        </w:rPr>
        <w:t>lugares</w:t>
      </w:r>
      <w:r>
        <w:rPr>
          <w:color w:val="231F20"/>
          <w:spacing w:val="-8"/>
          <w:w w:val="105"/>
        </w:rPr>
        <w:t> </w:t>
      </w:r>
      <w:r>
        <w:rPr>
          <w:color w:val="231F20"/>
          <w:w w:val="105"/>
        </w:rPr>
        <w:t>de</w:t>
      </w:r>
      <w:r>
        <w:rPr>
          <w:color w:val="231F20"/>
          <w:spacing w:val="-8"/>
          <w:w w:val="105"/>
        </w:rPr>
        <w:t> </w:t>
      </w:r>
      <w:r>
        <w:rPr>
          <w:color w:val="231F20"/>
          <w:w w:val="105"/>
        </w:rPr>
        <w:t>origen.</w:t>
      </w:r>
    </w:p>
    <w:p>
      <w:pPr>
        <w:pStyle w:val="BodyText"/>
        <w:spacing w:line="261" w:lineRule="auto" w:before="1"/>
        <w:ind w:left="1723" w:right="1835" w:firstLine="567"/>
        <w:jc w:val="both"/>
      </w:pPr>
      <w:r>
        <w:rPr>
          <w:color w:val="231F20"/>
        </w:rPr>
        <w:t>El desarrollo local es, actualmente, un fenómeno emergente que está propiciando nuevas formas de construir las complejas realidades locales, regionales, nacionales y supranacionales. No es casual que des- de una situación de profundas desigualdades sociales y dramáticos des- equilibrios territoriales, al enfrentar los retos de la globalización, emerja    el desarrollo local como un ingrediente fundamental para trazar una ruta diferente y alternativa de desarrollo nacional y de integración regional (Enríquez,</w:t>
      </w:r>
      <w:r>
        <w:rPr>
          <w:color w:val="231F20"/>
          <w:spacing w:val="1"/>
        </w:rPr>
        <w:t> </w:t>
      </w:r>
      <w:r>
        <w:rPr>
          <w:color w:val="231F20"/>
        </w:rPr>
        <w:t>2008).</w:t>
      </w:r>
    </w:p>
    <w:p>
      <w:pPr>
        <w:pStyle w:val="BodyText"/>
        <w:spacing w:line="261" w:lineRule="auto" w:before="1"/>
        <w:ind w:left="1723" w:right="1834" w:firstLine="567"/>
        <w:jc w:val="both"/>
      </w:pPr>
      <w:r>
        <w:rPr>
          <w:color w:val="231F20"/>
          <w:w w:val="105"/>
        </w:rPr>
        <w:t>Así, los territorios con una mejor institucionalidad y capacidades de sus actores juegan un papel clave en facilitar la supervivencia de la población</w:t>
      </w:r>
      <w:r>
        <w:rPr>
          <w:color w:val="231F20"/>
          <w:spacing w:val="-10"/>
          <w:w w:val="105"/>
        </w:rPr>
        <w:t> </w:t>
      </w:r>
      <w:r>
        <w:rPr>
          <w:color w:val="231F20"/>
          <w:w w:val="105"/>
        </w:rPr>
        <w:t>en</w:t>
      </w:r>
      <w:r>
        <w:rPr>
          <w:color w:val="231F20"/>
          <w:spacing w:val="-10"/>
          <w:w w:val="105"/>
        </w:rPr>
        <w:t> </w:t>
      </w:r>
      <w:r>
        <w:rPr>
          <w:color w:val="231F20"/>
          <w:w w:val="105"/>
        </w:rPr>
        <w:t>un</w:t>
      </w:r>
      <w:r>
        <w:rPr>
          <w:color w:val="231F20"/>
          <w:spacing w:val="-10"/>
          <w:w w:val="105"/>
        </w:rPr>
        <w:t> </w:t>
      </w:r>
      <w:r>
        <w:rPr>
          <w:color w:val="231F20"/>
          <w:w w:val="105"/>
        </w:rPr>
        <w:t>contexto</w:t>
      </w:r>
      <w:r>
        <w:rPr>
          <w:color w:val="231F20"/>
          <w:spacing w:val="-10"/>
          <w:w w:val="105"/>
        </w:rPr>
        <w:t> </w:t>
      </w:r>
      <w:r>
        <w:rPr>
          <w:color w:val="231F20"/>
          <w:w w:val="105"/>
        </w:rPr>
        <w:t>de</w:t>
      </w:r>
      <w:r>
        <w:rPr>
          <w:color w:val="231F20"/>
          <w:spacing w:val="-10"/>
          <w:w w:val="105"/>
        </w:rPr>
        <w:t> </w:t>
      </w:r>
      <w:r>
        <w:rPr>
          <w:color w:val="231F20"/>
          <w:w w:val="105"/>
        </w:rPr>
        <w:t>economías</w:t>
      </w:r>
      <w:r>
        <w:rPr>
          <w:color w:val="231F20"/>
          <w:spacing w:val="-10"/>
          <w:w w:val="105"/>
        </w:rPr>
        <w:t> </w:t>
      </w:r>
      <w:r>
        <w:rPr>
          <w:color w:val="231F20"/>
          <w:w w:val="105"/>
        </w:rPr>
        <w:t>deprimidas,</w:t>
      </w:r>
      <w:r>
        <w:rPr>
          <w:color w:val="231F20"/>
          <w:spacing w:val="-15"/>
          <w:w w:val="105"/>
        </w:rPr>
        <w:t> </w:t>
      </w:r>
      <w:r>
        <w:rPr>
          <w:color w:val="231F20"/>
          <w:w w:val="105"/>
        </w:rPr>
        <w:t>basadas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agri-</w:t>
      </w:r>
    </w:p>
    <w:p>
      <w:pPr>
        <w:pStyle w:val="BodyText"/>
        <w:spacing w:before="2"/>
        <w:rPr>
          <w:sz w:val="22"/>
        </w:rPr>
      </w:pPr>
      <w:r>
        <w:rPr/>
        <w:pict>
          <v:line style="position:absolute;mso-position-horizontal-relative:page;mso-position-vertical-relative:paragraph;z-index:36952;mso-wrap-distance-left:0;mso-wrap-distance-right:0" from="86.1968pt,14.642428pt" to="199.5828pt,14.642428pt" stroked="true" strokeweight=".25pt" strokecolor="#231f20">
            <w10:wrap type="topAndBottom"/>
          </v:line>
        </w:pict>
      </w:r>
    </w:p>
    <w:p>
      <w:pPr>
        <w:spacing w:line="192" w:lineRule="exact" w:before="7"/>
        <w:ind w:left="1723" w:right="1834" w:firstLine="0"/>
        <w:jc w:val="both"/>
        <w:rPr>
          <w:rFonts w:ascii="Calibri" w:hAnsi="Calibri"/>
          <w:sz w:val="16"/>
        </w:rPr>
      </w:pPr>
      <w:r>
        <w:rPr>
          <w:rFonts w:ascii="Calibri" w:hAnsi="Calibri"/>
          <w:color w:val="414042"/>
          <w:w w:val="105"/>
          <w:position w:val="5"/>
          <w:sz w:val="9"/>
        </w:rPr>
        <w:t>6 </w:t>
      </w:r>
      <w:r>
        <w:rPr>
          <w:rFonts w:ascii="Calibri" w:hAnsi="Calibri"/>
          <w:color w:val="414042"/>
          <w:w w:val="105"/>
          <w:sz w:val="16"/>
        </w:rPr>
        <w:t>De acuerdo con Boisier (2005: 55), en el contexto de la globalización en cuanto al desarrollo local “lo que</w:t>
      </w:r>
      <w:r>
        <w:rPr>
          <w:rFonts w:ascii="Calibri" w:hAnsi="Calibri"/>
          <w:color w:val="414042"/>
          <w:spacing w:val="-18"/>
          <w:w w:val="105"/>
          <w:sz w:val="16"/>
        </w:rPr>
        <w:t> </w:t>
      </w:r>
      <w:r>
        <w:rPr>
          <w:rFonts w:ascii="Calibri" w:hAnsi="Calibri"/>
          <w:color w:val="414042"/>
          <w:w w:val="105"/>
          <w:sz w:val="16"/>
        </w:rPr>
        <w:t>parece</w:t>
      </w:r>
      <w:r>
        <w:rPr>
          <w:rFonts w:ascii="Calibri" w:hAnsi="Calibri"/>
          <w:color w:val="414042"/>
          <w:spacing w:val="-18"/>
          <w:w w:val="105"/>
          <w:sz w:val="16"/>
        </w:rPr>
        <w:t> </w:t>
      </w:r>
      <w:r>
        <w:rPr>
          <w:rFonts w:ascii="Calibri" w:hAnsi="Calibri"/>
          <w:color w:val="414042"/>
          <w:w w:val="105"/>
          <w:sz w:val="16"/>
        </w:rPr>
        <w:t>claro</w:t>
      </w:r>
      <w:r>
        <w:rPr>
          <w:rFonts w:ascii="Calibri" w:hAnsi="Calibri"/>
          <w:color w:val="414042"/>
          <w:spacing w:val="-18"/>
          <w:w w:val="105"/>
          <w:sz w:val="16"/>
        </w:rPr>
        <w:t> </w:t>
      </w:r>
      <w:r>
        <w:rPr>
          <w:rFonts w:ascii="Calibri" w:hAnsi="Calibri"/>
          <w:color w:val="414042"/>
          <w:w w:val="105"/>
          <w:sz w:val="16"/>
        </w:rPr>
        <w:t>es</w:t>
      </w:r>
      <w:r>
        <w:rPr>
          <w:rFonts w:ascii="Calibri" w:hAnsi="Calibri"/>
          <w:color w:val="414042"/>
          <w:spacing w:val="-18"/>
          <w:w w:val="105"/>
          <w:sz w:val="16"/>
        </w:rPr>
        <w:t> </w:t>
      </w:r>
      <w:r>
        <w:rPr>
          <w:rFonts w:ascii="Calibri" w:hAnsi="Calibri"/>
          <w:color w:val="414042"/>
          <w:w w:val="105"/>
          <w:sz w:val="16"/>
        </w:rPr>
        <w:t>la</w:t>
      </w:r>
      <w:r>
        <w:rPr>
          <w:rFonts w:ascii="Calibri" w:hAnsi="Calibri"/>
          <w:color w:val="414042"/>
          <w:spacing w:val="-18"/>
          <w:w w:val="105"/>
          <w:sz w:val="16"/>
        </w:rPr>
        <w:t> </w:t>
      </w:r>
      <w:r>
        <w:rPr>
          <w:rFonts w:ascii="Calibri" w:hAnsi="Calibri"/>
          <w:color w:val="414042"/>
          <w:w w:val="105"/>
          <w:sz w:val="16"/>
        </w:rPr>
        <w:t>necesidad</w:t>
      </w:r>
      <w:r>
        <w:rPr>
          <w:rFonts w:ascii="Calibri" w:hAnsi="Calibri"/>
          <w:color w:val="414042"/>
          <w:spacing w:val="-18"/>
          <w:w w:val="105"/>
          <w:sz w:val="16"/>
        </w:rPr>
        <w:t> </w:t>
      </w:r>
      <w:r>
        <w:rPr>
          <w:rFonts w:ascii="Calibri" w:hAnsi="Calibri"/>
          <w:color w:val="414042"/>
          <w:w w:val="105"/>
          <w:sz w:val="16"/>
        </w:rPr>
        <w:t>de</w:t>
      </w:r>
      <w:r>
        <w:rPr>
          <w:rFonts w:ascii="Calibri" w:hAnsi="Calibri"/>
          <w:color w:val="414042"/>
          <w:spacing w:val="-18"/>
          <w:w w:val="105"/>
          <w:sz w:val="16"/>
        </w:rPr>
        <w:t> </w:t>
      </w:r>
      <w:r>
        <w:rPr>
          <w:rFonts w:ascii="Calibri" w:hAnsi="Calibri"/>
          <w:color w:val="414042"/>
          <w:w w:val="105"/>
          <w:sz w:val="16"/>
        </w:rPr>
        <w:t>contar</w:t>
      </w:r>
      <w:r>
        <w:rPr>
          <w:rFonts w:ascii="Calibri" w:hAnsi="Calibri"/>
          <w:color w:val="414042"/>
          <w:spacing w:val="-18"/>
          <w:w w:val="105"/>
          <w:sz w:val="16"/>
        </w:rPr>
        <w:t> </w:t>
      </w:r>
      <w:r>
        <w:rPr>
          <w:rFonts w:ascii="Calibri" w:hAnsi="Calibri"/>
          <w:color w:val="414042"/>
          <w:w w:val="105"/>
          <w:sz w:val="16"/>
        </w:rPr>
        <w:t>con</w:t>
      </w:r>
      <w:r>
        <w:rPr>
          <w:rFonts w:ascii="Calibri" w:hAnsi="Calibri"/>
          <w:color w:val="414042"/>
          <w:spacing w:val="-18"/>
          <w:w w:val="105"/>
          <w:sz w:val="16"/>
        </w:rPr>
        <w:t> </w:t>
      </w:r>
      <w:r>
        <w:rPr>
          <w:rFonts w:ascii="Calibri" w:hAnsi="Calibri"/>
          <w:color w:val="414042"/>
          <w:w w:val="105"/>
          <w:sz w:val="16"/>
        </w:rPr>
        <w:t>sociedades</w:t>
      </w:r>
      <w:r>
        <w:rPr>
          <w:rFonts w:ascii="Calibri" w:hAnsi="Calibri"/>
          <w:color w:val="414042"/>
          <w:spacing w:val="-18"/>
          <w:w w:val="105"/>
          <w:sz w:val="16"/>
        </w:rPr>
        <w:t> </w:t>
      </w:r>
      <w:r>
        <w:rPr>
          <w:rFonts w:ascii="Calibri" w:hAnsi="Calibri"/>
          <w:color w:val="414042"/>
          <w:w w:val="105"/>
          <w:sz w:val="16"/>
        </w:rPr>
        <w:t>locales</w:t>
      </w:r>
      <w:r>
        <w:rPr>
          <w:rFonts w:ascii="Calibri" w:hAnsi="Calibri"/>
          <w:color w:val="414042"/>
          <w:spacing w:val="-18"/>
          <w:w w:val="105"/>
          <w:sz w:val="16"/>
        </w:rPr>
        <w:t> </w:t>
      </w:r>
      <w:r>
        <w:rPr>
          <w:rFonts w:ascii="Calibri" w:hAnsi="Calibri"/>
          <w:color w:val="414042"/>
          <w:w w:val="105"/>
          <w:sz w:val="16"/>
        </w:rPr>
        <w:t>informadas,</w:t>
      </w:r>
      <w:r>
        <w:rPr>
          <w:rFonts w:ascii="Calibri" w:hAnsi="Calibri"/>
          <w:color w:val="414042"/>
          <w:spacing w:val="-18"/>
          <w:w w:val="105"/>
          <w:sz w:val="16"/>
        </w:rPr>
        <w:t> </w:t>
      </w:r>
      <w:r>
        <w:rPr>
          <w:rFonts w:ascii="Calibri" w:hAnsi="Calibri"/>
          <w:color w:val="414042"/>
          <w:w w:val="105"/>
          <w:sz w:val="16"/>
        </w:rPr>
        <w:t>motivadas,</w:t>
      </w:r>
      <w:r>
        <w:rPr>
          <w:rFonts w:ascii="Calibri" w:hAnsi="Calibri"/>
          <w:color w:val="414042"/>
          <w:spacing w:val="-18"/>
          <w:w w:val="105"/>
          <w:sz w:val="16"/>
        </w:rPr>
        <w:t> </w:t>
      </w:r>
      <w:r>
        <w:rPr>
          <w:rFonts w:ascii="Calibri" w:hAnsi="Calibri"/>
          <w:color w:val="414042"/>
          <w:w w:val="105"/>
          <w:sz w:val="16"/>
        </w:rPr>
        <w:t>poseedoras</w:t>
      </w:r>
      <w:r>
        <w:rPr>
          <w:rFonts w:ascii="Calibri" w:hAnsi="Calibri"/>
          <w:color w:val="414042"/>
          <w:spacing w:val="-18"/>
          <w:w w:val="105"/>
          <w:sz w:val="16"/>
        </w:rPr>
        <w:t> </w:t>
      </w:r>
      <w:r>
        <w:rPr>
          <w:rFonts w:ascii="Calibri" w:hAnsi="Calibri"/>
          <w:color w:val="414042"/>
          <w:w w:val="105"/>
          <w:sz w:val="16"/>
        </w:rPr>
        <w:t>de conocimiento</w:t>
      </w:r>
      <w:r>
        <w:rPr>
          <w:rFonts w:ascii="Calibri" w:hAnsi="Calibri"/>
          <w:color w:val="414042"/>
          <w:spacing w:val="-5"/>
          <w:w w:val="105"/>
          <w:sz w:val="16"/>
        </w:rPr>
        <w:t> </w:t>
      </w:r>
      <w:r>
        <w:rPr>
          <w:rFonts w:ascii="Calibri" w:hAnsi="Calibri"/>
          <w:color w:val="414042"/>
          <w:w w:val="105"/>
          <w:sz w:val="16"/>
        </w:rPr>
        <w:t>mínimo</w:t>
      </w:r>
      <w:r>
        <w:rPr>
          <w:rFonts w:ascii="Calibri" w:hAnsi="Calibri"/>
          <w:color w:val="414042"/>
          <w:spacing w:val="-5"/>
          <w:w w:val="105"/>
          <w:sz w:val="16"/>
        </w:rPr>
        <w:t> </w:t>
      </w:r>
      <w:r>
        <w:rPr>
          <w:rFonts w:ascii="Calibri" w:hAnsi="Calibri"/>
          <w:color w:val="414042"/>
          <w:w w:val="105"/>
          <w:sz w:val="16"/>
        </w:rPr>
        <w:t>para</w:t>
      </w:r>
      <w:r>
        <w:rPr>
          <w:rFonts w:ascii="Calibri" w:hAnsi="Calibri"/>
          <w:color w:val="414042"/>
          <w:spacing w:val="-5"/>
          <w:w w:val="105"/>
          <w:sz w:val="16"/>
        </w:rPr>
        <w:t> </w:t>
      </w:r>
      <w:r>
        <w:rPr>
          <w:rFonts w:ascii="Calibri" w:hAnsi="Calibri"/>
          <w:color w:val="414042"/>
          <w:w w:val="105"/>
          <w:sz w:val="16"/>
        </w:rPr>
        <w:t>atender</w:t>
      </w:r>
      <w:r>
        <w:rPr>
          <w:rFonts w:ascii="Calibri" w:hAnsi="Calibri"/>
          <w:color w:val="414042"/>
          <w:spacing w:val="-5"/>
          <w:w w:val="105"/>
          <w:sz w:val="16"/>
        </w:rPr>
        <w:t> </w:t>
      </w:r>
      <w:r>
        <w:rPr>
          <w:rFonts w:ascii="Calibri" w:hAnsi="Calibri"/>
          <w:color w:val="414042"/>
          <w:w w:val="105"/>
          <w:sz w:val="16"/>
        </w:rPr>
        <w:t>el</w:t>
      </w:r>
      <w:r>
        <w:rPr>
          <w:rFonts w:ascii="Calibri" w:hAnsi="Calibri"/>
          <w:color w:val="414042"/>
          <w:spacing w:val="-5"/>
          <w:w w:val="105"/>
          <w:sz w:val="16"/>
        </w:rPr>
        <w:t> </w:t>
      </w:r>
      <w:r>
        <w:rPr>
          <w:rFonts w:ascii="Calibri" w:hAnsi="Calibri"/>
          <w:color w:val="414042"/>
          <w:w w:val="105"/>
          <w:sz w:val="16"/>
        </w:rPr>
        <w:t>propio</w:t>
      </w:r>
      <w:r>
        <w:rPr>
          <w:rFonts w:ascii="Calibri" w:hAnsi="Calibri"/>
          <w:color w:val="414042"/>
          <w:spacing w:val="-5"/>
          <w:w w:val="105"/>
          <w:sz w:val="16"/>
        </w:rPr>
        <w:t> </w:t>
      </w:r>
      <w:r>
        <w:rPr>
          <w:rFonts w:ascii="Calibri" w:hAnsi="Calibri"/>
          <w:color w:val="414042"/>
          <w:w w:val="105"/>
          <w:sz w:val="16"/>
        </w:rPr>
        <w:t>proceso</w:t>
      </w:r>
      <w:r>
        <w:rPr>
          <w:rFonts w:ascii="Calibri" w:hAnsi="Calibri"/>
          <w:color w:val="414042"/>
          <w:spacing w:val="-5"/>
          <w:w w:val="105"/>
          <w:sz w:val="16"/>
        </w:rPr>
        <w:t> </w:t>
      </w:r>
      <w:r>
        <w:rPr>
          <w:rFonts w:ascii="Calibri" w:hAnsi="Calibri"/>
          <w:color w:val="414042"/>
          <w:w w:val="105"/>
          <w:sz w:val="16"/>
        </w:rPr>
        <w:t>globalizador,</w:t>
      </w:r>
      <w:r>
        <w:rPr>
          <w:rFonts w:ascii="Calibri" w:hAnsi="Calibri"/>
          <w:color w:val="414042"/>
          <w:spacing w:val="-7"/>
          <w:w w:val="105"/>
          <w:sz w:val="16"/>
        </w:rPr>
        <w:t> </w:t>
      </w:r>
      <w:r>
        <w:rPr>
          <w:rFonts w:ascii="Calibri" w:hAnsi="Calibri"/>
          <w:color w:val="414042"/>
          <w:w w:val="105"/>
          <w:sz w:val="16"/>
        </w:rPr>
        <w:t>y</w:t>
      </w:r>
      <w:r>
        <w:rPr>
          <w:rFonts w:ascii="Calibri" w:hAnsi="Calibri"/>
          <w:color w:val="414042"/>
          <w:spacing w:val="-5"/>
          <w:w w:val="105"/>
          <w:sz w:val="16"/>
        </w:rPr>
        <w:t> </w:t>
      </w:r>
      <w:r>
        <w:rPr>
          <w:rFonts w:ascii="Calibri" w:hAnsi="Calibri"/>
          <w:color w:val="414042"/>
          <w:w w:val="105"/>
          <w:sz w:val="16"/>
        </w:rPr>
        <w:t>consensuadas</w:t>
      </w:r>
      <w:r>
        <w:rPr>
          <w:rFonts w:ascii="Calibri" w:hAnsi="Calibri"/>
          <w:color w:val="414042"/>
          <w:spacing w:val="-5"/>
          <w:w w:val="105"/>
          <w:sz w:val="16"/>
        </w:rPr>
        <w:t> </w:t>
      </w:r>
      <w:r>
        <w:rPr>
          <w:rFonts w:ascii="Calibri" w:hAnsi="Calibri"/>
          <w:color w:val="414042"/>
          <w:w w:val="105"/>
          <w:sz w:val="16"/>
        </w:rPr>
        <w:t>para</w:t>
      </w:r>
      <w:r>
        <w:rPr>
          <w:rFonts w:ascii="Calibri" w:hAnsi="Calibri"/>
          <w:color w:val="414042"/>
          <w:spacing w:val="-5"/>
          <w:w w:val="105"/>
          <w:sz w:val="16"/>
        </w:rPr>
        <w:t> </w:t>
      </w:r>
      <w:r>
        <w:rPr>
          <w:rFonts w:ascii="Calibri" w:hAnsi="Calibri"/>
          <w:color w:val="414042"/>
          <w:w w:val="105"/>
          <w:sz w:val="16"/>
        </w:rPr>
        <w:t>actuar</w:t>
      </w:r>
      <w:r>
        <w:rPr>
          <w:rFonts w:ascii="Calibri" w:hAnsi="Calibri"/>
          <w:color w:val="414042"/>
          <w:spacing w:val="-5"/>
          <w:w w:val="105"/>
          <w:sz w:val="16"/>
        </w:rPr>
        <w:t> </w:t>
      </w:r>
      <w:r>
        <w:rPr>
          <w:rFonts w:ascii="Calibri" w:hAnsi="Calibri"/>
          <w:color w:val="414042"/>
          <w:w w:val="105"/>
          <w:sz w:val="16"/>
        </w:rPr>
        <w:t>proac- tivamente,</w:t>
      </w:r>
      <w:r>
        <w:rPr>
          <w:rFonts w:ascii="Calibri" w:hAnsi="Calibri"/>
          <w:color w:val="414042"/>
          <w:spacing w:val="-10"/>
          <w:w w:val="105"/>
          <w:sz w:val="16"/>
        </w:rPr>
        <w:t> </w:t>
      </w:r>
      <w:r>
        <w:rPr>
          <w:rFonts w:ascii="Calibri" w:hAnsi="Calibri"/>
          <w:color w:val="414042"/>
          <w:w w:val="105"/>
          <w:sz w:val="16"/>
        </w:rPr>
        <w:t>o</w:t>
      </w:r>
      <w:r>
        <w:rPr>
          <w:rFonts w:ascii="Calibri" w:hAnsi="Calibri"/>
          <w:color w:val="414042"/>
          <w:spacing w:val="-10"/>
          <w:w w:val="105"/>
          <w:sz w:val="16"/>
        </w:rPr>
        <w:t> </w:t>
      </w:r>
      <w:r>
        <w:rPr>
          <w:rFonts w:ascii="Calibri" w:hAnsi="Calibri"/>
          <w:color w:val="414042"/>
          <w:w w:val="105"/>
          <w:sz w:val="16"/>
        </w:rPr>
        <w:t>sea</w:t>
      </w:r>
      <w:r>
        <w:rPr>
          <w:rFonts w:ascii="Calibri" w:hAnsi="Calibri"/>
          <w:color w:val="414042"/>
          <w:spacing w:val="-10"/>
          <w:w w:val="105"/>
          <w:sz w:val="16"/>
        </w:rPr>
        <w:t> </w:t>
      </w:r>
      <w:r>
        <w:rPr>
          <w:rFonts w:ascii="Calibri" w:hAnsi="Calibri"/>
          <w:color w:val="414042"/>
          <w:w w:val="105"/>
          <w:sz w:val="16"/>
        </w:rPr>
        <w:t>socialmente</w:t>
      </w:r>
      <w:r>
        <w:rPr>
          <w:rFonts w:ascii="Calibri" w:hAnsi="Calibri"/>
          <w:color w:val="414042"/>
          <w:spacing w:val="-10"/>
          <w:w w:val="105"/>
          <w:sz w:val="16"/>
        </w:rPr>
        <w:t> </w:t>
      </w:r>
      <w:r>
        <w:rPr>
          <w:rFonts w:ascii="Calibri" w:hAnsi="Calibri"/>
          <w:color w:val="414042"/>
          <w:w w:val="105"/>
          <w:sz w:val="16"/>
        </w:rPr>
        <w:t>organizadas”.</w:t>
      </w:r>
      <w:r>
        <w:rPr>
          <w:rFonts w:ascii="Calibri" w:hAnsi="Calibri"/>
          <w:color w:val="414042"/>
          <w:spacing w:val="18"/>
          <w:w w:val="105"/>
          <w:sz w:val="16"/>
        </w:rPr>
        <w:t> </w:t>
      </w:r>
      <w:r>
        <w:rPr>
          <w:rFonts w:ascii="Calibri" w:hAnsi="Calibri"/>
          <w:color w:val="414042"/>
          <w:w w:val="105"/>
          <w:sz w:val="16"/>
        </w:rPr>
        <w:t>Asimismo,</w:t>
      </w:r>
      <w:r>
        <w:rPr>
          <w:rFonts w:ascii="Calibri" w:hAnsi="Calibri"/>
          <w:color w:val="414042"/>
          <w:spacing w:val="-10"/>
          <w:w w:val="105"/>
          <w:sz w:val="16"/>
        </w:rPr>
        <w:t> </w:t>
      </w:r>
      <w:r>
        <w:rPr>
          <w:rFonts w:ascii="Calibri" w:hAnsi="Calibri"/>
          <w:color w:val="414042"/>
          <w:w w:val="105"/>
          <w:sz w:val="16"/>
        </w:rPr>
        <w:t>el</w:t>
      </w:r>
      <w:r>
        <w:rPr>
          <w:rFonts w:ascii="Calibri" w:hAnsi="Calibri"/>
          <w:color w:val="414042"/>
          <w:spacing w:val="-10"/>
          <w:w w:val="105"/>
          <w:sz w:val="16"/>
        </w:rPr>
        <w:t> </w:t>
      </w:r>
      <w:r>
        <w:rPr>
          <w:rFonts w:ascii="Calibri" w:hAnsi="Calibri"/>
          <w:color w:val="414042"/>
          <w:w w:val="105"/>
          <w:sz w:val="16"/>
        </w:rPr>
        <w:t>desarrollo</w:t>
      </w:r>
      <w:r>
        <w:rPr>
          <w:rFonts w:ascii="Calibri" w:hAnsi="Calibri"/>
          <w:color w:val="414042"/>
          <w:spacing w:val="-10"/>
          <w:w w:val="105"/>
          <w:sz w:val="16"/>
        </w:rPr>
        <w:t> </w:t>
      </w:r>
      <w:r>
        <w:rPr>
          <w:rFonts w:ascii="Calibri" w:hAnsi="Calibri"/>
          <w:color w:val="414042"/>
          <w:w w:val="105"/>
          <w:sz w:val="16"/>
        </w:rPr>
        <w:t>local</w:t>
      </w:r>
      <w:r>
        <w:rPr>
          <w:rFonts w:ascii="Calibri" w:hAnsi="Calibri"/>
          <w:color w:val="414042"/>
          <w:spacing w:val="-10"/>
          <w:w w:val="105"/>
          <w:sz w:val="16"/>
        </w:rPr>
        <w:t> </w:t>
      </w:r>
      <w:r>
        <w:rPr>
          <w:rFonts w:ascii="Calibri" w:hAnsi="Calibri"/>
          <w:color w:val="414042"/>
          <w:w w:val="105"/>
          <w:sz w:val="16"/>
        </w:rPr>
        <w:t>representa</w:t>
      </w:r>
      <w:r>
        <w:rPr>
          <w:rFonts w:ascii="Calibri" w:hAnsi="Calibri"/>
          <w:color w:val="414042"/>
          <w:spacing w:val="-10"/>
          <w:w w:val="105"/>
          <w:sz w:val="16"/>
        </w:rPr>
        <w:t> </w:t>
      </w:r>
      <w:r>
        <w:rPr>
          <w:rFonts w:ascii="Calibri" w:hAnsi="Calibri"/>
          <w:color w:val="414042"/>
          <w:w w:val="105"/>
          <w:sz w:val="16"/>
        </w:rPr>
        <w:t>el</w:t>
      </w:r>
      <w:r>
        <w:rPr>
          <w:rFonts w:ascii="Calibri" w:hAnsi="Calibri"/>
          <w:color w:val="414042"/>
          <w:spacing w:val="-10"/>
          <w:w w:val="105"/>
          <w:sz w:val="16"/>
        </w:rPr>
        <w:t> </w:t>
      </w:r>
      <w:r>
        <w:rPr>
          <w:rFonts w:ascii="Calibri" w:hAnsi="Calibri"/>
          <w:color w:val="414042"/>
          <w:w w:val="105"/>
          <w:sz w:val="16"/>
        </w:rPr>
        <w:t>fortalecimiento de</w:t>
      </w:r>
      <w:r>
        <w:rPr>
          <w:rFonts w:ascii="Calibri" w:hAnsi="Calibri"/>
          <w:color w:val="414042"/>
          <w:spacing w:val="-7"/>
          <w:w w:val="105"/>
          <w:sz w:val="16"/>
        </w:rPr>
        <w:t> </w:t>
      </w:r>
      <w:r>
        <w:rPr>
          <w:rFonts w:ascii="Calibri" w:hAnsi="Calibri"/>
          <w:color w:val="414042"/>
          <w:w w:val="105"/>
          <w:sz w:val="16"/>
        </w:rPr>
        <w:t>la</w:t>
      </w:r>
      <w:r>
        <w:rPr>
          <w:rFonts w:ascii="Calibri" w:hAnsi="Calibri"/>
          <w:color w:val="414042"/>
          <w:spacing w:val="-7"/>
          <w:w w:val="105"/>
          <w:sz w:val="16"/>
        </w:rPr>
        <w:t> </w:t>
      </w:r>
      <w:r>
        <w:rPr>
          <w:rFonts w:ascii="Calibri" w:hAnsi="Calibri"/>
          <w:color w:val="414042"/>
          <w:w w:val="105"/>
          <w:sz w:val="16"/>
        </w:rPr>
        <w:t>capacidad</w:t>
      </w:r>
      <w:r>
        <w:rPr>
          <w:rFonts w:ascii="Calibri" w:hAnsi="Calibri"/>
          <w:color w:val="414042"/>
          <w:spacing w:val="-7"/>
          <w:w w:val="105"/>
          <w:sz w:val="16"/>
        </w:rPr>
        <w:t> </w:t>
      </w:r>
      <w:r>
        <w:rPr>
          <w:rFonts w:ascii="Calibri" w:hAnsi="Calibri"/>
          <w:color w:val="414042"/>
          <w:w w:val="105"/>
          <w:sz w:val="16"/>
        </w:rPr>
        <w:t>económica,</w:t>
      </w:r>
      <w:r>
        <w:rPr>
          <w:rFonts w:ascii="Calibri" w:hAnsi="Calibri"/>
          <w:color w:val="414042"/>
          <w:spacing w:val="-7"/>
          <w:w w:val="105"/>
          <w:sz w:val="16"/>
        </w:rPr>
        <w:t> </w:t>
      </w:r>
      <w:r>
        <w:rPr>
          <w:rFonts w:ascii="Calibri" w:hAnsi="Calibri"/>
          <w:color w:val="414042"/>
          <w:w w:val="105"/>
          <w:sz w:val="16"/>
        </w:rPr>
        <w:t>social</w:t>
      </w:r>
      <w:r>
        <w:rPr>
          <w:rFonts w:ascii="Calibri" w:hAnsi="Calibri"/>
          <w:color w:val="414042"/>
          <w:spacing w:val="-7"/>
          <w:w w:val="105"/>
          <w:sz w:val="16"/>
        </w:rPr>
        <w:t> </w:t>
      </w:r>
      <w:r>
        <w:rPr>
          <w:rFonts w:ascii="Calibri" w:hAnsi="Calibri"/>
          <w:color w:val="414042"/>
          <w:w w:val="105"/>
          <w:sz w:val="16"/>
        </w:rPr>
        <w:t>e</w:t>
      </w:r>
      <w:r>
        <w:rPr>
          <w:rFonts w:ascii="Calibri" w:hAnsi="Calibri"/>
          <w:color w:val="414042"/>
          <w:spacing w:val="-7"/>
          <w:w w:val="105"/>
          <w:sz w:val="16"/>
        </w:rPr>
        <w:t> </w:t>
      </w:r>
      <w:r>
        <w:rPr>
          <w:rFonts w:ascii="Calibri" w:hAnsi="Calibri"/>
          <w:color w:val="414042"/>
          <w:w w:val="105"/>
          <w:sz w:val="16"/>
        </w:rPr>
        <w:t>institucional</w:t>
      </w:r>
      <w:r>
        <w:rPr>
          <w:rFonts w:ascii="Calibri" w:hAnsi="Calibri"/>
          <w:color w:val="414042"/>
          <w:spacing w:val="-7"/>
          <w:w w:val="105"/>
          <w:sz w:val="16"/>
        </w:rPr>
        <w:t> </w:t>
      </w:r>
      <w:r>
        <w:rPr>
          <w:rFonts w:ascii="Calibri" w:hAnsi="Calibri"/>
          <w:color w:val="414042"/>
          <w:w w:val="105"/>
          <w:sz w:val="16"/>
        </w:rPr>
        <w:t>de</w:t>
      </w:r>
      <w:r>
        <w:rPr>
          <w:rFonts w:ascii="Calibri" w:hAnsi="Calibri"/>
          <w:color w:val="414042"/>
          <w:spacing w:val="-7"/>
          <w:w w:val="105"/>
          <w:sz w:val="16"/>
        </w:rPr>
        <w:t> </w:t>
      </w:r>
      <w:r>
        <w:rPr>
          <w:rFonts w:ascii="Calibri" w:hAnsi="Calibri"/>
          <w:color w:val="414042"/>
          <w:w w:val="105"/>
          <w:sz w:val="16"/>
        </w:rPr>
        <w:t>un</w:t>
      </w:r>
      <w:r>
        <w:rPr>
          <w:rFonts w:ascii="Calibri" w:hAnsi="Calibri"/>
          <w:color w:val="414042"/>
          <w:spacing w:val="-7"/>
          <w:w w:val="105"/>
          <w:sz w:val="16"/>
        </w:rPr>
        <w:t> </w:t>
      </w:r>
      <w:r>
        <w:rPr>
          <w:rFonts w:ascii="Calibri" w:hAnsi="Calibri"/>
          <w:color w:val="414042"/>
          <w:w w:val="105"/>
          <w:sz w:val="16"/>
        </w:rPr>
        <w:t>área</w:t>
      </w:r>
      <w:r>
        <w:rPr>
          <w:rFonts w:ascii="Calibri" w:hAnsi="Calibri"/>
          <w:color w:val="414042"/>
          <w:spacing w:val="-7"/>
          <w:w w:val="105"/>
          <w:sz w:val="16"/>
        </w:rPr>
        <w:t> </w:t>
      </w:r>
      <w:r>
        <w:rPr>
          <w:rFonts w:ascii="Calibri" w:hAnsi="Calibri"/>
          <w:color w:val="414042"/>
          <w:w w:val="105"/>
          <w:sz w:val="16"/>
        </w:rPr>
        <w:t>territorial</w:t>
      </w:r>
      <w:r>
        <w:rPr>
          <w:rFonts w:ascii="Calibri" w:hAnsi="Calibri"/>
          <w:color w:val="414042"/>
          <w:spacing w:val="-7"/>
          <w:w w:val="105"/>
          <w:sz w:val="16"/>
        </w:rPr>
        <w:t> </w:t>
      </w:r>
      <w:r>
        <w:rPr>
          <w:rFonts w:ascii="Calibri" w:hAnsi="Calibri"/>
          <w:color w:val="414042"/>
          <w:w w:val="105"/>
          <w:sz w:val="16"/>
        </w:rPr>
        <w:t>identificada</w:t>
      </w:r>
      <w:r>
        <w:rPr>
          <w:rFonts w:ascii="Calibri" w:hAnsi="Calibri"/>
          <w:color w:val="414042"/>
          <w:spacing w:val="-7"/>
          <w:w w:val="105"/>
          <w:sz w:val="16"/>
        </w:rPr>
        <w:t> </w:t>
      </w:r>
      <w:r>
        <w:rPr>
          <w:rFonts w:ascii="Calibri" w:hAnsi="Calibri"/>
          <w:color w:val="414042"/>
          <w:w w:val="105"/>
          <w:sz w:val="16"/>
        </w:rPr>
        <w:t>por</w:t>
      </w:r>
      <w:r>
        <w:rPr>
          <w:rFonts w:ascii="Calibri" w:hAnsi="Calibri"/>
          <w:color w:val="414042"/>
          <w:spacing w:val="-7"/>
          <w:w w:val="105"/>
          <w:sz w:val="16"/>
        </w:rPr>
        <w:t> </w:t>
      </w:r>
      <w:r>
        <w:rPr>
          <w:rFonts w:ascii="Calibri" w:hAnsi="Calibri"/>
          <w:color w:val="414042"/>
          <w:w w:val="105"/>
          <w:sz w:val="16"/>
        </w:rPr>
        <w:t>rasgos</w:t>
      </w:r>
      <w:r>
        <w:rPr>
          <w:rFonts w:ascii="Calibri" w:hAnsi="Calibri"/>
          <w:color w:val="414042"/>
          <w:spacing w:val="-7"/>
          <w:w w:val="105"/>
          <w:sz w:val="16"/>
        </w:rPr>
        <w:t> </w:t>
      </w:r>
      <w:r>
        <w:rPr>
          <w:rFonts w:ascii="Calibri" w:hAnsi="Calibri"/>
          <w:color w:val="414042"/>
          <w:w w:val="105"/>
          <w:sz w:val="16"/>
        </w:rPr>
        <w:t>comunes para</w:t>
      </w:r>
      <w:r>
        <w:rPr>
          <w:rFonts w:ascii="Calibri" w:hAnsi="Calibri"/>
          <w:color w:val="414042"/>
          <w:spacing w:val="-8"/>
          <w:w w:val="105"/>
          <w:sz w:val="16"/>
        </w:rPr>
        <w:t> </w:t>
      </w:r>
      <w:r>
        <w:rPr>
          <w:rFonts w:ascii="Calibri" w:hAnsi="Calibri"/>
          <w:color w:val="414042"/>
          <w:w w:val="105"/>
          <w:sz w:val="16"/>
        </w:rPr>
        <w:t>mejorar</w:t>
      </w:r>
      <w:r>
        <w:rPr>
          <w:rFonts w:ascii="Calibri" w:hAnsi="Calibri"/>
          <w:color w:val="414042"/>
          <w:spacing w:val="-8"/>
          <w:w w:val="105"/>
          <w:sz w:val="16"/>
        </w:rPr>
        <w:t> </w:t>
      </w:r>
      <w:r>
        <w:rPr>
          <w:rFonts w:ascii="Calibri" w:hAnsi="Calibri"/>
          <w:color w:val="414042"/>
          <w:w w:val="105"/>
          <w:sz w:val="16"/>
        </w:rPr>
        <w:t>la</w:t>
      </w:r>
      <w:r>
        <w:rPr>
          <w:rFonts w:ascii="Calibri" w:hAnsi="Calibri"/>
          <w:color w:val="414042"/>
          <w:spacing w:val="-8"/>
          <w:w w:val="105"/>
          <w:sz w:val="16"/>
        </w:rPr>
        <w:t> </w:t>
      </w:r>
      <w:r>
        <w:rPr>
          <w:rFonts w:ascii="Calibri" w:hAnsi="Calibri"/>
          <w:color w:val="414042"/>
          <w:w w:val="105"/>
          <w:sz w:val="16"/>
        </w:rPr>
        <w:t>calidad</w:t>
      </w:r>
      <w:r>
        <w:rPr>
          <w:rFonts w:ascii="Calibri" w:hAnsi="Calibri"/>
          <w:color w:val="414042"/>
          <w:spacing w:val="-8"/>
          <w:w w:val="105"/>
          <w:sz w:val="16"/>
        </w:rPr>
        <w:t> </w:t>
      </w:r>
      <w:r>
        <w:rPr>
          <w:rFonts w:ascii="Calibri" w:hAnsi="Calibri"/>
          <w:color w:val="414042"/>
          <w:w w:val="105"/>
          <w:sz w:val="16"/>
        </w:rPr>
        <w:t>de</w:t>
      </w:r>
      <w:r>
        <w:rPr>
          <w:rFonts w:ascii="Calibri" w:hAnsi="Calibri"/>
          <w:color w:val="414042"/>
          <w:spacing w:val="-9"/>
          <w:w w:val="105"/>
          <w:sz w:val="16"/>
        </w:rPr>
        <w:t> </w:t>
      </w:r>
      <w:r>
        <w:rPr>
          <w:rFonts w:ascii="Calibri" w:hAnsi="Calibri"/>
          <w:color w:val="414042"/>
          <w:w w:val="105"/>
          <w:sz w:val="16"/>
        </w:rPr>
        <w:t>vida</w:t>
      </w:r>
      <w:r>
        <w:rPr>
          <w:rFonts w:ascii="Calibri" w:hAnsi="Calibri"/>
          <w:color w:val="414042"/>
          <w:spacing w:val="-8"/>
          <w:w w:val="105"/>
          <w:sz w:val="16"/>
        </w:rPr>
        <w:t> </w:t>
      </w:r>
      <w:r>
        <w:rPr>
          <w:rFonts w:ascii="Calibri" w:hAnsi="Calibri"/>
          <w:color w:val="414042"/>
          <w:w w:val="105"/>
          <w:sz w:val="16"/>
        </w:rPr>
        <w:t>de</w:t>
      </w:r>
      <w:r>
        <w:rPr>
          <w:rFonts w:ascii="Calibri" w:hAnsi="Calibri"/>
          <w:color w:val="414042"/>
          <w:spacing w:val="-8"/>
          <w:w w:val="105"/>
          <w:sz w:val="16"/>
        </w:rPr>
        <w:t> </w:t>
      </w:r>
      <w:r>
        <w:rPr>
          <w:rFonts w:ascii="Calibri" w:hAnsi="Calibri"/>
          <w:color w:val="414042"/>
          <w:w w:val="105"/>
          <w:sz w:val="16"/>
        </w:rPr>
        <w:t>su</w:t>
      </w:r>
      <w:r>
        <w:rPr>
          <w:rFonts w:ascii="Calibri" w:hAnsi="Calibri"/>
          <w:color w:val="414042"/>
          <w:spacing w:val="-8"/>
          <w:w w:val="105"/>
          <w:sz w:val="16"/>
        </w:rPr>
        <w:t> </w:t>
      </w:r>
      <w:r>
        <w:rPr>
          <w:rFonts w:ascii="Calibri" w:hAnsi="Calibri"/>
          <w:color w:val="414042"/>
          <w:w w:val="105"/>
          <w:sz w:val="16"/>
        </w:rPr>
        <w:t>población,</w:t>
      </w:r>
      <w:r>
        <w:rPr>
          <w:rFonts w:ascii="Calibri" w:hAnsi="Calibri"/>
          <w:color w:val="414042"/>
          <w:spacing w:val="-8"/>
          <w:w w:val="105"/>
          <w:sz w:val="16"/>
        </w:rPr>
        <w:t> </w:t>
      </w:r>
      <w:r>
        <w:rPr>
          <w:rFonts w:ascii="Calibri" w:hAnsi="Calibri"/>
          <w:color w:val="414042"/>
          <w:w w:val="105"/>
          <w:sz w:val="16"/>
        </w:rPr>
        <w:t>sin</w:t>
      </w:r>
      <w:r>
        <w:rPr>
          <w:rFonts w:ascii="Calibri" w:hAnsi="Calibri"/>
          <w:color w:val="414042"/>
          <w:spacing w:val="-8"/>
          <w:w w:val="105"/>
          <w:sz w:val="16"/>
        </w:rPr>
        <w:t> </w:t>
      </w:r>
      <w:r>
        <w:rPr>
          <w:rFonts w:ascii="Calibri" w:hAnsi="Calibri"/>
          <w:color w:val="414042"/>
          <w:w w:val="105"/>
          <w:sz w:val="16"/>
        </w:rPr>
        <w:t>distingos</w:t>
      </w:r>
      <w:r>
        <w:rPr>
          <w:rFonts w:ascii="Calibri" w:hAnsi="Calibri"/>
          <w:color w:val="414042"/>
          <w:spacing w:val="-8"/>
          <w:w w:val="105"/>
          <w:sz w:val="16"/>
        </w:rPr>
        <w:t> </w:t>
      </w:r>
      <w:r>
        <w:rPr>
          <w:rFonts w:ascii="Calibri" w:hAnsi="Calibri"/>
          <w:color w:val="414042"/>
          <w:w w:val="105"/>
          <w:sz w:val="16"/>
        </w:rPr>
        <w:t>de</w:t>
      </w:r>
      <w:r>
        <w:rPr>
          <w:rFonts w:ascii="Calibri" w:hAnsi="Calibri"/>
          <w:color w:val="414042"/>
          <w:spacing w:val="-8"/>
          <w:w w:val="105"/>
          <w:sz w:val="16"/>
        </w:rPr>
        <w:t> </w:t>
      </w:r>
      <w:r>
        <w:rPr>
          <w:rFonts w:ascii="Calibri" w:hAnsi="Calibri"/>
          <w:color w:val="414042"/>
          <w:w w:val="105"/>
          <w:sz w:val="16"/>
        </w:rPr>
        <w:t>cualquier</w:t>
      </w:r>
      <w:r>
        <w:rPr>
          <w:rFonts w:ascii="Calibri" w:hAnsi="Calibri"/>
          <w:color w:val="414042"/>
          <w:spacing w:val="-8"/>
          <w:w w:val="105"/>
          <w:sz w:val="16"/>
        </w:rPr>
        <w:t> </w:t>
      </w:r>
      <w:r>
        <w:rPr>
          <w:rFonts w:ascii="Calibri" w:hAnsi="Calibri"/>
          <w:color w:val="414042"/>
          <w:w w:val="105"/>
          <w:sz w:val="16"/>
        </w:rPr>
        <w:t>índole,</w:t>
      </w:r>
      <w:r>
        <w:rPr>
          <w:rFonts w:ascii="Calibri" w:hAnsi="Calibri"/>
          <w:color w:val="414042"/>
          <w:spacing w:val="-8"/>
          <w:w w:val="105"/>
          <w:sz w:val="16"/>
        </w:rPr>
        <w:t> </w:t>
      </w:r>
      <w:r>
        <w:rPr>
          <w:rFonts w:ascii="Calibri" w:hAnsi="Calibri"/>
          <w:color w:val="414042"/>
          <w:w w:val="105"/>
          <w:sz w:val="16"/>
        </w:rPr>
        <w:t>mediante</w:t>
      </w:r>
      <w:r>
        <w:rPr>
          <w:rFonts w:ascii="Calibri" w:hAnsi="Calibri"/>
          <w:color w:val="414042"/>
          <w:spacing w:val="-8"/>
          <w:w w:val="105"/>
          <w:sz w:val="16"/>
        </w:rPr>
        <w:t> </w:t>
      </w:r>
      <w:r>
        <w:rPr>
          <w:rFonts w:ascii="Calibri" w:hAnsi="Calibri"/>
          <w:color w:val="414042"/>
          <w:w w:val="105"/>
          <w:sz w:val="16"/>
        </w:rPr>
        <w:t>la</w:t>
      </w:r>
      <w:r>
        <w:rPr>
          <w:rFonts w:ascii="Calibri" w:hAnsi="Calibri"/>
          <w:color w:val="414042"/>
          <w:spacing w:val="-8"/>
          <w:w w:val="105"/>
          <w:sz w:val="16"/>
        </w:rPr>
        <w:t> </w:t>
      </w:r>
      <w:r>
        <w:rPr>
          <w:rFonts w:ascii="Calibri" w:hAnsi="Calibri"/>
          <w:color w:val="414042"/>
          <w:w w:val="105"/>
          <w:sz w:val="16"/>
        </w:rPr>
        <w:t>cohesión del</w:t>
      </w:r>
      <w:r>
        <w:rPr>
          <w:rFonts w:ascii="Calibri" w:hAnsi="Calibri"/>
          <w:color w:val="414042"/>
          <w:spacing w:val="-18"/>
          <w:w w:val="105"/>
          <w:sz w:val="16"/>
        </w:rPr>
        <w:t> </w:t>
      </w:r>
      <w:r>
        <w:rPr>
          <w:rFonts w:ascii="Calibri" w:hAnsi="Calibri"/>
          <w:color w:val="414042"/>
          <w:w w:val="105"/>
          <w:sz w:val="16"/>
        </w:rPr>
        <w:t>sector</w:t>
      </w:r>
      <w:r>
        <w:rPr>
          <w:rFonts w:ascii="Calibri" w:hAnsi="Calibri"/>
          <w:color w:val="414042"/>
          <w:spacing w:val="-18"/>
          <w:w w:val="105"/>
          <w:sz w:val="16"/>
        </w:rPr>
        <w:t> </w:t>
      </w:r>
      <w:r>
        <w:rPr>
          <w:rFonts w:ascii="Calibri" w:hAnsi="Calibri"/>
          <w:color w:val="414042"/>
          <w:w w:val="105"/>
          <w:sz w:val="16"/>
        </w:rPr>
        <w:t>público,</w:t>
      </w:r>
      <w:r>
        <w:rPr>
          <w:rFonts w:ascii="Calibri" w:hAnsi="Calibri"/>
          <w:color w:val="414042"/>
          <w:spacing w:val="-18"/>
          <w:w w:val="105"/>
          <w:sz w:val="16"/>
        </w:rPr>
        <w:t> </w:t>
      </w:r>
      <w:r>
        <w:rPr>
          <w:rFonts w:ascii="Calibri" w:hAnsi="Calibri"/>
          <w:color w:val="414042"/>
          <w:w w:val="105"/>
          <w:sz w:val="16"/>
        </w:rPr>
        <w:t>privado</w:t>
      </w:r>
      <w:r>
        <w:rPr>
          <w:rFonts w:ascii="Calibri" w:hAnsi="Calibri"/>
          <w:color w:val="414042"/>
          <w:spacing w:val="-19"/>
          <w:w w:val="105"/>
          <w:sz w:val="16"/>
        </w:rPr>
        <w:t> </w:t>
      </w:r>
      <w:r>
        <w:rPr>
          <w:rFonts w:ascii="Calibri" w:hAnsi="Calibri"/>
          <w:color w:val="414042"/>
          <w:w w:val="105"/>
          <w:sz w:val="16"/>
        </w:rPr>
        <w:t>y</w:t>
      </w:r>
      <w:r>
        <w:rPr>
          <w:rFonts w:ascii="Calibri" w:hAnsi="Calibri"/>
          <w:color w:val="414042"/>
          <w:spacing w:val="-18"/>
          <w:w w:val="105"/>
          <w:sz w:val="16"/>
        </w:rPr>
        <w:t> </w:t>
      </w:r>
      <w:r>
        <w:rPr>
          <w:rFonts w:ascii="Calibri" w:hAnsi="Calibri"/>
          <w:color w:val="414042"/>
          <w:w w:val="105"/>
          <w:sz w:val="16"/>
        </w:rPr>
        <w:t>no</w:t>
      </w:r>
      <w:r>
        <w:rPr>
          <w:rFonts w:ascii="Calibri" w:hAnsi="Calibri"/>
          <w:color w:val="414042"/>
          <w:spacing w:val="-18"/>
          <w:w w:val="105"/>
          <w:sz w:val="16"/>
        </w:rPr>
        <w:t> </w:t>
      </w:r>
      <w:r>
        <w:rPr>
          <w:rFonts w:ascii="Calibri" w:hAnsi="Calibri"/>
          <w:color w:val="414042"/>
          <w:w w:val="105"/>
          <w:sz w:val="16"/>
        </w:rPr>
        <w:t>gubernamental</w:t>
      </w:r>
      <w:r>
        <w:rPr>
          <w:rFonts w:ascii="Calibri" w:hAnsi="Calibri"/>
          <w:color w:val="414042"/>
          <w:spacing w:val="-18"/>
          <w:w w:val="105"/>
          <w:sz w:val="16"/>
        </w:rPr>
        <w:t> </w:t>
      </w:r>
      <w:r>
        <w:rPr>
          <w:rFonts w:ascii="Calibri" w:hAnsi="Calibri"/>
          <w:color w:val="414042"/>
          <w:w w:val="105"/>
          <w:sz w:val="16"/>
        </w:rPr>
        <w:t>colaborando</w:t>
      </w:r>
      <w:r>
        <w:rPr>
          <w:rFonts w:ascii="Calibri" w:hAnsi="Calibri"/>
          <w:color w:val="414042"/>
          <w:spacing w:val="-18"/>
          <w:w w:val="105"/>
          <w:sz w:val="16"/>
        </w:rPr>
        <w:t> </w:t>
      </w:r>
      <w:r>
        <w:rPr>
          <w:rFonts w:ascii="Calibri" w:hAnsi="Calibri"/>
          <w:color w:val="414042"/>
          <w:w w:val="105"/>
          <w:sz w:val="16"/>
        </w:rPr>
        <w:t>colectivamente.</w:t>
      </w:r>
    </w:p>
    <w:p>
      <w:pPr>
        <w:pStyle w:val="BodyText"/>
        <w:rPr>
          <w:rFonts w:ascii="Calibri"/>
          <w:sz w:val="20"/>
        </w:rPr>
      </w:pPr>
    </w:p>
    <w:p>
      <w:pPr>
        <w:pStyle w:val="BodyText"/>
        <w:spacing w:before="2"/>
        <w:rPr>
          <w:rFonts w:ascii="Calibri"/>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53208" from="131.551193pt,3.753715pt" to="131.551193pt,39.556114pt" stroked="true" strokeweight=".35pt" strokecolor="#231f20">
            <w10:wrap type="none"/>
          </v:line>
        </w:pict>
      </w:r>
      <w:r>
        <w:rPr/>
        <w:pict>
          <v:line style="position:absolute;mso-position-horizontal-relative:page;mso-position-vertical-relative:paragraph;z-index:-453136" from="15pt,39.555916pt" to="0pt,39.555916pt" stroked="true" strokeweight=".25pt" strokecolor="#000000">
            <w10:wrap type="none"/>
          </v:line>
        </w:pict>
      </w:r>
      <w:r>
        <w:rPr/>
        <w:pict>
          <v:line style="position:absolute;mso-position-horizontal-relative:page;mso-position-vertical-relative:paragraph;z-index:37072" from="508.890015pt,39.555916pt" to="523.890015pt,39.555916pt" stroked="true" strokeweight=".25pt" strokecolor="#000000">
            <w10:wrap type="none"/>
          </v:line>
        </w:pict>
      </w:r>
      <w:r>
        <w:rPr>
          <w:rFonts w:ascii="Arial" w:hAnsi="Arial"/>
          <w:color w:val="414042"/>
          <w:position w:val="-5"/>
          <w:sz w:val="20"/>
        </w:rPr>
        <w:t>302</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7096"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7120" from="15pt,-28.286539pt" to="0pt,-28.286539pt" stroked="true" strokeweight=".25pt" strokecolor="#000000">
            <w10:wrap type="none"/>
          </v:line>
        </w:pict>
      </w:r>
      <w:r>
        <w:rPr/>
        <w:pict>
          <v:line style="position:absolute;mso-position-horizontal-relative:page;mso-position-vertical-relative:paragraph;z-index:37144" from="508.890015pt,-28.286539pt" to="523.890015pt,-28.286539pt" stroked="true" strokeweight=".25pt" strokecolor="#000000">
            <w10:wrap type="none"/>
          </v:line>
        </w:pict>
      </w:r>
      <w:r>
        <w:rPr>
          <w:rFonts w:ascii="Arial"/>
          <w:color w:val="414042"/>
          <w:sz w:val="20"/>
        </w:rPr>
        <w:t>303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9"/>
        <w:rPr>
          <w:rFonts w:ascii="Arial"/>
          <w:sz w:val="17"/>
        </w:rPr>
      </w:pPr>
    </w:p>
    <w:p>
      <w:pPr>
        <w:pStyle w:val="BodyText"/>
        <w:spacing w:line="261" w:lineRule="auto"/>
        <w:ind w:left="1837" w:right="1722"/>
        <w:jc w:val="both"/>
      </w:pPr>
      <w:r>
        <w:rPr>
          <w:color w:val="231F20"/>
          <w:w w:val="105"/>
        </w:rPr>
        <w:t>cultura de autoconsumo, el trabajo asalariado agrícola, el empleo no agrícola</w:t>
      </w:r>
      <w:r>
        <w:rPr>
          <w:color w:val="231F20"/>
          <w:spacing w:val="-17"/>
          <w:w w:val="105"/>
        </w:rPr>
        <w:t> </w:t>
      </w:r>
      <w:r>
        <w:rPr>
          <w:color w:val="231F20"/>
          <w:w w:val="105"/>
        </w:rPr>
        <w:t>de</w:t>
      </w:r>
      <w:r>
        <w:rPr>
          <w:color w:val="231F20"/>
          <w:spacing w:val="-17"/>
          <w:w w:val="105"/>
        </w:rPr>
        <w:t> </w:t>
      </w:r>
      <w:r>
        <w:rPr>
          <w:color w:val="231F20"/>
          <w:w w:val="105"/>
        </w:rPr>
        <w:t>refugio,</w:t>
      </w:r>
      <w:r>
        <w:rPr>
          <w:color w:val="231F20"/>
          <w:spacing w:val="-22"/>
          <w:w w:val="105"/>
        </w:rPr>
        <w:t> </w:t>
      </w:r>
      <w:r>
        <w:rPr>
          <w:color w:val="231F20"/>
          <w:w w:val="105"/>
        </w:rPr>
        <w:t>y</w:t>
      </w:r>
      <w:r>
        <w:rPr>
          <w:color w:val="231F20"/>
          <w:spacing w:val="-17"/>
          <w:w w:val="105"/>
        </w:rPr>
        <w:t> </w:t>
      </w:r>
      <w:r>
        <w:rPr>
          <w:color w:val="231F20"/>
          <w:w w:val="105"/>
        </w:rPr>
        <w:t>crecientemente,</w:t>
      </w:r>
      <w:r>
        <w:rPr>
          <w:color w:val="231F20"/>
          <w:spacing w:val="-23"/>
          <w:w w:val="105"/>
        </w:rPr>
        <w:t> </w:t>
      </w:r>
      <w:r>
        <w:rPr>
          <w:color w:val="231F20"/>
          <w:w w:val="105"/>
        </w:rPr>
        <w:t>la</w:t>
      </w:r>
      <w:r>
        <w:rPr>
          <w:color w:val="231F20"/>
          <w:spacing w:val="-17"/>
          <w:w w:val="105"/>
        </w:rPr>
        <w:t> </w:t>
      </w:r>
      <w:r>
        <w:rPr>
          <w:color w:val="231F20"/>
          <w:w w:val="105"/>
        </w:rPr>
        <w:t>emigración</w:t>
      </w:r>
      <w:r>
        <w:rPr>
          <w:color w:val="231F20"/>
          <w:spacing w:val="-17"/>
          <w:w w:val="105"/>
        </w:rPr>
        <w:t> </w:t>
      </w:r>
      <w:r>
        <w:rPr>
          <w:color w:val="231F20"/>
          <w:w w:val="105"/>
        </w:rPr>
        <w:t>y</w:t>
      </w:r>
      <w:r>
        <w:rPr>
          <w:color w:val="231F20"/>
          <w:spacing w:val="-17"/>
          <w:w w:val="105"/>
        </w:rPr>
        <w:t> </w:t>
      </w:r>
      <w:r>
        <w:rPr>
          <w:color w:val="231F20"/>
          <w:w w:val="105"/>
        </w:rPr>
        <w:t>las</w:t>
      </w:r>
      <w:r>
        <w:rPr>
          <w:color w:val="231F20"/>
          <w:spacing w:val="-17"/>
          <w:w w:val="105"/>
        </w:rPr>
        <w:t> </w:t>
      </w:r>
      <w:r>
        <w:rPr>
          <w:color w:val="231F20"/>
          <w:w w:val="105"/>
        </w:rPr>
        <w:t>remesas</w:t>
      </w:r>
      <w:r>
        <w:rPr>
          <w:color w:val="231F20"/>
          <w:spacing w:val="-17"/>
          <w:w w:val="105"/>
        </w:rPr>
        <w:t> </w:t>
      </w:r>
      <w:r>
        <w:rPr>
          <w:color w:val="231F20"/>
          <w:w w:val="105"/>
        </w:rPr>
        <w:t>de</w:t>
      </w:r>
      <w:r>
        <w:rPr>
          <w:color w:val="231F20"/>
          <w:spacing w:val="-17"/>
          <w:w w:val="105"/>
        </w:rPr>
        <w:t> </w:t>
      </w:r>
      <w:r>
        <w:rPr>
          <w:color w:val="231F20"/>
          <w:w w:val="105"/>
        </w:rPr>
        <w:t>los emigrados</w:t>
      </w:r>
      <w:r>
        <w:rPr>
          <w:color w:val="231F20"/>
          <w:spacing w:val="-29"/>
          <w:w w:val="105"/>
        </w:rPr>
        <w:t> </w:t>
      </w:r>
      <w:r>
        <w:rPr>
          <w:color w:val="231F20"/>
          <w:w w:val="105"/>
        </w:rPr>
        <w:t>(Schejtman</w:t>
      </w:r>
      <w:r>
        <w:rPr>
          <w:color w:val="231F20"/>
          <w:spacing w:val="-29"/>
          <w:w w:val="105"/>
        </w:rPr>
        <w:t> </w:t>
      </w:r>
      <w:r>
        <w:rPr>
          <w:color w:val="231F20"/>
          <w:w w:val="105"/>
        </w:rPr>
        <w:t>y</w:t>
      </w:r>
      <w:r>
        <w:rPr>
          <w:color w:val="231F20"/>
          <w:spacing w:val="-29"/>
          <w:w w:val="105"/>
        </w:rPr>
        <w:t> </w:t>
      </w:r>
      <w:r>
        <w:rPr>
          <w:color w:val="231F20"/>
          <w:w w:val="105"/>
        </w:rPr>
        <w:t>Berdegué,</w:t>
      </w:r>
      <w:r>
        <w:rPr>
          <w:color w:val="231F20"/>
          <w:spacing w:val="-33"/>
          <w:w w:val="105"/>
        </w:rPr>
        <w:t> </w:t>
      </w:r>
      <w:r>
        <w:rPr>
          <w:color w:val="231F20"/>
          <w:w w:val="105"/>
        </w:rPr>
        <w:t>2004).</w:t>
      </w:r>
    </w:p>
    <w:p>
      <w:pPr>
        <w:pStyle w:val="BodyText"/>
        <w:spacing w:line="261" w:lineRule="auto" w:before="1"/>
        <w:ind w:left="1837" w:right="1721" w:firstLine="567"/>
        <w:jc w:val="both"/>
      </w:pPr>
      <w:r>
        <w:rPr>
          <w:color w:val="231F20"/>
          <w:w w:val="105"/>
        </w:rPr>
        <w:t>Los</w:t>
      </w:r>
      <w:r>
        <w:rPr>
          <w:color w:val="231F20"/>
          <w:spacing w:val="-26"/>
          <w:w w:val="105"/>
        </w:rPr>
        <w:t> </w:t>
      </w:r>
      <w:r>
        <w:rPr>
          <w:color w:val="231F20"/>
          <w:w w:val="105"/>
        </w:rPr>
        <w:t>migrantes</w:t>
      </w:r>
      <w:r>
        <w:rPr>
          <w:color w:val="231F20"/>
          <w:spacing w:val="-26"/>
          <w:w w:val="105"/>
        </w:rPr>
        <w:t> </w:t>
      </w:r>
      <w:r>
        <w:rPr>
          <w:color w:val="231F20"/>
          <w:w w:val="105"/>
        </w:rPr>
        <w:t>en</w:t>
      </w:r>
      <w:r>
        <w:rPr>
          <w:color w:val="231F20"/>
          <w:spacing w:val="-26"/>
          <w:w w:val="105"/>
        </w:rPr>
        <w:t> </w:t>
      </w:r>
      <w:r>
        <w:rPr>
          <w:color w:val="231F20"/>
          <w:w w:val="105"/>
        </w:rPr>
        <w:t>ese</w:t>
      </w:r>
      <w:r>
        <w:rPr>
          <w:color w:val="231F20"/>
          <w:spacing w:val="-26"/>
          <w:w w:val="105"/>
        </w:rPr>
        <w:t> </w:t>
      </w:r>
      <w:r>
        <w:rPr>
          <w:color w:val="231F20"/>
          <w:w w:val="105"/>
        </w:rPr>
        <w:t>sentido</w:t>
      </w:r>
      <w:r>
        <w:rPr>
          <w:color w:val="231F20"/>
          <w:spacing w:val="-26"/>
          <w:w w:val="105"/>
        </w:rPr>
        <w:t> </w:t>
      </w:r>
      <w:r>
        <w:rPr>
          <w:color w:val="231F20"/>
          <w:w w:val="105"/>
        </w:rPr>
        <w:t>a</w:t>
      </w:r>
      <w:r>
        <w:rPr>
          <w:color w:val="231F20"/>
          <w:spacing w:val="-26"/>
          <w:w w:val="105"/>
        </w:rPr>
        <w:t> </w:t>
      </w:r>
      <w:r>
        <w:rPr>
          <w:color w:val="231F20"/>
          <w:w w:val="105"/>
        </w:rPr>
        <w:t>través</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remesas</w:t>
      </w:r>
      <w:r>
        <w:rPr>
          <w:color w:val="231F20"/>
          <w:spacing w:val="-26"/>
          <w:w w:val="105"/>
        </w:rPr>
        <w:t> </w:t>
      </w:r>
      <w:r>
        <w:rPr>
          <w:color w:val="231F20"/>
          <w:w w:val="105"/>
        </w:rPr>
        <w:t>se</w:t>
      </w:r>
      <w:r>
        <w:rPr>
          <w:color w:val="231F20"/>
          <w:spacing w:val="-26"/>
          <w:w w:val="105"/>
        </w:rPr>
        <w:t> </w:t>
      </w:r>
      <w:r>
        <w:rPr>
          <w:color w:val="231F20"/>
          <w:w w:val="105"/>
        </w:rPr>
        <w:t>convierten en agentes dinamizadores de sus territorios de origen, también desde una perspectiva optimista pueden fomentar la organización de clubes como</w:t>
      </w:r>
      <w:r>
        <w:rPr>
          <w:color w:val="231F20"/>
          <w:spacing w:val="-17"/>
          <w:w w:val="105"/>
        </w:rPr>
        <w:t> </w:t>
      </w:r>
      <w:r>
        <w:rPr>
          <w:color w:val="231F20"/>
          <w:w w:val="105"/>
        </w:rPr>
        <w:t>mecanismo</w:t>
      </w:r>
      <w:r>
        <w:rPr>
          <w:color w:val="231F20"/>
          <w:spacing w:val="-17"/>
          <w:w w:val="105"/>
        </w:rPr>
        <w:t> </w:t>
      </w:r>
      <w:r>
        <w:rPr>
          <w:color w:val="231F20"/>
          <w:w w:val="105"/>
        </w:rPr>
        <w:t>de</w:t>
      </w:r>
      <w:r>
        <w:rPr>
          <w:color w:val="231F20"/>
          <w:spacing w:val="-17"/>
          <w:w w:val="105"/>
        </w:rPr>
        <w:t> </w:t>
      </w:r>
      <w:r>
        <w:rPr>
          <w:color w:val="231F20"/>
          <w:w w:val="105"/>
        </w:rPr>
        <w:t>fortalecimiento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cohesión</w:t>
      </w:r>
      <w:r>
        <w:rPr>
          <w:color w:val="231F20"/>
          <w:spacing w:val="-17"/>
          <w:w w:val="105"/>
        </w:rPr>
        <w:t> </w:t>
      </w:r>
      <w:r>
        <w:rPr>
          <w:color w:val="231F20"/>
          <w:w w:val="105"/>
        </w:rPr>
        <w:t>social,</w:t>
      </w:r>
      <w:r>
        <w:rPr>
          <w:color w:val="231F20"/>
          <w:spacing w:val="-24"/>
          <w:w w:val="105"/>
        </w:rPr>
        <w:t> </w:t>
      </w:r>
      <w:r>
        <w:rPr>
          <w:color w:val="231F20"/>
          <w:w w:val="105"/>
        </w:rPr>
        <w:t>pueden</w:t>
      </w:r>
      <w:r>
        <w:rPr>
          <w:color w:val="231F20"/>
          <w:spacing w:val="-17"/>
          <w:w w:val="105"/>
        </w:rPr>
        <w:t> </w:t>
      </w:r>
      <w:r>
        <w:rPr>
          <w:color w:val="231F20"/>
          <w:w w:val="105"/>
        </w:rPr>
        <w:t>retro- alimentar</w:t>
      </w:r>
      <w:r>
        <w:rPr>
          <w:color w:val="231F20"/>
          <w:spacing w:val="-30"/>
          <w:w w:val="105"/>
        </w:rPr>
        <w:t> </w:t>
      </w:r>
      <w:r>
        <w:rPr>
          <w:color w:val="231F20"/>
          <w:w w:val="105"/>
        </w:rPr>
        <w:t>información</w:t>
      </w:r>
      <w:r>
        <w:rPr>
          <w:color w:val="231F20"/>
          <w:spacing w:val="-30"/>
          <w:w w:val="105"/>
        </w:rPr>
        <w:t> </w:t>
      </w:r>
      <w:r>
        <w:rPr>
          <w:color w:val="231F20"/>
          <w:w w:val="105"/>
        </w:rPr>
        <w:t>a</w:t>
      </w:r>
      <w:r>
        <w:rPr>
          <w:color w:val="231F20"/>
          <w:spacing w:val="-30"/>
          <w:w w:val="105"/>
        </w:rPr>
        <w:t> </w:t>
      </w:r>
      <w:r>
        <w:rPr>
          <w:color w:val="231F20"/>
          <w:w w:val="105"/>
        </w:rPr>
        <w:t>través</w:t>
      </w:r>
      <w:r>
        <w:rPr>
          <w:color w:val="231F20"/>
          <w:spacing w:val="-30"/>
          <w:w w:val="105"/>
        </w:rPr>
        <w:t> </w:t>
      </w:r>
      <w:r>
        <w:rPr>
          <w:color w:val="231F20"/>
          <w:w w:val="105"/>
        </w:rPr>
        <w:t>de</w:t>
      </w:r>
      <w:r>
        <w:rPr>
          <w:color w:val="231F20"/>
          <w:spacing w:val="-30"/>
          <w:w w:val="105"/>
        </w:rPr>
        <w:t> </w:t>
      </w:r>
      <w:r>
        <w:rPr>
          <w:color w:val="231F20"/>
          <w:w w:val="105"/>
        </w:rPr>
        <w:t>plataformas</w:t>
      </w:r>
      <w:r>
        <w:rPr>
          <w:color w:val="231F20"/>
          <w:spacing w:val="-30"/>
          <w:w w:val="105"/>
        </w:rPr>
        <w:t> </w:t>
      </w:r>
      <w:r>
        <w:rPr>
          <w:color w:val="231F20"/>
          <w:w w:val="105"/>
        </w:rPr>
        <w:t>virtuales</w:t>
      </w:r>
      <w:r>
        <w:rPr>
          <w:color w:val="231F20"/>
          <w:spacing w:val="-30"/>
          <w:w w:val="105"/>
        </w:rPr>
        <w:t> </w:t>
      </w:r>
      <w:r>
        <w:rPr>
          <w:color w:val="231F20"/>
          <w:w w:val="105"/>
        </w:rPr>
        <w:t>de</w:t>
      </w:r>
      <w:r>
        <w:rPr>
          <w:color w:val="231F20"/>
          <w:spacing w:val="-30"/>
          <w:w w:val="105"/>
        </w:rPr>
        <w:t> </w:t>
      </w:r>
      <w:r>
        <w:rPr>
          <w:color w:val="231F20"/>
          <w:w w:val="105"/>
        </w:rPr>
        <w:t>redes</w:t>
      </w:r>
      <w:r>
        <w:rPr>
          <w:color w:val="231F20"/>
          <w:spacing w:val="-30"/>
          <w:w w:val="105"/>
        </w:rPr>
        <w:t> </w:t>
      </w:r>
      <w:r>
        <w:rPr>
          <w:color w:val="231F20"/>
          <w:w w:val="105"/>
        </w:rPr>
        <w:t>sociales; y</w:t>
      </w:r>
      <w:r>
        <w:rPr>
          <w:color w:val="231F20"/>
          <w:spacing w:val="-21"/>
          <w:w w:val="105"/>
        </w:rPr>
        <w:t> </w:t>
      </w:r>
      <w:r>
        <w:rPr>
          <w:color w:val="231F20"/>
          <w:w w:val="105"/>
        </w:rPr>
        <w:t>demandar</w:t>
      </w:r>
      <w:r>
        <w:rPr>
          <w:color w:val="231F20"/>
          <w:spacing w:val="-21"/>
          <w:w w:val="105"/>
        </w:rPr>
        <w:t> </w:t>
      </w:r>
      <w:r>
        <w:rPr>
          <w:color w:val="231F20"/>
          <w:w w:val="105"/>
        </w:rPr>
        <w:t>más</w:t>
      </w:r>
      <w:r>
        <w:rPr>
          <w:color w:val="231F20"/>
          <w:spacing w:val="-21"/>
          <w:w w:val="105"/>
        </w:rPr>
        <w:t> </w:t>
      </w:r>
      <w:r>
        <w:rPr>
          <w:color w:val="231F20"/>
          <w:w w:val="105"/>
        </w:rPr>
        <w:t>y</w:t>
      </w:r>
      <w:r>
        <w:rPr>
          <w:color w:val="231F20"/>
          <w:spacing w:val="-21"/>
          <w:w w:val="105"/>
        </w:rPr>
        <w:t> </w:t>
      </w:r>
      <w:r>
        <w:rPr>
          <w:color w:val="231F20"/>
          <w:w w:val="105"/>
        </w:rPr>
        <w:t>mejores</w:t>
      </w:r>
      <w:r>
        <w:rPr>
          <w:color w:val="231F20"/>
          <w:spacing w:val="-21"/>
          <w:w w:val="105"/>
        </w:rPr>
        <w:t> </w:t>
      </w:r>
      <w:r>
        <w:rPr>
          <w:color w:val="231F20"/>
          <w:w w:val="105"/>
        </w:rPr>
        <w:t>servicios</w:t>
      </w:r>
      <w:r>
        <w:rPr>
          <w:color w:val="231F20"/>
          <w:spacing w:val="-21"/>
          <w:w w:val="105"/>
        </w:rPr>
        <w:t> </w:t>
      </w:r>
      <w:r>
        <w:rPr>
          <w:color w:val="231F20"/>
          <w:w w:val="105"/>
        </w:rPr>
        <w:t>financieros</w:t>
      </w:r>
      <w:r>
        <w:rPr>
          <w:color w:val="231F20"/>
          <w:spacing w:val="-21"/>
          <w:w w:val="105"/>
        </w:rPr>
        <w:t> </w:t>
      </w:r>
      <w:r>
        <w:rPr>
          <w:color w:val="231F20"/>
          <w:w w:val="105"/>
        </w:rPr>
        <w:t>que</w:t>
      </w:r>
      <w:r>
        <w:rPr>
          <w:color w:val="231F20"/>
          <w:spacing w:val="-21"/>
          <w:w w:val="105"/>
        </w:rPr>
        <w:t> </w:t>
      </w:r>
      <w:r>
        <w:rPr>
          <w:color w:val="231F20"/>
          <w:w w:val="105"/>
        </w:rPr>
        <w:t>modernicen</w:t>
      </w:r>
      <w:r>
        <w:rPr>
          <w:color w:val="231F20"/>
          <w:spacing w:val="-21"/>
          <w:w w:val="105"/>
        </w:rPr>
        <w:t> </w:t>
      </w:r>
      <w:r>
        <w:rPr>
          <w:color w:val="231F20"/>
          <w:w w:val="105"/>
        </w:rPr>
        <w:t>los</w:t>
      </w:r>
      <w:r>
        <w:rPr>
          <w:color w:val="231F20"/>
          <w:spacing w:val="-21"/>
          <w:w w:val="105"/>
        </w:rPr>
        <w:t> </w:t>
      </w:r>
      <w:r>
        <w:rPr>
          <w:color w:val="231F20"/>
          <w:w w:val="105"/>
        </w:rPr>
        <w:t>ser- vicios</w:t>
      </w:r>
      <w:r>
        <w:rPr>
          <w:color w:val="231F20"/>
          <w:spacing w:val="-24"/>
          <w:w w:val="105"/>
        </w:rPr>
        <w:t> </w:t>
      </w:r>
      <w:r>
        <w:rPr>
          <w:color w:val="231F20"/>
          <w:w w:val="105"/>
        </w:rPr>
        <w:t>actuales</w:t>
      </w:r>
      <w:r>
        <w:rPr>
          <w:color w:val="231F20"/>
          <w:spacing w:val="-24"/>
          <w:w w:val="105"/>
        </w:rPr>
        <w:t> </w:t>
      </w:r>
      <w:r>
        <w:rPr>
          <w:color w:val="231F20"/>
          <w:w w:val="105"/>
        </w:rPr>
        <w:t>de</w:t>
      </w:r>
      <w:r>
        <w:rPr>
          <w:color w:val="231F20"/>
          <w:spacing w:val="-24"/>
          <w:w w:val="105"/>
        </w:rPr>
        <w:t> </w:t>
      </w:r>
      <w:r>
        <w:rPr>
          <w:color w:val="231F20"/>
          <w:w w:val="105"/>
        </w:rPr>
        <w:t>su</w:t>
      </w:r>
      <w:r>
        <w:rPr>
          <w:color w:val="231F20"/>
          <w:spacing w:val="-24"/>
          <w:w w:val="105"/>
        </w:rPr>
        <w:t> </w:t>
      </w:r>
      <w:r>
        <w:rPr>
          <w:color w:val="231F20"/>
          <w:w w:val="105"/>
        </w:rPr>
        <w:t>terruño.</w:t>
      </w:r>
    </w:p>
    <w:p>
      <w:pPr>
        <w:pStyle w:val="BodyText"/>
        <w:spacing w:line="261" w:lineRule="auto" w:before="1"/>
        <w:ind w:left="1837" w:right="1715" w:firstLine="567"/>
        <w:jc w:val="both"/>
      </w:pPr>
      <w:r>
        <w:rPr>
          <w:color w:val="231F20"/>
          <w:w w:val="105"/>
        </w:rPr>
        <w:t>Estas</w:t>
      </w:r>
      <w:r>
        <w:rPr>
          <w:color w:val="231F20"/>
          <w:spacing w:val="-20"/>
          <w:w w:val="105"/>
        </w:rPr>
        <w:t> </w:t>
      </w:r>
      <w:r>
        <w:rPr>
          <w:color w:val="231F20"/>
          <w:w w:val="105"/>
        </w:rPr>
        <w:t>acciones</w:t>
      </w:r>
      <w:r>
        <w:rPr>
          <w:color w:val="231F20"/>
          <w:spacing w:val="-20"/>
          <w:w w:val="105"/>
        </w:rPr>
        <w:t> </w:t>
      </w:r>
      <w:r>
        <w:rPr>
          <w:color w:val="231F20"/>
          <w:w w:val="105"/>
        </w:rPr>
        <w:t>paradójicamente</w:t>
      </w:r>
      <w:r>
        <w:rPr>
          <w:color w:val="231F20"/>
          <w:spacing w:val="-20"/>
          <w:w w:val="105"/>
        </w:rPr>
        <w:t> </w:t>
      </w:r>
      <w:r>
        <w:rPr>
          <w:color w:val="231F20"/>
          <w:w w:val="105"/>
        </w:rPr>
        <w:t>no</w:t>
      </w:r>
      <w:r>
        <w:rPr>
          <w:color w:val="231F20"/>
          <w:spacing w:val="-20"/>
          <w:w w:val="105"/>
        </w:rPr>
        <w:t> </w:t>
      </w:r>
      <w:r>
        <w:rPr>
          <w:color w:val="231F20"/>
          <w:w w:val="105"/>
        </w:rPr>
        <w:t>dejan</w:t>
      </w:r>
      <w:r>
        <w:rPr>
          <w:color w:val="231F20"/>
          <w:spacing w:val="-20"/>
          <w:w w:val="105"/>
        </w:rPr>
        <w:t> </w:t>
      </w:r>
      <w:r>
        <w:rPr>
          <w:color w:val="231F20"/>
          <w:w w:val="105"/>
        </w:rPr>
        <w:t>de</w:t>
      </w:r>
      <w:r>
        <w:rPr>
          <w:color w:val="231F20"/>
          <w:spacing w:val="-20"/>
          <w:w w:val="105"/>
        </w:rPr>
        <w:t> </w:t>
      </w:r>
      <w:r>
        <w:rPr>
          <w:color w:val="231F20"/>
          <w:w w:val="105"/>
        </w:rPr>
        <w:t>tener</w:t>
      </w:r>
      <w:r>
        <w:rPr>
          <w:color w:val="231F20"/>
          <w:spacing w:val="-20"/>
          <w:w w:val="105"/>
        </w:rPr>
        <w:t> </w:t>
      </w:r>
      <w:r>
        <w:rPr>
          <w:color w:val="231F20"/>
          <w:w w:val="105"/>
        </w:rPr>
        <w:t>una</w:t>
      </w:r>
      <w:r>
        <w:rPr>
          <w:color w:val="231F20"/>
          <w:spacing w:val="-20"/>
          <w:w w:val="105"/>
        </w:rPr>
        <w:t> </w:t>
      </w:r>
      <w:r>
        <w:rPr>
          <w:color w:val="231F20"/>
          <w:w w:val="105"/>
        </w:rPr>
        <w:t>ambivalen- cia</w:t>
      </w:r>
      <w:r>
        <w:rPr>
          <w:color w:val="231F20"/>
          <w:spacing w:val="-15"/>
          <w:w w:val="105"/>
        </w:rPr>
        <w:t> </w:t>
      </w:r>
      <w:r>
        <w:rPr>
          <w:color w:val="231F20"/>
          <w:w w:val="105"/>
        </w:rPr>
        <w:t>con</w:t>
      </w:r>
      <w:r>
        <w:rPr>
          <w:color w:val="231F20"/>
          <w:spacing w:val="-15"/>
          <w:w w:val="105"/>
        </w:rPr>
        <w:t> </w:t>
      </w:r>
      <w:r>
        <w:rPr>
          <w:color w:val="231F20"/>
          <w:w w:val="105"/>
        </w:rPr>
        <w:t>respecto</w:t>
      </w:r>
      <w:r>
        <w:rPr>
          <w:color w:val="231F20"/>
          <w:spacing w:val="-15"/>
          <w:w w:val="105"/>
        </w:rPr>
        <w:t> </w:t>
      </w:r>
      <w:r>
        <w:rPr>
          <w:color w:val="231F20"/>
          <w:w w:val="105"/>
        </w:rPr>
        <w:t>al</w:t>
      </w:r>
      <w:r>
        <w:rPr>
          <w:color w:val="231F20"/>
          <w:spacing w:val="-15"/>
          <w:w w:val="105"/>
        </w:rPr>
        <w:t> </w:t>
      </w:r>
      <w:r>
        <w:rPr>
          <w:color w:val="231F20"/>
          <w:w w:val="105"/>
        </w:rPr>
        <w:t>desarrollo</w:t>
      </w:r>
      <w:r>
        <w:rPr>
          <w:color w:val="231F20"/>
          <w:spacing w:val="-15"/>
          <w:w w:val="105"/>
        </w:rPr>
        <w:t> </w:t>
      </w:r>
      <w:r>
        <w:rPr>
          <w:color w:val="231F20"/>
          <w:w w:val="105"/>
        </w:rPr>
        <w:t>territorial,</w:t>
      </w:r>
      <w:r>
        <w:rPr>
          <w:color w:val="231F20"/>
          <w:spacing w:val="-20"/>
          <w:w w:val="105"/>
        </w:rPr>
        <w:t> </w:t>
      </w:r>
      <w:r>
        <w:rPr>
          <w:color w:val="231F20"/>
          <w:w w:val="105"/>
        </w:rPr>
        <w:t>ya</w:t>
      </w:r>
      <w:r>
        <w:rPr>
          <w:color w:val="231F20"/>
          <w:spacing w:val="-15"/>
          <w:w w:val="105"/>
        </w:rPr>
        <w:t> </w:t>
      </w:r>
      <w:r>
        <w:rPr>
          <w:color w:val="231F20"/>
          <w:w w:val="105"/>
        </w:rPr>
        <w:t>que</w:t>
      </w:r>
      <w:r>
        <w:rPr>
          <w:color w:val="231F20"/>
          <w:spacing w:val="-15"/>
          <w:w w:val="105"/>
        </w:rPr>
        <w:t> </w:t>
      </w:r>
      <w:r>
        <w:rPr>
          <w:color w:val="231F20"/>
          <w:w w:val="105"/>
        </w:rPr>
        <w:t>la</w:t>
      </w:r>
      <w:r>
        <w:rPr>
          <w:color w:val="231F20"/>
          <w:spacing w:val="-15"/>
          <w:w w:val="105"/>
        </w:rPr>
        <w:t> </w:t>
      </w:r>
      <w:r>
        <w:rPr>
          <w:color w:val="231F20"/>
          <w:w w:val="105"/>
        </w:rPr>
        <w:t>migración</w:t>
      </w:r>
      <w:r>
        <w:rPr>
          <w:color w:val="231F20"/>
          <w:spacing w:val="-15"/>
          <w:w w:val="105"/>
        </w:rPr>
        <w:t> </w:t>
      </w:r>
      <w:r>
        <w:rPr>
          <w:color w:val="231F20"/>
          <w:w w:val="105"/>
        </w:rPr>
        <w:t>es</w:t>
      </w:r>
      <w:r>
        <w:rPr>
          <w:color w:val="231F20"/>
          <w:spacing w:val="-15"/>
          <w:w w:val="105"/>
        </w:rPr>
        <w:t> </w:t>
      </w:r>
      <w:r>
        <w:rPr>
          <w:color w:val="231F20"/>
          <w:w w:val="105"/>
        </w:rPr>
        <w:t>selectiva, en tanto quienes mayormente emigran son los mejor calificados y con mayores</w:t>
      </w:r>
      <w:r>
        <w:rPr>
          <w:color w:val="231F20"/>
          <w:spacing w:val="-5"/>
          <w:w w:val="105"/>
        </w:rPr>
        <w:t> </w:t>
      </w:r>
      <w:r>
        <w:rPr>
          <w:color w:val="231F20"/>
          <w:w w:val="105"/>
        </w:rPr>
        <w:t>niveles</w:t>
      </w:r>
      <w:r>
        <w:rPr>
          <w:color w:val="231F20"/>
          <w:spacing w:val="-5"/>
          <w:w w:val="105"/>
        </w:rPr>
        <w:t> </w:t>
      </w:r>
      <w:r>
        <w:rPr>
          <w:color w:val="231F20"/>
          <w:w w:val="105"/>
        </w:rPr>
        <w:t>educativos.</w:t>
      </w:r>
      <w:r>
        <w:rPr>
          <w:color w:val="231F20"/>
          <w:spacing w:val="-10"/>
          <w:w w:val="105"/>
        </w:rPr>
        <w:t> </w:t>
      </w:r>
      <w:r>
        <w:rPr>
          <w:color w:val="231F20"/>
          <w:w w:val="105"/>
        </w:rPr>
        <w:t>Como</w:t>
      </w:r>
      <w:r>
        <w:rPr>
          <w:color w:val="231F20"/>
          <w:spacing w:val="-5"/>
          <w:w w:val="105"/>
        </w:rPr>
        <w:t> </w:t>
      </w:r>
      <w:r>
        <w:rPr>
          <w:color w:val="231F20"/>
          <w:w w:val="105"/>
        </w:rPr>
        <w:t>consecuencia</w:t>
      </w:r>
      <w:r>
        <w:rPr>
          <w:color w:val="231F20"/>
          <w:spacing w:val="-5"/>
          <w:w w:val="105"/>
        </w:rPr>
        <w:t> </w:t>
      </w:r>
      <w:r>
        <w:rPr>
          <w:color w:val="231F20"/>
          <w:w w:val="105"/>
        </w:rPr>
        <w:t>de</w:t>
      </w:r>
      <w:r>
        <w:rPr>
          <w:color w:val="231F20"/>
          <w:spacing w:val="-5"/>
          <w:w w:val="105"/>
        </w:rPr>
        <w:t> </w:t>
      </w:r>
      <w:r>
        <w:rPr>
          <w:color w:val="231F20"/>
          <w:w w:val="105"/>
        </w:rPr>
        <w:t>lo</w:t>
      </w:r>
      <w:r>
        <w:rPr>
          <w:color w:val="231F20"/>
          <w:spacing w:val="-5"/>
          <w:w w:val="105"/>
        </w:rPr>
        <w:t> </w:t>
      </w:r>
      <w:r>
        <w:rPr>
          <w:color w:val="231F20"/>
          <w:w w:val="105"/>
        </w:rPr>
        <w:t>anterior</w:t>
      </w:r>
      <w:r>
        <w:rPr>
          <w:color w:val="231F20"/>
          <w:spacing w:val="-5"/>
          <w:w w:val="105"/>
        </w:rPr>
        <w:t> </w:t>
      </w:r>
      <w:r>
        <w:rPr>
          <w:color w:val="231F20"/>
          <w:w w:val="105"/>
        </w:rPr>
        <w:t>se</w:t>
      </w:r>
      <w:r>
        <w:rPr>
          <w:color w:val="231F20"/>
          <w:spacing w:val="-5"/>
          <w:w w:val="105"/>
        </w:rPr>
        <w:t> </w:t>
      </w:r>
      <w:r>
        <w:rPr>
          <w:color w:val="231F20"/>
          <w:w w:val="105"/>
        </w:rPr>
        <w:t>pue- den desestructurar los núcleos familiares y quedan muchos territorios con</w:t>
      </w:r>
      <w:r>
        <w:rPr>
          <w:color w:val="231F20"/>
          <w:spacing w:val="-10"/>
          <w:w w:val="105"/>
        </w:rPr>
        <w:t> </w:t>
      </w:r>
      <w:r>
        <w:rPr>
          <w:color w:val="231F20"/>
          <w:w w:val="105"/>
        </w:rPr>
        <w:t>una</w:t>
      </w:r>
      <w:r>
        <w:rPr>
          <w:color w:val="231F20"/>
          <w:spacing w:val="-10"/>
          <w:w w:val="105"/>
        </w:rPr>
        <w:t> </w:t>
      </w:r>
      <w:r>
        <w:rPr>
          <w:color w:val="231F20"/>
          <w:w w:val="105"/>
        </w:rPr>
        <w:t>muy</w:t>
      </w:r>
      <w:r>
        <w:rPr>
          <w:color w:val="231F20"/>
          <w:spacing w:val="-10"/>
          <w:w w:val="105"/>
        </w:rPr>
        <w:t> </w:t>
      </w:r>
      <w:r>
        <w:rPr>
          <w:color w:val="231F20"/>
          <w:w w:val="105"/>
        </w:rPr>
        <w:t>alta</w:t>
      </w:r>
      <w:r>
        <w:rPr>
          <w:color w:val="231F20"/>
          <w:spacing w:val="-10"/>
          <w:w w:val="105"/>
        </w:rPr>
        <w:t> </w:t>
      </w:r>
      <w:r>
        <w:rPr>
          <w:color w:val="231F20"/>
          <w:w w:val="105"/>
        </w:rPr>
        <w:t>proporción</w:t>
      </w:r>
      <w:r>
        <w:rPr>
          <w:color w:val="231F20"/>
          <w:spacing w:val="-10"/>
          <w:w w:val="105"/>
        </w:rPr>
        <w:t> </w:t>
      </w:r>
      <w:r>
        <w:rPr>
          <w:color w:val="231F20"/>
          <w:w w:val="105"/>
        </w:rPr>
        <w:t>de</w:t>
      </w:r>
      <w:r>
        <w:rPr>
          <w:color w:val="231F20"/>
          <w:spacing w:val="-10"/>
          <w:w w:val="105"/>
        </w:rPr>
        <w:t> </w:t>
      </w:r>
      <w:r>
        <w:rPr>
          <w:color w:val="231F20"/>
          <w:w w:val="105"/>
        </w:rPr>
        <w:t>mujeres,</w:t>
      </w:r>
      <w:r>
        <w:rPr>
          <w:color w:val="231F20"/>
          <w:spacing w:val="-16"/>
          <w:w w:val="105"/>
        </w:rPr>
        <w:t> </w:t>
      </w:r>
      <w:r>
        <w:rPr>
          <w:color w:val="231F20"/>
          <w:w w:val="105"/>
        </w:rPr>
        <w:t>ancianos</w:t>
      </w:r>
      <w:r>
        <w:rPr>
          <w:color w:val="231F20"/>
          <w:spacing w:val="-10"/>
          <w:w w:val="105"/>
        </w:rPr>
        <w:t> </w:t>
      </w:r>
      <w:r>
        <w:rPr>
          <w:color w:val="231F20"/>
          <w:w w:val="105"/>
        </w:rPr>
        <w:t>y</w:t>
      </w:r>
      <w:r>
        <w:rPr>
          <w:color w:val="231F20"/>
          <w:spacing w:val="-10"/>
          <w:w w:val="105"/>
        </w:rPr>
        <w:t> </w:t>
      </w:r>
      <w:r>
        <w:rPr>
          <w:color w:val="231F20"/>
          <w:w w:val="105"/>
        </w:rPr>
        <w:t>niños</w:t>
      </w:r>
      <w:r>
        <w:rPr>
          <w:color w:val="231F20"/>
          <w:spacing w:val="-10"/>
          <w:w w:val="105"/>
        </w:rPr>
        <w:t> </w:t>
      </w:r>
      <w:r>
        <w:rPr>
          <w:color w:val="231F20"/>
          <w:w w:val="105"/>
        </w:rPr>
        <w:t>(Schejtman</w:t>
      </w:r>
      <w:r>
        <w:rPr>
          <w:color w:val="231F20"/>
          <w:spacing w:val="-10"/>
          <w:w w:val="105"/>
        </w:rPr>
        <w:t> </w:t>
      </w:r>
      <w:r>
        <w:rPr>
          <w:color w:val="231F20"/>
          <w:w w:val="105"/>
        </w:rPr>
        <w:t>y Berdegué,</w:t>
      </w:r>
      <w:r>
        <w:rPr>
          <w:color w:val="231F20"/>
          <w:spacing w:val="-43"/>
          <w:w w:val="105"/>
        </w:rPr>
        <w:t> </w:t>
      </w:r>
      <w:r>
        <w:rPr>
          <w:color w:val="231F20"/>
          <w:w w:val="105"/>
        </w:rPr>
        <w:t>2004).</w:t>
      </w:r>
    </w:p>
    <w:p>
      <w:pPr>
        <w:pStyle w:val="BodyText"/>
        <w:spacing w:line="261" w:lineRule="auto" w:before="1"/>
        <w:ind w:left="1837" w:right="1721" w:firstLine="567"/>
        <w:jc w:val="both"/>
      </w:pPr>
      <w:r>
        <w:rPr>
          <w:color w:val="231F20"/>
          <w:spacing w:val="-6"/>
          <w:w w:val="105"/>
        </w:rPr>
        <w:t>Por</w:t>
      </w:r>
      <w:r>
        <w:rPr>
          <w:color w:val="231F20"/>
          <w:spacing w:val="-21"/>
          <w:w w:val="105"/>
        </w:rPr>
        <w:t> </w:t>
      </w:r>
      <w:r>
        <w:rPr>
          <w:color w:val="231F20"/>
          <w:w w:val="105"/>
        </w:rPr>
        <w:t>ello</w:t>
      </w:r>
      <w:r>
        <w:rPr>
          <w:color w:val="231F20"/>
          <w:spacing w:val="-21"/>
          <w:w w:val="105"/>
        </w:rPr>
        <w:t> </w:t>
      </w:r>
      <w:r>
        <w:rPr>
          <w:color w:val="231F20"/>
          <w:w w:val="105"/>
        </w:rPr>
        <w:t>se</w:t>
      </w:r>
      <w:r>
        <w:rPr>
          <w:color w:val="231F20"/>
          <w:spacing w:val="-21"/>
          <w:w w:val="105"/>
        </w:rPr>
        <w:t> </w:t>
      </w:r>
      <w:r>
        <w:rPr>
          <w:color w:val="231F20"/>
          <w:w w:val="105"/>
        </w:rPr>
        <w:t>requiere</w:t>
      </w:r>
      <w:r>
        <w:rPr>
          <w:color w:val="231F20"/>
          <w:spacing w:val="-21"/>
          <w:w w:val="105"/>
        </w:rPr>
        <w:t> </w:t>
      </w:r>
      <w:r>
        <w:rPr>
          <w:color w:val="231F20"/>
          <w:w w:val="105"/>
        </w:rPr>
        <w:t>buscar</w:t>
      </w:r>
      <w:r>
        <w:rPr>
          <w:color w:val="231F20"/>
          <w:spacing w:val="-21"/>
          <w:w w:val="105"/>
        </w:rPr>
        <w:t> </w:t>
      </w:r>
      <w:r>
        <w:rPr>
          <w:color w:val="231F20"/>
          <w:w w:val="105"/>
        </w:rPr>
        <w:t>alternativas</w:t>
      </w:r>
      <w:r>
        <w:rPr>
          <w:color w:val="231F20"/>
          <w:spacing w:val="-21"/>
          <w:w w:val="105"/>
        </w:rPr>
        <w:t> </w:t>
      </w:r>
      <w:r>
        <w:rPr>
          <w:color w:val="231F20"/>
          <w:w w:val="105"/>
        </w:rPr>
        <w:t>para</w:t>
      </w:r>
      <w:r>
        <w:rPr>
          <w:color w:val="231F20"/>
          <w:spacing w:val="-21"/>
          <w:w w:val="105"/>
        </w:rPr>
        <w:t> </w:t>
      </w:r>
      <w:r>
        <w:rPr>
          <w:color w:val="231F20"/>
          <w:w w:val="105"/>
        </w:rPr>
        <w:t>involucrar</w:t>
      </w:r>
      <w:r>
        <w:rPr>
          <w:color w:val="231F20"/>
          <w:spacing w:val="-21"/>
          <w:w w:val="105"/>
        </w:rPr>
        <w:t> </w:t>
      </w:r>
      <w:r>
        <w:rPr>
          <w:color w:val="231F20"/>
          <w:w w:val="105"/>
        </w:rPr>
        <w:t>al</w:t>
      </w:r>
      <w:r>
        <w:rPr>
          <w:color w:val="231F20"/>
          <w:spacing w:val="-21"/>
          <w:w w:val="105"/>
        </w:rPr>
        <w:t> </w:t>
      </w:r>
      <w:r>
        <w:rPr>
          <w:color w:val="231F20"/>
          <w:w w:val="105"/>
        </w:rPr>
        <w:t>emigrado común</w:t>
      </w:r>
      <w:r>
        <w:rPr>
          <w:color w:val="231F20"/>
          <w:spacing w:val="-15"/>
          <w:w w:val="105"/>
        </w:rPr>
        <w:t> </w:t>
      </w:r>
      <w:r>
        <w:rPr>
          <w:color w:val="231F20"/>
          <w:w w:val="105"/>
        </w:rPr>
        <w:t>en</w:t>
      </w:r>
      <w:r>
        <w:rPr>
          <w:color w:val="231F20"/>
          <w:spacing w:val="-15"/>
          <w:w w:val="105"/>
        </w:rPr>
        <w:t> </w:t>
      </w:r>
      <w:r>
        <w:rPr>
          <w:color w:val="231F20"/>
          <w:w w:val="105"/>
        </w:rPr>
        <w:t>proyectos</w:t>
      </w:r>
      <w:r>
        <w:rPr>
          <w:color w:val="231F20"/>
          <w:spacing w:val="-15"/>
          <w:w w:val="105"/>
        </w:rPr>
        <w:t> </w:t>
      </w:r>
      <w:r>
        <w:rPr>
          <w:color w:val="231F20"/>
          <w:w w:val="105"/>
        </w:rPr>
        <w:t>productivos,</w:t>
      </w:r>
      <w:r>
        <w:rPr>
          <w:color w:val="231F20"/>
          <w:spacing w:val="-20"/>
          <w:w w:val="105"/>
        </w:rPr>
        <w:t> </w:t>
      </w:r>
      <w:r>
        <w:rPr>
          <w:color w:val="231F20"/>
          <w:w w:val="105"/>
        </w:rPr>
        <w:t>ya</w:t>
      </w:r>
      <w:r>
        <w:rPr>
          <w:color w:val="231F20"/>
          <w:spacing w:val="-15"/>
          <w:w w:val="105"/>
        </w:rPr>
        <w:t> </w:t>
      </w:r>
      <w:r>
        <w:rPr>
          <w:color w:val="231F20"/>
          <w:w w:val="105"/>
        </w:rPr>
        <w:t>sea</w:t>
      </w:r>
      <w:r>
        <w:rPr>
          <w:color w:val="231F20"/>
          <w:spacing w:val="-15"/>
          <w:w w:val="105"/>
        </w:rPr>
        <w:t> </w:t>
      </w:r>
      <w:r>
        <w:rPr>
          <w:color w:val="231F20"/>
          <w:w w:val="105"/>
        </w:rPr>
        <w:t>en</w:t>
      </w:r>
      <w:r>
        <w:rPr>
          <w:color w:val="231F20"/>
          <w:spacing w:val="-15"/>
          <w:w w:val="105"/>
        </w:rPr>
        <w:t> </w:t>
      </w:r>
      <w:r>
        <w:rPr>
          <w:color w:val="231F20"/>
          <w:w w:val="105"/>
        </w:rPr>
        <w:t>forma</w:t>
      </w:r>
      <w:r>
        <w:rPr>
          <w:color w:val="231F20"/>
          <w:spacing w:val="-15"/>
          <w:w w:val="105"/>
        </w:rPr>
        <w:t> </w:t>
      </w:r>
      <w:r>
        <w:rPr>
          <w:color w:val="231F20"/>
          <w:w w:val="105"/>
        </w:rPr>
        <w:t>de</w:t>
      </w:r>
      <w:r>
        <w:rPr>
          <w:color w:val="231F20"/>
          <w:spacing w:val="-15"/>
          <w:w w:val="105"/>
        </w:rPr>
        <w:t> </w:t>
      </w:r>
      <w:r>
        <w:rPr>
          <w:color w:val="231F20"/>
          <w:w w:val="105"/>
        </w:rPr>
        <w:t>inversionista</w:t>
      </w:r>
      <w:r>
        <w:rPr>
          <w:color w:val="231F20"/>
          <w:spacing w:val="-15"/>
          <w:w w:val="105"/>
        </w:rPr>
        <w:t> </w:t>
      </w:r>
      <w:r>
        <w:rPr>
          <w:color w:val="231F20"/>
          <w:w w:val="105"/>
        </w:rPr>
        <w:t>direc- ta o por medio de fondos de inversión. </w:t>
      </w:r>
      <w:r>
        <w:rPr>
          <w:color w:val="231F20"/>
          <w:spacing w:val="-4"/>
          <w:w w:val="105"/>
        </w:rPr>
        <w:t>Para </w:t>
      </w:r>
      <w:r>
        <w:rPr>
          <w:color w:val="231F20"/>
          <w:w w:val="105"/>
        </w:rPr>
        <w:t>esto sería importante ofre- cerles</w:t>
      </w:r>
      <w:r>
        <w:rPr>
          <w:color w:val="231F20"/>
          <w:spacing w:val="-17"/>
          <w:w w:val="105"/>
        </w:rPr>
        <w:t> </w:t>
      </w:r>
      <w:r>
        <w:rPr>
          <w:color w:val="231F20"/>
          <w:w w:val="105"/>
        </w:rPr>
        <w:t>una</w:t>
      </w:r>
      <w:r>
        <w:rPr>
          <w:color w:val="231F20"/>
          <w:spacing w:val="-17"/>
          <w:w w:val="105"/>
        </w:rPr>
        <w:t> </w:t>
      </w:r>
      <w:r>
        <w:rPr>
          <w:color w:val="231F20"/>
          <w:w w:val="105"/>
        </w:rPr>
        <w:t>cartera</w:t>
      </w:r>
      <w:r>
        <w:rPr>
          <w:color w:val="231F20"/>
          <w:spacing w:val="-17"/>
          <w:w w:val="105"/>
        </w:rPr>
        <w:t> </w:t>
      </w:r>
      <w:r>
        <w:rPr>
          <w:color w:val="231F20"/>
          <w:w w:val="105"/>
        </w:rPr>
        <w:t>de</w:t>
      </w:r>
      <w:r>
        <w:rPr>
          <w:color w:val="231F20"/>
          <w:spacing w:val="-17"/>
          <w:w w:val="105"/>
        </w:rPr>
        <w:t> </w:t>
      </w:r>
      <w:r>
        <w:rPr>
          <w:color w:val="231F20"/>
          <w:w w:val="105"/>
        </w:rPr>
        <w:t>proyectos</w:t>
      </w:r>
      <w:r>
        <w:rPr>
          <w:color w:val="231F20"/>
          <w:spacing w:val="-17"/>
          <w:w w:val="105"/>
        </w:rPr>
        <w:t> </w:t>
      </w:r>
      <w:r>
        <w:rPr>
          <w:color w:val="231F20"/>
          <w:w w:val="105"/>
        </w:rPr>
        <w:t>previamente</w:t>
      </w:r>
      <w:r>
        <w:rPr>
          <w:color w:val="231F20"/>
          <w:spacing w:val="-17"/>
          <w:w w:val="105"/>
        </w:rPr>
        <w:t> </w:t>
      </w:r>
      <w:r>
        <w:rPr>
          <w:color w:val="231F20"/>
          <w:w w:val="105"/>
        </w:rPr>
        <w:t>estudiada</w:t>
      </w:r>
      <w:r>
        <w:rPr>
          <w:color w:val="231F20"/>
          <w:spacing w:val="-17"/>
          <w:w w:val="105"/>
        </w:rPr>
        <w:t> </w:t>
      </w:r>
      <w:r>
        <w:rPr>
          <w:color w:val="231F20"/>
          <w:w w:val="105"/>
        </w:rPr>
        <w:t>que</w:t>
      </w:r>
      <w:r>
        <w:rPr>
          <w:color w:val="231F20"/>
          <w:spacing w:val="-17"/>
          <w:w w:val="105"/>
        </w:rPr>
        <w:t> </w:t>
      </w:r>
      <w:r>
        <w:rPr>
          <w:color w:val="231F20"/>
          <w:w w:val="105"/>
        </w:rPr>
        <w:t>aseguren</w:t>
      </w:r>
      <w:r>
        <w:rPr>
          <w:color w:val="231F20"/>
          <w:spacing w:val="-17"/>
          <w:w w:val="105"/>
        </w:rPr>
        <w:t> </w:t>
      </w:r>
      <w:r>
        <w:rPr>
          <w:color w:val="231F20"/>
          <w:w w:val="105"/>
        </w:rPr>
        <w:t>su rentabilidad</w:t>
      </w:r>
      <w:r>
        <w:rPr>
          <w:color w:val="231F20"/>
          <w:spacing w:val="-7"/>
          <w:w w:val="105"/>
        </w:rPr>
        <w:t> </w:t>
      </w:r>
      <w:r>
        <w:rPr>
          <w:color w:val="231F20"/>
          <w:w w:val="105"/>
        </w:rPr>
        <w:t>y</w:t>
      </w:r>
      <w:r>
        <w:rPr>
          <w:color w:val="231F20"/>
          <w:spacing w:val="-7"/>
          <w:w w:val="105"/>
        </w:rPr>
        <w:t> </w:t>
      </w:r>
      <w:r>
        <w:rPr>
          <w:color w:val="231F20"/>
          <w:w w:val="105"/>
        </w:rPr>
        <w:t>disminuyan</w:t>
      </w:r>
      <w:r>
        <w:rPr>
          <w:color w:val="231F20"/>
          <w:spacing w:val="-7"/>
          <w:w w:val="105"/>
        </w:rPr>
        <w:t> </w:t>
      </w:r>
      <w:r>
        <w:rPr>
          <w:color w:val="231F20"/>
          <w:w w:val="105"/>
        </w:rPr>
        <w:t>el</w:t>
      </w:r>
      <w:r>
        <w:rPr>
          <w:color w:val="231F20"/>
          <w:spacing w:val="-7"/>
          <w:w w:val="105"/>
        </w:rPr>
        <w:t> </w:t>
      </w:r>
      <w:r>
        <w:rPr>
          <w:color w:val="231F20"/>
          <w:w w:val="105"/>
        </w:rPr>
        <w:t>nivel</w:t>
      </w:r>
      <w:r>
        <w:rPr>
          <w:color w:val="231F20"/>
          <w:spacing w:val="-7"/>
          <w:w w:val="105"/>
        </w:rPr>
        <w:t> </w:t>
      </w:r>
      <w:r>
        <w:rPr>
          <w:color w:val="231F20"/>
          <w:w w:val="105"/>
        </w:rPr>
        <w:t>de</w:t>
      </w:r>
      <w:r>
        <w:rPr>
          <w:color w:val="231F20"/>
          <w:spacing w:val="-7"/>
          <w:w w:val="105"/>
        </w:rPr>
        <w:t> </w:t>
      </w:r>
      <w:r>
        <w:rPr>
          <w:color w:val="231F20"/>
          <w:w w:val="105"/>
        </w:rPr>
        <w:t>riesgo</w:t>
      </w:r>
      <w:r>
        <w:rPr>
          <w:color w:val="231F20"/>
          <w:spacing w:val="-7"/>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posible</w:t>
      </w:r>
      <w:r>
        <w:rPr>
          <w:color w:val="231F20"/>
          <w:spacing w:val="-7"/>
          <w:w w:val="105"/>
        </w:rPr>
        <w:t> </w:t>
      </w:r>
      <w:r>
        <w:rPr>
          <w:color w:val="231F20"/>
          <w:w w:val="105"/>
        </w:rPr>
        <w:t>inversionista (Soto,</w:t>
      </w:r>
      <w:r>
        <w:rPr>
          <w:color w:val="231F20"/>
          <w:spacing w:val="-33"/>
          <w:w w:val="105"/>
        </w:rPr>
        <w:t> </w:t>
      </w:r>
      <w:r>
        <w:rPr>
          <w:rFonts w:ascii="Arial" w:hAnsi="Arial"/>
          <w:i/>
          <w:color w:val="231F20"/>
          <w:w w:val="105"/>
        </w:rPr>
        <w:t>et</w:t>
      </w:r>
      <w:r>
        <w:rPr>
          <w:rFonts w:ascii="Arial" w:hAnsi="Arial"/>
          <w:i/>
          <w:color w:val="231F20"/>
          <w:spacing w:val="-32"/>
          <w:w w:val="105"/>
        </w:rPr>
        <w:t> </w:t>
      </w:r>
      <w:r>
        <w:rPr>
          <w:rFonts w:ascii="Arial" w:hAnsi="Arial"/>
          <w:i/>
          <w:color w:val="231F20"/>
          <w:w w:val="105"/>
        </w:rPr>
        <w:t>al,</w:t>
      </w:r>
      <w:r>
        <w:rPr>
          <w:rFonts w:ascii="Arial" w:hAnsi="Arial"/>
          <w:i/>
          <w:color w:val="231F20"/>
          <w:spacing w:val="-32"/>
          <w:w w:val="105"/>
        </w:rPr>
        <w:t> </w:t>
      </w:r>
      <w:r>
        <w:rPr>
          <w:color w:val="231F20"/>
          <w:w w:val="105"/>
        </w:rPr>
        <w:t>2007).</w:t>
      </w:r>
    </w:p>
    <w:p>
      <w:pPr>
        <w:pStyle w:val="BodyText"/>
        <w:spacing w:line="261" w:lineRule="auto"/>
        <w:ind w:left="1837" w:right="1721" w:firstLine="567"/>
        <w:jc w:val="both"/>
      </w:pPr>
      <w:r>
        <w:rPr>
          <w:color w:val="231F20"/>
          <w:w w:val="105"/>
        </w:rPr>
        <w:t>Albuquerque</w:t>
      </w:r>
      <w:r>
        <w:rPr>
          <w:color w:val="231F20"/>
          <w:spacing w:val="-8"/>
          <w:w w:val="105"/>
        </w:rPr>
        <w:t> </w:t>
      </w:r>
      <w:r>
        <w:rPr>
          <w:color w:val="231F20"/>
          <w:w w:val="105"/>
        </w:rPr>
        <w:t>y</w:t>
      </w:r>
      <w:r>
        <w:rPr>
          <w:color w:val="231F20"/>
          <w:spacing w:val="-8"/>
          <w:w w:val="105"/>
        </w:rPr>
        <w:t> </w:t>
      </w:r>
      <w:r>
        <w:rPr>
          <w:color w:val="231F20"/>
          <w:w w:val="105"/>
        </w:rPr>
        <w:t>Dini</w:t>
      </w:r>
      <w:r>
        <w:rPr>
          <w:color w:val="231F20"/>
          <w:spacing w:val="-8"/>
          <w:w w:val="105"/>
        </w:rPr>
        <w:t> </w:t>
      </w:r>
      <w:r>
        <w:rPr>
          <w:color w:val="231F20"/>
          <w:w w:val="105"/>
        </w:rPr>
        <w:t>(2008),</w:t>
      </w:r>
      <w:r>
        <w:rPr>
          <w:color w:val="231F20"/>
          <w:spacing w:val="-13"/>
          <w:w w:val="105"/>
        </w:rPr>
        <w:t> </w:t>
      </w:r>
      <w:r>
        <w:rPr>
          <w:color w:val="231F20"/>
          <w:w w:val="105"/>
        </w:rPr>
        <w:t>insisten</w:t>
      </w:r>
      <w:r>
        <w:rPr>
          <w:color w:val="231F20"/>
          <w:spacing w:val="-8"/>
          <w:w w:val="105"/>
        </w:rPr>
        <w:t> </w:t>
      </w:r>
      <w:r>
        <w:rPr>
          <w:color w:val="231F20"/>
          <w:w w:val="105"/>
        </w:rPr>
        <w:t>en</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generación</w:t>
      </w:r>
      <w:r>
        <w:rPr>
          <w:color w:val="231F20"/>
          <w:spacing w:val="-8"/>
          <w:w w:val="105"/>
        </w:rPr>
        <w:t> </w:t>
      </w:r>
      <w:r>
        <w:rPr>
          <w:color w:val="231F20"/>
          <w:w w:val="105"/>
        </w:rPr>
        <w:t>de</w:t>
      </w:r>
      <w:r>
        <w:rPr>
          <w:color w:val="231F20"/>
          <w:spacing w:val="-8"/>
          <w:w w:val="105"/>
        </w:rPr>
        <w:t> </w:t>
      </w:r>
      <w:r>
        <w:rPr>
          <w:color w:val="231F20"/>
          <w:w w:val="105"/>
        </w:rPr>
        <w:t>opor- tunidades</w:t>
      </w:r>
      <w:r>
        <w:rPr>
          <w:color w:val="231F20"/>
          <w:spacing w:val="-10"/>
          <w:w w:val="105"/>
        </w:rPr>
        <w:t> </w:t>
      </w:r>
      <w:r>
        <w:rPr>
          <w:color w:val="231F20"/>
          <w:w w:val="105"/>
        </w:rPr>
        <w:t>productivas</w:t>
      </w:r>
      <w:r>
        <w:rPr>
          <w:color w:val="231F20"/>
          <w:spacing w:val="-10"/>
          <w:w w:val="105"/>
        </w:rPr>
        <w:t> </w:t>
      </w:r>
      <w:r>
        <w:rPr>
          <w:color w:val="231F20"/>
          <w:w w:val="105"/>
        </w:rPr>
        <w:t>resultado</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políticas</w:t>
      </w:r>
      <w:r>
        <w:rPr>
          <w:color w:val="231F20"/>
          <w:spacing w:val="-10"/>
          <w:w w:val="105"/>
        </w:rPr>
        <w:t> </w:t>
      </w:r>
      <w:r>
        <w:rPr>
          <w:color w:val="231F20"/>
          <w:w w:val="105"/>
        </w:rPr>
        <w:t>de</w:t>
      </w:r>
      <w:r>
        <w:rPr>
          <w:color w:val="231F20"/>
          <w:spacing w:val="-10"/>
          <w:w w:val="105"/>
        </w:rPr>
        <w:t> </w:t>
      </w:r>
      <w:r>
        <w:rPr>
          <w:color w:val="231F20"/>
          <w:w w:val="105"/>
        </w:rPr>
        <w:t>fomento</w:t>
      </w:r>
      <w:r>
        <w:rPr>
          <w:color w:val="231F20"/>
          <w:spacing w:val="-10"/>
          <w:w w:val="105"/>
        </w:rPr>
        <w:t> </w:t>
      </w:r>
      <w:r>
        <w:rPr>
          <w:color w:val="231F20"/>
          <w:w w:val="105"/>
        </w:rPr>
        <w:t>empresarial es</w:t>
      </w:r>
      <w:r>
        <w:rPr>
          <w:color w:val="231F20"/>
          <w:spacing w:val="-21"/>
          <w:w w:val="105"/>
        </w:rPr>
        <w:t> </w:t>
      </w:r>
      <w:r>
        <w:rPr>
          <w:color w:val="231F20"/>
          <w:w w:val="105"/>
        </w:rPr>
        <w:t>una</w:t>
      </w:r>
      <w:r>
        <w:rPr>
          <w:color w:val="231F20"/>
          <w:spacing w:val="-21"/>
          <w:w w:val="105"/>
        </w:rPr>
        <w:t> </w:t>
      </w:r>
      <w:r>
        <w:rPr>
          <w:color w:val="231F20"/>
          <w:w w:val="105"/>
        </w:rPr>
        <w:t>condición</w:t>
      </w:r>
      <w:r>
        <w:rPr>
          <w:color w:val="231F20"/>
          <w:spacing w:val="-21"/>
          <w:w w:val="105"/>
        </w:rPr>
        <w:t> </w:t>
      </w:r>
      <w:r>
        <w:rPr>
          <w:color w:val="231F20"/>
          <w:w w:val="105"/>
        </w:rPr>
        <w:t>necesaria</w:t>
      </w:r>
      <w:r>
        <w:rPr>
          <w:color w:val="231F20"/>
          <w:spacing w:val="-21"/>
          <w:w w:val="105"/>
        </w:rPr>
        <w:t> </w:t>
      </w:r>
      <w:r>
        <w:rPr>
          <w:color w:val="231F20"/>
          <w:w w:val="105"/>
        </w:rPr>
        <w:t>–pero</w:t>
      </w:r>
      <w:r>
        <w:rPr>
          <w:color w:val="231F20"/>
          <w:spacing w:val="-21"/>
          <w:w w:val="105"/>
        </w:rPr>
        <w:t> </w:t>
      </w:r>
      <w:r>
        <w:rPr>
          <w:color w:val="231F20"/>
          <w:w w:val="105"/>
        </w:rPr>
        <w:t>no</w:t>
      </w:r>
      <w:r>
        <w:rPr>
          <w:color w:val="231F20"/>
          <w:spacing w:val="-21"/>
          <w:w w:val="105"/>
        </w:rPr>
        <w:t> </w:t>
      </w:r>
      <w:r>
        <w:rPr>
          <w:color w:val="231F20"/>
          <w:w w:val="105"/>
        </w:rPr>
        <w:t>suficiente-</w:t>
      </w:r>
      <w:r>
        <w:rPr>
          <w:color w:val="231F20"/>
          <w:spacing w:val="-21"/>
          <w:w w:val="105"/>
        </w:rPr>
        <w:t> </w:t>
      </w:r>
      <w:r>
        <w:rPr>
          <w:color w:val="231F20"/>
          <w:w w:val="105"/>
        </w:rPr>
        <w:t>para</w:t>
      </w:r>
      <w:r>
        <w:rPr>
          <w:color w:val="231F20"/>
          <w:spacing w:val="-21"/>
          <w:w w:val="105"/>
        </w:rPr>
        <w:t> </w:t>
      </w:r>
      <w:r>
        <w:rPr>
          <w:color w:val="231F20"/>
          <w:w w:val="105"/>
        </w:rPr>
        <w:t>generar</w:t>
      </w:r>
      <w:r>
        <w:rPr>
          <w:color w:val="231F20"/>
          <w:spacing w:val="-21"/>
          <w:w w:val="105"/>
        </w:rPr>
        <w:t> </w:t>
      </w:r>
      <w:r>
        <w:rPr>
          <w:color w:val="231F20"/>
          <w:w w:val="105"/>
        </w:rPr>
        <w:t>empleos</w:t>
      </w:r>
      <w:r>
        <w:rPr>
          <w:color w:val="231F20"/>
          <w:spacing w:val="-21"/>
          <w:w w:val="105"/>
        </w:rPr>
        <w:t> </w:t>
      </w:r>
      <w:r>
        <w:rPr>
          <w:color w:val="231F20"/>
          <w:w w:val="105"/>
        </w:rPr>
        <w:t>de calidad.</w:t>
      </w:r>
      <w:r>
        <w:rPr>
          <w:color w:val="231F20"/>
          <w:spacing w:val="-14"/>
          <w:w w:val="105"/>
        </w:rPr>
        <w:t> </w:t>
      </w:r>
      <w:r>
        <w:rPr>
          <w:color w:val="231F20"/>
          <w:spacing w:val="-4"/>
          <w:w w:val="105"/>
        </w:rPr>
        <w:t>Para</w:t>
      </w:r>
      <w:r>
        <w:rPr>
          <w:color w:val="231F20"/>
          <w:spacing w:val="-9"/>
          <w:w w:val="105"/>
        </w:rPr>
        <w:t> </w:t>
      </w:r>
      <w:r>
        <w:rPr>
          <w:color w:val="231F20"/>
          <w:w w:val="105"/>
        </w:rPr>
        <w:t>ello</w:t>
      </w:r>
      <w:r>
        <w:rPr>
          <w:color w:val="231F20"/>
          <w:spacing w:val="-9"/>
          <w:w w:val="105"/>
        </w:rPr>
        <w:t> </w:t>
      </w:r>
      <w:r>
        <w:rPr>
          <w:color w:val="231F20"/>
          <w:w w:val="105"/>
        </w:rPr>
        <w:t>se</w:t>
      </w:r>
      <w:r>
        <w:rPr>
          <w:color w:val="231F20"/>
          <w:spacing w:val="-9"/>
          <w:w w:val="105"/>
        </w:rPr>
        <w:t> </w:t>
      </w:r>
      <w:r>
        <w:rPr>
          <w:color w:val="231F20"/>
          <w:w w:val="105"/>
        </w:rPr>
        <w:t>requiere</w:t>
      </w:r>
      <w:r>
        <w:rPr>
          <w:color w:val="231F20"/>
          <w:spacing w:val="-9"/>
          <w:w w:val="105"/>
        </w:rPr>
        <w:t> </w:t>
      </w:r>
      <w:r>
        <w:rPr>
          <w:color w:val="231F20"/>
          <w:w w:val="105"/>
        </w:rPr>
        <w:t>incorporar</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estrategias</w:t>
      </w:r>
      <w:r>
        <w:rPr>
          <w:color w:val="231F20"/>
          <w:spacing w:val="-9"/>
          <w:w w:val="105"/>
        </w:rPr>
        <w:t> </w:t>
      </w:r>
      <w:r>
        <w:rPr>
          <w:color w:val="231F20"/>
          <w:w w:val="105"/>
        </w:rPr>
        <w:t>de</w:t>
      </w:r>
      <w:r>
        <w:rPr>
          <w:color w:val="231F20"/>
          <w:spacing w:val="-9"/>
          <w:w w:val="105"/>
        </w:rPr>
        <w:t> </w:t>
      </w:r>
      <w:r>
        <w:rPr>
          <w:color w:val="231F20"/>
          <w:w w:val="105"/>
        </w:rPr>
        <w:t>desarrollo económico</w:t>
      </w:r>
      <w:r>
        <w:rPr>
          <w:color w:val="231F20"/>
          <w:spacing w:val="-12"/>
          <w:w w:val="105"/>
        </w:rPr>
        <w:t> </w:t>
      </w:r>
      <w:r>
        <w:rPr>
          <w:color w:val="231F20"/>
          <w:w w:val="105"/>
        </w:rPr>
        <w:t>territorial</w:t>
      </w:r>
      <w:r>
        <w:rPr>
          <w:color w:val="231F20"/>
          <w:spacing w:val="-12"/>
          <w:w w:val="105"/>
        </w:rPr>
        <w:t> </w:t>
      </w:r>
      <w:r>
        <w:rPr>
          <w:color w:val="231F20"/>
          <w:w w:val="105"/>
        </w:rPr>
        <w:t>una</w:t>
      </w:r>
      <w:r>
        <w:rPr>
          <w:color w:val="231F20"/>
          <w:spacing w:val="-12"/>
          <w:w w:val="105"/>
        </w:rPr>
        <w:t> </w:t>
      </w:r>
      <w:r>
        <w:rPr>
          <w:color w:val="231F20"/>
          <w:w w:val="105"/>
        </w:rPr>
        <w:t>atención</w:t>
      </w:r>
      <w:r>
        <w:rPr>
          <w:color w:val="231F20"/>
          <w:spacing w:val="-12"/>
          <w:w w:val="105"/>
        </w:rPr>
        <w:t> </w:t>
      </w:r>
      <w:r>
        <w:rPr>
          <w:color w:val="231F20"/>
          <w:w w:val="105"/>
        </w:rPr>
        <w:t>especial</w:t>
      </w:r>
      <w:r>
        <w:rPr>
          <w:color w:val="231F20"/>
          <w:spacing w:val="-12"/>
          <w:w w:val="105"/>
        </w:rPr>
        <w:t> </w:t>
      </w:r>
      <w:r>
        <w:rPr>
          <w:color w:val="231F20"/>
          <w:w w:val="105"/>
        </w:rPr>
        <w:t>por</w:t>
      </w:r>
      <w:r>
        <w:rPr>
          <w:color w:val="231F20"/>
          <w:spacing w:val="-12"/>
          <w:w w:val="105"/>
        </w:rPr>
        <w:t> </w:t>
      </w:r>
      <w:r>
        <w:rPr>
          <w:color w:val="231F20"/>
          <w:w w:val="105"/>
        </w:rPr>
        <w:t>asegurar</w:t>
      </w:r>
      <w:r>
        <w:rPr>
          <w:color w:val="231F20"/>
          <w:spacing w:val="-12"/>
          <w:w w:val="105"/>
        </w:rPr>
        <w:t> </w:t>
      </w:r>
      <w:r>
        <w:rPr>
          <w:color w:val="231F20"/>
          <w:w w:val="105"/>
        </w:rPr>
        <w:t>la</w:t>
      </w:r>
      <w:r>
        <w:rPr>
          <w:color w:val="231F20"/>
          <w:spacing w:val="-12"/>
          <w:w w:val="105"/>
        </w:rPr>
        <w:t> </w:t>
      </w:r>
      <w:r>
        <w:rPr>
          <w:color w:val="231F20"/>
          <w:w w:val="105"/>
        </w:rPr>
        <w:t>capacitación adecuada de los recursos humanos a fin de que éstos puedan aprove- char dichas oportunidades de empleo (agrícola o no agrícola).</w:t>
      </w:r>
      <w:r>
        <w:rPr>
          <w:color w:val="231F20"/>
          <w:spacing w:val="-23"/>
          <w:w w:val="105"/>
        </w:rPr>
        <w:t> </w:t>
      </w:r>
      <w:r>
        <w:rPr>
          <w:color w:val="231F20"/>
          <w:w w:val="105"/>
        </w:rPr>
        <w:t>Estudios como los de Salas (2011) muestran como los migrantes retornados</w:t>
      </w:r>
      <w:r>
        <w:rPr>
          <w:color w:val="231F20"/>
          <w:spacing w:val="-13"/>
          <w:w w:val="105"/>
        </w:rPr>
        <w:t> </w:t>
      </w:r>
      <w:r>
        <w:rPr>
          <w:color w:val="231F20"/>
          <w:w w:val="105"/>
        </w:rPr>
        <w:t>ad- quieren habilidades en Estados Unidos con posibilidades de replicarse en</w:t>
      </w:r>
      <w:r>
        <w:rPr>
          <w:color w:val="231F20"/>
          <w:spacing w:val="-17"/>
          <w:w w:val="105"/>
        </w:rPr>
        <w:t> </w:t>
      </w:r>
      <w:r>
        <w:rPr>
          <w:color w:val="231F20"/>
          <w:w w:val="105"/>
        </w:rPr>
        <w:t>sus</w:t>
      </w:r>
      <w:r>
        <w:rPr>
          <w:color w:val="231F20"/>
          <w:spacing w:val="-17"/>
          <w:w w:val="105"/>
        </w:rPr>
        <w:t> </w:t>
      </w:r>
      <w:r>
        <w:rPr>
          <w:color w:val="231F20"/>
          <w:w w:val="105"/>
        </w:rPr>
        <w:t>lugares</w:t>
      </w:r>
      <w:r>
        <w:rPr>
          <w:color w:val="231F20"/>
          <w:spacing w:val="-17"/>
          <w:w w:val="105"/>
        </w:rPr>
        <w:t> </w:t>
      </w:r>
      <w:r>
        <w:rPr>
          <w:color w:val="231F20"/>
          <w:w w:val="105"/>
        </w:rPr>
        <w:t>de</w:t>
      </w:r>
      <w:r>
        <w:rPr>
          <w:color w:val="231F20"/>
          <w:spacing w:val="-17"/>
          <w:w w:val="105"/>
        </w:rPr>
        <w:t> </w:t>
      </w:r>
      <w:r>
        <w:rPr>
          <w:color w:val="231F20"/>
          <w:w w:val="105"/>
        </w:rPr>
        <w:t>origen.</w:t>
      </w:r>
    </w:p>
    <w:p>
      <w:pPr>
        <w:pStyle w:val="BodyText"/>
        <w:spacing w:line="261" w:lineRule="auto" w:before="1"/>
        <w:ind w:left="1837" w:right="1721" w:firstLine="567"/>
        <w:jc w:val="both"/>
      </w:pPr>
      <w:r>
        <w:rPr/>
        <w:pict>
          <v:line style="position:absolute;mso-position-horizontal-relative:page;mso-position-vertical-relative:paragraph;z-index:-453016" from="15pt,197.427795pt" to="0pt,197.427795pt" stroked="true" strokeweight=".25pt" strokecolor="#000000">
            <w10:wrap type="none"/>
          </v:line>
        </w:pict>
      </w:r>
      <w:r>
        <w:rPr/>
        <w:pict>
          <v:line style="position:absolute;mso-position-horizontal-relative:page;mso-position-vertical-relative:paragraph;z-index:37192" from="508.890015pt,197.427795pt" to="523.890015pt,197.427795pt" stroked="true" strokeweight=".25pt" strokecolor="#000000">
            <w10:wrap type="none"/>
          </v:line>
        </w:pic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caso</w:t>
      </w:r>
      <w:r>
        <w:rPr>
          <w:color w:val="231F20"/>
          <w:spacing w:val="-11"/>
          <w:w w:val="105"/>
        </w:rPr>
        <w:t> </w:t>
      </w:r>
      <w:r>
        <w:rPr>
          <w:color w:val="231F20"/>
          <w:w w:val="105"/>
        </w:rPr>
        <w:t>de</w:t>
      </w:r>
      <w:r>
        <w:rPr>
          <w:color w:val="231F20"/>
          <w:spacing w:val="-11"/>
          <w:w w:val="105"/>
        </w:rPr>
        <w:t> </w:t>
      </w:r>
      <w:r>
        <w:rPr>
          <w:color w:val="231F20"/>
          <w:w w:val="105"/>
        </w:rPr>
        <w:t>estudio</w:t>
      </w:r>
      <w:r>
        <w:rPr>
          <w:color w:val="231F20"/>
          <w:spacing w:val="-11"/>
          <w:w w:val="105"/>
        </w:rPr>
        <w:t> </w:t>
      </w:r>
      <w:r>
        <w:rPr>
          <w:color w:val="231F20"/>
          <w:w w:val="105"/>
        </w:rPr>
        <w:t>de</w:t>
      </w:r>
      <w:r>
        <w:rPr>
          <w:color w:val="231F20"/>
          <w:spacing w:val="-15"/>
          <w:w w:val="105"/>
        </w:rPr>
        <w:t> </w:t>
      </w:r>
      <w:r>
        <w:rPr>
          <w:color w:val="231F20"/>
          <w:w w:val="105"/>
        </w:rPr>
        <w:t>Almoloya</w:t>
      </w:r>
      <w:r>
        <w:rPr>
          <w:color w:val="231F20"/>
          <w:spacing w:val="-11"/>
          <w:w w:val="105"/>
        </w:rPr>
        <w:t> </w:t>
      </w:r>
      <w:r>
        <w:rPr>
          <w:color w:val="231F20"/>
          <w:w w:val="105"/>
        </w:rPr>
        <w:t>de</w:t>
      </w:r>
      <w:r>
        <w:rPr>
          <w:color w:val="231F20"/>
          <w:spacing w:val="-15"/>
          <w:w w:val="105"/>
        </w:rPr>
        <w:t> </w:t>
      </w:r>
      <w:r>
        <w:rPr>
          <w:color w:val="231F20"/>
          <w:w w:val="105"/>
        </w:rPr>
        <w:t>Alquisiras</w:t>
      </w:r>
      <w:r>
        <w:rPr>
          <w:color w:val="231F20"/>
          <w:spacing w:val="-11"/>
          <w:w w:val="105"/>
        </w:rPr>
        <w:t> </w:t>
      </w:r>
      <w:r>
        <w:rPr>
          <w:color w:val="231F20"/>
          <w:w w:val="105"/>
        </w:rPr>
        <w:t>la</w:t>
      </w:r>
      <w:r>
        <w:rPr>
          <w:color w:val="231F20"/>
          <w:spacing w:val="-11"/>
          <w:w w:val="105"/>
        </w:rPr>
        <w:t> </w:t>
      </w:r>
      <w:r>
        <w:rPr>
          <w:color w:val="231F20"/>
          <w:w w:val="105"/>
        </w:rPr>
        <w:t>tierra</w:t>
      </w:r>
      <w:r>
        <w:rPr>
          <w:color w:val="231F20"/>
          <w:spacing w:val="-11"/>
          <w:w w:val="105"/>
        </w:rPr>
        <w:t> </w:t>
      </w:r>
      <w:r>
        <w:rPr>
          <w:color w:val="231F20"/>
          <w:w w:val="105"/>
        </w:rPr>
        <w:t>cultivable como medio de producción poco a poco se ha ido desplazando por la pluriactividad</w:t>
      </w:r>
      <w:r>
        <w:rPr>
          <w:color w:val="231F20"/>
          <w:spacing w:val="-10"/>
          <w:w w:val="105"/>
        </w:rPr>
        <w:t> </w:t>
      </w:r>
      <w:r>
        <w:rPr>
          <w:color w:val="231F20"/>
          <w:w w:val="105"/>
        </w:rPr>
        <w:t>económica</w:t>
      </w:r>
      <w:r>
        <w:rPr>
          <w:color w:val="231F20"/>
          <w:spacing w:val="-10"/>
          <w:w w:val="105"/>
        </w:rPr>
        <w:t> </w:t>
      </w:r>
      <w:r>
        <w:rPr>
          <w:color w:val="231F20"/>
          <w:w w:val="105"/>
        </w:rPr>
        <w:t>dejando</w:t>
      </w:r>
      <w:r>
        <w:rPr>
          <w:color w:val="231F20"/>
          <w:spacing w:val="-10"/>
          <w:w w:val="105"/>
        </w:rPr>
        <w:t> </w:t>
      </w:r>
      <w:r>
        <w:rPr>
          <w:color w:val="231F20"/>
          <w:w w:val="105"/>
        </w:rPr>
        <w:t>de</w:t>
      </w:r>
      <w:r>
        <w:rPr>
          <w:color w:val="231F20"/>
          <w:spacing w:val="-10"/>
          <w:w w:val="105"/>
        </w:rPr>
        <w:t> </w:t>
      </w:r>
      <w:r>
        <w:rPr>
          <w:color w:val="231F20"/>
          <w:w w:val="105"/>
        </w:rPr>
        <w:t>lado</w:t>
      </w:r>
      <w:r>
        <w:rPr>
          <w:color w:val="231F20"/>
          <w:spacing w:val="-10"/>
          <w:w w:val="105"/>
        </w:rPr>
        <w:t> </w:t>
      </w:r>
      <w:r>
        <w:rPr>
          <w:color w:val="231F20"/>
          <w:w w:val="105"/>
        </w:rPr>
        <w:t>las</w:t>
      </w:r>
      <w:r>
        <w:rPr>
          <w:color w:val="231F20"/>
          <w:spacing w:val="-10"/>
          <w:w w:val="105"/>
        </w:rPr>
        <w:t> </w:t>
      </w:r>
      <w:r>
        <w:rPr>
          <w:color w:val="231F20"/>
          <w:w w:val="105"/>
        </w:rPr>
        <w:t>actividades</w:t>
      </w:r>
      <w:r>
        <w:rPr>
          <w:color w:val="231F20"/>
          <w:spacing w:val="-10"/>
          <w:w w:val="105"/>
        </w:rPr>
        <w:t> </w:t>
      </w:r>
      <w:r>
        <w:rPr>
          <w:color w:val="231F20"/>
          <w:w w:val="105"/>
        </w:rPr>
        <w:t>de</w:t>
      </w:r>
      <w:r>
        <w:rPr>
          <w:color w:val="231F20"/>
          <w:spacing w:val="-10"/>
          <w:w w:val="105"/>
        </w:rPr>
        <w:t> </w:t>
      </w:r>
      <w:r>
        <w:rPr>
          <w:color w:val="231F20"/>
          <w:w w:val="105"/>
        </w:rPr>
        <w:t>producción agropecuaria debido a su baja rentabilidad. Paradójicamente como he- mos</w:t>
      </w:r>
      <w:r>
        <w:rPr>
          <w:color w:val="231F20"/>
          <w:spacing w:val="-14"/>
          <w:w w:val="105"/>
        </w:rPr>
        <w:t> </w:t>
      </w:r>
      <w:r>
        <w:rPr>
          <w:color w:val="231F20"/>
          <w:w w:val="105"/>
        </w:rPr>
        <w:t>mencionado</w:t>
      </w:r>
      <w:r>
        <w:rPr>
          <w:color w:val="231F20"/>
          <w:spacing w:val="-14"/>
          <w:w w:val="105"/>
        </w:rPr>
        <w:t> </w:t>
      </w:r>
      <w:r>
        <w:rPr>
          <w:color w:val="231F20"/>
          <w:w w:val="105"/>
        </w:rPr>
        <w:t>mucha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gente</w:t>
      </w:r>
      <w:r>
        <w:rPr>
          <w:color w:val="231F20"/>
          <w:spacing w:val="-14"/>
          <w:w w:val="105"/>
        </w:rPr>
        <w:t> </w:t>
      </w:r>
      <w:r>
        <w:rPr>
          <w:color w:val="231F20"/>
          <w:w w:val="105"/>
        </w:rPr>
        <w:t>que</w:t>
      </w:r>
      <w:r>
        <w:rPr>
          <w:color w:val="231F20"/>
          <w:spacing w:val="-14"/>
          <w:w w:val="105"/>
        </w:rPr>
        <w:t> </w:t>
      </w:r>
      <w:r>
        <w:rPr>
          <w:color w:val="231F20"/>
          <w:w w:val="105"/>
        </w:rPr>
        <w:t>vive</w:t>
      </w:r>
      <w:r>
        <w:rPr>
          <w:color w:val="231F20"/>
          <w:spacing w:val="-14"/>
          <w:w w:val="105"/>
        </w:rPr>
        <w:t> </w:t>
      </w:r>
      <w:r>
        <w:rPr>
          <w:color w:val="231F20"/>
          <w:w w:val="105"/>
        </w:rPr>
        <w:t>en</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trabaja en</w:t>
      </w:r>
      <w:r>
        <w:rPr>
          <w:color w:val="231F20"/>
          <w:spacing w:val="-14"/>
          <w:w w:val="105"/>
        </w:rPr>
        <w:t> </w:t>
      </w:r>
      <w:r>
        <w:rPr>
          <w:color w:val="231F20"/>
          <w:w w:val="105"/>
        </w:rPr>
        <w:t>actividades</w:t>
      </w:r>
      <w:r>
        <w:rPr>
          <w:color w:val="231F20"/>
          <w:spacing w:val="-14"/>
          <w:w w:val="105"/>
        </w:rPr>
        <w:t> </w:t>
      </w:r>
      <w:r>
        <w:rPr>
          <w:color w:val="231F20"/>
          <w:w w:val="105"/>
        </w:rPr>
        <w:t>productivas</w:t>
      </w:r>
      <w:r>
        <w:rPr>
          <w:color w:val="231F20"/>
          <w:spacing w:val="-14"/>
          <w:w w:val="105"/>
        </w:rPr>
        <w:t> </w:t>
      </w:r>
      <w:r>
        <w:rPr>
          <w:color w:val="231F20"/>
          <w:w w:val="105"/>
        </w:rPr>
        <w:t>agrícolas,</w:t>
      </w:r>
      <w:r>
        <w:rPr>
          <w:color w:val="231F20"/>
          <w:spacing w:val="-21"/>
          <w:w w:val="105"/>
        </w:rPr>
        <w:t> </w:t>
      </w:r>
      <w:r>
        <w:rPr>
          <w:color w:val="231F20"/>
          <w:w w:val="105"/>
        </w:rPr>
        <w:t>pero</w:t>
      </w:r>
      <w:r>
        <w:rPr>
          <w:color w:val="231F20"/>
          <w:spacing w:val="-14"/>
          <w:w w:val="105"/>
        </w:rPr>
        <w:t> </w:t>
      </w:r>
      <w:r>
        <w:rPr>
          <w:color w:val="231F20"/>
          <w:w w:val="105"/>
        </w:rPr>
        <w:t>en</w:t>
      </w:r>
      <w:r>
        <w:rPr>
          <w:color w:val="231F20"/>
          <w:spacing w:val="-14"/>
          <w:w w:val="105"/>
        </w:rPr>
        <w:t> </w:t>
      </w:r>
      <w:r>
        <w:rPr>
          <w:color w:val="231F20"/>
          <w:w w:val="105"/>
        </w:rPr>
        <w:t>un</w:t>
      </w:r>
      <w:r>
        <w:rPr>
          <w:color w:val="231F20"/>
          <w:spacing w:val="-14"/>
          <w:w w:val="105"/>
        </w:rPr>
        <w:t> </w:t>
      </w:r>
      <w:r>
        <w:rPr>
          <w:color w:val="231F20"/>
          <w:w w:val="105"/>
        </w:rPr>
        <w:t>contexto</w:t>
      </w:r>
      <w:r>
        <w:rPr>
          <w:color w:val="231F20"/>
          <w:spacing w:val="-14"/>
          <w:w w:val="105"/>
        </w:rPr>
        <w:t> </w:t>
      </w:r>
      <w:r>
        <w:rPr>
          <w:color w:val="231F20"/>
          <w:w w:val="105"/>
        </w:rPr>
        <w:t>de</w:t>
      </w:r>
      <w:r>
        <w:rPr>
          <w:color w:val="231F20"/>
          <w:spacing w:val="-14"/>
          <w:w w:val="105"/>
        </w:rPr>
        <w:t> </w:t>
      </w:r>
      <w:r>
        <w:rPr>
          <w:color w:val="231F20"/>
          <w:w w:val="105"/>
        </w:rPr>
        <w:t>producción agroindustrial</w:t>
      </w:r>
      <w:r>
        <w:rPr>
          <w:color w:val="231F20"/>
          <w:spacing w:val="-7"/>
          <w:w w:val="105"/>
        </w:rPr>
        <w:t> </w:t>
      </w:r>
      <w:r>
        <w:rPr>
          <w:color w:val="231F20"/>
          <w:w w:val="105"/>
        </w:rPr>
        <w:t>poco</w:t>
      </w:r>
      <w:r>
        <w:rPr>
          <w:color w:val="231F20"/>
          <w:spacing w:val="-7"/>
          <w:w w:val="105"/>
        </w:rPr>
        <w:t> </w:t>
      </w:r>
      <w:r>
        <w:rPr>
          <w:color w:val="231F20"/>
          <w:w w:val="105"/>
        </w:rPr>
        <w:t>equiparable</w:t>
      </w:r>
      <w:r>
        <w:rPr>
          <w:color w:val="231F20"/>
          <w:spacing w:val="-7"/>
          <w:w w:val="105"/>
        </w:rPr>
        <w:t> </w:t>
      </w:r>
      <w:r>
        <w:rPr>
          <w:color w:val="231F20"/>
          <w:w w:val="105"/>
        </w:rPr>
        <w:t>con</w:t>
      </w:r>
      <w:r>
        <w:rPr>
          <w:color w:val="231F20"/>
          <w:spacing w:val="-7"/>
          <w:w w:val="105"/>
        </w:rPr>
        <w:t> </w:t>
      </w:r>
      <w:r>
        <w:rPr>
          <w:color w:val="231F20"/>
          <w:w w:val="105"/>
        </w:rPr>
        <w:t>las</w:t>
      </w:r>
      <w:r>
        <w:rPr>
          <w:color w:val="231F20"/>
          <w:spacing w:val="-7"/>
          <w:w w:val="105"/>
        </w:rPr>
        <w:t> </w:t>
      </w:r>
      <w:r>
        <w:rPr>
          <w:color w:val="231F20"/>
          <w:w w:val="105"/>
        </w:rPr>
        <w:t>actividades</w:t>
      </w:r>
      <w:r>
        <w:rPr>
          <w:color w:val="231F20"/>
          <w:spacing w:val="-7"/>
          <w:w w:val="105"/>
        </w:rPr>
        <w:t> </w:t>
      </w:r>
      <w:r>
        <w:rPr>
          <w:color w:val="231F20"/>
          <w:w w:val="105"/>
        </w:rPr>
        <w:t>agrícolas</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mu- nicipio</w:t>
      </w:r>
      <w:r>
        <w:rPr>
          <w:color w:val="231F20"/>
          <w:spacing w:val="-5"/>
          <w:w w:val="105"/>
        </w:rPr>
        <w:t> </w:t>
      </w:r>
      <w:r>
        <w:rPr>
          <w:color w:val="231F20"/>
          <w:w w:val="105"/>
        </w:rPr>
        <w:t>de</w:t>
      </w:r>
      <w:r>
        <w:rPr>
          <w:color w:val="231F20"/>
          <w:spacing w:val="-5"/>
          <w:w w:val="105"/>
        </w:rPr>
        <w:t> </w:t>
      </w:r>
      <w:r>
        <w:rPr>
          <w:color w:val="231F20"/>
          <w:w w:val="105"/>
        </w:rPr>
        <w:t>origen,</w:t>
      </w:r>
      <w:r>
        <w:rPr>
          <w:color w:val="231F20"/>
          <w:spacing w:val="-11"/>
          <w:w w:val="105"/>
        </w:rPr>
        <w:t> </w:t>
      </w:r>
      <w:r>
        <w:rPr>
          <w:color w:val="231F20"/>
          <w:w w:val="105"/>
        </w:rPr>
        <w:t>particularmente</w:t>
      </w:r>
      <w:r>
        <w:rPr>
          <w:color w:val="231F20"/>
          <w:spacing w:val="-5"/>
          <w:w w:val="105"/>
        </w:rPr>
        <w:t> </w:t>
      </w:r>
      <w:r>
        <w:rPr>
          <w:color w:val="231F20"/>
          <w:w w:val="105"/>
        </w:rPr>
        <w:t>en</w:t>
      </w:r>
      <w:r>
        <w:rPr>
          <w:color w:val="231F20"/>
          <w:spacing w:val="-5"/>
          <w:w w:val="105"/>
        </w:rPr>
        <w:t> </w:t>
      </w:r>
      <w:r>
        <w:rPr>
          <w:color w:val="231F20"/>
          <w:w w:val="105"/>
        </w:rPr>
        <w:t>cuanto</w:t>
      </w:r>
      <w:r>
        <w:rPr>
          <w:color w:val="231F20"/>
          <w:spacing w:val="-5"/>
          <w:w w:val="105"/>
        </w:rPr>
        <w:t> </w:t>
      </w:r>
      <w:r>
        <w:rPr>
          <w:color w:val="231F20"/>
          <w:w w:val="105"/>
        </w:rPr>
        <w:t>al</w:t>
      </w:r>
      <w:r>
        <w:rPr>
          <w:color w:val="231F20"/>
          <w:spacing w:val="-5"/>
          <w:w w:val="105"/>
        </w:rPr>
        <w:t> </w:t>
      </w:r>
      <w:r>
        <w:rPr>
          <w:color w:val="231F20"/>
          <w:w w:val="105"/>
        </w:rPr>
        <w:t>uso</w:t>
      </w:r>
      <w:r>
        <w:rPr>
          <w:color w:val="231F20"/>
          <w:spacing w:val="-5"/>
          <w:w w:val="105"/>
        </w:rPr>
        <w:t> </w:t>
      </w:r>
      <w:r>
        <w:rPr>
          <w:color w:val="231F20"/>
          <w:w w:val="105"/>
        </w:rPr>
        <w:t>de</w:t>
      </w:r>
      <w:r>
        <w:rPr>
          <w:color w:val="231F20"/>
          <w:spacing w:val="-5"/>
          <w:w w:val="105"/>
        </w:rPr>
        <w:t> </w:t>
      </w:r>
      <w:r>
        <w:rPr>
          <w:color w:val="231F20"/>
          <w:w w:val="105"/>
        </w:rPr>
        <w:t>tecnología,</w:t>
      </w:r>
      <w:r>
        <w:rPr>
          <w:color w:val="231F20"/>
          <w:spacing w:val="-11"/>
          <w:w w:val="105"/>
        </w:rPr>
        <w:t> </w:t>
      </w:r>
      <w:r>
        <w:rPr>
          <w:color w:val="231F20"/>
          <w:w w:val="105"/>
        </w:rPr>
        <w:t>inten- sidad</w:t>
      </w:r>
      <w:r>
        <w:rPr>
          <w:color w:val="231F20"/>
          <w:spacing w:val="-15"/>
          <w:w w:val="105"/>
        </w:rPr>
        <w:t> </w:t>
      </w:r>
      <w:r>
        <w:rPr>
          <w:color w:val="231F20"/>
          <w:w w:val="105"/>
        </w:rPr>
        <w:t>y</w:t>
      </w:r>
      <w:r>
        <w:rPr>
          <w:color w:val="231F20"/>
          <w:spacing w:val="-15"/>
          <w:w w:val="105"/>
        </w:rPr>
        <w:t> </w:t>
      </w:r>
      <w:r>
        <w:rPr>
          <w:color w:val="231F20"/>
          <w:w w:val="105"/>
        </w:rPr>
        <w:t>escala</w:t>
      </w:r>
      <w:r>
        <w:rPr>
          <w:color w:val="231F20"/>
          <w:spacing w:val="-15"/>
          <w:w w:val="105"/>
        </w:rPr>
        <w:t> </w:t>
      </w:r>
      <w:r>
        <w:rPr>
          <w:color w:val="231F20"/>
          <w:w w:val="105"/>
        </w:rPr>
        <w:t>de</w:t>
      </w:r>
      <w:r>
        <w:rPr>
          <w:color w:val="231F20"/>
          <w:spacing w:val="-15"/>
          <w:w w:val="105"/>
        </w:rPr>
        <w:t> </w:t>
      </w:r>
      <w:r>
        <w:rPr>
          <w:color w:val="231F20"/>
          <w:w w:val="105"/>
        </w:rPr>
        <w:t>producción.</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37240" from="15pt,-71.68644pt" to="0pt,-71.68644pt" stroked="true" strokeweight=".25pt" strokecolor="#000000">
            <w10:wrap type="none"/>
          </v:line>
        </w:pict>
      </w:r>
      <w:r>
        <w:rPr/>
        <w:pict>
          <v:line style="position:absolute;mso-position-horizontal-relative:page;mso-position-vertical-relative:paragraph;z-index:37264" from="508.890015pt,-71.68644pt" to="523.890015pt,-71.68644pt" stroked="true" strokeweight=".25pt" strokecolor="#000000">
            <w10:wrap type="none"/>
          </v:line>
        </w:pict>
      </w:r>
      <w:r>
        <w:rPr>
          <w:color w:val="231F20"/>
          <w:w w:val="105"/>
        </w:rPr>
        <w:t>El</w:t>
      </w:r>
      <w:r>
        <w:rPr>
          <w:color w:val="231F20"/>
          <w:spacing w:val="-13"/>
          <w:w w:val="105"/>
        </w:rPr>
        <w:t> </w:t>
      </w:r>
      <w:r>
        <w:rPr>
          <w:color w:val="231F20"/>
          <w:w w:val="105"/>
        </w:rPr>
        <w:t>abandono</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actividades</w:t>
      </w:r>
      <w:r>
        <w:rPr>
          <w:color w:val="231F20"/>
          <w:spacing w:val="-13"/>
          <w:w w:val="105"/>
        </w:rPr>
        <w:t> </w:t>
      </w:r>
      <w:r>
        <w:rPr>
          <w:color w:val="231F20"/>
          <w:w w:val="105"/>
        </w:rPr>
        <w:t>agrícolas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lugar</w:t>
      </w:r>
      <w:r>
        <w:rPr>
          <w:color w:val="231F20"/>
          <w:spacing w:val="-13"/>
          <w:w w:val="105"/>
        </w:rPr>
        <w:t> </w:t>
      </w:r>
      <w:r>
        <w:rPr>
          <w:color w:val="231F20"/>
          <w:w w:val="105"/>
        </w:rPr>
        <w:t>de</w:t>
      </w:r>
      <w:r>
        <w:rPr>
          <w:color w:val="231F20"/>
          <w:spacing w:val="-13"/>
          <w:w w:val="105"/>
        </w:rPr>
        <w:t> </w:t>
      </w:r>
      <w:r>
        <w:rPr>
          <w:color w:val="231F20"/>
          <w:w w:val="105"/>
        </w:rPr>
        <w:t>origen,</w:t>
      </w:r>
      <w:r>
        <w:rPr>
          <w:color w:val="231F20"/>
          <w:spacing w:val="-18"/>
          <w:w w:val="105"/>
        </w:rPr>
        <w:t> </w:t>
      </w:r>
      <w:r>
        <w:rPr>
          <w:color w:val="231F20"/>
          <w:w w:val="105"/>
        </w:rPr>
        <w:t>ocasiona que la tierra de cultivo como apunta Rubio (2006) haya cedido su sitio al territorio como lugar de vida. El territorio visto así es el hábitat al que regresan</w:t>
      </w:r>
      <w:r>
        <w:rPr>
          <w:color w:val="231F20"/>
          <w:spacing w:val="-21"/>
          <w:w w:val="105"/>
        </w:rPr>
        <w:t> </w:t>
      </w:r>
      <w:r>
        <w:rPr>
          <w:color w:val="231F20"/>
          <w:w w:val="105"/>
        </w:rPr>
        <w:t>los</w:t>
      </w:r>
      <w:r>
        <w:rPr>
          <w:color w:val="231F20"/>
          <w:spacing w:val="-21"/>
          <w:w w:val="105"/>
        </w:rPr>
        <w:t> </w:t>
      </w:r>
      <w:r>
        <w:rPr>
          <w:color w:val="231F20"/>
          <w:w w:val="105"/>
        </w:rPr>
        <w:t>emigrantes</w:t>
      </w:r>
      <w:r>
        <w:rPr>
          <w:color w:val="231F20"/>
          <w:spacing w:val="-21"/>
          <w:w w:val="105"/>
        </w:rPr>
        <w:t> </w:t>
      </w:r>
      <w:r>
        <w:rPr>
          <w:color w:val="231F20"/>
          <w:w w:val="105"/>
        </w:rPr>
        <w:t>en</w:t>
      </w:r>
      <w:r>
        <w:rPr>
          <w:color w:val="231F20"/>
          <w:spacing w:val="-21"/>
          <w:w w:val="105"/>
        </w:rPr>
        <w:t> </w:t>
      </w:r>
      <w:r>
        <w:rPr>
          <w:color w:val="231F20"/>
          <w:w w:val="105"/>
        </w:rPr>
        <w:t>las</w:t>
      </w:r>
      <w:r>
        <w:rPr>
          <w:color w:val="231F20"/>
          <w:spacing w:val="-21"/>
          <w:w w:val="105"/>
        </w:rPr>
        <w:t> </w:t>
      </w:r>
      <w:r>
        <w:rPr>
          <w:color w:val="231F20"/>
          <w:w w:val="105"/>
        </w:rPr>
        <w:t>temporadas</w:t>
      </w:r>
      <w:r>
        <w:rPr>
          <w:color w:val="231F20"/>
          <w:spacing w:val="-21"/>
          <w:w w:val="105"/>
        </w:rPr>
        <w:t> </w:t>
      </w:r>
      <w:r>
        <w:rPr>
          <w:color w:val="231F20"/>
          <w:w w:val="105"/>
        </w:rPr>
        <w:t>en</w:t>
      </w:r>
      <w:r>
        <w:rPr>
          <w:color w:val="231F20"/>
          <w:spacing w:val="-21"/>
          <w:w w:val="105"/>
        </w:rPr>
        <w:t> </w:t>
      </w:r>
      <w:r>
        <w:rPr>
          <w:color w:val="231F20"/>
          <w:w w:val="105"/>
        </w:rPr>
        <w:t>las</w:t>
      </w:r>
      <w:r>
        <w:rPr>
          <w:color w:val="231F20"/>
          <w:spacing w:val="-21"/>
          <w:w w:val="105"/>
        </w:rPr>
        <w:t> </w:t>
      </w:r>
      <w:r>
        <w:rPr>
          <w:color w:val="231F20"/>
          <w:w w:val="105"/>
        </w:rPr>
        <w:t>que</w:t>
      </w:r>
      <w:r>
        <w:rPr>
          <w:color w:val="231F20"/>
          <w:spacing w:val="-21"/>
          <w:w w:val="105"/>
        </w:rPr>
        <w:t> </w:t>
      </w:r>
      <w:r>
        <w:rPr>
          <w:color w:val="231F20"/>
          <w:w w:val="105"/>
        </w:rPr>
        <w:t>no</w:t>
      </w:r>
      <w:r>
        <w:rPr>
          <w:color w:val="231F20"/>
          <w:spacing w:val="-21"/>
          <w:w w:val="105"/>
        </w:rPr>
        <w:t> </w:t>
      </w:r>
      <w:r>
        <w:rPr>
          <w:color w:val="231F20"/>
          <w:w w:val="105"/>
        </w:rPr>
        <w:t>trabajan</w:t>
      </w:r>
      <w:r>
        <w:rPr>
          <w:color w:val="231F20"/>
          <w:spacing w:val="-21"/>
          <w:w w:val="105"/>
        </w:rPr>
        <w:t> </w:t>
      </w:r>
      <w:r>
        <w:rPr>
          <w:color w:val="231F20"/>
          <w:w w:val="105"/>
        </w:rPr>
        <w:t>en</w:t>
      </w:r>
      <w:r>
        <w:rPr>
          <w:color w:val="231F20"/>
          <w:spacing w:val="-21"/>
          <w:w w:val="105"/>
        </w:rPr>
        <w:t> </w:t>
      </w:r>
      <w:r>
        <w:rPr>
          <w:color w:val="231F20"/>
          <w:w w:val="105"/>
        </w:rPr>
        <w:t>Es- tados</w:t>
      </w:r>
      <w:r>
        <w:rPr>
          <w:color w:val="231F20"/>
          <w:spacing w:val="-7"/>
          <w:w w:val="105"/>
        </w:rPr>
        <w:t> </w:t>
      </w:r>
      <w:r>
        <w:rPr>
          <w:color w:val="231F20"/>
          <w:w w:val="105"/>
        </w:rPr>
        <w:t>Unidos,</w:t>
      </w:r>
      <w:r>
        <w:rPr>
          <w:color w:val="231F20"/>
          <w:spacing w:val="-13"/>
          <w:w w:val="105"/>
        </w:rPr>
        <w:t> </w:t>
      </w:r>
      <w:r>
        <w:rPr>
          <w:color w:val="231F20"/>
          <w:w w:val="105"/>
        </w:rPr>
        <w:t>el</w:t>
      </w:r>
      <w:r>
        <w:rPr>
          <w:color w:val="231F20"/>
          <w:spacing w:val="-7"/>
          <w:w w:val="105"/>
        </w:rPr>
        <w:t> </w:t>
      </w:r>
      <w:r>
        <w:rPr>
          <w:color w:val="231F20"/>
          <w:w w:val="105"/>
        </w:rPr>
        <w:t>lugar</w:t>
      </w:r>
      <w:r>
        <w:rPr>
          <w:color w:val="231F20"/>
          <w:spacing w:val="-7"/>
          <w:w w:val="105"/>
        </w:rPr>
        <w:t> </w:t>
      </w:r>
      <w:r>
        <w:rPr>
          <w:color w:val="231F20"/>
          <w:w w:val="105"/>
        </w:rPr>
        <w:t>donde</w:t>
      </w:r>
      <w:r>
        <w:rPr>
          <w:color w:val="231F20"/>
          <w:spacing w:val="-7"/>
          <w:w w:val="105"/>
        </w:rPr>
        <w:t> </w:t>
      </w:r>
      <w:r>
        <w:rPr>
          <w:color w:val="231F20"/>
          <w:w w:val="105"/>
        </w:rPr>
        <w:t>se</w:t>
      </w:r>
      <w:r>
        <w:rPr>
          <w:color w:val="231F20"/>
          <w:spacing w:val="-7"/>
          <w:w w:val="105"/>
        </w:rPr>
        <w:t> </w:t>
      </w:r>
      <w:r>
        <w:rPr>
          <w:color w:val="231F20"/>
          <w:w w:val="105"/>
        </w:rPr>
        <w:t>reproducen</w:t>
      </w:r>
      <w:r>
        <w:rPr>
          <w:color w:val="231F20"/>
          <w:spacing w:val="-7"/>
          <w:w w:val="105"/>
        </w:rPr>
        <w:t> </w:t>
      </w:r>
      <w:r>
        <w:rPr>
          <w:color w:val="231F20"/>
          <w:w w:val="105"/>
        </w:rPr>
        <w:t>y</w:t>
      </w:r>
      <w:r>
        <w:rPr>
          <w:color w:val="231F20"/>
          <w:spacing w:val="-7"/>
          <w:w w:val="105"/>
        </w:rPr>
        <w:t> </w:t>
      </w:r>
      <w:r>
        <w:rPr>
          <w:color w:val="231F20"/>
          <w:w w:val="105"/>
        </w:rPr>
        <w:t>reafirman</w:t>
      </w:r>
      <w:r>
        <w:rPr>
          <w:color w:val="231F20"/>
          <w:spacing w:val="-7"/>
          <w:w w:val="105"/>
        </w:rPr>
        <w:t> </w:t>
      </w:r>
      <w:r>
        <w:rPr>
          <w:color w:val="231F20"/>
          <w:w w:val="105"/>
        </w:rPr>
        <w:t>su</w:t>
      </w:r>
      <w:r>
        <w:rPr>
          <w:color w:val="231F20"/>
          <w:spacing w:val="-7"/>
          <w:w w:val="105"/>
        </w:rPr>
        <w:t> </w:t>
      </w:r>
      <w:r>
        <w:rPr>
          <w:color w:val="231F20"/>
          <w:w w:val="105"/>
        </w:rPr>
        <w:t>identidad</w:t>
      </w:r>
      <w:r>
        <w:rPr>
          <w:color w:val="231F20"/>
          <w:spacing w:val="-7"/>
          <w:w w:val="105"/>
        </w:rPr>
        <w:t> </w:t>
      </w:r>
      <w:r>
        <w:rPr>
          <w:color w:val="231F20"/>
          <w:w w:val="105"/>
        </w:rPr>
        <w:t>te- rritorial,</w:t>
      </w:r>
      <w:r>
        <w:rPr>
          <w:color w:val="231F20"/>
          <w:spacing w:val="-20"/>
          <w:w w:val="105"/>
        </w:rPr>
        <w:t> </w:t>
      </w:r>
      <w:r>
        <w:rPr>
          <w:color w:val="231F20"/>
          <w:w w:val="105"/>
        </w:rPr>
        <w:t>sirve</w:t>
      </w:r>
      <w:r>
        <w:rPr>
          <w:color w:val="231F20"/>
          <w:spacing w:val="-14"/>
          <w:w w:val="105"/>
        </w:rPr>
        <w:t> </w:t>
      </w:r>
      <w:r>
        <w:rPr>
          <w:color w:val="231F20"/>
          <w:w w:val="105"/>
        </w:rPr>
        <w:t>como</w:t>
      </w:r>
      <w:r>
        <w:rPr>
          <w:color w:val="231F20"/>
          <w:spacing w:val="-14"/>
          <w:w w:val="105"/>
        </w:rPr>
        <w:t> </w:t>
      </w:r>
      <w:r>
        <w:rPr>
          <w:color w:val="231F20"/>
          <w:w w:val="105"/>
        </w:rPr>
        <w:t>espacio</w:t>
      </w:r>
      <w:r>
        <w:rPr>
          <w:color w:val="231F20"/>
          <w:spacing w:val="-14"/>
          <w:w w:val="105"/>
        </w:rPr>
        <w:t> </w:t>
      </w:r>
      <w:r>
        <w:rPr>
          <w:color w:val="231F20"/>
          <w:w w:val="105"/>
        </w:rPr>
        <w:t>de</w:t>
      </w:r>
      <w:r>
        <w:rPr>
          <w:color w:val="231F20"/>
          <w:spacing w:val="-14"/>
          <w:w w:val="105"/>
        </w:rPr>
        <w:t> </w:t>
      </w:r>
      <w:r>
        <w:rPr>
          <w:color w:val="231F20"/>
          <w:w w:val="105"/>
        </w:rPr>
        <w:t>encuentro</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comunidades;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que permanecen los ancianos y los niños; es el espacio donde se siembra para</w:t>
      </w:r>
      <w:r>
        <w:rPr>
          <w:color w:val="231F20"/>
          <w:spacing w:val="-17"/>
          <w:w w:val="105"/>
        </w:rPr>
        <w:t> </w:t>
      </w:r>
      <w:r>
        <w:rPr>
          <w:color w:val="231F20"/>
          <w:w w:val="105"/>
        </w:rPr>
        <w:t>el</w:t>
      </w:r>
      <w:r>
        <w:rPr>
          <w:color w:val="231F20"/>
          <w:spacing w:val="-17"/>
          <w:w w:val="105"/>
        </w:rPr>
        <w:t> </w:t>
      </w:r>
      <w:r>
        <w:rPr>
          <w:color w:val="231F20"/>
          <w:w w:val="105"/>
        </w:rPr>
        <w:t>autoconsumo,</w:t>
      </w:r>
      <w:r>
        <w:rPr>
          <w:color w:val="231F20"/>
          <w:spacing w:val="-22"/>
          <w:w w:val="105"/>
        </w:rPr>
        <w:t> </w:t>
      </w:r>
      <w:r>
        <w:rPr>
          <w:color w:val="231F20"/>
          <w:w w:val="105"/>
        </w:rPr>
        <w:t>donde</w:t>
      </w:r>
      <w:r>
        <w:rPr>
          <w:color w:val="231F20"/>
          <w:spacing w:val="-17"/>
          <w:w w:val="105"/>
        </w:rPr>
        <w:t> </w:t>
      </w:r>
      <w:r>
        <w:rPr>
          <w:color w:val="231F20"/>
          <w:w w:val="105"/>
        </w:rPr>
        <w:t>viven</w:t>
      </w:r>
      <w:r>
        <w:rPr>
          <w:color w:val="231F20"/>
          <w:spacing w:val="-17"/>
          <w:w w:val="105"/>
        </w:rPr>
        <w:t> </w:t>
      </w:r>
      <w:r>
        <w:rPr>
          <w:color w:val="231F20"/>
          <w:w w:val="105"/>
        </w:rPr>
        <w:t>los</w:t>
      </w:r>
      <w:r>
        <w:rPr>
          <w:color w:val="231F20"/>
          <w:spacing w:val="-17"/>
          <w:w w:val="105"/>
        </w:rPr>
        <w:t> </w:t>
      </w:r>
      <w:r>
        <w:rPr>
          <w:color w:val="231F20"/>
          <w:w w:val="105"/>
        </w:rPr>
        <w:t>avecindados</w:t>
      </w:r>
      <w:r>
        <w:rPr>
          <w:color w:val="231F20"/>
          <w:spacing w:val="-17"/>
          <w:w w:val="105"/>
        </w:rPr>
        <w:t> </w:t>
      </w:r>
      <w:r>
        <w:rPr>
          <w:color w:val="231F20"/>
          <w:w w:val="105"/>
        </w:rPr>
        <w:t>y</w:t>
      </w:r>
      <w:r>
        <w:rPr>
          <w:color w:val="231F20"/>
          <w:spacing w:val="-17"/>
          <w:w w:val="105"/>
        </w:rPr>
        <w:t> </w:t>
      </w:r>
      <w:r>
        <w:rPr>
          <w:color w:val="231F20"/>
          <w:w w:val="105"/>
        </w:rPr>
        <w:t>donde</w:t>
      </w:r>
      <w:r>
        <w:rPr>
          <w:color w:val="231F20"/>
          <w:spacing w:val="-17"/>
          <w:w w:val="105"/>
        </w:rPr>
        <w:t> </w:t>
      </w:r>
      <w:r>
        <w:rPr>
          <w:color w:val="231F20"/>
          <w:w w:val="105"/>
        </w:rPr>
        <w:t>el</w:t>
      </w:r>
      <w:r>
        <w:rPr>
          <w:color w:val="231F20"/>
          <w:spacing w:val="-17"/>
          <w:w w:val="105"/>
        </w:rPr>
        <w:t> </w:t>
      </w:r>
      <w:r>
        <w:rPr>
          <w:color w:val="231F20"/>
          <w:w w:val="105"/>
        </w:rPr>
        <w:t>paisanaje se</w:t>
      </w:r>
      <w:r>
        <w:rPr>
          <w:color w:val="231F20"/>
          <w:spacing w:val="-20"/>
          <w:w w:val="105"/>
        </w:rPr>
        <w:t> </w:t>
      </w:r>
      <w:r>
        <w:rPr>
          <w:color w:val="231F20"/>
          <w:w w:val="105"/>
        </w:rPr>
        <w:t>reconstruye</w:t>
      </w:r>
      <w:r>
        <w:rPr>
          <w:color w:val="231F20"/>
          <w:spacing w:val="-20"/>
          <w:w w:val="105"/>
        </w:rPr>
        <w:t> </w:t>
      </w:r>
      <w:r>
        <w:rPr>
          <w:color w:val="231F20"/>
          <w:w w:val="105"/>
        </w:rPr>
        <w:t>al</w:t>
      </w:r>
      <w:r>
        <w:rPr>
          <w:color w:val="231F20"/>
          <w:spacing w:val="-20"/>
          <w:w w:val="105"/>
        </w:rPr>
        <w:t> </w:t>
      </w:r>
      <w:r>
        <w:rPr>
          <w:color w:val="231F20"/>
          <w:w w:val="105"/>
        </w:rPr>
        <w:t>seno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globalización.</w:t>
      </w:r>
    </w:p>
    <w:p>
      <w:pPr>
        <w:pStyle w:val="BodyText"/>
        <w:spacing w:line="261" w:lineRule="auto" w:before="1"/>
        <w:ind w:left="1723" w:right="1834" w:firstLine="567"/>
        <w:jc w:val="both"/>
      </w:pPr>
      <w:r>
        <w:rPr>
          <w:color w:val="231F20"/>
          <w:w w:val="105"/>
        </w:rPr>
        <w:t>Almoloya</w:t>
      </w:r>
      <w:r>
        <w:rPr>
          <w:color w:val="231F20"/>
          <w:spacing w:val="-13"/>
          <w:w w:val="105"/>
        </w:rPr>
        <w:t> </w:t>
      </w:r>
      <w:r>
        <w:rPr>
          <w:color w:val="231F20"/>
          <w:w w:val="105"/>
        </w:rPr>
        <w:t>de</w:t>
      </w:r>
      <w:r>
        <w:rPr>
          <w:color w:val="231F20"/>
          <w:spacing w:val="-16"/>
          <w:w w:val="105"/>
        </w:rPr>
        <w:t> </w:t>
      </w:r>
      <w:r>
        <w:rPr>
          <w:color w:val="231F20"/>
          <w:w w:val="105"/>
        </w:rPr>
        <w:t>Alquisiras</w:t>
      </w:r>
      <w:r>
        <w:rPr>
          <w:color w:val="231F20"/>
          <w:spacing w:val="-13"/>
          <w:w w:val="105"/>
        </w:rPr>
        <w:t> </w:t>
      </w:r>
      <w:r>
        <w:rPr>
          <w:color w:val="231F20"/>
          <w:w w:val="105"/>
        </w:rPr>
        <w:t>se</w:t>
      </w:r>
      <w:r>
        <w:rPr>
          <w:color w:val="231F20"/>
          <w:spacing w:val="-13"/>
          <w:w w:val="105"/>
        </w:rPr>
        <w:t> </w:t>
      </w:r>
      <w:r>
        <w:rPr>
          <w:color w:val="231F20"/>
          <w:w w:val="105"/>
        </w:rPr>
        <w:t>puede</w:t>
      </w:r>
      <w:r>
        <w:rPr>
          <w:color w:val="231F20"/>
          <w:spacing w:val="-13"/>
          <w:w w:val="105"/>
        </w:rPr>
        <w:t> </w:t>
      </w:r>
      <w:r>
        <w:rPr>
          <w:color w:val="231F20"/>
          <w:w w:val="105"/>
        </w:rPr>
        <w:t>considerar</w:t>
      </w:r>
      <w:r>
        <w:rPr>
          <w:color w:val="231F20"/>
          <w:spacing w:val="-13"/>
          <w:w w:val="105"/>
        </w:rPr>
        <w:t> </w:t>
      </w:r>
      <w:r>
        <w:rPr>
          <w:color w:val="231F20"/>
          <w:w w:val="105"/>
        </w:rPr>
        <w:t>como</w:t>
      </w:r>
      <w:r>
        <w:rPr>
          <w:color w:val="231F20"/>
          <w:spacing w:val="-13"/>
          <w:w w:val="105"/>
        </w:rPr>
        <w:t> </w:t>
      </w:r>
      <w:r>
        <w:rPr>
          <w:color w:val="231F20"/>
          <w:w w:val="105"/>
        </w:rPr>
        <w:t>una</w:t>
      </w:r>
      <w:r>
        <w:rPr>
          <w:color w:val="231F20"/>
          <w:spacing w:val="-13"/>
          <w:w w:val="105"/>
        </w:rPr>
        <w:t> </w:t>
      </w:r>
      <w:r>
        <w:rPr>
          <w:color w:val="231F20"/>
          <w:w w:val="105"/>
        </w:rPr>
        <w:t>comunidad transnacional,</w:t>
      </w:r>
      <w:r>
        <w:rPr>
          <w:color w:val="231F20"/>
          <w:spacing w:val="-32"/>
          <w:w w:val="105"/>
        </w:rPr>
        <w:t> </w:t>
      </w:r>
      <w:r>
        <w:rPr>
          <w:color w:val="231F20"/>
          <w:w w:val="105"/>
        </w:rPr>
        <w:t>porque</w:t>
      </w:r>
      <w:r>
        <w:rPr>
          <w:color w:val="231F20"/>
          <w:spacing w:val="-28"/>
          <w:w w:val="105"/>
        </w:rPr>
        <w:t> </w:t>
      </w:r>
      <w:r>
        <w:rPr>
          <w:color w:val="231F20"/>
          <w:w w:val="105"/>
        </w:rPr>
        <w:t>se</w:t>
      </w:r>
      <w:r>
        <w:rPr>
          <w:color w:val="231F20"/>
          <w:spacing w:val="-28"/>
          <w:w w:val="105"/>
        </w:rPr>
        <w:t> </w:t>
      </w:r>
      <w:r>
        <w:rPr>
          <w:color w:val="231F20"/>
          <w:w w:val="105"/>
        </w:rPr>
        <w:t>tienen</w:t>
      </w:r>
      <w:r>
        <w:rPr>
          <w:color w:val="231F20"/>
          <w:spacing w:val="-28"/>
          <w:w w:val="105"/>
        </w:rPr>
        <w:t> </w:t>
      </w:r>
      <w:r>
        <w:rPr>
          <w:color w:val="231F20"/>
          <w:w w:val="105"/>
        </w:rPr>
        <w:t>redes</w:t>
      </w:r>
      <w:r>
        <w:rPr>
          <w:color w:val="231F20"/>
          <w:spacing w:val="-28"/>
          <w:w w:val="105"/>
        </w:rPr>
        <w:t> </w:t>
      </w:r>
      <w:r>
        <w:rPr>
          <w:color w:val="231F20"/>
          <w:w w:val="105"/>
        </w:rPr>
        <w:t>sociales</w:t>
      </w:r>
      <w:r>
        <w:rPr>
          <w:color w:val="231F20"/>
          <w:spacing w:val="-28"/>
          <w:w w:val="105"/>
        </w:rPr>
        <w:t> </w:t>
      </w:r>
      <w:r>
        <w:rPr>
          <w:color w:val="231F20"/>
          <w:w w:val="105"/>
        </w:rPr>
        <w:t>bien</w:t>
      </w:r>
      <w:r>
        <w:rPr>
          <w:color w:val="231F20"/>
          <w:spacing w:val="-28"/>
          <w:w w:val="105"/>
        </w:rPr>
        <w:t> </w:t>
      </w:r>
      <w:r>
        <w:rPr>
          <w:color w:val="231F20"/>
          <w:w w:val="105"/>
        </w:rPr>
        <w:t>consolidadas</w:t>
      </w:r>
      <w:r>
        <w:rPr>
          <w:color w:val="231F20"/>
          <w:spacing w:val="-28"/>
          <w:w w:val="105"/>
        </w:rPr>
        <w:t> </w:t>
      </w:r>
      <w:r>
        <w:rPr>
          <w:color w:val="231F20"/>
          <w:w w:val="105"/>
        </w:rPr>
        <w:t>allende fronteras</w:t>
      </w:r>
      <w:r>
        <w:rPr>
          <w:color w:val="231F20"/>
          <w:spacing w:val="-9"/>
          <w:w w:val="105"/>
        </w:rPr>
        <w:t> </w:t>
      </w:r>
      <w:r>
        <w:rPr>
          <w:color w:val="231F20"/>
          <w:w w:val="105"/>
        </w:rPr>
        <w:t>y</w:t>
      </w:r>
      <w:r>
        <w:rPr>
          <w:color w:val="231F20"/>
          <w:spacing w:val="-9"/>
          <w:w w:val="105"/>
        </w:rPr>
        <w:t> </w:t>
      </w:r>
      <w:r>
        <w:rPr>
          <w:color w:val="231F20"/>
          <w:w w:val="105"/>
        </w:rPr>
        <w:t>que</w:t>
      </w:r>
      <w:r>
        <w:rPr>
          <w:color w:val="231F20"/>
          <w:spacing w:val="-9"/>
          <w:w w:val="105"/>
        </w:rPr>
        <w:t> </w:t>
      </w:r>
      <w:r>
        <w:rPr>
          <w:color w:val="231F20"/>
          <w:w w:val="105"/>
        </w:rPr>
        <w:t>a</w:t>
      </w:r>
      <w:r>
        <w:rPr>
          <w:color w:val="231F20"/>
          <w:spacing w:val="-9"/>
          <w:w w:val="105"/>
        </w:rPr>
        <w:t> </w:t>
      </w:r>
      <w:r>
        <w:rPr>
          <w:color w:val="231F20"/>
          <w:w w:val="105"/>
        </w:rPr>
        <w:t>partir</w:t>
      </w:r>
      <w:r>
        <w:rPr>
          <w:color w:val="231F20"/>
          <w:spacing w:val="-9"/>
          <w:w w:val="105"/>
        </w:rPr>
        <w:t> </w:t>
      </w:r>
      <w:r>
        <w:rPr>
          <w:color w:val="231F20"/>
          <w:w w:val="105"/>
        </w:rPr>
        <w:t>de</w:t>
      </w:r>
      <w:r>
        <w:rPr>
          <w:color w:val="231F20"/>
          <w:spacing w:val="-9"/>
          <w:w w:val="105"/>
        </w:rPr>
        <w:t> </w:t>
      </w:r>
      <w:r>
        <w:rPr>
          <w:color w:val="231F20"/>
          <w:w w:val="105"/>
        </w:rPr>
        <w:t>ellas</w:t>
      </w:r>
      <w:r>
        <w:rPr>
          <w:color w:val="231F20"/>
          <w:spacing w:val="-9"/>
          <w:w w:val="105"/>
        </w:rPr>
        <w:t> </w:t>
      </w:r>
      <w:r>
        <w:rPr>
          <w:color w:val="231F20"/>
          <w:w w:val="105"/>
        </w:rPr>
        <w:t>genera</w:t>
      </w:r>
      <w:r>
        <w:rPr>
          <w:color w:val="231F20"/>
          <w:spacing w:val="-9"/>
          <w:w w:val="105"/>
        </w:rPr>
        <w:t> </w:t>
      </w:r>
      <w:r>
        <w:rPr>
          <w:color w:val="231F20"/>
          <w:w w:val="105"/>
        </w:rPr>
        <w:t>también</w:t>
      </w:r>
      <w:r>
        <w:rPr>
          <w:color w:val="231F20"/>
          <w:spacing w:val="-9"/>
          <w:w w:val="105"/>
        </w:rPr>
        <w:t> </w:t>
      </w:r>
      <w:r>
        <w:rPr>
          <w:color w:val="231F20"/>
          <w:w w:val="105"/>
        </w:rPr>
        <w:t>acciones</w:t>
      </w:r>
      <w:r>
        <w:rPr>
          <w:color w:val="231F20"/>
          <w:spacing w:val="-9"/>
          <w:w w:val="105"/>
        </w:rPr>
        <w:t> </w:t>
      </w:r>
      <w:r>
        <w:rPr>
          <w:color w:val="231F20"/>
          <w:w w:val="105"/>
        </w:rPr>
        <w:t>de</w:t>
      </w:r>
      <w:r>
        <w:rPr>
          <w:color w:val="231F20"/>
          <w:spacing w:val="-9"/>
          <w:w w:val="105"/>
        </w:rPr>
        <w:t> </w:t>
      </w:r>
      <w:r>
        <w:rPr>
          <w:color w:val="231F20"/>
          <w:w w:val="105"/>
        </w:rPr>
        <w:t>vinculación territorial</w:t>
      </w:r>
      <w:r>
        <w:rPr>
          <w:color w:val="231F20"/>
          <w:spacing w:val="-14"/>
          <w:w w:val="105"/>
        </w:rPr>
        <w:t> </w:t>
      </w:r>
      <w:r>
        <w:rPr>
          <w:color w:val="231F20"/>
          <w:w w:val="105"/>
        </w:rPr>
        <w:t>entre</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y</w:t>
      </w:r>
      <w:r>
        <w:rPr>
          <w:color w:val="231F20"/>
          <w:spacing w:val="-14"/>
          <w:w w:val="105"/>
        </w:rPr>
        <w:t> </w:t>
      </w:r>
      <w:r>
        <w:rPr>
          <w:color w:val="231F20"/>
          <w:w w:val="105"/>
        </w:rPr>
        <w:t>México.</w:t>
      </w:r>
      <w:r>
        <w:rPr>
          <w:color w:val="231F20"/>
          <w:spacing w:val="-22"/>
          <w:w w:val="105"/>
        </w:rPr>
        <w:t> </w:t>
      </w:r>
      <w:r>
        <w:rPr>
          <w:color w:val="231F20"/>
          <w:w w:val="105"/>
        </w:rPr>
        <w:t>A</w:t>
      </w:r>
      <w:r>
        <w:rPr>
          <w:color w:val="231F20"/>
          <w:spacing w:val="-17"/>
          <w:w w:val="105"/>
        </w:rPr>
        <w:t> </w:t>
      </w:r>
      <w:r>
        <w:rPr>
          <w:color w:val="231F20"/>
          <w:w w:val="105"/>
        </w:rPr>
        <w:t>partir</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redes</w:t>
      </w:r>
      <w:r>
        <w:rPr>
          <w:color w:val="231F20"/>
          <w:spacing w:val="-14"/>
          <w:w w:val="105"/>
        </w:rPr>
        <w:t> </w:t>
      </w:r>
      <w:r>
        <w:rPr>
          <w:color w:val="231F20"/>
          <w:w w:val="105"/>
        </w:rPr>
        <w:t>es</w:t>
      </w:r>
      <w:r>
        <w:rPr>
          <w:color w:val="231F20"/>
          <w:spacing w:val="-14"/>
          <w:w w:val="105"/>
        </w:rPr>
        <w:t> </w:t>
      </w:r>
      <w:r>
        <w:rPr>
          <w:color w:val="231F20"/>
          <w:w w:val="105"/>
        </w:rPr>
        <w:t>posible la</w:t>
      </w:r>
      <w:r>
        <w:rPr>
          <w:color w:val="231F20"/>
          <w:spacing w:val="-6"/>
          <w:w w:val="105"/>
        </w:rPr>
        <w:t> </w:t>
      </w:r>
      <w:r>
        <w:rPr>
          <w:color w:val="231F20"/>
          <w:w w:val="105"/>
        </w:rPr>
        <w:t>inserción</w:t>
      </w:r>
      <w:r>
        <w:rPr>
          <w:color w:val="231F20"/>
          <w:spacing w:val="-6"/>
          <w:w w:val="105"/>
        </w:rPr>
        <w:t> </w:t>
      </w:r>
      <w:r>
        <w:rPr>
          <w:color w:val="231F20"/>
          <w:w w:val="105"/>
        </w:rPr>
        <w:t>laboral</w:t>
      </w:r>
      <w:r>
        <w:rPr>
          <w:color w:val="231F20"/>
          <w:spacing w:val="-6"/>
          <w:w w:val="105"/>
        </w:rPr>
        <w:t> </w:t>
      </w:r>
      <w:r>
        <w:rPr>
          <w:color w:val="231F20"/>
          <w:w w:val="105"/>
        </w:rPr>
        <w:t>en</w:t>
      </w:r>
      <w:r>
        <w:rPr>
          <w:color w:val="231F20"/>
          <w:spacing w:val="-6"/>
          <w:w w:val="105"/>
        </w:rPr>
        <w:t> </w:t>
      </w:r>
      <w:r>
        <w:rPr>
          <w:color w:val="231F20"/>
          <w:w w:val="105"/>
        </w:rPr>
        <w:t>Estados</w:t>
      </w:r>
      <w:r>
        <w:rPr>
          <w:color w:val="231F20"/>
          <w:spacing w:val="-6"/>
          <w:w w:val="105"/>
        </w:rPr>
        <w:t> </w:t>
      </w:r>
      <w:r>
        <w:rPr>
          <w:color w:val="231F20"/>
          <w:w w:val="105"/>
        </w:rPr>
        <w:t>Unidos,</w:t>
      </w:r>
      <w:r>
        <w:rPr>
          <w:color w:val="231F20"/>
          <w:spacing w:val="-11"/>
          <w:w w:val="105"/>
        </w:rPr>
        <w:t> </w:t>
      </w:r>
      <w:r>
        <w:rPr>
          <w:color w:val="231F20"/>
          <w:w w:val="105"/>
        </w:rPr>
        <w:t>generan</w:t>
      </w:r>
      <w:r>
        <w:rPr>
          <w:color w:val="231F20"/>
          <w:spacing w:val="-6"/>
          <w:w w:val="105"/>
        </w:rPr>
        <w:t> </w:t>
      </w:r>
      <w:r>
        <w:rPr>
          <w:color w:val="231F20"/>
          <w:w w:val="105"/>
        </w:rPr>
        <w:t>emprendimientos</w:t>
      </w:r>
      <w:r>
        <w:rPr>
          <w:color w:val="231F20"/>
          <w:spacing w:val="-6"/>
          <w:w w:val="105"/>
        </w:rPr>
        <w:t> </w:t>
      </w:r>
      <w:r>
        <w:rPr>
          <w:color w:val="231F20"/>
          <w:w w:val="105"/>
        </w:rPr>
        <w:t>loca- les</w:t>
      </w:r>
      <w:r>
        <w:rPr>
          <w:color w:val="231F20"/>
          <w:spacing w:val="-9"/>
          <w:w w:val="105"/>
        </w:rPr>
        <w:t> </w:t>
      </w:r>
      <w:r>
        <w:rPr>
          <w:color w:val="231F20"/>
          <w:w w:val="105"/>
        </w:rPr>
        <w:t>o</w:t>
      </w:r>
      <w:r>
        <w:rPr>
          <w:color w:val="231F20"/>
          <w:spacing w:val="-9"/>
          <w:w w:val="105"/>
        </w:rPr>
        <w:t> </w:t>
      </w:r>
      <w:r>
        <w:rPr>
          <w:color w:val="231F20"/>
          <w:w w:val="105"/>
        </w:rPr>
        <w:t>transnacionales</w:t>
      </w:r>
      <w:r>
        <w:rPr>
          <w:color w:val="231F20"/>
          <w:spacing w:val="-9"/>
          <w:w w:val="105"/>
        </w:rPr>
        <w:t> </w:t>
      </w:r>
      <w:r>
        <w:rPr>
          <w:color w:val="231F20"/>
          <w:w w:val="105"/>
        </w:rPr>
        <w:t>que</w:t>
      </w:r>
      <w:r>
        <w:rPr>
          <w:color w:val="231F20"/>
          <w:spacing w:val="-9"/>
          <w:w w:val="105"/>
        </w:rPr>
        <w:t> </w:t>
      </w:r>
      <w:r>
        <w:rPr>
          <w:color w:val="231F20"/>
          <w:w w:val="105"/>
        </w:rPr>
        <w:t>van</w:t>
      </w:r>
      <w:r>
        <w:rPr>
          <w:color w:val="231F20"/>
          <w:spacing w:val="-9"/>
          <w:w w:val="105"/>
        </w:rPr>
        <w:t> </w:t>
      </w:r>
      <w:r>
        <w:rPr>
          <w:color w:val="231F20"/>
          <w:w w:val="105"/>
        </w:rPr>
        <w:t>desde</w:t>
      </w:r>
      <w:r>
        <w:rPr>
          <w:color w:val="231F20"/>
          <w:spacing w:val="-9"/>
          <w:w w:val="105"/>
        </w:rPr>
        <w:t> </w:t>
      </w:r>
      <w:r>
        <w:rPr>
          <w:color w:val="231F20"/>
          <w:w w:val="105"/>
        </w:rPr>
        <w:t>la</w:t>
      </w:r>
      <w:r>
        <w:rPr>
          <w:color w:val="231F20"/>
          <w:spacing w:val="-9"/>
          <w:w w:val="105"/>
        </w:rPr>
        <w:t> </w:t>
      </w:r>
      <w:r>
        <w:rPr>
          <w:color w:val="231F20"/>
          <w:w w:val="105"/>
        </w:rPr>
        <w:t>participación</w:t>
      </w:r>
      <w:r>
        <w:rPr>
          <w:color w:val="231F20"/>
          <w:spacing w:val="-9"/>
          <w:w w:val="105"/>
        </w:rPr>
        <w:t> </w:t>
      </w:r>
      <w:r>
        <w:rPr>
          <w:color w:val="231F20"/>
          <w:w w:val="105"/>
        </w:rPr>
        <w:t>en</w:t>
      </w:r>
      <w:r>
        <w:rPr>
          <w:color w:val="231F20"/>
          <w:spacing w:val="-9"/>
          <w:w w:val="105"/>
        </w:rPr>
        <w:t> </w:t>
      </w:r>
      <w:r>
        <w:rPr>
          <w:color w:val="231F20"/>
          <w:w w:val="105"/>
        </w:rPr>
        <w:t>ligas</w:t>
      </w:r>
      <w:r>
        <w:rPr>
          <w:color w:val="231F20"/>
          <w:spacing w:val="-9"/>
          <w:w w:val="105"/>
        </w:rPr>
        <w:t> </w:t>
      </w:r>
      <w:r>
        <w:rPr>
          <w:color w:val="231F20"/>
          <w:w w:val="105"/>
        </w:rPr>
        <w:t>deportivas de</w:t>
      </w:r>
      <w:r>
        <w:rPr>
          <w:color w:val="231F20"/>
          <w:spacing w:val="-10"/>
          <w:w w:val="105"/>
        </w:rPr>
        <w:t> </w:t>
      </w:r>
      <w:r>
        <w:rPr>
          <w:color w:val="231F20"/>
          <w:w w:val="105"/>
        </w:rPr>
        <w:t>fútbol,</w:t>
      </w:r>
      <w:r>
        <w:rPr>
          <w:color w:val="231F20"/>
          <w:spacing w:val="-17"/>
          <w:w w:val="105"/>
        </w:rPr>
        <w:t> </w:t>
      </w:r>
      <w:r>
        <w:rPr>
          <w:color w:val="231F20"/>
          <w:w w:val="105"/>
        </w:rPr>
        <w:t>hasta</w:t>
      </w:r>
      <w:r>
        <w:rPr>
          <w:color w:val="231F20"/>
          <w:spacing w:val="-10"/>
          <w:w w:val="105"/>
        </w:rPr>
        <w:t> </w:t>
      </w:r>
      <w:r>
        <w:rPr>
          <w:color w:val="231F20"/>
          <w:w w:val="105"/>
        </w:rPr>
        <w:t>la</w:t>
      </w:r>
      <w:r>
        <w:rPr>
          <w:color w:val="231F20"/>
          <w:spacing w:val="-10"/>
          <w:w w:val="105"/>
        </w:rPr>
        <w:t> </w:t>
      </w:r>
      <w:r>
        <w:rPr>
          <w:color w:val="231F20"/>
          <w:w w:val="105"/>
        </w:rPr>
        <w:t>consolidación</w:t>
      </w:r>
      <w:r>
        <w:rPr>
          <w:color w:val="231F20"/>
          <w:spacing w:val="-10"/>
          <w:w w:val="105"/>
        </w:rPr>
        <w:t> </w:t>
      </w:r>
      <w:r>
        <w:rPr>
          <w:color w:val="231F20"/>
          <w:w w:val="105"/>
        </w:rPr>
        <w:t>de</w:t>
      </w:r>
      <w:r>
        <w:rPr>
          <w:color w:val="231F20"/>
          <w:spacing w:val="-10"/>
          <w:w w:val="105"/>
        </w:rPr>
        <w:t> </w:t>
      </w:r>
      <w:r>
        <w:rPr>
          <w:color w:val="231F20"/>
          <w:w w:val="105"/>
        </w:rPr>
        <w:t>negocios</w:t>
      </w:r>
      <w:r>
        <w:rPr>
          <w:color w:val="231F20"/>
          <w:spacing w:val="-10"/>
          <w:w w:val="105"/>
        </w:rPr>
        <w:t> </w:t>
      </w:r>
      <w:r>
        <w:rPr>
          <w:color w:val="231F20"/>
          <w:w w:val="105"/>
        </w:rPr>
        <w:t>empresariales</w:t>
      </w:r>
      <w:r>
        <w:rPr>
          <w:color w:val="231F20"/>
          <w:spacing w:val="-10"/>
          <w:w w:val="105"/>
        </w:rPr>
        <w:t> </w:t>
      </w: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luga- res</w:t>
      </w:r>
      <w:r>
        <w:rPr>
          <w:color w:val="231F20"/>
          <w:spacing w:val="-4"/>
          <w:w w:val="105"/>
        </w:rPr>
        <w:t> </w:t>
      </w:r>
      <w:r>
        <w:rPr>
          <w:color w:val="231F20"/>
          <w:w w:val="105"/>
        </w:rPr>
        <w:t>de</w:t>
      </w:r>
      <w:r>
        <w:rPr>
          <w:color w:val="231F20"/>
          <w:spacing w:val="-4"/>
          <w:w w:val="105"/>
        </w:rPr>
        <w:t> </w:t>
      </w:r>
      <w:r>
        <w:rPr>
          <w:color w:val="231F20"/>
          <w:w w:val="105"/>
        </w:rPr>
        <w:t>destino</w:t>
      </w:r>
      <w:r>
        <w:rPr>
          <w:color w:val="231F20"/>
          <w:spacing w:val="-4"/>
          <w:w w:val="105"/>
        </w:rPr>
        <w:t> </w:t>
      </w:r>
      <w:r>
        <w:rPr>
          <w:color w:val="231F20"/>
          <w:w w:val="105"/>
        </w:rPr>
        <w:t>por</w:t>
      </w:r>
      <w:r>
        <w:rPr>
          <w:color w:val="231F20"/>
          <w:spacing w:val="-4"/>
          <w:w w:val="105"/>
        </w:rPr>
        <w:t> </w:t>
      </w:r>
      <w:r>
        <w:rPr>
          <w:color w:val="231F20"/>
          <w:w w:val="105"/>
        </w:rPr>
        <w:t>parte</w:t>
      </w:r>
      <w:r>
        <w:rPr>
          <w:color w:val="231F20"/>
          <w:spacing w:val="-4"/>
          <w:w w:val="105"/>
        </w:rPr>
        <w:t> </w:t>
      </w:r>
      <w:r>
        <w:rPr>
          <w:color w:val="231F20"/>
          <w:w w:val="105"/>
        </w:rPr>
        <w:t>de</w:t>
      </w:r>
      <w:r>
        <w:rPr>
          <w:color w:val="231F20"/>
          <w:spacing w:val="-4"/>
          <w:w w:val="105"/>
        </w:rPr>
        <w:t> </w:t>
      </w:r>
      <w:r>
        <w:rPr>
          <w:color w:val="231F20"/>
          <w:w w:val="105"/>
        </w:rPr>
        <w:t>algunos</w:t>
      </w:r>
      <w:r>
        <w:rPr>
          <w:color w:val="231F20"/>
          <w:spacing w:val="-4"/>
          <w:w w:val="105"/>
        </w:rPr>
        <w:t> </w:t>
      </w:r>
      <w:r>
        <w:rPr>
          <w:color w:val="231F20"/>
          <w:w w:val="105"/>
        </w:rPr>
        <w:t>migrantes</w:t>
      </w:r>
      <w:r>
        <w:rPr>
          <w:color w:val="231F20"/>
          <w:spacing w:val="-4"/>
          <w:w w:val="105"/>
        </w:rPr>
        <w:t> </w:t>
      </w:r>
      <w:r>
        <w:rPr>
          <w:color w:val="231F20"/>
          <w:w w:val="105"/>
        </w:rPr>
        <w:t>que</w:t>
      </w:r>
      <w:r>
        <w:rPr>
          <w:color w:val="231F20"/>
          <w:spacing w:val="-4"/>
          <w:w w:val="105"/>
        </w:rPr>
        <w:t> </w:t>
      </w:r>
      <w:r>
        <w:rPr>
          <w:color w:val="231F20"/>
          <w:w w:val="105"/>
        </w:rPr>
        <w:t>por</w:t>
      </w:r>
      <w:r>
        <w:rPr>
          <w:color w:val="231F20"/>
          <w:spacing w:val="-4"/>
          <w:w w:val="105"/>
        </w:rPr>
        <w:t> </w:t>
      </w:r>
      <w:r>
        <w:rPr>
          <w:color w:val="231F20"/>
          <w:w w:val="105"/>
        </w:rPr>
        <w:t>su</w:t>
      </w:r>
      <w:r>
        <w:rPr>
          <w:color w:val="231F20"/>
          <w:spacing w:val="-4"/>
          <w:w w:val="105"/>
        </w:rPr>
        <w:t> </w:t>
      </w:r>
      <w:r>
        <w:rPr>
          <w:color w:val="231F20"/>
          <w:w w:val="105"/>
        </w:rPr>
        <w:t>talento</w:t>
      </w:r>
      <w:r>
        <w:rPr>
          <w:color w:val="231F20"/>
          <w:spacing w:val="-4"/>
          <w:w w:val="105"/>
        </w:rPr>
        <w:t> </w:t>
      </w:r>
      <w:r>
        <w:rPr>
          <w:color w:val="231F20"/>
          <w:w w:val="105"/>
        </w:rPr>
        <w:t>llegan a ser exitosos y adquieren estatus y poder económico que les permite vincularse</w:t>
      </w:r>
      <w:r>
        <w:rPr>
          <w:color w:val="231F20"/>
          <w:spacing w:val="-17"/>
          <w:w w:val="105"/>
        </w:rPr>
        <w:t> </w:t>
      </w:r>
      <w:r>
        <w:rPr>
          <w:color w:val="231F20"/>
          <w:w w:val="105"/>
        </w:rPr>
        <w:t>con</w:t>
      </w:r>
      <w:r>
        <w:rPr>
          <w:color w:val="231F20"/>
          <w:spacing w:val="-17"/>
          <w:w w:val="105"/>
        </w:rPr>
        <w:t> </w:t>
      </w:r>
      <w:r>
        <w:rPr>
          <w:color w:val="231F20"/>
          <w:w w:val="105"/>
        </w:rPr>
        <w:t>mayor</w:t>
      </w:r>
      <w:r>
        <w:rPr>
          <w:color w:val="231F20"/>
          <w:spacing w:val="-17"/>
          <w:w w:val="105"/>
        </w:rPr>
        <w:t> </w:t>
      </w:r>
      <w:r>
        <w:rPr>
          <w:color w:val="231F20"/>
          <w:w w:val="105"/>
        </w:rPr>
        <w:t>facilidad</w:t>
      </w:r>
      <w:r>
        <w:rPr>
          <w:color w:val="231F20"/>
          <w:spacing w:val="-17"/>
          <w:w w:val="105"/>
        </w:rPr>
        <w:t> </w:t>
      </w:r>
      <w:r>
        <w:rPr>
          <w:color w:val="231F20"/>
          <w:w w:val="105"/>
        </w:rPr>
        <w:t>con</w:t>
      </w:r>
      <w:r>
        <w:rPr>
          <w:color w:val="231F20"/>
          <w:spacing w:val="-17"/>
          <w:w w:val="105"/>
        </w:rPr>
        <w:t> </w:t>
      </w:r>
      <w:r>
        <w:rPr>
          <w:color w:val="231F20"/>
          <w:w w:val="105"/>
        </w:rPr>
        <w:t>sus</w:t>
      </w:r>
      <w:r>
        <w:rPr>
          <w:color w:val="231F20"/>
          <w:spacing w:val="-17"/>
          <w:w w:val="105"/>
        </w:rPr>
        <w:t> </w:t>
      </w:r>
      <w:r>
        <w:rPr>
          <w:color w:val="231F20"/>
          <w:w w:val="105"/>
        </w:rPr>
        <w:t>lugares</w:t>
      </w:r>
      <w:r>
        <w:rPr>
          <w:color w:val="231F20"/>
          <w:spacing w:val="-17"/>
          <w:w w:val="105"/>
        </w:rPr>
        <w:t> </w:t>
      </w:r>
      <w:r>
        <w:rPr>
          <w:color w:val="231F20"/>
          <w:w w:val="105"/>
        </w:rPr>
        <w:t>de</w:t>
      </w:r>
      <w:r>
        <w:rPr>
          <w:color w:val="231F20"/>
          <w:spacing w:val="-17"/>
          <w:w w:val="105"/>
        </w:rPr>
        <w:t> </w:t>
      </w:r>
      <w:r>
        <w:rPr>
          <w:color w:val="231F20"/>
          <w:w w:val="105"/>
        </w:rPr>
        <w:t>origen.</w:t>
      </w:r>
    </w:p>
    <w:p>
      <w:pPr>
        <w:pStyle w:val="BodyText"/>
        <w:spacing w:line="261" w:lineRule="auto" w:before="1"/>
        <w:ind w:left="1723" w:right="1828" w:firstLine="567"/>
        <w:jc w:val="both"/>
      </w:pPr>
      <w:r>
        <w:rPr>
          <w:color w:val="231F20"/>
          <w:w w:val="105"/>
        </w:rPr>
        <w:t>La migración como fenómeno social y como expresión de movi- lidad poblacional entre territorios hace que ocurran transformaciones, esto se ve reflejado en el caso de estudio en el crecimiento de los me- dios</w:t>
      </w:r>
      <w:r>
        <w:rPr>
          <w:color w:val="231F20"/>
          <w:spacing w:val="-13"/>
          <w:w w:val="105"/>
        </w:rPr>
        <w:t> </w:t>
      </w:r>
      <w:r>
        <w:rPr>
          <w:color w:val="231F20"/>
          <w:w w:val="105"/>
        </w:rPr>
        <w:t>de</w:t>
      </w:r>
      <w:r>
        <w:rPr>
          <w:color w:val="231F20"/>
          <w:spacing w:val="-13"/>
          <w:w w:val="105"/>
        </w:rPr>
        <w:t> </w:t>
      </w:r>
      <w:r>
        <w:rPr>
          <w:color w:val="231F20"/>
          <w:w w:val="105"/>
        </w:rPr>
        <w:t>transporte</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emergencia</w:t>
      </w:r>
      <w:r>
        <w:rPr>
          <w:color w:val="231F20"/>
          <w:spacing w:val="-13"/>
          <w:w w:val="105"/>
        </w:rPr>
        <w:t> </w:t>
      </w:r>
      <w:r>
        <w:rPr>
          <w:color w:val="231F20"/>
          <w:w w:val="105"/>
        </w:rPr>
        <w:t>de</w:t>
      </w:r>
      <w:r>
        <w:rPr>
          <w:color w:val="231F20"/>
          <w:spacing w:val="-13"/>
          <w:w w:val="105"/>
        </w:rPr>
        <w:t> </w:t>
      </w:r>
      <w:r>
        <w:rPr>
          <w:color w:val="231F20"/>
          <w:w w:val="105"/>
        </w:rPr>
        <w:t>economías</w:t>
      </w:r>
      <w:r>
        <w:rPr>
          <w:color w:val="231F20"/>
          <w:spacing w:val="-13"/>
          <w:w w:val="105"/>
        </w:rPr>
        <w:t> </w:t>
      </w:r>
      <w:r>
        <w:rPr>
          <w:color w:val="231F20"/>
          <w:w w:val="105"/>
        </w:rPr>
        <w:t>ligadas</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migración; existencia</w:t>
      </w:r>
      <w:r>
        <w:rPr>
          <w:color w:val="231F20"/>
          <w:spacing w:val="-9"/>
          <w:w w:val="105"/>
        </w:rPr>
        <w:t> </w:t>
      </w:r>
      <w:r>
        <w:rPr>
          <w:color w:val="231F20"/>
          <w:w w:val="105"/>
        </w:rPr>
        <w:t>de</w:t>
      </w:r>
      <w:r>
        <w:rPr>
          <w:color w:val="231F20"/>
          <w:spacing w:val="-9"/>
          <w:w w:val="105"/>
        </w:rPr>
        <w:t> </w:t>
      </w:r>
      <w:r>
        <w:rPr>
          <w:color w:val="231F20"/>
          <w:w w:val="105"/>
        </w:rPr>
        <w:t>líneas</w:t>
      </w:r>
      <w:r>
        <w:rPr>
          <w:color w:val="231F20"/>
          <w:spacing w:val="-9"/>
          <w:w w:val="105"/>
        </w:rPr>
        <w:t> </w:t>
      </w:r>
      <w:r>
        <w:rPr>
          <w:color w:val="231F20"/>
          <w:w w:val="105"/>
        </w:rPr>
        <w:t>telefónicas</w:t>
      </w:r>
      <w:r>
        <w:rPr>
          <w:color w:val="231F20"/>
          <w:spacing w:val="-9"/>
          <w:w w:val="105"/>
        </w:rPr>
        <w:t> </w:t>
      </w:r>
      <w:r>
        <w:rPr>
          <w:color w:val="231F20"/>
          <w:w w:val="105"/>
        </w:rPr>
        <w:t>fijas</w:t>
      </w:r>
      <w:r>
        <w:rPr>
          <w:color w:val="231F20"/>
          <w:spacing w:val="-9"/>
          <w:w w:val="105"/>
        </w:rPr>
        <w:t> </w:t>
      </w:r>
      <w:r>
        <w:rPr>
          <w:color w:val="231F20"/>
          <w:w w:val="105"/>
        </w:rPr>
        <w:t>y</w:t>
      </w:r>
      <w:r>
        <w:rPr>
          <w:color w:val="231F20"/>
          <w:spacing w:val="-9"/>
          <w:w w:val="105"/>
        </w:rPr>
        <w:t> </w:t>
      </w:r>
      <w:r>
        <w:rPr>
          <w:color w:val="231F20"/>
          <w:w w:val="105"/>
        </w:rPr>
        <w:t>celular,</w:t>
      </w:r>
      <w:r>
        <w:rPr>
          <w:color w:val="231F20"/>
          <w:spacing w:val="-13"/>
          <w:w w:val="105"/>
        </w:rPr>
        <w:t> </w:t>
      </w:r>
      <w:r>
        <w:rPr>
          <w:color w:val="231F20"/>
          <w:w w:val="105"/>
        </w:rPr>
        <w:t>además</w:t>
      </w:r>
      <w:r>
        <w:rPr>
          <w:color w:val="231F20"/>
          <w:spacing w:val="-9"/>
          <w:w w:val="105"/>
        </w:rPr>
        <w:t> </w:t>
      </w:r>
      <w:r>
        <w:rPr>
          <w:color w:val="231F20"/>
          <w:w w:val="105"/>
        </w:rPr>
        <w:t>del</w:t>
      </w:r>
      <w:r>
        <w:rPr>
          <w:color w:val="231F20"/>
          <w:spacing w:val="-9"/>
          <w:w w:val="105"/>
        </w:rPr>
        <w:t> </w:t>
      </w:r>
      <w:r>
        <w:rPr>
          <w:color w:val="231F20"/>
          <w:w w:val="105"/>
        </w:rPr>
        <w:t>creciente</w:t>
      </w:r>
      <w:r>
        <w:rPr>
          <w:color w:val="231F20"/>
          <w:spacing w:val="-9"/>
          <w:w w:val="105"/>
        </w:rPr>
        <w:t> </w:t>
      </w:r>
      <w:r>
        <w:rPr>
          <w:color w:val="231F20"/>
          <w:w w:val="105"/>
        </w:rPr>
        <w:t>uso del</w:t>
      </w:r>
      <w:r>
        <w:rPr>
          <w:color w:val="231F20"/>
          <w:spacing w:val="22"/>
          <w:w w:val="105"/>
        </w:rPr>
        <w:t> </w:t>
      </w:r>
      <w:r>
        <w:rPr>
          <w:color w:val="231F20"/>
          <w:w w:val="105"/>
        </w:rPr>
        <w:t>internet.</w:t>
      </w:r>
      <w:r>
        <w:rPr>
          <w:color w:val="231F20"/>
          <w:spacing w:val="-25"/>
          <w:w w:val="105"/>
        </w:rPr>
        <w:t> </w:t>
      </w:r>
      <w:r>
        <w:rPr>
          <w:color w:val="231F20"/>
          <w:spacing w:val="-6"/>
          <w:w w:val="105"/>
        </w:rPr>
        <w:t>Por</w:t>
      </w:r>
      <w:r>
        <w:rPr>
          <w:color w:val="231F20"/>
          <w:spacing w:val="-19"/>
          <w:w w:val="105"/>
        </w:rPr>
        <w:t> </w:t>
      </w:r>
      <w:r>
        <w:rPr>
          <w:color w:val="231F20"/>
          <w:w w:val="105"/>
        </w:rPr>
        <w:t>ejemplo,</w:t>
      </w:r>
      <w:r>
        <w:rPr>
          <w:color w:val="231F20"/>
          <w:spacing w:val="-25"/>
          <w:w w:val="105"/>
        </w:rPr>
        <w:t> </w:t>
      </w:r>
      <w:r>
        <w:rPr>
          <w:color w:val="231F20"/>
          <w:w w:val="105"/>
        </w:rPr>
        <w:t>en</w:t>
      </w:r>
      <w:r>
        <w:rPr>
          <w:color w:val="231F20"/>
          <w:spacing w:val="-19"/>
          <w:w w:val="105"/>
        </w:rPr>
        <w:t> </w:t>
      </w:r>
      <w:r>
        <w:rPr>
          <w:color w:val="231F20"/>
          <w:w w:val="105"/>
        </w:rPr>
        <w:t>entrevista</w:t>
      </w:r>
      <w:r>
        <w:rPr>
          <w:color w:val="231F20"/>
          <w:spacing w:val="-19"/>
          <w:w w:val="105"/>
        </w:rPr>
        <w:t> </w:t>
      </w:r>
      <w:r>
        <w:rPr>
          <w:color w:val="231F20"/>
          <w:w w:val="105"/>
        </w:rPr>
        <w:t>con</w:t>
      </w:r>
      <w:r>
        <w:rPr>
          <w:color w:val="231F20"/>
          <w:spacing w:val="-19"/>
          <w:w w:val="105"/>
        </w:rPr>
        <w:t> </w:t>
      </w:r>
      <w:r>
        <w:rPr>
          <w:color w:val="231F20"/>
          <w:w w:val="105"/>
        </w:rPr>
        <w:t>las</w:t>
      </w:r>
      <w:r>
        <w:rPr>
          <w:color w:val="231F20"/>
          <w:spacing w:val="-19"/>
          <w:w w:val="105"/>
        </w:rPr>
        <w:t> </w:t>
      </w:r>
      <w:r>
        <w:rPr>
          <w:color w:val="231F20"/>
          <w:w w:val="105"/>
        </w:rPr>
        <w:t>autoridades</w:t>
      </w:r>
      <w:r>
        <w:rPr>
          <w:color w:val="231F20"/>
          <w:spacing w:val="-19"/>
          <w:w w:val="105"/>
        </w:rPr>
        <w:t> </w:t>
      </w:r>
      <w:r>
        <w:rPr>
          <w:color w:val="231F20"/>
          <w:w w:val="105"/>
        </w:rPr>
        <w:t>del</w:t>
      </w:r>
      <w:r>
        <w:rPr>
          <w:color w:val="231F20"/>
          <w:spacing w:val="-19"/>
          <w:w w:val="105"/>
        </w:rPr>
        <w:t> </w:t>
      </w:r>
      <w:r>
        <w:rPr>
          <w:color w:val="231F20"/>
          <w:w w:val="105"/>
        </w:rPr>
        <w:t>municipio mencionaron</w:t>
      </w:r>
      <w:r>
        <w:rPr>
          <w:color w:val="231F20"/>
          <w:spacing w:val="-19"/>
          <w:w w:val="105"/>
        </w:rPr>
        <w:t> </w:t>
      </w:r>
      <w:r>
        <w:rPr>
          <w:color w:val="231F20"/>
          <w:w w:val="105"/>
        </w:rPr>
        <w:t>que</w:t>
      </w:r>
      <w:r>
        <w:rPr>
          <w:color w:val="231F20"/>
          <w:spacing w:val="-19"/>
          <w:w w:val="105"/>
        </w:rPr>
        <w:t> </w:t>
      </w:r>
      <w:r>
        <w:rPr>
          <w:color w:val="231F20"/>
          <w:w w:val="105"/>
        </w:rPr>
        <w:t>el</w:t>
      </w:r>
      <w:r>
        <w:rPr>
          <w:color w:val="231F20"/>
          <w:spacing w:val="-19"/>
          <w:w w:val="105"/>
        </w:rPr>
        <w:t> </w:t>
      </w:r>
      <w:r>
        <w:rPr>
          <w:color w:val="231F20"/>
          <w:w w:val="105"/>
        </w:rPr>
        <w:t>modelo</w:t>
      </w:r>
      <w:r>
        <w:rPr>
          <w:color w:val="231F20"/>
          <w:spacing w:val="-19"/>
          <w:w w:val="105"/>
        </w:rPr>
        <w:t> </w:t>
      </w:r>
      <w:r>
        <w:rPr>
          <w:color w:val="231F20"/>
          <w:w w:val="105"/>
        </w:rPr>
        <w:t>a</w:t>
      </w:r>
      <w:r>
        <w:rPr>
          <w:color w:val="231F20"/>
          <w:spacing w:val="-19"/>
          <w:w w:val="105"/>
        </w:rPr>
        <w:t> </w:t>
      </w:r>
      <w:r>
        <w:rPr>
          <w:color w:val="231F20"/>
          <w:w w:val="105"/>
        </w:rPr>
        <w:t>seguir</w:t>
      </w:r>
      <w:r>
        <w:rPr>
          <w:color w:val="231F20"/>
          <w:spacing w:val="-19"/>
          <w:w w:val="105"/>
        </w:rPr>
        <w:t> </w:t>
      </w:r>
      <w:r>
        <w:rPr>
          <w:color w:val="231F20"/>
          <w:w w:val="105"/>
        </w:rPr>
        <w:t>de</w:t>
      </w:r>
      <w:r>
        <w:rPr>
          <w:color w:val="231F20"/>
          <w:spacing w:val="-19"/>
          <w:w w:val="105"/>
        </w:rPr>
        <w:t> </w:t>
      </w:r>
      <w:r>
        <w:rPr>
          <w:color w:val="231F20"/>
          <w:w w:val="105"/>
        </w:rPr>
        <w:t>comunicación</w:t>
      </w:r>
      <w:r>
        <w:rPr>
          <w:color w:val="231F20"/>
          <w:spacing w:val="-19"/>
          <w:w w:val="105"/>
        </w:rPr>
        <w:t> </w:t>
      </w:r>
      <w:r>
        <w:rPr>
          <w:color w:val="231F20"/>
          <w:w w:val="105"/>
        </w:rPr>
        <w:t>virtual</w:t>
      </w:r>
      <w:r>
        <w:rPr>
          <w:color w:val="231F20"/>
          <w:spacing w:val="-19"/>
          <w:w w:val="105"/>
        </w:rPr>
        <w:t> </w:t>
      </w:r>
      <w:r>
        <w:rPr>
          <w:color w:val="231F20"/>
          <w:w w:val="105"/>
        </w:rPr>
        <w:t>es</w:t>
      </w:r>
      <w:r>
        <w:rPr>
          <w:color w:val="231F20"/>
          <w:spacing w:val="-19"/>
          <w:w w:val="105"/>
        </w:rPr>
        <w:t> </w:t>
      </w:r>
      <w:r>
        <w:rPr>
          <w:color w:val="231F20"/>
          <w:w w:val="105"/>
        </w:rPr>
        <w:t>la</w:t>
      </w:r>
      <w:r>
        <w:rPr>
          <w:color w:val="231F20"/>
          <w:spacing w:val="-19"/>
          <w:w w:val="105"/>
        </w:rPr>
        <w:t> </w:t>
      </w:r>
      <w:r>
        <w:rPr>
          <w:color w:val="231F20"/>
          <w:w w:val="105"/>
        </w:rPr>
        <w:t>comu- nidad</w:t>
      </w:r>
      <w:r>
        <w:rPr>
          <w:color w:val="231F20"/>
          <w:spacing w:val="-13"/>
          <w:w w:val="105"/>
        </w:rPr>
        <w:t> </w:t>
      </w:r>
      <w:r>
        <w:rPr>
          <w:color w:val="231F20"/>
          <w:w w:val="105"/>
        </w:rPr>
        <w:t>de</w:t>
      </w:r>
      <w:r>
        <w:rPr>
          <w:color w:val="231F20"/>
          <w:spacing w:val="-13"/>
          <w:w w:val="105"/>
        </w:rPr>
        <w:t> </w:t>
      </w:r>
      <w:r>
        <w:rPr>
          <w:color w:val="231F20"/>
          <w:w w:val="105"/>
        </w:rPr>
        <w:t>San</w:t>
      </w:r>
      <w:r>
        <w:rPr>
          <w:color w:val="231F20"/>
          <w:spacing w:val="-16"/>
          <w:w w:val="105"/>
        </w:rPr>
        <w:t> </w:t>
      </w:r>
      <w:r>
        <w:rPr>
          <w:color w:val="231F20"/>
          <w:w w:val="105"/>
        </w:rPr>
        <w:t>Antonio</w:t>
      </w:r>
      <w:r>
        <w:rPr>
          <w:color w:val="231F20"/>
          <w:spacing w:val="-13"/>
          <w:w w:val="105"/>
        </w:rPr>
        <w:t> </w:t>
      </w:r>
      <w:r>
        <w:rPr>
          <w:color w:val="231F20"/>
          <w:w w:val="105"/>
        </w:rPr>
        <w:t>Pachuquilla,</w:t>
      </w:r>
      <w:r>
        <w:rPr>
          <w:color w:val="231F20"/>
          <w:spacing w:val="-18"/>
          <w:w w:val="105"/>
        </w:rPr>
        <w:t> </w:t>
      </w:r>
      <w:r>
        <w:rPr>
          <w:color w:val="231F20"/>
          <w:w w:val="105"/>
        </w:rPr>
        <w:t>una</w:t>
      </w:r>
      <w:r>
        <w:rPr>
          <w:color w:val="231F20"/>
          <w:spacing w:val="-13"/>
          <w:w w:val="105"/>
        </w:rPr>
        <w:t> </w:t>
      </w:r>
      <w:r>
        <w:rPr>
          <w:color w:val="231F20"/>
          <w:w w:val="105"/>
        </w:rPr>
        <w:t>comunidad</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más</w:t>
      </w:r>
      <w:r>
        <w:rPr>
          <w:color w:val="231F20"/>
          <w:spacing w:val="-13"/>
          <w:w w:val="105"/>
        </w:rPr>
        <w:t> </w:t>
      </w:r>
      <w:r>
        <w:rPr>
          <w:color w:val="231F20"/>
          <w:w w:val="105"/>
        </w:rPr>
        <w:t>importan- tes</w:t>
      </w:r>
      <w:r>
        <w:rPr>
          <w:color w:val="231F20"/>
          <w:spacing w:val="-28"/>
          <w:w w:val="105"/>
        </w:rPr>
        <w:t> </w:t>
      </w:r>
      <w:r>
        <w:rPr>
          <w:color w:val="231F20"/>
          <w:w w:val="105"/>
        </w:rPr>
        <w:t>(en</w:t>
      </w:r>
      <w:r>
        <w:rPr>
          <w:color w:val="231F20"/>
          <w:spacing w:val="-28"/>
          <w:w w:val="105"/>
        </w:rPr>
        <w:t> </w:t>
      </w:r>
      <w:r>
        <w:rPr>
          <w:color w:val="231F20"/>
          <w:w w:val="105"/>
        </w:rPr>
        <w:t>términos</w:t>
      </w:r>
      <w:r>
        <w:rPr>
          <w:color w:val="231F20"/>
          <w:spacing w:val="-28"/>
          <w:w w:val="105"/>
        </w:rPr>
        <w:t> </w:t>
      </w:r>
      <w:r>
        <w:rPr>
          <w:color w:val="231F20"/>
          <w:w w:val="105"/>
        </w:rPr>
        <w:t>de</w:t>
      </w:r>
      <w:r>
        <w:rPr>
          <w:color w:val="231F20"/>
          <w:spacing w:val="-28"/>
          <w:w w:val="105"/>
        </w:rPr>
        <w:t> </w:t>
      </w:r>
      <w:r>
        <w:rPr>
          <w:color w:val="231F20"/>
          <w:w w:val="105"/>
        </w:rPr>
        <w:t>migración</w:t>
      </w:r>
      <w:r>
        <w:rPr>
          <w:color w:val="231F20"/>
          <w:spacing w:val="-28"/>
          <w:w w:val="105"/>
        </w:rPr>
        <w:t> </w:t>
      </w:r>
      <w:r>
        <w:rPr>
          <w:color w:val="231F20"/>
          <w:w w:val="105"/>
        </w:rPr>
        <w:t>a</w:t>
      </w:r>
      <w:r>
        <w:rPr>
          <w:color w:val="231F20"/>
          <w:spacing w:val="-28"/>
          <w:w w:val="105"/>
        </w:rPr>
        <w:t> </w:t>
      </w:r>
      <w:r>
        <w:rPr>
          <w:color w:val="231F20"/>
          <w:w w:val="105"/>
        </w:rPr>
        <w:t>Estados</w:t>
      </w:r>
      <w:r>
        <w:rPr>
          <w:color w:val="231F20"/>
          <w:spacing w:val="-28"/>
          <w:w w:val="105"/>
        </w:rPr>
        <w:t> </w:t>
      </w:r>
      <w:r>
        <w:rPr>
          <w:color w:val="231F20"/>
          <w:w w:val="105"/>
        </w:rPr>
        <w:t>Unidos),</w:t>
      </w:r>
      <w:r>
        <w:rPr>
          <w:color w:val="231F20"/>
          <w:spacing w:val="-32"/>
          <w:w w:val="105"/>
        </w:rPr>
        <w:t> </w:t>
      </w:r>
      <w:r>
        <w:rPr>
          <w:color w:val="231F20"/>
          <w:w w:val="105"/>
        </w:rPr>
        <w:t>ya</w:t>
      </w:r>
      <w:r>
        <w:rPr>
          <w:color w:val="231F20"/>
          <w:spacing w:val="-28"/>
          <w:w w:val="105"/>
        </w:rPr>
        <w:t> </w:t>
      </w:r>
      <w:r>
        <w:rPr>
          <w:color w:val="231F20"/>
          <w:w w:val="105"/>
        </w:rPr>
        <w:t>que</w:t>
      </w:r>
      <w:r>
        <w:rPr>
          <w:color w:val="231F20"/>
          <w:spacing w:val="-28"/>
          <w:w w:val="105"/>
        </w:rPr>
        <w:t> </w:t>
      </w:r>
      <w:r>
        <w:rPr>
          <w:color w:val="231F20"/>
          <w:w w:val="105"/>
        </w:rPr>
        <w:t>en</w:t>
      </w:r>
      <w:r>
        <w:rPr>
          <w:color w:val="231F20"/>
          <w:spacing w:val="-28"/>
          <w:w w:val="105"/>
        </w:rPr>
        <w:t> </w:t>
      </w:r>
      <w:r>
        <w:rPr>
          <w:color w:val="231F20"/>
          <w:w w:val="105"/>
        </w:rPr>
        <w:t>esta</w:t>
      </w:r>
      <w:r>
        <w:rPr>
          <w:color w:val="231F20"/>
          <w:spacing w:val="-28"/>
          <w:w w:val="105"/>
        </w:rPr>
        <w:t> </w:t>
      </w:r>
      <w:r>
        <w:rPr>
          <w:color w:val="231F20"/>
          <w:w w:val="105"/>
        </w:rPr>
        <w:t>localidad se</w:t>
      </w:r>
      <w:r>
        <w:rPr>
          <w:color w:val="231F20"/>
          <w:spacing w:val="-7"/>
          <w:w w:val="105"/>
        </w:rPr>
        <w:t> </w:t>
      </w:r>
      <w:r>
        <w:rPr>
          <w:color w:val="231F20"/>
          <w:w w:val="105"/>
        </w:rPr>
        <w:t>cuenta</w:t>
      </w:r>
      <w:r>
        <w:rPr>
          <w:color w:val="231F20"/>
          <w:spacing w:val="-7"/>
          <w:w w:val="105"/>
        </w:rPr>
        <w:t> </w:t>
      </w:r>
      <w:r>
        <w:rPr>
          <w:color w:val="231F20"/>
          <w:w w:val="105"/>
        </w:rPr>
        <w:t>con</w:t>
      </w:r>
      <w:r>
        <w:rPr>
          <w:color w:val="231F20"/>
          <w:spacing w:val="-7"/>
          <w:w w:val="105"/>
        </w:rPr>
        <w:t> </w:t>
      </w:r>
      <w:r>
        <w:rPr>
          <w:color w:val="231F20"/>
          <w:w w:val="105"/>
        </w:rPr>
        <w:t>su</w:t>
      </w:r>
      <w:r>
        <w:rPr>
          <w:color w:val="231F20"/>
          <w:spacing w:val="-7"/>
          <w:w w:val="105"/>
        </w:rPr>
        <w:t> </w:t>
      </w:r>
      <w:r>
        <w:rPr>
          <w:color w:val="231F20"/>
          <w:w w:val="105"/>
        </w:rPr>
        <w:t>propia</w:t>
      </w:r>
      <w:r>
        <w:rPr>
          <w:color w:val="231F20"/>
          <w:spacing w:val="-7"/>
          <w:w w:val="105"/>
        </w:rPr>
        <w:t> </w:t>
      </w:r>
      <w:r>
        <w:rPr>
          <w:color w:val="231F20"/>
          <w:w w:val="105"/>
        </w:rPr>
        <w:t>página</w:t>
      </w:r>
      <w:r>
        <w:rPr>
          <w:color w:val="231F20"/>
          <w:spacing w:val="-7"/>
          <w:w w:val="105"/>
        </w:rPr>
        <w:t> </w:t>
      </w:r>
      <w:r>
        <w:rPr>
          <w:color w:val="231F20"/>
          <w:w w:val="105"/>
        </w:rPr>
        <w:t>web</w:t>
      </w:r>
      <w:r>
        <w:rPr>
          <w:color w:val="231F20"/>
          <w:spacing w:val="-7"/>
          <w:w w:val="105"/>
        </w:rPr>
        <w:t> </w:t>
      </w:r>
      <w:r>
        <w:rPr>
          <w:color w:val="231F20"/>
          <w:w w:val="105"/>
        </w:rPr>
        <w:t>llamada</w:t>
      </w:r>
      <w:r>
        <w:rPr>
          <w:color w:val="231F20"/>
          <w:spacing w:val="-7"/>
          <w:w w:val="105"/>
        </w:rPr>
        <w:t> </w:t>
      </w:r>
      <w:r>
        <w:rPr>
          <w:color w:val="231F20"/>
          <w:w w:val="105"/>
        </w:rPr>
        <w:t>pachuquilla.com,</w:t>
      </w:r>
      <w:r>
        <w:rPr>
          <w:color w:val="231F20"/>
          <w:spacing w:val="-12"/>
          <w:w w:val="105"/>
        </w:rPr>
        <w:t> </w:t>
      </w:r>
      <w:r>
        <w:rPr>
          <w:color w:val="231F20"/>
          <w:w w:val="105"/>
        </w:rPr>
        <w:t>teniendo dicha</w:t>
      </w:r>
      <w:r>
        <w:rPr>
          <w:color w:val="231F20"/>
          <w:spacing w:val="-14"/>
          <w:w w:val="105"/>
        </w:rPr>
        <w:t> </w:t>
      </w:r>
      <w:r>
        <w:rPr>
          <w:color w:val="231F20"/>
          <w:w w:val="105"/>
        </w:rPr>
        <w:t>comunidad</w:t>
      </w:r>
      <w:r>
        <w:rPr>
          <w:color w:val="231F20"/>
          <w:spacing w:val="-14"/>
          <w:w w:val="105"/>
        </w:rPr>
        <w:t> </w:t>
      </w:r>
      <w:r>
        <w:rPr>
          <w:color w:val="231F20"/>
          <w:w w:val="105"/>
        </w:rPr>
        <w:t>su</w:t>
      </w:r>
      <w:r>
        <w:rPr>
          <w:color w:val="231F20"/>
          <w:spacing w:val="-14"/>
          <w:w w:val="105"/>
        </w:rPr>
        <w:t> </w:t>
      </w:r>
      <w:r>
        <w:rPr>
          <w:color w:val="231F20"/>
          <w:w w:val="105"/>
        </w:rPr>
        <w:t>propia</w:t>
      </w:r>
      <w:r>
        <w:rPr>
          <w:color w:val="231F20"/>
          <w:spacing w:val="-14"/>
          <w:w w:val="105"/>
        </w:rPr>
        <w:t> </w:t>
      </w:r>
      <w:r>
        <w:rPr>
          <w:color w:val="231F20"/>
          <w:w w:val="105"/>
        </w:rPr>
        <w:t>sala</w:t>
      </w:r>
      <w:r>
        <w:rPr>
          <w:color w:val="231F20"/>
          <w:spacing w:val="-14"/>
          <w:w w:val="105"/>
        </w:rPr>
        <w:t> </w:t>
      </w:r>
      <w:r>
        <w:rPr>
          <w:color w:val="231F20"/>
          <w:w w:val="105"/>
        </w:rPr>
        <w:t>de</w:t>
      </w:r>
      <w:r>
        <w:rPr>
          <w:color w:val="231F20"/>
          <w:spacing w:val="-14"/>
          <w:w w:val="105"/>
        </w:rPr>
        <w:t> </w:t>
      </w:r>
      <w:r>
        <w:rPr>
          <w:color w:val="231F20"/>
          <w:w w:val="105"/>
        </w:rPr>
        <w:t>cómputo</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uso</w:t>
      </w:r>
      <w:r>
        <w:rPr>
          <w:color w:val="231F20"/>
          <w:spacing w:val="-14"/>
          <w:w w:val="105"/>
        </w:rPr>
        <w:t> </w:t>
      </w:r>
      <w:r>
        <w:rPr>
          <w:color w:val="231F20"/>
          <w:w w:val="105"/>
        </w:rPr>
        <w:t>gratuito</w:t>
      </w:r>
      <w:r>
        <w:rPr>
          <w:color w:val="231F20"/>
          <w:spacing w:val="-14"/>
          <w:w w:val="105"/>
        </w:rPr>
        <w:t> </w:t>
      </w:r>
      <w:r>
        <w:rPr>
          <w:color w:val="231F20"/>
          <w:w w:val="105"/>
        </w:rPr>
        <w:t>de</w:t>
      </w:r>
      <w:r>
        <w:rPr>
          <w:color w:val="231F20"/>
          <w:spacing w:val="-14"/>
          <w:w w:val="105"/>
        </w:rPr>
        <w:t> </w:t>
      </w:r>
      <w:r>
        <w:rPr>
          <w:color w:val="231F20"/>
          <w:w w:val="105"/>
        </w:rPr>
        <w:t>internet, además cuenta con una persona que trabaja en la propia sala de cóm- puto</w:t>
      </w:r>
      <w:r>
        <w:rPr>
          <w:color w:val="231F20"/>
          <w:spacing w:val="-19"/>
          <w:w w:val="105"/>
        </w:rPr>
        <w:t> </w:t>
      </w:r>
      <w:r>
        <w:rPr>
          <w:color w:val="231F20"/>
          <w:w w:val="105"/>
        </w:rPr>
        <w:t>como</w:t>
      </w:r>
      <w:r>
        <w:rPr>
          <w:color w:val="231F20"/>
          <w:spacing w:val="-19"/>
          <w:w w:val="105"/>
        </w:rPr>
        <w:t> </w:t>
      </w:r>
      <w:r>
        <w:rPr>
          <w:color w:val="231F20"/>
          <w:w w:val="105"/>
        </w:rPr>
        <w:t>asesor,</w:t>
      </w:r>
      <w:r>
        <w:rPr>
          <w:color w:val="231F20"/>
          <w:spacing w:val="-24"/>
          <w:w w:val="105"/>
        </w:rPr>
        <w:t> </w:t>
      </w:r>
      <w:r>
        <w:rPr>
          <w:color w:val="231F20"/>
          <w:w w:val="105"/>
        </w:rPr>
        <w:t>para</w:t>
      </w:r>
      <w:r>
        <w:rPr>
          <w:color w:val="231F20"/>
          <w:spacing w:val="-19"/>
          <w:w w:val="105"/>
        </w:rPr>
        <w:t> </w:t>
      </w:r>
      <w:r>
        <w:rPr>
          <w:color w:val="231F20"/>
          <w:w w:val="105"/>
        </w:rPr>
        <w:t>quienes</w:t>
      </w:r>
      <w:r>
        <w:rPr>
          <w:color w:val="231F20"/>
          <w:spacing w:val="-19"/>
          <w:w w:val="105"/>
        </w:rPr>
        <w:t> </w:t>
      </w:r>
      <w:r>
        <w:rPr>
          <w:color w:val="231F20"/>
          <w:w w:val="105"/>
        </w:rPr>
        <w:t>no</w:t>
      </w:r>
      <w:r>
        <w:rPr>
          <w:color w:val="231F20"/>
          <w:spacing w:val="-19"/>
          <w:w w:val="105"/>
        </w:rPr>
        <w:t> </w:t>
      </w:r>
      <w:r>
        <w:rPr>
          <w:color w:val="231F20"/>
          <w:w w:val="105"/>
        </w:rPr>
        <w:t>saben</w:t>
      </w:r>
      <w:r>
        <w:rPr>
          <w:color w:val="231F20"/>
          <w:spacing w:val="-19"/>
          <w:w w:val="105"/>
        </w:rPr>
        <w:t> </w:t>
      </w:r>
      <w:r>
        <w:rPr>
          <w:color w:val="231F20"/>
          <w:w w:val="105"/>
        </w:rPr>
        <w:t>usar</w:t>
      </w:r>
      <w:r>
        <w:rPr>
          <w:color w:val="231F20"/>
          <w:spacing w:val="-19"/>
          <w:w w:val="105"/>
        </w:rPr>
        <w:t> </w:t>
      </w:r>
      <w:r>
        <w:rPr>
          <w:color w:val="231F20"/>
          <w:w w:val="105"/>
        </w:rPr>
        <w:t>la</w:t>
      </w:r>
      <w:r>
        <w:rPr>
          <w:color w:val="231F20"/>
          <w:spacing w:val="-19"/>
          <w:w w:val="105"/>
        </w:rPr>
        <w:t> </w:t>
      </w:r>
      <w:r>
        <w:rPr>
          <w:color w:val="231F20"/>
          <w:w w:val="105"/>
        </w:rPr>
        <w:t>computadora</w:t>
      </w:r>
      <w:r>
        <w:rPr>
          <w:color w:val="231F20"/>
          <w:spacing w:val="-19"/>
          <w:w w:val="105"/>
        </w:rPr>
        <w:t> </w:t>
      </w:r>
      <w:r>
        <w:rPr>
          <w:color w:val="231F20"/>
          <w:w w:val="105"/>
        </w:rPr>
        <w:t>y</w:t>
      </w:r>
      <w:r>
        <w:rPr>
          <w:color w:val="231F20"/>
          <w:spacing w:val="-19"/>
          <w:w w:val="105"/>
        </w:rPr>
        <w:t> </w:t>
      </w:r>
      <w:r>
        <w:rPr>
          <w:color w:val="231F20"/>
          <w:w w:val="105"/>
        </w:rPr>
        <w:t>desean comunicarse</w:t>
      </w:r>
      <w:r>
        <w:rPr>
          <w:color w:val="231F20"/>
          <w:spacing w:val="-32"/>
          <w:w w:val="105"/>
        </w:rPr>
        <w:t> </w:t>
      </w:r>
      <w:r>
        <w:rPr>
          <w:color w:val="231F20"/>
          <w:w w:val="105"/>
        </w:rPr>
        <w:t>con</w:t>
      </w:r>
      <w:r>
        <w:rPr>
          <w:color w:val="231F20"/>
          <w:spacing w:val="-32"/>
          <w:w w:val="105"/>
        </w:rPr>
        <w:t> </w:t>
      </w:r>
      <w:r>
        <w:rPr>
          <w:color w:val="231F20"/>
          <w:w w:val="105"/>
        </w:rPr>
        <w:t>sus</w:t>
      </w:r>
      <w:r>
        <w:rPr>
          <w:color w:val="231F20"/>
          <w:spacing w:val="-32"/>
          <w:w w:val="105"/>
        </w:rPr>
        <w:t> </w:t>
      </w:r>
      <w:r>
        <w:rPr>
          <w:color w:val="231F20"/>
          <w:w w:val="105"/>
        </w:rPr>
        <w:t>paisanos,</w:t>
      </w:r>
      <w:r>
        <w:rPr>
          <w:color w:val="231F20"/>
          <w:spacing w:val="-35"/>
          <w:w w:val="105"/>
        </w:rPr>
        <w:t> </w:t>
      </w:r>
      <w:r>
        <w:rPr>
          <w:color w:val="231F20"/>
          <w:w w:val="105"/>
        </w:rPr>
        <w:t>amigos</w:t>
      </w:r>
      <w:r>
        <w:rPr>
          <w:color w:val="231F20"/>
          <w:spacing w:val="-32"/>
          <w:w w:val="105"/>
        </w:rPr>
        <w:t> </w:t>
      </w:r>
      <w:r>
        <w:rPr>
          <w:color w:val="231F20"/>
          <w:w w:val="105"/>
        </w:rPr>
        <w:t>y</w:t>
      </w:r>
      <w:r>
        <w:rPr>
          <w:color w:val="231F20"/>
          <w:spacing w:val="-32"/>
          <w:w w:val="105"/>
        </w:rPr>
        <w:t> </w:t>
      </w:r>
      <w:r>
        <w:rPr>
          <w:color w:val="231F20"/>
          <w:w w:val="105"/>
        </w:rPr>
        <w:t>familiares</w:t>
      </w:r>
      <w:r>
        <w:rPr>
          <w:color w:val="231F20"/>
          <w:spacing w:val="-32"/>
          <w:w w:val="105"/>
        </w:rPr>
        <w:t> </w:t>
      </w:r>
      <w:r>
        <w:rPr>
          <w:color w:val="231F20"/>
          <w:w w:val="105"/>
        </w:rPr>
        <w:t>en</w:t>
      </w:r>
      <w:r>
        <w:rPr>
          <w:color w:val="231F20"/>
          <w:spacing w:val="-32"/>
          <w:w w:val="105"/>
        </w:rPr>
        <w:t> </w:t>
      </w:r>
      <w:r>
        <w:rPr>
          <w:color w:val="231F20"/>
          <w:w w:val="105"/>
        </w:rPr>
        <w:t>Estados</w:t>
      </w:r>
      <w:r>
        <w:rPr>
          <w:color w:val="231F20"/>
          <w:spacing w:val="-32"/>
          <w:w w:val="105"/>
        </w:rPr>
        <w:t> </w:t>
      </w:r>
      <w:r>
        <w:rPr>
          <w:color w:val="231F20"/>
          <w:w w:val="105"/>
        </w:rPr>
        <w:t>Unidos.</w:t>
      </w:r>
    </w:p>
    <w:p>
      <w:pPr>
        <w:pStyle w:val="BodyText"/>
        <w:spacing w:line="261" w:lineRule="auto" w:before="1"/>
        <w:ind w:left="1723" w:right="1834" w:firstLine="567"/>
        <w:jc w:val="both"/>
      </w:pPr>
      <w:r>
        <w:rPr>
          <w:color w:val="231F20"/>
          <w:w w:val="105"/>
        </w:rPr>
        <w:t>Dicha</w:t>
      </w:r>
      <w:r>
        <w:rPr>
          <w:color w:val="231F20"/>
          <w:spacing w:val="-4"/>
          <w:w w:val="105"/>
        </w:rPr>
        <w:t> </w:t>
      </w:r>
      <w:r>
        <w:rPr>
          <w:color w:val="231F20"/>
          <w:w w:val="105"/>
        </w:rPr>
        <w:t>página</w:t>
      </w:r>
      <w:r>
        <w:rPr>
          <w:color w:val="231F20"/>
          <w:spacing w:val="-4"/>
          <w:w w:val="105"/>
        </w:rPr>
        <w:t> </w:t>
      </w:r>
      <w:r>
        <w:rPr>
          <w:color w:val="231F20"/>
          <w:w w:val="105"/>
        </w:rPr>
        <w:t>web</w:t>
      </w:r>
      <w:r>
        <w:rPr>
          <w:color w:val="231F20"/>
          <w:spacing w:val="-4"/>
          <w:w w:val="105"/>
        </w:rPr>
        <w:t> </w:t>
      </w:r>
      <w:r>
        <w:rPr>
          <w:color w:val="231F20"/>
          <w:w w:val="105"/>
        </w:rPr>
        <w:t>está</w:t>
      </w:r>
      <w:r>
        <w:rPr>
          <w:color w:val="231F20"/>
          <w:spacing w:val="-4"/>
          <w:w w:val="105"/>
        </w:rPr>
        <w:t> </w:t>
      </w:r>
      <w:r>
        <w:rPr>
          <w:color w:val="231F20"/>
          <w:w w:val="105"/>
        </w:rPr>
        <w:t>diseñada</w:t>
      </w:r>
      <w:r>
        <w:rPr>
          <w:color w:val="231F20"/>
          <w:spacing w:val="-4"/>
          <w:w w:val="105"/>
        </w:rPr>
        <w:t> </w:t>
      </w:r>
      <w:r>
        <w:rPr>
          <w:color w:val="231F20"/>
          <w:w w:val="105"/>
        </w:rPr>
        <w:t>para</w:t>
      </w:r>
      <w:r>
        <w:rPr>
          <w:color w:val="231F20"/>
          <w:spacing w:val="-4"/>
          <w:w w:val="105"/>
        </w:rPr>
        <w:t> </w:t>
      </w:r>
      <w:r>
        <w:rPr>
          <w:color w:val="231F20"/>
          <w:w w:val="105"/>
        </w:rPr>
        <w:t>poner</w:t>
      </w:r>
      <w:r>
        <w:rPr>
          <w:color w:val="231F20"/>
          <w:spacing w:val="-4"/>
          <w:w w:val="105"/>
        </w:rPr>
        <w:t> </w:t>
      </w:r>
      <w:r>
        <w:rPr>
          <w:color w:val="231F20"/>
          <w:w w:val="105"/>
        </w:rPr>
        <w:t>en</w:t>
      </w:r>
      <w:r>
        <w:rPr>
          <w:color w:val="231F20"/>
          <w:spacing w:val="-4"/>
          <w:w w:val="105"/>
        </w:rPr>
        <w:t> </w:t>
      </w:r>
      <w:r>
        <w:rPr>
          <w:color w:val="231F20"/>
          <w:w w:val="105"/>
        </w:rPr>
        <w:t>contacto</w:t>
      </w:r>
      <w:r>
        <w:rPr>
          <w:color w:val="231F20"/>
          <w:spacing w:val="-4"/>
          <w:w w:val="105"/>
        </w:rPr>
        <w:t> </w:t>
      </w:r>
      <w:r>
        <w:rPr>
          <w:color w:val="231F20"/>
          <w:w w:val="105"/>
        </w:rPr>
        <w:t>a</w:t>
      </w:r>
      <w:r>
        <w:rPr>
          <w:color w:val="231F20"/>
          <w:spacing w:val="-4"/>
          <w:w w:val="105"/>
        </w:rPr>
        <w:t> </w:t>
      </w:r>
      <w:r>
        <w:rPr>
          <w:color w:val="231F20"/>
          <w:w w:val="105"/>
        </w:rPr>
        <w:t>los</w:t>
      </w:r>
      <w:r>
        <w:rPr>
          <w:color w:val="231F20"/>
          <w:spacing w:val="-4"/>
          <w:w w:val="105"/>
        </w:rPr>
        <w:t> </w:t>
      </w:r>
      <w:r>
        <w:rPr>
          <w:color w:val="231F20"/>
          <w:w w:val="105"/>
        </w:rPr>
        <w:t>mi- grantes</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comunidad</w:t>
      </w:r>
      <w:r>
        <w:rPr>
          <w:color w:val="231F20"/>
          <w:spacing w:val="-6"/>
          <w:w w:val="105"/>
        </w:rPr>
        <w:t> </w:t>
      </w:r>
      <w:r>
        <w:rPr>
          <w:color w:val="231F20"/>
          <w:w w:val="105"/>
        </w:rPr>
        <w:t>de</w:t>
      </w:r>
      <w:r>
        <w:rPr>
          <w:color w:val="231F20"/>
          <w:spacing w:val="-6"/>
          <w:w w:val="105"/>
        </w:rPr>
        <w:t> </w:t>
      </w:r>
      <w:r>
        <w:rPr>
          <w:color w:val="231F20"/>
          <w:w w:val="105"/>
        </w:rPr>
        <w:t>origen</w:t>
      </w:r>
      <w:r>
        <w:rPr>
          <w:color w:val="231F20"/>
          <w:spacing w:val="-6"/>
          <w:w w:val="105"/>
        </w:rPr>
        <w:t> </w:t>
      </w:r>
      <w:r>
        <w:rPr>
          <w:color w:val="231F20"/>
          <w:w w:val="105"/>
        </w:rPr>
        <w:t>con</w:t>
      </w:r>
      <w:r>
        <w:rPr>
          <w:color w:val="231F20"/>
          <w:spacing w:val="-6"/>
          <w:w w:val="105"/>
        </w:rPr>
        <w:t> </w:t>
      </w:r>
      <w:r>
        <w:rPr>
          <w:color w:val="231F20"/>
          <w:w w:val="105"/>
        </w:rPr>
        <w:t>base</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redes</w:t>
      </w:r>
      <w:r>
        <w:rPr>
          <w:color w:val="231F20"/>
          <w:spacing w:val="-6"/>
          <w:w w:val="105"/>
        </w:rPr>
        <w:t> </w:t>
      </w:r>
      <w:r>
        <w:rPr>
          <w:color w:val="231F20"/>
          <w:w w:val="105"/>
        </w:rPr>
        <w:t>sociales,</w:t>
      </w:r>
      <w:r>
        <w:rPr>
          <w:color w:val="231F20"/>
          <w:spacing w:val="-12"/>
          <w:w w:val="105"/>
        </w:rPr>
        <w:t> </w:t>
      </w:r>
      <w:r>
        <w:rPr>
          <w:color w:val="231F20"/>
          <w:w w:val="105"/>
        </w:rPr>
        <w:t>co- rreos</w:t>
      </w:r>
      <w:r>
        <w:rPr>
          <w:color w:val="231F20"/>
          <w:spacing w:val="-14"/>
          <w:w w:val="105"/>
        </w:rPr>
        <w:t> </w:t>
      </w:r>
      <w:r>
        <w:rPr>
          <w:color w:val="231F20"/>
          <w:w w:val="105"/>
        </w:rPr>
        <w:t>electrónicos,</w:t>
      </w:r>
      <w:r>
        <w:rPr>
          <w:color w:val="231F20"/>
          <w:spacing w:val="-19"/>
          <w:w w:val="105"/>
        </w:rPr>
        <w:t> </w:t>
      </w:r>
      <w:r>
        <w:rPr>
          <w:color w:val="231F20"/>
          <w:w w:val="105"/>
        </w:rPr>
        <w:t>buzón</w:t>
      </w:r>
      <w:r>
        <w:rPr>
          <w:color w:val="231F20"/>
          <w:spacing w:val="-14"/>
          <w:w w:val="105"/>
        </w:rPr>
        <w:t> </w:t>
      </w:r>
      <w:r>
        <w:rPr>
          <w:color w:val="231F20"/>
          <w:w w:val="105"/>
        </w:rPr>
        <w:t>de</w:t>
      </w:r>
      <w:r>
        <w:rPr>
          <w:color w:val="231F20"/>
          <w:spacing w:val="-14"/>
          <w:w w:val="105"/>
        </w:rPr>
        <w:t> </w:t>
      </w:r>
      <w:r>
        <w:rPr>
          <w:color w:val="231F20"/>
          <w:w w:val="105"/>
        </w:rPr>
        <w:t>correos</w:t>
      </w:r>
      <w:r>
        <w:rPr>
          <w:color w:val="231F20"/>
          <w:spacing w:val="-14"/>
          <w:w w:val="105"/>
        </w:rPr>
        <w:t> </w:t>
      </w:r>
      <w:r>
        <w:rPr>
          <w:color w:val="231F20"/>
          <w:w w:val="105"/>
        </w:rPr>
        <w:t>en</w:t>
      </w:r>
      <w:r>
        <w:rPr>
          <w:color w:val="231F20"/>
          <w:spacing w:val="-14"/>
          <w:w w:val="105"/>
        </w:rPr>
        <w:t> </w:t>
      </w:r>
      <w:r>
        <w:rPr>
          <w:color w:val="231F20"/>
          <w:w w:val="105"/>
        </w:rPr>
        <w:t>donde</w:t>
      </w:r>
      <w:r>
        <w:rPr>
          <w:color w:val="231F20"/>
          <w:spacing w:val="-14"/>
          <w:w w:val="105"/>
        </w:rPr>
        <w:t> </w:t>
      </w:r>
      <w:r>
        <w:rPr>
          <w:color w:val="231F20"/>
          <w:w w:val="105"/>
        </w:rPr>
        <w:t>se</w:t>
      </w:r>
      <w:r>
        <w:rPr>
          <w:color w:val="231F20"/>
          <w:spacing w:val="-14"/>
          <w:w w:val="105"/>
        </w:rPr>
        <w:t> </w:t>
      </w:r>
      <w:r>
        <w:rPr>
          <w:color w:val="231F20"/>
          <w:w w:val="105"/>
        </w:rPr>
        <w:t>mandan</w:t>
      </w:r>
      <w:r>
        <w:rPr>
          <w:color w:val="231F20"/>
          <w:spacing w:val="-14"/>
          <w:w w:val="105"/>
        </w:rPr>
        <w:t> </w:t>
      </w:r>
      <w:r>
        <w:rPr>
          <w:color w:val="231F20"/>
          <w:w w:val="105"/>
        </w:rPr>
        <w:t>saludos,</w:t>
      </w:r>
      <w:r>
        <w:rPr>
          <w:color w:val="231F20"/>
          <w:spacing w:val="-19"/>
          <w:w w:val="105"/>
        </w:rPr>
        <w:t> </w:t>
      </w:r>
      <w:r>
        <w:rPr>
          <w:color w:val="231F20"/>
          <w:w w:val="105"/>
        </w:rPr>
        <w:t>para que toda la gente que entra a la página pueda saber quién manda el saludo y desde dónde, además de tener apartados en donde se suben videos</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festividades</w:t>
      </w:r>
      <w:r>
        <w:rPr>
          <w:color w:val="231F20"/>
          <w:spacing w:val="-24"/>
          <w:w w:val="105"/>
        </w:rPr>
        <w:t> </w:t>
      </w:r>
      <w:r>
        <w:rPr>
          <w:color w:val="231F20"/>
          <w:w w:val="105"/>
        </w:rPr>
        <w:t>para</w:t>
      </w:r>
      <w:r>
        <w:rPr>
          <w:color w:val="231F20"/>
          <w:spacing w:val="-24"/>
          <w:w w:val="105"/>
        </w:rPr>
        <w:t> </w:t>
      </w:r>
      <w:r>
        <w:rPr>
          <w:color w:val="231F20"/>
          <w:w w:val="105"/>
        </w:rPr>
        <w:t>que</w:t>
      </w:r>
      <w:r>
        <w:rPr>
          <w:color w:val="231F20"/>
          <w:spacing w:val="-24"/>
          <w:w w:val="105"/>
        </w:rPr>
        <w:t> </w:t>
      </w:r>
      <w:r>
        <w:rPr>
          <w:color w:val="231F20"/>
          <w:w w:val="105"/>
        </w:rPr>
        <w:t>la</w:t>
      </w:r>
      <w:r>
        <w:rPr>
          <w:color w:val="231F20"/>
          <w:spacing w:val="-24"/>
          <w:w w:val="105"/>
        </w:rPr>
        <w:t> </w:t>
      </w:r>
      <w:r>
        <w:rPr>
          <w:color w:val="231F20"/>
          <w:w w:val="105"/>
        </w:rPr>
        <w:t>gente</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encuentra</w:t>
      </w:r>
      <w:r>
        <w:rPr>
          <w:color w:val="231F20"/>
          <w:spacing w:val="-24"/>
          <w:w w:val="105"/>
        </w:rPr>
        <w:t> </w:t>
      </w:r>
      <w:r>
        <w:rPr>
          <w:color w:val="231F20"/>
          <w:w w:val="105"/>
        </w:rPr>
        <w:t>en</w:t>
      </w:r>
      <w:r>
        <w:rPr>
          <w:color w:val="231F20"/>
          <w:spacing w:val="-24"/>
          <w:w w:val="105"/>
        </w:rPr>
        <w:t> </w:t>
      </w:r>
      <w:r>
        <w:rPr>
          <w:color w:val="231F20"/>
          <w:w w:val="105"/>
        </w:rPr>
        <w:t>Estados Unidos</w:t>
      </w:r>
      <w:r>
        <w:rPr>
          <w:color w:val="231F20"/>
          <w:spacing w:val="-14"/>
          <w:w w:val="105"/>
        </w:rPr>
        <w:t> </w:t>
      </w:r>
      <w:r>
        <w:rPr>
          <w:color w:val="231F20"/>
          <w:w w:val="105"/>
        </w:rPr>
        <w:t>pueda</w:t>
      </w:r>
      <w:r>
        <w:rPr>
          <w:color w:val="231F20"/>
          <w:spacing w:val="-14"/>
          <w:w w:val="105"/>
        </w:rPr>
        <w:t> </w:t>
      </w:r>
      <w:r>
        <w:rPr>
          <w:color w:val="231F20"/>
          <w:w w:val="105"/>
        </w:rPr>
        <w:t>ver</w:t>
      </w:r>
      <w:r>
        <w:rPr>
          <w:color w:val="231F20"/>
          <w:spacing w:val="-14"/>
          <w:w w:val="105"/>
        </w:rPr>
        <w:t> </w:t>
      </w:r>
      <w:r>
        <w:rPr>
          <w:color w:val="231F20"/>
          <w:w w:val="105"/>
        </w:rPr>
        <w:t>cómo</w:t>
      </w:r>
      <w:r>
        <w:rPr>
          <w:color w:val="231F20"/>
          <w:spacing w:val="-14"/>
          <w:w w:val="105"/>
        </w:rPr>
        <w:t> </w:t>
      </w:r>
      <w:r>
        <w:rPr>
          <w:color w:val="231F20"/>
          <w:w w:val="105"/>
        </w:rPr>
        <w:t>estuvo</w:t>
      </w:r>
      <w:r>
        <w:rPr>
          <w:color w:val="231F20"/>
          <w:spacing w:val="-14"/>
          <w:w w:val="105"/>
        </w:rPr>
        <w:t> </w:t>
      </w:r>
      <w:r>
        <w:rPr>
          <w:color w:val="231F20"/>
          <w:w w:val="105"/>
        </w:rPr>
        <w:t>la</w:t>
      </w:r>
      <w:r>
        <w:rPr>
          <w:color w:val="231F20"/>
          <w:spacing w:val="-14"/>
          <w:w w:val="105"/>
        </w:rPr>
        <w:t> </w:t>
      </w:r>
      <w:r>
        <w:rPr>
          <w:color w:val="231F20"/>
          <w:w w:val="105"/>
        </w:rPr>
        <w:t>feria</w:t>
      </w:r>
      <w:r>
        <w:rPr>
          <w:color w:val="231F20"/>
          <w:spacing w:val="-14"/>
          <w:w w:val="105"/>
        </w:rPr>
        <w:t> </w:t>
      </w:r>
      <w:r>
        <w:rPr>
          <w:color w:val="231F20"/>
          <w:w w:val="105"/>
        </w:rPr>
        <w:t>o</w:t>
      </w:r>
      <w:r>
        <w:rPr>
          <w:color w:val="231F20"/>
          <w:spacing w:val="-14"/>
          <w:w w:val="105"/>
        </w:rPr>
        <w:t> </w:t>
      </w:r>
      <w:r>
        <w:rPr>
          <w:color w:val="231F20"/>
          <w:w w:val="105"/>
        </w:rPr>
        <w:t>las</w:t>
      </w:r>
      <w:r>
        <w:rPr>
          <w:color w:val="231F20"/>
          <w:spacing w:val="-14"/>
          <w:w w:val="105"/>
        </w:rPr>
        <w:t> </w:t>
      </w:r>
      <w:r>
        <w:rPr>
          <w:color w:val="231F20"/>
          <w:w w:val="105"/>
        </w:rPr>
        <w:t>festividades</w:t>
      </w:r>
      <w:r>
        <w:rPr>
          <w:color w:val="231F20"/>
          <w:spacing w:val="-14"/>
          <w:w w:val="105"/>
        </w:rPr>
        <w:t> </w:t>
      </w:r>
      <w:r>
        <w:rPr>
          <w:color w:val="231F20"/>
          <w:w w:val="105"/>
        </w:rPr>
        <w:t>importantes</w:t>
      </w:r>
      <w:r>
        <w:rPr>
          <w:color w:val="231F20"/>
          <w:spacing w:val="-14"/>
          <w:w w:val="105"/>
        </w:rPr>
        <w:t> </w:t>
      </w:r>
      <w:r>
        <w:rPr>
          <w:color w:val="231F20"/>
          <w:w w:val="105"/>
        </w:rPr>
        <w:t>del lugar de origen. Se trata de estrechar la relación con los familiares y la comunidad de</w:t>
      </w:r>
      <w:r>
        <w:rPr>
          <w:color w:val="231F20"/>
          <w:spacing w:val="20"/>
          <w:w w:val="105"/>
        </w:rPr>
        <w:t> </w:t>
      </w:r>
      <w:r>
        <w:rPr>
          <w:color w:val="231F20"/>
          <w:w w:val="105"/>
        </w:rPr>
        <w:t>origen.</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2968" from="131.551193pt,3.703715pt" to="131.551193pt,39.506114pt" stroked="true" strokeweight=".35pt" strokecolor="#231f20">
            <w10:wrap type="none"/>
          </v:line>
        </w:pict>
      </w:r>
      <w:r>
        <w:rPr/>
        <w:pict>
          <v:line style="position:absolute;mso-position-horizontal-relative:page;mso-position-vertical-relative:paragraph;z-index:-452896" from="15pt,39.505917pt" to="0pt,39.505917pt" stroked="true" strokeweight=".25pt" strokecolor="#000000">
            <w10:wrap type="none"/>
          </v:line>
        </w:pict>
      </w:r>
      <w:r>
        <w:rPr/>
        <w:pict>
          <v:line style="position:absolute;mso-position-horizontal-relative:page;mso-position-vertical-relative:paragraph;z-index:37312" from="508.890015pt,39.505917pt" to="523.890015pt,39.505917pt" stroked="true" strokeweight=".25pt" strokecolor="#000000">
            <w10:wrap type="none"/>
          </v:line>
        </w:pict>
      </w:r>
      <w:r>
        <w:rPr>
          <w:rFonts w:ascii="Arial" w:hAnsi="Arial"/>
          <w:color w:val="414042"/>
          <w:position w:val="-5"/>
          <w:sz w:val="20"/>
        </w:rPr>
        <w:t>304</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7336"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7360" from="15pt,-28.286539pt" to="0pt,-28.286539pt" stroked="true" strokeweight=".25pt" strokecolor="#000000">
            <w10:wrap type="none"/>
          </v:line>
        </w:pict>
      </w:r>
      <w:r>
        <w:rPr/>
        <w:pict>
          <v:line style="position:absolute;mso-position-horizontal-relative:page;mso-position-vertical-relative:paragraph;z-index:37384" from="508.890015pt,-28.286539pt" to="523.890015pt,-28.286539pt" stroked="true" strokeweight=".25pt" strokecolor="#000000">
            <w10:wrap type="none"/>
          </v:line>
        </w:pict>
      </w:r>
      <w:r>
        <w:rPr>
          <w:rFonts w:ascii="Arial"/>
          <w:color w:val="414042"/>
          <w:sz w:val="20"/>
        </w:rPr>
        <w:t>305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w w:val="105"/>
        </w:rPr>
        <w:t>Ante</w:t>
      </w:r>
      <w:r>
        <w:rPr>
          <w:color w:val="231F20"/>
          <w:spacing w:val="-29"/>
          <w:w w:val="105"/>
        </w:rPr>
        <w:t> </w:t>
      </w:r>
      <w:r>
        <w:rPr>
          <w:color w:val="231F20"/>
          <w:w w:val="105"/>
        </w:rPr>
        <w:t>estos</w:t>
      </w:r>
      <w:r>
        <w:rPr>
          <w:color w:val="231F20"/>
          <w:spacing w:val="-29"/>
          <w:w w:val="105"/>
        </w:rPr>
        <w:t> </w:t>
      </w:r>
      <w:r>
        <w:rPr>
          <w:color w:val="231F20"/>
          <w:w w:val="105"/>
        </w:rPr>
        <w:t>escenarios</w:t>
      </w:r>
      <w:r>
        <w:rPr>
          <w:color w:val="231F20"/>
          <w:spacing w:val="-29"/>
          <w:w w:val="105"/>
        </w:rPr>
        <w:t> </w:t>
      </w:r>
      <w:r>
        <w:rPr>
          <w:color w:val="231F20"/>
          <w:w w:val="105"/>
        </w:rPr>
        <w:t>de</w:t>
      </w:r>
      <w:r>
        <w:rPr>
          <w:color w:val="231F20"/>
          <w:spacing w:val="-29"/>
          <w:w w:val="105"/>
        </w:rPr>
        <w:t> </w:t>
      </w:r>
      <w:r>
        <w:rPr>
          <w:color w:val="231F20"/>
          <w:w w:val="105"/>
        </w:rPr>
        <w:t>cambio,</w:t>
      </w:r>
      <w:r>
        <w:rPr>
          <w:color w:val="231F20"/>
          <w:spacing w:val="-33"/>
          <w:w w:val="105"/>
        </w:rPr>
        <w:t> </w:t>
      </w:r>
      <w:r>
        <w:rPr>
          <w:color w:val="231F20"/>
          <w:w w:val="105"/>
        </w:rPr>
        <w:t>vale</w:t>
      </w:r>
      <w:r>
        <w:rPr>
          <w:color w:val="231F20"/>
          <w:spacing w:val="-29"/>
          <w:w w:val="105"/>
        </w:rPr>
        <w:t> </w:t>
      </w:r>
      <w:r>
        <w:rPr>
          <w:color w:val="231F20"/>
          <w:w w:val="105"/>
        </w:rPr>
        <w:t>la</w:t>
      </w:r>
      <w:r>
        <w:rPr>
          <w:color w:val="231F20"/>
          <w:spacing w:val="-29"/>
          <w:w w:val="105"/>
        </w:rPr>
        <w:t> </w:t>
      </w:r>
      <w:r>
        <w:rPr>
          <w:color w:val="231F20"/>
          <w:w w:val="105"/>
        </w:rPr>
        <w:t>pena</w:t>
      </w:r>
      <w:r>
        <w:rPr>
          <w:color w:val="231F20"/>
          <w:spacing w:val="-29"/>
          <w:w w:val="105"/>
        </w:rPr>
        <w:t> </w:t>
      </w:r>
      <w:r>
        <w:rPr>
          <w:color w:val="231F20"/>
          <w:w w:val="105"/>
        </w:rPr>
        <w:t>preguntarse</w:t>
      </w:r>
      <w:r>
        <w:rPr>
          <w:color w:val="231F20"/>
          <w:spacing w:val="-29"/>
          <w:w w:val="105"/>
        </w:rPr>
        <w:t> </w:t>
      </w:r>
      <w:r>
        <w:rPr>
          <w:color w:val="231F20"/>
          <w:w w:val="105"/>
        </w:rPr>
        <w:t>¿puede</w:t>
      </w:r>
      <w:r>
        <w:rPr>
          <w:color w:val="231F20"/>
          <w:spacing w:val="-29"/>
          <w:w w:val="105"/>
        </w:rPr>
        <w:t> </w:t>
      </w:r>
      <w:r>
        <w:rPr>
          <w:color w:val="231F20"/>
          <w:w w:val="105"/>
        </w:rPr>
        <w:t>haber desarrollo</w:t>
      </w:r>
      <w:r>
        <w:rPr>
          <w:color w:val="231F20"/>
          <w:spacing w:val="-17"/>
          <w:w w:val="105"/>
        </w:rPr>
        <w:t> </w:t>
      </w:r>
      <w:r>
        <w:rPr>
          <w:color w:val="231F20"/>
          <w:w w:val="105"/>
        </w:rPr>
        <w:t>local</w:t>
      </w:r>
      <w:r>
        <w:rPr>
          <w:color w:val="231F20"/>
          <w:spacing w:val="-17"/>
          <w:w w:val="105"/>
        </w:rPr>
        <w:t> </w:t>
      </w:r>
      <w:r>
        <w:rPr>
          <w:color w:val="231F20"/>
          <w:w w:val="105"/>
        </w:rPr>
        <w:t>en</w:t>
      </w:r>
      <w:r>
        <w:rPr>
          <w:color w:val="231F20"/>
          <w:spacing w:val="-17"/>
          <w:w w:val="105"/>
        </w:rPr>
        <w:t> </w:t>
      </w:r>
      <w:r>
        <w:rPr>
          <w:color w:val="231F20"/>
          <w:w w:val="105"/>
        </w:rPr>
        <w:t>contextos</w:t>
      </w:r>
      <w:r>
        <w:rPr>
          <w:color w:val="231F20"/>
          <w:spacing w:val="-17"/>
          <w:w w:val="105"/>
        </w:rPr>
        <w:t> </w:t>
      </w:r>
      <w:r>
        <w:rPr>
          <w:color w:val="231F20"/>
          <w:w w:val="105"/>
        </w:rPr>
        <w:t>de</w:t>
      </w:r>
      <w:r>
        <w:rPr>
          <w:color w:val="231F20"/>
          <w:spacing w:val="-17"/>
          <w:w w:val="105"/>
        </w:rPr>
        <w:t> </w:t>
      </w:r>
      <w:r>
        <w:rPr>
          <w:color w:val="231F20"/>
          <w:w w:val="105"/>
        </w:rPr>
        <w:t>migración</w:t>
      </w:r>
      <w:r>
        <w:rPr>
          <w:color w:val="231F20"/>
          <w:spacing w:val="-17"/>
          <w:w w:val="105"/>
        </w:rPr>
        <w:t> </w:t>
      </w:r>
      <w:r>
        <w:rPr>
          <w:color w:val="231F20"/>
          <w:w w:val="105"/>
        </w:rPr>
        <w:t>rural?</w:t>
      </w:r>
      <w:r>
        <w:rPr>
          <w:color w:val="231F20"/>
          <w:spacing w:val="-17"/>
          <w:w w:val="105"/>
        </w:rPr>
        <w:t> </w:t>
      </w:r>
      <w:r>
        <w:rPr>
          <w:color w:val="231F20"/>
          <w:w w:val="105"/>
        </w:rPr>
        <w:t>de</w:t>
      </w:r>
      <w:r>
        <w:rPr>
          <w:color w:val="231F20"/>
          <w:spacing w:val="-17"/>
          <w:w w:val="105"/>
        </w:rPr>
        <w:t> </w:t>
      </w:r>
      <w:r>
        <w:rPr>
          <w:color w:val="231F20"/>
          <w:w w:val="105"/>
        </w:rPr>
        <w:t>ser</w:t>
      </w:r>
      <w:r>
        <w:rPr>
          <w:color w:val="231F20"/>
          <w:spacing w:val="-17"/>
          <w:w w:val="105"/>
        </w:rPr>
        <w:t> </w:t>
      </w:r>
      <w:r>
        <w:rPr>
          <w:color w:val="231F20"/>
          <w:w w:val="105"/>
        </w:rPr>
        <w:t>afirmativa</w:t>
      </w:r>
      <w:r>
        <w:rPr>
          <w:color w:val="231F20"/>
          <w:spacing w:val="-17"/>
          <w:w w:val="105"/>
        </w:rPr>
        <w:t> </w:t>
      </w:r>
      <w:r>
        <w:rPr>
          <w:color w:val="231F20"/>
          <w:w w:val="105"/>
        </w:rPr>
        <w:t>la</w:t>
      </w:r>
      <w:r>
        <w:rPr>
          <w:color w:val="231F20"/>
          <w:spacing w:val="-17"/>
          <w:w w:val="105"/>
        </w:rPr>
        <w:t> </w:t>
      </w:r>
      <w:r>
        <w:rPr>
          <w:color w:val="231F20"/>
          <w:w w:val="105"/>
        </w:rPr>
        <w:t>res- puesta</w:t>
      </w:r>
      <w:r>
        <w:rPr>
          <w:color w:val="231F20"/>
          <w:spacing w:val="-6"/>
          <w:w w:val="105"/>
        </w:rPr>
        <w:t> </w:t>
      </w:r>
      <w:r>
        <w:rPr>
          <w:color w:val="231F20"/>
          <w:w w:val="105"/>
        </w:rPr>
        <w:t>como</w:t>
      </w:r>
      <w:r>
        <w:rPr>
          <w:color w:val="231F20"/>
          <w:spacing w:val="-6"/>
          <w:w w:val="105"/>
        </w:rPr>
        <w:t> </w:t>
      </w:r>
      <w:r>
        <w:rPr>
          <w:color w:val="231F20"/>
          <w:w w:val="105"/>
        </w:rPr>
        <w:t>aquí</w:t>
      </w:r>
      <w:r>
        <w:rPr>
          <w:color w:val="231F20"/>
          <w:spacing w:val="-6"/>
          <w:w w:val="105"/>
        </w:rPr>
        <w:t> </w:t>
      </w:r>
      <w:r>
        <w:rPr>
          <w:color w:val="231F20"/>
          <w:w w:val="105"/>
        </w:rPr>
        <w:t>se</w:t>
      </w:r>
      <w:r>
        <w:rPr>
          <w:color w:val="231F20"/>
          <w:spacing w:val="-6"/>
          <w:w w:val="105"/>
        </w:rPr>
        <w:t> </w:t>
      </w:r>
      <w:r>
        <w:rPr>
          <w:color w:val="231F20"/>
          <w:w w:val="105"/>
        </w:rPr>
        <w:t>considera,</w:t>
      </w:r>
      <w:r>
        <w:rPr>
          <w:color w:val="231F20"/>
          <w:spacing w:val="-11"/>
          <w:w w:val="105"/>
        </w:rPr>
        <w:t> </w:t>
      </w:r>
      <w:r>
        <w:rPr>
          <w:color w:val="231F20"/>
          <w:w w:val="105"/>
        </w:rPr>
        <w:t>¿qué</w:t>
      </w:r>
      <w:r>
        <w:rPr>
          <w:color w:val="231F20"/>
          <w:spacing w:val="-6"/>
          <w:w w:val="105"/>
        </w:rPr>
        <w:t> </w:t>
      </w:r>
      <w:r>
        <w:rPr>
          <w:color w:val="231F20"/>
          <w:w w:val="105"/>
        </w:rPr>
        <w:t>acciones</w:t>
      </w:r>
      <w:r>
        <w:rPr>
          <w:color w:val="231F20"/>
          <w:spacing w:val="-6"/>
          <w:w w:val="105"/>
        </w:rPr>
        <w:t> </w:t>
      </w:r>
      <w:r>
        <w:rPr>
          <w:color w:val="231F20"/>
          <w:w w:val="105"/>
        </w:rPr>
        <w:t>se</w:t>
      </w:r>
      <w:r>
        <w:rPr>
          <w:color w:val="231F20"/>
          <w:spacing w:val="-6"/>
          <w:w w:val="105"/>
        </w:rPr>
        <w:t> </w:t>
      </w:r>
      <w:r>
        <w:rPr>
          <w:color w:val="231F20"/>
          <w:w w:val="105"/>
        </w:rPr>
        <w:t>deben</w:t>
      </w:r>
      <w:r>
        <w:rPr>
          <w:color w:val="231F20"/>
          <w:spacing w:val="-6"/>
          <w:w w:val="105"/>
        </w:rPr>
        <w:t> </w:t>
      </w:r>
      <w:r>
        <w:rPr>
          <w:color w:val="231F20"/>
          <w:w w:val="105"/>
        </w:rPr>
        <w:t>llevar</w:t>
      </w:r>
      <w:r>
        <w:rPr>
          <w:color w:val="231F20"/>
          <w:spacing w:val="-6"/>
          <w:w w:val="105"/>
        </w:rPr>
        <w:t> </w:t>
      </w:r>
      <w:r>
        <w:rPr>
          <w:color w:val="231F20"/>
          <w:w w:val="105"/>
        </w:rPr>
        <w:t>a</w:t>
      </w:r>
      <w:r>
        <w:rPr>
          <w:color w:val="231F20"/>
          <w:spacing w:val="-6"/>
          <w:w w:val="105"/>
        </w:rPr>
        <w:t> </w:t>
      </w:r>
      <w:r>
        <w:rPr>
          <w:color w:val="231F20"/>
          <w:w w:val="105"/>
        </w:rPr>
        <w:t>cabo? Experiencias</w:t>
      </w:r>
      <w:r>
        <w:rPr>
          <w:color w:val="231F20"/>
          <w:spacing w:val="-13"/>
          <w:w w:val="105"/>
        </w:rPr>
        <w:t> </w:t>
      </w:r>
      <w:r>
        <w:rPr>
          <w:color w:val="231F20"/>
          <w:w w:val="105"/>
        </w:rPr>
        <w:t>como</w:t>
      </w:r>
      <w:r>
        <w:rPr>
          <w:color w:val="231F20"/>
          <w:spacing w:val="-13"/>
          <w:w w:val="105"/>
        </w:rPr>
        <w:t> </w:t>
      </w:r>
      <w:r>
        <w:rPr>
          <w:color w:val="231F20"/>
          <w:w w:val="105"/>
        </w:rPr>
        <w:t>el</w:t>
      </w:r>
      <w:r>
        <w:rPr>
          <w:color w:val="231F20"/>
          <w:spacing w:val="-13"/>
          <w:w w:val="105"/>
        </w:rPr>
        <w:t> </w:t>
      </w:r>
      <w:r>
        <w:rPr>
          <w:color w:val="231F20"/>
          <w:w w:val="105"/>
        </w:rPr>
        <w:t>programa</w:t>
      </w:r>
      <w:r>
        <w:rPr>
          <w:color w:val="231F20"/>
          <w:spacing w:val="-13"/>
          <w:w w:val="105"/>
        </w:rPr>
        <w:t> </w:t>
      </w:r>
      <w:r>
        <w:rPr>
          <w:color w:val="231F20"/>
          <w:w w:val="105"/>
        </w:rPr>
        <w:t>3x1</w:t>
      </w:r>
      <w:r>
        <w:rPr>
          <w:color w:val="231F20"/>
          <w:spacing w:val="-13"/>
          <w:w w:val="105"/>
        </w:rPr>
        <w:t> </w:t>
      </w:r>
      <w:r>
        <w:rPr>
          <w:color w:val="231F20"/>
          <w:w w:val="105"/>
        </w:rPr>
        <w:t>para</w:t>
      </w:r>
      <w:r>
        <w:rPr>
          <w:color w:val="231F20"/>
          <w:spacing w:val="-13"/>
          <w:w w:val="105"/>
        </w:rPr>
        <w:t> </w:t>
      </w:r>
      <w:r>
        <w:rPr>
          <w:color w:val="231F20"/>
          <w:w w:val="105"/>
        </w:rPr>
        <w:t>migrantes,</w:t>
      </w:r>
      <w:r>
        <w:rPr>
          <w:color w:val="231F20"/>
          <w:spacing w:val="-17"/>
          <w:w w:val="105"/>
        </w:rPr>
        <w:t> </w:t>
      </w:r>
      <w:r>
        <w:rPr>
          <w:color w:val="231F20"/>
          <w:w w:val="105"/>
        </w:rPr>
        <w:t>iniciativas</w:t>
      </w:r>
      <w:r>
        <w:rPr>
          <w:color w:val="231F20"/>
          <w:spacing w:val="-13"/>
          <w:w w:val="105"/>
        </w:rPr>
        <w:t> </w:t>
      </w:r>
      <w:r>
        <w:rPr>
          <w:color w:val="231F20"/>
          <w:w w:val="105"/>
        </w:rPr>
        <w:t>financie- ras</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uso</w:t>
      </w:r>
      <w:r>
        <w:rPr>
          <w:color w:val="231F20"/>
          <w:spacing w:val="-14"/>
          <w:w w:val="105"/>
        </w:rPr>
        <w:t> </w:t>
      </w:r>
      <w:r>
        <w:rPr>
          <w:color w:val="231F20"/>
          <w:w w:val="105"/>
        </w:rPr>
        <w:t>productivo</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remesas,</w:t>
      </w:r>
      <w:r>
        <w:rPr>
          <w:color w:val="231F20"/>
          <w:spacing w:val="-18"/>
          <w:w w:val="105"/>
        </w:rPr>
        <w:t> </w:t>
      </w:r>
      <w:r>
        <w:rPr>
          <w:color w:val="231F20"/>
          <w:w w:val="105"/>
        </w:rPr>
        <w:t>así</w:t>
      </w:r>
      <w:r>
        <w:rPr>
          <w:color w:val="231F20"/>
          <w:spacing w:val="-14"/>
          <w:w w:val="105"/>
        </w:rPr>
        <w:t> </w:t>
      </w:r>
      <w:r>
        <w:rPr>
          <w:color w:val="231F20"/>
          <w:w w:val="105"/>
        </w:rPr>
        <w:t>como</w:t>
      </w:r>
      <w:r>
        <w:rPr>
          <w:color w:val="231F20"/>
          <w:spacing w:val="-14"/>
          <w:w w:val="105"/>
        </w:rPr>
        <w:t> </w:t>
      </w:r>
      <w:r>
        <w:rPr>
          <w:color w:val="231F20"/>
          <w:w w:val="105"/>
        </w:rPr>
        <w:t>el</w:t>
      </w:r>
      <w:r>
        <w:rPr>
          <w:color w:val="231F20"/>
          <w:spacing w:val="-14"/>
          <w:w w:val="105"/>
        </w:rPr>
        <w:t> </w:t>
      </w:r>
      <w:r>
        <w:rPr>
          <w:color w:val="231F20"/>
          <w:w w:val="105"/>
        </w:rPr>
        <w:t>aprovechamiento de</w:t>
      </w:r>
      <w:r>
        <w:rPr>
          <w:color w:val="231F20"/>
          <w:spacing w:val="-33"/>
          <w:w w:val="105"/>
        </w:rPr>
        <w:t> </w:t>
      </w:r>
      <w:r>
        <w:rPr>
          <w:color w:val="231F20"/>
          <w:w w:val="105"/>
        </w:rPr>
        <w:t>las</w:t>
      </w:r>
      <w:r>
        <w:rPr>
          <w:color w:val="231F20"/>
          <w:spacing w:val="-33"/>
          <w:w w:val="105"/>
        </w:rPr>
        <w:t> </w:t>
      </w:r>
      <w:r>
        <w:rPr>
          <w:color w:val="231F20"/>
          <w:w w:val="105"/>
        </w:rPr>
        <w:t>capacidades</w:t>
      </w:r>
      <w:r>
        <w:rPr>
          <w:color w:val="231F20"/>
          <w:spacing w:val="-33"/>
          <w:w w:val="105"/>
        </w:rPr>
        <w:t> </w:t>
      </w:r>
      <w:r>
        <w:rPr>
          <w:color w:val="231F20"/>
          <w:w w:val="105"/>
        </w:rPr>
        <w:t>y</w:t>
      </w:r>
      <w:r>
        <w:rPr>
          <w:color w:val="231F20"/>
          <w:spacing w:val="-33"/>
          <w:w w:val="105"/>
        </w:rPr>
        <w:t> </w:t>
      </w:r>
      <w:r>
        <w:rPr>
          <w:color w:val="231F20"/>
          <w:w w:val="105"/>
        </w:rPr>
        <w:t>habilidades</w:t>
      </w:r>
      <w:r>
        <w:rPr>
          <w:color w:val="231F20"/>
          <w:spacing w:val="-33"/>
          <w:w w:val="105"/>
        </w:rPr>
        <w:t> </w:t>
      </w:r>
      <w:r>
        <w:rPr>
          <w:color w:val="231F20"/>
          <w:w w:val="105"/>
        </w:rPr>
        <w:t>adquiridas</w:t>
      </w:r>
      <w:r>
        <w:rPr>
          <w:color w:val="231F20"/>
          <w:spacing w:val="-33"/>
          <w:w w:val="105"/>
        </w:rPr>
        <w:t> </w:t>
      </w:r>
      <w:r>
        <w:rPr>
          <w:color w:val="231F20"/>
          <w:w w:val="105"/>
        </w:rPr>
        <w:t>en</w:t>
      </w:r>
      <w:r>
        <w:rPr>
          <w:color w:val="231F20"/>
          <w:spacing w:val="-33"/>
          <w:w w:val="105"/>
        </w:rPr>
        <w:t> </w:t>
      </w:r>
      <w:r>
        <w:rPr>
          <w:color w:val="231F20"/>
          <w:w w:val="105"/>
        </w:rPr>
        <w:t>Estados</w:t>
      </w:r>
      <w:r>
        <w:rPr>
          <w:color w:val="231F20"/>
          <w:spacing w:val="-33"/>
          <w:w w:val="105"/>
        </w:rPr>
        <w:t> </w:t>
      </w:r>
      <w:r>
        <w:rPr>
          <w:color w:val="231F20"/>
          <w:w w:val="105"/>
        </w:rPr>
        <w:t>Unidos</w:t>
      </w:r>
      <w:r>
        <w:rPr>
          <w:color w:val="231F20"/>
          <w:spacing w:val="-33"/>
          <w:w w:val="105"/>
        </w:rPr>
        <w:t> </w:t>
      </w:r>
      <w:r>
        <w:rPr>
          <w:color w:val="231F20"/>
          <w:w w:val="105"/>
        </w:rPr>
        <w:t>son</w:t>
      </w:r>
      <w:r>
        <w:rPr>
          <w:color w:val="231F20"/>
          <w:spacing w:val="-33"/>
          <w:w w:val="105"/>
        </w:rPr>
        <w:t> </w:t>
      </w:r>
      <w:r>
        <w:rPr>
          <w:color w:val="231F20"/>
          <w:w w:val="105"/>
        </w:rPr>
        <w:t>áreas de</w:t>
      </w:r>
      <w:r>
        <w:rPr>
          <w:color w:val="231F20"/>
          <w:spacing w:val="-18"/>
          <w:w w:val="105"/>
        </w:rPr>
        <w:t> </w:t>
      </w:r>
      <w:r>
        <w:rPr>
          <w:color w:val="231F20"/>
          <w:w w:val="105"/>
        </w:rPr>
        <w:t>oportunidad,</w:t>
      </w:r>
      <w:r>
        <w:rPr>
          <w:color w:val="231F20"/>
          <w:spacing w:val="-24"/>
          <w:w w:val="105"/>
        </w:rPr>
        <w:t> </w:t>
      </w:r>
      <w:r>
        <w:rPr>
          <w:color w:val="231F20"/>
          <w:w w:val="105"/>
        </w:rPr>
        <w:t>sin</w:t>
      </w:r>
      <w:r>
        <w:rPr>
          <w:color w:val="231F20"/>
          <w:spacing w:val="-18"/>
          <w:w w:val="105"/>
        </w:rPr>
        <w:t> </w:t>
      </w:r>
      <w:r>
        <w:rPr>
          <w:color w:val="231F20"/>
          <w:w w:val="105"/>
        </w:rPr>
        <w:t>embargo,</w:t>
      </w:r>
      <w:r>
        <w:rPr>
          <w:color w:val="231F20"/>
          <w:spacing w:val="-24"/>
          <w:w w:val="105"/>
        </w:rPr>
        <w:t> </w:t>
      </w:r>
      <w:r>
        <w:rPr>
          <w:color w:val="231F20"/>
          <w:w w:val="105"/>
        </w:rPr>
        <w:t>la</w:t>
      </w:r>
      <w:r>
        <w:rPr>
          <w:color w:val="231F20"/>
          <w:spacing w:val="-18"/>
          <w:w w:val="105"/>
        </w:rPr>
        <w:t> </w:t>
      </w:r>
      <w:r>
        <w:rPr>
          <w:color w:val="231F20"/>
          <w:w w:val="105"/>
        </w:rPr>
        <w:t>cohesión</w:t>
      </w:r>
      <w:r>
        <w:rPr>
          <w:color w:val="231F20"/>
          <w:spacing w:val="-18"/>
          <w:w w:val="105"/>
        </w:rPr>
        <w:t> </w:t>
      </w:r>
      <w:r>
        <w:rPr>
          <w:color w:val="231F20"/>
          <w:w w:val="105"/>
        </w:rPr>
        <w:t>social</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reforzamiento</w:t>
      </w:r>
      <w:r>
        <w:rPr>
          <w:color w:val="231F20"/>
          <w:spacing w:val="-18"/>
          <w:w w:val="105"/>
        </w:rPr>
        <w:t> </w:t>
      </w:r>
      <w:r>
        <w:rPr>
          <w:color w:val="231F20"/>
          <w:w w:val="105"/>
        </w:rPr>
        <w:t>de</w:t>
      </w:r>
      <w:r>
        <w:rPr>
          <w:color w:val="231F20"/>
          <w:spacing w:val="-18"/>
          <w:w w:val="105"/>
        </w:rPr>
        <w:t> </w:t>
      </w:r>
      <w:r>
        <w:rPr>
          <w:color w:val="231F20"/>
          <w:w w:val="105"/>
        </w:rPr>
        <w:t>los lazos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redes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migrantes</w:t>
      </w:r>
      <w:r>
        <w:rPr>
          <w:color w:val="231F20"/>
          <w:spacing w:val="-13"/>
          <w:w w:val="105"/>
        </w:rPr>
        <w:t> </w:t>
      </w:r>
      <w:r>
        <w:rPr>
          <w:color w:val="231F20"/>
          <w:w w:val="105"/>
        </w:rPr>
        <w:t>es</w:t>
      </w:r>
      <w:r>
        <w:rPr>
          <w:color w:val="231F20"/>
          <w:spacing w:val="-13"/>
          <w:w w:val="105"/>
        </w:rPr>
        <w:t> </w:t>
      </w:r>
      <w:r>
        <w:rPr>
          <w:color w:val="231F20"/>
          <w:w w:val="105"/>
        </w:rPr>
        <w:t>una</w:t>
      </w:r>
      <w:r>
        <w:rPr>
          <w:color w:val="231F20"/>
          <w:spacing w:val="-13"/>
          <w:w w:val="105"/>
        </w:rPr>
        <w:t> </w:t>
      </w:r>
      <w:r>
        <w:rPr>
          <w:color w:val="231F20"/>
          <w:w w:val="105"/>
        </w:rPr>
        <w:t>condición</w:t>
      </w:r>
      <w:r>
        <w:rPr>
          <w:color w:val="231F20"/>
          <w:spacing w:val="-13"/>
          <w:w w:val="105"/>
        </w:rPr>
        <w:t> </w:t>
      </w:r>
      <w:r>
        <w:rPr>
          <w:color w:val="231F20"/>
          <w:w w:val="105"/>
        </w:rPr>
        <w:t>que</w:t>
      </w:r>
      <w:r>
        <w:rPr>
          <w:color w:val="231F20"/>
          <w:spacing w:val="-13"/>
          <w:w w:val="105"/>
        </w:rPr>
        <w:t> </w:t>
      </w:r>
      <w:r>
        <w:rPr>
          <w:color w:val="231F20"/>
          <w:w w:val="105"/>
        </w:rPr>
        <w:t>puede</w:t>
      </w:r>
      <w:r>
        <w:rPr>
          <w:color w:val="231F20"/>
          <w:spacing w:val="-13"/>
          <w:w w:val="105"/>
        </w:rPr>
        <w:t> </w:t>
      </w:r>
      <w:r>
        <w:rPr>
          <w:color w:val="231F20"/>
          <w:w w:val="105"/>
        </w:rPr>
        <w:t>detonar en nuevos procesos socioterritoriales articulados en torno a iniciativas de acción local, aprovechando los espacios que la propia globalización ofrece</w:t>
      </w:r>
      <w:r>
        <w:rPr>
          <w:color w:val="231F20"/>
          <w:spacing w:val="-20"/>
          <w:w w:val="105"/>
        </w:rPr>
        <w:t> </w:t>
      </w:r>
      <w:r>
        <w:rPr>
          <w:color w:val="231F20"/>
          <w:w w:val="105"/>
        </w:rPr>
        <w:t>como</w:t>
      </w:r>
      <w:r>
        <w:rPr>
          <w:color w:val="231F20"/>
          <w:spacing w:val="-20"/>
          <w:w w:val="105"/>
        </w:rPr>
        <w:t> </w:t>
      </w:r>
      <w:r>
        <w:rPr>
          <w:color w:val="231F20"/>
          <w:w w:val="105"/>
        </w:rPr>
        <w:t>ventaja</w:t>
      </w:r>
      <w:r>
        <w:rPr>
          <w:color w:val="231F20"/>
          <w:spacing w:val="-20"/>
          <w:w w:val="105"/>
        </w:rPr>
        <w:t> </w:t>
      </w:r>
      <w:r>
        <w:rPr>
          <w:color w:val="231F20"/>
          <w:w w:val="105"/>
        </w:rPr>
        <w:t>competitiva</w:t>
      </w:r>
      <w:r>
        <w:rPr>
          <w:color w:val="231F20"/>
          <w:spacing w:val="-20"/>
          <w:w w:val="105"/>
        </w:rPr>
        <w:t> </w:t>
      </w:r>
      <w:r>
        <w:rPr>
          <w:color w:val="231F20"/>
          <w:w w:val="105"/>
        </w:rPr>
        <w:t>para</w:t>
      </w:r>
      <w:r>
        <w:rPr>
          <w:color w:val="231F20"/>
          <w:spacing w:val="-20"/>
          <w:w w:val="105"/>
        </w:rPr>
        <w:t> </w:t>
      </w:r>
      <w:r>
        <w:rPr>
          <w:color w:val="231F20"/>
          <w:w w:val="105"/>
        </w:rPr>
        <w:t>los</w:t>
      </w:r>
      <w:r>
        <w:rPr>
          <w:color w:val="231F20"/>
          <w:spacing w:val="-20"/>
          <w:w w:val="105"/>
        </w:rPr>
        <w:t> </w:t>
      </w:r>
      <w:r>
        <w:rPr>
          <w:color w:val="231F20"/>
          <w:w w:val="105"/>
        </w:rPr>
        <w:t>territorios</w:t>
      </w:r>
      <w:r>
        <w:rPr>
          <w:color w:val="231F20"/>
          <w:spacing w:val="-20"/>
          <w:w w:val="105"/>
        </w:rPr>
        <w:t> </w:t>
      </w:r>
      <w:r>
        <w:rPr>
          <w:color w:val="231F20"/>
          <w:w w:val="105"/>
        </w:rPr>
        <w:t>rurales</w:t>
      </w:r>
      <w:r>
        <w:rPr>
          <w:color w:val="231F20"/>
          <w:spacing w:val="-20"/>
          <w:w w:val="105"/>
        </w:rPr>
        <w:t> </w:t>
      </w:r>
      <w:r>
        <w:rPr>
          <w:color w:val="231F20"/>
          <w:w w:val="105"/>
        </w:rPr>
        <w:t>de</w:t>
      </w:r>
      <w:r>
        <w:rPr>
          <w:color w:val="231F20"/>
          <w:spacing w:val="-20"/>
          <w:w w:val="105"/>
        </w:rPr>
        <w:t> </w:t>
      </w:r>
      <w:r>
        <w:rPr>
          <w:color w:val="231F20"/>
          <w:w w:val="105"/>
        </w:rPr>
        <w:t>donde</w:t>
      </w:r>
      <w:r>
        <w:rPr>
          <w:color w:val="231F20"/>
          <w:spacing w:val="-20"/>
          <w:w w:val="105"/>
        </w:rPr>
        <w:t> </w:t>
      </w:r>
      <w:r>
        <w:rPr>
          <w:color w:val="231F20"/>
          <w:w w:val="105"/>
        </w:rPr>
        <w:t>son originarios los</w:t>
      </w:r>
      <w:r>
        <w:rPr>
          <w:color w:val="231F20"/>
          <w:spacing w:val="-37"/>
          <w:w w:val="105"/>
        </w:rPr>
        <w:t> </w:t>
      </w:r>
      <w:r>
        <w:rPr>
          <w:color w:val="231F20"/>
          <w:w w:val="105"/>
        </w:rPr>
        <w:t>migrantes.</w:t>
      </w:r>
    </w:p>
    <w:p>
      <w:pPr>
        <w:pStyle w:val="BodyText"/>
        <w:spacing w:line="261" w:lineRule="auto" w:before="1"/>
        <w:ind w:left="1837" w:right="1715" w:firstLine="567"/>
        <w:jc w:val="both"/>
      </w:pPr>
      <w:r>
        <w:rPr>
          <w:color w:val="231F20"/>
          <w:w w:val="105"/>
        </w:rPr>
        <w:t>De</w:t>
      </w:r>
      <w:r>
        <w:rPr>
          <w:color w:val="231F20"/>
          <w:spacing w:val="-10"/>
          <w:w w:val="105"/>
        </w:rPr>
        <w:t> </w:t>
      </w:r>
      <w:r>
        <w:rPr>
          <w:color w:val="231F20"/>
          <w:w w:val="105"/>
        </w:rPr>
        <w:t>allí</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revalorización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territorios</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diferenciación</w:t>
      </w:r>
      <w:r>
        <w:rPr>
          <w:color w:val="231F20"/>
          <w:spacing w:val="-10"/>
          <w:w w:val="105"/>
        </w:rPr>
        <w:t> </w:t>
      </w:r>
      <w:r>
        <w:rPr>
          <w:color w:val="231F20"/>
          <w:w w:val="105"/>
        </w:rPr>
        <w:t>de estos espacios donde coexiste una dualidad entre lo macro y lo micro, pueden</w:t>
      </w:r>
      <w:r>
        <w:rPr>
          <w:color w:val="231F20"/>
          <w:spacing w:val="-16"/>
          <w:w w:val="105"/>
        </w:rPr>
        <w:t> </w:t>
      </w:r>
      <w:r>
        <w:rPr>
          <w:color w:val="231F20"/>
          <w:w w:val="105"/>
        </w:rPr>
        <w:t>impulsarse</w:t>
      </w:r>
      <w:r>
        <w:rPr>
          <w:color w:val="231F20"/>
          <w:spacing w:val="-16"/>
          <w:w w:val="105"/>
        </w:rPr>
        <w:t> </w:t>
      </w:r>
      <w:r>
        <w:rPr>
          <w:color w:val="231F20"/>
          <w:w w:val="105"/>
        </w:rPr>
        <w:t>acciones</w:t>
      </w:r>
      <w:r>
        <w:rPr>
          <w:color w:val="231F20"/>
          <w:spacing w:val="-16"/>
          <w:w w:val="105"/>
        </w:rPr>
        <w:t> </w:t>
      </w:r>
      <w:r>
        <w:rPr>
          <w:color w:val="231F20"/>
          <w:w w:val="105"/>
        </w:rPr>
        <w:t>de</w:t>
      </w:r>
      <w:r>
        <w:rPr>
          <w:color w:val="231F20"/>
          <w:spacing w:val="-16"/>
          <w:w w:val="105"/>
        </w:rPr>
        <w:t> </w:t>
      </w:r>
      <w:r>
        <w:rPr>
          <w:color w:val="231F20"/>
          <w:w w:val="105"/>
        </w:rPr>
        <w:t>desarrollo</w:t>
      </w:r>
      <w:r>
        <w:rPr>
          <w:color w:val="231F20"/>
          <w:spacing w:val="-16"/>
          <w:w w:val="105"/>
        </w:rPr>
        <w:t> </w:t>
      </w:r>
      <w:r>
        <w:rPr>
          <w:color w:val="231F20"/>
          <w:w w:val="105"/>
        </w:rPr>
        <w:t>local</w:t>
      </w:r>
      <w:r>
        <w:rPr>
          <w:color w:val="231F20"/>
          <w:spacing w:val="-16"/>
          <w:w w:val="105"/>
        </w:rPr>
        <w:t> </w:t>
      </w:r>
      <w:r>
        <w:rPr>
          <w:color w:val="231F20"/>
          <w:w w:val="105"/>
        </w:rPr>
        <w:t>que</w:t>
      </w:r>
      <w:r>
        <w:rPr>
          <w:color w:val="231F20"/>
          <w:spacing w:val="-16"/>
          <w:w w:val="105"/>
        </w:rPr>
        <w:t> </w:t>
      </w:r>
      <w:r>
        <w:rPr>
          <w:color w:val="231F20"/>
          <w:w w:val="105"/>
        </w:rPr>
        <w:t>pasan</w:t>
      </w:r>
      <w:r>
        <w:rPr>
          <w:color w:val="231F20"/>
          <w:spacing w:val="-16"/>
          <w:w w:val="105"/>
        </w:rPr>
        <w:t> </w:t>
      </w:r>
      <w:r>
        <w:rPr>
          <w:color w:val="231F20"/>
          <w:w w:val="105"/>
        </w:rPr>
        <w:t>por</w:t>
      </w:r>
      <w:r>
        <w:rPr>
          <w:color w:val="231F20"/>
          <w:spacing w:val="-16"/>
          <w:w w:val="105"/>
        </w:rPr>
        <w:t> </w:t>
      </w:r>
      <w:r>
        <w:rPr>
          <w:color w:val="231F20"/>
          <w:w w:val="105"/>
        </w:rPr>
        <w:t>temas</w:t>
      </w:r>
      <w:r>
        <w:rPr>
          <w:color w:val="231F20"/>
          <w:spacing w:val="-16"/>
          <w:w w:val="105"/>
        </w:rPr>
        <w:t> </w:t>
      </w:r>
      <w:r>
        <w:rPr>
          <w:color w:val="231F20"/>
          <w:w w:val="105"/>
        </w:rPr>
        <w:t>de encuentro y acercamiento cultural de los migrantes, desarrollo de pro- yectos de turismo alternativos, articulación de mercados, la producción y</w:t>
      </w:r>
      <w:r>
        <w:rPr>
          <w:color w:val="231F20"/>
          <w:spacing w:val="-33"/>
          <w:w w:val="105"/>
        </w:rPr>
        <w:t> </w:t>
      </w:r>
      <w:r>
        <w:rPr>
          <w:color w:val="231F20"/>
          <w:w w:val="105"/>
        </w:rPr>
        <w:t>comercialización</w:t>
      </w:r>
      <w:r>
        <w:rPr>
          <w:color w:val="231F20"/>
          <w:spacing w:val="-33"/>
          <w:w w:val="105"/>
        </w:rPr>
        <w:t> </w:t>
      </w:r>
      <w:r>
        <w:rPr>
          <w:color w:val="231F20"/>
          <w:w w:val="105"/>
        </w:rPr>
        <w:t>de</w:t>
      </w:r>
      <w:r>
        <w:rPr>
          <w:color w:val="231F20"/>
          <w:spacing w:val="-33"/>
          <w:w w:val="105"/>
        </w:rPr>
        <w:t> </w:t>
      </w:r>
      <w:r>
        <w:rPr>
          <w:color w:val="231F20"/>
          <w:w w:val="105"/>
        </w:rPr>
        <w:t>productos</w:t>
      </w:r>
      <w:r>
        <w:rPr>
          <w:color w:val="231F20"/>
          <w:spacing w:val="-33"/>
          <w:w w:val="105"/>
        </w:rPr>
        <w:t> </w:t>
      </w:r>
      <w:r>
        <w:rPr>
          <w:color w:val="231F20"/>
          <w:w w:val="105"/>
        </w:rPr>
        <w:t>artesanales,</w:t>
      </w:r>
      <w:r>
        <w:rPr>
          <w:color w:val="231F20"/>
          <w:spacing w:val="-37"/>
          <w:w w:val="105"/>
        </w:rPr>
        <w:t> </w:t>
      </w:r>
      <w:r>
        <w:rPr>
          <w:color w:val="231F20"/>
          <w:w w:val="105"/>
        </w:rPr>
        <w:t>agroindustriales</w:t>
      </w:r>
      <w:r>
        <w:rPr>
          <w:color w:val="231F20"/>
          <w:spacing w:val="-33"/>
          <w:w w:val="105"/>
        </w:rPr>
        <w:t> </w:t>
      </w:r>
      <w:r>
        <w:rPr>
          <w:color w:val="231F20"/>
          <w:w w:val="105"/>
        </w:rPr>
        <w:t>y</w:t>
      </w:r>
      <w:r>
        <w:rPr>
          <w:color w:val="231F20"/>
          <w:spacing w:val="-33"/>
          <w:w w:val="105"/>
        </w:rPr>
        <w:t> </w:t>
      </w:r>
      <w:r>
        <w:rPr>
          <w:color w:val="231F20"/>
          <w:w w:val="105"/>
        </w:rPr>
        <w:t>alimenta- rios</w:t>
      </w:r>
      <w:r>
        <w:rPr>
          <w:color w:val="231F20"/>
          <w:spacing w:val="-13"/>
          <w:w w:val="105"/>
        </w:rPr>
        <w:t> </w:t>
      </w:r>
      <w:r>
        <w:rPr>
          <w:color w:val="231F20"/>
          <w:w w:val="105"/>
        </w:rPr>
        <w:t>que</w:t>
      </w:r>
      <w:r>
        <w:rPr>
          <w:color w:val="231F20"/>
          <w:spacing w:val="-13"/>
          <w:w w:val="105"/>
        </w:rPr>
        <w:t> </w:t>
      </w:r>
      <w:r>
        <w:rPr>
          <w:color w:val="231F20"/>
          <w:w w:val="105"/>
        </w:rPr>
        <w:t>son</w:t>
      </w:r>
      <w:r>
        <w:rPr>
          <w:color w:val="231F20"/>
          <w:spacing w:val="-13"/>
          <w:w w:val="105"/>
        </w:rPr>
        <w:t> </w:t>
      </w:r>
      <w:r>
        <w:rPr>
          <w:color w:val="231F20"/>
          <w:w w:val="105"/>
        </w:rPr>
        <w:t>referente</w:t>
      </w:r>
      <w:r>
        <w:rPr>
          <w:color w:val="231F20"/>
          <w:spacing w:val="-13"/>
          <w:w w:val="105"/>
        </w:rPr>
        <w:t> </w:t>
      </w:r>
      <w:r>
        <w:rPr>
          <w:color w:val="231F20"/>
          <w:w w:val="105"/>
        </w:rPr>
        <w:t>sustancial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identidad</w:t>
      </w:r>
      <w:r>
        <w:rPr>
          <w:color w:val="231F20"/>
          <w:spacing w:val="-13"/>
          <w:w w:val="105"/>
        </w:rPr>
        <w:t> </w:t>
      </w:r>
      <w:r>
        <w:rPr>
          <w:color w:val="231F20"/>
          <w:w w:val="105"/>
        </w:rPr>
        <w:t>territorial</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migran- tes</w:t>
      </w:r>
      <w:r>
        <w:rPr>
          <w:color w:val="231F20"/>
          <w:spacing w:val="-30"/>
          <w:w w:val="105"/>
        </w:rPr>
        <w:t> </w:t>
      </w:r>
      <w:r>
        <w:rPr>
          <w:color w:val="231F20"/>
          <w:w w:val="105"/>
        </w:rPr>
        <w:t>radicados</w:t>
      </w:r>
      <w:r>
        <w:rPr>
          <w:color w:val="231F20"/>
          <w:spacing w:val="-30"/>
          <w:w w:val="105"/>
        </w:rPr>
        <w:t> </w:t>
      </w:r>
      <w:r>
        <w:rPr>
          <w:color w:val="231F20"/>
          <w:w w:val="105"/>
        </w:rPr>
        <w:t>en</w:t>
      </w:r>
      <w:r>
        <w:rPr>
          <w:color w:val="231F20"/>
          <w:spacing w:val="-30"/>
          <w:w w:val="105"/>
        </w:rPr>
        <w:t> </w:t>
      </w:r>
      <w:r>
        <w:rPr>
          <w:color w:val="231F20"/>
          <w:w w:val="105"/>
        </w:rPr>
        <w:t>Estados</w:t>
      </w:r>
      <w:r>
        <w:rPr>
          <w:color w:val="231F20"/>
          <w:spacing w:val="-30"/>
          <w:w w:val="105"/>
        </w:rPr>
        <w:t> </w:t>
      </w:r>
      <w:r>
        <w:rPr>
          <w:color w:val="231F20"/>
          <w:w w:val="105"/>
        </w:rPr>
        <w:t>Unidos.</w:t>
      </w:r>
    </w:p>
    <w:p>
      <w:pPr>
        <w:pStyle w:val="BodyText"/>
        <w:spacing w:line="261" w:lineRule="auto" w:before="1"/>
        <w:ind w:left="1837" w:right="1716" w:firstLine="567"/>
        <w:jc w:val="both"/>
      </w:pPr>
      <w:r>
        <w:rPr>
          <w:color w:val="231F20"/>
          <w:w w:val="105"/>
        </w:rPr>
        <w:t>La</w:t>
      </w:r>
      <w:r>
        <w:rPr>
          <w:color w:val="231F20"/>
          <w:spacing w:val="-6"/>
          <w:w w:val="105"/>
        </w:rPr>
        <w:t> </w:t>
      </w:r>
      <w:r>
        <w:rPr>
          <w:color w:val="231F20"/>
          <w:w w:val="105"/>
        </w:rPr>
        <w:t>vinculación</w:t>
      </w:r>
      <w:r>
        <w:rPr>
          <w:color w:val="231F20"/>
          <w:spacing w:val="-6"/>
          <w:w w:val="105"/>
        </w:rPr>
        <w:t> </w:t>
      </w:r>
      <w:r>
        <w:rPr>
          <w:color w:val="231F20"/>
          <w:w w:val="105"/>
        </w:rPr>
        <w:t>del</w:t>
      </w:r>
      <w:r>
        <w:rPr>
          <w:color w:val="231F20"/>
          <w:spacing w:val="-6"/>
          <w:w w:val="105"/>
        </w:rPr>
        <w:t> </w:t>
      </w:r>
      <w:r>
        <w:rPr>
          <w:color w:val="231F20"/>
          <w:w w:val="105"/>
        </w:rPr>
        <w:t>consumo</w:t>
      </w:r>
      <w:r>
        <w:rPr>
          <w:color w:val="231F20"/>
          <w:spacing w:val="-6"/>
          <w:w w:val="105"/>
        </w:rPr>
        <w:t> </w:t>
      </w:r>
      <w:r>
        <w:rPr>
          <w:color w:val="231F20"/>
          <w:w w:val="105"/>
        </w:rPr>
        <w:t>en</w:t>
      </w:r>
      <w:r>
        <w:rPr>
          <w:color w:val="231F20"/>
          <w:spacing w:val="-6"/>
          <w:w w:val="105"/>
        </w:rPr>
        <w:t> </w:t>
      </w:r>
      <w:r>
        <w:rPr>
          <w:color w:val="231F20"/>
          <w:w w:val="105"/>
        </w:rPr>
        <w:t>Estados</w:t>
      </w:r>
      <w:r>
        <w:rPr>
          <w:color w:val="231F20"/>
          <w:spacing w:val="-6"/>
          <w:w w:val="105"/>
        </w:rPr>
        <w:t> </w:t>
      </w:r>
      <w:r>
        <w:rPr>
          <w:color w:val="231F20"/>
          <w:w w:val="105"/>
        </w:rPr>
        <w:t>Unidos</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spacing w:val="-3"/>
          <w:w w:val="105"/>
        </w:rPr>
        <w:t>producción </w:t>
      </w:r>
      <w:r>
        <w:rPr>
          <w:color w:val="231F20"/>
          <w:w w:val="105"/>
        </w:rPr>
        <w:t>local</w:t>
      </w:r>
      <w:r>
        <w:rPr>
          <w:color w:val="231F20"/>
          <w:spacing w:val="-12"/>
          <w:w w:val="105"/>
        </w:rPr>
        <w:t> </w:t>
      </w:r>
      <w:r>
        <w:rPr>
          <w:color w:val="231F20"/>
          <w:w w:val="105"/>
        </w:rPr>
        <w:t>de</w:t>
      </w:r>
      <w:r>
        <w:rPr>
          <w:color w:val="231F20"/>
          <w:spacing w:val="-12"/>
          <w:w w:val="105"/>
        </w:rPr>
        <w:t> </w:t>
      </w:r>
      <w:r>
        <w:rPr>
          <w:color w:val="231F20"/>
          <w:spacing w:val="-3"/>
          <w:w w:val="105"/>
        </w:rPr>
        <w:t>productos</w:t>
      </w:r>
      <w:r>
        <w:rPr>
          <w:color w:val="231F20"/>
          <w:spacing w:val="-12"/>
          <w:w w:val="105"/>
        </w:rPr>
        <w:t> </w:t>
      </w:r>
      <w:r>
        <w:rPr>
          <w:color w:val="231F20"/>
          <w:spacing w:val="-3"/>
          <w:w w:val="105"/>
        </w:rPr>
        <w:t>apreciados</w:t>
      </w:r>
      <w:r>
        <w:rPr>
          <w:color w:val="231F20"/>
          <w:spacing w:val="-12"/>
          <w:w w:val="105"/>
        </w:rPr>
        <w:t> </w:t>
      </w:r>
      <w:r>
        <w:rPr>
          <w:color w:val="231F20"/>
          <w:w w:val="105"/>
        </w:rPr>
        <w:t>por</w:t>
      </w:r>
      <w:r>
        <w:rPr>
          <w:color w:val="231F20"/>
          <w:spacing w:val="-12"/>
          <w:w w:val="105"/>
        </w:rPr>
        <w:t> </w:t>
      </w:r>
      <w:r>
        <w:rPr>
          <w:color w:val="231F20"/>
          <w:w w:val="105"/>
        </w:rPr>
        <w:t>los</w:t>
      </w:r>
      <w:r>
        <w:rPr>
          <w:color w:val="231F20"/>
          <w:spacing w:val="-12"/>
          <w:w w:val="105"/>
        </w:rPr>
        <w:t> </w:t>
      </w:r>
      <w:r>
        <w:rPr>
          <w:color w:val="231F20"/>
          <w:w w:val="105"/>
        </w:rPr>
        <w:t>migrantes,</w:t>
      </w:r>
      <w:r>
        <w:rPr>
          <w:color w:val="231F20"/>
          <w:spacing w:val="-18"/>
          <w:w w:val="105"/>
        </w:rPr>
        <w:t> </w:t>
      </w:r>
      <w:r>
        <w:rPr>
          <w:color w:val="231F20"/>
          <w:w w:val="105"/>
        </w:rPr>
        <w:t>no</w:t>
      </w:r>
      <w:r>
        <w:rPr>
          <w:color w:val="231F20"/>
          <w:spacing w:val="-12"/>
          <w:w w:val="105"/>
        </w:rPr>
        <w:t> </w:t>
      </w:r>
      <w:r>
        <w:rPr>
          <w:color w:val="231F20"/>
          <w:w w:val="105"/>
        </w:rPr>
        <w:t>sólo</w:t>
      </w:r>
      <w:r>
        <w:rPr>
          <w:color w:val="231F20"/>
          <w:spacing w:val="-12"/>
          <w:w w:val="105"/>
        </w:rPr>
        <w:t> </w:t>
      </w:r>
      <w:r>
        <w:rPr>
          <w:color w:val="231F20"/>
          <w:w w:val="105"/>
        </w:rPr>
        <w:t>es</w:t>
      </w:r>
      <w:r>
        <w:rPr>
          <w:color w:val="231F20"/>
          <w:spacing w:val="-12"/>
          <w:w w:val="105"/>
        </w:rPr>
        <w:t> </w:t>
      </w:r>
      <w:r>
        <w:rPr>
          <w:color w:val="231F20"/>
          <w:w w:val="105"/>
        </w:rPr>
        <w:t>un</w:t>
      </w:r>
      <w:r>
        <w:rPr>
          <w:color w:val="231F20"/>
          <w:spacing w:val="-12"/>
          <w:w w:val="105"/>
        </w:rPr>
        <w:t> </w:t>
      </w:r>
      <w:r>
        <w:rPr>
          <w:color w:val="231F20"/>
          <w:spacing w:val="-3"/>
          <w:w w:val="105"/>
        </w:rPr>
        <w:t>“mercado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5"/>
          <w:w w:val="105"/>
        </w:rPr>
        <w:t>nostalgia”,</w:t>
      </w:r>
      <w:r>
        <w:rPr>
          <w:color w:val="231F20"/>
          <w:spacing w:val="-31"/>
          <w:w w:val="105"/>
        </w:rPr>
        <w:t> </w:t>
      </w:r>
      <w:r>
        <w:rPr>
          <w:color w:val="231F20"/>
          <w:w w:val="105"/>
        </w:rPr>
        <w:t>también</w:t>
      </w:r>
      <w:r>
        <w:rPr>
          <w:color w:val="231F20"/>
          <w:spacing w:val="-26"/>
          <w:w w:val="105"/>
        </w:rPr>
        <w:t> </w:t>
      </w:r>
      <w:r>
        <w:rPr>
          <w:color w:val="231F20"/>
          <w:w w:val="105"/>
        </w:rPr>
        <w:t>puede</w:t>
      </w:r>
      <w:r>
        <w:rPr>
          <w:color w:val="231F20"/>
          <w:spacing w:val="-26"/>
          <w:w w:val="105"/>
        </w:rPr>
        <w:t> </w:t>
      </w:r>
      <w:r>
        <w:rPr>
          <w:color w:val="231F20"/>
          <w:w w:val="105"/>
        </w:rPr>
        <w:t>ser</w:t>
      </w:r>
      <w:r>
        <w:rPr>
          <w:color w:val="231F20"/>
          <w:spacing w:val="-26"/>
          <w:w w:val="105"/>
        </w:rPr>
        <w:t> </w:t>
      </w:r>
      <w:r>
        <w:rPr>
          <w:color w:val="231F20"/>
          <w:w w:val="105"/>
        </w:rPr>
        <w:t>una</w:t>
      </w:r>
      <w:r>
        <w:rPr>
          <w:color w:val="231F20"/>
          <w:spacing w:val="-26"/>
          <w:w w:val="105"/>
        </w:rPr>
        <w:t> </w:t>
      </w:r>
      <w:r>
        <w:rPr>
          <w:color w:val="231F20"/>
          <w:w w:val="105"/>
        </w:rPr>
        <w:t>forma</w:t>
      </w:r>
      <w:r>
        <w:rPr>
          <w:color w:val="231F20"/>
          <w:spacing w:val="-26"/>
          <w:w w:val="105"/>
        </w:rPr>
        <w:t> </w:t>
      </w:r>
      <w:r>
        <w:rPr>
          <w:color w:val="231F20"/>
          <w:w w:val="105"/>
        </w:rPr>
        <w:t>de</w:t>
      </w:r>
      <w:r>
        <w:rPr>
          <w:color w:val="231F20"/>
          <w:spacing w:val="-26"/>
          <w:w w:val="105"/>
        </w:rPr>
        <w:t> </w:t>
      </w:r>
      <w:r>
        <w:rPr>
          <w:color w:val="231F20"/>
          <w:w w:val="105"/>
        </w:rPr>
        <w:t>conectar</w:t>
      </w:r>
      <w:r>
        <w:rPr>
          <w:color w:val="231F20"/>
          <w:spacing w:val="-26"/>
          <w:w w:val="105"/>
        </w:rPr>
        <w:t> </w:t>
      </w:r>
      <w:r>
        <w:rPr>
          <w:color w:val="231F20"/>
          <w:w w:val="105"/>
        </w:rPr>
        <w:t>territorios</w:t>
      </w:r>
      <w:r>
        <w:rPr>
          <w:color w:val="231F20"/>
          <w:spacing w:val="-26"/>
          <w:w w:val="105"/>
        </w:rPr>
        <w:t> </w:t>
      </w:r>
      <w:r>
        <w:rPr>
          <w:color w:val="231F20"/>
          <w:w w:val="105"/>
        </w:rPr>
        <w:t>a</w:t>
      </w:r>
      <w:r>
        <w:rPr>
          <w:color w:val="231F20"/>
          <w:spacing w:val="-26"/>
          <w:w w:val="105"/>
        </w:rPr>
        <w:t> </w:t>
      </w:r>
      <w:r>
        <w:rPr>
          <w:color w:val="231F20"/>
          <w:w w:val="105"/>
        </w:rPr>
        <w:t>tra- vés</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alimentos</w:t>
      </w:r>
      <w:r>
        <w:rPr>
          <w:color w:val="231F20"/>
          <w:spacing w:val="-30"/>
          <w:w w:val="105"/>
        </w:rPr>
        <w:t> </w:t>
      </w:r>
      <w:r>
        <w:rPr>
          <w:color w:val="231F20"/>
          <w:w w:val="105"/>
        </w:rPr>
        <w:t>y</w:t>
      </w:r>
      <w:r>
        <w:rPr>
          <w:color w:val="231F20"/>
          <w:spacing w:val="-30"/>
          <w:w w:val="105"/>
        </w:rPr>
        <w:t> </w:t>
      </w:r>
      <w:r>
        <w:rPr>
          <w:color w:val="231F20"/>
          <w:spacing w:val="-3"/>
          <w:w w:val="105"/>
        </w:rPr>
        <w:t>otros</w:t>
      </w:r>
      <w:r>
        <w:rPr>
          <w:color w:val="231F20"/>
          <w:spacing w:val="-30"/>
          <w:w w:val="105"/>
        </w:rPr>
        <w:t> </w:t>
      </w:r>
      <w:r>
        <w:rPr>
          <w:color w:val="231F20"/>
          <w:spacing w:val="-3"/>
          <w:w w:val="105"/>
        </w:rPr>
        <w:t>productos</w:t>
      </w:r>
      <w:r>
        <w:rPr>
          <w:color w:val="231F20"/>
          <w:spacing w:val="-30"/>
          <w:w w:val="105"/>
        </w:rPr>
        <w:t> </w:t>
      </w:r>
      <w:r>
        <w:rPr>
          <w:color w:val="231F20"/>
          <w:w w:val="105"/>
        </w:rPr>
        <w:t>artesanales</w:t>
      </w:r>
      <w:r>
        <w:rPr>
          <w:color w:val="231F20"/>
          <w:spacing w:val="-30"/>
          <w:w w:val="105"/>
        </w:rPr>
        <w:t> </w:t>
      </w:r>
      <w:r>
        <w:rPr>
          <w:color w:val="231F20"/>
          <w:w w:val="105"/>
        </w:rPr>
        <w:t>locales.</w:t>
      </w:r>
      <w:r>
        <w:rPr>
          <w:color w:val="231F20"/>
          <w:spacing w:val="-36"/>
          <w:w w:val="105"/>
        </w:rPr>
        <w:t> </w:t>
      </w:r>
      <w:r>
        <w:rPr>
          <w:color w:val="231F20"/>
          <w:spacing w:val="-3"/>
          <w:w w:val="105"/>
        </w:rPr>
        <w:t>Acercar</w:t>
      </w:r>
      <w:r>
        <w:rPr>
          <w:color w:val="231F20"/>
          <w:spacing w:val="-30"/>
          <w:w w:val="105"/>
        </w:rPr>
        <w:t> </w:t>
      </w:r>
      <w:r>
        <w:rPr>
          <w:color w:val="231F20"/>
          <w:w w:val="105"/>
        </w:rPr>
        <w:t>y</w:t>
      </w:r>
      <w:r>
        <w:rPr>
          <w:color w:val="231F20"/>
          <w:spacing w:val="-30"/>
          <w:w w:val="105"/>
        </w:rPr>
        <w:t> </w:t>
      </w:r>
      <w:r>
        <w:rPr>
          <w:color w:val="231F20"/>
          <w:spacing w:val="-3"/>
          <w:w w:val="105"/>
        </w:rPr>
        <w:t>acor- </w:t>
      </w:r>
      <w:r>
        <w:rPr>
          <w:color w:val="231F20"/>
          <w:w w:val="105"/>
        </w:rPr>
        <w:t>tar</w:t>
      </w:r>
      <w:r>
        <w:rPr>
          <w:color w:val="231F20"/>
          <w:spacing w:val="-27"/>
          <w:w w:val="105"/>
        </w:rPr>
        <w:t> </w:t>
      </w:r>
      <w:r>
        <w:rPr>
          <w:color w:val="231F20"/>
          <w:w w:val="105"/>
        </w:rPr>
        <w:t>los</w:t>
      </w:r>
      <w:r>
        <w:rPr>
          <w:color w:val="231F20"/>
          <w:spacing w:val="-27"/>
          <w:w w:val="105"/>
        </w:rPr>
        <w:t> </w:t>
      </w:r>
      <w:r>
        <w:rPr>
          <w:color w:val="231F20"/>
          <w:w w:val="105"/>
        </w:rPr>
        <w:t>vínculos</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migrantes</w:t>
      </w:r>
      <w:r>
        <w:rPr>
          <w:color w:val="231F20"/>
          <w:spacing w:val="-27"/>
          <w:w w:val="105"/>
        </w:rPr>
        <w:t> </w:t>
      </w:r>
      <w:r>
        <w:rPr>
          <w:color w:val="231F20"/>
          <w:w w:val="105"/>
        </w:rPr>
        <w:t>con</w:t>
      </w:r>
      <w:r>
        <w:rPr>
          <w:color w:val="231F20"/>
          <w:spacing w:val="-27"/>
          <w:w w:val="105"/>
        </w:rPr>
        <w:t> </w:t>
      </w:r>
      <w:r>
        <w:rPr>
          <w:color w:val="231F20"/>
          <w:w w:val="105"/>
        </w:rPr>
        <w:t>sus</w:t>
      </w:r>
      <w:r>
        <w:rPr>
          <w:color w:val="231F20"/>
          <w:spacing w:val="-27"/>
          <w:w w:val="105"/>
        </w:rPr>
        <w:t> </w:t>
      </w:r>
      <w:r>
        <w:rPr>
          <w:color w:val="231F20"/>
          <w:spacing w:val="-3"/>
          <w:w w:val="105"/>
        </w:rPr>
        <w:t>lugares</w:t>
      </w:r>
      <w:r>
        <w:rPr>
          <w:color w:val="231F20"/>
          <w:spacing w:val="-27"/>
          <w:w w:val="105"/>
        </w:rPr>
        <w:t> </w:t>
      </w:r>
      <w:r>
        <w:rPr>
          <w:color w:val="231F20"/>
          <w:w w:val="105"/>
        </w:rPr>
        <w:t>de</w:t>
      </w:r>
      <w:r>
        <w:rPr>
          <w:color w:val="231F20"/>
          <w:spacing w:val="-27"/>
          <w:w w:val="105"/>
        </w:rPr>
        <w:t> </w:t>
      </w:r>
      <w:r>
        <w:rPr>
          <w:color w:val="231F20"/>
          <w:w w:val="105"/>
        </w:rPr>
        <w:t>origen</w:t>
      </w:r>
      <w:r>
        <w:rPr>
          <w:color w:val="231F20"/>
          <w:spacing w:val="-27"/>
          <w:w w:val="105"/>
        </w:rPr>
        <w:t> </w:t>
      </w:r>
      <w:r>
        <w:rPr>
          <w:color w:val="231F20"/>
          <w:w w:val="105"/>
        </w:rPr>
        <w:t>puede</w:t>
      </w:r>
      <w:r>
        <w:rPr>
          <w:color w:val="231F20"/>
          <w:spacing w:val="-27"/>
          <w:w w:val="105"/>
        </w:rPr>
        <w:t> </w:t>
      </w:r>
      <w:r>
        <w:rPr>
          <w:color w:val="231F20"/>
          <w:w w:val="105"/>
        </w:rPr>
        <w:t>hacerse a </w:t>
      </w:r>
      <w:r>
        <w:rPr>
          <w:color w:val="231F20"/>
          <w:spacing w:val="-2"/>
          <w:w w:val="105"/>
        </w:rPr>
        <w:t>través </w:t>
      </w:r>
      <w:r>
        <w:rPr>
          <w:color w:val="231F20"/>
          <w:w w:val="105"/>
        </w:rPr>
        <w:t>de cadenas de </w:t>
      </w:r>
      <w:r>
        <w:rPr>
          <w:color w:val="231F20"/>
          <w:spacing w:val="-3"/>
          <w:w w:val="105"/>
        </w:rPr>
        <w:t>suministro </w:t>
      </w:r>
      <w:r>
        <w:rPr>
          <w:color w:val="231F20"/>
          <w:w w:val="105"/>
        </w:rPr>
        <w:t>globales de baja intensidad, apostar por</w:t>
      </w:r>
      <w:r>
        <w:rPr>
          <w:color w:val="231F20"/>
          <w:spacing w:val="-10"/>
          <w:w w:val="105"/>
        </w:rPr>
        <w:t> </w:t>
      </w:r>
      <w:r>
        <w:rPr>
          <w:color w:val="231F20"/>
          <w:spacing w:val="-3"/>
          <w:w w:val="105"/>
        </w:rPr>
        <w:t>crear</w:t>
      </w:r>
      <w:r>
        <w:rPr>
          <w:color w:val="231F20"/>
          <w:spacing w:val="-10"/>
          <w:w w:val="105"/>
        </w:rPr>
        <w:t> </w:t>
      </w:r>
      <w:r>
        <w:rPr>
          <w:color w:val="231F20"/>
          <w:spacing w:val="-3"/>
          <w:w w:val="105"/>
        </w:rPr>
        <w:t>proyectos</w:t>
      </w:r>
      <w:r>
        <w:rPr>
          <w:color w:val="231F20"/>
          <w:spacing w:val="-10"/>
          <w:w w:val="105"/>
        </w:rPr>
        <w:t> </w:t>
      </w:r>
      <w:r>
        <w:rPr>
          <w:color w:val="231F20"/>
          <w:w w:val="105"/>
        </w:rPr>
        <w:t>y</w:t>
      </w:r>
      <w:r>
        <w:rPr>
          <w:color w:val="231F20"/>
          <w:spacing w:val="-10"/>
          <w:w w:val="105"/>
        </w:rPr>
        <w:t> </w:t>
      </w:r>
      <w:r>
        <w:rPr>
          <w:color w:val="231F20"/>
          <w:w w:val="105"/>
        </w:rPr>
        <w:t>condiciones</w:t>
      </w:r>
      <w:r>
        <w:rPr>
          <w:color w:val="231F20"/>
          <w:spacing w:val="-10"/>
          <w:w w:val="105"/>
        </w:rPr>
        <w:t> </w:t>
      </w:r>
      <w:r>
        <w:rPr>
          <w:color w:val="231F20"/>
          <w:w w:val="105"/>
        </w:rPr>
        <w:t>para</w:t>
      </w:r>
      <w:r>
        <w:rPr>
          <w:color w:val="231F20"/>
          <w:spacing w:val="-10"/>
          <w:w w:val="105"/>
        </w:rPr>
        <w:t> </w:t>
      </w:r>
      <w:r>
        <w:rPr>
          <w:color w:val="231F20"/>
          <w:spacing w:val="-3"/>
          <w:w w:val="105"/>
        </w:rPr>
        <w:t>reactivar</w:t>
      </w:r>
      <w:r>
        <w:rPr>
          <w:color w:val="231F20"/>
          <w:spacing w:val="-10"/>
          <w:w w:val="105"/>
        </w:rPr>
        <w:t> </w:t>
      </w:r>
      <w:r>
        <w:rPr>
          <w:color w:val="231F20"/>
          <w:w w:val="105"/>
        </w:rPr>
        <w:t>la</w:t>
      </w:r>
      <w:r>
        <w:rPr>
          <w:color w:val="231F20"/>
          <w:spacing w:val="-10"/>
          <w:w w:val="105"/>
        </w:rPr>
        <w:t> </w:t>
      </w:r>
      <w:r>
        <w:rPr>
          <w:color w:val="231F20"/>
          <w:spacing w:val="-3"/>
          <w:w w:val="105"/>
        </w:rPr>
        <w:t>producción</w:t>
      </w:r>
      <w:r>
        <w:rPr>
          <w:color w:val="231F20"/>
          <w:spacing w:val="-10"/>
          <w:w w:val="105"/>
        </w:rPr>
        <w:t> </w:t>
      </w:r>
      <w:r>
        <w:rPr>
          <w:color w:val="231F20"/>
          <w:spacing w:val="-3"/>
          <w:w w:val="105"/>
        </w:rPr>
        <w:t>artesanal, </w:t>
      </w:r>
      <w:r>
        <w:rPr>
          <w:color w:val="231F20"/>
          <w:w w:val="105"/>
        </w:rPr>
        <w:t>misma</w:t>
      </w:r>
      <w:r>
        <w:rPr>
          <w:color w:val="231F20"/>
          <w:spacing w:val="-19"/>
          <w:w w:val="105"/>
        </w:rPr>
        <w:t> </w:t>
      </w:r>
      <w:r>
        <w:rPr>
          <w:color w:val="231F20"/>
          <w:w w:val="105"/>
        </w:rPr>
        <w:t>que</w:t>
      </w:r>
      <w:r>
        <w:rPr>
          <w:color w:val="231F20"/>
          <w:spacing w:val="-19"/>
          <w:w w:val="105"/>
        </w:rPr>
        <w:t> </w:t>
      </w:r>
      <w:r>
        <w:rPr>
          <w:color w:val="231F20"/>
          <w:w w:val="105"/>
        </w:rPr>
        <w:t>es</w:t>
      </w:r>
      <w:r>
        <w:rPr>
          <w:color w:val="231F20"/>
          <w:spacing w:val="-19"/>
          <w:w w:val="105"/>
        </w:rPr>
        <w:t> </w:t>
      </w:r>
      <w:r>
        <w:rPr>
          <w:color w:val="231F20"/>
          <w:spacing w:val="-3"/>
          <w:w w:val="105"/>
        </w:rPr>
        <w:t>apreciada</w:t>
      </w:r>
      <w:r>
        <w:rPr>
          <w:color w:val="231F20"/>
          <w:spacing w:val="-19"/>
          <w:w w:val="105"/>
        </w:rPr>
        <w:t> </w:t>
      </w:r>
      <w:r>
        <w:rPr>
          <w:color w:val="231F20"/>
          <w:w w:val="105"/>
        </w:rPr>
        <w:t>por</w:t>
      </w:r>
      <w:r>
        <w:rPr>
          <w:color w:val="231F20"/>
          <w:spacing w:val="-19"/>
          <w:w w:val="105"/>
        </w:rPr>
        <w:t> </w:t>
      </w:r>
      <w:r>
        <w:rPr>
          <w:color w:val="231F20"/>
          <w:w w:val="105"/>
        </w:rPr>
        <w:t>un</w:t>
      </w:r>
      <w:r>
        <w:rPr>
          <w:color w:val="231F20"/>
          <w:spacing w:val="-19"/>
          <w:w w:val="105"/>
        </w:rPr>
        <w:t> </w:t>
      </w:r>
      <w:r>
        <w:rPr>
          <w:color w:val="231F20"/>
          <w:w w:val="105"/>
        </w:rPr>
        <w:t>consumidor</w:t>
      </w:r>
      <w:r>
        <w:rPr>
          <w:color w:val="231F20"/>
          <w:spacing w:val="-19"/>
          <w:w w:val="105"/>
        </w:rPr>
        <w:t> </w:t>
      </w:r>
      <w:r>
        <w:rPr>
          <w:color w:val="231F20"/>
          <w:spacing w:val="-3"/>
          <w:w w:val="105"/>
        </w:rPr>
        <w:t>aparentemente</w:t>
      </w:r>
      <w:r>
        <w:rPr>
          <w:color w:val="231F20"/>
          <w:spacing w:val="-19"/>
          <w:w w:val="105"/>
        </w:rPr>
        <w:t> </w:t>
      </w:r>
      <w:r>
        <w:rPr>
          <w:color w:val="231F20"/>
          <w:w w:val="105"/>
        </w:rPr>
        <w:t>distante.</w:t>
      </w:r>
    </w:p>
    <w:p>
      <w:pPr>
        <w:pStyle w:val="BodyText"/>
        <w:spacing w:line="261" w:lineRule="auto" w:before="1"/>
        <w:ind w:left="1837" w:right="1721"/>
        <w:jc w:val="both"/>
      </w:pPr>
      <w:r>
        <w:rPr>
          <w:color w:val="231F20"/>
          <w:w w:val="105"/>
        </w:rPr>
        <w:t>Así</w:t>
      </w:r>
      <w:r>
        <w:rPr>
          <w:color w:val="231F20"/>
          <w:spacing w:val="-30"/>
          <w:w w:val="105"/>
        </w:rPr>
        <w:t> </w:t>
      </w:r>
      <w:r>
        <w:rPr>
          <w:color w:val="231F20"/>
          <w:w w:val="105"/>
        </w:rPr>
        <w:t>pues,</w:t>
      </w:r>
      <w:r>
        <w:rPr>
          <w:color w:val="231F20"/>
          <w:spacing w:val="-35"/>
          <w:w w:val="105"/>
        </w:rPr>
        <w:t> </w:t>
      </w:r>
      <w:r>
        <w:rPr>
          <w:color w:val="231F20"/>
          <w:w w:val="105"/>
        </w:rPr>
        <w:t>se</w:t>
      </w:r>
      <w:r>
        <w:rPr>
          <w:color w:val="231F20"/>
          <w:spacing w:val="-30"/>
          <w:w w:val="105"/>
        </w:rPr>
        <w:t> </w:t>
      </w:r>
      <w:r>
        <w:rPr>
          <w:color w:val="231F20"/>
          <w:w w:val="105"/>
        </w:rPr>
        <w:t>pueden</w:t>
      </w:r>
      <w:r>
        <w:rPr>
          <w:color w:val="231F20"/>
          <w:spacing w:val="-30"/>
          <w:w w:val="105"/>
        </w:rPr>
        <w:t> </w:t>
      </w:r>
      <w:r>
        <w:rPr>
          <w:color w:val="231F20"/>
          <w:w w:val="105"/>
        </w:rPr>
        <w:t>trazar</w:t>
      </w:r>
      <w:r>
        <w:rPr>
          <w:color w:val="231F20"/>
          <w:spacing w:val="-30"/>
          <w:w w:val="105"/>
        </w:rPr>
        <w:t> </w:t>
      </w:r>
      <w:r>
        <w:rPr>
          <w:color w:val="231F20"/>
          <w:w w:val="105"/>
        </w:rPr>
        <w:t>como</w:t>
      </w:r>
      <w:r>
        <w:rPr>
          <w:color w:val="231F20"/>
          <w:spacing w:val="-30"/>
          <w:w w:val="105"/>
        </w:rPr>
        <w:t> </w:t>
      </w:r>
      <w:r>
        <w:rPr>
          <w:color w:val="231F20"/>
          <w:w w:val="105"/>
        </w:rPr>
        <w:t>propuestas</w:t>
      </w:r>
      <w:r>
        <w:rPr>
          <w:color w:val="231F20"/>
          <w:spacing w:val="-30"/>
          <w:w w:val="105"/>
        </w:rPr>
        <w:t> </w:t>
      </w:r>
      <w:r>
        <w:rPr>
          <w:color w:val="231F20"/>
          <w:w w:val="105"/>
        </w:rPr>
        <w:t>múltiples</w:t>
      </w:r>
      <w:r>
        <w:rPr>
          <w:color w:val="231F20"/>
          <w:spacing w:val="-30"/>
          <w:w w:val="105"/>
        </w:rPr>
        <w:t> </w:t>
      </w:r>
      <w:r>
        <w:rPr>
          <w:color w:val="231F20"/>
          <w:w w:val="105"/>
        </w:rPr>
        <w:t>proyectos</w:t>
      </w:r>
      <w:r>
        <w:rPr>
          <w:color w:val="231F20"/>
          <w:spacing w:val="-30"/>
          <w:w w:val="105"/>
        </w:rPr>
        <w:t> </w:t>
      </w:r>
      <w:r>
        <w:rPr>
          <w:color w:val="231F20"/>
          <w:w w:val="105"/>
        </w:rPr>
        <w:t>en</w:t>
      </w:r>
      <w:r>
        <w:rPr>
          <w:color w:val="231F20"/>
          <w:spacing w:val="-30"/>
          <w:w w:val="105"/>
        </w:rPr>
        <w:t> </w:t>
      </w:r>
      <w:r>
        <w:rPr>
          <w:color w:val="231F20"/>
          <w:w w:val="105"/>
        </w:rPr>
        <w:t>alian- za</w:t>
      </w:r>
      <w:r>
        <w:rPr>
          <w:color w:val="231F20"/>
          <w:spacing w:val="-21"/>
          <w:w w:val="105"/>
        </w:rPr>
        <w:t> </w:t>
      </w:r>
      <w:r>
        <w:rPr>
          <w:color w:val="231F20"/>
          <w:w w:val="105"/>
        </w:rPr>
        <w:t>con</w:t>
      </w:r>
      <w:r>
        <w:rPr>
          <w:color w:val="231F20"/>
          <w:spacing w:val="-21"/>
          <w:w w:val="105"/>
        </w:rPr>
        <w:t> </w:t>
      </w:r>
      <w:r>
        <w:rPr>
          <w:color w:val="231F20"/>
          <w:w w:val="105"/>
        </w:rPr>
        <w:t>los</w:t>
      </w:r>
      <w:r>
        <w:rPr>
          <w:color w:val="231F20"/>
          <w:spacing w:val="-21"/>
          <w:w w:val="105"/>
        </w:rPr>
        <w:t> </w:t>
      </w:r>
      <w:r>
        <w:rPr>
          <w:color w:val="231F20"/>
          <w:w w:val="105"/>
        </w:rPr>
        <w:t>migrantes</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población</w:t>
      </w:r>
      <w:r>
        <w:rPr>
          <w:color w:val="231F20"/>
          <w:spacing w:val="-21"/>
          <w:w w:val="105"/>
        </w:rPr>
        <w:t> </w:t>
      </w:r>
      <w:r>
        <w:rPr>
          <w:color w:val="231F20"/>
          <w:w w:val="105"/>
        </w:rPr>
        <w:t>local,</w:t>
      </w:r>
      <w:r>
        <w:rPr>
          <w:color w:val="231F20"/>
          <w:spacing w:val="-26"/>
          <w:w w:val="105"/>
        </w:rPr>
        <w:t> </w:t>
      </w:r>
      <w:r>
        <w:rPr>
          <w:color w:val="231F20"/>
          <w:w w:val="105"/>
        </w:rPr>
        <w:t>por</w:t>
      </w:r>
      <w:r>
        <w:rPr>
          <w:color w:val="231F20"/>
          <w:spacing w:val="-21"/>
          <w:w w:val="105"/>
        </w:rPr>
        <w:t> </w:t>
      </w:r>
      <w:r>
        <w:rPr>
          <w:color w:val="231F20"/>
          <w:w w:val="105"/>
        </w:rPr>
        <w:t>ejemplo,</w:t>
      </w:r>
      <w:r>
        <w:rPr>
          <w:color w:val="231F20"/>
          <w:spacing w:val="-26"/>
          <w:w w:val="105"/>
        </w:rPr>
        <w:t> </w:t>
      </w:r>
      <w:r>
        <w:rPr>
          <w:color w:val="231F20"/>
          <w:w w:val="105"/>
        </w:rPr>
        <w:t>los</w:t>
      </w:r>
      <w:r>
        <w:rPr>
          <w:color w:val="231F20"/>
          <w:spacing w:val="-21"/>
          <w:w w:val="105"/>
        </w:rPr>
        <w:t> </w:t>
      </w:r>
      <w:r>
        <w:rPr>
          <w:color w:val="231F20"/>
          <w:w w:val="105"/>
        </w:rPr>
        <w:t>arreglos</w:t>
      </w:r>
      <w:r>
        <w:rPr>
          <w:color w:val="231F20"/>
          <w:spacing w:val="-21"/>
          <w:w w:val="105"/>
        </w:rPr>
        <w:t> </w:t>
      </w:r>
      <w:r>
        <w:rPr>
          <w:color w:val="231F20"/>
          <w:w w:val="105"/>
        </w:rPr>
        <w:t>que</w:t>
      </w:r>
      <w:r>
        <w:rPr>
          <w:color w:val="231F20"/>
          <w:spacing w:val="-21"/>
          <w:w w:val="105"/>
        </w:rPr>
        <w:t> </w:t>
      </w:r>
      <w:r>
        <w:rPr>
          <w:color w:val="231F20"/>
          <w:w w:val="105"/>
        </w:rPr>
        <w:t>se dan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informalidad</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traslado</w:t>
      </w:r>
      <w:r>
        <w:rPr>
          <w:color w:val="231F20"/>
          <w:spacing w:val="-14"/>
          <w:w w:val="105"/>
        </w:rPr>
        <w:t> </w:t>
      </w:r>
      <w:r>
        <w:rPr>
          <w:color w:val="231F20"/>
          <w:w w:val="105"/>
        </w:rPr>
        <w:t>de</w:t>
      </w:r>
      <w:r>
        <w:rPr>
          <w:color w:val="231F20"/>
          <w:spacing w:val="-14"/>
          <w:w w:val="105"/>
        </w:rPr>
        <w:t> </w:t>
      </w:r>
      <w:r>
        <w:rPr>
          <w:color w:val="231F20"/>
          <w:w w:val="105"/>
        </w:rPr>
        <w:t>productos</w:t>
      </w:r>
      <w:r>
        <w:rPr>
          <w:color w:val="231F20"/>
          <w:spacing w:val="-14"/>
          <w:w w:val="105"/>
        </w:rPr>
        <w:t> </w:t>
      </w:r>
      <w:r>
        <w:rPr>
          <w:color w:val="231F20"/>
          <w:w w:val="105"/>
        </w:rPr>
        <w:t>regionales</w:t>
      </w:r>
      <w:r>
        <w:rPr>
          <w:color w:val="231F20"/>
          <w:spacing w:val="-14"/>
          <w:w w:val="105"/>
        </w:rPr>
        <w:t> </w:t>
      </w:r>
      <w:r>
        <w:rPr>
          <w:color w:val="231F20"/>
          <w:w w:val="105"/>
        </w:rPr>
        <w:t>de</w:t>
      </w:r>
      <w:r>
        <w:rPr>
          <w:color w:val="231F20"/>
          <w:spacing w:val="-14"/>
          <w:w w:val="105"/>
        </w:rPr>
        <w:t> </w:t>
      </w:r>
      <w:r>
        <w:rPr>
          <w:color w:val="231F20"/>
          <w:w w:val="105"/>
        </w:rPr>
        <w:t>Méxi- co</w:t>
      </w:r>
      <w:r>
        <w:rPr>
          <w:color w:val="231F20"/>
          <w:spacing w:val="-6"/>
          <w:w w:val="105"/>
        </w:rPr>
        <w:t> </w:t>
      </w:r>
      <w:r>
        <w:rPr>
          <w:color w:val="231F20"/>
          <w:w w:val="105"/>
        </w:rPr>
        <w:t>a</w:t>
      </w:r>
      <w:r>
        <w:rPr>
          <w:color w:val="231F20"/>
          <w:spacing w:val="-6"/>
          <w:w w:val="105"/>
        </w:rPr>
        <w:t> </w:t>
      </w:r>
      <w:r>
        <w:rPr>
          <w:color w:val="231F20"/>
          <w:w w:val="105"/>
        </w:rPr>
        <w:t>Estados</w:t>
      </w:r>
      <w:r>
        <w:rPr>
          <w:color w:val="231F20"/>
          <w:spacing w:val="-6"/>
          <w:w w:val="105"/>
        </w:rPr>
        <w:t> </w:t>
      </w:r>
      <w:r>
        <w:rPr>
          <w:color w:val="231F20"/>
          <w:w w:val="105"/>
        </w:rPr>
        <w:t>Unidos</w:t>
      </w:r>
      <w:r>
        <w:rPr>
          <w:color w:val="231F20"/>
          <w:spacing w:val="-6"/>
          <w:w w:val="105"/>
        </w:rPr>
        <w:t> </w:t>
      </w:r>
      <w:r>
        <w:rPr>
          <w:color w:val="231F20"/>
          <w:w w:val="105"/>
        </w:rPr>
        <w:t>son</w:t>
      </w:r>
      <w:r>
        <w:rPr>
          <w:color w:val="231F20"/>
          <w:spacing w:val="-6"/>
          <w:w w:val="105"/>
        </w:rPr>
        <w:t> </w:t>
      </w:r>
      <w:r>
        <w:rPr>
          <w:color w:val="231F20"/>
          <w:w w:val="105"/>
        </w:rPr>
        <w:t>parte</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cotidianidad</w:t>
      </w:r>
      <w:r>
        <w:rPr>
          <w:color w:val="231F20"/>
          <w:spacing w:val="-6"/>
          <w:w w:val="105"/>
        </w:rPr>
        <w:t> </w:t>
      </w:r>
      <w:r>
        <w:rPr>
          <w:color w:val="231F20"/>
          <w:w w:val="105"/>
        </w:rPr>
        <w:t>entre</w:t>
      </w:r>
      <w:r>
        <w:rPr>
          <w:color w:val="231F20"/>
          <w:spacing w:val="-6"/>
          <w:w w:val="105"/>
        </w:rPr>
        <w:t> </w:t>
      </w:r>
      <w:r>
        <w:rPr>
          <w:color w:val="231F20"/>
          <w:w w:val="105"/>
        </w:rPr>
        <w:t>los</w:t>
      </w:r>
      <w:r>
        <w:rPr>
          <w:color w:val="231F20"/>
          <w:spacing w:val="-6"/>
          <w:w w:val="105"/>
        </w:rPr>
        <w:t> </w:t>
      </w:r>
      <w:r>
        <w:rPr>
          <w:color w:val="231F20"/>
          <w:w w:val="105"/>
        </w:rPr>
        <w:t>familiares</w:t>
      </w:r>
      <w:r>
        <w:rPr>
          <w:color w:val="231F20"/>
          <w:spacing w:val="-6"/>
          <w:w w:val="105"/>
        </w:rPr>
        <w:t> </w:t>
      </w:r>
      <w:r>
        <w:rPr>
          <w:color w:val="231F20"/>
          <w:w w:val="105"/>
        </w:rPr>
        <w:t>de los</w:t>
      </w:r>
      <w:r>
        <w:rPr>
          <w:color w:val="231F20"/>
          <w:spacing w:val="-11"/>
          <w:w w:val="105"/>
        </w:rPr>
        <w:t> </w:t>
      </w:r>
      <w:r>
        <w:rPr>
          <w:color w:val="231F20"/>
          <w:w w:val="105"/>
        </w:rPr>
        <w:t>migrantes</w:t>
      </w:r>
      <w:r>
        <w:rPr>
          <w:color w:val="231F20"/>
          <w:spacing w:val="-11"/>
          <w:w w:val="105"/>
        </w:rPr>
        <w:t> </w:t>
      </w:r>
      <w:r>
        <w:rPr>
          <w:color w:val="231F20"/>
          <w:w w:val="105"/>
        </w:rPr>
        <w:t>para</w:t>
      </w:r>
      <w:r>
        <w:rPr>
          <w:color w:val="231F20"/>
          <w:spacing w:val="-11"/>
          <w:w w:val="105"/>
        </w:rPr>
        <w:t> </w:t>
      </w:r>
      <w:r>
        <w:rPr>
          <w:color w:val="231F20"/>
          <w:w w:val="105"/>
        </w:rPr>
        <w:t>reforzar</w:t>
      </w:r>
      <w:r>
        <w:rPr>
          <w:color w:val="231F20"/>
          <w:spacing w:val="-11"/>
          <w:w w:val="105"/>
        </w:rPr>
        <w:t> </w:t>
      </w:r>
      <w:r>
        <w:rPr>
          <w:color w:val="231F20"/>
          <w:w w:val="105"/>
        </w:rPr>
        <w:t>su</w:t>
      </w:r>
      <w:r>
        <w:rPr>
          <w:color w:val="231F20"/>
          <w:spacing w:val="-11"/>
          <w:w w:val="105"/>
        </w:rPr>
        <w:t> </w:t>
      </w:r>
      <w:r>
        <w:rPr>
          <w:color w:val="231F20"/>
          <w:w w:val="105"/>
        </w:rPr>
        <w:t>identidad</w:t>
      </w:r>
      <w:r>
        <w:rPr>
          <w:color w:val="231F20"/>
          <w:spacing w:val="-11"/>
          <w:w w:val="105"/>
        </w:rPr>
        <w:t> </w:t>
      </w:r>
      <w:r>
        <w:rPr>
          <w:color w:val="231F20"/>
          <w:w w:val="105"/>
        </w:rPr>
        <w:t>con</w:t>
      </w:r>
      <w:r>
        <w:rPr>
          <w:color w:val="231F20"/>
          <w:spacing w:val="-11"/>
          <w:w w:val="105"/>
        </w:rPr>
        <w:t> </w:t>
      </w:r>
      <w:r>
        <w:rPr>
          <w:color w:val="231F20"/>
          <w:w w:val="105"/>
        </w:rPr>
        <w:t>su</w:t>
      </w:r>
      <w:r>
        <w:rPr>
          <w:color w:val="231F20"/>
          <w:spacing w:val="-11"/>
          <w:w w:val="105"/>
        </w:rPr>
        <w:t> </w:t>
      </w:r>
      <w:r>
        <w:rPr>
          <w:color w:val="231F20"/>
          <w:w w:val="105"/>
        </w:rPr>
        <w:t>cultura</w:t>
      </w:r>
      <w:r>
        <w:rPr>
          <w:color w:val="231F20"/>
          <w:spacing w:val="-11"/>
          <w:w w:val="105"/>
        </w:rPr>
        <w:t> </w:t>
      </w:r>
      <w:r>
        <w:rPr>
          <w:color w:val="231F20"/>
          <w:w w:val="105"/>
        </w:rPr>
        <w:t>de</w:t>
      </w:r>
      <w:r>
        <w:rPr>
          <w:color w:val="231F20"/>
          <w:spacing w:val="-11"/>
          <w:w w:val="105"/>
        </w:rPr>
        <w:t> </w:t>
      </w:r>
      <w:r>
        <w:rPr>
          <w:color w:val="231F20"/>
          <w:w w:val="105"/>
        </w:rPr>
        <w:t>origen,</w:t>
      </w:r>
      <w:r>
        <w:rPr>
          <w:color w:val="231F20"/>
          <w:spacing w:val="-16"/>
          <w:w w:val="105"/>
        </w:rPr>
        <w:t> </w:t>
      </w:r>
      <w:r>
        <w:rPr>
          <w:color w:val="231F20"/>
          <w:w w:val="105"/>
        </w:rPr>
        <w:t>lo</w:t>
      </w:r>
      <w:r>
        <w:rPr>
          <w:color w:val="231F20"/>
          <w:spacing w:val="-11"/>
          <w:w w:val="105"/>
        </w:rPr>
        <w:t> </w:t>
      </w:r>
      <w:r>
        <w:rPr>
          <w:color w:val="231F20"/>
          <w:w w:val="105"/>
        </w:rPr>
        <w:t>cual sumado a la revolución tecnológica de la información y comunicación virtual potencian las posibilidades de dinamizar los territorios de origen de los</w:t>
      </w:r>
      <w:r>
        <w:rPr>
          <w:color w:val="231F20"/>
          <w:spacing w:val="-33"/>
          <w:w w:val="105"/>
        </w:rPr>
        <w:t> </w:t>
      </w:r>
      <w:r>
        <w:rPr>
          <w:color w:val="231F20"/>
          <w:w w:val="105"/>
        </w:rPr>
        <w:t>migrantes.</w:t>
      </w:r>
    </w:p>
    <w:p>
      <w:pPr>
        <w:pStyle w:val="BodyText"/>
        <w:rPr>
          <w:sz w:val="20"/>
        </w:rPr>
      </w:pPr>
    </w:p>
    <w:p>
      <w:pPr>
        <w:pStyle w:val="BodyText"/>
        <w:spacing w:before="9"/>
        <w:rPr>
          <w:sz w:val="20"/>
        </w:rPr>
      </w:pPr>
    </w:p>
    <w:p>
      <w:pPr>
        <w:pStyle w:val="Heading3"/>
      </w:pPr>
      <w:r>
        <w:rPr>
          <w:color w:val="231F20"/>
        </w:rPr>
        <w:t>Conclusiones</w:t>
      </w:r>
    </w:p>
    <w:p>
      <w:pPr>
        <w:pStyle w:val="BodyText"/>
        <w:rPr>
          <w:rFonts w:ascii="Arial"/>
          <w:b/>
          <w:sz w:val="22"/>
        </w:rPr>
      </w:pPr>
    </w:p>
    <w:p>
      <w:pPr>
        <w:pStyle w:val="BodyText"/>
        <w:spacing w:line="261" w:lineRule="auto" w:before="163"/>
        <w:ind w:left="1837" w:right="1721"/>
        <w:jc w:val="both"/>
      </w:pPr>
      <w:r>
        <w:rPr/>
        <w:pict>
          <v:line style="position:absolute;mso-position-horizontal-relative:page;mso-position-vertical-relative:paragraph;z-index:-452776" from="15pt,106.431892pt" to="0pt,106.431892pt" stroked="true" strokeweight=".25pt" strokecolor="#000000">
            <w10:wrap type="none"/>
          </v:line>
        </w:pict>
      </w:r>
      <w:r>
        <w:rPr/>
        <w:pict>
          <v:line style="position:absolute;mso-position-horizontal-relative:page;mso-position-vertical-relative:paragraph;z-index:37432" from="508.890015pt,106.431892pt" to="523.890015pt,106.431892pt" stroked="true" strokeweight=".25pt" strokecolor="#000000">
            <w10:wrap type="none"/>
          </v:line>
        </w:pict>
      </w:r>
      <w:r>
        <w:rPr>
          <w:color w:val="231F20"/>
          <w:w w:val="105"/>
        </w:rPr>
        <w:t>Hoy</w:t>
      </w:r>
      <w:r>
        <w:rPr>
          <w:color w:val="231F20"/>
          <w:spacing w:val="-13"/>
          <w:w w:val="105"/>
        </w:rPr>
        <w:t> </w:t>
      </w:r>
      <w:r>
        <w:rPr>
          <w:color w:val="231F20"/>
          <w:w w:val="105"/>
        </w:rPr>
        <w:t>las</w:t>
      </w:r>
      <w:r>
        <w:rPr>
          <w:color w:val="231F20"/>
          <w:spacing w:val="-13"/>
          <w:w w:val="105"/>
        </w:rPr>
        <w:t> </w:t>
      </w:r>
      <w:r>
        <w:rPr>
          <w:color w:val="231F20"/>
          <w:w w:val="105"/>
        </w:rPr>
        <w:t>zonas</w:t>
      </w:r>
      <w:r>
        <w:rPr>
          <w:color w:val="231F20"/>
          <w:spacing w:val="-13"/>
          <w:w w:val="105"/>
        </w:rPr>
        <w:t> </w:t>
      </w:r>
      <w:r>
        <w:rPr>
          <w:color w:val="231F20"/>
          <w:w w:val="105"/>
        </w:rPr>
        <w:t>urbanas</w:t>
      </w:r>
      <w:r>
        <w:rPr>
          <w:color w:val="231F20"/>
          <w:spacing w:val="-13"/>
          <w:w w:val="105"/>
        </w:rPr>
        <w:t> </w:t>
      </w:r>
      <w:r>
        <w:rPr>
          <w:color w:val="231F20"/>
          <w:w w:val="105"/>
        </w:rPr>
        <w:t>en</w:t>
      </w:r>
      <w:r>
        <w:rPr>
          <w:color w:val="231F20"/>
          <w:spacing w:val="-13"/>
          <w:w w:val="105"/>
        </w:rPr>
        <w:t> </w:t>
      </w:r>
      <w:r>
        <w:rPr>
          <w:color w:val="231F20"/>
          <w:w w:val="105"/>
        </w:rPr>
        <w:t>México</w:t>
      </w:r>
      <w:r>
        <w:rPr>
          <w:color w:val="231F20"/>
          <w:spacing w:val="-13"/>
          <w:w w:val="105"/>
        </w:rPr>
        <w:t> </w:t>
      </w:r>
      <w:r>
        <w:rPr>
          <w:color w:val="231F20"/>
          <w:w w:val="105"/>
        </w:rPr>
        <w:t>a</w:t>
      </w:r>
      <w:r>
        <w:rPr>
          <w:color w:val="231F20"/>
          <w:spacing w:val="-13"/>
          <w:w w:val="105"/>
        </w:rPr>
        <w:t> </w:t>
      </w:r>
      <w:r>
        <w:rPr>
          <w:color w:val="231F20"/>
          <w:w w:val="105"/>
        </w:rPr>
        <w:t>diferencia</w:t>
      </w:r>
      <w:r>
        <w:rPr>
          <w:color w:val="231F20"/>
          <w:spacing w:val="-13"/>
          <w:w w:val="105"/>
        </w:rPr>
        <w:t> </w:t>
      </w:r>
      <w:r>
        <w:rPr>
          <w:color w:val="231F20"/>
          <w:w w:val="105"/>
        </w:rPr>
        <w:t>de</w:t>
      </w:r>
      <w:r>
        <w:rPr>
          <w:color w:val="231F20"/>
          <w:spacing w:val="-13"/>
          <w:w w:val="105"/>
        </w:rPr>
        <w:t> </w:t>
      </w:r>
      <w:r>
        <w:rPr>
          <w:color w:val="231F20"/>
          <w:w w:val="105"/>
        </w:rPr>
        <w:t>mediados</w:t>
      </w:r>
      <w:r>
        <w:rPr>
          <w:color w:val="231F20"/>
          <w:spacing w:val="-13"/>
          <w:w w:val="105"/>
        </w:rPr>
        <w:t> </w:t>
      </w:r>
      <w:r>
        <w:rPr>
          <w:color w:val="231F20"/>
          <w:w w:val="105"/>
        </w:rPr>
        <w:t>del</w:t>
      </w:r>
      <w:r>
        <w:rPr>
          <w:color w:val="231F20"/>
          <w:spacing w:val="-13"/>
          <w:w w:val="105"/>
        </w:rPr>
        <w:t> </w:t>
      </w:r>
      <w:r>
        <w:rPr>
          <w:color w:val="231F20"/>
          <w:w w:val="105"/>
        </w:rPr>
        <w:t>siglo</w:t>
      </w:r>
      <w:r>
        <w:rPr>
          <w:color w:val="231F20"/>
          <w:spacing w:val="-13"/>
          <w:w w:val="105"/>
        </w:rPr>
        <w:t> </w:t>
      </w:r>
      <w:r>
        <w:rPr>
          <w:color w:val="231F20"/>
          <w:w w:val="105"/>
        </w:rPr>
        <w:t>pa- sado</w:t>
      </w:r>
      <w:r>
        <w:rPr>
          <w:color w:val="231F20"/>
          <w:spacing w:val="-7"/>
          <w:w w:val="105"/>
        </w:rPr>
        <w:t> </w:t>
      </w:r>
      <w:r>
        <w:rPr>
          <w:color w:val="231F20"/>
          <w:w w:val="105"/>
        </w:rPr>
        <w:t>han</w:t>
      </w:r>
      <w:r>
        <w:rPr>
          <w:color w:val="231F20"/>
          <w:spacing w:val="-7"/>
          <w:w w:val="105"/>
        </w:rPr>
        <w:t> </w:t>
      </w:r>
      <w:r>
        <w:rPr>
          <w:color w:val="231F20"/>
          <w:w w:val="105"/>
        </w:rPr>
        <w:t>perdido</w:t>
      </w:r>
      <w:r>
        <w:rPr>
          <w:color w:val="231F20"/>
          <w:spacing w:val="-7"/>
          <w:w w:val="105"/>
        </w:rPr>
        <w:t> </w:t>
      </w:r>
      <w:r>
        <w:rPr>
          <w:color w:val="231F20"/>
          <w:w w:val="105"/>
        </w:rPr>
        <w:t>en</w:t>
      </w:r>
      <w:r>
        <w:rPr>
          <w:color w:val="231F20"/>
          <w:spacing w:val="-7"/>
          <w:w w:val="105"/>
        </w:rPr>
        <w:t> </w:t>
      </w:r>
      <w:r>
        <w:rPr>
          <w:color w:val="231F20"/>
          <w:w w:val="105"/>
        </w:rPr>
        <w:t>buena</w:t>
      </w:r>
      <w:r>
        <w:rPr>
          <w:color w:val="231F20"/>
          <w:spacing w:val="-7"/>
          <w:w w:val="105"/>
        </w:rPr>
        <w:t> </w:t>
      </w:r>
      <w:r>
        <w:rPr>
          <w:color w:val="231F20"/>
          <w:w w:val="105"/>
        </w:rPr>
        <w:t>medida</w:t>
      </w:r>
      <w:r>
        <w:rPr>
          <w:color w:val="231F20"/>
          <w:spacing w:val="-7"/>
          <w:w w:val="105"/>
        </w:rPr>
        <w:t> </w:t>
      </w:r>
      <w:r>
        <w:rPr>
          <w:color w:val="231F20"/>
          <w:w w:val="105"/>
        </w:rPr>
        <w:t>la</w:t>
      </w:r>
      <w:r>
        <w:rPr>
          <w:color w:val="231F20"/>
          <w:spacing w:val="-7"/>
          <w:w w:val="105"/>
        </w:rPr>
        <w:t> </w:t>
      </w:r>
      <w:r>
        <w:rPr>
          <w:color w:val="231F20"/>
          <w:w w:val="105"/>
        </w:rPr>
        <w:t>capacidad</w:t>
      </w:r>
      <w:r>
        <w:rPr>
          <w:color w:val="231F20"/>
          <w:spacing w:val="-7"/>
          <w:w w:val="105"/>
        </w:rPr>
        <w:t> </w:t>
      </w:r>
      <w:r>
        <w:rPr>
          <w:color w:val="231F20"/>
          <w:w w:val="105"/>
        </w:rPr>
        <w:t>de</w:t>
      </w:r>
      <w:r>
        <w:rPr>
          <w:color w:val="231F20"/>
          <w:spacing w:val="-7"/>
          <w:w w:val="105"/>
        </w:rPr>
        <w:t> </w:t>
      </w:r>
      <w:r>
        <w:rPr>
          <w:color w:val="231F20"/>
          <w:w w:val="105"/>
        </w:rPr>
        <w:t>absorción</w:t>
      </w:r>
      <w:r>
        <w:rPr>
          <w:color w:val="231F20"/>
          <w:spacing w:val="-7"/>
          <w:w w:val="105"/>
        </w:rPr>
        <w:t> </w:t>
      </w:r>
      <w:r>
        <w:rPr>
          <w:color w:val="231F20"/>
          <w:w w:val="105"/>
        </w:rPr>
        <w:t>de</w:t>
      </w:r>
      <w:r>
        <w:rPr>
          <w:color w:val="231F20"/>
          <w:spacing w:val="-7"/>
          <w:w w:val="105"/>
        </w:rPr>
        <w:t> </w:t>
      </w:r>
      <w:r>
        <w:rPr>
          <w:color w:val="231F20"/>
          <w:w w:val="105"/>
        </w:rPr>
        <w:t>mano</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37480" from="15pt,-71.68644pt" to="0pt,-71.68644pt" stroked="true" strokeweight=".25pt" strokecolor="#000000">
            <w10:wrap type="none"/>
          </v:line>
        </w:pict>
      </w:r>
      <w:r>
        <w:rPr/>
        <w:pict>
          <v:line style="position:absolute;mso-position-horizontal-relative:page;mso-position-vertical-relative:paragraph;z-index:37504" from="508.890015pt,-71.68644pt" to="523.890015pt,-71.68644pt" stroked="true" strokeweight=".25pt" strokecolor="#000000">
            <w10:wrap type="none"/>
          </v:line>
        </w:pict>
      </w:r>
      <w:r>
        <w:rPr>
          <w:color w:val="231F20"/>
          <w:w w:val="105"/>
        </w:rPr>
        <w:t>de</w:t>
      </w:r>
      <w:r>
        <w:rPr>
          <w:color w:val="231F20"/>
          <w:spacing w:val="-22"/>
          <w:w w:val="105"/>
        </w:rPr>
        <w:t> </w:t>
      </w:r>
      <w:r>
        <w:rPr>
          <w:color w:val="231F20"/>
          <w:w w:val="105"/>
        </w:rPr>
        <w:t>obra</w:t>
      </w:r>
      <w:r>
        <w:rPr>
          <w:color w:val="231F20"/>
          <w:spacing w:val="-22"/>
          <w:w w:val="105"/>
        </w:rPr>
        <w:t> </w:t>
      </w:r>
      <w:r>
        <w:rPr>
          <w:color w:val="231F20"/>
          <w:w w:val="105"/>
        </w:rPr>
        <w:t>proveniente</w:t>
      </w:r>
      <w:r>
        <w:rPr>
          <w:color w:val="231F20"/>
          <w:spacing w:val="-22"/>
          <w:w w:val="105"/>
        </w:rPr>
        <w:t> </w:t>
      </w:r>
      <w:r>
        <w:rPr>
          <w:color w:val="231F20"/>
          <w:w w:val="105"/>
        </w:rPr>
        <w:t>de</w:t>
      </w:r>
      <w:r>
        <w:rPr>
          <w:color w:val="231F20"/>
          <w:spacing w:val="-22"/>
          <w:w w:val="105"/>
        </w:rPr>
        <w:t> </w:t>
      </w:r>
      <w:r>
        <w:rPr>
          <w:color w:val="231F20"/>
          <w:w w:val="105"/>
        </w:rPr>
        <w:t>zonas</w:t>
      </w:r>
      <w:r>
        <w:rPr>
          <w:color w:val="231F20"/>
          <w:spacing w:val="-22"/>
          <w:w w:val="105"/>
        </w:rPr>
        <w:t> </w:t>
      </w:r>
      <w:r>
        <w:rPr>
          <w:color w:val="231F20"/>
          <w:w w:val="105"/>
        </w:rPr>
        <w:t>rurales.</w:t>
      </w:r>
      <w:r>
        <w:rPr>
          <w:color w:val="231F20"/>
          <w:spacing w:val="-28"/>
          <w:w w:val="105"/>
        </w:rPr>
        <w:t> </w:t>
      </w:r>
      <w:r>
        <w:rPr>
          <w:color w:val="231F20"/>
          <w:w w:val="105"/>
        </w:rPr>
        <w:t>Sin</w:t>
      </w:r>
      <w:r>
        <w:rPr>
          <w:color w:val="231F20"/>
          <w:spacing w:val="-22"/>
          <w:w w:val="105"/>
        </w:rPr>
        <w:t> </w:t>
      </w:r>
      <w:r>
        <w:rPr>
          <w:color w:val="231F20"/>
          <w:w w:val="105"/>
        </w:rPr>
        <w:t>embargo,</w:t>
      </w:r>
      <w:r>
        <w:rPr>
          <w:color w:val="231F20"/>
          <w:spacing w:val="-28"/>
          <w:w w:val="105"/>
        </w:rPr>
        <w:t> </w:t>
      </w:r>
      <w:r>
        <w:rPr>
          <w:color w:val="231F20"/>
          <w:w w:val="105"/>
        </w:rPr>
        <w:t>los</w:t>
      </w:r>
      <w:r>
        <w:rPr>
          <w:color w:val="231F20"/>
          <w:spacing w:val="-22"/>
          <w:w w:val="105"/>
        </w:rPr>
        <w:t> </w:t>
      </w:r>
      <w:r>
        <w:rPr>
          <w:color w:val="231F20"/>
          <w:w w:val="105"/>
        </w:rPr>
        <w:t>flujos</w:t>
      </w:r>
      <w:r>
        <w:rPr>
          <w:color w:val="231F20"/>
          <w:spacing w:val="-22"/>
          <w:w w:val="105"/>
        </w:rPr>
        <w:t> </w:t>
      </w:r>
      <w:r>
        <w:rPr>
          <w:color w:val="231F20"/>
          <w:w w:val="105"/>
        </w:rPr>
        <w:t>migratorios al</w:t>
      </w:r>
      <w:r>
        <w:rPr>
          <w:color w:val="231F20"/>
          <w:spacing w:val="-21"/>
          <w:w w:val="105"/>
        </w:rPr>
        <w:t> </w:t>
      </w:r>
      <w:r>
        <w:rPr>
          <w:color w:val="231F20"/>
          <w:w w:val="105"/>
        </w:rPr>
        <w:t>ir</w:t>
      </w:r>
      <w:r>
        <w:rPr>
          <w:color w:val="231F20"/>
          <w:spacing w:val="-21"/>
          <w:w w:val="105"/>
        </w:rPr>
        <w:t> </w:t>
      </w:r>
      <w:r>
        <w:rPr>
          <w:color w:val="231F20"/>
          <w:w w:val="105"/>
        </w:rPr>
        <w:t>en</w:t>
      </w:r>
      <w:r>
        <w:rPr>
          <w:color w:val="231F20"/>
          <w:spacing w:val="-21"/>
          <w:w w:val="105"/>
        </w:rPr>
        <w:t> </w:t>
      </w:r>
      <w:r>
        <w:rPr>
          <w:color w:val="231F20"/>
          <w:w w:val="105"/>
        </w:rPr>
        <w:t>sentido</w:t>
      </w:r>
      <w:r>
        <w:rPr>
          <w:color w:val="231F20"/>
          <w:spacing w:val="-21"/>
          <w:w w:val="105"/>
        </w:rPr>
        <w:t> </w:t>
      </w:r>
      <w:r>
        <w:rPr>
          <w:color w:val="231F20"/>
          <w:w w:val="105"/>
        </w:rPr>
        <w:t>creciente</w:t>
      </w:r>
      <w:r>
        <w:rPr>
          <w:color w:val="231F20"/>
          <w:spacing w:val="-21"/>
          <w:w w:val="105"/>
        </w:rPr>
        <w:t> </w:t>
      </w:r>
      <w:r>
        <w:rPr>
          <w:color w:val="231F20"/>
          <w:w w:val="105"/>
        </w:rPr>
        <w:t>desde</w:t>
      </w:r>
      <w:r>
        <w:rPr>
          <w:color w:val="231F20"/>
          <w:spacing w:val="-21"/>
          <w:w w:val="105"/>
        </w:rPr>
        <w:t> </w:t>
      </w:r>
      <w:r>
        <w:rPr>
          <w:color w:val="231F20"/>
          <w:w w:val="105"/>
        </w:rPr>
        <w:t>los</w:t>
      </w:r>
      <w:r>
        <w:rPr>
          <w:color w:val="231F20"/>
          <w:spacing w:val="-21"/>
          <w:w w:val="105"/>
        </w:rPr>
        <w:t> </w:t>
      </w:r>
      <w:r>
        <w:rPr>
          <w:color w:val="231F20"/>
          <w:w w:val="105"/>
        </w:rPr>
        <w:t>años</w:t>
      </w:r>
      <w:r>
        <w:rPr>
          <w:color w:val="231F20"/>
          <w:spacing w:val="-21"/>
          <w:w w:val="105"/>
        </w:rPr>
        <w:t> </w:t>
      </w:r>
      <w:r>
        <w:rPr>
          <w:color w:val="231F20"/>
          <w:w w:val="105"/>
        </w:rPr>
        <w:t>1990</w:t>
      </w:r>
      <w:r>
        <w:rPr>
          <w:color w:val="231F20"/>
          <w:spacing w:val="-21"/>
          <w:w w:val="105"/>
        </w:rPr>
        <w:t> </w:t>
      </w:r>
      <w:r>
        <w:rPr>
          <w:color w:val="231F20"/>
          <w:w w:val="105"/>
        </w:rPr>
        <w:t>hacia</w:t>
      </w:r>
      <w:r>
        <w:rPr>
          <w:color w:val="231F20"/>
          <w:spacing w:val="-21"/>
          <w:w w:val="105"/>
        </w:rPr>
        <w:t> </w:t>
      </w:r>
      <w:r>
        <w:rPr>
          <w:color w:val="231F20"/>
          <w:w w:val="105"/>
        </w:rPr>
        <w:t>Estados</w:t>
      </w:r>
      <w:r>
        <w:rPr>
          <w:color w:val="231F20"/>
          <w:spacing w:val="-21"/>
          <w:w w:val="105"/>
        </w:rPr>
        <w:t> </w:t>
      </w:r>
      <w:r>
        <w:rPr>
          <w:color w:val="231F20"/>
          <w:w w:val="105"/>
        </w:rPr>
        <w:t>Unidos,</w:t>
      </w:r>
      <w:r>
        <w:rPr>
          <w:color w:val="231F20"/>
          <w:spacing w:val="-27"/>
          <w:w w:val="105"/>
        </w:rPr>
        <w:t> </w:t>
      </w:r>
      <w:r>
        <w:rPr>
          <w:color w:val="231F20"/>
          <w:w w:val="105"/>
        </w:rPr>
        <w:t>y</w:t>
      </w:r>
      <w:r>
        <w:rPr>
          <w:color w:val="231F20"/>
          <w:spacing w:val="-21"/>
          <w:w w:val="105"/>
        </w:rPr>
        <w:t> </w:t>
      </w:r>
      <w:r>
        <w:rPr>
          <w:color w:val="231F20"/>
          <w:w w:val="105"/>
        </w:rPr>
        <w:t>en general</w:t>
      </w:r>
      <w:r>
        <w:rPr>
          <w:color w:val="231F20"/>
          <w:spacing w:val="-8"/>
          <w:w w:val="105"/>
        </w:rPr>
        <w:t> </w:t>
      </w:r>
      <w:r>
        <w:rPr>
          <w:color w:val="231F20"/>
          <w:w w:val="105"/>
        </w:rPr>
        <w:t>la</w:t>
      </w:r>
      <w:r>
        <w:rPr>
          <w:color w:val="231F20"/>
          <w:spacing w:val="-8"/>
          <w:w w:val="105"/>
        </w:rPr>
        <w:t> </w:t>
      </w:r>
      <w:r>
        <w:rPr>
          <w:color w:val="231F20"/>
          <w:w w:val="105"/>
        </w:rPr>
        <w:t>intensificación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movilidad</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personas</w:t>
      </w:r>
      <w:r>
        <w:rPr>
          <w:color w:val="231F20"/>
          <w:spacing w:val="-8"/>
          <w:w w:val="105"/>
        </w:rPr>
        <w:t> </w:t>
      </w:r>
      <w:r>
        <w:rPr>
          <w:color w:val="231F20"/>
          <w:w w:val="105"/>
        </w:rPr>
        <w:t>entre</w:t>
      </w:r>
      <w:r>
        <w:rPr>
          <w:color w:val="231F20"/>
          <w:spacing w:val="-8"/>
          <w:w w:val="105"/>
        </w:rPr>
        <w:t> </w:t>
      </w:r>
      <w:r>
        <w:rPr>
          <w:color w:val="231F20"/>
          <w:w w:val="105"/>
        </w:rPr>
        <w:t>distintos territorios</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finalidad</w:t>
      </w:r>
      <w:r>
        <w:rPr>
          <w:color w:val="231F20"/>
          <w:spacing w:val="-15"/>
          <w:w w:val="105"/>
        </w:rPr>
        <w:t> </w:t>
      </w:r>
      <w:r>
        <w:rPr>
          <w:color w:val="231F20"/>
          <w:w w:val="105"/>
        </w:rPr>
        <w:t>de</w:t>
      </w:r>
      <w:r>
        <w:rPr>
          <w:color w:val="231F20"/>
          <w:spacing w:val="-15"/>
          <w:w w:val="105"/>
        </w:rPr>
        <w:t> </w:t>
      </w:r>
      <w:r>
        <w:rPr>
          <w:color w:val="231F20"/>
          <w:w w:val="105"/>
        </w:rPr>
        <w:t>encontrar</w:t>
      </w:r>
      <w:r>
        <w:rPr>
          <w:color w:val="231F20"/>
          <w:spacing w:val="-15"/>
          <w:w w:val="105"/>
        </w:rPr>
        <w:t> </w:t>
      </w:r>
      <w:r>
        <w:rPr>
          <w:color w:val="231F20"/>
          <w:w w:val="105"/>
        </w:rPr>
        <w:t>otras</w:t>
      </w:r>
      <w:r>
        <w:rPr>
          <w:color w:val="231F20"/>
          <w:spacing w:val="-15"/>
          <w:w w:val="105"/>
        </w:rPr>
        <w:t> </w:t>
      </w:r>
      <w:r>
        <w:rPr>
          <w:color w:val="231F20"/>
          <w:w w:val="105"/>
        </w:rPr>
        <w:t>oportunidades</w:t>
      </w:r>
      <w:r>
        <w:rPr>
          <w:color w:val="231F20"/>
          <w:spacing w:val="-15"/>
          <w:w w:val="105"/>
        </w:rPr>
        <w:t> </w:t>
      </w:r>
      <w:r>
        <w:rPr>
          <w:color w:val="231F20"/>
          <w:w w:val="105"/>
        </w:rPr>
        <w:t>allende</w:t>
      </w:r>
      <w:r>
        <w:rPr>
          <w:color w:val="231F20"/>
          <w:spacing w:val="-15"/>
          <w:w w:val="105"/>
        </w:rPr>
        <w:t> </w:t>
      </w:r>
      <w:r>
        <w:rPr>
          <w:color w:val="231F20"/>
          <w:w w:val="105"/>
        </w:rPr>
        <w:t>fron- teras,</w:t>
      </w:r>
      <w:r>
        <w:rPr>
          <w:color w:val="231F20"/>
          <w:spacing w:val="-16"/>
          <w:w w:val="105"/>
        </w:rPr>
        <w:t> </w:t>
      </w:r>
      <w:r>
        <w:rPr>
          <w:color w:val="231F20"/>
          <w:w w:val="105"/>
        </w:rPr>
        <w:t>se</w:t>
      </w:r>
      <w:r>
        <w:rPr>
          <w:color w:val="231F20"/>
          <w:spacing w:val="-11"/>
          <w:w w:val="105"/>
        </w:rPr>
        <w:t> </w:t>
      </w:r>
      <w:r>
        <w:rPr>
          <w:color w:val="231F20"/>
          <w:w w:val="105"/>
        </w:rPr>
        <w:t>observa</w:t>
      </w:r>
      <w:r>
        <w:rPr>
          <w:color w:val="231F20"/>
          <w:spacing w:val="-11"/>
          <w:w w:val="105"/>
        </w:rPr>
        <w:t> </w:t>
      </w:r>
      <w:r>
        <w:rPr>
          <w:color w:val="231F20"/>
          <w:w w:val="105"/>
        </w:rPr>
        <w:t>en</w:t>
      </w:r>
      <w:r>
        <w:rPr>
          <w:color w:val="231F20"/>
          <w:spacing w:val="-11"/>
          <w:w w:val="105"/>
        </w:rPr>
        <w:t> </w:t>
      </w:r>
      <w:r>
        <w:rPr>
          <w:color w:val="231F20"/>
          <w:w w:val="105"/>
        </w:rPr>
        <w:t>esta</w:t>
      </w:r>
      <w:r>
        <w:rPr>
          <w:color w:val="231F20"/>
          <w:spacing w:val="-11"/>
          <w:w w:val="105"/>
        </w:rPr>
        <w:t> </w:t>
      </w:r>
      <w:r>
        <w:rPr>
          <w:color w:val="231F20"/>
          <w:w w:val="105"/>
        </w:rPr>
        <w:t>óptica</w:t>
      </w:r>
      <w:r>
        <w:rPr>
          <w:color w:val="231F20"/>
          <w:spacing w:val="-11"/>
          <w:w w:val="105"/>
        </w:rPr>
        <w:t> </w:t>
      </w:r>
      <w:r>
        <w:rPr>
          <w:color w:val="231F20"/>
          <w:w w:val="105"/>
        </w:rPr>
        <w:t>el</w:t>
      </w:r>
      <w:r>
        <w:rPr>
          <w:color w:val="231F20"/>
          <w:spacing w:val="-11"/>
          <w:w w:val="105"/>
        </w:rPr>
        <w:t> </w:t>
      </w:r>
      <w:r>
        <w:rPr>
          <w:color w:val="231F20"/>
          <w:w w:val="105"/>
        </w:rPr>
        <w:t>reconocimiento</w:t>
      </w:r>
      <w:r>
        <w:rPr>
          <w:color w:val="231F20"/>
          <w:spacing w:val="-11"/>
          <w:w w:val="105"/>
        </w:rPr>
        <w:t> </w:t>
      </w:r>
      <w:r>
        <w:rPr>
          <w:color w:val="231F20"/>
          <w:w w:val="105"/>
        </w:rPr>
        <w:t>que</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decisión</w:t>
      </w:r>
      <w:r>
        <w:rPr>
          <w:color w:val="231F20"/>
          <w:spacing w:val="-11"/>
          <w:w w:val="105"/>
        </w:rPr>
        <w:t> </w:t>
      </w:r>
      <w:r>
        <w:rPr>
          <w:color w:val="231F20"/>
          <w:w w:val="105"/>
        </w:rPr>
        <w:t>de las</w:t>
      </w:r>
      <w:r>
        <w:rPr>
          <w:color w:val="231F20"/>
          <w:spacing w:val="-12"/>
          <w:w w:val="105"/>
        </w:rPr>
        <w:t> </w:t>
      </w:r>
      <w:r>
        <w:rPr>
          <w:color w:val="231F20"/>
          <w:w w:val="105"/>
        </w:rPr>
        <w:t>personas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mundo</w:t>
      </w:r>
      <w:r>
        <w:rPr>
          <w:color w:val="231F20"/>
          <w:spacing w:val="-12"/>
          <w:w w:val="105"/>
        </w:rPr>
        <w:t> </w:t>
      </w:r>
      <w:r>
        <w:rPr>
          <w:color w:val="231F20"/>
          <w:w w:val="105"/>
        </w:rPr>
        <w:t>contemporáneo</w:t>
      </w:r>
      <w:r>
        <w:rPr>
          <w:color w:val="231F20"/>
          <w:spacing w:val="-12"/>
          <w:w w:val="105"/>
        </w:rPr>
        <w:t> </w:t>
      </w:r>
      <w:r>
        <w:rPr>
          <w:color w:val="231F20"/>
          <w:w w:val="105"/>
        </w:rPr>
        <w:t>los</w:t>
      </w:r>
      <w:r>
        <w:rPr>
          <w:color w:val="231F20"/>
          <w:spacing w:val="-12"/>
          <w:w w:val="105"/>
        </w:rPr>
        <w:t> </w:t>
      </w:r>
      <w:r>
        <w:rPr>
          <w:color w:val="231F20"/>
          <w:w w:val="105"/>
        </w:rPr>
        <w:t>migrantes</w:t>
      </w:r>
      <w:r>
        <w:rPr>
          <w:color w:val="231F20"/>
          <w:spacing w:val="-12"/>
          <w:w w:val="105"/>
        </w:rPr>
        <w:t> </w:t>
      </w:r>
      <w:r>
        <w:rPr>
          <w:color w:val="231F20"/>
          <w:w w:val="105"/>
        </w:rPr>
        <w:t>también</w:t>
      </w:r>
      <w:r>
        <w:rPr>
          <w:color w:val="231F20"/>
          <w:spacing w:val="-12"/>
          <w:w w:val="105"/>
        </w:rPr>
        <w:t> </w:t>
      </w:r>
      <w:r>
        <w:rPr>
          <w:color w:val="231F20"/>
          <w:w w:val="105"/>
        </w:rPr>
        <w:t>se</w:t>
      </w:r>
      <w:r>
        <w:rPr>
          <w:color w:val="231F20"/>
          <w:spacing w:val="-12"/>
          <w:w w:val="105"/>
        </w:rPr>
        <w:t> </w:t>
      </w:r>
      <w:r>
        <w:rPr>
          <w:color w:val="231F20"/>
          <w:w w:val="105"/>
        </w:rPr>
        <w:t>van de</w:t>
      </w:r>
      <w:r>
        <w:rPr>
          <w:color w:val="231F20"/>
          <w:spacing w:val="-11"/>
          <w:w w:val="105"/>
        </w:rPr>
        <w:t> </w:t>
      </w:r>
      <w:r>
        <w:rPr>
          <w:color w:val="231F20"/>
          <w:w w:val="105"/>
        </w:rPr>
        <w:t>sus</w:t>
      </w:r>
      <w:r>
        <w:rPr>
          <w:color w:val="231F20"/>
          <w:spacing w:val="-11"/>
          <w:w w:val="105"/>
        </w:rPr>
        <w:t> </w:t>
      </w:r>
      <w:r>
        <w:rPr>
          <w:color w:val="231F20"/>
          <w:w w:val="105"/>
        </w:rPr>
        <w:t>territorios</w:t>
      </w:r>
      <w:r>
        <w:rPr>
          <w:color w:val="231F20"/>
          <w:spacing w:val="-11"/>
          <w:w w:val="105"/>
        </w:rPr>
        <w:t> </w:t>
      </w:r>
      <w:r>
        <w:rPr>
          <w:color w:val="231F20"/>
          <w:w w:val="105"/>
        </w:rPr>
        <w:t>de</w:t>
      </w:r>
      <w:r>
        <w:rPr>
          <w:color w:val="231F20"/>
          <w:spacing w:val="-11"/>
          <w:w w:val="105"/>
        </w:rPr>
        <w:t> </w:t>
      </w:r>
      <w:r>
        <w:rPr>
          <w:color w:val="231F20"/>
          <w:w w:val="105"/>
        </w:rPr>
        <w:t>origen,</w:t>
      </w:r>
      <w:r>
        <w:rPr>
          <w:color w:val="231F20"/>
          <w:spacing w:val="-16"/>
          <w:w w:val="105"/>
        </w:rPr>
        <w:t> </w:t>
      </w:r>
      <w:r>
        <w:rPr>
          <w:color w:val="231F20"/>
          <w:w w:val="105"/>
        </w:rPr>
        <w:t>porque</w:t>
      </w:r>
      <w:r>
        <w:rPr>
          <w:color w:val="231F20"/>
          <w:spacing w:val="-11"/>
          <w:w w:val="105"/>
        </w:rPr>
        <w:t> </w:t>
      </w:r>
      <w:r>
        <w:rPr>
          <w:color w:val="231F20"/>
          <w:w w:val="105"/>
        </w:rPr>
        <w:t>tienen</w:t>
      </w:r>
      <w:r>
        <w:rPr>
          <w:color w:val="231F20"/>
          <w:spacing w:val="-11"/>
          <w:w w:val="105"/>
        </w:rPr>
        <w:t> </w:t>
      </w:r>
      <w:r>
        <w:rPr>
          <w:color w:val="231F20"/>
          <w:w w:val="105"/>
        </w:rPr>
        <w:t>aspiraciones</w:t>
      </w:r>
      <w:r>
        <w:rPr>
          <w:color w:val="231F20"/>
          <w:spacing w:val="-11"/>
          <w:w w:val="105"/>
        </w:rPr>
        <w:t> </w:t>
      </w:r>
      <w:r>
        <w:rPr>
          <w:color w:val="231F20"/>
          <w:w w:val="105"/>
        </w:rPr>
        <w:t>diferentes.</w:t>
      </w:r>
    </w:p>
    <w:p>
      <w:pPr>
        <w:pStyle w:val="BodyText"/>
        <w:spacing w:line="261" w:lineRule="auto" w:before="1"/>
        <w:ind w:left="1723" w:right="1834" w:firstLine="567"/>
        <w:jc w:val="both"/>
      </w:pPr>
      <w:r>
        <w:rPr>
          <w:color w:val="231F20"/>
          <w:w w:val="105"/>
        </w:rPr>
        <w:t>En la perspectiva tradicional de las aspiraciones de un desarrollo rural</w:t>
      </w:r>
      <w:r>
        <w:rPr>
          <w:color w:val="231F20"/>
          <w:spacing w:val="-8"/>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campo,</w:t>
      </w:r>
      <w:r>
        <w:rPr>
          <w:color w:val="231F20"/>
          <w:spacing w:val="-14"/>
          <w:w w:val="105"/>
        </w:rPr>
        <w:t> </w:t>
      </w:r>
      <w:r>
        <w:rPr>
          <w:color w:val="231F20"/>
          <w:w w:val="105"/>
        </w:rPr>
        <w:t>se</w:t>
      </w:r>
      <w:r>
        <w:rPr>
          <w:color w:val="231F20"/>
          <w:spacing w:val="-8"/>
          <w:w w:val="105"/>
        </w:rPr>
        <w:t> </w:t>
      </w:r>
      <w:r>
        <w:rPr>
          <w:color w:val="231F20"/>
          <w:w w:val="105"/>
        </w:rPr>
        <w:t>espera</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gente</w:t>
      </w:r>
      <w:r>
        <w:rPr>
          <w:color w:val="231F20"/>
          <w:spacing w:val="-8"/>
          <w:w w:val="105"/>
        </w:rPr>
        <w:t> </w:t>
      </w:r>
      <w:r>
        <w:rPr>
          <w:color w:val="231F20"/>
          <w:w w:val="105"/>
        </w:rPr>
        <w:t>se</w:t>
      </w:r>
      <w:r>
        <w:rPr>
          <w:color w:val="231F20"/>
          <w:spacing w:val="-8"/>
          <w:w w:val="105"/>
        </w:rPr>
        <w:t> </w:t>
      </w:r>
      <w:r>
        <w:rPr>
          <w:color w:val="231F20"/>
          <w:w w:val="105"/>
        </w:rPr>
        <w:t>dedique</w:t>
      </w:r>
      <w:r>
        <w:rPr>
          <w:color w:val="231F20"/>
          <w:spacing w:val="-8"/>
          <w:w w:val="105"/>
        </w:rPr>
        <w:t> </w:t>
      </w:r>
      <w:r>
        <w:rPr>
          <w:color w:val="231F20"/>
          <w:w w:val="105"/>
        </w:rPr>
        <w:t>y</w:t>
      </w:r>
      <w:r>
        <w:rPr>
          <w:color w:val="231F20"/>
          <w:spacing w:val="-8"/>
          <w:w w:val="105"/>
        </w:rPr>
        <w:t> </w:t>
      </w:r>
      <w:r>
        <w:rPr>
          <w:color w:val="231F20"/>
          <w:w w:val="105"/>
        </w:rPr>
        <w:t>que</w:t>
      </w:r>
      <w:r>
        <w:rPr>
          <w:color w:val="231F20"/>
          <w:spacing w:val="-8"/>
          <w:w w:val="105"/>
        </w:rPr>
        <w:t> </w:t>
      </w:r>
      <w:r>
        <w:rPr>
          <w:color w:val="231F20"/>
          <w:w w:val="105"/>
        </w:rPr>
        <w:t>viva</w:t>
      </w:r>
      <w:r>
        <w:rPr>
          <w:color w:val="231F20"/>
          <w:spacing w:val="-8"/>
          <w:w w:val="105"/>
        </w:rPr>
        <w:t> </w:t>
      </w:r>
      <w:r>
        <w:rPr>
          <w:color w:val="231F20"/>
          <w:w w:val="105"/>
        </w:rPr>
        <w:t>en</w:t>
      </w:r>
      <w:r>
        <w:rPr>
          <w:color w:val="231F20"/>
          <w:spacing w:val="-8"/>
          <w:w w:val="105"/>
        </w:rPr>
        <w:t> </w:t>
      </w:r>
      <w:r>
        <w:rPr>
          <w:color w:val="231F20"/>
          <w:w w:val="105"/>
        </w:rPr>
        <w:t>su mayoría a partir de las actividades agropecuarias, pero hoy en día este argumento</w:t>
      </w:r>
      <w:r>
        <w:rPr>
          <w:color w:val="231F20"/>
          <w:spacing w:val="-12"/>
          <w:w w:val="105"/>
        </w:rPr>
        <w:t> </w:t>
      </w:r>
      <w:r>
        <w:rPr>
          <w:color w:val="231F20"/>
          <w:w w:val="105"/>
        </w:rPr>
        <w:t>de</w:t>
      </w:r>
      <w:r>
        <w:rPr>
          <w:color w:val="231F20"/>
          <w:spacing w:val="-12"/>
          <w:w w:val="105"/>
        </w:rPr>
        <w:t> </w:t>
      </w:r>
      <w:r>
        <w:rPr>
          <w:color w:val="231F20"/>
          <w:w w:val="105"/>
        </w:rPr>
        <w:t>anclaje</w:t>
      </w:r>
      <w:r>
        <w:rPr>
          <w:color w:val="231F20"/>
          <w:spacing w:val="-12"/>
          <w:w w:val="105"/>
        </w:rPr>
        <w:t> </w:t>
      </w:r>
      <w:r>
        <w:rPr>
          <w:color w:val="231F20"/>
          <w:w w:val="105"/>
        </w:rPr>
        <w:t>productivo</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arraigo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gente</w:t>
      </w:r>
      <w:r>
        <w:rPr>
          <w:color w:val="231F20"/>
          <w:spacing w:val="-12"/>
          <w:w w:val="105"/>
        </w:rPr>
        <w:t> </w:t>
      </w:r>
      <w:r>
        <w:rPr>
          <w:color w:val="231F20"/>
          <w:w w:val="105"/>
        </w:rPr>
        <w:t>para</w:t>
      </w:r>
      <w:r>
        <w:rPr>
          <w:color w:val="231F20"/>
          <w:spacing w:val="-12"/>
          <w:w w:val="105"/>
        </w:rPr>
        <w:t> </w:t>
      </w:r>
      <w:r>
        <w:rPr>
          <w:color w:val="231F20"/>
          <w:w w:val="105"/>
        </w:rPr>
        <w:t>las</w:t>
      </w:r>
      <w:r>
        <w:rPr>
          <w:color w:val="231F20"/>
          <w:spacing w:val="-12"/>
          <w:w w:val="105"/>
        </w:rPr>
        <w:t> </w:t>
      </w:r>
      <w:r>
        <w:rPr>
          <w:color w:val="231F20"/>
          <w:w w:val="105"/>
        </w:rPr>
        <w:t>zonas rurales</w:t>
      </w:r>
      <w:r>
        <w:rPr>
          <w:color w:val="231F20"/>
          <w:spacing w:val="-20"/>
          <w:w w:val="105"/>
        </w:rPr>
        <w:t> </w:t>
      </w:r>
      <w:r>
        <w:rPr>
          <w:color w:val="231F20"/>
          <w:w w:val="105"/>
        </w:rPr>
        <w:t>basado</w:t>
      </w:r>
      <w:r>
        <w:rPr>
          <w:color w:val="231F20"/>
          <w:spacing w:val="-20"/>
          <w:w w:val="105"/>
        </w:rPr>
        <w:t> </w:t>
      </w:r>
      <w:r>
        <w:rPr>
          <w:color w:val="231F20"/>
          <w:w w:val="105"/>
        </w:rPr>
        <w:t>exclusivamente</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agricultura</w:t>
      </w:r>
      <w:r>
        <w:rPr>
          <w:color w:val="231F20"/>
          <w:spacing w:val="-20"/>
          <w:w w:val="105"/>
        </w:rPr>
        <w:t> </w:t>
      </w:r>
      <w:r>
        <w:rPr>
          <w:color w:val="231F20"/>
          <w:w w:val="105"/>
        </w:rPr>
        <w:t>pierde</w:t>
      </w:r>
      <w:r>
        <w:rPr>
          <w:color w:val="231F20"/>
          <w:spacing w:val="-20"/>
          <w:w w:val="105"/>
        </w:rPr>
        <w:t> </w:t>
      </w:r>
      <w:r>
        <w:rPr>
          <w:color w:val="231F20"/>
          <w:w w:val="105"/>
        </w:rPr>
        <w:t>sentido,</w:t>
      </w:r>
      <w:r>
        <w:rPr>
          <w:color w:val="231F20"/>
          <w:spacing w:val="-26"/>
          <w:w w:val="105"/>
        </w:rPr>
        <w:t> </w:t>
      </w:r>
      <w:r>
        <w:rPr>
          <w:color w:val="231F20"/>
          <w:w w:val="105"/>
        </w:rPr>
        <w:t>ya</w:t>
      </w:r>
      <w:r>
        <w:rPr>
          <w:color w:val="231F20"/>
          <w:spacing w:val="-20"/>
          <w:w w:val="105"/>
        </w:rPr>
        <w:t> </w:t>
      </w:r>
      <w:r>
        <w:rPr>
          <w:color w:val="231F20"/>
          <w:w w:val="105"/>
        </w:rPr>
        <w:t>que</w:t>
      </w:r>
      <w:r>
        <w:rPr>
          <w:color w:val="231F20"/>
          <w:spacing w:val="-20"/>
          <w:w w:val="105"/>
        </w:rPr>
        <w:t> </w:t>
      </w:r>
      <w:r>
        <w:rPr>
          <w:color w:val="231F20"/>
          <w:w w:val="105"/>
        </w:rPr>
        <w:t>el escenario</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territorios</w:t>
      </w:r>
      <w:r>
        <w:rPr>
          <w:color w:val="231F20"/>
          <w:spacing w:val="-22"/>
          <w:w w:val="105"/>
        </w:rPr>
        <w:t> </w:t>
      </w:r>
      <w:r>
        <w:rPr>
          <w:color w:val="231F20"/>
          <w:w w:val="105"/>
        </w:rPr>
        <w:t>rurales</w:t>
      </w:r>
      <w:r>
        <w:rPr>
          <w:color w:val="231F20"/>
          <w:spacing w:val="-22"/>
          <w:w w:val="105"/>
        </w:rPr>
        <w:t> </w:t>
      </w:r>
      <w:r>
        <w:rPr>
          <w:color w:val="231F20"/>
          <w:w w:val="105"/>
        </w:rPr>
        <w:t>ha</w:t>
      </w:r>
      <w:r>
        <w:rPr>
          <w:color w:val="231F20"/>
          <w:spacing w:val="-22"/>
          <w:w w:val="105"/>
        </w:rPr>
        <w:t> </w:t>
      </w:r>
      <w:r>
        <w:rPr>
          <w:color w:val="231F20"/>
          <w:w w:val="105"/>
        </w:rPr>
        <w:t>cambiado,</w:t>
      </w:r>
      <w:r>
        <w:rPr>
          <w:color w:val="231F20"/>
          <w:spacing w:val="-27"/>
          <w:w w:val="105"/>
        </w:rPr>
        <w:t> </w:t>
      </w:r>
      <w:r>
        <w:rPr>
          <w:color w:val="231F20"/>
          <w:w w:val="105"/>
        </w:rPr>
        <w:t>en</w:t>
      </w:r>
      <w:r>
        <w:rPr>
          <w:color w:val="231F20"/>
          <w:spacing w:val="-22"/>
          <w:w w:val="105"/>
        </w:rPr>
        <w:t> </w:t>
      </w:r>
      <w:r>
        <w:rPr>
          <w:color w:val="231F20"/>
          <w:w w:val="105"/>
        </w:rPr>
        <w:t>tanto</w:t>
      </w:r>
      <w:r>
        <w:rPr>
          <w:color w:val="231F20"/>
          <w:spacing w:val="-22"/>
          <w:w w:val="105"/>
        </w:rPr>
        <w:t> </w:t>
      </w:r>
      <w:r>
        <w:rPr>
          <w:color w:val="231F20"/>
          <w:w w:val="105"/>
        </w:rPr>
        <w:t>la</w:t>
      </w:r>
      <w:r>
        <w:rPr>
          <w:color w:val="231F20"/>
          <w:spacing w:val="-22"/>
          <w:w w:val="105"/>
        </w:rPr>
        <w:t> </w:t>
      </w:r>
      <w:r>
        <w:rPr>
          <w:color w:val="231F20"/>
          <w:w w:val="105"/>
        </w:rPr>
        <w:t>pluriactividad económica crece, las actividades no agrícolas son cada vez más, y los jóvenes</w:t>
      </w:r>
      <w:r>
        <w:rPr>
          <w:color w:val="231F20"/>
          <w:spacing w:val="-8"/>
          <w:w w:val="105"/>
        </w:rPr>
        <w:t> </w:t>
      </w:r>
      <w:r>
        <w:rPr>
          <w:color w:val="231F20"/>
          <w:w w:val="105"/>
        </w:rPr>
        <w:t>y</w:t>
      </w:r>
      <w:r>
        <w:rPr>
          <w:color w:val="231F20"/>
          <w:spacing w:val="-8"/>
          <w:w w:val="105"/>
        </w:rPr>
        <w:t> </w:t>
      </w:r>
      <w:r>
        <w:rPr>
          <w:color w:val="231F20"/>
          <w:w w:val="105"/>
        </w:rPr>
        <w:t>mujeres</w:t>
      </w:r>
      <w:r>
        <w:rPr>
          <w:color w:val="231F20"/>
          <w:spacing w:val="-8"/>
          <w:w w:val="105"/>
        </w:rPr>
        <w:t> </w:t>
      </w:r>
      <w:r>
        <w:rPr>
          <w:color w:val="231F20"/>
          <w:w w:val="105"/>
        </w:rPr>
        <w:t>se</w:t>
      </w:r>
      <w:r>
        <w:rPr>
          <w:color w:val="231F20"/>
          <w:spacing w:val="-8"/>
          <w:w w:val="105"/>
        </w:rPr>
        <w:t> </w:t>
      </w:r>
      <w:r>
        <w:rPr>
          <w:color w:val="231F20"/>
          <w:w w:val="105"/>
        </w:rPr>
        <w:t>muestran</w:t>
      </w:r>
      <w:r>
        <w:rPr>
          <w:color w:val="231F20"/>
          <w:spacing w:val="-8"/>
          <w:w w:val="105"/>
        </w:rPr>
        <w:t> </w:t>
      </w:r>
      <w:r>
        <w:rPr>
          <w:color w:val="231F20"/>
          <w:w w:val="105"/>
        </w:rPr>
        <w:t>distantes</w:t>
      </w:r>
      <w:r>
        <w:rPr>
          <w:color w:val="231F20"/>
          <w:spacing w:val="-8"/>
          <w:w w:val="105"/>
        </w:rPr>
        <w:t> </w:t>
      </w:r>
      <w:r>
        <w:rPr>
          <w:color w:val="231F20"/>
          <w:w w:val="105"/>
        </w:rPr>
        <w:t>de</w:t>
      </w:r>
      <w:r>
        <w:rPr>
          <w:color w:val="231F20"/>
          <w:spacing w:val="-8"/>
          <w:w w:val="105"/>
        </w:rPr>
        <w:t> </w:t>
      </w:r>
      <w:r>
        <w:rPr>
          <w:color w:val="231F20"/>
          <w:w w:val="105"/>
        </w:rPr>
        <w:t>aquellas</w:t>
      </w:r>
      <w:r>
        <w:rPr>
          <w:color w:val="231F20"/>
          <w:spacing w:val="-8"/>
          <w:w w:val="105"/>
        </w:rPr>
        <w:t> </w:t>
      </w:r>
      <w:r>
        <w:rPr>
          <w:color w:val="231F20"/>
          <w:w w:val="105"/>
        </w:rPr>
        <w:t>fuentes</w:t>
      </w:r>
      <w:r>
        <w:rPr>
          <w:color w:val="231F20"/>
          <w:spacing w:val="-8"/>
          <w:w w:val="105"/>
        </w:rPr>
        <w:t> </w:t>
      </w:r>
      <w:r>
        <w:rPr>
          <w:color w:val="231F20"/>
          <w:w w:val="105"/>
        </w:rPr>
        <w:t>de</w:t>
      </w:r>
      <w:r>
        <w:rPr>
          <w:color w:val="231F20"/>
          <w:spacing w:val="-8"/>
          <w:w w:val="105"/>
        </w:rPr>
        <w:t> </w:t>
      </w:r>
      <w:r>
        <w:rPr>
          <w:color w:val="231F20"/>
          <w:w w:val="105"/>
        </w:rPr>
        <w:t>trabajo que son poco rentables, inferiores en un estatus social o de plano</w:t>
      </w:r>
      <w:r>
        <w:rPr>
          <w:color w:val="231F20"/>
          <w:spacing w:val="-28"/>
          <w:w w:val="105"/>
        </w:rPr>
        <w:t> </w:t>
      </w:r>
      <w:r>
        <w:rPr>
          <w:color w:val="231F20"/>
          <w:w w:val="105"/>
        </w:rPr>
        <w:t>poco atractivas</w:t>
      </w:r>
      <w:r>
        <w:rPr>
          <w:color w:val="231F20"/>
          <w:spacing w:val="-29"/>
          <w:w w:val="105"/>
        </w:rPr>
        <w:t> </w:t>
      </w:r>
      <w:r>
        <w:rPr>
          <w:color w:val="231F20"/>
          <w:w w:val="105"/>
        </w:rPr>
        <w:t>para</w:t>
      </w:r>
      <w:r>
        <w:rPr>
          <w:color w:val="231F20"/>
          <w:spacing w:val="-29"/>
          <w:w w:val="105"/>
        </w:rPr>
        <w:t> </w:t>
      </w:r>
      <w:r>
        <w:rPr>
          <w:color w:val="231F20"/>
          <w:w w:val="105"/>
        </w:rPr>
        <w:t>su</w:t>
      </w:r>
      <w:r>
        <w:rPr>
          <w:color w:val="231F20"/>
          <w:spacing w:val="-29"/>
          <w:w w:val="105"/>
        </w:rPr>
        <w:t> </w:t>
      </w:r>
      <w:r>
        <w:rPr>
          <w:color w:val="231F20"/>
          <w:w w:val="105"/>
        </w:rPr>
        <w:t>progreso</w:t>
      </w:r>
      <w:r>
        <w:rPr>
          <w:color w:val="231F20"/>
          <w:spacing w:val="-29"/>
          <w:w w:val="105"/>
        </w:rPr>
        <w:t> </w:t>
      </w:r>
      <w:r>
        <w:rPr>
          <w:color w:val="231F20"/>
          <w:w w:val="105"/>
        </w:rPr>
        <w:t>personal.</w:t>
      </w:r>
    </w:p>
    <w:p>
      <w:pPr>
        <w:pStyle w:val="BodyText"/>
        <w:spacing w:line="261" w:lineRule="auto" w:before="1"/>
        <w:ind w:left="1723" w:right="1834" w:firstLine="567"/>
        <w:jc w:val="both"/>
      </w:pPr>
      <w:r>
        <w:rPr>
          <w:color w:val="231F20"/>
          <w:w w:val="105"/>
        </w:rPr>
        <w:t>Este</w:t>
      </w:r>
      <w:r>
        <w:rPr>
          <w:color w:val="231F20"/>
          <w:spacing w:val="-5"/>
          <w:w w:val="105"/>
        </w:rPr>
        <w:t> </w:t>
      </w:r>
      <w:r>
        <w:rPr>
          <w:color w:val="231F20"/>
          <w:w w:val="105"/>
        </w:rPr>
        <w:t>panorama</w:t>
      </w:r>
      <w:r>
        <w:rPr>
          <w:color w:val="231F20"/>
          <w:spacing w:val="-5"/>
          <w:w w:val="105"/>
        </w:rPr>
        <w:t> </w:t>
      </w:r>
      <w:r>
        <w:rPr>
          <w:color w:val="231F20"/>
          <w:w w:val="105"/>
        </w:rPr>
        <w:t>implica</w:t>
      </w:r>
      <w:r>
        <w:rPr>
          <w:color w:val="231F20"/>
          <w:spacing w:val="-5"/>
          <w:w w:val="105"/>
        </w:rPr>
        <w:t> </w:t>
      </w:r>
      <w:r>
        <w:rPr>
          <w:color w:val="231F20"/>
          <w:w w:val="105"/>
        </w:rPr>
        <w:t>para</w:t>
      </w:r>
      <w:r>
        <w:rPr>
          <w:color w:val="231F20"/>
          <w:spacing w:val="-5"/>
          <w:w w:val="105"/>
        </w:rPr>
        <w:t> </w:t>
      </w:r>
      <w:r>
        <w:rPr>
          <w:color w:val="231F20"/>
          <w:w w:val="105"/>
        </w:rPr>
        <w:t>el</w:t>
      </w:r>
      <w:r>
        <w:rPr>
          <w:color w:val="231F20"/>
          <w:spacing w:val="-5"/>
          <w:w w:val="105"/>
        </w:rPr>
        <w:t> </w:t>
      </w:r>
      <w:r>
        <w:rPr>
          <w:color w:val="231F20"/>
          <w:w w:val="105"/>
        </w:rPr>
        <w:t>análisis</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migraciones</w:t>
      </w:r>
      <w:r>
        <w:rPr>
          <w:color w:val="231F20"/>
          <w:spacing w:val="-5"/>
          <w:w w:val="105"/>
        </w:rPr>
        <w:t> </w:t>
      </w:r>
      <w:r>
        <w:rPr>
          <w:color w:val="231F20"/>
          <w:w w:val="105"/>
        </w:rPr>
        <w:t>en</w:t>
      </w:r>
      <w:r>
        <w:rPr>
          <w:color w:val="231F20"/>
          <w:spacing w:val="-5"/>
          <w:w w:val="105"/>
        </w:rPr>
        <w:t> </w:t>
      </w:r>
      <w:r>
        <w:rPr>
          <w:color w:val="231F20"/>
          <w:w w:val="105"/>
        </w:rPr>
        <w:t>una perspectiva territorial y social que se analicen las cadenas de interme- diación (redes) que se establecen entre el medio rural de origen de los migrantes</w:t>
      </w:r>
      <w:r>
        <w:rPr>
          <w:color w:val="231F20"/>
          <w:spacing w:val="-7"/>
          <w:w w:val="105"/>
        </w:rPr>
        <w:t> </w:t>
      </w:r>
      <w:r>
        <w:rPr>
          <w:color w:val="231F20"/>
          <w:w w:val="105"/>
        </w:rPr>
        <w:t>y</w:t>
      </w:r>
      <w:r>
        <w:rPr>
          <w:color w:val="231F20"/>
          <w:spacing w:val="-7"/>
          <w:w w:val="105"/>
        </w:rPr>
        <w:t> </w:t>
      </w:r>
      <w:r>
        <w:rPr>
          <w:color w:val="231F20"/>
          <w:w w:val="105"/>
        </w:rPr>
        <w:t>sus</w:t>
      </w:r>
      <w:r>
        <w:rPr>
          <w:color w:val="231F20"/>
          <w:spacing w:val="-7"/>
          <w:w w:val="105"/>
        </w:rPr>
        <w:t> </w:t>
      </w:r>
      <w:r>
        <w:rPr>
          <w:color w:val="231F20"/>
          <w:w w:val="105"/>
        </w:rPr>
        <w:t>lugares</w:t>
      </w:r>
      <w:r>
        <w:rPr>
          <w:color w:val="231F20"/>
          <w:spacing w:val="-7"/>
          <w:w w:val="105"/>
        </w:rPr>
        <w:t> </w:t>
      </w:r>
      <w:r>
        <w:rPr>
          <w:color w:val="231F20"/>
          <w:w w:val="105"/>
        </w:rPr>
        <w:t>de</w:t>
      </w:r>
      <w:r>
        <w:rPr>
          <w:color w:val="231F20"/>
          <w:spacing w:val="-7"/>
          <w:w w:val="105"/>
        </w:rPr>
        <w:t> </w:t>
      </w:r>
      <w:r>
        <w:rPr>
          <w:color w:val="231F20"/>
          <w:w w:val="105"/>
        </w:rPr>
        <w:t>destino</w:t>
      </w:r>
      <w:r>
        <w:rPr>
          <w:color w:val="231F20"/>
          <w:spacing w:val="-7"/>
          <w:w w:val="105"/>
        </w:rPr>
        <w:t> </w:t>
      </w:r>
      <w:r>
        <w:rPr>
          <w:color w:val="231F20"/>
          <w:w w:val="105"/>
        </w:rPr>
        <w:t>(muchas</w:t>
      </w:r>
      <w:r>
        <w:rPr>
          <w:color w:val="231F20"/>
          <w:spacing w:val="-7"/>
          <w:w w:val="105"/>
        </w:rPr>
        <w:t> </w:t>
      </w:r>
      <w:r>
        <w:rPr>
          <w:color w:val="231F20"/>
          <w:w w:val="105"/>
        </w:rPr>
        <w:t>veces</w:t>
      </w:r>
      <w:r>
        <w:rPr>
          <w:color w:val="231F20"/>
          <w:spacing w:val="-7"/>
          <w:w w:val="105"/>
        </w:rPr>
        <w:t> </w:t>
      </w:r>
      <w:r>
        <w:rPr>
          <w:color w:val="231F20"/>
          <w:w w:val="105"/>
        </w:rPr>
        <w:t>también</w:t>
      </w:r>
      <w:r>
        <w:rPr>
          <w:color w:val="231F20"/>
          <w:spacing w:val="-7"/>
          <w:w w:val="105"/>
        </w:rPr>
        <w:t> </w:t>
      </w:r>
      <w:r>
        <w:rPr>
          <w:color w:val="231F20"/>
          <w:w w:val="105"/>
        </w:rPr>
        <w:t>de</w:t>
      </w:r>
      <w:r>
        <w:rPr>
          <w:color w:val="231F20"/>
          <w:spacing w:val="-7"/>
          <w:w w:val="105"/>
        </w:rPr>
        <w:t> </w:t>
      </w:r>
      <w:r>
        <w:rPr>
          <w:color w:val="231F20"/>
          <w:w w:val="105"/>
        </w:rPr>
        <w:t>contexto rural),</w:t>
      </w:r>
      <w:r>
        <w:rPr>
          <w:color w:val="231F20"/>
          <w:spacing w:val="-33"/>
          <w:w w:val="105"/>
        </w:rPr>
        <w:t> </w:t>
      </w:r>
      <w:r>
        <w:rPr>
          <w:color w:val="231F20"/>
          <w:w w:val="105"/>
        </w:rPr>
        <w:t>además</w:t>
      </w:r>
      <w:r>
        <w:rPr>
          <w:color w:val="231F20"/>
          <w:spacing w:val="-29"/>
          <w:w w:val="105"/>
        </w:rPr>
        <w:t> </w:t>
      </w:r>
      <w:r>
        <w:rPr>
          <w:color w:val="231F20"/>
          <w:w w:val="105"/>
        </w:rPr>
        <w:t>es</w:t>
      </w:r>
      <w:r>
        <w:rPr>
          <w:color w:val="231F20"/>
          <w:spacing w:val="-29"/>
          <w:w w:val="105"/>
        </w:rPr>
        <w:t> </w:t>
      </w:r>
      <w:r>
        <w:rPr>
          <w:color w:val="231F20"/>
          <w:w w:val="105"/>
        </w:rPr>
        <w:t>importante</w:t>
      </w:r>
      <w:r>
        <w:rPr>
          <w:color w:val="231F20"/>
          <w:spacing w:val="-29"/>
          <w:w w:val="105"/>
        </w:rPr>
        <w:t> </w:t>
      </w:r>
      <w:r>
        <w:rPr>
          <w:color w:val="231F20"/>
          <w:w w:val="105"/>
        </w:rPr>
        <w:t>analizar</w:t>
      </w:r>
      <w:r>
        <w:rPr>
          <w:color w:val="231F20"/>
          <w:spacing w:val="-29"/>
          <w:w w:val="105"/>
        </w:rPr>
        <w:t> </w:t>
      </w:r>
      <w:r>
        <w:rPr>
          <w:color w:val="231F20"/>
          <w:w w:val="105"/>
        </w:rPr>
        <w:t>la</w:t>
      </w:r>
      <w:r>
        <w:rPr>
          <w:color w:val="231F20"/>
          <w:spacing w:val="-29"/>
          <w:w w:val="105"/>
        </w:rPr>
        <w:t> </w:t>
      </w:r>
      <w:r>
        <w:rPr>
          <w:color w:val="231F20"/>
          <w:w w:val="105"/>
        </w:rPr>
        <w:t>dimensión</w:t>
      </w:r>
      <w:r>
        <w:rPr>
          <w:color w:val="231F20"/>
          <w:spacing w:val="-29"/>
          <w:w w:val="105"/>
        </w:rPr>
        <w:t> </w:t>
      </w:r>
      <w:r>
        <w:rPr>
          <w:color w:val="231F20"/>
          <w:w w:val="105"/>
        </w:rPr>
        <w:t>social,</w:t>
      </w:r>
      <w:r>
        <w:rPr>
          <w:color w:val="231F20"/>
          <w:spacing w:val="-33"/>
          <w:w w:val="105"/>
        </w:rPr>
        <w:t> </w:t>
      </w:r>
      <w:r>
        <w:rPr>
          <w:color w:val="231F20"/>
          <w:w w:val="105"/>
        </w:rPr>
        <w:t>ya</w:t>
      </w:r>
      <w:r>
        <w:rPr>
          <w:color w:val="231F20"/>
          <w:spacing w:val="-29"/>
          <w:w w:val="105"/>
        </w:rPr>
        <w:t> </w:t>
      </w:r>
      <w:r>
        <w:rPr>
          <w:color w:val="231F20"/>
          <w:w w:val="105"/>
        </w:rPr>
        <w:t>sea</w:t>
      </w:r>
      <w:r>
        <w:rPr>
          <w:color w:val="231F20"/>
          <w:spacing w:val="-29"/>
          <w:w w:val="105"/>
        </w:rPr>
        <w:t> </w:t>
      </w:r>
      <w:r>
        <w:rPr>
          <w:color w:val="231F20"/>
          <w:w w:val="105"/>
        </w:rPr>
        <w:t>que</w:t>
      </w:r>
      <w:r>
        <w:rPr>
          <w:color w:val="231F20"/>
          <w:spacing w:val="-29"/>
          <w:w w:val="105"/>
        </w:rPr>
        <w:t> </w:t>
      </w:r>
      <w:r>
        <w:rPr>
          <w:color w:val="231F20"/>
          <w:w w:val="105"/>
        </w:rPr>
        <w:t>esto ocurra</w:t>
      </w:r>
      <w:r>
        <w:rPr>
          <w:color w:val="231F20"/>
          <w:spacing w:val="-11"/>
          <w:w w:val="105"/>
        </w:rPr>
        <w:t> </w:t>
      </w:r>
      <w:r>
        <w:rPr>
          <w:color w:val="231F20"/>
          <w:w w:val="105"/>
        </w:rPr>
        <w:t>en</w:t>
      </w:r>
      <w:r>
        <w:rPr>
          <w:color w:val="231F20"/>
          <w:spacing w:val="-11"/>
          <w:w w:val="105"/>
        </w:rPr>
        <w:t> </w:t>
      </w:r>
      <w:r>
        <w:rPr>
          <w:color w:val="231F20"/>
          <w:w w:val="105"/>
        </w:rPr>
        <w:t>un</w:t>
      </w:r>
      <w:r>
        <w:rPr>
          <w:color w:val="231F20"/>
          <w:spacing w:val="-11"/>
          <w:w w:val="105"/>
        </w:rPr>
        <w:t> </w:t>
      </w:r>
      <w:r>
        <w:rPr>
          <w:color w:val="231F20"/>
          <w:w w:val="105"/>
        </w:rPr>
        <w:t>marco</w:t>
      </w:r>
      <w:r>
        <w:rPr>
          <w:color w:val="231F20"/>
          <w:spacing w:val="-11"/>
          <w:w w:val="105"/>
        </w:rPr>
        <w:t> </w:t>
      </w:r>
      <w:r>
        <w:rPr>
          <w:color w:val="231F20"/>
          <w:w w:val="105"/>
        </w:rPr>
        <w:t>nacional</w:t>
      </w:r>
      <w:r>
        <w:rPr>
          <w:color w:val="231F20"/>
          <w:spacing w:val="-11"/>
          <w:w w:val="105"/>
        </w:rPr>
        <w:t> </w:t>
      </w:r>
      <w:r>
        <w:rPr>
          <w:color w:val="231F20"/>
          <w:w w:val="105"/>
        </w:rPr>
        <w:t>o</w:t>
      </w:r>
      <w:r>
        <w:rPr>
          <w:color w:val="231F20"/>
          <w:spacing w:val="-11"/>
          <w:w w:val="105"/>
        </w:rPr>
        <w:t> </w:t>
      </w:r>
      <w:r>
        <w:rPr>
          <w:color w:val="231F20"/>
          <w:w w:val="105"/>
        </w:rPr>
        <w:t>transnacional;</w:t>
      </w:r>
      <w:r>
        <w:rPr>
          <w:color w:val="231F20"/>
          <w:spacing w:val="-11"/>
          <w:w w:val="105"/>
        </w:rPr>
        <w:t> </w:t>
      </w:r>
      <w:r>
        <w:rPr>
          <w:color w:val="231F20"/>
          <w:w w:val="105"/>
        </w:rPr>
        <w:t>finalmente</w:t>
      </w:r>
      <w:r>
        <w:rPr>
          <w:color w:val="231F20"/>
          <w:spacing w:val="-11"/>
          <w:w w:val="105"/>
        </w:rPr>
        <w:t> </w:t>
      </w:r>
      <w:r>
        <w:rPr>
          <w:color w:val="231F20"/>
          <w:w w:val="105"/>
        </w:rPr>
        <w:t>la</w:t>
      </w:r>
      <w:r>
        <w:rPr>
          <w:color w:val="231F20"/>
          <w:spacing w:val="-11"/>
          <w:w w:val="105"/>
        </w:rPr>
        <w:t> </w:t>
      </w:r>
      <w:r>
        <w:rPr>
          <w:color w:val="231F20"/>
          <w:w w:val="105"/>
        </w:rPr>
        <w:t>construcción y</w:t>
      </w:r>
      <w:r>
        <w:rPr>
          <w:color w:val="231F20"/>
          <w:spacing w:val="-24"/>
          <w:w w:val="105"/>
        </w:rPr>
        <w:t> </w:t>
      </w:r>
      <w:r>
        <w:rPr>
          <w:color w:val="231F20"/>
          <w:w w:val="105"/>
        </w:rPr>
        <w:t>reconstrucción</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territorios</w:t>
      </w:r>
      <w:r>
        <w:rPr>
          <w:color w:val="231F20"/>
          <w:spacing w:val="-24"/>
          <w:w w:val="105"/>
        </w:rPr>
        <w:t> </w:t>
      </w:r>
      <w:r>
        <w:rPr>
          <w:color w:val="231F20"/>
          <w:w w:val="105"/>
        </w:rPr>
        <w:t>se</w:t>
      </w:r>
      <w:r>
        <w:rPr>
          <w:color w:val="231F20"/>
          <w:spacing w:val="-24"/>
          <w:w w:val="105"/>
        </w:rPr>
        <w:t> </w:t>
      </w:r>
      <w:r>
        <w:rPr>
          <w:color w:val="231F20"/>
          <w:w w:val="105"/>
        </w:rPr>
        <w:t>transforman</w:t>
      </w:r>
      <w:r>
        <w:rPr>
          <w:color w:val="231F20"/>
          <w:spacing w:val="-24"/>
          <w:w w:val="105"/>
        </w:rPr>
        <w:t> </w:t>
      </w:r>
      <w:r>
        <w:rPr>
          <w:color w:val="231F20"/>
          <w:w w:val="105"/>
        </w:rPr>
        <w:t>constantemente</w:t>
      </w:r>
      <w:r>
        <w:rPr>
          <w:color w:val="231F20"/>
          <w:spacing w:val="-24"/>
          <w:w w:val="105"/>
        </w:rPr>
        <w:t> </w:t>
      </w:r>
      <w:r>
        <w:rPr>
          <w:color w:val="231F20"/>
          <w:w w:val="105"/>
        </w:rPr>
        <w:t>a</w:t>
      </w:r>
      <w:r>
        <w:rPr>
          <w:color w:val="231F20"/>
          <w:spacing w:val="-24"/>
          <w:w w:val="105"/>
        </w:rPr>
        <w:t> </w:t>
      </w:r>
      <w:r>
        <w:rPr>
          <w:color w:val="231F20"/>
          <w:w w:val="105"/>
        </w:rPr>
        <w:t>partir de</w:t>
      </w:r>
      <w:r>
        <w:rPr>
          <w:color w:val="231F20"/>
          <w:spacing w:val="-30"/>
          <w:w w:val="105"/>
        </w:rPr>
        <w:t> </w:t>
      </w:r>
      <w:r>
        <w:rPr>
          <w:color w:val="231F20"/>
          <w:w w:val="105"/>
        </w:rPr>
        <w:t>las</w:t>
      </w:r>
      <w:r>
        <w:rPr>
          <w:color w:val="231F20"/>
          <w:spacing w:val="-30"/>
          <w:w w:val="105"/>
        </w:rPr>
        <w:t> </w:t>
      </w:r>
      <w:r>
        <w:rPr>
          <w:color w:val="231F20"/>
          <w:w w:val="105"/>
        </w:rPr>
        <w:t>decisiones</w:t>
      </w:r>
      <w:r>
        <w:rPr>
          <w:color w:val="231F20"/>
          <w:spacing w:val="-30"/>
          <w:w w:val="105"/>
        </w:rPr>
        <w:t> </w:t>
      </w:r>
      <w:r>
        <w:rPr>
          <w:color w:val="231F20"/>
          <w:w w:val="105"/>
        </w:rPr>
        <w:t>personales,</w:t>
      </w:r>
      <w:r>
        <w:rPr>
          <w:color w:val="231F20"/>
          <w:spacing w:val="-34"/>
          <w:w w:val="105"/>
        </w:rPr>
        <w:t> </w:t>
      </w:r>
      <w:r>
        <w:rPr>
          <w:color w:val="231F20"/>
          <w:w w:val="105"/>
        </w:rPr>
        <w:t>familiares</w:t>
      </w:r>
      <w:r>
        <w:rPr>
          <w:color w:val="231F20"/>
          <w:spacing w:val="-30"/>
          <w:w w:val="105"/>
        </w:rPr>
        <w:t> </w:t>
      </w:r>
      <w:r>
        <w:rPr>
          <w:color w:val="231F20"/>
          <w:w w:val="105"/>
        </w:rPr>
        <w:t>o</w:t>
      </w:r>
      <w:r>
        <w:rPr>
          <w:color w:val="231F20"/>
          <w:spacing w:val="-30"/>
          <w:w w:val="105"/>
        </w:rPr>
        <w:t> </w:t>
      </w:r>
      <w:r>
        <w:rPr>
          <w:color w:val="231F20"/>
          <w:w w:val="105"/>
        </w:rPr>
        <w:t>comunitarias</w:t>
      </w:r>
      <w:r>
        <w:rPr>
          <w:color w:val="231F20"/>
          <w:spacing w:val="-30"/>
          <w:w w:val="105"/>
        </w:rPr>
        <w:t> </w:t>
      </w:r>
      <w:r>
        <w:rPr>
          <w:color w:val="231F20"/>
          <w:w w:val="105"/>
        </w:rPr>
        <w:t>que</w:t>
      </w:r>
      <w:r>
        <w:rPr>
          <w:color w:val="231F20"/>
          <w:spacing w:val="-30"/>
          <w:w w:val="105"/>
        </w:rPr>
        <w:t> </w:t>
      </w:r>
      <w:r>
        <w:rPr>
          <w:color w:val="231F20"/>
          <w:w w:val="105"/>
        </w:rPr>
        <w:t>los</w:t>
      </w:r>
      <w:r>
        <w:rPr>
          <w:color w:val="231F20"/>
          <w:spacing w:val="-30"/>
          <w:w w:val="105"/>
        </w:rPr>
        <w:t> </w:t>
      </w:r>
      <w:r>
        <w:rPr>
          <w:color w:val="231F20"/>
          <w:w w:val="105"/>
        </w:rPr>
        <w:t>migrantes establecen</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búsqueda</w:t>
      </w:r>
      <w:r>
        <w:rPr>
          <w:color w:val="231F20"/>
          <w:spacing w:val="-25"/>
          <w:w w:val="105"/>
        </w:rPr>
        <w:t> </w:t>
      </w:r>
      <w:r>
        <w:rPr>
          <w:color w:val="231F20"/>
          <w:w w:val="105"/>
        </w:rPr>
        <w:t>de</w:t>
      </w:r>
      <w:r>
        <w:rPr>
          <w:color w:val="231F20"/>
          <w:spacing w:val="-25"/>
          <w:w w:val="105"/>
        </w:rPr>
        <w:t> </w:t>
      </w:r>
      <w:r>
        <w:rPr>
          <w:color w:val="231F20"/>
          <w:w w:val="105"/>
        </w:rPr>
        <w:t>su</w:t>
      </w:r>
      <w:r>
        <w:rPr>
          <w:color w:val="231F20"/>
          <w:spacing w:val="-25"/>
          <w:w w:val="105"/>
        </w:rPr>
        <w:t> </w:t>
      </w:r>
      <w:r>
        <w:rPr>
          <w:color w:val="231F20"/>
          <w:w w:val="105"/>
        </w:rPr>
        <w:t>expectativas</w:t>
      </w:r>
      <w:r>
        <w:rPr>
          <w:color w:val="231F20"/>
          <w:spacing w:val="-25"/>
          <w:w w:val="105"/>
        </w:rPr>
        <w:t> </w:t>
      </w:r>
      <w:r>
        <w:rPr>
          <w:color w:val="231F20"/>
          <w:w w:val="105"/>
        </w:rPr>
        <w:t>personales.</w:t>
      </w:r>
    </w:p>
    <w:p>
      <w:pPr>
        <w:pStyle w:val="BodyText"/>
        <w:spacing w:line="261" w:lineRule="auto" w:before="1"/>
        <w:ind w:left="1723" w:right="1834" w:firstLine="567"/>
        <w:jc w:val="both"/>
      </w:pPr>
      <w:r>
        <w:rPr>
          <w:color w:val="231F20"/>
          <w:w w:val="105"/>
        </w:rPr>
        <w:t>En ese sentido, fue importante para efectos de investigación pro- fundizar en las dinámicas migratorias, es elocuente saber cómo los</w:t>
      </w:r>
      <w:r>
        <w:rPr>
          <w:color w:val="231F20"/>
          <w:spacing w:val="-13"/>
          <w:w w:val="105"/>
        </w:rPr>
        <w:t> </w:t>
      </w:r>
      <w:r>
        <w:rPr>
          <w:color w:val="231F20"/>
          <w:w w:val="105"/>
        </w:rPr>
        <w:t>mi- grantes</w:t>
      </w:r>
      <w:r>
        <w:rPr>
          <w:color w:val="231F20"/>
          <w:spacing w:val="-19"/>
          <w:w w:val="105"/>
        </w:rPr>
        <w:t> </w:t>
      </w:r>
      <w:r>
        <w:rPr>
          <w:color w:val="231F20"/>
          <w:w w:val="105"/>
        </w:rPr>
        <w:t>rurales</w:t>
      </w:r>
      <w:r>
        <w:rPr>
          <w:color w:val="231F20"/>
          <w:spacing w:val="-19"/>
          <w:w w:val="105"/>
        </w:rPr>
        <w:t> </w:t>
      </w:r>
      <w:r>
        <w:rPr>
          <w:color w:val="231F20"/>
          <w:w w:val="105"/>
        </w:rPr>
        <w:t>de</w:t>
      </w:r>
      <w:r>
        <w:rPr>
          <w:color w:val="231F20"/>
          <w:spacing w:val="-19"/>
          <w:w w:val="105"/>
        </w:rPr>
        <w:t> </w:t>
      </w:r>
      <w:r>
        <w:rPr>
          <w:color w:val="231F20"/>
          <w:w w:val="105"/>
        </w:rPr>
        <w:t>origen</w:t>
      </w:r>
      <w:r>
        <w:rPr>
          <w:color w:val="231F20"/>
          <w:spacing w:val="-19"/>
          <w:w w:val="105"/>
        </w:rPr>
        <w:t> </w:t>
      </w:r>
      <w:r>
        <w:rPr>
          <w:color w:val="231F20"/>
          <w:w w:val="105"/>
        </w:rPr>
        <w:t>mexiquense,</w:t>
      </w:r>
      <w:r>
        <w:rPr>
          <w:color w:val="231F20"/>
          <w:spacing w:val="-24"/>
          <w:w w:val="105"/>
        </w:rPr>
        <w:t> </w:t>
      </w:r>
      <w:r>
        <w:rPr>
          <w:color w:val="231F20"/>
          <w:w w:val="105"/>
        </w:rPr>
        <w:t>y</w:t>
      </w:r>
      <w:r>
        <w:rPr>
          <w:color w:val="231F20"/>
          <w:spacing w:val="-19"/>
          <w:w w:val="105"/>
        </w:rPr>
        <w:t> </w:t>
      </w:r>
      <w:r>
        <w:rPr>
          <w:color w:val="231F20"/>
          <w:w w:val="105"/>
        </w:rPr>
        <w:t>particularmente</w:t>
      </w:r>
      <w:r>
        <w:rPr>
          <w:color w:val="231F20"/>
          <w:spacing w:val="-19"/>
          <w:w w:val="105"/>
        </w:rPr>
        <w:t> </w:t>
      </w:r>
      <w:r>
        <w:rPr>
          <w:color w:val="231F20"/>
          <w:w w:val="105"/>
        </w:rPr>
        <w:t>de</w:t>
      </w:r>
      <w:r>
        <w:rPr>
          <w:color w:val="231F20"/>
          <w:spacing w:val="-22"/>
          <w:w w:val="105"/>
        </w:rPr>
        <w:t> </w:t>
      </w:r>
      <w:r>
        <w:rPr>
          <w:color w:val="231F20"/>
          <w:w w:val="105"/>
        </w:rPr>
        <w:t>Almoloya</w:t>
      </w:r>
      <w:r>
        <w:rPr>
          <w:color w:val="231F20"/>
          <w:spacing w:val="-19"/>
          <w:w w:val="105"/>
        </w:rPr>
        <w:t> </w:t>
      </w:r>
      <w:r>
        <w:rPr>
          <w:color w:val="231F20"/>
          <w:w w:val="105"/>
        </w:rPr>
        <w:t>de Alquisiras,</w:t>
      </w:r>
      <w:r>
        <w:rPr>
          <w:color w:val="231F20"/>
          <w:spacing w:val="-18"/>
          <w:w w:val="105"/>
        </w:rPr>
        <w:t> </w:t>
      </w:r>
      <w:r>
        <w:rPr>
          <w:color w:val="231F20"/>
          <w:w w:val="105"/>
        </w:rPr>
        <w:t>al</w:t>
      </w:r>
      <w:r>
        <w:rPr>
          <w:color w:val="231F20"/>
          <w:spacing w:val="-12"/>
          <w:w w:val="105"/>
        </w:rPr>
        <w:t> </w:t>
      </w:r>
      <w:r>
        <w:rPr>
          <w:color w:val="231F20"/>
          <w:w w:val="105"/>
        </w:rPr>
        <w:t>seno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circularidad</w:t>
      </w:r>
      <w:r>
        <w:rPr>
          <w:color w:val="231F20"/>
          <w:spacing w:val="-12"/>
          <w:w w:val="105"/>
        </w:rPr>
        <w:t> </w:t>
      </w:r>
      <w:r>
        <w:rPr>
          <w:color w:val="231F20"/>
          <w:w w:val="105"/>
        </w:rPr>
        <w:t>migratoria,</w:t>
      </w:r>
      <w:r>
        <w:rPr>
          <w:color w:val="231F20"/>
          <w:spacing w:val="-18"/>
          <w:w w:val="105"/>
        </w:rPr>
        <w:t> </w:t>
      </w:r>
      <w:r>
        <w:rPr>
          <w:color w:val="231F20"/>
          <w:w w:val="105"/>
        </w:rPr>
        <w:t>directa</w:t>
      </w:r>
      <w:r>
        <w:rPr>
          <w:color w:val="231F20"/>
          <w:spacing w:val="-12"/>
          <w:w w:val="105"/>
        </w:rPr>
        <w:t> </w:t>
      </w:r>
      <w:r>
        <w:rPr>
          <w:color w:val="231F20"/>
          <w:w w:val="105"/>
        </w:rPr>
        <w:t>o</w:t>
      </w:r>
      <w:r>
        <w:rPr>
          <w:color w:val="231F20"/>
          <w:spacing w:val="-12"/>
          <w:w w:val="105"/>
        </w:rPr>
        <w:t> </w:t>
      </w:r>
      <w:r>
        <w:rPr>
          <w:color w:val="231F20"/>
          <w:w w:val="105"/>
        </w:rPr>
        <w:t>indirectamente trasforman sus territorios rurales de origen en distintas dimensiones, y asimismo</w:t>
      </w:r>
      <w:r>
        <w:rPr>
          <w:color w:val="231F20"/>
          <w:spacing w:val="-5"/>
          <w:w w:val="105"/>
        </w:rPr>
        <w:t> </w:t>
      </w:r>
      <w:r>
        <w:rPr>
          <w:color w:val="231F20"/>
          <w:w w:val="105"/>
        </w:rPr>
        <w:t>reconstruyen</w:t>
      </w:r>
      <w:r>
        <w:rPr>
          <w:color w:val="231F20"/>
          <w:spacing w:val="-5"/>
          <w:w w:val="105"/>
        </w:rPr>
        <w:t> </w:t>
      </w:r>
      <w:r>
        <w:rPr>
          <w:color w:val="231F20"/>
          <w:w w:val="105"/>
        </w:rPr>
        <w:t>los</w:t>
      </w:r>
      <w:r>
        <w:rPr>
          <w:color w:val="231F20"/>
          <w:spacing w:val="-5"/>
          <w:w w:val="105"/>
        </w:rPr>
        <w:t> </w:t>
      </w:r>
      <w:r>
        <w:rPr>
          <w:color w:val="231F20"/>
          <w:w w:val="105"/>
        </w:rPr>
        <w:t>territorios</w:t>
      </w:r>
      <w:r>
        <w:rPr>
          <w:color w:val="231F20"/>
          <w:spacing w:val="-5"/>
          <w:w w:val="105"/>
        </w:rPr>
        <w:t> </w:t>
      </w:r>
      <w:r>
        <w:rPr>
          <w:color w:val="231F20"/>
          <w:w w:val="105"/>
        </w:rPr>
        <w:t>de</w:t>
      </w:r>
      <w:r>
        <w:rPr>
          <w:color w:val="231F20"/>
          <w:spacing w:val="-5"/>
          <w:w w:val="105"/>
        </w:rPr>
        <w:t> </w:t>
      </w:r>
      <w:r>
        <w:rPr>
          <w:color w:val="231F20"/>
          <w:w w:val="105"/>
        </w:rPr>
        <w:t>tránsito</w:t>
      </w:r>
      <w:r>
        <w:rPr>
          <w:color w:val="231F20"/>
          <w:spacing w:val="-5"/>
          <w:w w:val="105"/>
        </w:rPr>
        <w:t> </w:t>
      </w:r>
      <w:r>
        <w:rPr>
          <w:color w:val="231F20"/>
          <w:w w:val="105"/>
        </w:rPr>
        <w:t>y</w:t>
      </w:r>
      <w:r>
        <w:rPr>
          <w:color w:val="231F20"/>
          <w:spacing w:val="-5"/>
          <w:w w:val="105"/>
        </w:rPr>
        <w:t> </w:t>
      </w:r>
      <w:r>
        <w:rPr>
          <w:color w:val="231F20"/>
          <w:w w:val="105"/>
        </w:rPr>
        <w:t>destino</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cuales se</w:t>
      </w:r>
      <w:r>
        <w:rPr>
          <w:color w:val="231F20"/>
          <w:spacing w:val="-27"/>
          <w:w w:val="105"/>
        </w:rPr>
        <w:t> </w:t>
      </w:r>
      <w:r>
        <w:rPr>
          <w:color w:val="231F20"/>
          <w:w w:val="105"/>
        </w:rPr>
        <w:t>encuentran</w:t>
      </w:r>
      <w:r>
        <w:rPr>
          <w:color w:val="231F20"/>
          <w:spacing w:val="-27"/>
          <w:w w:val="105"/>
        </w:rPr>
        <w:t> </w:t>
      </w:r>
      <w:r>
        <w:rPr>
          <w:color w:val="231F20"/>
          <w:w w:val="105"/>
        </w:rPr>
        <w:t>trabajando</w:t>
      </w:r>
      <w:r>
        <w:rPr>
          <w:color w:val="231F20"/>
          <w:spacing w:val="-27"/>
          <w:w w:val="105"/>
        </w:rPr>
        <w:t> </w:t>
      </w:r>
      <w:r>
        <w:rPr>
          <w:color w:val="231F20"/>
          <w:w w:val="105"/>
        </w:rPr>
        <w:t>en</w:t>
      </w:r>
      <w:r>
        <w:rPr>
          <w:color w:val="231F20"/>
          <w:spacing w:val="-27"/>
          <w:w w:val="105"/>
        </w:rPr>
        <w:t> </w:t>
      </w:r>
      <w:r>
        <w:rPr>
          <w:color w:val="231F20"/>
          <w:w w:val="105"/>
        </w:rPr>
        <w:t>Estados</w:t>
      </w:r>
      <w:r>
        <w:rPr>
          <w:color w:val="231F20"/>
          <w:spacing w:val="-27"/>
          <w:w w:val="105"/>
        </w:rPr>
        <w:t> </w:t>
      </w:r>
      <w:r>
        <w:rPr>
          <w:color w:val="231F20"/>
          <w:w w:val="105"/>
        </w:rPr>
        <w:t>Unidos.</w:t>
      </w:r>
    </w:p>
    <w:p>
      <w:pPr>
        <w:pStyle w:val="BodyText"/>
        <w:spacing w:line="261" w:lineRule="auto" w:before="1"/>
        <w:ind w:left="1723" w:right="1834" w:firstLine="567"/>
        <w:jc w:val="both"/>
      </w:pPr>
      <w:r>
        <w:rPr>
          <w:color w:val="231F20"/>
          <w:w w:val="105"/>
        </w:rPr>
        <w:t>Las</w:t>
      </w:r>
      <w:r>
        <w:rPr>
          <w:color w:val="231F20"/>
          <w:spacing w:val="-11"/>
          <w:w w:val="105"/>
        </w:rPr>
        <w:t> </w:t>
      </w:r>
      <w:r>
        <w:rPr>
          <w:color w:val="231F20"/>
          <w:w w:val="105"/>
        </w:rPr>
        <w:t>oportunidades</w:t>
      </w:r>
      <w:r>
        <w:rPr>
          <w:color w:val="231F20"/>
          <w:spacing w:val="-11"/>
          <w:w w:val="105"/>
        </w:rPr>
        <w:t> </w:t>
      </w:r>
      <w:r>
        <w:rPr>
          <w:color w:val="231F20"/>
          <w:w w:val="105"/>
        </w:rPr>
        <w:t>que</w:t>
      </w:r>
      <w:r>
        <w:rPr>
          <w:color w:val="231F20"/>
          <w:spacing w:val="-11"/>
          <w:w w:val="105"/>
        </w:rPr>
        <w:t> </w:t>
      </w:r>
      <w:r>
        <w:rPr>
          <w:color w:val="231F20"/>
          <w:w w:val="105"/>
        </w:rPr>
        <w:t>brinda</w:t>
      </w:r>
      <w:r>
        <w:rPr>
          <w:color w:val="231F20"/>
          <w:spacing w:val="-11"/>
          <w:w w:val="105"/>
        </w:rPr>
        <w:t> </w:t>
      </w:r>
      <w:r>
        <w:rPr>
          <w:color w:val="231F20"/>
          <w:w w:val="105"/>
        </w:rPr>
        <w:t>la</w:t>
      </w:r>
      <w:r>
        <w:rPr>
          <w:color w:val="231F20"/>
          <w:spacing w:val="-11"/>
          <w:w w:val="105"/>
        </w:rPr>
        <w:t> </w:t>
      </w:r>
      <w:r>
        <w:rPr>
          <w:color w:val="231F20"/>
          <w:w w:val="105"/>
        </w:rPr>
        <w:t>globalización</w:t>
      </w:r>
      <w:r>
        <w:rPr>
          <w:color w:val="231F20"/>
          <w:spacing w:val="-11"/>
          <w:w w:val="105"/>
        </w:rPr>
        <w:t> </w:t>
      </w:r>
      <w:r>
        <w:rPr>
          <w:color w:val="231F20"/>
          <w:w w:val="105"/>
        </w:rPr>
        <w:t>no</w:t>
      </w:r>
      <w:r>
        <w:rPr>
          <w:color w:val="231F20"/>
          <w:spacing w:val="-11"/>
          <w:w w:val="105"/>
        </w:rPr>
        <w:t> </w:t>
      </w:r>
      <w:r>
        <w:rPr>
          <w:color w:val="231F20"/>
          <w:w w:val="105"/>
        </w:rPr>
        <w:t>rivalizan</w:t>
      </w:r>
      <w:r>
        <w:rPr>
          <w:color w:val="231F20"/>
          <w:spacing w:val="-11"/>
          <w:w w:val="105"/>
        </w:rPr>
        <w:t> </w:t>
      </w:r>
      <w:r>
        <w:rPr>
          <w:color w:val="231F20"/>
          <w:w w:val="105"/>
        </w:rPr>
        <w:t>con</w:t>
      </w:r>
      <w:r>
        <w:rPr>
          <w:color w:val="231F20"/>
          <w:spacing w:val="-11"/>
          <w:w w:val="105"/>
        </w:rPr>
        <w:t> </w:t>
      </w:r>
      <w:r>
        <w:rPr>
          <w:color w:val="231F20"/>
          <w:w w:val="105"/>
        </w:rPr>
        <w:t>es- quemas de desarrollo local articulados en los territorios migratorios, ya que</w:t>
      </w:r>
      <w:r>
        <w:rPr>
          <w:color w:val="231F20"/>
          <w:spacing w:val="-11"/>
          <w:w w:val="105"/>
        </w:rPr>
        <w:t> </w:t>
      </w:r>
      <w:r>
        <w:rPr>
          <w:color w:val="231F20"/>
          <w:w w:val="105"/>
        </w:rPr>
        <w:t>se</w:t>
      </w:r>
      <w:r>
        <w:rPr>
          <w:color w:val="231F20"/>
          <w:spacing w:val="-11"/>
          <w:w w:val="105"/>
        </w:rPr>
        <w:t> </w:t>
      </w:r>
      <w:r>
        <w:rPr>
          <w:color w:val="231F20"/>
          <w:w w:val="105"/>
        </w:rPr>
        <w:t>pueden</w:t>
      </w:r>
      <w:r>
        <w:rPr>
          <w:color w:val="231F20"/>
          <w:spacing w:val="-11"/>
          <w:w w:val="105"/>
        </w:rPr>
        <w:t> </w:t>
      </w:r>
      <w:r>
        <w:rPr>
          <w:color w:val="231F20"/>
          <w:w w:val="105"/>
        </w:rPr>
        <w:t>aprovechar</w:t>
      </w:r>
      <w:r>
        <w:rPr>
          <w:color w:val="231F20"/>
          <w:spacing w:val="-11"/>
          <w:w w:val="105"/>
        </w:rPr>
        <w:t> </w:t>
      </w:r>
      <w:r>
        <w:rPr>
          <w:color w:val="231F20"/>
          <w:w w:val="105"/>
        </w:rPr>
        <w:t>las</w:t>
      </w:r>
      <w:r>
        <w:rPr>
          <w:color w:val="231F20"/>
          <w:spacing w:val="-11"/>
          <w:w w:val="105"/>
        </w:rPr>
        <w:t> </w:t>
      </w:r>
      <w:r>
        <w:rPr>
          <w:color w:val="231F20"/>
          <w:w w:val="105"/>
        </w:rPr>
        <w:t>oportunidades</w:t>
      </w:r>
      <w:r>
        <w:rPr>
          <w:color w:val="231F20"/>
          <w:spacing w:val="-11"/>
          <w:w w:val="105"/>
        </w:rPr>
        <w:t> </w:t>
      </w:r>
      <w:r>
        <w:rPr>
          <w:color w:val="231F20"/>
          <w:w w:val="105"/>
        </w:rPr>
        <w:t>que</w:t>
      </w:r>
      <w:r>
        <w:rPr>
          <w:color w:val="231F20"/>
          <w:spacing w:val="-11"/>
          <w:w w:val="105"/>
        </w:rPr>
        <w:t> </w:t>
      </w:r>
      <w:r>
        <w:rPr>
          <w:color w:val="231F20"/>
          <w:w w:val="105"/>
        </w:rPr>
        <w:t>brindan</w:t>
      </w:r>
      <w:r>
        <w:rPr>
          <w:color w:val="231F20"/>
          <w:spacing w:val="-11"/>
          <w:w w:val="105"/>
        </w:rPr>
        <w:t> </w:t>
      </w:r>
      <w:r>
        <w:rPr>
          <w:color w:val="231F20"/>
          <w:w w:val="105"/>
        </w:rPr>
        <w:t>la</w:t>
      </w:r>
      <w:r>
        <w:rPr>
          <w:color w:val="231F20"/>
          <w:spacing w:val="-11"/>
          <w:w w:val="105"/>
        </w:rPr>
        <w:t> </w:t>
      </w:r>
      <w:r>
        <w:rPr>
          <w:color w:val="231F20"/>
          <w:w w:val="105"/>
        </w:rPr>
        <w:t>producción regional,</w:t>
      </w:r>
      <w:r>
        <w:rPr>
          <w:color w:val="231F20"/>
          <w:spacing w:val="-14"/>
          <w:w w:val="105"/>
        </w:rPr>
        <w:t> </w:t>
      </w:r>
      <w:r>
        <w:rPr>
          <w:color w:val="231F20"/>
          <w:w w:val="105"/>
        </w:rPr>
        <w:t>la</w:t>
      </w:r>
      <w:r>
        <w:rPr>
          <w:color w:val="231F20"/>
          <w:spacing w:val="-8"/>
          <w:w w:val="105"/>
        </w:rPr>
        <w:t> </w:t>
      </w:r>
      <w:r>
        <w:rPr>
          <w:color w:val="231F20"/>
          <w:w w:val="105"/>
        </w:rPr>
        <w:t>cultura</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aprecio</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terruño.</w:t>
      </w:r>
      <w:r>
        <w:rPr>
          <w:color w:val="231F20"/>
          <w:spacing w:val="-14"/>
          <w:w w:val="105"/>
        </w:rPr>
        <w:t> </w:t>
      </w:r>
      <w:r>
        <w:rPr>
          <w:color w:val="231F20"/>
          <w:w w:val="105"/>
        </w:rPr>
        <w:t>Innovando</w:t>
      </w:r>
      <w:r>
        <w:rPr>
          <w:color w:val="231F20"/>
          <w:spacing w:val="-8"/>
          <w:w w:val="105"/>
        </w:rPr>
        <w:t> </w:t>
      </w:r>
      <w:r>
        <w:rPr>
          <w:color w:val="231F20"/>
          <w:w w:val="105"/>
        </w:rPr>
        <w:t>y</w:t>
      </w:r>
      <w:r>
        <w:rPr>
          <w:color w:val="231F20"/>
          <w:spacing w:val="-8"/>
          <w:w w:val="105"/>
        </w:rPr>
        <w:t> </w:t>
      </w:r>
      <w:r>
        <w:rPr>
          <w:color w:val="231F20"/>
          <w:w w:val="105"/>
        </w:rPr>
        <w:t>actuando</w:t>
      </w:r>
      <w:r>
        <w:rPr>
          <w:color w:val="231F20"/>
          <w:spacing w:val="-8"/>
          <w:w w:val="105"/>
        </w:rPr>
        <w:t> </w:t>
      </w:r>
      <w:r>
        <w:rPr>
          <w:color w:val="231F20"/>
          <w:w w:val="105"/>
        </w:rPr>
        <w:t>en- tre</w:t>
      </w:r>
      <w:r>
        <w:rPr>
          <w:color w:val="231F20"/>
          <w:spacing w:val="-25"/>
          <w:w w:val="105"/>
        </w:rPr>
        <w:t> </w:t>
      </w:r>
      <w:r>
        <w:rPr>
          <w:color w:val="231F20"/>
          <w:w w:val="105"/>
        </w:rPr>
        <w:t>lo</w:t>
      </w:r>
      <w:r>
        <w:rPr>
          <w:color w:val="231F20"/>
          <w:spacing w:val="-25"/>
          <w:w w:val="105"/>
        </w:rPr>
        <w:t> </w:t>
      </w:r>
      <w:r>
        <w:rPr>
          <w:color w:val="231F20"/>
          <w:w w:val="105"/>
        </w:rPr>
        <w:t>local</w:t>
      </w:r>
      <w:r>
        <w:rPr>
          <w:color w:val="231F20"/>
          <w:spacing w:val="-25"/>
          <w:w w:val="105"/>
        </w:rPr>
        <w:t> </w:t>
      </w:r>
      <w:r>
        <w:rPr>
          <w:color w:val="231F20"/>
          <w:w w:val="105"/>
        </w:rPr>
        <w:t>y</w:t>
      </w:r>
      <w:r>
        <w:rPr>
          <w:color w:val="231F20"/>
          <w:spacing w:val="-25"/>
          <w:w w:val="105"/>
        </w:rPr>
        <w:t> </w:t>
      </w:r>
      <w:r>
        <w:rPr>
          <w:color w:val="231F20"/>
          <w:w w:val="105"/>
        </w:rPr>
        <w:t>lo</w:t>
      </w:r>
      <w:r>
        <w:rPr>
          <w:color w:val="231F20"/>
          <w:spacing w:val="-25"/>
          <w:w w:val="105"/>
        </w:rPr>
        <w:t> </w:t>
      </w:r>
      <w:r>
        <w:rPr>
          <w:color w:val="231F20"/>
          <w:w w:val="105"/>
        </w:rPr>
        <w:t>global</w:t>
      </w:r>
      <w:r>
        <w:rPr>
          <w:color w:val="231F20"/>
          <w:spacing w:val="-25"/>
          <w:w w:val="105"/>
        </w:rPr>
        <w:t> </w:t>
      </w:r>
      <w:r>
        <w:rPr>
          <w:color w:val="231F20"/>
          <w:w w:val="105"/>
        </w:rPr>
        <w:t>son</w:t>
      </w:r>
      <w:r>
        <w:rPr>
          <w:color w:val="231F20"/>
          <w:spacing w:val="-25"/>
          <w:w w:val="105"/>
        </w:rPr>
        <w:t> </w:t>
      </w:r>
      <w:r>
        <w:rPr>
          <w:color w:val="231F20"/>
          <w:w w:val="105"/>
        </w:rPr>
        <w:t>acciones</w:t>
      </w:r>
      <w:r>
        <w:rPr>
          <w:color w:val="231F20"/>
          <w:spacing w:val="-25"/>
          <w:w w:val="105"/>
        </w:rPr>
        <w:t> </w:t>
      </w:r>
      <w:r>
        <w:rPr>
          <w:color w:val="231F20"/>
          <w:w w:val="105"/>
        </w:rPr>
        <w:t>sustantivas</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búsqueda</w:t>
      </w:r>
      <w:r>
        <w:rPr>
          <w:color w:val="231F20"/>
          <w:spacing w:val="-25"/>
          <w:w w:val="105"/>
        </w:rPr>
        <w:t> </w:t>
      </w:r>
      <w:r>
        <w:rPr>
          <w:color w:val="231F20"/>
          <w:w w:val="105"/>
        </w:rPr>
        <w:t>de</w:t>
      </w:r>
      <w:r>
        <w:rPr>
          <w:color w:val="231F20"/>
          <w:spacing w:val="-25"/>
          <w:w w:val="105"/>
        </w:rPr>
        <w:t> </w:t>
      </w:r>
      <w:r>
        <w:rPr>
          <w:color w:val="231F20"/>
          <w:w w:val="105"/>
        </w:rPr>
        <w:t>repues- tos</w:t>
      </w:r>
      <w:r>
        <w:rPr>
          <w:color w:val="231F20"/>
          <w:spacing w:val="-6"/>
          <w:w w:val="105"/>
        </w:rPr>
        <w:t> </w:t>
      </w:r>
      <w:r>
        <w:rPr>
          <w:color w:val="231F20"/>
          <w:w w:val="105"/>
        </w:rPr>
        <w:t>paradigmáticos</w:t>
      </w:r>
      <w:r>
        <w:rPr>
          <w:color w:val="231F20"/>
          <w:spacing w:val="-6"/>
          <w:w w:val="105"/>
        </w:rPr>
        <w:t> </w:t>
      </w:r>
      <w:r>
        <w:rPr>
          <w:color w:val="231F20"/>
          <w:w w:val="105"/>
        </w:rPr>
        <w:t>para</w:t>
      </w:r>
      <w:r>
        <w:rPr>
          <w:color w:val="231F20"/>
          <w:spacing w:val="-6"/>
          <w:w w:val="105"/>
        </w:rPr>
        <w:t> </w:t>
      </w:r>
      <w:r>
        <w:rPr>
          <w:color w:val="231F20"/>
          <w:w w:val="105"/>
        </w:rPr>
        <w:t>brindar</w:t>
      </w:r>
      <w:r>
        <w:rPr>
          <w:color w:val="231F20"/>
          <w:spacing w:val="-6"/>
          <w:w w:val="105"/>
        </w:rPr>
        <w:t> </w:t>
      </w:r>
      <w:r>
        <w:rPr>
          <w:color w:val="231F20"/>
          <w:w w:val="105"/>
        </w:rPr>
        <w:t>opciones</w:t>
      </w:r>
      <w:r>
        <w:rPr>
          <w:color w:val="231F20"/>
          <w:spacing w:val="-6"/>
          <w:w w:val="105"/>
        </w:rPr>
        <w:t> </w:t>
      </w:r>
      <w:r>
        <w:rPr>
          <w:color w:val="231F20"/>
          <w:w w:val="105"/>
        </w:rPr>
        <w:t>viables</w:t>
      </w:r>
      <w:r>
        <w:rPr>
          <w:color w:val="231F20"/>
          <w:spacing w:val="-6"/>
          <w:w w:val="105"/>
        </w:rPr>
        <w:t> </w:t>
      </w:r>
      <w:r>
        <w:rPr>
          <w:color w:val="231F20"/>
          <w:w w:val="105"/>
        </w:rPr>
        <w:t>de</w:t>
      </w:r>
      <w:r>
        <w:rPr>
          <w:color w:val="231F20"/>
          <w:spacing w:val="-6"/>
          <w:w w:val="105"/>
        </w:rPr>
        <w:t> </w:t>
      </w:r>
      <w:r>
        <w:rPr>
          <w:color w:val="231F20"/>
          <w:w w:val="105"/>
        </w:rPr>
        <w:t>desarrollo</w:t>
      </w:r>
      <w:r>
        <w:rPr>
          <w:color w:val="231F20"/>
          <w:spacing w:val="-6"/>
          <w:w w:val="105"/>
        </w:rPr>
        <w:t> </w:t>
      </w:r>
      <w:r>
        <w:rPr>
          <w:color w:val="231F20"/>
          <w:w w:val="105"/>
        </w:rPr>
        <w:t>para</w:t>
      </w:r>
      <w:r>
        <w:rPr>
          <w:color w:val="231F20"/>
          <w:spacing w:val="-6"/>
          <w:w w:val="105"/>
        </w:rPr>
        <w:t> </w:t>
      </w:r>
      <w:r>
        <w:rPr>
          <w:color w:val="231F20"/>
          <w:w w:val="105"/>
        </w:rPr>
        <w:t>los migrantes</w:t>
      </w:r>
      <w:r>
        <w:rPr>
          <w:color w:val="231F20"/>
          <w:spacing w:val="-37"/>
          <w:w w:val="105"/>
        </w:rPr>
        <w:t> </w:t>
      </w:r>
      <w:r>
        <w:rPr>
          <w:color w:val="231F20"/>
          <w:w w:val="105"/>
        </w:rPr>
        <w:t>y</w:t>
      </w:r>
      <w:r>
        <w:rPr>
          <w:color w:val="231F20"/>
          <w:spacing w:val="-37"/>
          <w:w w:val="105"/>
        </w:rPr>
        <w:t> </w:t>
      </w:r>
      <w:r>
        <w:rPr>
          <w:color w:val="231F20"/>
          <w:w w:val="105"/>
        </w:rPr>
        <w:t>sus</w:t>
      </w:r>
      <w:r>
        <w:rPr>
          <w:color w:val="231F20"/>
          <w:spacing w:val="-37"/>
          <w:w w:val="105"/>
        </w:rPr>
        <w:t> </w:t>
      </w:r>
      <w:r>
        <w:rPr>
          <w:color w:val="231F20"/>
          <w:w w:val="105"/>
        </w:rPr>
        <w:t>familias.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52728" from="131.551193pt,.203715pt" to="131.551193pt,36.006114pt" stroked="true" strokeweight=".35pt" strokecolor="#231f20">
            <w10:wrap type="none"/>
          </v:line>
        </w:pict>
      </w:r>
      <w:r>
        <w:rPr/>
        <w:pict>
          <v:line style="position:absolute;mso-position-horizontal-relative:page;mso-position-vertical-relative:paragraph;z-index:-452656" from="15pt,36.005917pt" to="0pt,36.005917pt" stroked="true" strokeweight=".25pt" strokecolor="#000000">
            <w10:wrap type="none"/>
          </v:line>
        </w:pict>
      </w:r>
      <w:r>
        <w:rPr/>
        <w:pict>
          <v:line style="position:absolute;mso-position-horizontal-relative:page;mso-position-vertical-relative:paragraph;z-index:37552" from="508.890015pt,36.005917pt" to="523.890015pt,36.005917pt" stroked="true" strokeweight=".25pt" strokecolor="#000000">
            <w10:wrap type="none"/>
          </v:line>
        </w:pict>
      </w:r>
      <w:r>
        <w:rPr>
          <w:rFonts w:ascii="Arial" w:hAnsi="Arial"/>
          <w:color w:val="414042"/>
          <w:position w:val="-5"/>
          <w:sz w:val="20"/>
        </w:rPr>
        <w:t>306</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7576"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7600" from="15pt,-28.286539pt" to="0pt,-28.286539pt" stroked="true" strokeweight=".25pt" strokecolor="#000000">
            <w10:wrap type="none"/>
          </v:line>
        </w:pict>
      </w:r>
      <w:r>
        <w:rPr/>
        <w:pict>
          <v:line style="position:absolute;mso-position-horizontal-relative:page;mso-position-vertical-relative:paragraph;z-index:37624" from="508.890015pt,-28.286539pt" to="523.890015pt,-28.286539pt" stroked="true" strokeweight=".25pt" strokecolor="#000000">
            <w10:wrap type="none"/>
          </v:line>
        </w:pict>
      </w:r>
      <w:r>
        <w:rPr>
          <w:rFonts w:ascii="Arial"/>
          <w:color w:val="414042"/>
          <w:sz w:val="20"/>
        </w:rPr>
        <w:t>307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19"/>
        </w:rPr>
      </w:pPr>
    </w:p>
    <w:p>
      <w:pPr>
        <w:pStyle w:val="Heading3"/>
        <w:spacing w:before="55"/>
        <w:ind w:right="6753"/>
        <w:jc w:val="left"/>
      </w:pPr>
      <w:r>
        <w:rPr>
          <w:color w:val="231F20"/>
        </w:rPr>
        <w:t>Bibliografía</w:t>
      </w:r>
    </w:p>
    <w:p>
      <w:pPr>
        <w:pStyle w:val="BodyText"/>
        <w:rPr>
          <w:rFonts w:ascii="Arial"/>
          <w:b/>
          <w:sz w:val="22"/>
        </w:rPr>
      </w:pPr>
    </w:p>
    <w:p>
      <w:pPr>
        <w:spacing w:line="259" w:lineRule="auto" w:before="160"/>
        <w:ind w:left="2574" w:right="1721" w:hanging="738"/>
        <w:jc w:val="both"/>
        <w:rPr>
          <w:sz w:val="21"/>
        </w:rPr>
      </w:pPr>
      <w:r>
        <w:rPr>
          <w:color w:val="231F20"/>
          <w:sz w:val="21"/>
        </w:rPr>
        <w:t>Albuquerque, Francisco y Dini, Marco, (2008), </w:t>
      </w:r>
      <w:r>
        <w:rPr>
          <w:rFonts w:ascii="Arial" w:hAnsi="Arial"/>
          <w:i/>
          <w:color w:val="231F20"/>
          <w:sz w:val="21"/>
        </w:rPr>
        <w:t>La estrategia de desarrollo </w:t>
      </w:r>
      <w:r>
        <w:rPr>
          <w:rFonts w:ascii="Arial" w:hAnsi="Arial"/>
          <w:i/>
          <w:color w:val="231F20"/>
          <w:sz w:val="21"/>
        </w:rPr>
        <w:t>económico territorial. Módulo 8</w:t>
      </w:r>
      <w:r>
        <w:rPr>
          <w:color w:val="231F20"/>
          <w:sz w:val="21"/>
        </w:rPr>
        <w:t>, Sevilla: Graficas Santa  María.</w:t>
      </w:r>
    </w:p>
    <w:p>
      <w:pPr>
        <w:spacing w:line="261" w:lineRule="auto" w:before="3"/>
        <w:ind w:left="2574" w:right="1721" w:hanging="738"/>
        <w:jc w:val="both"/>
        <w:rPr>
          <w:sz w:val="21"/>
        </w:rPr>
      </w:pPr>
      <w:r>
        <w:rPr>
          <w:color w:val="231F20"/>
          <w:w w:val="105"/>
          <w:sz w:val="21"/>
        </w:rPr>
        <w:t>Anguiano</w:t>
      </w:r>
      <w:r>
        <w:rPr>
          <w:color w:val="231F20"/>
          <w:spacing w:val="-36"/>
          <w:w w:val="105"/>
          <w:sz w:val="21"/>
        </w:rPr>
        <w:t> </w:t>
      </w:r>
      <w:r>
        <w:rPr>
          <w:color w:val="231F20"/>
          <w:spacing w:val="-5"/>
          <w:w w:val="105"/>
          <w:sz w:val="21"/>
        </w:rPr>
        <w:t>Téllez,</w:t>
      </w:r>
      <w:r>
        <w:rPr>
          <w:color w:val="231F20"/>
          <w:spacing w:val="-37"/>
          <w:w w:val="105"/>
          <w:sz w:val="21"/>
        </w:rPr>
        <w:t> </w:t>
      </w:r>
      <w:r>
        <w:rPr>
          <w:color w:val="231F20"/>
          <w:w w:val="105"/>
          <w:sz w:val="21"/>
        </w:rPr>
        <w:t>María</w:t>
      </w:r>
      <w:r>
        <w:rPr>
          <w:color w:val="231F20"/>
          <w:spacing w:val="-34"/>
          <w:w w:val="105"/>
          <w:sz w:val="21"/>
        </w:rPr>
        <w:t> </w:t>
      </w:r>
      <w:r>
        <w:rPr>
          <w:color w:val="231F20"/>
          <w:w w:val="105"/>
          <w:sz w:val="21"/>
        </w:rPr>
        <w:t>Eugenia</w:t>
      </w:r>
      <w:r>
        <w:rPr>
          <w:color w:val="231F20"/>
          <w:spacing w:val="-34"/>
          <w:w w:val="105"/>
          <w:sz w:val="21"/>
        </w:rPr>
        <w:t> </w:t>
      </w:r>
      <w:r>
        <w:rPr>
          <w:color w:val="231F20"/>
          <w:w w:val="105"/>
          <w:sz w:val="21"/>
        </w:rPr>
        <w:t>y</w:t>
      </w:r>
      <w:r>
        <w:rPr>
          <w:color w:val="231F20"/>
          <w:spacing w:val="-34"/>
          <w:w w:val="105"/>
          <w:sz w:val="21"/>
        </w:rPr>
        <w:t> </w:t>
      </w:r>
      <w:r>
        <w:rPr>
          <w:color w:val="231F20"/>
          <w:spacing w:val="-3"/>
          <w:w w:val="105"/>
          <w:sz w:val="21"/>
        </w:rPr>
        <w:t>Cardoso</w:t>
      </w:r>
      <w:r>
        <w:rPr>
          <w:color w:val="231F20"/>
          <w:spacing w:val="-34"/>
          <w:w w:val="105"/>
          <w:sz w:val="21"/>
        </w:rPr>
        <w:t> </w:t>
      </w:r>
      <w:r>
        <w:rPr>
          <w:color w:val="231F20"/>
          <w:spacing w:val="-3"/>
          <w:w w:val="105"/>
          <w:sz w:val="21"/>
        </w:rPr>
        <w:t>López,</w:t>
      </w:r>
      <w:r>
        <w:rPr>
          <w:color w:val="231F20"/>
          <w:spacing w:val="-37"/>
          <w:w w:val="105"/>
          <w:sz w:val="21"/>
        </w:rPr>
        <w:t> </w:t>
      </w:r>
      <w:r>
        <w:rPr>
          <w:color w:val="231F20"/>
          <w:w w:val="105"/>
          <w:sz w:val="21"/>
        </w:rPr>
        <w:t>Melissa,</w:t>
      </w:r>
      <w:r>
        <w:rPr>
          <w:color w:val="231F20"/>
          <w:spacing w:val="-37"/>
          <w:w w:val="105"/>
          <w:sz w:val="21"/>
        </w:rPr>
        <w:t> </w:t>
      </w:r>
      <w:r>
        <w:rPr>
          <w:color w:val="231F20"/>
          <w:w w:val="105"/>
          <w:sz w:val="21"/>
        </w:rPr>
        <w:t>(2012),</w:t>
      </w:r>
      <w:r>
        <w:rPr>
          <w:color w:val="231F20"/>
          <w:spacing w:val="-37"/>
          <w:w w:val="105"/>
          <w:sz w:val="21"/>
        </w:rPr>
        <w:t> </w:t>
      </w:r>
      <w:r>
        <w:rPr>
          <w:color w:val="231F20"/>
          <w:spacing w:val="-3"/>
          <w:w w:val="105"/>
          <w:sz w:val="21"/>
        </w:rPr>
        <w:t>“Redes </w:t>
      </w:r>
      <w:r>
        <w:rPr>
          <w:color w:val="231F20"/>
          <w:w w:val="105"/>
          <w:sz w:val="21"/>
        </w:rPr>
        <w:t>sociales</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migración</w:t>
      </w:r>
      <w:r>
        <w:rPr>
          <w:color w:val="231F20"/>
          <w:spacing w:val="-14"/>
          <w:w w:val="105"/>
          <w:sz w:val="21"/>
        </w:rPr>
        <w:t> </w:t>
      </w:r>
      <w:r>
        <w:rPr>
          <w:color w:val="231F20"/>
          <w:w w:val="105"/>
          <w:sz w:val="21"/>
        </w:rPr>
        <w:t>internacional</w:t>
      </w:r>
      <w:r>
        <w:rPr>
          <w:color w:val="231F20"/>
          <w:spacing w:val="-14"/>
          <w:w w:val="105"/>
          <w:sz w:val="21"/>
        </w:rPr>
        <w:t> </w:t>
      </w:r>
      <w:r>
        <w:rPr>
          <w:color w:val="231F20"/>
          <w:spacing w:val="-4"/>
          <w:w w:val="105"/>
          <w:sz w:val="21"/>
        </w:rPr>
        <w:t>mexiquense”,</w:t>
      </w:r>
      <w:r>
        <w:rPr>
          <w:color w:val="231F20"/>
          <w:spacing w:val="-18"/>
          <w:w w:val="105"/>
          <w:sz w:val="21"/>
        </w:rPr>
        <w:t> </w:t>
      </w:r>
      <w:r>
        <w:rPr>
          <w:color w:val="231F20"/>
          <w:w w:val="105"/>
          <w:sz w:val="21"/>
        </w:rPr>
        <w:t>en</w:t>
      </w:r>
      <w:r>
        <w:rPr>
          <w:color w:val="231F20"/>
          <w:spacing w:val="-16"/>
          <w:w w:val="105"/>
          <w:sz w:val="21"/>
        </w:rPr>
        <w:t> </w:t>
      </w:r>
      <w:r>
        <w:rPr>
          <w:color w:val="231F20"/>
          <w:w w:val="105"/>
          <w:sz w:val="21"/>
        </w:rPr>
        <w:t>Juan</w:t>
      </w:r>
      <w:r>
        <w:rPr>
          <w:color w:val="231F20"/>
          <w:spacing w:val="-14"/>
          <w:w w:val="105"/>
          <w:sz w:val="21"/>
        </w:rPr>
        <w:t> </w:t>
      </w:r>
      <w:r>
        <w:rPr>
          <w:color w:val="231F20"/>
          <w:w w:val="105"/>
          <w:sz w:val="21"/>
        </w:rPr>
        <w:t>Ga- bino</w:t>
      </w:r>
      <w:r>
        <w:rPr>
          <w:color w:val="231F20"/>
          <w:spacing w:val="-29"/>
          <w:w w:val="105"/>
          <w:sz w:val="21"/>
        </w:rPr>
        <w:t> </w:t>
      </w:r>
      <w:r>
        <w:rPr>
          <w:color w:val="231F20"/>
          <w:w w:val="105"/>
          <w:sz w:val="21"/>
        </w:rPr>
        <w:t>González</w:t>
      </w:r>
      <w:r>
        <w:rPr>
          <w:color w:val="231F20"/>
          <w:spacing w:val="-29"/>
          <w:w w:val="105"/>
          <w:sz w:val="21"/>
        </w:rPr>
        <w:t> </w:t>
      </w:r>
      <w:r>
        <w:rPr>
          <w:color w:val="231F20"/>
          <w:w w:val="105"/>
          <w:sz w:val="21"/>
        </w:rPr>
        <w:t>Becerril</w:t>
      </w:r>
      <w:r>
        <w:rPr>
          <w:color w:val="231F20"/>
          <w:spacing w:val="-29"/>
          <w:w w:val="105"/>
          <w:sz w:val="21"/>
        </w:rPr>
        <w:t> </w:t>
      </w:r>
      <w:r>
        <w:rPr>
          <w:color w:val="231F20"/>
          <w:w w:val="105"/>
          <w:sz w:val="21"/>
        </w:rPr>
        <w:t>y</w:t>
      </w:r>
      <w:r>
        <w:rPr>
          <w:color w:val="231F20"/>
          <w:spacing w:val="-30"/>
          <w:w w:val="105"/>
          <w:sz w:val="21"/>
        </w:rPr>
        <w:t> </w:t>
      </w:r>
      <w:r>
        <w:rPr>
          <w:color w:val="231F20"/>
          <w:w w:val="105"/>
          <w:sz w:val="21"/>
        </w:rPr>
        <w:t>Jaciel</w:t>
      </w:r>
      <w:r>
        <w:rPr>
          <w:color w:val="231F20"/>
          <w:spacing w:val="-29"/>
          <w:w w:val="105"/>
          <w:sz w:val="21"/>
        </w:rPr>
        <w:t> </w:t>
      </w:r>
      <w:r>
        <w:rPr>
          <w:color w:val="231F20"/>
          <w:w w:val="105"/>
          <w:sz w:val="21"/>
        </w:rPr>
        <w:t>Montoya</w:t>
      </w:r>
      <w:r>
        <w:rPr>
          <w:color w:val="231F20"/>
          <w:spacing w:val="-31"/>
          <w:w w:val="105"/>
          <w:sz w:val="21"/>
        </w:rPr>
        <w:t> </w:t>
      </w:r>
      <w:r>
        <w:rPr>
          <w:color w:val="231F20"/>
          <w:spacing w:val="-3"/>
          <w:w w:val="105"/>
          <w:sz w:val="21"/>
        </w:rPr>
        <w:t>Arce</w:t>
      </w:r>
      <w:r>
        <w:rPr>
          <w:color w:val="231F20"/>
          <w:spacing w:val="-29"/>
          <w:w w:val="105"/>
          <w:sz w:val="21"/>
        </w:rPr>
        <w:t> </w:t>
      </w:r>
      <w:r>
        <w:rPr>
          <w:color w:val="231F20"/>
          <w:w w:val="105"/>
          <w:sz w:val="21"/>
        </w:rPr>
        <w:t>(comps.),</w:t>
      </w:r>
      <w:r>
        <w:rPr>
          <w:color w:val="231F20"/>
          <w:spacing w:val="-29"/>
          <w:w w:val="105"/>
          <w:sz w:val="21"/>
        </w:rPr>
        <w:t> </w:t>
      </w:r>
      <w:r>
        <w:rPr>
          <w:rFonts w:ascii="Arial" w:hAnsi="Arial"/>
          <w:i/>
          <w:color w:val="231F20"/>
          <w:spacing w:val="-3"/>
          <w:w w:val="105"/>
          <w:sz w:val="21"/>
        </w:rPr>
        <w:t>Migración </w:t>
      </w:r>
      <w:r>
        <w:rPr>
          <w:rFonts w:ascii="Arial" w:hAnsi="Arial"/>
          <w:i/>
          <w:color w:val="231F20"/>
          <w:w w:val="105"/>
          <w:sz w:val="21"/>
        </w:rPr>
        <w:t>mexiquense</w:t>
      </w:r>
      <w:r>
        <w:rPr>
          <w:rFonts w:ascii="Arial" w:hAnsi="Arial"/>
          <w:i/>
          <w:color w:val="231F20"/>
          <w:spacing w:val="-31"/>
          <w:w w:val="105"/>
          <w:sz w:val="21"/>
        </w:rPr>
        <w:t> </w:t>
      </w:r>
      <w:r>
        <w:rPr>
          <w:rFonts w:ascii="Arial" w:hAnsi="Arial"/>
          <w:i/>
          <w:color w:val="231F20"/>
          <w:w w:val="105"/>
          <w:sz w:val="21"/>
        </w:rPr>
        <w:t>a</w:t>
      </w:r>
      <w:r>
        <w:rPr>
          <w:rFonts w:ascii="Arial" w:hAnsi="Arial"/>
          <w:i/>
          <w:color w:val="231F20"/>
          <w:spacing w:val="-31"/>
          <w:w w:val="105"/>
          <w:sz w:val="21"/>
        </w:rPr>
        <w:t> </w:t>
      </w:r>
      <w:r>
        <w:rPr>
          <w:rFonts w:ascii="Arial" w:hAnsi="Arial"/>
          <w:i/>
          <w:color w:val="231F20"/>
          <w:w w:val="105"/>
          <w:sz w:val="21"/>
        </w:rPr>
        <w:t>Estados</w:t>
      </w:r>
      <w:r>
        <w:rPr>
          <w:rFonts w:ascii="Arial" w:hAnsi="Arial"/>
          <w:i/>
          <w:color w:val="231F20"/>
          <w:spacing w:val="-31"/>
          <w:w w:val="105"/>
          <w:sz w:val="21"/>
        </w:rPr>
        <w:t> </w:t>
      </w:r>
      <w:r>
        <w:rPr>
          <w:rFonts w:ascii="Arial" w:hAnsi="Arial"/>
          <w:i/>
          <w:color w:val="231F20"/>
          <w:w w:val="105"/>
          <w:sz w:val="21"/>
        </w:rPr>
        <w:t>Unidos:</w:t>
      </w:r>
      <w:r>
        <w:rPr>
          <w:rFonts w:ascii="Arial" w:hAnsi="Arial"/>
          <w:i/>
          <w:color w:val="231F20"/>
          <w:spacing w:val="-31"/>
          <w:w w:val="105"/>
          <w:sz w:val="21"/>
        </w:rPr>
        <w:t> </w:t>
      </w:r>
      <w:r>
        <w:rPr>
          <w:rFonts w:ascii="Arial" w:hAnsi="Arial"/>
          <w:i/>
          <w:color w:val="231F20"/>
          <w:w w:val="105"/>
          <w:sz w:val="21"/>
        </w:rPr>
        <w:t>un</w:t>
      </w:r>
      <w:r>
        <w:rPr>
          <w:rFonts w:ascii="Arial" w:hAnsi="Arial"/>
          <w:i/>
          <w:color w:val="231F20"/>
          <w:spacing w:val="-31"/>
          <w:w w:val="105"/>
          <w:sz w:val="21"/>
        </w:rPr>
        <w:t> </w:t>
      </w:r>
      <w:r>
        <w:rPr>
          <w:rFonts w:ascii="Arial" w:hAnsi="Arial"/>
          <w:i/>
          <w:color w:val="231F20"/>
          <w:w w:val="105"/>
          <w:sz w:val="21"/>
        </w:rPr>
        <w:t>análisis</w:t>
      </w:r>
      <w:r>
        <w:rPr>
          <w:rFonts w:ascii="Arial" w:hAnsi="Arial"/>
          <w:i/>
          <w:color w:val="231F20"/>
          <w:spacing w:val="-31"/>
          <w:w w:val="105"/>
          <w:sz w:val="21"/>
        </w:rPr>
        <w:t> </w:t>
      </w:r>
      <w:r>
        <w:rPr>
          <w:rFonts w:ascii="Arial" w:hAnsi="Arial"/>
          <w:i/>
          <w:color w:val="231F20"/>
          <w:w w:val="105"/>
          <w:sz w:val="21"/>
        </w:rPr>
        <w:t>interdisciplinario</w:t>
      </w:r>
      <w:r>
        <w:rPr>
          <w:color w:val="231F20"/>
          <w:w w:val="105"/>
          <w:sz w:val="21"/>
        </w:rPr>
        <w:t>,</w:t>
      </w:r>
      <w:r>
        <w:rPr>
          <w:color w:val="231F20"/>
          <w:spacing w:val="-34"/>
          <w:w w:val="105"/>
          <w:sz w:val="21"/>
        </w:rPr>
        <w:t> </w:t>
      </w:r>
      <w:r>
        <w:rPr>
          <w:color w:val="231F20"/>
          <w:spacing w:val="-6"/>
          <w:w w:val="105"/>
          <w:sz w:val="21"/>
        </w:rPr>
        <w:t>Tolu- </w:t>
      </w:r>
      <w:r>
        <w:rPr>
          <w:color w:val="231F20"/>
          <w:sz w:val="21"/>
        </w:rPr>
        <w:t>ca, México:</w:t>
      </w:r>
      <w:r>
        <w:rPr>
          <w:color w:val="231F20"/>
          <w:spacing w:val="-35"/>
          <w:sz w:val="21"/>
        </w:rPr>
        <w:t> </w:t>
      </w:r>
      <w:r>
        <w:rPr>
          <w:color w:val="231F20"/>
          <w:sz w:val="17"/>
        </w:rPr>
        <w:t>UAEM</w:t>
      </w:r>
      <w:r>
        <w:rPr>
          <w:color w:val="231F20"/>
          <w:sz w:val="21"/>
        </w:rPr>
        <w:t>/</w:t>
      </w:r>
      <w:r>
        <w:rPr>
          <w:color w:val="231F20"/>
          <w:sz w:val="17"/>
        </w:rPr>
        <w:t>CIEAP</w:t>
      </w:r>
      <w:r>
        <w:rPr>
          <w:color w:val="231F20"/>
          <w:sz w:val="21"/>
        </w:rPr>
        <w:t>.</w:t>
      </w:r>
    </w:p>
    <w:p>
      <w:pPr>
        <w:spacing w:line="259" w:lineRule="auto" w:before="0"/>
        <w:ind w:left="2574" w:right="1715" w:hanging="738"/>
        <w:jc w:val="both"/>
        <w:rPr>
          <w:sz w:val="21"/>
        </w:rPr>
      </w:pPr>
      <w:r>
        <w:rPr>
          <w:color w:val="231F20"/>
          <w:sz w:val="21"/>
        </w:rPr>
        <w:t>Ariza, Marina y Portes, Alejandro (coords.), (2007), </w:t>
      </w:r>
      <w:r>
        <w:rPr>
          <w:rFonts w:ascii="Arial" w:hAnsi="Arial"/>
          <w:i/>
          <w:color w:val="231F20"/>
          <w:sz w:val="21"/>
        </w:rPr>
        <w:t>El país transnacional. </w:t>
      </w:r>
      <w:r>
        <w:rPr>
          <w:rFonts w:ascii="Arial" w:hAnsi="Arial"/>
          <w:i/>
          <w:color w:val="231F20"/>
          <w:sz w:val="21"/>
        </w:rPr>
        <w:t>Migración mexicana y cambio social a través de la frontera</w:t>
      </w:r>
      <w:r>
        <w:rPr>
          <w:color w:val="231F20"/>
          <w:sz w:val="21"/>
        </w:rPr>
        <w:t>, Méxi- co: </w:t>
      </w:r>
      <w:r>
        <w:rPr>
          <w:color w:val="231F20"/>
          <w:sz w:val="17"/>
        </w:rPr>
        <w:t>UNAM</w:t>
      </w:r>
      <w:r>
        <w:rPr>
          <w:color w:val="231F20"/>
          <w:sz w:val="21"/>
        </w:rPr>
        <w:t>.</w:t>
      </w:r>
    </w:p>
    <w:p>
      <w:pPr>
        <w:spacing w:line="261" w:lineRule="auto" w:before="3"/>
        <w:ind w:left="2574" w:right="1716" w:hanging="738"/>
        <w:jc w:val="both"/>
        <w:rPr>
          <w:sz w:val="21"/>
        </w:rPr>
      </w:pPr>
      <w:r>
        <w:rPr>
          <w:color w:val="231F20"/>
          <w:sz w:val="21"/>
        </w:rPr>
        <w:t>Baca </w:t>
      </w:r>
      <w:r>
        <w:rPr>
          <w:color w:val="231F20"/>
          <w:spacing w:val="-4"/>
          <w:sz w:val="21"/>
        </w:rPr>
        <w:t>Tavira, </w:t>
      </w:r>
      <w:r>
        <w:rPr>
          <w:color w:val="231F20"/>
          <w:sz w:val="21"/>
        </w:rPr>
        <w:t>Norma, (2006), “Migrantes mexiquenses, </w:t>
      </w:r>
      <w:r>
        <w:rPr>
          <w:color w:val="231F20"/>
          <w:spacing w:val="-3"/>
          <w:sz w:val="21"/>
        </w:rPr>
        <w:t>Programa </w:t>
      </w:r>
      <w:r>
        <w:rPr>
          <w:color w:val="231F20"/>
          <w:sz w:val="21"/>
        </w:rPr>
        <w:t>3x1 y los retos de la participación </w:t>
      </w:r>
      <w:r>
        <w:rPr>
          <w:color w:val="231F20"/>
          <w:spacing w:val="-3"/>
          <w:sz w:val="21"/>
        </w:rPr>
        <w:t>ciudadana”, </w:t>
      </w:r>
      <w:r>
        <w:rPr>
          <w:color w:val="231F20"/>
          <w:sz w:val="21"/>
        </w:rPr>
        <w:t>en Norma Baca </w:t>
      </w:r>
      <w:r>
        <w:rPr>
          <w:color w:val="231F20"/>
          <w:spacing w:val="-4"/>
          <w:sz w:val="21"/>
        </w:rPr>
        <w:t>Tavira, </w:t>
      </w:r>
      <w:r>
        <w:rPr>
          <w:color w:val="231F20"/>
          <w:spacing w:val="-3"/>
          <w:sz w:val="21"/>
        </w:rPr>
        <w:t>Fran- </w:t>
      </w:r>
      <w:r>
        <w:rPr>
          <w:color w:val="231F20"/>
          <w:sz w:val="21"/>
        </w:rPr>
        <w:t>cisco Herrera </w:t>
      </w:r>
      <w:r>
        <w:rPr>
          <w:color w:val="231F20"/>
          <w:spacing w:val="-5"/>
          <w:sz w:val="21"/>
        </w:rPr>
        <w:t>Tapia </w:t>
      </w:r>
      <w:r>
        <w:rPr>
          <w:color w:val="231F20"/>
          <w:sz w:val="21"/>
        </w:rPr>
        <w:t>y Rocío González Orihuela (coords.), </w:t>
      </w:r>
      <w:r>
        <w:rPr>
          <w:rFonts w:ascii="Arial" w:hAnsi="Arial"/>
          <w:i/>
          <w:color w:val="231F20"/>
          <w:sz w:val="21"/>
        </w:rPr>
        <w:t>Migra- </w:t>
      </w:r>
      <w:r>
        <w:rPr>
          <w:rFonts w:ascii="Arial" w:hAnsi="Arial"/>
          <w:i/>
          <w:color w:val="231F20"/>
          <w:sz w:val="21"/>
        </w:rPr>
        <w:t>ción, Democracia y Desarrollo, la experiencia mexiquense</w:t>
      </w:r>
      <w:r>
        <w:rPr>
          <w:color w:val="231F20"/>
          <w:sz w:val="21"/>
        </w:rPr>
        <w:t>, </w:t>
      </w:r>
      <w:r>
        <w:rPr>
          <w:color w:val="231F20"/>
          <w:spacing w:val="-3"/>
          <w:sz w:val="21"/>
        </w:rPr>
        <w:t>Toluca, </w:t>
      </w:r>
      <w:r>
        <w:rPr>
          <w:color w:val="231F20"/>
          <w:sz w:val="21"/>
        </w:rPr>
        <w:t>México: </w:t>
      </w:r>
      <w:r>
        <w:rPr>
          <w:color w:val="231F20"/>
          <w:sz w:val="17"/>
        </w:rPr>
        <w:t>IEEM</w:t>
      </w:r>
      <w:r>
        <w:rPr>
          <w:color w:val="231F20"/>
          <w:sz w:val="21"/>
        </w:rPr>
        <w:t>.</w:t>
      </w:r>
    </w:p>
    <w:p>
      <w:pPr>
        <w:pStyle w:val="BodyText"/>
        <w:spacing w:line="259" w:lineRule="auto" w:before="1"/>
        <w:ind w:left="2574" w:right="1721" w:hanging="738"/>
        <w:jc w:val="both"/>
      </w:pPr>
      <w:r>
        <w:rPr>
          <w:color w:val="231F20"/>
        </w:rPr>
        <w:t>Boisier, Sergio, (2005), “¿Hay espacio para el desarrollo local en la globa- lización?”, </w:t>
      </w:r>
      <w:r>
        <w:rPr>
          <w:rFonts w:ascii="Arial" w:hAnsi="Arial"/>
          <w:i/>
          <w:color w:val="231F20"/>
        </w:rPr>
        <w:t>Revista de la </w:t>
      </w:r>
      <w:r>
        <w:rPr>
          <w:rFonts w:ascii="Arial" w:hAnsi="Arial"/>
          <w:i/>
          <w:color w:val="231F20"/>
          <w:sz w:val="17"/>
        </w:rPr>
        <w:t>CEPAL</w:t>
      </w:r>
      <w:r>
        <w:rPr>
          <w:color w:val="231F20"/>
        </w:rPr>
        <w:t>, núm. 86.</w:t>
      </w:r>
    </w:p>
    <w:p>
      <w:pPr>
        <w:spacing w:line="259" w:lineRule="auto" w:before="0"/>
        <w:ind w:left="2574" w:right="1721" w:hanging="737"/>
        <w:jc w:val="both"/>
        <w:rPr>
          <w:sz w:val="21"/>
        </w:rPr>
      </w:pPr>
      <w:r>
        <w:rPr>
          <w:color w:val="231F20"/>
          <w:sz w:val="21"/>
        </w:rPr>
        <w:t>Caicedo Rojas, Maritza, (2010), </w:t>
      </w:r>
      <w:r>
        <w:rPr>
          <w:rFonts w:ascii="Arial" w:hAnsi="Arial"/>
          <w:i/>
          <w:color w:val="231F20"/>
          <w:sz w:val="21"/>
        </w:rPr>
        <w:t>Migración, trabajo y desigualdad. Los mi- </w:t>
      </w:r>
      <w:r>
        <w:rPr>
          <w:rFonts w:ascii="Arial" w:hAnsi="Arial"/>
          <w:i/>
          <w:color w:val="231F20"/>
          <w:sz w:val="21"/>
        </w:rPr>
        <w:t>grantes latinoamericanos y caribeños en Estados Unidos</w:t>
      </w:r>
      <w:r>
        <w:rPr>
          <w:color w:val="231F20"/>
          <w:sz w:val="21"/>
        </w:rPr>
        <w:t>, México: </w:t>
      </w:r>
      <w:r>
        <w:rPr>
          <w:color w:val="231F20"/>
          <w:sz w:val="17"/>
        </w:rPr>
        <w:t>COLMEX</w:t>
      </w:r>
      <w:r>
        <w:rPr>
          <w:color w:val="231F20"/>
          <w:sz w:val="21"/>
        </w:rPr>
        <w:t>.</w:t>
      </w:r>
    </w:p>
    <w:p>
      <w:pPr>
        <w:spacing w:line="259" w:lineRule="auto" w:before="0"/>
        <w:ind w:left="2574" w:right="1721" w:hanging="737"/>
        <w:jc w:val="both"/>
        <w:rPr>
          <w:sz w:val="21"/>
        </w:rPr>
      </w:pPr>
      <w:r>
        <w:rPr>
          <w:color w:val="231F20"/>
          <w:sz w:val="21"/>
        </w:rPr>
        <w:t>Consejo Nacional de Población (</w:t>
      </w:r>
      <w:r>
        <w:rPr>
          <w:color w:val="231F20"/>
          <w:sz w:val="17"/>
        </w:rPr>
        <w:t>CONAPO</w:t>
      </w:r>
      <w:r>
        <w:rPr>
          <w:color w:val="231F20"/>
          <w:sz w:val="21"/>
        </w:rPr>
        <w:t>), (2001), </w:t>
      </w:r>
      <w:r>
        <w:rPr>
          <w:rFonts w:ascii="Arial" w:hAnsi="Arial"/>
          <w:i/>
          <w:color w:val="231F20"/>
          <w:sz w:val="21"/>
        </w:rPr>
        <w:t>La población de Méxi- </w:t>
      </w:r>
      <w:r>
        <w:rPr>
          <w:rFonts w:ascii="Arial" w:hAnsi="Arial"/>
          <w:i/>
          <w:color w:val="231F20"/>
          <w:sz w:val="21"/>
        </w:rPr>
        <w:t>co en el nuevo siglo</w:t>
      </w:r>
      <w:r>
        <w:rPr>
          <w:color w:val="231F20"/>
          <w:sz w:val="21"/>
        </w:rPr>
        <w:t>, México:  </w:t>
      </w:r>
      <w:r>
        <w:rPr>
          <w:color w:val="231F20"/>
          <w:sz w:val="17"/>
        </w:rPr>
        <w:t>CONAPO</w:t>
      </w:r>
      <w:r>
        <w:rPr>
          <w:color w:val="231F20"/>
          <w:sz w:val="21"/>
        </w:rPr>
        <w:t>/</w:t>
      </w:r>
      <w:r>
        <w:rPr>
          <w:color w:val="231F20"/>
          <w:sz w:val="17"/>
        </w:rPr>
        <w:t>SEGOB</w:t>
      </w:r>
      <w:r>
        <w:rPr>
          <w:color w:val="231F20"/>
          <w:sz w:val="21"/>
        </w:rPr>
        <w:t>.</w:t>
      </w:r>
    </w:p>
    <w:p>
      <w:pPr>
        <w:pStyle w:val="BodyText"/>
        <w:tabs>
          <w:tab w:pos="2677" w:val="left" w:leader="none"/>
        </w:tabs>
        <w:spacing w:line="261" w:lineRule="auto"/>
        <w:ind w:left="2574" w:right="1716" w:hanging="738"/>
        <w:jc w:val="both"/>
      </w:pPr>
      <w:r>
        <w:rPr>
          <w:color w:val="231F20"/>
          <w:w w:val="94"/>
          <w:u w:val="single" w:color="221E1F"/>
        </w:rPr>
        <w:t> </w:t>
      </w:r>
      <w:r>
        <w:rPr>
          <w:color w:val="231F20"/>
          <w:u w:val="single" w:color="221E1F"/>
        </w:rPr>
        <w:tab/>
        <w:tab/>
      </w:r>
      <w:r>
        <w:rPr>
          <w:color w:val="231F20"/>
          <w:spacing w:val="17"/>
        </w:rPr>
        <w:t> </w:t>
      </w:r>
      <w:r>
        <w:rPr>
          <w:color w:val="231F20"/>
          <w:w w:val="105"/>
        </w:rPr>
        <w:t>(2010), Índice absoluto de intensidad migratori</w:t>
      </w:r>
      <w:r>
        <w:rPr>
          <w:rFonts w:ascii="Arial" w:hAnsi="Arial"/>
          <w:i/>
          <w:color w:val="231F20"/>
          <w:w w:val="105"/>
        </w:rPr>
        <w:t>a México</w:t>
      </w:r>
      <w:r>
        <w:rPr>
          <w:rFonts w:ascii="Arial" w:hAnsi="Arial"/>
          <w:i/>
          <w:color w:val="231F20"/>
          <w:spacing w:val="9"/>
          <w:w w:val="105"/>
        </w:rPr>
        <w:t> </w:t>
      </w:r>
      <w:r>
        <w:rPr>
          <w:rFonts w:ascii="Arial" w:hAnsi="Arial"/>
          <w:i/>
          <w:color w:val="231F20"/>
          <w:w w:val="105"/>
        </w:rPr>
        <w:t>a</w:t>
      </w:r>
      <w:r>
        <w:rPr>
          <w:rFonts w:ascii="Arial" w:hAnsi="Arial"/>
          <w:i/>
          <w:color w:val="231F20"/>
          <w:spacing w:val="-1"/>
          <w:w w:val="105"/>
        </w:rPr>
        <w:t> </w:t>
      </w:r>
      <w:r>
        <w:rPr>
          <w:rFonts w:ascii="Arial" w:hAnsi="Arial"/>
          <w:i/>
          <w:color w:val="231F20"/>
          <w:w w:val="105"/>
        </w:rPr>
        <w:t>Es-</w:t>
      </w:r>
      <w:r>
        <w:rPr>
          <w:rFonts w:ascii="Arial" w:hAnsi="Arial"/>
          <w:i/>
          <w:color w:val="231F20"/>
          <w:w w:val="96"/>
        </w:rPr>
        <w:t> </w:t>
      </w:r>
      <w:r>
        <w:rPr>
          <w:rFonts w:ascii="Arial" w:hAnsi="Arial"/>
          <w:i/>
          <w:color w:val="231F20"/>
          <w:w w:val="105"/>
        </w:rPr>
        <w:t>tados Unidos, 2000-2010</w:t>
      </w:r>
      <w:r>
        <w:rPr>
          <w:color w:val="231F20"/>
          <w:w w:val="105"/>
        </w:rPr>
        <w:t>, recuperado de http://www.conapo. gob.mx/work/models/OMI/Publicaciones/IAIM_MX_USA_2000- 2010/HTML/index.html#83/z</w:t>
      </w:r>
    </w:p>
    <w:p>
      <w:pPr>
        <w:spacing w:line="259" w:lineRule="auto" w:before="0"/>
        <w:ind w:left="2574" w:right="1716" w:hanging="738"/>
        <w:jc w:val="both"/>
        <w:rPr>
          <w:sz w:val="21"/>
        </w:rPr>
      </w:pPr>
      <w:r>
        <w:rPr>
          <w:color w:val="231F20"/>
          <w:w w:val="105"/>
          <w:sz w:val="21"/>
        </w:rPr>
        <w:t>Durand,</w:t>
      </w:r>
      <w:r>
        <w:rPr>
          <w:color w:val="231F20"/>
          <w:spacing w:val="-36"/>
          <w:w w:val="105"/>
          <w:sz w:val="21"/>
        </w:rPr>
        <w:t> </w:t>
      </w:r>
      <w:r>
        <w:rPr>
          <w:color w:val="231F20"/>
          <w:w w:val="105"/>
          <w:sz w:val="21"/>
        </w:rPr>
        <w:t>Jorge,</w:t>
      </w:r>
      <w:r>
        <w:rPr>
          <w:color w:val="231F20"/>
          <w:spacing w:val="-34"/>
          <w:w w:val="105"/>
          <w:sz w:val="21"/>
        </w:rPr>
        <w:t> </w:t>
      </w:r>
      <w:r>
        <w:rPr>
          <w:color w:val="231F20"/>
          <w:w w:val="105"/>
          <w:sz w:val="21"/>
        </w:rPr>
        <w:t>(1998),</w:t>
      </w:r>
      <w:r>
        <w:rPr>
          <w:color w:val="231F20"/>
          <w:spacing w:val="-34"/>
          <w:w w:val="105"/>
          <w:sz w:val="21"/>
        </w:rPr>
        <w:t> </w:t>
      </w:r>
      <w:r>
        <w:rPr>
          <w:rFonts w:ascii="Arial" w:hAnsi="Arial"/>
          <w:i/>
          <w:color w:val="231F20"/>
          <w:w w:val="105"/>
          <w:sz w:val="21"/>
        </w:rPr>
        <w:t>Política,</w:t>
      </w:r>
      <w:r>
        <w:rPr>
          <w:rFonts w:ascii="Arial" w:hAnsi="Arial"/>
          <w:i/>
          <w:color w:val="231F20"/>
          <w:spacing w:val="-37"/>
          <w:w w:val="105"/>
          <w:sz w:val="21"/>
        </w:rPr>
        <w:t> </w:t>
      </w:r>
      <w:r>
        <w:rPr>
          <w:rFonts w:ascii="Arial" w:hAnsi="Arial"/>
          <w:i/>
          <w:color w:val="231F20"/>
          <w:w w:val="105"/>
          <w:sz w:val="21"/>
        </w:rPr>
        <w:t>modelos</w:t>
      </w:r>
      <w:r>
        <w:rPr>
          <w:rFonts w:ascii="Arial" w:hAnsi="Arial"/>
          <w:i/>
          <w:color w:val="231F20"/>
          <w:spacing w:val="-34"/>
          <w:w w:val="105"/>
          <w:sz w:val="21"/>
        </w:rPr>
        <w:t> </w:t>
      </w:r>
      <w:r>
        <w:rPr>
          <w:rFonts w:ascii="Arial" w:hAnsi="Arial"/>
          <w:i/>
          <w:color w:val="231F20"/>
          <w:w w:val="105"/>
          <w:sz w:val="21"/>
        </w:rPr>
        <w:t>y</w:t>
      </w:r>
      <w:r>
        <w:rPr>
          <w:rFonts w:ascii="Arial" w:hAnsi="Arial"/>
          <w:i/>
          <w:color w:val="231F20"/>
          <w:spacing w:val="-34"/>
          <w:w w:val="105"/>
          <w:sz w:val="21"/>
        </w:rPr>
        <w:t> </w:t>
      </w:r>
      <w:r>
        <w:rPr>
          <w:rFonts w:ascii="Arial" w:hAnsi="Arial"/>
          <w:i/>
          <w:color w:val="231F20"/>
          <w:w w:val="105"/>
          <w:sz w:val="21"/>
        </w:rPr>
        <w:t>patrones</w:t>
      </w:r>
      <w:r>
        <w:rPr>
          <w:rFonts w:ascii="Arial" w:hAnsi="Arial"/>
          <w:i/>
          <w:color w:val="231F20"/>
          <w:spacing w:val="-34"/>
          <w:w w:val="105"/>
          <w:sz w:val="21"/>
        </w:rPr>
        <w:t> </w:t>
      </w:r>
      <w:r>
        <w:rPr>
          <w:rFonts w:ascii="Arial" w:hAnsi="Arial"/>
          <w:i/>
          <w:color w:val="231F20"/>
          <w:w w:val="105"/>
          <w:sz w:val="21"/>
        </w:rPr>
        <w:t>migratorios,</w:t>
      </w:r>
      <w:r>
        <w:rPr>
          <w:rFonts w:ascii="Arial" w:hAnsi="Arial"/>
          <w:i/>
          <w:color w:val="231F20"/>
          <w:spacing w:val="-37"/>
          <w:w w:val="105"/>
          <w:sz w:val="21"/>
        </w:rPr>
        <w:t> </w:t>
      </w:r>
      <w:r>
        <w:rPr>
          <w:rFonts w:ascii="Arial" w:hAnsi="Arial"/>
          <w:i/>
          <w:color w:val="231F20"/>
          <w:w w:val="105"/>
          <w:sz w:val="21"/>
        </w:rPr>
        <w:t>el</w:t>
      </w:r>
      <w:r>
        <w:rPr>
          <w:rFonts w:ascii="Arial" w:hAnsi="Arial"/>
          <w:i/>
          <w:color w:val="231F20"/>
          <w:spacing w:val="-34"/>
          <w:w w:val="105"/>
          <w:sz w:val="21"/>
        </w:rPr>
        <w:t> </w:t>
      </w:r>
      <w:r>
        <w:rPr>
          <w:rFonts w:ascii="Arial" w:hAnsi="Arial"/>
          <w:i/>
          <w:color w:val="231F20"/>
          <w:w w:val="105"/>
          <w:sz w:val="21"/>
        </w:rPr>
        <w:t>trabajo </w:t>
      </w:r>
      <w:r>
        <w:rPr>
          <w:rFonts w:ascii="Arial" w:hAnsi="Arial"/>
          <w:i/>
          <w:color w:val="231F20"/>
          <w:w w:val="105"/>
          <w:sz w:val="21"/>
        </w:rPr>
        <w:t>y</w:t>
      </w:r>
      <w:r>
        <w:rPr>
          <w:rFonts w:ascii="Arial" w:hAnsi="Arial"/>
          <w:i/>
          <w:color w:val="231F20"/>
          <w:spacing w:val="-32"/>
          <w:w w:val="105"/>
          <w:sz w:val="21"/>
        </w:rPr>
        <w:t> </w:t>
      </w:r>
      <w:r>
        <w:rPr>
          <w:rFonts w:ascii="Arial" w:hAnsi="Arial"/>
          <w:i/>
          <w:color w:val="231F20"/>
          <w:w w:val="105"/>
          <w:sz w:val="21"/>
        </w:rPr>
        <w:t>los</w:t>
      </w:r>
      <w:r>
        <w:rPr>
          <w:rFonts w:ascii="Arial" w:hAnsi="Arial"/>
          <w:i/>
          <w:color w:val="231F20"/>
          <w:spacing w:val="-32"/>
          <w:w w:val="105"/>
          <w:sz w:val="21"/>
        </w:rPr>
        <w:t> </w:t>
      </w:r>
      <w:r>
        <w:rPr>
          <w:rFonts w:ascii="Arial" w:hAnsi="Arial"/>
          <w:i/>
          <w:color w:val="231F20"/>
          <w:w w:val="105"/>
          <w:sz w:val="21"/>
        </w:rPr>
        <w:t>trabajadores</w:t>
      </w:r>
      <w:r>
        <w:rPr>
          <w:rFonts w:ascii="Arial" w:hAnsi="Arial"/>
          <w:i/>
          <w:color w:val="231F20"/>
          <w:spacing w:val="-32"/>
          <w:w w:val="105"/>
          <w:sz w:val="21"/>
        </w:rPr>
        <w:t> </w:t>
      </w:r>
      <w:r>
        <w:rPr>
          <w:rFonts w:ascii="Arial" w:hAnsi="Arial"/>
          <w:i/>
          <w:color w:val="231F20"/>
          <w:w w:val="105"/>
          <w:sz w:val="21"/>
        </w:rPr>
        <w:t>mexicanos</w:t>
      </w:r>
      <w:r>
        <w:rPr>
          <w:rFonts w:ascii="Arial" w:hAnsi="Arial"/>
          <w:i/>
          <w:color w:val="231F20"/>
          <w:spacing w:val="-32"/>
          <w:w w:val="105"/>
          <w:sz w:val="21"/>
        </w:rPr>
        <w:t> </w:t>
      </w:r>
      <w:r>
        <w:rPr>
          <w:rFonts w:ascii="Arial" w:hAnsi="Arial"/>
          <w:i/>
          <w:color w:val="231F20"/>
          <w:w w:val="105"/>
          <w:sz w:val="21"/>
        </w:rPr>
        <w:t>en</w:t>
      </w:r>
      <w:r>
        <w:rPr>
          <w:rFonts w:ascii="Arial" w:hAnsi="Arial"/>
          <w:i/>
          <w:color w:val="231F20"/>
          <w:spacing w:val="-32"/>
          <w:w w:val="105"/>
          <w:sz w:val="21"/>
        </w:rPr>
        <w:t> </w:t>
      </w:r>
      <w:r>
        <w:rPr>
          <w:rFonts w:ascii="Arial" w:hAnsi="Arial"/>
          <w:i/>
          <w:color w:val="231F20"/>
          <w:w w:val="105"/>
          <w:sz w:val="21"/>
        </w:rPr>
        <w:t>Estados</w:t>
      </w:r>
      <w:r>
        <w:rPr>
          <w:rFonts w:ascii="Arial" w:hAnsi="Arial"/>
          <w:i/>
          <w:color w:val="231F20"/>
          <w:spacing w:val="-32"/>
          <w:w w:val="105"/>
          <w:sz w:val="21"/>
        </w:rPr>
        <w:t> </w:t>
      </w:r>
      <w:r>
        <w:rPr>
          <w:rFonts w:ascii="Arial" w:hAnsi="Arial"/>
          <w:i/>
          <w:color w:val="231F20"/>
          <w:w w:val="105"/>
          <w:sz w:val="21"/>
        </w:rPr>
        <w:t>Unidos</w:t>
      </w:r>
      <w:r>
        <w:rPr>
          <w:color w:val="231F20"/>
          <w:w w:val="105"/>
          <w:sz w:val="21"/>
        </w:rPr>
        <w:t>,</w:t>
      </w:r>
      <w:r>
        <w:rPr>
          <w:color w:val="231F20"/>
          <w:spacing w:val="-32"/>
          <w:w w:val="105"/>
          <w:sz w:val="21"/>
        </w:rPr>
        <w:t> </w:t>
      </w:r>
      <w:r>
        <w:rPr>
          <w:color w:val="231F20"/>
          <w:w w:val="105"/>
          <w:sz w:val="21"/>
        </w:rPr>
        <w:t>San</w:t>
      </w:r>
      <w:r>
        <w:rPr>
          <w:color w:val="231F20"/>
          <w:spacing w:val="-29"/>
          <w:w w:val="105"/>
          <w:sz w:val="21"/>
        </w:rPr>
        <w:t> </w:t>
      </w:r>
      <w:r>
        <w:rPr>
          <w:color w:val="231F20"/>
          <w:w w:val="105"/>
          <w:sz w:val="21"/>
        </w:rPr>
        <w:t>Luis</w:t>
      </w:r>
      <w:r>
        <w:rPr>
          <w:color w:val="231F20"/>
          <w:spacing w:val="-29"/>
          <w:w w:val="105"/>
          <w:sz w:val="21"/>
        </w:rPr>
        <w:t> </w:t>
      </w:r>
      <w:r>
        <w:rPr>
          <w:color w:val="231F20"/>
          <w:spacing w:val="-3"/>
          <w:w w:val="105"/>
          <w:sz w:val="21"/>
        </w:rPr>
        <w:t>Potosí, </w:t>
      </w:r>
      <w:r>
        <w:rPr>
          <w:color w:val="231F20"/>
          <w:sz w:val="21"/>
        </w:rPr>
        <w:t>México:</w:t>
      </w:r>
      <w:r>
        <w:rPr>
          <w:color w:val="231F20"/>
          <w:spacing w:val="18"/>
          <w:sz w:val="21"/>
        </w:rPr>
        <w:t> </w:t>
      </w:r>
      <w:r>
        <w:rPr>
          <w:color w:val="231F20"/>
          <w:sz w:val="17"/>
        </w:rPr>
        <w:t>COLSAN</w:t>
      </w:r>
      <w:r>
        <w:rPr>
          <w:color w:val="231F20"/>
          <w:sz w:val="21"/>
        </w:rPr>
        <w:t>.</w:t>
      </w:r>
    </w:p>
    <w:p>
      <w:pPr>
        <w:spacing w:line="259" w:lineRule="auto" w:before="0"/>
        <w:ind w:left="2574" w:right="1721" w:hanging="737"/>
        <w:jc w:val="both"/>
        <w:rPr>
          <w:sz w:val="21"/>
        </w:rPr>
      </w:pPr>
      <w:r>
        <w:rPr>
          <w:color w:val="231F20"/>
          <w:sz w:val="21"/>
        </w:rPr>
        <w:t>Echeverri, Rafael y Sotomayor, Octavio, (2010), </w:t>
      </w:r>
      <w:r>
        <w:rPr>
          <w:rFonts w:ascii="Arial" w:hAnsi="Arial"/>
          <w:i/>
          <w:color w:val="231F20"/>
          <w:sz w:val="21"/>
        </w:rPr>
        <w:t>Estrategias de gestión te- </w:t>
      </w:r>
      <w:r>
        <w:rPr>
          <w:rFonts w:ascii="Arial" w:hAnsi="Arial"/>
          <w:i/>
          <w:color w:val="231F20"/>
          <w:sz w:val="21"/>
        </w:rPr>
        <w:t>rritorial rural en las políticas públicas en Iberoamérica</w:t>
      </w:r>
      <w:r>
        <w:rPr>
          <w:color w:val="231F20"/>
          <w:sz w:val="21"/>
        </w:rPr>
        <w:t>, Chile: </w:t>
      </w:r>
      <w:r>
        <w:rPr>
          <w:color w:val="231F20"/>
          <w:sz w:val="17"/>
        </w:rPr>
        <w:t>CE- PAL</w:t>
      </w:r>
      <w:r>
        <w:rPr>
          <w:color w:val="231F20"/>
          <w:sz w:val="21"/>
        </w:rPr>
        <w:t>.</w:t>
      </w:r>
    </w:p>
    <w:p>
      <w:pPr>
        <w:pStyle w:val="BodyText"/>
        <w:spacing w:line="261" w:lineRule="auto" w:before="3"/>
        <w:ind w:left="2574" w:right="1711" w:hanging="738"/>
        <w:jc w:val="both"/>
      </w:pPr>
      <w:r>
        <w:rPr>
          <w:color w:val="231F20"/>
          <w:w w:val="105"/>
        </w:rPr>
        <w:t>Encuesta</w:t>
      </w:r>
      <w:r>
        <w:rPr>
          <w:color w:val="231F20"/>
          <w:spacing w:val="-17"/>
          <w:w w:val="105"/>
        </w:rPr>
        <w:t> </w:t>
      </w:r>
      <w:r>
        <w:rPr>
          <w:color w:val="231F20"/>
          <w:w w:val="105"/>
        </w:rPr>
        <w:t>sobre</w:t>
      </w:r>
      <w:r>
        <w:rPr>
          <w:color w:val="231F20"/>
          <w:spacing w:val="-17"/>
          <w:w w:val="105"/>
        </w:rPr>
        <w:t> </w:t>
      </w:r>
      <w:r>
        <w:rPr>
          <w:color w:val="231F20"/>
          <w:w w:val="105"/>
        </w:rPr>
        <w:t>Migración</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Frontera</w:t>
      </w:r>
      <w:r>
        <w:rPr>
          <w:color w:val="231F20"/>
          <w:spacing w:val="-17"/>
          <w:w w:val="105"/>
        </w:rPr>
        <w:t> </w:t>
      </w:r>
      <w:r>
        <w:rPr>
          <w:color w:val="231F20"/>
          <w:w w:val="105"/>
        </w:rPr>
        <w:t>Norte</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w w:val="105"/>
        </w:rPr>
        <w:t>(</w:t>
      </w:r>
      <w:r>
        <w:rPr>
          <w:color w:val="231F20"/>
          <w:w w:val="105"/>
          <w:sz w:val="17"/>
        </w:rPr>
        <w:t>EMIF</w:t>
      </w:r>
      <w:r>
        <w:rPr>
          <w:color w:val="231F20"/>
          <w:w w:val="105"/>
        </w:rPr>
        <w:t>),</w:t>
      </w:r>
      <w:r>
        <w:rPr>
          <w:color w:val="231F20"/>
          <w:spacing w:val="-21"/>
          <w:w w:val="105"/>
        </w:rPr>
        <w:t> </w:t>
      </w:r>
      <w:r>
        <w:rPr>
          <w:color w:val="231F20"/>
          <w:w w:val="105"/>
        </w:rPr>
        <w:t>(2010), </w:t>
      </w:r>
      <w:r>
        <w:rPr>
          <w:rFonts w:ascii="Arial" w:hAnsi="Arial"/>
          <w:i/>
          <w:color w:val="231F20"/>
          <w:w w:val="105"/>
        </w:rPr>
        <w:t>Serie anualizada 2003 a 2010</w:t>
      </w:r>
      <w:r>
        <w:rPr>
          <w:color w:val="231F20"/>
          <w:w w:val="105"/>
        </w:rPr>
        <w:t>, recuperado de http://www.colef. </w:t>
      </w:r>
      <w:r>
        <w:rPr>
          <w:color w:val="231F20"/>
          <w:spacing w:val="4"/>
          <w:w w:val="105"/>
        </w:rPr>
        <w:t>net/emif/resultados/publicaciones/publicacionesnte/pubnte/ </w:t>
      </w:r>
      <w:r>
        <w:rPr>
          <w:color w:val="231F20"/>
          <w:w w:val="105"/>
        </w:rPr>
        <w:t>EMIF%20NORTE%202010.pdf</w:t>
      </w:r>
    </w:p>
    <w:p>
      <w:pPr>
        <w:spacing w:line="259" w:lineRule="auto" w:before="0"/>
        <w:ind w:left="2574" w:right="1721" w:hanging="738"/>
        <w:jc w:val="both"/>
        <w:rPr>
          <w:sz w:val="21"/>
        </w:rPr>
      </w:pPr>
      <w:r>
        <w:rPr>
          <w:color w:val="231F20"/>
          <w:w w:val="105"/>
          <w:sz w:val="21"/>
        </w:rPr>
        <w:t>Enríquez</w:t>
      </w:r>
      <w:r>
        <w:rPr>
          <w:color w:val="231F20"/>
          <w:spacing w:val="-23"/>
          <w:w w:val="105"/>
          <w:sz w:val="21"/>
        </w:rPr>
        <w:t> </w:t>
      </w:r>
      <w:r>
        <w:rPr>
          <w:color w:val="231F20"/>
          <w:w w:val="105"/>
          <w:sz w:val="21"/>
        </w:rPr>
        <w:t>Villacorta,</w:t>
      </w:r>
      <w:r>
        <w:rPr>
          <w:color w:val="231F20"/>
          <w:spacing w:val="-27"/>
          <w:w w:val="105"/>
          <w:sz w:val="21"/>
        </w:rPr>
        <w:t> </w:t>
      </w:r>
      <w:r>
        <w:rPr>
          <w:color w:val="231F20"/>
          <w:w w:val="105"/>
          <w:sz w:val="21"/>
        </w:rPr>
        <w:t>Alberto,</w:t>
      </w:r>
      <w:r>
        <w:rPr>
          <w:color w:val="231F20"/>
          <w:spacing w:val="-25"/>
          <w:w w:val="105"/>
          <w:sz w:val="21"/>
        </w:rPr>
        <w:t> </w:t>
      </w:r>
      <w:r>
        <w:rPr>
          <w:color w:val="231F20"/>
          <w:w w:val="105"/>
          <w:sz w:val="21"/>
        </w:rPr>
        <w:t>(2008),</w:t>
      </w:r>
      <w:r>
        <w:rPr>
          <w:color w:val="231F20"/>
          <w:spacing w:val="-25"/>
          <w:w w:val="105"/>
          <w:sz w:val="21"/>
        </w:rPr>
        <w:t> </w:t>
      </w:r>
      <w:r>
        <w:rPr>
          <w:rFonts w:ascii="Arial" w:hAnsi="Arial"/>
          <w:i/>
          <w:color w:val="231F20"/>
          <w:w w:val="105"/>
          <w:sz w:val="21"/>
        </w:rPr>
        <w:t>Desarrollo</w:t>
      </w:r>
      <w:r>
        <w:rPr>
          <w:rFonts w:ascii="Arial" w:hAnsi="Arial"/>
          <w:i/>
          <w:color w:val="231F20"/>
          <w:spacing w:val="-23"/>
          <w:w w:val="105"/>
          <w:sz w:val="21"/>
        </w:rPr>
        <w:t> </w:t>
      </w:r>
      <w:r>
        <w:rPr>
          <w:rFonts w:ascii="Arial" w:hAnsi="Arial"/>
          <w:i/>
          <w:color w:val="231F20"/>
          <w:w w:val="105"/>
          <w:sz w:val="21"/>
        </w:rPr>
        <w:t>regional:</w:t>
      </w:r>
      <w:r>
        <w:rPr>
          <w:rFonts w:ascii="Arial" w:hAnsi="Arial"/>
          <w:i/>
          <w:color w:val="231F20"/>
          <w:spacing w:val="-23"/>
          <w:w w:val="105"/>
          <w:sz w:val="21"/>
        </w:rPr>
        <w:t> </w:t>
      </w:r>
      <w:r>
        <w:rPr>
          <w:rFonts w:ascii="Arial" w:hAnsi="Arial"/>
          <w:i/>
          <w:color w:val="231F20"/>
          <w:w w:val="105"/>
          <w:sz w:val="21"/>
        </w:rPr>
        <w:t>reflexiones</w:t>
      </w:r>
      <w:r>
        <w:rPr>
          <w:rFonts w:ascii="Arial" w:hAnsi="Arial"/>
          <w:i/>
          <w:color w:val="231F20"/>
          <w:spacing w:val="-23"/>
          <w:w w:val="105"/>
          <w:sz w:val="21"/>
        </w:rPr>
        <w:t> </w:t>
      </w:r>
      <w:r>
        <w:rPr>
          <w:rFonts w:ascii="Arial" w:hAnsi="Arial"/>
          <w:i/>
          <w:color w:val="231F20"/>
          <w:w w:val="105"/>
          <w:sz w:val="21"/>
        </w:rPr>
        <w:t>para </w:t>
      </w:r>
      <w:r>
        <w:rPr>
          <w:rFonts w:ascii="Arial" w:hAnsi="Arial"/>
          <w:i/>
          <w:color w:val="231F20"/>
          <w:w w:val="105"/>
          <w:sz w:val="21"/>
        </w:rPr>
        <w:t>la</w:t>
      </w:r>
      <w:r>
        <w:rPr>
          <w:rFonts w:ascii="Arial" w:hAnsi="Arial"/>
          <w:i/>
          <w:color w:val="231F20"/>
          <w:spacing w:val="-19"/>
          <w:w w:val="105"/>
          <w:sz w:val="21"/>
        </w:rPr>
        <w:t> </w:t>
      </w:r>
      <w:r>
        <w:rPr>
          <w:rFonts w:ascii="Arial" w:hAnsi="Arial"/>
          <w:i/>
          <w:color w:val="231F20"/>
          <w:w w:val="105"/>
          <w:sz w:val="21"/>
        </w:rPr>
        <w:t>gestión</w:t>
      </w:r>
      <w:r>
        <w:rPr>
          <w:rFonts w:ascii="Arial" w:hAnsi="Arial"/>
          <w:i/>
          <w:color w:val="231F20"/>
          <w:spacing w:val="-19"/>
          <w:w w:val="105"/>
          <w:sz w:val="21"/>
        </w:rPr>
        <w:t> </w:t>
      </w:r>
      <w:r>
        <w:rPr>
          <w:rFonts w:ascii="Arial" w:hAnsi="Arial"/>
          <w:i/>
          <w:color w:val="231F20"/>
          <w:w w:val="105"/>
          <w:sz w:val="21"/>
        </w:rPr>
        <w:t>de</w:t>
      </w:r>
      <w:r>
        <w:rPr>
          <w:rFonts w:ascii="Arial" w:hAnsi="Arial"/>
          <w:i/>
          <w:color w:val="231F20"/>
          <w:spacing w:val="-19"/>
          <w:w w:val="105"/>
          <w:sz w:val="21"/>
        </w:rPr>
        <w:t> </w:t>
      </w:r>
      <w:r>
        <w:rPr>
          <w:rFonts w:ascii="Arial" w:hAnsi="Arial"/>
          <w:i/>
          <w:color w:val="231F20"/>
          <w:w w:val="105"/>
          <w:sz w:val="21"/>
        </w:rPr>
        <w:t>los</w:t>
      </w:r>
      <w:r>
        <w:rPr>
          <w:rFonts w:ascii="Arial" w:hAnsi="Arial"/>
          <w:i/>
          <w:color w:val="231F20"/>
          <w:spacing w:val="-19"/>
          <w:w w:val="105"/>
          <w:sz w:val="21"/>
        </w:rPr>
        <w:t> </w:t>
      </w:r>
      <w:r>
        <w:rPr>
          <w:rFonts w:ascii="Arial" w:hAnsi="Arial"/>
          <w:i/>
          <w:color w:val="231F20"/>
          <w:w w:val="105"/>
          <w:sz w:val="21"/>
        </w:rPr>
        <w:t>territorios</w:t>
      </w:r>
      <w:r>
        <w:rPr>
          <w:color w:val="231F20"/>
          <w:w w:val="105"/>
          <w:sz w:val="21"/>
        </w:rPr>
        <w:t>,</w:t>
      </w:r>
      <w:r>
        <w:rPr>
          <w:color w:val="231F20"/>
          <w:spacing w:val="-22"/>
          <w:w w:val="105"/>
          <w:sz w:val="21"/>
        </w:rPr>
        <w:t> </w:t>
      </w:r>
      <w:r>
        <w:rPr>
          <w:color w:val="231F20"/>
          <w:w w:val="105"/>
          <w:sz w:val="21"/>
        </w:rPr>
        <w:t>México:</w:t>
      </w:r>
      <w:r>
        <w:rPr>
          <w:color w:val="231F20"/>
          <w:spacing w:val="-17"/>
          <w:w w:val="105"/>
          <w:sz w:val="21"/>
        </w:rPr>
        <w:t> </w:t>
      </w:r>
      <w:r>
        <w:rPr>
          <w:color w:val="231F20"/>
          <w:w w:val="105"/>
          <w:sz w:val="21"/>
        </w:rPr>
        <w:t>MC</w:t>
      </w:r>
      <w:r>
        <w:rPr>
          <w:color w:val="231F20"/>
          <w:spacing w:val="-17"/>
          <w:w w:val="105"/>
          <w:sz w:val="21"/>
        </w:rPr>
        <w:t> </w:t>
      </w:r>
      <w:r>
        <w:rPr>
          <w:color w:val="231F20"/>
          <w:w w:val="105"/>
          <w:sz w:val="21"/>
        </w:rPr>
        <w:t>Editores.</w:t>
      </w:r>
    </w:p>
    <w:p>
      <w:pPr>
        <w:pStyle w:val="BodyText"/>
        <w:spacing w:line="261" w:lineRule="auto"/>
        <w:ind w:left="2574" w:right="1715" w:hanging="738"/>
        <w:jc w:val="both"/>
      </w:pPr>
      <w:r>
        <w:rPr/>
        <w:pict>
          <v:line style="position:absolute;mso-position-horizontal-relative:page;mso-position-vertical-relative:paragraph;z-index:-452536" from="15pt,95.634178pt" to="0pt,95.634178pt" stroked="true" strokeweight=".25pt" strokecolor="#000000">
            <w10:wrap type="none"/>
          </v:line>
        </w:pict>
      </w:r>
      <w:r>
        <w:rPr/>
        <w:pict>
          <v:line style="position:absolute;mso-position-horizontal-relative:page;mso-position-vertical-relative:paragraph;z-index:37672" from="508.890015pt,95.634178pt" to="523.890015pt,95.634178pt" stroked="true" strokeweight=".25pt" strokecolor="#000000">
            <w10:wrap type="none"/>
          </v:line>
        </w:pict>
      </w:r>
      <w:r>
        <w:rPr>
          <w:color w:val="231F20"/>
          <w:w w:val="105"/>
        </w:rPr>
        <w:t>Giménez,</w:t>
      </w:r>
      <w:r>
        <w:rPr>
          <w:color w:val="231F20"/>
          <w:spacing w:val="-29"/>
          <w:w w:val="105"/>
        </w:rPr>
        <w:t> </w:t>
      </w:r>
      <w:r>
        <w:rPr>
          <w:color w:val="231F20"/>
          <w:w w:val="105"/>
        </w:rPr>
        <w:t>Gilberto,</w:t>
      </w:r>
      <w:r>
        <w:rPr>
          <w:color w:val="231F20"/>
          <w:spacing w:val="-29"/>
          <w:w w:val="105"/>
        </w:rPr>
        <w:t> </w:t>
      </w:r>
      <w:r>
        <w:rPr>
          <w:color w:val="231F20"/>
          <w:w w:val="105"/>
        </w:rPr>
        <w:t>(2001),</w:t>
      </w:r>
      <w:r>
        <w:rPr>
          <w:color w:val="231F20"/>
          <w:spacing w:val="-29"/>
          <w:w w:val="105"/>
        </w:rPr>
        <w:t> </w:t>
      </w:r>
      <w:r>
        <w:rPr>
          <w:color w:val="231F20"/>
          <w:w w:val="105"/>
        </w:rPr>
        <w:t>“Cultura,</w:t>
      </w:r>
      <w:r>
        <w:rPr>
          <w:color w:val="231F20"/>
          <w:spacing w:val="-29"/>
          <w:w w:val="105"/>
        </w:rPr>
        <w:t> </w:t>
      </w:r>
      <w:r>
        <w:rPr>
          <w:color w:val="231F20"/>
          <w:w w:val="105"/>
        </w:rPr>
        <w:t>territorio</w:t>
      </w:r>
      <w:r>
        <w:rPr>
          <w:color w:val="231F20"/>
          <w:spacing w:val="-24"/>
          <w:w w:val="105"/>
        </w:rPr>
        <w:t> </w:t>
      </w:r>
      <w:r>
        <w:rPr>
          <w:color w:val="231F20"/>
          <w:w w:val="105"/>
        </w:rPr>
        <w:t>y</w:t>
      </w:r>
      <w:r>
        <w:rPr>
          <w:color w:val="231F20"/>
          <w:spacing w:val="-24"/>
          <w:w w:val="105"/>
        </w:rPr>
        <w:t> </w:t>
      </w:r>
      <w:r>
        <w:rPr>
          <w:color w:val="231F20"/>
          <w:spacing w:val="-3"/>
          <w:w w:val="105"/>
        </w:rPr>
        <w:t>migraciones”,</w:t>
      </w:r>
      <w:r>
        <w:rPr>
          <w:color w:val="231F20"/>
          <w:spacing w:val="-29"/>
          <w:w w:val="105"/>
        </w:rPr>
        <w:t> </w:t>
      </w:r>
      <w:r>
        <w:rPr>
          <w:rFonts w:ascii="Arial" w:hAnsi="Arial"/>
          <w:i/>
          <w:color w:val="231F20"/>
          <w:w w:val="105"/>
        </w:rPr>
        <w:t>Alteridades</w:t>
      </w:r>
      <w:r>
        <w:rPr>
          <w:color w:val="231F20"/>
          <w:w w:val="105"/>
        </w:rPr>
        <w:t>, núm.</w:t>
      </w:r>
      <w:r>
        <w:rPr>
          <w:color w:val="231F20"/>
          <w:spacing w:val="-23"/>
          <w:w w:val="105"/>
        </w:rPr>
        <w:t> </w:t>
      </w:r>
      <w:r>
        <w:rPr>
          <w:color w:val="231F20"/>
          <w:w w:val="105"/>
        </w:rPr>
        <w:t>11,</w:t>
      </w:r>
      <w:r>
        <w:rPr>
          <w:color w:val="231F20"/>
          <w:spacing w:val="-23"/>
          <w:w w:val="105"/>
        </w:rPr>
        <w:t> </w:t>
      </w:r>
      <w:r>
        <w:rPr>
          <w:color w:val="231F20"/>
          <w:w w:val="105"/>
        </w:rPr>
        <w:t>vo.l</w:t>
      </w:r>
      <w:r>
        <w:rPr>
          <w:color w:val="231F20"/>
          <w:spacing w:val="-19"/>
          <w:w w:val="105"/>
        </w:rPr>
        <w:t> </w:t>
      </w:r>
      <w:r>
        <w:rPr>
          <w:color w:val="231F20"/>
          <w:w w:val="105"/>
        </w:rPr>
        <w:t>22.</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line="261" w:lineRule="auto" w:before="0"/>
        <w:ind w:left="2460" w:right="1835" w:hanging="737"/>
        <w:jc w:val="both"/>
        <w:rPr>
          <w:sz w:val="21"/>
        </w:rPr>
      </w:pPr>
      <w:r>
        <w:rPr/>
        <w:pict>
          <v:line style="position:absolute;mso-position-horizontal-relative:page;mso-position-vertical-relative:paragraph;z-index:37720" from="15pt,-71.51725pt" to="0pt,-71.51725pt" stroked="true" strokeweight=".25pt" strokecolor="#000000">
            <w10:wrap type="none"/>
          </v:line>
        </w:pict>
      </w:r>
      <w:r>
        <w:rPr/>
        <w:pict>
          <v:line style="position:absolute;mso-position-horizontal-relative:page;mso-position-vertical-relative:paragraph;z-index:37744" from="508.890015pt,-71.51725pt" to="523.890015pt,-71.51725pt" stroked="true" strokeweight=".25pt" strokecolor="#000000">
            <w10:wrap type="none"/>
          </v:line>
        </w:pict>
      </w:r>
      <w:r>
        <w:rPr>
          <w:color w:val="231F20"/>
          <w:w w:val="105"/>
          <w:sz w:val="21"/>
        </w:rPr>
        <w:t>Gobierno</w:t>
      </w:r>
      <w:r>
        <w:rPr>
          <w:color w:val="231F20"/>
          <w:spacing w:val="-5"/>
          <w:w w:val="105"/>
          <w:sz w:val="21"/>
        </w:rPr>
        <w:t> </w:t>
      </w:r>
      <w:r>
        <w:rPr>
          <w:color w:val="231F20"/>
          <w:w w:val="105"/>
          <w:sz w:val="21"/>
        </w:rPr>
        <w:t>del</w:t>
      </w:r>
      <w:r>
        <w:rPr>
          <w:color w:val="231F20"/>
          <w:spacing w:val="-5"/>
          <w:w w:val="105"/>
          <w:sz w:val="21"/>
        </w:rPr>
        <w:t> </w:t>
      </w:r>
      <w:r>
        <w:rPr>
          <w:color w:val="231F20"/>
          <w:w w:val="105"/>
          <w:sz w:val="21"/>
        </w:rPr>
        <w:t>Estado</w:t>
      </w:r>
      <w:r>
        <w:rPr>
          <w:color w:val="231F20"/>
          <w:spacing w:val="-5"/>
          <w:w w:val="105"/>
          <w:sz w:val="21"/>
        </w:rPr>
        <w:t> </w:t>
      </w:r>
      <w:r>
        <w:rPr>
          <w:color w:val="231F20"/>
          <w:w w:val="105"/>
          <w:sz w:val="21"/>
        </w:rPr>
        <w:t>de</w:t>
      </w:r>
      <w:r>
        <w:rPr>
          <w:color w:val="231F20"/>
          <w:spacing w:val="-5"/>
          <w:w w:val="105"/>
          <w:sz w:val="21"/>
        </w:rPr>
        <w:t> </w:t>
      </w:r>
      <w:r>
        <w:rPr>
          <w:color w:val="231F20"/>
          <w:w w:val="105"/>
          <w:sz w:val="21"/>
        </w:rPr>
        <w:t>México</w:t>
      </w:r>
      <w:r>
        <w:rPr>
          <w:color w:val="231F20"/>
          <w:spacing w:val="-5"/>
          <w:w w:val="105"/>
          <w:sz w:val="21"/>
        </w:rPr>
        <w:t> </w:t>
      </w:r>
      <w:r>
        <w:rPr>
          <w:color w:val="231F20"/>
          <w:w w:val="105"/>
          <w:sz w:val="21"/>
        </w:rPr>
        <w:t>(</w:t>
      </w:r>
      <w:r>
        <w:rPr>
          <w:color w:val="231F20"/>
          <w:w w:val="105"/>
          <w:sz w:val="17"/>
        </w:rPr>
        <w:t>GEM</w:t>
      </w:r>
      <w:r>
        <w:rPr>
          <w:color w:val="231F20"/>
          <w:w w:val="105"/>
          <w:sz w:val="21"/>
        </w:rPr>
        <w:t>),</w:t>
      </w:r>
      <w:r>
        <w:rPr>
          <w:color w:val="231F20"/>
          <w:spacing w:val="-10"/>
          <w:w w:val="105"/>
          <w:sz w:val="21"/>
        </w:rPr>
        <w:t> </w:t>
      </w:r>
      <w:r>
        <w:rPr>
          <w:color w:val="231F20"/>
          <w:w w:val="105"/>
          <w:sz w:val="21"/>
        </w:rPr>
        <w:t>(2011),</w:t>
      </w:r>
      <w:r>
        <w:rPr>
          <w:color w:val="231F20"/>
          <w:spacing w:val="-10"/>
          <w:w w:val="105"/>
          <w:sz w:val="21"/>
        </w:rPr>
        <w:t> </w:t>
      </w:r>
      <w:r>
        <w:rPr>
          <w:rFonts w:ascii="Arial" w:hAnsi="Arial"/>
          <w:i/>
          <w:color w:val="231F20"/>
          <w:w w:val="105"/>
          <w:sz w:val="21"/>
        </w:rPr>
        <w:t>Informe</w:t>
      </w:r>
      <w:r>
        <w:rPr>
          <w:rFonts w:ascii="Arial" w:hAnsi="Arial"/>
          <w:i/>
          <w:color w:val="231F20"/>
          <w:spacing w:val="-8"/>
          <w:w w:val="105"/>
          <w:sz w:val="21"/>
        </w:rPr>
        <w:t> </w:t>
      </w:r>
      <w:r>
        <w:rPr>
          <w:rFonts w:ascii="Arial" w:hAnsi="Arial"/>
          <w:i/>
          <w:color w:val="231F20"/>
          <w:w w:val="105"/>
          <w:sz w:val="21"/>
        </w:rPr>
        <w:t>del</w:t>
      </w:r>
      <w:r>
        <w:rPr>
          <w:rFonts w:ascii="Arial" w:hAnsi="Arial"/>
          <w:i/>
          <w:color w:val="231F20"/>
          <w:spacing w:val="-8"/>
          <w:w w:val="105"/>
          <w:sz w:val="21"/>
        </w:rPr>
        <w:t> </w:t>
      </w:r>
      <w:r>
        <w:rPr>
          <w:rFonts w:ascii="Arial" w:hAnsi="Arial"/>
          <w:i/>
          <w:color w:val="231F20"/>
          <w:spacing w:val="-3"/>
          <w:w w:val="105"/>
          <w:sz w:val="21"/>
        </w:rPr>
        <w:t>Programa</w:t>
      </w:r>
      <w:r>
        <w:rPr>
          <w:rFonts w:ascii="Arial" w:hAnsi="Arial"/>
          <w:i/>
          <w:color w:val="231F20"/>
          <w:spacing w:val="-8"/>
          <w:w w:val="105"/>
          <w:sz w:val="21"/>
        </w:rPr>
        <w:t> </w:t>
      </w:r>
      <w:r>
        <w:rPr>
          <w:rFonts w:ascii="Arial" w:hAnsi="Arial"/>
          <w:i/>
          <w:color w:val="231F20"/>
          <w:w w:val="105"/>
          <w:sz w:val="21"/>
        </w:rPr>
        <w:t>de </w:t>
      </w:r>
      <w:r>
        <w:rPr>
          <w:rFonts w:ascii="Arial" w:hAnsi="Arial"/>
          <w:i/>
          <w:color w:val="231F20"/>
          <w:w w:val="105"/>
          <w:sz w:val="21"/>
        </w:rPr>
        <w:t>Desarrollo Regional 2006-2011</w:t>
      </w:r>
      <w:r>
        <w:rPr>
          <w:color w:val="231F20"/>
          <w:w w:val="105"/>
          <w:sz w:val="21"/>
        </w:rPr>
        <w:t>, recuperado de </w:t>
      </w:r>
      <w:hyperlink r:id="rId335">
        <w:r>
          <w:rPr>
            <w:color w:val="231F20"/>
            <w:w w:val="105"/>
            <w:sz w:val="21"/>
          </w:rPr>
          <w:t>http://portal2.</w:t>
        </w:r>
      </w:hyperlink>
      <w:r>
        <w:rPr>
          <w:color w:val="231F20"/>
          <w:w w:val="105"/>
          <w:sz w:val="21"/>
        </w:rPr>
        <w:t> </w:t>
      </w:r>
      <w:r>
        <w:rPr>
          <w:color w:val="231F20"/>
          <w:spacing w:val="2"/>
          <w:w w:val="105"/>
          <w:sz w:val="21"/>
        </w:rPr>
        <w:t>edomex.gob.mx/copladem/programas/regionales/groups/pu- </w:t>
      </w:r>
      <w:r>
        <w:rPr>
          <w:color w:val="231F20"/>
          <w:w w:val="105"/>
          <w:sz w:val="21"/>
        </w:rPr>
        <w:t>blic/documents/edomex_archivo/copladem_pdf</w:t>
      </w:r>
    </w:p>
    <w:p>
      <w:pPr>
        <w:spacing w:line="259" w:lineRule="auto" w:before="0"/>
        <w:ind w:left="2460" w:right="1835" w:hanging="738"/>
        <w:jc w:val="both"/>
        <w:rPr>
          <w:sz w:val="21"/>
        </w:rPr>
      </w:pPr>
      <w:r>
        <w:rPr>
          <w:color w:val="231F20"/>
          <w:w w:val="105"/>
          <w:sz w:val="21"/>
        </w:rPr>
        <w:t>González</w:t>
      </w:r>
      <w:r>
        <w:rPr>
          <w:color w:val="231F20"/>
          <w:spacing w:val="-32"/>
          <w:w w:val="105"/>
          <w:sz w:val="21"/>
        </w:rPr>
        <w:t> </w:t>
      </w:r>
      <w:r>
        <w:rPr>
          <w:color w:val="231F20"/>
          <w:w w:val="105"/>
          <w:sz w:val="21"/>
        </w:rPr>
        <w:t>Becerril,</w:t>
      </w:r>
      <w:r>
        <w:rPr>
          <w:color w:val="231F20"/>
          <w:spacing w:val="-35"/>
          <w:w w:val="105"/>
          <w:sz w:val="21"/>
        </w:rPr>
        <w:t> </w:t>
      </w:r>
      <w:r>
        <w:rPr>
          <w:color w:val="231F20"/>
          <w:w w:val="105"/>
          <w:sz w:val="21"/>
        </w:rPr>
        <w:t>Gabino</w:t>
      </w:r>
      <w:r>
        <w:rPr>
          <w:color w:val="231F20"/>
          <w:spacing w:val="-33"/>
          <w:w w:val="105"/>
          <w:sz w:val="21"/>
        </w:rPr>
        <w:t> </w:t>
      </w:r>
      <w:r>
        <w:rPr>
          <w:color w:val="231F20"/>
          <w:w w:val="105"/>
          <w:sz w:val="21"/>
        </w:rPr>
        <w:t>Juan,</w:t>
      </w:r>
      <w:r>
        <w:rPr>
          <w:color w:val="231F20"/>
          <w:spacing w:val="-35"/>
          <w:w w:val="105"/>
          <w:sz w:val="21"/>
        </w:rPr>
        <w:t> </w:t>
      </w:r>
      <w:r>
        <w:rPr>
          <w:color w:val="231F20"/>
          <w:w w:val="105"/>
          <w:sz w:val="21"/>
        </w:rPr>
        <w:t>(2002),</w:t>
      </w:r>
      <w:r>
        <w:rPr>
          <w:color w:val="231F20"/>
          <w:spacing w:val="-35"/>
          <w:w w:val="105"/>
          <w:sz w:val="21"/>
        </w:rPr>
        <w:t> </w:t>
      </w:r>
      <w:r>
        <w:rPr>
          <w:rFonts w:ascii="Arial" w:hAnsi="Arial"/>
          <w:i/>
          <w:color w:val="231F20"/>
          <w:w w:val="105"/>
          <w:sz w:val="21"/>
        </w:rPr>
        <w:t>Migración</w:t>
      </w:r>
      <w:r>
        <w:rPr>
          <w:rFonts w:ascii="Arial" w:hAnsi="Arial"/>
          <w:i/>
          <w:color w:val="231F20"/>
          <w:spacing w:val="-35"/>
          <w:w w:val="105"/>
          <w:sz w:val="21"/>
        </w:rPr>
        <w:t> </w:t>
      </w:r>
      <w:r>
        <w:rPr>
          <w:rFonts w:ascii="Arial" w:hAnsi="Arial"/>
          <w:i/>
          <w:color w:val="231F20"/>
          <w:w w:val="105"/>
          <w:sz w:val="21"/>
        </w:rPr>
        <w:t>internacional</w:t>
      </w:r>
      <w:r>
        <w:rPr>
          <w:rFonts w:ascii="Arial" w:hAnsi="Arial"/>
          <w:i/>
          <w:color w:val="231F20"/>
          <w:spacing w:val="-35"/>
          <w:w w:val="105"/>
          <w:sz w:val="21"/>
        </w:rPr>
        <w:t> </w:t>
      </w:r>
      <w:r>
        <w:rPr>
          <w:rFonts w:ascii="Arial" w:hAnsi="Arial"/>
          <w:i/>
          <w:color w:val="231F20"/>
          <w:w w:val="105"/>
          <w:sz w:val="21"/>
        </w:rPr>
        <w:t>del</w:t>
      </w:r>
      <w:r>
        <w:rPr>
          <w:rFonts w:ascii="Arial" w:hAnsi="Arial"/>
          <w:i/>
          <w:color w:val="231F20"/>
          <w:spacing w:val="-35"/>
          <w:w w:val="105"/>
          <w:sz w:val="21"/>
        </w:rPr>
        <w:t> </w:t>
      </w:r>
      <w:r>
        <w:rPr>
          <w:rFonts w:ascii="Arial" w:hAnsi="Arial"/>
          <w:i/>
          <w:color w:val="231F20"/>
          <w:w w:val="105"/>
          <w:sz w:val="21"/>
        </w:rPr>
        <w:t>Esta- </w:t>
      </w:r>
      <w:r>
        <w:rPr>
          <w:rFonts w:ascii="Arial" w:hAnsi="Arial"/>
          <w:i/>
          <w:color w:val="231F20"/>
          <w:w w:val="105"/>
          <w:sz w:val="21"/>
        </w:rPr>
        <w:t>do</w:t>
      </w:r>
      <w:r>
        <w:rPr>
          <w:rFonts w:ascii="Arial" w:hAnsi="Arial"/>
          <w:i/>
          <w:color w:val="231F20"/>
          <w:spacing w:val="-33"/>
          <w:w w:val="105"/>
          <w:sz w:val="21"/>
        </w:rPr>
        <w:t> </w:t>
      </w:r>
      <w:r>
        <w:rPr>
          <w:rFonts w:ascii="Arial" w:hAnsi="Arial"/>
          <w:i/>
          <w:color w:val="231F20"/>
          <w:w w:val="105"/>
          <w:sz w:val="21"/>
        </w:rPr>
        <w:t>de</w:t>
      </w:r>
      <w:r>
        <w:rPr>
          <w:rFonts w:ascii="Arial" w:hAnsi="Arial"/>
          <w:i/>
          <w:color w:val="231F20"/>
          <w:spacing w:val="-33"/>
          <w:w w:val="105"/>
          <w:sz w:val="21"/>
        </w:rPr>
        <w:t> </w:t>
      </w:r>
      <w:r>
        <w:rPr>
          <w:rFonts w:ascii="Arial" w:hAnsi="Arial"/>
          <w:i/>
          <w:color w:val="231F20"/>
          <w:w w:val="105"/>
          <w:sz w:val="21"/>
        </w:rPr>
        <w:t>México</w:t>
      </w:r>
      <w:r>
        <w:rPr>
          <w:color w:val="231F20"/>
          <w:w w:val="105"/>
          <w:sz w:val="21"/>
        </w:rPr>
        <w:t>,</w:t>
      </w:r>
      <w:r>
        <w:rPr>
          <w:color w:val="231F20"/>
          <w:spacing w:val="-37"/>
          <w:w w:val="105"/>
          <w:sz w:val="21"/>
        </w:rPr>
        <w:t> </w:t>
      </w:r>
      <w:r>
        <w:rPr>
          <w:color w:val="231F20"/>
          <w:spacing w:val="-3"/>
          <w:w w:val="105"/>
          <w:sz w:val="21"/>
        </w:rPr>
        <w:t>Toluca,</w:t>
      </w:r>
      <w:r>
        <w:rPr>
          <w:color w:val="231F20"/>
          <w:spacing w:val="-34"/>
          <w:w w:val="105"/>
          <w:sz w:val="21"/>
        </w:rPr>
        <w:t> </w:t>
      </w:r>
      <w:r>
        <w:rPr>
          <w:color w:val="231F20"/>
          <w:w w:val="105"/>
          <w:sz w:val="21"/>
        </w:rPr>
        <w:t>México:</w:t>
      </w:r>
      <w:r>
        <w:rPr>
          <w:color w:val="231F20"/>
          <w:spacing w:val="-31"/>
          <w:w w:val="105"/>
          <w:sz w:val="21"/>
        </w:rPr>
        <w:t> </w:t>
      </w:r>
      <w:r>
        <w:rPr>
          <w:color w:val="231F20"/>
          <w:w w:val="105"/>
          <w:sz w:val="17"/>
        </w:rPr>
        <w:t>UAEM</w:t>
      </w:r>
      <w:r>
        <w:rPr>
          <w:color w:val="231F20"/>
          <w:w w:val="105"/>
          <w:sz w:val="21"/>
        </w:rPr>
        <w:t>/</w:t>
      </w:r>
      <w:r>
        <w:rPr>
          <w:color w:val="231F20"/>
          <w:w w:val="105"/>
          <w:sz w:val="17"/>
        </w:rPr>
        <w:t>CIEAP</w:t>
      </w:r>
      <w:r>
        <w:rPr>
          <w:color w:val="231F20"/>
          <w:w w:val="105"/>
          <w:sz w:val="21"/>
        </w:rPr>
        <w:t>.</w:t>
      </w:r>
    </w:p>
    <w:p>
      <w:pPr>
        <w:tabs>
          <w:tab w:pos="2563" w:val="left" w:leader="none"/>
        </w:tabs>
        <w:spacing w:line="259" w:lineRule="auto" w:before="3"/>
        <w:ind w:left="2461" w:right="1828" w:hanging="738"/>
        <w:jc w:val="both"/>
        <w:rPr>
          <w:sz w:val="21"/>
        </w:rPr>
      </w:pPr>
      <w:r>
        <w:rPr>
          <w:color w:val="231F20"/>
          <w:w w:val="94"/>
          <w:sz w:val="21"/>
          <w:u w:val="single" w:color="221E1F"/>
        </w:rPr>
        <w:t> </w:t>
      </w:r>
      <w:r>
        <w:rPr>
          <w:color w:val="231F20"/>
          <w:sz w:val="21"/>
          <w:u w:val="single" w:color="221E1F"/>
        </w:rPr>
        <w:tab/>
        <w:tab/>
      </w:r>
      <w:r>
        <w:rPr>
          <w:color w:val="231F20"/>
          <w:spacing w:val="4"/>
          <w:sz w:val="21"/>
        </w:rPr>
        <w:t> </w:t>
      </w:r>
      <w:r>
        <w:rPr>
          <w:color w:val="231F20"/>
          <w:w w:val="105"/>
          <w:sz w:val="21"/>
        </w:rPr>
        <w:t>(2012),</w:t>
      </w:r>
      <w:r>
        <w:rPr>
          <w:color w:val="231F20"/>
          <w:spacing w:val="-15"/>
          <w:w w:val="105"/>
          <w:sz w:val="21"/>
        </w:rPr>
        <w:t> </w:t>
      </w:r>
      <w:r>
        <w:rPr>
          <w:color w:val="231F20"/>
          <w:w w:val="105"/>
          <w:sz w:val="21"/>
        </w:rPr>
        <w:t>“Marco</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referencia</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la</w:t>
      </w:r>
      <w:r>
        <w:rPr>
          <w:color w:val="231F20"/>
          <w:spacing w:val="-10"/>
          <w:w w:val="105"/>
          <w:sz w:val="21"/>
        </w:rPr>
        <w:t> </w:t>
      </w:r>
      <w:r>
        <w:rPr>
          <w:color w:val="231F20"/>
          <w:w w:val="105"/>
          <w:sz w:val="21"/>
        </w:rPr>
        <w:t>migración</w:t>
      </w:r>
      <w:r>
        <w:rPr>
          <w:color w:val="231F20"/>
          <w:spacing w:val="-10"/>
          <w:w w:val="105"/>
          <w:sz w:val="21"/>
        </w:rPr>
        <w:t> </w:t>
      </w:r>
      <w:r>
        <w:rPr>
          <w:color w:val="231F20"/>
          <w:w w:val="105"/>
          <w:sz w:val="21"/>
        </w:rPr>
        <w:t>internacional”,</w:t>
      </w:r>
      <w:r>
        <w:rPr>
          <w:color w:val="231F20"/>
          <w:spacing w:val="-15"/>
          <w:w w:val="105"/>
          <w:sz w:val="21"/>
        </w:rPr>
        <w:t> </w:t>
      </w:r>
      <w:r>
        <w:rPr>
          <w:color w:val="231F20"/>
          <w:w w:val="105"/>
          <w:sz w:val="21"/>
        </w:rPr>
        <w:t>en</w:t>
      </w:r>
      <w:r>
        <w:rPr>
          <w:color w:val="231F20"/>
          <w:w w:val="103"/>
          <w:sz w:val="21"/>
        </w:rPr>
        <w:t> </w:t>
      </w:r>
      <w:r>
        <w:rPr>
          <w:color w:val="231F20"/>
          <w:w w:val="105"/>
          <w:sz w:val="21"/>
        </w:rPr>
        <w:t>Juan</w:t>
      </w:r>
      <w:r>
        <w:rPr>
          <w:color w:val="231F20"/>
          <w:spacing w:val="-6"/>
          <w:w w:val="105"/>
          <w:sz w:val="21"/>
        </w:rPr>
        <w:t> </w:t>
      </w:r>
      <w:r>
        <w:rPr>
          <w:color w:val="231F20"/>
          <w:w w:val="105"/>
          <w:sz w:val="21"/>
        </w:rPr>
        <w:t>Gabino</w:t>
      </w:r>
      <w:r>
        <w:rPr>
          <w:color w:val="231F20"/>
          <w:spacing w:val="-6"/>
          <w:w w:val="105"/>
          <w:sz w:val="21"/>
        </w:rPr>
        <w:t> </w:t>
      </w:r>
      <w:r>
        <w:rPr>
          <w:color w:val="231F20"/>
          <w:w w:val="105"/>
          <w:sz w:val="21"/>
        </w:rPr>
        <w:t>González</w:t>
      </w:r>
      <w:r>
        <w:rPr>
          <w:color w:val="231F20"/>
          <w:spacing w:val="-6"/>
          <w:w w:val="105"/>
          <w:sz w:val="21"/>
        </w:rPr>
        <w:t> </w:t>
      </w:r>
      <w:r>
        <w:rPr>
          <w:color w:val="231F20"/>
          <w:w w:val="105"/>
          <w:sz w:val="21"/>
        </w:rPr>
        <w:t>Becerril</w:t>
      </w:r>
      <w:r>
        <w:rPr>
          <w:color w:val="231F20"/>
          <w:spacing w:val="-6"/>
          <w:w w:val="105"/>
          <w:sz w:val="21"/>
        </w:rPr>
        <w:t> </w:t>
      </w:r>
      <w:r>
        <w:rPr>
          <w:color w:val="231F20"/>
          <w:w w:val="105"/>
          <w:sz w:val="21"/>
        </w:rPr>
        <w:t>y</w:t>
      </w:r>
      <w:r>
        <w:rPr>
          <w:color w:val="231F20"/>
          <w:spacing w:val="-8"/>
          <w:w w:val="105"/>
          <w:sz w:val="21"/>
        </w:rPr>
        <w:t> </w:t>
      </w:r>
      <w:r>
        <w:rPr>
          <w:color w:val="231F20"/>
          <w:w w:val="105"/>
          <w:sz w:val="21"/>
        </w:rPr>
        <w:t>Jaciel</w:t>
      </w:r>
      <w:r>
        <w:rPr>
          <w:color w:val="231F20"/>
          <w:spacing w:val="-6"/>
          <w:w w:val="105"/>
          <w:sz w:val="21"/>
        </w:rPr>
        <w:t> </w:t>
      </w:r>
      <w:r>
        <w:rPr>
          <w:color w:val="231F20"/>
          <w:w w:val="105"/>
          <w:sz w:val="21"/>
        </w:rPr>
        <w:t>Montoya</w:t>
      </w:r>
      <w:r>
        <w:rPr>
          <w:color w:val="231F20"/>
          <w:spacing w:val="-9"/>
          <w:w w:val="105"/>
          <w:sz w:val="21"/>
        </w:rPr>
        <w:t> </w:t>
      </w:r>
      <w:r>
        <w:rPr>
          <w:color w:val="231F20"/>
          <w:w w:val="105"/>
          <w:sz w:val="21"/>
        </w:rPr>
        <w:t>Arce</w:t>
      </w:r>
      <w:r>
        <w:rPr>
          <w:color w:val="231F20"/>
          <w:spacing w:val="-6"/>
          <w:w w:val="105"/>
          <w:sz w:val="21"/>
        </w:rPr>
        <w:t> </w:t>
      </w:r>
      <w:r>
        <w:rPr>
          <w:color w:val="231F20"/>
          <w:w w:val="105"/>
          <w:sz w:val="21"/>
        </w:rPr>
        <w:t>(comps.), </w:t>
      </w:r>
      <w:r>
        <w:rPr>
          <w:rFonts w:ascii="Arial" w:hAnsi="Arial"/>
          <w:i/>
          <w:color w:val="231F20"/>
          <w:w w:val="105"/>
          <w:sz w:val="21"/>
        </w:rPr>
        <w:t>Migración</w:t>
      </w:r>
      <w:r>
        <w:rPr>
          <w:rFonts w:ascii="Arial" w:hAnsi="Arial"/>
          <w:i/>
          <w:color w:val="231F20"/>
          <w:spacing w:val="-29"/>
          <w:w w:val="105"/>
          <w:sz w:val="21"/>
        </w:rPr>
        <w:t> </w:t>
      </w:r>
      <w:r>
        <w:rPr>
          <w:rFonts w:ascii="Arial" w:hAnsi="Arial"/>
          <w:i/>
          <w:color w:val="231F20"/>
          <w:w w:val="105"/>
          <w:sz w:val="21"/>
        </w:rPr>
        <w:t>mexiquense</w:t>
      </w:r>
      <w:r>
        <w:rPr>
          <w:rFonts w:ascii="Arial" w:hAnsi="Arial"/>
          <w:i/>
          <w:color w:val="231F20"/>
          <w:spacing w:val="-29"/>
          <w:w w:val="105"/>
          <w:sz w:val="21"/>
        </w:rPr>
        <w:t> </w:t>
      </w:r>
      <w:r>
        <w:rPr>
          <w:rFonts w:ascii="Arial" w:hAnsi="Arial"/>
          <w:i/>
          <w:color w:val="231F20"/>
          <w:w w:val="105"/>
          <w:sz w:val="21"/>
        </w:rPr>
        <w:t>a</w:t>
      </w:r>
      <w:r>
        <w:rPr>
          <w:rFonts w:ascii="Arial" w:hAnsi="Arial"/>
          <w:i/>
          <w:color w:val="231F20"/>
          <w:spacing w:val="-29"/>
          <w:w w:val="105"/>
          <w:sz w:val="21"/>
        </w:rPr>
        <w:t> </w:t>
      </w:r>
      <w:r>
        <w:rPr>
          <w:rFonts w:ascii="Arial" w:hAnsi="Arial"/>
          <w:i/>
          <w:color w:val="231F20"/>
          <w:w w:val="105"/>
          <w:sz w:val="21"/>
        </w:rPr>
        <w:t>Estados</w:t>
      </w:r>
      <w:r>
        <w:rPr>
          <w:rFonts w:ascii="Arial" w:hAnsi="Arial"/>
          <w:i/>
          <w:color w:val="231F20"/>
          <w:spacing w:val="-29"/>
          <w:w w:val="105"/>
          <w:sz w:val="21"/>
        </w:rPr>
        <w:t> </w:t>
      </w:r>
      <w:r>
        <w:rPr>
          <w:rFonts w:ascii="Arial" w:hAnsi="Arial"/>
          <w:i/>
          <w:color w:val="231F20"/>
          <w:w w:val="105"/>
          <w:sz w:val="21"/>
        </w:rPr>
        <w:t>Unidos:</w:t>
      </w:r>
      <w:r>
        <w:rPr>
          <w:rFonts w:ascii="Arial" w:hAnsi="Arial"/>
          <w:i/>
          <w:color w:val="231F20"/>
          <w:spacing w:val="-29"/>
          <w:w w:val="105"/>
          <w:sz w:val="21"/>
        </w:rPr>
        <w:t> </w:t>
      </w:r>
      <w:r>
        <w:rPr>
          <w:rFonts w:ascii="Arial" w:hAnsi="Arial"/>
          <w:i/>
          <w:color w:val="231F20"/>
          <w:w w:val="105"/>
          <w:sz w:val="21"/>
        </w:rPr>
        <w:t>un</w:t>
      </w:r>
      <w:r>
        <w:rPr>
          <w:rFonts w:ascii="Arial" w:hAnsi="Arial"/>
          <w:i/>
          <w:color w:val="231F20"/>
          <w:spacing w:val="-29"/>
          <w:w w:val="105"/>
          <w:sz w:val="21"/>
        </w:rPr>
        <w:t> </w:t>
      </w:r>
      <w:r>
        <w:rPr>
          <w:rFonts w:ascii="Arial" w:hAnsi="Arial"/>
          <w:i/>
          <w:color w:val="231F20"/>
          <w:w w:val="105"/>
          <w:sz w:val="21"/>
        </w:rPr>
        <w:t>análisis</w:t>
      </w:r>
      <w:r>
        <w:rPr>
          <w:rFonts w:ascii="Arial" w:hAnsi="Arial"/>
          <w:i/>
          <w:color w:val="231F20"/>
          <w:spacing w:val="-29"/>
          <w:w w:val="105"/>
          <w:sz w:val="21"/>
        </w:rPr>
        <w:t> </w:t>
      </w:r>
      <w:r>
        <w:rPr>
          <w:rFonts w:ascii="Arial" w:hAnsi="Arial"/>
          <w:i/>
          <w:color w:val="231F20"/>
          <w:w w:val="105"/>
          <w:sz w:val="21"/>
        </w:rPr>
        <w:t>interdiscipli- </w:t>
      </w:r>
      <w:r>
        <w:rPr>
          <w:rFonts w:ascii="Arial" w:hAnsi="Arial"/>
          <w:i/>
          <w:color w:val="231F20"/>
          <w:sz w:val="21"/>
        </w:rPr>
        <w:t>nario</w:t>
      </w:r>
      <w:r>
        <w:rPr>
          <w:color w:val="231F20"/>
          <w:sz w:val="21"/>
        </w:rPr>
        <w:t>, </w:t>
      </w:r>
      <w:r>
        <w:rPr>
          <w:color w:val="231F20"/>
          <w:spacing w:val="-3"/>
          <w:sz w:val="21"/>
        </w:rPr>
        <w:t>Toluca, </w:t>
      </w:r>
      <w:r>
        <w:rPr>
          <w:color w:val="231F20"/>
          <w:sz w:val="21"/>
        </w:rPr>
        <w:t>México:</w:t>
      </w:r>
      <w:r>
        <w:rPr>
          <w:color w:val="231F20"/>
          <w:spacing w:val="9"/>
          <w:sz w:val="21"/>
        </w:rPr>
        <w:t> </w:t>
      </w:r>
      <w:r>
        <w:rPr>
          <w:color w:val="231F20"/>
          <w:sz w:val="17"/>
        </w:rPr>
        <w:t>UAEM</w:t>
      </w:r>
      <w:r>
        <w:rPr>
          <w:color w:val="231F20"/>
          <w:sz w:val="21"/>
        </w:rPr>
        <w:t>/</w:t>
      </w:r>
      <w:r>
        <w:rPr>
          <w:color w:val="231F20"/>
          <w:sz w:val="17"/>
        </w:rPr>
        <w:t>CIEAP</w:t>
      </w:r>
      <w:r>
        <w:rPr>
          <w:color w:val="231F20"/>
          <w:sz w:val="21"/>
        </w:rPr>
        <w:t>.</w:t>
      </w:r>
    </w:p>
    <w:p>
      <w:pPr>
        <w:spacing w:line="259" w:lineRule="auto" w:before="0"/>
        <w:ind w:left="2461" w:right="1834" w:hanging="737"/>
        <w:jc w:val="both"/>
        <w:rPr>
          <w:sz w:val="21"/>
        </w:rPr>
      </w:pPr>
      <w:r>
        <w:rPr>
          <w:color w:val="231F20"/>
          <w:spacing w:val="-6"/>
          <w:w w:val="105"/>
          <w:sz w:val="21"/>
        </w:rPr>
        <w:t>Instituto</w:t>
      </w:r>
      <w:r>
        <w:rPr>
          <w:color w:val="231F20"/>
          <w:spacing w:val="-46"/>
          <w:w w:val="105"/>
          <w:sz w:val="21"/>
        </w:rPr>
        <w:t> </w:t>
      </w:r>
      <w:r>
        <w:rPr>
          <w:color w:val="231F20"/>
          <w:spacing w:val="-6"/>
          <w:w w:val="105"/>
          <w:sz w:val="21"/>
        </w:rPr>
        <w:t>Nacional</w:t>
      </w:r>
      <w:r>
        <w:rPr>
          <w:color w:val="231F20"/>
          <w:spacing w:val="-46"/>
          <w:w w:val="105"/>
          <w:sz w:val="21"/>
        </w:rPr>
        <w:t> </w:t>
      </w:r>
      <w:r>
        <w:rPr>
          <w:color w:val="231F20"/>
          <w:spacing w:val="-3"/>
          <w:w w:val="105"/>
          <w:sz w:val="21"/>
        </w:rPr>
        <w:t>de</w:t>
      </w:r>
      <w:r>
        <w:rPr>
          <w:color w:val="231F20"/>
          <w:spacing w:val="-46"/>
          <w:w w:val="105"/>
          <w:sz w:val="21"/>
        </w:rPr>
        <w:t> </w:t>
      </w:r>
      <w:r>
        <w:rPr>
          <w:color w:val="231F20"/>
          <w:spacing w:val="-6"/>
          <w:w w:val="105"/>
          <w:sz w:val="21"/>
        </w:rPr>
        <w:t>Estadística</w:t>
      </w:r>
      <w:r>
        <w:rPr>
          <w:color w:val="231F20"/>
          <w:spacing w:val="-46"/>
          <w:w w:val="105"/>
          <w:sz w:val="21"/>
        </w:rPr>
        <w:t> </w:t>
      </w:r>
      <w:r>
        <w:rPr>
          <w:color w:val="231F20"/>
          <w:w w:val="105"/>
          <w:sz w:val="21"/>
        </w:rPr>
        <w:t>y</w:t>
      </w:r>
      <w:r>
        <w:rPr>
          <w:color w:val="231F20"/>
          <w:spacing w:val="-46"/>
          <w:w w:val="105"/>
          <w:sz w:val="21"/>
        </w:rPr>
        <w:t> </w:t>
      </w:r>
      <w:r>
        <w:rPr>
          <w:color w:val="231F20"/>
          <w:spacing w:val="-6"/>
          <w:w w:val="105"/>
          <w:sz w:val="21"/>
        </w:rPr>
        <w:t>Geografía</w:t>
      </w:r>
      <w:r>
        <w:rPr>
          <w:color w:val="231F20"/>
          <w:spacing w:val="-46"/>
          <w:w w:val="105"/>
          <w:sz w:val="21"/>
        </w:rPr>
        <w:t> </w:t>
      </w:r>
      <w:r>
        <w:rPr>
          <w:color w:val="231F20"/>
          <w:spacing w:val="-5"/>
          <w:w w:val="105"/>
          <w:sz w:val="21"/>
        </w:rPr>
        <w:t>(</w:t>
      </w:r>
      <w:r>
        <w:rPr>
          <w:color w:val="231F20"/>
          <w:spacing w:val="-5"/>
          <w:w w:val="105"/>
          <w:sz w:val="17"/>
        </w:rPr>
        <w:t>INEGI</w:t>
      </w:r>
      <w:r>
        <w:rPr>
          <w:color w:val="231F20"/>
          <w:spacing w:val="-5"/>
          <w:w w:val="105"/>
          <w:sz w:val="21"/>
        </w:rPr>
        <w:t>),</w:t>
      </w:r>
      <w:r>
        <w:rPr>
          <w:color w:val="231F20"/>
          <w:spacing w:val="-49"/>
          <w:w w:val="105"/>
          <w:sz w:val="21"/>
        </w:rPr>
        <w:t> </w:t>
      </w:r>
      <w:r>
        <w:rPr>
          <w:color w:val="231F20"/>
          <w:spacing w:val="-6"/>
          <w:w w:val="105"/>
          <w:sz w:val="21"/>
        </w:rPr>
        <w:t>(2009),</w:t>
      </w:r>
      <w:r>
        <w:rPr>
          <w:color w:val="231F20"/>
          <w:spacing w:val="-49"/>
          <w:w w:val="105"/>
          <w:sz w:val="21"/>
        </w:rPr>
        <w:t> </w:t>
      </w:r>
      <w:r>
        <w:rPr>
          <w:rFonts w:ascii="Arial" w:hAnsi="Arial"/>
          <w:i/>
          <w:color w:val="231F20"/>
          <w:spacing w:val="-6"/>
          <w:w w:val="105"/>
          <w:sz w:val="21"/>
        </w:rPr>
        <w:t>Encuesta</w:t>
      </w:r>
      <w:r>
        <w:rPr>
          <w:rFonts w:ascii="Arial" w:hAnsi="Arial"/>
          <w:i/>
          <w:color w:val="231F20"/>
          <w:spacing w:val="-49"/>
          <w:w w:val="105"/>
          <w:sz w:val="21"/>
        </w:rPr>
        <w:t> </w:t>
      </w:r>
      <w:r>
        <w:rPr>
          <w:rFonts w:ascii="Arial" w:hAnsi="Arial"/>
          <w:i/>
          <w:color w:val="231F20"/>
          <w:spacing w:val="-6"/>
          <w:w w:val="105"/>
          <w:sz w:val="21"/>
        </w:rPr>
        <w:t>Nacional </w:t>
      </w:r>
      <w:r>
        <w:rPr>
          <w:rFonts w:ascii="Arial" w:hAnsi="Arial"/>
          <w:i/>
          <w:color w:val="231F20"/>
          <w:spacing w:val="-3"/>
          <w:w w:val="105"/>
          <w:sz w:val="21"/>
        </w:rPr>
        <w:t>de la </w:t>
      </w:r>
      <w:r>
        <w:rPr>
          <w:rFonts w:ascii="Arial" w:hAnsi="Arial"/>
          <w:i/>
          <w:color w:val="231F20"/>
          <w:spacing w:val="-6"/>
          <w:w w:val="105"/>
          <w:sz w:val="21"/>
        </w:rPr>
        <w:t>Dinámica Demográfica. </w:t>
      </w:r>
      <w:r>
        <w:rPr>
          <w:rFonts w:ascii="Arial" w:hAnsi="Arial"/>
          <w:i/>
          <w:color w:val="231F20"/>
          <w:spacing w:val="-7"/>
          <w:w w:val="105"/>
          <w:sz w:val="21"/>
        </w:rPr>
        <w:t>Panorama </w:t>
      </w:r>
      <w:r>
        <w:rPr>
          <w:rFonts w:ascii="Arial" w:hAnsi="Arial"/>
          <w:i/>
          <w:color w:val="231F20"/>
          <w:spacing w:val="-6"/>
          <w:w w:val="105"/>
          <w:sz w:val="21"/>
        </w:rPr>
        <w:t>sociodemográfico de México, principales resultados</w:t>
      </w:r>
      <w:r>
        <w:rPr>
          <w:color w:val="231F20"/>
          <w:spacing w:val="-6"/>
          <w:w w:val="105"/>
          <w:sz w:val="21"/>
        </w:rPr>
        <w:t>, recuperado </w:t>
      </w:r>
      <w:r>
        <w:rPr>
          <w:color w:val="231F20"/>
          <w:spacing w:val="-3"/>
          <w:w w:val="105"/>
          <w:sz w:val="21"/>
        </w:rPr>
        <w:t>de </w:t>
      </w:r>
      <w:hyperlink r:id="rId336">
        <w:r>
          <w:rPr>
            <w:color w:val="231F20"/>
            <w:spacing w:val="-7"/>
            <w:w w:val="105"/>
            <w:sz w:val="21"/>
          </w:rPr>
          <w:t>http://www.inegi.org.</w:t>
        </w:r>
      </w:hyperlink>
      <w:r>
        <w:rPr>
          <w:color w:val="231F20"/>
          <w:spacing w:val="-7"/>
          <w:w w:val="105"/>
          <w:sz w:val="21"/>
        </w:rPr>
        <w:t> </w:t>
      </w:r>
      <w:r>
        <w:rPr>
          <w:color w:val="231F20"/>
          <w:spacing w:val="-3"/>
          <w:w w:val="105"/>
          <w:sz w:val="21"/>
        </w:rPr>
        <w:t>mx/prod_serv/contenidos/espanol/bvinegi/productos/encuestas/ </w:t>
      </w:r>
      <w:r>
        <w:rPr>
          <w:color w:val="231F20"/>
          <w:spacing w:val="-7"/>
          <w:w w:val="105"/>
          <w:sz w:val="21"/>
        </w:rPr>
        <w:t>hogares/enadid/enadid2009/ENADID_2009_Pan_Soc.pdf</w:t>
      </w:r>
    </w:p>
    <w:p>
      <w:pPr>
        <w:tabs>
          <w:tab w:pos="2563" w:val="left" w:leader="none"/>
        </w:tabs>
        <w:spacing w:line="261" w:lineRule="auto" w:before="0"/>
        <w:ind w:left="2461" w:right="1835" w:hanging="738"/>
        <w:jc w:val="both"/>
        <w:rPr>
          <w:sz w:val="21"/>
        </w:rPr>
      </w:pPr>
      <w:r>
        <w:rPr>
          <w:color w:val="231F20"/>
          <w:w w:val="94"/>
          <w:sz w:val="21"/>
          <w:u w:val="single" w:color="221E1F"/>
        </w:rPr>
        <w:t> </w:t>
      </w:r>
      <w:r>
        <w:rPr>
          <w:color w:val="231F20"/>
          <w:sz w:val="21"/>
          <w:u w:val="single" w:color="221E1F"/>
        </w:rPr>
        <w:tab/>
        <w:tab/>
      </w:r>
      <w:r>
        <w:rPr>
          <w:color w:val="231F20"/>
          <w:spacing w:val="2"/>
          <w:sz w:val="21"/>
        </w:rPr>
        <w:t> </w:t>
      </w:r>
      <w:r>
        <w:rPr>
          <w:color w:val="231F20"/>
          <w:w w:val="105"/>
          <w:sz w:val="21"/>
        </w:rPr>
        <w:t>(2010a),</w:t>
      </w:r>
      <w:r>
        <w:rPr>
          <w:color w:val="231F20"/>
          <w:spacing w:val="-9"/>
          <w:w w:val="105"/>
          <w:sz w:val="21"/>
        </w:rPr>
        <w:t> </w:t>
      </w:r>
      <w:r>
        <w:rPr>
          <w:rFonts w:ascii="Arial" w:hAnsi="Arial"/>
          <w:i/>
          <w:color w:val="231F20"/>
          <w:w w:val="105"/>
          <w:sz w:val="21"/>
        </w:rPr>
        <w:t>Conteo</w:t>
      </w:r>
      <w:r>
        <w:rPr>
          <w:rFonts w:ascii="Arial" w:hAnsi="Arial"/>
          <w:i/>
          <w:color w:val="231F20"/>
          <w:spacing w:val="-5"/>
          <w:w w:val="105"/>
          <w:sz w:val="21"/>
        </w:rPr>
        <w:t> </w:t>
      </w:r>
      <w:r>
        <w:rPr>
          <w:rFonts w:ascii="Arial" w:hAnsi="Arial"/>
          <w:i/>
          <w:color w:val="231F20"/>
          <w:w w:val="105"/>
          <w:sz w:val="21"/>
        </w:rPr>
        <w:t>de</w:t>
      </w:r>
      <w:r>
        <w:rPr>
          <w:rFonts w:ascii="Arial" w:hAnsi="Arial"/>
          <w:i/>
          <w:color w:val="231F20"/>
          <w:spacing w:val="-5"/>
          <w:w w:val="105"/>
          <w:sz w:val="21"/>
        </w:rPr>
        <w:t> </w:t>
      </w:r>
      <w:r>
        <w:rPr>
          <w:rFonts w:ascii="Arial" w:hAnsi="Arial"/>
          <w:i/>
          <w:color w:val="231F20"/>
          <w:w w:val="105"/>
          <w:sz w:val="21"/>
        </w:rPr>
        <w:t>población</w:t>
      </w:r>
      <w:r>
        <w:rPr>
          <w:rFonts w:ascii="Arial" w:hAnsi="Arial"/>
          <w:i/>
          <w:color w:val="231F20"/>
          <w:spacing w:val="-5"/>
          <w:w w:val="105"/>
          <w:sz w:val="21"/>
        </w:rPr>
        <w:t> </w:t>
      </w:r>
      <w:r>
        <w:rPr>
          <w:rFonts w:ascii="Arial" w:hAnsi="Arial"/>
          <w:i/>
          <w:color w:val="231F20"/>
          <w:w w:val="105"/>
          <w:sz w:val="21"/>
        </w:rPr>
        <w:t>y</w:t>
      </w:r>
      <w:r>
        <w:rPr>
          <w:rFonts w:ascii="Arial" w:hAnsi="Arial"/>
          <w:i/>
          <w:color w:val="231F20"/>
          <w:spacing w:val="-9"/>
          <w:w w:val="105"/>
          <w:sz w:val="21"/>
        </w:rPr>
        <w:t> </w:t>
      </w:r>
      <w:r>
        <w:rPr>
          <w:rFonts w:ascii="Arial" w:hAnsi="Arial"/>
          <w:i/>
          <w:color w:val="231F20"/>
          <w:w w:val="105"/>
          <w:sz w:val="21"/>
        </w:rPr>
        <w:t>Vivienda</w:t>
      </w:r>
      <w:r>
        <w:rPr>
          <w:color w:val="231F20"/>
          <w:w w:val="105"/>
          <w:sz w:val="21"/>
        </w:rPr>
        <w:t>,</w:t>
      </w:r>
      <w:r>
        <w:rPr>
          <w:color w:val="231F20"/>
          <w:spacing w:val="-9"/>
          <w:w w:val="105"/>
          <w:sz w:val="21"/>
        </w:rPr>
        <w:t> </w:t>
      </w:r>
      <w:r>
        <w:rPr>
          <w:color w:val="231F20"/>
          <w:spacing w:val="-6"/>
          <w:w w:val="105"/>
          <w:sz w:val="21"/>
        </w:rPr>
        <w:t>recuperado</w:t>
      </w:r>
      <w:r>
        <w:rPr>
          <w:color w:val="231F20"/>
          <w:spacing w:val="-13"/>
          <w:w w:val="105"/>
          <w:sz w:val="21"/>
        </w:rPr>
        <w:t> </w:t>
      </w:r>
      <w:r>
        <w:rPr>
          <w:color w:val="231F20"/>
          <w:spacing w:val="-3"/>
          <w:w w:val="105"/>
          <w:sz w:val="21"/>
        </w:rPr>
        <w:t>de</w:t>
      </w:r>
      <w:r>
        <w:rPr>
          <w:color w:val="231F20"/>
          <w:spacing w:val="-8"/>
          <w:w w:val="105"/>
          <w:sz w:val="21"/>
        </w:rPr>
        <w:t> </w:t>
      </w:r>
      <w:r>
        <w:rPr>
          <w:color w:val="231F20"/>
          <w:w w:val="105"/>
          <w:sz w:val="21"/>
        </w:rPr>
        <w:t>http://</w:t>
      </w:r>
      <w:r>
        <w:rPr>
          <w:color w:val="231F20"/>
          <w:w w:val="133"/>
          <w:sz w:val="21"/>
        </w:rPr>
        <w:t> </w:t>
      </w:r>
      <w:r>
        <w:rPr>
          <w:color w:val="231F20"/>
          <w:spacing w:val="3"/>
          <w:sz w:val="21"/>
        </w:rPr>
        <w:t>www3.inegi.org.mx/sistemas/tabuladosbasicos/default.aspx?- </w:t>
      </w:r>
      <w:r>
        <w:rPr>
          <w:color w:val="231F20"/>
          <w:w w:val="105"/>
          <w:sz w:val="21"/>
        </w:rPr>
        <w:t>c=27302&amp;s=est</w:t>
      </w:r>
    </w:p>
    <w:p>
      <w:pPr>
        <w:tabs>
          <w:tab w:pos="2563" w:val="left" w:leader="none"/>
        </w:tabs>
        <w:spacing w:line="261" w:lineRule="auto" w:before="0"/>
        <w:ind w:left="2460" w:right="1833" w:hanging="737"/>
        <w:jc w:val="both"/>
        <w:rPr>
          <w:sz w:val="21"/>
        </w:rPr>
      </w:pPr>
      <w:r>
        <w:rPr>
          <w:color w:val="231F20"/>
          <w:w w:val="94"/>
          <w:sz w:val="21"/>
          <w:u w:val="single" w:color="221E1F"/>
        </w:rPr>
        <w:t> </w:t>
      </w:r>
      <w:r>
        <w:rPr>
          <w:color w:val="231F20"/>
          <w:sz w:val="21"/>
          <w:u w:val="single" w:color="221E1F"/>
        </w:rPr>
        <w:tab/>
        <w:tab/>
      </w:r>
      <w:r>
        <w:rPr>
          <w:color w:val="231F20"/>
          <w:spacing w:val="-14"/>
          <w:sz w:val="21"/>
        </w:rPr>
        <w:t> </w:t>
      </w:r>
      <w:r>
        <w:rPr>
          <w:color w:val="231F20"/>
          <w:w w:val="105"/>
          <w:sz w:val="21"/>
        </w:rPr>
        <w:t>(2010b),</w:t>
      </w:r>
      <w:r>
        <w:rPr>
          <w:color w:val="231F20"/>
          <w:spacing w:val="-42"/>
          <w:w w:val="105"/>
          <w:sz w:val="21"/>
        </w:rPr>
        <w:t> </w:t>
      </w:r>
      <w:r>
        <w:rPr>
          <w:rFonts w:ascii="Arial" w:hAnsi="Arial"/>
          <w:i/>
          <w:color w:val="231F20"/>
          <w:w w:val="105"/>
          <w:sz w:val="21"/>
        </w:rPr>
        <w:t>Migración</w:t>
      </w:r>
      <w:r>
        <w:rPr>
          <w:rFonts w:ascii="Arial" w:hAnsi="Arial"/>
          <w:i/>
          <w:color w:val="231F20"/>
          <w:spacing w:val="-42"/>
          <w:w w:val="105"/>
          <w:sz w:val="21"/>
        </w:rPr>
        <w:t> </w:t>
      </w:r>
      <w:r>
        <w:rPr>
          <w:rFonts w:ascii="Arial" w:hAnsi="Arial"/>
          <w:i/>
          <w:color w:val="231F20"/>
          <w:w w:val="105"/>
          <w:sz w:val="21"/>
        </w:rPr>
        <w:t>internacional</w:t>
      </w:r>
      <w:r>
        <w:rPr>
          <w:rFonts w:ascii="Arial" w:hAnsi="Arial"/>
          <w:i/>
          <w:color w:val="231F20"/>
          <w:spacing w:val="-42"/>
          <w:w w:val="105"/>
          <w:sz w:val="21"/>
        </w:rPr>
        <w:t> </w:t>
      </w:r>
      <w:r>
        <w:rPr>
          <w:rFonts w:ascii="Arial" w:hAnsi="Arial"/>
          <w:i/>
          <w:color w:val="231F20"/>
          <w:w w:val="105"/>
          <w:sz w:val="21"/>
        </w:rPr>
        <w:t>captada</w:t>
      </w:r>
      <w:r>
        <w:rPr>
          <w:rFonts w:ascii="Arial" w:hAnsi="Arial"/>
          <w:i/>
          <w:color w:val="231F20"/>
          <w:spacing w:val="-42"/>
          <w:w w:val="105"/>
          <w:sz w:val="21"/>
        </w:rPr>
        <w:t> </w:t>
      </w:r>
      <w:r>
        <w:rPr>
          <w:rFonts w:ascii="Arial" w:hAnsi="Arial"/>
          <w:i/>
          <w:color w:val="231F20"/>
          <w:w w:val="105"/>
          <w:sz w:val="21"/>
        </w:rPr>
        <w:t>a</w:t>
      </w:r>
      <w:r>
        <w:rPr>
          <w:rFonts w:ascii="Arial" w:hAnsi="Arial"/>
          <w:i/>
          <w:color w:val="231F20"/>
          <w:spacing w:val="-42"/>
          <w:w w:val="105"/>
          <w:sz w:val="21"/>
        </w:rPr>
        <w:t> </w:t>
      </w:r>
      <w:r>
        <w:rPr>
          <w:rFonts w:ascii="Arial" w:hAnsi="Arial"/>
          <w:i/>
          <w:color w:val="231F20"/>
          <w:w w:val="105"/>
          <w:sz w:val="21"/>
        </w:rPr>
        <w:t>través</w:t>
      </w:r>
      <w:r>
        <w:rPr>
          <w:rFonts w:ascii="Arial" w:hAnsi="Arial"/>
          <w:i/>
          <w:color w:val="231F20"/>
          <w:spacing w:val="-42"/>
          <w:w w:val="105"/>
          <w:sz w:val="21"/>
        </w:rPr>
        <w:t> </w:t>
      </w:r>
      <w:r>
        <w:rPr>
          <w:rFonts w:ascii="Arial" w:hAnsi="Arial"/>
          <w:i/>
          <w:color w:val="231F20"/>
          <w:w w:val="105"/>
          <w:sz w:val="21"/>
        </w:rPr>
        <w:t>de</w:t>
      </w:r>
      <w:r>
        <w:rPr>
          <w:rFonts w:ascii="Arial" w:hAnsi="Arial"/>
          <w:i/>
          <w:color w:val="231F20"/>
          <w:spacing w:val="-42"/>
          <w:w w:val="105"/>
          <w:sz w:val="21"/>
        </w:rPr>
        <w:t> </w:t>
      </w:r>
      <w:r>
        <w:rPr>
          <w:rFonts w:ascii="Arial" w:hAnsi="Arial"/>
          <w:i/>
          <w:color w:val="231F20"/>
          <w:w w:val="105"/>
          <w:sz w:val="21"/>
        </w:rPr>
        <w:t>la</w:t>
      </w:r>
      <w:r>
        <w:rPr>
          <w:rFonts w:ascii="Arial" w:hAnsi="Arial"/>
          <w:i/>
          <w:color w:val="231F20"/>
          <w:spacing w:val="-42"/>
          <w:w w:val="105"/>
          <w:sz w:val="21"/>
        </w:rPr>
        <w:t> </w:t>
      </w:r>
      <w:r>
        <w:rPr>
          <w:rFonts w:ascii="Arial" w:hAnsi="Arial"/>
          <w:i/>
          <w:color w:val="231F20"/>
          <w:w w:val="105"/>
          <w:sz w:val="21"/>
        </w:rPr>
        <w:t>Encuesta</w:t>
      </w:r>
      <w:r>
        <w:rPr>
          <w:rFonts w:ascii="Arial" w:hAnsi="Arial"/>
          <w:i/>
          <w:color w:val="231F20"/>
          <w:w w:val="97"/>
          <w:sz w:val="21"/>
        </w:rPr>
        <w:t> </w:t>
      </w:r>
      <w:r>
        <w:rPr>
          <w:rFonts w:ascii="Arial" w:hAnsi="Arial"/>
          <w:i/>
          <w:color w:val="231F20"/>
          <w:w w:val="105"/>
          <w:sz w:val="21"/>
        </w:rPr>
        <w:t>Nacional</w:t>
      </w:r>
      <w:r>
        <w:rPr>
          <w:rFonts w:ascii="Arial" w:hAnsi="Arial"/>
          <w:i/>
          <w:color w:val="231F20"/>
          <w:spacing w:val="-14"/>
          <w:w w:val="105"/>
          <w:sz w:val="21"/>
        </w:rPr>
        <w:t> </w:t>
      </w:r>
      <w:r>
        <w:rPr>
          <w:rFonts w:ascii="Arial" w:hAnsi="Arial"/>
          <w:i/>
          <w:color w:val="231F20"/>
          <w:w w:val="105"/>
          <w:sz w:val="21"/>
        </w:rPr>
        <w:t>de</w:t>
      </w:r>
      <w:r>
        <w:rPr>
          <w:rFonts w:ascii="Arial" w:hAnsi="Arial"/>
          <w:i/>
          <w:color w:val="231F20"/>
          <w:spacing w:val="-14"/>
          <w:w w:val="105"/>
          <w:sz w:val="21"/>
        </w:rPr>
        <w:t> </w:t>
      </w:r>
      <w:r>
        <w:rPr>
          <w:rFonts w:ascii="Arial" w:hAnsi="Arial"/>
          <w:i/>
          <w:color w:val="231F20"/>
          <w:w w:val="105"/>
          <w:sz w:val="21"/>
        </w:rPr>
        <w:t>Ocupación</w:t>
      </w:r>
      <w:r>
        <w:rPr>
          <w:rFonts w:ascii="Arial" w:hAnsi="Arial"/>
          <w:i/>
          <w:color w:val="231F20"/>
          <w:spacing w:val="-14"/>
          <w:w w:val="105"/>
          <w:sz w:val="21"/>
        </w:rPr>
        <w:t> </w:t>
      </w:r>
      <w:r>
        <w:rPr>
          <w:rFonts w:ascii="Arial" w:hAnsi="Arial"/>
          <w:i/>
          <w:color w:val="231F20"/>
          <w:w w:val="105"/>
          <w:sz w:val="21"/>
        </w:rPr>
        <w:t>y</w:t>
      </w:r>
      <w:r>
        <w:rPr>
          <w:rFonts w:ascii="Arial" w:hAnsi="Arial"/>
          <w:i/>
          <w:color w:val="231F20"/>
          <w:spacing w:val="-14"/>
          <w:w w:val="105"/>
          <w:sz w:val="21"/>
        </w:rPr>
        <w:t> </w:t>
      </w:r>
      <w:r>
        <w:rPr>
          <w:rFonts w:ascii="Arial" w:hAnsi="Arial"/>
          <w:i/>
          <w:color w:val="231F20"/>
          <w:w w:val="105"/>
          <w:sz w:val="21"/>
        </w:rPr>
        <w:t>Empleo</w:t>
      </w:r>
      <w:r>
        <w:rPr>
          <w:rFonts w:ascii="Arial" w:hAnsi="Arial"/>
          <w:i/>
          <w:color w:val="231F20"/>
          <w:spacing w:val="-14"/>
          <w:w w:val="105"/>
          <w:sz w:val="21"/>
        </w:rPr>
        <w:t> </w:t>
      </w:r>
      <w:r>
        <w:rPr>
          <w:rFonts w:ascii="Arial" w:hAnsi="Arial"/>
          <w:i/>
          <w:color w:val="231F20"/>
          <w:w w:val="105"/>
          <w:sz w:val="21"/>
        </w:rPr>
        <w:t>2006-2010</w:t>
      </w:r>
      <w:r>
        <w:rPr>
          <w:rFonts w:ascii="Arial" w:hAnsi="Arial"/>
          <w:i/>
          <w:color w:val="231F20"/>
          <w:spacing w:val="-15"/>
          <w:w w:val="105"/>
          <w:sz w:val="21"/>
        </w:rPr>
        <w:t> </w:t>
      </w:r>
      <w:r>
        <w:rPr>
          <w:rFonts w:ascii="Arial" w:hAnsi="Arial"/>
          <w:i/>
          <w:color w:val="231F20"/>
          <w:w w:val="105"/>
          <w:sz w:val="17"/>
        </w:rPr>
        <w:t>ENOE</w:t>
      </w:r>
      <w:r>
        <w:rPr>
          <w:rFonts w:ascii="Arial" w:hAnsi="Arial"/>
          <w:i/>
          <w:color w:val="231F20"/>
          <w:w w:val="105"/>
          <w:sz w:val="21"/>
        </w:rPr>
        <w:t>.</w:t>
      </w:r>
      <w:r>
        <w:rPr>
          <w:rFonts w:ascii="Arial" w:hAnsi="Arial"/>
          <w:i/>
          <w:color w:val="231F20"/>
          <w:spacing w:val="-19"/>
          <w:w w:val="105"/>
          <w:sz w:val="21"/>
        </w:rPr>
        <w:t> </w:t>
      </w:r>
      <w:r>
        <w:rPr>
          <w:rFonts w:ascii="Arial" w:hAnsi="Arial"/>
          <w:i/>
          <w:color w:val="231F20"/>
          <w:w w:val="105"/>
          <w:sz w:val="21"/>
        </w:rPr>
        <w:t>Metodología y caracterización demográfica, </w:t>
      </w:r>
      <w:r>
        <w:rPr>
          <w:color w:val="231F20"/>
          <w:spacing w:val="-6"/>
          <w:w w:val="105"/>
          <w:sz w:val="21"/>
        </w:rPr>
        <w:t>recuperado </w:t>
      </w:r>
      <w:r>
        <w:rPr>
          <w:color w:val="231F20"/>
          <w:spacing w:val="-3"/>
          <w:w w:val="105"/>
          <w:sz w:val="21"/>
        </w:rPr>
        <w:t>de </w:t>
      </w:r>
      <w:r>
        <w:rPr>
          <w:color w:val="231F20"/>
          <w:w w:val="105"/>
          <w:sz w:val="21"/>
        </w:rPr>
        <w:t>http://www.inegi. org.mx/prod_serv/contenidos/espanol/bvinegi/productos/inte- gracion/pais/migracion/migracion_06_10/Mig_Int_2006_2010_ ENOE.pdf</w:t>
      </w:r>
    </w:p>
    <w:p>
      <w:pPr>
        <w:spacing w:line="259" w:lineRule="auto" w:before="1"/>
        <w:ind w:left="2460" w:right="1835" w:hanging="738"/>
        <w:jc w:val="both"/>
        <w:rPr>
          <w:sz w:val="21"/>
        </w:rPr>
      </w:pPr>
      <w:r>
        <w:rPr>
          <w:color w:val="231F20"/>
          <w:w w:val="105"/>
          <w:sz w:val="21"/>
        </w:rPr>
        <w:t>La Jornada, (26 de mayo de 2006), “Elementos del </w:t>
      </w:r>
      <w:r>
        <w:rPr>
          <w:color w:val="231F20"/>
          <w:spacing w:val="-3"/>
          <w:w w:val="105"/>
          <w:sz w:val="21"/>
        </w:rPr>
        <w:t>proyecto </w:t>
      </w:r>
      <w:r>
        <w:rPr>
          <w:color w:val="231F20"/>
          <w:w w:val="105"/>
          <w:sz w:val="21"/>
        </w:rPr>
        <w:t>de </w:t>
      </w:r>
      <w:r>
        <w:rPr>
          <w:color w:val="231F20"/>
          <w:spacing w:val="-7"/>
          <w:w w:val="105"/>
          <w:sz w:val="21"/>
        </w:rPr>
        <w:t>ley”, </w:t>
      </w:r>
      <w:r>
        <w:rPr>
          <w:color w:val="231F20"/>
          <w:w w:val="105"/>
          <w:sz w:val="21"/>
        </w:rPr>
        <w:t>en </w:t>
      </w:r>
      <w:r>
        <w:rPr>
          <w:color w:val="231F20"/>
          <w:spacing w:val="-3"/>
          <w:w w:val="105"/>
          <w:sz w:val="21"/>
        </w:rPr>
        <w:t>Carlos</w:t>
      </w:r>
      <w:r>
        <w:rPr>
          <w:color w:val="231F20"/>
          <w:spacing w:val="-29"/>
          <w:w w:val="105"/>
          <w:sz w:val="21"/>
        </w:rPr>
        <w:t> </w:t>
      </w:r>
      <w:r>
        <w:rPr>
          <w:color w:val="231F20"/>
          <w:spacing w:val="-3"/>
          <w:w w:val="105"/>
          <w:sz w:val="21"/>
        </w:rPr>
        <w:t>Heredia</w:t>
      </w:r>
      <w:r>
        <w:rPr>
          <w:color w:val="231F20"/>
          <w:spacing w:val="-29"/>
          <w:w w:val="105"/>
          <w:sz w:val="21"/>
        </w:rPr>
        <w:t> </w:t>
      </w:r>
      <w:r>
        <w:rPr>
          <w:color w:val="231F20"/>
          <w:w w:val="105"/>
          <w:sz w:val="21"/>
        </w:rPr>
        <w:t>Zubieta</w:t>
      </w:r>
      <w:r>
        <w:rPr>
          <w:color w:val="231F20"/>
          <w:spacing w:val="-29"/>
          <w:w w:val="105"/>
          <w:sz w:val="21"/>
        </w:rPr>
        <w:t> </w:t>
      </w:r>
      <w:r>
        <w:rPr>
          <w:color w:val="231F20"/>
          <w:w w:val="105"/>
          <w:sz w:val="21"/>
        </w:rPr>
        <w:t>y</w:t>
      </w:r>
      <w:r>
        <w:rPr>
          <w:color w:val="231F20"/>
          <w:spacing w:val="-29"/>
          <w:w w:val="105"/>
          <w:sz w:val="21"/>
        </w:rPr>
        <w:t> </w:t>
      </w:r>
      <w:r>
        <w:rPr>
          <w:color w:val="231F20"/>
          <w:spacing w:val="-2"/>
          <w:w w:val="105"/>
          <w:sz w:val="21"/>
        </w:rPr>
        <w:t>Rafael</w:t>
      </w:r>
      <w:r>
        <w:rPr>
          <w:color w:val="231F20"/>
          <w:spacing w:val="-31"/>
          <w:w w:val="105"/>
          <w:sz w:val="21"/>
        </w:rPr>
        <w:t> </w:t>
      </w:r>
      <w:r>
        <w:rPr>
          <w:color w:val="231F20"/>
          <w:spacing w:val="-3"/>
          <w:w w:val="105"/>
          <w:sz w:val="21"/>
        </w:rPr>
        <w:t>Velázquez</w:t>
      </w:r>
      <w:r>
        <w:rPr>
          <w:color w:val="231F20"/>
          <w:spacing w:val="-29"/>
          <w:w w:val="105"/>
          <w:sz w:val="21"/>
        </w:rPr>
        <w:t> </w:t>
      </w:r>
      <w:r>
        <w:rPr>
          <w:color w:val="231F20"/>
          <w:spacing w:val="-3"/>
          <w:w w:val="105"/>
          <w:sz w:val="21"/>
        </w:rPr>
        <w:t>Flores</w:t>
      </w:r>
      <w:r>
        <w:rPr>
          <w:color w:val="231F20"/>
          <w:spacing w:val="-29"/>
          <w:w w:val="105"/>
          <w:sz w:val="21"/>
        </w:rPr>
        <w:t> </w:t>
      </w:r>
      <w:r>
        <w:rPr>
          <w:color w:val="231F20"/>
          <w:w w:val="105"/>
          <w:sz w:val="21"/>
        </w:rPr>
        <w:t>(eds.),</w:t>
      </w:r>
      <w:r>
        <w:rPr>
          <w:color w:val="231F20"/>
          <w:spacing w:val="-29"/>
          <w:w w:val="105"/>
          <w:sz w:val="21"/>
        </w:rPr>
        <w:t> </w:t>
      </w:r>
      <w:r>
        <w:rPr>
          <w:rFonts w:ascii="Arial" w:hAnsi="Arial"/>
          <w:i/>
          <w:color w:val="231F20"/>
          <w:spacing w:val="-4"/>
          <w:w w:val="105"/>
          <w:sz w:val="21"/>
        </w:rPr>
        <w:t>Perspec- </w:t>
      </w:r>
      <w:r>
        <w:rPr>
          <w:rFonts w:ascii="Arial" w:hAnsi="Arial"/>
          <w:i/>
          <w:color w:val="231F20"/>
          <w:w w:val="105"/>
          <w:sz w:val="21"/>
        </w:rPr>
        <w:t>tivas</w:t>
      </w:r>
      <w:r>
        <w:rPr>
          <w:rFonts w:ascii="Arial" w:hAnsi="Arial"/>
          <w:i/>
          <w:color w:val="231F20"/>
          <w:spacing w:val="-24"/>
          <w:w w:val="105"/>
          <w:sz w:val="21"/>
        </w:rPr>
        <w:t> </w:t>
      </w:r>
      <w:r>
        <w:rPr>
          <w:rFonts w:ascii="Arial" w:hAnsi="Arial"/>
          <w:i/>
          <w:color w:val="231F20"/>
          <w:spacing w:val="-3"/>
          <w:w w:val="105"/>
          <w:sz w:val="21"/>
        </w:rPr>
        <w:t>Migratorias</w:t>
      </w:r>
      <w:r>
        <w:rPr>
          <w:rFonts w:ascii="Arial" w:hAnsi="Arial"/>
          <w:i/>
          <w:color w:val="231F20"/>
          <w:spacing w:val="-24"/>
          <w:w w:val="105"/>
          <w:sz w:val="21"/>
        </w:rPr>
        <w:t> </w:t>
      </w:r>
      <w:r>
        <w:rPr>
          <w:rFonts w:ascii="Arial" w:hAnsi="Arial"/>
          <w:i/>
          <w:color w:val="231F20"/>
          <w:w w:val="105"/>
          <w:sz w:val="21"/>
        </w:rPr>
        <w:t>II,</w:t>
      </w:r>
      <w:r>
        <w:rPr>
          <w:rFonts w:ascii="Arial" w:hAnsi="Arial"/>
          <w:i/>
          <w:color w:val="231F20"/>
          <w:spacing w:val="-29"/>
          <w:w w:val="105"/>
          <w:sz w:val="21"/>
        </w:rPr>
        <w:t> </w:t>
      </w:r>
      <w:r>
        <w:rPr>
          <w:rFonts w:ascii="Arial" w:hAnsi="Arial"/>
          <w:i/>
          <w:color w:val="231F20"/>
          <w:w w:val="105"/>
          <w:sz w:val="21"/>
        </w:rPr>
        <w:t>La</w:t>
      </w:r>
      <w:r>
        <w:rPr>
          <w:rFonts w:ascii="Arial" w:hAnsi="Arial"/>
          <w:i/>
          <w:color w:val="231F20"/>
          <w:spacing w:val="-24"/>
          <w:w w:val="105"/>
          <w:sz w:val="21"/>
        </w:rPr>
        <w:t> </w:t>
      </w:r>
      <w:r>
        <w:rPr>
          <w:rFonts w:ascii="Arial" w:hAnsi="Arial"/>
          <w:i/>
          <w:color w:val="231F20"/>
          <w:w w:val="105"/>
          <w:sz w:val="21"/>
        </w:rPr>
        <w:t>agenda</w:t>
      </w:r>
      <w:r>
        <w:rPr>
          <w:rFonts w:ascii="Arial" w:hAnsi="Arial"/>
          <w:i/>
          <w:color w:val="231F20"/>
          <w:spacing w:val="-24"/>
          <w:w w:val="105"/>
          <w:sz w:val="21"/>
        </w:rPr>
        <w:t> </w:t>
      </w:r>
      <w:r>
        <w:rPr>
          <w:rFonts w:ascii="Arial" w:hAnsi="Arial"/>
          <w:i/>
          <w:color w:val="231F20"/>
          <w:w w:val="105"/>
          <w:sz w:val="21"/>
        </w:rPr>
        <w:t>pendiente</w:t>
      </w:r>
      <w:r>
        <w:rPr>
          <w:rFonts w:ascii="Arial" w:hAnsi="Arial"/>
          <w:i/>
          <w:color w:val="231F20"/>
          <w:spacing w:val="-24"/>
          <w:w w:val="105"/>
          <w:sz w:val="21"/>
        </w:rPr>
        <w:t> </w:t>
      </w:r>
      <w:r>
        <w:rPr>
          <w:rFonts w:ascii="Arial" w:hAnsi="Arial"/>
          <w:i/>
          <w:color w:val="231F20"/>
          <w:w w:val="105"/>
          <w:sz w:val="21"/>
        </w:rPr>
        <w:t>de</w:t>
      </w:r>
      <w:r>
        <w:rPr>
          <w:rFonts w:ascii="Arial" w:hAnsi="Arial"/>
          <w:i/>
          <w:color w:val="231F20"/>
          <w:spacing w:val="-24"/>
          <w:w w:val="105"/>
          <w:sz w:val="21"/>
        </w:rPr>
        <w:t> </w:t>
      </w:r>
      <w:r>
        <w:rPr>
          <w:rFonts w:ascii="Arial" w:hAnsi="Arial"/>
          <w:i/>
          <w:color w:val="231F20"/>
          <w:w w:val="105"/>
          <w:sz w:val="21"/>
        </w:rPr>
        <w:t>la</w:t>
      </w:r>
      <w:r>
        <w:rPr>
          <w:rFonts w:ascii="Arial" w:hAnsi="Arial"/>
          <w:i/>
          <w:color w:val="231F20"/>
          <w:spacing w:val="-24"/>
          <w:w w:val="105"/>
          <w:sz w:val="21"/>
        </w:rPr>
        <w:t> </w:t>
      </w:r>
      <w:r>
        <w:rPr>
          <w:rFonts w:ascii="Arial" w:hAnsi="Arial"/>
          <w:i/>
          <w:color w:val="231F20"/>
          <w:w w:val="105"/>
          <w:sz w:val="21"/>
        </w:rPr>
        <w:t>migración</w:t>
      </w:r>
      <w:r>
        <w:rPr>
          <w:color w:val="231F20"/>
          <w:w w:val="105"/>
          <w:sz w:val="21"/>
        </w:rPr>
        <w:t>,</w:t>
      </w:r>
      <w:r>
        <w:rPr>
          <w:color w:val="231F20"/>
          <w:spacing w:val="-26"/>
          <w:w w:val="105"/>
          <w:sz w:val="21"/>
        </w:rPr>
        <w:t> </w:t>
      </w:r>
      <w:r>
        <w:rPr>
          <w:color w:val="231F20"/>
          <w:spacing w:val="-3"/>
          <w:w w:val="105"/>
          <w:sz w:val="21"/>
        </w:rPr>
        <w:t>México: </w:t>
      </w:r>
      <w:r>
        <w:rPr>
          <w:color w:val="231F20"/>
          <w:w w:val="105"/>
          <w:sz w:val="17"/>
        </w:rPr>
        <w:t>CIDE</w:t>
      </w:r>
      <w:r>
        <w:rPr>
          <w:color w:val="231F20"/>
          <w:w w:val="105"/>
          <w:sz w:val="21"/>
        </w:rPr>
        <w:t>.</w:t>
      </w:r>
    </w:p>
    <w:p>
      <w:pPr>
        <w:spacing w:line="259" w:lineRule="auto" w:before="3"/>
        <w:ind w:left="2460" w:right="1835" w:hanging="738"/>
        <w:jc w:val="both"/>
        <w:rPr>
          <w:sz w:val="21"/>
        </w:rPr>
      </w:pPr>
      <w:r>
        <w:rPr>
          <w:color w:val="231F20"/>
          <w:w w:val="105"/>
          <w:sz w:val="21"/>
        </w:rPr>
        <w:t>Manzanal,</w:t>
      </w:r>
      <w:r>
        <w:rPr>
          <w:color w:val="231F20"/>
          <w:spacing w:val="-23"/>
          <w:w w:val="105"/>
          <w:sz w:val="21"/>
        </w:rPr>
        <w:t> </w:t>
      </w:r>
      <w:r>
        <w:rPr>
          <w:color w:val="231F20"/>
          <w:w w:val="105"/>
          <w:sz w:val="21"/>
        </w:rPr>
        <w:t>Mabel,</w:t>
      </w:r>
      <w:r>
        <w:rPr>
          <w:color w:val="231F20"/>
          <w:spacing w:val="-23"/>
          <w:w w:val="105"/>
          <w:sz w:val="21"/>
        </w:rPr>
        <w:t> </w:t>
      </w:r>
      <w:r>
        <w:rPr>
          <w:color w:val="231F20"/>
          <w:w w:val="105"/>
          <w:sz w:val="21"/>
        </w:rPr>
        <w:t>(2006),</w:t>
      </w:r>
      <w:r>
        <w:rPr>
          <w:color w:val="231F20"/>
          <w:spacing w:val="-23"/>
          <w:w w:val="105"/>
          <w:sz w:val="21"/>
        </w:rPr>
        <w:t> </w:t>
      </w:r>
      <w:r>
        <w:rPr>
          <w:color w:val="231F20"/>
          <w:w w:val="105"/>
          <w:sz w:val="21"/>
        </w:rPr>
        <w:t>Regiones,</w:t>
      </w:r>
      <w:r>
        <w:rPr>
          <w:color w:val="231F20"/>
          <w:spacing w:val="-23"/>
          <w:w w:val="105"/>
          <w:sz w:val="21"/>
        </w:rPr>
        <w:t> </w:t>
      </w:r>
      <w:r>
        <w:rPr>
          <w:color w:val="231F20"/>
          <w:w w:val="105"/>
          <w:sz w:val="21"/>
        </w:rPr>
        <w:t>territorios</w:t>
      </w:r>
      <w:r>
        <w:rPr>
          <w:color w:val="231F20"/>
          <w:spacing w:val="-19"/>
          <w:w w:val="105"/>
          <w:sz w:val="21"/>
        </w:rPr>
        <w:t> </w:t>
      </w:r>
      <w:r>
        <w:rPr>
          <w:color w:val="231F20"/>
          <w:w w:val="105"/>
          <w:sz w:val="21"/>
        </w:rPr>
        <w:t>e</w:t>
      </w:r>
      <w:r>
        <w:rPr>
          <w:color w:val="231F20"/>
          <w:spacing w:val="-19"/>
          <w:w w:val="105"/>
          <w:sz w:val="21"/>
        </w:rPr>
        <w:t> </w:t>
      </w:r>
      <w:r>
        <w:rPr>
          <w:color w:val="231F20"/>
          <w:w w:val="105"/>
          <w:sz w:val="21"/>
        </w:rPr>
        <w:t>institucionalidad</w:t>
      </w:r>
      <w:r>
        <w:rPr>
          <w:color w:val="231F20"/>
          <w:spacing w:val="-19"/>
          <w:w w:val="105"/>
          <w:sz w:val="21"/>
        </w:rPr>
        <w:t> </w:t>
      </w:r>
      <w:r>
        <w:rPr>
          <w:color w:val="231F20"/>
          <w:w w:val="105"/>
          <w:sz w:val="21"/>
        </w:rPr>
        <w:t>del</w:t>
      </w:r>
      <w:r>
        <w:rPr>
          <w:color w:val="231F20"/>
          <w:spacing w:val="-19"/>
          <w:w w:val="105"/>
          <w:sz w:val="21"/>
        </w:rPr>
        <w:t> </w:t>
      </w:r>
      <w:r>
        <w:rPr>
          <w:color w:val="231F20"/>
          <w:w w:val="105"/>
          <w:sz w:val="21"/>
        </w:rPr>
        <w:t>de- sarrollo</w:t>
      </w:r>
      <w:r>
        <w:rPr>
          <w:color w:val="231F20"/>
          <w:spacing w:val="-18"/>
          <w:w w:val="105"/>
          <w:sz w:val="21"/>
        </w:rPr>
        <w:t> </w:t>
      </w:r>
      <w:r>
        <w:rPr>
          <w:color w:val="231F20"/>
          <w:spacing w:val="-5"/>
          <w:w w:val="105"/>
          <w:sz w:val="21"/>
        </w:rPr>
        <w:t>rural”,</w:t>
      </w:r>
      <w:r>
        <w:rPr>
          <w:color w:val="231F20"/>
          <w:spacing w:val="-24"/>
          <w:w w:val="105"/>
          <w:sz w:val="21"/>
        </w:rPr>
        <w:t> </w:t>
      </w:r>
      <w:r>
        <w:rPr>
          <w:color w:val="231F20"/>
          <w:w w:val="105"/>
          <w:sz w:val="21"/>
        </w:rPr>
        <w:t>en</w:t>
      </w:r>
      <w:r>
        <w:rPr>
          <w:color w:val="231F20"/>
          <w:spacing w:val="-18"/>
          <w:w w:val="105"/>
          <w:sz w:val="21"/>
        </w:rPr>
        <w:t> </w:t>
      </w:r>
      <w:r>
        <w:rPr>
          <w:color w:val="231F20"/>
          <w:w w:val="105"/>
          <w:sz w:val="21"/>
        </w:rPr>
        <w:t>Mabel</w:t>
      </w:r>
      <w:r>
        <w:rPr>
          <w:color w:val="231F20"/>
          <w:spacing w:val="-18"/>
          <w:w w:val="105"/>
          <w:sz w:val="21"/>
        </w:rPr>
        <w:t> </w:t>
      </w:r>
      <w:r>
        <w:rPr>
          <w:color w:val="231F20"/>
          <w:w w:val="105"/>
          <w:sz w:val="21"/>
        </w:rPr>
        <w:t>Manzanal,</w:t>
      </w:r>
      <w:r>
        <w:rPr>
          <w:color w:val="231F20"/>
          <w:spacing w:val="-24"/>
          <w:w w:val="105"/>
          <w:sz w:val="21"/>
        </w:rPr>
        <w:t> </w:t>
      </w:r>
      <w:r>
        <w:rPr>
          <w:color w:val="231F20"/>
          <w:w w:val="105"/>
          <w:sz w:val="21"/>
        </w:rPr>
        <w:t>Guillermo</w:t>
      </w:r>
      <w:r>
        <w:rPr>
          <w:color w:val="231F20"/>
          <w:spacing w:val="-18"/>
          <w:w w:val="105"/>
          <w:sz w:val="21"/>
        </w:rPr>
        <w:t> </w:t>
      </w:r>
      <w:r>
        <w:rPr>
          <w:color w:val="231F20"/>
          <w:w w:val="105"/>
          <w:sz w:val="21"/>
        </w:rPr>
        <w:t>Neiman</w:t>
      </w:r>
      <w:r>
        <w:rPr>
          <w:color w:val="231F20"/>
          <w:spacing w:val="-18"/>
          <w:w w:val="105"/>
          <w:sz w:val="21"/>
        </w:rPr>
        <w:t> </w:t>
      </w:r>
      <w:r>
        <w:rPr>
          <w:color w:val="231F20"/>
          <w:w w:val="105"/>
          <w:sz w:val="21"/>
        </w:rPr>
        <w:t>y</w:t>
      </w:r>
      <w:r>
        <w:rPr>
          <w:color w:val="231F20"/>
          <w:spacing w:val="-18"/>
          <w:w w:val="105"/>
          <w:sz w:val="21"/>
        </w:rPr>
        <w:t> </w:t>
      </w:r>
      <w:r>
        <w:rPr>
          <w:color w:val="231F20"/>
          <w:w w:val="105"/>
          <w:sz w:val="21"/>
        </w:rPr>
        <w:t>Mario</w:t>
      </w:r>
      <w:r>
        <w:rPr>
          <w:color w:val="231F20"/>
          <w:spacing w:val="-18"/>
          <w:w w:val="105"/>
          <w:sz w:val="21"/>
        </w:rPr>
        <w:t> </w:t>
      </w:r>
      <w:r>
        <w:rPr>
          <w:color w:val="231F20"/>
          <w:w w:val="105"/>
          <w:sz w:val="21"/>
        </w:rPr>
        <w:t>La- ttuada</w:t>
      </w:r>
      <w:r>
        <w:rPr>
          <w:color w:val="231F20"/>
          <w:spacing w:val="-12"/>
          <w:w w:val="105"/>
          <w:sz w:val="21"/>
        </w:rPr>
        <w:t> </w:t>
      </w:r>
      <w:r>
        <w:rPr>
          <w:color w:val="231F20"/>
          <w:w w:val="105"/>
          <w:sz w:val="21"/>
        </w:rPr>
        <w:t>(comps.),</w:t>
      </w:r>
      <w:r>
        <w:rPr>
          <w:color w:val="231F20"/>
          <w:spacing w:val="-16"/>
          <w:w w:val="105"/>
          <w:sz w:val="21"/>
        </w:rPr>
        <w:t> </w:t>
      </w:r>
      <w:r>
        <w:rPr>
          <w:rFonts w:ascii="Arial" w:hAnsi="Arial"/>
          <w:i/>
          <w:color w:val="231F20"/>
          <w:w w:val="105"/>
          <w:sz w:val="21"/>
        </w:rPr>
        <w:t>Desarrollo</w:t>
      </w:r>
      <w:r>
        <w:rPr>
          <w:rFonts w:ascii="Arial" w:hAnsi="Arial"/>
          <w:i/>
          <w:color w:val="231F20"/>
          <w:spacing w:val="-15"/>
          <w:w w:val="105"/>
          <w:sz w:val="21"/>
        </w:rPr>
        <w:t> </w:t>
      </w:r>
      <w:r>
        <w:rPr>
          <w:rFonts w:ascii="Arial" w:hAnsi="Arial"/>
          <w:i/>
          <w:color w:val="231F20"/>
          <w:w w:val="105"/>
          <w:sz w:val="21"/>
        </w:rPr>
        <w:t>rural,</w:t>
      </w:r>
      <w:r>
        <w:rPr>
          <w:rFonts w:ascii="Arial" w:hAnsi="Arial"/>
          <w:i/>
          <w:color w:val="231F20"/>
          <w:spacing w:val="-19"/>
          <w:w w:val="105"/>
          <w:sz w:val="21"/>
        </w:rPr>
        <w:t> </w:t>
      </w:r>
      <w:r>
        <w:rPr>
          <w:rFonts w:ascii="Arial" w:hAnsi="Arial"/>
          <w:i/>
          <w:color w:val="231F20"/>
          <w:w w:val="105"/>
          <w:sz w:val="21"/>
        </w:rPr>
        <w:t>organizaciones,</w:t>
      </w:r>
      <w:r>
        <w:rPr>
          <w:rFonts w:ascii="Arial" w:hAnsi="Arial"/>
          <w:i/>
          <w:color w:val="231F20"/>
          <w:spacing w:val="-19"/>
          <w:w w:val="105"/>
          <w:sz w:val="21"/>
        </w:rPr>
        <w:t> </w:t>
      </w:r>
      <w:r>
        <w:rPr>
          <w:rFonts w:ascii="Arial" w:hAnsi="Arial"/>
          <w:i/>
          <w:color w:val="231F20"/>
          <w:w w:val="105"/>
          <w:sz w:val="21"/>
        </w:rPr>
        <w:t>instituciones</w:t>
      </w:r>
      <w:r>
        <w:rPr>
          <w:rFonts w:ascii="Arial" w:hAnsi="Arial"/>
          <w:i/>
          <w:color w:val="231F20"/>
          <w:spacing w:val="-15"/>
          <w:w w:val="105"/>
          <w:sz w:val="21"/>
        </w:rPr>
        <w:t> </w:t>
      </w:r>
      <w:r>
        <w:rPr>
          <w:rFonts w:ascii="Arial" w:hAnsi="Arial"/>
          <w:i/>
          <w:color w:val="231F20"/>
          <w:w w:val="105"/>
          <w:sz w:val="21"/>
        </w:rPr>
        <w:t>y </w:t>
      </w:r>
      <w:r>
        <w:rPr>
          <w:rFonts w:ascii="Arial" w:hAnsi="Arial"/>
          <w:i/>
          <w:color w:val="231F20"/>
          <w:w w:val="105"/>
          <w:sz w:val="21"/>
        </w:rPr>
        <w:t>territorio</w:t>
      </w:r>
      <w:r>
        <w:rPr>
          <w:color w:val="231F20"/>
          <w:w w:val="105"/>
          <w:sz w:val="21"/>
        </w:rPr>
        <w:t>,</w:t>
      </w:r>
      <w:r>
        <w:rPr>
          <w:color w:val="231F20"/>
          <w:spacing w:val="-42"/>
          <w:w w:val="105"/>
          <w:sz w:val="21"/>
        </w:rPr>
        <w:t> </w:t>
      </w:r>
      <w:r>
        <w:rPr>
          <w:color w:val="231F20"/>
          <w:w w:val="105"/>
          <w:sz w:val="21"/>
        </w:rPr>
        <w:t>Argentina:</w:t>
      </w:r>
      <w:r>
        <w:rPr>
          <w:color w:val="231F20"/>
          <w:spacing w:val="-38"/>
          <w:w w:val="105"/>
          <w:sz w:val="21"/>
        </w:rPr>
        <w:t> </w:t>
      </w:r>
      <w:r>
        <w:rPr>
          <w:color w:val="231F20"/>
          <w:w w:val="105"/>
          <w:sz w:val="17"/>
        </w:rPr>
        <w:t>CICCUS</w:t>
      </w:r>
      <w:r>
        <w:rPr>
          <w:color w:val="231F20"/>
          <w:w w:val="105"/>
          <w:sz w:val="21"/>
        </w:rPr>
        <w:t>.</w:t>
      </w:r>
    </w:p>
    <w:p>
      <w:pPr>
        <w:spacing w:line="261" w:lineRule="auto" w:before="3"/>
        <w:ind w:left="2461" w:right="1834" w:hanging="738"/>
        <w:jc w:val="both"/>
        <w:rPr>
          <w:sz w:val="21"/>
        </w:rPr>
      </w:pPr>
      <w:r>
        <w:rPr>
          <w:color w:val="231F20"/>
          <w:w w:val="105"/>
          <w:sz w:val="21"/>
        </w:rPr>
        <w:t>Merlet,</w:t>
      </w:r>
      <w:r>
        <w:rPr>
          <w:color w:val="231F20"/>
          <w:spacing w:val="-26"/>
          <w:w w:val="105"/>
          <w:sz w:val="21"/>
        </w:rPr>
        <w:t> </w:t>
      </w:r>
      <w:r>
        <w:rPr>
          <w:color w:val="231F20"/>
          <w:w w:val="105"/>
          <w:sz w:val="21"/>
        </w:rPr>
        <w:t>Michel,</w:t>
      </w:r>
      <w:r>
        <w:rPr>
          <w:color w:val="231F20"/>
          <w:spacing w:val="-29"/>
          <w:w w:val="105"/>
          <w:sz w:val="21"/>
        </w:rPr>
        <w:t> </w:t>
      </w:r>
      <w:r>
        <w:rPr>
          <w:color w:val="231F20"/>
          <w:w w:val="105"/>
          <w:sz w:val="21"/>
        </w:rPr>
        <w:t>Thirion,</w:t>
      </w:r>
      <w:r>
        <w:rPr>
          <w:color w:val="231F20"/>
          <w:spacing w:val="-26"/>
          <w:w w:val="105"/>
          <w:sz w:val="21"/>
        </w:rPr>
        <w:t> </w:t>
      </w:r>
      <w:r>
        <w:rPr>
          <w:color w:val="231F20"/>
          <w:w w:val="105"/>
          <w:sz w:val="21"/>
        </w:rPr>
        <w:t>Samuel</w:t>
      </w:r>
      <w:r>
        <w:rPr>
          <w:color w:val="231F20"/>
          <w:spacing w:val="-22"/>
          <w:w w:val="105"/>
          <w:sz w:val="21"/>
        </w:rPr>
        <w:t> </w:t>
      </w:r>
      <w:r>
        <w:rPr>
          <w:color w:val="231F20"/>
          <w:w w:val="105"/>
          <w:sz w:val="21"/>
        </w:rPr>
        <w:t>y</w:t>
      </w:r>
      <w:r>
        <w:rPr>
          <w:color w:val="231F20"/>
          <w:spacing w:val="-22"/>
          <w:w w:val="105"/>
          <w:sz w:val="21"/>
        </w:rPr>
        <w:t> </w:t>
      </w:r>
      <w:r>
        <w:rPr>
          <w:color w:val="231F20"/>
          <w:w w:val="105"/>
          <w:sz w:val="21"/>
        </w:rPr>
        <w:t>Garces,</w:t>
      </w:r>
      <w:r>
        <w:rPr>
          <w:color w:val="231F20"/>
          <w:spacing w:val="-28"/>
          <w:w w:val="105"/>
          <w:sz w:val="21"/>
        </w:rPr>
        <w:t> </w:t>
      </w:r>
      <w:r>
        <w:rPr>
          <w:color w:val="231F20"/>
          <w:w w:val="105"/>
          <w:sz w:val="21"/>
        </w:rPr>
        <w:t>Vicent,</w:t>
      </w:r>
      <w:r>
        <w:rPr>
          <w:color w:val="231F20"/>
          <w:spacing w:val="-26"/>
          <w:w w:val="105"/>
          <w:sz w:val="21"/>
        </w:rPr>
        <w:t> </w:t>
      </w:r>
      <w:r>
        <w:rPr>
          <w:color w:val="231F20"/>
          <w:w w:val="105"/>
          <w:sz w:val="21"/>
        </w:rPr>
        <w:t>(2006),</w:t>
      </w:r>
      <w:r>
        <w:rPr>
          <w:color w:val="231F20"/>
          <w:spacing w:val="-26"/>
          <w:w w:val="105"/>
          <w:sz w:val="21"/>
        </w:rPr>
        <w:t> </w:t>
      </w:r>
      <w:r>
        <w:rPr>
          <w:color w:val="231F20"/>
          <w:w w:val="105"/>
          <w:sz w:val="21"/>
        </w:rPr>
        <w:t>“Estado</w:t>
      </w:r>
      <w:r>
        <w:rPr>
          <w:color w:val="231F20"/>
          <w:spacing w:val="-22"/>
          <w:w w:val="105"/>
          <w:sz w:val="21"/>
        </w:rPr>
        <w:t> </w:t>
      </w:r>
      <w:r>
        <w:rPr>
          <w:color w:val="231F20"/>
          <w:w w:val="105"/>
          <w:sz w:val="21"/>
        </w:rPr>
        <w:t>y</w:t>
      </w:r>
      <w:r>
        <w:rPr>
          <w:color w:val="231F20"/>
          <w:spacing w:val="-22"/>
          <w:w w:val="105"/>
          <w:sz w:val="21"/>
        </w:rPr>
        <w:t> </w:t>
      </w:r>
      <w:r>
        <w:rPr>
          <w:color w:val="231F20"/>
          <w:w w:val="105"/>
          <w:sz w:val="21"/>
        </w:rPr>
        <w:t>socie- dades civiles, acceso a tierra y desarrollo rural: Reforzar las</w:t>
      </w:r>
      <w:r>
        <w:rPr>
          <w:color w:val="231F20"/>
          <w:spacing w:val="-19"/>
          <w:w w:val="105"/>
          <w:sz w:val="21"/>
        </w:rPr>
        <w:t> </w:t>
      </w:r>
      <w:r>
        <w:rPr>
          <w:color w:val="231F20"/>
          <w:w w:val="105"/>
          <w:sz w:val="21"/>
        </w:rPr>
        <w:t>ca- pacidades para nuevas formas de </w:t>
      </w:r>
      <w:r>
        <w:rPr>
          <w:color w:val="231F20"/>
          <w:spacing w:val="-3"/>
          <w:w w:val="105"/>
          <w:sz w:val="21"/>
        </w:rPr>
        <w:t>gobernanza”, </w:t>
      </w:r>
      <w:r>
        <w:rPr>
          <w:color w:val="231F20"/>
          <w:w w:val="105"/>
          <w:sz w:val="21"/>
        </w:rPr>
        <w:t>en </w:t>
      </w:r>
      <w:r>
        <w:rPr>
          <w:rFonts w:ascii="Arial" w:hAnsi="Arial"/>
          <w:i/>
          <w:color w:val="231F20"/>
          <w:w w:val="105"/>
          <w:sz w:val="21"/>
        </w:rPr>
        <w:t>Conferencia </w:t>
      </w:r>
      <w:r>
        <w:rPr>
          <w:rFonts w:ascii="Arial" w:hAnsi="Arial"/>
          <w:i/>
          <w:color w:val="231F20"/>
          <w:w w:val="105"/>
          <w:sz w:val="21"/>
        </w:rPr>
        <w:t>Internacional</w:t>
      </w:r>
      <w:r>
        <w:rPr>
          <w:rFonts w:ascii="Arial" w:hAnsi="Arial"/>
          <w:i/>
          <w:color w:val="231F20"/>
          <w:spacing w:val="-16"/>
          <w:w w:val="105"/>
          <w:sz w:val="21"/>
        </w:rPr>
        <w:t> </w:t>
      </w:r>
      <w:r>
        <w:rPr>
          <w:rFonts w:ascii="Arial" w:hAnsi="Arial"/>
          <w:i/>
          <w:color w:val="231F20"/>
          <w:w w:val="105"/>
          <w:sz w:val="21"/>
        </w:rPr>
        <w:t>sobre</w:t>
      </w:r>
      <w:r>
        <w:rPr>
          <w:rFonts w:ascii="Arial" w:hAnsi="Arial"/>
          <w:i/>
          <w:color w:val="231F20"/>
          <w:spacing w:val="-16"/>
          <w:w w:val="105"/>
          <w:sz w:val="21"/>
        </w:rPr>
        <w:t> </w:t>
      </w:r>
      <w:r>
        <w:rPr>
          <w:rFonts w:ascii="Arial" w:hAnsi="Arial"/>
          <w:i/>
          <w:color w:val="231F20"/>
          <w:w w:val="105"/>
          <w:sz w:val="21"/>
        </w:rPr>
        <w:t>Reforma</w:t>
      </w:r>
      <w:r>
        <w:rPr>
          <w:rFonts w:ascii="Arial" w:hAnsi="Arial"/>
          <w:i/>
          <w:color w:val="231F20"/>
          <w:spacing w:val="-19"/>
          <w:w w:val="105"/>
          <w:sz w:val="21"/>
        </w:rPr>
        <w:t> </w:t>
      </w:r>
      <w:r>
        <w:rPr>
          <w:rFonts w:ascii="Arial" w:hAnsi="Arial"/>
          <w:i/>
          <w:color w:val="231F20"/>
          <w:w w:val="105"/>
          <w:sz w:val="21"/>
        </w:rPr>
        <w:t>Agraria</w:t>
      </w:r>
      <w:r>
        <w:rPr>
          <w:rFonts w:ascii="Arial" w:hAnsi="Arial"/>
          <w:i/>
          <w:color w:val="231F20"/>
          <w:spacing w:val="-16"/>
          <w:w w:val="105"/>
          <w:sz w:val="21"/>
        </w:rPr>
        <w:t> </w:t>
      </w:r>
      <w:r>
        <w:rPr>
          <w:rFonts w:ascii="Arial" w:hAnsi="Arial"/>
          <w:i/>
          <w:color w:val="231F20"/>
          <w:w w:val="105"/>
          <w:sz w:val="21"/>
        </w:rPr>
        <w:t>y</w:t>
      </w:r>
      <w:r>
        <w:rPr>
          <w:rFonts w:ascii="Arial" w:hAnsi="Arial"/>
          <w:i/>
          <w:color w:val="231F20"/>
          <w:spacing w:val="-16"/>
          <w:w w:val="105"/>
          <w:sz w:val="21"/>
        </w:rPr>
        <w:t> </w:t>
      </w:r>
      <w:r>
        <w:rPr>
          <w:rFonts w:ascii="Arial" w:hAnsi="Arial"/>
          <w:i/>
          <w:color w:val="231F20"/>
          <w:w w:val="105"/>
          <w:sz w:val="21"/>
        </w:rPr>
        <w:t>el</w:t>
      </w:r>
      <w:r>
        <w:rPr>
          <w:rFonts w:ascii="Arial" w:hAnsi="Arial"/>
          <w:i/>
          <w:color w:val="231F20"/>
          <w:spacing w:val="-16"/>
          <w:w w:val="105"/>
          <w:sz w:val="21"/>
        </w:rPr>
        <w:t> </w:t>
      </w:r>
      <w:r>
        <w:rPr>
          <w:rFonts w:ascii="Arial" w:hAnsi="Arial"/>
          <w:i/>
          <w:color w:val="231F20"/>
          <w:w w:val="105"/>
          <w:sz w:val="21"/>
        </w:rPr>
        <w:t>Desarrollo</w:t>
      </w:r>
      <w:r>
        <w:rPr>
          <w:rFonts w:ascii="Arial" w:hAnsi="Arial"/>
          <w:i/>
          <w:color w:val="231F20"/>
          <w:spacing w:val="-16"/>
          <w:w w:val="105"/>
          <w:sz w:val="21"/>
        </w:rPr>
        <w:t> </w:t>
      </w:r>
      <w:r>
        <w:rPr>
          <w:rFonts w:ascii="Arial" w:hAnsi="Arial"/>
          <w:i/>
          <w:color w:val="231F20"/>
          <w:w w:val="105"/>
          <w:sz w:val="21"/>
        </w:rPr>
        <w:t>Rural</w:t>
      </w:r>
      <w:r>
        <w:rPr>
          <w:color w:val="231F20"/>
          <w:w w:val="105"/>
          <w:sz w:val="21"/>
        </w:rPr>
        <w:t>,</w:t>
      </w:r>
      <w:r>
        <w:rPr>
          <w:color w:val="231F20"/>
          <w:spacing w:val="-18"/>
          <w:w w:val="105"/>
          <w:sz w:val="21"/>
        </w:rPr>
        <w:t> </w:t>
      </w:r>
      <w:r>
        <w:rPr>
          <w:color w:val="231F20"/>
          <w:spacing w:val="-4"/>
          <w:w w:val="105"/>
          <w:sz w:val="21"/>
        </w:rPr>
        <w:t>Portu- </w:t>
      </w:r>
      <w:r>
        <w:rPr>
          <w:color w:val="231F20"/>
          <w:w w:val="105"/>
          <w:sz w:val="21"/>
        </w:rPr>
        <w:t>gal:</w:t>
      </w:r>
      <w:r>
        <w:rPr>
          <w:color w:val="231F20"/>
          <w:spacing w:val="-16"/>
          <w:w w:val="105"/>
          <w:sz w:val="21"/>
        </w:rPr>
        <w:t> </w:t>
      </w:r>
      <w:r>
        <w:rPr>
          <w:color w:val="231F20"/>
          <w:spacing w:val="-4"/>
          <w:w w:val="105"/>
          <w:sz w:val="17"/>
        </w:rPr>
        <w:t>FAO</w:t>
      </w:r>
      <w:r>
        <w:rPr>
          <w:color w:val="231F20"/>
          <w:spacing w:val="-4"/>
          <w:w w:val="105"/>
          <w:sz w:val="21"/>
        </w:rPr>
        <w:t>.</w:t>
      </w:r>
    </w:p>
    <w:p>
      <w:pPr>
        <w:spacing w:line="259" w:lineRule="auto" w:before="0"/>
        <w:ind w:left="2461" w:right="1835" w:hanging="738"/>
        <w:jc w:val="both"/>
        <w:rPr>
          <w:sz w:val="21"/>
        </w:rPr>
      </w:pPr>
      <w:r>
        <w:rPr>
          <w:color w:val="231F20"/>
          <w:w w:val="105"/>
          <w:sz w:val="21"/>
        </w:rPr>
        <w:t>Moctezuma, Miguel, (2013), </w:t>
      </w:r>
      <w:r>
        <w:rPr>
          <w:rFonts w:ascii="Arial" w:hAnsi="Arial"/>
          <w:i/>
          <w:color w:val="231F20"/>
          <w:w w:val="105"/>
          <w:sz w:val="21"/>
        </w:rPr>
        <w:t>Inversión social y productividad de los mi- </w:t>
      </w:r>
      <w:r>
        <w:rPr>
          <w:rFonts w:ascii="Arial" w:hAnsi="Arial"/>
          <w:i/>
          <w:color w:val="231F20"/>
          <w:w w:val="105"/>
          <w:sz w:val="21"/>
        </w:rPr>
        <w:t>grantes</w:t>
      </w:r>
      <w:r>
        <w:rPr>
          <w:rFonts w:ascii="Arial" w:hAnsi="Arial"/>
          <w:i/>
          <w:color w:val="231F20"/>
          <w:spacing w:val="-38"/>
          <w:w w:val="105"/>
          <w:sz w:val="21"/>
        </w:rPr>
        <w:t> </w:t>
      </w:r>
      <w:r>
        <w:rPr>
          <w:rFonts w:ascii="Arial" w:hAnsi="Arial"/>
          <w:i/>
          <w:color w:val="231F20"/>
          <w:w w:val="105"/>
          <w:sz w:val="21"/>
        </w:rPr>
        <w:t>mexicanos</w:t>
      </w:r>
      <w:r>
        <w:rPr>
          <w:rFonts w:ascii="Arial" w:hAnsi="Arial"/>
          <w:i/>
          <w:color w:val="231F20"/>
          <w:spacing w:val="-38"/>
          <w:w w:val="105"/>
          <w:sz w:val="21"/>
        </w:rPr>
        <w:t> </w:t>
      </w:r>
      <w:r>
        <w:rPr>
          <w:rFonts w:ascii="Arial" w:hAnsi="Arial"/>
          <w:i/>
          <w:color w:val="231F20"/>
          <w:w w:val="105"/>
          <w:sz w:val="21"/>
        </w:rPr>
        <w:t>en</w:t>
      </w:r>
      <w:r>
        <w:rPr>
          <w:rFonts w:ascii="Arial" w:hAnsi="Arial"/>
          <w:i/>
          <w:color w:val="231F20"/>
          <w:spacing w:val="-38"/>
          <w:w w:val="105"/>
          <w:sz w:val="21"/>
        </w:rPr>
        <w:t> </w:t>
      </w:r>
      <w:r>
        <w:rPr>
          <w:rFonts w:ascii="Arial" w:hAnsi="Arial"/>
          <w:i/>
          <w:color w:val="231F20"/>
          <w:w w:val="105"/>
          <w:sz w:val="21"/>
        </w:rPr>
        <w:t>Estados</w:t>
      </w:r>
      <w:r>
        <w:rPr>
          <w:rFonts w:ascii="Arial" w:hAnsi="Arial"/>
          <w:i/>
          <w:color w:val="231F20"/>
          <w:spacing w:val="-38"/>
          <w:w w:val="105"/>
          <w:sz w:val="21"/>
        </w:rPr>
        <w:t> </w:t>
      </w:r>
      <w:r>
        <w:rPr>
          <w:rFonts w:ascii="Arial" w:hAnsi="Arial"/>
          <w:i/>
          <w:color w:val="231F20"/>
          <w:w w:val="105"/>
          <w:sz w:val="21"/>
        </w:rPr>
        <w:t>Unidos</w:t>
      </w:r>
      <w:r>
        <w:rPr>
          <w:color w:val="231F20"/>
          <w:w w:val="105"/>
          <w:sz w:val="21"/>
        </w:rPr>
        <w:t>,</w:t>
      </w:r>
      <w:r>
        <w:rPr>
          <w:color w:val="231F20"/>
          <w:spacing w:val="-39"/>
          <w:w w:val="105"/>
          <w:sz w:val="21"/>
        </w:rPr>
        <w:t> </w:t>
      </w:r>
      <w:r>
        <w:rPr>
          <w:color w:val="231F20"/>
          <w:spacing w:val="-6"/>
          <w:w w:val="105"/>
          <w:sz w:val="21"/>
        </w:rPr>
        <w:t>recuperado</w:t>
      </w:r>
      <w:r>
        <w:rPr>
          <w:color w:val="231F20"/>
          <w:spacing w:val="-40"/>
          <w:w w:val="105"/>
          <w:sz w:val="21"/>
        </w:rPr>
        <w:t> </w:t>
      </w:r>
      <w:r>
        <w:rPr>
          <w:color w:val="231F20"/>
          <w:spacing w:val="-3"/>
          <w:w w:val="105"/>
          <w:sz w:val="21"/>
        </w:rPr>
        <w:t>de</w:t>
      </w:r>
      <w:r>
        <w:rPr>
          <w:color w:val="231F20"/>
          <w:spacing w:val="-38"/>
          <w:w w:val="105"/>
          <w:sz w:val="21"/>
        </w:rPr>
        <w:t> </w:t>
      </w:r>
      <w:r>
        <w:rPr>
          <w:color w:val="231F20"/>
          <w:spacing w:val="-3"/>
          <w:w w:val="105"/>
          <w:sz w:val="21"/>
        </w:rPr>
        <w:t>www.migra- cionydesarrollo.org</w:t>
      </w:r>
    </w:p>
    <w:p>
      <w:pPr>
        <w:spacing w:line="261" w:lineRule="auto" w:before="0"/>
        <w:ind w:left="2461" w:right="1834" w:hanging="738"/>
        <w:jc w:val="both"/>
        <w:rPr>
          <w:sz w:val="21"/>
        </w:rPr>
      </w:pPr>
      <w:r>
        <w:rPr>
          <w:color w:val="231F20"/>
          <w:sz w:val="21"/>
        </w:rPr>
        <w:t>Morales, Patricia, (1982), </w:t>
      </w:r>
      <w:r>
        <w:rPr>
          <w:rFonts w:ascii="Arial" w:hAnsi="Arial"/>
          <w:i/>
          <w:color w:val="231F20"/>
          <w:sz w:val="21"/>
        </w:rPr>
        <w:t>Indocumentados Mexicanos</w:t>
      </w:r>
      <w:r>
        <w:rPr>
          <w:color w:val="231F20"/>
          <w:sz w:val="21"/>
        </w:rPr>
        <w:t>, México: Editorial Grijalbo.</w:t>
      </w:r>
    </w:p>
    <w:p>
      <w:pPr>
        <w:pStyle w:val="BodyText"/>
        <w:rPr>
          <w:sz w:val="20"/>
        </w:rPr>
      </w:pPr>
    </w:p>
    <w:p>
      <w:pPr>
        <w:pStyle w:val="BodyText"/>
        <w:rPr>
          <w:sz w:val="20"/>
        </w:rPr>
      </w:pPr>
    </w:p>
    <w:p>
      <w:pPr>
        <w:pStyle w:val="BodyText"/>
        <w:spacing w:before="11"/>
        <w:rPr>
          <w:sz w:val="25"/>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2488" from="131.551193pt,3.703715pt" to="131.551193pt,39.506114pt" stroked="true" strokeweight=".35pt" strokecolor="#231f20">
            <w10:wrap type="none"/>
          </v:line>
        </w:pict>
      </w:r>
      <w:r>
        <w:rPr/>
        <w:pict>
          <v:line style="position:absolute;mso-position-horizontal-relative:page;mso-position-vertical-relative:paragraph;z-index:-452416" from="15pt,39.505917pt" to="0pt,39.505917pt" stroked="true" strokeweight=".25pt" strokecolor="#000000">
            <w10:wrap type="none"/>
          </v:line>
        </w:pict>
      </w:r>
      <w:r>
        <w:rPr/>
        <w:pict>
          <v:line style="position:absolute;mso-position-horizontal-relative:page;mso-position-vertical-relative:paragraph;z-index:37792" from="508.890015pt,39.505917pt" to="523.890015pt,39.505917pt" stroked="true" strokeweight=".25pt" strokecolor="#000000">
            <w10:wrap type="none"/>
          </v:line>
        </w:pict>
      </w:r>
      <w:r>
        <w:rPr>
          <w:rFonts w:ascii="Arial" w:hAnsi="Arial"/>
          <w:color w:val="414042"/>
          <w:position w:val="-5"/>
          <w:sz w:val="20"/>
        </w:rPr>
        <w:t>308</w:t>
        <w:tab/>
      </w:r>
      <w:r>
        <w:rPr>
          <w:rFonts w:ascii="Calibri" w:hAnsi="Calibri"/>
          <w:color w:val="6D6E71"/>
          <w:sz w:val="15"/>
        </w:rPr>
        <w:t>Francisco Herrera </w:t>
      </w:r>
      <w:r>
        <w:rPr>
          <w:rFonts w:ascii="Calibri" w:hAnsi="Calibri"/>
          <w:color w:val="6D6E71"/>
          <w:spacing w:val="-3"/>
          <w:sz w:val="15"/>
        </w:rPr>
        <w:t>Tapia   </w:t>
      </w:r>
      <w:r>
        <w:rPr>
          <w:rFonts w:ascii="Calibri" w:hAnsi="Calibri"/>
          <w:color w:val="6D6E71"/>
          <w:sz w:val="15"/>
        </w:rPr>
        <w:t>y Alejandro Rosendo </w:t>
      </w:r>
      <w:r>
        <w:rPr>
          <w:rFonts w:ascii="Calibri" w:hAnsi="Calibri"/>
          <w:color w:val="6D6E71"/>
          <w:spacing w:val="7"/>
          <w:sz w:val="15"/>
        </w:rPr>
        <w:t> </w:t>
      </w:r>
      <w:r>
        <w:rPr>
          <w:rFonts w:ascii="Calibri" w:hAnsi="Calibri"/>
          <w:color w:val="6D6E71"/>
          <w:sz w:val="15"/>
        </w:rPr>
        <w:t>Chávez</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footerReference w:type="default" r:id="rId337"/>
          <w:pgSz w:w="10480" w:h="14730"/>
          <w:pgMar w:footer="223" w:header="0" w:top="300" w:bottom="420" w:left="0" w:right="0"/>
        </w:sectPr>
      </w:pPr>
    </w:p>
    <w:p>
      <w:pPr>
        <w:pStyle w:val="BodyText"/>
        <w:spacing w:before="1"/>
        <w:rPr>
          <w:rFonts w:ascii="Calibri"/>
          <w:sz w:val="16"/>
        </w:rPr>
      </w:pPr>
    </w:p>
    <w:p>
      <w:pPr>
        <w:spacing w:line="180" w:lineRule="exact" w:before="0"/>
        <w:ind w:left="4547" w:right="-12" w:hanging="1457"/>
        <w:jc w:val="left"/>
        <w:rPr>
          <w:rFonts w:ascii="Lucida Sans Unicode" w:hAnsi="Lucida Sans Unicode"/>
          <w:sz w:val="14"/>
        </w:rPr>
      </w:pPr>
      <w:r>
        <w:rPr/>
        <w:pict>
          <v:line style="position:absolute;mso-position-horizontal-relative:page;mso-position-vertical-relative:paragraph;z-index:37816" from="405.061005pt,-28.381052pt" to="405.061005pt,6.484822pt" stroked="true" strokeweight=".35pt" strokecolor="#231f20">
            <w10:wrap type="none"/>
          </v:line>
        </w:pict>
      </w:r>
      <w:r>
        <w:rPr>
          <w:rFonts w:ascii="Lucida Sans Unicode" w:hAnsi="Lucida Sans Unicode"/>
          <w:color w:val="6D6E71"/>
          <w:w w:val="110"/>
          <w:sz w:val="14"/>
        </w:rPr>
        <w:t>TerriTorialidad</w:t>
      </w:r>
      <w:r>
        <w:rPr>
          <w:rFonts w:ascii="Lucida Sans Unicode" w:hAnsi="Lucida Sans Unicode"/>
          <w:color w:val="6D6E71"/>
          <w:spacing w:val="-27"/>
          <w:w w:val="110"/>
          <w:sz w:val="14"/>
        </w:rPr>
        <w:t> </w:t>
      </w:r>
      <w:r>
        <w:rPr>
          <w:rFonts w:ascii="Lucida Sans Unicode" w:hAnsi="Lucida Sans Unicode"/>
          <w:color w:val="6D6E71"/>
          <w:w w:val="120"/>
          <w:sz w:val="14"/>
        </w:rPr>
        <w:t>rural</w:t>
      </w:r>
      <w:r>
        <w:rPr>
          <w:rFonts w:ascii="Lucida Sans Unicode" w:hAnsi="Lucida Sans Unicode"/>
          <w:color w:val="6D6E71"/>
          <w:spacing w:val="-32"/>
          <w:w w:val="120"/>
          <w:sz w:val="14"/>
        </w:rPr>
        <w:t> </w:t>
      </w:r>
      <w:r>
        <w:rPr>
          <w:rFonts w:ascii="Lucida Sans Unicode" w:hAnsi="Lucida Sans Unicode"/>
          <w:color w:val="6D6E71"/>
          <w:w w:val="110"/>
          <w:sz w:val="14"/>
        </w:rPr>
        <w:t>y</w:t>
      </w:r>
      <w:r>
        <w:rPr>
          <w:rFonts w:ascii="Lucida Sans Unicode" w:hAnsi="Lucida Sans Unicode"/>
          <w:color w:val="6D6E71"/>
          <w:spacing w:val="-27"/>
          <w:w w:val="110"/>
          <w:sz w:val="14"/>
        </w:rPr>
        <w:t> </w:t>
      </w:r>
      <w:r>
        <w:rPr>
          <w:rFonts w:ascii="Lucida Sans Unicode" w:hAnsi="Lucida Sans Unicode"/>
          <w:color w:val="6D6E71"/>
          <w:w w:val="110"/>
          <w:sz w:val="14"/>
        </w:rPr>
        <w:t>redes</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migración</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spacing w:val="-3"/>
          <w:w w:val="110"/>
          <w:sz w:val="14"/>
        </w:rPr>
        <w:t>almoloya</w:t>
      </w:r>
      <w:r>
        <w:rPr>
          <w:rFonts w:ascii="Lucida Sans Unicode" w:hAnsi="Lucida Sans Unicode"/>
          <w:color w:val="6D6E71"/>
          <w:spacing w:val="-27"/>
          <w:w w:val="110"/>
          <w:sz w:val="14"/>
        </w:rPr>
        <w:t> </w:t>
      </w:r>
      <w:r>
        <w:rPr>
          <w:rFonts w:ascii="Lucida Sans Unicode" w:hAnsi="Lucida Sans Unicode"/>
          <w:color w:val="6D6E71"/>
          <w:w w:val="110"/>
          <w:sz w:val="14"/>
        </w:rPr>
        <w:t>de</w:t>
      </w:r>
      <w:r>
        <w:rPr>
          <w:rFonts w:ascii="Lucida Sans Unicode" w:hAnsi="Lucida Sans Unicode"/>
          <w:color w:val="6D6E71"/>
          <w:spacing w:val="-27"/>
          <w:w w:val="110"/>
          <w:sz w:val="14"/>
        </w:rPr>
        <w:t> </w:t>
      </w:r>
      <w:r>
        <w:rPr>
          <w:rFonts w:ascii="Lucida Sans Unicode" w:hAnsi="Lucida Sans Unicode"/>
          <w:color w:val="6D6E71"/>
          <w:w w:val="110"/>
          <w:sz w:val="14"/>
        </w:rPr>
        <w:t>alquisiras. </w:t>
      </w:r>
      <w:r>
        <w:rPr>
          <w:rFonts w:ascii="Lucida Sans Unicode" w:hAnsi="Lucida Sans Unicode"/>
          <w:color w:val="6D6E71"/>
          <w:w w:val="105"/>
          <w:sz w:val="14"/>
        </w:rPr>
        <w:t>un</w:t>
      </w:r>
      <w:r>
        <w:rPr>
          <w:rFonts w:ascii="Lucida Sans Unicode" w:hAnsi="Lucida Sans Unicode"/>
          <w:color w:val="6D6E71"/>
          <w:spacing w:val="-19"/>
          <w:w w:val="105"/>
          <w:sz w:val="14"/>
        </w:rPr>
        <w:t> </w:t>
      </w:r>
      <w:r>
        <w:rPr>
          <w:rFonts w:ascii="Lucida Sans Unicode" w:hAnsi="Lucida Sans Unicode"/>
          <w:color w:val="6D6E71"/>
          <w:w w:val="105"/>
          <w:sz w:val="14"/>
        </w:rPr>
        <w:t>análisis</w:t>
      </w:r>
      <w:r>
        <w:rPr>
          <w:rFonts w:ascii="Lucida Sans Unicode" w:hAnsi="Lucida Sans Unicode"/>
          <w:color w:val="6D6E71"/>
          <w:spacing w:val="-19"/>
          <w:w w:val="105"/>
          <w:sz w:val="14"/>
        </w:rPr>
        <w:t> </w:t>
      </w:r>
      <w:r>
        <w:rPr>
          <w:rFonts w:ascii="Lucida Sans Unicode" w:hAnsi="Lucida Sans Unicode"/>
          <w:color w:val="6D6E71"/>
          <w:w w:val="105"/>
          <w:sz w:val="14"/>
        </w:rPr>
        <w:t>desde</w:t>
      </w:r>
      <w:r>
        <w:rPr>
          <w:rFonts w:ascii="Lucida Sans Unicode" w:hAnsi="Lucida Sans Unicode"/>
          <w:color w:val="6D6E71"/>
          <w:spacing w:val="-19"/>
          <w:w w:val="105"/>
          <w:sz w:val="14"/>
        </w:rPr>
        <w:t> </w:t>
      </w:r>
      <w:r>
        <w:rPr>
          <w:rFonts w:ascii="Lucida Sans Unicode" w:hAnsi="Lucida Sans Unicode"/>
          <w:color w:val="6D6E71"/>
          <w:w w:val="105"/>
          <w:sz w:val="14"/>
        </w:rPr>
        <w:t>la</w:t>
      </w:r>
      <w:r>
        <w:rPr>
          <w:rFonts w:ascii="Lucida Sans Unicode" w:hAnsi="Lucida Sans Unicode"/>
          <w:color w:val="6D6E71"/>
          <w:spacing w:val="-19"/>
          <w:w w:val="105"/>
          <w:sz w:val="14"/>
        </w:rPr>
        <w:t> </w:t>
      </w:r>
      <w:r>
        <w:rPr>
          <w:rFonts w:ascii="Lucida Sans Unicode" w:hAnsi="Lucida Sans Unicode"/>
          <w:color w:val="6D6E71"/>
          <w:w w:val="105"/>
          <w:sz w:val="14"/>
        </w:rPr>
        <w:t>mirada</w:t>
      </w:r>
      <w:r>
        <w:rPr>
          <w:rFonts w:ascii="Lucida Sans Unicode" w:hAnsi="Lucida Sans Unicode"/>
          <w:color w:val="6D6E71"/>
          <w:spacing w:val="-19"/>
          <w:w w:val="105"/>
          <w:sz w:val="14"/>
        </w:rPr>
        <w:t> </w:t>
      </w:r>
      <w:r>
        <w:rPr>
          <w:rFonts w:ascii="Lucida Sans Unicode" w:hAnsi="Lucida Sans Unicode"/>
          <w:color w:val="6D6E71"/>
          <w:w w:val="105"/>
          <w:sz w:val="14"/>
        </w:rPr>
        <w:t>de</w:t>
      </w:r>
      <w:r>
        <w:rPr>
          <w:rFonts w:ascii="Lucida Sans Unicode" w:hAnsi="Lucida Sans Unicode"/>
          <w:color w:val="6D6E71"/>
          <w:spacing w:val="-19"/>
          <w:w w:val="105"/>
          <w:sz w:val="14"/>
        </w:rPr>
        <w:t> </w:t>
      </w:r>
      <w:r>
        <w:rPr>
          <w:rFonts w:ascii="Lucida Sans Unicode" w:hAnsi="Lucida Sans Unicode"/>
          <w:color w:val="6D6E71"/>
          <w:w w:val="105"/>
          <w:sz w:val="14"/>
        </w:rPr>
        <w:t>sus</w:t>
      </w:r>
      <w:r>
        <w:rPr>
          <w:rFonts w:ascii="Lucida Sans Unicode" w:hAnsi="Lucida Sans Unicode"/>
          <w:color w:val="6D6E71"/>
          <w:spacing w:val="-19"/>
          <w:w w:val="105"/>
          <w:sz w:val="14"/>
        </w:rPr>
        <w:t> </w:t>
      </w:r>
      <w:r>
        <w:rPr>
          <w:rFonts w:ascii="Lucida Sans Unicode" w:hAnsi="Lucida Sans Unicode"/>
          <w:color w:val="6D6E71"/>
          <w:w w:val="105"/>
          <w:sz w:val="14"/>
        </w:rPr>
        <w:t>proTagonisTas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37840" from="15pt,-28.286539pt" to="0pt,-28.286539pt" stroked="true" strokeweight=".25pt" strokecolor="#000000">
            <w10:wrap type="none"/>
          </v:line>
        </w:pict>
      </w:r>
      <w:r>
        <w:rPr/>
        <w:pict>
          <v:line style="position:absolute;mso-position-horizontal-relative:page;mso-position-vertical-relative:paragraph;z-index:37864" from="508.890015pt,-28.286539pt" to="523.890015pt,-28.286539pt" stroked="true" strokeweight=".25pt" strokecolor="#000000">
            <w10:wrap type="none"/>
          </v:line>
        </w:pict>
      </w:r>
      <w:r>
        <w:rPr>
          <w:rFonts w:ascii="Arial"/>
          <w:color w:val="414042"/>
          <w:sz w:val="20"/>
        </w:rPr>
        <w:t>309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spacing w:line="261" w:lineRule="auto" w:before="61"/>
        <w:ind w:left="2574" w:right="1721" w:hanging="737"/>
        <w:jc w:val="both"/>
        <w:rPr>
          <w:sz w:val="21"/>
        </w:rPr>
      </w:pPr>
      <w:r>
        <w:rPr>
          <w:color w:val="231F20"/>
          <w:w w:val="105"/>
          <w:sz w:val="21"/>
        </w:rPr>
        <w:t>Román Reyes, Patricia, (2012), “La encuesta sobre migración de</w:t>
      </w:r>
      <w:r>
        <w:rPr>
          <w:color w:val="231F20"/>
          <w:spacing w:val="-19"/>
          <w:w w:val="105"/>
          <w:sz w:val="21"/>
        </w:rPr>
        <w:t> </w:t>
      </w:r>
      <w:r>
        <w:rPr>
          <w:color w:val="231F20"/>
          <w:w w:val="105"/>
          <w:sz w:val="21"/>
        </w:rPr>
        <w:t>mexi- quenses</w:t>
      </w:r>
      <w:r>
        <w:rPr>
          <w:color w:val="231F20"/>
          <w:spacing w:val="-23"/>
          <w:w w:val="105"/>
          <w:sz w:val="21"/>
        </w:rPr>
        <w:t> </w:t>
      </w:r>
      <w:r>
        <w:rPr>
          <w:color w:val="231F20"/>
          <w:w w:val="105"/>
          <w:sz w:val="21"/>
        </w:rPr>
        <w:t>a</w:t>
      </w:r>
      <w:r>
        <w:rPr>
          <w:color w:val="231F20"/>
          <w:spacing w:val="-23"/>
          <w:w w:val="105"/>
          <w:sz w:val="21"/>
        </w:rPr>
        <w:t> </w:t>
      </w:r>
      <w:r>
        <w:rPr>
          <w:color w:val="231F20"/>
          <w:w w:val="105"/>
          <w:sz w:val="21"/>
        </w:rPr>
        <w:t>Estados</w:t>
      </w:r>
      <w:r>
        <w:rPr>
          <w:color w:val="231F20"/>
          <w:spacing w:val="-23"/>
          <w:w w:val="105"/>
          <w:sz w:val="21"/>
        </w:rPr>
        <w:t> </w:t>
      </w:r>
      <w:r>
        <w:rPr>
          <w:color w:val="231F20"/>
          <w:w w:val="105"/>
          <w:sz w:val="21"/>
        </w:rPr>
        <w:t>Unidos</w:t>
      </w:r>
      <w:r>
        <w:rPr>
          <w:color w:val="231F20"/>
          <w:spacing w:val="-23"/>
          <w:w w:val="105"/>
          <w:sz w:val="21"/>
        </w:rPr>
        <w:t> </w:t>
      </w:r>
      <w:r>
        <w:rPr>
          <w:color w:val="231F20"/>
          <w:w w:val="105"/>
          <w:sz w:val="17"/>
        </w:rPr>
        <w:t>EMMEU</w:t>
      </w:r>
      <w:r>
        <w:rPr>
          <w:color w:val="231F20"/>
          <w:spacing w:val="-12"/>
          <w:w w:val="105"/>
          <w:sz w:val="17"/>
        </w:rPr>
        <w:t> </w:t>
      </w:r>
      <w:r>
        <w:rPr>
          <w:color w:val="231F20"/>
          <w:spacing w:val="-5"/>
          <w:w w:val="105"/>
          <w:sz w:val="21"/>
        </w:rPr>
        <w:t>2009”,</w:t>
      </w:r>
      <w:r>
        <w:rPr>
          <w:color w:val="231F20"/>
          <w:spacing w:val="-27"/>
          <w:w w:val="105"/>
          <w:sz w:val="21"/>
        </w:rPr>
        <w:t> </w:t>
      </w:r>
      <w:r>
        <w:rPr>
          <w:color w:val="231F20"/>
          <w:w w:val="105"/>
          <w:sz w:val="21"/>
        </w:rPr>
        <w:t>en</w:t>
      </w:r>
      <w:r>
        <w:rPr>
          <w:color w:val="231F20"/>
          <w:spacing w:val="-25"/>
          <w:w w:val="105"/>
          <w:sz w:val="21"/>
        </w:rPr>
        <w:t> </w:t>
      </w:r>
      <w:r>
        <w:rPr>
          <w:color w:val="231F20"/>
          <w:w w:val="105"/>
          <w:sz w:val="21"/>
        </w:rPr>
        <w:t>Juan</w:t>
      </w:r>
      <w:r>
        <w:rPr>
          <w:color w:val="231F20"/>
          <w:spacing w:val="-23"/>
          <w:w w:val="105"/>
          <w:sz w:val="21"/>
        </w:rPr>
        <w:t> </w:t>
      </w:r>
      <w:r>
        <w:rPr>
          <w:color w:val="231F20"/>
          <w:w w:val="105"/>
          <w:sz w:val="21"/>
        </w:rPr>
        <w:t>Gabino</w:t>
      </w:r>
      <w:r>
        <w:rPr>
          <w:color w:val="231F20"/>
          <w:spacing w:val="-23"/>
          <w:w w:val="105"/>
          <w:sz w:val="21"/>
        </w:rPr>
        <w:t> </w:t>
      </w:r>
      <w:r>
        <w:rPr>
          <w:color w:val="231F20"/>
          <w:w w:val="105"/>
          <w:sz w:val="21"/>
        </w:rPr>
        <w:t>Gonzá- lez</w:t>
      </w:r>
      <w:r>
        <w:rPr>
          <w:color w:val="231F20"/>
          <w:spacing w:val="-25"/>
          <w:w w:val="105"/>
          <w:sz w:val="21"/>
        </w:rPr>
        <w:t> </w:t>
      </w:r>
      <w:r>
        <w:rPr>
          <w:color w:val="231F20"/>
          <w:w w:val="105"/>
          <w:sz w:val="21"/>
        </w:rPr>
        <w:t>Becerril</w:t>
      </w:r>
      <w:r>
        <w:rPr>
          <w:color w:val="231F20"/>
          <w:spacing w:val="-25"/>
          <w:w w:val="105"/>
          <w:sz w:val="21"/>
        </w:rPr>
        <w:t> </w:t>
      </w:r>
      <w:r>
        <w:rPr>
          <w:color w:val="231F20"/>
          <w:w w:val="105"/>
          <w:sz w:val="21"/>
        </w:rPr>
        <w:t>y</w:t>
      </w:r>
      <w:r>
        <w:rPr>
          <w:color w:val="231F20"/>
          <w:spacing w:val="-27"/>
          <w:w w:val="105"/>
          <w:sz w:val="21"/>
        </w:rPr>
        <w:t> </w:t>
      </w:r>
      <w:r>
        <w:rPr>
          <w:color w:val="231F20"/>
          <w:w w:val="105"/>
          <w:sz w:val="21"/>
        </w:rPr>
        <w:t>Jaciel</w:t>
      </w:r>
      <w:r>
        <w:rPr>
          <w:color w:val="231F20"/>
          <w:spacing w:val="-25"/>
          <w:w w:val="105"/>
          <w:sz w:val="21"/>
        </w:rPr>
        <w:t> </w:t>
      </w:r>
      <w:r>
        <w:rPr>
          <w:color w:val="231F20"/>
          <w:w w:val="105"/>
          <w:sz w:val="21"/>
        </w:rPr>
        <w:t>Montoya</w:t>
      </w:r>
      <w:r>
        <w:rPr>
          <w:color w:val="231F20"/>
          <w:spacing w:val="-27"/>
          <w:w w:val="105"/>
          <w:sz w:val="21"/>
        </w:rPr>
        <w:t> </w:t>
      </w:r>
      <w:r>
        <w:rPr>
          <w:color w:val="231F20"/>
          <w:w w:val="105"/>
          <w:sz w:val="21"/>
        </w:rPr>
        <w:t>Arce</w:t>
      </w:r>
      <w:r>
        <w:rPr>
          <w:color w:val="231F20"/>
          <w:spacing w:val="-25"/>
          <w:w w:val="105"/>
          <w:sz w:val="21"/>
        </w:rPr>
        <w:t> </w:t>
      </w:r>
      <w:r>
        <w:rPr>
          <w:color w:val="231F20"/>
          <w:w w:val="105"/>
          <w:sz w:val="21"/>
        </w:rPr>
        <w:t>(comps.),</w:t>
      </w:r>
      <w:r>
        <w:rPr>
          <w:color w:val="231F20"/>
          <w:spacing w:val="-29"/>
          <w:w w:val="105"/>
          <w:sz w:val="21"/>
        </w:rPr>
        <w:t> </w:t>
      </w:r>
      <w:r>
        <w:rPr>
          <w:rFonts w:ascii="Arial" w:hAnsi="Arial"/>
          <w:i/>
          <w:color w:val="231F20"/>
          <w:w w:val="105"/>
          <w:sz w:val="21"/>
        </w:rPr>
        <w:t>Migración</w:t>
      </w:r>
      <w:r>
        <w:rPr>
          <w:rFonts w:ascii="Arial" w:hAnsi="Arial"/>
          <w:i/>
          <w:color w:val="231F20"/>
          <w:spacing w:val="-27"/>
          <w:w w:val="105"/>
          <w:sz w:val="21"/>
        </w:rPr>
        <w:t> </w:t>
      </w:r>
      <w:r>
        <w:rPr>
          <w:rFonts w:ascii="Arial" w:hAnsi="Arial"/>
          <w:i/>
          <w:color w:val="231F20"/>
          <w:w w:val="105"/>
          <w:sz w:val="21"/>
        </w:rPr>
        <w:t>mexiquen- </w:t>
      </w:r>
      <w:r>
        <w:rPr>
          <w:rFonts w:ascii="Arial" w:hAnsi="Arial"/>
          <w:i/>
          <w:color w:val="231F20"/>
          <w:w w:val="105"/>
          <w:sz w:val="21"/>
        </w:rPr>
        <w:t>se</w:t>
      </w:r>
      <w:r>
        <w:rPr>
          <w:rFonts w:ascii="Arial" w:hAnsi="Arial"/>
          <w:i/>
          <w:color w:val="231F20"/>
          <w:spacing w:val="-37"/>
          <w:w w:val="105"/>
          <w:sz w:val="21"/>
        </w:rPr>
        <w:t> </w:t>
      </w:r>
      <w:r>
        <w:rPr>
          <w:rFonts w:ascii="Arial" w:hAnsi="Arial"/>
          <w:i/>
          <w:color w:val="231F20"/>
          <w:w w:val="105"/>
          <w:sz w:val="21"/>
        </w:rPr>
        <w:t>a</w:t>
      </w:r>
      <w:r>
        <w:rPr>
          <w:rFonts w:ascii="Arial" w:hAnsi="Arial"/>
          <w:i/>
          <w:color w:val="231F20"/>
          <w:spacing w:val="-37"/>
          <w:w w:val="105"/>
          <w:sz w:val="21"/>
        </w:rPr>
        <w:t> </w:t>
      </w:r>
      <w:r>
        <w:rPr>
          <w:rFonts w:ascii="Arial" w:hAnsi="Arial"/>
          <w:i/>
          <w:color w:val="231F20"/>
          <w:w w:val="105"/>
          <w:sz w:val="21"/>
        </w:rPr>
        <w:t>Estados</w:t>
      </w:r>
      <w:r>
        <w:rPr>
          <w:rFonts w:ascii="Arial" w:hAnsi="Arial"/>
          <w:i/>
          <w:color w:val="231F20"/>
          <w:spacing w:val="-37"/>
          <w:w w:val="105"/>
          <w:sz w:val="21"/>
        </w:rPr>
        <w:t> </w:t>
      </w:r>
      <w:r>
        <w:rPr>
          <w:rFonts w:ascii="Arial" w:hAnsi="Arial"/>
          <w:i/>
          <w:color w:val="231F20"/>
          <w:w w:val="105"/>
          <w:sz w:val="21"/>
        </w:rPr>
        <w:t>Unidos:</w:t>
      </w:r>
      <w:r>
        <w:rPr>
          <w:rFonts w:ascii="Arial" w:hAnsi="Arial"/>
          <w:i/>
          <w:color w:val="231F20"/>
          <w:spacing w:val="-37"/>
          <w:w w:val="105"/>
          <w:sz w:val="21"/>
        </w:rPr>
        <w:t> </w:t>
      </w:r>
      <w:r>
        <w:rPr>
          <w:rFonts w:ascii="Arial" w:hAnsi="Arial"/>
          <w:i/>
          <w:color w:val="231F20"/>
          <w:w w:val="105"/>
          <w:sz w:val="21"/>
        </w:rPr>
        <w:t>un</w:t>
      </w:r>
      <w:r>
        <w:rPr>
          <w:rFonts w:ascii="Arial" w:hAnsi="Arial"/>
          <w:i/>
          <w:color w:val="231F20"/>
          <w:spacing w:val="-37"/>
          <w:w w:val="105"/>
          <w:sz w:val="21"/>
        </w:rPr>
        <w:t> </w:t>
      </w:r>
      <w:r>
        <w:rPr>
          <w:rFonts w:ascii="Arial" w:hAnsi="Arial"/>
          <w:i/>
          <w:color w:val="231F20"/>
          <w:w w:val="105"/>
          <w:sz w:val="21"/>
        </w:rPr>
        <w:t>análisis</w:t>
      </w:r>
      <w:r>
        <w:rPr>
          <w:rFonts w:ascii="Arial" w:hAnsi="Arial"/>
          <w:i/>
          <w:color w:val="231F20"/>
          <w:spacing w:val="-37"/>
          <w:w w:val="105"/>
          <w:sz w:val="21"/>
        </w:rPr>
        <w:t> </w:t>
      </w:r>
      <w:r>
        <w:rPr>
          <w:rFonts w:ascii="Arial" w:hAnsi="Arial"/>
          <w:i/>
          <w:color w:val="231F20"/>
          <w:w w:val="105"/>
          <w:sz w:val="21"/>
        </w:rPr>
        <w:t>interdisciplinario</w:t>
      </w:r>
      <w:r>
        <w:rPr>
          <w:color w:val="231F20"/>
          <w:w w:val="105"/>
          <w:sz w:val="21"/>
        </w:rPr>
        <w:t>,</w:t>
      </w:r>
      <w:r>
        <w:rPr>
          <w:color w:val="231F20"/>
          <w:spacing w:val="-40"/>
          <w:w w:val="105"/>
          <w:sz w:val="21"/>
        </w:rPr>
        <w:t> </w:t>
      </w:r>
      <w:r>
        <w:rPr>
          <w:color w:val="231F20"/>
          <w:spacing w:val="-3"/>
          <w:w w:val="105"/>
          <w:sz w:val="21"/>
        </w:rPr>
        <w:t>Toluca,</w:t>
      </w:r>
      <w:r>
        <w:rPr>
          <w:color w:val="231F20"/>
          <w:spacing w:val="-37"/>
          <w:w w:val="105"/>
          <w:sz w:val="21"/>
        </w:rPr>
        <w:t> </w:t>
      </w:r>
      <w:r>
        <w:rPr>
          <w:color w:val="231F20"/>
          <w:w w:val="105"/>
          <w:sz w:val="21"/>
        </w:rPr>
        <w:t>México: </w:t>
      </w:r>
      <w:r>
        <w:rPr>
          <w:color w:val="231F20"/>
          <w:w w:val="105"/>
          <w:sz w:val="17"/>
        </w:rPr>
        <w:t>UAEM</w:t>
      </w:r>
      <w:r>
        <w:rPr>
          <w:color w:val="231F20"/>
          <w:w w:val="105"/>
          <w:sz w:val="21"/>
        </w:rPr>
        <w:t>/</w:t>
      </w:r>
      <w:r>
        <w:rPr>
          <w:color w:val="231F20"/>
          <w:w w:val="105"/>
          <w:sz w:val="17"/>
        </w:rPr>
        <w:t>CIEAP</w:t>
      </w:r>
      <w:r>
        <w:rPr>
          <w:color w:val="231F20"/>
          <w:w w:val="105"/>
          <w:sz w:val="21"/>
        </w:rPr>
        <w:t>.</w:t>
      </w:r>
    </w:p>
    <w:p>
      <w:pPr>
        <w:spacing w:line="259" w:lineRule="auto" w:before="0"/>
        <w:ind w:left="2574" w:right="1722" w:hanging="738"/>
        <w:jc w:val="both"/>
        <w:rPr>
          <w:sz w:val="21"/>
        </w:rPr>
      </w:pPr>
      <w:r>
        <w:rPr>
          <w:color w:val="231F20"/>
          <w:sz w:val="21"/>
        </w:rPr>
        <w:t>Schjetman, Alexander y Berdegué, Julio, (2004), </w:t>
      </w:r>
      <w:r>
        <w:rPr>
          <w:rFonts w:ascii="Arial" w:hAnsi="Arial"/>
          <w:i/>
          <w:color w:val="231F20"/>
          <w:sz w:val="21"/>
        </w:rPr>
        <w:t>Desarrollo territorial ru- </w:t>
      </w:r>
      <w:r>
        <w:rPr>
          <w:rFonts w:ascii="Arial" w:hAnsi="Arial"/>
          <w:i/>
          <w:color w:val="231F20"/>
          <w:sz w:val="21"/>
        </w:rPr>
        <w:t>ral. Debates y temas</w:t>
      </w:r>
      <w:r>
        <w:rPr>
          <w:color w:val="231F20"/>
          <w:sz w:val="21"/>
        </w:rPr>
        <w:t>, núm. 1.</w:t>
      </w:r>
    </w:p>
    <w:p>
      <w:pPr>
        <w:pStyle w:val="BodyText"/>
        <w:spacing w:line="259" w:lineRule="auto" w:before="3"/>
        <w:ind w:left="2574" w:right="1721" w:hanging="738"/>
        <w:jc w:val="both"/>
      </w:pPr>
      <w:r>
        <w:rPr>
          <w:color w:val="231F20"/>
          <w:w w:val="105"/>
        </w:rPr>
        <w:t>Rubio,</w:t>
      </w:r>
      <w:r>
        <w:rPr>
          <w:color w:val="231F20"/>
          <w:spacing w:val="-8"/>
          <w:w w:val="105"/>
        </w:rPr>
        <w:t> </w:t>
      </w:r>
      <w:r>
        <w:rPr>
          <w:color w:val="231F20"/>
          <w:w w:val="105"/>
        </w:rPr>
        <w:t>Blanca,</w:t>
      </w:r>
      <w:r>
        <w:rPr>
          <w:color w:val="231F20"/>
          <w:spacing w:val="-8"/>
          <w:w w:val="105"/>
        </w:rPr>
        <w:t> </w:t>
      </w:r>
      <w:r>
        <w:rPr>
          <w:color w:val="231F20"/>
          <w:w w:val="105"/>
        </w:rPr>
        <w:t>(2006),</w:t>
      </w:r>
      <w:r>
        <w:rPr>
          <w:color w:val="231F20"/>
          <w:spacing w:val="-9"/>
          <w:w w:val="105"/>
        </w:rPr>
        <w:t> </w:t>
      </w:r>
      <w:r>
        <w:rPr>
          <w:color w:val="231F20"/>
          <w:w w:val="105"/>
        </w:rPr>
        <w:t>“Territorio</w:t>
      </w:r>
      <w:r>
        <w:rPr>
          <w:color w:val="231F20"/>
          <w:spacing w:val="-4"/>
          <w:w w:val="105"/>
        </w:rPr>
        <w:t> </w:t>
      </w:r>
      <w:r>
        <w:rPr>
          <w:color w:val="231F20"/>
          <w:w w:val="105"/>
        </w:rPr>
        <w:t>y</w:t>
      </w:r>
      <w:r>
        <w:rPr>
          <w:color w:val="231F20"/>
          <w:spacing w:val="-4"/>
          <w:w w:val="105"/>
        </w:rPr>
        <w:t> </w:t>
      </w:r>
      <w:r>
        <w:rPr>
          <w:color w:val="231F20"/>
          <w:w w:val="105"/>
        </w:rPr>
        <w:t>globalización</w:t>
      </w:r>
      <w:r>
        <w:rPr>
          <w:color w:val="231F20"/>
          <w:spacing w:val="-4"/>
          <w:w w:val="105"/>
        </w:rPr>
        <w:t> </w:t>
      </w:r>
      <w:r>
        <w:rPr>
          <w:color w:val="231F20"/>
          <w:w w:val="105"/>
        </w:rPr>
        <w:t>en</w:t>
      </w:r>
      <w:r>
        <w:rPr>
          <w:color w:val="231F20"/>
          <w:spacing w:val="-4"/>
          <w:w w:val="105"/>
        </w:rPr>
        <w:t> </w:t>
      </w:r>
      <w:r>
        <w:rPr>
          <w:color w:val="231F20"/>
          <w:w w:val="105"/>
        </w:rPr>
        <w:t>México.</w:t>
      </w:r>
      <w:r>
        <w:rPr>
          <w:color w:val="231F20"/>
          <w:spacing w:val="-8"/>
          <w:w w:val="105"/>
        </w:rPr>
        <w:t> </w:t>
      </w:r>
      <w:r>
        <w:rPr>
          <w:color w:val="231F20"/>
          <w:w w:val="105"/>
        </w:rPr>
        <w:t>¿Un</w:t>
      </w:r>
      <w:r>
        <w:rPr>
          <w:color w:val="231F20"/>
          <w:spacing w:val="-4"/>
          <w:w w:val="105"/>
        </w:rPr>
        <w:t> </w:t>
      </w:r>
      <w:r>
        <w:rPr>
          <w:color w:val="231F20"/>
          <w:w w:val="105"/>
        </w:rPr>
        <w:t>nuevo paradigma</w:t>
      </w:r>
      <w:r>
        <w:rPr>
          <w:color w:val="231F20"/>
          <w:spacing w:val="-23"/>
          <w:w w:val="105"/>
        </w:rPr>
        <w:t> </w:t>
      </w:r>
      <w:r>
        <w:rPr>
          <w:color w:val="231F20"/>
          <w:spacing w:val="-4"/>
          <w:w w:val="105"/>
        </w:rPr>
        <w:t>rural?”,</w:t>
      </w:r>
      <w:r>
        <w:rPr>
          <w:color w:val="231F20"/>
          <w:spacing w:val="-27"/>
          <w:w w:val="105"/>
        </w:rPr>
        <w:t> </w:t>
      </w:r>
      <w:r>
        <w:rPr>
          <w:rFonts w:ascii="Arial" w:hAnsi="Arial"/>
          <w:i/>
          <w:color w:val="231F20"/>
          <w:w w:val="105"/>
        </w:rPr>
        <w:t>Comercio</w:t>
      </w:r>
      <w:r>
        <w:rPr>
          <w:rFonts w:ascii="Arial" w:hAnsi="Arial"/>
          <w:i/>
          <w:color w:val="231F20"/>
          <w:spacing w:val="-25"/>
          <w:w w:val="105"/>
        </w:rPr>
        <w:t> </w:t>
      </w:r>
      <w:r>
        <w:rPr>
          <w:rFonts w:ascii="Arial" w:hAnsi="Arial"/>
          <w:i/>
          <w:color w:val="231F20"/>
          <w:w w:val="105"/>
        </w:rPr>
        <w:t>Exterior</w:t>
      </w:r>
      <w:r>
        <w:rPr>
          <w:color w:val="231F20"/>
          <w:w w:val="105"/>
        </w:rPr>
        <w:t>,</w:t>
      </w:r>
      <w:r>
        <w:rPr>
          <w:color w:val="231F20"/>
          <w:spacing w:val="-27"/>
          <w:w w:val="105"/>
        </w:rPr>
        <w:t> </w:t>
      </w:r>
      <w:r>
        <w:rPr>
          <w:color w:val="231F20"/>
          <w:w w:val="105"/>
        </w:rPr>
        <w:t>vol.</w:t>
      </w:r>
      <w:r>
        <w:rPr>
          <w:color w:val="231F20"/>
          <w:spacing w:val="-27"/>
          <w:w w:val="105"/>
        </w:rPr>
        <w:t> </w:t>
      </w:r>
      <w:r>
        <w:rPr>
          <w:color w:val="231F20"/>
          <w:w w:val="105"/>
        </w:rPr>
        <w:t>5,</w:t>
      </w:r>
      <w:r>
        <w:rPr>
          <w:color w:val="231F20"/>
          <w:spacing w:val="-27"/>
          <w:w w:val="105"/>
        </w:rPr>
        <w:t> </w:t>
      </w:r>
      <w:r>
        <w:rPr>
          <w:color w:val="231F20"/>
          <w:w w:val="105"/>
        </w:rPr>
        <w:t>núm.</w:t>
      </w:r>
      <w:r>
        <w:rPr>
          <w:color w:val="231F20"/>
          <w:spacing w:val="-27"/>
          <w:w w:val="105"/>
        </w:rPr>
        <w:t> </w:t>
      </w:r>
      <w:r>
        <w:rPr>
          <w:color w:val="231F20"/>
          <w:w w:val="105"/>
        </w:rPr>
        <w:t>12.</w:t>
      </w:r>
    </w:p>
    <w:p>
      <w:pPr>
        <w:pStyle w:val="BodyText"/>
        <w:spacing w:line="261" w:lineRule="auto" w:before="3"/>
        <w:ind w:left="2574" w:right="1715" w:hanging="738"/>
        <w:jc w:val="both"/>
      </w:pPr>
      <w:r>
        <w:rPr>
          <w:color w:val="231F20"/>
          <w:w w:val="105"/>
        </w:rPr>
        <w:t>Salas,</w:t>
      </w:r>
      <w:r>
        <w:rPr>
          <w:color w:val="231F20"/>
          <w:spacing w:val="-41"/>
          <w:w w:val="105"/>
        </w:rPr>
        <w:t> </w:t>
      </w:r>
      <w:r>
        <w:rPr>
          <w:color w:val="231F20"/>
          <w:w w:val="105"/>
        </w:rPr>
        <w:t>Renato,</w:t>
      </w:r>
      <w:r>
        <w:rPr>
          <w:color w:val="231F20"/>
          <w:spacing w:val="-41"/>
          <w:w w:val="105"/>
        </w:rPr>
        <w:t> </w:t>
      </w:r>
      <w:r>
        <w:rPr>
          <w:color w:val="231F20"/>
          <w:w w:val="105"/>
        </w:rPr>
        <w:t>(2011),</w:t>
      </w:r>
      <w:r>
        <w:rPr>
          <w:color w:val="231F20"/>
          <w:spacing w:val="-41"/>
          <w:w w:val="105"/>
        </w:rPr>
        <w:t> </w:t>
      </w:r>
      <w:r>
        <w:rPr>
          <w:color w:val="231F20"/>
          <w:w w:val="105"/>
        </w:rPr>
        <w:t>“Las</w:t>
      </w:r>
      <w:r>
        <w:rPr>
          <w:color w:val="231F20"/>
          <w:spacing w:val="-39"/>
          <w:w w:val="105"/>
        </w:rPr>
        <w:t> </w:t>
      </w:r>
      <w:r>
        <w:rPr>
          <w:color w:val="231F20"/>
          <w:w w:val="105"/>
        </w:rPr>
        <w:t>aportaciones</w:t>
      </w:r>
      <w:r>
        <w:rPr>
          <w:color w:val="231F20"/>
          <w:spacing w:val="-39"/>
          <w:w w:val="105"/>
        </w:rPr>
        <w:t> </w:t>
      </w:r>
      <w:r>
        <w:rPr>
          <w:color w:val="231F20"/>
          <w:w w:val="105"/>
        </w:rPr>
        <w:t>técnicas</w:t>
      </w:r>
      <w:r>
        <w:rPr>
          <w:color w:val="231F20"/>
          <w:spacing w:val="-39"/>
          <w:w w:val="105"/>
        </w:rPr>
        <w:t> </w:t>
      </w:r>
      <w:r>
        <w:rPr>
          <w:color w:val="231F20"/>
          <w:w w:val="105"/>
        </w:rPr>
        <w:t>y</w:t>
      </w:r>
      <w:r>
        <w:rPr>
          <w:color w:val="231F20"/>
          <w:spacing w:val="-39"/>
          <w:w w:val="105"/>
        </w:rPr>
        <w:t> </w:t>
      </w:r>
      <w:r>
        <w:rPr>
          <w:color w:val="231F20"/>
          <w:w w:val="105"/>
        </w:rPr>
        <w:t>humanas</w:t>
      </w:r>
      <w:r>
        <w:rPr>
          <w:color w:val="231F20"/>
          <w:spacing w:val="-39"/>
          <w:w w:val="105"/>
        </w:rPr>
        <w:t> </w:t>
      </w:r>
      <w:r>
        <w:rPr>
          <w:color w:val="231F20"/>
          <w:w w:val="105"/>
        </w:rPr>
        <w:t>que</w:t>
      </w:r>
      <w:r>
        <w:rPr>
          <w:color w:val="231F20"/>
          <w:spacing w:val="-39"/>
          <w:w w:val="105"/>
        </w:rPr>
        <w:t> </w:t>
      </w:r>
      <w:r>
        <w:rPr>
          <w:color w:val="231F20"/>
          <w:w w:val="105"/>
        </w:rPr>
        <w:t>realizan los</w:t>
      </w:r>
      <w:r>
        <w:rPr>
          <w:color w:val="231F20"/>
          <w:spacing w:val="-21"/>
          <w:w w:val="105"/>
        </w:rPr>
        <w:t> </w:t>
      </w:r>
      <w:r>
        <w:rPr>
          <w:color w:val="231F20"/>
          <w:w w:val="105"/>
        </w:rPr>
        <w:t>migrantes</w:t>
      </w:r>
      <w:r>
        <w:rPr>
          <w:color w:val="231F20"/>
          <w:spacing w:val="-21"/>
          <w:w w:val="105"/>
        </w:rPr>
        <w:t> </w:t>
      </w:r>
      <w:r>
        <w:rPr>
          <w:color w:val="231F20"/>
          <w:w w:val="105"/>
        </w:rPr>
        <w:t>internacionales</w:t>
      </w:r>
      <w:r>
        <w:rPr>
          <w:color w:val="231F20"/>
          <w:spacing w:val="-21"/>
          <w:w w:val="105"/>
        </w:rPr>
        <w:t> </w:t>
      </w:r>
      <w:r>
        <w:rPr>
          <w:color w:val="231F20"/>
          <w:w w:val="105"/>
        </w:rPr>
        <w:t>de</w:t>
      </w:r>
      <w:r>
        <w:rPr>
          <w:color w:val="231F20"/>
          <w:spacing w:val="-21"/>
          <w:w w:val="105"/>
        </w:rPr>
        <w:t> </w:t>
      </w:r>
      <w:r>
        <w:rPr>
          <w:color w:val="231F20"/>
          <w:w w:val="105"/>
        </w:rPr>
        <w:t>retorno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Estado</w:t>
      </w:r>
      <w:r>
        <w:rPr>
          <w:color w:val="231F20"/>
          <w:spacing w:val="-21"/>
          <w:w w:val="105"/>
        </w:rPr>
        <w:t> </w:t>
      </w:r>
      <w:r>
        <w:rPr>
          <w:color w:val="231F20"/>
          <w:w w:val="105"/>
        </w:rPr>
        <w:t>de</w:t>
      </w:r>
      <w:r>
        <w:rPr>
          <w:color w:val="231F20"/>
          <w:spacing w:val="-21"/>
          <w:w w:val="105"/>
        </w:rPr>
        <w:t> </w:t>
      </w:r>
      <w:r>
        <w:rPr>
          <w:color w:val="231F20"/>
          <w:spacing w:val="-4"/>
          <w:w w:val="105"/>
        </w:rPr>
        <w:t>México”, </w:t>
      </w:r>
      <w:r>
        <w:rPr>
          <w:rFonts w:ascii="Arial" w:hAnsi="Arial"/>
          <w:i/>
          <w:color w:val="231F20"/>
          <w:w w:val="105"/>
        </w:rPr>
        <w:t>Cofactor</w:t>
      </w:r>
      <w:r>
        <w:rPr>
          <w:color w:val="231F20"/>
          <w:w w:val="105"/>
        </w:rPr>
        <w:t>,</w:t>
      </w:r>
      <w:r>
        <w:rPr>
          <w:color w:val="231F20"/>
          <w:spacing w:val="-29"/>
          <w:w w:val="105"/>
        </w:rPr>
        <w:t> </w:t>
      </w:r>
      <w:r>
        <w:rPr>
          <w:color w:val="231F20"/>
          <w:w w:val="105"/>
        </w:rPr>
        <w:t>vol.</w:t>
      </w:r>
      <w:r>
        <w:rPr>
          <w:color w:val="231F20"/>
          <w:spacing w:val="-29"/>
          <w:w w:val="105"/>
        </w:rPr>
        <w:t> </w:t>
      </w:r>
      <w:r>
        <w:rPr>
          <w:color w:val="231F20"/>
          <w:w w:val="105"/>
        </w:rPr>
        <w:t>II,</w:t>
      </w:r>
      <w:r>
        <w:rPr>
          <w:color w:val="231F20"/>
          <w:spacing w:val="-29"/>
          <w:w w:val="105"/>
        </w:rPr>
        <w:t> </w:t>
      </w:r>
      <w:r>
        <w:rPr>
          <w:color w:val="231F20"/>
          <w:w w:val="105"/>
        </w:rPr>
        <w:t>núm.</w:t>
      </w:r>
      <w:r>
        <w:rPr>
          <w:color w:val="231F20"/>
          <w:spacing w:val="-29"/>
          <w:w w:val="105"/>
        </w:rPr>
        <w:t> </w:t>
      </w:r>
      <w:r>
        <w:rPr>
          <w:color w:val="231F20"/>
          <w:w w:val="105"/>
        </w:rPr>
        <w:t>4.</w:t>
      </w:r>
    </w:p>
    <w:p>
      <w:pPr>
        <w:spacing w:line="259" w:lineRule="auto" w:before="0"/>
        <w:ind w:left="2574" w:right="1716" w:hanging="738"/>
        <w:jc w:val="both"/>
        <w:rPr>
          <w:sz w:val="21"/>
        </w:rPr>
      </w:pPr>
      <w:r>
        <w:rPr>
          <w:color w:val="231F20"/>
          <w:sz w:val="21"/>
        </w:rPr>
        <w:t>Soto Fernando, Luiz, Beduschi, Carlos y Falconi, </w:t>
      </w:r>
      <w:r>
        <w:rPr>
          <w:color w:val="231F20"/>
          <w:spacing w:val="-3"/>
          <w:sz w:val="21"/>
        </w:rPr>
        <w:t>César, </w:t>
      </w:r>
      <w:r>
        <w:rPr>
          <w:color w:val="231F20"/>
          <w:sz w:val="21"/>
        </w:rPr>
        <w:t>(2007),</w:t>
      </w:r>
      <w:r>
        <w:rPr>
          <w:color w:val="231F20"/>
          <w:spacing w:val="-26"/>
          <w:sz w:val="21"/>
        </w:rPr>
        <w:t> </w:t>
      </w:r>
      <w:r>
        <w:rPr>
          <w:rFonts w:ascii="Arial" w:hAnsi="Arial"/>
          <w:i/>
          <w:color w:val="231F20"/>
          <w:sz w:val="21"/>
        </w:rPr>
        <w:t>Desarrollo </w:t>
      </w:r>
      <w:r>
        <w:rPr>
          <w:rFonts w:ascii="Arial" w:hAnsi="Arial"/>
          <w:i/>
          <w:color w:val="231F20"/>
          <w:sz w:val="21"/>
        </w:rPr>
        <w:t>territorial rural: Análisis de experiencias en Brasil, Chile y México</w:t>
      </w:r>
      <w:r>
        <w:rPr>
          <w:color w:val="231F20"/>
          <w:sz w:val="21"/>
        </w:rPr>
        <w:t>, Santiago de Chile:</w:t>
      </w:r>
      <w:r>
        <w:rPr>
          <w:color w:val="231F20"/>
          <w:spacing w:val="53"/>
          <w:sz w:val="21"/>
        </w:rPr>
        <w:t> </w:t>
      </w:r>
      <w:r>
        <w:rPr>
          <w:color w:val="231F20"/>
          <w:spacing w:val="-4"/>
          <w:sz w:val="17"/>
        </w:rPr>
        <w:t>FAO</w:t>
      </w:r>
      <w:r>
        <w:rPr>
          <w:color w:val="231F20"/>
          <w:spacing w:val="-4"/>
          <w:sz w:val="21"/>
        </w:rPr>
        <w:t>.</w:t>
      </w:r>
    </w:p>
    <w:p>
      <w:pPr>
        <w:spacing w:line="259" w:lineRule="auto" w:before="0"/>
        <w:ind w:left="2574" w:right="1721" w:hanging="738"/>
        <w:jc w:val="both"/>
        <w:rPr>
          <w:sz w:val="21"/>
        </w:rPr>
      </w:pPr>
      <w:r>
        <w:rPr>
          <w:color w:val="231F20"/>
          <w:sz w:val="21"/>
        </w:rPr>
        <w:t>Tuirán, Rodolfo, (2000), </w:t>
      </w:r>
      <w:r>
        <w:rPr>
          <w:rFonts w:ascii="Arial" w:hAnsi="Arial"/>
          <w:i/>
          <w:color w:val="231F20"/>
          <w:sz w:val="21"/>
        </w:rPr>
        <w:t>Migración México-Estados Unidos, presente y fu- </w:t>
      </w:r>
      <w:r>
        <w:rPr>
          <w:rFonts w:ascii="Arial" w:hAnsi="Arial"/>
          <w:i/>
          <w:color w:val="231F20"/>
          <w:sz w:val="21"/>
        </w:rPr>
        <w:t>turo</w:t>
      </w:r>
      <w:r>
        <w:rPr>
          <w:color w:val="231F20"/>
          <w:sz w:val="21"/>
        </w:rPr>
        <w:t>, México: </w:t>
      </w:r>
      <w:r>
        <w:rPr>
          <w:color w:val="231F20"/>
          <w:sz w:val="17"/>
        </w:rPr>
        <w:t>CONAPO</w:t>
      </w:r>
      <w:r>
        <w:rPr>
          <w:color w:val="231F20"/>
          <w:sz w:val="21"/>
        </w:rPr>
        <w:t>.</w:t>
      </w:r>
    </w:p>
    <w:p>
      <w:pPr>
        <w:spacing w:after="0" w:line="259" w:lineRule="auto"/>
        <w:jc w:val="both"/>
        <w:rPr>
          <w:sz w:val="21"/>
        </w:rPr>
        <w:sectPr>
          <w:type w:val="continuous"/>
          <w:pgSz w:w="10480" w:h="14730"/>
          <w:pgMar w:top="0" w:bottom="0" w:left="0" w:right="0"/>
        </w:sectPr>
      </w:pPr>
    </w:p>
    <w:p>
      <w:pPr>
        <w:pStyle w:val="BodyText"/>
        <w:spacing w:before="4"/>
        <w:rPr>
          <w:rFonts w:ascii="Times New Roman"/>
          <w:sz w:val="17"/>
        </w:rPr>
      </w:pPr>
    </w:p>
    <w:p>
      <w:pPr>
        <w:spacing w:after="0"/>
        <w:rPr>
          <w:rFonts w:ascii="Times New Roman"/>
          <w:sz w:val="17"/>
        </w:rPr>
        <w:sectPr>
          <w:headerReference w:type="default" r:id="rId338"/>
          <w:footerReference w:type="default" r:id="rId339"/>
          <w:pgSz w:w="10480" w:h="14730"/>
          <w:pgMar w:header="0" w:footer="223" w:top="420" w:bottom="420" w:left="0" w:right="0"/>
        </w:sectPr>
      </w:pPr>
    </w:p>
    <w:p>
      <w:pPr>
        <w:pStyle w:val="BodyText"/>
        <w:rPr>
          <w:rFonts w:ascii="Times New Roman"/>
          <w:sz w:val="20"/>
        </w:rPr>
      </w:pPr>
      <w:r>
        <w:rPr/>
        <w:pict>
          <v:group style="position:absolute;margin-left:21pt;margin-top:20.999975pt;width:481.9pt;height:694.5pt;mso-position-horizontal-relative:page;mso-position-vertical-relative:page;z-index:-452296" coordorigin="420,420" coordsize="9638,13890">
            <v:rect style="position:absolute;left:420;top:420;width:9638;height:13890" filled="true" fillcolor="#77787b" stroked="false">
              <v:fill type="solid"/>
            </v:rect>
            <v:shape style="position:absolute;left:420;top:6577;width:9638;height:7733" type="#_x0000_t75" stroked="false">
              <v:imagedata r:id="rId317"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7"/>
        </w:rPr>
      </w:pPr>
    </w:p>
    <w:p>
      <w:pPr>
        <w:pStyle w:val="Heading2"/>
        <w:spacing w:line="187" w:lineRule="auto" w:before="63"/>
        <w:ind w:left="2924" w:right="4687" w:hanging="755"/>
      </w:pPr>
      <w:r>
        <w:rPr>
          <w:color w:val="FFFFFF"/>
          <w:w w:val="90"/>
        </w:rPr>
        <w:t>MIftRACIÓN INTERftENERACIONAL </w:t>
      </w:r>
      <w:r>
        <w:rPr>
          <w:color w:val="FFFFFF"/>
          <w:w w:val="95"/>
        </w:rPr>
        <w:t>EN EL ESTADO DE</w:t>
      </w:r>
    </w:p>
    <w:p>
      <w:pPr>
        <w:spacing w:line="187" w:lineRule="auto" w:before="0"/>
        <w:ind w:left="3696" w:right="4738" w:firstLine="147"/>
        <w:jc w:val="left"/>
        <w:rPr>
          <w:rFonts w:ascii="Lucida Sans Unicode" w:hAnsi="Lucida Sans Unicode"/>
          <w:sz w:val="24"/>
        </w:rPr>
      </w:pPr>
      <w:r>
        <w:rPr>
          <w:rFonts w:ascii="Lucida Sans Unicode" w:hAnsi="Lucida Sans Unicode"/>
          <w:color w:val="FFFFFF"/>
          <w:sz w:val="24"/>
        </w:rPr>
        <w:t>LA bÚSq </w:t>
      </w:r>
      <w:r>
        <w:rPr>
          <w:rFonts w:ascii="Lucida Sans Unicode" w:hAnsi="Lucida Sans Unicode"/>
          <w:color w:val="FFFFFF"/>
          <w:w w:val="95"/>
          <w:sz w:val="24"/>
        </w:rPr>
        <w:t>MOVILIDAD OCIAL</w:t>
      </w:r>
    </w:p>
    <w:p>
      <w:pPr>
        <w:pStyle w:val="Heading4"/>
        <w:spacing w:line="264" w:lineRule="exact" w:before="103"/>
        <w:ind w:left="5719" w:right="1683"/>
        <w:rPr>
          <w:sz w:val="18"/>
        </w:rPr>
      </w:pPr>
      <w:r>
        <w:rPr>
          <w:color w:val="FFFFFF"/>
        </w:rPr>
        <w:t>Zoraida Ronzón Hernández</w:t>
      </w:r>
      <w:r>
        <w:rPr>
          <w:color w:val="FFFFFF"/>
          <w:sz w:val="18"/>
        </w:rPr>
        <w:t>* </w:t>
      </w:r>
      <w:r>
        <w:rPr>
          <w:color w:val="FFFFFF"/>
        </w:rPr>
        <w:t>Norma Baca Tavira</w:t>
      </w:r>
      <w:r>
        <w:rPr>
          <w:color w:val="FFFFFF"/>
          <w:sz w:val="18"/>
        </w:rPr>
        <w:t>**</w:t>
      </w:r>
    </w:p>
    <w:p>
      <w:pPr>
        <w:spacing w:before="1"/>
        <w:ind w:left="6450" w:right="0" w:firstLine="0"/>
        <w:jc w:val="left"/>
        <w:rPr>
          <w:rFonts w:ascii="Calibri" w:hAnsi="Calibri"/>
          <w:sz w:val="18"/>
        </w:rPr>
      </w:pPr>
      <w:r>
        <w:rPr>
          <w:rFonts w:ascii="Calibri" w:hAnsi="Calibri"/>
          <w:color w:val="FFFFFF"/>
          <w:sz w:val="22"/>
        </w:rPr>
        <w:t>Román Reyes</w:t>
      </w:r>
      <w:r>
        <w:rPr>
          <w:rFonts w:ascii="Calibri" w:hAnsi="Calibri"/>
          <w:color w:val="FFFFFF"/>
          <w:sz w:val="18"/>
        </w:rPr>
        <w:t>***</w:t>
      </w:r>
    </w:p>
    <w:p>
      <w:pPr>
        <w:pStyle w:val="BodyText"/>
        <w:rPr>
          <w:rFonts w:ascii="Calibri"/>
          <w:sz w:val="22"/>
        </w:rPr>
      </w:pPr>
    </w:p>
    <w:p>
      <w:pPr>
        <w:pStyle w:val="BodyText"/>
        <w:rPr>
          <w:rFonts w:ascii="Calibri"/>
          <w:sz w:val="22"/>
        </w:rPr>
      </w:pPr>
    </w:p>
    <w:p>
      <w:pPr>
        <w:pStyle w:val="BodyText"/>
        <w:spacing w:before="3"/>
        <w:rPr>
          <w:rFonts w:ascii="Calibri"/>
          <w:sz w:val="32"/>
        </w:rPr>
      </w:pPr>
    </w:p>
    <w:p>
      <w:pPr>
        <w:spacing w:line="182" w:lineRule="exact" w:before="0"/>
        <w:ind w:left="2126" w:right="0" w:firstLine="0"/>
        <w:jc w:val="left"/>
        <w:rPr>
          <w:rFonts w:ascii="Calibri" w:hAnsi="Calibri"/>
          <w:sz w:val="15"/>
        </w:rPr>
      </w:pPr>
      <w:r>
        <w:rPr>
          <w:rFonts w:ascii="Calibri" w:hAnsi="Calibri"/>
          <w:color w:val="FFFFFF"/>
          <w:w w:val="105"/>
          <w:sz w:val="15"/>
        </w:rPr>
        <w:t>* Doctora en Antropología. Profesora investigadora en la Universidad Autónoma del Estado de México.</w:t>
      </w:r>
    </w:p>
    <w:p>
      <w:pPr>
        <w:spacing w:line="180" w:lineRule="exact" w:before="0"/>
        <w:ind w:left="2126" w:right="0" w:firstLine="0"/>
        <w:jc w:val="left"/>
        <w:rPr>
          <w:rFonts w:ascii="Calibri"/>
          <w:i/>
          <w:sz w:val="15"/>
        </w:rPr>
      </w:pPr>
      <w:hyperlink r:id="rId340">
        <w:r>
          <w:rPr>
            <w:rFonts w:ascii="Calibri"/>
            <w:i/>
            <w:color w:val="FFFFFF"/>
            <w:sz w:val="15"/>
          </w:rPr>
          <w:t>zoraronzon@hotmail.com</w:t>
        </w:r>
      </w:hyperlink>
    </w:p>
    <w:p>
      <w:pPr>
        <w:spacing w:line="235" w:lineRule="auto" w:before="1"/>
        <w:ind w:left="2126" w:right="1719" w:firstLine="0"/>
        <w:jc w:val="left"/>
        <w:rPr>
          <w:rFonts w:ascii="Calibri" w:hAnsi="Calibri"/>
          <w:sz w:val="15"/>
        </w:rPr>
      </w:pPr>
      <w:r>
        <w:rPr>
          <w:rFonts w:ascii="Calibri" w:hAnsi="Calibri"/>
          <w:color w:val="FFFFFF"/>
          <w:w w:val="105"/>
          <w:sz w:val="15"/>
        </w:rPr>
        <w:t>**</w:t>
      </w:r>
      <w:r>
        <w:rPr>
          <w:rFonts w:ascii="Calibri" w:hAnsi="Calibri"/>
          <w:color w:val="FFFFFF"/>
          <w:spacing w:val="-21"/>
          <w:w w:val="105"/>
          <w:sz w:val="15"/>
        </w:rPr>
        <w:t> </w:t>
      </w:r>
      <w:r>
        <w:rPr>
          <w:rFonts w:ascii="Calibri" w:hAnsi="Calibri"/>
          <w:color w:val="FFFFFF"/>
          <w:w w:val="105"/>
          <w:sz w:val="15"/>
        </w:rPr>
        <w:t>Doctora</w:t>
      </w:r>
      <w:r>
        <w:rPr>
          <w:rFonts w:ascii="Calibri" w:hAnsi="Calibri"/>
          <w:color w:val="FFFFFF"/>
          <w:spacing w:val="-21"/>
          <w:w w:val="105"/>
          <w:sz w:val="15"/>
        </w:rPr>
        <w:t> </w:t>
      </w:r>
      <w:r>
        <w:rPr>
          <w:rFonts w:ascii="Calibri" w:hAnsi="Calibri"/>
          <w:color w:val="FFFFFF"/>
          <w:w w:val="105"/>
          <w:sz w:val="15"/>
        </w:rPr>
        <w:t>en</w:t>
      </w:r>
      <w:r>
        <w:rPr>
          <w:rFonts w:ascii="Calibri" w:hAnsi="Calibri"/>
          <w:color w:val="FFFFFF"/>
          <w:spacing w:val="-21"/>
          <w:w w:val="105"/>
          <w:sz w:val="15"/>
        </w:rPr>
        <w:t> </w:t>
      </w:r>
      <w:r>
        <w:rPr>
          <w:rFonts w:ascii="Calibri" w:hAnsi="Calibri"/>
          <w:color w:val="FFFFFF"/>
          <w:w w:val="105"/>
          <w:sz w:val="15"/>
        </w:rPr>
        <w:t>Geografía.</w:t>
      </w:r>
      <w:r>
        <w:rPr>
          <w:rFonts w:ascii="Calibri" w:hAnsi="Calibri"/>
          <w:color w:val="FFFFFF"/>
          <w:spacing w:val="-21"/>
          <w:w w:val="105"/>
          <w:sz w:val="15"/>
        </w:rPr>
        <w:t> </w:t>
      </w:r>
      <w:r>
        <w:rPr>
          <w:rFonts w:ascii="Calibri" w:hAnsi="Calibri"/>
          <w:color w:val="FFFFFF"/>
          <w:w w:val="105"/>
          <w:sz w:val="15"/>
        </w:rPr>
        <w:t>Coordinadora</w:t>
      </w:r>
      <w:r>
        <w:rPr>
          <w:rFonts w:ascii="Calibri" w:hAnsi="Calibri"/>
          <w:color w:val="FFFFFF"/>
          <w:spacing w:val="-21"/>
          <w:w w:val="105"/>
          <w:sz w:val="15"/>
        </w:rPr>
        <w:t> </w:t>
      </w:r>
      <w:r>
        <w:rPr>
          <w:rFonts w:ascii="Calibri" w:hAnsi="Calibri"/>
          <w:color w:val="FFFFFF"/>
          <w:w w:val="105"/>
          <w:sz w:val="15"/>
        </w:rPr>
        <w:t>del</w:t>
      </w:r>
      <w:r>
        <w:rPr>
          <w:rFonts w:ascii="Calibri" w:hAnsi="Calibri"/>
          <w:color w:val="FFFFFF"/>
          <w:spacing w:val="-21"/>
          <w:w w:val="105"/>
          <w:sz w:val="15"/>
        </w:rPr>
        <w:t> </w:t>
      </w:r>
      <w:r>
        <w:rPr>
          <w:rFonts w:ascii="Calibri" w:hAnsi="Calibri"/>
          <w:color w:val="FFFFFF"/>
          <w:w w:val="105"/>
          <w:sz w:val="15"/>
        </w:rPr>
        <w:t>Centro</w:t>
      </w:r>
      <w:r>
        <w:rPr>
          <w:rFonts w:ascii="Calibri" w:hAnsi="Calibri"/>
          <w:color w:val="FFFFFF"/>
          <w:spacing w:val="-21"/>
          <w:w w:val="105"/>
          <w:sz w:val="15"/>
        </w:rPr>
        <w:t> </w:t>
      </w:r>
      <w:r>
        <w:rPr>
          <w:rFonts w:ascii="Calibri" w:hAnsi="Calibri"/>
          <w:color w:val="FFFFFF"/>
          <w:w w:val="105"/>
          <w:sz w:val="15"/>
        </w:rPr>
        <w:t>de</w:t>
      </w:r>
      <w:r>
        <w:rPr>
          <w:rFonts w:ascii="Calibri" w:hAnsi="Calibri"/>
          <w:color w:val="FFFFFF"/>
          <w:spacing w:val="-21"/>
          <w:w w:val="105"/>
          <w:sz w:val="15"/>
        </w:rPr>
        <w:t> </w:t>
      </w:r>
      <w:r>
        <w:rPr>
          <w:rFonts w:ascii="Calibri" w:hAnsi="Calibri"/>
          <w:color w:val="FFFFFF"/>
          <w:w w:val="105"/>
          <w:sz w:val="15"/>
        </w:rPr>
        <w:t>Investigación</w:t>
      </w:r>
      <w:r>
        <w:rPr>
          <w:rFonts w:ascii="Calibri" w:hAnsi="Calibri"/>
          <w:color w:val="FFFFFF"/>
          <w:spacing w:val="-22"/>
          <w:w w:val="105"/>
          <w:sz w:val="15"/>
        </w:rPr>
        <w:t> </w:t>
      </w:r>
      <w:r>
        <w:rPr>
          <w:rFonts w:ascii="Calibri" w:hAnsi="Calibri"/>
          <w:color w:val="FFFFFF"/>
          <w:w w:val="105"/>
          <w:sz w:val="15"/>
        </w:rPr>
        <w:t>y</w:t>
      </w:r>
      <w:r>
        <w:rPr>
          <w:rFonts w:ascii="Calibri" w:hAnsi="Calibri"/>
          <w:color w:val="FFFFFF"/>
          <w:spacing w:val="-21"/>
          <w:w w:val="105"/>
          <w:sz w:val="15"/>
        </w:rPr>
        <w:t> </w:t>
      </w:r>
      <w:r>
        <w:rPr>
          <w:rFonts w:ascii="Calibri" w:hAnsi="Calibri"/>
          <w:color w:val="FFFFFF"/>
          <w:w w:val="105"/>
          <w:sz w:val="15"/>
        </w:rPr>
        <w:t>Estudios</w:t>
      </w:r>
      <w:r>
        <w:rPr>
          <w:rFonts w:ascii="Calibri" w:hAnsi="Calibri"/>
          <w:color w:val="FFFFFF"/>
          <w:spacing w:val="-21"/>
          <w:w w:val="105"/>
          <w:sz w:val="15"/>
        </w:rPr>
        <w:t> </w:t>
      </w:r>
      <w:r>
        <w:rPr>
          <w:rFonts w:ascii="Calibri" w:hAnsi="Calibri"/>
          <w:color w:val="FFFFFF"/>
          <w:w w:val="105"/>
          <w:sz w:val="15"/>
        </w:rPr>
        <w:t>en</w:t>
      </w:r>
      <w:r>
        <w:rPr>
          <w:rFonts w:ascii="Calibri" w:hAnsi="Calibri"/>
          <w:color w:val="FFFFFF"/>
          <w:spacing w:val="-21"/>
          <w:w w:val="105"/>
          <w:sz w:val="15"/>
        </w:rPr>
        <w:t> </w:t>
      </w:r>
      <w:r>
        <w:rPr>
          <w:rFonts w:ascii="Calibri" w:hAnsi="Calibri"/>
          <w:color w:val="FFFFFF"/>
          <w:w w:val="105"/>
          <w:sz w:val="15"/>
        </w:rPr>
        <w:t>Movilidades</w:t>
      </w:r>
      <w:r>
        <w:rPr>
          <w:rFonts w:ascii="Calibri" w:hAnsi="Calibri"/>
          <w:color w:val="FFFFFF"/>
          <w:spacing w:val="-22"/>
          <w:w w:val="105"/>
          <w:sz w:val="15"/>
        </w:rPr>
        <w:t> </w:t>
      </w:r>
      <w:r>
        <w:rPr>
          <w:rFonts w:ascii="Calibri" w:hAnsi="Calibri"/>
          <w:color w:val="FFFFFF"/>
          <w:w w:val="105"/>
          <w:sz w:val="15"/>
        </w:rPr>
        <w:t>y</w:t>
      </w:r>
      <w:r>
        <w:rPr>
          <w:rFonts w:ascii="Calibri" w:hAnsi="Calibri"/>
          <w:color w:val="FFFFFF"/>
          <w:spacing w:val="-21"/>
          <w:w w:val="105"/>
          <w:sz w:val="15"/>
        </w:rPr>
        <w:t> </w:t>
      </w:r>
      <w:r>
        <w:rPr>
          <w:rFonts w:ascii="Calibri" w:hAnsi="Calibri"/>
          <w:color w:val="FFFFFF"/>
          <w:w w:val="105"/>
          <w:sz w:val="15"/>
        </w:rPr>
        <w:t>Migraciones Internacionales</w:t>
      </w:r>
      <w:r>
        <w:rPr>
          <w:rFonts w:ascii="Calibri" w:hAnsi="Calibri"/>
          <w:color w:val="FFFFFF"/>
          <w:spacing w:val="-15"/>
          <w:w w:val="105"/>
          <w:sz w:val="15"/>
        </w:rPr>
        <w:t> </w:t>
      </w:r>
      <w:r>
        <w:rPr>
          <w:rFonts w:ascii="Calibri" w:hAnsi="Calibri"/>
          <w:color w:val="FFFFFF"/>
          <w:w w:val="105"/>
          <w:sz w:val="15"/>
        </w:rPr>
        <w:t>de</w:t>
      </w:r>
      <w:r>
        <w:rPr>
          <w:rFonts w:ascii="Calibri" w:hAnsi="Calibri"/>
          <w:color w:val="FFFFFF"/>
          <w:spacing w:val="-15"/>
          <w:w w:val="105"/>
          <w:sz w:val="15"/>
        </w:rPr>
        <w:t> </w:t>
      </w:r>
      <w:r>
        <w:rPr>
          <w:rFonts w:ascii="Calibri" w:hAnsi="Calibri"/>
          <w:color w:val="FFFFFF"/>
          <w:w w:val="105"/>
          <w:sz w:val="15"/>
        </w:rPr>
        <w:t>la</w:t>
      </w:r>
      <w:r>
        <w:rPr>
          <w:rFonts w:ascii="Calibri" w:hAnsi="Calibri"/>
          <w:color w:val="FFFFFF"/>
          <w:spacing w:val="-15"/>
          <w:w w:val="105"/>
          <w:sz w:val="15"/>
        </w:rPr>
        <w:t> </w:t>
      </w:r>
      <w:r>
        <w:rPr>
          <w:rFonts w:ascii="Calibri" w:hAnsi="Calibri"/>
          <w:color w:val="FFFFFF"/>
          <w:w w:val="105"/>
          <w:sz w:val="15"/>
        </w:rPr>
        <w:t>Universidad</w:t>
      </w:r>
      <w:r>
        <w:rPr>
          <w:rFonts w:ascii="Calibri" w:hAnsi="Calibri"/>
          <w:color w:val="FFFFFF"/>
          <w:spacing w:val="-15"/>
          <w:w w:val="105"/>
          <w:sz w:val="15"/>
        </w:rPr>
        <w:t> </w:t>
      </w:r>
      <w:r>
        <w:rPr>
          <w:rFonts w:ascii="Calibri" w:hAnsi="Calibri"/>
          <w:color w:val="FFFFFF"/>
          <w:w w:val="105"/>
          <w:sz w:val="15"/>
        </w:rPr>
        <w:t>Autónoma</w:t>
      </w:r>
      <w:r>
        <w:rPr>
          <w:rFonts w:ascii="Calibri" w:hAnsi="Calibri"/>
          <w:color w:val="FFFFFF"/>
          <w:spacing w:val="-15"/>
          <w:w w:val="105"/>
          <w:sz w:val="15"/>
        </w:rPr>
        <w:t> </w:t>
      </w:r>
      <w:r>
        <w:rPr>
          <w:rFonts w:ascii="Calibri" w:hAnsi="Calibri"/>
          <w:color w:val="FFFFFF"/>
          <w:w w:val="105"/>
          <w:sz w:val="15"/>
        </w:rPr>
        <w:t>del</w:t>
      </w:r>
      <w:r>
        <w:rPr>
          <w:rFonts w:ascii="Calibri" w:hAnsi="Calibri"/>
          <w:color w:val="FFFFFF"/>
          <w:spacing w:val="-15"/>
          <w:w w:val="105"/>
          <w:sz w:val="15"/>
        </w:rPr>
        <w:t> </w:t>
      </w:r>
      <w:r>
        <w:rPr>
          <w:rFonts w:ascii="Calibri" w:hAnsi="Calibri"/>
          <w:color w:val="FFFFFF"/>
          <w:w w:val="105"/>
          <w:sz w:val="15"/>
        </w:rPr>
        <w:t>Estado</w:t>
      </w:r>
      <w:r>
        <w:rPr>
          <w:rFonts w:ascii="Calibri" w:hAnsi="Calibri"/>
          <w:color w:val="FFFFFF"/>
          <w:spacing w:val="-15"/>
          <w:w w:val="105"/>
          <w:sz w:val="15"/>
        </w:rPr>
        <w:t> </w:t>
      </w:r>
      <w:r>
        <w:rPr>
          <w:rFonts w:ascii="Calibri" w:hAnsi="Calibri"/>
          <w:color w:val="FFFFFF"/>
          <w:w w:val="105"/>
          <w:sz w:val="15"/>
        </w:rPr>
        <w:t>de</w:t>
      </w:r>
      <w:r>
        <w:rPr>
          <w:rFonts w:ascii="Calibri" w:hAnsi="Calibri"/>
          <w:color w:val="FFFFFF"/>
          <w:spacing w:val="-15"/>
          <w:w w:val="105"/>
          <w:sz w:val="15"/>
        </w:rPr>
        <w:t> </w:t>
      </w:r>
      <w:r>
        <w:rPr>
          <w:rFonts w:ascii="Calibri" w:hAnsi="Calibri"/>
          <w:color w:val="FFFFFF"/>
          <w:w w:val="105"/>
          <w:sz w:val="15"/>
        </w:rPr>
        <w:t>México.</w:t>
      </w:r>
    </w:p>
    <w:p>
      <w:pPr>
        <w:spacing w:line="179" w:lineRule="exact" w:before="0"/>
        <w:ind w:left="2126" w:right="6753" w:firstLine="0"/>
        <w:jc w:val="left"/>
        <w:rPr>
          <w:rFonts w:ascii="Calibri"/>
          <w:i/>
          <w:sz w:val="15"/>
        </w:rPr>
      </w:pPr>
      <w:hyperlink r:id="rId110">
        <w:r>
          <w:rPr>
            <w:rFonts w:ascii="Calibri"/>
            <w:i/>
            <w:color w:val="FFFFFF"/>
            <w:sz w:val="15"/>
          </w:rPr>
          <w:t>normabacat@gmail.com</w:t>
        </w:r>
      </w:hyperlink>
    </w:p>
    <w:p>
      <w:pPr>
        <w:spacing w:line="235" w:lineRule="auto" w:before="1"/>
        <w:ind w:left="2126" w:right="1738" w:firstLine="0"/>
        <w:jc w:val="left"/>
        <w:rPr>
          <w:rFonts w:ascii="Calibri" w:hAnsi="Calibri"/>
          <w:i/>
          <w:sz w:val="15"/>
        </w:rPr>
      </w:pPr>
      <w:r>
        <w:rPr>
          <w:rFonts w:ascii="Calibri" w:hAnsi="Calibri"/>
          <w:color w:val="FFFFFF"/>
          <w:sz w:val="15"/>
        </w:rPr>
        <w:t>*** Doctora en Estudios de la Población. Investigadora y profesora en el Centro de Investigación y Estudios en Movilidades y Migraciones Internacionales de la Universidad Autónoma del Estado de México. </w:t>
      </w:r>
      <w:hyperlink r:id="rId341">
        <w:r>
          <w:rPr>
            <w:rFonts w:ascii="Calibri" w:hAnsi="Calibri"/>
            <w:i/>
            <w:color w:val="FFFFFF"/>
            <w:sz w:val="15"/>
          </w:rPr>
          <w:t>promanreyes@yahoo.com.mx</w:t>
        </w:r>
      </w:hyperlink>
    </w:p>
    <w:p>
      <w:pPr>
        <w:spacing w:after="0" w:line="235" w:lineRule="auto"/>
        <w:jc w:val="left"/>
        <w:rPr>
          <w:rFonts w:ascii="Calibri" w:hAnsi="Calibri"/>
          <w:sz w:val="15"/>
        </w:rPr>
        <w:sectPr>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342"/>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21"/>
        <w:jc w:val="both"/>
      </w:pPr>
      <w:r>
        <w:rPr/>
        <w:pict>
          <v:shape style="position:absolute;margin-left:103.218903pt;margin-top:10.61822pt;width:31.2pt;height:51pt;mso-position-horizontal-relative:page;mso-position-vertical-relative:paragraph;z-index:37912"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w:t>
      </w:r>
      <w:r>
        <w:rPr>
          <w:color w:val="231F20"/>
          <w:spacing w:val="-13"/>
          <w:w w:val="105"/>
        </w:rPr>
        <w:t> </w:t>
      </w:r>
      <w:r>
        <w:rPr>
          <w:color w:val="231F20"/>
          <w:w w:val="105"/>
        </w:rPr>
        <w:t>proceso</w:t>
      </w:r>
      <w:r>
        <w:rPr>
          <w:color w:val="231F20"/>
          <w:spacing w:val="-13"/>
          <w:w w:val="105"/>
        </w:rPr>
        <w:t> </w:t>
      </w:r>
      <w:r>
        <w:rPr>
          <w:color w:val="231F20"/>
          <w:w w:val="105"/>
        </w:rPr>
        <w:t>migratorio</w:t>
      </w:r>
      <w:r>
        <w:rPr>
          <w:color w:val="231F20"/>
          <w:spacing w:val="-13"/>
          <w:w w:val="105"/>
        </w:rPr>
        <w:t> </w:t>
      </w:r>
      <w:r>
        <w:rPr>
          <w:color w:val="231F20"/>
          <w:w w:val="105"/>
        </w:rPr>
        <w:t>en</w:t>
      </w:r>
      <w:r>
        <w:rPr>
          <w:color w:val="231F20"/>
          <w:spacing w:val="-13"/>
          <w:w w:val="105"/>
        </w:rPr>
        <w:t> </w:t>
      </w:r>
      <w:r>
        <w:rPr>
          <w:color w:val="231F20"/>
          <w:w w:val="105"/>
        </w:rPr>
        <w:t>México</w:t>
      </w:r>
      <w:r>
        <w:rPr>
          <w:color w:val="231F20"/>
          <w:spacing w:val="-13"/>
          <w:w w:val="105"/>
        </w:rPr>
        <w:t> </w:t>
      </w:r>
      <w:r>
        <w:rPr>
          <w:color w:val="231F20"/>
          <w:w w:val="105"/>
        </w:rPr>
        <w:t>no</w:t>
      </w:r>
      <w:r>
        <w:rPr>
          <w:color w:val="231F20"/>
          <w:spacing w:val="-13"/>
          <w:w w:val="105"/>
        </w:rPr>
        <w:t> </w:t>
      </w:r>
      <w:r>
        <w:rPr>
          <w:color w:val="231F20"/>
          <w:w w:val="105"/>
        </w:rPr>
        <w:t>es</w:t>
      </w:r>
      <w:r>
        <w:rPr>
          <w:color w:val="231F20"/>
          <w:spacing w:val="-13"/>
          <w:w w:val="105"/>
        </w:rPr>
        <w:t> </w:t>
      </w:r>
      <w:r>
        <w:rPr>
          <w:color w:val="231F20"/>
          <w:w w:val="105"/>
        </w:rPr>
        <w:t>fácil</w:t>
      </w:r>
      <w:r>
        <w:rPr>
          <w:color w:val="231F20"/>
          <w:spacing w:val="-13"/>
          <w:w w:val="105"/>
        </w:rPr>
        <w:t> </w:t>
      </w:r>
      <w:r>
        <w:rPr>
          <w:color w:val="231F20"/>
          <w:w w:val="105"/>
        </w:rPr>
        <w:t>de</w:t>
      </w:r>
      <w:r>
        <w:rPr>
          <w:color w:val="231F20"/>
          <w:spacing w:val="-13"/>
          <w:w w:val="105"/>
        </w:rPr>
        <w:t> </w:t>
      </w:r>
      <w:r>
        <w:rPr>
          <w:color w:val="231F20"/>
          <w:w w:val="105"/>
        </w:rPr>
        <w:t>resumir,</w:t>
      </w:r>
      <w:r>
        <w:rPr>
          <w:color w:val="231F20"/>
          <w:spacing w:val="-18"/>
          <w:w w:val="105"/>
        </w:rPr>
        <w:t> </w:t>
      </w:r>
      <w:r>
        <w:rPr>
          <w:color w:val="231F20"/>
          <w:w w:val="105"/>
        </w:rPr>
        <w:t>sin</w:t>
      </w:r>
      <w:r>
        <w:rPr>
          <w:color w:val="231F20"/>
          <w:spacing w:val="-13"/>
          <w:w w:val="105"/>
        </w:rPr>
        <w:t> </w:t>
      </w:r>
      <w:r>
        <w:rPr>
          <w:color w:val="231F20"/>
          <w:w w:val="105"/>
        </w:rPr>
        <w:t>em- bargo</w:t>
      </w:r>
      <w:r>
        <w:rPr>
          <w:color w:val="231F20"/>
          <w:spacing w:val="-5"/>
          <w:w w:val="105"/>
        </w:rPr>
        <w:t> </w:t>
      </w:r>
      <w:r>
        <w:rPr>
          <w:color w:val="231F20"/>
          <w:w w:val="105"/>
        </w:rPr>
        <w:t>se</w:t>
      </w:r>
      <w:r>
        <w:rPr>
          <w:color w:val="231F20"/>
          <w:spacing w:val="-5"/>
          <w:w w:val="105"/>
        </w:rPr>
        <w:t> </w:t>
      </w:r>
      <w:r>
        <w:rPr>
          <w:color w:val="231F20"/>
          <w:w w:val="105"/>
        </w:rPr>
        <w:t>puede</w:t>
      </w:r>
      <w:r>
        <w:rPr>
          <w:color w:val="231F20"/>
          <w:spacing w:val="-5"/>
          <w:w w:val="105"/>
        </w:rPr>
        <w:t> </w:t>
      </w:r>
      <w:r>
        <w:rPr>
          <w:color w:val="231F20"/>
          <w:w w:val="105"/>
        </w:rPr>
        <w:t>entender</w:t>
      </w:r>
      <w:r>
        <w:rPr>
          <w:color w:val="231F20"/>
          <w:spacing w:val="-5"/>
          <w:w w:val="105"/>
        </w:rPr>
        <w:t> </w:t>
      </w:r>
      <w:r>
        <w:rPr>
          <w:color w:val="231F20"/>
          <w:w w:val="105"/>
        </w:rPr>
        <w:t>a</w:t>
      </w:r>
      <w:r>
        <w:rPr>
          <w:color w:val="231F20"/>
          <w:spacing w:val="-5"/>
          <w:w w:val="105"/>
        </w:rPr>
        <w:t> </w:t>
      </w:r>
      <w:r>
        <w:rPr>
          <w:color w:val="231F20"/>
          <w:w w:val="105"/>
        </w:rPr>
        <w:t>través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revisión</w:t>
      </w:r>
      <w:r>
        <w:rPr>
          <w:color w:val="231F20"/>
          <w:spacing w:val="-5"/>
          <w:w w:val="105"/>
        </w:rPr>
        <w:t> </w:t>
      </w:r>
      <w:r>
        <w:rPr>
          <w:color w:val="231F20"/>
          <w:w w:val="105"/>
        </w:rPr>
        <w:t>histórica</w:t>
      </w:r>
      <w:r>
        <w:rPr>
          <w:color w:val="231F20"/>
          <w:spacing w:val="-5"/>
          <w:w w:val="105"/>
        </w:rPr>
        <w:t> </w:t>
      </w:r>
      <w:r>
        <w:rPr>
          <w:color w:val="231F20"/>
          <w:w w:val="105"/>
        </w:rPr>
        <w:t>del siglo</w:t>
      </w:r>
      <w:r>
        <w:rPr>
          <w:color w:val="231F20"/>
          <w:spacing w:val="-18"/>
          <w:w w:val="105"/>
        </w:rPr>
        <w:t> </w:t>
      </w:r>
      <w:r>
        <w:rPr>
          <w:color w:val="231F20"/>
          <w:w w:val="105"/>
          <w:sz w:val="17"/>
        </w:rPr>
        <w:t>XX</w:t>
      </w:r>
      <w:r>
        <w:rPr>
          <w:color w:val="231F20"/>
          <w:w w:val="105"/>
        </w:rPr>
        <w:t>,</w:t>
      </w:r>
      <w:r>
        <w:rPr>
          <w:color w:val="231F20"/>
          <w:spacing w:val="-23"/>
          <w:w w:val="105"/>
        </w:rPr>
        <w:t> </w:t>
      </w:r>
      <w:r>
        <w:rPr>
          <w:color w:val="231F20"/>
          <w:w w:val="105"/>
        </w:rPr>
        <w:t>pues</w:t>
      </w:r>
      <w:r>
        <w:rPr>
          <w:color w:val="231F20"/>
          <w:spacing w:val="-18"/>
          <w:w w:val="105"/>
        </w:rPr>
        <w:t> </w:t>
      </w:r>
      <w:r>
        <w:rPr>
          <w:color w:val="231F20"/>
          <w:w w:val="105"/>
        </w:rPr>
        <w:t>en</w:t>
      </w:r>
      <w:r>
        <w:rPr>
          <w:color w:val="231F20"/>
          <w:spacing w:val="-18"/>
          <w:w w:val="105"/>
        </w:rPr>
        <w:t> </w:t>
      </w:r>
      <w:r>
        <w:rPr>
          <w:color w:val="231F20"/>
          <w:w w:val="105"/>
        </w:rPr>
        <w:t>él</w:t>
      </w:r>
      <w:r>
        <w:rPr>
          <w:color w:val="231F20"/>
          <w:spacing w:val="-18"/>
          <w:w w:val="105"/>
        </w:rPr>
        <w:t> </w:t>
      </w:r>
      <w:r>
        <w:rPr>
          <w:color w:val="231F20"/>
          <w:w w:val="105"/>
        </w:rPr>
        <w:t>el</w:t>
      </w:r>
      <w:r>
        <w:rPr>
          <w:color w:val="231F20"/>
          <w:spacing w:val="-18"/>
          <w:w w:val="105"/>
        </w:rPr>
        <w:t> </w:t>
      </w:r>
      <w:r>
        <w:rPr>
          <w:color w:val="231F20"/>
          <w:w w:val="105"/>
        </w:rPr>
        <w:t>país</w:t>
      </w:r>
      <w:r>
        <w:rPr>
          <w:color w:val="231F20"/>
          <w:spacing w:val="-18"/>
          <w:w w:val="105"/>
        </w:rPr>
        <w:t> </w:t>
      </w:r>
      <w:r>
        <w:rPr>
          <w:color w:val="231F20"/>
          <w:w w:val="105"/>
        </w:rPr>
        <w:t>entero,</w:t>
      </w:r>
      <w:r>
        <w:rPr>
          <w:color w:val="231F20"/>
          <w:spacing w:val="-23"/>
          <w:w w:val="105"/>
        </w:rPr>
        <w:t> </w:t>
      </w:r>
      <w:r>
        <w:rPr>
          <w:color w:val="231F20"/>
          <w:w w:val="105"/>
        </w:rPr>
        <w:t>y</w:t>
      </w:r>
      <w:r>
        <w:rPr>
          <w:color w:val="231F20"/>
          <w:spacing w:val="-18"/>
          <w:w w:val="105"/>
        </w:rPr>
        <w:t> </w:t>
      </w:r>
      <w:r>
        <w:rPr>
          <w:color w:val="231F20"/>
          <w:w w:val="105"/>
        </w:rPr>
        <w:t>en</w:t>
      </w:r>
      <w:r>
        <w:rPr>
          <w:color w:val="231F20"/>
          <w:spacing w:val="23"/>
          <w:w w:val="105"/>
        </w:rPr>
        <w:t> </w:t>
      </w:r>
      <w:r>
        <w:rPr>
          <w:color w:val="231F20"/>
          <w:w w:val="105"/>
        </w:rPr>
        <w:t>particular</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Estado de México, vivió diferentes procesos sociales y políticos</w:t>
      </w:r>
      <w:r>
        <w:rPr>
          <w:color w:val="231F20"/>
          <w:spacing w:val="-13"/>
          <w:w w:val="105"/>
        </w:rPr>
        <w:t> </w:t>
      </w:r>
      <w:r>
        <w:rPr>
          <w:color w:val="231F20"/>
          <w:w w:val="105"/>
        </w:rPr>
        <w:t>que marcarían</w:t>
      </w:r>
      <w:r>
        <w:rPr>
          <w:color w:val="231F20"/>
          <w:spacing w:val="32"/>
          <w:w w:val="105"/>
        </w:rPr>
        <w:t> </w:t>
      </w:r>
      <w:r>
        <w:rPr>
          <w:color w:val="231F20"/>
          <w:w w:val="105"/>
        </w:rPr>
        <w:t>la</w:t>
      </w:r>
      <w:r>
        <w:rPr>
          <w:color w:val="231F20"/>
          <w:spacing w:val="32"/>
          <w:w w:val="105"/>
        </w:rPr>
        <w:t> </w:t>
      </w:r>
      <w:r>
        <w:rPr>
          <w:color w:val="231F20"/>
          <w:w w:val="105"/>
        </w:rPr>
        <w:t>forma</w:t>
      </w:r>
      <w:r>
        <w:rPr>
          <w:color w:val="231F20"/>
          <w:spacing w:val="32"/>
          <w:w w:val="105"/>
        </w:rPr>
        <w:t> </w:t>
      </w:r>
      <w:r>
        <w:rPr>
          <w:color w:val="231F20"/>
          <w:w w:val="105"/>
        </w:rPr>
        <w:t>de</w:t>
      </w:r>
      <w:r>
        <w:rPr>
          <w:color w:val="231F20"/>
          <w:spacing w:val="32"/>
          <w:w w:val="105"/>
        </w:rPr>
        <w:t> </w:t>
      </w:r>
      <w:r>
        <w:rPr>
          <w:color w:val="231F20"/>
          <w:w w:val="105"/>
        </w:rPr>
        <w:t>reproducción</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migración</w:t>
      </w:r>
      <w:r>
        <w:rPr>
          <w:color w:val="231F20"/>
          <w:spacing w:val="32"/>
          <w:w w:val="105"/>
        </w:rPr>
        <w:t> </w:t>
      </w:r>
      <w:r>
        <w:rPr>
          <w:color w:val="231F20"/>
          <w:w w:val="105"/>
        </w:rPr>
        <w:t>entre</w:t>
      </w:r>
    </w:p>
    <w:p>
      <w:pPr>
        <w:pStyle w:val="BodyText"/>
        <w:spacing w:line="261" w:lineRule="auto" w:before="1"/>
        <w:ind w:left="1837" w:right="1722"/>
        <w:jc w:val="both"/>
      </w:pPr>
      <w:r>
        <w:rPr>
          <w:color w:val="231F20"/>
          <w:w w:val="105"/>
        </w:rPr>
        <w:t>padres,</w:t>
      </w:r>
      <w:r>
        <w:rPr>
          <w:color w:val="231F20"/>
          <w:spacing w:val="-26"/>
          <w:w w:val="105"/>
        </w:rPr>
        <w:t> </w:t>
      </w:r>
      <w:r>
        <w:rPr>
          <w:color w:val="231F20"/>
          <w:w w:val="105"/>
        </w:rPr>
        <w:t>hijos</w:t>
      </w:r>
      <w:r>
        <w:rPr>
          <w:color w:val="231F20"/>
          <w:spacing w:val="-21"/>
          <w:w w:val="105"/>
        </w:rPr>
        <w:t> </w:t>
      </w:r>
      <w:r>
        <w:rPr>
          <w:color w:val="231F20"/>
          <w:w w:val="105"/>
        </w:rPr>
        <w:t>y</w:t>
      </w:r>
      <w:r>
        <w:rPr>
          <w:color w:val="231F20"/>
          <w:spacing w:val="-21"/>
          <w:w w:val="105"/>
        </w:rPr>
        <w:t> </w:t>
      </w:r>
      <w:r>
        <w:rPr>
          <w:color w:val="231F20"/>
          <w:w w:val="105"/>
        </w:rPr>
        <w:t>nietos.</w:t>
      </w:r>
      <w:r>
        <w:rPr>
          <w:color w:val="231F20"/>
          <w:spacing w:val="-26"/>
          <w:w w:val="105"/>
        </w:rPr>
        <w:t> </w:t>
      </w:r>
      <w:r>
        <w:rPr>
          <w:color w:val="231F20"/>
          <w:w w:val="105"/>
        </w:rPr>
        <w:t>Como</w:t>
      </w:r>
      <w:r>
        <w:rPr>
          <w:color w:val="231F20"/>
          <w:spacing w:val="-21"/>
          <w:w w:val="105"/>
        </w:rPr>
        <w:t> </w:t>
      </w:r>
      <w:r>
        <w:rPr>
          <w:color w:val="231F20"/>
          <w:w w:val="105"/>
        </w:rPr>
        <w:t>dice</w:t>
      </w:r>
      <w:r>
        <w:rPr>
          <w:color w:val="231F20"/>
          <w:spacing w:val="-23"/>
          <w:w w:val="105"/>
        </w:rPr>
        <w:t> </w:t>
      </w:r>
      <w:r>
        <w:rPr>
          <w:color w:val="231F20"/>
          <w:w w:val="105"/>
        </w:rPr>
        <w:t>Welti,</w:t>
      </w:r>
      <w:r>
        <w:rPr>
          <w:color w:val="231F20"/>
          <w:spacing w:val="-26"/>
          <w:w w:val="105"/>
        </w:rPr>
        <w:t> </w:t>
      </w:r>
      <w:r>
        <w:rPr>
          <w:color w:val="231F20"/>
          <w:w w:val="105"/>
        </w:rPr>
        <w:t>“la</w:t>
      </w:r>
      <w:r>
        <w:rPr>
          <w:color w:val="231F20"/>
          <w:spacing w:val="-21"/>
          <w:w w:val="105"/>
        </w:rPr>
        <w:t> </w:t>
      </w:r>
      <w:r>
        <w:rPr>
          <w:color w:val="231F20"/>
          <w:w w:val="105"/>
        </w:rPr>
        <w:t>interpretación</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procesos migratorios</w:t>
      </w:r>
      <w:r>
        <w:rPr>
          <w:color w:val="231F20"/>
          <w:spacing w:val="-24"/>
          <w:w w:val="105"/>
        </w:rPr>
        <w:t> </w:t>
      </w:r>
      <w:r>
        <w:rPr>
          <w:color w:val="231F20"/>
          <w:w w:val="105"/>
        </w:rPr>
        <w:t>exige</w:t>
      </w:r>
      <w:r>
        <w:rPr>
          <w:color w:val="231F20"/>
          <w:spacing w:val="-24"/>
          <w:w w:val="105"/>
        </w:rPr>
        <w:t> </w:t>
      </w:r>
      <w:r>
        <w:rPr>
          <w:color w:val="231F20"/>
          <w:w w:val="105"/>
        </w:rPr>
        <w:t>considerar,</w:t>
      </w:r>
      <w:r>
        <w:rPr>
          <w:color w:val="231F20"/>
          <w:spacing w:val="-29"/>
          <w:w w:val="105"/>
        </w:rPr>
        <w:t> </w:t>
      </w:r>
      <w:r>
        <w:rPr>
          <w:color w:val="231F20"/>
          <w:w w:val="105"/>
        </w:rPr>
        <w:t>de</w:t>
      </w:r>
      <w:r>
        <w:rPr>
          <w:color w:val="231F20"/>
          <w:spacing w:val="-24"/>
          <w:w w:val="105"/>
        </w:rPr>
        <w:t> </w:t>
      </w:r>
      <w:r>
        <w:rPr>
          <w:color w:val="231F20"/>
          <w:w w:val="105"/>
        </w:rPr>
        <w:t>manera</w:t>
      </w:r>
      <w:r>
        <w:rPr>
          <w:color w:val="231F20"/>
          <w:spacing w:val="-24"/>
          <w:w w:val="105"/>
        </w:rPr>
        <w:t> </w:t>
      </w:r>
      <w:r>
        <w:rPr>
          <w:color w:val="231F20"/>
          <w:w w:val="105"/>
        </w:rPr>
        <w:t>directa,</w:t>
      </w:r>
      <w:r>
        <w:rPr>
          <w:color w:val="231F20"/>
          <w:spacing w:val="-29"/>
          <w:w w:val="105"/>
        </w:rPr>
        <w:t> </w:t>
      </w:r>
      <w:r>
        <w:rPr>
          <w:color w:val="231F20"/>
          <w:w w:val="105"/>
        </w:rPr>
        <w:t>determinantes</w:t>
      </w:r>
      <w:r>
        <w:rPr>
          <w:color w:val="231F20"/>
          <w:spacing w:val="-24"/>
          <w:w w:val="105"/>
        </w:rPr>
        <w:t> </w:t>
      </w:r>
      <w:r>
        <w:rPr>
          <w:color w:val="231F20"/>
          <w:w w:val="105"/>
        </w:rPr>
        <w:t>de</w:t>
      </w:r>
      <w:r>
        <w:rPr>
          <w:color w:val="231F20"/>
          <w:spacing w:val="-24"/>
          <w:w w:val="105"/>
        </w:rPr>
        <w:t> </w:t>
      </w:r>
      <w:r>
        <w:rPr>
          <w:color w:val="231F20"/>
          <w:w w:val="105"/>
        </w:rPr>
        <w:t>orden social,</w:t>
      </w:r>
      <w:r>
        <w:rPr>
          <w:color w:val="231F20"/>
          <w:spacing w:val="-21"/>
          <w:w w:val="105"/>
        </w:rPr>
        <w:t> </w:t>
      </w:r>
      <w:r>
        <w:rPr>
          <w:color w:val="231F20"/>
          <w:w w:val="105"/>
        </w:rPr>
        <w:t>económico</w:t>
      </w:r>
      <w:r>
        <w:rPr>
          <w:color w:val="231F20"/>
          <w:spacing w:val="-15"/>
          <w:w w:val="105"/>
        </w:rPr>
        <w:t> </w:t>
      </w:r>
      <w:r>
        <w:rPr>
          <w:color w:val="231F20"/>
          <w:w w:val="105"/>
        </w:rPr>
        <w:t>y</w:t>
      </w:r>
      <w:r>
        <w:rPr>
          <w:color w:val="231F20"/>
          <w:spacing w:val="-15"/>
          <w:w w:val="105"/>
        </w:rPr>
        <w:t> </w:t>
      </w:r>
      <w:r>
        <w:rPr>
          <w:color w:val="231F20"/>
          <w:w w:val="105"/>
        </w:rPr>
        <w:t>cultural</w:t>
      </w:r>
      <w:r>
        <w:rPr>
          <w:color w:val="231F20"/>
          <w:spacing w:val="-15"/>
          <w:w w:val="105"/>
        </w:rPr>
        <w:t> </w:t>
      </w:r>
      <w:r>
        <w:rPr>
          <w:color w:val="231F20"/>
          <w:spacing w:val="-4"/>
          <w:w w:val="105"/>
        </w:rPr>
        <w:t>y,</w:t>
      </w:r>
      <w:r>
        <w:rPr>
          <w:color w:val="231F20"/>
          <w:spacing w:val="-21"/>
          <w:w w:val="105"/>
        </w:rPr>
        <w:t> </w:t>
      </w:r>
      <w:r>
        <w:rPr>
          <w:color w:val="231F20"/>
          <w:w w:val="105"/>
        </w:rPr>
        <w:t>por</w:t>
      </w:r>
      <w:r>
        <w:rPr>
          <w:color w:val="231F20"/>
          <w:spacing w:val="-15"/>
          <w:w w:val="105"/>
        </w:rPr>
        <w:t> </w:t>
      </w:r>
      <w:r>
        <w:rPr>
          <w:color w:val="231F20"/>
          <w:w w:val="105"/>
        </w:rPr>
        <w:t>lo</w:t>
      </w:r>
      <w:r>
        <w:rPr>
          <w:color w:val="231F20"/>
          <w:spacing w:val="-15"/>
          <w:w w:val="105"/>
        </w:rPr>
        <w:t> </w:t>
      </w:r>
      <w:r>
        <w:rPr>
          <w:color w:val="231F20"/>
          <w:w w:val="105"/>
        </w:rPr>
        <w:t>tanto,</w:t>
      </w:r>
      <w:r>
        <w:rPr>
          <w:color w:val="231F20"/>
          <w:spacing w:val="-21"/>
          <w:w w:val="105"/>
        </w:rPr>
        <w:t> </w:t>
      </w:r>
      <w:r>
        <w:rPr>
          <w:color w:val="231F20"/>
          <w:w w:val="105"/>
        </w:rPr>
        <w:t>el</w:t>
      </w:r>
      <w:r>
        <w:rPr>
          <w:color w:val="231F20"/>
          <w:spacing w:val="-15"/>
          <w:w w:val="105"/>
        </w:rPr>
        <w:t> </w:t>
      </w:r>
      <w:r>
        <w:rPr>
          <w:color w:val="231F20"/>
          <w:w w:val="105"/>
        </w:rPr>
        <w:t>aporte</w:t>
      </w:r>
      <w:r>
        <w:rPr>
          <w:color w:val="231F20"/>
          <w:spacing w:val="-15"/>
          <w:w w:val="105"/>
        </w:rPr>
        <w:t> </w:t>
      </w:r>
      <w:r>
        <w:rPr>
          <w:color w:val="231F20"/>
          <w:w w:val="105"/>
        </w:rPr>
        <w:t>del</w:t>
      </w:r>
      <w:r>
        <w:rPr>
          <w:color w:val="231F20"/>
          <w:spacing w:val="-15"/>
          <w:w w:val="105"/>
        </w:rPr>
        <w:t> </w:t>
      </w:r>
      <w:r>
        <w:rPr>
          <w:color w:val="231F20"/>
          <w:w w:val="105"/>
        </w:rPr>
        <w:t>análisis</w:t>
      </w:r>
      <w:r>
        <w:rPr>
          <w:color w:val="231F20"/>
          <w:spacing w:val="-15"/>
          <w:w w:val="105"/>
        </w:rPr>
        <w:t> </w:t>
      </w:r>
      <w:r>
        <w:rPr>
          <w:color w:val="231F20"/>
          <w:w w:val="105"/>
        </w:rPr>
        <w:t>social</w:t>
      </w:r>
      <w:r>
        <w:rPr>
          <w:color w:val="231F20"/>
          <w:spacing w:val="-15"/>
          <w:w w:val="105"/>
        </w:rPr>
        <w:t> </w:t>
      </w:r>
      <w:r>
        <w:rPr>
          <w:color w:val="231F20"/>
          <w:w w:val="105"/>
        </w:rPr>
        <w:t>es imprescindible</w:t>
      </w:r>
      <w:r>
        <w:rPr>
          <w:color w:val="231F20"/>
          <w:spacing w:val="-19"/>
          <w:w w:val="105"/>
        </w:rPr>
        <w:t> </w:t>
      </w:r>
      <w:r>
        <w:rPr>
          <w:color w:val="231F20"/>
          <w:w w:val="105"/>
        </w:rPr>
        <w:t>en</w:t>
      </w:r>
      <w:r>
        <w:rPr>
          <w:color w:val="231F20"/>
          <w:spacing w:val="-19"/>
          <w:w w:val="105"/>
        </w:rPr>
        <w:t> </w:t>
      </w:r>
      <w:r>
        <w:rPr>
          <w:color w:val="231F20"/>
          <w:w w:val="105"/>
        </w:rPr>
        <w:t>esta</w:t>
      </w:r>
      <w:r>
        <w:rPr>
          <w:color w:val="231F20"/>
          <w:spacing w:val="-19"/>
          <w:w w:val="105"/>
        </w:rPr>
        <w:t> </w:t>
      </w:r>
      <w:r>
        <w:rPr>
          <w:color w:val="231F20"/>
          <w:w w:val="105"/>
        </w:rPr>
        <w:t>materia”</w:t>
      </w:r>
      <w:r>
        <w:rPr>
          <w:color w:val="231F20"/>
          <w:spacing w:val="-19"/>
          <w:w w:val="105"/>
        </w:rPr>
        <w:t> </w:t>
      </w:r>
      <w:r>
        <w:rPr>
          <w:color w:val="231F20"/>
          <w:w w:val="105"/>
        </w:rPr>
        <w:t>(Welti,</w:t>
      </w:r>
      <w:r>
        <w:rPr>
          <w:color w:val="231F20"/>
          <w:spacing w:val="-24"/>
          <w:w w:val="105"/>
        </w:rPr>
        <w:t> </w:t>
      </w:r>
      <w:r>
        <w:rPr>
          <w:color w:val="231F20"/>
          <w:w w:val="105"/>
        </w:rPr>
        <w:t>1997:</w:t>
      </w:r>
      <w:r>
        <w:rPr>
          <w:color w:val="231F20"/>
          <w:spacing w:val="-19"/>
          <w:w w:val="105"/>
        </w:rPr>
        <w:t> </w:t>
      </w:r>
      <w:r>
        <w:rPr>
          <w:color w:val="231F20"/>
          <w:w w:val="105"/>
        </w:rPr>
        <w:t>124).</w:t>
      </w:r>
    </w:p>
    <w:p>
      <w:pPr>
        <w:pStyle w:val="BodyText"/>
        <w:spacing w:line="261" w:lineRule="auto" w:before="1"/>
        <w:ind w:left="1837" w:right="1715" w:firstLine="566"/>
        <w:jc w:val="right"/>
      </w:pPr>
      <w:r>
        <w:rPr>
          <w:color w:val="231F20"/>
          <w:w w:val="105"/>
        </w:rPr>
        <w:t>El</w:t>
      </w:r>
      <w:r>
        <w:rPr>
          <w:color w:val="231F20"/>
          <w:spacing w:val="-26"/>
          <w:w w:val="105"/>
        </w:rPr>
        <w:t> </w:t>
      </w:r>
      <w:r>
        <w:rPr>
          <w:color w:val="231F20"/>
          <w:w w:val="105"/>
        </w:rPr>
        <w:t>siglo</w:t>
      </w:r>
      <w:r>
        <w:rPr>
          <w:color w:val="231F20"/>
          <w:spacing w:val="-26"/>
          <w:w w:val="105"/>
        </w:rPr>
        <w:t> </w:t>
      </w:r>
      <w:r>
        <w:rPr>
          <w:color w:val="231F20"/>
          <w:w w:val="105"/>
          <w:sz w:val="17"/>
        </w:rPr>
        <w:t>XX</w:t>
      </w:r>
      <w:r>
        <w:rPr>
          <w:color w:val="231F20"/>
          <w:spacing w:val="-16"/>
          <w:w w:val="105"/>
          <w:sz w:val="17"/>
        </w:rPr>
        <w:t> </w:t>
      </w:r>
      <w:r>
        <w:rPr>
          <w:color w:val="231F20"/>
          <w:w w:val="105"/>
        </w:rPr>
        <w:t>se</w:t>
      </w:r>
      <w:r>
        <w:rPr>
          <w:color w:val="231F20"/>
          <w:spacing w:val="-26"/>
          <w:w w:val="105"/>
        </w:rPr>
        <w:t> </w:t>
      </w:r>
      <w:r>
        <w:rPr>
          <w:color w:val="231F20"/>
          <w:w w:val="105"/>
        </w:rPr>
        <w:t>destacó</w:t>
      </w:r>
      <w:r>
        <w:rPr>
          <w:color w:val="231F20"/>
          <w:spacing w:val="-26"/>
          <w:w w:val="105"/>
        </w:rPr>
        <w:t> </w:t>
      </w:r>
      <w:r>
        <w:rPr>
          <w:color w:val="231F20"/>
          <w:w w:val="105"/>
        </w:rPr>
        <w:t>al</w:t>
      </w:r>
      <w:r>
        <w:rPr>
          <w:color w:val="231F20"/>
          <w:spacing w:val="-26"/>
          <w:w w:val="105"/>
        </w:rPr>
        <w:t> </w:t>
      </w:r>
      <w:r>
        <w:rPr>
          <w:color w:val="231F20"/>
          <w:w w:val="105"/>
        </w:rPr>
        <w:t>estar</w:t>
      </w:r>
      <w:r>
        <w:rPr>
          <w:color w:val="231F20"/>
          <w:spacing w:val="-26"/>
          <w:w w:val="105"/>
        </w:rPr>
        <w:t> </w:t>
      </w:r>
      <w:r>
        <w:rPr>
          <w:color w:val="231F20"/>
          <w:w w:val="105"/>
        </w:rPr>
        <w:t>marcado</w:t>
      </w:r>
      <w:r>
        <w:rPr>
          <w:color w:val="231F20"/>
          <w:spacing w:val="-26"/>
          <w:w w:val="105"/>
        </w:rPr>
        <w:t> </w:t>
      </w:r>
      <w:r>
        <w:rPr>
          <w:color w:val="231F20"/>
          <w:w w:val="105"/>
        </w:rPr>
        <w:t>por</w:t>
      </w:r>
      <w:r>
        <w:rPr>
          <w:color w:val="231F20"/>
          <w:spacing w:val="-26"/>
          <w:w w:val="105"/>
        </w:rPr>
        <w:t> </w:t>
      </w:r>
      <w:r>
        <w:rPr>
          <w:color w:val="231F20"/>
          <w:w w:val="105"/>
        </w:rPr>
        <w:t>migraciones</w:t>
      </w:r>
      <w:r>
        <w:rPr>
          <w:color w:val="231F20"/>
          <w:spacing w:val="-26"/>
          <w:w w:val="105"/>
        </w:rPr>
        <w:t> </w:t>
      </w:r>
      <w:r>
        <w:rPr>
          <w:color w:val="231F20"/>
          <w:w w:val="105"/>
        </w:rPr>
        <w:t>de</w:t>
      </w:r>
      <w:r>
        <w:rPr>
          <w:color w:val="231F20"/>
          <w:spacing w:val="-26"/>
          <w:w w:val="105"/>
        </w:rPr>
        <w:t> </w:t>
      </w:r>
      <w:r>
        <w:rPr>
          <w:color w:val="231F20"/>
          <w:w w:val="105"/>
        </w:rPr>
        <w:t>millones</w:t>
      </w:r>
      <w:r>
        <w:rPr>
          <w:color w:val="231F20"/>
          <w:w w:val="104"/>
        </w:rPr>
        <w:t> </w:t>
      </w:r>
      <w:r>
        <w:rPr>
          <w:color w:val="231F20"/>
          <w:w w:val="105"/>
        </w:rPr>
        <w:t>de</w:t>
      </w:r>
      <w:r>
        <w:rPr>
          <w:color w:val="231F20"/>
          <w:spacing w:val="-22"/>
          <w:w w:val="105"/>
        </w:rPr>
        <w:t> </w:t>
      </w:r>
      <w:r>
        <w:rPr>
          <w:color w:val="231F20"/>
          <w:w w:val="105"/>
        </w:rPr>
        <w:t>personas</w:t>
      </w:r>
      <w:r>
        <w:rPr>
          <w:color w:val="231F20"/>
          <w:spacing w:val="-22"/>
          <w:w w:val="105"/>
        </w:rPr>
        <w:t> </w:t>
      </w:r>
      <w:r>
        <w:rPr>
          <w:color w:val="231F20"/>
          <w:w w:val="105"/>
        </w:rPr>
        <w:t>entre</w:t>
      </w:r>
      <w:r>
        <w:rPr>
          <w:color w:val="231F20"/>
          <w:spacing w:val="-22"/>
          <w:w w:val="105"/>
        </w:rPr>
        <w:t> </w:t>
      </w:r>
      <w:r>
        <w:rPr>
          <w:color w:val="231F20"/>
          <w:w w:val="105"/>
        </w:rPr>
        <w:t>un</w:t>
      </w:r>
      <w:r>
        <w:rPr>
          <w:color w:val="231F20"/>
          <w:spacing w:val="-22"/>
          <w:w w:val="105"/>
        </w:rPr>
        <w:t> </w:t>
      </w:r>
      <w:r>
        <w:rPr>
          <w:color w:val="231F20"/>
          <w:w w:val="105"/>
        </w:rPr>
        <w:t>sin</w:t>
      </w:r>
      <w:r>
        <w:rPr>
          <w:color w:val="231F20"/>
          <w:spacing w:val="-22"/>
          <w:w w:val="105"/>
        </w:rPr>
        <w:t> </w:t>
      </w:r>
      <w:r>
        <w:rPr>
          <w:color w:val="231F20"/>
          <w:w w:val="105"/>
        </w:rPr>
        <w:t>número</w:t>
      </w:r>
      <w:r>
        <w:rPr>
          <w:color w:val="231F20"/>
          <w:spacing w:val="-22"/>
          <w:w w:val="105"/>
        </w:rPr>
        <w:t> </w:t>
      </w:r>
      <w:r>
        <w:rPr>
          <w:color w:val="231F20"/>
          <w:w w:val="105"/>
        </w:rPr>
        <w:t>de</w:t>
      </w:r>
      <w:r>
        <w:rPr>
          <w:color w:val="231F20"/>
          <w:spacing w:val="-22"/>
          <w:w w:val="105"/>
        </w:rPr>
        <w:t> </w:t>
      </w:r>
      <w:r>
        <w:rPr>
          <w:color w:val="231F20"/>
          <w:w w:val="105"/>
        </w:rPr>
        <w:t>países.</w:t>
      </w:r>
      <w:r>
        <w:rPr>
          <w:color w:val="231F20"/>
          <w:spacing w:val="-26"/>
          <w:w w:val="105"/>
        </w:rPr>
        <w:t> </w:t>
      </w:r>
      <w:r>
        <w:rPr>
          <w:color w:val="231F20"/>
          <w:w w:val="105"/>
        </w:rPr>
        <w:t>Según</w:t>
      </w:r>
      <w:r>
        <w:rPr>
          <w:color w:val="231F20"/>
          <w:spacing w:val="-22"/>
          <w:w w:val="105"/>
        </w:rPr>
        <w:t> </w:t>
      </w:r>
      <w:r>
        <w:rPr>
          <w:color w:val="231F20"/>
          <w:w w:val="105"/>
        </w:rPr>
        <w:t>la</w:t>
      </w:r>
      <w:r>
        <w:rPr>
          <w:color w:val="231F20"/>
          <w:spacing w:val="-22"/>
          <w:w w:val="105"/>
        </w:rPr>
        <w:t> </w:t>
      </w:r>
      <w:r>
        <w:rPr>
          <w:color w:val="231F20"/>
          <w:w w:val="105"/>
        </w:rPr>
        <w:t>Organización</w:t>
      </w:r>
      <w:r>
        <w:rPr>
          <w:color w:val="231F20"/>
          <w:spacing w:val="-22"/>
          <w:w w:val="105"/>
        </w:rPr>
        <w:t> </w:t>
      </w:r>
      <w:r>
        <w:rPr>
          <w:color w:val="231F20"/>
          <w:w w:val="105"/>
        </w:rPr>
        <w:t>Inter-</w:t>
      </w:r>
      <w:r>
        <w:rPr>
          <w:color w:val="231F20"/>
          <w:w w:val="96"/>
        </w:rPr>
        <w:t> </w:t>
      </w:r>
      <w:r>
        <w:rPr>
          <w:color w:val="231F20"/>
          <w:w w:val="105"/>
        </w:rPr>
        <w:t>nacional</w:t>
      </w:r>
      <w:r>
        <w:rPr>
          <w:color w:val="231F20"/>
          <w:spacing w:val="-18"/>
          <w:w w:val="105"/>
        </w:rPr>
        <w:t> </w:t>
      </w:r>
      <w:r>
        <w:rPr>
          <w:color w:val="231F20"/>
          <w:w w:val="105"/>
        </w:rPr>
        <w:t>para</w:t>
      </w:r>
      <w:r>
        <w:rPr>
          <w:color w:val="231F20"/>
          <w:spacing w:val="-18"/>
          <w:w w:val="105"/>
        </w:rPr>
        <w:t> </w:t>
      </w:r>
      <w:r>
        <w:rPr>
          <w:color w:val="231F20"/>
          <w:w w:val="105"/>
        </w:rPr>
        <w:t>las</w:t>
      </w:r>
      <w:r>
        <w:rPr>
          <w:color w:val="231F20"/>
          <w:spacing w:val="-18"/>
          <w:w w:val="105"/>
        </w:rPr>
        <w:t> </w:t>
      </w:r>
      <w:r>
        <w:rPr>
          <w:color w:val="231F20"/>
          <w:w w:val="105"/>
        </w:rPr>
        <w:t>Migraciones</w:t>
      </w:r>
      <w:r>
        <w:rPr>
          <w:color w:val="231F20"/>
          <w:spacing w:val="-18"/>
          <w:w w:val="105"/>
        </w:rPr>
        <w:t> </w:t>
      </w:r>
      <w:r>
        <w:rPr>
          <w:color w:val="231F20"/>
          <w:w w:val="105"/>
        </w:rPr>
        <w:t>(</w:t>
      </w:r>
      <w:r>
        <w:rPr>
          <w:color w:val="231F20"/>
          <w:w w:val="105"/>
          <w:sz w:val="17"/>
        </w:rPr>
        <w:t>OIM</w:t>
      </w:r>
      <w:r>
        <w:rPr>
          <w:color w:val="231F20"/>
          <w:w w:val="105"/>
        </w:rPr>
        <w:t>),</w:t>
      </w:r>
      <w:r>
        <w:rPr>
          <w:color w:val="231F20"/>
          <w:spacing w:val="-24"/>
          <w:w w:val="105"/>
        </w:rPr>
        <w:t> </w:t>
      </w:r>
      <w:r>
        <w:rPr>
          <w:color w:val="231F20"/>
          <w:w w:val="105"/>
        </w:rPr>
        <w:t>la</w:t>
      </w:r>
      <w:r>
        <w:rPr>
          <w:color w:val="231F20"/>
          <w:spacing w:val="-18"/>
          <w:w w:val="105"/>
        </w:rPr>
        <w:t> </w:t>
      </w:r>
      <w:r>
        <w:rPr>
          <w:color w:val="231F20"/>
          <w:w w:val="105"/>
        </w:rPr>
        <w:t>migración</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mundo</w:t>
      </w:r>
      <w:r>
        <w:rPr>
          <w:color w:val="231F20"/>
          <w:spacing w:val="-18"/>
          <w:w w:val="105"/>
        </w:rPr>
        <w:t> </w:t>
      </w:r>
      <w:r>
        <w:rPr>
          <w:color w:val="231F20"/>
          <w:w w:val="105"/>
        </w:rPr>
        <w:t>ha</w:t>
      </w:r>
      <w:r>
        <w:rPr>
          <w:color w:val="231F20"/>
          <w:spacing w:val="-18"/>
          <w:w w:val="105"/>
        </w:rPr>
        <w:t> </w:t>
      </w:r>
      <w:r>
        <w:rPr>
          <w:color w:val="231F20"/>
          <w:w w:val="105"/>
        </w:rPr>
        <w:t>llegado</w:t>
      </w:r>
      <w:r>
        <w:rPr>
          <w:color w:val="231F20"/>
          <w:w w:val="107"/>
        </w:rPr>
        <w:t> </w:t>
      </w:r>
      <w:r>
        <w:rPr>
          <w:color w:val="231F20"/>
          <w:w w:val="105"/>
        </w:rPr>
        <w:t>a</w:t>
      </w:r>
      <w:r>
        <w:rPr>
          <w:color w:val="231F20"/>
          <w:spacing w:val="-27"/>
          <w:w w:val="105"/>
        </w:rPr>
        <w:t> </w:t>
      </w:r>
      <w:r>
        <w:rPr>
          <w:color w:val="231F20"/>
          <w:w w:val="105"/>
        </w:rPr>
        <w:t>214</w:t>
      </w:r>
      <w:r>
        <w:rPr>
          <w:color w:val="231F20"/>
          <w:spacing w:val="-27"/>
          <w:w w:val="105"/>
        </w:rPr>
        <w:t> </w:t>
      </w:r>
      <w:r>
        <w:rPr>
          <w:color w:val="231F20"/>
          <w:w w:val="105"/>
        </w:rPr>
        <w:t>millones</w:t>
      </w:r>
      <w:r>
        <w:rPr>
          <w:color w:val="231F20"/>
          <w:spacing w:val="-27"/>
          <w:w w:val="105"/>
        </w:rPr>
        <w:t> </w:t>
      </w:r>
      <w:r>
        <w:rPr>
          <w:color w:val="231F20"/>
          <w:w w:val="105"/>
        </w:rPr>
        <w:t>de</w:t>
      </w:r>
      <w:r>
        <w:rPr>
          <w:color w:val="231F20"/>
          <w:spacing w:val="-27"/>
          <w:w w:val="105"/>
        </w:rPr>
        <w:t> </w:t>
      </w:r>
      <w:r>
        <w:rPr>
          <w:color w:val="231F20"/>
          <w:w w:val="105"/>
        </w:rPr>
        <w:t>personas</w:t>
      </w:r>
      <w:r>
        <w:rPr>
          <w:color w:val="231F20"/>
          <w:spacing w:val="-27"/>
          <w:w w:val="105"/>
        </w:rPr>
        <w:t> </w:t>
      </w:r>
      <w:r>
        <w:rPr>
          <w:color w:val="231F20"/>
          <w:w w:val="105"/>
        </w:rPr>
        <w:t>(esto</w:t>
      </w:r>
      <w:r>
        <w:rPr>
          <w:color w:val="231F20"/>
          <w:spacing w:val="-27"/>
          <w:w w:val="105"/>
        </w:rPr>
        <w:t> </w:t>
      </w:r>
      <w:r>
        <w:rPr>
          <w:color w:val="231F20"/>
          <w:w w:val="105"/>
        </w:rPr>
        <w:t>sin</w:t>
      </w:r>
      <w:r>
        <w:rPr>
          <w:color w:val="231F20"/>
          <w:spacing w:val="-27"/>
          <w:w w:val="105"/>
        </w:rPr>
        <w:t> </w:t>
      </w:r>
      <w:r>
        <w:rPr>
          <w:color w:val="231F20"/>
          <w:w w:val="105"/>
        </w:rPr>
        <w:t>tener</w:t>
      </w:r>
      <w:r>
        <w:rPr>
          <w:color w:val="231F20"/>
          <w:spacing w:val="-27"/>
          <w:w w:val="105"/>
        </w:rPr>
        <w:t> </w:t>
      </w:r>
      <w:r>
        <w:rPr>
          <w:color w:val="231F20"/>
          <w:w w:val="105"/>
        </w:rPr>
        <w:t>en</w:t>
      </w:r>
      <w:r>
        <w:rPr>
          <w:color w:val="231F20"/>
          <w:spacing w:val="-27"/>
          <w:w w:val="105"/>
        </w:rPr>
        <w:t> </w:t>
      </w:r>
      <w:r>
        <w:rPr>
          <w:color w:val="231F20"/>
          <w:w w:val="105"/>
        </w:rPr>
        <w:t>cuenta</w:t>
      </w:r>
      <w:r>
        <w:rPr>
          <w:color w:val="231F20"/>
          <w:spacing w:val="-27"/>
          <w:w w:val="105"/>
        </w:rPr>
        <w:t> </w:t>
      </w:r>
      <w:r>
        <w:rPr>
          <w:color w:val="231F20"/>
          <w:w w:val="105"/>
        </w:rPr>
        <w:t>las</w:t>
      </w:r>
      <w:r>
        <w:rPr>
          <w:color w:val="231F20"/>
          <w:spacing w:val="-27"/>
          <w:w w:val="105"/>
        </w:rPr>
        <w:t> </w:t>
      </w:r>
      <w:r>
        <w:rPr>
          <w:color w:val="231F20"/>
          <w:w w:val="105"/>
        </w:rPr>
        <w:t>migraciones</w:t>
      </w:r>
      <w:r>
        <w:rPr>
          <w:color w:val="231F20"/>
          <w:spacing w:val="-27"/>
          <w:w w:val="105"/>
        </w:rPr>
        <w:t> </w:t>
      </w:r>
      <w:r>
        <w:rPr>
          <w:color w:val="231F20"/>
          <w:w w:val="105"/>
        </w:rPr>
        <w:t>más</w:t>
      </w:r>
      <w:r>
        <w:rPr>
          <w:color w:val="231F20"/>
          <w:w w:val="98"/>
        </w:rPr>
        <w:t> </w:t>
      </w:r>
      <w:r>
        <w:rPr>
          <w:color w:val="231F20"/>
          <w:w w:val="105"/>
        </w:rPr>
        <w:t>recientes,</w:t>
      </w:r>
      <w:r>
        <w:rPr>
          <w:color w:val="231F20"/>
          <w:spacing w:val="-10"/>
          <w:w w:val="105"/>
        </w:rPr>
        <w:t> </w:t>
      </w:r>
      <w:r>
        <w:rPr>
          <w:color w:val="231F20"/>
          <w:w w:val="105"/>
        </w:rPr>
        <w:t>como</w:t>
      </w:r>
      <w:r>
        <w:rPr>
          <w:color w:val="231F20"/>
          <w:spacing w:val="-5"/>
          <w:w w:val="105"/>
        </w:rPr>
        <w:t> </w:t>
      </w:r>
      <w:r>
        <w:rPr>
          <w:color w:val="231F20"/>
          <w:w w:val="105"/>
        </w:rPr>
        <w:t>la</w:t>
      </w:r>
      <w:r>
        <w:rPr>
          <w:color w:val="231F20"/>
          <w:spacing w:val="-5"/>
          <w:w w:val="105"/>
        </w:rPr>
        <w:t> </w:t>
      </w:r>
      <w:r>
        <w:rPr>
          <w:color w:val="231F20"/>
          <w:w w:val="105"/>
        </w:rPr>
        <w:t>de</w:t>
      </w:r>
      <w:r>
        <w:rPr>
          <w:color w:val="231F20"/>
          <w:spacing w:val="-5"/>
          <w:w w:val="105"/>
        </w:rPr>
        <w:t> </w:t>
      </w:r>
      <w:r>
        <w:rPr>
          <w:color w:val="231F20"/>
          <w:w w:val="105"/>
        </w:rPr>
        <w:t>Sirios</w:t>
      </w:r>
      <w:r>
        <w:rPr>
          <w:color w:val="231F20"/>
          <w:spacing w:val="-5"/>
          <w:w w:val="105"/>
        </w:rPr>
        <w:t> </w:t>
      </w:r>
      <w:r>
        <w:rPr>
          <w:color w:val="231F20"/>
          <w:w w:val="105"/>
        </w:rPr>
        <w:t>a</w:t>
      </w:r>
      <w:r>
        <w:rPr>
          <w:color w:val="231F20"/>
          <w:spacing w:val="-5"/>
          <w:w w:val="105"/>
        </w:rPr>
        <w:t> </w:t>
      </w:r>
      <w:r>
        <w:rPr>
          <w:color w:val="231F20"/>
          <w:w w:val="105"/>
        </w:rPr>
        <w:t>Europa).</w:t>
      </w:r>
      <w:r>
        <w:rPr>
          <w:color w:val="231F20"/>
          <w:spacing w:val="-10"/>
          <w:w w:val="105"/>
        </w:rPr>
        <w:t> </w:t>
      </w:r>
      <w:r>
        <w:rPr>
          <w:color w:val="231F20"/>
          <w:w w:val="105"/>
        </w:rPr>
        <w:t>Como</w:t>
      </w:r>
      <w:r>
        <w:rPr>
          <w:color w:val="231F20"/>
          <w:spacing w:val="-5"/>
          <w:w w:val="105"/>
        </w:rPr>
        <w:t> </w:t>
      </w:r>
      <w:r>
        <w:rPr>
          <w:color w:val="231F20"/>
          <w:w w:val="105"/>
        </w:rPr>
        <w:t>consecuencia</w:t>
      </w:r>
      <w:r>
        <w:rPr>
          <w:color w:val="231F20"/>
          <w:spacing w:val="-5"/>
          <w:w w:val="105"/>
        </w:rPr>
        <w:t> </w:t>
      </w:r>
      <w:r>
        <w:rPr>
          <w:color w:val="231F20"/>
          <w:w w:val="105"/>
        </w:rPr>
        <w:t>de</w:t>
      </w:r>
      <w:r>
        <w:rPr>
          <w:color w:val="231F20"/>
          <w:spacing w:val="-5"/>
          <w:w w:val="105"/>
        </w:rPr>
        <w:t> </w:t>
      </w:r>
      <w:r>
        <w:rPr>
          <w:color w:val="231F20"/>
          <w:w w:val="105"/>
        </w:rPr>
        <w:t>esto,</w:t>
      </w:r>
      <w:r>
        <w:rPr>
          <w:color w:val="231F20"/>
          <w:spacing w:val="-10"/>
          <w:w w:val="105"/>
        </w:rPr>
        <w:t> </w:t>
      </w:r>
      <w:r>
        <w:rPr>
          <w:color w:val="231F20"/>
          <w:w w:val="105"/>
        </w:rPr>
        <w:t>se</w:t>
      </w:r>
      <w:r>
        <w:rPr>
          <w:color w:val="231F20"/>
          <w:w w:val="96"/>
        </w:rPr>
        <w:t> </w:t>
      </w:r>
      <w:r>
        <w:rPr>
          <w:color w:val="231F20"/>
          <w:w w:val="105"/>
        </w:rPr>
        <w:t>estima que el 3.1% de la población mundial es migrante, lo</w:t>
      </w:r>
      <w:r>
        <w:rPr>
          <w:color w:val="231F20"/>
          <w:spacing w:val="-9"/>
          <w:w w:val="105"/>
        </w:rPr>
        <w:t> </w:t>
      </w:r>
      <w:r>
        <w:rPr>
          <w:color w:val="231F20"/>
          <w:w w:val="105"/>
        </w:rPr>
        <w:t>que</w:t>
      </w:r>
      <w:r>
        <w:rPr>
          <w:color w:val="231F20"/>
          <w:spacing w:val="-1"/>
          <w:w w:val="105"/>
        </w:rPr>
        <w:t> </w:t>
      </w:r>
      <w:r>
        <w:rPr>
          <w:color w:val="231F20"/>
          <w:w w:val="105"/>
        </w:rPr>
        <w:t>implica</w:t>
      </w:r>
      <w:r>
        <w:rPr>
          <w:color w:val="231F20"/>
          <w:w w:val="105"/>
        </w:rPr>
        <w:t> </w:t>
      </w:r>
      <w:r>
        <w:rPr>
          <w:color w:val="231F20"/>
          <w:w w:val="105"/>
        </w:rPr>
        <w:t>una</w:t>
      </w:r>
      <w:r>
        <w:rPr>
          <w:color w:val="231F20"/>
          <w:spacing w:val="-20"/>
          <w:w w:val="105"/>
        </w:rPr>
        <w:t> </w:t>
      </w:r>
      <w:r>
        <w:rPr>
          <w:color w:val="231F20"/>
          <w:w w:val="105"/>
        </w:rPr>
        <w:t>dinámica</w:t>
      </w:r>
      <w:r>
        <w:rPr>
          <w:color w:val="231F20"/>
          <w:spacing w:val="-20"/>
          <w:w w:val="105"/>
        </w:rPr>
        <w:t> </w:t>
      </w:r>
      <w:r>
        <w:rPr>
          <w:color w:val="231F20"/>
          <w:w w:val="105"/>
        </w:rPr>
        <w:t>económica</w:t>
      </w:r>
      <w:r>
        <w:rPr>
          <w:color w:val="231F20"/>
          <w:spacing w:val="-20"/>
          <w:w w:val="105"/>
        </w:rPr>
        <w:t> </w:t>
      </w:r>
      <w:r>
        <w:rPr>
          <w:color w:val="231F20"/>
          <w:w w:val="105"/>
        </w:rPr>
        <w:t>poco</w:t>
      </w:r>
      <w:r>
        <w:rPr>
          <w:color w:val="231F20"/>
          <w:spacing w:val="-20"/>
          <w:w w:val="105"/>
        </w:rPr>
        <w:t> </w:t>
      </w:r>
      <w:r>
        <w:rPr>
          <w:color w:val="231F20"/>
          <w:w w:val="105"/>
        </w:rPr>
        <w:t>comparable</w:t>
      </w:r>
      <w:r>
        <w:rPr>
          <w:color w:val="231F20"/>
          <w:spacing w:val="-20"/>
          <w:w w:val="105"/>
        </w:rPr>
        <w:t> </w:t>
      </w:r>
      <w:r>
        <w:rPr>
          <w:color w:val="231F20"/>
          <w:w w:val="105"/>
        </w:rPr>
        <w:t>con</w:t>
      </w:r>
      <w:r>
        <w:rPr>
          <w:color w:val="231F20"/>
          <w:spacing w:val="-20"/>
          <w:w w:val="105"/>
        </w:rPr>
        <w:t> </w:t>
      </w:r>
      <w:r>
        <w:rPr>
          <w:color w:val="231F20"/>
          <w:w w:val="105"/>
        </w:rPr>
        <w:t>otras</w:t>
      </w:r>
      <w:r>
        <w:rPr>
          <w:color w:val="231F20"/>
          <w:spacing w:val="-20"/>
          <w:w w:val="105"/>
        </w:rPr>
        <w:t> </w:t>
      </w:r>
      <w:r>
        <w:rPr>
          <w:color w:val="231F20"/>
          <w:w w:val="105"/>
        </w:rPr>
        <w:t>industrias.</w:t>
      </w:r>
      <w:r>
        <w:rPr>
          <w:color w:val="231F20"/>
          <w:spacing w:val="-25"/>
          <w:w w:val="105"/>
        </w:rPr>
        <w:t> </w:t>
      </w:r>
      <w:r>
        <w:rPr>
          <w:color w:val="231F20"/>
          <w:w w:val="105"/>
        </w:rPr>
        <w:t>En</w:t>
      </w:r>
      <w:r>
        <w:rPr>
          <w:color w:val="231F20"/>
          <w:spacing w:val="-20"/>
          <w:w w:val="105"/>
        </w:rPr>
        <w:t> </w:t>
      </w:r>
      <w:r>
        <w:rPr>
          <w:color w:val="231F20"/>
          <w:w w:val="105"/>
        </w:rPr>
        <w:t>2010</w:t>
      </w:r>
      <w:r>
        <w:rPr>
          <w:color w:val="231F20"/>
          <w:w w:val="104"/>
        </w:rPr>
        <w:t> </w:t>
      </w:r>
      <w:r>
        <w:rPr>
          <w:color w:val="231F20"/>
          <w:w w:val="105"/>
        </w:rPr>
        <w:t>se</w:t>
      </w:r>
      <w:r>
        <w:rPr>
          <w:color w:val="231F20"/>
          <w:spacing w:val="-20"/>
          <w:w w:val="105"/>
        </w:rPr>
        <w:t> </w:t>
      </w:r>
      <w:r>
        <w:rPr>
          <w:color w:val="231F20"/>
          <w:w w:val="105"/>
        </w:rPr>
        <w:t>calculó</w:t>
      </w:r>
      <w:r>
        <w:rPr>
          <w:color w:val="231F20"/>
          <w:spacing w:val="-20"/>
          <w:w w:val="105"/>
        </w:rPr>
        <w:t> </w:t>
      </w:r>
      <w:r>
        <w:rPr>
          <w:color w:val="231F20"/>
          <w:w w:val="105"/>
        </w:rPr>
        <w:t>que</w:t>
      </w:r>
      <w:r>
        <w:rPr>
          <w:color w:val="231F20"/>
          <w:spacing w:val="-20"/>
          <w:w w:val="105"/>
        </w:rPr>
        <w:t> </w:t>
      </w:r>
      <w:r>
        <w:rPr>
          <w:color w:val="231F20"/>
          <w:w w:val="105"/>
        </w:rPr>
        <w:t>440</w:t>
      </w:r>
      <w:r>
        <w:rPr>
          <w:color w:val="231F20"/>
          <w:spacing w:val="-20"/>
          <w:w w:val="105"/>
        </w:rPr>
        <w:t> </w:t>
      </w:r>
      <w:r>
        <w:rPr>
          <w:color w:val="231F20"/>
          <w:w w:val="105"/>
        </w:rPr>
        <w:t>billones</w:t>
      </w:r>
      <w:r>
        <w:rPr>
          <w:color w:val="231F20"/>
          <w:spacing w:val="-20"/>
          <w:w w:val="105"/>
        </w:rPr>
        <w:t> </w:t>
      </w:r>
      <w:r>
        <w:rPr>
          <w:color w:val="231F20"/>
          <w:w w:val="105"/>
        </w:rPr>
        <w:t>de</w:t>
      </w:r>
      <w:r>
        <w:rPr>
          <w:color w:val="231F20"/>
          <w:spacing w:val="-20"/>
          <w:w w:val="105"/>
        </w:rPr>
        <w:t> </w:t>
      </w:r>
      <w:r>
        <w:rPr>
          <w:color w:val="231F20"/>
          <w:w w:val="105"/>
        </w:rPr>
        <w:t>dólares</w:t>
      </w:r>
      <w:r>
        <w:rPr>
          <w:color w:val="231F20"/>
          <w:spacing w:val="-20"/>
          <w:w w:val="105"/>
        </w:rPr>
        <w:t> </w:t>
      </w:r>
      <w:r>
        <w:rPr>
          <w:color w:val="231F20"/>
          <w:w w:val="105"/>
        </w:rPr>
        <w:t>fueron</w:t>
      </w:r>
      <w:r>
        <w:rPr>
          <w:color w:val="231F20"/>
          <w:spacing w:val="-20"/>
          <w:w w:val="105"/>
        </w:rPr>
        <w:t> </w:t>
      </w:r>
      <w:r>
        <w:rPr>
          <w:color w:val="231F20"/>
          <w:w w:val="105"/>
        </w:rPr>
        <w:t>enviados</w:t>
      </w:r>
      <w:r>
        <w:rPr>
          <w:color w:val="231F20"/>
          <w:spacing w:val="-20"/>
          <w:w w:val="105"/>
        </w:rPr>
        <w:t> </w:t>
      </w:r>
      <w:r>
        <w:rPr>
          <w:color w:val="231F20"/>
          <w:w w:val="105"/>
        </w:rPr>
        <w:t>en</w:t>
      </w:r>
      <w:r>
        <w:rPr>
          <w:color w:val="231F20"/>
          <w:spacing w:val="-20"/>
          <w:w w:val="105"/>
        </w:rPr>
        <w:t> </w:t>
      </w:r>
      <w:r>
        <w:rPr>
          <w:color w:val="231F20"/>
          <w:w w:val="105"/>
        </w:rPr>
        <w:t>remesas</w:t>
      </w:r>
      <w:r>
        <w:rPr>
          <w:color w:val="231F20"/>
          <w:spacing w:val="-20"/>
          <w:w w:val="105"/>
        </w:rPr>
        <w:t> </w:t>
      </w:r>
      <w:r>
        <w:rPr>
          <w:color w:val="231F20"/>
          <w:w w:val="105"/>
        </w:rPr>
        <w:t>a</w:t>
      </w:r>
      <w:r>
        <w:rPr>
          <w:color w:val="231F20"/>
          <w:spacing w:val="-20"/>
          <w:w w:val="105"/>
        </w:rPr>
        <w:t> </w:t>
      </w:r>
      <w:r>
        <w:rPr>
          <w:color w:val="231F20"/>
          <w:w w:val="105"/>
        </w:rPr>
        <w:t>sus</w:t>
      </w:r>
      <w:r>
        <w:rPr>
          <w:color w:val="231F20"/>
          <w:w w:val="94"/>
        </w:rPr>
        <w:t> </w:t>
      </w:r>
      <w:r>
        <w:rPr>
          <w:color w:val="231F20"/>
          <w:w w:val="105"/>
        </w:rPr>
        <w:t>lugares de origen (</w:t>
      </w:r>
      <w:r>
        <w:rPr>
          <w:color w:val="231F20"/>
          <w:w w:val="105"/>
          <w:sz w:val="17"/>
        </w:rPr>
        <w:t>OIM</w:t>
      </w:r>
      <w:r>
        <w:rPr>
          <w:color w:val="231F20"/>
          <w:w w:val="105"/>
        </w:rPr>
        <w:t>, 2014), y de estos 325 billones</w:t>
      </w:r>
      <w:r>
        <w:rPr>
          <w:color w:val="231F20"/>
          <w:spacing w:val="9"/>
          <w:w w:val="105"/>
        </w:rPr>
        <w:t> </w:t>
      </w:r>
      <w:r>
        <w:rPr>
          <w:color w:val="231F20"/>
          <w:w w:val="105"/>
        </w:rPr>
        <w:t>fueron</w:t>
      </w:r>
      <w:r>
        <w:rPr>
          <w:color w:val="231F20"/>
          <w:spacing w:val="8"/>
          <w:w w:val="105"/>
        </w:rPr>
        <w:t> </w:t>
      </w:r>
      <w:r>
        <w:rPr>
          <w:color w:val="231F20"/>
          <w:w w:val="105"/>
        </w:rPr>
        <w:t>enviadas</w:t>
      </w:r>
      <w:r>
        <w:rPr>
          <w:color w:val="231F20"/>
          <w:w w:val="100"/>
        </w:rPr>
        <w:t> </w:t>
      </w:r>
      <w:r>
        <w:rPr>
          <w:color w:val="231F20"/>
          <w:w w:val="105"/>
        </w:rPr>
        <w:t>por</w:t>
      </w:r>
      <w:r>
        <w:rPr>
          <w:color w:val="231F20"/>
          <w:spacing w:val="-17"/>
          <w:w w:val="105"/>
        </w:rPr>
        <w:t> </w:t>
      </w:r>
      <w:r>
        <w:rPr>
          <w:color w:val="231F20"/>
          <w:w w:val="105"/>
        </w:rPr>
        <w:t>los</w:t>
      </w:r>
      <w:r>
        <w:rPr>
          <w:color w:val="231F20"/>
          <w:spacing w:val="-17"/>
          <w:w w:val="105"/>
        </w:rPr>
        <w:t> </w:t>
      </w:r>
      <w:r>
        <w:rPr>
          <w:color w:val="231F20"/>
          <w:w w:val="105"/>
        </w:rPr>
        <w:t>migrantes</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w w:val="105"/>
        </w:rPr>
        <w:t>países</w:t>
      </w:r>
      <w:r>
        <w:rPr>
          <w:color w:val="231F20"/>
          <w:spacing w:val="-17"/>
          <w:w w:val="105"/>
        </w:rPr>
        <w:t> </w:t>
      </w:r>
      <w:r>
        <w:rPr>
          <w:color w:val="231F20"/>
          <w:w w:val="105"/>
        </w:rPr>
        <w:t>considerados</w:t>
      </w:r>
      <w:r>
        <w:rPr>
          <w:color w:val="231F20"/>
          <w:spacing w:val="-17"/>
          <w:w w:val="105"/>
        </w:rPr>
        <w:t> </w:t>
      </w:r>
      <w:r>
        <w:rPr>
          <w:color w:val="231F20"/>
          <w:w w:val="105"/>
        </w:rPr>
        <w:t>como</w:t>
      </w:r>
      <w:r>
        <w:rPr>
          <w:color w:val="231F20"/>
          <w:spacing w:val="-17"/>
          <w:w w:val="105"/>
        </w:rPr>
        <w:t> </w:t>
      </w:r>
      <w:r>
        <w:rPr>
          <w:color w:val="231F20"/>
          <w:w w:val="105"/>
        </w:rPr>
        <w:t>en</w:t>
      </w:r>
      <w:r>
        <w:rPr>
          <w:color w:val="231F20"/>
          <w:spacing w:val="-17"/>
          <w:w w:val="105"/>
        </w:rPr>
        <w:t> </w:t>
      </w:r>
      <w:r>
        <w:rPr>
          <w:color w:val="231F20"/>
          <w:w w:val="105"/>
        </w:rPr>
        <w:t>vías</w:t>
      </w:r>
      <w:r>
        <w:rPr>
          <w:color w:val="231F20"/>
          <w:spacing w:val="-17"/>
          <w:w w:val="105"/>
        </w:rPr>
        <w:t> </w:t>
      </w:r>
      <w:r>
        <w:rPr>
          <w:color w:val="231F20"/>
          <w:w w:val="105"/>
        </w:rPr>
        <w:t>de</w:t>
      </w:r>
      <w:r>
        <w:rPr>
          <w:color w:val="231F20"/>
          <w:spacing w:val="-17"/>
          <w:w w:val="105"/>
        </w:rPr>
        <w:t> </w:t>
      </w:r>
      <w:r>
        <w:rPr>
          <w:color w:val="231F20"/>
          <w:w w:val="105"/>
        </w:rPr>
        <w:t>desarrollo.</w:t>
      </w:r>
      <w:r>
        <w:rPr>
          <w:color w:val="231F20"/>
          <w:w w:val="93"/>
        </w:rPr>
        <w:t> </w:t>
      </w:r>
      <w:r>
        <w:rPr>
          <w:color w:val="231F20"/>
          <w:w w:val="105"/>
        </w:rPr>
        <w:t>Es</w:t>
      </w:r>
      <w:r>
        <w:rPr>
          <w:color w:val="231F20"/>
          <w:spacing w:val="-27"/>
          <w:w w:val="105"/>
        </w:rPr>
        <w:t> </w:t>
      </w:r>
      <w:r>
        <w:rPr>
          <w:color w:val="231F20"/>
          <w:w w:val="105"/>
        </w:rPr>
        <w:t>así</w:t>
      </w:r>
      <w:r>
        <w:rPr>
          <w:color w:val="231F20"/>
          <w:spacing w:val="-27"/>
          <w:w w:val="105"/>
        </w:rPr>
        <w:t> </w:t>
      </w:r>
      <w:r>
        <w:rPr>
          <w:color w:val="231F20"/>
          <w:w w:val="105"/>
        </w:rPr>
        <w:t>que</w:t>
      </w:r>
      <w:r>
        <w:rPr>
          <w:color w:val="231F20"/>
          <w:spacing w:val="-27"/>
          <w:w w:val="105"/>
        </w:rPr>
        <w:t> </w:t>
      </w:r>
      <w:r>
        <w:rPr>
          <w:color w:val="231F20"/>
          <w:w w:val="105"/>
        </w:rPr>
        <w:t>la</w:t>
      </w:r>
      <w:r>
        <w:rPr>
          <w:color w:val="231F20"/>
          <w:spacing w:val="-27"/>
          <w:w w:val="105"/>
        </w:rPr>
        <w:t> </w:t>
      </w:r>
      <w:r>
        <w:rPr>
          <w:color w:val="231F20"/>
          <w:w w:val="105"/>
        </w:rPr>
        <w:t>principal</w:t>
      </w:r>
      <w:r>
        <w:rPr>
          <w:color w:val="231F20"/>
          <w:spacing w:val="-27"/>
          <w:w w:val="105"/>
        </w:rPr>
        <w:t> </w:t>
      </w:r>
      <w:r>
        <w:rPr>
          <w:color w:val="231F20"/>
          <w:w w:val="105"/>
        </w:rPr>
        <w:t>causa</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migración</w:t>
      </w:r>
      <w:r>
        <w:rPr>
          <w:color w:val="231F20"/>
          <w:spacing w:val="-27"/>
          <w:w w:val="105"/>
        </w:rPr>
        <w:t> </w:t>
      </w:r>
      <w:r>
        <w:rPr>
          <w:color w:val="231F20"/>
          <w:w w:val="105"/>
        </w:rPr>
        <w:t>ha</w:t>
      </w:r>
      <w:r>
        <w:rPr>
          <w:color w:val="231F20"/>
          <w:spacing w:val="-27"/>
          <w:w w:val="105"/>
        </w:rPr>
        <w:t> </w:t>
      </w:r>
      <w:r>
        <w:rPr>
          <w:color w:val="231F20"/>
          <w:w w:val="105"/>
        </w:rPr>
        <w:t>sido,</w:t>
      </w:r>
      <w:r>
        <w:rPr>
          <w:color w:val="231F20"/>
          <w:spacing w:val="-32"/>
          <w:w w:val="105"/>
        </w:rPr>
        <w:t> </w:t>
      </w:r>
      <w:r>
        <w:rPr>
          <w:color w:val="231F20"/>
          <w:w w:val="105"/>
        </w:rPr>
        <w:t>y</w:t>
      </w:r>
      <w:r>
        <w:rPr>
          <w:color w:val="231F20"/>
          <w:spacing w:val="-27"/>
          <w:w w:val="105"/>
        </w:rPr>
        <w:t> </w:t>
      </w:r>
      <w:r>
        <w:rPr>
          <w:color w:val="231F20"/>
          <w:w w:val="105"/>
        </w:rPr>
        <w:t>sigue</w:t>
      </w:r>
      <w:r>
        <w:rPr>
          <w:color w:val="231F20"/>
          <w:spacing w:val="-27"/>
          <w:w w:val="105"/>
        </w:rPr>
        <w:t> </w:t>
      </w:r>
      <w:r>
        <w:rPr>
          <w:color w:val="231F20"/>
          <w:w w:val="105"/>
        </w:rPr>
        <w:t>siendo,</w:t>
      </w:r>
    </w:p>
    <w:p>
      <w:pPr>
        <w:pStyle w:val="BodyText"/>
        <w:spacing w:line="261" w:lineRule="auto" w:before="1"/>
        <w:ind w:left="1837" w:right="1721"/>
        <w:jc w:val="both"/>
      </w:pPr>
      <w:r>
        <w:rPr>
          <w:color w:val="231F20"/>
          <w:w w:val="105"/>
        </w:rPr>
        <w:t>la búsqueda de formas de obtener ingresos para mejorar la calidad de vida</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personas,</w:t>
      </w:r>
      <w:r>
        <w:rPr>
          <w:color w:val="231F20"/>
          <w:spacing w:val="-14"/>
          <w:w w:val="105"/>
        </w:rPr>
        <w:t> </w:t>
      </w:r>
      <w:r>
        <w:rPr>
          <w:color w:val="231F20"/>
          <w:w w:val="105"/>
        </w:rPr>
        <w:t>es</w:t>
      </w:r>
      <w:r>
        <w:rPr>
          <w:color w:val="231F20"/>
          <w:spacing w:val="-9"/>
          <w:w w:val="105"/>
        </w:rPr>
        <w:t> </w:t>
      </w:r>
      <w:r>
        <w:rPr>
          <w:color w:val="231F20"/>
          <w:w w:val="105"/>
        </w:rPr>
        <w:t>decir,</w:t>
      </w:r>
      <w:r>
        <w:rPr>
          <w:color w:val="231F20"/>
          <w:spacing w:val="-14"/>
          <w:w w:val="105"/>
        </w:rPr>
        <w:t> </w:t>
      </w:r>
      <w:r>
        <w:rPr>
          <w:color w:val="231F20"/>
          <w:w w:val="105"/>
        </w:rPr>
        <w:t>el</w:t>
      </w:r>
      <w:r>
        <w:rPr>
          <w:color w:val="231F20"/>
          <w:spacing w:val="-9"/>
          <w:w w:val="105"/>
        </w:rPr>
        <w:t> </w:t>
      </w:r>
      <w:r>
        <w:rPr>
          <w:color w:val="231F20"/>
          <w:w w:val="105"/>
        </w:rPr>
        <w:t>trabajo.</w:t>
      </w:r>
      <w:r>
        <w:rPr>
          <w:color w:val="231F20"/>
          <w:spacing w:val="-14"/>
          <w:w w:val="105"/>
        </w:rPr>
        <w:t> </w:t>
      </w:r>
      <w:r>
        <w:rPr>
          <w:color w:val="231F20"/>
          <w:w w:val="105"/>
        </w:rPr>
        <w:t>En</w:t>
      </w:r>
      <w:r>
        <w:rPr>
          <w:color w:val="231F20"/>
          <w:spacing w:val="-9"/>
          <w:w w:val="105"/>
        </w:rPr>
        <w:t> </w:t>
      </w:r>
      <w:r>
        <w:rPr>
          <w:color w:val="231F20"/>
          <w:w w:val="105"/>
        </w:rPr>
        <w:t>este</w:t>
      </w:r>
      <w:r>
        <w:rPr>
          <w:color w:val="231F20"/>
          <w:spacing w:val="-9"/>
          <w:w w:val="105"/>
        </w:rPr>
        <w:t> </w:t>
      </w:r>
      <w:r>
        <w:rPr>
          <w:color w:val="231F20"/>
          <w:w w:val="105"/>
        </w:rPr>
        <w:t>sentido,</w:t>
      </w:r>
      <w:r>
        <w:rPr>
          <w:color w:val="231F20"/>
          <w:spacing w:val="-14"/>
          <w:w w:val="105"/>
        </w:rPr>
        <w:t> </w:t>
      </w:r>
      <w:r>
        <w:rPr>
          <w:color w:val="231F20"/>
          <w:w w:val="105"/>
        </w:rPr>
        <w:t>puede</w:t>
      </w:r>
      <w:r>
        <w:rPr>
          <w:color w:val="231F20"/>
          <w:spacing w:val="-9"/>
          <w:w w:val="105"/>
        </w:rPr>
        <w:t> </w:t>
      </w:r>
      <w:r>
        <w:rPr>
          <w:color w:val="231F20"/>
          <w:w w:val="105"/>
        </w:rPr>
        <w:t>encon- trarse en variables como el género (49% de migrantes son mujeres, y aunque</w:t>
      </w:r>
      <w:r>
        <w:rPr>
          <w:color w:val="231F20"/>
          <w:spacing w:val="-7"/>
          <w:w w:val="105"/>
        </w:rPr>
        <w:t> </w:t>
      </w:r>
      <w:r>
        <w:rPr>
          <w:color w:val="231F20"/>
          <w:w w:val="105"/>
        </w:rPr>
        <w:t>no</w:t>
      </w:r>
      <w:r>
        <w:rPr>
          <w:color w:val="231F20"/>
          <w:spacing w:val="-7"/>
          <w:w w:val="105"/>
        </w:rPr>
        <w:t> </w:t>
      </w:r>
      <w:r>
        <w:rPr>
          <w:color w:val="231F20"/>
          <w:w w:val="105"/>
        </w:rPr>
        <w:t>se</w:t>
      </w:r>
      <w:r>
        <w:rPr>
          <w:color w:val="231F20"/>
          <w:spacing w:val="-7"/>
          <w:w w:val="105"/>
        </w:rPr>
        <w:t> </w:t>
      </w:r>
      <w:r>
        <w:rPr>
          <w:color w:val="231F20"/>
          <w:w w:val="105"/>
        </w:rPr>
        <w:t>puede</w:t>
      </w:r>
      <w:r>
        <w:rPr>
          <w:color w:val="231F20"/>
          <w:spacing w:val="-7"/>
          <w:w w:val="105"/>
        </w:rPr>
        <w:t> </w:t>
      </w:r>
      <w:r>
        <w:rPr>
          <w:color w:val="231F20"/>
          <w:w w:val="105"/>
        </w:rPr>
        <w:t>hablar,</w:t>
      </w:r>
      <w:r>
        <w:rPr>
          <w:color w:val="231F20"/>
          <w:spacing w:val="-12"/>
          <w:w w:val="105"/>
        </w:rPr>
        <w:t> </w:t>
      </w:r>
      <w:r>
        <w:rPr>
          <w:color w:val="231F20"/>
          <w:w w:val="105"/>
        </w:rPr>
        <w:t>todavía,</w:t>
      </w:r>
      <w:r>
        <w:rPr>
          <w:color w:val="231F20"/>
          <w:spacing w:val="-12"/>
          <w:w w:val="105"/>
        </w:rPr>
        <w:t> </w:t>
      </w:r>
      <w:r>
        <w:rPr>
          <w:color w:val="231F20"/>
          <w:w w:val="105"/>
        </w:rPr>
        <w:t>de</w:t>
      </w:r>
      <w:r>
        <w:rPr>
          <w:color w:val="231F20"/>
          <w:spacing w:val="-7"/>
          <w:w w:val="105"/>
        </w:rPr>
        <w:t> </w:t>
      </w:r>
      <w:r>
        <w:rPr>
          <w:color w:val="231F20"/>
          <w:w w:val="105"/>
        </w:rPr>
        <w:t>una</w:t>
      </w:r>
      <w:r>
        <w:rPr>
          <w:color w:val="231F20"/>
          <w:spacing w:val="-7"/>
          <w:w w:val="105"/>
        </w:rPr>
        <w:t> </w:t>
      </w:r>
      <w:r>
        <w:rPr>
          <w:color w:val="231F20"/>
          <w:w w:val="105"/>
        </w:rPr>
        <w:t>feminización</w:t>
      </w:r>
      <w:r>
        <w:rPr>
          <w:color w:val="231F20"/>
          <w:spacing w:val="-7"/>
          <w:w w:val="105"/>
        </w:rPr>
        <w:t> </w:t>
      </w:r>
      <w:r>
        <w:rPr>
          <w:color w:val="231F20"/>
          <w:w w:val="105"/>
        </w:rPr>
        <w:t>del</w:t>
      </w:r>
      <w:r>
        <w:rPr>
          <w:color w:val="231F20"/>
          <w:spacing w:val="-7"/>
          <w:w w:val="105"/>
        </w:rPr>
        <w:t> </w:t>
      </w:r>
      <w:r>
        <w:rPr>
          <w:color w:val="231F20"/>
          <w:w w:val="105"/>
        </w:rPr>
        <w:t>fenómeno</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28"/>
        <w:jc w:val="both"/>
      </w:pPr>
      <w:r>
        <w:rPr>
          <w:color w:val="231F20"/>
          <w:w w:val="105"/>
        </w:rPr>
        <w:t>migratorio,</w:t>
      </w:r>
      <w:r>
        <w:rPr>
          <w:color w:val="231F20"/>
          <w:spacing w:val="-18"/>
          <w:w w:val="105"/>
        </w:rPr>
        <w:t> </w:t>
      </w:r>
      <w:r>
        <w:rPr>
          <w:color w:val="231F20"/>
          <w:w w:val="105"/>
        </w:rPr>
        <w:t>sí</w:t>
      </w:r>
      <w:r>
        <w:rPr>
          <w:color w:val="231F20"/>
          <w:spacing w:val="-12"/>
          <w:w w:val="105"/>
        </w:rPr>
        <w:t> </w:t>
      </w:r>
      <w:r>
        <w:rPr>
          <w:color w:val="231F20"/>
          <w:w w:val="105"/>
        </w:rPr>
        <w:t>es</w:t>
      </w:r>
      <w:r>
        <w:rPr>
          <w:color w:val="231F20"/>
          <w:spacing w:val="-12"/>
          <w:w w:val="105"/>
        </w:rPr>
        <w:t> </w:t>
      </w:r>
      <w:r>
        <w:rPr>
          <w:color w:val="231F20"/>
          <w:w w:val="105"/>
        </w:rPr>
        <w:t>evidente</w:t>
      </w:r>
      <w:r>
        <w:rPr>
          <w:color w:val="231F20"/>
          <w:spacing w:val="-12"/>
          <w:w w:val="105"/>
        </w:rPr>
        <w:t> </w:t>
      </w:r>
      <w:r>
        <w:rPr>
          <w:color w:val="231F20"/>
          <w:w w:val="105"/>
        </w:rPr>
        <w:t>un</w:t>
      </w:r>
      <w:r>
        <w:rPr>
          <w:color w:val="231F20"/>
          <w:spacing w:val="-12"/>
          <w:w w:val="105"/>
        </w:rPr>
        <w:t> </w:t>
      </w:r>
      <w:r>
        <w:rPr>
          <w:color w:val="231F20"/>
          <w:w w:val="105"/>
        </w:rPr>
        <w:t>incremento,</w:t>
      </w:r>
      <w:r>
        <w:rPr>
          <w:color w:val="231F20"/>
          <w:spacing w:val="-18"/>
          <w:w w:val="105"/>
        </w:rPr>
        <w:t> </w:t>
      </w:r>
      <w:r>
        <w:rPr>
          <w:color w:val="231F20"/>
          <w:w w:val="105"/>
        </w:rPr>
        <w:t>a</w:t>
      </w:r>
      <w:r>
        <w:rPr>
          <w:color w:val="231F20"/>
          <w:spacing w:val="-12"/>
          <w:w w:val="105"/>
        </w:rPr>
        <w:t> </w:t>
      </w:r>
      <w:r>
        <w:rPr>
          <w:color w:val="231F20"/>
          <w:w w:val="105"/>
        </w:rPr>
        <w:t>lo</w:t>
      </w:r>
      <w:r>
        <w:rPr>
          <w:color w:val="231F20"/>
          <w:spacing w:val="-12"/>
          <w:w w:val="105"/>
        </w:rPr>
        <w:t> </w:t>
      </w:r>
      <w:r>
        <w:rPr>
          <w:color w:val="231F20"/>
          <w:w w:val="105"/>
        </w:rPr>
        <w:t>largo</w:t>
      </w:r>
      <w:r>
        <w:rPr>
          <w:color w:val="231F20"/>
          <w:spacing w:val="-12"/>
          <w:w w:val="105"/>
        </w:rPr>
        <w:t> </w:t>
      </w:r>
      <w:r>
        <w:rPr>
          <w:color w:val="231F20"/>
          <w:w w:val="105"/>
        </w:rPr>
        <w:t>del</w:t>
      </w:r>
      <w:r>
        <w:rPr>
          <w:color w:val="231F20"/>
          <w:spacing w:val="-12"/>
          <w:w w:val="105"/>
        </w:rPr>
        <w:t> </w:t>
      </w:r>
      <w:r>
        <w:rPr>
          <w:color w:val="231F20"/>
          <w:w w:val="105"/>
        </w:rPr>
        <w:t>siglo,</w:t>
      </w:r>
      <w:r>
        <w:rPr>
          <w:color w:val="231F20"/>
          <w:spacing w:val="-18"/>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migra- ción femenina), la edad o incluso las razones políticas, el origen de las migraciones</w:t>
      </w:r>
      <w:r>
        <w:rPr>
          <w:color w:val="231F20"/>
          <w:w w:val="105"/>
          <w:position w:val="7"/>
          <w:sz w:val="12"/>
        </w:rPr>
        <w:t>1</w:t>
      </w:r>
      <w:r>
        <w:rPr>
          <w:color w:val="231F20"/>
          <w:w w:val="105"/>
        </w:rPr>
        <w:t>. La </w:t>
      </w:r>
      <w:r>
        <w:rPr>
          <w:color w:val="231F20"/>
          <w:w w:val="105"/>
          <w:sz w:val="17"/>
        </w:rPr>
        <w:t>OIM </w:t>
      </w:r>
      <w:r>
        <w:rPr>
          <w:color w:val="231F20"/>
          <w:w w:val="105"/>
        </w:rPr>
        <w:t>asevera que, de juntarse en un solo territorio, las personas migrantes formarían el quinto país más poblado del mundo, lo</w:t>
      </w:r>
      <w:r>
        <w:rPr>
          <w:color w:val="231F20"/>
          <w:spacing w:val="-12"/>
          <w:w w:val="105"/>
        </w:rPr>
        <w:t> </w:t>
      </w:r>
      <w:r>
        <w:rPr>
          <w:color w:val="231F20"/>
          <w:w w:val="105"/>
        </w:rPr>
        <w:t>que</w:t>
      </w:r>
      <w:r>
        <w:rPr>
          <w:color w:val="231F20"/>
          <w:spacing w:val="-12"/>
          <w:w w:val="105"/>
        </w:rPr>
        <w:t> </w:t>
      </w:r>
      <w:r>
        <w:rPr>
          <w:color w:val="231F20"/>
          <w:w w:val="105"/>
        </w:rPr>
        <w:t>lleva</w:t>
      </w:r>
      <w:r>
        <w:rPr>
          <w:color w:val="231F20"/>
          <w:spacing w:val="-12"/>
          <w:w w:val="105"/>
        </w:rPr>
        <w:t> </w:t>
      </w:r>
      <w:r>
        <w:rPr>
          <w:color w:val="231F20"/>
          <w:w w:val="105"/>
        </w:rPr>
        <w:t>a</w:t>
      </w:r>
      <w:r>
        <w:rPr>
          <w:color w:val="231F20"/>
          <w:spacing w:val="-12"/>
          <w:w w:val="105"/>
        </w:rPr>
        <w:t> </w:t>
      </w:r>
      <w:r>
        <w:rPr>
          <w:color w:val="231F20"/>
          <w:w w:val="105"/>
        </w:rPr>
        <w:t>pensar</w:t>
      </w:r>
      <w:r>
        <w:rPr>
          <w:color w:val="231F20"/>
          <w:spacing w:val="-12"/>
          <w:w w:val="105"/>
        </w:rPr>
        <w:t> </w:t>
      </w:r>
      <w:r>
        <w:rPr>
          <w:color w:val="231F20"/>
          <w:w w:val="105"/>
        </w:rPr>
        <w:t>la</w:t>
      </w:r>
      <w:r>
        <w:rPr>
          <w:color w:val="231F20"/>
          <w:spacing w:val="-12"/>
          <w:w w:val="105"/>
        </w:rPr>
        <w:t> </w:t>
      </w:r>
      <w:r>
        <w:rPr>
          <w:color w:val="231F20"/>
          <w:w w:val="105"/>
        </w:rPr>
        <w:t>manera</w:t>
      </w:r>
      <w:r>
        <w:rPr>
          <w:color w:val="231F20"/>
          <w:spacing w:val="-12"/>
          <w:w w:val="105"/>
        </w:rPr>
        <w:t> </w:t>
      </w:r>
      <w:r>
        <w:rPr>
          <w:color w:val="231F20"/>
          <w:w w:val="105"/>
        </w:rPr>
        <w:t>en</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fenómeno,</w:t>
      </w:r>
      <w:r>
        <w:rPr>
          <w:color w:val="231F20"/>
          <w:spacing w:val="-18"/>
          <w:w w:val="105"/>
        </w:rPr>
        <w:t> </w:t>
      </w:r>
      <w:r>
        <w:rPr>
          <w:color w:val="231F20"/>
          <w:w w:val="105"/>
        </w:rPr>
        <w:t>como</w:t>
      </w:r>
      <w:r>
        <w:rPr>
          <w:color w:val="231F20"/>
          <w:spacing w:val="-12"/>
          <w:w w:val="105"/>
        </w:rPr>
        <w:t> </w:t>
      </w:r>
      <w:r>
        <w:rPr>
          <w:color w:val="231F20"/>
          <w:w w:val="105"/>
        </w:rPr>
        <w:t>hecho</w:t>
      </w:r>
      <w:r>
        <w:rPr>
          <w:color w:val="231F20"/>
          <w:spacing w:val="-12"/>
          <w:w w:val="105"/>
        </w:rPr>
        <w:t> </w:t>
      </w:r>
      <w:r>
        <w:rPr>
          <w:color w:val="231F20"/>
          <w:w w:val="105"/>
        </w:rPr>
        <w:t>social, debe</w:t>
      </w:r>
      <w:r>
        <w:rPr>
          <w:color w:val="231F20"/>
          <w:spacing w:val="-20"/>
          <w:w w:val="105"/>
        </w:rPr>
        <w:t> </w:t>
      </w:r>
      <w:r>
        <w:rPr>
          <w:color w:val="231F20"/>
          <w:w w:val="105"/>
        </w:rPr>
        <w:t>ser</w:t>
      </w:r>
      <w:r>
        <w:rPr>
          <w:color w:val="231F20"/>
          <w:spacing w:val="-20"/>
          <w:w w:val="105"/>
        </w:rPr>
        <w:t> </w:t>
      </w:r>
      <w:r>
        <w:rPr>
          <w:color w:val="231F20"/>
          <w:w w:val="105"/>
        </w:rPr>
        <w:t>observado</w:t>
      </w:r>
      <w:r>
        <w:rPr>
          <w:color w:val="231F20"/>
          <w:spacing w:val="-20"/>
          <w:w w:val="105"/>
        </w:rPr>
        <w:t> </w:t>
      </w:r>
      <w:r>
        <w:rPr>
          <w:color w:val="231F20"/>
          <w:w w:val="105"/>
        </w:rPr>
        <w:t>y</w:t>
      </w:r>
      <w:r>
        <w:rPr>
          <w:color w:val="231F20"/>
          <w:spacing w:val="-20"/>
          <w:w w:val="105"/>
        </w:rPr>
        <w:t> </w:t>
      </w:r>
      <w:r>
        <w:rPr>
          <w:color w:val="231F20"/>
          <w:w w:val="105"/>
        </w:rPr>
        <w:t>analizado</w:t>
      </w:r>
      <w:r>
        <w:rPr>
          <w:color w:val="231F20"/>
          <w:spacing w:val="-20"/>
          <w:w w:val="105"/>
        </w:rPr>
        <w:t> </w:t>
      </w:r>
      <w:r>
        <w:rPr>
          <w:color w:val="231F20"/>
          <w:w w:val="105"/>
        </w:rPr>
        <w:t>(</w:t>
      </w:r>
      <w:r>
        <w:rPr>
          <w:color w:val="231F20"/>
          <w:w w:val="105"/>
          <w:sz w:val="17"/>
        </w:rPr>
        <w:t>OIM</w:t>
      </w:r>
      <w:r>
        <w:rPr>
          <w:color w:val="231F20"/>
          <w:w w:val="105"/>
        </w:rPr>
        <w:t>,</w:t>
      </w:r>
      <w:r>
        <w:rPr>
          <w:color w:val="231F20"/>
          <w:spacing w:val="-24"/>
          <w:w w:val="105"/>
        </w:rPr>
        <w:t> </w:t>
      </w:r>
      <w:r>
        <w:rPr>
          <w:color w:val="231F20"/>
          <w:w w:val="105"/>
        </w:rPr>
        <w:t>2014).</w:t>
      </w:r>
    </w:p>
    <w:p>
      <w:pPr>
        <w:pStyle w:val="BodyText"/>
        <w:spacing w:line="261" w:lineRule="auto" w:before="1"/>
        <w:ind w:left="1723" w:right="1828" w:firstLine="567"/>
        <w:jc w:val="both"/>
      </w:pPr>
      <w:r>
        <w:rPr>
          <w:color w:val="231F20"/>
          <w:w w:val="105"/>
        </w:rPr>
        <w:t>La</w:t>
      </w:r>
      <w:r>
        <w:rPr>
          <w:color w:val="231F20"/>
          <w:spacing w:val="-15"/>
          <w:w w:val="105"/>
        </w:rPr>
        <w:t> </w:t>
      </w:r>
      <w:r>
        <w:rPr>
          <w:color w:val="231F20"/>
          <w:w w:val="105"/>
        </w:rPr>
        <w:t>migración</w:t>
      </w:r>
      <w:r>
        <w:rPr>
          <w:color w:val="231F20"/>
          <w:spacing w:val="-15"/>
          <w:w w:val="105"/>
        </w:rPr>
        <w:t> </w:t>
      </w:r>
      <w:r>
        <w:rPr>
          <w:color w:val="231F20"/>
          <w:w w:val="105"/>
        </w:rPr>
        <w:t>a</w:t>
      </w:r>
      <w:r>
        <w:rPr>
          <w:color w:val="231F20"/>
          <w:spacing w:val="-15"/>
          <w:w w:val="105"/>
        </w:rPr>
        <w:t> </w:t>
      </w:r>
      <w:r>
        <w:rPr>
          <w:color w:val="231F20"/>
          <w:w w:val="105"/>
        </w:rPr>
        <w:t>lo</w:t>
      </w:r>
      <w:r>
        <w:rPr>
          <w:color w:val="231F20"/>
          <w:spacing w:val="-15"/>
          <w:w w:val="105"/>
        </w:rPr>
        <w:t> </w:t>
      </w:r>
      <w:r>
        <w:rPr>
          <w:color w:val="231F20"/>
          <w:w w:val="105"/>
        </w:rPr>
        <w:t>largo</w:t>
      </w:r>
      <w:r>
        <w:rPr>
          <w:color w:val="231F20"/>
          <w:spacing w:val="-15"/>
          <w:w w:val="105"/>
        </w:rPr>
        <w:t> </w:t>
      </w:r>
      <w:r>
        <w:rPr>
          <w:color w:val="231F20"/>
          <w:w w:val="105"/>
        </w:rPr>
        <w:t>del</w:t>
      </w:r>
      <w:r>
        <w:rPr>
          <w:color w:val="231F20"/>
          <w:spacing w:val="-15"/>
          <w:w w:val="105"/>
        </w:rPr>
        <w:t> </w:t>
      </w:r>
      <w:r>
        <w:rPr>
          <w:color w:val="231F20"/>
          <w:w w:val="105"/>
        </w:rPr>
        <w:t>siglo</w:t>
      </w:r>
      <w:r>
        <w:rPr>
          <w:color w:val="231F20"/>
          <w:spacing w:val="-15"/>
          <w:w w:val="105"/>
        </w:rPr>
        <w:t> </w:t>
      </w:r>
      <w:r>
        <w:rPr>
          <w:color w:val="231F20"/>
          <w:w w:val="105"/>
          <w:sz w:val="17"/>
        </w:rPr>
        <w:t>XX</w:t>
      </w:r>
      <w:r>
        <w:rPr>
          <w:color w:val="231F20"/>
          <w:spacing w:val="-3"/>
          <w:w w:val="105"/>
          <w:sz w:val="17"/>
        </w:rPr>
        <w:t> </w:t>
      </w:r>
      <w:r>
        <w:rPr>
          <w:color w:val="231F20"/>
          <w:w w:val="105"/>
        </w:rPr>
        <w:t>ha</w:t>
      </w:r>
      <w:r>
        <w:rPr>
          <w:color w:val="231F20"/>
          <w:spacing w:val="-15"/>
          <w:w w:val="105"/>
        </w:rPr>
        <w:t> </w:t>
      </w:r>
      <w:r>
        <w:rPr>
          <w:color w:val="231F20"/>
          <w:w w:val="105"/>
        </w:rPr>
        <w:t>pasado</w:t>
      </w:r>
      <w:r>
        <w:rPr>
          <w:color w:val="231F20"/>
          <w:spacing w:val="-15"/>
          <w:w w:val="105"/>
        </w:rPr>
        <w:t> </w:t>
      </w:r>
      <w:r>
        <w:rPr>
          <w:color w:val="231F20"/>
          <w:w w:val="105"/>
        </w:rPr>
        <w:t>por</w:t>
      </w:r>
      <w:r>
        <w:rPr>
          <w:color w:val="231F20"/>
          <w:spacing w:val="-15"/>
          <w:w w:val="105"/>
        </w:rPr>
        <w:t> </w:t>
      </w:r>
      <w:r>
        <w:rPr>
          <w:color w:val="231F20"/>
          <w:w w:val="105"/>
        </w:rPr>
        <w:t>distintas</w:t>
      </w:r>
      <w:r>
        <w:rPr>
          <w:color w:val="231F20"/>
          <w:spacing w:val="-15"/>
          <w:w w:val="105"/>
        </w:rPr>
        <w:t> </w:t>
      </w:r>
      <w:r>
        <w:rPr>
          <w:color w:val="231F20"/>
          <w:w w:val="105"/>
        </w:rPr>
        <w:t>formas, lugares, territorios y grupos sociales. Algo indiscutible es que no se</w:t>
      </w:r>
      <w:r>
        <w:rPr>
          <w:color w:val="231F20"/>
          <w:spacing w:val="-22"/>
          <w:w w:val="105"/>
        </w:rPr>
        <w:t> </w:t>
      </w:r>
      <w:r>
        <w:rPr>
          <w:color w:val="231F20"/>
          <w:w w:val="105"/>
        </w:rPr>
        <w:t>de- tiene</w:t>
      </w:r>
      <w:r>
        <w:rPr>
          <w:color w:val="231F20"/>
          <w:spacing w:val="-21"/>
          <w:w w:val="105"/>
        </w:rPr>
        <w:t> </w:t>
      </w:r>
      <w:r>
        <w:rPr>
          <w:color w:val="231F20"/>
          <w:w w:val="105"/>
        </w:rPr>
        <w:t>ni</w:t>
      </w:r>
      <w:r>
        <w:rPr>
          <w:color w:val="231F20"/>
          <w:spacing w:val="-21"/>
          <w:w w:val="105"/>
        </w:rPr>
        <w:t> </w:t>
      </w:r>
      <w:r>
        <w:rPr>
          <w:color w:val="231F20"/>
          <w:w w:val="105"/>
        </w:rPr>
        <w:t>se</w:t>
      </w:r>
      <w:r>
        <w:rPr>
          <w:color w:val="231F20"/>
          <w:spacing w:val="-21"/>
          <w:w w:val="105"/>
        </w:rPr>
        <w:t> </w:t>
      </w:r>
      <w:r>
        <w:rPr>
          <w:color w:val="231F20"/>
          <w:w w:val="105"/>
        </w:rPr>
        <w:t>detendrá</w:t>
      </w:r>
      <w:r>
        <w:rPr>
          <w:color w:val="231F20"/>
          <w:spacing w:val="-21"/>
          <w:w w:val="105"/>
        </w:rPr>
        <w:t> </w:t>
      </w:r>
      <w:r>
        <w:rPr>
          <w:color w:val="231F20"/>
          <w:w w:val="105"/>
        </w:rPr>
        <w:t>mientras</w:t>
      </w:r>
      <w:r>
        <w:rPr>
          <w:color w:val="231F20"/>
          <w:spacing w:val="-21"/>
          <w:w w:val="105"/>
        </w:rPr>
        <w:t> </w:t>
      </w:r>
      <w:r>
        <w:rPr>
          <w:color w:val="231F20"/>
          <w:w w:val="105"/>
        </w:rPr>
        <w:t>exista</w:t>
      </w:r>
      <w:r>
        <w:rPr>
          <w:color w:val="231F20"/>
          <w:spacing w:val="-21"/>
          <w:w w:val="105"/>
        </w:rPr>
        <w:t> </w:t>
      </w:r>
      <w:r>
        <w:rPr>
          <w:color w:val="231F20"/>
          <w:w w:val="105"/>
        </w:rPr>
        <w:t>desigualdad</w:t>
      </w:r>
      <w:r>
        <w:rPr>
          <w:color w:val="231F20"/>
          <w:spacing w:val="-21"/>
          <w:w w:val="105"/>
        </w:rPr>
        <w:t> </w:t>
      </w:r>
      <w:r>
        <w:rPr>
          <w:color w:val="231F20"/>
          <w:w w:val="105"/>
        </w:rPr>
        <w:t>social</w:t>
      </w:r>
      <w:r>
        <w:rPr>
          <w:color w:val="231F20"/>
          <w:spacing w:val="-21"/>
          <w:w w:val="105"/>
        </w:rPr>
        <w:t> </w:t>
      </w:r>
      <w:r>
        <w:rPr>
          <w:color w:val="231F20"/>
          <w:w w:val="105"/>
        </w:rPr>
        <w:t>y</w:t>
      </w:r>
      <w:r>
        <w:rPr>
          <w:color w:val="231F20"/>
          <w:spacing w:val="-21"/>
          <w:w w:val="105"/>
        </w:rPr>
        <w:t> </w:t>
      </w:r>
      <w:r>
        <w:rPr>
          <w:color w:val="231F20"/>
          <w:w w:val="105"/>
        </w:rPr>
        <w:t>territorios</w:t>
      </w:r>
      <w:r>
        <w:rPr>
          <w:color w:val="231F20"/>
          <w:spacing w:val="-21"/>
          <w:w w:val="105"/>
        </w:rPr>
        <w:t> </w:t>
      </w:r>
      <w:r>
        <w:rPr>
          <w:color w:val="231F20"/>
          <w:w w:val="105"/>
        </w:rPr>
        <w:t>en</w:t>
      </w:r>
      <w:r>
        <w:rPr>
          <w:color w:val="231F20"/>
          <w:spacing w:val="-21"/>
          <w:w w:val="105"/>
        </w:rPr>
        <w:t> </w:t>
      </w:r>
      <w:r>
        <w:rPr>
          <w:color w:val="231F20"/>
          <w:w w:val="105"/>
        </w:rPr>
        <w:t>los que las personas no saben si comerán o no mañana. De ahí que</w:t>
      </w:r>
      <w:r>
        <w:rPr>
          <w:color w:val="231F20"/>
          <w:spacing w:val="-22"/>
          <w:w w:val="105"/>
        </w:rPr>
        <w:t> </w:t>
      </w:r>
      <w:r>
        <w:rPr>
          <w:color w:val="231F20"/>
          <w:w w:val="105"/>
        </w:rPr>
        <w:t>exista un ímpetu por buscar una mejor vida. Como dice Mendoza, “existe una motivación económica para una proporción relevante de migrantes</w:t>
      </w:r>
      <w:r>
        <w:rPr>
          <w:color w:val="231F20"/>
          <w:spacing w:val="-24"/>
          <w:w w:val="105"/>
        </w:rPr>
        <w:t> </w:t>
      </w:r>
      <w:r>
        <w:rPr>
          <w:color w:val="231F20"/>
          <w:w w:val="105"/>
        </w:rPr>
        <w:t>que se</w:t>
      </w:r>
      <w:r>
        <w:rPr>
          <w:color w:val="231F20"/>
          <w:spacing w:val="-11"/>
          <w:w w:val="105"/>
        </w:rPr>
        <w:t> </w:t>
      </w:r>
      <w:r>
        <w:rPr>
          <w:color w:val="231F20"/>
          <w:w w:val="105"/>
        </w:rPr>
        <w:t>movilizan</w:t>
      </w:r>
      <w:r>
        <w:rPr>
          <w:color w:val="231F20"/>
          <w:spacing w:val="36"/>
          <w:w w:val="105"/>
        </w:rPr>
        <w:t> </w:t>
      </w:r>
      <w:r>
        <w:rPr>
          <w:color w:val="231F20"/>
          <w:w w:val="105"/>
        </w:rPr>
        <w:t>como</w:t>
      </w:r>
      <w:r>
        <w:rPr>
          <w:color w:val="231F20"/>
          <w:spacing w:val="-11"/>
          <w:w w:val="105"/>
        </w:rPr>
        <w:t> </w:t>
      </w:r>
      <w:r>
        <w:rPr>
          <w:color w:val="231F20"/>
          <w:w w:val="105"/>
        </w:rPr>
        <w:t>resultado</w:t>
      </w:r>
      <w:r>
        <w:rPr>
          <w:color w:val="231F20"/>
          <w:spacing w:val="-11"/>
          <w:w w:val="105"/>
        </w:rPr>
        <w:t> </w:t>
      </w:r>
      <w:r>
        <w:rPr>
          <w:color w:val="231F20"/>
          <w:w w:val="105"/>
        </w:rPr>
        <w:t>de</w:t>
      </w:r>
      <w:r>
        <w:rPr>
          <w:color w:val="231F20"/>
          <w:spacing w:val="-11"/>
          <w:w w:val="105"/>
        </w:rPr>
        <w:t> </w:t>
      </w:r>
      <w:r>
        <w:rPr>
          <w:color w:val="231F20"/>
          <w:w w:val="105"/>
        </w:rPr>
        <w:t>diferencias</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ingresos,</w:t>
      </w:r>
      <w:r>
        <w:rPr>
          <w:color w:val="231F20"/>
          <w:spacing w:val="-18"/>
          <w:w w:val="105"/>
        </w:rPr>
        <w:t> </w:t>
      </w:r>
      <w:r>
        <w:rPr>
          <w:color w:val="231F20"/>
          <w:w w:val="105"/>
        </w:rPr>
        <w:t>el</w:t>
      </w:r>
      <w:r>
        <w:rPr>
          <w:color w:val="231F20"/>
          <w:spacing w:val="-11"/>
          <w:w w:val="105"/>
        </w:rPr>
        <w:t> </w:t>
      </w:r>
      <w:r>
        <w:rPr>
          <w:color w:val="231F20"/>
          <w:w w:val="105"/>
        </w:rPr>
        <w:t>empleo</w:t>
      </w:r>
      <w:r>
        <w:rPr>
          <w:color w:val="231F20"/>
          <w:spacing w:val="-11"/>
          <w:w w:val="105"/>
        </w:rPr>
        <w:t> </w:t>
      </w:r>
      <w:r>
        <w:rPr>
          <w:color w:val="231F20"/>
          <w:w w:val="105"/>
        </w:rPr>
        <w:t>y otros</w:t>
      </w:r>
      <w:r>
        <w:rPr>
          <w:color w:val="231F20"/>
          <w:spacing w:val="-21"/>
          <w:w w:val="105"/>
        </w:rPr>
        <w:t> </w:t>
      </w:r>
      <w:r>
        <w:rPr>
          <w:color w:val="231F20"/>
          <w:w w:val="105"/>
        </w:rPr>
        <w:t>posibles</w:t>
      </w:r>
      <w:r>
        <w:rPr>
          <w:color w:val="231F20"/>
          <w:spacing w:val="-21"/>
          <w:w w:val="105"/>
        </w:rPr>
        <w:t> </w:t>
      </w:r>
      <w:r>
        <w:rPr>
          <w:color w:val="231F20"/>
          <w:w w:val="105"/>
        </w:rPr>
        <w:t>beneficios</w:t>
      </w:r>
      <w:r>
        <w:rPr>
          <w:color w:val="231F20"/>
          <w:spacing w:val="-21"/>
          <w:w w:val="105"/>
        </w:rPr>
        <w:t> </w:t>
      </w:r>
      <w:r>
        <w:rPr>
          <w:color w:val="231F20"/>
          <w:w w:val="105"/>
        </w:rPr>
        <w:t>económicos”</w:t>
      </w:r>
      <w:r>
        <w:rPr>
          <w:color w:val="231F20"/>
          <w:spacing w:val="-21"/>
          <w:w w:val="105"/>
        </w:rPr>
        <w:t> </w:t>
      </w:r>
      <w:r>
        <w:rPr>
          <w:color w:val="231F20"/>
          <w:w w:val="105"/>
        </w:rPr>
        <w:t>(Mendoza,</w:t>
      </w:r>
      <w:r>
        <w:rPr>
          <w:color w:val="231F20"/>
          <w:spacing w:val="-26"/>
          <w:w w:val="105"/>
        </w:rPr>
        <w:t> </w:t>
      </w:r>
      <w:r>
        <w:rPr>
          <w:color w:val="231F20"/>
          <w:w w:val="105"/>
        </w:rPr>
        <w:t>2014:7).</w:t>
      </w:r>
      <w:r>
        <w:rPr>
          <w:color w:val="231F20"/>
          <w:spacing w:val="-26"/>
          <w:w w:val="105"/>
        </w:rPr>
        <w:t> </w:t>
      </w:r>
      <w:r>
        <w:rPr>
          <w:color w:val="231F20"/>
          <w:w w:val="105"/>
        </w:rPr>
        <w:t>En</w:t>
      </w:r>
      <w:r>
        <w:rPr>
          <w:color w:val="231F20"/>
          <w:spacing w:val="-21"/>
          <w:w w:val="105"/>
        </w:rPr>
        <w:t> </w:t>
      </w:r>
      <w:r>
        <w:rPr>
          <w:color w:val="231F20"/>
          <w:w w:val="105"/>
        </w:rPr>
        <w:t>este</w:t>
      </w:r>
      <w:r>
        <w:rPr>
          <w:color w:val="231F20"/>
          <w:spacing w:val="-21"/>
          <w:w w:val="105"/>
        </w:rPr>
        <w:t> </w:t>
      </w:r>
      <w:r>
        <w:rPr>
          <w:color w:val="231F20"/>
          <w:w w:val="105"/>
        </w:rPr>
        <w:t>senti- do</w:t>
      </w:r>
      <w:r>
        <w:rPr>
          <w:color w:val="231F20"/>
          <w:spacing w:val="-7"/>
          <w:w w:val="105"/>
        </w:rPr>
        <w:t> </w:t>
      </w:r>
      <w:r>
        <w:rPr>
          <w:color w:val="231F20"/>
          <w:w w:val="105"/>
        </w:rPr>
        <w:t>se</w:t>
      </w:r>
      <w:r>
        <w:rPr>
          <w:color w:val="231F20"/>
          <w:spacing w:val="-7"/>
          <w:w w:val="105"/>
        </w:rPr>
        <w:t> </w:t>
      </w:r>
      <w:r>
        <w:rPr>
          <w:color w:val="231F20"/>
          <w:w w:val="105"/>
        </w:rPr>
        <w:t>enmarca</w:t>
      </w:r>
      <w:r>
        <w:rPr>
          <w:color w:val="231F20"/>
          <w:spacing w:val="-7"/>
          <w:w w:val="105"/>
        </w:rPr>
        <w:t> </w:t>
      </w:r>
      <w:r>
        <w:rPr>
          <w:color w:val="231F20"/>
          <w:w w:val="105"/>
        </w:rPr>
        <w:t>este</w:t>
      </w:r>
      <w:r>
        <w:rPr>
          <w:color w:val="231F20"/>
          <w:spacing w:val="-7"/>
          <w:w w:val="105"/>
        </w:rPr>
        <w:t> </w:t>
      </w:r>
      <w:r>
        <w:rPr>
          <w:color w:val="231F20"/>
          <w:w w:val="105"/>
        </w:rPr>
        <w:t>trabajo,</w:t>
      </w:r>
      <w:r>
        <w:rPr>
          <w:color w:val="231F20"/>
          <w:spacing w:val="-12"/>
          <w:w w:val="105"/>
        </w:rPr>
        <w:t> </w:t>
      </w:r>
      <w:r>
        <w:rPr>
          <w:color w:val="231F20"/>
          <w:w w:val="105"/>
        </w:rPr>
        <w:t>pues</w:t>
      </w:r>
      <w:r>
        <w:rPr>
          <w:color w:val="231F20"/>
          <w:spacing w:val="-7"/>
          <w:w w:val="105"/>
        </w:rPr>
        <w:t> </w:t>
      </w:r>
      <w:r>
        <w:rPr>
          <w:color w:val="231F20"/>
          <w:w w:val="105"/>
        </w:rPr>
        <w:t>los</w:t>
      </w:r>
      <w:r>
        <w:rPr>
          <w:color w:val="231F20"/>
          <w:spacing w:val="-7"/>
          <w:w w:val="105"/>
        </w:rPr>
        <w:t> </w:t>
      </w:r>
      <w:r>
        <w:rPr>
          <w:color w:val="231F20"/>
          <w:w w:val="105"/>
        </w:rPr>
        <w:t>sujetos</w:t>
      </w:r>
      <w:r>
        <w:rPr>
          <w:color w:val="231F20"/>
          <w:spacing w:val="-7"/>
          <w:w w:val="105"/>
        </w:rPr>
        <w:t> </w:t>
      </w:r>
      <w:r>
        <w:rPr>
          <w:color w:val="231F20"/>
          <w:w w:val="105"/>
        </w:rPr>
        <w:t>migran</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7"/>
          <w:w w:val="105"/>
        </w:rPr>
        <w:t> </w:t>
      </w:r>
      <w:r>
        <w:rPr>
          <w:color w:val="231F20"/>
          <w:w w:val="105"/>
        </w:rPr>
        <w:t>intención</w:t>
      </w:r>
      <w:r>
        <w:rPr>
          <w:color w:val="231F20"/>
          <w:spacing w:val="-7"/>
          <w:w w:val="105"/>
        </w:rPr>
        <w:t> </w:t>
      </w:r>
      <w:r>
        <w:rPr>
          <w:color w:val="231F20"/>
          <w:w w:val="105"/>
        </w:rPr>
        <w:t>de encontrar</w:t>
      </w:r>
      <w:r>
        <w:rPr>
          <w:color w:val="231F20"/>
          <w:spacing w:val="-24"/>
          <w:w w:val="105"/>
        </w:rPr>
        <w:t> </w:t>
      </w:r>
      <w:r>
        <w:rPr>
          <w:color w:val="231F20"/>
          <w:w w:val="105"/>
        </w:rPr>
        <w:t>nuevas</w:t>
      </w:r>
      <w:r>
        <w:rPr>
          <w:color w:val="231F20"/>
          <w:spacing w:val="-24"/>
          <w:w w:val="105"/>
        </w:rPr>
        <w:t> </w:t>
      </w:r>
      <w:r>
        <w:rPr>
          <w:color w:val="231F20"/>
          <w:w w:val="105"/>
        </w:rPr>
        <w:t>formas</w:t>
      </w:r>
      <w:r>
        <w:rPr>
          <w:color w:val="231F20"/>
          <w:spacing w:val="-24"/>
          <w:w w:val="105"/>
        </w:rPr>
        <w:t> </w:t>
      </w:r>
      <w:r>
        <w:rPr>
          <w:color w:val="231F20"/>
          <w:w w:val="105"/>
        </w:rPr>
        <w:t>de</w:t>
      </w:r>
      <w:r>
        <w:rPr>
          <w:color w:val="231F20"/>
          <w:spacing w:val="-24"/>
          <w:w w:val="105"/>
        </w:rPr>
        <w:t> </w:t>
      </w:r>
      <w:r>
        <w:rPr>
          <w:color w:val="231F20"/>
          <w:w w:val="105"/>
        </w:rPr>
        <w:t>vida</w:t>
      </w:r>
      <w:r>
        <w:rPr>
          <w:color w:val="231F20"/>
          <w:spacing w:val="-24"/>
          <w:w w:val="105"/>
        </w:rPr>
        <w:t> </w:t>
      </w:r>
      <w:r>
        <w:rPr>
          <w:color w:val="231F20"/>
          <w:w w:val="105"/>
        </w:rPr>
        <w:t>para</w:t>
      </w:r>
      <w:r>
        <w:rPr>
          <w:color w:val="231F20"/>
          <w:spacing w:val="-24"/>
          <w:w w:val="105"/>
        </w:rPr>
        <w:t> </w:t>
      </w:r>
      <w:r>
        <w:rPr>
          <w:color w:val="231F20"/>
          <w:w w:val="105"/>
        </w:rPr>
        <w:t>mejorar</w:t>
      </w:r>
      <w:r>
        <w:rPr>
          <w:color w:val="231F20"/>
          <w:spacing w:val="-24"/>
          <w:w w:val="105"/>
        </w:rPr>
        <w:t> </w:t>
      </w:r>
      <w:r>
        <w:rPr>
          <w:color w:val="231F20"/>
          <w:w w:val="105"/>
        </w:rPr>
        <w:t>las</w:t>
      </w:r>
      <w:r>
        <w:rPr>
          <w:color w:val="231F20"/>
          <w:spacing w:val="-24"/>
          <w:w w:val="105"/>
        </w:rPr>
        <w:t> </w:t>
      </w:r>
      <w:r>
        <w:rPr>
          <w:color w:val="231F20"/>
          <w:w w:val="105"/>
        </w:rPr>
        <w:t>condiciones</w:t>
      </w:r>
      <w:r>
        <w:rPr>
          <w:color w:val="231F20"/>
          <w:spacing w:val="-24"/>
          <w:w w:val="105"/>
        </w:rPr>
        <w:t> </w:t>
      </w:r>
      <w:r>
        <w:rPr>
          <w:color w:val="231F20"/>
          <w:w w:val="105"/>
        </w:rPr>
        <w:t>cotidianas de</w:t>
      </w:r>
      <w:r>
        <w:rPr>
          <w:color w:val="231F20"/>
          <w:spacing w:val="-17"/>
          <w:w w:val="105"/>
        </w:rPr>
        <w:t> </w:t>
      </w:r>
      <w:r>
        <w:rPr>
          <w:color w:val="231F20"/>
          <w:w w:val="105"/>
        </w:rPr>
        <w:t>supervivencia,</w:t>
      </w:r>
      <w:r>
        <w:rPr>
          <w:color w:val="231F20"/>
          <w:spacing w:val="-22"/>
          <w:w w:val="105"/>
        </w:rPr>
        <w:t> </w:t>
      </w:r>
      <w:r>
        <w:rPr>
          <w:color w:val="231F20"/>
          <w:w w:val="105"/>
        </w:rPr>
        <w:t>para</w:t>
      </w:r>
      <w:r>
        <w:rPr>
          <w:color w:val="231F20"/>
          <w:spacing w:val="-17"/>
          <w:w w:val="105"/>
        </w:rPr>
        <w:t> </w:t>
      </w:r>
      <w:r>
        <w:rPr>
          <w:color w:val="231F20"/>
          <w:w w:val="105"/>
        </w:rPr>
        <w:t>moverse</w:t>
      </w:r>
      <w:r>
        <w:rPr>
          <w:color w:val="231F20"/>
          <w:spacing w:val="-17"/>
          <w:w w:val="105"/>
        </w:rPr>
        <w:t> </w:t>
      </w:r>
      <w:r>
        <w:rPr>
          <w:color w:val="231F20"/>
          <w:w w:val="105"/>
        </w:rPr>
        <w:t>socialmente</w:t>
      </w:r>
      <w:r>
        <w:rPr>
          <w:color w:val="231F20"/>
          <w:spacing w:val="-17"/>
          <w:w w:val="105"/>
        </w:rPr>
        <w:t> </w:t>
      </w:r>
      <w:r>
        <w:rPr>
          <w:color w:val="231F20"/>
          <w:w w:val="105"/>
        </w:rPr>
        <w:t>y</w:t>
      </w:r>
      <w:r>
        <w:rPr>
          <w:color w:val="231F20"/>
          <w:spacing w:val="-17"/>
          <w:w w:val="105"/>
        </w:rPr>
        <w:t> </w:t>
      </w:r>
      <w:r>
        <w:rPr>
          <w:color w:val="231F20"/>
          <w:w w:val="105"/>
        </w:rPr>
        <w:t>tener</w:t>
      </w:r>
      <w:r>
        <w:rPr>
          <w:color w:val="231F20"/>
          <w:spacing w:val="-17"/>
          <w:w w:val="105"/>
        </w:rPr>
        <w:t> </w:t>
      </w:r>
      <w:r>
        <w:rPr>
          <w:color w:val="231F20"/>
          <w:w w:val="105"/>
        </w:rPr>
        <w:t>“una</w:t>
      </w:r>
      <w:r>
        <w:rPr>
          <w:color w:val="231F20"/>
          <w:spacing w:val="-17"/>
          <w:w w:val="105"/>
        </w:rPr>
        <w:t> </w:t>
      </w:r>
      <w:r>
        <w:rPr>
          <w:color w:val="231F20"/>
          <w:w w:val="105"/>
        </w:rPr>
        <w:t>vida</w:t>
      </w:r>
      <w:r>
        <w:rPr>
          <w:color w:val="231F20"/>
          <w:spacing w:val="-17"/>
          <w:w w:val="105"/>
        </w:rPr>
        <w:t> </w:t>
      </w:r>
      <w:r>
        <w:rPr>
          <w:color w:val="231F20"/>
          <w:spacing w:val="-3"/>
          <w:w w:val="105"/>
        </w:rPr>
        <w:t>diferente”, </w:t>
      </w:r>
      <w:r>
        <w:rPr>
          <w:color w:val="231F20"/>
          <w:w w:val="105"/>
        </w:rPr>
        <w:t>no</w:t>
      </w:r>
      <w:r>
        <w:rPr>
          <w:color w:val="231F20"/>
          <w:spacing w:val="-11"/>
          <w:w w:val="105"/>
        </w:rPr>
        <w:t> </w:t>
      </w:r>
      <w:r>
        <w:rPr>
          <w:color w:val="231F20"/>
          <w:w w:val="105"/>
        </w:rPr>
        <w:t>sólo</w:t>
      </w:r>
      <w:r>
        <w:rPr>
          <w:color w:val="231F20"/>
          <w:spacing w:val="-11"/>
          <w:w w:val="105"/>
        </w:rPr>
        <w:t> </w:t>
      </w:r>
      <w:r>
        <w:rPr>
          <w:color w:val="231F20"/>
          <w:w w:val="105"/>
        </w:rPr>
        <w:t>ellos</w:t>
      </w:r>
      <w:r>
        <w:rPr>
          <w:color w:val="231F20"/>
          <w:spacing w:val="-11"/>
          <w:w w:val="105"/>
        </w:rPr>
        <w:t> </w:t>
      </w:r>
      <w:r>
        <w:rPr>
          <w:color w:val="231F20"/>
          <w:w w:val="105"/>
        </w:rPr>
        <w:t>sino</w:t>
      </w:r>
      <w:r>
        <w:rPr>
          <w:color w:val="231F20"/>
          <w:spacing w:val="-11"/>
          <w:w w:val="105"/>
        </w:rPr>
        <w:t> </w:t>
      </w:r>
      <w:r>
        <w:rPr>
          <w:color w:val="231F20"/>
          <w:w w:val="105"/>
        </w:rPr>
        <w:t>también</w:t>
      </w:r>
      <w:r>
        <w:rPr>
          <w:color w:val="231F20"/>
          <w:spacing w:val="-11"/>
          <w:w w:val="105"/>
        </w:rPr>
        <w:t> </w:t>
      </w:r>
      <w:r>
        <w:rPr>
          <w:color w:val="231F20"/>
          <w:w w:val="105"/>
        </w:rPr>
        <w:t>para</w:t>
      </w:r>
      <w:r>
        <w:rPr>
          <w:color w:val="231F20"/>
          <w:spacing w:val="-11"/>
          <w:w w:val="105"/>
        </w:rPr>
        <w:t> </w:t>
      </w:r>
      <w:r>
        <w:rPr>
          <w:color w:val="231F20"/>
          <w:w w:val="105"/>
        </w:rPr>
        <w:t>sus</w:t>
      </w:r>
      <w:r>
        <w:rPr>
          <w:color w:val="231F20"/>
          <w:spacing w:val="-11"/>
          <w:w w:val="105"/>
        </w:rPr>
        <w:t> </w:t>
      </w:r>
      <w:r>
        <w:rPr>
          <w:color w:val="231F20"/>
          <w:w w:val="105"/>
        </w:rPr>
        <w:t>descendientes,</w:t>
      </w:r>
      <w:r>
        <w:rPr>
          <w:color w:val="231F20"/>
          <w:spacing w:val="-16"/>
          <w:w w:val="105"/>
        </w:rPr>
        <w:t> </w:t>
      </w:r>
      <w:r>
        <w:rPr>
          <w:color w:val="231F20"/>
          <w:w w:val="105"/>
        </w:rPr>
        <w:t>una</w:t>
      </w:r>
      <w:r>
        <w:rPr>
          <w:color w:val="231F20"/>
          <w:spacing w:val="-11"/>
          <w:w w:val="105"/>
        </w:rPr>
        <w:t> </w:t>
      </w:r>
      <w:r>
        <w:rPr>
          <w:color w:val="231F20"/>
          <w:w w:val="105"/>
        </w:rPr>
        <w:t>vida</w:t>
      </w:r>
      <w:r>
        <w:rPr>
          <w:color w:val="231F20"/>
          <w:spacing w:val="-11"/>
          <w:w w:val="105"/>
        </w:rPr>
        <w:t> </w:t>
      </w:r>
      <w:r>
        <w:rPr>
          <w:color w:val="231F20"/>
          <w:w w:val="105"/>
        </w:rPr>
        <w:t>distinta</w:t>
      </w:r>
      <w:r>
        <w:rPr>
          <w:color w:val="231F20"/>
          <w:spacing w:val="-11"/>
          <w:w w:val="105"/>
        </w:rPr>
        <w:t> </w:t>
      </w:r>
      <w:r>
        <w:rPr>
          <w:color w:val="231F20"/>
          <w:w w:val="105"/>
        </w:rPr>
        <w:t>a</w:t>
      </w:r>
      <w:r>
        <w:rPr>
          <w:color w:val="231F20"/>
          <w:spacing w:val="-11"/>
          <w:w w:val="105"/>
        </w:rPr>
        <w:t> </w:t>
      </w:r>
      <w:r>
        <w:rPr>
          <w:color w:val="231F20"/>
          <w:w w:val="105"/>
        </w:rPr>
        <w:t>la que tuvieron cuando niños,</w:t>
      </w:r>
      <w:r>
        <w:rPr>
          <w:color w:val="231F20"/>
          <w:spacing w:val="-34"/>
          <w:w w:val="105"/>
        </w:rPr>
        <w:t> </w:t>
      </w:r>
      <w:r>
        <w:rPr>
          <w:color w:val="231F20"/>
          <w:w w:val="105"/>
        </w:rPr>
        <w:t>principalmente.</w:t>
      </w:r>
    </w:p>
    <w:p>
      <w:pPr>
        <w:pStyle w:val="BodyText"/>
        <w:spacing w:line="261" w:lineRule="auto" w:before="1"/>
        <w:ind w:left="1723" w:right="1834" w:firstLine="567"/>
        <w:jc w:val="both"/>
      </w:pPr>
      <w:r>
        <w:rPr>
          <w:color w:val="231F20"/>
          <w:w w:val="105"/>
        </w:rPr>
        <w:t>En estricto sentido, el trabajo presenta información cualitativa del Estado de México, que además de ser el más poblado del país se ha caracterizado por un incremento en la dinámica migratoria durante los últimos 40 años, ya que la población migrante en 1970 era de tan sólo 5%</w:t>
      </w:r>
      <w:r>
        <w:rPr>
          <w:color w:val="231F20"/>
          <w:spacing w:val="-21"/>
          <w:w w:val="105"/>
        </w:rPr>
        <w:t> </w:t>
      </w:r>
      <w:r>
        <w:rPr>
          <w:color w:val="231F20"/>
          <w:w w:val="105"/>
        </w:rPr>
        <w:t>y</w:t>
      </w:r>
      <w:r>
        <w:rPr>
          <w:color w:val="231F20"/>
          <w:spacing w:val="-21"/>
          <w:w w:val="105"/>
        </w:rPr>
        <w:t> </w:t>
      </w:r>
      <w:r>
        <w:rPr>
          <w:color w:val="231F20"/>
          <w:w w:val="105"/>
        </w:rPr>
        <w:t>llegó</w:t>
      </w:r>
      <w:r>
        <w:rPr>
          <w:color w:val="231F20"/>
          <w:spacing w:val="-21"/>
          <w:w w:val="105"/>
        </w:rPr>
        <w:t> </w:t>
      </w:r>
      <w:r>
        <w:rPr>
          <w:color w:val="231F20"/>
          <w:w w:val="105"/>
        </w:rPr>
        <w:t>a</w:t>
      </w:r>
      <w:r>
        <w:rPr>
          <w:color w:val="231F20"/>
          <w:spacing w:val="-21"/>
          <w:w w:val="105"/>
        </w:rPr>
        <w:t> </w:t>
      </w:r>
      <w:r>
        <w:rPr>
          <w:color w:val="231F20"/>
          <w:w w:val="105"/>
        </w:rPr>
        <w:t>44%</w:t>
      </w:r>
      <w:r>
        <w:rPr>
          <w:color w:val="231F20"/>
          <w:spacing w:val="-21"/>
          <w:w w:val="105"/>
        </w:rPr>
        <w:t> </w:t>
      </w:r>
      <w:r>
        <w:rPr>
          <w:color w:val="231F20"/>
          <w:w w:val="105"/>
        </w:rPr>
        <w:t>en</w:t>
      </w:r>
      <w:r>
        <w:rPr>
          <w:color w:val="231F20"/>
          <w:spacing w:val="-21"/>
          <w:w w:val="105"/>
        </w:rPr>
        <w:t> </w:t>
      </w:r>
      <w:r>
        <w:rPr>
          <w:color w:val="231F20"/>
          <w:w w:val="105"/>
        </w:rPr>
        <w:t>2012.</w:t>
      </w:r>
      <w:r>
        <w:rPr>
          <w:color w:val="231F20"/>
          <w:spacing w:val="-26"/>
          <w:w w:val="105"/>
        </w:rPr>
        <w:t> </w:t>
      </w:r>
      <w:r>
        <w:rPr>
          <w:color w:val="231F20"/>
          <w:w w:val="105"/>
        </w:rPr>
        <w:t>En</w:t>
      </w:r>
      <w:r>
        <w:rPr>
          <w:color w:val="231F20"/>
          <w:spacing w:val="-21"/>
          <w:w w:val="105"/>
        </w:rPr>
        <w:t> </w:t>
      </w:r>
      <w:r>
        <w:rPr>
          <w:color w:val="231F20"/>
          <w:w w:val="105"/>
        </w:rPr>
        <w:t>otras</w:t>
      </w:r>
      <w:r>
        <w:rPr>
          <w:color w:val="231F20"/>
          <w:spacing w:val="-21"/>
          <w:w w:val="105"/>
        </w:rPr>
        <w:t> </w:t>
      </w:r>
      <w:r>
        <w:rPr>
          <w:color w:val="231F20"/>
          <w:w w:val="105"/>
        </w:rPr>
        <w:t>palabras</w:t>
      </w:r>
      <w:r>
        <w:rPr>
          <w:color w:val="231F20"/>
          <w:spacing w:val="-21"/>
          <w:w w:val="105"/>
        </w:rPr>
        <w:t> </w:t>
      </w:r>
      <w:r>
        <w:rPr>
          <w:color w:val="231F20"/>
          <w:w w:val="105"/>
        </w:rPr>
        <w:t>la</w:t>
      </w:r>
      <w:r>
        <w:rPr>
          <w:color w:val="231F20"/>
          <w:spacing w:val="-21"/>
          <w:w w:val="105"/>
        </w:rPr>
        <w:t> </w:t>
      </w:r>
      <w:r>
        <w:rPr>
          <w:color w:val="231F20"/>
          <w:w w:val="105"/>
        </w:rPr>
        <w:t>entidad</w:t>
      </w:r>
      <w:r>
        <w:rPr>
          <w:color w:val="231F20"/>
          <w:spacing w:val="-21"/>
          <w:w w:val="105"/>
        </w:rPr>
        <w:t> </w:t>
      </w:r>
      <w:r>
        <w:rPr>
          <w:color w:val="231F20"/>
          <w:w w:val="105"/>
        </w:rPr>
        <w:t>se</w:t>
      </w:r>
      <w:r>
        <w:rPr>
          <w:color w:val="231F20"/>
          <w:spacing w:val="-21"/>
          <w:w w:val="105"/>
        </w:rPr>
        <w:t> </w:t>
      </w:r>
      <w:r>
        <w:rPr>
          <w:color w:val="231F20"/>
          <w:w w:val="105"/>
        </w:rPr>
        <w:t>volvió</w:t>
      </w:r>
      <w:r>
        <w:rPr>
          <w:color w:val="231F20"/>
          <w:spacing w:val="-21"/>
          <w:w w:val="105"/>
        </w:rPr>
        <w:t> </w:t>
      </w:r>
      <w:r>
        <w:rPr>
          <w:color w:val="231F20"/>
          <w:w w:val="105"/>
        </w:rPr>
        <w:t>el</w:t>
      </w:r>
      <w:r>
        <w:rPr>
          <w:color w:val="231F20"/>
          <w:spacing w:val="-21"/>
          <w:w w:val="105"/>
        </w:rPr>
        <w:t> </w:t>
      </w:r>
      <w:r>
        <w:rPr>
          <w:color w:val="231F20"/>
          <w:w w:val="105"/>
        </w:rPr>
        <w:t>cuarto lugar,</w:t>
      </w:r>
      <w:r>
        <w:rPr>
          <w:color w:val="231F20"/>
          <w:spacing w:val="-15"/>
          <w:w w:val="105"/>
        </w:rPr>
        <w:t> </w:t>
      </w:r>
      <w:r>
        <w:rPr>
          <w:color w:val="231F20"/>
          <w:w w:val="105"/>
        </w:rPr>
        <w:t>entre</w:t>
      </w:r>
      <w:r>
        <w:rPr>
          <w:color w:val="231F20"/>
          <w:spacing w:val="-9"/>
          <w:w w:val="105"/>
        </w:rPr>
        <w:t> </w:t>
      </w:r>
      <w:r>
        <w:rPr>
          <w:color w:val="231F20"/>
          <w:w w:val="105"/>
        </w:rPr>
        <w:t>las</w:t>
      </w:r>
      <w:r>
        <w:rPr>
          <w:color w:val="231F20"/>
          <w:spacing w:val="-9"/>
          <w:w w:val="105"/>
        </w:rPr>
        <w:t> </w:t>
      </w:r>
      <w:r>
        <w:rPr>
          <w:color w:val="231F20"/>
          <w:w w:val="105"/>
        </w:rPr>
        <w:t>32</w:t>
      </w:r>
      <w:r>
        <w:rPr>
          <w:color w:val="231F20"/>
          <w:spacing w:val="-9"/>
          <w:w w:val="105"/>
        </w:rPr>
        <w:t> </w:t>
      </w:r>
      <w:r>
        <w:rPr>
          <w:color w:val="231F20"/>
          <w:w w:val="105"/>
        </w:rPr>
        <w:t>entidades</w:t>
      </w:r>
      <w:r>
        <w:rPr>
          <w:color w:val="231F20"/>
          <w:spacing w:val="-9"/>
          <w:w w:val="105"/>
        </w:rPr>
        <w:t> </w:t>
      </w:r>
      <w:r>
        <w:rPr>
          <w:color w:val="231F20"/>
          <w:w w:val="105"/>
        </w:rPr>
        <w:t>del</w:t>
      </w:r>
      <w:r>
        <w:rPr>
          <w:color w:val="231F20"/>
          <w:spacing w:val="-9"/>
          <w:w w:val="105"/>
        </w:rPr>
        <w:t> </w:t>
      </w:r>
      <w:r>
        <w:rPr>
          <w:color w:val="231F20"/>
          <w:w w:val="105"/>
        </w:rPr>
        <w:t>país</w:t>
      </w:r>
      <w:r>
        <w:rPr>
          <w:color w:val="231F20"/>
          <w:spacing w:val="-9"/>
          <w:w w:val="105"/>
        </w:rPr>
        <w:t> </w:t>
      </w:r>
      <w:r>
        <w:rPr>
          <w:color w:val="231F20"/>
          <w:w w:val="105"/>
        </w:rPr>
        <w:t>(Román;</w:t>
      </w:r>
      <w:r>
        <w:rPr>
          <w:color w:val="231F20"/>
          <w:spacing w:val="-9"/>
          <w:w w:val="105"/>
        </w:rPr>
        <w:t> </w:t>
      </w:r>
      <w:r>
        <w:rPr>
          <w:color w:val="231F20"/>
          <w:w w:val="105"/>
        </w:rPr>
        <w:t>2012:19),</w:t>
      </w:r>
      <w:r>
        <w:rPr>
          <w:color w:val="231F20"/>
          <w:spacing w:val="-15"/>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expulsión de</w:t>
      </w:r>
      <w:r>
        <w:rPr>
          <w:color w:val="231F20"/>
          <w:spacing w:val="-29"/>
          <w:w w:val="105"/>
        </w:rPr>
        <w:t> </w:t>
      </w:r>
      <w:r>
        <w:rPr>
          <w:color w:val="231F20"/>
          <w:w w:val="105"/>
        </w:rPr>
        <w:t>migrantes</w:t>
      </w:r>
      <w:r>
        <w:rPr>
          <w:color w:val="231F20"/>
          <w:spacing w:val="-29"/>
          <w:w w:val="105"/>
        </w:rPr>
        <w:t> </w:t>
      </w:r>
      <w:r>
        <w:rPr>
          <w:color w:val="231F20"/>
          <w:w w:val="105"/>
        </w:rPr>
        <w:t>hacia</w:t>
      </w:r>
      <w:r>
        <w:rPr>
          <w:color w:val="231F20"/>
          <w:spacing w:val="-29"/>
          <w:w w:val="105"/>
        </w:rPr>
        <w:t> </w:t>
      </w:r>
      <w:r>
        <w:rPr>
          <w:color w:val="231F20"/>
          <w:w w:val="105"/>
        </w:rPr>
        <w:t>Estados</w:t>
      </w:r>
      <w:r>
        <w:rPr>
          <w:color w:val="231F20"/>
          <w:spacing w:val="-29"/>
          <w:w w:val="105"/>
        </w:rPr>
        <w:t> </w:t>
      </w:r>
      <w:r>
        <w:rPr>
          <w:color w:val="231F20"/>
          <w:w w:val="105"/>
        </w:rPr>
        <w:t>Unidos.</w:t>
      </w:r>
    </w:p>
    <w:p>
      <w:pPr>
        <w:pStyle w:val="BodyText"/>
        <w:spacing w:line="261" w:lineRule="auto" w:before="1"/>
        <w:ind w:left="1723" w:right="1834" w:firstLine="567"/>
        <w:jc w:val="both"/>
      </w:pPr>
      <w:r>
        <w:rPr>
          <w:color w:val="231F20"/>
          <w:w w:val="105"/>
        </w:rPr>
        <w:t>Metodológicamente</w:t>
      </w:r>
      <w:r>
        <w:rPr>
          <w:color w:val="231F20"/>
          <w:spacing w:val="-6"/>
          <w:w w:val="105"/>
        </w:rPr>
        <w:t> </w:t>
      </w:r>
      <w:r>
        <w:rPr>
          <w:color w:val="231F20"/>
          <w:w w:val="105"/>
        </w:rPr>
        <w:t>hablando,</w:t>
      </w:r>
      <w:r>
        <w:rPr>
          <w:color w:val="231F20"/>
          <w:spacing w:val="-11"/>
          <w:w w:val="105"/>
        </w:rPr>
        <w:t> </w:t>
      </w:r>
      <w:r>
        <w:rPr>
          <w:color w:val="231F20"/>
          <w:w w:val="105"/>
        </w:rPr>
        <w:t>el</w:t>
      </w:r>
      <w:r>
        <w:rPr>
          <w:color w:val="231F20"/>
          <w:spacing w:val="-6"/>
          <w:w w:val="105"/>
        </w:rPr>
        <w:t> </w:t>
      </w:r>
      <w:r>
        <w:rPr>
          <w:color w:val="231F20"/>
          <w:w w:val="105"/>
        </w:rPr>
        <w:t>trabajo</w:t>
      </w:r>
      <w:r>
        <w:rPr>
          <w:color w:val="231F20"/>
          <w:spacing w:val="-6"/>
          <w:w w:val="105"/>
        </w:rPr>
        <w:t> </w:t>
      </w:r>
      <w:r>
        <w:rPr>
          <w:color w:val="231F20"/>
          <w:w w:val="105"/>
        </w:rPr>
        <w:t>está</w:t>
      </w:r>
      <w:r>
        <w:rPr>
          <w:color w:val="231F20"/>
          <w:spacing w:val="-6"/>
          <w:w w:val="105"/>
        </w:rPr>
        <w:t> </w:t>
      </w:r>
      <w:r>
        <w:rPr>
          <w:color w:val="231F20"/>
          <w:w w:val="105"/>
        </w:rPr>
        <w:t>basado</w:t>
      </w:r>
      <w:r>
        <w:rPr>
          <w:color w:val="231F20"/>
          <w:spacing w:val="-6"/>
          <w:w w:val="105"/>
        </w:rPr>
        <w:t> </w:t>
      </w:r>
      <w:r>
        <w:rPr>
          <w:color w:val="231F20"/>
          <w:w w:val="105"/>
        </w:rPr>
        <w:t>en</w:t>
      </w:r>
      <w:r>
        <w:rPr>
          <w:color w:val="231F20"/>
          <w:spacing w:val="-6"/>
          <w:w w:val="105"/>
        </w:rPr>
        <w:t> </w:t>
      </w:r>
      <w:r>
        <w:rPr>
          <w:color w:val="231F20"/>
          <w:w w:val="105"/>
        </w:rPr>
        <w:t>entrevis- tas que se realizaron a 48 personas mayores de 60 años de edad, de ellas se desprendieron 12 informantes claves que tuvieron experiencia migratoria, ya sea de manera directa o de segunda mano, es decir, se tomó</w:t>
      </w:r>
      <w:r>
        <w:rPr>
          <w:color w:val="231F20"/>
          <w:spacing w:val="-12"/>
          <w:w w:val="105"/>
        </w:rPr>
        <w:t> </w:t>
      </w:r>
      <w:r>
        <w:rPr>
          <w:color w:val="231F20"/>
          <w:w w:val="105"/>
        </w:rPr>
        <w:t>en</w:t>
      </w:r>
      <w:r>
        <w:rPr>
          <w:color w:val="231F20"/>
          <w:spacing w:val="-12"/>
          <w:w w:val="105"/>
        </w:rPr>
        <w:t> </w:t>
      </w:r>
      <w:r>
        <w:rPr>
          <w:color w:val="231F20"/>
          <w:w w:val="105"/>
        </w:rPr>
        <w:t>cuenta</w:t>
      </w:r>
      <w:r>
        <w:rPr>
          <w:color w:val="231F20"/>
          <w:spacing w:val="-12"/>
          <w:w w:val="105"/>
        </w:rPr>
        <w:t> </w:t>
      </w:r>
      <w:r>
        <w:rPr>
          <w:color w:val="231F20"/>
          <w:w w:val="105"/>
        </w:rPr>
        <w:t>la</w:t>
      </w:r>
      <w:r>
        <w:rPr>
          <w:color w:val="231F20"/>
          <w:spacing w:val="-12"/>
          <w:w w:val="105"/>
        </w:rPr>
        <w:t> </w:t>
      </w:r>
      <w:r>
        <w:rPr>
          <w:color w:val="231F20"/>
          <w:w w:val="105"/>
        </w:rPr>
        <w:t>migración</w:t>
      </w:r>
      <w:r>
        <w:rPr>
          <w:color w:val="231F20"/>
          <w:spacing w:val="-12"/>
          <w:w w:val="105"/>
        </w:rPr>
        <w:t> </w:t>
      </w:r>
      <w:r>
        <w:rPr>
          <w:color w:val="231F20"/>
          <w:w w:val="105"/>
        </w:rPr>
        <w:t>de</w:t>
      </w:r>
      <w:r>
        <w:rPr>
          <w:color w:val="231F20"/>
          <w:spacing w:val="-12"/>
          <w:w w:val="105"/>
        </w:rPr>
        <w:t> </w:t>
      </w:r>
      <w:r>
        <w:rPr>
          <w:color w:val="231F20"/>
          <w:w w:val="105"/>
        </w:rPr>
        <w:t>cónyuges,</w:t>
      </w:r>
      <w:r>
        <w:rPr>
          <w:color w:val="231F20"/>
          <w:spacing w:val="-18"/>
          <w:w w:val="105"/>
        </w:rPr>
        <w:t> </w:t>
      </w:r>
      <w:r>
        <w:rPr>
          <w:color w:val="231F20"/>
          <w:w w:val="105"/>
        </w:rPr>
        <w:t>padres</w:t>
      </w:r>
      <w:r>
        <w:rPr>
          <w:color w:val="231F20"/>
          <w:spacing w:val="-12"/>
          <w:w w:val="105"/>
        </w:rPr>
        <w:t> </w:t>
      </w:r>
      <w:r>
        <w:rPr>
          <w:color w:val="231F20"/>
          <w:w w:val="105"/>
        </w:rPr>
        <w:t>e</w:t>
      </w:r>
      <w:r>
        <w:rPr>
          <w:color w:val="231F20"/>
          <w:spacing w:val="-12"/>
          <w:w w:val="105"/>
        </w:rPr>
        <w:t> </w:t>
      </w:r>
      <w:r>
        <w:rPr>
          <w:color w:val="231F20"/>
          <w:w w:val="105"/>
        </w:rPr>
        <w:t>hijos</w:t>
      </w:r>
      <w:r>
        <w:rPr>
          <w:color w:val="231F20"/>
          <w:spacing w:val="-12"/>
          <w:w w:val="105"/>
        </w:rPr>
        <w:t> </w:t>
      </w:r>
      <w:r>
        <w:rPr>
          <w:color w:val="231F20"/>
          <w:w w:val="105"/>
        </w:rPr>
        <w:t>para</w:t>
      </w:r>
      <w:r>
        <w:rPr>
          <w:color w:val="231F20"/>
          <w:spacing w:val="-12"/>
          <w:w w:val="105"/>
        </w:rPr>
        <w:t> </w:t>
      </w:r>
      <w:r>
        <w:rPr>
          <w:color w:val="231F20"/>
          <w:w w:val="105"/>
        </w:rPr>
        <w:t>presentar la</w:t>
      </w:r>
      <w:r>
        <w:rPr>
          <w:color w:val="231F20"/>
          <w:spacing w:val="-17"/>
          <w:w w:val="105"/>
        </w:rPr>
        <w:t> </w:t>
      </w:r>
      <w:r>
        <w:rPr>
          <w:color w:val="231F20"/>
          <w:w w:val="105"/>
        </w:rPr>
        <w:t>migración</w:t>
      </w:r>
      <w:r>
        <w:rPr>
          <w:color w:val="231F20"/>
          <w:spacing w:val="-17"/>
          <w:w w:val="105"/>
        </w:rPr>
        <w:t> </w:t>
      </w:r>
      <w:r>
        <w:rPr>
          <w:color w:val="231F20"/>
          <w:w w:val="105"/>
        </w:rPr>
        <w:t>intergeneracional.</w:t>
      </w:r>
      <w:r>
        <w:rPr>
          <w:color w:val="231F20"/>
          <w:spacing w:val="-22"/>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12</w:t>
      </w:r>
      <w:r>
        <w:rPr>
          <w:color w:val="231F20"/>
          <w:spacing w:val="-17"/>
          <w:w w:val="105"/>
        </w:rPr>
        <w:t> </w:t>
      </w:r>
      <w:r>
        <w:rPr>
          <w:color w:val="231F20"/>
          <w:w w:val="105"/>
        </w:rPr>
        <w:t>informantes</w:t>
      </w:r>
      <w:r>
        <w:rPr>
          <w:color w:val="231F20"/>
          <w:spacing w:val="-17"/>
          <w:w w:val="105"/>
        </w:rPr>
        <w:t> </w:t>
      </w:r>
      <w:r>
        <w:rPr>
          <w:color w:val="231F20"/>
          <w:w w:val="105"/>
        </w:rPr>
        <w:t>siete</w:t>
      </w:r>
      <w:r>
        <w:rPr>
          <w:color w:val="231F20"/>
          <w:spacing w:val="-17"/>
          <w:w w:val="105"/>
        </w:rPr>
        <w:t> </w:t>
      </w:r>
      <w:r>
        <w:rPr>
          <w:color w:val="231F20"/>
          <w:w w:val="105"/>
        </w:rPr>
        <w:t>son</w:t>
      </w:r>
      <w:r>
        <w:rPr>
          <w:color w:val="231F20"/>
          <w:spacing w:val="-17"/>
          <w:w w:val="105"/>
        </w:rPr>
        <w:t> </w:t>
      </w:r>
      <w:r>
        <w:rPr>
          <w:color w:val="231F20"/>
          <w:w w:val="105"/>
        </w:rPr>
        <w:t>hombres y</w:t>
      </w:r>
      <w:r>
        <w:rPr>
          <w:color w:val="231F20"/>
          <w:spacing w:val="-26"/>
          <w:w w:val="105"/>
        </w:rPr>
        <w:t> </w:t>
      </w:r>
      <w:r>
        <w:rPr>
          <w:color w:val="231F20"/>
          <w:w w:val="105"/>
        </w:rPr>
        <w:t>cinco</w:t>
      </w:r>
      <w:r>
        <w:rPr>
          <w:color w:val="231F20"/>
          <w:spacing w:val="-26"/>
          <w:w w:val="105"/>
        </w:rPr>
        <w:t> </w:t>
      </w:r>
      <w:r>
        <w:rPr>
          <w:color w:val="231F20"/>
          <w:w w:val="105"/>
        </w:rPr>
        <w:t>mujeres.</w:t>
      </w:r>
    </w:p>
    <w:p>
      <w:pPr>
        <w:pStyle w:val="BodyText"/>
        <w:spacing w:line="261" w:lineRule="auto" w:before="1"/>
        <w:ind w:left="1723" w:right="1834" w:firstLine="567"/>
        <w:jc w:val="both"/>
      </w:pPr>
      <w:r>
        <w:rPr>
          <w:color w:val="231F20"/>
          <w:w w:val="105"/>
        </w:rPr>
        <w:t>El</w:t>
      </w:r>
      <w:r>
        <w:rPr>
          <w:color w:val="231F20"/>
          <w:spacing w:val="-16"/>
          <w:w w:val="105"/>
        </w:rPr>
        <w:t> </w:t>
      </w:r>
      <w:r>
        <w:rPr>
          <w:color w:val="231F20"/>
          <w:w w:val="105"/>
        </w:rPr>
        <w:t>objetivo</w:t>
      </w:r>
      <w:r>
        <w:rPr>
          <w:color w:val="231F20"/>
          <w:spacing w:val="-16"/>
          <w:w w:val="105"/>
        </w:rPr>
        <w:t> </w:t>
      </w:r>
      <w:r>
        <w:rPr>
          <w:color w:val="231F20"/>
          <w:w w:val="105"/>
        </w:rPr>
        <w:t>principal</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investigación</w:t>
      </w:r>
      <w:r>
        <w:rPr>
          <w:color w:val="231F20"/>
          <w:spacing w:val="-16"/>
          <w:w w:val="105"/>
        </w:rPr>
        <w:t> </w:t>
      </w:r>
      <w:r>
        <w:rPr>
          <w:color w:val="231F20"/>
          <w:w w:val="105"/>
        </w:rPr>
        <w:t>es</w:t>
      </w:r>
      <w:r>
        <w:rPr>
          <w:color w:val="231F20"/>
          <w:spacing w:val="-16"/>
          <w:w w:val="105"/>
        </w:rPr>
        <w:t> </w:t>
      </w:r>
      <w:r>
        <w:rPr>
          <w:color w:val="231F20"/>
          <w:w w:val="105"/>
        </w:rPr>
        <w:t>mostrar</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experien- cia</w:t>
      </w:r>
      <w:r>
        <w:rPr>
          <w:color w:val="231F20"/>
          <w:spacing w:val="-19"/>
          <w:w w:val="105"/>
        </w:rPr>
        <w:t> </w:t>
      </w:r>
      <w:r>
        <w:rPr>
          <w:color w:val="231F20"/>
          <w:w w:val="105"/>
        </w:rPr>
        <w:t>migratoria</w:t>
      </w:r>
      <w:r>
        <w:rPr>
          <w:color w:val="231F20"/>
          <w:spacing w:val="-19"/>
          <w:w w:val="105"/>
        </w:rPr>
        <w:t> </w:t>
      </w:r>
      <w:r>
        <w:rPr>
          <w:color w:val="231F20"/>
          <w:w w:val="105"/>
        </w:rPr>
        <w:t>forma</w:t>
      </w:r>
      <w:r>
        <w:rPr>
          <w:color w:val="231F20"/>
          <w:spacing w:val="-19"/>
          <w:w w:val="105"/>
        </w:rPr>
        <w:t> </w:t>
      </w:r>
      <w:r>
        <w:rPr>
          <w:color w:val="231F20"/>
          <w:w w:val="105"/>
        </w:rPr>
        <w:t>parte</w:t>
      </w:r>
      <w:r>
        <w:rPr>
          <w:color w:val="231F20"/>
          <w:spacing w:val="-19"/>
          <w:w w:val="105"/>
        </w:rPr>
        <w:t> </w:t>
      </w:r>
      <w:r>
        <w:rPr>
          <w:color w:val="231F20"/>
          <w:w w:val="105"/>
        </w:rPr>
        <w:t>de</w:t>
      </w:r>
      <w:r>
        <w:rPr>
          <w:color w:val="231F20"/>
          <w:spacing w:val="-19"/>
          <w:w w:val="105"/>
        </w:rPr>
        <w:t> </w:t>
      </w:r>
      <w:r>
        <w:rPr>
          <w:color w:val="231F20"/>
          <w:w w:val="105"/>
        </w:rPr>
        <w:t>un</w:t>
      </w:r>
      <w:r>
        <w:rPr>
          <w:color w:val="231F20"/>
          <w:spacing w:val="-19"/>
          <w:w w:val="105"/>
        </w:rPr>
        <w:t> </w:t>
      </w:r>
      <w:r>
        <w:rPr>
          <w:color w:val="231F20"/>
          <w:w w:val="105"/>
        </w:rPr>
        <w:t>bagaje</w:t>
      </w:r>
      <w:r>
        <w:rPr>
          <w:color w:val="231F20"/>
          <w:spacing w:val="-19"/>
          <w:w w:val="105"/>
        </w:rPr>
        <w:t> </w:t>
      </w:r>
      <w:r>
        <w:rPr>
          <w:color w:val="231F20"/>
          <w:w w:val="105"/>
        </w:rPr>
        <w:t>cultural</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transmite</w:t>
      </w:r>
      <w:r>
        <w:rPr>
          <w:color w:val="231F20"/>
          <w:spacing w:val="-19"/>
          <w:w w:val="105"/>
        </w:rPr>
        <w:t> </w:t>
      </w:r>
      <w:r>
        <w:rPr>
          <w:color w:val="231F20"/>
          <w:w w:val="105"/>
        </w:rPr>
        <w:t>genera- cionalmente,</w:t>
      </w:r>
      <w:r>
        <w:rPr>
          <w:color w:val="231F20"/>
          <w:spacing w:val="-26"/>
          <w:w w:val="105"/>
        </w:rPr>
        <w:t> </w:t>
      </w:r>
      <w:r>
        <w:rPr>
          <w:color w:val="231F20"/>
          <w:w w:val="105"/>
        </w:rPr>
        <w:t>y</w:t>
      </w:r>
      <w:r>
        <w:rPr>
          <w:color w:val="231F20"/>
          <w:spacing w:val="-20"/>
          <w:w w:val="105"/>
        </w:rPr>
        <w:t> </w:t>
      </w:r>
      <w:r>
        <w:rPr>
          <w:color w:val="231F20"/>
          <w:w w:val="105"/>
        </w:rPr>
        <w:t>que</w:t>
      </w:r>
      <w:r>
        <w:rPr>
          <w:color w:val="231F20"/>
          <w:spacing w:val="-20"/>
          <w:w w:val="105"/>
        </w:rPr>
        <w:t> </w:t>
      </w:r>
      <w:r>
        <w:rPr>
          <w:color w:val="231F20"/>
          <w:w w:val="105"/>
        </w:rPr>
        <w:t>conforme</w:t>
      </w:r>
      <w:r>
        <w:rPr>
          <w:color w:val="231F20"/>
          <w:spacing w:val="-20"/>
          <w:w w:val="105"/>
        </w:rPr>
        <w:t> </w:t>
      </w:r>
      <w:r>
        <w:rPr>
          <w:color w:val="231F20"/>
          <w:w w:val="105"/>
        </w:rPr>
        <w:t>pasa</w:t>
      </w:r>
      <w:r>
        <w:rPr>
          <w:color w:val="231F20"/>
          <w:spacing w:val="-20"/>
          <w:w w:val="105"/>
        </w:rPr>
        <w:t> </w:t>
      </w:r>
      <w:r>
        <w:rPr>
          <w:color w:val="231F20"/>
          <w:w w:val="105"/>
        </w:rPr>
        <w:t>de</w:t>
      </w:r>
      <w:r>
        <w:rPr>
          <w:color w:val="231F20"/>
          <w:spacing w:val="-20"/>
          <w:w w:val="105"/>
        </w:rPr>
        <w:t> </w:t>
      </w:r>
      <w:r>
        <w:rPr>
          <w:color w:val="231F20"/>
          <w:w w:val="105"/>
        </w:rPr>
        <w:t>una</w:t>
      </w:r>
      <w:r>
        <w:rPr>
          <w:color w:val="231F20"/>
          <w:spacing w:val="-20"/>
          <w:w w:val="105"/>
        </w:rPr>
        <w:t> </w:t>
      </w:r>
      <w:r>
        <w:rPr>
          <w:color w:val="231F20"/>
          <w:w w:val="105"/>
        </w:rPr>
        <w:t>generación</w:t>
      </w:r>
      <w:r>
        <w:rPr>
          <w:color w:val="231F20"/>
          <w:spacing w:val="-20"/>
          <w:w w:val="105"/>
        </w:rPr>
        <w:t> </w:t>
      </w:r>
      <w:r>
        <w:rPr>
          <w:color w:val="231F20"/>
          <w:w w:val="105"/>
        </w:rPr>
        <w:t>a</w:t>
      </w:r>
      <w:r>
        <w:rPr>
          <w:color w:val="231F20"/>
          <w:spacing w:val="-20"/>
          <w:w w:val="105"/>
        </w:rPr>
        <w:t> </w:t>
      </w:r>
      <w:r>
        <w:rPr>
          <w:color w:val="231F20"/>
          <w:w w:val="105"/>
        </w:rPr>
        <w:t>otra</w:t>
      </w:r>
      <w:r>
        <w:rPr>
          <w:color w:val="231F20"/>
          <w:spacing w:val="-20"/>
          <w:w w:val="105"/>
        </w:rPr>
        <w:t> </w:t>
      </w:r>
      <w:r>
        <w:rPr>
          <w:color w:val="231F20"/>
          <w:w w:val="105"/>
        </w:rPr>
        <w:t>se</w:t>
      </w:r>
      <w:r>
        <w:rPr>
          <w:color w:val="231F20"/>
          <w:spacing w:val="-20"/>
          <w:w w:val="105"/>
        </w:rPr>
        <w:t> </w:t>
      </w:r>
      <w:r>
        <w:rPr>
          <w:color w:val="231F20"/>
          <w:w w:val="105"/>
        </w:rPr>
        <w:t>vuelve</w:t>
      </w:r>
      <w:r>
        <w:rPr>
          <w:color w:val="231F20"/>
          <w:spacing w:val="-20"/>
          <w:w w:val="105"/>
        </w:rPr>
        <w:t> </w:t>
      </w:r>
      <w:r>
        <w:rPr>
          <w:color w:val="231F20"/>
          <w:w w:val="105"/>
        </w:rPr>
        <w:t>no sólo</w:t>
      </w:r>
      <w:r>
        <w:rPr>
          <w:color w:val="231F20"/>
          <w:spacing w:val="-24"/>
          <w:w w:val="105"/>
        </w:rPr>
        <w:t> </w:t>
      </w:r>
      <w:r>
        <w:rPr>
          <w:color w:val="231F20"/>
          <w:w w:val="105"/>
        </w:rPr>
        <w:t>más</w:t>
      </w:r>
      <w:r>
        <w:rPr>
          <w:color w:val="231F20"/>
          <w:spacing w:val="-24"/>
          <w:w w:val="105"/>
        </w:rPr>
        <w:t> </w:t>
      </w:r>
      <w:r>
        <w:rPr>
          <w:color w:val="231F20"/>
          <w:w w:val="105"/>
        </w:rPr>
        <w:t>larga</w:t>
      </w:r>
      <w:r>
        <w:rPr>
          <w:color w:val="231F20"/>
          <w:spacing w:val="-24"/>
          <w:w w:val="105"/>
        </w:rPr>
        <w:t> </w:t>
      </w:r>
      <w:r>
        <w:rPr>
          <w:color w:val="231F20"/>
          <w:w w:val="105"/>
        </w:rPr>
        <w:t>y</w:t>
      </w:r>
      <w:r>
        <w:rPr>
          <w:color w:val="231F20"/>
          <w:spacing w:val="-24"/>
          <w:w w:val="105"/>
        </w:rPr>
        <w:t> </w:t>
      </w:r>
      <w:r>
        <w:rPr>
          <w:color w:val="231F20"/>
          <w:w w:val="105"/>
        </w:rPr>
        <w:t>frecuente,</w:t>
      </w:r>
      <w:r>
        <w:rPr>
          <w:color w:val="231F20"/>
          <w:spacing w:val="-29"/>
          <w:w w:val="105"/>
        </w:rPr>
        <w:t> </w:t>
      </w:r>
      <w:r>
        <w:rPr>
          <w:color w:val="231F20"/>
          <w:w w:val="105"/>
        </w:rPr>
        <w:t>sino</w:t>
      </w:r>
      <w:r>
        <w:rPr>
          <w:color w:val="231F20"/>
          <w:spacing w:val="-24"/>
          <w:w w:val="105"/>
        </w:rPr>
        <w:t> </w:t>
      </w:r>
      <w:r>
        <w:rPr>
          <w:color w:val="231F20"/>
          <w:w w:val="105"/>
        </w:rPr>
        <w:t>en</w:t>
      </w:r>
      <w:r>
        <w:rPr>
          <w:color w:val="231F20"/>
          <w:spacing w:val="-24"/>
          <w:w w:val="105"/>
        </w:rPr>
        <w:t> </w:t>
      </w:r>
      <w:r>
        <w:rPr>
          <w:color w:val="231F20"/>
          <w:w w:val="105"/>
        </w:rPr>
        <w:t>muchas</w:t>
      </w:r>
      <w:r>
        <w:rPr>
          <w:color w:val="231F20"/>
          <w:spacing w:val="-24"/>
          <w:w w:val="105"/>
        </w:rPr>
        <w:t> </w:t>
      </w:r>
      <w:r>
        <w:rPr>
          <w:color w:val="231F20"/>
          <w:w w:val="105"/>
        </w:rPr>
        <w:t>ocasiones</w:t>
      </w:r>
      <w:r>
        <w:rPr>
          <w:color w:val="231F20"/>
          <w:spacing w:val="-24"/>
          <w:w w:val="105"/>
        </w:rPr>
        <w:t> </w:t>
      </w:r>
      <w:r>
        <w:rPr>
          <w:color w:val="231F20"/>
          <w:w w:val="105"/>
        </w:rPr>
        <w:t>permanente.</w:t>
      </w:r>
    </w:p>
    <w:p>
      <w:pPr>
        <w:pStyle w:val="BodyText"/>
        <w:spacing w:line="261" w:lineRule="auto" w:before="1"/>
        <w:ind w:left="1723" w:right="1835" w:firstLine="567"/>
        <w:jc w:val="both"/>
      </w:pPr>
      <w:r>
        <w:rPr>
          <w:color w:val="231F20"/>
          <w:w w:val="105"/>
        </w:rPr>
        <w:t>El </w:t>
      </w:r>
      <w:r>
        <w:rPr>
          <w:color w:val="231F20"/>
          <w:spacing w:val="-3"/>
          <w:w w:val="105"/>
        </w:rPr>
        <w:t>documento presenta </w:t>
      </w:r>
      <w:r>
        <w:rPr>
          <w:color w:val="231F20"/>
          <w:w w:val="105"/>
        </w:rPr>
        <w:t>un </w:t>
      </w:r>
      <w:r>
        <w:rPr>
          <w:color w:val="231F20"/>
          <w:spacing w:val="-3"/>
          <w:w w:val="105"/>
        </w:rPr>
        <w:t>contexto nacional </w:t>
      </w:r>
      <w:r>
        <w:rPr>
          <w:color w:val="231F20"/>
          <w:w w:val="105"/>
        </w:rPr>
        <w:t>en el que se </w:t>
      </w:r>
      <w:r>
        <w:rPr>
          <w:color w:val="231F20"/>
          <w:spacing w:val="-3"/>
          <w:w w:val="105"/>
        </w:rPr>
        <w:t>eviden- cian </w:t>
      </w:r>
      <w:r>
        <w:rPr>
          <w:color w:val="231F20"/>
          <w:w w:val="105"/>
        </w:rPr>
        <w:t>las </w:t>
      </w:r>
      <w:r>
        <w:rPr>
          <w:color w:val="231F20"/>
          <w:spacing w:val="-3"/>
          <w:w w:val="105"/>
        </w:rPr>
        <w:t>altas </w:t>
      </w:r>
      <w:r>
        <w:rPr>
          <w:color w:val="231F20"/>
          <w:w w:val="105"/>
        </w:rPr>
        <w:t>y </w:t>
      </w:r>
      <w:r>
        <w:rPr>
          <w:color w:val="231F20"/>
          <w:spacing w:val="-3"/>
          <w:w w:val="105"/>
        </w:rPr>
        <w:t>bajas </w:t>
      </w:r>
      <w:r>
        <w:rPr>
          <w:color w:val="231F20"/>
          <w:w w:val="105"/>
        </w:rPr>
        <w:t>que </w:t>
      </w:r>
      <w:r>
        <w:rPr>
          <w:color w:val="231F20"/>
          <w:spacing w:val="-3"/>
          <w:w w:val="105"/>
        </w:rPr>
        <w:t>tuvo </w:t>
      </w:r>
      <w:r>
        <w:rPr>
          <w:color w:val="231F20"/>
          <w:w w:val="105"/>
        </w:rPr>
        <w:t>el </w:t>
      </w:r>
      <w:r>
        <w:rPr>
          <w:color w:val="231F20"/>
          <w:spacing w:val="-3"/>
          <w:w w:val="105"/>
        </w:rPr>
        <w:t>proceso </w:t>
      </w:r>
      <w:r>
        <w:rPr>
          <w:color w:val="231F20"/>
          <w:spacing w:val="-4"/>
          <w:w w:val="105"/>
        </w:rPr>
        <w:t>migratorio </w:t>
      </w:r>
      <w:r>
        <w:rPr>
          <w:color w:val="231F20"/>
          <w:spacing w:val="-3"/>
          <w:w w:val="105"/>
        </w:rPr>
        <w:t>mexicano durante el siglo</w:t>
      </w:r>
      <w:r>
        <w:rPr>
          <w:color w:val="231F20"/>
          <w:spacing w:val="-26"/>
          <w:w w:val="105"/>
        </w:rPr>
        <w:t> </w:t>
      </w:r>
      <w:r>
        <w:rPr>
          <w:color w:val="231F20"/>
          <w:w w:val="105"/>
          <w:sz w:val="17"/>
        </w:rPr>
        <w:t>XX</w:t>
      </w:r>
      <w:r>
        <w:rPr>
          <w:color w:val="231F20"/>
          <w:w w:val="105"/>
        </w:rPr>
        <w:t>,</w:t>
      </w:r>
      <w:r>
        <w:rPr>
          <w:color w:val="231F20"/>
          <w:spacing w:val="-31"/>
          <w:w w:val="105"/>
        </w:rPr>
        <w:t> </w:t>
      </w:r>
      <w:r>
        <w:rPr>
          <w:color w:val="231F20"/>
          <w:w w:val="105"/>
        </w:rPr>
        <w:t>en</w:t>
      </w:r>
      <w:r>
        <w:rPr>
          <w:color w:val="231F20"/>
          <w:spacing w:val="-26"/>
          <w:w w:val="105"/>
        </w:rPr>
        <w:t> </w:t>
      </w:r>
      <w:r>
        <w:rPr>
          <w:color w:val="231F20"/>
          <w:spacing w:val="-3"/>
          <w:w w:val="105"/>
        </w:rPr>
        <w:t>específico</w:t>
      </w:r>
      <w:r>
        <w:rPr>
          <w:color w:val="231F20"/>
          <w:spacing w:val="-26"/>
          <w:w w:val="105"/>
        </w:rPr>
        <w:t> </w:t>
      </w:r>
      <w:r>
        <w:rPr>
          <w:color w:val="231F20"/>
          <w:spacing w:val="-3"/>
          <w:w w:val="105"/>
        </w:rPr>
        <w:t>hacia</w:t>
      </w:r>
      <w:r>
        <w:rPr>
          <w:color w:val="231F20"/>
          <w:spacing w:val="-26"/>
          <w:w w:val="105"/>
        </w:rPr>
        <w:t> </w:t>
      </w:r>
      <w:r>
        <w:rPr>
          <w:color w:val="231F20"/>
          <w:spacing w:val="-3"/>
          <w:w w:val="105"/>
        </w:rPr>
        <w:t>Estados</w:t>
      </w:r>
      <w:r>
        <w:rPr>
          <w:color w:val="231F20"/>
          <w:spacing w:val="-26"/>
          <w:w w:val="105"/>
        </w:rPr>
        <w:t> </w:t>
      </w:r>
      <w:r>
        <w:rPr>
          <w:color w:val="231F20"/>
          <w:spacing w:val="-3"/>
          <w:w w:val="105"/>
        </w:rPr>
        <w:t>Unidos,</w:t>
      </w:r>
      <w:r>
        <w:rPr>
          <w:color w:val="231F20"/>
          <w:spacing w:val="-31"/>
          <w:w w:val="105"/>
        </w:rPr>
        <w:t> </w:t>
      </w:r>
      <w:r>
        <w:rPr>
          <w:color w:val="231F20"/>
          <w:w w:val="105"/>
        </w:rPr>
        <w:t>ya</w:t>
      </w:r>
      <w:r>
        <w:rPr>
          <w:color w:val="231F20"/>
          <w:spacing w:val="-26"/>
          <w:w w:val="105"/>
        </w:rPr>
        <w:t> </w:t>
      </w:r>
      <w:r>
        <w:rPr>
          <w:color w:val="231F20"/>
          <w:w w:val="105"/>
        </w:rPr>
        <w:t>que</w:t>
      </w:r>
      <w:r>
        <w:rPr>
          <w:color w:val="231F20"/>
          <w:spacing w:val="-26"/>
          <w:w w:val="105"/>
        </w:rPr>
        <w:t> </w:t>
      </w:r>
      <w:r>
        <w:rPr>
          <w:color w:val="231F20"/>
          <w:spacing w:val="-3"/>
          <w:w w:val="105"/>
        </w:rPr>
        <w:t>establecieron</w:t>
      </w:r>
      <w:r>
        <w:rPr>
          <w:color w:val="231F20"/>
          <w:spacing w:val="-26"/>
          <w:w w:val="105"/>
        </w:rPr>
        <w:t> </w:t>
      </w:r>
      <w:r>
        <w:rPr>
          <w:color w:val="231F20"/>
          <w:w w:val="105"/>
        </w:rPr>
        <w:t>las</w:t>
      </w:r>
      <w:r>
        <w:rPr>
          <w:color w:val="231F20"/>
          <w:spacing w:val="-26"/>
          <w:w w:val="105"/>
        </w:rPr>
        <w:t> </w:t>
      </w:r>
      <w:r>
        <w:rPr>
          <w:color w:val="231F20"/>
          <w:spacing w:val="-3"/>
          <w:w w:val="105"/>
        </w:rPr>
        <w:t>con- diciones</w:t>
      </w:r>
      <w:r>
        <w:rPr>
          <w:color w:val="231F20"/>
          <w:spacing w:val="-15"/>
          <w:w w:val="105"/>
        </w:rPr>
        <w:t> </w:t>
      </w:r>
      <w:r>
        <w:rPr>
          <w:color w:val="231F20"/>
          <w:spacing w:val="-3"/>
          <w:w w:val="105"/>
        </w:rPr>
        <w:t>para</w:t>
      </w:r>
      <w:r>
        <w:rPr>
          <w:color w:val="231F20"/>
          <w:spacing w:val="-15"/>
          <w:w w:val="105"/>
        </w:rPr>
        <w:t> </w:t>
      </w:r>
      <w:r>
        <w:rPr>
          <w:color w:val="231F20"/>
          <w:w w:val="105"/>
        </w:rPr>
        <w:t>la</w:t>
      </w:r>
      <w:r>
        <w:rPr>
          <w:color w:val="231F20"/>
          <w:spacing w:val="-15"/>
          <w:w w:val="105"/>
        </w:rPr>
        <w:t> </w:t>
      </w:r>
      <w:r>
        <w:rPr>
          <w:color w:val="231F20"/>
          <w:spacing w:val="-3"/>
          <w:w w:val="105"/>
        </w:rPr>
        <w:t>toma</w:t>
      </w:r>
      <w:r>
        <w:rPr>
          <w:color w:val="231F20"/>
          <w:spacing w:val="-15"/>
          <w:w w:val="105"/>
        </w:rPr>
        <w:t> </w:t>
      </w:r>
      <w:r>
        <w:rPr>
          <w:color w:val="231F20"/>
          <w:w w:val="105"/>
        </w:rPr>
        <w:t>de</w:t>
      </w:r>
      <w:r>
        <w:rPr>
          <w:color w:val="231F20"/>
          <w:spacing w:val="-15"/>
          <w:w w:val="105"/>
        </w:rPr>
        <w:t> </w:t>
      </w:r>
      <w:r>
        <w:rPr>
          <w:color w:val="231F20"/>
          <w:spacing w:val="-3"/>
          <w:w w:val="105"/>
        </w:rPr>
        <w:t>decisiones</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spacing w:val="-3"/>
          <w:w w:val="105"/>
        </w:rPr>
        <w:t>migración</w:t>
      </w:r>
      <w:r>
        <w:rPr>
          <w:color w:val="231F20"/>
          <w:spacing w:val="-15"/>
          <w:w w:val="105"/>
        </w:rPr>
        <w:t> </w:t>
      </w:r>
      <w:r>
        <w:rPr>
          <w:color w:val="231F20"/>
          <w:spacing w:val="-4"/>
          <w:w w:val="105"/>
        </w:rPr>
        <w:t>intergeneracional.</w:t>
      </w:r>
    </w:p>
    <w:p>
      <w:pPr>
        <w:pStyle w:val="BodyText"/>
        <w:spacing w:before="10"/>
        <w:rPr>
          <w:sz w:val="12"/>
        </w:rPr>
      </w:pPr>
      <w:r>
        <w:rPr/>
        <w:pict>
          <v:line style="position:absolute;mso-position-horizontal-relative:page;mso-position-vertical-relative:paragraph;z-index:37936;mso-wrap-distance-left:0;mso-wrap-distance-right:0" from="86.196899pt,9.382726pt" to="199.582899pt,9.382726pt" stroked="true" strokeweight=".25pt" strokecolor="#231f20">
            <w10:wrap type="topAndBottom"/>
          </v:line>
        </w:pict>
      </w:r>
    </w:p>
    <w:p>
      <w:pPr>
        <w:spacing w:before="8"/>
        <w:ind w:left="1723" w:right="0" w:firstLine="0"/>
        <w:jc w:val="left"/>
        <w:rPr>
          <w:rFonts w:ascii="Calibri"/>
          <w:sz w:val="16"/>
        </w:rPr>
      </w:pPr>
      <w:r>
        <w:rPr>
          <w:rFonts w:ascii="Calibri"/>
          <w:color w:val="414042"/>
          <w:position w:val="5"/>
          <w:sz w:val="9"/>
        </w:rPr>
        <w:t>1      </w:t>
      </w:r>
      <w:r>
        <w:rPr>
          <w:rFonts w:ascii="Calibri"/>
          <w:color w:val="414042"/>
          <w:sz w:val="16"/>
        </w:rPr>
        <w:t>Existen 15.4 millones de refugiados y 27.5 millones de desplazados internos en el mundo (</w:t>
      </w:r>
      <w:r>
        <w:rPr>
          <w:rFonts w:ascii="Calibri"/>
          <w:color w:val="414042"/>
          <w:sz w:val="14"/>
        </w:rPr>
        <w:t>OIM</w:t>
      </w:r>
      <w:r>
        <w:rPr>
          <w:rFonts w:ascii="Calibri"/>
          <w:color w:val="414042"/>
          <w:sz w:val="16"/>
        </w:rPr>
        <w:t>,  2014).</w:t>
      </w:r>
    </w:p>
    <w:p>
      <w:pPr>
        <w:pStyle w:val="BodyText"/>
        <w:rPr>
          <w:rFonts w:ascii="Calibri"/>
          <w:sz w:val="20"/>
        </w:rPr>
      </w:pPr>
    </w:p>
    <w:p>
      <w:pPr>
        <w:pStyle w:val="BodyText"/>
        <w:spacing w:before="10"/>
        <w:rPr>
          <w:rFonts w:ascii="Calibri"/>
          <w:sz w:val="2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2224" from="131.551193pt,3.703715pt" to="131.551193pt,39.506114pt" stroked="true" strokeweight=".35pt" strokecolor="#231f20">
            <w10:wrap type="none"/>
          </v:line>
        </w:pict>
      </w:r>
      <w:r>
        <w:rPr/>
        <w:pict>
          <v:line style="position:absolute;mso-position-horizontal-relative:page;mso-position-vertical-relative:paragraph;z-index:-452200" from="15pt,39.505917pt" to="0pt,39.505917pt" stroked="true" strokeweight=".25pt" strokecolor="#000000">
            <w10:wrap type="none"/>
          </v:line>
        </w:pict>
      </w:r>
      <w:r>
        <w:rPr/>
        <w:pict>
          <v:line style="position:absolute;mso-position-horizontal-relative:page;mso-position-vertical-relative:paragraph;z-index:38008" from="508.890015pt,39.505917pt" to="523.890015pt,39.505917pt" stroked="true" strokeweight=".25pt" strokecolor="#000000">
            <w10:wrap type="none"/>
          </v:line>
        </w:pict>
      </w:r>
      <w:r>
        <w:rPr>
          <w:rFonts w:ascii="Arial" w:hAnsi="Arial"/>
          <w:color w:val="414042"/>
          <w:position w:val="-5"/>
          <w:sz w:val="20"/>
        </w:rPr>
        <w:t>314</w:t>
        <w:tab/>
      </w:r>
      <w:r>
        <w:rPr>
          <w:rFonts w:ascii="Calibri" w:hAnsi="Calibri"/>
          <w:color w:val="6D6E71"/>
          <w:sz w:val="15"/>
        </w:rPr>
        <w:t>Zoraida Ronzón Hernández, Norma Baca </w:t>
      </w:r>
      <w:r>
        <w:rPr>
          <w:rFonts w:ascii="Calibri" w:hAnsi="Calibri"/>
          <w:color w:val="6D6E71"/>
          <w:spacing w:val="-2"/>
          <w:sz w:val="15"/>
        </w:rPr>
        <w:t>Tavira </w:t>
      </w:r>
      <w:r>
        <w:rPr>
          <w:rFonts w:ascii="Calibri" w:hAnsi="Calibri"/>
          <w:color w:val="6D6E71"/>
          <w:sz w:val="15"/>
        </w:rPr>
        <w:t>y Patricia Román  </w:t>
      </w:r>
      <w:r>
        <w:rPr>
          <w:rFonts w:ascii="Calibri" w:hAnsi="Calibri"/>
          <w:color w:val="6D6E71"/>
          <w:spacing w:val="24"/>
          <w:sz w:val="15"/>
        </w:rPr>
        <w:t> </w:t>
      </w:r>
      <w:r>
        <w:rPr>
          <w:rFonts w:ascii="Calibri" w:hAnsi="Calibri"/>
          <w:color w:val="6D6E71"/>
          <w:sz w:val="15"/>
        </w:rPr>
        <w:t>Reyes</w:t>
      </w:r>
    </w:p>
    <w:p>
      <w:pPr>
        <w:spacing w:after="0"/>
        <w:jc w:val="left"/>
        <w:rPr>
          <w:rFonts w:ascii="Calibri" w:hAnsi="Calibri"/>
          <w:sz w:val="15"/>
        </w:rPr>
        <w:sectPr>
          <w:footerReference w:type="default" r:id="rId343"/>
          <w:pgSz w:w="10480" w:h="14730"/>
          <w:pgMar w:footer="103" w:header="0" w:top="42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headerReference w:type="default" r:id="rId344"/>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hAnsi="Lucida Sans Unicode"/>
          <w:sz w:val="14"/>
        </w:rPr>
      </w:pPr>
      <w:r>
        <w:rPr/>
        <w:pict>
          <v:line style="position:absolute;mso-position-horizontal-relative:page;mso-position-vertical-relative:paragraph;z-index:38032" from="405.061005pt,-27.904295pt" to="405.061005pt,6.961579pt" stroked="true" strokeweight=".35pt" strokecolor="#231f20">
            <w10:wrap type="none"/>
          </v:line>
        </w:pict>
      </w:r>
      <w:r>
        <w:rPr/>
        <w:pict>
          <v:line style="position:absolute;mso-position-horizontal-relative:page;mso-position-vertical-relative:paragraph;z-index:38056" from="15pt,-27.90452pt" to="0pt,-27.90452pt" stroked="true" strokeweight=".25pt" strokecolor="#000000">
            <w10:wrap type="none"/>
          </v:line>
        </w:pict>
      </w:r>
      <w:r>
        <w:rPr/>
        <w:pict>
          <v:line style="position:absolute;mso-position-horizontal-relative:page;mso-position-vertical-relative:paragraph;z-index:38080" from="508.890015pt,-27.90452pt" to="523.890015pt,-27.90452pt" stroked="true" strokeweight=".25pt" strokecolor="#000000">
            <w10:wrap type="none"/>
          </v:line>
        </w:pict>
      </w:r>
      <w:r>
        <w:rPr>
          <w:rFonts w:ascii="Lucida Sans Unicode" w:hAnsi="Lucida Sans Unicode"/>
          <w:color w:val="6D6E71"/>
          <w:w w:val="90"/>
          <w:sz w:val="14"/>
        </w:rPr>
        <w:t>MIGRACIÓN INTERGENERACIONAL EN EL ESTADO DE MÉXICO.</w:t>
      </w:r>
    </w:p>
    <w:p>
      <w:pPr>
        <w:spacing w:line="198" w:lineRule="exact" w:before="0"/>
        <w:ind w:left="0" w:right="0" w:firstLine="0"/>
        <w:jc w:val="right"/>
        <w:rPr>
          <w:rFonts w:ascii="Lucida Sans Unicode" w:hAnsi="Lucida Sans Unicode"/>
          <w:sz w:val="14"/>
        </w:rPr>
      </w:pPr>
      <w:r>
        <w:rPr>
          <w:rFonts w:ascii="Lucida Sans Unicode" w:hAnsi="Lucida Sans Unicode"/>
          <w:color w:val="6D6E71"/>
          <w:w w:val="90"/>
          <w:sz w:val="14"/>
        </w:rPr>
        <w:t>LA BÚSQUEDA DE MOVILIDAD SOCIAL</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315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9"/>
        <w:rPr>
          <w:rFonts w:ascii="Arial"/>
          <w:sz w:val="16"/>
        </w:rPr>
      </w:pPr>
    </w:p>
    <w:p>
      <w:pPr>
        <w:pStyle w:val="Heading3"/>
        <w:spacing w:before="54"/>
      </w:pPr>
      <w:r>
        <w:rPr>
          <w:color w:val="231F20"/>
        </w:rPr>
        <w:t>Contexto histórico de tres generaciones migrantes</w:t>
      </w:r>
    </w:p>
    <w:p>
      <w:pPr>
        <w:pStyle w:val="BodyText"/>
        <w:rPr>
          <w:rFonts w:ascii="Arial"/>
          <w:b/>
          <w:sz w:val="22"/>
        </w:rPr>
      </w:pPr>
    </w:p>
    <w:p>
      <w:pPr>
        <w:pStyle w:val="BodyText"/>
        <w:spacing w:line="261" w:lineRule="auto" w:before="163"/>
        <w:ind w:left="1837" w:right="1721"/>
        <w:jc w:val="both"/>
      </w:pPr>
      <w:r>
        <w:rPr>
          <w:color w:val="231F20"/>
          <w:w w:val="105"/>
        </w:rPr>
        <w:t>Los diferentes acontecimientos que se desarrollaron en el siglo </w:t>
      </w:r>
      <w:r>
        <w:rPr>
          <w:color w:val="231F20"/>
          <w:w w:val="105"/>
          <w:sz w:val="17"/>
        </w:rPr>
        <w:t>XX </w:t>
      </w:r>
      <w:r>
        <w:rPr>
          <w:color w:val="231F20"/>
          <w:w w:val="105"/>
        </w:rPr>
        <w:t>en nuestro país tienen como principales campos la industrialización</w:t>
      </w:r>
      <w:r>
        <w:rPr>
          <w:color w:val="231F20"/>
          <w:spacing w:val="-40"/>
          <w:w w:val="105"/>
        </w:rPr>
        <w:t> </w:t>
      </w:r>
      <w:r>
        <w:rPr>
          <w:color w:val="231F20"/>
          <w:w w:val="105"/>
        </w:rPr>
        <w:t>posre- volucionaria,</w:t>
      </w:r>
      <w:r>
        <w:rPr>
          <w:color w:val="231F20"/>
          <w:spacing w:val="-21"/>
          <w:w w:val="105"/>
        </w:rPr>
        <w:t> </w:t>
      </w:r>
      <w:r>
        <w:rPr>
          <w:color w:val="231F20"/>
          <w:w w:val="105"/>
        </w:rPr>
        <w:t>la</w:t>
      </w:r>
      <w:r>
        <w:rPr>
          <w:color w:val="231F20"/>
          <w:spacing w:val="-15"/>
          <w:w w:val="105"/>
        </w:rPr>
        <w:t> </w:t>
      </w:r>
      <w:r>
        <w:rPr>
          <w:color w:val="231F20"/>
          <w:w w:val="105"/>
        </w:rPr>
        <w:t>dinámica</w:t>
      </w:r>
      <w:r>
        <w:rPr>
          <w:color w:val="231F20"/>
          <w:spacing w:val="-15"/>
          <w:w w:val="105"/>
        </w:rPr>
        <w:t> </w:t>
      </w:r>
      <w:r>
        <w:rPr>
          <w:color w:val="231F20"/>
          <w:w w:val="105"/>
        </w:rPr>
        <w:t>demográfica</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apertura</w:t>
      </w:r>
      <w:r>
        <w:rPr>
          <w:color w:val="231F20"/>
          <w:spacing w:val="-15"/>
          <w:w w:val="105"/>
        </w:rPr>
        <w:t> </w:t>
      </w:r>
      <w:r>
        <w:rPr>
          <w:color w:val="231F20"/>
          <w:w w:val="105"/>
        </w:rPr>
        <w:t>comercial,</w:t>
      </w:r>
      <w:r>
        <w:rPr>
          <w:color w:val="231F20"/>
          <w:spacing w:val="-21"/>
          <w:w w:val="105"/>
        </w:rPr>
        <w:t> </w:t>
      </w:r>
      <w:r>
        <w:rPr>
          <w:color w:val="231F20"/>
          <w:w w:val="105"/>
        </w:rPr>
        <w:t>esto</w:t>
      </w:r>
      <w:r>
        <w:rPr>
          <w:color w:val="231F20"/>
          <w:spacing w:val="-15"/>
          <w:w w:val="105"/>
        </w:rPr>
        <w:t> </w:t>
      </w:r>
      <w:r>
        <w:rPr>
          <w:color w:val="231F20"/>
          <w:w w:val="105"/>
        </w:rPr>
        <w:t>debe entenderse en relación a los eventos externos, pues juntos serían tras- cendentales</w:t>
      </w:r>
      <w:r>
        <w:rPr>
          <w:color w:val="231F20"/>
          <w:spacing w:val="-14"/>
          <w:w w:val="105"/>
        </w:rPr>
        <w:t> </w:t>
      </w:r>
      <w:r>
        <w:rPr>
          <w:color w:val="231F20"/>
          <w:w w:val="105"/>
        </w:rPr>
        <w:t>para</w:t>
      </w:r>
      <w:r>
        <w:rPr>
          <w:color w:val="231F20"/>
          <w:spacing w:val="-14"/>
          <w:w w:val="105"/>
        </w:rPr>
        <w:t> </w:t>
      </w:r>
      <w:r>
        <w:rPr>
          <w:color w:val="231F20"/>
          <w:w w:val="105"/>
        </w:rPr>
        <w:t>el</w:t>
      </w:r>
      <w:r>
        <w:rPr>
          <w:color w:val="231F20"/>
          <w:spacing w:val="-14"/>
          <w:w w:val="105"/>
        </w:rPr>
        <w:t> </w:t>
      </w:r>
      <w:r>
        <w:rPr>
          <w:color w:val="231F20"/>
          <w:w w:val="105"/>
        </w:rPr>
        <w:t>proceso</w:t>
      </w:r>
      <w:r>
        <w:rPr>
          <w:color w:val="231F20"/>
          <w:spacing w:val="-14"/>
          <w:w w:val="105"/>
        </w:rPr>
        <w:t> </w:t>
      </w:r>
      <w:r>
        <w:rPr>
          <w:color w:val="231F20"/>
          <w:w w:val="105"/>
        </w:rPr>
        <w:t>migratorio.</w:t>
      </w:r>
    </w:p>
    <w:p>
      <w:pPr>
        <w:pStyle w:val="BodyText"/>
        <w:spacing w:line="261" w:lineRule="auto" w:before="1"/>
        <w:ind w:left="1837" w:right="1721" w:firstLine="567"/>
        <w:jc w:val="both"/>
      </w:pPr>
      <w:r>
        <w:rPr>
          <w:color w:val="231F20"/>
          <w:w w:val="105"/>
        </w:rPr>
        <w:t>Massey, Durand y Malone (2009) hablan de los primeros antece- dentes</w:t>
      </w:r>
      <w:r>
        <w:rPr>
          <w:color w:val="231F20"/>
          <w:spacing w:val="31"/>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migración</w:t>
      </w:r>
      <w:r>
        <w:rPr>
          <w:color w:val="231F20"/>
          <w:spacing w:val="-14"/>
          <w:w w:val="105"/>
        </w:rPr>
        <w:t> </w:t>
      </w:r>
      <w:r>
        <w:rPr>
          <w:color w:val="231F20"/>
          <w:w w:val="105"/>
        </w:rPr>
        <w:t>de</w:t>
      </w:r>
      <w:r>
        <w:rPr>
          <w:color w:val="231F20"/>
          <w:spacing w:val="-14"/>
          <w:w w:val="105"/>
        </w:rPr>
        <w:t> </w:t>
      </w:r>
      <w:r>
        <w:rPr>
          <w:color w:val="231F20"/>
          <w:w w:val="105"/>
        </w:rPr>
        <w:t>mexicanos</w:t>
      </w:r>
      <w:r>
        <w:rPr>
          <w:color w:val="231F20"/>
          <w:spacing w:val="-14"/>
          <w:w w:val="105"/>
        </w:rPr>
        <w:t> </w:t>
      </w:r>
      <w:r>
        <w:rPr>
          <w:color w:val="231F20"/>
          <w:w w:val="105"/>
        </w:rPr>
        <w:t>a</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4"/>
          <w:w w:val="105"/>
        </w:rPr>
        <w:t> </w:t>
      </w:r>
      <w:r>
        <w:rPr>
          <w:color w:val="231F20"/>
          <w:w w:val="105"/>
        </w:rPr>
        <w:t>desde</w:t>
      </w:r>
      <w:r>
        <w:rPr>
          <w:color w:val="231F20"/>
          <w:spacing w:val="-14"/>
          <w:w w:val="105"/>
        </w:rPr>
        <w:t> </w:t>
      </w:r>
      <w:r>
        <w:rPr>
          <w:color w:val="231F20"/>
          <w:w w:val="105"/>
        </w:rPr>
        <w:t>1848,</w:t>
      </w:r>
      <w:r>
        <w:rPr>
          <w:color w:val="231F20"/>
          <w:spacing w:val="-20"/>
          <w:w w:val="105"/>
        </w:rPr>
        <w:t> </w:t>
      </w:r>
      <w:r>
        <w:rPr>
          <w:color w:val="231F20"/>
          <w:w w:val="105"/>
        </w:rPr>
        <w:t>sin embargo para este trabajo sólo se toma el siglo </w:t>
      </w:r>
      <w:r>
        <w:rPr>
          <w:color w:val="231F20"/>
          <w:w w:val="105"/>
          <w:sz w:val="17"/>
        </w:rPr>
        <w:t>XX</w:t>
      </w:r>
      <w:r>
        <w:rPr>
          <w:color w:val="231F20"/>
          <w:w w:val="105"/>
        </w:rPr>
        <w:t>, teniendo como co- yuntura</w:t>
      </w:r>
      <w:r>
        <w:rPr>
          <w:color w:val="231F20"/>
          <w:spacing w:val="-28"/>
          <w:w w:val="105"/>
        </w:rPr>
        <w:t> </w:t>
      </w:r>
      <w:r>
        <w:rPr>
          <w:color w:val="231F20"/>
          <w:w w:val="105"/>
        </w:rPr>
        <w:t>social</w:t>
      </w:r>
      <w:r>
        <w:rPr>
          <w:color w:val="231F20"/>
          <w:spacing w:val="-28"/>
          <w:w w:val="105"/>
        </w:rPr>
        <w:t> </w:t>
      </w:r>
      <w:r>
        <w:rPr>
          <w:color w:val="231F20"/>
          <w:w w:val="105"/>
        </w:rPr>
        <w:t>la</w:t>
      </w:r>
      <w:r>
        <w:rPr>
          <w:color w:val="231F20"/>
          <w:spacing w:val="-28"/>
          <w:w w:val="105"/>
        </w:rPr>
        <w:t> </w:t>
      </w:r>
      <w:r>
        <w:rPr>
          <w:color w:val="231F20"/>
          <w:w w:val="105"/>
        </w:rPr>
        <w:t>Revolución</w:t>
      </w:r>
      <w:r>
        <w:rPr>
          <w:color w:val="231F20"/>
          <w:spacing w:val="-28"/>
          <w:w w:val="105"/>
        </w:rPr>
        <w:t> </w:t>
      </w:r>
      <w:r>
        <w:rPr>
          <w:color w:val="231F20"/>
          <w:w w:val="105"/>
        </w:rPr>
        <w:t>Mexicana</w:t>
      </w:r>
      <w:r>
        <w:rPr>
          <w:color w:val="231F20"/>
          <w:spacing w:val="-28"/>
          <w:w w:val="105"/>
        </w:rPr>
        <w:t> </w:t>
      </w:r>
      <w:r>
        <w:rPr>
          <w:color w:val="231F20"/>
          <w:w w:val="105"/>
        </w:rPr>
        <w:t>(1910</w:t>
      </w:r>
      <w:r>
        <w:rPr>
          <w:color w:val="231F20"/>
          <w:spacing w:val="-28"/>
          <w:w w:val="105"/>
        </w:rPr>
        <w:t> </w:t>
      </w:r>
      <w:r>
        <w:rPr>
          <w:color w:val="231F20"/>
          <w:w w:val="105"/>
        </w:rPr>
        <w:t>a</w:t>
      </w:r>
      <w:r>
        <w:rPr>
          <w:color w:val="231F20"/>
          <w:spacing w:val="-28"/>
          <w:w w:val="105"/>
        </w:rPr>
        <w:t> </w:t>
      </w:r>
      <w:r>
        <w:rPr>
          <w:color w:val="231F20"/>
          <w:w w:val="105"/>
        </w:rPr>
        <w:t>1917),</w:t>
      </w:r>
      <w:r>
        <w:rPr>
          <w:color w:val="231F20"/>
          <w:spacing w:val="-31"/>
          <w:w w:val="105"/>
        </w:rPr>
        <w:t> </w:t>
      </w:r>
      <w:r>
        <w:rPr>
          <w:color w:val="231F20"/>
          <w:w w:val="105"/>
        </w:rPr>
        <w:t>los</w:t>
      </w:r>
      <w:r>
        <w:rPr>
          <w:color w:val="231F20"/>
          <w:spacing w:val="-28"/>
          <w:w w:val="105"/>
        </w:rPr>
        <w:t> </w:t>
      </w:r>
      <w:r>
        <w:rPr>
          <w:color w:val="231F20"/>
          <w:w w:val="105"/>
        </w:rPr>
        <w:t>mismos</w:t>
      </w:r>
      <w:r>
        <w:rPr>
          <w:color w:val="231F20"/>
          <w:spacing w:val="-28"/>
          <w:w w:val="105"/>
        </w:rPr>
        <w:t> </w:t>
      </w:r>
      <w:r>
        <w:rPr>
          <w:color w:val="231F20"/>
          <w:w w:val="105"/>
        </w:rPr>
        <w:t>autores afirman</w:t>
      </w:r>
      <w:r>
        <w:rPr>
          <w:color w:val="231F20"/>
          <w:spacing w:val="-13"/>
          <w:w w:val="105"/>
        </w:rPr>
        <w:t> </w:t>
      </w:r>
      <w:r>
        <w:rPr>
          <w:color w:val="231F20"/>
          <w:w w:val="105"/>
        </w:rPr>
        <w:t>que:</w:t>
      </w:r>
    </w:p>
    <w:p>
      <w:pPr>
        <w:pStyle w:val="BodyText"/>
        <w:rPr>
          <w:sz w:val="20"/>
        </w:rPr>
      </w:pPr>
    </w:p>
    <w:p>
      <w:pPr>
        <w:pStyle w:val="BodyText"/>
        <w:spacing w:before="7"/>
      </w:pPr>
    </w:p>
    <w:p>
      <w:pPr>
        <w:spacing w:line="254" w:lineRule="auto" w:before="0"/>
        <w:ind w:left="2971" w:right="1716" w:firstLine="0"/>
        <w:jc w:val="both"/>
        <w:rPr>
          <w:sz w:val="18"/>
        </w:rPr>
      </w:pPr>
      <w:r>
        <w:rPr>
          <w:color w:val="231F20"/>
          <w:w w:val="105"/>
          <w:sz w:val="18"/>
        </w:rPr>
        <w:t>le dio relevancia a la frontera al convertir a las comunidades</w:t>
      </w:r>
      <w:r>
        <w:rPr>
          <w:color w:val="231F20"/>
          <w:spacing w:val="-28"/>
          <w:w w:val="105"/>
          <w:sz w:val="18"/>
        </w:rPr>
        <w:t> </w:t>
      </w:r>
      <w:r>
        <w:rPr>
          <w:color w:val="231F20"/>
          <w:w w:val="105"/>
          <w:sz w:val="18"/>
        </w:rPr>
        <w:t>estadou- nidenses</w:t>
      </w:r>
      <w:r>
        <w:rPr>
          <w:color w:val="231F20"/>
          <w:spacing w:val="-9"/>
          <w:w w:val="105"/>
          <w:sz w:val="18"/>
        </w:rPr>
        <w:t> </w:t>
      </w:r>
      <w:r>
        <w:rPr>
          <w:color w:val="231F20"/>
          <w:w w:val="105"/>
          <w:sz w:val="18"/>
        </w:rPr>
        <w:t>en</w:t>
      </w:r>
      <w:r>
        <w:rPr>
          <w:color w:val="231F20"/>
          <w:spacing w:val="-9"/>
          <w:w w:val="105"/>
          <w:sz w:val="18"/>
        </w:rPr>
        <w:t> </w:t>
      </w:r>
      <w:r>
        <w:rPr>
          <w:color w:val="231F20"/>
          <w:w w:val="105"/>
          <w:sz w:val="18"/>
        </w:rPr>
        <w:t>lugares</w:t>
      </w:r>
      <w:r>
        <w:rPr>
          <w:color w:val="231F20"/>
          <w:spacing w:val="-9"/>
          <w:w w:val="105"/>
          <w:sz w:val="18"/>
        </w:rPr>
        <w:t> </w:t>
      </w:r>
      <w:r>
        <w:rPr>
          <w:color w:val="231F20"/>
          <w:w w:val="105"/>
          <w:sz w:val="18"/>
        </w:rPr>
        <w:t>de</w:t>
      </w:r>
      <w:r>
        <w:rPr>
          <w:color w:val="231F20"/>
          <w:spacing w:val="-9"/>
          <w:w w:val="105"/>
          <w:sz w:val="18"/>
        </w:rPr>
        <w:t> </w:t>
      </w:r>
      <w:r>
        <w:rPr>
          <w:color w:val="231F20"/>
          <w:w w:val="105"/>
          <w:sz w:val="18"/>
        </w:rPr>
        <w:t>refugio</w:t>
      </w:r>
      <w:r>
        <w:rPr>
          <w:color w:val="231F20"/>
          <w:spacing w:val="-9"/>
          <w:w w:val="105"/>
          <w:sz w:val="18"/>
        </w:rPr>
        <w:t> </w:t>
      </w:r>
      <w:r>
        <w:rPr>
          <w:color w:val="231F20"/>
          <w:w w:val="105"/>
          <w:sz w:val="18"/>
        </w:rPr>
        <w:t>político,</w:t>
      </w:r>
      <w:r>
        <w:rPr>
          <w:color w:val="231F20"/>
          <w:spacing w:val="-15"/>
          <w:w w:val="105"/>
          <w:sz w:val="18"/>
        </w:rPr>
        <w:t> </w:t>
      </w:r>
      <w:r>
        <w:rPr>
          <w:color w:val="231F20"/>
          <w:w w:val="105"/>
          <w:sz w:val="18"/>
        </w:rPr>
        <w:t>puntos</w:t>
      </w:r>
      <w:r>
        <w:rPr>
          <w:color w:val="231F20"/>
          <w:spacing w:val="-9"/>
          <w:w w:val="105"/>
          <w:sz w:val="18"/>
        </w:rPr>
        <w:t> </w:t>
      </w:r>
      <w:r>
        <w:rPr>
          <w:color w:val="231F20"/>
          <w:w w:val="105"/>
          <w:sz w:val="18"/>
        </w:rPr>
        <w:t>de</w:t>
      </w:r>
      <w:r>
        <w:rPr>
          <w:color w:val="231F20"/>
          <w:spacing w:val="-9"/>
          <w:w w:val="105"/>
          <w:sz w:val="18"/>
        </w:rPr>
        <w:t> </w:t>
      </w:r>
      <w:r>
        <w:rPr>
          <w:color w:val="231F20"/>
          <w:w w:val="105"/>
          <w:sz w:val="18"/>
        </w:rPr>
        <w:t>encuentro</w:t>
      </w:r>
      <w:r>
        <w:rPr>
          <w:color w:val="231F20"/>
          <w:spacing w:val="-9"/>
          <w:w w:val="105"/>
          <w:sz w:val="18"/>
        </w:rPr>
        <w:t> </w:t>
      </w:r>
      <w:r>
        <w:rPr>
          <w:color w:val="231F20"/>
          <w:w w:val="105"/>
          <w:sz w:val="18"/>
        </w:rPr>
        <w:t>y</w:t>
      </w:r>
      <w:r>
        <w:rPr>
          <w:color w:val="231F20"/>
          <w:spacing w:val="-9"/>
          <w:w w:val="105"/>
          <w:sz w:val="18"/>
        </w:rPr>
        <w:t> </w:t>
      </w:r>
      <w:r>
        <w:rPr>
          <w:color w:val="231F20"/>
          <w:w w:val="105"/>
          <w:sz w:val="18"/>
        </w:rPr>
        <w:t>desem- barque</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soldados,</w:t>
      </w:r>
      <w:r>
        <w:rPr>
          <w:color w:val="231F20"/>
          <w:spacing w:val="-30"/>
          <w:w w:val="105"/>
          <w:sz w:val="18"/>
        </w:rPr>
        <w:t> </w:t>
      </w:r>
      <w:r>
        <w:rPr>
          <w:color w:val="231F20"/>
          <w:w w:val="105"/>
          <w:sz w:val="18"/>
        </w:rPr>
        <w:t>armas</w:t>
      </w:r>
      <w:r>
        <w:rPr>
          <w:color w:val="231F20"/>
          <w:spacing w:val="-26"/>
          <w:w w:val="105"/>
          <w:sz w:val="18"/>
        </w:rPr>
        <w:t> </w:t>
      </w:r>
      <w:r>
        <w:rPr>
          <w:color w:val="231F20"/>
          <w:w w:val="105"/>
          <w:sz w:val="18"/>
        </w:rPr>
        <w:t>y</w:t>
      </w:r>
      <w:r>
        <w:rPr>
          <w:color w:val="231F20"/>
          <w:spacing w:val="-26"/>
          <w:w w:val="105"/>
          <w:sz w:val="18"/>
        </w:rPr>
        <w:t> </w:t>
      </w:r>
      <w:r>
        <w:rPr>
          <w:color w:val="231F20"/>
          <w:w w:val="105"/>
          <w:sz w:val="18"/>
        </w:rPr>
        <w:t>material</w:t>
      </w:r>
      <w:r>
        <w:rPr>
          <w:color w:val="231F20"/>
          <w:spacing w:val="-26"/>
          <w:w w:val="105"/>
          <w:sz w:val="18"/>
        </w:rPr>
        <w:t> </w:t>
      </w:r>
      <w:r>
        <w:rPr>
          <w:color w:val="231F20"/>
          <w:w w:val="105"/>
          <w:sz w:val="18"/>
        </w:rPr>
        <w:t>bélico.</w:t>
      </w:r>
      <w:r>
        <w:rPr>
          <w:color w:val="231F20"/>
          <w:spacing w:val="-30"/>
          <w:w w:val="105"/>
          <w:sz w:val="18"/>
        </w:rPr>
        <w:t> </w:t>
      </w:r>
      <w:r>
        <w:rPr>
          <w:color w:val="231F20"/>
          <w:w w:val="105"/>
          <w:sz w:val="18"/>
        </w:rPr>
        <w:t>Después</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Revolución, el nuevo gobierno mexicano (no era una coincidencia que estuviera dirigido por generales del norte) aumentó la inversión federal en la</w:t>
      </w:r>
      <w:r>
        <w:rPr>
          <w:color w:val="231F20"/>
          <w:spacing w:val="-34"/>
          <w:w w:val="105"/>
          <w:sz w:val="18"/>
        </w:rPr>
        <w:t> </w:t>
      </w:r>
      <w:r>
        <w:rPr>
          <w:color w:val="231F20"/>
          <w:w w:val="105"/>
          <w:sz w:val="18"/>
        </w:rPr>
        <w:t>in- fraestructura</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los</w:t>
      </w:r>
      <w:r>
        <w:rPr>
          <w:color w:val="231F20"/>
          <w:spacing w:val="-18"/>
          <w:w w:val="105"/>
          <w:sz w:val="18"/>
        </w:rPr>
        <w:t> </w:t>
      </w:r>
      <w:r>
        <w:rPr>
          <w:color w:val="231F20"/>
          <w:w w:val="105"/>
          <w:sz w:val="18"/>
        </w:rPr>
        <w:t>estados</w:t>
      </w:r>
      <w:r>
        <w:rPr>
          <w:color w:val="231F20"/>
          <w:spacing w:val="-18"/>
          <w:w w:val="105"/>
          <w:sz w:val="18"/>
        </w:rPr>
        <w:t> </w:t>
      </w:r>
      <w:r>
        <w:rPr>
          <w:color w:val="231F20"/>
          <w:w w:val="105"/>
          <w:sz w:val="18"/>
        </w:rPr>
        <w:t>fronterizos.</w:t>
      </w:r>
      <w:r>
        <w:rPr>
          <w:color w:val="231F20"/>
          <w:spacing w:val="-24"/>
          <w:w w:val="105"/>
          <w:sz w:val="18"/>
        </w:rPr>
        <w:t> </w:t>
      </w:r>
      <w:r>
        <w:rPr>
          <w:color w:val="231F20"/>
          <w:w w:val="105"/>
          <w:sz w:val="18"/>
        </w:rPr>
        <w:t>A</w:t>
      </w:r>
      <w:r>
        <w:rPr>
          <w:color w:val="231F20"/>
          <w:spacing w:val="-20"/>
          <w:w w:val="105"/>
          <w:sz w:val="18"/>
        </w:rPr>
        <w:t> </w:t>
      </w:r>
      <w:r>
        <w:rPr>
          <w:color w:val="231F20"/>
          <w:w w:val="105"/>
          <w:sz w:val="18"/>
        </w:rPr>
        <w:t>su</w:t>
      </w:r>
      <w:r>
        <w:rPr>
          <w:color w:val="231F20"/>
          <w:spacing w:val="-18"/>
          <w:w w:val="105"/>
          <w:sz w:val="18"/>
        </w:rPr>
        <w:t> </w:t>
      </w:r>
      <w:r>
        <w:rPr>
          <w:color w:val="231F20"/>
          <w:w w:val="105"/>
          <w:sz w:val="18"/>
        </w:rPr>
        <w:t>vez,</w:t>
      </w:r>
      <w:r>
        <w:rPr>
          <w:color w:val="231F20"/>
          <w:spacing w:val="-22"/>
          <w:w w:val="105"/>
          <w:sz w:val="18"/>
        </w:rPr>
        <w:t> </w:t>
      </w:r>
      <w:r>
        <w:rPr>
          <w:color w:val="231F20"/>
          <w:w w:val="105"/>
          <w:sz w:val="18"/>
        </w:rPr>
        <w:t>las</w:t>
      </w:r>
      <w:r>
        <w:rPr>
          <w:color w:val="231F20"/>
          <w:spacing w:val="-18"/>
          <w:w w:val="105"/>
          <w:sz w:val="18"/>
        </w:rPr>
        <w:t> </w:t>
      </w:r>
      <w:r>
        <w:rPr>
          <w:color w:val="231F20"/>
          <w:w w:val="105"/>
          <w:sz w:val="18"/>
        </w:rPr>
        <w:t>inversiones</w:t>
      </w:r>
      <w:r>
        <w:rPr>
          <w:color w:val="231F20"/>
          <w:spacing w:val="-18"/>
          <w:w w:val="105"/>
          <w:sz w:val="18"/>
        </w:rPr>
        <w:t> </w:t>
      </w:r>
      <w:r>
        <w:rPr>
          <w:color w:val="231F20"/>
          <w:w w:val="105"/>
          <w:sz w:val="18"/>
        </w:rPr>
        <w:t>gene- raron</w:t>
      </w:r>
      <w:r>
        <w:rPr>
          <w:color w:val="231F20"/>
          <w:spacing w:val="-10"/>
          <w:w w:val="105"/>
          <w:sz w:val="18"/>
        </w:rPr>
        <w:t> </w:t>
      </w:r>
      <w:r>
        <w:rPr>
          <w:color w:val="231F20"/>
          <w:w w:val="105"/>
          <w:sz w:val="18"/>
        </w:rPr>
        <w:t>el</w:t>
      </w:r>
      <w:r>
        <w:rPr>
          <w:color w:val="231F20"/>
          <w:spacing w:val="-10"/>
          <w:w w:val="105"/>
          <w:sz w:val="18"/>
        </w:rPr>
        <w:t> </w:t>
      </w:r>
      <w:r>
        <w:rPr>
          <w:color w:val="231F20"/>
          <w:w w:val="105"/>
          <w:sz w:val="18"/>
        </w:rPr>
        <w:t>aumento</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las</w:t>
      </w:r>
      <w:r>
        <w:rPr>
          <w:color w:val="231F20"/>
          <w:spacing w:val="-10"/>
          <w:w w:val="105"/>
          <w:sz w:val="18"/>
        </w:rPr>
        <w:t> </w:t>
      </w:r>
      <w:r>
        <w:rPr>
          <w:color w:val="231F20"/>
          <w:w w:val="105"/>
          <w:sz w:val="18"/>
        </w:rPr>
        <w:t>tasas</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crecimiento</w:t>
      </w:r>
      <w:r>
        <w:rPr>
          <w:color w:val="231F20"/>
          <w:spacing w:val="-10"/>
          <w:w w:val="105"/>
          <w:sz w:val="18"/>
        </w:rPr>
        <w:t> </w:t>
      </w:r>
      <w:r>
        <w:rPr>
          <w:color w:val="231F20"/>
          <w:w w:val="105"/>
          <w:sz w:val="18"/>
        </w:rPr>
        <w:t>económico</w:t>
      </w:r>
      <w:r>
        <w:rPr>
          <w:color w:val="231F20"/>
          <w:spacing w:val="-10"/>
          <w:w w:val="105"/>
          <w:sz w:val="18"/>
        </w:rPr>
        <w:t> </w:t>
      </w:r>
      <w:r>
        <w:rPr>
          <w:color w:val="231F20"/>
          <w:w w:val="105"/>
          <w:sz w:val="18"/>
        </w:rPr>
        <w:t>y</w:t>
      </w:r>
      <w:r>
        <w:rPr>
          <w:color w:val="231F20"/>
          <w:spacing w:val="-10"/>
          <w:w w:val="105"/>
          <w:sz w:val="18"/>
        </w:rPr>
        <w:t> </w:t>
      </w:r>
      <w:r>
        <w:rPr>
          <w:color w:val="231F20"/>
          <w:w w:val="105"/>
          <w:sz w:val="18"/>
        </w:rPr>
        <w:t>poblacional durante</w:t>
      </w:r>
      <w:r>
        <w:rPr>
          <w:color w:val="231F20"/>
          <w:spacing w:val="-23"/>
          <w:w w:val="105"/>
          <w:sz w:val="18"/>
        </w:rPr>
        <w:t> </w:t>
      </w:r>
      <w:r>
        <w:rPr>
          <w:color w:val="231F20"/>
          <w:w w:val="105"/>
          <w:sz w:val="18"/>
        </w:rPr>
        <w:t>las</w:t>
      </w:r>
      <w:r>
        <w:rPr>
          <w:color w:val="231F20"/>
          <w:spacing w:val="-23"/>
          <w:w w:val="105"/>
          <w:sz w:val="18"/>
        </w:rPr>
        <w:t> </w:t>
      </w:r>
      <w:r>
        <w:rPr>
          <w:color w:val="231F20"/>
          <w:w w:val="105"/>
          <w:sz w:val="18"/>
        </w:rPr>
        <w:t>décadas</w:t>
      </w:r>
      <w:r>
        <w:rPr>
          <w:color w:val="231F20"/>
          <w:spacing w:val="-23"/>
          <w:w w:val="105"/>
          <w:sz w:val="18"/>
        </w:rPr>
        <w:t> </w:t>
      </w:r>
      <w:r>
        <w:rPr>
          <w:color w:val="231F20"/>
          <w:w w:val="105"/>
          <w:sz w:val="18"/>
        </w:rPr>
        <w:t>del</w:t>
      </w:r>
      <w:r>
        <w:rPr>
          <w:color w:val="231F20"/>
          <w:spacing w:val="-23"/>
          <w:w w:val="105"/>
          <w:sz w:val="18"/>
        </w:rPr>
        <w:t> </w:t>
      </w:r>
      <w:r>
        <w:rPr>
          <w:color w:val="231F20"/>
          <w:w w:val="105"/>
          <w:sz w:val="18"/>
        </w:rPr>
        <w:t>sesenta</w:t>
      </w:r>
      <w:r>
        <w:rPr>
          <w:color w:val="231F20"/>
          <w:spacing w:val="-23"/>
          <w:w w:val="105"/>
          <w:sz w:val="18"/>
        </w:rPr>
        <w:t> </w:t>
      </w:r>
      <w:r>
        <w:rPr>
          <w:color w:val="231F20"/>
          <w:w w:val="105"/>
          <w:sz w:val="18"/>
        </w:rPr>
        <w:t>y</w:t>
      </w:r>
      <w:r>
        <w:rPr>
          <w:color w:val="231F20"/>
          <w:spacing w:val="-23"/>
          <w:w w:val="105"/>
          <w:sz w:val="18"/>
        </w:rPr>
        <w:t> </w:t>
      </w:r>
      <w:r>
        <w:rPr>
          <w:color w:val="231F20"/>
          <w:w w:val="105"/>
          <w:sz w:val="18"/>
        </w:rPr>
        <w:t>setenta</w:t>
      </w:r>
      <w:r>
        <w:rPr>
          <w:color w:val="231F20"/>
          <w:spacing w:val="-23"/>
          <w:w w:val="105"/>
          <w:sz w:val="18"/>
        </w:rPr>
        <w:t> </w:t>
      </w:r>
      <w:r>
        <w:rPr>
          <w:color w:val="231F20"/>
          <w:w w:val="105"/>
          <w:sz w:val="18"/>
        </w:rPr>
        <w:t>(Massey</w:t>
      </w:r>
      <w:r>
        <w:rPr>
          <w:color w:val="231F20"/>
          <w:spacing w:val="-23"/>
          <w:w w:val="105"/>
          <w:sz w:val="18"/>
        </w:rPr>
        <w:t> </w:t>
      </w:r>
      <w:r>
        <w:rPr>
          <w:rFonts w:ascii="Arial" w:hAnsi="Arial"/>
          <w:i/>
          <w:color w:val="231F20"/>
          <w:w w:val="105"/>
          <w:sz w:val="18"/>
        </w:rPr>
        <w:t>et</w:t>
      </w:r>
      <w:r>
        <w:rPr>
          <w:rFonts w:ascii="Arial" w:hAnsi="Arial"/>
          <w:i/>
          <w:color w:val="231F20"/>
          <w:spacing w:val="-25"/>
          <w:w w:val="105"/>
          <w:sz w:val="18"/>
        </w:rPr>
        <w:t> </w:t>
      </w:r>
      <w:r>
        <w:rPr>
          <w:rFonts w:ascii="Arial" w:hAnsi="Arial"/>
          <w:i/>
          <w:color w:val="231F20"/>
          <w:w w:val="105"/>
          <w:sz w:val="18"/>
        </w:rPr>
        <w:t>al</w:t>
      </w:r>
      <w:r>
        <w:rPr>
          <w:color w:val="231F20"/>
          <w:w w:val="105"/>
          <w:sz w:val="18"/>
        </w:rPr>
        <w:t>.,</w:t>
      </w:r>
      <w:r>
        <w:rPr>
          <w:color w:val="231F20"/>
          <w:spacing w:val="-27"/>
          <w:w w:val="105"/>
          <w:sz w:val="18"/>
        </w:rPr>
        <w:t> </w:t>
      </w:r>
      <w:r>
        <w:rPr>
          <w:color w:val="231F20"/>
          <w:w w:val="105"/>
          <w:sz w:val="18"/>
        </w:rPr>
        <w:t>2009:</w:t>
      </w:r>
      <w:r>
        <w:rPr>
          <w:color w:val="231F20"/>
          <w:spacing w:val="-23"/>
          <w:w w:val="105"/>
          <w:sz w:val="18"/>
        </w:rPr>
        <w:t> </w:t>
      </w:r>
      <w:r>
        <w:rPr>
          <w:color w:val="231F20"/>
          <w:w w:val="105"/>
          <w:sz w:val="18"/>
        </w:rPr>
        <w:t>33).</w:t>
      </w:r>
    </w:p>
    <w:p>
      <w:pPr>
        <w:pStyle w:val="BodyText"/>
        <w:rPr>
          <w:sz w:val="18"/>
        </w:rPr>
      </w:pPr>
    </w:p>
    <w:p>
      <w:pPr>
        <w:pStyle w:val="BodyText"/>
        <w:spacing w:before="4"/>
        <w:rPr>
          <w:sz w:val="26"/>
        </w:rPr>
      </w:pPr>
    </w:p>
    <w:p>
      <w:pPr>
        <w:pStyle w:val="BodyText"/>
        <w:spacing w:line="261" w:lineRule="auto"/>
        <w:ind w:left="1837" w:right="1715"/>
        <w:jc w:val="both"/>
      </w:pPr>
      <w:r>
        <w:rPr>
          <w:color w:val="231F20"/>
          <w:w w:val="105"/>
        </w:rPr>
        <w:t>Al término de la Revolución era necesario poner en orden la frontera, por</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tuvo</w:t>
      </w:r>
      <w:r>
        <w:rPr>
          <w:color w:val="231F20"/>
          <w:spacing w:val="-13"/>
          <w:w w:val="105"/>
        </w:rPr>
        <w:t> </w:t>
      </w:r>
      <w:r>
        <w:rPr>
          <w:color w:val="231F20"/>
          <w:w w:val="105"/>
        </w:rPr>
        <w:t>cabida</w:t>
      </w:r>
      <w:r>
        <w:rPr>
          <w:color w:val="231F20"/>
          <w:spacing w:val="-13"/>
          <w:w w:val="105"/>
        </w:rPr>
        <w:t> </w:t>
      </w:r>
      <w:r>
        <w:rPr>
          <w:color w:val="231F20"/>
          <w:w w:val="105"/>
        </w:rPr>
        <w:t>la</w:t>
      </w:r>
      <w:r>
        <w:rPr>
          <w:color w:val="231F20"/>
          <w:spacing w:val="-13"/>
          <w:w w:val="105"/>
        </w:rPr>
        <w:t> </w:t>
      </w:r>
      <w:r>
        <w:rPr>
          <w:color w:val="231F20"/>
          <w:w w:val="105"/>
        </w:rPr>
        <w:t>formación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Patrulla</w:t>
      </w:r>
      <w:r>
        <w:rPr>
          <w:color w:val="231F20"/>
          <w:spacing w:val="-13"/>
          <w:w w:val="105"/>
        </w:rPr>
        <w:t> </w:t>
      </w:r>
      <w:r>
        <w:rPr>
          <w:color w:val="231F20"/>
          <w:w w:val="105"/>
        </w:rPr>
        <w:t>Fronteriza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año</w:t>
      </w:r>
      <w:r>
        <w:rPr>
          <w:color w:val="231F20"/>
          <w:spacing w:val="-13"/>
          <w:w w:val="105"/>
        </w:rPr>
        <w:t> </w:t>
      </w:r>
      <w:r>
        <w:rPr>
          <w:color w:val="231F20"/>
          <w:w w:val="105"/>
        </w:rPr>
        <w:t>de 1924</w:t>
      </w:r>
      <w:r>
        <w:rPr>
          <w:color w:val="231F20"/>
          <w:spacing w:val="-35"/>
          <w:w w:val="105"/>
        </w:rPr>
        <w:t> </w:t>
      </w:r>
      <w:r>
        <w:rPr>
          <w:color w:val="231F20"/>
          <w:w w:val="105"/>
        </w:rPr>
        <w:t>(Massey</w:t>
      </w:r>
      <w:r>
        <w:rPr>
          <w:color w:val="231F20"/>
          <w:spacing w:val="-35"/>
          <w:w w:val="105"/>
        </w:rPr>
        <w:t> </w:t>
      </w:r>
      <w:r>
        <w:rPr>
          <w:rFonts w:ascii="Arial" w:hAnsi="Arial"/>
          <w:i/>
          <w:color w:val="231F20"/>
          <w:w w:val="105"/>
        </w:rPr>
        <w:t>et</w:t>
      </w:r>
      <w:r>
        <w:rPr>
          <w:rFonts w:ascii="Arial" w:hAnsi="Arial"/>
          <w:i/>
          <w:color w:val="231F20"/>
          <w:spacing w:val="-37"/>
          <w:w w:val="105"/>
        </w:rPr>
        <w:t> </w:t>
      </w:r>
      <w:r>
        <w:rPr>
          <w:rFonts w:ascii="Arial" w:hAnsi="Arial"/>
          <w:i/>
          <w:color w:val="231F20"/>
          <w:w w:val="105"/>
        </w:rPr>
        <w:t>al</w:t>
      </w:r>
      <w:r>
        <w:rPr>
          <w:color w:val="231F20"/>
          <w:w w:val="105"/>
        </w:rPr>
        <w:t>.,</w:t>
      </w:r>
      <w:r>
        <w:rPr>
          <w:color w:val="231F20"/>
          <w:spacing w:val="-38"/>
          <w:w w:val="105"/>
        </w:rPr>
        <w:t> </w:t>
      </w:r>
      <w:r>
        <w:rPr>
          <w:color w:val="231F20"/>
          <w:w w:val="105"/>
        </w:rPr>
        <w:t>2009).</w:t>
      </w:r>
    </w:p>
    <w:p>
      <w:pPr>
        <w:pStyle w:val="BodyText"/>
        <w:spacing w:line="261" w:lineRule="auto"/>
        <w:ind w:left="1837" w:right="1715" w:firstLine="567"/>
        <w:jc w:val="both"/>
      </w:pPr>
      <w:r>
        <w:rPr>
          <w:color w:val="231F20"/>
          <w:w w:val="105"/>
        </w:rPr>
        <w:t>La transformación social y política del país iniciaba con el</w:t>
      </w:r>
      <w:r>
        <w:rPr>
          <w:color w:val="231F20"/>
          <w:spacing w:val="-30"/>
          <w:w w:val="105"/>
        </w:rPr>
        <w:t> </w:t>
      </w:r>
      <w:r>
        <w:rPr>
          <w:color w:val="231F20"/>
          <w:w w:val="105"/>
        </w:rPr>
        <w:t>término de</w:t>
      </w:r>
      <w:r>
        <w:rPr>
          <w:color w:val="231F20"/>
          <w:spacing w:val="-23"/>
          <w:w w:val="105"/>
        </w:rPr>
        <w:t> </w:t>
      </w:r>
      <w:r>
        <w:rPr>
          <w:color w:val="231F20"/>
          <w:w w:val="105"/>
        </w:rPr>
        <w:t>la</w:t>
      </w:r>
      <w:r>
        <w:rPr>
          <w:color w:val="231F20"/>
          <w:spacing w:val="-23"/>
          <w:w w:val="105"/>
        </w:rPr>
        <w:t> </w:t>
      </w:r>
      <w:r>
        <w:rPr>
          <w:color w:val="231F20"/>
          <w:w w:val="105"/>
        </w:rPr>
        <w:t>lucha</w:t>
      </w:r>
      <w:r>
        <w:rPr>
          <w:color w:val="231F20"/>
          <w:spacing w:val="-23"/>
          <w:w w:val="105"/>
        </w:rPr>
        <w:t> </w:t>
      </w:r>
      <w:r>
        <w:rPr>
          <w:color w:val="231F20"/>
          <w:w w:val="105"/>
        </w:rPr>
        <w:t>revolucionaria</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vería</w:t>
      </w:r>
      <w:r>
        <w:rPr>
          <w:color w:val="231F20"/>
          <w:spacing w:val="-23"/>
          <w:w w:val="105"/>
        </w:rPr>
        <w:t> </w:t>
      </w:r>
      <w:r>
        <w:rPr>
          <w:color w:val="231F20"/>
          <w:w w:val="105"/>
        </w:rPr>
        <w:t>puesta</w:t>
      </w:r>
      <w:r>
        <w:rPr>
          <w:color w:val="231F20"/>
          <w:spacing w:val="-23"/>
          <w:w w:val="105"/>
        </w:rPr>
        <w:t> </w:t>
      </w:r>
      <w:r>
        <w:rPr>
          <w:color w:val="231F20"/>
          <w:w w:val="105"/>
        </w:rPr>
        <w:t>en</w:t>
      </w:r>
      <w:r>
        <w:rPr>
          <w:color w:val="231F20"/>
          <w:spacing w:val="-23"/>
          <w:w w:val="105"/>
        </w:rPr>
        <w:t> </w:t>
      </w:r>
      <w:r>
        <w:rPr>
          <w:color w:val="231F20"/>
          <w:w w:val="105"/>
        </w:rPr>
        <w:t>marcha</w:t>
      </w:r>
      <w:r>
        <w:rPr>
          <w:color w:val="231F20"/>
          <w:spacing w:val="-23"/>
          <w:w w:val="105"/>
        </w:rPr>
        <w:t> </w:t>
      </w:r>
      <w:r>
        <w:rPr>
          <w:color w:val="231F20"/>
          <w:w w:val="105"/>
        </w:rPr>
        <w:t>hasta</w:t>
      </w:r>
      <w:r>
        <w:rPr>
          <w:color w:val="231F20"/>
          <w:spacing w:val="-23"/>
          <w:w w:val="105"/>
        </w:rPr>
        <w:t> </w:t>
      </w:r>
      <w:r>
        <w:rPr>
          <w:color w:val="231F20"/>
          <w:w w:val="105"/>
        </w:rPr>
        <w:t>la</w:t>
      </w:r>
      <w:r>
        <w:rPr>
          <w:color w:val="231F20"/>
          <w:spacing w:val="-23"/>
          <w:w w:val="105"/>
        </w:rPr>
        <w:t> </w:t>
      </w:r>
      <w:r>
        <w:rPr>
          <w:color w:val="231F20"/>
          <w:w w:val="105"/>
        </w:rPr>
        <w:t>década de los veintes, así, al término de la Revolución, se vive el “periodo de reconstrucción”, de 1921 a 1928, con un crecimiento promedio anual del</w:t>
      </w:r>
      <w:r>
        <w:rPr>
          <w:color w:val="231F20"/>
          <w:spacing w:val="-15"/>
          <w:w w:val="105"/>
        </w:rPr>
        <w:t> </w:t>
      </w:r>
      <w:r>
        <w:rPr>
          <w:color w:val="231F20"/>
          <w:w w:val="105"/>
        </w:rPr>
        <w:t>2.1%,</w:t>
      </w:r>
      <w:r>
        <w:rPr>
          <w:color w:val="231F20"/>
          <w:spacing w:val="-20"/>
          <w:w w:val="105"/>
        </w:rPr>
        <w:t> </w:t>
      </w:r>
      <w:r>
        <w:rPr>
          <w:color w:val="231F20"/>
          <w:w w:val="105"/>
        </w:rPr>
        <w:t>sustentado</w:t>
      </w:r>
      <w:r>
        <w:rPr>
          <w:color w:val="231F20"/>
          <w:spacing w:val="-15"/>
          <w:w w:val="105"/>
        </w:rPr>
        <w:t> </w:t>
      </w:r>
      <w:r>
        <w:rPr>
          <w:color w:val="231F20"/>
          <w:w w:val="105"/>
        </w:rPr>
        <w:t>sobre</w:t>
      </w:r>
      <w:r>
        <w:rPr>
          <w:color w:val="231F20"/>
          <w:spacing w:val="-15"/>
          <w:w w:val="105"/>
        </w:rPr>
        <w:t> </w:t>
      </w:r>
      <w:r>
        <w:rPr>
          <w:color w:val="231F20"/>
          <w:w w:val="105"/>
        </w:rPr>
        <w:t>todo</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sector</w:t>
      </w:r>
      <w:r>
        <w:rPr>
          <w:color w:val="231F20"/>
          <w:spacing w:val="-15"/>
          <w:w w:val="105"/>
        </w:rPr>
        <w:t> </w:t>
      </w:r>
      <w:r>
        <w:rPr>
          <w:color w:val="231F20"/>
          <w:w w:val="105"/>
        </w:rPr>
        <w:t>exportador,</w:t>
      </w:r>
      <w:r>
        <w:rPr>
          <w:color w:val="231F20"/>
          <w:spacing w:val="-20"/>
          <w:w w:val="105"/>
        </w:rPr>
        <w:t> </w:t>
      </w:r>
      <w:r>
        <w:rPr>
          <w:color w:val="231F20"/>
          <w:w w:val="105"/>
        </w:rPr>
        <w:t>la</w:t>
      </w:r>
      <w:r>
        <w:rPr>
          <w:color w:val="231F20"/>
          <w:spacing w:val="-15"/>
          <w:w w:val="105"/>
        </w:rPr>
        <w:t> </w:t>
      </w:r>
      <w:r>
        <w:rPr>
          <w:color w:val="231F20"/>
          <w:w w:val="105"/>
        </w:rPr>
        <w:t>reactivación de</w:t>
      </w:r>
      <w:r>
        <w:rPr>
          <w:color w:val="231F20"/>
          <w:spacing w:val="-10"/>
          <w:w w:val="105"/>
        </w:rPr>
        <w:t> </w:t>
      </w:r>
      <w:r>
        <w:rPr>
          <w:color w:val="231F20"/>
          <w:w w:val="105"/>
        </w:rPr>
        <w:t>la</w:t>
      </w:r>
      <w:r>
        <w:rPr>
          <w:color w:val="231F20"/>
          <w:spacing w:val="-10"/>
          <w:w w:val="105"/>
        </w:rPr>
        <w:t> </w:t>
      </w:r>
      <w:r>
        <w:rPr>
          <w:color w:val="231F20"/>
          <w:w w:val="105"/>
        </w:rPr>
        <w:t>agricultura</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impulso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inversión</w:t>
      </w:r>
      <w:r>
        <w:rPr>
          <w:color w:val="231F20"/>
          <w:spacing w:val="-10"/>
          <w:w w:val="105"/>
        </w:rPr>
        <w:t> </w:t>
      </w:r>
      <w:r>
        <w:rPr>
          <w:color w:val="231F20"/>
          <w:w w:val="105"/>
        </w:rPr>
        <w:t>industrial</w:t>
      </w:r>
      <w:r>
        <w:rPr>
          <w:color w:val="231F20"/>
          <w:spacing w:val="-10"/>
          <w:w w:val="105"/>
        </w:rPr>
        <w:t> </w:t>
      </w:r>
      <w:r>
        <w:rPr>
          <w:color w:val="231F20"/>
          <w:w w:val="105"/>
        </w:rPr>
        <w:t>(Bazán;</w:t>
      </w:r>
      <w:r>
        <w:rPr>
          <w:color w:val="231F20"/>
          <w:spacing w:val="-10"/>
          <w:w w:val="105"/>
        </w:rPr>
        <w:t> </w:t>
      </w:r>
      <w:r>
        <w:rPr>
          <w:color w:val="231F20"/>
          <w:w w:val="105"/>
        </w:rPr>
        <w:t>1999:40), de</w:t>
      </w:r>
      <w:r>
        <w:rPr>
          <w:color w:val="231F20"/>
          <w:spacing w:val="-6"/>
          <w:w w:val="105"/>
        </w:rPr>
        <w:t> </w:t>
      </w:r>
      <w:r>
        <w:rPr>
          <w:color w:val="231F20"/>
          <w:w w:val="105"/>
        </w:rPr>
        <w:t>esta</w:t>
      </w:r>
      <w:r>
        <w:rPr>
          <w:color w:val="231F20"/>
          <w:spacing w:val="-6"/>
          <w:w w:val="105"/>
        </w:rPr>
        <w:t> </w:t>
      </w:r>
      <w:r>
        <w:rPr>
          <w:color w:val="231F20"/>
          <w:w w:val="105"/>
        </w:rPr>
        <w:t>manera,</w:t>
      </w:r>
      <w:r>
        <w:rPr>
          <w:color w:val="231F20"/>
          <w:spacing w:val="-12"/>
          <w:w w:val="105"/>
        </w:rPr>
        <w:t> </w:t>
      </w:r>
      <w:r>
        <w:rPr>
          <w:color w:val="231F20"/>
          <w:w w:val="105"/>
        </w:rPr>
        <w:t>al</w:t>
      </w:r>
      <w:r>
        <w:rPr>
          <w:color w:val="231F20"/>
          <w:spacing w:val="-6"/>
          <w:w w:val="105"/>
        </w:rPr>
        <w:t> </w:t>
      </w:r>
      <w:r>
        <w:rPr>
          <w:color w:val="231F20"/>
          <w:w w:val="105"/>
        </w:rPr>
        <w:t>basarse</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exportación</w:t>
      </w:r>
      <w:r>
        <w:rPr>
          <w:color w:val="231F20"/>
          <w:spacing w:val="-6"/>
          <w:w w:val="105"/>
        </w:rPr>
        <w:t> </w:t>
      </w:r>
      <w:r>
        <w:rPr>
          <w:color w:val="231F20"/>
          <w:w w:val="105"/>
        </w:rPr>
        <w:t>de</w:t>
      </w:r>
      <w:r>
        <w:rPr>
          <w:color w:val="231F20"/>
          <w:spacing w:val="-6"/>
          <w:w w:val="105"/>
        </w:rPr>
        <w:t> </w:t>
      </w:r>
      <w:r>
        <w:rPr>
          <w:color w:val="231F20"/>
          <w:w w:val="105"/>
        </w:rPr>
        <w:t>productos</w:t>
      </w:r>
      <w:r>
        <w:rPr>
          <w:color w:val="231F20"/>
          <w:spacing w:val="-6"/>
          <w:w w:val="105"/>
        </w:rPr>
        <w:t> </w:t>
      </w:r>
      <w:r>
        <w:rPr>
          <w:color w:val="231F20"/>
          <w:w w:val="105"/>
        </w:rPr>
        <w:t>primarios,</w:t>
      </w:r>
      <w:r>
        <w:rPr>
          <w:color w:val="231F20"/>
          <w:spacing w:val="-12"/>
          <w:w w:val="105"/>
        </w:rPr>
        <w:t> </w:t>
      </w:r>
      <w:r>
        <w:rPr>
          <w:color w:val="231F20"/>
          <w:w w:val="105"/>
        </w:rPr>
        <w:t>la Crisis</w:t>
      </w:r>
      <w:r>
        <w:rPr>
          <w:color w:val="231F20"/>
          <w:spacing w:val="-6"/>
          <w:w w:val="105"/>
        </w:rPr>
        <w:t> </w:t>
      </w:r>
      <w:r>
        <w:rPr>
          <w:color w:val="231F20"/>
          <w:w w:val="105"/>
        </w:rPr>
        <w:t>del</w:t>
      </w:r>
      <w:r>
        <w:rPr>
          <w:color w:val="231F20"/>
          <w:spacing w:val="-6"/>
          <w:w w:val="105"/>
        </w:rPr>
        <w:t> </w:t>
      </w:r>
      <w:r>
        <w:rPr>
          <w:color w:val="231F20"/>
          <w:w w:val="105"/>
        </w:rPr>
        <w:t>29</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países</w:t>
      </w:r>
      <w:r>
        <w:rPr>
          <w:color w:val="231F20"/>
          <w:spacing w:val="-6"/>
          <w:w w:val="105"/>
        </w:rPr>
        <w:t> </w:t>
      </w:r>
      <w:r>
        <w:rPr>
          <w:color w:val="231F20"/>
          <w:w w:val="105"/>
        </w:rPr>
        <w:t>centrales</w:t>
      </w:r>
      <w:r>
        <w:rPr>
          <w:color w:val="231F20"/>
          <w:spacing w:val="-6"/>
          <w:w w:val="105"/>
        </w:rPr>
        <w:t> </w:t>
      </w:r>
      <w:r>
        <w:rPr>
          <w:color w:val="231F20"/>
          <w:w w:val="105"/>
        </w:rPr>
        <w:t>(provocada</w:t>
      </w:r>
      <w:r>
        <w:rPr>
          <w:color w:val="231F20"/>
          <w:spacing w:val="-6"/>
          <w:w w:val="105"/>
        </w:rPr>
        <w:t> </w:t>
      </w:r>
      <w:r>
        <w:rPr>
          <w:color w:val="231F20"/>
          <w:w w:val="105"/>
        </w:rPr>
        <w:t>por</w:t>
      </w:r>
      <w:r>
        <w:rPr>
          <w:color w:val="231F20"/>
          <w:spacing w:val="-6"/>
          <w:w w:val="105"/>
        </w:rPr>
        <w:t> </w:t>
      </w:r>
      <w:r>
        <w:rPr>
          <w:color w:val="231F20"/>
          <w:w w:val="105"/>
        </w:rPr>
        <w:t>la</w:t>
      </w:r>
      <w:r>
        <w:rPr>
          <w:color w:val="231F20"/>
          <w:spacing w:val="-6"/>
          <w:w w:val="105"/>
        </w:rPr>
        <w:t> </w:t>
      </w:r>
      <w:r>
        <w:rPr>
          <w:color w:val="231F20"/>
          <w:w w:val="105"/>
        </w:rPr>
        <w:t>sobreproducción y los límites del mercado de los bienes de consumo duradero como</w:t>
      </w:r>
      <w:r>
        <w:rPr>
          <w:color w:val="231F20"/>
          <w:spacing w:val="-30"/>
          <w:w w:val="105"/>
        </w:rPr>
        <w:t> </w:t>
      </w:r>
      <w:r>
        <w:rPr>
          <w:color w:val="231F20"/>
          <w:w w:val="105"/>
        </w:rPr>
        <w:t>au- tomóviles</w:t>
      </w:r>
      <w:r>
        <w:rPr>
          <w:color w:val="231F20"/>
          <w:spacing w:val="-14"/>
          <w:w w:val="105"/>
        </w:rPr>
        <w:t> </w:t>
      </w:r>
      <w:r>
        <w:rPr>
          <w:color w:val="231F20"/>
          <w:w w:val="105"/>
        </w:rPr>
        <w:t>y</w:t>
      </w:r>
      <w:r>
        <w:rPr>
          <w:color w:val="231F20"/>
          <w:spacing w:val="-14"/>
          <w:w w:val="105"/>
        </w:rPr>
        <w:t> </w:t>
      </w:r>
      <w:r>
        <w:rPr>
          <w:color w:val="231F20"/>
          <w:w w:val="105"/>
        </w:rPr>
        <w:t>electrodomésticos)</w:t>
      </w:r>
      <w:r>
        <w:rPr>
          <w:color w:val="231F20"/>
          <w:spacing w:val="-14"/>
          <w:w w:val="105"/>
        </w:rPr>
        <w:t> </w:t>
      </w:r>
      <w:r>
        <w:rPr>
          <w:color w:val="231F20"/>
          <w:w w:val="105"/>
        </w:rPr>
        <w:t>tuvo</w:t>
      </w:r>
      <w:r>
        <w:rPr>
          <w:color w:val="231F20"/>
          <w:spacing w:val="-14"/>
          <w:w w:val="105"/>
        </w:rPr>
        <w:t> </w:t>
      </w:r>
      <w:r>
        <w:rPr>
          <w:color w:val="231F20"/>
          <w:w w:val="105"/>
        </w:rPr>
        <w:t>repercusiones</w:t>
      </w:r>
      <w:r>
        <w:rPr>
          <w:color w:val="231F20"/>
          <w:spacing w:val="-14"/>
          <w:w w:val="105"/>
        </w:rPr>
        <w:t> </w:t>
      </w:r>
      <w:r>
        <w:rPr>
          <w:color w:val="231F20"/>
          <w:w w:val="105"/>
        </w:rPr>
        <w:t>en</w:t>
      </w:r>
      <w:r>
        <w:rPr>
          <w:color w:val="231F20"/>
          <w:spacing w:val="-14"/>
          <w:w w:val="105"/>
        </w:rPr>
        <w:t> </w:t>
      </w:r>
      <w:r>
        <w:rPr>
          <w:color w:val="231F20"/>
          <w:w w:val="105"/>
        </w:rPr>
        <w:t>países</w:t>
      </w:r>
      <w:r>
        <w:rPr>
          <w:color w:val="231F20"/>
          <w:spacing w:val="-14"/>
          <w:w w:val="105"/>
        </w:rPr>
        <w:t> </w:t>
      </w:r>
      <w:r>
        <w:rPr>
          <w:color w:val="231F20"/>
          <w:w w:val="105"/>
        </w:rPr>
        <w:t>periféricos como</w:t>
      </w:r>
      <w:r>
        <w:rPr>
          <w:color w:val="231F20"/>
          <w:spacing w:val="-35"/>
          <w:w w:val="105"/>
        </w:rPr>
        <w:t> </w:t>
      </w:r>
      <w:r>
        <w:rPr>
          <w:color w:val="231F20"/>
          <w:w w:val="105"/>
        </w:rPr>
        <w:t>México</w:t>
      </w:r>
      <w:r>
        <w:rPr>
          <w:color w:val="231F20"/>
          <w:spacing w:val="-35"/>
          <w:w w:val="105"/>
        </w:rPr>
        <w:t> </w:t>
      </w:r>
      <w:r>
        <w:rPr>
          <w:color w:val="231F20"/>
          <w:w w:val="105"/>
        </w:rPr>
        <w:t>(Estrada,1996:</w:t>
      </w:r>
      <w:r>
        <w:rPr>
          <w:color w:val="231F20"/>
          <w:spacing w:val="-35"/>
          <w:w w:val="105"/>
        </w:rPr>
        <w:t> </w:t>
      </w:r>
      <w:r>
        <w:rPr>
          <w:color w:val="231F20"/>
          <w:w w:val="105"/>
        </w:rPr>
        <w:t>49).</w:t>
      </w:r>
    </w:p>
    <w:p>
      <w:pPr>
        <w:pStyle w:val="BodyText"/>
        <w:spacing w:line="261" w:lineRule="auto" w:before="1"/>
        <w:ind w:left="1837" w:right="1721" w:firstLine="567"/>
        <w:jc w:val="both"/>
      </w:pPr>
      <w:r>
        <w:rPr/>
        <w:pict>
          <v:line style="position:absolute;mso-position-horizontal-relative:page;mso-position-vertical-relative:paragraph;z-index:-452080" from="15pt,142.445892pt" to="0pt,142.445892pt" stroked="true" strokeweight=".25pt" strokecolor="#000000">
            <w10:wrap type="none"/>
          </v:line>
        </w:pict>
      </w:r>
      <w:r>
        <w:rPr/>
        <w:pict>
          <v:line style="position:absolute;mso-position-horizontal-relative:page;mso-position-vertical-relative:paragraph;z-index:38128" from="508.890015pt,142.445892pt" to="523.890015pt,142.445892pt" stroked="true" strokeweight=".25pt" strokecolor="#000000">
            <w10:wrap type="none"/>
          </v:line>
        </w:pict>
      </w:r>
      <w:r>
        <w:rPr>
          <w:color w:val="231F20"/>
          <w:spacing w:val="-4"/>
          <w:w w:val="105"/>
        </w:rPr>
        <w:t>Para </w:t>
      </w:r>
      <w:r>
        <w:rPr>
          <w:color w:val="231F20"/>
          <w:w w:val="105"/>
        </w:rPr>
        <w:t>1933 la inversión en la industria y el volumen de productos llegó</w:t>
      </w:r>
      <w:r>
        <w:rPr>
          <w:color w:val="231F20"/>
          <w:spacing w:val="-15"/>
          <w:w w:val="105"/>
        </w:rPr>
        <w:t> </w:t>
      </w:r>
      <w:r>
        <w:rPr>
          <w:color w:val="231F20"/>
          <w:w w:val="105"/>
        </w:rPr>
        <w:t>a</w:t>
      </w:r>
      <w:r>
        <w:rPr>
          <w:color w:val="231F20"/>
          <w:spacing w:val="-15"/>
          <w:w w:val="105"/>
        </w:rPr>
        <w:t> </w:t>
      </w:r>
      <w:r>
        <w:rPr>
          <w:color w:val="231F20"/>
          <w:w w:val="105"/>
        </w:rPr>
        <w:t>su</w:t>
      </w:r>
      <w:r>
        <w:rPr>
          <w:color w:val="231F20"/>
          <w:spacing w:val="-15"/>
          <w:w w:val="105"/>
        </w:rPr>
        <w:t> </w:t>
      </w:r>
      <w:r>
        <w:rPr>
          <w:color w:val="231F20"/>
          <w:w w:val="105"/>
        </w:rPr>
        <w:t>punto</w:t>
      </w:r>
      <w:r>
        <w:rPr>
          <w:color w:val="231F20"/>
          <w:spacing w:val="-15"/>
          <w:w w:val="105"/>
        </w:rPr>
        <w:t> </w:t>
      </w:r>
      <w:r>
        <w:rPr>
          <w:color w:val="231F20"/>
          <w:w w:val="105"/>
        </w:rPr>
        <w:t>más</w:t>
      </w:r>
      <w:r>
        <w:rPr>
          <w:color w:val="231F20"/>
          <w:spacing w:val="-15"/>
          <w:w w:val="105"/>
        </w:rPr>
        <w:t> </w:t>
      </w:r>
      <w:r>
        <w:rPr>
          <w:color w:val="231F20"/>
          <w:w w:val="105"/>
        </w:rPr>
        <w:t>bajo.</w:t>
      </w:r>
      <w:r>
        <w:rPr>
          <w:color w:val="231F20"/>
          <w:spacing w:val="-20"/>
          <w:w w:val="105"/>
        </w:rPr>
        <w:t> </w:t>
      </w:r>
      <w:r>
        <w:rPr>
          <w:color w:val="231F20"/>
          <w:w w:val="105"/>
        </w:rPr>
        <w:t>Es</w:t>
      </w:r>
      <w:r>
        <w:rPr>
          <w:color w:val="231F20"/>
          <w:spacing w:val="-15"/>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mismo</w:t>
      </w:r>
      <w:r>
        <w:rPr>
          <w:color w:val="231F20"/>
          <w:spacing w:val="-15"/>
          <w:w w:val="105"/>
        </w:rPr>
        <w:t> </w:t>
      </w:r>
      <w:r>
        <w:rPr>
          <w:color w:val="231F20"/>
          <w:w w:val="105"/>
        </w:rPr>
        <w:t>año</w:t>
      </w:r>
      <w:r>
        <w:rPr>
          <w:color w:val="231F20"/>
          <w:spacing w:val="-15"/>
          <w:w w:val="105"/>
        </w:rPr>
        <w:t> </w:t>
      </w:r>
      <w:r>
        <w:rPr>
          <w:color w:val="231F20"/>
          <w:w w:val="105"/>
        </w:rPr>
        <w:t>empezó</w:t>
      </w:r>
      <w:r>
        <w:rPr>
          <w:color w:val="231F20"/>
          <w:spacing w:val="-15"/>
          <w:w w:val="105"/>
        </w:rPr>
        <w:t> </w:t>
      </w:r>
      <w:r>
        <w:rPr>
          <w:color w:val="231F20"/>
          <w:w w:val="105"/>
        </w:rPr>
        <w:t>la</w:t>
      </w:r>
      <w:r>
        <w:rPr>
          <w:color w:val="231F20"/>
          <w:spacing w:val="-15"/>
          <w:w w:val="105"/>
        </w:rPr>
        <w:t> </w:t>
      </w:r>
      <w:r>
        <w:rPr>
          <w:color w:val="231F20"/>
          <w:w w:val="105"/>
        </w:rPr>
        <w:t>reactivación de</w:t>
      </w:r>
      <w:r>
        <w:rPr>
          <w:color w:val="231F20"/>
          <w:spacing w:val="-16"/>
          <w:w w:val="105"/>
        </w:rPr>
        <w:t> </w:t>
      </w:r>
      <w:r>
        <w:rPr>
          <w:color w:val="231F20"/>
          <w:w w:val="105"/>
        </w:rPr>
        <w:t>la</w:t>
      </w:r>
      <w:r>
        <w:rPr>
          <w:color w:val="231F20"/>
          <w:spacing w:val="-16"/>
          <w:w w:val="105"/>
        </w:rPr>
        <w:t> </w:t>
      </w:r>
      <w:r>
        <w:rPr>
          <w:color w:val="231F20"/>
          <w:w w:val="105"/>
        </w:rPr>
        <w:t>actividad</w:t>
      </w:r>
      <w:r>
        <w:rPr>
          <w:color w:val="231F20"/>
          <w:spacing w:val="-16"/>
          <w:w w:val="105"/>
        </w:rPr>
        <w:t> </w:t>
      </w:r>
      <w:r>
        <w:rPr>
          <w:color w:val="231F20"/>
          <w:w w:val="105"/>
        </w:rPr>
        <w:t>económica</w:t>
      </w:r>
      <w:r>
        <w:rPr>
          <w:color w:val="231F20"/>
          <w:spacing w:val="-16"/>
          <w:w w:val="105"/>
        </w:rPr>
        <w:t> </w:t>
      </w:r>
      <w:r>
        <w:rPr>
          <w:color w:val="231F20"/>
          <w:w w:val="105"/>
        </w:rPr>
        <w:t>en</w:t>
      </w:r>
      <w:r>
        <w:rPr>
          <w:color w:val="231F20"/>
          <w:spacing w:val="-16"/>
          <w:w w:val="105"/>
        </w:rPr>
        <w:t> </w:t>
      </w:r>
      <w:r>
        <w:rPr>
          <w:color w:val="231F20"/>
          <w:w w:val="105"/>
        </w:rPr>
        <w:t>México.</w:t>
      </w:r>
      <w:r>
        <w:rPr>
          <w:color w:val="231F20"/>
          <w:spacing w:val="-21"/>
          <w:w w:val="105"/>
        </w:rPr>
        <w:t> </w:t>
      </w:r>
      <w:r>
        <w:rPr>
          <w:color w:val="231F20"/>
          <w:w w:val="105"/>
        </w:rPr>
        <w:t>Esta</w:t>
      </w:r>
      <w:r>
        <w:rPr>
          <w:color w:val="231F20"/>
          <w:spacing w:val="-16"/>
          <w:w w:val="105"/>
        </w:rPr>
        <w:t> </w:t>
      </w:r>
      <w:r>
        <w:rPr>
          <w:color w:val="231F20"/>
          <w:w w:val="105"/>
        </w:rPr>
        <w:t>década</w:t>
      </w:r>
      <w:r>
        <w:rPr>
          <w:color w:val="231F20"/>
          <w:spacing w:val="-16"/>
          <w:w w:val="105"/>
        </w:rPr>
        <w:t> </w:t>
      </w:r>
      <w:r>
        <w:rPr>
          <w:color w:val="231F20"/>
          <w:w w:val="105"/>
        </w:rPr>
        <w:t>se</w:t>
      </w:r>
      <w:r>
        <w:rPr>
          <w:color w:val="231F20"/>
          <w:spacing w:val="-16"/>
          <w:w w:val="105"/>
        </w:rPr>
        <w:t> </w:t>
      </w:r>
      <w:r>
        <w:rPr>
          <w:color w:val="231F20"/>
          <w:w w:val="105"/>
        </w:rPr>
        <w:t>caracteriza</w:t>
      </w:r>
      <w:r>
        <w:rPr>
          <w:color w:val="231F20"/>
          <w:spacing w:val="-16"/>
          <w:w w:val="105"/>
        </w:rPr>
        <w:t> </w:t>
      </w:r>
      <w:r>
        <w:rPr>
          <w:color w:val="231F20"/>
          <w:w w:val="105"/>
        </w:rPr>
        <w:t>por</w:t>
      </w:r>
      <w:r>
        <w:rPr>
          <w:color w:val="231F20"/>
          <w:spacing w:val="-16"/>
          <w:w w:val="105"/>
        </w:rPr>
        <w:t> </w:t>
      </w:r>
      <w:r>
        <w:rPr>
          <w:color w:val="231F20"/>
          <w:w w:val="105"/>
        </w:rPr>
        <w:t>las principales pautas del cardenismo: una política de nacionalismo</w:t>
      </w:r>
      <w:r>
        <w:rPr>
          <w:color w:val="231F20"/>
          <w:spacing w:val="-40"/>
          <w:w w:val="105"/>
        </w:rPr>
        <w:t> </w:t>
      </w:r>
      <w:r>
        <w:rPr>
          <w:color w:val="231F20"/>
          <w:w w:val="105"/>
        </w:rPr>
        <w:t>econó- mico</w:t>
      </w:r>
      <w:r>
        <w:rPr>
          <w:color w:val="231F20"/>
          <w:spacing w:val="-15"/>
          <w:w w:val="105"/>
        </w:rPr>
        <w:t> </w:t>
      </w:r>
      <w:r>
        <w:rPr>
          <w:color w:val="231F20"/>
          <w:w w:val="105"/>
        </w:rPr>
        <w:t>que</w:t>
      </w:r>
      <w:r>
        <w:rPr>
          <w:color w:val="231F20"/>
          <w:spacing w:val="-15"/>
          <w:w w:val="105"/>
        </w:rPr>
        <w:t> </w:t>
      </w:r>
      <w:r>
        <w:rPr>
          <w:color w:val="231F20"/>
          <w:w w:val="105"/>
        </w:rPr>
        <w:t>antepone</w:t>
      </w:r>
      <w:r>
        <w:rPr>
          <w:color w:val="231F20"/>
          <w:spacing w:val="-15"/>
          <w:w w:val="105"/>
        </w:rPr>
        <w:t> </w:t>
      </w:r>
      <w:r>
        <w:rPr>
          <w:color w:val="231F20"/>
          <w:w w:val="105"/>
        </w:rPr>
        <w:t>los</w:t>
      </w:r>
      <w:r>
        <w:rPr>
          <w:color w:val="231F20"/>
          <w:spacing w:val="-15"/>
          <w:w w:val="105"/>
        </w:rPr>
        <w:t> </w:t>
      </w:r>
      <w:r>
        <w:rPr>
          <w:color w:val="231F20"/>
          <w:w w:val="105"/>
        </w:rPr>
        <w:t>recursos</w:t>
      </w:r>
      <w:r>
        <w:rPr>
          <w:color w:val="231F20"/>
          <w:spacing w:val="-15"/>
          <w:w w:val="105"/>
        </w:rPr>
        <w:t> </w:t>
      </w:r>
      <w:r>
        <w:rPr>
          <w:color w:val="231F20"/>
          <w:w w:val="105"/>
        </w:rPr>
        <w:t>naturales</w:t>
      </w:r>
      <w:r>
        <w:rPr>
          <w:color w:val="231F20"/>
          <w:spacing w:val="-15"/>
          <w:w w:val="105"/>
        </w:rPr>
        <w:t> </w:t>
      </w:r>
      <w:r>
        <w:rPr>
          <w:color w:val="231F20"/>
          <w:w w:val="105"/>
        </w:rPr>
        <w:t>del</w:t>
      </w:r>
      <w:r>
        <w:rPr>
          <w:color w:val="231F20"/>
          <w:spacing w:val="-15"/>
          <w:w w:val="105"/>
        </w:rPr>
        <w:t> </w:t>
      </w:r>
      <w:r>
        <w:rPr>
          <w:color w:val="231F20"/>
          <w:w w:val="105"/>
        </w:rPr>
        <w:t>país</w:t>
      </w:r>
      <w:r>
        <w:rPr>
          <w:color w:val="231F20"/>
          <w:spacing w:val="-15"/>
          <w:w w:val="105"/>
        </w:rPr>
        <w:t> </w:t>
      </w:r>
      <w:r>
        <w:rPr>
          <w:color w:val="231F20"/>
          <w:w w:val="105"/>
        </w:rPr>
        <w:t>y</w:t>
      </w:r>
      <w:r>
        <w:rPr>
          <w:color w:val="231F20"/>
          <w:spacing w:val="-15"/>
          <w:w w:val="105"/>
        </w:rPr>
        <w:t> </w:t>
      </w:r>
      <w:r>
        <w:rPr>
          <w:color w:val="231F20"/>
          <w:w w:val="105"/>
        </w:rPr>
        <w:t>rompe</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mode-</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9"/>
        <w:jc w:val="both"/>
      </w:pPr>
      <w:r>
        <w:rPr/>
        <w:pict>
          <v:line style="position:absolute;mso-position-horizontal-relative:page;mso-position-vertical-relative:paragraph;z-index:38176" from="15pt,-71.68644pt" to="0pt,-71.68644pt" stroked="true" strokeweight=".25pt" strokecolor="#000000">
            <w10:wrap type="none"/>
          </v:line>
        </w:pict>
      </w:r>
      <w:r>
        <w:rPr/>
        <w:pict>
          <v:line style="position:absolute;mso-position-horizontal-relative:page;mso-position-vertical-relative:paragraph;z-index:38200" from="508.890015pt,-71.68644pt" to="523.890015pt,-71.68644pt" stroked="true" strokeweight=".25pt" strokecolor="#000000">
            <w10:wrap type="none"/>
          </v:line>
        </w:pict>
      </w:r>
      <w:r>
        <w:rPr>
          <w:color w:val="231F20"/>
          <w:w w:val="105"/>
        </w:rPr>
        <w:t>lo</w:t>
      </w:r>
      <w:r>
        <w:rPr>
          <w:color w:val="231F20"/>
          <w:spacing w:val="-17"/>
          <w:w w:val="105"/>
        </w:rPr>
        <w:t> </w:t>
      </w:r>
      <w:r>
        <w:rPr>
          <w:color w:val="231F20"/>
          <w:w w:val="105"/>
        </w:rPr>
        <w:t>de</w:t>
      </w:r>
      <w:r>
        <w:rPr>
          <w:color w:val="231F20"/>
          <w:spacing w:val="-17"/>
          <w:w w:val="105"/>
        </w:rPr>
        <w:t> </w:t>
      </w:r>
      <w:r>
        <w:rPr>
          <w:color w:val="231F20"/>
          <w:w w:val="105"/>
        </w:rPr>
        <w:t>exportación</w:t>
      </w:r>
      <w:r>
        <w:rPr>
          <w:color w:val="231F20"/>
          <w:spacing w:val="-17"/>
          <w:w w:val="105"/>
        </w:rPr>
        <w:t> </w:t>
      </w:r>
      <w:r>
        <w:rPr>
          <w:color w:val="231F20"/>
          <w:w w:val="105"/>
        </w:rPr>
        <w:t>primaria</w:t>
      </w:r>
      <w:r>
        <w:rPr>
          <w:color w:val="231F20"/>
          <w:spacing w:val="-17"/>
          <w:w w:val="105"/>
        </w:rPr>
        <w:t> </w:t>
      </w:r>
      <w:r>
        <w:rPr>
          <w:color w:val="231F20"/>
          <w:w w:val="105"/>
        </w:rPr>
        <w:t>que</w:t>
      </w:r>
      <w:r>
        <w:rPr>
          <w:color w:val="231F20"/>
          <w:spacing w:val="-17"/>
          <w:w w:val="105"/>
        </w:rPr>
        <w:t> </w:t>
      </w:r>
      <w:r>
        <w:rPr>
          <w:color w:val="231F20"/>
          <w:w w:val="105"/>
        </w:rPr>
        <w:t>le</w:t>
      </w:r>
      <w:r>
        <w:rPr>
          <w:color w:val="231F20"/>
          <w:spacing w:val="-17"/>
          <w:w w:val="105"/>
        </w:rPr>
        <w:t> </w:t>
      </w:r>
      <w:r>
        <w:rPr>
          <w:color w:val="231F20"/>
          <w:w w:val="105"/>
        </w:rPr>
        <w:t>precedió.</w:t>
      </w:r>
      <w:r>
        <w:rPr>
          <w:color w:val="231F20"/>
          <w:spacing w:val="-24"/>
          <w:w w:val="105"/>
        </w:rPr>
        <w:t> </w:t>
      </w:r>
      <w:r>
        <w:rPr>
          <w:color w:val="231F20"/>
          <w:w w:val="105"/>
        </w:rPr>
        <w:t>La</w:t>
      </w:r>
      <w:r>
        <w:rPr>
          <w:color w:val="231F20"/>
          <w:spacing w:val="-17"/>
          <w:w w:val="105"/>
        </w:rPr>
        <w:t> </w:t>
      </w:r>
      <w:r>
        <w:rPr>
          <w:color w:val="231F20"/>
          <w:w w:val="105"/>
        </w:rPr>
        <w:t>creación</w:t>
      </w:r>
      <w:r>
        <w:rPr>
          <w:color w:val="231F20"/>
          <w:spacing w:val="-17"/>
          <w:w w:val="105"/>
        </w:rPr>
        <w:t> </w:t>
      </w:r>
      <w:r>
        <w:rPr>
          <w:color w:val="231F20"/>
          <w:w w:val="105"/>
        </w:rPr>
        <w:t>de</w:t>
      </w:r>
      <w:r>
        <w:rPr>
          <w:color w:val="231F20"/>
          <w:spacing w:val="-17"/>
          <w:w w:val="105"/>
        </w:rPr>
        <w:t> </w:t>
      </w:r>
      <w:r>
        <w:rPr>
          <w:color w:val="231F20"/>
          <w:w w:val="105"/>
        </w:rPr>
        <w:t>diferentes</w:t>
      </w:r>
      <w:r>
        <w:rPr>
          <w:color w:val="231F20"/>
          <w:spacing w:val="-17"/>
          <w:w w:val="105"/>
        </w:rPr>
        <w:t> </w:t>
      </w:r>
      <w:r>
        <w:rPr>
          <w:color w:val="231F20"/>
          <w:w w:val="105"/>
        </w:rPr>
        <w:t>ins- tituciones</w:t>
      </w:r>
      <w:r>
        <w:rPr>
          <w:color w:val="231F20"/>
          <w:spacing w:val="-16"/>
          <w:w w:val="105"/>
        </w:rPr>
        <w:t> </w:t>
      </w:r>
      <w:r>
        <w:rPr>
          <w:color w:val="231F20"/>
          <w:w w:val="105"/>
        </w:rPr>
        <w:t>nacionales</w:t>
      </w:r>
      <w:r>
        <w:rPr>
          <w:color w:val="231F20"/>
          <w:spacing w:val="-16"/>
          <w:w w:val="105"/>
        </w:rPr>
        <w:t> </w:t>
      </w:r>
      <w:r>
        <w:rPr>
          <w:color w:val="231F20"/>
          <w:w w:val="105"/>
        </w:rPr>
        <w:t>fue</w:t>
      </w:r>
      <w:r>
        <w:rPr>
          <w:color w:val="231F20"/>
          <w:spacing w:val="-16"/>
          <w:w w:val="105"/>
        </w:rPr>
        <w:t> </w:t>
      </w:r>
      <w:r>
        <w:rPr>
          <w:color w:val="231F20"/>
          <w:w w:val="105"/>
        </w:rPr>
        <w:t>una</w:t>
      </w:r>
      <w:r>
        <w:rPr>
          <w:color w:val="231F20"/>
          <w:spacing w:val="-16"/>
          <w:w w:val="105"/>
        </w:rPr>
        <w:t> </w:t>
      </w:r>
      <w:r>
        <w:rPr>
          <w:color w:val="231F20"/>
          <w:w w:val="105"/>
        </w:rPr>
        <w:t>prioridad</w:t>
      </w:r>
      <w:r>
        <w:rPr>
          <w:color w:val="231F20"/>
          <w:spacing w:val="-16"/>
          <w:w w:val="105"/>
        </w:rPr>
        <w:t> </w:t>
      </w:r>
      <w:r>
        <w:rPr>
          <w:color w:val="231F20"/>
          <w:w w:val="105"/>
        </w:rPr>
        <w:t>del</w:t>
      </w:r>
      <w:r>
        <w:rPr>
          <w:color w:val="231F20"/>
          <w:spacing w:val="-16"/>
          <w:w w:val="105"/>
        </w:rPr>
        <w:t> </w:t>
      </w:r>
      <w:r>
        <w:rPr>
          <w:color w:val="231F20"/>
          <w:w w:val="105"/>
        </w:rPr>
        <w:t>cardenismo:</w:t>
      </w:r>
      <w:r>
        <w:rPr>
          <w:color w:val="231F20"/>
          <w:spacing w:val="-16"/>
          <w:w w:val="105"/>
        </w:rPr>
        <w:t> </w:t>
      </w:r>
      <w:r>
        <w:rPr>
          <w:color w:val="231F20"/>
          <w:w w:val="105"/>
        </w:rPr>
        <w:t>se</w:t>
      </w:r>
      <w:r>
        <w:rPr>
          <w:color w:val="231F20"/>
          <w:spacing w:val="-16"/>
          <w:w w:val="105"/>
        </w:rPr>
        <w:t> </w:t>
      </w:r>
      <w:r>
        <w:rPr>
          <w:color w:val="231F20"/>
          <w:w w:val="105"/>
        </w:rPr>
        <w:t>creó</w:t>
      </w:r>
      <w:r>
        <w:rPr>
          <w:color w:val="231F20"/>
          <w:spacing w:val="-16"/>
          <w:w w:val="105"/>
        </w:rPr>
        <w:t> </w:t>
      </w:r>
      <w:r>
        <w:rPr>
          <w:color w:val="231F20"/>
          <w:w w:val="105"/>
        </w:rPr>
        <w:t>el</w:t>
      </w:r>
      <w:r>
        <w:rPr>
          <w:color w:val="231F20"/>
          <w:spacing w:val="-16"/>
          <w:w w:val="105"/>
        </w:rPr>
        <w:t> </w:t>
      </w:r>
      <w:r>
        <w:rPr>
          <w:color w:val="231F20"/>
          <w:w w:val="105"/>
        </w:rPr>
        <w:t>Banco de</w:t>
      </w:r>
      <w:r>
        <w:rPr>
          <w:color w:val="231F20"/>
          <w:spacing w:val="-5"/>
          <w:w w:val="105"/>
        </w:rPr>
        <w:t> </w:t>
      </w:r>
      <w:r>
        <w:rPr>
          <w:color w:val="231F20"/>
          <w:w w:val="105"/>
        </w:rPr>
        <w:t>Desarrollo</w:t>
      </w:r>
      <w:r>
        <w:rPr>
          <w:color w:val="231F20"/>
          <w:spacing w:val="-5"/>
          <w:w w:val="105"/>
        </w:rPr>
        <w:t> </w:t>
      </w:r>
      <w:r>
        <w:rPr>
          <w:color w:val="231F20"/>
          <w:w w:val="105"/>
        </w:rPr>
        <w:t>Exterior</w:t>
      </w:r>
      <w:r>
        <w:rPr>
          <w:color w:val="231F20"/>
          <w:spacing w:val="-5"/>
          <w:w w:val="105"/>
        </w:rPr>
        <w:t> </w:t>
      </w:r>
      <w:r>
        <w:rPr>
          <w:color w:val="231F20"/>
          <w:w w:val="105"/>
        </w:rPr>
        <w:t>(Nacional</w:t>
      </w:r>
      <w:r>
        <w:rPr>
          <w:color w:val="231F20"/>
          <w:spacing w:val="-5"/>
          <w:w w:val="105"/>
        </w:rPr>
        <w:t> </w:t>
      </w:r>
      <w:r>
        <w:rPr>
          <w:color w:val="231F20"/>
          <w:w w:val="105"/>
        </w:rPr>
        <w:t>Financiera),</w:t>
      </w:r>
      <w:r>
        <w:rPr>
          <w:color w:val="231F20"/>
          <w:spacing w:val="-9"/>
          <w:w w:val="105"/>
        </w:rPr>
        <w:t> </w:t>
      </w:r>
      <w:r>
        <w:rPr>
          <w:color w:val="231F20"/>
          <w:w w:val="105"/>
        </w:rPr>
        <w:t>el</w:t>
      </w:r>
      <w:r>
        <w:rPr>
          <w:color w:val="231F20"/>
          <w:spacing w:val="-5"/>
          <w:w w:val="105"/>
        </w:rPr>
        <w:t> </w:t>
      </w:r>
      <w:r>
        <w:rPr>
          <w:color w:val="231F20"/>
          <w:w w:val="105"/>
        </w:rPr>
        <w:t>Banco</w:t>
      </w:r>
      <w:r>
        <w:rPr>
          <w:color w:val="231F20"/>
          <w:spacing w:val="-5"/>
          <w:w w:val="105"/>
        </w:rPr>
        <w:t> </w:t>
      </w:r>
      <w:r>
        <w:rPr>
          <w:color w:val="231F20"/>
          <w:w w:val="105"/>
        </w:rPr>
        <w:t>de</w:t>
      </w:r>
      <w:r>
        <w:rPr>
          <w:color w:val="231F20"/>
          <w:spacing w:val="-5"/>
          <w:w w:val="105"/>
        </w:rPr>
        <w:t> </w:t>
      </w:r>
      <w:r>
        <w:rPr>
          <w:color w:val="231F20"/>
          <w:w w:val="105"/>
        </w:rPr>
        <w:t>Comercio</w:t>
      </w:r>
      <w:r>
        <w:rPr>
          <w:color w:val="231F20"/>
          <w:spacing w:val="-5"/>
          <w:w w:val="105"/>
        </w:rPr>
        <w:t> </w:t>
      </w:r>
      <w:r>
        <w:rPr>
          <w:color w:val="231F20"/>
          <w:w w:val="105"/>
        </w:rPr>
        <w:t>Ex- terior y el de Crédito Agrícola, la Comisión Federal de Electricidad y se nacionalizó</w:t>
      </w:r>
      <w:r>
        <w:rPr>
          <w:color w:val="231F20"/>
          <w:spacing w:val="-17"/>
          <w:w w:val="105"/>
        </w:rPr>
        <w:t> </w:t>
      </w:r>
      <w:r>
        <w:rPr>
          <w:color w:val="231F20"/>
          <w:w w:val="105"/>
        </w:rPr>
        <w:t>la</w:t>
      </w:r>
      <w:r>
        <w:rPr>
          <w:color w:val="231F20"/>
          <w:spacing w:val="-17"/>
          <w:w w:val="105"/>
        </w:rPr>
        <w:t> </w:t>
      </w:r>
      <w:r>
        <w:rPr>
          <w:color w:val="231F20"/>
          <w:w w:val="105"/>
        </w:rPr>
        <w:t>industria</w:t>
      </w:r>
      <w:r>
        <w:rPr>
          <w:color w:val="231F20"/>
          <w:spacing w:val="-17"/>
          <w:w w:val="105"/>
        </w:rPr>
        <w:t> </w:t>
      </w:r>
      <w:r>
        <w:rPr>
          <w:color w:val="231F20"/>
          <w:w w:val="105"/>
        </w:rPr>
        <w:t>petrolera,</w:t>
      </w:r>
      <w:r>
        <w:rPr>
          <w:color w:val="231F20"/>
          <w:spacing w:val="-22"/>
          <w:w w:val="105"/>
        </w:rPr>
        <w:t> </w:t>
      </w:r>
      <w:r>
        <w:rPr>
          <w:color w:val="231F20"/>
          <w:w w:val="105"/>
        </w:rPr>
        <w:t>así</w:t>
      </w:r>
      <w:r>
        <w:rPr>
          <w:color w:val="231F20"/>
          <w:spacing w:val="-17"/>
          <w:w w:val="105"/>
        </w:rPr>
        <w:t> </w:t>
      </w:r>
      <w:r>
        <w:rPr>
          <w:color w:val="231F20"/>
          <w:w w:val="105"/>
        </w:rPr>
        <w:t>como</w:t>
      </w:r>
      <w:r>
        <w:rPr>
          <w:color w:val="231F20"/>
          <w:spacing w:val="-17"/>
          <w:w w:val="105"/>
        </w:rPr>
        <w:t> </w:t>
      </w:r>
      <w:r>
        <w:rPr>
          <w:color w:val="231F20"/>
          <w:w w:val="105"/>
        </w:rPr>
        <w:t>una</w:t>
      </w:r>
      <w:r>
        <w:rPr>
          <w:color w:val="231F20"/>
          <w:spacing w:val="-17"/>
          <w:w w:val="105"/>
        </w:rPr>
        <w:t> </w:t>
      </w:r>
      <w:r>
        <w:rPr>
          <w:color w:val="231F20"/>
          <w:w w:val="105"/>
        </w:rPr>
        <w:t>parte</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ferrocarriles. </w:t>
      </w:r>
      <w:r>
        <w:rPr>
          <w:color w:val="231F20"/>
          <w:spacing w:val="-6"/>
          <w:w w:val="105"/>
        </w:rPr>
        <w:t>Todo </w:t>
      </w:r>
      <w:r>
        <w:rPr>
          <w:color w:val="231F20"/>
          <w:w w:val="105"/>
        </w:rPr>
        <w:t>esto fue una manera de controlar estas ramas productivas, pero además constituyó la base para el proceso de industrialización del</w:t>
      </w:r>
      <w:r>
        <w:rPr>
          <w:color w:val="231F20"/>
          <w:spacing w:val="-24"/>
          <w:w w:val="105"/>
        </w:rPr>
        <w:t> </w:t>
      </w:r>
      <w:r>
        <w:rPr>
          <w:color w:val="231F20"/>
          <w:w w:val="105"/>
        </w:rPr>
        <w:t>país (Bazán,</w:t>
      </w:r>
      <w:r>
        <w:rPr>
          <w:color w:val="231F20"/>
          <w:spacing w:val="-37"/>
          <w:w w:val="105"/>
        </w:rPr>
        <w:t> </w:t>
      </w:r>
      <w:r>
        <w:rPr>
          <w:color w:val="231F20"/>
          <w:w w:val="105"/>
        </w:rPr>
        <w:t>1999:</w:t>
      </w:r>
      <w:r>
        <w:rPr>
          <w:color w:val="231F20"/>
          <w:spacing w:val="-33"/>
          <w:w w:val="105"/>
        </w:rPr>
        <w:t> </w:t>
      </w:r>
      <w:r>
        <w:rPr>
          <w:color w:val="231F20"/>
          <w:w w:val="105"/>
        </w:rPr>
        <w:t>41).</w:t>
      </w:r>
      <w:r>
        <w:rPr>
          <w:color w:val="231F20"/>
          <w:spacing w:val="-37"/>
          <w:w w:val="105"/>
        </w:rPr>
        <w:t> </w:t>
      </w:r>
      <w:r>
        <w:rPr>
          <w:color w:val="231F20"/>
          <w:w w:val="105"/>
        </w:rPr>
        <w:t>Los</w:t>
      </w:r>
      <w:r>
        <w:rPr>
          <w:color w:val="231F20"/>
          <w:spacing w:val="-33"/>
          <w:w w:val="105"/>
        </w:rPr>
        <w:t> </w:t>
      </w:r>
      <w:r>
        <w:rPr>
          <w:color w:val="231F20"/>
          <w:w w:val="105"/>
        </w:rPr>
        <w:t>mexicanos</w:t>
      </w:r>
      <w:r>
        <w:rPr>
          <w:color w:val="231F20"/>
          <w:spacing w:val="-33"/>
          <w:w w:val="105"/>
        </w:rPr>
        <w:t> </w:t>
      </w:r>
      <w:r>
        <w:rPr>
          <w:color w:val="231F20"/>
          <w:w w:val="105"/>
        </w:rPr>
        <w:t>no</w:t>
      </w:r>
      <w:r>
        <w:rPr>
          <w:color w:val="231F20"/>
          <w:spacing w:val="-33"/>
          <w:w w:val="105"/>
        </w:rPr>
        <w:t> </w:t>
      </w:r>
      <w:r>
        <w:rPr>
          <w:color w:val="231F20"/>
          <w:w w:val="105"/>
        </w:rPr>
        <w:t>sólo</w:t>
      </w:r>
      <w:r>
        <w:rPr>
          <w:color w:val="231F20"/>
          <w:spacing w:val="-33"/>
          <w:w w:val="105"/>
        </w:rPr>
        <w:t> </w:t>
      </w:r>
      <w:r>
        <w:rPr>
          <w:color w:val="231F20"/>
          <w:w w:val="105"/>
        </w:rPr>
        <w:t>desarrollaban</w:t>
      </w:r>
      <w:r>
        <w:rPr>
          <w:color w:val="231F20"/>
          <w:spacing w:val="-33"/>
          <w:w w:val="105"/>
        </w:rPr>
        <w:t> </w:t>
      </w:r>
      <w:r>
        <w:rPr>
          <w:color w:val="231F20"/>
          <w:w w:val="105"/>
        </w:rPr>
        <w:t>el</w:t>
      </w:r>
      <w:r>
        <w:rPr>
          <w:color w:val="231F20"/>
          <w:spacing w:val="-33"/>
          <w:w w:val="105"/>
        </w:rPr>
        <w:t> </w:t>
      </w:r>
      <w:r>
        <w:rPr>
          <w:color w:val="231F20"/>
          <w:w w:val="105"/>
        </w:rPr>
        <w:t>sector</w:t>
      </w:r>
      <w:r>
        <w:rPr>
          <w:color w:val="231F20"/>
          <w:spacing w:val="-33"/>
          <w:w w:val="105"/>
        </w:rPr>
        <w:t> </w:t>
      </w:r>
      <w:r>
        <w:rPr>
          <w:color w:val="231F20"/>
          <w:w w:val="105"/>
        </w:rPr>
        <w:t>primario sino</w:t>
      </w:r>
      <w:r>
        <w:rPr>
          <w:color w:val="231F20"/>
          <w:spacing w:val="-16"/>
          <w:w w:val="105"/>
        </w:rPr>
        <w:t> </w:t>
      </w:r>
      <w:r>
        <w:rPr>
          <w:color w:val="231F20"/>
          <w:w w:val="105"/>
        </w:rPr>
        <w:t>también</w:t>
      </w:r>
      <w:r>
        <w:rPr>
          <w:color w:val="231F20"/>
          <w:spacing w:val="-16"/>
          <w:w w:val="105"/>
        </w:rPr>
        <w:t> </w:t>
      </w:r>
      <w:r>
        <w:rPr>
          <w:color w:val="231F20"/>
          <w:w w:val="105"/>
        </w:rPr>
        <w:t>el</w:t>
      </w:r>
      <w:r>
        <w:rPr>
          <w:color w:val="231F20"/>
          <w:spacing w:val="-16"/>
          <w:w w:val="105"/>
        </w:rPr>
        <w:t> </w:t>
      </w:r>
      <w:r>
        <w:rPr>
          <w:color w:val="231F20"/>
          <w:w w:val="105"/>
        </w:rPr>
        <w:t>secundario,</w:t>
      </w:r>
      <w:r>
        <w:rPr>
          <w:color w:val="231F20"/>
          <w:spacing w:val="-21"/>
          <w:w w:val="105"/>
        </w:rPr>
        <w:t> </w:t>
      </w:r>
      <w:r>
        <w:rPr>
          <w:color w:val="231F20"/>
          <w:w w:val="105"/>
        </w:rPr>
        <w:t>el</w:t>
      </w:r>
      <w:r>
        <w:rPr>
          <w:color w:val="231F20"/>
          <w:spacing w:val="-16"/>
          <w:w w:val="105"/>
        </w:rPr>
        <w:t> </w:t>
      </w:r>
      <w:r>
        <w:rPr>
          <w:color w:val="231F20"/>
          <w:w w:val="105"/>
        </w:rPr>
        <w:t>campesino</w:t>
      </w:r>
      <w:r>
        <w:rPr>
          <w:color w:val="231F20"/>
          <w:spacing w:val="-16"/>
          <w:w w:val="105"/>
        </w:rPr>
        <w:t> </w:t>
      </w:r>
      <w:r>
        <w:rPr>
          <w:color w:val="231F20"/>
          <w:w w:val="105"/>
        </w:rPr>
        <w:t>se</w:t>
      </w:r>
      <w:r>
        <w:rPr>
          <w:color w:val="231F20"/>
          <w:spacing w:val="-16"/>
          <w:w w:val="105"/>
        </w:rPr>
        <w:t> </w:t>
      </w:r>
      <w:r>
        <w:rPr>
          <w:color w:val="231F20"/>
          <w:w w:val="105"/>
        </w:rPr>
        <w:t>volvía</w:t>
      </w:r>
      <w:r>
        <w:rPr>
          <w:color w:val="231F20"/>
          <w:spacing w:val="-16"/>
          <w:w w:val="105"/>
        </w:rPr>
        <w:t> </w:t>
      </w:r>
      <w:r>
        <w:rPr>
          <w:color w:val="231F20"/>
          <w:w w:val="105"/>
        </w:rPr>
        <w:t>obrero.</w:t>
      </w:r>
    </w:p>
    <w:p>
      <w:pPr>
        <w:pStyle w:val="BodyText"/>
        <w:spacing w:line="261" w:lineRule="auto" w:before="1"/>
        <w:ind w:left="1723" w:right="1834" w:firstLine="567"/>
        <w:jc w:val="both"/>
      </w:pPr>
      <w:r>
        <w:rPr>
          <w:color w:val="231F20"/>
          <w:w w:val="105"/>
        </w:rPr>
        <w:t>En</w:t>
      </w:r>
      <w:r>
        <w:rPr>
          <w:color w:val="231F20"/>
          <w:spacing w:val="-20"/>
          <w:w w:val="105"/>
        </w:rPr>
        <w:t> </w:t>
      </w:r>
      <w:r>
        <w:rPr>
          <w:color w:val="231F20"/>
          <w:w w:val="105"/>
        </w:rPr>
        <w:t>estas</w:t>
      </w:r>
      <w:r>
        <w:rPr>
          <w:color w:val="231F20"/>
          <w:spacing w:val="-20"/>
          <w:w w:val="105"/>
        </w:rPr>
        <w:t> </w:t>
      </w:r>
      <w:r>
        <w:rPr>
          <w:color w:val="231F20"/>
          <w:w w:val="105"/>
        </w:rPr>
        <w:t>décadas</w:t>
      </w:r>
      <w:r>
        <w:rPr>
          <w:color w:val="231F20"/>
          <w:spacing w:val="-20"/>
          <w:w w:val="105"/>
        </w:rPr>
        <w:t> </w:t>
      </w:r>
      <w:r>
        <w:rPr>
          <w:color w:val="231F20"/>
          <w:w w:val="105"/>
        </w:rPr>
        <w:t>aparecen</w:t>
      </w:r>
      <w:r>
        <w:rPr>
          <w:color w:val="231F20"/>
          <w:spacing w:val="-20"/>
          <w:w w:val="105"/>
        </w:rPr>
        <w:t> </w:t>
      </w:r>
      <w:r>
        <w:rPr>
          <w:color w:val="231F20"/>
          <w:w w:val="105"/>
        </w:rPr>
        <w:t>las</w:t>
      </w:r>
      <w:r>
        <w:rPr>
          <w:color w:val="231F20"/>
          <w:spacing w:val="-20"/>
          <w:w w:val="105"/>
        </w:rPr>
        <w:t> </w:t>
      </w:r>
      <w:r>
        <w:rPr>
          <w:color w:val="231F20"/>
          <w:w w:val="105"/>
        </w:rPr>
        <w:t>primeras</w:t>
      </w:r>
      <w:r>
        <w:rPr>
          <w:color w:val="231F20"/>
          <w:spacing w:val="-20"/>
          <w:w w:val="105"/>
        </w:rPr>
        <w:t> </w:t>
      </w:r>
      <w:r>
        <w:rPr>
          <w:color w:val="231F20"/>
          <w:w w:val="105"/>
        </w:rPr>
        <w:t>formulaciones</w:t>
      </w:r>
      <w:r>
        <w:rPr>
          <w:color w:val="231F20"/>
          <w:spacing w:val="-20"/>
          <w:w w:val="105"/>
        </w:rPr>
        <w:t> </w:t>
      </w:r>
      <w:r>
        <w:rPr>
          <w:color w:val="231F20"/>
          <w:w w:val="105"/>
        </w:rPr>
        <w:t>sobre</w:t>
      </w:r>
      <w:r>
        <w:rPr>
          <w:color w:val="231F20"/>
          <w:spacing w:val="-20"/>
          <w:w w:val="105"/>
        </w:rPr>
        <w:t> </w:t>
      </w:r>
      <w:r>
        <w:rPr>
          <w:color w:val="231F20"/>
          <w:w w:val="105"/>
        </w:rPr>
        <w:t>polí- ticas de población, lo cual pareció demostrar cómo la estructura demo- gráfica,</w:t>
      </w:r>
      <w:r>
        <w:rPr>
          <w:color w:val="231F20"/>
          <w:spacing w:val="-14"/>
          <w:w w:val="105"/>
        </w:rPr>
        <w:t> </w:t>
      </w:r>
      <w:r>
        <w:rPr>
          <w:color w:val="231F20"/>
          <w:w w:val="105"/>
        </w:rPr>
        <w:t>mayoritariamente</w:t>
      </w:r>
      <w:r>
        <w:rPr>
          <w:color w:val="231F20"/>
          <w:spacing w:val="-9"/>
          <w:w w:val="105"/>
        </w:rPr>
        <w:t> </w:t>
      </w:r>
      <w:r>
        <w:rPr>
          <w:color w:val="231F20"/>
          <w:w w:val="105"/>
        </w:rPr>
        <w:t>joven,</w:t>
      </w:r>
      <w:r>
        <w:rPr>
          <w:color w:val="231F20"/>
          <w:spacing w:val="-14"/>
          <w:w w:val="105"/>
        </w:rPr>
        <w:t> </w:t>
      </w:r>
      <w:r>
        <w:rPr>
          <w:color w:val="231F20"/>
          <w:w w:val="105"/>
        </w:rPr>
        <w:t>significaba</w:t>
      </w:r>
      <w:r>
        <w:rPr>
          <w:color w:val="231F20"/>
          <w:spacing w:val="-9"/>
          <w:w w:val="105"/>
        </w:rPr>
        <w:t> </w:t>
      </w:r>
      <w:r>
        <w:rPr>
          <w:color w:val="231F20"/>
          <w:w w:val="105"/>
        </w:rPr>
        <w:t>un</w:t>
      </w:r>
      <w:r>
        <w:rPr>
          <w:color w:val="231F20"/>
          <w:spacing w:val="-9"/>
          <w:w w:val="105"/>
        </w:rPr>
        <w:t> </w:t>
      </w:r>
      <w:r>
        <w:rPr>
          <w:color w:val="231F20"/>
          <w:w w:val="105"/>
        </w:rPr>
        <w:t>factor</w:t>
      </w:r>
      <w:r>
        <w:rPr>
          <w:color w:val="231F20"/>
          <w:spacing w:val="-9"/>
          <w:w w:val="105"/>
        </w:rPr>
        <w:t> </w:t>
      </w:r>
      <w:r>
        <w:rPr>
          <w:color w:val="231F20"/>
          <w:w w:val="105"/>
        </w:rPr>
        <w:t>de</w:t>
      </w:r>
      <w:r>
        <w:rPr>
          <w:color w:val="231F20"/>
          <w:spacing w:val="-9"/>
          <w:w w:val="105"/>
        </w:rPr>
        <w:t> </w:t>
      </w:r>
      <w:r>
        <w:rPr>
          <w:color w:val="231F20"/>
          <w:w w:val="105"/>
        </w:rPr>
        <w:t>riqueza</w:t>
      </w:r>
      <w:r>
        <w:rPr>
          <w:color w:val="231F20"/>
          <w:spacing w:val="-9"/>
          <w:w w:val="105"/>
        </w:rPr>
        <w:t> </w:t>
      </w:r>
      <w:r>
        <w:rPr>
          <w:color w:val="231F20"/>
          <w:w w:val="105"/>
        </w:rPr>
        <w:t>política y social. El crecimiento económico era estimulado por una abundante mano</w:t>
      </w:r>
      <w:r>
        <w:rPr>
          <w:color w:val="231F20"/>
          <w:spacing w:val="-6"/>
          <w:w w:val="105"/>
        </w:rPr>
        <w:t> </w:t>
      </w:r>
      <w:r>
        <w:rPr>
          <w:color w:val="231F20"/>
          <w:w w:val="105"/>
        </w:rPr>
        <w:t>de</w:t>
      </w:r>
      <w:r>
        <w:rPr>
          <w:color w:val="231F20"/>
          <w:spacing w:val="-6"/>
          <w:w w:val="105"/>
        </w:rPr>
        <w:t> </w:t>
      </w:r>
      <w:r>
        <w:rPr>
          <w:color w:val="231F20"/>
          <w:w w:val="105"/>
        </w:rPr>
        <w:t>obra</w:t>
      </w:r>
      <w:r>
        <w:rPr>
          <w:color w:val="231F20"/>
          <w:spacing w:val="-6"/>
          <w:w w:val="105"/>
        </w:rPr>
        <w:t> </w:t>
      </w:r>
      <w:r>
        <w:rPr>
          <w:color w:val="231F20"/>
          <w:w w:val="105"/>
        </w:rPr>
        <w:t>joven.</w:t>
      </w:r>
      <w:r>
        <w:rPr>
          <w:color w:val="231F20"/>
          <w:spacing w:val="-11"/>
          <w:w w:val="105"/>
        </w:rPr>
        <w:t> </w:t>
      </w:r>
      <w:r>
        <w:rPr>
          <w:color w:val="231F20"/>
          <w:w w:val="105"/>
        </w:rPr>
        <w:t>La</w:t>
      </w:r>
      <w:r>
        <w:rPr>
          <w:color w:val="231F20"/>
          <w:spacing w:val="-6"/>
          <w:w w:val="105"/>
        </w:rPr>
        <w:t> </w:t>
      </w:r>
      <w:r>
        <w:rPr>
          <w:color w:val="231F20"/>
          <w:w w:val="105"/>
        </w:rPr>
        <w:t>población</w:t>
      </w:r>
      <w:r>
        <w:rPr>
          <w:color w:val="231F20"/>
          <w:spacing w:val="-6"/>
          <w:w w:val="105"/>
        </w:rPr>
        <w:t> </w:t>
      </w:r>
      <w:r>
        <w:rPr>
          <w:color w:val="231F20"/>
          <w:w w:val="105"/>
        </w:rPr>
        <w:t>nacida</w:t>
      </w:r>
      <w:r>
        <w:rPr>
          <w:color w:val="231F20"/>
          <w:spacing w:val="-6"/>
          <w:w w:val="105"/>
        </w:rPr>
        <w:t> </w:t>
      </w:r>
      <w:r>
        <w:rPr>
          <w:color w:val="231F20"/>
          <w:w w:val="105"/>
        </w:rPr>
        <w:t>entre</w:t>
      </w:r>
      <w:r>
        <w:rPr>
          <w:color w:val="231F20"/>
          <w:spacing w:val="-6"/>
          <w:w w:val="105"/>
        </w:rPr>
        <w:t> </w:t>
      </w:r>
      <w:r>
        <w:rPr>
          <w:color w:val="231F20"/>
          <w:w w:val="105"/>
        </w:rPr>
        <w:t>1920</w:t>
      </w:r>
      <w:r>
        <w:rPr>
          <w:color w:val="231F20"/>
          <w:spacing w:val="-6"/>
          <w:w w:val="105"/>
        </w:rPr>
        <w:t> </w:t>
      </w:r>
      <w:r>
        <w:rPr>
          <w:color w:val="231F20"/>
          <w:w w:val="105"/>
        </w:rPr>
        <w:t>y</w:t>
      </w:r>
      <w:r>
        <w:rPr>
          <w:color w:val="231F20"/>
          <w:spacing w:val="-6"/>
          <w:w w:val="105"/>
        </w:rPr>
        <w:t> </w:t>
      </w:r>
      <w:r>
        <w:rPr>
          <w:color w:val="231F20"/>
          <w:w w:val="105"/>
        </w:rPr>
        <w:t>1940</w:t>
      </w:r>
      <w:r>
        <w:rPr>
          <w:color w:val="231F20"/>
          <w:spacing w:val="-6"/>
          <w:w w:val="105"/>
        </w:rPr>
        <w:t> </w:t>
      </w:r>
      <w:r>
        <w:rPr>
          <w:color w:val="231F20"/>
          <w:w w:val="105"/>
        </w:rPr>
        <w:t>tenía</w:t>
      </w:r>
      <w:r>
        <w:rPr>
          <w:color w:val="231F20"/>
          <w:spacing w:val="-6"/>
          <w:w w:val="105"/>
        </w:rPr>
        <w:t> </w:t>
      </w:r>
      <w:r>
        <w:rPr>
          <w:color w:val="231F20"/>
          <w:w w:val="105"/>
        </w:rPr>
        <w:t>la</w:t>
      </w:r>
      <w:r>
        <w:rPr>
          <w:color w:val="231F20"/>
          <w:spacing w:val="-6"/>
          <w:w w:val="105"/>
        </w:rPr>
        <w:t> </w:t>
      </w:r>
      <w:r>
        <w:rPr>
          <w:color w:val="231F20"/>
          <w:w w:val="105"/>
        </w:rPr>
        <w:t>es- peranza</w:t>
      </w:r>
      <w:r>
        <w:rPr>
          <w:color w:val="231F20"/>
          <w:spacing w:val="-21"/>
          <w:w w:val="105"/>
        </w:rPr>
        <w:t> </w:t>
      </w:r>
      <w:r>
        <w:rPr>
          <w:color w:val="231F20"/>
          <w:w w:val="105"/>
        </w:rPr>
        <w:t>de</w:t>
      </w:r>
      <w:r>
        <w:rPr>
          <w:color w:val="231F20"/>
          <w:spacing w:val="-21"/>
          <w:w w:val="105"/>
        </w:rPr>
        <w:t> </w:t>
      </w:r>
      <w:r>
        <w:rPr>
          <w:color w:val="231F20"/>
          <w:w w:val="105"/>
        </w:rPr>
        <w:t>vivir</w:t>
      </w:r>
      <w:r>
        <w:rPr>
          <w:color w:val="231F20"/>
          <w:spacing w:val="-21"/>
          <w:w w:val="105"/>
        </w:rPr>
        <w:t> </w:t>
      </w:r>
      <w:r>
        <w:rPr>
          <w:color w:val="231F20"/>
          <w:w w:val="105"/>
        </w:rPr>
        <w:t>entre</w:t>
      </w:r>
      <w:r>
        <w:rPr>
          <w:color w:val="231F20"/>
          <w:spacing w:val="-21"/>
          <w:w w:val="105"/>
        </w:rPr>
        <w:t> </w:t>
      </w:r>
      <w:r>
        <w:rPr>
          <w:color w:val="231F20"/>
          <w:w w:val="105"/>
        </w:rPr>
        <w:t>30</w:t>
      </w:r>
      <w:r>
        <w:rPr>
          <w:color w:val="231F20"/>
          <w:spacing w:val="-21"/>
          <w:w w:val="105"/>
        </w:rPr>
        <w:t> </w:t>
      </w:r>
      <w:r>
        <w:rPr>
          <w:color w:val="231F20"/>
          <w:w w:val="105"/>
        </w:rPr>
        <w:t>y</w:t>
      </w:r>
      <w:r>
        <w:rPr>
          <w:color w:val="231F20"/>
          <w:spacing w:val="-21"/>
          <w:w w:val="105"/>
        </w:rPr>
        <w:t> </w:t>
      </w:r>
      <w:r>
        <w:rPr>
          <w:color w:val="231F20"/>
          <w:w w:val="105"/>
        </w:rPr>
        <w:t>40</w:t>
      </w:r>
      <w:r>
        <w:rPr>
          <w:color w:val="231F20"/>
          <w:spacing w:val="-21"/>
          <w:w w:val="105"/>
        </w:rPr>
        <w:t> </w:t>
      </w:r>
      <w:r>
        <w:rPr>
          <w:color w:val="231F20"/>
          <w:w w:val="105"/>
        </w:rPr>
        <w:t>años</w:t>
      </w:r>
      <w:r>
        <w:rPr>
          <w:color w:val="231F20"/>
          <w:spacing w:val="-21"/>
          <w:w w:val="105"/>
        </w:rPr>
        <w:t> </w:t>
      </w:r>
      <w:r>
        <w:rPr>
          <w:color w:val="231F20"/>
          <w:w w:val="105"/>
        </w:rPr>
        <w:t>(Camposortega,</w:t>
      </w:r>
      <w:r>
        <w:rPr>
          <w:color w:val="231F20"/>
          <w:spacing w:val="-25"/>
          <w:w w:val="105"/>
        </w:rPr>
        <w:t> </w:t>
      </w:r>
      <w:r>
        <w:rPr>
          <w:color w:val="231F20"/>
          <w:w w:val="105"/>
        </w:rPr>
        <w:t>1992).</w:t>
      </w:r>
    </w:p>
    <w:p>
      <w:pPr>
        <w:pStyle w:val="BodyText"/>
        <w:spacing w:line="261" w:lineRule="auto" w:before="1"/>
        <w:ind w:left="1723" w:right="1834" w:firstLine="567"/>
        <w:jc w:val="both"/>
      </w:pPr>
      <w:r>
        <w:rPr>
          <w:color w:val="231F20"/>
          <w:w w:val="105"/>
        </w:rPr>
        <w:t>Esta población joven es la que se interesa en la apertura del </w:t>
      </w:r>
      <w:r>
        <w:rPr>
          <w:color w:val="231F20"/>
          <w:spacing w:val="-4"/>
          <w:w w:val="105"/>
        </w:rPr>
        <w:t>Pro- </w:t>
      </w:r>
      <w:r>
        <w:rPr>
          <w:color w:val="231F20"/>
          <w:w w:val="105"/>
        </w:rPr>
        <w:t>grama Bracero, entre 1942 y 1945 (</w:t>
      </w:r>
      <w:r>
        <w:rPr>
          <w:color w:val="231F20"/>
          <w:w w:val="105"/>
          <w:sz w:val="17"/>
        </w:rPr>
        <w:t>OIM</w:t>
      </w:r>
      <w:r>
        <w:rPr>
          <w:color w:val="231F20"/>
          <w:w w:val="105"/>
        </w:rPr>
        <w:t>, 2014), pues 68 000</w:t>
      </w:r>
      <w:r>
        <w:rPr>
          <w:color w:val="231F20"/>
          <w:spacing w:val="-32"/>
          <w:w w:val="105"/>
        </w:rPr>
        <w:t> </w:t>
      </w:r>
      <w:r>
        <w:rPr>
          <w:color w:val="231F20"/>
          <w:w w:val="105"/>
        </w:rPr>
        <w:t>mexicanos se enlistan para ir a Estados Unidos a cubrir a la población productiva estadounidense</w:t>
      </w:r>
      <w:r>
        <w:rPr>
          <w:color w:val="231F20"/>
          <w:spacing w:val="-16"/>
          <w:w w:val="105"/>
        </w:rPr>
        <w:t> </w:t>
      </w:r>
      <w:r>
        <w:rPr>
          <w:color w:val="231F20"/>
          <w:w w:val="105"/>
        </w:rPr>
        <w:t>que</w:t>
      </w:r>
      <w:r>
        <w:rPr>
          <w:color w:val="231F20"/>
          <w:spacing w:val="-16"/>
          <w:w w:val="105"/>
        </w:rPr>
        <w:t> </w:t>
      </w:r>
      <w:r>
        <w:rPr>
          <w:color w:val="231F20"/>
          <w:w w:val="105"/>
        </w:rPr>
        <w:t>partió</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Guerra.</w:t>
      </w:r>
    </w:p>
    <w:p>
      <w:pPr>
        <w:pStyle w:val="BodyText"/>
        <w:spacing w:line="261" w:lineRule="auto" w:before="1"/>
        <w:ind w:left="1723" w:right="1834" w:firstLine="567"/>
        <w:jc w:val="both"/>
      </w:pPr>
      <w:r>
        <w:rPr>
          <w:color w:val="231F20"/>
          <w:w w:val="105"/>
        </w:rPr>
        <w:t>En</w:t>
      </w:r>
      <w:r>
        <w:rPr>
          <w:color w:val="231F20"/>
          <w:spacing w:val="-17"/>
          <w:w w:val="105"/>
        </w:rPr>
        <w:t> </w:t>
      </w:r>
      <w:r>
        <w:rPr>
          <w:color w:val="231F20"/>
          <w:w w:val="105"/>
        </w:rPr>
        <w:t>un</w:t>
      </w:r>
      <w:r>
        <w:rPr>
          <w:color w:val="231F20"/>
          <w:spacing w:val="-17"/>
          <w:w w:val="105"/>
        </w:rPr>
        <w:t> </w:t>
      </w:r>
      <w:r>
        <w:rPr>
          <w:color w:val="231F20"/>
          <w:w w:val="105"/>
        </w:rPr>
        <w:t>principio</w:t>
      </w:r>
      <w:r>
        <w:rPr>
          <w:color w:val="231F20"/>
          <w:spacing w:val="-17"/>
          <w:w w:val="105"/>
        </w:rPr>
        <w:t> </w:t>
      </w:r>
      <w:r>
        <w:rPr>
          <w:color w:val="231F20"/>
          <w:w w:val="105"/>
        </w:rPr>
        <w:t>el</w:t>
      </w:r>
      <w:r>
        <w:rPr>
          <w:color w:val="231F20"/>
          <w:spacing w:val="-17"/>
          <w:w w:val="105"/>
        </w:rPr>
        <w:t> </w:t>
      </w:r>
      <w:r>
        <w:rPr>
          <w:color w:val="231F20"/>
          <w:spacing w:val="-3"/>
          <w:w w:val="105"/>
        </w:rPr>
        <w:t>Programa</w:t>
      </w:r>
      <w:r>
        <w:rPr>
          <w:color w:val="231F20"/>
          <w:spacing w:val="-17"/>
          <w:w w:val="105"/>
        </w:rPr>
        <w:t> </w:t>
      </w:r>
      <w:r>
        <w:rPr>
          <w:color w:val="231F20"/>
          <w:w w:val="105"/>
        </w:rPr>
        <w:t>Bracero</w:t>
      </w:r>
      <w:r>
        <w:rPr>
          <w:color w:val="231F20"/>
          <w:spacing w:val="-17"/>
          <w:w w:val="105"/>
        </w:rPr>
        <w:t> </w:t>
      </w:r>
      <w:r>
        <w:rPr>
          <w:color w:val="231F20"/>
          <w:w w:val="105"/>
        </w:rPr>
        <w:t>fue</w:t>
      </w:r>
      <w:r>
        <w:rPr>
          <w:color w:val="231F20"/>
          <w:spacing w:val="-17"/>
          <w:w w:val="105"/>
        </w:rPr>
        <w:t> </w:t>
      </w:r>
      <w:r>
        <w:rPr>
          <w:color w:val="231F20"/>
          <w:w w:val="105"/>
        </w:rPr>
        <w:t>considerado</w:t>
      </w:r>
      <w:r>
        <w:rPr>
          <w:color w:val="231F20"/>
          <w:spacing w:val="-17"/>
          <w:w w:val="105"/>
        </w:rPr>
        <w:t> </w:t>
      </w:r>
      <w:r>
        <w:rPr>
          <w:color w:val="231F20"/>
          <w:w w:val="105"/>
        </w:rPr>
        <w:t>como</w:t>
      </w:r>
      <w:r>
        <w:rPr>
          <w:color w:val="231F20"/>
          <w:spacing w:val="-17"/>
          <w:w w:val="105"/>
        </w:rPr>
        <w:t> </w:t>
      </w:r>
      <w:r>
        <w:rPr>
          <w:color w:val="231F20"/>
          <w:w w:val="105"/>
        </w:rPr>
        <w:t>tempo- ral,</w:t>
      </w:r>
      <w:r>
        <w:rPr>
          <w:color w:val="231F20"/>
          <w:spacing w:val="-21"/>
          <w:w w:val="105"/>
        </w:rPr>
        <w:t> </w:t>
      </w:r>
      <w:r>
        <w:rPr>
          <w:color w:val="231F20"/>
          <w:w w:val="105"/>
        </w:rPr>
        <w:t>sin</w:t>
      </w:r>
      <w:r>
        <w:rPr>
          <w:color w:val="231F20"/>
          <w:spacing w:val="-15"/>
          <w:w w:val="105"/>
        </w:rPr>
        <w:t> </w:t>
      </w:r>
      <w:r>
        <w:rPr>
          <w:color w:val="231F20"/>
          <w:w w:val="105"/>
        </w:rPr>
        <w:t>embargo</w:t>
      </w:r>
      <w:r>
        <w:rPr>
          <w:color w:val="231F20"/>
          <w:spacing w:val="-15"/>
          <w:w w:val="105"/>
        </w:rPr>
        <w:t> </w:t>
      </w:r>
      <w:r>
        <w:rPr>
          <w:color w:val="231F20"/>
          <w:w w:val="105"/>
        </w:rPr>
        <w:t>continuó</w:t>
      </w:r>
      <w:r>
        <w:rPr>
          <w:color w:val="231F20"/>
          <w:spacing w:val="-15"/>
          <w:w w:val="105"/>
        </w:rPr>
        <w:t> </w:t>
      </w:r>
      <w:r>
        <w:rPr>
          <w:color w:val="231F20"/>
          <w:w w:val="105"/>
        </w:rPr>
        <w:t>después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guerra</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temor</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escasez de mano de obra. Debido a la fuerte presión ejercida por las</w:t>
      </w:r>
      <w:r>
        <w:rPr>
          <w:color w:val="231F20"/>
          <w:spacing w:val="-19"/>
          <w:w w:val="105"/>
        </w:rPr>
        <w:t> </w:t>
      </w:r>
      <w:r>
        <w:rPr>
          <w:color w:val="231F20"/>
          <w:w w:val="105"/>
        </w:rPr>
        <w:t>delegacio- nes de </w:t>
      </w:r>
      <w:r>
        <w:rPr>
          <w:color w:val="231F20"/>
          <w:spacing w:val="-5"/>
          <w:w w:val="105"/>
        </w:rPr>
        <w:t>Texas </w:t>
      </w:r>
      <w:r>
        <w:rPr>
          <w:color w:val="231F20"/>
          <w:w w:val="105"/>
        </w:rPr>
        <w:t>y California el Congreso lo extendió de año en año hasta finales de la década de 1940. A pesar de estas prolongaciones, la cifra de</w:t>
      </w:r>
      <w:r>
        <w:rPr>
          <w:color w:val="231F20"/>
          <w:spacing w:val="-9"/>
          <w:w w:val="105"/>
        </w:rPr>
        <w:t> </w:t>
      </w:r>
      <w:r>
        <w:rPr>
          <w:color w:val="231F20"/>
          <w:w w:val="105"/>
        </w:rPr>
        <w:t>braceros</w:t>
      </w:r>
      <w:r>
        <w:rPr>
          <w:color w:val="231F20"/>
          <w:spacing w:val="-9"/>
          <w:w w:val="105"/>
        </w:rPr>
        <w:t> </w:t>
      </w:r>
      <w:r>
        <w:rPr>
          <w:color w:val="231F20"/>
          <w:w w:val="105"/>
        </w:rPr>
        <w:t>seguía</w:t>
      </w:r>
      <w:r>
        <w:rPr>
          <w:color w:val="231F20"/>
          <w:spacing w:val="-9"/>
          <w:w w:val="105"/>
        </w:rPr>
        <w:t> </w:t>
      </w:r>
      <w:r>
        <w:rPr>
          <w:color w:val="231F20"/>
          <w:w w:val="105"/>
        </w:rPr>
        <w:t>siendo</w:t>
      </w:r>
      <w:r>
        <w:rPr>
          <w:color w:val="231F20"/>
          <w:spacing w:val="-9"/>
          <w:w w:val="105"/>
        </w:rPr>
        <w:t> </w:t>
      </w:r>
      <w:r>
        <w:rPr>
          <w:color w:val="231F20"/>
          <w:w w:val="105"/>
        </w:rPr>
        <w:t>insuficiente</w:t>
      </w:r>
      <w:r>
        <w:rPr>
          <w:color w:val="231F20"/>
          <w:spacing w:val="-9"/>
          <w:w w:val="105"/>
        </w:rPr>
        <w:t> </w:t>
      </w:r>
      <w:r>
        <w:rPr>
          <w:color w:val="231F20"/>
          <w:w w:val="105"/>
        </w:rPr>
        <w:t>para</w:t>
      </w:r>
      <w:r>
        <w:rPr>
          <w:color w:val="231F20"/>
          <w:spacing w:val="-9"/>
          <w:w w:val="105"/>
        </w:rPr>
        <w:t> </w:t>
      </w:r>
      <w:r>
        <w:rPr>
          <w:color w:val="231F20"/>
          <w:w w:val="105"/>
        </w:rPr>
        <w:t>responder</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demanda</w:t>
      </w:r>
      <w:r>
        <w:rPr>
          <w:color w:val="231F20"/>
          <w:spacing w:val="-9"/>
          <w:w w:val="105"/>
        </w:rPr>
        <w:t> </w:t>
      </w:r>
      <w:r>
        <w:rPr>
          <w:color w:val="231F20"/>
          <w:w w:val="105"/>
        </w:rPr>
        <w:t>de trabajadores</w:t>
      </w:r>
      <w:r>
        <w:rPr>
          <w:color w:val="231F20"/>
          <w:spacing w:val="-19"/>
          <w:w w:val="105"/>
        </w:rPr>
        <w:t> </w:t>
      </w:r>
      <w:r>
        <w:rPr>
          <w:color w:val="231F20"/>
          <w:w w:val="105"/>
        </w:rPr>
        <w:t>que</w:t>
      </w:r>
      <w:r>
        <w:rPr>
          <w:color w:val="231F20"/>
          <w:spacing w:val="-19"/>
          <w:w w:val="105"/>
        </w:rPr>
        <w:t> </w:t>
      </w:r>
      <w:r>
        <w:rPr>
          <w:color w:val="231F20"/>
          <w:w w:val="105"/>
        </w:rPr>
        <w:t>requería</w:t>
      </w:r>
      <w:r>
        <w:rPr>
          <w:color w:val="231F20"/>
          <w:spacing w:val="-19"/>
          <w:w w:val="105"/>
        </w:rPr>
        <w:t> </w:t>
      </w:r>
      <w:r>
        <w:rPr>
          <w:color w:val="231F20"/>
          <w:w w:val="105"/>
        </w:rPr>
        <w:t>el</w:t>
      </w:r>
      <w:r>
        <w:rPr>
          <w:color w:val="231F20"/>
          <w:spacing w:val="-19"/>
          <w:w w:val="105"/>
        </w:rPr>
        <w:t> </w:t>
      </w:r>
      <w:r>
        <w:rPr>
          <w:color w:val="231F20"/>
          <w:w w:val="105"/>
        </w:rPr>
        <w:t>campo.</w:t>
      </w:r>
      <w:r>
        <w:rPr>
          <w:color w:val="231F20"/>
          <w:spacing w:val="-27"/>
          <w:w w:val="105"/>
        </w:rPr>
        <w:t> </w:t>
      </w:r>
      <w:r>
        <w:rPr>
          <w:color w:val="231F20"/>
          <w:w w:val="105"/>
        </w:rPr>
        <w:t>A</w:t>
      </w:r>
      <w:r>
        <w:rPr>
          <w:color w:val="231F20"/>
          <w:spacing w:val="-22"/>
          <w:w w:val="105"/>
        </w:rPr>
        <w:t> </w:t>
      </w:r>
      <w:r>
        <w:rPr>
          <w:color w:val="231F20"/>
          <w:w w:val="105"/>
        </w:rPr>
        <w:t>finales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cuarenta</w:t>
      </w:r>
      <w:r>
        <w:rPr>
          <w:color w:val="231F20"/>
          <w:spacing w:val="-19"/>
          <w:w w:val="105"/>
        </w:rPr>
        <w:t> </w:t>
      </w:r>
      <w:r>
        <w:rPr>
          <w:color w:val="231F20"/>
          <w:w w:val="105"/>
        </w:rPr>
        <w:t>los</w:t>
      </w:r>
      <w:r>
        <w:rPr>
          <w:color w:val="231F20"/>
          <w:spacing w:val="-19"/>
          <w:w w:val="105"/>
        </w:rPr>
        <w:t> </w:t>
      </w:r>
      <w:r>
        <w:rPr>
          <w:color w:val="231F20"/>
          <w:w w:val="105"/>
        </w:rPr>
        <w:t>agricul- tores</w:t>
      </w:r>
      <w:r>
        <w:rPr>
          <w:color w:val="231F20"/>
          <w:spacing w:val="-16"/>
          <w:w w:val="105"/>
        </w:rPr>
        <w:t> </w:t>
      </w:r>
      <w:r>
        <w:rPr>
          <w:color w:val="231F20"/>
          <w:w w:val="105"/>
        </w:rPr>
        <w:t>tomaron</w:t>
      </w:r>
      <w:r>
        <w:rPr>
          <w:color w:val="231F20"/>
          <w:spacing w:val="-16"/>
          <w:w w:val="105"/>
        </w:rPr>
        <w:t> </w:t>
      </w:r>
      <w:r>
        <w:rPr>
          <w:color w:val="231F20"/>
          <w:w w:val="105"/>
        </w:rPr>
        <w:t>el</w:t>
      </w:r>
      <w:r>
        <w:rPr>
          <w:color w:val="231F20"/>
          <w:spacing w:val="-16"/>
          <w:w w:val="105"/>
        </w:rPr>
        <w:t> </w:t>
      </w:r>
      <w:r>
        <w:rPr>
          <w:color w:val="231F20"/>
          <w:w w:val="105"/>
        </w:rPr>
        <w:t>asunto</w:t>
      </w:r>
      <w:r>
        <w:rPr>
          <w:color w:val="231F20"/>
          <w:spacing w:val="-16"/>
          <w:w w:val="105"/>
        </w:rPr>
        <w:t> </w:t>
      </w:r>
      <w:r>
        <w:rPr>
          <w:color w:val="231F20"/>
          <w:w w:val="105"/>
        </w:rPr>
        <w:t>en</w:t>
      </w:r>
      <w:r>
        <w:rPr>
          <w:color w:val="231F20"/>
          <w:spacing w:val="-16"/>
          <w:w w:val="105"/>
        </w:rPr>
        <w:t> </w:t>
      </w:r>
      <w:r>
        <w:rPr>
          <w:color w:val="231F20"/>
          <w:w w:val="105"/>
        </w:rPr>
        <w:t>sus</w:t>
      </w:r>
      <w:r>
        <w:rPr>
          <w:color w:val="231F20"/>
          <w:spacing w:val="-16"/>
          <w:w w:val="105"/>
        </w:rPr>
        <w:t> </w:t>
      </w:r>
      <w:r>
        <w:rPr>
          <w:color w:val="231F20"/>
          <w:w w:val="105"/>
        </w:rPr>
        <w:t>manos</w:t>
      </w:r>
      <w:r>
        <w:rPr>
          <w:color w:val="231F20"/>
          <w:spacing w:val="-16"/>
          <w:w w:val="105"/>
        </w:rPr>
        <w:t> </w:t>
      </w:r>
      <w:r>
        <w:rPr>
          <w:color w:val="231F20"/>
          <w:w w:val="105"/>
        </w:rPr>
        <w:t>y</w:t>
      </w:r>
      <w:r>
        <w:rPr>
          <w:color w:val="231F20"/>
          <w:spacing w:val="-16"/>
          <w:w w:val="105"/>
        </w:rPr>
        <w:t> </w:t>
      </w:r>
      <w:r>
        <w:rPr>
          <w:color w:val="231F20"/>
          <w:w w:val="105"/>
        </w:rPr>
        <w:t>decidieron</w:t>
      </w:r>
      <w:r>
        <w:rPr>
          <w:color w:val="231F20"/>
          <w:spacing w:val="-16"/>
          <w:w w:val="105"/>
        </w:rPr>
        <w:t> </w:t>
      </w:r>
      <w:r>
        <w:rPr>
          <w:color w:val="231F20"/>
          <w:w w:val="105"/>
        </w:rPr>
        <w:t>reclutar</w:t>
      </w:r>
      <w:r>
        <w:rPr>
          <w:color w:val="231F20"/>
          <w:spacing w:val="-16"/>
          <w:w w:val="105"/>
        </w:rPr>
        <w:t> </w:t>
      </w:r>
      <w:r>
        <w:rPr>
          <w:color w:val="231F20"/>
          <w:w w:val="105"/>
        </w:rPr>
        <w:t>trabajadores por su</w:t>
      </w:r>
      <w:r>
        <w:rPr>
          <w:color w:val="231F20"/>
          <w:spacing w:val="-34"/>
          <w:w w:val="105"/>
        </w:rPr>
        <w:t> </w:t>
      </w:r>
      <w:r>
        <w:rPr>
          <w:color w:val="231F20"/>
          <w:w w:val="105"/>
        </w:rPr>
        <w:t>cuenta.</w:t>
      </w:r>
    </w:p>
    <w:p>
      <w:pPr>
        <w:pStyle w:val="BodyText"/>
        <w:spacing w:line="261" w:lineRule="auto" w:before="1"/>
        <w:ind w:left="1723" w:right="1828" w:firstLine="567"/>
        <w:jc w:val="both"/>
      </w:pPr>
      <w:r>
        <w:rPr>
          <w:color w:val="231F20"/>
          <w:spacing w:val="-4"/>
          <w:w w:val="105"/>
        </w:rPr>
        <w:t>Para</w:t>
      </w:r>
      <w:r>
        <w:rPr>
          <w:color w:val="231F20"/>
          <w:spacing w:val="-7"/>
          <w:w w:val="105"/>
        </w:rPr>
        <w:t> </w:t>
      </w:r>
      <w:r>
        <w:rPr>
          <w:color w:val="231F20"/>
          <w:w w:val="105"/>
        </w:rPr>
        <w:t>1949</w:t>
      </w:r>
      <w:r>
        <w:rPr>
          <w:color w:val="231F20"/>
          <w:spacing w:val="-7"/>
          <w:w w:val="105"/>
        </w:rPr>
        <w:t> </w:t>
      </w:r>
      <w:r>
        <w:rPr>
          <w:color w:val="231F20"/>
          <w:w w:val="105"/>
        </w:rPr>
        <w:t>se</w:t>
      </w:r>
      <w:r>
        <w:rPr>
          <w:color w:val="231F20"/>
          <w:spacing w:val="-7"/>
          <w:w w:val="105"/>
        </w:rPr>
        <w:t> </w:t>
      </w:r>
      <w:r>
        <w:rPr>
          <w:color w:val="231F20"/>
          <w:w w:val="105"/>
        </w:rPr>
        <w:t>extendían</w:t>
      </w:r>
      <w:r>
        <w:rPr>
          <w:color w:val="231F20"/>
          <w:spacing w:val="-7"/>
          <w:w w:val="105"/>
        </w:rPr>
        <w:t> </w:t>
      </w:r>
      <w:r>
        <w:rPr>
          <w:color w:val="231F20"/>
          <w:w w:val="105"/>
        </w:rPr>
        <w:t>anualmente</w:t>
      </w:r>
      <w:r>
        <w:rPr>
          <w:color w:val="231F20"/>
          <w:spacing w:val="-7"/>
          <w:w w:val="105"/>
        </w:rPr>
        <w:t> </w:t>
      </w:r>
      <w:r>
        <w:rPr>
          <w:color w:val="231F20"/>
          <w:w w:val="105"/>
        </w:rPr>
        <w:t>100</w:t>
      </w:r>
      <w:r>
        <w:rPr>
          <w:color w:val="231F20"/>
          <w:spacing w:val="-7"/>
          <w:w w:val="105"/>
        </w:rPr>
        <w:t> </w:t>
      </w:r>
      <w:r>
        <w:rPr>
          <w:color w:val="231F20"/>
          <w:w w:val="105"/>
        </w:rPr>
        <w:t>000</w:t>
      </w:r>
      <w:r>
        <w:rPr>
          <w:color w:val="231F20"/>
          <w:spacing w:val="-7"/>
          <w:w w:val="105"/>
        </w:rPr>
        <w:t> </w:t>
      </w:r>
      <w:r>
        <w:rPr>
          <w:color w:val="231F20"/>
          <w:w w:val="105"/>
        </w:rPr>
        <w:t>visas</w:t>
      </w:r>
      <w:r>
        <w:rPr>
          <w:color w:val="231F20"/>
          <w:spacing w:val="-7"/>
          <w:w w:val="105"/>
        </w:rPr>
        <w:t> </w:t>
      </w:r>
      <w:r>
        <w:rPr>
          <w:color w:val="231F20"/>
          <w:w w:val="105"/>
        </w:rPr>
        <w:t>para</w:t>
      </w:r>
      <w:r>
        <w:rPr>
          <w:color w:val="231F20"/>
          <w:spacing w:val="-7"/>
          <w:w w:val="105"/>
        </w:rPr>
        <w:t> </w:t>
      </w:r>
      <w:r>
        <w:rPr>
          <w:color w:val="231F20"/>
          <w:w w:val="105"/>
        </w:rPr>
        <w:t>braceros, aun</w:t>
      </w:r>
      <w:r>
        <w:rPr>
          <w:color w:val="231F20"/>
          <w:spacing w:val="-26"/>
          <w:w w:val="105"/>
        </w:rPr>
        <w:t> </w:t>
      </w:r>
      <w:r>
        <w:rPr>
          <w:color w:val="231F20"/>
          <w:w w:val="105"/>
        </w:rPr>
        <w:t>así</w:t>
      </w:r>
      <w:r>
        <w:rPr>
          <w:color w:val="231F20"/>
          <w:spacing w:val="-26"/>
          <w:w w:val="105"/>
        </w:rPr>
        <w:t> </w:t>
      </w:r>
      <w:r>
        <w:rPr>
          <w:color w:val="231F20"/>
          <w:w w:val="105"/>
        </w:rPr>
        <w:t>parecía</w:t>
      </w:r>
      <w:r>
        <w:rPr>
          <w:color w:val="231F20"/>
          <w:spacing w:val="-26"/>
          <w:w w:val="105"/>
        </w:rPr>
        <w:t> </w:t>
      </w:r>
      <w:r>
        <w:rPr>
          <w:color w:val="231F20"/>
          <w:w w:val="105"/>
        </w:rPr>
        <w:t>insuficiente</w:t>
      </w:r>
      <w:r>
        <w:rPr>
          <w:color w:val="231F20"/>
          <w:spacing w:val="-26"/>
          <w:w w:val="105"/>
        </w:rPr>
        <w:t> </w:t>
      </w:r>
      <w:r>
        <w:rPr>
          <w:color w:val="231F20"/>
          <w:w w:val="105"/>
        </w:rPr>
        <w:t>para</w:t>
      </w:r>
      <w:r>
        <w:rPr>
          <w:color w:val="231F20"/>
          <w:spacing w:val="-26"/>
          <w:w w:val="105"/>
        </w:rPr>
        <w:t> </w:t>
      </w:r>
      <w:r>
        <w:rPr>
          <w:color w:val="231F20"/>
          <w:w w:val="105"/>
        </w:rPr>
        <w:t>responder</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demanda,</w:t>
      </w:r>
      <w:r>
        <w:rPr>
          <w:color w:val="231F20"/>
          <w:spacing w:val="-30"/>
          <w:w w:val="105"/>
        </w:rPr>
        <w:t> </w:t>
      </w:r>
      <w:r>
        <w:rPr>
          <w:color w:val="231F20"/>
          <w:w w:val="105"/>
        </w:rPr>
        <w:t>especialmente después</w:t>
      </w:r>
      <w:r>
        <w:rPr>
          <w:color w:val="231F20"/>
          <w:spacing w:val="-16"/>
          <w:w w:val="105"/>
        </w:rPr>
        <w:t> </w:t>
      </w:r>
      <w:r>
        <w:rPr>
          <w:color w:val="231F20"/>
          <w:w w:val="105"/>
        </w:rPr>
        <w:t>de</w:t>
      </w:r>
      <w:r>
        <w:rPr>
          <w:color w:val="231F20"/>
          <w:spacing w:val="-16"/>
          <w:w w:val="105"/>
        </w:rPr>
        <w:t> </w:t>
      </w:r>
      <w:r>
        <w:rPr>
          <w:color w:val="231F20"/>
          <w:w w:val="105"/>
        </w:rPr>
        <w:t>1950</w:t>
      </w:r>
      <w:r>
        <w:rPr>
          <w:color w:val="231F20"/>
          <w:spacing w:val="-16"/>
          <w:w w:val="105"/>
        </w:rPr>
        <w:t> </w:t>
      </w:r>
      <w:r>
        <w:rPr>
          <w:color w:val="231F20"/>
          <w:w w:val="105"/>
        </w:rPr>
        <w:t>cuando</w:t>
      </w:r>
      <w:r>
        <w:rPr>
          <w:color w:val="231F20"/>
          <w:spacing w:val="-16"/>
          <w:w w:val="105"/>
        </w:rPr>
        <w:t> </w:t>
      </w:r>
      <w:r>
        <w:rPr>
          <w:color w:val="231F20"/>
          <w:w w:val="105"/>
        </w:rPr>
        <w:t>la</w:t>
      </w:r>
      <w:r>
        <w:rPr>
          <w:color w:val="231F20"/>
          <w:spacing w:val="-16"/>
          <w:w w:val="105"/>
        </w:rPr>
        <w:t> </w:t>
      </w:r>
      <w:r>
        <w:rPr>
          <w:color w:val="231F20"/>
          <w:w w:val="105"/>
        </w:rPr>
        <w:t>Guerra</w:t>
      </w:r>
      <w:r>
        <w:rPr>
          <w:color w:val="231F20"/>
          <w:spacing w:val="-16"/>
          <w:w w:val="105"/>
        </w:rPr>
        <w:t> </w:t>
      </w:r>
      <w:r>
        <w:rPr>
          <w:color w:val="231F20"/>
          <w:w w:val="105"/>
        </w:rPr>
        <w:t>contra</w:t>
      </w:r>
      <w:r>
        <w:rPr>
          <w:color w:val="231F20"/>
          <w:spacing w:val="-16"/>
          <w:w w:val="105"/>
        </w:rPr>
        <w:t> </w:t>
      </w:r>
      <w:r>
        <w:rPr>
          <w:color w:val="231F20"/>
          <w:w w:val="105"/>
        </w:rPr>
        <w:t>Corea</w:t>
      </w:r>
      <w:r>
        <w:rPr>
          <w:color w:val="231F20"/>
          <w:spacing w:val="-16"/>
          <w:w w:val="105"/>
        </w:rPr>
        <w:t> </w:t>
      </w:r>
      <w:r>
        <w:rPr>
          <w:color w:val="231F20"/>
          <w:w w:val="105"/>
        </w:rPr>
        <w:t>provocó</w:t>
      </w:r>
      <w:r>
        <w:rPr>
          <w:color w:val="231F20"/>
          <w:spacing w:val="-16"/>
          <w:w w:val="105"/>
        </w:rPr>
        <w:t> </w:t>
      </w:r>
      <w:r>
        <w:rPr>
          <w:color w:val="231F20"/>
          <w:w w:val="105"/>
        </w:rPr>
        <w:t>una</w:t>
      </w:r>
      <w:r>
        <w:rPr>
          <w:color w:val="231F20"/>
          <w:spacing w:val="-16"/>
          <w:w w:val="105"/>
        </w:rPr>
        <w:t> </w:t>
      </w:r>
      <w:r>
        <w:rPr>
          <w:color w:val="231F20"/>
          <w:w w:val="105"/>
        </w:rPr>
        <w:t>nueva</w:t>
      </w:r>
      <w:r>
        <w:rPr>
          <w:color w:val="231F20"/>
          <w:spacing w:val="-16"/>
          <w:w w:val="105"/>
        </w:rPr>
        <w:t> </w:t>
      </w:r>
      <w:r>
        <w:rPr>
          <w:color w:val="231F20"/>
          <w:w w:val="105"/>
        </w:rPr>
        <w:t>de- manda de mano de</w:t>
      </w:r>
      <w:r>
        <w:rPr>
          <w:color w:val="231F20"/>
          <w:spacing w:val="-24"/>
          <w:w w:val="105"/>
        </w:rPr>
        <w:t> </w:t>
      </w:r>
      <w:r>
        <w:rPr>
          <w:color w:val="231F20"/>
          <w:w w:val="105"/>
        </w:rPr>
        <w:t>obra.</w:t>
      </w:r>
    </w:p>
    <w:p>
      <w:pPr>
        <w:pStyle w:val="BodyText"/>
        <w:spacing w:line="261" w:lineRule="auto" w:before="1"/>
        <w:ind w:left="1723" w:right="1829" w:firstLine="567"/>
        <w:jc w:val="both"/>
      </w:pPr>
      <w:r>
        <w:rPr>
          <w:color w:val="231F20"/>
          <w:w w:val="105"/>
        </w:rPr>
        <w:t>Esto</w:t>
      </w:r>
      <w:r>
        <w:rPr>
          <w:color w:val="231F20"/>
          <w:spacing w:val="-12"/>
          <w:w w:val="105"/>
        </w:rPr>
        <w:t> </w:t>
      </w:r>
      <w:r>
        <w:rPr>
          <w:color w:val="231F20"/>
          <w:w w:val="105"/>
        </w:rPr>
        <w:t>tuvo</w:t>
      </w:r>
      <w:r>
        <w:rPr>
          <w:color w:val="231F20"/>
          <w:spacing w:val="-12"/>
          <w:w w:val="105"/>
        </w:rPr>
        <w:t> </w:t>
      </w:r>
      <w:r>
        <w:rPr>
          <w:color w:val="231F20"/>
          <w:w w:val="105"/>
        </w:rPr>
        <w:t>como</w:t>
      </w:r>
      <w:r>
        <w:rPr>
          <w:color w:val="231F20"/>
          <w:spacing w:val="-12"/>
          <w:w w:val="105"/>
        </w:rPr>
        <w:t> </w:t>
      </w:r>
      <w:r>
        <w:rPr>
          <w:color w:val="231F20"/>
          <w:w w:val="105"/>
        </w:rPr>
        <w:t>consecuencia</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número</w:t>
      </w:r>
      <w:r>
        <w:rPr>
          <w:color w:val="231F20"/>
          <w:spacing w:val="-12"/>
          <w:w w:val="105"/>
        </w:rPr>
        <w:t> </w:t>
      </w:r>
      <w:r>
        <w:rPr>
          <w:color w:val="231F20"/>
          <w:w w:val="105"/>
        </w:rPr>
        <w:t>de</w:t>
      </w:r>
      <w:r>
        <w:rPr>
          <w:color w:val="231F20"/>
          <w:spacing w:val="-12"/>
          <w:w w:val="105"/>
        </w:rPr>
        <w:t> </w:t>
      </w:r>
      <w:r>
        <w:rPr>
          <w:color w:val="231F20"/>
          <w:w w:val="105"/>
        </w:rPr>
        <w:t>inmigrantes</w:t>
      </w:r>
      <w:r>
        <w:rPr>
          <w:color w:val="231F20"/>
          <w:spacing w:val="-12"/>
          <w:w w:val="105"/>
        </w:rPr>
        <w:t> </w:t>
      </w:r>
      <w:r>
        <w:rPr>
          <w:color w:val="231F20"/>
          <w:w w:val="105"/>
        </w:rPr>
        <w:t>indo- cumentados</w:t>
      </w:r>
      <w:r>
        <w:rPr>
          <w:color w:val="231F20"/>
          <w:spacing w:val="-27"/>
          <w:w w:val="105"/>
        </w:rPr>
        <w:t> </w:t>
      </w:r>
      <w:r>
        <w:rPr>
          <w:color w:val="231F20"/>
          <w:w w:val="105"/>
        </w:rPr>
        <w:t>creciera</w:t>
      </w:r>
      <w:r>
        <w:rPr>
          <w:color w:val="231F20"/>
          <w:spacing w:val="-27"/>
          <w:w w:val="105"/>
        </w:rPr>
        <w:t> </w:t>
      </w:r>
      <w:r>
        <w:rPr>
          <w:color w:val="231F20"/>
          <w:w w:val="105"/>
        </w:rPr>
        <w:t>de</w:t>
      </w:r>
      <w:r>
        <w:rPr>
          <w:color w:val="231F20"/>
          <w:spacing w:val="-27"/>
          <w:w w:val="105"/>
        </w:rPr>
        <w:t> </w:t>
      </w:r>
      <w:r>
        <w:rPr>
          <w:color w:val="231F20"/>
          <w:w w:val="105"/>
        </w:rPr>
        <w:t>manera</w:t>
      </w:r>
      <w:r>
        <w:rPr>
          <w:color w:val="231F20"/>
          <w:spacing w:val="-27"/>
          <w:w w:val="105"/>
        </w:rPr>
        <w:t> </w:t>
      </w:r>
      <w:r>
        <w:rPr>
          <w:color w:val="231F20"/>
          <w:w w:val="105"/>
        </w:rPr>
        <w:t>acelerada</w:t>
      </w:r>
      <w:r>
        <w:rPr>
          <w:color w:val="231F20"/>
          <w:spacing w:val="-27"/>
          <w:w w:val="105"/>
        </w:rPr>
        <w:t> </w:t>
      </w:r>
      <w:r>
        <w:rPr>
          <w:color w:val="231F20"/>
          <w:w w:val="105"/>
        </w:rPr>
        <w:t>y</w:t>
      </w:r>
      <w:r>
        <w:rPr>
          <w:color w:val="231F20"/>
          <w:spacing w:val="-27"/>
          <w:w w:val="105"/>
        </w:rPr>
        <w:t> </w:t>
      </w:r>
      <w:r>
        <w:rPr>
          <w:color w:val="231F20"/>
          <w:w w:val="105"/>
        </w:rPr>
        <w:t>las</w:t>
      </w:r>
      <w:r>
        <w:rPr>
          <w:color w:val="231F20"/>
          <w:spacing w:val="-27"/>
          <w:w w:val="105"/>
        </w:rPr>
        <w:t> </w:t>
      </w:r>
      <w:r>
        <w:rPr>
          <w:color w:val="231F20"/>
          <w:w w:val="105"/>
        </w:rPr>
        <w:t>detenciones</w:t>
      </w:r>
      <w:r>
        <w:rPr>
          <w:color w:val="231F20"/>
          <w:spacing w:val="-27"/>
          <w:w w:val="105"/>
        </w:rPr>
        <w:t> </w:t>
      </w:r>
      <w:r>
        <w:rPr>
          <w:color w:val="231F20"/>
          <w:w w:val="105"/>
        </w:rPr>
        <w:t>subieron</w:t>
      </w:r>
      <w:r>
        <w:rPr>
          <w:color w:val="231F20"/>
          <w:spacing w:val="-27"/>
          <w:w w:val="105"/>
        </w:rPr>
        <w:t> </w:t>
      </w:r>
      <w:r>
        <w:rPr>
          <w:color w:val="231F20"/>
          <w:w w:val="105"/>
        </w:rPr>
        <w:t>de 69</w:t>
      </w:r>
      <w:r>
        <w:rPr>
          <w:color w:val="231F20"/>
          <w:spacing w:val="-16"/>
          <w:w w:val="105"/>
        </w:rPr>
        <w:t> </w:t>
      </w:r>
      <w:r>
        <w:rPr>
          <w:color w:val="231F20"/>
          <w:w w:val="105"/>
        </w:rPr>
        <w:t>000</w:t>
      </w:r>
      <w:r>
        <w:rPr>
          <w:color w:val="231F20"/>
          <w:spacing w:val="-16"/>
          <w:w w:val="105"/>
        </w:rPr>
        <w:t> </w:t>
      </w:r>
      <w:r>
        <w:rPr>
          <w:color w:val="231F20"/>
          <w:w w:val="105"/>
        </w:rPr>
        <w:t>en</w:t>
      </w:r>
      <w:r>
        <w:rPr>
          <w:color w:val="231F20"/>
          <w:spacing w:val="-16"/>
          <w:w w:val="105"/>
        </w:rPr>
        <w:t> </w:t>
      </w:r>
      <w:r>
        <w:rPr>
          <w:color w:val="231F20"/>
          <w:w w:val="105"/>
        </w:rPr>
        <w:t>1945</w:t>
      </w:r>
      <w:r>
        <w:rPr>
          <w:color w:val="231F20"/>
          <w:spacing w:val="-16"/>
          <w:w w:val="105"/>
        </w:rPr>
        <w:t> </w:t>
      </w:r>
      <w:r>
        <w:rPr>
          <w:color w:val="231F20"/>
          <w:w w:val="105"/>
        </w:rPr>
        <w:t>a</w:t>
      </w:r>
      <w:r>
        <w:rPr>
          <w:color w:val="231F20"/>
          <w:spacing w:val="-16"/>
          <w:w w:val="105"/>
        </w:rPr>
        <w:t> </w:t>
      </w:r>
      <w:r>
        <w:rPr>
          <w:color w:val="231F20"/>
          <w:w w:val="105"/>
        </w:rPr>
        <w:t>883</w:t>
      </w:r>
      <w:r>
        <w:rPr>
          <w:color w:val="231F20"/>
          <w:spacing w:val="-16"/>
          <w:w w:val="105"/>
        </w:rPr>
        <w:t> </w:t>
      </w:r>
      <w:r>
        <w:rPr>
          <w:color w:val="231F20"/>
          <w:w w:val="105"/>
        </w:rPr>
        <w:t>000</w:t>
      </w:r>
      <w:r>
        <w:rPr>
          <w:color w:val="231F20"/>
          <w:spacing w:val="-16"/>
          <w:w w:val="105"/>
        </w:rPr>
        <w:t> </w:t>
      </w:r>
      <w:r>
        <w:rPr>
          <w:color w:val="231F20"/>
          <w:w w:val="105"/>
        </w:rPr>
        <w:t>en</w:t>
      </w:r>
      <w:r>
        <w:rPr>
          <w:color w:val="231F20"/>
          <w:spacing w:val="-16"/>
          <w:w w:val="105"/>
        </w:rPr>
        <w:t> </w:t>
      </w:r>
      <w:r>
        <w:rPr>
          <w:color w:val="231F20"/>
          <w:w w:val="105"/>
        </w:rPr>
        <w:t>1950.</w:t>
      </w:r>
      <w:r>
        <w:rPr>
          <w:color w:val="231F20"/>
          <w:spacing w:val="-21"/>
          <w:w w:val="105"/>
        </w:rPr>
        <w:t> </w:t>
      </w:r>
      <w:r>
        <w:rPr>
          <w:color w:val="231F20"/>
          <w:w w:val="105"/>
        </w:rPr>
        <w:t>Según</w:t>
      </w:r>
      <w:r>
        <w:rPr>
          <w:color w:val="231F20"/>
          <w:spacing w:val="-16"/>
          <w:w w:val="105"/>
        </w:rPr>
        <w:t> </w:t>
      </w:r>
      <w:r>
        <w:rPr>
          <w:color w:val="231F20"/>
          <w:w w:val="105"/>
        </w:rPr>
        <w:t>Calavita</w:t>
      </w:r>
      <w:r>
        <w:rPr>
          <w:color w:val="231F20"/>
          <w:spacing w:val="-16"/>
          <w:w w:val="105"/>
        </w:rPr>
        <w:t> </w:t>
      </w:r>
      <w:r>
        <w:rPr>
          <w:color w:val="231F20"/>
          <w:w w:val="105"/>
        </w:rPr>
        <w:t>(1992)</w:t>
      </w:r>
      <w:r>
        <w:rPr>
          <w:color w:val="231F20"/>
          <w:spacing w:val="-16"/>
          <w:w w:val="105"/>
        </w:rPr>
        <w:t> </w:t>
      </w:r>
      <w:r>
        <w:rPr>
          <w:color w:val="231F20"/>
          <w:w w:val="105"/>
        </w:rPr>
        <w:t>en</w:t>
      </w:r>
      <w:r>
        <w:rPr>
          <w:color w:val="231F20"/>
          <w:spacing w:val="-16"/>
          <w:w w:val="105"/>
        </w:rPr>
        <w:t> </w:t>
      </w:r>
      <w:r>
        <w:rPr>
          <w:color w:val="231F20"/>
          <w:w w:val="105"/>
        </w:rPr>
        <w:t>1951</w:t>
      </w:r>
      <w:r>
        <w:rPr>
          <w:color w:val="231F20"/>
          <w:spacing w:val="-16"/>
          <w:w w:val="105"/>
        </w:rPr>
        <w:t> </w:t>
      </w:r>
      <w:r>
        <w:rPr>
          <w:color w:val="231F20"/>
          <w:w w:val="105"/>
        </w:rPr>
        <w:t>entra en</w:t>
      </w:r>
      <w:r>
        <w:rPr>
          <w:color w:val="231F20"/>
          <w:spacing w:val="-15"/>
          <w:w w:val="105"/>
        </w:rPr>
        <w:t> </w:t>
      </w:r>
      <w:r>
        <w:rPr>
          <w:color w:val="231F20"/>
          <w:w w:val="105"/>
        </w:rPr>
        <w:t>vigencia</w:t>
      </w:r>
      <w:r>
        <w:rPr>
          <w:color w:val="231F20"/>
          <w:spacing w:val="-15"/>
          <w:w w:val="105"/>
        </w:rPr>
        <w:t> </w:t>
      </w:r>
      <w:r>
        <w:rPr>
          <w:color w:val="231F20"/>
          <w:w w:val="105"/>
        </w:rPr>
        <w:t>la</w:t>
      </w:r>
      <w:r>
        <w:rPr>
          <w:color w:val="231F20"/>
          <w:spacing w:val="-15"/>
          <w:w w:val="105"/>
        </w:rPr>
        <w:t> </w:t>
      </w:r>
      <w:r>
        <w:rPr>
          <w:color w:val="231F20"/>
          <w:w w:val="105"/>
        </w:rPr>
        <w:t>Ley</w:t>
      </w:r>
      <w:r>
        <w:rPr>
          <w:color w:val="231F20"/>
          <w:spacing w:val="-15"/>
          <w:w w:val="105"/>
        </w:rPr>
        <w:t> </w:t>
      </w:r>
      <w:r>
        <w:rPr>
          <w:color w:val="231F20"/>
          <w:w w:val="105"/>
        </w:rPr>
        <w:t>Pública</w:t>
      </w:r>
      <w:r>
        <w:rPr>
          <w:color w:val="231F20"/>
          <w:spacing w:val="-15"/>
          <w:w w:val="105"/>
        </w:rPr>
        <w:t> </w:t>
      </w:r>
      <w:r>
        <w:rPr>
          <w:color w:val="231F20"/>
          <w:w w:val="105"/>
        </w:rPr>
        <w:t>núm.</w:t>
      </w:r>
      <w:r>
        <w:rPr>
          <w:color w:val="231F20"/>
          <w:spacing w:val="-19"/>
          <w:w w:val="105"/>
        </w:rPr>
        <w:t> </w:t>
      </w:r>
      <w:r>
        <w:rPr>
          <w:color w:val="231F20"/>
          <w:w w:val="105"/>
        </w:rPr>
        <w:t>78,</w:t>
      </w:r>
      <w:r>
        <w:rPr>
          <w:color w:val="231F20"/>
          <w:spacing w:val="-19"/>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cual</w:t>
      </w:r>
      <w:r>
        <w:rPr>
          <w:color w:val="231F20"/>
          <w:spacing w:val="-15"/>
          <w:w w:val="105"/>
        </w:rPr>
        <w:t> </w:t>
      </w:r>
      <w:r>
        <w:rPr>
          <w:color w:val="231F20"/>
          <w:w w:val="105"/>
        </w:rPr>
        <w:t>se</w:t>
      </w:r>
      <w:r>
        <w:rPr>
          <w:color w:val="231F20"/>
          <w:spacing w:val="-15"/>
          <w:w w:val="105"/>
        </w:rPr>
        <w:t> </w:t>
      </w:r>
      <w:r>
        <w:rPr>
          <w:color w:val="231F20"/>
          <w:w w:val="105"/>
        </w:rPr>
        <w:t>daba</w:t>
      </w:r>
      <w:r>
        <w:rPr>
          <w:color w:val="231F20"/>
          <w:spacing w:val="-15"/>
          <w:w w:val="105"/>
        </w:rPr>
        <w:t> </w:t>
      </w:r>
      <w:r>
        <w:rPr>
          <w:color w:val="231F20"/>
          <w:w w:val="105"/>
        </w:rPr>
        <w:t>al</w:t>
      </w:r>
      <w:r>
        <w:rPr>
          <w:color w:val="231F20"/>
          <w:spacing w:val="-15"/>
          <w:w w:val="105"/>
        </w:rPr>
        <w:t> </w:t>
      </w:r>
      <w:r>
        <w:rPr>
          <w:color w:val="231F20"/>
          <w:spacing w:val="-3"/>
          <w:w w:val="105"/>
        </w:rPr>
        <w:t>Programa</w:t>
      </w:r>
      <w:r>
        <w:rPr>
          <w:color w:val="231F20"/>
          <w:spacing w:val="-15"/>
          <w:w w:val="105"/>
        </w:rPr>
        <w:t> </w:t>
      </w:r>
      <w:r>
        <w:rPr>
          <w:color w:val="231F20"/>
          <w:w w:val="105"/>
        </w:rPr>
        <w:t>Bra- cero</w:t>
      </w:r>
      <w:r>
        <w:rPr>
          <w:color w:val="231F20"/>
          <w:spacing w:val="-9"/>
          <w:w w:val="105"/>
        </w:rPr>
        <w:t> </w:t>
      </w:r>
      <w:r>
        <w:rPr>
          <w:color w:val="231F20"/>
          <w:w w:val="105"/>
        </w:rPr>
        <w:t>bases,</w:t>
      </w:r>
      <w:r>
        <w:rPr>
          <w:color w:val="231F20"/>
          <w:spacing w:val="-16"/>
          <w:w w:val="105"/>
        </w:rPr>
        <w:t> </w:t>
      </w:r>
      <w:r>
        <w:rPr>
          <w:color w:val="231F20"/>
          <w:w w:val="105"/>
        </w:rPr>
        <w:t>por</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permanecería</w:t>
      </w:r>
      <w:r>
        <w:rPr>
          <w:color w:val="231F20"/>
          <w:spacing w:val="-9"/>
          <w:w w:val="105"/>
        </w:rPr>
        <w:t> </w:t>
      </w:r>
      <w:r>
        <w:rPr>
          <w:color w:val="231F20"/>
          <w:w w:val="105"/>
        </w:rPr>
        <w:t>vigente</w:t>
      </w:r>
      <w:r>
        <w:rPr>
          <w:color w:val="231F20"/>
          <w:spacing w:val="-9"/>
          <w:w w:val="105"/>
        </w:rPr>
        <w:t> </w:t>
      </w:r>
      <w:r>
        <w:rPr>
          <w:color w:val="231F20"/>
          <w:w w:val="105"/>
        </w:rPr>
        <w:t>durante</w:t>
      </w:r>
      <w:r>
        <w:rPr>
          <w:color w:val="231F20"/>
          <w:spacing w:val="-9"/>
          <w:w w:val="105"/>
        </w:rPr>
        <w:t> </w:t>
      </w:r>
      <w:r>
        <w:rPr>
          <w:color w:val="231F20"/>
          <w:w w:val="105"/>
        </w:rPr>
        <w:t>13</w:t>
      </w:r>
      <w:r>
        <w:rPr>
          <w:color w:val="231F20"/>
          <w:spacing w:val="-9"/>
          <w:w w:val="105"/>
        </w:rPr>
        <w:t> </w:t>
      </w:r>
      <w:r>
        <w:rPr>
          <w:color w:val="231F20"/>
          <w:w w:val="105"/>
        </w:rPr>
        <w:t>años,</w:t>
      </w:r>
      <w:r>
        <w:rPr>
          <w:color w:val="231F20"/>
          <w:spacing w:val="-16"/>
          <w:w w:val="105"/>
        </w:rPr>
        <w:t> </w:t>
      </w:r>
      <w:r>
        <w:rPr>
          <w:color w:val="231F20"/>
          <w:w w:val="105"/>
        </w:rPr>
        <w:t>duplicán- dose</w:t>
      </w:r>
      <w:r>
        <w:rPr>
          <w:color w:val="231F20"/>
          <w:spacing w:val="-11"/>
          <w:w w:val="105"/>
        </w:rPr>
        <w:t> </w:t>
      </w:r>
      <w:r>
        <w:rPr>
          <w:color w:val="231F20"/>
          <w:w w:val="105"/>
        </w:rPr>
        <w:t>el</w:t>
      </w:r>
      <w:r>
        <w:rPr>
          <w:color w:val="231F20"/>
          <w:spacing w:val="-11"/>
          <w:w w:val="105"/>
        </w:rPr>
        <w:t> </w:t>
      </w:r>
      <w:r>
        <w:rPr>
          <w:color w:val="231F20"/>
          <w:w w:val="105"/>
        </w:rPr>
        <w:t>número</w:t>
      </w:r>
      <w:r>
        <w:rPr>
          <w:color w:val="231F20"/>
          <w:spacing w:val="-11"/>
          <w:w w:val="105"/>
        </w:rPr>
        <w:t> </w:t>
      </w:r>
      <w:r>
        <w:rPr>
          <w:color w:val="231F20"/>
          <w:w w:val="105"/>
        </w:rPr>
        <w:t>de</w:t>
      </w:r>
      <w:r>
        <w:rPr>
          <w:color w:val="231F20"/>
          <w:spacing w:val="-11"/>
          <w:w w:val="105"/>
        </w:rPr>
        <w:t> </w:t>
      </w:r>
      <w:r>
        <w:rPr>
          <w:color w:val="231F20"/>
          <w:w w:val="105"/>
        </w:rPr>
        <w:t>visas</w:t>
      </w:r>
      <w:r>
        <w:rPr>
          <w:color w:val="231F20"/>
          <w:spacing w:val="-11"/>
          <w:w w:val="105"/>
        </w:rPr>
        <w:t> </w:t>
      </w:r>
      <w:r>
        <w:rPr>
          <w:color w:val="231F20"/>
          <w:w w:val="105"/>
        </w:rPr>
        <w:t>a</w:t>
      </w:r>
      <w:r>
        <w:rPr>
          <w:color w:val="231F20"/>
          <w:spacing w:val="-11"/>
          <w:w w:val="105"/>
        </w:rPr>
        <w:t> </w:t>
      </w:r>
      <w:r>
        <w:rPr>
          <w:color w:val="231F20"/>
          <w:w w:val="105"/>
        </w:rPr>
        <w:t>200</w:t>
      </w:r>
      <w:r>
        <w:rPr>
          <w:color w:val="231F20"/>
          <w:spacing w:val="-11"/>
          <w:w w:val="105"/>
        </w:rPr>
        <w:t> </w:t>
      </w:r>
      <w:r>
        <w:rPr>
          <w:color w:val="231F20"/>
          <w:w w:val="105"/>
        </w:rPr>
        <w:t>000.</w:t>
      </w:r>
      <w:r>
        <w:rPr>
          <w:color w:val="231F20"/>
          <w:spacing w:val="-16"/>
          <w:w w:val="105"/>
        </w:rPr>
        <w:t> </w:t>
      </w:r>
      <w:r>
        <w:rPr>
          <w:color w:val="231F20"/>
          <w:w w:val="105"/>
        </w:rPr>
        <w:t>Sin</w:t>
      </w:r>
      <w:r>
        <w:rPr>
          <w:color w:val="231F20"/>
          <w:spacing w:val="-11"/>
          <w:w w:val="105"/>
        </w:rPr>
        <w:t> </w:t>
      </w:r>
      <w:r>
        <w:rPr>
          <w:color w:val="231F20"/>
          <w:w w:val="105"/>
        </w:rPr>
        <w:t>embargo,</w:t>
      </w:r>
      <w:r>
        <w:rPr>
          <w:color w:val="231F20"/>
          <w:spacing w:val="-16"/>
          <w:w w:val="105"/>
        </w:rPr>
        <w:t> </w:t>
      </w:r>
      <w:r>
        <w:rPr>
          <w:color w:val="231F20"/>
          <w:w w:val="105"/>
        </w:rPr>
        <w:t>paralelo</w:t>
      </w:r>
      <w:r>
        <w:rPr>
          <w:color w:val="231F20"/>
          <w:spacing w:val="-11"/>
          <w:w w:val="105"/>
        </w:rPr>
        <w:t> </w:t>
      </w:r>
      <w:r>
        <w:rPr>
          <w:color w:val="231F20"/>
          <w:w w:val="105"/>
        </w:rPr>
        <w:t>a</w:t>
      </w:r>
      <w:r>
        <w:rPr>
          <w:color w:val="231F20"/>
          <w:spacing w:val="-11"/>
          <w:w w:val="105"/>
        </w:rPr>
        <w:t> </w:t>
      </w:r>
      <w:r>
        <w:rPr>
          <w:color w:val="231F20"/>
          <w:w w:val="105"/>
        </w:rPr>
        <w:t>este</w:t>
      </w:r>
      <w:r>
        <w:rPr>
          <w:color w:val="231F20"/>
          <w:spacing w:val="-11"/>
          <w:w w:val="105"/>
        </w:rPr>
        <w:t> </w:t>
      </w:r>
      <w:r>
        <w:rPr>
          <w:color w:val="231F20"/>
          <w:w w:val="105"/>
        </w:rPr>
        <w:t>hecho, la migración de indocumentados también aumentó, volviéndose tema político</w:t>
      </w:r>
      <w:r>
        <w:rPr>
          <w:color w:val="231F20"/>
          <w:spacing w:val="-4"/>
          <w:w w:val="105"/>
        </w:rPr>
        <w:t> </w:t>
      </w:r>
      <w:r>
        <w:rPr>
          <w:color w:val="231F20"/>
          <w:w w:val="105"/>
        </w:rPr>
        <w:t>importante</w:t>
      </w:r>
      <w:r>
        <w:rPr>
          <w:color w:val="231F20"/>
          <w:spacing w:val="-4"/>
          <w:w w:val="105"/>
        </w:rPr>
        <w:t> </w:t>
      </w:r>
      <w:r>
        <w:rPr>
          <w:color w:val="231F20"/>
          <w:w w:val="105"/>
        </w:rPr>
        <w:t>en</w:t>
      </w:r>
      <w:r>
        <w:rPr>
          <w:color w:val="231F20"/>
          <w:spacing w:val="-4"/>
          <w:w w:val="105"/>
        </w:rPr>
        <w:t> </w:t>
      </w:r>
      <w:r>
        <w:rPr>
          <w:color w:val="231F20"/>
          <w:w w:val="105"/>
        </w:rPr>
        <w:t>1953</w:t>
      </w:r>
      <w:r>
        <w:rPr>
          <w:color w:val="231F20"/>
          <w:spacing w:val="-4"/>
          <w:w w:val="105"/>
        </w:rPr>
        <w:t> </w:t>
      </w:r>
      <w:r>
        <w:rPr>
          <w:color w:val="231F20"/>
          <w:w w:val="105"/>
        </w:rPr>
        <w:t>y</w:t>
      </w:r>
      <w:r>
        <w:rPr>
          <w:color w:val="231F20"/>
          <w:spacing w:val="-4"/>
          <w:w w:val="105"/>
        </w:rPr>
        <w:t> </w:t>
      </w:r>
      <w:r>
        <w:rPr>
          <w:color w:val="231F20"/>
          <w:w w:val="105"/>
        </w:rPr>
        <w:t>1954,</w:t>
      </w:r>
      <w:r>
        <w:rPr>
          <w:color w:val="231F20"/>
          <w:spacing w:val="-10"/>
          <w:w w:val="105"/>
        </w:rPr>
        <w:t> </w:t>
      </w:r>
      <w:r>
        <w:rPr>
          <w:color w:val="231F20"/>
          <w:w w:val="105"/>
        </w:rPr>
        <w:t>y</w:t>
      </w:r>
      <w:r>
        <w:rPr>
          <w:color w:val="231F20"/>
          <w:spacing w:val="-4"/>
          <w:w w:val="105"/>
        </w:rPr>
        <w:t> </w:t>
      </w:r>
      <w:r>
        <w:rPr>
          <w:color w:val="231F20"/>
          <w:w w:val="105"/>
        </w:rPr>
        <w:t>dando</w:t>
      </w:r>
      <w:r>
        <w:rPr>
          <w:color w:val="231F20"/>
          <w:spacing w:val="-4"/>
          <w:w w:val="105"/>
        </w:rPr>
        <w:t> </w:t>
      </w:r>
      <w:r>
        <w:rPr>
          <w:color w:val="231F20"/>
          <w:w w:val="105"/>
        </w:rPr>
        <w:t>lugar</w:t>
      </w:r>
      <w:r>
        <w:rPr>
          <w:color w:val="231F20"/>
          <w:spacing w:val="-4"/>
          <w:w w:val="105"/>
        </w:rPr>
        <w:t> </w:t>
      </w:r>
      <w:r>
        <w:rPr>
          <w:color w:val="231F20"/>
          <w:w w:val="105"/>
        </w:rPr>
        <w:t>a</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conocería como</w:t>
      </w:r>
      <w:r>
        <w:rPr>
          <w:color w:val="231F20"/>
          <w:spacing w:val="-20"/>
          <w:w w:val="105"/>
        </w:rPr>
        <w:t> </w:t>
      </w:r>
      <w:r>
        <w:rPr>
          <w:color w:val="231F20"/>
          <w:w w:val="105"/>
        </w:rPr>
        <w:t>“Operación</w:t>
      </w:r>
      <w:r>
        <w:rPr>
          <w:color w:val="231F20"/>
          <w:spacing w:val="-20"/>
          <w:w w:val="105"/>
        </w:rPr>
        <w:t> </w:t>
      </w:r>
      <w:r>
        <w:rPr>
          <w:color w:val="231F20"/>
          <w:w w:val="105"/>
        </w:rPr>
        <w:t>mojados”</w:t>
      </w:r>
      <w:r>
        <w:rPr>
          <w:color w:val="231F20"/>
          <w:spacing w:val="-20"/>
          <w:w w:val="105"/>
        </w:rPr>
        <w:t> </w:t>
      </w:r>
      <w:r>
        <w:rPr>
          <w:color w:val="231F20"/>
          <w:w w:val="105"/>
        </w:rPr>
        <w:t>(Calavita,</w:t>
      </w:r>
      <w:r>
        <w:rPr>
          <w:color w:val="231F20"/>
          <w:spacing w:val="-25"/>
          <w:w w:val="105"/>
        </w:rPr>
        <w:t> </w:t>
      </w:r>
      <w:r>
        <w:rPr>
          <w:color w:val="231F20"/>
          <w:w w:val="105"/>
        </w:rPr>
        <w:t>1992).</w:t>
      </w:r>
    </w:p>
    <w:p>
      <w:pPr>
        <w:pStyle w:val="BodyText"/>
        <w:rPr>
          <w:sz w:val="20"/>
        </w:rPr>
      </w:pPr>
    </w:p>
    <w:p>
      <w:pPr>
        <w:pStyle w:val="BodyText"/>
        <w:rPr>
          <w:sz w:val="20"/>
        </w:rPr>
      </w:pPr>
    </w:p>
    <w:p>
      <w:pPr>
        <w:pStyle w:val="BodyText"/>
        <w:rPr>
          <w:sz w:val="20"/>
        </w:rPr>
      </w:pPr>
    </w:p>
    <w:p>
      <w:pPr>
        <w:pStyle w:val="BodyText"/>
        <w:spacing w:before="11"/>
        <w:rPr>
          <w:sz w:val="2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2032" from="131.551193pt,3.703715pt" to="131.551193pt,39.506114pt" stroked="true" strokeweight=".35pt" strokecolor="#231f20">
            <w10:wrap type="none"/>
          </v:line>
        </w:pict>
      </w:r>
      <w:r>
        <w:rPr/>
        <w:pict>
          <v:line style="position:absolute;mso-position-horizontal-relative:page;mso-position-vertical-relative:paragraph;z-index:-451960" from="15pt,39.505917pt" to="0pt,39.505917pt" stroked="true" strokeweight=".25pt" strokecolor="#000000">
            <w10:wrap type="none"/>
          </v:line>
        </w:pict>
      </w:r>
      <w:r>
        <w:rPr/>
        <w:pict>
          <v:line style="position:absolute;mso-position-horizontal-relative:page;mso-position-vertical-relative:paragraph;z-index:38248" from="508.890015pt,39.505917pt" to="523.890015pt,39.505917pt" stroked="true" strokeweight=".25pt" strokecolor="#000000">
            <w10:wrap type="none"/>
          </v:line>
        </w:pict>
      </w:r>
      <w:r>
        <w:rPr>
          <w:rFonts w:ascii="Arial" w:hAnsi="Arial"/>
          <w:color w:val="414042"/>
          <w:position w:val="-5"/>
          <w:sz w:val="20"/>
        </w:rPr>
        <w:t>316</w:t>
        <w:tab/>
      </w:r>
      <w:r>
        <w:rPr>
          <w:rFonts w:ascii="Calibri" w:hAnsi="Calibri"/>
          <w:color w:val="6D6E71"/>
          <w:sz w:val="15"/>
        </w:rPr>
        <w:t>Zoraida Ronzón Hernández, Norma Baca </w:t>
      </w:r>
      <w:r>
        <w:rPr>
          <w:rFonts w:ascii="Calibri" w:hAnsi="Calibri"/>
          <w:color w:val="6D6E71"/>
          <w:spacing w:val="-2"/>
          <w:sz w:val="15"/>
        </w:rPr>
        <w:t>Tavira </w:t>
      </w:r>
      <w:r>
        <w:rPr>
          <w:rFonts w:ascii="Calibri" w:hAnsi="Calibri"/>
          <w:color w:val="6D6E71"/>
          <w:sz w:val="15"/>
        </w:rPr>
        <w:t>y Patricia Román  </w:t>
      </w:r>
      <w:r>
        <w:rPr>
          <w:rFonts w:ascii="Calibri" w:hAnsi="Calibri"/>
          <w:color w:val="6D6E71"/>
          <w:spacing w:val="24"/>
          <w:sz w:val="15"/>
        </w:rPr>
        <w:t> </w:t>
      </w:r>
      <w:r>
        <w:rPr>
          <w:rFonts w:ascii="Calibri" w:hAnsi="Calibri"/>
          <w:color w:val="6D6E71"/>
          <w:sz w:val="15"/>
        </w:rPr>
        <w:t>Reyes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hAnsi="Lucida Sans Unicode"/>
          <w:sz w:val="14"/>
        </w:rPr>
      </w:pPr>
      <w:r>
        <w:rPr/>
        <w:pict>
          <v:line style="position:absolute;mso-position-horizontal-relative:page;mso-position-vertical-relative:paragraph;z-index:38272" from="405.061005pt,-27.904295pt" to="405.061005pt,6.961579pt" stroked="true" strokeweight=".35pt" strokecolor="#231f20">
            <w10:wrap type="none"/>
          </v:line>
        </w:pict>
      </w:r>
      <w:r>
        <w:rPr/>
        <w:pict>
          <v:line style="position:absolute;mso-position-horizontal-relative:page;mso-position-vertical-relative:paragraph;z-index:38296" from="15pt,-27.90452pt" to="0pt,-27.90452pt" stroked="true" strokeweight=".25pt" strokecolor="#000000">
            <w10:wrap type="none"/>
          </v:line>
        </w:pict>
      </w:r>
      <w:r>
        <w:rPr/>
        <w:pict>
          <v:line style="position:absolute;mso-position-horizontal-relative:page;mso-position-vertical-relative:paragraph;z-index:38320" from="508.890015pt,-27.90452pt" to="523.890015pt,-27.90452pt" stroked="true" strokeweight=".25pt" strokecolor="#000000">
            <w10:wrap type="none"/>
          </v:line>
        </w:pict>
      </w:r>
      <w:r>
        <w:rPr>
          <w:rFonts w:ascii="Lucida Sans Unicode" w:hAnsi="Lucida Sans Unicode"/>
          <w:color w:val="6D6E71"/>
          <w:w w:val="90"/>
          <w:sz w:val="14"/>
        </w:rPr>
        <w:t>MIGRACIÓN INTERGENERACIONAL EN EL ESTADO DE MÉXICO.</w:t>
      </w:r>
    </w:p>
    <w:p>
      <w:pPr>
        <w:spacing w:line="198" w:lineRule="exact" w:before="0"/>
        <w:ind w:left="0" w:right="0" w:firstLine="0"/>
        <w:jc w:val="right"/>
        <w:rPr>
          <w:rFonts w:ascii="Lucida Sans Unicode" w:hAnsi="Lucida Sans Unicode"/>
          <w:sz w:val="14"/>
        </w:rPr>
      </w:pPr>
      <w:r>
        <w:rPr>
          <w:rFonts w:ascii="Lucida Sans Unicode" w:hAnsi="Lucida Sans Unicode"/>
          <w:color w:val="6D6E71"/>
          <w:w w:val="90"/>
          <w:sz w:val="14"/>
        </w:rPr>
        <w:t>LA BÚSQUEDA DE MOVILIDAD SOCIAL</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317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51840" from="15pt,715.487793pt" to="0pt,715.487793pt" stroked="true" strokeweight=".25pt" strokecolor="#000000">
            <w10:wrap type="none"/>
          </v:line>
        </w:pict>
      </w:r>
      <w:r>
        <w:rPr/>
        <w:pict>
          <v:line style="position:absolute;mso-position-horizontal-relative:page;mso-position-vertical-relative:page;z-index:38368" from="508.890015pt,715.487793pt" to="523.890015pt,715.487793pt" stroked="true" strokeweight=".25pt" strokecolor="#000000">
            <w10:wrap type="none"/>
          </v:line>
        </w:pict>
      </w:r>
    </w:p>
    <w:p>
      <w:pPr>
        <w:pStyle w:val="BodyText"/>
        <w:spacing w:before="6"/>
        <w:rPr>
          <w:rFonts w:ascii="Arial"/>
          <w:sz w:val="16"/>
        </w:rPr>
      </w:pPr>
    </w:p>
    <w:p>
      <w:pPr>
        <w:pStyle w:val="BodyText"/>
        <w:spacing w:line="261" w:lineRule="auto" w:before="60"/>
        <w:ind w:left="1837" w:right="1721"/>
        <w:jc w:val="both"/>
      </w:pPr>
      <w:r>
        <w:rPr>
          <w:color w:val="231F20"/>
          <w:w w:val="105"/>
        </w:rPr>
        <w:t>Mientras tanto, entre 1940 y 1970 el ritmo de crecimiento demográfico de México era de 3% anual. De 20 millones en 1940, el país tenía 30 millones</w:t>
      </w:r>
      <w:r>
        <w:rPr>
          <w:color w:val="231F20"/>
          <w:spacing w:val="-13"/>
          <w:w w:val="105"/>
        </w:rPr>
        <w:t> </w:t>
      </w:r>
      <w:r>
        <w:rPr>
          <w:color w:val="231F20"/>
          <w:w w:val="105"/>
        </w:rPr>
        <w:t>más</w:t>
      </w:r>
      <w:r>
        <w:rPr>
          <w:color w:val="231F20"/>
          <w:spacing w:val="-13"/>
          <w:w w:val="105"/>
        </w:rPr>
        <w:t> </w:t>
      </w:r>
      <w:r>
        <w:rPr>
          <w:color w:val="231F20"/>
          <w:w w:val="105"/>
        </w:rPr>
        <w:t>en</w:t>
      </w:r>
      <w:r>
        <w:rPr>
          <w:color w:val="231F20"/>
          <w:spacing w:val="-13"/>
          <w:w w:val="105"/>
        </w:rPr>
        <w:t> </w:t>
      </w:r>
      <w:r>
        <w:rPr>
          <w:color w:val="231F20"/>
          <w:w w:val="105"/>
        </w:rPr>
        <w:t>1970</w:t>
      </w:r>
      <w:r>
        <w:rPr>
          <w:color w:val="231F20"/>
          <w:spacing w:val="-13"/>
          <w:w w:val="105"/>
        </w:rPr>
        <w:t> </w:t>
      </w:r>
      <w:r>
        <w:rPr>
          <w:color w:val="231F20"/>
          <w:w w:val="105"/>
        </w:rPr>
        <w:t>(Montes</w:t>
      </w:r>
      <w:r>
        <w:rPr>
          <w:color w:val="231F20"/>
          <w:spacing w:val="-13"/>
          <w:w w:val="105"/>
        </w:rPr>
        <w:t> </w:t>
      </w:r>
      <w:r>
        <w:rPr>
          <w:color w:val="231F20"/>
          <w:w w:val="105"/>
        </w:rPr>
        <w:t>de</w:t>
      </w:r>
      <w:r>
        <w:rPr>
          <w:color w:val="231F20"/>
          <w:spacing w:val="-13"/>
          <w:w w:val="105"/>
        </w:rPr>
        <w:t> </w:t>
      </w:r>
      <w:r>
        <w:rPr>
          <w:color w:val="231F20"/>
          <w:w w:val="105"/>
        </w:rPr>
        <w:t>Oca,</w:t>
      </w:r>
      <w:r>
        <w:rPr>
          <w:color w:val="231F20"/>
          <w:spacing w:val="-18"/>
          <w:w w:val="105"/>
        </w:rPr>
        <w:t> </w:t>
      </w:r>
      <w:r>
        <w:rPr>
          <w:color w:val="231F20"/>
          <w:w w:val="105"/>
        </w:rPr>
        <w:t>1995:</w:t>
      </w:r>
      <w:r>
        <w:rPr>
          <w:color w:val="231F20"/>
          <w:spacing w:val="-13"/>
          <w:w w:val="105"/>
        </w:rPr>
        <w:t> </w:t>
      </w:r>
      <w:r>
        <w:rPr>
          <w:color w:val="231F20"/>
          <w:w w:val="105"/>
        </w:rPr>
        <w:t>49).</w:t>
      </w:r>
      <w:r>
        <w:rPr>
          <w:color w:val="231F20"/>
          <w:spacing w:val="-18"/>
          <w:w w:val="105"/>
        </w:rPr>
        <w:t> </w:t>
      </w:r>
      <w:r>
        <w:rPr>
          <w:color w:val="231F20"/>
          <w:w w:val="105"/>
        </w:rPr>
        <w:t>En</w:t>
      </w:r>
      <w:r>
        <w:rPr>
          <w:color w:val="231F20"/>
          <w:spacing w:val="-13"/>
          <w:w w:val="105"/>
        </w:rPr>
        <w:t> </w:t>
      </w:r>
      <w:r>
        <w:rPr>
          <w:color w:val="231F20"/>
          <w:w w:val="105"/>
        </w:rPr>
        <w:t>treinta</w:t>
      </w:r>
      <w:r>
        <w:rPr>
          <w:color w:val="231F20"/>
          <w:spacing w:val="-13"/>
          <w:w w:val="105"/>
        </w:rPr>
        <w:t> </w:t>
      </w:r>
      <w:r>
        <w:rPr>
          <w:color w:val="231F20"/>
          <w:w w:val="105"/>
        </w:rPr>
        <w:t>años</w:t>
      </w:r>
      <w:r>
        <w:rPr>
          <w:color w:val="231F20"/>
          <w:spacing w:val="-13"/>
          <w:w w:val="105"/>
        </w:rPr>
        <w:t> </w:t>
      </w:r>
      <w:r>
        <w:rPr>
          <w:color w:val="231F20"/>
          <w:w w:val="105"/>
        </w:rPr>
        <w:t>de</w:t>
      </w:r>
      <w:r>
        <w:rPr>
          <w:color w:val="231F20"/>
          <w:spacing w:val="-13"/>
          <w:w w:val="105"/>
        </w:rPr>
        <w:t> </w:t>
      </w:r>
      <w:r>
        <w:rPr>
          <w:color w:val="231F20"/>
          <w:w w:val="105"/>
        </w:rPr>
        <w:t>de- sarrollo y crecimiento económico la población del país se había rejuve- necido.</w:t>
      </w:r>
      <w:r>
        <w:rPr>
          <w:color w:val="231F20"/>
          <w:spacing w:val="-23"/>
          <w:w w:val="105"/>
        </w:rPr>
        <w:t> </w:t>
      </w:r>
      <w:r>
        <w:rPr>
          <w:color w:val="231F20"/>
          <w:w w:val="105"/>
        </w:rPr>
        <w:t>La</w:t>
      </w:r>
      <w:r>
        <w:rPr>
          <w:color w:val="231F20"/>
          <w:spacing w:val="-18"/>
          <w:w w:val="105"/>
        </w:rPr>
        <w:t> </w:t>
      </w:r>
      <w:r>
        <w:rPr>
          <w:color w:val="231F20"/>
          <w:w w:val="105"/>
        </w:rPr>
        <w:t>esperanza</w:t>
      </w:r>
      <w:r>
        <w:rPr>
          <w:color w:val="231F20"/>
          <w:spacing w:val="-18"/>
          <w:w w:val="105"/>
        </w:rPr>
        <w:t> </w:t>
      </w:r>
      <w:r>
        <w:rPr>
          <w:color w:val="231F20"/>
          <w:w w:val="105"/>
        </w:rPr>
        <w:t>de</w:t>
      </w:r>
      <w:r>
        <w:rPr>
          <w:color w:val="231F20"/>
          <w:spacing w:val="-18"/>
          <w:w w:val="105"/>
        </w:rPr>
        <w:t> </w:t>
      </w:r>
      <w:r>
        <w:rPr>
          <w:color w:val="231F20"/>
          <w:w w:val="105"/>
        </w:rPr>
        <w:t>vida</w:t>
      </w:r>
      <w:r>
        <w:rPr>
          <w:color w:val="231F20"/>
          <w:spacing w:val="-18"/>
          <w:w w:val="105"/>
        </w:rPr>
        <w:t> </w:t>
      </w:r>
      <w:r>
        <w:rPr>
          <w:color w:val="231F20"/>
          <w:w w:val="105"/>
        </w:rPr>
        <w:t>continuó</w:t>
      </w:r>
      <w:r>
        <w:rPr>
          <w:color w:val="231F20"/>
          <w:spacing w:val="-18"/>
          <w:w w:val="105"/>
        </w:rPr>
        <w:t> </w:t>
      </w:r>
      <w:r>
        <w:rPr>
          <w:color w:val="231F20"/>
          <w:w w:val="105"/>
        </w:rPr>
        <w:t>prolongándose</w:t>
      </w:r>
      <w:r>
        <w:rPr>
          <w:color w:val="231F20"/>
          <w:spacing w:val="-18"/>
          <w:w w:val="105"/>
        </w:rPr>
        <w:t> </w:t>
      </w:r>
      <w:r>
        <w:rPr>
          <w:color w:val="231F20"/>
          <w:w w:val="105"/>
        </w:rPr>
        <w:t>hasta</w:t>
      </w:r>
      <w:r>
        <w:rPr>
          <w:color w:val="231F20"/>
          <w:spacing w:val="-18"/>
          <w:w w:val="105"/>
        </w:rPr>
        <w:t> </w:t>
      </w:r>
      <w:r>
        <w:rPr>
          <w:color w:val="231F20"/>
          <w:w w:val="105"/>
        </w:rPr>
        <w:t>alcanzar</w:t>
      </w:r>
      <w:r>
        <w:rPr>
          <w:color w:val="231F20"/>
          <w:spacing w:val="-18"/>
          <w:w w:val="105"/>
        </w:rPr>
        <w:t> </w:t>
      </w:r>
      <w:r>
        <w:rPr>
          <w:color w:val="231F20"/>
          <w:w w:val="105"/>
        </w:rPr>
        <w:t>en 1970</w:t>
      </w:r>
      <w:r>
        <w:rPr>
          <w:color w:val="231F20"/>
          <w:spacing w:val="-7"/>
          <w:w w:val="105"/>
        </w:rPr>
        <w:t> </w:t>
      </w:r>
      <w:r>
        <w:rPr>
          <w:color w:val="231F20"/>
          <w:w w:val="105"/>
        </w:rPr>
        <w:t>los</w:t>
      </w:r>
      <w:r>
        <w:rPr>
          <w:color w:val="231F20"/>
          <w:spacing w:val="-7"/>
          <w:w w:val="105"/>
        </w:rPr>
        <w:t> </w:t>
      </w:r>
      <w:r>
        <w:rPr>
          <w:color w:val="231F20"/>
          <w:w w:val="105"/>
        </w:rPr>
        <w:t>59</w:t>
      </w:r>
      <w:r>
        <w:rPr>
          <w:color w:val="231F20"/>
          <w:spacing w:val="-7"/>
          <w:w w:val="105"/>
        </w:rPr>
        <w:t> </w:t>
      </w:r>
      <w:r>
        <w:rPr>
          <w:color w:val="231F20"/>
          <w:w w:val="105"/>
        </w:rPr>
        <w:t>años</w:t>
      </w:r>
      <w:r>
        <w:rPr>
          <w:color w:val="231F20"/>
          <w:spacing w:val="-7"/>
          <w:w w:val="105"/>
        </w:rPr>
        <w:t> </w:t>
      </w:r>
      <w:r>
        <w:rPr>
          <w:color w:val="231F20"/>
          <w:w w:val="105"/>
        </w:rPr>
        <w:t>para</w:t>
      </w:r>
      <w:r>
        <w:rPr>
          <w:color w:val="231F20"/>
          <w:spacing w:val="-7"/>
          <w:w w:val="105"/>
        </w:rPr>
        <w:t> </w:t>
      </w:r>
      <w:r>
        <w:rPr>
          <w:color w:val="231F20"/>
          <w:w w:val="105"/>
        </w:rPr>
        <w:t>los</w:t>
      </w:r>
      <w:r>
        <w:rPr>
          <w:color w:val="231F20"/>
          <w:spacing w:val="-7"/>
          <w:w w:val="105"/>
        </w:rPr>
        <w:t> </w:t>
      </w:r>
      <w:r>
        <w:rPr>
          <w:color w:val="231F20"/>
          <w:w w:val="105"/>
        </w:rPr>
        <w:t>hombres</w:t>
      </w:r>
      <w:r>
        <w:rPr>
          <w:color w:val="231F20"/>
          <w:spacing w:val="-7"/>
          <w:w w:val="105"/>
        </w:rPr>
        <w:t> </w:t>
      </w:r>
      <w:r>
        <w:rPr>
          <w:color w:val="231F20"/>
          <w:w w:val="105"/>
        </w:rPr>
        <w:t>y</w:t>
      </w:r>
      <w:r>
        <w:rPr>
          <w:color w:val="231F20"/>
          <w:spacing w:val="-7"/>
          <w:w w:val="105"/>
        </w:rPr>
        <w:t> </w:t>
      </w:r>
      <w:r>
        <w:rPr>
          <w:color w:val="231F20"/>
          <w:w w:val="105"/>
        </w:rPr>
        <w:t>63</w:t>
      </w:r>
      <w:r>
        <w:rPr>
          <w:color w:val="231F20"/>
          <w:spacing w:val="-7"/>
          <w:w w:val="105"/>
        </w:rPr>
        <w:t> </w:t>
      </w:r>
      <w:r>
        <w:rPr>
          <w:color w:val="231F20"/>
          <w:w w:val="105"/>
        </w:rPr>
        <w:t>para</w:t>
      </w:r>
      <w:r>
        <w:rPr>
          <w:color w:val="231F20"/>
          <w:spacing w:val="-7"/>
          <w:w w:val="105"/>
        </w:rPr>
        <w:t> </w:t>
      </w:r>
      <w:r>
        <w:rPr>
          <w:color w:val="231F20"/>
          <w:w w:val="105"/>
        </w:rPr>
        <w:t>las</w:t>
      </w:r>
      <w:r>
        <w:rPr>
          <w:color w:val="231F20"/>
          <w:spacing w:val="-7"/>
          <w:w w:val="105"/>
        </w:rPr>
        <w:t> </w:t>
      </w:r>
      <w:r>
        <w:rPr>
          <w:color w:val="231F20"/>
          <w:w w:val="105"/>
        </w:rPr>
        <w:t>mujeres.</w:t>
      </w:r>
      <w:r>
        <w:rPr>
          <w:color w:val="231F20"/>
          <w:spacing w:val="-13"/>
          <w:w w:val="105"/>
        </w:rPr>
        <w:t> </w:t>
      </w:r>
      <w:r>
        <w:rPr>
          <w:color w:val="231F20"/>
          <w:w w:val="105"/>
        </w:rPr>
        <w:t>El</w:t>
      </w:r>
      <w:r>
        <w:rPr>
          <w:color w:val="231F20"/>
          <w:spacing w:val="-7"/>
          <w:w w:val="105"/>
        </w:rPr>
        <w:t> </w:t>
      </w:r>
      <w:r>
        <w:rPr>
          <w:color w:val="231F20"/>
          <w:w w:val="105"/>
        </w:rPr>
        <w:t>número</w:t>
      </w:r>
      <w:r>
        <w:rPr>
          <w:color w:val="231F20"/>
          <w:spacing w:val="-7"/>
          <w:w w:val="105"/>
        </w:rPr>
        <w:t> </w:t>
      </w:r>
      <w:r>
        <w:rPr>
          <w:color w:val="231F20"/>
          <w:w w:val="105"/>
        </w:rPr>
        <w:t>de defunciones</w:t>
      </w:r>
      <w:r>
        <w:rPr>
          <w:color w:val="231F20"/>
          <w:spacing w:val="-13"/>
          <w:w w:val="105"/>
        </w:rPr>
        <w:t> </w:t>
      </w:r>
      <w:r>
        <w:rPr>
          <w:color w:val="231F20"/>
          <w:w w:val="105"/>
        </w:rPr>
        <w:t>infantiles</w:t>
      </w:r>
      <w:r>
        <w:rPr>
          <w:color w:val="231F20"/>
          <w:spacing w:val="-13"/>
          <w:w w:val="105"/>
        </w:rPr>
        <w:t> </w:t>
      </w:r>
      <w:r>
        <w:rPr>
          <w:color w:val="231F20"/>
          <w:w w:val="105"/>
        </w:rPr>
        <w:t>había</w:t>
      </w:r>
      <w:r>
        <w:rPr>
          <w:color w:val="231F20"/>
          <w:spacing w:val="-13"/>
          <w:w w:val="105"/>
        </w:rPr>
        <w:t> </w:t>
      </w:r>
      <w:r>
        <w:rPr>
          <w:color w:val="231F20"/>
          <w:w w:val="105"/>
        </w:rPr>
        <w:t>disminuido</w:t>
      </w:r>
      <w:r>
        <w:rPr>
          <w:color w:val="231F20"/>
          <w:spacing w:val="-13"/>
          <w:w w:val="105"/>
        </w:rPr>
        <w:t> </w:t>
      </w:r>
      <w:r>
        <w:rPr>
          <w:color w:val="231F20"/>
          <w:w w:val="105"/>
        </w:rPr>
        <w:t>para</w:t>
      </w:r>
      <w:r>
        <w:rPr>
          <w:color w:val="231F20"/>
          <w:spacing w:val="-13"/>
          <w:w w:val="105"/>
        </w:rPr>
        <w:t> </w:t>
      </w:r>
      <w:r>
        <w:rPr>
          <w:color w:val="231F20"/>
          <w:w w:val="105"/>
        </w:rPr>
        <w:t>reportar</w:t>
      </w:r>
      <w:r>
        <w:rPr>
          <w:color w:val="231F20"/>
          <w:spacing w:val="-13"/>
          <w:w w:val="105"/>
        </w:rPr>
        <w:t> </w:t>
      </w:r>
      <w:r>
        <w:rPr>
          <w:color w:val="231F20"/>
          <w:w w:val="105"/>
        </w:rPr>
        <w:t>en</w:t>
      </w:r>
      <w:r>
        <w:rPr>
          <w:color w:val="231F20"/>
          <w:spacing w:val="-13"/>
          <w:w w:val="105"/>
        </w:rPr>
        <w:t> </w:t>
      </w:r>
      <w:r>
        <w:rPr>
          <w:color w:val="231F20"/>
          <w:w w:val="105"/>
        </w:rPr>
        <w:t>1970,</w:t>
      </w:r>
      <w:r>
        <w:rPr>
          <w:color w:val="231F20"/>
          <w:spacing w:val="-18"/>
          <w:w w:val="105"/>
        </w:rPr>
        <w:t> </w:t>
      </w:r>
      <w:r>
        <w:rPr>
          <w:color w:val="231F20"/>
          <w:w w:val="105"/>
        </w:rPr>
        <w:t>setenta</w:t>
      </w:r>
      <w:r>
        <w:rPr>
          <w:color w:val="231F20"/>
          <w:spacing w:val="-13"/>
          <w:w w:val="105"/>
        </w:rPr>
        <w:t> </w:t>
      </w:r>
      <w:r>
        <w:rPr>
          <w:color w:val="231F20"/>
          <w:w w:val="105"/>
        </w:rPr>
        <w:t>y tres</w:t>
      </w:r>
      <w:r>
        <w:rPr>
          <w:color w:val="231F20"/>
          <w:spacing w:val="-23"/>
          <w:w w:val="105"/>
        </w:rPr>
        <w:t> </w:t>
      </w:r>
      <w:r>
        <w:rPr>
          <w:color w:val="231F20"/>
          <w:w w:val="105"/>
        </w:rPr>
        <w:t>muertes</w:t>
      </w:r>
      <w:r>
        <w:rPr>
          <w:color w:val="231F20"/>
          <w:spacing w:val="-23"/>
          <w:w w:val="105"/>
        </w:rPr>
        <w:t> </w:t>
      </w:r>
      <w:r>
        <w:rPr>
          <w:color w:val="231F20"/>
          <w:w w:val="105"/>
        </w:rPr>
        <w:t>por</w:t>
      </w:r>
      <w:r>
        <w:rPr>
          <w:color w:val="231F20"/>
          <w:spacing w:val="-23"/>
          <w:w w:val="105"/>
        </w:rPr>
        <w:t> </w:t>
      </w:r>
      <w:r>
        <w:rPr>
          <w:color w:val="231F20"/>
          <w:w w:val="105"/>
        </w:rPr>
        <w:t>cada</w:t>
      </w:r>
      <w:r>
        <w:rPr>
          <w:color w:val="231F20"/>
          <w:spacing w:val="-23"/>
          <w:w w:val="105"/>
        </w:rPr>
        <w:t> </w:t>
      </w:r>
      <w:r>
        <w:rPr>
          <w:color w:val="231F20"/>
          <w:w w:val="105"/>
        </w:rPr>
        <w:t>mil</w:t>
      </w:r>
      <w:r>
        <w:rPr>
          <w:color w:val="231F20"/>
          <w:spacing w:val="-23"/>
          <w:w w:val="105"/>
        </w:rPr>
        <w:t> </w:t>
      </w:r>
      <w:r>
        <w:rPr>
          <w:color w:val="231F20"/>
          <w:w w:val="105"/>
        </w:rPr>
        <w:t>nacimientos</w:t>
      </w:r>
      <w:r>
        <w:rPr>
          <w:color w:val="231F20"/>
          <w:spacing w:val="-23"/>
          <w:w w:val="105"/>
        </w:rPr>
        <w:t> </w:t>
      </w:r>
      <w:r>
        <w:rPr>
          <w:color w:val="231F20"/>
          <w:w w:val="105"/>
        </w:rPr>
        <w:t>(Camposortega,</w:t>
      </w:r>
      <w:r>
        <w:rPr>
          <w:color w:val="231F20"/>
          <w:spacing w:val="-27"/>
          <w:w w:val="105"/>
        </w:rPr>
        <w:t> </w:t>
      </w:r>
      <w:r>
        <w:rPr>
          <w:color w:val="231F20"/>
          <w:w w:val="105"/>
        </w:rPr>
        <w:t>1992)</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tasa</w:t>
      </w:r>
      <w:r>
        <w:rPr>
          <w:color w:val="231F20"/>
          <w:spacing w:val="-23"/>
          <w:w w:val="105"/>
        </w:rPr>
        <w:t> </w:t>
      </w:r>
      <w:r>
        <w:rPr>
          <w:color w:val="231F20"/>
          <w:w w:val="105"/>
        </w:rPr>
        <w:t>de fecundidad siguió muy alta: siete hijos por mujer en edad reproductiva </w:t>
      </w:r>
      <w:r>
        <w:rPr>
          <w:color w:val="231F20"/>
        </w:rPr>
        <w:t>(Alba,</w:t>
      </w:r>
      <w:r>
        <w:rPr>
          <w:color w:val="231F20"/>
          <w:spacing w:val="12"/>
        </w:rPr>
        <w:t> </w:t>
      </w:r>
      <w:r>
        <w:rPr>
          <w:color w:val="231F20"/>
        </w:rPr>
        <w:t>1977).</w:t>
      </w:r>
    </w:p>
    <w:p>
      <w:pPr>
        <w:pStyle w:val="BodyText"/>
        <w:spacing w:line="261" w:lineRule="auto" w:before="1"/>
        <w:ind w:left="1837" w:right="1721" w:firstLine="567"/>
        <w:jc w:val="both"/>
      </w:pPr>
      <w:r>
        <w:rPr>
          <w:color w:val="231F20"/>
          <w:w w:val="105"/>
        </w:rPr>
        <w:t>En 1964,</w:t>
      </w:r>
      <w:r>
        <w:rPr>
          <w:color w:val="231F20"/>
          <w:spacing w:val="-41"/>
          <w:w w:val="105"/>
        </w:rPr>
        <w:t> </w:t>
      </w:r>
      <w:r>
        <w:rPr>
          <w:color w:val="231F20"/>
          <w:w w:val="105"/>
        </w:rPr>
        <w:t>la migración indocumentada desapareció de la concien- cia pública. </w:t>
      </w:r>
      <w:r>
        <w:rPr>
          <w:color w:val="231F20"/>
          <w:spacing w:val="-3"/>
          <w:w w:val="105"/>
        </w:rPr>
        <w:t>Parecía </w:t>
      </w:r>
      <w:r>
        <w:rPr>
          <w:color w:val="231F20"/>
          <w:w w:val="105"/>
        </w:rPr>
        <w:t>como si todo el mundo estuviera satisfecho con el compromiso de los braceros: los cultivadores consiguieron un número suficiente de trabajadores en términos favorables y el público tenía la percepción de que la frontera estaba bajo control</w:t>
      </w:r>
      <w:r>
        <w:rPr>
          <w:w w:val="105"/>
        </w:rPr>
        <w:t>, pero entre discusio- nes</w:t>
      </w:r>
      <w:r>
        <w:rPr>
          <w:spacing w:val="-17"/>
          <w:w w:val="105"/>
        </w:rPr>
        <w:t> </w:t>
      </w:r>
      <w:r>
        <w:rPr>
          <w:w w:val="105"/>
        </w:rPr>
        <w:t>políticas,</w:t>
      </w:r>
      <w:r>
        <w:rPr>
          <w:spacing w:val="-22"/>
          <w:w w:val="105"/>
        </w:rPr>
        <w:t> </w:t>
      </w:r>
      <w:r>
        <w:rPr>
          <w:w w:val="105"/>
        </w:rPr>
        <w:t>sindicales</w:t>
      </w:r>
      <w:r>
        <w:rPr>
          <w:spacing w:val="-17"/>
          <w:w w:val="105"/>
        </w:rPr>
        <w:t> </w:t>
      </w:r>
      <w:r>
        <w:rPr>
          <w:w w:val="105"/>
        </w:rPr>
        <w:t>y</w:t>
      </w:r>
      <w:r>
        <w:rPr>
          <w:spacing w:val="-17"/>
          <w:w w:val="105"/>
        </w:rPr>
        <w:t> </w:t>
      </w:r>
      <w:r>
        <w:rPr>
          <w:w w:val="105"/>
        </w:rPr>
        <w:t>políticas,</w:t>
      </w:r>
      <w:r>
        <w:rPr>
          <w:spacing w:val="-22"/>
          <w:w w:val="105"/>
        </w:rPr>
        <w:t> </w:t>
      </w:r>
      <w:r>
        <w:rPr>
          <w:w w:val="105"/>
        </w:rPr>
        <w:t>para</w:t>
      </w:r>
      <w:r>
        <w:rPr>
          <w:spacing w:val="-17"/>
          <w:w w:val="105"/>
        </w:rPr>
        <w:t> </w:t>
      </w:r>
      <w:r>
        <w:rPr>
          <w:w w:val="105"/>
        </w:rPr>
        <w:t>1965</w:t>
      </w:r>
      <w:r>
        <w:rPr>
          <w:spacing w:val="-17"/>
          <w:w w:val="105"/>
        </w:rPr>
        <w:t> </w:t>
      </w:r>
      <w:r>
        <w:rPr>
          <w:w w:val="105"/>
        </w:rPr>
        <w:t>se</w:t>
      </w:r>
      <w:r>
        <w:rPr>
          <w:spacing w:val="-17"/>
          <w:w w:val="105"/>
        </w:rPr>
        <w:t> </w:t>
      </w:r>
      <w:r>
        <w:rPr>
          <w:w w:val="105"/>
        </w:rPr>
        <w:t>acabó</w:t>
      </w:r>
      <w:r>
        <w:rPr>
          <w:spacing w:val="-17"/>
          <w:w w:val="105"/>
        </w:rPr>
        <w:t> </w:t>
      </w:r>
      <w:r>
        <w:rPr>
          <w:w w:val="105"/>
        </w:rPr>
        <w:t>el</w:t>
      </w:r>
      <w:r>
        <w:rPr>
          <w:spacing w:val="-17"/>
          <w:w w:val="105"/>
        </w:rPr>
        <w:t> </w:t>
      </w:r>
      <w:r>
        <w:rPr>
          <w:spacing w:val="-3"/>
          <w:w w:val="105"/>
        </w:rPr>
        <w:t>Programa</w:t>
      </w:r>
      <w:r>
        <w:rPr>
          <w:spacing w:val="-17"/>
          <w:w w:val="105"/>
        </w:rPr>
        <w:t> </w:t>
      </w:r>
      <w:r>
        <w:rPr>
          <w:w w:val="105"/>
        </w:rPr>
        <w:t>Bra- cero</w:t>
      </w:r>
      <w:r>
        <w:rPr>
          <w:spacing w:val="-35"/>
          <w:w w:val="105"/>
        </w:rPr>
        <w:t> </w:t>
      </w:r>
      <w:r>
        <w:rPr>
          <w:w w:val="105"/>
        </w:rPr>
        <w:t>(Massey</w:t>
      </w:r>
      <w:r>
        <w:rPr>
          <w:spacing w:val="-35"/>
          <w:w w:val="105"/>
        </w:rPr>
        <w:t> </w:t>
      </w:r>
      <w:r>
        <w:rPr>
          <w:rFonts w:ascii="Arial" w:hAnsi="Arial"/>
          <w:i/>
          <w:w w:val="105"/>
        </w:rPr>
        <w:t>et</w:t>
      </w:r>
      <w:r>
        <w:rPr>
          <w:rFonts w:ascii="Arial" w:hAnsi="Arial"/>
          <w:i/>
          <w:spacing w:val="-37"/>
          <w:w w:val="105"/>
        </w:rPr>
        <w:t> </w:t>
      </w:r>
      <w:r>
        <w:rPr>
          <w:rFonts w:ascii="Arial" w:hAnsi="Arial"/>
          <w:i/>
          <w:w w:val="105"/>
        </w:rPr>
        <w:t>al</w:t>
      </w:r>
      <w:r>
        <w:rPr>
          <w:w w:val="105"/>
        </w:rPr>
        <w:t>.,</w:t>
      </w:r>
      <w:r>
        <w:rPr>
          <w:spacing w:val="-38"/>
          <w:w w:val="105"/>
        </w:rPr>
        <w:t> </w:t>
      </w:r>
      <w:r>
        <w:rPr>
          <w:w w:val="105"/>
        </w:rPr>
        <w:t>2009).</w:t>
      </w:r>
    </w:p>
    <w:p>
      <w:pPr>
        <w:pStyle w:val="BodyText"/>
        <w:spacing w:line="261" w:lineRule="auto"/>
        <w:ind w:left="1837" w:right="1721" w:firstLine="567"/>
        <w:jc w:val="both"/>
      </w:pPr>
      <w:r>
        <w:rPr>
          <w:color w:val="231F20"/>
          <w:w w:val="105"/>
        </w:rPr>
        <w:t>En</w:t>
      </w:r>
      <w:r>
        <w:rPr>
          <w:color w:val="231F20"/>
          <w:spacing w:val="-8"/>
          <w:w w:val="105"/>
        </w:rPr>
        <w:t> </w:t>
      </w:r>
      <w:r>
        <w:rPr>
          <w:color w:val="231F20"/>
          <w:w w:val="105"/>
        </w:rPr>
        <w:t>esa</w:t>
      </w:r>
      <w:r>
        <w:rPr>
          <w:color w:val="231F20"/>
          <w:spacing w:val="-8"/>
          <w:w w:val="105"/>
        </w:rPr>
        <w:t> </w:t>
      </w:r>
      <w:r>
        <w:rPr>
          <w:color w:val="231F20"/>
          <w:w w:val="105"/>
        </w:rPr>
        <w:t>época</w:t>
      </w:r>
      <w:r>
        <w:rPr>
          <w:color w:val="231F20"/>
          <w:spacing w:val="-8"/>
          <w:w w:val="105"/>
        </w:rPr>
        <w:t> </w:t>
      </w:r>
      <w:r>
        <w:rPr>
          <w:color w:val="231F20"/>
          <w:w w:val="105"/>
        </w:rPr>
        <w:t>la</w:t>
      </w:r>
      <w:r>
        <w:rPr>
          <w:color w:val="231F20"/>
          <w:spacing w:val="-8"/>
          <w:w w:val="105"/>
        </w:rPr>
        <w:t> </w:t>
      </w:r>
      <w:r>
        <w:rPr>
          <w:color w:val="231F20"/>
          <w:w w:val="105"/>
        </w:rPr>
        <w:t>migración</w:t>
      </w:r>
      <w:r>
        <w:rPr>
          <w:color w:val="231F20"/>
          <w:spacing w:val="-8"/>
          <w:w w:val="105"/>
        </w:rPr>
        <w:t> </w:t>
      </w:r>
      <w:r>
        <w:rPr>
          <w:color w:val="231F20"/>
          <w:w w:val="105"/>
        </w:rPr>
        <w:t>a</w:t>
      </w:r>
      <w:r>
        <w:rPr>
          <w:color w:val="231F20"/>
          <w:spacing w:val="-8"/>
          <w:w w:val="105"/>
        </w:rPr>
        <w:t> </w:t>
      </w:r>
      <w:r>
        <w:rPr>
          <w:color w:val="231F20"/>
          <w:w w:val="105"/>
        </w:rPr>
        <w:t>Estados</w:t>
      </w:r>
      <w:r>
        <w:rPr>
          <w:color w:val="231F20"/>
          <w:spacing w:val="-8"/>
          <w:w w:val="105"/>
        </w:rPr>
        <w:t> </w:t>
      </w:r>
      <w:r>
        <w:rPr>
          <w:color w:val="231F20"/>
          <w:w w:val="105"/>
        </w:rPr>
        <w:t>Unidos</w:t>
      </w:r>
      <w:r>
        <w:rPr>
          <w:color w:val="231F20"/>
          <w:spacing w:val="-8"/>
          <w:w w:val="105"/>
        </w:rPr>
        <w:t> </w:t>
      </w:r>
      <w:r>
        <w:rPr>
          <w:color w:val="231F20"/>
          <w:w w:val="105"/>
        </w:rPr>
        <w:t>era</w:t>
      </w:r>
      <w:r>
        <w:rPr>
          <w:color w:val="231F20"/>
          <w:spacing w:val="-8"/>
          <w:w w:val="105"/>
        </w:rPr>
        <w:t> </w:t>
      </w:r>
      <w:r>
        <w:rPr>
          <w:color w:val="231F20"/>
          <w:w w:val="105"/>
        </w:rPr>
        <w:t>constante,</w:t>
      </w:r>
      <w:r>
        <w:rPr>
          <w:color w:val="231F20"/>
          <w:spacing w:val="-13"/>
          <w:w w:val="105"/>
        </w:rPr>
        <w:t> </w:t>
      </w:r>
      <w:r>
        <w:rPr>
          <w:color w:val="231F20"/>
          <w:w w:val="105"/>
        </w:rPr>
        <w:t>masi- va e indocumentada, principalmente caracterizada por un flujo de ida y vuelta, ya</w:t>
      </w:r>
      <w:r>
        <w:rPr>
          <w:color w:val="231F20"/>
          <w:spacing w:val="34"/>
          <w:w w:val="105"/>
        </w:rPr>
        <w:t> </w:t>
      </w:r>
      <w:r>
        <w:rPr>
          <w:color w:val="231F20"/>
          <w:w w:val="105"/>
        </w:rPr>
        <w:t>que…</w:t>
      </w:r>
    </w:p>
    <w:p>
      <w:pPr>
        <w:pStyle w:val="BodyText"/>
        <w:rPr>
          <w:sz w:val="20"/>
        </w:rPr>
      </w:pPr>
    </w:p>
    <w:p>
      <w:pPr>
        <w:pStyle w:val="BodyText"/>
        <w:spacing w:before="7"/>
      </w:pPr>
    </w:p>
    <w:p>
      <w:pPr>
        <w:spacing w:line="254" w:lineRule="auto" w:before="0"/>
        <w:ind w:left="2971" w:right="1721" w:firstLine="0"/>
        <w:jc w:val="both"/>
        <w:rPr>
          <w:sz w:val="18"/>
        </w:rPr>
      </w:pPr>
      <w:r>
        <w:rPr>
          <w:color w:val="231F20"/>
          <w:w w:val="105"/>
          <w:sz w:val="18"/>
        </w:rPr>
        <w:t>las inclemencias del cruce clandestino junto con la posibilidad del  arresto y la deportación, tuvieron la ventaja de hacer que el flujo de emigrantes</w:t>
      </w:r>
      <w:r>
        <w:rPr>
          <w:color w:val="231F20"/>
          <w:spacing w:val="-22"/>
          <w:w w:val="105"/>
          <w:sz w:val="18"/>
        </w:rPr>
        <w:t> </w:t>
      </w:r>
      <w:r>
        <w:rPr>
          <w:color w:val="231F20"/>
          <w:w w:val="105"/>
          <w:sz w:val="18"/>
        </w:rPr>
        <w:t>estuviera</w:t>
      </w:r>
      <w:r>
        <w:rPr>
          <w:color w:val="231F20"/>
          <w:spacing w:val="-22"/>
          <w:w w:val="105"/>
          <w:sz w:val="18"/>
        </w:rPr>
        <w:t> </w:t>
      </w:r>
      <w:r>
        <w:rPr>
          <w:color w:val="231F20"/>
          <w:w w:val="105"/>
          <w:sz w:val="18"/>
        </w:rPr>
        <w:t>compuesto</w:t>
      </w:r>
      <w:r>
        <w:rPr>
          <w:color w:val="231F20"/>
          <w:spacing w:val="-22"/>
          <w:w w:val="105"/>
          <w:sz w:val="18"/>
        </w:rPr>
        <w:t> </w:t>
      </w:r>
      <w:r>
        <w:rPr>
          <w:color w:val="231F20"/>
          <w:w w:val="105"/>
          <w:sz w:val="18"/>
        </w:rPr>
        <w:t>mayoritariamente</w:t>
      </w:r>
      <w:r>
        <w:rPr>
          <w:color w:val="231F20"/>
          <w:spacing w:val="-22"/>
          <w:w w:val="105"/>
          <w:sz w:val="18"/>
        </w:rPr>
        <w:t> </w:t>
      </w:r>
      <w:r>
        <w:rPr>
          <w:color w:val="231F20"/>
          <w:w w:val="105"/>
          <w:sz w:val="18"/>
        </w:rPr>
        <w:t>por</w:t>
      </w:r>
      <w:r>
        <w:rPr>
          <w:color w:val="231F20"/>
          <w:spacing w:val="-22"/>
          <w:w w:val="105"/>
          <w:sz w:val="18"/>
        </w:rPr>
        <w:t> </w:t>
      </w:r>
      <w:r>
        <w:rPr>
          <w:color w:val="231F20"/>
          <w:w w:val="105"/>
          <w:sz w:val="18"/>
        </w:rPr>
        <w:t>los</w:t>
      </w:r>
      <w:r>
        <w:rPr>
          <w:color w:val="231F20"/>
          <w:spacing w:val="-22"/>
          <w:w w:val="105"/>
          <w:sz w:val="18"/>
        </w:rPr>
        <w:t> </w:t>
      </w:r>
      <w:r>
        <w:rPr>
          <w:color w:val="231F20"/>
          <w:w w:val="105"/>
          <w:sz w:val="18"/>
        </w:rPr>
        <w:t>más</w:t>
      </w:r>
      <w:r>
        <w:rPr>
          <w:color w:val="231F20"/>
          <w:spacing w:val="-22"/>
          <w:w w:val="105"/>
          <w:sz w:val="18"/>
        </w:rPr>
        <w:t> </w:t>
      </w:r>
      <w:r>
        <w:rPr>
          <w:color w:val="231F20"/>
          <w:w w:val="105"/>
          <w:sz w:val="18"/>
        </w:rPr>
        <w:t>motiva- dos</w:t>
      </w:r>
      <w:r>
        <w:rPr>
          <w:color w:val="231F20"/>
          <w:spacing w:val="-13"/>
          <w:w w:val="105"/>
          <w:sz w:val="18"/>
        </w:rPr>
        <w:t> </w:t>
      </w:r>
      <w:r>
        <w:rPr>
          <w:color w:val="231F20"/>
          <w:w w:val="105"/>
          <w:sz w:val="18"/>
        </w:rPr>
        <w:t>y</w:t>
      </w:r>
      <w:r>
        <w:rPr>
          <w:color w:val="231F20"/>
          <w:spacing w:val="-13"/>
          <w:w w:val="105"/>
          <w:sz w:val="18"/>
        </w:rPr>
        <w:t> </w:t>
      </w:r>
      <w:r>
        <w:rPr>
          <w:color w:val="231F20"/>
          <w:w w:val="105"/>
          <w:sz w:val="18"/>
        </w:rPr>
        <w:t>capacitados</w:t>
      </w:r>
      <w:r>
        <w:rPr>
          <w:color w:val="231F20"/>
          <w:spacing w:val="-13"/>
          <w:w w:val="105"/>
          <w:sz w:val="18"/>
        </w:rPr>
        <w:t> </w:t>
      </w:r>
      <w:r>
        <w:rPr>
          <w:color w:val="231F20"/>
          <w:w w:val="105"/>
          <w:sz w:val="18"/>
        </w:rPr>
        <w:t>para</w:t>
      </w:r>
      <w:r>
        <w:rPr>
          <w:color w:val="231F20"/>
          <w:spacing w:val="-13"/>
          <w:w w:val="105"/>
          <w:sz w:val="18"/>
        </w:rPr>
        <w:t> </w:t>
      </w:r>
      <w:r>
        <w:rPr>
          <w:color w:val="231F20"/>
          <w:w w:val="105"/>
          <w:sz w:val="18"/>
        </w:rPr>
        <w:t>trabajar:</w:t>
      </w:r>
      <w:r>
        <w:rPr>
          <w:color w:val="231F20"/>
          <w:spacing w:val="-13"/>
          <w:w w:val="105"/>
          <w:sz w:val="18"/>
        </w:rPr>
        <w:t> </w:t>
      </w:r>
      <w:r>
        <w:rPr>
          <w:color w:val="231F20"/>
          <w:w w:val="105"/>
          <w:sz w:val="18"/>
        </w:rPr>
        <w:t>jóvenes</w:t>
      </w:r>
      <w:r>
        <w:rPr>
          <w:color w:val="231F20"/>
          <w:spacing w:val="-13"/>
          <w:w w:val="105"/>
          <w:sz w:val="18"/>
        </w:rPr>
        <w:t> </w:t>
      </w:r>
      <w:r>
        <w:rPr>
          <w:color w:val="231F20"/>
          <w:w w:val="105"/>
          <w:sz w:val="18"/>
        </w:rPr>
        <w:t>a</w:t>
      </w:r>
      <w:r>
        <w:rPr>
          <w:color w:val="231F20"/>
          <w:spacing w:val="-13"/>
          <w:w w:val="105"/>
          <w:sz w:val="18"/>
        </w:rPr>
        <w:t> </w:t>
      </w:r>
      <w:r>
        <w:rPr>
          <w:color w:val="231F20"/>
          <w:w w:val="105"/>
          <w:sz w:val="18"/>
        </w:rPr>
        <w:t>punto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formar</w:t>
      </w:r>
      <w:r>
        <w:rPr>
          <w:color w:val="231F20"/>
          <w:spacing w:val="-13"/>
          <w:w w:val="105"/>
          <w:sz w:val="18"/>
        </w:rPr>
        <w:t> </w:t>
      </w:r>
      <w:r>
        <w:rPr>
          <w:color w:val="231F20"/>
          <w:w w:val="105"/>
          <w:sz w:val="18"/>
        </w:rPr>
        <w:t>familia</w:t>
      </w:r>
      <w:r>
        <w:rPr>
          <w:color w:val="231F20"/>
          <w:spacing w:val="-13"/>
          <w:w w:val="105"/>
          <w:sz w:val="18"/>
        </w:rPr>
        <w:t> </w:t>
      </w:r>
      <w:r>
        <w:rPr>
          <w:color w:val="231F20"/>
          <w:w w:val="105"/>
          <w:sz w:val="18"/>
        </w:rPr>
        <w:t>o</w:t>
      </w:r>
      <w:r>
        <w:rPr>
          <w:color w:val="231F20"/>
          <w:spacing w:val="-13"/>
          <w:w w:val="105"/>
          <w:sz w:val="18"/>
        </w:rPr>
        <w:t> </w:t>
      </w:r>
      <w:r>
        <w:rPr>
          <w:color w:val="231F20"/>
          <w:w w:val="105"/>
          <w:sz w:val="18"/>
        </w:rPr>
        <w:t>en las</w:t>
      </w:r>
      <w:r>
        <w:rPr>
          <w:color w:val="231F20"/>
          <w:spacing w:val="-8"/>
          <w:w w:val="105"/>
          <w:sz w:val="18"/>
        </w:rPr>
        <w:t> </w:t>
      </w:r>
      <w:r>
        <w:rPr>
          <w:color w:val="231F20"/>
          <w:w w:val="105"/>
          <w:sz w:val="18"/>
        </w:rPr>
        <w:t>primeras</w:t>
      </w:r>
      <w:r>
        <w:rPr>
          <w:color w:val="231F20"/>
          <w:spacing w:val="-8"/>
          <w:w w:val="105"/>
          <w:sz w:val="18"/>
        </w:rPr>
        <w:t> </w:t>
      </w:r>
      <w:r>
        <w:rPr>
          <w:color w:val="231F20"/>
          <w:w w:val="105"/>
          <w:sz w:val="18"/>
        </w:rPr>
        <w:t>etapas</w:t>
      </w:r>
      <w:r>
        <w:rPr>
          <w:color w:val="231F20"/>
          <w:spacing w:val="-8"/>
          <w:w w:val="105"/>
          <w:sz w:val="18"/>
        </w:rPr>
        <w:t> </w:t>
      </w:r>
      <w:r>
        <w:rPr>
          <w:color w:val="231F20"/>
          <w:w w:val="105"/>
          <w:sz w:val="18"/>
        </w:rPr>
        <w:t>de</w:t>
      </w:r>
      <w:r>
        <w:rPr>
          <w:color w:val="231F20"/>
          <w:spacing w:val="-8"/>
          <w:w w:val="105"/>
          <w:sz w:val="18"/>
        </w:rPr>
        <w:t> </w:t>
      </w:r>
      <w:r>
        <w:rPr>
          <w:color w:val="231F20"/>
          <w:w w:val="105"/>
          <w:sz w:val="18"/>
        </w:rPr>
        <w:t>la</w:t>
      </w:r>
      <w:r>
        <w:rPr>
          <w:color w:val="231F20"/>
          <w:spacing w:val="-8"/>
          <w:w w:val="105"/>
          <w:sz w:val="18"/>
        </w:rPr>
        <w:t> </w:t>
      </w:r>
      <w:r>
        <w:rPr>
          <w:color w:val="231F20"/>
          <w:w w:val="105"/>
          <w:sz w:val="18"/>
        </w:rPr>
        <w:t>unión</w:t>
      </w:r>
      <w:r>
        <w:rPr>
          <w:color w:val="231F20"/>
          <w:spacing w:val="-8"/>
          <w:w w:val="105"/>
          <w:sz w:val="18"/>
        </w:rPr>
        <w:t> </w:t>
      </w:r>
      <w:r>
        <w:rPr>
          <w:color w:val="231F20"/>
          <w:w w:val="105"/>
          <w:sz w:val="18"/>
        </w:rPr>
        <w:t>.</w:t>
      </w:r>
      <w:r>
        <w:rPr>
          <w:color w:val="231F20"/>
          <w:spacing w:val="-12"/>
          <w:w w:val="105"/>
          <w:sz w:val="18"/>
        </w:rPr>
        <w:t> </w:t>
      </w:r>
      <w:r>
        <w:rPr>
          <w:color w:val="231F20"/>
          <w:w w:val="105"/>
          <w:sz w:val="18"/>
        </w:rPr>
        <w:t>Estas</w:t>
      </w:r>
      <w:r>
        <w:rPr>
          <w:color w:val="231F20"/>
          <w:spacing w:val="-8"/>
          <w:w w:val="105"/>
          <w:sz w:val="18"/>
        </w:rPr>
        <w:t> </w:t>
      </w:r>
      <w:r>
        <w:rPr>
          <w:color w:val="231F20"/>
          <w:w w:val="105"/>
          <w:sz w:val="18"/>
        </w:rPr>
        <w:t>personas</w:t>
      </w:r>
      <w:r>
        <w:rPr>
          <w:color w:val="231F20"/>
          <w:spacing w:val="-8"/>
          <w:w w:val="105"/>
          <w:sz w:val="18"/>
        </w:rPr>
        <w:t> </w:t>
      </w:r>
      <w:r>
        <w:rPr>
          <w:color w:val="231F20"/>
          <w:w w:val="105"/>
          <w:sz w:val="18"/>
        </w:rPr>
        <w:t>tenían</w:t>
      </w:r>
      <w:r>
        <w:rPr>
          <w:color w:val="231F20"/>
          <w:spacing w:val="-8"/>
          <w:w w:val="105"/>
          <w:sz w:val="18"/>
        </w:rPr>
        <w:t> </w:t>
      </w:r>
      <w:r>
        <w:rPr>
          <w:color w:val="231F20"/>
          <w:w w:val="105"/>
          <w:sz w:val="18"/>
        </w:rPr>
        <w:t>pocas</w:t>
      </w:r>
      <w:r>
        <w:rPr>
          <w:color w:val="231F20"/>
          <w:spacing w:val="-8"/>
          <w:w w:val="105"/>
          <w:sz w:val="18"/>
        </w:rPr>
        <w:t> </w:t>
      </w:r>
      <w:r>
        <w:rPr>
          <w:color w:val="231F20"/>
          <w:w w:val="105"/>
          <w:sz w:val="18"/>
        </w:rPr>
        <w:t>motiva- ciones para quedarse mucho tiempo en Estados Unidos, porque</w:t>
      </w:r>
      <w:r>
        <w:rPr>
          <w:color w:val="231F20"/>
          <w:spacing w:val="-14"/>
          <w:w w:val="105"/>
          <w:sz w:val="18"/>
        </w:rPr>
        <w:t> </w:t>
      </w:r>
      <w:r>
        <w:rPr>
          <w:color w:val="231F20"/>
          <w:w w:val="105"/>
          <w:sz w:val="18"/>
        </w:rPr>
        <w:t>bus- caban</w:t>
      </w:r>
      <w:r>
        <w:rPr>
          <w:color w:val="231F20"/>
          <w:spacing w:val="-5"/>
          <w:w w:val="105"/>
          <w:sz w:val="18"/>
        </w:rPr>
        <w:t> </w:t>
      </w:r>
      <w:r>
        <w:rPr>
          <w:color w:val="231F20"/>
          <w:w w:val="105"/>
          <w:sz w:val="18"/>
        </w:rPr>
        <w:t>básicamente</w:t>
      </w:r>
      <w:r>
        <w:rPr>
          <w:color w:val="231F20"/>
          <w:spacing w:val="-5"/>
          <w:w w:val="105"/>
          <w:sz w:val="18"/>
        </w:rPr>
        <w:t> </w:t>
      </w:r>
      <w:r>
        <w:rPr>
          <w:color w:val="231F20"/>
          <w:w w:val="105"/>
          <w:sz w:val="18"/>
        </w:rPr>
        <w:t>ganar</w:t>
      </w:r>
      <w:r>
        <w:rPr>
          <w:color w:val="231F20"/>
          <w:spacing w:val="-5"/>
          <w:w w:val="105"/>
          <w:sz w:val="18"/>
        </w:rPr>
        <w:t> </w:t>
      </w:r>
      <w:r>
        <w:rPr>
          <w:color w:val="231F20"/>
          <w:w w:val="105"/>
          <w:sz w:val="18"/>
        </w:rPr>
        <w:t>dinero</w:t>
      </w:r>
      <w:r>
        <w:rPr>
          <w:color w:val="231F20"/>
          <w:spacing w:val="-5"/>
          <w:w w:val="105"/>
          <w:sz w:val="18"/>
        </w:rPr>
        <w:t> </w:t>
      </w:r>
      <w:r>
        <w:rPr>
          <w:color w:val="231F20"/>
          <w:w w:val="105"/>
          <w:sz w:val="18"/>
        </w:rPr>
        <w:t>y</w:t>
      </w:r>
      <w:r>
        <w:rPr>
          <w:color w:val="231F20"/>
          <w:spacing w:val="-5"/>
          <w:w w:val="105"/>
          <w:sz w:val="18"/>
        </w:rPr>
        <w:t> </w:t>
      </w:r>
      <w:r>
        <w:rPr>
          <w:color w:val="231F20"/>
          <w:w w:val="105"/>
          <w:sz w:val="18"/>
        </w:rPr>
        <w:t>habían</w:t>
      </w:r>
      <w:r>
        <w:rPr>
          <w:color w:val="231F20"/>
          <w:spacing w:val="-5"/>
          <w:w w:val="105"/>
          <w:sz w:val="18"/>
        </w:rPr>
        <w:t> </w:t>
      </w:r>
      <w:r>
        <w:rPr>
          <w:color w:val="231F20"/>
          <w:w w:val="105"/>
          <w:sz w:val="18"/>
        </w:rPr>
        <w:t>dejado</w:t>
      </w:r>
      <w:r>
        <w:rPr>
          <w:color w:val="231F20"/>
          <w:spacing w:val="-5"/>
          <w:w w:val="105"/>
          <w:sz w:val="18"/>
        </w:rPr>
        <w:t> </w:t>
      </w:r>
      <w:r>
        <w:rPr>
          <w:color w:val="231F20"/>
          <w:w w:val="105"/>
          <w:sz w:val="18"/>
        </w:rPr>
        <w:t>a</w:t>
      </w:r>
      <w:r>
        <w:rPr>
          <w:color w:val="231F20"/>
          <w:spacing w:val="-5"/>
          <w:w w:val="105"/>
          <w:sz w:val="18"/>
        </w:rPr>
        <w:t> </w:t>
      </w:r>
      <w:r>
        <w:rPr>
          <w:color w:val="231F20"/>
          <w:w w:val="105"/>
          <w:sz w:val="18"/>
        </w:rPr>
        <w:t>los</w:t>
      </w:r>
      <w:r>
        <w:rPr>
          <w:color w:val="231F20"/>
          <w:spacing w:val="-5"/>
          <w:w w:val="105"/>
          <w:sz w:val="18"/>
        </w:rPr>
        <w:t> </w:t>
      </w:r>
      <w:r>
        <w:rPr>
          <w:color w:val="231F20"/>
          <w:w w:val="105"/>
          <w:sz w:val="18"/>
        </w:rPr>
        <w:t>amigos</w:t>
      </w:r>
      <w:r>
        <w:rPr>
          <w:color w:val="231F20"/>
          <w:spacing w:val="-5"/>
          <w:w w:val="105"/>
          <w:sz w:val="18"/>
        </w:rPr>
        <w:t> </w:t>
      </w:r>
      <w:r>
        <w:rPr>
          <w:color w:val="231F20"/>
          <w:w w:val="105"/>
          <w:sz w:val="18"/>
        </w:rPr>
        <w:t>y</w:t>
      </w:r>
      <w:r>
        <w:rPr>
          <w:color w:val="231F20"/>
          <w:spacing w:val="-5"/>
          <w:w w:val="105"/>
          <w:sz w:val="18"/>
        </w:rPr>
        <w:t> </w:t>
      </w:r>
      <w:r>
        <w:rPr>
          <w:color w:val="231F20"/>
          <w:w w:val="105"/>
          <w:sz w:val="18"/>
        </w:rPr>
        <w:t>a</w:t>
      </w:r>
      <w:r>
        <w:rPr>
          <w:color w:val="231F20"/>
          <w:spacing w:val="-5"/>
          <w:w w:val="105"/>
          <w:sz w:val="18"/>
        </w:rPr>
        <w:t> </w:t>
      </w:r>
      <w:r>
        <w:rPr>
          <w:color w:val="231F20"/>
          <w:w w:val="105"/>
          <w:sz w:val="18"/>
        </w:rPr>
        <w:t>las familias</w:t>
      </w:r>
      <w:r>
        <w:rPr>
          <w:color w:val="231F20"/>
          <w:spacing w:val="-15"/>
          <w:w w:val="105"/>
          <w:sz w:val="18"/>
        </w:rPr>
        <w:t> </w:t>
      </w:r>
      <w:r>
        <w:rPr>
          <w:color w:val="231F20"/>
          <w:w w:val="105"/>
          <w:sz w:val="18"/>
        </w:rPr>
        <w:t>en</w:t>
      </w:r>
      <w:r>
        <w:rPr>
          <w:color w:val="231F20"/>
          <w:spacing w:val="-15"/>
          <w:w w:val="105"/>
          <w:sz w:val="18"/>
        </w:rPr>
        <w:t> </w:t>
      </w:r>
      <w:r>
        <w:rPr>
          <w:color w:val="231F20"/>
          <w:w w:val="105"/>
          <w:sz w:val="18"/>
        </w:rPr>
        <w:t>casa.</w:t>
      </w:r>
      <w:r>
        <w:rPr>
          <w:color w:val="231F20"/>
          <w:spacing w:val="-22"/>
          <w:w w:val="105"/>
          <w:sz w:val="18"/>
        </w:rPr>
        <w:t> </w:t>
      </w:r>
      <w:r>
        <w:rPr>
          <w:color w:val="231F20"/>
          <w:spacing w:val="-3"/>
          <w:w w:val="105"/>
          <w:sz w:val="18"/>
        </w:rPr>
        <w:t>También</w:t>
      </w:r>
      <w:r>
        <w:rPr>
          <w:color w:val="231F20"/>
          <w:spacing w:val="-15"/>
          <w:w w:val="105"/>
          <w:sz w:val="18"/>
        </w:rPr>
        <w:t> </w:t>
      </w:r>
      <w:r>
        <w:rPr>
          <w:color w:val="231F20"/>
          <w:w w:val="105"/>
          <w:sz w:val="18"/>
        </w:rPr>
        <w:t>sabían</w:t>
      </w:r>
      <w:r>
        <w:rPr>
          <w:color w:val="231F20"/>
          <w:spacing w:val="-15"/>
          <w:w w:val="105"/>
          <w:sz w:val="18"/>
        </w:rPr>
        <w:t> </w:t>
      </w:r>
      <w:r>
        <w:rPr>
          <w:color w:val="231F20"/>
          <w:w w:val="105"/>
          <w:sz w:val="18"/>
        </w:rPr>
        <w:t>que</w:t>
      </w:r>
      <w:r>
        <w:rPr>
          <w:color w:val="231F20"/>
          <w:spacing w:val="-15"/>
          <w:w w:val="105"/>
          <w:sz w:val="18"/>
        </w:rPr>
        <w:t> </w:t>
      </w:r>
      <w:r>
        <w:rPr>
          <w:color w:val="231F20"/>
          <w:w w:val="105"/>
          <w:sz w:val="18"/>
        </w:rPr>
        <w:t>siempre</w:t>
      </w:r>
      <w:r>
        <w:rPr>
          <w:color w:val="231F20"/>
          <w:spacing w:val="-15"/>
          <w:w w:val="105"/>
          <w:sz w:val="18"/>
        </w:rPr>
        <w:t> </w:t>
      </w:r>
      <w:r>
        <w:rPr>
          <w:color w:val="231F20"/>
          <w:w w:val="105"/>
          <w:sz w:val="18"/>
        </w:rPr>
        <w:t>podían</w:t>
      </w:r>
      <w:r>
        <w:rPr>
          <w:color w:val="231F20"/>
          <w:spacing w:val="-15"/>
          <w:w w:val="105"/>
          <w:sz w:val="18"/>
        </w:rPr>
        <w:t> </w:t>
      </w:r>
      <w:r>
        <w:rPr>
          <w:color w:val="231F20"/>
          <w:w w:val="105"/>
          <w:sz w:val="18"/>
        </w:rPr>
        <w:t>volver</w:t>
      </w:r>
      <w:r>
        <w:rPr>
          <w:color w:val="231F20"/>
          <w:spacing w:val="-15"/>
          <w:w w:val="105"/>
          <w:sz w:val="18"/>
        </w:rPr>
        <w:t> </w:t>
      </w:r>
      <w:r>
        <w:rPr>
          <w:color w:val="231F20"/>
          <w:w w:val="105"/>
          <w:sz w:val="18"/>
        </w:rPr>
        <w:t>a</w:t>
      </w:r>
      <w:r>
        <w:rPr>
          <w:color w:val="231F20"/>
          <w:spacing w:val="-15"/>
          <w:w w:val="105"/>
          <w:sz w:val="18"/>
        </w:rPr>
        <w:t> </w:t>
      </w:r>
      <w:r>
        <w:rPr>
          <w:color w:val="231F20"/>
          <w:w w:val="105"/>
          <w:sz w:val="18"/>
        </w:rPr>
        <w:t>Estados Unidos</w:t>
      </w:r>
      <w:r>
        <w:rPr>
          <w:color w:val="231F20"/>
          <w:spacing w:val="-5"/>
          <w:w w:val="105"/>
          <w:sz w:val="18"/>
        </w:rPr>
        <w:t> </w:t>
      </w:r>
      <w:r>
        <w:rPr>
          <w:color w:val="231F20"/>
          <w:w w:val="105"/>
          <w:sz w:val="18"/>
        </w:rPr>
        <w:t>en</w:t>
      </w:r>
      <w:r>
        <w:rPr>
          <w:color w:val="231F20"/>
          <w:spacing w:val="-5"/>
          <w:w w:val="105"/>
          <w:sz w:val="18"/>
        </w:rPr>
        <w:t> </w:t>
      </w:r>
      <w:r>
        <w:rPr>
          <w:color w:val="231F20"/>
          <w:w w:val="105"/>
          <w:sz w:val="18"/>
        </w:rPr>
        <w:t>caso</w:t>
      </w:r>
      <w:r>
        <w:rPr>
          <w:color w:val="231F20"/>
          <w:spacing w:val="-5"/>
          <w:w w:val="105"/>
          <w:sz w:val="18"/>
        </w:rPr>
        <w:t> </w:t>
      </w:r>
      <w:r>
        <w:rPr>
          <w:color w:val="231F20"/>
          <w:w w:val="105"/>
          <w:sz w:val="18"/>
        </w:rPr>
        <w:t>de</w:t>
      </w:r>
      <w:r>
        <w:rPr>
          <w:color w:val="231F20"/>
          <w:spacing w:val="-5"/>
          <w:w w:val="105"/>
          <w:sz w:val="18"/>
        </w:rPr>
        <w:t> </w:t>
      </w:r>
      <w:r>
        <w:rPr>
          <w:color w:val="231F20"/>
          <w:w w:val="105"/>
          <w:sz w:val="18"/>
        </w:rPr>
        <w:t>necesidad.</w:t>
      </w:r>
      <w:r>
        <w:rPr>
          <w:color w:val="231F20"/>
          <w:spacing w:val="-10"/>
          <w:w w:val="105"/>
          <w:sz w:val="18"/>
        </w:rPr>
        <w:t> </w:t>
      </w:r>
      <w:r>
        <w:rPr>
          <w:color w:val="231F20"/>
          <w:spacing w:val="-5"/>
          <w:w w:val="105"/>
          <w:sz w:val="18"/>
        </w:rPr>
        <w:t>Por </w:t>
      </w:r>
      <w:r>
        <w:rPr>
          <w:color w:val="231F20"/>
          <w:w w:val="105"/>
          <w:sz w:val="18"/>
        </w:rPr>
        <w:t>tanto,</w:t>
      </w:r>
      <w:r>
        <w:rPr>
          <w:color w:val="231F20"/>
          <w:spacing w:val="-10"/>
          <w:w w:val="105"/>
          <w:sz w:val="18"/>
        </w:rPr>
        <w:t> </w:t>
      </w:r>
      <w:r>
        <w:rPr>
          <w:color w:val="231F20"/>
          <w:w w:val="105"/>
          <w:sz w:val="18"/>
        </w:rPr>
        <w:t>las</w:t>
      </w:r>
      <w:r>
        <w:rPr>
          <w:color w:val="231F20"/>
          <w:spacing w:val="-5"/>
          <w:w w:val="105"/>
          <w:sz w:val="18"/>
        </w:rPr>
        <w:t> </w:t>
      </w:r>
      <w:r>
        <w:rPr>
          <w:color w:val="231F20"/>
          <w:w w:val="105"/>
          <w:sz w:val="18"/>
        </w:rPr>
        <w:t>posibilidades</w:t>
      </w:r>
      <w:r>
        <w:rPr>
          <w:color w:val="231F20"/>
          <w:spacing w:val="-5"/>
          <w:w w:val="105"/>
          <w:sz w:val="18"/>
        </w:rPr>
        <w:t> </w:t>
      </w:r>
      <w:r>
        <w:rPr>
          <w:color w:val="231F20"/>
          <w:w w:val="105"/>
          <w:sz w:val="18"/>
        </w:rPr>
        <w:t>de</w:t>
      </w:r>
      <w:r>
        <w:rPr>
          <w:color w:val="231F20"/>
          <w:spacing w:val="-5"/>
          <w:w w:val="105"/>
          <w:sz w:val="18"/>
        </w:rPr>
        <w:t> </w:t>
      </w:r>
      <w:r>
        <w:rPr>
          <w:color w:val="231F20"/>
          <w:w w:val="105"/>
          <w:sz w:val="18"/>
        </w:rPr>
        <w:t>regresar eran</w:t>
      </w:r>
      <w:r>
        <w:rPr>
          <w:color w:val="231F20"/>
          <w:spacing w:val="-29"/>
          <w:w w:val="105"/>
          <w:sz w:val="18"/>
        </w:rPr>
        <w:t> </w:t>
      </w:r>
      <w:r>
        <w:rPr>
          <w:color w:val="231F20"/>
          <w:w w:val="105"/>
          <w:sz w:val="18"/>
        </w:rPr>
        <w:t>muy</w:t>
      </w:r>
      <w:r>
        <w:rPr>
          <w:color w:val="231F20"/>
          <w:spacing w:val="-29"/>
          <w:w w:val="105"/>
          <w:sz w:val="18"/>
        </w:rPr>
        <w:t> </w:t>
      </w:r>
      <w:r>
        <w:rPr>
          <w:color w:val="231F20"/>
          <w:w w:val="105"/>
          <w:sz w:val="18"/>
        </w:rPr>
        <w:t>altas</w:t>
      </w:r>
      <w:r>
        <w:rPr>
          <w:color w:val="231F20"/>
          <w:spacing w:val="-29"/>
          <w:w w:val="105"/>
          <w:sz w:val="18"/>
        </w:rPr>
        <w:t> </w:t>
      </w:r>
      <w:r>
        <w:rPr>
          <w:color w:val="231F20"/>
          <w:w w:val="105"/>
          <w:sz w:val="18"/>
        </w:rPr>
        <w:t>(Massey</w:t>
      </w:r>
      <w:r>
        <w:rPr>
          <w:color w:val="231F20"/>
          <w:spacing w:val="-29"/>
          <w:w w:val="105"/>
          <w:sz w:val="18"/>
        </w:rPr>
        <w:t> </w:t>
      </w:r>
      <w:r>
        <w:rPr>
          <w:rFonts w:ascii="Arial" w:hAnsi="Arial"/>
          <w:i/>
          <w:color w:val="231F20"/>
          <w:w w:val="105"/>
          <w:sz w:val="18"/>
        </w:rPr>
        <w:t>et</w:t>
      </w:r>
      <w:r>
        <w:rPr>
          <w:rFonts w:ascii="Arial" w:hAnsi="Arial"/>
          <w:i/>
          <w:color w:val="231F20"/>
          <w:spacing w:val="-31"/>
          <w:w w:val="105"/>
          <w:sz w:val="18"/>
        </w:rPr>
        <w:t> </w:t>
      </w:r>
      <w:r>
        <w:rPr>
          <w:rFonts w:ascii="Arial" w:hAnsi="Arial"/>
          <w:i/>
          <w:color w:val="231F20"/>
          <w:w w:val="105"/>
          <w:sz w:val="18"/>
        </w:rPr>
        <w:t>al.,</w:t>
      </w:r>
      <w:r>
        <w:rPr>
          <w:rFonts w:ascii="Arial" w:hAnsi="Arial"/>
          <w:i/>
          <w:color w:val="231F20"/>
          <w:spacing w:val="-34"/>
          <w:w w:val="105"/>
          <w:sz w:val="18"/>
        </w:rPr>
        <w:t> </w:t>
      </w:r>
      <w:r>
        <w:rPr>
          <w:color w:val="231F20"/>
          <w:w w:val="105"/>
          <w:sz w:val="18"/>
        </w:rPr>
        <w:t>2009:55).</w:t>
      </w:r>
    </w:p>
    <w:p>
      <w:pPr>
        <w:pStyle w:val="BodyText"/>
        <w:rPr>
          <w:sz w:val="18"/>
        </w:rPr>
      </w:pPr>
    </w:p>
    <w:p>
      <w:pPr>
        <w:pStyle w:val="BodyText"/>
        <w:spacing w:before="4"/>
        <w:rPr>
          <w:sz w:val="26"/>
        </w:rPr>
      </w:pPr>
    </w:p>
    <w:p>
      <w:pPr>
        <w:pStyle w:val="BodyText"/>
        <w:spacing w:line="261" w:lineRule="auto"/>
        <w:ind w:left="1837" w:right="1721"/>
        <w:jc w:val="both"/>
      </w:pPr>
      <w:r>
        <w:rPr>
          <w:color w:val="231F20"/>
          <w:w w:val="105"/>
        </w:rPr>
        <w:t>El Instituto Nacional de Migración estima que “cada año un millón de mexicanos documentados y no documentados migran hacia Estados Unidos.</w:t>
      </w:r>
      <w:r>
        <w:rPr>
          <w:color w:val="231F20"/>
          <w:spacing w:val="-17"/>
          <w:w w:val="105"/>
        </w:rPr>
        <w:t> </w:t>
      </w:r>
      <w:r>
        <w:rPr>
          <w:color w:val="231F20"/>
          <w:w w:val="105"/>
        </w:rPr>
        <w:t>A</w:t>
      </w:r>
      <w:r>
        <w:rPr>
          <w:color w:val="231F20"/>
          <w:spacing w:val="-12"/>
          <w:w w:val="105"/>
        </w:rPr>
        <w:t> </w:t>
      </w:r>
      <w:r>
        <w:rPr>
          <w:color w:val="231F20"/>
          <w:w w:val="105"/>
        </w:rPr>
        <w:t>estos</w:t>
      </w:r>
      <w:r>
        <w:rPr>
          <w:color w:val="231F20"/>
          <w:spacing w:val="-10"/>
          <w:w w:val="105"/>
        </w:rPr>
        <w:t> </w:t>
      </w:r>
      <w:r>
        <w:rPr>
          <w:color w:val="231F20"/>
          <w:w w:val="105"/>
        </w:rPr>
        <w:t>datos</w:t>
      </w:r>
      <w:r>
        <w:rPr>
          <w:color w:val="231F20"/>
          <w:spacing w:val="-10"/>
          <w:w w:val="105"/>
        </w:rPr>
        <w:t> </w:t>
      </w:r>
      <w:r>
        <w:rPr>
          <w:color w:val="231F20"/>
          <w:w w:val="105"/>
        </w:rPr>
        <w:t>se</w:t>
      </w:r>
      <w:r>
        <w:rPr>
          <w:color w:val="231F20"/>
          <w:spacing w:val="-10"/>
          <w:w w:val="105"/>
        </w:rPr>
        <w:t> </w:t>
      </w:r>
      <w:r>
        <w:rPr>
          <w:color w:val="231F20"/>
          <w:w w:val="105"/>
        </w:rPr>
        <w:t>suman</w:t>
      </w:r>
      <w:r>
        <w:rPr>
          <w:color w:val="231F20"/>
          <w:spacing w:val="-10"/>
          <w:w w:val="105"/>
        </w:rPr>
        <w:t> </w:t>
      </w:r>
      <w:r>
        <w:rPr>
          <w:color w:val="231F20"/>
          <w:w w:val="105"/>
        </w:rPr>
        <w:t>los</w:t>
      </w:r>
      <w:r>
        <w:rPr>
          <w:color w:val="231F20"/>
          <w:spacing w:val="-10"/>
          <w:w w:val="105"/>
        </w:rPr>
        <w:t> </w:t>
      </w:r>
      <w:r>
        <w:rPr>
          <w:color w:val="231F20"/>
          <w:w w:val="105"/>
        </w:rPr>
        <w:t>aproximadamente</w:t>
      </w:r>
      <w:r>
        <w:rPr>
          <w:color w:val="231F20"/>
          <w:spacing w:val="-10"/>
          <w:w w:val="105"/>
        </w:rPr>
        <w:t> </w:t>
      </w:r>
      <w:r>
        <w:rPr>
          <w:color w:val="231F20"/>
          <w:w w:val="105"/>
        </w:rPr>
        <w:t>400,000</w:t>
      </w:r>
      <w:r>
        <w:rPr>
          <w:color w:val="231F20"/>
          <w:spacing w:val="-10"/>
          <w:w w:val="105"/>
        </w:rPr>
        <w:t> </w:t>
      </w:r>
      <w:r>
        <w:rPr>
          <w:color w:val="231F20"/>
          <w:w w:val="105"/>
        </w:rPr>
        <w:t>mexica- nos</w:t>
      </w:r>
      <w:r>
        <w:rPr>
          <w:color w:val="231F20"/>
          <w:spacing w:val="-23"/>
          <w:w w:val="105"/>
        </w:rPr>
        <w:t> </w:t>
      </w:r>
      <w:r>
        <w:rPr>
          <w:color w:val="231F20"/>
          <w:w w:val="105"/>
        </w:rPr>
        <w:t>repatriados</w:t>
      </w:r>
      <w:r>
        <w:rPr>
          <w:color w:val="231F20"/>
          <w:spacing w:val="-23"/>
          <w:w w:val="105"/>
        </w:rPr>
        <w:t> </w:t>
      </w:r>
      <w:r>
        <w:rPr>
          <w:color w:val="231F20"/>
          <w:w w:val="105"/>
        </w:rPr>
        <w:t>anualmente</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Unión</w:t>
      </w:r>
      <w:r>
        <w:rPr>
          <w:color w:val="231F20"/>
          <w:spacing w:val="-26"/>
          <w:w w:val="105"/>
        </w:rPr>
        <w:t> </w:t>
      </w:r>
      <w:r>
        <w:rPr>
          <w:color w:val="231F20"/>
          <w:w w:val="105"/>
        </w:rPr>
        <w:t>Americana,</w:t>
      </w:r>
      <w:r>
        <w:rPr>
          <w:color w:val="231F20"/>
          <w:spacing w:val="-28"/>
          <w:w w:val="105"/>
        </w:rPr>
        <w:t> </w:t>
      </w:r>
      <w:r>
        <w:rPr>
          <w:color w:val="231F20"/>
          <w:w w:val="105"/>
        </w:rPr>
        <w:t>según</w:t>
      </w:r>
      <w:r>
        <w:rPr>
          <w:color w:val="231F20"/>
          <w:spacing w:val="-23"/>
          <w:w w:val="105"/>
        </w:rPr>
        <w:t> </w:t>
      </w:r>
      <w:r>
        <w:rPr>
          <w:color w:val="231F20"/>
          <w:w w:val="105"/>
        </w:rPr>
        <w:t>datos</w:t>
      </w:r>
      <w:r>
        <w:rPr>
          <w:color w:val="231F20"/>
          <w:spacing w:val="-23"/>
          <w:w w:val="105"/>
        </w:rPr>
        <w:t> </w:t>
      </w:r>
      <w:r>
        <w:rPr>
          <w:color w:val="231F20"/>
          <w:w w:val="105"/>
        </w:rPr>
        <w:t>del</w:t>
      </w:r>
      <w:r>
        <w:rPr>
          <w:color w:val="231F20"/>
          <w:spacing w:val="-23"/>
          <w:w w:val="105"/>
        </w:rPr>
        <w:t> </w:t>
      </w:r>
      <w:r>
        <w:rPr>
          <w:color w:val="231F20"/>
          <w:w w:val="105"/>
          <w:sz w:val="17"/>
        </w:rPr>
        <w:t>INM</w:t>
      </w:r>
      <w:r>
        <w:rPr>
          <w:color w:val="231F20"/>
          <w:w w:val="105"/>
        </w:rPr>
        <w:t>” (</w:t>
      </w:r>
      <w:r>
        <w:rPr>
          <w:color w:val="231F20"/>
          <w:w w:val="105"/>
          <w:sz w:val="17"/>
        </w:rPr>
        <w:t>OIM</w:t>
      </w:r>
      <w:r>
        <w:rPr>
          <w:color w:val="231F20"/>
          <w:w w:val="105"/>
        </w:rPr>
        <w:t>,</w:t>
      </w:r>
      <w:r>
        <w:rPr>
          <w:color w:val="231F20"/>
          <w:spacing w:val="-16"/>
          <w:w w:val="105"/>
        </w:rPr>
        <w:t> </w:t>
      </w:r>
      <w:r>
        <w:rPr>
          <w:color w:val="231F20"/>
          <w:w w:val="105"/>
        </w:rPr>
        <w:t>2014).</w:t>
      </w:r>
      <w:r>
        <w:rPr>
          <w:color w:val="231F20"/>
          <w:spacing w:val="-16"/>
          <w:w w:val="105"/>
        </w:rPr>
        <w:t> </w:t>
      </w:r>
      <w:r>
        <w:rPr>
          <w:color w:val="231F20"/>
          <w:w w:val="105"/>
        </w:rPr>
        <w:t>Si</w:t>
      </w:r>
      <w:r>
        <w:rPr>
          <w:color w:val="231F20"/>
          <w:spacing w:val="-11"/>
          <w:w w:val="105"/>
        </w:rPr>
        <w:t> </w:t>
      </w:r>
      <w:r>
        <w:rPr>
          <w:color w:val="231F20"/>
          <w:w w:val="105"/>
        </w:rPr>
        <w:t>bien</w:t>
      </w:r>
      <w:r>
        <w:rPr>
          <w:color w:val="231F20"/>
          <w:spacing w:val="-11"/>
          <w:w w:val="105"/>
        </w:rPr>
        <w:t> </w:t>
      </w:r>
      <w:r>
        <w:rPr>
          <w:color w:val="231F20"/>
          <w:w w:val="105"/>
        </w:rPr>
        <w:t>las</w:t>
      </w:r>
      <w:r>
        <w:rPr>
          <w:color w:val="231F20"/>
          <w:spacing w:val="-11"/>
          <w:w w:val="105"/>
        </w:rPr>
        <w:t> </w:t>
      </w:r>
      <w:r>
        <w:rPr>
          <w:color w:val="231F20"/>
          <w:w w:val="105"/>
        </w:rPr>
        <w:t>características,</w:t>
      </w:r>
      <w:r>
        <w:rPr>
          <w:color w:val="231F20"/>
          <w:spacing w:val="-16"/>
          <w:w w:val="105"/>
        </w:rPr>
        <w:t> </w:t>
      </w:r>
      <w:r>
        <w:rPr>
          <w:color w:val="231F20"/>
          <w:w w:val="105"/>
        </w:rPr>
        <w:t>formas</w:t>
      </w:r>
      <w:r>
        <w:rPr>
          <w:color w:val="231F20"/>
          <w:spacing w:val="-11"/>
          <w:w w:val="105"/>
        </w:rPr>
        <w:t> </w:t>
      </w:r>
      <w:r>
        <w:rPr>
          <w:color w:val="231F20"/>
          <w:w w:val="105"/>
        </w:rPr>
        <w:t>y</w:t>
      </w:r>
      <w:r>
        <w:rPr>
          <w:color w:val="231F20"/>
          <w:spacing w:val="-11"/>
          <w:w w:val="105"/>
        </w:rPr>
        <w:t> </w:t>
      </w:r>
      <w:r>
        <w:rPr>
          <w:color w:val="231F20"/>
          <w:w w:val="105"/>
        </w:rPr>
        <w:t>tiempos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migración han cambiado, no quiere decir que va terminar, sino que como hecho social</w:t>
      </w:r>
      <w:r>
        <w:rPr>
          <w:color w:val="231F20"/>
          <w:spacing w:val="-13"/>
          <w:w w:val="105"/>
        </w:rPr>
        <w:t> </w:t>
      </w:r>
      <w:r>
        <w:rPr>
          <w:color w:val="231F20"/>
          <w:w w:val="105"/>
        </w:rPr>
        <w:t>se</w:t>
      </w:r>
      <w:r>
        <w:rPr>
          <w:color w:val="231F20"/>
          <w:spacing w:val="-13"/>
          <w:w w:val="105"/>
        </w:rPr>
        <w:t> </w:t>
      </w:r>
      <w:r>
        <w:rPr>
          <w:color w:val="231F20"/>
          <w:w w:val="105"/>
        </w:rPr>
        <w:t>modifica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tiempo</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espacio.</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90"/>
        <w:ind w:left="1723"/>
      </w:pPr>
      <w:r>
        <w:rPr/>
        <w:pict>
          <v:line style="position:absolute;mso-position-horizontal-relative:page;mso-position-vertical-relative:paragraph;z-index:38416" from="15pt,-62.04826pt" to="0pt,-62.04826pt" stroked="true" strokeweight=".25pt" strokecolor="#000000">
            <w10:wrap type="none"/>
          </v:line>
        </w:pict>
      </w:r>
      <w:r>
        <w:rPr/>
        <w:pict>
          <v:line style="position:absolute;mso-position-horizontal-relative:page;mso-position-vertical-relative:paragraph;z-index:38440" from="508.890015pt,-62.04826pt" to="523.890015pt,-62.04826pt" stroked="true" strokeweight=".25pt" strokecolor="#000000">
            <w10:wrap type="none"/>
          </v:line>
        </w:pict>
      </w:r>
      <w:r>
        <w:rPr>
          <w:color w:val="231F20"/>
          <w:w w:val="95"/>
        </w:rPr>
        <w:t>Los sujetos del estudio</w:t>
      </w:r>
    </w:p>
    <w:p>
      <w:pPr>
        <w:pStyle w:val="BodyText"/>
        <w:rPr>
          <w:rFonts w:ascii="Arial"/>
          <w:b/>
          <w:sz w:val="22"/>
        </w:rPr>
      </w:pPr>
    </w:p>
    <w:p>
      <w:pPr>
        <w:pStyle w:val="BodyText"/>
        <w:spacing w:line="261" w:lineRule="auto" w:before="163"/>
        <w:ind w:left="1723" w:right="1834"/>
        <w:jc w:val="both"/>
      </w:pPr>
      <w:r>
        <w:rPr>
          <w:color w:val="231F20"/>
          <w:w w:val="105"/>
        </w:rPr>
        <w:t>Es</w:t>
      </w:r>
      <w:r>
        <w:rPr>
          <w:color w:val="231F20"/>
          <w:spacing w:val="-24"/>
          <w:w w:val="105"/>
        </w:rPr>
        <w:t> </w:t>
      </w:r>
      <w:r>
        <w:rPr>
          <w:color w:val="231F20"/>
          <w:w w:val="105"/>
        </w:rPr>
        <w:t>necesario</w:t>
      </w:r>
      <w:r>
        <w:rPr>
          <w:color w:val="231F20"/>
          <w:spacing w:val="-24"/>
          <w:w w:val="105"/>
        </w:rPr>
        <w:t> </w:t>
      </w:r>
      <w:r>
        <w:rPr>
          <w:color w:val="231F20"/>
          <w:w w:val="105"/>
        </w:rPr>
        <w:t>precisar</w:t>
      </w:r>
      <w:r>
        <w:rPr>
          <w:color w:val="231F20"/>
          <w:spacing w:val="-24"/>
          <w:w w:val="105"/>
        </w:rPr>
        <w:t> </w:t>
      </w:r>
      <w:r>
        <w:rPr>
          <w:color w:val="231F20"/>
          <w:w w:val="105"/>
        </w:rPr>
        <w:t>que</w:t>
      </w:r>
      <w:r>
        <w:rPr>
          <w:color w:val="231F20"/>
          <w:spacing w:val="-24"/>
          <w:w w:val="105"/>
        </w:rPr>
        <w:t> </w:t>
      </w:r>
      <w:r>
        <w:rPr>
          <w:color w:val="231F20"/>
          <w:w w:val="105"/>
        </w:rPr>
        <w:t>los</w:t>
      </w:r>
      <w:r>
        <w:rPr>
          <w:color w:val="231F20"/>
          <w:spacing w:val="-24"/>
          <w:w w:val="105"/>
        </w:rPr>
        <w:t> </w:t>
      </w:r>
      <w:r>
        <w:rPr>
          <w:color w:val="231F20"/>
          <w:w w:val="105"/>
        </w:rPr>
        <w:t>entrevistados</w:t>
      </w:r>
      <w:r>
        <w:rPr>
          <w:color w:val="231F20"/>
          <w:spacing w:val="-24"/>
          <w:w w:val="105"/>
        </w:rPr>
        <w:t> </w:t>
      </w:r>
      <w:r>
        <w:rPr>
          <w:color w:val="231F20"/>
          <w:w w:val="105"/>
        </w:rPr>
        <w:t>en</w:t>
      </w:r>
      <w:r>
        <w:rPr>
          <w:color w:val="231F20"/>
          <w:spacing w:val="-24"/>
          <w:w w:val="105"/>
        </w:rPr>
        <w:t> </w:t>
      </w:r>
      <w:r>
        <w:rPr>
          <w:color w:val="231F20"/>
          <w:w w:val="105"/>
        </w:rPr>
        <w:t>este</w:t>
      </w:r>
      <w:r>
        <w:rPr>
          <w:color w:val="231F20"/>
          <w:spacing w:val="-24"/>
          <w:w w:val="105"/>
        </w:rPr>
        <w:t> </w:t>
      </w:r>
      <w:r>
        <w:rPr>
          <w:color w:val="231F20"/>
          <w:w w:val="105"/>
        </w:rPr>
        <w:t>trabajo</w:t>
      </w:r>
      <w:r>
        <w:rPr>
          <w:color w:val="231F20"/>
          <w:spacing w:val="-24"/>
          <w:w w:val="105"/>
        </w:rPr>
        <w:t> </w:t>
      </w:r>
      <w:r>
        <w:rPr>
          <w:color w:val="231F20"/>
          <w:w w:val="105"/>
        </w:rPr>
        <w:t>son</w:t>
      </w:r>
      <w:r>
        <w:rPr>
          <w:color w:val="231F20"/>
          <w:spacing w:val="-24"/>
          <w:w w:val="105"/>
        </w:rPr>
        <w:t> </w:t>
      </w:r>
      <w:r>
        <w:rPr>
          <w:color w:val="231F20"/>
          <w:w w:val="105"/>
        </w:rPr>
        <w:t>personas de</w:t>
      </w:r>
      <w:r>
        <w:rPr>
          <w:color w:val="231F20"/>
          <w:spacing w:val="-8"/>
          <w:w w:val="105"/>
        </w:rPr>
        <w:t> </w:t>
      </w:r>
      <w:r>
        <w:rPr>
          <w:color w:val="231F20"/>
          <w:w w:val="105"/>
        </w:rPr>
        <w:t>más</w:t>
      </w:r>
      <w:r>
        <w:rPr>
          <w:color w:val="231F20"/>
          <w:spacing w:val="-8"/>
          <w:w w:val="105"/>
        </w:rPr>
        <w:t> </w:t>
      </w:r>
      <w:r>
        <w:rPr>
          <w:color w:val="231F20"/>
          <w:w w:val="105"/>
        </w:rPr>
        <w:t>de</w:t>
      </w:r>
      <w:r>
        <w:rPr>
          <w:color w:val="231F20"/>
          <w:spacing w:val="-8"/>
          <w:w w:val="105"/>
        </w:rPr>
        <w:t> </w:t>
      </w:r>
      <w:r>
        <w:rPr>
          <w:color w:val="231F20"/>
          <w:w w:val="105"/>
        </w:rPr>
        <w:t>60</w:t>
      </w:r>
      <w:r>
        <w:rPr>
          <w:color w:val="231F20"/>
          <w:spacing w:val="-8"/>
          <w:w w:val="105"/>
        </w:rPr>
        <w:t> </w:t>
      </w:r>
      <w:r>
        <w:rPr>
          <w:color w:val="231F20"/>
          <w:w w:val="105"/>
        </w:rPr>
        <w:t>años</w:t>
      </w:r>
      <w:r>
        <w:rPr>
          <w:color w:val="231F20"/>
          <w:spacing w:val="-8"/>
          <w:w w:val="105"/>
        </w:rPr>
        <w:t> </w:t>
      </w:r>
      <w:r>
        <w:rPr>
          <w:color w:val="231F20"/>
          <w:w w:val="105"/>
        </w:rPr>
        <w:t>y</w:t>
      </w:r>
      <w:r>
        <w:rPr>
          <w:color w:val="231F20"/>
          <w:spacing w:val="-8"/>
          <w:w w:val="105"/>
        </w:rPr>
        <w:t> </w:t>
      </w:r>
      <w:r>
        <w:rPr>
          <w:color w:val="231F20"/>
          <w:w w:val="105"/>
        </w:rPr>
        <w:t>que</w:t>
      </w:r>
      <w:r>
        <w:rPr>
          <w:color w:val="231F20"/>
          <w:spacing w:val="-8"/>
          <w:w w:val="105"/>
        </w:rPr>
        <w:t> </w:t>
      </w:r>
      <w:r>
        <w:rPr>
          <w:color w:val="231F20"/>
          <w:w w:val="105"/>
        </w:rPr>
        <w:t>a</w:t>
      </w:r>
      <w:r>
        <w:rPr>
          <w:color w:val="231F20"/>
          <w:spacing w:val="-8"/>
          <w:w w:val="105"/>
        </w:rPr>
        <w:t> </w:t>
      </w:r>
      <w:r>
        <w:rPr>
          <w:color w:val="231F20"/>
          <w:w w:val="105"/>
        </w:rPr>
        <w:t>partir</w:t>
      </w:r>
      <w:r>
        <w:rPr>
          <w:color w:val="231F20"/>
          <w:spacing w:val="-8"/>
          <w:w w:val="105"/>
        </w:rPr>
        <w:t> </w:t>
      </w:r>
      <w:r>
        <w:rPr>
          <w:color w:val="231F20"/>
          <w:w w:val="105"/>
        </w:rPr>
        <w:t>de</w:t>
      </w:r>
      <w:r>
        <w:rPr>
          <w:color w:val="231F20"/>
          <w:spacing w:val="-8"/>
          <w:w w:val="105"/>
        </w:rPr>
        <w:t> </w:t>
      </w:r>
      <w:r>
        <w:rPr>
          <w:color w:val="231F20"/>
          <w:w w:val="105"/>
        </w:rPr>
        <w:t>sus</w:t>
      </w:r>
      <w:r>
        <w:rPr>
          <w:color w:val="231F20"/>
          <w:spacing w:val="-8"/>
          <w:w w:val="105"/>
        </w:rPr>
        <w:t> </w:t>
      </w:r>
      <w:r>
        <w:rPr>
          <w:color w:val="231F20"/>
          <w:w w:val="105"/>
        </w:rPr>
        <w:t>testimonios</w:t>
      </w:r>
      <w:r>
        <w:rPr>
          <w:color w:val="231F20"/>
          <w:spacing w:val="-8"/>
          <w:w w:val="105"/>
        </w:rPr>
        <w:t> </w:t>
      </w:r>
      <w:r>
        <w:rPr>
          <w:color w:val="231F20"/>
          <w:w w:val="105"/>
        </w:rPr>
        <w:t>se</w:t>
      </w:r>
      <w:r>
        <w:rPr>
          <w:color w:val="231F20"/>
          <w:spacing w:val="-8"/>
          <w:w w:val="105"/>
        </w:rPr>
        <w:t> </w:t>
      </w:r>
      <w:r>
        <w:rPr>
          <w:color w:val="231F20"/>
          <w:w w:val="105"/>
        </w:rPr>
        <w:t>desprende</w:t>
      </w:r>
      <w:r>
        <w:rPr>
          <w:color w:val="231F20"/>
          <w:spacing w:val="-8"/>
          <w:w w:val="105"/>
        </w:rPr>
        <w:t> </w:t>
      </w:r>
      <w:r>
        <w:rPr>
          <w:color w:val="231F20"/>
          <w:w w:val="105"/>
        </w:rPr>
        <w:t>la</w:t>
      </w:r>
      <w:r>
        <w:rPr>
          <w:color w:val="231F20"/>
          <w:spacing w:val="-8"/>
          <w:w w:val="105"/>
        </w:rPr>
        <w:t> </w:t>
      </w:r>
      <w:r>
        <w:rPr>
          <w:color w:val="231F20"/>
          <w:w w:val="105"/>
        </w:rPr>
        <w:t>in- formación</w:t>
      </w:r>
      <w:r>
        <w:rPr>
          <w:color w:val="231F20"/>
          <w:spacing w:val="-23"/>
          <w:w w:val="105"/>
        </w:rPr>
        <w:t> </w:t>
      </w:r>
      <w:r>
        <w:rPr>
          <w:color w:val="231F20"/>
          <w:w w:val="105"/>
        </w:rPr>
        <w:t>sobre</w:t>
      </w:r>
      <w:r>
        <w:rPr>
          <w:color w:val="231F20"/>
          <w:spacing w:val="-23"/>
          <w:w w:val="105"/>
        </w:rPr>
        <w:t> </w:t>
      </w:r>
      <w:r>
        <w:rPr>
          <w:color w:val="231F20"/>
          <w:w w:val="105"/>
        </w:rPr>
        <w:t>las</w:t>
      </w:r>
      <w:r>
        <w:rPr>
          <w:color w:val="231F20"/>
          <w:spacing w:val="-23"/>
          <w:w w:val="105"/>
        </w:rPr>
        <w:t> </w:t>
      </w:r>
      <w:r>
        <w:rPr>
          <w:color w:val="231F20"/>
          <w:w w:val="105"/>
        </w:rPr>
        <w:t>diferentes</w:t>
      </w:r>
      <w:r>
        <w:rPr>
          <w:color w:val="231F20"/>
          <w:spacing w:val="-23"/>
          <w:w w:val="105"/>
        </w:rPr>
        <w:t> </w:t>
      </w:r>
      <w:r>
        <w:rPr>
          <w:color w:val="231F20"/>
          <w:w w:val="105"/>
        </w:rPr>
        <w:t>generaciones</w:t>
      </w:r>
      <w:r>
        <w:rPr>
          <w:color w:val="231F20"/>
          <w:spacing w:val="-23"/>
          <w:w w:val="105"/>
        </w:rPr>
        <w:t> </w:t>
      </w:r>
      <w:r>
        <w:rPr>
          <w:color w:val="231F20"/>
          <w:w w:val="105"/>
        </w:rPr>
        <w:t>migrantes.</w:t>
      </w:r>
    </w:p>
    <w:p>
      <w:pPr>
        <w:pStyle w:val="BodyText"/>
        <w:spacing w:line="261" w:lineRule="auto" w:before="1"/>
        <w:ind w:left="1723" w:right="1834" w:firstLine="567"/>
        <w:jc w:val="both"/>
      </w:pPr>
      <w:r>
        <w:rPr>
          <w:color w:val="231F20"/>
          <w:w w:val="105"/>
        </w:rPr>
        <w:t>Las</w:t>
      </w:r>
      <w:r>
        <w:rPr>
          <w:color w:val="231F20"/>
          <w:spacing w:val="-33"/>
          <w:w w:val="105"/>
        </w:rPr>
        <w:t> </w:t>
      </w:r>
      <w:r>
        <w:rPr>
          <w:color w:val="231F20"/>
          <w:w w:val="105"/>
        </w:rPr>
        <w:t>entrevistas</w:t>
      </w:r>
      <w:r>
        <w:rPr>
          <w:color w:val="231F20"/>
          <w:spacing w:val="-33"/>
          <w:w w:val="105"/>
        </w:rPr>
        <w:t> </w:t>
      </w:r>
      <w:r>
        <w:rPr>
          <w:color w:val="231F20"/>
          <w:w w:val="105"/>
        </w:rPr>
        <w:t>se</w:t>
      </w:r>
      <w:r>
        <w:rPr>
          <w:color w:val="231F20"/>
          <w:spacing w:val="-33"/>
          <w:w w:val="105"/>
        </w:rPr>
        <w:t> </w:t>
      </w:r>
      <w:r>
        <w:rPr>
          <w:color w:val="231F20"/>
          <w:w w:val="105"/>
        </w:rPr>
        <w:t>realizaron</w:t>
      </w:r>
      <w:r>
        <w:rPr>
          <w:color w:val="231F20"/>
          <w:spacing w:val="-33"/>
          <w:w w:val="105"/>
        </w:rPr>
        <w:t> </w:t>
      </w:r>
      <w:r>
        <w:rPr>
          <w:color w:val="231F20"/>
          <w:w w:val="105"/>
        </w:rPr>
        <w:t>en</w:t>
      </w:r>
      <w:r>
        <w:rPr>
          <w:color w:val="231F20"/>
          <w:spacing w:val="-33"/>
          <w:w w:val="105"/>
        </w:rPr>
        <w:t> </w:t>
      </w:r>
      <w:r>
        <w:rPr>
          <w:color w:val="231F20"/>
          <w:w w:val="105"/>
        </w:rPr>
        <w:t>12</w:t>
      </w:r>
      <w:r>
        <w:rPr>
          <w:color w:val="231F20"/>
          <w:spacing w:val="-33"/>
          <w:w w:val="105"/>
        </w:rPr>
        <w:t> </w:t>
      </w:r>
      <w:r>
        <w:rPr>
          <w:color w:val="231F20"/>
          <w:w w:val="105"/>
        </w:rPr>
        <w:t>municipios</w:t>
      </w:r>
      <w:r>
        <w:rPr>
          <w:color w:val="231F20"/>
          <w:spacing w:val="-33"/>
          <w:w w:val="105"/>
        </w:rPr>
        <w:t> </w:t>
      </w:r>
      <w:r>
        <w:rPr>
          <w:color w:val="231F20"/>
          <w:w w:val="105"/>
        </w:rPr>
        <w:t>del</w:t>
      </w:r>
      <w:r>
        <w:rPr>
          <w:color w:val="231F20"/>
          <w:spacing w:val="-33"/>
          <w:w w:val="105"/>
        </w:rPr>
        <w:t> </w:t>
      </w:r>
      <w:r>
        <w:rPr>
          <w:color w:val="231F20"/>
          <w:w w:val="105"/>
        </w:rPr>
        <w:t>Estado</w:t>
      </w:r>
      <w:r>
        <w:rPr>
          <w:color w:val="231F20"/>
          <w:spacing w:val="-33"/>
          <w:w w:val="105"/>
        </w:rPr>
        <w:t> </w:t>
      </w:r>
      <w:r>
        <w:rPr>
          <w:color w:val="231F20"/>
          <w:w w:val="105"/>
        </w:rPr>
        <w:t>de</w:t>
      </w:r>
      <w:r>
        <w:rPr>
          <w:color w:val="231F20"/>
          <w:spacing w:val="-33"/>
          <w:w w:val="105"/>
        </w:rPr>
        <w:t> </w:t>
      </w:r>
      <w:r>
        <w:rPr>
          <w:color w:val="231F20"/>
          <w:w w:val="105"/>
        </w:rPr>
        <w:t>México que corresponden tanto a zona rurales como urbanas-conurbadas, de manera que se tiene información de diferentes contextos que permiten no</w:t>
      </w:r>
      <w:r>
        <w:rPr>
          <w:color w:val="231F20"/>
          <w:spacing w:val="-12"/>
          <w:w w:val="105"/>
        </w:rPr>
        <w:t> </w:t>
      </w:r>
      <w:r>
        <w:rPr>
          <w:color w:val="231F20"/>
          <w:w w:val="105"/>
        </w:rPr>
        <w:t>tener</w:t>
      </w:r>
      <w:r>
        <w:rPr>
          <w:color w:val="231F20"/>
          <w:spacing w:val="-12"/>
          <w:w w:val="105"/>
        </w:rPr>
        <w:t> </w:t>
      </w:r>
      <w:r>
        <w:rPr>
          <w:color w:val="231F20"/>
          <w:w w:val="105"/>
        </w:rPr>
        <w:t>un</w:t>
      </w:r>
      <w:r>
        <w:rPr>
          <w:color w:val="231F20"/>
          <w:spacing w:val="-12"/>
          <w:w w:val="105"/>
        </w:rPr>
        <w:t> </w:t>
      </w:r>
      <w:r>
        <w:rPr>
          <w:color w:val="231F20"/>
          <w:w w:val="105"/>
        </w:rPr>
        <w:t>sesgo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información.</w:t>
      </w:r>
    </w:p>
    <w:p>
      <w:pPr>
        <w:pStyle w:val="BodyText"/>
        <w:spacing w:line="261" w:lineRule="auto" w:before="1"/>
        <w:ind w:left="1723" w:right="1835" w:firstLine="567"/>
        <w:jc w:val="both"/>
      </w:pPr>
      <w:r>
        <w:rPr>
          <w:color w:val="231F20"/>
          <w:w w:val="105"/>
        </w:rPr>
        <w:t>A</w:t>
      </w:r>
      <w:r>
        <w:rPr>
          <w:color w:val="231F20"/>
          <w:spacing w:val="-21"/>
          <w:w w:val="105"/>
        </w:rPr>
        <w:t> </w:t>
      </w:r>
      <w:r>
        <w:rPr>
          <w:color w:val="231F20"/>
          <w:w w:val="105"/>
        </w:rPr>
        <w:t>continuación,</w:t>
      </w:r>
      <w:r>
        <w:rPr>
          <w:color w:val="231F20"/>
          <w:spacing w:val="-22"/>
          <w:w w:val="105"/>
        </w:rPr>
        <w:t> </w:t>
      </w:r>
      <w:r>
        <w:rPr>
          <w:color w:val="231F20"/>
          <w:w w:val="105"/>
        </w:rPr>
        <w:t>se</w:t>
      </w:r>
      <w:r>
        <w:rPr>
          <w:color w:val="231F20"/>
          <w:spacing w:val="-17"/>
          <w:w w:val="105"/>
        </w:rPr>
        <w:t> </w:t>
      </w:r>
      <w:r>
        <w:rPr>
          <w:color w:val="231F20"/>
          <w:w w:val="105"/>
        </w:rPr>
        <w:t>presenta</w:t>
      </w:r>
      <w:r>
        <w:rPr>
          <w:color w:val="231F20"/>
          <w:spacing w:val="-17"/>
          <w:w w:val="105"/>
        </w:rPr>
        <w:t> </w:t>
      </w:r>
      <w:r>
        <w:rPr>
          <w:color w:val="231F20"/>
          <w:w w:val="105"/>
        </w:rPr>
        <w:t>la</w:t>
      </w:r>
      <w:r>
        <w:rPr>
          <w:color w:val="231F20"/>
          <w:spacing w:val="-17"/>
          <w:w w:val="105"/>
        </w:rPr>
        <w:t> </w:t>
      </w:r>
      <w:r>
        <w:rPr>
          <w:color w:val="231F20"/>
          <w:w w:val="105"/>
        </w:rPr>
        <w:t>información</w:t>
      </w:r>
      <w:r>
        <w:rPr>
          <w:color w:val="231F20"/>
          <w:spacing w:val="-17"/>
          <w:w w:val="105"/>
        </w:rPr>
        <w:t> </w:t>
      </w:r>
      <w:r>
        <w:rPr>
          <w:color w:val="231F20"/>
          <w:w w:val="105"/>
        </w:rPr>
        <w:t>elemental</w:t>
      </w:r>
      <w:r>
        <w:rPr>
          <w:color w:val="231F20"/>
          <w:spacing w:val="-17"/>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w w:val="105"/>
        </w:rPr>
        <w:t>cuadro que</w:t>
      </w:r>
      <w:r>
        <w:rPr>
          <w:color w:val="231F20"/>
          <w:spacing w:val="-13"/>
          <w:w w:val="105"/>
        </w:rPr>
        <w:t> </w:t>
      </w:r>
      <w:r>
        <w:rPr>
          <w:color w:val="231F20"/>
          <w:w w:val="105"/>
        </w:rPr>
        <w:t>permite</w:t>
      </w:r>
      <w:r>
        <w:rPr>
          <w:color w:val="231F20"/>
          <w:spacing w:val="-13"/>
          <w:w w:val="105"/>
        </w:rPr>
        <w:t> </w:t>
      </w:r>
      <w:r>
        <w:rPr>
          <w:color w:val="231F20"/>
          <w:w w:val="105"/>
        </w:rPr>
        <w:t>tener</w:t>
      </w:r>
      <w:r>
        <w:rPr>
          <w:color w:val="231F20"/>
          <w:spacing w:val="-13"/>
          <w:w w:val="105"/>
        </w:rPr>
        <w:t> </w:t>
      </w:r>
      <w:r>
        <w:rPr>
          <w:color w:val="231F20"/>
          <w:w w:val="105"/>
        </w:rPr>
        <w:t>una</w:t>
      </w:r>
      <w:r>
        <w:rPr>
          <w:color w:val="231F20"/>
          <w:spacing w:val="-13"/>
          <w:w w:val="105"/>
        </w:rPr>
        <w:t> </w:t>
      </w:r>
      <w:r>
        <w:rPr>
          <w:color w:val="231F20"/>
          <w:w w:val="105"/>
        </w:rPr>
        <w:t>panorámica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sujetos</w:t>
      </w:r>
      <w:r>
        <w:rPr>
          <w:color w:val="231F20"/>
          <w:spacing w:val="-13"/>
          <w:w w:val="105"/>
        </w:rPr>
        <w:t> </w:t>
      </w:r>
      <w:r>
        <w:rPr>
          <w:color w:val="231F20"/>
          <w:w w:val="105"/>
        </w:rPr>
        <w:t>en</w:t>
      </w:r>
      <w:r>
        <w:rPr>
          <w:color w:val="231F20"/>
          <w:spacing w:val="-13"/>
          <w:w w:val="105"/>
        </w:rPr>
        <w:t> </w:t>
      </w:r>
      <w:r>
        <w:rPr>
          <w:color w:val="231F20"/>
          <w:w w:val="105"/>
        </w:rPr>
        <w:t>cuestión.</w:t>
      </w:r>
    </w:p>
    <w:p>
      <w:pPr>
        <w:pStyle w:val="BodyText"/>
        <w:spacing w:before="4"/>
      </w:pPr>
    </w:p>
    <w:p>
      <w:pPr>
        <w:spacing w:before="0"/>
        <w:ind w:left="2514" w:right="0" w:firstLine="0"/>
        <w:jc w:val="left"/>
        <w:rPr>
          <w:rFonts w:ascii="Arial"/>
          <w:sz w:val="18"/>
        </w:rPr>
      </w:pPr>
      <w:r>
        <w:rPr>
          <w:rFonts w:ascii="Arial"/>
          <w:color w:val="231F20"/>
          <w:w w:val="105"/>
          <w:sz w:val="18"/>
        </w:rPr>
        <w:t>Cuadro 1. Datos sobre los informantes y generaciones migrantes</w:t>
      </w:r>
    </w:p>
    <w:p>
      <w:pPr>
        <w:pStyle w:val="BodyText"/>
        <w:spacing w:before="5"/>
        <w:rPr>
          <w:rFonts w:ascii="Arial"/>
          <w:sz w:val="13"/>
        </w:rPr>
      </w:pPr>
    </w:p>
    <w:tbl>
      <w:tblPr>
        <w:tblW w:w="0" w:type="auto"/>
        <w:jc w:val="left"/>
        <w:tblInd w:w="172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791"/>
        <w:gridCol w:w="1395"/>
        <w:gridCol w:w="1508"/>
        <w:gridCol w:w="1351"/>
        <w:gridCol w:w="1866"/>
      </w:tblGrid>
      <w:tr>
        <w:trPr>
          <w:trHeight w:val="556" w:hRule="exact"/>
        </w:trPr>
        <w:tc>
          <w:tcPr>
            <w:tcW w:w="791" w:type="dxa"/>
          </w:tcPr>
          <w:p>
            <w:pPr>
              <w:pStyle w:val="TableParagraph"/>
              <w:spacing w:before="88"/>
              <w:ind w:left="65"/>
              <w:rPr>
                <w:rFonts w:ascii="Arial"/>
                <w:sz w:val="18"/>
              </w:rPr>
            </w:pPr>
            <w:r>
              <w:rPr>
                <w:rFonts w:ascii="Arial"/>
                <w:color w:val="231F20"/>
                <w:sz w:val="18"/>
              </w:rPr>
              <w:t>Iniciales</w:t>
            </w:r>
          </w:p>
        </w:tc>
        <w:tc>
          <w:tcPr>
            <w:tcW w:w="1395" w:type="dxa"/>
          </w:tcPr>
          <w:p>
            <w:pPr>
              <w:pStyle w:val="TableParagraph"/>
              <w:spacing w:line="249" w:lineRule="auto" w:before="88"/>
              <w:ind w:left="265" w:right="94" w:hanging="93"/>
              <w:rPr>
                <w:rFonts w:ascii="Arial" w:hAnsi="Arial"/>
                <w:sz w:val="18"/>
              </w:rPr>
            </w:pPr>
            <w:r>
              <w:rPr>
                <w:rFonts w:ascii="Arial" w:hAnsi="Arial"/>
                <w:color w:val="231F20"/>
                <w:w w:val="105"/>
                <w:sz w:val="18"/>
              </w:rPr>
              <w:t>Sexo, edad y ocupación</w:t>
            </w:r>
          </w:p>
        </w:tc>
        <w:tc>
          <w:tcPr>
            <w:tcW w:w="1508" w:type="dxa"/>
          </w:tcPr>
          <w:p>
            <w:pPr>
              <w:pStyle w:val="TableParagraph"/>
              <w:spacing w:line="249" w:lineRule="auto" w:before="88"/>
              <w:ind w:left="321" w:right="63" w:firstLine="111"/>
              <w:rPr>
                <w:rFonts w:ascii="Arial"/>
                <w:sz w:val="18"/>
              </w:rPr>
            </w:pPr>
            <w:r>
              <w:rPr>
                <w:rFonts w:ascii="Arial"/>
                <w:color w:val="231F20"/>
                <w:w w:val="110"/>
                <w:sz w:val="18"/>
              </w:rPr>
              <w:t>Periodo migratorio</w:t>
            </w:r>
          </w:p>
        </w:tc>
        <w:tc>
          <w:tcPr>
            <w:tcW w:w="1351" w:type="dxa"/>
          </w:tcPr>
          <w:p>
            <w:pPr>
              <w:pStyle w:val="TableParagraph"/>
              <w:spacing w:line="249" w:lineRule="auto" w:before="88"/>
              <w:ind w:left="253" w:firstLine="55"/>
              <w:rPr>
                <w:rFonts w:ascii="Arial"/>
                <w:sz w:val="18"/>
              </w:rPr>
            </w:pPr>
            <w:r>
              <w:rPr>
                <w:rFonts w:ascii="Arial"/>
                <w:color w:val="231F20"/>
                <w:w w:val="105"/>
                <w:sz w:val="18"/>
              </w:rPr>
              <w:t>Lugar de </w:t>
            </w:r>
            <w:r>
              <w:rPr>
                <w:rFonts w:ascii="Arial"/>
                <w:color w:val="231F20"/>
                <w:sz w:val="18"/>
              </w:rPr>
              <w:t>residencia</w:t>
            </w:r>
          </w:p>
        </w:tc>
        <w:tc>
          <w:tcPr>
            <w:tcW w:w="1866" w:type="dxa"/>
          </w:tcPr>
          <w:p>
            <w:pPr>
              <w:pStyle w:val="TableParagraph"/>
              <w:spacing w:line="249" w:lineRule="auto" w:before="88"/>
              <w:ind w:left="520" w:right="358" w:hanging="158"/>
              <w:rPr>
                <w:rFonts w:ascii="Arial"/>
                <w:sz w:val="18"/>
              </w:rPr>
            </w:pPr>
            <w:r>
              <w:rPr>
                <w:rFonts w:ascii="Arial"/>
                <w:color w:val="231F20"/>
                <w:sz w:val="18"/>
              </w:rPr>
              <w:t>Generaciones </w:t>
            </w:r>
            <w:r>
              <w:rPr>
                <w:rFonts w:ascii="Arial"/>
                <w:color w:val="231F20"/>
                <w:w w:val="105"/>
                <w:sz w:val="18"/>
              </w:rPr>
              <w:t>migrantes</w:t>
            </w:r>
          </w:p>
        </w:tc>
      </w:tr>
      <w:tr>
        <w:trPr>
          <w:trHeight w:val="988" w:hRule="exact"/>
        </w:trPr>
        <w:tc>
          <w:tcPr>
            <w:tcW w:w="791" w:type="dxa"/>
          </w:tcPr>
          <w:p>
            <w:pPr>
              <w:pStyle w:val="TableParagraph"/>
              <w:ind w:left="77"/>
              <w:rPr>
                <w:sz w:val="18"/>
              </w:rPr>
            </w:pPr>
            <w:r>
              <w:rPr>
                <w:color w:val="231F20"/>
                <w:w w:val="110"/>
                <w:sz w:val="18"/>
              </w:rPr>
              <w:t>Agt</w:t>
            </w:r>
          </w:p>
        </w:tc>
        <w:tc>
          <w:tcPr>
            <w:tcW w:w="1395" w:type="dxa"/>
          </w:tcPr>
          <w:p>
            <w:pPr>
              <w:pStyle w:val="TableParagraph"/>
              <w:spacing w:line="254" w:lineRule="auto"/>
              <w:ind w:left="77" w:right="407"/>
              <w:rPr>
                <w:sz w:val="18"/>
              </w:rPr>
            </w:pPr>
            <w:r>
              <w:rPr>
                <w:color w:val="231F20"/>
                <w:w w:val="105"/>
                <w:sz w:val="18"/>
              </w:rPr>
              <w:t>Hombre, 85 años, </w:t>
            </w:r>
            <w:r>
              <w:rPr>
                <w:color w:val="231F20"/>
                <w:sz w:val="18"/>
              </w:rPr>
              <w:t>campesino</w:t>
            </w:r>
          </w:p>
        </w:tc>
        <w:tc>
          <w:tcPr>
            <w:tcW w:w="1508" w:type="dxa"/>
          </w:tcPr>
          <w:p>
            <w:pPr>
              <w:pStyle w:val="TableParagraph"/>
              <w:ind w:left="77" w:right="63"/>
              <w:rPr>
                <w:sz w:val="18"/>
              </w:rPr>
            </w:pPr>
            <w:r>
              <w:rPr>
                <w:color w:val="231F20"/>
                <w:w w:val="105"/>
                <w:sz w:val="18"/>
              </w:rPr>
              <w:t>1944, bracero,</w:t>
            </w:r>
          </w:p>
          <w:p>
            <w:pPr>
              <w:pStyle w:val="TableParagraph"/>
              <w:spacing w:line="254" w:lineRule="auto" w:before="12"/>
              <w:ind w:left="77" w:right="63"/>
              <w:rPr>
                <w:sz w:val="18"/>
              </w:rPr>
            </w:pPr>
            <w:r>
              <w:rPr>
                <w:color w:val="231F20"/>
                <w:w w:val="105"/>
                <w:sz w:val="18"/>
              </w:rPr>
              <w:t>de</w:t>
            </w:r>
            <w:r>
              <w:rPr>
                <w:color w:val="231F20"/>
                <w:spacing w:val="-26"/>
                <w:w w:val="105"/>
                <w:sz w:val="18"/>
              </w:rPr>
              <w:t> </w:t>
            </w:r>
            <w:r>
              <w:rPr>
                <w:color w:val="231F20"/>
                <w:w w:val="105"/>
                <w:sz w:val="18"/>
              </w:rPr>
              <w:t>los</w:t>
            </w:r>
            <w:r>
              <w:rPr>
                <w:color w:val="231F20"/>
                <w:spacing w:val="-26"/>
                <w:w w:val="105"/>
                <w:sz w:val="18"/>
              </w:rPr>
              <w:t> </w:t>
            </w:r>
            <w:r>
              <w:rPr>
                <w:color w:val="231F20"/>
                <w:w w:val="105"/>
                <w:sz w:val="18"/>
              </w:rPr>
              <w:t>18</w:t>
            </w:r>
            <w:r>
              <w:rPr>
                <w:color w:val="231F20"/>
                <w:spacing w:val="-26"/>
                <w:w w:val="105"/>
                <w:sz w:val="18"/>
              </w:rPr>
              <w:t> </w:t>
            </w:r>
            <w:r>
              <w:rPr>
                <w:color w:val="231F20"/>
                <w:w w:val="105"/>
                <w:sz w:val="18"/>
              </w:rPr>
              <w:t>a</w:t>
            </w:r>
            <w:r>
              <w:rPr>
                <w:color w:val="231F20"/>
                <w:spacing w:val="-26"/>
                <w:w w:val="105"/>
                <w:sz w:val="18"/>
              </w:rPr>
              <w:t> </w:t>
            </w:r>
            <w:r>
              <w:rPr>
                <w:color w:val="231F20"/>
                <w:w w:val="105"/>
                <w:sz w:val="18"/>
              </w:rPr>
              <w:t>los</w:t>
            </w:r>
            <w:r>
              <w:rPr>
                <w:color w:val="231F20"/>
                <w:spacing w:val="-26"/>
                <w:w w:val="105"/>
                <w:sz w:val="18"/>
              </w:rPr>
              <w:t> </w:t>
            </w:r>
            <w:r>
              <w:rPr>
                <w:color w:val="231F20"/>
                <w:w w:val="105"/>
                <w:sz w:val="18"/>
              </w:rPr>
              <w:t>23 </w:t>
            </w:r>
            <w:r>
              <w:rPr>
                <w:color w:val="231F20"/>
                <w:sz w:val="18"/>
              </w:rPr>
              <w:t>años,</w:t>
            </w:r>
            <w:r>
              <w:rPr>
                <w:color w:val="231F20"/>
                <w:spacing w:val="7"/>
                <w:sz w:val="18"/>
              </w:rPr>
              <w:t> </w:t>
            </w:r>
            <w:r>
              <w:rPr>
                <w:color w:val="231F20"/>
                <w:sz w:val="18"/>
              </w:rPr>
              <w:t>campo</w:t>
            </w:r>
          </w:p>
        </w:tc>
        <w:tc>
          <w:tcPr>
            <w:tcW w:w="1351" w:type="dxa"/>
          </w:tcPr>
          <w:p>
            <w:pPr>
              <w:pStyle w:val="TableParagraph"/>
              <w:ind w:left="77"/>
              <w:rPr>
                <w:sz w:val="18"/>
              </w:rPr>
            </w:pPr>
            <w:r>
              <w:rPr>
                <w:color w:val="231F20"/>
                <w:w w:val="105"/>
                <w:sz w:val="18"/>
              </w:rPr>
              <w:t>Amatepec</w:t>
            </w:r>
          </w:p>
        </w:tc>
        <w:tc>
          <w:tcPr>
            <w:tcW w:w="1866" w:type="dxa"/>
          </w:tcPr>
          <w:p>
            <w:pPr>
              <w:pStyle w:val="TableParagraph"/>
              <w:spacing w:line="254" w:lineRule="auto"/>
              <w:ind w:left="77" w:right="70"/>
              <w:jc w:val="both"/>
              <w:rPr>
                <w:sz w:val="18"/>
              </w:rPr>
            </w:pPr>
            <w:r>
              <w:rPr>
                <w:color w:val="231F20"/>
                <w:w w:val="105"/>
                <w:sz w:val="18"/>
              </w:rPr>
              <w:t>2</w:t>
            </w:r>
            <w:r>
              <w:rPr>
                <w:color w:val="231F20"/>
                <w:spacing w:val="-27"/>
                <w:w w:val="105"/>
                <w:sz w:val="18"/>
              </w:rPr>
              <w:t> </w:t>
            </w:r>
            <w:r>
              <w:rPr>
                <w:color w:val="231F20"/>
                <w:w w:val="105"/>
                <w:sz w:val="18"/>
              </w:rPr>
              <w:t>en</w:t>
            </w:r>
            <w:r>
              <w:rPr>
                <w:color w:val="231F20"/>
                <w:spacing w:val="-27"/>
                <w:w w:val="105"/>
                <w:sz w:val="18"/>
              </w:rPr>
              <w:t> </w:t>
            </w:r>
            <w:r>
              <w:rPr>
                <w:color w:val="231F20"/>
                <w:w w:val="105"/>
                <w:sz w:val="18"/>
              </w:rPr>
              <w:t>Estados</w:t>
            </w:r>
            <w:r>
              <w:rPr>
                <w:color w:val="231F20"/>
                <w:spacing w:val="-27"/>
                <w:w w:val="105"/>
                <w:sz w:val="18"/>
              </w:rPr>
              <w:t> </w:t>
            </w:r>
            <w:r>
              <w:rPr>
                <w:color w:val="231F20"/>
                <w:w w:val="105"/>
                <w:sz w:val="18"/>
              </w:rPr>
              <w:t>Unidos, un</w:t>
            </w:r>
            <w:r>
              <w:rPr>
                <w:color w:val="231F20"/>
                <w:spacing w:val="-41"/>
                <w:w w:val="105"/>
                <w:sz w:val="18"/>
              </w:rPr>
              <w:t> </w:t>
            </w:r>
            <w:r>
              <w:rPr>
                <w:color w:val="231F20"/>
                <w:spacing w:val="-3"/>
                <w:w w:val="105"/>
                <w:sz w:val="18"/>
              </w:rPr>
              <w:t>hombre </w:t>
            </w:r>
            <w:r>
              <w:rPr>
                <w:color w:val="231F20"/>
                <w:w w:val="105"/>
                <w:sz w:val="18"/>
              </w:rPr>
              <w:t>mecánico y</w:t>
            </w:r>
            <w:r>
              <w:rPr>
                <w:color w:val="231F20"/>
                <w:spacing w:val="-17"/>
                <w:w w:val="105"/>
                <w:sz w:val="18"/>
              </w:rPr>
              <w:t> </w:t>
            </w:r>
            <w:r>
              <w:rPr>
                <w:color w:val="231F20"/>
                <w:w w:val="105"/>
                <w:sz w:val="18"/>
              </w:rPr>
              <w:t>una</w:t>
            </w:r>
            <w:r>
              <w:rPr>
                <w:color w:val="231F20"/>
                <w:spacing w:val="-17"/>
                <w:w w:val="105"/>
                <w:sz w:val="18"/>
              </w:rPr>
              <w:t> </w:t>
            </w:r>
            <w:r>
              <w:rPr>
                <w:color w:val="231F20"/>
                <w:w w:val="105"/>
                <w:sz w:val="18"/>
              </w:rPr>
              <w:t>mujer</w:t>
            </w:r>
            <w:r>
              <w:rPr>
                <w:color w:val="231F20"/>
                <w:spacing w:val="-17"/>
                <w:w w:val="105"/>
                <w:sz w:val="18"/>
              </w:rPr>
              <w:t> </w:t>
            </w:r>
            <w:r>
              <w:rPr>
                <w:color w:val="231F20"/>
                <w:w w:val="105"/>
                <w:sz w:val="18"/>
              </w:rPr>
              <w:t>modista</w:t>
            </w:r>
          </w:p>
        </w:tc>
      </w:tr>
      <w:tr>
        <w:trPr>
          <w:trHeight w:val="988" w:hRule="exact"/>
        </w:trPr>
        <w:tc>
          <w:tcPr>
            <w:tcW w:w="791" w:type="dxa"/>
          </w:tcPr>
          <w:p>
            <w:pPr>
              <w:pStyle w:val="TableParagraph"/>
              <w:ind w:left="77"/>
              <w:rPr>
                <w:sz w:val="18"/>
              </w:rPr>
            </w:pPr>
            <w:r>
              <w:rPr>
                <w:color w:val="231F20"/>
                <w:sz w:val="18"/>
              </w:rPr>
              <w:t>Cta</w:t>
            </w:r>
          </w:p>
        </w:tc>
        <w:tc>
          <w:tcPr>
            <w:tcW w:w="1395" w:type="dxa"/>
          </w:tcPr>
          <w:p>
            <w:pPr>
              <w:pStyle w:val="TableParagraph"/>
              <w:spacing w:line="254" w:lineRule="auto"/>
              <w:ind w:left="77" w:right="627"/>
              <w:rPr>
                <w:sz w:val="18"/>
              </w:rPr>
            </w:pPr>
            <w:r>
              <w:rPr>
                <w:color w:val="231F20"/>
                <w:spacing w:val="-3"/>
                <w:sz w:val="18"/>
              </w:rPr>
              <w:t>Mujer, </w:t>
            </w:r>
            <w:r>
              <w:rPr>
                <w:color w:val="231F20"/>
                <w:sz w:val="18"/>
              </w:rPr>
              <w:t>66</w:t>
            </w:r>
            <w:r>
              <w:rPr>
                <w:color w:val="231F20"/>
                <w:spacing w:val="-6"/>
                <w:sz w:val="18"/>
              </w:rPr>
              <w:t> </w:t>
            </w:r>
            <w:r>
              <w:rPr>
                <w:color w:val="231F20"/>
                <w:sz w:val="18"/>
              </w:rPr>
              <w:t>años,</w:t>
            </w:r>
          </w:p>
          <w:p>
            <w:pPr>
              <w:pStyle w:val="TableParagraph"/>
              <w:spacing w:before="0"/>
              <w:ind w:left="77" w:right="94"/>
              <w:rPr>
                <w:sz w:val="18"/>
              </w:rPr>
            </w:pPr>
            <w:r>
              <w:rPr>
                <w:color w:val="231F20"/>
                <w:w w:val="105"/>
                <w:sz w:val="18"/>
              </w:rPr>
              <w:t>comerciante</w:t>
            </w:r>
          </w:p>
        </w:tc>
        <w:tc>
          <w:tcPr>
            <w:tcW w:w="1508" w:type="dxa"/>
          </w:tcPr>
          <w:p>
            <w:pPr>
              <w:pStyle w:val="TableParagraph"/>
              <w:ind w:left="77" w:right="63"/>
              <w:rPr>
                <w:sz w:val="18"/>
              </w:rPr>
            </w:pPr>
            <w:r>
              <w:rPr>
                <w:color w:val="231F20"/>
                <w:sz w:val="18"/>
              </w:rPr>
              <w:t>Esposo, 2 años,</w:t>
            </w:r>
          </w:p>
          <w:p>
            <w:pPr>
              <w:pStyle w:val="TableParagraph"/>
              <w:spacing w:before="12"/>
              <w:ind w:left="77" w:right="63"/>
              <w:rPr>
                <w:sz w:val="18"/>
              </w:rPr>
            </w:pPr>
            <w:r>
              <w:rPr>
                <w:color w:val="231F20"/>
                <w:sz w:val="18"/>
              </w:rPr>
              <w:t>hijos 1-18 años</w:t>
            </w:r>
          </w:p>
        </w:tc>
        <w:tc>
          <w:tcPr>
            <w:tcW w:w="1351" w:type="dxa"/>
          </w:tcPr>
          <w:p>
            <w:pPr>
              <w:pStyle w:val="TableParagraph"/>
              <w:ind w:left="77"/>
              <w:rPr>
                <w:sz w:val="18"/>
              </w:rPr>
            </w:pPr>
            <w:r>
              <w:rPr>
                <w:color w:val="231F20"/>
                <w:w w:val="105"/>
                <w:sz w:val="18"/>
              </w:rPr>
              <w:t>Cuautitlán</w:t>
            </w:r>
          </w:p>
        </w:tc>
        <w:tc>
          <w:tcPr>
            <w:tcW w:w="1866" w:type="dxa"/>
          </w:tcPr>
          <w:p>
            <w:pPr>
              <w:pStyle w:val="TableParagraph"/>
              <w:ind w:left="77" w:right="358"/>
              <w:rPr>
                <w:sz w:val="18"/>
              </w:rPr>
            </w:pPr>
            <w:r>
              <w:rPr>
                <w:color w:val="231F20"/>
                <w:sz w:val="18"/>
              </w:rPr>
              <w:t>Esposo</w:t>
            </w:r>
          </w:p>
          <w:p>
            <w:pPr>
              <w:pStyle w:val="TableParagraph"/>
              <w:spacing w:line="254" w:lineRule="auto" w:before="12"/>
              <w:ind w:left="77" w:right="2"/>
              <w:rPr>
                <w:sz w:val="18"/>
              </w:rPr>
            </w:pPr>
            <w:r>
              <w:rPr>
                <w:color w:val="231F20"/>
                <w:w w:val="105"/>
                <w:sz w:val="18"/>
              </w:rPr>
              <w:t>Hijo mecánico, 2 nie- tos allá</w:t>
            </w:r>
          </w:p>
          <w:p>
            <w:pPr>
              <w:pStyle w:val="TableParagraph"/>
              <w:spacing w:before="0"/>
              <w:ind w:left="77" w:right="358"/>
              <w:rPr>
                <w:sz w:val="18"/>
              </w:rPr>
            </w:pPr>
            <w:r>
              <w:rPr>
                <w:color w:val="231F20"/>
                <w:sz w:val="18"/>
              </w:rPr>
              <w:t>Hija 2- 8 años</w:t>
            </w:r>
          </w:p>
        </w:tc>
      </w:tr>
      <w:tr>
        <w:trPr>
          <w:trHeight w:val="974" w:hRule="exact"/>
        </w:trPr>
        <w:tc>
          <w:tcPr>
            <w:tcW w:w="791" w:type="dxa"/>
          </w:tcPr>
          <w:p>
            <w:pPr>
              <w:pStyle w:val="TableParagraph"/>
              <w:ind w:left="77"/>
              <w:rPr>
                <w:sz w:val="18"/>
              </w:rPr>
            </w:pPr>
            <w:r>
              <w:rPr>
                <w:color w:val="231F20"/>
                <w:sz w:val="18"/>
              </w:rPr>
              <w:t>Lois</w:t>
            </w:r>
          </w:p>
        </w:tc>
        <w:tc>
          <w:tcPr>
            <w:tcW w:w="1395" w:type="dxa"/>
          </w:tcPr>
          <w:p>
            <w:pPr>
              <w:pStyle w:val="TableParagraph"/>
              <w:spacing w:line="254" w:lineRule="auto"/>
              <w:ind w:left="77" w:right="627"/>
              <w:rPr>
                <w:sz w:val="18"/>
              </w:rPr>
            </w:pPr>
            <w:r>
              <w:rPr>
                <w:color w:val="231F20"/>
                <w:spacing w:val="-3"/>
                <w:sz w:val="18"/>
              </w:rPr>
              <w:t>Mujer, </w:t>
            </w:r>
            <w:r>
              <w:rPr>
                <w:color w:val="231F20"/>
                <w:sz w:val="18"/>
              </w:rPr>
              <w:t>68</w:t>
            </w:r>
            <w:r>
              <w:rPr>
                <w:color w:val="231F20"/>
                <w:spacing w:val="-6"/>
                <w:sz w:val="18"/>
              </w:rPr>
              <w:t> </w:t>
            </w:r>
            <w:r>
              <w:rPr>
                <w:color w:val="231F20"/>
                <w:sz w:val="18"/>
              </w:rPr>
              <w:t>años,</w:t>
            </w:r>
          </w:p>
          <w:p>
            <w:pPr>
              <w:pStyle w:val="TableParagraph"/>
              <w:spacing w:before="0"/>
              <w:ind w:left="77" w:right="94"/>
              <w:rPr>
                <w:sz w:val="18"/>
              </w:rPr>
            </w:pPr>
            <w:r>
              <w:rPr>
                <w:color w:val="231F20"/>
                <w:w w:val="105"/>
                <w:sz w:val="18"/>
              </w:rPr>
              <w:t>cuidadora</w:t>
            </w:r>
          </w:p>
        </w:tc>
        <w:tc>
          <w:tcPr>
            <w:tcW w:w="1508" w:type="dxa"/>
          </w:tcPr>
          <w:p>
            <w:pPr>
              <w:pStyle w:val="TableParagraph"/>
              <w:ind w:left="77" w:right="63"/>
              <w:rPr>
                <w:sz w:val="18"/>
              </w:rPr>
            </w:pPr>
            <w:r>
              <w:rPr>
                <w:color w:val="231F20"/>
                <w:sz w:val="18"/>
              </w:rPr>
              <w:t>Esposo:</w:t>
            </w:r>
          </w:p>
          <w:p>
            <w:pPr>
              <w:pStyle w:val="TableParagraph"/>
              <w:spacing w:line="254" w:lineRule="auto" w:before="12"/>
              <w:ind w:left="77" w:right="206"/>
              <w:rPr>
                <w:sz w:val="18"/>
              </w:rPr>
            </w:pPr>
            <w:r>
              <w:rPr>
                <w:color w:val="231F20"/>
                <w:sz w:val="18"/>
              </w:rPr>
              <w:t>dos ocasiones. Años setenta</w:t>
            </w:r>
          </w:p>
        </w:tc>
        <w:tc>
          <w:tcPr>
            <w:tcW w:w="1351" w:type="dxa"/>
          </w:tcPr>
          <w:p>
            <w:pPr>
              <w:pStyle w:val="TableParagraph"/>
              <w:ind w:left="77"/>
              <w:rPr>
                <w:sz w:val="18"/>
              </w:rPr>
            </w:pPr>
            <w:r>
              <w:rPr>
                <w:color w:val="231F20"/>
                <w:w w:val="105"/>
                <w:sz w:val="18"/>
              </w:rPr>
              <w:t>Cuautitlán</w:t>
            </w:r>
          </w:p>
        </w:tc>
        <w:tc>
          <w:tcPr>
            <w:tcW w:w="1866" w:type="dxa"/>
          </w:tcPr>
          <w:p>
            <w:pPr>
              <w:pStyle w:val="TableParagraph"/>
              <w:ind w:left="77" w:right="358"/>
              <w:rPr>
                <w:sz w:val="18"/>
              </w:rPr>
            </w:pPr>
            <w:r>
              <w:rPr>
                <w:color w:val="231F20"/>
                <w:w w:val="105"/>
                <w:sz w:val="18"/>
              </w:rPr>
              <w:t>1 un año</w:t>
            </w:r>
          </w:p>
        </w:tc>
      </w:tr>
      <w:tr>
        <w:trPr>
          <w:trHeight w:val="772" w:hRule="exact"/>
        </w:trPr>
        <w:tc>
          <w:tcPr>
            <w:tcW w:w="791" w:type="dxa"/>
          </w:tcPr>
          <w:p>
            <w:pPr>
              <w:pStyle w:val="TableParagraph"/>
              <w:ind w:left="77"/>
              <w:rPr>
                <w:sz w:val="18"/>
              </w:rPr>
            </w:pPr>
            <w:r>
              <w:rPr>
                <w:color w:val="231F20"/>
                <w:sz w:val="18"/>
              </w:rPr>
              <w:t>Vct</w:t>
            </w:r>
          </w:p>
        </w:tc>
        <w:tc>
          <w:tcPr>
            <w:tcW w:w="1395" w:type="dxa"/>
          </w:tcPr>
          <w:p>
            <w:pPr>
              <w:pStyle w:val="TableParagraph"/>
              <w:spacing w:line="254" w:lineRule="auto"/>
              <w:ind w:left="77" w:right="407"/>
              <w:rPr>
                <w:sz w:val="18"/>
              </w:rPr>
            </w:pPr>
            <w:r>
              <w:rPr>
                <w:color w:val="231F20"/>
                <w:w w:val="105"/>
                <w:sz w:val="18"/>
              </w:rPr>
              <w:t>Hombre, </w:t>
            </w:r>
            <w:r>
              <w:rPr>
                <w:color w:val="231F20"/>
                <w:sz w:val="18"/>
              </w:rPr>
              <w:t>66 años,</w:t>
            </w:r>
          </w:p>
          <w:p>
            <w:pPr>
              <w:pStyle w:val="TableParagraph"/>
              <w:spacing w:before="0"/>
              <w:ind w:left="77"/>
              <w:rPr>
                <w:sz w:val="18"/>
              </w:rPr>
            </w:pPr>
            <w:r>
              <w:rPr>
                <w:color w:val="231F20"/>
                <w:w w:val="105"/>
                <w:sz w:val="18"/>
              </w:rPr>
              <w:t>autoempleado</w:t>
            </w:r>
          </w:p>
        </w:tc>
        <w:tc>
          <w:tcPr>
            <w:tcW w:w="1508" w:type="dxa"/>
          </w:tcPr>
          <w:p>
            <w:pPr>
              <w:pStyle w:val="TableParagraph"/>
              <w:ind w:left="77" w:right="63"/>
              <w:rPr>
                <w:sz w:val="18"/>
              </w:rPr>
            </w:pPr>
            <w:r>
              <w:rPr>
                <w:color w:val="231F20"/>
                <w:sz w:val="18"/>
              </w:rPr>
              <w:t>2 y 3 años</w:t>
            </w:r>
          </w:p>
        </w:tc>
        <w:tc>
          <w:tcPr>
            <w:tcW w:w="1351" w:type="dxa"/>
          </w:tcPr>
          <w:p>
            <w:pPr>
              <w:pStyle w:val="TableParagraph"/>
              <w:ind w:left="77"/>
              <w:rPr>
                <w:sz w:val="18"/>
              </w:rPr>
            </w:pPr>
            <w:r>
              <w:rPr>
                <w:color w:val="231F20"/>
                <w:sz w:val="18"/>
              </w:rPr>
              <w:t>Izcalli</w:t>
            </w:r>
          </w:p>
        </w:tc>
        <w:tc>
          <w:tcPr>
            <w:tcW w:w="1866" w:type="dxa"/>
          </w:tcPr>
          <w:p>
            <w:pPr>
              <w:pStyle w:val="TableParagraph"/>
              <w:ind w:left="77" w:right="358"/>
              <w:rPr>
                <w:sz w:val="18"/>
              </w:rPr>
            </w:pPr>
            <w:r>
              <w:rPr>
                <w:color w:val="231F20"/>
                <w:w w:val="105"/>
                <w:sz w:val="18"/>
              </w:rPr>
              <w:t>Ninguno</w:t>
            </w:r>
          </w:p>
        </w:tc>
      </w:tr>
      <w:tr>
        <w:trPr>
          <w:trHeight w:val="988" w:hRule="exact"/>
        </w:trPr>
        <w:tc>
          <w:tcPr>
            <w:tcW w:w="791" w:type="dxa"/>
          </w:tcPr>
          <w:p>
            <w:pPr>
              <w:pStyle w:val="TableParagraph"/>
              <w:ind w:left="77"/>
              <w:rPr>
                <w:sz w:val="18"/>
              </w:rPr>
            </w:pPr>
            <w:r>
              <w:rPr>
                <w:color w:val="231F20"/>
                <w:w w:val="105"/>
                <w:sz w:val="18"/>
              </w:rPr>
              <w:t>Gpe</w:t>
            </w:r>
          </w:p>
        </w:tc>
        <w:tc>
          <w:tcPr>
            <w:tcW w:w="1395" w:type="dxa"/>
          </w:tcPr>
          <w:p>
            <w:pPr>
              <w:pStyle w:val="TableParagraph"/>
              <w:spacing w:line="254" w:lineRule="auto"/>
              <w:ind w:left="77" w:right="627"/>
              <w:rPr>
                <w:sz w:val="18"/>
              </w:rPr>
            </w:pPr>
            <w:r>
              <w:rPr>
                <w:color w:val="231F20"/>
                <w:spacing w:val="-3"/>
                <w:sz w:val="18"/>
              </w:rPr>
              <w:t>Mujer, </w:t>
            </w:r>
            <w:r>
              <w:rPr>
                <w:color w:val="231F20"/>
                <w:sz w:val="18"/>
              </w:rPr>
              <w:t>70</w:t>
            </w:r>
            <w:r>
              <w:rPr>
                <w:color w:val="231F20"/>
                <w:spacing w:val="-6"/>
                <w:sz w:val="18"/>
              </w:rPr>
              <w:t> </w:t>
            </w:r>
            <w:r>
              <w:rPr>
                <w:color w:val="231F20"/>
                <w:sz w:val="18"/>
              </w:rPr>
              <w:t>años,</w:t>
            </w:r>
          </w:p>
          <w:p>
            <w:pPr>
              <w:pStyle w:val="TableParagraph"/>
              <w:spacing w:before="0"/>
              <w:ind w:left="77" w:right="94"/>
              <w:rPr>
                <w:sz w:val="18"/>
              </w:rPr>
            </w:pPr>
            <w:r>
              <w:rPr>
                <w:color w:val="231F20"/>
                <w:sz w:val="18"/>
              </w:rPr>
              <w:t>campesina</w:t>
            </w:r>
          </w:p>
        </w:tc>
        <w:tc>
          <w:tcPr>
            <w:tcW w:w="1508" w:type="dxa"/>
          </w:tcPr>
          <w:p>
            <w:pPr>
              <w:pStyle w:val="TableParagraph"/>
              <w:spacing w:line="254" w:lineRule="auto"/>
              <w:ind w:left="77" w:right="785"/>
              <w:jc w:val="both"/>
              <w:rPr>
                <w:sz w:val="18"/>
              </w:rPr>
            </w:pPr>
            <w:r>
              <w:rPr>
                <w:color w:val="231F20"/>
                <w:sz w:val="18"/>
              </w:rPr>
              <w:t>Esposo 10 años Hija</w:t>
            </w:r>
          </w:p>
          <w:p>
            <w:pPr>
              <w:pStyle w:val="TableParagraph"/>
              <w:spacing w:before="0"/>
              <w:ind w:left="77"/>
              <w:jc w:val="both"/>
              <w:rPr>
                <w:sz w:val="18"/>
              </w:rPr>
            </w:pPr>
            <w:r>
              <w:rPr>
                <w:color w:val="231F20"/>
                <w:w w:val="105"/>
                <w:sz w:val="18"/>
              </w:rPr>
              <w:t>2 hijos</w:t>
            </w:r>
          </w:p>
        </w:tc>
        <w:tc>
          <w:tcPr>
            <w:tcW w:w="1351" w:type="dxa"/>
          </w:tcPr>
          <w:p>
            <w:pPr>
              <w:pStyle w:val="TableParagraph"/>
              <w:ind w:left="77"/>
              <w:rPr>
                <w:sz w:val="18"/>
              </w:rPr>
            </w:pPr>
            <w:r>
              <w:rPr>
                <w:color w:val="231F20"/>
                <w:w w:val="105"/>
                <w:sz w:val="18"/>
              </w:rPr>
              <w:t>Tejupilco</w:t>
            </w:r>
          </w:p>
        </w:tc>
        <w:tc>
          <w:tcPr>
            <w:tcW w:w="1866" w:type="dxa"/>
          </w:tcPr>
          <w:p>
            <w:pPr>
              <w:pStyle w:val="TableParagraph"/>
              <w:ind w:left="77" w:right="358"/>
              <w:rPr>
                <w:sz w:val="18"/>
              </w:rPr>
            </w:pPr>
            <w:r>
              <w:rPr>
                <w:color w:val="231F20"/>
                <w:sz w:val="18"/>
              </w:rPr>
              <w:t>Esposo, 1 hija</w:t>
            </w:r>
          </w:p>
          <w:p>
            <w:pPr>
              <w:pStyle w:val="TableParagraph"/>
              <w:spacing w:before="12"/>
              <w:ind w:left="77" w:right="358"/>
              <w:rPr>
                <w:sz w:val="18"/>
              </w:rPr>
            </w:pPr>
            <w:r>
              <w:rPr>
                <w:color w:val="231F20"/>
                <w:w w:val="105"/>
                <w:sz w:val="18"/>
              </w:rPr>
              <w:t>2 hijos</w:t>
            </w:r>
          </w:p>
        </w:tc>
      </w:tr>
      <w:tr>
        <w:trPr>
          <w:trHeight w:val="870" w:hRule="exact"/>
        </w:trPr>
        <w:tc>
          <w:tcPr>
            <w:tcW w:w="791" w:type="dxa"/>
          </w:tcPr>
          <w:p>
            <w:pPr>
              <w:pStyle w:val="TableParagraph"/>
              <w:ind w:left="77"/>
              <w:rPr>
                <w:sz w:val="18"/>
              </w:rPr>
            </w:pPr>
            <w:r>
              <w:rPr>
                <w:color w:val="231F20"/>
                <w:sz w:val="18"/>
              </w:rPr>
              <w:t>Jvn</w:t>
            </w:r>
          </w:p>
        </w:tc>
        <w:tc>
          <w:tcPr>
            <w:tcW w:w="1395" w:type="dxa"/>
          </w:tcPr>
          <w:p>
            <w:pPr>
              <w:pStyle w:val="TableParagraph"/>
              <w:spacing w:line="254" w:lineRule="auto"/>
              <w:ind w:left="77" w:right="527"/>
              <w:jc w:val="both"/>
              <w:rPr>
                <w:sz w:val="18"/>
              </w:rPr>
            </w:pPr>
            <w:r>
              <w:rPr>
                <w:color w:val="231F20"/>
                <w:w w:val="105"/>
                <w:sz w:val="18"/>
              </w:rPr>
              <w:t>Hombre, 86 años, agricultor</w:t>
            </w:r>
          </w:p>
        </w:tc>
        <w:tc>
          <w:tcPr>
            <w:tcW w:w="1508" w:type="dxa"/>
          </w:tcPr>
          <w:p>
            <w:pPr>
              <w:pStyle w:val="TableParagraph"/>
              <w:spacing w:line="254" w:lineRule="auto"/>
              <w:ind w:left="77" w:right="775"/>
              <w:rPr>
                <w:sz w:val="18"/>
              </w:rPr>
            </w:pPr>
            <w:r>
              <w:rPr>
                <w:color w:val="231F20"/>
                <w:sz w:val="18"/>
              </w:rPr>
              <w:t>5 años Bracero</w:t>
            </w:r>
          </w:p>
        </w:tc>
        <w:tc>
          <w:tcPr>
            <w:tcW w:w="1351" w:type="dxa"/>
          </w:tcPr>
          <w:p>
            <w:pPr>
              <w:pStyle w:val="TableParagraph"/>
              <w:ind w:left="77"/>
              <w:rPr>
                <w:sz w:val="18"/>
              </w:rPr>
            </w:pPr>
            <w:r>
              <w:rPr>
                <w:color w:val="231F20"/>
                <w:sz w:val="18"/>
              </w:rPr>
              <w:t>Temascalcingo</w:t>
            </w:r>
          </w:p>
        </w:tc>
        <w:tc>
          <w:tcPr>
            <w:tcW w:w="1866" w:type="dxa"/>
          </w:tcPr>
          <w:p>
            <w:pPr>
              <w:pStyle w:val="TableParagraph"/>
              <w:ind w:left="77"/>
              <w:rPr>
                <w:sz w:val="18"/>
              </w:rPr>
            </w:pPr>
            <w:r>
              <w:rPr>
                <w:color w:val="231F20"/>
                <w:w w:val="96"/>
                <w:sz w:val="18"/>
              </w:rPr>
              <w:t>-</w:t>
            </w:r>
          </w:p>
        </w:tc>
      </w:tr>
      <w:tr>
        <w:trPr>
          <w:trHeight w:val="1010" w:hRule="exact"/>
        </w:trPr>
        <w:tc>
          <w:tcPr>
            <w:tcW w:w="791" w:type="dxa"/>
          </w:tcPr>
          <w:p>
            <w:pPr>
              <w:pStyle w:val="TableParagraph"/>
              <w:ind w:left="77"/>
              <w:rPr>
                <w:sz w:val="18"/>
              </w:rPr>
            </w:pPr>
            <w:r>
              <w:rPr>
                <w:color w:val="231F20"/>
                <w:sz w:val="18"/>
              </w:rPr>
              <w:t>Crz</w:t>
            </w:r>
          </w:p>
        </w:tc>
        <w:tc>
          <w:tcPr>
            <w:tcW w:w="1395" w:type="dxa"/>
          </w:tcPr>
          <w:p>
            <w:pPr>
              <w:pStyle w:val="TableParagraph"/>
              <w:ind w:left="77"/>
              <w:jc w:val="both"/>
              <w:rPr>
                <w:sz w:val="18"/>
              </w:rPr>
            </w:pPr>
            <w:r>
              <w:rPr>
                <w:color w:val="231F20"/>
                <w:w w:val="105"/>
                <w:sz w:val="18"/>
              </w:rPr>
              <w:t>Hombre,</w:t>
            </w:r>
          </w:p>
          <w:p>
            <w:pPr>
              <w:pStyle w:val="TableParagraph"/>
              <w:spacing w:line="254" w:lineRule="auto" w:before="12"/>
              <w:ind w:left="77" w:right="74"/>
              <w:jc w:val="both"/>
              <w:rPr>
                <w:sz w:val="18"/>
              </w:rPr>
            </w:pPr>
            <w:r>
              <w:rPr>
                <w:color w:val="231F20"/>
                <w:sz w:val="18"/>
              </w:rPr>
              <w:t>88 años, mecá- nico especiali- zado</w:t>
            </w:r>
          </w:p>
        </w:tc>
        <w:tc>
          <w:tcPr>
            <w:tcW w:w="1508" w:type="dxa"/>
          </w:tcPr>
          <w:p>
            <w:pPr>
              <w:pStyle w:val="TableParagraph"/>
              <w:spacing w:line="254" w:lineRule="auto"/>
              <w:ind w:left="77" w:right="73"/>
              <w:jc w:val="both"/>
              <w:rPr>
                <w:sz w:val="18"/>
              </w:rPr>
            </w:pPr>
            <w:r>
              <w:rPr>
                <w:color w:val="231F20"/>
                <w:w w:val="105"/>
                <w:sz w:val="18"/>
              </w:rPr>
              <w:t>Desde los años sesenta, de ma- </w:t>
            </w:r>
            <w:r>
              <w:rPr>
                <w:color w:val="231F20"/>
                <w:spacing w:val="-4"/>
                <w:w w:val="105"/>
                <w:sz w:val="18"/>
              </w:rPr>
              <w:t>nera intermitente</w:t>
            </w:r>
          </w:p>
        </w:tc>
        <w:tc>
          <w:tcPr>
            <w:tcW w:w="1351" w:type="dxa"/>
          </w:tcPr>
          <w:p>
            <w:pPr>
              <w:pStyle w:val="TableParagraph"/>
              <w:ind w:left="77"/>
              <w:rPr>
                <w:sz w:val="18"/>
              </w:rPr>
            </w:pPr>
            <w:r>
              <w:rPr>
                <w:color w:val="231F20"/>
                <w:w w:val="105"/>
                <w:sz w:val="18"/>
              </w:rPr>
              <w:t>Tlalnepantla</w:t>
            </w:r>
          </w:p>
        </w:tc>
        <w:tc>
          <w:tcPr>
            <w:tcW w:w="1866" w:type="dxa"/>
          </w:tcPr>
          <w:p>
            <w:pPr>
              <w:pStyle w:val="TableParagraph"/>
              <w:spacing w:line="254" w:lineRule="auto"/>
              <w:ind w:left="77" w:right="129"/>
              <w:rPr>
                <w:sz w:val="18"/>
              </w:rPr>
            </w:pPr>
            <w:r>
              <w:rPr>
                <w:color w:val="231F20"/>
                <w:sz w:val="18"/>
              </w:rPr>
              <w:t>1 hijo en Las Vegas 1 nieto (china)</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1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1792" from="131.551193pt,3.703715pt" to="131.551193pt,39.506114pt" stroked="true" strokeweight=".35pt" strokecolor="#231f20">
            <w10:wrap type="none"/>
          </v:line>
        </w:pict>
      </w:r>
      <w:r>
        <w:rPr/>
        <w:pict>
          <v:line style="position:absolute;mso-position-horizontal-relative:page;mso-position-vertical-relative:paragraph;z-index:-451720" from="15pt,39.505917pt" to="0pt,39.505917pt" stroked="true" strokeweight=".25pt" strokecolor="#000000">
            <w10:wrap type="none"/>
          </v:line>
        </w:pict>
      </w:r>
      <w:r>
        <w:rPr/>
        <w:pict>
          <v:line style="position:absolute;mso-position-horizontal-relative:page;mso-position-vertical-relative:paragraph;z-index:38488" from="508.890015pt,39.505917pt" to="523.890015pt,39.505917pt" stroked="true" strokeweight=".25pt" strokecolor="#000000">
            <w10:wrap type="none"/>
          </v:line>
        </w:pict>
      </w:r>
      <w:r>
        <w:rPr>
          <w:rFonts w:ascii="Arial" w:hAnsi="Arial"/>
          <w:color w:val="414042"/>
          <w:position w:val="-5"/>
          <w:sz w:val="20"/>
        </w:rPr>
        <w:t>318</w:t>
        <w:tab/>
      </w:r>
      <w:r>
        <w:rPr>
          <w:rFonts w:ascii="Calibri" w:hAnsi="Calibri"/>
          <w:color w:val="6D6E71"/>
          <w:sz w:val="15"/>
        </w:rPr>
        <w:t>Zoraida Ronzón Hernández, Norma Baca </w:t>
      </w:r>
      <w:r>
        <w:rPr>
          <w:rFonts w:ascii="Calibri" w:hAnsi="Calibri"/>
          <w:color w:val="6D6E71"/>
          <w:spacing w:val="-2"/>
          <w:sz w:val="15"/>
        </w:rPr>
        <w:t>Tavira </w:t>
      </w:r>
      <w:r>
        <w:rPr>
          <w:rFonts w:ascii="Calibri" w:hAnsi="Calibri"/>
          <w:color w:val="6D6E71"/>
          <w:sz w:val="15"/>
        </w:rPr>
        <w:t>y Patricia Román  </w:t>
      </w:r>
      <w:r>
        <w:rPr>
          <w:rFonts w:ascii="Calibri" w:hAnsi="Calibri"/>
          <w:color w:val="6D6E71"/>
          <w:spacing w:val="24"/>
          <w:sz w:val="15"/>
        </w:rPr>
        <w:t> </w:t>
      </w:r>
      <w:r>
        <w:rPr>
          <w:rFonts w:ascii="Calibri" w:hAnsi="Calibri"/>
          <w:color w:val="6D6E71"/>
          <w:sz w:val="15"/>
        </w:rPr>
        <w:t>Reyes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hAnsi="Lucida Sans Unicode"/>
          <w:sz w:val="14"/>
        </w:rPr>
      </w:pPr>
      <w:r>
        <w:rPr/>
        <w:pict>
          <v:line style="position:absolute;mso-position-horizontal-relative:page;mso-position-vertical-relative:paragraph;z-index:38512" from="405.061005pt,-27.904295pt" to="405.061005pt,6.961579pt" stroked="true" strokeweight=".35pt" strokecolor="#231f20">
            <w10:wrap type="none"/>
          </v:line>
        </w:pict>
      </w:r>
      <w:r>
        <w:rPr/>
        <w:pict>
          <v:line style="position:absolute;mso-position-horizontal-relative:page;mso-position-vertical-relative:paragraph;z-index:38536" from="15pt,-27.90452pt" to="0pt,-27.90452pt" stroked="true" strokeweight=".25pt" strokecolor="#000000">
            <w10:wrap type="none"/>
          </v:line>
        </w:pict>
      </w:r>
      <w:r>
        <w:rPr/>
        <w:pict>
          <v:line style="position:absolute;mso-position-horizontal-relative:page;mso-position-vertical-relative:paragraph;z-index:38560" from="508.890015pt,-27.90452pt" to="523.890015pt,-27.90452pt" stroked="true" strokeweight=".25pt" strokecolor="#000000">
            <w10:wrap type="none"/>
          </v:line>
        </w:pict>
      </w:r>
      <w:r>
        <w:rPr>
          <w:rFonts w:ascii="Lucida Sans Unicode" w:hAnsi="Lucida Sans Unicode"/>
          <w:color w:val="6D6E71"/>
          <w:w w:val="90"/>
          <w:sz w:val="14"/>
        </w:rPr>
        <w:t>MIGRACIÓN INTERGENERACIONAL EN EL ESTADO DE MÉXICO.</w:t>
      </w:r>
    </w:p>
    <w:p>
      <w:pPr>
        <w:spacing w:line="198" w:lineRule="exact" w:before="0"/>
        <w:ind w:left="0" w:right="0" w:firstLine="0"/>
        <w:jc w:val="right"/>
        <w:rPr>
          <w:rFonts w:ascii="Lucida Sans Unicode" w:hAnsi="Lucida Sans Unicode"/>
          <w:sz w:val="14"/>
        </w:rPr>
      </w:pPr>
      <w:r>
        <w:rPr>
          <w:rFonts w:ascii="Lucida Sans Unicode" w:hAnsi="Lucida Sans Unicode"/>
          <w:color w:val="6D6E71"/>
          <w:w w:val="90"/>
          <w:sz w:val="14"/>
        </w:rPr>
        <w:t>LA BÚSQUEDA DE MOVILIDAD SOCIAL</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319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4"/>
        <w:rPr>
          <w:rFonts w:ascii="Arial"/>
          <w:sz w:val="20"/>
        </w:rPr>
      </w:pPr>
    </w:p>
    <w:tbl>
      <w:tblPr>
        <w:tblW w:w="0" w:type="auto"/>
        <w:jc w:val="left"/>
        <w:tblInd w:w="183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791"/>
        <w:gridCol w:w="1395"/>
        <w:gridCol w:w="1508"/>
        <w:gridCol w:w="1351"/>
        <w:gridCol w:w="1866"/>
      </w:tblGrid>
      <w:tr>
        <w:trPr>
          <w:trHeight w:val="873" w:hRule="exact"/>
        </w:trPr>
        <w:tc>
          <w:tcPr>
            <w:tcW w:w="791" w:type="dxa"/>
          </w:tcPr>
          <w:p>
            <w:pPr>
              <w:pStyle w:val="TableParagraph"/>
              <w:ind w:left="77"/>
              <w:rPr>
                <w:sz w:val="18"/>
              </w:rPr>
            </w:pPr>
            <w:r>
              <w:rPr>
                <w:color w:val="231F20"/>
                <w:sz w:val="18"/>
              </w:rPr>
              <w:t>Epz</w:t>
            </w:r>
          </w:p>
        </w:tc>
        <w:tc>
          <w:tcPr>
            <w:tcW w:w="1395" w:type="dxa"/>
          </w:tcPr>
          <w:p>
            <w:pPr>
              <w:pStyle w:val="TableParagraph"/>
              <w:spacing w:line="254" w:lineRule="auto"/>
              <w:ind w:left="77" w:right="626"/>
              <w:rPr>
                <w:sz w:val="18"/>
              </w:rPr>
            </w:pPr>
            <w:r>
              <w:rPr>
                <w:color w:val="231F20"/>
                <w:spacing w:val="-3"/>
                <w:sz w:val="18"/>
              </w:rPr>
              <w:t>Mujer, </w:t>
            </w:r>
            <w:r>
              <w:rPr>
                <w:color w:val="231F20"/>
                <w:sz w:val="18"/>
              </w:rPr>
              <w:t>62</w:t>
            </w:r>
            <w:r>
              <w:rPr>
                <w:color w:val="231F20"/>
                <w:spacing w:val="-6"/>
                <w:sz w:val="18"/>
              </w:rPr>
              <w:t> </w:t>
            </w:r>
            <w:r>
              <w:rPr>
                <w:color w:val="231F20"/>
                <w:sz w:val="18"/>
              </w:rPr>
              <w:t>años,</w:t>
            </w:r>
          </w:p>
          <w:p>
            <w:pPr>
              <w:pStyle w:val="TableParagraph"/>
              <w:spacing w:before="0"/>
              <w:ind w:left="77" w:right="94"/>
              <w:rPr>
                <w:sz w:val="18"/>
              </w:rPr>
            </w:pPr>
            <w:r>
              <w:rPr>
                <w:color w:val="231F20"/>
                <w:w w:val="105"/>
                <w:sz w:val="18"/>
              </w:rPr>
              <w:t>cuidadora</w:t>
            </w:r>
          </w:p>
        </w:tc>
        <w:tc>
          <w:tcPr>
            <w:tcW w:w="1508" w:type="dxa"/>
          </w:tcPr>
          <w:p>
            <w:pPr>
              <w:pStyle w:val="TableParagraph"/>
              <w:spacing w:line="254" w:lineRule="auto"/>
              <w:ind w:left="77"/>
              <w:rPr>
                <w:sz w:val="18"/>
              </w:rPr>
            </w:pPr>
            <w:r>
              <w:rPr>
                <w:color w:val="231F20"/>
                <w:sz w:val="18"/>
              </w:rPr>
              <w:t>Años ochenta. El </w:t>
            </w:r>
            <w:r>
              <w:rPr>
                <w:color w:val="231F20"/>
                <w:w w:val="95"/>
                <w:sz w:val="18"/>
              </w:rPr>
              <w:t>Paso, Texas</w:t>
            </w:r>
          </w:p>
        </w:tc>
        <w:tc>
          <w:tcPr>
            <w:tcW w:w="1351" w:type="dxa"/>
          </w:tcPr>
          <w:p>
            <w:pPr>
              <w:pStyle w:val="TableParagraph"/>
              <w:ind w:left="77"/>
              <w:rPr>
                <w:sz w:val="18"/>
              </w:rPr>
            </w:pPr>
            <w:r>
              <w:rPr>
                <w:color w:val="231F20"/>
                <w:w w:val="105"/>
                <w:sz w:val="18"/>
              </w:rPr>
              <w:t>Tlalnepantla</w:t>
            </w:r>
          </w:p>
        </w:tc>
        <w:tc>
          <w:tcPr>
            <w:tcW w:w="1866" w:type="dxa"/>
          </w:tcPr>
          <w:p>
            <w:pPr>
              <w:pStyle w:val="TableParagraph"/>
              <w:spacing w:line="254" w:lineRule="auto"/>
              <w:ind w:left="77" w:right="411"/>
              <w:rPr>
                <w:sz w:val="18"/>
              </w:rPr>
            </w:pPr>
            <w:r>
              <w:rPr>
                <w:color w:val="231F20"/>
                <w:sz w:val="18"/>
              </w:rPr>
              <w:t>Hermano </w:t>
            </w:r>
            <w:r>
              <w:rPr>
                <w:color w:val="231F20"/>
                <w:w w:val="105"/>
                <w:sz w:val="18"/>
              </w:rPr>
              <w:t>Sobrino</w:t>
            </w:r>
          </w:p>
        </w:tc>
      </w:tr>
      <w:tr>
        <w:trPr>
          <w:trHeight w:val="988" w:hRule="exact"/>
        </w:trPr>
        <w:tc>
          <w:tcPr>
            <w:tcW w:w="791" w:type="dxa"/>
          </w:tcPr>
          <w:p>
            <w:pPr>
              <w:pStyle w:val="TableParagraph"/>
              <w:ind w:left="77"/>
              <w:rPr>
                <w:sz w:val="18"/>
              </w:rPr>
            </w:pPr>
            <w:r>
              <w:rPr>
                <w:color w:val="231F20"/>
                <w:sz w:val="18"/>
              </w:rPr>
              <w:t>Rfg</w:t>
            </w:r>
          </w:p>
        </w:tc>
        <w:tc>
          <w:tcPr>
            <w:tcW w:w="1395" w:type="dxa"/>
          </w:tcPr>
          <w:p>
            <w:pPr>
              <w:pStyle w:val="TableParagraph"/>
              <w:spacing w:line="254" w:lineRule="auto"/>
              <w:ind w:left="77" w:right="626"/>
              <w:rPr>
                <w:sz w:val="18"/>
              </w:rPr>
            </w:pPr>
            <w:r>
              <w:rPr>
                <w:color w:val="231F20"/>
                <w:spacing w:val="-3"/>
                <w:sz w:val="18"/>
              </w:rPr>
              <w:t>Mujer, </w:t>
            </w:r>
            <w:r>
              <w:rPr>
                <w:color w:val="231F20"/>
                <w:sz w:val="18"/>
              </w:rPr>
              <w:t>79</w:t>
            </w:r>
            <w:r>
              <w:rPr>
                <w:color w:val="231F20"/>
                <w:spacing w:val="-6"/>
                <w:sz w:val="18"/>
              </w:rPr>
              <w:t> </w:t>
            </w:r>
            <w:r>
              <w:rPr>
                <w:color w:val="231F20"/>
                <w:sz w:val="18"/>
              </w:rPr>
              <w:t>años,</w:t>
            </w:r>
          </w:p>
          <w:p>
            <w:pPr>
              <w:pStyle w:val="TableParagraph"/>
              <w:spacing w:before="0"/>
              <w:ind w:left="77" w:right="94"/>
              <w:rPr>
                <w:sz w:val="18"/>
              </w:rPr>
            </w:pPr>
            <w:r>
              <w:rPr>
                <w:color w:val="231F20"/>
                <w:sz w:val="18"/>
              </w:rPr>
              <w:t>ama de casa</w:t>
            </w:r>
          </w:p>
        </w:tc>
        <w:tc>
          <w:tcPr>
            <w:tcW w:w="1508" w:type="dxa"/>
          </w:tcPr>
          <w:p>
            <w:pPr>
              <w:pStyle w:val="TableParagraph"/>
              <w:spacing w:line="254" w:lineRule="auto"/>
              <w:ind w:left="77"/>
              <w:rPr>
                <w:sz w:val="18"/>
              </w:rPr>
            </w:pPr>
            <w:r>
              <w:rPr>
                <w:color w:val="231F20"/>
                <w:sz w:val="18"/>
              </w:rPr>
              <w:t>Papá, años cua- renta</w:t>
            </w:r>
          </w:p>
          <w:p>
            <w:pPr>
              <w:pStyle w:val="TableParagraph"/>
              <w:spacing w:line="254" w:lineRule="auto" w:before="0"/>
              <w:ind w:left="77" w:right="44"/>
              <w:rPr>
                <w:sz w:val="18"/>
              </w:rPr>
            </w:pPr>
            <w:r>
              <w:rPr>
                <w:color w:val="231F20"/>
                <w:sz w:val="18"/>
              </w:rPr>
              <w:t>Hijo vive allá hace 14 años</w:t>
            </w:r>
          </w:p>
        </w:tc>
        <w:tc>
          <w:tcPr>
            <w:tcW w:w="1351" w:type="dxa"/>
          </w:tcPr>
          <w:p>
            <w:pPr>
              <w:pStyle w:val="TableParagraph"/>
              <w:ind w:left="77"/>
              <w:rPr>
                <w:sz w:val="18"/>
              </w:rPr>
            </w:pPr>
            <w:r>
              <w:rPr>
                <w:color w:val="231F20"/>
                <w:w w:val="105"/>
                <w:sz w:val="18"/>
              </w:rPr>
              <w:t>Metepec</w:t>
            </w:r>
          </w:p>
        </w:tc>
        <w:tc>
          <w:tcPr>
            <w:tcW w:w="1866" w:type="dxa"/>
          </w:tcPr>
          <w:p>
            <w:pPr>
              <w:pStyle w:val="TableParagraph"/>
              <w:spacing w:line="254" w:lineRule="auto"/>
              <w:ind w:left="77" w:right="1283"/>
              <w:rPr>
                <w:sz w:val="18"/>
              </w:rPr>
            </w:pPr>
            <w:r>
              <w:rPr>
                <w:color w:val="231F20"/>
                <w:sz w:val="18"/>
              </w:rPr>
              <w:t>Papá 1 hijo</w:t>
            </w:r>
          </w:p>
        </w:tc>
      </w:tr>
      <w:tr>
        <w:trPr>
          <w:trHeight w:val="880" w:hRule="exact"/>
        </w:trPr>
        <w:tc>
          <w:tcPr>
            <w:tcW w:w="791" w:type="dxa"/>
          </w:tcPr>
          <w:p>
            <w:pPr>
              <w:pStyle w:val="TableParagraph"/>
              <w:ind w:left="77"/>
              <w:rPr>
                <w:sz w:val="18"/>
              </w:rPr>
            </w:pPr>
            <w:r>
              <w:rPr>
                <w:color w:val="231F20"/>
                <w:w w:val="105"/>
                <w:sz w:val="18"/>
              </w:rPr>
              <w:t>Ant</w:t>
            </w:r>
          </w:p>
        </w:tc>
        <w:tc>
          <w:tcPr>
            <w:tcW w:w="1395" w:type="dxa"/>
          </w:tcPr>
          <w:p>
            <w:pPr>
              <w:pStyle w:val="TableParagraph"/>
              <w:spacing w:line="254" w:lineRule="auto"/>
              <w:ind w:left="77" w:right="407"/>
              <w:rPr>
                <w:sz w:val="18"/>
              </w:rPr>
            </w:pPr>
            <w:r>
              <w:rPr>
                <w:color w:val="231F20"/>
                <w:w w:val="105"/>
                <w:sz w:val="18"/>
              </w:rPr>
              <w:t>Hombre, 87 años, </w:t>
            </w:r>
            <w:r>
              <w:rPr>
                <w:color w:val="231F20"/>
                <w:sz w:val="18"/>
              </w:rPr>
              <w:t>campesino</w:t>
            </w:r>
          </w:p>
        </w:tc>
        <w:tc>
          <w:tcPr>
            <w:tcW w:w="1508" w:type="dxa"/>
          </w:tcPr>
          <w:p>
            <w:pPr>
              <w:pStyle w:val="TableParagraph"/>
              <w:spacing w:line="254" w:lineRule="auto"/>
              <w:ind w:left="77"/>
              <w:rPr>
                <w:sz w:val="18"/>
              </w:rPr>
            </w:pPr>
            <w:r>
              <w:rPr>
                <w:color w:val="231F20"/>
                <w:sz w:val="18"/>
              </w:rPr>
              <w:t>Años sesenta. Bracero</w:t>
            </w:r>
          </w:p>
        </w:tc>
        <w:tc>
          <w:tcPr>
            <w:tcW w:w="1351" w:type="dxa"/>
          </w:tcPr>
          <w:p>
            <w:pPr>
              <w:pStyle w:val="TableParagraph"/>
              <w:ind w:left="77"/>
              <w:rPr>
                <w:sz w:val="18"/>
              </w:rPr>
            </w:pPr>
            <w:r>
              <w:rPr>
                <w:color w:val="231F20"/>
                <w:w w:val="105"/>
                <w:sz w:val="18"/>
              </w:rPr>
              <w:t>Tonatico</w:t>
            </w:r>
          </w:p>
        </w:tc>
        <w:tc>
          <w:tcPr>
            <w:tcW w:w="1866" w:type="dxa"/>
          </w:tcPr>
          <w:p>
            <w:pPr>
              <w:pStyle w:val="TableParagraph"/>
              <w:spacing w:line="254" w:lineRule="auto"/>
              <w:ind w:left="77" w:right="411"/>
              <w:rPr>
                <w:sz w:val="18"/>
              </w:rPr>
            </w:pPr>
            <w:r>
              <w:rPr>
                <w:color w:val="231F20"/>
                <w:w w:val="105"/>
                <w:sz w:val="18"/>
              </w:rPr>
              <w:t>1 hermano 3hijos</w:t>
            </w:r>
          </w:p>
          <w:p>
            <w:pPr>
              <w:pStyle w:val="TableParagraph"/>
              <w:spacing w:before="0"/>
              <w:ind w:left="77" w:right="358"/>
              <w:rPr>
                <w:sz w:val="18"/>
              </w:rPr>
            </w:pPr>
            <w:r>
              <w:rPr>
                <w:color w:val="231F20"/>
                <w:w w:val="105"/>
                <w:sz w:val="18"/>
              </w:rPr>
              <w:t>1 hija</w:t>
            </w:r>
          </w:p>
        </w:tc>
      </w:tr>
      <w:tr>
        <w:trPr>
          <w:trHeight w:val="988" w:hRule="exact"/>
        </w:trPr>
        <w:tc>
          <w:tcPr>
            <w:tcW w:w="791" w:type="dxa"/>
          </w:tcPr>
          <w:p>
            <w:pPr>
              <w:pStyle w:val="TableParagraph"/>
              <w:ind w:left="77"/>
              <w:rPr>
                <w:sz w:val="18"/>
              </w:rPr>
            </w:pPr>
            <w:r>
              <w:rPr>
                <w:color w:val="231F20"/>
                <w:w w:val="110"/>
                <w:sz w:val="18"/>
              </w:rPr>
              <w:t>Art</w:t>
            </w:r>
          </w:p>
        </w:tc>
        <w:tc>
          <w:tcPr>
            <w:tcW w:w="1395" w:type="dxa"/>
          </w:tcPr>
          <w:p>
            <w:pPr>
              <w:pStyle w:val="TableParagraph"/>
              <w:spacing w:line="254" w:lineRule="auto"/>
              <w:ind w:left="77" w:right="592"/>
              <w:jc w:val="both"/>
              <w:rPr>
                <w:sz w:val="18"/>
              </w:rPr>
            </w:pPr>
            <w:r>
              <w:rPr>
                <w:color w:val="231F20"/>
                <w:spacing w:val="-1"/>
                <w:w w:val="105"/>
                <w:sz w:val="18"/>
              </w:rPr>
              <w:t>Hombre, </w:t>
            </w:r>
            <w:r>
              <w:rPr>
                <w:color w:val="231F20"/>
                <w:w w:val="105"/>
                <w:sz w:val="18"/>
              </w:rPr>
              <w:t>62</w:t>
            </w:r>
            <w:r>
              <w:rPr>
                <w:color w:val="231F20"/>
                <w:spacing w:val="-25"/>
                <w:w w:val="105"/>
                <w:sz w:val="18"/>
              </w:rPr>
              <w:t> </w:t>
            </w:r>
            <w:r>
              <w:rPr>
                <w:color w:val="231F20"/>
                <w:w w:val="105"/>
                <w:sz w:val="18"/>
              </w:rPr>
              <w:t>años, profesor jubilado</w:t>
            </w:r>
          </w:p>
        </w:tc>
        <w:tc>
          <w:tcPr>
            <w:tcW w:w="1508" w:type="dxa"/>
          </w:tcPr>
          <w:p>
            <w:pPr>
              <w:pStyle w:val="TableParagraph"/>
              <w:spacing w:line="254" w:lineRule="auto"/>
              <w:ind w:left="77"/>
              <w:rPr>
                <w:sz w:val="18"/>
              </w:rPr>
            </w:pPr>
            <w:r>
              <w:rPr>
                <w:color w:val="231F20"/>
                <w:sz w:val="18"/>
              </w:rPr>
              <w:t>Años sesenta. Bracero</w:t>
            </w:r>
          </w:p>
        </w:tc>
        <w:tc>
          <w:tcPr>
            <w:tcW w:w="1351" w:type="dxa"/>
          </w:tcPr>
          <w:p>
            <w:pPr>
              <w:pStyle w:val="TableParagraph"/>
              <w:ind w:left="77"/>
              <w:rPr>
                <w:sz w:val="18"/>
              </w:rPr>
            </w:pPr>
            <w:r>
              <w:rPr>
                <w:color w:val="231F20"/>
                <w:w w:val="105"/>
                <w:sz w:val="18"/>
              </w:rPr>
              <w:t>Tonatico</w:t>
            </w:r>
          </w:p>
        </w:tc>
        <w:tc>
          <w:tcPr>
            <w:tcW w:w="1866" w:type="dxa"/>
          </w:tcPr>
          <w:p>
            <w:pPr>
              <w:pStyle w:val="TableParagraph"/>
              <w:ind w:left="77" w:right="358"/>
              <w:rPr>
                <w:sz w:val="18"/>
              </w:rPr>
            </w:pPr>
            <w:r>
              <w:rPr>
                <w:color w:val="231F20"/>
                <w:w w:val="105"/>
                <w:sz w:val="18"/>
              </w:rPr>
              <w:t>3hijos</w:t>
            </w:r>
          </w:p>
        </w:tc>
      </w:tr>
      <w:tr>
        <w:trPr>
          <w:trHeight w:val="1636" w:hRule="exact"/>
        </w:trPr>
        <w:tc>
          <w:tcPr>
            <w:tcW w:w="791" w:type="dxa"/>
          </w:tcPr>
          <w:p>
            <w:pPr>
              <w:pStyle w:val="TableParagraph"/>
              <w:ind w:left="77"/>
              <w:rPr>
                <w:sz w:val="18"/>
              </w:rPr>
            </w:pPr>
            <w:r>
              <w:rPr>
                <w:color w:val="231F20"/>
                <w:w w:val="105"/>
                <w:sz w:val="18"/>
              </w:rPr>
              <w:t>Irn</w:t>
            </w:r>
          </w:p>
        </w:tc>
        <w:tc>
          <w:tcPr>
            <w:tcW w:w="1395" w:type="dxa"/>
          </w:tcPr>
          <w:p>
            <w:pPr>
              <w:pStyle w:val="TableParagraph"/>
              <w:spacing w:line="254" w:lineRule="auto"/>
              <w:ind w:left="77" w:right="407"/>
              <w:rPr>
                <w:sz w:val="18"/>
              </w:rPr>
            </w:pPr>
            <w:r>
              <w:rPr>
                <w:color w:val="231F20"/>
                <w:w w:val="105"/>
                <w:sz w:val="18"/>
              </w:rPr>
              <w:t>Hombre, </w:t>
            </w:r>
            <w:r>
              <w:rPr>
                <w:color w:val="231F20"/>
                <w:sz w:val="18"/>
              </w:rPr>
              <w:t>61 años,</w:t>
            </w:r>
          </w:p>
          <w:p>
            <w:pPr>
              <w:pStyle w:val="TableParagraph"/>
              <w:spacing w:line="254" w:lineRule="auto" w:before="0"/>
              <w:ind w:left="77" w:right="283"/>
              <w:rPr>
                <w:sz w:val="18"/>
              </w:rPr>
            </w:pPr>
            <w:r>
              <w:rPr>
                <w:color w:val="231F20"/>
                <w:sz w:val="18"/>
              </w:rPr>
              <w:t>campesino y comerciante</w:t>
            </w:r>
          </w:p>
        </w:tc>
        <w:tc>
          <w:tcPr>
            <w:tcW w:w="1508" w:type="dxa"/>
          </w:tcPr>
          <w:p>
            <w:pPr>
              <w:pStyle w:val="TableParagraph"/>
              <w:spacing w:line="254" w:lineRule="auto"/>
              <w:ind w:left="77" w:right="58"/>
              <w:jc w:val="both"/>
              <w:rPr>
                <w:sz w:val="18"/>
              </w:rPr>
            </w:pPr>
            <w:r>
              <w:rPr>
                <w:color w:val="231F20"/>
                <w:w w:val="105"/>
                <w:sz w:val="18"/>
              </w:rPr>
              <w:t>13 </w:t>
            </w:r>
            <w:r>
              <w:rPr>
                <w:color w:val="231F20"/>
                <w:spacing w:val="3"/>
                <w:w w:val="105"/>
                <w:sz w:val="18"/>
              </w:rPr>
              <w:t>años </w:t>
            </w:r>
            <w:r>
              <w:rPr>
                <w:color w:val="231F20"/>
                <w:w w:val="105"/>
                <w:sz w:val="18"/>
              </w:rPr>
              <w:t>en </w:t>
            </w:r>
            <w:r>
              <w:rPr>
                <w:color w:val="231F20"/>
                <w:spacing w:val="2"/>
                <w:w w:val="105"/>
                <w:sz w:val="18"/>
              </w:rPr>
              <w:t>Es- </w:t>
            </w:r>
            <w:r>
              <w:rPr>
                <w:color w:val="231F20"/>
                <w:spacing w:val="8"/>
                <w:w w:val="105"/>
                <w:sz w:val="18"/>
              </w:rPr>
              <w:t>tados </w:t>
            </w:r>
            <w:r>
              <w:rPr>
                <w:color w:val="231F20"/>
                <w:spacing w:val="11"/>
                <w:w w:val="105"/>
                <w:sz w:val="18"/>
              </w:rPr>
              <w:t>Unidos, </w:t>
            </w:r>
            <w:r>
              <w:rPr>
                <w:color w:val="231F20"/>
                <w:spacing w:val="7"/>
                <w:w w:val="105"/>
                <w:sz w:val="18"/>
              </w:rPr>
              <w:t>trabajó </w:t>
            </w:r>
            <w:r>
              <w:rPr>
                <w:color w:val="231F20"/>
                <w:spacing w:val="4"/>
                <w:w w:val="105"/>
                <w:sz w:val="18"/>
              </w:rPr>
              <w:t>en </w:t>
            </w:r>
            <w:r>
              <w:rPr>
                <w:color w:val="231F20"/>
                <w:spacing w:val="9"/>
                <w:w w:val="105"/>
                <w:sz w:val="18"/>
              </w:rPr>
              <w:t>un </w:t>
            </w:r>
            <w:r>
              <w:rPr>
                <w:color w:val="231F20"/>
                <w:spacing w:val="4"/>
                <w:w w:val="105"/>
                <w:sz w:val="18"/>
              </w:rPr>
              <w:t>campo </w:t>
            </w:r>
            <w:r>
              <w:rPr>
                <w:color w:val="231F20"/>
                <w:spacing w:val="2"/>
                <w:w w:val="105"/>
                <w:sz w:val="18"/>
              </w:rPr>
              <w:t>de  </w:t>
            </w:r>
            <w:r>
              <w:rPr>
                <w:color w:val="231F20"/>
                <w:spacing w:val="5"/>
                <w:w w:val="105"/>
                <w:sz w:val="18"/>
              </w:rPr>
              <w:t>golf </w:t>
            </w:r>
            <w:r>
              <w:rPr>
                <w:color w:val="231F20"/>
                <w:w w:val="105"/>
                <w:sz w:val="18"/>
              </w:rPr>
              <w:t>y</w:t>
            </w:r>
            <w:r>
              <w:rPr>
                <w:color w:val="231F20"/>
                <w:spacing w:val="-19"/>
                <w:w w:val="105"/>
                <w:sz w:val="18"/>
              </w:rPr>
              <w:t> </w:t>
            </w:r>
            <w:r>
              <w:rPr>
                <w:color w:val="231F20"/>
                <w:w w:val="105"/>
                <w:sz w:val="18"/>
              </w:rPr>
              <w:t>en</w:t>
            </w:r>
            <w:r>
              <w:rPr>
                <w:color w:val="231F20"/>
                <w:spacing w:val="-19"/>
                <w:w w:val="105"/>
                <w:sz w:val="18"/>
              </w:rPr>
              <w:t> </w:t>
            </w:r>
            <w:r>
              <w:rPr>
                <w:color w:val="231F20"/>
                <w:w w:val="105"/>
                <w:sz w:val="18"/>
              </w:rPr>
              <w:t>una</w:t>
            </w:r>
            <w:r>
              <w:rPr>
                <w:color w:val="231F20"/>
                <w:spacing w:val="-19"/>
                <w:w w:val="105"/>
                <w:sz w:val="18"/>
              </w:rPr>
              <w:t> </w:t>
            </w:r>
            <w:r>
              <w:rPr>
                <w:color w:val="231F20"/>
                <w:w w:val="105"/>
                <w:sz w:val="18"/>
              </w:rPr>
              <w:t>fábrica. </w:t>
            </w:r>
            <w:r>
              <w:rPr>
                <w:color w:val="231F20"/>
                <w:spacing w:val="7"/>
                <w:w w:val="105"/>
                <w:sz w:val="18"/>
              </w:rPr>
              <w:t>Hijo sólo </w:t>
            </w:r>
            <w:r>
              <w:rPr>
                <w:color w:val="231F20"/>
                <w:spacing w:val="10"/>
                <w:w w:val="105"/>
                <w:sz w:val="18"/>
              </w:rPr>
              <w:t>dos </w:t>
            </w:r>
            <w:r>
              <w:rPr>
                <w:color w:val="231F20"/>
                <w:w w:val="105"/>
                <w:sz w:val="18"/>
              </w:rPr>
              <w:t>años</w:t>
            </w:r>
          </w:p>
        </w:tc>
        <w:tc>
          <w:tcPr>
            <w:tcW w:w="1351" w:type="dxa"/>
          </w:tcPr>
          <w:p>
            <w:pPr>
              <w:pStyle w:val="TableParagraph"/>
              <w:ind w:left="77"/>
              <w:rPr>
                <w:sz w:val="18"/>
              </w:rPr>
            </w:pPr>
            <w:r>
              <w:rPr>
                <w:color w:val="231F20"/>
                <w:w w:val="105"/>
                <w:sz w:val="18"/>
              </w:rPr>
              <w:t>Tonatico</w:t>
            </w:r>
          </w:p>
        </w:tc>
        <w:tc>
          <w:tcPr>
            <w:tcW w:w="1866" w:type="dxa"/>
          </w:tcPr>
          <w:p>
            <w:pPr>
              <w:pStyle w:val="TableParagraph"/>
              <w:ind w:left="77" w:right="358"/>
              <w:rPr>
                <w:sz w:val="18"/>
              </w:rPr>
            </w:pPr>
            <w:r>
              <w:rPr>
                <w:color w:val="231F20"/>
                <w:w w:val="105"/>
                <w:sz w:val="18"/>
              </w:rPr>
              <w:t>1 hijo</w:t>
            </w:r>
          </w:p>
        </w:tc>
      </w:tr>
    </w:tbl>
    <w:p>
      <w:pPr>
        <w:spacing w:before="78"/>
        <w:ind w:left="1837" w:right="0" w:firstLine="0"/>
        <w:jc w:val="left"/>
        <w:rPr>
          <w:sz w:val="16"/>
        </w:rPr>
      </w:pPr>
      <w:r>
        <w:rPr>
          <w:color w:val="231F20"/>
          <w:w w:val="105"/>
          <w:sz w:val="16"/>
        </w:rPr>
        <w:t>Fuente: elaboración propia</w:t>
      </w:r>
    </w:p>
    <w:p>
      <w:pPr>
        <w:pStyle w:val="BodyText"/>
        <w:rPr>
          <w:sz w:val="16"/>
        </w:rPr>
      </w:pPr>
    </w:p>
    <w:p>
      <w:pPr>
        <w:pStyle w:val="BodyText"/>
        <w:spacing w:line="261" w:lineRule="auto" w:before="111"/>
        <w:ind w:left="1837" w:right="1716"/>
        <w:jc w:val="right"/>
      </w:pPr>
      <w:r>
        <w:rPr>
          <w:color w:val="231F20"/>
          <w:w w:val="105"/>
        </w:rPr>
        <w:t>Como</w:t>
      </w:r>
      <w:r>
        <w:rPr>
          <w:color w:val="231F20"/>
          <w:spacing w:val="-23"/>
          <w:w w:val="105"/>
        </w:rPr>
        <w:t> </w:t>
      </w:r>
      <w:r>
        <w:rPr>
          <w:color w:val="231F20"/>
          <w:w w:val="105"/>
        </w:rPr>
        <w:t>características</w:t>
      </w:r>
      <w:r>
        <w:rPr>
          <w:color w:val="231F20"/>
          <w:spacing w:val="-23"/>
          <w:w w:val="105"/>
        </w:rPr>
        <w:t> </w:t>
      </w:r>
      <w:r>
        <w:rPr>
          <w:color w:val="231F20"/>
          <w:w w:val="105"/>
        </w:rPr>
        <w:t>generales,</w:t>
      </w:r>
      <w:r>
        <w:rPr>
          <w:color w:val="231F20"/>
          <w:spacing w:val="-26"/>
          <w:w w:val="105"/>
        </w:rPr>
        <w:t> </w:t>
      </w:r>
      <w:r>
        <w:rPr>
          <w:color w:val="231F20"/>
          <w:w w:val="105"/>
        </w:rPr>
        <w:t>se</w:t>
      </w:r>
      <w:r>
        <w:rPr>
          <w:color w:val="231F20"/>
          <w:spacing w:val="-23"/>
          <w:w w:val="105"/>
        </w:rPr>
        <w:t> </w:t>
      </w:r>
      <w:r>
        <w:rPr>
          <w:color w:val="231F20"/>
          <w:w w:val="105"/>
        </w:rPr>
        <w:t>puede</w:t>
      </w:r>
      <w:r>
        <w:rPr>
          <w:color w:val="231F20"/>
          <w:spacing w:val="-23"/>
          <w:w w:val="105"/>
        </w:rPr>
        <w:t> </w:t>
      </w:r>
      <w:r>
        <w:rPr>
          <w:color w:val="231F20"/>
          <w:w w:val="105"/>
        </w:rPr>
        <w:t>observar</w:t>
      </w:r>
      <w:r>
        <w:rPr>
          <w:color w:val="231F20"/>
          <w:spacing w:val="-23"/>
          <w:w w:val="105"/>
        </w:rPr>
        <w:t> </w:t>
      </w:r>
      <w:r>
        <w:rPr>
          <w:color w:val="231F20"/>
          <w:w w:val="105"/>
        </w:rPr>
        <w:t>que</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personas</w:t>
      </w:r>
      <w:r>
        <w:rPr>
          <w:color w:val="231F20"/>
          <w:spacing w:val="-2"/>
          <w:w w:val="101"/>
        </w:rPr>
        <w:t> </w:t>
      </w:r>
      <w:r>
        <w:rPr>
          <w:color w:val="231F20"/>
          <w:w w:val="105"/>
        </w:rPr>
        <w:t>se</w:t>
      </w:r>
      <w:r>
        <w:rPr>
          <w:color w:val="231F20"/>
          <w:spacing w:val="-30"/>
          <w:w w:val="105"/>
        </w:rPr>
        <w:t> </w:t>
      </w:r>
      <w:r>
        <w:rPr>
          <w:color w:val="231F20"/>
          <w:spacing w:val="-2"/>
          <w:w w:val="105"/>
        </w:rPr>
        <w:t>encuentran</w:t>
      </w:r>
      <w:r>
        <w:rPr>
          <w:color w:val="231F20"/>
          <w:spacing w:val="-30"/>
          <w:w w:val="105"/>
        </w:rPr>
        <w:t> </w:t>
      </w:r>
      <w:r>
        <w:rPr>
          <w:color w:val="231F20"/>
          <w:spacing w:val="-3"/>
          <w:w w:val="105"/>
        </w:rPr>
        <w:t>entre</w:t>
      </w:r>
      <w:r>
        <w:rPr>
          <w:color w:val="231F20"/>
          <w:spacing w:val="-30"/>
          <w:w w:val="105"/>
        </w:rPr>
        <w:t> </w:t>
      </w:r>
      <w:r>
        <w:rPr>
          <w:color w:val="231F20"/>
          <w:w w:val="105"/>
        </w:rPr>
        <w:t>los</w:t>
      </w:r>
      <w:r>
        <w:rPr>
          <w:color w:val="231F20"/>
          <w:spacing w:val="-30"/>
          <w:w w:val="105"/>
        </w:rPr>
        <w:t> </w:t>
      </w:r>
      <w:r>
        <w:rPr>
          <w:color w:val="231F20"/>
          <w:w w:val="105"/>
        </w:rPr>
        <w:t>62</w:t>
      </w:r>
      <w:r>
        <w:rPr>
          <w:color w:val="231F20"/>
          <w:spacing w:val="-30"/>
          <w:w w:val="105"/>
        </w:rPr>
        <w:t> </w:t>
      </w:r>
      <w:r>
        <w:rPr>
          <w:color w:val="231F20"/>
          <w:w w:val="105"/>
        </w:rPr>
        <w:t>y</w:t>
      </w:r>
      <w:r>
        <w:rPr>
          <w:color w:val="231F20"/>
          <w:spacing w:val="-30"/>
          <w:w w:val="105"/>
        </w:rPr>
        <w:t> </w:t>
      </w:r>
      <w:r>
        <w:rPr>
          <w:color w:val="231F20"/>
          <w:w w:val="105"/>
        </w:rPr>
        <w:t>88</w:t>
      </w:r>
      <w:r>
        <w:rPr>
          <w:color w:val="231F20"/>
          <w:spacing w:val="-30"/>
          <w:w w:val="105"/>
        </w:rPr>
        <w:t> </w:t>
      </w:r>
      <w:r>
        <w:rPr>
          <w:color w:val="231F20"/>
          <w:w w:val="105"/>
        </w:rPr>
        <w:t>años</w:t>
      </w:r>
      <w:r>
        <w:rPr>
          <w:color w:val="231F20"/>
          <w:spacing w:val="-30"/>
          <w:w w:val="105"/>
        </w:rPr>
        <w:t> </w:t>
      </w:r>
      <w:r>
        <w:rPr>
          <w:color w:val="231F20"/>
          <w:w w:val="105"/>
        </w:rPr>
        <w:t>de</w:t>
      </w:r>
      <w:r>
        <w:rPr>
          <w:color w:val="231F20"/>
          <w:spacing w:val="-30"/>
          <w:w w:val="105"/>
        </w:rPr>
        <w:t> </w:t>
      </w:r>
      <w:r>
        <w:rPr>
          <w:color w:val="231F20"/>
          <w:w w:val="105"/>
        </w:rPr>
        <w:t>edad,</w:t>
      </w:r>
      <w:r>
        <w:rPr>
          <w:color w:val="231F20"/>
          <w:spacing w:val="-35"/>
          <w:w w:val="105"/>
        </w:rPr>
        <w:t> </w:t>
      </w:r>
      <w:r>
        <w:rPr>
          <w:color w:val="231F20"/>
          <w:w w:val="105"/>
        </w:rPr>
        <w:t>lo</w:t>
      </w:r>
      <w:r>
        <w:rPr>
          <w:color w:val="231F20"/>
          <w:spacing w:val="-30"/>
          <w:w w:val="105"/>
        </w:rPr>
        <w:t> </w:t>
      </w:r>
      <w:r>
        <w:rPr>
          <w:color w:val="231F20"/>
          <w:w w:val="105"/>
        </w:rPr>
        <w:t>cual</w:t>
      </w:r>
      <w:r>
        <w:rPr>
          <w:color w:val="231F20"/>
          <w:spacing w:val="-30"/>
          <w:w w:val="105"/>
        </w:rPr>
        <w:t> </w:t>
      </w:r>
      <w:r>
        <w:rPr>
          <w:color w:val="231F20"/>
          <w:w w:val="105"/>
        </w:rPr>
        <w:t>evidenciaría</w:t>
      </w:r>
      <w:r>
        <w:rPr>
          <w:color w:val="231F20"/>
          <w:spacing w:val="-30"/>
          <w:w w:val="105"/>
        </w:rPr>
        <w:t> </w:t>
      </w:r>
      <w:r>
        <w:rPr>
          <w:color w:val="231F20"/>
          <w:w w:val="105"/>
        </w:rPr>
        <w:t>que</w:t>
      </w:r>
      <w:r>
        <w:rPr>
          <w:color w:val="231F20"/>
          <w:spacing w:val="-30"/>
          <w:w w:val="105"/>
        </w:rPr>
        <w:t> </w:t>
      </w:r>
      <w:r>
        <w:rPr>
          <w:color w:val="231F20"/>
          <w:w w:val="105"/>
        </w:rPr>
        <w:t>fue-</w:t>
      </w:r>
      <w:r>
        <w:rPr>
          <w:color w:val="231F20"/>
          <w:w w:val="96"/>
        </w:rPr>
        <w:t> </w:t>
      </w:r>
      <w:r>
        <w:rPr>
          <w:color w:val="231F20"/>
          <w:spacing w:val="-3"/>
          <w:w w:val="105"/>
        </w:rPr>
        <w:t>ron</w:t>
      </w:r>
      <w:r>
        <w:rPr>
          <w:color w:val="231F20"/>
          <w:spacing w:val="-15"/>
          <w:w w:val="105"/>
        </w:rPr>
        <w:t> </w:t>
      </w:r>
      <w:r>
        <w:rPr>
          <w:color w:val="231F20"/>
          <w:w w:val="105"/>
        </w:rPr>
        <w:t>partícipes</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spacing w:val="-3"/>
          <w:w w:val="105"/>
        </w:rPr>
        <w:t>diferentes</w:t>
      </w:r>
      <w:r>
        <w:rPr>
          <w:color w:val="231F20"/>
          <w:spacing w:val="-15"/>
          <w:w w:val="105"/>
        </w:rPr>
        <w:t> </w:t>
      </w:r>
      <w:r>
        <w:rPr>
          <w:color w:val="231F20"/>
          <w:w w:val="105"/>
        </w:rPr>
        <w:t>etapas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migración</w:t>
      </w:r>
      <w:r>
        <w:rPr>
          <w:color w:val="231F20"/>
          <w:spacing w:val="-15"/>
          <w:w w:val="105"/>
        </w:rPr>
        <w:t> </w:t>
      </w:r>
      <w:r>
        <w:rPr>
          <w:color w:val="231F20"/>
          <w:w w:val="105"/>
        </w:rPr>
        <w:t>de</w:t>
      </w:r>
      <w:r>
        <w:rPr>
          <w:color w:val="231F20"/>
          <w:spacing w:val="-15"/>
          <w:w w:val="105"/>
        </w:rPr>
        <w:t> </w:t>
      </w:r>
      <w:r>
        <w:rPr>
          <w:color w:val="231F20"/>
          <w:w w:val="105"/>
        </w:rPr>
        <w:t>México</w:t>
      </w:r>
      <w:r>
        <w:rPr>
          <w:color w:val="231F20"/>
          <w:spacing w:val="-15"/>
          <w:w w:val="105"/>
        </w:rPr>
        <w:t> </w:t>
      </w:r>
      <w:r>
        <w:rPr>
          <w:color w:val="231F20"/>
          <w:w w:val="105"/>
        </w:rPr>
        <w:t>a</w:t>
      </w:r>
      <w:r>
        <w:rPr>
          <w:color w:val="231F20"/>
          <w:spacing w:val="-15"/>
          <w:w w:val="105"/>
        </w:rPr>
        <w:t> </w:t>
      </w:r>
      <w:r>
        <w:rPr>
          <w:color w:val="231F20"/>
          <w:w w:val="105"/>
        </w:rPr>
        <w:t>Esta-</w:t>
      </w:r>
      <w:r>
        <w:rPr>
          <w:color w:val="231F20"/>
          <w:w w:val="96"/>
        </w:rPr>
        <w:t> </w:t>
      </w:r>
      <w:r>
        <w:rPr>
          <w:color w:val="231F20"/>
          <w:w w:val="105"/>
        </w:rPr>
        <w:t>dos</w:t>
      </w:r>
      <w:r>
        <w:rPr>
          <w:color w:val="231F20"/>
          <w:spacing w:val="-18"/>
          <w:w w:val="105"/>
        </w:rPr>
        <w:t> </w:t>
      </w:r>
      <w:r>
        <w:rPr>
          <w:color w:val="231F20"/>
          <w:w w:val="105"/>
        </w:rPr>
        <w:t>Unidos</w:t>
      </w:r>
      <w:r>
        <w:rPr>
          <w:color w:val="231F20"/>
          <w:spacing w:val="-18"/>
          <w:w w:val="105"/>
        </w:rPr>
        <w:t> </w:t>
      </w:r>
      <w:r>
        <w:rPr>
          <w:color w:val="231F20"/>
          <w:w w:val="105"/>
        </w:rPr>
        <w:t>durante</w:t>
      </w:r>
      <w:r>
        <w:rPr>
          <w:color w:val="231F20"/>
          <w:spacing w:val="-18"/>
          <w:w w:val="105"/>
        </w:rPr>
        <w:t> </w:t>
      </w:r>
      <w:r>
        <w:rPr>
          <w:color w:val="231F20"/>
          <w:w w:val="105"/>
        </w:rPr>
        <w:t>el</w:t>
      </w:r>
      <w:r>
        <w:rPr>
          <w:color w:val="231F20"/>
          <w:spacing w:val="-18"/>
          <w:w w:val="105"/>
        </w:rPr>
        <w:t> </w:t>
      </w:r>
      <w:r>
        <w:rPr>
          <w:color w:val="231F20"/>
          <w:w w:val="105"/>
        </w:rPr>
        <w:t>siglo</w:t>
      </w:r>
      <w:r>
        <w:rPr>
          <w:color w:val="231F20"/>
          <w:spacing w:val="-18"/>
          <w:w w:val="105"/>
        </w:rPr>
        <w:t> </w:t>
      </w:r>
      <w:r>
        <w:rPr>
          <w:color w:val="231F20"/>
          <w:w w:val="105"/>
          <w:sz w:val="17"/>
        </w:rPr>
        <w:t>XX</w:t>
      </w:r>
      <w:r>
        <w:rPr>
          <w:color w:val="231F20"/>
          <w:w w:val="105"/>
        </w:rPr>
        <w:t>,</w:t>
      </w:r>
      <w:r>
        <w:rPr>
          <w:color w:val="231F20"/>
          <w:spacing w:val="-23"/>
          <w:w w:val="105"/>
        </w:rPr>
        <w:t> </w:t>
      </w:r>
      <w:r>
        <w:rPr>
          <w:color w:val="231F20"/>
          <w:w w:val="105"/>
        </w:rPr>
        <w:t>ya</w:t>
      </w:r>
      <w:r>
        <w:rPr>
          <w:color w:val="231F20"/>
          <w:spacing w:val="-18"/>
          <w:w w:val="105"/>
        </w:rPr>
        <w:t> </w:t>
      </w:r>
      <w:r>
        <w:rPr>
          <w:color w:val="231F20"/>
          <w:w w:val="105"/>
        </w:rPr>
        <w:t>que</w:t>
      </w:r>
      <w:r>
        <w:rPr>
          <w:color w:val="231F20"/>
          <w:spacing w:val="-18"/>
          <w:w w:val="105"/>
        </w:rPr>
        <w:t> </w:t>
      </w:r>
      <w:r>
        <w:rPr>
          <w:color w:val="231F20"/>
          <w:spacing w:val="-3"/>
          <w:w w:val="105"/>
        </w:rPr>
        <w:t>debieron</w:t>
      </w:r>
      <w:r>
        <w:rPr>
          <w:color w:val="231F20"/>
          <w:spacing w:val="-18"/>
          <w:w w:val="105"/>
        </w:rPr>
        <w:t> </w:t>
      </w:r>
      <w:r>
        <w:rPr>
          <w:color w:val="231F20"/>
          <w:w w:val="105"/>
        </w:rPr>
        <w:t>nacer</w:t>
      </w:r>
      <w:r>
        <w:rPr>
          <w:color w:val="231F20"/>
          <w:spacing w:val="-18"/>
          <w:w w:val="105"/>
        </w:rPr>
        <w:t> </w:t>
      </w:r>
      <w:r>
        <w:rPr>
          <w:color w:val="231F20"/>
          <w:spacing w:val="-3"/>
          <w:w w:val="105"/>
        </w:rPr>
        <w:t>entre</w:t>
      </w:r>
      <w:r>
        <w:rPr>
          <w:color w:val="231F20"/>
          <w:spacing w:val="-18"/>
          <w:w w:val="105"/>
        </w:rPr>
        <w:t> </w:t>
      </w:r>
      <w:r>
        <w:rPr>
          <w:color w:val="231F20"/>
          <w:w w:val="105"/>
        </w:rPr>
        <w:t>1927</w:t>
      </w:r>
      <w:r>
        <w:rPr>
          <w:color w:val="231F20"/>
          <w:spacing w:val="-18"/>
          <w:w w:val="105"/>
        </w:rPr>
        <w:t> </w:t>
      </w:r>
      <w:r>
        <w:rPr>
          <w:color w:val="231F20"/>
          <w:w w:val="105"/>
        </w:rPr>
        <w:t>y</w:t>
      </w:r>
      <w:r>
        <w:rPr>
          <w:color w:val="231F20"/>
          <w:spacing w:val="-18"/>
          <w:w w:val="105"/>
        </w:rPr>
        <w:t> </w:t>
      </w:r>
      <w:r>
        <w:rPr>
          <w:color w:val="231F20"/>
          <w:w w:val="105"/>
        </w:rPr>
        <w:t>1953.</w:t>
      </w:r>
    </w:p>
    <w:p>
      <w:pPr>
        <w:pStyle w:val="BodyText"/>
        <w:spacing w:line="261" w:lineRule="auto" w:before="1"/>
        <w:ind w:left="1837" w:right="1721" w:firstLine="567"/>
        <w:jc w:val="both"/>
      </w:pP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considera</w:t>
      </w:r>
      <w:r>
        <w:rPr>
          <w:color w:val="231F20"/>
          <w:spacing w:val="-11"/>
          <w:w w:val="105"/>
        </w:rPr>
        <w:t> </w:t>
      </w:r>
      <w:r>
        <w:rPr>
          <w:color w:val="231F20"/>
          <w:w w:val="105"/>
        </w:rPr>
        <w:t>como</w:t>
      </w:r>
      <w:r>
        <w:rPr>
          <w:color w:val="231F20"/>
          <w:spacing w:val="-11"/>
          <w:w w:val="105"/>
        </w:rPr>
        <w:t> </w:t>
      </w:r>
      <w:r>
        <w:rPr>
          <w:color w:val="231F20"/>
          <w:w w:val="105"/>
        </w:rPr>
        <w:t>primera</w:t>
      </w:r>
      <w:r>
        <w:rPr>
          <w:color w:val="231F20"/>
          <w:spacing w:val="-11"/>
          <w:w w:val="105"/>
        </w:rPr>
        <w:t> </w:t>
      </w:r>
      <w:r>
        <w:rPr>
          <w:color w:val="231F20"/>
          <w:w w:val="105"/>
        </w:rPr>
        <w:t>generación,</w:t>
      </w:r>
      <w:r>
        <w:rPr>
          <w:color w:val="231F20"/>
          <w:spacing w:val="-17"/>
          <w:w w:val="105"/>
        </w:rPr>
        <w:t> </w:t>
      </w:r>
      <w:r>
        <w:rPr>
          <w:color w:val="231F20"/>
          <w:w w:val="105"/>
        </w:rPr>
        <w:t>nadie</w:t>
      </w:r>
      <w:r>
        <w:rPr>
          <w:color w:val="231F20"/>
          <w:spacing w:val="-11"/>
          <w:w w:val="105"/>
        </w:rPr>
        <w:t> </w:t>
      </w:r>
      <w:r>
        <w:rPr>
          <w:color w:val="231F20"/>
          <w:w w:val="105"/>
        </w:rPr>
        <w:t>migró</w:t>
      </w:r>
      <w:r>
        <w:rPr>
          <w:color w:val="231F20"/>
          <w:spacing w:val="-11"/>
          <w:w w:val="105"/>
        </w:rPr>
        <w:t> </w:t>
      </w:r>
      <w:r>
        <w:rPr>
          <w:color w:val="231F20"/>
          <w:w w:val="105"/>
        </w:rPr>
        <w:t>por más de 10 años, con excepción de un hombre que viajaba de manera intermitente pero sólo a capacitarse después de haber estado un año completo.</w:t>
      </w:r>
      <w:r>
        <w:rPr>
          <w:color w:val="231F20"/>
          <w:spacing w:val="-18"/>
          <w:w w:val="105"/>
        </w:rPr>
        <w:t> </w:t>
      </w:r>
      <w:r>
        <w:rPr>
          <w:color w:val="231F20"/>
          <w:w w:val="105"/>
        </w:rPr>
        <w:t>Sin</w:t>
      </w:r>
      <w:r>
        <w:rPr>
          <w:color w:val="231F20"/>
          <w:spacing w:val="-13"/>
          <w:w w:val="105"/>
        </w:rPr>
        <w:t> </w:t>
      </w:r>
      <w:r>
        <w:rPr>
          <w:color w:val="231F20"/>
          <w:w w:val="105"/>
        </w:rPr>
        <w:t>embargo,</w:t>
      </w:r>
      <w:r>
        <w:rPr>
          <w:color w:val="231F20"/>
          <w:spacing w:val="-18"/>
          <w:w w:val="105"/>
        </w:rPr>
        <w:t> </w:t>
      </w:r>
      <w:r>
        <w:rPr>
          <w:color w:val="231F20"/>
          <w:w w:val="105"/>
        </w:rPr>
        <w:t>entre</w:t>
      </w:r>
      <w:r>
        <w:rPr>
          <w:color w:val="231F20"/>
          <w:spacing w:val="-13"/>
          <w:w w:val="105"/>
        </w:rPr>
        <w:t> </w:t>
      </w:r>
      <w:r>
        <w:rPr>
          <w:color w:val="231F20"/>
          <w:w w:val="105"/>
        </w:rPr>
        <w:t>la</w:t>
      </w:r>
      <w:r>
        <w:rPr>
          <w:color w:val="231F20"/>
          <w:spacing w:val="-13"/>
          <w:w w:val="105"/>
        </w:rPr>
        <w:t> </w:t>
      </w:r>
      <w:r>
        <w:rPr>
          <w:color w:val="231F20"/>
          <w:w w:val="105"/>
        </w:rPr>
        <w:t>segunda</w:t>
      </w:r>
      <w:r>
        <w:rPr>
          <w:color w:val="231F20"/>
          <w:spacing w:val="-13"/>
          <w:w w:val="105"/>
        </w:rPr>
        <w:t> </w:t>
      </w:r>
      <w:r>
        <w:rPr>
          <w:color w:val="231F20"/>
          <w:w w:val="105"/>
        </w:rPr>
        <w:t>generación</w:t>
      </w:r>
      <w:r>
        <w:rPr>
          <w:color w:val="231F20"/>
          <w:spacing w:val="-13"/>
          <w:w w:val="105"/>
        </w:rPr>
        <w:t> </w:t>
      </w:r>
      <w:r>
        <w:rPr>
          <w:color w:val="231F20"/>
          <w:w w:val="105"/>
        </w:rPr>
        <w:t>(la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hijos),</w:t>
      </w:r>
      <w:r>
        <w:rPr>
          <w:color w:val="231F20"/>
          <w:spacing w:val="-18"/>
          <w:w w:val="105"/>
        </w:rPr>
        <w:t> </w:t>
      </w:r>
      <w:r>
        <w:rPr>
          <w:color w:val="231F20"/>
          <w:w w:val="105"/>
        </w:rPr>
        <w:t>se evidencia</w:t>
      </w:r>
      <w:r>
        <w:rPr>
          <w:color w:val="231F20"/>
          <w:spacing w:val="-22"/>
          <w:w w:val="105"/>
        </w:rPr>
        <w:t> </w:t>
      </w:r>
      <w:r>
        <w:rPr>
          <w:color w:val="231F20"/>
          <w:w w:val="105"/>
        </w:rPr>
        <w:t>que</w:t>
      </w:r>
      <w:r>
        <w:rPr>
          <w:color w:val="231F20"/>
          <w:spacing w:val="-22"/>
          <w:w w:val="105"/>
        </w:rPr>
        <w:t> </w:t>
      </w:r>
      <w:r>
        <w:rPr>
          <w:color w:val="231F20"/>
          <w:w w:val="105"/>
        </w:rPr>
        <w:t>la</w:t>
      </w:r>
      <w:r>
        <w:rPr>
          <w:color w:val="231F20"/>
          <w:spacing w:val="-22"/>
          <w:w w:val="105"/>
        </w:rPr>
        <w:t> </w:t>
      </w:r>
      <w:r>
        <w:rPr>
          <w:color w:val="231F20"/>
          <w:w w:val="105"/>
        </w:rPr>
        <w:t>permanencia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migrantes</w:t>
      </w:r>
      <w:r>
        <w:rPr>
          <w:color w:val="231F20"/>
          <w:spacing w:val="-22"/>
          <w:w w:val="105"/>
        </w:rPr>
        <w:t> </w:t>
      </w:r>
      <w:r>
        <w:rPr>
          <w:color w:val="231F20"/>
          <w:w w:val="105"/>
        </w:rPr>
        <w:t>es</w:t>
      </w:r>
      <w:r>
        <w:rPr>
          <w:color w:val="231F20"/>
          <w:spacing w:val="-22"/>
          <w:w w:val="105"/>
        </w:rPr>
        <w:t> </w:t>
      </w:r>
      <w:r>
        <w:rPr>
          <w:color w:val="231F20"/>
          <w:w w:val="105"/>
        </w:rPr>
        <w:t>muy</w:t>
      </w:r>
      <w:r>
        <w:rPr>
          <w:color w:val="231F20"/>
          <w:spacing w:val="-22"/>
          <w:w w:val="105"/>
        </w:rPr>
        <w:t> </w:t>
      </w:r>
      <w:r>
        <w:rPr>
          <w:color w:val="231F20"/>
          <w:w w:val="105"/>
        </w:rPr>
        <w:t>distinta,</w:t>
      </w:r>
      <w:r>
        <w:rPr>
          <w:color w:val="231F20"/>
          <w:spacing w:val="-27"/>
          <w:w w:val="105"/>
        </w:rPr>
        <w:t> </w:t>
      </w:r>
      <w:r>
        <w:rPr>
          <w:color w:val="231F20"/>
          <w:w w:val="105"/>
        </w:rPr>
        <w:t>hay</w:t>
      </w:r>
      <w:r>
        <w:rPr>
          <w:color w:val="231F20"/>
          <w:spacing w:val="-22"/>
          <w:w w:val="105"/>
        </w:rPr>
        <w:t> </w:t>
      </w:r>
      <w:r>
        <w:rPr>
          <w:color w:val="231F20"/>
          <w:w w:val="105"/>
        </w:rPr>
        <w:t>quie- nes estuvieron solamente un año en Estados Unidos y otros que</w:t>
      </w:r>
      <w:r>
        <w:rPr>
          <w:color w:val="231F20"/>
          <w:spacing w:val="-15"/>
          <w:w w:val="105"/>
        </w:rPr>
        <w:t> </w:t>
      </w:r>
      <w:r>
        <w:rPr>
          <w:color w:val="231F20"/>
          <w:w w:val="105"/>
        </w:rPr>
        <w:t>llevan allá</w:t>
      </w:r>
      <w:r>
        <w:rPr>
          <w:color w:val="231F20"/>
          <w:spacing w:val="-16"/>
          <w:w w:val="105"/>
        </w:rPr>
        <w:t> </w:t>
      </w:r>
      <w:r>
        <w:rPr>
          <w:color w:val="231F20"/>
          <w:w w:val="105"/>
        </w:rPr>
        <w:t>más</w:t>
      </w:r>
      <w:r>
        <w:rPr>
          <w:color w:val="231F20"/>
          <w:spacing w:val="-16"/>
          <w:w w:val="105"/>
        </w:rPr>
        <w:t> </w:t>
      </w:r>
      <w:r>
        <w:rPr>
          <w:color w:val="231F20"/>
          <w:w w:val="105"/>
        </w:rPr>
        <w:t>de</w:t>
      </w:r>
      <w:r>
        <w:rPr>
          <w:color w:val="231F20"/>
          <w:spacing w:val="-16"/>
          <w:w w:val="105"/>
        </w:rPr>
        <w:t> </w:t>
      </w:r>
      <w:r>
        <w:rPr>
          <w:color w:val="231F20"/>
          <w:w w:val="105"/>
        </w:rPr>
        <w:t>18</w:t>
      </w:r>
      <w:r>
        <w:rPr>
          <w:color w:val="231F20"/>
          <w:spacing w:val="-16"/>
          <w:w w:val="105"/>
        </w:rPr>
        <w:t> </w:t>
      </w:r>
      <w:r>
        <w:rPr>
          <w:color w:val="231F20"/>
          <w:w w:val="105"/>
        </w:rPr>
        <w:t>años</w:t>
      </w:r>
      <w:r>
        <w:rPr>
          <w:color w:val="231F20"/>
          <w:spacing w:val="-16"/>
          <w:w w:val="105"/>
        </w:rPr>
        <w:t> </w:t>
      </w:r>
      <w:r>
        <w:rPr>
          <w:color w:val="231F20"/>
          <w:w w:val="105"/>
        </w:rPr>
        <w:t>y</w:t>
      </w:r>
      <w:r>
        <w:rPr>
          <w:color w:val="231F20"/>
          <w:spacing w:val="-16"/>
          <w:w w:val="105"/>
        </w:rPr>
        <w:t> </w:t>
      </w:r>
      <w:r>
        <w:rPr>
          <w:color w:val="231F20"/>
          <w:w w:val="105"/>
        </w:rPr>
        <w:t>no</w:t>
      </w:r>
      <w:r>
        <w:rPr>
          <w:color w:val="231F20"/>
          <w:spacing w:val="-16"/>
          <w:w w:val="105"/>
        </w:rPr>
        <w:t> </w:t>
      </w:r>
      <w:r>
        <w:rPr>
          <w:color w:val="231F20"/>
          <w:w w:val="105"/>
        </w:rPr>
        <w:t>tienen</w:t>
      </w:r>
      <w:r>
        <w:rPr>
          <w:color w:val="231F20"/>
          <w:spacing w:val="-16"/>
          <w:w w:val="105"/>
        </w:rPr>
        <w:t> </w:t>
      </w:r>
      <w:r>
        <w:rPr>
          <w:color w:val="231F20"/>
          <w:w w:val="105"/>
        </w:rPr>
        <w:t>planes</w:t>
      </w:r>
      <w:r>
        <w:rPr>
          <w:color w:val="231F20"/>
          <w:spacing w:val="-16"/>
          <w:w w:val="105"/>
        </w:rPr>
        <w:t> </w:t>
      </w:r>
      <w:r>
        <w:rPr>
          <w:color w:val="231F20"/>
          <w:w w:val="105"/>
        </w:rPr>
        <w:t>de</w:t>
      </w:r>
      <w:r>
        <w:rPr>
          <w:color w:val="231F20"/>
          <w:spacing w:val="-16"/>
          <w:w w:val="105"/>
        </w:rPr>
        <w:t> </w:t>
      </w:r>
      <w:r>
        <w:rPr>
          <w:color w:val="231F20"/>
          <w:w w:val="105"/>
        </w:rPr>
        <w:t>volver.</w:t>
      </w:r>
    </w:p>
    <w:p>
      <w:pPr>
        <w:pStyle w:val="BodyText"/>
        <w:spacing w:line="261" w:lineRule="auto" w:before="1"/>
        <w:ind w:left="1837" w:right="1716" w:firstLine="567"/>
        <w:jc w:val="both"/>
      </w:pPr>
      <w:r>
        <w:rPr/>
        <w:pict>
          <v:line style="position:absolute;mso-position-horizontal-relative:page;mso-position-vertical-relative:paragraph;z-index:-451600" from="15pt,184.582794pt" to="0pt,184.582794pt" stroked="true" strokeweight=".25pt" strokecolor="#000000">
            <w10:wrap type="none"/>
          </v:line>
        </w:pict>
      </w:r>
      <w:r>
        <w:rPr/>
        <w:pict>
          <v:line style="position:absolute;mso-position-horizontal-relative:page;mso-position-vertical-relative:paragraph;z-index:38608" from="508.890015pt,184.582794pt" to="523.890015pt,184.582794pt" stroked="true" strokeweight=".25pt" strokecolor="#000000">
            <w10:wrap type="none"/>
          </v:line>
        </w:pict>
      </w:r>
      <w:r>
        <w:rPr>
          <w:color w:val="231F20"/>
          <w:w w:val="105"/>
        </w:rPr>
        <w:t>En</w:t>
      </w:r>
      <w:r>
        <w:rPr>
          <w:color w:val="231F20"/>
          <w:spacing w:val="-19"/>
          <w:w w:val="105"/>
        </w:rPr>
        <w:t> </w:t>
      </w:r>
      <w:r>
        <w:rPr>
          <w:color w:val="231F20"/>
          <w:w w:val="105"/>
        </w:rPr>
        <w:t>cuanto</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diferenciación</w:t>
      </w:r>
      <w:r>
        <w:rPr>
          <w:color w:val="231F20"/>
          <w:spacing w:val="-19"/>
          <w:w w:val="105"/>
        </w:rPr>
        <w:t> </w:t>
      </w:r>
      <w:r>
        <w:rPr>
          <w:color w:val="231F20"/>
          <w:w w:val="105"/>
        </w:rPr>
        <w:t>por</w:t>
      </w:r>
      <w:r>
        <w:rPr>
          <w:color w:val="231F20"/>
          <w:spacing w:val="-19"/>
          <w:w w:val="105"/>
        </w:rPr>
        <w:t> </w:t>
      </w:r>
      <w:r>
        <w:rPr>
          <w:color w:val="231F20"/>
          <w:w w:val="105"/>
        </w:rPr>
        <w:t>sexo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informantes</w:t>
      </w:r>
      <w:r>
        <w:rPr>
          <w:color w:val="231F20"/>
          <w:spacing w:val="-19"/>
          <w:w w:val="105"/>
        </w:rPr>
        <w:t> </w:t>
      </w:r>
      <w:r>
        <w:rPr>
          <w:color w:val="231F20"/>
          <w:w w:val="105"/>
        </w:rPr>
        <w:t>se</w:t>
      </w:r>
      <w:r>
        <w:rPr>
          <w:color w:val="231F20"/>
          <w:spacing w:val="-19"/>
          <w:w w:val="105"/>
        </w:rPr>
        <w:t> </w:t>
      </w:r>
      <w:r>
        <w:rPr>
          <w:color w:val="231F20"/>
          <w:w w:val="105"/>
        </w:rPr>
        <w:t>mues- tra</w:t>
      </w:r>
      <w:r>
        <w:rPr>
          <w:color w:val="231F20"/>
          <w:spacing w:val="-17"/>
          <w:w w:val="105"/>
        </w:rPr>
        <w:t> </w:t>
      </w:r>
      <w:r>
        <w:rPr>
          <w:color w:val="231F20"/>
          <w:w w:val="105"/>
        </w:rPr>
        <w:t>que</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cinco</w:t>
      </w:r>
      <w:r>
        <w:rPr>
          <w:color w:val="231F20"/>
          <w:spacing w:val="-17"/>
          <w:w w:val="105"/>
        </w:rPr>
        <w:t> </w:t>
      </w:r>
      <w:r>
        <w:rPr>
          <w:color w:val="231F20"/>
          <w:w w:val="105"/>
        </w:rPr>
        <w:t>mujeres</w:t>
      </w:r>
      <w:r>
        <w:rPr>
          <w:color w:val="231F20"/>
          <w:spacing w:val="-17"/>
          <w:w w:val="105"/>
        </w:rPr>
        <w:t> </w:t>
      </w:r>
      <w:r>
        <w:rPr>
          <w:color w:val="231F20"/>
          <w:w w:val="105"/>
        </w:rPr>
        <w:t>entrevistadas</w:t>
      </w:r>
      <w:r>
        <w:rPr>
          <w:color w:val="231F20"/>
          <w:spacing w:val="-17"/>
          <w:w w:val="105"/>
        </w:rPr>
        <w:t> </w:t>
      </w:r>
      <w:r>
        <w:rPr>
          <w:color w:val="231F20"/>
          <w:w w:val="105"/>
        </w:rPr>
        <w:t>solamente</w:t>
      </w:r>
      <w:r>
        <w:rPr>
          <w:color w:val="231F20"/>
          <w:spacing w:val="-17"/>
          <w:w w:val="105"/>
        </w:rPr>
        <w:t> </w:t>
      </w:r>
      <w:r>
        <w:rPr>
          <w:color w:val="231F20"/>
          <w:w w:val="105"/>
        </w:rPr>
        <w:t>una</w:t>
      </w:r>
      <w:r>
        <w:rPr>
          <w:color w:val="231F20"/>
          <w:spacing w:val="-17"/>
          <w:w w:val="105"/>
        </w:rPr>
        <w:t> </w:t>
      </w:r>
      <w:r>
        <w:rPr>
          <w:color w:val="231F20"/>
          <w:w w:val="105"/>
        </w:rPr>
        <w:t>tuvo</w:t>
      </w:r>
      <w:r>
        <w:rPr>
          <w:color w:val="231F20"/>
          <w:spacing w:val="-17"/>
          <w:w w:val="105"/>
        </w:rPr>
        <w:t> </w:t>
      </w:r>
      <w:r>
        <w:rPr>
          <w:color w:val="231F20"/>
          <w:w w:val="105"/>
        </w:rPr>
        <w:t>experien- cia migratoria directa. Es innegable que durante las primeras décadas de migración al Norte el flujo era preponderantemente masculino, en la actualidad esto ha cambiado. La presente investigación observa a tres generaciones</w:t>
      </w:r>
      <w:r>
        <w:rPr>
          <w:color w:val="231F20"/>
          <w:spacing w:val="-39"/>
          <w:w w:val="105"/>
        </w:rPr>
        <w:t> </w:t>
      </w:r>
      <w:r>
        <w:rPr>
          <w:color w:val="231F20"/>
          <w:w w:val="105"/>
        </w:rPr>
        <w:t>que</w:t>
      </w:r>
      <w:r>
        <w:rPr>
          <w:color w:val="231F20"/>
          <w:spacing w:val="-39"/>
          <w:w w:val="105"/>
        </w:rPr>
        <w:t> </w:t>
      </w:r>
      <w:r>
        <w:rPr>
          <w:color w:val="231F20"/>
          <w:w w:val="105"/>
        </w:rPr>
        <w:t>emigraron</w:t>
      </w:r>
      <w:r>
        <w:rPr>
          <w:color w:val="231F20"/>
          <w:spacing w:val="-39"/>
          <w:w w:val="105"/>
        </w:rPr>
        <w:t> </w:t>
      </w:r>
      <w:r>
        <w:rPr>
          <w:color w:val="231F20"/>
          <w:w w:val="105"/>
        </w:rPr>
        <w:t>a</w:t>
      </w:r>
      <w:r>
        <w:rPr>
          <w:color w:val="231F20"/>
          <w:spacing w:val="-39"/>
          <w:w w:val="105"/>
        </w:rPr>
        <w:t> </w:t>
      </w:r>
      <w:r>
        <w:rPr>
          <w:color w:val="231F20"/>
          <w:w w:val="105"/>
        </w:rPr>
        <w:t>Estados</w:t>
      </w:r>
      <w:r>
        <w:rPr>
          <w:color w:val="231F20"/>
          <w:spacing w:val="-39"/>
          <w:w w:val="105"/>
        </w:rPr>
        <w:t> </w:t>
      </w:r>
      <w:r>
        <w:rPr>
          <w:color w:val="231F20"/>
          <w:w w:val="105"/>
        </w:rPr>
        <w:t>Unidos</w:t>
      </w:r>
      <w:r>
        <w:rPr>
          <w:color w:val="231F20"/>
          <w:spacing w:val="-39"/>
          <w:w w:val="105"/>
        </w:rPr>
        <w:t> </w:t>
      </w:r>
      <w:r>
        <w:rPr>
          <w:color w:val="231F20"/>
          <w:w w:val="105"/>
        </w:rPr>
        <w:t>en</w:t>
      </w:r>
      <w:r>
        <w:rPr>
          <w:color w:val="231F20"/>
          <w:spacing w:val="-39"/>
          <w:w w:val="105"/>
        </w:rPr>
        <w:t> </w:t>
      </w:r>
      <w:r>
        <w:rPr>
          <w:color w:val="231F20"/>
          <w:w w:val="105"/>
        </w:rPr>
        <w:t>alguna</w:t>
      </w:r>
      <w:r>
        <w:rPr>
          <w:color w:val="231F20"/>
          <w:spacing w:val="-39"/>
          <w:w w:val="105"/>
        </w:rPr>
        <w:t> </w:t>
      </w:r>
      <w:r>
        <w:rPr>
          <w:color w:val="231F20"/>
          <w:w w:val="105"/>
        </w:rPr>
        <w:t>etapa</w:t>
      </w:r>
      <w:r>
        <w:rPr>
          <w:color w:val="231F20"/>
          <w:spacing w:val="-39"/>
          <w:w w:val="105"/>
        </w:rPr>
        <w:t> </w:t>
      </w:r>
      <w:r>
        <w:rPr>
          <w:color w:val="231F20"/>
          <w:w w:val="105"/>
        </w:rPr>
        <w:t>de</w:t>
      </w:r>
      <w:r>
        <w:rPr>
          <w:color w:val="231F20"/>
          <w:spacing w:val="-39"/>
          <w:w w:val="105"/>
        </w:rPr>
        <w:t> </w:t>
      </w:r>
      <w:r>
        <w:rPr>
          <w:color w:val="231F20"/>
          <w:w w:val="105"/>
        </w:rPr>
        <w:t>su</w:t>
      </w:r>
      <w:r>
        <w:rPr>
          <w:color w:val="231F20"/>
          <w:spacing w:val="-39"/>
          <w:w w:val="105"/>
        </w:rPr>
        <w:t> </w:t>
      </w:r>
      <w:r>
        <w:rPr>
          <w:color w:val="231F20"/>
          <w:w w:val="105"/>
        </w:rPr>
        <w:t>vida, es</w:t>
      </w:r>
      <w:r>
        <w:rPr>
          <w:color w:val="231F20"/>
          <w:spacing w:val="-12"/>
          <w:w w:val="105"/>
        </w:rPr>
        <w:t> </w:t>
      </w:r>
      <w:r>
        <w:rPr>
          <w:color w:val="231F20"/>
          <w:w w:val="105"/>
        </w:rPr>
        <w:t>decir,</w:t>
      </w:r>
      <w:r>
        <w:rPr>
          <w:color w:val="231F20"/>
          <w:spacing w:val="-17"/>
          <w:w w:val="105"/>
        </w:rPr>
        <w:t> </w:t>
      </w:r>
      <w:r>
        <w:rPr>
          <w:color w:val="231F20"/>
          <w:w w:val="105"/>
        </w:rPr>
        <w:t>las</w:t>
      </w:r>
      <w:r>
        <w:rPr>
          <w:color w:val="231F20"/>
          <w:spacing w:val="-12"/>
          <w:w w:val="105"/>
        </w:rPr>
        <w:t> </w:t>
      </w:r>
      <w:r>
        <w:rPr>
          <w:color w:val="231F20"/>
          <w:w w:val="105"/>
        </w:rPr>
        <w:t>mujeres</w:t>
      </w:r>
      <w:r>
        <w:rPr>
          <w:color w:val="231F20"/>
          <w:spacing w:val="-12"/>
          <w:w w:val="105"/>
        </w:rPr>
        <w:t> </w:t>
      </w:r>
      <w:r>
        <w:rPr>
          <w:color w:val="231F20"/>
          <w:w w:val="105"/>
        </w:rPr>
        <w:t>de</w:t>
      </w:r>
      <w:r>
        <w:rPr>
          <w:color w:val="231F20"/>
          <w:spacing w:val="-12"/>
          <w:w w:val="105"/>
        </w:rPr>
        <w:t> </w:t>
      </w:r>
      <w:r>
        <w:rPr>
          <w:color w:val="231F20"/>
          <w:w w:val="105"/>
        </w:rPr>
        <w:t>más</w:t>
      </w:r>
      <w:r>
        <w:rPr>
          <w:color w:val="231F20"/>
          <w:spacing w:val="-12"/>
          <w:w w:val="105"/>
        </w:rPr>
        <w:t> </w:t>
      </w:r>
      <w:r>
        <w:rPr>
          <w:color w:val="231F20"/>
          <w:w w:val="105"/>
        </w:rPr>
        <w:t>de</w:t>
      </w:r>
      <w:r>
        <w:rPr>
          <w:color w:val="231F20"/>
          <w:spacing w:val="-12"/>
          <w:w w:val="105"/>
        </w:rPr>
        <w:t> </w:t>
      </w:r>
      <w:r>
        <w:rPr>
          <w:color w:val="231F20"/>
          <w:w w:val="105"/>
        </w:rPr>
        <w:t>60</w:t>
      </w:r>
      <w:r>
        <w:rPr>
          <w:color w:val="231F20"/>
          <w:spacing w:val="-12"/>
          <w:w w:val="105"/>
        </w:rPr>
        <w:t> </w:t>
      </w:r>
      <w:r>
        <w:rPr>
          <w:color w:val="231F20"/>
          <w:w w:val="105"/>
        </w:rPr>
        <w:t>años</w:t>
      </w:r>
      <w:r>
        <w:rPr>
          <w:color w:val="231F20"/>
          <w:spacing w:val="-12"/>
          <w:w w:val="105"/>
        </w:rPr>
        <w:t> </w:t>
      </w:r>
      <w:r>
        <w:rPr>
          <w:color w:val="231F20"/>
          <w:w w:val="105"/>
        </w:rPr>
        <w:t>vivieron</w:t>
      </w:r>
      <w:r>
        <w:rPr>
          <w:color w:val="231F20"/>
          <w:spacing w:val="-12"/>
          <w:w w:val="105"/>
        </w:rPr>
        <w:t> </w:t>
      </w:r>
      <w:r>
        <w:rPr>
          <w:color w:val="231F20"/>
          <w:w w:val="105"/>
        </w:rPr>
        <w:t>el</w:t>
      </w:r>
      <w:r>
        <w:rPr>
          <w:color w:val="231F20"/>
          <w:spacing w:val="-12"/>
          <w:w w:val="105"/>
        </w:rPr>
        <w:t> </w:t>
      </w:r>
      <w:r>
        <w:rPr>
          <w:color w:val="231F20"/>
          <w:w w:val="105"/>
        </w:rPr>
        <w:t>proceso</w:t>
      </w:r>
      <w:r>
        <w:rPr>
          <w:color w:val="231F20"/>
          <w:spacing w:val="-12"/>
          <w:w w:val="105"/>
        </w:rPr>
        <w:t> </w:t>
      </w:r>
      <w:r>
        <w:rPr>
          <w:color w:val="231F20"/>
          <w:w w:val="105"/>
        </w:rPr>
        <w:t>migratorio</w:t>
      </w:r>
      <w:r>
        <w:rPr>
          <w:color w:val="231F20"/>
          <w:spacing w:val="-12"/>
          <w:w w:val="105"/>
        </w:rPr>
        <w:t> </w:t>
      </w:r>
      <w:r>
        <w:rPr>
          <w:color w:val="231F20"/>
          <w:w w:val="105"/>
        </w:rPr>
        <w:t>a</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38656" from="15pt,-71.68644pt" to="0pt,-71.68644pt" stroked="true" strokeweight=".25pt" strokecolor="#000000">
            <w10:wrap type="none"/>
          </v:line>
        </w:pict>
      </w:r>
      <w:r>
        <w:rPr/>
        <w:pict>
          <v:line style="position:absolute;mso-position-horizontal-relative:page;mso-position-vertical-relative:paragraph;z-index:38680" from="508.890015pt,-71.68644pt" to="523.890015pt,-71.68644pt" stroked="true" strokeweight=".25pt" strokecolor="#000000">
            <w10:wrap type="none"/>
          </v:line>
        </w:pict>
      </w:r>
      <w:r>
        <w:rPr>
          <w:color w:val="231F20"/>
          <w:w w:val="105"/>
        </w:rPr>
        <w:t>través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hombres.</w:t>
      </w:r>
      <w:r>
        <w:rPr>
          <w:color w:val="231F20"/>
          <w:spacing w:val="-27"/>
          <w:w w:val="105"/>
        </w:rPr>
        <w:t> </w:t>
      </w:r>
      <w:r>
        <w:rPr>
          <w:color w:val="231F20"/>
          <w:w w:val="105"/>
        </w:rPr>
        <w:t>La</w:t>
      </w:r>
      <w:r>
        <w:rPr>
          <w:color w:val="231F20"/>
          <w:spacing w:val="-21"/>
          <w:w w:val="105"/>
        </w:rPr>
        <w:t> </w:t>
      </w:r>
      <w:r>
        <w:rPr>
          <w:color w:val="231F20"/>
          <w:w w:val="105"/>
        </w:rPr>
        <w:t>particularidad</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mujer</w:t>
      </w:r>
      <w:r>
        <w:rPr>
          <w:color w:val="231F20"/>
          <w:spacing w:val="-21"/>
          <w:w w:val="105"/>
        </w:rPr>
        <w:t> </w:t>
      </w:r>
      <w:r>
        <w:rPr>
          <w:color w:val="231F20"/>
          <w:w w:val="105"/>
        </w:rPr>
        <w:t>que</w:t>
      </w:r>
      <w:r>
        <w:rPr>
          <w:color w:val="231F20"/>
          <w:spacing w:val="-21"/>
          <w:w w:val="105"/>
        </w:rPr>
        <w:t> </w:t>
      </w:r>
      <w:r>
        <w:rPr>
          <w:color w:val="231F20"/>
          <w:w w:val="105"/>
        </w:rPr>
        <w:t>migró</w:t>
      </w:r>
      <w:r>
        <w:rPr>
          <w:color w:val="231F20"/>
          <w:spacing w:val="-21"/>
          <w:w w:val="105"/>
        </w:rPr>
        <w:t> </w:t>
      </w:r>
      <w:r>
        <w:rPr>
          <w:color w:val="231F20"/>
          <w:w w:val="105"/>
        </w:rPr>
        <w:t>es</w:t>
      </w:r>
      <w:r>
        <w:rPr>
          <w:color w:val="231F20"/>
          <w:spacing w:val="-21"/>
          <w:w w:val="105"/>
        </w:rPr>
        <w:t> </w:t>
      </w:r>
      <w:r>
        <w:rPr>
          <w:color w:val="231F20"/>
          <w:w w:val="105"/>
        </w:rPr>
        <w:t>que</w:t>
      </w:r>
      <w:r>
        <w:rPr>
          <w:color w:val="231F20"/>
          <w:spacing w:val="-21"/>
          <w:w w:val="105"/>
        </w:rPr>
        <w:t> </w:t>
      </w:r>
      <w:r>
        <w:rPr>
          <w:color w:val="231F20"/>
          <w:w w:val="105"/>
        </w:rPr>
        <w:t>fue de</w:t>
      </w:r>
      <w:r>
        <w:rPr>
          <w:color w:val="231F20"/>
          <w:spacing w:val="-20"/>
          <w:w w:val="105"/>
        </w:rPr>
        <w:t> </w:t>
      </w:r>
      <w:r>
        <w:rPr>
          <w:color w:val="231F20"/>
          <w:w w:val="105"/>
        </w:rPr>
        <w:t>manera</w:t>
      </w:r>
      <w:r>
        <w:rPr>
          <w:color w:val="231F20"/>
          <w:spacing w:val="-20"/>
          <w:w w:val="105"/>
        </w:rPr>
        <w:t> </w:t>
      </w:r>
      <w:r>
        <w:rPr>
          <w:color w:val="231F20"/>
          <w:w w:val="105"/>
        </w:rPr>
        <w:t>documentada,</w:t>
      </w:r>
      <w:r>
        <w:rPr>
          <w:color w:val="231F20"/>
          <w:spacing w:val="-25"/>
          <w:w w:val="105"/>
        </w:rPr>
        <w:t> </w:t>
      </w:r>
      <w:r>
        <w:rPr>
          <w:color w:val="231F20"/>
          <w:w w:val="105"/>
        </w:rPr>
        <w:t>con</w:t>
      </w:r>
      <w:r>
        <w:rPr>
          <w:color w:val="231F20"/>
          <w:spacing w:val="-20"/>
          <w:w w:val="105"/>
        </w:rPr>
        <w:t> </w:t>
      </w:r>
      <w:r>
        <w:rPr>
          <w:color w:val="231F20"/>
          <w:w w:val="105"/>
        </w:rPr>
        <w:t>visa,</w:t>
      </w:r>
      <w:r>
        <w:rPr>
          <w:color w:val="231F20"/>
          <w:spacing w:val="-25"/>
          <w:w w:val="105"/>
        </w:rPr>
        <w:t> </w:t>
      </w:r>
      <w:r>
        <w:rPr>
          <w:color w:val="231F20"/>
          <w:w w:val="105"/>
        </w:rPr>
        <w:t>no</w:t>
      </w:r>
      <w:r>
        <w:rPr>
          <w:color w:val="231F20"/>
          <w:spacing w:val="-20"/>
          <w:w w:val="105"/>
        </w:rPr>
        <w:t> </w:t>
      </w:r>
      <w:r>
        <w:rPr>
          <w:color w:val="231F20"/>
          <w:w w:val="105"/>
        </w:rPr>
        <w:t>tiene</w:t>
      </w:r>
      <w:r>
        <w:rPr>
          <w:color w:val="231F20"/>
          <w:spacing w:val="-20"/>
          <w:w w:val="105"/>
        </w:rPr>
        <w:t> </w:t>
      </w:r>
      <w:r>
        <w:rPr>
          <w:color w:val="231F20"/>
          <w:w w:val="105"/>
        </w:rPr>
        <w:t>hijos</w:t>
      </w:r>
      <w:r>
        <w:rPr>
          <w:color w:val="231F20"/>
          <w:spacing w:val="-20"/>
          <w:w w:val="105"/>
        </w:rPr>
        <w:t> </w:t>
      </w:r>
      <w:r>
        <w:rPr>
          <w:color w:val="231F20"/>
          <w:w w:val="105"/>
        </w:rPr>
        <w:t>y</w:t>
      </w:r>
      <w:r>
        <w:rPr>
          <w:color w:val="231F20"/>
          <w:spacing w:val="-20"/>
          <w:w w:val="105"/>
        </w:rPr>
        <w:t> </w:t>
      </w:r>
      <w:r>
        <w:rPr>
          <w:color w:val="231F20"/>
          <w:w w:val="105"/>
        </w:rPr>
        <w:t>nunca</w:t>
      </w:r>
      <w:r>
        <w:rPr>
          <w:color w:val="231F20"/>
          <w:spacing w:val="-20"/>
          <w:w w:val="105"/>
        </w:rPr>
        <w:t> </w:t>
      </w:r>
      <w:r>
        <w:rPr>
          <w:color w:val="231F20"/>
          <w:w w:val="105"/>
        </w:rPr>
        <w:t>se</w:t>
      </w:r>
      <w:r>
        <w:rPr>
          <w:color w:val="231F20"/>
          <w:spacing w:val="-20"/>
          <w:w w:val="105"/>
        </w:rPr>
        <w:t> </w:t>
      </w:r>
      <w:r>
        <w:rPr>
          <w:color w:val="231F20"/>
          <w:w w:val="105"/>
        </w:rPr>
        <w:t>casó.</w:t>
      </w:r>
    </w:p>
    <w:p>
      <w:pPr>
        <w:pStyle w:val="BodyText"/>
        <w:spacing w:line="261" w:lineRule="auto" w:before="1"/>
        <w:ind w:left="1723" w:right="1829" w:firstLine="567"/>
        <w:jc w:val="both"/>
      </w:pPr>
      <w:r>
        <w:rPr>
          <w:color w:val="231F20"/>
          <w:w w:val="105"/>
        </w:rPr>
        <w:t>En lo que se </w:t>
      </w:r>
      <w:r>
        <w:rPr>
          <w:color w:val="231F20"/>
          <w:spacing w:val="-3"/>
          <w:w w:val="105"/>
        </w:rPr>
        <w:t>refiere </w:t>
      </w:r>
      <w:r>
        <w:rPr>
          <w:color w:val="231F20"/>
          <w:w w:val="105"/>
        </w:rPr>
        <w:t>a la participación en la migración por </w:t>
      </w:r>
      <w:r>
        <w:rPr>
          <w:color w:val="231F20"/>
          <w:spacing w:val="-3"/>
          <w:w w:val="105"/>
        </w:rPr>
        <w:t>sexo, </w:t>
      </w:r>
      <w:r>
        <w:rPr>
          <w:color w:val="231F20"/>
          <w:w w:val="105"/>
        </w:rPr>
        <w:t>la </w:t>
      </w:r>
      <w:r>
        <w:rPr>
          <w:color w:val="231F20"/>
          <w:spacing w:val="-3"/>
          <w:w w:val="105"/>
        </w:rPr>
        <w:t>Organización</w:t>
      </w:r>
      <w:r>
        <w:rPr>
          <w:color w:val="231F20"/>
          <w:spacing w:val="-12"/>
          <w:w w:val="105"/>
        </w:rPr>
        <w:t> </w:t>
      </w:r>
      <w:r>
        <w:rPr>
          <w:color w:val="231F20"/>
          <w:w w:val="105"/>
        </w:rPr>
        <w:t>Internacional</w:t>
      </w:r>
      <w:r>
        <w:rPr>
          <w:color w:val="231F20"/>
          <w:spacing w:val="-12"/>
          <w:w w:val="105"/>
        </w:rPr>
        <w:t> </w:t>
      </w:r>
      <w:r>
        <w:rPr>
          <w:color w:val="231F20"/>
          <w:w w:val="105"/>
        </w:rPr>
        <w:t>para</w:t>
      </w:r>
      <w:r>
        <w:rPr>
          <w:color w:val="231F20"/>
          <w:spacing w:val="-12"/>
          <w:w w:val="105"/>
        </w:rPr>
        <w:t> </w:t>
      </w:r>
      <w:r>
        <w:rPr>
          <w:color w:val="231F20"/>
          <w:w w:val="105"/>
        </w:rPr>
        <w:t>las</w:t>
      </w:r>
      <w:r>
        <w:rPr>
          <w:color w:val="231F20"/>
          <w:spacing w:val="-12"/>
          <w:w w:val="105"/>
        </w:rPr>
        <w:t> </w:t>
      </w:r>
      <w:r>
        <w:rPr>
          <w:color w:val="231F20"/>
          <w:w w:val="105"/>
        </w:rPr>
        <w:t>Migraciones</w:t>
      </w:r>
      <w:r>
        <w:rPr>
          <w:color w:val="231F20"/>
          <w:spacing w:val="-12"/>
          <w:w w:val="105"/>
        </w:rPr>
        <w:t> </w:t>
      </w:r>
      <w:r>
        <w:rPr>
          <w:color w:val="231F20"/>
          <w:w w:val="105"/>
        </w:rPr>
        <w:t>(</w:t>
      </w:r>
      <w:r>
        <w:rPr>
          <w:color w:val="231F20"/>
          <w:w w:val="105"/>
          <w:sz w:val="17"/>
        </w:rPr>
        <w:t>OIM</w:t>
      </w:r>
      <w:r>
        <w:rPr>
          <w:color w:val="231F20"/>
          <w:w w:val="105"/>
        </w:rPr>
        <w:t>,</w:t>
      </w:r>
      <w:r>
        <w:rPr>
          <w:color w:val="231F20"/>
          <w:spacing w:val="-17"/>
          <w:w w:val="105"/>
        </w:rPr>
        <w:t> </w:t>
      </w:r>
      <w:r>
        <w:rPr>
          <w:color w:val="231F20"/>
          <w:w w:val="105"/>
        </w:rPr>
        <w:t>2014),</w:t>
      </w:r>
      <w:r>
        <w:rPr>
          <w:color w:val="231F20"/>
          <w:spacing w:val="-17"/>
          <w:w w:val="105"/>
        </w:rPr>
        <w:t> </w:t>
      </w:r>
      <w:r>
        <w:rPr>
          <w:color w:val="231F20"/>
          <w:w w:val="105"/>
        </w:rPr>
        <w:t>afirma</w:t>
      </w:r>
      <w:r>
        <w:rPr>
          <w:color w:val="231F20"/>
          <w:spacing w:val="-12"/>
          <w:w w:val="105"/>
        </w:rPr>
        <w:t> </w:t>
      </w:r>
      <w:r>
        <w:rPr>
          <w:color w:val="231F20"/>
          <w:spacing w:val="-2"/>
          <w:w w:val="105"/>
        </w:rPr>
        <w:t>que </w:t>
      </w:r>
      <w:r>
        <w:rPr>
          <w:color w:val="231F20"/>
          <w:w w:val="105"/>
        </w:rPr>
        <w:t>las</w:t>
      </w:r>
      <w:r>
        <w:rPr>
          <w:color w:val="231F20"/>
          <w:spacing w:val="-30"/>
          <w:w w:val="105"/>
        </w:rPr>
        <w:t> </w:t>
      </w:r>
      <w:r>
        <w:rPr>
          <w:color w:val="231F20"/>
          <w:spacing w:val="-3"/>
          <w:w w:val="105"/>
        </w:rPr>
        <w:t>mujeres</w:t>
      </w:r>
      <w:r>
        <w:rPr>
          <w:color w:val="231F20"/>
          <w:spacing w:val="-30"/>
          <w:w w:val="105"/>
        </w:rPr>
        <w:t> </w:t>
      </w:r>
      <w:r>
        <w:rPr>
          <w:color w:val="231F20"/>
          <w:w w:val="105"/>
        </w:rPr>
        <w:t>se</w:t>
      </w:r>
      <w:r>
        <w:rPr>
          <w:color w:val="231F20"/>
          <w:spacing w:val="-30"/>
          <w:w w:val="105"/>
        </w:rPr>
        <w:t> </w:t>
      </w:r>
      <w:r>
        <w:rPr>
          <w:color w:val="231F20"/>
          <w:w w:val="105"/>
        </w:rPr>
        <w:t>han</w:t>
      </w:r>
      <w:r>
        <w:rPr>
          <w:color w:val="231F20"/>
          <w:spacing w:val="-30"/>
          <w:w w:val="105"/>
        </w:rPr>
        <w:t> </w:t>
      </w:r>
      <w:r>
        <w:rPr>
          <w:color w:val="231F20"/>
          <w:w w:val="105"/>
        </w:rPr>
        <w:t>incorporado</w:t>
      </w:r>
      <w:r>
        <w:rPr>
          <w:color w:val="231F20"/>
          <w:spacing w:val="-30"/>
          <w:w w:val="105"/>
        </w:rPr>
        <w:t> </w:t>
      </w:r>
      <w:r>
        <w:rPr>
          <w:color w:val="231F20"/>
          <w:w w:val="105"/>
        </w:rPr>
        <w:t>de</w:t>
      </w:r>
      <w:r>
        <w:rPr>
          <w:color w:val="231F20"/>
          <w:spacing w:val="-30"/>
          <w:w w:val="105"/>
        </w:rPr>
        <w:t> </w:t>
      </w:r>
      <w:r>
        <w:rPr>
          <w:color w:val="231F20"/>
          <w:spacing w:val="-2"/>
          <w:w w:val="105"/>
        </w:rPr>
        <w:t>manera</w:t>
      </w:r>
      <w:r>
        <w:rPr>
          <w:color w:val="231F20"/>
          <w:spacing w:val="-30"/>
          <w:w w:val="105"/>
        </w:rPr>
        <w:t> </w:t>
      </w:r>
      <w:r>
        <w:rPr>
          <w:color w:val="231F20"/>
          <w:w w:val="105"/>
        </w:rPr>
        <w:t>muy</w:t>
      </w:r>
      <w:r>
        <w:rPr>
          <w:color w:val="231F20"/>
          <w:spacing w:val="-30"/>
          <w:w w:val="105"/>
        </w:rPr>
        <w:t> </w:t>
      </w:r>
      <w:r>
        <w:rPr>
          <w:color w:val="231F20"/>
          <w:w w:val="105"/>
        </w:rPr>
        <w:t>significativa,</w:t>
      </w:r>
      <w:r>
        <w:rPr>
          <w:color w:val="231F20"/>
          <w:spacing w:val="-34"/>
          <w:w w:val="105"/>
        </w:rPr>
        <w:t> </w:t>
      </w:r>
      <w:r>
        <w:rPr>
          <w:color w:val="231F20"/>
          <w:w w:val="105"/>
        </w:rPr>
        <w:t>sin</w:t>
      </w:r>
      <w:r>
        <w:rPr>
          <w:color w:val="231F20"/>
          <w:spacing w:val="-30"/>
          <w:w w:val="105"/>
        </w:rPr>
        <w:t> </w:t>
      </w:r>
      <w:r>
        <w:rPr>
          <w:color w:val="231F20"/>
          <w:spacing w:val="-3"/>
          <w:w w:val="105"/>
        </w:rPr>
        <w:t>embargo, </w:t>
      </w:r>
      <w:r>
        <w:rPr>
          <w:color w:val="231F20"/>
          <w:w w:val="105"/>
        </w:rPr>
        <w:t>la migración masculina es </w:t>
      </w:r>
      <w:r>
        <w:rPr>
          <w:color w:val="231F20"/>
          <w:spacing w:val="-3"/>
          <w:w w:val="105"/>
        </w:rPr>
        <w:t>preponderante. </w:t>
      </w:r>
      <w:r>
        <w:rPr>
          <w:color w:val="231F20"/>
          <w:w w:val="105"/>
        </w:rPr>
        <w:t>La edad </w:t>
      </w:r>
      <w:r>
        <w:rPr>
          <w:color w:val="231F20"/>
          <w:spacing w:val="-3"/>
          <w:w w:val="105"/>
        </w:rPr>
        <w:t>promedio </w:t>
      </w:r>
      <w:r>
        <w:rPr>
          <w:color w:val="231F20"/>
          <w:w w:val="105"/>
        </w:rPr>
        <w:t>de la po- blación</w:t>
      </w:r>
      <w:r>
        <w:rPr>
          <w:color w:val="231F20"/>
          <w:spacing w:val="-8"/>
          <w:w w:val="105"/>
        </w:rPr>
        <w:t> </w:t>
      </w:r>
      <w:r>
        <w:rPr>
          <w:color w:val="231F20"/>
          <w:w w:val="105"/>
        </w:rPr>
        <w:t>que</w:t>
      </w:r>
      <w:r>
        <w:rPr>
          <w:color w:val="231F20"/>
          <w:spacing w:val="-8"/>
          <w:w w:val="105"/>
        </w:rPr>
        <w:t> </w:t>
      </w:r>
      <w:r>
        <w:rPr>
          <w:color w:val="231F20"/>
          <w:spacing w:val="-2"/>
          <w:w w:val="105"/>
        </w:rPr>
        <w:t>emigra</w:t>
      </w:r>
      <w:r>
        <w:rPr>
          <w:color w:val="231F20"/>
          <w:spacing w:val="-8"/>
          <w:w w:val="105"/>
        </w:rPr>
        <w:t> </w:t>
      </w:r>
      <w:r>
        <w:rPr>
          <w:color w:val="231F20"/>
          <w:w w:val="105"/>
        </w:rPr>
        <w:t>es</w:t>
      </w:r>
      <w:r>
        <w:rPr>
          <w:color w:val="231F20"/>
          <w:spacing w:val="-8"/>
          <w:w w:val="105"/>
        </w:rPr>
        <w:t> </w:t>
      </w:r>
      <w:r>
        <w:rPr>
          <w:color w:val="231F20"/>
          <w:w w:val="105"/>
        </w:rPr>
        <w:t>de</w:t>
      </w:r>
      <w:r>
        <w:rPr>
          <w:color w:val="231F20"/>
          <w:spacing w:val="-8"/>
          <w:w w:val="105"/>
        </w:rPr>
        <w:t> </w:t>
      </w:r>
      <w:r>
        <w:rPr>
          <w:color w:val="231F20"/>
          <w:w w:val="105"/>
        </w:rPr>
        <w:t>26</w:t>
      </w:r>
      <w:r>
        <w:rPr>
          <w:color w:val="231F20"/>
          <w:spacing w:val="-8"/>
          <w:w w:val="105"/>
        </w:rPr>
        <w:t> </w:t>
      </w:r>
      <w:r>
        <w:rPr>
          <w:color w:val="231F20"/>
          <w:w w:val="105"/>
        </w:rPr>
        <w:t>años</w:t>
      </w:r>
      <w:r>
        <w:rPr>
          <w:color w:val="231F20"/>
          <w:spacing w:val="-8"/>
          <w:w w:val="105"/>
        </w:rPr>
        <w:t> </w:t>
      </w:r>
      <w:r>
        <w:rPr>
          <w:color w:val="231F20"/>
          <w:w w:val="105"/>
        </w:rPr>
        <w:t>(</w:t>
      </w:r>
      <w:r>
        <w:rPr>
          <w:color w:val="231F20"/>
          <w:w w:val="105"/>
          <w:sz w:val="17"/>
        </w:rPr>
        <w:t>OIM</w:t>
      </w:r>
      <w:r>
        <w:rPr>
          <w:color w:val="231F20"/>
          <w:w w:val="105"/>
        </w:rPr>
        <w:t>,</w:t>
      </w:r>
      <w:r>
        <w:rPr>
          <w:color w:val="231F20"/>
          <w:spacing w:val="-14"/>
          <w:w w:val="105"/>
        </w:rPr>
        <w:t> </w:t>
      </w:r>
      <w:r>
        <w:rPr>
          <w:color w:val="231F20"/>
          <w:w w:val="105"/>
        </w:rPr>
        <w:t>2014),</w:t>
      </w:r>
      <w:r>
        <w:rPr>
          <w:color w:val="231F20"/>
          <w:spacing w:val="-14"/>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que</w:t>
      </w:r>
      <w:r>
        <w:rPr>
          <w:color w:val="231F20"/>
          <w:spacing w:val="-8"/>
          <w:w w:val="105"/>
        </w:rPr>
        <w:t> </w:t>
      </w:r>
      <w:r>
        <w:rPr>
          <w:color w:val="231F20"/>
          <w:w w:val="105"/>
        </w:rPr>
        <w:t>inmigra</w:t>
      </w:r>
      <w:r>
        <w:rPr>
          <w:color w:val="231F20"/>
          <w:spacing w:val="-8"/>
          <w:w w:val="105"/>
        </w:rPr>
        <w:t> </w:t>
      </w:r>
      <w:r>
        <w:rPr>
          <w:color w:val="231F20"/>
          <w:w w:val="105"/>
        </w:rPr>
        <w:t>es</w:t>
      </w:r>
      <w:r>
        <w:rPr>
          <w:color w:val="231F20"/>
          <w:spacing w:val="-8"/>
          <w:w w:val="105"/>
        </w:rPr>
        <w:t> </w:t>
      </w:r>
      <w:r>
        <w:rPr>
          <w:color w:val="231F20"/>
          <w:w w:val="105"/>
        </w:rPr>
        <w:t>de 28</w:t>
      </w:r>
      <w:r>
        <w:rPr>
          <w:color w:val="231F20"/>
          <w:spacing w:val="-22"/>
          <w:w w:val="105"/>
        </w:rPr>
        <w:t> </w:t>
      </w:r>
      <w:r>
        <w:rPr>
          <w:color w:val="231F20"/>
          <w:w w:val="105"/>
        </w:rPr>
        <w:t>años,</w:t>
      </w:r>
      <w:r>
        <w:rPr>
          <w:color w:val="231F20"/>
          <w:spacing w:val="-26"/>
          <w:w w:val="105"/>
        </w:rPr>
        <w:t> </w:t>
      </w:r>
      <w:r>
        <w:rPr>
          <w:color w:val="231F20"/>
          <w:w w:val="105"/>
        </w:rPr>
        <w:t>lo</w:t>
      </w:r>
      <w:r>
        <w:rPr>
          <w:color w:val="231F20"/>
          <w:spacing w:val="-22"/>
          <w:w w:val="105"/>
        </w:rPr>
        <w:t> </w:t>
      </w:r>
      <w:r>
        <w:rPr>
          <w:color w:val="231F20"/>
          <w:w w:val="105"/>
        </w:rPr>
        <w:t>cual</w:t>
      </w:r>
      <w:r>
        <w:rPr>
          <w:color w:val="231F20"/>
          <w:spacing w:val="-22"/>
          <w:w w:val="105"/>
        </w:rPr>
        <w:t> </w:t>
      </w:r>
      <w:r>
        <w:rPr>
          <w:color w:val="231F20"/>
          <w:w w:val="105"/>
        </w:rPr>
        <w:t>se</w:t>
      </w:r>
      <w:r>
        <w:rPr>
          <w:color w:val="231F20"/>
          <w:spacing w:val="-22"/>
          <w:w w:val="105"/>
        </w:rPr>
        <w:t> </w:t>
      </w:r>
      <w:r>
        <w:rPr>
          <w:color w:val="231F20"/>
          <w:w w:val="105"/>
        </w:rPr>
        <w:t>pudo</w:t>
      </w:r>
      <w:r>
        <w:rPr>
          <w:color w:val="231F20"/>
          <w:spacing w:val="-22"/>
          <w:w w:val="105"/>
        </w:rPr>
        <w:t> </w:t>
      </w:r>
      <w:r>
        <w:rPr>
          <w:color w:val="231F20"/>
          <w:w w:val="105"/>
        </w:rPr>
        <w:t>observar</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spacing w:val="-3"/>
          <w:w w:val="105"/>
        </w:rPr>
        <w:t>entrevistas</w:t>
      </w:r>
      <w:r>
        <w:rPr>
          <w:color w:val="231F20"/>
          <w:spacing w:val="-22"/>
          <w:w w:val="105"/>
        </w:rPr>
        <w:t> </w:t>
      </w:r>
      <w:r>
        <w:rPr>
          <w:color w:val="231F20"/>
          <w:spacing w:val="-3"/>
          <w:w w:val="105"/>
        </w:rPr>
        <w:t>realizadas,</w:t>
      </w:r>
      <w:r>
        <w:rPr>
          <w:color w:val="231F20"/>
          <w:spacing w:val="-26"/>
          <w:w w:val="105"/>
        </w:rPr>
        <w:t> </w:t>
      </w:r>
      <w:r>
        <w:rPr>
          <w:color w:val="231F20"/>
          <w:w w:val="105"/>
        </w:rPr>
        <w:t>la</w:t>
      </w:r>
      <w:r>
        <w:rPr>
          <w:color w:val="231F20"/>
          <w:spacing w:val="-22"/>
          <w:w w:val="105"/>
        </w:rPr>
        <w:t> </w:t>
      </w:r>
      <w:r>
        <w:rPr>
          <w:color w:val="231F20"/>
          <w:spacing w:val="-3"/>
          <w:w w:val="105"/>
        </w:rPr>
        <w:t>diferen- </w:t>
      </w:r>
      <w:r>
        <w:rPr>
          <w:color w:val="231F20"/>
          <w:w w:val="105"/>
        </w:rPr>
        <w:t>ciación </w:t>
      </w:r>
      <w:r>
        <w:rPr>
          <w:color w:val="231F20"/>
          <w:spacing w:val="-3"/>
          <w:w w:val="105"/>
        </w:rPr>
        <w:t>entre </w:t>
      </w:r>
      <w:r>
        <w:rPr>
          <w:color w:val="231F20"/>
          <w:w w:val="105"/>
        </w:rPr>
        <w:t>las </w:t>
      </w:r>
      <w:r>
        <w:rPr>
          <w:color w:val="231F20"/>
          <w:spacing w:val="-2"/>
          <w:w w:val="105"/>
        </w:rPr>
        <w:t>generaciones </w:t>
      </w:r>
      <w:r>
        <w:rPr>
          <w:color w:val="231F20"/>
          <w:w w:val="105"/>
        </w:rPr>
        <w:t>es que los </w:t>
      </w:r>
      <w:r>
        <w:rPr>
          <w:color w:val="231F20"/>
          <w:spacing w:val="-3"/>
          <w:w w:val="105"/>
        </w:rPr>
        <w:t>mayores </w:t>
      </w:r>
      <w:r>
        <w:rPr>
          <w:color w:val="231F20"/>
          <w:w w:val="105"/>
        </w:rPr>
        <w:t>de 60 años </w:t>
      </w:r>
      <w:r>
        <w:rPr>
          <w:color w:val="231F20"/>
          <w:spacing w:val="-3"/>
          <w:w w:val="105"/>
        </w:rPr>
        <w:t>migraron </w:t>
      </w:r>
      <w:r>
        <w:rPr>
          <w:color w:val="231F20"/>
          <w:w w:val="105"/>
        </w:rPr>
        <w:t>ya</w:t>
      </w:r>
      <w:r>
        <w:rPr>
          <w:color w:val="231F20"/>
          <w:spacing w:val="-7"/>
          <w:w w:val="105"/>
        </w:rPr>
        <w:t> </w:t>
      </w:r>
      <w:r>
        <w:rPr>
          <w:color w:val="231F20"/>
          <w:w w:val="105"/>
        </w:rPr>
        <w:t>cuando</w:t>
      </w:r>
      <w:r>
        <w:rPr>
          <w:color w:val="231F20"/>
          <w:spacing w:val="-7"/>
          <w:w w:val="105"/>
        </w:rPr>
        <w:t> </w:t>
      </w:r>
      <w:r>
        <w:rPr>
          <w:color w:val="231F20"/>
          <w:w w:val="105"/>
        </w:rPr>
        <w:t>se</w:t>
      </w:r>
      <w:r>
        <w:rPr>
          <w:color w:val="231F20"/>
          <w:spacing w:val="-7"/>
          <w:w w:val="105"/>
        </w:rPr>
        <w:t> </w:t>
      </w:r>
      <w:r>
        <w:rPr>
          <w:color w:val="231F20"/>
          <w:w w:val="105"/>
        </w:rPr>
        <w:t>habían</w:t>
      </w:r>
      <w:r>
        <w:rPr>
          <w:color w:val="231F20"/>
          <w:spacing w:val="-7"/>
          <w:w w:val="105"/>
        </w:rPr>
        <w:t> </w:t>
      </w:r>
      <w:r>
        <w:rPr>
          <w:color w:val="231F20"/>
          <w:w w:val="105"/>
        </w:rPr>
        <w:t>casado</w:t>
      </w:r>
      <w:r>
        <w:rPr>
          <w:color w:val="231F20"/>
          <w:spacing w:val="-7"/>
          <w:w w:val="105"/>
        </w:rPr>
        <w:t> </w:t>
      </w:r>
      <w:r>
        <w:rPr>
          <w:color w:val="231F20"/>
          <w:w w:val="105"/>
        </w:rPr>
        <w:t>(con</w:t>
      </w:r>
      <w:r>
        <w:rPr>
          <w:color w:val="231F20"/>
          <w:spacing w:val="-7"/>
          <w:w w:val="105"/>
        </w:rPr>
        <w:t> </w:t>
      </w:r>
      <w:r>
        <w:rPr>
          <w:color w:val="231F20"/>
          <w:spacing w:val="-2"/>
          <w:w w:val="105"/>
        </w:rPr>
        <w:t>excepción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mujer</w:t>
      </w:r>
      <w:r>
        <w:rPr>
          <w:color w:val="231F20"/>
          <w:spacing w:val="-7"/>
          <w:w w:val="105"/>
        </w:rPr>
        <w:t> </w:t>
      </w:r>
      <w:r>
        <w:rPr>
          <w:color w:val="231F20"/>
          <w:w w:val="105"/>
        </w:rPr>
        <w:t>soltera),</w:t>
      </w:r>
      <w:r>
        <w:rPr>
          <w:color w:val="231F20"/>
          <w:spacing w:val="-12"/>
          <w:w w:val="105"/>
        </w:rPr>
        <w:t> </w:t>
      </w:r>
      <w:r>
        <w:rPr>
          <w:color w:val="231F20"/>
          <w:w w:val="105"/>
        </w:rPr>
        <w:t>en</w:t>
      </w:r>
      <w:r>
        <w:rPr>
          <w:color w:val="231F20"/>
          <w:spacing w:val="-7"/>
          <w:w w:val="105"/>
        </w:rPr>
        <w:t> </w:t>
      </w:r>
      <w:r>
        <w:rPr>
          <w:color w:val="231F20"/>
          <w:spacing w:val="-2"/>
          <w:w w:val="105"/>
        </w:rPr>
        <w:t>las </w:t>
      </w:r>
      <w:r>
        <w:rPr>
          <w:color w:val="231F20"/>
          <w:w w:val="105"/>
        </w:rPr>
        <w:t>segundas</w:t>
      </w:r>
      <w:r>
        <w:rPr>
          <w:color w:val="231F20"/>
          <w:spacing w:val="-18"/>
          <w:w w:val="105"/>
        </w:rPr>
        <w:t> </w:t>
      </w:r>
      <w:r>
        <w:rPr>
          <w:color w:val="231F20"/>
          <w:spacing w:val="-2"/>
          <w:w w:val="105"/>
        </w:rPr>
        <w:t>generaciones</w:t>
      </w:r>
      <w:r>
        <w:rPr>
          <w:color w:val="231F20"/>
          <w:spacing w:val="-18"/>
          <w:w w:val="105"/>
        </w:rPr>
        <w:t> </w:t>
      </w:r>
      <w:r>
        <w:rPr>
          <w:color w:val="231F20"/>
          <w:w w:val="105"/>
        </w:rPr>
        <w:t>se</w:t>
      </w:r>
      <w:r>
        <w:rPr>
          <w:color w:val="231F20"/>
          <w:spacing w:val="-18"/>
          <w:w w:val="105"/>
        </w:rPr>
        <w:t> </w:t>
      </w:r>
      <w:r>
        <w:rPr>
          <w:color w:val="231F20"/>
          <w:spacing w:val="-3"/>
          <w:w w:val="105"/>
        </w:rPr>
        <w:t>mostró</w:t>
      </w:r>
      <w:r>
        <w:rPr>
          <w:color w:val="231F20"/>
          <w:spacing w:val="-18"/>
          <w:w w:val="105"/>
        </w:rPr>
        <w:t> </w:t>
      </w:r>
      <w:r>
        <w:rPr>
          <w:color w:val="231F20"/>
          <w:w w:val="105"/>
        </w:rPr>
        <w:t>una</w:t>
      </w:r>
      <w:r>
        <w:rPr>
          <w:color w:val="231F20"/>
          <w:spacing w:val="-18"/>
          <w:w w:val="105"/>
        </w:rPr>
        <w:t> </w:t>
      </w:r>
      <w:r>
        <w:rPr>
          <w:color w:val="231F20"/>
          <w:w w:val="105"/>
        </w:rPr>
        <w:t>variación</w:t>
      </w:r>
      <w:r>
        <w:rPr>
          <w:color w:val="231F20"/>
          <w:spacing w:val="-18"/>
          <w:w w:val="105"/>
        </w:rPr>
        <w:t> </w:t>
      </w:r>
      <w:r>
        <w:rPr>
          <w:color w:val="231F20"/>
          <w:w w:val="105"/>
        </w:rPr>
        <w:t>en</w:t>
      </w:r>
      <w:r>
        <w:rPr>
          <w:color w:val="231F20"/>
          <w:spacing w:val="-18"/>
          <w:w w:val="105"/>
        </w:rPr>
        <w:t> </w:t>
      </w:r>
      <w:r>
        <w:rPr>
          <w:color w:val="231F20"/>
          <w:w w:val="105"/>
        </w:rPr>
        <w:t>cuanto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situación conyugal</w:t>
      </w:r>
      <w:r>
        <w:rPr>
          <w:color w:val="231F20"/>
          <w:spacing w:val="-7"/>
          <w:w w:val="105"/>
        </w:rPr>
        <w:t> </w:t>
      </w:r>
      <w:r>
        <w:rPr>
          <w:color w:val="231F20"/>
          <w:w w:val="105"/>
        </w:rPr>
        <w:t>al</w:t>
      </w:r>
      <w:r>
        <w:rPr>
          <w:color w:val="231F20"/>
          <w:spacing w:val="-7"/>
          <w:w w:val="105"/>
        </w:rPr>
        <w:t> </w:t>
      </w:r>
      <w:r>
        <w:rPr>
          <w:color w:val="231F20"/>
          <w:spacing w:val="-4"/>
          <w:w w:val="105"/>
        </w:rPr>
        <w:t>migrar,</w:t>
      </w:r>
      <w:r>
        <w:rPr>
          <w:color w:val="231F20"/>
          <w:spacing w:val="-13"/>
          <w:w w:val="105"/>
        </w:rPr>
        <w:t> </w:t>
      </w:r>
      <w:r>
        <w:rPr>
          <w:color w:val="231F20"/>
          <w:spacing w:val="-3"/>
          <w:w w:val="105"/>
        </w:rPr>
        <w:t>pero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spacing w:val="-3"/>
          <w:w w:val="105"/>
        </w:rPr>
        <w:t>tercera</w:t>
      </w:r>
      <w:r>
        <w:rPr>
          <w:color w:val="231F20"/>
          <w:spacing w:val="-7"/>
          <w:w w:val="105"/>
        </w:rPr>
        <w:t> </w:t>
      </w:r>
      <w:r>
        <w:rPr>
          <w:color w:val="231F20"/>
          <w:w w:val="105"/>
        </w:rPr>
        <w:t>generación</w:t>
      </w:r>
      <w:r>
        <w:rPr>
          <w:color w:val="231F20"/>
          <w:spacing w:val="-7"/>
          <w:w w:val="105"/>
        </w:rPr>
        <w:t> </w:t>
      </w:r>
      <w:r>
        <w:rPr>
          <w:color w:val="231F20"/>
          <w:spacing w:val="-3"/>
          <w:w w:val="105"/>
        </w:rPr>
        <w:t>migraron,</w:t>
      </w:r>
      <w:r>
        <w:rPr>
          <w:color w:val="231F20"/>
          <w:spacing w:val="-13"/>
          <w:w w:val="105"/>
        </w:rPr>
        <w:t> </w:t>
      </w:r>
      <w:r>
        <w:rPr>
          <w:color w:val="231F20"/>
          <w:w w:val="105"/>
        </w:rPr>
        <w:t>en</w:t>
      </w:r>
      <w:r>
        <w:rPr>
          <w:color w:val="231F20"/>
          <w:spacing w:val="-7"/>
          <w:w w:val="105"/>
        </w:rPr>
        <w:t> </w:t>
      </w:r>
      <w:r>
        <w:rPr>
          <w:color w:val="231F20"/>
          <w:w w:val="105"/>
        </w:rPr>
        <w:t>su</w:t>
      </w:r>
      <w:r>
        <w:rPr>
          <w:color w:val="231F20"/>
          <w:spacing w:val="-7"/>
          <w:w w:val="105"/>
        </w:rPr>
        <w:t> </w:t>
      </w:r>
      <w:r>
        <w:rPr>
          <w:color w:val="231F20"/>
          <w:w w:val="105"/>
        </w:rPr>
        <w:t>mayo- ría,</w:t>
      </w:r>
      <w:r>
        <w:rPr>
          <w:color w:val="231F20"/>
          <w:spacing w:val="-30"/>
          <w:w w:val="105"/>
        </w:rPr>
        <w:t> </w:t>
      </w:r>
      <w:r>
        <w:rPr>
          <w:color w:val="231F20"/>
          <w:spacing w:val="-3"/>
          <w:w w:val="105"/>
        </w:rPr>
        <w:t>solteros,</w:t>
      </w:r>
      <w:r>
        <w:rPr>
          <w:color w:val="231F20"/>
          <w:spacing w:val="-30"/>
          <w:w w:val="105"/>
        </w:rPr>
        <w:t> </w:t>
      </w:r>
      <w:r>
        <w:rPr>
          <w:color w:val="231F20"/>
          <w:w w:val="105"/>
        </w:rPr>
        <w:t>por</w:t>
      </w:r>
      <w:r>
        <w:rPr>
          <w:color w:val="231F20"/>
          <w:spacing w:val="-26"/>
          <w:w w:val="105"/>
        </w:rPr>
        <w:t> </w:t>
      </w:r>
      <w:r>
        <w:rPr>
          <w:color w:val="231F20"/>
          <w:w w:val="105"/>
        </w:rPr>
        <w:t>eso</w:t>
      </w:r>
      <w:r>
        <w:rPr>
          <w:color w:val="231F20"/>
          <w:spacing w:val="-26"/>
          <w:w w:val="105"/>
        </w:rPr>
        <w:t> </w:t>
      </w:r>
      <w:r>
        <w:rPr>
          <w:color w:val="231F20"/>
          <w:w w:val="105"/>
        </w:rPr>
        <w:t>varios</w:t>
      </w:r>
      <w:r>
        <w:rPr>
          <w:color w:val="231F20"/>
          <w:spacing w:val="-26"/>
          <w:w w:val="105"/>
        </w:rPr>
        <w:t> </w:t>
      </w:r>
      <w:r>
        <w:rPr>
          <w:color w:val="231F20"/>
          <w:w w:val="105"/>
        </w:rPr>
        <w:t>de</w:t>
      </w:r>
      <w:r>
        <w:rPr>
          <w:color w:val="231F20"/>
          <w:spacing w:val="-26"/>
          <w:w w:val="105"/>
        </w:rPr>
        <w:t> </w:t>
      </w:r>
      <w:r>
        <w:rPr>
          <w:color w:val="231F20"/>
          <w:w w:val="105"/>
        </w:rPr>
        <w:t>ellos</w:t>
      </w:r>
      <w:r>
        <w:rPr>
          <w:color w:val="231F20"/>
          <w:spacing w:val="-26"/>
          <w:w w:val="105"/>
        </w:rPr>
        <w:t> </w:t>
      </w:r>
      <w:r>
        <w:rPr>
          <w:color w:val="231F20"/>
          <w:spacing w:val="-3"/>
          <w:w w:val="105"/>
        </w:rPr>
        <w:t>hicieron</w:t>
      </w:r>
      <w:r>
        <w:rPr>
          <w:color w:val="231F20"/>
          <w:spacing w:val="-26"/>
          <w:w w:val="105"/>
        </w:rPr>
        <w:t> </w:t>
      </w:r>
      <w:r>
        <w:rPr>
          <w:color w:val="231F20"/>
          <w:w w:val="105"/>
        </w:rPr>
        <w:t>sus</w:t>
      </w:r>
      <w:r>
        <w:rPr>
          <w:color w:val="231F20"/>
          <w:spacing w:val="-26"/>
          <w:w w:val="105"/>
        </w:rPr>
        <w:t> </w:t>
      </w:r>
      <w:r>
        <w:rPr>
          <w:color w:val="231F20"/>
          <w:w w:val="105"/>
        </w:rPr>
        <w:t>familias</w:t>
      </w:r>
      <w:r>
        <w:rPr>
          <w:color w:val="231F20"/>
          <w:spacing w:val="-26"/>
          <w:w w:val="105"/>
        </w:rPr>
        <w:t> </w:t>
      </w:r>
      <w:r>
        <w:rPr>
          <w:color w:val="231F20"/>
          <w:w w:val="105"/>
        </w:rPr>
        <w:t>fuera</w:t>
      </w:r>
      <w:r>
        <w:rPr>
          <w:color w:val="231F20"/>
          <w:spacing w:val="-26"/>
          <w:w w:val="105"/>
        </w:rPr>
        <w:t> </w:t>
      </w:r>
      <w:r>
        <w:rPr>
          <w:color w:val="231F20"/>
          <w:w w:val="105"/>
        </w:rPr>
        <w:t>del</w:t>
      </w:r>
      <w:r>
        <w:rPr>
          <w:color w:val="231F20"/>
          <w:spacing w:val="-26"/>
          <w:w w:val="105"/>
        </w:rPr>
        <w:t> </w:t>
      </w:r>
      <w:r>
        <w:rPr>
          <w:color w:val="231F20"/>
          <w:w w:val="105"/>
        </w:rPr>
        <w:t>país.</w:t>
      </w:r>
    </w:p>
    <w:p>
      <w:pPr>
        <w:pStyle w:val="BodyText"/>
        <w:rPr>
          <w:sz w:val="20"/>
        </w:rPr>
      </w:pPr>
    </w:p>
    <w:p>
      <w:pPr>
        <w:pStyle w:val="BodyText"/>
        <w:spacing w:before="9"/>
        <w:rPr>
          <w:sz w:val="17"/>
        </w:rPr>
      </w:pPr>
    </w:p>
    <w:p>
      <w:pPr>
        <w:pStyle w:val="Heading3"/>
        <w:ind w:left="1723"/>
        <w:rPr>
          <w:rFonts w:ascii="Tahoma" w:hAnsi="Tahoma"/>
        </w:rPr>
      </w:pPr>
      <w:r>
        <w:rPr>
          <w:rFonts w:ascii="Tahoma" w:hAnsi="Tahoma"/>
          <w:color w:val="231F20"/>
          <w:w w:val="95"/>
        </w:rPr>
        <w:t>En búsqueda de una vida mejor, la movilidad social</w:t>
      </w:r>
    </w:p>
    <w:p>
      <w:pPr>
        <w:pStyle w:val="BodyText"/>
        <w:rPr>
          <w:rFonts w:ascii="Tahoma"/>
          <w:b/>
          <w:sz w:val="22"/>
        </w:rPr>
      </w:pPr>
    </w:p>
    <w:p>
      <w:pPr>
        <w:pStyle w:val="BodyText"/>
        <w:spacing w:line="261" w:lineRule="auto" w:before="152"/>
        <w:ind w:left="1723" w:right="1830"/>
        <w:jc w:val="both"/>
      </w:pPr>
      <w:r>
        <w:rPr>
          <w:color w:val="231F20"/>
          <w:w w:val="105"/>
        </w:rPr>
        <w:t>La mirada del trabajo parte de la teoría sobre movilidad social que, se- gún Breen y Luijkx (2004), debe abordar el rol que ejercen los</w:t>
      </w:r>
      <w:r>
        <w:rPr>
          <w:color w:val="231F20"/>
          <w:spacing w:val="-14"/>
          <w:w w:val="105"/>
        </w:rPr>
        <w:t> </w:t>
      </w:r>
      <w:r>
        <w:rPr>
          <w:color w:val="231F20"/>
          <w:w w:val="105"/>
        </w:rPr>
        <w:t>recursos de</w:t>
      </w:r>
      <w:r>
        <w:rPr>
          <w:color w:val="231F20"/>
          <w:spacing w:val="-27"/>
          <w:w w:val="105"/>
        </w:rPr>
        <w:t> </w:t>
      </w:r>
      <w:r>
        <w:rPr>
          <w:color w:val="231F20"/>
          <w:w w:val="105"/>
        </w:rPr>
        <w:t>una</w:t>
      </w:r>
      <w:r>
        <w:rPr>
          <w:color w:val="231F20"/>
          <w:spacing w:val="-27"/>
          <w:w w:val="105"/>
        </w:rPr>
        <w:t> </w:t>
      </w:r>
      <w:r>
        <w:rPr>
          <w:color w:val="231F20"/>
          <w:w w:val="105"/>
        </w:rPr>
        <w:t>generación</w:t>
      </w:r>
      <w:r>
        <w:rPr>
          <w:color w:val="231F20"/>
          <w:spacing w:val="-27"/>
          <w:w w:val="105"/>
        </w:rPr>
        <w:t> </w:t>
      </w:r>
      <w:r>
        <w:rPr>
          <w:color w:val="231F20"/>
          <w:w w:val="105"/>
        </w:rPr>
        <w:t>(en</w:t>
      </w:r>
      <w:r>
        <w:rPr>
          <w:color w:val="231F20"/>
          <w:spacing w:val="-27"/>
          <w:w w:val="105"/>
        </w:rPr>
        <w:t> </w:t>
      </w:r>
      <w:r>
        <w:rPr>
          <w:color w:val="231F20"/>
          <w:w w:val="105"/>
        </w:rPr>
        <w:t>sus</w:t>
      </w:r>
      <w:r>
        <w:rPr>
          <w:color w:val="231F20"/>
          <w:spacing w:val="-27"/>
          <w:w w:val="105"/>
        </w:rPr>
        <w:t> </w:t>
      </w:r>
      <w:r>
        <w:rPr>
          <w:color w:val="231F20"/>
          <w:w w:val="105"/>
        </w:rPr>
        <w:t>diferentes</w:t>
      </w:r>
      <w:r>
        <w:rPr>
          <w:color w:val="231F20"/>
          <w:spacing w:val="-27"/>
          <w:w w:val="105"/>
        </w:rPr>
        <w:t> </w:t>
      </w:r>
      <w:r>
        <w:rPr>
          <w:color w:val="231F20"/>
          <w:w w:val="105"/>
        </w:rPr>
        <w:t>dimensiones:</w:t>
      </w:r>
      <w:r>
        <w:rPr>
          <w:color w:val="231F20"/>
          <w:spacing w:val="-27"/>
          <w:w w:val="105"/>
        </w:rPr>
        <w:t> </w:t>
      </w:r>
      <w:r>
        <w:rPr>
          <w:color w:val="231F20"/>
          <w:w w:val="105"/>
        </w:rPr>
        <w:t>materiales,</w:t>
      </w:r>
      <w:r>
        <w:rPr>
          <w:color w:val="231F20"/>
          <w:spacing w:val="-32"/>
          <w:w w:val="105"/>
        </w:rPr>
        <w:t> </w:t>
      </w:r>
      <w:r>
        <w:rPr>
          <w:color w:val="231F20"/>
          <w:w w:val="105"/>
        </w:rPr>
        <w:t>culturales e</w:t>
      </w:r>
      <w:r>
        <w:rPr>
          <w:color w:val="231F20"/>
          <w:spacing w:val="-5"/>
          <w:w w:val="105"/>
        </w:rPr>
        <w:t> </w:t>
      </w:r>
      <w:r>
        <w:rPr>
          <w:color w:val="231F20"/>
          <w:w w:val="105"/>
        </w:rPr>
        <w:t>incluso</w:t>
      </w:r>
      <w:r>
        <w:rPr>
          <w:color w:val="231F20"/>
          <w:spacing w:val="-5"/>
          <w:w w:val="105"/>
        </w:rPr>
        <w:t> </w:t>
      </w:r>
      <w:r>
        <w:rPr>
          <w:color w:val="231F20"/>
          <w:w w:val="105"/>
        </w:rPr>
        <w:t>genéticos)</w:t>
      </w:r>
      <w:r>
        <w:rPr>
          <w:color w:val="231F20"/>
          <w:spacing w:val="-5"/>
          <w:w w:val="105"/>
        </w:rPr>
        <w:t> </w:t>
      </w:r>
      <w:r>
        <w:rPr>
          <w:color w:val="231F20"/>
          <w:w w:val="105"/>
        </w:rPr>
        <w:t>dentro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sociedad,</w:t>
      </w:r>
      <w:r>
        <w:rPr>
          <w:color w:val="231F20"/>
          <w:spacing w:val="-11"/>
          <w:w w:val="105"/>
        </w:rPr>
        <w:t> </w:t>
      </w:r>
      <w:r>
        <w:rPr>
          <w:color w:val="231F20"/>
          <w:w w:val="105"/>
        </w:rPr>
        <w:t>y</w:t>
      </w:r>
      <w:r>
        <w:rPr>
          <w:color w:val="231F20"/>
          <w:spacing w:val="-5"/>
          <w:w w:val="105"/>
        </w:rPr>
        <w:t> </w:t>
      </w:r>
      <w:r>
        <w:rPr>
          <w:color w:val="231F20"/>
          <w:w w:val="105"/>
        </w:rPr>
        <w:t>que</w:t>
      </w:r>
      <w:r>
        <w:rPr>
          <w:color w:val="231F20"/>
          <w:spacing w:val="-5"/>
          <w:w w:val="105"/>
        </w:rPr>
        <w:t> </w:t>
      </w:r>
      <w:r>
        <w:rPr>
          <w:color w:val="231F20"/>
          <w:w w:val="105"/>
        </w:rPr>
        <w:t>llevan</w:t>
      </w:r>
      <w:r>
        <w:rPr>
          <w:color w:val="231F20"/>
          <w:spacing w:val="-5"/>
          <w:w w:val="105"/>
        </w:rPr>
        <w:t> </w:t>
      </w:r>
      <w:r>
        <w:rPr>
          <w:color w:val="231F20"/>
          <w:w w:val="105"/>
        </w:rPr>
        <w:t>a</w:t>
      </w:r>
      <w:r>
        <w:rPr>
          <w:color w:val="231F20"/>
          <w:spacing w:val="-5"/>
          <w:w w:val="105"/>
        </w:rPr>
        <w:t> </w:t>
      </w:r>
      <w:r>
        <w:rPr>
          <w:color w:val="231F20"/>
          <w:w w:val="105"/>
        </w:rPr>
        <w:t>moldear</w:t>
      </w:r>
      <w:r>
        <w:rPr>
          <w:color w:val="231F20"/>
          <w:spacing w:val="-5"/>
          <w:w w:val="105"/>
        </w:rPr>
        <w:t> </w:t>
      </w:r>
      <w:r>
        <w:rPr>
          <w:color w:val="231F20"/>
          <w:w w:val="105"/>
        </w:rPr>
        <w:t>el</w:t>
      </w:r>
      <w:r>
        <w:rPr>
          <w:color w:val="231F20"/>
          <w:spacing w:val="-5"/>
          <w:w w:val="105"/>
        </w:rPr>
        <w:t> </w:t>
      </w:r>
      <w:r>
        <w:rPr>
          <w:color w:val="231F20"/>
          <w:w w:val="105"/>
        </w:rPr>
        <w:t>lo- gro</w:t>
      </w:r>
      <w:r>
        <w:rPr>
          <w:color w:val="231F20"/>
          <w:spacing w:val="-19"/>
          <w:w w:val="105"/>
        </w:rPr>
        <w:t> </w:t>
      </w:r>
      <w:r>
        <w:rPr>
          <w:color w:val="231F20"/>
          <w:w w:val="105"/>
        </w:rPr>
        <w:t>educativo</w:t>
      </w:r>
      <w:r>
        <w:rPr>
          <w:color w:val="231F20"/>
          <w:spacing w:val="-19"/>
          <w:w w:val="105"/>
        </w:rPr>
        <w:t> </w:t>
      </w:r>
      <w:r>
        <w:rPr>
          <w:color w:val="231F20"/>
          <w:w w:val="105"/>
        </w:rPr>
        <w:t>y</w:t>
      </w:r>
      <w:r>
        <w:rPr>
          <w:color w:val="231F20"/>
          <w:spacing w:val="-19"/>
          <w:w w:val="105"/>
        </w:rPr>
        <w:t> </w:t>
      </w:r>
      <w:r>
        <w:rPr>
          <w:color w:val="231F20"/>
          <w:w w:val="105"/>
        </w:rPr>
        <w:t>ocupacional</w:t>
      </w:r>
      <w:r>
        <w:rPr>
          <w:color w:val="231F20"/>
          <w:spacing w:val="-19"/>
          <w:w w:val="105"/>
        </w:rPr>
        <w:t> </w:t>
      </w:r>
      <w:r>
        <w:rPr>
          <w:color w:val="231F20"/>
          <w:w w:val="105"/>
        </w:rPr>
        <w:t>(principalmente)</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siguiente</w:t>
      </w:r>
      <w:r>
        <w:rPr>
          <w:color w:val="231F20"/>
          <w:spacing w:val="-19"/>
          <w:w w:val="105"/>
        </w:rPr>
        <w:t> </w:t>
      </w:r>
      <w:r>
        <w:rPr>
          <w:color w:val="231F20"/>
          <w:w w:val="105"/>
        </w:rPr>
        <w:t>generación. </w:t>
      </w:r>
      <w:r>
        <w:rPr>
          <w:color w:val="231F20"/>
          <w:spacing w:val="-6"/>
          <w:w w:val="105"/>
        </w:rPr>
        <w:t>Por </w:t>
      </w:r>
      <w:r>
        <w:rPr>
          <w:color w:val="231F20"/>
          <w:w w:val="105"/>
        </w:rPr>
        <w:t>lo anterior, se quiere hacer evidente que la primera generación</w:t>
      </w:r>
      <w:r>
        <w:rPr>
          <w:color w:val="231F20"/>
          <w:spacing w:val="-18"/>
          <w:w w:val="105"/>
        </w:rPr>
        <w:t> </w:t>
      </w:r>
      <w:r>
        <w:rPr>
          <w:color w:val="231F20"/>
          <w:w w:val="105"/>
        </w:rPr>
        <w:t>que decidió</w:t>
      </w:r>
      <w:r>
        <w:rPr>
          <w:color w:val="231F20"/>
          <w:spacing w:val="-8"/>
          <w:w w:val="105"/>
        </w:rPr>
        <w:t> </w:t>
      </w:r>
      <w:r>
        <w:rPr>
          <w:color w:val="231F20"/>
          <w:w w:val="105"/>
        </w:rPr>
        <w:t>migrar</w:t>
      </w:r>
      <w:r>
        <w:rPr>
          <w:color w:val="231F20"/>
          <w:spacing w:val="-8"/>
          <w:w w:val="105"/>
        </w:rPr>
        <w:t> </w:t>
      </w:r>
      <w:r>
        <w:rPr>
          <w:color w:val="231F20"/>
          <w:w w:val="105"/>
        </w:rPr>
        <w:t>logró</w:t>
      </w:r>
      <w:r>
        <w:rPr>
          <w:color w:val="231F20"/>
          <w:spacing w:val="-8"/>
          <w:w w:val="105"/>
        </w:rPr>
        <w:t> </w:t>
      </w:r>
      <w:r>
        <w:rPr>
          <w:color w:val="231F20"/>
          <w:w w:val="105"/>
        </w:rPr>
        <w:t>modificar</w:t>
      </w:r>
      <w:r>
        <w:rPr>
          <w:color w:val="231F20"/>
          <w:spacing w:val="-8"/>
          <w:w w:val="105"/>
        </w:rPr>
        <w:t> </w:t>
      </w:r>
      <w:r>
        <w:rPr>
          <w:color w:val="231F20"/>
          <w:w w:val="105"/>
        </w:rPr>
        <w:t>los</w:t>
      </w:r>
      <w:r>
        <w:rPr>
          <w:color w:val="231F20"/>
          <w:spacing w:val="-8"/>
          <w:w w:val="105"/>
        </w:rPr>
        <w:t> </w:t>
      </w:r>
      <w:r>
        <w:rPr>
          <w:color w:val="231F20"/>
          <w:w w:val="105"/>
        </w:rPr>
        <w:t>recursos</w:t>
      </w:r>
      <w:r>
        <w:rPr>
          <w:color w:val="231F20"/>
          <w:spacing w:val="-8"/>
          <w:w w:val="105"/>
        </w:rPr>
        <w:t> </w:t>
      </w:r>
      <w:r>
        <w:rPr>
          <w:color w:val="231F20"/>
          <w:w w:val="105"/>
        </w:rPr>
        <w:t>que</w:t>
      </w:r>
      <w:r>
        <w:rPr>
          <w:color w:val="231F20"/>
          <w:spacing w:val="-8"/>
          <w:w w:val="105"/>
        </w:rPr>
        <w:t> </w:t>
      </w:r>
      <w:r>
        <w:rPr>
          <w:color w:val="231F20"/>
          <w:w w:val="105"/>
        </w:rPr>
        <w:t>tuvo</w:t>
      </w:r>
      <w:r>
        <w:rPr>
          <w:color w:val="231F20"/>
          <w:spacing w:val="-8"/>
          <w:w w:val="105"/>
        </w:rPr>
        <w:t> </w:t>
      </w:r>
      <w:r>
        <w:rPr>
          <w:color w:val="231F20"/>
          <w:w w:val="105"/>
        </w:rPr>
        <w:t>en</w:t>
      </w:r>
      <w:r>
        <w:rPr>
          <w:color w:val="231F20"/>
          <w:spacing w:val="-8"/>
          <w:w w:val="105"/>
        </w:rPr>
        <w:t> </w:t>
      </w:r>
      <w:r>
        <w:rPr>
          <w:color w:val="231F20"/>
          <w:w w:val="105"/>
        </w:rPr>
        <w:t>su</w:t>
      </w:r>
      <w:r>
        <w:rPr>
          <w:color w:val="231F20"/>
          <w:spacing w:val="-8"/>
          <w:w w:val="105"/>
        </w:rPr>
        <w:t> </w:t>
      </w:r>
      <w:r>
        <w:rPr>
          <w:color w:val="231F20"/>
          <w:w w:val="105"/>
        </w:rPr>
        <w:t>seno</w:t>
      </w:r>
      <w:r>
        <w:rPr>
          <w:color w:val="231F20"/>
          <w:spacing w:val="-8"/>
          <w:w w:val="105"/>
        </w:rPr>
        <w:t> </w:t>
      </w:r>
      <w:r>
        <w:rPr>
          <w:color w:val="231F20"/>
          <w:w w:val="105"/>
        </w:rPr>
        <w:t>familiar, pues la búsqueda de diferentes formas de desarrollo se dio a partir de su crianza como lo evidencia el siguiente fragmento: “</w:t>
      </w:r>
      <w:r>
        <w:rPr>
          <w:rFonts w:ascii="Arial" w:hAnsi="Arial"/>
          <w:i/>
          <w:color w:val="231F20"/>
          <w:w w:val="105"/>
        </w:rPr>
        <w:t>Después ya me </w:t>
      </w:r>
      <w:r>
        <w:rPr>
          <w:rFonts w:ascii="Arial" w:hAnsi="Arial"/>
          <w:i/>
          <w:color w:val="231F20"/>
          <w:w w:val="105"/>
        </w:rPr>
        <w:t>vine</w:t>
      </w:r>
      <w:r>
        <w:rPr>
          <w:rFonts w:ascii="Arial" w:hAnsi="Arial"/>
          <w:i/>
          <w:color w:val="231F20"/>
          <w:spacing w:val="-12"/>
          <w:w w:val="105"/>
        </w:rPr>
        <w:t> </w:t>
      </w:r>
      <w:r>
        <w:rPr>
          <w:rFonts w:ascii="Arial" w:hAnsi="Arial"/>
          <w:i/>
          <w:color w:val="231F20"/>
          <w:w w:val="105"/>
        </w:rPr>
        <w:t>pues,</w:t>
      </w:r>
      <w:r>
        <w:rPr>
          <w:rFonts w:ascii="Arial" w:hAnsi="Arial"/>
          <w:i/>
          <w:color w:val="231F20"/>
          <w:spacing w:val="-17"/>
          <w:w w:val="105"/>
        </w:rPr>
        <w:t> </w:t>
      </w:r>
      <w:r>
        <w:rPr>
          <w:rFonts w:ascii="Arial" w:hAnsi="Arial"/>
          <w:i/>
          <w:color w:val="231F20"/>
          <w:w w:val="105"/>
        </w:rPr>
        <w:t>para</w:t>
      </w:r>
      <w:r>
        <w:rPr>
          <w:rFonts w:ascii="Arial" w:hAnsi="Arial"/>
          <w:i/>
          <w:color w:val="231F20"/>
          <w:spacing w:val="-12"/>
          <w:w w:val="105"/>
        </w:rPr>
        <w:t> </w:t>
      </w:r>
      <w:r>
        <w:rPr>
          <w:rFonts w:ascii="Arial" w:hAnsi="Arial"/>
          <w:i/>
          <w:color w:val="231F20"/>
          <w:w w:val="105"/>
        </w:rPr>
        <w:t>poder</w:t>
      </w:r>
      <w:r>
        <w:rPr>
          <w:rFonts w:ascii="Arial" w:hAnsi="Arial"/>
          <w:i/>
          <w:color w:val="231F20"/>
          <w:spacing w:val="-12"/>
          <w:w w:val="105"/>
        </w:rPr>
        <w:t> </w:t>
      </w:r>
      <w:r>
        <w:rPr>
          <w:rFonts w:ascii="Arial" w:hAnsi="Arial"/>
          <w:i/>
          <w:color w:val="231F20"/>
          <w:w w:val="105"/>
        </w:rPr>
        <w:t>salir</w:t>
      </w:r>
      <w:r>
        <w:rPr>
          <w:rFonts w:ascii="Arial" w:hAnsi="Arial"/>
          <w:i/>
          <w:color w:val="231F20"/>
          <w:spacing w:val="-12"/>
          <w:w w:val="105"/>
        </w:rPr>
        <w:t> </w:t>
      </w:r>
      <w:r>
        <w:rPr>
          <w:rFonts w:ascii="Arial" w:hAnsi="Arial"/>
          <w:i/>
          <w:color w:val="231F20"/>
          <w:w w:val="105"/>
        </w:rPr>
        <w:t>de</w:t>
      </w:r>
      <w:r>
        <w:rPr>
          <w:rFonts w:ascii="Arial" w:hAnsi="Arial"/>
          <w:i/>
          <w:color w:val="231F20"/>
          <w:spacing w:val="-12"/>
          <w:w w:val="105"/>
        </w:rPr>
        <w:t> </w:t>
      </w:r>
      <w:r>
        <w:rPr>
          <w:rFonts w:ascii="Arial" w:hAnsi="Arial"/>
          <w:i/>
          <w:color w:val="231F20"/>
          <w:w w:val="105"/>
        </w:rPr>
        <w:t>mi</w:t>
      </w:r>
      <w:r>
        <w:rPr>
          <w:rFonts w:ascii="Arial" w:hAnsi="Arial"/>
          <w:i/>
          <w:color w:val="231F20"/>
          <w:spacing w:val="-12"/>
          <w:w w:val="105"/>
        </w:rPr>
        <w:t> </w:t>
      </w:r>
      <w:r>
        <w:rPr>
          <w:rFonts w:ascii="Arial" w:hAnsi="Arial"/>
          <w:i/>
          <w:color w:val="231F20"/>
          <w:w w:val="105"/>
        </w:rPr>
        <w:t>pueblo,</w:t>
      </w:r>
      <w:r>
        <w:rPr>
          <w:rFonts w:ascii="Arial" w:hAnsi="Arial"/>
          <w:i/>
          <w:color w:val="231F20"/>
          <w:spacing w:val="-17"/>
          <w:w w:val="105"/>
        </w:rPr>
        <w:t> </w:t>
      </w:r>
      <w:r>
        <w:rPr>
          <w:rFonts w:ascii="Arial" w:hAnsi="Arial"/>
          <w:i/>
          <w:color w:val="231F20"/>
          <w:w w:val="105"/>
        </w:rPr>
        <w:t>porque</w:t>
      </w:r>
      <w:r>
        <w:rPr>
          <w:rFonts w:ascii="Arial" w:hAnsi="Arial"/>
          <w:i/>
          <w:color w:val="231F20"/>
          <w:spacing w:val="-12"/>
          <w:w w:val="105"/>
        </w:rPr>
        <w:t> </w:t>
      </w:r>
      <w:r>
        <w:rPr>
          <w:rFonts w:ascii="Arial" w:hAnsi="Arial"/>
          <w:i/>
          <w:color w:val="231F20"/>
          <w:w w:val="105"/>
        </w:rPr>
        <w:t>en</w:t>
      </w:r>
      <w:r>
        <w:rPr>
          <w:rFonts w:ascii="Arial" w:hAnsi="Arial"/>
          <w:i/>
          <w:color w:val="231F20"/>
          <w:spacing w:val="-12"/>
          <w:w w:val="105"/>
        </w:rPr>
        <w:t> </w:t>
      </w:r>
      <w:r>
        <w:rPr>
          <w:rFonts w:ascii="Arial" w:hAnsi="Arial"/>
          <w:i/>
          <w:color w:val="231F20"/>
          <w:w w:val="105"/>
        </w:rPr>
        <w:t>mi</w:t>
      </w:r>
      <w:r>
        <w:rPr>
          <w:rFonts w:ascii="Arial" w:hAnsi="Arial"/>
          <w:i/>
          <w:color w:val="231F20"/>
          <w:spacing w:val="-12"/>
          <w:w w:val="105"/>
        </w:rPr>
        <w:t> </w:t>
      </w:r>
      <w:r>
        <w:rPr>
          <w:rFonts w:ascii="Arial" w:hAnsi="Arial"/>
          <w:i/>
          <w:color w:val="231F20"/>
          <w:w w:val="105"/>
        </w:rPr>
        <w:t>pueblo</w:t>
      </w:r>
      <w:r>
        <w:rPr>
          <w:rFonts w:ascii="Arial" w:hAnsi="Arial"/>
          <w:i/>
          <w:color w:val="231F20"/>
          <w:spacing w:val="-12"/>
          <w:w w:val="105"/>
        </w:rPr>
        <w:t> </w:t>
      </w:r>
      <w:r>
        <w:rPr>
          <w:rFonts w:ascii="Arial" w:hAnsi="Arial"/>
          <w:i/>
          <w:color w:val="231F20"/>
          <w:w w:val="105"/>
        </w:rPr>
        <w:t>si</w:t>
      </w:r>
      <w:r>
        <w:rPr>
          <w:rFonts w:ascii="Arial" w:hAnsi="Arial"/>
          <w:i/>
          <w:color w:val="231F20"/>
          <w:spacing w:val="-12"/>
          <w:w w:val="105"/>
        </w:rPr>
        <w:t> </w:t>
      </w:r>
      <w:r>
        <w:rPr>
          <w:rFonts w:ascii="Arial" w:hAnsi="Arial"/>
          <w:i/>
          <w:color w:val="231F20"/>
          <w:w w:val="105"/>
        </w:rPr>
        <w:t>no</w:t>
      </w:r>
      <w:r>
        <w:rPr>
          <w:rFonts w:ascii="Arial" w:hAnsi="Arial"/>
          <w:i/>
          <w:color w:val="231F20"/>
          <w:spacing w:val="-12"/>
          <w:w w:val="105"/>
        </w:rPr>
        <w:t> </w:t>
      </w:r>
      <w:r>
        <w:rPr>
          <w:rFonts w:ascii="Arial" w:hAnsi="Arial"/>
          <w:i/>
          <w:color w:val="231F20"/>
          <w:w w:val="105"/>
        </w:rPr>
        <w:t>eres campesino</w:t>
      </w:r>
      <w:r>
        <w:rPr>
          <w:rFonts w:ascii="Arial" w:hAnsi="Arial"/>
          <w:i/>
          <w:color w:val="231F20"/>
          <w:spacing w:val="-29"/>
          <w:w w:val="105"/>
        </w:rPr>
        <w:t> </w:t>
      </w:r>
      <w:r>
        <w:rPr>
          <w:rFonts w:ascii="Arial" w:hAnsi="Arial"/>
          <w:i/>
          <w:color w:val="231F20"/>
          <w:w w:val="105"/>
        </w:rPr>
        <w:t>tienes</w:t>
      </w:r>
      <w:r>
        <w:rPr>
          <w:rFonts w:ascii="Arial" w:hAnsi="Arial"/>
          <w:i/>
          <w:color w:val="231F20"/>
          <w:spacing w:val="-29"/>
          <w:w w:val="105"/>
        </w:rPr>
        <w:t> </w:t>
      </w:r>
      <w:r>
        <w:rPr>
          <w:rFonts w:ascii="Arial" w:hAnsi="Arial"/>
          <w:i/>
          <w:color w:val="231F20"/>
          <w:w w:val="105"/>
        </w:rPr>
        <w:t>que</w:t>
      </w:r>
      <w:r>
        <w:rPr>
          <w:rFonts w:ascii="Arial" w:hAnsi="Arial"/>
          <w:i/>
          <w:color w:val="231F20"/>
          <w:spacing w:val="-29"/>
          <w:w w:val="105"/>
        </w:rPr>
        <w:t> </w:t>
      </w:r>
      <w:r>
        <w:rPr>
          <w:rFonts w:ascii="Arial" w:hAnsi="Arial"/>
          <w:i/>
          <w:color w:val="231F20"/>
          <w:w w:val="105"/>
        </w:rPr>
        <w:t>ser</w:t>
      </w:r>
      <w:r>
        <w:rPr>
          <w:rFonts w:ascii="Arial" w:hAnsi="Arial"/>
          <w:i/>
          <w:color w:val="231F20"/>
          <w:spacing w:val="-29"/>
          <w:w w:val="105"/>
        </w:rPr>
        <w:t> </w:t>
      </w:r>
      <w:r>
        <w:rPr>
          <w:rFonts w:ascii="Arial" w:hAnsi="Arial"/>
          <w:i/>
          <w:color w:val="231F20"/>
          <w:w w:val="105"/>
        </w:rPr>
        <w:t>minero</w:t>
      </w:r>
      <w:r>
        <w:rPr>
          <w:color w:val="231F20"/>
          <w:w w:val="105"/>
        </w:rPr>
        <w:t>”</w:t>
      </w:r>
      <w:r>
        <w:rPr>
          <w:color w:val="231F20"/>
          <w:spacing w:val="-27"/>
          <w:w w:val="105"/>
        </w:rPr>
        <w:t> </w:t>
      </w:r>
      <w:r>
        <w:rPr>
          <w:color w:val="231F20"/>
          <w:w w:val="105"/>
        </w:rPr>
        <w:t>(Vct.,</w:t>
      </w:r>
      <w:r>
        <w:rPr>
          <w:color w:val="231F20"/>
          <w:spacing w:val="-31"/>
          <w:w w:val="105"/>
        </w:rPr>
        <w:t> </w:t>
      </w:r>
      <w:r>
        <w:rPr>
          <w:color w:val="231F20"/>
          <w:w w:val="105"/>
        </w:rPr>
        <w:t>2013).</w:t>
      </w:r>
    </w:p>
    <w:p>
      <w:pPr>
        <w:pStyle w:val="BodyText"/>
        <w:spacing w:line="261" w:lineRule="auto"/>
        <w:ind w:left="1723" w:right="1834" w:firstLine="567"/>
        <w:jc w:val="both"/>
      </w:pPr>
      <w:r>
        <w:rPr>
          <w:color w:val="231F20"/>
          <w:w w:val="105"/>
        </w:rPr>
        <w:t>Según</w:t>
      </w:r>
      <w:r>
        <w:rPr>
          <w:color w:val="231F20"/>
          <w:spacing w:val="-14"/>
          <w:w w:val="105"/>
        </w:rPr>
        <w:t> </w:t>
      </w:r>
      <w:r>
        <w:rPr>
          <w:color w:val="231F20"/>
          <w:spacing w:val="-3"/>
          <w:w w:val="105"/>
        </w:rPr>
        <w:t>Yaschine</w:t>
      </w:r>
      <w:r>
        <w:rPr>
          <w:color w:val="231F20"/>
          <w:spacing w:val="-10"/>
          <w:w w:val="105"/>
        </w:rPr>
        <w:t> </w:t>
      </w:r>
      <w:r>
        <w:rPr>
          <w:color w:val="231F20"/>
          <w:w w:val="105"/>
        </w:rPr>
        <w:t>(2013)</w:t>
      </w:r>
      <w:r>
        <w:rPr>
          <w:color w:val="231F20"/>
          <w:spacing w:val="-10"/>
          <w:w w:val="105"/>
        </w:rPr>
        <w:t> </w:t>
      </w:r>
      <w:r>
        <w:rPr>
          <w:color w:val="231F20"/>
          <w:w w:val="105"/>
        </w:rPr>
        <w:t>la</w:t>
      </w:r>
      <w:r>
        <w:rPr>
          <w:color w:val="231F20"/>
          <w:spacing w:val="-10"/>
          <w:w w:val="105"/>
        </w:rPr>
        <w:t> </w:t>
      </w:r>
      <w:r>
        <w:rPr>
          <w:color w:val="231F20"/>
          <w:w w:val="105"/>
        </w:rPr>
        <w:t>perspectiva</w:t>
      </w:r>
      <w:r>
        <w:rPr>
          <w:color w:val="231F20"/>
          <w:spacing w:val="-10"/>
          <w:w w:val="105"/>
        </w:rPr>
        <w:t> </w:t>
      </w:r>
      <w:r>
        <w:rPr>
          <w:color w:val="231F20"/>
          <w:w w:val="105"/>
        </w:rPr>
        <w:t>de</w:t>
      </w:r>
      <w:r>
        <w:rPr>
          <w:color w:val="231F20"/>
          <w:spacing w:val="-10"/>
          <w:w w:val="105"/>
        </w:rPr>
        <w:t> </w:t>
      </w:r>
      <w:r>
        <w:rPr>
          <w:color w:val="231F20"/>
          <w:w w:val="105"/>
        </w:rPr>
        <w:t>movilidad</w:t>
      </w:r>
      <w:r>
        <w:rPr>
          <w:color w:val="231F20"/>
          <w:spacing w:val="-10"/>
          <w:w w:val="105"/>
        </w:rPr>
        <w:t> </w:t>
      </w:r>
      <w:r>
        <w:rPr>
          <w:color w:val="231F20"/>
          <w:w w:val="105"/>
        </w:rPr>
        <w:t>social</w:t>
      </w:r>
      <w:r>
        <w:rPr>
          <w:color w:val="231F20"/>
          <w:spacing w:val="-10"/>
          <w:w w:val="105"/>
        </w:rPr>
        <w:t> </w:t>
      </w:r>
      <w:r>
        <w:rPr>
          <w:color w:val="231F20"/>
          <w:w w:val="105"/>
        </w:rPr>
        <w:t>interge- neracional</w:t>
      </w:r>
      <w:r>
        <w:rPr>
          <w:color w:val="231F20"/>
          <w:spacing w:val="-15"/>
          <w:w w:val="105"/>
        </w:rPr>
        <w:t> </w:t>
      </w:r>
      <w:r>
        <w:rPr>
          <w:color w:val="231F20"/>
          <w:w w:val="105"/>
        </w:rPr>
        <w:t>se</w:t>
      </w:r>
      <w:r>
        <w:rPr>
          <w:color w:val="231F20"/>
          <w:spacing w:val="-15"/>
          <w:w w:val="105"/>
        </w:rPr>
        <w:t> </w:t>
      </w:r>
      <w:r>
        <w:rPr>
          <w:color w:val="231F20"/>
          <w:w w:val="105"/>
        </w:rPr>
        <w:t>circunscribe</w:t>
      </w:r>
      <w:r>
        <w:rPr>
          <w:color w:val="231F20"/>
          <w:spacing w:val="-15"/>
          <w:w w:val="105"/>
        </w:rPr>
        <w:t> </w:t>
      </w:r>
      <w:r>
        <w:rPr>
          <w:color w:val="231F20"/>
          <w:w w:val="105"/>
        </w:rPr>
        <w:t>al</w:t>
      </w:r>
      <w:r>
        <w:rPr>
          <w:color w:val="231F20"/>
          <w:spacing w:val="-15"/>
          <w:w w:val="105"/>
        </w:rPr>
        <w:t> </w:t>
      </w:r>
      <w:r>
        <w:rPr>
          <w:color w:val="231F20"/>
          <w:w w:val="105"/>
        </w:rPr>
        <w:t>estudio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transmisión</w:t>
      </w:r>
      <w:r>
        <w:rPr>
          <w:color w:val="231F20"/>
          <w:spacing w:val="-15"/>
          <w:w w:val="105"/>
        </w:rPr>
        <w:t> </w:t>
      </w:r>
      <w:r>
        <w:rPr>
          <w:color w:val="231F20"/>
          <w:w w:val="105"/>
        </w:rPr>
        <w:t>intergeneracional de la desigualdad desde una mirada enfocada fundamentalmente en</w:t>
      </w:r>
      <w:r>
        <w:rPr>
          <w:color w:val="231F20"/>
          <w:spacing w:val="-24"/>
          <w:w w:val="105"/>
        </w:rPr>
        <w:t> </w:t>
      </w:r>
      <w:r>
        <w:rPr>
          <w:color w:val="231F20"/>
          <w:w w:val="105"/>
        </w:rPr>
        <w:t>la (des)igualdad</w:t>
      </w:r>
      <w:r>
        <w:rPr>
          <w:color w:val="231F20"/>
          <w:spacing w:val="-7"/>
          <w:w w:val="105"/>
        </w:rPr>
        <w:t> </w:t>
      </w:r>
      <w:r>
        <w:rPr>
          <w:color w:val="231F20"/>
          <w:w w:val="105"/>
        </w:rPr>
        <w:t>de</w:t>
      </w:r>
      <w:r>
        <w:rPr>
          <w:color w:val="231F20"/>
          <w:spacing w:val="-7"/>
          <w:w w:val="105"/>
        </w:rPr>
        <w:t> </w:t>
      </w:r>
      <w:r>
        <w:rPr>
          <w:color w:val="231F20"/>
          <w:w w:val="105"/>
        </w:rPr>
        <w:t>oportunidades</w:t>
      </w:r>
      <w:r>
        <w:rPr>
          <w:color w:val="231F20"/>
          <w:spacing w:val="-7"/>
          <w:w w:val="105"/>
        </w:rPr>
        <w:t> </w:t>
      </w:r>
      <w:r>
        <w:rPr>
          <w:color w:val="231F20"/>
          <w:w w:val="105"/>
        </w:rPr>
        <w:t>existente</w:t>
      </w:r>
      <w:r>
        <w:rPr>
          <w:color w:val="231F20"/>
          <w:spacing w:val="-7"/>
          <w:w w:val="105"/>
        </w:rPr>
        <w:t> </w:t>
      </w:r>
      <w:r>
        <w:rPr>
          <w:color w:val="231F20"/>
          <w:w w:val="105"/>
        </w:rPr>
        <w:t>en</w:t>
      </w:r>
      <w:r>
        <w:rPr>
          <w:color w:val="231F20"/>
          <w:spacing w:val="-7"/>
          <w:w w:val="105"/>
        </w:rPr>
        <w:t> </w:t>
      </w:r>
      <w:r>
        <w:rPr>
          <w:color w:val="231F20"/>
          <w:w w:val="105"/>
        </w:rPr>
        <w:t>una</w:t>
      </w:r>
      <w:r>
        <w:rPr>
          <w:color w:val="231F20"/>
          <w:spacing w:val="-7"/>
          <w:w w:val="105"/>
        </w:rPr>
        <w:t> </w:t>
      </w:r>
      <w:r>
        <w:rPr>
          <w:color w:val="231F20"/>
          <w:w w:val="105"/>
        </w:rPr>
        <w:t>sociedad,</w:t>
      </w:r>
      <w:r>
        <w:rPr>
          <w:color w:val="231F20"/>
          <w:spacing w:val="-12"/>
          <w:w w:val="105"/>
        </w:rPr>
        <w:t> </w:t>
      </w:r>
      <w:r>
        <w:rPr>
          <w:color w:val="231F20"/>
          <w:w w:val="105"/>
        </w:rPr>
        <w:t>lo</w:t>
      </w:r>
      <w:r>
        <w:rPr>
          <w:color w:val="231F20"/>
          <w:spacing w:val="-7"/>
          <w:w w:val="105"/>
        </w:rPr>
        <w:t> </w:t>
      </w:r>
      <w:r>
        <w:rPr>
          <w:color w:val="231F20"/>
          <w:w w:val="105"/>
        </w:rPr>
        <w:t>cual</w:t>
      </w:r>
      <w:r>
        <w:rPr>
          <w:color w:val="231F20"/>
          <w:spacing w:val="-7"/>
          <w:w w:val="105"/>
        </w:rPr>
        <w:t> </w:t>
      </w:r>
      <w:r>
        <w:rPr>
          <w:color w:val="231F20"/>
          <w:w w:val="105"/>
        </w:rPr>
        <w:t>pue- de</w:t>
      </w:r>
      <w:r>
        <w:rPr>
          <w:color w:val="231F20"/>
          <w:spacing w:val="-10"/>
          <w:w w:val="105"/>
        </w:rPr>
        <w:t> </w:t>
      </w:r>
      <w:r>
        <w:rPr>
          <w:color w:val="231F20"/>
          <w:w w:val="105"/>
        </w:rPr>
        <w:t>verse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testimonio</w:t>
      </w:r>
      <w:r>
        <w:rPr>
          <w:color w:val="231F20"/>
          <w:spacing w:val="-10"/>
          <w:w w:val="105"/>
        </w:rPr>
        <w:t> </w:t>
      </w:r>
      <w:r>
        <w:rPr>
          <w:color w:val="231F20"/>
          <w:w w:val="105"/>
        </w:rPr>
        <w:t>siguiente:</w:t>
      </w:r>
    </w:p>
    <w:p>
      <w:pPr>
        <w:pStyle w:val="BodyText"/>
        <w:rPr>
          <w:sz w:val="20"/>
        </w:rPr>
      </w:pPr>
    </w:p>
    <w:p>
      <w:pPr>
        <w:pStyle w:val="BodyText"/>
        <w:spacing w:before="7"/>
      </w:pPr>
    </w:p>
    <w:p>
      <w:pPr>
        <w:spacing w:line="254" w:lineRule="auto" w:before="0"/>
        <w:ind w:left="2857" w:right="1834" w:firstLine="0"/>
        <w:jc w:val="both"/>
        <w:rPr>
          <w:sz w:val="18"/>
        </w:rPr>
      </w:pPr>
      <w:r>
        <w:rPr>
          <w:color w:val="231F20"/>
          <w:sz w:val="18"/>
        </w:rPr>
        <w:t>-¿Usted recuerda cómo era la situación económica familiar durante la infancia y durante la adolescencia?, ¿hubo algún  cambio?</w:t>
      </w:r>
    </w:p>
    <w:p>
      <w:pPr>
        <w:spacing w:line="254" w:lineRule="auto" w:before="113"/>
        <w:ind w:left="2857" w:right="1829" w:firstLine="0"/>
        <w:jc w:val="both"/>
        <w:rPr>
          <w:sz w:val="18"/>
        </w:rPr>
      </w:pPr>
      <w:r>
        <w:rPr>
          <w:color w:val="231F20"/>
          <w:spacing w:val="-3"/>
          <w:sz w:val="18"/>
        </w:rPr>
        <w:t>Pues </w:t>
      </w:r>
      <w:r>
        <w:rPr>
          <w:color w:val="231F20"/>
          <w:sz w:val="18"/>
        </w:rPr>
        <w:t>no, no hubo cambio, éramos pobres. </w:t>
      </w:r>
      <w:r>
        <w:rPr>
          <w:color w:val="231F20"/>
          <w:spacing w:val="-3"/>
          <w:sz w:val="18"/>
        </w:rPr>
        <w:t>Porque </w:t>
      </w:r>
      <w:r>
        <w:rPr>
          <w:color w:val="231F20"/>
          <w:sz w:val="18"/>
        </w:rPr>
        <w:t>todavía me casé y seguíamos muy atrasados. Y ya después me dedicaba a puro campo,    a trabajar al campo. Después en el año 54 me fui a Estados Unidos a trabajar, en ese tiempo estaba uno contratado, tenía uno seguro y nos fuimos a la Pizca del Algodón, acá por </w:t>
      </w:r>
      <w:r>
        <w:rPr>
          <w:color w:val="231F20"/>
          <w:spacing w:val="-4"/>
          <w:sz w:val="18"/>
        </w:rPr>
        <w:t>Texas  </w:t>
      </w:r>
      <w:r>
        <w:rPr>
          <w:color w:val="231F20"/>
          <w:sz w:val="18"/>
        </w:rPr>
        <w:t>y después en el 55 volví    a</w:t>
      </w:r>
      <w:r>
        <w:rPr>
          <w:color w:val="231F20"/>
          <w:spacing w:val="24"/>
          <w:sz w:val="18"/>
        </w:rPr>
        <w:t> </w:t>
      </w:r>
      <w:r>
        <w:rPr>
          <w:color w:val="231F20"/>
          <w:spacing w:val="-3"/>
          <w:sz w:val="18"/>
        </w:rPr>
        <w:t>ir,</w:t>
      </w:r>
      <w:r>
        <w:rPr>
          <w:color w:val="231F20"/>
          <w:spacing w:val="17"/>
          <w:sz w:val="18"/>
        </w:rPr>
        <w:t> </w:t>
      </w:r>
      <w:r>
        <w:rPr>
          <w:color w:val="231F20"/>
          <w:sz w:val="18"/>
        </w:rPr>
        <w:t>estuvimos</w:t>
      </w:r>
      <w:r>
        <w:rPr>
          <w:color w:val="231F20"/>
          <w:spacing w:val="24"/>
          <w:sz w:val="18"/>
        </w:rPr>
        <w:t> </w:t>
      </w:r>
      <w:r>
        <w:rPr>
          <w:color w:val="231F20"/>
          <w:sz w:val="18"/>
        </w:rPr>
        <w:t>allá</w:t>
      </w:r>
      <w:r>
        <w:rPr>
          <w:color w:val="231F20"/>
          <w:spacing w:val="24"/>
          <w:sz w:val="18"/>
        </w:rPr>
        <w:t> </w:t>
      </w:r>
      <w:r>
        <w:rPr>
          <w:color w:val="231F20"/>
          <w:sz w:val="18"/>
        </w:rPr>
        <w:t>en</w:t>
      </w:r>
      <w:r>
        <w:rPr>
          <w:color w:val="231F20"/>
          <w:spacing w:val="24"/>
          <w:sz w:val="18"/>
        </w:rPr>
        <w:t> </w:t>
      </w:r>
      <w:r>
        <w:rPr>
          <w:color w:val="231F20"/>
          <w:sz w:val="18"/>
        </w:rPr>
        <w:t>California,</w:t>
      </w:r>
      <w:r>
        <w:rPr>
          <w:color w:val="231F20"/>
          <w:spacing w:val="17"/>
          <w:sz w:val="18"/>
        </w:rPr>
        <w:t> </w:t>
      </w:r>
      <w:r>
        <w:rPr>
          <w:color w:val="231F20"/>
          <w:sz w:val="18"/>
        </w:rPr>
        <w:t>en</w:t>
      </w:r>
      <w:r>
        <w:rPr>
          <w:color w:val="231F20"/>
          <w:spacing w:val="24"/>
          <w:sz w:val="18"/>
        </w:rPr>
        <w:t> </w:t>
      </w:r>
      <w:r>
        <w:rPr>
          <w:color w:val="231F20"/>
          <w:sz w:val="18"/>
        </w:rPr>
        <w:t>Sacramento</w:t>
      </w:r>
      <w:r>
        <w:rPr>
          <w:color w:val="231F20"/>
          <w:spacing w:val="24"/>
          <w:sz w:val="18"/>
        </w:rPr>
        <w:t> </w:t>
      </w:r>
      <w:r>
        <w:rPr>
          <w:color w:val="231F20"/>
          <w:sz w:val="18"/>
        </w:rPr>
        <w:t>y</w:t>
      </w:r>
      <w:r>
        <w:rPr>
          <w:color w:val="231F20"/>
          <w:spacing w:val="24"/>
          <w:sz w:val="18"/>
        </w:rPr>
        <w:t> </w:t>
      </w:r>
      <w:r>
        <w:rPr>
          <w:color w:val="231F20"/>
          <w:sz w:val="18"/>
        </w:rPr>
        <w:t>empezó</w:t>
      </w:r>
      <w:r>
        <w:rPr>
          <w:color w:val="231F20"/>
          <w:spacing w:val="24"/>
          <w:sz w:val="18"/>
        </w:rPr>
        <w:t> </w:t>
      </w:r>
      <w:r>
        <w:rPr>
          <w:color w:val="231F20"/>
          <w:sz w:val="18"/>
        </w:rPr>
        <w:t>a</w:t>
      </w:r>
      <w:r>
        <w:rPr>
          <w:color w:val="231F20"/>
          <w:spacing w:val="24"/>
          <w:sz w:val="18"/>
        </w:rPr>
        <w:t> </w:t>
      </w:r>
      <w:r>
        <w:rPr>
          <w:color w:val="231F20"/>
          <w:sz w:val="18"/>
        </w:rPr>
        <w:t>cambiar</w:t>
      </w:r>
    </w:p>
    <w:p>
      <w:pPr>
        <w:pStyle w:val="BodyText"/>
        <w:rPr>
          <w:sz w:val="20"/>
        </w:rPr>
      </w:pPr>
    </w:p>
    <w:p>
      <w:pPr>
        <w:pStyle w:val="BodyText"/>
        <w:rPr>
          <w:sz w:val="20"/>
        </w:rPr>
      </w:pPr>
    </w:p>
    <w:p>
      <w:pPr>
        <w:pStyle w:val="BodyText"/>
        <w:spacing w:before="1"/>
        <w:rPr>
          <w:sz w:val="22"/>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51552" from="131.551193pt,3.753715pt" to="131.551193pt,39.556114pt" stroked="true" strokeweight=".35pt" strokecolor="#231f20">
            <w10:wrap type="none"/>
          </v:line>
        </w:pict>
      </w:r>
      <w:r>
        <w:rPr/>
        <w:pict>
          <v:line style="position:absolute;mso-position-horizontal-relative:page;mso-position-vertical-relative:paragraph;z-index:-451480" from="15pt,39.555916pt" to="0pt,39.555916pt" stroked="true" strokeweight=".25pt" strokecolor="#000000">
            <w10:wrap type="none"/>
          </v:line>
        </w:pict>
      </w:r>
      <w:r>
        <w:rPr/>
        <w:pict>
          <v:line style="position:absolute;mso-position-horizontal-relative:page;mso-position-vertical-relative:paragraph;z-index:38728" from="508.890015pt,39.555916pt" to="523.890015pt,39.555916pt" stroked="true" strokeweight=".25pt" strokecolor="#000000">
            <w10:wrap type="none"/>
          </v:line>
        </w:pict>
      </w:r>
      <w:r>
        <w:rPr>
          <w:rFonts w:ascii="Arial" w:hAnsi="Arial"/>
          <w:color w:val="414042"/>
          <w:position w:val="-5"/>
          <w:sz w:val="20"/>
        </w:rPr>
        <w:t>320</w:t>
        <w:tab/>
      </w:r>
      <w:r>
        <w:rPr>
          <w:rFonts w:ascii="Calibri" w:hAnsi="Calibri"/>
          <w:color w:val="6D6E71"/>
          <w:sz w:val="15"/>
        </w:rPr>
        <w:t>Zoraida Ronzón Hernández, Norma Baca </w:t>
      </w:r>
      <w:r>
        <w:rPr>
          <w:rFonts w:ascii="Calibri" w:hAnsi="Calibri"/>
          <w:color w:val="6D6E71"/>
          <w:spacing w:val="-2"/>
          <w:sz w:val="15"/>
        </w:rPr>
        <w:t>Tavira </w:t>
      </w:r>
      <w:r>
        <w:rPr>
          <w:rFonts w:ascii="Calibri" w:hAnsi="Calibri"/>
          <w:color w:val="6D6E71"/>
          <w:sz w:val="15"/>
        </w:rPr>
        <w:t>y Patricia Román  </w:t>
      </w:r>
      <w:r>
        <w:rPr>
          <w:rFonts w:ascii="Calibri" w:hAnsi="Calibri"/>
          <w:color w:val="6D6E71"/>
          <w:spacing w:val="24"/>
          <w:sz w:val="15"/>
        </w:rPr>
        <w:t> </w:t>
      </w:r>
      <w:r>
        <w:rPr>
          <w:rFonts w:ascii="Calibri" w:hAnsi="Calibri"/>
          <w:color w:val="6D6E71"/>
          <w:sz w:val="15"/>
        </w:rPr>
        <w:t>Reyes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hAnsi="Lucida Sans Unicode"/>
          <w:sz w:val="14"/>
        </w:rPr>
      </w:pPr>
      <w:r>
        <w:rPr/>
        <w:pict>
          <v:line style="position:absolute;mso-position-horizontal-relative:page;mso-position-vertical-relative:paragraph;z-index:38752" from="405.061005pt,-27.904295pt" to="405.061005pt,6.961579pt" stroked="true" strokeweight=".35pt" strokecolor="#231f20">
            <w10:wrap type="none"/>
          </v:line>
        </w:pict>
      </w:r>
      <w:r>
        <w:rPr/>
        <w:pict>
          <v:line style="position:absolute;mso-position-horizontal-relative:page;mso-position-vertical-relative:paragraph;z-index:38776" from="15pt,-27.90452pt" to="0pt,-27.90452pt" stroked="true" strokeweight=".25pt" strokecolor="#000000">
            <w10:wrap type="none"/>
          </v:line>
        </w:pict>
      </w:r>
      <w:r>
        <w:rPr/>
        <w:pict>
          <v:line style="position:absolute;mso-position-horizontal-relative:page;mso-position-vertical-relative:paragraph;z-index:38800" from="508.890015pt,-27.90452pt" to="523.890015pt,-27.90452pt" stroked="true" strokeweight=".25pt" strokecolor="#000000">
            <w10:wrap type="none"/>
          </v:line>
        </w:pict>
      </w:r>
      <w:r>
        <w:rPr>
          <w:rFonts w:ascii="Lucida Sans Unicode" w:hAnsi="Lucida Sans Unicode"/>
          <w:color w:val="6D6E71"/>
          <w:w w:val="90"/>
          <w:sz w:val="14"/>
        </w:rPr>
        <w:t>MIGRACIÓN INTERGENERACIONAL EN EL ESTADO DE MÉXICO.</w:t>
      </w:r>
    </w:p>
    <w:p>
      <w:pPr>
        <w:spacing w:line="198" w:lineRule="exact" w:before="0"/>
        <w:ind w:left="0" w:right="0" w:firstLine="0"/>
        <w:jc w:val="right"/>
        <w:rPr>
          <w:rFonts w:ascii="Lucida Sans Unicode" w:hAnsi="Lucida Sans Unicode"/>
          <w:sz w:val="14"/>
        </w:rPr>
      </w:pPr>
      <w:r>
        <w:rPr>
          <w:rFonts w:ascii="Lucida Sans Unicode" w:hAnsi="Lucida Sans Unicode"/>
          <w:color w:val="6D6E71"/>
          <w:w w:val="90"/>
          <w:sz w:val="14"/>
        </w:rPr>
        <w:t>LA BÚSQUEDA DE MOVILIDAD SOCIAL</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321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9"/>
        <w:rPr>
          <w:rFonts w:ascii="Arial"/>
          <w:sz w:val="15"/>
        </w:rPr>
      </w:pPr>
    </w:p>
    <w:p>
      <w:pPr>
        <w:spacing w:line="254" w:lineRule="auto" w:before="66"/>
        <w:ind w:left="2971" w:right="1721" w:firstLine="0"/>
        <w:jc w:val="both"/>
        <w:rPr>
          <w:sz w:val="18"/>
        </w:rPr>
      </w:pPr>
      <w:r>
        <w:rPr>
          <w:color w:val="231F20"/>
          <w:sz w:val="18"/>
        </w:rPr>
        <w:t>tantito mi vida, y ya de ahí teníamos animalitos, y luego mis suegros se vinieron para acá y tenía yo unos animales, ya los vendí para comprar aquí este terrenito” (Jvn,  2013).</w:t>
      </w:r>
    </w:p>
    <w:p>
      <w:pPr>
        <w:pStyle w:val="BodyText"/>
        <w:spacing w:before="5"/>
      </w:pPr>
    </w:p>
    <w:p>
      <w:pPr>
        <w:pStyle w:val="BodyText"/>
        <w:spacing w:line="261" w:lineRule="auto"/>
        <w:ind w:left="1837" w:right="1721"/>
        <w:jc w:val="both"/>
      </w:pPr>
      <w:r>
        <w:rPr>
          <w:color w:val="231F20"/>
          <w:w w:val="105"/>
        </w:rPr>
        <w:t>De</w:t>
      </w:r>
      <w:r>
        <w:rPr>
          <w:color w:val="231F20"/>
          <w:spacing w:val="-18"/>
          <w:w w:val="105"/>
        </w:rPr>
        <w:t> </w:t>
      </w:r>
      <w:r>
        <w:rPr>
          <w:color w:val="231F20"/>
          <w:w w:val="105"/>
        </w:rPr>
        <w:t>inicio</w:t>
      </w:r>
      <w:r>
        <w:rPr>
          <w:color w:val="231F20"/>
          <w:spacing w:val="-18"/>
          <w:w w:val="105"/>
        </w:rPr>
        <w:t> </w:t>
      </w:r>
      <w:r>
        <w:rPr>
          <w:color w:val="231F20"/>
          <w:w w:val="105"/>
        </w:rPr>
        <w:t>los</w:t>
      </w:r>
      <w:r>
        <w:rPr>
          <w:color w:val="231F20"/>
          <w:spacing w:val="-18"/>
          <w:w w:val="105"/>
        </w:rPr>
        <w:t> </w:t>
      </w:r>
      <w:r>
        <w:rPr>
          <w:color w:val="231F20"/>
          <w:w w:val="105"/>
        </w:rPr>
        <w:t>motivos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migrantes</w:t>
      </w:r>
      <w:r>
        <w:rPr>
          <w:color w:val="231F20"/>
          <w:spacing w:val="-18"/>
          <w:w w:val="105"/>
        </w:rPr>
        <w:t> </w:t>
      </w:r>
      <w:r>
        <w:rPr>
          <w:color w:val="231F20"/>
          <w:w w:val="105"/>
        </w:rPr>
        <w:t>padres</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color w:val="231F20"/>
          <w:w w:val="105"/>
        </w:rPr>
        <w:t>familia</w:t>
      </w:r>
      <w:r>
        <w:rPr>
          <w:color w:val="231F20"/>
          <w:spacing w:val="-18"/>
          <w:w w:val="105"/>
        </w:rPr>
        <w:t> </w:t>
      </w:r>
      <w:r>
        <w:rPr>
          <w:color w:val="231F20"/>
          <w:w w:val="105"/>
        </w:rPr>
        <w:t>parte</w:t>
      </w:r>
      <w:r>
        <w:rPr>
          <w:color w:val="231F20"/>
          <w:spacing w:val="-18"/>
          <w:w w:val="105"/>
        </w:rPr>
        <w:t> </w:t>
      </w:r>
      <w:r>
        <w:rPr>
          <w:color w:val="231F20"/>
          <w:w w:val="105"/>
        </w:rPr>
        <w:t>de</w:t>
      </w:r>
      <w:r>
        <w:rPr>
          <w:color w:val="231F20"/>
          <w:spacing w:val="-18"/>
          <w:w w:val="105"/>
        </w:rPr>
        <w:t> </w:t>
      </w:r>
      <w:r>
        <w:rPr>
          <w:color w:val="231F20"/>
          <w:w w:val="105"/>
        </w:rPr>
        <w:t>una premisa,</w:t>
      </w:r>
      <w:r>
        <w:rPr>
          <w:color w:val="231F20"/>
          <w:spacing w:val="-33"/>
          <w:w w:val="105"/>
        </w:rPr>
        <w:t> </w:t>
      </w:r>
      <w:r>
        <w:rPr>
          <w:color w:val="231F20"/>
          <w:w w:val="105"/>
        </w:rPr>
        <w:t>quizás,</w:t>
      </w:r>
      <w:r>
        <w:rPr>
          <w:color w:val="231F20"/>
          <w:spacing w:val="-33"/>
          <w:w w:val="105"/>
        </w:rPr>
        <w:t> </w:t>
      </w:r>
      <w:r>
        <w:rPr>
          <w:color w:val="231F20"/>
          <w:w w:val="105"/>
        </w:rPr>
        <w:t>universal:</w:t>
      </w:r>
      <w:r>
        <w:rPr>
          <w:color w:val="231F20"/>
          <w:spacing w:val="-29"/>
          <w:w w:val="105"/>
        </w:rPr>
        <w:t> </w:t>
      </w:r>
      <w:r>
        <w:rPr>
          <w:color w:val="231F20"/>
          <w:w w:val="105"/>
        </w:rPr>
        <w:t>todos</w:t>
      </w:r>
      <w:r>
        <w:rPr>
          <w:color w:val="231F20"/>
          <w:spacing w:val="-29"/>
          <w:w w:val="105"/>
        </w:rPr>
        <w:t> </w:t>
      </w:r>
      <w:r>
        <w:rPr>
          <w:color w:val="231F20"/>
          <w:w w:val="105"/>
        </w:rPr>
        <w:t>los</w:t>
      </w:r>
      <w:r>
        <w:rPr>
          <w:color w:val="231F20"/>
          <w:spacing w:val="-29"/>
          <w:w w:val="105"/>
        </w:rPr>
        <w:t> </w:t>
      </w:r>
      <w:r>
        <w:rPr>
          <w:color w:val="231F20"/>
          <w:w w:val="105"/>
        </w:rPr>
        <w:t>padres</w:t>
      </w:r>
      <w:r>
        <w:rPr>
          <w:color w:val="231F20"/>
          <w:spacing w:val="-29"/>
          <w:w w:val="105"/>
        </w:rPr>
        <w:t> </w:t>
      </w:r>
      <w:r>
        <w:rPr>
          <w:color w:val="231F20"/>
          <w:w w:val="105"/>
        </w:rPr>
        <w:t>sueñan</w:t>
      </w:r>
      <w:r>
        <w:rPr>
          <w:color w:val="231F20"/>
          <w:spacing w:val="-29"/>
          <w:w w:val="105"/>
        </w:rPr>
        <w:t> </w:t>
      </w:r>
      <w:r>
        <w:rPr>
          <w:color w:val="231F20"/>
          <w:w w:val="105"/>
        </w:rPr>
        <w:t>con</w:t>
      </w:r>
      <w:r>
        <w:rPr>
          <w:color w:val="231F20"/>
          <w:spacing w:val="-29"/>
          <w:w w:val="105"/>
        </w:rPr>
        <w:t> </w:t>
      </w:r>
      <w:r>
        <w:rPr>
          <w:color w:val="231F20"/>
          <w:w w:val="105"/>
        </w:rPr>
        <w:t>darles</w:t>
      </w:r>
      <w:r>
        <w:rPr>
          <w:color w:val="231F20"/>
          <w:spacing w:val="-29"/>
          <w:w w:val="105"/>
        </w:rPr>
        <w:t> </w:t>
      </w:r>
      <w:r>
        <w:rPr>
          <w:color w:val="231F20"/>
          <w:w w:val="105"/>
        </w:rPr>
        <w:t>a</w:t>
      </w:r>
      <w:r>
        <w:rPr>
          <w:color w:val="231F20"/>
          <w:spacing w:val="-29"/>
          <w:w w:val="105"/>
        </w:rPr>
        <w:t> </w:t>
      </w:r>
      <w:r>
        <w:rPr>
          <w:color w:val="231F20"/>
          <w:w w:val="105"/>
        </w:rPr>
        <w:t>sus</w:t>
      </w:r>
      <w:r>
        <w:rPr>
          <w:color w:val="231F20"/>
          <w:spacing w:val="-29"/>
          <w:w w:val="105"/>
        </w:rPr>
        <w:t> </w:t>
      </w:r>
      <w:r>
        <w:rPr>
          <w:color w:val="231F20"/>
          <w:w w:val="105"/>
        </w:rPr>
        <w:t>hijos una</w:t>
      </w:r>
      <w:r>
        <w:rPr>
          <w:color w:val="231F20"/>
          <w:spacing w:val="-19"/>
          <w:w w:val="105"/>
        </w:rPr>
        <w:t> </w:t>
      </w:r>
      <w:r>
        <w:rPr>
          <w:color w:val="231F20"/>
          <w:w w:val="105"/>
        </w:rPr>
        <w:t>vida</w:t>
      </w:r>
      <w:r>
        <w:rPr>
          <w:color w:val="231F20"/>
          <w:spacing w:val="-19"/>
          <w:w w:val="105"/>
        </w:rPr>
        <w:t> </w:t>
      </w:r>
      <w:r>
        <w:rPr>
          <w:color w:val="231F20"/>
          <w:w w:val="105"/>
        </w:rPr>
        <w:t>mejor</w:t>
      </w:r>
      <w:r>
        <w:rPr>
          <w:color w:val="231F20"/>
          <w:spacing w:val="-19"/>
          <w:w w:val="105"/>
        </w:rPr>
        <w:t> </w:t>
      </w:r>
      <w:r>
        <w:rPr>
          <w:color w:val="231F20"/>
          <w:w w:val="105"/>
        </w:rPr>
        <w:t>que</w:t>
      </w:r>
      <w:r>
        <w:rPr>
          <w:color w:val="231F20"/>
          <w:spacing w:val="-19"/>
          <w:w w:val="105"/>
        </w:rPr>
        <w:t> </w:t>
      </w:r>
      <w:r>
        <w:rPr>
          <w:color w:val="231F20"/>
          <w:w w:val="105"/>
        </w:rPr>
        <w:t>la</w:t>
      </w:r>
      <w:r>
        <w:rPr>
          <w:color w:val="231F20"/>
          <w:spacing w:val="-19"/>
          <w:w w:val="105"/>
        </w:rPr>
        <w:t> </w:t>
      </w:r>
      <w:r>
        <w:rPr>
          <w:color w:val="231F20"/>
          <w:w w:val="105"/>
        </w:rPr>
        <w:t>que</w:t>
      </w:r>
      <w:r>
        <w:rPr>
          <w:color w:val="231F20"/>
          <w:spacing w:val="-19"/>
          <w:w w:val="105"/>
        </w:rPr>
        <w:t> </w:t>
      </w:r>
      <w:r>
        <w:rPr>
          <w:color w:val="231F20"/>
          <w:w w:val="105"/>
        </w:rPr>
        <w:t>ellos</w:t>
      </w:r>
      <w:r>
        <w:rPr>
          <w:color w:val="231F20"/>
          <w:spacing w:val="-19"/>
          <w:w w:val="105"/>
        </w:rPr>
        <w:t> </w:t>
      </w:r>
      <w:r>
        <w:rPr>
          <w:color w:val="231F20"/>
          <w:w w:val="105"/>
        </w:rPr>
        <w:t>tuvieron,</w:t>
      </w:r>
      <w:r>
        <w:rPr>
          <w:color w:val="231F20"/>
          <w:spacing w:val="-25"/>
          <w:w w:val="105"/>
        </w:rPr>
        <w:t> </w:t>
      </w:r>
      <w:r>
        <w:rPr>
          <w:color w:val="231F20"/>
          <w:w w:val="105"/>
        </w:rPr>
        <w:t>y</w:t>
      </w:r>
      <w:r>
        <w:rPr>
          <w:color w:val="231F20"/>
          <w:spacing w:val="-19"/>
          <w:w w:val="105"/>
        </w:rPr>
        <w:t> </w:t>
      </w:r>
      <w:r>
        <w:rPr>
          <w:color w:val="231F20"/>
          <w:w w:val="105"/>
        </w:rPr>
        <w:t>si</w:t>
      </w:r>
      <w:r>
        <w:rPr>
          <w:color w:val="231F20"/>
          <w:spacing w:val="-19"/>
          <w:w w:val="105"/>
        </w:rPr>
        <w:t> </w:t>
      </w:r>
      <w:r>
        <w:rPr>
          <w:color w:val="231F20"/>
          <w:w w:val="105"/>
        </w:rPr>
        <w:t>eso</w:t>
      </w:r>
      <w:r>
        <w:rPr>
          <w:color w:val="231F20"/>
          <w:spacing w:val="-19"/>
          <w:w w:val="105"/>
        </w:rPr>
        <w:t> </w:t>
      </w:r>
      <w:r>
        <w:rPr>
          <w:color w:val="231F20"/>
          <w:w w:val="105"/>
        </w:rPr>
        <w:t>implica</w:t>
      </w:r>
      <w:r>
        <w:rPr>
          <w:color w:val="231F20"/>
          <w:spacing w:val="-19"/>
          <w:w w:val="105"/>
        </w:rPr>
        <w:t> </w:t>
      </w:r>
      <w:r>
        <w:rPr>
          <w:color w:val="231F20"/>
          <w:w w:val="105"/>
        </w:rPr>
        <w:t>no</w:t>
      </w:r>
      <w:r>
        <w:rPr>
          <w:color w:val="231F20"/>
          <w:spacing w:val="-19"/>
          <w:w w:val="105"/>
        </w:rPr>
        <w:t> </w:t>
      </w:r>
      <w:r>
        <w:rPr>
          <w:color w:val="231F20"/>
          <w:w w:val="105"/>
        </w:rPr>
        <w:t>ser</w:t>
      </w:r>
      <w:r>
        <w:rPr>
          <w:color w:val="231F20"/>
          <w:spacing w:val="-19"/>
          <w:w w:val="105"/>
        </w:rPr>
        <w:t> </w:t>
      </w:r>
      <w:r>
        <w:rPr>
          <w:color w:val="231F20"/>
          <w:w w:val="105"/>
        </w:rPr>
        <w:t>felices,</w:t>
      </w:r>
      <w:r>
        <w:rPr>
          <w:color w:val="231F20"/>
          <w:spacing w:val="-25"/>
          <w:w w:val="105"/>
        </w:rPr>
        <w:t> </w:t>
      </w:r>
      <w:r>
        <w:rPr>
          <w:color w:val="231F20"/>
          <w:w w:val="105"/>
        </w:rPr>
        <w:t>es probable</w:t>
      </w:r>
      <w:r>
        <w:rPr>
          <w:color w:val="231F20"/>
          <w:spacing w:val="-7"/>
          <w:w w:val="105"/>
        </w:rPr>
        <w:t> </w:t>
      </w:r>
      <w:r>
        <w:rPr>
          <w:color w:val="231F20"/>
          <w:w w:val="105"/>
        </w:rPr>
        <w:t>que</w:t>
      </w:r>
      <w:r>
        <w:rPr>
          <w:color w:val="231F20"/>
          <w:spacing w:val="-7"/>
          <w:w w:val="105"/>
        </w:rPr>
        <w:t> </w:t>
      </w:r>
      <w:r>
        <w:rPr>
          <w:color w:val="231F20"/>
          <w:w w:val="105"/>
        </w:rPr>
        <w:t>lo</w:t>
      </w:r>
      <w:r>
        <w:rPr>
          <w:color w:val="231F20"/>
          <w:spacing w:val="-7"/>
          <w:w w:val="105"/>
        </w:rPr>
        <w:t> </w:t>
      </w:r>
      <w:r>
        <w:rPr>
          <w:color w:val="231F20"/>
          <w:w w:val="105"/>
        </w:rPr>
        <w:t>asuman</w:t>
      </w:r>
      <w:r>
        <w:rPr>
          <w:color w:val="231F20"/>
          <w:spacing w:val="-7"/>
          <w:w w:val="105"/>
        </w:rPr>
        <w:t> </w:t>
      </w:r>
      <w:r>
        <w:rPr>
          <w:color w:val="231F20"/>
          <w:w w:val="105"/>
        </w:rPr>
        <w:t>como</w:t>
      </w:r>
      <w:r>
        <w:rPr>
          <w:color w:val="231F20"/>
          <w:spacing w:val="-7"/>
          <w:w w:val="105"/>
        </w:rPr>
        <w:t> </w:t>
      </w:r>
      <w:r>
        <w:rPr>
          <w:color w:val="231F20"/>
          <w:w w:val="105"/>
        </w:rPr>
        <w:t>un</w:t>
      </w:r>
      <w:r>
        <w:rPr>
          <w:color w:val="231F20"/>
          <w:spacing w:val="-7"/>
          <w:w w:val="105"/>
        </w:rPr>
        <w:t> </w:t>
      </w:r>
      <w:r>
        <w:rPr>
          <w:color w:val="231F20"/>
          <w:w w:val="105"/>
        </w:rPr>
        <w:t>deber</w:t>
      </w:r>
      <w:r>
        <w:rPr>
          <w:color w:val="231F20"/>
          <w:spacing w:val="-7"/>
          <w:w w:val="105"/>
        </w:rPr>
        <w:t> </w:t>
      </w:r>
      <w:r>
        <w:rPr>
          <w:color w:val="231F20"/>
          <w:w w:val="105"/>
        </w:rPr>
        <w:t>de</w:t>
      </w:r>
      <w:r>
        <w:rPr>
          <w:color w:val="231F20"/>
          <w:spacing w:val="-7"/>
          <w:w w:val="105"/>
        </w:rPr>
        <w:t> </w:t>
      </w:r>
      <w:r>
        <w:rPr>
          <w:color w:val="231F20"/>
          <w:w w:val="105"/>
        </w:rPr>
        <w:t>padre,</w:t>
      </w:r>
      <w:r>
        <w:rPr>
          <w:color w:val="231F20"/>
          <w:spacing w:val="-13"/>
          <w:w w:val="105"/>
        </w:rPr>
        <w:t> </w:t>
      </w:r>
      <w:r>
        <w:rPr>
          <w:color w:val="231F20"/>
          <w:w w:val="105"/>
        </w:rPr>
        <w:t>particularmente</w:t>
      </w:r>
      <w:r>
        <w:rPr>
          <w:color w:val="231F20"/>
          <w:spacing w:val="-7"/>
          <w:w w:val="105"/>
        </w:rPr>
        <w:t> </w:t>
      </w:r>
      <w:r>
        <w:rPr>
          <w:color w:val="231F20"/>
          <w:w w:val="105"/>
        </w:rPr>
        <w:t>en</w:t>
      </w:r>
      <w:r>
        <w:rPr>
          <w:color w:val="231F20"/>
          <w:spacing w:val="-7"/>
          <w:w w:val="105"/>
        </w:rPr>
        <w:t> </w:t>
      </w:r>
      <w:r>
        <w:rPr>
          <w:color w:val="231F20"/>
          <w:w w:val="105"/>
        </w:rPr>
        <w:t>la cultura</w:t>
      </w:r>
      <w:r>
        <w:rPr>
          <w:color w:val="231F20"/>
          <w:spacing w:val="-18"/>
          <w:w w:val="105"/>
        </w:rPr>
        <w:t> </w:t>
      </w:r>
      <w:r>
        <w:rPr>
          <w:color w:val="231F20"/>
          <w:w w:val="105"/>
        </w:rPr>
        <w:t>mexicana,</w:t>
      </w:r>
      <w:r>
        <w:rPr>
          <w:color w:val="231F20"/>
          <w:spacing w:val="-22"/>
          <w:w w:val="105"/>
        </w:rPr>
        <w:t> </w:t>
      </w:r>
      <w:r>
        <w:rPr>
          <w:color w:val="231F20"/>
          <w:w w:val="105"/>
        </w:rPr>
        <w:t>Mazurek</w:t>
      </w:r>
      <w:r>
        <w:rPr>
          <w:color w:val="231F20"/>
          <w:spacing w:val="-18"/>
          <w:w w:val="105"/>
        </w:rPr>
        <w:t> </w:t>
      </w:r>
      <w:r>
        <w:rPr>
          <w:color w:val="231F20"/>
          <w:w w:val="105"/>
        </w:rPr>
        <w:t>afirma</w:t>
      </w:r>
      <w:r>
        <w:rPr>
          <w:color w:val="231F20"/>
          <w:spacing w:val="-18"/>
          <w:w w:val="105"/>
        </w:rPr>
        <w:t> </w:t>
      </w:r>
      <w:r>
        <w:rPr>
          <w:color w:val="231F20"/>
          <w:w w:val="105"/>
        </w:rPr>
        <w:t>que</w:t>
      </w:r>
      <w:r>
        <w:rPr>
          <w:color w:val="231F20"/>
          <w:spacing w:val="-18"/>
          <w:w w:val="105"/>
        </w:rPr>
        <w:t> </w:t>
      </w:r>
      <w:r>
        <w:rPr>
          <w:color w:val="231F20"/>
          <w:w w:val="105"/>
        </w:rPr>
        <w:t>entre</w:t>
      </w:r>
      <w:r>
        <w:rPr>
          <w:color w:val="231F20"/>
          <w:spacing w:val="-18"/>
          <w:w w:val="105"/>
        </w:rPr>
        <w:t> </w:t>
      </w:r>
      <w:r>
        <w:rPr>
          <w:color w:val="231F20"/>
          <w:w w:val="105"/>
        </w:rPr>
        <w:t>los</w:t>
      </w:r>
      <w:r>
        <w:rPr>
          <w:color w:val="231F20"/>
          <w:spacing w:val="-18"/>
          <w:w w:val="105"/>
        </w:rPr>
        <w:t> </w:t>
      </w:r>
      <w:r>
        <w:rPr>
          <w:color w:val="231F20"/>
          <w:w w:val="105"/>
        </w:rPr>
        <w:t>factores</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personas sobre</w:t>
      </w:r>
      <w:r>
        <w:rPr>
          <w:color w:val="231F20"/>
          <w:spacing w:val="-19"/>
          <w:w w:val="105"/>
        </w:rPr>
        <w:t> </w:t>
      </w:r>
      <w:r>
        <w:rPr>
          <w:color w:val="231F20"/>
          <w:w w:val="105"/>
        </w:rPr>
        <w:t>migrar</w:t>
      </w:r>
      <w:r>
        <w:rPr>
          <w:color w:val="231F20"/>
          <w:spacing w:val="-19"/>
          <w:w w:val="105"/>
        </w:rPr>
        <w:t> </w:t>
      </w:r>
      <w:r>
        <w:rPr>
          <w:color w:val="231F20"/>
          <w:w w:val="105"/>
        </w:rPr>
        <w:t>se</w:t>
      </w:r>
      <w:r>
        <w:rPr>
          <w:color w:val="231F20"/>
          <w:spacing w:val="-19"/>
          <w:w w:val="105"/>
        </w:rPr>
        <w:t> </w:t>
      </w:r>
      <w:r>
        <w:rPr>
          <w:color w:val="231F20"/>
          <w:w w:val="105"/>
        </w:rPr>
        <w:t>encuentran:</w:t>
      </w:r>
    </w:p>
    <w:p>
      <w:pPr>
        <w:pStyle w:val="BodyText"/>
        <w:rPr>
          <w:sz w:val="23"/>
        </w:rPr>
      </w:pPr>
    </w:p>
    <w:p>
      <w:pPr>
        <w:pStyle w:val="ListParagraph"/>
        <w:numPr>
          <w:ilvl w:val="0"/>
          <w:numId w:val="8"/>
        </w:numPr>
        <w:tabs>
          <w:tab w:pos="3047" w:val="left" w:leader="none"/>
          <w:tab w:pos="3048" w:val="left" w:leader="none"/>
        </w:tabs>
        <w:spacing w:line="261" w:lineRule="auto" w:before="0" w:after="0"/>
        <w:ind w:left="3047" w:right="1721" w:hanging="360"/>
        <w:jc w:val="left"/>
        <w:rPr>
          <w:sz w:val="21"/>
        </w:rPr>
      </w:pPr>
      <w:r>
        <w:rPr>
          <w:color w:val="231F20"/>
          <w:w w:val="105"/>
          <w:sz w:val="21"/>
        </w:rPr>
        <w:t>La importancia del núcleo familiar y de la solidaridad fami- liar y</w:t>
      </w:r>
      <w:r>
        <w:rPr>
          <w:color w:val="231F20"/>
          <w:spacing w:val="-32"/>
          <w:w w:val="105"/>
          <w:sz w:val="21"/>
        </w:rPr>
        <w:t> </w:t>
      </w:r>
      <w:r>
        <w:rPr>
          <w:color w:val="231F20"/>
          <w:w w:val="105"/>
          <w:sz w:val="21"/>
        </w:rPr>
        <w:t>comunitaria;</w:t>
      </w:r>
    </w:p>
    <w:p>
      <w:pPr>
        <w:pStyle w:val="ListParagraph"/>
        <w:numPr>
          <w:ilvl w:val="0"/>
          <w:numId w:val="8"/>
        </w:numPr>
        <w:tabs>
          <w:tab w:pos="3098" w:val="left" w:leader="none"/>
          <w:tab w:pos="3099" w:val="left" w:leader="none"/>
        </w:tabs>
        <w:spacing w:line="240" w:lineRule="auto" w:before="171" w:after="0"/>
        <w:ind w:left="3098" w:right="0" w:hanging="411"/>
        <w:jc w:val="left"/>
        <w:rPr>
          <w:sz w:val="21"/>
        </w:rPr>
      </w:pPr>
      <w:r>
        <w:rPr>
          <w:color w:val="231F20"/>
          <w:w w:val="105"/>
          <w:sz w:val="21"/>
        </w:rPr>
        <w:t>La</w:t>
      </w:r>
      <w:r>
        <w:rPr>
          <w:color w:val="231F20"/>
          <w:spacing w:val="-11"/>
          <w:w w:val="105"/>
          <w:sz w:val="21"/>
        </w:rPr>
        <w:t> </w:t>
      </w:r>
      <w:r>
        <w:rPr>
          <w:color w:val="231F20"/>
          <w:w w:val="105"/>
          <w:sz w:val="21"/>
        </w:rPr>
        <w:t>importancia</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lo</w:t>
      </w:r>
      <w:r>
        <w:rPr>
          <w:color w:val="231F20"/>
          <w:spacing w:val="-11"/>
          <w:w w:val="105"/>
          <w:sz w:val="21"/>
        </w:rPr>
        <w:t> </w:t>
      </w:r>
      <w:r>
        <w:rPr>
          <w:color w:val="231F20"/>
          <w:w w:val="105"/>
          <w:sz w:val="21"/>
        </w:rPr>
        <w:t>imaginario</w:t>
      </w:r>
      <w:r>
        <w:rPr>
          <w:color w:val="231F20"/>
          <w:spacing w:val="-11"/>
          <w:w w:val="105"/>
          <w:sz w:val="21"/>
        </w:rPr>
        <w:t> </w:t>
      </w:r>
      <w:r>
        <w:rPr>
          <w:color w:val="231F20"/>
          <w:w w:val="105"/>
          <w:sz w:val="21"/>
        </w:rPr>
        <w:t>en</w:t>
      </w:r>
      <w:r>
        <w:rPr>
          <w:color w:val="231F20"/>
          <w:spacing w:val="-11"/>
          <w:w w:val="105"/>
          <w:sz w:val="21"/>
        </w:rPr>
        <w:t> </w:t>
      </w:r>
      <w:r>
        <w:rPr>
          <w:color w:val="231F20"/>
          <w:w w:val="105"/>
          <w:sz w:val="21"/>
        </w:rPr>
        <w:t>relación</w:t>
      </w:r>
      <w:r>
        <w:rPr>
          <w:color w:val="231F20"/>
          <w:spacing w:val="-11"/>
          <w:w w:val="105"/>
          <w:sz w:val="21"/>
        </w:rPr>
        <w:t> </w:t>
      </w:r>
      <w:r>
        <w:rPr>
          <w:color w:val="231F20"/>
          <w:w w:val="105"/>
          <w:sz w:val="21"/>
        </w:rPr>
        <w:t>al</w:t>
      </w:r>
      <w:r>
        <w:rPr>
          <w:color w:val="231F20"/>
          <w:spacing w:val="-11"/>
          <w:w w:val="105"/>
          <w:sz w:val="21"/>
        </w:rPr>
        <w:t> </w:t>
      </w:r>
      <w:r>
        <w:rPr>
          <w:color w:val="231F20"/>
          <w:w w:val="105"/>
          <w:sz w:val="21"/>
        </w:rPr>
        <w:t>otro</w:t>
      </w:r>
      <w:r>
        <w:rPr>
          <w:color w:val="231F20"/>
          <w:spacing w:val="-11"/>
          <w:w w:val="105"/>
          <w:sz w:val="21"/>
        </w:rPr>
        <w:t> </w:t>
      </w:r>
      <w:r>
        <w:rPr>
          <w:color w:val="231F20"/>
          <w:w w:val="105"/>
          <w:sz w:val="21"/>
        </w:rPr>
        <w:t>espacio;</w:t>
      </w:r>
    </w:p>
    <w:p>
      <w:pPr>
        <w:pStyle w:val="BodyText"/>
        <w:spacing w:before="11"/>
        <w:rPr>
          <w:sz w:val="16"/>
        </w:rPr>
      </w:pPr>
    </w:p>
    <w:p>
      <w:pPr>
        <w:pStyle w:val="ListParagraph"/>
        <w:numPr>
          <w:ilvl w:val="0"/>
          <w:numId w:val="8"/>
        </w:numPr>
        <w:tabs>
          <w:tab w:pos="3047" w:val="left" w:leader="none"/>
          <w:tab w:pos="3048" w:val="left" w:leader="none"/>
        </w:tabs>
        <w:spacing w:line="261" w:lineRule="auto" w:before="0" w:after="0"/>
        <w:ind w:left="3047" w:right="1721" w:hanging="360"/>
        <w:jc w:val="left"/>
        <w:rPr>
          <w:sz w:val="21"/>
        </w:rPr>
      </w:pPr>
      <w:r>
        <w:rPr>
          <w:color w:val="231F20"/>
          <w:w w:val="105"/>
          <w:sz w:val="21"/>
        </w:rPr>
        <w:t>La</w:t>
      </w:r>
      <w:r>
        <w:rPr>
          <w:color w:val="231F20"/>
          <w:spacing w:val="-10"/>
          <w:w w:val="105"/>
          <w:sz w:val="21"/>
        </w:rPr>
        <w:t> </w:t>
      </w:r>
      <w:r>
        <w:rPr>
          <w:color w:val="231F20"/>
          <w:w w:val="105"/>
          <w:sz w:val="21"/>
        </w:rPr>
        <w:t>perspectiva</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una</w:t>
      </w:r>
      <w:r>
        <w:rPr>
          <w:color w:val="231F20"/>
          <w:spacing w:val="-10"/>
          <w:w w:val="105"/>
          <w:sz w:val="21"/>
        </w:rPr>
        <w:t> </w:t>
      </w:r>
      <w:r>
        <w:rPr>
          <w:color w:val="231F20"/>
          <w:w w:val="105"/>
          <w:sz w:val="21"/>
        </w:rPr>
        <w:t>movilidad</w:t>
      </w:r>
      <w:r>
        <w:rPr>
          <w:color w:val="231F20"/>
          <w:spacing w:val="-10"/>
          <w:w w:val="105"/>
          <w:sz w:val="21"/>
        </w:rPr>
        <w:t> </w:t>
      </w:r>
      <w:r>
        <w:rPr>
          <w:color w:val="231F20"/>
          <w:w w:val="105"/>
          <w:sz w:val="21"/>
        </w:rPr>
        <w:t>social</w:t>
      </w:r>
      <w:r>
        <w:rPr>
          <w:color w:val="231F20"/>
          <w:spacing w:val="-10"/>
          <w:w w:val="105"/>
          <w:sz w:val="21"/>
        </w:rPr>
        <w:t> </w:t>
      </w:r>
      <w:r>
        <w:rPr>
          <w:color w:val="231F20"/>
          <w:w w:val="105"/>
          <w:sz w:val="21"/>
        </w:rPr>
        <w:t>en</w:t>
      </w:r>
      <w:r>
        <w:rPr>
          <w:color w:val="231F20"/>
          <w:spacing w:val="-10"/>
          <w:w w:val="105"/>
          <w:sz w:val="21"/>
        </w:rPr>
        <w:t> </w:t>
      </w:r>
      <w:r>
        <w:rPr>
          <w:color w:val="231F20"/>
          <w:w w:val="105"/>
          <w:sz w:val="21"/>
        </w:rPr>
        <w:t>relación</w:t>
      </w:r>
      <w:r>
        <w:rPr>
          <w:color w:val="231F20"/>
          <w:spacing w:val="-10"/>
          <w:w w:val="105"/>
          <w:sz w:val="21"/>
        </w:rPr>
        <w:t> </w:t>
      </w:r>
      <w:r>
        <w:rPr>
          <w:color w:val="231F20"/>
          <w:w w:val="105"/>
          <w:sz w:val="21"/>
        </w:rPr>
        <w:t>al</w:t>
      </w:r>
      <w:r>
        <w:rPr>
          <w:color w:val="231F20"/>
          <w:spacing w:val="-10"/>
          <w:w w:val="105"/>
          <w:sz w:val="21"/>
        </w:rPr>
        <w:t> </w:t>
      </w:r>
      <w:r>
        <w:rPr>
          <w:color w:val="231F20"/>
          <w:w w:val="105"/>
          <w:sz w:val="21"/>
        </w:rPr>
        <w:t>entor- no</w:t>
      </w:r>
      <w:r>
        <w:rPr>
          <w:color w:val="231F20"/>
          <w:spacing w:val="-33"/>
          <w:w w:val="105"/>
          <w:sz w:val="21"/>
        </w:rPr>
        <w:t> </w:t>
      </w:r>
      <w:r>
        <w:rPr>
          <w:color w:val="231F20"/>
          <w:w w:val="105"/>
          <w:sz w:val="21"/>
        </w:rPr>
        <w:t>(2009:16).</w:t>
      </w:r>
    </w:p>
    <w:p>
      <w:pPr>
        <w:pStyle w:val="BodyText"/>
        <w:spacing w:before="1"/>
        <w:rPr>
          <w:sz w:val="25"/>
        </w:rPr>
      </w:pPr>
    </w:p>
    <w:p>
      <w:pPr>
        <w:pStyle w:val="BodyText"/>
        <w:spacing w:line="261" w:lineRule="auto"/>
        <w:ind w:left="1837" w:right="1715"/>
        <w:jc w:val="both"/>
      </w:pPr>
      <w:r>
        <w:rPr>
          <w:color w:val="231F20"/>
          <w:w w:val="105"/>
        </w:rPr>
        <w:t>Desde</w:t>
      </w:r>
      <w:r>
        <w:rPr>
          <w:color w:val="231F20"/>
          <w:spacing w:val="-20"/>
          <w:w w:val="105"/>
        </w:rPr>
        <w:t> </w:t>
      </w:r>
      <w:r>
        <w:rPr>
          <w:color w:val="231F20"/>
          <w:w w:val="105"/>
        </w:rPr>
        <w:t>las</w:t>
      </w:r>
      <w:r>
        <w:rPr>
          <w:color w:val="231F20"/>
          <w:spacing w:val="-20"/>
          <w:w w:val="105"/>
        </w:rPr>
        <w:t> </w:t>
      </w:r>
      <w:r>
        <w:rPr>
          <w:color w:val="231F20"/>
          <w:w w:val="105"/>
        </w:rPr>
        <w:t>ciencias</w:t>
      </w:r>
      <w:r>
        <w:rPr>
          <w:color w:val="231F20"/>
          <w:spacing w:val="-20"/>
          <w:w w:val="105"/>
        </w:rPr>
        <w:t> </w:t>
      </w:r>
      <w:r>
        <w:rPr>
          <w:color w:val="231F20"/>
          <w:w w:val="105"/>
        </w:rPr>
        <w:t>sociales,</w:t>
      </w:r>
      <w:r>
        <w:rPr>
          <w:color w:val="231F20"/>
          <w:spacing w:val="-24"/>
          <w:w w:val="105"/>
        </w:rPr>
        <w:t> </w:t>
      </w:r>
      <w:r>
        <w:rPr>
          <w:color w:val="231F20"/>
          <w:w w:val="105"/>
        </w:rPr>
        <w:t>en</w:t>
      </w:r>
      <w:r>
        <w:rPr>
          <w:color w:val="231F20"/>
          <w:spacing w:val="-20"/>
          <w:w w:val="105"/>
        </w:rPr>
        <w:t> </w:t>
      </w:r>
      <w:r>
        <w:rPr>
          <w:color w:val="231F20"/>
          <w:w w:val="105"/>
        </w:rPr>
        <w:t>particular</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antropología,</w:t>
      </w:r>
      <w:r>
        <w:rPr>
          <w:color w:val="231F20"/>
          <w:spacing w:val="-24"/>
          <w:w w:val="105"/>
        </w:rPr>
        <w:t> </w:t>
      </w:r>
      <w:r>
        <w:rPr>
          <w:color w:val="231F20"/>
          <w:w w:val="105"/>
        </w:rPr>
        <w:t>la</w:t>
      </w:r>
      <w:r>
        <w:rPr>
          <w:color w:val="231F20"/>
          <w:spacing w:val="-20"/>
          <w:w w:val="105"/>
        </w:rPr>
        <w:t> </w:t>
      </w:r>
      <w:r>
        <w:rPr>
          <w:color w:val="231F20"/>
          <w:w w:val="105"/>
        </w:rPr>
        <w:t>familia</w:t>
      </w:r>
      <w:r>
        <w:rPr>
          <w:color w:val="231F20"/>
          <w:spacing w:val="-20"/>
          <w:w w:val="105"/>
        </w:rPr>
        <w:t> </w:t>
      </w:r>
      <w:r>
        <w:rPr>
          <w:color w:val="231F20"/>
          <w:w w:val="105"/>
        </w:rPr>
        <w:t>ha sido uno de los temas más importantes y por lo tanto más estudiados. Resulta</w:t>
      </w:r>
      <w:r>
        <w:rPr>
          <w:color w:val="231F20"/>
          <w:spacing w:val="-9"/>
          <w:w w:val="105"/>
        </w:rPr>
        <w:t> </w:t>
      </w:r>
      <w:r>
        <w:rPr>
          <w:color w:val="231F20"/>
          <w:w w:val="105"/>
        </w:rPr>
        <w:t>la</w:t>
      </w:r>
      <w:r>
        <w:rPr>
          <w:color w:val="231F20"/>
          <w:spacing w:val="-9"/>
          <w:w w:val="105"/>
        </w:rPr>
        <w:t> </w:t>
      </w:r>
      <w:r>
        <w:rPr>
          <w:color w:val="231F20"/>
          <w:w w:val="105"/>
        </w:rPr>
        <w:t>institución</w:t>
      </w:r>
      <w:r>
        <w:rPr>
          <w:color w:val="231F20"/>
          <w:spacing w:val="-9"/>
          <w:w w:val="105"/>
        </w:rPr>
        <w:t> </w:t>
      </w:r>
      <w:r>
        <w:rPr>
          <w:color w:val="231F20"/>
          <w:w w:val="105"/>
        </w:rPr>
        <w:t>más</w:t>
      </w:r>
      <w:r>
        <w:rPr>
          <w:color w:val="231F20"/>
          <w:spacing w:val="-9"/>
          <w:w w:val="105"/>
        </w:rPr>
        <w:t> </w:t>
      </w:r>
      <w:r>
        <w:rPr>
          <w:color w:val="231F20"/>
          <w:w w:val="105"/>
        </w:rPr>
        <w:t>importante</w:t>
      </w:r>
      <w:r>
        <w:rPr>
          <w:color w:val="231F20"/>
          <w:spacing w:val="-9"/>
          <w:w w:val="105"/>
        </w:rPr>
        <w:t> </w:t>
      </w:r>
      <w:r>
        <w:rPr>
          <w:color w:val="231F20"/>
          <w:w w:val="105"/>
        </w:rPr>
        <w:t>y</w:t>
      </w:r>
      <w:r>
        <w:rPr>
          <w:color w:val="231F20"/>
          <w:spacing w:val="-9"/>
          <w:w w:val="105"/>
        </w:rPr>
        <w:t> </w:t>
      </w:r>
      <w:r>
        <w:rPr>
          <w:color w:val="231F20"/>
          <w:w w:val="105"/>
        </w:rPr>
        <w:t>con</w:t>
      </w:r>
      <w:r>
        <w:rPr>
          <w:color w:val="231F20"/>
          <w:spacing w:val="-9"/>
          <w:w w:val="105"/>
        </w:rPr>
        <w:t> </w:t>
      </w:r>
      <w:r>
        <w:rPr>
          <w:color w:val="231F20"/>
          <w:w w:val="105"/>
        </w:rPr>
        <w:t>más</w:t>
      </w:r>
      <w:r>
        <w:rPr>
          <w:color w:val="231F20"/>
          <w:spacing w:val="-9"/>
          <w:w w:val="105"/>
        </w:rPr>
        <w:t> </w:t>
      </w:r>
      <w:r>
        <w:rPr>
          <w:color w:val="231F20"/>
          <w:w w:val="105"/>
        </w:rPr>
        <w:t>longevidad</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huma- nidad.</w:t>
      </w:r>
      <w:r>
        <w:rPr>
          <w:color w:val="231F20"/>
          <w:spacing w:val="-37"/>
          <w:w w:val="105"/>
        </w:rPr>
        <w:t> </w:t>
      </w:r>
      <w:r>
        <w:rPr>
          <w:color w:val="231F20"/>
          <w:w w:val="105"/>
        </w:rPr>
        <w:t>Sienta</w:t>
      </w:r>
      <w:r>
        <w:rPr>
          <w:color w:val="231F20"/>
          <w:spacing w:val="-33"/>
          <w:w w:val="105"/>
        </w:rPr>
        <w:t> </w:t>
      </w:r>
      <w:r>
        <w:rPr>
          <w:color w:val="231F20"/>
          <w:w w:val="105"/>
        </w:rPr>
        <w:t>bases</w:t>
      </w:r>
      <w:r>
        <w:rPr>
          <w:color w:val="231F20"/>
          <w:spacing w:val="-33"/>
          <w:w w:val="105"/>
        </w:rPr>
        <w:t> </w:t>
      </w:r>
      <w:r>
        <w:rPr>
          <w:color w:val="231F20"/>
          <w:w w:val="105"/>
        </w:rPr>
        <w:t>socioculturales</w:t>
      </w:r>
      <w:r>
        <w:rPr>
          <w:color w:val="231F20"/>
          <w:spacing w:val="-33"/>
          <w:w w:val="105"/>
        </w:rPr>
        <w:t> </w:t>
      </w:r>
      <w:r>
        <w:rPr>
          <w:color w:val="231F20"/>
          <w:w w:val="105"/>
        </w:rPr>
        <w:t>que</w:t>
      </w:r>
      <w:r>
        <w:rPr>
          <w:color w:val="231F20"/>
          <w:spacing w:val="-33"/>
          <w:w w:val="105"/>
        </w:rPr>
        <w:t> </w:t>
      </w:r>
      <w:r>
        <w:rPr>
          <w:color w:val="231F20"/>
          <w:w w:val="105"/>
        </w:rPr>
        <w:t>incluyen</w:t>
      </w:r>
      <w:r>
        <w:rPr>
          <w:color w:val="231F20"/>
          <w:spacing w:val="-33"/>
          <w:w w:val="105"/>
        </w:rPr>
        <w:t> </w:t>
      </w:r>
      <w:r>
        <w:rPr>
          <w:color w:val="231F20"/>
          <w:w w:val="105"/>
        </w:rPr>
        <w:t>valores</w:t>
      </w:r>
      <w:r>
        <w:rPr>
          <w:color w:val="231F20"/>
          <w:spacing w:val="-33"/>
          <w:w w:val="105"/>
        </w:rPr>
        <w:t> </w:t>
      </w:r>
      <w:r>
        <w:rPr>
          <w:color w:val="231F20"/>
          <w:w w:val="105"/>
        </w:rPr>
        <w:t>morales,</w:t>
      </w:r>
      <w:r>
        <w:rPr>
          <w:color w:val="231F20"/>
          <w:spacing w:val="-37"/>
          <w:w w:val="105"/>
        </w:rPr>
        <w:t> </w:t>
      </w:r>
      <w:r>
        <w:rPr>
          <w:color w:val="231F20"/>
          <w:w w:val="105"/>
        </w:rPr>
        <w:t>ideales sociales</w:t>
      </w:r>
      <w:r>
        <w:rPr>
          <w:color w:val="231F20"/>
          <w:spacing w:val="-28"/>
          <w:w w:val="105"/>
        </w:rPr>
        <w:t> </w:t>
      </w:r>
      <w:r>
        <w:rPr>
          <w:color w:val="231F20"/>
          <w:w w:val="105"/>
        </w:rPr>
        <w:t>y</w:t>
      </w:r>
      <w:r>
        <w:rPr>
          <w:color w:val="231F20"/>
          <w:spacing w:val="-28"/>
          <w:w w:val="105"/>
        </w:rPr>
        <w:t> </w:t>
      </w:r>
      <w:r>
        <w:rPr>
          <w:color w:val="231F20"/>
          <w:w w:val="105"/>
        </w:rPr>
        <w:t>redes,</w:t>
      </w:r>
      <w:r>
        <w:rPr>
          <w:color w:val="231F20"/>
          <w:spacing w:val="-33"/>
          <w:w w:val="105"/>
        </w:rPr>
        <w:t> </w:t>
      </w:r>
      <w:r>
        <w:rPr>
          <w:color w:val="231F20"/>
          <w:w w:val="105"/>
        </w:rPr>
        <w:t>por</w:t>
      </w:r>
      <w:r>
        <w:rPr>
          <w:color w:val="231F20"/>
          <w:spacing w:val="-28"/>
          <w:w w:val="105"/>
        </w:rPr>
        <w:t> </w:t>
      </w:r>
      <w:r>
        <w:rPr>
          <w:color w:val="231F20"/>
          <w:w w:val="105"/>
        </w:rPr>
        <w:t>mencionar</w:t>
      </w:r>
      <w:r>
        <w:rPr>
          <w:color w:val="231F20"/>
          <w:spacing w:val="-28"/>
          <w:w w:val="105"/>
        </w:rPr>
        <w:t> </w:t>
      </w:r>
      <w:r>
        <w:rPr>
          <w:color w:val="231F20"/>
          <w:w w:val="105"/>
        </w:rPr>
        <w:t>algunas.</w:t>
      </w:r>
      <w:r>
        <w:rPr>
          <w:color w:val="231F20"/>
          <w:spacing w:val="-33"/>
          <w:w w:val="105"/>
        </w:rPr>
        <w:t> </w:t>
      </w:r>
      <w:r>
        <w:rPr>
          <w:color w:val="231F20"/>
          <w:w w:val="105"/>
        </w:rPr>
        <w:t>Mucho</w:t>
      </w:r>
      <w:r>
        <w:rPr>
          <w:color w:val="231F20"/>
          <w:spacing w:val="-28"/>
          <w:w w:val="105"/>
        </w:rPr>
        <w:t> </w:t>
      </w:r>
      <w:r>
        <w:rPr>
          <w:color w:val="231F20"/>
          <w:w w:val="105"/>
        </w:rPr>
        <w:t>se</w:t>
      </w:r>
      <w:r>
        <w:rPr>
          <w:color w:val="231F20"/>
          <w:spacing w:val="-28"/>
          <w:w w:val="105"/>
        </w:rPr>
        <w:t> </w:t>
      </w:r>
      <w:r>
        <w:rPr>
          <w:color w:val="231F20"/>
          <w:w w:val="105"/>
        </w:rPr>
        <w:t>ha</w:t>
      </w:r>
      <w:r>
        <w:rPr>
          <w:color w:val="231F20"/>
          <w:spacing w:val="-28"/>
          <w:w w:val="105"/>
        </w:rPr>
        <w:t> </w:t>
      </w:r>
      <w:r>
        <w:rPr>
          <w:color w:val="231F20"/>
          <w:w w:val="105"/>
        </w:rPr>
        <w:t>hablado</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“des- integración</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4"/>
          <w:w w:val="105"/>
        </w:rPr>
        <w:t>familia”,</w:t>
      </w:r>
      <w:r>
        <w:rPr>
          <w:color w:val="231F20"/>
          <w:spacing w:val="-31"/>
          <w:w w:val="105"/>
        </w:rPr>
        <w:t> </w:t>
      </w:r>
      <w:r>
        <w:rPr>
          <w:color w:val="231F20"/>
          <w:w w:val="105"/>
        </w:rPr>
        <w:t>es</w:t>
      </w:r>
      <w:r>
        <w:rPr>
          <w:color w:val="231F20"/>
          <w:spacing w:val="-26"/>
          <w:w w:val="105"/>
        </w:rPr>
        <w:t> </w:t>
      </w:r>
      <w:r>
        <w:rPr>
          <w:color w:val="231F20"/>
          <w:w w:val="105"/>
        </w:rPr>
        <w:t>vital</w:t>
      </w:r>
      <w:r>
        <w:rPr>
          <w:color w:val="231F20"/>
          <w:spacing w:val="-26"/>
          <w:w w:val="105"/>
        </w:rPr>
        <w:t> </w:t>
      </w:r>
      <w:r>
        <w:rPr>
          <w:color w:val="231F20"/>
          <w:w w:val="105"/>
        </w:rPr>
        <w:t>hacer</w:t>
      </w:r>
      <w:r>
        <w:rPr>
          <w:color w:val="231F20"/>
          <w:spacing w:val="-26"/>
          <w:w w:val="105"/>
        </w:rPr>
        <w:t> </w:t>
      </w:r>
      <w:r>
        <w:rPr>
          <w:color w:val="231F20"/>
          <w:w w:val="105"/>
        </w:rPr>
        <w:t>énfasis</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transformación</w:t>
      </w:r>
      <w:r>
        <w:rPr>
          <w:color w:val="231F20"/>
          <w:spacing w:val="-26"/>
          <w:w w:val="105"/>
        </w:rPr>
        <w:t> </w:t>
      </w:r>
      <w:r>
        <w:rPr>
          <w:color w:val="231F20"/>
          <w:w w:val="105"/>
        </w:rPr>
        <w:t>de</w:t>
      </w:r>
      <w:r>
        <w:rPr>
          <w:color w:val="231F20"/>
          <w:spacing w:val="-26"/>
          <w:w w:val="105"/>
        </w:rPr>
        <w:t> </w:t>
      </w:r>
      <w:r>
        <w:rPr>
          <w:color w:val="231F20"/>
          <w:w w:val="105"/>
        </w:rPr>
        <w:t>las familias,</w:t>
      </w:r>
      <w:r>
        <w:rPr>
          <w:color w:val="231F20"/>
          <w:spacing w:val="-16"/>
          <w:w w:val="105"/>
        </w:rPr>
        <w:t> </w:t>
      </w:r>
      <w:r>
        <w:rPr>
          <w:color w:val="231F20"/>
          <w:w w:val="105"/>
        </w:rPr>
        <w:t>aunque</w:t>
      </w:r>
      <w:r>
        <w:rPr>
          <w:color w:val="231F20"/>
          <w:spacing w:val="-11"/>
          <w:w w:val="105"/>
        </w:rPr>
        <w:t> </w:t>
      </w:r>
      <w:r>
        <w:rPr>
          <w:color w:val="231F20"/>
          <w:w w:val="105"/>
        </w:rPr>
        <w:t>teóricamente</w:t>
      </w:r>
      <w:r>
        <w:rPr>
          <w:color w:val="231F20"/>
          <w:spacing w:val="-11"/>
          <w:w w:val="105"/>
        </w:rPr>
        <w:t> </w:t>
      </w:r>
      <w:r>
        <w:rPr>
          <w:color w:val="231F20"/>
          <w:w w:val="105"/>
        </w:rPr>
        <w:t>se</w:t>
      </w:r>
      <w:r>
        <w:rPr>
          <w:color w:val="231F20"/>
          <w:spacing w:val="-11"/>
          <w:w w:val="105"/>
        </w:rPr>
        <w:t> </w:t>
      </w:r>
      <w:r>
        <w:rPr>
          <w:color w:val="231F20"/>
          <w:w w:val="105"/>
        </w:rPr>
        <w:t>sigue</w:t>
      </w:r>
      <w:r>
        <w:rPr>
          <w:color w:val="231F20"/>
          <w:spacing w:val="-11"/>
          <w:w w:val="105"/>
        </w:rPr>
        <w:t> </w:t>
      </w:r>
      <w:r>
        <w:rPr>
          <w:color w:val="231F20"/>
          <w:w w:val="105"/>
        </w:rPr>
        <w:t>viendo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familia</w:t>
      </w:r>
      <w:r>
        <w:rPr>
          <w:color w:val="231F20"/>
          <w:spacing w:val="-11"/>
          <w:w w:val="105"/>
        </w:rPr>
        <w:t> </w:t>
      </w:r>
      <w:r>
        <w:rPr>
          <w:color w:val="231F20"/>
          <w:w w:val="105"/>
        </w:rPr>
        <w:t>nuclear</w:t>
      </w:r>
      <w:r>
        <w:rPr>
          <w:color w:val="231F20"/>
          <w:spacing w:val="-11"/>
          <w:w w:val="105"/>
        </w:rPr>
        <w:t> </w:t>
      </w:r>
      <w:r>
        <w:rPr>
          <w:color w:val="231F20"/>
          <w:w w:val="105"/>
        </w:rPr>
        <w:t>como prototípica.</w:t>
      </w:r>
      <w:r>
        <w:rPr>
          <w:color w:val="231F20"/>
          <w:spacing w:val="-39"/>
          <w:w w:val="105"/>
        </w:rPr>
        <w:t> </w:t>
      </w:r>
      <w:r>
        <w:rPr>
          <w:color w:val="231F20"/>
          <w:w w:val="105"/>
        </w:rPr>
        <w:t>Socialmente</w:t>
      </w:r>
      <w:r>
        <w:rPr>
          <w:color w:val="231F20"/>
          <w:spacing w:val="-35"/>
          <w:w w:val="105"/>
        </w:rPr>
        <w:t> </w:t>
      </w:r>
      <w:r>
        <w:rPr>
          <w:color w:val="231F20"/>
          <w:w w:val="105"/>
        </w:rPr>
        <w:t>se</w:t>
      </w:r>
      <w:r>
        <w:rPr>
          <w:color w:val="231F20"/>
          <w:spacing w:val="-35"/>
          <w:w w:val="105"/>
        </w:rPr>
        <w:t> </w:t>
      </w:r>
      <w:r>
        <w:rPr>
          <w:color w:val="231F20"/>
          <w:w w:val="105"/>
        </w:rPr>
        <w:t>acepta,</w:t>
      </w:r>
      <w:r>
        <w:rPr>
          <w:color w:val="231F20"/>
          <w:spacing w:val="-39"/>
          <w:w w:val="105"/>
        </w:rPr>
        <w:t> </w:t>
      </w:r>
      <w:r>
        <w:rPr>
          <w:color w:val="231F20"/>
          <w:w w:val="105"/>
        </w:rPr>
        <w:t>sin</w:t>
      </w:r>
      <w:r>
        <w:rPr>
          <w:color w:val="231F20"/>
          <w:spacing w:val="-35"/>
          <w:w w:val="105"/>
        </w:rPr>
        <w:t> </w:t>
      </w:r>
      <w:r>
        <w:rPr>
          <w:color w:val="231F20"/>
          <w:w w:val="105"/>
        </w:rPr>
        <w:t>precedentes,</w:t>
      </w:r>
      <w:r>
        <w:rPr>
          <w:color w:val="231F20"/>
          <w:spacing w:val="-39"/>
          <w:w w:val="105"/>
        </w:rPr>
        <w:t> </w:t>
      </w:r>
      <w:r>
        <w:rPr>
          <w:color w:val="231F20"/>
          <w:w w:val="105"/>
        </w:rPr>
        <w:t>una</w:t>
      </w:r>
      <w:r>
        <w:rPr>
          <w:color w:val="231F20"/>
          <w:spacing w:val="-35"/>
          <w:w w:val="105"/>
        </w:rPr>
        <w:t> </w:t>
      </w:r>
      <w:r>
        <w:rPr>
          <w:color w:val="231F20"/>
          <w:w w:val="105"/>
        </w:rPr>
        <w:t>gran</w:t>
      </w:r>
      <w:r>
        <w:rPr>
          <w:color w:val="231F20"/>
          <w:spacing w:val="-35"/>
          <w:w w:val="105"/>
        </w:rPr>
        <w:t> </w:t>
      </w:r>
      <w:r>
        <w:rPr>
          <w:color w:val="231F20"/>
          <w:w w:val="105"/>
        </w:rPr>
        <w:t>variedad</w:t>
      </w:r>
      <w:r>
        <w:rPr>
          <w:color w:val="231F20"/>
          <w:spacing w:val="-35"/>
          <w:w w:val="105"/>
        </w:rPr>
        <w:t> </w:t>
      </w:r>
      <w:r>
        <w:rPr>
          <w:color w:val="231F20"/>
          <w:w w:val="105"/>
        </w:rPr>
        <w:t>de familias:</w:t>
      </w:r>
      <w:r>
        <w:rPr>
          <w:color w:val="231F20"/>
          <w:spacing w:val="-14"/>
          <w:w w:val="105"/>
        </w:rPr>
        <w:t> </w:t>
      </w:r>
      <w:r>
        <w:rPr>
          <w:color w:val="231F20"/>
          <w:w w:val="105"/>
        </w:rPr>
        <w:t>interraciales,</w:t>
      </w:r>
      <w:r>
        <w:rPr>
          <w:color w:val="231F20"/>
          <w:spacing w:val="-17"/>
          <w:w w:val="105"/>
        </w:rPr>
        <w:t> </w:t>
      </w:r>
      <w:r>
        <w:rPr>
          <w:color w:val="231F20"/>
          <w:w w:val="105"/>
        </w:rPr>
        <w:t>heterosexuales,</w:t>
      </w:r>
      <w:r>
        <w:rPr>
          <w:color w:val="231F20"/>
          <w:spacing w:val="-17"/>
          <w:w w:val="105"/>
        </w:rPr>
        <w:t> </w:t>
      </w:r>
      <w:r>
        <w:rPr>
          <w:color w:val="231F20"/>
          <w:w w:val="105"/>
        </w:rPr>
        <w:t>homosexuales,</w:t>
      </w:r>
      <w:r>
        <w:rPr>
          <w:color w:val="231F20"/>
          <w:spacing w:val="-17"/>
          <w:w w:val="105"/>
        </w:rPr>
        <w:t> </w:t>
      </w:r>
      <w:r>
        <w:rPr>
          <w:color w:val="231F20"/>
          <w:w w:val="105"/>
        </w:rPr>
        <w:t>monoparentales, extensas,</w:t>
      </w:r>
      <w:r>
        <w:rPr>
          <w:color w:val="231F20"/>
          <w:spacing w:val="-15"/>
          <w:w w:val="105"/>
        </w:rPr>
        <w:t> </w:t>
      </w:r>
      <w:r>
        <w:rPr>
          <w:color w:val="231F20"/>
          <w:w w:val="105"/>
        </w:rPr>
        <w:t>no</w:t>
      </w:r>
      <w:r>
        <w:rPr>
          <w:color w:val="231F20"/>
          <w:spacing w:val="-10"/>
          <w:w w:val="105"/>
        </w:rPr>
        <w:t> </w:t>
      </w:r>
      <w:r>
        <w:rPr>
          <w:color w:val="231F20"/>
          <w:w w:val="105"/>
        </w:rPr>
        <w:t>consanguíneas,</w:t>
      </w:r>
      <w:r>
        <w:rPr>
          <w:color w:val="231F20"/>
          <w:spacing w:val="-15"/>
          <w:w w:val="105"/>
        </w:rPr>
        <w:t> </w:t>
      </w:r>
      <w:r>
        <w:rPr>
          <w:color w:val="231F20"/>
          <w:w w:val="105"/>
        </w:rPr>
        <w:t>en</w:t>
      </w:r>
      <w:r>
        <w:rPr>
          <w:color w:val="231F20"/>
          <w:spacing w:val="-10"/>
          <w:w w:val="105"/>
        </w:rPr>
        <w:t> </w:t>
      </w:r>
      <w:r>
        <w:rPr>
          <w:color w:val="231F20"/>
          <w:w w:val="105"/>
        </w:rPr>
        <w:t>fin,</w:t>
      </w:r>
      <w:r>
        <w:rPr>
          <w:color w:val="231F20"/>
          <w:spacing w:val="-15"/>
          <w:w w:val="105"/>
        </w:rPr>
        <w:t> </w:t>
      </w:r>
      <w:r>
        <w:rPr>
          <w:color w:val="231F20"/>
          <w:w w:val="105"/>
        </w:rPr>
        <w:t>la</w:t>
      </w:r>
      <w:r>
        <w:rPr>
          <w:color w:val="231F20"/>
          <w:spacing w:val="-10"/>
          <w:w w:val="105"/>
        </w:rPr>
        <w:t> </w:t>
      </w:r>
      <w:r>
        <w:rPr>
          <w:color w:val="231F20"/>
          <w:w w:val="105"/>
        </w:rPr>
        <w:t>familia</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restringe</w:t>
      </w:r>
      <w:r>
        <w:rPr>
          <w:color w:val="231F20"/>
          <w:spacing w:val="-10"/>
          <w:w w:val="105"/>
        </w:rPr>
        <w:t> </w:t>
      </w:r>
      <w:r>
        <w:rPr>
          <w:color w:val="231F20"/>
          <w:w w:val="105"/>
        </w:rPr>
        <w:t>a</w:t>
      </w:r>
      <w:r>
        <w:rPr>
          <w:color w:val="231F20"/>
          <w:spacing w:val="-10"/>
          <w:w w:val="105"/>
        </w:rPr>
        <w:t> </w:t>
      </w:r>
      <w:r>
        <w:rPr>
          <w:color w:val="231F20"/>
          <w:w w:val="105"/>
        </w:rPr>
        <w:t>un</w:t>
      </w:r>
      <w:r>
        <w:rPr>
          <w:color w:val="231F20"/>
          <w:spacing w:val="-10"/>
          <w:w w:val="105"/>
        </w:rPr>
        <w:t> </w:t>
      </w:r>
      <w:r>
        <w:rPr>
          <w:color w:val="231F20"/>
          <w:w w:val="105"/>
        </w:rPr>
        <w:t>cierto número</w:t>
      </w:r>
      <w:r>
        <w:rPr>
          <w:color w:val="231F20"/>
          <w:spacing w:val="-33"/>
          <w:w w:val="105"/>
        </w:rPr>
        <w:t> </w:t>
      </w:r>
      <w:r>
        <w:rPr>
          <w:color w:val="231F20"/>
          <w:w w:val="105"/>
        </w:rPr>
        <w:t>de</w:t>
      </w:r>
      <w:r>
        <w:rPr>
          <w:color w:val="231F20"/>
          <w:spacing w:val="-33"/>
          <w:w w:val="105"/>
        </w:rPr>
        <w:t> </w:t>
      </w:r>
      <w:r>
        <w:rPr>
          <w:color w:val="231F20"/>
          <w:w w:val="105"/>
        </w:rPr>
        <w:t>personas</w:t>
      </w:r>
      <w:r>
        <w:rPr>
          <w:color w:val="231F20"/>
          <w:spacing w:val="-33"/>
          <w:w w:val="105"/>
        </w:rPr>
        <w:t> </w:t>
      </w:r>
      <w:r>
        <w:rPr>
          <w:color w:val="231F20"/>
          <w:w w:val="105"/>
        </w:rPr>
        <w:t>o</w:t>
      </w:r>
      <w:r>
        <w:rPr>
          <w:color w:val="231F20"/>
          <w:spacing w:val="-33"/>
          <w:w w:val="105"/>
        </w:rPr>
        <w:t> </w:t>
      </w:r>
      <w:r>
        <w:rPr>
          <w:color w:val="231F20"/>
          <w:w w:val="105"/>
        </w:rPr>
        <w:t>a</w:t>
      </w:r>
      <w:r>
        <w:rPr>
          <w:color w:val="231F20"/>
          <w:spacing w:val="-33"/>
          <w:w w:val="105"/>
        </w:rPr>
        <w:t> </w:t>
      </w:r>
      <w:r>
        <w:rPr>
          <w:color w:val="231F20"/>
          <w:w w:val="105"/>
        </w:rPr>
        <w:t>un</w:t>
      </w:r>
      <w:r>
        <w:rPr>
          <w:color w:val="231F20"/>
          <w:spacing w:val="-33"/>
          <w:w w:val="105"/>
        </w:rPr>
        <w:t> </w:t>
      </w:r>
      <w:r>
        <w:rPr>
          <w:color w:val="231F20"/>
          <w:w w:val="105"/>
        </w:rPr>
        <w:t>parentesco</w:t>
      </w:r>
      <w:r>
        <w:rPr>
          <w:color w:val="231F20"/>
          <w:spacing w:val="-33"/>
          <w:w w:val="105"/>
        </w:rPr>
        <w:t> </w:t>
      </w:r>
      <w:r>
        <w:rPr>
          <w:color w:val="231F20"/>
          <w:w w:val="105"/>
        </w:rPr>
        <w:t>consanguíneo,</w:t>
      </w:r>
      <w:r>
        <w:rPr>
          <w:color w:val="231F20"/>
          <w:spacing w:val="-38"/>
          <w:w w:val="105"/>
        </w:rPr>
        <w:t> </w:t>
      </w:r>
      <w:r>
        <w:rPr>
          <w:color w:val="231F20"/>
          <w:w w:val="105"/>
        </w:rPr>
        <w:t>sino</w:t>
      </w:r>
      <w:r>
        <w:rPr>
          <w:color w:val="231F20"/>
          <w:spacing w:val="-33"/>
          <w:w w:val="105"/>
        </w:rPr>
        <w:t> </w:t>
      </w:r>
      <w:r>
        <w:rPr>
          <w:color w:val="231F20"/>
          <w:w w:val="105"/>
        </w:rPr>
        <w:t>va</w:t>
      </w:r>
      <w:r>
        <w:rPr>
          <w:color w:val="231F20"/>
          <w:spacing w:val="-33"/>
          <w:w w:val="105"/>
        </w:rPr>
        <w:t> </w:t>
      </w:r>
      <w:r>
        <w:rPr>
          <w:color w:val="231F20"/>
          <w:w w:val="105"/>
        </w:rPr>
        <w:t>al</w:t>
      </w:r>
      <w:r>
        <w:rPr>
          <w:color w:val="231F20"/>
          <w:spacing w:val="-33"/>
          <w:w w:val="105"/>
        </w:rPr>
        <w:t> </w:t>
      </w:r>
      <w:r>
        <w:rPr>
          <w:color w:val="231F20"/>
          <w:w w:val="105"/>
        </w:rPr>
        <w:t>bienestar de</w:t>
      </w:r>
      <w:r>
        <w:rPr>
          <w:color w:val="231F20"/>
          <w:spacing w:val="-10"/>
          <w:w w:val="105"/>
        </w:rPr>
        <w:t> </w:t>
      </w:r>
      <w:r>
        <w:rPr>
          <w:color w:val="231F20"/>
          <w:w w:val="105"/>
        </w:rPr>
        <w:t>sus</w:t>
      </w:r>
      <w:r>
        <w:rPr>
          <w:color w:val="231F20"/>
          <w:spacing w:val="-10"/>
          <w:w w:val="105"/>
        </w:rPr>
        <w:t> </w:t>
      </w:r>
      <w:r>
        <w:rPr>
          <w:color w:val="231F20"/>
          <w:w w:val="105"/>
        </w:rPr>
        <w:t>miembros</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manera</w:t>
      </w:r>
      <w:r>
        <w:rPr>
          <w:color w:val="231F20"/>
          <w:spacing w:val="-10"/>
          <w:w w:val="105"/>
        </w:rPr>
        <w:t> </w:t>
      </w:r>
      <w:r>
        <w:rPr>
          <w:color w:val="231F20"/>
          <w:w w:val="105"/>
        </w:rPr>
        <w:t>en</w:t>
      </w:r>
      <w:r>
        <w:rPr>
          <w:color w:val="231F20"/>
          <w:spacing w:val="-10"/>
          <w:w w:val="105"/>
        </w:rPr>
        <w:t> </w:t>
      </w:r>
      <w:r>
        <w:rPr>
          <w:color w:val="231F20"/>
          <w:w w:val="105"/>
        </w:rPr>
        <w:t>que</w:t>
      </w:r>
      <w:r>
        <w:rPr>
          <w:color w:val="231F20"/>
          <w:spacing w:val="-10"/>
          <w:w w:val="105"/>
        </w:rPr>
        <w:t> </w:t>
      </w:r>
      <w:r>
        <w:rPr>
          <w:color w:val="231F20"/>
          <w:w w:val="105"/>
        </w:rPr>
        <w:t>entre</w:t>
      </w:r>
      <w:r>
        <w:rPr>
          <w:color w:val="231F20"/>
          <w:spacing w:val="-10"/>
          <w:w w:val="105"/>
        </w:rPr>
        <w:t> </w:t>
      </w:r>
      <w:r>
        <w:rPr>
          <w:color w:val="231F20"/>
          <w:w w:val="105"/>
        </w:rPr>
        <w:t>ellos</w:t>
      </w:r>
      <w:r>
        <w:rPr>
          <w:color w:val="231F20"/>
          <w:spacing w:val="-10"/>
          <w:w w:val="105"/>
        </w:rPr>
        <w:t> </w:t>
      </w:r>
      <w:r>
        <w:rPr>
          <w:color w:val="231F20"/>
          <w:w w:val="105"/>
        </w:rPr>
        <w:t>se</w:t>
      </w:r>
      <w:r>
        <w:rPr>
          <w:color w:val="231F20"/>
          <w:spacing w:val="-10"/>
          <w:w w:val="105"/>
        </w:rPr>
        <w:t> </w:t>
      </w:r>
      <w:r>
        <w:rPr>
          <w:color w:val="231F20"/>
          <w:w w:val="105"/>
        </w:rPr>
        <w:t>brindan</w:t>
      </w:r>
      <w:r>
        <w:rPr>
          <w:color w:val="231F20"/>
          <w:spacing w:val="-10"/>
          <w:w w:val="105"/>
        </w:rPr>
        <w:t> </w:t>
      </w:r>
      <w:r>
        <w:rPr>
          <w:color w:val="231F20"/>
          <w:w w:val="105"/>
        </w:rPr>
        <w:t>apoyo,</w:t>
      </w:r>
      <w:r>
        <w:rPr>
          <w:color w:val="231F20"/>
          <w:spacing w:val="-16"/>
          <w:w w:val="105"/>
        </w:rPr>
        <w:t> </w:t>
      </w:r>
      <w:r>
        <w:rPr>
          <w:color w:val="231F20"/>
          <w:w w:val="105"/>
        </w:rPr>
        <w:t>tanto inmaterial como material (comida, techo, cariño, moral, etc.). Es esta situación</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ven</w:t>
      </w:r>
      <w:r>
        <w:rPr>
          <w:color w:val="231F20"/>
          <w:spacing w:val="-6"/>
          <w:w w:val="105"/>
        </w:rPr>
        <w:t> </w:t>
      </w:r>
      <w:r>
        <w:rPr>
          <w:color w:val="231F20"/>
          <w:w w:val="105"/>
        </w:rPr>
        <w:t>inmersas</w:t>
      </w:r>
      <w:r>
        <w:rPr>
          <w:color w:val="231F20"/>
          <w:spacing w:val="-6"/>
          <w:w w:val="105"/>
        </w:rPr>
        <w:t> </w:t>
      </w:r>
      <w:r>
        <w:rPr>
          <w:color w:val="231F20"/>
          <w:w w:val="105"/>
        </w:rPr>
        <w:t>las</w:t>
      </w:r>
      <w:r>
        <w:rPr>
          <w:color w:val="231F20"/>
          <w:spacing w:val="-6"/>
          <w:w w:val="105"/>
        </w:rPr>
        <w:t> </w:t>
      </w:r>
      <w:r>
        <w:rPr>
          <w:color w:val="231F20"/>
          <w:w w:val="105"/>
        </w:rPr>
        <w:t>familias</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protagonistas</w:t>
      </w:r>
      <w:r>
        <w:rPr>
          <w:color w:val="231F20"/>
          <w:spacing w:val="-6"/>
          <w:w w:val="105"/>
        </w:rPr>
        <w:t> </w:t>
      </w:r>
      <w:r>
        <w:rPr>
          <w:color w:val="231F20"/>
          <w:w w:val="105"/>
        </w:rPr>
        <w:t>de la investigación, donde han buscado cubrir las necesidades y el apoyo entre</w:t>
      </w:r>
      <w:r>
        <w:rPr>
          <w:color w:val="231F20"/>
          <w:spacing w:val="-13"/>
          <w:w w:val="105"/>
        </w:rPr>
        <w:t> </w:t>
      </w:r>
      <w:r>
        <w:rPr>
          <w:color w:val="231F20"/>
          <w:w w:val="105"/>
        </w:rPr>
        <w:t>los</w:t>
      </w:r>
      <w:r>
        <w:rPr>
          <w:color w:val="231F20"/>
          <w:spacing w:val="-13"/>
          <w:w w:val="105"/>
        </w:rPr>
        <w:t> </w:t>
      </w:r>
      <w:r>
        <w:rPr>
          <w:color w:val="231F20"/>
          <w:w w:val="105"/>
        </w:rPr>
        <w:t>diferentes</w:t>
      </w:r>
      <w:r>
        <w:rPr>
          <w:color w:val="231F20"/>
          <w:spacing w:val="-13"/>
          <w:w w:val="105"/>
        </w:rPr>
        <w:t> </w:t>
      </w:r>
      <w:r>
        <w:rPr>
          <w:color w:val="231F20"/>
          <w:w w:val="105"/>
        </w:rPr>
        <w:t>miembros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familia.</w:t>
      </w:r>
    </w:p>
    <w:p>
      <w:pPr>
        <w:pStyle w:val="BodyText"/>
        <w:spacing w:line="261" w:lineRule="auto" w:before="1"/>
        <w:ind w:left="1837" w:right="1683" w:firstLine="567"/>
      </w:pPr>
      <w:r>
        <w:rPr>
          <w:color w:val="231F20"/>
          <w:w w:val="105"/>
        </w:rPr>
        <w:t>El motivo por el cual los mexicanos migran sigue siendo por </w:t>
      </w:r>
      <w:r>
        <w:rPr>
          <w:color w:val="231F20"/>
        </w:rPr>
        <w:t>cuestiones laborales.</w:t>
      </w:r>
    </w:p>
    <w:p>
      <w:pPr>
        <w:pStyle w:val="BodyText"/>
        <w:spacing w:before="7"/>
        <w:rPr>
          <w:sz w:val="18"/>
        </w:rPr>
      </w:pPr>
    </w:p>
    <w:p>
      <w:pPr>
        <w:spacing w:line="254" w:lineRule="auto" w:before="1"/>
        <w:ind w:left="2971" w:right="1716" w:firstLine="0"/>
        <w:jc w:val="both"/>
        <w:rPr>
          <w:sz w:val="18"/>
        </w:rPr>
      </w:pPr>
      <w:r>
        <w:rPr/>
        <w:pict>
          <v:line style="position:absolute;mso-position-horizontal-relative:page;mso-position-vertical-relative:paragraph;z-index:-451360" from="15pt,146.710480pt" to="0pt,146.710480pt" stroked="true" strokeweight=".25pt" strokecolor="#000000">
            <w10:wrap type="none"/>
          </v:line>
        </w:pict>
      </w:r>
      <w:r>
        <w:rPr/>
        <w:pict>
          <v:line style="position:absolute;mso-position-horizontal-relative:page;mso-position-vertical-relative:paragraph;z-index:38848" from="508.890015pt,146.710480pt" to="523.890015pt,146.710480pt" stroked="true" strokeweight=".25pt" strokecolor="#000000">
            <w10:wrap type="none"/>
          </v:line>
        </w:pict>
      </w:r>
      <w:r>
        <w:rPr>
          <w:color w:val="231F20"/>
          <w:w w:val="105"/>
          <w:sz w:val="18"/>
        </w:rPr>
        <w:t>De acuerdo con la información del </w:t>
      </w:r>
      <w:r>
        <w:rPr>
          <w:color w:val="231F20"/>
          <w:w w:val="105"/>
          <w:sz w:val="16"/>
        </w:rPr>
        <w:t>INEGI</w:t>
      </w:r>
      <w:r>
        <w:rPr>
          <w:color w:val="231F20"/>
          <w:w w:val="105"/>
          <w:sz w:val="18"/>
        </w:rPr>
        <w:t>, durante el período del 2006 al</w:t>
      </w:r>
      <w:r>
        <w:rPr>
          <w:color w:val="231F20"/>
          <w:spacing w:val="-8"/>
          <w:w w:val="105"/>
          <w:sz w:val="18"/>
        </w:rPr>
        <w:t> </w:t>
      </w:r>
      <w:r>
        <w:rPr>
          <w:color w:val="231F20"/>
          <w:w w:val="105"/>
          <w:sz w:val="18"/>
        </w:rPr>
        <w:t>2010,</w:t>
      </w:r>
      <w:r>
        <w:rPr>
          <w:color w:val="231F20"/>
          <w:spacing w:val="-12"/>
          <w:w w:val="105"/>
          <w:sz w:val="18"/>
        </w:rPr>
        <w:t> </w:t>
      </w:r>
      <w:r>
        <w:rPr>
          <w:color w:val="231F20"/>
          <w:w w:val="105"/>
          <w:sz w:val="18"/>
        </w:rPr>
        <w:t>por</w:t>
      </w:r>
      <w:r>
        <w:rPr>
          <w:color w:val="231F20"/>
          <w:spacing w:val="-8"/>
          <w:w w:val="105"/>
          <w:sz w:val="18"/>
        </w:rPr>
        <w:t> </w:t>
      </w:r>
      <w:r>
        <w:rPr>
          <w:color w:val="231F20"/>
          <w:w w:val="105"/>
          <w:sz w:val="18"/>
        </w:rPr>
        <w:t>cada</w:t>
      </w:r>
      <w:r>
        <w:rPr>
          <w:color w:val="231F20"/>
          <w:spacing w:val="-8"/>
          <w:w w:val="105"/>
          <w:sz w:val="18"/>
        </w:rPr>
        <w:t> </w:t>
      </w:r>
      <w:r>
        <w:rPr>
          <w:color w:val="231F20"/>
          <w:w w:val="105"/>
          <w:sz w:val="18"/>
        </w:rPr>
        <w:t>100</w:t>
      </w:r>
      <w:r>
        <w:rPr>
          <w:color w:val="231F20"/>
          <w:spacing w:val="-8"/>
          <w:w w:val="105"/>
          <w:sz w:val="18"/>
        </w:rPr>
        <w:t> </w:t>
      </w:r>
      <w:r>
        <w:rPr>
          <w:color w:val="231F20"/>
          <w:w w:val="105"/>
          <w:sz w:val="18"/>
        </w:rPr>
        <w:t>emigrantes</w:t>
      </w:r>
      <w:r>
        <w:rPr>
          <w:color w:val="231F20"/>
          <w:spacing w:val="-8"/>
          <w:w w:val="105"/>
          <w:sz w:val="18"/>
        </w:rPr>
        <w:t> </w:t>
      </w:r>
      <w:r>
        <w:rPr>
          <w:color w:val="231F20"/>
          <w:w w:val="105"/>
          <w:sz w:val="18"/>
        </w:rPr>
        <w:t>internacionales,</w:t>
      </w:r>
      <w:r>
        <w:rPr>
          <w:color w:val="231F20"/>
          <w:spacing w:val="-12"/>
          <w:w w:val="105"/>
          <w:sz w:val="18"/>
        </w:rPr>
        <w:t> </w:t>
      </w:r>
      <w:r>
        <w:rPr>
          <w:color w:val="231F20"/>
          <w:w w:val="105"/>
          <w:sz w:val="18"/>
        </w:rPr>
        <w:t>75</w:t>
      </w:r>
      <w:r>
        <w:rPr>
          <w:color w:val="231F20"/>
          <w:spacing w:val="-8"/>
          <w:w w:val="105"/>
          <w:sz w:val="18"/>
        </w:rPr>
        <w:t> </w:t>
      </w:r>
      <w:r>
        <w:rPr>
          <w:color w:val="231F20"/>
          <w:w w:val="105"/>
          <w:sz w:val="18"/>
        </w:rPr>
        <w:t>señalaron</w:t>
      </w:r>
      <w:r>
        <w:rPr>
          <w:color w:val="231F20"/>
          <w:spacing w:val="-8"/>
          <w:w w:val="105"/>
          <w:sz w:val="18"/>
        </w:rPr>
        <w:t> </w:t>
      </w:r>
      <w:r>
        <w:rPr>
          <w:color w:val="231F20"/>
          <w:w w:val="105"/>
          <w:sz w:val="18"/>
        </w:rPr>
        <w:t>el</w:t>
      </w:r>
      <w:r>
        <w:rPr>
          <w:color w:val="231F20"/>
          <w:spacing w:val="-8"/>
          <w:w w:val="105"/>
          <w:sz w:val="18"/>
        </w:rPr>
        <w:t> </w:t>
      </w:r>
      <w:r>
        <w:rPr>
          <w:color w:val="231F20"/>
          <w:w w:val="105"/>
          <w:sz w:val="18"/>
        </w:rPr>
        <w:t>tra- bajo</w:t>
      </w:r>
      <w:r>
        <w:rPr>
          <w:color w:val="231F20"/>
          <w:spacing w:val="-16"/>
          <w:w w:val="105"/>
          <w:sz w:val="18"/>
        </w:rPr>
        <w:t> </w:t>
      </w:r>
      <w:r>
        <w:rPr>
          <w:color w:val="231F20"/>
          <w:w w:val="105"/>
          <w:sz w:val="18"/>
        </w:rPr>
        <w:t>como</w:t>
      </w:r>
      <w:r>
        <w:rPr>
          <w:color w:val="231F20"/>
          <w:spacing w:val="-16"/>
          <w:w w:val="105"/>
          <w:sz w:val="18"/>
        </w:rPr>
        <w:t> </w:t>
      </w:r>
      <w:r>
        <w:rPr>
          <w:color w:val="231F20"/>
          <w:w w:val="105"/>
          <w:sz w:val="18"/>
        </w:rPr>
        <w:t>motivo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su</w:t>
      </w:r>
      <w:r>
        <w:rPr>
          <w:color w:val="231F20"/>
          <w:spacing w:val="-16"/>
          <w:w w:val="105"/>
          <w:sz w:val="18"/>
        </w:rPr>
        <w:t> </w:t>
      </w:r>
      <w:r>
        <w:rPr>
          <w:color w:val="231F20"/>
          <w:w w:val="105"/>
          <w:sz w:val="18"/>
        </w:rPr>
        <w:t>desplazamiento,</w:t>
      </w:r>
      <w:r>
        <w:rPr>
          <w:color w:val="231F20"/>
          <w:spacing w:val="-21"/>
          <w:w w:val="105"/>
          <w:sz w:val="18"/>
        </w:rPr>
        <w:t> </w:t>
      </w:r>
      <w:r>
        <w:rPr>
          <w:color w:val="231F20"/>
          <w:w w:val="105"/>
          <w:sz w:val="18"/>
        </w:rPr>
        <w:t>mientras</w:t>
      </w:r>
      <w:r>
        <w:rPr>
          <w:color w:val="231F20"/>
          <w:spacing w:val="-16"/>
          <w:w w:val="105"/>
          <w:sz w:val="18"/>
        </w:rPr>
        <w:t> </w:t>
      </w:r>
      <w:r>
        <w:rPr>
          <w:color w:val="231F20"/>
          <w:w w:val="105"/>
          <w:sz w:val="18"/>
        </w:rPr>
        <w:t>que</w:t>
      </w:r>
      <w:r>
        <w:rPr>
          <w:color w:val="231F20"/>
          <w:spacing w:val="-16"/>
          <w:w w:val="105"/>
          <w:sz w:val="18"/>
        </w:rPr>
        <w:t> </w:t>
      </w:r>
      <w:r>
        <w:rPr>
          <w:color w:val="231F20"/>
          <w:w w:val="105"/>
          <w:sz w:val="18"/>
        </w:rPr>
        <w:t>uno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cada</w:t>
      </w:r>
      <w:r>
        <w:rPr>
          <w:color w:val="231F20"/>
          <w:spacing w:val="-16"/>
          <w:w w:val="105"/>
          <w:sz w:val="18"/>
        </w:rPr>
        <w:t> </w:t>
      </w:r>
      <w:r>
        <w:rPr>
          <w:color w:val="231F20"/>
          <w:w w:val="105"/>
          <w:sz w:val="18"/>
        </w:rPr>
        <w:t>10, emigró</w:t>
      </w:r>
      <w:r>
        <w:rPr>
          <w:color w:val="231F20"/>
          <w:spacing w:val="-7"/>
          <w:w w:val="105"/>
          <w:sz w:val="18"/>
        </w:rPr>
        <w:t> </w:t>
      </w:r>
      <w:r>
        <w:rPr>
          <w:color w:val="231F20"/>
          <w:w w:val="105"/>
          <w:sz w:val="18"/>
        </w:rPr>
        <w:t>para</w:t>
      </w:r>
      <w:r>
        <w:rPr>
          <w:color w:val="231F20"/>
          <w:spacing w:val="-7"/>
          <w:w w:val="105"/>
          <w:sz w:val="18"/>
        </w:rPr>
        <w:t> </w:t>
      </w:r>
      <w:r>
        <w:rPr>
          <w:color w:val="231F20"/>
          <w:w w:val="105"/>
          <w:sz w:val="18"/>
        </w:rPr>
        <w:t>reunirse</w:t>
      </w:r>
      <w:r>
        <w:rPr>
          <w:color w:val="231F20"/>
          <w:spacing w:val="-7"/>
          <w:w w:val="105"/>
          <w:sz w:val="18"/>
        </w:rPr>
        <w:t> </w:t>
      </w:r>
      <w:r>
        <w:rPr>
          <w:color w:val="231F20"/>
          <w:w w:val="105"/>
          <w:sz w:val="18"/>
        </w:rPr>
        <w:t>con</w:t>
      </w:r>
      <w:r>
        <w:rPr>
          <w:color w:val="231F20"/>
          <w:spacing w:val="-7"/>
          <w:w w:val="105"/>
          <w:sz w:val="18"/>
        </w:rPr>
        <w:t> </w:t>
      </w:r>
      <w:r>
        <w:rPr>
          <w:color w:val="231F20"/>
          <w:w w:val="105"/>
          <w:sz w:val="18"/>
        </w:rPr>
        <w:t>su</w:t>
      </w:r>
      <w:r>
        <w:rPr>
          <w:color w:val="231F20"/>
          <w:spacing w:val="-7"/>
          <w:w w:val="105"/>
          <w:sz w:val="18"/>
        </w:rPr>
        <w:t> </w:t>
      </w:r>
      <w:r>
        <w:rPr>
          <w:color w:val="231F20"/>
          <w:w w:val="105"/>
          <w:sz w:val="18"/>
        </w:rPr>
        <w:t>familia</w:t>
      </w:r>
      <w:r>
        <w:rPr>
          <w:color w:val="231F20"/>
          <w:spacing w:val="-7"/>
          <w:w w:val="105"/>
          <w:sz w:val="18"/>
        </w:rPr>
        <w:t> </w:t>
      </w:r>
      <w:r>
        <w:rPr>
          <w:color w:val="231F20"/>
          <w:w w:val="105"/>
          <w:sz w:val="18"/>
        </w:rPr>
        <w:t>en</w:t>
      </w:r>
      <w:r>
        <w:rPr>
          <w:color w:val="231F20"/>
          <w:spacing w:val="-7"/>
          <w:w w:val="105"/>
          <w:sz w:val="18"/>
        </w:rPr>
        <w:t> </w:t>
      </w:r>
      <w:r>
        <w:rPr>
          <w:color w:val="231F20"/>
          <w:w w:val="105"/>
          <w:sz w:val="18"/>
        </w:rPr>
        <w:t>el</w:t>
      </w:r>
      <w:r>
        <w:rPr>
          <w:color w:val="231F20"/>
          <w:spacing w:val="-7"/>
          <w:w w:val="105"/>
          <w:sz w:val="18"/>
        </w:rPr>
        <w:t> </w:t>
      </w:r>
      <w:r>
        <w:rPr>
          <w:color w:val="231F20"/>
          <w:w w:val="105"/>
          <w:sz w:val="18"/>
        </w:rPr>
        <w:t>lugar</w:t>
      </w:r>
      <w:r>
        <w:rPr>
          <w:color w:val="231F20"/>
          <w:spacing w:val="-7"/>
          <w:w w:val="105"/>
          <w:sz w:val="18"/>
        </w:rPr>
        <w:t> </w:t>
      </w:r>
      <w:r>
        <w:rPr>
          <w:color w:val="231F20"/>
          <w:w w:val="105"/>
          <w:sz w:val="18"/>
        </w:rPr>
        <w:t>de</w:t>
      </w:r>
      <w:r>
        <w:rPr>
          <w:color w:val="231F20"/>
          <w:spacing w:val="-7"/>
          <w:w w:val="105"/>
          <w:sz w:val="18"/>
        </w:rPr>
        <w:t> </w:t>
      </w:r>
      <w:r>
        <w:rPr>
          <w:color w:val="231F20"/>
          <w:w w:val="105"/>
          <w:sz w:val="18"/>
        </w:rPr>
        <w:t>destino.</w:t>
      </w:r>
      <w:r>
        <w:rPr>
          <w:color w:val="231F20"/>
          <w:spacing w:val="-11"/>
          <w:w w:val="105"/>
          <w:sz w:val="18"/>
        </w:rPr>
        <w:t> </w:t>
      </w:r>
      <w:r>
        <w:rPr>
          <w:color w:val="231F20"/>
          <w:w w:val="105"/>
          <w:sz w:val="18"/>
        </w:rPr>
        <w:t>Cuestiones relacionadas al estudio fueron el motivo principal del 5% de los emi- grantes</w:t>
      </w:r>
      <w:r>
        <w:rPr>
          <w:color w:val="231F20"/>
          <w:spacing w:val="-26"/>
          <w:w w:val="105"/>
          <w:sz w:val="18"/>
        </w:rPr>
        <w:t> </w:t>
      </w:r>
      <w:r>
        <w:rPr>
          <w:color w:val="231F20"/>
          <w:w w:val="105"/>
          <w:sz w:val="18"/>
        </w:rPr>
        <w:t>mexicanos</w:t>
      </w:r>
      <w:r>
        <w:rPr>
          <w:color w:val="231F20"/>
          <w:spacing w:val="-26"/>
          <w:w w:val="105"/>
          <w:sz w:val="18"/>
        </w:rPr>
        <w:t> </w:t>
      </w:r>
      <w:r>
        <w:rPr>
          <w:color w:val="231F20"/>
          <w:w w:val="105"/>
          <w:sz w:val="18"/>
        </w:rPr>
        <w:t>al</w:t>
      </w:r>
      <w:r>
        <w:rPr>
          <w:color w:val="231F20"/>
          <w:spacing w:val="-26"/>
          <w:w w:val="105"/>
          <w:sz w:val="18"/>
        </w:rPr>
        <w:t> </w:t>
      </w:r>
      <w:r>
        <w:rPr>
          <w:color w:val="231F20"/>
          <w:w w:val="105"/>
          <w:sz w:val="18"/>
        </w:rPr>
        <w:t>extranjero</w:t>
      </w:r>
      <w:r>
        <w:rPr>
          <w:color w:val="231F20"/>
          <w:spacing w:val="-26"/>
          <w:w w:val="105"/>
          <w:sz w:val="18"/>
        </w:rPr>
        <w:t> </w:t>
      </w:r>
      <w:r>
        <w:rPr>
          <w:color w:val="231F20"/>
          <w:w w:val="105"/>
          <w:sz w:val="18"/>
        </w:rPr>
        <w:t>(</w:t>
      </w:r>
      <w:r>
        <w:rPr>
          <w:color w:val="231F20"/>
          <w:w w:val="105"/>
          <w:sz w:val="16"/>
        </w:rPr>
        <w:t>OIM</w:t>
      </w:r>
      <w:r>
        <w:rPr>
          <w:color w:val="231F20"/>
          <w:w w:val="105"/>
          <w:sz w:val="18"/>
        </w:rPr>
        <w:t>,</w:t>
      </w:r>
      <w:r>
        <w:rPr>
          <w:color w:val="231F20"/>
          <w:spacing w:val="-29"/>
          <w:w w:val="105"/>
          <w:sz w:val="18"/>
        </w:rPr>
        <w:t> </w:t>
      </w:r>
      <w:r>
        <w:rPr>
          <w:color w:val="231F20"/>
          <w:w w:val="105"/>
          <w:sz w:val="18"/>
        </w:rPr>
        <w:t>2014).</w:t>
      </w:r>
    </w:p>
    <w:p>
      <w:pPr>
        <w:spacing w:after="0" w:line="254" w:lineRule="auto"/>
        <w:jc w:val="both"/>
        <w:rPr>
          <w:sz w:val="18"/>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38896" from="15pt,-71.68644pt" to="0pt,-71.68644pt" stroked="true" strokeweight=".25pt" strokecolor="#000000">
            <w10:wrap type="none"/>
          </v:line>
        </w:pict>
      </w:r>
      <w:r>
        <w:rPr/>
        <w:pict>
          <v:line style="position:absolute;mso-position-horizontal-relative:page;mso-position-vertical-relative:paragraph;z-index:38920" from="508.890015pt,-71.68644pt" to="523.890015pt,-71.68644pt" stroked="true" strokeweight=".25pt" strokecolor="#000000">
            <w10:wrap type="none"/>
          </v:line>
        </w:pict>
      </w:r>
      <w:r>
        <w:rPr>
          <w:color w:val="231F20"/>
          <w:w w:val="105"/>
        </w:rPr>
        <w:t>Existen cambios en cuanto a que cada vez es mayor el número de mu- jeres que migran como cabeza de familia y no como dependientes de sus parejas. Ellas, al igual que los hombres, lo hacen para buscar nue- vas oportunidades económicas y sociales que les permitan mejorar su calidad de vida. De las diez personas envejecidas que tienen hijos en Estados Unidos, cuatro tienen una hija migrante, y entre ellas, sólo</w:t>
      </w:r>
      <w:r>
        <w:rPr>
          <w:color w:val="231F20"/>
          <w:spacing w:val="-29"/>
          <w:w w:val="105"/>
        </w:rPr>
        <w:t> </w:t>
      </w:r>
      <w:r>
        <w:rPr>
          <w:color w:val="231F20"/>
          <w:w w:val="105"/>
        </w:rPr>
        <w:t>una es</w:t>
      </w:r>
      <w:r>
        <w:rPr>
          <w:color w:val="231F20"/>
          <w:spacing w:val="-20"/>
          <w:w w:val="105"/>
        </w:rPr>
        <w:t> </w:t>
      </w:r>
      <w:r>
        <w:rPr>
          <w:color w:val="231F20"/>
          <w:w w:val="105"/>
        </w:rPr>
        <w:t>la</w:t>
      </w:r>
      <w:r>
        <w:rPr>
          <w:color w:val="231F20"/>
          <w:spacing w:val="-20"/>
          <w:w w:val="105"/>
        </w:rPr>
        <w:t> </w:t>
      </w:r>
      <w:r>
        <w:rPr>
          <w:color w:val="231F20"/>
          <w:w w:val="105"/>
        </w:rPr>
        <w:t>que</w:t>
      </w:r>
      <w:r>
        <w:rPr>
          <w:color w:val="231F20"/>
          <w:spacing w:val="-20"/>
          <w:w w:val="105"/>
        </w:rPr>
        <w:t> </w:t>
      </w:r>
      <w:r>
        <w:rPr>
          <w:color w:val="231F20"/>
          <w:w w:val="105"/>
        </w:rPr>
        <w:t>le</w:t>
      </w:r>
      <w:r>
        <w:rPr>
          <w:color w:val="231F20"/>
          <w:spacing w:val="-20"/>
          <w:w w:val="105"/>
        </w:rPr>
        <w:t> </w:t>
      </w:r>
      <w:r>
        <w:rPr>
          <w:color w:val="231F20"/>
          <w:w w:val="105"/>
        </w:rPr>
        <w:t>ofrece</w:t>
      </w:r>
      <w:r>
        <w:rPr>
          <w:color w:val="231F20"/>
          <w:spacing w:val="-20"/>
          <w:w w:val="105"/>
        </w:rPr>
        <w:t> </w:t>
      </w:r>
      <w:r>
        <w:rPr>
          <w:color w:val="231F20"/>
          <w:w w:val="105"/>
        </w:rPr>
        <w:t>a</w:t>
      </w:r>
      <w:r>
        <w:rPr>
          <w:color w:val="231F20"/>
          <w:spacing w:val="-20"/>
          <w:w w:val="105"/>
        </w:rPr>
        <w:t> </w:t>
      </w:r>
      <w:r>
        <w:rPr>
          <w:color w:val="231F20"/>
          <w:w w:val="105"/>
        </w:rPr>
        <w:t>su</w:t>
      </w:r>
      <w:r>
        <w:rPr>
          <w:color w:val="231F20"/>
          <w:spacing w:val="-20"/>
          <w:w w:val="105"/>
        </w:rPr>
        <w:t> </w:t>
      </w:r>
      <w:r>
        <w:rPr>
          <w:color w:val="231F20"/>
          <w:w w:val="105"/>
        </w:rPr>
        <w:t>madre</w:t>
      </w:r>
      <w:r>
        <w:rPr>
          <w:color w:val="231F20"/>
          <w:spacing w:val="-20"/>
          <w:w w:val="105"/>
        </w:rPr>
        <w:t> </w:t>
      </w:r>
      <w:r>
        <w:rPr>
          <w:color w:val="231F20"/>
          <w:w w:val="105"/>
        </w:rPr>
        <w:t>llevársela</w:t>
      </w:r>
      <w:r>
        <w:rPr>
          <w:color w:val="231F20"/>
          <w:spacing w:val="-20"/>
          <w:w w:val="105"/>
        </w:rPr>
        <w:t> </w:t>
      </w:r>
      <w:r>
        <w:rPr>
          <w:color w:val="231F20"/>
          <w:w w:val="105"/>
        </w:rPr>
        <w:t>a</w:t>
      </w:r>
      <w:r>
        <w:rPr>
          <w:color w:val="231F20"/>
          <w:spacing w:val="-20"/>
          <w:w w:val="105"/>
        </w:rPr>
        <w:t> </w:t>
      </w:r>
      <w:r>
        <w:rPr>
          <w:color w:val="231F20"/>
          <w:w w:val="105"/>
        </w:rPr>
        <w:t>vivir</w:t>
      </w:r>
      <w:r>
        <w:rPr>
          <w:color w:val="231F20"/>
          <w:spacing w:val="-20"/>
          <w:w w:val="105"/>
        </w:rPr>
        <w:t> </w:t>
      </w:r>
      <w:r>
        <w:rPr>
          <w:color w:val="231F20"/>
          <w:w w:val="105"/>
        </w:rPr>
        <w:t>a</w:t>
      </w:r>
      <w:r>
        <w:rPr>
          <w:color w:val="231F20"/>
          <w:spacing w:val="-20"/>
          <w:w w:val="105"/>
        </w:rPr>
        <w:t> </w:t>
      </w:r>
      <w:r>
        <w:rPr>
          <w:color w:val="231F20"/>
          <w:w w:val="105"/>
        </w:rPr>
        <w:t>aquél</w:t>
      </w:r>
      <w:r>
        <w:rPr>
          <w:color w:val="231F20"/>
          <w:spacing w:val="-20"/>
          <w:w w:val="105"/>
        </w:rPr>
        <w:t> </w:t>
      </w:r>
      <w:r>
        <w:rPr>
          <w:color w:val="231F20"/>
          <w:w w:val="105"/>
        </w:rPr>
        <w:t>país,</w:t>
      </w:r>
      <w:r>
        <w:rPr>
          <w:color w:val="231F20"/>
          <w:spacing w:val="-25"/>
          <w:w w:val="105"/>
        </w:rPr>
        <w:t> </w:t>
      </w:r>
      <w:r>
        <w:rPr>
          <w:color w:val="231F20"/>
          <w:w w:val="105"/>
        </w:rPr>
        <w:t>sin</w:t>
      </w:r>
      <w:r>
        <w:rPr>
          <w:color w:val="231F20"/>
          <w:spacing w:val="-20"/>
          <w:w w:val="105"/>
        </w:rPr>
        <w:t> </w:t>
      </w:r>
      <w:r>
        <w:rPr>
          <w:color w:val="231F20"/>
          <w:w w:val="105"/>
        </w:rPr>
        <w:t>embargo, cuando se ha pasado toda la vida viviendo la migración desde lejos,</w:t>
      </w:r>
      <w:r>
        <w:rPr>
          <w:color w:val="231F20"/>
          <w:spacing w:val="-31"/>
          <w:w w:val="105"/>
        </w:rPr>
        <w:t> </w:t>
      </w:r>
      <w:r>
        <w:rPr>
          <w:color w:val="231F20"/>
          <w:w w:val="105"/>
        </w:rPr>
        <w:t>no es</w:t>
      </w:r>
      <w:r>
        <w:rPr>
          <w:color w:val="231F20"/>
          <w:spacing w:val="-20"/>
          <w:w w:val="105"/>
        </w:rPr>
        <w:t> </w:t>
      </w:r>
      <w:r>
        <w:rPr>
          <w:color w:val="231F20"/>
          <w:w w:val="105"/>
        </w:rPr>
        <w:t>algo</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ansíe</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vejez:</w:t>
      </w:r>
    </w:p>
    <w:p>
      <w:pPr>
        <w:pStyle w:val="BodyText"/>
        <w:rPr>
          <w:sz w:val="20"/>
        </w:rPr>
      </w:pPr>
    </w:p>
    <w:p>
      <w:pPr>
        <w:pStyle w:val="BodyText"/>
        <w:spacing w:before="7"/>
      </w:pPr>
    </w:p>
    <w:p>
      <w:pPr>
        <w:spacing w:line="254" w:lineRule="auto" w:before="0"/>
        <w:ind w:left="2857" w:right="1834" w:firstLine="0"/>
        <w:jc w:val="both"/>
        <w:rPr>
          <w:sz w:val="18"/>
        </w:rPr>
      </w:pPr>
      <w:r>
        <w:rPr>
          <w:color w:val="231F20"/>
          <w:spacing w:val="-3"/>
          <w:w w:val="105"/>
          <w:sz w:val="18"/>
        </w:rPr>
        <w:t>Pues </w:t>
      </w:r>
      <w:r>
        <w:rPr>
          <w:color w:val="231F20"/>
          <w:w w:val="105"/>
          <w:sz w:val="18"/>
        </w:rPr>
        <w:t>no ahorita no he pensado yo así en alguna cosa, mucho me ha hecho</w:t>
      </w:r>
      <w:r>
        <w:rPr>
          <w:color w:val="231F20"/>
          <w:spacing w:val="-5"/>
          <w:w w:val="105"/>
          <w:sz w:val="18"/>
        </w:rPr>
        <w:t> </w:t>
      </w:r>
      <w:r>
        <w:rPr>
          <w:color w:val="231F20"/>
          <w:w w:val="105"/>
          <w:sz w:val="18"/>
        </w:rPr>
        <w:t>la</w:t>
      </w:r>
      <w:r>
        <w:rPr>
          <w:color w:val="231F20"/>
          <w:spacing w:val="-5"/>
          <w:w w:val="105"/>
          <w:sz w:val="18"/>
        </w:rPr>
        <w:t> </w:t>
      </w:r>
      <w:r>
        <w:rPr>
          <w:color w:val="231F20"/>
          <w:w w:val="105"/>
          <w:sz w:val="18"/>
        </w:rPr>
        <w:t>lucha</w:t>
      </w:r>
      <w:r>
        <w:rPr>
          <w:color w:val="231F20"/>
          <w:spacing w:val="-5"/>
          <w:w w:val="105"/>
          <w:sz w:val="18"/>
        </w:rPr>
        <w:t> </w:t>
      </w:r>
      <w:r>
        <w:rPr>
          <w:color w:val="231F20"/>
          <w:w w:val="105"/>
          <w:sz w:val="18"/>
        </w:rPr>
        <w:t>mi</w:t>
      </w:r>
      <w:r>
        <w:rPr>
          <w:color w:val="231F20"/>
          <w:spacing w:val="-5"/>
          <w:w w:val="105"/>
          <w:sz w:val="18"/>
        </w:rPr>
        <w:t> </w:t>
      </w:r>
      <w:r>
        <w:rPr>
          <w:color w:val="231F20"/>
          <w:w w:val="105"/>
          <w:sz w:val="18"/>
        </w:rPr>
        <w:t>hija</w:t>
      </w:r>
      <w:r>
        <w:rPr>
          <w:color w:val="231F20"/>
          <w:spacing w:val="-5"/>
          <w:w w:val="105"/>
          <w:sz w:val="18"/>
        </w:rPr>
        <w:t> </w:t>
      </w:r>
      <w:r>
        <w:rPr>
          <w:color w:val="231F20"/>
          <w:w w:val="105"/>
          <w:sz w:val="18"/>
        </w:rPr>
        <w:t>de</w:t>
      </w:r>
      <w:r>
        <w:rPr>
          <w:color w:val="231F20"/>
          <w:spacing w:val="-5"/>
          <w:w w:val="105"/>
          <w:sz w:val="18"/>
        </w:rPr>
        <w:t> </w:t>
      </w:r>
      <w:r>
        <w:rPr>
          <w:color w:val="231F20"/>
          <w:w w:val="105"/>
          <w:sz w:val="18"/>
        </w:rPr>
        <w:t>que</w:t>
      </w:r>
      <w:r>
        <w:rPr>
          <w:color w:val="231F20"/>
          <w:spacing w:val="-5"/>
          <w:w w:val="105"/>
          <w:sz w:val="18"/>
        </w:rPr>
        <w:t> </w:t>
      </w:r>
      <w:r>
        <w:rPr>
          <w:color w:val="231F20"/>
          <w:w w:val="105"/>
          <w:sz w:val="18"/>
        </w:rPr>
        <w:t>me</w:t>
      </w:r>
      <w:r>
        <w:rPr>
          <w:color w:val="231F20"/>
          <w:spacing w:val="-5"/>
          <w:w w:val="105"/>
          <w:sz w:val="18"/>
        </w:rPr>
        <w:t> </w:t>
      </w:r>
      <w:r>
        <w:rPr>
          <w:color w:val="231F20"/>
          <w:w w:val="105"/>
          <w:sz w:val="18"/>
        </w:rPr>
        <w:t>vaya</w:t>
      </w:r>
      <w:r>
        <w:rPr>
          <w:color w:val="231F20"/>
          <w:spacing w:val="-5"/>
          <w:w w:val="105"/>
          <w:sz w:val="18"/>
        </w:rPr>
        <w:t> </w:t>
      </w:r>
      <w:r>
        <w:rPr>
          <w:color w:val="231F20"/>
          <w:w w:val="105"/>
          <w:sz w:val="18"/>
        </w:rPr>
        <w:t>a</w:t>
      </w:r>
      <w:r>
        <w:rPr>
          <w:color w:val="231F20"/>
          <w:spacing w:val="-5"/>
          <w:w w:val="105"/>
          <w:sz w:val="18"/>
        </w:rPr>
        <w:t> </w:t>
      </w:r>
      <w:r>
        <w:rPr>
          <w:color w:val="231F20"/>
          <w:w w:val="105"/>
          <w:sz w:val="18"/>
        </w:rPr>
        <w:t>Estados</w:t>
      </w:r>
      <w:r>
        <w:rPr>
          <w:color w:val="231F20"/>
          <w:spacing w:val="-5"/>
          <w:w w:val="105"/>
          <w:sz w:val="18"/>
        </w:rPr>
        <w:t> </w:t>
      </w:r>
      <w:r>
        <w:rPr>
          <w:color w:val="231F20"/>
          <w:w w:val="105"/>
          <w:sz w:val="18"/>
        </w:rPr>
        <w:t>Unidos</w:t>
      </w:r>
      <w:r>
        <w:rPr>
          <w:color w:val="231F20"/>
          <w:spacing w:val="-5"/>
          <w:w w:val="105"/>
          <w:sz w:val="18"/>
        </w:rPr>
        <w:t> </w:t>
      </w:r>
      <w:r>
        <w:rPr>
          <w:color w:val="231F20"/>
          <w:w w:val="105"/>
          <w:sz w:val="18"/>
        </w:rPr>
        <w:t>con</w:t>
      </w:r>
      <w:r>
        <w:rPr>
          <w:color w:val="231F20"/>
          <w:spacing w:val="-5"/>
          <w:w w:val="105"/>
          <w:sz w:val="18"/>
        </w:rPr>
        <w:t> </w:t>
      </w:r>
      <w:r>
        <w:rPr>
          <w:color w:val="231F20"/>
          <w:w w:val="105"/>
          <w:sz w:val="18"/>
        </w:rPr>
        <w:t>ella,</w:t>
      </w:r>
      <w:r>
        <w:rPr>
          <w:color w:val="231F20"/>
          <w:spacing w:val="-10"/>
          <w:w w:val="105"/>
          <w:sz w:val="18"/>
        </w:rPr>
        <w:t> </w:t>
      </w:r>
      <w:r>
        <w:rPr>
          <w:color w:val="231F20"/>
          <w:w w:val="105"/>
          <w:sz w:val="18"/>
        </w:rPr>
        <w:t>que nos fuéramos yo y mija pero yo le he dicho que no, que para allá ni a conocer</w:t>
      </w:r>
      <w:r>
        <w:rPr>
          <w:color w:val="231F20"/>
          <w:spacing w:val="-11"/>
          <w:w w:val="105"/>
          <w:sz w:val="18"/>
        </w:rPr>
        <w:t> </w:t>
      </w:r>
      <w:r>
        <w:rPr>
          <w:color w:val="231F20"/>
          <w:w w:val="105"/>
          <w:sz w:val="18"/>
        </w:rPr>
        <w:t>siquiera</w:t>
      </w:r>
      <w:r>
        <w:rPr>
          <w:color w:val="231F20"/>
          <w:spacing w:val="-11"/>
          <w:w w:val="105"/>
          <w:sz w:val="18"/>
        </w:rPr>
        <w:t> </w:t>
      </w:r>
      <w:r>
        <w:rPr>
          <w:color w:val="231F20"/>
          <w:w w:val="105"/>
          <w:sz w:val="18"/>
        </w:rPr>
        <w:t>quiero</w:t>
      </w:r>
      <w:r>
        <w:rPr>
          <w:color w:val="231F20"/>
          <w:spacing w:val="-11"/>
          <w:w w:val="105"/>
          <w:sz w:val="18"/>
        </w:rPr>
        <w:t> </w:t>
      </w:r>
      <w:r>
        <w:rPr>
          <w:color w:val="231F20"/>
          <w:spacing w:val="-3"/>
          <w:w w:val="105"/>
          <w:sz w:val="18"/>
        </w:rPr>
        <w:t>ir,</w:t>
      </w:r>
      <w:r>
        <w:rPr>
          <w:color w:val="231F20"/>
          <w:spacing w:val="-16"/>
          <w:w w:val="105"/>
          <w:sz w:val="18"/>
        </w:rPr>
        <w:t> </w:t>
      </w:r>
      <w:r>
        <w:rPr>
          <w:color w:val="231F20"/>
          <w:w w:val="105"/>
          <w:sz w:val="18"/>
        </w:rPr>
        <w:t>ja</w:t>
      </w:r>
      <w:r>
        <w:rPr>
          <w:color w:val="231F20"/>
          <w:spacing w:val="-11"/>
          <w:w w:val="105"/>
          <w:sz w:val="18"/>
        </w:rPr>
        <w:t> </w:t>
      </w:r>
      <w:r>
        <w:rPr>
          <w:color w:val="231F20"/>
          <w:w w:val="105"/>
          <w:sz w:val="18"/>
        </w:rPr>
        <w:t>ja</w:t>
      </w:r>
      <w:r>
        <w:rPr>
          <w:color w:val="231F20"/>
          <w:spacing w:val="-11"/>
          <w:w w:val="105"/>
          <w:sz w:val="18"/>
        </w:rPr>
        <w:t> </w:t>
      </w:r>
      <w:r>
        <w:rPr>
          <w:color w:val="231F20"/>
          <w:w w:val="105"/>
          <w:sz w:val="18"/>
        </w:rPr>
        <w:t>ja,</w:t>
      </w:r>
      <w:r>
        <w:rPr>
          <w:color w:val="231F20"/>
          <w:spacing w:val="-16"/>
          <w:w w:val="105"/>
          <w:sz w:val="18"/>
        </w:rPr>
        <w:t> </w:t>
      </w:r>
      <w:r>
        <w:rPr>
          <w:color w:val="231F20"/>
          <w:w w:val="105"/>
          <w:sz w:val="18"/>
        </w:rPr>
        <w:t>y</w:t>
      </w:r>
      <w:r>
        <w:rPr>
          <w:color w:val="231F20"/>
          <w:spacing w:val="-11"/>
          <w:w w:val="105"/>
          <w:sz w:val="18"/>
        </w:rPr>
        <w:t> </w:t>
      </w:r>
      <w:r>
        <w:rPr>
          <w:color w:val="231F20"/>
          <w:w w:val="105"/>
          <w:sz w:val="18"/>
        </w:rPr>
        <w:t>no</w:t>
      </w:r>
      <w:r>
        <w:rPr>
          <w:color w:val="231F20"/>
          <w:spacing w:val="-11"/>
          <w:w w:val="105"/>
          <w:sz w:val="18"/>
        </w:rPr>
        <w:t> </w:t>
      </w:r>
      <w:r>
        <w:rPr>
          <w:color w:val="231F20"/>
          <w:w w:val="105"/>
          <w:sz w:val="18"/>
        </w:rPr>
        <w:t>he</w:t>
      </w:r>
      <w:r>
        <w:rPr>
          <w:color w:val="231F20"/>
          <w:spacing w:val="-11"/>
          <w:w w:val="105"/>
          <w:sz w:val="18"/>
        </w:rPr>
        <w:t> </w:t>
      </w:r>
      <w:r>
        <w:rPr>
          <w:color w:val="231F20"/>
          <w:w w:val="105"/>
          <w:sz w:val="18"/>
        </w:rPr>
        <w:t>ido,</w:t>
      </w:r>
      <w:r>
        <w:rPr>
          <w:color w:val="231F20"/>
          <w:spacing w:val="-16"/>
          <w:w w:val="105"/>
          <w:sz w:val="18"/>
        </w:rPr>
        <w:t> </w:t>
      </w:r>
      <w:r>
        <w:rPr>
          <w:color w:val="231F20"/>
          <w:w w:val="105"/>
          <w:sz w:val="18"/>
        </w:rPr>
        <w:t>y</w:t>
      </w:r>
      <w:r>
        <w:rPr>
          <w:color w:val="231F20"/>
          <w:spacing w:val="-11"/>
          <w:w w:val="105"/>
          <w:sz w:val="18"/>
        </w:rPr>
        <w:t> </w:t>
      </w:r>
      <w:r>
        <w:rPr>
          <w:color w:val="231F20"/>
          <w:w w:val="105"/>
          <w:sz w:val="18"/>
        </w:rPr>
        <w:t>aquí</w:t>
      </w:r>
      <w:r>
        <w:rPr>
          <w:color w:val="231F20"/>
          <w:spacing w:val="-11"/>
          <w:w w:val="105"/>
          <w:sz w:val="18"/>
        </w:rPr>
        <w:t> </w:t>
      </w:r>
      <w:r>
        <w:rPr>
          <w:color w:val="231F20"/>
          <w:w w:val="105"/>
          <w:sz w:val="18"/>
        </w:rPr>
        <w:t>está</w:t>
      </w:r>
      <w:r>
        <w:rPr>
          <w:color w:val="231F20"/>
          <w:spacing w:val="-11"/>
          <w:w w:val="105"/>
          <w:sz w:val="18"/>
        </w:rPr>
        <w:t> </w:t>
      </w:r>
      <w:r>
        <w:rPr>
          <w:color w:val="231F20"/>
          <w:w w:val="105"/>
          <w:sz w:val="18"/>
        </w:rPr>
        <w:t>un</w:t>
      </w:r>
      <w:r>
        <w:rPr>
          <w:color w:val="231F20"/>
          <w:spacing w:val="-11"/>
          <w:w w:val="105"/>
          <w:sz w:val="18"/>
        </w:rPr>
        <w:t> </w:t>
      </w:r>
      <w:r>
        <w:rPr>
          <w:color w:val="231F20"/>
          <w:w w:val="105"/>
          <w:sz w:val="18"/>
        </w:rPr>
        <w:t>compadre de</w:t>
      </w:r>
      <w:r>
        <w:rPr>
          <w:color w:val="231F20"/>
          <w:spacing w:val="-3"/>
          <w:w w:val="105"/>
          <w:sz w:val="18"/>
        </w:rPr>
        <w:t> </w:t>
      </w:r>
      <w:r>
        <w:rPr>
          <w:color w:val="231F20"/>
          <w:w w:val="105"/>
          <w:sz w:val="18"/>
        </w:rPr>
        <w:t>mijo</w:t>
      </w:r>
      <w:r>
        <w:rPr>
          <w:color w:val="231F20"/>
          <w:spacing w:val="-3"/>
          <w:w w:val="105"/>
          <w:sz w:val="18"/>
        </w:rPr>
        <w:t> </w:t>
      </w:r>
      <w:r>
        <w:rPr>
          <w:color w:val="231F20"/>
          <w:w w:val="105"/>
          <w:sz w:val="18"/>
        </w:rPr>
        <w:t>el</w:t>
      </w:r>
      <w:r>
        <w:rPr>
          <w:color w:val="231F20"/>
          <w:spacing w:val="-3"/>
          <w:w w:val="105"/>
          <w:sz w:val="18"/>
        </w:rPr>
        <w:t> </w:t>
      </w:r>
      <w:r>
        <w:rPr>
          <w:color w:val="231F20"/>
          <w:w w:val="105"/>
          <w:sz w:val="18"/>
        </w:rPr>
        <w:t>más</w:t>
      </w:r>
      <w:r>
        <w:rPr>
          <w:color w:val="231F20"/>
          <w:spacing w:val="-3"/>
          <w:w w:val="105"/>
          <w:sz w:val="18"/>
        </w:rPr>
        <w:t> </w:t>
      </w:r>
      <w:r>
        <w:rPr>
          <w:color w:val="231F20"/>
          <w:w w:val="105"/>
          <w:sz w:val="18"/>
        </w:rPr>
        <w:t>chiquillo</w:t>
      </w:r>
      <w:r>
        <w:rPr>
          <w:color w:val="231F20"/>
          <w:spacing w:val="-3"/>
          <w:w w:val="105"/>
          <w:sz w:val="18"/>
        </w:rPr>
        <w:t> </w:t>
      </w:r>
      <w:r>
        <w:rPr>
          <w:color w:val="231F20"/>
          <w:w w:val="105"/>
          <w:sz w:val="18"/>
        </w:rPr>
        <w:t>que</w:t>
      </w:r>
      <w:r>
        <w:rPr>
          <w:color w:val="231F20"/>
          <w:spacing w:val="-3"/>
          <w:w w:val="105"/>
          <w:sz w:val="18"/>
        </w:rPr>
        <w:t> </w:t>
      </w:r>
      <w:r>
        <w:rPr>
          <w:color w:val="231F20"/>
          <w:w w:val="105"/>
          <w:sz w:val="18"/>
        </w:rPr>
        <w:t>me</w:t>
      </w:r>
      <w:r>
        <w:rPr>
          <w:color w:val="231F20"/>
          <w:spacing w:val="-3"/>
          <w:w w:val="105"/>
          <w:sz w:val="18"/>
        </w:rPr>
        <w:t> </w:t>
      </w:r>
      <w:r>
        <w:rPr>
          <w:color w:val="231F20"/>
          <w:w w:val="105"/>
          <w:sz w:val="18"/>
        </w:rPr>
        <w:t>mandó</w:t>
      </w:r>
      <w:r>
        <w:rPr>
          <w:color w:val="231F20"/>
          <w:spacing w:val="-3"/>
          <w:w w:val="105"/>
          <w:sz w:val="18"/>
        </w:rPr>
        <w:t> </w:t>
      </w:r>
      <w:r>
        <w:rPr>
          <w:color w:val="231F20"/>
          <w:w w:val="105"/>
          <w:sz w:val="18"/>
        </w:rPr>
        <w:t>decir</w:t>
      </w:r>
      <w:r>
        <w:rPr>
          <w:color w:val="231F20"/>
          <w:spacing w:val="-3"/>
          <w:w w:val="105"/>
          <w:sz w:val="18"/>
        </w:rPr>
        <w:t> </w:t>
      </w:r>
      <w:r>
        <w:rPr>
          <w:color w:val="231F20"/>
          <w:w w:val="105"/>
          <w:sz w:val="18"/>
        </w:rPr>
        <w:t>que</w:t>
      </w:r>
      <w:r>
        <w:rPr>
          <w:color w:val="231F20"/>
          <w:spacing w:val="-3"/>
          <w:w w:val="105"/>
          <w:sz w:val="18"/>
        </w:rPr>
        <w:t> </w:t>
      </w:r>
      <w:r>
        <w:rPr>
          <w:color w:val="231F20"/>
          <w:w w:val="105"/>
          <w:sz w:val="18"/>
        </w:rPr>
        <w:t>si</w:t>
      </w:r>
      <w:r>
        <w:rPr>
          <w:color w:val="231F20"/>
          <w:spacing w:val="-3"/>
          <w:w w:val="105"/>
          <w:sz w:val="18"/>
        </w:rPr>
        <w:t> </w:t>
      </w:r>
      <w:r>
        <w:rPr>
          <w:color w:val="231F20"/>
          <w:w w:val="105"/>
          <w:sz w:val="18"/>
        </w:rPr>
        <w:t>quería</w:t>
      </w:r>
      <w:r>
        <w:rPr>
          <w:color w:val="231F20"/>
          <w:spacing w:val="-3"/>
          <w:w w:val="105"/>
          <w:sz w:val="18"/>
        </w:rPr>
        <w:t> </w:t>
      </w:r>
      <w:r>
        <w:rPr>
          <w:color w:val="231F20"/>
          <w:w w:val="105"/>
          <w:sz w:val="18"/>
        </w:rPr>
        <w:t>el</w:t>
      </w:r>
      <w:r>
        <w:rPr>
          <w:color w:val="231F20"/>
          <w:spacing w:val="-3"/>
          <w:w w:val="105"/>
          <w:sz w:val="18"/>
        </w:rPr>
        <w:t> </w:t>
      </w:r>
      <w:r>
        <w:rPr>
          <w:color w:val="231F20"/>
          <w:w w:val="105"/>
          <w:sz w:val="18"/>
        </w:rPr>
        <w:t>me</w:t>
      </w:r>
      <w:r>
        <w:rPr>
          <w:color w:val="231F20"/>
          <w:spacing w:val="-3"/>
          <w:w w:val="105"/>
          <w:sz w:val="18"/>
        </w:rPr>
        <w:t> </w:t>
      </w:r>
      <w:r>
        <w:rPr>
          <w:color w:val="231F20"/>
          <w:w w:val="105"/>
          <w:sz w:val="18"/>
        </w:rPr>
        <w:t>arre- glaba el pasaporte para que fuera a conocer allá. Le dije que no, que gracias</w:t>
      </w:r>
      <w:r>
        <w:rPr>
          <w:color w:val="231F20"/>
          <w:spacing w:val="-8"/>
          <w:w w:val="105"/>
          <w:sz w:val="18"/>
        </w:rPr>
        <w:t> </w:t>
      </w:r>
      <w:r>
        <w:rPr>
          <w:color w:val="231F20"/>
          <w:w w:val="105"/>
          <w:sz w:val="18"/>
        </w:rPr>
        <w:t>porque</w:t>
      </w:r>
      <w:r>
        <w:rPr>
          <w:color w:val="231F20"/>
          <w:spacing w:val="-8"/>
          <w:w w:val="105"/>
          <w:sz w:val="18"/>
        </w:rPr>
        <w:t> </w:t>
      </w:r>
      <w:r>
        <w:rPr>
          <w:color w:val="231F20"/>
          <w:w w:val="105"/>
          <w:sz w:val="18"/>
        </w:rPr>
        <w:t>yo</w:t>
      </w:r>
      <w:r>
        <w:rPr>
          <w:color w:val="231F20"/>
          <w:spacing w:val="-8"/>
          <w:w w:val="105"/>
          <w:sz w:val="18"/>
        </w:rPr>
        <w:t> </w:t>
      </w:r>
      <w:r>
        <w:rPr>
          <w:color w:val="231F20"/>
          <w:w w:val="105"/>
          <w:sz w:val="18"/>
        </w:rPr>
        <w:t>no</w:t>
      </w:r>
      <w:r>
        <w:rPr>
          <w:color w:val="231F20"/>
          <w:spacing w:val="-8"/>
          <w:w w:val="105"/>
          <w:sz w:val="18"/>
        </w:rPr>
        <w:t> </w:t>
      </w:r>
      <w:r>
        <w:rPr>
          <w:color w:val="231F20"/>
          <w:w w:val="105"/>
          <w:sz w:val="18"/>
        </w:rPr>
        <w:t>pensaba</w:t>
      </w:r>
      <w:r>
        <w:rPr>
          <w:color w:val="231F20"/>
          <w:spacing w:val="-8"/>
          <w:w w:val="105"/>
          <w:sz w:val="18"/>
        </w:rPr>
        <w:t> </w:t>
      </w:r>
      <w:r>
        <w:rPr>
          <w:color w:val="231F20"/>
          <w:w w:val="105"/>
          <w:sz w:val="18"/>
        </w:rPr>
        <w:t>ir</w:t>
      </w:r>
      <w:r>
        <w:rPr>
          <w:color w:val="231F20"/>
          <w:spacing w:val="-8"/>
          <w:w w:val="105"/>
          <w:sz w:val="18"/>
        </w:rPr>
        <w:t> </w:t>
      </w:r>
      <w:r>
        <w:rPr>
          <w:color w:val="231F20"/>
          <w:w w:val="105"/>
          <w:sz w:val="18"/>
        </w:rPr>
        <w:t>allá</w:t>
      </w:r>
      <w:r>
        <w:rPr>
          <w:color w:val="231F20"/>
          <w:spacing w:val="-8"/>
          <w:w w:val="105"/>
          <w:sz w:val="18"/>
        </w:rPr>
        <w:t> </w:t>
      </w:r>
      <w:r>
        <w:rPr>
          <w:color w:val="231F20"/>
          <w:w w:val="105"/>
          <w:sz w:val="18"/>
        </w:rPr>
        <w:t>y</w:t>
      </w:r>
      <w:r>
        <w:rPr>
          <w:color w:val="231F20"/>
          <w:spacing w:val="-8"/>
          <w:w w:val="105"/>
          <w:sz w:val="18"/>
        </w:rPr>
        <w:t> </w:t>
      </w:r>
      <w:r>
        <w:rPr>
          <w:color w:val="231F20"/>
          <w:w w:val="105"/>
          <w:sz w:val="18"/>
        </w:rPr>
        <w:t>no</w:t>
      </w:r>
      <w:r>
        <w:rPr>
          <w:color w:val="231F20"/>
          <w:spacing w:val="-8"/>
          <w:w w:val="105"/>
          <w:sz w:val="18"/>
        </w:rPr>
        <w:t> </w:t>
      </w:r>
      <w:r>
        <w:rPr>
          <w:color w:val="231F20"/>
          <w:w w:val="105"/>
          <w:sz w:val="18"/>
        </w:rPr>
        <w:t>quise</w:t>
      </w:r>
      <w:r>
        <w:rPr>
          <w:color w:val="231F20"/>
          <w:spacing w:val="-8"/>
          <w:w w:val="105"/>
          <w:sz w:val="18"/>
        </w:rPr>
        <w:t> </w:t>
      </w:r>
      <w:r>
        <w:rPr>
          <w:color w:val="231F20"/>
          <w:w w:val="105"/>
          <w:sz w:val="18"/>
        </w:rPr>
        <w:t>ir</w:t>
      </w:r>
      <w:r>
        <w:rPr>
          <w:color w:val="231F20"/>
          <w:spacing w:val="-8"/>
          <w:w w:val="105"/>
          <w:sz w:val="18"/>
        </w:rPr>
        <w:t> </w:t>
      </w:r>
      <w:r>
        <w:rPr>
          <w:color w:val="231F20"/>
          <w:w w:val="105"/>
          <w:sz w:val="18"/>
        </w:rPr>
        <w:t>y</w:t>
      </w:r>
      <w:r>
        <w:rPr>
          <w:color w:val="231F20"/>
          <w:spacing w:val="-8"/>
          <w:w w:val="105"/>
          <w:sz w:val="18"/>
        </w:rPr>
        <w:t> </w:t>
      </w:r>
      <w:r>
        <w:rPr>
          <w:color w:val="231F20"/>
          <w:w w:val="105"/>
          <w:sz w:val="18"/>
        </w:rPr>
        <w:t>a</w:t>
      </w:r>
      <w:r>
        <w:rPr>
          <w:color w:val="231F20"/>
          <w:spacing w:val="-8"/>
          <w:w w:val="105"/>
          <w:sz w:val="18"/>
        </w:rPr>
        <w:t> </w:t>
      </w:r>
      <w:r>
        <w:rPr>
          <w:color w:val="231F20"/>
          <w:w w:val="105"/>
          <w:sz w:val="18"/>
        </w:rPr>
        <w:t>mija</w:t>
      </w:r>
      <w:r>
        <w:rPr>
          <w:color w:val="231F20"/>
          <w:spacing w:val="-8"/>
          <w:w w:val="105"/>
          <w:sz w:val="18"/>
        </w:rPr>
        <w:t> </w:t>
      </w:r>
      <w:r>
        <w:rPr>
          <w:color w:val="231F20"/>
          <w:w w:val="105"/>
          <w:sz w:val="18"/>
        </w:rPr>
        <w:t>pus</w:t>
      </w:r>
      <w:r>
        <w:rPr>
          <w:color w:val="231F20"/>
          <w:spacing w:val="-8"/>
          <w:w w:val="105"/>
          <w:sz w:val="18"/>
        </w:rPr>
        <w:t> </w:t>
      </w:r>
      <w:r>
        <w:rPr>
          <w:color w:val="231F20"/>
          <w:w w:val="105"/>
          <w:sz w:val="18"/>
        </w:rPr>
        <w:t>no</w:t>
      </w:r>
      <w:r>
        <w:rPr>
          <w:color w:val="231F20"/>
          <w:spacing w:val="-8"/>
          <w:w w:val="105"/>
          <w:sz w:val="18"/>
        </w:rPr>
        <w:t> </w:t>
      </w:r>
      <w:r>
        <w:rPr>
          <w:color w:val="231F20"/>
          <w:w w:val="105"/>
          <w:sz w:val="18"/>
        </w:rPr>
        <w:t>tarda que</w:t>
      </w:r>
      <w:r>
        <w:rPr>
          <w:color w:val="231F20"/>
          <w:spacing w:val="-3"/>
          <w:w w:val="105"/>
          <w:sz w:val="18"/>
        </w:rPr>
        <w:t> </w:t>
      </w:r>
      <w:r>
        <w:rPr>
          <w:color w:val="231F20"/>
          <w:w w:val="105"/>
          <w:sz w:val="18"/>
        </w:rPr>
        <w:t>vino</w:t>
      </w:r>
      <w:r>
        <w:rPr>
          <w:color w:val="231F20"/>
          <w:spacing w:val="-3"/>
          <w:w w:val="105"/>
          <w:sz w:val="18"/>
        </w:rPr>
        <w:t> </w:t>
      </w:r>
      <w:r>
        <w:rPr>
          <w:color w:val="231F20"/>
          <w:w w:val="105"/>
          <w:sz w:val="18"/>
        </w:rPr>
        <w:t>hace</w:t>
      </w:r>
      <w:r>
        <w:rPr>
          <w:color w:val="231F20"/>
          <w:spacing w:val="-3"/>
          <w:w w:val="105"/>
          <w:sz w:val="18"/>
        </w:rPr>
        <w:t> </w:t>
      </w:r>
      <w:r>
        <w:rPr>
          <w:color w:val="231F20"/>
          <w:w w:val="105"/>
          <w:sz w:val="18"/>
        </w:rPr>
        <w:t>un</w:t>
      </w:r>
      <w:r>
        <w:rPr>
          <w:color w:val="231F20"/>
          <w:spacing w:val="-3"/>
          <w:w w:val="105"/>
          <w:sz w:val="18"/>
        </w:rPr>
        <w:t> </w:t>
      </w:r>
      <w:r>
        <w:rPr>
          <w:color w:val="231F20"/>
          <w:w w:val="105"/>
          <w:sz w:val="18"/>
        </w:rPr>
        <w:t>mes</w:t>
      </w:r>
      <w:r>
        <w:rPr>
          <w:color w:val="231F20"/>
          <w:spacing w:val="-3"/>
          <w:w w:val="105"/>
          <w:sz w:val="18"/>
        </w:rPr>
        <w:t> </w:t>
      </w:r>
      <w:r>
        <w:rPr>
          <w:color w:val="231F20"/>
          <w:w w:val="105"/>
          <w:sz w:val="18"/>
        </w:rPr>
        <w:t>estuvo</w:t>
      </w:r>
      <w:r>
        <w:rPr>
          <w:color w:val="231F20"/>
          <w:spacing w:val="-3"/>
          <w:w w:val="105"/>
          <w:sz w:val="18"/>
        </w:rPr>
        <w:t> </w:t>
      </w:r>
      <w:r>
        <w:rPr>
          <w:color w:val="231F20"/>
          <w:w w:val="105"/>
          <w:sz w:val="18"/>
        </w:rPr>
        <w:t>aquí,</w:t>
      </w:r>
      <w:r>
        <w:rPr>
          <w:color w:val="231F20"/>
          <w:spacing w:val="-7"/>
          <w:w w:val="105"/>
          <w:sz w:val="18"/>
        </w:rPr>
        <w:t> </w:t>
      </w:r>
      <w:r>
        <w:rPr>
          <w:color w:val="231F20"/>
          <w:w w:val="105"/>
          <w:sz w:val="18"/>
        </w:rPr>
        <w:t>y</w:t>
      </w:r>
      <w:r>
        <w:rPr>
          <w:color w:val="231F20"/>
          <w:spacing w:val="-3"/>
          <w:w w:val="105"/>
          <w:sz w:val="18"/>
        </w:rPr>
        <w:t> </w:t>
      </w:r>
      <w:r>
        <w:rPr>
          <w:color w:val="231F20"/>
          <w:w w:val="105"/>
          <w:sz w:val="18"/>
        </w:rPr>
        <w:t>me</w:t>
      </w:r>
      <w:r>
        <w:rPr>
          <w:color w:val="231F20"/>
          <w:spacing w:val="-3"/>
          <w:w w:val="105"/>
          <w:sz w:val="18"/>
        </w:rPr>
        <w:t> </w:t>
      </w:r>
      <w:r>
        <w:rPr>
          <w:color w:val="231F20"/>
          <w:w w:val="105"/>
          <w:sz w:val="18"/>
        </w:rPr>
        <w:t>dice</w:t>
      </w:r>
      <w:r>
        <w:rPr>
          <w:color w:val="231F20"/>
          <w:spacing w:val="-3"/>
          <w:w w:val="105"/>
          <w:sz w:val="18"/>
        </w:rPr>
        <w:t> </w:t>
      </w:r>
      <w:r>
        <w:rPr>
          <w:color w:val="231F20"/>
          <w:w w:val="105"/>
          <w:sz w:val="18"/>
        </w:rPr>
        <w:t>mamá</w:t>
      </w:r>
      <w:r>
        <w:rPr>
          <w:color w:val="231F20"/>
          <w:spacing w:val="-3"/>
          <w:w w:val="105"/>
          <w:sz w:val="18"/>
        </w:rPr>
        <w:t> </w:t>
      </w:r>
      <w:r>
        <w:rPr>
          <w:color w:val="231F20"/>
          <w:w w:val="105"/>
          <w:sz w:val="18"/>
        </w:rPr>
        <w:t>ahora</w:t>
      </w:r>
      <w:r>
        <w:rPr>
          <w:color w:val="231F20"/>
          <w:spacing w:val="-3"/>
          <w:w w:val="105"/>
          <w:sz w:val="18"/>
        </w:rPr>
        <w:t> </w:t>
      </w:r>
      <w:r>
        <w:rPr>
          <w:color w:val="231F20"/>
          <w:w w:val="105"/>
          <w:sz w:val="18"/>
        </w:rPr>
        <w:t>si</w:t>
      </w:r>
      <w:r>
        <w:rPr>
          <w:color w:val="231F20"/>
          <w:spacing w:val="-3"/>
          <w:w w:val="105"/>
          <w:sz w:val="18"/>
        </w:rPr>
        <w:t> </w:t>
      </w:r>
      <w:r>
        <w:rPr>
          <w:color w:val="231F20"/>
          <w:w w:val="105"/>
          <w:sz w:val="18"/>
        </w:rPr>
        <w:t>váyanse arreglando</w:t>
      </w:r>
      <w:r>
        <w:rPr>
          <w:color w:val="231F20"/>
          <w:spacing w:val="-5"/>
          <w:w w:val="105"/>
          <w:sz w:val="18"/>
        </w:rPr>
        <w:t> </w:t>
      </w:r>
      <w:r>
        <w:rPr>
          <w:color w:val="231F20"/>
          <w:w w:val="105"/>
          <w:sz w:val="18"/>
        </w:rPr>
        <w:t>que</w:t>
      </w:r>
      <w:r>
        <w:rPr>
          <w:color w:val="231F20"/>
          <w:spacing w:val="-5"/>
          <w:w w:val="105"/>
          <w:sz w:val="18"/>
        </w:rPr>
        <w:t> </w:t>
      </w:r>
      <w:r>
        <w:rPr>
          <w:color w:val="231F20"/>
          <w:w w:val="105"/>
          <w:sz w:val="18"/>
        </w:rPr>
        <w:t>nos</w:t>
      </w:r>
      <w:r>
        <w:rPr>
          <w:color w:val="231F20"/>
          <w:spacing w:val="-5"/>
          <w:w w:val="105"/>
          <w:sz w:val="18"/>
        </w:rPr>
        <w:t> </w:t>
      </w:r>
      <w:r>
        <w:rPr>
          <w:color w:val="231F20"/>
          <w:w w:val="105"/>
          <w:sz w:val="18"/>
        </w:rPr>
        <w:t>vamos</w:t>
      </w:r>
      <w:r>
        <w:rPr>
          <w:color w:val="231F20"/>
          <w:spacing w:val="-5"/>
          <w:w w:val="105"/>
          <w:sz w:val="18"/>
        </w:rPr>
        <w:t> </w:t>
      </w:r>
      <w:r>
        <w:rPr>
          <w:color w:val="231F20"/>
          <w:w w:val="105"/>
          <w:sz w:val="18"/>
        </w:rPr>
        <w:t>a</w:t>
      </w:r>
      <w:r>
        <w:rPr>
          <w:color w:val="231F20"/>
          <w:spacing w:val="-5"/>
          <w:w w:val="105"/>
          <w:sz w:val="18"/>
        </w:rPr>
        <w:t> </w:t>
      </w:r>
      <w:r>
        <w:rPr>
          <w:color w:val="231F20"/>
          <w:w w:val="105"/>
          <w:sz w:val="18"/>
        </w:rPr>
        <w:t>ir</w:t>
      </w:r>
      <w:r>
        <w:rPr>
          <w:color w:val="231F20"/>
          <w:spacing w:val="-5"/>
          <w:w w:val="105"/>
          <w:sz w:val="18"/>
        </w:rPr>
        <w:t> </w:t>
      </w:r>
      <w:r>
        <w:rPr>
          <w:color w:val="231F20"/>
          <w:w w:val="105"/>
          <w:sz w:val="18"/>
        </w:rPr>
        <w:t>para</w:t>
      </w:r>
      <w:r>
        <w:rPr>
          <w:color w:val="231F20"/>
          <w:spacing w:val="-5"/>
          <w:w w:val="105"/>
          <w:sz w:val="18"/>
        </w:rPr>
        <w:t> </w:t>
      </w:r>
      <w:r>
        <w:rPr>
          <w:color w:val="231F20"/>
          <w:w w:val="105"/>
          <w:sz w:val="18"/>
        </w:rPr>
        <w:t>allá,</w:t>
      </w:r>
      <w:r>
        <w:rPr>
          <w:color w:val="231F20"/>
          <w:spacing w:val="-9"/>
          <w:w w:val="105"/>
          <w:sz w:val="18"/>
        </w:rPr>
        <w:t> </w:t>
      </w:r>
      <w:r>
        <w:rPr>
          <w:color w:val="231F20"/>
          <w:w w:val="105"/>
          <w:sz w:val="18"/>
        </w:rPr>
        <w:t>y</w:t>
      </w:r>
      <w:r>
        <w:rPr>
          <w:color w:val="231F20"/>
          <w:spacing w:val="-5"/>
          <w:w w:val="105"/>
          <w:sz w:val="18"/>
        </w:rPr>
        <w:t> </w:t>
      </w:r>
      <w:r>
        <w:rPr>
          <w:color w:val="231F20"/>
          <w:w w:val="105"/>
          <w:sz w:val="18"/>
        </w:rPr>
        <w:t>le</w:t>
      </w:r>
      <w:r>
        <w:rPr>
          <w:color w:val="231F20"/>
          <w:spacing w:val="-5"/>
          <w:w w:val="105"/>
          <w:sz w:val="18"/>
        </w:rPr>
        <w:t> </w:t>
      </w:r>
      <w:r>
        <w:rPr>
          <w:color w:val="231F20"/>
          <w:w w:val="105"/>
          <w:sz w:val="18"/>
        </w:rPr>
        <w:t>digo</w:t>
      </w:r>
      <w:r>
        <w:rPr>
          <w:color w:val="231F20"/>
          <w:spacing w:val="-5"/>
          <w:w w:val="105"/>
          <w:sz w:val="18"/>
        </w:rPr>
        <w:t> </w:t>
      </w:r>
      <w:r>
        <w:rPr>
          <w:color w:val="231F20"/>
          <w:w w:val="105"/>
          <w:sz w:val="18"/>
        </w:rPr>
        <w:t>no</w:t>
      </w:r>
      <w:r>
        <w:rPr>
          <w:color w:val="231F20"/>
          <w:spacing w:val="-5"/>
          <w:w w:val="105"/>
          <w:sz w:val="18"/>
        </w:rPr>
        <w:t> </w:t>
      </w:r>
      <w:r>
        <w:rPr>
          <w:color w:val="231F20"/>
          <w:w w:val="105"/>
          <w:sz w:val="18"/>
        </w:rPr>
        <w:t>mija</w:t>
      </w:r>
      <w:r>
        <w:rPr>
          <w:color w:val="231F20"/>
          <w:spacing w:val="-5"/>
          <w:w w:val="105"/>
          <w:sz w:val="18"/>
        </w:rPr>
        <w:t> </w:t>
      </w:r>
      <w:r>
        <w:rPr>
          <w:color w:val="231F20"/>
          <w:w w:val="105"/>
          <w:sz w:val="18"/>
        </w:rPr>
        <w:t>te</w:t>
      </w:r>
      <w:r>
        <w:rPr>
          <w:color w:val="231F20"/>
          <w:spacing w:val="-5"/>
          <w:w w:val="105"/>
          <w:sz w:val="18"/>
        </w:rPr>
        <w:t> </w:t>
      </w:r>
      <w:r>
        <w:rPr>
          <w:color w:val="231F20"/>
          <w:w w:val="105"/>
          <w:sz w:val="18"/>
        </w:rPr>
        <w:t>vas</w:t>
      </w:r>
      <w:r>
        <w:rPr>
          <w:color w:val="231F20"/>
          <w:spacing w:val="-5"/>
          <w:w w:val="105"/>
          <w:sz w:val="18"/>
        </w:rPr>
        <w:t> </w:t>
      </w:r>
      <w:r>
        <w:rPr>
          <w:color w:val="231F20"/>
          <w:w w:val="105"/>
          <w:sz w:val="18"/>
        </w:rPr>
        <w:t>a</w:t>
      </w:r>
      <w:r>
        <w:rPr>
          <w:color w:val="231F20"/>
          <w:spacing w:val="-5"/>
          <w:w w:val="105"/>
          <w:sz w:val="18"/>
        </w:rPr>
        <w:t> </w:t>
      </w:r>
      <w:r>
        <w:rPr>
          <w:color w:val="231F20"/>
          <w:w w:val="105"/>
          <w:sz w:val="18"/>
        </w:rPr>
        <w:t>ir</w:t>
      </w:r>
      <w:r>
        <w:rPr>
          <w:color w:val="231F20"/>
          <w:spacing w:val="-5"/>
          <w:w w:val="105"/>
          <w:sz w:val="18"/>
        </w:rPr>
        <w:t> </w:t>
      </w:r>
      <w:r>
        <w:rPr>
          <w:color w:val="231F20"/>
          <w:w w:val="105"/>
          <w:sz w:val="18"/>
        </w:rPr>
        <w:t>tú pero</w:t>
      </w:r>
      <w:r>
        <w:rPr>
          <w:color w:val="231F20"/>
          <w:spacing w:val="-13"/>
          <w:w w:val="105"/>
          <w:sz w:val="18"/>
        </w:rPr>
        <w:t> </w:t>
      </w:r>
      <w:r>
        <w:rPr>
          <w:color w:val="231F20"/>
          <w:w w:val="105"/>
          <w:sz w:val="18"/>
        </w:rPr>
        <w:t>yo</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ja</w:t>
      </w:r>
      <w:r>
        <w:rPr>
          <w:color w:val="231F20"/>
          <w:spacing w:val="-13"/>
          <w:w w:val="105"/>
          <w:sz w:val="18"/>
        </w:rPr>
        <w:t> </w:t>
      </w:r>
      <w:r>
        <w:rPr>
          <w:color w:val="231F20"/>
          <w:w w:val="105"/>
          <w:sz w:val="18"/>
        </w:rPr>
        <w:t>ja</w:t>
      </w:r>
      <w:r>
        <w:rPr>
          <w:color w:val="231F20"/>
          <w:spacing w:val="-13"/>
          <w:w w:val="105"/>
          <w:sz w:val="18"/>
        </w:rPr>
        <w:t> </w:t>
      </w:r>
      <w:r>
        <w:rPr>
          <w:color w:val="231F20"/>
          <w:w w:val="105"/>
          <w:sz w:val="18"/>
        </w:rPr>
        <w:t>ja</w:t>
      </w:r>
      <w:r>
        <w:rPr>
          <w:color w:val="231F20"/>
          <w:spacing w:val="-13"/>
          <w:w w:val="105"/>
          <w:sz w:val="18"/>
        </w:rPr>
        <w:t> </w:t>
      </w:r>
      <w:r>
        <w:rPr>
          <w:color w:val="231F20"/>
          <w:w w:val="105"/>
          <w:sz w:val="18"/>
        </w:rPr>
        <w:t>(Gpe.,</w:t>
      </w:r>
      <w:r>
        <w:rPr>
          <w:color w:val="231F20"/>
          <w:spacing w:val="-18"/>
          <w:w w:val="105"/>
          <w:sz w:val="18"/>
        </w:rPr>
        <w:t> </w:t>
      </w:r>
      <w:r>
        <w:rPr>
          <w:color w:val="231F20"/>
          <w:w w:val="105"/>
          <w:sz w:val="18"/>
        </w:rPr>
        <w:t>2013).</w:t>
      </w:r>
    </w:p>
    <w:p>
      <w:pPr>
        <w:pStyle w:val="BodyText"/>
        <w:rPr>
          <w:sz w:val="18"/>
        </w:rPr>
      </w:pPr>
    </w:p>
    <w:p>
      <w:pPr>
        <w:pStyle w:val="BodyText"/>
        <w:spacing w:before="5"/>
        <w:rPr>
          <w:sz w:val="26"/>
        </w:rPr>
      </w:pPr>
    </w:p>
    <w:p>
      <w:pPr>
        <w:pStyle w:val="BodyText"/>
        <w:spacing w:line="261" w:lineRule="auto"/>
        <w:ind w:left="1723" w:right="1830"/>
        <w:jc w:val="both"/>
      </w:pPr>
      <w:r>
        <w:rPr>
          <w:color w:val="231F20"/>
          <w:spacing w:val="-3"/>
          <w:w w:val="105"/>
        </w:rPr>
        <w:t>“Los</w:t>
      </w:r>
      <w:r>
        <w:rPr>
          <w:color w:val="231F20"/>
          <w:spacing w:val="-27"/>
          <w:w w:val="105"/>
        </w:rPr>
        <w:t> </w:t>
      </w:r>
      <w:r>
        <w:rPr>
          <w:color w:val="231F20"/>
          <w:w w:val="105"/>
        </w:rPr>
        <w:t>inmigrantes</w:t>
      </w:r>
      <w:r>
        <w:rPr>
          <w:color w:val="231F20"/>
          <w:spacing w:val="-27"/>
          <w:w w:val="105"/>
        </w:rPr>
        <w:t> </w:t>
      </w:r>
      <w:r>
        <w:rPr>
          <w:color w:val="231F20"/>
          <w:w w:val="105"/>
        </w:rPr>
        <w:t>aportan</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familia</w:t>
      </w:r>
      <w:r>
        <w:rPr>
          <w:color w:val="231F20"/>
          <w:spacing w:val="-27"/>
          <w:w w:val="105"/>
        </w:rPr>
        <w:t> </w:t>
      </w:r>
      <w:r>
        <w:rPr>
          <w:color w:val="231F20"/>
          <w:w w:val="105"/>
        </w:rPr>
        <w:t>nuevos</w:t>
      </w:r>
      <w:r>
        <w:rPr>
          <w:color w:val="231F20"/>
          <w:spacing w:val="-27"/>
          <w:w w:val="105"/>
        </w:rPr>
        <w:t> </w:t>
      </w:r>
      <w:r>
        <w:rPr>
          <w:color w:val="231F20"/>
          <w:spacing w:val="-3"/>
          <w:w w:val="105"/>
        </w:rPr>
        <w:t>recursos</w:t>
      </w:r>
      <w:r>
        <w:rPr>
          <w:color w:val="231F20"/>
          <w:spacing w:val="-27"/>
          <w:w w:val="105"/>
        </w:rPr>
        <w:t> </w:t>
      </w:r>
      <w:r>
        <w:rPr>
          <w:color w:val="231F20"/>
          <w:w w:val="105"/>
        </w:rPr>
        <w:t>económicos,</w:t>
      </w:r>
      <w:r>
        <w:rPr>
          <w:color w:val="231F20"/>
          <w:spacing w:val="-30"/>
          <w:w w:val="105"/>
        </w:rPr>
        <w:t> </w:t>
      </w:r>
      <w:r>
        <w:rPr>
          <w:color w:val="231F20"/>
          <w:w w:val="105"/>
        </w:rPr>
        <w:t>socia- les</w:t>
      </w:r>
      <w:r>
        <w:rPr>
          <w:color w:val="231F20"/>
          <w:spacing w:val="-19"/>
          <w:w w:val="105"/>
        </w:rPr>
        <w:t> </w:t>
      </w:r>
      <w:r>
        <w:rPr>
          <w:color w:val="231F20"/>
          <w:w w:val="105"/>
        </w:rPr>
        <w:t>y</w:t>
      </w:r>
      <w:r>
        <w:rPr>
          <w:color w:val="231F20"/>
          <w:spacing w:val="-19"/>
          <w:w w:val="105"/>
        </w:rPr>
        <w:t> </w:t>
      </w:r>
      <w:r>
        <w:rPr>
          <w:color w:val="231F20"/>
          <w:w w:val="105"/>
        </w:rPr>
        <w:t>simbólicos</w:t>
      </w:r>
      <w:r>
        <w:rPr>
          <w:color w:val="231F20"/>
          <w:spacing w:val="-19"/>
          <w:w w:val="105"/>
        </w:rPr>
        <w:t> </w:t>
      </w:r>
      <w:r>
        <w:rPr>
          <w:color w:val="231F20"/>
          <w:w w:val="105"/>
        </w:rPr>
        <w:t>y</w:t>
      </w:r>
      <w:r>
        <w:rPr>
          <w:color w:val="231F20"/>
          <w:spacing w:val="-19"/>
          <w:w w:val="105"/>
        </w:rPr>
        <w:t> </w:t>
      </w:r>
      <w:r>
        <w:rPr>
          <w:color w:val="231F20"/>
          <w:w w:val="105"/>
        </w:rPr>
        <w:t>ese</w:t>
      </w:r>
      <w:r>
        <w:rPr>
          <w:color w:val="231F20"/>
          <w:spacing w:val="-19"/>
          <w:w w:val="105"/>
        </w:rPr>
        <w:t> </w:t>
      </w:r>
      <w:r>
        <w:rPr>
          <w:color w:val="231F20"/>
          <w:w w:val="105"/>
        </w:rPr>
        <w:t>capital</w:t>
      </w:r>
      <w:r>
        <w:rPr>
          <w:color w:val="231F20"/>
          <w:spacing w:val="-19"/>
          <w:w w:val="105"/>
        </w:rPr>
        <w:t> </w:t>
      </w:r>
      <w:r>
        <w:rPr>
          <w:color w:val="231F20"/>
          <w:w w:val="105"/>
        </w:rPr>
        <w:t>novedoso</w:t>
      </w:r>
      <w:r>
        <w:rPr>
          <w:color w:val="231F20"/>
          <w:spacing w:val="-19"/>
          <w:w w:val="105"/>
        </w:rPr>
        <w:t> </w:t>
      </w:r>
      <w:r>
        <w:rPr>
          <w:color w:val="231F20"/>
          <w:w w:val="105"/>
        </w:rPr>
        <w:t>se</w:t>
      </w:r>
      <w:r>
        <w:rPr>
          <w:color w:val="231F20"/>
          <w:spacing w:val="-19"/>
          <w:w w:val="105"/>
        </w:rPr>
        <w:t> </w:t>
      </w:r>
      <w:r>
        <w:rPr>
          <w:color w:val="231F20"/>
          <w:w w:val="105"/>
        </w:rPr>
        <w:t>hace</w:t>
      </w:r>
      <w:r>
        <w:rPr>
          <w:color w:val="231F20"/>
          <w:spacing w:val="-19"/>
          <w:w w:val="105"/>
        </w:rPr>
        <w:t> </w:t>
      </w:r>
      <w:r>
        <w:rPr>
          <w:color w:val="231F20"/>
          <w:w w:val="105"/>
        </w:rPr>
        <w:t>dominante</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entorno social de origen. Su capital es más valorado que el de los que se </w:t>
      </w:r>
      <w:r>
        <w:rPr>
          <w:color w:val="231F20"/>
          <w:spacing w:val="-2"/>
          <w:w w:val="105"/>
        </w:rPr>
        <w:t>han </w:t>
      </w:r>
      <w:r>
        <w:rPr>
          <w:color w:val="231F20"/>
          <w:w w:val="105"/>
        </w:rPr>
        <w:t>quedado </w:t>
      </w:r>
      <w:r>
        <w:rPr>
          <w:color w:val="231F20"/>
          <w:spacing w:val="-4"/>
          <w:w w:val="105"/>
        </w:rPr>
        <w:t>inmóviles.” </w:t>
      </w:r>
      <w:r>
        <w:rPr>
          <w:color w:val="231F20"/>
          <w:w w:val="105"/>
        </w:rPr>
        <w:t>(Gomes, 2007:16). Eso significa también que, si la decisión</w:t>
      </w:r>
      <w:r>
        <w:rPr>
          <w:color w:val="231F20"/>
          <w:spacing w:val="-20"/>
          <w:w w:val="105"/>
        </w:rPr>
        <w:t> </w:t>
      </w:r>
      <w:r>
        <w:rPr>
          <w:color w:val="231F20"/>
          <w:w w:val="105"/>
        </w:rPr>
        <w:t>de</w:t>
      </w:r>
      <w:r>
        <w:rPr>
          <w:color w:val="231F20"/>
          <w:spacing w:val="-20"/>
          <w:w w:val="105"/>
        </w:rPr>
        <w:t> </w:t>
      </w:r>
      <w:r>
        <w:rPr>
          <w:color w:val="231F20"/>
          <w:w w:val="105"/>
        </w:rPr>
        <w:t>migrar</w:t>
      </w:r>
      <w:r>
        <w:rPr>
          <w:color w:val="231F20"/>
          <w:spacing w:val="-20"/>
          <w:w w:val="105"/>
        </w:rPr>
        <w:t> </w:t>
      </w:r>
      <w:r>
        <w:rPr>
          <w:color w:val="231F20"/>
          <w:w w:val="105"/>
        </w:rPr>
        <w:t>es</w:t>
      </w:r>
      <w:r>
        <w:rPr>
          <w:color w:val="231F20"/>
          <w:spacing w:val="-20"/>
          <w:w w:val="105"/>
        </w:rPr>
        <w:t> </w:t>
      </w:r>
      <w:r>
        <w:rPr>
          <w:color w:val="231F20"/>
          <w:w w:val="105"/>
        </w:rPr>
        <w:t>individual,</w:t>
      </w:r>
      <w:r>
        <w:rPr>
          <w:color w:val="231F20"/>
          <w:spacing w:val="-25"/>
          <w:w w:val="105"/>
        </w:rPr>
        <w:t> </w:t>
      </w:r>
      <w:r>
        <w:rPr>
          <w:color w:val="231F20"/>
          <w:w w:val="105"/>
        </w:rPr>
        <w:t>el</w:t>
      </w:r>
      <w:r>
        <w:rPr>
          <w:color w:val="231F20"/>
          <w:spacing w:val="-20"/>
          <w:w w:val="105"/>
        </w:rPr>
        <w:t> </w:t>
      </w:r>
      <w:r>
        <w:rPr>
          <w:color w:val="231F20"/>
          <w:spacing w:val="-3"/>
          <w:w w:val="105"/>
        </w:rPr>
        <w:t>proceso</w:t>
      </w:r>
      <w:r>
        <w:rPr>
          <w:color w:val="231F20"/>
          <w:spacing w:val="-20"/>
          <w:w w:val="105"/>
        </w:rPr>
        <w:t> </w:t>
      </w:r>
      <w:r>
        <w:rPr>
          <w:color w:val="231F20"/>
          <w:w w:val="105"/>
        </w:rPr>
        <w:t>es</w:t>
      </w:r>
      <w:r>
        <w:rPr>
          <w:color w:val="231F20"/>
          <w:spacing w:val="-20"/>
          <w:w w:val="105"/>
        </w:rPr>
        <w:t> </w:t>
      </w:r>
      <w:r>
        <w:rPr>
          <w:color w:val="231F20"/>
          <w:w w:val="105"/>
        </w:rPr>
        <w:t>colectivo,</w:t>
      </w:r>
      <w:r>
        <w:rPr>
          <w:color w:val="231F20"/>
          <w:spacing w:val="-25"/>
          <w:w w:val="105"/>
        </w:rPr>
        <w:t> </w:t>
      </w:r>
      <w:r>
        <w:rPr>
          <w:color w:val="231F20"/>
          <w:w w:val="105"/>
        </w:rPr>
        <w:t>hasta</w:t>
      </w:r>
      <w:r>
        <w:rPr>
          <w:color w:val="231F20"/>
          <w:spacing w:val="-20"/>
          <w:w w:val="105"/>
        </w:rPr>
        <w:t> </w:t>
      </w:r>
      <w:r>
        <w:rPr>
          <w:color w:val="231F20"/>
          <w:w w:val="105"/>
        </w:rPr>
        <w:t>comunita- rio,</w:t>
      </w:r>
      <w:r>
        <w:rPr>
          <w:color w:val="231F20"/>
          <w:spacing w:val="-16"/>
          <w:w w:val="105"/>
        </w:rPr>
        <w:t> </w:t>
      </w:r>
      <w:r>
        <w:rPr>
          <w:color w:val="231F20"/>
          <w:spacing w:val="-3"/>
          <w:w w:val="105"/>
        </w:rPr>
        <w:t>porque</w:t>
      </w:r>
      <w:r>
        <w:rPr>
          <w:color w:val="231F20"/>
          <w:spacing w:val="-11"/>
          <w:w w:val="105"/>
        </w:rPr>
        <w:t> </w:t>
      </w:r>
      <w:r>
        <w:rPr>
          <w:color w:val="231F20"/>
          <w:w w:val="105"/>
        </w:rPr>
        <w:t>la</w:t>
      </w:r>
      <w:r>
        <w:rPr>
          <w:color w:val="231F20"/>
          <w:spacing w:val="-11"/>
          <w:w w:val="105"/>
        </w:rPr>
        <w:t> </w:t>
      </w:r>
      <w:r>
        <w:rPr>
          <w:color w:val="231F20"/>
          <w:spacing w:val="-3"/>
          <w:w w:val="105"/>
        </w:rPr>
        <w:t>referencia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idealización</w:t>
      </w:r>
      <w:r>
        <w:rPr>
          <w:color w:val="231F20"/>
          <w:spacing w:val="-11"/>
          <w:w w:val="105"/>
        </w:rPr>
        <w:t> </w:t>
      </w:r>
      <w:r>
        <w:rPr>
          <w:color w:val="231F20"/>
          <w:w w:val="105"/>
        </w:rPr>
        <w:t>es</w:t>
      </w:r>
      <w:r>
        <w:rPr>
          <w:color w:val="231F20"/>
          <w:spacing w:val="-11"/>
          <w:w w:val="105"/>
        </w:rPr>
        <w:t> </w:t>
      </w:r>
      <w:r>
        <w:rPr>
          <w:color w:val="231F20"/>
          <w:w w:val="105"/>
        </w:rPr>
        <w:t>colectiva,</w:t>
      </w:r>
      <w:r>
        <w:rPr>
          <w:color w:val="231F20"/>
          <w:spacing w:val="-16"/>
          <w:w w:val="105"/>
        </w:rPr>
        <w:t> </w:t>
      </w:r>
      <w:r>
        <w:rPr>
          <w:color w:val="231F20"/>
          <w:w w:val="105"/>
        </w:rPr>
        <w:t>sólo</w:t>
      </w:r>
      <w:r>
        <w:rPr>
          <w:color w:val="231F20"/>
          <w:spacing w:val="-11"/>
          <w:w w:val="105"/>
        </w:rPr>
        <w:t> </w:t>
      </w:r>
      <w:r>
        <w:rPr>
          <w:color w:val="231F20"/>
          <w:w w:val="105"/>
        </w:rPr>
        <w:t>es</w:t>
      </w:r>
      <w:r>
        <w:rPr>
          <w:color w:val="231F20"/>
          <w:spacing w:val="-11"/>
          <w:w w:val="105"/>
        </w:rPr>
        <w:t> </w:t>
      </w:r>
      <w:r>
        <w:rPr>
          <w:color w:val="231F20"/>
          <w:spacing w:val="-3"/>
          <w:w w:val="105"/>
        </w:rPr>
        <w:t>particular </w:t>
      </w:r>
      <w:r>
        <w:rPr>
          <w:color w:val="231F20"/>
          <w:w w:val="105"/>
        </w:rPr>
        <w:t>en lo que se </w:t>
      </w:r>
      <w:r>
        <w:rPr>
          <w:color w:val="231F20"/>
          <w:spacing w:val="-3"/>
          <w:w w:val="105"/>
        </w:rPr>
        <w:t>refiere </w:t>
      </w:r>
      <w:r>
        <w:rPr>
          <w:color w:val="231F20"/>
          <w:w w:val="105"/>
        </w:rPr>
        <w:t>a la </w:t>
      </w:r>
      <w:r>
        <w:rPr>
          <w:color w:val="231F20"/>
          <w:spacing w:val="-3"/>
          <w:w w:val="105"/>
        </w:rPr>
        <w:t>promoción </w:t>
      </w:r>
      <w:r>
        <w:rPr>
          <w:color w:val="231F20"/>
          <w:w w:val="105"/>
        </w:rPr>
        <w:t>social en sociedades </w:t>
      </w:r>
      <w:r>
        <w:rPr>
          <w:color w:val="231F20"/>
          <w:spacing w:val="-3"/>
          <w:w w:val="105"/>
        </w:rPr>
        <w:t>tradicionales, entre</w:t>
      </w:r>
      <w:r>
        <w:rPr>
          <w:color w:val="231F20"/>
          <w:spacing w:val="-20"/>
          <w:w w:val="105"/>
        </w:rPr>
        <w:t> </w:t>
      </w:r>
      <w:r>
        <w:rPr>
          <w:color w:val="231F20"/>
          <w:spacing w:val="-3"/>
          <w:w w:val="105"/>
        </w:rPr>
        <w:t>otras.</w:t>
      </w:r>
    </w:p>
    <w:p>
      <w:pPr>
        <w:pStyle w:val="BodyText"/>
        <w:spacing w:line="261" w:lineRule="auto" w:before="1"/>
        <w:ind w:left="1723" w:right="1683" w:firstLine="567"/>
      </w:pPr>
      <w:r>
        <w:rPr>
          <w:color w:val="231F20"/>
          <w:w w:val="105"/>
        </w:rPr>
        <w:t>Doña Guadalupe, de 70 años, cuyo esposo fue bracero, dice res- pecto a la decisión de sus hijos de migrar:</w:t>
      </w:r>
    </w:p>
    <w:p>
      <w:pPr>
        <w:pStyle w:val="BodyText"/>
        <w:rPr>
          <w:sz w:val="20"/>
        </w:rPr>
      </w:pPr>
    </w:p>
    <w:p>
      <w:pPr>
        <w:pStyle w:val="BodyText"/>
        <w:spacing w:before="7"/>
      </w:pPr>
    </w:p>
    <w:p>
      <w:pPr>
        <w:spacing w:line="254" w:lineRule="auto" w:before="0"/>
        <w:ind w:left="2857" w:right="1834" w:firstLine="0"/>
        <w:jc w:val="both"/>
        <w:rPr>
          <w:sz w:val="18"/>
        </w:rPr>
      </w:pPr>
      <w:r>
        <w:rPr>
          <w:color w:val="231F20"/>
          <w:w w:val="105"/>
          <w:sz w:val="18"/>
        </w:rPr>
        <w:t>aquí</w:t>
      </w:r>
      <w:r>
        <w:rPr>
          <w:color w:val="231F20"/>
          <w:spacing w:val="-14"/>
          <w:w w:val="105"/>
          <w:sz w:val="18"/>
        </w:rPr>
        <w:t> </w:t>
      </w:r>
      <w:r>
        <w:rPr>
          <w:color w:val="231F20"/>
          <w:w w:val="105"/>
          <w:sz w:val="18"/>
        </w:rPr>
        <w:t>nada</w:t>
      </w:r>
      <w:r>
        <w:rPr>
          <w:color w:val="231F20"/>
          <w:spacing w:val="-14"/>
          <w:w w:val="105"/>
          <w:sz w:val="18"/>
        </w:rPr>
        <w:t> </w:t>
      </w:r>
      <w:r>
        <w:rPr>
          <w:color w:val="231F20"/>
          <w:w w:val="105"/>
          <w:sz w:val="18"/>
        </w:rPr>
        <w:t>más</w:t>
      </w:r>
      <w:r>
        <w:rPr>
          <w:color w:val="231F20"/>
          <w:spacing w:val="-14"/>
          <w:w w:val="105"/>
          <w:sz w:val="18"/>
        </w:rPr>
        <w:t> </w:t>
      </w:r>
      <w:r>
        <w:rPr>
          <w:color w:val="231F20"/>
          <w:w w:val="105"/>
          <w:sz w:val="18"/>
        </w:rPr>
        <w:t>estudiaban,</w:t>
      </w:r>
      <w:r>
        <w:rPr>
          <w:color w:val="231F20"/>
          <w:spacing w:val="-18"/>
          <w:w w:val="105"/>
          <w:sz w:val="18"/>
        </w:rPr>
        <w:t> </w:t>
      </w:r>
      <w:r>
        <w:rPr>
          <w:color w:val="231F20"/>
          <w:w w:val="105"/>
          <w:sz w:val="18"/>
        </w:rPr>
        <w:t>nada</w:t>
      </w:r>
      <w:r>
        <w:rPr>
          <w:color w:val="231F20"/>
          <w:spacing w:val="-14"/>
          <w:w w:val="105"/>
          <w:sz w:val="18"/>
        </w:rPr>
        <w:t> </w:t>
      </w:r>
      <w:r>
        <w:rPr>
          <w:color w:val="231F20"/>
          <w:w w:val="105"/>
          <w:sz w:val="18"/>
        </w:rPr>
        <w:t>más</w:t>
      </w:r>
      <w:r>
        <w:rPr>
          <w:color w:val="231F20"/>
          <w:spacing w:val="-14"/>
          <w:w w:val="105"/>
          <w:sz w:val="18"/>
        </w:rPr>
        <w:t> </w:t>
      </w:r>
      <w:r>
        <w:rPr>
          <w:color w:val="231F20"/>
          <w:w w:val="105"/>
          <w:sz w:val="18"/>
        </w:rPr>
        <w:t>iban</w:t>
      </w:r>
      <w:r>
        <w:rPr>
          <w:color w:val="231F20"/>
          <w:spacing w:val="-14"/>
          <w:w w:val="105"/>
          <w:sz w:val="18"/>
        </w:rPr>
        <w:t> </w:t>
      </w:r>
      <w:r>
        <w:rPr>
          <w:color w:val="231F20"/>
          <w:w w:val="105"/>
          <w:sz w:val="18"/>
        </w:rPr>
        <w:t>a</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escuela.</w:t>
      </w:r>
      <w:r>
        <w:rPr>
          <w:color w:val="231F20"/>
          <w:spacing w:val="-18"/>
          <w:w w:val="105"/>
          <w:sz w:val="18"/>
        </w:rPr>
        <w:t> </w:t>
      </w:r>
      <w:r>
        <w:rPr>
          <w:color w:val="231F20"/>
          <w:w w:val="105"/>
          <w:sz w:val="18"/>
        </w:rPr>
        <w:t>Fíjese</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han estudiado</w:t>
      </w:r>
      <w:r>
        <w:rPr>
          <w:color w:val="231F20"/>
          <w:spacing w:val="-12"/>
          <w:w w:val="105"/>
          <w:sz w:val="18"/>
        </w:rPr>
        <w:t> </w:t>
      </w:r>
      <w:r>
        <w:rPr>
          <w:color w:val="231F20"/>
          <w:w w:val="105"/>
          <w:sz w:val="18"/>
        </w:rPr>
        <w:t>y</w:t>
      </w:r>
      <w:r>
        <w:rPr>
          <w:color w:val="231F20"/>
          <w:spacing w:val="-12"/>
          <w:w w:val="105"/>
          <w:sz w:val="18"/>
        </w:rPr>
        <w:t> </w:t>
      </w:r>
      <w:r>
        <w:rPr>
          <w:color w:val="231F20"/>
          <w:w w:val="105"/>
          <w:sz w:val="18"/>
        </w:rPr>
        <w:t>estudiado,</w:t>
      </w:r>
      <w:r>
        <w:rPr>
          <w:color w:val="231F20"/>
          <w:spacing w:val="-16"/>
          <w:w w:val="105"/>
          <w:sz w:val="18"/>
        </w:rPr>
        <w:t> </w:t>
      </w:r>
      <w:r>
        <w:rPr>
          <w:color w:val="231F20"/>
          <w:w w:val="105"/>
          <w:sz w:val="18"/>
        </w:rPr>
        <w:t>del</w:t>
      </w:r>
      <w:r>
        <w:rPr>
          <w:color w:val="231F20"/>
          <w:spacing w:val="-12"/>
          <w:w w:val="105"/>
          <w:sz w:val="18"/>
        </w:rPr>
        <w:t> </w:t>
      </w:r>
      <w:r>
        <w:rPr>
          <w:color w:val="231F20"/>
          <w:w w:val="105"/>
          <w:sz w:val="18"/>
        </w:rPr>
        <w:t>más</w:t>
      </w:r>
      <w:r>
        <w:rPr>
          <w:color w:val="231F20"/>
          <w:spacing w:val="-12"/>
          <w:w w:val="105"/>
          <w:sz w:val="18"/>
        </w:rPr>
        <w:t> </w:t>
      </w:r>
      <w:r>
        <w:rPr>
          <w:color w:val="231F20"/>
          <w:w w:val="105"/>
          <w:sz w:val="18"/>
        </w:rPr>
        <w:t>grande</w:t>
      </w:r>
      <w:r>
        <w:rPr>
          <w:color w:val="231F20"/>
          <w:spacing w:val="-12"/>
          <w:w w:val="105"/>
          <w:sz w:val="18"/>
        </w:rPr>
        <w:t> </w:t>
      </w:r>
      <w:r>
        <w:rPr>
          <w:color w:val="231F20"/>
          <w:w w:val="105"/>
          <w:sz w:val="18"/>
        </w:rPr>
        <w:t>su</w:t>
      </w:r>
      <w:r>
        <w:rPr>
          <w:color w:val="231F20"/>
          <w:spacing w:val="-12"/>
          <w:w w:val="105"/>
          <w:sz w:val="18"/>
        </w:rPr>
        <w:t> </w:t>
      </w:r>
      <w:r>
        <w:rPr>
          <w:color w:val="231F20"/>
          <w:w w:val="105"/>
          <w:sz w:val="18"/>
        </w:rPr>
        <w:t>papá</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había</w:t>
      </w:r>
      <w:r>
        <w:rPr>
          <w:color w:val="231F20"/>
          <w:spacing w:val="-12"/>
          <w:w w:val="105"/>
          <w:sz w:val="18"/>
        </w:rPr>
        <w:t> </w:t>
      </w:r>
      <w:r>
        <w:rPr>
          <w:color w:val="231F20"/>
          <w:w w:val="105"/>
          <w:sz w:val="18"/>
        </w:rPr>
        <w:t>ido</w:t>
      </w:r>
      <w:r>
        <w:rPr>
          <w:color w:val="231F20"/>
          <w:spacing w:val="-12"/>
          <w:w w:val="105"/>
          <w:sz w:val="18"/>
        </w:rPr>
        <w:t> </w:t>
      </w:r>
      <w:r>
        <w:rPr>
          <w:color w:val="231F20"/>
          <w:w w:val="105"/>
          <w:sz w:val="18"/>
        </w:rPr>
        <w:t>a</w:t>
      </w:r>
      <w:r>
        <w:rPr>
          <w:color w:val="231F20"/>
          <w:spacing w:val="-12"/>
          <w:w w:val="105"/>
          <w:sz w:val="18"/>
        </w:rPr>
        <w:t> </w:t>
      </w:r>
      <w:r>
        <w:rPr>
          <w:color w:val="231F20"/>
          <w:w w:val="105"/>
          <w:sz w:val="18"/>
        </w:rPr>
        <w:t>Estados Unidos,</w:t>
      </w:r>
      <w:r>
        <w:rPr>
          <w:color w:val="231F20"/>
          <w:spacing w:val="-12"/>
          <w:w w:val="105"/>
          <w:sz w:val="18"/>
        </w:rPr>
        <w:t> </w:t>
      </w:r>
      <w:r>
        <w:rPr>
          <w:color w:val="231F20"/>
          <w:w w:val="105"/>
          <w:sz w:val="18"/>
        </w:rPr>
        <w:t>y</w:t>
      </w:r>
      <w:r>
        <w:rPr>
          <w:color w:val="231F20"/>
          <w:spacing w:val="-7"/>
          <w:w w:val="105"/>
          <w:sz w:val="18"/>
        </w:rPr>
        <w:t> </w:t>
      </w:r>
      <w:r>
        <w:rPr>
          <w:color w:val="231F20"/>
          <w:spacing w:val="-3"/>
          <w:w w:val="105"/>
          <w:sz w:val="18"/>
        </w:rPr>
        <w:t>‘ora</w:t>
      </w:r>
      <w:r>
        <w:rPr>
          <w:color w:val="231F20"/>
          <w:spacing w:val="-7"/>
          <w:w w:val="105"/>
          <w:sz w:val="18"/>
        </w:rPr>
        <w:t> </w:t>
      </w:r>
      <w:r>
        <w:rPr>
          <w:color w:val="231F20"/>
          <w:w w:val="105"/>
          <w:sz w:val="18"/>
        </w:rPr>
        <w:t>sí</w:t>
      </w:r>
      <w:r>
        <w:rPr>
          <w:color w:val="231F20"/>
          <w:spacing w:val="-7"/>
          <w:w w:val="105"/>
          <w:sz w:val="18"/>
        </w:rPr>
        <w:t> </w:t>
      </w:r>
      <w:r>
        <w:rPr>
          <w:color w:val="231F20"/>
          <w:w w:val="105"/>
          <w:sz w:val="18"/>
        </w:rPr>
        <w:t>que</w:t>
      </w:r>
      <w:r>
        <w:rPr>
          <w:color w:val="231F20"/>
          <w:spacing w:val="-7"/>
          <w:w w:val="105"/>
          <w:sz w:val="18"/>
        </w:rPr>
        <w:t> </w:t>
      </w:r>
      <w:r>
        <w:rPr>
          <w:color w:val="231F20"/>
          <w:w w:val="105"/>
          <w:sz w:val="18"/>
        </w:rPr>
        <w:t>viene</w:t>
      </w:r>
      <w:r>
        <w:rPr>
          <w:color w:val="231F20"/>
          <w:spacing w:val="-7"/>
          <w:w w:val="105"/>
          <w:sz w:val="18"/>
        </w:rPr>
        <w:t> </w:t>
      </w:r>
      <w:r>
        <w:rPr>
          <w:color w:val="231F20"/>
          <w:w w:val="105"/>
          <w:sz w:val="18"/>
        </w:rPr>
        <w:t>él</w:t>
      </w:r>
      <w:r>
        <w:rPr>
          <w:color w:val="231F20"/>
          <w:spacing w:val="-7"/>
          <w:w w:val="105"/>
          <w:sz w:val="18"/>
        </w:rPr>
        <w:t> </w:t>
      </w:r>
      <w:r>
        <w:rPr>
          <w:color w:val="231F20"/>
          <w:w w:val="105"/>
          <w:sz w:val="18"/>
        </w:rPr>
        <w:t>a</w:t>
      </w:r>
      <w:r>
        <w:rPr>
          <w:color w:val="231F20"/>
          <w:spacing w:val="-7"/>
          <w:w w:val="105"/>
          <w:sz w:val="18"/>
        </w:rPr>
        <w:t> </w:t>
      </w:r>
      <w:r>
        <w:rPr>
          <w:color w:val="231F20"/>
          <w:w w:val="105"/>
          <w:sz w:val="18"/>
        </w:rPr>
        <w:t>dar</w:t>
      </w:r>
      <w:r>
        <w:rPr>
          <w:color w:val="231F20"/>
          <w:spacing w:val="-7"/>
          <w:w w:val="105"/>
          <w:sz w:val="18"/>
        </w:rPr>
        <w:t> </w:t>
      </w:r>
      <w:r>
        <w:rPr>
          <w:color w:val="231F20"/>
          <w:w w:val="105"/>
          <w:sz w:val="18"/>
        </w:rPr>
        <w:t>una</w:t>
      </w:r>
      <w:r>
        <w:rPr>
          <w:color w:val="231F20"/>
          <w:spacing w:val="-7"/>
          <w:w w:val="105"/>
          <w:sz w:val="18"/>
        </w:rPr>
        <w:t> </w:t>
      </w:r>
      <w:r>
        <w:rPr>
          <w:color w:val="231F20"/>
          <w:w w:val="105"/>
          <w:sz w:val="18"/>
        </w:rPr>
        <w:t>vuelta</w:t>
      </w:r>
      <w:r>
        <w:rPr>
          <w:color w:val="231F20"/>
          <w:spacing w:val="-7"/>
          <w:w w:val="105"/>
          <w:sz w:val="18"/>
        </w:rPr>
        <w:t> </w:t>
      </w:r>
      <w:r>
        <w:rPr>
          <w:color w:val="231F20"/>
          <w:w w:val="105"/>
          <w:sz w:val="18"/>
        </w:rPr>
        <w:t>y</w:t>
      </w:r>
      <w:r>
        <w:rPr>
          <w:color w:val="231F20"/>
          <w:spacing w:val="-7"/>
          <w:w w:val="105"/>
          <w:sz w:val="18"/>
        </w:rPr>
        <w:t> </w:t>
      </w:r>
      <w:r>
        <w:rPr>
          <w:color w:val="231F20"/>
          <w:w w:val="105"/>
          <w:sz w:val="18"/>
        </w:rPr>
        <w:t>que</w:t>
      </w:r>
      <w:r>
        <w:rPr>
          <w:color w:val="231F20"/>
          <w:spacing w:val="-7"/>
          <w:w w:val="105"/>
          <w:sz w:val="18"/>
        </w:rPr>
        <w:t> </w:t>
      </w:r>
      <w:r>
        <w:rPr>
          <w:color w:val="231F20"/>
          <w:w w:val="105"/>
          <w:sz w:val="18"/>
        </w:rPr>
        <w:t>se</w:t>
      </w:r>
      <w:r>
        <w:rPr>
          <w:color w:val="231F20"/>
          <w:spacing w:val="-7"/>
          <w:w w:val="105"/>
          <w:sz w:val="18"/>
        </w:rPr>
        <w:t> </w:t>
      </w:r>
      <w:r>
        <w:rPr>
          <w:color w:val="231F20"/>
          <w:w w:val="105"/>
          <w:sz w:val="18"/>
        </w:rPr>
        <w:t>le</w:t>
      </w:r>
      <w:r>
        <w:rPr>
          <w:color w:val="231F20"/>
          <w:spacing w:val="-7"/>
          <w:w w:val="105"/>
          <w:sz w:val="18"/>
        </w:rPr>
        <w:t> </w:t>
      </w:r>
      <w:r>
        <w:rPr>
          <w:color w:val="231F20"/>
          <w:w w:val="105"/>
          <w:sz w:val="18"/>
        </w:rPr>
        <w:t>pega</w:t>
      </w:r>
      <w:r>
        <w:rPr>
          <w:color w:val="231F20"/>
          <w:spacing w:val="-7"/>
          <w:w w:val="105"/>
          <w:sz w:val="18"/>
        </w:rPr>
        <w:t> </w:t>
      </w:r>
      <w:r>
        <w:rPr>
          <w:color w:val="231F20"/>
          <w:w w:val="105"/>
          <w:sz w:val="18"/>
        </w:rPr>
        <w:t>éste</w:t>
      </w:r>
      <w:r>
        <w:rPr>
          <w:color w:val="231F20"/>
          <w:spacing w:val="-7"/>
          <w:w w:val="105"/>
          <w:sz w:val="18"/>
        </w:rPr>
        <w:t> </w:t>
      </w:r>
      <w:r>
        <w:rPr>
          <w:color w:val="231F20"/>
          <w:w w:val="105"/>
          <w:sz w:val="18"/>
        </w:rPr>
        <w:t>(el hijo), que él se iba y se iba, hasta se peleó con los maestros cuando estaba estudiando, hasta que lo corrieron para que se fuera (risas) y ya se fue </w:t>
      </w:r>
      <w:r>
        <w:rPr>
          <w:color w:val="231F20"/>
          <w:w w:val="115"/>
          <w:sz w:val="18"/>
        </w:rPr>
        <w:t>[…]</w:t>
      </w:r>
      <w:r>
        <w:rPr>
          <w:color w:val="231F20"/>
          <w:spacing w:val="-36"/>
          <w:w w:val="115"/>
          <w:sz w:val="18"/>
        </w:rPr>
        <w:t> </w:t>
      </w:r>
      <w:r>
        <w:rPr>
          <w:color w:val="231F20"/>
          <w:w w:val="105"/>
          <w:sz w:val="18"/>
        </w:rPr>
        <w:t>él se quería ir al otro lado. Se fue, por allá estuvo mucho tiempo (Gpe.,</w:t>
      </w:r>
      <w:r>
        <w:rPr>
          <w:color w:val="231F20"/>
          <w:spacing w:val="-35"/>
          <w:w w:val="105"/>
          <w:sz w:val="18"/>
        </w:rPr>
        <w:t> </w:t>
      </w:r>
      <w:r>
        <w:rPr>
          <w:color w:val="231F20"/>
          <w:w w:val="105"/>
          <w:sz w:val="18"/>
        </w:rPr>
        <w:t>2013).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1312" from="131.551193pt,3.703715pt" to="131.551193pt,39.506114pt" stroked="true" strokeweight=".35pt" strokecolor="#231f20">
            <w10:wrap type="none"/>
          </v:line>
        </w:pict>
      </w:r>
      <w:r>
        <w:rPr/>
        <w:pict>
          <v:line style="position:absolute;mso-position-horizontal-relative:page;mso-position-vertical-relative:paragraph;z-index:-451240" from="15pt,39.505917pt" to="0pt,39.505917pt" stroked="true" strokeweight=".25pt" strokecolor="#000000">
            <w10:wrap type="none"/>
          </v:line>
        </w:pict>
      </w:r>
      <w:r>
        <w:rPr/>
        <w:pict>
          <v:line style="position:absolute;mso-position-horizontal-relative:page;mso-position-vertical-relative:paragraph;z-index:38968" from="508.890015pt,39.505917pt" to="523.890015pt,39.505917pt" stroked="true" strokeweight=".25pt" strokecolor="#000000">
            <w10:wrap type="none"/>
          </v:line>
        </w:pict>
      </w:r>
      <w:r>
        <w:rPr>
          <w:rFonts w:ascii="Arial" w:hAnsi="Arial"/>
          <w:color w:val="414042"/>
          <w:position w:val="-5"/>
          <w:sz w:val="20"/>
        </w:rPr>
        <w:t>322</w:t>
        <w:tab/>
      </w:r>
      <w:r>
        <w:rPr>
          <w:rFonts w:ascii="Calibri" w:hAnsi="Calibri"/>
          <w:color w:val="6D6E71"/>
          <w:sz w:val="15"/>
        </w:rPr>
        <w:t>Zoraida Ronzón Hernández, Norma Baca </w:t>
      </w:r>
      <w:r>
        <w:rPr>
          <w:rFonts w:ascii="Calibri" w:hAnsi="Calibri"/>
          <w:color w:val="6D6E71"/>
          <w:spacing w:val="-2"/>
          <w:sz w:val="15"/>
        </w:rPr>
        <w:t>Tavira </w:t>
      </w:r>
      <w:r>
        <w:rPr>
          <w:rFonts w:ascii="Calibri" w:hAnsi="Calibri"/>
          <w:color w:val="6D6E71"/>
          <w:sz w:val="15"/>
        </w:rPr>
        <w:t>y Patricia Román  </w:t>
      </w:r>
      <w:r>
        <w:rPr>
          <w:rFonts w:ascii="Calibri" w:hAnsi="Calibri"/>
          <w:color w:val="6D6E71"/>
          <w:spacing w:val="24"/>
          <w:sz w:val="15"/>
        </w:rPr>
        <w:t> </w:t>
      </w:r>
      <w:r>
        <w:rPr>
          <w:rFonts w:ascii="Calibri" w:hAnsi="Calibri"/>
          <w:color w:val="6D6E71"/>
          <w:sz w:val="15"/>
        </w:rPr>
        <w:t>Reyes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hAnsi="Lucida Sans Unicode"/>
          <w:sz w:val="14"/>
        </w:rPr>
      </w:pPr>
      <w:r>
        <w:rPr/>
        <w:pict>
          <v:line style="position:absolute;mso-position-horizontal-relative:page;mso-position-vertical-relative:paragraph;z-index:38992" from="405.061005pt,-27.904295pt" to="405.061005pt,6.961579pt" stroked="true" strokeweight=".35pt" strokecolor="#231f20">
            <w10:wrap type="none"/>
          </v:line>
        </w:pict>
      </w:r>
      <w:r>
        <w:rPr/>
        <w:pict>
          <v:line style="position:absolute;mso-position-horizontal-relative:page;mso-position-vertical-relative:paragraph;z-index:39016" from="15pt,-27.90452pt" to="0pt,-27.90452pt" stroked="true" strokeweight=".25pt" strokecolor="#000000">
            <w10:wrap type="none"/>
          </v:line>
        </w:pict>
      </w:r>
      <w:r>
        <w:rPr/>
        <w:pict>
          <v:line style="position:absolute;mso-position-horizontal-relative:page;mso-position-vertical-relative:paragraph;z-index:39040" from="508.890015pt,-27.90452pt" to="523.890015pt,-27.90452pt" stroked="true" strokeweight=".25pt" strokecolor="#000000">
            <w10:wrap type="none"/>
          </v:line>
        </w:pict>
      </w:r>
      <w:r>
        <w:rPr>
          <w:rFonts w:ascii="Lucida Sans Unicode" w:hAnsi="Lucida Sans Unicode"/>
          <w:color w:val="6D6E71"/>
          <w:w w:val="90"/>
          <w:sz w:val="14"/>
        </w:rPr>
        <w:t>MIGRACIÓN INTERGENERACIONAL EN EL ESTADO DE MÉXICO.</w:t>
      </w:r>
    </w:p>
    <w:p>
      <w:pPr>
        <w:spacing w:line="198" w:lineRule="exact" w:before="0"/>
        <w:ind w:left="0" w:right="0" w:firstLine="0"/>
        <w:jc w:val="right"/>
        <w:rPr>
          <w:rFonts w:ascii="Lucida Sans Unicode" w:hAnsi="Lucida Sans Unicode"/>
          <w:sz w:val="14"/>
        </w:rPr>
      </w:pPr>
      <w:r>
        <w:rPr>
          <w:rFonts w:ascii="Lucida Sans Unicode" w:hAnsi="Lucida Sans Unicode"/>
          <w:color w:val="6D6E71"/>
          <w:w w:val="90"/>
          <w:sz w:val="14"/>
        </w:rPr>
        <w:t>LA BÚSQUEDA DE MOVILIDAD SOCIAL</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323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6"/>
        <w:jc w:val="both"/>
      </w:pPr>
      <w:r>
        <w:rPr>
          <w:color w:val="231F20"/>
          <w:w w:val="105"/>
        </w:rPr>
        <w:t>Los diferentes beneficios que las personas han tenido de su</w:t>
      </w:r>
      <w:r>
        <w:rPr>
          <w:color w:val="231F20"/>
          <w:spacing w:val="-32"/>
          <w:w w:val="105"/>
        </w:rPr>
        <w:t> </w:t>
      </w:r>
      <w:r>
        <w:rPr>
          <w:color w:val="231F20"/>
          <w:w w:val="105"/>
        </w:rPr>
        <w:t>trayectoria migratoria</w:t>
      </w:r>
      <w:r>
        <w:rPr>
          <w:color w:val="231F20"/>
          <w:spacing w:val="-23"/>
          <w:w w:val="105"/>
        </w:rPr>
        <w:t> </w:t>
      </w:r>
      <w:r>
        <w:rPr>
          <w:color w:val="231F20"/>
          <w:w w:val="105"/>
        </w:rPr>
        <w:t>ha</w:t>
      </w:r>
      <w:r>
        <w:rPr>
          <w:color w:val="231F20"/>
          <w:spacing w:val="-23"/>
          <w:w w:val="105"/>
        </w:rPr>
        <w:t> </w:t>
      </w:r>
      <w:r>
        <w:rPr>
          <w:color w:val="231F20"/>
          <w:w w:val="105"/>
        </w:rPr>
        <w:t>sido</w:t>
      </w:r>
      <w:r>
        <w:rPr>
          <w:color w:val="231F20"/>
          <w:spacing w:val="-23"/>
          <w:w w:val="105"/>
        </w:rPr>
        <w:t> </w:t>
      </w:r>
      <w:r>
        <w:rPr>
          <w:color w:val="231F20"/>
          <w:w w:val="105"/>
        </w:rPr>
        <w:t>variados,</w:t>
      </w:r>
      <w:r>
        <w:rPr>
          <w:color w:val="231F20"/>
          <w:spacing w:val="-29"/>
          <w:w w:val="105"/>
        </w:rPr>
        <w:t> </w:t>
      </w:r>
      <w:r>
        <w:rPr>
          <w:color w:val="231F20"/>
          <w:w w:val="105"/>
        </w:rPr>
        <w:t>no</w:t>
      </w:r>
      <w:r>
        <w:rPr>
          <w:color w:val="231F20"/>
          <w:spacing w:val="-23"/>
          <w:w w:val="105"/>
        </w:rPr>
        <w:t> </w:t>
      </w:r>
      <w:r>
        <w:rPr>
          <w:color w:val="231F20"/>
          <w:w w:val="105"/>
        </w:rPr>
        <w:t>obstante,</w:t>
      </w:r>
      <w:r>
        <w:rPr>
          <w:color w:val="231F20"/>
          <w:spacing w:val="-29"/>
          <w:w w:val="105"/>
        </w:rPr>
        <w:t> </w:t>
      </w:r>
      <w:r>
        <w:rPr>
          <w:color w:val="231F20"/>
          <w:w w:val="105"/>
        </w:rPr>
        <w:t>siempre</w:t>
      </w:r>
      <w:r>
        <w:rPr>
          <w:color w:val="231F20"/>
          <w:spacing w:val="-23"/>
          <w:w w:val="105"/>
        </w:rPr>
        <w:t> </w:t>
      </w:r>
      <w:r>
        <w:rPr>
          <w:color w:val="231F20"/>
          <w:w w:val="105"/>
        </w:rPr>
        <w:t>han</w:t>
      </w:r>
      <w:r>
        <w:rPr>
          <w:color w:val="231F20"/>
          <w:spacing w:val="-23"/>
          <w:w w:val="105"/>
        </w:rPr>
        <w:t> </w:t>
      </w:r>
      <w:r>
        <w:rPr>
          <w:color w:val="231F20"/>
          <w:w w:val="105"/>
        </w:rPr>
        <w:t>mantenido</w:t>
      </w:r>
      <w:r>
        <w:rPr>
          <w:color w:val="231F20"/>
          <w:spacing w:val="-23"/>
          <w:w w:val="105"/>
        </w:rPr>
        <w:t> </w:t>
      </w:r>
      <w:r>
        <w:rPr>
          <w:color w:val="231F20"/>
          <w:w w:val="105"/>
        </w:rPr>
        <w:t>un</w:t>
      </w:r>
      <w:r>
        <w:rPr>
          <w:color w:val="231F20"/>
          <w:spacing w:val="-23"/>
          <w:w w:val="105"/>
        </w:rPr>
        <w:t> </w:t>
      </w:r>
      <w:r>
        <w:rPr>
          <w:color w:val="231F20"/>
          <w:w w:val="105"/>
        </w:rPr>
        <w:t>mar- co de idealización del proyecto migratorio. Esteva afirma que</w:t>
      </w:r>
      <w:r>
        <w:rPr>
          <w:color w:val="231F20"/>
          <w:spacing w:val="-28"/>
          <w:w w:val="105"/>
        </w:rPr>
        <w:t> </w:t>
      </w:r>
      <w:r>
        <w:rPr>
          <w:color w:val="231F20"/>
          <w:w w:val="105"/>
        </w:rPr>
        <w:t>“entrados en una primera perspectiva, puede entenderse que, fuera de la utopía, los</w:t>
      </w:r>
      <w:r>
        <w:rPr>
          <w:color w:val="231F20"/>
          <w:spacing w:val="-23"/>
          <w:w w:val="105"/>
        </w:rPr>
        <w:t> </w:t>
      </w:r>
      <w:r>
        <w:rPr>
          <w:color w:val="231F20"/>
          <w:w w:val="105"/>
        </w:rPr>
        <w:t>ideales</w:t>
      </w:r>
      <w:r>
        <w:rPr>
          <w:color w:val="231F20"/>
          <w:spacing w:val="-23"/>
          <w:w w:val="105"/>
        </w:rPr>
        <w:t> </w:t>
      </w:r>
      <w:r>
        <w:rPr>
          <w:color w:val="231F20"/>
          <w:w w:val="105"/>
        </w:rPr>
        <w:t>migratorios</w:t>
      </w:r>
      <w:r>
        <w:rPr>
          <w:color w:val="231F20"/>
          <w:spacing w:val="-23"/>
          <w:w w:val="105"/>
        </w:rPr>
        <w:t> </w:t>
      </w:r>
      <w:r>
        <w:rPr>
          <w:color w:val="231F20"/>
          <w:w w:val="105"/>
        </w:rPr>
        <w:t>son</w:t>
      </w:r>
      <w:r>
        <w:rPr>
          <w:color w:val="231F20"/>
          <w:spacing w:val="-23"/>
          <w:w w:val="105"/>
        </w:rPr>
        <w:t> </w:t>
      </w:r>
      <w:r>
        <w:rPr>
          <w:color w:val="231F20"/>
          <w:w w:val="105"/>
        </w:rPr>
        <w:t>sencillos</w:t>
      </w:r>
      <w:r>
        <w:rPr>
          <w:color w:val="231F20"/>
          <w:spacing w:val="-23"/>
          <w:w w:val="105"/>
        </w:rPr>
        <w:t> </w:t>
      </w:r>
      <w:r>
        <w:rPr>
          <w:color w:val="231F20"/>
          <w:w w:val="105"/>
        </w:rPr>
        <w:t>en</w:t>
      </w:r>
      <w:r>
        <w:rPr>
          <w:color w:val="231F20"/>
          <w:spacing w:val="-23"/>
          <w:w w:val="105"/>
        </w:rPr>
        <w:t> </w:t>
      </w:r>
      <w:r>
        <w:rPr>
          <w:color w:val="231F20"/>
          <w:w w:val="105"/>
        </w:rPr>
        <w:t>su</w:t>
      </w:r>
      <w:r>
        <w:rPr>
          <w:color w:val="231F20"/>
          <w:spacing w:val="-23"/>
          <w:w w:val="105"/>
        </w:rPr>
        <w:t> </w:t>
      </w:r>
      <w:r>
        <w:rPr>
          <w:color w:val="231F20"/>
          <w:w w:val="105"/>
        </w:rPr>
        <w:t>expresión,</w:t>
      </w:r>
      <w:r>
        <w:rPr>
          <w:color w:val="231F20"/>
          <w:spacing w:val="-28"/>
          <w:w w:val="105"/>
        </w:rPr>
        <w:t> </w:t>
      </w:r>
      <w:r>
        <w:rPr>
          <w:color w:val="231F20"/>
          <w:w w:val="105"/>
        </w:rPr>
        <w:t>la</w:t>
      </w:r>
      <w:r>
        <w:rPr>
          <w:color w:val="231F20"/>
          <w:spacing w:val="-23"/>
          <w:w w:val="105"/>
        </w:rPr>
        <w:t> </w:t>
      </w:r>
      <w:r>
        <w:rPr>
          <w:color w:val="231F20"/>
          <w:w w:val="105"/>
        </w:rPr>
        <w:t>del</w:t>
      </w:r>
      <w:r>
        <w:rPr>
          <w:color w:val="231F20"/>
          <w:spacing w:val="-23"/>
          <w:w w:val="105"/>
        </w:rPr>
        <w:t> </w:t>
      </w:r>
      <w:r>
        <w:rPr>
          <w:color w:val="231F20"/>
          <w:w w:val="105"/>
        </w:rPr>
        <w:t>deseo</w:t>
      </w:r>
      <w:r>
        <w:rPr>
          <w:color w:val="231F20"/>
          <w:spacing w:val="-23"/>
          <w:w w:val="105"/>
        </w:rPr>
        <w:t> </w:t>
      </w:r>
      <w:r>
        <w:rPr>
          <w:color w:val="231F20"/>
          <w:w w:val="105"/>
        </w:rPr>
        <w:t>de</w:t>
      </w:r>
      <w:r>
        <w:rPr>
          <w:color w:val="231F20"/>
          <w:spacing w:val="-23"/>
          <w:w w:val="105"/>
        </w:rPr>
        <w:t> </w:t>
      </w:r>
      <w:r>
        <w:rPr>
          <w:color w:val="231F20"/>
          <w:w w:val="105"/>
        </w:rPr>
        <w:t>rea- lizarse mejor la vida de los individuos, aunque para ello sea necesario hacerlo fuera de su medio actual” (2001: 3), muchos son los ejemplos del</w:t>
      </w:r>
      <w:r>
        <w:rPr>
          <w:color w:val="231F20"/>
          <w:spacing w:val="-9"/>
          <w:w w:val="105"/>
        </w:rPr>
        <w:t> </w:t>
      </w:r>
      <w:r>
        <w:rPr>
          <w:color w:val="231F20"/>
          <w:w w:val="105"/>
        </w:rPr>
        <w:t>asunto,</w:t>
      </w:r>
      <w:r>
        <w:rPr>
          <w:color w:val="231F20"/>
          <w:spacing w:val="-15"/>
          <w:w w:val="105"/>
        </w:rPr>
        <w:t> </w:t>
      </w:r>
      <w:r>
        <w:rPr>
          <w:color w:val="231F20"/>
          <w:w w:val="105"/>
        </w:rPr>
        <w:t>pero</w:t>
      </w:r>
      <w:r>
        <w:rPr>
          <w:color w:val="231F20"/>
          <w:spacing w:val="-9"/>
          <w:w w:val="105"/>
        </w:rPr>
        <w:t> </w:t>
      </w:r>
      <w:r>
        <w:rPr>
          <w:color w:val="231F20"/>
          <w:w w:val="105"/>
        </w:rPr>
        <w:t>un</w:t>
      </w:r>
      <w:r>
        <w:rPr>
          <w:color w:val="231F20"/>
          <w:spacing w:val="-9"/>
          <w:w w:val="105"/>
        </w:rPr>
        <w:t> </w:t>
      </w:r>
      <w:r>
        <w:rPr>
          <w:color w:val="231F20"/>
          <w:w w:val="105"/>
        </w:rPr>
        <w:t>informante</w:t>
      </w:r>
      <w:r>
        <w:rPr>
          <w:color w:val="231F20"/>
          <w:spacing w:val="-9"/>
          <w:w w:val="105"/>
        </w:rPr>
        <w:t> </w:t>
      </w:r>
      <w:r>
        <w:rPr>
          <w:color w:val="231F20"/>
          <w:w w:val="105"/>
        </w:rPr>
        <w:t>de</w:t>
      </w:r>
      <w:r>
        <w:rPr>
          <w:color w:val="231F20"/>
          <w:spacing w:val="-13"/>
          <w:w w:val="105"/>
        </w:rPr>
        <w:t> </w:t>
      </w:r>
      <w:r>
        <w:rPr>
          <w:color w:val="231F20"/>
          <w:spacing w:val="-3"/>
          <w:w w:val="105"/>
        </w:rPr>
        <w:t>Tonatico</w:t>
      </w:r>
      <w:r>
        <w:rPr>
          <w:color w:val="231F20"/>
          <w:spacing w:val="-9"/>
          <w:w w:val="105"/>
        </w:rPr>
        <w:t> </w:t>
      </w:r>
      <w:r>
        <w:rPr>
          <w:color w:val="231F20"/>
          <w:w w:val="105"/>
        </w:rPr>
        <w:t>dice:</w:t>
      </w:r>
      <w:r>
        <w:rPr>
          <w:color w:val="231F20"/>
          <w:spacing w:val="-9"/>
          <w:w w:val="105"/>
        </w:rPr>
        <w:t> </w:t>
      </w:r>
      <w:r>
        <w:rPr>
          <w:rFonts w:ascii="Arial" w:hAnsi="Arial"/>
          <w:i/>
          <w:color w:val="231F20"/>
          <w:spacing w:val="-9"/>
          <w:w w:val="105"/>
        </w:rPr>
        <w:t>«Yo</w:t>
      </w:r>
      <w:r>
        <w:rPr>
          <w:rFonts w:ascii="Arial" w:hAnsi="Arial"/>
          <w:i/>
          <w:color w:val="231F20"/>
          <w:spacing w:val="-12"/>
          <w:w w:val="105"/>
        </w:rPr>
        <w:t> </w:t>
      </w:r>
      <w:r>
        <w:rPr>
          <w:rFonts w:ascii="Arial" w:hAnsi="Arial"/>
          <w:i/>
          <w:color w:val="231F20"/>
          <w:w w:val="105"/>
        </w:rPr>
        <w:t>desde</w:t>
      </w:r>
      <w:r>
        <w:rPr>
          <w:rFonts w:ascii="Arial" w:hAnsi="Arial"/>
          <w:i/>
          <w:color w:val="231F20"/>
          <w:spacing w:val="-12"/>
          <w:w w:val="105"/>
        </w:rPr>
        <w:t> </w:t>
      </w:r>
      <w:r>
        <w:rPr>
          <w:rFonts w:ascii="Arial" w:hAnsi="Arial"/>
          <w:i/>
          <w:color w:val="231F20"/>
          <w:w w:val="105"/>
        </w:rPr>
        <w:t>que</w:t>
      </w:r>
      <w:r>
        <w:rPr>
          <w:rFonts w:ascii="Arial" w:hAnsi="Arial"/>
          <w:i/>
          <w:color w:val="231F20"/>
          <w:spacing w:val="-12"/>
          <w:w w:val="105"/>
        </w:rPr>
        <w:t> </w:t>
      </w:r>
      <w:r>
        <w:rPr>
          <w:rFonts w:ascii="Arial" w:hAnsi="Arial"/>
          <w:i/>
          <w:color w:val="231F20"/>
          <w:w w:val="105"/>
        </w:rPr>
        <w:t>me</w:t>
      </w:r>
      <w:r>
        <w:rPr>
          <w:rFonts w:ascii="Arial" w:hAnsi="Arial"/>
          <w:i/>
          <w:color w:val="231F20"/>
          <w:spacing w:val="-12"/>
          <w:w w:val="105"/>
        </w:rPr>
        <w:t> </w:t>
      </w:r>
      <w:r>
        <w:rPr>
          <w:rFonts w:ascii="Arial" w:hAnsi="Arial"/>
          <w:i/>
          <w:color w:val="231F20"/>
          <w:w w:val="105"/>
        </w:rPr>
        <w:t>fui</w:t>
      </w:r>
      <w:r>
        <w:rPr>
          <w:rFonts w:ascii="Arial" w:hAnsi="Arial"/>
          <w:i/>
          <w:color w:val="231F20"/>
          <w:spacing w:val="-12"/>
          <w:w w:val="105"/>
        </w:rPr>
        <w:t> </w:t>
      </w:r>
      <w:r>
        <w:rPr>
          <w:rFonts w:ascii="Arial" w:hAnsi="Arial"/>
          <w:i/>
          <w:color w:val="231F20"/>
          <w:w w:val="105"/>
        </w:rPr>
        <w:t>y </w:t>
      </w:r>
      <w:r>
        <w:rPr>
          <w:rFonts w:ascii="Arial" w:hAnsi="Arial"/>
          <w:i/>
          <w:color w:val="231F20"/>
          <w:w w:val="105"/>
        </w:rPr>
        <w:t>estuve</w:t>
      </w:r>
      <w:r>
        <w:rPr>
          <w:rFonts w:ascii="Arial" w:hAnsi="Arial"/>
          <w:i/>
          <w:color w:val="231F20"/>
          <w:spacing w:val="-33"/>
          <w:w w:val="105"/>
        </w:rPr>
        <w:t> </w:t>
      </w:r>
      <w:r>
        <w:rPr>
          <w:rFonts w:ascii="Arial" w:hAnsi="Arial"/>
          <w:i/>
          <w:color w:val="231F20"/>
          <w:w w:val="105"/>
        </w:rPr>
        <w:t>trabajando</w:t>
      </w:r>
      <w:r>
        <w:rPr>
          <w:rFonts w:ascii="Arial" w:hAnsi="Arial"/>
          <w:i/>
          <w:color w:val="231F20"/>
          <w:spacing w:val="-33"/>
          <w:w w:val="105"/>
        </w:rPr>
        <w:t> </w:t>
      </w:r>
      <w:r>
        <w:rPr>
          <w:rFonts w:ascii="Arial" w:hAnsi="Arial"/>
          <w:i/>
          <w:color w:val="231F20"/>
          <w:w w:val="105"/>
        </w:rPr>
        <w:t>en</w:t>
      </w:r>
      <w:r>
        <w:rPr>
          <w:rFonts w:ascii="Arial" w:hAnsi="Arial"/>
          <w:i/>
          <w:color w:val="231F20"/>
          <w:spacing w:val="-33"/>
          <w:w w:val="105"/>
        </w:rPr>
        <w:t> </w:t>
      </w:r>
      <w:r>
        <w:rPr>
          <w:rFonts w:ascii="Arial" w:hAnsi="Arial"/>
          <w:i/>
          <w:color w:val="231F20"/>
          <w:w w:val="105"/>
        </w:rPr>
        <w:t>Estados</w:t>
      </w:r>
      <w:r>
        <w:rPr>
          <w:rFonts w:ascii="Arial" w:hAnsi="Arial"/>
          <w:i/>
          <w:color w:val="231F20"/>
          <w:spacing w:val="-33"/>
          <w:w w:val="105"/>
        </w:rPr>
        <w:t> </w:t>
      </w:r>
      <w:r>
        <w:rPr>
          <w:rFonts w:ascii="Arial" w:hAnsi="Arial"/>
          <w:i/>
          <w:color w:val="231F20"/>
          <w:w w:val="105"/>
        </w:rPr>
        <w:t>Unidos</w:t>
      </w:r>
      <w:r>
        <w:rPr>
          <w:rFonts w:ascii="Arial" w:hAnsi="Arial"/>
          <w:i/>
          <w:color w:val="231F20"/>
          <w:spacing w:val="-33"/>
          <w:w w:val="105"/>
        </w:rPr>
        <w:t> </w:t>
      </w:r>
      <w:r>
        <w:rPr>
          <w:rFonts w:ascii="Arial" w:hAnsi="Arial"/>
          <w:i/>
          <w:color w:val="231F20"/>
          <w:w w:val="105"/>
        </w:rPr>
        <w:t>empecé</w:t>
      </w:r>
      <w:r>
        <w:rPr>
          <w:rFonts w:ascii="Arial" w:hAnsi="Arial"/>
          <w:i/>
          <w:color w:val="231F20"/>
          <w:spacing w:val="-33"/>
          <w:w w:val="105"/>
        </w:rPr>
        <w:t> </w:t>
      </w:r>
      <w:r>
        <w:rPr>
          <w:rFonts w:ascii="Arial" w:hAnsi="Arial"/>
          <w:i/>
          <w:color w:val="231F20"/>
          <w:w w:val="105"/>
        </w:rPr>
        <w:t>a</w:t>
      </w:r>
      <w:r>
        <w:rPr>
          <w:rFonts w:ascii="Arial" w:hAnsi="Arial"/>
          <w:i/>
          <w:color w:val="231F20"/>
          <w:spacing w:val="-33"/>
          <w:w w:val="105"/>
        </w:rPr>
        <w:t> </w:t>
      </w:r>
      <w:r>
        <w:rPr>
          <w:rFonts w:ascii="Arial" w:hAnsi="Arial"/>
          <w:i/>
          <w:color w:val="231F20"/>
          <w:w w:val="105"/>
        </w:rPr>
        <w:t>construir</w:t>
      </w:r>
      <w:r>
        <w:rPr>
          <w:rFonts w:ascii="Arial" w:hAnsi="Arial"/>
          <w:i/>
          <w:color w:val="231F20"/>
          <w:spacing w:val="-33"/>
          <w:w w:val="105"/>
        </w:rPr>
        <w:t> </w:t>
      </w:r>
      <w:r>
        <w:rPr>
          <w:rFonts w:ascii="Arial" w:hAnsi="Arial"/>
          <w:i/>
          <w:color w:val="231F20"/>
          <w:w w:val="105"/>
        </w:rPr>
        <w:t>mi</w:t>
      </w:r>
      <w:r>
        <w:rPr>
          <w:rFonts w:ascii="Arial" w:hAnsi="Arial"/>
          <w:i/>
          <w:color w:val="231F20"/>
          <w:spacing w:val="-33"/>
          <w:w w:val="105"/>
        </w:rPr>
        <w:t> </w:t>
      </w:r>
      <w:r>
        <w:rPr>
          <w:rFonts w:ascii="Arial" w:hAnsi="Arial"/>
          <w:i/>
          <w:color w:val="231F20"/>
          <w:w w:val="105"/>
        </w:rPr>
        <w:t>casa,</w:t>
      </w:r>
      <w:r>
        <w:rPr>
          <w:rFonts w:ascii="Arial" w:hAnsi="Arial"/>
          <w:i/>
          <w:color w:val="231F20"/>
          <w:spacing w:val="-37"/>
          <w:w w:val="105"/>
        </w:rPr>
        <w:t> </w:t>
      </w:r>
      <w:r>
        <w:rPr>
          <w:rFonts w:ascii="Arial" w:hAnsi="Arial"/>
          <w:i/>
          <w:color w:val="231F20"/>
          <w:w w:val="105"/>
        </w:rPr>
        <w:t>eso</w:t>
      </w:r>
      <w:r>
        <w:rPr>
          <w:rFonts w:ascii="Arial" w:hAnsi="Arial"/>
          <w:i/>
          <w:color w:val="231F20"/>
          <w:spacing w:val="-33"/>
          <w:w w:val="105"/>
        </w:rPr>
        <w:t> </w:t>
      </w:r>
      <w:r>
        <w:rPr>
          <w:rFonts w:ascii="Arial" w:hAnsi="Arial"/>
          <w:i/>
          <w:color w:val="231F20"/>
          <w:w w:val="105"/>
        </w:rPr>
        <w:t>era lo</w:t>
      </w:r>
      <w:r>
        <w:rPr>
          <w:rFonts w:ascii="Arial" w:hAnsi="Arial"/>
          <w:i/>
          <w:color w:val="231F20"/>
          <w:spacing w:val="-19"/>
          <w:w w:val="105"/>
        </w:rPr>
        <w:t> </w:t>
      </w:r>
      <w:r>
        <w:rPr>
          <w:rFonts w:ascii="Arial" w:hAnsi="Arial"/>
          <w:i/>
          <w:color w:val="231F20"/>
          <w:w w:val="105"/>
        </w:rPr>
        <w:t>primero”</w:t>
      </w:r>
      <w:r>
        <w:rPr>
          <w:rFonts w:ascii="Arial" w:hAnsi="Arial"/>
          <w:i/>
          <w:color w:val="231F20"/>
          <w:spacing w:val="-19"/>
          <w:w w:val="105"/>
        </w:rPr>
        <w:t> </w:t>
      </w:r>
      <w:r>
        <w:rPr>
          <w:color w:val="231F20"/>
          <w:w w:val="105"/>
        </w:rPr>
        <w:t>(Irn.,</w:t>
      </w:r>
      <w:r>
        <w:rPr>
          <w:color w:val="231F20"/>
          <w:spacing w:val="-22"/>
          <w:w w:val="105"/>
        </w:rPr>
        <w:t> </w:t>
      </w:r>
      <w:r>
        <w:rPr>
          <w:color w:val="231F20"/>
          <w:w w:val="105"/>
        </w:rPr>
        <w:t>2013).</w:t>
      </w:r>
    </w:p>
    <w:p>
      <w:pPr>
        <w:spacing w:line="261" w:lineRule="auto" w:before="0"/>
        <w:ind w:left="1837" w:right="1721" w:firstLine="567"/>
        <w:jc w:val="both"/>
        <w:rPr>
          <w:sz w:val="21"/>
        </w:rPr>
      </w:pPr>
      <w:r>
        <w:rPr>
          <w:color w:val="231F20"/>
          <w:sz w:val="21"/>
        </w:rPr>
        <w:t>En cuanto a la segunda y tercera generación las características   han sido un tanto diferentes, pues mientras que la gran mayoría de los migrantes de la primera generación se dedicaron principalmente a acti- vidades agrícolas, las otras generaciones han tenido diferentes ocupa- ciones: </w:t>
      </w:r>
      <w:r>
        <w:rPr>
          <w:rFonts w:ascii="Arial" w:hAnsi="Arial"/>
          <w:i/>
          <w:color w:val="231F20"/>
          <w:spacing w:val="-3"/>
          <w:sz w:val="21"/>
        </w:rPr>
        <w:t>“el </w:t>
      </w:r>
      <w:r>
        <w:rPr>
          <w:rFonts w:ascii="Arial" w:hAnsi="Arial"/>
          <w:i/>
          <w:color w:val="231F20"/>
          <w:sz w:val="21"/>
        </w:rPr>
        <w:t>último trabaja, es el que terminó sus estudios allá en Estados </w:t>
      </w:r>
      <w:r>
        <w:rPr>
          <w:rFonts w:ascii="Arial" w:hAnsi="Arial"/>
          <w:i/>
          <w:color w:val="231F20"/>
          <w:sz w:val="21"/>
        </w:rPr>
        <w:t>Unidos, está en Las Vegas, tiene trabajo en el hotel</w:t>
      </w:r>
      <w:r>
        <w:rPr>
          <w:color w:val="231F20"/>
          <w:sz w:val="21"/>
        </w:rPr>
        <w:t>” (Jvn.,</w:t>
      </w:r>
      <w:r>
        <w:rPr>
          <w:color w:val="231F20"/>
          <w:spacing w:val="-35"/>
          <w:sz w:val="21"/>
        </w:rPr>
        <w:t> </w:t>
      </w:r>
      <w:r>
        <w:rPr>
          <w:color w:val="231F20"/>
          <w:sz w:val="21"/>
        </w:rPr>
        <w:t>2013).</w:t>
      </w:r>
    </w:p>
    <w:p>
      <w:pPr>
        <w:pStyle w:val="BodyText"/>
        <w:spacing w:line="261" w:lineRule="auto"/>
        <w:ind w:left="1837" w:right="1721" w:firstLine="567"/>
        <w:jc w:val="both"/>
      </w:pPr>
      <w:r>
        <w:rPr>
          <w:color w:val="231F20"/>
          <w:w w:val="105"/>
        </w:rPr>
        <w:t>Es entonces, que como afirma Esteva: </w:t>
      </w:r>
      <w:r>
        <w:rPr>
          <w:color w:val="231F20"/>
          <w:spacing w:val="-3"/>
          <w:w w:val="105"/>
        </w:rPr>
        <w:t>“el </w:t>
      </w:r>
      <w:r>
        <w:rPr>
          <w:color w:val="231F20"/>
          <w:w w:val="105"/>
        </w:rPr>
        <w:t>supuesto migratorio</w:t>
      </w:r>
      <w:r>
        <w:rPr>
          <w:color w:val="231F20"/>
          <w:spacing w:val="-9"/>
          <w:w w:val="105"/>
        </w:rPr>
        <w:t> </w:t>
      </w:r>
      <w:r>
        <w:rPr>
          <w:color w:val="231F20"/>
          <w:w w:val="105"/>
        </w:rPr>
        <w:t>in- cluido en el concepto de presión demográfica incluye en el presente desequilibrios sociales no sólo referidos a la satisfacción de necesida- des orgánicas o naturales, centradas en el alimento, sino que también podemos reconocerla en el punto donde una ideación basada en la in- capacidad del medio propio para proporcionar educación superior a</w:t>
      </w:r>
      <w:r>
        <w:rPr>
          <w:color w:val="231F20"/>
          <w:spacing w:val="-26"/>
          <w:w w:val="105"/>
        </w:rPr>
        <w:t> </w:t>
      </w:r>
      <w:r>
        <w:rPr>
          <w:color w:val="231F20"/>
          <w:w w:val="105"/>
        </w:rPr>
        <w:t>los hijos</w:t>
      </w:r>
      <w:r>
        <w:rPr>
          <w:color w:val="231F20"/>
          <w:spacing w:val="-22"/>
          <w:w w:val="105"/>
        </w:rPr>
        <w:t> </w:t>
      </w:r>
      <w:r>
        <w:rPr>
          <w:color w:val="231F20"/>
          <w:w w:val="105"/>
        </w:rPr>
        <w:t>de</w:t>
      </w:r>
      <w:r>
        <w:rPr>
          <w:color w:val="231F20"/>
          <w:spacing w:val="-22"/>
          <w:w w:val="105"/>
        </w:rPr>
        <w:t> </w:t>
      </w:r>
      <w:r>
        <w:rPr>
          <w:color w:val="231F20"/>
          <w:w w:val="105"/>
        </w:rPr>
        <w:t>una</w:t>
      </w:r>
      <w:r>
        <w:rPr>
          <w:color w:val="231F20"/>
          <w:spacing w:val="-22"/>
          <w:w w:val="105"/>
        </w:rPr>
        <w:t> </w:t>
      </w:r>
      <w:r>
        <w:rPr>
          <w:color w:val="231F20"/>
          <w:w w:val="105"/>
        </w:rPr>
        <w:t>familia</w:t>
      </w:r>
      <w:r>
        <w:rPr>
          <w:color w:val="231F20"/>
          <w:spacing w:val="-22"/>
          <w:w w:val="105"/>
        </w:rPr>
        <w:t> </w:t>
      </w:r>
      <w:r>
        <w:rPr>
          <w:color w:val="231F20"/>
          <w:w w:val="105"/>
        </w:rPr>
        <w:t>desprovista</w:t>
      </w:r>
      <w:r>
        <w:rPr>
          <w:color w:val="231F20"/>
          <w:spacing w:val="-22"/>
          <w:w w:val="105"/>
        </w:rPr>
        <w:t> </w:t>
      </w:r>
      <w:r>
        <w:rPr>
          <w:color w:val="231F20"/>
          <w:w w:val="105"/>
        </w:rPr>
        <w:t>de</w:t>
      </w:r>
      <w:r>
        <w:rPr>
          <w:color w:val="231F20"/>
          <w:spacing w:val="-22"/>
          <w:w w:val="105"/>
        </w:rPr>
        <w:t> </w:t>
      </w:r>
      <w:r>
        <w:rPr>
          <w:color w:val="231F20"/>
          <w:w w:val="105"/>
        </w:rPr>
        <w:t>recursos</w:t>
      </w:r>
      <w:r>
        <w:rPr>
          <w:color w:val="231F20"/>
          <w:spacing w:val="-22"/>
          <w:w w:val="105"/>
        </w:rPr>
        <w:t> </w:t>
      </w:r>
      <w:r>
        <w:rPr>
          <w:color w:val="231F20"/>
          <w:w w:val="105"/>
        </w:rPr>
        <w:t>económicos,</w:t>
      </w:r>
      <w:r>
        <w:rPr>
          <w:color w:val="231F20"/>
          <w:spacing w:val="-26"/>
          <w:w w:val="105"/>
        </w:rPr>
        <w:t> </w:t>
      </w:r>
      <w:r>
        <w:rPr>
          <w:color w:val="231F20"/>
          <w:w w:val="105"/>
        </w:rPr>
        <w:t>se</w:t>
      </w:r>
      <w:r>
        <w:rPr>
          <w:color w:val="231F20"/>
          <w:spacing w:val="-22"/>
          <w:w w:val="105"/>
        </w:rPr>
        <w:t> </w:t>
      </w:r>
      <w:r>
        <w:rPr>
          <w:color w:val="231F20"/>
          <w:w w:val="105"/>
        </w:rPr>
        <w:t>convierte</w:t>
      </w:r>
      <w:r>
        <w:rPr>
          <w:color w:val="231F20"/>
          <w:spacing w:val="-22"/>
          <w:w w:val="105"/>
        </w:rPr>
        <w:t> </w:t>
      </w:r>
      <w:r>
        <w:rPr>
          <w:color w:val="231F20"/>
          <w:w w:val="105"/>
        </w:rPr>
        <w:t>en motivo</w:t>
      </w:r>
      <w:r>
        <w:rPr>
          <w:color w:val="231F20"/>
          <w:spacing w:val="-20"/>
          <w:w w:val="105"/>
        </w:rPr>
        <w:t> </w:t>
      </w:r>
      <w:r>
        <w:rPr>
          <w:color w:val="231F20"/>
          <w:w w:val="105"/>
        </w:rPr>
        <w:t>migratorio”</w:t>
      </w:r>
      <w:r>
        <w:rPr>
          <w:color w:val="231F20"/>
          <w:spacing w:val="-20"/>
          <w:w w:val="105"/>
        </w:rPr>
        <w:t> </w:t>
      </w:r>
      <w:r>
        <w:rPr>
          <w:color w:val="231F20"/>
          <w:w w:val="105"/>
        </w:rPr>
        <w:t>(Esteva,</w:t>
      </w:r>
      <w:r>
        <w:rPr>
          <w:color w:val="231F20"/>
          <w:spacing w:val="-25"/>
          <w:w w:val="105"/>
        </w:rPr>
        <w:t> </w:t>
      </w:r>
      <w:r>
        <w:rPr>
          <w:color w:val="231F20"/>
          <w:w w:val="105"/>
        </w:rPr>
        <w:t>2001:</w:t>
      </w:r>
      <w:r>
        <w:rPr>
          <w:color w:val="231F20"/>
          <w:spacing w:val="-20"/>
          <w:w w:val="105"/>
        </w:rPr>
        <w:t> </w:t>
      </w:r>
      <w:r>
        <w:rPr>
          <w:color w:val="231F20"/>
          <w:w w:val="105"/>
        </w:rPr>
        <w:t>5).</w:t>
      </w:r>
    </w:p>
    <w:p>
      <w:pPr>
        <w:pStyle w:val="BodyText"/>
        <w:spacing w:line="261" w:lineRule="auto" w:before="1"/>
        <w:ind w:left="1837" w:right="1715" w:firstLine="567"/>
        <w:jc w:val="both"/>
      </w:pPr>
      <w:r>
        <w:rPr>
          <w:color w:val="231F20"/>
          <w:w w:val="105"/>
        </w:rPr>
        <w:t>Ahora</w:t>
      </w:r>
      <w:r>
        <w:rPr>
          <w:color w:val="231F20"/>
          <w:spacing w:val="-18"/>
          <w:w w:val="105"/>
        </w:rPr>
        <w:t> </w:t>
      </w:r>
      <w:r>
        <w:rPr>
          <w:color w:val="231F20"/>
          <w:w w:val="105"/>
        </w:rPr>
        <w:t>bien,</w:t>
      </w:r>
      <w:r>
        <w:rPr>
          <w:color w:val="231F20"/>
          <w:spacing w:val="-23"/>
          <w:w w:val="105"/>
        </w:rPr>
        <w:t> </w:t>
      </w:r>
      <w:r>
        <w:rPr>
          <w:color w:val="231F20"/>
          <w:w w:val="105"/>
        </w:rPr>
        <w:t>es</w:t>
      </w:r>
      <w:r>
        <w:rPr>
          <w:color w:val="231F20"/>
          <w:spacing w:val="-18"/>
          <w:w w:val="105"/>
        </w:rPr>
        <w:t> </w:t>
      </w:r>
      <w:r>
        <w:rPr>
          <w:color w:val="231F20"/>
          <w:w w:val="105"/>
        </w:rPr>
        <w:t>importante</w:t>
      </w:r>
      <w:r>
        <w:rPr>
          <w:color w:val="231F20"/>
          <w:spacing w:val="-18"/>
          <w:w w:val="105"/>
        </w:rPr>
        <w:t> </w:t>
      </w:r>
      <w:r>
        <w:rPr>
          <w:color w:val="231F20"/>
          <w:w w:val="105"/>
        </w:rPr>
        <w:t>destacar</w:t>
      </w:r>
      <w:r>
        <w:rPr>
          <w:color w:val="231F20"/>
          <w:spacing w:val="-18"/>
          <w:w w:val="105"/>
        </w:rPr>
        <w:t> </w:t>
      </w:r>
      <w:r>
        <w:rPr>
          <w:color w:val="231F20"/>
          <w:w w:val="105"/>
        </w:rPr>
        <w:t>que,</w:t>
      </w:r>
      <w:r>
        <w:rPr>
          <w:color w:val="231F20"/>
          <w:spacing w:val="-23"/>
          <w:w w:val="105"/>
        </w:rPr>
        <w:t> </w:t>
      </w:r>
      <w:r>
        <w:rPr>
          <w:color w:val="231F20"/>
          <w:w w:val="105"/>
        </w:rPr>
        <w:t>entre</w:t>
      </w:r>
      <w:r>
        <w:rPr>
          <w:color w:val="231F20"/>
          <w:spacing w:val="-18"/>
          <w:w w:val="105"/>
        </w:rPr>
        <w:t> </w:t>
      </w:r>
      <w:r>
        <w:rPr>
          <w:color w:val="231F20"/>
          <w:w w:val="105"/>
        </w:rPr>
        <w:t>los</w:t>
      </w:r>
      <w:r>
        <w:rPr>
          <w:color w:val="231F20"/>
          <w:spacing w:val="-18"/>
          <w:w w:val="105"/>
        </w:rPr>
        <w:t> </w:t>
      </w:r>
      <w:r>
        <w:rPr>
          <w:color w:val="231F20"/>
          <w:w w:val="105"/>
        </w:rPr>
        <w:t>informantes,</w:t>
      </w:r>
      <w:r>
        <w:rPr>
          <w:color w:val="231F20"/>
          <w:spacing w:val="-23"/>
          <w:w w:val="105"/>
        </w:rPr>
        <w:t> </w:t>
      </w:r>
      <w:r>
        <w:rPr>
          <w:color w:val="231F20"/>
          <w:w w:val="105"/>
        </w:rPr>
        <w:t>uno de</w:t>
      </w:r>
      <w:r>
        <w:rPr>
          <w:color w:val="231F20"/>
          <w:spacing w:val="-10"/>
          <w:w w:val="105"/>
        </w:rPr>
        <w:t> </w:t>
      </w:r>
      <w:r>
        <w:rPr>
          <w:color w:val="231F20"/>
          <w:w w:val="105"/>
        </w:rPr>
        <w:t>ellos</w:t>
      </w:r>
      <w:r>
        <w:rPr>
          <w:color w:val="231F20"/>
          <w:spacing w:val="-10"/>
          <w:w w:val="105"/>
        </w:rPr>
        <w:t> </w:t>
      </w:r>
      <w:r>
        <w:rPr>
          <w:color w:val="231F20"/>
          <w:w w:val="105"/>
        </w:rPr>
        <w:t>fue</w:t>
      </w:r>
      <w:r>
        <w:rPr>
          <w:color w:val="231F20"/>
          <w:spacing w:val="-10"/>
          <w:w w:val="105"/>
        </w:rPr>
        <w:t> </w:t>
      </w:r>
      <w:r>
        <w:rPr>
          <w:color w:val="231F20"/>
          <w:w w:val="105"/>
        </w:rPr>
        <w:t>migrante</w:t>
      </w:r>
      <w:r>
        <w:rPr>
          <w:color w:val="231F20"/>
          <w:spacing w:val="-10"/>
          <w:w w:val="105"/>
        </w:rPr>
        <w:t> </w:t>
      </w:r>
      <w:r>
        <w:rPr>
          <w:color w:val="231F20"/>
          <w:w w:val="105"/>
        </w:rPr>
        <w:t>calificado,</w:t>
      </w:r>
      <w:r>
        <w:rPr>
          <w:color w:val="231F20"/>
          <w:spacing w:val="35"/>
          <w:w w:val="105"/>
        </w:rPr>
        <w:t> </w:t>
      </w:r>
      <w:r>
        <w:rPr>
          <w:color w:val="231F20"/>
          <w:w w:val="105"/>
        </w:rPr>
        <w:t>sólo</w:t>
      </w:r>
      <w:r>
        <w:rPr>
          <w:color w:val="231F20"/>
          <w:spacing w:val="-10"/>
          <w:w w:val="105"/>
        </w:rPr>
        <w:t> </w:t>
      </w:r>
      <w:r>
        <w:rPr>
          <w:color w:val="231F20"/>
          <w:w w:val="105"/>
        </w:rPr>
        <w:t>una</w:t>
      </w:r>
      <w:r>
        <w:rPr>
          <w:color w:val="231F20"/>
          <w:spacing w:val="-10"/>
          <w:w w:val="105"/>
        </w:rPr>
        <w:t> </w:t>
      </w:r>
      <w:r>
        <w:rPr>
          <w:color w:val="231F20"/>
          <w:w w:val="105"/>
        </w:rPr>
        <w:t>vez</w:t>
      </w:r>
      <w:r>
        <w:rPr>
          <w:color w:val="231F20"/>
          <w:spacing w:val="-10"/>
          <w:w w:val="105"/>
        </w:rPr>
        <w:t> </w:t>
      </w:r>
      <w:r>
        <w:rPr>
          <w:color w:val="231F20"/>
          <w:w w:val="105"/>
        </w:rPr>
        <w:t>vivió</w:t>
      </w:r>
      <w:r>
        <w:rPr>
          <w:color w:val="231F20"/>
          <w:spacing w:val="-10"/>
          <w:w w:val="105"/>
        </w:rPr>
        <w:t> </w:t>
      </w:r>
      <w:r>
        <w:rPr>
          <w:color w:val="231F20"/>
          <w:w w:val="105"/>
        </w:rPr>
        <w:t>allá</w:t>
      </w:r>
      <w:r>
        <w:rPr>
          <w:color w:val="231F20"/>
          <w:spacing w:val="-10"/>
          <w:w w:val="105"/>
        </w:rPr>
        <w:t> </w:t>
      </w:r>
      <w:r>
        <w:rPr>
          <w:color w:val="231F20"/>
          <w:w w:val="105"/>
        </w:rPr>
        <w:t>de</w:t>
      </w:r>
      <w:r>
        <w:rPr>
          <w:color w:val="231F20"/>
          <w:spacing w:val="-10"/>
          <w:w w:val="105"/>
        </w:rPr>
        <w:t> </w:t>
      </w:r>
      <w:r>
        <w:rPr>
          <w:color w:val="231F20"/>
          <w:w w:val="105"/>
        </w:rPr>
        <w:t>manera</w:t>
      </w:r>
      <w:r>
        <w:rPr>
          <w:color w:val="231F20"/>
          <w:spacing w:val="-10"/>
          <w:w w:val="105"/>
        </w:rPr>
        <w:t> </w:t>
      </w:r>
      <w:r>
        <w:rPr>
          <w:color w:val="231F20"/>
          <w:w w:val="105"/>
        </w:rPr>
        <w:t>legal, pero</w:t>
      </w:r>
      <w:r>
        <w:rPr>
          <w:color w:val="231F20"/>
          <w:spacing w:val="-15"/>
          <w:w w:val="105"/>
        </w:rPr>
        <w:t> </w:t>
      </w:r>
      <w:r>
        <w:rPr>
          <w:color w:val="231F20"/>
          <w:w w:val="105"/>
        </w:rPr>
        <w:t>debido</w:t>
      </w:r>
      <w:r>
        <w:rPr>
          <w:color w:val="231F20"/>
          <w:spacing w:val="-15"/>
          <w:w w:val="105"/>
        </w:rPr>
        <w:t> </w:t>
      </w:r>
      <w:r>
        <w:rPr>
          <w:color w:val="231F20"/>
          <w:w w:val="105"/>
        </w:rPr>
        <w:t>a</w:t>
      </w:r>
      <w:r>
        <w:rPr>
          <w:color w:val="231F20"/>
          <w:spacing w:val="-15"/>
          <w:w w:val="105"/>
        </w:rPr>
        <w:t> </w:t>
      </w:r>
      <w:r>
        <w:rPr>
          <w:color w:val="231F20"/>
          <w:w w:val="105"/>
        </w:rPr>
        <w:t>sus</w:t>
      </w:r>
      <w:r>
        <w:rPr>
          <w:color w:val="231F20"/>
          <w:spacing w:val="-15"/>
          <w:w w:val="105"/>
        </w:rPr>
        <w:t> </w:t>
      </w:r>
      <w:r>
        <w:rPr>
          <w:color w:val="231F20"/>
          <w:w w:val="105"/>
        </w:rPr>
        <w:t>conocimientos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área</w:t>
      </w:r>
      <w:r>
        <w:rPr>
          <w:color w:val="231F20"/>
          <w:spacing w:val="-15"/>
          <w:w w:val="105"/>
        </w:rPr>
        <w:t> </w:t>
      </w:r>
      <w:r>
        <w:rPr>
          <w:color w:val="231F20"/>
          <w:w w:val="105"/>
        </w:rPr>
        <w:t>de</w:t>
      </w:r>
      <w:r>
        <w:rPr>
          <w:color w:val="231F20"/>
          <w:spacing w:val="-15"/>
          <w:w w:val="105"/>
        </w:rPr>
        <w:t> </w:t>
      </w:r>
      <w:r>
        <w:rPr>
          <w:color w:val="231F20"/>
          <w:w w:val="105"/>
        </w:rPr>
        <w:t>mecánica</w:t>
      </w:r>
      <w:r>
        <w:rPr>
          <w:color w:val="231F20"/>
          <w:spacing w:val="-15"/>
          <w:w w:val="105"/>
        </w:rPr>
        <w:t> </w:t>
      </w:r>
      <w:r>
        <w:rPr>
          <w:color w:val="231F20"/>
          <w:w w:val="105"/>
        </w:rPr>
        <w:t>industrial,</w:t>
      </w:r>
      <w:r>
        <w:rPr>
          <w:color w:val="231F20"/>
          <w:spacing w:val="-20"/>
          <w:w w:val="105"/>
        </w:rPr>
        <w:t> </w:t>
      </w:r>
      <w:r>
        <w:rPr>
          <w:color w:val="231F20"/>
          <w:w w:val="105"/>
        </w:rPr>
        <w:t>se</w:t>
      </w:r>
      <w:r>
        <w:rPr>
          <w:color w:val="231F20"/>
          <w:spacing w:val="-15"/>
          <w:w w:val="105"/>
        </w:rPr>
        <w:t> </w:t>
      </w:r>
      <w:r>
        <w:rPr>
          <w:color w:val="231F20"/>
          <w:w w:val="105"/>
        </w:rPr>
        <w:t>le apoyó</w:t>
      </w:r>
      <w:r>
        <w:rPr>
          <w:color w:val="231F20"/>
          <w:spacing w:val="-6"/>
          <w:w w:val="105"/>
        </w:rPr>
        <w:t> </w:t>
      </w:r>
      <w:r>
        <w:rPr>
          <w:color w:val="231F20"/>
          <w:w w:val="105"/>
        </w:rPr>
        <w:t>para</w:t>
      </w:r>
      <w:r>
        <w:rPr>
          <w:color w:val="231F20"/>
          <w:spacing w:val="-6"/>
          <w:w w:val="105"/>
        </w:rPr>
        <w:t> </w:t>
      </w:r>
      <w:r>
        <w:rPr>
          <w:color w:val="231F20"/>
          <w:w w:val="105"/>
        </w:rPr>
        <w:t>que</w:t>
      </w:r>
      <w:r>
        <w:rPr>
          <w:color w:val="231F20"/>
          <w:spacing w:val="-6"/>
          <w:w w:val="105"/>
        </w:rPr>
        <w:t> </w:t>
      </w:r>
      <w:r>
        <w:rPr>
          <w:color w:val="231F20"/>
          <w:w w:val="105"/>
        </w:rPr>
        <w:t>fuera</w:t>
      </w:r>
      <w:r>
        <w:rPr>
          <w:color w:val="231F20"/>
          <w:spacing w:val="-6"/>
          <w:w w:val="105"/>
        </w:rPr>
        <w:t> </w:t>
      </w:r>
      <w:r>
        <w:rPr>
          <w:color w:val="231F20"/>
          <w:w w:val="105"/>
        </w:rPr>
        <w:t>constantemente</w:t>
      </w:r>
      <w:r>
        <w:rPr>
          <w:color w:val="231F20"/>
          <w:spacing w:val="-6"/>
          <w:w w:val="105"/>
        </w:rPr>
        <w:t> </w:t>
      </w:r>
      <w:r>
        <w:rPr>
          <w:color w:val="231F20"/>
          <w:w w:val="105"/>
        </w:rPr>
        <w:t>a</w:t>
      </w:r>
      <w:r>
        <w:rPr>
          <w:color w:val="231F20"/>
          <w:spacing w:val="-6"/>
          <w:w w:val="105"/>
        </w:rPr>
        <w:t> </w:t>
      </w:r>
      <w:r>
        <w:rPr>
          <w:color w:val="231F20"/>
          <w:w w:val="105"/>
        </w:rPr>
        <w:t>aquél</w:t>
      </w:r>
      <w:r>
        <w:rPr>
          <w:color w:val="231F20"/>
          <w:spacing w:val="-6"/>
          <w:w w:val="105"/>
        </w:rPr>
        <w:t> </w:t>
      </w:r>
      <w:r>
        <w:rPr>
          <w:color w:val="231F20"/>
          <w:w w:val="105"/>
        </w:rPr>
        <w:t>país</w:t>
      </w:r>
      <w:r>
        <w:rPr>
          <w:color w:val="231F20"/>
          <w:spacing w:val="-6"/>
          <w:w w:val="105"/>
        </w:rPr>
        <w:t> </w:t>
      </w:r>
      <w:r>
        <w:rPr>
          <w:color w:val="231F20"/>
          <w:w w:val="105"/>
        </w:rPr>
        <w:t>a</w:t>
      </w:r>
      <w:r>
        <w:rPr>
          <w:color w:val="231F20"/>
          <w:spacing w:val="-6"/>
          <w:w w:val="105"/>
        </w:rPr>
        <w:t> </w:t>
      </w:r>
      <w:r>
        <w:rPr>
          <w:color w:val="231F20"/>
          <w:w w:val="105"/>
        </w:rPr>
        <w:t>capacitarse.</w:t>
      </w:r>
      <w:r>
        <w:rPr>
          <w:color w:val="231F20"/>
          <w:spacing w:val="-11"/>
          <w:w w:val="105"/>
        </w:rPr>
        <w:t> </w:t>
      </w:r>
      <w:r>
        <w:rPr>
          <w:color w:val="231F20"/>
          <w:w w:val="105"/>
        </w:rPr>
        <w:t>Cabe mencionar que en este mismo caso se muestra migración por parte de un hijo y un nieto, el primero es médico en Estados Unidos, el segundo está</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área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ingeniería</w:t>
      </w:r>
      <w:r>
        <w:rPr>
          <w:color w:val="231F20"/>
          <w:spacing w:val="-19"/>
          <w:w w:val="105"/>
        </w:rPr>
        <w:t> </w:t>
      </w:r>
      <w:r>
        <w:rPr>
          <w:color w:val="231F20"/>
          <w:w w:val="105"/>
        </w:rPr>
        <w:t>en</w:t>
      </w:r>
      <w:r>
        <w:rPr>
          <w:color w:val="231F20"/>
          <w:spacing w:val="-19"/>
          <w:w w:val="105"/>
        </w:rPr>
        <w:t> </w:t>
      </w:r>
      <w:r>
        <w:rPr>
          <w:color w:val="231F20"/>
          <w:w w:val="105"/>
        </w:rPr>
        <w:t>China,</w:t>
      </w:r>
      <w:r>
        <w:rPr>
          <w:color w:val="231F20"/>
          <w:spacing w:val="-25"/>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llevaría</w:t>
      </w:r>
      <w:r>
        <w:rPr>
          <w:color w:val="231F20"/>
          <w:spacing w:val="-19"/>
          <w:w w:val="105"/>
        </w:rPr>
        <w:t> </w:t>
      </w:r>
      <w:r>
        <w:rPr>
          <w:color w:val="231F20"/>
          <w:w w:val="105"/>
        </w:rPr>
        <w:t>al</w:t>
      </w:r>
      <w:r>
        <w:rPr>
          <w:color w:val="231F20"/>
          <w:spacing w:val="-19"/>
          <w:w w:val="105"/>
        </w:rPr>
        <w:t> </w:t>
      </w:r>
      <w:r>
        <w:rPr>
          <w:color w:val="231F20"/>
          <w:w w:val="105"/>
        </w:rPr>
        <w:t>análisis</w:t>
      </w:r>
      <w:r>
        <w:rPr>
          <w:color w:val="231F20"/>
          <w:spacing w:val="-19"/>
          <w:w w:val="105"/>
        </w:rPr>
        <w:t> </w:t>
      </w:r>
      <w:r>
        <w:rPr>
          <w:color w:val="231F20"/>
          <w:w w:val="105"/>
        </w:rPr>
        <w:t>de</w:t>
      </w:r>
      <w:r>
        <w:rPr>
          <w:color w:val="231F20"/>
          <w:spacing w:val="-19"/>
          <w:w w:val="105"/>
        </w:rPr>
        <w:t> </w:t>
      </w:r>
      <w:r>
        <w:rPr>
          <w:color w:val="231F20"/>
          <w:w w:val="105"/>
        </w:rPr>
        <w:t>mo- vilidad</w:t>
      </w:r>
      <w:r>
        <w:rPr>
          <w:color w:val="231F20"/>
          <w:spacing w:val="-17"/>
          <w:w w:val="105"/>
        </w:rPr>
        <w:t> </w:t>
      </w:r>
      <w:r>
        <w:rPr>
          <w:color w:val="231F20"/>
          <w:w w:val="105"/>
        </w:rPr>
        <w:t>ocupacional,</w:t>
      </w:r>
      <w:r>
        <w:rPr>
          <w:color w:val="231F20"/>
          <w:spacing w:val="-22"/>
          <w:w w:val="105"/>
        </w:rPr>
        <w:t> </w:t>
      </w:r>
      <w:r>
        <w:rPr>
          <w:color w:val="231F20"/>
          <w:w w:val="105"/>
        </w:rPr>
        <w:t>que</w:t>
      </w:r>
      <w:r>
        <w:rPr>
          <w:color w:val="231F20"/>
          <w:spacing w:val="-17"/>
          <w:w w:val="105"/>
        </w:rPr>
        <w:t> </w:t>
      </w:r>
      <w:r>
        <w:rPr>
          <w:color w:val="231F20"/>
          <w:w w:val="105"/>
        </w:rPr>
        <w:t>según</w:t>
      </w:r>
      <w:r>
        <w:rPr>
          <w:color w:val="231F20"/>
          <w:spacing w:val="-17"/>
          <w:w w:val="105"/>
        </w:rPr>
        <w:t> </w:t>
      </w:r>
      <w:r>
        <w:rPr>
          <w:color w:val="231F20"/>
          <w:w w:val="105"/>
        </w:rPr>
        <w:t>Solís</w:t>
      </w:r>
    </w:p>
    <w:p>
      <w:pPr>
        <w:pStyle w:val="BodyText"/>
        <w:rPr>
          <w:sz w:val="20"/>
        </w:rPr>
      </w:pPr>
    </w:p>
    <w:p>
      <w:pPr>
        <w:pStyle w:val="BodyText"/>
        <w:spacing w:before="7"/>
      </w:pPr>
    </w:p>
    <w:p>
      <w:pPr>
        <w:spacing w:line="254" w:lineRule="auto" w:before="1"/>
        <w:ind w:left="2971" w:right="1721" w:firstLine="0"/>
        <w:jc w:val="both"/>
        <w:rPr>
          <w:sz w:val="18"/>
        </w:rPr>
      </w:pPr>
      <w:r>
        <w:rPr/>
        <w:pict>
          <v:line style="position:absolute;mso-position-horizontal-relative:page;mso-position-vertical-relative:paragraph;z-index:-451120" from="15pt,183.330185pt" to="0pt,183.330185pt" stroked="true" strokeweight=".25pt" strokecolor="#000000">
            <w10:wrap type="none"/>
          </v:line>
        </w:pict>
      </w:r>
      <w:r>
        <w:rPr/>
        <w:pict>
          <v:line style="position:absolute;mso-position-horizontal-relative:page;mso-position-vertical-relative:paragraph;z-index:39088" from="508.890015pt,183.330185pt" to="523.890015pt,183.330185pt" stroked="true" strokeweight=".25pt" strokecolor="#000000">
            <w10:wrap type="none"/>
          </v:line>
        </w:pict>
      </w:r>
      <w:r>
        <w:rPr>
          <w:color w:val="231F20"/>
          <w:w w:val="105"/>
          <w:sz w:val="18"/>
        </w:rPr>
        <w:t>reconoce</w:t>
      </w:r>
      <w:r>
        <w:rPr>
          <w:color w:val="231F20"/>
          <w:spacing w:val="-9"/>
          <w:w w:val="105"/>
          <w:sz w:val="18"/>
        </w:rPr>
        <w:t> </w:t>
      </w:r>
      <w:r>
        <w:rPr>
          <w:color w:val="231F20"/>
          <w:w w:val="105"/>
          <w:sz w:val="18"/>
        </w:rPr>
        <w:t>el</w:t>
      </w:r>
      <w:r>
        <w:rPr>
          <w:color w:val="231F20"/>
          <w:spacing w:val="-9"/>
          <w:w w:val="105"/>
          <w:sz w:val="18"/>
        </w:rPr>
        <w:t> </w:t>
      </w:r>
      <w:r>
        <w:rPr>
          <w:color w:val="231F20"/>
          <w:w w:val="105"/>
          <w:sz w:val="18"/>
        </w:rPr>
        <w:t>rol</w:t>
      </w:r>
      <w:r>
        <w:rPr>
          <w:color w:val="231F20"/>
          <w:spacing w:val="-9"/>
          <w:w w:val="105"/>
          <w:sz w:val="18"/>
        </w:rPr>
        <w:t> </w:t>
      </w:r>
      <w:r>
        <w:rPr>
          <w:color w:val="231F20"/>
          <w:w w:val="105"/>
          <w:sz w:val="18"/>
        </w:rPr>
        <w:t>del</w:t>
      </w:r>
      <w:r>
        <w:rPr>
          <w:color w:val="231F20"/>
          <w:spacing w:val="-9"/>
          <w:w w:val="105"/>
          <w:sz w:val="18"/>
        </w:rPr>
        <w:t> </w:t>
      </w:r>
      <w:r>
        <w:rPr>
          <w:color w:val="231F20"/>
          <w:w w:val="105"/>
          <w:sz w:val="18"/>
        </w:rPr>
        <w:t>trabajo</w:t>
      </w:r>
      <w:r>
        <w:rPr>
          <w:color w:val="231F20"/>
          <w:spacing w:val="-9"/>
          <w:w w:val="105"/>
          <w:sz w:val="18"/>
        </w:rPr>
        <w:t> </w:t>
      </w:r>
      <w:r>
        <w:rPr>
          <w:color w:val="231F20"/>
          <w:w w:val="105"/>
          <w:sz w:val="18"/>
        </w:rPr>
        <w:t>como</w:t>
      </w:r>
      <w:r>
        <w:rPr>
          <w:color w:val="231F20"/>
          <w:spacing w:val="-9"/>
          <w:w w:val="105"/>
          <w:sz w:val="18"/>
        </w:rPr>
        <w:t> </w:t>
      </w:r>
      <w:r>
        <w:rPr>
          <w:color w:val="231F20"/>
          <w:w w:val="105"/>
          <w:sz w:val="18"/>
        </w:rPr>
        <w:t>integrador</w:t>
      </w:r>
      <w:r>
        <w:rPr>
          <w:color w:val="231F20"/>
          <w:spacing w:val="-9"/>
          <w:w w:val="105"/>
          <w:sz w:val="18"/>
        </w:rPr>
        <w:t> </w:t>
      </w:r>
      <w:r>
        <w:rPr>
          <w:color w:val="231F20"/>
          <w:w w:val="105"/>
          <w:sz w:val="18"/>
        </w:rPr>
        <w:t>de</w:t>
      </w:r>
      <w:r>
        <w:rPr>
          <w:color w:val="231F20"/>
          <w:spacing w:val="-9"/>
          <w:w w:val="105"/>
          <w:sz w:val="18"/>
        </w:rPr>
        <w:t> </w:t>
      </w:r>
      <w:r>
        <w:rPr>
          <w:color w:val="231F20"/>
          <w:w w:val="105"/>
          <w:sz w:val="18"/>
        </w:rPr>
        <w:t>la</w:t>
      </w:r>
      <w:r>
        <w:rPr>
          <w:color w:val="231F20"/>
          <w:spacing w:val="-9"/>
          <w:w w:val="105"/>
          <w:sz w:val="18"/>
        </w:rPr>
        <w:t> </w:t>
      </w:r>
      <w:r>
        <w:rPr>
          <w:color w:val="231F20"/>
          <w:w w:val="105"/>
          <w:sz w:val="18"/>
        </w:rPr>
        <w:t>sociedad</w:t>
      </w:r>
      <w:r>
        <w:rPr>
          <w:color w:val="231F20"/>
          <w:spacing w:val="-9"/>
          <w:w w:val="105"/>
          <w:sz w:val="18"/>
        </w:rPr>
        <w:t> </w:t>
      </w:r>
      <w:r>
        <w:rPr>
          <w:color w:val="231F20"/>
          <w:w w:val="105"/>
          <w:sz w:val="18"/>
        </w:rPr>
        <w:t>y</w:t>
      </w:r>
      <w:r>
        <w:rPr>
          <w:color w:val="231F20"/>
          <w:spacing w:val="-9"/>
          <w:w w:val="105"/>
          <w:sz w:val="18"/>
        </w:rPr>
        <w:t> </w:t>
      </w:r>
      <w:r>
        <w:rPr>
          <w:color w:val="231F20"/>
          <w:w w:val="105"/>
          <w:sz w:val="18"/>
        </w:rPr>
        <w:t>como</w:t>
      </w:r>
      <w:r>
        <w:rPr>
          <w:color w:val="231F20"/>
          <w:spacing w:val="-9"/>
          <w:w w:val="105"/>
          <w:sz w:val="18"/>
        </w:rPr>
        <w:t> </w:t>
      </w:r>
      <w:r>
        <w:rPr>
          <w:color w:val="231F20"/>
          <w:w w:val="105"/>
          <w:sz w:val="18"/>
        </w:rPr>
        <w:t>uno de los principales medios para lograr el bienestar mediante las retri- buciones y distribución de recursos que se derivan de él. Se sostiene sobre el supuesto de que la estructura ocupacional resume la estruc- tura</w:t>
      </w:r>
      <w:r>
        <w:rPr>
          <w:color w:val="231F20"/>
          <w:spacing w:val="-3"/>
          <w:w w:val="105"/>
          <w:sz w:val="18"/>
        </w:rPr>
        <w:t> </w:t>
      </w:r>
      <w:r>
        <w:rPr>
          <w:color w:val="231F20"/>
          <w:w w:val="105"/>
          <w:sz w:val="18"/>
        </w:rPr>
        <w:t>de</w:t>
      </w:r>
      <w:r>
        <w:rPr>
          <w:color w:val="231F20"/>
          <w:spacing w:val="-3"/>
          <w:w w:val="105"/>
          <w:sz w:val="18"/>
        </w:rPr>
        <w:t> </w:t>
      </w:r>
      <w:r>
        <w:rPr>
          <w:color w:val="231F20"/>
          <w:w w:val="105"/>
          <w:sz w:val="18"/>
        </w:rPr>
        <w:t>distribución</w:t>
      </w:r>
      <w:r>
        <w:rPr>
          <w:color w:val="231F20"/>
          <w:spacing w:val="-3"/>
          <w:w w:val="105"/>
          <w:sz w:val="18"/>
        </w:rPr>
        <w:t> </w:t>
      </w:r>
      <w:r>
        <w:rPr>
          <w:color w:val="231F20"/>
          <w:w w:val="105"/>
          <w:sz w:val="18"/>
        </w:rPr>
        <w:t>de</w:t>
      </w:r>
      <w:r>
        <w:rPr>
          <w:color w:val="231F20"/>
          <w:spacing w:val="-3"/>
          <w:w w:val="105"/>
          <w:sz w:val="18"/>
        </w:rPr>
        <w:t> </w:t>
      </w:r>
      <w:r>
        <w:rPr>
          <w:color w:val="231F20"/>
          <w:w w:val="105"/>
          <w:sz w:val="18"/>
        </w:rPr>
        <w:t>una</w:t>
      </w:r>
      <w:r>
        <w:rPr>
          <w:color w:val="231F20"/>
          <w:spacing w:val="-3"/>
          <w:w w:val="105"/>
          <w:sz w:val="18"/>
        </w:rPr>
        <w:t> </w:t>
      </w:r>
      <w:r>
        <w:rPr>
          <w:color w:val="231F20"/>
          <w:w w:val="105"/>
          <w:sz w:val="18"/>
        </w:rPr>
        <w:t>sociedad</w:t>
      </w:r>
      <w:r>
        <w:rPr>
          <w:color w:val="231F20"/>
          <w:spacing w:val="-3"/>
          <w:w w:val="105"/>
          <w:sz w:val="18"/>
        </w:rPr>
        <w:t> </w:t>
      </w:r>
      <w:r>
        <w:rPr>
          <w:color w:val="231F20"/>
          <w:spacing w:val="-4"/>
          <w:w w:val="105"/>
          <w:sz w:val="18"/>
        </w:rPr>
        <w:t>y,</w:t>
      </w:r>
      <w:r>
        <w:rPr>
          <w:color w:val="231F20"/>
          <w:spacing w:val="-9"/>
          <w:w w:val="105"/>
          <w:sz w:val="18"/>
        </w:rPr>
        <w:t> </w:t>
      </w:r>
      <w:r>
        <w:rPr>
          <w:color w:val="231F20"/>
          <w:w w:val="105"/>
          <w:sz w:val="18"/>
        </w:rPr>
        <w:t>por</w:t>
      </w:r>
      <w:r>
        <w:rPr>
          <w:color w:val="231F20"/>
          <w:spacing w:val="-3"/>
          <w:w w:val="105"/>
          <w:sz w:val="18"/>
        </w:rPr>
        <w:t> </w:t>
      </w:r>
      <w:r>
        <w:rPr>
          <w:color w:val="231F20"/>
          <w:w w:val="105"/>
          <w:sz w:val="18"/>
        </w:rPr>
        <w:t>tanto,</w:t>
      </w:r>
      <w:r>
        <w:rPr>
          <w:color w:val="231F20"/>
          <w:spacing w:val="-9"/>
          <w:w w:val="105"/>
          <w:sz w:val="18"/>
        </w:rPr>
        <w:t> </w:t>
      </w:r>
      <w:r>
        <w:rPr>
          <w:color w:val="231F20"/>
          <w:w w:val="105"/>
          <w:sz w:val="18"/>
        </w:rPr>
        <w:t>la</w:t>
      </w:r>
      <w:r>
        <w:rPr>
          <w:color w:val="231F20"/>
          <w:spacing w:val="-3"/>
          <w:w w:val="105"/>
          <w:sz w:val="18"/>
        </w:rPr>
        <w:t> </w:t>
      </w:r>
      <w:r>
        <w:rPr>
          <w:color w:val="231F20"/>
          <w:w w:val="105"/>
          <w:sz w:val="18"/>
        </w:rPr>
        <w:t>distribución</w:t>
      </w:r>
      <w:r>
        <w:rPr>
          <w:color w:val="231F20"/>
          <w:spacing w:val="-3"/>
          <w:w w:val="105"/>
          <w:sz w:val="18"/>
        </w:rPr>
        <w:t> </w:t>
      </w:r>
      <w:r>
        <w:rPr>
          <w:color w:val="231F20"/>
          <w:w w:val="105"/>
          <w:sz w:val="18"/>
        </w:rPr>
        <w:t>de</w:t>
      </w:r>
      <w:r>
        <w:rPr>
          <w:color w:val="231F20"/>
          <w:spacing w:val="-3"/>
          <w:w w:val="105"/>
          <w:sz w:val="18"/>
        </w:rPr>
        <w:t> </w:t>
      </w:r>
      <w:r>
        <w:rPr>
          <w:color w:val="231F20"/>
          <w:w w:val="105"/>
          <w:sz w:val="18"/>
        </w:rPr>
        <w:t>las oportunidades de vida, y la producción y reproducción de jerarquías</w:t>
      </w:r>
      <w:r>
        <w:rPr>
          <w:color w:val="231F20"/>
          <w:spacing w:val="-29"/>
          <w:w w:val="105"/>
          <w:sz w:val="18"/>
        </w:rPr>
        <w:t> </w:t>
      </w:r>
      <w:r>
        <w:rPr>
          <w:color w:val="231F20"/>
          <w:w w:val="105"/>
          <w:sz w:val="18"/>
        </w:rPr>
        <w:t>y desigualdades pueden aprehenderse mediante el estudio de la distri- bución de oportunidades laborales (2012:</w:t>
      </w:r>
      <w:r>
        <w:rPr>
          <w:color w:val="231F20"/>
          <w:spacing w:val="-35"/>
          <w:w w:val="105"/>
          <w:sz w:val="18"/>
        </w:rPr>
        <w:t> </w:t>
      </w:r>
      <w:r>
        <w:rPr>
          <w:color w:val="231F20"/>
          <w:w w:val="105"/>
          <w:sz w:val="18"/>
        </w:rPr>
        <w:t>3).</w:t>
      </w:r>
    </w:p>
    <w:p>
      <w:pPr>
        <w:spacing w:after="0" w:line="254" w:lineRule="auto"/>
        <w:jc w:val="both"/>
        <w:rPr>
          <w:sz w:val="18"/>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90"/>
        <w:ind w:left="1723"/>
        <w:jc w:val="left"/>
      </w:pPr>
      <w:r>
        <w:rPr/>
        <w:pict>
          <v:line style="position:absolute;mso-position-horizontal-relative:page;mso-position-vertical-relative:paragraph;z-index:39136" from="15pt,-62.04826pt" to="0pt,-62.04826pt" stroked="true" strokeweight=".25pt" strokecolor="#000000">
            <w10:wrap type="none"/>
          </v:line>
        </w:pict>
      </w:r>
      <w:r>
        <w:rPr/>
        <w:pict>
          <v:line style="position:absolute;mso-position-horizontal-relative:page;mso-position-vertical-relative:paragraph;z-index:39160" from="508.890015pt,-62.04826pt" to="523.890015pt,-62.04826pt" stroked="true" strokeweight=".25pt" strokecolor="#000000">
            <w10:wrap type="none"/>
          </v:line>
        </w:pict>
      </w:r>
      <w:r>
        <w:rPr>
          <w:color w:val="231F20"/>
        </w:rPr>
        <w:t>A manera de cierre y apertura de nuevas investigaciones</w:t>
      </w:r>
    </w:p>
    <w:p>
      <w:pPr>
        <w:pStyle w:val="BodyText"/>
        <w:rPr>
          <w:rFonts w:ascii="Arial"/>
          <w:b/>
          <w:sz w:val="22"/>
        </w:rPr>
      </w:pPr>
    </w:p>
    <w:p>
      <w:pPr>
        <w:pStyle w:val="BodyText"/>
        <w:spacing w:line="261" w:lineRule="auto" w:before="163"/>
        <w:ind w:left="1723" w:right="1834"/>
        <w:jc w:val="both"/>
      </w:pPr>
      <w:r>
        <w:rPr>
          <w:color w:val="231F20"/>
          <w:w w:val="105"/>
        </w:rPr>
        <w:t>El</w:t>
      </w:r>
      <w:r>
        <w:rPr>
          <w:color w:val="231F20"/>
          <w:spacing w:val="-7"/>
          <w:w w:val="105"/>
        </w:rPr>
        <w:t> </w:t>
      </w:r>
      <w:r>
        <w:rPr>
          <w:color w:val="231F20"/>
          <w:w w:val="105"/>
        </w:rPr>
        <w:t>trabajo</w:t>
      </w:r>
      <w:r>
        <w:rPr>
          <w:color w:val="231F20"/>
          <w:spacing w:val="-7"/>
          <w:w w:val="105"/>
        </w:rPr>
        <w:t> </w:t>
      </w:r>
      <w:r>
        <w:rPr>
          <w:color w:val="231F20"/>
          <w:w w:val="105"/>
        </w:rPr>
        <w:t>ha</w:t>
      </w:r>
      <w:r>
        <w:rPr>
          <w:color w:val="231F20"/>
          <w:spacing w:val="-7"/>
          <w:w w:val="105"/>
        </w:rPr>
        <w:t> </w:t>
      </w:r>
      <w:r>
        <w:rPr>
          <w:color w:val="231F20"/>
          <w:w w:val="105"/>
        </w:rPr>
        <w:t>mostrado</w:t>
      </w:r>
      <w:r>
        <w:rPr>
          <w:color w:val="231F20"/>
          <w:spacing w:val="-7"/>
          <w:w w:val="105"/>
        </w:rPr>
        <w:t> </w:t>
      </w:r>
      <w:r>
        <w:rPr>
          <w:color w:val="231F20"/>
          <w:w w:val="105"/>
        </w:rPr>
        <w:t>de</w:t>
      </w:r>
      <w:r>
        <w:rPr>
          <w:color w:val="231F20"/>
          <w:spacing w:val="-7"/>
          <w:w w:val="105"/>
        </w:rPr>
        <w:t> </w:t>
      </w:r>
      <w:r>
        <w:rPr>
          <w:color w:val="231F20"/>
          <w:spacing w:val="-2"/>
          <w:w w:val="105"/>
        </w:rPr>
        <w:t>manera</w:t>
      </w:r>
      <w:r>
        <w:rPr>
          <w:color w:val="231F20"/>
          <w:spacing w:val="-7"/>
          <w:w w:val="105"/>
        </w:rPr>
        <w:t> </w:t>
      </w:r>
      <w:r>
        <w:rPr>
          <w:color w:val="231F20"/>
          <w:w w:val="105"/>
        </w:rPr>
        <w:t>seria</w:t>
      </w:r>
      <w:r>
        <w:rPr>
          <w:color w:val="231F20"/>
          <w:spacing w:val="-7"/>
          <w:w w:val="105"/>
        </w:rPr>
        <w:t> </w:t>
      </w:r>
      <w:r>
        <w:rPr>
          <w:color w:val="231F20"/>
          <w:w w:val="105"/>
        </w:rPr>
        <w:t>las</w:t>
      </w:r>
      <w:r>
        <w:rPr>
          <w:color w:val="231F20"/>
          <w:spacing w:val="-7"/>
          <w:w w:val="105"/>
        </w:rPr>
        <w:t> </w:t>
      </w:r>
      <w:r>
        <w:rPr>
          <w:color w:val="231F20"/>
          <w:spacing w:val="-3"/>
          <w:w w:val="105"/>
        </w:rPr>
        <w:t>diferentes</w:t>
      </w:r>
      <w:r>
        <w:rPr>
          <w:color w:val="231F20"/>
          <w:spacing w:val="-7"/>
          <w:w w:val="105"/>
        </w:rPr>
        <w:t> </w:t>
      </w:r>
      <w:r>
        <w:rPr>
          <w:color w:val="231F20"/>
          <w:w w:val="105"/>
        </w:rPr>
        <w:t>condiciones</w:t>
      </w:r>
      <w:r>
        <w:rPr>
          <w:color w:val="231F20"/>
          <w:spacing w:val="-7"/>
          <w:w w:val="105"/>
        </w:rPr>
        <w:t> </w:t>
      </w:r>
      <w:r>
        <w:rPr>
          <w:color w:val="231F20"/>
          <w:w w:val="105"/>
        </w:rPr>
        <w:t>y</w:t>
      </w:r>
      <w:r>
        <w:rPr>
          <w:color w:val="231F20"/>
          <w:spacing w:val="-7"/>
          <w:w w:val="105"/>
        </w:rPr>
        <w:t> </w:t>
      </w:r>
      <w:r>
        <w:rPr>
          <w:color w:val="231F20"/>
          <w:w w:val="105"/>
        </w:rPr>
        <w:t>ca- racterísticas</w:t>
      </w:r>
      <w:r>
        <w:rPr>
          <w:color w:val="231F20"/>
          <w:spacing w:val="-24"/>
          <w:w w:val="105"/>
        </w:rPr>
        <w:t> </w:t>
      </w:r>
      <w:r>
        <w:rPr>
          <w:color w:val="231F20"/>
          <w:w w:val="105"/>
        </w:rPr>
        <w:t>de</w:t>
      </w:r>
      <w:r>
        <w:rPr>
          <w:color w:val="231F20"/>
          <w:spacing w:val="-24"/>
          <w:w w:val="105"/>
        </w:rPr>
        <w:t> </w:t>
      </w:r>
      <w:r>
        <w:rPr>
          <w:color w:val="231F20"/>
          <w:spacing w:val="-3"/>
          <w:w w:val="105"/>
        </w:rPr>
        <w:t>tres</w:t>
      </w:r>
      <w:r>
        <w:rPr>
          <w:color w:val="231F20"/>
          <w:spacing w:val="-24"/>
          <w:w w:val="105"/>
        </w:rPr>
        <w:t> </w:t>
      </w:r>
      <w:r>
        <w:rPr>
          <w:color w:val="231F20"/>
          <w:w w:val="105"/>
        </w:rPr>
        <w:t>y</w:t>
      </w:r>
      <w:r>
        <w:rPr>
          <w:color w:val="231F20"/>
          <w:spacing w:val="-24"/>
          <w:w w:val="105"/>
        </w:rPr>
        <w:t> </w:t>
      </w:r>
      <w:r>
        <w:rPr>
          <w:color w:val="231F20"/>
          <w:w w:val="105"/>
        </w:rPr>
        <w:t>hasta</w:t>
      </w:r>
      <w:r>
        <w:rPr>
          <w:color w:val="231F20"/>
          <w:spacing w:val="-24"/>
          <w:w w:val="105"/>
        </w:rPr>
        <w:t> </w:t>
      </w:r>
      <w:r>
        <w:rPr>
          <w:color w:val="231F20"/>
          <w:spacing w:val="-3"/>
          <w:w w:val="105"/>
        </w:rPr>
        <w:t>cuatro</w:t>
      </w:r>
      <w:r>
        <w:rPr>
          <w:color w:val="231F20"/>
          <w:spacing w:val="-24"/>
          <w:w w:val="105"/>
        </w:rPr>
        <w:t> </w:t>
      </w:r>
      <w:r>
        <w:rPr>
          <w:color w:val="231F20"/>
          <w:spacing w:val="-2"/>
          <w:w w:val="105"/>
        </w:rPr>
        <w:t>generaciones</w:t>
      </w:r>
      <w:r>
        <w:rPr>
          <w:color w:val="231F20"/>
          <w:spacing w:val="-24"/>
          <w:w w:val="105"/>
        </w:rPr>
        <w:t> </w:t>
      </w:r>
      <w:r>
        <w:rPr>
          <w:color w:val="231F20"/>
          <w:w w:val="105"/>
        </w:rPr>
        <w:t>de</w:t>
      </w:r>
      <w:r>
        <w:rPr>
          <w:color w:val="231F20"/>
          <w:spacing w:val="-24"/>
          <w:w w:val="105"/>
        </w:rPr>
        <w:t> </w:t>
      </w:r>
      <w:r>
        <w:rPr>
          <w:color w:val="231F20"/>
          <w:w w:val="105"/>
        </w:rPr>
        <w:t>migrantes</w:t>
      </w:r>
      <w:r>
        <w:rPr>
          <w:color w:val="231F20"/>
          <w:spacing w:val="-24"/>
          <w:w w:val="105"/>
        </w:rPr>
        <w:t> </w:t>
      </w:r>
      <w:r>
        <w:rPr>
          <w:color w:val="231F20"/>
          <w:spacing w:val="-3"/>
          <w:w w:val="105"/>
        </w:rPr>
        <w:t>mexicanos </w:t>
      </w:r>
      <w:r>
        <w:rPr>
          <w:color w:val="231F20"/>
          <w:w w:val="105"/>
        </w:rPr>
        <w:t>hacia</w:t>
      </w:r>
      <w:r>
        <w:rPr>
          <w:color w:val="231F20"/>
          <w:spacing w:val="-5"/>
          <w:w w:val="105"/>
        </w:rPr>
        <w:t> </w:t>
      </w:r>
      <w:r>
        <w:rPr>
          <w:color w:val="231F20"/>
          <w:w w:val="105"/>
        </w:rPr>
        <w:t>Estados</w:t>
      </w:r>
      <w:r>
        <w:rPr>
          <w:color w:val="231F20"/>
          <w:spacing w:val="-5"/>
          <w:w w:val="105"/>
        </w:rPr>
        <w:t> </w:t>
      </w:r>
      <w:r>
        <w:rPr>
          <w:color w:val="231F20"/>
          <w:w w:val="105"/>
        </w:rPr>
        <w:t>Unidos.</w:t>
      </w:r>
      <w:r>
        <w:rPr>
          <w:color w:val="231F20"/>
          <w:spacing w:val="-9"/>
          <w:w w:val="105"/>
        </w:rPr>
        <w:t> </w:t>
      </w:r>
      <w:r>
        <w:rPr>
          <w:color w:val="231F20"/>
          <w:w w:val="105"/>
        </w:rPr>
        <w:t>De</w:t>
      </w:r>
      <w:r>
        <w:rPr>
          <w:color w:val="231F20"/>
          <w:spacing w:val="-5"/>
          <w:w w:val="105"/>
        </w:rPr>
        <w:t> </w:t>
      </w:r>
      <w:r>
        <w:rPr>
          <w:color w:val="231F20"/>
          <w:w w:val="105"/>
        </w:rPr>
        <w:t>esta</w:t>
      </w:r>
      <w:r>
        <w:rPr>
          <w:color w:val="231F20"/>
          <w:spacing w:val="-5"/>
          <w:w w:val="105"/>
        </w:rPr>
        <w:t> </w:t>
      </w:r>
      <w:r>
        <w:rPr>
          <w:color w:val="231F20"/>
          <w:w w:val="105"/>
        </w:rPr>
        <w:t>manera,</w:t>
      </w:r>
      <w:r>
        <w:rPr>
          <w:color w:val="231F20"/>
          <w:spacing w:val="-9"/>
          <w:w w:val="105"/>
        </w:rPr>
        <w:t> </w:t>
      </w:r>
      <w:r>
        <w:rPr>
          <w:color w:val="231F20"/>
          <w:w w:val="105"/>
        </w:rPr>
        <w:t>se</w:t>
      </w:r>
      <w:r>
        <w:rPr>
          <w:color w:val="231F20"/>
          <w:spacing w:val="-5"/>
          <w:w w:val="105"/>
        </w:rPr>
        <w:t> </w:t>
      </w:r>
      <w:r>
        <w:rPr>
          <w:color w:val="231F20"/>
          <w:w w:val="105"/>
        </w:rPr>
        <w:t>han</w:t>
      </w:r>
      <w:r>
        <w:rPr>
          <w:color w:val="231F20"/>
          <w:spacing w:val="-5"/>
          <w:w w:val="105"/>
        </w:rPr>
        <w:t> </w:t>
      </w:r>
      <w:r>
        <w:rPr>
          <w:color w:val="231F20"/>
          <w:spacing w:val="-3"/>
          <w:w w:val="105"/>
        </w:rPr>
        <w:t>abordado</w:t>
      </w:r>
      <w:r>
        <w:rPr>
          <w:color w:val="231F20"/>
          <w:spacing w:val="-5"/>
          <w:w w:val="105"/>
        </w:rPr>
        <w:t> </w:t>
      </w:r>
      <w:r>
        <w:rPr>
          <w:color w:val="231F20"/>
          <w:spacing w:val="-3"/>
          <w:w w:val="105"/>
        </w:rPr>
        <w:t>diferentes</w:t>
      </w:r>
      <w:r>
        <w:rPr>
          <w:color w:val="231F20"/>
          <w:spacing w:val="-5"/>
          <w:w w:val="105"/>
        </w:rPr>
        <w:t> </w:t>
      </w:r>
      <w:r>
        <w:rPr>
          <w:color w:val="231F20"/>
          <w:w w:val="105"/>
        </w:rPr>
        <w:t>he- chos sociales desde el siglo </w:t>
      </w:r>
      <w:r>
        <w:rPr>
          <w:color w:val="231F20"/>
          <w:w w:val="105"/>
          <w:sz w:val="17"/>
        </w:rPr>
        <w:t>XIX </w:t>
      </w:r>
      <w:r>
        <w:rPr>
          <w:color w:val="231F20"/>
          <w:w w:val="105"/>
        </w:rPr>
        <w:t>que </w:t>
      </w:r>
      <w:r>
        <w:rPr>
          <w:color w:val="231F20"/>
          <w:spacing w:val="-3"/>
          <w:w w:val="105"/>
        </w:rPr>
        <w:t>hicieron </w:t>
      </w:r>
      <w:r>
        <w:rPr>
          <w:color w:val="231F20"/>
          <w:w w:val="105"/>
        </w:rPr>
        <w:t>y </w:t>
      </w:r>
      <w:r>
        <w:rPr>
          <w:color w:val="231F20"/>
          <w:spacing w:val="-3"/>
          <w:w w:val="105"/>
        </w:rPr>
        <w:t>construyeron </w:t>
      </w:r>
      <w:r>
        <w:rPr>
          <w:color w:val="231F20"/>
          <w:w w:val="105"/>
        </w:rPr>
        <w:t>el </w:t>
      </w:r>
      <w:r>
        <w:rPr>
          <w:color w:val="231F20"/>
          <w:spacing w:val="-3"/>
          <w:w w:val="105"/>
        </w:rPr>
        <w:t>proceso migratorio</w:t>
      </w:r>
      <w:r>
        <w:rPr>
          <w:color w:val="231F20"/>
          <w:spacing w:val="-27"/>
          <w:w w:val="105"/>
        </w:rPr>
        <w:t> </w:t>
      </w:r>
      <w:r>
        <w:rPr>
          <w:color w:val="231F20"/>
          <w:w w:val="105"/>
        </w:rPr>
        <w:t>de</w:t>
      </w:r>
      <w:r>
        <w:rPr>
          <w:color w:val="231F20"/>
          <w:spacing w:val="-27"/>
          <w:w w:val="105"/>
        </w:rPr>
        <w:t> </w:t>
      </w:r>
      <w:r>
        <w:rPr>
          <w:color w:val="231F20"/>
          <w:w w:val="105"/>
        </w:rPr>
        <w:t>millones</w:t>
      </w:r>
      <w:r>
        <w:rPr>
          <w:color w:val="231F20"/>
          <w:spacing w:val="-27"/>
          <w:w w:val="105"/>
        </w:rPr>
        <w:t> </w:t>
      </w:r>
      <w:r>
        <w:rPr>
          <w:color w:val="231F20"/>
          <w:w w:val="105"/>
        </w:rPr>
        <w:t>de</w:t>
      </w:r>
      <w:r>
        <w:rPr>
          <w:color w:val="231F20"/>
          <w:spacing w:val="-27"/>
          <w:w w:val="105"/>
        </w:rPr>
        <w:t> </w:t>
      </w:r>
      <w:r>
        <w:rPr>
          <w:color w:val="231F20"/>
          <w:w w:val="105"/>
        </w:rPr>
        <w:t>mexicanos</w:t>
      </w:r>
      <w:r>
        <w:rPr>
          <w:color w:val="231F20"/>
          <w:spacing w:val="-27"/>
          <w:w w:val="105"/>
        </w:rPr>
        <w:t> </w:t>
      </w:r>
      <w:r>
        <w:rPr>
          <w:color w:val="231F20"/>
          <w:w w:val="105"/>
        </w:rPr>
        <w:t>que</w:t>
      </w:r>
      <w:r>
        <w:rPr>
          <w:color w:val="231F20"/>
          <w:spacing w:val="-27"/>
          <w:w w:val="105"/>
        </w:rPr>
        <w:t> </w:t>
      </w:r>
      <w:r>
        <w:rPr>
          <w:color w:val="231F20"/>
          <w:w w:val="105"/>
        </w:rPr>
        <w:t>han</w:t>
      </w:r>
      <w:r>
        <w:rPr>
          <w:color w:val="231F20"/>
          <w:spacing w:val="-27"/>
          <w:w w:val="105"/>
        </w:rPr>
        <w:t> </w:t>
      </w:r>
      <w:r>
        <w:rPr>
          <w:color w:val="231F20"/>
          <w:w w:val="105"/>
        </w:rPr>
        <w:t>buscado</w:t>
      </w:r>
      <w:r>
        <w:rPr>
          <w:color w:val="231F20"/>
          <w:spacing w:val="-27"/>
          <w:w w:val="105"/>
        </w:rPr>
        <w:t> </w:t>
      </w:r>
      <w:r>
        <w:rPr>
          <w:color w:val="231F20"/>
          <w:w w:val="105"/>
        </w:rPr>
        <w:t>ser</w:t>
      </w:r>
      <w:r>
        <w:rPr>
          <w:color w:val="231F20"/>
          <w:spacing w:val="-27"/>
          <w:w w:val="105"/>
        </w:rPr>
        <w:t> </w:t>
      </w:r>
      <w:r>
        <w:rPr>
          <w:color w:val="231F20"/>
          <w:w w:val="105"/>
        </w:rPr>
        <w:t>ciudadanos</w:t>
      </w:r>
      <w:r>
        <w:rPr>
          <w:color w:val="231F20"/>
          <w:spacing w:val="-27"/>
          <w:w w:val="105"/>
        </w:rPr>
        <w:t> </w:t>
      </w:r>
      <w:r>
        <w:rPr>
          <w:color w:val="231F20"/>
          <w:w w:val="105"/>
        </w:rPr>
        <w:t>de la</w:t>
      </w:r>
      <w:r>
        <w:rPr>
          <w:color w:val="231F20"/>
          <w:spacing w:val="-19"/>
          <w:w w:val="105"/>
        </w:rPr>
        <w:t> </w:t>
      </w:r>
      <w:r>
        <w:rPr>
          <w:color w:val="231F20"/>
          <w:w w:val="105"/>
        </w:rPr>
        <w:t>comunidad</w:t>
      </w:r>
      <w:r>
        <w:rPr>
          <w:color w:val="231F20"/>
          <w:spacing w:val="-19"/>
          <w:w w:val="105"/>
        </w:rPr>
        <w:t> </w:t>
      </w:r>
      <w:r>
        <w:rPr>
          <w:color w:val="231F20"/>
          <w:spacing w:val="-3"/>
          <w:w w:val="105"/>
        </w:rPr>
        <w:t>norteamericana.</w:t>
      </w:r>
      <w:r>
        <w:rPr>
          <w:color w:val="231F20"/>
          <w:spacing w:val="-24"/>
          <w:w w:val="105"/>
        </w:rPr>
        <w:t> </w:t>
      </w:r>
      <w:r>
        <w:rPr>
          <w:color w:val="231F20"/>
          <w:w w:val="105"/>
        </w:rPr>
        <w:t>Esto,</w:t>
      </w:r>
      <w:r>
        <w:rPr>
          <w:color w:val="231F20"/>
          <w:spacing w:val="-24"/>
          <w:w w:val="105"/>
        </w:rPr>
        <w:t> </w:t>
      </w:r>
      <w:r>
        <w:rPr>
          <w:color w:val="231F20"/>
          <w:spacing w:val="-3"/>
          <w:w w:val="105"/>
        </w:rPr>
        <w:t>claro,</w:t>
      </w:r>
      <w:r>
        <w:rPr>
          <w:color w:val="231F20"/>
          <w:spacing w:val="-24"/>
          <w:w w:val="105"/>
        </w:rPr>
        <w:t> </w:t>
      </w:r>
      <w:r>
        <w:rPr>
          <w:color w:val="231F20"/>
          <w:w w:val="105"/>
        </w:rPr>
        <w:t>tras</w:t>
      </w:r>
      <w:r>
        <w:rPr>
          <w:color w:val="231F20"/>
          <w:spacing w:val="-19"/>
          <w:w w:val="105"/>
        </w:rPr>
        <w:t> </w:t>
      </w:r>
      <w:r>
        <w:rPr>
          <w:color w:val="231F20"/>
          <w:w w:val="105"/>
        </w:rPr>
        <w:t>un</w:t>
      </w:r>
      <w:r>
        <w:rPr>
          <w:color w:val="231F20"/>
          <w:spacing w:val="-19"/>
          <w:w w:val="105"/>
        </w:rPr>
        <w:t> </w:t>
      </w:r>
      <w:r>
        <w:rPr>
          <w:color w:val="231F20"/>
          <w:w w:val="105"/>
        </w:rPr>
        <w:t>camino</w:t>
      </w:r>
      <w:r>
        <w:rPr>
          <w:color w:val="231F20"/>
          <w:spacing w:val="-19"/>
          <w:w w:val="105"/>
        </w:rPr>
        <w:t> </w:t>
      </w:r>
      <w:r>
        <w:rPr>
          <w:color w:val="231F20"/>
          <w:spacing w:val="-3"/>
          <w:w w:val="105"/>
        </w:rPr>
        <w:t>largo</w:t>
      </w:r>
      <w:r>
        <w:rPr>
          <w:color w:val="231F20"/>
          <w:spacing w:val="-19"/>
          <w:w w:val="105"/>
        </w:rPr>
        <w:t> </w:t>
      </w:r>
      <w:r>
        <w:rPr>
          <w:color w:val="231F20"/>
          <w:w w:val="105"/>
        </w:rPr>
        <w:t>y</w:t>
      </w:r>
      <w:r>
        <w:rPr>
          <w:color w:val="231F20"/>
          <w:spacing w:val="-19"/>
          <w:w w:val="105"/>
        </w:rPr>
        <w:t> </w:t>
      </w:r>
      <w:r>
        <w:rPr>
          <w:color w:val="231F20"/>
          <w:w w:val="105"/>
        </w:rPr>
        <w:t>sinuoso que</w:t>
      </w:r>
      <w:r>
        <w:rPr>
          <w:color w:val="231F20"/>
          <w:spacing w:val="-18"/>
          <w:w w:val="105"/>
        </w:rPr>
        <w:t> </w:t>
      </w:r>
      <w:r>
        <w:rPr>
          <w:color w:val="231F20"/>
          <w:w w:val="105"/>
        </w:rPr>
        <w:t>los</w:t>
      </w:r>
      <w:r>
        <w:rPr>
          <w:color w:val="231F20"/>
          <w:spacing w:val="-18"/>
          <w:w w:val="105"/>
        </w:rPr>
        <w:t> </w:t>
      </w:r>
      <w:r>
        <w:rPr>
          <w:color w:val="231F20"/>
          <w:w w:val="105"/>
        </w:rPr>
        <w:t>migrantes</w:t>
      </w:r>
      <w:r>
        <w:rPr>
          <w:color w:val="231F20"/>
          <w:spacing w:val="-18"/>
          <w:w w:val="105"/>
        </w:rPr>
        <w:t> </w:t>
      </w:r>
      <w:r>
        <w:rPr>
          <w:color w:val="231F20"/>
          <w:w w:val="105"/>
        </w:rPr>
        <w:t>han</w:t>
      </w:r>
      <w:r>
        <w:rPr>
          <w:color w:val="231F20"/>
          <w:spacing w:val="-18"/>
          <w:w w:val="105"/>
        </w:rPr>
        <w:t> </w:t>
      </w:r>
      <w:r>
        <w:rPr>
          <w:color w:val="231F20"/>
          <w:w w:val="105"/>
        </w:rPr>
        <w:t>andado</w:t>
      </w:r>
      <w:r>
        <w:rPr>
          <w:color w:val="231F20"/>
          <w:spacing w:val="-18"/>
          <w:w w:val="105"/>
        </w:rPr>
        <w:t> </w:t>
      </w:r>
      <w:r>
        <w:rPr>
          <w:color w:val="231F20"/>
          <w:w w:val="105"/>
        </w:rPr>
        <w:t>a</w:t>
      </w:r>
      <w:r>
        <w:rPr>
          <w:color w:val="231F20"/>
          <w:spacing w:val="-18"/>
          <w:w w:val="105"/>
        </w:rPr>
        <w:t> </w:t>
      </w:r>
      <w:r>
        <w:rPr>
          <w:color w:val="231F20"/>
          <w:w w:val="105"/>
        </w:rPr>
        <w:t>paso</w:t>
      </w:r>
      <w:r>
        <w:rPr>
          <w:color w:val="231F20"/>
          <w:spacing w:val="-18"/>
          <w:w w:val="105"/>
        </w:rPr>
        <w:t> </w:t>
      </w:r>
      <w:r>
        <w:rPr>
          <w:color w:val="231F20"/>
          <w:spacing w:val="-2"/>
          <w:w w:val="105"/>
        </w:rPr>
        <w:t>lento,</w:t>
      </w:r>
      <w:r>
        <w:rPr>
          <w:color w:val="231F20"/>
          <w:spacing w:val="-23"/>
          <w:w w:val="105"/>
        </w:rPr>
        <w:t> </w:t>
      </w:r>
      <w:r>
        <w:rPr>
          <w:color w:val="231F20"/>
          <w:w w:val="105"/>
        </w:rPr>
        <w:t>con</w:t>
      </w:r>
      <w:r>
        <w:rPr>
          <w:color w:val="231F20"/>
          <w:spacing w:val="-18"/>
          <w:w w:val="105"/>
        </w:rPr>
        <w:t> </w:t>
      </w:r>
      <w:r>
        <w:rPr>
          <w:color w:val="231F20"/>
          <w:w w:val="105"/>
        </w:rPr>
        <w:t>grandes</w:t>
      </w:r>
      <w:r>
        <w:rPr>
          <w:color w:val="231F20"/>
          <w:spacing w:val="-18"/>
          <w:w w:val="105"/>
        </w:rPr>
        <w:t> </w:t>
      </w:r>
      <w:r>
        <w:rPr>
          <w:color w:val="231F20"/>
          <w:spacing w:val="-3"/>
          <w:w w:val="105"/>
        </w:rPr>
        <w:t>trotes</w:t>
      </w:r>
      <w:r>
        <w:rPr>
          <w:color w:val="231F20"/>
          <w:spacing w:val="-18"/>
          <w:w w:val="105"/>
        </w:rPr>
        <w:t> </w:t>
      </w:r>
      <w:r>
        <w:rPr>
          <w:color w:val="231F20"/>
          <w:w w:val="105"/>
        </w:rPr>
        <w:t>o</w:t>
      </w:r>
      <w:r>
        <w:rPr>
          <w:color w:val="231F20"/>
          <w:spacing w:val="-18"/>
          <w:w w:val="105"/>
        </w:rPr>
        <w:t> </w:t>
      </w:r>
      <w:r>
        <w:rPr>
          <w:color w:val="231F20"/>
          <w:w w:val="105"/>
        </w:rPr>
        <w:t>a</w:t>
      </w:r>
      <w:r>
        <w:rPr>
          <w:color w:val="231F20"/>
          <w:spacing w:val="-18"/>
          <w:w w:val="105"/>
        </w:rPr>
        <w:t> </w:t>
      </w:r>
      <w:r>
        <w:rPr>
          <w:color w:val="231F20"/>
          <w:spacing w:val="-2"/>
          <w:w w:val="105"/>
        </w:rPr>
        <w:t>saltos </w:t>
      </w:r>
      <w:r>
        <w:rPr>
          <w:color w:val="231F20"/>
          <w:w w:val="105"/>
        </w:rPr>
        <w:t>agigantados,</w:t>
      </w:r>
      <w:r>
        <w:rPr>
          <w:color w:val="231F20"/>
          <w:spacing w:val="-21"/>
          <w:w w:val="105"/>
        </w:rPr>
        <w:t> </w:t>
      </w:r>
      <w:r>
        <w:rPr>
          <w:color w:val="231F20"/>
          <w:w w:val="105"/>
        </w:rPr>
        <w:t>permitiéndoles</w:t>
      </w:r>
      <w:r>
        <w:rPr>
          <w:color w:val="231F20"/>
          <w:spacing w:val="-16"/>
          <w:w w:val="105"/>
        </w:rPr>
        <w:t> </w:t>
      </w:r>
      <w:r>
        <w:rPr>
          <w:color w:val="231F20"/>
          <w:spacing w:val="-3"/>
          <w:w w:val="105"/>
        </w:rPr>
        <w:t>rebasar</w:t>
      </w:r>
      <w:r>
        <w:rPr>
          <w:color w:val="231F20"/>
          <w:spacing w:val="-16"/>
          <w:w w:val="105"/>
        </w:rPr>
        <w:t> </w:t>
      </w:r>
      <w:r>
        <w:rPr>
          <w:color w:val="231F20"/>
          <w:w w:val="105"/>
        </w:rPr>
        <w:t>grandes</w:t>
      </w:r>
      <w:r>
        <w:rPr>
          <w:color w:val="231F20"/>
          <w:spacing w:val="-16"/>
          <w:w w:val="105"/>
        </w:rPr>
        <w:t> </w:t>
      </w:r>
      <w:r>
        <w:rPr>
          <w:color w:val="231F20"/>
          <w:spacing w:val="-3"/>
          <w:w w:val="105"/>
        </w:rPr>
        <w:t>fronteras.</w:t>
      </w:r>
      <w:r>
        <w:rPr>
          <w:color w:val="231F20"/>
          <w:spacing w:val="-21"/>
          <w:w w:val="105"/>
        </w:rPr>
        <w:t> </w:t>
      </w:r>
      <w:r>
        <w:rPr>
          <w:color w:val="231F20"/>
          <w:w w:val="105"/>
        </w:rPr>
        <w:t>No</w:t>
      </w:r>
      <w:r>
        <w:rPr>
          <w:color w:val="231F20"/>
          <w:spacing w:val="-16"/>
          <w:w w:val="105"/>
        </w:rPr>
        <w:t> </w:t>
      </w:r>
      <w:r>
        <w:rPr>
          <w:color w:val="231F20"/>
          <w:w w:val="105"/>
        </w:rPr>
        <w:t>obstante,</w:t>
      </w:r>
      <w:r>
        <w:rPr>
          <w:color w:val="231F20"/>
          <w:spacing w:val="-21"/>
          <w:w w:val="105"/>
        </w:rPr>
        <w:t> </w:t>
      </w:r>
      <w:r>
        <w:rPr>
          <w:color w:val="231F20"/>
          <w:spacing w:val="-2"/>
          <w:w w:val="105"/>
        </w:rPr>
        <w:t>las </w:t>
      </w:r>
      <w:r>
        <w:rPr>
          <w:color w:val="231F20"/>
          <w:w w:val="105"/>
        </w:rPr>
        <w:t>autoras</w:t>
      </w:r>
      <w:r>
        <w:rPr>
          <w:color w:val="231F20"/>
          <w:spacing w:val="-25"/>
          <w:w w:val="105"/>
        </w:rPr>
        <w:t> </w:t>
      </w:r>
      <w:r>
        <w:rPr>
          <w:color w:val="231F20"/>
          <w:w w:val="105"/>
        </w:rPr>
        <w:t>lanzan</w:t>
      </w:r>
      <w:r>
        <w:rPr>
          <w:color w:val="231F20"/>
          <w:spacing w:val="-25"/>
          <w:w w:val="105"/>
        </w:rPr>
        <w:t> </w:t>
      </w:r>
      <w:r>
        <w:rPr>
          <w:color w:val="231F20"/>
          <w:w w:val="105"/>
        </w:rPr>
        <w:t>otras</w:t>
      </w:r>
      <w:r>
        <w:rPr>
          <w:color w:val="231F20"/>
          <w:spacing w:val="-25"/>
          <w:w w:val="105"/>
        </w:rPr>
        <w:t> </w:t>
      </w:r>
      <w:r>
        <w:rPr>
          <w:color w:val="231F20"/>
          <w:spacing w:val="-3"/>
          <w:w w:val="105"/>
        </w:rPr>
        <w:t>preguntas</w:t>
      </w:r>
      <w:r>
        <w:rPr>
          <w:color w:val="231F20"/>
          <w:spacing w:val="-25"/>
          <w:w w:val="105"/>
        </w:rPr>
        <w:t> </w:t>
      </w:r>
      <w:r>
        <w:rPr>
          <w:color w:val="231F20"/>
          <w:spacing w:val="-3"/>
          <w:w w:val="105"/>
        </w:rPr>
        <w:t>alrededor</w:t>
      </w:r>
      <w:r>
        <w:rPr>
          <w:color w:val="231F20"/>
          <w:spacing w:val="-25"/>
          <w:w w:val="105"/>
        </w:rPr>
        <w:t> </w:t>
      </w:r>
      <w:r>
        <w:rPr>
          <w:color w:val="231F20"/>
          <w:w w:val="105"/>
        </w:rPr>
        <w:t>del</w:t>
      </w:r>
      <w:r>
        <w:rPr>
          <w:color w:val="231F20"/>
          <w:spacing w:val="-25"/>
          <w:w w:val="105"/>
        </w:rPr>
        <w:t> </w:t>
      </w:r>
      <w:r>
        <w:rPr>
          <w:color w:val="231F20"/>
          <w:w w:val="105"/>
        </w:rPr>
        <w:t>fenomeno</w:t>
      </w:r>
      <w:r>
        <w:rPr>
          <w:color w:val="231F20"/>
          <w:spacing w:val="-25"/>
          <w:w w:val="105"/>
        </w:rPr>
        <w:t> </w:t>
      </w:r>
      <w:r>
        <w:rPr>
          <w:color w:val="231F20"/>
          <w:spacing w:val="-3"/>
          <w:w w:val="105"/>
        </w:rPr>
        <w:t>migratorio</w:t>
      </w:r>
      <w:r>
        <w:rPr>
          <w:color w:val="231F20"/>
          <w:spacing w:val="-25"/>
          <w:w w:val="105"/>
        </w:rPr>
        <w:t> </w:t>
      </w:r>
      <w:r>
        <w:rPr>
          <w:color w:val="231F20"/>
          <w:w w:val="105"/>
        </w:rPr>
        <w:t>que</w:t>
      </w:r>
      <w:r>
        <w:rPr>
          <w:color w:val="231F20"/>
          <w:spacing w:val="-25"/>
          <w:w w:val="105"/>
        </w:rPr>
        <w:t> </w:t>
      </w:r>
      <w:r>
        <w:rPr>
          <w:color w:val="231F20"/>
          <w:w w:val="105"/>
        </w:rPr>
        <w:t>se </w:t>
      </w:r>
      <w:r>
        <w:rPr>
          <w:color w:val="231F20"/>
          <w:spacing w:val="-3"/>
          <w:w w:val="105"/>
        </w:rPr>
        <w:t>desprenden</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w w:val="105"/>
        </w:rPr>
        <w:t>estudio:</w:t>
      </w:r>
      <w:r>
        <w:rPr>
          <w:color w:val="231F20"/>
          <w:spacing w:val="-8"/>
          <w:w w:val="105"/>
        </w:rPr>
        <w:t> </w:t>
      </w:r>
      <w:r>
        <w:rPr>
          <w:color w:val="231F20"/>
          <w:w w:val="105"/>
        </w:rPr>
        <w:t>¿todos</w:t>
      </w:r>
      <w:r>
        <w:rPr>
          <w:color w:val="231F20"/>
          <w:spacing w:val="-8"/>
          <w:w w:val="105"/>
        </w:rPr>
        <w:t> </w:t>
      </w:r>
      <w:r>
        <w:rPr>
          <w:color w:val="231F20"/>
          <w:w w:val="105"/>
        </w:rPr>
        <w:t>los</w:t>
      </w:r>
      <w:r>
        <w:rPr>
          <w:color w:val="231F20"/>
          <w:spacing w:val="-8"/>
          <w:w w:val="105"/>
        </w:rPr>
        <w:t> </w:t>
      </w:r>
      <w:r>
        <w:rPr>
          <w:color w:val="231F20"/>
          <w:w w:val="105"/>
        </w:rPr>
        <w:t>mexicanos</w:t>
      </w:r>
      <w:r>
        <w:rPr>
          <w:color w:val="231F20"/>
          <w:spacing w:val="-8"/>
          <w:w w:val="105"/>
        </w:rPr>
        <w:t> </w:t>
      </w:r>
      <w:r>
        <w:rPr>
          <w:color w:val="231F20"/>
          <w:w w:val="105"/>
        </w:rPr>
        <w:t>se</w:t>
      </w:r>
      <w:r>
        <w:rPr>
          <w:color w:val="231F20"/>
          <w:spacing w:val="-8"/>
          <w:w w:val="105"/>
        </w:rPr>
        <w:t> </w:t>
      </w:r>
      <w:r>
        <w:rPr>
          <w:color w:val="231F20"/>
          <w:w w:val="105"/>
        </w:rPr>
        <w:t>van</w:t>
      </w:r>
      <w:r>
        <w:rPr>
          <w:color w:val="231F20"/>
          <w:spacing w:val="-8"/>
          <w:w w:val="105"/>
        </w:rPr>
        <w:t> </w:t>
      </w:r>
      <w:r>
        <w:rPr>
          <w:color w:val="231F20"/>
          <w:w w:val="105"/>
        </w:rPr>
        <w:t>buscando</w:t>
      </w:r>
      <w:r>
        <w:rPr>
          <w:color w:val="231F20"/>
          <w:spacing w:val="-8"/>
          <w:w w:val="105"/>
        </w:rPr>
        <w:t> </w:t>
      </w:r>
      <w:r>
        <w:rPr>
          <w:color w:val="231F20"/>
          <w:w w:val="105"/>
        </w:rPr>
        <w:t>“una vida</w:t>
      </w:r>
      <w:r>
        <w:rPr>
          <w:color w:val="231F20"/>
          <w:spacing w:val="-32"/>
          <w:w w:val="105"/>
        </w:rPr>
        <w:t> </w:t>
      </w:r>
      <w:r>
        <w:rPr>
          <w:color w:val="231F20"/>
          <w:w w:val="105"/>
        </w:rPr>
        <w:t>mejor”?,</w:t>
      </w:r>
      <w:r>
        <w:rPr>
          <w:color w:val="231F20"/>
          <w:spacing w:val="-35"/>
          <w:w w:val="105"/>
        </w:rPr>
        <w:t> </w:t>
      </w:r>
      <w:r>
        <w:rPr>
          <w:color w:val="231F20"/>
          <w:w w:val="105"/>
        </w:rPr>
        <w:t>y</w:t>
      </w:r>
      <w:r>
        <w:rPr>
          <w:color w:val="231F20"/>
          <w:spacing w:val="-32"/>
          <w:w w:val="105"/>
        </w:rPr>
        <w:t> </w:t>
      </w:r>
      <w:r>
        <w:rPr>
          <w:color w:val="231F20"/>
          <w:w w:val="105"/>
        </w:rPr>
        <w:t>todavía</w:t>
      </w:r>
      <w:r>
        <w:rPr>
          <w:color w:val="231F20"/>
          <w:spacing w:val="-32"/>
          <w:w w:val="105"/>
        </w:rPr>
        <w:t> </w:t>
      </w:r>
      <w:r>
        <w:rPr>
          <w:color w:val="231F20"/>
          <w:w w:val="105"/>
        </w:rPr>
        <w:t>más</w:t>
      </w:r>
      <w:r>
        <w:rPr>
          <w:color w:val="231F20"/>
          <w:spacing w:val="-32"/>
          <w:w w:val="105"/>
        </w:rPr>
        <w:t> </w:t>
      </w:r>
      <w:r>
        <w:rPr>
          <w:color w:val="231F20"/>
          <w:w w:val="105"/>
        </w:rPr>
        <w:t>importante,</w:t>
      </w:r>
      <w:r>
        <w:rPr>
          <w:color w:val="231F20"/>
          <w:spacing w:val="-35"/>
          <w:w w:val="105"/>
        </w:rPr>
        <w:t> </w:t>
      </w:r>
      <w:r>
        <w:rPr>
          <w:color w:val="231F20"/>
          <w:w w:val="105"/>
        </w:rPr>
        <w:t>¿la</w:t>
      </w:r>
      <w:r>
        <w:rPr>
          <w:color w:val="231F20"/>
          <w:spacing w:val="-32"/>
          <w:w w:val="105"/>
        </w:rPr>
        <w:t> </w:t>
      </w:r>
      <w:r>
        <w:rPr>
          <w:color w:val="231F20"/>
          <w:spacing w:val="-3"/>
          <w:w w:val="105"/>
        </w:rPr>
        <w:t>encuentran?</w:t>
      </w:r>
    </w:p>
    <w:p>
      <w:pPr>
        <w:pStyle w:val="BodyText"/>
        <w:rPr>
          <w:sz w:val="20"/>
        </w:rPr>
      </w:pPr>
    </w:p>
    <w:p>
      <w:pPr>
        <w:pStyle w:val="BodyText"/>
        <w:rPr>
          <w:sz w:val="19"/>
        </w:rPr>
      </w:pPr>
    </w:p>
    <w:p>
      <w:pPr>
        <w:pStyle w:val="Heading3"/>
        <w:ind w:left="1723" w:right="6753"/>
        <w:jc w:val="left"/>
      </w:pPr>
      <w:r>
        <w:rPr>
          <w:color w:val="231F20"/>
        </w:rPr>
        <w:t>Bibliografía</w:t>
      </w:r>
    </w:p>
    <w:p>
      <w:pPr>
        <w:pStyle w:val="BodyText"/>
        <w:rPr>
          <w:rFonts w:ascii="Arial"/>
          <w:b/>
          <w:sz w:val="22"/>
        </w:rPr>
      </w:pPr>
    </w:p>
    <w:p>
      <w:pPr>
        <w:spacing w:line="261" w:lineRule="auto" w:before="160"/>
        <w:ind w:left="2461" w:right="1829" w:hanging="738"/>
        <w:jc w:val="both"/>
        <w:rPr>
          <w:sz w:val="21"/>
        </w:rPr>
      </w:pPr>
      <w:r>
        <w:rPr>
          <w:color w:val="231F20"/>
          <w:sz w:val="21"/>
        </w:rPr>
        <w:t>Alba, Francisco, (1997), </w:t>
      </w:r>
      <w:r>
        <w:rPr>
          <w:rFonts w:ascii="Arial" w:hAnsi="Arial"/>
          <w:i/>
          <w:color w:val="231F20"/>
          <w:sz w:val="21"/>
        </w:rPr>
        <w:t>La población de México: evolución y dilemas</w:t>
      </w:r>
      <w:r>
        <w:rPr>
          <w:color w:val="231F20"/>
          <w:sz w:val="21"/>
        </w:rPr>
        <w:t>, México: </w:t>
      </w:r>
      <w:r>
        <w:rPr>
          <w:color w:val="231F20"/>
          <w:sz w:val="17"/>
        </w:rPr>
        <w:t>COLMEX</w:t>
      </w:r>
      <w:r>
        <w:rPr>
          <w:color w:val="231F20"/>
          <w:sz w:val="21"/>
        </w:rPr>
        <w:t>.</w:t>
      </w:r>
    </w:p>
    <w:p>
      <w:pPr>
        <w:spacing w:line="259" w:lineRule="auto" w:before="0"/>
        <w:ind w:left="2461" w:right="1828" w:hanging="738"/>
        <w:jc w:val="both"/>
        <w:rPr>
          <w:sz w:val="21"/>
        </w:rPr>
      </w:pPr>
      <w:r>
        <w:rPr>
          <w:w w:val="105"/>
          <w:sz w:val="21"/>
        </w:rPr>
        <w:t>Bazán,</w:t>
      </w:r>
      <w:r>
        <w:rPr>
          <w:spacing w:val="-43"/>
          <w:w w:val="105"/>
          <w:sz w:val="21"/>
        </w:rPr>
        <w:t> </w:t>
      </w:r>
      <w:r>
        <w:rPr>
          <w:w w:val="105"/>
          <w:sz w:val="21"/>
        </w:rPr>
        <w:t>Lucía,</w:t>
      </w:r>
      <w:r>
        <w:rPr>
          <w:spacing w:val="-43"/>
          <w:w w:val="105"/>
          <w:sz w:val="21"/>
        </w:rPr>
        <w:t> </w:t>
      </w:r>
      <w:r>
        <w:rPr>
          <w:w w:val="105"/>
          <w:sz w:val="21"/>
        </w:rPr>
        <w:t>(1999),</w:t>
      </w:r>
      <w:r>
        <w:rPr>
          <w:spacing w:val="-43"/>
          <w:w w:val="105"/>
          <w:sz w:val="21"/>
        </w:rPr>
        <w:t> </w:t>
      </w:r>
      <w:r>
        <w:rPr>
          <w:rFonts w:ascii="Arial" w:hAnsi="Arial"/>
          <w:i/>
          <w:w w:val="105"/>
          <w:sz w:val="21"/>
        </w:rPr>
        <w:t>Cuando</w:t>
      </w:r>
      <w:r>
        <w:rPr>
          <w:rFonts w:ascii="Arial" w:hAnsi="Arial"/>
          <w:i/>
          <w:spacing w:val="-43"/>
          <w:w w:val="105"/>
          <w:sz w:val="21"/>
        </w:rPr>
        <w:t> </w:t>
      </w:r>
      <w:r>
        <w:rPr>
          <w:rFonts w:ascii="Arial" w:hAnsi="Arial"/>
          <w:i/>
          <w:w w:val="105"/>
          <w:sz w:val="21"/>
        </w:rPr>
        <w:t>una</w:t>
      </w:r>
      <w:r>
        <w:rPr>
          <w:rFonts w:ascii="Arial" w:hAnsi="Arial"/>
          <w:i/>
          <w:spacing w:val="-43"/>
          <w:w w:val="105"/>
          <w:sz w:val="21"/>
        </w:rPr>
        <w:t> </w:t>
      </w:r>
      <w:r>
        <w:rPr>
          <w:rFonts w:ascii="Arial" w:hAnsi="Arial"/>
          <w:i/>
          <w:w w:val="105"/>
          <w:sz w:val="21"/>
        </w:rPr>
        <w:t>puerta</w:t>
      </w:r>
      <w:r>
        <w:rPr>
          <w:rFonts w:ascii="Arial" w:hAnsi="Arial"/>
          <w:i/>
          <w:spacing w:val="-43"/>
          <w:w w:val="105"/>
          <w:sz w:val="21"/>
        </w:rPr>
        <w:t> </w:t>
      </w:r>
      <w:r>
        <w:rPr>
          <w:rFonts w:ascii="Arial" w:hAnsi="Arial"/>
          <w:i/>
          <w:w w:val="105"/>
          <w:sz w:val="21"/>
        </w:rPr>
        <w:t>se</w:t>
      </w:r>
      <w:r>
        <w:rPr>
          <w:rFonts w:ascii="Arial" w:hAnsi="Arial"/>
          <w:i/>
          <w:spacing w:val="-43"/>
          <w:w w:val="105"/>
          <w:sz w:val="21"/>
        </w:rPr>
        <w:t> </w:t>
      </w:r>
      <w:r>
        <w:rPr>
          <w:rFonts w:ascii="Arial" w:hAnsi="Arial"/>
          <w:i/>
          <w:w w:val="105"/>
          <w:sz w:val="21"/>
        </w:rPr>
        <w:t>cierra</w:t>
      </w:r>
      <w:r>
        <w:rPr>
          <w:rFonts w:ascii="Arial" w:hAnsi="Arial"/>
          <w:i/>
          <w:spacing w:val="-43"/>
          <w:w w:val="105"/>
          <w:sz w:val="21"/>
        </w:rPr>
        <w:t> </w:t>
      </w:r>
      <w:r>
        <w:rPr>
          <w:rFonts w:ascii="Arial" w:hAnsi="Arial"/>
          <w:i/>
          <w:w w:val="105"/>
          <w:sz w:val="21"/>
        </w:rPr>
        <w:t>cientos</w:t>
      </w:r>
      <w:r>
        <w:rPr>
          <w:rFonts w:ascii="Arial" w:hAnsi="Arial"/>
          <w:i/>
          <w:spacing w:val="-43"/>
          <w:w w:val="105"/>
          <w:sz w:val="21"/>
        </w:rPr>
        <w:t> </w:t>
      </w:r>
      <w:r>
        <w:rPr>
          <w:rFonts w:ascii="Arial" w:hAnsi="Arial"/>
          <w:i/>
          <w:w w:val="105"/>
          <w:sz w:val="21"/>
        </w:rPr>
        <w:t>se</w:t>
      </w:r>
      <w:r>
        <w:rPr>
          <w:rFonts w:ascii="Arial" w:hAnsi="Arial"/>
          <w:i/>
          <w:spacing w:val="-43"/>
          <w:w w:val="105"/>
          <w:sz w:val="21"/>
        </w:rPr>
        <w:t> </w:t>
      </w:r>
      <w:r>
        <w:rPr>
          <w:rFonts w:ascii="Arial" w:hAnsi="Arial"/>
          <w:i/>
          <w:w w:val="105"/>
          <w:sz w:val="21"/>
        </w:rPr>
        <w:t>abren.</w:t>
      </w:r>
      <w:r>
        <w:rPr>
          <w:rFonts w:ascii="Arial" w:hAnsi="Arial"/>
          <w:i/>
          <w:spacing w:val="-45"/>
          <w:w w:val="105"/>
          <w:sz w:val="21"/>
        </w:rPr>
        <w:t> </w:t>
      </w:r>
      <w:r>
        <w:rPr>
          <w:rFonts w:ascii="Arial" w:hAnsi="Arial"/>
          <w:i/>
          <w:w w:val="105"/>
          <w:sz w:val="21"/>
        </w:rPr>
        <w:t>Casa</w:t>
      </w:r>
      <w:r>
        <w:rPr>
          <w:rFonts w:ascii="Arial" w:hAnsi="Arial"/>
          <w:i/>
          <w:spacing w:val="-43"/>
          <w:w w:val="105"/>
          <w:sz w:val="21"/>
        </w:rPr>
        <w:t> </w:t>
      </w:r>
      <w:r>
        <w:rPr>
          <w:rFonts w:ascii="Arial" w:hAnsi="Arial"/>
          <w:i/>
          <w:w w:val="105"/>
          <w:sz w:val="21"/>
        </w:rPr>
        <w:t>y </w:t>
      </w:r>
      <w:r>
        <w:rPr>
          <w:rFonts w:ascii="Arial" w:hAnsi="Arial"/>
          <w:i/>
          <w:w w:val="105"/>
          <w:sz w:val="21"/>
        </w:rPr>
        <w:t>familia:</w:t>
      </w:r>
      <w:r>
        <w:rPr>
          <w:rFonts w:ascii="Arial" w:hAnsi="Arial"/>
          <w:i/>
          <w:spacing w:val="-29"/>
          <w:w w:val="105"/>
          <w:sz w:val="21"/>
        </w:rPr>
        <w:t> </w:t>
      </w:r>
      <w:r>
        <w:rPr>
          <w:rFonts w:ascii="Arial" w:hAnsi="Arial"/>
          <w:i/>
          <w:w w:val="105"/>
          <w:sz w:val="21"/>
        </w:rPr>
        <w:t>los</w:t>
      </w:r>
      <w:r>
        <w:rPr>
          <w:rFonts w:ascii="Arial" w:hAnsi="Arial"/>
          <w:i/>
          <w:spacing w:val="-29"/>
          <w:w w:val="105"/>
          <w:sz w:val="21"/>
        </w:rPr>
        <w:t> </w:t>
      </w:r>
      <w:r>
        <w:rPr>
          <w:rFonts w:ascii="Arial" w:hAnsi="Arial"/>
          <w:i/>
          <w:w w:val="105"/>
          <w:sz w:val="21"/>
        </w:rPr>
        <w:t>recursos</w:t>
      </w:r>
      <w:r>
        <w:rPr>
          <w:rFonts w:ascii="Arial" w:hAnsi="Arial"/>
          <w:i/>
          <w:spacing w:val="-29"/>
          <w:w w:val="105"/>
          <w:sz w:val="21"/>
        </w:rPr>
        <w:t> </w:t>
      </w:r>
      <w:r>
        <w:rPr>
          <w:rFonts w:ascii="Arial" w:hAnsi="Arial"/>
          <w:i/>
          <w:w w:val="105"/>
          <w:sz w:val="21"/>
        </w:rPr>
        <w:t>de</w:t>
      </w:r>
      <w:r>
        <w:rPr>
          <w:rFonts w:ascii="Arial" w:hAnsi="Arial"/>
          <w:i/>
          <w:spacing w:val="-29"/>
          <w:w w:val="105"/>
          <w:sz w:val="21"/>
        </w:rPr>
        <w:t> </w:t>
      </w:r>
      <w:r>
        <w:rPr>
          <w:rFonts w:ascii="Arial" w:hAnsi="Arial"/>
          <w:i/>
          <w:w w:val="105"/>
          <w:sz w:val="21"/>
        </w:rPr>
        <w:t>los</w:t>
      </w:r>
      <w:r>
        <w:rPr>
          <w:rFonts w:ascii="Arial" w:hAnsi="Arial"/>
          <w:i/>
          <w:spacing w:val="-29"/>
          <w:w w:val="105"/>
          <w:sz w:val="21"/>
        </w:rPr>
        <w:t> </w:t>
      </w:r>
      <w:r>
        <w:rPr>
          <w:rFonts w:ascii="Arial" w:hAnsi="Arial"/>
          <w:i/>
          <w:w w:val="105"/>
          <w:sz w:val="21"/>
        </w:rPr>
        <w:t>empleados</w:t>
      </w:r>
      <w:r>
        <w:rPr>
          <w:rFonts w:ascii="Arial" w:hAnsi="Arial"/>
          <w:i/>
          <w:spacing w:val="-29"/>
          <w:w w:val="105"/>
          <w:sz w:val="21"/>
        </w:rPr>
        <w:t> </w:t>
      </w:r>
      <w:r>
        <w:rPr>
          <w:rFonts w:ascii="Arial" w:hAnsi="Arial"/>
          <w:i/>
          <w:w w:val="105"/>
          <w:sz w:val="21"/>
        </w:rPr>
        <w:t>de</w:t>
      </w:r>
      <w:r>
        <w:rPr>
          <w:rFonts w:ascii="Arial" w:hAnsi="Arial"/>
          <w:i/>
          <w:spacing w:val="-29"/>
          <w:w w:val="105"/>
          <w:sz w:val="21"/>
        </w:rPr>
        <w:t> </w:t>
      </w:r>
      <w:r>
        <w:rPr>
          <w:rFonts w:ascii="Arial" w:hAnsi="Arial"/>
          <w:i/>
          <w:w w:val="105"/>
          <w:sz w:val="21"/>
        </w:rPr>
        <w:t>la</w:t>
      </w:r>
      <w:r>
        <w:rPr>
          <w:rFonts w:ascii="Arial" w:hAnsi="Arial"/>
          <w:i/>
          <w:spacing w:val="-29"/>
          <w:w w:val="105"/>
          <w:sz w:val="21"/>
        </w:rPr>
        <w:t> </w:t>
      </w:r>
      <w:r>
        <w:rPr>
          <w:rFonts w:ascii="Arial" w:hAnsi="Arial"/>
          <w:i/>
          <w:w w:val="105"/>
          <w:sz w:val="21"/>
        </w:rPr>
        <w:t>refinería</w:t>
      </w:r>
      <w:r>
        <w:rPr>
          <w:rFonts w:ascii="Arial" w:hAnsi="Arial"/>
          <w:i/>
          <w:spacing w:val="-29"/>
          <w:w w:val="105"/>
          <w:sz w:val="21"/>
        </w:rPr>
        <w:t> </w:t>
      </w:r>
      <w:r>
        <w:rPr>
          <w:rFonts w:ascii="Arial" w:hAnsi="Arial"/>
          <w:i/>
          <w:w w:val="105"/>
          <w:sz w:val="21"/>
        </w:rPr>
        <w:t>18</w:t>
      </w:r>
      <w:r>
        <w:rPr>
          <w:rFonts w:ascii="Arial" w:hAnsi="Arial"/>
          <w:i/>
          <w:spacing w:val="-29"/>
          <w:w w:val="105"/>
          <w:sz w:val="21"/>
        </w:rPr>
        <w:t> </w:t>
      </w:r>
      <w:r>
        <w:rPr>
          <w:rFonts w:ascii="Arial" w:hAnsi="Arial"/>
          <w:i/>
          <w:w w:val="105"/>
          <w:sz w:val="21"/>
        </w:rPr>
        <w:t>de</w:t>
      </w:r>
      <w:r>
        <w:rPr>
          <w:rFonts w:ascii="Arial" w:hAnsi="Arial"/>
          <w:i/>
          <w:spacing w:val="-29"/>
          <w:w w:val="105"/>
          <w:sz w:val="21"/>
        </w:rPr>
        <w:t> </w:t>
      </w:r>
      <w:r>
        <w:rPr>
          <w:rFonts w:ascii="Arial" w:hAnsi="Arial"/>
          <w:i/>
          <w:w w:val="105"/>
          <w:sz w:val="21"/>
        </w:rPr>
        <w:t>Marzo</w:t>
      </w:r>
      <w:r>
        <w:rPr>
          <w:w w:val="105"/>
          <w:sz w:val="21"/>
        </w:rPr>
        <w:t>, </w:t>
      </w:r>
      <w:r>
        <w:rPr>
          <w:sz w:val="21"/>
        </w:rPr>
        <w:t>México:</w:t>
      </w:r>
      <w:r>
        <w:rPr>
          <w:spacing w:val="-35"/>
          <w:sz w:val="21"/>
        </w:rPr>
        <w:t> </w:t>
      </w:r>
      <w:r>
        <w:rPr>
          <w:sz w:val="21"/>
        </w:rPr>
        <w:t>CIESAS.</w:t>
      </w:r>
    </w:p>
    <w:p>
      <w:pPr>
        <w:spacing w:line="261" w:lineRule="auto" w:before="0"/>
        <w:ind w:left="2461" w:right="1835" w:hanging="738"/>
        <w:jc w:val="both"/>
        <w:rPr>
          <w:sz w:val="21"/>
        </w:rPr>
      </w:pPr>
      <w:r>
        <w:rPr>
          <w:sz w:val="21"/>
        </w:rPr>
        <w:t>Bott, Elizabeth, (1990), </w:t>
      </w:r>
      <w:r>
        <w:rPr>
          <w:rFonts w:ascii="Arial"/>
          <w:i/>
          <w:sz w:val="21"/>
        </w:rPr>
        <w:t>Familia y red social</w:t>
      </w:r>
      <w:r>
        <w:rPr>
          <w:sz w:val="21"/>
        </w:rPr>
        <w:t>, Madrid: Taurus (Humanida- des).</w:t>
      </w:r>
    </w:p>
    <w:p>
      <w:pPr>
        <w:spacing w:line="259" w:lineRule="auto" w:before="0"/>
        <w:ind w:left="2461" w:right="1834" w:hanging="738"/>
        <w:jc w:val="both"/>
        <w:rPr>
          <w:sz w:val="21"/>
        </w:rPr>
      </w:pPr>
      <w:r>
        <w:rPr>
          <w:sz w:val="21"/>
        </w:rPr>
        <w:t>Brocklehurst, John, (1974), </w:t>
      </w:r>
      <w:r>
        <w:rPr>
          <w:rFonts w:ascii="Arial" w:hAnsi="Arial"/>
          <w:i/>
          <w:sz w:val="21"/>
        </w:rPr>
        <w:t>Tratado de clínicas geriátricas y gerontológi- </w:t>
      </w:r>
      <w:r>
        <w:rPr>
          <w:rFonts w:ascii="Arial" w:hAnsi="Arial"/>
          <w:i/>
          <w:sz w:val="21"/>
        </w:rPr>
        <w:t>cas</w:t>
      </w:r>
      <w:r>
        <w:rPr>
          <w:sz w:val="21"/>
        </w:rPr>
        <w:t>, Barcelona: Ediciones Toray.</w:t>
      </w:r>
    </w:p>
    <w:p>
      <w:pPr>
        <w:spacing w:line="259" w:lineRule="auto" w:before="0"/>
        <w:ind w:left="2461" w:right="1835" w:hanging="738"/>
        <w:jc w:val="both"/>
        <w:rPr>
          <w:sz w:val="21"/>
        </w:rPr>
      </w:pPr>
      <w:r>
        <w:rPr>
          <w:color w:val="231F20"/>
          <w:sz w:val="21"/>
        </w:rPr>
        <w:t>Calavita, Kitty, (1992), </w:t>
      </w:r>
      <w:r>
        <w:rPr>
          <w:rFonts w:ascii="Arial"/>
          <w:i/>
          <w:color w:val="231F20"/>
          <w:sz w:val="21"/>
        </w:rPr>
        <w:t>Inside the State: The Bracero Program, immigration </w:t>
      </w:r>
      <w:r>
        <w:rPr>
          <w:rFonts w:ascii="Arial"/>
          <w:i/>
          <w:color w:val="231F20"/>
          <w:sz w:val="21"/>
        </w:rPr>
        <w:t>and the INS</w:t>
      </w:r>
      <w:r>
        <w:rPr>
          <w:color w:val="231F20"/>
          <w:sz w:val="21"/>
        </w:rPr>
        <w:t>, New Orleans: Quid Pro.</w:t>
      </w:r>
    </w:p>
    <w:p>
      <w:pPr>
        <w:spacing w:line="259" w:lineRule="auto" w:before="3"/>
        <w:ind w:left="2461" w:right="1828" w:hanging="738"/>
        <w:jc w:val="both"/>
        <w:rPr>
          <w:sz w:val="21"/>
        </w:rPr>
      </w:pPr>
      <w:r>
        <w:rPr>
          <w:color w:val="231F20"/>
          <w:sz w:val="21"/>
        </w:rPr>
        <w:t>Camposortega Cruz, Sergio, (1992), “Niveles y tendencias de la morta- lidad en México, </w:t>
      </w:r>
      <w:r>
        <w:rPr>
          <w:color w:val="231F20"/>
          <w:spacing w:val="-3"/>
          <w:sz w:val="21"/>
        </w:rPr>
        <w:t>1940-1980”, </w:t>
      </w:r>
      <w:r>
        <w:rPr>
          <w:rFonts w:ascii="Arial" w:hAnsi="Arial"/>
          <w:i/>
          <w:color w:val="231F20"/>
          <w:sz w:val="21"/>
        </w:rPr>
        <w:t>La mortalidad en México, niveles, </w:t>
      </w:r>
      <w:r>
        <w:rPr>
          <w:rFonts w:ascii="Arial" w:hAnsi="Arial"/>
          <w:i/>
          <w:color w:val="231F20"/>
          <w:sz w:val="21"/>
        </w:rPr>
        <w:t>tendencias y determinantes</w:t>
      </w:r>
      <w:r>
        <w:rPr>
          <w:color w:val="231F20"/>
          <w:sz w:val="21"/>
        </w:rPr>
        <w:t>, México:</w:t>
      </w:r>
      <w:r>
        <w:rPr>
          <w:color w:val="231F20"/>
          <w:spacing w:val="51"/>
          <w:sz w:val="21"/>
        </w:rPr>
        <w:t> </w:t>
      </w:r>
      <w:r>
        <w:rPr>
          <w:color w:val="231F20"/>
          <w:sz w:val="17"/>
        </w:rPr>
        <w:t>COLMEX</w:t>
      </w:r>
      <w:r>
        <w:rPr>
          <w:color w:val="231F20"/>
          <w:sz w:val="21"/>
        </w:rPr>
        <w:t>.</w:t>
      </w:r>
    </w:p>
    <w:p>
      <w:pPr>
        <w:spacing w:line="259" w:lineRule="auto" w:before="0"/>
        <w:ind w:left="2460" w:right="1835" w:hanging="737"/>
        <w:jc w:val="both"/>
        <w:rPr>
          <w:sz w:val="21"/>
        </w:rPr>
      </w:pPr>
      <w:r>
        <w:rPr>
          <w:w w:val="105"/>
          <w:sz w:val="21"/>
        </w:rPr>
        <w:t>Centro</w:t>
      </w:r>
      <w:r>
        <w:rPr>
          <w:spacing w:val="-31"/>
          <w:w w:val="105"/>
          <w:sz w:val="21"/>
        </w:rPr>
        <w:t> </w:t>
      </w:r>
      <w:r>
        <w:rPr>
          <w:w w:val="105"/>
          <w:sz w:val="21"/>
        </w:rPr>
        <w:t>de</w:t>
      </w:r>
      <w:r>
        <w:rPr>
          <w:spacing w:val="-31"/>
          <w:w w:val="105"/>
          <w:sz w:val="21"/>
        </w:rPr>
        <w:t> </w:t>
      </w:r>
      <w:r>
        <w:rPr>
          <w:w w:val="105"/>
          <w:sz w:val="21"/>
        </w:rPr>
        <w:t>Desarrollo</w:t>
      </w:r>
      <w:r>
        <w:rPr>
          <w:spacing w:val="-31"/>
          <w:w w:val="105"/>
          <w:sz w:val="21"/>
        </w:rPr>
        <w:t> </w:t>
      </w:r>
      <w:r>
        <w:rPr>
          <w:w w:val="105"/>
          <w:sz w:val="21"/>
        </w:rPr>
        <w:t>Municipal</w:t>
      </w:r>
      <w:r>
        <w:rPr>
          <w:spacing w:val="-31"/>
          <w:w w:val="105"/>
          <w:sz w:val="21"/>
        </w:rPr>
        <w:t> </w:t>
      </w:r>
      <w:r>
        <w:rPr>
          <w:w w:val="105"/>
          <w:sz w:val="21"/>
        </w:rPr>
        <w:t>(</w:t>
      </w:r>
      <w:r>
        <w:rPr>
          <w:w w:val="105"/>
          <w:sz w:val="17"/>
        </w:rPr>
        <w:t>CEDEMUN</w:t>
      </w:r>
      <w:r>
        <w:rPr>
          <w:w w:val="105"/>
          <w:sz w:val="21"/>
        </w:rPr>
        <w:t>),</w:t>
      </w:r>
      <w:r>
        <w:rPr>
          <w:spacing w:val="-34"/>
          <w:w w:val="105"/>
          <w:sz w:val="21"/>
        </w:rPr>
        <w:t> </w:t>
      </w:r>
      <w:r>
        <w:rPr>
          <w:w w:val="105"/>
          <w:sz w:val="21"/>
        </w:rPr>
        <w:t>(1997),</w:t>
      </w:r>
      <w:r>
        <w:rPr>
          <w:spacing w:val="-34"/>
          <w:w w:val="105"/>
          <w:sz w:val="21"/>
        </w:rPr>
        <w:t> </w:t>
      </w:r>
      <w:r>
        <w:rPr>
          <w:rFonts w:ascii="Arial" w:hAnsi="Arial"/>
          <w:i/>
          <w:w w:val="105"/>
          <w:sz w:val="21"/>
        </w:rPr>
        <w:t>Resumen</w:t>
      </w:r>
      <w:r>
        <w:rPr>
          <w:rFonts w:ascii="Arial" w:hAnsi="Arial"/>
          <w:i/>
          <w:spacing w:val="-33"/>
          <w:w w:val="105"/>
          <w:sz w:val="21"/>
        </w:rPr>
        <w:t> </w:t>
      </w:r>
      <w:r>
        <w:rPr>
          <w:rFonts w:ascii="Arial" w:hAnsi="Arial"/>
          <w:i/>
          <w:w w:val="105"/>
          <w:sz w:val="21"/>
        </w:rPr>
        <w:t>estatal</w:t>
      </w:r>
      <w:r>
        <w:rPr>
          <w:rFonts w:ascii="Arial" w:hAnsi="Arial"/>
          <w:i/>
          <w:spacing w:val="-33"/>
          <w:w w:val="105"/>
          <w:sz w:val="21"/>
        </w:rPr>
        <w:t> </w:t>
      </w:r>
      <w:r>
        <w:rPr>
          <w:rFonts w:ascii="Arial" w:hAnsi="Arial"/>
          <w:i/>
          <w:w w:val="105"/>
          <w:sz w:val="21"/>
        </w:rPr>
        <w:t>de</w:t>
      </w:r>
      <w:r>
        <w:rPr>
          <w:rFonts w:ascii="Arial" w:hAnsi="Arial"/>
          <w:i/>
          <w:spacing w:val="-33"/>
          <w:w w:val="105"/>
          <w:sz w:val="21"/>
        </w:rPr>
        <w:t> </w:t>
      </w:r>
      <w:r>
        <w:rPr>
          <w:rFonts w:ascii="Arial" w:hAnsi="Arial"/>
          <w:i/>
          <w:w w:val="105"/>
          <w:sz w:val="21"/>
        </w:rPr>
        <w:t>la </w:t>
      </w:r>
      <w:r>
        <w:rPr>
          <w:rFonts w:ascii="Arial" w:hAnsi="Arial"/>
          <w:i/>
          <w:w w:val="105"/>
          <w:sz w:val="21"/>
        </w:rPr>
        <w:t>reglamentación</w:t>
      </w:r>
      <w:r>
        <w:rPr>
          <w:rFonts w:ascii="Arial" w:hAnsi="Arial"/>
          <w:i/>
          <w:spacing w:val="-19"/>
          <w:w w:val="105"/>
          <w:sz w:val="21"/>
        </w:rPr>
        <w:t> </w:t>
      </w:r>
      <w:r>
        <w:rPr>
          <w:rFonts w:ascii="Arial" w:hAnsi="Arial"/>
          <w:i/>
          <w:w w:val="105"/>
          <w:sz w:val="21"/>
        </w:rPr>
        <w:t>municipal</w:t>
      </w:r>
      <w:r>
        <w:rPr>
          <w:rFonts w:ascii="Arial" w:hAnsi="Arial"/>
          <w:i/>
          <w:spacing w:val="-19"/>
          <w:w w:val="105"/>
          <w:sz w:val="21"/>
        </w:rPr>
        <w:t> </w:t>
      </w:r>
      <w:r>
        <w:rPr>
          <w:rFonts w:ascii="Arial" w:hAnsi="Arial"/>
          <w:i/>
          <w:w w:val="105"/>
          <w:sz w:val="21"/>
        </w:rPr>
        <w:t>del</w:t>
      </w:r>
      <w:r>
        <w:rPr>
          <w:rFonts w:ascii="Arial" w:hAnsi="Arial"/>
          <w:i/>
          <w:spacing w:val="-19"/>
          <w:w w:val="105"/>
          <w:sz w:val="21"/>
        </w:rPr>
        <w:t> </w:t>
      </w:r>
      <w:r>
        <w:rPr>
          <w:rFonts w:ascii="Arial" w:hAnsi="Arial"/>
          <w:i/>
          <w:w w:val="105"/>
          <w:sz w:val="21"/>
        </w:rPr>
        <w:t>Estado</w:t>
      </w:r>
      <w:r>
        <w:rPr>
          <w:rFonts w:ascii="Arial" w:hAnsi="Arial"/>
          <w:i/>
          <w:spacing w:val="-19"/>
          <w:w w:val="105"/>
          <w:sz w:val="21"/>
        </w:rPr>
        <w:t> </w:t>
      </w:r>
      <w:r>
        <w:rPr>
          <w:rFonts w:ascii="Arial" w:hAnsi="Arial"/>
          <w:i/>
          <w:w w:val="105"/>
          <w:sz w:val="21"/>
        </w:rPr>
        <w:t>de</w:t>
      </w:r>
      <w:r>
        <w:rPr>
          <w:rFonts w:ascii="Arial" w:hAnsi="Arial"/>
          <w:i/>
          <w:spacing w:val="-19"/>
          <w:w w:val="105"/>
          <w:sz w:val="21"/>
        </w:rPr>
        <w:t> </w:t>
      </w:r>
      <w:r>
        <w:rPr>
          <w:rFonts w:ascii="Arial" w:hAnsi="Arial"/>
          <w:i/>
          <w:w w:val="105"/>
          <w:sz w:val="21"/>
        </w:rPr>
        <w:t>México</w:t>
      </w:r>
      <w:r>
        <w:rPr>
          <w:w w:val="105"/>
          <w:sz w:val="21"/>
        </w:rPr>
        <w:t>,</w:t>
      </w:r>
      <w:r>
        <w:rPr>
          <w:spacing w:val="-25"/>
          <w:w w:val="105"/>
          <w:sz w:val="21"/>
        </w:rPr>
        <w:t> </w:t>
      </w:r>
      <w:r>
        <w:rPr>
          <w:spacing w:val="-3"/>
          <w:w w:val="105"/>
          <w:sz w:val="21"/>
        </w:rPr>
        <w:t>Toluca,</w:t>
      </w:r>
      <w:r>
        <w:rPr>
          <w:spacing w:val="-21"/>
          <w:w w:val="105"/>
          <w:sz w:val="21"/>
        </w:rPr>
        <w:t> </w:t>
      </w:r>
      <w:r>
        <w:rPr>
          <w:w w:val="105"/>
          <w:sz w:val="21"/>
        </w:rPr>
        <w:t>México: </w:t>
      </w:r>
      <w:r>
        <w:rPr>
          <w:w w:val="105"/>
          <w:sz w:val="17"/>
        </w:rPr>
        <w:t>CEDEMUN</w:t>
      </w:r>
      <w:r>
        <w:rPr>
          <w:w w:val="105"/>
          <w:sz w:val="21"/>
        </w:rPr>
        <w:t>.</w:t>
      </w:r>
    </w:p>
    <w:p>
      <w:pPr>
        <w:spacing w:line="259" w:lineRule="auto" w:before="0"/>
        <w:ind w:left="2460" w:right="1834" w:hanging="737"/>
        <w:jc w:val="both"/>
        <w:rPr>
          <w:sz w:val="21"/>
        </w:rPr>
      </w:pPr>
      <w:r>
        <w:rPr>
          <w:w w:val="105"/>
          <w:sz w:val="21"/>
        </w:rPr>
        <w:t>Centro</w:t>
      </w:r>
      <w:r>
        <w:rPr>
          <w:spacing w:val="-29"/>
          <w:w w:val="105"/>
          <w:sz w:val="21"/>
        </w:rPr>
        <w:t> </w:t>
      </w:r>
      <w:r>
        <w:rPr>
          <w:w w:val="105"/>
          <w:sz w:val="21"/>
        </w:rPr>
        <w:t>Latinoamericano</w:t>
      </w:r>
      <w:r>
        <w:rPr>
          <w:spacing w:val="-29"/>
          <w:w w:val="105"/>
          <w:sz w:val="21"/>
        </w:rPr>
        <w:t> </w:t>
      </w:r>
      <w:r>
        <w:rPr>
          <w:w w:val="105"/>
          <w:sz w:val="21"/>
        </w:rPr>
        <w:t>y</w:t>
      </w:r>
      <w:r>
        <w:rPr>
          <w:spacing w:val="-29"/>
          <w:w w:val="105"/>
          <w:sz w:val="21"/>
        </w:rPr>
        <w:t> </w:t>
      </w:r>
      <w:r>
        <w:rPr>
          <w:w w:val="105"/>
          <w:sz w:val="21"/>
        </w:rPr>
        <w:t>Caribeño</w:t>
      </w:r>
      <w:r>
        <w:rPr>
          <w:spacing w:val="-29"/>
          <w:w w:val="105"/>
          <w:sz w:val="21"/>
        </w:rPr>
        <w:t> </w:t>
      </w:r>
      <w:r>
        <w:rPr>
          <w:w w:val="105"/>
          <w:sz w:val="21"/>
        </w:rPr>
        <w:t>de</w:t>
      </w:r>
      <w:r>
        <w:rPr>
          <w:spacing w:val="-29"/>
          <w:w w:val="105"/>
          <w:sz w:val="21"/>
        </w:rPr>
        <w:t> </w:t>
      </w:r>
      <w:r>
        <w:rPr>
          <w:w w:val="105"/>
          <w:sz w:val="21"/>
        </w:rPr>
        <w:t>Demografía</w:t>
      </w:r>
      <w:r>
        <w:rPr>
          <w:spacing w:val="-29"/>
          <w:w w:val="105"/>
          <w:sz w:val="21"/>
        </w:rPr>
        <w:t> </w:t>
      </w:r>
      <w:r>
        <w:rPr>
          <w:w w:val="105"/>
          <w:sz w:val="21"/>
        </w:rPr>
        <w:t>(</w:t>
      </w:r>
      <w:r>
        <w:rPr>
          <w:w w:val="105"/>
          <w:sz w:val="17"/>
        </w:rPr>
        <w:t>CELADE</w:t>
      </w:r>
      <w:r>
        <w:rPr>
          <w:w w:val="105"/>
          <w:sz w:val="21"/>
        </w:rPr>
        <w:t>),</w:t>
      </w:r>
      <w:r>
        <w:rPr>
          <w:spacing w:val="-33"/>
          <w:w w:val="105"/>
          <w:sz w:val="21"/>
        </w:rPr>
        <w:t> </w:t>
      </w:r>
      <w:r>
        <w:rPr>
          <w:w w:val="105"/>
          <w:sz w:val="21"/>
        </w:rPr>
        <w:t>(2006),</w:t>
      </w:r>
      <w:r>
        <w:rPr>
          <w:spacing w:val="-33"/>
          <w:w w:val="105"/>
          <w:sz w:val="21"/>
        </w:rPr>
        <w:t> </w:t>
      </w:r>
      <w:r>
        <w:rPr>
          <w:rFonts w:ascii="Arial" w:hAnsi="Arial"/>
          <w:i/>
          <w:w w:val="105"/>
          <w:sz w:val="21"/>
        </w:rPr>
        <w:t>Ma- </w:t>
      </w:r>
      <w:r>
        <w:rPr>
          <w:rFonts w:ascii="Arial" w:hAnsi="Arial"/>
          <w:i/>
          <w:w w:val="105"/>
          <w:sz w:val="21"/>
        </w:rPr>
        <w:t>nual</w:t>
      </w:r>
      <w:r>
        <w:rPr>
          <w:rFonts w:ascii="Arial" w:hAnsi="Arial"/>
          <w:i/>
          <w:spacing w:val="-27"/>
          <w:w w:val="105"/>
          <w:sz w:val="21"/>
        </w:rPr>
        <w:t> </w:t>
      </w:r>
      <w:r>
        <w:rPr>
          <w:rFonts w:ascii="Arial" w:hAnsi="Arial"/>
          <w:i/>
          <w:w w:val="105"/>
          <w:sz w:val="21"/>
        </w:rPr>
        <w:t>sobre</w:t>
      </w:r>
      <w:r>
        <w:rPr>
          <w:rFonts w:ascii="Arial" w:hAnsi="Arial"/>
          <w:i/>
          <w:spacing w:val="-27"/>
          <w:w w:val="105"/>
          <w:sz w:val="21"/>
        </w:rPr>
        <w:t> </w:t>
      </w:r>
      <w:r>
        <w:rPr>
          <w:rFonts w:ascii="Arial" w:hAnsi="Arial"/>
          <w:i/>
          <w:w w:val="105"/>
          <w:sz w:val="21"/>
        </w:rPr>
        <w:t>indicadores</w:t>
      </w:r>
      <w:r>
        <w:rPr>
          <w:rFonts w:ascii="Arial" w:hAnsi="Arial"/>
          <w:i/>
          <w:spacing w:val="-27"/>
          <w:w w:val="105"/>
          <w:sz w:val="21"/>
        </w:rPr>
        <w:t> </w:t>
      </w:r>
      <w:r>
        <w:rPr>
          <w:rFonts w:ascii="Arial" w:hAnsi="Arial"/>
          <w:i/>
          <w:w w:val="105"/>
          <w:sz w:val="21"/>
        </w:rPr>
        <w:t>de</w:t>
      </w:r>
      <w:r>
        <w:rPr>
          <w:rFonts w:ascii="Arial" w:hAnsi="Arial"/>
          <w:i/>
          <w:spacing w:val="-27"/>
          <w:w w:val="105"/>
          <w:sz w:val="21"/>
        </w:rPr>
        <w:t> </w:t>
      </w:r>
      <w:r>
        <w:rPr>
          <w:rFonts w:ascii="Arial" w:hAnsi="Arial"/>
          <w:i/>
          <w:w w:val="105"/>
          <w:sz w:val="21"/>
        </w:rPr>
        <w:t>calidad</w:t>
      </w:r>
      <w:r>
        <w:rPr>
          <w:rFonts w:ascii="Arial" w:hAnsi="Arial"/>
          <w:i/>
          <w:spacing w:val="-27"/>
          <w:w w:val="105"/>
          <w:sz w:val="21"/>
        </w:rPr>
        <w:t> </w:t>
      </w:r>
      <w:r>
        <w:rPr>
          <w:rFonts w:ascii="Arial" w:hAnsi="Arial"/>
          <w:i/>
          <w:w w:val="105"/>
          <w:sz w:val="21"/>
        </w:rPr>
        <w:t>de</w:t>
      </w:r>
      <w:r>
        <w:rPr>
          <w:rFonts w:ascii="Arial" w:hAnsi="Arial"/>
          <w:i/>
          <w:spacing w:val="-27"/>
          <w:w w:val="105"/>
          <w:sz w:val="21"/>
        </w:rPr>
        <w:t> </w:t>
      </w:r>
      <w:r>
        <w:rPr>
          <w:rFonts w:ascii="Arial" w:hAnsi="Arial"/>
          <w:i/>
          <w:w w:val="105"/>
          <w:sz w:val="21"/>
        </w:rPr>
        <w:t>vida</w:t>
      </w:r>
      <w:r>
        <w:rPr>
          <w:rFonts w:ascii="Arial" w:hAnsi="Arial"/>
          <w:i/>
          <w:spacing w:val="-27"/>
          <w:w w:val="105"/>
          <w:sz w:val="21"/>
        </w:rPr>
        <w:t> </w:t>
      </w:r>
      <w:r>
        <w:rPr>
          <w:rFonts w:ascii="Arial" w:hAnsi="Arial"/>
          <w:i/>
          <w:w w:val="105"/>
          <w:sz w:val="21"/>
        </w:rPr>
        <w:t>en</w:t>
      </w:r>
      <w:r>
        <w:rPr>
          <w:rFonts w:ascii="Arial" w:hAnsi="Arial"/>
          <w:i/>
          <w:spacing w:val="-27"/>
          <w:w w:val="105"/>
          <w:sz w:val="21"/>
        </w:rPr>
        <w:t> </w:t>
      </w:r>
      <w:r>
        <w:rPr>
          <w:rFonts w:ascii="Arial" w:hAnsi="Arial"/>
          <w:i/>
          <w:w w:val="105"/>
          <w:sz w:val="21"/>
        </w:rPr>
        <w:t>la</w:t>
      </w:r>
      <w:r>
        <w:rPr>
          <w:rFonts w:ascii="Arial" w:hAnsi="Arial"/>
          <w:i/>
          <w:spacing w:val="-27"/>
          <w:w w:val="105"/>
          <w:sz w:val="21"/>
        </w:rPr>
        <w:t> </w:t>
      </w:r>
      <w:r>
        <w:rPr>
          <w:rFonts w:ascii="Arial" w:hAnsi="Arial"/>
          <w:i/>
          <w:w w:val="105"/>
          <w:sz w:val="21"/>
        </w:rPr>
        <w:t>vejez</w:t>
      </w:r>
      <w:r>
        <w:rPr>
          <w:w w:val="105"/>
          <w:sz w:val="21"/>
        </w:rPr>
        <w:t>,</w:t>
      </w:r>
      <w:r>
        <w:rPr>
          <w:spacing w:val="-30"/>
          <w:w w:val="105"/>
          <w:sz w:val="21"/>
        </w:rPr>
        <w:t> </w:t>
      </w:r>
      <w:r>
        <w:rPr>
          <w:w w:val="105"/>
          <w:sz w:val="21"/>
        </w:rPr>
        <w:t>Santiago</w:t>
      </w:r>
      <w:r>
        <w:rPr>
          <w:spacing w:val="-24"/>
          <w:w w:val="105"/>
          <w:sz w:val="21"/>
        </w:rPr>
        <w:t> </w:t>
      </w:r>
      <w:r>
        <w:rPr>
          <w:w w:val="105"/>
          <w:sz w:val="21"/>
        </w:rPr>
        <w:t>de </w:t>
      </w:r>
      <w:r>
        <w:rPr>
          <w:sz w:val="21"/>
        </w:rPr>
        <w:t>Chile:</w:t>
      </w:r>
      <w:r>
        <w:rPr>
          <w:spacing w:val="-29"/>
          <w:sz w:val="21"/>
        </w:rPr>
        <w:t> </w:t>
      </w:r>
      <w:r>
        <w:rPr>
          <w:sz w:val="17"/>
        </w:rPr>
        <w:t>CELADE</w:t>
      </w:r>
      <w:r>
        <w:rPr>
          <w:sz w:val="21"/>
        </w:rPr>
        <w:t>/</w:t>
      </w:r>
      <w:r>
        <w:rPr>
          <w:sz w:val="17"/>
        </w:rPr>
        <w:t>CEPAL</w:t>
      </w:r>
      <w:r>
        <w:rPr>
          <w:sz w:val="21"/>
        </w:rPr>
        <w:t>.</w:t>
      </w:r>
    </w:p>
    <w:p>
      <w:pPr>
        <w:spacing w:line="259" w:lineRule="auto" w:before="0"/>
        <w:ind w:left="2460" w:right="1835" w:hanging="738"/>
        <w:jc w:val="both"/>
        <w:rPr>
          <w:sz w:val="21"/>
        </w:rPr>
      </w:pPr>
      <w:r>
        <w:rPr>
          <w:w w:val="105"/>
          <w:sz w:val="21"/>
        </w:rPr>
        <w:t>Consejo</w:t>
      </w:r>
      <w:r>
        <w:rPr>
          <w:spacing w:val="-26"/>
          <w:w w:val="105"/>
          <w:sz w:val="21"/>
        </w:rPr>
        <w:t> </w:t>
      </w:r>
      <w:r>
        <w:rPr>
          <w:w w:val="105"/>
          <w:sz w:val="21"/>
        </w:rPr>
        <w:t>Nacional</w:t>
      </w:r>
      <w:r>
        <w:rPr>
          <w:spacing w:val="-26"/>
          <w:w w:val="105"/>
          <w:sz w:val="21"/>
        </w:rPr>
        <w:t> </w:t>
      </w:r>
      <w:r>
        <w:rPr>
          <w:w w:val="105"/>
          <w:sz w:val="21"/>
        </w:rPr>
        <w:t>de</w:t>
      </w:r>
      <w:r>
        <w:rPr>
          <w:spacing w:val="-26"/>
          <w:w w:val="105"/>
          <w:sz w:val="21"/>
        </w:rPr>
        <w:t> </w:t>
      </w:r>
      <w:r>
        <w:rPr>
          <w:w w:val="105"/>
          <w:sz w:val="21"/>
        </w:rPr>
        <w:t>Población</w:t>
      </w:r>
      <w:r>
        <w:rPr>
          <w:spacing w:val="-26"/>
          <w:w w:val="105"/>
          <w:sz w:val="21"/>
        </w:rPr>
        <w:t> </w:t>
      </w:r>
      <w:r>
        <w:rPr>
          <w:w w:val="105"/>
          <w:sz w:val="21"/>
        </w:rPr>
        <w:t>(</w:t>
      </w:r>
      <w:r>
        <w:rPr>
          <w:w w:val="105"/>
          <w:sz w:val="17"/>
        </w:rPr>
        <w:t>CONAPO</w:t>
      </w:r>
      <w:r>
        <w:rPr>
          <w:w w:val="105"/>
          <w:sz w:val="21"/>
        </w:rPr>
        <w:t>),</w:t>
      </w:r>
      <w:r>
        <w:rPr>
          <w:spacing w:val="-30"/>
          <w:w w:val="105"/>
          <w:sz w:val="21"/>
        </w:rPr>
        <w:t> </w:t>
      </w:r>
      <w:r>
        <w:rPr>
          <w:w w:val="105"/>
          <w:sz w:val="21"/>
        </w:rPr>
        <w:t>(2010),</w:t>
      </w:r>
      <w:r>
        <w:rPr>
          <w:spacing w:val="3"/>
          <w:w w:val="105"/>
          <w:sz w:val="21"/>
        </w:rPr>
        <w:t> </w:t>
      </w:r>
      <w:r>
        <w:rPr>
          <w:rFonts w:ascii="Arial" w:hAnsi="Arial"/>
          <w:i/>
          <w:w w:val="105"/>
          <w:sz w:val="21"/>
        </w:rPr>
        <w:t>Delimitación</w:t>
      </w:r>
      <w:r>
        <w:rPr>
          <w:rFonts w:ascii="Arial" w:hAnsi="Arial"/>
          <w:i/>
          <w:spacing w:val="-29"/>
          <w:w w:val="105"/>
          <w:sz w:val="21"/>
        </w:rPr>
        <w:t> </w:t>
      </w:r>
      <w:r>
        <w:rPr>
          <w:rFonts w:ascii="Arial" w:hAnsi="Arial"/>
          <w:i/>
          <w:w w:val="105"/>
          <w:sz w:val="21"/>
        </w:rPr>
        <w:t>de</w:t>
      </w:r>
      <w:r>
        <w:rPr>
          <w:rFonts w:ascii="Arial" w:hAnsi="Arial"/>
          <w:i/>
          <w:spacing w:val="-29"/>
          <w:w w:val="105"/>
          <w:sz w:val="21"/>
        </w:rPr>
        <w:t> </w:t>
      </w:r>
      <w:r>
        <w:rPr>
          <w:rFonts w:ascii="Arial" w:hAnsi="Arial"/>
          <w:i/>
          <w:w w:val="105"/>
          <w:sz w:val="21"/>
        </w:rPr>
        <w:t>Zonas </w:t>
      </w:r>
      <w:r>
        <w:rPr>
          <w:rFonts w:ascii="Arial" w:hAnsi="Arial"/>
          <w:i/>
          <w:w w:val="105"/>
          <w:sz w:val="21"/>
        </w:rPr>
        <w:t>Metropolitanas</w:t>
      </w:r>
      <w:r>
        <w:rPr>
          <w:w w:val="105"/>
          <w:sz w:val="21"/>
        </w:rPr>
        <w:t>,</w:t>
      </w:r>
      <w:r>
        <w:rPr>
          <w:spacing w:val="-38"/>
          <w:w w:val="105"/>
          <w:sz w:val="21"/>
        </w:rPr>
        <w:t> </w:t>
      </w:r>
      <w:r>
        <w:rPr>
          <w:w w:val="105"/>
          <w:sz w:val="21"/>
        </w:rPr>
        <w:t>México:</w:t>
      </w:r>
      <w:r>
        <w:rPr>
          <w:spacing w:val="-36"/>
          <w:w w:val="105"/>
          <w:sz w:val="21"/>
        </w:rPr>
        <w:t> </w:t>
      </w:r>
      <w:r>
        <w:rPr>
          <w:w w:val="105"/>
          <w:sz w:val="17"/>
        </w:rPr>
        <w:t>CONAPO</w:t>
      </w:r>
      <w:r>
        <w:rPr>
          <w:w w:val="105"/>
          <w:sz w:val="21"/>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51072" from="131.551193pt,.203715pt" to="131.551193pt,36.006114pt" stroked="true" strokeweight=".35pt" strokecolor="#231f20">
            <w10:wrap type="none"/>
          </v:line>
        </w:pict>
      </w:r>
      <w:r>
        <w:rPr/>
        <w:pict>
          <v:line style="position:absolute;mso-position-horizontal-relative:page;mso-position-vertical-relative:paragraph;z-index:-451000" from="15pt,36.005917pt" to="0pt,36.005917pt" stroked="true" strokeweight=".25pt" strokecolor="#000000">
            <w10:wrap type="none"/>
          </v:line>
        </w:pict>
      </w:r>
      <w:r>
        <w:rPr/>
        <w:pict>
          <v:line style="position:absolute;mso-position-horizontal-relative:page;mso-position-vertical-relative:paragraph;z-index:39208" from="508.890015pt,36.005917pt" to="523.890015pt,36.005917pt" stroked="true" strokeweight=".25pt" strokecolor="#000000">
            <w10:wrap type="none"/>
          </v:line>
        </w:pict>
      </w:r>
      <w:r>
        <w:rPr>
          <w:rFonts w:ascii="Arial" w:hAnsi="Arial"/>
          <w:color w:val="414042"/>
          <w:position w:val="-5"/>
          <w:sz w:val="20"/>
        </w:rPr>
        <w:t>324</w:t>
        <w:tab/>
      </w:r>
      <w:r>
        <w:rPr>
          <w:rFonts w:ascii="Calibri" w:hAnsi="Calibri"/>
          <w:color w:val="6D6E71"/>
          <w:sz w:val="15"/>
        </w:rPr>
        <w:t>Zoraida Ronzón Hernández, Norma Baca </w:t>
      </w:r>
      <w:r>
        <w:rPr>
          <w:rFonts w:ascii="Calibri" w:hAnsi="Calibri"/>
          <w:color w:val="6D6E71"/>
          <w:spacing w:val="-2"/>
          <w:sz w:val="15"/>
        </w:rPr>
        <w:t>Tavira </w:t>
      </w:r>
      <w:r>
        <w:rPr>
          <w:rFonts w:ascii="Calibri" w:hAnsi="Calibri"/>
          <w:color w:val="6D6E71"/>
          <w:sz w:val="15"/>
        </w:rPr>
        <w:t>y Patricia Román  </w:t>
      </w:r>
      <w:r>
        <w:rPr>
          <w:rFonts w:ascii="Calibri" w:hAnsi="Calibri"/>
          <w:color w:val="6D6E71"/>
          <w:spacing w:val="24"/>
          <w:sz w:val="15"/>
        </w:rPr>
        <w:t> </w:t>
      </w:r>
      <w:r>
        <w:rPr>
          <w:rFonts w:ascii="Calibri" w:hAnsi="Calibri"/>
          <w:color w:val="6D6E71"/>
          <w:sz w:val="15"/>
        </w:rPr>
        <w:t>Reyes</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footerReference w:type="default" r:id="rId345"/>
          <w:pgSz w:w="10480" w:h="14730"/>
          <w:pgMar w:footer="223" w:header="0" w:top="300" w:bottom="420" w:left="0" w:right="0"/>
        </w:sectPr>
      </w:pPr>
    </w:p>
    <w:p>
      <w:pPr>
        <w:pStyle w:val="BodyText"/>
        <w:spacing w:before="4"/>
        <w:rPr>
          <w:rFonts w:ascii="Calibri"/>
          <w:sz w:val="15"/>
        </w:rPr>
      </w:pPr>
    </w:p>
    <w:p>
      <w:pPr>
        <w:spacing w:line="198" w:lineRule="exact" w:before="0"/>
        <w:ind w:left="0" w:right="0" w:firstLine="0"/>
        <w:jc w:val="right"/>
        <w:rPr>
          <w:rFonts w:ascii="Lucida Sans Unicode" w:hAnsi="Lucida Sans Unicode"/>
          <w:sz w:val="14"/>
        </w:rPr>
      </w:pPr>
      <w:r>
        <w:rPr/>
        <w:pict>
          <v:line style="position:absolute;mso-position-horizontal-relative:page;mso-position-vertical-relative:paragraph;z-index:39232" from="405.061005pt,-27.904295pt" to="405.061005pt,6.961579pt" stroked="true" strokeweight=".35pt" strokecolor="#231f20">
            <w10:wrap type="none"/>
          </v:line>
        </w:pict>
      </w:r>
      <w:r>
        <w:rPr/>
        <w:pict>
          <v:line style="position:absolute;mso-position-horizontal-relative:page;mso-position-vertical-relative:paragraph;z-index:39256" from="15pt,-27.90452pt" to="0pt,-27.90452pt" stroked="true" strokeweight=".25pt" strokecolor="#000000">
            <w10:wrap type="none"/>
          </v:line>
        </w:pict>
      </w:r>
      <w:r>
        <w:rPr/>
        <w:pict>
          <v:line style="position:absolute;mso-position-horizontal-relative:page;mso-position-vertical-relative:paragraph;z-index:39280" from="508.890015pt,-27.90452pt" to="523.890015pt,-27.90452pt" stroked="true" strokeweight=".25pt" strokecolor="#000000">
            <w10:wrap type="none"/>
          </v:line>
        </w:pict>
      </w:r>
      <w:r>
        <w:rPr>
          <w:rFonts w:ascii="Lucida Sans Unicode" w:hAnsi="Lucida Sans Unicode"/>
          <w:color w:val="6D6E71"/>
          <w:w w:val="90"/>
          <w:sz w:val="14"/>
        </w:rPr>
        <w:t>MIGRACIÓN INTERGENERACIONAL EN EL ESTADO DE MÉXICO.</w:t>
      </w:r>
    </w:p>
    <w:p>
      <w:pPr>
        <w:spacing w:line="198" w:lineRule="exact" w:before="0"/>
        <w:ind w:left="0" w:right="0" w:firstLine="0"/>
        <w:jc w:val="right"/>
        <w:rPr>
          <w:rFonts w:ascii="Lucida Sans Unicode" w:hAnsi="Lucida Sans Unicode"/>
          <w:sz w:val="14"/>
        </w:rPr>
      </w:pPr>
      <w:r>
        <w:rPr>
          <w:rFonts w:ascii="Lucida Sans Unicode" w:hAnsi="Lucida Sans Unicode"/>
          <w:color w:val="6D6E71"/>
          <w:w w:val="90"/>
          <w:sz w:val="14"/>
        </w:rPr>
        <w:t>LA BÚSQUEDA DE MOVILIDAD SOCIAL</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325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spacing w:line="259" w:lineRule="auto" w:before="57"/>
        <w:ind w:left="2574" w:right="1721" w:hanging="738"/>
        <w:jc w:val="both"/>
        <w:rPr>
          <w:sz w:val="21"/>
        </w:rPr>
      </w:pPr>
      <w:r>
        <w:rPr>
          <w:w w:val="105"/>
          <w:sz w:val="21"/>
        </w:rPr>
        <w:t>Coordinación General de Apoyo Municipal, (1999), </w:t>
      </w:r>
      <w:r>
        <w:rPr>
          <w:rFonts w:ascii="Arial" w:hAnsi="Arial"/>
          <w:i/>
          <w:w w:val="105"/>
          <w:sz w:val="21"/>
        </w:rPr>
        <w:t>Integración de los </w:t>
      </w:r>
      <w:r>
        <w:rPr>
          <w:rFonts w:ascii="Arial" w:hAnsi="Arial"/>
          <w:i/>
          <w:w w:val="105"/>
          <w:sz w:val="21"/>
        </w:rPr>
        <w:t>122</w:t>
      </w:r>
      <w:r>
        <w:rPr>
          <w:rFonts w:ascii="Arial" w:hAnsi="Arial"/>
          <w:i/>
          <w:spacing w:val="-34"/>
          <w:w w:val="105"/>
          <w:sz w:val="21"/>
        </w:rPr>
        <w:t> </w:t>
      </w:r>
      <w:r>
        <w:rPr>
          <w:rFonts w:ascii="Arial" w:hAnsi="Arial"/>
          <w:i/>
          <w:w w:val="105"/>
          <w:sz w:val="21"/>
        </w:rPr>
        <w:t>Ayuntamientos</w:t>
      </w:r>
      <w:r>
        <w:rPr>
          <w:rFonts w:ascii="Arial" w:hAnsi="Arial"/>
          <w:i/>
          <w:spacing w:val="-32"/>
          <w:w w:val="105"/>
          <w:sz w:val="21"/>
        </w:rPr>
        <w:t> </w:t>
      </w:r>
      <w:r>
        <w:rPr>
          <w:rFonts w:ascii="Arial" w:hAnsi="Arial"/>
          <w:i/>
          <w:w w:val="105"/>
          <w:sz w:val="21"/>
        </w:rPr>
        <w:t>del</w:t>
      </w:r>
      <w:r>
        <w:rPr>
          <w:rFonts w:ascii="Arial" w:hAnsi="Arial"/>
          <w:i/>
          <w:spacing w:val="-32"/>
          <w:w w:val="105"/>
          <w:sz w:val="21"/>
        </w:rPr>
        <w:t> </w:t>
      </w:r>
      <w:r>
        <w:rPr>
          <w:rFonts w:ascii="Arial" w:hAnsi="Arial"/>
          <w:i/>
          <w:w w:val="105"/>
          <w:sz w:val="21"/>
        </w:rPr>
        <w:t>Estado</w:t>
      </w:r>
      <w:r>
        <w:rPr>
          <w:rFonts w:ascii="Arial" w:hAnsi="Arial"/>
          <w:i/>
          <w:spacing w:val="-32"/>
          <w:w w:val="105"/>
          <w:sz w:val="21"/>
        </w:rPr>
        <w:t> </w:t>
      </w:r>
      <w:r>
        <w:rPr>
          <w:rFonts w:ascii="Arial" w:hAnsi="Arial"/>
          <w:i/>
          <w:w w:val="105"/>
          <w:sz w:val="21"/>
        </w:rPr>
        <w:t>de</w:t>
      </w:r>
      <w:r>
        <w:rPr>
          <w:rFonts w:ascii="Arial" w:hAnsi="Arial"/>
          <w:i/>
          <w:spacing w:val="-32"/>
          <w:w w:val="105"/>
          <w:sz w:val="21"/>
        </w:rPr>
        <w:t> </w:t>
      </w:r>
      <w:r>
        <w:rPr>
          <w:rFonts w:ascii="Arial" w:hAnsi="Arial"/>
          <w:i/>
          <w:w w:val="105"/>
          <w:sz w:val="21"/>
        </w:rPr>
        <w:t>México</w:t>
      </w:r>
      <w:r>
        <w:rPr>
          <w:rFonts w:ascii="Arial" w:hAnsi="Arial"/>
          <w:i/>
          <w:spacing w:val="-32"/>
          <w:w w:val="105"/>
          <w:sz w:val="21"/>
        </w:rPr>
        <w:t> </w:t>
      </w:r>
      <w:r>
        <w:rPr>
          <w:rFonts w:ascii="Arial" w:hAnsi="Arial"/>
          <w:i/>
          <w:w w:val="105"/>
          <w:sz w:val="21"/>
        </w:rPr>
        <w:t>1997-2000</w:t>
      </w:r>
      <w:r>
        <w:rPr>
          <w:w w:val="105"/>
          <w:sz w:val="21"/>
        </w:rPr>
        <w:t>,</w:t>
      </w:r>
      <w:r>
        <w:rPr>
          <w:spacing w:val="-36"/>
          <w:w w:val="105"/>
          <w:sz w:val="21"/>
        </w:rPr>
        <w:t> </w:t>
      </w:r>
      <w:r>
        <w:rPr>
          <w:spacing w:val="-3"/>
          <w:w w:val="105"/>
          <w:sz w:val="21"/>
        </w:rPr>
        <w:t>Toluca,</w:t>
      </w:r>
      <w:r>
        <w:rPr>
          <w:spacing w:val="-33"/>
          <w:w w:val="105"/>
          <w:sz w:val="21"/>
        </w:rPr>
        <w:t> </w:t>
      </w:r>
      <w:r>
        <w:rPr>
          <w:w w:val="105"/>
          <w:sz w:val="21"/>
        </w:rPr>
        <w:t>Mé- xico:</w:t>
      </w:r>
      <w:r>
        <w:rPr>
          <w:spacing w:val="-10"/>
          <w:w w:val="105"/>
          <w:sz w:val="21"/>
        </w:rPr>
        <w:t> </w:t>
      </w:r>
      <w:r>
        <w:rPr>
          <w:w w:val="105"/>
          <w:sz w:val="21"/>
        </w:rPr>
        <w:t>Gobierno</w:t>
      </w:r>
      <w:r>
        <w:rPr>
          <w:spacing w:val="-10"/>
          <w:w w:val="105"/>
          <w:sz w:val="21"/>
        </w:rPr>
        <w:t> </w:t>
      </w:r>
      <w:r>
        <w:rPr>
          <w:w w:val="105"/>
          <w:sz w:val="21"/>
        </w:rPr>
        <w:t>del</w:t>
      </w:r>
      <w:r>
        <w:rPr>
          <w:spacing w:val="-10"/>
          <w:w w:val="105"/>
          <w:sz w:val="21"/>
        </w:rPr>
        <w:t> </w:t>
      </w:r>
      <w:r>
        <w:rPr>
          <w:w w:val="105"/>
          <w:sz w:val="21"/>
        </w:rPr>
        <w:t>Estado</w:t>
      </w:r>
      <w:r>
        <w:rPr>
          <w:spacing w:val="-10"/>
          <w:w w:val="105"/>
          <w:sz w:val="21"/>
        </w:rPr>
        <w:t> </w:t>
      </w:r>
      <w:r>
        <w:rPr>
          <w:w w:val="105"/>
          <w:sz w:val="21"/>
        </w:rPr>
        <w:t>de</w:t>
      </w:r>
      <w:r>
        <w:rPr>
          <w:spacing w:val="-10"/>
          <w:w w:val="105"/>
          <w:sz w:val="21"/>
        </w:rPr>
        <w:t> </w:t>
      </w:r>
      <w:r>
        <w:rPr>
          <w:w w:val="105"/>
          <w:sz w:val="21"/>
        </w:rPr>
        <w:t>México.</w:t>
      </w:r>
    </w:p>
    <w:p>
      <w:pPr>
        <w:spacing w:line="259" w:lineRule="auto" w:before="0"/>
        <w:ind w:left="2574" w:right="1722" w:hanging="738"/>
        <w:jc w:val="both"/>
        <w:rPr>
          <w:sz w:val="21"/>
        </w:rPr>
      </w:pPr>
      <w:r>
        <w:rPr>
          <w:sz w:val="21"/>
        </w:rPr>
        <w:t>Díaz Garay, Alejandro y Solano Díaz, Irma, (2012), </w:t>
      </w:r>
      <w:r>
        <w:rPr>
          <w:rFonts w:ascii="Arial" w:hAnsi="Arial"/>
          <w:i/>
          <w:sz w:val="21"/>
        </w:rPr>
        <w:t>Políticas Movilidad so- </w:t>
      </w:r>
      <w:r>
        <w:rPr>
          <w:rFonts w:ascii="Arial" w:hAnsi="Arial"/>
          <w:i/>
          <w:sz w:val="21"/>
        </w:rPr>
        <w:t>cial, pobreza crónica y trabajo</w:t>
      </w:r>
      <w:r>
        <w:rPr>
          <w:sz w:val="21"/>
        </w:rPr>
        <w:t>, México:  </w:t>
      </w:r>
      <w:r>
        <w:rPr>
          <w:sz w:val="17"/>
        </w:rPr>
        <w:t>UNAM</w:t>
      </w:r>
      <w:r>
        <w:rPr>
          <w:sz w:val="21"/>
        </w:rPr>
        <w:t>.</w:t>
      </w:r>
    </w:p>
    <w:p>
      <w:pPr>
        <w:spacing w:line="261" w:lineRule="auto" w:before="3"/>
        <w:ind w:left="2574" w:right="1715" w:hanging="738"/>
        <w:jc w:val="both"/>
        <w:rPr>
          <w:sz w:val="21"/>
        </w:rPr>
      </w:pPr>
      <w:r>
        <w:rPr>
          <w:sz w:val="21"/>
        </w:rPr>
        <w:t>Esteva-Fabregat, Claudio, (2001), “Enfoques para una antropología de la migración”, </w:t>
      </w:r>
      <w:r>
        <w:rPr>
          <w:rFonts w:ascii="Arial" w:hAnsi="Arial"/>
          <w:i/>
          <w:sz w:val="21"/>
        </w:rPr>
        <w:t>Revista Electrónica de Geografía y Ciencias Sociales</w:t>
      </w:r>
      <w:r>
        <w:rPr>
          <w:sz w:val="21"/>
        </w:rPr>
        <w:t>, vol. 1, núm. 94.</w:t>
      </w:r>
    </w:p>
    <w:p>
      <w:pPr>
        <w:spacing w:line="261" w:lineRule="auto" w:before="0"/>
        <w:ind w:left="1723" w:right="1715" w:firstLine="0"/>
        <w:jc w:val="right"/>
        <w:rPr>
          <w:rFonts w:ascii="Arial" w:hAnsi="Arial"/>
          <w:i/>
          <w:sz w:val="21"/>
        </w:rPr>
      </w:pPr>
      <w:r>
        <w:rPr>
          <w:color w:val="231F20"/>
          <w:sz w:val="21"/>
        </w:rPr>
        <w:t>Estrada, Margarita, (1996), </w:t>
      </w:r>
      <w:r>
        <w:rPr>
          <w:rFonts w:ascii="Arial" w:hAnsi="Arial"/>
          <w:i/>
          <w:color w:val="231F20"/>
          <w:sz w:val="21"/>
        </w:rPr>
        <w:t>Desocupación y familia obrera</w:t>
      </w:r>
      <w:r>
        <w:rPr>
          <w:color w:val="231F20"/>
          <w:sz w:val="21"/>
        </w:rPr>
        <w:t>, México: </w:t>
      </w:r>
      <w:r>
        <w:rPr>
          <w:color w:val="231F20"/>
          <w:sz w:val="17"/>
        </w:rPr>
        <w:t>CIESAS</w:t>
      </w:r>
      <w:r>
        <w:rPr>
          <w:color w:val="231F20"/>
          <w:sz w:val="21"/>
        </w:rPr>
        <w:t>.</w:t>
      </w:r>
      <w:r>
        <w:rPr>
          <w:color w:val="231F20"/>
          <w:w w:val="93"/>
          <w:sz w:val="21"/>
        </w:rPr>
        <w:t> </w:t>
      </w:r>
      <w:r>
        <w:rPr>
          <w:color w:val="231F20"/>
          <w:sz w:val="21"/>
        </w:rPr>
        <w:t>Gomes Faria, Raúl, (2007), “Marroquíes en Portugal: imaginación y poder</w:t>
      </w:r>
      <w:r>
        <w:rPr>
          <w:color w:val="231F20"/>
          <w:w w:val="110"/>
          <w:sz w:val="21"/>
        </w:rPr>
        <w:t> </w:t>
      </w:r>
      <w:r>
        <w:rPr>
          <w:color w:val="231F20"/>
          <w:sz w:val="21"/>
        </w:rPr>
        <w:t>en la migración transnacional”, </w:t>
      </w:r>
      <w:r>
        <w:rPr>
          <w:rFonts w:ascii="Arial" w:hAnsi="Arial"/>
          <w:i/>
          <w:color w:val="231F20"/>
          <w:sz w:val="21"/>
        </w:rPr>
        <w:t>Revista de Estudios   Internaciona-</w:t>
      </w:r>
    </w:p>
    <w:p>
      <w:pPr>
        <w:pStyle w:val="BodyText"/>
        <w:spacing w:line="261" w:lineRule="auto"/>
        <w:ind w:left="2574"/>
      </w:pPr>
      <w:r>
        <w:rPr>
          <w:rFonts w:ascii="Arial" w:hAnsi="Arial"/>
          <w:i/>
          <w:color w:val="231F20"/>
          <w:w w:val="105"/>
        </w:rPr>
        <w:t>les Mediterráneos</w:t>
      </w:r>
      <w:r>
        <w:rPr>
          <w:color w:val="231F20"/>
          <w:w w:val="105"/>
        </w:rPr>
        <w:t>, núm. 2, recuperado de https://revistas.uam. es/index.php/reim/article/view/743/731</w:t>
      </w:r>
    </w:p>
    <w:p>
      <w:pPr>
        <w:pStyle w:val="BodyText"/>
        <w:spacing w:line="261" w:lineRule="auto"/>
        <w:ind w:left="2574" w:right="1721" w:hanging="738"/>
        <w:jc w:val="both"/>
      </w:pPr>
      <w:r>
        <w:rPr>
          <w:color w:val="231F20"/>
        </w:rPr>
        <w:t>Gpe, Guadalupe, (agosto, 2013), </w:t>
      </w:r>
      <w:r>
        <w:rPr>
          <w:rFonts w:ascii="Arial" w:hAnsi="Arial"/>
          <w:i/>
          <w:color w:val="231F20"/>
        </w:rPr>
        <w:t>Mujer 70 años, Tejupilco</w:t>
      </w:r>
      <w:r>
        <w:rPr>
          <w:color w:val="231F20"/>
        </w:rPr>
        <w:t>. Entrevistado- ra: Alejandra Pérez [audio .mp3], archivo personal (Zoraida Ron- zón Hernández)</w:t>
      </w:r>
    </w:p>
    <w:p>
      <w:pPr>
        <w:pStyle w:val="BodyText"/>
        <w:spacing w:line="261" w:lineRule="auto"/>
        <w:ind w:left="2574" w:right="1721" w:hanging="738"/>
        <w:jc w:val="both"/>
      </w:pPr>
      <w:r>
        <w:rPr>
          <w:color w:val="231F20"/>
        </w:rPr>
        <w:t>Irn, Irineo, (agosto, 2013), </w:t>
      </w:r>
      <w:r>
        <w:rPr>
          <w:rFonts w:ascii="Arial" w:hAnsi="Arial"/>
          <w:i/>
          <w:color w:val="231F20"/>
        </w:rPr>
        <w:t>Hombre 61 años, Tonatico</w:t>
      </w:r>
      <w:r>
        <w:rPr>
          <w:color w:val="231F20"/>
        </w:rPr>
        <w:t>. Entrevistadora: Ale- jandra Pérez [audio .mp3], archivo personal (Zoraida Ronzón Her- nández)</w:t>
      </w:r>
    </w:p>
    <w:p>
      <w:pPr>
        <w:spacing w:line="259" w:lineRule="auto" w:before="0"/>
        <w:ind w:left="2574" w:right="1721" w:hanging="738"/>
        <w:jc w:val="both"/>
        <w:rPr>
          <w:sz w:val="21"/>
        </w:rPr>
      </w:pPr>
      <w:r>
        <w:rPr>
          <w:color w:val="231F20"/>
          <w:sz w:val="21"/>
        </w:rPr>
        <w:t>Jvn, Juventino, (agosto, 2013), </w:t>
      </w:r>
      <w:r>
        <w:rPr>
          <w:rFonts w:ascii="Arial" w:hAnsi="Arial"/>
          <w:i/>
          <w:color w:val="231F20"/>
          <w:sz w:val="21"/>
        </w:rPr>
        <w:t>Hombre 86 años, Temascalcingo, ExBra- </w:t>
      </w:r>
      <w:r>
        <w:rPr>
          <w:rFonts w:ascii="Arial" w:hAnsi="Arial"/>
          <w:i/>
          <w:color w:val="231F20"/>
          <w:sz w:val="21"/>
        </w:rPr>
        <w:t>cero</w:t>
      </w:r>
      <w:r>
        <w:rPr>
          <w:color w:val="231F20"/>
          <w:sz w:val="21"/>
        </w:rPr>
        <w:t>. Entrevistador: Juan Carlos [audio .mp3], archivo personal (Zoraida Ronzón Hernández)</w:t>
      </w:r>
    </w:p>
    <w:p>
      <w:pPr>
        <w:spacing w:line="259" w:lineRule="auto" w:before="3"/>
        <w:ind w:left="2574" w:right="1721" w:hanging="738"/>
        <w:jc w:val="both"/>
        <w:rPr>
          <w:sz w:val="21"/>
        </w:rPr>
      </w:pPr>
      <w:r>
        <w:rPr>
          <w:sz w:val="21"/>
        </w:rPr>
        <w:t>Massey, Douglas, Durand, Jorge y  Malone, Nolan, (2009), “Ensamblaje  de la maquinaria: una historia de la migración México-Estados </w:t>
      </w:r>
      <w:r>
        <w:rPr>
          <w:spacing w:val="-4"/>
          <w:sz w:val="21"/>
        </w:rPr>
        <w:t>Unidos”, </w:t>
      </w:r>
      <w:r>
        <w:rPr>
          <w:sz w:val="21"/>
        </w:rPr>
        <w:t>en </w:t>
      </w:r>
      <w:r>
        <w:rPr>
          <w:rFonts w:ascii="Arial" w:hAnsi="Arial"/>
          <w:i/>
          <w:sz w:val="21"/>
        </w:rPr>
        <w:t>Detrás de la trama. Políticas migratorias entre México </w:t>
      </w:r>
      <w:r>
        <w:rPr>
          <w:rFonts w:ascii="Arial" w:hAnsi="Arial"/>
          <w:i/>
          <w:sz w:val="21"/>
        </w:rPr>
        <w:t>y Estados Unidos, México</w:t>
      </w:r>
      <w:r>
        <w:rPr>
          <w:sz w:val="21"/>
        </w:rPr>
        <w:t>, México: Miguel Ángel </w:t>
      </w:r>
      <w:r>
        <w:rPr>
          <w:spacing w:val="11"/>
          <w:sz w:val="21"/>
        </w:rPr>
        <w:t> </w:t>
      </w:r>
      <w:r>
        <w:rPr>
          <w:sz w:val="21"/>
        </w:rPr>
        <w:t>Porrúa/</w:t>
      </w:r>
      <w:r>
        <w:rPr>
          <w:sz w:val="17"/>
        </w:rPr>
        <w:t>UAZ</w:t>
      </w:r>
      <w:r>
        <w:rPr>
          <w:sz w:val="21"/>
        </w:rPr>
        <w:t>.</w:t>
      </w:r>
    </w:p>
    <w:p>
      <w:pPr>
        <w:spacing w:line="259" w:lineRule="auto" w:before="3"/>
        <w:ind w:left="2574" w:right="1721" w:hanging="738"/>
        <w:jc w:val="both"/>
        <w:rPr>
          <w:sz w:val="21"/>
        </w:rPr>
      </w:pPr>
      <w:r>
        <w:rPr>
          <w:w w:val="105"/>
          <w:sz w:val="21"/>
        </w:rPr>
        <w:t>Mazurek,</w:t>
      </w:r>
      <w:r>
        <w:rPr>
          <w:spacing w:val="-14"/>
          <w:w w:val="105"/>
          <w:sz w:val="21"/>
        </w:rPr>
        <w:t> </w:t>
      </w:r>
      <w:r>
        <w:rPr>
          <w:w w:val="105"/>
          <w:sz w:val="21"/>
        </w:rPr>
        <w:t>Hubert,</w:t>
      </w:r>
      <w:r>
        <w:rPr>
          <w:spacing w:val="-14"/>
          <w:w w:val="105"/>
          <w:sz w:val="21"/>
        </w:rPr>
        <w:t> </w:t>
      </w:r>
      <w:r>
        <w:rPr>
          <w:w w:val="105"/>
          <w:sz w:val="21"/>
        </w:rPr>
        <w:t>(2009),</w:t>
      </w:r>
      <w:r>
        <w:rPr>
          <w:spacing w:val="-14"/>
          <w:w w:val="105"/>
          <w:sz w:val="21"/>
        </w:rPr>
        <w:t> </w:t>
      </w:r>
      <w:r>
        <w:rPr>
          <w:w w:val="105"/>
          <w:sz w:val="21"/>
        </w:rPr>
        <w:t>“Migraciones</w:t>
      </w:r>
      <w:r>
        <w:rPr>
          <w:spacing w:val="-10"/>
          <w:w w:val="105"/>
          <w:sz w:val="21"/>
        </w:rPr>
        <w:t> </w:t>
      </w:r>
      <w:r>
        <w:rPr>
          <w:w w:val="105"/>
          <w:sz w:val="21"/>
        </w:rPr>
        <w:t>y</w:t>
      </w:r>
      <w:r>
        <w:rPr>
          <w:spacing w:val="-10"/>
          <w:w w:val="105"/>
          <w:sz w:val="21"/>
        </w:rPr>
        <w:t> </w:t>
      </w:r>
      <w:r>
        <w:rPr>
          <w:w w:val="105"/>
          <w:sz w:val="21"/>
        </w:rPr>
        <w:t>dinámicas</w:t>
      </w:r>
      <w:r>
        <w:rPr>
          <w:spacing w:val="-10"/>
          <w:w w:val="105"/>
          <w:sz w:val="21"/>
        </w:rPr>
        <w:t> </w:t>
      </w:r>
      <w:r>
        <w:rPr>
          <w:w w:val="105"/>
          <w:sz w:val="21"/>
        </w:rPr>
        <w:t>territoriales”,</w:t>
      </w:r>
      <w:r>
        <w:rPr>
          <w:spacing w:val="-14"/>
          <w:w w:val="105"/>
          <w:sz w:val="21"/>
        </w:rPr>
        <w:t> </w:t>
      </w:r>
      <w:r>
        <w:rPr>
          <w:w w:val="105"/>
          <w:sz w:val="21"/>
        </w:rPr>
        <w:t>en</w:t>
      </w:r>
      <w:r>
        <w:rPr>
          <w:spacing w:val="-10"/>
          <w:w w:val="105"/>
          <w:sz w:val="21"/>
        </w:rPr>
        <w:t> </w:t>
      </w:r>
      <w:r>
        <w:rPr>
          <w:w w:val="105"/>
          <w:sz w:val="21"/>
        </w:rPr>
        <w:t>Ga- briela</w:t>
      </w:r>
      <w:r>
        <w:rPr>
          <w:spacing w:val="-42"/>
          <w:w w:val="105"/>
          <w:sz w:val="21"/>
        </w:rPr>
        <w:t> </w:t>
      </w:r>
      <w:r>
        <w:rPr>
          <w:w w:val="105"/>
          <w:sz w:val="21"/>
        </w:rPr>
        <w:t>Cano</w:t>
      </w:r>
      <w:r>
        <w:rPr>
          <w:spacing w:val="-42"/>
          <w:w w:val="105"/>
          <w:sz w:val="21"/>
        </w:rPr>
        <w:t> </w:t>
      </w:r>
      <w:r>
        <w:rPr>
          <w:w w:val="105"/>
          <w:sz w:val="21"/>
        </w:rPr>
        <w:t>Salazar</w:t>
      </w:r>
      <w:r>
        <w:rPr>
          <w:spacing w:val="-42"/>
          <w:w w:val="105"/>
          <w:sz w:val="21"/>
        </w:rPr>
        <w:t> </w:t>
      </w:r>
      <w:r>
        <w:rPr>
          <w:w w:val="105"/>
          <w:sz w:val="21"/>
        </w:rPr>
        <w:t>(ed.),</w:t>
      </w:r>
      <w:r>
        <w:rPr>
          <w:spacing w:val="-45"/>
          <w:w w:val="105"/>
          <w:sz w:val="21"/>
        </w:rPr>
        <w:t> </w:t>
      </w:r>
      <w:r>
        <w:rPr>
          <w:rFonts w:ascii="Arial" w:hAnsi="Arial"/>
          <w:i/>
          <w:w w:val="105"/>
          <w:sz w:val="21"/>
        </w:rPr>
        <w:t>Migraciones</w:t>
      </w:r>
      <w:r>
        <w:rPr>
          <w:rFonts w:ascii="Arial" w:hAnsi="Arial"/>
          <w:i/>
          <w:spacing w:val="-45"/>
          <w:w w:val="105"/>
          <w:sz w:val="21"/>
        </w:rPr>
        <w:t> </w:t>
      </w:r>
      <w:r>
        <w:rPr>
          <w:rFonts w:ascii="Arial" w:hAnsi="Arial"/>
          <w:i/>
          <w:w w:val="105"/>
          <w:sz w:val="21"/>
        </w:rPr>
        <w:t>contemporáneas:</w:t>
      </w:r>
      <w:r>
        <w:rPr>
          <w:rFonts w:ascii="Arial" w:hAnsi="Arial"/>
          <w:i/>
          <w:spacing w:val="-45"/>
          <w:w w:val="105"/>
          <w:sz w:val="21"/>
        </w:rPr>
        <w:t> </w:t>
      </w:r>
      <w:r>
        <w:rPr>
          <w:rFonts w:ascii="Arial" w:hAnsi="Arial"/>
          <w:i/>
          <w:w w:val="105"/>
          <w:sz w:val="21"/>
        </w:rPr>
        <w:t>contribu- </w:t>
      </w:r>
      <w:r>
        <w:rPr>
          <w:rFonts w:ascii="Arial" w:hAnsi="Arial"/>
          <w:i/>
          <w:sz w:val="21"/>
        </w:rPr>
        <w:t>ción</w:t>
      </w:r>
      <w:r>
        <w:rPr>
          <w:rFonts w:ascii="Arial" w:hAnsi="Arial"/>
          <w:i/>
          <w:spacing w:val="-11"/>
          <w:sz w:val="21"/>
        </w:rPr>
        <w:t> </w:t>
      </w:r>
      <w:r>
        <w:rPr>
          <w:rFonts w:ascii="Arial" w:hAnsi="Arial"/>
          <w:i/>
          <w:sz w:val="21"/>
        </w:rPr>
        <w:t>al</w:t>
      </w:r>
      <w:r>
        <w:rPr>
          <w:rFonts w:ascii="Arial" w:hAnsi="Arial"/>
          <w:i/>
          <w:spacing w:val="-11"/>
          <w:sz w:val="21"/>
        </w:rPr>
        <w:t> </w:t>
      </w:r>
      <w:r>
        <w:rPr>
          <w:rFonts w:ascii="Arial" w:hAnsi="Arial"/>
          <w:i/>
          <w:sz w:val="21"/>
        </w:rPr>
        <w:t>debate,</w:t>
      </w:r>
      <w:r>
        <w:rPr>
          <w:rFonts w:ascii="Arial" w:hAnsi="Arial"/>
          <w:i/>
          <w:spacing w:val="-11"/>
          <w:sz w:val="21"/>
        </w:rPr>
        <w:t> </w:t>
      </w:r>
      <w:r>
        <w:rPr>
          <w:sz w:val="21"/>
        </w:rPr>
        <w:t>La</w:t>
      </w:r>
      <w:r>
        <w:rPr>
          <w:spacing w:val="-9"/>
          <w:sz w:val="21"/>
        </w:rPr>
        <w:t> </w:t>
      </w:r>
      <w:r>
        <w:rPr>
          <w:spacing w:val="-4"/>
          <w:sz w:val="21"/>
        </w:rPr>
        <w:t>Paz,</w:t>
      </w:r>
      <w:r>
        <w:rPr>
          <w:spacing w:val="-14"/>
          <w:sz w:val="21"/>
        </w:rPr>
        <w:t> </w:t>
      </w:r>
      <w:r>
        <w:rPr>
          <w:sz w:val="21"/>
        </w:rPr>
        <w:t>Bolivia:</w:t>
      </w:r>
      <w:r>
        <w:rPr>
          <w:spacing w:val="-9"/>
          <w:sz w:val="21"/>
        </w:rPr>
        <w:t> </w:t>
      </w:r>
      <w:r>
        <w:rPr>
          <w:sz w:val="17"/>
        </w:rPr>
        <w:t>CIDES-UMSA</w:t>
      </w:r>
      <w:r>
        <w:rPr>
          <w:sz w:val="21"/>
        </w:rPr>
        <w:t>.</w:t>
      </w:r>
    </w:p>
    <w:p>
      <w:pPr>
        <w:spacing w:line="259" w:lineRule="auto" w:before="0"/>
        <w:ind w:left="2574" w:right="1722" w:hanging="738"/>
        <w:jc w:val="both"/>
        <w:rPr>
          <w:sz w:val="21"/>
        </w:rPr>
      </w:pPr>
      <w:r>
        <w:rPr>
          <w:color w:val="231F20"/>
          <w:w w:val="105"/>
          <w:sz w:val="21"/>
        </w:rPr>
        <w:t>Mendoza</w:t>
      </w:r>
      <w:r>
        <w:rPr>
          <w:color w:val="231F20"/>
          <w:spacing w:val="-21"/>
          <w:w w:val="105"/>
          <w:sz w:val="21"/>
        </w:rPr>
        <w:t> </w:t>
      </w:r>
      <w:r>
        <w:rPr>
          <w:color w:val="231F20"/>
          <w:w w:val="105"/>
          <w:sz w:val="21"/>
        </w:rPr>
        <w:t>Cota,</w:t>
      </w:r>
      <w:r>
        <w:rPr>
          <w:color w:val="231F20"/>
          <w:spacing w:val="-27"/>
          <w:w w:val="105"/>
          <w:sz w:val="21"/>
        </w:rPr>
        <w:t> </w:t>
      </w:r>
      <w:r>
        <w:rPr>
          <w:color w:val="231F20"/>
          <w:w w:val="105"/>
          <w:sz w:val="21"/>
        </w:rPr>
        <w:t>Jorge</w:t>
      </w:r>
      <w:r>
        <w:rPr>
          <w:color w:val="231F20"/>
          <w:spacing w:val="-21"/>
          <w:w w:val="105"/>
          <w:sz w:val="21"/>
        </w:rPr>
        <w:t> </w:t>
      </w:r>
      <w:r>
        <w:rPr>
          <w:color w:val="231F20"/>
          <w:w w:val="105"/>
          <w:sz w:val="21"/>
        </w:rPr>
        <w:t>Eduardo,</w:t>
      </w:r>
      <w:r>
        <w:rPr>
          <w:color w:val="231F20"/>
          <w:spacing w:val="-25"/>
          <w:w w:val="105"/>
          <w:sz w:val="21"/>
        </w:rPr>
        <w:t> </w:t>
      </w:r>
      <w:r>
        <w:rPr>
          <w:color w:val="231F20"/>
          <w:w w:val="105"/>
          <w:sz w:val="21"/>
        </w:rPr>
        <w:t>(2014),</w:t>
      </w:r>
      <w:r>
        <w:rPr>
          <w:color w:val="231F20"/>
          <w:spacing w:val="-25"/>
          <w:w w:val="105"/>
          <w:sz w:val="21"/>
        </w:rPr>
        <w:t> </w:t>
      </w:r>
      <w:r>
        <w:rPr>
          <w:rFonts w:ascii="Arial" w:hAnsi="Arial"/>
          <w:i/>
          <w:color w:val="231F20"/>
          <w:w w:val="105"/>
          <w:sz w:val="21"/>
        </w:rPr>
        <w:t>Cambios</w:t>
      </w:r>
      <w:r>
        <w:rPr>
          <w:rFonts w:ascii="Arial" w:hAnsi="Arial"/>
          <w:i/>
          <w:color w:val="231F20"/>
          <w:spacing w:val="-23"/>
          <w:w w:val="105"/>
          <w:sz w:val="21"/>
        </w:rPr>
        <w:t> </w:t>
      </w:r>
      <w:r>
        <w:rPr>
          <w:rFonts w:ascii="Arial" w:hAnsi="Arial"/>
          <w:i/>
          <w:color w:val="231F20"/>
          <w:w w:val="105"/>
          <w:sz w:val="21"/>
        </w:rPr>
        <w:t>en</w:t>
      </w:r>
      <w:r>
        <w:rPr>
          <w:rFonts w:ascii="Arial" w:hAnsi="Arial"/>
          <w:i/>
          <w:color w:val="231F20"/>
          <w:spacing w:val="-23"/>
          <w:w w:val="105"/>
          <w:sz w:val="21"/>
        </w:rPr>
        <w:t> </w:t>
      </w:r>
      <w:r>
        <w:rPr>
          <w:rFonts w:ascii="Arial" w:hAnsi="Arial"/>
          <w:i/>
          <w:color w:val="231F20"/>
          <w:w w:val="105"/>
          <w:sz w:val="21"/>
        </w:rPr>
        <w:t>los</w:t>
      </w:r>
      <w:r>
        <w:rPr>
          <w:rFonts w:ascii="Arial" w:hAnsi="Arial"/>
          <w:i/>
          <w:color w:val="231F20"/>
          <w:spacing w:val="-23"/>
          <w:w w:val="105"/>
          <w:sz w:val="21"/>
        </w:rPr>
        <w:t> </w:t>
      </w:r>
      <w:r>
        <w:rPr>
          <w:rFonts w:ascii="Arial" w:hAnsi="Arial"/>
          <w:i/>
          <w:color w:val="231F20"/>
          <w:w w:val="105"/>
          <w:sz w:val="21"/>
        </w:rPr>
        <w:t>flujos</w:t>
      </w:r>
      <w:r>
        <w:rPr>
          <w:rFonts w:ascii="Arial" w:hAnsi="Arial"/>
          <w:i/>
          <w:color w:val="231F20"/>
          <w:spacing w:val="-23"/>
          <w:w w:val="105"/>
          <w:sz w:val="21"/>
        </w:rPr>
        <w:t> </w:t>
      </w:r>
      <w:r>
        <w:rPr>
          <w:rFonts w:ascii="Arial" w:hAnsi="Arial"/>
          <w:i/>
          <w:color w:val="231F20"/>
          <w:w w:val="105"/>
          <w:sz w:val="21"/>
        </w:rPr>
        <w:t>migratorios </w:t>
      </w:r>
      <w:r>
        <w:rPr>
          <w:rFonts w:ascii="Arial" w:hAnsi="Arial"/>
          <w:i/>
          <w:color w:val="231F20"/>
          <w:w w:val="105"/>
          <w:sz w:val="21"/>
        </w:rPr>
        <w:t>de</w:t>
      </w:r>
      <w:r>
        <w:rPr>
          <w:rFonts w:ascii="Arial" w:hAnsi="Arial"/>
          <w:i/>
          <w:color w:val="231F20"/>
          <w:spacing w:val="-29"/>
          <w:w w:val="105"/>
          <w:sz w:val="21"/>
        </w:rPr>
        <w:t> </w:t>
      </w:r>
      <w:r>
        <w:rPr>
          <w:rFonts w:ascii="Arial" w:hAnsi="Arial"/>
          <w:i/>
          <w:color w:val="231F20"/>
          <w:w w:val="105"/>
          <w:sz w:val="21"/>
        </w:rPr>
        <w:t>México:</w:t>
      </w:r>
      <w:r>
        <w:rPr>
          <w:rFonts w:ascii="Arial" w:hAnsi="Arial"/>
          <w:i/>
          <w:color w:val="231F20"/>
          <w:spacing w:val="-29"/>
          <w:w w:val="105"/>
          <w:sz w:val="21"/>
        </w:rPr>
        <w:t> </w:t>
      </w:r>
      <w:r>
        <w:rPr>
          <w:rFonts w:ascii="Arial" w:hAnsi="Arial"/>
          <w:i/>
          <w:color w:val="231F20"/>
          <w:w w:val="105"/>
          <w:sz w:val="21"/>
        </w:rPr>
        <w:t>Un</w:t>
      </w:r>
      <w:r>
        <w:rPr>
          <w:rFonts w:ascii="Arial" w:hAnsi="Arial"/>
          <w:i/>
          <w:color w:val="231F20"/>
          <w:spacing w:val="-29"/>
          <w:w w:val="105"/>
          <w:sz w:val="21"/>
        </w:rPr>
        <w:t> </w:t>
      </w:r>
      <w:r>
        <w:rPr>
          <w:rFonts w:ascii="Arial" w:hAnsi="Arial"/>
          <w:i/>
          <w:color w:val="231F20"/>
          <w:w w:val="105"/>
          <w:sz w:val="21"/>
        </w:rPr>
        <w:t>enfoque</w:t>
      </w:r>
      <w:r>
        <w:rPr>
          <w:rFonts w:ascii="Arial" w:hAnsi="Arial"/>
          <w:i/>
          <w:color w:val="231F20"/>
          <w:spacing w:val="-29"/>
          <w:w w:val="105"/>
          <w:sz w:val="21"/>
        </w:rPr>
        <w:t> </w:t>
      </w:r>
      <w:r>
        <w:rPr>
          <w:rFonts w:ascii="Arial" w:hAnsi="Arial"/>
          <w:i/>
          <w:color w:val="231F20"/>
          <w:w w:val="105"/>
          <w:sz w:val="21"/>
        </w:rPr>
        <w:t>económico</w:t>
      </w:r>
      <w:r>
        <w:rPr>
          <w:color w:val="231F20"/>
          <w:w w:val="105"/>
          <w:sz w:val="21"/>
        </w:rPr>
        <w:t>,</w:t>
      </w:r>
      <w:r>
        <w:rPr>
          <w:color w:val="231F20"/>
          <w:spacing w:val="-34"/>
          <w:w w:val="105"/>
          <w:sz w:val="21"/>
        </w:rPr>
        <w:t> </w:t>
      </w:r>
      <w:r>
        <w:rPr>
          <w:color w:val="231F20"/>
          <w:w w:val="105"/>
          <w:sz w:val="21"/>
        </w:rPr>
        <w:t>Tijuana,</w:t>
      </w:r>
      <w:r>
        <w:rPr>
          <w:color w:val="231F20"/>
          <w:spacing w:val="-31"/>
          <w:w w:val="105"/>
          <w:sz w:val="21"/>
        </w:rPr>
        <w:t> </w:t>
      </w:r>
      <w:r>
        <w:rPr>
          <w:color w:val="231F20"/>
          <w:w w:val="105"/>
          <w:sz w:val="21"/>
        </w:rPr>
        <w:t>México:</w:t>
      </w:r>
      <w:r>
        <w:rPr>
          <w:color w:val="231F20"/>
          <w:spacing w:val="-27"/>
          <w:w w:val="105"/>
          <w:sz w:val="21"/>
        </w:rPr>
        <w:t> </w:t>
      </w:r>
      <w:r>
        <w:rPr>
          <w:color w:val="231F20"/>
          <w:w w:val="105"/>
          <w:sz w:val="17"/>
        </w:rPr>
        <w:t>COLEF</w:t>
      </w:r>
      <w:r>
        <w:rPr>
          <w:color w:val="231F20"/>
          <w:w w:val="105"/>
          <w:sz w:val="21"/>
        </w:rPr>
        <w:t>.</w:t>
      </w:r>
    </w:p>
    <w:p>
      <w:pPr>
        <w:spacing w:line="259" w:lineRule="auto" w:before="0"/>
        <w:ind w:left="2574" w:right="1722" w:hanging="738"/>
        <w:jc w:val="both"/>
        <w:rPr>
          <w:sz w:val="21"/>
        </w:rPr>
      </w:pPr>
      <w:r>
        <w:rPr>
          <w:color w:val="231F20"/>
          <w:sz w:val="21"/>
        </w:rPr>
        <w:t>Montes de Oca, Verónica, (1995), </w:t>
      </w:r>
      <w:r>
        <w:rPr>
          <w:rFonts w:ascii="Arial" w:hAnsi="Arial"/>
          <w:i/>
          <w:color w:val="231F20"/>
          <w:sz w:val="21"/>
        </w:rPr>
        <w:t>Envejecimiento en México. Condición </w:t>
      </w:r>
      <w:r>
        <w:rPr>
          <w:rFonts w:ascii="Arial" w:hAnsi="Arial"/>
          <w:i/>
          <w:color w:val="231F20"/>
          <w:sz w:val="21"/>
        </w:rPr>
        <w:t>social y participación económica de la población con 65 años y más en la ciudad de México </w:t>
      </w:r>
      <w:r>
        <w:rPr>
          <w:color w:val="231F20"/>
          <w:sz w:val="21"/>
        </w:rPr>
        <w:t>(Tesis de maestría), </w:t>
      </w:r>
      <w:r>
        <w:rPr>
          <w:color w:val="231F20"/>
          <w:sz w:val="17"/>
        </w:rPr>
        <w:t>COLMEX</w:t>
      </w:r>
      <w:r>
        <w:rPr>
          <w:color w:val="231F20"/>
          <w:sz w:val="21"/>
        </w:rPr>
        <w:t>, México.</w:t>
      </w:r>
    </w:p>
    <w:p>
      <w:pPr>
        <w:pStyle w:val="BodyText"/>
        <w:spacing w:line="259" w:lineRule="auto"/>
        <w:ind w:left="2574" w:right="1722" w:hanging="737"/>
        <w:jc w:val="both"/>
      </w:pPr>
      <w:r>
        <w:rPr>
          <w:color w:val="231F20"/>
          <w:w w:val="105"/>
        </w:rPr>
        <w:t>Organización</w:t>
      </w:r>
      <w:r>
        <w:rPr>
          <w:color w:val="231F20"/>
          <w:spacing w:val="-17"/>
          <w:w w:val="105"/>
        </w:rPr>
        <w:t> </w:t>
      </w:r>
      <w:r>
        <w:rPr>
          <w:color w:val="231F20"/>
          <w:w w:val="105"/>
        </w:rPr>
        <w:t>Internacional</w:t>
      </w:r>
      <w:r>
        <w:rPr>
          <w:color w:val="231F20"/>
          <w:spacing w:val="-17"/>
          <w:w w:val="105"/>
        </w:rPr>
        <w:t> </w:t>
      </w:r>
      <w:r>
        <w:rPr>
          <w:color w:val="231F20"/>
          <w:w w:val="105"/>
        </w:rPr>
        <w:t>para</w:t>
      </w:r>
      <w:r>
        <w:rPr>
          <w:color w:val="231F20"/>
          <w:spacing w:val="-17"/>
          <w:w w:val="105"/>
        </w:rPr>
        <w:t> </w:t>
      </w:r>
      <w:r>
        <w:rPr>
          <w:color w:val="231F20"/>
          <w:w w:val="105"/>
        </w:rPr>
        <w:t>las</w:t>
      </w:r>
      <w:r>
        <w:rPr>
          <w:color w:val="231F20"/>
          <w:spacing w:val="-17"/>
          <w:w w:val="105"/>
        </w:rPr>
        <w:t> </w:t>
      </w:r>
      <w:r>
        <w:rPr>
          <w:color w:val="231F20"/>
          <w:w w:val="105"/>
        </w:rPr>
        <w:t>Migraciones</w:t>
      </w:r>
      <w:r>
        <w:rPr>
          <w:color w:val="231F20"/>
          <w:spacing w:val="-17"/>
          <w:w w:val="105"/>
        </w:rPr>
        <w:t> </w:t>
      </w:r>
      <w:r>
        <w:rPr>
          <w:color w:val="231F20"/>
          <w:w w:val="105"/>
        </w:rPr>
        <w:t>(</w:t>
      </w:r>
      <w:r>
        <w:rPr>
          <w:color w:val="231F20"/>
          <w:w w:val="105"/>
          <w:sz w:val="17"/>
        </w:rPr>
        <w:t>OIM</w:t>
      </w:r>
      <w:r>
        <w:rPr>
          <w:color w:val="231F20"/>
          <w:w w:val="105"/>
        </w:rPr>
        <w:t>),</w:t>
      </w:r>
      <w:r>
        <w:rPr>
          <w:color w:val="231F20"/>
          <w:spacing w:val="-21"/>
          <w:w w:val="105"/>
        </w:rPr>
        <w:t> </w:t>
      </w:r>
      <w:r>
        <w:rPr>
          <w:color w:val="231F20"/>
          <w:w w:val="105"/>
        </w:rPr>
        <w:t>(2014),</w:t>
      </w:r>
      <w:r>
        <w:rPr>
          <w:color w:val="231F20"/>
          <w:spacing w:val="-21"/>
          <w:w w:val="105"/>
        </w:rPr>
        <w:t> </w:t>
      </w:r>
      <w:r>
        <w:rPr>
          <w:rFonts w:ascii="Arial" w:hAnsi="Arial"/>
          <w:i/>
          <w:color w:val="231F20"/>
          <w:w w:val="105"/>
        </w:rPr>
        <w:t>Hechos</w:t>
      </w:r>
      <w:r>
        <w:rPr>
          <w:rFonts w:ascii="Arial" w:hAnsi="Arial"/>
          <w:i/>
          <w:color w:val="231F20"/>
          <w:spacing w:val="-19"/>
          <w:w w:val="105"/>
        </w:rPr>
        <w:t> </w:t>
      </w:r>
      <w:r>
        <w:rPr>
          <w:rFonts w:ascii="Arial" w:hAnsi="Arial"/>
          <w:i/>
          <w:color w:val="231F20"/>
          <w:w w:val="105"/>
        </w:rPr>
        <w:t>y </w:t>
      </w:r>
      <w:r>
        <w:rPr>
          <w:rFonts w:ascii="Arial" w:hAnsi="Arial"/>
          <w:i/>
          <w:color w:val="231F20"/>
          <w:w w:val="105"/>
        </w:rPr>
        <w:t>cifras</w:t>
      </w:r>
      <w:r>
        <w:rPr>
          <w:rFonts w:ascii="Arial" w:hAnsi="Arial"/>
          <w:i/>
          <w:color w:val="231F20"/>
          <w:spacing w:val="-24"/>
          <w:w w:val="105"/>
        </w:rPr>
        <w:t> </w:t>
      </w:r>
      <w:r>
        <w:rPr>
          <w:rFonts w:ascii="Arial" w:hAnsi="Arial"/>
          <w:i/>
          <w:color w:val="231F20"/>
          <w:w w:val="105"/>
        </w:rPr>
        <w:t>(2014)</w:t>
      </w:r>
      <w:r>
        <w:rPr>
          <w:color w:val="231F20"/>
          <w:w w:val="105"/>
        </w:rPr>
        <w:t>,</w:t>
      </w:r>
      <w:r>
        <w:rPr>
          <w:color w:val="231F20"/>
          <w:spacing w:val="-26"/>
          <w:w w:val="105"/>
        </w:rPr>
        <w:t> </w:t>
      </w:r>
      <w:r>
        <w:rPr>
          <w:color w:val="231F20"/>
          <w:w w:val="105"/>
        </w:rPr>
        <w:t>recuperado</w:t>
      </w:r>
      <w:r>
        <w:rPr>
          <w:color w:val="231F20"/>
          <w:spacing w:val="-21"/>
          <w:w w:val="105"/>
        </w:rPr>
        <w:t> </w:t>
      </w:r>
      <w:r>
        <w:rPr>
          <w:color w:val="231F20"/>
          <w:w w:val="105"/>
        </w:rPr>
        <w:t>de</w:t>
      </w:r>
      <w:r>
        <w:rPr>
          <w:color w:val="231F20"/>
          <w:spacing w:val="-21"/>
          <w:w w:val="105"/>
        </w:rPr>
        <w:t> </w:t>
      </w:r>
      <w:hyperlink r:id="rId298">
        <w:r>
          <w:rPr>
            <w:color w:val="231F20"/>
            <w:w w:val="105"/>
          </w:rPr>
          <w:t>http://oim.org.mx/hechos-y-cifras-2</w:t>
        </w:r>
      </w:hyperlink>
    </w:p>
    <w:p>
      <w:pPr>
        <w:spacing w:line="261" w:lineRule="auto" w:before="3"/>
        <w:ind w:left="2574" w:right="1721" w:hanging="738"/>
        <w:jc w:val="both"/>
        <w:rPr>
          <w:sz w:val="21"/>
        </w:rPr>
      </w:pPr>
      <w:r>
        <w:rPr>
          <w:color w:val="231F20"/>
          <w:w w:val="105"/>
          <w:sz w:val="21"/>
        </w:rPr>
        <w:t>Román Reyes, Patricia, (2012) “La encuesta sobre migración de mexi- quenses</w:t>
      </w:r>
      <w:r>
        <w:rPr>
          <w:color w:val="231F20"/>
          <w:spacing w:val="-15"/>
          <w:w w:val="105"/>
          <w:sz w:val="21"/>
        </w:rPr>
        <w:t> </w:t>
      </w:r>
      <w:r>
        <w:rPr>
          <w:color w:val="231F20"/>
          <w:w w:val="105"/>
          <w:sz w:val="21"/>
        </w:rPr>
        <w:t>a</w:t>
      </w:r>
      <w:r>
        <w:rPr>
          <w:color w:val="231F20"/>
          <w:spacing w:val="-15"/>
          <w:w w:val="105"/>
          <w:sz w:val="21"/>
        </w:rPr>
        <w:t> </w:t>
      </w:r>
      <w:r>
        <w:rPr>
          <w:color w:val="231F20"/>
          <w:w w:val="105"/>
          <w:sz w:val="21"/>
        </w:rPr>
        <w:t>Estados</w:t>
      </w:r>
      <w:r>
        <w:rPr>
          <w:color w:val="231F20"/>
          <w:spacing w:val="-15"/>
          <w:w w:val="105"/>
          <w:sz w:val="21"/>
        </w:rPr>
        <w:t> </w:t>
      </w:r>
      <w:r>
        <w:rPr>
          <w:color w:val="231F20"/>
          <w:w w:val="105"/>
          <w:sz w:val="21"/>
        </w:rPr>
        <w:t>Unidos</w:t>
      </w:r>
      <w:r>
        <w:rPr>
          <w:color w:val="231F20"/>
          <w:spacing w:val="-15"/>
          <w:w w:val="105"/>
          <w:sz w:val="21"/>
        </w:rPr>
        <w:t> </w:t>
      </w:r>
      <w:r>
        <w:rPr>
          <w:color w:val="231F20"/>
          <w:w w:val="105"/>
          <w:sz w:val="21"/>
        </w:rPr>
        <w:t>EMMEU</w:t>
      </w:r>
      <w:r>
        <w:rPr>
          <w:color w:val="231F20"/>
          <w:spacing w:val="-15"/>
          <w:w w:val="105"/>
          <w:sz w:val="21"/>
        </w:rPr>
        <w:t> </w:t>
      </w:r>
      <w:r>
        <w:rPr>
          <w:color w:val="231F20"/>
          <w:spacing w:val="-5"/>
          <w:w w:val="105"/>
          <w:sz w:val="21"/>
        </w:rPr>
        <w:t>2009”,</w:t>
      </w:r>
      <w:r>
        <w:rPr>
          <w:color w:val="231F20"/>
          <w:spacing w:val="-19"/>
          <w:w w:val="105"/>
          <w:sz w:val="21"/>
        </w:rPr>
        <w:t> </w:t>
      </w:r>
      <w:r>
        <w:rPr>
          <w:color w:val="231F20"/>
          <w:w w:val="105"/>
          <w:sz w:val="21"/>
        </w:rPr>
        <w:t>en</w:t>
      </w:r>
      <w:r>
        <w:rPr>
          <w:color w:val="231F20"/>
          <w:spacing w:val="-16"/>
          <w:w w:val="105"/>
          <w:sz w:val="21"/>
        </w:rPr>
        <w:t> </w:t>
      </w:r>
      <w:r>
        <w:rPr>
          <w:color w:val="231F20"/>
          <w:w w:val="105"/>
          <w:sz w:val="21"/>
        </w:rPr>
        <w:t>Juan</w:t>
      </w:r>
      <w:r>
        <w:rPr>
          <w:color w:val="231F20"/>
          <w:spacing w:val="-15"/>
          <w:w w:val="105"/>
          <w:sz w:val="21"/>
        </w:rPr>
        <w:t> </w:t>
      </w:r>
      <w:r>
        <w:rPr>
          <w:color w:val="231F20"/>
          <w:w w:val="105"/>
          <w:sz w:val="21"/>
        </w:rPr>
        <w:t>Gabino</w:t>
      </w:r>
      <w:r>
        <w:rPr>
          <w:color w:val="231F20"/>
          <w:spacing w:val="-15"/>
          <w:w w:val="105"/>
          <w:sz w:val="21"/>
        </w:rPr>
        <w:t> </w:t>
      </w:r>
      <w:r>
        <w:rPr>
          <w:color w:val="231F20"/>
          <w:w w:val="105"/>
          <w:sz w:val="21"/>
        </w:rPr>
        <w:t>Gon- zález Becerril y Bernardino Montoya Arce (comps.), </w:t>
      </w:r>
      <w:r>
        <w:rPr>
          <w:rFonts w:ascii="Arial" w:hAnsi="Arial"/>
          <w:i/>
          <w:color w:val="231F20"/>
          <w:w w:val="105"/>
          <w:sz w:val="21"/>
        </w:rPr>
        <w:t>Migración </w:t>
      </w:r>
      <w:r>
        <w:rPr>
          <w:rFonts w:ascii="Arial" w:hAnsi="Arial"/>
          <w:i/>
          <w:color w:val="231F20"/>
          <w:w w:val="105"/>
          <w:sz w:val="21"/>
        </w:rPr>
        <w:t>mexiquense</w:t>
      </w:r>
      <w:r>
        <w:rPr>
          <w:rFonts w:ascii="Arial" w:hAnsi="Arial"/>
          <w:i/>
          <w:color w:val="231F20"/>
          <w:spacing w:val="-29"/>
          <w:w w:val="105"/>
          <w:sz w:val="21"/>
        </w:rPr>
        <w:t> </w:t>
      </w:r>
      <w:r>
        <w:rPr>
          <w:rFonts w:ascii="Arial" w:hAnsi="Arial"/>
          <w:i/>
          <w:color w:val="231F20"/>
          <w:w w:val="105"/>
          <w:sz w:val="21"/>
        </w:rPr>
        <w:t>a</w:t>
      </w:r>
      <w:r>
        <w:rPr>
          <w:rFonts w:ascii="Arial" w:hAnsi="Arial"/>
          <w:i/>
          <w:color w:val="231F20"/>
          <w:spacing w:val="-29"/>
          <w:w w:val="105"/>
          <w:sz w:val="21"/>
        </w:rPr>
        <w:t> </w:t>
      </w:r>
      <w:r>
        <w:rPr>
          <w:rFonts w:ascii="Arial" w:hAnsi="Arial"/>
          <w:i/>
          <w:color w:val="231F20"/>
          <w:w w:val="105"/>
          <w:sz w:val="21"/>
        </w:rPr>
        <w:t>Estados</w:t>
      </w:r>
      <w:r>
        <w:rPr>
          <w:rFonts w:ascii="Arial" w:hAnsi="Arial"/>
          <w:i/>
          <w:color w:val="231F20"/>
          <w:spacing w:val="-29"/>
          <w:w w:val="105"/>
          <w:sz w:val="21"/>
        </w:rPr>
        <w:t> </w:t>
      </w:r>
      <w:r>
        <w:rPr>
          <w:rFonts w:ascii="Arial" w:hAnsi="Arial"/>
          <w:i/>
          <w:color w:val="231F20"/>
          <w:w w:val="105"/>
          <w:sz w:val="21"/>
        </w:rPr>
        <w:t>Unidos:</w:t>
      </w:r>
      <w:r>
        <w:rPr>
          <w:rFonts w:ascii="Arial" w:hAnsi="Arial"/>
          <w:i/>
          <w:color w:val="231F20"/>
          <w:spacing w:val="-29"/>
          <w:w w:val="105"/>
          <w:sz w:val="21"/>
        </w:rPr>
        <w:t> </w:t>
      </w:r>
      <w:r>
        <w:rPr>
          <w:rFonts w:ascii="Arial" w:hAnsi="Arial"/>
          <w:i/>
          <w:color w:val="231F20"/>
          <w:w w:val="105"/>
          <w:sz w:val="21"/>
        </w:rPr>
        <w:t>un</w:t>
      </w:r>
      <w:r>
        <w:rPr>
          <w:rFonts w:ascii="Arial" w:hAnsi="Arial"/>
          <w:i/>
          <w:color w:val="231F20"/>
          <w:spacing w:val="-29"/>
          <w:w w:val="105"/>
          <w:sz w:val="21"/>
        </w:rPr>
        <w:t> </w:t>
      </w:r>
      <w:r>
        <w:rPr>
          <w:rFonts w:ascii="Arial" w:hAnsi="Arial"/>
          <w:i/>
          <w:color w:val="231F20"/>
          <w:w w:val="105"/>
          <w:sz w:val="21"/>
        </w:rPr>
        <w:t>análisis</w:t>
      </w:r>
      <w:r>
        <w:rPr>
          <w:rFonts w:ascii="Arial" w:hAnsi="Arial"/>
          <w:i/>
          <w:color w:val="231F20"/>
          <w:spacing w:val="-29"/>
          <w:w w:val="105"/>
          <w:sz w:val="21"/>
        </w:rPr>
        <w:t> </w:t>
      </w:r>
      <w:r>
        <w:rPr>
          <w:rFonts w:ascii="Arial" w:hAnsi="Arial"/>
          <w:i/>
          <w:color w:val="231F20"/>
          <w:w w:val="105"/>
          <w:sz w:val="21"/>
        </w:rPr>
        <w:t>interdisciplinario</w:t>
      </w:r>
      <w:r>
        <w:rPr>
          <w:color w:val="231F20"/>
          <w:w w:val="105"/>
          <w:sz w:val="21"/>
        </w:rPr>
        <w:t>,</w:t>
      </w:r>
      <w:r>
        <w:rPr>
          <w:color w:val="231F20"/>
          <w:spacing w:val="-33"/>
          <w:w w:val="105"/>
          <w:sz w:val="21"/>
        </w:rPr>
        <w:t> </w:t>
      </w:r>
      <w:r>
        <w:rPr>
          <w:color w:val="231F20"/>
          <w:spacing w:val="-5"/>
          <w:w w:val="105"/>
          <w:sz w:val="21"/>
        </w:rPr>
        <w:t>Tolu- </w:t>
      </w:r>
      <w:r>
        <w:rPr>
          <w:color w:val="231F20"/>
          <w:w w:val="105"/>
          <w:sz w:val="21"/>
        </w:rPr>
        <w:t>ca,</w:t>
      </w:r>
      <w:r>
        <w:rPr>
          <w:color w:val="231F20"/>
          <w:spacing w:val="-43"/>
          <w:w w:val="105"/>
          <w:sz w:val="21"/>
        </w:rPr>
        <w:t> </w:t>
      </w:r>
      <w:r>
        <w:rPr>
          <w:color w:val="231F20"/>
          <w:w w:val="105"/>
          <w:sz w:val="21"/>
        </w:rPr>
        <w:t>México:</w:t>
      </w:r>
      <w:r>
        <w:rPr>
          <w:color w:val="231F20"/>
          <w:spacing w:val="-41"/>
          <w:w w:val="105"/>
          <w:sz w:val="21"/>
        </w:rPr>
        <w:t> </w:t>
      </w:r>
      <w:r>
        <w:rPr>
          <w:color w:val="231F20"/>
          <w:w w:val="105"/>
          <w:sz w:val="17"/>
        </w:rPr>
        <w:t>UAEM</w:t>
      </w:r>
      <w:r>
        <w:rPr>
          <w:color w:val="231F20"/>
          <w:w w:val="105"/>
          <w:sz w:val="21"/>
        </w:rPr>
        <w:t>.</w:t>
      </w:r>
    </w:p>
    <w:p>
      <w:pPr>
        <w:spacing w:after="0" w:line="261" w:lineRule="auto"/>
        <w:jc w:val="both"/>
        <w:rPr>
          <w:sz w:val="21"/>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spacing w:line="259" w:lineRule="auto" w:before="60"/>
        <w:ind w:left="2461" w:right="1835" w:hanging="738"/>
        <w:jc w:val="both"/>
        <w:rPr>
          <w:sz w:val="21"/>
        </w:rPr>
      </w:pPr>
      <w:r>
        <w:rPr>
          <w:color w:val="231F20"/>
          <w:w w:val="105"/>
          <w:sz w:val="21"/>
        </w:rPr>
        <w:t>Solís</w:t>
      </w:r>
      <w:r>
        <w:rPr>
          <w:color w:val="231F20"/>
          <w:spacing w:val="-14"/>
          <w:w w:val="105"/>
          <w:sz w:val="21"/>
        </w:rPr>
        <w:t> </w:t>
      </w:r>
      <w:r>
        <w:rPr>
          <w:color w:val="231F20"/>
          <w:w w:val="105"/>
          <w:sz w:val="21"/>
        </w:rPr>
        <w:t>Gutiérrez,</w:t>
      </w:r>
      <w:r>
        <w:rPr>
          <w:color w:val="231F20"/>
          <w:spacing w:val="-19"/>
          <w:w w:val="105"/>
          <w:sz w:val="21"/>
        </w:rPr>
        <w:t> </w:t>
      </w:r>
      <w:r>
        <w:rPr>
          <w:color w:val="231F20"/>
          <w:spacing w:val="-3"/>
          <w:w w:val="105"/>
          <w:sz w:val="21"/>
        </w:rPr>
        <w:t>Patricio,</w:t>
      </w:r>
      <w:r>
        <w:rPr>
          <w:color w:val="231F20"/>
          <w:spacing w:val="-19"/>
          <w:w w:val="105"/>
          <w:sz w:val="21"/>
        </w:rPr>
        <w:t> </w:t>
      </w:r>
      <w:r>
        <w:rPr>
          <w:color w:val="231F20"/>
          <w:w w:val="105"/>
          <w:sz w:val="21"/>
        </w:rPr>
        <w:t>(2012),</w:t>
      </w:r>
      <w:r>
        <w:rPr>
          <w:color w:val="231F20"/>
          <w:spacing w:val="-19"/>
          <w:w w:val="105"/>
          <w:sz w:val="21"/>
        </w:rPr>
        <w:t> </w:t>
      </w:r>
      <w:r>
        <w:rPr>
          <w:color w:val="231F20"/>
          <w:w w:val="105"/>
          <w:sz w:val="21"/>
        </w:rPr>
        <w:t>“Desigualdad</w:t>
      </w:r>
      <w:r>
        <w:rPr>
          <w:color w:val="231F20"/>
          <w:spacing w:val="-14"/>
          <w:w w:val="105"/>
          <w:sz w:val="21"/>
        </w:rPr>
        <w:t> </w:t>
      </w:r>
      <w:r>
        <w:rPr>
          <w:color w:val="231F20"/>
          <w:w w:val="105"/>
          <w:sz w:val="21"/>
        </w:rPr>
        <w:t>vertical</w:t>
      </w:r>
      <w:r>
        <w:rPr>
          <w:color w:val="231F20"/>
          <w:spacing w:val="-14"/>
          <w:w w:val="105"/>
          <w:sz w:val="21"/>
        </w:rPr>
        <w:t> </w:t>
      </w:r>
      <w:r>
        <w:rPr>
          <w:color w:val="231F20"/>
          <w:w w:val="105"/>
          <w:sz w:val="21"/>
        </w:rPr>
        <w:t>y</w:t>
      </w:r>
      <w:r>
        <w:rPr>
          <w:color w:val="231F20"/>
          <w:spacing w:val="-14"/>
          <w:w w:val="105"/>
          <w:sz w:val="21"/>
        </w:rPr>
        <w:t> </w:t>
      </w:r>
      <w:r>
        <w:rPr>
          <w:color w:val="231F20"/>
          <w:w w:val="105"/>
          <w:sz w:val="21"/>
        </w:rPr>
        <w:t>horizontal</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las transiciones educativas en </w:t>
      </w:r>
      <w:r>
        <w:rPr>
          <w:color w:val="231F20"/>
          <w:spacing w:val="-4"/>
          <w:w w:val="105"/>
          <w:sz w:val="21"/>
        </w:rPr>
        <w:t>México”, </w:t>
      </w:r>
      <w:r>
        <w:rPr>
          <w:rFonts w:ascii="Arial" w:hAnsi="Arial"/>
          <w:i/>
          <w:color w:val="231F20"/>
          <w:w w:val="105"/>
          <w:sz w:val="21"/>
        </w:rPr>
        <w:t>Informe de movilidad</w:t>
      </w:r>
      <w:r>
        <w:rPr>
          <w:rFonts w:ascii="Arial" w:hAnsi="Arial"/>
          <w:i/>
          <w:color w:val="231F20"/>
          <w:spacing w:val="-10"/>
          <w:w w:val="105"/>
          <w:sz w:val="21"/>
        </w:rPr>
        <w:t> </w:t>
      </w:r>
      <w:r>
        <w:rPr>
          <w:rFonts w:ascii="Arial" w:hAnsi="Arial"/>
          <w:i/>
          <w:color w:val="231F20"/>
          <w:w w:val="105"/>
          <w:sz w:val="21"/>
        </w:rPr>
        <w:t>social </w:t>
      </w:r>
      <w:r>
        <w:rPr>
          <w:rFonts w:ascii="Arial" w:hAnsi="Arial"/>
          <w:i/>
          <w:color w:val="231F20"/>
          <w:w w:val="105"/>
          <w:sz w:val="21"/>
        </w:rPr>
        <w:t>en México 2013. Imagina tu futuro</w:t>
      </w:r>
      <w:r>
        <w:rPr>
          <w:color w:val="231F20"/>
          <w:w w:val="105"/>
          <w:sz w:val="21"/>
        </w:rPr>
        <w:t>, México: Centro de Estudios </w:t>
      </w:r>
      <w:r>
        <w:rPr>
          <w:color w:val="231F20"/>
          <w:sz w:val="21"/>
        </w:rPr>
        <w:t>Espinosa</w:t>
      </w:r>
      <w:r>
        <w:rPr>
          <w:color w:val="231F20"/>
          <w:spacing w:val="-32"/>
          <w:sz w:val="21"/>
        </w:rPr>
        <w:t> </w:t>
      </w:r>
      <w:r>
        <w:rPr>
          <w:color w:val="231F20"/>
          <w:sz w:val="21"/>
        </w:rPr>
        <w:t>Yglesias.</w:t>
      </w:r>
    </w:p>
    <w:p>
      <w:pPr>
        <w:pStyle w:val="BodyText"/>
        <w:spacing w:line="261" w:lineRule="auto"/>
        <w:ind w:left="2461" w:right="1835" w:hanging="738"/>
        <w:jc w:val="both"/>
      </w:pPr>
      <w:r>
        <w:rPr>
          <w:color w:val="231F20"/>
        </w:rPr>
        <w:t>Vct, Victoriano, (agosto, 2013), </w:t>
      </w:r>
      <w:r>
        <w:rPr>
          <w:rFonts w:ascii="Arial" w:hAnsi="Arial"/>
          <w:i/>
          <w:color w:val="231F20"/>
        </w:rPr>
        <w:t>Hombre, 66 años, Izcalli</w:t>
      </w:r>
      <w:r>
        <w:rPr>
          <w:color w:val="231F20"/>
        </w:rPr>
        <w:t>. Entrevistadora: Zoraida Ronzón Hernández [audio.mp3], archivo personal (Zorai- da Ronzón Hernández)</w:t>
      </w:r>
    </w:p>
    <w:p>
      <w:pPr>
        <w:spacing w:line="259" w:lineRule="auto" w:before="0"/>
        <w:ind w:left="2461" w:right="1834" w:hanging="738"/>
        <w:jc w:val="both"/>
        <w:rPr>
          <w:sz w:val="21"/>
        </w:rPr>
      </w:pPr>
      <w:r>
        <w:rPr>
          <w:color w:val="231F20"/>
          <w:sz w:val="21"/>
        </w:rPr>
        <w:t>Welti, Carlos, (1997), </w:t>
      </w:r>
      <w:r>
        <w:rPr>
          <w:rFonts w:ascii="Arial" w:hAnsi="Arial"/>
          <w:i/>
          <w:color w:val="231F20"/>
          <w:spacing w:val="-3"/>
          <w:sz w:val="21"/>
        </w:rPr>
        <w:t>Programa </w:t>
      </w:r>
      <w:r>
        <w:rPr>
          <w:rFonts w:ascii="Arial" w:hAnsi="Arial"/>
          <w:i/>
          <w:color w:val="231F20"/>
          <w:sz w:val="21"/>
        </w:rPr>
        <w:t>Latinoamericano de Actividades en </w:t>
      </w:r>
      <w:r>
        <w:rPr>
          <w:rFonts w:ascii="Arial" w:hAnsi="Arial"/>
          <w:i/>
          <w:color w:val="231F20"/>
          <w:spacing w:val="-3"/>
          <w:sz w:val="21"/>
        </w:rPr>
        <w:t>Pobla- </w:t>
      </w:r>
      <w:r>
        <w:rPr>
          <w:rFonts w:ascii="Arial" w:hAnsi="Arial"/>
          <w:i/>
          <w:color w:val="231F20"/>
          <w:sz w:val="21"/>
        </w:rPr>
        <w:t>ción</w:t>
      </w:r>
      <w:r>
        <w:rPr>
          <w:color w:val="231F20"/>
          <w:sz w:val="21"/>
        </w:rPr>
        <w:t>, México: </w:t>
      </w:r>
      <w:r>
        <w:rPr>
          <w:color w:val="231F20"/>
          <w:sz w:val="17"/>
        </w:rPr>
        <w:t>PROLAP-IIS-UNAM</w:t>
      </w:r>
      <w:r>
        <w:rPr>
          <w:color w:val="231F20"/>
          <w:sz w:val="21"/>
        </w:rPr>
        <w:t>.</w:t>
      </w:r>
    </w:p>
    <w:p>
      <w:pPr>
        <w:spacing w:line="261" w:lineRule="auto" w:before="0"/>
        <w:ind w:left="2460" w:right="1829" w:hanging="738"/>
        <w:jc w:val="both"/>
        <w:rPr>
          <w:sz w:val="21"/>
        </w:rPr>
      </w:pPr>
      <w:r>
        <w:rPr>
          <w:spacing w:val="-3"/>
          <w:w w:val="105"/>
          <w:sz w:val="21"/>
        </w:rPr>
        <w:t>Yaschine,</w:t>
      </w:r>
      <w:r>
        <w:rPr>
          <w:spacing w:val="-13"/>
          <w:w w:val="105"/>
          <w:sz w:val="21"/>
        </w:rPr>
        <w:t> </w:t>
      </w:r>
      <w:r>
        <w:rPr>
          <w:w w:val="105"/>
          <w:sz w:val="21"/>
        </w:rPr>
        <w:t>Iliana,</w:t>
      </w:r>
      <w:r>
        <w:rPr>
          <w:spacing w:val="-13"/>
          <w:w w:val="105"/>
          <w:sz w:val="21"/>
        </w:rPr>
        <w:t> </w:t>
      </w:r>
      <w:r>
        <w:rPr>
          <w:w w:val="105"/>
          <w:sz w:val="21"/>
        </w:rPr>
        <w:t>(2013),</w:t>
      </w:r>
      <w:r>
        <w:rPr>
          <w:spacing w:val="-13"/>
          <w:w w:val="105"/>
          <w:sz w:val="21"/>
        </w:rPr>
        <w:t> </w:t>
      </w:r>
      <w:r>
        <w:rPr>
          <w:rFonts w:ascii="Arial" w:hAnsi="Arial"/>
          <w:i/>
          <w:w w:val="105"/>
          <w:sz w:val="21"/>
        </w:rPr>
        <w:t>Políticas</w:t>
      </w:r>
      <w:r>
        <w:rPr>
          <w:rFonts w:ascii="Arial" w:hAnsi="Arial"/>
          <w:i/>
          <w:spacing w:val="-12"/>
          <w:w w:val="105"/>
          <w:sz w:val="21"/>
        </w:rPr>
        <w:t> </w:t>
      </w:r>
      <w:r>
        <w:rPr>
          <w:rFonts w:ascii="Arial" w:hAnsi="Arial"/>
          <w:i/>
          <w:w w:val="105"/>
          <w:sz w:val="21"/>
        </w:rPr>
        <w:t>migratorias</w:t>
      </w:r>
      <w:r>
        <w:rPr>
          <w:rFonts w:ascii="Arial" w:hAnsi="Arial"/>
          <w:i/>
          <w:spacing w:val="-12"/>
          <w:w w:val="105"/>
          <w:sz w:val="21"/>
        </w:rPr>
        <w:t> </w:t>
      </w:r>
      <w:r>
        <w:rPr>
          <w:rFonts w:ascii="Arial" w:hAnsi="Arial"/>
          <w:i/>
          <w:w w:val="105"/>
          <w:sz w:val="21"/>
        </w:rPr>
        <w:t>y</w:t>
      </w:r>
      <w:r>
        <w:rPr>
          <w:rFonts w:ascii="Arial" w:hAnsi="Arial"/>
          <w:i/>
          <w:spacing w:val="-12"/>
          <w:w w:val="105"/>
          <w:sz w:val="21"/>
        </w:rPr>
        <w:t> </w:t>
      </w:r>
      <w:r>
        <w:rPr>
          <w:rFonts w:ascii="Arial" w:hAnsi="Arial"/>
          <w:i/>
          <w:w w:val="105"/>
          <w:sz w:val="21"/>
        </w:rPr>
        <w:t>de</w:t>
      </w:r>
      <w:r>
        <w:rPr>
          <w:rFonts w:ascii="Arial" w:hAnsi="Arial"/>
          <w:i/>
          <w:spacing w:val="-12"/>
          <w:w w:val="105"/>
          <w:sz w:val="21"/>
        </w:rPr>
        <w:t> </w:t>
      </w:r>
      <w:r>
        <w:rPr>
          <w:rFonts w:ascii="Arial" w:hAnsi="Arial"/>
          <w:i/>
          <w:w w:val="105"/>
          <w:sz w:val="21"/>
        </w:rPr>
        <w:t>desarrollo</w:t>
      </w:r>
      <w:r>
        <w:rPr>
          <w:rFonts w:ascii="Arial" w:hAnsi="Arial"/>
          <w:i/>
          <w:spacing w:val="-12"/>
          <w:w w:val="105"/>
          <w:sz w:val="21"/>
        </w:rPr>
        <w:t> </w:t>
      </w:r>
      <w:r>
        <w:rPr>
          <w:rFonts w:ascii="Arial" w:hAnsi="Arial"/>
          <w:i/>
          <w:w w:val="105"/>
          <w:sz w:val="21"/>
        </w:rPr>
        <w:t>en</w:t>
      </w:r>
      <w:r>
        <w:rPr>
          <w:rFonts w:ascii="Arial" w:hAnsi="Arial"/>
          <w:i/>
          <w:spacing w:val="-12"/>
          <w:w w:val="105"/>
          <w:sz w:val="21"/>
        </w:rPr>
        <w:t> </w:t>
      </w:r>
      <w:r>
        <w:rPr>
          <w:rFonts w:ascii="Arial" w:hAnsi="Arial"/>
          <w:i/>
          <w:w w:val="105"/>
          <w:sz w:val="21"/>
        </w:rPr>
        <w:t>México</w:t>
      </w:r>
      <w:r>
        <w:rPr>
          <w:w w:val="105"/>
          <w:sz w:val="21"/>
        </w:rPr>
        <w:t>, Chilpancingo, México:</w:t>
      </w:r>
      <w:r>
        <w:rPr>
          <w:spacing w:val="-37"/>
          <w:w w:val="105"/>
          <w:sz w:val="21"/>
        </w:rPr>
        <w:t> </w:t>
      </w:r>
      <w:r>
        <w:rPr>
          <w:spacing w:val="-3"/>
          <w:w w:val="105"/>
          <w:sz w:val="17"/>
        </w:rPr>
        <w:t>UAG</w:t>
      </w:r>
      <w:r>
        <w:rPr>
          <w:spacing w:val="-3"/>
          <w:w w:val="105"/>
          <w:sz w:val="21"/>
        </w:rPr>
        <w:t>ro.</w:t>
      </w:r>
    </w:p>
    <w:p>
      <w:pPr>
        <w:spacing w:after="0" w:line="261" w:lineRule="auto"/>
        <w:jc w:val="both"/>
        <w:rPr>
          <w:sz w:val="21"/>
        </w:rPr>
        <w:sectPr>
          <w:headerReference w:type="default" r:id="rId346"/>
          <w:footerReference w:type="default" r:id="rId347"/>
          <w:pgSz w:w="10480" w:h="14730"/>
          <w:pgMar w:header="0" w:footer="223" w:top="420" w:bottom="420" w:left="0" w:right="0"/>
        </w:sectPr>
      </w:pPr>
    </w:p>
    <w:p>
      <w:pPr>
        <w:pStyle w:val="BodyText"/>
        <w:rPr>
          <w:sz w:val="20"/>
        </w:rPr>
      </w:pPr>
      <w:r>
        <w:rPr/>
        <w:pict>
          <v:group style="position:absolute;margin-left:21pt;margin-top:20.999975pt;width:481.9pt;height:694.5pt;mso-position-horizontal-relative:page;mso-position-vertical-relative:page;z-index:-450880" coordorigin="420,420" coordsize="9638,13890">
            <v:rect style="position:absolute;left:420;top:420;width:9638;height:13890" filled="true" fillcolor="#77787b" stroked="false">
              <v:fill type="solid"/>
            </v:rect>
            <v:shape style="position:absolute;left:420;top:6577;width:9638;height:7733" type="#_x0000_t75" stroked="false">
              <v:imagedata r:id="rId317"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Heading2"/>
        <w:spacing w:line="187" w:lineRule="auto" w:before="63"/>
        <w:ind w:left="2186" w:right="4687" w:firstLine="524"/>
      </w:pPr>
      <w:r>
        <w:rPr>
          <w:color w:val="FFFFFF"/>
          <w:w w:val="90"/>
        </w:rPr>
        <w:t>MIftRACIÓN INTERNACIONAL </w:t>
      </w:r>
      <w:r>
        <w:rPr>
          <w:color w:val="FFFFFF"/>
          <w:w w:val="95"/>
        </w:rPr>
        <w:t>Y ESTRATEftIAS DE SUb</w:t>
      </w:r>
    </w:p>
    <w:p>
      <w:pPr>
        <w:spacing w:line="271" w:lineRule="exact" w:before="0"/>
        <w:ind w:left="2908" w:right="0" w:firstLine="0"/>
        <w:jc w:val="left"/>
        <w:rPr>
          <w:rFonts w:ascii="Lucida Sans Unicode"/>
          <w:sz w:val="24"/>
        </w:rPr>
      </w:pPr>
      <w:r>
        <w:rPr>
          <w:rFonts w:ascii="Lucida Sans Unicode"/>
          <w:color w:val="FFFFFF"/>
          <w:w w:val="90"/>
          <w:sz w:val="24"/>
        </w:rPr>
        <w:t>CAMPESINA EN SANTIA</w:t>
      </w:r>
    </w:p>
    <w:p>
      <w:pPr>
        <w:spacing w:line="328" w:lineRule="exact" w:before="0"/>
        <w:ind w:left="2601" w:right="2804" w:firstLine="0"/>
        <w:jc w:val="center"/>
        <w:rPr>
          <w:rFonts w:ascii="Lucida Sans Unicode"/>
          <w:sz w:val="24"/>
        </w:rPr>
      </w:pPr>
      <w:r>
        <w:rPr>
          <w:rFonts w:ascii="Lucida Sans Unicode"/>
          <w:color w:val="FFFFFF"/>
          <w:sz w:val="24"/>
        </w:rPr>
        <w:t>AMATEPEC</w:t>
      </w:r>
    </w:p>
    <w:p>
      <w:pPr>
        <w:pStyle w:val="Heading4"/>
        <w:spacing w:line="264" w:lineRule="exact" w:before="98"/>
        <w:ind w:left="5692" w:right="1920"/>
        <w:rPr>
          <w:sz w:val="18"/>
        </w:rPr>
      </w:pPr>
      <w:r>
        <w:rPr>
          <w:color w:val="FFFFFF"/>
        </w:rPr>
        <w:t>Daniela Macedo Garduño</w:t>
      </w:r>
      <w:r>
        <w:rPr>
          <w:color w:val="FFFFFF"/>
          <w:sz w:val="18"/>
        </w:rPr>
        <w:t>* </w:t>
      </w:r>
      <w:r>
        <w:rPr>
          <w:color w:val="FFFFFF"/>
        </w:rPr>
        <w:t>Gladys Rivera Herrejón</w:t>
      </w:r>
      <w:r>
        <w:rPr>
          <w:color w:val="FFFFFF"/>
          <w:sz w:val="18"/>
        </w:rPr>
        <w:t>**</w:t>
      </w:r>
    </w:p>
    <w:p>
      <w:pPr>
        <w:spacing w:before="1"/>
        <w:ind w:left="5873" w:right="0" w:firstLine="0"/>
        <w:jc w:val="left"/>
        <w:rPr>
          <w:rFonts w:ascii="Calibri"/>
          <w:sz w:val="18"/>
        </w:rPr>
      </w:pPr>
      <w:r>
        <w:rPr>
          <w:rFonts w:ascii="Calibri"/>
          <w:color w:val="FFFFFF"/>
          <w:sz w:val="22"/>
        </w:rPr>
        <w:t>ancisco Herrera Tapia</w:t>
      </w:r>
      <w:r>
        <w:rPr>
          <w:rFonts w:ascii="Calibri"/>
          <w:color w:val="FFFFFF"/>
          <w:sz w:val="18"/>
        </w:rPr>
        <w:t>***</w:t>
      </w:r>
    </w:p>
    <w:p>
      <w:pPr>
        <w:pStyle w:val="BodyText"/>
        <w:rPr>
          <w:rFonts w:ascii="Calibri"/>
          <w:sz w:val="22"/>
        </w:rPr>
      </w:pPr>
    </w:p>
    <w:p>
      <w:pPr>
        <w:pStyle w:val="BodyText"/>
        <w:rPr>
          <w:rFonts w:ascii="Calibri"/>
          <w:sz w:val="22"/>
        </w:rPr>
      </w:pPr>
    </w:p>
    <w:p>
      <w:pPr>
        <w:pStyle w:val="BodyText"/>
        <w:spacing w:before="6"/>
        <w:rPr>
          <w:rFonts w:ascii="Calibri"/>
          <w:sz w:val="29"/>
        </w:rPr>
      </w:pPr>
    </w:p>
    <w:p>
      <w:pPr>
        <w:spacing w:line="182" w:lineRule="exact" w:before="1"/>
        <w:ind w:left="1814" w:right="0" w:firstLine="0"/>
        <w:jc w:val="left"/>
        <w:rPr>
          <w:rFonts w:ascii="Calibri" w:hAnsi="Calibri"/>
          <w:sz w:val="15"/>
        </w:rPr>
      </w:pPr>
      <w:r>
        <w:rPr>
          <w:rFonts w:ascii="Calibri" w:hAnsi="Calibri"/>
          <w:color w:val="FFFFFF"/>
          <w:w w:val="105"/>
          <w:sz w:val="15"/>
        </w:rPr>
        <w:t>* Maestra en Ciencias Agropecuarias y Recursos Naturales por la Universidad Autónoma del Estado de México.</w:t>
      </w:r>
    </w:p>
    <w:p>
      <w:pPr>
        <w:spacing w:line="180" w:lineRule="exact" w:before="0"/>
        <w:ind w:left="1814" w:right="0" w:firstLine="0"/>
        <w:jc w:val="left"/>
        <w:rPr>
          <w:rFonts w:ascii="Calibri"/>
          <w:i/>
          <w:sz w:val="15"/>
        </w:rPr>
      </w:pPr>
      <w:hyperlink r:id="rId348">
        <w:r>
          <w:rPr>
            <w:rFonts w:ascii="Calibri"/>
            <w:i/>
            <w:color w:val="FFFFFF"/>
            <w:sz w:val="15"/>
          </w:rPr>
          <w:t>macedo.g.daniela@outlook.com</w:t>
        </w:r>
      </w:hyperlink>
    </w:p>
    <w:p>
      <w:pPr>
        <w:spacing w:line="235" w:lineRule="auto" w:before="1"/>
        <w:ind w:left="1814" w:right="1740" w:firstLine="0"/>
        <w:jc w:val="left"/>
        <w:rPr>
          <w:rFonts w:ascii="Calibri" w:hAnsi="Calibri"/>
          <w:sz w:val="15"/>
        </w:rPr>
      </w:pPr>
      <w:r>
        <w:rPr>
          <w:rFonts w:ascii="Calibri" w:hAnsi="Calibri"/>
          <w:color w:val="FFFFFF"/>
          <w:w w:val="105"/>
          <w:sz w:val="15"/>
        </w:rPr>
        <w:t>**</w:t>
      </w:r>
      <w:r>
        <w:rPr>
          <w:rFonts w:ascii="Calibri" w:hAnsi="Calibri"/>
          <w:color w:val="FFFFFF"/>
          <w:spacing w:val="-15"/>
          <w:w w:val="105"/>
          <w:sz w:val="15"/>
        </w:rPr>
        <w:t> </w:t>
      </w:r>
      <w:r>
        <w:rPr>
          <w:rFonts w:ascii="Calibri" w:hAnsi="Calibri"/>
          <w:color w:val="FFFFFF"/>
          <w:w w:val="105"/>
          <w:sz w:val="15"/>
        </w:rPr>
        <w:t>Doctora</w:t>
      </w:r>
      <w:r>
        <w:rPr>
          <w:rFonts w:ascii="Calibri" w:hAnsi="Calibri"/>
          <w:color w:val="FFFFFF"/>
          <w:spacing w:val="-15"/>
          <w:w w:val="105"/>
          <w:sz w:val="15"/>
        </w:rPr>
        <w:t> </w:t>
      </w:r>
      <w:r>
        <w:rPr>
          <w:rFonts w:ascii="Calibri" w:hAnsi="Calibri"/>
          <w:color w:val="FFFFFF"/>
          <w:w w:val="105"/>
          <w:sz w:val="15"/>
        </w:rPr>
        <w:t>en</w:t>
      </w:r>
      <w:r>
        <w:rPr>
          <w:rFonts w:ascii="Calibri" w:hAnsi="Calibri"/>
          <w:color w:val="FFFFFF"/>
          <w:spacing w:val="-15"/>
          <w:w w:val="105"/>
          <w:sz w:val="15"/>
        </w:rPr>
        <w:t> </w:t>
      </w:r>
      <w:r>
        <w:rPr>
          <w:rFonts w:ascii="Calibri" w:hAnsi="Calibri"/>
          <w:color w:val="FFFFFF"/>
          <w:w w:val="105"/>
          <w:sz w:val="15"/>
        </w:rPr>
        <w:t>Ciencias</w:t>
      </w:r>
      <w:r>
        <w:rPr>
          <w:rFonts w:ascii="Calibri" w:hAnsi="Calibri"/>
          <w:color w:val="FFFFFF"/>
          <w:spacing w:val="-15"/>
          <w:w w:val="105"/>
          <w:sz w:val="15"/>
        </w:rPr>
        <w:t> </w:t>
      </w:r>
      <w:r>
        <w:rPr>
          <w:rFonts w:ascii="Calibri" w:hAnsi="Calibri"/>
          <w:color w:val="FFFFFF"/>
          <w:w w:val="105"/>
          <w:sz w:val="15"/>
        </w:rPr>
        <w:t>Sociales.</w:t>
      </w:r>
      <w:r>
        <w:rPr>
          <w:rFonts w:ascii="Calibri" w:hAnsi="Calibri"/>
          <w:color w:val="FFFFFF"/>
          <w:spacing w:val="-15"/>
          <w:w w:val="105"/>
          <w:sz w:val="15"/>
        </w:rPr>
        <w:t> </w:t>
      </w:r>
      <w:r>
        <w:rPr>
          <w:rFonts w:ascii="Calibri" w:hAnsi="Calibri"/>
          <w:color w:val="FFFFFF"/>
          <w:w w:val="105"/>
          <w:sz w:val="15"/>
        </w:rPr>
        <w:t>Investigadora</w:t>
      </w:r>
      <w:r>
        <w:rPr>
          <w:rFonts w:ascii="Calibri" w:hAnsi="Calibri"/>
          <w:color w:val="FFFFFF"/>
          <w:spacing w:val="-15"/>
          <w:w w:val="105"/>
          <w:sz w:val="15"/>
        </w:rPr>
        <w:t> </w:t>
      </w:r>
      <w:r>
        <w:rPr>
          <w:rFonts w:ascii="Calibri" w:hAnsi="Calibri"/>
          <w:color w:val="FFFFFF"/>
          <w:w w:val="105"/>
          <w:sz w:val="15"/>
        </w:rPr>
        <w:t>en</w:t>
      </w:r>
      <w:r>
        <w:rPr>
          <w:rFonts w:ascii="Calibri" w:hAnsi="Calibri"/>
          <w:color w:val="FFFFFF"/>
          <w:spacing w:val="-15"/>
          <w:w w:val="105"/>
          <w:sz w:val="15"/>
        </w:rPr>
        <w:t> </w:t>
      </w:r>
      <w:r>
        <w:rPr>
          <w:rFonts w:ascii="Calibri" w:hAnsi="Calibri"/>
          <w:color w:val="FFFFFF"/>
          <w:w w:val="105"/>
          <w:sz w:val="15"/>
        </w:rPr>
        <w:t>el</w:t>
      </w:r>
      <w:r>
        <w:rPr>
          <w:rFonts w:ascii="Calibri" w:hAnsi="Calibri"/>
          <w:color w:val="FFFFFF"/>
          <w:spacing w:val="-15"/>
          <w:w w:val="105"/>
          <w:sz w:val="15"/>
        </w:rPr>
        <w:t> </w:t>
      </w:r>
      <w:r>
        <w:rPr>
          <w:rFonts w:ascii="Calibri" w:hAnsi="Calibri"/>
          <w:color w:val="FFFFFF"/>
          <w:w w:val="105"/>
          <w:sz w:val="15"/>
        </w:rPr>
        <w:t>Instituto</w:t>
      </w:r>
      <w:r>
        <w:rPr>
          <w:rFonts w:ascii="Calibri" w:hAnsi="Calibri"/>
          <w:color w:val="FFFFFF"/>
          <w:spacing w:val="-15"/>
          <w:w w:val="105"/>
          <w:sz w:val="15"/>
        </w:rPr>
        <w:t> </w:t>
      </w:r>
      <w:r>
        <w:rPr>
          <w:rFonts w:ascii="Calibri" w:hAnsi="Calibri"/>
          <w:color w:val="FFFFFF"/>
          <w:w w:val="105"/>
          <w:sz w:val="15"/>
        </w:rPr>
        <w:t>de</w:t>
      </w:r>
      <w:r>
        <w:rPr>
          <w:rFonts w:ascii="Calibri" w:hAnsi="Calibri"/>
          <w:color w:val="FFFFFF"/>
          <w:spacing w:val="-15"/>
          <w:w w:val="105"/>
          <w:sz w:val="15"/>
        </w:rPr>
        <w:t> </w:t>
      </w:r>
      <w:r>
        <w:rPr>
          <w:rFonts w:ascii="Calibri" w:hAnsi="Calibri"/>
          <w:color w:val="FFFFFF"/>
          <w:w w:val="105"/>
          <w:sz w:val="15"/>
        </w:rPr>
        <w:t>Ciencias</w:t>
      </w:r>
      <w:r>
        <w:rPr>
          <w:rFonts w:ascii="Calibri" w:hAnsi="Calibri"/>
          <w:color w:val="FFFFFF"/>
          <w:spacing w:val="-15"/>
          <w:w w:val="105"/>
          <w:sz w:val="15"/>
        </w:rPr>
        <w:t> </w:t>
      </w:r>
      <w:r>
        <w:rPr>
          <w:rFonts w:ascii="Calibri" w:hAnsi="Calibri"/>
          <w:color w:val="FFFFFF"/>
          <w:w w:val="105"/>
          <w:sz w:val="15"/>
        </w:rPr>
        <w:t>Agropecuarias</w:t>
      </w:r>
      <w:r>
        <w:rPr>
          <w:rFonts w:ascii="Calibri" w:hAnsi="Calibri"/>
          <w:color w:val="FFFFFF"/>
          <w:spacing w:val="-17"/>
          <w:w w:val="105"/>
          <w:sz w:val="15"/>
        </w:rPr>
        <w:t> </w:t>
      </w:r>
      <w:r>
        <w:rPr>
          <w:rFonts w:ascii="Calibri" w:hAnsi="Calibri"/>
          <w:color w:val="FFFFFF"/>
          <w:w w:val="105"/>
          <w:sz w:val="15"/>
        </w:rPr>
        <w:t>y</w:t>
      </w:r>
      <w:r>
        <w:rPr>
          <w:rFonts w:ascii="Calibri" w:hAnsi="Calibri"/>
          <w:color w:val="FFFFFF"/>
          <w:spacing w:val="-15"/>
          <w:w w:val="105"/>
          <w:sz w:val="15"/>
        </w:rPr>
        <w:t> </w:t>
      </w:r>
      <w:r>
        <w:rPr>
          <w:rFonts w:ascii="Calibri" w:hAnsi="Calibri"/>
          <w:color w:val="FFFFFF"/>
          <w:w w:val="105"/>
          <w:sz w:val="15"/>
        </w:rPr>
        <w:t>Rurales</w:t>
      </w:r>
      <w:r>
        <w:rPr>
          <w:rFonts w:ascii="Calibri" w:hAnsi="Calibri"/>
          <w:color w:val="FFFFFF"/>
          <w:spacing w:val="-15"/>
          <w:w w:val="105"/>
          <w:sz w:val="15"/>
        </w:rPr>
        <w:t> </w:t>
      </w:r>
      <w:r>
        <w:rPr>
          <w:rFonts w:ascii="Calibri" w:hAnsi="Calibri"/>
          <w:color w:val="FFFFFF"/>
          <w:w w:val="105"/>
          <w:sz w:val="15"/>
        </w:rPr>
        <w:t>de</w:t>
      </w:r>
      <w:r>
        <w:rPr>
          <w:rFonts w:ascii="Calibri" w:hAnsi="Calibri"/>
          <w:color w:val="FFFFFF"/>
          <w:spacing w:val="-15"/>
          <w:w w:val="105"/>
          <w:sz w:val="15"/>
        </w:rPr>
        <w:t> </w:t>
      </w:r>
      <w:r>
        <w:rPr>
          <w:rFonts w:ascii="Calibri" w:hAnsi="Calibri"/>
          <w:color w:val="FFFFFF"/>
          <w:w w:val="105"/>
          <w:sz w:val="15"/>
        </w:rPr>
        <w:t>la</w:t>
      </w:r>
      <w:r>
        <w:rPr>
          <w:rFonts w:ascii="Calibri" w:hAnsi="Calibri"/>
          <w:color w:val="FFFFFF"/>
          <w:spacing w:val="-15"/>
          <w:w w:val="105"/>
          <w:sz w:val="15"/>
        </w:rPr>
        <w:t> </w:t>
      </w:r>
      <w:r>
        <w:rPr>
          <w:rFonts w:ascii="Calibri" w:hAnsi="Calibri"/>
          <w:color w:val="FFFFFF"/>
          <w:w w:val="105"/>
          <w:sz w:val="15"/>
        </w:rPr>
        <w:t>Universi- dad</w:t>
      </w:r>
      <w:r>
        <w:rPr>
          <w:rFonts w:ascii="Calibri" w:hAnsi="Calibri"/>
          <w:color w:val="FFFFFF"/>
          <w:spacing w:val="-12"/>
          <w:w w:val="105"/>
          <w:sz w:val="15"/>
        </w:rPr>
        <w:t> </w:t>
      </w:r>
      <w:r>
        <w:rPr>
          <w:rFonts w:ascii="Calibri" w:hAnsi="Calibri"/>
          <w:color w:val="FFFFFF"/>
          <w:w w:val="105"/>
          <w:sz w:val="15"/>
        </w:rPr>
        <w:t>Autónoma</w:t>
      </w:r>
      <w:r>
        <w:rPr>
          <w:rFonts w:ascii="Calibri" w:hAnsi="Calibri"/>
          <w:color w:val="FFFFFF"/>
          <w:spacing w:val="-12"/>
          <w:w w:val="105"/>
          <w:sz w:val="15"/>
        </w:rPr>
        <w:t> </w:t>
      </w:r>
      <w:r>
        <w:rPr>
          <w:rFonts w:ascii="Calibri" w:hAnsi="Calibri"/>
          <w:color w:val="FFFFFF"/>
          <w:w w:val="105"/>
          <w:sz w:val="15"/>
        </w:rPr>
        <w:t>del</w:t>
      </w:r>
      <w:r>
        <w:rPr>
          <w:rFonts w:ascii="Calibri" w:hAnsi="Calibri"/>
          <w:color w:val="FFFFFF"/>
          <w:spacing w:val="-12"/>
          <w:w w:val="105"/>
          <w:sz w:val="15"/>
        </w:rPr>
        <w:t> </w:t>
      </w:r>
      <w:r>
        <w:rPr>
          <w:rFonts w:ascii="Calibri" w:hAnsi="Calibri"/>
          <w:color w:val="FFFFFF"/>
          <w:w w:val="105"/>
          <w:sz w:val="15"/>
        </w:rPr>
        <w:t>Estado</w:t>
      </w:r>
      <w:r>
        <w:rPr>
          <w:rFonts w:ascii="Calibri" w:hAnsi="Calibri"/>
          <w:color w:val="FFFFFF"/>
          <w:spacing w:val="-12"/>
          <w:w w:val="105"/>
          <w:sz w:val="15"/>
        </w:rPr>
        <w:t> </w:t>
      </w:r>
      <w:r>
        <w:rPr>
          <w:rFonts w:ascii="Calibri" w:hAnsi="Calibri"/>
          <w:color w:val="FFFFFF"/>
          <w:w w:val="105"/>
          <w:sz w:val="15"/>
        </w:rPr>
        <w:t>de</w:t>
      </w:r>
      <w:r>
        <w:rPr>
          <w:rFonts w:ascii="Calibri" w:hAnsi="Calibri"/>
          <w:color w:val="FFFFFF"/>
          <w:spacing w:val="-12"/>
          <w:w w:val="105"/>
          <w:sz w:val="15"/>
        </w:rPr>
        <w:t> </w:t>
      </w:r>
      <w:r>
        <w:rPr>
          <w:rFonts w:ascii="Calibri" w:hAnsi="Calibri"/>
          <w:color w:val="FFFFFF"/>
          <w:w w:val="105"/>
          <w:sz w:val="15"/>
        </w:rPr>
        <w:t>México.</w:t>
      </w:r>
    </w:p>
    <w:p>
      <w:pPr>
        <w:spacing w:line="179" w:lineRule="exact" w:before="0"/>
        <w:ind w:left="1814" w:right="6753" w:firstLine="0"/>
        <w:jc w:val="left"/>
        <w:rPr>
          <w:rFonts w:ascii="Calibri"/>
          <w:i/>
          <w:sz w:val="15"/>
        </w:rPr>
      </w:pPr>
      <w:hyperlink r:id="rId349">
        <w:r>
          <w:rPr>
            <w:rFonts w:ascii="Calibri"/>
            <w:i/>
            <w:color w:val="FFFFFF"/>
            <w:sz w:val="15"/>
          </w:rPr>
          <w:t>griver</w:t>
        </w:r>
      </w:hyperlink>
      <w:hyperlink r:id="rId350">
        <w:r>
          <w:rPr>
            <w:rFonts w:ascii="Calibri"/>
            <w:i/>
            <w:color w:val="FFFFFF"/>
            <w:sz w:val="15"/>
          </w:rPr>
          <w:t>ah@uaemex.mx</w:t>
        </w:r>
      </w:hyperlink>
    </w:p>
    <w:p>
      <w:pPr>
        <w:spacing w:line="235" w:lineRule="auto" w:before="1"/>
        <w:ind w:left="1814" w:right="1733" w:firstLine="0"/>
        <w:jc w:val="left"/>
        <w:rPr>
          <w:rFonts w:ascii="Calibri" w:hAnsi="Calibri"/>
          <w:sz w:val="15"/>
        </w:rPr>
      </w:pPr>
      <w:r>
        <w:rPr>
          <w:rFonts w:ascii="Calibri" w:hAnsi="Calibri"/>
          <w:color w:val="FFFFFF"/>
          <w:w w:val="105"/>
          <w:sz w:val="15"/>
        </w:rPr>
        <w:t>***</w:t>
      </w:r>
      <w:r>
        <w:rPr>
          <w:rFonts w:ascii="Calibri" w:hAnsi="Calibri"/>
          <w:color w:val="FFFFFF"/>
          <w:spacing w:val="-20"/>
          <w:w w:val="105"/>
          <w:sz w:val="15"/>
        </w:rPr>
        <w:t> </w:t>
      </w:r>
      <w:r>
        <w:rPr>
          <w:rFonts w:ascii="Calibri" w:hAnsi="Calibri"/>
          <w:color w:val="FFFFFF"/>
          <w:w w:val="105"/>
          <w:sz w:val="15"/>
        </w:rPr>
        <w:t>Doctor</w:t>
      </w:r>
      <w:r>
        <w:rPr>
          <w:rFonts w:ascii="Calibri" w:hAnsi="Calibri"/>
          <w:color w:val="FFFFFF"/>
          <w:spacing w:val="-20"/>
          <w:w w:val="105"/>
          <w:sz w:val="15"/>
        </w:rPr>
        <w:t> </w:t>
      </w:r>
      <w:r>
        <w:rPr>
          <w:rFonts w:ascii="Calibri" w:hAnsi="Calibri"/>
          <w:color w:val="FFFFFF"/>
          <w:w w:val="105"/>
          <w:sz w:val="15"/>
        </w:rPr>
        <w:t>en</w:t>
      </w:r>
      <w:r>
        <w:rPr>
          <w:rFonts w:ascii="Calibri" w:hAnsi="Calibri"/>
          <w:color w:val="FFFFFF"/>
          <w:spacing w:val="-20"/>
          <w:w w:val="105"/>
          <w:sz w:val="15"/>
        </w:rPr>
        <w:t> </w:t>
      </w:r>
      <w:r>
        <w:rPr>
          <w:rFonts w:ascii="Calibri" w:hAnsi="Calibri"/>
          <w:color w:val="FFFFFF"/>
          <w:w w:val="105"/>
          <w:sz w:val="15"/>
        </w:rPr>
        <w:t>Ciencias</w:t>
      </w:r>
      <w:r>
        <w:rPr>
          <w:rFonts w:ascii="Calibri" w:hAnsi="Calibri"/>
          <w:color w:val="FFFFFF"/>
          <w:spacing w:val="-20"/>
          <w:w w:val="105"/>
          <w:sz w:val="15"/>
        </w:rPr>
        <w:t> </w:t>
      </w:r>
      <w:r>
        <w:rPr>
          <w:rFonts w:ascii="Calibri" w:hAnsi="Calibri"/>
          <w:color w:val="FFFFFF"/>
          <w:w w:val="105"/>
          <w:sz w:val="15"/>
        </w:rPr>
        <w:t>Agropecuarias</w:t>
      </w:r>
      <w:r>
        <w:rPr>
          <w:rFonts w:ascii="Calibri" w:hAnsi="Calibri"/>
          <w:color w:val="FFFFFF"/>
          <w:spacing w:val="-21"/>
          <w:w w:val="105"/>
          <w:sz w:val="15"/>
        </w:rPr>
        <w:t> </w:t>
      </w:r>
      <w:r>
        <w:rPr>
          <w:rFonts w:ascii="Calibri" w:hAnsi="Calibri"/>
          <w:color w:val="FFFFFF"/>
          <w:w w:val="105"/>
          <w:sz w:val="15"/>
        </w:rPr>
        <w:t>y</w:t>
      </w:r>
      <w:r>
        <w:rPr>
          <w:rFonts w:ascii="Calibri" w:hAnsi="Calibri"/>
          <w:color w:val="FFFFFF"/>
          <w:spacing w:val="-20"/>
          <w:w w:val="105"/>
          <w:sz w:val="15"/>
        </w:rPr>
        <w:t> </w:t>
      </w:r>
      <w:r>
        <w:rPr>
          <w:rFonts w:ascii="Calibri" w:hAnsi="Calibri"/>
          <w:color w:val="FFFFFF"/>
          <w:w w:val="105"/>
          <w:sz w:val="15"/>
        </w:rPr>
        <w:t>Recursos</w:t>
      </w:r>
      <w:r>
        <w:rPr>
          <w:rFonts w:ascii="Calibri" w:hAnsi="Calibri"/>
          <w:color w:val="FFFFFF"/>
          <w:spacing w:val="-20"/>
          <w:w w:val="105"/>
          <w:sz w:val="15"/>
        </w:rPr>
        <w:t> </w:t>
      </w:r>
      <w:r>
        <w:rPr>
          <w:rFonts w:ascii="Calibri" w:hAnsi="Calibri"/>
          <w:color w:val="FFFFFF"/>
          <w:w w:val="105"/>
          <w:sz w:val="15"/>
        </w:rPr>
        <w:t>Naturales.</w:t>
      </w:r>
      <w:r>
        <w:rPr>
          <w:rFonts w:ascii="Calibri" w:hAnsi="Calibri"/>
          <w:color w:val="FFFFFF"/>
          <w:spacing w:val="-20"/>
          <w:w w:val="105"/>
          <w:sz w:val="15"/>
        </w:rPr>
        <w:t> </w:t>
      </w:r>
      <w:r>
        <w:rPr>
          <w:rFonts w:ascii="Calibri" w:hAnsi="Calibri"/>
          <w:color w:val="FFFFFF"/>
          <w:w w:val="105"/>
          <w:sz w:val="15"/>
        </w:rPr>
        <w:t>Investigador</w:t>
      </w:r>
      <w:r>
        <w:rPr>
          <w:rFonts w:ascii="Calibri" w:hAnsi="Calibri"/>
          <w:color w:val="FFFFFF"/>
          <w:spacing w:val="-20"/>
          <w:w w:val="105"/>
          <w:sz w:val="15"/>
        </w:rPr>
        <w:t> </w:t>
      </w:r>
      <w:r>
        <w:rPr>
          <w:rFonts w:ascii="Calibri" w:hAnsi="Calibri"/>
          <w:color w:val="FFFFFF"/>
          <w:w w:val="105"/>
          <w:sz w:val="15"/>
        </w:rPr>
        <w:t>del</w:t>
      </w:r>
      <w:r>
        <w:rPr>
          <w:rFonts w:ascii="Calibri" w:hAnsi="Calibri"/>
          <w:color w:val="FFFFFF"/>
          <w:spacing w:val="-20"/>
          <w:w w:val="105"/>
          <w:sz w:val="15"/>
        </w:rPr>
        <w:t> </w:t>
      </w:r>
      <w:r>
        <w:rPr>
          <w:rFonts w:ascii="Calibri" w:hAnsi="Calibri"/>
          <w:color w:val="FFFFFF"/>
          <w:w w:val="105"/>
          <w:sz w:val="15"/>
        </w:rPr>
        <w:t>Instituto</w:t>
      </w:r>
      <w:r>
        <w:rPr>
          <w:rFonts w:ascii="Calibri" w:hAnsi="Calibri"/>
          <w:color w:val="FFFFFF"/>
          <w:spacing w:val="-20"/>
          <w:w w:val="105"/>
          <w:sz w:val="15"/>
        </w:rPr>
        <w:t> </w:t>
      </w:r>
      <w:r>
        <w:rPr>
          <w:rFonts w:ascii="Calibri" w:hAnsi="Calibri"/>
          <w:color w:val="FFFFFF"/>
          <w:w w:val="105"/>
          <w:sz w:val="15"/>
        </w:rPr>
        <w:t>de</w:t>
      </w:r>
      <w:r>
        <w:rPr>
          <w:rFonts w:ascii="Calibri" w:hAnsi="Calibri"/>
          <w:color w:val="FFFFFF"/>
          <w:spacing w:val="-20"/>
          <w:w w:val="105"/>
          <w:sz w:val="15"/>
        </w:rPr>
        <w:t> </w:t>
      </w:r>
      <w:r>
        <w:rPr>
          <w:rFonts w:ascii="Calibri" w:hAnsi="Calibri"/>
          <w:color w:val="FFFFFF"/>
          <w:w w:val="105"/>
          <w:sz w:val="15"/>
        </w:rPr>
        <w:t>Ciencias</w:t>
      </w:r>
      <w:r>
        <w:rPr>
          <w:rFonts w:ascii="Calibri" w:hAnsi="Calibri"/>
          <w:color w:val="FFFFFF"/>
          <w:spacing w:val="-20"/>
          <w:w w:val="105"/>
          <w:sz w:val="15"/>
        </w:rPr>
        <w:t> </w:t>
      </w:r>
      <w:r>
        <w:rPr>
          <w:rFonts w:ascii="Calibri" w:hAnsi="Calibri"/>
          <w:color w:val="FFFFFF"/>
          <w:w w:val="105"/>
          <w:sz w:val="15"/>
        </w:rPr>
        <w:t>Agropecuarias y</w:t>
      </w:r>
      <w:r>
        <w:rPr>
          <w:rFonts w:ascii="Calibri" w:hAnsi="Calibri"/>
          <w:color w:val="FFFFFF"/>
          <w:spacing w:val="-13"/>
          <w:w w:val="105"/>
          <w:sz w:val="15"/>
        </w:rPr>
        <w:t> </w:t>
      </w:r>
      <w:r>
        <w:rPr>
          <w:rFonts w:ascii="Calibri" w:hAnsi="Calibri"/>
          <w:color w:val="FFFFFF"/>
          <w:w w:val="105"/>
          <w:sz w:val="15"/>
        </w:rPr>
        <w:t>Rurales</w:t>
      </w:r>
      <w:r>
        <w:rPr>
          <w:rFonts w:ascii="Calibri" w:hAnsi="Calibri"/>
          <w:color w:val="FFFFFF"/>
          <w:spacing w:val="-13"/>
          <w:w w:val="105"/>
          <w:sz w:val="15"/>
        </w:rPr>
        <w:t> </w:t>
      </w:r>
      <w:r>
        <w:rPr>
          <w:rFonts w:ascii="Calibri" w:hAnsi="Calibri"/>
          <w:color w:val="FFFFFF"/>
          <w:w w:val="105"/>
          <w:sz w:val="15"/>
        </w:rPr>
        <w:t>de</w:t>
      </w:r>
      <w:r>
        <w:rPr>
          <w:rFonts w:ascii="Calibri" w:hAnsi="Calibri"/>
          <w:color w:val="FFFFFF"/>
          <w:spacing w:val="-13"/>
          <w:w w:val="105"/>
          <w:sz w:val="15"/>
        </w:rPr>
        <w:t> </w:t>
      </w:r>
      <w:r>
        <w:rPr>
          <w:rFonts w:ascii="Calibri" w:hAnsi="Calibri"/>
          <w:color w:val="FFFFFF"/>
          <w:w w:val="105"/>
          <w:sz w:val="15"/>
        </w:rPr>
        <w:t>la</w:t>
      </w:r>
      <w:r>
        <w:rPr>
          <w:rFonts w:ascii="Calibri" w:hAnsi="Calibri"/>
          <w:color w:val="FFFFFF"/>
          <w:spacing w:val="-13"/>
          <w:w w:val="105"/>
          <w:sz w:val="15"/>
        </w:rPr>
        <w:t> </w:t>
      </w:r>
      <w:r>
        <w:rPr>
          <w:rFonts w:ascii="Calibri" w:hAnsi="Calibri"/>
          <w:color w:val="FFFFFF"/>
          <w:w w:val="105"/>
          <w:sz w:val="15"/>
        </w:rPr>
        <w:t>Universidad</w:t>
      </w:r>
      <w:r>
        <w:rPr>
          <w:rFonts w:ascii="Calibri" w:hAnsi="Calibri"/>
          <w:color w:val="FFFFFF"/>
          <w:spacing w:val="-13"/>
          <w:w w:val="105"/>
          <w:sz w:val="15"/>
        </w:rPr>
        <w:t> </w:t>
      </w:r>
      <w:r>
        <w:rPr>
          <w:rFonts w:ascii="Calibri" w:hAnsi="Calibri"/>
          <w:color w:val="FFFFFF"/>
          <w:w w:val="105"/>
          <w:sz w:val="15"/>
        </w:rPr>
        <w:t>Autónoma</w:t>
      </w:r>
      <w:r>
        <w:rPr>
          <w:rFonts w:ascii="Calibri" w:hAnsi="Calibri"/>
          <w:color w:val="FFFFFF"/>
          <w:spacing w:val="-13"/>
          <w:w w:val="105"/>
          <w:sz w:val="15"/>
        </w:rPr>
        <w:t> </w:t>
      </w:r>
      <w:r>
        <w:rPr>
          <w:rFonts w:ascii="Calibri" w:hAnsi="Calibri"/>
          <w:color w:val="FFFFFF"/>
          <w:w w:val="105"/>
          <w:sz w:val="15"/>
        </w:rPr>
        <w:t>del</w:t>
      </w:r>
      <w:r>
        <w:rPr>
          <w:rFonts w:ascii="Calibri" w:hAnsi="Calibri"/>
          <w:color w:val="FFFFFF"/>
          <w:spacing w:val="-13"/>
          <w:w w:val="105"/>
          <w:sz w:val="15"/>
        </w:rPr>
        <w:t> </w:t>
      </w:r>
      <w:r>
        <w:rPr>
          <w:rFonts w:ascii="Calibri" w:hAnsi="Calibri"/>
          <w:color w:val="FFFFFF"/>
          <w:w w:val="105"/>
          <w:sz w:val="15"/>
        </w:rPr>
        <w:t>Estado</w:t>
      </w:r>
      <w:r>
        <w:rPr>
          <w:rFonts w:ascii="Calibri" w:hAnsi="Calibri"/>
          <w:color w:val="FFFFFF"/>
          <w:spacing w:val="-13"/>
          <w:w w:val="105"/>
          <w:sz w:val="15"/>
        </w:rPr>
        <w:t> </w:t>
      </w:r>
      <w:r>
        <w:rPr>
          <w:rFonts w:ascii="Calibri" w:hAnsi="Calibri"/>
          <w:color w:val="FFFFFF"/>
          <w:w w:val="105"/>
          <w:sz w:val="15"/>
        </w:rPr>
        <w:t>de</w:t>
      </w:r>
      <w:r>
        <w:rPr>
          <w:rFonts w:ascii="Calibri" w:hAnsi="Calibri"/>
          <w:color w:val="FFFFFF"/>
          <w:spacing w:val="-13"/>
          <w:w w:val="105"/>
          <w:sz w:val="15"/>
        </w:rPr>
        <w:t> </w:t>
      </w:r>
      <w:r>
        <w:rPr>
          <w:rFonts w:ascii="Calibri" w:hAnsi="Calibri"/>
          <w:color w:val="FFFFFF"/>
          <w:w w:val="105"/>
          <w:sz w:val="15"/>
        </w:rPr>
        <w:t>México.</w:t>
      </w:r>
    </w:p>
    <w:p>
      <w:pPr>
        <w:spacing w:line="181" w:lineRule="exact" w:before="0"/>
        <w:ind w:left="1814" w:right="0" w:firstLine="0"/>
        <w:jc w:val="left"/>
        <w:rPr>
          <w:rFonts w:ascii="Calibri"/>
          <w:i/>
          <w:sz w:val="15"/>
        </w:rPr>
      </w:pPr>
      <w:hyperlink r:id="rId330">
        <w:r>
          <w:rPr>
            <w:rFonts w:ascii="Calibri"/>
            <w:i/>
            <w:color w:val="FFFFFF"/>
            <w:sz w:val="15"/>
          </w:rPr>
          <w:t>herreratapia2001@yahoo.com.mx</w:t>
        </w:r>
      </w:hyperlink>
    </w:p>
    <w:p>
      <w:pPr>
        <w:spacing w:after="0" w:line="181" w:lineRule="exact"/>
        <w:jc w:val="left"/>
        <w:rPr>
          <w:rFonts w:ascii="Calibri"/>
          <w:sz w:val="15"/>
        </w:rPr>
        <w:sectPr>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351"/>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21"/>
        <w:jc w:val="both"/>
      </w:pPr>
      <w:r>
        <w:rPr/>
        <w:pict>
          <v:shape style="position:absolute;margin-left:103.218903pt;margin-top:13.11352pt;width:31.2pt;height:51pt;mso-position-horizontal-relative:page;mso-position-vertical-relative:paragraph;z-index:39328"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n</w:t>
      </w:r>
      <w:r>
        <w:rPr>
          <w:color w:val="231F20"/>
          <w:spacing w:val="-17"/>
          <w:w w:val="105"/>
        </w:rPr>
        <w:t> </w:t>
      </w:r>
      <w:r>
        <w:rPr>
          <w:color w:val="231F20"/>
          <w:w w:val="105"/>
        </w:rPr>
        <w:t>la</w:t>
      </w:r>
      <w:r>
        <w:rPr>
          <w:color w:val="231F20"/>
          <w:spacing w:val="-17"/>
          <w:w w:val="105"/>
        </w:rPr>
        <w:t> </w:t>
      </w:r>
      <w:r>
        <w:rPr>
          <w:color w:val="231F20"/>
          <w:w w:val="105"/>
        </w:rPr>
        <w:t>actualidad,</w:t>
      </w:r>
      <w:r>
        <w:rPr>
          <w:color w:val="231F20"/>
          <w:spacing w:val="-22"/>
          <w:w w:val="105"/>
        </w:rPr>
        <w:t> </w:t>
      </w:r>
      <w:r>
        <w:rPr>
          <w:color w:val="231F20"/>
          <w:w w:val="105"/>
        </w:rPr>
        <w:t>la</w:t>
      </w:r>
      <w:r>
        <w:rPr>
          <w:color w:val="231F20"/>
          <w:spacing w:val="-17"/>
          <w:w w:val="105"/>
        </w:rPr>
        <w:t> </w:t>
      </w:r>
      <w:r>
        <w:rPr>
          <w:color w:val="231F20"/>
          <w:w w:val="105"/>
        </w:rPr>
        <w:t>migración</w:t>
      </w:r>
      <w:r>
        <w:rPr>
          <w:color w:val="231F20"/>
          <w:spacing w:val="-17"/>
          <w:w w:val="105"/>
        </w:rPr>
        <w:t> </w:t>
      </w:r>
      <w:r>
        <w:rPr>
          <w:color w:val="231F20"/>
          <w:w w:val="105"/>
        </w:rPr>
        <w:t>internacional</w:t>
      </w:r>
      <w:r>
        <w:rPr>
          <w:color w:val="231F20"/>
          <w:spacing w:val="-17"/>
          <w:w w:val="105"/>
        </w:rPr>
        <w:t> </w:t>
      </w:r>
      <w:r>
        <w:rPr>
          <w:color w:val="231F20"/>
          <w:w w:val="105"/>
        </w:rPr>
        <w:t>juega</w:t>
      </w:r>
      <w:r>
        <w:rPr>
          <w:color w:val="231F20"/>
          <w:spacing w:val="-17"/>
          <w:w w:val="105"/>
        </w:rPr>
        <w:t> </w:t>
      </w:r>
      <w:r>
        <w:rPr>
          <w:color w:val="231F20"/>
          <w:w w:val="105"/>
        </w:rPr>
        <w:t>un</w:t>
      </w:r>
      <w:r>
        <w:rPr>
          <w:color w:val="231F20"/>
          <w:spacing w:val="-17"/>
          <w:w w:val="105"/>
        </w:rPr>
        <w:t> </w:t>
      </w:r>
      <w:r>
        <w:rPr>
          <w:color w:val="231F20"/>
          <w:w w:val="105"/>
        </w:rPr>
        <w:t>papel</w:t>
      </w:r>
      <w:r>
        <w:rPr>
          <w:color w:val="231F20"/>
          <w:spacing w:val="-17"/>
          <w:w w:val="105"/>
        </w:rPr>
        <w:t> </w:t>
      </w:r>
      <w:r>
        <w:rPr>
          <w:color w:val="231F20"/>
          <w:w w:val="105"/>
        </w:rPr>
        <w:t>vital para gran número de familias en México y el mundo (Baca</w:t>
      </w:r>
      <w:r>
        <w:rPr>
          <w:color w:val="231F20"/>
          <w:spacing w:val="-10"/>
          <w:w w:val="105"/>
        </w:rPr>
        <w:t> </w:t>
      </w:r>
      <w:r>
        <w:rPr>
          <w:color w:val="231F20"/>
          <w:w w:val="105"/>
        </w:rPr>
        <w:t>y Salas,</w:t>
      </w:r>
      <w:r>
        <w:rPr>
          <w:color w:val="231F20"/>
          <w:spacing w:val="-13"/>
          <w:w w:val="105"/>
        </w:rPr>
        <w:t> </w:t>
      </w:r>
      <w:r>
        <w:rPr>
          <w:color w:val="231F20"/>
          <w:w w:val="105"/>
        </w:rPr>
        <w:t>2015).</w:t>
      </w:r>
      <w:r>
        <w:rPr>
          <w:color w:val="231F20"/>
          <w:spacing w:val="-13"/>
          <w:w w:val="105"/>
        </w:rPr>
        <w:t> </w:t>
      </w:r>
      <w:r>
        <w:rPr>
          <w:color w:val="231F20"/>
          <w:w w:val="105"/>
        </w:rPr>
        <w:t>Este</w:t>
      </w:r>
      <w:r>
        <w:rPr>
          <w:color w:val="231F20"/>
          <w:spacing w:val="-9"/>
          <w:w w:val="105"/>
        </w:rPr>
        <w:t> </w:t>
      </w:r>
      <w:r>
        <w:rPr>
          <w:color w:val="231F20"/>
          <w:w w:val="105"/>
        </w:rPr>
        <w:t>desplazamiento</w:t>
      </w:r>
      <w:r>
        <w:rPr>
          <w:color w:val="231F20"/>
          <w:spacing w:val="-9"/>
          <w:w w:val="105"/>
        </w:rPr>
        <w:t> </w:t>
      </w:r>
      <w:r>
        <w:rPr>
          <w:color w:val="231F20"/>
          <w:w w:val="105"/>
        </w:rPr>
        <w:t>de</w:t>
      </w:r>
      <w:r>
        <w:rPr>
          <w:color w:val="231F20"/>
          <w:spacing w:val="-9"/>
          <w:w w:val="105"/>
        </w:rPr>
        <w:t> </w:t>
      </w:r>
      <w:r>
        <w:rPr>
          <w:color w:val="231F20"/>
          <w:w w:val="105"/>
        </w:rPr>
        <w:t>personas</w:t>
      </w:r>
      <w:r>
        <w:rPr>
          <w:color w:val="231F20"/>
          <w:spacing w:val="-9"/>
          <w:w w:val="105"/>
        </w:rPr>
        <w:t> </w:t>
      </w:r>
      <w:r>
        <w:rPr>
          <w:color w:val="231F20"/>
          <w:w w:val="105"/>
        </w:rPr>
        <w:t>es</w:t>
      </w:r>
      <w:r>
        <w:rPr>
          <w:color w:val="231F20"/>
          <w:spacing w:val="-9"/>
          <w:w w:val="105"/>
        </w:rPr>
        <w:t> </w:t>
      </w:r>
      <w:r>
        <w:rPr>
          <w:color w:val="231F20"/>
          <w:w w:val="105"/>
        </w:rPr>
        <w:t>motivado por</w:t>
      </w:r>
      <w:r>
        <w:rPr>
          <w:color w:val="231F20"/>
          <w:spacing w:val="-30"/>
          <w:w w:val="105"/>
        </w:rPr>
        <w:t> </w:t>
      </w:r>
      <w:r>
        <w:rPr>
          <w:color w:val="231F20"/>
          <w:w w:val="105"/>
        </w:rPr>
        <w:t>causas</w:t>
      </w:r>
      <w:r>
        <w:rPr>
          <w:color w:val="231F20"/>
          <w:spacing w:val="-30"/>
          <w:w w:val="105"/>
        </w:rPr>
        <w:t> </w:t>
      </w:r>
      <w:r>
        <w:rPr>
          <w:color w:val="231F20"/>
          <w:w w:val="105"/>
        </w:rPr>
        <w:t>diversas:</w:t>
      </w:r>
      <w:r>
        <w:rPr>
          <w:color w:val="231F20"/>
          <w:spacing w:val="-30"/>
          <w:w w:val="105"/>
        </w:rPr>
        <w:t> </w:t>
      </w:r>
      <w:r>
        <w:rPr>
          <w:color w:val="231F20"/>
          <w:w w:val="105"/>
        </w:rPr>
        <w:t>una</w:t>
      </w:r>
      <w:r>
        <w:rPr>
          <w:color w:val="231F20"/>
          <w:spacing w:val="-30"/>
          <w:w w:val="105"/>
        </w:rPr>
        <w:t> </w:t>
      </w:r>
      <w:r>
        <w:rPr>
          <w:color w:val="231F20"/>
          <w:w w:val="105"/>
        </w:rPr>
        <w:t>de</w:t>
      </w:r>
      <w:r>
        <w:rPr>
          <w:color w:val="231F20"/>
          <w:spacing w:val="-30"/>
          <w:w w:val="105"/>
        </w:rPr>
        <w:t> </w:t>
      </w:r>
      <w:r>
        <w:rPr>
          <w:color w:val="231F20"/>
          <w:w w:val="105"/>
        </w:rPr>
        <w:t>ellas</w:t>
      </w:r>
      <w:r>
        <w:rPr>
          <w:color w:val="231F20"/>
          <w:spacing w:val="-30"/>
          <w:w w:val="105"/>
        </w:rPr>
        <w:t> </w:t>
      </w:r>
      <w:r>
        <w:rPr>
          <w:color w:val="231F20"/>
          <w:w w:val="105"/>
        </w:rPr>
        <w:t>y</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más</w:t>
      </w:r>
      <w:r>
        <w:rPr>
          <w:color w:val="231F20"/>
          <w:spacing w:val="-30"/>
          <w:w w:val="105"/>
        </w:rPr>
        <w:t> </w:t>
      </w:r>
      <w:r>
        <w:rPr>
          <w:color w:val="231F20"/>
          <w:w w:val="105"/>
        </w:rPr>
        <w:t>estudiadas</w:t>
      </w:r>
      <w:r>
        <w:rPr>
          <w:color w:val="231F20"/>
          <w:spacing w:val="-30"/>
          <w:w w:val="105"/>
        </w:rPr>
        <w:t> </w:t>
      </w:r>
      <w:r>
        <w:rPr>
          <w:color w:val="231F20"/>
          <w:w w:val="105"/>
        </w:rPr>
        <w:t>es</w:t>
      </w:r>
      <w:r>
        <w:rPr>
          <w:color w:val="231F20"/>
          <w:spacing w:val="-30"/>
          <w:w w:val="105"/>
        </w:rPr>
        <w:t> </w:t>
      </w:r>
      <w:r>
        <w:rPr>
          <w:color w:val="231F20"/>
          <w:w w:val="105"/>
        </w:rPr>
        <w:t>el desempleo. La lógica de la migración determina que los</w:t>
      </w:r>
      <w:r>
        <w:rPr>
          <w:color w:val="231F20"/>
          <w:spacing w:val="-20"/>
          <w:w w:val="105"/>
        </w:rPr>
        <w:t> </w:t>
      </w:r>
      <w:r>
        <w:rPr>
          <w:color w:val="231F20"/>
          <w:w w:val="105"/>
        </w:rPr>
        <w:t>que</w:t>
      </w:r>
    </w:p>
    <w:p>
      <w:pPr>
        <w:pStyle w:val="BodyText"/>
        <w:spacing w:line="261" w:lineRule="auto" w:before="1"/>
        <w:ind w:left="1837" w:right="1721"/>
        <w:jc w:val="both"/>
      </w:pPr>
      <w:r>
        <w:rPr>
          <w:color w:val="231F20"/>
          <w:w w:val="105"/>
        </w:rPr>
        <w:t>migran</w:t>
      </w:r>
      <w:r>
        <w:rPr>
          <w:color w:val="231F20"/>
          <w:spacing w:val="-19"/>
          <w:w w:val="105"/>
        </w:rPr>
        <w:t> </w:t>
      </w:r>
      <w:r>
        <w:rPr>
          <w:color w:val="231F20"/>
          <w:w w:val="105"/>
        </w:rPr>
        <w:t>sean</w:t>
      </w:r>
      <w:r>
        <w:rPr>
          <w:color w:val="231F20"/>
          <w:spacing w:val="-19"/>
          <w:w w:val="105"/>
        </w:rPr>
        <w:t> </w:t>
      </w:r>
      <w:r>
        <w:rPr>
          <w:color w:val="231F20"/>
          <w:w w:val="105"/>
        </w:rPr>
        <w:t>aquellos</w:t>
      </w:r>
      <w:r>
        <w:rPr>
          <w:color w:val="231F20"/>
          <w:spacing w:val="-19"/>
          <w:w w:val="105"/>
        </w:rPr>
        <w:t> </w:t>
      </w:r>
      <w:r>
        <w:rPr>
          <w:color w:val="231F20"/>
          <w:w w:val="105"/>
        </w:rPr>
        <w:t>integrantes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población</w:t>
      </w:r>
      <w:r>
        <w:rPr>
          <w:color w:val="231F20"/>
          <w:spacing w:val="-19"/>
          <w:w w:val="105"/>
        </w:rPr>
        <w:t> </w:t>
      </w:r>
      <w:r>
        <w:rPr>
          <w:color w:val="231F20"/>
          <w:w w:val="105"/>
        </w:rPr>
        <w:t>que</w:t>
      </w:r>
      <w:r>
        <w:rPr>
          <w:color w:val="231F20"/>
          <w:spacing w:val="-19"/>
          <w:w w:val="105"/>
        </w:rPr>
        <w:t> </w:t>
      </w:r>
      <w:r>
        <w:rPr>
          <w:color w:val="231F20"/>
          <w:w w:val="105"/>
        </w:rPr>
        <w:t>son</w:t>
      </w:r>
      <w:r>
        <w:rPr>
          <w:color w:val="231F20"/>
          <w:spacing w:val="-19"/>
          <w:w w:val="105"/>
        </w:rPr>
        <w:t> </w:t>
      </w:r>
      <w:r>
        <w:rPr>
          <w:color w:val="231F20"/>
          <w:w w:val="105"/>
        </w:rPr>
        <w:t>potencialmen- te</w:t>
      </w:r>
      <w:r>
        <w:rPr>
          <w:color w:val="231F20"/>
          <w:spacing w:val="-6"/>
          <w:w w:val="105"/>
        </w:rPr>
        <w:t> </w:t>
      </w:r>
      <w:r>
        <w:rPr>
          <w:color w:val="231F20"/>
          <w:w w:val="105"/>
        </w:rPr>
        <w:t>productivos,</w:t>
      </w:r>
      <w:r>
        <w:rPr>
          <w:color w:val="231F20"/>
          <w:spacing w:val="-12"/>
          <w:w w:val="105"/>
        </w:rPr>
        <w:t> </w:t>
      </w:r>
      <w:r>
        <w:rPr>
          <w:color w:val="231F20"/>
          <w:w w:val="105"/>
        </w:rPr>
        <w:t>más</w:t>
      </w:r>
      <w:r>
        <w:rPr>
          <w:color w:val="231F20"/>
          <w:spacing w:val="-6"/>
          <w:w w:val="105"/>
        </w:rPr>
        <w:t> </w:t>
      </w:r>
      <w:r>
        <w:rPr>
          <w:color w:val="231F20"/>
          <w:w w:val="105"/>
        </w:rPr>
        <w:t>hábiles</w:t>
      </w:r>
      <w:r>
        <w:rPr>
          <w:color w:val="231F20"/>
          <w:spacing w:val="-6"/>
          <w:w w:val="105"/>
        </w:rPr>
        <w:t> </w:t>
      </w:r>
      <w:r>
        <w:rPr>
          <w:color w:val="231F20"/>
          <w:w w:val="105"/>
        </w:rPr>
        <w:t>y</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mejor</w:t>
      </w:r>
      <w:r>
        <w:rPr>
          <w:color w:val="231F20"/>
          <w:spacing w:val="-6"/>
          <w:w w:val="105"/>
        </w:rPr>
        <w:t> </w:t>
      </w:r>
      <w:r>
        <w:rPr>
          <w:color w:val="231F20"/>
          <w:w w:val="105"/>
        </w:rPr>
        <w:t>capacitación</w:t>
      </w:r>
      <w:r>
        <w:rPr>
          <w:color w:val="231F20"/>
          <w:spacing w:val="-6"/>
          <w:w w:val="105"/>
        </w:rPr>
        <w:t> </w:t>
      </w:r>
      <w:r>
        <w:rPr>
          <w:color w:val="231F20"/>
          <w:w w:val="105"/>
        </w:rPr>
        <w:t>en</w:t>
      </w:r>
      <w:r>
        <w:rPr>
          <w:color w:val="231F20"/>
          <w:spacing w:val="-6"/>
          <w:w w:val="105"/>
        </w:rPr>
        <w:t> </w:t>
      </w:r>
      <w:r>
        <w:rPr>
          <w:color w:val="231F20"/>
          <w:w w:val="105"/>
        </w:rPr>
        <w:t>todos</w:t>
      </w:r>
      <w:r>
        <w:rPr>
          <w:color w:val="231F20"/>
          <w:spacing w:val="-6"/>
          <w:w w:val="105"/>
        </w:rPr>
        <w:t> </w:t>
      </w:r>
      <w:r>
        <w:rPr>
          <w:color w:val="231F20"/>
          <w:w w:val="105"/>
        </w:rPr>
        <w:t>los</w:t>
      </w:r>
      <w:r>
        <w:rPr>
          <w:color w:val="231F20"/>
          <w:spacing w:val="-6"/>
          <w:w w:val="105"/>
        </w:rPr>
        <w:t> </w:t>
      </w:r>
      <w:r>
        <w:rPr>
          <w:color w:val="231F20"/>
          <w:w w:val="105"/>
        </w:rPr>
        <w:t>as- pectos. </w:t>
      </w:r>
      <w:r>
        <w:rPr>
          <w:color w:val="231F20"/>
          <w:spacing w:val="-6"/>
          <w:w w:val="105"/>
        </w:rPr>
        <w:t>Por </w:t>
      </w:r>
      <w:r>
        <w:rPr>
          <w:color w:val="231F20"/>
          <w:w w:val="105"/>
        </w:rPr>
        <w:t>ello es importante considerar la pérdida de capital humano que sufren las comunidades de origen, lo cual afecta negativamente a todas</w:t>
      </w:r>
      <w:r>
        <w:rPr>
          <w:color w:val="231F20"/>
          <w:spacing w:val="-19"/>
          <w:w w:val="105"/>
        </w:rPr>
        <w:t> </w:t>
      </w:r>
      <w:r>
        <w:rPr>
          <w:color w:val="231F20"/>
          <w:w w:val="105"/>
        </w:rPr>
        <w:t>las</w:t>
      </w:r>
      <w:r>
        <w:rPr>
          <w:color w:val="231F20"/>
          <w:spacing w:val="-19"/>
          <w:w w:val="105"/>
        </w:rPr>
        <w:t> </w:t>
      </w:r>
      <w:r>
        <w:rPr>
          <w:color w:val="231F20"/>
          <w:w w:val="105"/>
        </w:rPr>
        <w:t>actividades</w:t>
      </w:r>
      <w:r>
        <w:rPr>
          <w:color w:val="231F20"/>
          <w:spacing w:val="-19"/>
          <w:w w:val="105"/>
        </w:rPr>
        <w:t> </w:t>
      </w:r>
      <w:r>
        <w:rPr>
          <w:color w:val="231F20"/>
          <w:w w:val="105"/>
        </w:rPr>
        <w:t>productivas,</w:t>
      </w:r>
      <w:r>
        <w:rPr>
          <w:color w:val="231F20"/>
          <w:spacing w:val="-24"/>
          <w:w w:val="105"/>
        </w:rPr>
        <w:t> </w:t>
      </w:r>
      <w:r>
        <w:rPr>
          <w:color w:val="231F20"/>
          <w:w w:val="105"/>
        </w:rPr>
        <w:t>como</w:t>
      </w:r>
      <w:r>
        <w:rPr>
          <w:color w:val="231F20"/>
          <w:spacing w:val="-19"/>
          <w:w w:val="105"/>
        </w:rPr>
        <w:t> </w:t>
      </w:r>
      <w:r>
        <w:rPr>
          <w:color w:val="231F20"/>
          <w:w w:val="105"/>
        </w:rPr>
        <w:t>en</w:t>
      </w:r>
      <w:r>
        <w:rPr>
          <w:color w:val="231F20"/>
          <w:spacing w:val="-19"/>
          <w:w w:val="105"/>
        </w:rPr>
        <w:t> </w:t>
      </w:r>
      <w:r>
        <w:rPr>
          <w:color w:val="231F20"/>
          <w:w w:val="105"/>
        </w:rPr>
        <w:t>este</w:t>
      </w:r>
      <w:r>
        <w:rPr>
          <w:color w:val="231F20"/>
          <w:spacing w:val="-19"/>
          <w:w w:val="105"/>
        </w:rPr>
        <w:t> </w:t>
      </w:r>
      <w:r>
        <w:rPr>
          <w:color w:val="231F20"/>
          <w:w w:val="105"/>
        </w:rPr>
        <w:t>caso</w:t>
      </w:r>
      <w:r>
        <w:rPr>
          <w:color w:val="231F20"/>
          <w:spacing w:val="-19"/>
          <w:w w:val="105"/>
        </w:rPr>
        <w:t> </w:t>
      </w:r>
      <w:r>
        <w:rPr>
          <w:color w:val="231F20"/>
          <w:w w:val="105"/>
        </w:rPr>
        <w:t>principalmente</w:t>
      </w:r>
      <w:r>
        <w:rPr>
          <w:color w:val="231F20"/>
          <w:spacing w:val="-19"/>
          <w:w w:val="105"/>
        </w:rPr>
        <w:t> </w:t>
      </w:r>
      <w:r>
        <w:rPr>
          <w:color w:val="231F20"/>
          <w:w w:val="105"/>
        </w:rPr>
        <w:t>a</w:t>
      </w:r>
      <w:r>
        <w:rPr>
          <w:color w:val="231F20"/>
          <w:spacing w:val="-19"/>
          <w:w w:val="105"/>
        </w:rPr>
        <w:t> </w:t>
      </w:r>
      <w:r>
        <w:rPr>
          <w:color w:val="231F20"/>
          <w:w w:val="105"/>
        </w:rPr>
        <w:t>la </w:t>
      </w:r>
      <w:r>
        <w:rPr>
          <w:color w:val="231F20"/>
        </w:rPr>
        <w:t>agricultura (Salas y Cruz,</w:t>
      </w:r>
      <w:r>
        <w:rPr>
          <w:color w:val="231F20"/>
          <w:spacing w:val="-22"/>
        </w:rPr>
        <w:t> </w:t>
      </w:r>
      <w:r>
        <w:rPr>
          <w:color w:val="231F20"/>
        </w:rPr>
        <w:t>2014).</w:t>
      </w:r>
    </w:p>
    <w:p>
      <w:pPr>
        <w:pStyle w:val="BodyText"/>
        <w:spacing w:line="261" w:lineRule="auto" w:before="1"/>
        <w:ind w:left="1837" w:right="1715" w:firstLine="567"/>
        <w:jc w:val="both"/>
      </w:pPr>
      <w:r>
        <w:rPr>
          <w:color w:val="231F20"/>
          <w:w w:val="105"/>
        </w:rPr>
        <w:t>El maíz es parte fundamental de la dieta en nuestro país. Se</w:t>
      </w:r>
      <w:r>
        <w:rPr>
          <w:color w:val="231F20"/>
          <w:spacing w:val="-19"/>
          <w:w w:val="105"/>
        </w:rPr>
        <w:t> </w:t>
      </w:r>
      <w:r>
        <w:rPr>
          <w:color w:val="231F20"/>
          <w:w w:val="105"/>
        </w:rPr>
        <w:t>cree que la domesticación ha sido el logro más espectacular en el mejora- miento de plantas en la historia humana (Galinat, 1988). Asimismo, se estima</w:t>
      </w:r>
      <w:r>
        <w:rPr>
          <w:color w:val="231F20"/>
          <w:spacing w:val="-19"/>
          <w:w w:val="105"/>
        </w:rPr>
        <w:t> </w:t>
      </w:r>
      <w:r>
        <w:rPr>
          <w:color w:val="231F20"/>
          <w:w w:val="105"/>
        </w:rPr>
        <w:t>que</w:t>
      </w:r>
      <w:r>
        <w:rPr>
          <w:color w:val="231F20"/>
          <w:spacing w:val="-19"/>
          <w:w w:val="105"/>
        </w:rPr>
        <w:t> </w:t>
      </w:r>
      <w:r>
        <w:rPr>
          <w:color w:val="231F20"/>
          <w:w w:val="105"/>
        </w:rPr>
        <w:t>es</w:t>
      </w:r>
      <w:r>
        <w:rPr>
          <w:color w:val="231F20"/>
          <w:spacing w:val="-19"/>
          <w:w w:val="105"/>
        </w:rPr>
        <w:t> </w:t>
      </w:r>
      <w:r>
        <w:rPr>
          <w:color w:val="231F20"/>
          <w:w w:val="105"/>
        </w:rPr>
        <w:t>la</w:t>
      </w:r>
      <w:r>
        <w:rPr>
          <w:color w:val="231F20"/>
          <w:spacing w:val="-19"/>
          <w:w w:val="105"/>
        </w:rPr>
        <w:t> </w:t>
      </w:r>
      <w:r>
        <w:rPr>
          <w:color w:val="231F20"/>
          <w:w w:val="105"/>
        </w:rPr>
        <w:t>planta</w:t>
      </w:r>
      <w:r>
        <w:rPr>
          <w:color w:val="231F20"/>
          <w:spacing w:val="-19"/>
          <w:w w:val="105"/>
        </w:rPr>
        <w:t> </w:t>
      </w:r>
      <w:r>
        <w:rPr>
          <w:color w:val="231F20"/>
          <w:w w:val="105"/>
        </w:rPr>
        <w:t>más</w:t>
      </w:r>
      <w:r>
        <w:rPr>
          <w:color w:val="231F20"/>
          <w:spacing w:val="-19"/>
          <w:w w:val="105"/>
        </w:rPr>
        <w:t> </w:t>
      </w:r>
      <w:r>
        <w:rPr>
          <w:color w:val="231F20"/>
          <w:w w:val="105"/>
        </w:rPr>
        <w:t>eficiente</w:t>
      </w:r>
      <w:r>
        <w:rPr>
          <w:color w:val="231F20"/>
          <w:spacing w:val="-19"/>
          <w:w w:val="105"/>
        </w:rPr>
        <w:t> </w:t>
      </w:r>
      <w:r>
        <w:rPr>
          <w:color w:val="231F20"/>
          <w:w w:val="105"/>
        </w:rPr>
        <w:t>en</w:t>
      </w:r>
      <w:r>
        <w:rPr>
          <w:color w:val="231F20"/>
          <w:spacing w:val="-19"/>
          <w:w w:val="105"/>
        </w:rPr>
        <w:t> </w:t>
      </w:r>
      <w:r>
        <w:rPr>
          <w:color w:val="231F20"/>
          <w:w w:val="105"/>
        </w:rPr>
        <w:t>capturar</w:t>
      </w:r>
      <w:r>
        <w:rPr>
          <w:color w:val="231F20"/>
          <w:spacing w:val="-19"/>
          <w:w w:val="105"/>
        </w:rPr>
        <w:t> </w:t>
      </w:r>
      <w:r>
        <w:rPr>
          <w:color w:val="231F20"/>
          <w:w w:val="105"/>
        </w:rPr>
        <w:t>la</w:t>
      </w:r>
      <w:r>
        <w:rPr>
          <w:color w:val="231F20"/>
          <w:spacing w:val="-19"/>
          <w:w w:val="105"/>
        </w:rPr>
        <w:t> </w:t>
      </w:r>
      <w:r>
        <w:rPr>
          <w:color w:val="231F20"/>
          <w:w w:val="105"/>
        </w:rPr>
        <w:t>energía</w:t>
      </w:r>
      <w:r>
        <w:rPr>
          <w:color w:val="231F20"/>
          <w:spacing w:val="-19"/>
          <w:w w:val="105"/>
        </w:rPr>
        <w:t> </w:t>
      </w:r>
      <w:r>
        <w:rPr>
          <w:color w:val="231F20"/>
          <w:w w:val="105"/>
        </w:rPr>
        <w:t>del</w:t>
      </w:r>
      <w:r>
        <w:rPr>
          <w:color w:val="231F20"/>
          <w:spacing w:val="-19"/>
          <w:w w:val="105"/>
        </w:rPr>
        <w:t> </w:t>
      </w:r>
      <w:r>
        <w:rPr>
          <w:color w:val="231F20"/>
          <w:w w:val="105"/>
        </w:rPr>
        <w:t>sol</w:t>
      </w:r>
      <w:r>
        <w:rPr>
          <w:color w:val="231F20"/>
          <w:spacing w:val="-19"/>
          <w:w w:val="105"/>
        </w:rPr>
        <w:t> </w:t>
      </w:r>
      <w:r>
        <w:rPr>
          <w:color w:val="231F20"/>
          <w:w w:val="105"/>
        </w:rPr>
        <w:t>y</w:t>
      </w:r>
      <w:r>
        <w:rPr>
          <w:color w:val="231F20"/>
          <w:spacing w:val="-19"/>
          <w:w w:val="105"/>
        </w:rPr>
        <w:t> </w:t>
      </w:r>
      <w:r>
        <w:rPr>
          <w:color w:val="231F20"/>
          <w:w w:val="105"/>
        </w:rPr>
        <w:t>con- vertirla</w:t>
      </w:r>
      <w:r>
        <w:rPr>
          <w:color w:val="231F20"/>
          <w:spacing w:val="-12"/>
          <w:w w:val="105"/>
        </w:rPr>
        <w:t> </w:t>
      </w:r>
      <w:r>
        <w:rPr>
          <w:color w:val="231F20"/>
          <w:w w:val="105"/>
        </w:rPr>
        <w:t>en</w:t>
      </w:r>
      <w:r>
        <w:rPr>
          <w:color w:val="231F20"/>
          <w:spacing w:val="-12"/>
          <w:w w:val="105"/>
        </w:rPr>
        <w:t> </w:t>
      </w:r>
      <w:r>
        <w:rPr>
          <w:color w:val="231F20"/>
          <w:w w:val="105"/>
        </w:rPr>
        <w:t>comida.</w:t>
      </w:r>
      <w:r>
        <w:rPr>
          <w:color w:val="231F20"/>
          <w:spacing w:val="-20"/>
          <w:w w:val="105"/>
        </w:rPr>
        <w:t> </w:t>
      </w:r>
      <w:r>
        <w:rPr>
          <w:color w:val="231F20"/>
          <w:w w:val="105"/>
        </w:rPr>
        <w:t>Además,</w:t>
      </w:r>
      <w:r>
        <w:rPr>
          <w:color w:val="231F20"/>
          <w:spacing w:val="-18"/>
          <w:w w:val="105"/>
        </w:rPr>
        <w:t> </w:t>
      </w:r>
      <w:r>
        <w:rPr>
          <w:color w:val="231F20"/>
          <w:w w:val="105"/>
        </w:rPr>
        <w:t>tiene</w:t>
      </w:r>
      <w:r>
        <w:rPr>
          <w:color w:val="231F20"/>
          <w:spacing w:val="-12"/>
          <w:w w:val="105"/>
        </w:rPr>
        <w:t> </w:t>
      </w:r>
      <w:r>
        <w:rPr>
          <w:color w:val="231F20"/>
          <w:w w:val="105"/>
        </w:rPr>
        <w:t>una</w:t>
      </w:r>
      <w:r>
        <w:rPr>
          <w:color w:val="231F20"/>
          <w:spacing w:val="-12"/>
          <w:w w:val="105"/>
        </w:rPr>
        <w:t> </w:t>
      </w:r>
      <w:r>
        <w:rPr>
          <w:color w:val="231F20"/>
          <w:w w:val="105"/>
        </w:rPr>
        <w:t>gran</w:t>
      </w:r>
      <w:r>
        <w:rPr>
          <w:color w:val="231F20"/>
          <w:spacing w:val="-12"/>
          <w:w w:val="105"/>
        </w:rPr>
        <w:t> </w:t>
      </w:r>
      <w:r>
        <w:rPr>
          <w:color w:val="231F20"/>
          <w:w w:val="105"/>
        </w:rPr>
        <w:t>elasticidad</w:t>
      </w:r>
      <w:r>
        <w:rPr>
          <w:color w:val="231F20"/>
          <w:spacing w:val="-12"/>
          <w:w w:val="105"/>
        </w:rPr>
        <w:t> </w:t>
      </w:r>
      <w:r>
        <w:rPr>
          <w:color w:val="231F20"/>
          <w:w w:val="105"/>
        </w:rPr>
        <w:t>al</w:t>
      </w:r>
      <w:r>
        <w:rPr>
          <w:color w:val="231F20"/>
          <w:spacing w:val="-12"/>
          <w:w w:val="105"/>
        </w:rPr>
        <w:t> </w:t>
      </w:r>
      <w:r>
        <w:rPr>
          <w:color w:val="231F20"/>
          <w:w w:val="105"/>
        </w:rPr>
        <w:t>adaptarse</w:t>
      </w:r>
      <w:r>
        <w:rPr>
          <w:color w:val="231F20"/>
          <w:spacing w:val="-12"/>
          <w:w w:val="105"/>
        </w:rPr>
        <w:t> </w:t>
      </w:r>
      <w:r>
        <w:rPr>
          <w:color w:val="231F20"/>
          <w:w w:val="105"/>
        </w:rPr>
        <w:t>a</w:t>
      </w:r>
      <w:r>
        <w:rPr>
          <w:color w:val="231F20"/>
          <w:spacing w:val="-12"/>
          <w:w w:val="105"/>
        </w:rPr>
        <w:t> </w:t>
      </w:r>
      <w:r>
        <w:rPr>
          <w:color w:val="231F20"/>
          <w:w w:val="105"/>
        </w:rPr>
        <w:t>di- ferentes</w:t>
      </w:r>
      <w:r>
        <w:rPr>
          <w:color w:val="231F20"/>
          <w:spacing w:val="-22"/>
          <w:w w:val="105"/>
        </w:rPr>
        <w:t> </w:t>
      </w:r>
      <w:r>
        <w:rPr>
          <w:color w:val="231F20"/>
          <w:w w:val="105"/>
        </w:rPr>
        <w:t>condiciones</w:t>
      </w:r>
      <w:r>
        <w:rPr>
          <w:color w:val="231F20"/>
          <w:spacing w:val="-22"/>
          <w:w w:val="105"/>
        </w:rPr>
        <w:t> </w:t>
      </w:r>
      <w:r>
        <w:rPr>
          <w:color w:val="231F20"/>
          <w:w w:val="105"/>
        </w:rPr>
        <w:t>de</w:t>
      </w:r>
      <w:r>
        <w:rPr>
          <w:color w:val="231F20"/>
          <w:spacing w:val="-22"/>
          <w:w w:val="105"/>
        </w:rPr>
        <w:t> </w:t>
      </w:r>
      <w:r>
        <w:rPr>
          <w:color w:val="231F20"/>
          <w:w w:val="105"/>
        </w:rPr>
        <w:t>humedad,</w:t>
      </w:r>
      <w:r>
        <w:rPr>
          <w:color w:val="231F20"/>
          <w:spacing w:val="-27"/>
          <w:w w:val="105"/>
        </w:rPr>
        <w:t> </w:t>
      </w:r>
      <w:r>
        <w:rPr>
          <w:color w:val="231F20"/>
          <w:w w:val="105"/>
        </w:rPr>
        <w:t>luz</w:t>
      </w:r>
      <w:r>
        <w:rPr>
          <w:color w:val="231F20"/>
          <w:spacing w:val="-22"/>
          <w:w w:val="105"/>
        </w:rPr>
        <w:t> </w:t>
      </w:r>
      <w:r>
        <w:rPr>
          <w:color w:val="231F20"/>
          <w:w w:val="105"/>
        </w:rPr>
        <w:t>solar,</w:t>
      </w:r>
      <w:r>
        <w:rPr>
          <w:color w:val="231F20"/>
          <w:spacing w:val="-27"/>
          <w:w w:val="105"/>
        </w:rPr>
        <w:t> </w:t>
      </w:r>
      <w:r>
        <w:rPr>
          <w:color w:val="231F20"/>
          <w:w w:val="105"/>
        </w:rPr>
        <w:t>altitud</w:t>
      </w:r>
      <w:r>
        <w:rPr>
          <w:color w:val="231F20"/>
          <w:spacing w:val="-22"/>
          <w:w w:val="105"/>
        </w:rPr>
        <w:t> </w:t>
      </w:r>
      <w:r>
        <w:rPr>
          <w:color w:val="231F20"/>
          <w:w w:val="105"/>
        </w:rPr>
        <w:t>y</w:t>
      </w:r>
      <w:r>
        <w:rPr>
          <w:color w:val="231F20"/>
          <w:spacing w:val="-22"/>
          <w:w w:val="105"/>
        </w:rPr>
        <w:t> </w:t>
      </w:r>
      <w:r>
        <w:rPr>
          <w:color w:val="231F20"/>
          <w:w w:val="105"/>
        </w:rPr>
        <w:t>temperatura</w:t>
      </w:r>
      <w:r>
        <w:rPr>
          <w:color w:val="231F20"/>
          <w:spacing w:val="-22"/>
          <w:w w:val="105"/>
        </w:rPr>
        <w:t> </w:t>
      </w:r>
      <w:r>
        <w:rPr>
          <w:color w:val="231F20"/>
          <w:w w:val="105"/>
        </w:rPr>
        <w:t>(Mugo, Songa, De Groote y Hoisington, 2001). Esta habilidad de la planta</w:t>
      </w:r>
      <w:r>
        <w:rPr>
          <w:color w:val="231F20"/>
          <w:spacing w:val="-16"/>
          <w:w w:val="105"/>
        </w:rPr>
        <w:t> </w:t>
      </w:r>
      <w:r>
        <w:rPr>
          <w:color w:val="231F20"/>
          <w:w w:val="105"/>
        </w:rPr>
        <w:t>para adaptarse</w:t>
      </w:r>
      <w:r>
        <w:rPr>
          <w:color w:val="231F20"/>
          <w:spacing w:val="-8"/>
          <w:w w:val="105"/>
        </w:rPr>
        <w:t> </w:t>
      </w:r>
      <w:r>
        <w:rPr>
          <w:color w:val="231F20"/>
          <w:w w:val="105"/>
        </w:rPr>
        <w:t>y</w:t>
      </w:r>
      <w:r>
        <w:rPr>
          <w:color w:val="231F20"/>
          <w:spacing w:val="-8"/>
          <w:w w:val="105"/>
        </w:rPr>
        <w:t> </w:t>
      </w:r>
      <w:r>
        <w:rPr>
          <w:color w:val="231F20"/>
          <w:w w:val="105"/>
        </w:rPr>
        <w:t>reproducirse</w:t>
      </w:r>
      <w:r>
        <w:rPr>
          <w:color w:val="231F20"/>
          <w:spacing w:val="-8"/>
          <w:w w:val="105"/>
        </w:rPr>
        <w:t> </w:t>
      </w:r>
      <w:r>
        <w:rPr>
          <w:color w:val="231F20"/>
          <w:w w:val="105"/>
        </w:rPr>
        <w:t>en</w:t>
      </w:r>
      <w:r>
        <w:rPr>
          <w:color w:val="231F20"/>
          <w:spacing w:val="-8"/>
          <w:w w:val="105"/>
        </w:rPr>
        <w:t> </w:t>
      </w:r>
      <w:r>
        <w:rPr>
          <w:color w:val="231F20"/>
          <w:w w:val="105"/>
        </w:rPr>
        <w:t>una</w:t>
      </w:r>
      <w:r>
        <w:rPr>
          <w:color w:val="231F20"/>
          <w:spacing w:val="-8"/>
          <w:w w:val="105"/>
        </w:rPr>
        <w:t> </w:t>
      </w:r>
      <w:r>
        <w:rPr>
          <w:color w:val="231F20"/>
          <w:w w:val="105"/>
        </w:rPr>
        <w:t>amplia</w:t>
      </w:r>
      <w:r>
        <w:rPr>
          <w:color w:val="231F20"/>
          <w:spacing w:val="-8"/>
          <w:w w:val="105"/>
        </w:rPr>
        <w:t> </w:t>
      </w:r>
      <w:r>
        <w:rPr>
          <w:color w:val="231F20"/>
          <w:w w:val="105"/>
        </w:rPr>
        <w:t>variedad</w:t>
      </w:r>
      <w:r>
        <w:rPr>
          <w:color w:val="231F20"/>
          <w:spacing w:val="-8"/>
          <w:w w:val="105"/>
        </w:rPr>
        <w:t> </w:t>
      </w:r>
      <w:r>
        <w:rPr>
          <w:color w:val="231F20"/>
          <w:w w:val="105"/>
        </w:rPr>
        <w:t>de</w:t>
      </w:r>
      <w:r>
        <w:rPr>
          <w:color w:val="231F20"/>
          <w:spacing w:val="-8"/>
          <w:w w:val="105"/>
        </w:rPr>
        <w:t> </w:t>
      </w:r>
      <w:r>
        <w:rPr>
          <w:color w:val="231F20"/>
          <w:w w:val="105"/>
        </w:rPr>
        <w:t>circunstancias</w:t>
      </w:r>
      <w:r>
        <w:rPr>
          <w:color w:val="231F20"/>
          <w:spacing w:val="-8"/>
          <w:w w:val="105"/>
        </w:rPr>
        <w:t> </w:t>
      </w:r>
      <w:r>
        <w:rPr>
          <w:color w:val="231F20"/>
          <w:w w:val="105"/>
        </w:rPr>
        <w:t>am- bientales ha permitido su difusión en todo el mundo y por lo tanto que tenga</w:t>
      </w:r>
      <w:r>
        <w:rPr>
          <w:color w:val="231F20"/>
          <w:spacing w:val="-16"/>
          <w:w w:val="105"/>
        </w:rPr>
        <w:t> </w:t>
      </w:r>
      <w:r>
        <w:rPr>
          <w:color w:val="231F20"/>
          <w:w w:val="105"/>
        </w:rPr>
        <w:t>un</w:t>
      </w:r>
      <w:r>
        <w:rPr>
          <w:color w:val="231F20"/>
          <w:spacing w:val="-16"/>
          <w:w w:val="105"/>
        </w:rPr>
        <w:t> </w:t>
      </w:r>
      <w:r>
        <w:rPr>
          <w:color w:val="231F20"/>
          <w:w w:val="105"/>
        </w:rPr>
        <w:t>papel</w:t>
      </w:r>
      <w:r>
        <w:rPr>
          <w:color w:val="231F20"/>
          <w:spacing w:val="-16"/>
          <w:w w:val="105"/>
        </w:rPr>
        <w:t> </w:t>
      </w:r>
      <w:r>
        <w:rPr>
          <w:color w:val="231F20"/>
          <w:w w:val="105"/>
        </w:rPr>
        <w:t>central</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economía</w:t>
      </w:r>
      <w:r>
        <w:rPr>
          <w:color w:val="231F20"/>
          <w:spacing w:val="-16"/>
          <w:w w:val="105"/>
        </w:rPr>
        <w:t> </w:t>
      </w:r>
      <w:r>
        <w:rPr>
          <w:color w:val="231F20"/>
          <w:w w:val="105"/>
        </w:rPr>
        <w:t>agrícola</w:t>
      </w:r>
      <w:r>
        <w:rPr>
          <w:color w:val="231F20"/>
          <w:spacing w:val="-16"/>
          <w:w w:val="105"/>
        </w:rPr>
        <w:t> </w:t>
      </w:r>
      <w:r>
        <w:rPr>
          <w:color w:val="231F20"/>
          <w:w w:val="105"/>
        </w:rPr>
        <w:t>global</w:t>
      </w:r>
      <w:r>
        <w:rPr>
          <w:color w:val="231F20"/>
          <w:spacing w:val="-16"/>
          <w:w w:val="105"/>
        </w:rPr>
        <w:t> </w:t>
      </w:r>
      <w:r>
        <w:rPr>
          <w:color w:val="231F20"/>
          <w:w w:val="105"/>
        </w:rPr>
        <w:t>(Staller,</w:t>
      </w:r>
      <w:r>
        <w:rPr>
          <w:color w:val="231F20"/>
          <w:spacing w:val="-21"/>
          <w:w w:val="105"/>
        </w:rPr>
        <w:t> </w:t>
      </w:r>
      <w:r>
        <w:rPr>
          <w:color w:val="231F20"/>
          <w:w w:val="105"/>
        </w:rPr>
        <w:t>2010).</w:t>
      </w:r>
      <w:r>
        <w:rPr>
          <w:color w:val="231F20"/>
          <w:spacing w:val="-21"/>
          <w:w w:val="105"/>
        </w:rPr>
        <w:t> </w:t>
      </w:r>
      <w:r>
        <w:rPr>
          <w:color w:val="231F20"/>
          <w:w w:val="105"/>
        </w:rPr>
        <w:t>Sin duda,</w:t>
      </w:r>
      <w:r>
        <w:rPr>
          <w:color w:val="231F20"/>
          <w:spacing w:val="-20"/>
          <w:w w:val="105"/>
        </w:rPr>
        <w:t> </w:t>
      </w:r>
      <w:r>
        <w:rPr>
          <w:color w:val="231F20"/>
          <w:w w:val="105"/>
        </w:rPr>
        <w:t>el</w:t>
      </w:r>
      <w:r>
        <w:rPr>
          <w:color w:val="231F20"/>
          <w:spacing w:val="-13"/>
          <w:w w:val="105"/>
        </w:rPr>
        <w:t> </w:t>
      </w:r>
      <w:r>
        <w:rPr>
          <w:color w:val="231F20"/>
          <w:w w:val="105"/>
        </w:rPr>
        <w:t>mayor</w:t>
      </w:r>
      <w:r>
        <w:rPr>
          <w:color w:val="231F20"/>
          <w:spacing w:val="-13"/>
          <w:w w:val="105"/>
        </w:rPr>
        <w:t> </w:t>
      </w:r>
      <w:r>
        <w:rPr>
          <w:color w:val="231F20"/>
          <w:w w:val="105"/>
        </w:rPr>
        <w:t>beneficio</w:t>
      </w:r>
      <w:r>
        <w:rPr>
          <w:color w:val="231F20"/>
          <w:spacing w:val="-13"/>
          <w:w w:val="105"/>
        </w:rPr>
        <w:t> </w:t>
      </w:r>
      <w:r>
        <w:rPr>
          <w:color w:val="231F20"/>
          <w:w w:val="105"/>
        </w:rPr>
        <w:t>brindado</w:t>
      </w:r>
      <w:r>
        <w:rPr>
          <w:color w:val="231F20"/>
          <w:spacing w:val="-13"/>
          <w:w w:val="105"/>
        </w:rPr>
        <w:t> </w:t>
      </w:r>
      <w:r>
        <w:rPr>
          <w:color w:val="231F20"/>
          <w:w w:val="105"/>
        </w:rPr>
        <w:t>reside</w:t>
      </w:r>
      <w:r>
        <w:rPr>
          <w:color w:val="231F20"/>
          <w:spacing w:val="-13"/>
          <w:w w:val="105"/>
        </w:rPr>
        <w:t> </w:t>
      </w:r>
      <w:r>
        <w:rPr>
          <w:color w:val="231F20"/>
          <w:w w:val="105"/>
        </w:rPr>
        <w:t>en</w:t>
      </w:r>
      <w:r>
        <w:rPr>
          <w:color w:val="231F20"/>
          <w:spacing w:val="-13"/>
          <w:w w:val="105"/>
        </w:rPr>
        <w:t> </w:t>
      </w:r>
      <w:r>
        <w:rPr>
          <w:color w:val="231F20"/>
          <w:w w:val="105"/>
        </w:rPr>
        <w:t>que</w:t>
      </w:r>
      <w:r>
        <w:rPr>
          <w:color w:val="231F20"/>
          <w:spacing w:val="-13"/>
          <w:w w:val="105"/>
        </w:rPr>
        <w:t> </w:t>
      </w:r>
      <w:r>
        <w:rPr>
          <w:color w:val="231F20"/>
          <w:w w:val="105"/>
        </w:rPr>
        <w:t>es</w:t>
      </w:r>
      <w:r>
        <w:rPr>
          <w:color w:val="231F20"/>
          <w:spacing w:val="-13"/>
          <w:w w:val="105"/>
        </w:rPr>
        <w:t> </w:t>
      </w:r>
      <w:r>
        <w:rPr>
          <w:color w:val="231F20"/>
          <w:w w:val="105"/>
        </w:rPr>
        <w:t>la</w:t>
      </w:r>
      <w:r>
        <w:rPr>
          <w:color w:val="231F20"/>
          <w:spacing w:val="-13"/>
          <w:w w:val="105"/>
        </w:rPr>
        <w:t> </w:t>
      </w:r>
      <w:r>
        <w:rPr>
          <w:color w:val="231F20"/>
          <w:w w:val="105"/>
        </w:rPr>
        <w:t>base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alimen- tación</w:t>
      </w:r>
      <w:r>
        <w:rPr>
          <w:color w:val="231F20"/>
          <w:spacing w:val="-15"/>
          <w:w w:val="105"/>
        </w:rPr>
        <w:t> </w:t>
      </w:r>
      <w:r>
        <w:rPr>
          <w:color w:val="231F20"/>
          <w:w w:val="105"/>
        </w:rPr>
        <w:t>para</w:t>
      </w:r>
      <w:r>
        <w:rPr>
          <w:color w:val="231F20"/>
          <w:spacing w:val="-15"/>
          <w:w w:val="105"/>
        </w:rPr>
        <w:t> </w:t>
      </w:r>
      <w:r>
        <w:rPr>
          <w:color w:val="231F20"/>
          <w:w w:val="105"/>
        </w:rPr>
        <w:t>numerosas</w:t>
      </w:r>
      <w:r>
        <w:rPr>
          <w:color w:val="231F20"/>
          <w:spacing w:val="-15"/>
          <w:w w:val="105"/>
        </w:rPr>
        <w:t> </w:t>
      </w:r>
      <w:r>
        <w:rPr>
          <w:color w:val="231F20"/>
          <w:w w:val="105"/>
        </w:rPr>
        <w:t>regiones</w:t>
      </w:r>
      <w:r>
        <w:rPr>
          <w:color w:val="231F20"/>
          <w:spacing w:val="-15"/>
          <w:w w:val="105"/>
        </w:rPr>
        <w:t> </w:t>
      </w:r>
      <w:r>
        <w:rPr>
          <w:color w:val="231F20"/>
          <w:w w:val="105"/>
        </w:rPr>
        <w:t>rurales</w:t>
      </w:r>
      <w:r>
        <w:rPr>
          <w:color w:val="231F20"/>
          <w:spacing w:val="-15"/>
          <w:w w:val="105"/>
        </w:rPr>
        <w:t> </w:t>
      </w:r>
      <w:r>
        <w:rPr>
          <w:color w:val="231F20"/>
          <w:w w:val="105"/>
        </w:rPr>
        <w:t>del</w:t>
      </w:r>
      <w:r>
        <w:rPr>
          <w:color w:val="231F20"/>
          <w:spacing w:val="-15"/>
          <w:w w:val="105"/>
        </w:rPr>
        <w:t> </w:t>
      </w:r>
      <w:r>
        <w:rPr>
          <w:color w:val="231F20"/>
          <w:w w:val="105"/>
        </w:rPr>
        <w:t>mundo.</w:t>
      </w:r>
      <w:r>
        <w:rPr>
          <w:color w:val="231F20"/>
          <w:spacing w:val="-20"/>
          <w:w w:val="105"/>
        </w:rPr>
        <w:t> </w:t>
      </w:r>
      <w:r>
        <w:rPr>
          <w:color w:val="231F20"/>
          <w:w w:val="105"/>
        </w:rPr>
        <w:t>Dada</w:t>
      </w:r>
      <w:r>
        <w:rPr>
          <w:color w:val="231F20"/>
          <w:spacing w:val="-15"/>
          <w:w w:val="105"/>
        </w:rPr>
        <w:t> </w:t>
      </w:r>
      <w:r>
        <w:rPr>
          <w:color w:val="231F20"/>
          <w:w w:val="105"/>
        </w:rPr>
        <w:t>la</w:t>
      </w:r>
      <w:r>
        <w:rPr>
          <w:color w:val="231F20"/>
          <w:spacing w:val="-15"/>
          <w:w w:val="105"/>
        </w:rPr>
        <w:t> </w:t>
      </w:r>
      <w:r>
        <w:rPr>
          <w:color w:val="231F20"/>
          <w:w w:val="105"/>
        </w:rPr>
        <w:t>importancia del</w:t>
      </w:r>
      <w:r>
        <w:rPr>
          <w:color w:val="231F20"/>
          <w:spacing w:val="-5"/>
          <w:w w:val="105"/>
        </w:rPr>
        <w:t> </w:t>
      </w:r>
      <w:r>
        <w:rPr>
          <w:color w:val="231F20"/>
          <w:w w:val="105"/>
        </w:rPr>
        <w:t>cultivo</w:t>
      </w:r>
      <w:r>
        <w:rPr>
          <w:color w:val="231F20"/>
          <w:spacing w:val="-5"/>
          <w:w w:val="105"/>
        </w:rPr>
        <w:t> </w:t>
      </w:r>
      <w:r>
        <w:rPr>
          <w:color w:val="231F20"/>
          <w:w w:val="105"/>
        </w:rPr>
        <w:t>de</w:t>
      </w:r>
      <w:r>
        <w:rPr>
          <w:color w:val="231F20"/>
          <w:spacing w:val="-5"/>
          <w:w w:val="105"/>
        </w:rPr>
        <w:t> </w:t>
      </w:r>
      <w:r>
        <w:rPr>
          <w:color w:val="231F20"/>
          <w:w w:val="105"/>
        </w:rPr>
        <w:t>maíz</w:t>
      </w:r>
      <w:r>
        <w:rPr>
          <w:color w:val="231F20"/>
          <w:spacing w:val="-5"/>
          <w:w w:val="105"/>
        </w:rPr>
        <w:t> </w:t>
      </w:r>
      <w:r>
        <w:rPr>
          <w:color w:val="231F20"/>
          <w:w w:val="105"/>
        </w:rPr>
        <w:t>para</w:t>
      </w:r>
      <w:r>
        <w:rPr>
          <w:color w:val="231F20"/>
          <w:spacing w:val="-5"/>
          <w:w w:val="105"/>
        </w:rPr>
        <w:t> </w:t>
      </w:r>
      <w:r>
        <w:rPr>
          <w:color w:val="231F20"/>
          <w:w w:val="105"/>
        </w:rPr>
        <w:t>los</w:t>
      </w:r>
      <w:r>
        <w:rPr>
          <w:color w:val="231F20"/>
          <w:spacing w:val="-5"/>
          <w:w w:val="105"/>
        </w:rPr>
        <w:t> </w:t>
      </w:r>
      <w:r>
        <w:rPr>
          <w:color w:val="231F20"/>
          <w:w w:val="105"/>
        </w:rPr>
        <w:t>habitantes</w:t>
      </w:r>
      <w:r>
        <w:rPr>
          <w:color w:val="231F20"/>
          <w:spacing w:val="-5"/>
          <w:w w:val="105"/>
        </w:rPr>
        <w:t> </w:t>
      </w:r>
      <w:r>
        <w:rPr>
          <w:color w:val="231F20"/>
          <w:w w:val="105"/>
        </w:rPr>
        <w:t>rurales</w:t>
      </w:r>
      <w:r>
        <w:rPr>
          <w:color w:val="231F20"/>
          <w:spacing w:val="-5"/>
          <w:w w:val="105"/>
        </w:rPr>
        <w:t> </w:t>
      </w:r>
      <w:r>
        <w:rPr>
          <w:color w:val="231F20"/>
          <w:w w:val="105"/>
        </w:rPr>
        <w:t>pobres,</w:t>
      </w:r>
      <w:r>
        <w:rPr>
          <w:color w:val="231F20"/>
          <w:spacing w:val="-11"/>
          <w:w w:val="105"/>
        </w:rPr>
        <w:t> </w:t>
      </w:r>
      <w:r>
        <w:rPr>
          <w:color w:val="231F20"/>
          <w:w w:val="105"/>
        </w:rPr>
        <w:t>resulta</w:t>
      </w:r>
      <w:r>
        <w:rPr>
          <w:color w:val="231F20"/>
          <w:spacing w:val="-5"/>
          <w:w w:val="105"/>
        </w:rPr>
        <w:t> </w:t>
      </w:r>
      <w:r>
        <w:rPr>
          <w:color w:val="231F20"/>
          <w:w w:val="105"/>
        </w:rPr>
        <w:t>prioritario analizar la migración rural como un fenómeno que puede generar</w:t>
      </w:r>
      <w:r>
        <w:rPr>
          <w:color w:val="231F20"/>
          <w:spacing w:val="-18"/>
          <w:w w:val="105"/>
        </w:rPr>
        <w:t> </w:t>
      </w:r>
      <w:r>
        <w:rPr>
          <w:color w:val="231F20"/>
          <w:w w:val="105"/>
        </w:rPr>
        <w:t>cam-</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695" w:right="1806"/>
        <w:jc w:val="both"/>
      </w:pPr>
      <w:r>
        <w:rPr>
          <w:color w:val="231F20"/>
          <w:w w:val="105"/>
        </w:rPr>
        <w:t>bios</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patrones</w:t>
      </w:r>
      <w:r>
        <w:rPr>
          <w:color w:val="231F20"/>
          <w:spacing w:val="-19"/>
          <w:w w:val="105"/>
        </w:rPr>
        <w:t> </w:t>
      </w:r>
      <w:r>
        <w:rPr>
          <w:color w:val="231F20"/>
          <w:w w:val="105"/>
        </w:rPr>
        <w:t>de</w:t>
      </w:r>
      <w:r>
        <w:rPr>
          <w:color w:val="231F20"/>
          <w:spacing w:val="-19"/>
          <w:w w:val="105"/>
        </w:rPr>
        <w:t> </w:t>
      </w:r>
      <w:r>
        <w:rPr>
          <w:color w:val="231F20"/>
          <w:w w:val="105"/>
        </w:rPr>
        <w:t>producción</w:t>
      </w:r>
      <w:r>
        <w:rPr>
          <w:color w:val="231F20"/>
          <w:spacing w:val="-19"/>
          <w:w w:val="105"/>
        </w:rPr>
        <w:t> </w:t>
      </w:r>
      <w:r>
        <w:rPr>
          <w:color w:val="231F20"/>
          <w:w w:val="105"/>
        </w:rPr>
        <w:t>de</w:t>
      </w:r>
      <w:r>
        <w:rPr>
          <w:color w:val="231F20"/>
          <w:spacing w:val="-19"/>
          <w:w w:val="105"/>
        </w:rPr>
        <w:t> </w:t>
      </w:r>
      <w:r>
        <w:rPr>
          <w:color w:val="231F20"/>
          <w:w w:val="105"/>
        </w:rPr>
        <w:t>esta</w:t>
      </w:r>
      <w:r>
        <w:rPr>
          <w:color w:val="231F20"/>
          <w:spacing w:val="-19"/>
          <w:w w:val="105"/>
        </w:rPr>
        <w:t> </w:t>
      </w:r>
      <w:r>
        <w:rPr>
          <w:color w:val="231F20"/>
          <w:w w:val="105"/>
        </w:rPr>
        <w:t>gramínea,</w:t>
      </w:r>
      <w:r>
        <w:rPr>
          <w:color w:val="231F20"/>
          <w:spacing w:val="-24"/>
          <w:w w:val="105"/>
        </w:rPr>
        <w:t> </w:t>
      </w:r>
      <w:r>
        <w:rPr>
          <w:color w:val="231F20"/>
          <w:w w:val="105"/>
        </w:rPr>
        <w:t>tomando</w:t>
      </w:r>
      <w:r>
        <w:rPr>
          <w:color w:val="231F20"/>
          <w:spacing w:val="-19"/>
          <w:w w:val="105"/>
        </w:rPr>
        <w:t> </w:t>
      </w:r>
      <w:r>
        <w:rPr>
          <w:color w:val="231F20"/>
          <w:w w:val="105"/>
        </w:rPr>
        <w:t>en</w:t>
      </w:r>
      <w:r>
        <w:rPr>
          <w:color w:val="231F20"/>
          <w:spacing w:val="-19"/>
          <w:w w:val="105"/>
        </w:rPr>
        <w:t> </w:t>
      </w:r>
      <w:r>
        <w:rPr>
          <w:color w:val="231F20"/>
          <w:w w:val="105"/>
        </w:rPr>
        <w:t>cuenta que existen factores endógenos y exógenos al territorio que pueden</w:t>
      </w:r>
      <w:r>
        <w:rPr>
          <w:color w:val="231F20"/>
          <w:spacing w:val="-30"/>
          <w:w w:val="105"/>
        </w:rPr>
        <w:t> </w:t>
      </w:r>
      <w:r>
        <w:rPr>
          <w:color w:val="231F20"/>
          <w:w w:val="105"/>
        </w:rPr>
        <w:t>im- pactar</w:t>
      </w:r>
      <w:r>
        <w:rPr>
          <w:color w:val="231F20"/>
          <w:spacing w:val="-14"/>
          <w:w w:val="105"/>
        </w:rPr>
        <w:t> </w:t>
      </w:r>
      <w:r>
        <w:rPr>
          <w:color w:val="231F20"/>
          <w:w w:val="105"/>
        </w:rPr>
        <w:t>de</w:t>
      </w:r>
      <w:r>
        <w:rPr>
          <w:color w:val="231F20"/>
          <w:spacing w:val="-14"/>
          <w:w w:val="105"/>
        </w:rPr>
        <w:t> </w:t>
      </w:r>
      <w:r>
        <w:rPr>
          <w:color w:val="231F20"/>
          <w:w w:val="105"/>
        </w:rPr>
        <w:t>manera</w:t>
      </w:r>
      <w:r>
        <w:rPr>
          <w:color w:val="231F20"/>
          <w:spacing w:val="-14"/>
          <w:w w:val="105"/>
        </w:rPr>
        <w:t> </w:t>
      </w:r>
      <w:r>
        <w:rPr>
          <w:color w:val="231F20"/>
          <w:w w:val="105"/>
        </w:rPr>
        <w:t>positiva</w:t>
      </w:r>
      <w:r>
        <w:rPr>
          <w:color w:val="231F20"/>
          <w:spacing w:val="-14"/>
          <w:w w:val="105"/>
        </w:rPr>
        <w:t> </w:t>
      </w:r>
      <w:r>
        <w:rPr>
          <w:color w:val="231F20"/>
          <w:w w:val="105"/>
        </w:rPr>
        <w:t>o</w:t>
      </w:r>
      <w:r>
        <w:rPr>
          <w:color w:val="231F20"/>
          <w:spacing w:val="-14"/>
          <w:w w:val="105"/>
        </w:rPr>
        <w:t> </w:t>
      </w:r>
      <w:r>
        <w:rPr>
          <w:color w:val="231F20"/>
          <w:w w:val="105"/>
        </w:rPr>
        <w:t>negativa</w:t>
      </w:r>
      <w:r>
        <w:rPr>
          <w:color w:val="231F20"/>
          <w:spacing w:val="-14"/>
          <w:w w:val="105"/>
        </w:rPr>
        <w:t> </w:t>
      </w:r>
      <w:r>
        <w:rPr>
          <w:color w:val="231F20"/>
          <w:w w:val="105"/>
        </w:rPr>
        <w:t>la</w:t>
      </w:r>
      <w:r>
        <w:rPr>
          <w:color w:val="231F20"/>
          <w:spacing w:val="-14"/>
          <w:w w:val="105"/>
        </w:rPr>
        <w:t> </w:t>
      </w:r>
      <w:r>
        <w:rPr>
          <w:color w:val="231F20"/>
          <w:w w:val="105"/>
        </w:rPr>
        <w:t>producción</w:t>
      </w:r>
      <w:r>
        <w:rPr>
          <w:color w:val="231F20"/>
          <w:spacing w:val="-14"/>
          <w:w w:val="105"/>
        </w:rPr>
        <w:t> </w:t>
      </w:r>
      <w:r>
        <w:rPr>
          <w:color w:val="231F20"/>
          <w:w w:val="105"/>
        </w:rPr>
        <w:t>de</w:t>
      </w:r>
      <w:r>
        <w:rPr>
          <w:color w:val="231F20"/>
          <w:spacing w:val="-14"/>
          <w:w w:val="105"/>
        </w:rPr>
        <w:t> </w:t>
      </w:r>
      <w:r>
        <w:rPr>
          <w:color w:val="231F20"/>
          <w:w w:val="105"/>
        </w:rPr>
        <w:t>maíz</w:t>
      </w:r>
      <w:r>
        <w:rPr>
          <w:color w:val="231F20"/>
          <w:spacing w:val="-14"/>
          <w:w w:val="105"/>
        </w:rPr>
        <w:t> </w:t>
      </w:r>
      <w:r>
        <w:rPr>
          <w:color w:val="231F20"/>
          <w:w w:val="105"/>
        </w:rPr>
        <w:t>en</w:t>
      </w:r>
      <w:r>
        <w:rPr>
          <w:color w:val="231F20"/>
          <w:spacing w:val="-14"/>
          <w:w w:val="105"/>
        </w:rPr>
        <w:t> </w:t>
      </w:r>
      <w:r>
        <w:rPr>
          <w:color w:val="231F20"/>
          <w:w w:val="105"/>
        </w:rPr>
        <w:t>contextos de migración</w:t>
      </w:r>
      <w:r>
        <w:rPr>
          <w:color w:val="231F20"/>
          <w:spacing w:val="-14"/>
          <w:w w:val="105"/>
        </w:rPr>
        <w:t> </w:t>
      </w:r>
      <w:r>
        <w:rPr>
          <w:color w:val="231F20"/>
          <w:w w:val="105"/>
        </w:rPr>
        <w:t>rural.</w:t>
      </w:r>
    </w:p>
    <w:p>
      <w:pPr>
        <w:pStyle w:val="BodyText"/>
        <w:spacing w:line="261" w:lineRule="auto" w:before="1"/>
        <w:ind w:left="1695" w:right="1802" w:firstLine="567"/>
        <w:jc w:val="both"/>
      </w:pPr>
      <w:r>
        <w:rPr>
          <w:color w:val="19171C"/>
          <w:spacing w:val="-3"/>
          <w:w w:val="105"/>
        </w:rPr>
        <w:t>Bajo</w:t>
      </w:r>
      <w:r>
        <w:rPr>
          <w:color w:val="19171C"/>
          <w:spacing w:val="-24"/>
          <w:w w:val="105"/>
        </w:rPr>
        <w:t> </w:t>
      </w:r>
      <w:r>
        <w:rPr>
          <w:color w:val="19171C"/>
          <w:spacing w:val="-3"/>
          <w:w w:val="105"/>
        </w:rPr>
        <w:t>esta</w:t>
      </w:r>
      <w:r>
        <w:rPr>
          <w:color w:val="19171C"/>
          <w:spacing w:val="-24"/>
          <w:w w:val="105"/>
        </w:rPr>
        <w:t> </w:t>
      </w:r>
      <w:r>
        <w:rPr>
          <w:color w:val="19171C"/>
          <w:spacing w:val="-3"/>
          <w:w w:val="105"/>
        </w:rPr>
        <w:t>tesitura,</w:t>
      </w:r>
      <w:r>
        <w:rPr>
          <w:color w:val="19171C"/>
          <w:spacing w:val="-30"/>
          <w:w w:val="105"/>
        </w:rPr>
        <w:t> </w:t>
      </w:r>
      <w:r>
        <w:rPr>
          <w:color w:val="19171C"/>
          <w:w w:val="105"/>
        </w:rPr>
        <w:t>el</w:t>
      </w:r>
      <w:r>
        <w:rPr>
          <w:color w:val="19171C"/>
          <w:spacing w:val="-24"/>
          <w:w w:val="105"/>
        </w:rPr>
        <w:t> </w:t>
      </w:r>
      <w:r>
        <w:rPr>
          <w:color w:val="19171C"/>
          <w:spacing w:val="-3"/>
          <w:w w:val="105"/>
        </w:rPr>
        <w:t>objetivo</w:t>
      </w:r>
      <w:r>
        <w:rPr>
          <w:color w:val="19171C"/>
          <w:spacing w:val="-24"/>
          <w:w w:val="105"/>
        </w:rPr>
        <w:t> </w:t>
      </w:r>
      <w:r>
        <w:rPr>
          <w:color w:val="19171C"/>
          <w:spacing w:val="-3"/>
          <w:w w:val="105"/>
        </w:rPr>
        <w:t>central</w:t>
      </w:r>
      <w:r>
        <w:rPr>
          <w:color w:val="19171C"/>
          <w:spacing w:val="-24"/>
          <w:w w:val="105"/>
        </w:rPr>
        <w:t> </w:t>
      </w:r>
      <w:r>
        <w:rPr>
          <w:color w:val="19171C"/>
          <w:w w:val="105"/>
        </w:rPr>
        <w:t>de</w:t>
      </w:r>
      <w:r>
        <w:rPr>
          <w:color w:val="19171C"/>
          <w:spacing w:val="-24"/>
          <w:w w:val="105"/>
        </w:rPr>
        <w:t> </w:t>
      </w:r>
      <w:r>
        <w:rPr>
          <w:color w:val="19171C"/>
          <w:spacing w:val="-3"/>
          <w:w w:val="105"/>
        </w:rPr>
        <w:t>este</w:t>
      </w:r>
      <w:r>
        <w:rPr>
          <w:color w:val="19171C"/>
          <w:spacing w:val="-24"/>
          <w:w w:val="105"/>
        </w:rPr>
        <w:t> </w:t>
      </w:r>
      <w:r>
        <w:rPr>
          <w:color w:val="19171C"/>
          <w:spacing w:val="-3"/>
          <w:w w:val="105"/>
        </w:rPr>
        <w:t>trabajo</w:t>
      </w:r>
      <w:r>
        <w:rPr>
          <w:color w:val="19171C"/>
          <w:spacing w:val="-24"/>
          <w:w w:val="105"/>
        </w:rPr>
        <w:t> </w:t>
      </w:r>
      <w:r>
        <w:rPr>
          <w:color w:val="19171C"/>
          <w:w w:val="105"/>
        </w:rPr>
        <w:t>es</w:t>
      </w:r>
      <w:r>
        <w:rPr>
          <w:color w:val="19171C"/>
          <w:spacing w:val="-24"/>
          <w:w w:val="105"/>
        </w:rPr>
        <w:t> </w:t>
      </w:r>
      <w:r>
        <w:rPr>
          <w:color w:val="19171C"/>
          <w:spacing w:val="-3"/>
          <w:w w:val="105"/>
        </w:rPr>
        <w:t>analizar</w:t>
      </w:r>
      <w:r>
        <w:rPr>
          <w:color w:val="19171C"/>
          <w:spacing w:val="-24"/>
          <w:w w:val="105"/>
        </w:rPr>
        <w:t> </w:t>
      </w:r>
      <w:r>
        <w:rPr>
          <w:color w:val="19171C"/>
          <w:w w:val="105"/>
        </w:rPr>
        <w:t>las</w:t>
      </w:r>
      <w:r>
        <w:rPr>
          <w:color w:val="19171C"/>
          <w:spacing w:val="-24"/>
          <w:w w:val="105"/>
        </w:rPr>
        <w:t> </w:t>
      </w:r>
      <w:r>
        <w:rPr>
          <w:color w:val="19171C"/>
          <w:w w:val="105"/>
        </w:rPr>
        <w:t>in- </w:t>
      </w:r>
      <w:r>
        <w:rPr>
          <w:color w:val="19171C"/>
          <w:spacing w:val="-3"/>
          <w:w w:val="105"/>
        </w:rPr>
        <w:t>terrelaciones</w:t>
      </w:r>
      <w:r>
        <w:rPr>
          <w:color w:val="19171C"/>
          <w:spacing w:val="-24"/>
          <w:w w:val="105"/>
        </w:rPr>
        <w:t> </w:t>
      </w:r>
      <w:r>
        <w:rPr>
          <w:color w:val="19171C"/>
          <w:spacing w:val="-3"/>
          <w:w w:val="105"/>
        </w:rPr>
        <w:t>entre</w:t>
      </w:r>
      <w:r>
        <w:rPr>
          <w:color w:val="19171C"/>
          <w:spacing w:val="-24"/>
          <w:w w:val="105"/>
        </w:rPr>
        <w:t> </w:t>
      </w:r>
      <w:r>
        <w:rPr>
          <w:color w:val="19171C"/>
          <w:w w:val="105"/>
        </w:rPr>
        <w:t>la</w:t>
      </w:r>
      <w:r>
        <w:rPr>
          <w:color w:val="19171C"/>
          <w:spacing w:val="-24"/>
          <w:w w:val="105"/>
        </w:rPr>
        <w:t> </w:t>
      </w:r>
      <w:r>
        <w:rPr>
          <w:color w:val="19171C"/>
          <w:spacing w:val="-3"/>
          <w:w w:val="105"/>
        </w:rPr>
        <w:t>migración</w:t>
      </w:r>
      <w:r>
        <w:rPr>
          <w:color w:val="19171C"/>
          <w:spacing w:val="-24"/>
          <w:w w:val="105"/>
        </w:rPr>
        <w:t> </w:t>
      </w:r>
      <w:r>
        <w:rPr>
          <w:color w:val="19171C"/>
          <w:w w:val="105"/>
        </w:rPr>
        <w:t>y</w:t>
      </w:r>
      <w:r>
        <w:rPr>
          <w:color w:val="19171C"/>
          <w:spacing w:val="-24"/>
          <w:w w:val="105"/>
        </w:rPr>
        <w:t> </w:t>
      </w:r>
      <w:r>
        <w:rPr>
          <w:color w:val="19171C"/>
          <w:w w:val="105"/>
        </w:rPr>
        <w:t>la</w:t>
      </w:r>
      <w:r>
        <w:rPr>
          <w:color w:val="19171C"/>
          <w:spacing w:val="-24"/>
          <w:w w:val="105"/>
        </w:rPr>
        <w:t> </w:t>
      </w:r>
      <w:r>
        <w:rPr>
          <w:color w:val="19171C"/>
          <w:spacing w:val="-3"/>
          <w:w w:val="105"/>
        </w:rPr>
        <w:t>agricultura</w:t>
      </w:r>
      <w:r>
        <w:rPr>
          <w:color w:val="19171C"/>
          <w:spacing w:val="-24"/>
          <w:w w:val="105"/>
        </w:rPr>
        <w:t> </w:t>
      </w:r>
      <w:r>
        <w:rPr>
          <w:color w:val="19171C"/>
          <w:spacing w:val="-3"/>
          <w:w w:val="105"/>
        </w:rPr>
        <w:t>como</w:t>
      </w:r>
      <w:r>
        <w:rPr>
          <w:color w:val="19171C"/>
          <w:spacing w:val="-24"/>
          <w:w w:val="105"/>
        </w:rPr>
        <w:t> </w:t>
      </w:r>
      <w:r>
        <w:rPr>
          <w:color w:val="19171C"/>
          <w:spacing w:val="-4"/>
          <w:w w:val="105"/>
        </w:rPr>
        <w:t>estrategias</w:t>
      </w:r>
      <w:r>
        <w:rPr>
          <w:color w:val="19171C"/>
          <w:spacing w:val="-24"/>
          <w:w w:val="105"/>
        </w:rPr>
        <w:t> </w:t>
      </w:r>
      <w:r>
        <w:rPr>
          <w:color w:val="19171C"/>
          <w:w w:val="105"/>
        </w:rPr>
        <w:t>de</w:t>
      </w:r>
      <w:r>
        <w:rPr>
          <w:color w:val="19171C"/>
          <w:spacing w:val="-24"/>
          <w:w w:val="105"/>
        </w:rPr>
        <w:t> </w:t>
      </w:r>
      <w:r>
        <w:rPr>
          <w:color w:val="19171C"/>
          <w:spacing w:val="-3"/>
          <w:w w:val="105"/>
        </w:rPr>
        <w:t>subsis- tencia</w:t>
      </w:r>
      <w:r>
        <w:rPr>
          <w:color w:val="19171C"/>
          <w:spacing w:val="-13"/>
          <w:w w:val="105"/>
        </w:rPr>
        <w:t> </w:t>
      </w:r>
      <w:r>
        <w:rPr>
          <w:color w:val="19171C"/>
          <w:spacing w:val="-3"/>
          <w:w w:val="105"/>
        </w:rPr>
        <w:t>campesina</w:t>
      </w:r>
      <w:r>
        <w:rPr>
          <w:color w:val="19171C"/>
          <w:spacing w:val="-13"/>
          <w:w w:val="105"/>
        </w:rPr>
        <w:t> </w:t>
      </w:r>
      <w:r>
        <w:rPr>
          <w:color w:val="19171C"/>
          <w:w w:val="105"/>
        </w:rPr>
        <w:t>de</w:t>
      </w:r>
      <w:r>
        <w:rPr>
          <w:color w:val="19171C"/>
          <w:spacing w:val="-13"/>
          <w:w w:val="105"/>
        </w:rPr>
        <w:t> </w:t>
      </w:r>
      <w:r>
        <w:rPr>
          <w:color w:val="19171C"/>
          <w:w w:val="105"/>
        </w:rPr>
        <w:t>los</w:t>
      </w:r>
      <w:r>
        <w:rPr>
          <w:color w:val="19171C"/>
          <w:spacing w:val="-13"/>
          <w:w w:val="105"/>
        </w:rPr>
        <w:t> </w:t>
      </w:r>
      <w:r>
        <w:rPr>
          <w:color w:val="19171C"/>
          <w:spacing w:val="-3"/>
          <w:w w:val="105"/>
        </w:rPr>
        <w:t>pobladores</w:t>
      </w:r>
      <w:r>
        <w:rPr>
          <w:color w:val="19171C"/>
          <w:spacing w:val="-13"/>
          <w:w w:val="105"/>
        </w:rPr>
        <w:t> </w:t>
      </w:r>
      <w:r>
        <w:rPr>
          <w:color w:val="19171C"/>
          <w:w w:val="105"/>
        </w:rPr>
        <w:t>de</w:t>
      </w:r>
      <w:r>
        <w:rPr>
          <w:color w:val="19171C"/>
          <w:spacing w:val="-13"/>
          <w:w w:val="105"/>
        </w:rPr>
        <w:t> </w:t>
      </w:r>
      <w:r>
        <w:rPr>
          <w:color w:val="19171C"/>
          <w:spacing w:val="-3"/>
          <w:w w:val="105"/>
        </w:rPr>
        <w:t>Santiago,</w:t>
      </w:r>
      <w:r>
        <w:rPr>
          <w:color w:val="19171C"/>
          <w:spacing w:val="-19"/>
          <w:w w:val="105"/>
        </w:rPr>
        <w:t> </w:t>
      </w:r>
      <w:r>
        <w:rPr>
          <w:color w:val="19171C"/>
          <w:spacing w:val="-3"/>
          <w:w w:val="105"/>
        </w:rPr>
        <w:t>municipio</w:t>
      </w:r>
      <w:r>
        <w:rPr>
          <w:color w:val="19171C"/>
          <w:spacing w:val="-13"/>
          <w:w w:val="105"/>
        </w:rPr>
        <w:t> </w:t>
      </w:r>
      <w:r>
        <w:rPr>
          <w:color w:val="19171C"/>
          <w:w w:val="105"/>
        </w:rPr>
        <w:t>de</w:t>
      </w:r>
      <w:r>
        <w:rPr>
          <w:color w:val="19171C"/>
          <w:spacing w:val="-17"/>
          <w:w w:val="105"/>
        </w:rPr>
        <w:t> </w:t>
      </w:r>
      <w:r>
        <w:rPr>
          <w:color w:val="19171C"/>
          <w:spacing w:val="-4"/>
          <w:w w:val="105"/>
        </w:rPr>
        <w:t>Amatepec, </w:t>
      </w:r>
      <w:r>
        <w:rPr>
          <w:color w:val="19171C"/>
          <w:spacing w:val="-3"/>
          <w:w w:val="105"/>
        </w:rPr>
        <w:t>Estado</w:t>
      </w:r>
      <w:r>
        <w:rPr>
          <w:color w:val="19171C"/>
          <w:spacing w:val="-16"/>
          <w:w w:val="105"/>
        </w:rPr>
        <w:t> </w:t>
      </w:r>
      <w:r>
        <w:rPr>
          <w:color w:val="19171C"/>
          <w:w w:val="105"/>
        </w:rPr>
        <w:t>de</w:t>
      </w:r>
      <w:r>
        <w:rPr>
          <w:color w:val="19171C"/>
          <w:spacing w:val="-16"/>
          <w:w w:val="105"/>
        </w:rPr>
        <w:t> </w:t>
      </w:r>
      <w:r>
        <w:rPr>
          <w:color w:val="19171C"/>
          <w:spacing w:val="-3"/>
          <w:w w:val="105"/>
        </w:rPr>
        <w:t>México.</w:t>
      </w:r>
      <w:r>
        <w:rPr>
          <w:color w:val="19171C"/>
          <w:spacing w:val="-21"/>
          <w:w w:val="105"/>
        </w:rPr>
        <w:t> </w:t>
      </w:r>
      <w:r>
        <w:rPr>
          <w:color w:val="231F20"/>
          <w:w w:val="105"/>
        </w:rPr>
        <w:t>El</w:t>
      </w:r>
      <w:r>
        <w:rPr>
          <w:color w:val="231F20"/>
          <w:spacing w:val="-16"/>
          <w:w w:val="105"/>
        </w:rPr>
        <w:t> </w:t>
      </w:r>
      <w:r>
        <w:rPr>
          <w:color w:val="231F20"/>
          <w:spacing w:val="-3"/>
          <w:w w:val="105"/>
        </w:rPr>
        <w:t>estudio</w:t>
      </w:r>
      <w:r>
        <w:rPr>
          <w:color w:val="231F20"/>
          <w:spacing w:val="-16"/>
          <w:w w:val="105"/>
        </w:rPr>
        <w:t> </w:t>
      </w:r>
      <w:r>
        <w:rPr>
          <w:color w:val="231F20"/>
          <w:w w:val="105"/>
        </w:rPr>
        <w:t>se</w:t>
      </w:r>
      <w:r>
        <w:rPr>
          <w:color w:val="231F20"/>
          <w:spacing w:val="-16"/>
          <w:w w:val="105"/>
        </w:rPr>
        <w:t> </w:t>
      </w:r>
      <w:r>
        <w:rPr>
          <w:color w:val="231F20"/>
          <w:spacing w:val="-4"/>
          <w:w w:val="105"/>
        </w:rPr>
        <w:t>realizó</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spacing w:val="-3"/>
          <w:w w:val="105"/>
        </w:rPr>
        <w:t>localidad</w:t>
      </w:r>
      <w:r>
        <w:rPr>
          <w:color w:val="231F20"/>
          <w:spacing w:val="-16"/>
          <w:w w:val="105"/>
        </w:rPr>
        <w:t> </w:t>
      </w:r>
      <w:r>
        <w:rPr>
          <w:color w:val="231F20"/>
          <w:w w:val="105"/>
        </w:rPr>
        <w:t>de</w:t>
      </w:r>
      <w:r>
        <w:rPr>
          <w:color w:val="231F20"/>
          <w:spacing w:val="-16"/>
          <w:w w:val="105"/>
        </w:rPr>
        <w:t> </w:t>
      </w:r>
      <w:r>
        <w:rPr>
          <w:color w:val="231F20"/>
          <w:spacing w:val="-3"/>
          <w:w w:val="105"/>
        </w:rPr>
        <w:t>Santiago</w:t>
      </w:r>
      <w:r>
        <w:rPr>
          <w:color w:val="231F20"/>
          <w:spacing w:val="-16"/>
          <w:w w:val="105"/>
        </w:rPr>
        <w:t> </w:t>
      </w:r>
      <w:r>
        <w:rPr>
          <w:color w:val="231F20"/>
          <w:spacing w:val="-4"/>
          <w:w w:val="105"/>
        </w:rPr>
        <w:t>porque </w:t>
      </w:r>
      <w:r>
        <w:rPr>
          <w:color w:val="231F20"/>
          <w:w w:val="105"/>
        </w:rPr>
        <w:t>se</w:t>
      </w:r>
      <w:r>
        <w:rPr>
          <w:color w:val="231F20"/>
          <w:spacing w:val="-12"/>
          <w:w w:val="105"/>
        </w:rPr>
        <w:t> </w:t>
      </w:r>
      <w:r>
        <w:rPr>
          <w:color w:val="231F20"/>
          <w:spacing w:val="-3"/>
          <w:w w:val="105"/>
        </w:rPr>
        <w:t>encuentra</w:t>
      </w:r>
      <w:r>
        <w:rPr>
          <w:color w:val="231F20"/>
          <w:spacing w:val="-12"/>
          <w:w w:val="105"/>
        </w:rPr>
        <w:t> </w:t>
      </w:r>
      <w:r>
        <w:rPr>
          <w:color w:val="231F20"/>
          <w:w w:val="105"/>
        </w:rPr>
        <w:t>en</w:t>
      </w:r>
      <w:r>
        <w:rPr>
          <w:color w:val="231F20"/>
          <w:spacing w:val="-12"/>
          <w:w w:val="105"/>
        </w:rPr>
        <w:t> </w:t>
      </w:r>
      <w:r>
        <w:rPr>
          <w:color w:val="231F20"/>
          <w:w w:val="105"/>
        </w:rPr>
        <w:t>un</w:t>
      </w:r>
      <w:r>
        <w:rPr>
          <w:color w:val="231F20"/>
          <w:spacing w:val="-12"/>
          <w:w w:val="105"/>
        </w:rPr>
        <w:t> </w:t>
      </w:r>
      <w:r>
        <w:rPr>
          <w:color w:val="231F20"/>
          <w:spacing w:val="-3"/>
          <w:w w:val="105"/>
        </w:rPr>
        <w:t>territorio</w:t>
      </w:r>
      <w:r>
        <w:rPr>
          <w:color w:val="231F20"/>
          <w:spacing w:val="-12"/>
          <w:w w:val="105"/>
        </w:rPr>
        <w:t> </w:t>
      </w:r>
      <w:r>
        <w:rPr>
          <w:color w:val="231F20"/>
          <w:w w:val="105"/>
        </w:rPr>
        <w:t>de</w:t>
      </w:r>
      <w:r>
        <w:rPr>
          <w:color w:val="231F20"/>
          <w:spacing w:val="-12"/>
          <w:w w:val="105"/>
        </w:rPr>
        <w:t> </w:t>
      </w:r>
      <w:r>
        <w:rPr>
          <w:color w:val="231F20"/>
          <w:spacing w:val="-3"/>
          <w:w w:val="105"/>
        </w:rPr>
        <w:t>alta</w:t>
      </w:r>
      <w:r>
        <w:rPr>
          <w:color w:val="231F20"/>
          <w:spacing w:val="-12"/>
          <w:w w:val="105"/>
        </w:rPr>
        <w:t> </w:t>
      </w:r>
      <w:r>
        <w:rPr>
          <w:color w:val="231F20"/>
          <w:spacing w:val="-3"/>
          <w:w w:val="105"/>
        </w:rPr>
        <w:t>marginación,</w:t>
      </w:r>
      <w:r>
        <w:rPr>
          <w:color w:val="231F20"/>
          <w:spacing w:val="-18"/>
          <w:w w:val="105"/>
        </w:rPr>
        <w:t> </w:t>
      </w:r>
      <w:r>
        <w:rPr>
          <w:color w:val="231F20"/>
          <w:w w:val="105"/>
        </w:rPr>
        <w:t>con</w:t>
      </w:r>
      <w:r>
        <w:rPr>
          <w:color w:val="231F20"/>
          <w:spacing w:val="-12"/>
          <w:w w:val="105"/>
        </w:rPr>
        <w:t> </w:t>
      </w:r>
      <w:r>
        <w:rPr>
          <w:color w:val="231F20"/>
          <w:w w:val="105"/>
        </w:rPr>
        <w:t>una</w:t>
      </w:r>
      <w:r>
        <w:rPr>
          <w:color w:val="231F20"/>
          <w:spacing w:val="-12"/>
          <w:w w:val="105"/>
        </w:rPr>
        <w:t> </w:t>
      </w:r>
      <w:r>
        <w:rPr>
          <w:color w:val="231F20"/>
          <w:spacing w:val="-3"/>
          <w:w w:val="105"/>
        </w:rPr>
        <w:t>agricultura</w:t>
      </w:r>
      <w:r>
        <w:rPr>
          <w:color w:val="231F20"/>
          <w:spacing w:val="-12"/>
          <w:w w:val="105"/>
        </w:rPr>
        <w:t> </w:t>
      </w:r>
      <w:r>
        <w:rPr>
          <w:color w:val="231F20"/>
          <w:spacing w:val="-3"/>
          <w:w w:val="105"/>
        </w:rPr>
        <w:t>mai- cera</w:t>
      </w:r>
      <w:r>
        <w:rPr>
          <w:color w:val="231F20"/>
          <w:spacing w:val="-13"/>
          <w:w w:val="105"/>
        </w:rPr>
        <w:t> </w:t>
      </w:r>
      <w:r>
        <w:rPr>
          <w:color w:val="231F20"/>
          <w:w w:val="105"/>
        </w:rPr>
        <w:t>de</w:t>
      </w:r>
      <w:r>
        <w:rPr>
          <w:color w:val="231F20"/>
          <w:spacing w:val="-13"/>
          <w:w w:val="105"/>
        </w:rPr>
        <w:t> </w:t>
      </w:r>
      <w:r>
        <w:rPr>
          <w:color w:val="231F20"/>
          <w:spacing w:val="-3"/>
          <w:w w:val="105"/>
        </w:rPr>
        <w:t>subsistencia</w:t>
      </w:r>
      <w:r>
        <w:rPr>
          <w:color w:val="231F20"/>
          <w:spacing w:val="-13"/>
          <w:w w:val="105"/>
        </w:rPr>
        <w:t> </w:t>
      </w:r>
      <w:r>
        <w:rPr>
          <w:color w:val="231F20"/>
          <w:w w:val="105"/>
        </w:rPr>
        <w:t>y</w:t>
      </w:r>
      <w:r>
        <w:rPr>
          <w:color w:val="231F20"/>
          <w:spacing w:val="-13"/>
          <w:w w:val="105"/>
        </w:rPr>
        <w:t> </w:t>
      </w:r>
      <w:r>
        <w:rPr>
          <w:color w:val="231F20"/>
          <w:spacing w:val="-3"/>
          <w:w w:val="105"/>
        </w:rPr>
        <w:t>altos</w:t>
      </w:r>
      <w:r>
        <w:rPr>
          <w:color w:val="231F20"/>
          <w:spacing w:val="-13"/>
          <w:w w:val="105"/>
        </w:rPr>
        <w:t> </w:t>
      </w:r>
      <w:r>
        <w:rPr>
          <w:color w:val="231F20"/>
          <w:spacing w:val="-3"/>
          <w:w w:val="105"/>
        </w:rPr>
        <w:t>índices</w:t>
      </w:r>
      <w:r>
        <w:rPr>
          <w:color w:val="231F20"/>
          <w:spacing w:val="-13"/>
          <w:w w:val="105"/>
        </w:rPr>
        <w:t> </w:t>
      </w:r>
      <w:r>
        <w:rPr>
          <w:color w:val="231F20"/>
          <w:w w:val="105"/>
        </w:rPr>
        <w:t>de</w:t>
      </w:r>
      <w:r>
        <w:rPr>
          <w:color w:val="231F20"/>
          <w:spacing w:val="-13"/>
          <w:w w:val="105"/>
        </w:rPr>
        <w:t> </w:t>
      </w:r>
      <w:r>
        <w:rPr>
          <w:color w:val="231F20"/>
          <w:spacing w:val="-3"/>
          <w:w w:val="105"/>
        </w:rPr>
        <w:t>migración,</w:t>
      </w:r>
      <w:r>
        <w:rPr>
          <w:color w:val="231F20"/>
          <w:spacing w:val="-19"/>
          <w:w w:val="105"/>
        </w:rPr>
        <w:t> </w:t>
      </w:r>
      <w:r>
        <w:rPr>
          <w:color w:val="231F20"/>
          <w:spacing w:val="-3"/>
          <w:w w:val="105"/>
        </w:rPr>
        <w:t>principalmente</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Es- </w:t>
      </w:r>
      <w:r>
        <w:rPr>
          <w:color w:val="231F20"/>
          <w:spacing w:val="-3"/>
          <w:w w:val="105"/>
        </w:rPr>
        <w:t>tados</w:t>
      </w:r>
      <w:r>
        <w:rPr>
          <w:color w:val="231F20"/>
          <w:spacing w:val="-25"/>
          <w:w w:val="105"/>
        </w:rPr>
        <w:t> </w:t>
      </w:r>
      <w:r>
        <w:rPr>
          <w:color w:val="231F20"/>
          <w:spacing w:val="-3"/>
          <w:w w:val="105"/>
        </w:rPr>
        <w:t>Unidos.</w:t>
      </w:r>
      <w:r>
        <w:rPr>
          <w:color w:val="231F20"/>
          <w:spacing w:val="-29"/>
          <w:w w:val="105"/>
        </w:rPr>
        <w:t> </w:t>
      </w:r>
      <w:r>
        <w:rPr>
          <w:color w:val="231F20"/>
          <w:spacing w:val="-3"/>
          <w:w w:val="105"/>
        </w:rPr>
        <w:t>Esta</w:t>
      </w:r>
      <w:r>
        <w:rPr>
          <w:color w:val="231F20"/>
          <w:spacing w:val="-25"/>
          <w:w w:val="105"/>
        </w:rPr>
        <w:t> </w:t>
      </w:r>
      <w:r>
        <w:rPr>
          <w:color w:val="231F20"/>
          <w:spacing w:val="-3"/>
          <w:w w:val="105"/>
        </w:rPr>
        <w:t>combinación</w:t>
      </w:r>
      <w:r>
        <w:rPr>
          <w:color w:val="231F20"/>
          <w:spacing w:val="-25"/>
          <w:w w:val="105"/>
        </w:rPr>
        <w:t> </w:t>
      </w:r>
      <w:r>
        <w:rPr>
          <w:color w:val="231F20"/>
          <w:w w:val="105"/>
        </w:rPr>
        <w:t>de</w:t>
      </w:r>
      <w:r>
        <w:rPr>
          <w:color w:val="231F20"/>
          <w:spacing w:val="-25"/>
          <w:w w:val="105"/>
        </w:rPr>
        <w:t> </w:t>
      </w:r>
      <w:r>
        <w:rPr>
          <w:color w:val="231F20"/>
          <w:spacing w:val="-3"/>
          <w:w w:val="105"/>
        </w:rPr>
        <w:t>factores</w:t>
      </w:r>
      <w:r>
        <w:rPr>
          <w:color w:val="231F20"/>
          <w:spacing w:val="-25"/>
          <w:w w:val="105"/>
        </w:rPr>
        <w:t> </w:t>
      </w:r>
      <w:r>
        <w:rPr>
          <w:color w:val="231F20"/>
          <w:spacing w:val="-3"/>
          <w:w w:val="105"/>
        </w:rPr>
        <w:t>socioeconómicos</w:t>
      </w:r>
      <w:r>
        <w:rPr>
          <w:color w:val="231F20"/>
          <w:spacing w:val="-25"/>
          <w:w w:val="105"/>
        </w:rPr>
        <w:t> </w:t>
      </w:r>
      <w:r>
        <w:rPr>
          <w:color w:val="231F20"/>
          <w:w w:val="105"/>
        </w:rPr>
        <w:t>ha</w:t>
      </w:r>
      <w:r>
        <w:rPr>
          <w:color w:val="231F20"/>
          <w:spacing w:val="-25"/>
          <w:w w:val="105"/>
        </w:rPr>
        <w:t> </w:t>
      </w:r>
      <w:r>
        <w:rPr>
          <w:color w:val="231F20"/>
          <w:spacing w:val="-3"/>
          <w:w w:val="105"/>
        </w:rPr>
        <w:t>motivado </w:t>
      </w:r>
      <w:r>
        <w:rPr>
          <w:color w:val="231F20"/>
          <w:w w:val="105"/>
        </w:rPr>
        <w:t>un</w:t>
      </w:r>
      <w:r>
        <w:rPr>
          <w:color w:val="231F20"/>
          <w:spacing w:val="-20"/>
          <w:w w:val="105"/>
        </w:rPr>
        <w:t> </w:t>
      </w:r>
      <w:r>
        <w:rPr>
          <w:color w:val="231F20"/>
          <w:spacing w:val="-3"/>
          <w:w w:val="105"/>
        </w:rPr>
        <w:t>interés</w:t>
      </w:r>
      <w:r>
        <w:rPr>
          <w:color w:val="231F20"/>
          <w:spacing w:val="-20"/>
          <w:w w:val="105"/>
        </w:rPr>
        <w:t> </w:t>
      </w:r>
      <w:r>
        <w:rPr>
          <w:color w:val="231F20"/>
          <w:spacing w:val="-3"/>
          <w:w w:val="105"/>
        </w:rPr>
        <w:t>heurístico</w:t>
      </w:r>
      <w:r>
        <w:rPr>
          <w:color w:val="231F20"/>
          <w:spacing w:val="-20"/>
          <w:w w:val="105"/>
        </w:rPr>
        <w:t> </w:t>
      </w:r>
      <w:r>
        <w:rPr>
          <w:color w:val="231F20"/>
          <w:w w:val="105"/>
        </w:rPr>
        <w:t>por</w:t>
      </w:r>
      <w:r>
        <w:rPr>
          <w:color w:val="231F20"/>
          <w:spacing w:val="-20"/>
          <w:w w:val="105"/>
        </w:rPr>
        <w:t> </w:t>
      </w:r>
      <w:r>
        <w:rPr>
          <w:color w:val="231F20"/>
          <w:spacing w:val="-3"/>
          <w:w w:val="105"/>
        </w:rPr>
        <w:t>indagar</w:t>
      </w:r>
      <w:r>
        <w:rPr>
          <w:color w:val="231F20"/>
          <w:spacing w:val="-20"/>
          <w:w w:val="105"/>
        </w:rPr>
        <w:t> </w:t>
      </w:r>
      <w:r>
        <w:rPr>
          <w:color w:val="231F20"/>
          <w:spacing w:val="-3"/>
          <w:w w:val="105"/>
        </w:rPr>
        <w:t>sobre</w:t>
      </w:r>
      <w:r>
        <w:rPr>
          <w:color w:val="231F20"/>
          <w:spacing w:val="-20"/>
          <w:w w:val="105"/>
        </w:rPr>
        <w:t> </w:t>
      </w:r>
      <w:r>
        <w:rPr>
          <w:color w:val="231F20"/>
          <w:w w:val="105"/>
        </w:rPr>
        <w:t>las</w:t>
      </w:r>
      <w:r>
        <w:rPr>
          <w:color w:val="231F20"/>
          <w:spacing w:val="-20"/>
          <w:w w:val="105"/>
        </w:rPr>
        <w:t> </w:t>
      </w:r>
      <w:r>
        <w:rPr>
          <w:color w:val="231F20"/>
          <w:spacing w:val="-3"/>
          <w:w w:val="105"/>
        </w:rPr>
        <w:t>relaciones</w:t>
      </w:r>
      <w:r>
        <w:rPr>
          <w:color w:val="231F20"/>
          <w:spacing w:val="-20"/>
          <w:w w:val="105"/>
        </w:rPr>
        <w:t> </w:t>
      </w:r>
      <w:r>
        <w:rPr>
          <w:color w:val="231F20"/>
          <w:spacing w:val="-3"/>
          <w:w w:val="105"/>
        </w:rPr>
        <w:t>entre</w:t>
      </w:r>
      <w:r>
        <w:rPr>
          <w:color w:val="231F20"/>
          <w:spacing w:val="-20"/>
          <w:w w:val="105"/>
        </w:rPr>
        <w:t> </w:t>
      </w:r>
      <w:r>
        <w:rPr>
          <w:color w:val="231F20"/>
          <w:w w:val="105"/>
        </w:rPr>
        <w:t>el</w:t>
      </w:r>
      <w:r>
        <w:rPr>
          <w:color w:val="231F20"/>
          <w:spacing w:val="-20"/>
          <w:w w:val="105"/>
        </w:rPr>
        <w:t> </w:t>
      </w:r>
      <w:r>
        <w:rPr>
          <w:color w:val="231F20"/>
          <w:spacing w:val="-3"/>
          <w:w w:val="105"/>
        </w:rPr>
        <w:t>fenómeno</w:t>
      </w:r>
      <w:r>
        <w:rPr>
          <w:color w:val="231F20"/>
          <w:spacing w:val="-20"/>
          <w:w w:val="105"/>
        </w:rPr>
        <w:t> </w:t>
      </w:r>
      <w:r>
        <w:rPr>
          <w:color w:val="231F20"/>
          <w:spacing w:val="-3"/>
          <w:w w:val="105"/>
        </w:rPr>
        <w:t>de </w:t>
      </w:r>
      <w:r>
        <w:rPr>
          <w:color w:val="231F20"/>
          <w:w w:val="105"/>
        </w:rPr>
        <w:t>la</w:t>
      </w:r>
      <w:r>
        <w:rPr>
          <w:color w:val="231F20"/>
          <w:spacing w:val="-14"/>
          <w:w w:val="105"/>
        </w:rPr>
        <w:t> </w:t>
      </w:r>
      <w:r>
        <w:rPr>
          <w:color w:val="231F20"/>
          <w:spacing w:val="-3"/>
          <w:w w:val="105"/>
        </w:rPr>
        <w:t>migración,</w:t>
      </w:r>
      <w:r>
        <w:rPr>
          <w:color w:val="231F20"/>
          <w:spacing w:val="-21"/>
          <w:w w:val="105"/>
        </w:rPr>
        <w:t> </w:t>
      </w:r>
      <w:r>
        <w:rPr>
          <w:color w:val="231F20"/>
          <w:w w:val="105"/>
        </w:rPr>
        <w:t>la</w:t>
      </w:r>
      <w:r>
        <w:rPr>
          <w:color w:val="231F20"/>
          <w:spacing w:val="-14"/>
          <w:w w:val="105"/>
        </w:rPr>
        <w:t> </w:t>
      </w:r>
      <w:r>
        <w:rPr>
          <w:color w:val="231F20"/>
          <w:spacing w:val="-3"/>
          <w:w w:val="105"/>
        </w:rPr>
        <w:t>producción</w:t>
      </w:r>
      <w:r>
        <w:rPr>
          <w:color w:val="231F20"/>
          <w:spacing w:val="-14"/>
          <w:w w:val="105"/>
        </w:rPr>
        <w:t> </w:t>
      </w:r>
      <w:r>
        <w:rPr>
          <w:color w:val="231F20"/>
          <w:spacing w:val="-3"/>
          <w:w w:val="105"/>
        </w:rPr>
        <w:t>local</w:t>
      </w:r>
      <w:r>
        <w:rPr>
          <w:color w:val="231F20"/>
          <w:spacing w:val="-14"/>
          <w:w w:val="105"/>
        </w:rPr>
        <w:t> </w:t>
      </w:r>
      <w:r>
        <w:rPr>
          <w:color w:val="231F20"/>
          <w:w w:val="105"/>
        </w:rPr>
        <w:t>del</w:t>
      </w:r>
      <w:r>
        <w:rPr>
          <w:color w:val="231F20"/>
          <w:spacing w:val="-14"/>
          <w:w w:val="105"/>
        </w:rPr>
        <w:t> </w:t>
      </w:r>
      <w:r>
        <w:rPr>
          <w:color w:val="231F20"/>
          <w:spacing w:val="-3"/>
          <w:w w:val="105"/>
        </w:rPr>
        <w:t>maíz</w:t>
      </w:r>
      <w:r>
        <w:rPr>
          <w:color w:val="231F20"/>
          <w:spacing w:val="-14"/>
          <w:w w:val="105"/>
        </w:rPr>
        <w:t> </w:t>
      </w:r>
      <w:r>
        <w:rPr>
          <w:color w:val="231F20"/>
          <w:w w:val="105"/>
        </w:rPr>
        <w:t>y</w:t>
      </w:r>
      <w:r>
        <w:rPr>
          <w:color w:val="231F20"/>
          <w:spacing w:val="-14"/>
          <w:w w:val="105"/>
        </w:rPr>
        <w:t> </w:t>
      </w:r>
      <w:r>
        <w:rPr>
          <w:color w:val="231F20"/>
          <w:w w:val="105"/>
        </w:rPr>
        <w:t>las</w:t>
      </w:r>
      <w:r>
        <w:rPr>
          <w:color w:val="231F20"/>
          <w:spacing w:val="-14"/>
          <w:w w:val="105"/>
        </w:rPr>
        <w:t> </w:t>
      </w:r>
      <w:r>
        <w:rPr>
          <w:color w:val="231F20"/>
          <w:spacing w:val="-3"/>
          <w:w w:val="105"/>
        </w:rPr>
        <w:t>condiciones</w:t>
      </w:r>
      <w:r>
        <w:rPr>
          <w:color w:val="231F20"/>
          <w:spacing w:val="-14"/>
          <w:w w:val="105"/>
        </w:rPr>
        <w:t> </w:t>
      </w:r>
      <w:r>
        <w:rPr>
          <w:color w:val="231F20"/>
          <w:spacing w:val="-3"/>
          <w:w w:val="105"/>
        </w:rPr>
        <w:t>socioeconómi- </w:t>
      </w:r>
      <w:r>
        <w:rPr>
          <w:color w:val="231F20"/>
          <w:w w:val="105"/>
        </w:rPr>
        <w:t>cas</w:t>
      </w:r>
      <w:r>
        <w:rPr>
          <w:color w:val="231F20"/>
          <w:spacing w:val="-16"/>
          <w:w w:val="105"/>
        </w:rPr>
        <w:t> </w:t>
      </w:r>
      <w:r>
        <w:rPr>
          <w:color w:val="231F20"/>
          <w:w w:val="105"/>
        </w:rPr>
        <w:t>que</w:t>
      </w:r>
      <w:r>
        <w:rPr>
          <w:color w:val="231F20"/>
          <w:spacing w:val="-16"/>
          <w:w w:val="105"/>
        </w:rPr>
        <w:t> </w:t>
      </w:r>
      <w:r>
        <w:rPr>
          <w:color w:val="231F20"/>
          <w:w w:val="105"/>
        </w:rPr>
        <w:t>han</w:t>
      </w:r>
      <w:r>
        <w:rPr>
          <w:color w:val="231F20"/>
          <w:spacing w:val="-16"/>
          <w:w w:val="105"/>
        </w:rPr>
        <w:t> </w:t>
      </w:r>
      <w:r>
        <w:rPr>
          <w:color w:val="231F20"/>
          <w:spacing w:val="-3"/>
          <w:w w:val="105"/>
        </w:rPr>
        <w:t>favorecido</w:t>
      </w:r>
      <w:r>
        <w:rPr>
          <w:color w:val="231F20"/>
          <w:spacing w:val="-16"/>
          <w:w w:val="105"/>
        </w:rPr>
        <w:t> </w:t>
      </w:r>
      <w:r>
        <w:rPr>
          <w:color w:val="231F20"/>
          <w:w w:val="105"/>
        </w:rPr>
        <w:t>la</w:t>
      </w:r>
      <w:r>
        <w:rPr>
          <w:color w:val="231F20"/>
          <w:spacing w:val="-16"/>
          <w:w w:val="105"/>
        </w:rPr>
        <w:t> </w:t>
      </w:r>
      <w:r>
        <w:rPr>
          <w:color w:val="231F20"/>
          <w:spacing w:val="-3"/>
          <w:w w:val="105"/>
        </w:rPr>
        <w:t>emigración</w:t>
      </w:r>
      <w:r>
        <w:rPr>
          <w:color w:val="231F20"/>
          <w:spacing w:val="-16"/>
          <w:w w:val="105"/>
        </w:rPr>
        <w:t> </w:t>
      </w:r>
      <w:r>
        <w:rPr>
          <w:color w:val="231F20"/>
          <w:spacing w:val="-3"/>
          <w:w w:val="105"/>
        </w:rPr>
        <w:t>rural</w:t>
      </w:r>
      <w:r>
        <w:rPr>
          <w:color w:val="231F20"/>
          <w:spacing w:val="-16"/>
          <w:w w:val="105"/>
        </w:rPr>
        <w:t> </w:t>
      </w:r>
      <w:r>
        <w:rPr>
          <w:color w:val="231F20"/>
          <w:w w:val="105"/>
        </w:rPr>
        <w:t>del</w:t>
      </w:r>
      <w:r>
        <w:rPr>
          <w:color w:val="231F20"/>
          <w:spacing w:val="-16"/>
          <w:w w:val="105"/>
        </w:rPr>
        <w:t> </w:t>
      </w:r>
      <w:r>
        <w:rPr>
          <w:color w:val="231F20"/>
          <w:spacing w:val="-3"/>
          <w:w w:val="105"/>
        </w:rPr>
        <w:t>lugar</w:t>
      </w:r>
      <w:r>
        <w:rPr>
          <w:color w:val="231F20"/>
          <w:spacing w:val="-16"/>
          <w:w w:val="105"/>
        </w:rPr>
        <w:t> </w:t>
      </w:r>
      <w:r>
        <w:rPr>
          <w:color w:val="231F20"/>
          <w:w w:val="105"/>
        </w:rPr>
        <w:t>de</w:t>
      </w:r>
      <w:r>
        <w:rPr>
          <w:color w:val="231F20"/>
          <w:spacing w:val="-16"/>
          <w:w w:val="105"/>
        </w:rPr>
        <w:t> </w:t>
      </w:r>
      <w:r>
        <w:rPr>
          <w:color w:val="231F20"/>
          <w:spacing w:val="-3"/>
          <w:w w:val="105"/>
        </w:rPr>
        <w:t>estudio.</w:t>
      </w:r>
    </w:p>
    <w:p>
      <w:pPr>
        <w:pStyle w:val="BodyText"/>
        <w:spacing w:line="261" w:lineRule="auto" w:before="1"/>
        <w:ind w:left="1695" w:right="1806" w:firstLine="567"/>
        <w:jc w:val="both"/>
      </w:pPr>
      <w:r>
        <w:rPr>
          <w:color w:val="231F20"/>
        </w:rPr>
        <w:t>En la investigación se utilizó una metodología cuantitativa y cualita- tiva. En el trabajo de campo realizado de agosto a diciembre de 2014 se aplicaron 22 cuestionarios al mismo número de unidades domésticas y nueve entrevistas semiestructuradas. La selección de los entrevistados se realizó de manera aleatoria. La información fue concentrada en trabajo de campo, lo que nos permitió también tener un acercamiento etnográfico     en el área de estudio a través de entrevistas con actores claves como dos Encargados de la “Casa de Gobierno” en los años 1979 y 1994, así como de un encargado de Cuadrilla de </w:t>
      </w:r>
      <w:r>
        <w:rPr>
          <w:color w:val="231F20"/>
          <w:spacing w:val="-3"/>
        </w:rPr>
        <w:t>Peones </w:t>
      </w:r>
      <w:r>
        <w:rPr>
          <w:color w:val="231F20"/>
          <w:spacing w:val="41"/>
        </w:rPr>
        <w:t> </w:t>
      </w:r>
      <w:r>
        <w:rPr>
          <w:color w:val="231F20"/>
        </w:rPr>
        <w:t>S.A.</w:t>
      </w:r>
    </w:p>
    <w:p>
      <w:pPr>
        <w:pStyle w:val="BodyText"/>
        <w:spacing w:line="261" w:lineRule="auto" w:before="1"/>
        <w:ind w:left="1695" w:right="1806" w:firstLine="567"/>
        <w:jc w:val="both"/>
      </w:pPr>
      <w:r>
        <w:rPr>
          <w:color w:val="231F20"/>
          <w:w w:val="105"/>
        </w:rPr>
        <w:t>El</w:t>
      </w:r>
      <w:r>
        <w:rPr>
          <w:color w:val="231F20"/>
          <w:spacing w:val="-28"/>
          <w:w w:val="105"/>
        </w:rPr>
        <w:t> </w:t>
      </w:r>
      <w:r>
        <w:rPr>
          <w:color w:val="231F20"/>
          <w:w w:val="105"/>
        </w:rPr>
        <w:t>capítulo</w:t>
      </w:r>
      <w:r>
        <w:rPr>
          <w:color w:val="231F20"/>
          <w:spacing w:val="-28"/>
          <w:w w:val="105"/>
        </w:rPr>
        <w:t> </w:t>
      </w:r>
      <w:r>
        <w:rPr>
          <w:color w:val="231F20"/>
          <w:w w:val="105"/>
        </w:rPr>
        <w:t>consta</w:t>
      </w:r>
      <w:r>
        <w:rPr>
          <w:color w:val="231F20"/>
          <w:spacing w:val="-28"/>
          <w:w w:val="105"/>
        </w:rPr>
        <w:t> </w:t>
      </w:r>
      <w:r>
        <w:rPr>
          <w:color w:val="231F20"/>
          <w:w w:val="105"/>
        </w:rPr>
        <w:t>de</w:t>
      </w:r>
      <w:r>
        <w:rPr>
          <w:color w:val="231F20"/>
          <w:spacing w:val="-28"/>
          <w:w w:val="105"/>
        </w:rPr>
        <w:t> </w:t>
      </w:r>
      <w:r>
        <w:rPr>
          <w:color w:val="231F20"/>
          <w:w w:val="105"/>
        </w:rPr>
        <w:t>tres</w:t>
      </w:r>
      <w:r>
        <w:rPr>
          <w:color w:val="231F20"/>
          <w:spacing w:val="-28"/>
          <w:w w:val="105"/>
        </w:rPr>
        <w:t> </w:t>
      </w:r>
      <w:r>
        <w:rPr>
          <w:color w:val="231F20"/>
          <w:w w:val="105"/>
        </w:rPr>
        <w:t>secciones.</w:t>
      </w:r>
      <w:r>
        <w:rPr>
          <w:color w:val="231F20"/>
          <w:spacing w:val="-33"/>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primera</w:t>
      </w:r>
      <w:r>
        <w:rPr>
          <w:color w:val="231F20"/>
          <w:spacing w:val="-28"/>
          <w:w w:val="105"/>
        </w:rPr>
        <w:t> </w:t>
      </w:r>
      <w:r>
        <w:rPr>
          <w:color w:val="231F20"/>
          <w:w w:val="105"/>
        </w:rPr>
        <w:t>se</w:t>
      </w:r>
      <w:r>
        <w:rPr>
          <w:color w:val="231F20"/>
          <w:spacing w:val="-28"/>
          <w:w w:val="105"/>
        </w:rPr>
        <w:t> </w:t>
      </w:r>
      <w:r>
        <w:rPr>
          <w:color w:val="231F20"/>
          <w:w w:val="105"/>
        </w:rPr>
        <w:t>expone</w:t>
      </w:r>
      <w:r>
        <w:rPr>
          <w:color w:val="231F20"/>
          <w:spacing w:val="-28"/>
          <w:w w:val="105"/>
        </w:rPr>
        <w:t> </w:t>
      </w:r>
      <w:r>
        <w:rPr>
          <w:color w:val="231F20"/>
          <w:w w:val="105"/>
        </w:rPr>
        <w:t>el</w:t>
      </w:r>
      <w:r>
        <w:rPr>
          <w:color w:val="231F20"/>
          <w:spacing w:val="-28"/>
          <w:w w:val="105"/>
        </w:rPr>
        <w:t> </w:t>
      </w:r>
      <w:r>
        <w:rPr>
          <w:color w:val="231F20"/>
          <w:w w:val="105"/>
        </w:rPr>
        <w:t>mar- co</w:t>
      </w:r>
      <w:r>
        <w:rPr>
          <w:color w:val="231F20"/>
          <w:spacing w:val="-21"/>
          <w:w w:val="105"/>
        </w:rPr>
        <w:t> </w:t>
      </w:r>
      <w:r>
        <w:rPr>
          <w:color w:val="231F20"/>
          <w:w w:val="105"/>
        </w:rPr>
        <w:t>teórico</w:t>
      </w:r>
      <w:r>
        <w:rPr>
          <w:color w:val="231F20"/>
          <w:spacing w:val="-21"/>
          <w:w w:val="105"/>
        </w:rPr>
        <w:t> </w:t>
      </w:r>
      <w:r>
        <w:rPr>
          <w:color w:val="231F20"/>
          <w:w w:val="105"/>
        </w:rPr>
        <w:t>sobre</w:t>
      </w:r>
      <w:r>
        <w:rPr>
          <w:color w:val="231F20"/>
          <w:spacing w:val="-21"/>
          <w:w w:val="105"/>
        </w:rPr>
        <w:t> </w:t>
      </w:r>
      <w:r>
        <w:rPr>
          <w:color w:val="231F20"/>
          <w:w w:val="105"/>
        </w:rPr>
        <w:t>las</w:t>
      </w:r>
      <w:r>
        <w:rPr>
          <w:color w:val="231F20"/>
          <w:spacing w:val="-21"/>
          <w:w w:val="105"/>
        </w:rPr>
        <w:t> </w:t>
      </w:r>
      <w:r>
        <w:rPr>
          <w:color w:val="231F20"/>
          <w:w w:val="105"/>
        </w:rPr>
        <w:t>relaciones</w:t>
      </w:r>
      <w:r>
        <w:rPr>
          <w:color w:val="231F20"/>
          <w:spacing w:val="-21"/>
          <w:w w:val="105"/>
        </w:rPr>
        <w:t> </w:t>
      </w:r>
      <w:r>
        <w:rPr>
          <w:color w:val="231F20"/>
          <w:w w:val="105"/>
        </w:rPr>
        <w:t>entre</w:t>
      </w:r>
      <w:r>
        <w:rPr>
          <w:color w:val="231F20"/>
          <w:spacing w:val="-21"/>
          <w:w w:val="105"/>
        </w:rPr>
        <w:t> </w:t>
      </w:r>
      <w:r>
        <w:rPr>
          <w:color w:val="231F20"/>
          <w:w w:val="105"/>
        </w:rPr>
        <w:t>la</w:t>
      </w:r>
      <w:r>
        <w:rPr>
          <w:color w:val="231F20"/>
          <w:spacing w:val="-21"/>
          <w:w w:val="105"/>
        </w:rPr>
        <w:t> </w:t>
      </w:r>
      <w:r>
        <w:rPr>
          <w:color w:val="231F20"/>
          <w:w w:val="105"/>
        </w:rPr>
        <w:t>migración</w:t>
      </w:r>
      <w:r>
        <w:rPr>
          <w:color w:val="231F20"/>
          <w:spacing w:val="-21"/>
          <w:w w:val="105"/>
        </w:rPr>
        <w:t> </w:t>
      </w:r>
      <w:r>
        <w:rPr>
          <w:color w:val="231F20"/>
          <w:w w:val="105"/>
        </w:rPr>
        <w:t>y</w:t>
      </w:r>
      <w:r>
        <w:rPr>
          <w:color w:val="231F20"/>
          <w:spacing w:val="-21"/>
          <w:w w:val="105"/>
        </w:rPr>
        <w:t> </w:t>
      </w:r>
      <w:r>
        <w:rPr>
          <w:color w:val="231F20"/>
          <w:w w:val="105"/>
        </w:rPr>
        <w:t>las</w:t>
      </w:r>
      <w:r>
        <w:rPr>
          <w:color w:val="231F20"/>
          <w:spacing w:val="-21"/>
          <w:w w:val="105"/>
        </w:rPr>
        <w:t> </w:t>
      </w:r>
      <w:r>
        <w:rPr>
          <w:color w:val="231F20"/>
          <w:w w:val="105"/>
        </w:rPr>
        <w:t>actividades</w:t>
      </w:r>
      <w:r>
        <w:rPr>
          <w:color w:val="231F20"/>
          <w:spacing w:val="-21"/>
          <w:w w:val="105"/>
        </w:rPr>
        <w:t> </w:t>
      </w:r>
      <w:r>
        <w:rPr>
          <w:color w:val="231F20"/>
          <w:w w:val="105"/>
        </w:rPr>
        <w:t>econó- micas</w:t>
      </w:r>
      <w:r>
        <w:rPr>
          <w:color w:val="231F20"/>
          <w:spacing w:val="-13"/>
          <w:w w:val="105"/>
        </w:rPr>
        <w:t> </w:t>
      </w:r>
      <w:r>
        <w:rPr>
          <w:color w:val="231F20"/>
          <w:w w:val="105"/>
        </w:rPr>
        <w:t>locales,</w:t>
      </w:r>
      <w:r>
        <w:rPr>
          <w:color w:val="231F20"/>
          <w:spacing w:val="-18"/>
          <w:w w:val="105"/>
        </w:rPr>
        <w:t> </w:t>
      </w:r>
      <w:r>
        <w:rPr>
          <w:color w:val="231F20"/>
          <w:w w:val="105"/>
        </w:rPr>
        <w:t>en</w:t>
      </w:r>
      <w:r>
        <w:rPr>
          <w:color w:val="231F20"/>
          <w:spacing w:val="-13"/>
          <w:w w:val="105"/>
        </w:rPr>
        <w:t> </w:t>
      </w:r>
      <w:r>
        <w:rPr>
          <w:color w:val="231F20"/>
          <w:w w:val="105"/>
        </w:rPr>
        <w:t>especial</w:t>
      </w:r>
      <w:r>
        <w:rPr>
          <w:color w:val="231F20"/>
          <w:spacing w:val="-13"/>
          <w:w w:val="105"/>
        </w:rPr>
        <w:t> </w:t>
      </w:r>
      <w:r>
        <w:rPr>
          <w:color w:val="231F20"/>
          <w:w w:val="105"/>
        </w:rPr>
        <w:t>sobre</w:t>
      </w:r>
      <w:r>
        <w:rPr>
          <w:color w:val="231F20"/>
          <w:spacing w:val="-13"/>
          <w:w w:val="105"/>
        </w:rPr>
        <w:t> </w:t>
      </w:r>
      <w:r>
        <w:rPr>
          <w:color w:val="231F20"/>
          <w:w w:val="105"/>
        </w:rPr>
        <w:t>la</w:t>
      </w:r>
      <w:r>
        <w:rPr>
          <w:color w:val="231F20"/>
          <w:spacing w:val="-13"/>
          <w:w w:val="105"/>
        </w:rPr>
        <w:t> </w:t>
      </w:r>
      <w:r>
        <w:rPr>
          <w:color w:val="231F20"/>
          <w:w w:val="105"/>
        </w:rPr>
        <w:t>agricultura.</w:t>
      </w:r>
      <w:r>
        <w:rPr>
          <w:color w:val="231F20"/>
          <w:spacing w:val="-18"/>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segunda</w:t>
      </w:r>
      <w:r>
        <w:rPr>
          <w:color w:val="231F20"/>
          <w:spacing w:val="-13"/>
          <w:w w:val="105"/>
        </w:rPr>
        <w:t> </w:t>
      </w:r>
      <w:r>
        <w:rPr>
          <w:color w:val="231F20"/>
          <w:w w:val="105"/>
        </w:rPr>
        <w:t>se</w:t>
      </w:r>
      <w:r>
        <w:rPr>
          <w:color w:val="231F20"/>
          <w:spacing w:val="-13"/>
          <w:w w:val="105"/>
        </w:rPr>
        <w:t> </w:t>
      </w:r>
      <w:r>
        <w:rPr>
          <w:color w:val="231F20"/>
          <w:w w:val="105"/>
        </w:rPr>
        <w:t>presen- tan los resultados del estudio de caso, enfocados en las peculiaridades de</w:t>
      </w:r>
      <w:r>
        <w:rPr>
          <w:color w:val="231F20"/>
          <w:spacing w:val="-15"/>
          <w:w w:val="105"/>
        </w:rPr>
        <w:t> </w:t>
      </w:r>
      <w:r>
        <w:rPr>
          <w:color w:val="231F20"/>
          <w:w w:val="105"/>
        </w:rPr>
        <w:t>las</w:t>
      </w:r>
      <w:r>
        <w:rPr>
          <w:color w:val="231F20"/>
          <w:spacing w:val="-15"/>
          <w:w w:val="105"/>
        </w:rPr>
        <w:t> </w:t>
      </w:r>
      <w:r>
        <w:rPr>
          <w:color w:val="231F20"/>
          <w:w w:val="105"/>
        </w:rPr>
        <w:t>dos</w:t>
      </w:r>
      <w:r>
        <w:rPr>
          <w:color w:val="231F20"/>
          <w:spacing w:val="-15"/>
          <w:w w:val="105"/>
        </w:rPr>
        <w:t> </w:t>
      </w:r>
      <w:r>
        <w:rPr>
          <w:color w:val="231F20"/>
          <w:w w:val="105"/>
        </w:rPr>
        <w:t>actividades</w:t>
      </w:r>
      <w:r>
        <w:rPr>
          <w:color w:val="231F20"/>
          <w:spacing w:val="-15"/>
          <w:w w:val="105"/>
        </w:rPr>
        <w:t> </w:t>
      </w:r>
      <w:r>
        <w:rPr>
          <w:color w:val="231F20"/>
          <w:w w:val="105"/>
        </w:rPr>
        <w:t>económicas</w:t>
      </w:r>
      <w:r>
        <w:rPr>
          <w:color w:val="231F20"/>
          <w:spacing w:val="-15"/>
          <w:w w:val="105"/>
        </w:rPr>
        <w:t> </w:t>
      </w:r>
      <w:r>
        <w:rPr>
          <w:color w:val="231F20"/>
          <w:w w:val="105"/>
        </w:rPr>
        <w:t>principales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región:</w:t>
      </w:r>
      <w:r>
        <w:rPr>
          <w:color w:val="231F20"/>
          <w:spacing w:val="-15"/>
          <w:w w:val="105"/>
        </w:rPr>
        <w:t> </w:t>
      </w:r>
      <w:r>
        <w:rPr>
          <w:color w:val="231F20"/>
          <w:w w:val="105"/>
        </w:rPr>
        <w:t>la</w:t>
      </w:r>
      <w:r>
        <w:rPr>
          <w:color w:val="231F20"/>
          <w:spacing w:val="-15"/>
          <w:w w:val="105"/>
        </w:rPr>
        <w:t> </w:t>
      </w:r>
      <w:r>
        <w:rPr>
          <w:color w:val="231F20"/>
          <w:w w:val="105"/>
        </w:rPr>
        <w:t>agricultura maicera</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ganadería.</w:t>
      </w:r>
      <w:r>
        <w:rPr>
          <w:color w:val="231F20"/>
          <w:spacing w:val="-25"/>
          <w:w w:val="105"/>
        </w:rPr>
        <w:t> </w:t>
      </w:r>
      <w:r>
        <w:rPr>
          <w:color w:val="231F20"/>
          <w:w w:val="105"/>
        </w:rPr>
        <w:t>Además,</w:t>
      </w:r>
      <w:r>
        <w:rPr>
          <w:color w:val="231F20"/>
          <w:spacing w:val="-22"/>
          <w:w w:val="105"/>
        </w:rPr>
        <w:t> </w:t>
      </w:r>
      <w:r>
        <w:rPr>
          <w:color w:val="231F20"/>
          <w:w w:val="105"/>
        </w:rPr>
        <w:t>se</w:t>
      </w:r>
      <w:r>
        <w:rPr>
          <w:color w:val="231F20"/>
          <w:spacing w:val="-17"/>
          <w:w w:val="105"/>
        </w:rPr>
        <w:t> </w:t>
      </w:r>
      <w:r>
        <w:rPr>
          <w:color w:val="231F20"/>
          <w:w w:val="105"/>
        </w:rPr>
        <w:t>presentan</w:t>
      </w:r>
      <w:r>
        <w:rPr>
          <w:color w:val="231F20"/>
          <w:spacing w:val="-17"/>
          <w:w w:val="105"/>
        </w:rPr>
        <w:t> </w:t>
      </w:r>
      <w:r>
        <w:rPr>
          <w:color w:val="231F20"/>
          <w:w w:val="105"/>
        </w:rPr>
        <w:t>los</w:t>
      </w:r>
      <w:r>
        <w:rPr>
          <w:color w:val="231F20"/>
          <w:spacing w:val="-17"/>
          <w:w w:val="105"/>
        </w:rPr>
        <w:t> </w:t>
      </w:r>
      <w:r>
        <w:rPr>
          <w:color w:val="231F20"/>
          <w:w w:val="105"/>
        </w:rPr>
        <w:t>rasgos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migración en</w:t>
      </w:r>
      <w:r>
        <w:rPr>
          <w:color w:val="231F20"/>
          <w:spacing w:val="-9"/>
          <w:w w:val="105"/>
        </w:rPr>
        <w:t> </w:t>
      </w:r>
      <w:r>
        <w:rPr>
          <w:color w:val="231F20"/>
          <w:w w:val="105"/>
        </w:rPr>
        <w:t>la</w:t>
      </w:r>
      <w:r>
        <w:rPr>
          <w:color w:val="231F20"/>
          <w:spacing w:val="-9"/>
          <w:w w:val="105"/>
        </w:rPr>
        <w:t> </w:t>
      </w:r>
      <w:r>
        <w:rPr>
          <w:color w:val="231F20"/>
          <w:w w:val="105"/>
        </w:rPr>
        <w:t>zona</w:t>
      </w:r>
      <w:r>
        <w:rPr>
          <w:color w:val="231F20"/>
          <w:spacing w:val="-9"/>
          <w:w w:val="105"/>
        </w:rPr>
        <w:t> </w:t>
      </w:r>
      <w:r>
        <w:rPr>
          <w:color w:val="231F20"/>
          <w:w w:val="105"/>
        </w:rPr>
        <w:t>y</w:t>
      </w:r>
      <w:r>
        <w:rPr>
          <w:color w:val="231F20"/>
          <w:spacing w:val="-9"/>
          <w:w w:val="105"/>
        </w:rPr>
        <w:t> </w:t>
      </w:r>
      <w:r>
        <w:rPr>
          <w:color w:val="231F20"/>
          <w:w w:val="105"/>
        </w:rPr>
        <w:t>se</w:t>
      </w:r>
      <w:r>
        <w:rPr>
          <w:color w:val="231F20"/>
          <w:spacing w:val="-9"/>
          <w:w w:val="105"/>
        </w:rPr>
        <w:t> </w:t>
      </w:r>
      <w:r>
        <w:rPr>
          <w:color w:val="231F20"/>
          <w:w w:val="105"/>
        </w:rPr>
        <w:t>consideran</w:t>
      </w:r>
      <w:r>
        <w:rPr>
          <w:color w:val="231F20"/>
          <w:spacing w:val="-9"/>
          <w:w w:val="105"/>
        </w:rPr>
        <w:t> </w:t>
      </w:r>
      <w:r>
        <w:rPr>
          <w:color w:val="231F20"/>
          <w:w w:val="105"/>
        </w:rPr>
        <w:t>los</w:t>
      </w:r>
      <w:r>
        <w:rPr>
          <w:color w:val="231F20"/>
          <w:spacing w:val="-9"/>
          <w:w w:val="105"/>
        </w:rPr>
        <w:t> </w:t>
      </w:r>
      <w:r>
        <w:rPr>
          <w:color w:val="231F20"/>
          <w:w w:val="105"/>
        </w:rPr>
        <w:t>impactos</w:t>
      </w:r>
      <w:r>
        <w:rPr>
          <w:color w:val="231F20"/>
          <w:spacing w:val="-9"/>
          <w:w w:val="105"/>
        </w:rPr>
        <w:t> </w:t>
      </w:r>
      <w:r>
        <w:rPr>
          <w:color w:val="231F20"/>
          <w:w w:val="105"/>
        </w:rPr>
        <w:t>asociados</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suspensión</w:t>
      </w:r>
      <w:r>
        <w:rPr>
          <w:color w:val="231F20"/>
          <w:spacing w:val="-9"/>
          <w:w w:val="105"/>
        </w:rPr>
        <w:t> </w:t>
      </w:r>
      <w:r>
        <w:rPr>
          <w:color w:val="231F20"/>
          <w:w w:val="105"/>
        </w:rPr>
        <w:t>de un programa gubernamental en la economía local, y la manera en que este</w:t>
      </w:r>
      <w:r>
        <w:rPr>
          <w:color w:val="231F20"/>
          <w:spacing w:val="-17"/>
          <w:w w:val="105"/>
        </w:rPr>
        <w:t> </w:t>
      </w:r>
      <w:r>
        <w:rPr>
          <w:color w:val="231F20"/>
          <w:w w:val="105"/>
        </w:rPr>
        <w:t>suceso</w:t>
      </w:r>
      <w:r>
        <w:rPr>
          <w:color w:val="231F20"/>
          <w:spacing w:val="-17"/>
          <w:w w:val="105"/>
        </w:rPr>
        <w:t> </w:t>
      </w:r>
      <w:r>
        <w:rPr>
          <w:color w:val="231F20"/>
          <w:w w:val="105"/>
        </w:rPr>
        <w:t>impulsó</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21"/>
          <w:w w:val="105"/>
        </w:rPr>
        <w:t> </w:t>
      </w:r>
      <w:r>
        <w:rPr>
          <w:color w:val="231F20"/>
          <w:w w:val="105"/>
        </w:rPr>
        <w:t>En</w:t>
      </w:r>
      <w:r>
        <w:rPr>
          <w:color w:val="231F20"/>
          <w:spacing w:val="-17"/>
          <w:w w:val="105"/>
        </w:rPr>
        <w:t> </w:t>
      </w:r>
      <w:r>
        <w:rPr>
          <w:color w:val="231F20"/>
          <w:w w:val="105"/>
        </w:rPr>
        <w:t>las</w:t>
      </w:r>
      <w:r>
        <w:rPr>
          <w:color w:val="231F20"/>
          <w:spacing w:val="-17"/>
          <w:w w:val="105"/>
        </w:rPr>
        <w:t> </w:t>
      </w:r>
      <w:r>
        <w:rPr>
          <w:color w:val="231F20"/>
          <w:w w:val="105"/>
        </w:rPr>
        <w:t>conclusiones</w:t>
      </w:r>
      <w:r>
        <w:rPr>
          <w:color w:val="231F20"/>
          <w:spacing w:val="-17"/>
          <w:w w:val="105"/>
        </w:rPr>
        <w:t> </w:t>
      </w:r>
      <w:r>
        <w:rPr>
          <w:color w:val="231F20"/>
          <w:w w:val="105"/>
        </w:rPr>
        <w:t>se</w:t>
      </w:r>
      <w:r>
        <w:rPr>
          <w:color w:val="231F20"/>
          <w:spacing w:val="-17"/>
          <w:w w:val="105"/>
        </w:rPr>
        <w:t> </w:t>
      </w:r>
      <w:r>
        <w:rPr>
          <w:color w:val="231F20"/>
          <w:w w:val="105"/>
        </w:rPr>
        <w:t>analizan</w:t>
      </w:r>
      <w:r>
        <w:rPr>
          <w:color w:val="231F20"/>
          <w:spacing w:val="-17"/>
          <w:w w:val="105"/>
        </w:rPr>
        <w:t> </w:t>
      </w:r>
      <w:r>
        <w:rPr>
          <w:color w:val="231F20"/>
          <w:w w:val="105"/>
        </w:rPr>
        <w:t>las</w:t>
      </w:r>
      <w:r>
        <w:rPr>
          <w:color w:val="231F20"/>
          <w:spacing w:val="-17"/>
          <w:w w:val="105"/>
        </w:rPr>
        <w:t> </w:t>
      </w:r>
      <w:r>
        <w:rPr>
          <w:color w:val="231F20"/>
          <w:w w:val="105"/>
        </w:rPr>
        <w:t>re- laciones entre la migración y el cultivo de maíz nativo en la localidad de estudio</w:t>
      </w:r>
      <w:r>
        <w:rPr>
          <w:color w:val="231F20"/>
          <w:spacing w:val="-18"/>
          <w:w w:val="105"/>
        </w:rPr>
        <w:t> </w:t>
      </w:r>
      <w:r>
        <w:rPr>
          <w:color w:val="231F20"/>
          <w:spacing w:val="-4"/>
          <w:w w:val="105"/>
        </w:rPr>
        <w:t>y,</w:t>
      </w:r>
      <w:r>
        <w:rPr>
          <w:color w:val="231F20"/>
          <w:spacing w:val="-23"/>
          <w:w w:val="105"/>
        </w:rPr>
        <w:t> </w:t>
      </w:r>
      <w:r>
        <w:rPr>
          <w:color w:val="231F20"/>
          <w:w w:val="105"/>
        </w:rPr>
        <w:t>se</w:t>
      </w:r>
      <w:r>
        <w:rPr>
          <w:color w:val="231F20"/>
          <w:spacing w:val="-18"/>
          <w:w w:val="105"/>
        </w:rPr>
        <w:t> </w:t>
      </w:r>
      <w:r>
        <w:rPr>
          <w:color w:val="231F20"/>
          <w:w w:val="105"/>
        </w:rPr>
        <w:t>contrastan</w:t>
      </w:r>
      <w:r>
        <w:rPr>
          <w:color w:val="231F20"/>
          <w:spacing w:val="-18"/>
          <w:w w:val="105"/>
        </w:rPr>
        <w:t> </w:t>
      </w:r>
      <w:r>
        <w:rPr>
          <w:color w:val="231F20"/>
          <w:w w:val="105"/>
        </w:rPr>
        <w:t>los</w:t>
      </w:r>
      <w:r>
        <w:rPr>
          <w:color w:val="231F20"/>
          <w:spacing w:val="-18"/>
          <w:w w:val="105"/>
        </w:rPr>
        <w:t> </w:t>
      </w:r>
      <w:r>
        <w:rPr>
          <w:color w:val="231F20"/>
          <w:w w:val="105"/>
        </w:rPr>
        <w:t>enfoques</w:t>
      </w:r>
      <w:r>
        <w:rPr>
          <w:color w:val="231F20"/>
          <w:spacing w:val="-18"/>
          <w:w w:val="105"/>
        </w:rPr>
        <w:t> </w:t>
      </w:r>
      <w:r>
        <w:rPr>
          <w:color w:val="231F20"/>
          <w:w w:val="105"/>
        </w:rPr>
        <w:t>teóricos</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realidad</w:t>
      </w:r>
      <w:r>
        <w:rPr>
          <w:color w:val="231F20"/>
          <w:spacing w:val="-18"/>
          <w:w w:val="105"/>
        </w:rPr>
        <w:t> </w:t>
      </w:r>
      <w:r>
        <w:rPr>
          <w:color w:val="231F20"/>
          <w:w w:val="105"/>
        </w:rPr>
        <w:t>observada.</w:t>
      </w:r>
    </w:p>
    <w:p>
      <w:pPr>
        <w:pStyle w:val="BodyText"/>
        <w:rPr>
          <w:sz w:val="20"/>
        </w:rPr>
      </w:pPr>
    </w:p>
    <w:p>
      <w:pPr>
        <w:pStyle w:val="BodyText"/>
        <w:spacing w:before="9"/>
        <w:rPr>
          <w:sz w:val="20"/>
        </w:rPr>
      </w:pPr>
    </w:p>
    <w:p>
      <w:pPr>
        <w:pStyle w:val="Heading3"/>
        <w:ind w:left="1695"/>
      </w:pPr>
      <w:r>
        <w:rPr>
          <w:color w:val="231F20"/>
        </w:rPr>
        <w:t>Marco teórico</w:t>
      </w:r>
    </w:p>
    <w:p>
      <w:pPr>
        <w:pStyle w:val="BodyText"/>
        <w:rPr>
          <w:rFonts w:ascii="Arial"/>
          <w:b/>
          <w:sz w:val="22"/>
        </w:rPr>
      </w:pPr>
    </w:p>
    <w:p>
      <w:pPr>
        <w:pStyle w:val="BodyText"/>
        <w:spacing w:line="261" w:lineRule="auto" w:before="163"/>
        <w:ind w:left="1695" w:right="1806"/>
        <w:jc w:val="both"/>
      </w:pPr>
      <w:r>
        <w:rPr>
          <w:color w:val="231F20"/>
          <w:w w:val="105"/>
        </w:rPr>
        <w:t>La migración es entendida como el conjunto de los movimientos pobla- cionales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mundo</w:t>
      </w:r>
      <w:r>
        <w:rPr>
          <w:color w:val="231F20"/>
          <w:spacing w:val="-11"/>
          <w:w w:val="105"/>
        </w:rPr>
        <w:t> </w:t>
      </w:r>
      <w:r>
        <w:rPr>
          <w:color w:val="231F20"/>
          <w:w w:val="105"/>
        </w:rPr>
        <w:t>que</w:t>
      </w:r>
      <w:r>
        <w:rPr>
          <w:color w:val="231F20"/>
          <w:spacing w:val="-11"/>
          <w:w w:val="105"/>
        </w:rPr>
        <w:t> </w:t>
      </w:r>
      <w:r>
        <w:rPr>
          <w:color w:val="231F20"/>
          <w:w w:val="105"/>
        </w:rPr>
        <w:t>obedece</w:t>
      </w:r>
      <w:r>
        <w:rPr>
          <w:color w:val="231F20"/>
          <w:spacing w:val="-11"/>
          <w:w w:val="105"/>
        </w:rPr>
        <w:t> </w:t>
      </w:r>
      <w:r>
        <w:rPr>
          <w:color w:val="231F20"/>
          <w:w w:val="105"/>
        </w:rPr>
        <w:t>principalmente</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búsqueda</w:t>
      </w:r>
      <w:r>
        <w:rPr>
          <w:color w:val="231F20"/>
          <w:spacing w:val="-11"/>
          <w:w w:val="105"/>
        </w:rPr>
        <w:t> </w:t>
      </w:r>
      <w:r>
        <w:rPr>
          <w:color w:val="231F20"/>
          <w:w w:val="105"/>
        </w:rPr>
        <w:t>de</w:t>
      </w:r>
      <w:r>
        <w:rPr>
          <w:color w:val="231F20"/>
          <w:spacing w:val="-11"/>
          <w:w w:val="105"/>
        </w:rPr>
        <w:t> </w:t>
      </w:r>
      <w:r>
        <w:rPr>
          <w:color w:val="231F20"/>
          <w:w w:val="105"/>
        </w:rPr>
        <w:t>me- jores</w:t>
      </w:r>
      <w:r>
        <w:rPr>
          <w:color w:val="231F20"/>
          <w:spacing w:val="-33"/>
          <w:w w:val="105"/>
        </w:rPr>
        <w:t> </w:t>
      </w:r>
      <w:r>
        <w:rPr>
          <w:color w:val="231F20"/>
          <w:w w:val="105"/>
        </w:rPr>
        <w:t>condiciones</w:t>
      </w:r>
      <w:r>
        <w:rPr>
          <w:color w:val="231F20"/>
          <w:spacing w:val="-33"/>
          <w:w w:val="105"/>
        </w:rPr>
        <w:t> </w:t>
      </w:r>
      <w:r>
        <w:rPr>
          <w:color w:val="231F20"/>
          <w:w w:val="105"/>
        </w:rPr>
        <w:t>de</w:t>
      </w:r>
      <w:r>
        <w:rPr>
          <w:color w:val="231F20"/>
          <w:spacing w:val="-33"/>
          <w:w w:val="105"/>
        </w:rPr>
        <w:t> </w:t>
      </w:r>
      <w:r>
        <w:rPr>
          <w:color w:val="231F20"/>
          <w:w w:val="105"/>
        </w:rPr>
        <w:t>vida</w:t>
      </w:r>
      <w:r>
        <w:rPr>
          <w:color w:val="231F20"/>
          <w:spacing w:val="-33"/>
          <w:w w:val="105"/>
        </w:rPr>
        <w:t> </w:t>
      </w:r>
      <w:r>
        <w:rPr>
          <w:color w:val="231F20"/>
          <w:w w:val="105"/>
        </w:rPr>
        <w:t>(Salas</w:t>
      </w:r>
      <w:r>
        <w:rPr>
          <w:color w:val="231F20"/>
          <w:spacing w:val="-33"/>
          <w:w w:val="105"/>
        </w:rPr>
        <w:t> </w:t>
      </w:r>
      <w:r>
        <w:rPr>
          <w:color w:val="231F20"/>
          <w:w w:val="105"/>
        </w:rPr>
        <w:t>y</w:t>
      </w:r>
      <w:r>
        <w:rPr>
          <w:color w:val="231F20"/>
          <w:spacing w:val="-33"/>
          <w:w w:val="105"/>
        </w:rPr>
        <w:t> </w:t>
      </w:r>
      <w:r>
        <w:rPr>
          <w:color w:val="231F20"/>
          <w:w w:val="105"/>
        </w:rPr>
        <w:t>Cruz,</w:t>
      </w:r>
      <w:r>
        <w:rPr>
          <w:color w:val="231F20"/>
          <w:spacing w:val="-37"/>
          <w:w w:val="105"/>
        </w:rPr>
        <w:t> </w:t>
      </w:r>
      <w:r>
        <w:rPr>
          <w:color w:val="231F20"/>
          <w:w w:val="105"/>
        </w:rPr>
        <w:t>2014:</w:t>
      </w:r>
      <w:r>
        <w:rPr>
          <w:color w:val="231F20"/>
          <w:spacing w:val="-33"/>
          <w:w w:val="105"/>
        </w:rPr>
        <w:t> </w:t>
      </w:r>
      <w:r>
        <w:rPr>
          <w:color w:val="231F20"/>
          <w:w w:val="105"/>
        </w:rPr>
        <w:t>24).</w:t>
      </w:r>
      <w:r>
        <w:rPr>
          <w:color w:val="231F20"/>
          <w:spacing w:val="-37"/>
          <w:w w:val="105"/>
        </w:rPr>
        <w:t> </w:t>
      </w:r>
      <w:r>
        <w:rPr>
          <w:color w:val="231F20"/>
          <w:w w:val="105"/>
        </w:rPr>
        <w:t>La</w:t>
      </w:r>
      <w:r>
        <w:rPr>
          <w:color w:val="231F20"/>
          <w:spacing w:val="-33"/>
          <w:w w:val="105"/>
        </w:rPr>
        <w:t> </w:t>
      </w:r>
      <w:r>
        <w:rPr>
          <w:color w:val="231F20"/>
          <w:w w:val="105"/>
        </w:rPr>
        <w:t>alta</w:t>
      </w:r>
      <w:r>
        <w:rPr>
          <w:color w:val="231F20"/>
          <w:spacing w:val="-33"/>
          <w:w w:val="105"/>
        </w:rPr>
        <w:t> </w:t>
      </w:r>
      <w:r>
        <w:rPr>
          <w:color w:val="231F20"/>
          <w:w w:val="105"/>
        </w:rPr>
        <w:t>marginación</w:t>
      </w:r>
      <w:r>
        <w:rPr>
          <w:color w:val="231F20"/>
          <w:spacing w:val="-33"/>
          <w:w w:val="105"/>
        </w:rPr>
        <w:t> </w:t>
      </w:r>
      <w:r>
        <w:rPr>
          <w:color w:val="231F20"/>
          <w:w w:val="105"/>
        </w:rPr>
        <w:t>que prevalece</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medio</w:t>
      </w:r>
      <w:r>
        <w:rPr>
          <w:color w:val="231F20"/>
          <w:spacing w:val="-19"/>
          <w:w w:val="105"/>
        </w:rPr>
        <w:t> </w:t>
      </w:r>
      <w:r>
        <w:rPr>
          <w:color w:val="231F20"/>
          <w:w w:val="105"/>
        </w:rPr>
        <w:t>rural</w:t>
      </w:r>
      <w:r>
        <w:rPr>
          <w:color w:val="231F20"/>
          <w:spacing w:val="-19"/>
          <w:w w:val="105"/>
        </w:rPr>
        <w:t> </w:t>
      </w:r>
      <w:r>
        <w:rPr>
          <w:color w:val="231F20"/>
          <w:w w:val="105"/>
        </w:rPr>
        <w:t>mexicano</w:t>
      </w:r>
      <w:r>
        <w:rPr>
          <w:color w:val="231F20"/>
          <w:spacing w:val="-19"/>
          <w:w w:val="105"/>
        </w:rPr>
        <w:t> </w:t>
      </w:r>
      <w:r>
        <w:rPr>
          <w:color w:val="231F20"/>
          <w:w w:val="105"/>
        </w:rPr>
        <w:t>provoca</w:t>
      </w:r>
      <w:r>
        <w:rPr>
          <w:color w:val="231F20"/>
          <w:spacing w:val="-19"/>
          <w:w w:val="105"/>
        </w:rPr>
        <w:t> </w:t>
      </w:r>
      <w:r>
        <w:rPr>
          <w:color w:val="231F20"/>
          <w:w w:val="105"/>
        </w:rPr>
        <w:t>cambios</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dinámica</w:t>
      </w:r>
      <w:r>
        <w:rPr>
          <w:color w:val="231F20"/>
          <w:spacing w:val="-19"/>
          <w:w w:val="105"/>
        </w:rPr>
        <w:t> </w:t>
      </w:r>
      <w:r>
        <w:rPr>
          <w:color w:val="231F20"/>
          <w:w w:val="105"/>
        </w:rPr>
        <w:t>de</w:t>
      </w:r>
    </w:p>
    <w:p>
      <w:pPr>
        <w:pStyle w:val="BodyText"/>
        <w:rPr>
          <w:sz w:val="20"/>
        </w:rPr>
      </w:pPr>
    </w:p>
    <w:p>
      <w:pPr>
        <w:pStyle w:val="BodyText"/>
        <w:rPr>
          <w:sz w:val="20"/>
        </w:rPr>
      </w:pPr>
    </w:p>
    <w:p>
      <w:pPr>
        <w:pStyle w:val="BodyText"/>
        <w:spacing w:before="11"/>
        <w:rPr>
          <w:sz w:val="1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0832" from="131.551193pt,3.703715pt" to="131.551193pt,39.506114pt" stroked="true" strokeweight=".35pt" strokecolor="#231f20">
            <w10:wrap type="none"/>
          </v:line>
        </w:pict>
      </w:r>
      <w:r>
        <w:rPr/>
        <w:pict>
          <v:line style="position:absolute;mso-position-horizontal-relative:page;mso-position-vertical-relative:paragraph;z-index:-450808" from="15pt,39.505917pt" to="0pt,39.505917pt" stroked="true" strokeweight=".25pt" strokecolor="#000000">
            <w10:wrap type="none"/>
          </v:line>
        </w:pict>
      </w:r>
      <w:r>
        <w:rPr/>
        <w:pict>
          <v:line style="position:absolute;mso-position-horizontal-relative:page;mso-position-vertical-relative:paragraph;z-index:39400" from="508.890015pt,39.505917pt" to="523.890015pt,39.505917pt" stroked="true" strokeweight=".25pt" strokecolor="#000000">
            <w10:wrap type="none"/>
          </v:line>
        </w:pict>
      </w:r>
      <w:r>
        <w:rPr>
          <w:rFonts w:ascii="Arial" w:hAnsi="Arial"/>
          <w:color w:val="414042"/>
          <w:position w:val="-5"/>
          <w:sz w:val="20"/>
        </w:rPr>
        <w:t>330</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footerReference w:type="default" r:id="rId352"/>
          <w:pgSz w:w="10480" w:h="14730"/>
          <w:pgMar w:footer="103" w:header="0" w:top="42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50760" from="405.061005pt,-18.554295pt" to="405.061005pt,16.311579pt" stroked="true" strokeweight=".35pt" strokecolor="#231f20">
            <w10:wrap type="none"/>
          </v:line>
        </w:pict>
      </w:r>
      <w:r>
        <w:rPr/>
        <w:pict>
          <v:line style="position:absolute;mso-position-horizontal-relative:page;mso-position-vertical-relative:paragraph;z-index:39448" from="15pt,-18.554522pt" to="0pt,-18.554522pt" stroked="true" strokeweight=".25pt" strokecolor="#000000">
            <w10:wrap type="none"/>
          </v:line>
        </w:pict>
      </w:r>
      <w:r>
        <w:rPr/>
        <w:pict>
          <v:line style="position:absolute;mso-position-horizontal-relative:page;mso-position-vertical-relative:paragraph;z-index:39472"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331</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las poblaciones rurales, originando la búsqueda de nuevas</w:t>
      </w:r>
      <w:r>
        <w:rPr>
          <w:color w:val="231F20"/>
          <w:spacing w:val="-16"/>
          <w:w w:val="105"/>
        </w:rPr>
        <w:t> </w:t>
      </w:r>
      <w:r>
        <w:rPr>
          <w:color w:val="231F20"/>
          <w:w w:val="105"/>
        </w:rPr>
        <w:t>alternativas de</w:t>
      </w:r>
      <w:r>
        <w:rPr>
          <w:color w:val="231F20"/>
          <w:spacing w:val="-12"/>
          <w:w w:val="105"/>
        </w:rPr>
        <w:t> </w:t>
      </w:r>
      <w:r>
        <w:rPr>
          <w:color w:val="231F20"/>
          <w:w w:val="105"/>
        </w:rPr>
        <w:t>vida,</w:t>
      </w:r>
      <w:r>
        <w:rPr>
          <w:color w:val="231F20"/>
          <w:spacing w:val="-19"/>
          <w:w w:val="105"/>
        </w:rPr>
        <w:t> </w:t>
      </w:r>
      <w:r>
        <w:rPr>
          <w:color w:val="231F20"/>
          <w:w w:val="105"/>
        </w:rPr>
        <w:t>entre</w:t>
      </w:r>
      <w:r>
        <w:rPr>
          <w:color w:val="231F20"/>
          <w:spacing w:val="-12"/>
          <w:w w:val="105"/>
        </w:rPr>
        <w:t> </w:t>
      </w:r>
      <w:r>
        <w:rPr>
          <w:color w:val="231F20"/>
          <w:w w:val="105"/>
        </w:rPr>
        <w:t>las</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ha</w:t>
      </w:r>
      <w:r>
        <w:rPr>
          <w:color w:val="231F20"/>
          <w:spacing w:val="-12"/>
          <w:w w:val="105"/>
        </w:rPr>
        <w:t> </w:t>
      </w:r>
      <w:r>
        <w:rPr>
          <w:color w:val="231F20"/>
          <w:w w:val="105"/>
        </w:rPr>
        <w:t>optado</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migración</w:t>
      </w:r>
      <w:r>
        <w:rPr>
          <w:color w:val="231F20"/>
          <w:spacing w:val="-12"/>
          <w:w w:val="105"/>
        </w:rPr>
        <w:t> </w:t>
      </w:r>
      <w:r>
        <w:rPr>
          <w:color w:val="231F20"/>
          <w:w w:val="105"/>
        </w:rPr>
        <w:t>principalmente</w:t>
      </w:r>
      <w:r>
        <w:rPr>
          <w:color w:val="231F20"/>
          <w:spacing w:val="-12"/>
          <w:w w:val="105"/>
        </w:rPr>
        <w:t> </w:t>
      </w:r>
      <w:r>
        <w:rPr>
          <w:color w:val="231F20"/>
          <w:w w:val="105"/>
        </w:rPr>
        <w:t>a</w:t>
      </w:r>
      <w:r>
        <w:rPr>
          <w:color w:val="231F20"/>
          <w:spacing w:val="-12"/>
          <w:w w:val="105"/>
        </w:rPr>
        <w:t> </w:t>
      </w:r>
      <w:r>
        <w:rPr>
          <w:color w:val="231F20"/>
          <w:w w:val="105"/>
        </w:rPr>
        <w:t>los Estados</w:t>
      </w:r>
      <w:r>
        <w:rPr>
          <w:color w:val="231F20"/>
          <w:spacing w:val="-27"/>
          <w:w w:val="105"/>
        </w:rPr>
        <w:t> </w:t>
      </w:r>
      <w:r>
        <w:rPr>
          <w:color w:val="231F20"/>
          <w:w w:val="105"/>
        </w:rPr>
        <w:t>Unidos</w:t>
      </w:r>
      <w:r>
        <w:rPr>
          <w:color w:val="231F20"/>
          <w:spacing w:val="-27"/>
          <w:w w:val="105"/>
        </w:rPr>
        <w:t> </w:t>
      </w:r>
      <w:r>
        <w:rPr>
          <w:color w:val="231F20"/>
          <w:w w:val="105"/>
        </w:rPr>
        <w:t>de</w:t>
      </w:r>
      <w:r>
        <w:rPr>
          <w:color w:val="231F20"/>
          <w:spacing w:val="-30"/>
          <w:w w:val="105"/>
        </w:rPr>
        <w:t> </w:t>
      </w:r>
      <w:r>
        <w:rPr>
          <w:color w:val="231F20"/>
          <w:w w:val="105"/>
        </w:rPr>
        <w:t>América</w:t>
      </w:r>
      <w:r>
        <w:rPr>
          <w:color w:val="231F20"/>
          <w:spacing w:val="-27"/>
          <w:w w:val="105"/>
        </w:rPr>
        <w:t> </w:t>
      </w:r>
      <w:r>
        <w:rPr>
          <w:color w:val="231F20"/>
          <w:w w:val="105"/>
        </w:rPr>
        <w:t>(Butterworth,</w:t>
      </w:r>
      <w:r>
        <w:rPr>
          <w:color w:val="231F20"/>
          <w:spacing w:val="-31"/>
          <w:w w:val="105"/>
        </w:rPr>
        <w:t> </w:t>
      </w:r>
      <w:r>
        <w:rPr>
          <w:color w:val="231F20"/>
          <w:w w:val="105"/>
        </w:rPr>
        <w:t>1975;</w:t>
      </w:r>
      <w:r>
        <w:rPr>
          <w:color w:val="231F20"/>
          <w:spacing w:val="-27"/>
          <w:w w:val="105"/>
        </w:rPr>
        <w:t> </w:t>
      </w:r>
      <w:r>
        <w:rPr>
          <w:color w:val="231F20"/>
          <w:spacing w:val="-3"/>
          <w:w w:val="105"/>
        </w:rPr>
        <w:t>Portes,</w:t>
      </w:r>
      <w:r>
        <w:rPr>
          <w:color w:val="231F20"/>
          <w:spacing w:val="-31"/>
          <w:w w:val="105"/>
        </w:rPr>
        <w:t> </w:t>
      </w:r>
      <w:r>
        <w:rPr>
          <w:color w:val="231F20"/>
          <w:w w:val="105"/>
        </w:rPr>
        <w:t>2001).</w:t>
      </w:r>
    </w:p>
    <w:p>
      <w:pPr>
        <w:pStyle w:val="BodyText"/>
        <w:spacing w:line="261" w:lineRule="auto" w:before="1"/>
        <w:ind w:left="1837" w:right="1721" w:firstLine="567"/>
        <w:jc w:val="both"/>
      </w:pPr>
      <w:r>
        <w:rPr>
          <w:color w:val="231F20"/>
          <w:spacing w:val="-6"/>
          <w:w w:val="105"/>
        </w:rPr>
        <w:t>Por </w:t>
      </w:r>
      <w:r>
        <w:rPr>
          <w:color w:val="231F20"/>
          <w:w w:val="105"/>
        </w:rPr>
        <w:t>su magnitud, las remesas en México representan uno de los principales rubros económicos debido a la inyección de capital que re- presentan, lo que ha dado origen a un gran debate en los últimos años en</w:t>
      </w:r>
      <w:r>
        <w:rPr>
          <w:color w:val="231F20"/>
          <w:spacing w:val="-15"/>
          <w:w w:val="105"/>
        </w:rPr>
        <w:t> </w:t>
      </w:r>
      <w:r>
        <w:rPr>
          <w:color w:val="231F20"/>
          <w:w w:val="105"/>
        </w:rPr>
        <w:t>cuanto</w:t>
      </w:r>
      <w:r>
        <w:rPr>
          <w:color w:val="231F20"/>
          <w:spacing w:val="-15"/>
          <w:w w:val="105"/>
        </w:rPr>
        <w:t> </w:t>
      </w:r>
      <w:r>
        <w:rPr>
          <w:color w:val="231F20"/>
          <w:w w:val="105"/>
        </w:rPr>
        <w:t>a</w:t>
      </w:r>
      <w:r>
        <w:rPr>
          <w:color w:val="231F20"/>
          <w:spacing w:val="-15"/>
          <w:w w:val="105"/>
        </w:rPr>
        <w:t> </w:t>
      </w:r>
      <w:r>
        <w:rPr>
          <w:color w:val="231F20"/>
          <w:w w:val="105"/>
        </w:rPr>
        <w:t>sus</w:t>
      </w:r>
      <w:r>
        <w:rPr>
          <w:color w:val="231F20"/>
          <w:spacing w:val="-15"/>
          <w:w w:val="105"/>
        </w:rPr>
        <w:t> </w:t>
      </w:r>
      <w:r>
        <w:rPr>
          <w:color w:val="231F20"/>
          <w:w w:val="105"/>
        </w:rPr>
        <w:t>impactos</w:t>
      </w:r>
      <w:r>
        <w:rPr>
          <w:color w:val="231F20"/>
          <w:spacing w:val="-15"/>
          <w:w w:val="105"/>
        </w:rPr>
        <w:t> </w:t>
      </w:r>
      <w:r>
        <w:rPr>
          <w:color w:val="231F20"/>
          <w:w w:val="105"/>
        </w:rPr>
        <w:t>diferenciados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desarrollo</w:t>
      </w:r>
      <w:r>
        <w:rPr>
          <w:color w:val="231F20"/>
          <w:spacing w:val="-15"/>
          <w:w w:val="105"/>
        </w:rPr>
        <w:t> </w:t>
      </w:r>
      <w:r>
        <w:rPr>
          <w:color w:val="231F20"/>
          <w:w w:val="105"/>
        </w:rPr>
        <w:t>regional</w:t>
      </w:r>
      <w:r>
        <w:rPr>
          <w:color w:val="231F20"/>
          <w:spacing w:val="-15"/>
          <w:w w:val="105"/>
        </w:rPr>
        <w:t> </w:t>
      </w:r>
      <w:r>
        <w:rPr>
          <w:color w:val="231F20"/>
          <w:w w:val="105"/>
        </w:rPr>
        <w:t>y</w:t>
      </w:r>
      <w:r>
        <w:rPr>
          <w:color w:val="231F20"/>
          <w:spacing w:val="-15"/>
          <w:w w:val="105"/>
        </w:rPr>
        <w:t> </w:t>
      </w:r>
      <w:r>
        <w:rPr>
          <w:color w:val="231F20"/>
          <w:w w:val="105"/>
        </w:rPr>
        <w:t>de</w:t>
      </w:r>
      <w:r>
        <w:rPr>
          <w:color w:val="231F20"/>
          <w:spacing w:val="-15"/>
          <w:w w:val="105"/>
        </w:rPr>
        <w:t> </w:t>
      </w:r>
      <w:r>
        <w:rPr>
          <w:color w:val="231F20"/>
          <w:w w:val="105"/>
        </w:rPr>
        <w:t>las localidades.</w:t>
      </w:r>
      <w:r>
        <w:rPr>
          <w:color w:val="231F20"/>
          <w:spacing w:val="-26"/>
          <w:w w:val="105"/>
        </w:rPr>
        <w:t> </w:t>
      </w:r>
      <w:r>
        <w:rPr>
          <w:color w:val="231F20"/>
          <w:w w:val="105"/>
        </w:rPr>
        <w:t>Los</w:t>
      </w:r>
      <w:r>
        <w:rPr>
          <w:color w:val="231F20"/>
          <w:spacing w:val="-21"/>
          <w:w w:val="105"/>
        </w:rPr>
        <w:t> </w:t>
      </w:r>
      <w:r>
        <w:rPr>
          <w:color w:val="231F20"/>
          <w:w w:val="105"/>
        </w:rPr>
        <w:t>especialistas</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tema</w:t>
      </w:r>
      <w:r>
        <w:rPr>
          <w:color w:val="231F20"/>
          <w:spacing w:val="-21"/>
          <w:w w:val="105"/>
        </w:rPr>
        <w:t> </w:t>
      </w:r>
      <w:r>
        <w:rPr>
          <w:color w:val="231F20"/>
          <w:w w:val="105"/>
        </w:rPr>
        <w:t>refieren</w:t>
      </w:r>
      <w:r>
        <w:rPr>
          <w:color w:val="231F20"/>
          <w:spacing w:val="-21"/>
          <w:w w:val="105"/>
        </w:rPr>
        <w:t> </w:t>
      </w:r>
      <w:r>
        <w:rPr>
          <w:color w:val="231F20"/>
          <w:w w:val="105"/>
        </w:rPr>
        <w:t>al</w:t>
      </w:r>
      <w:r>
        <w:rPr>
          <w:color w:val="231F20"/>
          <w:spacing w:val="-21"/>
          <w:w w:val="105"/>
        </w:rPr>
        <w:t> </w:t>
      </w:r>
      <w:r>
        <w:rPr>
          <w:color w:val="231F20"/>
          <w:w w:val="105"/>
        </w:rPr>
        <w:t>menos</w:t>
      </w:r>
      <w:r>
        <w:rPr>
          <w:color w:val="231F20"/>
          <w:spacing w:val="-21"/>
          <w:w w:val="105"/>
        </w:rPr>
        <w:t> </w:t>
      </w:r>
      <w:r>
        <w:rPr>
          <w:color w:val="231F20"/>
          <w:w w:val="105"/>
        </w:rPr>
        <w:t>dos</w:t>
      </w:r>
      <w:r>
        <w:rPr>
          <w:color w:val="231F20"/>
          <w:spacing w:val="-21"/>
          <w:w w:val="105"/>
        </w:rPr>
        <w:t> </w:t>
      </w:r>
      <w:r>
        <w:rPr>
          <w:color w:val="231F20"/>
          <w:w w:val="105"/>
        </w:rPr>
        <w:t>enfoques generales que abordan el fenómeno migratorio desde la forma en que se</w:t>
      </w:r>
      <w:r>
        <w:rPr>
          <w:color w:val="231F20"/>
          <w:spacing w:val="-32"/>
          <w:w w:val="105"/>
        </w:rPr>
        <w:t> </w:t>
      </w:r>
      <w:r>
        <w:rPr>
          <w:color w:val="231F20"/>
          <w:w w:val="105"/>
        </w:rPr>
        <w:t>relacionan</w:t>
      </w:r>
      <w:r>
        <w:rPr>
          <w:color w:val="231F20"/>
          <w:spacing w:val="-32"/>
          <w:w w:val="105"/>
        </w:rPr>
        <w:t> </w:t>
      </w:r>
      <w:r>
        <w:rPr>
          <w:color w:val="231F20"/>
          <w:w w:val="105"/>
        </w:rPr>
        <w:t>la</w:t>
      </w:r>
      <w:r>
        <w:rPr>
          <w:color w:val="231F20"/>
          <w:spacing w:val="-32"/>
          <w:w w:val="105"/>
        </w:rPr>
        <w:t> </w:t>
      </w:r>
      <w:r>
        <w:rPr>
          <w:color w:val="231F20"/>
          <w:w w:val="105"/>
        </w:rPr>
        <w:t>migración</w:t>
      </w:r>
      <w:r>
        <w:rPr>
          <w:color w:val="231F20"/>
          <w:spacing w:val="-32"/>
          <w:w w:val="105"/>
        </w:rPr>
        <w:t> </w:t>
      </w:r>
      <w:r>
        <w:rPr>
          <w:color w:val="231F20"/>
          <w:w w:val="105"/>
        </w:rPr>
        <w:t>y</w:t>
      </w:r>
      <w:r>
        <w:rPr>
          <w:color w:val="231F20"/>
          <w:spacing w:val="-32"/>
          <w:w w:val="105"/>
        </w:rPr>
        <w:t> </w:t>
      </w:r>
      <w:r>
        <w:rPr>
          <w:color w:val="231F20"/>
          <w:w w:val="105"/>
        </w:rPr>
        <w:t>las</w:t>
      </w:r>
      <w:r>
        <w:rPr>
          <w:color w:val="231F20"/>
          <w:spacing w:val="-32"/>
          <w:w w:val="105"/>
        </w:rPr>
        <w:t> </w:t>
      </w:r>
      <w:r>
        <w:rPr>
          <w:color w:val="231F20"/>
          <w:w w:val="105"/>
        </w:rPr>
        <w:t>remesas,</w:t>
      </w:r>
      <w:r>
        <w:rPr>
          <w:color w:val="231F20"/>
          <w:spacing w:val="-36"/>
          <w:w w:val="105"/>
        </w:rPr>
        <w:t> </w:t>
      </w:r>
      <w:r>
        <w:rPr>
          <w:color w:val="231F20"/>
          <w:w w:val="105"/>
        </w:rPr>
        <w:t>con</w:t>
      </w:r>
      <w:r>
        <w:rPr>
          <w:color w:val="231F20"/>
          <w:spacing w:val="-32"/>
          <w:w w:val="105"/>
        </w:rPr>
        <w:t> </w:t>
      </w:r>
      <w:r>
        <w:rPr>
          <w:color w:val="231F20"/>
          <w:w w:val="105"/>
        </w:rPr>
        <w:t>las</w:t>
      </w:r>
      <w:r>
        <w:rPr>
          <w:color w:val="231F20"/>
          <w:spacing w:val="-32"/>
          <w:w w:val="105"/>
        </w:rPr>
        <w:t> </w:t>
      </w:r>
      <w:r>
        <w:rPr>
          <w:color w:val="231F20"/>
          <w:w w:val="105"/>
        </w:rPr>
        <w:t>actividades</w:t>
      </w:r>
      <w:r>
        <w:rPr>
          <w:color w:val="231F20"/>
          <w:spacing w:val="-32"/>
          <w:w w:val="105"/>
        </w:rPr>
        <w:t> </w:t>
      </w:r>
      <w:r>
        <w:rPr>
          <w:color w:val="231F20"/>
          <w:w w:val="105"/>
        </w:rPr>
        <w:t>agrícolas</w:t>
      </w:r>
      <w:r>
        <w:rPr>
          <w:color w:val="231F20"/>
          <w:spacing w:val="-32"/>
          <w:w w:val="105"/>
        </w:rPr>
        <w:t> </w:t>
      </w:r>
      <w:r>
        <w:rPr>
          <w:color w:val="231F20"/>
          <w:w w:val="105"/>
        </w:rPr>
        <w:t>y</w:t>
      </w:r>
      <w:r>
        <w:rPr>
          <w:color w:val="231F20"/>
          <w:spacing w:val="-32"/>
          <w:w w:val="105"/>
        </w:rPr>
        <w:t> </w:t>
      </w:r>
      <w:r>
        <w:rPr>
          <w:color w:val="231F20"/>
          <w:w w:val="105"/>
        </w:rPr>
        <w:t>la distribución</w:t>
      </w:r>
      <w:r>
        <w:rPr>
          <w:color w:val="231F20"/>
          <w:spacing w:val="-20"/>
          <w:w w:val="105"/>
        </w:rPr>
        <w:t> </w:t>
      </w:r>
      <w:r>
        <w:rPr>
          <w:color w:val="231F20"/>
          <w:w w:val="105"/>
        </w:rPr>
        <w:t>del</w:t>
      </w:r>
      <w:r>
        <w:rPr>
          <w:color w:val="231F20"/>
          <w:spacing w:val="-20"/>
          <w:w w:val="105"/>
        </w:rPr>
        <w:t> </w:t>
      </w:r>
      <w:r>
        <w:rPr>
          <w:color w:val="231F20"/>
          <w:w w:val="105"/>
        </w:rPr>
        <w:t>ingreso</w:t>
      </w:r>
      <w:r>
        <w:rPr>
          <w:color w:val="231F20"/>
          <w:spacing w:val="-20"/>
          <w:w w:val="105"/>
        </w:rPr>
        <w:t> </w:t>
      </w:r>
      <w:r>
        <w:rPr>
          <w:color w:val="231F20"/>
          <w:w w:val="105"/>
        </w:rPr>
        <w:t>(Salas,</w:t>
      </w:r>
      <w:r>
        <w:rPr>
          <w:color w:val="231F20"/>
          <w:spacing w:val="-25"/>
          <w:w w:val="105"/>
        </w:rPr>
        <w:t> </w:t>
      </w:r>
      <w:r>
        <w:rPr>
          <w:color w:val="231F20"/>
          <w:w w:val="105"/>
        </w:rPr>
        <w:t>Cruz</w:t>
      </w:r>
      <w:r>
        <w:rPr>
          <w:color w:val="231F20"/>
          <w:spacing w:val="-20"/>
          <w:w w:val="105"/>
        </w:rPr>
        <w:t> </w:t>
      </w:r>
      <w:r>
        <w:rPr>
          <w:color w:val="231F20"/>
          <w:w w:val="105"/>
        </w:rPr>
        <w:t>y</w:t>
      </w:r>
      <w:r>
        <w:rPr>
          <w:color w:val="231F20"/>
          <w:spacing w:val="-20"/>
          <w:w w:val="105"/>
        </w:rPr>
        <w:t> </w:t>
      </w:r>
      <w:r>
        <w:rPr>
          <w:color w:val="231F20"/>
          <w:w w:val="105"/>
        </w:rPr>
        <w:t>Honorio</w:t>
      </w:r>
      <w:r>
        <w:rPr>
          <w:rFonts w:ascii="Arial" w:hAnsi="Arial"/>
          <w:i/>
          <w:color w:val="231F20"/>
          <w:w w:val="105"/>
        </w:rPr>
        <w:t>,</w:t>
      </w:r>
      <w:r>
        <w:rPr>
          <w:rFonts w:ascii="Arial" w:hAnsi="Arial"/>
          <w:i/>
          <w:color w:val="231F20"/>
          <w:spacing w:val="-22"/>
          <w:w w:val="105"/>
        </w:rPr>
        <w:t> </w:t>
      </w:r>
      <w:r>
        <w:rPr>
          <w:color w:val="231F20"/>
          <w:w w:val="105"/>
        </w:rPr>
        <w:t>2012;</w:t>
      </w:r>
      <w:r>
        <w:rPr>
          <w:color w:val="231F20"/>
          <w:spacing w:val="-20"/>
          <w:w w:val="105"/>
        </w:rPr>
        <w:t> </w:t>
      </w:r>
      <w:r>
        <w:rPr>
          <w:color w:val="231F20"/>
          <w:w w:val="105"/>
        </w:rPr>
        <w:t>17).</w:t>
      </w:r>
    </w:p>
    <w:p>
      <w:pPr>
        <w:pStyle w:val="BodyText"/>
        <w:spacing w:line="261" w:lineRule="auto"/>
        <w:ind w:left="1837" w:right="1715" w:firstLine="567"/>
        <w:jc w:val="both"/>
      </w:pPr>
      <w:r>
        <w:rPr>
          <w:color w:val="231F20"/>
          <w:w w:val="105"/>
        </w:rPr>
        <w:t>El primer enfoque se ha definido como una perspectiva negativa, debido a que las personas que migran son aquellas económicamente potenciales</w:t>
      </w:r>
      <w:r>
        <w:rPr>
          <w:color w:val="231F20"/>
          <w:spacing w:val="-10"/>
          <w:w w:val="105"/>
        </w:rPr>
        <w:t> </w:t>
      </w:r>
      <w:r>
        <w:rPr>
          <w:color w:val="231F20"/>
          <w:w w:val="105"/>
        </w:rPr>
        <w:t>y</w:t>
      </w:r>
      <w:r>
        <w:rPr>
          <w:color w:val="231F20"/>
          <w:spacing w:val="-10"/>
          <w:w w:val="105"/>
        </w:rPr>
        <w:t> </w:t>
      </w:r>
      <w:r>
        <w:rPr>
          <w:color w:val="231F20"/>
          <w:w w:val="105"/>
        </w:rPr>
        <w:t>más</w:t>
      </w:r>
      <w:r>
        <w:rPr>
          <w:color w:val="231F20"/>
          <w:spacing w:val="-10"/>
          <w:w w:val="105"/>
        </w:rPr>
        <w:t> </w:t>
      </w:r>
      <w:r>
        <w:rPr>
          <w:color w:val="231F20"/>
          <w:w w:val="105"/>
        </w:rPr>
        <w:t>capacitadas.</w:t>
      </w:r>
      <w:r>
        <w:rPr>
          <w:color w:val="231F20"/>
          <w:spacing w:val="-15"/>
          <w:w w:val="105"/>
        </w:rPr>
        <w:t> </w:t>
      </w:r>
      <w:r>
        <w:rPr>
          <w:color w:val="231F20"/>
          <w:w w:val="105"/>
        </w:rPr>
        <w:t>La</w:t>
      </w:r>
      <w:r>
        <w:rPr>
          <w:color w:val="231F20"/>
          <w:spacing w:val="-10"/>
          <w:w w:val="105"/>
        </w:rPr>
        <w:t> </w:t>
      </w:r>
      <w:r>
        <w:rPr>
          <w:color w:val="231F20"/>
          <w:w w:val="105"/>
        </w:rPr>
        <w:t>decisión</w:t>
      </w:r>
      <w:r>
        <w:rPr>
          <w:color w:val="231F20"/>
          <w:spacing w:val="-10"/>
          <w:w w:val="105"/>
        </w:rPr>
        <w:t> </w:t>
      </w:r>
      <w:r>
        <w:rPr>
          <w:color w:val="231F20"/>
          <w:w w:val="105"/>
        </w:rPr>
        <w:t>de</w:t>
      </w:r>
      <w:r>
        <w:rPr>
          <w:color w:val="231F20"/>
          <w:spacing w:val="-10"/>
          <w:w w:val="105"/>
        </w:rPr>
        <w:t> </w:t>
      </w:r>
      <w:r>
        <w:rPr>
          <w:color w:val="231F20"/>
          <w:w w:val="105"/>
        </w:rPr>
        <w:t>migrar</w:t>
      </w:r>
      <w:r>
        <w:rPr>
          <w:color w:val="231F20"/>
          <w:spacing w:val="-10"/>
          <w:w w:val="105"/>
        </w:rPr>
        <w:t> </w:t>
      </w:r>
      <w:r>
        <w:rPr>
          <w:color w:val="231F20"/>
          <w:w w:val="105"/>
        </w:rPr>
        <w:t>es</w:t>
      </w:r>
      <w:r>
        <w:rPr>
          <w:color w:val="231F20"/>
          <w:spacing w:val="-10"/>
          <w:w w:val="105"/>
        </w:rPr>
        <w:t> </w:t>
      </w:r>
      <w:r>
        <w:rPr>
          <w:color w:val="231F20"/>
          <w:w w:val="105"/>
        </w:rPr>
        <w:t>tomada</w:t>
      </w:r>
      <w:r>
        <w:rPr>
          <w:color w:val="231F20"/>
          <w:spacing w:val="-10"/>
          <w:w w:val="105"/>
        </w:rPr>
        <w:t> </w:t>
      </w:r>
      <w:r>
        <w:rPr>
          <w:color w:val="231F20"/>
          <w:w w:val="105"/>
        </w:rPr>
        <w:t>al</w:t>
      </w:r>
      <w:r>
        <w:rPr>
          <w:color w:val="231F20"/>
          <w:spacing w:val="-10"/>
          <w:w w:val="105"/>
        </w:rPr>
        <w:t> </w:t>
      </w:r>
      <w:r>
        <w:rPr>
          <w:color w:val="231F20"/>
          <w:w w:val="105"/>
        </w:rPr>
        <w:t>inte- rior</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unidad</w:t>
      </w:r>
      <w:r>
        <w:rPr>
          <w:color w:val="231F20"/>
          <w:spacing w:val="-5"/>
          <w:w w:val="105"/>
        </w:rPr>
        <w:t> </w:t>
      </w:r>
      <w:r>
        <w:rPr>
          <w:color w:val="231F20"/>
          <w:w w:val="105"/>
        </w:rPr>
        <w:t>de</w:t>
      </w:r>
      <w:r>
        <w:rPr>
          <w:color w:val="231F20"/>
          <w:spacing w:val="-5"/>
          <w:w w:val="105"/>
        </w:rPr>
        <w:t> </w:t>
      </w:r>
      <w:r>
        <w:rPr>
          <w:color w:val="231F20"/>
          <w:w w:val="105"/>
        </w:rPr>
        <w:t>producción</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objetivo</w:t>
      </w:r>
      <w:r>
        <w:rPr>
          <w:color w:val="231F20"/>
          <w:spacing w:val="-5"/>
          <w:w w:val="105"/>
        </w:rPr>
        <w:t> </w:t>
      </w:r>
      <w:r>
        <w:rPr>
          <w:color w:val="231F20"/>
          <w:w w:val="105"/>
        </w:rPr>
        <w:t>principal</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migración</w:t>
      </w:r>
      <w:r>
        <w:rPr>
          <w:color w:val="231F20"/>
          <w:spacing w:val="-5"/>
          <w:w w:val="105"/>
        </w:rPr>
        <w:t> </w:t>
      </w:r>
      <w:r>
        <w:rPr>
          <w:color w:val="231F20"/>
          <w:w w:val="105"/>
        </w:rPr>
        <w:t>es la</w:t>
      </w:r>
      <w:r>
        <w:rPr>
          <w:color w:val="231F20"/>
          <w:spacing w:val="-8"/>
          <w:w w:val="105"/>
        </w:rPr>
        <w:t> </w:t>
      </w:r>
      <w:r>
        <w:rPr>
          <w:color w:val="231F20"/>
          <w:w w:val="105"/>
        </w:rPr>
        <w:t>sobrevivencia</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generación</w:t>
      </w:r>
      <w:r>
        <w:rPr>
          <w:color w:val="231F20"/>
          <w:spacing w:val="-8"/>
          <w:w w:val="105"/>
        </w:rPr>
        <w:t> </w:t>
      </w:r>
      <w:r>
        <w:rPr>
          <w:color w:val="231F20"/>
          <w:w w:val="105"/>
        </w:rPr>
        <w:t>de</w:t>
      </w:r>
      <w:r>
        <w:rPr>
          <w:color w:val="231F20"/>
          <w:spacing w:val="-8"/>
          <w:w w:val="105"/>
        </w:rPr>
        <w:t> </w:t>
      </w:r>
      <w:r>
        <w:rPr>
          <w:color w:val="231F20"/>
          <w:w w:val="105"/>
        </w:rPr>
        <w:t>ingresos</w:t>
      </w:r>
      <w:r>
        <w:rPr>
          <w:color w:val="231F20"/>
          <w:spacing w:val="-8"/>
          <w:w w:val="105"/>
        </w:rPr>
        <w:t> </w:t>
      </w:r>
      <w:r>
        <w:rPr>
          <w:color w:val="231F20"/>
          <w:w w:val="105"/>
        </w:rPr>
        <w:t>para</w:t>
      </w:r>
      <w:r>
        <w:rPr>
          <w:color w:val="231F20"/>
          <w:spacing w:val="-8"/>
          <w:w w:val="105"/>
        </w:rPr>
        <w:t> </w:t>
      </w:r>
      <w:r>
        <w:rPr>
          <w:color w:val="231F20"/>
          <w:w w:val="105"/>
        </w:rPr>
        <w:t>poder</w:t>
      </w:r>
      <w:r>
        <w:rPr>
          <w:color w:val="231F20"/>
          <w:spacing w:val="-8"/>
          <w:w w:val="105"/>
        </w:rPr>
        <w:t> </w:t>
      </w:r>
      <w:r>
        <w:rPr>
          <w:color w:val="231F20"/>
          <w:w w:val="105"/>
        </w:rPr>
        <w:t>vivir</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lugar de destino. En este caso la migración tiene efectos depresivos sobre</w:t>
      </w:r>
      <w:r>
        <w:rPr>
          <w:color w:val="231F20"/>
          <w:spacing w:val="-18"/>
          <w:w w:val="105"/>
        </w:rPr>
        <w:t> </w:t>
      </w:r>
      <w:r>
        <w:rPr>
          <w:color w:val="231F20"/>
          <w:w w:val="105"/>
        </w:rPr>
        <w:t>el desarrollo local y regional porque reduce la proporción de la población en edad productiva y con mayor grado de instrucción (Dinerman,</w:t>
      </w:r>
      <w:r>
        <w:rPr>
          <w:color w:val="231F20"/>
          <w:spacing w:val="-20"/>
          <w:w w:val="105"/>
        </w:rPr>
        <w:t> </w:t>
      </w:r>
      <w:r>
        <w:rPr>
          <w:color w:val="231F20"/>
          <w:w w:val="105"/>
        </w:rPr>
        <w:t>1983; Mines,</w:t>
      </w:r>
      <w:r>
        <w:rPr>
          <w:color w:val="231F20"/>
          <w:spacing w:val="-29"/>
          <w:w w:val="105"/>
        </w:rPr>
        <w:t> </w:t>
      </w:r>
      <w:r>
        <w:rPr>
          <w:color w:val="231F20"/>
          <w:w w:val="105"/>
        </w:rPr>
        <w:t>1981:</w:t>
      </w:r>
      <w:r>
        <w:rPr>
          <w:color w:val="231F20"/>
          <w:spacing w:val="-25"/>
          <w:w w:val="105"/>
        </w:rPr>
        <w:t> </w:t>
      </w:r>
      <w:r>
        <w:rPr>
          <w:color w:val="231F20"/>
          <w:w w:val="105"/>
        </w:rPr>
        <w:t>24;</w:t>
      </w:r>
      <w:r>
        <w:rPr>
          <w:color w:val="231F20"/>
          <w:spacing w:val="-25"/>
          <w:w w:val="105"/>
        </w:rPr>
        <w:t> </w:t>
      </w:r>
      <w:r>
        <w:rPr>
          <w:color w:val="231F20"/>
          <w:w w:val="105"/>
        </w:rPr>
        <w:t>Reichert,</w:t>
      </w:r>
      <w:r>
        <w:rPr>
          <w:color w:val="231F20"/>
          <w:spacing w:val="-29"/>
          <w:w w:val="105"/>
        </w:rPr>
        <w:t> </w:t>
      </w:r>
      <w:r>
        <w:rPr>
          <w:color w:val="231F20"/>
          <w:w w:val="105"/>
        </w:rPr>
        <w:t>1981;</w:t>
      </w:r>
      <w:r>
        <w:rPr>
          <w:color w:val="231F20"/>
          <w:spacing w:val="-26"/>
          <w:w w:val="105"/>
        </w:rPr>
        <w:t> </w:t>
      </w:r>
      <w:r>
        <w:rPr>
          <w:color w:val="231F20"/>
          <w:w w:val="105"/>
        </w:rPr>
        <w:t>Wiest,</w:t>
      </w:r>
      <w:r>
        <w:rPr>
          <w:color w:val="231F20"/>
          <w:spacing w:val="-29"/>
          <w:w w:val="105"/>
        </w:rPr>
        <w:t> </w:t>
      </w:r>
      <w:r>
        <w:rPr>
          <w:color w:val="231F20"/>
          <w:w w:val="105"/>
        </w:rPr>
        <w:t>1983;</w:t>
      </w:r>
      <w:r>
        <w:rPr>
          <w:color w:val="231F20"/>
          <w:spacing w:val="-25"/>
          <w:w w:val="105"/>
        </w:rPr>
        <w:t> </w:t>
      </w:r>
      <w:r>
        <w:rPr>
          <w:color w:val="231F20"/>
          <w:w w:val="105"/>
        </w:rPr>
        <w:t>Rionda,</w:t>
      </w:r>
      <w:r>
        <w:rPr>
          <w:color w:val="231F20"/>
          <w:spacing w:val="-29"/>
          <w:w w:val="105"/>
        </w:rPr>
        <w:t> </w:t>
      </w:r>
      <w:r>
        <w:rPr>
          <w:color w:val="231F20"/>
          <w:w w:val="105"/>
        </w:rPr>
        <w:t>1992:</w:t>
      </w:r>
      <w:r>
        <w:rPr>
          <w:color w:val="231F20"/>
          <w:spacing w:val="-25"/>
          <w:w w:val="105"/>
        </w:rPr>
        <w:t> </w:t>
      </w:r>
      <w:r>
        <w:rPr>
          <w:color w:val="231F20"/>
          <w:w w:val="105"/>
        </w:rPr>
        <w:t>250).</w:t>
      </w:r>
    </w:p>
    <w:p>
      <w:pPr>
        <w:pStyle w:val="BodyText"/>
        <w:spacing w:line="261" w:lineRule="auto" w:before="1"/>
        <w:ind w:left="1837" w:right="1721" w:firstLine="567"/>
        <w:jc w:val="both"/>
      </w:pPr>
      <w:r>
        <w:rPr>
          <w:color w:val="231F20"/>
          <w:w w:val="105"/>
        </w:rPr>
        <w:t>En esta línea discursiva la migración tiene por efectos negativos en</w:t>
      </w:r>
      <w:r>
        <w:rPr>
          <w:color w:val="231F20"/>
          <w:spacing w:val="-14"/>
          <w:w w:val="105"/>
        </w:rPr>
        <w:t> </w:t>
      </w:r>
      <w:r>
        <w:rPr>
          <w:color w:val="231F20"/>
          <w:w w:val="105"/>
        </w:rPr>
        <w:t>los</w:t>
      </w:r>
      <w:r>
        <w:rPr>
          <w:color w:val="231F20"/>
          <w:spacing w:val="-14"/>
          <w:w w:val="105"/>
        </w:rPr>
        <w:t> </w:t>
      </w:r>
      <w:r>
        <w:rPr>
          <w:color w:val="231F20"/>
          <w:w w:val="105"/>
        </w:rPr>
        <w:t>territorios</w:t>
      </w:r>
      <w:r>
        <w:rPr>
          <w:color w:val="231F20"/>
          <w:spacing w:val="-14"/>
          <w:w w:val="105"/>
        </w:rPr>
        <w:t> </w:t>
      </w:r>
      <w:r>
        <w:rPr>
          <w:color w:val="231F20"/>
          <w:w w:val="105"/>
        </w:rPr>
        <w:t>de</w:t>
      </w:r>
      <w:r>
        <w:rPr>
          <w:color w:val="231F20"/>
          <w:spacing w:val="-14"/>
          <w:w w:val="105"/>
        </w:rPr>
        <w:t> </w:t>
      </w:r>
      <w:r>
        <w:rPr>
          <w:color w:val="231F20"/>
          <w:w w:val="105"/>
        </w:rPr>
        <w:t>origen</w:t>
      </w:r>
      <w:r>
        <w:rPr>
          <w:color w:val="231F20"/>
          <w:spacing w:val="-14"/>
          <w:w w:val="105"/>
        </w:rPr>
        <w:t> </w:t>
      </w:r>
      <w:r>
        <w:rPr>
          <w:color w:val="231F20"/>
          <w:w w:val="105"/>
        </w:rPr>
        <w:t>de</w:t>
      </w:r>
      <w:r>
        <w:rPr>
          <w:color w:val="231F20"/>
          <w:spacing w:val="-14"/>
          <w:w w:val="105"/>
        </w:rPr>
        <w:t> </w:t>
      </w:r>
      <w:r>
        <w:rPr>
          <w:color w:val="231F20"/>
          <w:w w:val="105"/>
        </w:rPr>
        <w:t>quienes</w:t>
      </w:r>
      <w:r>
        <w:rPr>
          <w:color w:val="231F20"/>
          <w:spacing w:val="-14"/>
          <w:w w:val="105"/>
        </w:rPr>
        <w:t> </w:t>
      </w:r>
      <w:r>
        <w:rPr>
          <w:color w:val="231F20"/>
          <w:w w:val="105"/>
        </w:rPr>
        <w:t>migran,</w:t>
      </w:r>
      <w:r>
        <w:rPr>
          <w:color w:val="231F20"/>
          <w:spacing w:val="-19"/>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w w:val="105"/>
        </w:rPr>
        <w:t>tierras</w:t>
      </w:r>
      <w:r>
        <w:rPr>
          <w:color w:val="231F20"/>
          <w:spacing w:val="-14"/>
          <w:w w:val="105"/>
        </w:rPr>
        <w:t> </w:t>
      </w:r>
      <w:r>
        <w:rPr>
          <w:color w:val="231F20"/>
          <w:w w:val="105"/>
        </w:rPr>
        <w:t>sean</w:t>
      </w:r>
      <w:r>
        <w:rPr>
          <w:color w:val="231F20"/>
          <w:spacing w:val="-14"/>
          <w:w w:val="105"/>
        </w:rPr>
        <w:t> </w:t>
      </w:r>
      <w:r>
        <w:rPr>
          <w:color w:val="231F20"/>
          <w:w w:val="105"/>
        </w:rPr>
        <w:t>aban- donadas, exista poca disponibilidad de mano de obra, despoblamiento rural, y escasos o nulos emprendimientos debido al bajo uso de las re- mesas</w:t>
      </w:r>
      <w:r>
        <w:rPr>
          <w:color w:val="231F20"/>
          <w:spacing w:val="-12"/>
          <w:w w:val="105"/>
        </w:rPr>
        <w:t> </w:t>
      </w:r>
      <w:r>
        <w:rPr>
          <w:color w:val="231F20"/>
          <w:w w:val="105"/>
        </w:rPr>
        <w:t>en</w:t>
      </w:r>
      <w:r>
        <w:rPr>
          <w:color w:val="231F20"/>
          <w:spacing w:val="-12"/>
          <w:w w:val="105"/>
        </w:rPr>
        <w:t> </w:t>
      </w:r>
      <w:r>
        <w:rPr>
          <w:color w:val="231F20"/>
          <w:w w:val="105"/>
        </w:rPr>
        <w:t>inversión</w:t>
      </w:r>
      <w:r>
        <w:rPr>
          <w:color w:val="231F20"/>
          <w:spacing w:val="-12"/>
          <w:w w:val="105"/>
        </w:rPr>
        <w:t> </w:t>
      </w:r>
      <w:r>
        <w:rPr>
          <w:color w:val="231F20"/>
          <w:w w:val="105"/>
        </w:rPr>
        <w:t>productiva.</w:t>
      </w:r>
      <w:r>
        <w:rPr>
          <w:color w:val="231F20"/>
          <w:spacing w:val="-20"/>
          <w:w w:val="105"/>
        </w:rPr>
        <w:t> </w:t>
      </w:r>
      <w:r>
        <w:rPr>
          <w:color w:val="231F20"/>
          <w:w w:val="105"/>
        </w:rPr>
        <w:t>Así,</w:t>
      </w:r>
      <w:r>
        <w:rPr>
          <w:color w:val="231F20"/>
          <w:spacing w:val="-17"/>
          <w:w w:val="105"/>
        </w:rPr>
        <w:t> </w:t>
      </w:r>
      <w:r>
        <w:rPr>
          <w:color w:val="231F20"/>
          <w:w w:val="105"/>
        </w:rPr>
        <w:t>estos</w:t>
      </w:r>
      <w:r>
        <w:rPr>
          <w:color w:val="231F20"/>
          <w:spacing w:val="-12"/>
          <w:w w:val="105"/>
        </w:rPr>
        <w:t> </w:t>
      </w:r>
      <w:r>
        <w:rPr>
          <w:color w:val="231F20"/>
          <w:w w:val="105"/>
        </w:rPr>
        <w:t>lugares</w:t>
      </w:r>
      <w:r>
        <w:rPr>
          <w:color w:val="231F20"/>
          <w:spacing w:val="-12"/>
          <w:w w:val="105"/>
        </w:rPr>
        <w:t> </w:t>
      </w:r>
      <w:r>
        <w:rPr>
          <w:color w:val="231F20"/>
          <w:w w:val="105"/>
        </w:rPr>
        <w:t>adquieren</w:t>
      </w:r>
      <w:r>
        <w:rPr>
          <w:color w:val="231F20"/>
          <w:spacing w:val="-12"/>
          <w:w w:val="105"/>
        </w:rPr>
        <w:t> </w:t>
      </w:r>
      <w:r>
        <w:rPr>
          <w:color w:val="231F20"/>
          <w:w w:val="105"/>
        </w:rPr>
        <w:t>una</w:t>
      </w:r>
      <w:r>
        <w:rPr>
          <w:color w:val="231F20"/>
          <w:spacing w:val="-12"/>
          <w:w w:val="105"/>
        </w:rPr>
        <w:t> </w:t>
      </w:r>
      <w:r>
        <w:rPr>
          <w:color w:val="231F20"/>
          <w:w w:val="105"/>
        </w:rPr>
        <w:t>conno- tación de fragilidad socioeconómica, carencia de capital humano, poca presencia de inversión o institucionalidad pública. </w:t>
      </w:r>
      <w:r>
        <w:rPr>
          <w:color w:val="231F20"/>
          <w:spacing w:val="-6"/>
          <w:w w:val="105"/>
        </w:rPr>
        <w:t>Todo </w:t>
      </w:r>
      <w:r>
        <w:rPr>
          <w:color w:val="231F20"/>
          <w:w w:val="105"/>
        </w:rPr>
        <w:t>ello crea en lo general</w:t>
      </w:r>
      <w:r>
        <w:rPr>
          <w:color w:val="231F20"/>
          <w:spacing w:val="-10"/>
          <w:w w:val="105"/>
        </w:rPr>
        <w:t> </w:t>
      </w:r>
      <w:r>
        <w:rPr>
          <w:color w:val="231F20"/>
          <w:w w:val="105"/>
        </w:rPr>
        <w:t>un</w:t>
      </w:r>
      <w:r>
        <w:rPr>
          <w:color w:val="231F20"/>
          <w:spacing w:val="-10"/>
          <w:w w:val="105"/>
        </w:rPr>
        <w:t> </w:t>
      </w:r>
      <w:r>
        <w:rPr>
          <w:color w:val="231F20"/>
          <w:w w:val="105"/>
        </w:rPr>
        <w:t>ambiente</w:t>
      </w:r>
      <w:r>
        <w:rPr>
          <w:color w:val="231F20"/>
          <w:spacing w:val="-10"/>
          <w:w w:val="105"/>
        </w:rPr>
        <w:t> </w:t>
      </w:r>
      <w:r>
        <w:rPr>
          <w:color w:val="231F20"/>
          <w:w w:val="105"/>
        </w:rPr>
        <w:t>de</w:t>
      </w:r>
      <w:r>
        <w:rPr>
          <w:color w:val="231F20"/>
          <w:spacing w:val="-10"/>
          <w:w w:val="105"/>
        </w:rPr>
        <w:t> </w:t>
      </w:r>
      <w:r>
        <w:rPr>
          <w:color w:val="231F20"/>
          <w:w w:val="105"/>
        </w:rPr>
        <w:t>vulnerabilidad</w:t>
      </w:r>
      <w:r>
        <w:rPr>
          <w:color w:val="231F20"/>
          <w:spacing w:val="-10"/>
          <w:w w:val="105"/>
        </w:rPr>
        <w:t> </w:t>
      </w:r>
      <w:r>
        <w:rPr>
          <w:color w:val="231F20"/>
          <w:w w:val="105"/>
        </w:rPr>
        <w:t>social.</w:t>
      </w:r>
    </w:p>
    <w:p>
      <w:pPr>
        <w:pStyle w:val="BodyText"/>
        <w:spacing w:line="261" w:lineRule="auto" w:before="1"/>
        <w:ind w:left="1837" w:right="1722" w:firstLine="567"/>
        <w:jc w:val="both"/>
      </w:pPr>
      <w:r>
        <w:rPr>
          <w:color w:val="231F20"/>
          <w:spacing w:val="-3"/>
          <w:w w:val="105"/>
        </w:rPr>
        <w:t>Particularmente,</w:t>
      </w:r>
      <w:r>
        <w:rPr>
          <w:color w:val="231F20"/>
          <w:spacing w:val="-11"/>
          <w:w w:val="105"/>
        </w:rPr>
        <w:t> </w:t>
      </w:r>
      <w:r>
        <w:rPr>
          <w:color w:val="231F20"/>
          <w:w w:val="105"/>
        </w:rPr>
        <w:t>la</w:t>
      </w:r>
      <w:r>
        <w:rPr>
          <w:color w:val="231F20"/>
          <w:spacing w:val="-6"/>
          <w:w w:val="105"/>
        </w:rPr>
        <w:t> </w:t>
      </w:r>
      <w:r>
        <w:rPr>
          <w:color w:val="231F20"/>
          <w:w w:val="105"/>
        </w:rPr>
        <w:t>postura</w:t>
      </w:r>
      <w:r>
        <w:rPr>
          <w:color w:val="231F20"/>
          <w:spacing w:val="-6"/>
          <w:w w:val="105"/>
        </w:rPr>
        <w:t> </w:t>
      </w:r>
      <w:r>
        <w:rPr>
          <w:color w:val="231F20"/>
          <w:w w:val="105"/>
        </w:rPr>
        <w:t>negativa</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spacing w:val="-3"/>
          <w:w w:val="105"/>
        </w:rPr>
        <w:t>hogares</w:t>
      </w:r>
      <w:r>
        <w:rPr>
          <w:color w:val="231F20"/>
          <w:spacing w:val="-6"/>
          <w:w w:val="105"/>
        </w:rPr>
        <w:t> </w:t>
      </w:r>
      <w:r>
        <w:rPr>
          <w:color w:val="231F20"/>
          <w:w w:val="105"/>
        </w:rPr>
        <w:t>rurales</w:t>
      </w:r>
      <w:r>
        <w:rPr>
          <w:color w:val="231F20"/>
          <w:spacing w:val="-6"/>
          <w:w w:val="105"/>
        </w:rPr>
        <w:t> </w:t>
      </w:r>
      <w:r>
        <w:rPr>
          <w:color w:val="231F20"/>
          <w:w w:val="105"/>
        </w:rPr>
        <w:t>donde un</w:t>
      </w:r>
      <w:r>
        <w:rPr>
          <w:color w:val="231F20"/>
          <w:spacing w:val="-19"/>
          <w:w w:val="105"/>
        </w:rPr>
        <w:t> </w:t>
      </w:r>
      <w:r>
        <w:rPr>
          <w:color w:val="231F20"/>
          <w:w w:val="105"/>
        </w:rPr>
        <w:t>integrante</w:t>
      </w:r>
      <w:r>
        <w:rPr>
          <w:color w:val="231F20"/>
          <w:spacing w:val="-19"/>
          <w:w w:val="105"/>
        </w:rPr>
        <w:t> </w:t>
      </w:r>
      <w:r>
        <w:rPr>
          <w:color w:val="231F20"/>
          <w:w w:val="105"/>
        </w:rPr>
        <w:t>del</w:t>
      </w:r>
      <w:r>
        <w:rPr>
          <w:color w:val="231F20"/>
          <w:spacing w:val="-19"/>
          <w:w w:val="105"/>
        </w:rPr>
        <w:t> </w:t>
      </w:r>
      <w:r>
        <w:rPr>
          <w:color w:val="231F20"/>
          <w:w w:val="105"/>
        </w:rPr>
        <w:t>hogar</w:t>
      </w:r>
      <w:r>
        <w:rPr>
          <w:color w:val="231F20"/>
          <w:spacing w:val="-19"/>
          <w:w w:val="105"/>
        </w:rPr>
        <w:t> </w:t>
      </w:r>
      <w:r>
        <w:rPr>
          <w:color w:val="231F20"/>
          <w:w w:val="105"/>
        </w:rPr>
        <w:t>migra,</w:t>
      </w:r>
      <w:r>
        <w:rPr>
          <w:color w:val="231F20"/>
          <w:spacing w:val="-25"/>
          <w:w w:val="105"/>
        </w:rPr>
        <w:t> </w:t>
      </w:r>
      <w:r>
        <w:rPr>
          <w:color w:val="231F20"/>
          <w:w w:val="105"/>
        </w:rPr>
        <w:t>podría</w:t>
      </w:r>
      <w:r>
        <w:rPr>
          <w:color w:val="231F20"/>
          <w:spacing w:val="-19"/>
          <w:w w:val="105"/>
        </w:rPr>
        <w:t> </w:t>
      </w:r>
      <w:r>
        <w:rPr>
          <w:color w:val="231F20"/>
          <w:spacing w:val="-2"/>
          <w:w w:val="105"/>
        </w:rPr>
        <w:t>esperarse</w:t>
      </w:r>
      <w:r>
        <w:rPr>
          <w:color w:val="231F20"/>
          <w:spacing w:val="-19"/>
          <w:w w:val="105"/>
        </w:rPr>
        <w:t> </w:t>
      </w:r>
      <w:r>
        <w:rPr>
          <w:color w:val="231F20"/>
          <w:w w:val="105"/>
        </w:rPr>
        <w:t>que</w:t>
      </w:r>
      <w:r>
        <w:rPr>
          <w:color w:val="231F20"/>
          <w:spacing w:val="-19"/>
          <w:w w:val="105"/>
        </w:rPr>
        <w:t> </w:t>
      </w:r>
      <w:r>
        <w:rPr>
          <w:color w:val="231F20"/>
          <w:w w:val="105"/>
        </w:rPr>
        <w:t>de</w:t>
      </w:r>
      <w:r>
        <w:rPr>
          <w:color w:val="231F20"/>
          <w:spacing w:val="-19"/>
          <w:w w:val="105"/>
        </w:rPr>
        <w:t> </w:t>
      </w:r>
      <w:r>
        <w:rPr>
          <w:color w:val="231F20"/>
          <w:spacing w:val="-2"/>
          <w:w w:val="105"/>
        </w:rPr>
        <w:t>manera</w:t>
      </w:r>
      <w:r>
        <w:rPr>
          <w:color w:val="231F20"/>
          <w:spacing w:val="-19"/>
          <w:w w:val="105"/>
        </w:rPr>
        <w:t> </w:t>
      </w:r>
      <w:r>
        <w:rPr>
          <w:color w:val="231F20"/>
          <w:spacing w:val="-3"/>
          <w:w w:val="105"/>
        </w:rPr>
        <w:t>directa</w:t>
      </w:r>
      <w:r>
        <w:rPr>
          <w:color w:val="231F20"/>
          <w:spacing w:val="-19"/>
          <w:w w:val="105"/>
        </w:rPr>
        <w:t> </w:t>
      </w:r>
      <w:r>
        <w:rPr>
          <w:color w:val="231F20"/>
          <w:w w:val="105"/>
        </w:rPr>
        <w:t>la salida</w:t>
      </w:r>
      <w:r>
        <w:rPr>
          <w:color w:val="231F20"/>
          <w:spacing w:val="-30"/>
          <w:w w:val="105"/>
        </w:rPr>
        <w:t> </w:t>
      </w:r>
      <w:r>
        <w:rPr>
          <w:color w:val="231F20"/>
          <w:w w:val="105"/>
        </w:rPr>
        <w:t>de</w:t>
      </w:r>
      <w:r>
        <w:rPr>
          <w:color w:val="231F20"/>
          <w:spacing w:val="-30"/>
          <w:w w:val="105"/>
        </w:rPr>
        <w:t> </w:t>
      </w:r>
      <w:r>
        <w:rPr>
          <w:color w:val="231F20"/>
          <w:w w:val="105"/>
        </w:rPr>
        <w:t>éste,</w:t>
      </w:r>
      <w:r>
        <w:rPr>
          <w:color w:val="231F20"/>
          <w:spacing w:val="-35"/>
          <w:w w:val="105"/>
        </w:rPr>
        <w:t> </w:t>
      </w:r>
      <w:r>
        <w:rPr>
          <w:color w:val="231F20"/>
          <w:spacing w:val="-3"/>
          <w:w w:val="105"/>
        </w:rPr>
        <w:t>redujera</w:t>
      </w:r>
      <w:r>
        <w:rPr>
          <w:color w:val="231F20"/>
          <w:spacing w:val="-30"/>
          <w:w w:val="105"/>
        </w:rPr>
        <w:t> </w:t>
      </w:r>
      <w:r>
        <w:rPr>
          <w:color w:val="231F20"/>
          <w:w w:val="105"/>
        </w:rPr>
        <w:t>el</w:t>
      </w:r>
      <w:r>
        <w:rPr>
          <w:color w:val="231F20"/>
          <w:spacing w:val="-30"/>
          <w:w w:val="105"/>
        </w:rPr>
        <w:t> </w:t>
      </w:r>
      <w:r>
        <w:rPr>
          <w:color w:val="231F20"/>
          <w:w w:val="105"/>
        </w:rPr>
        <w:t>volumen</w:t>
      </w:r>
      <w:r>
        <w:rPr>
          <w:color w:val="231F20"/>
          <w:spacing w:val="-30"/>
          <w:w w:val="105"/>
        </w:rPr>
        <w:t> </w:t>
      </w:r>
      <w:r>
        <w:rPr>
          <w:color w:val="231F20"/>
          <w:w w:val="105"/>
        </w:rPr>
        <w:t>de</w:t>
      </w:r>
      <w:r>
        <w:rPr>
          <w:color w:val="231F20"/>
          <w:spacing w:val="-30"/>
          <w:w w:val="105"/>
        </w:rPr>
        <w:t> </w:t>
      </w:r>
      <w:r>
        <w:rPr>
          <w:color w:val="231F20"/>
          <w:spacing w:val="-3"/>
          <w:w w:val="105"/>
        </w:rPr>
        <w:t>producción</w:t>
      </w:r>
      <w:r>
        <w:rPr>
          <w:color w:val="231F20"/>
          <w:spacing w:val="-30"/>
          <w:w w:val="105"/>
        </w:rPr>
        <w:t> </w:t>
      </w:r>
      <w:r>
        <w:rPr>
          <w:color w:val="231F20"/>
          <w:w w:val="105"/>
        </w:rPr>
        <w:t>agrícola</w:t>
      </w:r>
      <w:r>
        <w:rPr>
          <w:color w:val="231F20"/>
          <w:spacing w:val="-30"/>
          <w:w w:val="105"/>
        </w:rPr>
        <w:t> </w:t>
      </w:r>
      <w:r>
        <w:rPr>
          <w:color w:val="231F20"/>
          <w:spacing w:val="-2"/>
          <w:w w:val="105"/>
        </w:rPr>
        <w:t>(Rozelle,</w:t>
      </w:r>
      <w:r>
        <w:rPr>
          <w:color w:val="231F20"/>
          <w:spacing w:val="-38"/>
          <w:w w:val="105"/>
        </w:rPr>
        <w:t> </w:t>
      </w:r>
      <w:r>
        <w:rPr>
          <w:color w:val="231F20"/>
          <w:spacing w:val="-6"/>
          <w:w w:val="105"/>
        </w:rPr>
        <w:t>Taylor </w:t>
      </w:r>
      <w:r>
        <w:rPr>
          <w:color w:val="231F20"/>
          <w:w w:val="105"/>
        </w:rPr>
        <w:t>and</w:t>
      </w:r>
      <w:r>
        <w:rPr>
          <w:color w:val="231F20"/>
          <w:spacing w:val="-26"/>
          <w:w w:val="105"/>
        </w:rPr>
        <w:t> </w:t>
      </w:r>
      <w:r>
        <w:rPr>
          <w:color w:val="231F20"/>
          <w:w w:val="105"/>
        </w:rPr>
        <w:t>Brawn</w:t>
      </w:r>
      <w:r>
        <w:rPr>
          <w:color w:val="231F20"/>
          <w:spacing w:val="-26"/>
          <w:w w:val="105"/>
        </w:rPr>
        <w:t> </w:t>
      </w:r>
      <w:r>
        <w:rPr>
          <w:color w:val="231F20"/>
          <w:w w:val="105"/>
        </w:rPr>
        <w:t>1999:</w:t>
      </w:r>
      <w:r>
        <w:rPr>
          <w:color w:val="231F20"/>
          <w:spacing w:val="-26"/>
          <w:w w:val="105"/>
        </w:rPr>
        <w:t> </w:t>
      </w:r>
      <w:r>
        <w:rPr>
          <w:color w:val="231F20"/>
          <w:w w:val="105"/>
        </w:rPr>
        <w:t>287</w:t>
      </w:r>
      <w:r>
        <w:rPr>
          <w:color w:val="231F20"/>
          <w:spacing w:val="-26"/>
          <w:w w:val="105"/>
        </w:rPr>
        <w:t> </w:t>
      </w:r>
      <w:r>
        <w:rPr>
          <w:color w:val="231F20"/>
          <w:w w:val="105"/>
        </w:rPr>
        <w:t>y</w:t>
      </w:r>
      <w:r>
        <w:rPr>
          <w:color w:val="231F20"/>
          <w:spacing w:val="-26"/>
          <w:w w:val="105"/>
        </w:rPr>
        <w:t> </w:t>
      </w:r>
      <w:r>
        <w:rPr>
          <w:color w:val="231F20"/>
          <w:w w:val="105"/>
        </w:rPr>
        <w:t>Brawn</w:t>
      </w:r>
      <w:r>
        <w:rPr>
          <w:color w:val="231F20"/>
          <w:spacing w:val="-26"/>
          <w:w w:val="105"/>
        </w:rPr>
        <w:t> </w:t>
      </w:r>
      <w:r>
        <w:rPr>
          <w:color w:val="231F20"/>
          <w:w w:val="105"/>
        </w:rPr>
        <w:t>and</w:t>
      </w:r>
      <w:r>
        <w:rPr>
          <w:color w:val="231F20"/>
          <w:spacing w:val="-26"/>
          <w:w w:val="105"/>
        </w:rPr>
        <w:t> </w:t>
      </w:r>
      <w:r>
        <w:rPr>
          <w:color w:val="231F20"/>
          <w:w w:val="105"/>
        </w:rPr>
        <w:t>Rozeller</w:t>
      </w:r>
      <w:r>
        <w:rPr>
          <w:color w:val="231F20"/>
          <w:spacing w:val="-26"/>
          <w:w w:val="105"/>
        </w:rPr>
        <w:t> </w:t>
      </w:r>
      <w:r>
        <w:rPr>
          <w:color w:val="231F20"/>
          <w:w w:val="105"/>
        </w:rPr>
        <w:t>2001).</w:t>
      </w:r>
      <w:r>
        <w:rPr>
          <w:color w:val="231F20"/>
          <w:spacing w:val="-30"/>
          <w:w w:val="105"/>
        </w:rPr>
        <w:t> </w:t>
      </w:r>
      <w:r>
        <w:rPr>
          <w:color w:val="231F20"/>
          <w:w w:val="105"/>
        </w:rPr>
        <w:t>Esto</w:t>
      </w:r>
      <w:r>
        <w:rPr>
          <w:color w:val="231F20"/>
          <w:spacing w:val="-26"/>
          <w:w w:val="105"/>
        </w:rPr>
        <w:t> </w:t>
      </w:r>
      <w:r>
        <w:rPr>
          <w:color w:val="231F20"/>
          <w:spacing w:val="-3"/>
          <w:w w:val="105"/>
        </w:rPr>
        <w:t>ocurre</w:t>
      </w:r>
      <w:r>
        <w:rPr>
          <w:color w:val="231F20"/>
          <w:spacing w:val="-26"/>
          <w:w w:val="105"/>
        </w:rPr>
        <w:t> </w:t>
      </w:r>
      <w:r>
        <w:rPr>
          <w:color w:val="231F20"/>
          <w:spacing w:val="-3"/>
          <w:w w:val="105"/>
        </w:rPr>
        <w:t>porque:</w:t>
      </w:r>
    </w:p>
    <w:p>
      <w:pPr>
        <w:pStyle w:val="BodyText"/>
        <w:rPr>
          <w:sz w:val="23"/>
        </w:rPr>
      </w:pPr>
    </w:p>
    <w:p>
      <w:pPr>
        <w:pStyle w:val="ListParagraph"/>
        <w:numPr>
          <w:ilvl w:val="0"/>
          <w:numId w:val="9"/>
        </w:numPr>
        <w:tabs>
          <w:tab w:pos="3048" w:val="left" w:leader="none"/>
        </w:tabs>
        <w:spacing w:line="261" w:lineRule="auto" w:before="0" w:after="0"/>
        <w:ind w:left="3047" w:right="1721" w:hanging="360"/>
        <w:jc w:val="both"/>
        <w:rPr>
          <w:sz w:val="21"/>
        </w:rPr>
      </w:pPr>
      <w:r>
        <w:rPr>
          <w:color w:val="231F20"/>
          <w:w w:val="105"/>
          <w:sz w:val="21"/>
        </w:rPr>
        <w:t>No</w:t>
      </w:r>
      <w:r>
        <w:rPr>
          <w:color w:val="231F20"/>
          <w:spacing w:val="-10"/>
          <w:w w:val="105"/>
          <w:sz w:val="21"/>
        </w:rPr>
        <w:t> </w:t>
      </w:r>
      <w:r>
        <w:rPr>
          <w:color w:val="231F20"/>
          <w:w w:val="105"/>
          <w:sz w:val="21"/>
        </w:rPr>
        <w:t>se</w:t>
      </w:r>
      <w:r>
        <w:rPr>
          <w:color w:val="231F20"/>
          <w:spacing w:val="-10"/>
          <w:w w:val="105"/>
          <w:sz w:val="21"/>
        </w:rPr>
        <w:t> </w:t>
      </w:r>
      <w:r>
        <w:rPr>
          <w:color w:val="231F20"/>
          <w:w w:val="105"/>
          <w:sz w:val="21"/>
        </w:rPr>
        <w:t>compensan</w:t>
      </w:r>
      <w:r>
        <w:rPr>
          <w:color w:val="231F20"/>
          <w:spacing w:val="-10"/>
          <w:w w:val="105"/>
          <w:sz w:val="21"/>
        </w:rPr>
        <w:t> </w:t>
      </w:r>
      <w:r>
        <w:rPr>
          <w:color w:val="231F20"/>
          <w:w w:val="105"/>
          <w:sz w:val="21"/>
        </w:rPr>
        <w:t>los</w:t>
      </w:r>
      <w:r>
        <w:rPr>
          <w:color w:val="231F20"/>
          <w:spacing w:val="-10"/>
          <w:w w:val="105"/>
          <w:sz w:val="21"/>
        </w:rPr>
        <w:t> </w:t>
      </w:r>
      <w:r>
        <w:rPr>
          <w:color w:val="231F20"/>
          <w:w w:val="105"/>
          <w:sz w:val="21"/>
        </w:rPr>
        <w:t>trabajos</w:t>
      </w:r>
      <w:r>
        <w:rPr>
          <w:color w:val="231F20"/>
          <w:spacing w:val="-10"/>
          <w:w w:val="105"/>
          <w:sz w:val="21"/>
        </w:rPr>
        <w:t> </w:t>
      </w:r>
      <w:r>
        <w:rPr>
          <w:color w:val="231F20"/>
          <w:w w:val="105"/>
          <w:sz w:val="21"/>
        </w:rPr>
        <w:t>realizados</w:t>
      </w:r>
      <w:r>
        <w:rPr>
          <w:color w:val="231F20"/>
          <w:spacing w:val="-10"/>
          <w:w w:val="105"/>
          <w:sz w:val="21"/>
        </w:rPr>
        <w:t> </w:t>
      </w:r>
      <w:r>
        <w:rPr>
          <w:color w:val="231F20"/>
          <w:w w:val="105"/>
          <w:sz w:val="21"/>
        </w:rPr>
        <w:t>porque</w:t>
      </w:r>
      <w:r>
        <w:rPr>
          <w:color w:val="231F20"/>
          <w:spacing w:val="-10"/>
          <w:w w:val="105"/>
          <w:sz w:val="21"/>
        </w:rPr>
        <w:t> </w:t>
      </w:r>
      <w:r>
        <w:rPr>
          <w:color w:val="231F20"/>
          <w:w w:val="105"/>
          <w:sz w:val="21"/>
        </w:rPr>
        <w:t>los</w:t>
      </w:r>
      <w:r>
        <w:rPr>
          <w:color w:val="231F20"/>
          <w:spacing w:val="-10"/>
          <w:w w:val="105"/>
          <w:sz w:val="21"/>
        </w:rPr>
        <w:t> </w:t>
      </w:r>
      <w:r>
        <w:rPr>
          <w:color w:val="231F20"/>
          <w:w w:val="105"/>
          <w:sz w:val="21"/>
        </w:rPr>
        <w:t>miem- bros que se quedan son principalmente niños, mujeres y ancianos.</w:t>
      </w:r>
    </w:p>
    <w:p>
      <w:pPr>
        <w:pStyle w:val="ListParagraph"/>
        <w:numPr>
          <w:ilvl w:val="0"/>
          <w:numId w:val="9"/>
        </w:numPr>
        <w:tabs>
          <w:tab w:pos="3048" w:val="left" w:leader="none"/>
        </w:tabs>
        <w:spacing w:line="240" w:lineRule="auto" w:before="171" w:after="0"/>
        <w:ind w:left="3047" w:right="0" w:hanging="360"/>
        <w:jc w:val="left"/>
        <w:rPr>
          <w:sz w:val="21"/>
        </w:rPr>
      </w:pPr>
      <w:r>
        <w:rPr>
          <w:color w:val="231F20"/>
          <w:sz w:val="21"/>
        </w:rPr>
        <w:t>Se van los más</w:t>
      </w:r>
      <w:r>
        <w:rPr>
          <w:color w:val="231F20"/>
          <w:spacing w:val="-16"/>
          <w:sz w:val="21"/>
        </w:rPr>
        <w:t> </w:t>
      </w:r>
      <w:r>
        <w:rPr>
          <w:color w:val="231F20"/>
          <w:sz w:val="21"/>
        </w:rPr>
        <w:t>calificados.</w:t>
      </w:r>
    </w:p>
    <w:p>
      <w:pPr>
        <w:pStyle w:val="BodyText"/>
        <w:spacing w:before="11"/>
        <w:rPr>
          <w:sz w:val="16"/>
        </w:rPr>
      </w:pPr>
    </w:p>
    <w:p>
      <w:pPr>
        <w:pStyle w:val="ListParagraph"/>
        <w:numPr>
          <w:ilvl w:val="0"/>
          <w:numId w:val="9"/>
        </w:numPr>
        <w:tabs>
          <w:tab w:pos="3048" w:val="left" w:leader="none"/>
        </w:tabs>
        <w:spacing w:line="261" w:lineRule="auto" w:before="0" w:after="0"/>
        <w:ind w:left="3047" w:right="1722" w:hanging="360"/>
        <w:jc w:val="both"/>
        <w:rPr>
          <w:sz w:val="21"/>
        </w:rPr>
      </w:pPr>
      <w:r>
        <w:rPr/>
        <w:pict>
          <v:line style="position:absolute;mso-position-horizontal-relative:page;mso-position-vertical-relative:paragraph;z-index:-450688" from="15pt,124.828583pt" to="0pt,124.828583pt" stroked="true" strokeweight=".25pt" strokecolor="#000000">
            <w10:wrap type="none"/>
          </v:line>
        </w:pict>
      </w:r>
      <w:r>
        <w:rPr/>
        <w:pict>
          <v:line style="position:absolute;mso-position-horizontal-relative:page;mso-position-vertical-relative:paragraph;z-index:39520" from="508.890015pt,124.828583pt" to="523.890015pt,124.828583pt" stroked="true" strokeweight=".25pt" strokecolor="#000000">
            <w10:wrap type="none"/>
          </v:line>
        </w:pict>
      </w:r>
      <w:r>
        <w:rPr>
          <w:color w:val="231F20"/>
          <w:w w:val="105"/>
          <w:sz w:val="21"/>
        </w:rPr>
        <w:t>Disminución</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la</w:t>
      </w:r>
      <w:r>
        <w:rPr>
          <w:color w:val="231F20"/>
          <w:spacing w:val="-10"/>
          <w:w w:val="105"/>
          <w:sz w:val="21"/>
        </w:rPr>
        <w:t> </w:t>
      </w:r>
      <w:r>
        <w:rPr>
          <w:color w:val="231F20"/>
          <w:w w:val="105"/>
          <w:sz w:val="21"/>
        </w:rPr>
        <w:t>mano</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obra</w:t>
      </w:r>
      <w:r>
        <w:rPr>
          <w:color w:val="231F20"/>
          <w:spacing w:val="-10"/>
          <w:w w:val="105"/>
          <w:sz w:val="21"/>
        </w:rPr>
        <w:t> </w:t>
      </w:r>
      <w:r>
        <w:rPr>
          <w:color w:val="231F20"/>
          <w:w w:val="105"/>
          <w:sz w:val="21"/>
        </w:rPr>
        <w:t>familiar</w:t>
      </w:r>
      <w:r>
        <w:rPr>
          <w:color w:val="231F20"/>
          <w:spacing w:val="-10"/>
          <w:w w:val="105"/>
          <w:sz w:val="21"/>
        </w:rPr>
        <w:t> </w:t>
      </w:r>
      <w:r>
        <w:rPr>
          <w:color w:val="231F20"/>
          <w:w w:val="105"/>
          <w:sz w:val="21"/>
        </w:rPr>
        <w:t>con</w:t>
      </w:r>
      <w:r>
        <w:rPr>
          <w:color w:val="231F20"/>
          <w:spacing w:val="-10"/>
          <w:w w:val="105"/>
          <w:sz w:val="21"/>
        </w:rPr>
        <w:t> </w:t>
      </w:r>
      <w:r>
        <w:rPr>
          <w:color w:val="231F20"/>
          <w:w w:val="105"/>
          <w:sz w:val="21"/>
        </w:rPr>
        <w:t>mayor</w:t>
      </w:r>
      <w:r>
        <w:rPr>
          <w:color w:val="231F20"/>
          <w:spacing w:val="-10"/>
          <w:w w:val="105"/>
          <w:sz w:val="21"/>
        </w:rPr>
        <w:t> </w:t>
      </w:r>
      <w:r>
        <w:rPr>
          <w:color w:val="231F20"/>
          <w:w w:val="105"/>
          <w:sz w:val="21"/>
        </w:rPr>
        <w:t>capaci- dad</w:t>
      </w:r>
      <w:r>
        <w:rPr>
          <w:color w:val="231F20"/>
          <w:spacing w:val="7"/>
          <w:w w:val="105"/>
          <w:sz w:val="21"/>
        </w:rPr>
        <w:t> </w:t>
      </w:r>
      <w:r>
        <w:rPr>
          <w:color w:val="231F20"/>
          <w:w w:val="105"/>
          <w:sz w:val="21"/>
        </w:rPr>
        <w:t>productiva.</w:t>
      </w:r>
    </w:p>
    <w:p>
      <w:pPr>
        <w:spacing w:after="0" w:line="261" w:lineRule="auto"/>
        <w:jc w:val="both"/>
        <w:rPr>
          <w:sz w:val="21"/>
        </w:rPr>
        <w:sectPr>
          <w:headerReference w:type="default" r:id="rId353"/>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695" w:right="1789"/>
        <w:jc w:val="both"/>
      </w:pPr>
      <w:r>
        <w:rPr/>
        <w:pict>
          <v:line style="position:absolute;mso-position-horizontal-relative:page;mso-position-vertical-relative:paragraph;z-index:39568" from="15pt,-71.68644pt" to="0pt,-71.68644pt" stroked="true" strokeweight=".25pt" strokecolor="#000000">
            <w10:wrap type="none"/>
          </v:line>
        </w:pict>
      </w:r>
      <w:r>
        <w:rPr/>
        <w:pict>
          <v:line style="position:absolute;mso-position-horizontal-relative:page;mso-position-vertical-relative:paragraph;z-index:39592" from="508.890015pt,-71.68644pt" to="523.890015pt,-71.68644pt" stroked="true" strokeweight=".25pt" strokecolor="#000000">
            <w10:wrap type="none"/>
          </v:line>
        </w:pic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otra</w:t>
      </w:r>
      <w:r>
        <w:rPr>
          <w:color w:val="231F20"/>
          <w:spacing w:val="-12"/>
          <w:w w:val="105"/>
        </w:rPr>
        <w:t> </w:t>
      </w:r>
      <w:r>
        <w:rPr>
          <w:color w:val="231F20"/>
          <w:w w:val="105"/>
        </w:rPr>
        <w:t>perspectiva,</w:t>
      </w:r>
      <w:r>
        <w:rPr>
          <w:color w:val="231F20"/>
          <w:spacing w:val="-17"/>
          <w:w w:val="105"/>
        </w:rPr>
        <w:t> </w:t>
      </w:r>
      <w:r>
        <w:rPr>
          <w:color w:val="231F20"/>
          <w:w w:val="105"/>
        </w:rPr>
        <w:t>considerada</w:t>
      </w:r>
      <w:r>
        <w:rPr>
          <w:color w:val="231F20"/>
          <w:spacing w:val="-12"/>
          <w:w w:val="105"/>
        </w:rPr>
        <w:t> </w:t>
      </w:r>
      <w:r>
        <w:rPr>
          <w:color w:val="231F20"/>
          <w:w w:val="105"/>
        </w:rPr>
        <w:t>como</w:t>
      </w:r>
      <w:r>
        <w:rPr>
          <w:color w:val="231F20"/>
          <w:spacing w:val="-12"/>
          <w:w w:val="105"/>
        </w:rPr>
        <w:t> </w:t>
      </w:r>
      <w:r>
        <w:rPr>
          <w:color w:val="231F20"/>
          <w:w w:val="105"/>
        </w:rPr>
        <w:t>un</w:t>
      </w:r>
      <w:r>
        <w:rPr>
          <w:color w:val="231F20"/>
          <w:spacing w:val="-12"/>
          <w:w w:val="105"/>
        </w:rPr>
        <w:t> </w:t>
      </w:r>
      <w:r>
        <w:rPr>
          <w:color w:val="231F20"/>
          <w:w w:val="105"/>
        </w:rPr>
        <w:t>enfoque</w:t>
      </w:r>
      <w:r>
        <w:rPr>
          <w:color w:val="231F20"/>
          <w:spacing w:val="-12"/>
          <w:w w:val="105"/>
        </w:rPr>
        <w:t> </w:t>
      </w:r>
      <w:r>
        <w:rPr>
          <w:color w:val="231F20"/>
          <w:w w:val="105"/>
        </w:rPr>
        <w:t>alentador,</w:t>
      </w:r>
      <w:r>
        <w:rPr>
          <w:color w:val="231F20"/>
          <w:spacing w:val="-17"/>
          <w:w w:val="105"/>
        </w:rPr>
        <w:t> </w:t>
      </w:r>
      <w:r>
        <w:rPr>
          <w:color w:val="231F20"/>
          <w:w w:val="105"/>
        </w:rPr>
        <w:t>también migran</w:t>
      </w:r>
      <w:r>
        <w:rPr>
          <w:color w:val="231F20"/>
          <w:spacing w:val="-10"/>
          <w:w w:val="105"/>
        </w:rPr>
        <w:t> </w:t>
      </w:r>
      <w:r>
        <w:rPr>
          <w:color w:val="231F20"/>
          <w:w w:val="105"/>
        </w:rPr>
        <w:t>las</w:t>
      </w:r>
      <w:r>
        <w:rPr>
          <w:color w:val="231F20"/>
          <w:spacing w:val="-10"/>
          <w:w w:val="105"/>
        </w:rPr>
        <w:t> </w:t>
      </w:r>
      <w:r>
        <w:rPr>
          <w:color w:val="231F20"/>
          <w:w w:val="105"/>
        </w:rPr>
        <w:t>personas</w:t>
      </w:r>
      <w:r>
        <w:rPr>
          <w:color w:val="231F20"/>
          <w:spacing w:val="-10"/>
          <w:w w:val="105"/>
        </w:rPr>
        <w:t> </w:t>
      </w:r>
      <w:r>
        <w:rPr>
          <w:color w:val="231F20"/>
          <w:w w:val="105"/>
        </w:rPr>
        <w:t>potencialmente</w:t>
      </w:r>
      <w:r>
        <w:rPr>
          <w:color w:val="231F20"/>
          <w:spacing w:val="-10"/>
          <w:w w:val="105"/>
        </w:rPr>
        <w:t> </w:t>
      </w:r>
      <w:r>
        <w:rPr>
          <w:color w:val="231F20"/>
          <w:w w:val="105"/>
        </w:rPr>
        <w:t>más</w:t>
      </w:r>
      <w:r>
        <w:rPr>
          <w:color w:val="231F20"/>
          <w:spacing w:val="-10"/>
          <w:w w:val="105"/>
        </w:rPr>
        <w:t> </w:t>
      </w:r>
      <w:r>
        <w:rPr>
          <w:color w:val="231F20"/>
          <w:w w:val="105"/>
        </w:rPr>
        <w:t>productivas</w:t>
      </w:r>
      <w:r>
        <w:rPr>
          <w:color w:val="231F20"/>
          <w:spacing w:val="-10"/>
          <w:w w:val="105"/>
        </w:rPr>
        <w:t> </w:t>
      </w:r>
      <w:r>
        <w:rPr>
          <w:color w:val="231F20"/>
          <w:w w:val="105"/>
        </w:rPr>
        <w:t>por</w:t>
      </w:r>
      <w:r>
        <w:rPr>
          <w:color w:val="231F20"/>
          <w:spacing w:val="-10"/>
          <w:w w:val="105"/>
        </w:rPr>
        <w:t> </w:t>
      </w:r>
      <w:r>
        <w:rPr>
          <w:color w:val="231F20"/>
          <w:w w:val="105"/>
        </w:rPr>
        <w:t>acuerdo</w:t>
      </w:r>
      <w:r>
        <w:rPr>
          <w:color w:val="231F20"/>
          <w:spacing w:val="-10"/>
          <w:w w:val="105"/>
        </w:rPr>
        <w:t> </w:t>
      </w:r>
      <w:r>
        <w:rPr>
          <w:color w:val="231F20"/>
          <w:w w:val="105"/>
        </w:rPr>
        <w:t>toma- do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seno</w:t>
      </w:r>
      <w:r>
        <w:rPr>
          <w:color w:val="231F20"/>
          <w:spacing w:val="-16"/>
          <w:w w:val="105"/>
        </w:rPr>
        <w:t> </w:t>
      </w:r>
      <w:r>
        <w:rPr>
          <w:color w:val="231F20"/>
          <w:w w:val="105"/>
        </w:rPr>
        <w:t>del</w:t>
      </w:r>
      <w:r>
        <w:rPr>
          <w:color w:val="231F20"/>
          <w:spacing w:val="-16"/>
          <w:w w:val="105"/>
        </w:rPr>
        <w:t> </w:t>
      </w:r>
      <w:r>
        <w:rPr>
          <w:color w:val="231F20"/>
          <w:w w:val="105"/>
        </w:rPr>
        <w:t>hogar.</w:t>
      </w:r>
      <w:r>
        <w:rPr>
          <w:color w:val="231F20"/>
          <w:spacing w:val="-21"/>
          <w:w w:val="105"/>
        </w:rPr>
        <w:t> </w:t>
      </w:r>
      <w:r>
        <w:rPr>
          <w:color w:val="231F20"/>
          <w:spacing w:val="-5"/>
          <w:w w:val="105"/>
        </w:rPr>
        <w:t>Pero</w:t>
      </w:r>
      <w:r>
        <w:rPr>
          <w:color w:val="231F20"/>
          <w:spacing w:val="-16"/>
          <w:w w:val="105"/>
        </w:rPr>
        <w:t> </w:t>
      </w: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caso</w:t>
      </w:r>
      <w:r>
        <w:rPr>
          <w:color w:val="231F20"/>
          <w:spacing w:val="-16"/>
          <w:w w:val="105"/>
        </w:rPr>
        <w:t> </w:t>
      </w:r>
      <w:r>
        <w:rPr>
          <w:color w:val="231F20"/>
          <w:w w:val="105"/>
        </w:rPr>
        <w:t>el</w:t>
      </w:r>
      <w:r>
        <w:rPr>
          <w:color w:val="231F20"/>
          <w:spacing w:val="-16"/>
          <w:w w:val="105"/>
        </w:rPr>
        <w:t> </w:t>
      </w:r>
      <w:r>
        <w:rPr>
          <w:color w:val="231F20"/>
          <w:w w:val="105"/>
        </w:rPr>
        <w:t>objetivo</w:t>
      </w:r>
      <w:r>
        <w:rPr>
          <w:color w:val="231F20"/>
          <w:spacing w:val="-16"/>
          <w:w w:val="105"/>
        </w:rPr>
        <w:t> </w:t>
      </w:r>
      <w:r>
        <w:rPr>
          <w:color w:val="231F20"/>
          <w:w w:val="105"/>
        </w:rPr>
        <w:t>es</w:t>
      </w:r>
      <w:r>
        <w:rPr>
          <w:color w:val="231F20"/>
          <w:spacing w:val="-16"/>
          <w:w w:val="105"/>
        </w:rPr>
        <w:t> </w:t>
      </w:r>
      <w:r>
        <w:rPr>
          <w:color w:val="231F20"/>
          <w:w w:val="105"/>
        </w:rPr>
        <w:t>sin</w:t>
      </w:r>
      <w:r>
        <w:rPr>
          <w:color w:val="231F20"/>
          <w:spacing w:val="-16"/>
          <w:w w:val="105"/>
        </w:rPr>
        <w:t> </w:t>
      </w:r>
      <w:r>
        <w:rPr>
          <w:color w:val="231F20"/>
          <w:w w:val="105"/>
        </w:rPr>
        <w:t>duda</w:t>
      </w:r>
      <w:r>
        <w:rPr>
          <w:color w:val="231F20"/>
          <w:spacing w:val="-16"/>
          <w:w w:val="105"/>
        </w:rPr>
        <w:t> </w:t>
      </w:r>
      <w:r>
        <w:rPr>
          <w:color w:val="231F20"/>
          <w:w w:val="105"/>
        </w:rPr>
        <w:t>diferen- te,</w:t>
      </w:r>
      <w:r>
        <w:rPr>
          <w:color w:val="231F20"/>
          <w:spacing w:val="-12"/>
          <w:w w:val="105"/>
        </w:rPr>
        <w:t> </w:t>
      </w:r>
      <w:r>
        <w:rPr>
          <w:color w:val="231F20"/>
          <w:w w:val="105"/>
        </w:rPr>
        <w:t>este</w:t>
      </w:r>
      <w:r>
        <w:rPr>
          <w:color w:val="231F20"/>
          <w:spacing w:val="-5"/>
          <w:w w:val="105"/>
        </w:rPr>
        <w:t> </w:t>
      </w:r>
      <w:r>
        <w:rPr>
          <w:color w:val="231F20"/>
          <w:w w:val="105"/>
        </w:rPr>
        <w:t>grupo</w:t>
      </w:r>
      <w:r>
        <w:rPr>
          <w:color w:val="231F20"/>
          <w:spacing w:val="-5"/>
          <w:w w:val="105"/>
        </w:rPr>
        <w:t> </w:t>
      </w:r>
      <w:r>
        <w:rPr>
          <w:color w:val="231F20"/>
          <w:w w:val="105"/>
        </w:rPr>
        <w:t>pretende</w:t>
      </w:r>
      <w:r>
        <w:rPr>
          <w:color w:val="231F20"/>
          <w:spacing w:val="-5"/>
          <w:w w:val="105"/>
        </w:rPr>
        <w:t> </w:t>
      </w:r>
      <w:r>
        <w:rPr>
          <w:color w:val="231F20"/>
          <w:w w:val="105"/>
        </w:rPr>
        <w:t>irse</w:t>
      </w:r>
      <w:r>
        <w:rPr>
          <w:color w:val="231F20"/>
          <w:spacing w:val="-5"/>
          <w:w w:val="105"/>
        </w:rPr>
        <w:t> </w:t>
      </w:r>
      <w:r>
        <w:rPr>
          <w:color w:val="231F20"/>
          <w:w w:val="105"/>
        </w:rPr>
        <w:t>para</w:t>
      </w:r>
      <w:r>
        <w:rPr>
          <w:color w:val="231F20"/>
          <w:spacing w:val="-5"/>
          <w:w w:val="105"/>
        </w:rPr>
        <w:t> </w:t>
      </w:r>
      <w:r>
        <w:rPr>
          <w:color w:val="231F20"/>
          <w:w w:val="105"/>
        </w:rPr>
        <w:t>generar</w:t>
      </w:r>
      <w:r>
        <w:rPr>
          <w:color w:val="231F20"/>
          <w:spacing w:val="-5"/>
          <w:w w:val="105"/>
        </w:rPr>
        <w:t> </w:t>
      </w:r>
      <w:r>
        <w:rPr>
          <w:color w:val="231F20"/>
          <w:w w:val="105"/>
        </w:rPr>
        <w:t>recursos</w:t>
      </w:r>
      <w:r>
        <w:rPr>
          <w:color w:val="231F20"/>
          <w:spacing w:val="-5"/>
          <w:w w:val="105"/>
        </w:rPr>
        <w:t> </w:t>
      </w:r>
      <w:r>
        <w:rPr>
          <w:color w:val="231F20"/>
          <w:w w:val="105"/>
        </w:rPr>
        <w:t>e</w:t>
      </w:r>
      <w:r>
        <w:rPr>
          <w:color w:val="231F20"/>
          <w:spacing w:val="-5"/>
          <w:w w:val="105"/>
        </w:rPr>
        <w:t> </w:t>
      </w:r>
      <w:r>
        <w:rPr>
          <w:color w:val="231F20"/>
          <w:w w:val="105"/>
        </w:rPr>
        <w:t>invertir</w:t>
      </w:r>
      <w:r>
        <w:rPr>
          <w:color w:val="231F20"/>
          <w:spacing w:val="-5"/>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locali- dad</w:t>
      </w:r>
      <w:r>
        <w:rPr>
          <w:color w:val="231F20"/>
          <w:spacing w:val="-18"/>
          <w:w w:val="105"/>
        </w:rPr>
        <w:t> </w:t>
      </w:r>
      <w:r>
        <w:rPr>
          <w:color w:val="231F20"/>
          <w:w w:val="105"/>
        </w:rPr>
        <w:t>de</w:t>
      </w:r>
      <w:r>
        <w:rPr>
          <w:color w:val="231F20"/>
          <w:spacing w:val="-18"/>
          <w:w w:val="105"/>
        </w:rPr>
        <w:t> </w:t>
      </w:r>
      <w:r>
        <w:rPr>
          <w:color w:val="231F20"/>
          <w:w w:val="105"/>
        </w:rPr>
        <w:t>origen</w:t>
      </w:r>
      <w:r>
        <w:rPr>
          <w:color w:val="231F20"/>
          <w:spacing w:val="-18"/>
          <w:w w:val="105"/>
        </w:rPr>
        <w:t> </w:t>
      </w:r>
      <w:r>
        <w:rPr>
          <w:color w:val="231F20"/>
          <w:w w:val="105"/>
        </w:rPr>
        <w:t>a</w:t>
      </w:r>
      <w:r>
        <w:rPr>
          <w:color w:val="231F20"/>
          <w:spacing w:val="-18"/>
          <w:w w:val="105"/>
        </w:rPr>
        <w:t> </w:t>
      </w:r>
      <w:r>
        <w:rPr>
          <w:color w:val="231F20"/>
          <w:w w:val="105"/>
        </w:rPr>
        <w:t>fin</w:t>
      </w:r>
      <w:r>
        <w:rPr>
          <w:color w:val="231F20"/>
          <w:spacing w:val="-18"/>
          <w:w w:val="105"/>
        </w:rPr>
        <w:t> </w:t>
      </w:r>
      <w:r>
        <w:rPr>
          <w:color w:val="231F20"/>
          <w:w w:val="105"/>
        </w:rPr>
        <w:t>de</w:t>
      </w:r>
      <w:r>
        <w:rPr>
          <w:color w:val="231F20"/>
          <w:spacing w:val="-18"/>
          <w:w w:val="105"/>
        </w:rPr>
        <w:t> </w:t>
      </w:r>
      <w:r>
        <w:rPr>
          <w:color w:val="231F20"/>
          <w:w w:val="105"/>
        </w:rPr>
        <w:t>superar</w:t>
      </w:r>
      <w:r>
        <w:rPr>
          <w:color w:val="231F20"/>
          <w:spacing w:val="-18"/>
          <w:w w:val="105"/>
        </w:rPr>
        <w:t> </w:t>
      </w:r>
      <w:r>
        <w:rPr>
          <w:color w:val="231F20"/>
          <w:w w:val="105"/>
        </w:rPr>
        <w:t>restricciones</w:t>
      </w:r>
      <w:r>
        <w:rPr>
          <w:color w:val="231F20"/>
          <w:spacing w:val="-18"/>
          <w:w w:val="105"/>
        </w:rPr>
        <w:t> </w:t>
      </w:r>
      <w:r>
        <w:rPr>
          <w:color w:val="231F20"/>
          <w:w w:val="105"/>
        </w:rPr>
        <w:t>financieras</w:t>
      </w:r>
      <w:r>
        <w:rPr>
          <w:color w:val="231F20"/>
          <w:spacing w:val="-18"/>
          <w:w w:val="105"/>
        </w:rPr>
        <w:t> </w:t>
      </w:r>
      <w:r>
        <w:rPr>
          <w:color w:val="231F20"/>
          <w:w w:val="105"/>
        </w:rPr>
        <w:t>y</w:t>
      </w:r>
      <w:r>
        <w:rPr>
          <w:color w:val="231F20"/>
          <w:spacing w:val="-18"/>
          <w:w w:val="105"/>
        </w:rPr>
        <w:t> </w:t>
      </w:r>
      <w:r>
        <w:rPr>
          <w:color w:val="231F20"/>
          <w:w w:val="105"/>
        </w:rPr>
        <w:t>así</w:t>
      </w:r>
      <w:r>
        <w:rPr>
          <w:color w:val="231F20"/>
          <w:spacing w:val="-18"/>
          <w:w w:val="105"/>
        </w:rPr>
        <w:t> </w:t>
      </w:r>
      <w:r>
        <w:rPr>
          <w:color w:val="231F20"/>
          <w:w w:val="105"/>
        </w:rPr>
        <w:t>potencializar la</w:t>
      </w:r>
      <w:r>
        <w:rPr>
          <w:color w:val="231F20"/>
          <w:spacing w:val="-8"/>
          <w:w w:val="105"/>
        </w:rPr>
        <w:t> </w:t>
      </w:r>
      <w:r>
        <w:rPr>
          <w:color w:val="231F20"/>
          <w:w w:val="105"/>
        </w:rPr>
        <w:t>unidad</w:t>
      </w:r>
      <w:r>
        <w:rPr>
          <w:color w:val="231F20"/>
          <w:spacing w:val="-8"/>
          <w:w w:val="105"/>
        </w:rPr>
        <w:t> </w:t>
      </w:r>
      <w:r>
        <w:rPr>
          <w:color w:val="231F20"/>
          <w:w w:val="105"/>
        </w:rPr>
        <w:t>productiva</w:t>
      </w:r>
      <w:r>
        <w:rPr>
          <w:color w:val="231F20"/>
          <w:spacing w:val="-8"/>
          <w:w w:val="105"/>
        </w:rPr>
        <w:t> </w:t>
      </w:r>
      <w:r>
        <w:rPr>
          <w:color w:val="231F20"/>
          <w:w w:val="105"/>
        </w:rPr>
        <w:t>(Stark,</w:t>
      </w:r>
      <w:r>
        <w:rPr>
          <w:color w:val="231F20"/>
          <w:spacing w:val="-13"/>
          <w:w w:val="105"/>
        </w:rPr>
        <w:t> </w:t>
      </w:r>
      <w:r>
        <w:rPr>
          <w:color w:val="231F20"/>
          <w:w w:val="105"/>
        </w:rPr>
        <w:t>1982;</w:t>
      </w:r>
      <w:r>
        <w:rPr>
          <w:color w:val="231F20"/>
          <w:spacing w:val="-13"/>
          <w:w w:val="105"/>
        </w:rPr>
        <w:t> </w:t>
      </w:r>
      <w:r>
        <w:rPr>
          <w:color w:val="231F20"/>
          <w:spacing w:val="-5"/>
          <w:w w:val="105"/>
        </w:rPr>
        <w:t>Taylor,</w:t>
      </w:r>
      <w:r>
        <w:rPr>
          <w:color w:val="231F20"/>
          <w:spacing w:val="-13"/>
          <w:w w:val="105"/>
        </w:rPr>
        <w:t> </w:t>
      </w:r>
      <w:r>
        <w:rPr>
          <w:color w:val="231F20"/>
          <w:w w:val="105"/>
        </w:rPr>
        <w:t>1995;</w:t>
      </w:r>
      <w:r>
        <w:rPr>
          <w:color w:val="231F20"/>
          <w:spacing w:val="-12"/>
          <w:w w:val="105"/>
        </w:rPr>
        <w:t> </w:t>
      </w:r>
      <w:r>
        <w:rPr>
          <w:color w:val="231F20"/>
          <w:w w:val="105"/>
        </w:rPr>
        <w:t>Adelman,</w:t>
      </w:r>
      <w:r>
        <w:rPr>
          <w:color w:val="231F20"/>
          <w:spacing w:val="-17"/>
          <w:w w:val="105"/>
        </w:rPr>
        <w:t> </w:t>
      </w:r>
      <w:r>
        <w:rPr>
          <w:color w:val="231F20"/>
          <w:spacing w:val="-4"/>
          <w:w w:val="105"/>
        </w:rPr>
        <w:t>Taylor</w:t>
      </w:r>
      <w:r>
        <w:rPr>
          <w:color w:val="231F20"/>
          <w:spacing w:val="-8"/>
          <w:w w:val="105"/>
        </w:rPr>
        <w:t> </w:t>
      </w:r>
      <w:r>
        <w:rPr>
          <w:color w:val="231F20"/>
          <w:w w:val="105"/>
        </w:rPr>
        <w:t>y</w:t>
      </w:r>
      <w:r>
        <w:rPr>
          <w:color w:val="231F20"/>
          <w:spacing w:val="-12"/>
          <w:w w:val="105"/>
        </w:rPr>
        <w:t> </w:t>
      </w:r>
      <w:r>
        <w:rPr>
          <w:color w:val="231F20"/>
          <w:w w:val="105"/>
        </w:rPr>
        <w:t>Vogel, 1988;</w:t>
      </w:r>
      <w:r>
        <w:rPr>
          <w:color w:val="231F20"/>
          <w:spacing w:val="-35"/>
          <w:w w:val="105"/>
        </w:rPr>
        <w:t> </w:t>
      </w:r>
      <w:r>
        <w:rPr>
          <w:color w:val="231F20"/>
          <w:spacing w:val="-3"/>
          <w:w w:val="105"/>
        </w:rPr>
        <w:t>Yunez,</w:t>
      </w:r>
      <w:r>
        <w:rPr>
          <w:color w:val="231F20"/>
          <w:spacing w:val="-36"/>
          <w:w w:val="105"/>
        </w:rPr>
        <w:t> </w:t>
      </w:r>
      <w:r>
        <w:rPr>
          <w:color w:val="231F20"/>
          <w:w w:val="105"/>
        </w:rPr>
        <w:t>2001;</w:t>
      </w:r>
      <w:r>
        <w:rPr>
          <w:color w:val="231F20"/>
          <w:spacing w:val="-33"/>
          <w:w w:val="105"/>
        </w:rPr>
        <w:t> </w:t>
      </w:r>
      <w:r>
        <w:rPr>
          <w:color w:val="231F20"/>
          <w:w w:val="105"/>
        </w:rPr>
        <w:t>2000).</w:t>
      </w:r>
    </w:p>
    <w:p>
      <w:pPr>
        <w:pStyle w:val="BodyText"/>
        <w:spacing w:line="261" w:lineRule="auto" w:before="1"/>
        <w:ind w:left="1695" w:right="1794" w:firstLine="567"/>
        <w:jc w:val="both"/>
      </w:pPr>
      <w:r>
        <w:rPr>
          <w:color w:val="231F20"/>
          <w:w w:val="105"/>
        </w:rPr>
        <w:t>Esta</w:t>
      </w:r>
      <w:r>
        <w:rPr>
          <w:color w:val="231F20"/>
          <w:spacing w:val="-13"/>
          <w:w w:val="105"/>
        </w:rPr>
        <w:t> </w:t>
      </w:r>
      <w:r>
        <w:rPr>
          <w:color w:val="231F20"/>
          <w:w w:val="105"/>
        </w:rPr>
        <w:t>perspectiva</w:t>
      </w:r>
      <w:r>
        <w:rPr>
          <w:color w:val="231F20"/>
          <w:spacing w:val="-13"/>
          <w:w w:val="105"/>
        </w:rPr>
        <w:t> </w:t>
      </w:r>
      <w:r>
        <w:rPr>
          <w:color w:val="231F20"/>
          <w:w w:val="105"/>
        </w:rPr>
        <w:t>positiva</w:t>
      </w:r>
      <w:r>
        <w:rPr>
          <w:color w:val="231F20"/>
          <w:spacing w:val="-13"/>
          <w:w w:val="105"/>
        </w:rPr>
        <w:t> </w:t>
      </w:r>
      <w:r>
        <w:rPr>
          <w:color w:val="231F20"/>
          <w:w w:val="105"/>
        </w:rPr>
        <w:t>se</w:t>
      </w:r>
      <w:r>
        <w:rPr>
          <w:color w:val="231F20"/>
          <w:spacing w:val="-13"/>
          <w:w w:val="105"/>
        </w:rPr>
        <w:t> </w:t>
      </w:r>
      <w:r>
        <w:rPr>
          <w:color w:val="231F20"/>
          <w:w w:val="105"/>
        </w:rPr>
        <w:t>ha</w:t>
      </w:r>
      <w:r>
        <w:rPr>
          <w:color w:val="231F20"/>
          <w:spacing w:val="-13"/>
          <w:w w:val="105"/>
        </w:rPr>
        <w:t> </w:t>
      </w:r>
      <w:r>
        <w:rPr>
          <w:color w:val="231F20"/>
          <w:w w:val="105"/>
        </w:rPr>
        <w:t>calificado</w:t>
      </w:r>
      <w:r>
        <w:rPr>
          <w:color w:val="231F20"/>
          <w:spacing w:val="-13"/>
          <w:w w:val="105"/>
        </w:rPr>
        <w:t> </w:t>
      </w:r>
      <w:r>
        <w:rPr>
          <w:color w:val="231F20"/>
          <w:w w:val="105"/>
        </w:rPr>
        <w:t>así</w:t>
      </w:r>
      <w:r>
        <w:rPr>
          <w:color w:val="231F20"/>
          <w:spacing w:val="-13"/>
          <w:w w:val="105"/>
        </w:rPr>
        <w:t> </w:t>
      </w:r>
      <w:r>
        <w:rPr>
          <w:color w:val="231F20"/>
          <w:w w:val="105"/>
        </w:rPr>
        <w:t>por</w:t>
      </w:r>
      <w:r>
        <w:rPr>
          <w:color w:val="231F20"/>
          <w:spacing w:val="-13"/>
          <w:w w:val="105"/>
        </w:rPr>
        <w:t> </w:t>
      </w:r>
      <w:r>
        <w:rPr>
          <w:color w:val="231F20"/>
          <w:w w:val="105"/>
        </w:rPr>
        <w:t>las</w:t>
      </w:r>
      <w:r>
        <w:rPr>
          <w:color w:val="231F20"/>
          <w:spacing w:val="-13"/>
          <w:w w:val="105"/>
        </w:rPr>
        <w:t> </w:t>
      </w:r>
      <w:r>
        <w:rPr>
          <w:color w:val="231F20"/>
          <w:w w:val="105"/>
        </w:rPr>
        <w:t>oportunidades que</w:t>
      </w:r>
      <w:r>
        <w:rPr>
          <w:color w:val="231F20"/>
          <w:spacing w:val="-24"/>
          <w:w w:val="105"/>
        </w:rPr>
        <w:t> </w:t>
      </w:r>
      <w:r>
        <w:rPr>
          <w:color w:val="231F20"/>
          <w:w w:val="105"/>
        </w:rPr>
        <w:t>se</w:t>
      </w:r>
      <w:r>
        <w:rPr>
          <w:color w:val="231F20"/>
          <w:spacing w:val="-24"/>
          <w:w w:val="105"/>
        </w:rPr>
        <w:t> </w:t>
      </w:r>
      <w:r>
        <w:rPr>
          <w:color w:val="231F20"/>
          <w:w w:val="105"/>
        </w:rPr>
        <w:t>vieron</w:t>
      </w:r>
      <w:r>
        <w:rPr>
          <w:color w:val="231F20"/>
          <w:spacing w:val="-24"/>
          <w:w w:val="105"/>
        </w:rPr>
        <w:t> </w:t>
      </w:r>
      <w:r>
        <w:rPr>
          <w:color w:val="231F20"/>
          <w:w w:val="105"/>
        </w:rPr>
        <w:t>en</w:t>
      </w:r>
      <w:r>
        <w:rPr>
          <w:color w:val="231F20"/>
          <w:spacing w:val="-24"/>
          <w:w w:val="105"/>
        </w:rPr>
        <w:t> </w:t>
      </w:r>
      <w:r>
        <w:rPr>
          <w:color w:val="231F20"/>
          <w:w w:val="105"/>
        </w:rPr>
        <w:t>una</w:t>
      </w:r>
      <w:r>
        <w:rPr>
          <w:color w:val="231F20"/>
          <w:spacing w:val="-24"/>
          <w:w w:val="105"/>
        </w:rPr>
        <w:t> </w:t>
      </w:r>
      <w:r>
        <w:rPr>
          <w:color w:val="231F20"/>
          <w:w w:val="105"/>
        </w:rPr>
        <w:t>mayor</w:t>
      </w:r>
      <w:r>
        <w:rPr>
          <w:color w:val="231F20"/>
          <w:spacing w:val="-24"/>
          <w:w w:val="105"/>
        </w:rPr>
        <w:t> </w:t>
      </w:r>
      <w:r>
        <w:rPr>
          <w:color w:val="231F20"/>
          <w:w w:val="105"/>
        </w:rPr>
        <w:t>entrada</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remesas</w:t>
      </w:r>
      <w:r>
        <w:rPr>
          <w:color w:val="231F20"/>
          <w:spacing w:val="-24"/>
          <w:w w:val="105"/>
        </w:rPr>
        <w:t> </w:t>
      </w:r>
      <w:r>
        <w:rPr>
          <w:color w:val="231F20"/>
          <w:w w:val="105"/>
        </w:rPr>
        <w:t>y</w:t>
      </w:r>
      <w:r>
        <w:rPr>
          <w:color w:val="231F20"/>
          <w:spacing w:val="-24"/>
          <w:w w:val="105"/>
        </w:rPr>
        <w:t> </w:t>
      </w:r>
      <w:r>
        <w:rPr>
          <w:color w:val="231F20"/>
          <w:w w:val="105"/>
        </w:rPr>
        <w:t>sus</w:t>
      </w:r>
      <w:r>
        <w:rPr>
          <w:color w:val="231F20"/>
          <w:spacing w:val="-24"/>
          <w:w w:val="105"/>
        </w:rPr>
        <w:t> </w:t>
      </w:r>
      <w:r>
        <w:rPr>
          <w:color w:val="231F20"/>
          <w:w w:val="105"/>
        </w:rPr>
        <w:t>posibles</w:t>
      </w:r>
      <w:r>
        <w:rPr>
          <w:color w:val="231F20"/>
          <w:spacing w:val="-24"/>
          <w:w w:val="105"/>
        </w:rPr>
        <w:t> </w:t>
      </w:r>
      <w:r>
        <w:rPr>
          <w:color w:val="231F20"/>
          <w:w w:val="105"/>
        </w:rPr>
        <w:t>efectos en el desarrollo local, particularmente cuando dichos recursos son utili- zados</w:t>
      </w:r>
      <w:r>
        <w:rPr>
          <w:color w:val="231F20"/>
          <w:spacing w:val="-12"/>
          <w:w w:val="105"/>
        </w:rPr>
        <w:t> </w:t>
      </w:r>
      <w:r>
        <w:rPr>
          <w:color w:val="231F20"/>
          <w:w w:val="105"/>
        </w:rPr>
        <w:t>en</w:t>
      </w:r>
      <w:r>
        <w:rPr>
          <w:color w:val="231F20"/>
          <w:spacing w:val="-12"/>
          <w:w w:val="105"/>
        </w:rPr>
        <w:t> </w:t>
      </w:r>
      <w:r>
        <w:rPr>
          <w:color w:val="231F20"/>
          <w:w w:val="105"/>
        </w:rPr>
        <w:t>actividades</w:t>
      </w:r>
      <w:r>
        <w:rPr>
          <w:color w:val="231F20"/>
          <w:spacing w:val="-12"/>
          <w:w w:val="105"/>
        </w:rPr>
        <w:t> </w:t>
      </w:r>
      <w:r>
        <w:rPr>
          <w:color w:val="231F20"/>
          <w:w w:val="105"/>
        </w:rPr>
        <w:t>productivas.</w:t>
      </w:r>
      <w:r>
        <w:rPr>
          <w:color w:val="231F20"/>
          <w:spacing w:val="-16"/>
          <w:w w:val="105"/>
        </w:rPr>
        <w:t> </w:t>
      </w:r>
      <w:r>
        <w:rPr>
          <w:color w:val="231F20"/>
          <w:w w:val="105"/>
        </w:rPr>
        <w:t>Desde</w:t>
      </w:r>
      <w:r>
        <w:rPr>
          <w:color w:val="231F20"/>
          <w:spacing w:val="-12"/>
          <w:w w:val="105"/>
        </w:rPr>
        <w:t> </w:t>
      </w:r>
      <w:r>
        <w:rPr>
          <w:color w:val="231F20"/>
          <w:w w:val="105"/>
        </w:rPr>
        <w:t>esta</w:t>
      </w:r>
      <w:r>
        <w:rPr>
          <w:color w:val="231F20"/>
          <w:spacing w:val="-12"/>
          <w:w w:val="105"/>
        </w:rPr>
        <w:t> </w:t>
      </w:r>
      <w:r>
        <w:rPr>
          <w:color w:val="231F20"/>
          <w:w w:val="105"/>
        </w:rPr>
        <w:t>postura</w:t>
      </w:r>
      <w:r>
        <w:rPr>
          <w:color w:val="231F20"/>
          <w:spacing w:val="-12"/>
          <w:w w:val="105"/>
        </w:rPr>
        <w:t> </w:t>
      </w:r>
      <w:r>
        <w:rPr>
          <w:color w:val="231F20"/>
          <w:w w:val="105"/>
        </w:rPr>
        <w:t>se</w:t>
      </w:r>
      <w:r>
        <w:rPr>
          <w:color w:val="231F20"/>
          <w:spacing w:val="-12"/>
          <w:w w:val="105"/>
        </w:rPr>
        <w:t> </w:t>
      </w:r>
      <w:r>
        <w:rPr>
          <w:color w:val="231F20"/>
          <w:w w:val="105"/>
        </w:rPr>
        <w:t>valoran</w:t>
      </w:r>
      <w:r>
        <w:rPr>
          <w:color w:val="231F20"/>
          <w:spacing w:val="-12"/>
          <w:w w:val="105"/>
        </w:rPr>
        <w:t> </w:t>
      </w:r>
      <w:r>
        <w:rPr>
          <w:color w:val="231F20"/>
          <w:w w:val="105"/>
        </w:rPr>
        <w:t>favora- blemente</w:t>
      </w:r>
      <w:r>
        <w:rPr>
          <w:color w:val="231F20"/>
          <w:spacing w:val="-12"/>
          <w:w w:val="105"/>
        </w:rPr>
        <w:t> </w:t>
      </w:r>
      <w:r>
        <w:rPr>
          <w:color w:val="231F20"/>
          <w:w w:val="105"/>
        </w:rPr>
        <w:t>los</w:t>
      </w:r>
      <w:r>
        <w:rPr>
          <w:color w:val="231F20"/>
          <w:spacing w:val="-12"/>
          <w:w w:val="105"/>
        </w:rPr>
        <w:t> </w:t>
      </w:r>
      <w:r>
        <w:rPr>
          <w:color w:val="231F20"/>
          <w:w w:val="105"/>
        </w:rPr>
        <w:t>efectos</w:t>
      </w:r>
      <w:r>
        <w:rPr>
          <w:color w:val="231F20"/>
          <w:spacing w:val="-12"/>
          <w:w w:val="105"/>
        </w:rPr>
        <w:t> </w:t>
      </w:r>
      <w:r>
        <w:rPr>
          <w:color w:val="231F20"/>
          <w:w w:val="105"/>
        </w:rPr>
        <w:t>macro</w:t>
      </w:r>
      <w:r>
        <w:rPr>
          <w:color w:val="231F20"/>
          <w:spacing w:val="-12"/>
          <w:w w:val="105"/>
        </w:rPr>
        <w:t> </w:t>
      </w:r>
      <w:r>
        <w:rPr>
          <w:color w:val="231F20"/>
          <w:w w:val="105"/>
        </w:rPr>
        <w:t>y</w:t>
      </w:r>
      <w:r>
        <w:rPr>
          <w:color w:val="231F20"/>
          <w:spacing w:val="-12"/>
          <w:w w:val="105"/>
        </w:rPr>
        <w:t> </w:t>
      </w:r>
      <w:r>
        <w:rPr>
          <w:color w:val="231F20"/>
          <w:w w:val="105"/>
        </w:rPr>
        <w:t>micro</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remesas.</w:t>
      </w:r>
      <w:r>
        <w:rPr>
          <w:color w:val="231F20"/>
          <w:spacing w:val="-17"/>
          <w:w w:val="105"/>
        </w:rPr>
        <w:t> </w:t>
      </w:r>
      <w:r>
        <w:rPr>
          <w:color w:val="231F20"/>
          <w:w w:val="105"/>
        </w:rPr>
        <w:t>Según</w:t>
      </w:r>
      <w:r>
        <w:rPr>
          <w:color w:val="231F20"/>
          <w:spacing w:val="-12"/>
          <w:w w:val="105"/>
        </w:rPr>
        <w:t> </w:t>
      </w:r>
      <w:r>
        <w:rPr>
          <w:color w:val="231F20"/>
          <w:w w:val="105"/>
        </w:rPr>
        <w:t>Salas,</w:t>
      </w:r>
      <w:r>
        <w:rPr>
          <w:color w:val="231F20"/>
          <w:spacing w:val="-17"/>
          <w:w w:val="105"/>
        </w:rPr>
        <w:t> </w:t>
      </w:r>
      <w:r>
        <w:rPr>
          <w:color w:val="231F20"/>
          <w:w w:val="105"/>
        </w:rPr>
        <w:t>Cruz</w:t>
      </w:r>
      <w:r>
        <w:rPr>
          <w:color w:val="231F20"/>
          <w:spacing w:val="-12"/>
          <w:w w:val="105"/>
        </w:rPr>
        <w:t> </w:t>
      </w:r>
      <w:r>
        <w:rPr>
          <w:color w:val="231F20"/>
          <w:w w:val="105"/>
        </w:rPr>
        <w:t>y Honorio</w:t>
      </w:r>
      <w:r>
        <w:rPr>
          <w:color w:val="231F20"/>
          <w:spacing w:val="-6"/>
          <w:w w:val="105"/>
        </w:rPr>
        <w:t> </w:t>
      </w:r>
      <w:r>
        <w:rPr>
          <w:color w:val="231F20"/>
          <w:w w:val="105"/>
        </w:rPr>
        <w:t>(2012),</w:t>
      </w:r>
      <w:r>
        <w:rPr>
          <w:color w:val="231F20"/>
          <w:spacing w:val="-12"/>
          <w:w w:val="105"/>
        </w:rPr>
        <w:t> </w:t>
      </w:r>
      <w:r>
        <w:rPr>
          <w:color w:val="231F20"/>
          <w:w w:val="105"/>
        </w:rPr>
        <w:t>las</w:t>
      </w:r>
      <w:r>
        <w:rPr>
          <w:color w:val="231F20"/>
          <w:spacing w:val="-6"/>
          <w:w w:val="105"/>
        </w:rPr>
        <w:t> </w:t>
      </w:r>
      <w:r>
        <w:rPr>
          <w:color w:val="231F20"/>
          <w:w w:val="105"/>
        </w:rPr>
        <w:t>remesas</w:t>
      </w:r>
      <w:r>
        <w:rPr>
          <w:color w:val="231F20"/>
          <w:spacing w:val="-6"/>
          <w:w w:val="105"/>
        </w:rPr>
        <w:t> </w:t>
      </w:r>
      <w:r>
        <w:rPr>
          <w:color w:val="231F20"/>
          <w:w w:val="105"/>
        </w:rPr>
        <w:t>podrían</w:t>
      </w:r>
      <w:r>
        <w:rPr>
          <w:color w:val="231F20"/>
          <w:spacing w:val="-6"/>
          <w:w w:val="105"/>
        </w:rPr>
        <w:t> </w:t>
      </w:r>
      <w:r>
        <w:rPr>
          <w:color w:val="231F20"/>
          <w:w w:val="105"/>
        </w:rPr>
        <w:t>tener</w:t>
      </w:r>
      <w:r>
        <w:rPr>
          <w:color w:val="231F20"/>
          <w:spacing w:val="-6"/>
          <w:w w:val="105"/>
        </w:rPr>
        <w:t> </w:t>
      </w:r>
      <w:r>
        <w:rPr>
          <w:color w:val="231F20"/>
          <w:w w:val="105"/>
        </w:rPr>
        <w:t>un</w:t>
      </w:r>
      <w:r>
        <w:rPr>
          <w:color w:val="231F20"/>
          <w:spacing w:val="-6"/>
          <w:w w:val="105"/>
        </w:rPr>
        <w:t> </w:t>
      </w:r>
      <w:r>
        <w:rPr>
          <w:color w:val="231F20"/>
          <w:w w:val="105"/>
        </w:rPr>
        <w:t>efecto</w:t>
      </w:r>
      <w:r>
        <w:rPr>
          <w:color w:val="231F20"/>
          <w:spacing w:val="-6"/>
          <w:w w:val="105"/>
        </w:rPr>
        <w:t> </w:t>
      </w:r>
      <w:r>
        <w:rPr>
          <w:color w:val="231F20"/>
          <w:w w:val="105"/>
        </w:rPr>
        <w:t>favorable</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pro- ducción</w:t>
      </w:r>
      <w:r>
        <w:rPr>
          <w:color w:val="231F20"/>
          <w:spacing w:val="-20"/>
          <w:w w:val="105"/>
        </w:rPr>
        <w:t> </w:t>
      </w:r>
      <w:r>
        <w:rPr>
          <w:color w:val="231F20"/>
          <w:w w:val="105"/>
        </w:rPr>
        <w:t>agrícola</w:t>
      </w:r>
      <w:r>
        <w:rPr>
          <w:color w:val="231F20"/>
          <w:spacing w:val="-20"/>
          <w:w w:val="105"/>
        </w:rPr>
        <w:t> </w:t>
      </w:r>
      <w:r>
        <w:rPr>
          <w:color w:val="231F20"/>
          <w:w w:val="105"/>
        </w:rPr>
        <w:t>por</w:t>
      </w:r>
      <w:r>
        <w:rPr>
          <w:color w:val="231F20"/>
          <w:spacing w:val="-20"/>
          <w:w w:val="105"/>
        </w:rPr>
        <w:t> </w:t>
      </w:r>
      <w:r>
        <w:rPr>
          <w:color w:val="231F20"/>
          <w:w w:val="105"/>
        </w:rPr>
        <w:t>las</w:t>
      </w:r>
      <w:r>
        <w:rPr>
          <w:color w:val="231F20"/>
          <w:spacing w:val="-20"/>
          <w:w w:val="105"/>
        </w:rPr>
        <w:t> </w:t>
      </w:r>
      <w:r>
        <w:rPr>
          <w:color w:val="231F20"/>
          <w:w w:val="105"/>
        </w:rPr>
        <w:t>siguientes</w:t>
      </w:r>
      <w:r>
        <w:rPr>
          <w:color w:val="231F20"/>
          <w:spacing w:val="-20"/>
          <w:w w:val="105"/>
        </w:rPr>
        <w:t> </w:t>
      </w:r>
      <w:r>
        <w:rPr>
          <w:color w:val="231F20"/>
          <w:w w:val="105"/>
        </w:rPr>
        <w:t>razones:</w:t>
      </w:r>
    </w:p>
    <w:p>
      <w:pPr>
        <w:pStyle w:val="BodyText"/>
        <w:rPr>
          <w:sz w:val="23"/>
        </w:rPr>
      </w:pPr>
    </w:p>
    <w:p>
      <w:pPr>
        <w:pStyle w:val="ListParagraph"/>
        <w:numPr>
          <w:ilvl w:val="0"/>
          <w:numId w:val="10"/>
        </w:numPr>
        <w:tabs>
          <w:tab w:pos="2906" w:val="left" w:leader="none"/>
        </w:tabs>
        <w:spacing w:line="261" w:lineRule="auto" w:before="0" w:after="0"/>
        <w:ind w:left="2905" w:right="1795" w:hanging="360"/>
        <w:jc w:val="both"/>
        <w:rPr>
          <w:sz w:val="21"/>
        </w:rPr>
      </w:pPr>
      <w:r>
        <w:rPr>
          <w:color w:val="231F20"/>
          <w:w w:val="105"/>
          <w:sz w:val="21"/>
        </w:rPr>
        <w:t>Existe dinero disponible, que podría exceder al que se hu- biera</w:t>
      </w:r>
      <w:r>
        <w:rPr>
          <w:color w:val="231F20"/>
          <w:spacing w:val="-16"/>
          <w:w w:val="105"/>
          <w:sz w:val="21"/>
        </w:rPr>
        <w:t> </w:t>
      </w:r>
      <w:r>
        <w:rPr>
          <w:color w:val="231F20"/>
          <w:w w:val="105"/>
          <w:sz w:val="21"/>
        </w:rPr>
        <w:t>generado</w:t>
      </w:r>
      <w:r>
        <w:rPr>
          <w:color w:val="231F20"/>
          <w:spacing w:val="-16"/>
          <w:w w:val="105"/>
          <w:sz w:val="21"/>
        </w:rPr>
        <w:t> </w:t>
      </w:r>
      <w:r>
        <w:rPr>
          <w:color w:val="231F20"/>
          <w:w w:val="105"/>
          <w:sz w:val="21"/>
        </w:rPr>
        <w:t>si</w:t>
      </w:r>
      <w:r>
        <w:rPr>
          <w:color w:val="231F20"/>
          <w:spacing w:val="-16"/>
          <w:w w:val="105"/>
          <w:sz w:val="21"/>
        </w:rPr>
        <w:t> </w:t>
      </w:r>
      <w:r>
        <w:rPr>
          <w:color w:val="231F20"/>
          <w:w w:val="105"/>
          <w:sz w:val="21"/>
        </w:rPr>
        <w:t>el</w:t>
      </w:r>
      <w:r>
        <w:rPr>
          <w:color w:val="231F20"/>
          <w:spacing w:val="-16"/>
          <w:w w:val="105"/>
          <w:sz w:val="21"/>
        </w:rPr>
        <w:t> </w:t>
      </w:r>
      <w:r>
        <w:rPr>
          <w:color w:val="231F20"/>
          <w:w w:val="105"/>
          <w:sz w:val="21"/>
        </w:rPr>
        <w:t>migrante</w:t>
      </w:r>
      <w:r>
        <w:rPr>
          <w:color w:val="231F20"/>
          <w:spacing w:val="-16"/>
          <w:w w:val="105"/>
          <w:sz w:val="21"/>
        </w:rPr>
        <w:t> </w:t>
      </w:r>
      <w:r>
        <w:rPr>
          <w:color w:val="231F20"/>
          <w:w w:val="105"/>
          <w:sz w:val="21"/>
        </w:rPr>
        <w:t>permaneciera</w:t>
      </w:r>
      <w:r>
        <w:rPr>
          <w:color w:val="231F20"/>
          <w:spacing w:val="-16"/>
          <w:w w:val="105"/>
          <w:sz w:val="21"/>
        </w:rPr>
        <w:t> </w:t>
      </w:r>
      <w:r>
        <w:rPr>
          <w:color w:val="231F20"/>
          <w:w w:val="105"/>
          <w:sz w:val="21"/>
        </w:rPr>
        <w:t>dentro</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uni- dad</w:t>
      </w:r>
      <w:r>
        <w:rPr>
          <w:color w:val="231F20"/>
          <w:spacing w:val="-11"/>
          <w:w w:val="105"/>
          <w:sz w:val="21"/>
        </w:rPr>
        <w:t> </w:t>
      </w:r>
      <w:r>
        <w:rPr>
          <w:color w:val="231F20"/>
          <w:w w:val="105"/>
          <w:sz w:val="21"/>
        </w:rPr>
        <w:t>doméstica.</w:t>
      </w:r>
    </w:p>
    <w:p>
      <w:pPr>
        <w:pStyle w:val="ListParagraph"/>
        <w:numPr>
          <w:ilvl w:val="0"/>
          <w:numId w:val="10"/>
        </w:numPr>
        <w:tabs>
          <w:tab w:pos="2906" w:val="left" w:leader="none"/>
        </w:tabs>
        <w:spacing w:line="261" w:lineRule="auto" w:before="171" w:after="0"/>
        <w:ind w:left="2905" w:right="1796" w:hanging="360"/>
        <w:jc w:val="both"/>
        <w:rPr>
          <w:sz w:val="21"/>
        </w:rPr>
      </w:pPr>
      <w:r>
        <w:rPr>
          <w:color w:val="231F20"/>
          <w:sz w:val="21"/>
        </w:rPr>
        <w:t>Una vez que las necesidades básicas se encuentran</w:t>
      </w:r>
      <w:r>
        <w:rPr>
          <w:color w:val="231F20"/>
          <w:spacing w:val="-34"/>
          <w:sz w:val="21"/>
        </w:rPr>
        <w:t> </w:t>
      </w:r>
      <w:r>
        <w:rPr>
          <w:color w:val="231F20"/>
          <w:sz w:val="21"/>
        </w:rPr>
        <w:t>cubiertas se puede invertir en la  </w:t>
      </w:r>
      <w:r>
        <w:rPr>
          <w:color w:val="231F20"/>
          <w:spacing w:val="15"/>
          <w:sz w:val="21"/>
        </w:rPr>
        <w:t> </w:t>
      </w:r>
      <w:r>
        <w:rPr>
          <w:color w:val="231F20"/>
          <w:sz w:val="21"/>
        </w:rPr>
        <w:t>producción.</w:t>
      </w:r>
    </w:p>
    <w:p>
      <w:pPr>
        <w:pStyle w:val="ListParagraph"/>
        <w:numPr>
          <w:ilvl w:val="0"/>
          <w:numId w:val="10"/>
        </w:numPr>
        <w:tabs>
          <w:tab w:pos="2906" w:val="left" w:leader="none"/>
        </w:tabs>
        <w:spacing w:line="261" w:lineRule="auto" w:before="171" w:after="0"/>
        <w:ind w:left="2905" w:right="1789" w:hanging="360"/>
        <w:jc w:val="both"/>
        <w:rPr>
          <w:sz w:val="21"/>
        </w:rPr>
      </w:pPr>
      <w:r>
        <w:rPr>
          <w:color w:val="231F20"/>
          <w:spacing w:val="-4"/>
          <w:w w:val="105"/>
          <w:sz w:val="21"/>
        </w:rPr>
        <w:t>Porque </w:t>
      </w:r>
      <w:r>
        <w:rPr>
          <w:color w:val="231F20"/>
          <w:w w:val="105"/>
          <w:sz w:val="21"/>
        </w:rPr>
        <w:t>de acuerdo a la teoría de la migración los</w:t>
      </w:r>
      <w:r>
        <w:rPr>
          <w:color w:val="231F20"/>
          <w:spacing w:val="-24"/>
          <w:w w:val="105"/>
          <w:sz w:val="21"/>
        </w:rPr>
        <w:t> </w:t>
      </w:r>
      <w:r>
        <w:rPr>
          <w:color w:val="231F20"/>
          <w:w w:val="105"/>
          <w:sz w:val="21"/>
        </w:rPr>
        <w:t>migrantes se van con objetivos claramente determinados al momento de</w:t>
      </w:r>
      <w:r>
        <w:rPr>
          <w:color w:val="231F20"/>
          <w:spacing w:val="-12"/>
          <w:w w:val="105"/>
          <w:sz w:val="21"/>
        </w:rPr>
        <w:t> </w:t>
      </w:r>
      <w:r>
        <w:rPr>
          <w:color w:val="231F20"/>
          <w:w w:val="105"/>
          <w:sz w:val="21"/>
        </w:rPr>
        <w:t>migrar,</w:t>
      </w:r>
      <w:r>
        <w:rPr>
          <w:color w:val="231F20"/>
          <w:spacing w:val="-18"/>
          <w:w w:val="105"/>
          <w:sz w:val="21"/>
        </w:rPr>
        <w:t> </w:t>
      </w:r>
      <w:r>
        <w:rPr>
          <w:color w:val="231F20"/>
          <w:w w:val="105"/>
          <w:sz w:val="21"/>
        </w:rPr>
        <w:t>éstos</w:t>
      </w:r>
      <w:r>
        <w:rPr>
          <w:color w:val="231F20"/>
          <w:spacing w:val="-12"/>
          <w:w w:val="105"/>
          <w:sz w:val="21"/>
        </w:rPr>
        <w:t> </w:t>
      </w:r>
      <w:r>
        <w:rPr>
          <w:color w:val="231F20"/>
          <w:w w:val="105"/>
          <w:sz w:val="21"/>
        </w:rPr>
        <w:t>con</w:t>
      </w:r>
      <w:r>
        <w:rPr>
          <w:color w:val="231F20"/>
          <w:spacing w:val="-12"/>
          <w:w w:val="105"/>
          <w:sz w:val="21"/>
        </w:rPr>
        <w:t> </w:t>
      </w:r>
      <w:r>
        <w:rPr>
          <w:color w:val="231F20"/>
          <w:w w:val="105"/>
          <w:sz w:val="21"/>
        </w:rPr>
        <w:t>el</w:t>
      </w:r>
      <w:r>
        <w:rPr>
          <w:color w:val="231F20"/>
          <w:spacing w:val="-12"/>
          <w:w w:val="105"/>
          <w:sz w:val="21"/>
        </w:rPr>
        <w:t> </w:t>
      </w:r>
      <w:r>
        <w:rPr>
          <w:color w:val="231F20"/>
          <w:w w:val="105"/>
          <w:sz w:val="21"/>
        </w:rPr>
        <w:t>fin</w:t>
      </w:r>
      <w:r>
        <w:rPr>
          <w:color w:val="231F20"/>
          <w:spacing w:val="-12"/>
          <w:w w:val="105"/>
          <w:sz w:val="21"/>
        </w:rPr>
        <w:t> </w:t>
      </w:r>
      <w:r>
        <w:rPr>
          <w:color w:val="231F20"/>
          <w:w w:val="105"/>
          <w:sz w:val="21"/>
        </w:rPr>
        <w:t>de</w:t>
      </w:r>
      <w:r>
        <w:rPr>
          <w:color w:val="231F20"/>
          <w:spacing w:val="-12"/>
          <w:w w:val="105"/>
          <w:sz w:val="21"/>
        </w:rPr>
        <w:t> </w:t>
      </w:r>
      <w:r>
        <w:rPr>
          <w:color w:val="231F20"/>
          <w:w w:val="105"/>
          <w:sz w:val="21"/>
        </w:rPr>
        <w:t>que</w:t>
      </w:r>
      <w:r>
        <w:rPr>
          <w:color w:val="231F20"/>
          <w:spacing w:val="-12"/>
          <w:w w:val="105"/>
          <w:sz w:val="21"/>
        </w:rPr>
        <w:t> </w:t>
      </w:r>
      <w:r>
        <w:rPr>
          <w:color w:val="231F20"/>
          <w:w w:val="105"/>
          <w:sz w:val="21"/>
        </w:rPr>
        <w:t>el</w:t>
      </w:r>
      <w:r>
        <w:rPr>
          <w:color w:val="231F20"/>
          <w:spacing w:val="-12"/>
          <w:w w:val="105"/>
          <w:sz w:val="21"/>
        </w:rPr>
        <w:t> </w:t>
      </w:r>
      <w:r>
        <w:rPr>
          <w:color w:val="231F20"/>
          <w:w w:val="105"/>
          <w:sz w:val="21"/>
        </w:rPr>
        <w:t>hogar</w:t>
      </w:r>
      <w:r>
        <w:rPr>
          <w:color w:val="231F20"/>
          <w:spacing w:val="-12"/>
          <w:w w:val="105"/>
          <w:sz w:val="21"/>
        </w:rPr>
        <w:t> </w:t>
      </w:r>
      <w:r>
        <w:rPr>
          <w:color w:val="231F20"/>
          <w:w w:val="105"/>
          <w:sz w:val="21"/>
        </w:rPr>
        <w:t>siga</w:t>
      </w:r>
      <w:r>
        <w:rPr>
          <w:color w:val="231F20"/>
          <w:spacing w:val="-12"/>
          <w:w w:val="105"/>
          <w:sz w:val="21"/>
        </w:rPr>
        <w:t> </w:t>
      </w:r>
      <w:r>
        <w:rPr>
          <w:color w:val="231F20"/>
          <w:w w:val="105"/>
          <w:sz w:val="21"/>
        </w:rPr>
        <w:t>produciendo.</w:t>
      </w:r>
    </w:p>
    <w:p>
      <w:pPr>
        <w:pStyle w:val="ListParagraph"/>
        <w:numPr>
          <w:ilvl w:val="0"/>
          <w:numId w:val="10"/>
        </w:numPr>
        <w:tabs>
          <w:tab w:pos="2906" w:val="left" w:leader="none"/>
        </w:tabs>
        <w:spacing w:line="261" w:lineRule="auto" w:before="171" w:after="0"/>
        <w:ind w:left="2905" w:right="1796" w:hanging="360"/>
        <w:jc w:val="both"/>
        <w:rPr>
          <w:sz w:val="21"/>
        </w:rPr>
      </w:pPr>
      <w:r>
        <w:rPr>
          <w:color w:val="231F20"/>
          <w:w w:val="105"/>
          <w:sz w:val="21"/>
        </w:rPr>
        <w:t>Las</w:t>
      </w:r>
      <w:r>
        <w:rPr>
          <w:color w:val="231F20"/>
          <w:spacing w:val="-10"/>
          <w:w w:val="105"/>
          <w:sz w:val="21"/>
        </w:rPr>
        <w:t> </w:t>
      </w:r>
      <w:r>
        <w:rPr>
          <w:color w:val="231F20"/>
          <w:w w:val="105"/>
          <w:sz w:val="21"/>
        </w:rPr>
        <w:t>remesas</w:t>
      </w:r>
      <w:r>
        <w:rPr>
          <w:color w:val="231F20"/>
          <w:spacing w:val="-10"/>
          <w:w w:val="105"/>
          <w:sz w:val="21"/>
        </w:rPr>
        <w:t> </w:t>
      </w:r>
      <w:r>
        <w:rPr>
          <w:color w:val="231F20"/>
          <w:w w:val="105"/>
          <w:sz w:val="21"/>
        </w:rPr>
        <w:t>se</w:t>
      </w:r>
      <w:r>
        <w:rPr>
          <w:color w:val="231F20"/>
          <w:spacing w:val="-10"/>
          <w:w w:val="105"/>
          <w:sz w:val="21"/>
        </w:rPr>
        <w:t> </w:t>
      </w:r>
      <w:r>
        <w:rPr>
          <w:color w:val="231F20"/>
          <w:w w:val="105"/>
          <w:sz w:val="21"/>
        </w:rPr>
        <w:t>convierten</w:t>
      </w:r>
      <w:r>
        <w:rPr>
          <w:color w:val="231F20"/>
          <w:spacing w:val="-10"/>
          <w:w w:val="105"/>
          <w:sz w:val="21"/>
        </w:rPr>
        <w:t> </w:t>
      </w:r>
      <w:r>
        <w:rPr>
          <w:color w:val="231F20"/>
          <w:w w:val="105"/>
          <w:sz w:val="21"/>
        </w:rPr>
        <w:t>como</w:t>
      </w:r>
      <w:r>
        <w:rPr>
          <w:color w:val="231F20"/>
          <w:spacing w:val="-10"/>
          <w:w w:val="105"/>
          <w:sz w:val="21"/>
        </w:rPr>
        <w:t> </w:t>
      </w:r>
      <w:r>
        <w:rPr>
          <w:color w:val="231F20"/>
          <w:w w:val="105"/>
          <w:sz w:val="21"/>
        </w:rPr>
        <w:t>cualquier</w:t>
      </w:r>
      <w:r>
        <w:rPr>
          <w:color w:val="231F20"/>
          <w:spacing w:val="-10"/>
          <w:w w:val="105"/>
          <w:sz w:val="21"/>
        </w:rPr>
        <w:t> </w:t>
      </w:r>
      <w:r>
        <w:rPr>
          <w:color w:val="231F20"/>
          <w:w w:val="105"/>
          <w:sz w:val="21"/>
        </w:rPr>
        <w:t>otro</w:t>
      </w:r>
      <w:r>
        <w:rPr>
          <w:color w:val="231F20"/>
          <w:spacing w:val="-10"/>
          <w:w w:val="105"/>
          <w:sz w:val="21"/>
        </w:rPr>
        <w:t> </w:t>
      </w:r>
      <w:r>
        <w:rPr>
          <w:color w:val="231F20"/>
          <w:w w:val="105"/>
          <w:sz w:val="21"/>
        </w:rPr>
        <w:t>ingreso</w:t>
      </w:r>
      <w:r>
        <w:rPr>
          <w:color w:val="231F20"/>
          <w:spacing w:val="-10"/>
          <w:w w:val="105"/>
          <w:sz w:val="21"/>
        </w:rPr>
        <w:t> </w:t>
      </w:r>
      <w:r>
        <w:rPr>
          <w:color w:val="231F20"/>
          <w:w w:val="105"/>
          <w:sz w:val="21"/>
        </w:rPr>
        <w:t>y</w:t>
      </w:r>
      <w:r>
        <w:rPr>
          <w:color w:val="231F20"/>
          <w:spacing w:val="-10"/>
          <w:w w:val="105"/>
          <w:sz w:val="21"/>
        </w:rPr>
        <w:t> </w:t>
      </w:r>
      <w:r>
        <w:rPr>
          <w:color w:val="231F20"/>
          <w:w w:val="105"/>
          <w:sz w:val="21"/>
        </w:rPr>
        <w:t>se pueden</w:t>
      </w:r>
      <w:r>
        <w:rPr>
          <w:color w:val="231F20"/>
          <w:spacing w:val="-12"/>
          <w:w w:val="105"/>
          <w:sz w:val="21"/>
        </w:rPr>
        <w:t> </w:t>
      </w:r>
      <w:r>
        <w:rPr>
          <w:color w:val="231F20"/>
          <w:w w:val="105"/>
          <w:sz w:val="21"/>
        </w:rPr>
        <w:t>utilizar</w:t>
      </w:r>
      <w:r>
        <w:rPr>
          <w:color w:val="231F20"/>
          <w:spacing w:val="-12"/>
          <w:w w:val="105"/>
          <w:sz w:val="21"/>
        </w:rPr>
        <w:t> </w:t>
      </w:r>
      <w:r>
        <w:rPr>
          <w:color w:val="231F20"/>
          <w:w w:val="105"/>
          <w:sz w:val="21"/>
        </w:rPr>
        <w:t>de</w:t>
      </w:r>
      <w:r>
        <w:rPr>
          <w:color w:val="231F20"/>
          <w:spacing w:val="-12"/>
          <w:w w:val="105"/>
          <w:sz w:val="21"/>
        </w:rPr>
        <w:t> </w:t>
      </w:r>
      <w:r>
        <w:rPr>
          <w:color w:val="231F20"/>
          <w:w w:val="105"/>
          <w:sz w:val="21"/>
        </w:rPr>
        <w:t>manera</w:t>
      </w:r>
      <w:r>
        <w:rPr>
          <w:color w:val="231F20"/>
          <w:spacing w:val="-12"/>
          <w:w w:val="105"/>
          <w:sz w:val="21"/>
        </w:rPr>
        <w:t> </w:t>
      </w:r>
      <w:r>
        <w:rPr>
          <w:color w:val="231F20"/>
          <w:w w:val="105"/>
          <w:sz w:val="21"/>
        </w:rPr>
        <w:t>indistinta.</w:t>
      </w:r>
    </w:p>
    <w:p>
      <w:pPr>
        <w:pStyle w:val="ListParagraph"/>
        <w:numPr>
          <w:ilvl w:val="0"/>
          <w:numId w:val="10"/>
        </w:numPr>
        <w:tabs>
          <w:tab w:pos="2906" w:val="left" w:leader="none"/>
        </w:tabs>
        <w:spacing w:line="261" w:lineRule="auto" w:before="171" w:after="0"/>
        <w:ind w:left="2905" w:right="1791" w:hanging="360"/>
        <w:jc w:val="both"/>
        <w:rPr>
          <w:sz w:val="21"/>
        </w:rPr>
      </w:pPr>
      <w:r>
        <w:rPr>
          <w:color w:val="231F20"/>
          <w:w w:val="105"/>
          <w:sz w:val="21"/>
        </w:rPr>
        <w:t>Las </w:t>
      </w:r>
      <w:r>
        <w:rPr>
          <w:color w:val="231F20"/>
          <w:spacing w:val="-3"/>
          <w:w w:val="105"/>
          <w:sz w:val="21"/>
        </w:rPr>
        <w:t>remesas </w:t>
      </w:r>
      <w:r>
        <w:rPr>
          <w:color w:val="231F20"/>
          <w:w w:val="105"/>
          <w:sz w:val="21"/>
        </w:rPr>
        <w:t>al ser </w:t>
      </w:r>
      <w:r>
        <w:rPr>
          <w:color w:val="231F20"/>
          <w:spacing w:val="-3"/>
          <w:w w:val="105"/>
          <w:sz w:val="21"/>
        </w:rPr>
        <w:t>otro capital reducen </w:t>
      </w:r>
      <w:r>
        <w:rPr>
          <w:color w:val="231F20"/>
          <w:w w:val="105"/>
          <w:sz w:val="21"/>
        </w:rPr>
        <w:t>la </w:t>
      </w:r>
      <w:r>
        <w:rPr>
          <w:color w:val="231F20"/>
          <w:spacing w:val="-3"/>
          <w:w w:val="105"/>
          <w:sz w:val="21"/>
        </w:rPr>
        <w:t>inseguridad </w:t>
      </w:r>
      <w:r>
        <w:rPr>
          <w:color w:val="231F20"/>
          <w:w w:val="105"/>
          <w:sz w:val="21"/>
        </w:rPr>
        <w:t>en </w:t>
      </w:r>
      <w:r>
        <w:rPr>
          <w:color w:val="231F20"/>
          <w:spacing w:val="-3"/>
          <w:w w:val="105"/>
          <w:sz w:val="21"/>
        </w:rPr>
        <w:t>la producción</w:t>
      </w:r>
      <w:r>
        <w:rPr>
          <w:color w:val="231F20"/>
          <w:spacing w:val="-18"/>
          <w:w w:val="105"/>
          <w:sz w:val="21"/>
        </w:rPr>
        <w:t> </w:t>
      </w:r>
      <w:r>
        <w:rPr>
          <w:color w:val="231F20"/>
          <w:spacing w:val="-3"/>
          <w:w w:val="105"/>
          <w:sz w:val="21"/>
        </w:rPr>
        <w:t>agrícola,</w:t>
      </w:r>
      <w:r>
        <w:rPr>
          <w:color w:val="231F20"/>
          <w:spacing w:val="-26"/>
          <w:w w:val="105"/>
          <w:sz w:val="21"/>
        </w:rPr>
        <w:t> </w:t>
      </w:r>
      <w:r>
        <w:rPr>
          <w:color w:val="231F20"/>
          <w:w w:val="105"/>
          <w:sz w:val="21"/>
        </w:rPr>
        <w:t>es</w:t>
      </w:r>
      <w:r>
        <w:rPr>
          <w:color w:val="231F20"/>
          <w:spacing w:val="-18"/>
          <w:w w:val="105"/>
          <w:sz w:val="21"/>
        </w:rPr>
        <w:t> </w:t>
      </w:r>
      <w:r>
        <w:rPr>
          <w:color w:val="231F20"/>
          <w:spacing w:val="-3"/>
          <w:w w:val="105"/>
          <w:sz w:val="21"/>
        </w:rPr>
        <w:t>decir</w:t>
      </w:r>
      <w:r>
        <w:rPr>
          <w:color w:val="231F20"/>
          <w:spacing w:val="-18"/>
          <w:w w:val="105"/>
          <w:sz w:val="21"/>
        </w:rPr>
        <w:t> </w:t>
      </w:r>
      <w:r>
        <w:rPr>
          <w:color w:val="231F20"/>
          <w:spacing w:val="-3"/>
          <w:w w:val="105"/>
          <w:sz w:val="21"/>
        </w:rPr>
        <w:t>brindan</w:t>
      </w:r>
      <w:r>
        <w:rPr>
          <w:color w:val="231F20"/>
          <w:spacing w:val="-18"/>
          <w:w w:val="105"/>
          <w:sz w:val="21"/>
        </w:rPr>
        <w:t> </w:t>
      </w:r>
      <w:r>
        <w:rPr>
          <w:color w:val="231F20"/>
          <w:spacing w:val="-3"/>
          <w:w w:val="105"/>
          <w:sz w:val="21"/>
        </w:rPr>
        <w:t>seguridad</w:t>
      </w:r>
      <w:r>
        <w:rPr>
          <w:color w:val="231F20"/>
          <w:spacing w:val="-18"/>
          <w:w w:val="105"/>
          <w:sz w:val="21"/>
        </w:rPr>
        <w:t> </w:t>
      </w:r>
      <w:r>
        <w:rPr>
          <w:color w:val="231F20"/>
          <w:spacing w:val="-3"/>
          <w:w w:val="105"/>
          <w:sz w:val="21"/>
        </w:rPr>
        <w:t>ante</w:t>
      </w:r>
      <w:r>
        <w:rPr>
          <w:color w:val="231F20"/>
          <w:spacing w:val="-18"/>
          <w:w w:val="105"/>
          <w:sz w:val="21"/>
        </w:rPr>
        <w:t> </w:t>
      </w:r>
      <w:r>
        <w:rPr>
          <w:color w:val="231F20"/>
          <w:w w:val="105"/>
          <w:sz w:val="21"/>
        </w:rPr>
        <w:t>un</w:t>
      </w:r>
      <w:r>
        <w:rPr>
          <w:color w:val="231F20"/>
          <w:spacing w:val="-18"/>
          <w:w w:val="105"/>
          <w:sz w:val="21"/>
        </w:rPr>
        <w:t> </w:t>
      </w:r>
      <w:r>
        <w:rPr>
          <w:color w:val="231F20"/>
          <w:spacing w:val="-3"/>
          <w:w w:val="105"/>
          <w:sz w:val="21"/>
        </w:rPr>
        <w:t>even- </w:t>
      </w:r>
      <w:r>
        <w:rPr>
          <w:color w:val="231F20"/>
          <w:w w:val="105"/>
          <w:sz w:val="21"/>
        </w:rPr>
        <w:t>to</w:t>
      </w:r>
      <w:r>
        <w:rPr>
          <w:color w:val="231F20"/>
          <w:spacing w:val="-24"/>
          <w:w w:val="105"/>
          <w:sz w:val="21"/>
        </w:rPr>
        <w:t> </w:t>
      </w:r>
      <w:r>
        <w:rPr>
          <w:color w:val="231F20"/>
          <w:spacing w:val="-3"/>
          <w:w w:val="105"/>
          <w:sz w:val="21"/>
        </w:rPr>
        <w:t>inesperado</w:t>
      </w:r>
      <w:r>
        <w:rPr>
          <w:color w:val="231F20"/>
          <w:spacing w:val="-24"/>
          <w:w w:val="105"/>
          <w:sz w:val="21"/>
        </w:rPr>
        <w:t> </w:t>
      </w:r>
      <w:r>
        <w:rPr>
          <w:color w:val="231F20"/>
          <w:w w:val="105"/>
          <w:sz w:val="21"/>
        </w:rPr>
        <w:t>en</w:t>
      </w:r>
      <w:r>
        <w:rPr>
          <w:color w:val="231F20"/>
          <w:spacing w:val="-24"/>
          <w:w w:val="105"/>
          <w:sz w:val="21"/>
        </w:rPr>
        <w:t> </w:t>
      </w:r>
      <w:r>
        <w:rPr>
          <w:color w:val="231F20"/>
          <w:w w:val="105"/>
          <w:sz w:val="21"/>
        </w:rPr>
        <w:t>el</w:t>
      </w:r>
      <w:r>
        <w:rPr>
          <w:color w:val="231F20"/>
          <w:spacing w:val="-24"/>
          <w:w w:val="105"/>
          <w:sz w:val="21"/>
        </w:rPr>
        <w:t> </w:t>
      </w:r>
      <w:r>
        <w:rPr>
          <w:color w:val="231F20"/>
          <w:spacing w:val="-3"/>
          <w:w w:val="105"/>
          <w:sz w:val="21"/>
        </w:rPr>
        <w:t>resultado</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la</w:t>
      </w:r>
      <w:r>
        <w:rPr>
          <w:color w:val="231F20"/>
          <w:spacing w:val="-24"/>
          <w:w w:val="105"/>
          <w:sz w:val="21"/>
        </w:rPr>
        <w:t> </w:t>
      </w:r>
      <w:r>
        <w:rPr>
          <w:color w:val="231F20"/>
          <w:spacing w:val="-3"/>
          <w:w w:val="105"/>
          <w:sz w:val="21"/>
        </w:rPr>
        <w:t>producción</w:t>
      </w:r>
      <w:r>
        <w:rPr>
          <w:color w:val="231F20"/>
          <w:spacing w:val="-24"/>
          <w:w w:val="105"/>
          <w:sz w:val="21"/>
        </w:rPr>
        <w:t> </w:t>
      </w:r>
      <w:r>
        <w:rPr>
          <w:color w:val="231F20"/>
          <w:spacing w:val="-3"/>
          <w:w w:val="105"/>
          <w:sz w:val="21"/>
        </w:rPr>
        <w:t>agrícola</w:t>
      </w:r>
      <w:r>
        <w:rPr>
          <w:color w:val="231F20"/>
          <w:spacing w:val="-24"/>
          <w:w w:val="105"/>
          <w:sz w:val="21"/>
        </w:rPr>
        <w:t> </w:t>
      </w:r>
      <w:r>
        <w:rPr>
          <w:color w:val="231F20"/>
          <w:spacing w:val="-3"/>
          <w:w w:val="105"/>
          <w:sz w:val="21"/>
        </w:rPr>
        <w:t>(maíz).</w:t>
      </w:r>
    </w:p>
    <w:p>
      <w:pPr>
        <w:pStyle w:val="BodyText"/>
        <w:spacing w:line="261" w:lineRule="auto" w:before="171"/>
        <w:ind w:left="1695" w:right="1790"/>
        <w:jc w:val="both"/>
      </w:pPr>
      <w:r>
        <w:rPr>
          <w:color w:val="231F20"/>
          <w:w w:val="105"/>
        </w:rPr>
        <w:t>Los</w:t>
      </w:r>
      <w:r>
        <w:rPr>
          <w:color w:val="231F20"/>
          <w:spacing w:val="-24"/>
          <w:w w:val="105"/>
        </w:rPr>
        <w:t> </w:t>
      </w:r>
      <w:r>
        <w:rPr>
          <w:color w:val="231F20"/>
          <w:w w:val="105"/>
        </w:rPr>
        <w:t>trabajos</w:t>
      </w:r>
      <w:r>
        <w:rPr>
          <w:color w:val="231F20"/>
          <w:spacing w:val="-24"/>
          <w:w w:val="105"/>
        </w:rPr>
        <w:t> </w:t>
      </w:r>
      <w:r>
        <w:rPr>
          <w:color w:val="231F20"/>
          <w:w w:val="105"/>
        </w:rPr>
        <w:t>pioneros</w:t>
      </w:r>
      <w:r>
        <w:rPr>
          <w:color w:val="231F20"/>
          <w:spacing w:val="-24"/>
          <w:w w:val="105"/>
        </w:rPr>
        <w:t> </w:t>
      </w:r>
      <w:r>
        <w:rPr>
          <w:color w:val="231F20"/>
          <w:w w:val="105"/>
        </w:rPr>
        <w:t>de</w:t>
      </w:r>
      <w:r>
        <w:rPr>
          <w:color w:val="231F20"/>
          <w:spacing w:val="-27"/>
          <w:w w:val="105"/>
        </w:rPr>
        <w:t> </w:t>
      </w:r>
      <w:r>
        <w:rPr>
          <w:color w:val="231F20"/>
          <w:w w:val="105"/>
        </w:rPr>
        <w:t>Adelman,</w:t>
      </w:r>
      <w:r>
        <w:rPr>
          <w:color w:val="231F20"/>
          <w:spacing w:val="-33"/>
          <w:w w:val="105"/>
        </w:rPr>
        <w:t> </w:t>
      </w:r>
      <w:r>
        <w:rPr>
          <w:color w:val="231F20"/>
          <w:spacing w:val="-4"/>
          <w:w w:val="105"/>
        </w:rPr>
        <w:t>Taylor</w:t>
      </w:r>
      <w:r>
        <w:rPr>
          <w:color w:val="231F20"/>
          <w:spacing w:val="-24"/>
          <w:w w:val="105"/>
        </w:rPr>
        <w:t> </w:t>
      </w:r>
      <w:r>
        <w:rPr>
          <w:color w:val="231F20"/>
          <w:w w:val="105"/>
        </w:rPr>
        <w:t>y</w:t>
      </w:r>
      <w:r>
        <w:rPr>
          <w:color w:val="231F20"/>
          <w:spacing w:val="-27"/>
          <w:w w:val="105"/>
        </w:rPr>
        <w:t> </w:t>
      </w:r>
      <w:r>
        <w:rPr>
          <w:color w:val="231F20"/>
          <w:w w:val="105"/>
        </w:rPr>
        <w:t>Vogel</w:t>
      </w:r>
      <w:r>
        <w:rPr>
          <w:color w:val="231F20"/>
          <w:spacing w:val="-24"/>
          <w:w w:val="105"/>
        </w:rPr>
        <w:t> </w:t>
      </w:r>
      <w:r>
        <w:rPr>
          <w:color w:val="231F20"/>
          <w:w w:val="105"/>
        </w:rPr>
        <w:t>(1988:</w:t>
      </w:r>
      <w:r>
        <w:rPr>
          <w:color w:val="231F20"/>
          <w:spacing w:val="-24"/>
          <w:w w:val="105"/>
        </w:rPr>
        <w:t> </w:t>
      </w:r>
      <w:r>
        <w:rPr>
          <w:color w:val="231F20"/>
          <w:w w:val="105"/>
        </w:rPr>
        <w:t>5-23)</w:t>
      </w:r>
      <w:r>
        <w:rPr>
          <w:color w:val="231F20"/>
          <w:spacing w:val="-24"/>
          <w:w w:val="105"/>
        </w:rPr>
        <w:t> </w:t>
      </w:r>
      <w:r>
        <w:rPr>
          <w:color w:val="231F20"/>
          <w:w w:val="105"/>
        </w:rPr>
        <w:t>han</w:t>
      </w:r>
      <w:r>
        <w:rPr>
          <w:color w:val="231F20"/>
          <w:spacing w:val="-24"/>
          <w:w w:val="105"/>
        </w:rPr>
        <w:t> </w:t>
      </w:r>
      <w:r>
        <w:rPr>
          <w:color w:val="231F20"/>
          <w:w w:val="105"/>
        </w:rPr>
        <w:t>encon- trado que las remesas impulsan los niveles de producción local: directa e indirectamente. </w:t>
      </w:r>
      <w:r>
        <w:rPr>
          <w:color w:val="231F20"/>
          <w:spacing w:val="-6"/>
          <w:w w:val="105"/>
        </w:rPr>
        <w:t>Por </w:t>
      </w:r>
      <w:r>
        <w:rPr>
          <w:color w:val="231F20"/>
          <w:w w:val="105"/>
        </w:rPr>
        <w:t>su parte, los indirectos se presentan mediante el gasto efectivo de las remesas y la consiguiente generación de diversos efectos multiplicadores de consumo que motivan la dinámica de todos los</w:t>
      </w:r>
      <w:r>
        <w:rPr>
          <w:color w:val="231F20"/>
          <w:spacing w:val="-7"/>
          <w:w w:val="105"/>
        </w:rPr>
        <w:t> </w:t>
      </w:r>
      <w:r>
        <w:rPr>
          <w:color w:val="231F20"/>
          <w:w w:val="105"/>
        </w:rPr>
        <w:t>sectores</w:t>
      </w:r>
      <w:r>
        <w:rPr>
          <w:color w:val="231F20"/>
          <w:spacing w:val="-7"/>
          <w:w w:val="105"/>
        </w:rPr>
        <w:t> </w:t>
      </w:r>
      <w:r>
        <w:rPr>
          <w:color w:val="231F20"/>
          <w:w w:val="105"/>
        </w:rPr>
        <w:t>económicos</w:t>
      </w:r>
      <w:r>
        <w:rPr>
          <w:color w:val="231F20"/>
          <w:spacing w:val="-7"/>
          <w:w w:val="105"/>
        </w:rPr>
        <w:t> </w:t>
      </w:r>
      <w:r>
        <w:rPr>
          <w:color w:val="231F20"/>
          <w:w w:val="105"/>
        </w:rPr>
        <w:t>–empleo,</w:t>
      </w:r>
      <w:r>
        <w:rPr>
          <w:color w:val="231F20"/>
          <w:spacing w:val="-12"/>
          <w:w w:val="105"/>
        </w:rPr>
        <w:t> </w:t>
      </w:r>
      <w:r>
        <w:rPr>
          <w:color w:val="231F20"/>
          <w:w w:val="105"/>
        </w:rPr>
        <w:t>ingreso,</w:t>
      </w:r>
      <w:r>
        <w:rPr>
          <w:color w:val="231F20"/>
          <w:spacing w:val="-12"/>
          <w:w w:val="105"/>
        </w:rPr>
        <w:t> </w:t>
      </w:r>
      <w:r>
        <w:rPr>
          <w:color w:val="231F20"/>
          <w:w w:val="105"/>
        </w:rPr>
        <w:t>inversión-</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localidad.</w:t>
      </w:r>
      <w:r>
        <w:rPr>
          <w:color w:val="231F20"/>
          <w:spacing w:val="-12"/>
          <w:w w:val="105"/>
        </w:rPr>
        <w:t> </w:t>
      </w:r>
      <w:r>
        <w:rPr>
          <w:color w:val="231F20"/>
          <w:w w:val="105"/>
        </w:rPr>
        <w:t>De acuerdo</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trabajos</w:t>
      </w:r>
      <w:r>
        <w:rPr>
          <w:color w:val="231F20"/>
          <w:spacing w:val="-16"/>
          <w:w w:val="105"/>
        </w:rPr>
        <w:t> </w:t>
      </w:r>
      <w:r>
        <w:rPr>
          <w:color w:val="231F20"/>
          <w:w w:val="105"/>
        </w:rPr>
        <w:t>de</w:t>
      </w:r>
      <w:r>
        <w:rPr>
          <w:color w:val="231F20"/>
          <w:spacing w:val="-16"/>
          <w:w w:val="105"/>
        </w:rPr>
        <w:t> </w:t>
      </w:r>
      <w:r>
        <w:rPr>
          <w:color w:val="231F20"/>
          <w:w w:val="105"/>
        </w:rPr>
        <w:t>Rozelle,</w:t>
      </w:r>
      <w:r>
        <w:rPr>
          <w:color w:val="231F20"/>
          <w:spacing w:val="-24"/>
          <w:w w:val="105"/>
        </w:rPr>
        <w:t> </w:t>
      </w:r>
      <w:r>
        <w:rPr>
          <w:color w:val="231F20"/>
          <w:spacing w:val="-4"/>
          <w:w w:val="105"/>
        </w:rPr>
        <w:t>Taylor</w:t>
      </w:r>
      <w:r>
        <w:rPr>
          <w:color w:val="231F20"/>
          <w:spacing w:val="-16"/>
          <w:w w:val="105"/>
        </w:rPr>
        <w:t> </w:t>
      </w:r>
      <w:r>
        <w:rPr>
          <w:color w:val="231F20"/>
          <w:w w:val="105"/>
        </w:rPr>
        <w:t>and</w:t>
      </w:r>
      <w:r>
        <w:rPr>
          <w:color w:val="231F20"/>
          <w:spacing w:val="-16"/>
          <w:w w:val="105"/>
        </w:rPr>
        <w:t> </w:t>
      </w:r>
      <w:r>
        <w:rPr>
          <w:color w:val="231F20"/>
          <w:w w:val="105"/>
        </w:rPr>
        <w:t>Brauw</w:t>
      </w:r>
      <w:r>
        <w:rPr>
          <w:color w:val="231F20"/>
          <w:spacing w:val="-16"/>
          <w:w w:val="105"/>
        </w:rPr>
        <w:t> </w:t>
      </w:r>
      <w:r>
        <w:rPr>
          <w:color w:val="231F20"/>
          <w:w w:val="105"/>
        </w:rPr>
        <w:t>(1999:</w:t>
      </w:r>
      <w:r>
        <w:rPr>
          <w:color w:val="231F20"/>
          <w:spacing w:val="-16"/>
          <w:w w:val="105"/>
        </w:rPr>
        <w:t> </w:t>
      </w:r>
      <w:r>
        <w:rPr>
          <w:color w:val="231F20"/>
          <w:w w:val="105"/>
        </w:rPr>
        <w:t>287)</w:t>
      </w:r>
      <w:r>
        <w:rPr>
          <w:color w:val="231F20"/>
          <w:spacing w:val="-16"/>
          <w:w w:val="105"/>
        </w:rPr>
        <w:t> </w:t>
      </w:r>
      <w:r>
        <w:rPr>
          <w:color w:val="231F20"/>
          <w:w w:val="105"/>
        </w:rPr>
        <w:t>y</w:t>
      </w:r>
      <w:r>
        <w:rPr>
          <w:color w:val="231F20"/>
          <w:spacing w:val="-16"/>
          <w:w w:val="105"/>
        </w:rPr>
        <w:t> </w:t>
      </w:r>
      <w:r>
        <w:rPr>
          <w:color w:val="231F20"/>
          <w:w w:val="105"/>
        </w:rPr>
        <w:t>Brauw, </w:t>
      </w:r>
      <w:r>
        <w:rPr>
          <w:color w:val="231F20"/>
          <w:spacing w:val="-4"/>
          <w:w w:val="105"/>
        </w:rPr>
        <w:t>Taylor</w:t>
      </w:r>
      <w:r>
        <w:rPr>
          <w:color w:val="231F20"/>
          <w:spacing w:val="-15"/>
          <w:w w:val="105"/>
        </w:rPr>
        <w:t> </w:t>
      </w:r>
      <w:r>
        <w:rPr>
          <w:color w:val="231F20"/>
          <w:w w:val="105"/>
        </w:rPr>
        <w:t>and</w:t>
      </w:r>
      <w:r>
        <w:rPr>
          <w:color w:val="231F20"/>
          <w:spacing w:val="-15"/>
          <w:w w:val="105"/>
        </w:rPr>
        <w:t> </w:t>
      </w:r>
      <w:r>
        <w:rPr>
          <w:color w:val="231F20"/>
          <w:w w:val="105"/>
        </w:rPr>
        <w:t>Rozelle</w:t>
      </w:r>
      <w:r>
        <w:rPr>
          <w:color w:val="231F20"/>
          <w:spacing w:val="-15"/>
          <w:w w:val="105"/>
        </w:rPr>
        <w:t> </w:t>
      </w:r>
      <w:r>
        <w:rPr>
          <w:color w:val="231F20"/>
          <w:w w:val="105"/>
        </w:rPr>
        <w:t>(2001)</w:t>
      </w:r>
      <w:r>
        <w:rPr>
          <w:color w:val="231F20"/>
          <w:spacing w:val="-15"/>
          <w:w w:val="105"/>
        </w:rPr>
        <w:t> </w:t>
      </w:r>
      <w:r>
        <w:rPr>
          <w:color w:val="231F20"/>
          <w:w w:val="105"/>
        </w:rPr>
        <w:t>(en</w:t>
      </w:r>
      <w:r>
        <w:rPr>
          <w:color w:val="231F20"/>
          <w:spacing w:val="-15"/>
          <w:w w:val="105"/>
        </w:rPr>
        <w:t> </w:t>
      </w:r>
      <w:r>
        <w:rPr>
          <w:color w:val="231F20"/>
          <w:w w:val="105"/>
        </w:rPr>
        <w:t>Salas,</w:t>
      </w:r>
      <w:r>
        <w:rPr>
          <w:color w:val="231F20"/>
          <w:spacing w:val="-19"/>
          <w:w w:val="105"/>
        </w:rPr>
        <w:t> </w:t>
      </w:r>
      <w:r>
        <w:rPr>
          <w:color w:val="231F20"/>
          <w:w w:val="105"/>
        </w:rPr>
        <w:t>Cruz</w:t>
      </w:r>
      <w:r>
        <w:rPr>
          <w:color w:val="231F20"/>
          <w:spacing w:val="-15"/>
          <w:w w:val="105"/>
        </w:rPr>
        <w:t> </w:t>
      </w:r>
      <w:r>
        <w:rPr>
          <w:color w:val="231F20"/>
          <w:w w:val="105"/>
        </w:rPr>
        <w:t>y</w:t>
      </w:r>
      <w:r>
        <w:rPr>
          <w:color w:val="231F20"/>
          <w:spacing w:val="-15"/>
          <w:w w:val="105"/>
        </w:rPr>
        <w:t> </w:t>
      </w:r>
      <w:r>
        <w:rPr>
          <w:color w:val="231F20"/>
          <w:w w:val="105"/>
        </w:rPr>
        <w:t>Honorio</w:t>
      </w:r>
      <w:r>
        <w:rPr>
          <w:rFonts w:ascii="Arial" w:hAnsi="Arial"/>
          <w:i/>
          <w:color w:val="231F20"/>
          <w:w w:val="105"/>
        </w:rPr>
        <w:t>,</w:t>
      </w:r>
      <w:r>
        <w:rPr>
          <w:rFonts w:ascii="Arial" w:hAnsi="Arial"/>
          <w:i/>
          <w:color w:val="231F20"/>
          <w:spacing w:val="-17"/>
          <w:w w:val="105"/>
        </w:rPr>
        <w:t> </w:t>
      </w:r>
      <w:r>
        <w:rPr>
          <w:color w:val="231F20"/>
          <w:w w:val="105"/>
        </w:rPr>
        <w:t>2012),</w:t>
      </w:r>
      <w:r>
        <w:rPr>
          <w:color w:val="231F20"/>
          <w:spacing w:val="-19"/>
          <w:w w:val="105"/>
        </w:rPr>
        <w:t> </w:t>
      </w:r>
      <w:r>
        <w:rPr>
          <w:color w:val="231F20"/>
          <w:w w:val="105"/>
        </w:rPr>
        <w:t>la</w:t>
      </w:r>
      <w:r>
        <w:rPr>
          <w:color w:val="231F20"/>
          <w:spacing w:val="-15"/>
          <w:w w:val="105"/>
        </w:rPr>
        <w:t> </w:t>
      </w:r>
      <w:r>
        <w:rPr>
          <w:color w:val="231F20"/>
          <w:w w:val="105"/>
        </w:rPr>
        <w:t>pérdida</w:t>
      </w:r>
      <w:r>
        <w:rPr>
          <w:color w:val="231F20"/>
          <w:spacing w:val="-15"/>
          <w:w w:val="105"/>
        </w:rPr>
        <w:t> </w:t>
      </w:r>
      <w:r>
        <w:rPr>
          <w:color w:val="231F20"/>
          <w:w w:val="105"/>
        </w:rPr>
        <w:t>de mano de obra por la migración, genera un efecto negativo y</w:t>
      </w:r>
      <w:r>
        <w:rPr>
          <w:color w:val="231F20"/>
          <w:spacing w:val="-37"/>
          <w:w w:val="105"/>
        </w:rPr>
        <w:t> </w:t>
      </w:r>
      <w:r>
        <w:rPr>
          <w:color w:val="231F20"/>
          <w:w w:val="105"/>
        </w:rPr>
        <w:t>significativo sobre el volumen de producción de cultivos del hogar (maíz), pero las remesas compensan de manera positiva esta reducción,</w:t>
      </w:r>
      <w:r>
        <w:rPr>
          <w:color w:val="231F20"/>
          <w:spacing w:val="20"/>
          <w:w w:val="105"/>
        </w:rPr>
        <w:t> </w:t>
      </w:r>
      <w:r>
        <w:rPr>
          <w:color w:val="231F20"/>
          <w:w w:val="105"/>
        </w:rPr>
        <w:t>contribuyendo</w:t>
      </w:r>
    </w:p>
    <w:p>
      <w:pPr>
        <w:pStyle w:val="BodyText"/>
        <w:rPr>
          <w:sz w:val="20"/>
        </w:rPr>
      </w:pPr>
    </w:p>
    <w:p>
      <w:pPr>
        <w:pStyle w:val="BodyText"/>
        <w:rPr>
          <w:sz w:val="20"/>
        </w:rPr>
      </w:pPr>
    </w:p>
    <w:p>
      <w:pPr>
        <w:pStyle w:val="BodyText"/>
        <w:spacing w:before="9"/>
        <w:rPr>
          <w:sz w:val="19"/>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0640" from="131.551193pt,3.703715pt" to="131.551193pt,39.506114pt" stroked="true" strokeweight=".35pt" strokecolor="#231f20">
            <w10:wrap type="none"/>
          </v:line>
        </w:pict>
      </w:r>
      <w:r>
        <w:rPr/>
        <w:pict>
          <v:line style="position:absolute;mso-position-horizontal-relative:page;mso-position-vertical-relative:paragraph;z-index:-450568" from="15pt,39.505917pt" to="0pt,39.505917pt" stroked="true" strokeweight=".25pt" strokecolor="#000000">
            <w10:wrap type="none"/>
          </v:line>
        </w:pict>
      </w:r>
      <w:r>
        <w:rPr/>
        <w:pict>
          <v:line style="position:absolute;mso-position-horizontal-relative:page;mso-position-vertical-relative:paragraph;z-index:39640" from="508.890015pt,39.505917pt" to="523.890015pt,39.505917pt" stroked="true" strokeweight=".25pt" strokecolor="#000000">
            <w10:wrap type="none"/>
          </v:line>
        </w:pict>
      </w:r>
      <w:r>
        <w:rPr>
          <w:rFonts w:ascii="Arial" w:hAnsi="Arial"/>
          <w:color w:val="414042"/>
          <w:position w:val="-5"/>
          <w:sz w:val="20"/>
        </w:rPr>
        <w:t>332</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50424" from="15pt,715.487793pt" to="0pt,715.487793pt" stroked="true" strokeweight=".25pt" strokecolor="#000000">
            <w10:wrap type="none"/>
          </v:line>
        </w:pict>
      </w:r>
      <w:r>
        <w:rPr/>
        <w:pict>
          <v:line style="position:absolute;mso-position-horizontal-relative:page;mso-position-vertical-relative:page;z-index:39784"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50496" from="405.061005pt,-18.554295pt" to="405.061005pt,16.311579pt" stroked="true" strokeweight=".35pt" strokecolor="#231f20">
            <w10:wrap type="none"/>
          </v:line>
        </w:pict>
      </w:r>
      <w:r>
        <w:rPr/>
        <w:pict>
          <v:line style="position:absolute;mso-position-horizontal-relative:page;mso-position-vertical-relative:paragraph;z-index:39712" from="15pt,-18.554522pt" to="0pt,-18.554522pt" stroked="true" strokeweight=".25pt" strokecolor="#000000">
            <w10:wrap type="none"/>
          </v:line>
        </w:pict>
      </w:r>
      <w:r>
        <w:rPr/>
        <w:pict>
          <v:line style="position:absolute;mso-position-horizontal-relative:page;mso-position-vertical-relative:paragraph;z-index:39736"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333</w:t>
      </w:r>
    </w:p>
    <w:p>
      <w:pPr>
        <w:pStyle w:val="BodyText"/>
        <w:rPr>
          <w:rFonts w:ascii="Arial"/>
          <w:sz w:val="20"/>
        </w:rPr>
      </w:pPr>
    </w:p>
    <w:p>
      <w:pPr>
        <w:pStyle w:val="BodyText"/>
        <w:rPr>
          <w:rFonts w:ascii="Arial"/>
          <w:sz w:val="20"/>
        </w:rPr>
      </w:pPr>
    </w:p>
    <w:p>
      <w:pPr>
        <w:pStyle w:val="BodyText"/>
        <w:spacing w:line="261" w:lineRule="auto" w:before="179"/>
        <w:ind w:left="1837" w:right="1720"/>
        <w:jc w:val="both"/>
      </w:pPr>
      <w:r>
        <w:rPr>
          <w:color w:val="231F20"/>
          <w:w w:val="105"/>
        </w:rPr>
        <w:t>a los ingresos del hogar. </w:t>
      </w:r>
      <w:r>
        <w:rPr>
          <w:color w:val="231F20"/>
          <w:spacing w:val="-6"/>
          <w:w w:val="105"/>
        </w:rPr>
        <w:t>Por </w:t>
      </w:r>
      <w:r>
        <w:rPr>
          <w:color w:val="231F20"/>
          <w:w w:val="105"/>
        </w:rPr>
        <w:t>su parte, Lucas (1987) concluye que en</w:t>
      </w:r>
      <w:r>
        <w:rPr>
          <w:color w:val="231F20"/>
          <w:spacing w:val="-10"/>
          <w:w w:val="105"/>
        </w:rPr>
        <w:t> </w:t>
      </w:r>
      <w:r>
        <w:rPr>
          <w:color w:val="231F20"/>
          <w:w w:val="105"/>
        </w:rPr>
        <w:t>el corto plazo la emigración reduce superficie sembrada en los sectores de</w:t>
      </w:r>
      <w:r>
        <w:rPr>
          <w:color w:val="231F20"/>
          <w:spacing w:val="-13"/>
          <w:w w:val="105"/>
        </w:rPr>
        <w:t> </w:t>
      </w:r>
      <w:r>
        <w:rPr>
          <w:color w:val="231F20"/>
          <w:w w:val="105"/>
        </w:rPr>
        <w:t>subsistencia,</w:t>
      </w:r>
      <w:r>
        <w:rPr>
          <w:color w:val="231F20"/>
          <w:spacing w:val="-18"/>
          <w:w w:val="105"/>
        </w:rPr>
        <w:t> </w:t>
      </w:r>
      <w:r>
        <w:rPr>
          <w:color w:val="231F20"/>
          <w:w w:val="105"/>
        </w:rPr>
        <w:t>pero</w:t>
      </w:r>
      <w:r>
        <w:rPr>
          <w:color w:val="231F20"/>
          <w:spacing w:val="-13"/>
          <w:w w:val="105"/>
        </w:rPr>
        <w:t> </w:t>
      </w:r>
      <w:r>
        <w:rPr>
          <w:color w:val="231F20"/>
          <w:w w:val="105"/>
        </w:rPr>
        <w:t>los</w:t>
      </w:r>
      <w:r>
        <w:rPr>
          <w:color w:val="231F20"/>
          <w:spacing w:val="-13"/>
          <w:w w:val="105"/>
        </w:rPr>
        <w:t> </w:t>
      </w:r>
      <w:r>
        <w:rPr>
          <w:color w:val="231F20"/>
          <w:w w:val="105"/>
        </w:rPr>
        <w:t>ingresos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migrantes</w:t>
      </w:r>
      <w:r>
        <w:rPr>
          <w:color w:val="231F20"/>
          <w:spacing w:val="-13"/>
          <w:w w:val="105"/>
        </w:rPr>
        <w:t> </w:t>
      </w:r>
      <w:r>
        <w:rPr>
          <w:color w:val="231F20"/>
          <w:w w:val="105"/>
        </w:rPr>
        <w:t>han</w:t>
      </w:r>
      <w:r>
        <w:rPr>
          <w:color w:val="231F20"/>
          <w:spacing w:val="-13"/>
          <w:w w:val="105"/>
        </w:rPr>
        <w:t> </w:t>
      </w:r>
      <w:r>
        <w:rPr>
          <w:color w:val="231F20"/>
          <w:w w:val="105"/>
        </w:rPr>
        <w:t>incrementado</w:t>
      </w:r>
      <w:r>
        <w:rPr>
          <w:color w:val="231F20"/>
          <w:spacing w:val="-13"/>
          <w:w w:val="105"/>
        </w:rPr>
        <w:t> </w:t>
      </w:r>
      <w:r>
        <w:rPr>
          <w:color w:val="231F20"/>
          <w:w w:val="105"/>
        </w:rPr>
        <w:t>la productividad de los cultivos y la acumulación de ganado vacuno en el largo</w:t>
      </w:r>
      <w:r>
        <w:rPr>
          <w:color w:val="231F20"/>
          <w:spacing w:val="-20"/>
          <w:w w:val="105"/>
        </w:rPr>
        <w:t> </w:t>
      </w:r>
      <w:r>
        <w:rPr>
          <w:color w:val="231F20"/>
          <w:w w:val="105"/>
        </w:rPr>
        <w:t>plazo.</w:t>
      </w:r>
    </w:p>
    <w:p>
      <w:pPr>
        <w:pStyle w:val="BodyText"/>
        <w:spacing w:line="261" w:lineRule="auto" w:before="1"/>
        <w:ind w:left="1837" w:right="1721" w:firstLine="567"/>
        <w:jc w:val="both"/>
      </w:pPr>
      <w:r>
        <w:rPr>
          <w:color w:val="231F20"/>
          <w:w w:val="105"/>
        </w:rPr>
        <w:t>En</w:t>
      </w:r>
      <w:r>
        <w:rPr>
          <w:color w:val="231F20"/>
          <w:spacing w:val="-5"/>
          <w:w w:val="105"/>
        </w:rPr>
        <w:t> </w:t>
      </w:r>
      <w:r>
        <w:rPr>
          <w:color w:val="231F20"/>
          <w:w w:val="105"/>
        </w:rPr>
        <w:t>síntesis,</w:t>
      </w:r>
      <w:r>
        <w:rPr>
          <w:color w:val="231F20"/>
          <w:spacing w:val="-10"/>
          <w:w w:val="105"/>
        </w:rPr>
        <w:t> </w:t>
      </w:r>
      <w:r>
        <w:rPr>
          <w:color w:val="231F20"/>
          <w:w w:val="105"/>
        </w:rPr>
        <w:t>ambas</w:t>
      </w:r>
      <w:r>
        <w:rPr>
          <w:color w:val="231F20"/>
          <w:spacing w:val="-5"/>
          <w:w w:val="105"/>
        </w:rPr>
        <w:t> </w:t>
      </w:r>
      <w:r>
        <w:rPr>
          <w:color w:val="231F20"/>
          <w:w w:val="105"/>
        </w:rPr>
        <w:t>posturas</w:t>
      </w:r>
      <w:r>
        <w:rPr>
          <w:color w:val="231F20"/>
          <w:spacing w:val="-5"/>
          <w:w w:val="105"/>
        </w:rPr>
        <w:t> </w:t>
      </w:r>
      <w:r>
        <w:rPr>
          <w:color w:val="231F20"/>
          <w:w w:val="105"/>
        </w:rPr>
        <w:t>teóricas</w:t>
      </w:r>
      <w:r>
        <w:rPr>
          <w:color w:val="231F20"/>
          <w:spacing w:val="-5"/>
          <w:w w:val="105"/>
        </w:rPr>
        <w:t> </w:t>
      </w:r>
      <w:r>
        <w:rPr>
          <w:color w:val="231F20"/>
          <w:w w:val="105"/>
        </w:rPr>
        <w:t>se</w:t>
      </w:r>
      <w:r>
        <w:rPr>
          <w:color w:val="231F20"/>
          <w:spacing w:val="-5"/>
          <w:w w:val="105"/>
        </w:rPr>
        <w:t> </w:t>
      </w:r>
      <w:r>
        <w:rPr>
          <w:color w:val="231F20"/>
          <w:w w:val="105"/>
        </w:rPr>
        <w:t>confirman</w:t>
      </w:r>
      <w:r>
        <w:rPr>
          <w:color w:val="231F20"/>
          <w:spacing w:val="-5"/>
          <w:w w:val="105"/>
        </w:rPr>
        <w:t> </w:t>
      </w:r>
      <w:r>
        <w:rPr>
          <w:color w:val="231F20"/>
          <w:w w:val="105"/>
        </w:rPr>
        <w:t>en</w:t>
      </w:r>
      <w:r>
        <w:rPr>
          <w:color w:val="231F20"/>
          <w:spacing w:val="-5"/>
          <w:w w:val="105"/>
        </w:rPr>
        <w:t> </w:t>
      </w:r>
      <w:r>
        <w:rPr>
          <w:color w:val="231F20"/>
          <w:w w:val="105"/>
        </w:rPr>
        <w:t>estudios</w:t>
      </w:r>
      <w:r>
        <w:rPr>
          <w:color w:val="231F20"/>
          <w:spacing w:val="-5"/>
          <w:w w:val="105"/>
        </w:rPr>
        <w:t> </w:t>
      </w:r>
      <w:r>
        <w:rPr>
          <w:color w:val="231F20"/>
          <w:w w:val="105"/>
        </w:rPr>
        <w:t>de caso</w:t>
      </w:r>
      <w:r>
        <w:rPr>
          <w:color w:val="231F20"/>
          <w:spacing w:val="-20"/>
          <w:w w:val="105"/>
        </w:rPr>
        <w:t> </w:t>
      </w:r>
      <w:r>
        <w:rPr>
          <w:color w:val="231F20"/>
          <w:w w:val="105"/>
        </w:rPr>
        <w:t>específicos,</w:t>
      </w:r>
      <w:r>
        <w:rPr>
          <w:color w:val="231F20"/>
          <w:spacing w:val="-24"/>
          <w:w w:val="105"/>
        </w:rPr>
        <w:t> </w:t>
      </w:r>
      <w:r>
        <w:rPr>
          <w:color w:val="231F20"/>
          <w:w w:val="105"/>
        </w:rPr>
        <w:t>la</w:t>
      </w:r>
      <w:r>
        <w:rPr>
          <w:color w:val="231F20"/>
          <w:spacing w:val="-20"/>
          <w:w w:val="105"/>
        </w:rPr>
        <w:t> </w:t>
      </w:r>
      <w:r>
        <w:rPr>
          <w:color w:val="231F20"/>
          <w:w w:val="105"/>
        </w:rPr>
        <w:t>validez</w:t>
      </w:r>
      <w:r>
        <w:rPr>
          <w:color w:val="231F20"/>
          <w:spacing w:val="-20"/>
          <w:w w:val="105"/>
        </w:rPr>
        <w:t> </w:t>
      </w:r>
      <w:r>
        <w:rPr>
          <w:color w:val="231F20"/>
          <w:w w:val="105"/>
        </w:rPr>
        <w:t>científica</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mismas</w:t>
      </w:r>
      <w:r>
        <w:rPr>
          <w:color w:val="231F20"/>
          <w:spacing w:val="-20"/>
          <w:w w:val="105"/>
        </w:rPr>
        <w:t> </w:t>
      </w:r>
      <w:r>
        <w:rPr>
          <w:color w:val="231F20"/>
          <w:w w:val="105"/>
        </w:rPr>
        <w:t>radica</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eviden- cias presentadas de los estudios realizados en aquellos lugares donde se</w:t>
      </w:r>
      <w:r>
        <w:rPr>
          <w:color w:val="231F20"/>
          <w:spacing w:val="-15"/>
          <w:w w:val="105"/>
        </w:rPr>
        <w:t> </w:t>
      </w:r>
      <w:r>
        <w:rPr>
          <w:color w:val="231F20"/>
          <w:w w:val="105"/>
        </w:rPr>
        <w:t>intenta</w:t>
      </w:r>
      <w:r>
        <w:rPr>
          <w:color w:val="231F20"/>
          <w:spacing w:val="-15"/>
          <w:w w:val="105"/>
        </w:rPr>
        <w:t> </w:t>
      </w:r>
      <w:r>
        <w:rPr>
          <w:color w:val="231F20"/>
          <w:w w:val="105"/>
        </w:rPr>
        <w:t>probar</w:t>
      </w:r>
      <w:r>
        <w:rPr>
          <w:color w:val="231F20"/>
          <w:spacing w:val="-15"/>
          <w:w w:val="105"/>
        </w:rPr>
        <w:t> </w:t>
      </w:r>
      <w:r>
        <w:rPr>
          <w:color w:val="231F20"/>
          <w:w w:val="105"/>
        </w:rPr>
        <w:t>dichas</w:t>
      </w:r>
      <w:r>
        <w:rPr>
          <w:color w:val="231F20"/>
          <w:spacing w:val="-15"/>
          <w:w w:val="105"/>
        </w:rPr>
        <w:t> </w:t>
      </w:r>
      <w:r>
        <w:rPr>
          <w:color w:val="231F20"/>
          <w:w w:val="105"/>
        </w:rPr>
        <w:t>teorías.</w:t>
      </w:r>
      <w:r>
        <w:rPr>
          <w:color w:val="231F20"/>
          <w:spacing w:val="-20"/>
          <w:w w:val="105"/>
        </w:rPr>
        <w:t> </w:t>
      </w:r>
      <w:r>
        <w:rPr>
          <w:color w:val="231F20"/>
          <w:w w:val="105"/>
        </w:rPr>
        <w:t>En</w:t>
      </w:r>
      <w:r>
        <w:rPr>
          <w:color w:val="231F20"/>
          <w:spacing w:val="-15"/>
          <w:w w:val="105"/>
        </w:rPr>
        <w:t> </w:t>
      </w:r>
      <w:r>
        <w:rPr>
          <w:color w:val="231F20"/>
          <w:w w:val="105"/>
        </w:rPr>
        <w:t>tal</w:t>
      </w:r>
      <w:r>
        <w:rPr>
          <w:color w:val="231F20"/>
          <w:spacing w:val="-15"/>
          <w:w w:val="105"/>
        </w:rPr>
        <w:t> </w:t>
      </w:r>
      <w:r>
        <w:rPr>
          <w:color w:val="231F20"/>
          <w:w w:val="105"/>
        </w:rPr>
        <w:t>sentido,</w:t>
      </w:r>
      <w:r>
        <w:rPr>
          <w:color w:val="231F20"/>
          <w:spacing w:val="-20"/>
          <w:w w:val="105"/>
        </w:rPr>
        <w:t> </w:t>
      </w:r>
      <w:r>
        <w:rPr>
          <w:color w:val="231F20"/>
          <w:w w:val="105"/>
        </w:rPr>
        <w:t>se</w:t>
      </w:r>
      <w:r>
        <w:rPr>
          <w:color w:val="231F20"/>
          <w:spacing w:val="-15"/>
          <w:w w:val="105"/>
        </w:rPr>
        <w:t> </w:t>
      </w:r>
      <w:r>
        <w:rPr>
          <w:color w:val="231F20"/>
          <w:w w:val="105"/>
        </w:rPr>
        <w:t>considera</w:t>
      </w:r>
      <w:r>
        <w:rPr>
          <w:color w:val="231F20"/>
          <w:spacing w:val="-15"/>
          <w:w w:val="105"/>
        </w:rPr>
        <w:t> </w:t>
      </w:r>
      <w:r>
        <w:rPr>
          <w:color w:val="231F20"/>
          <w:w w:val="105"/>
        </w:rPr>
        <w:t>que</w:t>
      </w:r>
      <w:r>
        <w:rPr>
          <w:color w:val="231F20"/>
          <w:spacing w:val="-15"/>
          <w:w w:val="105"/>
        </w:rPr>
        <w:t> </w:t>
      </w:r>
      <w:r>
        <w:rPr>
          <w:color w:val="231F20"/>
          <w:w w:val="105"/>
        </w:rPr>
        <w:t>tanto</w:t>
      </w:r>
      <w:r>
        <w:rPr>
          <w:color w:val="231F20"/>
          <w:spacing w:val="-15"/>
          <w:w w:val="105"/>
        </w:rPr>
        <w:t> </w:t>
      </w:r>
      <w:r>
        <w:rPr>
          <w:color w:val="231F20"/>
          <w:w w:val="105"/>
        </w:rPr>
        <w:t>la perspectiva negativa como la positiva parecen tener consistencia en</w:t>
      </w:r>
      <w:r>
        <w:rPr>
          <w:color w:val="231F20"/>
          <w:spacing w:val="-32"/>
          <w:w w:val="105"/>
        </w:rPr>
        <w:t> </w:t>
      </w:r>
      <w:r>
        <w:rPr>
          <w:color w:val="231F20"/>
          <w:w w:val="105"/>
        </w:rPr>
        <w:t>su núcleo de argumentación central dependiendo del contexto territorial particular</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aplican.</w:t>
      </w:r>
    </w:p>
    <w:p>
      <w:pPr>
        <w:pStyle w:val="BodyText"/>
        <w:rPr>
          <w:sz w:val="20"/>
        </w:rPr>
      </w:pPr>
    </w:p>
    <w:p>
      <w:pPr>
        <w:pStyle w:val="BodyText"/>
        <w:spacing w:before="9"/>
        <w:rPr>
          <w:sz w:val="20"/>
        </w:rPr>
      </w:pPr>
    </w:p>
    <w:p>
      <w:pPr>
        <w:pStyle w:val="Heading3"/>
      </w:pPr>
      <w:r>
        <w:rPr>
          <w:color w:val="231F20"/>
        </w:rPr>
        <w:t>El caso de estudio</w:t>
      </w:r>
    </w:p>
    <w:p>
      <w:pPr>
        <w:pStyle w:val="BodyText"/>
        <w:rPr>
          <w:rFonts w:ascii="Arial"/>
          <w:b/>
          <w:sz w:val="22"/>
        </w:rPr>
      </w:pPr>
    </w:p>
    <w:p>
      <w:pPr>
        <w:pStyle w:val="BodyText"/>
        <w:spacing w:line="261" w:lineRule="auto" w:before="163"/>
        <w:ind w:left="1837" w:right="1716"/>
        <w:jc w:val="both"/>
      </w:pPr>
      <w:r>
        <w:rPr>
          <w:color w:val="231F20"/>
          <w:w w:val="105"/>
        </w:rPr>
        <w:t>El municipio de Amatepec se localiza en el sur del Estado de México a 139 km de la Ciudad de </w:t>
      </w:r>
      <w:r>
        <w:rPr>
          <w:color w:val="231F20"/>
          <w:spacing w:val="-4"/>
          <w:w w:val="105"/>
        </w:rPr>
        <w:t>Toluca </w:t>
      </w:r>
      <w:r>
        <w:rPr>
          <w:color w:val="231F20"/>
          <w:w w:val="105"/>
        </w:rPr>
        <w:t>(ver mapa 1). Cuenta con una superfi- cie de 638.55 km2 y una población total en 2010 de 26,334 habitantes, </w:t>
      </w:r>
      <w:r>
        <w:rPr>
          <w:w w:val="105"/>
        </w:rPr>
        <w:t>12,779</w:t>
      </w:r>
      <w:r>
        <w:rPr>
          <w:spacing w:val="-16"/>
          <w:w w:val="105"/>
        </w:rPr>
        <w:t> </w:t>
      </w:r>
      <w:r>
        <w:rPr>
          <w:w w:val="105"/>
        </w:rPr>
        <w:t>mujeres</w:t>
      </w:r>
      <w:r>
        <w:rPr>
          <w:spacing w:val="-16"/>
          <w:w w:val="105"/>
        </w:rPr>
        <w:t> </w:t>
      </w:r>
      <w:r>
        <w:rPr>
          <w:w w:val="105"/>
        </w:rPr>
        <w:t>y</w:t>
      </w:r>
      <w:r>
        <w:rPr>
          <w:spacing w:val="-16"/>
          <w:w w:val="105"/>
        </w:rPr>
        <w:t> </w:t>
      </w:r>
      <w:r>
        <w:rPr>
          <w:w w:val="105"/>
        </w:rPr>
        <w:t>13,535</w:t>
      </w:r>
      <w:r>
        <w:rPr>
          <w:spacing w:val="-16"/>
          <w:w w:val="105"/>
        </w:rPr>
        <w:t> </w:t>
      </w:r>
      <w:r>
        <w:rPr>
          <w:w w:val="105"/>
        </w:rPr>
        <w:t>hombres.</w:t>
      </w:r>
      <w:r>
        <w:rPr>
          <w:spacing w:val="-21"/>
          <w:w w:val="105"/>
        </w:rPr>
        <w:t> </w:t>
      </w:r>
      <w:r>
        <w:rPr>
          <w:w w:val="105"/>
        </w:rPr>
        <w:t>Se</w:t>
      </w:r>
      <w:r>
        <w:rPr>
          <w:spacing w:val="-16"/>
          <w:w w:val="105"/>
        </w:rPr>
        <w:t> </w:t>
      </w:r>
      <w:r>
        <w:rPr>
          <w:w w:val="105"/>
        </w:rPr>
        <w:t>ubica</w:t>
      </w:r>
      <w:r>
        <w:rPr>
          <w:spacing w:val="-16"/>
          <w:w w:val="105"/>
        </w:rPr>
        <w:t> </w:t>
      </w:r>
      <w:r>
        <w:rPr>
          <w:w w:val="105"/>
        </w:rPr>
        <w:t>en</w:t>
      </w:r>
      <w:r>
        <w:rPr>
          <w:spacing w:val="-16"/>
          <w:w w:val="105"/>
        </w:rPr>
        <w:t> </w:t>
      </w:r>
      <w:r>
        <w:rPr>
          <w:w w:val="105"/>
        </w:rPr>
        <w:t>la</w:t>
      </w:r>
      <w:r>
        <w:rPr>
          <w:spacing w:val="-16"/>
          <w:w w:val="105"/>
        </w:rPr>
        <w:t> </w:t>
      </w:r>
      <w:r>
        <w:rPr>
          <w:w w:val="105"/>
        </w:rPr>
        <w:t>región</w:t>
      </w:r>
      <w:r>
        <w:rPr>
          <w:spacing w:val="-16"/>
          <w:w w:val="105"/>
        </w:rPr>
        <w:t> </w:t>
      </w:r>
      <w:r>
        <w:rPr>
          <w:w w:val="105"/>
        </w:rPr>
        <w:t>hidrográfica</w:t>
      </w:r>
      <w:r>
        <w:rPr>
          <w:spacing w:val="-16"/>
          <w:w w:val="105"/>
        </w:rPr>
        <w:t> </w:t>
      </w:r>
      <w:r>
        <w:rPr>
          <w:w w:val="105"/>
        </w:rPr>
        <w:t>del Río</w:t>
      </w:r>
      <w:r>
        <w:rPr>
          <w:spacing w:val="-14"/>
          <w:w w:val="105"/>
        </w:rPr>
        <w:t> </w:t>
      </w:r>
      <w:r>
        <w:rPr>
          <w:w w:val="105"/>
        </w:rPr>
        <w:t>Balsas,</w:t>
      </w:r>
      <w:r>
        <w:rPr>
          <w:spacing w:val="-18"/>
          <w:w w:val="105"/>
        </w:rPr>
        <w:t> </w:t>
      </w:r>
      <w:r>
        <w:rPr>
          <w:w w:val="105"/>
        </w:rPr>
        <w:t>dentro</w:t>
      </w:r>
      <w:r>
        <w:rPr>
          <w:spacing w:val="-14"/>
          <w:w w:val="105"/>
        </w:rPr>
        <w:t> </w:t>
      </w:r>
      <w:r>
        <w:rPr>
          <w:w w:val="105"/>
        </w:rPr>
        <w:t>de</w:t>
      </w:r>
      <w:r>
        <w:rPr>
          <w:spacing w:val="-14"/>
          <w:w w:val="105"/>
        </w:rPr>
        <w:t> </w:t>
      </w:r>
      <w:r>
        <w:rPr>
          <w:w w:val="105"/>
        </w:rPr>
        <w:t>la</w:t>
      </w:r>
      <w:r>
        <w:rPr>
          <w:spacing w:val="-14"/>
          <w:w w:val="105"/>
        </w:rPr>
        <w:t> </w:t>
      </w:r>
      <w:r>
        <w:rPr>
          <w:w w:val="105"/>
        </w:rPr>
        <w:t>subcuenca</w:t>
      </w:r>
      <w:r>
        <w:rPr>
          <w:spacing w:val="-14"/>
          <w:w w:val="105"/>
        </w:rPr>
        <w:t> </w:t>
      </w:r>
      <w:r>
        <w:rPr>
          <w:w w:val="105"/>
        </w:rPr>
        <w:t>Río</w:t>
      </w:r>
      <w:r>
        <w:rPr>
          <w:spacing w:val="-14"/>
          <w:w w:val="105"/>
        </w:rPr>
        <w:t> </w:t>
      </w:r>
      <w:r>
        <w:rPr>
          <w:w w:val="105"/>
        </w:rPr>
        <w:t>Cutzamala.</w:t>
      </w:r>
      <w:r>
        <w:rPr>
          <w:spacing w:val="-18"/>
          <w:w w:val="105"/>
        </w:rPr>
        <w:t> </w:t>
      </w:r>
      <w:r>
        <w:rPr>
          <w:w w:val="105"/>
        </w:rPr>
        <w:t>Según</w:t>
      </w:r>
      <w:r>
        <w:rPr>
          <w:spacing w:val="-14"/>
          <w:w w:val="105"/>
        </w:rPr>
        <w:t> </w:t>
      </w:r>
      <w:r>
        <w:rPr>
          <w:w w:val="105"/>
        </w:rPr>
        <w:t>el</w:t>
      </w:r>
      <w:r>
        <w:rPr>
          <w:spacing w:val="-14"/>
          <w:w w:val="105"/>
        </w:rPr>
        <w:t> </w:t>
      </w:r>
      <w:r>
        <w:rPr>
          <w:color w:val="231F20"/>
          <w:w w:val="105"/>
        </w:rPr>
        <w:t>sistema</w:t>
      </w:r>
      <w:r>
        <w:rPr>
          <w:color w:val="231F20"/>
          <w:spacing w:val="-14"/>
          <w:w w:val="105"/>
        </w:rPr>
        <w:t> </w:t>
      </w:r>
      <w:r>
        <w:rPr>
          <w:color w:val="231F20"/>
          <w:w w:val="105"/>
        </w:rPr>
        <w:t>de topoformas predomina en el municipio la sierra alta compleja con ca- ñadas</w:t>
      </w:r>
      <w:r>
        <w:rPr>
          <w:color w:val="231F20"/>
          <w:spacing w:val="-13"/>
          <w:w w:val="105"/>
        </w:rPr>
        <w:t> </w:t>
      </w:r>
      <w:r>
        <w:rPr>
          <w:color w:val="231F20"/>
          <w:w w:val="105"/>
        </w:rPr>
        <w:t>(79.9%)</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valle</w:t>
      </w:r>
      <w:r>
        <w:rPr>
          <w:color w:val="231F20"/>
          <w:spacing w:val="-13"/>
          <w:w w:val="105"/>
        </w:rPr>
        <w:t> </w:t>
      </w:r>
      <w:r>
        <w:rPr>
          <w:color w:val="231F20"/>
          <w:w w:val="105"/>
        </w:rPr>
        <w:t>ramificado</w:t>
      </w:r>
      <w:r>
        <w:rPr>
          <w:color w:val="231F20"/>
          <w:spacing w:val="-13"/>
          <w:w w:val="105"/>
        </w:rPr>
        <w:t> </w:t>
      </w:r>
      <w:r>
        <w:rPr>
          <w:color w:val="231F20"/>
          <w:w w:val="105"/>
        </w:rPr>
        <w:t>(20.1%)</w:t>
      </w:r>
      <w:r>
        <w:rPr>
          <w:color w:val="231F20"/>
          <w:spacing w:val="-13"/>
          <w:w w:val="105"/>
        </w:rPr>
        <w:t> </w:t>
      </w:r>
      <w:r>
        <w:rPr>
          <w:color w:val="231F20"/>
          <w:w w:val="105"/>
        </w:rPr>
        <w:t>(</w:t>
      </w:r>
      <w:r>
        <w:rPr>
          <w:color w:val="231F20"/>
          <w:w w:val="105"/>
          <w:sz w:val="17"/>
        </w:rPr>
        <w:t>INEGI</w:t>
      </w:r>
      <w:r>
        <w:rPr>
          <w:color w:val="231F20"/>
          <w:w w:val="105"/>
        </w:rPr>
        <w:t>,</w:t>
      </w:r>
      <w:r>
        <w:rPr>
          <w:color w:val="231F20"/>
          <w:spacing w:val="-17"/>
          <w:w w:val="105"/>
        </w:rPr>
        <w:t> </w:t>
      </w:r>
      <w:r>
        <w:rPr>
          <w:color w:val="231F20"/>
          <w:w w:val="105"/>
        </w:rPr>
        <w:t>2009).</w:t>
      </w:r>
      <w:r>
        <w:rPr>
          <w:color w:val="231F20"/>
          <w:spacing w:val="-17"/>
          <w:w w:val="105"/>
        </w:rPr>
        <w:t> </w:t>
      </w:r>
      <w:r>
        <w:rPr>
          <w:color w:val="231F20"/>
          <w:w w:val="105"/>
        </w:rPr>
        <w:t>Esta</w:t>
      </w:r>
      <w:r>
        <w:rPr>
          <w:color w:val="231F20"/>
          <w:spacing w:val="-13"/>
          <w:w w:val="105"/>
        </w:rPr>
        <w:t> </w:t>
      </w:r>
      <w:r>
        <w:rPr>
          <w:color w:val="231F20"/>
          <w:w w:val="105"/>
        </w:rPr>
        <w:t>orografía accidentada</w:t>
      </w:r>
      <w:r>
        <w:rPr>
          <w:color w:val="231F20"/>
          <w:spacing w:val="-11"/>
          <w:w w:val="105"/>
        </w:rPr>
        <w:t> </w:t>
      </w:r>
      <w:r>
        <w:rPr>
          <w:color w:val="231F20"/>
          <w:w w:val="105"/>
        </w:rPr>
        <w:t>impone</w:t>
      </w:r>
      <w:r>
        <w:rPr>
          <w:color w:val="231F20"/>
          <w:spacing w:val="-11"/>
          <w:w w:val="105"/>
        </w:rPr>
        <w:t> </w:t>
      </w:r>
      <w:r>
        <w:rPr>
          <w:color w:val="231F20"/>
          <w:w w:val="105"/>
        </w:rPr>
        <w:t>dificultades</w:t>
      </w:r>
      <w:r>
        <w:rPr>
          <w:color w:val="231F20"/>
          <w:spacing w:val="-11"/>
          <w:w w:val="105"/>
        </w:rPr>
        <w:t> </w:t>
      </w:r>
      <w:r>
        <w:rPr>
          <w:color w:val="231F20"/>
          <w:w w:val="105"/>
        </w:rPr>
        <w:t>para</w:t>
      </w:r>
      <w:r>
        <w:rPr>
          <w:color w:val="231F20"/>
          <w:spacing w:val="-11"/>
          <w:w w:val="105"/>
        </w:rPr>
        <w:t> </w:t>
      </w:r>
      <w:r>
        <w:rPr>
          <w:color w:val="231F20"/>
          <w:w w:val="105"/>
        </w:rPr>
        <w:t>la</w:t>
      </w:r>
      <w:r>
        <w:rPr>
          <w:color w:val="231F20"/>
          <w:spacing w:val="-11"/>
          <w:w w:val="105"/>
        </w:rPr>
        <w:t> </w:t>
      </w:r>
      <w:r>
        <w:rPr>
          <w:color w:val="231F20"/>
          <w:w w:val="105"/>
        </w:rPr>
        <w:t>agricultura</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ganadería.</w:t>
      </w:r>
      <w:r>
        <w:rPr>
          <w:color w:val="231F20"/>
          <w:spacing w:val="-16"/>
          <w:w w:val="105"/>
        </w:rPr>
        <w:t> </w:t>
      </w:r>
      <w:r>
        <w:rPr>
          <w:color w:val="231F20"/>
          <w:w w:val="105"/>
        </w:rPr>
        <w:t>En</w:t>
      </w:r>
      <w:r>
        <w:rPr>
          <w:color w:val="231F20"/>
          <w:spacing w:val="-11"/>
          <w:w w:val="105"/>
        </w:rPr>
        <w:t> </w:t>
      </w:r>
      <w:r>
        <w:rPr>
          <w:color w:val="231F20"/>
          <w:w w:val="105"/>
        </w:rPr>
        <w:t>el </w:t>
      </w:r>
      <w:r>
        <w:rPr>
          <w:color w:val="1B1E21"/>
          <w:w w:val="105"/>
        </w:rPr>
        <w:t>municipio predominan dos tipos de climas, el templado y el subtropical </w:t>
      </w:r>
      <w:r>
        <w:rPr>
          <w:color w:val="231F20"/>
        </w:rPr>
        <w:t>(</w:t>
      </w:r>
      <w:r>
        <w:rPr>
          <w:color w:val="231F20"/>
          <w:sz w:val="17"/>
        </w:rPr>
        <w:t>COPLADEM</w:t>
      </w:r>
      <w:r>
        <w:rPr>
          <w:color w:val="231F20"/>
        </w:rPr>
        <w:t>,</w:t>
      </w:r>
      <w:r>
        <w:rPr>
          <w:color w:val="231F20"/>
          <w:spacing w:val="-19"/>
        </w:rPr>
        <w:t> </w:t>
      </w:r>
      <w:r>
        <w:rPr>
          <w:color w:val="231F20"/>
        </w:rPr>
        <w:t>2012).</w:t>
      </w:r>
    </w:p>
    <w:p>
      <w:pPr>
        <w:pStyle w:val="BodyText"/>
        <w:spacing w:line="261" w:lineRule="auto" w:before="1"/>
        <w:ind w:left="1837" w:right="1721" w:firstLine="567"/>
        <w:jc w:val="both"/>
      </w:pPr>
      <w:r>
        <w:rPr>
          <w:color w:val="231F20"/>
        </w:rPr>
        <w:t>De la superficie total municipal (63,855 ha) el 58% se utiliza para la agricultura (37,028 ha)</w:t>
      </w:r>
      <w:r>
        <w:rPr>
          <w:position w:val="7"/>
          <w:sz w:val="12"/>
        </w:rPr>
        <w:t>1</w:t>
      </w:r>
      <w:r>
        <w:rPr>
          <w:color w:val="231F20"/>
        </w:rPr>
        <w:t>, de la cual </w:t>
      </w:r>
      <w:r>
        <w:rPr/>
        <w:t>el 33.7% son pastizales inducidos que cubren una superficie de 12,465.0 ha. Se reporta vegetación secundaria en 14,631 ha y bosques en 12,196 ha. Las superficies terrestres están compuestas por terrenos arcillosos, calcáreos, arenosos y rocosos. Los suelos dominantes son regosoles (</w:t>
      </w:r>
      <w:r>
        <w:rPr>
          <w:sz w:val="17"/>
        </w:rPr>
        <w:t>INEGI</w:t>
      </w:r>
      <w:r>
        <w:rPr/>
        <w:t>, 2009). Estos son suelos jóvenes que se encuentran sobre todo en sierras, suelen tener poca cubierta ve- getal y dificultad de penetración de agua al suelo, que los hace suscepti- bles a la erosión (</w:t>
      </w:r>
      <w:r>
        <w:rPr>
          <w:sz w:val="17"/>
        </w:rPr>
        <w:t>SEMARNAT</w:t>
      </w:r>
      <w:r>
        <w:rPr/>
        <w:t>, 2015).</w:t>
      </w:r>
    </w:p>
    <w:p>
      <w:pPr>
        <w:pStyle w:val="BodyText"/>
        <w:spacing w:line="261" w:lineRule="auto" w:before="1"/>
        <w:ind w:left="1837" w:right="1721" w:firstLine="567"/>
        <w:jc w:val="both"/>
      </w:pPr>
      <w:r>
        <w:rPr>
          <w:color w:val="231F20"/>
          <w:w w:val="105"/>
        </w:rPr>
        <w:t>Santiago</w:t>
      </w:r>
      <w:r>
        <w:rPr>
          <w:color w:val="231F20"/>
          <w:spacing w:val="-13"/>
          <w:w w:val="105"/>
        </w:rPr>
        <w:t> </w:t>
      </w:r>
      <w:r>
        <w:rPr>
          <w:color w:val="231F20"/>
          <w:w w:val="105"/>
        </w:rPr>
        <w:t>es</w:t>
      </w:r>
      <w:r>
        <w:rPr>
          <w:color w:val="231F20"/>
          <w:spacing w:val="-13"/>
          <w:w w:val="105"/>
        </w:rPr>
        <w:t> </w:t>
      </w:r>
      <w:r>
        <w:rPr>
          <w:color w:val="231F20"/>
          <w:w w:val="105"/>
        </w:rPr>
        <w:t>una</w:t>
      </w:r>
      <w:r>
        <w:rPr>
          <w:color w:val="231F20"/>
          <w:spacing w:val="-13"/>
          <w:w w:val="105"/>
        </w:rPr>
        <w:t> </w:t>
      </w:r>
      <w:r>
        <w:rPr>
          <w:color w:val="231F20"/>
          <w:w w:val="105"/>
        </w:rPr>
        <w:t>localidad</w:t>
      </w:r>
      <w:r>
        <w:rPr>
          <w:color w:val="231F20"/>
          <w:spacing w:val="-13"/>
          <w:w w:val="105"/>
        </w:rPr>
        <w:t> </w:t>
      </w:r>
      <w:r>
        <w:rPr>
          <w:color w:val="231F20"/>
          <w:w w:val="105"/>
        </w:rPr>
        <w:t>del</w:t>
      </w:r>
      <w:r>
        <w:rPr>
          <w:color w:val="231F20"/>
          <w:spacing w:val="-13"/>
          <w:w w:val="105"/>
        </w:rPr>
        <w:t> </w:t>
      </w:r>
      <w:r>
        <w:rPr>
          <w:color w:val="231F20"/>
          <w:w w:val="105"/>
        </w:rPr>
        <w:t>municipio</w:t>
      </w:r>
      <w:r>
        <w:rPr>
          <w:color w:val="231F20"/>
          <w:spacing w:val="-13"/>
          <w:w w:val="105"/>
        </w:rPr>
        <w:t> </w:t>
      </w:r>
      <w:r>
        <w:rPr>
          <w:color w:val="231F20"/>
          <w:w w:val="105"/>
        </w:rPr>
        <w:t>de</w:t>
      </w:r>
      <w:r>
        <w:rPr>
          <w:color w:val="231F20"/>
          <w:spacing w:val="-17"/>
          <w:w w:val="105"/>
        </w:rPr>
        <w:t> </w:t>
      </w:r>
      <w:r>
        <w:rPr>
          <w:color w:val="231F20"/>
          <w:w w:val="105"/>
        </w:rPr>
        <w:t>Amatepec.</w:t>
      </w:r>
      <w:r>
        <w:rPr>
          <w:color w:val="231F20"/>
          <w:spacing w:val="-18"/>
          <w:w w:val="105"/>
        </w:rPr>
        <w:t> </w:t>
      </w:r>
      <w:r>
        <w:rPr>
          <w:color w:val="231F20"/>
          <w:w w:val="105"/>
        </w:rPr>
        <w:t>Su</w:t>
      </w:r>
      <w:r>
        <w:rPr>
          <w:color w:val="231F20"/>
          <w:spacing w:val="-13"/>
          <w:w w:val="105"/>
        </w:rPr>
        <w:t> </w:t>
      </w:r>
      <w:r>
        <w:rPr>
          <w:color w:val="231F20"/>
          <w:w w:val="105"/>
        </w:rPr>
        <w:t>clima</w:t>
      </w:r>
      <w:r>
        <w:rPr>
          <w:color w:val="231F20"/>
          <w:spacing w:val="-13"/>
          <w:w w:val="105"/>
        </w:rPr>
        <w:t> </w:t>
      </w:r>
      <w:r>
        <w:rPr>
          <w:color w:val="231F20"/>
          <w:w w:val="105"/>
        </w:rPr>
        <w:t>es cálido</w:t>
      </w:r>
      <w:r>
        <w:rPr>
          <w:color w:val="231F20"/>
          <w:spacing w:val="-5"/>
          <w:w w:val="105"/>
        </w:rPr>
        <w:t> </w:t>
      </w:r>
      <w:r>
        <w:rPr>
          <w:color w:val="231F20"/>
          <w:w w:val="105"/>
        </w:rPr>
        <w:t>subhúmedo</w:t>
      </w:r>
      <w:r>
        <w:rPr>
          <w:color w:val="231F20"/>
          <w:spacing w:val="-5"/>
          <w:w w:val="105"/>
        </w:rPr>
        <w:t> </w:t>
      </w:r>
      <w:r>
        <w:rPr>
          <w:color w:val="231F20"/>
          <w:w w:val="105"/>
        </w:rPr>
        <w:t>con</w:t>
      </w:r>
      <w:r>
        <w:rPr>
          <w:color w:val="231F20"/>
          <w:spacing w:val="-5"/>
          <w:w w:val="105"/>
        </w:rPr>
        <w:t> </w:t>
      </w:r>
      <w:r>
        <w:rPr>
          <w:color w:val="231F20"/>
          <w:w w:val="105"/>
        </w:rPr>
        <w:t>lluvias</w:t>
      </w:r>
      <w:r>
        <w:rPr>
          <w:color w:val="231F20"/>
          <w:spacing w:val="-5"/>
          <w:w w:val="105"/>
        </w:rPr>
        <w:t> </w:t>
      </w:r>
      <w:r>
        <w:rPr>
          <w:color w:val="231F20"/>
          <w:w w:val="105"/>
        </w:rPr>
        <w:t>en</w:t>
      </w:r>
      <w:r>
        <w:rPr>
          <w:color w:val="231F20"/>
          <w:spacing w:val="-5"/>
          <w:w w:val="105"/>
        </w:rPr>
        <w:t> </w:t>
      </w:r>
      <w:r>
        <w:rPr>
          <w:color w:val="231F20"/>
          <w:w w:val="105"/>
        </w:rPr>
        <w:t>verano</w:t>
      </w:r>
      <w:r>
        <w:rPr>
          <w:color w:val="231F20"/>
          <w:spacing w:val="-5"/>
          <w:w w:val="105"/>
        </w:rPr>
        <w:t> </w:t>
      </w:r>
      <w:r>
        <w:rPr>
          <w:color w:val="231F20"/>
          <w:w w:val="105"/>
        </w:rPr>
        <w:t>(</w:t>
      </w:r>
      <w:r>
        <w:rPr>
          <w:color w:val="231F20"/>
          <w:w w:val="105"/>
          <w:sz w:val="17"/>
        </w:rPr>
        <w:t>INEGI</w:t>
      </w:r>
      <w:r>
        <w:rPr>
          <w:color w:val="231F20"/>
          <w:w w:val="105"/>
        </w:rPr>
        <w:t>,</w:t>
      </w:r>
      <w:r>
        <w:rPr>
          <w:color w:val="231F20"/>
          <w:spacing w:val="-10"/>
          <w:w w:val="105"/>
        </w:rPr>
        <w:t> </w:t>
      </w:r>
      <w:r>
        <w:rPr>
          <w:color w:val="231F20"/>
          <w:w w:val="105"/>
        </w:rPr>
        <w:t>2009).</w:t>
      </w:r>
      <w:r>
        <w:rPr>
          <w:color w:val="231F20"/>
          <w:spacing w:val="-14"/>
          <w:w w:val="105"/>
        </w:rPr>
        <w:t> </w:t>
      </w:r>
      <w:r>
        <w:rPr>
          <w:color w:val="231F20"/>
          <w:w w:val="105"/>
        </w:rPr>
        <w:t>Tiene</w:t>
      </w:r>
      <w:r>
        <w:rPr>
          <w:color w:val="231F20"/>
          <w:spacing w:val="-5"/>
          <w:w w:val="105"/>
        </w:rPr>
        <w:t> </w:t>
      </w:r>
      <w:r>
        <w:rPr>
          <w:color w:val="231F20"/>
          <w:w w:val="105"/>
        </w:rPr>
        <w:t>una</w:t>
      </w:r>
      <w:r>
        <w:rPr>
          <w:color w:val="231F20"/>
          <w:spacing w:val="-5"/>
          <w:w w:val="105"/>
        </w:rPr>
        <w:t> </w:t>
      </w:r>
      <w:r>
        <w:rPr>
          <w:color w:val="231F20"/>
          <w:w w:val="105"/>
        </w:rPr>
        <w:t>altitud promedio de 939 msnm y presenta temperaturas que fluctúan entre los 15ºC y los 40°C. En 2010 contaba con una población total de 335</w:t>
      </w:r>
      <w:r>
        <w:rPr>
          <w:color w:val="231F20"/>
          <w:spacing w:val="-20"/>
          <w:w w:val="105"/>
        </w:rPr>
        <w:t> </w:t>
      </w:r>
      <w:r>
        <w:rPr>
          <w:color w:val="231F20"/>
          <w:w w:val="105"/>
        </w:rPr>
        <w:t>habi-</w:t>
      </w: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39664;mso-wrap-distance-left:0;mso-wrap-distance-right:0" from="91.866096pt,8.227307pt" to="205.252096pt,8.227307pt" stroked="true" strokeweight=".25pt" strokecolor="#231f20">
            <w10:wrap type="topAndBottom"/>
          </v:line>
        </w:pict>
      </w:r>
    </w:p>
    <w:p>
      <w:pPr>
        <w:spacing w:before="8"/>
        <w:ind w:left="1837" w:right="0" w:firstLine="0"/>
        <w:jc w:val="left"/>
        <w:rPr>
          <w:rFonts w:ascii="Calibri" w:hAnsi="Calibri"/>
          <w:sz w:val="16"/>
        </w:rPr>
      </w:pPr>
      <w:r>
        <w:rPr>
          <w:rFonts w:ascii="Calibri" w:hAnsi="Calibri"/>
          <w:color w:val="414042"/>
          <w:position w:val="5"/>
          <w:sz w:val="9"/>
        </w:rPr>
        <w:t>1  </w:t>
      </w:r>
      <w:r>
        <w:rPr>
          <w:rFonts w:ascii="Calibri" w:hAnsi="Calibri"/>
          <w:color w:val="414042"/>
          <w:sz w:val="16"/>
        </w:rPr>
        <w:t>Cifra estimada con base en información del </w:t>
      </w:r>
      <w:r>
        <w:rPr>
          <w:rFonts w:ascii="Calibri" w:hAnsi="Calibri"/>
          <w:color w:val="414042"/>
          <w:sz w:val="14"/>
        </w:rPr>
        <w:t>INEGI   </w:t>
      </w:r>
      <w:r>
        <w:rPr>
          <w:rFonts w:ascii="Calibri" w:hAnsi="Calibri"/>
          <w:color w:val="414042"/>
          <w:sz w:val="16"/>
        </w:rPr>
        <w:t>(2009).</w:t>
      </w:r>
    </w:p>
    <w:p>
      <w:pPr>
        <w:spacing w:after="0"/>
        <w:jc w:val="left"/>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34"/>
        <w:jc w:val="both"/>
      </w:pPr>
      <w:r>
        <w:rPr/>
        <w:pict>
          <v:line style="position:absolute;mso-position-horizontal-relative:page;mso-position-vertical-relative:paragraph;z-index:39856" from="15pt,-68.636444pt" to="0pt,-68.636444pt" stroked="true" strokeweight=".25pt" strokecolor="#000000">
            <w10:wrap type="none"/>
          </v:line>
        </w:pict>
      </w:r>
      <w:r>
        <w:rPr/>
        <w:pict>
          <v:line style="position:absolute;mso-position-horizontal-relative:page;mso-position-vertical-relative:paragraph;z-index:39880" from="508.890015pt,-68.636444pt" to="523.890015pt,-68.636444pt" stroked="true" strokeweight=".25pt" strokecolor="#000000">
            <w10:wrap type="none"/>
          </v:line>
        </w:pict>
      </w:r>
      <w:r>
        <w:rPr>
          <w:color w:val="231F20"/>
          <w:w w:val="105"/>
        </w:rPr>
        <w:t>tantes,</w:t>
      </w:r>
      <w:r>
        <w:rPr>
          <w:color w:val="231F20"/>
          <w:spacing w:val="-26"/>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cuales</w:t>
      </w:r>
      <w:r>
        <w:rPr>
          <w:color w:val="231F20"/>
          <w:spacing w:val="-22"/>
          <w:w w:val="105"/>
        </w:rPr>
        <w:t> </w:t>
      </w:r>
      <w:r>
        <w:rPr>
          <w:color w:val="231F20"/>
          <w:w w:val="105"/>
        </w:rPr>
        <w:t>167</w:t>
      </w:r>
      <w:r>
        <w:rPr>
          <w:color w:val="231F20"/>
          <w:spacing w:val="-22"/>
          <w:w w:val="105"/>
        </w:rPr>
        <w:t> </w:t>
      </w:r>
      <w:r>
        <w:rPr>
          <w:color w:val="231F20"/>
          <w:w w:val="105"/>
        </w:rPr>
        <w:t>son</w:t>
      </w:r>
      <w:r>
        <w:rPr>
          <w:color w:val="231F20"/>
          <w:spacing w:val="-22"/>
          <w:w w:val="105"/>
        </w:rPr>
        <w:t> </w:t>
      </w:r>
      <w:r>
        <w:rPr>
          <w:color w:val="231F20"/>
          <w:w w:val="105"/>
        </w:rPr>
        <w:t>mujeres</w:t>
      </w:r>
      <w:r>
        <w:rPr>
          <w:color w:val="231F20"/>
          <w:spacing w:val="-22"/>
          <w:w w:val="105"/>
        </w:rPr>
        <w:t> </w:t>
      </w:r>
      <w:r>
        <w:rPr>
          <w:color w:val="231F20"/>
          <w:w w:val="105"/>
        </w:rPr>
        <w:t>y</w:t>
      </w:r>
      <w:r>
        <w:rPr>
          <w:color w:val="231F20"/>
          <w:spacing w:val="-22"/>
          <w:w w:val="105"/>
        </w:rPr>
        <w:t> </w:t>
      </w:r>
      <w:r>
        <w:rPr>
          <w:color w:val="231F20"/>
          <w:w w:val="105"/>
        </w:rPr>
        <w:t>168</w:t>
      </w:r>
      <w:r>
        <w:rPr>
          <w:color w:val="231F20"/>
          <w:spacing w:val="-22"/>
          <w:w w:val="105"/>
        </w:rPr>
        <w:t> </w:t>
      </w:r>
      <w:r>
        <w:rPr>
          <w:color w:val="231F20"/>
          <w:w w:val="105"/>
        </w:rPr>
        <w:t>hombres,</w:t>
      </w:r>
      <w:r>
        <w:rPr>
          <w:color w:val="231F20"/>
          <w:spacing w:val="-26"/>
          <w:w w:val="105"/>
        </w:rPr>
        <w:t> </w:t>
      </w:r>
      <w:r>
        <w:rPr>
          <w:color w:val="231F20"/>
          <w:w w:val="105"/>
        </w:rPr>
        <w:t>quienes</w:t>
      </w:r>
      <w:r>
        <w:rPr>
          <w:color w:val="231F20"/>
          <w:spacing w:val="-22"/>
          <w:w w:val="105"/>
        </w:rPr>
        <w:t> </w:t>
      </w:r>
      <w:r>
        <w:rPr>
          <w:color w:val="231F20"/>
          <w:w w:val="105"/>
        </w:rPr>
        <w:t>residen</w:t>
      </w:r>
      <w:r>
        <w:rPr>
          <w:color w:val="231F20"/>
          <w:spacing w:val="-22"/>
          <w:w w:val="105"/>
        </w:rPr>
        <w:t> </w:t>
      </w:r>
      <w:r>
        <w:rPr>
          <w:color w:val="231F20"/>
          <w:w w:val="105"/>
        </w:rPr>
        <w:t>en un</w:t>
      </w:r>
      <w:r>
        <w:rPr>
          <w:color w:val="231F20"/>
          <w:spacing w:val="-20"/>
          <w:w w:val="105"/>
        </w:rPr>
        <w:t> </w:t>
      </w:r>
      <w:r>
        <w:rPr>
          <w:color w:val="231F20"/>
          <w:w w:val="105"/>
        </w:rPr>
        <w:t>total</w:t>
      </w:r>
      <w:r>
        <w:rPr>
          <w:color w:val="231F20"/>
          <w:spacing w:val="-20"/>
          <w:w w:val="105"/>
        </w:rPr>
        <w:t> </w:t>
      </w:r>
      <w:r>
        <w:rPr>
          <w:color w:val="231F20"/>
          <w:w w:val="105"/>
        </w:rPr>
        <w:t>aproximado</w:t>
      </w:r>
      <w:r>
        <w:rPr>
          <w:color w:val="231F20"/>
          <w:spacing w:val="-20"/>
          <w:w w:val="105"/>
        </w:rPr>
        <w:t> </w:t>
      </w:r>
      <w:r>
        <w:rPr>
          <w:color w:val="231F20"/>
          <w:w w:val="105"/>
        </w:rPr>
        <w:t>de</w:t>
      </w:r>
      <w:r>
        <w:rPr>
          <w:color w:val="231F20"/>
          <w:spacing w:val="-20"/>
          <w:w w:val="105"/>
        </w:rPr>
        <w:t> </w:t>
      </w:r>
      <w:r>
        <w:rPr>
          <w:color w:val="231F20"/>
          <w:w w:val="105"/>
        </w:rPr>
        <w:t>83</w:t>
      </w:r>
      <w:r>
        <w:rPr>
          <w:color w:val="231F20"/>
          <w:spacing w:val="-20"/>
          <w:w w:val="105"/>
        </w:rPr>
        <w:t> </w:t>
      </w:r>
      <w:r>
        <w:rPr>
          <w:color w:val="231F20"/>
          <w:w w:val="105"/>
        </w:rPr>
        <w:t>viviendas</w:t>
      </w:r>
      <w:r>
        <w:rPr>
          <w:color w:val="231F20"/>
          <w:spacing w:val="-20"/>
          <w:w w:val="105"/>
        </w:rPr>
        <w:t> </w:t>
      </w:r>
      <w:r>
        <w:rPr>
          <w:color w:val="231F20"/>
          <w:w w:val="105"/>
        </w:rPr>
        <w:t>(</w:t>
      </w:r>
      <w:r>
        <w:rPr>
          <w:color w:val="231F20"/>
          <w:w w:val="105"/>
          <w:sz w:val="17"/>
        </w:rPr>
        <w:t>INEGI</w:t>
      </w:r>
      <w:r>
        <w:rPr>
          <w:color w:val="231F20"/>
          <w:w w:val="105"/>
        </w:rPr>
        <w:t>,</w:t>
      </w:r>
      <w:r>
        <w:rPr>
          <w:color w:val="231F20"/>
          <w:spacing w:val="-24"/>
          <w:w w:val="105"/>
        </w:rPr>
        <w:t> </w:t>
      </w:r>
      <w:r>
        <w:rPr>
          <w:color w:val="231F20"/>
          <w:w w:val="105"/>
        </w:rPr>
        <w:t>2011).</w:t>
      </w:r>
    </w:p>
    <w:p>
      <w:pPr>
        <w:pStyle w:val="BodyText"/>
        <w:spacing w:before="4"/>
      </w:pPr>
    </w:p>
    <w:p>
      <w:pPr>
        <w:spacing w:before="0"/>
        <w:ind w:left="2081" w:right="0" w:firstLine="0"/>
        <w:jc w:val="left"/>
        <w:rPr>
          <w:rFonts w:ascii="Arial" w:hAnsi="Arial"/>
          <w:sz w:val="18"/>
        </w:rPr>
      </w:pPr>
      <w:r>
        <w:rPr/>
        <w:drawing>
          <wp:anchor distT="0" distB="0" distL="0" distR="0" allowOverlap="1" layoutInCell="1" locked="0" behindDoc="0" simplePos="0" relativeHeight="39808">
            <wp:simplePos x="0" y="0"/>
            <wp:positionH relativeFrom="page">
              <wp:posOffset>1202423</wp:posOffset>
            </wp:positionH>
            <wp:positionV relativeFrom="paragraph">
              <wp:posOffset>209689</wp:posOffset>
            </wp:positionV>
            <wp:extent cx="4215127" cy="3042666"/>
            <wp:effectExtent l="0" t="0" r="0" b="0"/>
            <wp:wrapTopAndBottom/>
            <wp:docPr id="65" name="image188.png" descr=""/>
            <wp:cNvGraphicFramePr>
              <a:graphicFrameLocks noChangeAspect="1"/>
            </wp:cNvGraphicFramePr>
            <a:graphic>
              <a:graphicData uri="http://schemas.openxmlformats.org/drawingml/2006/picture">
                <pic:pic>
                  <pic:nvPicPr>
                    <pic:cNvPr id="66" name="image188.png"/>
                    <pic:cNvPicPr/>
                  </pic:nvPicPr>
                  <pic:blipFill>
                    <a:blip r:embed="rId354" cstate="print"/>
                    <a:stretch>
                      <a:fillRect/>
                    </a:stretch>
                  </pic:blipFill>
                  <pic:spPr>
                    <a:xfrm>
                      <a:off x="0" y="0"/>
                      <a:ext cx="4215127" cy="3042666"/>
                    </a:xfrm>
                    <a:prstGeom prst="rect">
                      <a:avLst/>
                    </a:prstGeom>
                  </pic:spPr>
                </pic:pic>
              </a:graphicData>
            </a:graphic>
          </wp:anchor>
        </w:drawing>
      </w:r>
      <w:r>
        <w:rPr>
          <w:rFonts w:ascii="Arial" w:hAnsi="Arial"/>
          <w:color w:val="231F20"/>
          <w:w w:val="105"/>
          <w:sz w:val="18"/>
        </w:rPr>
        <w:t>Mapa 1. Ubicación de Santiago, municipio de Amatepec, Estado de México</w:t>
      </w:r>
    </w:p>
    <w:p>
      <w:pPr>
        <w:spacing w:before="18"/>
        <w:ind w:left="1880" w:right="0" w:firstLine="0"/>
        <w:jc w:val="left"/>
        <w:rPr>
          <w:sz w:val="16"/>
        </w:rPr>
      </w:pPr>
      <w:r>
        <w:rPr>
          <w:color w:val="231F20"/>
          <w:w w:val="105"/>
          <w:sz w:val="16"/>
        </w:rPr>
        <w:t>Fuente: elaboración propia.</w:t>
      </w:r>
    </w:p>
    <w:p>
      <w:pPr>
        <w:pStyle w:val="BodyText"/>
        <w:rPr>
          <w:sz w:val="16"/>
        </w:rPr>
      </w:pPr>
    </w:p>
    <w:p>
      <w:pPr>
        <w:pStyle w:val="BodyText"/>
        <w:rPr>
          <w:sz w:val="16"/>
        </w:rPr>
      </w:pPr>
    </w:p>
    <w:p>
      <w:pPr>
        <w:pStyle w:val="Heading3"/>
        <w:spacing w:before="131"/>
        <w:ind w:left="1723"/>
      </w:pPr>
      <w:r>
        <w:rPr>
          <w:color w:val="231F20"/>
        </w:rPr>
        <w:t>La agricultura y la ganadería</w:t>
      </w:r>
    </w:p>
    <w:p>
      <w:pPr>
        <w:pStyle w:val="BodyText"/>
        <w:rPr>
          <w:rFonts w:ascii="Arial"/>
          <w:b/>
          <w:sz w:val="22"/>
        </w:rPr>
      </w:pPr>
    </w:p>
    <w:p>
      <w:pPr>
        <w:spacing w:before="160"/>
        <w:ind w:left="1723" w:right="0" w:firstLine="0"/>
        <w:jc w:val="both"/>
        <w:rPr>
          <w:rFonts w:ascii="Arial"/>
          <w:i/>
          <w:sz w:val="21"/>
        </w:rPr>
      </w:pPr>
      <w:r>
        <w:rPr>
          <w:rFonts w:ascii="Arial"/>
          <w:i/>
          <w:color w:val="231F20"/>
          <w:w w:val="105"/>
          <w:sz w:val="21"/>
        </w:rPr>
        <w:t>Agricultura</w:t>
      </w:r>
    </w:p>
    <w:p>
      <w:pPr>
        <w:pStyle w:val="BodyText"/>
        <w:spacing w:before="5"/>
        <w:rPr>
          <w:rFonts w:ascii="Arial"/>
          <w:i/>
          <w:sz w:val="24"/>
        </w:rPr>
      </w:pPr>
    </w:p>
    <w:p>
      <w:pPr>
        <w:pStyle w:val="BodyText"/>
        <w:spacing w:line="261" w:lineRule="auto" w:before="1"/>
        <w:ind w:left="1723" w:right="1834"/>
        <w:jc w:val="both"/>
      </w:pPr>
      <w:r>
        <w:rPr>
          <w:color w:val="231F20"/>
          <w:w w:val="105"/>
        </w:rPr>
        <w:t>El municipio de Amatepec es agrícola y ganadero con una importante participación de otros servicios. La agricultura del municipio es básica- mente</w:t>
      </w:r>
      <w:r>
        <w:rPr>
          <w:color w:val="231F20"/>
          <w:spacing w:val="-11"/>
          <w:w w:val="105"/>
        </w:rPr>
        <w:t> </w:t>
      </w:r>
      <w:r>
        <w:rPr>
          <w:color w:val="231F20"/>
          <w:w w:val="105"/>
        </w:rPr>
        <w:t>de</w:t>
      </w:r>
      <w:r>
        <w:rPr>
          <w:color w:val="231F20"/>
          <w:spacing w:val="-11"/>
          <w:w w:val="105"/>
        </w:rPr>
        <w:t> </w:t>
      </w:r>
      <w:r>
        <w:rPr>
          <w:color w:val="231F20"/>
          <w:w w:val="105"/>
        </w:rPr>
        <w:t>temporal,</w:t>
      </w:r>
      <w:r>
        <w:rPr>
          <w:color w:val="231F20"/>
          <w:spacing w:val="-17"/>
          <w:w w:val="105"/>
        </w:rPr>
        <w:t> </w:t>
      </w:r>
      <w:r>
        <w:rPr>
          <w:color w:val="231F20"/>
          <w:w w:val="105"/>
        </w:rPr>
        <w:t>ya</w:t>
      </w:r>
      <w:r>
        <w:rPr>
          <w:color w:val="231F20"/>
          <w:spacing w:val="-11"/>
          <w:w w:val="105"/>
        </w:rPr>
        <w:t> </w:t>
      </w:r>
      <w:r>
        <w:rPr>
          <w:color w:val="231F20"/>
          <w:w w:val="105"/>
        </w:rPr>
        <w:t>que</w:t>
      </w:r>
      <w:r>
        <w:rPr>
          <w:color w:val="231F20"/>
          <w:spacing w:val="-11"/>
          <w:w w:val="105"/>
        </w:rPr>
        <w:t> </w:t>
      </w:r>
      <w:r>
        <w:rPr>
          <w:color w:val="231F20"/>
          <w:w w:val="105"/>
        </w:rPr>
        <w:t>sólo</w:t>
      </w:r>
      <w:r>
        <w:rPr>
          <w:color w:val="231F20"/>
          <w:spacing w:val="-11"/>
          <w:w w:val="105"/>
        </w:rPr>
        <w:t> </w:t>
      </w:r>
      <w:r>
        <w:rPr>
          <w:color w:val="231F20"/>
          <w:w w:val="105"/>
        </w:rPr>
        <w:t>un</w:t>
      </w:r>
      <w:r>
        <w:rPr>
          <w:color w:val="231F20"/>
          <w:spacing w:val="-11"/>
          <w:w w:val="105"/>
        </w:rPr>
        <w:t> </w:t>
      </w:r>
      <w:r>
        <w:rPr>
          <w:color w:val="231F20"/>
          <w:w w:val="105"/>
        </w:rPr>
        <w:t>0.3%</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terrenos</w:t>
      </w:r>
      <w:r>
        <w:rPr>
          <w:color w:val="231F20"/>
          <w:spacing w:val="-11"/>
          <w:w w:val="105"/>
        </w:rPr>
        <w:t> </w:t>
      </w:r>
      <w:r>
        <w:rPr>
          <w:color w:val="231F20"/>
          <w:w w:val="105"/>
        </w:rPr>
        <w:t>fueron</w:t>
      </w:r>
      <w:r>
        <w:rPr>
          <w:color w:val="231F20"/>
          <w:spacing w:val="-11"/>
          <w:w w:val="105"/>
        </w:rPr>
        <w:t> </w:t>
      </w:r>
      <w:r>
        <w:rPr>
          <w:color w:val="231F20"/>
          <w:w w:val="105"/>
        </w:rPr>
        <w:t>irrigados en 2012. Los principales cultivos del municipio son el maíz y los pastos y</w:t>
      </w:r>
      <w:r>
        <w:rPr>
          <w:color w:val="231F20"/>
          <w:spacing w:val="-7"/>
          <w:w w:val="105"/>
        </w:rPr>
        <w:t> </w:t>
      </w:r>
      <w:r>
        <w:rPr>
          <w:color w:val="231F20"/>
          <w:w w:val="105"/>
        </w:rPr>
        <w:t>praderas</w:t>
      </w:r>
      <w:r>
        <w:rPr>
          <w:color w:val="231F20"/>
          <w:spacing w:val="-7"/>
          <w:w w:val="105"/>
        </w:rPr>
        <w:t> </w:t>
      </w:r>
      <w:r>
        <w:rPr>
          <w:color w:val="231F20"/>
          <w:w w:val="105"/>
        </w:rPr>
        <w:t>inducidos.</w:t>
      </w:r>
      <w:r>
        <w:rPr>
          <w:color w:val="231F20"/>
          <w:spacing w:val="-12"/>
          <w:w w:val="105"/>
        </w:rPr>
        <w:t> </w:t>
      </w:r>
      <w:r>
        <w:rPr>
          <w:color w:val="231F20"/>
          <w:w w:val="105"/>
        </w:rPr>
        <w:t>Otros</w:t>
      </w:r>
      <w:r>
        <w:rPr>
          <w:color w:val="231F20"/>
          <w:spacing w:val="-7"/>
          <w:w w:val="105"/>
        </w:rPr>
        <w:t> </w:t>
      </w:r>
      <w:r>
        <w:rPr>
          <w:color w:val="231F20"/>
          <w:w w:val="105"/>
        </w:rPr>
        <w:t>cultivos</w:t>
      </w:r>
      <w:r>
        <w:rPr>
          <w:color w:val="231F20"/>
          <w:spacing w:val="-7"/>
          <w:w w:val="105"/>
        </w:rPr>
        <w:t> </w:t>
      </w:r>
      <w:r>
        <w:rPr>
          <w:color w:val="231F20"/>
          <w:w w:val="105"/>
        </w:rPr>
        <w:t>ocupan</w:t>
      </w:r>
      <w:r>
        <w:rPr>
          <w:color w:val="231F20"/>
          <w:spacing w:val="-7"/>
          <w:w w:val="105"/>
        </w:rPr>
        <w:t> </w:t>
      </w:r>
      <w:r>
        <w:rPr>
          <w:color w:val="231F20"/>
          <w:w w:val="105"/>
        </w:rPr>
        <w:t>una</w:t>
      </w:r>
      <w:r>
        <w:rPr>
          <w:color w:val="231F20"/>
          <w:spacing w:val="-7"/>
          <w:w w:val="105"/>
        </w:rPr>
        <w:t> </w:t>
      </w:r>
      <w:r>
        <w:rPr>
          <w:color w:val="231F20"/>
          <w:w w:val="105"/>
        </w:rPr>
        <w:t>superficie</w:t>
      </w:r>
      <w:r>
        <w:rPr>
          <w:color w:val="231F20"/>
          <w:spacing w:val="-7"/>
          <w:w w:val="105"/>
        </w:rPr>
        <w:t> </w:t>
      </w:r>
      <w:r>
        <w:rPr>
          <w:color w:val="231F20"/>
          <w:w w:val="105"/>
        </w:rPr>
        <w:t>muy</w:t>
      </w:r>
      <w:r>
        <w:rPr>
          <w:color w:val="231F20"/>
          <w:spacing w:val="-7"/>
          <w:w w:val="105"/>
        </w:rPr>
        <w:t> </w:t>
      </w:r>
      <w:r>
        <w:rPr>
          <w:color w:val="231F20"/>
          <w:w w:val="105"/>
        </w:rPr>
        <w:t>inferior; no obstante, destacan algunos cultivos perennes, como durazno y</w:t>
      </w:r>
      <w:r>
        <w:rPr>
          <w:color w:val="231F20"/>
          <w:spacing w:val="-15"/>
          <w:w w:val="105"/>
        </w:rPr>
        <w:t> </w:t>
      </w:r>
      <w:r>
        <w:rPr>
          <w:color w:val="231F20"/>
          <w:w w:val="105"/>
        </w:rPr>
        <w:t>café cereza</w:t>
      </w:r>
      <w:r>
        <w:rPr>
          <w:color w:val="231F20"/>
          <w:spacing w:val="-33"/>
          <w:w w:val="105"/>
        </w:rPr>
        <w:t> </w:t>
      </w:r>
      <w:r>
        <w:rPr>
          <w:color w:val="231F20"/>
          <w:w w:val="105"/>
        </w:rPr>
        <w:t>(ver</w:t>
      </w:r>
      <w:r>
        <w:rPr>
          <w:color w:val="231F20"/>
          <w:spacing w:val="-33"/>
          <w:w w:val="105"/>
        </w:rPr>
        <w:t> </w:t>
      </w:r>
      <w:r>
        <w:rPr>
          <w:color w:val="231F20"/>
          <w:w w:val="105"/>
        </w:rPr>
        <w:t>cuadro</w:t>
      </w:r>
      <w:r>
        <w:rPr>
          <w:color w:val="231F20"/>
          <w:spacing w:val="-33"/>
          <w:w w:val="105"/>
        </w:rPr>
        <w:t> </w:t>
      </w:r>
      <w:r>
        <w:rPr>
          <w:color w:val="231F20"/>
          <w:w w:val="105"/>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0352" from="131.551193pt,3.703715pt" to="131.551193pt,39.506114pt" stroked="true" strokeweight=".35pt" strokecolor="#231f20">
            <w10:wrap type="none"/>
          </v:line>
        </w:pict>
      </w:r>
      <w:r>
        <w:rPr/>
        <w:pict>
          <v:line style="position:absolute;mso-position-horizontal-relative:page;mso-position-vertical-relative:paragraph;z-index:-450280" from="15pt,39.505917pt" to="0pt,39.505917pt" stroked="true" strokeweight=".25pt" strokecolor="#000000">
            <w10:wrap type="none"/>
          </v:line>
        </w:pict>
      </w:r>
      <w:r>
        <w:rPr/>
        <w:pict>
          <v:line style="position:absolute;mso-position-horizontal-relative:page;mso-position-vertical-relative:paragraph;z-index:39928" from="508.890015pt,39.505917pt" to="523.890015pt,39.505917pt" stroked="true" strokeweight=".25pt" strokecolor="#000000">
            <w10:wrap type="none"/>
          </v:line>
        </w:pict>
      </w:r>
      <w:r>
        <w:rPr>
          <w:rFonts w:ascii="Arial" w:hAnsi="Arial"/>
          <w:color w:val="414042"/>
          <w:position w:val="-5"/>
          <w:sz w:val="20"/>
        </w:rPr>
        <w:t>334</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50136" from="15pt,715.487793pt" to="0pt,715.487793pt" stroked="true" strokeweight=".25pt" strokecolor="#000000">
            <w10:wrap type="none"/>
          </v:line>
        </w:pict>
      </w:r>
      <w:r>
        <w:rPr/>
        <w:pict>
          <v:line style="position:absolute;mso-position-horizontal-relative:page;mso-position-vertical-relative:page;z-index:40072"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50208" from="405.061005pt,-18.554295pt" to="405.061005pt,16.311579pt" stroked="true" strokeweight=".35pt" strokecolor="#231f20">
            <w10:wrap type="none"/>
          </v:line>
        </w:pict>
      </w:r>
      <w:r>
        <w:rPr/>
        <w:pict>
          <v:line style="position:absolute;mso-position-horizontal-relative:page;mso-position-vertical-relative:paragraph;z-index:40000" from="15pt,-18.554522pt" to="0pt,-18.554522pt" stroked="true" strokeweight=".25pt" strokecolor="#000000">
            <w10:wrap type="none"/>
          </v:line>
        </w:pict>
      </w:r>
      <w:r>
        <w:rPr/>
        <w:pict>
          <v:line style="position:absolute;mso-position-horizontal-relative:page;mso-position-vertical-relative:paragraph;z-index:40024"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335</w:t>
      </w:r>
    </w:p>
    <w:p>
      <w:pPr>
        <w:spacing w:line="249" w:lineRule="auto" w:before="592"/>
        <w:ind w:left="3679" w:right="2089" w:hanging="1467"/>
        <w:jc w:val="left"/>
        <w:rPr>
          <w:rFonts w:ascii="Arial" w:hAnsi="Arial"/>
          <w:sz w:val="18"/>
        </w:rPr>
      </w:pPr>
      <w:r>
        <w:rPr>
          <w:rFonts w:ascii="Arial" w:hAnsi="Arial"/>
          <w:color w:val="231F20"/>
          <w:w w:val="105"/>
          <w:sz w:val="18"/>
        </w:rPr>
        <w:t>Cuadro</w:t>
      </w:r>
      <w:r>
        <w:rPr>
          <w:rFonts w:ascii="Arial" w:hAnsi="Arial"/>
          <w:color w:val="231F20"/>
          <w:spacing w:val="-10"/>
          <w:w w:val="105"/>
          <w:sz w:val="18"/>
        </w:rPr>
        <w:t> </w:t>
      </w:r>
      <w:r>
        <w:rPr>
          <w:rFonts w:ascii="Arial" w:hAnsi="Arial"/>
          <w:color w:val="231F20"/>
          <w:w w:val="105"/>
          <w:sz w:val="18"/>
        </w:rPr>
        <w:t>1.</w:t>
      </w:r>
      <w:r>
        <w:rPr>
          <w:rFonts w:ascii="Arial" w:hAnsi="Arial"/>
          <w:color w:val="231F20"/>
          <w:spacing w:val="-15"/>
          <w:w w:val="105"/>
          <w:sz w:val="18"/>
        </w:rPr>
        <w:t> </w:t>
      </w:r>
      <w:r>
        <w:rPr>
          <w:rFonts w:ascii="Arial" w:hAnsi="Arial"/>
          <w:color w:val="231F20"/>
          <w:w w:val="105"/>
          <w:sz w:val="18"/>
        </w:rPr>
        <w:t>Municipio</w:t>
      </w:r>
      <w:r>
        <w:rPr>
          <w:rFonts w:ascii="Arial" w:hAnsi="Arial"/>
          <w:color w:val="231F20"/>
          <w:spacing w:val="-10"/>
          <w:w w:val="105"/>
          <w:sz w:val="18"/>
        </w:rPr>
        <w:t> </w:t>
      </w:r>
      <w:r>
        <w:rPr>
          <w:rFonts w:ascii="Arial" w:hAnsi="Arial"/>
          <w:color w:val="231F20"/>
          <w:w w:val="105"/>
          <w:sz w:val="18"/>
        </w:rPr>
        <w:t>de</w:t>
      </w:r>
      <w:r>
        <w:rPr>
          <w:rFonts w:ascii="Arial" w:hAnsi="Arial"/>
          <w:color w:val="231F20"/>
          <w:spacing w:val="-13"/>
          <w:w w:val="105"/>
          <w:sz w:val="18"/>
        </w:rPr>
        <w:t> </w:t>
      </w:r>
      <w:r>
        <w:rPr>
          <w:rFonts w:ascii="Arial" w:hAnsi="Arial"/>
          <w:color w:val="231F20"/>
          <w:w w:val="105"/>
          <w:sz w:val="18"/>
        </w:rPr>
        <w:t>Amatepec,</w:t>
      </w:r>
      <w:r>
        <w:rPr>
          <w:rFonts w:ascii="Arial" w:hAnsi="Arial"/>
          <w:color w:val="231F20"/>
          <w:spacing w:val="-15"/>
          <w:w w:val="105"/>
          <w:sz w:val="18"/>
        </w:rPr>
        <w:t> </w:t>
      </w:r>
      <w:r>
        <w:rPr>
          <w:rFonts w:ascii="Arial" w:hAnsi="Arial"/>
          <w:color w:val="231F20"/>
          <w:w w:val="105"/>
          <w:sz w:val="18"/>
        </w:rPr>
        <w:t>superficie</w:t>
      </w:r>
      <w:r>
        <w:rPr>
          <w:rFonts w:ascii="Arial" w:hAnsi="Arial"/>
          <w:color w:val="231F20"/>
          <w:spacing w:val="-10"/>
          <w:w w:val="105"/>
          <w:sz w:val="18"/>
        </w:rPr>
        <w:t> </w:t>
      </w:r>
      <w:r>
        <w:rPr>
          <w:rFonts w:ascii="Arial" w:hAnsi="Arial"/>
          <w:color w:val="231F20"/>
          <w:w w:val="105"/>
          <w:sz w:val="18"/>
        </w:rPr>
        <w:t>cosechada</w:t>
      </w:r>
      <w:r>
        <w:rPr>
          <w:rFonts w:ascii="Arial" w:hAnsi="Arial"/>
          <w:color w:val="231F20"/>
          <w:spacing w:val="-10"/>
          <w:w w:val="105"/>
          <w:sz w:val="18"/>
        </w:rPr>
        <w:t> </w:t>
      </w:r>
      <w:r>
        <w:rPr>
          <w:rFonts w:ascii="Arial" w:hAnsi="Arial"/>
          <w:color w:val="231F20"/>
          <w:w w:val="105"/>
          <w:sz w:val="18"/>
        </w:rPr>
        <w:t>según</w:t>
      </w:r>
      <w:r>
        <w:rPr>
          <w:rFonts w:ascii="Arial" w:hAnsi="Arial"/>
          <w:color w:val="231F20"/>
          <w:spacing w:val="-10"/>
          <w:w w:val="105"/>
          <w:sz w:val="18"/>
        </w:rPr>
        <w:t> </w:t>
      </w:r>
      <w:r>
        <w:rPr>
          <w:rFonts w:ascii="Arial" w:hAnsi="Arial"/>
          <w:color w:val="231F20"/>
          <w:w w:val="105"/>
          <w:sz w:val="18"/>
        </w:rPr>
        <w:t>principales cultivos,</w:t>
      </w:r>
      <w:r>
        <w:rPr>
          <w:rFonts w:ascii="Arial" w:hAnsi="Arial"/>
          <w:color w:val="231F20"/>
          <w:spacing w:val="-30"/>
          <w:w w:val="105"/>
          <w:sz w:val="18"/>
        </w:rPr>
        <w:t> </w:t>
      </w:r>
      <w:r>
        <w:rPr>
          <w:rFonts w:ascii="Arial" w:hAnsi="Arial"/>
          <w:color w:val="231F20"/>
          <w:w w:val="105"/>
          <w:sz w:val="18"/>
        </w:rPr>
        <w:t>año</w:t>
      </w:r>
      <w:r>
        <w:rPr>
          <w:rFonts w:ascii="Arial" w:hAnsi="Arial"/>
          <w:color w:val="231F20"/>
          <w:spacing w:val="-27"/>
          <w:w w:val="105"/>
          <w:sz w:val="18"/>
        </w:rPr>
        <w:t> </w:t>
      </w:r>
      <w:r>
        <w:rPr>
          <w:rFonts w:ascii="Arial" w:hAnsi="Arial"/>
          <w:color w:val="231F20"/>
          <w:w w:val="105"/>
          <w:sz w:val="18"/>
        </w:rPr>
        <w:t>agrícola,</w:t>
      </w:r>
      <w:r>
        <w:rPr>
          <w:rFonts w:ascii="Arial" w:hAnsi="Arial"/>
          <w:color w:val="231F20"/>
          <w:spacing w:val="-30"/>
          <w:w w:val="105"/>
          <w:sz w:val="18"/>
        </w:rPr>
        <w:t> </w:t>
      </w:r>
      <w:r>
        <w:rPr>
          <w:rFonts w:ascii="Arial" w:hAnsi="Arial"/>
          <w:color w:val="231F20"/>
          <w:w w:val="105"/>
          <w:sz w:val="18"/>
        </w:rPr>
        <w:t>2012</w:t>
      </w:r>
      <w:r>
        <w:rPr>
          <w:rFonts w:ascii="Arial" w:hAnsi="Arial"/>
          <w:color w:val="231F20"/>
          <w:spacing w:val="-27"/>
          <w:w w:val="105"/>
          <w:sz w:val="18"/>
        </w:rPr>
        <w:t> </w:t>
      </w:r>
      <w:r>
        <w:rPr>
          <w:rFonts w:ascii="Arial" w:hAnsi="Arial"/>
          <w:color w:val="231F20"/>
          <w:w w:val="105"/>
          <w:sz w:val="18"/>
        </w:rPr>
        <w:t>(Hectáreas)</w:t>
      </w:r>
    </w:p>
    <w:p>
      <w:pPr>
        <w:pStyle w:val="BodyText"/>
        <w:spacing w:before="9"/>
        <w:rPr>
          <w:rFonts w:ascii="Arial"/>
          <w:sz w:val="12"/>
        </w:rPr>
      </w:pPr>
    </w:p>
    <w:tbl>
      <w:tblPr>
        <w:tblW w:w="0" w:type="auto"/>
        <w:jc w:val="left"/>
        <w:tblInd w:w="2188"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013"/>
        <w:gridCol w:w="907"/>
        <w:gridCol w:w="1191"/>
        <w:gridCol w:w="907"/>
        <w:gridCol w:w="1191"/>
      </w:tblGrid>
      <w:tr>
        <w:trPr>
          <w:trHeight w:val="556" w:hRule="exact"/>
        </w:trPr>
        <w:tc>
          <w:tcPr>
            <w:tcW w:w="2013" w:type="dxa"/>
            <w:vMerge w:val="restart"/>
          </w:tcPr>
          <w:p>
            <w:pPr>
              <w:pStyle w:val="TableParagraph"/>
              <w:spacing w:before="366"/>
              <w:ind w:left="695" w:right="695"/>
              <w:jc w:val="center"/>
              <w:rPr>
                <w:rFonts w:ascii="Arial"/>
                <w:sz w:val="18"/>
              </w:rPr>
            </w:pPr>
            <w:r>
              <w:rPr>
                <w:rFonts w:ascii="Arial"/>
                <w:color w:val="231F20"/>
                <w:w w:val="105"/>
                <w:sz w:val="18"/>
              </w:rPr>
              <w:t>Cultivo</w:t>
            </w:r>
          </w:p>
        </w:tc>
        <w:tc>
          <w:tcPr>
            <w:tcW w:w="907" w:type="dxa"/>
          </w:tcPr>
          <w:p>
            <w:pPr>
              <w:pStyle w:val="TableParagraph"/>
              <w:spacing w:line="249" w:lineRule="auto" w:before="88"/>
              <w:ind w:left="117" w:firstLine="38"/>
              <w:rPr>
                <w:rFonts w:ascii="Arial" w:hAnsi="Arial"/>
                <w:sz w:val="18"/>
              </w:rPr>
            </w:pPr>
            <w:r>
              <w:rPr>
                <w:rFonts w:ascii="Arial" w:hAnsi="Arial"/>
                <w:color w:val="231F20"/>
                <w:w w:val="105"/>
                <w:sz w:val="18"/>
              </w:rPr>
              <w:t>Otoño- Invierno</w:t>
            </w:r>
          </w:p>
        </w:tc>
        <w:tc>
          <w:tcPr>
            <w:tcW w:w="1191" w:type="dxa"/>
          </w:tcPr>
          <w:p>
            <w:pPr>
              <w:pStyle w:val="TableParagraph"/>
              <w:spacing w:line="249" w:lineRule="auto" w:before="88"/>
              <w:ind w:left="302" w:hanging="141"/>
              <w:rPr>
                <w:rFonts w:ascii="Arial"/>
                <w:sz w:val="18"/>
              </w:rPr>
            </w:pPr>
            <w:r>
              <w:rPr>
                <w:rFonts w:ascii="Arial"/>
                <w:color w:val="231F20"/>
                <w:sz w:val="18"/>
              </w:rPr>
              <w:t>Primavera- Verano</w:t>
            </w:r>
          </w:p>
        </w:tc>
        <w:tc>
          <w:tcPr>
            <w:tcW w:w="2098" w:type="dxa"/>
            <w:gridSpan w:val="2"/>
          </w:tcPr>
          <w:p>
            <w:pPr>
              <w:pStyle w:val="TableParagraph"/>
              <w:spacing w:before="1"/>
              <w:rPr>
                <w:rFonts w:ascii="Arial"/>
                <w:sz w:val="17"/>
              </w:rPr>
            </w:pPr>
          </w:p>
          <w:p>
            <w:pPr>
              <w:pStyle w:val="TableParagraph"/>
              <w:spacing w:before="0"/>
              <w:ind w:left="671"/>
              <w:rPr>
                <w:rFonts w:ascii="Arial"/>
                <w:sz w:val="18"/>
              </w:rPr>
            </w:pPr>
            <w:r>
              <w:rPr>
                <w:rFonts w:ascii="Arial"/>
                <w:color w:val="231F20"/>
                <w:sz w:val="18"/>
              </w:rPr>
              <w:t>Perennes</w:t>
            </w:r>
          </w:p>
        </w:tc>
      </w:tr>
      <w:tr>
        <w:trPr>
          <w:trHeight w:val="340" w:hRule="exact"/>
        </w:trPr>
        <w:tc>
          <w:tcPr>
            <w:tcW w:w="2013" w:type="dxa"/>
            <w:vMerge/>
          </w:tcPr>
          <w:p>
            <w:pPr/>
          </w:p>
        </w:tc>
        <w:tc>
          <w:tcPr>
            <w:tcW w:w="907" w:type="dxa"/>
          </w:tcPr>
          <w:p>
            <w:pPr>
              <w:pStyle w:val="TableParagraph"/>
              <w:spacing w:before="88"/>
              <w:ind w:right="209"/>
              <w:jc w:val="right"/>
              <w:rPr>
                <w:rFonts w:ascii="Arial"/>
                <w:sz w:val="18"/>
              </w:rPr>
            </w:pPr>
            <w:r>
              <w:rPr>
                <w:rFonts w:ascii="Arial"/>
                <w:color w:val="231F20"/>
                <w:sz w:val="18"/>
              </w:rPr>
              <w:t>Riego</w:t>
            </w:r>
          </w:p>
        </w:tc>
        <w:tc>
          <w:tcPr>
            <w:tcW w:w="1191" w:type="dxa"/>
          </w:tcPr>
          <w:p>
            <w:pPr>
              <w:pStyle w:val="TableParagraph"/>
              <w:spacing w:before="88"/>
              <w:ind w:right="205"/>
              <w:jc w:val="right"/>
              <w:rPr>
                <w:rFonts w:ascii="Arial"/>
                <w:sz w:val="18"/>
              </w:rPr>
            </w:pPr>
            <w:r>
              <w:rPr>
                <w:rFonts w:ascii="Arial"/>
                <w:color w:val="231F20"/>
                <w:w w:val="105"/>
                <w:sz w:val="18"/>
              </w:rPr>
              <w:t>Temporal</w:t>
            </w:r>
          </w:p>
        </w:tc>
        <w:tc>
          <w:tcPr>
            <w:tcW w:w="907" w:type="dxa"/>
          </w:tcPr>
          <w:p>
            <w:pPr>
              <w:pStyle w:val="TableParagraph"/>
              <w:spacing w:before="88"/>
              <w:ind w:right="209"/>
              <w:jc w:val="right"/>
              <w:rPr>
                <w:rFonts w:ascii="Arial"/>
                <w:sz w:val="18"/>
              </w:rPr>
            </w:pPr>
            <w:r>
              <w:rPr>
                <w:rFonts w:ascii="Arial"/>
                <w:color w:val="231F20"/>
                <w:sz w:val="18"/>
              </w:rPr>
              <w:t>Riego</w:t>
            </w:r>
          </w:p>
        </w:tc>
        <w:tc>
          <w:tcPr>
            <w:tcW w:w="1191" w:type="dxa"/>
          </w:tcPr>
          <w:p>
            <w:pPr>
              <w:pStyle w:val="TableParagraph"/>
              <w:spacing w:before="88"/>
              <w:ind w:right="205"/>
              <w:jc w:val="right"/>
              <w:rPr>
                <w:rFonts w:ascii="Arial"/>
                <w:sz w:val="18"/>
              </w:rPr>
            </w:pPr>
            <w:r>
              <w:rPr>
                <w:rFonts w:ascii="Arial"/>
                <w:color w:val="231F20"/>
                <w:w w:val="105"/>
                <w:sz w:val="18"/>
              </w:rPr>
              <w:t>Temporal</w:t>
            </w:r>
          </w:p>
        </w:tc>
      </w:tr>
      <w:tr>
        <w:trPr>
          <w:trHeight w:val="340" w:hRule="exact"/>
        </w:trPr>
        <w:tc>
          <w:tcPr>
            <w:tcW w:w="2013" w:type="dxa"/>
          </w:tcPr>
          <w:p>
            <w:pPr>
              <w:pStyle w:val="TableParagraph"/>
              <w:ind w:left="77"/>
              <w:rPr>
                <w:sz w:val="18"/>
              </w:rPr>
            </w:pPr>
            <w:r>
              <w:rPr>
                <w:color w:val="231F20"/>
                <w:w w:val="95"/>
                <w:sz w:val="18"/>
              </w:rPr>
              <w:t>CULTIVOS CÍCLICOS</w:t>
            </w:r>
          </w:p>
        </w:tc>
        <w:tc>
          <w:tcPr>
            <w:tcW w:w="907" w:type="dxa"/>
          </w:tcPr>
          <w:p>
            <w:pPr>
              <w:pStyle w:val="TableParagraph"/>
              <w:ind w:right="223"/>
              <w:jc w:val="right"/>
              <w:rPr>
                <w:sz w:val="18"/>
              </w:rPr>
            </w:pPr>
            <w:r>
              <w:rPr>
                <w:color w:val="231F20"/>
                <w:sz w:val="18"/>
              </w:rPr>
              <w:t>42.0</w:t>
            </w:r>
          </w:p>
        </w:tc>
        <w:tc>
          <w:tcPr>
            <w:tcW w:w="1191" w:type="dxa"/>
          </w:tcPr>
          <w:p>
            <w:pPr>
              <w:pStyle w:val="TableParagraph"/>
              <w:ind w:right="223"/>
              <w:jc w:val="right"/>
              <w:rPr>
                <w:sz w:val="18"/>
              </w:rPr>
            </w:pPr>
            <w:r>
              <w:rPr>
                <w:color w:val="231F20"/>
                <w:sz w:val="18"/>
              </w:rPr>
              <w:t>11,991.0</w:t>
            </w:r>
          </w:p>
        </w:tc>
        <w:tc>
          <w:tcPr>
            <w:tcW w:w="907" w:type="dxa"/>
          </w:tcPr>
          <w:p>
            <w:pPr/>
          </w:p>
        </w:tc>
        <w:tc>
          <w:tcPr>
            <w:tcW w:w="1191" w:type="dxa"/>
          </w:tcPr>
          <w:p>
            <w:pPr/>
          </w:p>
        </w:tc>
      </w:tr>
      <w:tr>
        <w:trPr>
          <w:trHeight w:val="340" w:hRule="exact"/>
        </w:trPr>
        <w:tc>
          <w:tcPr>
            <w:tcW w:w="2013" w:type="dxa"/>
          </w:tcPr>
          <w:p>
            <w:pPr>
              <w:pStyle w:val="TableParagraph"/>
              <w:ind w:left="77"/>
              <w:rPr>
                <w:sz w:val="18"/>
              </w:rPr>
            </w:pPr>
            <w:r>
              <w:rPr>
                <w:color w:val="231F20"/>
                <w:w w:val="105"/>
                <w:sz w:val="18"/>
              </w:rPr>
              <w:t>Maíz grano</w:t>
            </w:r>
          </w:p>
        </w:tc>
        <w:tc>
          <w:tcPr>
            <w:tcW w:w="907" w:type="dxa"/>
          </w:tcPr>
          <w:p>
            <w:pPr>
              <w:pStyle w:val="TableParagraph"/>
              <w:ind w:right="223"/>
              <w:jc w:val="right"/>
              <w:rPr>
                <w:sz w:val="18"/>
              </w:rPr>
            </w:pPr>
            <w:r>
              <w:rPr>
                <w:color w:val="231F20"/>
                <w:sz w:val="18"/>
              </w:rPr>
              <w:t>3.0</w:t>
            </w:r>
          </w:p>
        </w:tc>
        <w:tc>
          <w:tcPr>
            <w:tcW w:w="1191" w:type="dxa"/>
          </w:tcPr>
          <w:p>
            <w:pPr>
              <w:pStyle w:val="TableParagraph"/>
              <w:ind w:right="223"/>
              <w:jc w:val="right"/>
              <w:rPr>
                <w:sz w:val="18"/>
              </w:rPr>
            </w:pPr>
            <w:r>
              <w:rPr>
                <w:color w:val="231F20"/>
                <w:sz w:val="18"/>
              </w:rPr>
              <w:t>11,890.0</w:t>
            </w:r>
          </w:p>
        </w:tc>
        <w:tc>
          <w:tcPr>
            <w:tcW w:w="907" w:type="dxa"/>
          </w:tcPr>
          <w:p>
            <w:pPr/>
          </w:p>
        </w:tc>
        <w:tc>
          <w:tcPr>
            <w:tcW w:w="1191" w:type="dxa"/>
          </w:tcPr>
          <w:p>
            <w:pPr/>
          </w:p>
        </w:tc>
      </w:tr>
      <w:tr>
        <w:trPr>
          <w:trHeight w:val="340" w:hRule="exact"/>
        </w:trPr>
        <w:tc>
          <w:tcPr>
            <w:tcW w:w="2013" w:type="dxa"/>
          </w:tcPr>
          <w:p>
            <w:pPr>
              <w:pStyle w:val="TableParagraph"/>
              <w:ind w:left="77"/>
              <w:rPr>
                <w:sz w:val="18"/>
              </w:rPr>
            </w:pPr>
            <w:r>
              <w:rPr>
                <w:color w:val="231F20"/>
                <w:w w:val="105"/>
                <w:sz w:val="18"/>
              </w:rPr>
              <w:t>Frijol</w:t>
            </w:r>
          </w:p>
        </w:tc>
        <w:tc>
          <w:tcPr>
            <w:tcW w:w="907" w:type="dxa"/>
          </w:tcPr>
          <w:p>
            <w:pPr>
              <w:pStyle w:val="TableParagraph"/>
              <w:ind w:right="222"/>
              <w:jc w:val="right"/>
              <w:rPr>
                <w:sz w:val="18"/>
              </w:rPr>
            </w:pPr>
            <w:r>
              <w:rPr>
                <w:color w:val="231F20"/>
                <w:w w:val="96"/>
                <w:sz w:val="18"/>
              </w:rPr>
              <w:t>-</w:t>
            </w:r>
          </w:p>
        </w:tc>
        <w:tc>
          <w:tcPr>
            <w:tcW w:w="1191" w:type="dxa"/>
          </w:tcPr>
          <w:p>
            <w:pPr>
              <w:pStyle w:val="TableParagraph"/>
              <w:ind w:right="223"/>
              <w:jc w:val="right"/>
              <w:rPr>
                <w:sz w:val="18"/>
              </w:rPr>
            </w:pPr>
            <w:r>
              <w:rPr>
                <w:color w:val="231F20"/>
                <w:sz w:val="18"/>
              </w:rPr>
              <w:t>5.0</w:t>
            </w:r>
          </w:p>
        </w:tc>
        <w:tc>
          <w:tcPr>
            <w:tcW w:w="907" w:type="dxa"/>
          </w:tcPr>
          <w:p>
            <w:pPr/>
          </w:p>
        </w:tc>
        <w:tc>
          <w:tcPr>
            <w:tcW w:w="1191" w:type="dxa"/>
          </w:tcPr>
          <w:p>
            <w:pPr/>
          </w:p>
        </w:tc>
      </w:tr>
      <w:tr>
        <w:trPr>
          <w:trHeight w:val="340" w:hRule="exact"/>
        </w:trPr>
        <w:tc>
          <w:tcPr>
            <w:tcW w:w="2013" w:type="dxa"/>
          </w:tcPr>
          <w:p>
            <w:pPr>
              <w:pStyle w:val="TableParagraph"/>
              <w:ind w:left="77"/>
              <w:rPr>
                <w:sz w:val="18"/>
              </w:rPr>
            </w:pPr>
            <w:r>
              <w:rPr>
                <w:color w:val="231F20"/>
                <w:sz w:val="18"/>
              </w:rPr>
              <w:t>Forrajes verdes</w:t>
            </w:r>
          </w:p>
        </w:tc>
        <w:tc>
          <w:tcPr>
            <w:tcW w:w="907" w:type="dxa"/>
          </w:tcPr>
          <w:p>
            <w:pPr>
              <w:pStyle w:val="TableParagraph"/>
              <w:ind w:right="223"/>
              <w:jc w:val="right"/>
              <w:rPr>
                <w:sz w:val="18"/>
              </w:rPr>
            </w:pPr>
            <w:r>
              <w:rPr>
                <w:color w:val="231F20"/>
                <w:sz w:val="18"/>
              </w:rPr>
              <w:t>15.5</w:t>
            </w:r>
          </w:p>
        </w:tc>
        <w:tc>
          <w:tcPr>
            <w:tcW w:w="1191" w:type="dxa"/>
          </w:tcPr>
          <w:p>
            <w:pPr>
              <w:pStyle w:val="TableParagraph"/>
              <w:ind w:right="223"/>
              <w:jc w:val="right"/>
              <w:rPr>
                <w:sz w:val="18"/>
              </w:rPr>
            </w:pPr>
            <w:r>
              <w:rPr>
                <w:color w:val="231F20"/>
                <w:sz w:val="18"/>
              </w:rPr>
              <w:t>80.0</w:t>
            </w:r>
          </w:p>
        </w:tc>
        <w:tc>
          <w:tcPr>
            <w:tcW w:w="907" w:type="dxa"/>
          </w:tcPr>
          <w:p>
            <w:pPr/>
          </w:p>
        </w:tc>
        <w:tc>
          <w:tcPr>
            <w:tcW w:w="1191" w:type="dxa"/>
          </w:tcPr>
          <w:p>
            <w:pPr/>
          </w:p>
        </w:tc>
      </w:tr>
      <w:tr>
        <w:trPr>
          <w:trHeight w:val="340" w:hRule="exact"/>
        </w:trPr>
        <w:tc>
          <w:tcPr>
            <w:tcW w:w="2013" w:type="dxa"/>
          </w:tcPr>
          <w:p>
            <w:pPr>
              <w:pStyle w:val="TableParagraph"/>
              <w:ind w:left="77"/>
              <w:rPr>
                <w:sz w:val="18"/>
              </w:rPr>
            </w:pPr>
            <w:r>
              <w:rPr>
                <w:color w:val="231F20"/>
                <w:sz w:val="18"/>
              </w:rPr>
              <w:t>Hortalizas</w:t>
            </w:r>
          </w:p>
        </w:tc>
        <w:tc>
          <w:tcPr>
            <w:tcW w:w="907" w:type="dxa"/>
          </w:tcPr>
          <w:p>
            <w:pPr>
              <w:pStyle w:val="TableParagraph"/>
              <w:ind w:right="223"/>
              <w:jc w:val="right"/>
              <w:rPr>
                <w:sz w:val="18"/>
              </w:rPr>
            </w:pPr>
            <w:r>
              <w:rPr>
                <w:color w:val="231F20"/>
                <w:sz w:val="18"/>
              </w:rPr>
              <w:t>23.5</w:t>
            </w:r>
          </w:p>
        </w:tc>
        <w:tc>
          <w:tcPr>
            <w:tcW w:w="1191" w:type="dxa"/>
          </w:tcPr>
          <w:p>
            <w:pPr>
              <w:pStyle w:val="TableParagraph"/>
              <w:ind w:right="223"/>
              <w:jc w:val="right"/>
              <w:rPr>
                <w:sz w:val="18"/>
              </w:rPr>
            </w:pPr>
            <w:r>
              <w:rPr>
                <w:color w:val="231F20"/>
                <w:sz w:val="18"/>
              </w:rPr>
              <w:t>16.0</w:t>
            </w:r>
          </w:p>
        </w:tc>
        <w:tc>
          <w:tcPr>
            <w:tcW w:w="907" w:type="dxa"/>
          </w:tcPr>
          <w:p>
            <w:pPr/>
          </w:p>
        </w:tc>
        <w:tc>
          <w:tcPr>
            <w:tcW w:w="1191" w:type="dxa"/>
          </w:tcPr>
          <w:p>
            <w:pPr/>
          </w:p>
        </w:tc>
      </w:tr>
      <w:tr>
        <w:trPr>
          <w:trHeight w:val="340" w:hRule="exact"/>
        </w:trPr>
        <w:tc>
          <w:tcPr>
            <w:tcW w:w="2013" w:type="dxa"/>
          </w:tcPr>
          <w:p>
            <w:pPr>
              <w:pStyle w:val="TableParagraph"/>
              <w:ind w:left="77"/>
              <w:rPr>
                <w:sz w:val="18"/>
              </w:rPr>
            </w:pPr>
            <w:r>
              <w:rPr>
                <w:color w:val="231F20"/>
                <w:w w:val="95"/>
                <w:sz w:val="18"/>
              </w:rPr>
              <w:t>CULTIVOS PERENNES</w:t>
            </w:r>
          </w:p>
        </w:tc>
        <w:tc>
          <w:tcPr>
            <w:tcW w:w="907" w:type="dxa"/>
          </w:tcPr>
          <w:p>
            <w:pPr/>
          </w:p>
        </w:tc>
        <w:tc>
          <w:tcPr>
            <w:tcW w:w="1191" w:type="dxa"/>
          </w:tcPr>
          <w:p>
            <w:pPr/>
          </w:p>
        </w:tc>
        <w:tc>
          <w:tcPr>
            <w:tcW w:w="907" w:type="dxa"/>
          </w:tcPr>
          <w:p>
            <w:pPr>
              <w:pStyle w:val="TableParagraph"/>
              <w:ind w:right="223"/>
              <w:jc w:val="right"/>
              <w:rPr>
                <w:sz w:val="18"/>
              </w:rPr>
            </w:pPr>
            <w:r>
              <w:rPr>
                <w:color w:val="231F20"/>
                <w:sz w:val="18"/>
              </w:rPr>
              <w:t>42.0</w:t>
            </w:r>
          </w:p>
        </w:tc>
        <w:tc>
          <w:tcPr>
            <w:tcW w:w="1191" w:type="dxa"/>
          </w:tcPr>
          <w:p>
            <w:pPr>
              <w:pStyle w:val="TableParagraph"/>
              <w:ind w:right="223"/>
              <w:jc w:val="right"/>
              <w:rPr>
                <w:sz w:val="18"/>
              </w:rPr>
            </w:pPr>
            <w:r>
              <w:rPr>
                <w:color w:val="231F20"/>
                <w:sz w:val="18"/>
              </w:rPr>
              <w:t>13,038.1</w:t>
            </w:r>
          </w:p>
        </w:tc>
      </w:tr>
      <w:tr>
        <w:trPr>
          <w:trHeight w:val="340" w:hRule="exact"/>
        </w:trPr>
        <w:tc>
          <w:tcPr>
            <w:tcW w:w="2013" w:type="dxa"/>
          </w:tcPr>
          <w:p>
            <w:pPr>
              <w:pStyle w:val="TableParagraph"/>
              <w:spacing w:before="92"/>
              <w:ind w:left="77"/>
              <w:rPr>
                <w:sz w:val="18"/>
              </w:rPr>
            </w:pPr>
            <w:r>
              <w:rPr>
                <w:color w:val="231F20"/>
                <w:sz w:val="18"/>
              </w:rPr>
              <w:t>Durazno</w:t>
            </w:r>
          </w:p>
        </w:tc>
        <w:tc>
          <w:tcPr>
            <w:tcW w:w="907" w:type="dxa"/>
          </w:tcPr>
          <w:p>
            <w:pPr/>
          </w:p>
        </w:tc>
        <w:tc>
          <w:tcPr>
            <w:tcW w:w="1191" w:type="dxa"/>
          </w:tcPr>
          <w:p>
            <w:pPr/>
          </w:p>
        </w:tc>
        <w:tc>
          <w:tcPr>
            <w:tcW w:w="907" w:type="dxa"/>
          </w:tcPr>
          <w:p>
            <w:pPr>
              <w:pStyle w:val="TableParagraph"/>
              <w:spacing w:before="92"/>
              <w:ind w:right="222"/>
              <w:jc w:val="right"/>
              <w:rPr>
                <w:sz w:val="18"/>
              </w:rPr>
            </w:pPr>
            <w:r>
              <w:rPr>
                <w:color w:val="231F20"/>
                <w:w w:val="96"/>
                <w:sz w:val="18"/>
              </w:rPr>
              <w:t>-</w:t>
            </w:r>
          </w:p>
        </w:tc>
        <w:tc>
          <w:tcPr>
            <w:tcW w:w="1191" w:type="dxa"/>
          </w:tcPr>
          <w:p>
            <w:pPr>
              <w:pStyle w:val="TableParagraph"/>
              <w:spacing w:before="92"/>
              <w:ind w:right="223"/>
              <w:jc w:val="right"/>
              <w:rPr>
                <w:sz w:val="18"/>
              </w:rPr>
            </w:pPr>
            <w:r>
              <w:rPr>
                <w:color w:val="231F20"/>
                <w:sz w:val="18"/>
              </w:rPr>
              <w:t>150.0</w:t>
            </w:r>
          </w:p>
        </w:tc>
      </w:tr>
      <w:tr>
        <w:trPr>
          <w:trHeight w:val="340" w:hRule="exact"/>
        </w:trPr>
        <w:tc>
          <w:tcPr>
            <w:tcW w:w="2013" w:type="dxa"/>
          </w:tcPr>
          <w:p>
            <w:pPr>
              <w:pStyle w:val="TableParagraph"/>
              <w:spacing w:before="92"/>
              <w:ind w:left="76"/>
              <w:rPr>
                <w:sz w:val="18"/>
              </w:rPr>
            </w:pPr>
            <w:r>
              <w:rPr>
                <w:color w:val="231F20"/>
                <w:sz w:val="18"/>
              </w:rPr>
              <w:t>Otros frutales</w:t>
            </w:r>
          </w:p>
        </w:tc>
        <w:tc>
          <w:tcPr>
            <w:tcW w:w="907" w:type="dxa"/>
          </w:tcPr>
          <w:p>
            <w:pPr/>
          </w:p>
        </w:tc>
        <w:tc>
          <w:tcPr>
            <w:tcW w:w="1191" w:type="dxa"/>
          </w:tcPr>
          <w:p>
            <w:pPr/>
          </w:p>
        </w:tc>
        <w:tc>
          <w:tcPr>
            <w:tcW w:w="907" w:type="dxa"/>
          </w:tcPr>
          <w:p>
            <w:pPr>
              <w:pStyle w:val="TableParagraph"/>
              <w:spacing w:before="92"/>
              <w:ind w:right="223"/>
              <w:jc w:val="right"/>
              <w:rPr>
                <w:sz w:val="18"/>
              </w:rPr>
            </w:pPr>
            <w:r>
              <w:rPr>
                <w:color w:val="231F20"/>
                <w:sz w:val="18"/>
              </w:rPr>
              <w:t>42.0</w:t>
            </w:r>
          </w:p>
        </w:tc>
        <w:tc>
          <w:tcPr>
            <w:tcW w:w="1191" w:type="dxa"/>
          </w:tcPr>
          <w:p>
            <w:pPr>
              <w:pStyle w:val="TableParagraph"/>
              <w:spacing w:before="92"/>
              <w:ind w:right="223"/>
              <w:jc w:val="right"/>
              <w:rPr>
                <w:sz w:val="18"/>
              </w:rPr>
            </w:pPr>
            <w:r>
              <w:rPr>
                <w:color w:val="231F20"/>
                <w:sz w:val="18"/>
              </w:rPr>
              <w:t>90.3</w:t>
            </w:r>
          </w:p>
        </w:tc>
      </w:tr>
      <w:tr>
        <w:trPr>
          <w:trHeight w:val="340" w:hRule="exact"/>
        </w:trPr>
        <w:tc>
          <w:tcPr>
            <w:tcW w:w="2013" w:type="dxa"/>
          </w:tcPr>
          <w:p>
            <w:pPr>
              <w:pStyle w:val="TableParagraph"/>
              <w:spacing w:before="92"/>
              <w:ind w:left="76"/>
              <w:rPr>
                <w:sz w:val="18"/>
              </w:rPr>
            </w:pPr>
            <w:r>
              <w:rPr>
                <w:color w:val="231F20"/>
                <w:sz w:val="18"/>
              </w:rPr>
              <w:t>Café, cereza</w:t>
            </w:r>
          </w:p>
        </w:tc>
        <w:tc>
          <w:tcPr>
            <w:tcW w:w="907" w:type="dxa"/>
          </w:tcPr>
          <w:p>
            <w:pPr/>
          </w:p>
        </w:tc>
        <w:tc>
          <w:tcPr>
            <w:tcW w:w="1191" w:type="dxa"/>
          </w:tcPr>
          <w:p>
            <w:pPr/>
          </w:p>
        </w:tc>
        <w:tc>
          <w:tcPr>
            <w:tcW w:w="907" w:type="dxa"/>
          </w:tcPr>
          <w:p>
            <w:pPr>
              <w:pStyle w:val="TableParagraph"/>
              <w:spacing w:before="92"/>
              <w:ind w:right="223"/>
              <w:jc w:val="right"/>
              <w:rPr>
                <w:sz w:val="18"/>
              </w:rPr>
            </w:pPr>
            <w:r>
              <w:rPr>
                <w:color w:val="231F20"/>
                <w:w w:val="96"/>
                <w:sz w:val="18"/>
              </w:rPr>
              <w:t>-</w:t>
            </w:r>
          </w:p>
        </w:tc>
        <w:tc>
          <w:tcPr>
            <w:tcW w:w="1191" w:type="dxa"/>
          </w:tcPr>
          <w:p>
            <w:pPr>
              <w:pStyle w:val="TableParagraph"/>
              <w:spacing w:before="92"/>
              <w:ind w:right="224"/>
              <w:jc w:val="right"/>
              <w:rPr>
                <w:sz w:val="18"/>
              </w:rPr>
            </w:pPr>
            <w:r>
              <w:rPr>
                <w:color w:val="231F20"/>
                <w:sz w:val="18"/>
              </w:rPr>
              <w:t>332.8</w:t>
            </w:r>
          </w:p>
        </w:tc>
      </w:tr>
      <w:tr>
        <w:trPr>
          <w:trHeight w:val="340" w:hRule="exact"/>
        </w:trPr>
        <w:tc>
          <w:tcPr>
            <w:tcW w:w="2013" w:type="dxa"/>
          </w:tcPr>
          <w:p>
            <w:pPr>
              <w:pStyle w:val="TableParagraph"/>
              <w:spacing w:before="92"/>
              <w:ind w:left="76"/>
              <w:rPr>
                <w:sz w:val="18"/>
              </w:rPr>
            </w:pPr>
            <w:r>
              <w:rPr>
                <w:color w:val="231F20"/>
                <w:sz w:val="18"/>
              </w:rPr>
              <w:t>Pastos y praderas</w:t>
            </w:r>
          </w:p>
        </w:tc>
        <w:tc>
          <w:tcPr>
            <w:tcW w:w="907" w:type="dxa"/>
          </w:tcPr>
          <w:p>
            <w:pPr/>
          </w:p>
        </w:tc>
        <w:tc>
          <w:tcPr>
            <w:tcW w:w="1191" w:type="dxa"/>
          </w:tcPr>
          <w:p>
            <w:pPr/>
          </w:p>
        </w:tc>
        <w:tc>
          <w:tcPr>
            <w:tcW w:w="907" w:type="dxa"/>
          </w:tcPr>
          <w:p>
            <w:pPr>
              <w:pStyle w:val="TableParagraph"/>
              <w:spacing w:before="92"/>
              <w:ind w:right="223"/>
              <w:jc w:val="right"/>
              <w:rPr>
                <w:sz w:val="18"/>
              </w:rPr>
            </w:pPr>
            <w:r>
              <w:rPr>
                <w:color w:val="231F20"/>
                <w:w w:val="96"/>
                <w:sz w:val="18"/>
              </w:rPr>
              <w:t>-</w:t>
            </w:r>
          </w:p>
        </w:tc>
        <w:tc>
          <w:tcPr>
            <w:tcW w:w="1191" w:type="dxa"/>
          </w:tcPr>
          <w:p>
            <w:pPr>
              <w:pStyle w:val="TableParagraph"/>
              <w:spacing w:before="92"/>
              <w:ind w:right="224"/>
              <w:jc w:val="right"/>
              <w:rPr>
                <w:sz w:val="18"/>
              </w:rPr>
            </w:pPr>
            <w:r>
              <w:rPr>
                <w:color w:val="231F20"/>
                <w:sz w:val="18"/>
              </w:rPr>
              <w:t>12,465.0</w:t>
            </w:r>
          </w:p>
        </w:tc>
      </w:tr>
      <w:tr>
        <w:trPr>
          <w:trHeight w:val="340" w:hRule="exact"/>
        </w:trPr>
        <w:tc>
          <w:tcPr>
            <w:tcW w:w="2013" w:type="dxa"/>
          </w:tcPr>
          <w:p>
            <w:pPr>
              <w:pStyle w:val="TableParagraph"/>
              <w:spacing w:before="92"/>
              <w:ind w:left="76"/>
              <w:rPr>
                <w:sz w:val="18"/>
              </w:rPr>
            </w:pPr>
            <w:r>
              <w:rPr>
                <w:color w:val="231F20"/>
                <w:sz w:val="18"/>
              </w:rPr>
              <w:t>TOTAL</w:t>
            </w:r>
          </w:p>
        </w:tc>
        <w:tc>
          <w:tcPr>
            <w:tcW w:w="907" w:type="dxa"/>
          </w:tcPr>
          <w:p>
            <w:pPr>
              <w:pStyle w:val="TableParagraph"/>
              <w:spacing w:before="92"/>
              <w:ind w:right="224"/>
              <w:jc w:val="right"/>
              <w:rPr>
                <w:sz w:val="18"/>
              </w:rPr>
            </w:pPr>
            <w:r>
              <w:rPr>
                <w:color w:val="231F20"/>
                <w:sz w:val="18"/>
              </w:rPr>
              <w:t>42.0</w:t>
            </w:r>
          </w:p>
        </w:tc>
        <w:tc>
          <w:tcPr>
            <w:tcW w:w="1191" w:type="dxa"/>
          </w:tcPr>
          <w:p>
            <w:pPr>
              <w:pStyle w:val="TableParagraph"/>
              <w:spacing w:before="92"/>
              <w:ind w:right="224"/>
              <w:jc w:val="right"/>
              <w:rPr>
                <w:sz w:val="18"/>
              </w:rPr>
            </w:pPr>
            <w:r>
              <w:rPr>
                <w:color w:val="231F20"/>
                <w:sz w:val="18"/>
              </w:rPr>
              <w:t>11,991.0</w:t>
            </w:r>
          </w:p>
        </w:tc>
        <w:tc>
          <w:tcPr>
            <w:tcW w:w="907" w:type="dxa"/>
          </w:tcPr>
          <w:p>
            <w:pPr>
              <w:pStyle w:val="TableParagraph"/>
              <w:spacing w:before="92"/>
              <w:ind w:right="224"/>
              <w:jc w:val="right"/>
              <w:rPr>
                <w:sz w:val="18"/>
              </w:rPr>
            </w:pPr>
            <w:r>
              <w:rPr>
                <w:color w:val="231F20"/>
                <w:sz w:val="18"/>
              </w:rPr>
              <w:t>42.0</w:t>
            </w:r>
          </w:p>
        </w:tc>
        <w:tc>
          <w:tcPr>
            <w:tcW w:w="1191" w:type="dxa"/>
          </w:tcPr>
          <w:p>
            <w:pPr>
              <w:pStyle w:val="TableParagraph"/>
              <w:spacing w:before="92"/>
              <w:ind w:right="224"/>
              <w:jc w:val="right"/>
              <w:rPr>
                <w:sz w:val="18"/>
              </w:rPr>
            </w:pPr>
            <w:r>
              <w:rPr>
                <w:color w:val="231F20"/>
                <w:sz w:val="18"/>
              </w:rPr>
              <w:t>13,038.1</w:t>
            </w:r>
          </w:p>
        </w:tc>
      </w:tr>
    </w:tbl>
    <w:p>
      <w:pPr>
        <w:spacing w:line="254" w:lineRule="auto" w:before="78"/>
        <w:ind w:left="2177" w:right="2051" w:hanging="1"/>
        <w:jc w:val="both"/>
        <w:rPr>
          <w:sz w:val="16"/>
        </w:rPr>
      </w:pPr>
      <w:r>
        <w:rPr>
          <w:color w:val="231F20"/>
          <w:w w:val="105"/>
          <w:sz w:val="16"/>
        </w:rPr>
        <w:t>Fuente:</w:t>
      </w:r>
      <w:r>
        <w:rPr>
          <w:color w:val="231F20"/>
          <w:spacing w:val="-17"/>
          <w:w w:val="105"/>
          <w:sz w:val="16"/>
        </w:rPr>
        <w:t> </w:t>
      </w:r>
      <w:r>
        <w:rPr>
          <w:color w:val="231F20"/>
          <w:spacing w:val="-3"/>
          <w:w w:val="105"/>
          <w:sz w:val="14"/>
        </w:rPr>
        <w:t>SAGARPA</w:t>
      </w:r>
      <w:r>
        <w:rPr>
          <w:color w:val="231F20"/>
          <w:spacing w:val="-11"/>
          <w:w w:val="105"/>
          <w:sz w:val="14"/>
        </w:rPr>
        <w:t> </w:t>
      </w:r>
      <w:r>
        <w:rPr>
          <w:color w:val="231F20"/>
          <w:w w:val="105"/>
          <w:sz w:val="16"/>
        </w:rPr>
        <w:t>(2015),</w:t>
      </w:r>
      <w:r>
        <w:rPr>
          <w:color w:val="231F20"/>
          <w:spacing w:val="-20"/>
          <w:w w:val="105"/>
          <w:sz w:val="16"/>
        </w:rPr>
        <w:t> </w:t>
      </w:r>
      <w:r>
        <w:rPr>
          <w:color w:val="231F20"/>
          <w:w w:val="105"/>
          <w:sz w:val="16"/>
        </w:rPr>
        <w:t>“Estadística</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la</w:t>
      </w:r>
      <w:r>
        <w:rPr>
          <w:color w:val="231F20"/>
          <w:spacing w:val="-17"/>
          <w:w w:val="105"/>
          <w:sz w:val="16"/>
        </w:rPr>
        <w:t> </w:t>
      </w:r>
      <w:r>
        <w:rPr>
          <w:color w:val="231F20"/>
          <w:w w:val="105"/>
          <w:sz w:val="16"/>
        </w:rPr>
        <w:t>Producción</w:t>
      </w:r>
      <w:r>
        <w:rPr>
          <w:color w:val="231F20"/>
          <w:spacing w:val="-18"/>
          <w:w w:val="105"/>
          <w:sz w:val="16"/>
        </w:rPr>
        <w:t> </w:t>
      </w:r>
      <w:r>
        <w:rPr>
          <w:color w:val="231F20"/>
          <w:spacing w:val="-4"/>
          <w:w w:val="105"/>
          <w:sz w:val="16"/>
        </w:rPr>
        <w:t>Agrícola”.</w:t>
      </w:r>
      <w:r>
        <w:rPr>
          <w:color w:val="231F20"/>
          <w:spacing w:val="-20"/>
          <w:w w:val="105"/>
          <w:sz w:val="16"/>
        </w:rPr>
        <w:t> </w:t>
      </w:r>
      <w:r>
        <w:rPr>
          <w:color w:val="231F20"/>
          <w:w w:val="105"/>
          <w:sz w:val="16"/>
        </w:rPr>
        <w:t>Consultado</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http:// </w:t>
      </w:r>
      <w:hyperlink r:id="rId355">
        <w:r>
          <w:rPr>
            <w:color w:val="231F20"/>
            <w:spacing w:val="3"/>
            <w:sz w:val="16"/>
          </w:rPr>
          <w:t>www.sagarpa.gob.mx/quienesomos/datosabiertos/siap/Paginas/estadistica.aspx.</w:t>
        </w:r>
      </w:hyperlink>
      <w:r>
        <w:rPr>
          <w:color w:val="231F20"/>
          <w:spacing w:val="3"/>
          <w:sz w:val="16"/>
        </w:rPr>
        <w:t> </w:t>
      </w:r>
      <w:r>
        <w:rPr>
          <w:color w:val="231F20"/>
          <w:spacing w:val="-3"/>
          <w:w w:val="105"/>
          <w:sz w:val="16"/>
        </w:rPr>
        <w:t>Fecha</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consulta</w:t>
      </w:r>
      <w:r>
        <w:rPr>
          <w:color w:val="231F20"/>
          <w:spacing w:val="-16"/>
          <w:w w:val="105"/>
          <w:sz w:val="16"/>
        </w:rPr>
        <w:t> </w:t>
      </w:r>
      <w:r>
        <w:rPr>
          <w:color w:val="231F20"/>
          <w:w w:val="105"/>
          <w:sz w:val="16"/>
        </w:rPr>
        <w:t>20</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mayo</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2015.</w:t>
      </w:r>
    </w:p>
    <w:p>
      <w:pPr>
        <w:pStyle w:val="BodyText"/>
        <w:rPr>
          <w:sz w:val="16"/>
        </w:rPr>
      </w:pPr>
    </w:p>
    <w:p>
      <w:pPr>
        <w:pStyle w:val="BodyText"/>
        <w:spacing w:line="261" w:lineRule="auto" w:before="101"/>
        <w:ind w:left="1837" w:right="1721"/>
        <w:jc w:val="both"/>
      </w:pPr>
      <w:r>
        <w:rPr>
          <w:color w:val="231F20"/>
          <w:w w:val="105"/>
        </w:rPr>
        <w:t>Según</w:t>
      </w:r>
      <w:r>
        <w:rPr>
          <w:color w:val="231F20"/>
          <w:spacing w:val="-33"/>
          <w:w w:val="105"/>
        </w:rPr>
        <w:t> </w:t>
      </w:r>
      <w:r>
        <w:rPr>
          <w:color w:val="231F20"/>
          <w:w w:val="105"/>
        </w:rPr>
        <w:t>cifras</w:t>
      </w:r>
      <w:r>
        <w:rPr>
          <w:color w:val="231F20"/>
          <w:spacing w:val="-33"/>
          <w:w w:val="105"/>
        </w:rPr>
        <w:t> </w:t>
      </w:r>
      <w:r>
        <w:rPr>
          <w:color w:val="231F20"/>
          <w:w w:val="105"/>
        </w:rPr>
        <w:t>recientes</w:t>
      </w:r>
      <w:r>
        <w:rPr>
          <w:color w:val="231F20"/>
          <w:spacing w:val="-33"/>
          <w:w w:val="105"/>
        </w:rPr>
        <w:t> </w:t>
      </w:r>
      <w:r>
        <w:rPr>
          <w:color w:val="231F20"/>
          <w:w w:val="105"/>
        </w:rPr>
        <w:t>de</w:t>
      </w:r>
      <w:r>
        <w:rPr>
          <w:color w:val="231F20"/>
          <w:spacing w:val="-33"/>
          <w:w w:val="105"/>
        </w:rPr>
        <w:t> </w:t>
      </w:r>
      <w:r>
        <w:rPr>
          <w:color w:val="231F20"/>
          <w:spacing w:val="-3"/>
          <w:w w:val="105"/>
          <w:sz w:val="17"/>
        </w:rPr>
        <w:t>SAGARPA</w:t>
      </w:r>
      <w:r>
        <w:rPr>
          <w:color w:val="231F20"/>
          <w:spacing w:val="-22"/>
          <w:w w:val="105"/>
          <w:sz w:val="17"/>
        </w:rPr>
        <w:t> </w:t>
      </w:r>
      <w:r>
        <w:rPr>
          <w:color w:val="231F20"/>
          <w:w w:val="105"/>
        </w:rPr>
        <w:t>(2015),</w:t>
      </w:r>
      <w:r>
        <w:rPr>
          <w:color w:val="231F20"/>
          <w:spacing w:val="-36"/>
          <w:w w:val="105"/>
        </w:rPr>
        <w:t> </w:t>
      </w:r>
      <w:r>
        <w:rPr>
          <w:color w:val="231F20"/>
          <w:w w:val="105"/>
        </w:rPr>
        <w:t>la</w:t>
      </w:r>
      <w:r>
        <w:rPr>
          <w:color w:val="231F20"/>
          <w:spacing w:val="-33"/>
          <w:w w:val="105"/>
        </w:rPr>
        <w:t> </w:t>
      </w:r>
      <w:r>
        <w:rPr>
          <w:color w:val="231F20"/>
          <w:w w:val="105"/>
        </w:rPr>
        <w:t>superficie</w:t>
      </w:r>
      <w:r>
        <w:rPr>
          <w:color w:val="231F20"/>
          <w:spacing w:val="-33"/>
          <w:w w:val="105"/>
        </w:rPr>
        <w:t> </w:t>
      </w:r>
      <w:r>
        <w:rPr>
          <w:color w:val="231F20"/>
          <w:w w:val="105"/>
        </w:rPr>
        <w:t>sembrada</w:t>
      </w:r>
      <w:r>
        <w:rPr>
          <w:color w:val="231F20"/>
          <w:spacing w:val="-33"/>
          <w:w w:val="105"/>
        </w:rPr>
        <w:t> </w:t>
      </w:r>
      <w:r>
        <w:rPr>
          <w:color w:val="231F20"/>
          <w:w w:val="105"/>
        </w:rPr>
        <w:t>de</w:t>
      </w:r>
      <w:r>
        <w:rPr>
          <w:color w:val="231F20"/>
          <w:spacing w:val="-33"/>
          <w:w w:val="105"/>
        </w:rPr>
        <w:t> </w:t>
      </w:r>
      <w:r>
        <w:rPr>
          <w:color w:val="231F20"/>
          <w:w w:val="105"/>
        </w:rPr>
        <w:t>maíz grano en el municipio de</w:t>
      </w:r>
      <w:r>
        <w:rPr>
          <w:color w:val="231F20"/>
          <w:spacing w:val="-41"/>
          <w:w w:val="105"/>
        </w:rPr>
        <w:t> </w:t>
      </w:r>
      <w:r>
        <w:rPr>
          <w:color w:val="231F20"/>
          <w:w w:val="105"/>
        </w:rPr>
        <w:t>Amatepec permaneció relativamente estanca- da de 2007 a 2011, aunque en 2012 tuvo una reducción del 19%. Lo anterior</w:t>
      </w:r>
      <w:r>
        <w:rPr>
          <w:color w:val="231F20"/>
          <w:spacing w:val="-5"/>
          <w:w w:val="105"/>
        </w:rPr>
        <w:t> </w:t>
      </w:r>
      <w:r>
        <w:rPr>
          <w:color w:val="231F20"/>
          <w:w w:val="105"/>
        </w:rPr>
        <w:t>se</w:t>
      </w:r>
      <w:r>
        <w:rPr>
          <w:color w:val="231F20"/>
          <w:spacing w:val="-5"/>
          <w:w w:val="105"/>
        </w:rPr>
        <w:t> </w:t>
      </w:r>
      <w:r>
        <w:rPr>
          <w:color w:val="231F20"/>
          <w:w w:val="105"/>
        </w:rPr>
        <w:t>atribuye</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bajos</w:t>
      </w:r>
      <w:r>
        <w:rPr>
          <w:color w:val="231F20"/>
          <w:spacing w:val="-5"/>
          <w:w w:val="105"/>
        </w:rPr>
        <w:t> </w:t>
      </w:r>
      <w:r>
        <w:rPr>
          <w:color w:val="231F20"/>
          <w:w w:val="105"/>
        </w:rPr>
        <w:t>niveles</w:t>
      </w:r>
      <w:r>
        <w:rPr>
          <w:color w:val="231F20"/>
          <w:spacing w:val="-5"/>
          <w:w w:val="105"/>
        </w:rPr>
        <w:t> </w:t>
      </w:r>
      <w:r>
        <w:rPr>
          <w:color w:val="231F20"/>
          <w:w w:val="105"/>
        </w:rPr>
        <w:t>de</w:t>
      </w:r>
      <w:r>
        <w:rPr>
          <w:color w:val="231F20"/>
          <w:spacing w:val="-5"/>
          <w:w w:val="105"/>
        </w:rPr>
        <w:t> </w:t>
      </w:r>
      <w:r>
        <w:rPr>
          <w:color w:val="231F20"/>
          <w:w w:val="105"/>
        </w:rPr>
        <w:t>inversión</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producción</w:t>
      </w:r>
      <w:r>
        <w:rPr>
          <w:color w:val="231F20"/>
          <w:spacing w:val="-5"/>
          <w:w w:val="105"/>
        </w:rPr>
        <w:t> </w:t>
      </w:r>
      <w:r>
        <w:rPr>
          <w:color w:val="231F20"/>
          <w:w w:val="105"/>
        </w:rPr>
        <w:t>de maíz, así como al abandono de las parcelas por parte de las personas que</w:t>
      </w:r>
      <w:r>
        <w:rPr>
          <w:color w:val="231F20"/>
          <w:spacing w:val="-14"/>
          <w:w w:val="105"/>
        </w:rPr>
        <w:t> </w:t>
      </w:r>
      <w:r>
        <w:rPr>
          <w:color w:val="231F20"/>
          <w:w w:val="105"/>
        </w:rPr>
        <w:t>están</w:t>
      </w:r>
      <w:r>
        <w:rPr>
          <w:color w:val="231F20"/>
          <w:spacing w:val="-14"/>
          <w:w w:val="105"/>
        </w:rPr>
        <w:t> </w:t>
      </w:r>
      <w:r>
        <w:rPr>
          <w:color w:val="231F20"/>
          <w:w w:val="105"/>
        </w:rPr>
        <w:t>en</w:t>
      </w:r>
      <w:r>
        <w:rPr>
          <w:color w:val="231F20"/>
          <w:spacing w:val="-14"/>
          <w:w w:val="105"/>
        </w:rPr>
        <w:t> </w:t>
      </w:r>
      <w:r>
        <w:rPr>
          <w:color w:val="231F20"/>
          <w:w w:val="105"/>
        </w:rPr>
        <w:t>edad</w:t>
      </w:r>
      <w:r>
        <w:rPr>
          <w:color w:val="231F20"/>
          <w:spacing w:val="-14"/>
          <w:w w:val="105"/>
        </w:rPr>
        <w:t> </w:t>
      </w:r>
      <w:r>
        <w:rPr>
          <w:color w:val="231F20"/>
          <w:w w:val="105"/>
        </w:rPr>
        <w:t>avanzada</w:t>
      </w:r>
      <w:r>
        <w:rPr>
          <w:color w:val="231F20"/>
          <w:spacing w:val="-14"/>
          <w:w w:val="105"/>
        </w:rPr>
        <w:t> </w:t>
      </w:r>
      <w:r>
        <w:rPr>
          <w:color w:val="231F20"/>
          <w:w w:val="105"/>
        </w:rPr>
        <w:t>y</w:t>
      </w:r>
      <w:r>
        <w:rPr>
          <w:color w:val="231F20"/>
          <w:spacing w:val="-14"/>
          <w:w w:val="105"/>
        </w:rPr>
        <w:t> </w:t>
      </w:r>
      <w:r>
        <w:rPr>
          <w:color w:val="231F20"/>
          <w:w w:val="105"/>
        </w:rPr>
        <w:t>que</w:t>
      </w:r>
      <w:r>
        <w:rPr>
          <w:color w:val="231F20"/>
          <w:spacing w:val="-14"/>
          <w:w w:val="105"/>
        </w:rPr>
        <w:t> </w:t>
      </w:r>
      <w:r>
        <w:rPr>
          <w:color w:val="231F20"/>
          <w:w w:val="105"/>
        </w:rPr>
        <w:t>ya</w:t>
      </w:r>
      <w:r>
        <w:rPr>
          <w:color w:val="231F20"/>
          <w:spacing w:val="-14"/>
          <w:w w:val="105"/>
        </w:rPr>
        <w:t> </w:t>
      </w:r>
      <w:r>
        <w:rPr>
          <w:color w:val="231F20"/>
          <w:w w:val="105"/>
        </w:rPr>
        <w:t>no</w:t>
      </w:r>
      <w:r>
        <w:rPr>
          <w:color w:val="231F20"/>
          <w:spacing w:val="-14"/>
          <w:w w:val="105"/>
        </w:rPr>
        <w:t> </w:t>
      </w:r>
      <w:r>
        <w:rPr>
          <w:color w:val="231F20"/>
          <w:w w:val="105"/>
        </w:rPr>
        <w:t>pueden</w:t>
      </w:r>
      <w:r>
        <w:rPr>
          <w:color w:val="231F20"/>
          <w:spacing w:val="-14"/>
          <w:w w:val="105"/>
        </w:rPr>
        <w:t> </w:t>
      </w:r>
      <w:r>
        <w:rPr>
          <w:color w:val="231F20"/>
          <w:w w:val="105"/>
        </w:rPr>
        <w:t>trabajar</w:t>
      </w:r>
      <w:r>
        <w:rPr>
          <w:color w:val="231F20"/>
          <w:spacing w:val="-14"/>
          <w:w w:val="105"/>
        </w:rPr>
        <w:t> </w:t>
      </w:r>
      <w:r>
        <w:rPr>
          <w:color w:val="231F20"/>
          <w:w w:val="105"/>
        </w:rPr>
        <w:t>las</w:t>
      </w:r>
      <w:r>
        <w:rPr>
          <w:color w:val="231F20"/>
          <w:spacing w:val="-14"/>
          <w:w w:val="105"/>
        </w:rPr>
        <w:t> </w:t>
      </w:r>
      <w:r>
        <w:rPr>
          <w:color w:val="231F20"/>
          <w:w w:val="105"/>
        </w:rPr>
        <w:t>tierras.</w:t>
      </w:r>
      <w:r>
        <w:rPr>
          <w:color w:val="231F20"/>
          <w:spacing w:val="-19"/>
          <w:w w:val="105"/>
        </w:rPr>
        <w:t> </w:t>
      </w:r>
      <w:r>
        <w:rPr>
          <w:color w:val="231F20"/>
          <w:w w:val="105"/>
        </w:rPr>
        <w:t>Del total</w:t>
      </w:r>
      <w:r>
        <w:rPr>
          <w:color w:val="231F20"/>
          <w:spacing w:val="-22"/>
          <w:w w:val="105"/>
        </w:rPr>
        <w:t> </w:t>
      </w:r>
      <w:r>
        <w:rPr>
          <w:color w:val="231F20"/>
          <w:w w:val="105"/>
        </w:rPr>
        <w:t>de</w:t>
      </w:r>
      <w:r>
        <w:rPr>
          <w:color w:val="231F20"/>
          <w:spacing w:val="-22"/>
          <w:w w:val="105"/>
        </w:rPr>
        <w:t> </w:t>
      </w:r>
      <w:r>
        <w:rPr>
          <w:color w:val="231F20"/>
          <w:w w:val="105"/>
        </w:rPr>
        <w:t>maíz</w:t>
      </w:r>
      <w:r>
        <w:rPr>
          <w:color w:val="231F20"/>
          <w:spacing w:val="-22"/>
          <w:w w:val="105"/>
        </w:rPr>
        <w:t> </w:t>
      </w:r>
      <w:r>
        <w:rPr>
          <w:color w:val="231F20"/>
          <w:w w:val="105"/>
        </w:rPr>
        <w:t>cultivado,</w:t>
      </w:r>
      <w:r>
        <w:rPr>
          <w:color w:val="231F20"/>
          <w:spacing w:val="-27"/>
          <w:w w:val="105"/>
        </w:rPr>
        <w:t> </w:t>
      </w:r>
      <w:r>
        <w:rPr>
          <w:color w:val="231F20"/>
          <w:w w:val="105"/>
        </w:rPr>
        <w:t>el</w:t>
      </w:r>
      <w:r>
        <w:rPr>
          <w:color w:val="231F20"/>
          <w:spacing w:val="-22"/>
          <w:w w:val="105"/>
        </w:rPr>
        <w:t> </w:t>
      </w:r>
      <w:r>
        <w:rPr>
          <w:color w:val="231F20"/>
          <w:w w:val="105"/>
        </w:rPr>
        <w:t>70%</w:t>
      </w:r>
      <w:r>
        <w:rPr>
          <w:color w:val="231F20"/>
          <w:spacing w:val="-22"/>
          <w:w w:val="105"/>
        </w:rPr>
        <w:t> </w:t>
      </w:r>
      <w:r>
        <w:rPr>
          <w:color w:val="231F20"/>
          <w:w w:val="105"/>
        </w:rPr>
        <w:t>corresponde</w:t>
      </w:r>
      <w:r>
        <w:rPr>
          <w:color w:val="231F20"/>
          <w:spacing w:val="-22"/>
          <w:w w:val="105"/>
        </w:rPr>
        <w:t> </w:t>
      </w:r>
      <w:r>
        <w:rPr>
          <w:color w:val="231F20"/>
          <w:w w:val="105"/>
        </w:rPr>
        <w:t>a</w:t>
      </w:r>
      <w:r>
        <w:rPr>
          <w:color w:val="231F20"/>
          <w:spacing w:val="-22"/>
          <w:w w:val="105"/>
        </w:rPr>
        <w:t> </w:t>
      </w:r>
      <w:r>
        <w:rPr>
          <w:color w:val="231F20"/>
          <w:w w:val="105"/>
        </w:rPr>
        <w:t>maíces</w:t>
      </w:r>
      <w:r>
        <w:rPr>
          <w:color w:val="231F20"/>
          <w:spacing w:val="-22"/>
          <w:w w:val="105"/>
        </w:rPr>
        <w:t> </w:t>
      </w:r>
      <w:r>
        <w:rPr>
          <w:color w:val="231F20"/>
          <w:w w:val="105"/>
        </w:rPr>
        <w:t>nativos</w:t>
      </w:r>
      <w:r>
        <w:rPr>
          <w:color w:val="231F20"/>
          <w:spacing w:val="-22"/>
          <w:w w:val="105"/>
        </w:rPr>
        <w:t> </w:t>
      </w:r>
      <w:r>
        <w:rPr>
          <w:color w:val="231F20"/>
          <w:w w:val="105"/>
        </w:rPr>
        <w:t>(denomina- dos</w:t>
      </w:r>
      <w:r>
        <w:rPr>
          <w:color w:val="231F20"/>
          <w:spacing w:val="-14"/>
          <w:w w:val="105"/>
        </w:rPr>
        <w:t> </w:t>
      </w:r>
      <w:r>
        <w:rPr>
          <w:color w:val="231F20"/>
          <w:w w:val="105"/>
        </w:rPr>
        <w:t>también</w:t>
      </w:r>
      <w:r>
        <w:rPr>
          <w:color w:val="231F20"/>
          <w:spacing w:val="-14"/>
          <w:w w:val="105"/>
        </w:rPr>
        <w:t> </w:t>
      </w:r>
      <w:r>
        <w:rPr>
          <w:color w:val="231F20"/>
          <w:w w:val="105"/>
        </w:rPr>
        <w:t>“criollos”</w:t>
      </w:r>
      <w:r>
        <w:rPr>
          <w:color w:val="231F20"/>
          <w:spacing w:val="-14"/>
          <w:w w:val="105"/>
        </w:rPr>
        <w:t> </w:t>
      </w:r>
      <w:r>
        <w:rPr>
          <w:color w:val="231F20"/>
          <w:w w:val="105"/>
        </w:rPr>
        <w:t>por</w:t>
      </w:r>
      <w:r>
        <w:rPr>
          <w:color w:val="231F20"/>
          <w:spacing w:val="-14"/>
          <w:w w:val="105"/>
        </w:rPr>
        <w:t> </w:t>
      </w:r>
      <w:r>
        <w:rPr>
          <w:color w:val="231F20"/>
          <w:w w:val="105"/>
        </w:rPr>
        <w:t>parte</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pobladores)</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30%</w:t>
      </w:r>
      <w:r>
        <w:rPr>
          <w:color w:val="231F20"/>
          <w:spacing w:val="-14"/>
          <w:w w:val="105"/>
        </w:rPr>
        <w:t> </w:t>
      </w:r>
      <w:r>
        <w:rPr>
          <w:color w:val="231F20"/>
          <w:w w:val="105"/>
        </w:rPr>
        <w:t>restante</w:t>
      </w:r>
      <w:r>
        <w:rPr>
          <w:color w:val="231F20"/>
          <w:spacing w:val="-14"/>
          <w:w w:val="105"/>
        </w:rPr>
        <w:t> </w:t>
      </w:r>
      <w:r>
        <w:rPr>
          <w:color w:val="231F20"/>
          <w:w w:val="105"/>
        </w:rPr>
        <w:t>son maíces híbridos o mejorados. Sólo el 30% del maíz nativo producido</w:t>
      </w:r>
      <w:r>
        <w:rPr>
          <w:color w:val="231F20"/>
          <w:spacing w:val="-39"/>
          <w:w w:val="105"/>
        </w:rPr>
        <w:t> </w:t>
      </w:r>
      <w:r>
        <w:rPr>
          <w:color w:val="231F20"/>
          <w:w w:val="105"/>
        </w:rPr>
        <w:t>se destina para el consumo humano (Entrevista a funcionario de</w:t>
      </w:r>
      <w:r>
        <w:rPr>
          <w:color w:val="231F20"/>
          <w:spacing w:val="-30"/>
          <w:w w:val="105"/>
        </w:rPr>
        <w:t> </w:t>
      </w:r>
      <w:r>
        <w:rPr>
          <w:color w:val="231F20"/>
          <w:w w:val="105"/>
          <w:sz w:val="17"/>
        </w:rPr>
        <w:t>SEDAGRO </w:t>
      </w:r>
      <w:r>
        <w:rPr>
          <w:color w:val="231F20"/>
          <w:w w:val="105"/>
        </w:rPr>
        <w:t>realizada</w:t>
      </w:r>
      <w:r>
        <w:rPr>
          <w:color w:val="231F20"/>
          <w:spacing w:val="-10"/>
          <w:w w:val="105"/>
        </w:rPr>
        <w:t> </w:t>
      </w:r>
      <w:r>
        <w:rPr>
          <w:color w:val="231F20"/>
          <w:w w:val="105"/>
        </w:rPr>
        <w:t>en</w:t>
      </w:r>
      <w:r>
        <w:rPr>
          <w:color w:val="231F20"/>
          <w:spacing w:val="-10"/>
          <w:w w:val="105"/>
        </w:rPr>
        <w:t> </w:t>
      </w:r>
      <w:r>
        <w:rPr>
          <w:color w:val="231F20"/>
          <w:w w:val="105"/>
        </w:rPr>
        <w:t>2013),</w:t>
      </w:r>
      <w:r>
        <w:rPr>
          <w:color w:val="231F20"/>
          <w:spacing w:val="-15"/>
          <w:w w:val="105"/>
        </w:rPr>
        <w:t> </w:t>
      </w:r>
      <w:r>
        <w:rPr>
          <w:color w:val="231F20"/>
          <w:w w:val="105"/>
        </w:rPr>
        <w:t>el</w:t>
      </w:r>
      <w:r>
        <w:rPr>
          <w:color w:val="231F20"/>
          <w:spacing w:val="-10"/>
          <w:w w:val="105"/>
        </w:rPr>
        <w:t> </w:t>
      </w:r>
      <w:r>
        <w:rPr>
          <w:color w:val="231F20"/>
          <w:w w:val="105"/>
        </w:rPr>
        <w:t>70%</w:t>
      </w:r>
      <w:r>
        <w:rPr>
          <w:color w:val="231F20"/>
          <w:spacing w:val="-10"/>
          <w:w w:val="105"/>
        </w:rPr>
        <w:t> </w:t>
      </w:r>
      <w:r>
        <w:rPr>
          <w:color w:val="231F20"/>
          <w:w w:val="105"/>
        </w:rPr>
        <w:t>restante</w:t>
      </w:r>
      <w:r>
        <w:rPr>
          <w:color w:val="231F20"/>
          <w:spacing w:val="-10"/>
          <w:w w:val="105"/>
        </w:rPr>
        <w:t> </w:t>
      </w:r>
      <w:r>
        <w:rPr>
          <w:color w:val="231F20"/>
          <w:w w:val="105"/>
        </w:rPr>
        <w:t>es</w:t>
      </w:r>
      <w:r>
        <w:rPr>
          <w:color w:val="231F20"/>
          <w:spacing w:val="-10"/>
          <w:w w:val="105"/>
        </w:rPr>
        <w:t> </w:t>
      </w:r>
      <w:r>
        <w:rPr>
          <w:color w:val="231F20"/>
          <w:w w:val="105"/>
        </w:rPr>
        <w:t>utilizado</w:t>
      </w:r>
      <w:r>
        <w:rPr>
          <w:color w:val="231F20"/>
          <w:spacing w:val="-10"/>
          <w:w w:val="105"/>
        </w:rPr>
        <w:t> </w:t>
      </w:r>
      <w:r>
        <w:rPr>
          <w:color w:val="231F20"/>
          <w:w w:val="105"/>
        </w:rPr>
        <w:t>como</w:t>
      </w:r>
      <w:r>
        <w:rPr>
          <w:color w:val="231F20"/>
          <w:spacing w:val="-10"/>
          <w:w w:val="105"/>
        </w:rPr>
        <w:t> </w:t>
      </w:r>
      <w:r>
        <w:rPr>
          <w:color w:val="231F20"/>
          <w:w w:val="105"/>
        </w:rPr>
        <w:t>forraje</w:t>
      </w:r>
      <w:r>
        <w:rPr>
          <w:color w:val="231F20"/>
          <w:spacing w:val="-10"/>
          <w:w w:val="105"/>
        </w:rPr>
        <w:t> </w:t>
      </w:r>
      <w:r>
        <w:rPr>
          <w:color w:val="231F20"/>
          <w:w w:val="105"/>
        </w:rPr>
        <w:t>para</w:t>
      </w:r>
      <w:r>
        <w:rPr>
          <w:color w:val="231F20"/>
          <w:spacing w:val="-10"/>
          <w:w w:val="105"/>
        </w:rPr>
        <w:t> </w:t>
      </w:r>
      <w:r>
        <w:rPr>
          <w:color w:val="231F20"/>
          <w:w w:val="105"/>
        </w:rPr>
        <w:t>el</w:t>
      </w:r>
      <w:r>
        <w:rPr>
          <w:color w:val="231F20"/>
          <w:spacing w:val="-10"/>
          <w:w w:val="105"/>
        </w:rPr>
        <w:t> </w:t>
      </w:r>
      <w:r>
        <w:rPr>
          <w:color w:val="231F20"/>
          <w:w w:val="105"/>
        </w:rPr>
        <w:t>ga- nado bovino, equino, porcino y ovino,</w:t>
      </w:r>
      <w:r>
        <w:rPr>
          <w:color w:val="231F20"/>
          <w:spacing w:val="-28"/>
          <w:w w:val="105"/>
        </w:rPr>
        <w:t> </w:t>
      </w:r>
      <w:r>
        <w:rPr>
          <w:color w:val="231F20"/>
          <w:w w:val="105"/>
        </w:rPr>
        <w:t>principalmente.</w:t>
      </w:r>
    </w:p>
    <w:p>
      <w:pPr>
        <w:pStyle w:val="BodyText"/>
        <w:spacing w:line="261" w:lineRule="auto" w:before="1"/>
        <w:ind w:left="1837" w:right="1722" w:firstLine="567"/>
        <w:jc w:val="both"/>
      </w:pPr>
      <w:r>
        <w:rPr>
          <w:color w:val="231F20"/>
          <w:w w:val="105"/>
        </w:rPr>
        <w:t>La geografía montañosa del municipio explica por qué continúa siendo utilizado el sistema de tumba, roza y quema para el cultivo del maíz. En este sistema todas las labores son manuales debido a que</w:t>
      </w:r>
      <w:r>
        <w:rPr>
          <w:color w:val="231F20"/>
          <w:spacing w:val="-29"/>
          <w:w w:val="105"/>
        </w:rPr>
        <w:t> </w:t>
      </w:r>
      <w:r>
        <w:rPr>
          <w:color w:val="231F20"/>
          <w:w w:val="105"/>
        </w:rPr>
        <w:t>no hay</w:t>
      </w:r>
      <w:r>
        <w:rPr>
          <w:color w:val="231F20"/>
          <w:spacing w:val="-23"/>
          <w:w w:val="105"/>
        </w:rPr>
        <w:t> </w:t>
      </w:r>
      <w:r>
        <w:rPr>
          <w:color w:val="231F20"/>
          <w:w w:val="105"/>
        </w:rPr>
        <w:t>maquinaria</w:t>
      </w:r>
      <w:r>
        <w:rPr>
          <w:color w:val="231F20"/>
          <w:spacing w:val="-23"/>
          <w:w w:val="105"/>
        </w:rPr>
        <w:t> </w:t>
      </w:r>
      <w:r>
        <w:rPr>
          <w:color w:val="231F20"/>
          <w:w w:val="105"/>
        </w:rPr>
        <w:t>que</w:t>
      </w:r>
      <w:r>
        <w:rPr>
          <w:color w:val="231F20"/>
          <w:spacing w:val="-23"/>
          <w:w w:val="105"/>
        </w:rPr>
        <w:t> </w:t>
      </w:r>
      <w:r>
        <w:rPr>
          <w:color w:val="231F20"/>
          <w:w w:val="105"/>
        </w:rPr>
        <w:t>pueda</w:t>
      </w:r>
      <w:r>
        <w:rPr>
          <w:color w:val="231F20"/>
          <w:spacing w:val="-23"/>
          <w:w w:val="105"/>
        </w:rPr>
        <w:t> </w:t>
      </w:r>
      <w:r>
        <w:rPr>
          <w:color w:val="231F20"/>
          <w:w w:val="105"/>
        </w:rPr>
        <w:t>operar</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terrenos</w:t>
      </w:r>
      <w:r>
        <w:rPr>
          <w:color w:val="231F20"/>
          <w:spacing w:val="-23"/>
          <w:w w:val="105"/>
        </w:rPr>
        <w:t> </w:t>
      </w:r>
      <w:r>
        <w:rPr>
          <w:color w:val="231F20"/>
          <w:w w:val="105"/>
        </w:rPr>
        <w:t>accidentados.</w:t>
      </w:r>
      <w:r>
        <w:rPr>
          <w:color w:val="231F20"/>
          <w:spacing w:val="-27"/>
          <w:w w:val="105"/>
        </w:rPr>
        <w:t> </w:t>
      </w:r>
      <w:r>
        <w:rPr>
          <w:color w:val="231F20"/>
          <w:w w:val="105"/>
        </w:rPr>
        <w:t>La</w:t>
      </w:r>
      <w:r>
        <w:rPr>
          <w:color w:val="231F20"/>
          <w:spacing w:val="-23"/>
          <w:w w:val="105"/>
        </w:rPr>
        <w:t> </w:t>
      </w:r>
      <w:r>
        <w:rPr>
          <w:color w:val="231F20"/>
          <w:w w:val="105"/>
        </w:rPr>
        <w:t>siem- bra es por </w:t>
      </w:r>
      <w:r>
        <w:rPr>
          <w:color w:val="231F20"/>
          <w:spacing w:val="-4"/>
          <w:w w:val="105"/>
        </w:rPr>
        <w:t>“espeque</w:t>
      </w:r>
      <w:r>
        <w:rPr>
          <w:color w:val="231F20"/>
          <w:spacing w:val="-4"/>
          <w:w w:val="105"/>
          <w:position w:val="7"/>
          <w:sz w:val="12"/>
        </w:rPr>
        <w:t>2</w:t>
      </w:r>
      <w:r>
        <w:rPr>
          <w:color w:val="231F20"/>
          <w:spacing w:val="-4"/>
          <w:w w:val="105"/>
        </w:rPr>
        <w:t>”, </w:t>
      </w:r>
      <w:r>
        <w:rPr>
          <w:color w:val="231F20"/>
          <w:w w:val="105"/>
        </w:rPr>
        <w:t>lo cual quiere decir que se realiza con barreta </w:t>
      </w:r>
      <w:r>
        <w:rPr>
          <w:color w:val="231F20"/>
          <w:spacing w:val="40"/>
          <w:w w:val="105"/>
        </w:rPr>
        <w:t> </w:t>
      </w:r>
      <w:r>
        <w:rPr>
          <w:color w:val="231F20"/>
          <w:w w:val="105"/>
        </w:rPr>
        <w:t>o</w:t>
      </w:r>
    </w:p>
    <w:p>
      <w:pPr>
        <w:pStyle w:val="BodyText"/>
        <w:spacing w:before="5"/>
        <w:rPr>
          <w:sz w:val="15"/>
        </w:rPr>
      </w:pPr>
      <w:r>
        <w:rPr/>
        <w:pict>
          <v:line style="position:absolute;mso-position-horizontal-relative:page;mso-position-vertical-relative:paragraph;z-index:39952;mso-wrap-distance-left:0;mso-wrap-distance-right:0" from="91.866203pt,10.819828pt" to="205.252203pt,10.819828pt" stroked="true" strokeweight=".25pt" strokecolor="#231f20">
            <w10:wrap type="topAndBottom"/>
          </v:line>
        </w:pict>
      </w:r>
    </w:p>
    <w:p>
      <w:pPr>
        <w:spacing w:line="192" w:lineRule="exact" w:before="7"/>
        <w:ind w:left="1837" w:right="1713" w:firstLine="0"/>
        <w:jc w:val="left"/>
        <w:rPr>
          <w:rFonts w:ascii="Calibri" w:hAnsi="Calibri"/>
          <w:sz w:val="16"/>
        </w:rPr>
      </w:pPr>
      <w:r>
        <w:rPr>
          <w:rFonts w:ascii="Calibri" w:hAnsi="Calibri"/>
          <w:color w:val="414042"/>
          <w:w w:val="105"/>
          <w:position w:val="5"/>
          <w:sz w:val="9"/>
        </w:rPr>
        <w:t>2 </w:t>
      </w:r>
      <w:r>
        <w:rPr>
          <w:rFonts w:ascii="Calibri" w:hAnsi="Calibri"/>
          <w:color w:val="414042"/>
          <w:w w:val="105"/>
          <w:sz w:val="16"/>
        </w:rPr>
        <w:t>Se</w:t>
      </w:r>
      <w:r>
        <w:rPr>
          <w:rFonts w:ascii="Calibri" w:hAnsi="Calibri"/>
          <w:color w:val="414042"/>
          <w:spacing w:val="-16"/>
          <w:w w:val="105"/>
          <w:sz w:val="16"/>
        </w:rPr>
        <w:t> </w:t>
      </w:r>
      <w:r>
        <w:rPr>
          <w:rFonts w:ascii="Calibri" w:hAnsi="Calibri"/>
          <w:color w:val="414042"/>
          <w:w w:val="105"/>
          <w:sz w:val="16"/>
        </w:rPr>
        <w:t>refiere</w:t>
      </w:r>
      <w:r>
        <w:rPr>
          <w:rFonts w:ascii="Calibri" w:hAnsi="Calibri"/>
          <w:color w:val="414042"/>
          <w:spacing w:val="-16"/>
          <w:w w:val="105"/>
          <w:sz w:val="16"/>
        </w:rPr>
        <w:t> </w:t>
      </w:r>
      <w:r>
        <w:rPr>
          <w:rFonts w:ascii="Calibri" w:hAnsi="Calibri"/>
          <w:color w:val="414042"/>
          <w:w w:val="105"/>
          <w:sz w:val="16"/>
        </w:rPr>
        <w:t>al</w:t>
      </w:r>
      <w:r>
        <w:rPr>
          <w:rFonts w:ascii="Calibri" w:hAnsi="Calibri"/>
          <w:color w:val="414042"/>
          <w:spacing w:val="-16"/>
          <w:w w:val="105"/>
          <w:sz w:val="16"/>
        </w:rPr>
        <w:t> </w:t>
      </w:r>
      <w:r>
        <w:rPr>
          <w:rFonts w:ascii="Calibri" w:hAnsi="Calibri"/>
          <w:color w:val="414042"/>
          <w:w w:val="105"/>
          <w:sz w:val="16"/>
        </w:rPr>
        <w:t>palo</w:t>
      </w:r>
      <w:r>
        <w:rPr>
          <w:rFonts w:ascii="Calibri" w:hAnsi="Calibri"/>
          <w:color w:val="414042"/>
          <w:spacing w:val="-16"/>
          <w:w w:val="105"/>
          <w:sz w:val="16"/>
        </w:rPr>
        <w:t> </w:t>
      </w:r>
      <w:r>
        <w:rPr>
          <w:rFonts w:ascii="Calibri" w:hAnsi="Calibri"/>
          <w:color w:val="414042"/>
          <w:w w:val="105"/>
          <w:sz w:val="16"/>
        </w:rPr>
        <w:t>o</w:t>
      </w:r>
      <w:r>
        <w:rPr>
          <w:rFonts w:ascii="Calibri" w:hAnsi="Calibri"/>
          <w:color w:val="414042"/>
          <w:spacing w:val="-16"/>
          <w:w w:val="105"/>
          <w:sz w:val="16"/>
        </w:rPr>
        <w:t> </w:t>
      </w:r>
      <w:r>
        <w:rPr>
          <w:rFonts w:ascii="Calibri" w:hAnsi="Calibri"/>
          <w:color w:val="414042"/>
          <w:w w:val="105"/>
          <w:sz w:val="16"/>
        </w:rPr>
        <w:t>bastón</w:t>
      </w:r>
      <w:r>
        <w:rPr>
          <w:rFonts w:ascii="Calibri" w:hAnsi="Calibri"/>
          <w:color w:val="414042"/>
          <w:spacing w:val="-16"/>
          <w:w w:val="105"/>
          <w:sz w:val="16"/>
        </w:rPr>
        <w:t> </w:t>
      </w:r>
      <w:r>
        <w:rPr>
          <w:rFonts w:ascii="Calibri" w:hAnsi="Calibri"/>
          <w:color w:val="414042"/>
          <w:w w:val="105"/>
          <w:sz w:val="16"/>
        </w:rPr>
        <w:t>plantador,</w:t>
      </w:r>
      <w:r>
        <w:rPr>
          <w:rFonts w:ascii="Calibri" w:hAnsi="Calibri"/>
          <w:color w:val="414042"/>
          <w:spacing w:val="-16"/>
          <w:w w:val="105"/>
          <w:sz w:val="16"/>
        </w:rPr>
        <w:t> </w:t>
      </w:r>
      <w:r>
        <w:rPr>
          <w:rFonts w:ascii="Calibri" w:hAnsi="Calibri"/>
          <w:color w:val="414042"/>
          <w:w w:val="105"/>
          <w:sz w:val="16"/>
        </w:rPr>
        <w:t>con</w:t>
      </w:r>
      <w:r>
        <w:rPr>
          <w:rFonts w:ascii="Calibri" w:hAnsi="Calibri"/>
          <w:color w:val="414042"/>
          <w:spacing w:val="-16"/>
          <w:w w:val="105"/>
          <w:sz w:val="16"/>
        </w:rPr>
        <w:t> </w:t>
      </w:r>
      <w:r>
        <w:rPr>
          <w:rFonts w:ascii="Calibri" w:hAnsi="Calibri"/>
          <w:color w:val="414042"/>
          <w:w w:val="105"/>
          <w:sz w:val="16"/>
        </w:rPr>
        <w:t>el</w:t>
      </w:r>
      <w:r>
        <w:rPr>
          <w:rFonts w:ascii="Calibri" w:hAnsi="Calibri"/>
          <w:color w:val="414042"/>
          <w:spacing w:val="-16"/>
          <w:w w:val="105"/>
          <w:sz w:val="16"/>
        </w:rPr>
        <w:t> </w:t>
      </w:r>
      <w:r>
        <w:rPr>
          <w:rFonts w:ascii="Calibri" w:hAnsi="Calibri"/>
          <w:color w:val="414042"/>
          <w:w w:val="105"/>
          <w:sz w:val="16"/>
        </w:rPr>
        <w:t>cual</w:t>
      </w:r>
      <w:r>
        <w:rPr>
          <w:rFonts w:ascii="Calibri" w:hAnsi="Calibri"/>
          <w:color w:val="414042"/>
          <w:spacing w:val="-16"/>
          <w:w w:val="105"/>
          <w:sz w:val="16"/>
        </w:rPr>
        <w:t> </w:t>
      </w:r>
      <w:r>
        <w:rPr>
          <w:rFonts w:ascii="Calibri" w:hAnsi="Calibri"/>
          <w:color w:val="414042"/>
          <w:w w:val="105"/>
          <w:sz w:val="16"/>
        </w:rPr>
        <w:t>se</w:t>
      </w:r>
      <w:r>
        <w:rPr>
          <w:rFonts w:ascii="Calibri" w:hAnsi="Calibri"/>
          <w:color w:val="414042"/>
          <w:spacing w:val="-16"/>
          <w:w w:val="105"/>
          <w:sz w:val="16"/>
        </w:rPr>
        <w:t> </w:t>
      </w:r>
      <w:r>
        <w:rPr>
          <w:rFonts w:ascii="Calibri" w:hAnsi="Calibri"/>
          <w:color w:val="414042"/>
          <w:w w:val="105"/>
          <w:sz w:val="16"/>
        </w:rPr>
        <w:t>perfora</w:t>
      </w:r>
      <w:r>
        <w:rPr>
          <w:rFonts w:ascii="Calibri" w:hAnsi="Calibri"/>
          <w:color w:val="414042"/>
          <w:spacing w:val="-16"/>
          <w:w w:val="105"/>
          <w:sz w:val="16"/>
        </w:rPr>
        <w:t> </w:t>
      </w:r>
      <w:r>
        <w:rPr>
          <w:rFonts w:ascii="Calibri" w:hAnsi="Calibri"/>
          <w:color w:val="414042"/>
          <w:w w:val="105"/>
          <w:sz w:val="16"/>
        </w:rPr>
        <w:t>la</w:t>
      </w:r>
      <w:r>
        <w:rPr>
          <w:rFonts w:ascii="Calibri" w:hAnsi="Calibri"/>
          <w:color w:val="414042"/>
          <w:spacing w:val="-16"/>
          <w:w w:val="105"/>
          <w:sz w:val="16"/>
        </w:rPr>
        <w:t> </w:t>
      </w:r>
      <w:r>
        <w:rPr>
          <w:rFonts w:ascii="Calibri" w:hAnsi="Calibri"/>
          <w:color w:val="414042"/>
          <w:w w:val="105"/>
          <w:sz w:val="16"/>
        </w:rPr>
        <w:t>tierra</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forma</w:t>
      </w:r>
      <w:r>
        <w:rPr>
          <w:rFonts w:ascii="Calibri" w:hAnsi="Calibri"/>
          <w:color w:val="414042"/>
          <w:spacing w:val="-16"/>
          <w:w w:val="105"/>
          <w:sz w:val="16"/>
        </w:rPr>
        <w:t> </w:t>
      </w:r>
      <w:r>
        <w:rPr>
          <w:rFonts w:ascii="Calibri" w:hAnsi="Calibri"/>
          <w:color w:val="414042"/>
          <w:w w:val="105"/>
          <w:sz w:val="16"/>
        </w:rPr>
        <w:t>periódica</w:t>
      </w:r>
      <w:r>
        <w:rPr>
          <w:rFonts w:ascii="Calibri" w:hAnsi="Calibri"/>
          <w:color w:val="414042"/>
          <w:spacing w:val="-16"/>
          <w:w w:val="105"/>
          <w:sz w:val="16"/>
        </w:rPr>
        <w:t> </w:t>
      </w:r>
      <w:r>
        <w:rPr>
          <w:rFonts w:ascii="Calibri" w:hAnsi="Calibri"/>
          <w:color w:val="414042"/>
          <w:w w:val="105"/>
          <w:sz w:val="16"/>
        </w:rPr>
        <w:t>a</w:t>
      </w:r>
      <w:r>
        <w:rPr>
          <w:rFonts w:ascii="Calibri" w:hAnsi="Calibri"/>
          <w:color w:val="414042"/>
          <w:spacing w:val="-16"/>
          <w:w w:val="105"/>
          <w:sz w:val="16"/>
        </w:rPr>
        <w:t> </w:t>
      </w:r>
      <w:r>
        <w:rPr>
          <w:rFonts w:ascii="Calibri" w:hAnsi="Calibri"/>
          <w:color w:val="414042"/>
          <w:w w:val="105"/>
          <w:sz w:val="16"/>
        </w:rPr>
        <w:t>fin</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depositar la</w:t>
      </w:r>
      <w:r>
        <w:rPr>
          <w:rFonts w:ascii="Calibri" w:hAnsi="Calibri"/>
          <w:color w:val="414042"/>
          <w:spacing w:val="1"/>
          <w:w w:val="105"/>
          <w:sz w:val="16"/>
        </w:rPr>
        <w:t> </w:t>
      </w:r>
      <w:r>
        <w:rPr>
          <w:rFonts w:ascii="Calibri" w:hAnsi="Calibri"/>
          <w:color w:val="414042"/>
          <w:w w:val="105"/>
          <w:sz w:val="16"/>
        </w:rPr>
        <w:t>semilla.</w:t>
      </w:r>
    </w:p>
    <w:p>
      <w:pPr>
        <w:spacing w:after="0" w:line="192" w:lineRule="exact"/>
        <w:jc w:val="left"/>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rPr>
      </w:pPr>
    </w:p>
    <w:p>
      <w:pPr>
        <w:pStyle w:val="BodyText"/>
        <w:spacing w:line="261" w:lineRule="auto" w:before="66"/>
        <w:ind w:left="1723" w:right="1835" w:hanging="1"/>
        <w:jc w:val="both"/>
      </w:pPr>
      <w:r>
        <w:rPr/>
        <w:pict>
          <v:line style="position:absolute;mso-position-horizontal-relative:page;mso-position-vertical-relative:paragraph;z-index:40144" from="15pt,-68.386444pt" to="0pt,-68.386444pt" stroked="true" strokeweight=".25pt" strokecolor="#000000">
            <w10:wrap type="none"/>
          </v:line>
        </w:pict>
      </w:r>
      <w:r>
        <w:rPr/>
        <w:pict>
          <v:line style="position:absolute;mso-position-horizontal-relative:page;mso-position-vertical-relative:paragraph;z-index:40168" from="508.890015pt,-68.386444pt" to="523.890015pt,-68.386444pt" stroked="true" strokeweight=".25pt" strokecolor="#000000">
            <w10:wrap type="none"/>
          </v:line>
        </w:pict>
      </w:r>
      <w:r>
        <w:rPr>
          <w:color w:val="231F20"/>
          <w:spacing w:val="-4"/>
          <w:w w:val="105"/>
        </w:rPr>
        <w:t>“chuzo</w:t>
      </w:r>
      <w:r>
        <w:rPr>
          <w:color w:val="231F20"/>
          <w:spacing w:val="-4"/>
          <w:w w:val="105"/>
          <w:position w:val="7"/>
          <w:sz w:val="12"/>
        </w:rPr>
        <w:t>3</w:t>
      </w:r>
      <w:r>
        <w:rPr>
          <w:color w:val="231F20"/>
          <w:spacing w:val="-4"/>
          <w:w w:val="105"/>
        </w:rPr>
        <w:t>”.</w:t>
      </w:r>
      <w:r>
        <w:rPr>
          <w:color w:val="231F20"/>
          <w:spacing w:val="-29"/>
          <w:w w:val="105"/>
        </w:rPr>
        <w:t> </w:t>
      </w:r>
      <w:r>
        <w:rPr>
          <w:color w:val="231F20"/>
          <w:w w:val="105"/>
        </w:rPr>
        <w:t>La</w:t>
      </w:r>
      <w:r>
        <w:rPr>
          <w:color w:val="231F20"/>
          <w:spacing w:val="-24"/>
          <w:w w:val="105"/>
        </w:rPr>
        <w:t> </w:t>
      </w:r>
      <w:r>
        <w:rPr>
          <w:color w:val="231F20"/>
          <w:w w:val="105"/>
        </w:rPr>
        <w:t>limpia</w:t>
      </w:r>
      <w:r>
        <w:rPr>
          <w:color w:val="231F20"/>
          <w:spacing w:val="-24"/>
          <w:w w:val="105"/>
        </w:rPr>
        <w:t> </w:t>
      </w:r>
      <w:r>
        <w:rPr>
          <w:color w:val="231F20"/>
          <w:w w:val="105"/>
        </w:rPr>
        <w:t>se</w:t>
      </w:r>
      <w:r>
        <w:rPr>
          <w:color w:val="231F20"/>
          <w:spacing w:val="-24"/>
          <w:w w:val="105"/>
        </w:rPr>
        <w:t> </w:t>
      </w:r>
      <w:r>
        <w:rPr>
          <w:color w:val="231F20"/>
          <w:w w:val="105"/>
        </w:rPr>
        <w:t>efectúa</w:t>
      </w:r>
      <w:r>
        <w:rPr>
          <w:color w:val="231F20"/>
          <w:spacing w:val="-24"/>
          <w:w w:val="105"/>
        </w:rPr>
        <w:t> </w:t>
      </w:r>
      <w:r>
        <w:rPr>
          <w:color w:val="231F20"/>
          <w:w w:val="105"/>
        </w:rPr>
        <w:t>con</w:t>
      </w:r>
      <w:r>
        <w:rPr>
          <w:color w:val="231F20"/>
          <w:spacing w:val="-24"/>
          <w:w w:val="105"/>
        </w:rPr>
        <w:t> </w:t>
      </w:r>
      <w:r>
        <w:rPr>
          <w:color w:val="231F20"/>
          <w:w w:val="105"/>
        </w:rPr>
        <w:t>machete.</w:t>
      </w:r>
      <w:r>
        <w:rPr>
          <w:color w:val="231F20"/>
          <w:spacing w:val="-32"/>
          <w:w w:val="105"/>
        </w:rPr>
        <w:t> </w:t>
      </w:r>
      <w:r>
        <w:rPr>
          <w:color w:val="231F20"/>
          <w:w w:val="105"/>
        </w:rPr>
        <w:t>Anteriormente</w:t>
      </w:r>
      <w:r>
        <w:rPr>
          <w:color w:val="231F20"/>
          <w:spacing w:val="-24"/>
          <w:w w:val="105"/>
        </w:rPr>
        <w:t> </w:t>
      </w:r>
      <w:r>
        <w:rPr>
          <w:color w:val="231F20"/>
          <w:w w:val="105"/>
        </w:rPr>
        <w:t>se</w:t>
      </w:r>
      <w:r>
        <w:rPr>
          <w:color w:val="231F20"/>
          <w:spacing w:val="-24"/>
          <w:w w:val="105"/>
        </w:rPr>
        <w:t> </w:t>
      </w:r>
      <w:r>
        <w:rPr>
          <w:color w:val="231F20"/>
          <w:w w:val="105"/>
        </w:rPr>
        <w:t>“chaponea- ban</w:t>
      </w:r>
      <w:r>
        <w:rPr>
          <w:color w:val="231F20"/>
          <w:w w:val="105"/>
          <w:position w:val="7"/>
          <w:sz w:val="12"/>
        </w:rPr>
        <w:t>4</w:t>
      </w:r>
      <w:r>
        <w:rPr>
          <w:color w:val="231F20"/>
          <w:w w:val="105"/>
        </w:rPr>
        <w:t>”</w:t>
      </w:r>
      <w:r>
        <w:rPr>
          <w:color w:val="231F20"/>
          <w:spacing w:val="-4"/>
          <w:w w:val="105"/>
        </w:rPr>
        <w:t> </w:t>
      </w:r>
      <w:r>
        <w:rPr>
          <w:color w:val="231F20"/>
          <w:w w:val="105"/>
        </w:rPr>
        <w:t>los</w:t>
      </w:r>
      <w:r>
        <w:rPr>
          <w:color w:val="231F20"/>
          <w:spacing w:val="-4"/>
          <w:w w:val="105"/>
        </w:rPr>
        <w:t> </w:t>
      </w:r>
      <w:r>
        <w:rPr>
          <w:color w:val="231F20"/>
          <w:w w:val="105"/>
        </w:rPr>
        <w:t>cultivos</w:t>
      </w:r>
      <w:r>
        <w:rPr>
          <w:color w:val="231F20"/>
          <w:spacing w:val="-4"/>
          <w:w w:val="105"/>
        </w:rPr>
        <w:t> </w:t>
      </w:r>
      <w:r>
        <w:rPr>
          <w:color w:val="231F20"/>
          <w:w w:val="105"/>
        </w:rPr>
        <w:t>(desyerbe</w:t>
      </w:r>
      <w:r>
        <w:rPr>
          <w:color w:val="231F20"/>
          <w:spacing w:val="-4"/>
          <w:w w:val="105"/>
        </w:rPr>
        <w:t> </w:t>
      </w:r>
      <w:r>
        <w:rPr>
          <w:color w:val="231F20"/>
          <w:w w:val="105"/>
        </w:rPr>
        <w:t>a</w:t>
      </w:r>
      <w:r>
        <w:rPr>
          <w:color w:val="231F20"/>
          <w:spacing w:val="-4"/>
          <w:w w:val="105"/>
        </w:rPr>
        <w:t> </w:t>
      </w:r>
      <w:r>
        <w:rPr>
          <w:color w:val="231F20"/>
          <w:w w:val="105"/>
        </w:rPr>
        <w:t>machete</w:t>
      </w:r>
      <w:r>
        <w:rPr>
          <w:color w:val="231F20"/>
          <w:spacing w:val="-4"/>
          <w:w w:val="105"/>
        </w:rPr>
        <w:t> </w:t>
      </w:r>
      <w:r>
        <w:rPr>
          <w:color w:val="231F20"/>
          <w:w w:val="105"/>
        </w:rPr>
        <w:t>cuando</w:t>
      </w:r>
      <w:r>
        <w:rPr>
          <w:color w:val="231F20"/>
          <w:spacing w:val="-4"/>
          <w:w w:val="105"/>
        </w:rPr>
        <w:t> </w:t>
      </w:r>
      <w:r>
        <w:rPr>
          <w:color w:val="231F20"/>
          <w:w w:val="105"/>
        </w:rPr>
        <w:t>la</w:t>
      </w:r>
      <w:r>
        <w:rPr>
          <w:color w:val="231F20"/>
          <w:spacing w:val="-4"/>
          <w:w w:val="105"/>
        </w:rPr>
        <w:t> </w:t>
      </w:r>
      <w:r>
        <w:rPr>
          <w:color w:val="231F20"/>
          <w:w w:val="105"/>
        </w:rPr>
        <w:t>milpa</w:t>
      </w:r>
      <w:r>
        <w:rPr>
          <w:color w:val="231F20"/>
          <w:spacing w:val="-4"/>
          <w:w w:val="105"/>
        </w:rPr>
        <w:t> </w:t>
      </w:r>
      <w:r>
        <w:rPr>
          <w:color w:val="231F20"/>
          <w:w w:val="105"/>
        </w:rPr>
        <w:t>tenía</w:t>
      </w:r>
      <w:r>
        <w:rPr>
          <w:color w:val="231F20"/>
          <w:spacing w:val="-4"/>
          <w:w w:val="105"/>
        </w:rPr>
        <w:t> </w:t>
      </w:r>
      <w:r>
        <w:rPr>
          <w:color w:val="231F20"/>
          <w:w w:val="105"/>
        </w:rPr>
        <w:t>una</w:t>
      </w:r>
      <w:r>
        <w:rPr>
          <w:color w:val="231F20"/>
          <w:spacing w:val="-4"/>
          <w:w w:val="105"/>
        </w:rPr>
        <w:t> </w:t>
      </w:r>
      <w:r>
        <w:rPr>
          <w:color w:val="231F20"/>
          <w:w w:val="105"/>
        </w:rPr>
        <w:t>altura de</w:t>
      </w:r>
      <w:r>
        <w:rPr>
          <w:color w:val="231F20"/>
          <w:spacing w:val="-24"/>
          <w:w w:val="105"/>
        </w:rPr>
        <w:t> </w:t>
      </w:r>
      <w:r>
        <w:rPr>
          <w:color w:val="231F20"/>
          <w:w w:val="105"/>
        </w:rPr>
        <w:t>50</w:t>
      </w:r>
      <w:r>
        <w:rPr>
          <w:color w:val="231F20"/>
          <w:spacing w:val="-24"/>
          <w:w w:val="105"/>
        </w:rPr>
        <w:t> </w:t>
      </w:r>
      <w:r>
        <w:rPr>
          <w:color w:val="231F20"/>
          <w:w w:val="105"/>
        </w:rPr>
        <w:t>cm),</w:t>
      </w:r>
      <w:r>
        <w:rPr>
          <w:color w:val="231F20"/>
          <w:spacing w:val="-29"/>
          <w:w w:val="105"/>
        </w:rPr>
        <w:t> </w:t>
      </w:r>
      <w:r>
        <w:rPr>
          <w:color w:val="231F20"/>
          <w:w w:val="105"/>
        </w:rPr>
        <w:t>pero</w:t>
      </w:r>
      <w:r>
        <w:rPr>
          <w:color w:val="231F20"/>
          <w:spacing w:val="-24"/>
          <w:w w:val="105"/>
        </w:rPr>
        <w:t> </w:t>
      </w:r>
      <w:r>
        <w:rPr>
          <w:color w:val="231F20"/>
          <w:w w:val="105"/>
        </w:rPr>
        <w:t>actualmente</w:t>
      </w:r>
      <w:r>
        <w:rPr>
          <w:color w:val="231F20"/>
          <w:spacing w:val="-24"/>
          <w:w w:val="105"/>
        </w:rPr>
        <w:t> </w:t>
      </w:r>
      <w:r>
        <w:rPr>
          <w:color w:val="231F20"/>
          <w:w w:val="105"/>
        </w:rPr>
        <w:t>se</w:t>
      </w:r>
      <w:r>
        <w:rPr>
          <w:color w:val="231F20"/>
          <w:spacing w:val="-24"/>
          <w:w w:val="105"/>
        </w:rPr>
        <w:t> </w:t>
      </w:r>
      <w:r>
        <w:rPr>
          <w:color w:val="231F20"/>
          <w:w w:val="105"/>
        </w:rPr>
        <w:t>utilizan</w:t>
      </w:r>
      <w:r>
        <w:rPr>
          <w:color w:val="231F20"/>
          <w:spacing w:val="-24"/>
          <w:w w:val="105"/>
        </w:rPr>
        <w:t> </w:t>
      </w:r>
      <w:r>
        <w:rPr>
          <w:color w:val="231F20"/>
          <w:w w:val="105"/>
        </w:rPr>
        <w:t>también</w:t>
      </w:r>
      <w:r>
        <w:rPr>
          <w:color w:val="231F20"/>
          <w:spacing w:val="-24"/>
          <w:w w:val="105"/>
        </w:rPr>
        <w:t> </w:t>
      </w:r>
      <w:r>
        <w:rPr>
          <w:color w:val="231F20"/>
          <w:w w:val="105"/>
        </w:rPr>
        <w:t>herbicidas</w:t>
      </w:r>
      <w:r>
        <w:rPr>
          <w:color w:val="231F20"/>
          <w:spacing w:val="-24"/>
          <w:w w:val="105"/>
        </w:rPr>
        <w:t> </w:t>
      </w:r>
      <w:r>
        <w:rPr>
          <w:color w:val="231F20"/>
          <w:w w:val="105"/>
        </w:rPr>
        <w:t>comerciales</w:t>
      </w:r>
      <w:r>
        <w:rPr>
          <w:color w:val="231F20"/>
          <w:spacing w:val="-24"/>
          <w:w w:val="105"/>
        </w:rPr>
        <w:t> </w:t>
      </w:r>
      <w:r>
        <w:rPr>
          <w:color w:val="231F20"/>
          <w:w w:val="105"/>
        </w:rPr>
        <w:t>y fertilizantes</w:t>
      </w:r>
      <w:r>
        <w:rPr>
          <w:color w:val="231F20"/>
          <w:spacing w:val="-11"/>
          <w:w w:val="105"/>
        </w:rPr>
        <w:t> </w:t>
      </w:r>
      <w:r>
        <w:rPr>
          <w:color w:val="231F20"/>
          <w:w w:val="105"/>
        </w:rPr>
        <w:t>químicos,</w:t>
      </w:r>
      <w:r>
        <w:rPr>
          <w:color w:val="231F20"/>
          <w:spacing w:val="-17"/>
          <w:w w:val="105"/>
        </w:rPr>
        <w:t> </w:t>
      </w:r>
      <w:r>
        <w:rPr>
          <w:color w:val="231F20"/>
          <w:w w:val="105"/>
        </w:rPr>
        <w:t>como</w:t>
      </w:r>
      <w:r>
        <w:rPr>
          <w:color w:val="231F20"/>
          <w:spacing w:val="-11"/>
          <w:w w:val="105"/>
        </w:rPr>
        <w:t> </w:t>
      </w:r>
      <w:r>
        <w:rPr>
          <w:color w:val="231F20"/>
          <w:w w:val="105"/>
        </w:rPr>
        <w:t>sulfato</w:t>
      </w:r>
      <w:r>
        <w:rPr>
          <w:color w:val="231F20"/>
          <w:spacing w:val="-11"/>
          <w:w w:val="105"/>
        </w:rPr>
        <w:t> </w:t>
      </w:r>
      <w:r>
        <w:rPr>
          <w:color w:val="231F20"/>
          <w:w w:val="105"/>
        </w:rPr>
        <w:t>de</w:t>
      </w:r>
      <w:r>
        <w:rPr>
          <w:color w:val="231F20"/>
          <w:spacing w:val="-11"/>
          <w:w w:val="105"/>
        </w:rPr>
        <w:t> </w:t>
      </w:r>
      <w:r>
        <w:rPr>
          <w:color w:val="231F20"/>
          <w:w w:val="105"/>
        </w:rPr>
        <w:t>amonio</w:t>
      </w:r>
      <w:r>
        <w:rPr>
          <w:color w:val="231F20"/>
          <w:spacing w:val="-11"/>
          <w:w w:val="105"/>
        </w:rPr>
        <w:t> </w:t>
      </w:r>
      <w:r>
        <w:rPr>
          <w:color w:val="231F20"/>
          <w:w w:val="105"/>
        </w:rPr>
        <w:t>y</w:t>
      </w:r>
      <w:r>
        <w:rPr>
          <w:color w:val="231F20"/>
          <w:spacing w:val="-11"/>
          <w:w w:val="105"/>
        </w:rPr>
        <w:t> </w:t>
      </w:r>
      <w:r>
        <w:rPr>
          <w:color w:val="231F20"/>
          <w:w w:val="105"/>
        </w:rPr>
        <w:t>cloruro</w:t>
      </w:r>
      <w:r>
        <w:rPr>
          <w:color w:val="231F20"/>
          <w:spacing w:val="-11"/>
          <w:w w:val="105"/>
        </w:rPr>
        <w:t> </w:t>
      </w:r>
      <w:r>
        <w:rPr>
          <w:color w:val="231F20"/>
          <w:w w:val="105"/>
        </w:rPr>
        <w:t>de</w:t>
      </w:r>
      <w:r>
        <w:rPr>
          <w:color w:val="231F20"/>
          <w:spacing w:val="-11"/>
          <w:w w:val="105"/>
        </w:rPr>
        <w:t> </w:t>
      </w:r>
      <w:r>
        <w:rPr>
          <w:color w:val="231F20"/>
          <w:w w:val="105"/>
        </w:rPr>
        <w:t>potasio.</w:t>
      </w:r>
    </w:p>
    <w:p>
      <w:pPr>
        <w:pStyle w:val="BodyText"/>
        <w:spacing w:line="261" w:lineRule="auto" w:before="1"/>
        <w:ind w:left="1723" w:right="1829" w:firstLine="567"/>
        <w:jc w:val="both"/>
      </w:pPr>
      <w:r>
        <w:rPr>
          <w:color w:val="231F20"/>
          <w:w w:val="105"/>
        </w:rPr>
        <w:t>A</w:t>
      </w:r>
      <w:r>
        <w:rPr>
          <w:color w:val="231F20"/>
          <w:spacing w:val="-12"/>
          <w:w w:val="105"/>
        </w:rPr>
        <w:t> </w:t>
      </w:r>
      <w:r>
        <w:rPr>
          <w:color w:val="231F20"/>
          <w:w w:val="105"/>
        </w:rPr>
        <w:t>pesar</w:t>
      </w:r>
      <w:r>
        <w:rPr>
          <w:color w:val="231F20"/>
          <w:spacing w:val="-8"/>
          <w:w w:val="105"/>
        </w:rPr>
        <w:t> </w:t>
      </w:r>
      <w:r>
        <w:rPr>
          <w:color w:val="231F20"/>
          <w:w w:val="105"/>
        </w:rPr>
        <w:t>de</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rendimiento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maíces</w:t>
      </w:r>
      <w:r>
        <w:rPr>
          <w:color w:val="231F20"/>
          <w:spacing w:val="-8"/>
          <w:w w:val="105"/>
        </w:rPr>
        <w:t> </w:t>
      </w:r>
      <w:r>
        <w:rPr>
          <w:color w:val="231F20"/>
          <w:w w:val="105"/>
        </w:rPr>
        <w:t>híbridos</w:t>
      </w:r>
      <w:r>
        <w:rPr>
          <w:color w:val="231F20"/>
          <w:spacing w:val="-8"/>
          <w:w w:val="105"/>
        </w:rPr>
        <w:t> </w:t>
      </w:r>
      <w:r>
        <w:rPr>
          <w:color w:val="231F20"/>
          <w:w w:val="105"/>
        </w:rPr>
        <w:t>y</w:t>
      </w:r>
      <w:r>
        <w:rPr>
          <w:color w:val="231F20"/>
          <w:spacing w:val="-8"/>
          <w:w w:val="105"/>
        </w:rPr>
        <w:t> </w:t>
      </w:r>
      <w:r>
        <w:rPr>
          <w:color w:val="231F20"/>
          <w:w w:val="105"/>
        </w:rPr>
        <w:t>mejorados es casi el doble, el maíz nativo continúa siendo el más cultivado. Esto obedece</w:t>
      </w:r>
      <w:r>
        <w:rPr>
          <w:color w:val="231F20"/>
          <w:spacing w:val="-8"/>
          <w:w w:val="105"/>
        </w:rPr>
        <w:t> </w:t>
      </w:r>
      <w:r>
        <w:rPr>
          <w:color w:val="231F20"/>
          <w:w w:val="105"/>
        </w:rPr>
        <w:t>a</w:t>
      </w:r>
      <w:r>
        <w:rPr>
          <w:color w:val="231F20"/>
          <w:spacing w:val="-8"/>
          <w:w w:val="105"/>
        </w:rPr>
        <w:t> </w:t>
      </w:r>
      <w:r>
        <w:rPr>
          <w:color w:val="231F20"/>
          <w:w w:val="105"/>
        </w:rPr>
        <w:t>motivos</w:t>
      </w:r>
      <w:r>
        <w:rPr>
          <w:color w:val="231F20"/>
          <w:spacing w:val="-8"/>
          <w:w w:val="105"/>
        </w:rPr>
        <w:t> </w:t>
      </w:r>
      <w:r>
        <w:rPr>
          <w:color w:val="231F20"/>
          <w:w w:val="105"/>
        </w:rPr>
        <w:t>culturales,</w:t>
      </w:r>
      <w:r>
        <w:rPr>
          <w:color w:val="231F20"/>
          <w:spacing w:val="-14"/>
          <w:w w:val="105"/>
        </w:rPr>
        <w:t> </w:t>
      </w:r>
      <w:r>
        <w:rPr>
          <w:color w:val="231F20"/>
          <w:w w:val="105"/>
        </w:rPr>
        <w:t>como</w:t>
      </w:r>
      <w:r>
        <w:rPr>
          <w:color w:val="231F20"/>
          <w:spacing w:val="-8"/>
          <w:w w:val="105"/>
        </w:rPr>
        <w:t> </w:t>
      </w:r>
      <w:r>
        <w:rPr>
          <w:color w:val="231F20"/>
          <w:w w:val="105"/>
        </w:rPr>
        <w:t>la</w:t>
      </w:r>
      <w:r>
        <w:rPr>
          <w:color w:val="231F20"/>
          <w:spacing w:val="-8"/>
          <w:w w:val="105"/>
        </w:rPr>
        <w:t> </w:t>
      </w:r>
      <w:r>
        <w:rPr>
          <w:color w:val="231F20"/>
          <w:w w:val="105"/>
        </w:rPr>
        <w:t>preferencia</w:t>
      </w:r>
      <w:r>
        <w:rPr>
          <w:color w:val="231F20"/>
          <w:spacing w:val="-8"/>
          <w:w w:val="105"/>
        </w:rPr>
        <w:t> </w:t>
      </w:r>
      <w:r>
        <w:rPr>
          <w:color w:val="231F20"/>
          <w:w w:val="105"/>
        </w:rPr>
        <w:t>culinaria</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“maíz criollo”</w:t>
      </w:r>
      <w:r>
        <w:rPr>
          <w:color w:val="231F20"/>
          <w:w w:val="105"/>
          <w:position w:val="7"/>
          <w:sz w:val="12"/>
        </w:rPr>
        <w:t>5 </w:t>
      </w:r>
      <w:r>
        <w:rPr>
          <w:color w:val="231F20"/>
          <w:w w:val="105"/>
        </w:rPr>
        <w:t>y el amplio conocimiento que se tiene del cultivo de razas lo- cales.</w:t>
      </w:r>
      <w:r>
        <w:rPr>
          <w:color w:val="231F20"/>
          <w:spacing w:val="-22"/>
          <w:w w:val="105"/>
        </w:rPr>
        <w:t> </w:t>
      </w:r>
      <w:r>
        <w:rPr>
          <w:color w:val="231F20"/>
          <w:spacing w:val="-4"/>
          <w:w w:val="105"/>
        </w:rPr>
        <w:t>Para</w:t>
      </w:r>
      <w:r>
        <w:rPr>
          <w:color w:val="231F20"/>
          <w:spacing w:val="-18"/>
          <w:w w:val="105"/>
        </w:rPr>
        <w:t> </w:t>
      </w:r>
      <w:r>
        <w:rPr>
          <w:color w:val="231F20"/>
          <w:w w:val="105"/>
        </w:rPr>
        <w:t>autoconsumo</w:t>
      </w:r>
      <w:r>
        <w:rPr>
          <w:color w:val="231F20"/>
          <w:spacing w:val="-18"/>
          <w:w w:val="105"/>
        </w:rPr>
        <w:t> </w:t>
      </w:r>
      <w:r>
        <w:rPr>
          <w:color w:val="231F20"/>
          <w:w w:val="105"/>
        </w:rPr>
        <w:t>se</w:t>
      </w:r>
      <w:r>
        <w:rPr>
          <w:color w:val="231F20"/>
          <w:spacing w:val="-18"/>
          <w:w w:val="105"/>
        </w:rPr>
        <w:t> </w:t>
      </w:r>
      <w:r>
        <w:rPr>
          <w:color w:val="231F20"/>
          <w:w w:val="105"/>
        </w:rPr>
        <w:t>produce</w:t>
      </w:r>
      <w:r>
        <w:rPr>
          <w:color w:val="231F20"/>
          <w:spacing w:val="-18"/>
          <w:w w:val="105"/>
        </w:rPr>
        <w:t> </w:t>
      </w:r>
      <w:r>
        <w:rPr>
          <w:color w:val="231F20"/>
          <w:w w:val="105"/>
        </w:rPr>
        <w:t>maíz</w:t>
      </w:r>
      <w:r>
        <w:rPr>
          <w:color w:val="231F20"/>
          <w:spacing w:val="-18"/>
          <w:w w:val="105"/>
        </w:rPr>
        <w:t> </w:t>
      </w:r>
      <w:r>
        <w:rPr>
          <w:color w:val="231F20"/>
          <w:w w:val="105"/>
        </w:rPr>
        <w:t>nativo,</w:t>
      </w:r>
      <w:r>
        <w:rPr>
          <w:color w:val="231F20"/>
          <w:spacing w:val="-22"/>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razas</w:t>
      </w:r>
      <w:r>
        <w:rPr>
          <w:color w:val="231F20"/>
          <w:spacing w:val="-18"/>
          <w:w w:val="105"/>
        </w:rPr>
        <w:t> </w:t>
      </w:r>
      <w:r>
        <w:rPr>
          <w:color w:val="231F20"/>
          <w:w w:val="105"/>
        </w:rPr>
        <w:t>tuxpeñas, tuxpeñas norteñas y Celaya, éstas del grupo de dentados tropicales</w:t>
      </w:r>
      <w:r>
        <w:rPr>
          <w:color w:val="231F20"/>
          <w:spacing w:val="-16"/>
          <w:w w:val="105"/>
        </w:rPr>
        <w:t> </w:t>
      </w:r>
      <w:r>
        <w:rPr>
          <w:color w:val="231F20"/>
          <w:w w:val="105"/>
        </w:rPr>
        <w:t>en colores amarillo y negro. </w:t>
      </w:r>
      <w:r>
        <w:rPr>
          <w:color w:val="231F20"/>
          <w:spacing w:val="-3"/>
          <w:w w:val="105"/>
        </w:rPr>
        <w:t>También </w:t>
      </w:r>
      <w:r>
        <w:rPr>
          <w:color w:val="231F20"/>
          <w:w w:val="105"/>
        </w:rPr>
        <w:t>el </w:t>
      </w:r>
      <w:r>
        <w:rPr>
          <w:rFonts w:ascii="Arial" w:hAnsi="Arial"/>
          <w:i/>
          <w:color w:val="231F20"/>
          <w:w w:val="105"/>
        </w:rPr>
        <w:t>nal-tel </w:t>
      </w:r>
      <w:r>
        <w:rPr>
          <w:color w:val="231F20"/>
          <w:w w:val="105"/>
        </w:rPr>
        <w:t>del grupo tropicales preco- ces (</w:t>
      </w:r>
      <w:r>
        <w:rPr>
          <w:color w:val="231F20"/>
          <w:w w:val="105"/>
          <w:sz w:val="17"/>
        </w:rPr>
        <w:t>CONABIO</w:t>
      </w:r>
      <w:r>
        <w:rPr>
          <w:color w:val="231F20"/>
          <w:w w:val="105"/>
        </w:rPr>
        <w:t>, 2010). El cultivo es sólo de temporal con un rendimiento aproximado de 3.0 t/ha. A fin de reducir los costos monetarios se</w:t>
      </w:r>
      <w:r>
        <w:rPr>
          <w:color w:val="231F20"/>
          <w:spacing w:val="-37"/>
          <w:w w:val="105"/>
        </w:rPr>
        <w:t> </w:t>
      </w:r>
      <w:r>
        <w:rPr>
          <w:color w:val="231F20"/>
          <w:w w:val="105"/>
        </w:rPr>
        <w:t>utiliza el</w:t>
      </w:r>
      <w:r>
        <w:rPr>
          <w:color w:val="231F20"/>
          <w:spacing w:val="-10"/>
          <w:w w:val="105"/>
        </w:rPr>
        <w:t> </w:t>
      </w:r>
      <w:r>
        <w:rPr>
          <w:color w:val="231F20"/>
          <w:w w:val="105"/>
        </w:rPr>
        <w:t>sistema</w:t>
      </w:r>
      <w:r>
        <w:rPr>
          <w:color w:val="231F20"/>
          <w:spacing w:val="-10"/>
          <w:w w:val="105"/>
        </w:rPr>
        <w:t> </w:t>
      </w:r>
      <w:r>
        <w:rPr>
          <w:color w:val="231F20"/>
          <w:w w:val="105"/>
        </w:rPr>
        <w:t>de</w:t>
      </w:r>
      <w:r>
        <w:rPr>
          <w:color w:val="231F20"/>
          <w:spacing w:val="-10"/>
          <w:w w:val="105"/>
        </w:rPr>
        <w:t> </w:t>
      </w:r>
      <w:r>
        <w:rPr>
          <w:color w:val="231F20"/>
          <w:w w:val="105"/>
        </w:rPr>
        <w:t>“manos</w:t>
      </w:r>
      <w:r>
        <w:rPr>
          <w:color w:val="231F20"/>
          <w:spacing w:val="-10"/>
          <w:w w:val="105"/>
        </w:rPr>
        <w:t> </w:t>
      </w:r>
      <w:r>
        <w:rPr>
          <w:color w:val="231F20"/>
          <w:spacing w:val="-3"/>
          <w:w w:val="105"/>
        </w:rPr>
        <w:t>vueltas”,</w:t>
      </w:r>
      <w:r>
        <w:rPr>
          <w:color w:val="231F20"/>
          <w:spacing w:val="-15"/>
          <w:w w:val="105"/>
        </w:rPr>
        <w:t> </w:t>
      </w:r>
      <w:r>
        <w:rPr>
          <w:color w:val="231F20"/>
          <w:w w:val="105"/>
        </w:rPr>
        <w:t>que</w:t>
      </w:r>
      <w:r>
        <w:rPr>
          <w:color w:val="231F20"/>
          <w:spacing w:val="-10"/>
          <w:w w:val="105"/>
        </w:rPr>
        <w:t> </w:t>
      </w:r>
      <w:r>
        <w:rPr>
          <w:color w:val="231F20"/>
          <w:w w:val="105"/>
        </w:rPr>
        <w:t>consiste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intercambio</w:t>
      </w:r>
      <w:r>
        <w:rPr>
          <w:color w:val="231F20"/>
          <w:spacing w:val="-10"/>
          <w:w w:val="105"/>
        </w:rPr>
        <w:t> </w:t>
      </w:r>
      <w:r>
        <w:rPr>
          <w:color w:val="231F20"/>
          <w:w w:val="105"/>
        </w:rPr>
        <w:t>de</w:t>
      </w:r>
      <w:r>
        <w:rPr>
          <w:color w:val="231F20"/>
          <w:spacing w:val="-10"/>
          <w:w w:val="105"/>
        </w:rPr>
        <w:t> </w:t>
      </w:r>
      <w:r>
        <w:rPr>
          <w:color w:val="231F20"/>
          <w:w w:val="105"/>
        </w:rPr>
        <w:t>trabajo entre unidades domésticas. No obstante, se emplean también peones pagados,</w:t>
      </w:r>
      <w:r>
        <w:rPr>
          <w:color w:val="231F20"/>
          <w:spacing w:val="-18"/>
          <w:w w:val="105"/>
        </w:rPr>
        <w:t> </w:t>
      </w:r>
      <w:r>
        <w:rPr>
          <w:color w:val="231F20"/>
          <w:w w:val="105"/>
        </w:rPr>
        <w:t>sobre</w:t>
      </w:r>
      <w:r>
        <w:rPr>
          <w:color w:val="231F20"/>
          <w:spacing w:val="-13"/>
          <w:w w:val="105"/>
        </w:rPr>
        <w:t> </w:t>
      </w:r>
      <w:r>
        <w:rPr>
          <w:color w:val="231F20"/>
          <w:w w:val="105"/>
        </w:rPr>
        <w:t>todo</w:t>
      </w:r>
      <w:r>
        <w:rPr>
          <w:color w:val="231F20"/>
          <w:spacing w:val="-13"/>
          <w:w w:val="105"/>
        </w:rPr>
        <w:t> </w:t>
      </w:r>
      <w:r>
        <w:rPr>
          <w:color w:val="231F20"/>
          <w:w w:val="105"/>
        </w:rPr>
        <w:t>entre</w:t>
      </w:r>
      <w:r>
        <w:rPr>
          <w:color w:val="231F20"/>
          <w:spacing w:val="-13"/>
          <w:w w:val="105"/>
        </w:rPr>
        <w:t> </w:t>
      </w:r>
      <w:r>
        <w:rPr>
          <w:color w:val="231F20"/>
          <w:w w:val="105"/>
        </w:rPr>
        <w:t>quienes</w:t>
      </w:r>
      <w:r>
        <w:rPr>
          <w:color w:val="231F20"/>
          <w:spacing w:val="-13"/>
          <w:w w:val="105"/>
        </w:rPr>
        <w:t> </w:t>
      </w:r>
      <w:r>
        <w:rPr>
          <w:color w:val="231F20"/>
          <w:w w:val="105"/>
        </w:rPr>
        <w:t>disponen</w:t>
      </w:r>
      <w:r>
        <w:rPr>
          <w:color w:val="231F20"/>
          <w:spacing w:val="-13"/>
          <w:w w:val="105"/>
        </w:rPr>
        <w:t> </w:t>
      </w:r>
      <w:r>
        <w:rPr>
          <w:color w:val="231F20"/>
          <w:w w:val="105"/>
        </w:rPr>
        <w:t>de</w:t>
      </w:r>
      <w:r>
        <w:rPr>
          <w:color w:val="231F20"/>
          <w:spacing w:val="-13"/>
          <w:w w:val="105"/>
        </w:rPr>
        <w:t> </w:t>
      </w:r>
      <w:r>
        <w:rPr>
          <w:color w:val="231F20"/>
          <w:w w:val="105"/>
        </w:rPr>
        <w:t>mayores</w:t>
      </w:r>
      <w:r>
        <w:rPr>
          <w:color w:val="231F20"/>
          <w:spacing w:val="-13"/>
          <w:w w:val="105"/>
        </w:rPr>
        <w:t> </w:t>
      </w:r>
      <w:r>
        <w:rPr>
          <w:color w:val="231F20"/>
          <w:w w:val="105"/>
        </w:rPr>
        <w:t>superficies.</w:t>
      </w:r>
    </w:p>
    <w:p>
      <w:pPr>
        <w:pStyle w:val="BodyText"/>
        <w:spacing w:line="261" w:lineRule="auto" w:before="1"/>
        <w:ind w:left="1723" w:right="1834" w:firstLine="567"/>
        <w:jc w:val="both"/>
      </w:pP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municipio</w:t>
      </w:r>
      <w:r>
        <w:rPr>
          <w:color w:val="231F20"/>
          <w:spacing w:val="-9"/>
          <w:w w:val="105"/>
        </w:rPr>
        <w:t> </w:t>
      </w:r>
      <w:r>
        <w:rPr>
          <w:color w:val="231F20"/>
          <w:w w:val="105"/>
        </w:rPr>
        <w:t>y</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comunidad</w:t>
      </w:r>
      <w:r>
        <w:rPr>
          <w:color w:val="231F20"/>
          <w:spacing w:val="-9"/>
          <w:w w:val="105"/>
        </w:rPr>
        <w:t> </w:t>
      </w:r>
      <w:r>
        <w:rPr>
          <w:color w:val="231F20"/>
          <w:w w:val="105"/>
        </w:rPr>
        <w:t>los</w:t>
      </w:r>
      <w:r>
        <w:rPr>
          <w:color w:val="231F20"/>
          <w:spacing w:val="-9"/>
          <w:w w:val="105"/>
        </w:rPr>
        <w:t> </w:t>
      </w:r>
      <w:r>
        <w:rPr>
          <w:color w:val="231F20"/>
          <w:w w:val="105"/>
        </w:rPr>
        <w:t>terrenos</w:t>
      </w:r>
      <w:r>
        <w:rPr>
          <w:color w:val="231F20"/>
          <w:spacing w:val="-9"/>
          <w:w w:val="105"/>
        </w:rPr>
        <w:t> </w:t>
      </w:r>
      <w:r>
        <w:rPr>
          <w:color w:val="231F20"/>
          <w:w w:val="105"/>
        </w:rPr>
        <w:t>destinados</w:t>
      </w:r>
      <w:r>
        <w:rPr>
          <w:color w:val="231F20"/>
          <w:spacing w:val="-9"/>
          <w:w w:val="105"/>
        </w:rPr>
        <w:t> </w:t>
      </w:r>
      <w:r>
        <w:rPr>
          <w:color w:val="231F20"/>
          <w:w w:val="105"/>
        </w:rPr>
        <w:t>al</w:t>
      </w:r>
      <w:r>
        <w:rPr>
          <w:color w:val="231F20"/>
          <w:spacing w:val="-9"/>
          <w:w w:val="105"/>
        </w:rPr>
        <w:t> </w:t>
      </w:r>
      <w:r>
        <w:rPr>
          <w:color w:val="231F20"/>
          <w:w w:val="105"/>
        </w:rPr>
        <w:t>culti- vo</w:t>
      </w:r>
      <w:r>
        <w:rPr>
          <w:color w:val="231F20"/>
          <w:spacing w:val="-12"/>
          <w:w w:val="105"/>
        </w:rPr>
        <w:t> </w:t>
      </w:r>
      <w:r>
        <w:rPr>
          <w:color w:val="231F20"/>
          <w:w w:val="105"/>
        </w:rPr>
        <w:t>de</w:t>
      </w:r>
      <w:r>
        <w:rPr>
          <w:color w:val="231F20"/>
          <w:spacing w:val="-12"/>
          <w:w w:val="105"/>
        </w:rPr>
        <w:t> </w:t>
      </w:r>
      <w:r>
        <w:rPr>
          <w:color w:val="231F20"/>
          <w:w w:val="105"/>
        </w:rPr>
        <w:t>maíz</w:t>
      </w:r>
      <w:r>
        <w:rPr>
          <w:color w:val="231F20"/>
          <w:spacing w:val="-12"/>
          <w:w w:val="105"/>
        </w:rPr>
        <w:t> </w:t>
      </w:r>
      <w:r>
        <w:rPr>
          <w:color w:val="231F20"/>
          <w:w w:val="105"/>
        </w:rPr>
        <w:t>se</w:t>
      </w:r>
      <w:r>
        <w:rPr>
          <w:color w:val="231F20"/>
          <w:spacing w:val="-12"/>
          <w:w w:val="105"/>
        </w:rPr>
        <w:t> </w:t>
      </w:r>
      <w:r>
        <w:rPr>
          <w:color w:val="231F20"/>
          <w:w w:val="105"/>
        </w:rPr>
        <w:t>alternan</w:t>
      </w:r>
      <w:r>
        <w:rPr>
          <w:color w:val="231F20"/>
          <w:spacing w:val="-12"/>
          <w:w w:val="105"/>
        </w:rPr>
        <w:t> </w:t>
      </w:r>
      <w:r>
        <w:rPr>
          <w:color w:val="231F20"/>
          <w:w w:val="105"/>
        </w:rPr>
        <w:t>para</w:t>
      </w:r>
      <w:r>
        <w:rPr>
          <w:color w:val="231F20"/>
          <w:spacing w:val="-12"/>
          <w:w w:val="105"/>
        </w:rPr>
        <w:t> </w:t>
      </w:r>
      <w:r>
        <w:rPr>
          <w:color w:val="231F20"/>
          <w:w w:val="105"/>
        </w:rPr>
        <w:t>la</w:t>
      </w:r>
      <w:r>
        <w:rPr>
          <w:color w:val="231F20"/>
          <w:spacing w:val="-12"/>
          <w:w w:val="105"/>
        </w:rPr>
        <w:t> </w:t>
      </w:r>
      <w:r>
        <w:rPr>
          <w:color w:val="231F20"/>
          <w:w w:val="105"/>
        </w:rPr>
        <w:t>agricultura</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ganadería,</w:t>
      </w:r>
      <w:r>
        <w:rPr>
          <w:color w:val="231F20"/>
          <w:spacing w:val="-17"/>
          <w:w w:val="105"/>
        </w:rPr>
        <w:t> </w:t>
      </w:r>
      <w:r>
        <w:rPr>
          <w:color w:val="231F20"/>
          <w:w w:val="105"/>
        </w:rPr>
        <w:t>sistema</w:t>
      </w:r>
      <w:r>
        <w:rPr>
          <w:color w:val="231F20"/>
          <w:spacing w:val="-12"/>
          <w:w w:val="105"/>
        </w:rPr>
        <w:t> </w:t>
      </w:r>
      <w:r>
        <w:rPr>
          <w:color w:val="231F20"/>
          <w:w w:val="105"/>
        </w:rPr>
        <w:t>que</w:t>
      </w:r>
      <w:r>
        <w:rPr>
          <w:color w:val="231F20"/>
          <w:spacing w:val="-12"/>
          <w:w w:val="105"/>
        </w:rPr>
        <w:t> </w:t>
      </w:r>
      <w:r>
        <w:rPr>
          <w:color w:val="231F20"/>
          <w:w w:val="105"/>
        </w:rPr>
        <w:t>se denomina “año y </w:t>
      </w:r>
      <w:r>
        <w:rPr>
          <w:color w:val="231F20"/>
          <w:spacing w:val="-6"/>
          <w:w w:val="105"/>
        </w:rPr>
        <w:t>vez”. </w:t>
      </w:r>
      <w:r>
        <w:rPr>
          <w:color w:val="231F20"/>
          <w:w w:val="105"/>
        </w:rPr>
        <w:t>Una parte de los terrenos se siembra y la otra</w:t>
      </w:r>
      <w:r>
        <w:rPr>
          <w:color w:val="231F20"/>
          <w:spacing w:val="-40"/>
          <w:w w:val="105"/>
        </w:rPr>
        <w:t> </w:t>
      </w:r>
      <w:r>
        <w:rPr>
          <w:color w:val="231F20"/>
          <w:w w:val="105"/>
        </w:rPr>
        <w:t>se deja en descanso y libre para el pastoreo del ganado. Después de uno o</w:t>
      </w:r>
      <w:r>
        <w:rPr>
          <w:color w:val="231F20"/>
          <w:spacing w:val="-16"/>
          <w:w w:val="105"/>
        </w:rPr>
        <w:t> </w:t>
      </w:r>
      <w:r>
        <w:rPr>
          <w:color w:val="231F20"/>
          <w:w w:val="105"/>
        </w:rPr>
        <w:t>varios</w:t>
      </w:r>
      <w:r>
        <w:rPr>
          <w:color w:val="231F20"/>
          <w:spacing w:val="-16"/>
          <w:w w:val="105"/>
        </w:rPr>
        <w:t> </w:t>
      </w:r>
      <w:r>
        <w:rPr>
          <w:color w:val="231F20"/>
          <w:w w:val="105"/>
        </w:rPr>
        <w:t>años</w:t>
      </w:r>
      <w:r>
        <w:rPr>
          <w:color w:val="231F20"/>
          <w:spacing w:val="-16"/>
          <w:w w:val="105"/>
        </w:rPr>
        <w:t> </w:t>
      </w:r>
      <w:r>
        <w:rPr>
          <w:color w:val="231F20"/>
          <w:w w:val="105"/>
        </w:rPr>
        <w:t>de</w:t>
      </w:r>
      <w:r>
        <w:rPr>
          <w:color w:val="231F20"/>
          <w:spacing w:val="-16"/>
          <w:w w:val="105"/>
        </w:rPr>
        <w:t> </w:t>
      </w:r>
      <w:r>
        <w:rPr>
          <w:color w:val="231F20"/>
          <w:w w:val="105"/>
        </w:rPr>
        <w:t>barbecho</w:t>
      </w:r>
      <w:r>
        <w:rPr>
          <w:color w:val="231F20"/>
          <w:spacing w:val="-16"/>
          <w:w w:val="105"/>
        </w:rPr>
        <w:t> </w:t>
      </w:r>
      <w:r>
        <w:rPr>
          <w:color w:val="231F20"/>
          <w:w w:val="105"/>
        </w:rPr>
        <w:t>los</w:t>
      </w:r>
      <w:r>
        <w:rPr>
          <w:color w:val="231F20"/>
          <w:spacing w:val="-16"/>
          <w:w w:val="105"/>
        </w:rPr>
        <w:t> </w:t>
      </w:r>
      <w:r>
        <w:rPr>
          <w:color w:val="231F20"/>
          <w:w w:val="105"/>
        </w:rPr>
        <w:t>terrenos</w:t>
      </w:r>
      <w:r>
        <w:rPr>
          <w:color w:val="231F20"/>
          <w:spacing w:val="-16"/>
          <w:w w:val="105"/>
        </w:rPr>
        <w:t> </w:t>
      </w:r>
      <w:r>
        <w:rPr>
          <w:color w:val="231F20"/>
          <w:w w:val="105"/>
        </w:rPr>
        <w:t>nuevamente</w:t>
      </w:r>
      <w:r>
        <w:rPr>
          <w:color w:val="231F20"/>
          <w:spacing w:val="-16"/>
          <w:w w:val="105"/>
        </w:rPr>
        <w:t> </w:t>
      </w:r>
      <w:r>
        <w:rPr>
          <w:color w:val="231F20"/>
          <w:w w:val="105"/>
        </w:rPr>
        <w:t>se</w:t>
      </w:r>
      <w:r>
        <w:rPr>
          <w:color w:val="231F20"/>
          <w:spacing w:val="-16"/>
          <w:w w:val="105"/>
        </w:rPr>
        <w:t> </w:t>
      </w:r>
      <w:r>
        <w:rPr>
          <w:color w:val="231F20"/>
          <w:w w:val="105"/>
        </w:rPr>
        <w:t>cultivan.</w:t>
      </w:r>
      <w:r>
        <w:rPr>
          <w:color w:val="231F20"/>
          <w:spacing w:val="-20"/>
          <w:w w:val="105"/>
        </w:rPr>
        <w:t> </w:t>
      </w:r>
      <w:r>
        <w:rPr>
          <w:color w:val="231F20"/>
          <w:w w:val="105"/>
        </w:rPr>
        <w:t>En</w:t>
      </w:r>
      <w:r>
        <w:rPr>
          <w:color w:val="231F20"/>
          <w:spacing w:val="-16"/>
          <w:w w:val="105"/>
        </w:rPr>
        <w:t> </w:t>
      </w:r>
      <w:r>
        <w:rPr>
          <w:color w:val="231F20"/>
          <w:w w:val="105"/>
        </w:rPr>
        <w:t>San- tiago existen alrededor de 36 productores de maíz que en su mayoría siembran maíz nativo. De ellos, 26 productores están registrados en el programa</w:t>
      </w:r>
      <w:r>
        <w:rPr>
          <w:color w:val="231F20"/>
          <w:spacing w:val="-13"/>
          <w:w w:val="105"/>
        </w:rPr>
        <w:t> </w:t>
      </w:r>
      <w:r>
        <w:rPr>
          <w:color w:val="231F20"/>
          <w:w w:val="105"/>
          <w:sz w:val="17"/>
        </w:rPr>
        <w:t>PROAGRO</w:t>
      </w:r>
      <w:r>
        <w:rPr>
          <w:color w:val="231F20"/>
          <w:spacing w:val="-3"/>
          <w:w w:val="105"/>
          <w:sz w:val="17"/>
        </w:rPr>
        <w:t> </w:t>
      </w:r>
      <w:r>
        <w:rPr>
          <w:color w:val="231F20"/>
          <w:w w:val="105"/>
        </w:rPr>
        <w:t>(</w:t>
      </w:r>
      <w:r>
        <w:rPr>
          <w:color w:val="231F20"/>
          <w:w w:val="105"/>
          <w:sz w:val="17"/>
        </w:rPr>
        <w:t>SAGARPA</w:t>
      </w:r>
      <w:r>
        <w:rPr>
          <w:color w:val="231F20"/>
          <w:w w:val="105"/>
        </w:rPr>
        <w:t>,</w:t>
      </w:r>
      <w:r>
        <w:rPr>
          <w:color w:val="231F20"/>
          <w:spacing w:val="-17"/>
          <w:w w:val="105"/>
        </w:rPr>
        <w:t> </w:t>
      </w:r>
      <w:r>
        <w:rPr>
          <w:color w:val="231F20"/>
          <w:w w:val="105"/>
        </w:rPr>
        <w:t>2015).</w:t>
      </w:r>
      <w:r>
        <w:rPr>
          <w:color w:val="231F20"/>
          <w:spacing w:val="-17"/>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22</w:t>
      </w:r>
      <w:r>
        <w:rPr>
          <w:color w:val="231F20"/>
          <w:spacing w:val="-13"/>
          <w:w w:val="105"/>
        </w:rPr>
        <w:t> </w:t>
      </w:r>
      <w:r>
        <w:rPr>
          <w:color w:val="231F20"/>
          <w:w w:val="105"/>
        </w:rPr>
        <w:t>unidades</w:t>
      </w:r>
      <w:r>
        <w:rPr>
          <w:color w:val="231F20"/>
          <w:spacing w:val="-13"/>
          <w:w w:val="105"/>
        </w:rPr>
        <w:t> </w:t>
      </w:r>
      <w:r>
        <w:rPr>
          <w:color w:val="231F20"/>
          <w:w w:val="105"/>
        </w:rPr>
        <w:t>de</w:t>
      </w:r>
      <w:r>
        <w:rPr>
          <w:color w:val="231F20"/>
          <w:spacing w:val="-13"/>
          <w:w w:val="105"/>
        </w:rPr>
        <w:t> </w:t>
      </w:r>
      <w:r>
        <w:rPr>
          <w:color w:val="231F20"/>
          <w:w w:val="105"/>
        </w:rPr>
        <w:t>producción que</w:t>
      </w:r>
      <w:r>
        <w:rPr>
          <w:color w:val="231F20"/>
          <w:spacing w:val="-8"/>
          <w:w w:val="105"/>
        </w:rPr>
        <w:t> </w:t>
      </w:r>
      <w:r>
        <w:rPr>
          <w:color w:val="231F20"/>
          <w:w w:val="105"/>
        </w:rPr>
        <w:t>se</w:t>
      </w:r>
      <w:r>
        <w:rPr>
          <w:color w:val="231F20"/>
          <w:spacing w:val="-8"/>
          <w:w w:val="105"/>
        </w:rPr>
        <w:t> </w:t>
      </w:r>
      <w:r>
        <w:rPr>
          <w:color w:val="231F20"/>
          <w:w w:val="105"/>
        </w:rPr>
        <w:t>encuestaron,</w:t>
      </w:r>
      <w:r>
        <w:rPr>
          <w:color w:val="231F20"/>
          <w:spacing w:val="-14"/>
          <w:w w:val="105"/>
        </w:rPr>
        <w:t> </w:t>
      </w:r>
      <w:r>
        <w:rPr>
          <w:color w:val="231F20"/>
          <w:w w:val="105"/>
        </w:rPr>
        <w:t>14</w:t>
      </w:r>
      <w:r>
        <w:rPr>
          <w:color w:val="231F20"/>
          <w:spacing w:val="-8"/>
          <w:w w:val="105"/>
        </w:rPr>
        <w:t> </w:t>
      </w:r>
      <w:r>
        <w:rPr>
          <w:color w:val="231F20"/>
          <w:w w:val="105"/>
        </w:rPr>
        <w:t>cuentan</w:t>
      </w:r>
      <w:r>
        <w:rPr>
          <w:color w:val="231F20"/>
          <w:spacing w:val="-8"/>
          <w:w w:val="105"/>
        </w:rPr>
        <w:t> </w:t>
      </w:r>
      <w:r>
        <w:rPr>
          <w:color w:val="231F20"/>
          <w:w w:val="105"/>
        </w:rPr>
        <w:t>con</w:t>
      </w:r>
      <w:r>
        <w:rPr>
          <w:color w:val="231F20"/>
          <w:spacing w:val="-8"/>
          <w:w w:val="105"/>
        </w:rPr>
        <w:t> </w:t>
      </w:r>
      <w:r>
        <w:rPr>
          <w:color w:val="231F20"/>
          <w:spacing w:val="-3"/>
          <w:w w:val="105"/>
        </w:rPr>
        <w:t>Programa</w:t>
      </w:r>
      <w:r>
        <w:rPr>
          <w:color w:val="231F20"/>
          <w:spacing w:val="-8"/>
          <w:w w:val="105"/>
        </w:rPr>
        <w:t> </w:t>
      </w:r>
      <w:r>
        <w:rPr>
          <w:color w:val="231F20"/>
          <w:w w:val="105"/>
        </w:rPr>
        <w:t>de</w:t>
      </w:r>
      <w:r>
        <w:rPr>
          <w:color w:val="231F20"/>
          <w:spacing w:val="-8"/>
          <w:w w:val="105"/>
        </w:rPr>
        <w:t> </w:t>
      </w:r>
      <w:r>
        <w:rPr>
          <w:color w:val="231F20"/>
          <w:w w:val="105"/>
        </w:rPr>
        <w:t>Fomento</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12"/>
          <w:w w:val="105"/>
        </w:rPr>
        <w:t> </w:t>
      </w:r>
      <w:r>
        <w:rPr>
          <w:color w:val="231F20"/>
          <w:w w:val="105"/>
        </w:rPr>
        <w:t>Agricul- tura (</w:t>
      </w:r>
      <w:r>
        <w:rPr>
          <w:color w:val="231F20"/>
          <w:w w:val="105"/>
          <w:sz w:val="17"/>
        </w:rPr>
        <w:t>PROAGRO</w:t>
      </w:r>
      <w:r>
        <w:rPr>
          <w:color w:val="231F20"/>
          <w:w w:val="105"/>
        </w:rPr>
        <w:t>) y dos productores que se benefician de este programa también</w:t>
      </w:r>
      <w:r>
        <w:rPr>
          <w:color w:val="231F20"/>
          <w:spacing w:val="-24"/>
          <w:w w:val="105"/>
        </w:rPr>
        <w:t> </w:t>
      </w:r>
      <w:r>
        <w:rPr>
          <w:color w:val="231F20"/>
          <w:w w:val="105"/>
        </w:rPr>
        <w:t>reciben</w:t>
      </w:r>
      <w:r>
        <w:rPr>
          <w:color w:val="231F20"/>
          <w:spacing w:val="-24"/>
          <w:w w:val="105"/>
        </w:rPr>
        <w:t> </w:t>
      </w:r>
      <w:r>
        <w:rPr>
          <w:color w:val="231F20"/>
          <w:w w:val="105"/>
        </w:rPr>
        <w:t>apoyos</w:t>
      </w:r>
      <w:r>
        <w:rPr>
          <w:color w:val="231F20"/>
          <w:spacing w:val="-24"/>
          <w:w w:val="105"/>
        </w:rPr>
        <w:t> </w:t>
      </w:r>
      <w:r>
        <w:rPr>
          <w:color w:val="231F20"/>
          <w:w w:val="105"/>
        </w:rPr>
        <w:t>del</w:t>
      </w:r>
      <w:r>
        <w:rPr>
          <w:color w:val="231F20"/>
          <w:spacing w:val="-24"/>
          <w:w w:val="105"/>
        </w:rPr>
        <w:t> </w:t>
      </w:r>
      <w:r>
        <w:rPr>
          <w:color w:val="231F20"/>
          <w:spacing w:val="-3"/>
          <w:w w:val="105"/>
        </w:rPr>
        <w:t>Programa</w:t>
      </w:r>
      <w:r>
        <w:rPr>
          <w:color w:val="231F20"/>
          <w:spacing w:val="-24"/>
          <w:w w:val="105"/>
        </w:rPr>
        <w:t> </w:t>
      </w:r>
      <w:r>
        <w:rPr>
          <w:color w:val="231F20"/>
          <w:w w:val="105"/>
        </w:rPr>
        <w:t>Ganadero</w:t>
      </w:r>
      <w:r>
        <w:rPr>
          <w:color w:val="231F20"/>
          <w:spacing w:val="-24"/>
          <w:w w:val="105"/>
        </w:rPr>
        <w:t> </w:t>
      </w:r>
      <w:r>
        <w:rPr>
          <w:color w:val="231F20"/>
          <w:w w:val="105"/>
        </w:rPr>
        <w:t>Nacional</w:t>
      </w:r>
      <w:r>
        <w:rPr>
          <w:color w:val="231F20"/>
          <w:spacing w:val="-24"/>
          <w:w w:val="105"/>
        </w:rPr>
        <w:t> </w:t>
      </w:r>
      <w:r>
        <w:rPr>
          <w:color w:val="231F20"/>
          <w:w w:val="105"/>
        </w:rPr>
        <w:t>(</w:t>
      </w:r>
      <w:r>
        <w:rPr>
          <w:color w:val="231F20"/>
          <w:w w:val="105"/>
          <w:sz w:val="17"/>
        </w:rPr>
        <w:t>PROGAN</w:t>
      </w:r>
      <w:r>
        <w:rPr>
          <w:color w:val="231F20"/>
          <w:w w:val="105"/>
        </w:rPr>
        <w:t>).</w:t>
      </w:r>
    </w:p>
    <w:p>
      <w:pPr>
        <w:pStyle w:val="BodyText"/>
        <w:spacing w:line="261" w:lineRule="auto" w:before="1"/>
        <w:ind w:left="1723" w:right="1829" w:firstLine="567"/>
        <w:jc w:val="both"/>
      </w:pPr>
      <w:r>
        <w:rPr>
          <w:color w:val="231F20"/>
        </w:rPr>
        <w:t>Durante el ciclo agrícola 2014, del total de las unidades domésticas entrevistadas, el 50% de ellas cultivó en tierras propias y el otro 50% en tierras prestadas. La superficie sembrada de maíz en estas unidades do- mésticas osciló de media hectárea hasta cuatro hectáreas y media en el ciclo agrícola 2014. En las cuatro unidades donde se produce más grano, dos de ellas recibieron remesas de manera periódica, las otras dos no;  sin embargo, las cuatro tienen en común que los jefes de unidad tienen    el mismo rango de edad, nunca han migrado y consideran a la agricultu-  ra como una forma de </w:t>
      </w:r>
      <w:r>
        <w:rPr>
          <w:color w:val="231F20"/>
          <w:spacing w:val="19"/>
        </w:rPr>
        <w:t> </w:t>
      </w:r>
      <w:r>
        <w:rPr>
          <w:color w:val="231F20"/>
        </w:rPr>
        <w:t>vida.</w:t>
      </w:r>
    </w:p>
    <w:p>
      <w:pPr>
        <w:pStyle w:val="BodyText"/>
        <w:spacing w:line="261" w:lineRule="auto" w:before="1"/>
        <w:ind w:left="1723" w:right="1834" w:firstLine="567"/>
        <w:jc w:val="both"/>
      </w:pP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22</w:t>
      </w:r>
      <w:r>
        <w:rPr>
          <w:color w:val="231F20"/>
          <w:spacing w:val="-18"/>
          <w:w w:val="105"/>
        </w:rPr>
        <w:t> </w:t>
      </w:r>
      <w:r>
        <w:rPr>
          <w:color w:val="231F20"/>
          <w:w w:val="105"/>
        </w:rPr>
        <w:t>unidades</w:t>
      </w:r>
      <w:r>
        <w:rPr>
          <w:color w:val="231F20"/>
          <w:spacing w:val="-18"/>
          <w:w w:val="105"/>
        </w:rPr>
        <w:t> </w:t>
      </w:r>
      <w:r>
        <w:rPr>
          <w:color w:val="231F20"/>
          <w:w w:val="105"/>
        </w:rPr>
        <w:t>domésticas</w:t>
      </w:r>
      <w:r>
        <w:rPr>
          <w:color w:val="231F20"/>
          <w:spacing w:val="-18"/>
          <w:w w:val="105"/>
        </w:rPr>
        <w:t> </w:t>
      </w:r>
      <w:r>
        <w:rPr>
          <w:color w:val="231F20"/>
          <w:w w:val="105"/>
        </w:rPr>
        <w:t>que</w:t>
      </w:r>
      <w:r>
        <w:rPr>
          <w:color w:val="231F20"/>
          <w:spacing w:val="-18"/>
          <w:w w:val="105"/>
        </w:rPr>
        <w:t> </w:t>
      </w:r>
      <w:r>
        <w:rPr>
          <w:color w:val="231F20"/>
          <w:spacing w:val="-3"/>
          <w:w w:val="105"/>
        </w:rPr>
        <w:t>fueron</w:t>
      </w:r>
      <w:r>
        <w:rPr>
          <w:color w:val="231F20"/>
          <w:spacing w:val="-18"/>
          <w:w w:val="105"/>
        </w:rPr>
        <w:t> </w:t>
      </w:r>
      <w:r>
        <w:rPr>
          <w:color w:val="231F20"/>
          <w:w w:val="105"/>
        </w:rPr>
        <w:t>analizadas,</w:t>
      </w:r>
      <w:r>
        <w:rPr>
          <w:color w:val="231F20"/>
          <w:spacing w:val="-23"/>
          <w:w w:val="105"/>
        </w:rPr>
        <w:t> </w:t>
      </w:r>
      <w:r>
        <w:rPr>
          <w:color w:val="231F20"/>
          <w:spacing w:val="-3"/>
          <w:w w:val="105"/>
        </w:rPr>
        <w:t>reportan</w:t>
      </w:r>
      <w:r>
        <w:rPr>
          <w:color w:val="231F20"/>
          <w:spacing w:val="-18"/>
          <w:w w:val="105"/>
        </w:rPr>
        <w:t> </w:t>
      </w:r>
      <w:r>
        <w:rPr>
          <w:color w:val="231F20"/>
          <w:w w:val="105"/>
        </w:rPr>
        <w:t>en su</w:t>
      </w:r>
      <w:r>
        <w:rPr>
          <w:color w:val="231F20"/>
          <w:spacing w:val="-7"/>
          <w:w w:val="105"/>
        </w:rPr>
        <w:t> </w:t>
      </w:r>
      <w:r>
        <w:rPr>
          <w:color w:val="231F20"/>
          <w:w w:val="105"/>
        </w:rPr>
        <w:t>dimensión</w:t>
      </w:r>
      <w:r>
        <w:rPr>
          <w:color w:val="231F20"/>
          <w:spacing w:val="-7"/>
          <w:w w:val="105"/>
        </w:rPr>
        <w:t> </w:t>
      </w:r>
      <w:r>
        <w:rPr>
          <w:color w:val="231F20"/>
          <w:w w:val="105"/>
        </w:rPr>
        <w:t>económica</w:t>
      </w:r>
      <w:r>
        <w:rPr>
          <w:color w:val="231F20"/>
          <w:spacing w:val="-7"/>
          <w:w w:val="105"/>
        </w:rPr>
        <w:t> </w:t>
      </w:r>
      <w:r>
        <w:rPr>
          <w:color w:val="231F20"/>
          <w:w w:val="105"/>
        </w:rPr>
        <w:t>que</w:t>
      </w:r>
      <w:r>
        <w:rPr>
          <w:color w:val="231F20"/>
          <w:spacing w:val="-7"/>
          <w:w w:val="105"/>
        </w:rPr>
        <w:t> </w:t>
      </w:r>
      <w:r>
        <w:rPr>
          <w:color w:val="231F20"/>
          <w:w w:val="105"/>
        </w:rPr>
        <w:t>únicamente</w:t>
      </w:r>
      <w:r>
        <w:rPr>
          <w:color w:val="231F20"/>
          <w:spacing w:val="-7"/>
          <w:w w:val="105"/>
        </w:rPr>
        <w:t> </w:t>
      </w:r>
      <w:r>
        <w:rPr>
          <w:color w:val="231F20"/>
          <w:w w:val="105"/>
        </w:rPr>
        <w:t>una</w:t>
      </w:r>
      <w:r>
        <w:rPr>
          <w:color w:val="231F20"/>
          <w:spacing w:val="-7"/>
          <w:w w:val="105"/>
        </w:rPr>
        <w:t> </w:t>
      </w:r>
      <w:r>
        <w:rPr>
          <w:color w:val="231F20"/>
          <w:w w:val="105"/>
        </w:rPr>
        <w:t>cuenta</w:t>
      </w:r>
      <w:r>
        <w:rPr>
          <w:color w:val="231F20"/>
          <w:spacing w:val="-7"/>
          <w:w w:val="105"/>
        </w:rPr>
        <w:t> </w:t>
      </w:r>
      <w:r>
        <w:rPr>
          <w:color w:val="231F20"/>
          <w:w w:val="105"/>
        </w:rPr>
        <w:t>con</w:t>
      </w:r>
      <w:r>
        <w:rPr>
          <w:color w:val="231F20"/>
          <w:spacing w:val="-7"/>
          <w:w w:val="105"/>
        </w:rPr>
        <w:t> </w:t>
      </w:r>
      <w:r>
        <w:rPr>
          <w:color w:val="231F20"/>
          <w:w w:val="105"/>
        </w:rPr>
        <w:t>un</w:t>
      </w:r>
      <w:r>
        <w:rPr>
          <w:color w:val="231F20"/>
          <w:spacing w:val="-7"/>
          <w:w w:val="105"/>
        </w:rPr>
        <w:t> </w:t>
      </w:r>
      <w:r>
        <w:rPr>
          <w:color w:val="231F20"/>
          <w:w w:val="105"/>
        </w:rPr>
        <w:t>jefe</w:t>
      </w:r>
      <w:r>
        <w:rPr>
          <w:color w:val="231F20"/>
          <w:spacing w:val="-7"/>
          <w:w w:val="105"/>
        </w:rPr>
        <w:t> </w:t>
      </w:r>
      <w:r>
        <w:rPr>
          <w:color w:val="231F20"/>
          <w:w w:val="105"/>
        </w:rPr>
        <w:t>de</w:t>
      </w:r>
      <w:r>
        <w:rPr>
          <w:color w:val="231F20"/>
          <w:spacing w:val="-7"/>
          <w:w w:val="105"/>
        </w:rPr>
        <w:t> </w:t>
      </w:r>
      <w:r>
        <w:rPr>
          <w:color w:val="231F20"/>
          <w:w w:val="105"/>
        </w:rPr>
        <w:t>fa- milia que </w:t>
      </w:r>
      <w:r>
        <w:rPr>
          <w:color w:val="231F20"/>
          <w:spacing w:val="-3"/>
          <w:w w:val="105"/>
        </w:rPr>
        <w:t>recibe </w:t>
      </w:r>
      <w:r>
        <w:rPr>
          <w:color w:val="231F20"/>
          <w:w w:val="105"/>
        </w:rPr>
        <w:t>un salario por un jornal de trabajo de </w:t>
      </w:r>
      <w:r>
        <w:rPr>
          <w:color w:val="231F20"/>
          <w:spacing w:val="-2"/>
          <w:w w:val="105"/>
        </w:rPr>
        <w:t>manera</w:t>
      </w:r>
      <w:r>
        <w:rPr>
          <w:color w:val="231F20"/>
          <w:spacing w:val="21"/>
          <w:w w:val="105"/>
        </w:rPr>
        <w:t> </w:t>
      </w:r>
      <w:r>
        <w:rPr>
          <w:color w:val="231F20"/>
          <w:w w:val="105"/>
        </w:rPr>
        <w:t>continua</w:t>
      </w:r>
    </w:p>
    <w:p>
      <w:pPr>
        <w:pStyle w:val="BodyText"/>
        <w:spacing w:before="10"/>
        <w:rPr>
          <w:sz w:val="24"/>
        </w:rPr>
      </w:pPr>
      <w:r>
        <w:rPr/>
        <w:pict>
          <v:line style="position:absolute;mso-position-horizontal-relative:page;mso-position-vertical-relative:paragraph;z-index:40096;mso-wrap-distance-left:0;mso-wrap-distance-right:0" from="86.196899pt,16.19372pt" to="199.582899pt,16.19372pt" stroked="true" strokeweight=".25pt" strokecolor="#231f20">
            <w10:wrap type="topAndBottom"/>
          </v:line>
        </w:pict>
      </w:r>
    </w:p>
    <w:p>
      <w:pPr>
        <w:spacing w:line="194" w:lineRule="exact" w:before="8"/>
        <w:ind w:left="1723" w:right="0" w:firstLine="0"/>
        <w:jc w:val="left"/>
        <w:rPr>
          <w:rFonts w:ascii="Calibri" w:hAnsi="Calibri"/>
          <w:sz w:val="16"/>
        </w:rPr>
      </w:pPr>
      <w:r>
        <w:rPr>
          <w:rFonts w:ascii="Calibri" w:hAnsi="Calibri"/>
          <w:color w:val="414042"/>
          <w:w w:val="105"/>
          <w:position w:val="5"/>
          <w:sz w:val="9"/>
        </w:rPr>
        <w:t>3 </w:t>
      </w:r>
      <w:r>
        <w:rPr>
          <w:rFonts w:ascii="Calibri" w:hAnsi="Calibri"/>
          <w:color w:val="414042"/>
          <w:w w:val="105"/>
          <w:sz w:val="16"/>
        </w:rPr>
        <w:t>O también denominada barreta, artefacto que se coloca en la punta de un palo para perforar la tierra.</w:t>
      </w:r>
    </w:p>
    <w:p>
      <w:pPr>
        <w:spacing w:line="192" w:lineRule="exact" w:before="0"/>
        <w:ind w:left="1723" w:right="0" w:firstLine="0"/>
        <w:jc w:val="left"/>
        <w:rPr>
          <w:rFonts w:ascii="Calibri" w:hAnsi="Calibri"/>
          <w:sz w:val="16"/>
        </w:rPr>
      </w:pPr>
      <w:r>
        <w:rPr>
          <w:rFonts w:ascii="Calibri" w:hAnsi="Calibri"/>
          <w:color w:val="414042"/>
          <w:w w:val="105"/>
          <w:position w:val="5"/>
          <w:sz w:val="9"/>
        </w:rPr>
        <w:t>4 </w:t>
      </w:r>
      <w:r>
        <w:rPr>
          <w:rFonts w:ascii="Calibri" w:hAnsi="Calibri"/>
          <w:color w:val="414042"/>
          <w:w w:val="105"/>
          <w:sz w:val="16"/>
        </w:rPr>
        <w:t>Forma de nombrar al trabajo que consiste en quitarle la maleza a la planta del maíz.</w:t>
      </w:r>
    </w:p>
    <w:p>
      <w:pPr>
        <w:spacing w:line="194" w:lineRule="exact" w:before="0"/>
        <w:ind w:left="1723" w:right="0" w:firstLine="0"/>
        <w:jc w:val="left"/>
        <w:rPr>
          <w:rFonts w:ascii="Calibri" w:hAnsi="Calibri"/>
          <w:sz w:val="16"/>
        </w:rPr>
      </w:pPr>
      <w:r>
        <w:rPr>
          <w:rFonts w:ascii="Calibri" w:hAnsi="Calibri"/>
          <w:color w:val="414042"/>
          <w:w w:val="105"/>
          <w:position w:val="5"/>
          <w:sz w:val="9"/>
        </w:rPr>
        <w:t>5 </w:t>
      </w:r>
      <w:r>
        <w:rPr>
          <w:rFonts w:ascii="Calibri" w:hAnsi="Calibri"/>
          <w:color w:val="414042"/>
          <w:w w:val="105"/>
          <w:sz w:val="16"/>
        </w:rPr>
        <w:t>En el municipio se denomina “maíz criollo” o “maíz grande” al maíz nativo.</w:t>
      </w:r>
    </w:p>
    <w:p>
      <w:pPr>
        <w:pStyle w:val="BodyText"/>
        <w:rPr>
          <w:rFonts w:ascii="Calibri"/>
          <w:sz w:val="20"/>
        </w:rPr>
      </w:pPr>
    </w:p>
    <w:p>
      <w:pPr>
        <w:pStyle w:val="BodyText"/>
        <w:spacing w:before="10"/>
        <w:rPr>
          <w:rFonts w:ascii="Calibri"/>
          <w:sz w:val="2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50064" from="131.551193pt,3.703715pt" to="131.551193pt,39.506114pt" stroked="true" strokeweight=".35pt" strokecolor="#231f20">
            <w10:wrap type="none"/>
          </v:line>
        </w:pict>
      </w:r>
      <w:r>
        <w:rPr/>
        <w:pict>
          <v:line style="position:absolute;mso-position-horizontal-relative:page;mso-position-vertical-relative:paragraph;z-index:-449992" from="15pt,39.505917pt" to="0pt,39.505917pt" stroked="true" strokeweight=".25pt" strokecolor="#000000">
            <w10:wrap type="none"/>
          </v:line>
        </w:pict>
      </w:r>
      <w:r>
        <w:rPr/>
        <w:pict>
          <v:line style="position:absolute;mso-position-horizontal-relative:page;mso-position-vertical-relative:paragraph;z-index:40216" from="508.890015pt,39.505917pt" to="523.890015pt,39.505917pt" stroked="true" strokeweight=".25pt" strokecolor="#000000">
            <w10:wrap type="none"/>
          </v:line>
        </w:pict>
      </w:r>
      <w:r>
        <w:rPr>
          <w:rFonts w:ascii="Arial" w:hAnsi="Arial"/>
          <w:color w:val="414042"/>
          <w:position w:val="-5"/>
          <w:sz w:val="20"/>
        </w:rPr>
        <w:t>336</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49944" from="405.061005pt,-18.554295pt" to="405.061005pt,16.311579pt" stroked="true" strokeweight=".35pt" strokecolor="#231f20">
            <w10:wrap type="none"/>
          </v:line>
        </w:pict>
      </w:r>
      <w:r>
        <w:rPr/>
        <w:pict>
          <v:line style="position:absolute;mso-position-horizontal-relative:page;mso-position-vertical-relative:paragraph;z-index:40264" from="15pt,-18.554522pt" to="0pt,-18.554522pt" stroked="true" strokeweight=".25pt" strokecolor="#000000">
            <w10:wrap type="none"/>
          </v:line>
        </w:pict>
      </w:r>
      <w:r>
        <w:rPr/>
        <w:pict>
          <v:line style="position:absolute;mso-position-horizontal-relative:page;mso-position-vertical-relative:paragraph;z-index:40288"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337</w:t>
      </w:r>
    </w:p>
    <w:p>
      <w:pPr>
        <w:pStyle w:val="BodyText"/>
        <w:rPr>
          <w:rFonts w:ascii="Arial"/>
          <w:sz w:val="20"/>
        </w:rPr>
      </w:pPr>
    </w:p>
    <w:p>
      <w:pPr>
        <w:pStyle w:val="BodyText"/>
        <w:rPr>
          <w:rFonts w:ascii="Arial"/>
          <w:sz w:val="20"/>
        </w:rPr>
      </w:pPr>
    </w:p>
    <w:p>
      <w:pPr>
        <w:pStyle w:val="BodyText"/>
        <w:spacing w:line="261" w:lineRule="auto" w:before="179"/>
        <w:ind w:left="1516" w:right="1717"/>
        <w:jc w:val="right"/>
      </w:pPr>
      <w:r>
        <w:rPr>
          <w:color w:val="231F20"/>
          <w:w w:val="105"/>
        </w:rPr>
        <w:t>durante todo el año como empleado de un </w:t>
      </w:r>
      <w:r>
        <w:rPr>
          <w:color w:val="231F20"/>
          <w:spacing w:val="-2"/>
          <w:w w:val="105"/>
        </w:rPr>
        <w:t>rancho </w:t>
      </w:r>
      <w:r>
        <w:rPr>
          <w:color w:val="231F20"/>
          <w:w w:val="105"/>
        </w:rPr>
        <w:t>(peón); el</w:t>
      </w:r>
      <w:r>
        <w:rPr>
          <w:color w:val="231F20"/>
          <w:spacing w:val="6"/>
          <w:w w:val="105"/>
        </w:rPr>
        <w:t> </w:t>
      </w:r>
      <w:r>
        <w:rPr>
          <w:color w:val="231F20"/>
          <w:spacing w:val="-3"/>
          <w:w w:val="105"/>
        </w:rPr>
        <w:t>resto</w:t>
      </w:r>
      <w:r>
        <w:rPr>
          <w:color w:val="231F20"/>
          <w:spacing w:val="16"/>
          <w:w w:val="105"/>
        </w:rPr>
        <w:t> </w:t>
      </w:r>
      <w:r>
        <w:rPr>
          <w:color w:val="231F20"/>
          <w:w w:val="105"/>
        </w:rPr>
        <w:t>no</w:t>
      </w:r>
      <w:r>
        <w:rPr>
          <w:color w:val="231F20"/>
          <w:spacing w:val="-2"/>
          <w:w w:val="107"/>
        </w:rPr>
        <w:t> </w:t>
      </w:r>
      <w:r>
        <w:rPr>
          <w:color w:val="231F20"/>
          <w:w w:val="105"/>
        </w:rPr>
        <w:t>cuentan</w:t>
      </w:r>
      <w:r>
        <w:rPr>
          <w:color w:val="231F20"/>
          <w:spacing w:val="-29"/>
          <w:w w:val="105"/>
        </w:rPr>
        <w:t> </w:t>
      </w:r>
      <w:r>
        <w:rPr>
          <w:color w:val="231F20"/>
          <w:w w:val="105"/>
        </w:rPr>
        <w:t>con</w:t>
      </w:r>
      <w:r>
        <w:rPr>
          <w:color w:val="231F20"/>
          <w:spacing w:val="-29"/>
          <w:w w:val="105"/>
        </w:rPr>
        <w:t> </w:t>
      </w:r>
      <w:r>
        <w:rPr>
          <w:color w:val="231F20"/>
          <w:w w:val="105"/>
        </w:rPr>
        <w:t>un</w:t>
      </w:r>
      <w:r>
        <w:rPr>
          <w:color w:val="231F20"/>
          <w:spacing w:val="-29"/>
          <w:w w:val="105"/>
        </w:rPr>
        <w:t> </w:t>
      </w:r>
      <w:r>
        <w:rPr>
          <w:color w:val="231F20"/>
          <w:spacing w:val="-3"/>
          <w:w w:val="105"/>
        </w:rPr>
        <w:t>ingreso</w:t>
      </w:r>
      <w:r>
        <w:rPr>
          <w:color w:val="231F20"/>
          <w:spacing w:val="-29"/>
          <w:w w:val="105"/>
        </w:rPr>
        <w:t> </w:t>
      </w:r>
      <w:r>
        <w:rPr>
          <w:color w:val="231F20"/>
          <w:w w:val="105"/>
        </w:rPr>
        <w:t>de</w:t>
      </w:r>
      <w:r>
        <w:rPr>
          <w:color w:val="231F20"/>
          <w:spacing w:val="-29"/>
          <w:w w:val="105"/>
        </w:rPr>
        <w:t> </w:t>
      </w:r>
      <w:r>
        <w:rPr>
          <w:color w:val="231F20"/>
          <w:w w:val="105"/>
        </w:rPr>
        <w:t>este</w:t>
      </w:r>
      <w:r>
        <w:rPr>
          <w:color w:val="231F20"/>
          <w:spacing w:val="-29"/>
          <w:w w:val="105"/>
        </w:rPr>
        <w:t> </w:t>
      </w:r>
      <w:r>
        <w:rPr>
          <w:color w:val="231F20"/>
          <w:w w:val="105"/>
        </w:rPr>
        <w:t>tipo,</w:t>
      </w:r>
      <w:r>
        <w:rPr>
          <w:color w:val="231F20"/>
          <w:spacing w:val="-33"/>
          <w:w w:val="105"/>
        </w:rPr>
        <w:t> </w:t>
      </w:r>
      <w:r>
        <w:rPr>
          <w:color w:val="231F20"/>
          <w:w w:val="105"/>
        </w:rPr>
        <w:t>al</w:t>
      </w:r>
      <w:r>
        <w:rPr>
          <w:color w:val="231F20"/>
          <w:spacing w:val="-29"/>
          <w:w w:val="105"/>
        </w:rPr>
        <w:t> </w:t>
      </w:r>
      <w:r>
        <w:rPr>
          <w:color w:val="231F20"/>
          <w:w w:val="105"/>
        </w:rPr>
        <w:t>menos</w:t>
      </w:r>
      <w:r>
        <w:rPr>
          <w:color w:val="231F20"/>
          <w:spacing w:val="-29"/>
          <w:w w:val="105"/>
        </w:rPr>
        <w:t> </w:t>
      </w:r>
      <w:r>
        <w:rPr>
          <w:color w:val="231F20"/>
          <w:w w:val="105"/>
        </w:rPr>
        <w:t>de</w:t>
      </w:r>
      <w:r>
        <w:rPr>
          <w:color w:val="231F20"/>
          <w:spacing w:val="-29"/>
          <w:w w:val="105"/>
        </w:rPr>
        <w:t> </w:t>
      </w:r>
      <w:r>
        <w:rPr>
          <w:color w:val="231F20"/>
          <w:w w:val="105"/>
        </w:rPr>
        <w:t>forma</w:t>
      </w:r>
      <w:r>
        <w:rPr>
          <w:color w:val="231F20"/>
          <w:spacing w:val="-29"/>
          <w:w w:val="105"/>
        </w:rPr>
        <w:t> </w:t>
      </w:r>
      <w:r>
        <w:rPr>
          <w:color w:val="231F20"/>
          <w:w w:val="105"/>
        </w:rPr>
        <w:t>diaria</w:t>
      </w:r>
      <w:r>
        <w:rPr>
          <w:color w:val="231F20"/>
          <w:spacing w:val="-29"/>
          <w:w w:val="105"/>
        </w:rPr>
        <w:t> </w:t>
      </w:r>
      <w:r>
        <w:rPr>
          <w:color w:val="231F20"/>
          <w:w w:val="105"/>
        </w:rPr>
        <w:t>y</w:t>
      </w:r>
      <w:r>
        <w:rPr>
          <w:color w:val="231F20"/>
          <w:spacing w:val="-29"/>
          <w:w w:val="105"/>
        </w:rPr>
        <w:t> </w:t>
      </w:r>
      <w:r>
        <w:rPr>
          <w:color w:val="231F20"/>
          <w:w w:val="105"/>
        </w:rPr>
        <w:t>constante.</w:t>
      </w:r>
    </w:p>
    <w:p>
      <w:pPr>
        <w:pStyle w:val="BodyText"/>
        <w:spacing w:line="261" w:lineRule="auto" w:before="1"/>
        <w:ind w:left="1837" w:right="1721" w:firstLine="567"/>
        <w:jc w:val="both"/>
      </w:pPr>
      <w:r>
        <w:rPr>
          <w:color w:val="231F20"/>
          <w:w w:val="105"/>
        </w:rPr>
        <w:t>Algunos productores estiman que producir maíz resulta más caro que comprarlo en la tienda:</w:t>
      </w:r>
    </w:p>
    <w:p>
      <w:pPr>
        <w:pStyle w:val="BodyText"/>
        <w:spacing w:before="7"/>
        <w:rPr>
          <w:sz w:val="18"/>
        </w:rPr>
      </w:pPr>
    </w:p>
    <w:p>
      <w:pPr>
        <w:spacing w:line="254" w:lineRule="auto" w:before="0"/>
        <w:ind w:left="2971" w:right="1716" w:firstLine="0"/>
        <w:jc w:val="both"/>
        <w:rPr>
          <w:sz w:val="18"/>
        </w:rPr>
      </w:pPr>
      <w:r>
        <w:rPr>
          <w:color w:val="231F20"/>
          <w:spacing w:val="-4"/>
          <w:w w:val="105"/>
          <w:sz w:val="18"/>
        </w:rPr>
        <w:t>Para </w:t>
      </w:r>
      <w:r>
        <w:rPr>
          <w:color w:val="231F20"/>
          <w:w w:val="105"/>
          <w:sz w:val="18"/>
        </w:rPr>
        <w:t>sembrar un cuartillo de maíz criollo se requieren un aproximado de seis o siete peones pagados a 150 pesos, el abono, el insecticida y herbicidas; dando como total final de la producción de dos cargas, aproximadamente 300 kg de maíz, haciendo un total del precio del maíz</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15</w:t>
      </w:r>
      <w:r>
        <w:rPr>
          <w:color w:val="231F20"/>
          <w:spacing w:val="-14"/>
          <w:w w:val="105"/>
          <w:sz w:val="18"/>
        </w:rPr>
        <w:t> </w:t>
      </w:r>
      <w:r>
        <w:rPr>
          <w:color w:val="231F20"/>
          <w:w w:val="105"/>
          <w:sz w:val="18"/>
        </w:rPr>
        <w:t>pesos</w:t>
      </w:r>
      <w:r>
        <w:rPr>
          <w:color w:val="231F20"/>
          <w:spacing w:val="-14"/>
          <w:w w:val="105"/>
          <w:sz w:val="18"/>
        </w:rPr>
        <w:t> </w:t>
      </w:r>
      <w:r>
        <w:rPr>
          <w:color w:val="231F20"/>
          <w:w w:val="105"/>
          <w:sz w:val="18"/>
        </w:rPr>
        <w:t>el</w:t>
      </w:r>
      <w:r>
        <w:rPr>
          <w:color w:val="231F20"/>
          <w:spacing w:val="-14"/>
          <w:w w:val="105"/>
          <w:sz w:val="18"/>
        </w:rPr>
        <w:t> </w:t>
      </w:r>
      <w:r>
        <w:rPr>
          <w:color w:val="231F20"/>
          <w:w w:val="105"/>
          <w:sz w:val="18"/>
        </w:rPr>
        <w:t>cuartillo</w:t>
      </w:r>
      <w:r>
        <w:rPr>
          <w:color w:val="231F20"/>
          <w:spacing w:val="-14"/>
          <w:w w:val="105"/>
          <w:sz w:val="18"/>
        </w:rPr>
        <w:t> </w:t>
      </w:r>
      <w:r>
        <w:rPr>
          <w:color w:val="231F20"/>
          <w:w w:val="105"/>
          <w:sz w:val="18"/>
        </w:rPr>
        <w:t>para</w:t>
      </w:r>
      <w:r>
        <w:rPr>
          <w:color w:val="231F20"/>
          <w:spacing w:val="-14"/>
          <w:w w:val="105"/>
          <w:sz w:val="18"/>
        </w:rPr>
        <w:t> </w:t>
      </w:r>
      <w:r>
        <w:rPr>
          <w:color w:val="231F20"/>
          <w:w w:val="105"/>
          <w:sz w:val="18"/>
        </w:rPr>
        <w:t>quien</w:t>
      </w:r>
      <w:r>
        <w:rPr>
          <w:color w:val="231F20"/>
          <w:spacing w:val="-14"/>
          <w:w w:val="105"/>
          <w:sz w:val="18"/>
        </w:rPr>
        <w:t> </w:t>
      </w:r>
      <w:r>
        <w:rPr>
          <w:color w:val="231F20"/>
          <w:w w:val="105"/>
          <w:sz w:val="18"/>
        </w:rPr>
        <w:t>lo</w:t>
      </w:r>
      <w:r>
        <w:rPr>
          <w:color w:val="231F20"/>
          <w:spacing w:val="-14"/>
          <w:w w:val="105"/>
          <w:sz w:val="18"/>
        </w:rPr>
        <w:t> </w:t>
      </w:r>
      <w:r>
        <w:rPr>
          <w:color w:val="231F20"/>
          <w:w w:val="105"/>
          <w:sz w:val="18"/>
        </w:rPr>
        <w:t>produce</w:t>
      </w:r>
      <w:r>
        <w:rPr>
          <w:color w:val="231F20"/>
          <w:spacing w:val="-14"/>
          <w:w w:val="105"/>
          <w:sz w:val="18"/>
        </w:rPr>
        <w:t> </w:t>
      </w:r>
      <w:r>
        <w:rPr>
          <w:color w:val="231F20"/>
          <w:w w:val="105"/>
          <w:sz w:val="18"/>
        </w:rPr>
        <w:t>y</w:t>
      </w:r>
      <w:r>
        <w:rPr>
          <w:color w:val="231F20"/>
          <w:spacing w:val="-14"/>
          <w:w w:val="105"/>
          <w:sz w:val="18"/>
        </w:rPr>
        <w:t> </w:t>
      </w:r>
      <w:r>
        <w:rPr>
          <w:color w:val="231F20"/>
          <w:w w:val="105"/>
          <w:sz w:val="18"/>
        </w:rPr>
        <w:t>a</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venta</w:t>
      </w:r>
      <w:r>
        <w:rPr>
          <w:color w:val="231F20"/>
          <w:spacing w:val="-14"/>
          <w:w w:val="105"/>
          <w:sz w:val="18"/>
        </w:rPr>
        <w:t> </w:t>
      </w:r>
      <w:r>
        <w:rPr>
          <w:color w:val="231F20"/>
          <w:w w:val="105"/>
          <w:sz w:val="18"/>
        </w:rPr>
        <w:t>está</w:t>
      </w:r>
      <w:r>
        <w:rPr>
          <w:color w:val="231F20"/>
          <w:spacing w:val="-14"/>
          <w:w w:val="105"/>
          <w:sz w:val="18"/>
        </w:rPr>
        <w:t> </w:t>
      </w:r>
      <w:r>
        <w:rPr>
          <w:color w:val="231F20"/>
          <w:w w:val="105"/>
          <w:sz w:val="18"/>
        </w:rPr>
        <w:t>a</w:t>
      </w:r>
      <w:r>
        <w:rPr>
          <w:color w:val="231F20"/>
          <w:spacing w:val="-14"/>
          <w:w w:val="105"/>
          <w:sz w:val="18"/>
        </w:rPr>
        <w:t> </w:t>
      </w:r>
      <w:r>
        <w:rPr>
          <w:color w:val="231F20"/>
          <w:w w:val="105"/>
          <w:sz w:val="18"/>
        </w:rPr>
        <w:t>7 pesos</w:t>
      </w:r>
      <w:r>
        <w:rPr>
          <w:color w:val="231F20"/>
          <w:spacing w:val="-18"/>
          <w:w w:val="105"/>
          <w:sz w:val="18"/>
        </w:rPr>
        <w:t> </w:t>
      </w:r>
      <w:r>
        <w:rPr>
          <w:color w:val="231F20"/>
          <w:w w:val="105"/>
          <w:sz w:val="18"/>
        </w:rPr>
        <w:t>(Mario,</w:t>
      </w:r>
      <w:r>
        <w:rPr>
          <w:color w:val="231F20"/>
          <w:spacing w:val="-22"/>
          <w:w w:val="105"/>
          <w:sz w:val="18"/>
        </w:rPr>
        <w:t> </w:t>
      </w:r>
      <w:r>
        <w:rPr>
          <w:color w:val="231F20"/>
          <w:w w:val="105"/>
          <w:sz w:val="18"/>
        </w:rPr>
        <w:t>12</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septiembre</w:t>
      </w:r>
      <w:r>
        <w:rPr>
          <w:color w:val="231F20"/>
          <w:spacing w:val="-18"/>
          <w:w w:val="105"/>
          <w:sz w:val="18"/>
        </w:rPr>
        <w:t> </w:t>
      </w:r>
      <w:r>
        <w:rPr>
          <w:color w:val="231F20"/>
          <w:w w:val="105"/>
          <w:sz w:val="18"/>
        </w:rPr>
        <w:t>2014,</w:t>
      </w:r>
      <w:r>
        <w:rPr>
          <w:color w:val="231F20"/>
          <w:spacing w:val="-22"/>
          <w:w w:val="105"/>
          <w:sz w:val="18"/>
        </w:rPr>
        <w:t> </w:t>
      </w:r>
      <w:r>
        <w:rPr>
          <w:color w:val="231F20"/>
          <w:w w:val="105"/>
          <w:sz w:val="18"/>
        </w:rPr>
        <w:t>Santiago).</w:t>
      </w:r>
    </w:p>
    <w:p>
      <w:pPr>
        <w:pStyle w:val="BodyText"/>
        <w:spacing w:before="5"/>
      </w:pPr>
    </w:p>
    <w:p>
      <w:pPr>
        <w:pStyle w:val="BodyText"/>
        <w:spacing w:line="261" w:lineRule="auto"/>
        <w:ind w:left="1837" w:right="1716"/>
        <w:jc w:val="both"/>
      </w:pPr>
      <w:r>
        <w:rPr>
          <w:color w:val="231F20"/>
          <w:w w:val="105"/>
        </w:rPr>
        <w:t>En</w:t>
      </w:r>
      <w:r>
        <w:rPr>
          <w:color w:val="231F20"/>
          <w:spacing w:val="-26"/>
          <w:w w:val="105"/>
        </w:rPr>
        <w:t> </w:t>
      </w:r>
      <w:r>
        <w:rPr>
          <w:color w:val="231F20"/>
          <w:w w:val="105"/>
        </w:rPr>
        <w:t>efecto</w:t>
      </w:r>
      <w:r>
        <w:rPr>
          <w:color w:val="231F20"/>
          <w:spacing w:val="-26"/>
          <w:w w:val="105"/>
        </w:rPr>
        <w:t> </w:t>
      </w:r>
      <w:r>
        <w:rPr>
          <w:color w:val="231F20"/>
          <w:w w:val="105"/>
        </w:rPr>
        <w:t>los</w:t>
      </w:r>
      <w:r>
        <w:rPr>
          <w:color w:val="231F20"/>
          <w:spacing w:val="-26"/>
          <w:w w:val="105"/>
        </w:rPr>
        <w:t> </w:t>
      </w:r>
      <w:r>
        <w:rPr>
          <w:color w:val="231F20"/>
          <w:spacing w:val="-3"/>
          <w:w w:val="105"/>
        </w:rPr>
        <w:t>precios</w:t>
      </w:r>
      <w:r>
        <w:rPr>
          <w:color w:val="231F20"/>
          <w:spacing w:val="-26"/>
          <w:w w:val="105"/>
        </w:rPr>
        <w:t> </w:t>
      </w:r>
      <w:r>
        <w:rPr>
          <w:color w:val="231F20"/>
          <w:w w:val="105"/>
        </w:rPr>
        <w:t>de</w:t>
      </w:r>
      <w:r>
        <w:rPr>
          <w:color w:val="231F20"/>
          <w:spacing w:val="-26"/>
          <w:w w:val="105"/>
        </w:rPr>
        <w:t> </w:t>
      </w:r>
      <w:r>
        <w:rPr>
          <w:color w:val="231F20"/>
          <w:w w:val="105"/>
        </w:rPr>
        <w:t>insumos</w:t>
      </w:r>
      <w:r>
        <w:rPr>
          <w:color w:val="231F20"/>
          <w:spacing w:val="-26"/>
          <w:w w:val="105"/>
        </w:rPr>
        <w:t> </w:t>
      </w:r>
      <w:r>
        <w:rPr>
          <w:color w:val="231F20"/>
          <w:w w:val="105"/>
        </w:rPr>
        <w:t>externos</w:t>
      </w:r>
      <w:r>
        <w:rPr>
          <w:color w:val="231F20"/>
          <w:spacing w:val="-26"/>
          <w:w w:val="105"/>
        </w:rPr>
        <w:t> </w:t>
      </w:r>
      <w:r>
        <w:rPr>
          <w:color w:val="231F20"/>
          <w:w w:val="105"/>
        </w:rPr>
        <w:t>se</w:t>
      </w:r>
      <w:r>
        <w:rPr>
          <w:color w:val="231F20"/>
          <w:spacing w:val="-26"/>
          <w:w w:val="105"/>
        </w:rPr>
        <w:t> </w:t>
      </w:r>
      <w:r>
        <w:rPr>
          <w:color w:val="231F20"/>
          <w:w w:val="105"/>
        </w:rPr>
        <w:t>han</w:t>
      </w:r>
      <w:r>
        <w:rPr>
          <w:color w:val="231F20"/>
          <w:spacing w:val="-26"/>
          <w:w w:val="105"/>
        </w:rPr>
        <w:t> </w:t>
      </w:r>
      <w:r>
        <w:rPr>
          <w:color w:val="231F20"/>
          <w:w w:val="105"/>
        </w:rPr>
        <w:t>elevado</w:t>
      </w:r>
      <w:r>
        <w:rPr>
          <w:color w:val="231F20"/>
          <w:spacing w:val="-26"/>
          <w:w w:val="105"/>
        </w:rPr>
        <w:t> </w:t>
      </w:r>
      <w:r>
        <w:rPr>
          <w:color w:val="231F20"/>
          <w:w w:val="105"/>
        </w:rPr>
        <w:t>sensiblemente en</w:t>
      </w:r>
      <w:r>
        <w:rPr>
          <w:color w:val="231F20"/>
          <w:spacing w:val="-37"/>
          <w:w w:val="105"/>
        </w:rPr>
        <w:t> </w:t>
      </w:r>
      <w:r>
        <w:rPr>
          <w:color w:val="231F20"/>
          <w:w w:val="105"/>
        </w:rPr>
        <w:t>los</w:t>
      </w:r>
      <w:r>
        <w:rPr>
          <w:color w:val="231F20"/>
          <w:spacing w:val="-37"/>
          <w:w w:val="105"/>
        </w:rPr>
        <w:t> </w:t>
      </w:r>
      <w:r>
        <w:rPr>
          <w:color w:val="231F20"/>
          <w:w w:val="105"/>
        </w:rPr>
        <w:t>últimos</w:t>
      </w:r>
      <w:r>
        <w:rPr>
          <w:color w:val="231F20"/>
          <w:spacing w:val="-37"/>
          <w:w w:val="105"/>
        </w:rPr>
        <w:t> </w:t>
      </w:r>
      <w:r>
        <w:rPr>
          <w:color w:val="231F20"/>
          <w:w w:val="105"/>
        </w:rPr>
        <w:t>años.</w:t>
      </w:r>
      <w:r>
        <w:rPr>
          <w:color w:val="231F20"/>
          <w:spacing w:val="-40"/>
          <w:w w:val="105"/>
        </w:rPr>
        <w:t> </w:t>
      </w:r>
      <w:r>
        <w:rPr>
          <w:color w:val="231F20"/>
          <w:w w:val="105"/>
        </w:rPr>
        <w:t>En</w:t>
      </w:r>
      <w:r>
        <w:rPr>
          <w:color w:val="231F20"/>
          <w:spacing w:val="-37"/>
          <w:w w:val="105"/>
        </w:rPr>
        <w:t> </w:t>
      </w:r>
      <w:r>
        <w:rPr>
          <w:color w:val="231F20"/>
          <w:w w:val="105"/>
        </w:rPr>
        <w:t>los</w:t>
      </w:r>
      <w:r>
        <w:rPr>
          <w:color w:val="231F20"/>
          <w:spacing w:val="-37"/>
          <w:w w:val="105"/>
        </w:rPr>
        <w:t> </w:t>
      </w:r>
      <w:r>
        <w:rPr>
          <w:color w:val="231F20"/>
          <w:w w:val="105"/>
        </w:rPr>
        <w:t>costos</w:t>
      </w:r>
      <w:r>
        <w:rPr>
          <w:color w:val="231F20"/>
          <w:spacing w:val="-37"/>
          <w:w w:val="105"/>
        </w:rPr>
        <w:t> </w:t>
      </w:r>
      <w:r>
        <w:rPr>
          <w:color w:val="231F20"/>
          <w:w w:val="105"/>
        </w:rPr>
        <w:t>unitarios</w:t>
      </w:r>
      <w:r>
        <w:rPr>
          <w:color w:val="231F20"/>
          <w:spacing w:val="-37"/>
          <w:w w:val="105"/>
        </w:rPr>
        <w:t> </w:t>
      </w:r>
      <w:r>
        <w:rPr>
          <w:color w:val="231F20"/>
          <w:w w:val="105"/>
        </w:rPr>
        <w:t>también</w:t>
      </w:r>
      <w:r>
        <w:rPr>
          <w:color w:val="231F20"/>
          <w:spacing w:val="-37"/>
          <w:w w:val="105"/>
        </w:rPr>
        <w:t> </w:t>
      </w:r>
      <w:r>
        <w:rPr>
          <w:color w:val="231F20"/>
          <w:w w:val="105"/>
        </w:rPr>
        <w:t>han</w:t>
      </w:r>
      <w:r>
        <w:rPr>
          <w:color w:val="231F20"/>
          <w:spacing w:val="-37"/>
          <w:w w:val="105"/>
        </w:rPr>
        <w:t> </w:t>
      </w:r>
      <w:r>
        <w:rPr>
          <w:color w:val="231F20"/>
          <w:w w:val="105"/>
        </w:rPr>
        <w:t>afectado</w:t>
      </w:r>
      <w:r>
        <w:rPr>
          <w:color w:val="231F20"/>
          <w:spacing w:val="-37"/>
          <w:w w:val="105"/>
        </w:rPr>
        <w:t> </w:t>
      </w:r>
      <w:r>
        <w:rPr>
          <w:color w:val="231F20"/>
          <w:w w:val="105"/>
        </w:rPr>
        <w:t>las</w:t>
      </w:r>
      <w:r>
        <w:rPr>
          <w:color w:val="231F20"/>
          <w:spacing w:val="-37"/>
          <w:w w:val="105"/>
        </w:rPr>
        <w:t> </w:t>
      </w:r>
      <w:r>
        <w:rPr>
          <w:color w:val="231F20"/>
          <w:w w:val="105"/>
        </w:rPr>
        <w:t>varia- ciones</w:t>
      </w:r>
      <w:r>
        <w:rPr>
          <w:color w:val="231F20"/>
          <w:spacing w:val="-21"/>
          <w:w w:val="105"/>
        </w:rPr>
        <w:t> </w:t>
      </w:r>
      <w:r>
        <w:rPr>
          <w:color w:val="231F20"/>
          <w:w w:val="105"/>
        </w:rPr>
        <w:t>climáticas,</w:t>
      </w:r>
      <w:r>
        <w:rPr>
          <w:color w:val="231F20"/>
          <w:spacing w:val="-26"/>
          <w:w w:val="105"/>
        </w:rPr>
        <w:t> </w:t>
      </w:r>
      <w:r>
        <w:rPr>
          <w:color w:val="231F20"/>
          <w:w w:val="105"/>
        </w:rPr>
        <w:t>las</w:t>
      </w:r>
      <w:r>
        <w:rPr>
          <w:color w:val="231F20"/>
          <w:spacing w:val="-21"/>
          <w:w w:val="105"/>
        </w:rPr>
        <w:t> </w:t>
      </w:r>
      <w:r>
        <w:rPr>
          <w:color w:val="231F20"/>
          <w:w w:val="105"/>
        </w:rPr>
        <w:t>plagas</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falta</w:t>
      </w:r>
      <w:r>
        <w:rPr>
          <w:color w:val="231F20"/>
          <w:spacing w:val="-21"/>
          <w:w w:val="105"/>
        </w:rPr>
        <w:t> </w:t>
      </w:r>
      <w:r>
        <w:rPr>
          <w:color w:val="231F20"/>
          <w:w w:val="105"/>
        </w:rPr>
        <w:t>de</w:t>
      </w:r>
      <w:r>
        <w:rPr>
          <w:color w:val="231F20"/>
          <w:spacing w:val="-21"/>
          <w:w w:val="105"/>
        </w:rPr>
        <w:t> </w:t>
      </w:r>
      <w:r>
        <w:rPr>
          <w:color w:val="231F20"/>
          <w:w w:val="105"/>
        </w:rPr>
        <w:t>mano</w:t>
      </w:r>
      <w:r>
        <w:rPr>
          <w:color w:val="231F20"/>
          <w:spacing w:val="-21"/>
          <w:w w:val="105"/>
        </w:rPr>
        <w:t> </w:t>
      </w:r>
      <w:r>
        <w:rPr>
          <w:color w:val="231F20"/>
          <w:w w:val="105"/>
        </w:rPr>
        <w:t>de</w:t>
      </w:r>
      <w:r>
        <w:rPr>
          <w:color w:val="231F20"/>
          <w:spacing w:val="-21"/>
          <w:w w:val="105"/>
        </w:rPr>
        <w:t> </w:t>
      </w:r>
      <w:r>
        <w:rPr>
          <w:color w:val="231F20"/>
          <w:w w:val="105"/>
        </w:rPr>
        <w:t>obra</w:t>
      </w:r>
      <w:r>
        <w:rPr>
          <w:color w:val="231F20"/>
          <w:spacing w:val="-21"/>
          <w:w w:val="105"/>
        </w:rPr>
        <w:t> </w:t>
      </w:r>
      <w:r>
        <w:rPr>
          <w:color w:val="231F20"/>
          <w:w w:val="105"/>
        </w:rPr>
        <w:t>por</w:t>
      </w:r>
      <w:r>
        <w:rPr>
          <w:color w:val="231F20"/>
          <w:spacing w:val="-21"/>
          <w:w w:val="105"/>
        </w:rPr>
        <w:t> </w:t>
      </w:r>
      <w:r>
        <w:rPr>
          <w:color w:val="231F20"/>
          <w:w w:val="105"/>
        </w:rPr>
        <w:t>la</w:t>
      </w:r>
      <w:r>
        <w:rPr>
          <w:color w:val="231F20"/>
          <w:spacing w:val="-21"/>
          <w:w w:val="105"/>
        </w:rPr>
        <w:t> </w:t>
      </w:r>
      <w:r>
        <w:rPr>
          <w:color w:val="231F20"/>
          <w:spacing w:val="-3"/>
          <w:w w:val="105"/>
        </w:rPr>
        <w:t>emigración. </w:t>
      </w:r>
      <w:r>
        <w:rPr>
          <w:color w:val="231F20"/>
          <w:w w:val="105"/>
        </w:rPr>
        <w:t>Estos</w:t>
      </w:r>
      <w:r>
        <w:rPr>
          <w:color w:val="231F20"/>
          <w:spacing w:val="-8"/>
          <w:w w:val="105"/>
        </w:rPr>
        <w:t> </w:t>
      </w:r>
      <w:r>
        <w:rPr>
          <w:color w:val="231F20"/>
          <w:spacing w:val="-3"/>
          <w:w w:val="105"/>
        </w:rPr>
        <w:t>factores</w:t>
      </w:r>
      <w:r>
        <w:rPr>
          <w:color w:val="231F20"/>
          <w:spacing w:val="-8"/>
          <w:w w:val="105"/>
        </w:rPr>
        <w:t> </w:t>
      </w:r>
      <w:r>
        <w:rPr>
          <w:color w:val="231F20"/>
          <w:w w:val="105"/>
        </w:rPr>
        <w:t>explican</w:t>
      </w:r>
      <w:r>
        <w:rPr>
          <w:color w:val="231F20"/>
          <w:spacing w:val="-8"/>
          <w:w w:val="105"/>
        </w:rPr>
        <w:t> </w:t>
      </w:r>
      <w:r>
        <w:rPr>
          <w:color w:val="231F20"/>
          <w:w w:val="105"/>
        </w:rPr>
        <w:t>cierta</w:t>
      </w:r>
      <w:r>
        <w:rPr>
          <w:color w:val="231F20"/>
          <w:spacing w:val="-8"/>
          <w:w w:val="105"/>
        </w:rPr>
        <w:t> </w:t>
      </w:r>
      <w:r>
        <w:rPr>
          <w:color w:val="231F20"/>
          <w:w w:val="105"/>
        </w:rPr>
        <w:t>disminución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superficie</w:t>
      </w:r>
      <w:r>
        <w:rPr>
          <w:color w:val="231F20"/>
          <w:spacing w:val="-8"/>
          <w:w w:val="105"/>
        </w:rPr>
        <w:t> </w:t>
      </w:r>
      <w:r>
        <w:rPr>
          <w:color w:val="231F20"/>
          <w:w w:val="105"/>
        </w:rPr>
        <w:t>sembrada</w:t>
      </w:r>
      <w:r>
        <w:rPr>
          <w:color w:val="231F20"/>
          <w:spacing w:val="-8"/>
          <w:w w:val="105"/>
        </w:rPr>
        <w:t> </w:t>
      </w:r>
      <w:r>
        <w:rPr>
          <w:color w:val="231F20"/>
          <w:w w:val="105"/>
        </w:rPr>
        <w:t>de maíz. Sin </w:t>
      </w:r>
      <w:r>
        <w:rPr>
          <w:color w:val="231F20"/>
          <w:spacing w:val="-3"/>
          <w:w w:val="105"/>
        </w:rPr>
        <w:t>embargo, </w:t>
      </w:r>
      <w:r>
        <w:rPr>
          <w:color w:val="231F20"/>
          <w:w w:val="105"/>
        </w:rPr>
        <w:t>quienes cultivan superficies pequeñas disponen de mano</w:t>
      </w:r>
      <w:r>
        <w:rPr>
          <w:color w:val="231F20"/>
          <w:spacing w:val="-24"/>
          <w:w w:val="105"/>
        </w:rPr>
        <w:t> </w:t>
      </w:r>
      <w:r>
        <w:rPr>
          <w:color w:val="231F20"/>
          <w:w w:val="105"/>
        </w:rPr>
        <w:t>de</w:t>
      </w:r>
      <w:r>
        <w:rPr>
          <w:color w:val="231F20"/>
          <w:spacing w:val="-24"/>
          <w:w w:val="105"/>
        </w:rPr>
        <w:t> </w:t>
      </w:r>
      <w:r>
        <w:rPr>
          <w:color w:val="231F20"/>
          <w:w w:val="105"/>
        </w:rPr>
        <w:t>obra</w:t>
      </w:r>
      <w:r>
        <w:rPr>
          <w:color w:val="231F20"/>
          <w:spacing w:val="-24"/>
          <w:w w:val="105"/>
        </w:rPr>
        <w:t> </w:t>
      </w:r>
      <w:r>
        <w:rPr>
          <w:color w:val="231F20"/>
          <w:w w:val="105"/>
        </w:rPr>
        <w:t>familiar</w:t>
      </w:r>
      <w:r>
        <w:rPr>
          <w:color w:val="231F20"/>
          <w:spacing w:val="-24"/>
          <w:w w:val="105"/>
        </w:rPr>
        <w:t> </w:t>
      </w:r>
      <w:r>
        <w:rPr>
          <w:color w:val="231F20"/>
          <w:w w:val="105"/>
        </w:rPr>
        <w:t>o</w:t>
      </w:r>
      <w:r>
        <w:rPr>
          <w:color w:val="231F20"/>
          <w:spacing w:val="-24"/>
          <w:w w:val="105"/>
        </w:rPr>
        <w:t> </w:t>
      </w:r>
      <w:r>
        <w:rPr>
          <w:color w:val="231F20"/>
          <w:w w:val="105"/>
        </w:rPr>
        <w:t>ayuda</w:t>
      </w:r>
      <w:r>
        <w:rPr>
          <w:color w:val="231F20"/>
          <w:spacing w:val="-24"/>
          <w:w w:val="105"/>
        </w:rPr>
        <w:t> </w:t>
      </w:r>
      <w:r>
        <w:rPr>
          <w:color w:val="231F20"/>
          <w:w w:val="105"/>
        </w:rPr>
        <w:t>de</w:t>
      </w:r>
      <w:r>
        <w:rPr>
          <w:color w:val="231F20"/>
          <w:spacing w:val="-24"/>
          <w:w w:val="105"/>
        </w:rPr>
        <w:t> </w:t>
      </w:r>
      <w:r>
        <w:rPr>
          <w:color w:val="231F20"/>
          <w:w w:val="105"/>
        </w:rPr>
        <w:t>vecinos,</w:t>
      </w:r>
      <w:r>
        <w:rPr>
          <w:color w:val="231F20"/>
          <w:spacing w:val="-29"/>
          <w:w w:val="105"/>
        </w:rPr>
        <w:t> </w:t>
      </w:r>
      <w:r>
        <w:rPr>
          <w:color w:val="231F20"/>
          <w:w w:val="105"/>
        </w:rPr>
        <w:t>por</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es</w:t>
      </w:r>
      <w:r>
        <w:rPr>
          <w:color w:val="231F20"/>
          <w:spacing w:val="-24"/>
          <w:w w:val="105"/>
        </w:rPr>
        <w:t> </w:t>
      </w:r>
      <w:r>
        <w:rPr>
          <w:color w:val="231F20"/>
          <w:w w:val="105"/>
        </w:rPr>
        <w:t>más</w:t>
      </w:r>
      <w:r>
        <w:rPr>
          <w:color w:val="231F20"/>
          <w:spacing w:val="-24"/>
          <w:w w:val="105"/>
        </w:rPr>
        <w:t> </w:t>
      </w:r>
      <w:r>
        <w:rPr>
          <w:color w:val="231F20"/>
          <w:w w:val="105"/>
        </w:rPr>
        <w:t>conveniente </w:t>
      </w:r>
      <w:r>
        <w:rPr>
          <w:color w:val="231F20"/>
          <w:spacing w:val="-3"/>
          <w:w w:val="105"/>
        </w:rPr>
        <w:t>producir</w:t>
      </w:r>
      <w:r>
        <w:rPr>
          <w:color w:val="231F20"/>
          <w:spacing w:val="-13"/>
          <w:w w:val="105"/>
        </w:rPr>
        <w:t> </w:t>
      </w:r>
      <w:r>
        <w:rPr>
          <w:color w:val="231F20"/>
          <w:w w:val="105"/>
        </w:rPr>
        <w:t>el</w:t>
      </w:r>
      <w:r>
        <w:rPr>
          <w:color w:val="231F20"/>
          <w:spacing w:val="-13"/>
          <w:w w:val="105"/>
        </w:rPr>
        <w:t> </w:t>
      </w:r>
      <w:r>
        <w:rPr>
          <w:color w:val="231F20"/>
          <w:w w:val="105"/>
        </w:rPr>
        <w:t>maíz</w:t>
      </w:r>
      <w:r>
        <w:rPr>
          <w:color w:val="231F20"/>
          <w:spacing w:val="-13"/>
          <w:w w:val="105"/>
        </w:rPr>
        <w:t> </w:t>
      </w:r>
      <w:r>
        <w:rPr>
          <w:color w:val="231F20"/>
          <w:w w:val="105"/>
        </w:rPr>
        <w:t>que</w:t>
      </w:r>
      <w:r>
        <w:rPr>
          <w:color w:val="231F20"/>
          <w:spacing w:val="-13"/>
          <w:w w:val="105"/>
        </w:rPr>
        <w:t> </w:t>
      </w:r>
      <w:r>
        <w:rPr>
          <w:color w:val="231F20"/>
          <w:spacing w:val="-2"/>
          <w:w w:val="105"/>
        </w:rPr>
        <w:t>comprarlo</w:t>
      </w:r>
      <w:r>
        <w:rPr>
          <w:color w:val="231F20"/>
          <w:spacing w:val="-13"/>
          <w:w w:val="105"/>
        </w:rPr>
        <w:t> </w:t>
      </w:r>
      <w:r>
        <w:rPr>
          <w:color w:val="231F20"/>
          <w:spacing w:val="-3"/>
          <w:w w:val="105"/>
        </w:rPr>
        <w:t>porque</w:t>
      </w:r>
      <w:r>
        <w:rPr>
          <w:color w:val="231F20"/>
          <w:spacing w:val="-13"/>
          <w:w w:val="105"/>
        </w:rPr>
        <w:t> </w:t>
      </w:r>
      <w:r>
        <w:rPr>
          <w:color w:val="231F20"/>
          <w:w w:val="105"/>
        </w:rPr>
        <w:t>sus</w:t>
      </w:r>
      <w:r>
        <w:rPr>
          <w:color w:val="231F20"/>
          <w:spacing w:val="-13"/>
          <w:w w:val="105"/>
        </w:rPr>
        <w:t> </w:t>
      </w:r>
      <w:r>
        <w:rPr>
          <w:color w:val="231F20"/>
          <w:w w:val="105"/>
        </w:rPr>
        <w:t>costos</w:t>
      </w:r>
      <w:r>
        <w:rPr>
          <w:color w:val="231F20"/>
          <w:spacing w:val="-13"/>
          <w:w w:val="105"/>
        </w:rPr>
        <w:t> </w:t>
      </w:r>
      <w:r>
        <w:rPr>
          <w:color w:val="231F20"/>
          <w:w w:val="105"/>
        </w:rPr>
        <w:t>monetarios</w:t>
      </w:r>
      <w:r>
        <w:rPr>
          <w:color w:val="231F20"/>
          <w:spacing w:val="-13"/>
          <w:w w:val="105"/>
        </w:rPr>
        <w:t> </w:t>
      </w:r>
      <w:r>
        <w:rPr>
          <w:color w:val="231F20"/>
          <w:w w:val="105"/>
        </w:rPr>
        <w:t>son</w:t>
      </w:r>
      <w:r>
        <w:rPr>
          <w:color w:val="231F20"/>
          <w:spacing w:val="-13"/>
          <w:w w:val="105"/>
        </w:rPr>
        <w:t> </w:t>
      </w:r>
      <w:r>
        <w:rPr>
          <w:color w:val="231F20"/>
          <w:spacing w:val="-2"/>
          <w:w w:val="105"/>
        </w:rPr>
        <w:t>bajos. </w:t>
      </w:r>
      <w:r>
        <w:rPr>
          <w:color w:val="231F20"/>
          <w:w w:val="105"/>
        </w:rPr>
        <w:t>Además,</w:t>
      </w:r>
      <w:r>
        <w:rPr>
          <w:color w:val="231F20"/>
          <w:spacing w:val="-20"/>
          <w:w w:val="105"/>
        </w:rPr>
        <w:t> </w:t>
      </w:r>
      <w:r>
        <w:rPr>
          <w:color w:val="231F20"/>
          <w:w w:val="105"/>
        </w:rPr>
        <w:t>la</w:t>
      </w:r>
      <w:r>
        <w:rPr>
          <w:color w:val="231F20"/>
          <w:spacing w:val="-15"/>
          <w:w w:val="105"/>
        </w:rPr>
        <w:t> </w:t>
      </w:r>
      <w:r>
        <w:rPr>
          <w:color w:val="231F20"/>
          <w:w w:val="105"/>
        </w:rPr>
        <w:t>cosecha</w:t>
      </w:r>
      <w:r>
        <w:rPr>
          <w:color w:val="231F20"/>
          <w:spacing w:val="-15"/>
          <w:w w:val="105"/>
        </w:rPr>
        <w:t> </w:t>
      </w:r>
      <w:r>
        <w:rPr>
          <w:color w:val="231F20"/>
          <w:spacing w:val="-3"/>
          <w:w w:val="105"/>
        </w:rPr>
        <w:t>propia</w:t>
      </w:r>
      <w:r>
        <w:rPr>
          <w:color w:val="231F20"/>
          <w:spacing w:val="-15"/>
          <w:w w:val="105"/>
        </w:rPr>
        <w:t> </w:t>
      </w:r>
      <w:r>
        <w:rPr>
          <w:color w:val="231F20"/>
          <w:w w:val="105"/>
        </w:rPr>
        <w:t>garantiza</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familias</w:t>
      </w:r>
      <w:r>
        <w:rPr>
          <w:color w:val="231F20"/>
          <w:spacing w:val="-15"/>
          <w:w w:val="105"/>
        </w:rPr>
        <w:t> </w:t>
      </w:r>
      <w:r>
        <w:rPr>
          <w:color w:val="231F20"/>
          <w:w w:val="105"/>
        </w:rPr>
        <w:t>el</w:t>
      </w:r>
      <w:r>
        <w:rPr>
          <w:color w:val="231F20"/>
          <w:spacing w:val="-15"/>
          <w:w w:val="105"/>
        </w:rPr>
        <w:t> </w:t>
      </w:r>
      <w:r>
        <w:rPr>
          <w:color w:val="231F20"/>
          <w:w w:val="105"/>
        </w:rPr>
        <w:t>consumo</w:t>
      </w:r>
      <w:r>
        <w:rPr>
          <w:color w:val="231F20"/>
          <w:spacing w:val="-15"/>
          <w:w w:val="105"/>
        </w:rPr>
        <w:t> </w:t>
      </w:r>
      <w:r>
        <w:rPr>
          <w:color w:val="231F20"/>
          <w:w w:val="105"/>
        </w:rPr>
        <w:t>de</w:t>
      </w:r>
      <w:r>
        <w:rPr>
          <w:color w:val="231F20"/>
          <w:spacing w:val="-15"/>
          <w:w w:val="105"/>
        </w:rPr>
        <w:t> </w:t>
      </w:r>
      <w:r>
        <w:rPr>
          <w:color w:val="231F20"/>
          <w:spacing w:val="-3"/>
          <w:w w:val="105"/>
        </w:rPr>
        <w:t>tortilla </w:t>
      </w:r>
      <w:r>
        <w:rPr>
          <w:color w:val="231F20"/>
          <w:w w:val="105"/>
        </w:rPr>
        <w:t>durante</w:t>
      </w:r>
      <w:r>
        <w:rPr>
          <w:color w:val="231F20"/>
          <w:spacing w:val="-21"/>
          <w:w w:val="105"/>
        </w:rPr>
        <w:t> </w:t>
      </w:r>
      <w:r>
        <w:rPr>
          <w:color w:val="231F20"/>
          <w:w w:val="105"/>
        </w:rPr>
        <w:t>todo</w:t>
      </w:r>
      <w:r>
        <w:rPr>
          <w:color w:val="231F20"/>
          <w:spacing w:val="-21"/>
          <w:w w:val="105"/>
        </w:rPr>
        <w:t> </w:t>
      </w:r>
      <w:r>
        <w:rPr>
          <w:color w:val="231F20"/>
          <w:w w:val="105"/>
        </w:rPr>
        <w:t>el</w:t>
      </w:r>
      <w:r>
        <w:rPr>
          <w:color w:val="231F20"/>
          <w:spacing w:val="-21"/>
          <w:w w:val="105"/>
        </w:rPr>
        <w:t> </w:t>
      </w:r>
      <w:r>
        <w:rPr>
          <w:color w:val="231F20"/>
          <w:w w:val="105"/>
        </w:rPr>
        <w:t>año,</w:t>
      </w:r>
      <w:r>
        <w:rPr>
          <w:color w:val="231F20"/>
          <w:spacing w:val="-26"/>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el</w:t>
      </w:r>
      <w:r>
        <w:rPr>
          <w:color w:val="231F20"/>
          <w:spacing w:val="-21"/>
          <w:w w:val="105"/>
        </w:rPr>
        <w:t> </w:t>
      </w:r>
      <w:r>
        <w:rPr>
          <w:color w:val="231F20"/>
          <w:w w:val="105"/>
        </w:rPr>
        <w:t>mantenimiento</w:t>
      </w:r>
      <w:r>
        <w:rPr>
          <w:color w:val="231F20"/>
          <w:spacing w:val="-21"/>
          <w:w w:val="105"/>
        </w:rPr>
        <w:t> </w:t>
      </w:r>
      <w:r>
        <w:rPr>
          <w:color w:val="231F20"/>
          <w:w w:val="105"/>
        </w:rPr>
        <w:t>de</w:t>
      </w:r>
      <w:r>
        <w:rPr>
          <w:color w:val="231F20"/>
          <w:spacing w:val="-21"/>
          <w:w w:val="105"/>
        </w:rPr>
        <w:t> </w:t>
      </w:r>
      <w:r>
        <w:rPr>
          <w:color w:val="231F20"/>
          <w:w w:val="105"/>
        </w:rPr>
        <w:t>animales</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spacing w:val="-2"/>
          <w:w w:val="105"/>
        </w:rPr>
        <w:t>ámbito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ganadería</w:t>
      </w:r>
      <w:r>
        <w:rPr>
          <w:color w:val="231F20"/>
          <w:spacing w:val="-15"/>
          <w:w w:val="105"/>
        </w:rPr>
        <w:t> </w:t>
      </w:r>
      <w:r>
        <w:rPr>
          <w:color w:val="231F20"/>
          <w:w w:val="105"/>
        </w:rPr>
        <w:t>de</w:t>
      </w:r>
      <w:r>
        <w:rPr>
          <w:color w:val="231F20"/>
          <w:spacing w:val="-15"/>
          <w:w w:val="105"/>
        </w:rPr>
        <w:t> </w:t>
      </w:r>
      <w:r>
        <w:rPr>
          <w:color w:val="231F20"/>
          <w:spacing w:val="-3"/>
          <w:w w:val="105"/>
        </w:rPr>
        <w:t>traspatio,</w:t>
      </w:r>
      <w:r>
        <w:rPr>
          <w:color w:val="231F20"/>
          <w:spacing w:val="-21"/>
          <w:w w:val="105"/>
        </w:rPr>
        <w:t> </w:t>
      </w:r>
      <w:r>
        <w:rPr>
          <w:color w:val="231F20"/>
          <w:w w:val="105"/>
        </w:rPr>
        <w:t>que</w:t>
      </w:r>
      <w:r>
        <w:rPr>
          <w:color w:val="231F20"/>
          <w:spacing w:val="-15"/>
          <w:w w:val="105"/>
        </w:rPr>
        <w:t> </w:t>
      </w:r>
      <w:r>
        <w:rPr>
          <w:color w:val="231F20"/>
          <w:w w:val="105"/>
        </w:rPr>
        <w:t>es</w:t>
      </w:r>
      <w:r>
        <w:rPr>
          <w:color w:val="231F20"/>
          <w:spacing w:val="-15"/>
          <w:w w:val="105"/>
        </w:rPr>
        <w:t> </w:t>
      </w:r>
      <w:r>
        <w:rPr>
          <w:color w:val="231F20"/>
          <w:w w:val="105"/>
        </w:rPr>
        <w:t>otra</w:t>
      </w:r>
      <w:r>
        <w:rPr>
          <w:color w:val="231F20"/>
          <w:spacing w:val="-15"/>
          <w:w w:val="105"/>
        </w:rPr>
        <w:t> </w:t>
      </w:r>
      <w:r>
        <w:rPr>
          <w:color w:val="231F20"/>
          <w:w w:val="105"/>
        </w:rPr>
        <w:t>actividad</w:t>
      </w:r>
      <w:r>
        <w:rPr>
          <w:color w:val="231F20"/>
          <w:spacing w:val="-15"/>
          <w:w w:val="105"/>
        </w:rPr>
        <w:t> </w:t>
      </w:r>
      <w:r>
        <w:rPr>
          <w:color w:val="231F20"/>
          <w:w w:val="105"/>
        </w:rPr>
        <w:t>importante</w:t>
      </w:r>
      <w:r>
        <w:rPr>
          <w:color w:val="231F20"/>
          <w:spacing w:val="-15"/>
          <w:w w:val="105"/>
        </w:rPr>
        <w:t> </w:t>
      </w:r>
      <w:r>
        <w:rPr>
          <w:color w:val="231F20"/>
          <w:w w:val="105"/>
        </w:rPr>
        <w:t>que</w:t>
      </w:r>
      <w:r>
        <w:rPr>
          <w:color w:val="231F20"/>
          <w:spacing w:val="-15"/>
          <w:w w:val="105"/>
        </w:rPr>
        <w:t> </w:t>
      </w:r>
      <w:r>
        <w:rPr>
          <w:color w:val="231F20"/>
          <w:spacing w:val="-2"/>
          <w:w w:val="105"/>
        </w:rPr>
        <w:t>brinda </w:t>
      </w:r>
      <w:r>
        <w:rPr>
          <w:color w:val="231F20"/>
          <w:w w:val="105"/>
        </w:rPr>
        <w:t>alimentos</w:t>
      </w:r>
      <w:r>
        <w:rPr>
          <w:color w:val="231F20"/>
          <w:spacing w:val="-24"/>
          <w:w w:val="105"/>
        </w:rPr>
        <w:t> </w:t>
      </w:r>
      <w:r>
        <w:rPr>
          <w:color w:val="231F20"/>
          <w:w w:val="105"/>
        </w:rPr>
        <w:t>para</w:t>
      </w:r>
      <w:r>
        <w:rPr>
          <w:color w:val="231F20"/>
          <w:spacing w:val="-24"/>
          <w:w w:val="105"/>
        </w:rPr>
        <w:t> </w:t>
      </w:r>
      <w:r>
        <w:rPr>
          <w:color w:val="231F20"/>
          <w:w w:val="105"/>
        </w:rPr>
        <w:t>el</w:t>
      </w:r>
      <w:r>
        <w:rPr>
          <w:color w:val="231F20"/>
          <w:spacing w:val="-24"/>
          <w:w w:val="105"/>
        </w:rPr>
        <w:t> </w:t>
      </w:r>
      <w:r>
        <w:rPr>
          <w:color w:val="231F20"/>
          <w:w w:val="105"/>
        </w:rPr>
        <w:t>consumo</w:t>
      </w:r>
      <w:r>
        <w:rPr>
          <w:color w:val="231F20"/>
          <w:spacing w:val="-24"/>
          <w:w w:val="105"/>
        </w:rPr>
        <w:t> </w:t>
      </w:r>
      <w:r>
        <w:rPr>
          <w:color w:val="231F20"/>
          <w:w w:val="105"/>
        </w:rPr>
        <w:t>familiar</w:t>
      </w:r>
      <w:r>
        <w:rPr>
          <w:color w:val="231F20"/>
          <w:spacing w:val="-24"/>
          <w:w w:val="105"/>
        </w:rPr>
        <w:t> </w:t>
      </w:r>
      <w:r>
        <w:rPr>
          <w:color w:val="231F20"/>
          <w:w w:val="105"/>
        </w:rPr>
        <w:t>y</w:t>
      </w:r>
      <w:r>
        <w:rPr>
          <w:color w:val="231F20"/>
          <w:spacing w:val="-24"/>
          <w:w w:val="105"/>
        </w:rPr>
        <w:t> </w:t>
      </w:r>
      <w:r>
        <w:rPr>
          <w:color w:val="231F20"/>
          <w:w w:val="105"/>
        </w:rPr>
        <w:t>también</w:t>
      </w:r>
      <w:r>
        <w:rPr>
          <w:color w:val="231F20"/>
          <w:spacing w:val="-24"/>
          <w:w w:val="105"/>
        </w:rPr>
        <w:t> </w:t>
      </w:r>
      <w:r>
        <w:rPr>
          <w:color w:val="231F20"/>
          <w:spacing w:val="-3"/>
          <w:w w:val="105"/>
        </w:rPr>
        <w:t>ingresos</w:t>
      </w:r>
      <w:r>
        <w:rPr>
          <w:color w:val="231F20"/>
          <w:spacing w:val="-24"/>
          <w:w w:val="105"/>
        </w:rPr>
        <w:t> </w:t>
      </w:r>
      <w:r>
        <w:rPr>
          <w:color w:val="231F20"/>
          <w:w w:val="105"/>
        </w:rPr>
        <w:t>en</w:t>
      </w:r>
      <w:r>
        <w:rPr>
          <w:color w:val="231F20"/>
          <w:spacing w:val="-24"/>
          <w:w w:val="105"/>
        </w:rPr>
        <w:t> </w:t>
      </w:r>
      <w:r>
        <w:rPr>
          <w:color w:val="231F20"/>
          <w:spacing w:val="-2"/>
          <w:w w:val="105"/>
        </w:rPr>
        <w:t>efectivo.</w:t>
      </w:r>
    </w:p>
    <w:p>
      <w:pPr>
        <w:pStyle w:val="BodyText"/>
        <w:spacing w:before="8"/>
        <w:rPr>
          <w:sz w:val="22"/>
        </w:rPr>
      </w:pPr>
    </w:p>
    <w:p>
      <w:pPr>
        <w:spacing w:before="0"/>
        <w:ind w:left="1837" w:right="0" w:firstLine="0"/>
        <w:jc w:val="both"/>
        <w:rPr>
          <w:rFonts w:ascii="Arial" w:hAnsi="Arial"/>
          <w:i/>
          <w:sz w:val="21"/>
        </w:rPr>
      </w:pPr>
      <w:r>
        <w:rPr>
          <w:rFonts w:ascii="Arial" w:hAnsi="Arial"/>
          <w:i/>
          <w:color w:val="231F20"/>
          <w:sz w:val="21"/>
        </w:rPr>
        <w:t>La ganadería</w:t>
      </w:r>
    </w:p>
    <w:p>
      <w:pPr>
        <w:pStyle w:val="BodyText"/>
        <w:spacing w:before="5"/>
        <w:rPr>
          <w:rFonts w:ascii="Arial"/>
          <w:i/>
          <w:sz w:val="24"/>
        </w:rPr>
      </w:pPr>
    </w:p>
    <w:p>
      <w:pPr>
        <w:pStyle w:val="BodyText"/>
        <w:spacing w:line="261" w:lineRule="auto" w:before="1"/>
        <w:ind w:left="1837" w:right="1714"/>
        <w:jc w:val="both"/>
      </w:pPr>
      <w:r>
        <w:rPr>
          <w:color w:val="231F20"/>
          <w:w w:val="105"/>
        </w:rPr>
        <w:t>La </w:t>
      </w:r>
      <w:r>
        <w:rPr>
          <w:color w:val="231F20"/>
          <w:spacing w:val="-3"/>
          <w:w w:val="105"/>
        </w:rPr>
        <w:t>ganadería destaca </w:t>
      </w:r>
      <w:r>
        <w:rPr>
          <w:color w:val="231F20"/>
          <w:w w:val="105"/>
        </w:rPr>
        <w:t>en la </w:t>
      </w:r>
      <w:r>
        <w:rPr>
          <w:color w:val="231F20"/>
          <w:spacing w:val="-3"/>
          <w:w w:val="105"/>
        </w:rPr>
        <w:t>comunidad porque </w:t>
      </w:r>
      <w:r>
        <w:rPr>
          <w:color w:val="231F20"/>
          <w:w w:val="105"/>
        </w:rPr>
        <w:t>la </w:t>
      </w:r>
      <w:r>
        <w:rPr>
          <w:color w:val="231F20"/>
          <w:spacing w:val="-3"/>
          <w:w w:val="105"/>
        </w:rPr>
        <w:t>mayoría </w:t>
      </w:r>
      <w:r>
        <w:rPr>
          <w:color w:val="231F20"/>
          <w:w w:val="105"/>
        </w:rPr>
        <w:t>de los </w:t>
      </w:r>
      <w:r>
        <w:rPr>
          <w:color w:val="231F20"/>
          <w:spacing w:val="-3"/>
          <w:w w:val="105"/>
        </w:rPr>
        <w:t>produc- tores</w:t>
      </w:r>
      <w:r>
        <w:rPr>
          <w:color w:val="231F20"/>
          <w:spacing w:val="-8"/>
          <w:w w:val="105"/>
        </w:rPr>
        <w:t> </w:t>
      </w:r>
      <w:r>
        <w:rPr>
          <w:color w:val="231F20"/>
          <w:w w:val="105"/>
        </w:rPr>
        <w:t>de</w:t>
      </w:r>
      <w:r>
        <w:rPr>
          <w:color w:val="231F20"/>
          <w:spacing w:val="-8"/>
          <w:w w:val="105"/>
        </w:rPr>
        <w:t> </w:t>
      </w:r>
      <w:r>
        <w:rPr>
          <w:color w:val="231F20"/>
          <w:spacing w:val="-3"/>
          <w:w w:val="105"/>
        </w:rPr>
        <w:t>maíz</w:t>
      </w:r>
      <w:r>
        <w:rPr>
          <w:color w:val="231F20"/>
          <w:spacing w:val="-8"/>
          <w:w w:val="105"/>
        </w:rPr>
        <w:t> </w:t>
      </w:r>
      <w:r>
        <w:rPr>
          <w:color w:val="231F20"/>
          <w:spacing w:val="-3"/>
          <w:w w:val="105"/>
        </w:rPr>
        <w:t>tienen</w:t>
      </w:r>
      <w:r>
        <w:rPr>
          <w:color w:val="231F20"/>
          <w:spacing w:val="-8"/>
          <w:w w:val="105"/>
        </w:rPr>
        <w:t> </w:t>
      </w:r>
      <w:r>
        <w:rPr>
          <w:color w:val="231F20"/>
          <w:spacing w:val="-3"/>
          <w:w w:val="105"/>
        </w:rPr>
        <w:t>ganado,</w:t>
      </w:r>
      <w:r>
        <w:rPr>
          <w:color w:val="231F20"/>
          <w:spacing w:val="-13"/>
          <w:w w:val="105"/>
        </w:rPr>
        <w:t> </w:t>
      </w:r>
      <w:r>
        <w:rPr>
          <w:color w:val="231F20"/>
          <w:spacing w:val="-3"/>
          <w:w w:val="105"/>
        </w:rPr>
        <w:t>aunque</w:t>
      </w:r>
      <w:r>
        <w:rPr>
          <w:color w:val="231F20"/>
          <w:spacing w:val="-8"/>
          <w:w w:val="105"/>
        </w:rPr>
        <w:t> </w:t>
      </w:r>
      <w:r>
        <w:rPr>
          <w:color w:val="231F20"/>
          <w:w w:val="105"/>
        </w:rPr>
        <w:t>en</w:t>
      </w:r>
      <w:r>
        <w:rPr>
          <w:color w:val="231F20"/>
          <w:spacing w:val="-8"/>
          <w:w w:val="105"/>
        </w:rPr>
        <w:t> </w:t>
      </w:r>
      <w:r>
        <w:rPr>
          <w:color w:val="231F20"/>
          <w:spacing w:val="-3"/>
          <w:w w:val="105"/>
        </w:rPr>
        <w:t>baja</w:t>
      </w:r>
      <w:r>
        <w:rPr>
          <w:color w:val="231F20"/>
          <w:spacing w:val="-8"/>
          <w:w w:val="105"/>
        </w:rPr>
        <w:t> </w:t>
      </w:r>
      <w:r>
        <w:rPr>
          <w:color w:val="231F20"/>
          <w:spacing w:val="-3"/>
          <w:w w:val="105"/>
        </w:rPr>
        <w:t>escala</w:t>
      </w:r>
      <w:r>
        <w:rPr>
          <w:color w:val="231F20"/>
          <w:spacing w:val="-8"/>
          <w:w w:val="105"/>
        </w:rPr>
        <w:t> </w:t>
      </w:r>
      <w:r>
        <w:rPr>
          <w:color w:val="231F20"/>
          <w:w w:val="105"/>
        </w:rPr>
        <w:t>(de</w:t>
      </w:r>
      <w:r>
        <w:rPr>
          <w:color w:val="231F20"/>
          <w:spacing w:val="-8"/>
          <w:w w:val="105"/>
        </w:rPr>
        <w:t> </w:t>
      </w:r>
      <w:r>
        <w:rPr>
          <w:color w:val="231F20"/>
          <w:w w:val="105"/>
        </w:rPr>
        <w:t>3</w:t>
      </w:r>
      <w:r>
        <w:rPr>
          <w:color w:val="231F20"/>
          <w:spacing w:val="-8"/>
          <w:w w:val="105"/>
        </w:rPr>
        <w:t> </w:t>
      </w:r>
      <w:r>
        <w:rPr>
          <w:color w:val="231F20"/>
          <w:w w:val="105"/>
        </w:rPr>
        <w:t>a</w:t>
      </w:r>
      <w:r>
        <w:rPr>
          <w:color w:val="231F20"/>
          <w:spacing w:val="-8"/>
          <w:w w:val="105"/>
        </w:rPr>
        <w:t> </w:t>
      </w:r>
      <w:r>
        <w:rPr>
          <w:color w:val="231F20"/>
          <w:w w:val="105"/>
        </w:rPr>
        <w:t>4</w:t>
      </w:r>
      <w:r>
        <w:rPr>
          <w:color w:val="231F20"/>
          <w:spacing w:val="-8"/>
          <w:w w:val="105"/>
        </w:rPr>
        <w:t> </w:t>
      </w:r>
      <w:r>
        <w:rPr>
          <w:color w:val="231F20"/>
          <w:spacing w:val="-3"/>
          <w:w w:val="105"/>
        </w:rPr>
        <w:t>vacas).</w:t>
      </w:r>
      <w:r>
        <w:rPr>
          <w:color w:val="231F20"/>
          <w:spacing w:val="-13"/>
          <w:w w:val="105"/>
        </w:rPr>
        <w:t> </w:t>
      </w:r>
      <w:r>
        <w:rPr>
          <w:color w:val="231F20"/>
          <w:spacing w:val="-3"/>
          <w:w w:val="105"/>
        </w:rPr>
        <w:t>No obstante, existen algunos </w:t>
      </w:r>
      <w:r>
        <w:rPr>
          <w:color w:val="231F20"/>
          <w:spacing w:val="-4"/>
          <w:w w:val="105"/>
        </w:rPr>
        <w:t>productores </w:t>
      </w:r>
      <w:r>
        <w:rPr>
          <w:color w:val="231F20"/>
          <w:spacing w:val="-3"/>
          <w:w w:val="105"/>
        </w:rPr>
        <w:t>tecnificados </w:t>
      </w:r>
      <w:r>
        <w:rPr>
          <w:color w:val="231F20"/>
          <w:w w:val="105"/>
        </w:rPr>
        <w:t>que </w:t>
      </w:r>
      <w:r>
        <w:rPr>
          <w:color w:val="231F20"/>
          <w:spacing w:val="-3"/>
          <w:w w:val="105"/>
        </w:rPr>
        <w:t>disponen </w:t>
      </w:r>
      <w:r>
        <w:rPr>
          <w:color w:val="231F20"/>
          <w:w w:val="105"/>
        </w:rPr>
        <w:t>de ma- </w:t>
      </w:r>
      <w:r>
        <w:rPr>
          <w:color w:val="231F20"/>
          <w:spacing w:val="-3"/>
          <w:w w:val="105"/>
        </w:rPr>
        <w:t>yores</w:t>
      </w:r>
      <w:r>
        <w:rPr>
          <w:color w:val="231F20"/>
          <w:spacing w:val="-26"/>
          <w:w w:val="105"/>
        </w:rPr>
        <w:t> </w:t>
      </w:r>
      <w:r>
        <w:rPr>
          <w:color w:val="231F20"/>
          <w:spacing w:val="-3"/>
          <w:w w:val="105"/>
        </w:rPr>
        <w:t>hatos</w:t>
      </w:r>
      <w:r>
        <w:rPr>
          <w:color w:val="231F20"/>
          <w:spacing w:val="-26"/>
          <w:w w:val="105"/>
        </w:rPr>
        <w:t> </w:t>
      </w:r>
      <w:r>
        <w:rPr>
          <w:color w:val="231F20"/>
          <w:spacing w:val="-3"/>
          <w:w w:val="105"/>
        </w:rPr>
        <w:t>ganaderos.</w:t>
      </w:r>
      <w:r>
        <w:rPr>
          <w:color w:val="231F20"/>
          <w:spacing w:val="-32"/>
          <w:w w:val="105"/>
        </w:rPr>
        <w:t> </w:t>
      </w:r>
      <w:r>
        <w:rPr>
          <w:color w:val="231F20"/>
          <w:w w:val="105"/>
        </w:rPr>
        <w:t>En</w:t>
      </w:r>
      <w:r>
        <w:rPr>
          <w:color w:val="231F20"/>
          <w:spacing w:val="-26"/>
          <w:w w:val="105"/>
        </w:rPr>
        <w:t> </w:t>
      </w:r>
      <w:r>
        <w:rPr>
          <w:color w:val="231F20"/>
          <w:spacing w:val="-3"/>
          <w:w w:val="105"/>
        </w:rPr>
        <w:t>cuanto</w:t>
      </w:r>
      <w:r>
        <w:rPr>
          <w:color w:val="231F20"/>
          <w:spacing w:val="-26"/>
          <w:w w:val="105"/>
        </w:rPr>
        <w:t> </w:t>
      </w:r>
      <w:r>
        <w:rPr>
          <w:color w:val="231F20"/>
          <w:w w:val="105"/>
        </w:rPr>
        <w:t>al</w:t>
      </w:r>
      <w:r>
        <w:rPr>
          <w:color w:val="231F20"/>
          <w:spacing w:val="-26"/>
          <w:w w:val="105"/>
        </w:rPr>
        <w:t> </w:t>
      </w:r>
      <w:r>
        <w:rPr>
          <w:color w:val="231F20"/>
          <w:spacing w:val="-3"/>
          <w:w w:val="105"/>
        </w:rPr>
        <w:t>tipo</w:t>
      </w:r>
      <w:r>
        <w:rPr>
          <w:color w:val="231F20"/>
          <w:spacing w:val="-26"/>
          <w:w w:val="105"/>
        </w:rPr>
        <w:t> </w:t>
      </w:r>
      <w:r>
        <w:rPr>
          <w:color w:val="231F20"/>
          <w:w w:val="105"/>
        </w:rPr>
        <w:t>de</w:t>
      </w:r>
      <w:r>
        <w:rPr>
          <w:color w:val="231F20"/>
          <w:spacing w:val="-26"/>
          <w:w w:val="105"/>
        </w:rPr>
        <w:t> </w:t>
      </w:r>
      <w:r>
        <w:rPr>
          <w:color w:val="231F20"/>
          <w:spacing w:val="-3"/>
          <w:w w:val="105"/>
        </w:rPr>
        <w:t>ganado,</w:t>
      </w:r>
      <w:r>
        <w:rPr>
          <w:color w:val="231F20"/>
          <w:spacing w:val="-32"/>
          <w:w w:val="105"/>
        </w:rPr>
        <w:t> </w:t>
      </w:r>
      <w:r>
        <w:rPr>
          <w:color w:val="231F20"/>
          <w:w w:val="105"/>
        </w:rPr>
        <w:t>el</w:t>
      </w:r>
      <w:r>
        <w:rPr>
          <w:color w:val="231F20"/>
          <w:spacing w:val="-26"/>
          <w:w w:val="105"/>
        </w:rPr>
        <w:t> </w:t>
      </w:r>
      <w:r>
        <w:rPr>
          <w:color w:val="231F20"/>
          <w:w w:val="105"/>
        </w:rPr>
        <w:t>25%</w:t>
      </w:r>
      <w:r>
        <w:rPr>
          <w:color w:val="231F20"/>
          <w:spacing w:val="-26"/>
          <w:w w:val="105"/>
        </w:rPr>
        <w:t> </w:t>
      </w:r>
      <w:r>
        <w:rPr>
          <w:color w:val="231F20"/>
          <w:spacing w:val="-3"/>
          <w:w w:val="105"/>
        </w:rPr>
        <w:t>corresponde</w:t>
      </w:r>
      <w:r>
        <w:rPr>
          <w:color w:val="231F20"/>
          <w:spacing w:val="-26"/>
          <w:w w:val="105"/>
        </w:rPr>
        <w:t> </w:t>
      </w:r>
      <w:r>
        <w:rPr>
          <w:color w:val="231F20"/>
          <w:w w:val="105"/>
        </w:rPr>
        <w:t>a </w:t>
      </w:r>
      <w:r>
        <w:rPr>
          <w:color w:val="231F20"/>
          <w:spacing w:val="-3"/>
          <w:w w:val="105"/>
        </w:rPr>
        <w:t>razas</w:t>
      </w:r>
      <w:r>
        <w:rPr>
          <w:color w:val="231F20"/>
          <w:spacing w:val="-34"/>
          <w:w w:val="105"/>
        </w:rPr>
        <w:t> </w:t>
      </w:r>
      <w:r>
        <w:rPr>
          <w:color w:val="231F20"/>
          <w:spacing w:val="-3"/>
          <w:w w:val="105"/>
        </w:rPr>
        <w:t>puras,</w:t>
      </w:r>
      <w:r>
        <w:rPr>
          <w:color w:val="231F20"/>
          <w:spacing w:val="-37"/>
          <w:w w:val="105"/>
        </w:rPr>
        <w:t> </w:t>
      </w:r>
      <w:r>
        <w:rPr>
          <w:rFonts w:ascii="Arial" w:hAnsi="Arial"/>
          <w:i/>
          <w:color w:val="231F20"/>
          <w:w w:val="105"/>
        </w:rPr>
        <w:t>Bos</w:t>
      </w:r>
      <w:r>
        <w:rPr>
          <w:rFonts w:ascii="Arial" w:hAnsi="Arial"/>
          <w:i/>
          <w:color w:val="231F20"/>
          <w:spacing w:val="-37"/>
          <w:w w:val="105"/>
        </w:rPr>
        <w:t> </w:t>
      </w:r>
      <w:r>
        <w:rPr>
          <w:rFonts w:ascii="Arial" w:hAnsi="Arial"/>
          <w:i/>
          <w:color w:val="231F20"/>
          <w:spacing w:val="-3"/>
          <w:w w:val="105"/>
        </w:rPr>
        <w:t>taurus</w:t>
      </w:r>
      <w:r>
        <w:rPr>
          <w:rFonts w:ascii="Arial" w:hAnsi="Arial"/>
          <w:i/>
          <w:color w:val="231F20"/>
          <w:spacing w:val="-37"/>
          <w:w w:val="105"/>
        </w:rPr>
        <w:t> </w:t>
      </w:r>
      <w:r>
        <w:rPr>
          <w:color w:val="231F20"/>
          <w:spacing w:val="-3"/>
          <w:w w:val="105"/>
        </w:rPr>
        <w:t>(razas</w:t>
      </w:r>
      <w:r>
        <w:rPr>
          <w:color w:val="231F20"/>
          <w:spacing w:val="-34"/>
          <w:w w:val="105"/>
        </w:rPr>
        <w:t> </w:t>
      </w:r>
      <w:r>
        <w:rPr>
          <w:color w:val="231F20"/>
          <w:spacing w:val="-4"/>
          <w:w w:val="105"/>
        </w:rPr>
        <w:t>europeas),</w:t>
      </w:r>
      <w:r>
        <w:rPr>
          <w:color w:val="231F20"/>
          <w:spacing w:val="-37"/>
          <w:w w:val="105"/>
        </w:rPr>
        <w:t> </w:t>
      </w:r>
      <w:r>
        <w:rPr>
          <w:color w:val="231F20"/>
          <w:spacing w:val="-3"/>
          <w:w w:val="105"/>
        </w:rPr>
        <w:t>suizo</w:t>
      </w:r>
      <w:r>
        <w:rPr>
          <w:color w:val="231F20"/>
          <w:spacing w:val="-34"/>
          <w:w w:val="105"/>
        </w:rPr>
        <w:t> </w:t>
      </w:r>
      <w:r>
        <w:rPr>
          <w:color w:val="231F20"/>
          <w:spacing w:val="-4"/>
          <w:w w:val="105"/>
        </w:rPr>
        <w:t>europeo,</w:t>
      </w:r>
      <w:r>
        <w:rPr>
          <w:color w:val="231F20"/>
          <w:spacing w:val="-37"/>
          <w:w w:val="105"/>
        </w:rPr>
        <w:t> </w:t>
      </w:r>
      <w:r>
        <w:rPr>
          <w:color w:val="231F20"/>
          <w:spacing w:val="-3"/>
          <w:w w:val="105"/>
        </w:rPr>
        <w:t>simmental,</w:t>
      </w:r>
      <w:r>
        <w:rPr>
          <w:color w:val="231F20"/>
          <w:spacing w:val="-37"/>
          <w:w w:val="105"/>
        </w:rPr>
        <w:t> </w:t>
      </w:r>
      <w:r>
        <w:rPr>
          <w:color w:val="231F20"/>
          <w:spacing w:val="-3"/>
          <w:w w:val="105"/>
        </w:rPr>
        <w:t>charo- lais,</w:t>
      </w:r>
      <w:r>
        <w:rPr>
          <w:color w:val="231F20"/>
          <w:spacing w:val="-29"/>
          <w:w w:val="105"/>
        </w:rPr>
        <w:t> </w:t>
      </w:r>
      <w:r>
        <w:rPr>
          <w:color w:val="231F20"/>
          <w:spacing w:val="-3"/>
          <w:w w:val="105"/>
        </w:rPr>
        <w:t>entre</w:t>
      </w:r>
      <w:r>
        <w:rPr>
          <w:color w:val="231F20"/>
          <w:spacing w:val="-24"/>
          <w:w w:val="105"/>
        </w:rPr>
        <w:t> </w:t>
      </w:r>
      <w:r>
        <w:rPr>
          <w:color w:val="231F20"/>
          <w:spacing w:val="-3"/>
          <w:w w:val="105"/>
        </w:rPr>
        <w:t>otras;</w:t>
      </w:r>
      <w:r>
        <w:rPr>
          <w:color w:val="231F20"/>
          <w:spacing w:val="-24"/>
          <w:w w:val="105"/>
        </w:rPr>
        <w:t> </w:t>
      </w:r>
      <w:r>
        <w:rPr>
          <w:color w:val="231F20"/>
          <w:w w:val="105"/>
        </w:rPr>
        <w:t>y</w:t>
      </w:r>
      <w:r>
        <w:rPr>
          <w:color w:val="231F20"/>
          <w:spacing w:val="-24"/>
          <w:w w:val="105"/>
        </w:rPr>
        <w:t> </w:t>
      </w:r>
      <w:r>
        <w:rPr>
          <w:rFonts w:ascii="Arial" w:hAnsi="Arial"/>
          <w:i/>
          <w:color w:val="231F20"/>
          <w:w w:val="105"/>
        </w:rPr>
        <w:t>Bos</w:t>
      </w:r>
      <w:r>
        <w:rPr>
          <w:rFonts w:ascii="Arial" w:hAnsi="Arial"/>
          <w:i/>
          <w:color w:val="231F20"/>
          <w:spacing w:val="-27"/>
          <w:w w:val="105"/>
        </w:rPr>
        <w:t> </w:t>
      </w:r>
      <w:r>
        <w:rPr>
          <w:rFonts w:ascii="Arial" w:hAnsi="Arial"/>
          <w:i/>
          <w:color w:val="231F20"/>
          <w:spacing w:val="-3"/>
          <w:w w:val="105"/>
        </w:rPr>
        <w:t>indicus</w:t>
      </w:r>
      <w:r>
        <w:rPr>
          <w:rFonts w:ascii="Arial" w:hAnsi="Arial"/>
          <w:i/>
          <w:color w:val="231F20"/>
          <w:spacing w:val="-27"/>
          <w:w w:val="105"/>
        </w:rPr>
        <w:t> </w:t>
      </w:r>
      <w:r>
        <w:rPr>
          <w:color w:val="231F20"/>
          <w:spacing w:val="-3"/>
          <w:w w:val="105"/>
        </w:rPr>
        <w:t>(razas</w:t>
      </w:r>
      <w:r>
        <w:rPr>
          <w:color w:val="231F20"/>
          <w:spacing w:val="-24"/>
          <w:w w:val="105"/>
        </w:rPr>
        <w:t> </w:t>
      </w:r>
      <w:r>
        <w:rPr>
          <w:color w:val="231F20"/>
          <w:spacing w:val="-3"/>
          <w:w w:val="105"/>
        </w:rPr>
        <w:t>cebuinas),</w:t>
      </w:r>
      <w:r>
        <w:rPr>
          <w:color w:val="231F20"/>
          <w:spacing w:val="-29"/>
          <w:w w:val="105"/>
        </w:rPr>
        <w:t> </w:t>
      </w:r>
      <w:r>
        <w:rPr>
          <w:color w:val="231F20"/>
          <w:spacing w:val="-3"/>
          <w:w w:val="105"/>
        </w:rPr>
        <w:t>brahman,</w:t>
      </w:r>
      <w:r>
        <w:rPr>
          <w:color w:val="231F20"/>
          <w:spacing w:val="-29"/>
          <w:w w:val="105"/>
        </w:rPr>
        <w:t> </w:t>
      </w:r>
      <w:r>
        <w:rPr>
          <w:color w:val="231F20"/>
          <w:spacing w:val="-3"/>
          <w:w w:val="105"/>
        </w:rPr>
        <w:t>sardo</w:t>
      </w:r>
      <w:r>
        <w:rPr>
          <w:color w:val="231F20"/>
          <w:spacing w:val="-24"/>
          <w:w w:val="105"/>
        </w:rPr>
        <w:t> </w:t>
      </w:r>
      <w:r>
        <w:rPr>
          <w:color w:val="231F20"/>
          <w:spacing w:val="-4"/>
          <w:w w:val="105"/>
        </w:rPr>
        <w:t>negro,</w:t>
      </w:r>
      <w:r>
        <w:rPr>
          <w:color w:val="231F20"/>
          <w:spacing w:val="-29"/>
          <w:w w:val="105"/>
        </w:rPr>
        <w:t> </w:t>
      </w:r>
      <w:r>
        <w:rPr>
          <w:color w:val="231F20"/>
          <w:spacing w:val="-5"/>
          <w:w w:val="105"/>
        </w:rPr>
        <w:t>gyr. </w:t>
      </w:r>
      <w:r>
        <w:rPr>
          <w:color w:val="231F20"/>
          <w:w w:val="105"/>
        </w:rPr>
        <w:t>El</w:t>
      </w:r>
      <w:r>
        <w:rPr>
          <w:color w:val="231F20"/>
          <w:spacing w:val="-19"/>
          <w:w w:val="105"/>
        </w:rPr>
        <w:t> </w:t>
      </w:r>
      <w:r>
        <w:rPr>
          <w:color w:val="231F20"/>
          <w:spacing w:val="-3"/>
          <w:w w:val="105"/>
        </w:rPr>
        <w:t>otro</w:t>
      </w:r>
      <w:r>
        <w:rPr>
          <w:color w:val="231F20"/>
          <w:spacing w:val="-19"/>
          <w:w w:val="105"/>
        </w:rPr>
        <w:t> </w:t>
      </w:r>
      <w:r>
        <w:rPr>
          <w:color w:val="231F20"/>
          <w:w w:val="105"/>
        </w:rPr>
        <w:t>25%</w:t>
      </w:r>
      <w:r>
        <w:rPr>
          <w:color w:val="231F20"/>
          <w:spacing w:val="-19"/>
          <w:w w:val="105"/>
        </w:rPr>
        <w:t> </w:t>
      </w:r>
      <w:r>
        <w:rPr>
          <w:color w:val="231F20"/>
          <w:w w:val="105"/>
        </w:rPr>
        <w:t>son</w:t>
      </w:r>
      <w:r>
        <w:rPr>
          <w:color w:val="231F20"/>
          <w:spacing w:val="-19"/>
          <w:w w:val="105"/>
        </w:rPr>
        <w:t> </w:t>
      </w:r>
      <w:r>
        <w:rPr>
          <w:color w:val="231F20"/>
          <w:spacing w:val="-3"/>
          <w:w w:val="105"/>
        </w:rPr>
        <w:t>razas</w:t>
      </w:r>
      <w:r>
        <w:rPr>
          <w:color w:val="231F20"/>
          <w:spacing w:val="-19"/>
          <w:w w:val="105"/>
        </w:rPr>
        <w:t> </w:t>
      </w:r>
      <w:r>
        <w:rPr>
          <w:color w:val="231F20"/>
          <w:spacing w:val="-3"/>
          <w:w w:val="105"/>
        </w:rPr>
        <w:t>sintéticas,</w:t>
      </w:r>
      <w:r>
        <w:rPr>
          <w:color w:val="231F20"/>
          <w:spacing w:val="-23"/>
          <w:w w:val="105"/>
        </w:rPr>
        <w:t> </w:t>
      </w:r>
      <w:r>
        <w:rPr>
          <w:color w:val="231F20"/>
          <w:w w:val="105"/>
        </w:rPr>
        <w:t>que</w:t>
      </w:r>
      <w:r>
        <w:rPr>
          <w:color w:val="231F20"/>
          <w:spacing w:val="-19"/>
          <w:w w:val="105"/>
        </w:rPr>
        <w:t> </w:t>
      </w:r>
      <w:r>
        <w:rPr>
          <w:color w:val="231F20"/>
          <w:w w:val="105"/>
        </w:rPr>
        <w:t>son</w:t>
      </w:r>
      <w:r>
        <w:rPr>
          <w:color w:val="231F20"/>
          <w:spacing w:val="-19"/>
          <w:w w:val="105"/>
        </w:rPr>
        <w:t> </w:t>
      </w:r>
      <w:r>
        <w:rPr>
          <w:color w:val="231F20"/>
          <w:spacing w:val="-3"/>
          <w:w w:val="105"/>
        </w:rPr>
        <w:t>cruzas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dos</w:t>
      </w:r>
      <w:r>
        <w:rPr>
          <w:color w:val="231F20"/>
          <w:spacing w:val="-19"/>
          <w:w w:val="105"/>
        </w:rPr>
        <w:t> </w:t>
      </w:r>
      <w:r>
        <w:rPr>
          <w:color w:val="231F20"/>
          <w:spacing w:val="-3"/>
          <w:w w:val="105"/>
        </w:rPr>
        <w:t>anteriores</w:t>
      </w:r>
      <w:r>
        <w:rPr>
          <w:color w:val="231F20"/>
          <w:spacing w:val="-19"/>
          <w:w w:val="105"/>
        </w:rPr>
        <w:t> </w:t>
      </w:r>
      <w:r>
        <w:rPr>
          <w:color w:val="231F20"/>
          <w:spacing w:val="-3"/>
          <w:w w:val="105"/>
        </w:rPr>
        <w:t>con controles</w:t>
      </w:r>
      <w:r>
        <w:rPr>
          <w:color w:val="231F20"/>
          <w:spacing w:val="-20"/>
          <w:w w:val="105"/>
        </w:rPr>
        <w:t> </w:t>
      </w:r>
      <w:r>
        <w:rPr>
          <w:color w:val="231F20"/>
          <w:w w:val="105"/>
        </w:rPr>
        <w:t>de</w:t>
      </w:r>
      <w:r>
        <w:rPr>
          <w:color w:val="231F20"/>
          <w:spacing w:val="-20"/>
          <w:w w:val="105"/>
        </w:rPr>
        <w:t> </w:t>
      </w:r>
      <w:r>
        <w:rPr>
          <w:color w:val="231F20"/>
          <w:spacing w:val="-3"/>
          <w:w w:val="105"/>
        </w:rPr>
        <w:t>cruzamiento</w:t>
      </w:r>
      <w:r>
        <w:rPr>
          <w:color w:val="231F20"/>
          <w:spacing w:val="-20"/>
          <w:w w:val="105"/>
        </w:rPr>
        <w:t> </w:t>
      </w:r>
      <w:r>
        <w:rPr>
          <w:color w:val="231F20"/>
          <w:spacing w:val="-3"/>
          <w:w w:val="105"/>
        </w:rPr>
        <w:t>como</w:t>
      </w:r>
      <w:r>
        <w:rPr>
          <w:color w:val="231F20"/>
          <w:spacing w:val="-20"/>
          <w:w w:val="105"/>
        </w:rPr>
        <w:t> </w:t>
      </w:r>
      <w:r>
        <w:rPr>
          <w:color w:val="231F20"/>
          <w:w w:val="105"/>
        </w:rPr>
        <w:t>el</w:t>
      </w:r>
      <w:r>
        <w:rPr>
          <w:color w:val="231F20"/>
          <w:spacing w:val="-20"/>
          <w:w w:val="105"/>
        </w:rPr>
        <w:t> </w:t>
      </w:r>
      <w:r>
        <w:rPr>
          <w:color w:val="231F20"/>
          <w:spacing w:val="-3"/>
          <w:w w:val="105"/>
        </w:rPr>
        <w:t>suizbu,</w:t>
      </w:r>
      <w:r>
        <w:rPr>
          <w:color w:val="231F20"/>
          <w:spacing w:val="-24"/>
          <w:w w:val="105"/>
        </w:rPr>
        <w:t> </w:t>
      </w:r>
      <w:r>
        <w:rPr>
          <w:color w:val="231F20"/>
          <w:spacing w:val="-3"/>
          <w:w w:val="105"/>
        </w:rPr>
        <w:t>simhbra,</w:t>
      </w:r>
      <w:r>
        <w:rPr>
          <w:color w:val="231F20"/>
          <w:spacing w:val="-24"/>
          <w:w w:val="105"/>
        </w:rPr>
        <w:t> </w:t>
      </w:r>
      <w:r>
        <w:rPr>
          <w:color w:val="231F20"/>
          <w:spacing w:val="-3"/>
          <w:w w:val="105"/>
        </w:rPr>
        <w:t>befmaster</w:t>
      </w:r>
      <w:r>
        <w:rPr>
          <w:color w:val="231F20"/>
          <w:spacing w:val="-20"/>
          <w:w w:val="105"/>
        </w:rPr>
        <w:t> </w:t>
      </w:r>
      <w:r>
        <w:rPr>
          <w:color w:val="231F20"/>
          <w:spacing w:val="-3"/>
          <w:w w:val="105"/>
        </w:rPr>
        <w:t>entre</w:t>
      </w:r>
      <w:r>
        <w:rPr>
          <w:color w:val="231F20"/>
          <w:spacing w:val="-20"/>
          <w:w w:val="105"/>
        </w:rPr>
        <w:t> </w:t>
      </w:r>
      <w:r>
        <w:rPr>
          <w:color w:val="231F20"/>
          <w:spacing w:val="-4"/>
          <w:w w:val="105"/>
        </w:rPr>
        <w:t>otras.</w:t>
      </w:r>
    </w:p>
    <w:p>
      <w:pPr>
        <w:pStyle w:val="BodyText"/>
        <w:spacing w:line="261" w:lineRule="auto" w:before="1"/>
        <w:ind w:left="1837" w:right="1719" w:firstLine="567"/>
        <w:jc w:val="both"/>
      </w:pPr>
      <w:r>
        <w:rPr>
          <w:color w:val="231F20"/>
          <w:w w:val="105"/>
        </w:rPr>
        <w:t>Anteriormente existía solamente un 10% de existencia de razas puras, pero en la actualidad ha sido considerable el aumento </w:t>
      </w:r>
      <w:r>
        <w:rPr>
          <w:color w:val="231F20"/>
          <w:spacing w:val="2"/>
          <w:w w:val="105"/>
        </w:rPr>
        <w:t>debido   </w:t>
      </w:r>
      <w:r>
        <w:rPr>
          <w:color w:val="231F20"/>
          <w:w w:val="105"/>
        </w:rPr>
        <w:t>a los programas de mejoramiento genético de los gobiernos tanto es- tatal</w:t>
      </w:r>
      <w:r>
        <w:rPr>
          <w:color w:val="231F20"/>
          <w:spacing w:val="-5"/>
          <w:w w:val="105"/>
        </w:rPr>
        <w:t> </w:t>
      </w:r>
      <w:r>
        <w:rPr>
          <w:color w:val="231F20"/>
          <w:w w:val="105"/>
        </w:rPr>
        <w:t>como</w:t>
      </w:r>
      <w:r>
        <w:rPr>
          <w:color w:val="231F20"/>
          <w:spacing w:val="-5"/>
          <w:w w:val="105"/>
        </w:rPr>
        <w:t> </w:t>
      </w:r>
      <w:r>
        <w:rPr>
          <w:color w:val="231F20"/>
          <w:w w:val="105"/>
        </w:rPr>
        <w:t>federal,</w:t>
      </w:r>
      <w:r>
        <w:rPr>
          <w:color w:val="231F20"/>
          <w:spacing w:val="-10"/>
          <w:w w:val="105"/>
        </w:rPr>
        <w:t> </w:t>
      </w:r>
      <w:r>
        <w:rPr>
          <w:color w:val="231F20"/>
          <w:w w:val="105"/>
        </w:rPr>
        <w:t>a</w:t>
      </w:r>
      <w:r>
        <w:rPr>
          <w:color w:val="231F20"/>
          <w:spacing w:val="-5"/>
          <w:w w:val="105"/>
        </w:rPr>
        <w:t> </w:t>
      </w:r>
      <w:r>
        <w:rPr>
          <w:color w:val="231F20"/>
          <w:w w:val="105"/>
        </w:rPr>
        <w:t>través</w:t>
      </w:r>
      <w:r>
        <w:rPr>
          <w:color w:val="231F20"/>
          <w:spacing w:val="-5"/>
          <w:w w:val="105"/>
        </w:rPr>
        <w:t> </w:t>
      </w:r>
      <w:r>
        <w:rPr>
          <w:color w:val="231F20"/>
          <w:w w:val="105"/>
        </w:rPr>
        <w:t>de</w:t>
      </w:r>
      <w:r>
        <w:rPr>
          <w:color w:val="231F20"/>
          <w:spacing w:val="-5"/>
          <w:w w:val="105"/>
        </w:rPr>
        <w:t> </w:t>
      </w:r>
      <w:r>
        <w:rPr>
          <w:color w:val="231F20"/>
          <w:w w:val="105"/>
          <w:sz w:val="17"/>
        </w:rPr>
        <w:t>SEDAGRO</w:t>
      </w:r>
      <w:r>
        <w:rPr>
          <w:color w:val="231F20"/>
          <w:spacing w:val="6"/>
          <w:w w:val="105"/>
          <w:sz w:val="17"/>
        </w:rPr>
        <w:t> </w:t>
      </w:r>
      <w:r>
        <w:rPr>
          <w:color w:val="231F20"/>
          <w:w w:val="105"/>
        </w:rPr>
        <w:t>y</w:t>
      </w:r>
      <w:r>
        <w:rPr>
          <w:color w:val="231F20"/>
          <w:spacing w:val="-5"/>
          <w:w w:val="105"/>
        </w:rPr>
        <w:t> </w:t>
      </w:r>
      <w:r>
        <w:rPr>
          <w:color w:val="231F20"/>
          <w:w w:val="105"/>
          <w:sz w:val="17"/>
        </w:rPr>
        <w:t>SAGARPA</w:t>
      </w:r>
      <w:r>
        <w:rPr>
          <w:color w:val="231F20"/>
          <w:w w:val="105"/>
        </w:rPr>
        <w:t>.</w:t>
      </w:r>
      <w:r>
        <w:rPr>
          <w:color w:val="231F20"/>
          <w:spacing w:val="-10"/>
          <w:w w:val="105"/>
        </w:rPr>
        <w:t> </w:t>
      </w:r>
      <w:r>
        <w:rPr>
          <w:color w:val="231F20"/>
          <w:w w:val="105"/>
        </w:rPr>
        <w:t>El</w:t>
      </w:r>
      <w:r>
        <w:rPr>
          <w:color w:val="231F20"/>
          <w:spacing w:val="-5"/>
          <w:w w:val="105"/>
        </w:rPr>
        <w:t> </w:t>
      </w:r>
      <w:r>
        <w:rPr>
          <w:color w:val="231F20"/>
          <w:w w:val="105"/>
        </w:rPr>
        <w:t>50%</w:t>
      </w:r>
      <w:r>
        <w:rPr>
          <w:color w:val="231F20"/>
          <w:spacing w:val="-5"/>
          <w:w w:val="105"/>
        </w:rPr>
        <w:t> </w:t>
      </w:r>
      <w:r>
        <w:rPr>
          <w:color w:val="231F20"/>
          <w:w w:val="105"/>
        </w:rPr>
        <w:t>del</w:t>
      </w:r>
      <w:r>
        <w:rPr>
          <w:color w:val="231F20"/>
          <w:spacing w:val="-5"/>
          <w:w w:val="105"/>
        </w:rPr>
        <w:t> </w:t>
      </w:r>
      <w:r>
        <w:rPr>
          <w:color w:val="231F20"/>
          <w:spacing w:val="2"/>
          <w:w w:val="105"/>
        </w:rPr>
        <w:t>ganado </w:t>
      </w:r>
      <w:r>
        <w:rPr>
          <w:color w:val="231F20"/>
          <w:w w:val="105"/>
        </w:rPr>
        <w:t>es criollo cruzado con las dos anteriores, que no tienen un control de cruzamiento. Es el ganado más comercial, abundante y que se</w:t>
      </w:r>
      <w:r>
        <w:rPr>
          <w:color w:val="231F20"/>
          <w:spacing w:val="-25"/>
          <w:w w:val="105"/>
        </w:rPr>
        <w:t> </w:t>
      </w:r>
      <w:r>
        <w:rPr>
          <w:color w:val="231F20"/>
          <w:w w:val="105"/>
        </w:rPr>
        <w:t>mantie- ne como</w:t>
      </w:r>
      <w:r>
        <w:rPr>
          <w:color w:val="231F20"/>
          <w:spacing w:val="3"/>
          <w:w w:val="105"/>
        </w:rPr>
        <w:t> </w:t>
      </w:r>
      <w:r>
        <w:rPr>
          <w:color w:val="231F20"/>
          <w:w w:val="105"/>
        </w:rPr>
        <w:t>traspatio.</w:t>
      </w:r>
    </w:p>
    <w:p>
      <w:pPr>
        <w:pStyle w:val="BodyText"/>
        <w:spacing w:line="261" w:lineRule="auto" w:before="1"/>
        <w:ind w:left="1837" w:right="1721" w:firstLine="567"/>
        <w:jc w:val="both"/>
      </w:pPr>
      <w:r>
        <w:rPr/>
        <w:pict>
          <v:line style="position:absolute;mso-position-horizontal-relative:page;mso-position-vertical-relative:paragraph;z-index:-449872" from="15pt,106.378387pt" to="0pt,106.378387pt" stroked="true" strokeweight=".25pt" strokecolor="#000000">
            <w10:wrap type="none"/>
          </v:line>
        </w:pict>
      </w:r>
      <w:r>
        <w:rPr/>
        <w:pict>
          <v:line style="position:absolute;mso-position-horizontal-relative:page;mso-position-vertical-relative:paragraph;z-index:40336" from="508.890015pt,106.378387pt" to="523.890015pt,106.378387pt" stroked="true" strokeweight=".25pt" strokecolor="#000000">
            <w10:wrap type="none"/>
          </v:line>
        </w:pict>
      </w:r>
      <w:r>
        <w:rPr>
          <w:color w:val="231F20"/>
          <w:spacing w:val="-4"/>
          <w:w w:val="105"/>
        </w:rPr>
        <w:t>Para </w:t>
      </w:r>
      <w:r>
        <w:rPr>
          <w:color w:val="231F20"/>
          <w:w w:val="105"/>
        </w:rPr>
        <w:t>la mayoría de éstos la alimentación consiste en pastoreo de tipo</w:t>
      </w:r>
      <w:r>
        <w:rPr>
          <w:color w:val="231F20"/>
          <w:spacing w:val="-16"/>
          <w:w w:val="105"/>
        </w:rPr>
        <w:t> </w:t>
      </w:r>
      <w:r>
        <w:rPr>
          <w:color w:val="231F20"/>
          <w:w w:val="105"/>
        </w:rPr>
        <w:t>extensivo</w:t>
      </w:r>
      <w:r>
        <w:rPr>
          <w:color w:val="231F20"/>
          <w:spacing w:val="-16"/>
          <w:w w:val="105"/>
        </w:rPr>
        <w:t> </w:t>
      </w:r>
      <w:r>
        <w:rPr>
          <w:color w:val="231F20"/>
          <w:w w:val="105"/>
        </w:rPr>
        <w:t>con</w:t>
      </w:r>
      <w:r>
        <w:rPr>
          <w:color w:val="231F20"/>
          <w:spacing w:val="-16"/>
          <w:w w:val="105"/>
        </w:rPr>
        <w:t> </w:t>
      </w:r>
      <w:r>
        <w:rPr>
          <w:color w:val="231F20"/>
          <w:w w:val="105"/>
        </w:rPr>
        <w:t>variedades</w:t>
      </w:r>
      <w:r>
        <w:rPr>
          <w:color w:val="231F20"/>
          <w:spacing w:val="-16"/>
          <w:w w:val="105"/>
        </w:rPr>
        <w:t> </w:t>
      </w:r>
      <w:r>
        <w:rPr>
          <w:color w:val="231F20"/>
          <w:w w:val="105"/>
        </w:rPr>
        <w:t>de</w:t>
      </w:r>
      <w:r>
        <w:rPr>
          <w:color w:val="231F20"/>
          <w:spacing w:val="-16"/>
          <w:w w:val="105"/>
        </w:rPr>
        <w:t> </w:t>
      </w:r>
      <w:r>
        <w:rPr>
          <w:color w:val="231F20"/>
          <w:w w:val="105"/>
        </w:rPr>
        <w:t>pasto</w:t>
      </w:r>
      <w:r>
        <w:rPr>
          <w:color w:val="231F20"/>
          <w:spacing w:val="-16"/>
          <w:w w:val="105"/>
        </w:rPr>
        <w:t> </w:t>
      </w:r>
      <w:r>
        <w:rPr>
          <w:color w:val="231F20"/>
          <w:w w:val="105"/>
        </w:rPr>
        <w:t>mejorado,</w:t>
      </w:r>
      <w:r>
        <w:rPr>
          <w:color w:val="231F20"/>
          <w:spacing w:val="-21"/>
          <w:w w:val="105"/>
        </w:rPr>
        <w:t> </w:t>
      </w:r>
      <w:r>
        <w:rPr>
          <w:color w:val="231F20"/>
          <w:w w:val="105"/>
        </w:rPr>
        <w:t>como</w:t>
      </w:r>
      <w:r>
        <w:rPr>
          <w:color w:val="231F20"/>
          <w:spacing w:val="-16"/>
          <w:w w:val="105"/>
        </w:rPr>
        <w:t> </w:t>
      </w:r>
      <w:r>
        <w:rPr>
          <w:color w:val="231F20"/>
          <w:w w:val="105"/>
        </w:rPr>
        <w:t>el</w:t>
      </w:r>
      <w:r>
        <w:rPr>
          <w:color w:val="231F20"/>
          <w:spacing w:val="-16"/>
          <w:w w:val="105"/>
        </w:rPr>
        <w:t> </w:t>
      </w:r>
      <w:r>
        <w:rPr>
          <w:color w:val="231F20"/>
          <w:w w:val="105"/>
        </w:rPr>
        <w:t>pasto</w:t>
      </w:r>
      <w:r>
        <w:rPr>
          <w:color w:val="231F20"/>
          <w:spacing w:val="-16"/>
          <w:w w:val="105"/>
        </w:rPr>
        <w:t> </w:t>
      </w:r>
      <w:r>
        <w:rPr>
          <w:color w:val="231F20"/>
          <w:w w:val="105"/>
        </w:rPr>
        <w:t>Estrella</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40408" from="15pt,-71.68644pt" to="0pt,-71.68644pt" stroked="true" strokeweight=".25pt" strokecolor="#000000">
            <w10:wrap type="none"/>
          </v:line>
        </w:pict>
      </w:r>
      <w:r>
        <w:rPr/>
        <w:pict>
          <v:line style="position:absolute;mso-position-horizontal-relative:page;mso-position-vertical-relative:paragraph;z-index:40432" from="508.890015pt,-71.68644pt" to="523.890015pt,-71.68644pt" stroked="true" strokeweight=".25pt" strokecolor="#000000">
            <w10:wrap type="none"/>
          </v:line>
        </w:pict>
      </w:r>
      <w:r>
        <w:rPr>
          <w:color w:val="231F20"/>
          <w:w w:val="105"/>
        </w:rPr>
        <w:t>de África y pastos nativos. El problema principal respecto a su alimen- tación</w:t>
      </w:r>
      <w:r>
        <w:rPr>
          <w:color w:val="231F20"/>
          <w:spacing w:val="-7"/>
          <w:w w:val="105"/>
        </w:rPr>
        <w:t> </w:t>
      </w:r>
      <w:r>
        <w:rPr>
          <w:color w:val="231F20"/>
          <w:w w:val="105"/>
        </w:rPr>
        <w:t>es</w:t>
      </w:r>
      <w:r>
        <w:rPr>
          <w:color w:val="231F20"/>
          <w:spacing w:val="-7"/>
          <w:w w:val="105"/>
        </w:rPr>
        <w:t> </w:t>
      </w:r>
      <w:r>
        <w:rPr>
          <w:color w:val="231F20"/>
          <w:w w:val="105"/>
        </w:rPr>
        <w:t>la</w:t>
      </w:r>
      <w:r>
        <w:rPr>
          <w:color w:val="231F20"/>
          <w:spacing w:val="-7"/>
          <w:w w:val="105"/>
        </w:rPr>
        <w:t> </w:t>
      </w:r>
      <w:r>
        <w:rPr>
          <w:color w:val="231F20"/>
          <w:w w:val="105"/>
        </w:rPr>
        <w:t>falta</w:t>
      </w:r>
      <w:r>
        <w:rPr>
          <w:color w:val="231F20"/>
          <w:spacing w:val="-7"/>
          <w:w w:val="105"/>
        </w:rPr>
        <w:t> </w:t>
      </w:r>
      <w:r>
        <w:rPr>
          <w:color w:val="231F20"/>
          <w:w w:val="105"/>
        </w:rPr>
        <w:t>de</w:t>
      </w:r>
      <w:r>
        <w:rPr>
          <w:color w:val="231F20"/>
          <w:spacing w:val="-7"/>
          <w:w w:val="105"/>
        </w:rPr>
        <w:t> </w:t>
      </w:r>
      <w:r>
        <w:rPr>
          <w:color w:val="231F20"/>
          <w:w w:val="105"/>
        </w:rPr>
        <w:t>henificación,</w:t>
      </w:r>
      <w:r>
        <w:rPr>
          <w:color w:val="231F20"/>
          <w:spacing w:val="-13"/>
          <w:w w:val="105"/>
        </w:rPr>
        <w:t> </w:t>
      </w:r>
      <w:r>
        <w:rPr>
          <w:color w:val="231F20"/>
          <w:w w:val="105"/>
        </w:rPr>
        <w:t>esto</w:t>
      </w:r>
      <w:r>
        <w:rPr>
          <w:color w:val="231F20"/>
          <w:spacing w:val="-7"/>
          <w:w w:val="105"/>
        </w:rPr>
        <w:t> </w:t>
      </w:r>
      <w:r>
        <w:rPr>
          <w:color w:val="231F20"/>
          <w:w w:val="105"/>
        </w:rPr>
        <w:t>es</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temporada</w:t>
      </w:r>
      <w:r>
        <w:rPr>
          <w:color w:val="231F20"/>
          <w:spacing w:val="-7"/>
          <w:w w:val="105"/>
        </w:rPr>
        <w:t> </w:t>
      </w:r>
      <w:r>
        <w:rPr>
          <w:color w:val="231F20"/>
          <w:w w:val="105"/>
        </w:rPr>
        <w:t>de</w:t>
      </w:r>
      <w:r>
        <w:rPr>
          <w:color w:val="231F20"/>
          <w:spacing w:val="-7"/>
          <w:w w:val="105"/>
        </w:rPr>
        <w:t> </w:t>
      </w:r>
      <w:r>
        <w:rPr>
          <w:color w:val="231F20"/>
          <w:w w:val="105"/>
        </w:rPr>
        <w:t>lluvias hay</w:t>
      </w:r>
      <w:r>
        <w:rPr>
          <w:color w:val="231F20"/>
          <w:spacing w:val="-11"/>
          <w:w w:val="105"/>
        </w:rPr>
        <w:t> </w:t>
      </w:r>
      <w:r>
        <w:rPr>
          <w:color w:val="231F20"/>
          <w:w w:val="105"/>
        </w:rPr>
        <w:t>una</w:t>
      </w:r>
      <w:r>
        <w:rPr>
          <w:color w:val="231F20"/>
          <w:spacing w:val="-11"/>
          <w:w w:val="105"/>
        </w:rPr>
        <w:t> </w:t>
      </w:r>
      <w:r>
        <w:rPr>
          <w:color w:val="231F20"/>
          <w:w w:val="105"/>
        </w:rPr>
        <w:t>gran</w:t>
      </w:r>
      <w:r>
        <w:rPr>
          <w:color w:val="231F20"/>
          <w:spacing w:val="-11"/>
          <w:w w:val="105"/>
        </w:rPr>
        <w:t> </w:t>
      </w:r>
      <w:r>
        <w:rPr>
          <w:color w:val="231F20"/>
          <w:w w:val="105"/>
        </w:rPr>
        <w:t>cantidad</w:t>
      </w:r>
      <w:r>
        <w:rPr>
          <w:color w:val="231F20"/>
          <w:spacing w:val="-11"/>
          <w:w w:val="105"/>
        </w:rPr>
        <w:t> </w:t>
      </w:r>
      <w:r>
        <w:rPr>
          <w:color w:val="231F20"/>
          <w:w w:val="105"/>
        </w:rPr>
        <w:t>de</w:t>
      </w:r>
      <w:r>
        <w:rPr>
          <w:color w:val="231F20"/>
          <w:spacing w:val="-11"/>
          <w:w w:val="105"/>
        </w:rPr>
        <w:t> </w:t>
      </w:r>
      <w:r>
        <w:rPr>
          <w:color w:val="231F20"/>
          <w:w w:val="105"/>
        </w:rPr>
        <w:t>forraje,</w:t>
      </w:r>
      <w:r>
        <w:rPr>
          <w:color w:val="231F20"/>
          <w:spacing w:val="-16"/>
          <w:w w:val="105"/>
        </w:rPr>
        <w:t> </w:t>
      </w:r>
      <w:r>
        <w:rPr>
          <w:color w:val="231F20"/>
          <w:w w:val="105"/>
        </w:rPr>
        <w:t>la</w:t>
      </w:r>
      <w:r>
        <w:rPr>
          <w:color w:val="231F20"/>
          <w:spacing w:val="-11"/>
          <w:w w:val="105"/>
        </w:rPr>
        <w:t> </w:t>
      </w:r>
      <w:r>
        <w:rPr>
          <w:color w:val="231F20"/>
          <w:w w:val="105"/>
        </w:rPr>
        <w:t>cual</w:t>
      </w:r>
      <w:r>
        <w:rPr>
          <w:color w:val="231F20"/>
          <w:spacing w:val="-11"/>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w w:val="105"/>
        </w:rPr>
        <w:t>aprovecha</w:t>
      </w:r>
      <w:r>
        <w:rPr>
          <w:color w:val="231F20"/>
          <w:spacing w:val="-11"/>
          <w:w w:val="105"/>
        </w:rPr>
        <w:t> </w:t>
      </w:r>
      <w:r>
        <w:rPr>
          <w:color w:val="231F20"/>
          <w:w w:val="105"/>
        </w:rPr>
        <w:t>y</w:t>
      </w:r>
      <w:r>
        <w:rPr>
          <w:color w:val="231F20"/>
          <w:spacing w:val="-11"/>
          <w:w w:val="105"/>
        </w:rPr>
        <w:t> </w:t>
      </w:r>
      <w:r>
        <w:rPr>
          <w:color w:val="231F20"/>
          <w:w w:val="105"/>
        </w:rPr>
        <w:t>se</w:t>
      </w:r>
      <w:r>
        <w:rPr>
          <w:color w:val="231F20"/>
          <w:spacing w:val="-11"/>
          <w:w w:val="105"/>
        </w:rPr>
        <w:t> </w:t>
      </w:r>
      <w:r>
        <w:rPr>
          <w:color w:val="231F20"/>
          <w:w w:val="105"/>
        </w:rPr>
        <w:t>hacen</w:t>
      </w:r>
      <w:r>
        <w:rPr>
          <w:color w:val="231F20"/>
          <w:spacing w:val="-11"/>
          <w:w w:val="105"/>
        </w:rPr>
        <w:t> </w:t>
      </w:r>
      <w:r>
        <w:rPr>
          <w:color w:val="231F20"/>
          <w:w w:val="105"/>
        </w:rPr>
        <w:t>las reservas correspondientes. Ello en parte porque la geografía del muni- cipio no se presta para introducir maquinaria, lo que ayudaría al corte</w:t>
      </w:r>
      <w:r>
        <w:rPr>
          <w:color w:val="231F20"/>
          <w:spacing w:val="-25"/>
          <w:w w:val="105"/>
        </w:rPr>
        <w:t> </w:t>
      </w:r>
      <w:r>
        <w:rPr>
          <w:color w:val="231F20"/>
          <w:w w:val="105"/>
        </w:rPr>
        <w:t>o empaque</w:t>
      </w:r>
      <w:r>
        <w:rPr>
          <w:color w:val="231F20"/>
          <w:spacing w:val="-6"/>
          <w:w w:val="105"/>
        </w:rPr>
        <w:t> </w:t>
      </w:r>
      <w:r>
        <w:rPr>
          <w:color w:val="231F20"/>
          <w:w w:val="105"/>
        </w:rPr>
        <w:t>de</w:t>
      </w:r>
      <w:r>
        <w:rPr>
          <w:color w:val="231F20"/>
          <w:spacing w:val="-5"/>
          <w:w w:val="105"/>
        </w:rPr>
        <w:t> </w:t>
      </w:r>
      <w:r>
        <w:rPr>
          <w:color w:val="231F20"/>
          <w:w w:val="105"/>
        </w:rPr>
        <w:t>pastos.</w:t>
      </w:r>
      <w:r>
        <w:rPr>
          <w:color w:val="231F20"/>
          <w:spacing w:val="-15"/>
          <w:w w:val="105"/>
        </w:rPr>
        <w:t> </w:t>
      </w:r>
      <w:r>
        <w:rPr>
          <w:color w:val="231F20"/>
          <w:spacing w:val="-3"/>
          <w:w w:val="105"/>
        </w:rPr>
        <w:t>Tampoco</w:t>
      </w:r>
      <w:r>
        <w:rPr>
          <w:color w:val="231F20"/>
          <w:spacing w:val="-5"/>
          <w:w w:val="105"/>
        </w:rPr>
        <w:t> </w:t>
      </w:r>
      <w:r>
        <w:rPr>
          <w:color w:val="231F20"/>
          <w:w w:val="105"/>
        </w:rPr>
        <w:t>se</w:t>
      </w:r>
      <w:r>
        <w:rPr>
          <w:color w:val="231F20"/>
          <w:spacing w:val="-5"/>
          <w:w w:val="105"/>
        </w:rPr>
        <w:t> </w:t>
      </w:r>
      <w:r>
        <w:rPr>
          <w:color w:val="231F20"/>
          <w:w w:val="105"/>
        </w:rPr>
        <w:t>han</w:t>
      </w:r>
      <w:r>
        <w:rPr>
          <w:color w:val="231F20"/>
          <w:spacing w:val="-6"/>
          <w:w w:val="105"/>
        </w:rPr>
        <w:t> </w:t>
      </w:r>
      <w:r>
        <w:rPr>
          <w:color w:val="231F20"/>
          <w:w w:val="105"/>
        </w:rPr>
        <w:t>utilizado</w:t>
      </w:r>
      <w:r>
        <w:rPr>
          <w:color w:val="231F20"/>
          <w:spacing w:val="-5"/>
          <w:w w:val="105"/>
        </w:rPr>
        <w:t> </w:t>
      </w:r>
      <w:r>
        <w:rPr>
          <w:color w:val="231F20"/>
          <w:w w:val="105"/>
        </w:rPr>
        <w:t>técnicas</w:t>
      </w:r>
      <w:r>
        <w:rPr>
          <w:color w:val="231F20"/>
          <w:spacing w:val="-5"/>
          <w:w w:val="105"/>
        </w:rPr>
        <w:t> </w:t>
      </w:r>
      <w:r>
        <w:rPr>
          <w:color w:val="231F20"/>
          <w:w w:val="105"/>
        </w:rPr>
        <w:t>que</w:t>
      </w:r>
      <w:r>
        <w:rPr>
          <w:color w:val="231F20"/>
          <w:spacing w:val="-5"/>
          <w:w w:val="105"/>
        </w:rPr>
        <w:t> </w:t>
      </w:r>
      <w:r>
        <w:rPr>
          <w:color w:val="231F20"/>
          <w:w w:val="105"/>
        </w:rPr>
        <w:t>favorezcan la</w:t>
      </w:r>
      <w:r>
        <w:rPr>
          <w:color w:val="231F20"/>
          <w:spacing w:val="-21"/>
          <w:w w:val="105"/>
        </w:rPr>
        <w:t> </w:t>
      </w:r>
      <w:r>
        <w:rPr>
          <w:color w:val="231F20"/>
          <w:w w:val="105"/>
        </w:rPr>
        <w:t>conservación</w:t>
      </w:r>
      <w:r>
        <w:rPr>
          <w:color w:val="231F20"/>
          <w:spacing w:val="-21"/>
          <w:w w:val="105"/>
        </w:rPr>
        <w:t> </w:t>
      </w:r>
      <w:r>
        <w:rPr>
          <w:color w:val="231F20"/>
          <w:w w:val="105"/>
        </w:rPr>
        <w:t>del</w:t>
      </w:r>
      <w:r>
        <w:rPr>
          <w:color w:val="231F20"/>
          <w:spacing w:val="-21"/>
          <w:w w:val="105"/>
        </w:rPr>
        <w:t> </w:t>
      </w:r>
      <w:r>
        <w:rPr>
          <w:color w:val="231F20"/>
          <w:w w:val="105"/>
        </w:rPr>
        <w:t>forraje.</w:t>
      </w:r>
    </w:p>
    <w:p>
      <w:pPr>
        <w:pStyle w:val="BodyText"/>
        <w:spacing w:line="261" w:lineRule="auto" w:before="1"/>
        <w:ind w:left="1723" w:right="1831" w:firstLine="567"/>
        <w:jc w:val="both"/>
      </w:pPr>
      <w:r>
        <w:rPr>
          <w:color w:val="231F20"/>
          <w:spacing w:val="-3"/>
          <w:w w:val="105"/>
        </w:rPr>
        <w:t>Además</w:t>
      </w:r>
      <w:r>
        <w:rPr>
          <w:color w:val="231F20"/>
          <w:spacing w:val="-8"/>
          <w:w w:val="105"/>
        </w:rPr>
        <w:t> </w:t>
      </w:r>
      <w:r>
        <w:rPr>
          <w:color w:val="231F20"/>
          <w:w w:val="105"/>
        </w:rPr>
        <w:t>del</w:t>
      </w:r>
      <w:r>
        <w:rPr>
          <w:color w:val="231F20"/>
          <w:spacing w:val="-8"/>
          <w:w w:val="105"/>
        </w:rPr>
        <w:t> </w:t>
      </w:r>
      <w:r>
        <w:rPr>
          <w:color w:val="231F20"/>
          <w:spacing w:val="-4"/>
          <w:w w:val="105"/>
        </w:rPr>
        <w:t>pastoreo,</w:t>
      </w:r>
      <w:r>
        <w:rPr>
          <w:color w:val="231F20"/>
          <w:spacing w:val="-14"/>
          <w:w w:val="105"/>
        </w:rPr>
        <w:t> </w:t>
      </w:r>
      <w:r>
        <w:rPr>
          <w:color w:val="231F20"/>
          <w:w w:val="105"/>
        </w:rPr>
        <w:t>la</w:t>
      </w:r>
      <w:r>
        <w:rPr>
          <w:color w:val="231F20"/>
          <w:spacing w:val="-8"/>
          <w:w w:val="105"/>
        </w:rPr>
        <w:t> </w:t>
      </w:r>
      <w:r>
        <w:rPr>
          <w:color w:val="231F20"/>
          <w:spacing w:val="-3"/>
          <w:w w:val="105"/>
        </w:rPr>
        <w:t>segunda</w:t>
      </w:r>
      <w:r>
        <w:rPr>
          <w:color w:val="231F20"/>
          <w:spacing w:val="-8"/>
          <w:w w:val="105"/>
        </w:rPr>
        <w:t> </w:t>
      </w:r>
      <w:r>
        <w:rPr>
          <w:color w:val="231F20"/>
          <w:spacing w:val="-3"/>
          <w:w w:val="105"/>
        </w:rPr>
        <w:t>fuente</w:t>
      </w:r>
      <w:r>
        <w:rPr>
          <w:color w:val="231F20"/>
          <w:spacing w:val="-8"/>
          <w:w w:val="105"/>
        </w:rPr>
        <w:t> </w:t>
      </w:r>
      <w:r>
        <w:rPr>
          <w:color w:val="231F20"/>
          <w:w w:val="105"/>
        </w:rPr>
        <w:t>de</w:t>
      </w:r>
      <w:r>
        <w:rPr>
          <w:color w:val="231F20"/>
          <w:spacing w:val="-8"/>
          <w:w w:val="105"/>
        </w:rPr>
        <w:t> </w:t>
      </w:r>
      <w:r>
        <w:rPr>
          <w:color w:val="231F20"/>
          <w:spacing w:val="-3"/>
          <w:w w:val="105"/>
        </w:rPr>
        <w:t>alimentación</w:t>
      </w:r>
      <w:r>
        <w:rPr>
          <w:color w:val="231F20"/>
          <w:spacing w:val="-8"/>
          <w:w w:val="105"/>
        </w:rPr>
        <w:t> </w:t>
      </w:r>
      <w:r>
        <w:rPr>
          <w:color w:val="231F20"/>
          <w:w w:val="105"/>
        </w:rPr>
        <w:t>del</w:t>
      </w:r>
      <w:r>
        <w:rPr>
          <w:color w:val="231F20"/>
          <w:spacing w:val="-8"/>
          <w:w w:val="105"/>
        </w:rPr>
        <w:t> </w:t>
      </w:r>
      <w:r>
        <w:rPr>
          <w:color w:val="231F20"/>
          <w:spacing w:val="-3"/>
          <w:w w:val="105"/>
        </w:rPr>
        <w:t>gana- </w:t>
      </w:r>
      <w:r>
        <w:rPr>
          <w:color w:val="231F20"/>
          <w:w w:val="105"/>
        </w:rPr>
        <w:t>do</w:t>
      </w:r>
      <w:r>
        <w:rPr>
          <w:color w:val="231F20"/>
          <w:spacing w:val="-17"/>
          <w:w w:val="105"/>
        </w:rPr>
        <w:t> </w:t>
      </w:r>
      <w:r>
        <w:rPr>
          <w:color w:val="231F20"/>
          <w:w w:val="105"/>
        </w:rPr>
        <w:t>es</w:t>
      </w:r>
      <w:r>
        <w:rPr>
          <w:color w:val="231F20"/>
          <w:spacing w:val="-17"/>
          <w:w w:val="105"/>
        </w:rPr>
        <w:t> </w:t>
      </w:r>
      <w:r>
        <w:rPr>
          <w:color w:val="231F20"/>
          <w:spacing w:val="-3"/>
          <w:w w:val="105"/>
        </w:rPr>
        <w:t>mazorca</w:t>
      </w:r>
      <w:r>
        <w:rPr>
          <w:color w:val="231F20"/>
          <w:spacing w:val="-17"/>
          <w:w w:val="105"/>
        </w:rPr>
        <w:t> </w:t>
      </w:r>
      <w:r>
        <w:rPr>
          <w:color w:val="231F20"/>
          <w:spacing w:val="-3"/>
          <w:w w:val="105"/>
        </w:rPr>
        <w:t>molida,</w:t>
      </w:r>
      <w:r>
        <w:rPr>
          <w:color w:val="231F20"/>
          <w:spacing w:val="-23"/>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spacing w:val="-3"/>
          <w:w w:val="105"/>
        </w:rPr>
        <w:t>suministra</w:t>
      </w:r>
      <w:r>
        <w:rPr>
          <w:color w:val="231F20"/>
          <w:spacing w:val="-17"/>
          <w:w w:val="105"/>
        </w:rPr>
        <w:t> </w:t>
      </w:r>
      <w:r>
        <w:rPr>
          <w:color w:val="231F20"/>
          <w:w w:val="105"/>
        </w:rPr>
        <w:t>en</w:t>
      </w:r>
      <w:r>
        <w:rPr>
          <w:color w:val="231F20"/>
          <w:spacing w:val="-17"/>
          <w:w w:val="105"/>
        </w:rPr>
        <w:t> </w:t>
      </w:r>
      <w:r>
        <w:rPr>
          <w:color w:val="231F20"/>
          <w:spacing w:val="-3"/>
          <w:w w:val="105"/>
        </w:rPr>
        <w:t>tiempo</w:t>
      </w:r>
      <w:r>
        <w:rPr>
          <w:color w:val="231F20"/>
          <w:spacing w:val="-17"/>
          <w:w w:val="105"/>
        </w:rPr>
        <w:t> </w:t>
      </w:r>
      <w:r>
        <w:rPr>
          <w:color w:val="231F20"/>
          <w:w w:val="105"/>
        </w:rPr>
        <w:t>de</w:t>
      </w:r>
      <w:r>
        <w:rPr>
          <w:color w:val="231F20"/>
          <w:spacing w:val="-17"/>
          <w:w w:val="105"/>
        </w:rPr>
        <w:t> </w:t>
      </w:r>
      <w:r>
        <w:rPr>
          <w:color w:val="231F20"/>
          <w:spacing w:val="-3"/>
          <w:w w:val="105"/>
        </w:rPr>
        <w:t>estiaje,</w:t>
      </w:r>
      <w:r>
        <w:rPr>
          <w:color w:val="231F20"/>
          <w:spacing w:val="-23"/>
          <w:w w:val="105"/>
        </w:rPr>
        <w:t> </w:t>
      </w:r>
      <w:r>
        <w:rPr>
          <w:color w:val="231F20"/>
          <w:spacing w:val="-3"/>
          <w:w w:val="105"/>
        </w:rPr>
        <w:t>durante</w:t>
      </w:r>
      <w:r>
        <w:rPr>
          <w:color w:val="231F20"/>
          <w:spacing w:val="-17"/>
          <w:w w:val="105"/>
        </w:rPr>
        <w:t> </w:t>
      </w:r>
      <w:r>
        <w:rPr>
          <w:color w:val="231F20"/>
          <w:spacing w:val="-3"/>
          <w:w w:val="105"/>
        </w:rPr>
        <w:t>los meses</w:t>
      </w:r>
      <w:r>
        <w:rPr>
          <w:color w:val="231F20"/>
          <w:spacing w:val="-11"/>
          <w:w w:val="105"/>
        </w:rPr>
        <w:t> </w:t>
      </w:r>
      <w:r>
        <w:rPr>
          <w:color w:val="231F20"/>
          <w:w w:val="105"/>
        </w:rPr>
        <w:t>de</w:t>
      </w:r>
      <w:r>
        <w:rPr>
          <w:color w:val="231F20"/>
          <w:spacing w:val="-11"/>
          <w:w w:val="105"/>
        </w:rPr>
        <w:t> </w:t>
      </w:r>
      <w:r>
        <w:rPr>
          <w:color w:val="231F20"/>
          <w:spacing w:val="-4"/>
          <w:w w:val="105"/>
        </w:rPr>
        <w:t>febrero,</w:t>
      </w:r>
      <w:r>
        <w:rPr>
          <w:color w:val="231F20"/>
          <w:spacing w:val="-17"/>
          <w:w w:val="105"/>
        </w:rPr>
        <w:t> </w:t>
      </w:r>
      <w:r>
        <w:rPr>
          <w:color w:val="231F20"/>
          <w:spacing w:val="-3"/>
          <w:w w:val="105"/>
        </w:rPr>
        <w:t>marzo,</w:t>
      </w:r>
      <w:r>
        <w:rPr>
          <w:color w:val="231F20"/>
          <w:spacing w:val="-17"/>
          <w:w w:val="105"/>
        </w:rPr>
        <w:t> </w:t>
      </w:r>
      <w:r>
        <w:rPr>
          <w:color w:val="231F20"/>
          <w:spacing w:val="-3"/>
          <w:w w:val="105"/>
        </w:rPr>
        <w:t>abril</w:t>
      </w:r>
      <w:r>
        <w:rPr>
          <w:color w:val="231F20"/>
          <w:spacing w:val="-11"/>
          <w:w w:val="105"/>
        </w:rPr>
        <w:t> </w:t>
      </w:r>
      <w:r>
        <w:rPr>
          <w:color w:val="231F20"/>
          <w:w w:val="105"/>
        </w:rPr>
        <w:t>y</w:t>
      </w:r>
      <w:r>
        <w:rPr>
          <w:color w:val="231F20"/>
          <w:spacing w:val="-11"/>
          <w:w w:val="105"/>
        </w:rPr>
        <w:t> </w:t>
      </w:r>
      <w:r>
        <w:rPr>
          <w:color w:val="231F20"/>
          <w:spacing w:val="-3"/>
          <w:w w:val="105"/>
        </w:rPr>
        <w:t>mayo.</w:t>
      </w:r>
      <w:r>
        <w:rPr>
          <w:color w:val="231F20"/>
          <w:spacing w:val="-19"/>
          <w:w w:val="105"/>
        </w:rPr>
        <w:t> </w:t>
      </w:r>
      <w:r>
        <w:rPr>
          <w:color w:val="231F20"/>
          <w:w w:val="105"/>
        </w:rPr>
        <w:t>A</w:t>
      </w:r>
      <w:r>
        <w:rPr>
          <w:color w:val="231F20"/>
          <w:spacing w:val="-14"/>
          <w:w w:val="105"/>
        </w:rPr>
        <w:t> </w:t>
      </w:r>
      <w:r>
        <w:rPr>
          <w:color w:val="231F20"/>
          <w:w w:val="105"/>
        </w:rPr>
        <w:t>la</w:t>
      </w:r>
      <w:r>
        <w:rPr>
          <w:color w:val="231F20"/>
          <w:spacing w:val="-11"/>
          <w:w w:val="105"/>
        </w:rPr>
        <w:t> </w:t>
      </w:r>
      <w:r>
        <w:rPr>
          <w:color w:val="231F20"/>
          <w:spacing w:val="-3"/>
          <w:w w:val="105"/>
        </w:rPr>
        <w:t>mazorca</w:t>
      </w:r>
      <w:r>
        <w:rPr>
          <w:color w:val="231F20"/>
          <w:spacing w:val="-11"/>
          <w:w w:val="105"/>
        </w:rPr>
        <w:t> </w:t>
      </w:r>
      <w:r>
        <w:rPr>
          <w:color w:val="231F20"/>
          <w:w w:val="105"/>
        </w:rPr>
        <w:t>se</w:t>
      </w:r>
      <w:r>
        <w:rPr>
          <w:color w:val="231F20"/>
          <w:spacing w:val="-11"/>
          <w:w w:val="105"/>
        </w:rPr>
        <w:t> </w:t>
      </w:r>
      <w:r>
        <w:rPr>
          <w:color w:val="231F20"/>
          <w:w w:val="105"/>
        </w:rPr>
        <w:t>le</w:t>
      </w:r>
      <w:r>
        <w:rPr>
          <w:color w:val="231F20"/>
          <w:spacing w:val="-11"/>
          <w:w w:val="105"/>
        </w:rPr>
        <w:t> </w:t>
      </w:r>
      <w:r>
        <w:rPr>
          <w:color w:val="231F20"/>
          <w:spacing w:val="-3"/>
          <w:w w:val="105"/>
        </w:rPr>
        <w:t>aumentan</w:t>
      </w:r>
      <w:r>
        <w:rPr>
          <w:color w:val="231F20"/>
          <w:spacing w:val="-11"/>
          <w:w w:val="105"/>
        </w:rPr>
        <w:t> </w:t>
      </w:r>
      <w:r>
        <w:rPr>
          <w:color w:val="231F20"/>
          <w:spacing w:val="-3"/>
          <w:w w:val="105"/>
        </w:rPr>
        <w:t>resi- duos</w:t>
      </w:r>
      <w:r>
        <w:rPr>
          <w:color w:val="231F20"/>
          <w:spacing w:val="-22"/>
          <w:w w:val="105"/>
        </w:rPr>
        <w:t> </w:t>
      </w:r>
      <w:r>
        <w:rPr>
          <w:color w:val="231F20"/>
          <w:spacing w:val="-3"/>
          <w:w w:val="105"/>
        </w:rPr>
        <w:t>animales</w:t>
      </w:r>
      <w:r>
        <w:rPr>
          <w:color w:val="231F20"/>
          <w:spacing w:val="-22"/>
          <w:w w:val="105"/>
        </w:rPr>
        <w:t> </w:t>
      </w:r>
      <w:r>
        <w:rPr>
          <w:color w:val="231F20"/>
          <w:spacing w:val="-3"/>
          <w:w w:val="105"/>
        </w:rPr>
        <w:t>como</w:t>
      </w:r>
      <w:r>
        <w:rPr>
          <w:color w:val="231F20"/>
          <w:spacing w:val="-22"/>
          <w:w w:val="105"/>
        </w:rPr>
        <w:t> </w:t>
      </w:r>
      <w:r>
        <w:rPr>
          <w:color w:val="231F20"/>
          <w:spacing w:val="-3"/>
          <w:w w:val="105"/>
        </w:rPr>
        <w:t>“pollinaza</w:t>
      </w:r>
      <w:r>
        <w:rPr>
          <w:color w:val="231F20"/>
          <w:spacing w:val="-3"/>
          <w:w w:val="105"/>
          <w:position w:val="7"/>
          <w:sz w:val="12"/>
        </w:rPr>
        <w:t>6</w:t>
      </w:r>
      <w:r>
        <w:rPr>
          <w:color w:val="231F20"/>
          <w:spacing w:val="-3"/>
          <w:w w:val="105"/>
        </w:rPr>
        <w:t>”</w:t>
      </w:r>
      <w:r>
        <w:rPr>
          <w:color w:val="231F20"/>
          <w:spacing w:val="-22"/>
          <w:w w:val="105"/>
        </w:rPr>
        <w:t> </w:t>
      </w:r>
      <w:r>
        <w:rPr>
          <w:color w:val="231F20"/>
          <w:w w:val="105"/>
        </w:rPr>
        <w:t>a</w:t>
      </w:r>
      <w:r>
        <w:rPr>
          <w:color w:val="231F20"/>
          <w:spacing w:val="-22"/>
          <w:w w:val="105"/>
        </w:rPr>
        <w:t> </w:t>
      </w:r>
      <w:r>
        <w:rPr>
          <w:color w:val="231F20"/>
          <w:w w:val="105"/>
        </w:rPr>
        <w:t>fin</w:t>
      </w:r>
      <w:r>
        <w:rPr>
          <w:color w:val="231F20"/>
          <w:spacing w:val="-22"/>
          <w:w w:val="105"/>
        </w:rPr>
        <w:t> </w:t>
      </w:r>
      <w:r>
        <w:rPr>
          <w:color w:val="231F20"/>
          <w:w w:val="105"/>
        </w:rPr>
        <w:t>de</w:t>
      </w:r>
      <w:r>
        <w:rPr>
          <w:color w:val="231F20"/>
          <w:spacing w:val="-22"/>
          <w:w w:val="105"/>
        </w:rPr>
        <w:t> </w:t>
      </w:r>
      <w:r>
        <w:rPr>
          <w:color w:val="231F20"/>
          <w:spacing w:val="-3"/>
          <w:w w:val="105"/>
        </w:rPr>
        <w:t>incorporar</w:t>
      </w:r>
      <w:r>
        <w:rPr>
          <w:color w:val="231F20"/>
          <w:spacing w:val="-22"/>
          <w:w w:val="105"/>
        </w:rPr>
        <w:t> </w:t>
      </w:r>
      <w:r>
        <w:rPr>
          <w:color w:val="231F20"/>
          <w:w w:val="105"/>
        </w:rPr>
        <w:t>más</w:t>
      </w:r>
      <w:r>
        <w:rPr>
          <w:color w:val="231F20"/>
          <w:spacing w:val="-22"/>
          <w:w w:val="105"/>
        </w:rPr>
        <w:t> </w:t>
      </w:r>
      <w:r>
        <w:rPr>
          <w:color w:val="231F20"/>
          <w:spacing w:val="-3"/>
          <w:w w:val="105"/>
        </w:rPr>
        <w:t>proteína</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spacing w:val="-3"/>
          <w:w w:val="105"/>
        </w:rPr>
        <w:t>dieta </w:t>
      </w:r>
      <w:r>
        <w:rPr>
          <w:color w:val="231F20"/>
          <w:w w:val="105"/>
        </w:rPr>
        <w:t>del</w:t>
      </w:r>
      <w:r>
        <w:rPr>
          <w:color w:val="231F20"/>
          <w:spacing w:val="-7"/>
          <w:w w:val="105"/>
        </w:rPr>
        <w:t> </w:t>
      </w:r>
      <w:r>
        <w:rPr>
          <w:color w:val="231F20"/>
          <w:spacing w:val="-3"/>
          <w:w w:val="105"/>
        </w:rPr>
        <w:t>ganado,</w:t>
      </w:r>
      <w:r>
        <w:rPr>
          <w:color w:val="231F20"/>
          <w:spacing w:val="-13"/>
          <w:w w:val="105"/>
        </w:rPr>
        <w:t> </w:t>
      </w:r>
      <w:r>
        <w:rPr>
          <w:color w:val="231F20"/>
          <w:w w:val="105"/>
        </w:rPr>
        <w:t>ya</w:t>
      </w:r>
      <w:r>
        <w:rPr>
          <w:color w:val="231F20"/>
          <w:spacing w:val="-7"/>
          <w:w w:val="105"/>
        </w:rPr>
        <w:t> </w:t>
      </w:r>
      <w:r>
        <w:rPr>
          <w:color w:val="231F20"/>
          <w:w w:val="105"/>
        </w:rPr>
        <w:t>que</w:t>
      </w:r>
      <w:r>
        <w:rPr>
          <w:color w:val="231F20"/>
          <w:spacing w:val="-7"/>
          <w:w w:val="105"/>
        </w:rPr>
        <w:t> </w:t>
      </w:r>
      <w:r>
        <w:rPr>
          <w:color w:val="231F20"/>
          <w:w w:val="105"/>
        </w:rPr>
        <w:t>el</w:t>
      </w:r>
      <w:r>
        <w:rPr>
          <w:color w:val="231F20"/>
          <w:spacing w:val="-7"/>
          <w:w w:val="105"/>
        </w:rPr>
        <w:t> </w:t>
      </w:r>
      <w:r>
        <w:rPr>
          <w:color w:val="231F20"/>
          <w:spacing w:val="-4"/>
          <w:w w:val="105"/>
        </w:rPr>
        <w:t>rastrojo</w:t>
      </w:r>
      <w:r>
        <w:rPr>
          <w:color w:val="231F20"/>
          <w:spacing w:val="-7"/>
          <w:w w:val="105"/>
        </w:rPr>
        <w:t> </w:t>
      </w:r>
      <w:r>
        <w:rPr>
          <w:color w:val="231F20"/>
          <w:spacing w:val="-3"/>
          <w:w w:val="105"/>
        </w:rPr>
        <w:t>sólo</w:t>
      </w:r>
      <w:r>
        <w:rPr>
          <w:color w:val="231F20"/>
          <w:spacing w:val="-7"/>
          <w:w w:val="105"/>
        </w:rPr>
        <w:t> </w:t>
      </w:r>
      <w:r>
        <w:rPr>
          <w:color w:val="231F20"/>
          <w:spacing w:val="-3"/>
          <w:w w:val="105"/>
        </w:rPr>
        <w:t>brinda</w:t>
      </w:r>
      <w:r>
        <w:rPr>
          <w:color w:val="231F20"/>
          <w:spacing w:val="-7"/>
          <w:w w:val="105"/>
        </w:rPr>
        <w:t> </w:t>
      </w:r>
      <w:r>
        <w:rPr>
          <w:color w:val="231F20"/>
          <w:spacing w:val="-3"/>
          <w:w w:val="105"/>
        </w:rPr>
        <w:t>fibra</w:t>
      </w:r>
      <w:r>
        <w:rPr>
          <w:color w:val="231F20"/>
          <w:spacing w:val="-7"/>
          <w:w w:val="105"/>
        </w:rPr>
        <w:t> </w:t>
      </w:r>
      <w:r>
        <w:rPr>
          <w:color w:val="231F20"/>
          <w:w w:val="105"/>
        </w:rPr>
        <w:t>y</w:t>
      </w:r>
      <w:r>
        <w:rPr>
          <w:color w:val="231F20"/>
          <w:spacing w:val="-7"/>
          <w:w w:val="105"/>
        </w:rPr>
        <w:t> </w:t>
      </w:r>
      <w:r>
        <w:rPr>
          <w:color w:val="231F20"/>
          <w:spacing w:val="-3"/>
          <w:w w:val="105"/>
        </w:rPr>
        <w:t>energía.</w:t>
      </w:r>
      <w:r>
        <w:rPr>
          <w:color w:val="231F20"/>
          <w:spacing w:val="-13"/>
          <w:w w:val="105"/>
        </w:rPr>
        <w:t> </w:t>
      </w:r>
      <w:r>
        <w:rPr>
          <w:color w:val="231F20"/>
          <w:w w:val="105"/>
        </w:rPr>
        <w:t>Es</w:t>
      </w:r>
      <w:r>
        <w:rPr>
          <w:color w:val="231F20"/>
          <w:spacing w:val="-7"/>
          <w:w w:val="105"/>
        </w:rPr>
        <w:t> </w:t>
      </w:r>
      <w:r>
        <w:rPr>
          <w:color w:val="231F20"/>
          <w:spacing w:val="-3"/>
          <w:w w:val="105"/>
        </w:rPr>
        <w:t>poco</w:t>
      </w:r>
      <w:r>
        <w:rPr>
          <w:color w:val="231F20"/>
          <w:spacing w:val="-7"/>
          <w:w w:val="105"/>
        </w:rPr>
        <w:t> </w:t>
      </w:r>
      <w:r>
        <w:rPr>
          <w:color w:val="231F20"/>
          <w:spacing w:val="-3"/>
          <w:w w:val="105"/>
        </w:rPr>
        <w:t>común moler</w:t>
      </w:r>
      <w:r>
        <w:rPr>
          <w:color w:val="231F20"/>
          <w:spacing w:val="-14"/>
          <w:w w:val="105"/>
        </w:rPr>
        <w:t> </w:t>
      </w:r>
      <w:r>
        <w:rPr>
          <w:color w:val="231F20"/>
          <w:w w:val="105"/>
        </w:rPr>
        <w:t>el</w:t>
      </w:r>
      <w:r>
        <w:rPr>
          <w:color w:val="231F20"/>
          <w:spacing w:val="-14"/>
          <w:w w:val="105"/>
        </w:rPr>
        <w:t> </w:t>
      </w:r>
      <w:r>
        <w:rPr>
          <w:color w:val="231F20"/>
          <w:spacing w:val="-4"/>
          <w:w w:val="105"/>
        </w:rPr>
        <w:t>rastrojo;</w:t>
      </w:r>
      <w:r>
        <w:rPr>
          <w:color w:val="231F20"/>
          <w:spacing w:val="-14"/>
          <w:w w:val="105"/>
        </w:rPr>
        <w:t> </w:t>
      </w:r>
      <w:r>
        <w:rPr>
          <w:color w:val="231F20"/>
          <w:w w:val="105"/>
        </w:rPr>
        <w:t>la</w:t>
      </w:r>
      <w:r>
        <w:rPr>
          <w:color w:val="231F20"/>
          <w:spacing w:val="-14"/>
          <w:w w:val="105"/>
        </w:rPr>
        <w:t> </w:t>
      </w:r>
      <w:r>
        <w:rPr>
          <w:color w:val="231F20"/>
          <w:spacing w:val="-3"/>
          <w:w w:val="105"/>
        </w:rPr>
        <w:t>mayoría</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spacing w:val="-4"/>
          <w:w w:val="105"/>
        </w:rPr>
        <w:t>productores</w:t>
      </w:r>
      <w:r>
        <w:rPr>
          <w:color w:val="231F20"/>
          <w:spacing w:val="-14"/>
          <w:w w:val="105"/>
        </w:rPr>
        <w:t> </w:t>
      </w:r>
      <w:r>
        <w:rPr>
          <w:color w:val="231F20"/>
          <w:w w:val="105"/>
        </w:rPr>
        <w:t>lo</w:t>
      </w:r>
      <w:r>
        <w:rPr>
          <w:color w:val="231F20"/>
          <w:spacing w:val="-14"/>
          <w:w w:val="105"/>
        </w:rPr>
        <w:t> </w:t>
      </w:r>
      <w:r>
        <w:rPr>
          <w:color w:val="231F20"/>
          <w:spacing w:val="-3"/>
          <w:w w:val="105"/>
        </w:rPr>
        <w:t>dejan</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terreno</w:t>
      </w:r>
      <w:r>
        <w:rPr>
          <w:color w:val="231F20"/>
          <w:spacing w:val="-14"/>
          <w:w w:val="105"/>
        </w:rPr>
        <w:t> </w:t>
      </w:r>
      <w:r>
        <w:rPr>
          <w:color w:val="231F20"/>
          <w:spacing w:val="-3"/>
          <w:w w:val="105"/>
        </w:rPr>
        <w:t>para pastoreo</w:t>
      </w:r>
      <w:r>
        <w:rPr>
          <w:color w:val="231F20"/>
          <w:spacing w:val="-18"/>
          <w:w w:val="105"/>
        </w:rPr>
        <w:t> </w:t>
      </w:r>
      <w:r>
        <w:rPr>
          <w:color w:val="231F20"/>
          <w:w w:val="105"/>
        </w:rPr>
        <w:t>y</w:t>
      </w:r>
      <w:r>
        <w:rPr>
          <w:color w:val="231F20"/>
          <w:spacing w:val="-18"/>
          <w:w w:val="105"/>
        </w:rPr>
        <w:t> </w:t>
      </w:r>
      <w:r>
        <w:rPr>
          <w:color w:val="231F20"/>
          <w:spacing w:val="-3"/>
          <w:w w:val="105"/>
        </w:rPr>
        <w:t>para</w:t>
      </w:r>
      <w:r>
        <w:rPr>
          <w:color w:val="231F20"/>
          <w:spacing w:val="-18"/>
          <w:w w:val="105"/>
        </w:rPr>
        <w:t> </w:t>
      </w:r>
      <w:r>
        <w:rPr>
          <w:color w:val="231F20"/>
          <w:spacing w:val="-4"/>
          <w:w w:val="105"/>
        </w:rPr>
        <w:t>reincorporar</w:t>
      </w:r>
      <w:r>
        <w:rPr>
          <w:color w:val="231F20"/>
          <w:spacing w:val="-18"/>
          <w:w w:val="105"/>
        </w:rPr>
        <w:t> </w:t>
      </w:r>
      <w:r>
        <w:rPr>
          <w:color w:val="231F20"/>
          <w:spacing w:val="-3"/>
          <w:w w:val="105"/>
        </w:rPr>
        <w:t>materia</w:t>
      </w:r>
      <w:r>
        <w:rPr>
          <w:color w:val="231F20"/>
          <w:spacing w:val="-18"/>
          <w:w w:val="105"/>
        </w:rPr>
        <w:t> </w:t>
      </w:r>
      <w:r>
        <w:rPr>
          <w:color w:val="231F20"/>
          <w:spacing w:val="-3"/>
          <w:w w:val="105"/>
        </w:rPr>
        <w:t>orgánica</w:t>
      </w:r>
      <w:r>
        <w:rPr>
          <w:color w:val="231F20"/>
          <w:spacing w:val="-18"/>
          <w:w w:val="105"/>
        </w:rPr>
        <w:t> </w:t>
      </w:r>
      <w:r>
        <w:rPr>
          <w:color w:val="231F20"/>
          <w:w w:val="105"/>
        </w:rPr>
        <w:t>al</w:t>
      </w:r>
      <w:r>
        <w:rPr>
          <w:color w:val="231F20"/>
          <w:spacing w:val="-18"/>
          <w:w w:val="105"/>
        </w:rPr>
        <w:t> </w:t>
      </w:r>
      <w:r>
        <w:rPr>
          <w:color w:val="231F20"/>
          <w:spacing w:val="-3"/>
          <w:w w:val="105"/>
        </w:rPr>
        <w:t>suelo.</w:t>
      </w:r>
      <w:r>
        <w:rPr>
          <w:color w:val="231F20"/>
          <w:spacing w:val="-23"/>
          <w:w w:val="105"/>
        </w:rPr>
        <w:t> </w:t>
      </w:r>
      <w:r>
        <w:rPr>
          <w:color w:val="231F20"/>
          <w:w w:val="105"/>
        </w:rPr>
        <w:t>Una</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spacing w:val="-3"/>
          <w:w w:val="105"/>
        </w:rPr>
        <w:t>fuentes </w:t>
      </w:r>
      <w:r>
        <w:rPr>
          <w:color w:val="231F20"/>
          <w:w w:val="105"/>
        </w:rPr>
        <w:t>de </w:t>
      </w:r>
      <w:r>
        <w:rPr>
          <w:color w:val="231F20"/>
          <w:spacing w:val="-3"/>
          <w:w w:val="105"/>
        </w:rPr>
        <w:t>ingreso </w:t>
      </w:r>
      <w:r>
        <w:rPr>
          <w:color w:val="231F20"/>
          <w:w w:val="105"/>
        </w:rPr>
        <w:t>en </w:t>
      </w:r>
      <w:r>
        <w:rPr>
          <w:color w:val="231F20"/>
          <w:spacing w:val="-3"/>
          <w:w w:val="105"/>
        </w:rPr>
        <w:t>efectivo para </w:t>
      </w:r>
      <w:r>
        <w:rPr>
          <w:color w:val="231F20"/>
          <w:w w:val="105"/>
        </w:rPr>
        <w:t>los </w:t>
      </w:r>
      <w:r>
        <w:rPr>
          <w:color w:val="231F20"/>
          <w:spacing w:val="-4"/>
          <w:w w:val="105"/>
        </w:rPr>
        <w:t>productores </w:t>
      </w:r>
      <w:r>
        <w:rPr>
          <w:color w:val="231F20"/>
          <w:w w:val="105"/>
        </w:rPr>
        <w:t>de </w:t>
      </w:r>
      <w:r>
        <w:rPr>
          <w:color w:val="231F20"/>
          <w:spacing w:val="-3"/>
          <w:w w:val="105"/>
        </w:rPr>
        <w:t>Santiago </w:t>
      </w:r>
      <w:r>
        <w:rPr>
          <w:color w:val="231F20"/>
          <w:w w:val="105"/>
        </w:rPr>
        <w:t>es la </w:t>
      </w:r>
      <w:r>
        <w:rPr>
          <w:color w:val="231F20"/>
          <w:spacing w:val="-3"/>
          <w:w w:val="105"/>
        </w:rPr>
        <w:t>venta de ganado bovino. Estos recursos </w:t>
      </w:r>
      <w:r>
        <w:rPr>
          <w:color w:val="231F20"/>
          <w:w w:val="105"/>
        </w:rPr>
        <w:t>son </w:t>
      </w:r>
      <w:r>
        <w:rPr>
          <w:color w:val="231F20"/>
          <w:spacing w:val="-3"/>
          <w:w w:val="105"/>
        </w:rPr>
        <w:t>utilizados para </w:t>
      </w:r>
      <w:r>
        <w:rPr>
          <w:color w:val="231F20"/>
          <w:w w:val="105"/>
        </w:rPr>
        <w:t>la </w:t>
      </w:r>
      <w:r>
        <w:rPr>
          <w:color w:val="231F20"/>
          <w:spacing w:val="-3"/>
          <w:w w:val="105"/>
        </w:rPr>
        <w:t>compra </w:t>
      </w:r>
      <w:r>
        <w:rPr>
          <w:color w:val="231F20"/>
          <w:w w:val="105"/>
        </w:rPr>
        <w:t>de </w:t>
      </w:r>
      <w:r>
        <w:rPr>
          <w:color w:val="231F20"/>
          <w:spacing w:val="-3"/>
          <w:w w:val="105"/>
        </w:rPr>
        <w:t>bienes </w:t>
      </w:r>
      <w:r>
        <w:rPr>
          <w:color w:val="231F20"/>
          <w:w w:val="105"/>
        </w:rPr>
        <w:t>de</w:t>
      </w:r>
      <w:r>
        <w:rPr>
          <w:color w:val="231F20"/>
          <w:spacing w:val="-19"/>
          <w:w w:val="105"/>
        </w:rPr>
        <w:t> </w:t>
      </w:r>
      <w:r>
        <w:rPr>
          <w:color w:val="231F20"/>
          <w:spacing w:val="-3"/>
          <w:w w:val="105"/>
        </w:rPr>
        <w:t>consumo</w:t>
      </w:r>
      <w:r>
        <w:rPr>
          <w:color w:val="231F20"/>
          <w:spacing w:val="-19"/>
          <w:w w:val="105"/>
        </w:rPr>
        <w:t> </w:t>
      </w:r>
      <w:r>
        <w:rPr>
          <w:color w:val="231F20"/>
          <w:spacing w:val="-3"/>
          <w:w w:val="105"/>
        </w:rPr>
        <w:t>básico,</w:t>
      </w:r>
      <w:r>
        <w:rPr>
          <w:color w:val="231F20"/>
          <w:spacing w:val="-24"/>
          <w:w w:val="105"/>
        </w:rPr>
        <w:t> </w:t>
      </w:r>
      <w:r>
        <w:rPr>
          <w:color w:val="231F20"/>
          <w:spacing w:val="-3"/>
          <w:w w:val="105"/>
        </w:rPr>
        <w:t>insumos</w:t>
      </w:r>
      <w:r>
        <w:rPr>
          <w:color w:val="231F20"/>
          <w:spacing w:val="-19"/>
          <w:w w:val="105"/>
        </w:rPr>
        <w:t> </w:t>
      </w:r>
      <w:r>
        <w:rPr>
          <w:color w:val="231F20"/>
          <w:spacing w:val="-3"/>
          <w:w w:val="105"/>
        </w:rPr>
        <w:t>para</w:t>
      </w:r>
      <w:r>
        <w:rPr>
          <w:color w:val="231F20"/>
          <w:spacing w:val="-19"/>
          <w:w w:val="105"/>
        </w:rPr>
        <w:t> </w:t>
      </w:r>
      <w:r>
        <w:rPr>
          <w:color w:val="231F20"/>
          <w:w w:val="105"/>
        </w:rPr>
        <w:t>la</w:t>
      </w:r>
      <w:r>
        <w:rPr>
          <w:color w:val="231F20"/>
          <w:spacing w:val="-19"/>
          <w:w w:val="105"/>
        </w:rPr>
        <w:t> </w:t>
      </w:r>
      <w:r>
        <w:rPr>
          <w:color w:val="231F20"/>
          <w:spacing w:val="-3"/>
          <w:w w:val="105"/>
        </w:rPr>
        <w:t>agricultura</w:t>
      </w:r>
      <w:r>
        <w:rPr>
          <w:color w:val="231F20"/>
          <w:spacing w:val="-19"/>
          <w:w w:val="105"/>
        </w:rPr>
        <w:t> </w:t>
      </w:r>
      <w:r>
        <w:rPr>
          <w:color w:val="231F20"/>
          <w:w w:val="105"/>
        </w:rPr>
        <w:t>y</w:t>
      </w:r>
      <w:r>
        <w:rPr>
          <w:color w:val="231F20"/>
          <w:spacing w:val="-19"/>
          <w:w w:val="105"/>
        </w:rPr>
        <w:t> </w:t>
      </w:r>
      <w:r>
        <w:rPr>
          <w:color w:val="231F20"/>
          <w:spacing w:val="-3"/>
          <w:w w:val="105"/>
        </w:rPr>
        <w:t>para</w:t>
      </w:r>
      <w:r>
        <w:rPr>
          <w:color w:val="231F20"/>
          <w:spacing w:val="-19"/>
          <w:w w:val="105"/>
        </w:rPr>
        <w:t> </w:t>
      </w:r>
      <w:r>
        <w:rPr>
          <w:color w:val="231F20"/>
          <w:w w:val="105"/>
        </w:rPr>
        <w:t>el</w:t>
      </w:r>
      <w:r>
        <w:rPr>
          <w:color w:val="231F20"/>
          <w:spacing w:val="-19"/>
          <w:w w:val="105"/>
        </w:rPr>
        <w:t> </w:t>
      </w:r>
      <w:r>
        <w:rPr>
          <w:color w:val="231F20"/>
          <w:spacing w:val="-3"/>
          <w:w w:val="105"/>
        </w:rPr>
        <w:t>pago</w:t>
      </w:r>
      <w:r>
        <w:rPr>
          <w:color w:val="231F20"/>
          <w:spacing w:val="-19"/>
          <w:w w:val="105"/>
        </w:rPr>
        <w:t> </w:t>
      </w:r>
      <w:r>
        <w:rPr>
          <w:color w:val="231F20"/>
          <w:w w:val="105"/>
        </w:rPr>
        <w:t>de</w:t>
      </w:r>
      <w:r>
        <w:rPr>
          <w:color w:val="231F20"/>
          <w:spacing w:val="-19"/>
          <w:w w:val="105"/>
        </w:rPr>
        <w:t> </w:t>
      </w:r>
      <w:r>
        <w:rPr>
          <w:color w:val="231F20"/>
          <w:spacing w:val="-3"/>
          <w:w w:val="105"/>
        </w:rPr>
        <w:t>peones.</w:t>
      </w:r>
    </w:p>
    <w:p>
      <w:pPr>
        <w:pStyle w:val="BodyText"/>
        <w:rPr>
          <w:sz w:val="20"/>
        </w:rPr>
      </w:pPr>
    </w:p>
    <w:p>
      <w:pPr>
        <w:pStyle w:val="BodyText"/>
        <w:spacing w:before="9"/>
        <w:rPr>
          <w:sz w:val="20"/>
        </w:rPr>
      </w:pPr>
    </w:p>
    <w:p>
      <w:pPr>
        <w:pStyle w:val="Heading3"/>
        <w:ind w:left="1723"/>
      </w:pPr>
      <w:r>
        <w:rPr>
          <w:color w:val="231F20"/>
        </w:rPr>
        <w:t>La Migración en Santiago, Amatepec</w:t>
      </w:r>
    </w:p>
    <w:p>
      <w:pPr>
        <w:pStyle w:val="BodyText"/>
        <w:rPr>
          <w:rFonts w:ascii="Arial"/>
          <w:b/>
          <w:sz w:val="22"/>
        </w:rPr>
      </w:pPr>
    </w:p>
    <w:p>
      <w:pPr>
        <w:pStyle w:val="BodyText"/>
        <w:spacing w:line="261" w:lineRule="auto" w:before="163"/>
        <w:ind w:left="1723" w:right="1834"/>
        <w:jc w:val="both"/>
      </w:pPr>
      <w:r>
        <w:rPr>
          <w:color w:val="231F20"/>
          <w:w w:val="105"/>
        </w:rPr>
        <w:t>La</w:t>
      </w:r>
      <w:r>
        <w:rPr>
          <w:color w:val="231F20"/>
          <w:spacing w:val="-6"/>
          <w:w w:val="105"/>
        </w:rPr>
        <w:t> </w:t>
      </w:r>
      <w:r>
        <w:rPr>
          <w:color w:val="231F20"/>
          <w:w w:val="105"/>
        </w:rPr>
        <w:t>comunidad</w:t>
      </w:r>
      <w:r>
        <w:rPr>
          <w:color w:val="231F20"/>
          <w:spacing w:val="-6"/>
          <w:w w:val="105"/>
        </w:rPr>
        <w:t> </w:t>
      </w:r>
      <w:r>
        <w:rPr>
          <w:color w:val="231F20"/>
          <w:w w:val="105"/>
        </w:rPr>
        <w:t>de</w:t>
      </w:r>
      <w:r>
        <w:rPr>
          <w:color w:val="231F20"/>
          <w:spacing w:val="-6"/>
          <w:w w:val="105"/>
        </w:rPr>
        <w:t> </w:t>
      </w:r>
      <w:r>
        <w:rPr>
          <w:color w:val="231F20"/>
          <w:w w:val="105"/>
        </w:rPr>
        <w:t>Santiago</w:t>
      </w:r>
      <w:r>
        <w:rPr>
          <w:color w:val="231F20"/>
          <w:spacing w:val="-6"/>
          <w:w w:val="105"/>
        </w:rPr>
        <w:t> </w:t>
      </w:r>
      <w:r>
        <w:rPr>
          <w:color w:val="231F20"/>
          <w:w w:val="105"/>
        </w:rPr>
        <w:t>se</w:t>
      </w:r>
      <w:r>
        <w:rPr>
          <w:color w:val="231F20"/>
          <w:spacing w:val="-6"/>
          <w:w w:val="105"/>
        </w:rPr>
        <w:t> </w:t>
      </w:r>
      <w:r>
        <w:rPr>
          <w:color w:val="231F20"/>
          <w:w w:val="105"/>
        </w:rPr>
        <w:t>encuentra</w:t>
      </w:r>
      <w:r>
        <w:rPr>
          <w:color w:val="231F20"/>
          <w:spacing w:val="-6"/>
          <w:w w:val="105"/>
        </w:rPr>
        <w:t> </w:t>
      </w:r>
      <w:r>
        <w:rPr>
          <w:color w:val="231F20"/>
          <w:w w:val="105"/>
        </w:rPr>
        <w:t>ubicada</w:t>
      </w:r>
      <w:r>
        <w:rPr>
          <w:color w:val="231F20"/>
          <w:spacing w:val="-6"/>
          <w:w w:val="105"/>
        </w:rPr>
        <w:t> </w:t>
      </w:r>
      <w:r>
        <w:rPr>
          <w:color w:val="231F20"/>
          <w:w w:val="105"/>
        </w:rPr>
        <w:t>a</w:t>
      </w:r>
      <w:r>
        <w:rPr>
          <w:color w:val="231F20"/>
          <w:spacing w:val="-6"/>
          <w:w w:val="105"/>
        </w:rPr>
        <w:t> </w:t>
      </w:r>
      <w:r>
        <w:rPr>
          <w:color w:val="231F20"/>
          <w:w w:val="105"/>
        </w:rPr>
        <w:t>tan</w:t>
      </w:r>
      <w:r>
        <w:rPr>
          <w:color w:val="231F20"/>
          <w:spacing w:val="-6"/>
          <w:w w:val="105"/>
        </w:rPr>
        <w:t> </w:t>
      </w:r>
      <w:r>
        <w:rPr>
          <w:color w:val="231F20"/>
          <w:w w:val="105"/>
        </w:rPr>
        <w:t>sólo</w:t>
      </w:r>
      <w:r>
        <w:rPr>
          <w:color w:val="231F20"/>
          <w:spacing w:val="-6"/>
          <w:w w:val="105"/>
        </w:rPr>
        <w:t> </w:t>
      </w:r>
      <w:r>
        <w:rPr>
          <w:color w:val="231F20"/>
          <w:w w:val="105"/>
        </w:rPr>
        <w:t>25</w:t>
      </w:r>
      <w:r>
        <w:rPr>
          <w:color w:val="231F20"/>
          <w:spacing w:val="-6"/>
          <w:w w:val="105"/>
        </w:rPr>
        <w:t> </w:t>
      </w:r>
      <w:r>
        <w:rPr>
          <w:color w:val="231F20"/>
          <w:w w:val="105"/>
        </w:rPr>
        <w:t>km</w:t>
      </w:r>
      <w:r>
        <w:rPr>
          <w:color w:val="231F20"/>
          <w:spacing w:val="-6"/>
          <w:w w:val="105"/>
        </w:rPr>
        <w:t> </w:t>
      </w:r>
      <w:r>
        <w:rPr>
          <w:color w:val="231F20"/>
          <w:w w:val="105"/>
        </w:rPr>
        <w:t>de</w:t>
      </w:r>
      <w:r>
        <w:rPr>
          <w:color w:val="231F20"/>
          <w:spacing w:val="-6"/>
          <w:w w:val="105"/>
        </w:rPr>
        <w:t> </w:t>
      </w:r>
      <w:r>
        <w:rPr>
          <w:color w:val="231F20"/>
          <w:w w:val="105"/>
        </w:rPr>
        <w:t>la cabecera</w:t>
      </w:r>
      <w:r>
        <w:rPr>
          <w:color w:val="231F20"/>
          <w:spacing w:val="-27"/>
          <w:w w:val="105"/>
        </w:rPr>
        <w:t> </w:t>
      </w:r>
      <w:r>
        <w:rPr>
          <w:color w:val="231F20"/>
          <w:w w:val="105"/>
        </w:rPr>
        <w:t>municipal.</w:t>
      </w:r>
      <w:r>
        <w:rPr>
          <w:color w:val="231F20"/>
          <w:spacing w:val="-31"/>
          <w:w w:val="105"/>
        </w:rPr>
        <w:t> </w:t>
      </w:r>
      <w:r>
        <w:rPr>
          <w:color w:val="231F20"/>
          <w:w w:val="105"/>
        </w:rPr>
        <w:t>Sin</w:t>
      </w:r>
      <w:r>
        <w:rPr>
          <w:color w:val="231F20"/>
          <w:spacing w:val="-27"/>
          <w:w w:val="105"/>
        </w:rPr>
        <w:t> </w:t>
      </w:r>
      <w:r>
        <w:rPr>
          <w:color w:val="231F20"/>
          <w:w w:val="105"/>
        </w:rPr>
        <w:t>embargo,</w:t>
      </w:r>
      <w:r>
        <w:rPr>
          <w:color w:val="231F20"/>
          <w:spacing w:val="-31"/>
          <w:w w:val="105"/>
        </w:rPr>
        <w:t> </w:t>
      </w:r>
      <w:r>
        <w:rPr>
          <w:color w:val="231F20"/>
          <w:w w:val="105"/>
        </w:rPr>
        <w:t>para</w:t>
      </w:r>
      <w:r>
        <w:rPr>
          <w:color w:val="231F20"/>
          <w:spacing w:val="-27"/>
          <w:w w:val="105"/>
        </w:rPr>
        <w:t> </w:t>
      </w:r>
      <w:r>
        <w:rPr>
          <w:color w:val="231F20"/>
          <w:w w:val="105"/>
        </w:rPr>
        <w:t>llegar</w:t>
      </w:r>
      <w:r>
        <w:rPr>
          <w:color w:val="231F20"/>
          <w:spacing w:val="-27"/>
          <w:w w:val="105"/>
        </w:rPr>
        <w:t> </w:t>
      </w:r>
      <w:r>
        <w:rPr>
          <w:color w:val="231F20"/>
          <w:w w:val="105"/>
        </w:rPr>
        <w:t>a</w:t>
      </w:r>
      <w:r>
        <w:rPr>
          <w:color w:val="231F20"/>
          <w:spacing w:val="-27"/>
          <w:w w:val="105"/>
        </w:rPr>
        <w:t> </w:t>
      </w:r>
      <w:r>
        <w:rPr>
          <w:color w:val="231F20"/>
          <w:w w:val="105"/>
        </w:rPr>
        <w:t>esta</w:t>
      </w:r>
      <w:r>
        <w:rPr>
          <w:color w:val="231F20"/>
          <w:spacing w:val="-27"/>
          <w:w w:val="105"/>
        </w:rPr>
        <w:t> </w:t>
      </w:r>
      <w:r>
        <w:rPr>
          <w:color w:val="231F20"/>
          <w:w w:val="105"/>
        </w:rPr>
        <w:t>localidad</w:t>
      </w:r>
      <w:r>
        <w:rPr>
          <w:color w:val="231F20"/>
          <w:spacing w:val="-27"/>
          <w:w w:val="105"/>
        </w:rPr>
        <w:t> </w:t>
      </w:r>
      <w:r>
        <w:rPr>
          <w:color w:val="231F20"/>
          <w:w w:val="105"/>
        </w:rPr>
        <w:t>se</w:t>
      </w:r>
      <w:r>
        <w:rPr>
          <w:color w:val="231F20"/>
          <w:spacing w:val="-27"/>
          <w:w w:val="105"/>
        </w:rPr>
        <w:t> </w:t>
      </w:r>
      <w:r>
        <w:rPr>
          <w:color w:val="231F20"/>
          <w:w w:val="105"/>
        </w:rPr>
        <w:t>requiere de aproximadamente 40 minutos por el mal estado de la carretera, que cuenta</w:t>
      </w:r>
      <w:r>
        <w:rPr>
          <w:color w:val="231F20"/>
          <w:spacing w:val="-11"/>
          <w:w w:val="105"/>
        </w:rPr>
        <w:t> </w:t>
      </w:r>
      <w:r>
        <w:rPr>
          <w:color w:val="231F20"/>
          <w:w w:val="105"/>
        </w:rPr>
        <w:t>con</w:t>
      </w:r>
      <w:r>
        <w:rPr>
          <w:color w:val="231F20"/>
          <w:spacing w:val="-11"/>
          <w:w w:val="105"/>
        </w:rPr>
        <w:t> </w:t>
      </w:r>
      <w:r>
        <w:rPr>
          <w:color w:val="231F20"/>
          <w:w w:val="105"/>
        </w:rPr>
        <w:t>20</w:t>
      </w:r>
      <w:r>
        <w:rPr>
          <w:color w:val="231F20"/>
          <w:spacing w:val="-11"/>
          <w:w w:val="105"/>
        </w:rPr>
        <w:t> </w:t>
      </w:r>
      <w:r>
        <w:rPr>
          <w:color w:val="231F20"/>
          <w:w w:val="105"/>
        </w:rPr>
        <w:t>km</w:t>
      </w:r>
      <w:r>
        <w:rPr>
          <w:color w:val="231F20"/>
          <w:spacing w:val="-11"/>
          <w:w w:val="105"/>
        </w:rPr>
        <w:t> </w:t>
      </w:r>
      <w:r>
        <w:rPr>
          <w:color w:val="231F20"/>
          <w:w w:val="105"/>
        </w:rPr>
        <w:t>de</w:t>
      </w:r>
      <w:r>
        <w:rPr>
          <w:color w:val="231F20"/>
          <w:spacing w:val="-11"/>
          <w:w w:val="105"/>
        </w:rPr>
        <w:t> </w:t>
      </w:r>
      <w:r>
        <w:rPr>
          <w:color w:val="231F20"/>
          <w:w w:val="105"/>
        </w:rPr>
        <w:t>pavimento</w:t>
      </w:r>
      <w:r>
        <w:rPr>
          <w:color w:val="231F20"/>
          <w:spacing w:val="-11"/>
          <w:w w:val="105"/>
        </w:rPr>
        <w:t> </w:t>
      </w:r>
      <w:r>
        <w:rPr>
          <w:color w:val="231F20"/>
          <w:w w:val="105"/>
        </w:rPr>
        <w:t>y</w:t>
      </w:r>
      <w:r>
        <w:rPr>
          <w:color w:val="231F20"/>
          <w:spacing w:val="-11"/>
          <w:w w:val="105"/>
        </w:rPr>
        <w:t> </w:t>
      </w:r>
      <w:r>
        <w:rPr>
          <w:color w:val="231F20"/>
          <w:w w:val="105"/>
        </w:rPr>
        <w:t>5</w:t>
      </w:r>
      <w:r>
        <w:rPr>
          <w:color w:val="231F20"/>
          <w:spacing w:val="-11"/>
          <w:w w:val="105"/>
        </w:rPr>
        <w:t> </w:t>
      </w:r>
      <w:r>
        <w:rPr>
          <w:color w:val="231F20"/>
          <w:w w:val="105"/>
        </w:rPr>
        <w:t>km</w:t>
      </w:r>
      <w:r>
        <w:rPr>
          <w:color w:val="231F20"/>
          <w:spacing w:val="-11"/>
          <w:w w:val="105"/>
        </w:rPr>
        <w:t> </w:t>
      </w:r>
      <w:r>
        <w:rPr>
          <w:color w:val="231F20"/>
          <w:w w:val="105"/>
        </w:rPr>
        <w:t>de</w:t>
      </w:r>
      <w:r>
        <w:rPr>
          <w:color w:val="231F20"/>
          <w:spacing w:val="-11"/>
          <w:w w:val="105"/>
        </w:rPr>
        <w:t> </w:t>
      </w:r>
      <w:r>
        <w:rPr>
          <w:color w:val="231F20"/>
          <w:w w:val="105"/>
        </w:rPr>
        <w:t>terracería.</w:t>
      </w:r>
    </w:p>
    <w:p>
      <w:pPr>
        <w:pStyle w:val="BodyText"/>
        <w:spacing w:line="261" w:lineRule="auto" w:before="1"/>
        <w:ind w:left="1723" w:right="1829" w:firstLine="567"/>
        <w:jc w:val="both"/>
      </w:pPr>
      <w:r>
        <w:rPr>
          <w:color w:val="231F20"/>
          <w:w w:val="105"/>
        </w:rPr>
        <w:t>Amatepec es uno de los municipios del Estado de México con al- tos</w:t>
      </w:r>
      <w:r>
        <w:rPr>
          <w:color w:val="231F20"/>
          <w:spacing w:val="-6"/>
          <w:w w:val="105"/>
        </w:rPr>
        <w:t> </w:t>
      </w:r>
      <w:r>
        <w:rPr>
          <w:color w:val="231F20"/>
          <w:w w:val="105"/>
        </w:rPr>
        <w:t>niveles</w:t>
      </w:r>
      <w:r>
        <w:rPr>
          <w:color w:val="231F20"/>
          <w:spacing w:val="-6"/>
          <w:w w:val="105"/>
        </w:rPr>
        <w:t> </w:t>
      </w:r>
      <w:r>
        <w:rPr>
          <w:color w:val="231F20"/>
          <w:w w:val="105"/>
        </w:rPr>
        <w:t>de</w:t>
      </w:r>
      <w:r>
        <w:rPr>
          <w:color w:val="231F20"/>
          <w:spacing w:val="-6"/>
          <w:w w:val="105"/>
        </w:rPr>
        <w:t> </w:t>
      </w:r>
      <w:r>
        <w:rPr>
          <w:color w:val="231F20"/>
          <w:w w:val="105"/>
        </w:rPr>
        <w:t>marginación.</w:t>
      </w:r>
      <w:r>
        <w:rPr>
          <w:color w:val="231F20"/>
          <w:spacing w:val="-13"/>
          <w:w w:val="105"/>
        </w:rPr>
        <w:t> </w:t>
      </w:r>
      <w:r>
        <w:rPr>
          <w:color w:val="231F20"/>
          <w:w w:val="105"/>
        </w:rPr>
        <w:t>De</w:t>
      </w:r>
      <w:r>
        <w:rPr>
          <w:color w:val="231F20"/>
          <w:spacing w:val="-6"/>
          <w:w w:val="105"/>
        </w:rPr>
        <w:t> </w:t>
      </w:r>
      <w:r>
        <w:rPr>
          <w:color w:val="231F20"/>
          <w:w w:val="105"/>
        </w:rPr>
        <w:t>acuerdo</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Consejo</w:t>
      </w:r>
      <w:r>
        <w:rPr>
          <w:color w:val="231F20"/>
          <w:spacing w:val="-6"/>
          <w:w w:val="105"/>
        </w:rPr>
        <w:t> </w:t>
      </w:r>
      <w:r>
        <w:rPr>
          <w:color w:val="231F20"/>
          <w:w w:val="105"/>
        </w:rPr>
        <w:t>Nacional</w:t>
      </w:r>
      <w:r>
        <w:rPr>
          <w:color w:val="231F20"/>
          <w:spacing w:val="-6"/>
          <w:w w:val="105"/>
        </w:rPr>
        <w:t> </w:t>
      </w:r>
      <w:r>
        <w:rPr>
          <w:color w:val="231F20"/>
          <w:w w:val="105"/>
        </w:rPr>
        <w:t>de</w:t>
      </w:r>
      <w:r>
        <w:rPr>
          <w:color w:val="231F20"/>
          <w:spacing w:val="-6"/>
          <w:w w:val="105"/>
        </w:rPr>
        <w:t> Po- </w:t>
      </w:r>
      <w:r>
        <w:rPr>
          <w:color w:val="231F20"/>
          <w:w w:val="105"/>
        </w:rPr>
        <w:t>blación</w:t>
      </w:r>
      <w:r>
        <w:rPr>
          <w:color w:val="231F20"/>
          <w:spacing w:val="-5"/>
          <w:w w:val="105"/>
        </w:rPr>
        <w:t> </w:t>
      </w:r>
      <w:r>
        <w:rPr>
          <w:color w:val="231F20"/>
          <w:w w:val="105"/>
        </w:rPr>
        <w:t>(</w:t>
      </w:r>
      <w:r>
        <w:rPr>
          <w:color w:val="231F20"/>
          <w:w w:val="105"/>
          <w:sz w:val="17"/>
        </w:rPr>
        <w:t>CONAPO</w:t>
      </w:r>
      <w:r>
        <w:rPr>
          <w:color w:val="231F20"/>
          <w:w w:val="105"/>
        </w:rPr>
        <w:t>)</w:t>
      </w:r>
      <w:r>
        <w:rPr>
          <w:color w:val="231F20"/>
          <w:spacing w:val="-5"/>
          <w:w w:val="105"/>
        </w:rPr>
        <w:t> </w:t>
      </w:r>
      <w:r>
        <w:rPr>
          <w:color w:val="231F20"/>
          <w:w w:val="105"/>
        </w:rPr>
        <w:t>su</w:t>
      </w:r>
      <w:r>
        <w:rPr>
          <w:color w:val="231F20"/>
          <w:spacing w:val="-5"/>
          <w:w w:val="105"/>
        </w:rPr>
        <w:t> </w:t>
      </w:r>
      <w:r>
        <w:rPr>
          <w:color w:val="231F20"/>
          <w:w w:val="105"/>
        </w:rPr>
        <w:t>índice</w:t>
      </w:r>
      <w:r>
        <w:rPr>
          <w:color w:val="231F20"/>
          <w:spacing w:val="-5"/>
          <w:w w:val="105"/>
        </w:rPr>
        <w:t> </w:t>
      </w:r>
      <w:r>
        <w:rPr>
          <w:color w:val="231F20"/>
          <w:w w:val="105"/>
        </w:rPr>
        <w:t>de</w:t>
      </w:r>
      <w:r>
        <w:rPr>
          <w:color w:val="231F20"/>
          <w:spacing w:val="-5"/>
          <w:w w:val="105"/>
        </w:rPr>
        <w:t> </w:t>
      </w:r>
      <w:r>
        <w:rPr>
          <w:color w:val="231F20"/>
          <w:w w:val="105"/>
        </w:rPr>
        <w:t>marginación</w:t>
      </w:r>
      <w:r>
        <w:rPr>
          <w:color w:val="231F20"/>
          <w:spacing w:val="-5"/>
          <w:w w:val="105"/>
        </w:rPr>
        <w:t> </w:t>
      </w:r>
      <w:r>
        <w:rPr>
          <w:color w:val="231F20"/>
          <w:w w:val="105"/>
        </w:rPr>
        <w:t>es</w:t>
      </w:r>
      <w:r>
        <w:rPr>
          <w:color w:val="231F20"/>
          <w:spacing w:val="-5"/>
          <w:w w:val="105"/>
        </w:rPr>
        <w:t> </w:t>
      </w:r>
      <w:r>
        <w:rPr>
          <w:color w:val="231F20"/>
          <w:w w:val="105"/>
        </w:rPr>
        <w:t>de</w:t>
      </w:r>
      <w:r>
        <w:rPr>
          <w:color w:val="231F20"/>
          <w:spacing w:val="-5"/>
          <w:w w:val="105"/>
        </w:rPr>
        <w:t> </w:t>
      </w:r>
      <w:r>
        <w:rPr>
          <w:color w:val="231F20"/>
          <w:w w:val="105"/>
        </w:rPr>
        <w:t>0.597</w:t>
      </w:r>
      <w:r>
        <w:rPr>
          <w:color w:val="231F20"/>
          <w:spacing w:val="-5"/>
          <w:w w:val="105"/>
        </w:rPr>
        <w:t> </w:t>
      </w:r>
      <w:r>
        <w:rPr>
          <w:color w:val="231F20"/>
          <w:w w:val="105"/>
        </w:rPr>
        <w:t>y</w:t>
      </w:r>
      <w:r>
        <w:rPr>
          <w:color w:val="231F20"/>
          <w:spacing w:val="-5"/>
          <w:w w:val="105"/>
        </w:rPr>
        <w:t> </w:t>
      </w:r>
      <w:r>
        <w:rPr>
          <w:color w:val="231F20"/>
          <w:w w:val="105"/>
        </w:rPr>
        <w:t>se</w:t>
      </w:r>
      <w:r>
        <w:rPr>
          <w:color w:val="231F20"/>
          <w:spacing w:val="-5"/>
          <w:w w:val="105"/>
        </w:rPr>
        <w:t> </w:t>
      </w:r>
      <w:r>
        <w:rPr>
          <w:color w:val="231F20"/>
          <w:w w:val="105"/>
        </w:rPr>
        <w:t>ubica</w:t>
      </w:r>
      <w:r>
        <w:rPr>
          <w:color w:val="231F20"/>
          <w:spacing w:val="-5"/>
          <w:w w:val="105"/>
        </w:rPr>
        <w:t> </w:t>
      </w:r>
      <w:r>
        <w:rPr>
          <w:color w:val="231F20"/>
          <w:w w:val="105"/>
        </w:rPr>
        <w:t>en</w:t>
      </w:r>
      <w:r>
        <w:rPr>
          <w:color w:val="231F20"/>
          <w:spacing w:val="-5"/>
          <w:w w:val="105"/>
        </w:rPr>
        <w:t> </w:t>
      </w:r>
      <w:r>
        <w:rPr>
          <w:color w:val="231F20"/>
          <w:w w:val="105"/>
        </w:rPr>
        <w:t>el octavo lugar de los municipios más marginados del Estado de México (</w:t>
      </w:r>
      <w:r>
        <w:rPr>
          <w:color w:val="231F20"/>
          <w:w w:val="105"/>
          <w:sz w:val="17"/>
        </w:rPr>
        <w:t>CONAPO</w:t>
      </w:r>
      <w:r>
        <w:rPr>
          <w:color w:val="231F20"/>
          <w:w w:val="105"/>
        </w:rPr>
        <w:t>,</w:t>
      </w:r>
      <w:r>
        <w:rPr>
          <w:color w:val="231F20"/>
          <w:spacing w:val="-23"/>
          <w:w w:val="105"/>
        </w:rPr>
        <w:t> </w:t>
      </w:r>
      <w:r>
        <w:rPr>
          <w:color w:val="231F20"/>
          <w:w w:val="105"/>
        </w:rPr>
        <w:t>2010).</w:t>
      </w:r>
      <w:r>
        <w:rPr>
          <w:color w:val="231F20"/>
          <w:spacing w:val="-26"/>
          <w:w w:val="105"/>
        </w:rPr>
        <w:t> </w:t>
      </w:r>
      <w:r>
        <w:rPr>
          <w:color w:val="231F20"/>
          <w:w w:val="105"/>
        </w:rPr>
        <w:t>A</w:t>
      </w:r>
      <w:r>
        <w:rPr>
          <w:color w:val="231F20"/>
          <w:spacing w:val="-21"/>
          <w:w w:val="105"/>
        </w:rPr>
        <w:t> </w:t>
      </w:r>
      <w:r>
        <w:rPr>
          <w:color w:val="231F20"/>
          <w:w w:val="105"/>
        </w:rPr>
        <w:t>causa</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pobreza,</w:t>
      </w:r>
      <w:r>
        <w:rPr>
          <w:color w:val="231F20"/>
          <w:spacing w:val="-23"/>
          <w:w w:val="105"/>
        </w:rPr>
        <w:t> </w:t>
      </w:r>
      <w:r>
        <w:rPr>
          <w:color w:val="231F20"/>
          <w:w w:val="105"/>
        </w:rPr>
        <w:t>la</w:t>
      </w:r>
      <w:r>
        <w:rPr>
          <w:color w:val="231F20"/>
          <w:spacing w:val="-18"/>
          <w:w w:val="105"/>
        </w:rPr>
        <w:t> </w:t>
      </w:r>
      <w:r>
        <w:rPr>
          <w:color w:val="231F20"/>
          <w:w w:val="105"/>
        </w:rPr>
        <w:t>migración</w:t>
      </w:r>
      <w:r>
        <w:rPr>
          <w:color w:val="231F20"/>
          <w:spacing w:val="-18"/>
          <w:w w:val="105"/>
        </w:rPr>
        <w:t> </w:t>
      </w:r>
      <w:r>
        <w:rPr>
          <w:color w:val="231F20"/>
          <w:w w:val="105"/>
        </w:rPr>
        <w:t>ha</w:t>
      </w:r>
      <w:r>
        <w:rPr>
          <w:color w:val="231F20"/>
          <w:spacing w:val="-18"/>
          <w:w w:val="105"/>
        </w:rPr>
        <w:t> </w:t>
      </w:r>
      <w:r>
        <w:rPr>
          <w:color w:val="231F20"/>
          <w:w w:val="105"/>
        </w:rPr>
        <w:t>sido</w:t>
      </w:r>
      <w:r>
        <w:rPr>
          <w:color w:val="231F20"/>
          <w:spacing w:val="-18"/>
          <w:w w:val="105"/>
        </w:rPr>
        <w:t> </w:t>
      </w:r>
      <w:r>
        <w:rPr>
          <w:color w:val="231F20"/>
          <w:w w:val="105"/>
        </w:rPr>
        <w:t>una</w:t>
      </w:r>
      <w:r>
        <w:rPr>
          <w:color w:val="231F20"/>
          <w:spacing w:val="-18"/>
          <w:w w:val="105"/>
        </w:rPr>
        <w:t> </w:t>
      </w:r>
      <w:r>
        <w:rPr>
          <w:color w:val="231F20"/>
          <w:w w:val="105"/>
        </w:rPr>
        <w:t>alterna- tiva</w:t>
      </w:r>
      <w:r>
        <w:rPr>
          <w:color w:val="231F20"/>
          <w:spacing w:val="-6"/>
          <w:w w:val="105"/>
        </w:rPr>
        <w:t> </w:t>
      </w:r>
      <w:r>
        <w:rPr>
          <w:color w:val="231F20"/>
          <w:w w:val="105"/>
        </w:rPr>
        <w:t>importante</w:t>
      </w:r>
      <w:r>
        <w:rPr>
          <w:color w:val="231F20"/>
          <w:spacing w:val="-6"/>
          <w:w w:val="105"/>
        </w:rPr>
        <w:t> </w:t>
      </w:r>
      <w:r>
        <w:rPr>
          <w:color w:val="231F20"/>
          <w:w w:val="105"/>
        </w:rPr>
        <w:t>para</w:t>
      </w:r>
      <w:r>
        <w:rPr>
          <w:color w:val="231F20"/>
          <w:spacing w:val="-6"/>
          <w:w w:val="105"/>
        </w:rPr>
        <w:t> </w:t>
      </w:r>
      <w:r>
        <w:rPr>
          <w:color w:val="231F20"/>
          <w:w w:val="105"/>
        </w:rPr>
        <w:t>mejorar</w:t>
      </w:r>
      <w:r>
        <w:rPr>
          <w:color w:val="231F20"/>
          <w:spacing w:val="-6"/>
          <w:w w:val="105"/>
        </w:rPr>
        <w:t> </w:t>
      </w:r>
      <w:r>
        <w:rPr>
          <w:color w:val="231F20"/>
          <w:w w:val="105"/>
        </w:rPr>
        <w:t>las</w:t>
      </w:r>
      <w:r>
        <w:rPr>
          <w:color w:val="231F20"/>
          <w:spacing w:val="-6"/>
          <w:w w:val="105"/>
        </w:rPr>
        <w:t> </w:t>
      </w:r>
      <w:r>
        <w:rPr>
          <w:color w:val="231F20"/>
          <w:w w:val="105"/>
        </w:rPr>
        <w:t>condiciones</w:t>
      </w:r>
      <w:r>
        <w:rPr>
          <w:color w:val="231F20"/>
          <w:spacing w:val="-6"/>
          <w:w w:val="105"/>
        </w:rPr>
        <w:t> </w:t>
      </w:r>
      <w:r>
        <w:rPr>
          <w:color w:val="231F20"/>
          <w:w w:val="105"/>
        </w:rPr>
        <w:t>de</w:t>
      </w:r>
      <w:r>
        <w:rPr>
          <w:color w:val="231F20"/>
          <w:spacing w:val="-6"/>
          <w:w w:val="105"/>
        </w:rPr>
        <w:t> </w:t>
      </w:r>
      <w:r>
        <w:rPr>
          <w:color w:val="231F20"/>
          <w:w w:val="105"/>
        </w:rPr>
        <w:t>vida</w:t>
      </w:r>
      <w:r>
        <w:rPr>
          <w:color w:val="231F20"/>
          <w:spacing w:val="-6"/>
          <w:w w:val="105"/>
        </w:rPr>
        <w:t> </w:t>
      </w:r>
      <w:r>
        <w:rPr>
          <w:color w:val="231F20"/>
          <w:w w:val="105"/>
        </w:rPr>
        <w:t>(Murphy</w:t>
      </w:r>
      <w:r>
        <w:rPr>
          <w:color w:val="231F20"/>
          <w:spacing w:val="-6"/>
          <w:w w:val="105"/>
        </w:rPr>
        <w:t> </w:t>
      </w:r>
      <w:r>
        <w:rPr>
          <w:color w:val="231F20"/>
          <w:w w:val="105"/>
        </w:rPr>
        <w:t>y</w:t>
      </w:r>
      <w:r>
        <w:rPr>
          <w:color w:val="231F20"/>
          <w:spacing w:val="-6"/>
          <w:w w:val="105"/>
        </w:rPr>
        <w:t> </w:t>
      </w:r>
      <w:r>
        <w:rPr>
          <w:color w:val="231F20"/>
          <w:w w:val="105"/>
        </w:rPr>
        <w:t>Stepick, 1991;</w:t>
      </w:r>
      <w:r>
        <w:rPr>
          <w:color w:val="231F20"/>
          <w:spacing w:val="-36"/>
          <w:w w:val="105"/>
        </w:rPr>
        <w:t> </w:t>
      </w:r>
      <w:r>
        <w:rPr>
          <w:color w:val="231F20"/>
          <w:w w:val="105"/>
        </w:rPr>
        <w:t>Arellanes</w:t>
      </w:r>
      <w:r>
        <w:rPr>
          <w:color w:val="231F20"/>
          <w:spacing w:val="-34"/>
          <w:w w:val="105"/>
        </w:rPr>
        <w:t> </w:t>
      </w:r>
      <w:r>
        <w:rPr>
          <w:color w:val="231F20"/>
          <w:w w:val="105"/>
        </w:rPr>
        <w:t>2004).</w:t>
      </w:r>
    </w:p>
    <w:p>
      <w:pPr>
        <w:pStyle w:val="BodyText"/>
        <w:spacing w:line="261" w:lineRule="auto" w:before="1"/>
        <w:ind w:left="1723" w:right="1834" w:firstLine="567"/>
        <w:jc w:val="both"/>
      </w:pP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22</w:t>
      </w:r>
      <w:r>
        <w:rPr>
          <w:color w:val="231F20"/>
          <w:spacing w:val="-28"/>
          <w:w w:val="105"/>
        </w:rPr>
        <w:t> </w:t>
      </w:r>
      <w:r>
        <w:rPr>
          <w:color w:val="231F20"/>
          <w:w w:val="105"/>
        </w:rPr>
        <w:t>unidades</w:t>
      </w:r>
      <w:r>
        <w:rPr>
          <w:color w:val="231F20"/>
          <w:spacing w:val="-28"/>
          <w:w w:val="105"/>
        </w:rPr>
        <w:t> </w:t>
      </w:r>
      <w:r>
        <w:rPr>
          <w:color w:val="231F20"/>
          <w:w w:val="105"/>
        </w:rPr>
        <w:t>domésticas</w:t>
      </w:r>
      <w:r>
        <w:rPr>
          <w:color w:val="231F20"/>
          <w:spacing w:val="-28"/>
          <w:w w:val="105"/>
        </w:rPr>
        <w:t> </w:t>
      </w:r>
      <w:r>
        <w:rPr>
          <w:color w:val="231F20"/>
          <w:w w:val="105"/>
        </w:rPr>
        <w:t>incluidas</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encuesta,</w:t>
      </w:r>
      <w:r>
        <w:rPr>
          <w:color w:val="231F20"/>
          <w:spacing w:val="-32"/>
          <w:w w:val="105"/>
        </w:rPr>
        <w:t> </w:t>
      </w:r>
      <w:r>
        <w:rPr>
          <w:color w:val="231F20"/>
          <w:w w:val="105"/>
        </w:rPr>
        <w:t>solamente en</w:t>
      </w:r>
      <w:r>
        <w:rPr>
          <w:color w:val="231F20"/>
          <w:spacing w:val="-15"/>
          <w:w w:val="105"/>
        </w:rPr>
        <w:t> </w:t>
      </w:r>
      <w:r>
        <w:rPr>
          <w:color w:val="231F20"/>
          <w:w w:val="105"/>
        </w:rPr>
        <w:t>cinco</w:t>
      </w:r>
      <w:r>
        <w:rPr>
          <w:color w:val="231F20"/>
          <w:spacing w:val="-14"/>
          <w:w w:val="105"/>
        </w:rPr>
        <w:t> </w:t>
      </w:r>
      <w:r>
        <w:rPr>
          <w:color w:val="231F20"/>
          <w:w w:val="105"/>
        </w:rPr>
        <w:t>no</w:t>
      </w:r>
      <w:r>
        <w:rPr>
          <w:color w:val="231F20"/>
          <w:spacing w:val="-15"/>
          <w:w w:val="105"/>
        </w:rPr>
        <w:t> </w:t>
      </w:r>
      <w:r>
        <w:rPr>
          <w:color w:val="231F20"/>
          <w:w w:val="105"/>
        </w:rPr>
        <w:t>había</w:t>
      </w:r>
      <w:r>
        <w:rPr>
          <w:color w:val="231F20"/>
          <w:spacing w:val="-15"/>
          <w:w w:val="105"/>
        </w:rPr>
        <w:t> </w:t>
      </w:r>
      <w:r>
        <w:rPr>
          <w:color w:val="231F20"/>
          <w:w w:val="105"/>
        </w:rPr>
        <w:t>migrantes.</w:t>
      </w:r>
      <w:r>
        <w:rPr>
          <w:color w:val="231F20"/>
          <w:spacing w:val="-20"/>
          <w:w w:val="105"/>
        </w:rPr>
        <w:t> </w:t>
      </w:r>
      <w:r>
        <w:rPr>
          <w:color w:val="231F20"/>
          <w:w w:val="105"/>
        </w:rPr>
        <w:t>Esto</w:t>
      </w:r>
      <w:r>
        <w:rPr>
          <w:color w:val="231F20"/>
          <w:spacing w:val="-15"/>
          <w:w w:val="105"/>
        </w:rPr>
        <w:t> </w:t>
      </w:r>
      <w:r>
        <w:rPr>
          <w:color w:val="231F20"/>
          <w:w w:val="105"/>
        </w:rPr>
        <w:t>es</w:t>
      </w:r>
      <w:r>
        <w:rPr>
          <w:color w:val="231F20"/>
          <w:spacing w:val="-14"/>
          <w:w w:val="105"/>
        </w:rPr>
        <w:t> </w:t>
      </w:r>
      <w:r>
        <w:rPr>
          <w:color w:val="231F20"/>
          <w:w w:val="105"/>
        </w:rPr>
        <w:t>debido</w:t>
      </w:r>
      <w:r>
        <w:rPr>
          <w:color w:val="231F20"/>
          <w:spacing w:val="-15"/>
          <w:w w:val="105"/>
        </w:rPr>
        <w:t> </w:t>
      </w:r>
      <w:r>
        <w:rPr>
          <w:color w:val="231F20"/>
          <w:w w:val="105"/>
        </w:rPr>
        <w:t>a</w:t>
      </w:r>
      <w:r>
        <w:rPr>
          <w:color w:val="231F20"/>
          <w:spacing w:val="-15"/>
          <w:w w:val="105"/>
        </w:rPr>
        <w:t> </w:t>
      </w:r>
      <w:r>
        <w:rPr>
          <w:color w:val="231F20"/>
          <w:w w:val="105"/>
        </w:rPr>
        <w:t>que</w:t>
      </w:r>
      <w:r>
        <w:rPr>
          <w:color w:val="231F20"/>
          <w:spacing w:val="-15"/>
          <w:w w:val="105"/>
        </w:rPr>
        <w:t> </w:t>
      </w:r>
      <w:r>
        <w:rPr>
          <w:color w:val="231F20"/>
          <w:w w:val="105"/>
        </w:rPr>
        <w:t>en</w:t>
      </w:r>
      <w:r>
        <w:rPr>
          <w:color w:val="231F20"/>
          <w:spacing w:val="-14"/>
          <w:w w:val="105"/>
        </w:rPr>
        <w:t> </w:t>
      </w:r>
      <w:r>
        <w:rPr>
          <w:color w:val="231F20"/>
          <w:w w:val="105"/>
        </w:rPr>
        <w:t>una</w:t>
      </w:r>
      <w:r>
        <w:rPr>
          <w:color w:val="231F20"/>
          <w:spacing w:val="-15"/>
          <w:w w:val="105"/>
        </w:rPr>
        <w:t> </w:t>
      </w:r>
      <w:r>
        <w:rPr>
          <w:color w:val="231F20"/>
          <w:w w:val="105"/>
        </w:rPr>
        <w:t>de</w:t>
      </w:r>
      <w:r>
        <w:rPr>
          <w:color w:val="231F20"/>
          <w:spacing w:val="-14"/>
          <w:w w:val="105"/>
        </w:rPr>
        <w:t> </w:t>
      </w:r>
      <w:r>
        <w:rPr>
          <w:color w:val="231F20"/>
          <w:w w:val="105"/>
        </w:rPr>
        <w:t>ellas</w:t>
      </w:r>
      <w:r>
        <w:rPr>
          <w:color w:val="231F20"/>
          <w:spacing w:val="-14"/>
          <w:w w:val="105"/>
        </w:rPr>
        <w:t> </w:t>
      </w:r>
      <w:r>
        <w:rPr>
          <w:color w:val="231F20"/>
          <w:w w:val="105"/>
        </w:rPr>
        <w:t>el</w:t>
      </w:r>
      <w:r>
        <w:rPr>
          <w:color w:val="231F20"/>
          <w:spacing w:val="-15"/>
          <w:w w:val="105"/>
        </w:rPr>
        <w:t> </w:t>
      </w:r>
      <w:r>
        <w:rPr>
          <w:color w:val="231F20"/>
          <w:w w:val="105"/>
        </w:rPr>
        <w:t>jefe de familia es un profesor jubilado de la escuela primaria del lugar; y los cuatro</w:t>
      </w:r>
      <w:r>
        <w:rPr>
          <w:color w:val="231F20"/>
          <w:spacing w:val="-15"/>
          <w:w w:val="105"/>
        </w:rPr>
        <w:t> </w:t>
      </w:r>
      <w:r>
        <w:rPr>
          <w:color w:val="231F20"/>
          <w:w w:val="105"/>
        </w:rPr>
        <w:t>restantes</w:t>
      </w:r>
      <w:r>
        <w:rPr>
          <w:color w:val="231F20"/>
          <w:spacing w:val="-15"/>
          <w:w w:val="105"/>
        </w:rPr>
        <w:t> </w:t>
      </w:r>
      <w:r>
        <w:rPr>
          <w:color w:val="231F20"/>
          <w:w w:val="105"/>
        </w:rPr>
        <w:t>son</w:t>
      </w:r>
      <w:r>
        <w:rPr>
          <w:color w:val="231F20"/>
          <w:spacing w:val="-15"/>
          <w:w w:val="105"/>
        </w:rPr>
        <w:t> </w:t>
      </w:r>
      <w:r>
        <w:rPr>
          <w:color w:val="231F20"/>
          <w:w w:val="105"/>
        </w:rPr>
        <w:t>jóvenes</w:t>
      </w:r>
      <w:r>
        <w:rPr>
          <w:color w:val="231F20"/>
          <w:spacing w:val="-15"/>
          <w:w w:val="105"/>
        </w:rPr>
        <w:t> </w:t>
      </w:r>
      <w:r>
        <w:rPr>
          <w:color w:val="231F20"/>
          <w:w w:val="105"/>
        </w:rPr>
        <w:t>(dos</w:t>
      </w:r>
      <w:r>
        <w:rPr>
          <w:color w:val="231F20"/>
          <w:spacing w:val="-15"/>
          <w:w w:val="105"/>
        </w:rPr>
        <w:t> </w:t>
      </w:r>
      <w:r>
        <w:rPr>
          <w:color w:val="231F20"/>
          <w:w w:val="105"/>
        </w:rPr>
        <w:t>de</w:t>
      </w:r>
      <w:r>
        <w:rPr>
          <w:color w:val="231F20"/>
          <w:spacing w:val="-15"/>
          <w:w w:val="105"/>
        </w:rPr>
        <w:t> </w:t>
      </w:r>
      <w:r>
        <w:rPr>
          <w:color w:val="231F20"/>
          <w:w w:val="105"/>
        </w:rPr>
        <w:t>ellos</w:t>
      </w:r>
      <w:r>
        <w:rPr>
          <w:color w:val="231F20"/>
          <w:spacing w:val="-15"/>
          <w:w w:val="105"/>
        </w:rPr>
        <w:t> </w:t>
      </w:r>
      <w:r>
        <w:rPr>
          <w:color w:val="231F20"/>
          <w:w w:val="105"/>
        </w:rPr>
        <w:t>hijos</w:t>
      </w:r>
      <w:r>
        <w:rPr>
          <w:color w:val="231F20"/>
          <w:spacing w:val="-15"/>
          <w:w w:val="105"/>
        </w:rPr>
        <w:t> </w:t>
      </w:r>
      <w:r>
        <w:rPr>
          <w:color w:val="231F20"/>
          <w:w w:val="105"/>
        </w:rPr>
        <w:t>del</w:t>
      </w:r>
      <w:r>
        <w:rPr>
          <w:color w:val="231F20"/>
          <w:spacing w:val="-15"/>
          <w:w w:val="105"/>
        </w:rPr>
        <w:t> </w:t>
      </w:r>
      <w:r>
        <w:rPr>
          <w:color w:val="231F20"/>
          <w:w w:val="105"/>
        </w:rPr>
        <w:t>profesor),</w:t>
      </w:r>
      <w:r>
        <w:rPr>
          <w:color w:val="231F20"/>
          <w:spacing w:val="-21"/>
          <w:w w:val="105"/>
        </w:rPr>
        <w:t> </w:t>
      </w:r>
      <w:r>
        <w:rPr>
          <w:color w:val="231F20"/>
          <w:w w:val="105"/>
        </w:rPr>
        <w:t>originarios del</w:t>
      </w:r>
      <w:r>
        <w:rPr>
          <w:color w:val="231F20"/>
          <w:spacing w:val="-13"/>
          <w:w w:val="105"/>
        </w:rPr>
        <w:t> </w:t>
      </w:r>
      <w:r>
        <w:rPr>
          <w:color w:val="231F20"/>
          <w:w w:val="105"/>
        </w:rPr>
        <w:t>lugar</w:t>
      </w:r>
      <w:r>
        <w:rPr>
          <w:color w:val="231F20"/>
          <w:spacing w:val="-13"/>
          <w:w w:val="105"/>
        </w:rPr>
        <w:t> </w:t>
      </w:r>
      <w:r>
        <w:rPr>
          <w:color w:val="231F20"/>
          <w:w w:val="105"/>
        </w:rPr>
        <w:t>que</w:t>
      </w:r>
      <w:r>
        <w:rPr>
          <w:color w:val="231F20"/>
          <w:spacing w:val="-13"/>
          <w:w w:val="105"/>
        </w:rPr>
        <w:t> </w:t>
      </w:r>
      <w:r>
        <w:rPr>
          <w:color w:val="231F20"/>
          <w:w w:val="105"/>
        </w:rPr>
        <w:t>han</w:t>
      </w:r>
      <w:r>
        <w:rPr>
          <w:color w:val="231F20"/>
          <w:spacing w:val="-13"/>
          <w:w w:val="105"/>
        </w:rPr>
        <w:t> </w:t>
      </w:r>
      <w:r>
        <w:rPr>
          <w:color w:val="231F20"/>
          <w:w w:val="105"/>
        </w:rPr>
        <w:t>heredado</w:t>
      </w:r>
      <w:r>
        <w:rPr>
          <w:color w:val="231F20"/>
          <w:spacing w:val="-13"/>
          <w:w w:val="105"/>
        </w:rPr>
        <w:t> </w:t>
      </w:r>
      <w:r>
        <w:rPr>
          <w:color w:val="231F20"/>
          <w:w w:val="105"/>
        </w:rPr>
        <w:t>la</w:t>
      </w:r>
      <w:r>
        <w:rPr>
          <w:color w:val="231F20"/>
          <w:spacing w:val="-13"/>
          <w:w w:val="105"/>
        </w:rPr>
        <w:t> </w:t>
      </w:r>
      <w:r>
        <w:rPr>
          <w:color w:val="231F20"/>
          <w:w w:val="105"/>
        </w:rPr>
        <w:t>forma</w:t>
      </w:r>
      <w:r>
        <w:rPr>
          <w:color w:val="231F20"/>
          <w:spacing w:val="-13"/>
          <w:w w:val="105"/>
        </w:rPr>
        <w:t> </w:t>
      </w:r>
      <w:r>
        <w:rPr>
          <w:color w:val="231F20"/>
          <w:w w:val="105"/>
        </w:rPr>
        <w:t>de</w:t>
      </w:r>
      <w:r>
        <w:rPr>
          <w:color w:val="231F20"/>
          <w:spacing w:val="-13"/>
          <w:w w:val="105"/>
        </w:rPr>
        <w:t> </w:t>
      </w:r>
      <w:r>
        <w:rPr>
          <w:color w:val="231F20"/>
          <w:w w:val="105"/>
        </w:rPr>
        <w:t>vida,</w:t>
      </w:r>
      <w:r>
        <w:rPr>
          <w:color w:val="231F20"/>
          <w:spacing w:val="-19"/>
          <w:w w:val="105"/>
        </w:rPr>
        <w:t> </w:t>
      </w:r>
      <w:r>
        <w:rPr>
          <w:color w:val="231F20"/>
          <w:w w:val="105"/>
        </w:rPr>
        <w:t>y</w:t>
      </w:r>
      <w:r>
        <w:rPr>
          <w:color w:val="231F20"/>
          <w:spacing w:val="-13"/>
          <w:w w:val="105"/>
        </w:rPr>
        <w:t> </w:t>
      </w:r>
      <w:r>
        <w:rPr>
          <w:color w:val="231F20"/>
          <w:w w:val="105"/>
        </w:rPr>
        <w:t>que</w:t>
      </w:r>
      <w:r>
        <w:rPr>
          <w:color w:val="231F20"/>
          <w:spacing w:val="-13"/>
          <w:w w:val="105"/>
        </w:rPr>
        <w:t> </w:t>
      </w:r>
      <w:r>
        <w:rPr>
          <w:color w:val="231F20"/>
          <w:w w:val="105"/>
        </w:rPr>
        <w:t>mantienen</w:t>
      </w:r>
      <w:r>
        <w:rPr>
          <w:color w:val="231F20"/>
          <w:spacing w:val="-13"/>
          <w:w w:val="105"/>
        </w:rPr>
        <w:t> </w:t>
      </w:r>
      <w:r>
        <w:rPr>
          <w:color w:val="231F20"/>
          <w:w w:val="105"/>
        </w:rPr>
        <w:t>sus</w:t>
      </w:r>
      <w:r>
        <w:rPr>
          <w:color w:val="231F20"/>
          <w:spacing w:val="-13"/>
          <w:w w:val="105"/>
        </w:rPr>
        <w:t> </w:t>
      </w:r>
      <w:r>
        <w:rPr>
          <w:color w:val="231F20"/>
          <w:w w:val="105"/>
        </w:rPr>
        <w:t>hoga- res sin una intención clara de migrar debido al apego familiar. En</w:t>
      </w:r>
      <w:r>
        <w:rPr>
          <w:color w:val="231F20"/>
          <w:spacing w:val="-20"/>
          <w:w w:val="105"/>
        </w:rPr>
        <w:t> </w:t>
      </w:r>
      <w:r>
        <w:rPr>
          <w:color w:val="231F20"/>
          <w:w w:val="105"/>
        </w:rPr>
        <w:t>todas las demás unidades domésticas existía por lo menos una persona que había</w:t>
      </w:r>
      <w:r>
        <w:rPr>
          <w:color w:val="231F20"/>
          <w:spacing w:val="-5"/>
          <w:w w:val="105"/>
        </w:rPr>
        <w:t> </w:t>
      </w:r>
      <w:r>
        <w:rPr>
          <w:color w:val="231F20"/>
          <w:w w:val="105"/>
        </w:rPr>
        <w:t>migrado.</w:t>
      </w:r>
    </w:p>
    <w:p>
      <w:pPr>
        <w:pStyle w:val="BodyText"/>
        <w:spacing w:before="10"/>
        <w:rPr>
          <w:sz w:val="27"/>
        </w:rPr>
      </w:pPr>
      <w:r>
        <w:rPr/>
        <w:pict>
          <v:line style="position:absolute;mso-position-horizontal-relative:page;mso-position-vertical-relative:paragraph;z-index:40360;mso-wrap-distance-left:0;mso-wrap-distance-right:0" from="86.1968pt,17.872021pt" to="199.5828pt,17.872021pt" stroked="true" strokeweight=".25pt" strokecolor="#231f20">
            <w10:wrap type="topAndBottom"/>
          </v:line>
        </w:pict>
      </w:r>
    </w:p>
    <w:p>
      <w:pPr>
        <w:spacing w:before="8"/>
        <w:ind w:left="1723" w:right="0" w:firstLine="0"/>
        <w:jc w:val="left"/>
        <w:rPr>
          <w:rFonts w:ascii="Calibri"/>
          <w:sz w:val="16"/>
        </w:rPr>
      </w:pPr>
      <w:r>
        <w:rPr>
          <w:rFonts w:ascii="Calibri"/>
          <w:color w:val="414042"/>
          <w:w w:val="105"/>
          <w:position w:val="5"/>
          <w:sz w:val="9"/>
        </w:rPr>
        <w:t>6 </w:t>
      </w:r>
      <w:r>
        <w:rPr>
          <w:rFonts w:ascii="Calibri"/>
          <w:color w:val="414042"/>
          <w:w w:val="105"/>
          <w:sz w:val="16"/>
        </w:rPr>
        <w:t>Excreta de pollo utilizada como suplemento proteico en la dieta de rumiantes.</w:t>
      </w:r>
    </w:p>
    <w:p>
      <w:pPr>
        <w:pStyle w:val="BodyText"/>
        <w:rPr>
          <w:rFonts w:ascii="Calibri"/>
          <w:sz w:val="20"/>
        </w:rPr>
      </w:pPr>
    </w:p>
    <w:p>
      <w:pPr>
        <w:pStyle w:val="BodyText"/>
        <w:spacing w:before="10"/>
        <w:rPr>
          <w:rFonts w:ascii="Calibri"/>
          <w:sz w:val="2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9800" from="131.551193pt,3.703715pt" to="131.551193pt,39.506114pt" stroked="true" strokeweight=".35pt" strokecolor="#231f20">
            <w10:wrap type="none"/>
          </v:line>
        </w:pict>
      </w:r>
      <w:r>
        <w:rPr/>
        <w:pict>
          <v:line style="position:absolute;mso-position-horizontal-relative:page;mso-position-vertical-relative:paragraph;z-index:-449728" from="15pt,39.505917pt" to="0pt,39.505917pt" stroked="true" strokeweight=".25pt" strokecolor="#000000">
            <w10:wrap type="none"/>
          </v:line>
        </w:pict>
      </w:r>
      <w:r>
        <w:rPr/>
        <w:pict>
          <v:line style="position:absolute;mso-position-horizontal-relative:page;mso-position-vertical-relative:paragraph;z-index:40480" from="508.890015pt,39.505917pt" to="523.890015pt,39.505917pt" stroked="true" strokeweight=".25pt" strokecolor="#000000">
            <w10:wrap type="none"/>
          </v:line>
        </w:pict>
      </w:r>
      <w:r>
        <w:rPr>
          <w:rFonts w:ascii="Arial" w:hAnsi="Arial"/>
          <w:color w:val="414042"/>
          <w:position w:val="-5"/>
          <w:sz w:val="20"/>
        </w:rPr>
        <w:t>338</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r>
        <w:rPr/>
        <w:pict>
          <v:line style="position:absolute;mso-position-horizontal-relative:page;mso-position-vertical-relative:page;z-index:-449584" from="15pt,715.487793pt" to="0pt,715.487793pt" stroked="true" strokeweight=".25pt" strokecolor="#000000">
            <w10:wrap type="none"/>
          </v:line>
        </w:pict>
      </w:r>
      <w:r>
        <w:rPr/>
        <w:pict>
          <v:line style="position:absolute;mso-position-horizontal-relative:page;mso-position-vertical-relative:page;z-index:40624" from="508.890015pt,715.487793pt" to="523.890015pt,715.487793pt" stroked="true" strokeweight=".25pt" strokecolor="#000000">
            <w10:wrap type="none"/>
          </v:line>
        </w:pict>
      </w: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49656" from="405.061005pt,-18.554295pt" to="405.061005pt,16.311579pt" stroked="true" strokeweight=".35pt" strokecolor="#231f20">
            <w10:wrap type="none"/>
          </v:line>
        </w:pict>
      </w:r>
      <w:r>
        <w:rPr/>
        <w:pict>
          <v:line style="position:absolute;mso-position-horizontal-relative:page;mso-position-vertical-relative:paragraph;z-index:40552" from="15pt,-18.554522pt" to="0pt,-18.554522pt" stroked="true" strokeweight=".25pt" strokecolor="#000000">
            <w10:wrap type="none"/>
          </v:line>
        </w:pict>
      </w:r>
      <w:r>
        <w:rPr/>
        <w:pict>
          <v:line style="position:absolute;mso-position-horizontal-relative:page;mso-position-vertical-relative:paragraph;z-index:40576"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339</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Un </w:t>
      </w:r>
      <w:r>
        <w:rPr>
          <w:color w:val="231F20"/>
          <w:spacing w:val="-3"/>
          <w:w w:val="105"/>
        </w:rPr>
        <w:t>gran número </w:t>
      </w:r>
      <w:r>
        <w:rPr>
          <w:color w:val="231F20"/>
          <w:w w:val="105"/>
        </w:rPr>
        <w:t>de </w:t>
      </w:r>
      <w:r>
        <w:rPr>
          <w:color w:val="231F20"/>
          <w:spacing w:val="-3"/>
          <w:w w:val="105"/>
        </w:rPr>
        <w:t>personas </w:t>
      </w:r>
      <w:r>
        <w:rPr>
          <w:color w:val="231F20"/>
          <w:w w:val="105"/>
        </w:rPr>
        <w:t>de </w:t>
      </w:r>
      <w:r>
        <w:rPr>
          <w:color w:val="231F20"/>
          <w:spacing w:val="-3"/>
          <w:w w:val="105"/>
        </w:rPr>
        <w:t>esta comunidad </w:t>
      </w:r>
      <w:r>
        <w:rPr>
          <w:color w:val="231F20"/>
          <w:w w:val="105"/>
        </w:rPr>
        <w:t>se han ido </w:t>
      </w:r>
      <w:r>
        <w:rPr>
          <w:color w:val="231F20"/>
          <w:spacing w:val="-3"/>
          <w:w w:val="105"/>
        </w:rPr>
        <w:t>desde hace muchos</w:t>
      </w:r>
      <w:r>
        <w:rPr>
          <w:color w:val="231F20"/>
          <w:spacing w:val="-14"/>
          <w:w w:val="105"/>
        </w:rPr>
        <w:t> </w:t>
      </w:r>
      <w:r>
        <w:rPr>
          <w:color w:val="231F20"/>
          <w:spacing w:val="-3"/>
          <w:w w:val="105"/>
        </w:rPr>
        <w:t>años</w:t>
      </w:r>
      <w:r>
        <w:rPr>
          <w:color w:val="231F20"/>
          <w:spacing w:val="-14"/>
          <w:w w:val="105"/>
        </w:rPr>
        <w:t> </w:t>
      </w:r>
      <w:r>
        <w:rPr>
          <w:color w:val="231F20"/>
          <w:w w:val="105"/>
        </w:rPr>
        <w:t>a</w:t>
      </w:r>
      <w:r>
        <w:rPr>
          <w:color w:val="231F20"/>
          <w:spacing w:val="-14"/>
          <w:w w:val="105"/>
        </w:rPr>
        <w:t> </w:t>
      </w:r>
      <w:r>
        <w:rPr>
          <w:color w:val="231F20"/>
          <w:spacing w:val="-3"/>
          <w:w w:val="105"/>
        </w:rPr>
        <w:t>Estados</w:t>
      </w:r>
      <w:r>
        <w:rPr>
          <w:color w:val="231F20"/>
          <w:spacing w:val="-14"/>
          <w:w w:val="105"/>
        </w:rPr>
        <w:t> </w:t>
      </w:r>
      <w:r>
        <w:rPr>
          <w:color w:val="231F20"/>
          <w:spacing w:val="-3"/>
          <w:w w:val="105"/>
        </w:rPr>
        <w:t>Unidos</w:t>
      </w:r>
      <w:r>
        <w:rPr>
          <w:color w:val="231F20"/>
          <w:spacing w:val="-14"/>
          <w:w w:val="105"/>
        </w:rPr>
        <w:t> </w:t>
      </w:r>
      <w:r>
        <w:rPr>
          <w:color w:val="231F20"/>
          <w:spacing w:val="-3"/>
          <w:w w:val="105"/>
        </w:rPr>
        <w:t>principalmente;</w:t>
      </w:r>
      <w:r>
        <w:rPr>
          <w:color w:val="231F20"/>
          <w:spacing w:val="-14"/>
          <w:w w:val="105"/>
        </w:rPr>
        <w:t> </w:t>
      </w:r>
      <w:r>
        <w:rPr>
          <w:color w:val="231F20"/>
          <w:spacing w:val="-3"/>
          <w:w w:val="105"/>
        </w:rPr>
        <w:t>pero</w:t>
      </w:r>
      <w:r>
        <w:rPr>
          <w:color w:val="231F20"/>
          <w:spacing w:val="-14"/>
          <w:w w:val="105"/>
        </w:rPr>
        <w:t> </w:t>
      </w:r>
      <w:r>
        <w:rPr>
          <w:color w:val="231F20"/>
          <w:spacing w:val="-3"/>
          <w:w w:val="105"/>
        </w:rPr>
        <w:t>también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spacing w:val="-3"/>
          <w:w w:val="105"/>
        </w:rPr>
        <w:t>Ciudad </w:t>
      </w:r>
      <w:r>
        <w:rPr>
          <w:color w:val="231F20"/>
          <w:w w:val="105"/>
        </w:rPr>
        <w:t>de </w:t>
      </w:r>
      <w:r>
        <w:rPr>
          <w:color w:val="231F20"/>
          <w:spacing w:val="-3"/>
          <w:w w:val="105"/>
        </w:rPr>
        <w:t>México, </w:t>
      </w:r>
      <w:r>
        <w:rPr>
          <w:color w:val="231F20"/>
          <w:w w:val="105"/>
        </w:rPr>
        <w:t>a la </w:t>
      </w:r>
      <w:r>
        <w:rPr>
          <w:color w:val="231F20"/>
          <w:spacing w:val="-3"/>
          <w:w w:val="105"/>
        </w:rPr>
        <w:t>cabecera municipal </w:t>
      </w:r>
      <w:r>
        <w:rPr>
          <w:color w:val="231F20"/>
          <w:w w:val="105"/>
        </w:rPr>
        <w:t>y a </w:t>
      </w:r>
      <w:r>
        <w:rPr>
          <w:color w:val="231F20"/>
          <w:spacing w:val="-3"/>
          <w:w w:val="105"/>
        </w:rPr>
        <w:t>otros poblados cercanos. Los </w:t>
      </w:r>
      <w:r>
        <w:rPr>
          <w:color w:val="231F20"/>
          <w:w w:val="105"/>
        </w:rPr>
        <w:t>mi- </w:t>
      </w:r>
      <w:r>
        <w:rPr>
          <w:color w:val="231F20"/>
          <w:spacing w:val="-3"/>
          <w:w w:val="105"/>
        </w:rPr>
        <w:t>grantes </w:t>
      </w:r>
      <w:r>
        <w:rPr>
          <w:color w:val="231F20"/>
          <w:w w:val="105"/>
        </w:rPr>
        <w:t>de </w:t>
      </w:r>
      <w:r>
        <w:rPr>
          <w:color w:val="231F20"/>
          <w:spacing w:val="-3"/>
          <w:w w:val="105"/>
        </w:rPr>
        <w:t>Santiago, </w:t>
      </w:r>
      <w:r>
        <w:rPr>
          <w:color w:val="231F20"/>
          <w:w w:val="105"/>
        </w:rPr>
        <w:t>son </w:t>
      </w:r>
      <w:r>
        <w:rPr>
          <w:color w:val="231F20"/>
          <w:spacing w:val="-3"/>
          <w:w w:val="105"/>
        </w:rPr>
        <w:t>hombres </w:t>
      </w:r>
      <w:r>
        <w:rPr>
          <w:color w:val="231F20"/>
          <w:w w:val="105"/>
        </w:rPr>
        <w:t>y </w:t>
      </w:r>
      <w:r>
        <w:rPr>
          <w:color w:val="231F20"/>
          <w:spacing w:val="-3"/>
          <w:w w:val="105"/>
        </w:rPr>
        <w:t>mujeres </w:t>
      </w:r>
      <w:r>
        <w:rPr>
          <w:color w:val="231F20"/>
          <w:w w:val="105"/>
        </w:rPr>
        <w:t>que al </w:t>
      </w:r>
      <w:r>
        <w:rPr>
          <w:color w:val="231F20"/>
          <w:spacing w:val="-3"/>
          <w:w w:val="105"/>
        </w:rPr>
        <w:t>momento </w:t>
      </w:r>
      <w:r>
        <w:rPr>
          <w:color w:val="231F20"/>
          <w:w w:val="105"/>
        </w:rPr>
        <w:t>de </w:t>
      </w:r>
      <w:r>
        <w:rPr>
          <w:color w:val="231F20"/>
          <w:spacing w:val="-4"/>
          <w:w w:val="105"/>
        </w:rPr>
        <w:t>migrar </w:t>
      </w:r>
      <w:r>
        <w:rPr>
          <w:color w:val="231F20"/>
          <w:w w:val="105"/>
        </w:rPr>
        <w:t>no</w:t>
      </w:r>
      <w:r>
        <w:rPr>
          <w:color w:val="231F20"/>
          <w:spacing w:val="-9"/>
          <w:w w:val="105"/>
        </w:rPr>
        <w:t> </w:t>
      </w:r>
      <w:r>
        <w:rPr>
          <w:color w:val="231F20"/>
          <w:spacing w:val="-3"/>
          <w:w w:val="105"/>
        </w:rPr>
        <w:t>rebasan</w:t>
      </w:r>
      <w:r>
        <w:rPr>
          <w:color w:val="231F20"/>
          <w:spacing w:val="-9"/>
          <w:w w:val="105"/>
        </w:rPr>
        <w:t> </w:t>
      </w:r>
      <w:r>
        <w:rPr>
          <w:color w:val="231F20"/>
          <w:w w:val="105"/>
        </w:rPr>
        <w:t>los</w:t>
      </w:r>
      <w:r>
        <w:rPr>
          <w:color w:val="231F20"/>
          <w:spacing w:val="-9"/>
          <w:w w:val="105"/>
        </w:rPr>
        <w:t> </w:t>
      </w:r>
      <w:r>
        <w:rPr>
          <w:color w:val="231F20"/>
          <w:w w:val="105"/>
        </w:rPr>
        <w:t>20</w:t>
      </w:r>
      <w:r>
        <w:rPr>
          <w:color w:val="231F20"/>
          <w:spacing w:val="-9"/>
          <w:w w:val="105"/>
        </w:rPr>
        <w:t> </w:t>
      </w:r>
      <w:r>
        <w:rPr>
          <w:color w:val="231F20"/>
          <w:spacing w:val="-3"/>
          <w:w w:val="105"/>
        </w:rPr>
        <w:t>años</w:t>
      </w:r>
      <w:r>
        <w:rPr>
          <w:color w:val="231F20"/>
          <w:spacing w:val="-9"/>
          <w:w w:val="105"/>
        </w:rPr>
        <w:t> </w:t>
      </w:r>
      <w:r>
        <w:rPr>
          <w:color w:val="231F20"/>
          <w:w w:val="105"/>
        </w:rPr>
        <w:t>de</w:t>
      </w:r>
      <w:r>
        <w:rPr>
          <w:color w:val="231F20"/>
          <w:spacing w:val="-9"/>
          <w:w w:val="105"/>
        </w:rPr>
        <w:t> </w:t>
      </w:r>
      <w:r>
        <w:rPr>
          <w:color w:val="231F20"/>
          <w:spacing w:val="-3"/>
          <w:w w:val="105"/>
        </w:rPr>
        <w:t>edad,</w:t>
      </w:r>
      <w:r>
        <w:rPr>
          <w:color w:val="231F20"/>
          <w:spacing w:val="-15"/>
          <w:w w:val="105"/>
        </w:rPr>
        <w:t> </w:t>
      </w:r>
      <w:r>
        <w:rPr>
          <w:color w:val="231F20"/>
          <w:w w:val="105"/>
        </w:rPr>
        <w:t>con</w:t>
      </w:r>
      <w:r>
        <w:rPr>
          <w:color w:val="231F20"/>
          <w:spacing w:val="-9"/>
          <w:w w:val="105"/>
        </w:rPr>
        <w:t> </w:t>
      </w:r>
      <w:r>
        <w:rPr>
          <w:color w:val="231F20"/>
          <w:w w:val="105"/>
        </w:rPr>
        <w:t>una</w:t>
      </w:r>
      <w:r>
        <w:rPr>
          <w:color w:val="231F20"/>
          <w:spacing w:val="-9"/>
          <w:w w:val="105"/>
        </w:rPr>
        <w:t> </w:t>
      </w:r>
      <w:r>
        <w:rPr>
          <w:color w:val="231F20"/>
          <w:spacing w:val="-3"/>
          <w:w w:val="105"/>
        </w:rPr>
        <w:t>escolaridad</w:t>
      </w:r>
      <w:r>
        <w:rPr>
          <w:color w:val="231F20"/>
          <w:spacing w:val="-9"/>
          <w:w w:val="105"/>
        </w:rPr>
        <w:t> </w:t>
      </w:r>
      <w:r>
        <w:rPr>
          <w:color w:val="231F20"/>
          <w:spacing w:val="-3"/>
          <w:w w:val="105"/>
        </w:rPr>
        <w:t>promedio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se- </w:t>
      </w:r>
      <w:r>
        <w:rPr>
          <w:color w:val="231F20"/>
          <w:spacing w:val="-3"/>
          <w:w w:val="105"/>
        </w:rPr>
        <w:t>cundaria terminada. </w:t>
      </w:r>
      <w:r>
        <w:rPr>
          <w:color w:val="231F20"/>
          <w:w w:val="105"/>
        </w:rPr>
        <w:t>La </w:t>
      </w:r>
      <w:r>
        <w:rPr>
          <w:color w:val="231F20"/>
          <w:spacing w:val="-3"/>
          <w:w w:val="105"/>
        </w:rPr>
        <w:t>migración </w:t>
      </w:r>
      <w:r>
        <w:rPr>
          <w:color w:val="231F20"/>
          <w:w w:val="105"/>
        </w:rPr>
        <w:t>a </w:t>
      </w:r>
      <w:r>
        <w:rPr>
          <w:color w:val="231F20"/>
          <w:spacing w:val="-3"/>
          <w:w w:val="105"/>
        </w:rPr>
        <w:t>Estados Unidos </w:t>
      </w:r>
      <w:r>
        <w:rPr>
          <w:color w:val="231F20"/>
          <w:w w:val="105"/>
        </w:rPr>
        <w:t>en </w:t>
      </w:r>
      <w:r>
        <w:rPr>
          <w:color w:val="231F20"/>
          <w:spacing w:val="-3"/>
          <w:w w:val="105"/>
        </w:rPr>
        <w:t>Santiago </w:t>
      </w:r>
      <w:r>
        <w:rPr>
          <w:color w:val="231F20"/>
          <w:w w:val="105"/>
        </w:rPr>
        <w:t>fue </w:t>
      </w:r>
      <w:r>
        <w:rPr>
          <w:color w:val="231F20"/>
          <w:spacing w:val="-3"/>
          <w:w w:val="105"/>
        </w:rPr>
        <w:t>un fenómeno común desde </w:t>
      </w:r>
      <w:r>
        <w:rPr>
          <w:color w:val="231F20"/>
          <w:w w:val="105"/>
        </w:rPr>
        <w:t>los </w:t>
      </w:r>
      <w:r>
        <w:rPr>
          <w:color w:val="231F20"/>
          <w:spacing w:val="-3"/>
          <w:w w:val="105"/>
        </w:rPr>
        <w:t>años cincuenta. </w:t>
      </w:r>
      <w:r>
        <w:rPr>
          <w:color w:val="231F20"/>
          <w:spacing w:val="-7"/>
          <w:w w:val="105"/>
        </w:rPr>
        <w:t>Por </w:t>
      </w:r>
      <w:r>
        <w:rPr>
          <w:color w:val="231F20"/>
          <w:spacing w:val="-3"/>
          <w:w w:val="105"/>
        </w:rPr>
        <w:t>ello </w:t>
      </w:r>
      <w:r>
        <w:rPr>
          <w:color w:val="231F20"/>
          <w:w w:val="105"/>
        </w:rPr>
        <w:t>se han </w:t>
      </w:r>
      <w:r>
        <w:rPr>
          <w:color w:val="231F20"/>
          <w:spacing w:val="-3"/>
          <w:w w:val="105"/>
        </w:rPr>
        <w:t>conformado redes</w:t>
      </w:r>
      <w:r>
        <w:rPr>
          <w:color w:val="231F20"/>
          <w:spacing w:val="-21"/>
          <w:w w:val="105"/>
        </w:rPr>
        <w:t> </w:t>
      </w:r>
      <w:r>
        <w:rPr>
          <w:color w:val="231F20"/>
          <w:spacing w:val="-3"/>
          <w:w w:val="105"/>
        </w:rPr>
        <w:t>sociales</w:t>
      </w:r>
      <w:r>
        <w:rPr>
          <w:color w:val="231F20"/>
          <w:spacing w:val="-21"/>
          <w:w w:val="105"/>
        </w:rPr>
        <w:t> </w:t>
      </w:r>
      <w:r>
        <w:rPr>
          <w:color w:val="231F20"/>
          <w:w w:val="105"/>
        </w:rPr>
        <w:t>en</w:t>
      </w:r>
      <w:r>
        <w:rPr>
          <w:color w:val="231F20"/>
          <w:spacing w:val="-21"/>
          <w:w w:val="105"/>
        </w:rPr>
        <w:t> </w:t>
      </w:r>
      <w:r>
        <w:rPr>
          <w:color w:val="231F20"/>
          <w:spacing w:val="-3"/>
          <w:w w:val="105"/>
        </w:rPr>
        <w:t>Estados</w:t>
      </w:r>
      <w:r>
        <w:rPr>
          <w:color w:val="231F20"/>
          <w:spacing w:val="-21"/>
          <w:w w:val="105"/>
        </w:rPr>
        <w:t> </w:t>
      </w:r>
      <w:r>
        <w:rPr>
          <w:color w:val="231F20"/>
          <w:spacing w:val="-3"/>
          <w:w w:val="105"/>
        </w:rPr>
        <w:t>Unidos</w:t>
      </w:r>
      <w:r>
        <w:rPr>
          <w:color w:val="231F20"/>
          <w:spacing w:val="-21"/>
          <w:w w:val="105"/>
        </w:rPr>
        <w:t> </w:t>
      </w:r>
      <w:r>
        <w:rPr>
          <w:color w:val="231F20"/>
          <w:w w:val="105"/>
        </w:rPr>
        <w:t>que</w:t>
      </w:r>
      <w:r>
        <w:rPr>
          <w:color w:val="231F20"/>
          <w:spacing w:val="-21"/>
          <w:w w:val="105"/>
        </w:rPr>
        <w:t> </w:t>
      </w:r>
      <w:r>
        <w:rPr>
          <w:color w:val="231F20"/>
          <w:spacing w:val="-3"/>
          <w:w w:val="105"/>
        </w:rPr>
        <w:t>juegan</w:t>
      </w:r>
      <w:r>
        <w:rPr>
          <w:color w:val="231F20"/>
          <w:spacing w:val="-21"/>
          <w:w w:val="105"/>
        </w:rPr>
        <w:t> </w:t>
      </w:r>
      <w:r>
        <w:rPr>
          <w:color w:val="231F20"/>
          <w:w w:val="105"/>
        </w:rPr>
        <w:t>un</w:t>
      </w:r>
      <w:r>
        <w:rPr>
          <w:color w:val="231F20"/>
          <w:spacing w:val="-21"/>
          <w:w w:val="105"/>
        </w:rPr>
        <w:t> </w:t>
      </w:r>
      <w:r>
        <w:rPr>
          <w:color w:val="231F20"/>
          <w:spacing w:val="-3"/>
          <w:w w:val="105"/>
        </w:rPr>
        <w:t>papel</w:t>
      </w:r>
      <w:r>
        <w:rPr>
          <w:color w:val="231F20"/>
          <w:spacing w:val="-21"/>
          <w:w w:val="105"/>
        </w:rPr>
        <w:t> </w:t>
      </w:r>
      <w:r>
        <w:rPr>
          <w:color w:val="231F20"/>
          <w:spacing w:val="-3"/>
          <w:w w:val="105"/>
        </w:rPr>
        <w:t>fundamental</w:t>
      </w:r>
      <w:r>
        <w:rPr>
          <w:color w:val="231F20"/>
          <w:spacing w:val="-21"/>
          <w:w w:val="105"/>
        </w:rPr>
        <w:t> </w:t>
      </w:r>
      <w:r>
        <w:rPr>
          <w:color w:val="231F20"/>
          <w:spacing w:val="-3"/>
          <w:w w:val="105"/>
        </w:rPr>
        <w:t>como facilitadoras</w:t>
      </w:r>
      <w:r>
        <w:rPr>
          <w:color w:val="231F20"/>
          <w:spacing w:val="-21"/>
          <w:w w:val="105"/>
        </w:rPr>
        <w:t> </w:t>
      </w:r>
      <w:r>
        <w:rPr>
          <w:color w:val="231F20"/>
          <w:w w:val="105"/>
        </w:rPr>
        <w:t>de</w:t>
      </w:r>
      <w:r>
        <w:rPr>
          <w:color w:val="231F20"/>
          <w:spacing w:val="-21"/>
          <w:w w:val="105"/>
        </w:rPr>
        <w:t> </w:t>
      </w:r>
      <w:r>
        <w:rPr>
          <w:color w:val="231F20"/>
          <w:spacing w:val="-3"/>
          <w:w w:val="105"/>
        </w:rPr>
        <w:t>este</w:t>
      </w:r>
      <w:r>
        <w:rPr>
          <w:color w:val="231F20"/>
          <w:spacing w:val="-21"/>
          <w:w w:val="105"/>
        </w:rPr>
        <w:t> </w:t>
      </w:r>
      <w:r>
        <w:rPr>
          <w:color w:val="231F20"/>
          <w:spacing w:val="-4"/>
          <w:w w:val="105"/>
        </w:rPr>
        <w:t>proceso.</w:t>
      </w:r>
    </w:p>
    <w:p>
      <w:pPr>
        <w:pStyle w:val="BodyText"/>
        <w:spacing w:line="261" w:lineRule="auto" w:before="1"/>
        <w:ind w:left="1837" w:right="1721" w:firstLine="567"/>
        <w:jc w:val="both"/>
        <w:rPr>
          <w:sz w:val="12"/>
        </w:rPr>
      </w:pPr>
      <w:r>
        <w:rPr>
          <w:color w:val="231F20"/>
          <w:w w:val="105"/>
        </w:rPr>
        <w:t>La migración a dicho lugar se multiplicó considerablemente a</w:t>
      </w:r>
      <w:r>
        <w:rPr>
          <w:color w:val="231F20"/>
          <w:spacing w:val="-28"/>
          <w:w w:val="105"/>
        </w:rPr>
        <w:t> </w:t>
      </w:r>
      <w:r>
        <w:rPr>
          <w:color w:val="231F20"/>
          <w:w w:val="105"/>
        </w:rPr>
        <w:t>raíz del</w:t>
      </w:r>
      <w:r>
        <w:rPr>
          <w:color w:val="231F20"/>
          <w:spacing w:val="-9"/>
          <w:w w:val="105"/>
        </w:rPr>
        <w:t> </w:t>
      </w:r>
      <w:r>
        <w:rPr>
          <w:color w:val="231F20"/>
          <w:w w:val="105"/>
        </w:rPr>
        <w:t>cierre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“Casa</w:t>
      </w:r>
      <w:r>
        <w:rPr>
          <w:color w:val="231F20"/>
          <w:spacing w:val="-9"/>
          <w:w w:val="105"/>
        </w:rPr>
        <w:t> </w:t>
      </w:r>
      <w:r>
        <w:rPr>
          <w:color w:val="231F20"/>
          <w:w w:val="105"/>
        </w:rPr>
        <w:t>de</w:t>
      </w:r>
      <w:r>
        <w:rPr>
          <w:color w:val="231F20"/>
          <w:spacing w:val="-9"/>
          <w:w w:val="105"/>
        </w:rPr>
        <w:t> </w:t>
      </w:r>
      <w:r>
        <w:rPr>
          <w:color w:val="231F20"/>
          <w:w w:val="105"/>
        </w:rPr>
        <w:t>Gobierno”</w:t>
      </w:r>
      <w:r>
        <w:rPr>
          <w:color w:val="231F20"/>
          <w:spacing w:val="-9"/>
          <w:w w:val="105"/>
        </w:rPr>
        <w:t> </w:t>
      </w:r>
      <w:r>
        <w:rPr>
          <w:color w:val="231F20"/>
          <w:w w:val="105"/>
        </w:rPr>
        <w:t>la</w:t>
      </w:r>
      <w:r>
        <w:rPr>
          <w:color w:val="231F20"/>
          <w:spacing w:val="-9"/>
          <w:w w:val="105"/>
        </w:rPr>
        <w:t> </w:t>
      </w:r>
      <w:r>
        <w:rPr>
          <w:color w:val="231F20"/>
          <w:w w:val="105"/>
        </w:rPr>
        <w:t>cual</w:t>
      </w:r>
      <w:r>
        <w:rPr>
          <w:color w:val="231F20"/>
          <w:spacing w:val="-9"/>
          <w:w w:val="105"/>
        </w:rPr>
        <w:t> </w:t>
      </w:r>
      <w:r>
        <w:rPr>
          <w:color w:val="231F20"/>
          <w:w w:val="105"/>
        </w:rPr>
        <w:t>fue</w:t>
      </w:r>
      <w:r>
        <w:rPr>
          <w:color w:val="231F20"/>
          <w:spacing w:val="-9"/>
          <w:w w:val="105"/>
        </w:rPr>
        <w:t> </w:t>
      </w:r>
      <w:r>
        <w:rPr>
          <w:color w:val="231F20"/>
          <w:w w:val="105"/>
        </w:rPr>
        <w:t>construida</w:t>
      </w:r>
      <w:r>
        <w:rPr>
          <w:color w:val="231F20"/>
          <w:spacing w:val="-9"/>
          <w:w w:val="105"/>
        </w:rPr>
        <w:t> </w:t>
      </w:r>
      <w:r>
        <w:rPr>
          <w:color w:val="231F20"/>
          <w:w w:val="105"/>
        </w:rPr>
        <w:t>en</w:t>
      </w:r>
      <w:r>
        <w:rPr>
          <w:color w:val="231F20"/>
          <w:spacing w:val="-9"/>
          <w:w w:val="105"/>
        </w:rPr>
        <w:t> </w:t>
      </w:r>
      <w:r>
        <w:rPr>
          <w:color w:val="231F20"/>
          <w:w w:val="105"/>
        </w:rPr>
        <w:t>1950</w:t>
      </w:r>
      <w:r>
        <w:rPr>
          <w:color w:val="231F20"/>
          <w:spacing w:val="-9"/>
          <w:w w:val="105"/>
        </w:rPr>
        <w:t> </w:t>
      </w:r>
      <w:r>
        <w:rPr>
          <w:color w:val="231F20"/>
          <w:w w:val="105"/>
        </w:rPr>
        <w:t>como parte de un proyecto que consistía en la creación de 27 ranchos en te- rritorio</w:t>
      </w:r>
      <w:r>
        <w:rPr>
          <w:color w:val="231F20"/>
          <w:spacing w:val="-14"/>
          <w:w w:val="105"/>
        </w:rPr>
        <w:t> </w:t>
      </w:r>
      <w:r>
        <w:rPr>
          <w:color w:val="231F20"/>
          <w:w w:val="105"/>
        </w:rPr>
        <w:t>mexiquense,</w:t>
      </w:r>
      <w:r>
        <w:rPr>
          <w:color w:val="231F20"/>
          <w:spacing w:val="-19"/>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cuales</w:t>
      </w:r>
      <w:r>
        <w:rPr>
          <w:color w:val="231F20"/>
          <w:spacing w:val="-14"/>
          <w:w w:val="105"/>
        </w:rPr>
        <w:t> </w:t>
      </w:r>
      <w:r>
        <w:rPr>
          <w:color w:val="231F20"/>
          <w:w w:val="105"/>
        </w:rPr>
        <w:t>cuatro</w:t>
      </w:r>
      <w:r>
        <w:rPr>
          <w:color w:val="231F20"/>
          <w:spacing w:val="-14"/>
          <w:w w:val="105"/>
        </w:rPr>
        <w:t> </w:t>
      </w:r>
      <w:r>
        <w:rPr>
          <w:color w:val="231F20"/>
          <w:w w:val="105"/>
        </w:rPr>
        <w:t>se</w:t>
      </w:r>
      <w:r>
        <w:rPr>
          <w:color w:val="231F20"/>
          <w:spacing w:val="-14"/>
          <w:w w:val="105"/>
        </w:rPr>
        <w:t> </w:t>
      </w:r>
      <w:r>
        <w:rPr>
          <w:color w:val="231F20"/>
          <w:w w:val="105"/>
        </w:rPr>
        <w:t>encontraban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zona</w:t>
      </w:r>
      <w:r>
        <w:rPr>
          <w:color w:val="231F20"/>
          <w:spacing w:val="-14"/>
          <w:w w:val="105"/>
        </w:rPr>
        <w:t> </w:t>
      </w:r>
      <w:r>
        <w:rPr>
          <w:color w:val="231F20"/>
          <w:w w:val="105"/>
        </w:rPr>
        <w:t>Sur: Santiago,</w:t>
      </w:r>
      <w:r>
        <w:rPr>
          <w:color w:val="231F20"/>
          <w:spacing w:val="-32"/>
          <w:w w:val="105"/>
        </w:rPr>
        <w:t> </w:t>
      </w:r>
      <w:r>
        <w:rPr>
          <w:color w:val="231F20"/>
          <w:w w:val="105"/>
        </w:rPr>
        <w:t>La</w:t>
      </w:r>
      <w:r>
        <w:rPr>
          <w:color w:val="231F20"/>
          <w:spacing w:val="-28"/>
          <w:w w:val="105"/>
        </w:rPr>
        <w:t> </w:t>
      </w:r>
      <w:r>
        <w:rPr>
          <w:color w:val="231F20"/>
          <w:w w:val="105"/>
        </w:rPr>
        <w:t>Hacienda</w:t>
      </w:r>
      <w:r>
        <w:rPr>
          <w:color w:val="231F20"/>
          <w:spacing w:val="-28"/>
          <w:w w:val="105"/>
        </w:rPr>
        <w:t> </w:t>
      </w:r>
      <w:r>
        <w:rPr>
          <w:color w:val="231F20"/>
          <w:w w:val="105"/>
        </w:rPr>
        <w:t>de</w:t>
      </w:r>
      <w:r>
        <w:rPr>
          <w:color w:val="231F20"/>
          <w:spacing w:val="-28"/>
          <w:w w:val="105"/>
        </w:rPr>
        <w:t> </w:t>
      </w:r>
      <w:r>
        <w:rPr>
          <w:color w:val="231F20"/>
          <w:w w:val="105"/>
        </w:rPr>
        <w:t>Ixtapan,</w:t>
      </w:r>
      <w:r>
        <w:rPr>
          <w:color w:val="231F20"/>
          <w:spacing w:val="-32"/>
          <w:w w:val="105"/>
        </w:rPr>
        <w:t> </w:t>
      </w:r>
      <w:r>
        <w:rPr>
          <w:color w:val="231F20"/>
          <w:w w:val="105"/>
        </w:rPr>
        <w:t>San</w:t>
      </w:r>
      <w:r>
        <w:rPr>
          <w:color w:val="231F20"/>
          <w:spacing w:val="-31"/>
          <w:w w:val="105"/>
        </w:rPr>
        <w:t> </w:t>
      </w:r>
      <w:r>
        <w:rPr>
          <w:color w:val="231F20"/>
          <w:w w:val="105"/>
        </w:rPr>
        <w:t>Antonio</w:t>
      </w:r>
      <w:r>
        <w:rPr>
          <w:color w:val="231F20"/>
          <w:spacing w:val="-28"/>
          <w:w w:val="105"/>
        </w:rPr>
        <w:t> </w:t>
      </w:r>
      <w:r>
        <w:rPr>
          <w:color w:val="231F20"/>
          <w:w w:val="105"/>
        </w:rPr>
        <w:t>del</w:t>
      </w:r>
      <w:r>
        <w:rPr>
          <w:color w:val="231F20"/>
          <w:spacing w:val="-28"/>
          <w:w w:val="105"/>
        </w:rPr>
        <w:t> </w:t>
      </w:r>
      <w:r>
        <w:rPr>
          <w:color w:val="231F20"/>
          <w:w w:val="105"/>
        </w:rPr>
        <w:t>Rosario</w:t>
      </w:r>
      <w:r>
        <w:rPr>
          <w:color w:val="231F20"/>
          <w:spacing w:val="-28"/>
          <w:w w:val="105"/>
        </w:rPr>
        <w:t> </w:t>
      </w:r>
      <w:r>
        <w:rPr>
          <w:color w:val="231F20"/>
          <w:w w:val="105"/>
        </w:rPr>
        <w:t>y</w:t>
      </w:r>
      <w:r>
        <w:rPr>
          <w:color w:val="231F20"/>
          <w:spacing w:val="-28"/>
          <w:w w:val="105"/>
        </w:rPr>
        <w:t> </w:t>
      </w:r>
      <w:r>
        <w:rPr>
          <w:color w:val="231F20"/>
          <w:w w:val="105"/>
        </w:rPr>
        <w:t>Luvianos.</w:t>
      </w:r>
      <w:r>
        <w:rPr>
          <w:color w:val="231F20"/>
          <w:spacing w:val="-32"/>
          <w:w w:val="105"/>
        </w:rPr>
        <w:t> </w:t>
      </w:r>
      <w:r>
        <w:rPr>
          <w:color w:val="231F20"/>
          <w:w w:val="105"/>
        </w:rPr>
        <w:t>El propósito de estos ranchos era el desarrollo de tecnologías pecuarias</w:t>
      </w:r>
      <w:r>
        <w:rPr>
          <w:color w:val="231F20"/>
          <w:spacing w:val="-36"/>
          <w:w w:val="105"/>
        </w:rPr>
        <w:t> </w:t>
      </w:r>
      <w:r>
        <w:rPr>
          <w:color w:val="231F20"/>
          <w:w w:val="105"/>
        </w:rPr>
        <w:t>y agrícolas, además de ser un centro demostrativo para apoyar el exten- sionismo</w:t>
      </w:r>
      <w:r>
        <w:rPr>
          <w:color w:val="231F20"/>
          <w:spacing w:val="-13"/>
          <w:w w:val="105"/>
        </w:rPr>
        <w:t> </w:t>
      </w:r>
      <w:r>
        <w:rPr>
          <w:color w:val="231F20"/>
          <w:w w:val="105"/>
        </w:rPr>
        <w:t>agropecuario.</w:t>
      </w:r>
      <w:r>
        <w:rPr>
          <w:color w:val="231F20"/>
          <w:spacing w:val="-19"/>
          <w:w w:val="105"/>
        </w:rPr>
        <w:t> </w:t>
      </w:r>
      <w:r>
        <w:rPr>
          <w:color w:val="231F20"/>
          <w:spacing w:val="-3"/>
          <w:w w:val="105"/>
        </w:rPr>
        <w:t>Fueron</w:t>
      </w:r>
      <w:r>
        <w:rPr>
          <w:color w:val="231F20"/>
          <w:spacing w:val="-13"/>
          <w:w w:val="105"/>
        </w:rPr>
        <w:t> </w:t>
      </w:r>
      <w:r>
        <w:rPr>
          <w:color w:val="231F20"/>
          <w:w w:val="105"/>
        </w:rPr>
        <w:t>administrados</w:t>
      </w:r>
      <w:r>
        <w:rPr>
          <w:color w:val="231F20"/>
          <w:spacing w:val="-13"/>
          <w:w w:val="105"/>
        </w:rPr>
        <w:t> </w:t>
      </w:r>
      <w:r>
        <w:rPr>
          <w:color w:val="231F20"/>
          <w:w w:val="105"/>
        </w:rPr>
        <w:t>por</w:t>
      </w:r>
      <w:r>
        <w:rPr>
          <w:color w:val="231F20"/>
          <w:spacing w:val="-13"/>
          <w:w w:val="105"/>
        </w:rPr>
        <w:t> </w:t>
      </w:r>
      <w:r>
        <w:rPr>
          <w:color w:val="231F20"/>
          <w:w w:val="105"/>
        </w:rPr>
        <w:t>una</w:t>
      </w:r>
      <w:r>
        <w:rPr>
          <w:color w:val="231F20"/>
          <w:spacing w:val="-13"/>
          <w:w w:val="105"/>
        </w:rPr>
        <w:t> </w:t>
      </w:r>
      <w:r>
        <w:rPr>
          <w:color w:val="231F20"/>
          <w:w w:val="105"/>
        </w:rPr>
        <w:t>empresa</w:t>
      </w:r>
      <w:r>
        <w:rPr>
          <w:color w:val="231F20"/>
          <w:spacing w:val="-13"/>
          <w:w w:val="105"/>
        </w:rPr>
        <w:t> </w:t>
      </w:r>
      <w:r>
        <w:rPr>
          <w:color w:val="231F20"/>
          <w:w w:val="105"/>
        </w:rPr>
        <w:t>llamada </w:t>
      </w:r>
      <w:r>
        <w:rPr>
          <w:color w:val="231F20"/>
          <w:w w:val="105"/>
          <w:sz w:val="17"/>
        </w:rPr>
        <w:t>SAIMEX</w:t>
      </w:r>
      <w:r>
        <w:rPr>
          <w:color w:val="231F20"/>
          <w:spacing w:val="-20"/>
          <w:w w:val="105"/>
          <w:sz w:val="17"/>
        </w:rPr>
        <w:t> </w:t>
      </w:r>
      <w:r>
        <w:rPr>
          <w:color w:val="231F20"/>
          <w:w w:val="105"/>
        </w:rPr>
        <w:t>(Entrevista</w:t>
      </w:r>
      <w:r>
        <w:rPr>
          <w:color w:val="231F20"/>
          <w:spacing w:val="-31"/>
          <w:w w:val="105"/>
        </w:rPr>
        <w:t> </w:t>
      </w:r>
      <w:r>
        <w:rPr>
          <w:color w:val="231F20"/>
          <w:w w:val="105"/>
        </w:rPr>
        <w:t>MVZ</w:t>
      </w:r>
      <w:r>
        <w:rPr>
          <w:color w:val="231F20"/>
          <w:spacing w:val="-32"/>
          <w:w w:val="105"/>
        </w:rPr>
        <w:t> </w:t>
      </w:r>
      <w:r>
        <w:rPr>
          <w:color w:val="231F20"/>
          <w:w w:val="105"/>
        </w:rPr>
        <w:t>José</w:t>
      </w:r>
      <w:r>
        <w:rPr>
          <w:color w:val="231F20"/>
          <w:spacing w:val="-31"/>
          <w:w w:val="105"/>
        </w:rPr>
        <w:t> </w:t>
      </w:r>
      <w:r>
        <w:rPr>
          <w:color w:val="231F20"/>
          <w:w w:val="105"/>
        </w:rPr>
        <w:t>Luis</w:t>
      </w:r>
      <w:r>
        <w:rPr>
          <w:color w:val="231F20"/>
          <w:spacing w:val="-31"/>
          <w:w w:val="105"/>
        </w:rPr>
        <w:t> </w:t>
      </w:r>
      <w:r>
        <w:rPr>
          <w:color w:val="231F20"/>
          <w:w w:val="105"/>
        </w:rPr>
        <w:t>Caballero,</w:t>
      </w:r>
      <w:r>
        <w:rPr>
          <w:color w:val="231F20"/>
          <w:spacing w:val="-35"/>
          <w:w w:val="105"/>
        </w:rPr>
        <w:t> </w:t>
      </w:r>
      <w:r>
        <w:rPr>
          <w:color w:val="231F20"/>
          <w:w w:val="105"/>
        </w:rPr>
        <w:t>6</w:t>
      </w:r>
      <w:r>
        <w:rPr>
          <w:color w:val="231F20"/>
          <w:spacing w:val="-31"/>
          <w:w w:val="105"/>
        </w:rPr>
        <w:t> </w:t>
      </w:r>
      <w:r>
        <w:rPr>
          <w:color w:val="231F20"/>
          <w:w w:val="105"/>
        </w:rPr>
        <w:t>de</w:t>
      </w:r>
      <w:r>
        <w:rPr>
          <w:color w:val="231F20"/>
          <w:spacing w:val="-31"/>
          <w:w w:val="105"/>
        </w:rPr>
        <w:t> </w:t>
      </w:r>
      <w:r>
        <w:rPr>
          <w:color w:val="231F20"/>
          <w:w w:val="105"/>
        </w:rPr>
        <w:t>mayo</w:t>
      </w:r>
      <w:r>
        <w:rPr>
          <w:color w:val="231F20"/>
          <w:spacing w:val="-31"/>
          <w:w w:val="105"/>
        </w:rPr>
        <w:t> </w:t>
      </w:r>
      <w:r>
        <w:rPr>
          <w:color w:val="231F20"/>
          <w:w w:val="105"/>
        </w:rPr>
        <w:t>de</w:t>
      </w:r>
      <w:r>
        <w:rPr>
          <w:color w:val="231F20"/>
          <w:spacing w:val="-31"/>
          <w:w w:val="105"/>
        </w:rPr>
        <w:t> </w:t>
      </w:r>
      <w:r>
        <w:rPr>
          <w:color w:val="231F20"/>
          <w:w w:val="105"/>
        </w:rPr>
        <w:t>2015).</w:t>
      </w:r>
      <w:r>
        <w:rPr>
          <w:color w:val="231F20"/>
          <w:w w:val="105"/>
          <w:position w:val="7"/>
          <w:sz w:val="12"/>
        </w:rPr>
        <w:t>7</w:t>
      </w:r>
    </w:p>
    <w:p>
      <w:pPr>
        <w:pStyle w:val="BodyText"/>
        <w:spacing w:line="261" w:lineRule="auto" w:before="1"/>
        <w:ind w:left="1837" w:right="1721" w:firstLine="567"/>
        <w:jc w:val="both"/>
      </w:pPr>
      <w:r>
        <w:rPr>
          <w:color w:val="231F20"/>
          <w:w w:val="105"/>
        </w:rPr>
        <w:t>La casa de Gobierno contribuyó al mejoramiento de las razas de ganado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región.</w:t>
      </w:r>
      <w:r>
        <w:rPr>
          <w:color w:val="231F20"/>
          <w:spacing w:val="-10"/>
          <w:w w:val="105"/>
        </w:rPr>
        <w:t> </w:t>
      </w:r>
      <w:r>
        <w:rPr>
          <w:color w:val="231F20"/>
          <w:spacing w:val="-5"/>
          <w:w w:val="105"/>
        </w:rPr>
        <w:t>Pero </w:t>
      </w:r>
      <w:r>
        <w:rPr>
          <w:color w:val="231F20"/>
          <w:w w:val="105"/>
        </w:rPr>
        <w:t>quizá</w:t>
      </w:r>
      <w:r>
        <w:rPr>
          <w:color w:val="231F20"/>
          <w:spacing w:val="-5"/>
          <w:w w:val="105"/>
        </w:rPr>
        <w:t> </w:t>
      </w:r>
      <w:r>
        <w:rPr>
          <w:color w:val="231F20"/>
          <w:w w:val="105"/>
        </w:rPr>
        <w:t>su</w:t>
      </w:r>
      <w:r>
        <w:rPr>
          <w:color w:val="231F20"/>
          <w:spacing w:val="-5"/>
          <w:w w:val="105"/>
        </w:rPr>
        <w:t> </w:t>
      </w:r>
      <w:r>
        <w:rPr>
          <w:color w:val="231F20"/>
          <w:w w:val="105"/>
        </w:rPr>
        <w:t>efecto</w:t>
      </w:r>
      <w:r>
        <w:rPr>
          <w:color w:val="231F20"/>
          <w:spacing w:val="-5"/>
          <w:w w:val="105"/>
        </w:rPr>
        <w:t> </w:t>
      </w:r>
      <w:r>
        <w:rPr>
          <w:color w:val="231F20"/>
          <w:w w:val="105"/>
        </w:rPr>
        <w:t>más</w:t>
      </w:r>
      <w:r>
        <w:rPr>
          <w:color w:val="231F20"/>
          <w:spacing w:val="-5"/>
          <w:w w:val="105"/>
        </w:rPr>
        <w:t> </w:t>
      </w:r>
      <w:r>
        <w:rPr>
          <w:color w:val="231F20"/>
          <w:w w:val="105"/>
        </w:rPr>
        <w:t>importante</w:t>
      </w:r>
      <w:r>
        <w:rPr>
          <w:color w:val="231F20"/>
          <w:spacing w:val="-5"/>
          <w:w w:val="105"/>
        </w:rPr>
        <w:t> </w:t>
      </w:r>
      <w:r>
        <w:rPr>
          <w:color w:val="231F20"/>
          <w:w w:val="105"/>
        </w:rPr>
        <w:t>fue</w:t>
      </w:r>
      <w:r>
        <w:rPr>
          <w:color w:val="231F20"/>
          <w:spacing w:val="-5"/>
          <w:w w:val="105"/>
        </w:rPr>
        <w:t> </w:t>
      </w:r>
      <w:r>
        <w:rPr>
          <w:color w:val="231F20"/>
          <w:w w:val="105"/>
        </w:rPr>
        <w:t>como</w:t>
      </w:r>
      <w:r>
        <w:rPr>
          <w:color w:val="231F20"/>
          <w:spacing w:val="-5"/>
          <w:w w:val="105"/>
        </w:rPr>
        <w:t> </w:t>
      </w:r>
      <w:r>
        <w:rPr>
          <w:color w:val="231F20"/>
          <w:w w:val="105"/>
        </w:rPr>
        <w:t>ge- neradora</w:t>
      </w:r>
      <w:r>
        <w:rPr>
          <w:color w:val="231F20"/>
          <w:spacing w:val="-16"/>
          <w:w w:val="105"/>
        </w:rPr>
        <w:t> </w:t>
      </w:r>
      <w:r>
        <w:rPr>
          <w:color w:val="231F20"/>
          <w:w w:val="105"/>
        </w:rPr>
        <w:t>de</w:t>
      </w:r>
      <w:r>
        <w:rPr>
          <w:color w:val="231F20"/>
          <w:spacing w:val="-16"/>
          <w:w w:val="105"/>
        </w:rPr>
        <w:t> </w:t>
      </w:r>
      <w:r>
        <w:rPr>
          <w:color w:val="231F20"/>
          <w:w w:val="105"/>
        </w:rPr>
        <w:t>fuentes</w:t>
      </w:r>
      <w:r>
        <w:rPr>
          <w:color w:val="231F20"/>
          <w:spacing w:val="-16"/>
          <w:w w:val="105"/>
        </w:rPr>
        <w:t> </w:t>
      </w:r>
      <w:r>
        <w:rPr>
          <w:color w:val="231F20"/>
          <w:w w:val="105"/>
        </w:rPr>
        <w:t>de</w:t>
      </w:r>
      <w:r>
        <w:rPr>
          <w:color w:val="231F20"/>
          <w:spacing w:val="-16"/>
          <w:w w:val="105"/>
        </w:rPr>
        <w:t> </w:t>
      </w:r>
      <w:r>
        <w:rPr>
          <w:color w:val="231F20"/>
          <w:w w:val="105"/>
        </w:rPr>
        <w:t>empleo</w:t>
      </w:r>
      <w:r>
        <w:rPr>
          <w:color w:val="231F20"/>
          <w:spacing w:val="-16"/>
          <w:w w:val="105"/>
        </w:rPr>
        <w:t> </w:t>
      </w:r>
      <w:r>
        <w:rPr>
          <w:color w:val="231F20"/>
          <w:w w:val="105"/>
        </w:rPr>
        <w:t>directo</w:t>
      </w:r>
      <w:r>
        <w:rPr>
          <w:color w:val="231F20"/>
          <w:spacing w:val="-16"/>
          <w:w w:val="105"/>
        </w:rPr>
        <w:t> </w:t>
      </w:r>
      <w:r>
        <w:rPr>
          <w:color w:val="231F20"/>
          <w:w w:val="105"/>
        </w:rPr>
        <w:t>e</w:t>
      </w:r>
      <w:r>
        <w:rPr>
          <w:color w:val="231F20"/>
          <w:spacing w:val="-16"/>
          <w:w w:val="105"/>
        </w:rPr>
        <w:t> </w:t>
      </w:r>
      <w:r>
        <w:rPr>
          <w:color w:val="231F20"/>
          <w:w w:val="105"/>
        </w:rPr>
        <w:t>indirecto</w:t>
      </w:r>
      <w:r>
        <w:rPr>
          <w:color w:val="231F20"/>
          <w:spacing w:val="-16"/>
          <w:w w:val="105"/>
        </w:rPr>
        <w:t> </w:t>
      </w:r>
      <w:r>
        <w:rPr>
          <w:color w:val="231F20"/>
          <w:w w:val="105"/>
        </w:rPr>
        <w:t>para</w:t>
      </w:r>
      <w:r>
        <w:rPr>
          <w:color w:val="231F20"/>
          <w:spacing w:val="-16"/>
          <w:w w:val="105"/>
        </w:rPr>
        <w:t> </w:t>
      </w:r>
      <w:r>
        <w:rPr>
          <w:color w:val="231F20"/>
          <w:w w:val="105"/>
        </w:rPr>
        <w:t>los</w:t>
      </w:r>
      <w:r>
        <w:rPr>
          <w:color w:val="231F20"/>
          <w:spacing w:val="-16"/>
          <w:w w:val="105"/>
        </w:rPr>
        <w:t> </w:t>
      </w:r>
      <w:r>
        <w:rPr>
          <w:color w:val="231F20"/>
          <w:w w:val="105"/>
        </w:rPr>
        <w:t>habitantes</w:t>
      </w:r>
      <w:r>
        <w:rPr>
          <w:color w:val="231F20"/>
          <w:spacing w:val="-16"/>
          <w:w w:val="105"/>
        </w:rPr>
        <w:t> </w:t>
      </w:r>
      <w:r>
        <w:rPr>
          <w:color w:val="231F20"/>
          <w:w w:val="105"/>
        </w:rPr>
        <w:t>de Santiago y de comunidades vecinas. Se calcula que aproximadamente existían</w:t>
      </w:r>
      <w:r>
        <w:rPr>
          <w:color w:val="231F20"/>
          <w:spacing w:val="-9"/>
          <w:w w:val="105"/>
        </w:rPr>
        <w:t> </w:t>
      </w:r>
      <w:r>
        <w:rPr>
          <w:color w:val="231F20"/>
          <w:w w:val="105"/>
        </w:rPr>
        <w:t>350</w:t>
      </w:r>
      <w:r>
        <w:rPr>
          <w:color w:val="231F20"/>
          <w:spacing w:val="-9"/>
          <w:w w:val="105"/>
        </w:rPr>
        <w:t> </w:t>
      </w:r>
      <w:r>
        <w:rPr>
          <w:color w:val="231F20"/>
          <w:w w:val="105"/>
        </w:rPr>
        <w:t>trabajadores</w:t>
      </w:r>
      <w:r>
        <w:rPr>
          <w:color w:val="231F20"/>
          <w:spacing w:val="-9"/>
          <w:w w:val="105"/>
        </w:rPr>
        <w:t> </w:t>
      </w:r>
      <w:r>
        <w:rPr>
          <w:color w:val="231F20"/>
          <w:w w:val="105"/>
        </w:rPr>
        <w:t>en</w:t>
      </w:r>
      <w:r>
        <w:rPr>
          <w:color w:val="231F20"/>
          <w:spacing w:val="-9"/>
          <w:w w:val="105"/>
        </w:rPr>
        <w:t> </w:t>
      </w:r>
      <w:r>
        <w:rPr>
          <w:color w:val="231F20"/>
          <w:w w:val="105"/>
        </w:rPr>
        <w:t>todo</w:t>
      </w:r>
      <w:r>
        <w:rPr>
          <w:color w:val="231F20"/>
          <w:spacing w:val="-9"/>
          <w:w w:val="105"/>
        </w:rPr>
        <w:t> </w:t>
      </w:r>
      <w:r>
        <w:rPr>
          <w:color w:val="231F20"/>
          <w:w w:val="105"/>
        </w:rPr>
        <w:t>el</w:t>
      </w:r>
      <w:r>
        <w:rPr>
          <w:color w:val="231F20"/>
          <w:spacing w:val="-9"/>
          <w:w w:val="105"/>
        </w:rPr>
        <w:t> </w:t>
      </w:r>
      <w:r>
        <w:rPr>
          <w:color w:val="231F20"/>
          <w:w w:val="105"/>
        </w:rPr>
        <w:t>rancho</w:t>
      </w:r>
      <w:r>
        <w:rPr>
          <w:color w:val="231F20"/>
          <w:spacing w:val="-9"/>
          <w:w w:val="105"/>
        </w:rPr>
        <w:t> </w:t>
      </w:r>
      <w:r>
        <w:rPr>
          <w:color w:val="231F20"/>
          <w:w w:val="105"/>
        </w:rPr>
        <w:t>realizando</w:t>
      </w:r>
      <w:r>
        <w:rPr>
          <w:color w:val="231F20"/>
          <w:spacing w:val="-9"/>
          <w:w w:val="105"/>
        </w:rPr>
        <w:t> </w:t>
      </w:r>
      <w:r>
        <w:rPr>
          <w:color w:val="231F20"/>
          <w:w w:val="105"/>
        </w:rPr>
        <w:t>trabajos</w:t>
      </w:r>
      <w:r>
        <w:rPr>
          <w:color w:val="231F20"/>
          <w:spacing w:val="-9"/>
          <w:w w:val="105"/>
        </w:rPr>
        <w:t> </w:t>
      </w:r>
      <w:r>
        <w:rPr>
          <w:color w:val="231F20"/>
          <w:w w:val="105"/>
        </w:rPr>
        <w:t>encami- nados</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producción</w:t>
      </w:r>
      <w:r>
        <w:rPr>
          <w:color w:val="231F20"/>
          <w:spacing w:val="-20"/>
          <w:w w:val="105"/>
        </w:rPr>
        <w:t> </w:t>
      </w:r>
      <w:r>
        <w:rPr>
          <w:color w:val="231F20"/>
          <w:w w:val="105"/>
        </w:rPr>
        <w:t>de</w:t>
      </w:r>
      <w:r>
        <w:rPr>
          <w:color w:val="231F20"/>
          <w:spacing w:val="-20"/>
          <w:w w:val="105"/>
        </w:rPr>
        <w:t> </w:t>
      </w:r>
      <w:r>
        <w:rPr>
          <w:color w:val="231F20"/>
          <w:w w:val="105"/>
        </w:rPr>
        <w:t>ganado,</w:t>
      </w:r>
      <w:r>
        <w:rPr>
          <w:color w:val="231F20"/>
          <w:spacing w:val="-26"/>
          <w:w w:val="105"/>
        </w:rPr>
        <w:t> </w:t>
      </w:r>
      <w:r>
        <w:rPr>
          <w:color w:val="231F20"/>
          <w:w w:val="105"/>
        </w:rPr>
        <w:t>huertos</w:t>
      </w:r>
      <w:r>
        <w:rPr>
          <w:color w:val="231F20"/>
          <w:spacing w:val="-20"/>
          <w:w w:val="105"/>
        </w:rPr>
        <w:t> </w:t>
      </w:r>
      <w:r>
        <w:rPr>
          <w:color w:val="231F20"/>
          <w:w w:val="105"/>
        </w:rPr>
        <w:t>frutales,</w:t>
      </w:r>
      <w:r>
        <w:rPr>
          <w:color w:val="231F20"/>
          <w:spacing w:val="-26"/>
          <w:w w:val="105"/>
        </w:rPr>
        <w:t> </w:t>
      </w:r>
      <w:r>
        <w:rPr>
          <w:color w:val="231F20"/>
          <w:w w:val="105"/>
        </w:rPr>
        <w:t>el</w:t>
      </w:r>
      <w:r>
        <w:rPr>
          <w:color w:val="231F20"/>
          <w:spacing w:val="-20"/>
          <w:w w:val="105"/>
        </w:rPr>
        <w:t> </w:t>
      </w:r>
      <w:r>
        <w:rPr>
          <w:color w:val="231F20"/>
          <w:w w:val="105"/>
        </w:rPr>
        <w:t>laboratorio</w:t>
      </w:r>
      <w:r>
        <w:rPr>
          <w:color w:val="231F20"/>
          <w:spacing w:val="-20"/>
          <w:w w:val="105"/>
        </w:rPr>
        <w:t> </w:t>
      </w:r>
      <w:r>
        <w:rPr>
          <w:color w:val="231F20"/>
          <w:w w:val="105"/>
        </w:rPr>
        <w:t>de</w:t>
      </w:r>
      <w:r>
        <w:rPr>
          <w:color w:val="231F20"/>
          <w:spacing w:val="-20"/>
          <w:w w:val="105"/>
        </w:rPr>
        <w:t> </w:t>
      </w:r>
      <w:r>
        <w:rPr>
          <w:color w:val="231F20"/>
          <w:w w:val="105"/>
        </w:rPr>
        <w:t>mos- ca</w:t>
      </w:r>
      <w:r>
        <w:rPr>
          <w:color w:val="231F20"/>
          <w:spacing w:val="-27"/>
          <w:w w:val="105"/>
        </w:rPr>
        <w:t> </w:t>
      </w:r>
      <w:r>
        <w:rPr>
          <w:color w:val="231F20"/>
          <w:w w:val="105"/>
        </w:rPr>
        <w:t>mexicana</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fruta.</w:t>
      </w:r>
      <w:r>
        <w:rPr>
          <w:color w:val="231F20"/>
          <w:spacing w:val="-33"/>
          <w:w w:val="105"/>
        </w:rPr>
        <w:t> </w:t>
      </w:r>
      <w:r>
        <w:rPr>
          <w:color w:val="231F20"/>
          <w:w w:val="105"/>
        </w:rPr>
        <w:t>Además</w:t>
      </w:r>
      <w:r>
        <w:rPr>
          <w:color w:val="231F20"/>
          <w:spacing w:val="-27"/>
          <w:w w:val="105"/>
        </w:rPr>
        <w:t> </w:t>
      </w:r>
      <w:r>
        <w:rPr>
          <w:color w:val="231F20"/>
          <w:w w:val="105"/>
        </w:rPr>
        <w:t>servía</w:t>
      </w:r>
      <w:r>
        <w:rPr>
          <w:color w:val="231F20"/>
          <w:spacing w:val="-27"/>
          <w:w w:val="105"/>
        </w:rPr>
        <w:t> </w:t>
      </w:r>
      <w:r>
        <w:rPr>
          <w:color w:val="231F20"/>
          <w:w w:val="105"/>
        </w:rPr>
        <w:t>como</w:t>
      </w:r>
      <w:r>
        <w:rPr>
          <w:color w:val="231F20"/>
          <w:spacing w:val="-27"/>
          <w:w w:val="105"/>
        </w:rPr>
        <w:t> </w:t>
      </w:r>
      <w:r>
        <w:rPr>
          <w:color w:val="231F20"/>
          <w:w w:val="105"/>
        </w:rPr>
        <w:t>desayunador</w:t>
      </w:r>
      <w:r>
        <w:rPr>
          <w:color w:val="231F20"/>
          <w:spacing w:val="-27"/>
          <w:w w:val="105"/>
        </w:rPr>
        <w:t> </w:t>
      </w:r>
      <w:r>
        <w:rPr>
          <w:color w:val="231F20"/>
          <w:w w:val="105"/>
        </w:rPr>
        <w:t>y</w:t>
      </w:r>
      <w:r>
        <w:rPr>
          <w:color w:val="231F20"/>
          <w:spacing w:val="-27"/>
          <w:w w:val="105"/>
        </w:rPr>
        <w:t> </w:t>
      </w:r>
      <w:r>
        <w:rPr>
          <w:color w:val="231F20"/>
          <w:w w:val="105"/>
        </w:rPr>
        <w:t>casa</w:t>
      </w:r>
      <w:r>
        <w:rPr>
          <w:color w:val="231F20"/>
          <w:spacing w:val="-27"/>
          <w:w w:val="105"/>
        </w:rPr>
        <w:t> </w:t>
      </w:r>
      <w:r>
        <w:rPr>
          <w:color w:val="231F20"/>
          <w:w w:val="105"/>
        </w:rPr>
        <w:t>habita- ción; albergaba un centro de enseñanza de corte y confección, huertos familiares</w:t>
      </w:r>
      <w:r>
        <w:rPr>
          <w:color w:val="231F20"/>
          <w:spacing w:val="-26"/>
          <w:w w:val="105"/>
        </w:rPr>
        <w:t> </w:t>
      </w:r>
      <w:r>
        <w:rPr>
          <w:color w:val="231F20"/>
          <w:w w:val="105"/>
        </w:rPr>
        <w:t>y</w:t>
      </w:r>
      <w:r>
        <w:rPr>
          <w:color w:val="231F20"/>
          <w:spacing w:val="-26"/>
          <w:w w:val="105"/>
        </w:rPr>
        <w:t> </w:t>
      </w:r>
      <w:r>
        <w:rPr>
          <w:color w:val="231F20"/>
          <w:w w:val="105"/>
        </w:rPr>
        <w:t>talleres</w:t>
      </w:r>
      <w:r>
        <w:rPr>
          <w:color w:val="231F20"/>
          <w:spacing w:val="-26"/>
          <w:w w:val="105"/>
        </w:rPr>
        <w:t> </w:t>
      </w:r>
      <w:r>
        <w:rPr>
          <w:color w:val="231F20"/>
          <w:w w:val="105"/>
        </w:rPr>
        <w:t>de</w:t>
      </w:r>
      <w:r>
        <w:rPr>
          <w:color w:val="231F20"/>
          <w:spacing w:val="-26"/>
          <w:w w:val="105"/>
        </w:rPr>
        <w:t> </w:t>
      </w:r>
      <w:r>
        <w:rPr>
          <w:color w:val="231F20"/>
          <w:w w:val="105"/>
        </w:rPr>
        <w:t>cocina.</w:t>
      </w:r>
    </w:p>
    <w:p>
      <w:pPr>
        <w:pStyle w:val="BodyText"/>
        <w:spacing w:line="261" w:lineRule="auto" w:before="1"/>
        <w:ind w:left="1837" w:right="1721" w:firstLine="567"/>
        <w:jc w:val="both"/>
      </w:pPr>
      <w:r>
        <w:rPr>
          <w:color w:val="231F20"/>
          <w:w w:val="105"/>
        </w:rPr>
        <w:t>Los</w:t>
      </w:r>
      <w:r>
        <w:rPr>
          <w:color w:val="231F20"/>
          <w:spacing w:val="-8"/>
          <w:w w:val="105"/>
        </w:rPr>
        <w:t> </w:t>
      </w:r>
      <w:r>
        <w:rPr>
          <w:color w:val="231F20"/>
          <w:w w:val="105"/>
        </w:rPr>
        <w:t>días</w:t>
      </w:r>
      <w:r>
        <w:rPr>
          <w:color w:val="231F20"/>
          <w:spacing w:val="-8"/>
          <w:w w:val="105"/>
        </w:rPr>
        <w:t> </w:t>
      </w:r>
      <w:r>
        <w:rPr>
          <w:color w:val="231F20"/>
          <w:w w:val="105"/>
        </w:rPr>
        <w:t>previos</w:t>
      </w:r>
      <w:r>
        <w:rPr>
          <w:color w:val="231F20"/>
          <w:spacing w:val="-8"/>
          <w:w w:val="105"/>
        </w:rPr>
        <w:t> </w:t>
      </w:r>
      <w:r>
        <w:rPr>
          <w:color w:val="231F20"/>
          <w:w w:val="105"/>
        </w:rPr>
        <w:t>a</w:t>
      </w:r>
      <w:r>
        <w:rPr>
          <w:color w:val="231F20"/>
          <w:spacing w:val="-8"/>
          <w:w w:val="105"/>
        </w:rPr>
        <w:t> </w:t>
      </w:r>
      <w:r>
        <w:rPr>
          <w:color w:val="231F20"/>
          <w:w w:val="105"/>
        </w:rPr>
        <w:t>las</w:t>
      </w:r>
      <w:r>
        <w:rPr>
          <w:color w:val="231F20"/>
          <w:spacing w:val="-8"/>
          <w:w w:val="105"/>
        </w:rPr>
        <w:t> </w:t>
      </w:r>
      <w:r>
        <w:rPr>
          <w:color w:val="231F20"/>
          <w:w w:val="105"/>
        </w:rPr>
        <w:t>vacaciones</w:t>
      </w:r>
      <w:r>
        <w:rPr>
          <w:color w:val="231F20"/>
          <w:spacing w:val="-8"/>
          <w:w w:val="105"/>
        </w:rPr>
        <w:t> </w:t>
      </w:r>
      <w:r>
        <w:rPr>
          <w:color w:val="231F20"/>
          <w:w w:val="105"/>
        </w:rPr>
        <w:t>de</w:t>
      </w:r>
      <w:r>
        <w:rPr>
          <w:color w:val="231F20"/>
          <w:spacing w:val="-8"/>
          <w:w w:val="105"/>
        </w:rPr>
        <w:t> </w:t>
      </w:r>
      <w:r>
        <w:rPr>
          <w:color w:val="231F20"/>
          <w:w w:val="105"/>
        </w:rPr>
        <w:t>diciembre</w:t>
      </w:r>
      <w:r>
        <w:rPr>
          <w:color w:val="231F20"/>
          <w:spacing w:val="-8"/>
          <w:w w:val="105"/>
        </w:rPr>
        <w:t> </w:t>
      </w:r>
      <w:r>
        <w:rPr>
          <w:color w:val="231F20"/>
          <w:w w:val="105"/>
        </w:rPr>
        <w:t>de</w:t>
      </w:r>
      <w:r>
        <w:rPr>
          <w:color w:val="231F20"/>
          <w:spacing w:val="-8"/>
          <w:w w:val="105"/>
        </w:rPr>
        <w:t> </w:t>
      </w:r>
      <w:r>
        <w:rPr>
          <w:color w:val="231F20"/>
          <w:w w:val="105"/>
        </w:rPr>
        <w:t>1982</w:t>
      </w:r>
      <w:r>
        <w:rPr>
          <w:color w:val="231F20"/>
          <w:spacing w:val="-8"/>
          <w:w w:val="105"/>
        </w:rPr>
        <w:t> </w:t>
      </w:r>
      <w:r>
        <w:rPr>
          <w:color w:val="231F20"/>
          <w:w w:val="105"/>
        </w:rPr>
        <w:t>los</w:t>
      </w:r>
      <w:r>
        <w:rPr>
          <w:color w:val="231F20"/>
          <w:spacing w:val="-8"/>
          <w:w w:val="105"/>
        </w:rPr>
        <w:t> </w:t>
      </w:r>
      <w:r>
        <w:rPr>
          <w:color w:val="231F20"/>
          <w:w w:val="105"/>
        </w:rPr>
        <w:t>traba- jadores</w:t>
      </w:r>
      <w:r>
        <w:rPr>
          <w:color w:val="231F20"/>
          <w:spacing w:val="-8"/>
          <w:w w:val="105"/>
        </w:rPr>
        <w:t> </w:t>
      </w:r>
      <w:r>
        <w:rPr>
          <w:color w:val="231F20"/>
          <w:w w:val="105"/>
        </w:rPr>
        <w:t>se</w:t>
      </w:r>
      <w:r>
        <w:rPr>
          <w:color w:val="231F20"/>
          <w:spacing w:val="-8"/>
          <w:w w:val="105"/>
        </w:rPr>
        <w:t> </w:t>
      </w:r>
      <w:r>
        <w:rPr>
          <w:color w:val="231F20"/>
          <w:w w:val="105"/>
        </w:rPr>
        <w:t>encontraron</w:t>
      </w:r>
      <w:r>
        <w:rPr>
          <w:color w:val="231F20"/>
          <w:spacing w:val="-8"/>
          <w:w w:val="105"/>
        </w:rPr>
        <w:t> </w:t>
      </w:r>
      <w:r>
        <w:rPr>
          <w:color w:val="231F20"/>
          <w:w w:val="105"/>
        </w:rPr>
        <w:t>con</w:t>
      </w:r>
      <w:r>
        <w:rPr>
          <w:color w:val="231F20"/>
          <w:spacing w:val="-8"/>
          <w:w w:val="105"/>
        </w:rPr>
        <w:t> </w:t>
      </w:r>
      <w:r>
        <w:rPr>
          <w:color w:val="231F20"/>
          <w:w w:val="105"/>
        </w:rPr>
        <w:t>un</w:t>
      </w:r>
      <w:r>
        <w:rPr>
          <w:color w:val="231F20"/>
          <w:spacing w:val="-8"/>
          <w:w w:val="105"/>
        </w:rPr>
        <w:t> </w:t>
      </w:r>
      <w:r>
        <w:rPr>
          <w:color w:val="231F20"/>
          <w:w w:val="105"/>
        </w:rPr>
        <w:t>anuncio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entrada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casa</w:t>
      </w:r>
      <w:r>
        <w:rPr>
          <w:color w:val="231F20"/>
          <w:spacing w:val="-8"/>
          <w:w w:val="105"/>
        </w:rPr>
        <w:t> </w:t>
      </w:r>
      <w:r>
        <w:rPr>
          <w:color w:val="231F20"/>
          <w:w w:val="105"/>
        </w:rPr>
        <w:t>que</w:t>
      </w:r>
      <w:r>
        <w:rPr>
          <w:color w:val="231F20"/>
          <w:spacing w:val="-8"/>
          <w:w w:val="105"/>
        </w:rPr>
        <w:t> </w:t>
      </w:r>
      <w:r>
        <w:rPr>
          <w:color w:val="231F20"/>
          <w:w w:val="105"/>
        </w:rPr>
        <w:t>de- cía: “tienen derecho a vacaciones y aguinaldo sólo los </w:t>
      </w:r>
      <w:r>
        <w:rPr>
          <w:color w:val="231F20"/>
          <w:spacing w:val="-3"/>
          <w:w w:val="105"/>
        </w:rPr>
        <w:t>vaqueros”. </w:t>
      </w:r>
      <w:r>
        <w:rPr>
          <w:color w:val="231F20"/>
          <w:spacing w:val="-4"/>
          <w:w w:val="105"/>
        </w:rPr>
        <w:t>Para </w:t>
      </w:r>
      <w:r>
        <w:rPr>
          <w:color w:val="231F20"/>
          <w:w w:val="105"/>
        </w:rPr>
        <w:t>protestar</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injusticia</w:t>
      </w:r>
      <w:r>
        <w:rPr>
          <w:color w:val="231F20"/>
          <w:spacing w:val="-8"/>
          <w:w w:val="105"/>
        </w:rPr>
        <w:t> </w:t>
      </w:r>
      <w:r>
        <w:rPr>
          <w:color w:val="231F20"/>
          <w:w w:val="105"/>
        </w:rPr>
        <w:t>los</w:t>
      </w:r>
      <w:r>
        <w:rPr>
          <w:color w:val="231F20"/>
          <w:spacing w:val="-8"/>
          <w:w w:val="105"/>
        </w:rPr>
        <w:t> </w:t>
      </w:r>
      <w:r>
        <w:rPr>
          <w:color w:val="231F20"/>
          <w:w w:val="105"/>
        </w:rPr>
        <w:t>trabajadores</w:t>
      </w:r>
      <w:r>
        <w:rPr>
          <w:color w:val="231F20"/>
          <w:spacing w:val="-8"/>
          <w:w w:val="105"/>
        </w:rPr>
        <w:t> </w:t>
      </w:r>
      <w:r>
        <w:rPr>
          <w:color w:val="231F20"/>
          <w:w w:val="105"/>
        </w:rPr>
        <w:t>se</w:t>
      </w:r>
      <w:r>
        <w:rPr>
          <w:color w:val="231F20"/>
          <w:spacing w:val="-8"/>
          <w:w w:val="105"/>
        </w:rPr>
        <w:t> </w:t>
      </w:r>
      <w:r>
        <w:rPr>
          <w:color w:val="231F20"/>
          <w:w w:val="105"/>
        </w:rPr>
        <w:t>reunieron</w:t>
      </w:r>
      <w:r>
        <w:rPr>
          <w:color w:val="231F20"/>
          <w:spacing w:val="-8"/>
          <w:w w:val="105"/>
        </w:rPr>
        <w:t> </w:t>
      </w:r>
      <w:r>
        <w:rPr>
          <w:color w:val="231F20"/>
          <w:w w:val="105"/>
        </w:rPr>
        <w:t>y</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llegada</w:t>
      </w:r>
      <w:r>
        <w:rPr>
          <w:color w:val="231F20"/>
          <w:spacing w:val="-8"/>
          <w:w w:val="105"/>
        </w:rPr>
        <w:t> </w:t>
      </w:r>
      <w:r>
        <w:rPr>
          <w:color w:val="231F20"/>
          <w:w w:val="105"/>
        </w:rPr>
        <w:t>del Coordinador de la Comisión Coordinadora para el Desarrollo Agrícola</w:t>
      </w:r>
      <w:r>
        <w:rPr>
          <w:color w:val="231F20"/>
          <w:spacing w:val="-39"/>
          <w:w w:val="105"/>
        </w:rPr>
        <w:t> </w:t>
      </w:r>
      <w:r>
        <w:rPr>
          <w:color w:val="231F20"/>
          <w:w w:val="105"/>
        </w:rPr>
        <w:t>y Ganadero</w:t>
      </w:r>
      <w:r>
        <w:rPr>
          <w:color w:val="231F20"/>
          <w:spacing w:val="-6"/>
          <w:w w:val="105"/>
        </w:rPr>
        <w:t> </w:t>
      </w:r>
      <w:r>
        <w:rPr>
          <w:color w:val="231F20"/>
          <w:w w:val="105"/>
        </w:rPr>
        <w:t>del</w:t>
      </w:r>
      <w:r>
        <w:rPr>
          <w:color w:val="231F20"/>
          <w:spacing w:val="-6"/>
          <w:w w:val="105"/>
        </w:rPr>
        <w:t> </w:t>
      </w:r>
      <w:r>
        <w:rPr>
          <w:color w:val="231F20"/>
          <w:w w:val="105"/>
        </w:rPr>
        <w:t>Estado</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6"/>
          <w:w w:val="105"/>
        </w:rPr>
        <w:t> </w:t>
      </w:r>
      <w:r>
        <w:rPr>
          <w:color w:val="231F20"/>
          <w:w w:val="105"/>
        </w:rPr>
        <w:t>(</w:t>
      </w:r>
      <w:r>
        <w:rPr>
          <w:color w:val="231F20"/>
          <w:w w:val="105"/>
          <w:sz w:val="17"/>
        </w:rPr>
        <w:t>CODAGEM</w:t>
      </w:r>
      <w:r>
        <w:rPr>
          <w:color w:val="231F20"/>
          <w:w w:val="105"/>
        </w:rPr>
        <w:t>)</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helipuerto,</w:t>
      </w:r>
      <w:r>
        <w:rPr>
          <w:color w:val="231F20"/>
          <w:spacing w:val="-11"/>
          <w:w w:val="105"/>
        </w:rPr>
        <w:t> </w:t>
      </w:r>
      <w:r>
        <w:rPr>
          <w:color w:val="231F20"/>
          <w:w w:val="105"/>
        </w:rPr>
        <w:t>los</w:t>
      </w:r>
      <w:r>
        <w:rPr>
          <w:color w:val="231F20"/>
          <w:spacing w:val="-6"/>
          <w:w w:val="105"/>
        </w:rPr>
        <w:t> </w:t>
      </w:r>
      <w:r>
        <w:rPr>
          <w:color w:val="231F20"/>
          <w:w w:val="105"/>
        </w:rPr>
        <w:t>vaque- ros</w:t>
      </w:r>
      <w:r>
        <w:rPr>
          <w:color w:val="231F20"/>
          <w:spacing w:val="-9"/>
          <w:w w:val="105"/>
        </w:rPr>
        <w:t> </w:t>
      </w:r>
      <w:r>
        <w:rPr>
          <w:color w:val="231F20"/>
          <w:w w:val="105"/>
        </w:rPr>
        <w:t>y</w:t>
      </w:r>
      <w:r>
        <w:rPr>
          <w:color w:val="231F20"/>
          <w:spacing w:val="-9"/>
          <w:w w:val="105"/>
        </w:rPr>
        <w:t> </w:t>
      </w:r>
      <w:r>
        <w:rPr>
          <w:color w:val="231F20"/>
          <w:w w:val="105"/>
        </w:rPr>
        <w:t>unos</w:t>
      </w:r>
      <w:r>
        <w:rPr>
          <w:color w:val="231F20"/>
          <w:spacing w:val="-9"/>
          <w:w w:val="105"/>
        </w:rPr>
        <w:t> </w:t>
      </w:r>
      <w:r>
        <w:rPr>
          <w:color w:val="231F20"/>
          <w:w w:val="105"/>
        </w:rPr>
        <w:t>80</w:t>
      </w:r>
      <w:r>
        <w:rPr>
          <w:color w:val="231F20"/>
          <w:spacing w:val="-9"/>
          <w:w w:val="105"/>
        </w:rPr>
        <w:t> </w:t>
      </w:r>
      <w:r>
        <w:rPr>
          <w:color w:val="231F20"/>
          <w:w w:val="105"/>
        </w:rPr>
        <w:t>peones</w:t>
      </w:r>
      <w:r>
        <w:rPr>
          <w:color w:val="231F20"/>
          <w:spacing w:val="-9"/>
          <w:w w:val="105"/>
        </w:rPr>
        <w:t> </w:t>
      </w:r>
      <w:r>
        <w:rPr>
          <w:color w:val="231F20"/>
          <w:w w:val="105"/>
        </w:rPr>
        <w:t>pidieron</w:t>
      </w:r>
      <w:r>
        <w:rPr>
          <w:color w:val="231F20"/>
          <w:spacing w:val="-9"/>
          <w:w w:val="105"/>
        </w:rPr>
        <w:t> </w:t>
      </w:r>
      <w:r>
        <w:rPr>
          <w:color w:val="231F20"/>
          <w:w w:val="105"/>
        </w:rPr>
        <w:t>que</w:t>
      </w:r>
      <w:r>
        <w:rPr>
          <w:color w:val="231F20"/>
          <w:spacing w:val="-9"/>
          <w:w w:val="105"/>
        </w:rPr>
        <w:t> </w:t>
      </w:r>
      <w:r>
        <w:rPr>
          <w:color w:val="231F20"/>
          <w:w w:val="105"/>
        </w:rPr>
        <w:t>todos</w:t>
      </w:r>
      <w:r>
        <w:rPr>
          <w:color w:val="231F20"/>
          <w:spacing w:val="-9"/>
          <w:w w:val="105"/>
        </w:rPr>
        <w:t> </w:t>
      </w:r>
      <w:r>
        <w:rPr>
          <w:color w:val="231F20"/>
          <w:w w:val="105"/>
        </w:rPr>
        <w:t>tuvieran</w:t>
      </w:r>
      <w:r>
        <w:rPr>
          <w:color w:val="231F20"/>
          <w:spacing w:val="-9"/>
          <w:w w:val="105"/>
        </w:rPr>
        <w:t> </w:t>
      </w:r>
      <w:r>
        <w:rPr>
          <w:color w:val="231F20"/>
          <w:w w:val="105"/>
        </w:rPr>
        <w:t>derecho</w:t>
      </w:r>
      <w:r>
        <w:rPr>
          <w:color w:val="231F20"/>
          <w:spacing w:val="-9"/>
          <w:w w:val="105"/>
        </w:rPr>
        <w:t> </w:t>
      </w:r>
      <w:r>
        <w:rPr>
          <w:color w:val="231F20"/>
          <w:w w:val="105"/>
        </w:rPr>
        <w:t>a</w:t>
      </w:r>
      <w:r>
        <w:rPr>
          <w:color w:val="231F20"/>
          <w:spacing w:val="-9"/>
          <w:w w:val="105"/>
        </w:rPr>
        <w:t> </w:t>
      </w:r>
      <w:r>
        <w:rPr>
          <w:color w:val="231F20"/>
          <w:w w:val="105"/>
        </w:rPr>
        <w:t>vacaciones y aguinaldo. La respuesta del Coordinador fue contundente y les dijo que</w:t>
      </w:r>
      <w:r>
        <w:rPr>
          <w:color w:val="231F20"/>
          <w:spacing w:val="-16"/>
          <w:w w:val="105"/>
        </w:rPr>
        <w:t> </w:t>
      </w:r>
      <w:r>
        <w:rPr>
          <w:color w:val="231F20"/>
          <w:w w:val="105"/>
        </w:rPr>
        <w:t>todo</w:t>
      </w:r>
      <w:r>
        <w:rPr>
          <w:color w:val="231F20"/>
          <w:spacing w:val="-16"/>
          <w:w w:val="105"/>
        </w:rPr>
        <w:t> </w:t>
      </w:r>
      <w:r>
        <w:rPr>
          <w:color w:val="231F20"/>
          <w:w w:val="105"/>
        </w:rPr>
        <w:t>aquel</w:t>
      </w:r>
      <w:r>
        <w:rPr>
          <w:color w:val="231F20"/>
          <w:spacing w:val="-16"/>
          <w:w w:val="105"/>
        </w:rPr>
        <w:t> </w:t>
      </w:r>
      <w:r>
        <w:rPr>
          <w:color w:val="231F20"/>
          <w:w w:val="105"/>
        </w:rPr>
        <w:t>que</w:t>
      </w:r>
      <w:r>
        <w:rPr>
          <w:color w:val="231F20"/>
          <w:spacing w:val="-16"/>
          <w:w w:val="105"/>
        </w:rPr>
        <w:t> </w:t>
      </w:r>
      <w:r>
        <w:rPr>
          <w:color w:val="231F20"/>
          <w:w w:val="105"/>
        </w:rPr>
        <w:t>tuviera</w:t>
      </w:r>
      <w:r>
        <w:rPr>
          <w:color w:val="231F20"/>
          <w:spacing w:val="-16"/>
          <w:w w:val="105"/>
        </w:rPr>
        <w:t> </w:t>
      </w:r>
      <w:r>
        <w:rPr>
          <w:color w:val="231F20"/>
          <w:w w:val="105"/>
        </w:rPr>
        <w:t>seis</w:t>
      </w:r>
      <w:r>
        <w:rPr>
          <w:color w:val="231F20"/>
          <w:spacing w:val="-16"/>
          <w:w w:val="105"/>
        </w:rPr>
        <w:t> </w:t>
      </w:r>
      <w:r>
        <w:rPr>
          <w:color w:val="231F20"/>
          <w:w w:val="105"/>
        </w:rPr>
        <w:t>meses,</w:t>
      </w:r>
      <w:r>
        <w:rPr>
          <w:color w:val="231F20"/>
          <w:spacing w:val="-21"/>
          <w:w w:val="105"/>
        </w:rPr>
        <w:t> </w:t>
      </w:r>
      <w:r>
        <w:rPr>
          <w:color w:val="231F20"/>
          <w:w w:val="105"/>
        </w:rPr>
        <w:t>tres</w:t>
      </w:r>
      <w:r>
        <w:rPr>
          <w:color w:val="231F20"/>
          <w:spacing w:val="-16"/>
          <w:w w:val="105"/>
        </w:rPr>
        <w:t> </w:t>
      </w:r>
      <w:r>
        <w:rPr>
          <w:color w:val="231F20"/>
          <w:w w:val="105"/>
        </w:rPr>
        <w:t>días</w:t>
      </w:r>
      <w:r>
        <w:rPr>
          <w:color w:val="231F20"/>
          <w:spacing w:val="-16"/>
          <w:w w:val="105"/>
        </w:rPr>
        <w:t> </w:t>
      </w:r>
      <w:r>
        <w:rPr>
          <w:color w:val="231F20"/>
          <w:w w:val="105"/>
        </w:rPr>
        <w:t>consecutivos</w:t>
      </w:r>
      <w:r>
        <w:rPr>
          <w:color w:val="231F20"/>
          <w:spacing w:val="-16"/>
          <w:w w:val="105"/>
        </w:rPr>
        <w:t> </w:t>
      </w:r>
      <w:r>
        <w:rPr>
          <w:color w:val="231F20"/>
          <w:w w:val="105"/>
        </w:rPr>
        <w:t>de</w:t>
      </w:r>
      <w:r>
        <w:rPr>
          <w:color w:val="231F20"/>
          <w:spacing w:val="-16"/>
          <w:w w:val="105"/>
        </w:rPr>
        <w:t> </w:t>
      </w:r>
      <w:r>
        <w:rPr>
          <w:color w:val="231F20"/>
          <w:w w:val="105"/>
        </w:rPr>
        <w:t>trabajo tendría</w:t>
      </w:r>
      <w:r>
        <w:rPr>
          <w:color w:val="231F20"/>
          <w:spacing w:val="-15"/>
          <w:w w:val="105"/>
        </w:rPr>
        <w:t> </w:t>
      </w:r>
      <w:r>
        <w:rPr>
          <w:color w:val="231F20"/>
          <w:w w:val="105"/>
        </w:rPr>
        <w:t>derecho</w:t>
      </w:r>
      <w:r>
        <w:rPr>
          <w:color w:val="231F20"/>
          <w:spacing w:val="-15"/>
          <w:w w:val="105"/>
        </w:rPr>
        <w:t> </w:t>
      </w:r>
      <w:r>
        <w:rPr>
          <w:color w:val="231F20"/>
          <w:w w:val="105"/>
        </w:rPr>
        <w:t>a</w:t>
      </w:r>
      <w:r>
        <w:rPr>
          <w:color w:val="231F20"/>
          <w:spacing w:val="-15"/>
          <w:w w:val="105"/>
        </w:rPr>
        <w:t> </w:t>
      </w:r>
      <w:r>
        <w:rPr>
          <w:color w:val="231F20"/>
          <w:w w:val="105"/>
        </w:rPr>
        <w:t>aguinaldo</w:t>
      </w:r>
      <w:r>
        <w:rPr>
          <w:color w:val="231F20"/>
          <w:spacing w:val="-15"/>
          <w:w w:val="105"/>
        </w:rPr>
        <w:t> </w:t>
      </w:r>
      <w:r>
        <w:rPr>
          <w:color w:val="231F20"/>
          <w:w w:val="105"/>
        </w:rPr>
        <w:t>y</w:t>
      </w:r>
      <w:r>
        <w:rPr>
          <w:color w:val="231F20"/>
          <w:spacing w:val="-15"/>
          <w:w w:val="105"/>
        </w:rPr>
        <w:t> </w:t>
      </w:r>
      <w:r>
        <w:rPr>
          <w:color w:val="231F20"/>
          <w:w w:val="105"/>
        </w:rPr>
        <w:t>a</w:t>
      </w:r>
      <w:r>
        <w:rPr>
          <w:color w:val="231F20"/>
          <w:spacing w:val="-15"/>
          <w:w w:val="105"/>
        </w:rPr>
        <w:t> </w:t>
      </w:r>
      <w:r>
        <w:rPr>
          <w:color w:val="231F20"/>
          <w:w w:val="105"/>
        </w:rPr>
        <w:t>15</w:t>
      </w:r>
      <w:r>
        <w:rPr>
          <w:color w:val="231F20"/>
          <w:spacing w:val="-15"/>
          <w:w w:val="105"/>
        </w:rPr>
        <w:t> </w:t>
      </w:r>
      <w:r>
        <w:rPr>
          <w:color w:val="231F20"/>
          <w:w w:val="105"/>
        </w:rPr>
        <w:t>días</w:t>
      </w:r>
      <w:r>
        <w:rPr>
          <w:color w:val="231F20"/>
          <w:spacing w:val="-15"/>
          <w:w w:val="105"/>
        </w:rPr>
        <w:t> </w:t>
      </w:r>
      <w:r>
        <w:rPr>
          <w:color w:val="231F20"/>
          <w:w w:val="105"/>
        </w:rPr>
        <w:t>de</w:t>
      </w:r>
      <w:r>
        <w:rPr>
          <w:color w:val="231F20"/>
          <w:spacing w:val="-15"/>
          <w:w w:val="105"/>
        </w:rPr>
        <w:t> </w:t>
      </w:r>
      <w:r>
        <w:rPr>
          <w:color w:val="231F20"/>
          <w:w w:val="105"/>
        </w:rPr>
        <w:t>vacaciones.</w:t>
      </w:r>
    </w:p>
    <w:p>
      <w:pPr>
        <w:pStyle w:val="BodyText"/>
        <w:spacing w:line="261" w:lineRule="auto" w:before="1"/>
        <w:ind w:left="1837" w:right="1723" w:firstLine="567"/>
        <w:jc w:val="both"/>
      </w:pPr>
      <w:r>
        <w:rPr>
          <w:color w:val="231F20"/>
          <w:w w:val="105"/>
        </w:rPr>
        <w:t>En</w:t>
      </w:r>
      <w:r>
        <w:rPr>
          <w:color w:val="231F20"/>
          <w:spacing w:val="-24"/>
          <w:w w:val="105"/>
        </w:rPr>
        <w:t> </w:t>
      </w:r>
      <w:r>
        <w:rPr>
          <w:color w:val="231F20"/>
          <w:spacing w:val="-3"/>
          <w:w w:val="105"/>
        </w:rPr>
        <w:t>apariencia</w:t>
      </w:r>
      <w:r>
        <w:rPr>
          <w:color w:val="231F20"/>
          <w:spacing w:val="-24"/>
          <w:w w:val="105"/>
        </w:rPr>
        <w:t> </w:t>
      </w:r>
      <w:r>
        <w:rPr>
          <w:color w:val="231F20"/>
          <w:w w:val="105"/>
        </w:rPr>
        <w:t>el</w:t>
      </w:r>
      <w:r>
        <w:rPr>
          <w:color w:val="231F20"/>
          <w:spacing w:val="-24"/>
          <w:w w:val="105"/>
        </w:rPr>
        <w:t> </w:t>
      </w:r>
      <w:r>
        <w:rPr>
          <w:color w:val="231F20"/>
          <w:spacing w:val="-3"/>
          <w:w w:val="105"/>
        </w:rPr>
        <w:t>problema</w:t>
      </w:r>
      <w:r>
        <w:rPr>
          <w:color w:val="231F20"/>
          <w:spacing w:val="-24"/>
          <w:w w:val="105"/>
        </w:rPr>
        <w:t> </w:t>
      </w:r>
      <w:r>
        <w:rPr>
          <w:color w:val="231F20"/>
          <w:spacing w:val="-3"/>
          <w:w w:val="105"/>
        </w:rPr>
        <w:t>había</w:t>
      </w:r>
      <w:r>
        <w:rPr>
          <w:color w:val="231F20"/>
          <w:spacing w:val="-24"/>
          <w:w w:val="105"/>
        </w:rPr>
        <w:t> </w:t>
      </w:r>
      <w:r>
        <w:rPr>
          <w:color w:val="231F20"/>
          <w:spacing w:val="-3"/>
          <w:w w:val="105"/>
        </w:rPr>
        <w:t>sido</w:t>
      </w:r>
      <w:r>
        <w:rPr>
          <w:color w:val="231F20"/>
          <w:spacing w:val="-24"/>
          <w:w w:val="105"/>
        </w:rPr>
        <w:t> </w:t>
      </w:r>
      <w:r>
        <w:rPr>
          <w:color w:val="231F20"/>
          <w:spacing w:val="-3"/>
          <w:w w:val="105"/>
        </w:rPr>
        <w:t>resuelto</w:t>
      </w:r>
      <w:r>
        <w:rPr>
          <w:color w:val="231F20"/>
          <w:spacing w:val="-24"/>
          <w:w w:val="105"/>
        </w:rPr>
        <w:t> </w:t>
      </w:r>
      <w:r>
        <w:rPr>
          <w:color w:val="231F20"/>
          <w:w w:val="105"/>
        </w:rPr>
        <w:t>y</w:t>
      </w:r>
      <w:r>
        <w:rPr>
          <w:color w:val="231F20"/>
          <w:spacing w:val="-24"/>
          <w:w w:val="105"/>
        </w:rPr>
        <w:t> </w:t>
      </w:r>
      <w:r>
        <w:rPr>
          <w:color w:val="231F20"/>
          <w:w w:val="105"/>
        </w:rPr>
        <w:t>en</w:t>
      </w:r>
      <w:r>
        <w:rPr>
          <w:color w:val="231F20"/>
          <w:spacing w:val="-24"/>
          <w:w w:val="105"/>
        </w:rPr>
        <w:t> </w:t>
      </w:r>
      <w:r>
        <w:rPr>
          <w:color w:val="231F20"/>
          <w:spacing w:val="-3"/>
          <w:w w:val="105"/>
        </w:rPr>
        <w:t>beneficio</w:t>
      </w:r>
      <w:r>
        <w:rPr>
          <w:color w:val="231F20"/>
          <w:spacing w:val="-24"/>
          <w:w w:val="105"/>
        </w:rPr>
        <w:t> </w:t>
      </w:r>
      <w:r>
        <w:rPr>
          <w:color w:val="231F20"/>
          <w:spacing w:val="-3"/>
          <w:w w:val="105"/>
        </w:rPr>
        <w:t>para</w:t>
      </w:r>
      <w:r>
        <w:rPr>
          <w:color w:val="231F20"/>
          <w:spacing w:val="-24"/>
          <w:w w:val="105"/>
        </w:rPr>
        <w:t> </w:t>
      </w:r>
      <w:r>
        <w:rPr>
          <w:color w:val="231F20"/>
          <w:spacing w:val="-3"/>
          <w:w w:val="105"/>
        </w:rPr>
        <w:t>los </w:t>
      </w:r>
      <w:r>
        <w:rPr>
          <w:color w:val="231F20"/>
          <w:spacing w:val="-4"/>
          <w:w w:val="105"/>
        </w:rPr>
        <w:t>trabajadores.</w:t>
      </w:r>
      <w:r>
        <w:rPr>
          <w:color w:val="231F20"/>
          <w:spacing w:val="-18"/>
          <w:w w:val="105"/>
        </w:rPr>
        <w:t> </w:t>
      </w:r>
      <w:r>
        <w:rPr>
          <w:color w:val="231F20"/>
          <w:w w:val="105"/>
        </w:rPr>
        <w:t>El</w:t>
      </w:r>
      <w:r>
        <w:rPr>
          <w:color w:val="231F20"/>
          <w:spacing w:val="-14"/>
          <w:w w:val="105"/>
        </w:rPr>
        <w:t> </w:t>
      </w:r>
      <w:r>
        <w:rPr>
          <w:color w:val="231F20"/>
          <w:spacing w:val="-3"/>
          <w:w w:val="105"/>
        </w:rPr>
        <w:t>encargado</w:t>
      </w:r>
      <w:r>
        <w:rPr>
          <w:color w:val="231F20"/>
          <w:spacing w:val="-14"/>
          <w:w w:val="105"/>
        </w:rPr>
        <w:t> </w:t>
      </w:r>
      <w:r>
        <w:rPr>
          <w:color w:val="231F20"/>
          <w:spacing w:val="-3"/>
          <w:w w:val="105"/>
        </w:rPr>
        <w:t>general</w:t>
      </w:r>
      <w:r>
        <w:rPr>
          <w:color w:val="231F20"/>
          <w:spacing w:val="-14"/>
          <w:w w:val="105"/>
        </w:rPr>
        <w:t> </w:t>
      </w:r>
      <w:r>
        <w:rPr>
          <w:color w:val="231F20"/>
          <w:w w:val="105"/>
        </w:rPr>
        <w:t>del</w:t>
      </w:r>
      <w:r>
        <w:rPr>
          <w:color w:val="231F20"/>
          <w:spacing w:val="-14"/>
          <w:w w:val="105"/>
        </w:rPr>
        <w:t> </w:t>
      </w:r>
      <w:r>
        <w:rPr>
          <w:color w:val="231F20"/>
          <w:spacing w:val="-3"/>
          <w:w w:val="105"/>
        </w:rPr>
        <w:t>rancho</w:t>
      </w:r>
      <w:r>
        <w:rPr>
          <w:color w:val="231F20"/>
          <w:spacing w:val="-14"/>
          <w:w w:val="105"/>
        </w:rPr>
        <w:t> </w:t>
      </w:r>
      <w:r>
        <w:rPr>
          <w:color w:val="231F20"/>
          <w:spacing w:val="-3"/>
          <w:w w:val="105"/>
        </w:rPr>
        <w:t>(Ing.</w:t>
      </w:r>
      <w:r>
        <w:rPr>
          <w:color w:val="231F20"/>
          <w:spacing w:val="-18"/>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Garza)</w:t>
      </w:r>
      <w:r>
        <w:rPr>
          <w:color w:val="231F20"/>
          <w:spacing w:val="-14"/>
          <w:w w:val="105"/>
        </w:rPr>
        <w:t> </w:t>
      </w:r>
      <w:r>
        <w:rPr>
          <w:color w:val="231F20"/>
          <w:spacing w:val="-4"/>
          <w:w w:val="105"/>
        </w:rPr>
        <w:t>propuso</w:t>
      </w:r>
    </w:p>
    <w:p>
      <w:pPr>
        <w:pStyle w:val="BodyText"/>
        <w:spacing w:before="10"/>
        <w:rPr>
          <w:sz w:val="24"/>
        </w:rPr>
      </w:pPr>
      <w:r>
        <w:rPr/>
        <w:pict>
          <v:line style="position:absolute;mso-position-horizontal-relative:page;mso-position-vertical-relative:paragraph;z-index:40504;mso-wrap-distance-left:0;mso-wrap-distance-right:0" from="91.866096pt,16.187723pt" to="205.252096pt,16.187723pt" stroked="true" strokeweight=".25pt" strokecolor="#231f20">
            <w10:wrap type="topAndBottom"/>
          </v:line>
        </w:pict>
      </w:r>
    </w:p>
    <w:p>
      <w:pPr>
        <w:spacing w:line="192" w:lineRule="exact" w:before="7"/>
        <w:ind w:left="1837" w:right="1721" w:firstLine="0"/>
        <w:jc w:val="both"/>
        <w:rPr>
          <w:rFonts w:ascii="Calibri" w:hAnsi="Calibri"/>
          <w:sz w:val="16"/>
        </w:rPr>
      </w:pPr>
      <w:r>
        <w:rPr>
          <w:rFonts w:ascii="Calibri" w:hAnsi="Calibri"/>
          <w:color w:val="414042"/>
          <w:w w:val="105"/>
          <w:position w:val="5"/>
          <w:sz w:val="9"/>
        </w:rPr>
        <w:t>7</w:t>
      </w:r>
      <w:r>
        <w:rPr>
          <w:rFonts w:ascii="Calibri" w:hAnsi="Calibri"/>
          <w:color w:val="414042"/>
          <w:spacing w:val="-8"/>
          <w:w w:val="105"/>
          <w:position w:val="5"/>
          <w:sz w:val="9"/>
        </w:rPr>
        <w:t> </w:t>
      </w:r>
      <w:r>
        <w:rPr>
          <w:rFonts w:ascii="Calibri" w:hAnsi="Calibri"/>
          <w:color w:val="414042"/>
          <w:w w:val="105"/>
          <w:sz w:val="16"/>
        </w:rPr>
        <w:t>Los</w:t>
      </w:r>
      <w:r>
        <w:rPr>
          <w:rFonts w:ascii="Calibri" w:hAnsi="Calibri"/>
          <w:color w:val="414042"/>
          <w:spacing w:val="-24"/>
          <w:w w:val="105"/>
          <w:sz w:val="16"/>
        </w:rPr>
        <w:t> </w:t>
      </w:r>
      <w:r>
        <w:rPr>
          <w:rFonts w:ascii="Calibri" w:hAnsi="Calibri"/>
          <w:color w:val="414042"/>
          <w:w w:val="105"/>
          <w:sz w:val="16"/>
        </w:rPr>
        <w:t>encargados</w:t>
      </w:r>
      <w:r>
        <w:rPr>
          <w:rFonts w:ascii="Calibri" w:hAnsi="Calibri"/>
          <w:color w:val="414042"/>
          <w:spacing w:val="-24"/>
          <w:w w:val="105"/>
          <w:sz w:val="16"/>
        </w:rPr>
        <w:t> </w:t>
      </w:r>
      <w:r>
        <w:rPr>
          <w:rFonts w:ascii="Calibri" w:hAnsi="Calibri"/>
          <w:color w:val="414042"/>
          <w:w w:val="105"/>
          <w:sz w:val="16"/>
        </w:rPr>
        <w:t>generales</w:t>
      </w:r>
      <w:r>
        <w:rPr>
          <w:rFonts w:ascii="Calibri" w:hAnsi="Calibri"/>
          <w:color w:val="414042"/>
          <w:spacing w:val="-24"/>
          <w:w w:val="105"/>
          <w:sz w:val="16"/>
        </w:rPr>
        <w:t> </w:t>
      </w:r>
      <w:r>
        <w:rPr>
          <w:rFonts w:ascii="Calibri" w:hAnsi="Calibri"/>
          <w:color w:val="414042"/>
          <w:w w:val="105"/>
          <w:sz w:val="16"/>
        </w:rPr>
        <w:t>de</w:t>
      </w:r>
      <w:r>
        <w:rPr>
          <w:rFonts w:ascii="Calibri" w:hAnsi="Calibri"/>
          <w:color w:val="414042"/>
          <w:spacing w:val="-24"/>
          <w:w w:val="105"/>
          <w:sz w:val="16"/>
        </w:rPr>
        <w:t> </w:t>
      </w:r>
      <w:r>
        <w:rPr>
          <w:rFonts w:ascii="Calibri" w:hAnsi="Calibri"/>
          <w:color w:val="414042"/>
          <w:w w:val="105"/>
          <w:sz w:val="16"/>
        </w:rPr>
        <w:t>la</w:t>
      </w:r>
      <w:r>
        <w:rPr>
          <w:rFonts w:ascii="Calibri" w:hAnsi="Calibri"/>
          <w:color w:val="414042"/>
          <w:spacing w:val="-24"/>
          <w:w w:val="105"/>
          <w:sz w:val="16"/>
        </w:rPr>
        <w:t> </w:t>
      </w:r>
      <w:r>
        <w:rPr>
          <w:rFonts w:ascii="Calibri" w:hAnsi="Calibri"/>
          <w:color w:val="414042"/>
          <w:w w:val="105"/>
          <w:sz w:val="16"/>
        </w:rPr>
        <w:t>“casa</w:t>
      </w:r>
      <w:r>
        <w:rPr>
          <w:rFonts w:ascii="Calibri" w:hAnsi="Calibri"/>
          <w:color w:val="414042"/>
          <w:spacing w:val="-24"/>
          <w:w w:val="105"/>
          <w:sz w:val="16"/>
        </w:rPr>
        <w:t> </w:t>
      </w:r>
      <w:r>
        <w:rPr>
          <w:rFonts w:ascii="Calibri" w:hAnsi="Calibri"/>
          <w:color w:val="414042"/>
          <w:w w:val="105"/>
          <w:sz w:val="16"/>
        </w:rPr>
        <w:t>de</w:t>
      </w:r>
      <w:r>
        <w:rPr>
          <w:rFonts w:ascii="Calibri" w:hAnsi="Calibri"/>
          <w:color w:val="414042"/>
          <w:spacing w:val="-24"/>
          <w:w w:val="105"/>
          <w:sz w:val="16"/>
        </w:rPr>
        <w:t> </w:t>
      </w:r>
      <w:r>
        <w:rPr>
          <w:rFonts w:ascii="Calibri" w:hAnsi="Calibri"/>
          <w:color w:val="414042"/>
          <w:w w:val="105"/>
          <w:sz w:val="16"/>
        </w:rPr>
        <w:t>gobierno”</w:t>
      </w:r>
      <w:r>
        <w:rPr>
          <w:rFonts w:ascii="Calibri" w:hAnsi="Calibri"/>
          <w:color w:val="414042"/>
          <w:spacing w:val="-24"/>
          <w:w w:val="105"/>
          <w:sz w:val="16"/>
        </w:rPr>
        <w:t> </w:t>
      </w:r>
      <w:r>
        <w:rPr>
          <w:rFonts w:ascii="Calibri" w:hAnsi="Calibri"/>
          <w:color w:val="414042"/>
          <w:w w:val="105"/>
          <w:sz w:val="16"/>
        </w:rPr>
        <w:t>fueron:</w:t>
      </w:r>
      <w:r>
        <w:rPr>
          <w:rFonts w:ascii="Calibri" w:hAnsi="Calibri"/>
          <w:color w:val="414042"/>
          <w:spacing w:val="-24"/>
          <w:w w:val="105"/>
          <w:sz w:val="16"/>
        </w:rPr>
        <w:t> </w:t>
      </w:r>
      <w:r>
        <w:rPr>
          <w:rFonts w:ascii="Calibri" w:hAnsi="Calibri"/>
          <w:color w:val="414042"/>
          <w:w w:val="105"/>
          <w:sz w:val="16"/>
        </w:rPr>
        <w:t>Juan</w:t>
      </w:r>
      <w:r>
        <w:rPr>
          <w:rFonts w:ascii="Calibri" w:hAnsi="Calibri"/>
          <w:color w:val="414042"/>
          <w:spacing w:val="-24"/>
          <w:w w:val="105"/>
          <w:sz w:val="16"/>
        </w:rPr>
        <w:t> </w:t>
      </w:r>
      <w:r>
        <w:rPr>
          <w:rFonts w:ascii="Calibri" w:hAnsi="Calibri"/>
          <w:color w:val="414042"/>
          <w:w w:val="105"/>
          <w:sz w:val="16"/>
        </w:rPr>
        <w:t>Rojo</w:t>
      </w:r>
      <w:r>
        <w:rPr>
          <w:rFonts w:ascii="Calibri" w:hAnsi="Calibri"/>
          <w:color w:val="414042"/>
          <w:spacing w:val="-25"/>
          <w:w w:val="105"/>
          <w:sz w:val="16"/>
        </w:rPr>
        <w:t> </w:t>
      </w:r>
      <w:r>
        <w:rPr>
          <w:rFonts w:ascii="Calibri" w:hAnsi="Calibri"/>
          <w:color w:val="414042"/>
          <w:w w:val="105"/>
          <w:sz w:val="16"/>
        </w:rPr>
        <w:t>y</w:t>
      </w:r>
      <w:r>
        <w:rPr>
          <w:rFonts w:ascii="Calibri" w:hAnsi="Calibri"/>
          <w:color w:val="414042"/>
          <w:spacing w:val="-26"/>
          <w:w w:val="105"/>
          <w:sz w:val="16"/>
        </w:rPr>
        <w:t> </w:t>
      </w:r>
      <w:r>
        <w:rPr>
          <w:rFonts w:ascii="Calibri" w:hAnsi="Calibri"/>
          <w:color w:val="414042"/>
          <w:w w:val="105"/>
          <w:sz w:val="16"/>
        </w:rPr>
        <w:t>Teodoro</w:t>
      </w:r>
      <w:r>
        <w:rPr>
          <w:rFonts w:ascii="Calibri" w:hAnsi="Calibri"/>
          <w:color w:val="414042"/>
          <w:spacing w:val="-24"/>
          <w:w w:val="105"/>
          <w:sz w:val="16"/>
        </w:rPr>
        <w:t> </w:t>
      </w:r>
      <w:r>
        <w:rPr>
          <w:rFonts w:ascii="Calibri" w:hAnsi="Calibri"/>
          <w:color w:val="414042"/>
          <w:w w:val="105"/>
          <w:sz w:val="16"/>
        </w:rPr>
        <w:t>Rodríguez;</w:t>
      </w:r>
      <w:r>
        <w:rPr>
          <w:rFonts w:ascii="Calibri" w:hAnsi="Calibri"/>
          <w:color w:val="414042"/>
          <w:spacing w:val="-24"/>
          <w:w w:val="105"/>
          <w:sz w:val="16"/>
        </w:rPr>
        <w:t> </w:t>
      </w:r>
      <w:r>
        <w:rPr>
          <w:rFonts w:ascii="Calibri" w:hAnsi="Calibri"/>
          <w:color w:val="414042"/>
          <w:w w:val="105"/>
          <w:sz w:val="16"/>
        </w:rPr>
        <w:t>Jesús</w:t>
      </w:r>
      <w:r>
        <w:rPr>
          <w:rFonts w:ascii="Calibri" w:hAnsi="Calibri"/>
          <w:color w:val="414042"/>
          <w:spacing w:val="-24"/>
          <w:w w:val="105"/>
          <w:sz w:val="16"/>
        </w:rPr>
        <w:t> </w:t>
      </w:r>
      <w:r>
        <w:rPr>
          <w:rFonts w:ascii="Calibri" w:hAnsi="Calibri"/>
          <w:color w:val="414042"/>
          <w:w w:val="105"/>
          <w:sz w:val="16"/>
        </w:rPr>
        <w:t>Sámano, de</w:t>
      </w:r>
      <w:r>
        <w:rPr>
          <w:rFonts w:ascii="Calibri" w:hAnsi="Calibri"/>
          <w:color w:val="414042"/>
          <w:spacing w:val="-5"/>
          <w:w w:val="105"/>
          <w:sz w:val="16"/>
        </w:rPr>
        <w:t> </w:t>
      </w:r>
      <w:r>
        <w:rPr>
          <w:rFonts w:ascii="Calibri" w:hAnsi="Calibri"/>
          <w:color w:val="414042"/>
          <w:w w:val="105"/>
          <w:sz w:val="16"/>
        </w:rPr>
        <w:t>El</w:t>
      </w:r>
      <w:r>
        <w:rPr>
          <w:rFonts w:ascii="Calibri" w:hAnsi="Calibri"/>
          <w:color w:val="414042"/>
          <w:spacing w:val="-5"/>
          <w:w w:val="105"/>
          <w:sz w:val="16"/>
        </w:rPr>
        <w:t> </w:t>
      </w:r>
      <w:r>
        <w:rPr>
          <w:rFonts w:ascii="Calibri" w:hAnsi="Calibri"/>
          <w:color w:val="414042"/>
          <w:w w:val="105"/>
          <w:sz w:val="16"/>
        </w:rPr>
        <w:t>Mamey;</w:t>
      </w:r>
      <w:r>
        <w:rPr>
          <w:rFonts w:ascii="Calibri" w:hAnsi="Calibri"/>
          <w:color w:val="414042"/>
          <w:spacing w:val="-5"/>
          <w:w w:val="105"/>
          <w:sz w:val="16"/>
        </w:rPr>
        <w:t> </w:t>
      </w:r>
      <w:r>
        <w:rPr>
          <w:rFonts w:ascii="Calibri" w:hAnsi="Calibri"/>
          <w:color w:val="414042"/>
          <w:w w:val="105"/>
          <w:sz w:val="16"/>
        </w:rPr>
        <w:t>Jesús</w:t>
      </w:r>
      <w:r>
        <w:rPr>
          <w:rFonts w:ascii="Calibri" w:hAnsi="Calibri"/>
          <w:color w:val="414042"/>
          <w:spacing w:val="-5"/>
          <w:w w:val="105"/>
          <w:sz w:val="16"/>
        </w:rPr>
        <w:t> </w:t>
      </w:r>
      <w:r>
        <w:rPr>
          <w:rFonts w:ascii="Calibri" w:hAnsi="Calibri"/>
          <w:color w:val="414042"/>
          <w:w w:val="105"/>
          <w:sz w:val="16"/>
        </w:rPr>
        <w:t>Domínguez,</w:t>
      </w:r>
      <w:r>
        <w:rPr>
          <w:rFonts w:ascii="Calibri" w:hAnsi="Calibri"/>
          <w:color w:val="414042"/>
          <w:spacing w:val="-5"/>
          <w:w w:val="105"/>
          <w:sz w:val="16"/>
        </w:rPr>
        <w:t> </w:t>
      </w:r>
      <w:r>
        <w:rPr>
          <w:rFonts w:ascii="Calibri" w:hAnsi="Calibri"/>
          <w:color w:val="414042"/>
          <w:w w:val="105"/>
          <w:sz w:val="16"/>
        </w:rPr>
        <w:t>de</w:t>
      </w:r>
      <w:r>
        <w:rPr>
          <w:rFonts w:ascii="Calibri" w:hAnsi="Calibri"/>
          <w:color w:val="414042"/>
          <w:spacing w:val="-5"/>
          <w:w w:val="105"/>
          <w:sz w:val="16"/>
        </w:rPr>
        <w:t> </w:t>
      </w:r>
      <w:r>
        <w:rPr>
          <w:rFonts w:ascii="Calibri" w:hAnsi="Calibri"/>
          <w:color w:val="414042"/>
          <w:w w:val="105"/>
          <w:sz w:val="16"/>
        </w:rPr>
        <w:t>Amatepec;</w:t>
      </w:r>
      <w:r>
        <w:rPr>
          <w:rFonts w:ascii="Calibri" w:hAnsi="Calibri"/>
          <w:color w:val="414042"/>
          <w:spacing w:val="-5"/>
          <w:w w:val="105"/>
          <w:sz w:val="16"/>
        </w:rPr>
        <w:t> </w:t>
      </w:r>
      <w:r>
        <w:rPr>
          <w:rFonts w:ascii="Calibri" w:hAnsi="Calibri"/>
          <w:color w:val="414042"/>
          <w:w w:val="105"/>
          <w:sz w:val="16"/>
        </w:rPr>
        <w:t>Ing.</w:t>
      </w:r>
      <w:r>
        <w:rPr>
          <w:rFonts w:ascii="Calibri" w:hAnsi="Calibri"/>
          <w:color w:val="414042"/>
          <w:spacing w:val="-5"/>
          <w:w w:val="105"/>
          <w:sz w:val="16"/>
        </w:rPr>
        <w:t> </w:t>
      </w:r>
      <w:r>
        <w:rPr>
          <w:rFonts w:ascii="Calibri" w:hAnsi="Calibri"/>
          <w:color w:val="414042"/>
          <w:w w:val="105"/>
          <w:sz w:val="16"/>
        </w:rPr>
        <w:t>Mateo</w:t>
      </w:r>
      <w:r>
        <w:rPr>
          <w:rFonts w:ascii="Calibri" w:hAnsi="Calibri"/>
          <w:color w:val="414042"/>
          <w:spacing w:val="-5"/>
          <w:w w:val="105"/>
          <w:sz w:val="16"/>
        </w:rPr>
        <w:t> </w:t>
      </w:r>
      <w:r>
        <w:rPr>
          <w:rFonts w:ascii="Calibri" w:hAnsi="Calibri"/>
          <w:color w:val="414042"/>
          <w:w w:val="105"/>
          <w:sz w:val="16"/>
        </w:rPr>
        <w:t>Macedo</w:t>
      </w:r>
      <w:r>
        <w:rPr>
          <w:rFonts w:ascii="Calibri" w:hAnsi="Calibri"/>
          <w:color w:val="414042"/>
          <w:spacing w:val="-6"/>
          <w:w w:val="105"/>
          <w:sz w:val="16"/>
        </w:rPr>
        <w:t> </w:t>
      </w:r>
      <w:r>
        <w:rPr>
          <w:rFonts w:ascii="Calibri" w:hAnsi="Calibri"/>
          <w:color w:val="414042"/>
          <w:w w:val="105"/>
          <w:sz w:val="16"/>
        </w:rPr>
        <w:t>y</w:t>
      </w:r>
      <w:r>
        <w:rPr>
          <w:rFonts w:ascii="Calibri" w:hAnsi="Calibri"/>
          <w:color w:val="414042"/>
          <w:spacing w:val="-5"/>
          <w:w w:val="105"/>
          <w:sz w:val="16"/>
        </w:rPr>
        <w:t> </w:t>
      </w:r>
      <w:r>
        <w:rPr>
          <w:rFonts w:ascii="Calibri" w:hAnsi="Calibri"/>
          <w:color w:val="414042"/>
          <w:w w:val="105"/>
          <w:sz w:val="16"/>
        </w:rPr>
        <w:t>Arturo</w:t>
      </w:r>
      <w:r>
        <w:rPr>
          <w:rFonts w:ascii="Calibri" w:hAnsi="Calibri"/>
          <w:color w:val="414042"/>
          <w:spacing w:val="-5"/>
          <w:w w:val="105"/>
          <w:sz w:val="16"/>
        </w:rPr>
        <w:t> </w:t>
      </w:r>
      <w:r>
        <w:rPr>
          <w:rFonts w:ascii="Calibri" w:hAnsi="Calibri"/>
          <w:color w:val="414042"/>
          <w:w w:val="105"/>
          <w:sz w:val="16"/>
        </w:rPr>
        <w:t>Macedo</w:t>
      </w:r>
      <w:r>
        <w:rPr>
          <w:rFonts w:ascii="Calibri" w:hAnsi="Calibri"/>
          <w:color w:val="414042"/>
          <w:spacing w:val="-5"/>
          <w:w w:val="105"/>
          <w:sz w:val="16"/>
        </w:rPr>
        <w:t> </w:t>
      </w:r>
      <w:r>
        <w:rPr>
          <w:rFonts w:ascii="Calibri" w:hAnsi="Calibri"/>
          <w:color w:val="414042"/>
          <w:w w:val="105"/>
          <w:sz w:val="16"/>
        </w:rPr>
        <w:t>Domínguez,</w:t>
      </w:r>
      <w:r>
        <w:rPr>
          <w:rFonts w:ascii="Calibri" w:hAnsi="Calibri"/>
          <w:color w:val="414042"/>
          <w:spacing w:val="-5"/>
          <w:w w:val="105"/>
          <w:sz w:val="16"/>
        </w:rPr>
        <w:t> </w:t>
      </w:r>
      <w:r>
        <w:rPr>
          <w:rFonts w:ascii="Calibri" w:hAnsi="Calibri"/>
          <w:color w:val="414042"/>
          <w:w w:val="105"/>
          <w:sz w:val="16"/>
        </w:rPr>
        <w:t>Jesús Sámano,</w:t>
      </w:r>
      <w:r>
        <w:rPr>
          <w:rFonts w:ascii="Calibri" w:hAnsi="Calibri"/>
          <w:color w:val="414042"/>
          <w:spacing w:val="-14"/>
          <w:w w:val="105"/>
          <w:sz w:val="16"/>
        </w:rPr>
        <w:t> </w:t>
      </w:r>
      <w:r>
        <w:rPr>
          <w:rFonts w:ascii="Calibri" w:hAnsi="Calibri"/>
          <w:color w:val="414042"/>
          <w:w w:val="105"/>
          <w:sz w:val="16"/>
        </w:rPr>
        <w:t>Jesús</w:t>
      </w:r>
      <w:r>
        <w:rPr>
          <w:rFonts w:ascii="Calibri" w:hAnsi="Calibri"/>
          <w:color w:val="414042"/>
          <w:spacing w:val="-14"/>
          <w:w w:val="105"/>
          <w:sz w:val="16"/>
        </w:rPr>
        <w:t> </w:t>
      </w:r>
      <w:r>
        <w:rPr>
          <w:rFonts w:ascii="Calibri" w:hAnsi="Calibri"/>
          <w:color w:val="414042"/>
          <w:w w:val="105"/>
          <w:sz w:val="16"/>
        </w:rPr>
        <w:t>Domínguez,</w:t>
      </w:r>
      <w:r>
        <w:rPr>
          <w:rFonts w:ascii="Calibri" w:hAnsi="Calibri"/>
          <w:color w:val="414042"/>
          <w:spacing w:val="-14"/>
          <w:w w:val="105"/>
          <w:sz w:val="16"/>
        </w:rPr>
        <w:t> </w:t>
      </w:r>
      <w:r>
        <w:rPr>
          <w:rFonts w:ascii="Calibri" w:hAnsi="Calibri"/>
          <w:color w:val="414042"/>
          <w:w w:val="105"/>
          <w:sz w:val="16"/>
        </w:rPr>
        <w:t>Josafat</w:t>
      </w:r>
      <w:r>
        <w:rPr>
          <w:rFonts w:ascii="Calibri" w:hAnsi="Calibri"/>
          <w:color w:val="414042"/>
          <w:spacing w:val="-17"/>
          <w:w w:val="105"/>
          <w:sz w:val="16"/>
        </w:rPr>
        <w:t> </w:t>
      </w:r>
      <w:r>
        <w:rPr>
          <w:rFonts w:ascii="Calibri" w:hAnsi="Calibri"/>
          <w:color w:val="414042"/>
          <w:w w:val="105"/>
          <w:sz w:val="16"/>
        </w:rPr>
        <w:t>Villegas,</w:t>
      </w:r>
      <w:r>
        <w:rPr>
          <w:rFonts w:ascii="Calibri" w:hAnsi="Calibri"/>
          <w:color w:val="414042"/>
          <w:spacing w:val="-14"/>
          <w:w w:val="105"/>
          <w:sz w:val="16"/>
        </w:rPr>
        <w:t> </w:t>
      </w:r>
      <w:r>
        <w:rPr>
          <w:rFonts w:ascii="Calibri" w:hAnsi="Calibri"/>
          <w:color w:val="414042"/>
          <w:w w:val="105"/>
          <w:sz w:val="16"/>
        </w:rPr>
        <w:t>José</w:t>
      </w:r>
      <w:r>
        <w:rPr>
          <w:rFonts w:ascii="Calibri" w:hAnsi="Calibri"/>
          <w:color w:val="414042"/>
          <w:spacing w:val="-14"/>
          <w:w w:val="105"/>
          <w:sz w:val="16"/>
        </w:rPr>
        <w:t> </w:t>
      </w:r>
      <w:r>
        <w:rPr>
          <w:rFonts w:ascii="Calibri" w:hAnsi="Calibri"/>
          <w:color w:val="414042"/>
          <w:w w:val="105"/>
          <w:sz w:val="16"/>
        </w:rPr>
        <w:t>Azuara</w:t>
      </w:r>
      <w:r>
        <w:rPr>
          <w:rFonts w:ascii="Calibri" w:hAnsi="Calibri"/>
          <w:color w:val="414042"/>
          <w:spacing w:val="-14"/>
          <w:w w:val="105"/>
          <w:sz w:val="16"/>
        </w:rPr>
        <w:t> </w:t>
      </w:r>
      <w:r>
        <w:rPr>
          <w:rFonts w:ascii="Calibri" w:hAnsi="Calibri"/>
          <w:color w:val="414042"/>
          <w:w w:val="105"/>
          <w:sz w:val="16"/>
        </w:rPr>
        <w:t>Zúñiga</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4"/>
          <w:w w:val="105"/>
          <w:sz w:val="16"/>
        </w:rPr>
        <w:t> </w:t>
      </w:r>
      <w:r>
        <w:rPr>
          <w:rFonts w:ascii="Calibri" w:hAnsi="Calibri"/>
          <w:color w:val="414042"/>
          <w:w w:val="105"/>
          <w:sz w:val="16"/>
        </w:rPr>
        <w:t>MVZ</w:t>
      </w:r>
      <w:r>
        <w:rPr>
          <w:rFonts w:ascii="Calibri" w:hAnsi="Calibri"/>
          <w:color w:val="414042"/>
          <w:spacing w:val="-14"/>
          <w:w w:val="105"/>
          <w:sz w:val="16"/>
        </w:rPr>
        <w:t> </w:t>
      </w:r>
      <w:r>
        <w:rPr>
          <w:rFonts w:ascii="Calibri" w:hAnsi="Calibri"/>
          <w:color w:val="414042"/>
          <w:w w:val="105"/>
          <w:sz w:val="16"/>
        </w:rPr>
        <w:t>José</w:t>
      </w:r>
      <w:r>
        <w:rPr>
          <w:rFonts w:ascii="Calibri" w:hAnsi="Calibri"/>
          <w:color w:val="414042"/>
          <w:spacing w:val="-14"/>
          <w:w w:val="105"/>
          <w:sz w:val="16"/>
        </w:rPr>
        <w:t> </w:t>
      </w:r>
      <w:r>
        <w:rPr>
          <w:rFonts w:ascii="Calibri" w:hAnsi="Calibri"/>
          <w:color w:val="414042"/>
          <w:w w:val="105"/>
          <w:sz w:val="16"/>
        </w:rPr>
        <w:t>Luis</w:t>
      </w:r>
      <w:r>
        <w:rPr>
          <w:rFonts w:ascii="Calibri" w:hAnsi="Calibri"/>
          <w:color w:val="414042"/>
          <w:spacing w:val="-14"/>
          <w:w w:val="105"/>
          <w:sz w:val="16"/>
        </w:rPr>
        <w:t> </w:t>
      </w:r>
      <w:r>
        <w:rPr>
          <w:rFonts w:ascii="Calibri" w:hAnsi="Calibri"/>
          <w:color w:val="414042"/>
          <w:w w:val="105"/>
          <w:sz w:val="16"/>
        </w:rPr>
        <w:t>Caballero.</w:t>
      </w:r>
    </w:p>
    <w:p>
      <w:pPr>
        <w:spacing w:after="0" w:line="192" w:lineRule="exact"/>
        <w:jc w:val="both"/>
        <w:rPr>
          <w:rFonts w:ascii="Calibri" w:hAnsi="Calibri"/>
          <w:sz w:val="16"/>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2"/>
        </w:rPr>
      </w:pPr>
    </w:p>
    <w:p>
      <w:pPr>
        <w:pStyle w:val="BodyText"/>
        <w:spacing w:line="261" w:lineRule="auto" w:before="61"/>
        <w:ind w:left="1723" w:right="1835"/>
        <w:jc w:val="both"/>
      </w:pPr>
      <w:r>
        <w:rPr/>
        <w:pict>
          <v:line style="position:absolute;mso-position-horizontal-relative:page;mso-position-vertical-relative:paragraph;z-index:40672" from="15pt,-68.636444pt" to="0pt,-68.636444pt" stroked="true" strokeweight=".25pt" strokecolor="#000000">
            <w10:wrap type="none"/>
          </v:line>
        </w:pict>
      </w:r>
      <w:r>
        <w:rPr/>
        <w:pict>
          <v:line style="position:absolute;mso-position-horizontal-relative:page;mso-position-vertical-relative:paragraph;z-index:40696" from="508.890015pt,-68.636444pt" to="523.890015pt,-68.636444pt" stroked="true" strokeweight=".25pt" strokecolor="#000000">
            <w10:wrap type="none"/>
          </v:line>
        </w:pict>
      </w:r>
      <w:r>
        <w:rPr>
          <w:color w:val="231F20"/>
          <w:w w:val="105"/>
        </w:rPr>
        <w:t>un </w:t>
      </w:r>
      <w:r>
        <w:rPr>
          <w:color w:val="231F20"/>
          <w:spacing w:val="-3"/>
          <w:w w:val="105"/>
        </w:rPr>
        <w:t>nuevo periodo vacacional </w:t>
      </w:r>
      <w:r>
        <w:rPr>
          <w:color w:val="231F20"/>
          <w:w w:val="105"/>
        </w:rPr>
        <w:t>que </w:t>
      </w:r>
      <w:r>
        <w:rPr>
          <w:color w:val="231F20"/>
          <w:spacing w:val="-3"/>
          <w:w w:val="105"/>
        </w:rPr>
        <w:t>comprendía </w:t>
      </w:r>
      <w:r>
        <w:rPr>
          <w:color w:val="231F20"/>
          <w:w w:val="105"/>
        </w:rPr>
        <w:t>del 1 al 15 de </w:t>
      </w:r>
      <w:r>
        <w:rPr>
          <w:color w:val="231F20"/>
          <w:spacing w:val="-4"/>
          <w:w w:val="105"/>
        </w:rPr>
        <w:t>enero. </w:t>
      </w:r>
      <w:r>
        <w:rPr>
          <w:color w:val="231F20"/>
          <w:spacing w:val="-3"/>
          <w:w w:val="105"/>
        </w:rPr>
        <w:t>Una </w:t>
      </w:r>
      <w:r>
        <w:rPr>
          <w:color w:val="231F20"/>
          <w:w w:val="105"/>
        </w:rPr>
        <w:t>vez</w:t>
      </w:r>
      <w:r>
        <w:rPr>
          <w:color w:val="231F20"/>
          <w:spacing w:val="-19"/>
          <w:w w:val="105"/>
        </w:rPr>
        <w:t> </w:t>
      </w:r>
      <w:r>
        <w:rPr>
          <w:color w:val="231F20"/>
          <w:spacing w:val="-3"/>
          <w:w w:val="105"/>
        </w:rPr>
        <w:t>concluido</w:t>
      </w:r>
      <w:r>
        <w:rPr>
          <w:color w:val="231F20"/>
          <w:spacing w:val="-19"/>
          <w:w w:val="105"/>
        </w:rPr>
        <w:t> </w:t>
      </w:r>
      <w:r>
        <w:rPr>
          <w:color w:val="231F20"/>
          <w:w w:val="105"/>
        </w:rPr>
        <w:t>el</w:t>
      </w:r>
      <w:r>
        <w:rPr>
          <w:color w:val="231F20"/>
          <w:spacing w:val="-19"/>
          <w:w w:val="105"/>
        </w:rPr>
        <w:t> </w:t>
      </w:r>
      <w:r>
        <w:rPr>
          <w:color w:val="231F20"/>
          <w:spacing w:val="-3"/>
          <w:w w:val="105"/>
        </w:rPr>
        <w:t>periodo</w:t>
      </w:r>
      <w:r>
        <w:rPr>
          <w:color w:val="231F20"/>
          <w:spacing w:val="-19"/>
          <w:w w:val="105"/>
        </w:rPr>
        <w:t> </w:t>
      </w:r>
      <w:r>
        <w:rPr>
          <w:color w:val="231F20"/>
          <w:spacing w:val="-3"/>
          <w:w w:val="105"/>
        </w:rPr>
        <w:t>vacacional</w:t>
      </w:r>
      <w:r>
        <w:rPr>
          <w:color w:val="231F20"/>
          <w:spacing w:val="-19"/>
          <w:w w:val="105"/>
        </w:rPr>
        <w:t> </w:t>
      </w:r>
      <w:r>
        <w:rPr>
          <w:color w:val="231F20"/>
          <w:w w:val="105"/>
        </w:rPr>
        <w:t>los</w:t>
      </w:r>
      <w:r>
        <w:rPr>
          <w:color w:val="231F20"/>
          <w:spacing w:val="-19"/>
          <w:w w:val="105"/>
        </w:rPr>
        <w:t> </w:t>
      </w:r>
      <w:r>
        <w:rPr>
          <w:color w:val="231F20"/>
          <w:spacing w:val="-3"/>
          <w:w w:val="105"/>
        </w:rPr>
        <w:t>mandó</w:t>
      </w:r>
      <w:r>
        <w:rPr>
          <w:color w:val="231F20"/>
          <w:spacing w:val="-19"/>
          <w:w w:val="105"/>
        </w:rPr>
        <w:t> </w:t>
      </w:r>
      <w:r>
        <w:rPr>
          <w:color w:val="231F20"/>
          <w:spacing w:val="-3"/>
          <w:w w:val="105"/>
        </w:rPr>
        <w:t>otros</w:t>
      </w:r>
      <w:r>
        <w:rPr>
          <w:color w:val="231F20"/>
          <w:spacing w:val="-19"/>
          <w:w w:val="105"/>
        </w:rPr>
        <w:t> </w:t>
      </w:r>
      <w:r>
        <w:rPr>
          <w:color w:val="231F20"/>
          <w:w w:val="105"/>
        </w:rPr>
        <w:t>15</w:t>
      </w:r>
      <w:r>
        <w:rPr>
          <w:color w:val="231F20"/>
          <w:spacing w:val="-19"/>
          <w:w w:val="105"/>
        </w:rPr>
        <w:t> </w:t>
      </w:r>
      <w:r>
        <w:rPr>
          <w:color w:val="231F20"/>
          <w:spacing w:val="-3"/>
          <w:w w:val="105"/>
        </w:rPr>
        <w:t>días</w:t>
      </w:r>
      <w:r>
        <w:rPr>
          <w:color w:val="231F20"/>
          <w:spacing w:val="-19"/>
          <w:w w:val="105"/>
        </w:rPr>
        <w:t> </w:t>
      </w:r>
      <w:r>
        <w:rPr>
          <w:color w:val="231F20"/>
          <w:w w:val="105"/>
        </w:rPr>
        <w:t>más</w:t>
      </w:r>
      <w:r>
        <w:rPr>
          <w:color w:val="231F20"/>
          <w:spacing w:val="-19"/>
          <w:w w:val="105"/>
        </w:rPr>
        <w:t> </w:t>
      </w:r>
      <w:r>
        <w:rPr>
          <w:color w:val="231F20"/>
          <w:w w:val="105"/>
        </w:rPr>
        <w:t>de</w:t>
      </w:r>
      <w:r>
        <w:rPr>
          <w:color w:val="231F20"/>
          <w:spacing w:val="-19"/>
          <w:w w:val="105"/>
        </w:rPr>
        <w:t> </w:t>
      </w:r>
      <w:r>
        <w:rPr>
          <w:color w:val="231F20"/>
          <w:spacing w:val="-3"/>
          <w:w w:val="105"/>
        </w:rPr>
        <w:t>vaca- ciones</w:t>
      </w:r>
      <w:r>
        <w:rPr>
          <w:color w:val="231F20"/>
          <w:spacing w:val="-15"/>
          <w:w w:val="105"/>
        </w:rPr>
        <w:t> </w:t>
      </w:r>
      <w:r>
        <w:rPr>
          <w:color w:val="231F20"/>
          <w:spacing w:val="-3"/>
          <w:w w:val="105"/>
        </w:rPr>
        <w:t>porque</w:t>
      </w:r>
      <w:r>
        <w:rPr>
          <w:color w:val="231F20"/>
          <w:spacing w:val="-15"/>
          <w:w w:val="105"/>
        </w:rPr>
        <w:t> </w:t>
      </w:r>
      <w:r>
        <w:rPr>
          <w:color w:val="231F20"/>
          <w:w w:val="105"/>
        </w:rPr>
        <w:t>no</w:t>
      </w:r>
      <w:r>
        <w:rPr>
          <w:color w:val="231F20"/>
          <w:spacing w:val="-15"/>
          <w:w w:val="105"/>
        </w:rPr>
        <w:t> </w:t>
      </w:r>
      <w:r>
        <w:rPr>
          <w:color w:val="231F20"/>
          <w:spacing w:val="-3"/>
          <w:w w:val="105"/>
        </w:rPr>
        <w:t>había</w:t>
      </w:r>
      <w:r>
        <w:rPr>
          <w:color w:val="231F20"/>
          <w:spacing w:val="-15"/>
          <w:w w:val="105"/>
        </w:rPr>
        <w:t> </w:t>
      </w:r>
      <w:r>
        <w:rPr>
          <w:color w:val="231F20"/>
          <w:spacing w:val="-4"/>
          <w:w w:val="105"/>
        </w:rPr>
        <w:t>presupuesto.</w:t>
      </w:r>
      <w:r>
        <w:rPr>
          <w:color w:val="231F20"/>
          <w:spacing w:val="-22"/>
          <w:w w:val="105"/>
        </w:rPr>
        <w:t> </w:t>
      </w:r>
      <w:r>
        <w:rPr>
          <w:color w:val="231F20"/>
          <w:spacing w:val="-3"/>
          <w:w w:val="105"/>
        </w:rPr>
        <w:t>Cuando</w:t>
      </w:r>
      <w:r>
        <w:rPr>
          <w:color w:val="231F20"/>
          <w:spacing w:val="-15"/>
          <w:w w:val="105"/>
        </w:rPr>
        <w:t> </w:t>
      </w:r>
      <w:r>
        <w:rPr>
          <w:color w:val="231F20"/>
          <w:w w:val="105"/>
        </w:rPr>
        <w:t>los</w:t>
      </w:r>
      <w:r>
        <w:rPr>
          <w:color w:val="231F20"/>
          <w:spacing w:val="-15"/>
          <w:w w:val="105"/>
        </w:rPr>
        <w:t> </w:t>
      </w:r>
      <w:r>
        <w:rPr>
          <w:color w:val="231F20"/>
          <w:spacing w:val="-4"/>
          <w:w w:val="105"/>
        </w:rPr>
        <w:t>trabajadores</w:t>
      </w:r>
      <w:r>
        <w:rPr>
          <w:color w:val="231F20"/>
          <w:spacing w:val="-15"/>
          <w:w w:val="105"/>
        </w:rPr>
        <w:t> </w:t>
      </w:r>
      <w:r>
        <w:rPr>
          <w:color w:val="231F20"/>
          <w:spacing w:val="-4"/>
          <w:w w:val="105"/>
        </w:rPr>
        <w:t>regresaron </w:t>
      </w:r>
      <w:r>
        <w:rPr>
          <w:color w:val="231F20"/>
          <w:w w:val="105"/>
        </w:rPr>
        <w:t>el</w:t>
      </w:r>
      <w:r>
        <w:rPr>
          <w:color w:val="231F20"/>
          <w:spacing w:val="-21"/>
          <w:w w:val="105"/>
        </w:rPr>
        <w:t> </w:t>
      </w:r>
      <w:r>
        <w:rPr>
          <w:color w:val="231F20"/>
          <w:spacing w:val="-3"/>
          <w:w w:val="105"/>
        </w:rPr>
        <w:t>primero</w:t>
      </w:r>
      <w:r>
        <w:rPr>
          <w:color w:val="231F20"/>
          <w:spacing w:val="-21"/>
          <w:w w:val="105"/>
        </w:rPr>
        <w:t> </w:t>
      </w:r>
      <w:r>
        <w:rPr>
          <w:color w:val="231F20"/>
          <w:w w:val="105"/>
        </w:rPr>
        <w:t>de</w:t>
      </w:r>
      <w:r>
        <w:rPr>
          <w:color w:val="231F20"/>
          <w:spacing w:val="-21"/>
          <w:w w:val="105"/>
        </w:rPr>
        <w:t> </w:t>
      </w:r>
      <w:r>
        <w:rPr>
          <w:color w:val="231F20"/>
          <w:spacing w:val="-4"/>
          <w:w w:val="105"/>
        </w:rPr>
        <w:t>febrero</w:t>
      </w:r>
      <w:r>
        <w:rPr>
          <w:color w:val="231F20"/>
          <w:spacing w:val="-21"/>
          <w:w w:val="105"/>
        </w:rPr>
        <w:t> </w:t>
      </w:r>
      <w:r>
        <w:rPr>
          <w:color w:val="231F20"/>
          <w:w w:val="105"/>
        </w:rPr>
        <w:t>les</w:t>
      </w:r>
      <w:r>
        <w:rPr>
          <w:color w:val="231F20"/>
          <w:spacing w:val="-21"/>
          <w:w w:val="105"/>
        </w:rPr>
        <w:t> </w:t>
      </w:r>
      <w:r>
        <w:rPr>
          <w:color w:val="231F20"/>
          <w:spacing w:val="-3"/>
          <w:w w:val="105"/>
        </w:rPr>
        <w:t>informaron</w:t>
      </w:r>
      <w:r>
        <w:rPr>
          <w:color w:val="231F20"/>
          <w:spacing w:val="-21"/>
          <w:w w:val="105"/>
        </w:rPr>
        <w:t> </w:t>
      </w:r>
      <w:r>
        <w:rPr>
          <w:color w:val="231F20"/>
          <w:w w:val="105"/>
        </w:rPr>
        <w:t>que</w:t>
      </w:r>
      <w:r>
        <w:rPr>
          <w:color w:val="231F20"/>
          <w:spacing w:val="-21"/>
          <w:w w:val="105"/>
        </w:rPr>
        <w:t> </w:t>
      </w:r>
      <w:r>
        <w:rPr>
          <w:color w:val="231F20"/>
          <w:w w:val="105"/>
        </w:rPr>
        <w:t>ya</w:t>
      </w:r>
      <w:r>
        <w:rPr>
          <w:color w:val="231F20"/>
          <w:spacing w:val="-21"/>
          <w:w w:val="105"/>
        </w:rPr>
        <w:t> </w:t>
      </w:r>
      <w:r>
        <w:rPr>
          <w:color w:val="231F20"/>
          <w:w w:val="105"/>
        </w:rPr>
        <w:t>no</w:t>
      </w:r>
      <w:r>
        <w:rPr>
          <w:color w:val="231F20"/>
          <w:spacing w:val="-21"/>
          <w:w w:val="105"/>
        </w:rPr>
        <w:t> </w:t>
      </w:r>
      <w:r>
        <w:rPr>
          <w:color w:val="231F20"/>
          <w:spacing w:val="-3"/>
          <w:w w:val="105"/>
        </w:rPr>
        <w:t>habría</w:t>
      </w:r>
      <w:r>
        <w:rPr>
          <w:color w:val="231F20"/>
          <w:spacing w:val="-21"/>
          <w:w w:val="105"/>
        </w:rPr>
        <w:t> </w:t>
      </w:r>
      <w:r>
        <w:rPr>
          <w:color w:val="231F20"/>
          <w:spacing w:val="-4"/>
          <w:w w:val="105"/>
        </w:rPr>
        <w:t>trabajo,</w:t>
      </w:r>
      <w:r>
        <w:rPr>
          <w:color w:val="231F20"/>
          <w:spacing w:val="-28"/>
          <w:w w:val="105"/>
        </w:rPr>
        <w:t> </w:t>
      </w:r>
      <w:r>
        <w:rPr>
          <w:color w:val="231F20"/>
          <w:spacing w:val="-3"/>
          <w:w w:val="105"/>
        </w:rPr>
        <w:t>entonces</w:t>
      </w:r>
      <w:r>
        <w:rPr>
          <w:color w:val="231F20"/>
          <w:spacing w:val="-21"/>
          <w:w w:val="105"/>
        </w:rPr>
        <w:t> </w:t>
      </w:r>
      <w:r>
        <w:rPr>
          <w:color w:val="231F20"/>
          <w:spacing w:val="-3"/>
          <w:w w:val="105"/>
        </w:rPr>
        <w:t>los </w:t>
      </w:r>
      <w:r>
        <w:rPr>
          <w:color w:val="231F20"/>
          <w:spacing w:val="-4"/>
          <w:w w:val="105"/>
        </w:rPr>
        <w:t>trabajadores</w:t>
      </w:r>
      <w:r>
        <w:rPr>
          <w:color w:val="231F20"/>
          <w:spacing w:val="-9"/>
          <w:w w:val="105"/>
        </w:rPr>
        <w:t> </w:t>
      </w:r>
      <w:r>
        <w:rPr>
          <w:color w:val="231F20"/>
          <w:w w:val="105"/>
        </w:rPr>
        <w:t>del</w:t>
      </w:r>
      <w:r>
        <w:rPr>
          <w:color w:val="231F20"/>
          <w:spacing w:val="-9"/>
          <w:w w:val="105"/>
        </w:rPr>
        <w:t> </w:t>
      </w:r>
      <w:r>
        <w:rPr>
          <w:color w:val="231F20"/>
          <w:spacing w:val="-3"/>
          <w:w w:val="105"/>
        </w:rPr>
        <w:t>rancho</w:t>
      </w:r>
      <w:r>
        <w:rPr>
          <w:color w:val="231F20"/>
          <w:spacing w:val="-9"/>
          <w:w w:val="105"/>
        </w:rPr>
        <w:t> </w:t>
      </w:r>
      <w:r>
        <w:rPr>
          <w:color w:val="231F20"/>
          <w:spacing w:val="-3"/>
          <w:w w:val="105"/>
        </w:rPr>
        <w:t>demandaron</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spacing w:val="-3"/>
          <w:w w:val="105"/>
        </w:rPr>
        <w:t>Comisión</w:t>
      </w:r>
      <w:r>
        <w:rPr>
          <w:color w:val="231F20"/>
          <w:spacing w:val="-9"/>
          <w:w w:val="105"/>
        </w:rPr>
        <w:t> </w:t>
      </w:r>
      <w:r>
        <w:rPr>
          <w:color w:val="231F20"/>
          <w:spacing w:val="-4"/>
          <w:w w:val="105"/>
        </w:rPr>
        <w:t>Coordinadora</w:t>
      </w:r>
      <w:r>
        <w:rPr>
          <w:color w:val="231F20"/>
          <w:spacing w:val="-9"/>
          <w:w w:val="105"/>
        </w:rPr>
        <w:t> </w:t>
      </w:r>
      <w:r>
        <w:rPr>
          <w:color w:val="231F20"/>
          <w:spacing w:val="-3"/>
          <w:w w:val="105"/>
        </w:rPr>
        <w:t>para</w:t>
      </w:r>
      <w:r>
        <w:rPr>
          <w:color w:val="231F20"/>
          <w:spacing w:val="-9"/>
          <w:w w:val="105"/>
        </w:rPr>
        <w:t> </w:t>
      </w:r>
      <w:r>
        <w:rPr>
          <w:color w:val="231F20"/>
          <w:spacing w:val="-3"/>
          <w:w w:val="105"/>
        </w:rPr>
        <w:t>el Desarrollo</w:t>
      </w:r>
      <w:r>
        <w:rPr>
          <w:color w:val="231F20"/>
          <w:spacing w:val="-25"/>
          <w:w w:val="105"/>
        </w:rPr>
        <w:t> </w:t>
      </w:r>
      <w:r>
        <w:rPr>
          <w:color w:val="231F20"/>
          <w:spacing w:val="-3"/>
          <w:w w:val="105"/>
        </w:rPr>
        <w:t>Agrícola</w:t>
      </w:r>
      <w:r>
        <w:rPr>
          <w:color w:val="231F20"/>
          <w:spacing w:val="-22"/>
          <w:w w:val="105"/>
        </w:rPr>
        <w:t> </w:t>
      </w:r>
      <w:r>
        <w:rPr>
          <w:color w:val="231F20"/>
          <w:w w:val="105"/>
        </w:rPr>
        <w:t>y</w:t>
      </w:r>
      <w:r>
        <w:rPr>
          <w:color w:val="231F20"/>
          <w:spacing w:val="-22"/>
          <w:w w:val="105"/>
        </w:rPr>
        <w:t> </w:t>
      </w:r>
      <w:r>
        <w:rPr>
          <w:color w:val="231F20"/>
          <w:spacing w:val="-3"/>
          <w:w w:val="105"/>
        </w:rPr>
        <w:t>Ganadero</w:t>
      </w:r>
      <w:r>
        <w:rPr>
          <w:color w:val="231F20"/>
          <w:spacing w:val="-22"/>
          <w:w w:val="105"/>
        </w:rPr>
        <w:t> </w:t>
      </w:r>
      <w:r>
        <w:rPr>
          <w:color w:val="231F20"/>
          <w:w w:val="105"/>
        </w:rPr>
        <w:t>del</w:t>
      </w:r>
      <w:r>
        <w:rPr>
          <w:color w:val="231F20"/>
          <w:spacing w:val="-22"/>
          <w:w w:val="105"/>
        </w:rPr>
        <w:t> </w:t>
      </w:r>
      <w:r>
        <w:rPr>
          <w:color w:val="231F20"/>
          <w:spacing w:val="-3"/>
          <w:w w:val="105"/>
        </w:rPr>
        <w:t>Estado</w:t>
      </w:r>
      <w:r>
        <w:rPr>
          <w:color w:val="231F20"/>
          <w:spacing w:val="-22"/>
          <w:w w:val="105"/>
        </w:rPr>
        <w:t> </w:t>
      </w:r>
      <w:r>
        <w:rPr>
          <w:color w:val="231F20"/>
          <w:w w:val="105"/>
        </w:rPr>
        <w:t>de</w:t>
      </w:r>
      <w:r>
        <w:rPr>
          <w:color w:val="231F20"/>
          <w:spacing w:val="-22"/>
          <w:w w:val="105"/>
        </w:rPr>
        <w:t> </w:t>
      </w:r>
      <w:r>
        <w:rPr>
          <w:color w:val="231F20"/>
          <w:spacing w:val="-3"/>
          <w:w w:val="105"/>
        </w:rPr>
        <w:t>México</w:t>
      </w:r>
      <w:r>
        <w:rPr>
          <w:color w:val="231F20"/>
          <w:spacing w:val="-22"/>
          <w:w w:val="105"/>
        </w:rPr>
        <w:t> </w:t>
      </w:r>
      <w:r>
        <w:rPr>
          <w:color w:val="231F20"/>
          <w:spacing w:val="-4"/>
          <w:w w:val="105"/>
        </w:rPr>
        <w:t>(</w:t>
      </w:r>
      <w:r>
        <w:rPr>
          <w:color w:val="231F20"/>
          <w:spacing w:val="-4"/>
          <w:w w:val="105"/>
          <w:sz w:val="17"/>
        </w:rPr>
        <w:t>CODAGEM</w:t>
      </w:r>
      <w:r>
        <w:rPr>
          <w:color w:val="231F20"/>
          <w:spacing w:val="-4"/>
          <w:w w:val="105"/>
        </w:rPr>
        <w:t>).</w:t>
      </w:r>
    </w:p>
    <w:p>
      <w:pPr>
        <w:pStyle w:val="BodyText"/>
        <w:spacing w:line="261" w:lineRule="auto" w:before="1"/>
        <w:ind w:left="1723" w:right="1830" w:firstLine="567"/>
        <w:jc w:val="both"/>
      </w:pPr>
      <w:r>
        <w:rPr>
          <w:color w:val="231F20"/>
          <w:w w:val="105"/>
        </w:rPr>
        <w:t>Durante un periodo de siete u ocho años se indemnizó paulati- namente a los trabajadores con cantidades que iban desde los 25 mil pesos, caso de la gente de La Cofradía, hasta los 500 mil pesos a los encargados</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cuadrillas</w:t>
      </w:r>
      <w:r>
        <w:rPr>
          <w:color w:val="231F20"/>
          <w:spacing w:val="-6"/>
          <w:w w:val="105"/>
        </w:rPr>
        <w:t> </w:t>
      </w:r>
      <w:r>
        <w:rPr>
          <w:color w:val="231F20"/>
          <w:w w:val="105"/>
        </w:rPr>
        <w:t>(vaqueros).</w:t>
      </w:r>
      <w:r>
        <w:rPr>
          <w:color w:val="231F20"/>
          <w:spacing w:val="-11"/>
          <w:w w:val="105"/>
        </w:rPr>
        <w:t> </w:t>
      </w:r>
      <w:r>
        <w:rPr>
          <w:color w:val="231F20"/>
          <w:w w:val="105"/>
        </w:rPr>
        <w:t>Una</w:t>
      </w:r>
      <w:r>
        <w:rPr>
          <w:color w:val="231F20"/>
          <w:spacing w:val="-6"/>
          <w:w w:val="105"/>
        </w:rPr>
        <w:t> </w:t>
      </w:r>
      <w:r>
        <w:rPr>
          <w:color w:val="231F20"/>
          <w:w w:val="105"/>
        </w:rPr>
        <w:t>vez</w:t>
      </w:r>
      <w:r>
        <w:rPr>
          <w:color w:val="231F20"/>
          <w:spacing w:val="-6"/>
          <w:w w:val="105"/>
        </w:rPr>
        <w:t> </w:t>
      </w:r>
      <w:r>
        <w:rPr>
          <w:color w:val="231F20"/>
          <w:w w:val="105"/>
        </w:rPr>
        <w:t>terminado</w:t>
      </w:r>
      <w:r>
        <w:rPr>
          <w:color w:val="231F20"/>
          <w:spacing w:val="-6"/>
          <w:w w:val="105"/>
        </w:rPr>
        <w:t> </w:t>
      </w:r>
      <w:r>
        <w:rPr>
          <w:color w:val="231F20"/>
          <w:w w:val="105"/>
        </w:rPr>
        <w:t>el</w:t>
      </w:r>
      <w:r>
        <w:rPr>
          <w:color w:val="231F20"/>
          <w:spacing w:val="-6"/>
          <w:w w:val="105"/>
        </w:rPr>
        <w:t> </w:t>
      </w:r>
      <w:r>
        <w:rPr>
          <w:color w:val="231F20"/>
          <w:w w:val="105"/>
        </w:rPr>
        <w:t>conflicto se abandonó el rancho dejando a la deriva las huertas de mango, café, plátano,</w:t>
      </w:r>
      <w:r>
        <w:rPr>
          <w:color w:val="231F20"/>
          <w:spacing w:val="-12"/>
          <w:w w:val="105"/>
        </w:rPr>
        <w:t> </w:t>
      </w:r>
      <w:r>
        <w:rPr>
          <w:color w:val="231F20"/>
          <w:w w:val="105"/>
        </w:rPr>
        <w:t>papaya,</w:t>
      </w:r>
      <w:r>
        <w:rPr>
          <w:color w:val="231F20"/>
          <w:spacing w:val="-12"/>
          <w:w w:val="105"/>
        </w:rPr>
        <w:t> </w:t>
      </w:r>
      <w:r>
        <w:rPr>
          <w:color w:val="231F20"/>
          <w:w w:val="105"/>
        </w:rPr>
        <w:t>tamarindo,</w:t>
      </w:r>
      <w:r>
        <w:rPr>
          <w:color w:val="231F20"/>
          <w:spacing w:val="-12"/>
          <w:w w:val="105"/>
        </w:rPr>
        <w:t> </w:t>
      </w:r>
      <w:r>
        <w:rPr>
          <w:color w:val="231F20"/>
          <w:w w:val="105"/>
        </w:rPr>
        <w:t>limón,</w:t>
      </w:r>
      <w:r>
        <w:rPr>
          <w:color w:val="231F20"/>
          <w:spacing w:val="-12"/>
          <w:w w:val="105"/>
        </w:rPr>
        <w:t> </w:t>
      </w:r>
      <w:r>
        <w:rPr>
          <w:color w:val="231F20"/>
          <w:w w:val="105"/>
        </w:rPr>
        <w:t>mamey,</w:t>
      </w:r>
      <w:r>
        <w:rPr>
          <w:color w:val="231F20"/>
          <w:spacing w:val="-12"/>
          <w:w w:val="105"/>
        </w:rPr>
        <w:t> </w:t>
      </w:r>
      <w:r>
        <w:rPr>
          <w:color w:val="231F20"/>
          <w:w w:val="105"/>
        </w:rPr>
        <w:t>naranja</w:t>
      </w:r>
      <w:r>
        <w:rPr>
          <w:color w:val="231F20"/>
          <w:spacing w:val="-6"/>
          <w:w w:val="105"/>
        </w:rPr>
        <w:t> </w:t>
      </w:r>
      <w:r>
        <w:rPr>
          <w:color w:val="231F20"/>
          <w:w w:val="105"/>
        </w:rPr>
        <w:t>y</w:t>
      </w:r>
      <w:r>
        <w:rPr>
          <w:color w:val="231F20"/>
          <w:spacing w:val="-6"/>
          <w:w w:val="105"/>
        </w:rPr>
        <w:t> </w:t>
      </w:r>
      <w:r>
        <w:rPr>
          <w:color w:val="231F20"/>
          <w:w w:val="105"/>
        </w:rPr>
        <w:t>todos</w:t>
      </w:r>
      <w:r>
        <w:rPr>
          <w:color w:val="231F20"/>
          <w:spacing w:val="-6"/>
          <w:w w:val="105"/>
        </w:rPr>
        <w:t> </w:t>
      </w:r>
      <w:r>
        <w:rPr>
          <w:color w:val="231F20"/>
          <w:w w:val="105"/>
        </w:rPr>
        <w:t>los</w:t>
      </w:r>
      <w:r>
        <w:rPr>
          <w:color w:val="231F20"/>
          <w:spacing w:val="-6"/>
          <w:w w:val="105"/>
        </w:rPr>
        <w:t> </w:t>
      </w:r>
      <w:r>
        <w:rPr>
          <w:color w:val="231F20"/>
          <w:w w:val="105"/>
        </w:rPr>
        <w:t>potreros con</w:t>
      </w:r>
      <w:r>
        <w:rPr>
          <w:color w:val="231F20"/>
          <w:spacing w:val="-25"/>
          <w:w w:val="105"/>
        </w:rPr>
        <w:t> </w:t>
      </w:r>
      <w:r>
        <w:rPr>
          <w:color w:val="231F20"/>
          <w:w w:val="105"/>
        </w:rPr>
        <w:t>el</w:t>
      </w:r>
      <w:r>
        <w:rPr>
          <w:color w:val="231F20"/>
          <w:spacing w:val="-25"/>
          <w:w w:val="105"/>
        </w:rPr>
        <w:t> </w:t>
      </w:r>
      <w:r>
        <w:rPr>
          <w:color w:val="231F20"/>
          <w:w w:val="105"/>
        </w:rPr>
        <w:t>ganado.</w:t>
      </w:r>
      <w:r>
        <w:rPr>
          <w:color w:val="231F20"/>
          <w:spacing w:val="-31"/>
          <w:w w:val="105"/>
        </w:rPr>
        <w:t> </w:t>
      </w:r>
      <w:r>
        <w:rPr>
          <w:color w:val="231F20"/>
          <w:w w:val="105"/>
        </w:rPr>
        <w:t>Posteriormente,</w:t>
      </w:r>
      <w:r>
        <w:rPr>
          <w:color w:val="231F20"/>
          <w:spacing w:val="-31"/>
          <w:w w:val="105"/>
        </w:rPr>
        <w:t> </w:t>
      </w:r>
      <w:r>
        <w:rPr>
          <w:color w:val="231F20"/>
          <w:w w:val="105"/>
        </w:rPr>
        <w:t>parte</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tierras</w:t>
      </w:r>
      <w:r>
        <w:rPr>
          <w:color w:val="231F20"/>
          <w:spacing w:val="-25"/>
          <w:w w:val="105"/>
        </w:rPr>
        <w:t> </w:t>
      </w:r>
      <w:r>
        <w:rPr>
          <w:color w:val="231F20"/>
          <w:w w:val="105"/>
        </w:rPr>
        <w:t>del</w:t>
      </w:r>
      <w:r>
        <w:rPr>
          <w:color w:val="231F20"/>
          <w:spacing w:val="-25"/>
          <w:w w:val="105"/>
        </w:rPr>
        <w:t> </w:t>
      </w:r>
      <w:r>
        <w:rPr>
          <w:color w:val="231F20"/>
          <w:w w:val="105"/>
        </w:rPr>
        <w:t>rancho</w:t>
      </w:r>
      <w:r>
        <w:rPr>
          <w:color w:val="231F20"/>
          <w:spacing w:val="-25"/>
          <w:w w:val="105"/>
        </w:rPr>
        <w:t> </w:t>
      </w:r>
      <w:r>
        <w:rPr>
          <w:color w:val="231F20"/>
          <w:w w:val="105"/>
        </w:rPr>
        <w:t>fueron</w:t>
      </w:r>
      <w:r>
        <w:rPr>
          <w:color w:val="231F20"/>
          <w:spacing w:val="-25"/>
          <w:w w:val="105"/>
        </w:rPr>
        <w:t> </w:t>
      </w:r>
      <w:r>
        <w:rPr>
          <w:color w:val="231F20"/>
          <w:w w:val="105"/>
        </w:rPr>
        <w:t>ocu- padas</w:t>
      </w:r>
      <w:r>
        <w:rPr>
          <w:color w:val="231F20"/>
          <w:spacing w:val="-14"/>
          <w:w w:val="105"/>
        </w:rPr>
        <w:t> </w:t>
      </w:r>
      <w:r>
        <w:rPr>
          <w:color w:val="231F20"/>
          <w:w w:val="105"/>
        </w:rPr>
        <w:t>irregularmente</w:t>
      </w:r>
      <w:r>
        <w:rPr>
          <w:color w:val="231F20"/>
          <w:spacing w:val="-14"/>
          <w:w w:val="105"/>
        </w:rPr>
        <w:t> </w:t>
      </w:r>
      <w:r>
        <w:rPr>
          <w:color w:val="231F20"/>
          <w:w w:val="105"/>
        </w:rPr>
        <w:t>por</w:t>
      </w:r>
      <w:r>
        <w:rPr>
          <w:color w:val="231F20"/>
          <w:spacing w:val="-14"/>
          <w:w w:val="105"/>
        </w:rPr>
        <w:t> </w:t>
      </w:r>
      <w:r>
        <w:rPr>
          <w:color w:val="231F20"/>
          <w:w w:val="105"/>
        </w:rPr>
        <w:t>un</w:t>
      </w:r>
      <w:r>
        <w:rPr>
          <w:color w:val="231F20"/>
          <w:spacing w:val="-14"/>
          <w:w w:val="105"/>
        </w:rPr>
        <w:t> </w:t>
      </w:r>
      <w:r>
        <w:rPr>
          <w:color w:val="231F20"/>
          <w:w w:val="105"/>
        </w:rPr>
        <w:t>grupo</w:t>
      </w:r>
      <w:r>
        <w:rPr>
          <w:color w:val="231F20"/>
          <w:spacing w:val="-14"/>
          <w:w w:val="105"/>
        </w:rPr>
        <w:t> </w:t>
      </w:r>
      <w:r>
        <w:rPr>
          <w:color w:val="231F20"/>
          <w:w w:val="105"/>
        </w:rPr>
        <w:t>de</w:t>
      </w:r>
      <w:r>
        <w:rPr>
          <w:color w:val="231F20"/>
          <w:spacing w:val="-14"/>
          <w:w w:val="105"/>
        </w:rPr>
        <w:t> </w:t>
      </w:r>
      <w:r>
        <w:rPr>
          <w:color w:val="231F20"/>
          <w:w w:val="105"/>
        </w:rPr>
        <w:t>personas.</w:t>
      </w:r>
      <w:r>
        <w:rPr>
          <w:color w:val="231F20"/>
          <w:spacing w:val="-24"/>
          <w:w w:val="105"/>
        </w:rPr>
        <w:t> </w:t>
      </w:r>
      <w:r>
        <w:rPr>
          <w:color w:val="231F20"/>
          <w:w w:val="105"/>
        </w:rPr>
        <w:t>Actualmente</w:t>
      </w:r>
      <w:r>
        <w:rPr>
          <w:color w:val="231F20"/>
          <w:spacing w:val="-14"/>
          <w:w w:val="105"/>
        </w:rPr>
        <w:t> </w:t>
      </w:r>
      <w:r>
        <w:rPr>
          <w:color w:val="231F20"/>
          <w:w w:val="105"/>
        </w:rPr>
        <w:t>la</w:t>
      </w:r>
      <w:r>
        <w:rPr>
          <w:color w:val="231F20"/>
          <w:spacing w:val="-14"/>
          <w:w w:val="105"/>
        </w:rPr>
        <w:t> </w:t>
      </w:r>
      <w:r>
        <w:rPr>
          <w:color w:val="231F20"/>
          <w:w w:val="105"/>
        </w:rPr>
        <w:t>casa</w:t>
      </w:r>
      <w:r>
        <w:rPr>
          <w:color w:val="231F20"/>
          <w:spacing w:val="-14"/>
          <w:w w:val="105"/>
        </w:rPr>
        <w:t> </w:t>
      </w:r>
      <w:r>
        <w:rPr>
          <w:color w:val="231F20"/>
          <w:w w:val="105"/>
        </w:rPr>
        <w:t>de gobierno</w:t>
      </w:r>
      <w:r>
        <w:rPr>
          <w:color w:val="231F20"/>
          <w:spacing w:val="-11"/>
          <w:w w:val="105"/>
        </w:rPr>
        <w:t> </w:t>
      </w:r>
      <w:r>
        <w:rPr>
          <w:color w:val="231F20"/>
          <w:w w:val="105"/>
        </w:rPr>
        <w:t>es</w:t>
      </w:r>
      <w:r>
        <w:rPr>
          <w:color w:val="231F20"/>
          <w:spacing w:val="-11"/>
          <w:w w:val="105"/>
        </w:rPr>
        <w:t> </w:t>
      </w:r>
      <w:r>
        <w:rPr>
          <w:color w:val="231F20"/>
          <w:w w:val="105"/>
        </w:rPr>
        <w:t>una</w:t>
      </w:r>
      <w:r>
        <w:rPr>
          <w:color w:val="231F20"/>
          <w:spacing w:val="-11"/>
          <w:w w:val="105"/>
        </w:rPr>
        <w:t> </w:t>
      </w:r>
      <w:r>
        <w:rPr>
          <w:color w:val="231F20"/>
          <w:w w:val="105"/>
        </w:rPr>
        <w:t>clínica</w:t>
      </w:r>
      <w:r>
        <w:rPr>
          <w:color w:val="231F20"/>
          <w:spacing w:val="-11"/>
          <w:w w:val="105"/>
        </w:rPr>
        <w:t> </w:t>
      </w:r>
      <w:r>
        <w:rPr>
          <w:color w:val="231F20"/>
          <w:w w:val="105"/>
        </w:rPr>
        <w:t>del</w:t>
      </w:r>
      <w:r>
        <w:rPr>
          <w:color w:val="231F20"/>
          <w:spacing w:val="-11"/>
          <w:w w:val="105"/>
        </w:rPr>
        <w:t> </w:t>
      </w:r>
      <w:r>
        <w:rPr>
          <w:color w:val="231F20"/>
          <w:w w:val="105"/>
        </w:rPr>
        <w:t>Instituto</w:t>
      </w:r>
      <w:r>
        <w:rPr>
          <w:color w:val="231F20"/>
          <w:spacing w:val="-11"/>
          <w:w w:val="105"/>
        </w:rPr>
        <w:t> </w:t>
      </w:r>
      <w:r>
        <w:rPr>
          <w:color w:val="231F20"/>
          <w:w w:val="105"/>
        </w:rPr>
        <w:t>de</w:t>
      </w:r>
      <w:r>
        <w:rPr>
          <w:color w:val="231F20"/>
          <w:spacing w:val="-11"/>
          <w:w w:val="105"/>
        </w:rPr>
        <w:t> </w:t>
      </w:r>
      <w:r>
        <w:rPr>
          <w:color w:val="231F20"/>
          <w:w w:val="105"/>
        </w:rPr>
        <w:t>Salud</w:t>
      </w:r>
      <w:r>
        <w:rPr>
          <w:color w:val="231F20"/>
          <w:spacing w:val="-11"/>
          <w:w w:val="105"/>
        </w:rPr>
        <w:t> </w:t>
      </w:r>
      <w:r>
        <w:rPr>
          <w:color w:val="231F20"/>
          <w:w w:val="105"/>
        </w:rPr>
        <w:t>del</w:t>
      </w:r>
      <w:r>
        <w:rPr>
          <w:color w:val="231F20"/>
          <w:spacing w:val="-11"/>
          <w:w w:val="105"/>
        </w:rPr>
        <w:t> </w:t>
      </w:r>
      <w:r>
        <w:rPr>
          <w:color w:val="231F20"/>
          <w:w w:val="105"/>
        </w:rPr>
        <w:t>Estado</w:t>
      </w:r>
      <w:r>
        <w:rPr>
          <w:color w:val="231F20"/>
          <w:spacing w:val="-11"/>
          <w:w w:val="105"/>
        </w:rPr>
        <w:t> </w:t>
      </w:r>
      <w:r>
        <w:rPr>
          <w:color w:val="231F20"/>
          <w:w w:val="105"/>
        </w:rPr>
        <w:t>de</w:t>
      </w:r>
      <w:r>
        <w:rPr>
          <w:color w:val="231F20"/>
          <w:spacing w:val="-11"/>
          <w:w w:val="105"/>
        </w:rPr>
        <w:t> </w:t>
      </w:r>
      <w:r>
        <w:rPr>
          <w:color w:val="231F20"/>
          <w:w w:val="105"/>
        </w:rPr>
        <w:t>México.</w:t>
      </w:r>
    </w:p>
    <w:p>
      <w:pPr>
        <w:pStyle w:val="BodyText"/>
        <w:spacing w:line="261" w:lineRule="auto" w:before="1"/>
        <w:ind w:left="1723" w:right="1834" w:firstLine="567"/>
        <w:jc w:val="both"/>
      </w:pPr>
      <w:r>
        <w:rPr>
          <w:color w:val="231F20"/>
          <w:w w:val="105"/>
        </w:rPr>
        <w:t>“El rancho” o “casa de gobierno” generaba ingresos para la gen- te de la región. Algunos se beneficiaban directamente por los salarios  y</w:t>
      </w:r>
      <w:r>
        <w:rPr>
          <w:color w:val="231F20"/>
          <w:spacing w:val="-4"/>
          <w:w w:val="105"/>
        </w:rPr>
        <w:t> </w:t>
      </w:r>
      <w:r>
        <w:rPr>
          <w:color w:val="231F20"/>
          <w:w w:val="105"/>
        </w:rPr>
        <w:t>otros</w:t>
      </w:r>
      <w:r>
        <w:rPr>
          <w:color w:val="231F20"/>
          <w:spacing w:val="-4"/>
          <w:w w:val="105"/>
        </w:rPr>
        <w:t> </w:t>
      </w:r>
      <w:r>
        <w:rPr>
          <w:color w:val="231F20"/>
          <w:w w:val="105"/>
        </w:rPr>
        <w:t>de</w:t>
      </w:r>
      <w:r>
        <w:rPr>
          <w:color w:val="231F20"/>
          <w:spacing w:val="-4"/>
          <w:w w:val="105"/>
        </w:rPr>
        <w:t> </w:t>
      </w:r>
      <w:r>
        <w:rPr>
          <w:color w:val="231F20"/>
          <w:w w:val="105"/>
        </w:rPr>
        <w:t>manera</w:t>
      </w:r>
      <w:r>
        <w:rPr>
          <w:color w:val="231F20"/>
          <w:spacing w:val="-4"/>
          <w:w w:val="105"/>
        </w:rPr>
        <w:t> </w:t>
      </w:r>
      <w:r>
        <w:rPr>
          <w:color w:val="231F20"/>
          <w:w w:val="105"/>
        </w:rPr>
        <w:t>indirecta</w:t>
      </w:r>
      <w:r>
        <w:rPr>
          <w:color w:val="231F20"/>
          <w:spacing w:val="-4"/>
          <w:w w:val="105"/>
        </w:rPr>
        <w:t> </w:t>
      </w:r>
      <w:r>
        <w:rPr>
          <w:color w:val="231F20"/>
          <w:w w:val="105"/>
        </w:rPr>
        <w:t>instalando</w:t>
      </w:r>
      <w:r>
        <w:rPr>
          <w:color w:val="231F20"/>
          <w:spacing w:val="-4"/>
          <w:w w:val="105"/>
        </w:rPr>
        <w:t> </w:t>
      </w:r>
      <w:r>
        <w:rPr>
          <w:color w:val="231F20"/>
          <w:w w:val="105"/>
        </w:rPr>
        <w:t>tiendas,</w:t>
      </w:r>
      <w:r>
        <w:rPr>
          <w:color w:val="231F20"/>
          <w:spacing w:val="-9"/>
          <w:w w:val="105"/>
        </w:rPr>
        <w:t> </w:t>
      </w:r>
      <w:r>
        <w:rPr>
          <w:color w:val="231F20"/>
          <w:w w:val="105"/>
        </w:rPr>
        <w:t>cantinas,</w:t>
      </w:r>
      <w:r>
        <w:rPr>
          <w:color w:val="231F20"/>
          <w:spacing w:val="-9"/>
          <w:w w:val="105"/>
        </w:rPr>
        <w:t> </w:t>
      </w:r>
      <w:r>
        <w:rPr>
          <w:color w:val="231F20"/>
          <w:w w:val="105"/>
        </w:rPr>
        <w:t>y</w:t>
      </w:r>
      <w:r>
        <w:rPr>
          <w:color w:val="231F20"/>
          <w:spacing w:val="-4"/>
          <w:w w:val="105"/>
        </w:rPr>
        <w:t> </w:t>
      </w:r>
      <w:r>
        <w:rPr>
          <w:color w:val="231F20"/>
          <w:w w:val="105"/>
        </w:rPr>
        <w:t>lugares</w:t>
      </w:r>
      <w:r>
        <w:rPr>
          <w:color w:val="231F20"/>
          <w:spacing w:val="-4"/>
          <w:w w:val="105"/>
        </w:rPr>
        <w:t> </w:t>
      </w:r>
      <w:r>
        <w:rPr>
          <w:color w:val="231F20"/>
          <w:w w:val="105"/>
        </w:rPr>
        <w:t>para venta</w:t>
      </w:r>
      <w:r>
        <w:rPr>
          <w:color w:val="231F20"/>
          <w:spacing w:val="-3"/>
          <w:w w:val="105"/>
        </w:rPr>
        <w:t> </w:t>
      </w:r>
      <w:r>
        <w:rPr>
          <w:color w:val="231F20"/>
          <w:w w:val="105"/>
        </w:rPr>
        <w:t>de</w:t>
      </w:r>
      <w:r>
        <w:rPr>
          <w:color w:val="231F20"/>
          <w:spacing w:val="-3"/>
          <w:w w:val="105"/>
        </w:rPr>
        <w:t> </w:t>
      </w:r>
      <w:r>
        <w:rPr>
          <w:color w:val="231F20"/>
          <w:w w:val="105"/>
        </w:rPr>
        <w:t>comida.</w:t>
      </w:r>
      <w:r>
        <w:rPr>
          <w:color w:val="231F20"/>
          <w:spacing w:val="-13"/>
          <w:w w:val="105"/>
        </w:rPr>
        <w:t> </w:t>
      </w:r>
      <w:r>
        <w:rPr>
          <w:color w:val="231F20"/>
          <w:w w:val="105"/>
        </w:rPr>
        <w:t>Así,</w:t>
      </w:r>
      <w:r>
        <w:rPr>
          <w:color w:val="231F20"/>
          <w:spacing w:val="-9"/>
          <w:w w:val="105"/>
        </w:rPr>
        <w:t> </w:t>
      </w:r>
      <w:r>
        <w:rPr>
          <w:color w:val="231F20"/>
          <w:w w:val="105"/>
        </w:rPr>
        <w:t>el</w:t>
      </w:r>
      <w:r>
        <w:rPr>
          <w:color w:val="231F20"/>
          <w:spacing w:val="-3"/>
          <w:w w:val="105"/>
        </w:rPr>
        <w:t> </w:t>
      </w:r>
      <w:r>
        <w:rPr>
          <w:color w:val="231F20"/>
          <w:w w:val="105"/>
        </w:rPr>
        <w:t>cierre</w:t>
      </w:r>
      <w:r>
        <w:rPr>
          <w:color w:val="231F20"/>
          <w:spacing w:val="-3"/>
          <w:w w:val="105"/>
        </w:rPr>
        <w:t> </w:t>
      </w:r>
      <w:r>
        <w:rPr>
          <w:color w:val="231F20"/>
          <w:w w:val="105"/>
        </w:rPr>
        <w:t>de</w:t>
      </w:r>
      <w:r>
        <w:rPr>
          <w:color w:val="231F20"/>
          <w:spacing w:val="-3"/>
          <w:w w:val="105"/>
        </w:rPr>
        <w:t> </w:t>
      </w:r>
      <w:r>
        <w:rPr>
          <w:color w:val="231F20"/>
          <w:w w:val="105"/>
        </w:rPr>
        <w:t>la</w:t>
      </w:r>
      <w:r>
        <w:rPr>
          <w:color w:val="231F20"/>
          <w:spacing w:val="-3"/>
          <w:w w:val="105"/>
        </w:rPr>
        <w:t> </w:t>
      </w:r>
      <w:r>
        <w:rPr>
          <w:color w:val="231F20"/>
          <w:w w:val="105"/>
        </w:rPr>
        <w:t>casa</w:t>
      </w:r>
      <w:r>
        <w:rPr>
          <w:color w:val="231F20"/>
          <w:spacing w:val="-3"/>
          <w:w w:val="105"/>
        </w:rPr>
        <w:t> </w:t>
      </w:r>
      <w:r>
        <w:rPr>
          <w:color w:val="231F20"/>
          <w:w w:val="105"/>
        </w:rPr>
        <w:t>de</w:t>
      </w:r>
      <w:r>
        <w:rPr>
          <w:color w:val="231F20"/>
          <w:spacing w:val="-3"/>
          <w:w w:val="105"/>
        </w:rPr>
        <w:t> </w:t>
      </w:r>
      <w:r>
        <w:rPr>
          <w:color w:val="231F20"/>
          <w:w w:val="105"/>
        </w:rPr>
        <w:t>gobierno,</w:t>
      </w:r>
      <w:r>
        <w:rPr>
          <w:color w:val="231F20"/>
          <w:spacing w:val="-9"/>
          <w:w w:val="105"/>
        </w:rPr>
        <w:t> </w:t>
      </w:r>
      <w:r>
        <w:rPr>
          <w:color w:val="231F20"/>
          <w:w w:val="105"/>
        </w:rPr>
        <w:t>se</w:t>
      </w:r>
      <w:r>
        <w:rPr>
          <w:color w:val="231F20"/>
          <w:spacing w:val="-3"/>
          <w:w w:val="105"/>
        </w:rPr>
        <w:t> </w:t>
      </w:r>
      <w:r>
        <w:rPr>
          <w:color w:val="231F20"/>
          <w:w w:val="105"/>
        </w:rPr>
        <w:t>reflejó</w:t>
      </w:r>
      <w:r>
        <w:rPr>
          <w:color w:val="231F20"/>
          <w:spacing w:val="-3"/>
          <w:w w:val="105"/>
        </w:rPr>
        <w:t> </w:t>
      </w:r>
      <w:r>
        <w:rPr>
          <w:color w:val="231F20"/>
          <w:w w:val="105"/>
        </w:rPr>
        <w:t>en</w:t>
      </w:r>
      <w:r>
        <w:rPr>
          <w:color w:val="231F20"/>
          <w:spacing w:val="-3"/>
          <w:w w:val="105"/>
        </w:rPr>
        <w:t> </w:t>
      </w:r>
      <w:r>
        <w:rPr>
          <w:color w:val="231F20"/>
          <w:w w:val="105"/>
        </w:rPr>
        <w:t>una baja importante de la actividad económica local y regional. Con la des- aparición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Casa</w:t>
      </w:r>
      <w:r>
        <w:rPr>
          <w:color w:val="231F20"/>
          <w:spacing w:val="-6"/>
          <w:w w:val="105"/>
        </w:rPr>
        <w:t> </w:t>
      </w:r>
      <w:r>
        <w:rPr>
          <w:color w:val="231F20"/>
          <w:w w:val="105"/>
        </w:rPr>
        <w:t>de</w:t>
      </w:r>
      <w:r>
        <w:rPr>
          <w:color w:val="231F20"/>
          <w:spacing w:val="-6"/>
          <w:w w:val="105"/>
        </w:rPr>
        <w:t> </w:t>
      </w:r>
      <w:r>
        <w:rPr>
          <w:color w:val="231F20"/>
          <w:w w:val="105"/>
        </w:rPr>
        <w:t>Gobierno,</w:t>
      </w:r>
      <w:r>
        <w:rPr>
          <w:color w:val="231F20"/>
          <w:spacing w:val="-12"/>
          <w:w w:val="105"/>
        </w:rPr>
        <w:t> </w:t>
      </w:r>
      <w:r>
        <w:rPr>
          <w:color w:val="231F20"/>
          <w:w w:val="105"/>
        </w:rPr>
        <w:t>muchos</w:t>
      </w:r>
      <w:r>
        <w:rPr>
          <w:color w:val="231F20"/>
          <w:spacing w:val="-6"/>
          <w:w w:val="105"/>
        </w:rPr>
        <w:t> </w:t>
      </w:r>
      <w:r>
        <w:rPr>
          <w:color w:val="231F20"/>
          <w:w w:val="105"/>
        </w:rPr>
        <w:t>trabajadores</w:t>
      </w:r>
      <w:r>
        <w:rPr>
          <w:color w:val="231F20"/>
          <w:spacing w:val="-6"/>
          <w:w w:val="105"/>
        </w:rPr>
        <w:t> </w:t>
      </w:r>
      <w:r>
        <w:rPr>
          <w:color w:val="231F20"/>
          <w:w w:val="105"/>
        </w:rPr>
        <w:t>que</w:t>
      </w:r>
      <w:r>
        <w:rPr>
          <w:color w:val="231F20"/>
          <w:spacing w:val="-6"/>
          <w:w w:val="105"/>
        </w:rPr>
        <w:t> </w:t>
      </w:r>
      <w:r>
        <w:rPr>
          <w:color w:val="231F20"/>
          <w:w w:val="105"/>
        </w:rPr>
        <w:t>dependían de su empleo en el rancho no tuvieron otra opción más que migrar, fe- nómeno que ya era posible debido a que existían redes sociales en los Estados</w:t>
      </w:r>
      <w:r>
        <w:rPr>
          <w:color w:val="231F20"/>
          <w:spacing w:val="-19"/>
          <w:w w:val="105"/>
        </w:rPr>
        <w:t> </w:t>
      </w:r>
      <w:r>
        <w:rPr>
          <w:color w:val="231F20"/>
          <w:w w:val="105"/>
        </w:rPr>
        <w:t>Unidos.</w:t>
      </w:r>
      <w:r>
        <w:rPr>
          <w:color w:val="231F20"/>
          <w:spacing w:val="-24"/>
          <w:w w:val="105"/>
        </w:rPr>
        <w:t> </w:t>
      </w:r>
      <w:r>
        <w:rPr>
          <w:color w:val="231F20"/>
          <w:w w:val="105"/>
        </w:rPr>
        <w:t>No</w:t>
      </w:r>
      <w:r>
        <w:rPr>
          <w:color w:val="231F20"/>
          <w:spacing w:val="-19"/>
          <w:w w:val="105"/>
        </w:rPr>
        <w:t> </w:t>
      </w:r>
      <w:r>
        <w:rPr>
          <w:color w:val="231F20"/>
          <w:w w:val="105"/>
        </w:rPr>
        <w:t>obstante,</w:t>
      </w:r>
      <w:r>
        <w:rPr>
          <w:color w:val="231F20"/>
          <w:spacing w:val="-24"/>
          <w:w w:val="105"/>
        </w:rPr>
        <w:t> </w:t>
      </w:r>
      <w:r>
        <w:rPr>
          <w:color w:val="231F20"/>
          <w:w w:val="105"/>
        </w:rPr>
        <w:t>algunos</w:t>
      </w:r>
      <w:r>
        <w:rPr>
          <w:color w:val="231F20"/>
          <w:spacing w:val="-19"/>
          <w:w w:val="105"/>
        </w:rPr>
        <w:t> </w:t>
      </w:r>
      <w:r>
        <w:rPr>
          <w:color w:val="231F20"/>
          <w:w w:val="105"/>
        </w:rPr>
        <w:t>emigraron</w:t>
      </w:r>
      <w:r>
        <w:rPr>
          <w:color w:val="231F20"/>
          <w:spacing w:val="-19"/>
          <w:w w:val="105"/>
        </w:rPr>
        <w:t> </w:t>
      </w:r>
      <w:r>
        <w:rPr>
          <w:color w:val="231F20"/>
          <w:w w:val="105"/>
        </w:rPr>
        <w:t>a</w:t>
      </w:r>
      <w:r>
        <w:rPr>
          <w:color w:val="231F20"/>
          <w:spacing w:val="-19"/>
          <w:w w:val="105"/>
        </w:rPr>
        <w:t> </w:t>
      </w:r>
      <w:r>
        <w:rPr>
          <w:color w:val="231F20"/>
          <w:w w:val="105"/>
        </w:rPr>
        <w:t>diferentes</w:t>
      </w:r>
      <w:r>
        <w:rPr>
          <w:color w:val="231F20"/>
          <w:spacing w:val="-19"/>
          <w:w w:val="105"/>
        </w:rPr>
        <w:t> </w:t>
      </w:r>
      <w:r>
        <w:rPr>
          <w:color w:val="231F20"/>
          <w:w w:val="105"/>
        </w:rPr>
        <w:t>lugares</w:t>
      </w:r>
      <w:r>
        <w:rPr>
          <w:color w:val="231F20"/>
          <w:spacing w:val="-19"/>
          <w:w w:val="105"/>
        </w:rPr>
        <w:t> </w:t>
      </w:r>
      <w:r>
        <w:rPr>
          <w:color w:val="231F20"/>
          <w:w w:val="105"/>
        </w:rPr>
        <w:t>de la región donde tenían familiares; otros a la ciudad de México y los</w:t>
      </w:r>
      <w:r>
        <w:rPr>
          <w:color w:val="231F20"/>
          <w:spacing w:val="-14"/>
          <w:w w:val="105"/>
        </w:rPr>
        <w:t> </w:t>
      </w:r>
      <w:r>
        <w:rPr>
          <w:color w:val="231F20"/>
          <w:w w:val="105"/>
        </w:rPr>
        <w:t>me- nos</w:t>
      </w:r>
      <w:r>
        <w:rPr>
          <w:color w:val="231F20"/>
          <w:spacing w:val="-10"/>
          <w:w w:val="105"/>
        </w:rPr>
        <w:t> </w:t>
      </w:r>
      <w:r>
        <w:rPr>
          <w:color w:val="231F20"/>
          <w:w w:val="105"/>
        </w:rPr>
        <w:t>se</w:t>
      </w:r>
      <w:r>
        <w:rPr>
          <w:color w:val="231F20"/>
          <w:spacing w:val="-10"/>
          <w:w w:val="105"/>
        </w:rPr>
        <w:t> </w:t>
      </w:r>
      <w:r>
        <w:rPr>
          <w:color w:val="231F20"/>
          <w:w w:val="105"/>
        </w:rPr>
        <w:t>quedaron</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pueblo:</w:t>
      </w:r>
      <w:r>
        <w:rPr>
          <w:color w:val="231F20"/>
          <w:spacing w:val="-10"/>
          <w:w w:val="105"/>
        </w:rPr>
        <w:t> </w:t>
      </w:r>
      <w:r>
        <w:rPr>
          <w:color w:val="231F20"/>
          <w:w w:val="105"/>
        </w:rPr>
        <w:t>“y</w:t>
      </w:r>
      <w:r>
        <w:rPr>
          <w:color w:val="231F20"/>
          <w:spacing w:val="-10"/>
          <w:w w:val="105"/>
        </w:rPr>
        <w:t> </w:t>
      </w:r>
      <w:r>
        <w:rPr>
          <w:color w:val="231F20"/>
          <w:w w:val="105"/>
        </w:rPr>
        <w:t>como</w:t>
      </w:r>
      <w:r>
        <w:rPr>
          <w:color w:val="231F20"/>
          <w:spacing w:val="-10"/>
          <w:w w:val="105"/>
        </w:rPr>
        <w:t> </w:t>
      </w:r>
      <w:r>
        <w:rPr>
          <w:color w:val="231F20"/>
          <w:w w:val="105"/>
        </w:rPr>
        <w:t>hasta</w:t>
      </w:r>
      <w:r>
        <w:rPr>
          <w:color w:val="231F20"/>
          <w:spacing w:val="-10"/>
          <w:w w:val="105"/>
        </w:rPr>
        <w:t> </w:t>
      </w:r>
      <w:r>
        <w:rPr>
          <w:color w:val="231F20"/>
          <w:w w:val="105"/>
        </w:rPr>
        <w:t>ahora,</w:t>
      </w:r>
      <w:r>
        <w:rPr>
          <w:color w:val="231F20"/>
          <w:spacing w:val="-16"/>
          <w:w w:val="105"/>
        </w:rPr>
        <w:t> </w:t>
      </w:r>
      <w:r>
        <w:rPr>
          <w:color w:val="231F20"/>
          <w:w w:val="105"/>
        </w:rPr>
        <w:t>a</w:t>
      </w:r>
      <w:r>
        <w:rPr>
          <w:color w:val="231F20"/>
          <w:spacing w:val="-10"/>
          <w:w w:val="105"/>
        </w:rPr>
        <w:t> </w:t>
      </w:r>
      <w:r>
        <w:rPr>
          <w:color w:val="231F20"/>
          <w:w w:val="105"/>
        </w:rPr>
        <w:t>veces</w:t>
      </w:r>
      <w:r>
        <w:rPr>
          <w:color w:val="231F20"/>
          <w:spacing w:val="-10"/>
          <w:w w:val="105"/>
        </w:rPr>
        <w:t> </w:t>
      </w:r>
      <w:r>
        <w:rPr>
          <w:color w:val="231F20"/>
          <w:w w:val="105"/>
        </w:rPr>
        <w:t>con</w:t>
      </w:r>
      <w:r>
        <w:rPr>
          <w:color w:val="231F20"/>
          <w:spacing w:val="-10"/>
          <w:w w:val="105"/>
        </w:rPr>
        <w:t> </w:t>
      </w:r>
      <w:r>
        <w:rPr>
          <w:color w:val="231F20"/>
          <w:w w:val="105"/>
        </w:rPr>
        <w:t>trabajo y</w:t>
      </w:r>
      <w:r>
        <w:rPr>
          <w:color w:val="231F20"/>
          <w:spacing w:val="-19"/>
          <w:w w:val="105"/>
        </w:rPr>
        <w:t> </w:t>
      </w:r>
      <w:r>
        <w:rPr>
          <w:color w:val="231F20"/>
          <w:w w:val="105"/>
        </w:rPr>
        <w:t>a</w:t>
      </w:r>
      <w:r>
        <w:rPr>
          <w:color w:val="231F20"/>
          <w:spacing w:val="-19"/>
          <w:w w:val="105"/>
        </w:rPr>
        <w:t> </w:t>
      </w:r>
      <w:r>
        <w:rPr>
          <w:color w:val="231F20"/>
          <w:w w:val="105"/>
        </w:rPr>
        <w:t>veces</w:t>
      </w:r>
      <w:r>
        <w:rPr>
          <w:color w:val="231F20"/>
          <w:spacing w:val="-19"/>
          <w:w w:val="105"/>
        </w:rPr>
        <w:t> </w:t>
      </w:r>
      <w:r>
        <w:rPr>
          <w:color w:val="231F20"/>
          <w:w w:val="105"/>
        </w:rPr>
        <w:t>no”</w:t>
      </w:r>
      <w:r>
        <w:rPr>
          <w:color w:val="231F20"/>
          <w:spacing w:val="-19"/>
          <w:w w:val="105"/>
        </w:rPr>
        <w:t> </w:t>
      </w:r>
      <w:r>
        <w:rPr>
          <w:color w:val="231F20"/>
          <w:w w:val="105"/>
        </w:rPr>
        <w:t>(Entrevista</w:t>
      </w:r>
      <w:r>
        <w:rPr>
          <w:color w:val="231F20"/>
          <w:spacing w:val="-19"/>
          <w:w w:val="105"/>
        </w:rPr>
        <w:t> </w:t>
      </w:r>
      <w:r>
        <w:rPr>
          <w:color w:val="231F20"/>
          <w:w w:val="105"/>
        </w:rPr>
        <w:t>con</w:t>
      </w:r>
      <w:r>
        <w:rPr>
          <w:color w:val="231F20"/>
          <w:spacing w:val="-19"/>
          <w:w w:val="105"/>
        </w:rPr>
        <w:t> </w:t>
      </w:r>
      <w:r>
        <w:rPr>
          <w:color w:val="231F20"/>
          <w:w w:val="105"/>
        </w:rPr>
        <w:t>Mario,</w:t>
      </w:r>
      <w:r>
        <w:rPr>
          <w:color w:val="231F20"/>
          <w:spacing w:val="-24"/>
          <w:w w:val="105"/>
        </w:rPr>
        <w:t> </w:t>
      </w:r>
      <w:r>
        <w:rPr>
          <w:color w:val="231F20"/>
          <w:w w:val="105"/>
        </w:rPr>
        <w:t>12</w:t>
      </w:r>
      <w:r>
        <w:rPr>
          <w:color w:val="231F20"/>
          <w:spacing w:val="-19"/>
          <w:w w:val="105"/>
        </w:rPr>
        <w:t> </w:t>
      </w:r>
      <w:r>
        <w:rPr>
          <w:color w:val="231F20"/>
          <w:w w:val="105"/>
        </w:rPr>
        <w:t>de</w:t>
      </w:r>
      <w:r>
        <w:rPr>
          <w:color w:val="231F20"/>
          <w:spacing w:val="-19"/>
          <w:w w:val="105"/>
        </w:rPr>
        <w:t> </w:t>
      </w:r>
      <w:r>
        <w:rPr>
          <w:color w:val="231F20"/>
          <w:w w:val="105"/>
        </w:rPr>
        <w:t>septiembre</w:t>
      </w:r>
      <w:r>
        <w:rPr>
          <w:color w:val="231F20"/>
          <w:spacing w:val="-19"/>
          <w:w w:val="105"/>
        </w:rPr>
        <w:t> </w:t>
      </w:r>
      <w:r>
        <w:rPr>
          <w:color w:val="231F20"/>
          <w:w w:val="105"/>
        </w:rPr>
        <w:t>2014).</w:t>
      </w:r>
    </w:p>
    <w:p>
      <w:pPr>
        <w:pStyle w:val="BodyText"/>
        <w:spacing w:line="261" w:lineRule="auto" w:before="1"/>
        <w:ind w:left="1723" w:right="1835" w:firstLine="567"/>
        <w:jc w:val="both"/>
      </w:pPr>
      <w:r>
        <w:rPr>
          <w:color w:val="231F20"/>
        </w:rPr>
        <w:t>En cuanto al lugar receptor de migración dentro de los Estados Unidos, los(as) entrevistados(as) señalan que la población de Santiago se encuentra en diferentes lugares del vecino país, siendo los estados más frecuentes Texas, Kansas, California, Chicago, Wisconsin y Florida. Así lo cuenta el señor Leobardo Puntos (91 años):</w:t>
      </w:r>
    </w:p>
    <w:p>
      <w:pPr>
        <w:pStyle w:val="BodyText"/>
        <w:spacing w:before="8"/>
        <w:rPr>
          <w:sz w:val="18"/>
        </w:rPr>
      </w:pPr>
    </w:p>
    <w:p>
      <w:pPr>
        <w:spacing w:line="254" w:lineRule="auto" w:before="0"/>
        <w:ind w:left="2857" w:right="1830" w:firstLine="0"/>
        <w:jc w:val="both"/>
        <w:rPr>
          <w:sz w:val="18"/>
        </w:rPr>
      </w:pPr>
      <w:r>
        <w:rPr>
          <w:color w:val="231F20"/>
          <w:w w:val="105"/>
          <w:sz w:val="18"/>
        </w:rPr>
        <w:t>Más</w:t>
      </w:r>
      <w:r>
        <w:rPr>
          <w:color w:val="231F20"/>
          <w:spacing w:val="-14"/>
          <w:w w:val="105"/>
          <w:sz w:val="18"/>
        </w:rPr>
        <w:t> </w:t>
      </w:r>
      <w:r>
        <w:rPr>
          <w:color w:val="231F20"/>
          <w:w w:val="105"/>
          <w:sz w:val="18"/>
        </w:rPr>
        <w:t>antes</w:t>
      </w:r>
      <w:r>
        <w:rPr>
          <w:color w:val="231F20"/>
          <w:spacing w:val="-14"/>
          <w:w w:val="105"/>
          <w:sz w:val="18"/>
        </w:rPr>
        <w:t> </w:t>
      </w:r>
      <w:r>
        <w:rPr>
          <w:color w:val="231F20"/>
          <w:w w:val="105"/>
          <w:sz w:val="18"/>
        </w:rPr>
        <w:t>trabajaba</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Casa</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Gobierno</w:t>
      </w:r>
      <w:r>
        <w:rPr>
          <w:color w:val="231F20"/>
          <w:spacing w:val="-14"/>
          <w:w w:val="105"/>
          <w:sz w:val="18"/>
        </w:rPr>
        <w:t> </w:t>
      </w:r>
      <w:r>
        <w:rPr>
          <w:color w:val="231F20"/>
          <w:w w:val="105"/>
          <w:sz w:val="18"/>
        </w:rPr>
        <w:t>con</w:t>
      </w:r>
      <w:r>
        <w:rPr>
          <w:color w:val="231F20"/>
          <w:spacing w:val="-14"/>
          <w:w w:val="105"/>
          <w:sz w:val="18"/>
        </w:rPr>
        <w:t> </w:t>
      </w:r>
      <w:r>
        <w:rPr>
          <w:color w:val="231F20"/>
          <w:w w:val="105"/>
          <w:sz w:val="18"/>
        </w:rPr>
        <w:t>Chucho</w:t>
      </w:r>
      <w:r>
        <w:rPr>
          <w:color w:val="231F20"/>
          <w:spacing w:val="-14"/>
          <w:w w:val="105"/>
          <w:sz w:val="18"/>
        </w:rPr>
        <w:t> </w:t>
      </w:r>
      <w:r>
        <w:rPr>
          <w:color w:val="231F20"/>
          <w:w w:val="105"/>
          <w:sz w:val="18"/>
        </w:rPr>
        <w:t>Sámano</w:t>
      </w:r>
      <w:r>
        <w:rPr>
          <w:color w:val="231F20"/>
          <w:spacing w:val="-14"/>
          <w:w w:val="105"/>
          <w:sz w:val="18"/>
        </w:rPr>
        <w:t> </w:t>
      </w:r>
      <w:r>
        <w:rPr>
          <w:color w:val="231F20"/>
          <w:w w:val="105"/>
          <w:sz w:val="18"/>
        </w:rPr>
        <w:t>que inició</w:t>
      </w:r>
      <w:r>
        <w:rPr>
          <w:color w:val="231F20"/>
          <w:spacing w:val="-10"/>
          <w:w w:val="105"/>
          <w:sz w:val="18"/>
        </w:rPr>
        <w:t> </w:t>
      </w:r>
      <w:r>
        <w:rPr>
          <w:color w:val="231F20"/>
          <w:w w:val="105"/>
          <w:sz w:val="18"/>
        </w:rPr>
        <w:t>con</w:t>
      </w:r>
      <w:r>
        <w:rPr>
          <w:color w:val="231F20"/>
          <w:spacing w:val="-10"/>
          <w:w w:val="105"/>
          <w:sz w:val="18"/>
        </w:rPr>
        <w:t> </w:t>
      </w:r>
      <w:r>
        <w:rPr>
          <w:color w:val="231F20"/>
          <w:w w:val="105"/>
          <w:sz w:val="18"/>
        </w:rPr>
        <w:t>el</w:t>
      </w:r>
      <w:r>
        <w:rPr>
          <w:color w:val="231F20"/>
          <w:spacing w:val="-9"/>
          <w:w w:val="105"/>
          <w:sz w:val="18"/>
        </w:rPr>
        <w:t> </w:t>
      </w:r>
      <w:r>
        <w:rPr>
          <w:color w:val="231F20"/>
          <w:w w:val="105"/>
          <w:sz w:val="18"/>
        </w:rPr>
        <w:t>vivero</w:t>
      </w:r>
      <w:r>
        <w:rPr>
          <w:color w:val="231F20"/>
          <w:spacing w:val="-10"/>
          <w:w w:val="105"/>
          <w:sz w:val="18"/>
        </w:rPr>
        <w:t> </w:t>
      </w:r>
      <w:r>
        <w:rPr>
          <w:color w:val="231F20"/>
          <w:w w:val="105"/>
          <w:sz w:val="18"/>
        </w:rPr>
        <w:t>y</w:t>
      </w:r>
      <w:r>
        <w:rPr>
          <w:color w:val="231F20"/>
          <w:spacing w:val="-9"/>
          <w:w w:val="105"/>
          <w:sz w:val="18"/>
        </w:rPr>
        <w:t> </w:t>
      </w:r>
      <w:r>
        <w:rPr>
          <w:color w:val="231F20"/>
          <w:w w:val="105"/>
          <w:sz w:val="18"/>
        </w:rPr>
        <w:t>producían</w:t>
      </w:r>
      <w:r>
        <w:rPr>
          <w:color w:val="231F20"/>
          <w:spacing w:val="-10"/>
          <w:w w:val="105"/>
          <w:sz w:val="18"/>
        </w:rPr>
        <w:t> </w:t>
      </w:r>
      <w:r>
        <w:rPr>
          <w:color w:val="231F20"/>
          <w:w w:val="105"/>
          <w:sz w:val="18"/>
        </w:rPr>
        <w:t>café,</w:t>
      </w:r>
      <w:r>
        <w:rPr>
          <w:color w:val="231F20"/>
          <w:spacing w:val="-15"/>
          <w:w w:val="105"/>
          <w:sz w:val="18"/>
        </w:rPr>
        <w:t> </w:t>
      </w:r>
      <w:r>
        <w:rPr>
          <w:color w:val="231F20"/>
          <w:w w:val="105"/>
          <w:sz w:val="18"/>
        </w:rPr>
        <w:t>una</w:t>
      </w:r>
      <w:r>
        <w:rPr>
          <w:color w:val="231F20"/>
          <w:spacing w:val="-10"/>
          <w:w w:val="105"/>
          <w:sz w:val="18"/>
        </w:rPr>
        <w:t> </w:t>
      </w:r>
      <w:r>
        <w:rPr>
          <w:color w:val="231F20"/>
          <w:w w:val="105"/>
          <w:sz w:val="18"/>
        </w:rPr>
        <w:t>parte</w:t>
      </w:r>
      <w:r>
        <w:rPr>
          <w:color w:val="231F20"/>
          <w:spacing w:val="-10"/>
          <w:w w:val="105"/>
          <w:sz w:val="18"/>
        </w:rPr>
        <w:t> </w:t>
      </w:r>
      <w:r>
        <w:rPr>
          <w:color w:val="231F20"/>
          <w:w w:val="105"/>
          <w:sz w:val="18"/>
        </w:rPr>
        <w:t>se</w:t>
      </w:r>
      <w:r>
        <w:rPr>
          <w:color w:val="231F20"/>
          <w:spacing w:val="-10"/>
          <w:w w:val="105"/>
          <w:sz w:val="18"/>
        </w:rPr>
        <w:t> </w:t>
      </w:r>
      <w:r>
        <w:rPr>
          <w:color w:val="231F20"/>
          <w:w w:val="105"/>
          <w:sz w:val="18"/>
        </w:rPr>
        <w:t>vendía</w:t>
      </w:r>
      <w:r>
        <w:rPr>
          <w:color w:val="231F20"/>
          <w:spacing w:val="-9"/>
          <w:w w:val="105"/>
          <w:sz w:val="18"/>
        </w:rPr>
        <w:t> </w:t>
      </w:r>
      <w:r>
        <w:rPr>
          <w:color w:val="231F20"/>
          <w:w w:val="105"/>
          <w:sz w:val="18"/>
        </w:rPr>
        <w:t>aquí</w:t>
      </w:r>
      <w:r>
        <w:rPr>
          <w:color w:val="231F20"/>
          <w:spacing w:val="-10"/>
          <w:w w:val="105"/>
          <w:sz w:val="18"/>
        </w:rPr>
        <w:t> </w:t>
      </w:r>
      <w:r>
        <w:rPr>
          <w:color w:val="231F20"/>
          <w:w w:val="105"/>
          <w:sz w:val="18"/>
        </w:rPr>
        <w:t>y</w:t>
      </w:r>
      <w:r>
        <w:rPr>
          <w:color w:val="231F20"/>
          <w:spacing w:val="-10"/>
          <w:w w:val="105"/>
          <w:sz w:val="18"/>
        </w:rPr>
        <w:t> </w:t>
      </w:r>
      <w:r>
        <w:rPr>
          <w:color w:val="231F20"/>
          <w:w w:val="105"/>
          <w:sz w:val="18"/>
        </w:rPr>
        <w:t>otra</w:t>
      </w:r>
      <w:r>
        <w:rPr>
          <w:color w:val="231F20"/>
          <w:spacing w:val="-10"/>
          <w:w w:val="105"/>
          <w:sz w:val="18"/>
        </w:rPr>
        <w:t> </w:t>
      </w:r>
      <w:r>
        <w:rPr>
          <w:color w:val="231F20"/>
          <w:w w:val="105"/>
          <w:sz w:val="18"/>
        </w:rPr>
        <w:t>se vendía</w:t>
      </w:r>
      <w:r>
        <w:rPr>
          <w:color w:val="231F20"/>
          <w:spacing w:val="-9"/>
          <w:w w:val="105"/>
          <w:sz w:val="18"/>
        </w:rPr>
        <w:t> </w:t>
      </w:r>
      <w:r>
        <w:rPr>
          <w:color w:val="231F20"/>
          <w:w w:val="105"/>
          <w:sz w:val="18"/>
        </w:rPr>
        <w:t>por</w:t>
      </w:r>
      <w:r>
        <w:rPr>
          <w:color w:val="231F20"/>
          <w:spacing w:val="-9"/>
          <w:w w:val="105"/>
          <w:sz w:val="18"/>
        </w:rPr>
        <w:t> </w:t>
      </w:r>
      <w:r>
        <w:rPr>
          <w:color w:val="231F20"/>
          <w:w w:val="105"/>
          <w:sz w:val="18"/>
        </w:rPr>
        <w:t>fuera.</w:t>
      </w:r>
      <w:r>
        <w:rPr>
          <w:color w:val="231F20"/>
          <w:spacing w:val="-18"/>
          <w:w w:val="105"/>
          <w:sz w:val="18"/>
        </w:rPr>
        <w:t> </w:t>
      </w:r>
      <w:r>
        <w:rPr>
          <w:color w:val="231F20"/>
          <w:spacing w:val="-4"/>
          <w:w w:val="105"/>
          <w:sz w:val="18"/>
        </w:rPr>
        <w:t>Todos</w:t>
      </w:r>
      <w:r>
        <w:rPr>
          <w:color w:val="231F20"/>
          <w:spacing w:val="-9"/>
          <w:w w:val="105"/>
          <w:sz w:val="18"/>
        </w:rPr>
        <w:t> </w:t>
      </w:r>
      <w:r>
        <w:rPr>
          <w:color w:val="231F20"/>
          <w:w w:val="105"/>
          <w:sz w:val="18"/>
        </w:rPr>
        <w:t>los</w:t>
      </w:r>
      <w:r>
        <w:rPr>
          <w:color w:val="231F20"/>
          <w:spacing w:val="-9"/>
          <w:w w:val="105"/>
          <w:sz w:val="18"/>
        </w:rPr>
        <w:t> </w:t>
      </w:r>
      <w:r>
        <w:rPr>
          <w:color w:val="231F20"/>
          <w:w w:val="105"/>
          <w:sz w:val="18"/>
        </w:rPr>
        <w:t>‘planes’</w:t>
      </w:r>
      <w:r>
        <w:rPr>
          <w:color w:val="231F20"/>
          <w:spacing w:val="-9"/>
          <w:w w:val="105"/>
          <w:sz w:val="18"/>
        </w:rPr>
        <w:t> </w:t>
      </w:r>
      <w:r>
        <w:rPr>
          <w:color w:val="231F20"/>
          <w:w w:val="105"/>
          <w:sz w:val="18"/>
        </w:rPr>
        <w:t>que</w:t>
      </w:r>
      <w:r>
        <w:rPr>
          <w:color w:val="231F20"/>
          <w:spacing w:val="-9"/>
          <w:w w:val="105"/>
          <w:sz w:val="18"/>
        </w:rPr>
        <w:t> </w:t>
      </w:r>
      <w:r>
        <w:rPr>
          <w:color w:val="231F20"/>
          <w:w w:val="105"/>
          <w:sz w:val="18"/>
        </w:rPr>
        <w:t>están</w:t>
      </w:r>
      <w:r>
        <w:rPr>
          <w:color w:val="231F20"/>
          <w:spacing w:val="-9"/>
          <w:w w:val="105"/>
          <w:sz w:val="18"/>
        </w:rPr>
        <w:t> </w:t>
      </w:r>
      <w:r>
        <w:rPr>
          <w:color w:val="231F20"/>
          <w:w w:val="105"/>
          <w:sz w:val="18"/>
        </w:rPr>
        <w:t>donde</w:t>
      </w:r>
      <w:r>
        <w:rPr>
          <w:color w:val="231F20"/>
          <w:spacing w:val="-9"/>
          <w:w w:val="105"/>
          <w:sz w:val="18"/>
        </w:rPr>
        <w:t> </w:t>
      </w:r>
      <w:r>
        <w:rPr>
          <w:color w:val="231F20"/>
          <w:w w:val="105"/>
          <w:sz w:val="18"/>
        </w:rPr>
        <w:t>el</w:t>
      </w:r>
      <w:r>
        <w:rPr>
          <w:color w:val="231F20"/>
          <w:spacing w:val="-9"/>
          <w:w w:val="105"/>
          <w:sz w:val="18"/>
        </w:rPr>
        <w:t> </w:t>
      </w:r>
      <w:r>
        <w:rPr>
          <w:color w:val="231F20"/>
          <w:w w:val="105"/>
          <w:sz w:val="18"/>
        </w:rPr>
        <w:t>guardaganado estaban sembrados de café. </w:t>
      </w:r>
      <w:r>
        <w:rPr>
          <w:color w:val="231F20"/>
          <w:spacing w:val="-4"/>
          <w:w w:val="105"/>
          <w:sz w:val="18"/>
        </w:rPr>
        <w:t>Todas </w:t>
      </w:r>
      <w:r>
        <w:rPr>
          <w:color w:val="231F20"/>
          <w:w w:val="105"/>
          <w:sz w:val="18"/>
        </w:rPr>
        <w:t>las lomas que se ven enfrente</w:t>
      </w:r>
      <w:r>
        <w:rPr>
          <w:color w:val="231F20"/>
          <w:spacing w:val="-19"/>
          <w:w w:val="105"/>
          <w:sz w:val="18"/>
        </w:rPr>
        <w:t> </w:t>
      </w:r>
      <w:r>
        <w:rPr>
          <w:color w:val="231F20"/>
          <w:w w:val="105"/>
          <w:sz w:val="18"/>
        </w:rPr>
        <w:t>del pueblo</w:t>
      </w:r>
      <w:r>
        <w:rPr>
          <w:color w:val="231F20"/>
          <w:spacing w:val="-14"/>
          <w:w w:val="105"/>
          <w:sz w:val="18"/>
        </w:rPr>
        <w:t> </w:t>
      </w:r>
      <w:r>
        <w:rPr>
          <w:color w:val="231F20"/>
          <w:w w:val="105"/>
          <w:sz w:val="18"/>
        </w:rPr>
        <w:t>estaban</w:t>
      </w:r>
      <w:r>
        <w:rPr>
          <w:color w:val="231F20"/>
          <w:spacing w:val="-14"/>
          <w:w w:val="105"/>
          <w:sz w:val="18"/>
        </w:rPr>
        <w:t> </w:t>
      </w:r>
      <w:r>
        <w:rPr>
          <w:color w:val="231F20"/>
          <w:w w:val="105"/>
          <w:sz w:val="18"/>
        </w:rPr>
        <w:t>sembradas</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maíz;</w:t>
      </w:r>
      <w:r>
        <w:rPr>
          <w:color w:val="231F20"/>
          <w:spacing w:val="-14"/>
          <w:w w:val="105"/>
          <w:sz w:val="18"/>
        </w:rPr>
        <w:t> </w:t>
      </w:r>
      <w:r>
        <w:rPr>
          <w:color w:val="231F20"/>
          <w:w w:val="105"/>
          <w:sz w:val="18"/>
        </w:rPr>
        <w:t>y</w:t>
      </w:r>
      <w:r>
        <w:rPr>
          <w:color w:val="231F20"/>
          <w:spacing w:val="-14"/>
          <w:w w:val="105"/>
          <w:sz w:val="18"/>
        </w:rPr>
        <w:t> </w:t>
      </w:r>
      <w:r>
        <w:rPr>
          <w:color w:val="231F20"/>
          <w:w w:val="105"/>
          <w:sz w:val="18"/>
        </w:rPr>
        <w:t>era</w:t>
      </w:r>
      <w:r>
        <w:rPr>
          <w:color w:val="231F20"/>
          <w:spacing w:val="-14"/>
          <w:w w:val="105"/>
          <w:sz w:val="18"/>
        </w:rPr>
        <w:t> </w:t>
      </w:r>
      <w:r>
        <w:rPr>
          <w:color w:val="231F20"/>
          <w:w w:val="105"/>
          <w:sz w:val="18"/>
        </w:rPr>
        <w:t>un</w:t>
      </w:r>
      <w:r>
        <w:rPr>
          <w:color w:val="231F20"/>
          <w:spacing w:val="-14"/>
          <w:w w:val="105"/>
          <w:sz w:val="18"/>
        </w:rPr>
        <w:t> </w:t>
      </w:r>
      <w:r>
        <w:rPr>
          <w:color w:val="231F20"/>
          <w:w w:val="105"/>
          <w:sz w:val="18"/>
        </w:rPr>
        <w:t>híbrido,</w:t>
      </w:r>
      <w:r>
        <w:rPr>
          <w:color w:val="231F20"/>
          <w:spacing w:val="-19"/>
          <w:w w:val="105"/>
          <w:sz w:val="18"/>
        </w:rPr>
        <w:t> </w:t>
      </w:r>
      <w:r>
        <w:rPr>
          <w:color w:val="231F20"/>
          <w:w w:val="105"/>
          <w:sz w:val="18"/>
        </w:rPr>
        <w:t>pero</w:t>
      </w:r>
      <w:r>
        <w:rPr>
          <w:color w:val="231F20"/>
          <w:spacing w:val="-14"/>
          <w:w w:val="105"/>
          <w:sz w:val="18"/>
        </w:rPr>
        <w:t> </w:t>
      </w:r>
      <w:r>
        <w:rPr>
          <w:color w:val="231F20"/>
          <w:w w:val="105"/>
          <w:sz w:val="18"/>
        </w:rPr>
        <w:t>no</w:t>
      </w:r>
      <w:r>
        <w:rPr>
          <w:color w:val="231F20"/>
          <w:spacing w:val="-14"/>
          <w:w w:val="105"/>
          <w:sz w:val="18"/>
        </w:rPr>
        <w:t> </w:t>
      </w:r>
      <w:r>
        <w:rPr>
          <w:color w:val="231F20"/>
          <w:w w:val="105"/>
          <w:sz w:val="18"/>
        </w:rPr>
        <w:t>recuerdo el</w:t>
      </w:r>
      <w:r>
        <w:rPr>
          <w:color w:val="231F20"/>
          <w:spacing w:val="-27"/>
          <w:w w:val="105"/>
          <w:sz w:val="18"/>
        </w:rPr>
        <w:t> </w:t>
      </w:r>
      <w:r>
        <w:rPr>
          <w:color w:val="231F20"/>
          <w:w w:val="105"/>
          <w:sz w:val="18"/>
        </w:rPr>
        <w:t>nombre.</w:t>
      </w:r>
      <w:r>
        <w:rPr>
          <w:color w:val="231F20"/>
          <w:spacing w:val="-31"/>
          <w:w w:val="105"/>
          <w:sz w:val="18"/>
        </w:rPr>
        <w:t> </w:t>
      </w:r>
      <w:r>
        <w:rPr>
          <w:color w:val="231F20"/>
          <w:w w:val="105"/>
          <w:sz w:val="18"/>
        </w:rPr>
        <w:t>Una</w:t>
      </w:r>
      <w:r>
        <w:rPr>
          <w:color w:val="231F20"/>
          <w:spacing w:val="-27"/>
          <w:w w:val="105"/>
          <w:sz w:val="18"/>
        </w:rPr>
        <w:t> </w:t>
      </w:r>
      <w:r>
        <w:rPr>
          <w:color w:val="231F20"/>
          <w:w w:val="105"/>
          <w:sz w:val="18"/>
        </w:rPr>
        <w:t>vez</w:t>
      </w:r>
      <w:r>
        <w:rPr>
          <w:color w:val="231F20"/>
          <w:spacing w:val="-27"/>
          <w:w w:val="105"/>
          <w:sz w:val="18"/>
        </w:rPr>
        <w:t> </w:t>
      </w:r>
      <w:r>
        <w:rPr>
          <w:color w:val="231F20"/>
          <w:w w:val="105"/>
          <w:sz w:val="18"/>
        </w:rPr>
        <w:t>cosechado</w:t>
      </w:r>
      <w:r>
        <w:rPr>
          <w:color w:val="231F20"/>
          <w:spacing w:val="-27"/>
          <w:w w:val="105"/>
          <w:sz w:val="18"/>
        </w:rPr>
        <w:t> </w:t>
      </w:r>
      <w:r>
        <w:rPr>
          <w:color w:val="231F20"/>
          <w:w w:val="105"/>
          <w:sz w:val="18"/>
        </w:rPr>
        <w:t>se</w:t>
      </w:r>
      <w:r>
        <w:rPr>
          <w:color w:val="231F20"/>
          <w:spacing w:val="-27"/>
          <w:w w:val="105"/>
          <w:sz w:val="18"/>
        </w:rPr>
        <w:t> </w:t>
      </w:r>
      <w:r>
        <w:rPr>
          <w:color w:val="231F20"/>
          <w:w w:val="105"/>
          <w:sz w:val="18"/>
        </w:rPr>
        <w:t>lo</w:t>
      </w:r>
      <w:r>
        <w:rPr>
          <w:color w:val="231F20"/>
          <w:spacing w:val="-27"/>
          <w:w w:val="105"/>
          <w:sz w:val="18"/>
        </w:rPr>
        <w:t> </w:t>
      </w:r>
      <w:r>
        <w:rPr>
          <w:color w:val="231F20"/>
          <w:w w:val="105"/>
          <w:sz w:val="18"/>
        </w:rPr>
        <w:t>llevaban</w:t>
      </w:r>
      <w:r>
        <w:rPr>
          <w:color w:val="231F20"/>
          <w:spacing w:val="-27"/>
          <w:w w:val="105"/>
          <w:sz w:val="18"/>
        </w:rPr>
        <w:t> </w:t>
      </w:r>
      <w:r>
        <w:rPr>
          <w:color w:val="231F20"/>
          <w:w w:val="105"/>
          <w:sz w:val="18"/>
        </w:rPr>
        <w:t>para</w:t>
      </w:r>
      <w:r>
        <w:rPr>
          <w:color w:val="231F20"/>
          <w:spacing w:val="-31"/>
          <w:w w:val="105"/>
          <w:sz w:val="18"/>
        </w:rPr>
        <w:t> </w:t>
      </w:r>
      <w:r>
        <w:rPr>
          <w:color w:val="231F20"/>
          <w:spacing w:val="-3"/>
          <w:w w:val="105"/>
          <w:sz w:val="18"/>
        </w:rPr>
        <w:t>Toluca</w:t>
      </w:r>
      <w:r>
        <w:rPr>
          <w:color w:val="231F20"/>
          <w:spacing w:val="-27"/>
          <w:w w:val="105"/>
          <w:sz w:val="18"/>
        </w:rPr>
        <w:t> </w:t>
      </w:r>
      <w:r>
        <w:rPr>
          <w:color w:val="231F20"/>
          <w:w w:val="105"/>
          <w:sz w:val="18"/>
        </w:rPr>
        <w:t>en</w:t>
      </w:r>
      <w:r>
        <w:rPr>
          <w:color w:val="231F20"/>
          <w:spacing w:val="-27"/>
          <w:w w:val="105"/>
          <w:sz w:val="18"/>
        </w:rPr>
        <w:t> </w:t>
      </w:r>
      <w:r>
        <w:rPr>
          <w:color w:val="231F20"/>
          <w:w w:val="105"/>
          <w:sz w:val="18"/>
        </w:rPr>
        <w:t>mazorca,</w:t>
      </w:r>
      <w:r>
        <w:rPr>
          <w:color w:val="231F20"/>
          <w:spacing w:val="-31"/>
          <w:w w:val="105"/>
          <w:sz w:val="18"/>
        </w:rPr>
        <w:t> </w:t>
      </w:r>
      <w:r>
        <w:rPr>
          <w:color w:val="231F20"/>
          <w:w w:val="105"/>
          <w:sz w:val="18"/>
        </w:rPr>
        <w:t>lo echaban</w:t>
      </w:r>
      <w:r>
        <w:rPr>
          <w:color w:val="231F20"/>
          <w:spacing w:val="-21"/>
          <w:w w:val="105"/>
          <w:sz w:val="18"/>
        </w:rPr>
        <w:t> </w:t>
      </w:r>
      <w:r>
        <w:rPr>
          <w:color w:val="231F20"/>
          <w:w w:val="105"/>
          <w:sz w:val="18"/>
        </w:rPr>
        <w:t>en</w:t>
      </w:r>
      <w:r>
        <w:rPr>
          <w:color w:val="231F20"/>
          <w:spacing w:val="-21"/>
          <w:w w:val="105"/>
          <w:sz w:val="18"/>
        </w:rPr>
        <w:t> </w:t>
      </w:r>
      <w:r>
        <w:rPr>
          <w:color w:val="231F20"/>
          <w:w w:val="105"/>
          <w:sz w:val="18"/>
        </w:rPr>
        <w:t>carros</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volteo</w:t>
      </w:r>
      <w:r>
        <w:rPr>
          <w:color w:val="231F20"/>
          <w:spacing w:val="-21"/>
          <w:w w:val="105"/>
          <w:sz w:val="18"/>
        </w:rPr>
        <w:t> </w:t>
      </w:r>
      <w:r>
        <w:rPr>
          <w:color w:val="231F20"/>
          <w:w w:val="105"/>
          <w:sz w:val="18"/>
        </w:rPr>
        <w:t>y</w:t>
      </w:r>
      <w:r>
        <w:rPr>
          <w:color w:val="231F20"/>
          <w:spacing w:val="-21"/>
          <w:w w:val="105"/>
          <w:sz w:val="18"/>
        </w:rPr>
        <w:t> </w:t>
      </w:r>
      <w:r>
        <w:rPr>
          <w:color w:val="231F20"/>
          <w:w w:val="105"/>
          <w:sz w:val="18"/>
        </w:rPr>
        <w:t>allá</w:t>
      </w:r>
      <w:r>
        <w:rPr>
          <w:color w:val="231F20"/>
          <w:spacing w:val="-21"/>
          <w:w w:val="105"/>
          <w:sz w:val="18"/>
        </w:rPr>
        <w:t> </w:t>
      </w:r>
      <w:r>
        <w:rPr>
          <w:color w:val="231F20"/>
          <w:w w:val="105"/>
          <w:sz w:val="18"/>
        </w:rPr>
        <w:t>lo</w:t>
      </w:r>
      <w:r>
        <w:rPr>
          <w:color w:val="231F20"/>
          <w:spacing w:val="-21"/>
          <w:w w:val="105"/>
          <w:sz w:val="18"/>
        </w:rPr>
        <w:t> </w:t>
      </w:r>
      <w:r>
        <w:rPr>
          <w:color w:val="231F20"/>
          <w:w w:val="105"/>
          <w:sz w:val="18"/>
        </w:rPr>
        <w:t>vendían.</w:t>
      </w:r>
      <w:r>
        <w:rPr>
          <w:color w:val="231F20"/>
          <w:spacing w:val="-26"/>
          <w:w w:val="105"/>
          <w:sz w:val="18"/>
        </w:rPr>
        <w:t> </w:t>
      </w:r>
      <w:r>
        <w:rPr>
          <w:color w:val="231F20"/>
          <w:w w:val="105"/>
          <w:sz w:val="18"/>
        </w:rPr>
        <w:t>Se</w:t>
      </w:r>
      <w:r>
        <w:rPr>
          <w:color w:val="231F20"/>
          <w:spacing w:val="-21"/>
          <w:w w:val="105"/>
          <w:sz w:val="18"/>
        </w:rPr>
        <w:t> </w:t>
      </w:r>
      <w:r>
        <w:rPr>
          <w:color w:val="231F20"/>
          <w:w w:val="105"/>
          <w:sz w:val="18"/>
        </w:rPr>
        <w:t>acabó</w:t>
      </w:r>
      <w:r>
        <w:rPr>
          <w:color w:val="231F20"/>
          <w:spacing w:val="-21"/>
          <w:w w:val="105"/>
          <w:sz w:val="18"/>
        </w:rPr>
        <w:t> </w:t>
      </w:r>
      <w:r>
        <w:rPr>
          <w:color w:val="231F20"/>
          <w:w w:val="105"/>
          <w:sz w:val="18"/>
        </w:rPr>
        <w:t>la</w:t>
      </w:r>
      <w:r>
        <w:rPr>
          <w:color w:val="231F20"/>
          <w:spacing w:val="-21"/>
          <w:w w:val="105"/>
          <w:sz w:val="18"/>
        </w:rPr>
        <w:t> </w:t>
      </w:r>
      <w:r>
        <w:rPr>
          <w:color w:val="231F20"/>
          <w:w w:val="105"/>
          <w:sz w:val="18"/>
        </w:rPr>
        <w:t>Casa</w:t>
      </w:r>
      <w:r>
        <w:rPr>
          <w:color w:val="231F20"/>
          <w:spacing w:val="-21"/>
          <w:w w:val="105"/>
          <w:sz w:val="18"/>
        </w:rPr>
        <w:t> </w:t>
      </w:r>
      <w:r>
        <w:rPr>
          <w:color w:val="231F20"/>
          <w:w w:val="105"/>
          <w:sz w:val="18"/>
        </w:rPr>
        <w:t>pues</w:t>
      </w:r>
      <w:r>
        <w:rPr>
          <w:color w:val="231F20"/>
          <w:spacing w:val="-21"/>
          <w:w w:val="105"/>
          <w:sz w:val="18"/>
        </w:rPr>
        <w:t> </w:t>
      </w:r>
      <w:r>
        <w:rPr>
          <w:color w:val="231F20"/>
          <w:w w:val="105"/>
          <w:sz w:val="18"/>
        </w:rPr>
        <w:t>ya no</w:t>
      </w:r>
      <w:r>
        <w:rPr>
          <w:color w:val="231F20"/>
          <w:spacing w:val="-9"/>
          <w:w w:val="105"/>
          <w:sz w:val="18"/>
        </w:rPr>
        <w:t> </w:t>
      </w:r>
      <w:r>
        <w:rPr>
          <w:color w:val="231F20"/>
          <w:w w:val="105"/>
          <w:sz w:val="18"/>
        </w:rPr>
        <w:t>convenía,</w:t>
      </w:r>
      <w:r>
        <w:rPr>
          <w:color w:val="231F20"/>
          <w:spacing w:val="-13"/>
          <w:w w:val="105"/>
          <w:sz w:val="18"/>
        </w:rPr>
        <w:t> </w:t>
      </w:r>
      <w:r>
        <w:rPr>
          <w:color w:val="231F20"/>
          <w:w w:val="105"/>
          <w:sz w:val="18"/>
        </w:rPr>
        <w:t>no</w:t>
      </w:r>
      <w:r>
        <w:rPr>
          <w:color w:val="231F20"/>
          <w:spacing w:val="-9"/>
          <w:w w:val="105"/>
          <w:sz w:val="18"/>
        </w:rPr>
        <w:t> </w:t>
      </w:r>
      <w:r>
        <w:rPr>
          <w:color w:val="231F20"/>
          <w:w w:val="105"/>
          <w:sz w:val="18"/>
        </w:rPr>
        <w:t>se</w:t>
      </w:r>
      <w:r>
        <w:rPr>
          <w:color w:val="231F20"/>
          <w:spacing w:val="-9"/>
          <w:w w:val="105"/>
          <w:sz w:val="18"/>
        </w:rPr>
        <w:t> </w:t>
      </w:r>
      <w:r>
        <w:rPr>
          <w:color w:val="231F20"/>
          <w:w w:val="105"/>
          <w:sz w:val="18"/>
        </w:rPr>
        <w:t>sabe</w:t>
      </w:r>
      <w:r>
        <w:rPr>
          <w:color w:val="231F20"/>
          <w:spacing w:val="-9"/>
          <w:w w:val="105"/>
          <w:sz w:val="18"/>
        </w:rPr>
        <w:t> </w:t>
      </w:r>
      <w:r>
        <w:rPr>
          <w:color w:val="231F20"/>
          <w:w w:val="105"/>
          <w:sz w:val="18"/>
        </w:rPr>
        <w:t>exactamente</w:t>
      </w:r>
      <w:r>
        <w:rPr>
          <w:color w:val="231F20"/>
          <w:spacing w:val="-9"/>
          <w:w w:val="105"/>
          <w:sz w:val="18"/>
        </w:rPr>
        <w:t> </w:t>
      </w:r>
      <w:r>
        <w:rPr>
          <w:color w:val="231F20"/>
          <w:w w:val="105"/>
          <w:sz w:val="18"/>
        </w:rPr>
        <w:t>por</w:t>
      </w:r>
      <w:r>
        <w:rPr>
          <w:color w:val="231F20"/>
          <w:spacing w:val="-9"/>
          <w:w w:val="105"/>
          <w:sz w:val="18"/>
        </w:rPr>
        <w:t> </w:t>
      </w:r>
      <w:r>
        <w:rPr>
          <w:color w:val="231F20"/>
          <w:w w:val="105"/>
          <w:sz w:val="18"/>
        </w:rPr>
        <w:t>qué,</w:t>
      </w:r>
      <w:r>
        <w:rPr>
          <w:color w:val="231F20"/>
          <w:spacing w:val="-13"/>
          <w:w w:val="105"/>
          <w:sz w:val="18"/>
        </w:rPr>
        <w:t> </w:t>
      </w:r>
      <w:r>
        <w:rPr>
          <w:color w:val="231F20"/>
          <w:w w:val="105"/>
          <w:sz w:val="18"/>
        </w:rPr>
        <w:t>pero</w:t>
      </w:r>
      <w:r>
        <w:rPr>
          <w:color w:val="231F20"/>
          <w:spacing w:val="-9"/>
          <w:w w:val="105"/>
          <w:sz w:val="18"/>
        </w:rPr>
        <w:t> </w:t>
      </w:r>
      <w:r>
        <w:rPr>
          <w:color w:val="231F20"/>
          <w:w w:val="105"/>
          <w:sz w:val="18"/>
        </w:rPr>
        <w:t>se</w:t>
      </w:r>
      <w:r>
        <w:rPr>
          <w:color w:val="231F20"/>
          <w:spacing w:val="-9"/>
          <w:w w:val="105"/>
          <w:sz w:val="18"/>
        </w:rPr>
        <w:t> </w:t>
      </w:r>
      <w:r>
        <w:rPr>
          <w:color w:val="231F20"/>
          <w:w w:val="105"/>
          <w:sz w:val="18"/>
        </w:rPr>
        <w:t>cree</w:t>
      </w:r>
      <w:r>
        <w:rPr>
          <w:color w:val="231F20"/>
          <w:spacing w:val="-9"/>
          <w:w w:val="105"/>
          <w:sz w:val="18"/>
        </w:rPr>
        <w:t> </w:t>
      </w:r>
      <w:r>
        <w:rPr>
          <w:color w:val="231F20"/>
          <w:w w:val="105"/>
          <w:sz w:val="18"/>
        </w:rPr>
        <w:t>que</w:t>
      </w:r>
      <w:r>
        <w:rPr>
          <w:color w:val="231F20"/>
          <w:spacing w:val="-9"/>
          <w:w w:val="105"/>
          <w:sz w:val="18"/>
        </w:rPr>
        <w:t> </w:t>
      </w:r>
      <w:r>
        <w:rPr>
          <w:color w:val="231F20"/>
          <w:w w:val="105"/>
          <w:sz w:val="18"/>
        </w:rPr>
        <w:t>como había</w:t>
      </w:r>
      <w:r>
        <w:rPr>
          <w:color w:val="231F20"/>
          <w:spacing w:val="-18"/>
          <w:w w:val="105"/>
          <w:sz w:val="18"/>
        </w:rPr>
        <w:t> </w:t>
      </w:r>
      <w:r>
        <w:rPr>
          <w:color w:val="231F20"/>
          <w:w w:val="105"/>
          <w:sz w:val="18"/>
        </w:rPr>
        <w:t>mucho</w:t>
      </w:r>
      <w:r>
        <w:rPr>
          <w:color w:val="231F20"/>
          <w:spacing w:val="-18"/>
          <w:w w:val="105"/>
          <w:sz w:val="18"/>
        </w:rPr>
        <w:t> </w:t>
      </w:r>
      <w:r>
        <w:rPr>
          <w:color w:val="231F20"/>
          <w:w w:val="105"/>
          <w:sz w:val="18"/>
        </w:rPr>
        <w:t>peón</w:t>
      </w:r>
      <w:r>
        <w:rPr>
          <w:color w:val="231F20"/>
          <w:spacing w:val="-18"/>
          <w:w w:val="105"/>
          <w:sz w:val="18"/>
        </w:rPr>
        <w:t> </w:t>
      </w:r>
      <w:r>
        <w:rPr>
          <w:color w:val="231F20"/>
          <w:w w:val="105"/>
          <w:sz w:val="18"/>
        </w:rPr>
        <w:t>no</w:t>
      </w:r>
      <w:r>
        <w:rPr>
          <w:color w:val="231F20"/>
          <w:spacing w:val="-18"/>
          <w:w w:val="105"/>
          <w:sz w:val="18"/>
        </w:rPr>
        <w:t> </w:t>
      </w:r>
      <w:r>
        <w:rPr>
          <w:color w:val="231F20"/>
          <w:w w:val="105"/>
          <w:sz w:val="18"/>
        </w:rPr>
        <w:t>salían</w:t>
      </w:r>
      <w:r>
        <w:rPr>
          <w:color w:val="231F20"/>
          <w:spacing w:val="-18"/>
          <w:w w:val="105"/>
          <w:sz w:val="18"/>
        </w:rPr>
        <w:t> </w:t>
      </w:r>
      <w:r>
        <w:rPr>
          <w:color w:val="231F20"/>
          <w:w w:val="105"/>
          <w:sz w:val="18"/>
        </w:rPr>
        <w:t>las</w:t>
      </w:r>
      <w:r>
        <w:rPr>
          <w:color w:val="231F20"/>
          <w:spacing w:val="-18"/>
          <w:w w:val="105"/>
          <w:sz w:val="18"/>
        </w:rPr>
        <w:t> </w:t>
      </w:r>
      <w:r>
        <w:rPr>
          <w:color w:val="231F20"/>
          <w:w w:val="105"/>
          <w:sz w:val="18"/>
        </w:rPr>
        <w:t>cuentas.</w:t>
      </w:r>
      <w:r>
        <w:rPr>
          <w:color w:val="231F20"/>
          <w:spacing w:val="-23"/>
          <w:w w:val="105"/>
          <w:sz w:val="18"/>
        </w:rPr>
        <w:t> </w:t>
      </w:r>
      <w:r>
        <w:rPr>
          <w:color w:val="231F20"/>
          <w:w w:val="105"/>
          <w:sz w:val="18"/>
        </w:rPr>
        <w:t>La</w:t>
      </w:r>
      <w:r>
        <w:rPr>
          <w:color w:val="231F20"/>
          <w:spacing w:val="-18"/>
          <w:w w:val="105"/>
          <w:sz w:val="18"/>
        </w:rPr>
        <w:t> </w:t>
      </w:r>
      <w:r>
        <w:rPr>
          <w:color w:val="231F20"/>
          <w:w w:val="105"/>
          <w:sz w:val="18"/>
        </w:rPr>
        <w:t>realidad</w:t>
      </w:r>
      <w:r>
        <w:rPr>
          <w:color w:val="231F20"/>
          <w:spacing w:val="-18"/>
          <w:w w:val="105"/>
          <w:sz w:val="18"/>
        </w:rPr>
        <w:t> </w:t>
      </w:r>
      <w:r>
        <w:rPr>
          <w:color w:val="231F20"/>
          <w:w w:val="105"/>
          <w:sz w:val="18"/>
        </w:rPr>
        <w:t>es</w:t>
      </w:r>
      <w:r>
        <w:rPr>
          <w:color w:val="231F20"/>
          <w:spacing w:val="-18"/>
          <w:w w:val="105"/>
          <w:sz w:val="18"/>
        </w:rPr>
        <w:t> </w:t>
      </w:r>
      <w:r>
        <w:rPr>
          <w:color w:val="231F20"/>
          <w:w w:val="105"/>
          <w:sz w:val="18"/>
        </w:rPr>
        <w:t>que</w:t>
      </w:r>
      <w:r>
        <w:rPr>
          <w:color w:val="231F20"/>
          <w:spacing w:val="-18"/>
          <w:w w:val="105"/>
          <w:sz w:val="18"/>
        </w:rPr>
        <w:t> </w:t>
      </w:r>
      <w:r>
        <w:rPr>
          <w:color w:val="231F20"/>
          <w:w w:val="105"/>
          <w:sz w:val="18"/>
        </w:rPr>
        <w:t>cuando</w:t>
      </w:r>
      <w:r>
        <w:rPr>
          <w:color w:val="231F20"/>
          <w:spacing w:val="-18"/>
          <w:w w:val="105"/>
          <w:sz w:val="18"/>
        </w:rPr>
        <w:t> </w:t>
      </w:r>
      <w:r>
        <w:rPr>
          <w:color w:val="231F20"/>
          <w:w w:val="105"/>
          <w:sz w:val="18"/>
        </w:rPr>
        <w:t>es- taba</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Casa</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Gobierno</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gente</w:t>
      </w:r>
      <w:r>
        <w:rPr>
          <w:color w:val="231F20"/>
          <w:spacing w:val="-11"/>
          <w:w w:val="105"/>
          <w:sz w:val="18"/>
        </w:rPr>
        <w:t> </w:t>
      </w:r>
      <w:r>
        <w:rPr>
          <w:color w:val="231F20"/>
          <w:w w:val="105"/>
          <w:sz w:val="18"/>
        </w:rPr>
        <w:t>del</w:t>
      </w:r>
      <w:r>
        <w:rPr>
          <w:color w:val="231F20"/>
          <w:spacing w:val="-11"/>
          <w:w w:val="105"/>
          <w:sz w:val="18"/>
        </w:rPr>
        <w:t> </w:t>
      </w:r>
      <w:r>
        <w:rPr>
          <w:color w:val="231F20"/>
          <w:w w:val="105"/>
          <w:sz w:val="18"/>
        </w:rPr>
        <w:t>pueblo</w:t>
      </w:r>
      <w:r>
        <w:rPr>
          <w:color w:val="231F20"/>
          <w:spacing w:val="-11"/>
          <w:w w:val="105"/>
          <w:sz w:val="18"/>
        </w:rPr>
        <w:t> </w:t>
      </w:r>
      <w:r>
        <w:rPr>
          <w:color w:val="231F20"/>
          <w:w w:val="105"/>
          <w:sz w:val="18"/>
        </w:rPr>
        <w:t>vivía</w:t>
      </w:r>
      <w:r>
        <w:rPr>
          <w:color w:val="231F20"/>
          <w:spacing w:val="-11"/>
          <w:w w:val="105"/>
          <w:sz w:val="18"/>
        </w:rPr>
        <w:t> </w:t>
      </w:r>
      <w:r>
        <w:rPr>
          <w:color w:val="231F20"/>
          <w:w w:val="105"/>
          <w:sz w:val="18"/>
        </w:rPr>
        <w:t>mejor</w:t>
      </w:r>
      <w:r>
        <w:rPr>
          <w:color w:val="231F20"/>
          <w:spacing w:val="-11"/>
          <w:w w:val="105"/>
          <w:sz w:val="18"/>
        </w:rPr>
        <w:t> </w:t>
      </w:r>
      <w:r>
        <w:rPr>
          <w:color w:val="231F20"/>
          <w:w w:val="105"/>
          <w:sz w:val="18"/>
        </w:rPr>
        <w:t>porque</w:t>
      </w:r>
      <w:r>
        <w:rPr>
          <w:color w:val="231F20"/>
          <w:spacing w:val="-11"/>
          <w:w w:val="105"/>
          <w:sz w:val="18"/>
        </w:rPr>
        <w:t> </w:t>
      </w:r>
      <w:r>
        <w:rPr>
          <w:color w:val="231F20"/>
          <w:w w:val="105"/>
          <w:sz w:val="18"/>
        </w:rPr>
        <w:t>había trabajo</w:t>
      </w:r>
      <w:r>
        <w:rPr>
          <w:color w:val="231F20"/>
          <w:spacing w:val="-18"/>
          <w:w w:val="105"/>
          <w:sz w:val="18"/>
        </w:rPr>
        <w:t> </w:t>
      </w:r>
      <w:r>
        <w:rPr>
          <w:color w:val="231F20"/>
          <w:w w:val="105"/>
          <w:sz w:val="18"/>
        </w:rPr>
        <w:t>para</w:t>
      </w:r>
      <w:r>
        <w:rPr>
          <w:color w:val="231F20"/>
          <w:spacing w:val="-18"/>
          <w:w w:val="105"/>
          <w:sz w:val="18"/>
        </w:rPr>
        <w:t> </w:t>
      </w:r>
      <w:r>
        <w:rPr>
          <w:color w:val="231F20"/>
          <w:w w:val="105"/>
          <w:sz w:val="18"/>
        </w:rPr>
        <w:t>todos,</w:t>
      </w:r>
      <w:r>
        <w:rPr>
          <w:color w:val="231F20"/>
          <w:spacing w:val="-22"/>
          <w:w w:val="105"/>
          <w:sz w:val="18"/>
        </w:rPr>
        <w:t> </w:t>
      </w:r>
      <w:r>
        <w:rPr>
          <w:color w:val="231F20"/>
          <w:w w:val="105"/>
          <w:sz w:val="18"/>
        </w:rPr>
        <w:t>se</w:t>
      </w:r>
      <w:r>
        <w:rPr>
          <w:color w:val="231F20"/>
          <w:spacing w:val="-18"/>
          <w:w w:val="105"/>
          <w:sz w:val="18"/>
        </w:rPr>
        <w:t> </w:t>
      </w:r>
      <w:r>
        <w:rPr>
          <w:color w:val="231F20"/>
          <w:w w:val="105"/>
          <w:sz w:val="18"/>
        </w:rPr>
        <w:t>vendía</w:t>
      </w:r>
      <w:r>
        <w:rPr>
          <w:color w:val="231F20"/>
          <w:spacing w:val="-18"/>
          <w:w w:val="105"/>
          <w:sz w:val="18"/>
        </w:rPr>
        <w:t> </w:t>
      </w:r>
      <w:r>
        <w:rPr>
          <w:color w:val="231F20"/>
          <w:w w:val="105"/>
          <w:sz w:val="18"/>
        </w:rPr>
        <w:t>mucho</w:t>
      </w:r>
      <w:r>
        <w:rPr>
          <w:color w:val="231F20"/>
          <w:spacing w:val="-18"/>
          <w:w w:val="105"/>
          <w:sz w:val="18"/>
        </w:rPr>
        <w:t> </w:t>
      </w:r>
      <w:r>
        <w:rPr>
          <w:color w:val="231F20"/>
          <w:w w:val="105"/>
          <w:sz w:val="18"/>
        </w:rPr>
        <w:t>más</w:t>
      </w:r>
      <w:r>
        <w:rPr>
          <w:color w:val="231F20"/>
          <w:spacing w:val="-18"/>
          <w:w w:val="105"/>
          <w:sz w:val="18"/>
        </w:rPr>
        <w:t> </w:t>
      </w:r>
      <w:r>
        <w:rPr>
          <w:color w:val="231F20"/>
          <w:w w:val="105"/>
          <w:sz w:val="18"/>
        </w:rPr>
        <w:t>y</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muchas</w:t>
      </w:r>
      <w:r>
        <w:rPr>
          <w:color w:val="231F20"/>
          <w:spacing w:val="-18"/>
          <w:w w:val="105"/>
          <w:sz w:val="18"/>
        </w:rPr>
        <w:t> </w:t>
      </w:r>
      <w:r>
        <w:rPr>
          <w:color w:val="231F20"/>
          <w:w w:val="105"/>
          <w:sz w:val="18"/>
        </w:rPr>
        <w:t>cosas</w:t>
      </w:r>
      <w:r>
        <w:rPr>
          <w:color w:val="231F20"/>
          <w:spacing w:val="-18"/>
          <w:w w:val="105"/>
          <w:sz w:val="18"/>
        </w:rPr>
        <w:t> </w:t>
      </w:r>
      <w:r>
        <w:rPr>
          <w:color w:val="231F20"/>
          <w:w w:val="105"/>
          <w:sz w:val="18"/>
        </w:rPr>
        <w:t>convenía.</w:t>
      </w:r>
    </w:p>
    <w:p>
      <w:pPr>
        <w:pStyle w:val="BodyText"/>
        <w:rPr>
          <w:sz w:val="20"/>
        </w:rPr>
      </w:pPr>
    </w:p>
    <w:p>
      <w:pPr>
        <w:pStyle w:val="BodyText"/>
        <w:rPr>
          <w:sz w:val="20"/>
        </w:rPr>
      </w:pPr>
    </w:p>
    <w:p>
      <w:pPr>
        <w:pStyle w:val="BodyText"/>
        <w:rPr>
          <w:sz w:val="27"/>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49536" from="131.551193pt,3.753715pt" to="131.551193pt,39.556114pt" stroked="true" strokeweight=".35pt" strokecolor="#231f20">
            <w10:wrap type="none"/>
          </v:line>
        </w:pict>
      </w:r>
      <w:r>
        <w:rPr/>
        <w:pict>
          <v:line style="position:absolute;mso-position-horizontal-relative:page;mso-position-vertical-relative:paragraph;z-index:-449464" from="15pt,39.555916pt" to="0pt,39.555916pt" stroked="true" strokeweight=".25pt" strokecolor="#000000">
            <w10:wrap type="none"/>
          </v:line>
        </w:pict>
      </w:r>
      <w:r>
        <w:rPr/>
        <w:pict>
          <v:line style="position:absolute;mso-position-horizontal-relative:page;mso-position-vertical-relative:paragraph;z-index:40744" from="508.890015pt,39.555916pt" to="523.890015pt,39.555916pt" stroked="true" strokeweight=".25pt" strokecolor="#000000">
            <w10:wrap type="none"/>
          </v:line>
        </w:pict>
      </w:r>
      <w:r>
        <w:rPr>
          <w:rFonts w:ascii="Arial" w:hAnsi="Arial"/>
          <w:color w:val="414042"/>
          <w:position w:val="-5"/>
          <w:sz w:val="20"/>
        </w:rPr>
        <w:t>340</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49416" from="405.061005pt,-18.554295pt" to="405.061005pt,16.311579pt" stroked="true" strokeweight=".35pt" strokecolor="#231f20">
            <w10:wrap type="none"/>
          </v:line>
        </w:pict>
      </w:r>
      <w:r>
        <w:rPr/>
        <w:pict>
          <v:line style="position:absolute;mso-position-horizontal-relative:page;mso-position-vertical-relative:paragraph;z-index:40792" from="15pt,-18.554522pt" to="0pt,-18.554522pt" stroked="true" strokeweight=".25pt" strokecolor="#000000">
            <w10:wrap type="none"/>
          </v:line>
        </w:pict>
      </w:r>
      <w:r>
        <w:rPr/>
        <w:pict>
          <v:line style="position:absolute;mso-position-horizontal-relative:page;mso-position-vertical-relative:paragraph;z-index:40816"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341</w:t>
      </w:r>
    </w:p>
    <w:p>
      <w:pPr>
        <w:pStyle w:val="BodyText"/>
        <w:rPr>
          <w:rFonts w:ascii="Arial"/>
          <w:sz w:val="18"/>
        </w:rPr>
      </w:pPr>
    </w:p>
    <w:p>
      <w:pPr>
        <w:pStyle w:val="BodyText"/>
        <w:rPr>
          <w:rFonts w:ascii="Arial"/>
          <w:sz w:val="18"/>
        </w:rPr>
      </w:pPr>
    </w:p>
    <w:p>
      <w:pPr>
        <w:pStyle w:val="BodyText"/>
        <w:spacing w:before="4"/>
        <w:rPr>
          <w:rFonts w:ascii="Arial"/>
          <w:sz w:val="19"/>
        </w:rPr>
      </w:pPr>
    </w:p>
    <w:p>
      <w:pPr>
        <w:spacing w:line="254" w:lineRule="auto" w:before="1"/>
        <w:ind w:left="2971" w:right="1722" w:firstLine="0"/>
        <w:jc w:val="both"/>
        <w:rPr>
          <w:sz w:val="18"/>
        </w:rPr>
      </w:pPr>
      <w:r>
        <w:rPr>
          <w:color w:val="231F20"/>
          <w:w w:val="105"/>
          <w:sz w:val="18"/>
        </w:rPr>
        <w:t>Muchos</w:t>
      </w:r>
      <w:r>
        <w:rPr>
          <w:color w:val="231F20"/>
          <w:spacing w:val="-6"/>
          <w:w w:val="105"/>
          <w:sz w:val="18"/>
        </w:rPr>
        <w:t> </w:t>
      </w:r>
      <w:r>
        <w:rPr>
          <w:color w:val="231F20"/>
          <w:w w:val="105"/>
          <w:sz w:val="18"/>
        </w:rPr>
        <w:t>se</w:t>
      </w:r>
      <w:r>
        <w:rPr>
          <w:color w:val="231F20"/>
          <w:spacing w:val="-6"/>
          <w:w w:val="105"/>
          <w:sz w:val="18"/>
        </w:rPr>
        <w:t> </w:t>
      </w:r>
      <w:r>
        <w:rPr>
          <w:color w:val="231F20"/>
          <w:w w:val="105"/>
          <w:sz w:val="18"/>
        </w:rPr>
        <w:t>fueron</w:t>
      </w:r>
      <w:r>
        <w:rPr>
          <w:color w:val="231F20"/>
          <w:spacing w:val="-6"/>
          <w:w w:val="105"/>
          <w:sz w:val="18"/>
        </w:rPr>
        <w:t> </w:t>
      </w:r>
      <w:r>
        <w:rPr>
          <w:color w:val="231F20"/>
          <w:w w:val="105"/>
          <w:sz w:val="18"/>
        </w:rPr>
        <w:t>para</w:t>
      </w:r>
      <w:r>
        <w:rPr>
          <w:color w:val="231F20"/>
          <w:spacing w:val="-6"/>
          <w:w w:val="105"/>
          <w:sz w:val="18"/>
        </w:rPr>
        <w:t> </w:t>
      </w:r>
      <w:r>
        <w:rPr>
          <w:color w:val="231F20"/>
          <w:w w:val="105"/>
          <w:sz w:val="18"/>
        </w:rPr>
        <w:t>todos</w:t>
      </w:r>
      <w:r>
        <w:rPr>
          <w:color w:val="231F20"/>
          <w:spacing w:val="-6"/>
          <w:w w:val="105"/>
          <w:sz w:val="18"/>
        </w:rPr>
        <w:t> </w:t>
      </w:r>
      <w:r>
        <w:rPr>
          <w:color w:val="231F20"/>
          <w:w w:val="105"/>
          <w:sz w:val="18"/>
        </w:rPr>
        <w:t>lados</w:t>
      </w:r>
      <w:r>
        <w:rPr>
          <w:color w:val="231F20"/>
          <w:spacing w:val="-6"/>
          <w:w w:val="105"/>
          <w:sz w:val="18"/>
        </w:rPr>
        <w:t> </w:t>
      </w:r>
      <w:r>
        <w:rPr>
          <w:color w:val="231F20"/>
          <w:w w:val="105"/>
          <w:sz w:val="18"/>
        </w:rPr>
        <w:t>pero</w:t>
      </w:r>
      <w:r>
        <w:rPr>
          <w:color w:val="231F20"/>
          <w:spacing w:val="-6"/>
          <w:w w:val="105"/>
          <w:sz w:val="18"/>
        </w:rPr>
        <w:t> </w:t>
      </w:r>
      <w:r>
        <w:rPr>
          <w:color w:val="231F20"/>
          <w:w w:val="105"/>
          <w:sz w:val="18"/>
        </w:rPr>
        <w:t>más</w:t>
      </w:r>
      <w:r>
        <w:rPr>
          <w:color w:val="231F20"/>
          <w:spacing w:val="-6"/>
          <w:w w:val="105"/>
          <w:sz w:val="18"/>
        </w:rPr>
        <w:t> </w:t>
      </w:r>
      <w:r>
        <w:rPr>
          <w:color w:val="231F20"/>
          <w:w w:val="105"/>
          <w:sz w:val="18"/>
        </w:rPr>
        <w:t>“pa”</w:t>
      </w:r>
      <w:r>
        <w:rPr>
          <w:color w:val="231F20"/>
          <w:spacing w:val="-6"/>
          <w:w w:val="105"/>
          <w:sz w:val="18"/>
        </w:rPr>
        <w:t> </w:t>
      </w:r>
      <w:r>
        <w:rPr>
          <w:color w:val="231F20"/>
          <w:w w:val="105"/>
          <w:sz w:val="18"/>
        </w:rPr>
        <w:t>Estados</w:t>
      </w:r>
      <w:r>
        <w:rPr>
          <w:color w:val="231F20"/>
          <w:spacing w:val="-6"/>
          <w:w w:val="105"/>
          <w:sz w:val="18"/>
        </w:rPr>
        <w:t> </w:t>
      </w:r>
      <w:r>
        <w:rPr>
          <w:color w:val="231F20"/>
          <w:w w:val="105"/>
          <w:sz w:val="18"/>
        </w:rPr>
        <w:t>Unidos.</w:t>
      </w:r>
      <w:r>
        <w:rPr>
          <w:color w:val="231F20"/>
          <w:spacing w:val="-15"/>
          <w:w w:val="105"/>
          <w:sz w:val="18"/>
        </w:rPr>
        <w:t> </w:t>
      </w:r>
      <w:r>
        <w:rPr>
          <w:color w:val="231F20"/>
          <w:spacing w:val="-9"/>
          <w:w w:val="105"/>
          <w:sz w:val="18"/>
        </w:rPr>
        <w:t>Yo </w:t>
      </w:r>
      <w:r>
        <w:rPr>
          <w:color w:val="231F20"/>
          <w:w w:val="105"/>
          <w:sz w:val="18"/>
        </w:rPr>
        <w:t>fui</w:t>
      </w:r>
      <w:r>
        <w:rPr>
          <w:color w:val="231F20"/>
          <w:spacing w:val="-9"/>
          <w:w w:val="105"/>
          <w:sz w:val="18"/>
        </w:rPr>
        <w:t> </w:t>
      </w:r>
      <w:r>
        <w:rPr>
          <w:color w:val="231F20"/>
          <w:w w:val="105"/>
          <w:sz w:val="18"/>
        </w:rPr>
        <w:t>uno</w:t>
      </w:r>
      <w:r>
        <w:rPr>
          <w:color w:val="231F20"/>
          <w:spacing w:val="-9"/>
          <w:w w:val="105"/>
          <w:sz w:val="18"/>
        </w:rPr>
        <w:t> </w:t>
      </w:r>
      <w:r>
        <w:rPr>
          <w:color w:val="231F20"/>
          <w:w w:val="105"/>
          <w:sz w:val="18"/>
        </w:rPr>
        <w:t>de</w:t>
      </w:r>
      <w:r>
        <w:rPr>
          <w:color w:val="231F20"/>
          <w:spacing w:val="-9"/>
          <w:w w:val="105"/>
          <w:sz w:val="18"/>
        </w:rPr>
        <w:t> </w:t>
      </w:r>
      <w:r>
        <w:rPr>
          <w:color w:val="231F20"/>
          <w:w w:val="105"/>
          <w:sz w:val="18"/>
        </w:rPr>
        <w:t>los</w:t>
      </w:r>
      <w:r>
        <w:rPr>
          <w:color w:val="231F20"/>
          <w:spacing w:val="-9"/>
          <w:w w:val="105"/>
          <w:sz w:val="18"/>
        </w:rPr>
        <w:t> </w:t>
      </w:r>
      <w:r>
        <w:rPr>
          <w:color w:val="231F20"/>
          <w:w w:val="105"/>
          <w:sz w:val="18"/>
        </w:rPr>
        <w:t>que</w:t>
      </w:r>
      <w:r>
        <w:rPr>
          <w:color w:val="231F20"/>
          <w:spacing w:val="-9"/>
          <w:w w:val="105"/>
          <w:sz w:val="18"/>
        </w:rPr>
        <w:t> </w:t>
      </w:r>
      <w:r>
        <w:rPr>
          <w:color w:val="231F20"/>
          <w:w w:val="105"/>
          <w:sz w:val="18"/>
        </w:rPr>
        <w:t>se</w:t>
      </w:r>
      <w:r>
        <w:rPr>
          <w:color w:val="231F20"/>
          <w:spacing w:val="-9"/>
          <w:w w:val="105"/>
          <w:sz w:val="18"/>
        </w:rPr>
        <w:t> </w:t>
      </w:r>
      <w:r>
        <w:rPr>
          <w:color w:val="231F20"/>
          <w:w w:val="105"/>
          <w:sz w:val="18"/>
        </w:rPr>
        <w:t>quedó,</w:t>
      </w:r>
      <w:r>
        <w:rPr>
          <w:color w:val="231F20"/>
          <w:spacing w:val="-15"/>
          <w:w w:val="105"/>
          <w:sz w:val="18"/>
        </w:rPr>
        <w:t> </w:t>
      </w:r>
      <w:r>
        <w:rPr>
          <w:color w:val="231F20"/>
          <w:w w:val="105"/>
          <w:sz w:val="18"/>
        </w:rPr>
        <w:t>la</w:t>
      </w:r>
      <w:r>
        <w:rPr>
          <w:color w:val="231F20"/>
          <w:spacing w:val="-9"/>
          <w:w w:val="105"/>
          <w:sz w:val="18"/>
        </w:rPr>
        <w:t> </w:t>
      </w:r>
      <w:r>
        <w:rPr>
          <w:color w:val="231F20"/>
          <w:w w:val="105"/>
          <w:sz w:val="18"/>
        </w:rPr>
        <w:t>mayoría</w:t>
      </w:r>
      <w:r>
        <w:rPr>
          <w:color w:val="231F20"/>
          <w:spacing w:val="-9"/>
          <w:w w:val="105"/>
          <w:sz w:val="18"/>
        </w:rPr>
        <w:t> </w:t>
      </w:r>
      <w:r>
        <w:rPr>
          <w:color w:val="231F20"/>
          <w:w w:val="105"/>
          <w:sz w:val="18"/>
        </w:rPr>
        <w:t>se</w:t>
      </w:r>
      <w:r>
        <w:rPr>
          <w:color w:val="231F20"/>
          <w:spacing w:val="-9"/>
          <w:w w:val="105"/>
          <w:sz w:val="18"/>
        </w:rPr>
        <w:t> </w:t>
      </w:r>
      <w:r>
        <w:rPr>
          <w:color w:val="231F20"/>
          <w:w w:val="105"/>
          <w:sz w:val="18"/>
        </w:rPr>
        <w:t>fueron.</w:t>
      </w:r>
    </w:p>
    <w:p>
      <w:pPr>
        <w:pStyle w:val="BodyText"/>
        <w:spacing w:before="5"/>
      </w:pPr>
    </w:p>
    <w:p>
      <w:pPr>
        <w:pStyle w:val="BodyText"/>
        <w:spacing w:line="261" w:lineRule="auto"/>
        <w:ind w:left="1837" w:right="1721"/>
        <w:jc w:val="both"/>
      </w:pPr>
      <w:r>
        <w:rPr>
          <w:color w:val="231F20"/>
          <w:w w:val="105"/>
        </w:rPr>
        <w:t>La partida de jóvenes en edad productiva sin considerar el género del migrante</w:t>
      </w:r>
      <w:r>
        <w:rPr>
          <w:color w:val="231F20"/>
          <w:spacing w:val="-9"/>
          <w:w w:val="105"/>
        </w:rPr>
        <w:t> </w:t>
      </w:r>
      <w:r>
        <w:rPr>
          <w:color w:val="231F20"/>
          <w:w w:val="105"/>
        </w:rPr>
        <w:t>fue</w:t>
      </w:r>
      <w:r>
        <w:rPr>
          <w:color w:val="231F20"/>
          <w:spacing w:val="-9"/>
          <w:w w:val="105"/>
        </w:rPr>
        <w:t> </w:t>
      </w:r>
      <w:r>
        <w:rPr>
          <w:color w:val="231F20"/>
          <w:w w:val="105"/>
        </w:rPr>
        <w:t>entonces</w:t>
      </w:r>
      <w:r>
        <w:rPr>
          <w:color w:val="231F20"/>
          <w:spacing w:val="-9"/>
          <w:w w:val="105"/>
        </w:rPr>
        <w:t> </w:t>
      </w:r>
      <w:r>
        <w:rPr>
          <w:color w:val="231F20"/>
          <w:w w:val="105"/>
        </w:rPr>
        <w:t>muy</w:t>
      </w:r>
      <w:r>
        <w:rPr>
          <w:color w:val="231F20"/>
          <w:spacing w:val="-9"/>
          <w:w w:val="105"/>
        </w:rPr>
        <w:t> </w:t>
      </w:r>
      <w:r>
        <w:rPr>
          <w:color w:val="231F20"/>
          <w:w w:val="105"/>
        </w:rPr>
        <w:t>evidente.</w:t>
      </w:r>
      <w:r>
        <w:rPr>
          <w:color w:val="231F20"/>
          <w:spacing w:val="-14"/>
          <w:w w:val="105"/>
        </w:rPr>
        <w:t> </w:t>
      </w:r>
      <w:r>
        <w:rPr>
          <w:color w:val="231F20"/>
          <w:w w:val="105"/>
        </w:rPr>
        <w:t>Mónica</w:t>
      </w:r>
      <w:r>
        <w:rPr>
          <w:color w:val="231F20"/>
          <w:spacing w:val="-9"/>
          <w:w w:val="105"/>
        </w:rPr>
        <w:t> </w:t>
      </w:r>
      <w:r>
        <w:rPr>
          <w:color w:val="231F20"/>
          <w:w w:val="105"/>
        </w:rPr>
        <w:t>salió</w:t>
      </w:r>
      <w:r>
        <w:rPr>
          <w:color w:val="231F20"/>
          <w:spacing w:val="-9"/>
          <w:w w:val="105"/>
        </w:rPr>
        <w:t> </w:t>
      </w:r>
      <w:r>
        <w:rPr>
          <w:color w:val="231F20"/>
          <w:w w:val="105"/>
        </w:rPr>
        <w:t>para</w:t>
      </w:r>
      <w:r>
        <w:rPr>
          <w:color w:val="231F20"/>
          <w:spacing w:val="-9"/>
          <w:w w:val="105"/>
        </w:rPr>
        <w:t> </w:t>
      </w:r>
      <w:r>
        <w:rPr>
          <w:color w:val="231F20"/>
          <w:w w:val="105"/>
        </w:rPr>
        <w:t>Estados</w:t>
      </w:r>
      <w:r>
        <w:rPr>
          <w:color w:val="231F20"/>
          <w:spacing w:val="-9"/>
          <w:w w:val="105"/>
        </w:rPr>
        <w:t> </w:t>
      </w:r>
      <w:r>
        <w:rPr>
          <w:color w:val="231F20"/>
          <w:w w:val="105"/>
        </w:rPr>
        <w:t>Unidos cuando sólo tenía 15 años. Esto fue posible porque su hermano se en- contraba</w:t>
      </w:r>
      <w:r>
        <w:rPr>
          <w:color w:val="231F20"/>
          <w:spacing w:val="-9"/>
          <w:w w:val="105"/>
        </w:rPr>
        <w:t> </w:t>
      </w:r>
      <w:r>
        <w:rPr>
          <w:color w:val="231F20"/>
          <w:w w:val="105"/>
        </w:rPr>
        <w:t>radicado</w:t>
      </w:r>
      <w:r>
        <w:rPr>
          <w:color w:val="231F20"/>
          <w:spacing w:val="-9"/>
          <w:w w:val="105"/>
        </w:rPr>
        <w:t> </w:t>
      </w:r>
      <w:r>
        <w:rPr>
          <w:color w:val="231F20"/>
          <w:w w:val="105"/>
        </w:rPr>
        <w:t>en</w:t>
      </w:r>
      <w:r>
        <w:rPr>
          <w:color w:val="231F20"/>
          <w:spacing w:val="-9"/>
          <w:w w:val="105"/>
        </w:rPr>
        <w:t> </w:t>
      </w:r>
      <w:r>
        <w:rPr>
          <w:color w:val="231F20"/>
          <w:w w:val="105"/>
        </w:rPr>
        <w:t>San</w:t>
      </w:r>
      <w:r>
        <w:rPr>
          <w:color w:val="231F20"/>
          <w:spacing w:val="-12"/>
          <w:w w:val="105"/>
        </w:rPr>
        <w:t> </w:t>
      </w:r>
      <w:r>
        <w:rPr>
          <w:color w:val="231F20"/>
          <w:w w:val="105"/>
        </w:rPr>
        <w:t>Antonio,</w:t>
      </w:r>
      <w:r>
        <w:rPr>
          <w:color w:val="231F20"/>
          <w:spacing w:val="-18"/>
          <w:w w:val="105"/>
        </w:rPr>
        <w:t> </w:t>
      </w:r>
      <w:r>
        <w:rPr>
          <w:color w:val="231F20"/>
          <w:spacing w:val="-4"/>
          <w:w w:val="105"/>
        </w:rPr>
        <w:t>Texas,</w:t>
      </w:r>
      <w:r>
        <w:rPr>
          <w:color w:val="231F20"/>
          <w:spacing w:val="-14"/>
          <w:w w:val="105"/>
        </w:rPr>
        <w:t> </w:t>
      </w:r>
      <w:r>
        <w:rPr>
          <w:color w:val="231F20"/>
          <w:w w:val="105"/>
        </w:rPr>
        <w:t>y</w:t>
      </w:r>
      <w:r>
        <w:rPr>
          <w:color w:val="231F20"/>
          <w:spacing w:val="-9"/>
          <w:w w:val="105"/>
        </w:rPr>
        <w:t> </w:t>
      </w:r>
      <w:r>
        <w:rPr>
          <w:color w:val="231F20"/>
          <w:w w:val="105"/>
        </w:rPr>
        <w:t>él</w:t>
      </w:r>
      <w:r>
        <w:rPr>
          <w:color w:val="231F20"/>
          <w:spacing w:val="-9"/>
          <w:w w:val="105"/>
        </w:rPr>
        <w:t> </w:t>
      </w:r>
      <w:r>
        <w:rPr>
          <w:color w:val="231F20"/>
          <w:w w:val="105"/>
        </w:rPr>
        <w:t>le</w:t>
      </w:r>
      <w:r>
        <w:rPr>
          <w:color w:val="231F20"/>
          <w:spacing w:val="-9"/>
          <w:w w:val="105"/>
        </w:rPr>
        <w:t> </w:t>
      </w:r>
      <w:r>
        <w:rPr>
          <w:color w:val="231F20"/>
          <w:w w:val="105"/>
        </w:rPr>
        <w:t>cubrió</w:t>
      </w:r>
      <w:r>
        <w:rPr>
          <w:color w:val="231F20"/>
          <w:spacing w:val="-9"/>
          <w:w w:val="105"/>
        </w:rPr>
        <w:t> </w:t>
      </w:r>
      <w:r>
        <w:rPr>
          <w:color w:val="231F20"/>
          <w:w w:val="105"/>
        </w:rPr>
        <w:t>todos</w:t>
      </w:r>
      <w:r>
        <w:rPr>
          <w:color w:val="231F20"/>
          <w:spacing w:val="-9"/>
          <w:w w:val="105"/>
        </w:rPr>
        <w:t> </w:t>
      </w:r>
      <w:r>
        <w:rPr>
          <w:color w:val="231F20"/>
          <w:w w:val="105"/>
        </w:rPr>
        <w:t>los</w:t>
      </w:r>
      <w:r>
        <w:rPr>
          <w:color w:val="231F20"/>
          <w:spacing w:val="-9"/>
          <w:w w:val="105"/>
        </w:rPr>
        <w:t> </w:t>
      </w:r>
      <w:r>
        <w:rPr>
          <w:color w:val="231F20"/>
          <w:w w:val="105"/>
        </w:rPr>
        <w:t>gastos económicos</w:t>
      </w:r>
      <w:r>
        <w:rPr>
          <w:color w:val="231F20"/>
          <w:spacing w:val="-13"/>
          <w:w w:val="105"/>
        </w:rPr>
        <w:t> </w:t>
      </w:r>
      <w:r>
        <w:rPr>
          <w:color w:val="231F20"/>
          <w:w w:val="105"/>
        </w:rPr>
        <w:t>(pagó</w:t>
      </w:r>
      <w:r>
        <w:rPr>
          <w:color w:val="231F20"/>
          <w:spacing w:val="-13"/>
          <w:w w:val="105"/>
        </w:rPr>
        <w:t> </w:t>
      </w:r>
      <w:r>
        <w:rPr>
          <w:color w:val="231F20"/>
          <w:w w:val="105"/>
        </w:rPr>
        <w:t>al</w:t>
      </w:r>
      <w:r>
        <w:rPr>
          <w:color w:val="231F20"/>
          <w:spacing w:val="-13"/>
          <w:w w:val="105"/>
        </w:rPr>
        <w:t> </w:t>
      </w:r>
      <w:r>
        <w:rPr>
          <w:rFonts w:ascii="Arial" w:hAnsi="Arial"/>
          <w:i/>
          <w:color w:val="231F20"/>
          <w:w w:val="105"/>
        </w:rPr>
        <w:t>coyote</w:t>
      </w:r>
      <w:r>
        <w:rPr>
          <w:color w:val="231F20"/>
          <w:w w:val="105"/>
        </w:rPr>
        <w:t>);</w:t>
      </w:r>
      <w:r>
        <w:rPr>
          <w:color w:val="231F20"/>
          <w:spacing w:val="-13"/>
          <w:w w:val="105"/>
        </w:rPr>
        <w:t> </w:t>
      </w:r>
      <w:r>
        <w:rPr>
          <w:color w:val="231F20"/>
          <w:w w:val="105"/>
        </w:rPr>
        <w:t>además</w:t>
      </w:r>
      <w:r>
        <w:rPr>
          <w:color w:val="231F20"/>
          <w:spacing w:val="-13"/>
          <w:w w:val="105"/>
        </w:rPr>
        <w:t> </w:t>
      </w:r>
      <w:r>
        <w:rPr>
          <w:color w:val="231F20"/>
          <w:w w:val="105"/>
        </w:rPr>
        <w:t>no</w:t>
      </w:r>
      <w:r>
        <w:rPr>
          <w:color w:val="231F20"/>
          <w:spacing w:val="-13"/>
          <w:w w:val="105"/>
        </w:rPr>
        <w:t> </w:t>
      </w:r>
      <w:r>
        <w:rPr>
          <w:color w:val="231F20"/>
          <w:w w:val="105"/>
        </w:rPr>
        <w:t>se</w:t>
      </w:r>
      <w:r>
        <w:rPr>
          <w:color w:val="231F20"/>
          <w:spacing w:val="-13"/>
          <w:w w:val="105"/>
        </w:rPr>
        <w:t> </w:t>
      </w:r>
      <w:r>
        <w:rPr>
          <w:color w:val="231F20"/>
          <w:w w:val="105"/>
        </w:rPr>
        <w:t>iría</w:t>
      </w:r>
      <w:r>
        <w:rPr>
          <w:color w:val="231F20"/>
          <w:spacing w:val="-13"/>
          <w:w w:val="105"/>
        </w:rPr>
        <w:t> </w:t>
      </w:r>
      <w:r>
        <w:rPr>
          <w:color w:val="231F20"/>
          <w:w w:val="105"/>
        </w:rPr>
        <w:t>sola,</w:t>
      </w:r>
      <w:r>
        <w:rPr>
          <w:color w:val="231F20"/>
          <w:spacing w:val="-19"/>
          <w:w w:val="105"/>
        </w:rPr>
        <w:t> </w:t>
      </w:r>
      <w:r>
        <w:rPr>
          <w:color w:val="231F20"/>
          <w:w w:val="105"/>
        </w:rPr>
        <w:t>porque</w:t>
      </w:r>
      <w:r>
        <w:rPr>
          <w:color w:val="231F20"/>
          <w:spacing w:val="-13"/>
          <w:w w:val="105"/>
        </w:rPr>
        <w:t> </w:t>
      </w:r>
      <w:r>
        <w:rPr>
          <w:color w:val="231F20"/>
          <w:w w:val="105"/>
        </w:rPr>
        <w:t>saldría</w:t>
      </w:r>
      <w:r>
        <w:rPr>
          <w:color w:val="231F20"/>
          <w:spacing w:val="-13"/>
          <w:w w:val="105"/>
        </w:rPr>
        <w:t> </w:t>
      </w:r>
      <w:r>
        <w:rPr>
          <w:color w:val="231F20"/>
          <w:w w:val="105"/>
        </w:rPr>
        <w:t>con otro hermano y un</w:t>
      </w:r>
      <w:r>
        <w:rPr>
          <w:color w:val="231F20"/>
          <w:spacing w:val="-24"/>
          <w:w w:val="105"/>
        </w:rPr>
        <w:t> </w:t>
      </w:r>
      <w:r>
        <w:rPr>
          <w:color w:val="231F20"/>
          <w:w w:val="105"/>
        </w:rPr>
        <w:t>cuñado:</w:t>
      </w:r>
    </w:p>
    <w:p>
      <w:pPr>
        <w:pStyle w:val="BodyText"/>
        <w:spacing w:before="7"/>
        <w:rPr>
          <w:sz w:val="18"/>
        </w:rPr>
      </w:pPr>
    </w:p>
    <w:p>
      <w:pPr>
        <w:spacing w:line="254" w:lineRule="auto" w:before="0"/>
        <w:ind w:left="2971" w:right="1716" w:firstLine="0"/>
        <w:jc w:val="both"/>
        <w:rPr>
          <w:sz w:val="18"/>
        </w:rPr>
      </w:pPr>
      <w:r>
        <w:rPr>
          <w:color w:val="231F20"/>
          <w:w w:val="105"/>
          <w:sz w:val="18"/>
        </w:rPr>
        <w:t>El 8 de abril de 2000 a las 7:00 de la mañana me despedí de mis pa- dres, sin saber cuánto tiempo pasaría para volver a verlos de nuevo, atrás quedó la mayor parte de mi familia. Ese día salimos camino a</w:t>
      </w:r>
      <w:r>
        <w:rPr>
          <w:color w:val="231F20"/>
          <w:spacing w:val="-27"/>
          <w:w w:val="105"/>
          <w:sz w:val="18"/>
        </w:rPr>
        <w:t> </w:t>
      </w:r>
      <w:r>
        <w:rPr>
          <w:color w:val="231F20"/>
          <w:w w:val="105"/>
          <w:sz w:val="18"/>
        </w:rPr>
        <w:t>la frontera</w:t>
      </w:r>
      <w:r>
        <w:rPr>
          <w:color w:val="231F20"/>
          <w:spacing w:val="-9"/>
          <w:w w:val="105"/>
          <w:sz w:val="18"/>
        </w:rPr>
        <w:t> </w:t>
      </w:r>
      <w:r>
        <w:rPr>
          <w:color w:val="231F20"/>
          <w:w w:val="105"/>
          <w:sz w:val="18"/>
        </w:rPr>
        <w:t>con</w:t>
      </w:r>
      <w:r>
        <w:rPr>
          <w:color w:val="231F20"/>
          <w:spacing w:val="-8"/>
          <w:w w:val="105"/>
          <w:sz w:val="18"/>
        </w:rPr>
        <w:t> </w:t>
      </w:r>
      <w:r>
        <w:rPr>
          <w:color w:val="231F20"/>
          <w:w w:val="105"/>
          <w:sz w:val="18"/>
        </w:rPr>
        <w:t>mi</w:t>
      </w:r>
      <w:r>
        <w:rPr>
          <w:color w:val="231F20"/>
          <w:spacing w:val="-9"/>
          <w:w w:val="105"/>
          <w:sz w:val="18"/>
        </w:rPr>
        <w:t> </w:t>
      </w:r>
      <w:r>
        <w:rPr>
          <w:color w:val="231F20"/>
          <w:w w:val="105"/>
          <w:sz w:val="18"/>
        </w:rPr>
        <w:t>hermano</w:t>
      </w:r>
      <w:r>
        <w:rPr>
          <w:color w:val="231F20"/>
          <w:spacing w:val="-9"/>
          <w:w w:val="105"/>
          <w:sz w:val="18"/>
        </w:rPr>
        <w:t> </w:t>
      </w:r>
      <w:r>
        <w:rPr>
          <w:color w:val="231F20"/>
          <w:w w:val="105"/>
          <w:sz w:val="18"/>
        </w:rPr>
        <w:t>Mino,</w:t>
      </w:r>
      <w:r>
        <w:rPr>
          <w:color w:val="231F20"/>
          <w:spacing w:val="-13"/>
          <w:w w:val="105"/>
          <w:sz w:val="18"/>
        </w:rPr>
        <w:t> </w:t>
      </w:r>
      <w:r>
        <w:rPr>
          <w:color w:val="231F20"/>
          <w:w w:val="105"/>
          <w:sz w:val="18"/>
        </w:rPr>
        <w:t>mi</w:t>
      </w:r>
      <w:r>
        <w:rPr>
          <w:color w:val="231F20"/>
          <w:spacing w:val="-9"/>
          <w:w w:val="105"/>
          <w:sz w:val="18"/>
        </w:rPr>
        <w:t> </w:t>
      </w:r>
      <w:r>
        <w:rPr>
          <w:color w:val="231F20"/>
          <w:w w:val="105"/>
          <w:sz w:val="18"/>
        </w:rPr>
        <w:t>cuñado</w:t>
      </w:r>
      <w:r>
        <w:rPr>
          <w:color w:val="231F20"/>
          <w:spacing w:val="-8"/>
          <w:w w:val="105"/>
          <w:sz w:val="18"/>
        </w:rPr>
        <w:t> </w:t>
      </w:r>
      <w:r>
        <w:rPr>
          <w:color w:val="231F20"/>
          <w:w w:val="105"/>
          <w:sz w:val="18"/>
        </w:rPr>
        <w:t>y</w:t>
      </w:r>
      <w:r>
        <w:rPr>
          <w:color w:val="231F20"/>
          <w:spacing w:val="-8"/>
          <w:w w:val="105"/>
          <w:sz w:val="18"/>
        </w:rPr>
        <w:t> </w:t>
      </w:r>
      <w:r>
        <w:rPr>
          <w:color w:val="231F20"/>
          <w:w w:val="105"/>
          <w:sz w:val="18"/>
        </w:rPr>
        <w:t>otros</w:t>
      </w:r>
      <w:r>
        <w:rPr>
          <w:color w:val="231F20"/>
          <w:spacing w:val="-8"/>
          <w:w w:val="105"/>
          <w:sz w:val="18"/>
        </w:rPr>
        <w:t> </w:t>
      </w:r>
      <w:r>
        <w:rPr>
          <w:color w:val="231F20"/>
          <w:w w:val="105"/>
          <w:sz w:val="18"/>
        </w:rPr>
        <w:t>conocidos.</w:t>
      </w:r>
      <w:r>
        <w:rPr>
          <w:color w:val="231F20"/>
          <w:spacing w:val="-17"/>
          <w:w w:val="105"/>
          <w:sz w:val="18"/>
        </w:rPr>
        <w:t> </w:t>
      </w:r>
      <w:r>
        <w:rPr>
          <w:color w:val="231F20"/>
          <w:spacing w:val="-9"/>
          <w:w w:val="105"/>
          <w:sz w:val="18"/>
        </w:rPr>
        <w:t>Yo </w:t>
      </w:r>
      <w:r>
        <w:rPr>
          <w:color w:val="231F20"/>
          <w:w w:val="105"/>
          <w:sz w:val="18"/>
        </w:rPr>
        <w:t>jamás pensé</w:t>
      </w:r>
      <w:r>
        <w:rPr>
          <w:color w:val="231F20"/>
          <w:spacing w:val="-15"/>
          <w:w w:val="105"/>
          <w:sz w:val="18"/>
        </w:rPr>
        <w:t> </w:t>
      </w:r>
      <w:r>
        <w:rPr>
          <w:color w:val="231F20"/>
          <w:w w:val="105"/>
          <w:sz w:val="18"/>
        </w:rPr>
        <w:t>que</w:t>
      </w:r>
      <w:r>
        <w:rPr>
          <w:color w:val="231F20"/>
          <w:spacing w:val="-15"/>
          <w:w w:val="105"/>
          <w:sz w:val="18"/>
        </w:rPr>
        <w:t> </w:t>
      </w:r>
      <w:r>
        <w:rPr>
          <w:color w:val="231F20"/>
          <w:w w:val="105"/>
          <w:sz w:val="18"/>
        </w:rPr>
        <w:t>podría</w:t>
      </w:r>
      <w:r>
        <w:rPr>
          <w:color w:val="231F20"/>
          <w:spacing w:val="-15"/>
          <w:w w:val="105"/>
          <w:sz w:val="18"/>
        </w:rPr>
        <w:t> </w:t>
      </w:r>
      <w:r>
        <w:rPr>
          <w:color w:val="231F20"/>
          <w:w w:val="105"/>
          <w:sz w:val="18"/>
        </w:rPr>
        <w:t>cruzar</w:t>
      </w:r>
      <w:r>
        <w:rPr>
          <w:color w:val="231F20"/>
          <w:spacing w:val="-15"/>
          <w:w w:val="105"/>
          <w:sz w:val="18"/>
        </w:rPr>
        <w:t> </w:t>
      </w:r>
      <w:r>
        <w:rPr>
          <w:color w:val="231F20"/>
          <w:w w:val="105"/>
          <w:sz w:val="18"/>
        </w:rPr>
        <w:t>a</w:t>
      </w:r>
      <w:r>
        <w:rPr>
          <w:color w:val="231F20"/>
          <w:spacing w:val="-15"/>
          <w:w w:val="105"/>
          <w:sz w:val="18"/>
        </w:rPr>
        <w:t> </w:t>
      </w:r>
      <w:r>
        <w:rPr>
          <w:color w:val="231F20"/>
          <w:w w:val="105"/>
          <w:sz w:val="18"/>
        </w:rPr>
        <w:t>los</w:t>
      </w:r>
      <w:r>
        <w:rPr>
          <w:color w:val="231F20"/>
          <w:spacing w:val="-15"/>
          <w:w w:val="105"/>
          <w:sz w:val="18"/>
        </w:rPr>
        <w:t> </w:t>
      </w:r>
      <w:r>
        <w:rPr>
          <w:color w:val="231F20"/>
          <w:w w:val="105"/>
          <w:sz w:val="18"/>
        </w:rPr>
        <w:t>Estados</w:t>
      </w:r>
      <w:r>
        <w:rPr>
          <w:color w:val="231F20"/>
          <w:spacing w:val="-15"/>
          <w:w w:val="105"/>
          <w:sz w:val="18"/>
        </w:rPr>
        <w:t> </w:t>
      </w:r>
      <w:r>
        <w:rPr>
          <w:color w:val="231F20"/>
          <w:w w:val="105"/>
          <w:sz w:val="18"/>
        </w:rPr>
        <w:t>Unidos,</w:t>
      </w:r>
      <w:r>
        <w:rPr>
          <w:color w:val="231F20"/>
          <w:spacing w:val="-19"/>
          <w:w w:val="105"/>
          <w:sz w:val="18"/>
        </w:rPr>
        <w:t> </w:t>
      </w:r>
      <w:r>
        <w:rPr>
          <w:color w:val="231F20"/>
          <w:w w:val="105"/>
          <w:sz w:val="18"/>
        </w:rPr>
        <w:t>pero</w:t>
      </w:r>
      <w:r>
        <w:rPr>
          <w:color w:val="231F20"/>
          <w:spacing w:val="-15"/>
          <w:w w:val="105"/>
          <w:sz w:val="18"/>
        </w:rPr>
        <w:t> </w:t>
      </w:r>
      <w:r>
        <w:rPr>
          <w:color w:val="231F20"/>
          <w:w w:val="105"/>
          <w:sz w:val="18"/>
        </w:rPr>
        <w:t>por</w:t>
      </w:r>
      <w:r>
        <w:rPr>
          <w:color w:val="231F20"/>
          <w:spacing w:val="-15"/>
          <w:w w:val="105"/>
          <w:sz w:val="18"/>
        </w:rPr>
        <w:t> </w:t>
      </w:r>
      <w:r>
        <w:rPr>
          <w:color w:val="231F20"/>
          <w:w w:val="105"/>
          <w:sz w:val="18"/>
        </w:rPr>
        <w:t>alguna</w:t>
      </w:r>
      <w:r>
        <w:rPr>
          <w:color w:val="231F20"/>
          <w:spacing w:val="-15"/>
          <w:w w:val="105"/>
          <w:sz w:val="18"/>
        </w:rPr>
        <w:t> </w:t>
      </w:r>
      <w:r>
        <w:rPr>
          <w:color w:val="231F20"/>
          <w:w w:val="105"/>
          <w:sz w:val="18"/>
        </w:rPr>
        <w:t>razón</w:t>
      </w:r>
      <w:r>
        <w:rPr>
          <w:color w:val="231F20"/>
          <w:spacing w:val="-15"/>
          <w:w w:val="105"/>
          <w:sz w:val="18"/>
        </w:rPr>
        <w:t> </w:t>
      </w:r>
      <w:r>
        <w:rPr>
          <w:color w:val="231F20"/>
          <w:w w:val="105"/>
          <w:sz w:val="18"/>
        </w:rPr>
        <w:t>o el</w:t>
      </w:r>
      <w:r>
        <w:rPr>
          <w:color w:val="231F20"/>
          <w:spacing w:val="-16"/>
          <w:w w:val="105"/>
          <w:sz w:val="18"/>
        </w:rPr>
        <w:t> </w:t>
      </w:r>
      <w:r>
        <w:rPr>
          <w:color w:val="231F20"/>
          <w:w w:val="105"/>
          <w:sz w:val="18"/>
        </w:rPr>
        <w:t>destino</w:t>
      </w:r>
      <w:r>
        <w:rPr>
          <w:color w:val="231F20"/>
          <w:spacing w:val="-16"/>
          <w:w w:val="105"/>
          <w:sz w:val="18"/>
        </w:rPr>
        <w:t> </w:t>
      </w:r>
      <w:r>
        <w:rPr>
          <w:color w:val="231F20"/>
          <w:w w:val="105"/>
          <w:sz w:val="18"/>
        </w:rPr>
        <w:t>así</w:t>
      </w:r>
      <w:r>
        <w:rPr>
          <w:color w:val="231F20"/>
          <w:spacing w:val="-16"/>
          <w:w w:val="105"/>
          <w:sz w:val="18"/>
        </w:rPr>
        <w:t> </w:t>
      </w:r>
      <w:r>
        <w:rPr>
          <w:color w:val="231F20"/>
          <w:w w:val="105"/>
          <w:sz w:val="18"/>
        </w:rPr>
        <w:t>fue,</w:t>
      </w:r>
      <w:r>
        <w:rPr>
          <w:color w:val="231F20"/>
          <w:spacing w:val="-20"/>
          <w:w w:val="105"/>
          <w:sz w:val="18"/>
        </w:rPr>
        <w:t> </w:t>
      </w:r>
      <w:r>
        <w:rPr>
          <w:color w:val="231F20"/>
          <w:w w:val="105"/>
          <w:sz w:val="18"/>
        </w:rPr>
        <w:t>y</w:t>
      </w:r>
      <w:r>
        <w:rPr>
          <w:color w:val="231F20"/>
          <w:spacing w:val="-16"/>
          <w:w w:val="105"/>
          <w:sz w:val="18"/>
        </w:rPr>
        <w:t> </w:t>
      </w:r>
      <w:r>
        <w:rPr>
          <w:color w:val="231F20"/>
          <w:w w:val="105"/>
          <w:sz w:val="18"/>
        </w:rPr>
        <w:t>empezamos</w:t>
      </w:r>
      <w:r>
        <w:rPr>
          <w:color w:val="231F20"/>
          <w:spacing w:val="-16"/>
          <w:w w:val="105"/>
          <w:sz w:val="18"/>
        </w:rPr>
        <w:t> </w:t>
      </w:r>
      <w:r>
        <w:rPr>
          <w:color w:val="231F20"/>
          <w:w w:val="105"/>
          <w:sz w:val="18"/>
        </w:rPr>
        <w:t>alejarnos</w:t>
      </w:r>
      <w:r>
        <w:rPr>
          <w:color w:val="231F20"/>
          <w:spacing w:val="-16"/>
          <w:w w:val="105"/>
          <w:sz w:val="18"/>
        </w:rPr>
        <w:t> </w:t>
      </w:r>
      <w:r>
        <w:rPr>
          <w:color w:val="231F20"/>
          <w:w w:val="105"/>
          <w:sz w:val="18"/>
        </w:rPr>
        <w:t>y</w:t>
      </w:r>
      <w:r>
        <w:rPr>
          <w:color w:val="231F20"/>
          <w:spacing w:val="-16"/>
          <w:w w:val="105"/>
          <w:sz w:val="18"/>
        </w:rPr>
        <w:t> </w:t>
      </w:r>
      <w:r>
        <w:rPr>
          <w:color w:val="231F20"/>
          <w:w w:val="105"/>
          <w:sz w:val="18"/>
        </w:rPr>
        <w:t>alejarnos</w:t>
      </w:r>
      <w:r>
        <w:rPr>
          <w:color w:val="231F20"/>
          <w:spacing w:val="-16"/>
          <w:w w:val="105"/>
          <w:sz w:val="18"/>
        </w:rPr>
        <w:t> </w:t>
      </w:r>
      <w:r>
        <w:rPr>
          <w:color w:val="231F20"/>
          <w:w w:val="105"/>
          <w:sz w:val="18"/>
        </w:rPr>
        <w:t>y</w:t>
      </w:r>
      <w:r>
        <w:rPr>
          <w:color w:val="231F20"/>
          <w:spacing w:val="-16"/>
          <w:w w:val="105"/>
          <w:sz w:val="18"/>
        </w:rPr>
        <w:t> </w:t>
      </w:r>
      <w:r>
        <w:rPr>
          <w:color w:val="231F20"/>
          <w:w w:val="105"/>
          <w:sz w:val="18"/>
        </w:rPr>
        <w:t>entre</w:t>
      </w:r>
      <w:r>
        <w:rPr>
          <w:color w:val="231F20"/>
          <w:spacing w:val="-16"/>
          <w:w w:val="105"/>
          <w:sz w:val="18"/>
        </w:rPr>
        <w:t> </w:t>
      </w:r>
      <w:r>
        <w:rPr>
          <w:color w:val="231F20"/>
          <w:w w:val="105"/>
          <w:sz w:val="18"/>
        </w:rPr>
        <w:t>más</w:t>
      </w:r>
      <w:r>
        <w:rPr>
          <w:color w:val="231F20"/>
          <w:spacing w:val="-16"/>
          <w:w w:val="105"/>
          <w:sz w:val="18"/>
        </w:rPr>
        <w:t> </w:t>
      </w:r>
      <w:r>
        <w:rPr>
          <w:color w:val="231F20"/>
          <w:w w:val="105"/>
          <w:sz w:val="18"/>
        </w:rPr>
        <w:t>triste me</w:t>
      </w:r>
      <w:r>
        <w:rPr>
          <w:color w:val="231F20"/>
          <w:spacing w:val="-11"/>
          <w:w w:val="105"/>
          <w:sz w:val="18"/>
        </w:rPr>
        <w:t> </w:t>
      </w:r>
      <w:r>
        <w:rPr>
          <w:color w:val="231F20"/>
          <w:w w:val="105"/>
          <w:sz w:val="18"/>
        </w:rPr>
        <w:t>ponía,</w:t>
      </w:r>
      <w:r>
        <w:rPr>
          <w:color w:val="231F20"/>
          <w:spacing w:val="-16"/>
          <w:w w:val="105"/>
          <w:sz w:val="18"/>
        </w:rPr>
        <w:t> </w:t>
      </w:r>
      <w:r>
        <w:rPr>
          <w:color w:val="231F20"/>
          <w:w w:val="105"/>
          <w:sz w:val="18"/>
        </w:rPr>
        <w:t>pero</w:t>
      </w:r>
      <w:r>
        <w:rPr>
          <w:color w:val="231F20"/>
          <w:spacing w:val="-11"/>
          <w:w w:val="105"/>
          <w:sz w:val="18"/>
        </w:rPr>
        <w:t> </w:t>
      </w:r>
      <w:r>
        <w:rPr>
          <w:color w:val="231F20"/>
          <w:w w:val="105"/>
          <w:sz w:val="18"/>
        </w:rPr>
        <w:t>a</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vez</w:t>
      </w:r>
      <w:r>
        <w:rPr>
          <w:color w:val="231F20"/>
          <w:spacing w:val="-11"/>
          <w:w w:val="105"/>
          <w:sz w:val="18"/>
        </w:rPr>
        <w:t> </w:t>
      </w:r>
      <w:r>
        <w:rPr>
          <w:color w:val="231F20"/>
          <w:w w:val="105"/>
          <w:sz w:val="18"/>
        </w:rPr>
        <w:t>me</w:t>
      </w:r>
      <w:r>
        <w:rPr>
          <w:color w:val="231F20"/>
          <w:spacing w:val="-11"/>
          <w:w w:val="105"/>
          <w:sz w:val="18"/>
        </w:rPr>
        <w:t> </w:t>
      </w:r>
      <w:r>
        <w:rPr>
          <w:color w:val="231F20"/>
          <w:w w:val="105"/>
          <w:sz w:val="18"/>
        </w:rPr>
        <w:t>sentía</w:t>
      </w:r>
      <w:r>
        <w:rPr>
          <w:color w:val="231F20"/>
          <w:spacing w:val="-11"/>
          <w:w w:val="105"/>
          <w:sz w:val="18"/>
        </w:rPr>
        <w:t> </w:t>
      </w:r>
      <w:r>
        <w:rPr>
          <w:color w:val="231F20"/>
          <w:w w:val="105"/>
          <w:sz w:val="18"/>
        </w:rPr>
        <w:t>feliz</w:t>
      </w:r>
      <w:r>
        <w:rPr>
          <w:color w:val="231F20"/>
          <w:spacing w:val="-11"/>
          <w:w w:val="105"/>
          <w:sz w:val="18"/>
        </w:rPr>
        <w:t> </w:t>
      </w:r>
      <w:r>
        <w:rPr>
          <w:color w:val="231F20"/>
          <w:w w:val="105"/>
          <w:sz w:val="18"/>
        </w:rPr>
        <w:t>porque</w:t>
      </w:r>
      <w:r>
        <w:rPr>
          <w:color w:val="231F20"/>
          <w:spacing w:val="-11"/>
          <w:w w:val="105"/>
          <w:sz w:val="18"/>
        </w:rPr>
        <w:t> </w:t>
      </w:r>
      <w:r>
        <w:rPr>
          <w:color w:val="231F20"/>
          <w:w w:val="105"/>
          <w:sz w:val="18"/>
        </w:rPr>
        <w:t>conocería</w:t>
      </w:r>
      <w:r>
        <w:rPr>
          <w:color w:val="231F20"/>
          <w:spacing w:val="-11"/>
          <w:w w:val="105"/>
          <w:sz w:val="18"/>
        </w:rPr>
        <w:t> </w:t>
      </w:r>
      <w:r>
        <w:rPr>
          <w:color w:val="231F20"/>
          <w:w w:val="105"/>
          <w:sz w:val="18"/>
        </w:rPr>
        <w:t>otros</w:t>
      </w:r>
      <w:r>
        <w:rPr>
          <w:color w:val="231F20"/>
          <w:spacing w:val="-11"/>
          <w:w w:val="105"/>
          <w:sz w:val="18"/>
        </w:rPr>
        <w:t> </w:t>
      </w:r>
      <w:r>
        <w:rPr>
          <w:color w:val="231F20"/>
          <w:w w:val="105"/>
          <w:sz w:val="18"/>
        </w:rPr>
        <w:t>lugares, pasaron</w:t>
      </w:r>
      <w:r>
        <w:rPr>
          <w:color w:val="231F20"/>
          <w:spacing w:val="-22"/>
          <w:w w:val="105"/>
          <w:sz w:val="18"/>
        </w:rPr>
        <w:t> </w:t>
      </w:r>
      <w:r>
        <w:rPr>
          <w:color w:val="231F20"/>
          <w:w w:val="105"/>
          <w:sz w:val="18"/>
        </w:rPr>
        <w:t>muchas</w:t>
      </w:r>
      <w:r>
        <w:rPr>
          <w:color w:val="231F20"/>
          <w:spacing w:val="-22"/>
          <w:w w:val="105"/>
          <w:sz w:val="18"/>
        </w:rPr>
        <w:t> </w:t>
      </w:r>
      <w:r>
        <w:rPr>
          <w:color w:val="231F20"/>
          <w:w w:val="105"/>
          <w:sz w:val="18"/>
        </w:rPr>
        <w:t>horas</w:t>
      </w:r>
      <w:r>
        <w:rPr>
          <w:color w:val="231F20"/>
          <w:spacing w:val="-22"/>
          <w:w w:val="105"/>
          <w:sz w:val="18"/>
        </w:rPr>
        <w:t> </w:t>
      </w:r>
      <w:r>
        <w:rPr>
          <w:color w:val="231F20"/>
          <w:w w:val="105"/>
          <w:sz w:val="18"/>
        </w:rPr>
        <w:t>cuando</w:t>
      </w:r>
      <w:r>
        <w:rPr>
          <w:color w:val="231F20"/>
          <w:spacing w:val="-22"/>
          <w:w w:val="105"/>
          <w:sz w:val="18"/>
        </w:rPr>
        <w:t> </w:t>
      </w:r>
      <w:r>
        <w:rPr>
          <w:color w:val="231F20"/>
          <w:w w:val="105"/>
          <w:sz w:val="18"/>
        </w:rPr>
        <w:t>llegamos</w:t>
      </w:r>
      <w:r>
        <w:rPr>
          <w:color w:val="231F20"/>
          <w:spacing w:val="-22"/>
          <w:w w:val="105"/>
          <w:sz w:val="18"/>
        </w:rPr>
        <w:t> </w:t>
      </w:r>
      <w:r>
        <w:rPr>
          <w:color w:val="231F20"/>
          <w:w w:val="105"/>
          <w:sz w:val="18"/>
        </w:rPr>
        <w:t>a</w:t>
      </w:r>
      <w:r>
        <w:rPr>
          <w:color w:val="231F20"/>
          <w:spacing w:val="-22"/>
          <w:w w:val="105"/>
          <w:sz w:val="18"/>
        </w:rPr>
        <w:t> </w:t>
      </w:r>
      <w:r>
        <w:rPr>
          <w:color w:val="231F20"/>
          <w:w w:val="105"/>
          <w:sz w:val="18"/>
        </w:rPr>
        <w:t>Piedras</w:t>
      </w:r>
      <w:r>
        <w:rPr>
          <w:color w:val="231F20"/>
          <w:spacing w:val="-22"/>
          <w:w w:val="105"/>
          <w:sz w:val="18"/>
        </w:rPr>
        <w:t> </w:t>
      </w:r>
      <w:r>
        <w:rPr>
          <w:color w:val="231F20"/>
          <w:w w:val="105"/>
          <w:sz w:val="18"/>
        </w:rPr>
        <w:t>Negras,</w:t>
      </w:r>
      <w:r>
        <w:rPr>
          <w:color w:val="231F20"/>
          <w:spacing w:val="-26"/>
          <w:w w:val="105"/>
          <w:sz w:val="18"/>
        </w:rPr>
        <w:t> </w:t>
      </w:r>
      <w:r>
        <w:rPr>
          <w:color w:val="231F20"/>
          <w:w w:val="105"/>
          <w:sz w:val="18"/>
        </w:rPr>
        <w:t>para</w:t>
      </w:r>
      <w:r>
        <w:rPr>
          <w:color w:val="231F20"/>
          <w:spacing w:val="-22"/>
          <w:w w:val="105"/>
          <w:sz w:val="18"/>
        </w:rPr>
        <w:t> </w:t>
      </w:r>
      <w:r>
        <w:rPr>
          <w:color w:val="231F20"/>
          <w:w w:val="105"/>
          <w:sz w:val="18"/>
        </w:rPr>
        <w:t>reunir- nos con la persona que nos cruzaría y ahí si empezó el miedo</w:t>
      </w:r>
      <w:r>
        <w:rPr>
          <w:color w:val="231F20"/>
          <w:spacing w:val="-24"/>
          <w:w w:val="105"/>
          <w:sz w:val="18"/>
        </w:rPr>
        <w:t> </w:t>
      </w:r>
      <w:r>
        <w:rPr>
          <w:color w:val="231F20"/>
          <w:w w:val="105"/>
          <w:sz w:val="18"/>
        </w:rPr>
        <w:t>porque empezamos</w:t>
      </w:r>
      <w:r>
        <w:rPr>
          <w:color w:val="231F20"/>
          <w:spacing w:val="-4"/>
          <w:w w:val="105"/>
          <w:sz w:val="18"/>
        </w:rPr>
        <w:t> </w:t>
      </w:r>
      <w:r>
        <w:rPr>
          <w:color w:val="231F20"/>
          <w:w w:val="105"/>
          <w:sz w:val="18"/>
        </w:rPr>
        <w:t>a</w:t>
      </w:r>
      <w:r>
        <w:rPr>
          <w:color w:val="231F20"/>
          <w:spacing w:val="-4"/>
          <w:w w:val="105"/>
          <w:sz w:val="18"/>
        </w:rPr>
        <w:t> </w:t>
      </w:r>
      <w:r>
        <w:rPr>
          <w:color w:val="231F20"/>
          <w:w w:val="105"/>
          <w:sz w:val="18"/>
        </w:rPr>
        <w:t>escondernos</w:t>
      </w:r>
      <w:r>
        <w:rPr>
          <w:color w:val="231F20"/>
          <w:spacing w:val="-4"/>
          <w:w w:val="105"/>
          <w:sz w:val="18"/>
        </w:rPr>
        <w:t> </w:t>
      </w:r>
      <w:r>
        <w:rPr>
          <w:color w:val="231F20"/>
          <w:w w:val="105"/>
          <w:sz w:val="18"/>
        </w:rPr>
        <w:t>en</w:t>
      </w:r>
      <w:r>
        <w:rPr>
          <w:color w:val="231F20"/>
          <w:spacing w:val="-4"/>
          <w:w w:val="105"/>
          <w:sz w:val="18"/>
        </w:rPr>
        <w:t> </w:t>
      </w:r>
      <w:r>
        <w:rPr>
          <w:color w:val="231F20"/>
          <w:w w:val="105"/>
          <w:sz w:val="18"/>
        </w:rPr>
        <w:t>la</w:t>
      </w:r>
      <w:r>
        <w:rPr>
          <w:color w:val="231F20"/>
          <w:spacing w:val="-4"/>
          <w:w w:val="105"/>
          <w:sz w:val="18"/>
        </w:rPr>
        <w:t> </w:t>
      </w:r>
      <w:r>
        <w:rPr>
          <w:color w:val="231F20"/>
          <w:w w:val="105"/>
          <w:sz w:val="18"/>
        </w:rPr>
        <w:t>noche</w:t>
      </w:r>
      <w:r>
        <w:rPr>
          <w:color w:val="231F20"/>
          <w:spacing w:val="-4"/>
          <w:w w:val="105"/>
          <w:sz w:val="18"/>
        </w:rPr>
        <w:t> </w:t>
      </w:r>
      <w:r>
        <w:rPr>
          <w:color w:val="231F20"/>
          <w:w w:val="105"/>
          <w:sz w:val="18"/>
        </w:rPr>
        <w:t>debajo</w:t>
      </w:r>
      <w:r>
        <w:rPr>
          <w:color w:val="231F20"/>
          <w:spacing w:val="-4"/>
          <w:w w:val="105"/>
          <w:sz w:val="18"/>
        </w:rPr>
        <w:t> </w:t>
      </w:r>
      <w:r>
        <w:rPr>
          <w:color w:val="231F20"/>
          <w:w w:val="105"/>
          <w:sz w:val="18"/>
        </w:rPr>
        <w:t>de</w:t>
      </w:r>
      <w:r>
        <w:rPr>
          <w:color w:val="231F20"/>
          <w:spacing w:val="-4"/>
          <w:w w:val="105"/>
          <w:sz w:val="18"/>
        </w:rPr>
        <w:t> </w:t>
      </w:r>
      <w:r>
        <w:rPr>
          <w:color w:val="231F20"/>
          <w:w w:val="105"/>
          <w:sz w:val="18"/>
        </w:rPr>
        <w:t>los</w:t>
      </w:r>
      <w:r>
        <w:rPr>
          <w:color w:val="231F20"/>
          <w:spacing w:val="-4"/>
          <w:w w:val="105"/>
          <w:sz w:val="18"/>
        </w:rPr>
        <w:t> </w:t>
      </w:r>
      <w:r>
        <w:rPr>
          <w:color w:val="231F20"/>
          <w:w w:val="105"/>
          <w:sz w:val="18"/>
        </w:rPr>
        <w:t>árboles</w:t>
      </w:r>
      <w:r>
        <w:rPr>
          <w:color w:val="231F20"/>
          <w:spacing w:val="-4"/>
          <w:w w:val="105"/>
          <w:sz w:val="18"/>
        </w:rPr>
        <w:t> </w:t>
      </w:r>
      <w:r>
        <w:rPr>
          <w:color w:val="231F20"/>
          <w:w w:val="105"/>
          <w:sz w:val="18"/>
        </w:rPr>
        <w:t>y</w:t>
      </w:r>
      <w:r>
        <w:rPr>
          <w:color w:val="231F20"/>
          <w:spacing w:val="-4"/>
          <w:w w:val="105"/>
          <w:sz w:val="18"/>
        </w:rPr>
        <w:t> </w:t>
      </w:r>
      <w:r>
        <w:rPr>
          <w:color w:val="231F20"/>
          <w:w w:val="105"/>
          <w:sz w:val="18"/>
        </w:rPr>
        <w:t>entre los</w:t>
      </w:r>
      <w:r>
        <w:rPr>
          <w:color w:val="231F20"/>
          <w:spacing w:val="-21"/>
          <w:w w:val="105"/>
          <w:sz w:val="18"/>
        </w:rPr>
        <w:t> </w:t>
      </w:r>
      <w:r>
        <w:rPr>
          <w:color w:val="231F20"/>
          <w:w w:val="105"/>
          <w:sz w:val="18"/>
        </w:rPr>
        <w:t>“matones”</w:t>
      </w:r>
      <w:r>
        <w:rPr>
          <w:color w:val="231F20"/>
          <w:spacing w:val="-21"/>
          <w:w w:val="105"/>
          <w:sz w:val="18"/>
        </w:rPr>
        <w:t> </w:t>
      </w:r>
      <w:r>
        <w:rPr>
          <w:color w:val="231F20"/>
          <w:w w:val="105"/>
          <w:sz w:val="18"/>
        </w:rPr>
        <w:t>y</w:t>
      </w:r>
      <w:r>
        <w:rPr>
          <w:color w:val="231F20"/>
          <w:spacing w:val="-21"/>
          <w:w w:val="105"/>
          <w:sz w:val="18"/>
        </w:rPr>
        <w:t> </w:t>
      </w:r>
      <w:r>
        <w:rPr>
          <w:color w:val="231F20"/>
          <w:w w:val="105"/>
          <w:sz w:val="18"/>
        </w:rPr>
        <w:t>sólo</w:t>
      </w:r>
      <w:r>
        <w:rPr>
          <w:color w:val="231F20"/>
          <w:spacing w:val="-21"/>
          <w:w w:val="105"/>
          <w:sz w:val="18"/>
        </w:rPr>
        <w:t> </w:t>
      </w:r>
      <w:r>
        <w:rPr>
          <w:color w:val="231F20"/>
          <w:w w:val="105"/>
          <w:sz w:val="18"/>
        </w:rPr>
        <w:t>escuchar</w:t>
      </w:r>
      <w:r>
        <w:rPr>
          <w:color w:val="231F20"/>
          <w:spacing w:val="-21"/>
          <w:w w:val="105"/>
          <w:sz w:val="18"/>
        </w:rPr>
        <w:t> </w:t>
      </w:r>
      <w:r>
        <w:rPr>
          <w:color w:val="231F20"/>
          <w:w w:val="105"/>
          <w:sz w:val="18"/>
        </w:rPr>
        <w:t>lo</w:t>
      </w:r>
      <w:r>
        <w:rPr>
          <w:color w:val="231F20"/>
          <w:spacing w:val="-21"/>
          <w:w w:val="105"/>
          <w:sz w:val="18"/>
        </w:rPr>
        <w:t> </w:t>
      </w:r>
      <w:r>
        <w:rPr>
          <w:color w:val="231F20"/>
          <w:w w:val="105"/>
          <w:sz w:val="18"/>
        </w:rPr>
        <w:t>que</w:t>
      </w:r>
      <w:r>
        <w:rPr>
          <w:color w:val="231F20"/>
          <w:spacing w:val="-21"/>
          <w:w w:val="105"/>
          <w:sz w:val="18"/>
        </w:rPr>
        <w:t> </w:t>
      </w:r>
      <w:r>
        <w:rPr>
          <w:color w:val="231F20"/>
          <w:w w:val="105"/>
          <w:sz w:val="18"/>
        </w:rPr>
        <w:t>nos</w:t>
      </w:r>
      <w:r>
        <w:rPr>
          <w:color w:val="231F20"/>
          <w:spacing w:val="-21"/>
          <w:w w:val="105"/>
          <w:sz w:val="18"/>
        </w:rPr>
        <w:t> </w:t>
      </w:r>
      <w:r>
        <w:rPr>
          <w:color w:val="231F20"/>
          <w:w w:val="105"/>
          <w:sz w:val="18"/>
        </w:rPr>
        <w:t>decían</w:t>
      </w:r>
      <w:r>
        <w:rPr>
          <w:color w:val="231F20"/>
          <w:spacing w:val="-21"/>
          <w:w w:val="105"/>
          <w:sz w:val="18"/>
        </w:rPr>
        <w:t> </w:t>
      </w:r>
      <w:r>
        <w:rPr>
          <w:color w:val="231F20"/>
          <w:w w:val="105"/>
          <w:sz w:val="18"/>
        </w:rPr>
        <w:t>que</w:t>
      </w:r>
      <w:r>
        <w:rPr>
          <w:color w:val="231F20"/>
          <w:spacing w:val="-21"/>
          <w:w w:val="105"/>
          <w:sz w:val="18"/>
        </w:rPr>
        <w:t> </w:t>
      </w:r>
      <w:r>
        <w:rPr>
          <w:color w:val="231F20"/>
          <w:w w:val="105"/>
          <w:sz w:val="18"/>
        </w:rPr>
        <w:t>hiciéramos,</w:t>
      </w:r>
      <w:r>
        <w:rPr>
          <w:color w:val="231F20"/>
          <w:spacing w:val="-25"/>
          <w:w w:val="105"/>
          <w:sz w:val="18"/>
        </w:rPr>
        <w:t> </w:t>
      </w:r>
      <w:r>
        <w:rPr>
          <w:color w:val="231F20"/>
          <w:w w:val="105"/>
          <w:sz w:val="18"/>
        </w:rPr>
        <w:t>con</w:t>
      </w:r>
      <w:r>
        <w:rPr>
          <w:color w:val="231F20"/>
          <w:spacing w:val="-21"/>
          <w:w w:val="105"/>
          <w:sz w:val="18"/>
        </w:rPr>
        <w:t> </w:t>
      </w:r>
      <w:r>
        <w:rPr>
          <w:color w:val="231F20"/>
          <w:w w:val="105"/>
          <w:sz w:val="18"/>
        </w:rPr>
        <w:t>un miedo</w:t>
      </w:r>
      <w:r>
        <w:rPr>
          <w:color w:val="231F20"/>
          <w:spacing w:val="-13"/>
          <w:w w:val="105"/>
          <w:sz w:val="18"/>
        </w:rPr>
        <w:t> </w:t>
      </w:r>
      <w:r>
        <w:rPr>
          <w:color w:val="231F20"/>
          <w:w w:val="105"/>
          <w:sz w:val="18"/>
        </w:rPr>
        <w:t>terrible</w:t>
      </w:r>
      <w:r>
        <w:rPr>
          <w:color w:val="231F20"/>
          <w:spacing w:val="-13"/>
          <w:w w:val="105"/>
          <w:sz w:val="18"/>
        </w:rPr>
        <w:t> </w:t>
      </w:r>
      <w:r>
        <w:rPr>
          <w:color w:val="231F20"/>
          <w:w w:val="105"/>
          <w:sz w:val="18"/>
        </w:rPr>
        <w:t>(Mónica,</w:t>
      </w:r>
      <w:r>
        <w:rPr>
          <w:color w:val="231F20"/>
          <w:spacing w:val="-18"/>
          <w:w w:val="105"/>
          <w:sz w:val="18"/>
        </w:rPr>
        <w:t> </w:t>
      </w:r>
      <w:r>
        <w:rPr>
          <w:color w:val="231F20"/>
          <w:w w:val="105"/>
          <w:sz w:val="18"/>
        </w:rPr>
        <w:t>31</w:t>
      </w:r>
      <w:r>
        <w:rPr>
          <w:color w:val="231F20"/>
          <w:spacing w:val="-13"/>
          <w:w w:val="105"/>
          <w:sz w:val="18"/>
        </w:rPr>
        <w:t> </w:t>
      </w:r>
      <w:r>
        <w:rPr>
          <w:color w:val="231F20"/>
          <w:w w:val="105"/>
          <w:sz w:val="18"/>
        </w:rPr>
        <w:t>años,</w:t>
      </w:r>
      <w:r>
        <w:rPr>
          <w:color w:val="231F20"/>
          <w:spacing w:val="-18"/>
          <w:w w:val="105"/>
          <w:sz w:val="18"/>
        </w:rPr>
        <w:t> </w:t>
      </w:r>
      <w:r>
        <w:rPr>
          <w:color w:val="231F20"/>
          <w:w w:val="105"/>
          <w:sz w:val="18"/>
        </w:rPr>
        <w:t>entrevista</w:t>
      </w:r>
      <w:r>
        <w:rPr>
          <w:color w:val="231F20"/>
          <w:spacing w:val="-13"/>
          <w:w w:val="105"/>
          <w:sz w:val="18"/>
        </w:rPr>
        <w:t> </w:t>
      </w:r>
      <w:r>
        <w:rPr>
          <w:color w:val="231F20"/>
          <w:w w:val="105"/>
          <w:sz w:val="18"/>
        </w:rPr>
        <w:t>18</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mayo</w:t>
      </w:r>
      <w:r>
        <w:rPr>
          <w:color w:val="231F20"/>
          <w:spacing w:val="-13"/>
          <w:w w:val="105"/>
          <w:sz w:val="18"/>
        </w:rPr>
        <w:t> </w:t>
      </w:r>
      <w:r>
        <w:rPr>
          <w:color w:val="231F20"/>
          <w:w w:val="105"/>
          <w:sz w:val="18"/>
        </w:rPr>
        <w:t>2015).</w:t>
      </w:r>
    </w:p>
    <w:p>
      <w:pPr>
        <w:pStyle w:val="BodyText"/>
        <w:spacing w:before="5"/>
      </w:pPr>
    </w:p>
    <w:p>
      <w:pPr>
        <w:pStyle w:val="BodyText"/>
        <w:spacing w:line="261" w:lineRule="auto"/>
        <w:ind w:left="1837" w:right="1715"/>
        <w:jc w:val="both"/>
      </w:pPr>
      <w:r>
        <w:rPr>
          <w:color w:val="231F20"/>
          <w:w w:val="105"/>
        </w:rPr>
        <w:t>Es muy común que las personas de la comunidad tengan a un primo, amigo,</w:t>
      </w:r>
      <w:r>
        <w:rPr>
          <w:color w:val="231F20"/>
          <w:spacing w:val="-19"/>
          <w:w w:val="105"/>
        </w:rPr>
        <w:t> </w:t>
      </w:r>
      <w:r>
        <w:rPr>
          <w:color w:val="231F20"/>
          <w:w w:val="105"/>
        </w:rPr>
        <w:t>pariente</w:t>
      </w:r>
      <w:r>
        <w:rPr>
          <w:color w:val="231F20"/>
          <w:spacing w:val="-14"/>
          <w:w w:val="105"/>
        </w:rPr>
        <w:t> </w:t>
      </w:r>
      <w:r>
        <w:rPr>
          <w:color w:val="231F20"/>
          <w:w w:val="105"/>
        </w:rPr>
        <w:t>o</w:t>
      </w:r>
      <w:r>
        <w:rPr>
          <w:color w:val="231F20"/>
          <w:spacing w:val="-14"/>
          <w:w w:val="105"/>
        </w:rPr>
        <w:t> </w:t>
      </w:r>
      <w:r>
        <w:rPr>
          <w:color w:val="231F20"/>
          <w:w w:val="105"/>
        </w:rPr>
        <w:t>conocido</w:t>
      </w:r>
      <w:r>
        <w:rPr>
          <w:color w:val="231F20"/>
          <w:spacing w:val="-14"/>
          <w:w w:val="105"/>
        </w:rPr>
        <w:t> </w:t>
      </w:r>
      <w:r>
        <w:rPr>
          <w:color w:val="231F20"/>
          <w:w w:val="105"/>
        </w:rPr>
        <w:t>en</w:t>
      </w:r>
      <w:r>
        <w:rPr>
          <w:color w:val="231F20"/>
          <w:spacing w:val="-14"/>
          <w:w w:val="105"/>
        </w:rPr>
        <w:t> </w:t>
      </w:r>
      <w:r>
        <w:rPr>
          <w:color w:val="231F20"/>
          <w:w w:val="105"/>
        </w:rPr>
        <w:t>los</w:t>
      </w:r>
      <w:r>
        <w:rPr>
          <w:color w:val="231F20"/>
          <w:spacing w:val="-14"/>
          <w:w w:val="105"/>
        </w:rPr>
        <w:t> </w:t>
      </w:r>
      <w:r>
        <w:rPr>
          <w:color w:val="231F20"/>
          <w:w w:val="105"/>
        </w:rPr>
        <w:t>Estados</w:t>
      </w:r>
      <w:r>
        <w:rPr>
          <w:color w:val="231F20"/>
          <w:spacing w:val="-14"/>
          <w:w w:val="105"/>
        </w:rPr>
        <w:t> </w:t>
      </w:r>
      <w:r>
        <w:rPr>
          <w:color w:val="231F20"/>
          <w:w w:val="105"/>
        </w:rPr>
        <w:t>Unidos,</w:t>
      </w:r>
      <w:r>
        <w:rPr>
          <w:color w:val="231F20"/>
          <w:spacing w:val="-19"/>
          <w:w w:val="105"/>
        </w:rPr>
        <w:t> </w:t>
      </w:r>
      <w:r>
        <w:rPr>
          <w:color w:val="231F20"/>
          <w:w w:val="105"/>
        </w:rPr>
        <w:t>que</w:t>
      </w:r>
      <w:r>
        <w:rPr>
          <w:color w:val="231F20"/>
          <w:spacing w:val="-14"/>
          <w:w w:val="105"/>
        </w:rPr>
        <w:t> </w:t>
      </w:r>
      <w:r>
        <w:rPr>
          <w:color w:val="231F20"/>
          <w:w w:val="105"/>
        </w:rPr>
        <w:t>es</w:t>
      </w:r>
      <w:r>
        <w:rPr>
          <w:color w:val="231F20"/>
          <w:spacing w:val="-14"/>
          <w:w w:val="105"/>
        </w:rPr>
        <w:t> </w:t>
      </w:r>
      <w:r>
        <w:rPr>
          <w:color w:val="231F20"/>
          <w:w w:val="105"/>
        </w:rPr>
        <w:t>quien</w:t>
      </w:r>
      <w:r>
        <w:rPr>
          <w:color w:val="231F20"/>
          <w:spacing w:val="-14"/>
          <w:w w:val="105"/>
        </w:rPr>
        <w:t> </w:t>
      </w:r>
      <w:r>
        <w:rPr>
          <w:color w:val="231F20"/>
          <w:w w:val="105"/>
        </w:rPr>
        <w:t>les</w:t>
      </w:r>
      <w:r>
        <w:rPr>
          <w:color w:val="231F20"/>
          <w:spacing w:val="-14"/>
          <w:w w:val="105"/>
        </w:rPr>
        <w:t> </w:t>
      </w:r>
      <w:r>
        <w:rPr>
          <w:color w:val="231F20"/>
          <w:w w:val="105"/>
        </w:rPr>
        <w:t>faci- lita</w:t>
      </w:r>
      <w:r>
        <w:rPr>
          <w:color w:val="231F20"/>
          <w:spacing w:val="-21"/>
          <w:w w:val="105"/>
        </w:rPr>
        <w:t> </w:t>
      </w:r>
      <w:r>
        <w:rPr>
          <w:color w:val="231F20"/>
          <w:w w:val="105"/>
        </w:rPr>
        <w:t>el</w:t>
      </w:r>
      <w:r>
        <w:rPr>
          <w:color w:val="231F20"/>
          <w:spacing w:val="-21"/>
          <w:w w:val="105"/>
        </w:rPr>
        <w:t> </w:t>
      </w:r>
      <w:r>
        <w:rPr>
          <w:color w:val="231F20"/>
          <w:w w:val="105"/>
        </w:rPr>
        <w:t>dinero</w:t>
      </w:r>
      <w:r>
        <w:rPr>
          <w:color w:val="231F20"/>
          <w:spacing w:val="-21"/>
          <w:w w:val="105"/>
        </w:rPr>
        <w:t> </w:t>
      </w:r>
      <w:r>
        <w:rPr>
          <w:color w:val="231F20"/>
          <w:w w:val="105"/>
        </w:rPr>
        <w:t>a</w:t>
      </w:r>
      <w:r>
        <w:rPr>
          <w:color w:val="231F20"/>
          <w:spacing w:val="-21"/>
          <w:w w:val="105"/>
        </w:rPr>
        <w:t> </w:t>
      </w:r>
      <w:r>
        <w:rPr>
          <w:color w:val="231F20"/>
          <w:w w:val="105"/>
        </w:rPr>
        <w:t>manera</w:t>
      </w:r>
      <w:r>
        <w:rPr>
          <w:color w:val="231F20"/>
          <w:spacing w:val="-21"/>
          <w:w w:val="105"/>
        </w:rPr>
        <w:t> </w:t>
      </w:r>
      <w:r>
        <w:rPr>
          <w:color w:val="231F20"/>
          <w:w w:val="105"/>
        </w:rPr>
        <w:t>de</w:t>
      </w:r>
      <w:r>
        <w:rPr>
          <w:color w:val="231F20"/>
          <w:spacing w:val="-21"/>
          <w:w w:val="105"/>
        </w:rPr>
        <w:t> </w:t>
      </w:r>
      <w:r>
        <w:rPr>
          <w:color w:val="231F20"/>
          <w:w w:val="105"/>
        </w:rPr>
        <w:t>préstamo</w:t>
      </w:r>
      <w:r>
        <w:rPr>
          <w:color w:val="231F20"/>
          <w:spacing w:val="-21"/>
          <w:w w:val="105"/>
        </w:rPr>
        <w:t> </w:t>
      </w:r>
      <w:r>
        <w:rPr>
          <w:color w:val="231F20"/>
          <w:w w:val="105"/>
        </w:rPr>
        <w:t>para</w:t>
      </w:r>
      <w:r>
        <w:rPr>
          <w:color w:val="231F20"/>
          <w:spacing w:val="-21"/>
          <w:w w:val="105"/>
        </w:rPr>
        <w:t> </w:t>
      </w:r>
      <w:r>
        <w:rPr>
          <w:color w:val="231F20"/>
          <w:w w:val="105"/>
        </w:rPr>
        <w:t>cubrir</w:t>
      </w:r>
      <w:r>
        <w:rPr>
          <w:color w:val="231F20"/>
          <w:spacing w:val="-21"/>
          <w:w w:val="105"/>
        </w:rPr>
        <w:t> </w:t>
      </w:r>
      <w:r>
        <w:rPr>
          <w:color w:val="231F20"/>
          <w:w w:val="105"/>
        </w:rPr>
        <w:t>los</w:t>
      </w:r>
      <w:r>
        <w:rPr>
          <w:color w:val="231F20"/>
          <w:spacing w:val="-21"/>
          <w:w w:val="105"/>
        </w:rPr>
        <w:t> </w:t>
      </w:r>
      <w:r>
        <w:rPr>
          <w:color w:val="231F20"/>
          <w:w w:val="105"/>
        </w:rPr>
        <w:t>gastos</w:t>
      </w:r>
      <w:r>
        <w:rPr>
          <w:color w:val="231F20"/>
          <w:spacing w:val="-21"/>
          <w:w w:val="105"/>
        </w:rPr>
        <w:t> </w:t>
      </w:r>
      <w:r>
        <w:rPr>
          <w:color w:val="231F20"/>
          <w:w w:val="105"/>
        </w:rPr>
        <w:t>del</w:t>
      </w:r>
      <w:r>
        <w:rPr>
          <w:color w:val="231F20"/>
          <w:spacing w:val="-21"/>
          <w:w w:val="105"/>
        </w:rPr>
        <w:t> </w:t>
      </w:r>
      <w:r>
        <w:rPr>
          <w:color w:val="231F20"/>
          <w:w w:val="105"/>
        </w:rPr>
        <w:t>viaje.</w:t>
      </w:r>
      <w:r>
        <w:rPr>
          <w:color w:val="231F20"/>
          <w:spacing w:val="-32"/>
          <w:w w:val="105"/>
        </w:rPr>
        <w:t> </w:t>
      </w:r>
      <w:r>
        <w:rPr>
          <w:color w:val="231F20"/>
          <w:spacing w:val="-5"/>
          <w:w w:val="105"/>
        </w:rPr>
        <w:t>Todos </w:t>
      </w:r>
      <w:r>
        <w:rPr>
          <w:color w:val="231F20"/>
          <w:w w:val="105"/>
        </w:rPr>
        <w:t>los migrantes han logrado pasar sin documentos pagando al </w:t>
      </w:r>
      <w:r>
        <w:rPr>
          <w:color w:val="231F20"/>
          <w:spacing w:val="-4"/>
          <w:w w:val="105"/>
        </w:rPr>
        <w:t>“coyote”. </w:t>
      </w:r>
      <w:r>
        <w:rPr>
          <w:color w:val="231F20"/>
          <w:w w:val="105"/>
        </w:rPr>
        <w:t>Sin</w:t>
      </w:r>
      <w:r>
        <w:rPr>
          <w:color w:val="231F20"/>
          <w:spacing w:val="-7"/>
          <w:w w:val="105"/>
        </w:rPr>
        <w:t> </w:t>
      </w:r>
      <w:r>
        <w:rPr>
          <w:color w:val="231F20"/>
          <w:w w:val="105"/>
        </w:rPr>
        <w:t>duda</w:t>
      </w:r>
      <w:r>
        <w:rPr>
          <w:color w:val="231F20"/>
          <w:spacing w:val="-7"/>
          <w:w w:val="105"/>
        </w:rPr>
        <w:t> </w:t>
      </w:r>
      <w:r>
        <w:rPr>
          <w:color w:val="231F20"/>
          <w:w w:val="105"/>
        </w:rPr>
        <w:t>las</w:t>
      </w:r>
      <w:r>
        <w:rPr>
          <w:color w:val="231F20"/>
          <w:spacing w:val="-7"/>
          <w:w w:val="105"/>
        </w:rPr>
        <w:t> </w:t>
      </w:r>
      <w:r>
        <w:rPr>
          <w:color w:val="231F20"/>
          <w:w w:val="105"/>
        </w:rPr>
        <w:t>redes</w:t>
      </w:r>
      <w:r>
        <w:rPr>
          <w:color w:val="231F20"/>
          <w:spacing w:val="-7"/>
          <w:w w:val="105"/>
        </w:rPr>
        <w:t> </w:t>
      </w:r>
      <w:r>
        <w:rPr>
          <w:color w:val="231F20"/>
          <w:w w:val="105"/>
        </w:rPr>
        <w:t>sociales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han</w:t>
      </w:r>
      <w:r>
        <w:rPr>
          <w:color w:val="231F20"/>
          <w:spacing w:val="-7"/>
          <w:w w:val="105"/>
        </w:rPr>
        <w:t> </w:t>
      </w:r>
      <w:r>
        <w:rPr>
          <w:color w:val="231F20"/>
          <w:w w:val="105"/>
        </w:rPr>
        <w:t>creado</w:t>
      </w:r>
      <w:r>
        <w:rPr>
          <w:color w:val="231F20"/>
          <w:spacing w:val="-7"/>
          <w:w w:val="105"/>
        </w:rPr>
        <w:t> </w:t>
      </w:r>
      <w:r>
        <w:rPr>
          <w:color w:val="231F20"/>
          <w:w w:val="105"/>
        </w:rPr>
        <w:t>a</w:t>
      </w:r>
      <w:r>
        <w:rPr>
          <w:color w:val="231F20"/>
          <w:spacing w:val="-7"/>
          <w:w w:val="105"/>
        </w:rPr>
        <w:t> </w:t>
      </w:r>
      <w:r>
        <w:rPr>
          <w:color w:val="231F20"/>
          <w:w w:val="105"/>
        </w:rPr>
        <w:t>lo</w:t>
      </w:r>
      <w:r>
        <w:rPr>
          <w:color w:val="231F20"/>
          <w:spacing w:val="-7"/>
          <w:w w:val="105"/>
        </w:rPr>
        <w:t> </w:t>
      </w:r>
      <w:r>
        <w:rPr>
          <w:color w:val="231F20"/>
          <w:w w:val="105"/>
        </w:rPr>
        <w:t>largo</w:t>
      </w:r>
      <w:r>
        <w:rPr>
          <w:color w:val="231F20"/>
          <w:spacing w:val="-7"/>
          <w:w w:val="105"/>
        </w:rPr>
        <w:t> </w:t>
      </w:r>
      <w:r>
        <w:rPr>
          <w:color w:val="231F20"/>
          <w:w w:val="105"/>
        </w:rPr>
        <w:t>del</w:t>
      </w:r>
      <w:r>
        <w:rPr>
          <w:color w:val="231F20"/>
          <w:spacing w:val="-7"/>
          <w:w w:val="105"/>
        </w:rPr>
        <w:t> </w:t>
      </w:r>
      <w:r>
        <w:rPr>
          <w:color w:val="231F20"/>
          <w:w w:val="105"/>
        </w:rPr>
        <w:t>tiempo</w:t>
      </w:r>
      <w:r>
        <w:rPr>
          <w:color w:val="231F20"/>
          <w:spacing w:val="-7"/>
          <w:w w:val="105"/>
        </w:rPr>
        <w:t> </w:t>
      </w:r>
      <w:r>
        <w:rPr>
          <w:color w:val="231F20"/>
          <w:w w:val="105"/>
        </w:rPr>
        <w:t>son ya</w:t>
      </w:r>
      <w:r>
        <w:rPr>
          <w:color w:val="231F20"/>
          <w:spacing w:val="-20"/>
          <w:w w:val="105"/>
        </w:rPr>
        <w:t> </w:t>
      </w:r>
      <w:r>
        <w:rPr>
          <w:color w:val="231F20"/>
          <w:w w:val="105"/>
        </w:rPr>
        <w:t>muy</w:t>
      </w:r>
      <w:r>
        <w:rPr>
          <w:color w:val="231F20"/>
          <w:spacing w:val="-20"/>
          <w:w w:val="105"/>
        </w:rPr>
        <w:t> </w:t>
      </w:r>
      <w:r>
        <w:rPr>
          <w:color w:val="231F20"/>
          <w:w w:val="105"/>
        </w:rPr>
        <w:t>extensas</w:t>
      </w:r>
      <w:r>
        <w:rPr>
          <w:color w:val="231F20"/>
          <w:spacing w:val="-20"/>
          <w:w w:val="105"/>
        </w:rPr>
        <w:t> </w:t>
      </w:r>
      <w:r>
        <w:rPr>
          <w:color w:val="231F20"/>
          <w:w w:val="105"/>
        </w:rPr>
        <w:t>por</w:t>
      </w:r>
      <w:r>
        <w:rPr>
          <w:color w:val="231F20"/>
          <w:spacing w:val="-20"/>
          <w:w w:val="105"/>
        </w:rPr>
        <w:t> </w:t>
      </w:r>
      <w:r>
        <w:rPr>
          <w:color w:val="231F20"/>
          <w:w w:val="105"/>
        </w:rPr>
        <w:t>la</w:t>
      </w:r>
      <w:r>
        <w:rPr>
          <w:color w:val="231F20"/>
          <w:spacing w:val="-20"/>
          <w:w w:val="105"/>
        </w:rPr>
        <w:t> </w:t>
      </w:r>
      <w:r>
        <w:rPr>
          <w:color w:val="231F20"/>
          <w:w w:val="105"/>
        </w:rPr>
        <w:t>constante</w:t>
      </w:r>
      <w:r>
        <w:rPr>
          <w:color w:val="231F20"/>
          <w:spacing w:val="-20"/>
          <w:w w:val="105"/>
        </w:rPr>
        <w:t> </w:t>
      </w:r>
      <w:r>
        <w:rPr>
          <w:color w:val="231F20"/>
          <w:w w:val="105"/>
        </w:rPr>
        <w:t>migración.</w:t>
      </w:r>
      <w:r>
        <w:rPr>
          <w:color w:val="231F20"/>
          <w:spacing w:val="-25"/>
          <w:w w:val="105"/>
        </w:rPr>
        <w:t> </w:t>
      </w:r>
      <w:r>
        <w:rPr>
          <w:color w:val="231F20"/>
          <w:w w:val="105"/>
        </w:rPr>
        <w:t>En</w:t>
      </w:r>
      <w:r>
        <w:rPr>
          <w:color w:val="231F20"/>
          <w:spacing w:val="-20"/>
          <w:w w:val="105"/>
        </w:rPr>
        <w:t> </w:t>
      </w:r>
      <w:r>
        <w:rPr>
          <w:color w:val="231F20"/>
          <w:w w:val="105"/>
        </w:rPr>
        <w:t>relación</w:t>
      </w:r>
      <w:r>
        <w:rPr>
          <w:color w:val="231F20"/>
          <w:spacing w:val="-20"/>
          <w:w w:val="105"/>
        </w:rPr>
        <w:t> </w:t>
      </w:r>
      <w:r>
        <w:rPr>
          <w:color w:val="231F20"/>
          <w:w w:val="105"/>
        </w:rPr>
        <w:t>con</w:t>
      </w:r>
      <w:r>
        <w:rPr>
          <w:color w:val="231F20"/>
          <w:spacing w:val="-20"/>
          <w:w w:val="105"/>
        </w:rPr>
        <w:t> </w:t>
      </w:r>
      <w:r>
        <w:rPr>
          <w:color w:val="231F20"/>
          <w:w w:val="105"/>
        </w:rPr>
        <w:t>la</w:t>
      </w:r>
      <w:r>
        <w:rPr>
          <w:color w:val="231F20"/>
          <w:spacing w:val="-20"/>
          <w:w w:val="105"/>
        </w:rPr>
        <w:t> </w:t>
      </w:r>
      <w:r>
        <w:rPr>
          <w:color w:val="231F20"/>
          <w:w w:val="105"/>
        </w:rPr>
        <w:t>experien- cia del cruce no documentado, Mónica compartió</w:t>
      </w:r>
      <w:r>
        <w:rPr>
          <w:color w:val="231F20"/>
          <w:spacing w:val="-33"/>
          <w:w w:val="105"/>
        </w:rPr>
        <w:t> </w:t>
      </w:r>
      <w:r>
        <w:rPr>
          <w:color w:val="231F20"/>
          <w:w w:val="105"/>
        </w:rPr>
        <w:t>que:</w:t>
      </w:r>
    </w:p>
    <w:p>
      <w:pPr>
        <w:pStyle w:val="BodyText"/>
        <w:spacing w:before="7"/>
        <w:rPr>
          <w:sz w:val="18"/>
        </w:rPr>
      </w:pPr>
    </w:p>
    <w:p>
      <w:pPr>
        <w:spacing w:line="254" w:lineRule="auto" w:before="0"/>
        <w:ind w:left="2971" w:right="1716" w:firstLine="0"/>
        <w:jc w:val="both"/>
        <w:rPr>
          <w:sz w:val="18"/>
        </w:rPr>
      </w:pPr>
      <w:r>
        <w:rPr>
          <w:color w:val="231F20"/>
          <w:sz w:val="18"/>
        </w:rPr>
        <w:t>Pasamos dos noches en la frontera para poder pasar nomás escondién- donos, hasta que se llegó la hora de cruzar y mi sorpresa fue que cruza- ríamos por el río y yo sin poder nadar. Ahí pensé en volver a mi pueblo, pero no, no podía era muy tarde, así que cruzamos como pudimos, mi hermano me agarraba de un brazo y mi cuñado de otro. El río traía mu- cha basura y de pronto me tapaba la cara y sentía que me moría. Estuve apuntito de ahogarme pero alguien me tomó del pelo y me sacó. Me preguntaba qué hago aquí, pero luego decía son las consecuencias de venirme a este país, sufrir por el camino. Después de pasar el río, a co- </w:t>
      </w:r>
      <w:r>
        <w:rPr>
          <w:color w:val="231F20"/>
          <w:spacing w:val="-3"/>
          <w:sz w:val="18"/>
        </w:rPr>
        <w:t>rrer,</w:t>
      </w:r>
      <w:r>
        <w:rPr>
          <w:color w:val="231F20"/>
          <w:spacing w:val="-9"/>
          <w:sz w:val="18"/>
        </w:rPr>
        <w:t> </w:t>
      </w:r>
      <w:r>
        <w:rPr>
          <w:color w:val="231F20"/>
          <w:sz w:val="18"/>
        </w:rPr>
        <w:t>otra</w:t>
      </w:r>
      <w:r>
        <w:rPr>
          <w:color w:val="231F20"/>
          <w:spacing w:val="-2"/>
          <w:sz w:val="18"/>
        </w:rPr>
        <w:t> </w:t>
      </w:r>
      <w:r>
        <w:rPr>
          <w:color w:val="231F20"/>
          <w:sz w:val="18"/>
        </w:rPr>
        <w:t>vez</w:t>
      </w:r>
      <w:r>
        <w:rPr>
          <w:color w:val="231F20"/>
          <w:spacing w:val="-2"/>
          <w:sz w:val="18"/>
        </w:rPr>
        <w:t> </w:t>
      </w:r>
      <w:r>
        <w:rPr>
          <w:color w:val="231F20"/>
          <w:sz w:val="18"/>
        </w:rPr>
        <w:t>entre</w:t>
      </w:r>
      <w:r>
        <w:rPr>
          <w:color w:val="231F20"/>
          <w:spacing w:val="-2"/>
          <w:sz w:val="18"/>
        </w:rPr>
        <w:t> </w:t>
      </w:r>
      <w:r>
        <w:rPr>
          <w:color w:val="231F20"/>
          <w:sz w:val="18"/>
        </w:rPr>
        <w:t>espinas,</w:t>
      </w:r>
      <w:r>
        <w:rPr>
          <w:color w:val="231F20"/>
          <w:spacing w:val="-9"/>
          <w:sz w:val="18"/>
        </w:rPr>
        <w:t> </w:t>
      </w:r>
      <w:r>
        <w:rPr>
          <w:color w:val="231F20"/>
          <w:sz w:val="18"/>
        </w:rPr>
        <w:t>matorrales</w:t>
      </w:r>
      <w:r>
        <w:rPr>
          <w:color w:val="231F20"/>
          <w:spacing w:val="-2"/>
          <w:sz w:val="18"/>
        </w:rPr>
        <w:t> </w:t>
      </w:r>
      <w:r>
        <w:rPr>
          <w:color w:val="231F20"/>
          <w:sz w:val="18"/>
        </w:rPr>
        <w:t>y</w:t>
      </w:r>
      <w:r>
        <w:rPr>
          <w:color w:val="231F20"/>
          <w:spacing w:val="-2"/>
          <w:sz w:val="18"/>
        </w:rPr>
        <w:t> </w:t>
      </w:r>
      <w:r>
        <w:rPr>
          <w:color w:val="231F20"/>
          <w:sz w:val="18"/>
        </w:rPr>
        <w:t>animales,</w:t>
      </w:r>
      <w:r>
        <w:rPr>
          <w:color w:val="231F20"/>
          <w:spacing w:val="-9"/>
          <w:sz w:val="18"/>
        </w:rPr>
        <w:t> </w:t>
      </w:r>
      <w:r>
        <w:rPr>
          <w:color w:val="231F20"/>
          <w:sz w:val="18"/>
        </w:rPr>
        <w:t>pero</w:t>
      </w:r>
      <w:r>
        <w:rPr>
          <w:color w:val="231F20"/>
          <w:spacing w:val="-2"/>
          <w:sz w:val="18"/>
        </w:rPr>
        <w:t> </w:t>
      </w:r>
      <w:r>
        <w:rPr>
          <w:color w:val="231F20"/>
          <w:sz w:val="18"/>
        </w:rPr>
        <w:t>salen</w:t>
      </w:r>
      <w:r>
        <w:rPr>
          <w:color w:val="231F20"/>
          <w:spacing w:val="-2"/>
          <w:sz w:val="18"/>
        </w:rPr>
        <w:t> </w:t>
      </w:r>
      <w:r>
        <w:rPr>
          <w:color w:val="231F20"/>
          <w:sz w:val="18"/>
        </w:rPr>
        <w:t>fuerzas</w:t>
      </w:r>
      <w:r>
        <w:rPr>
          <w:color w:val="231F20"/>
          <w:spacing w:val="-2"/>
          <w:sz w:val="18"/>
        </w:rPr>
        <w:t> </w:t>
      </w:r>
      <w:r>
        <w:rPr>
          <w:color w:val="231F20"/>
          <w:sz w:val="18"/>
        </w:rPr>
        <w:t>no sé de dónde, así llegamos a una camioneta que nos estaba esperando  y nos trajo a San Antonio,</w:t>
      </w:r>
      <w:r>
        <w:rPr>
          <w:color w:val="231F20"/>
          <w:spacing w:val="-15"/>
          <w:sz w:val="18"/>
        </w:rPr>
        <w:t> </w:t>
      </w:r>
      <w:r>
        <w:rPr>
          <w:color w:val="231F20"/>
          <w:spacing w:val="-4"/>
          <w:sz w:val="18"/>
        </w:rPr>
        <w:t>Texas.</w:t>
      </w:r>
    </w:p>
    <w:p>
      <w:pPr>
        <w:pStyle w:val="BodyText"/>
        <w:spacing w:before="5"/>
      </w:pPr>
    </w:p>
    <w:p>
      <w:pPr>
        <w:pStyle w:val="BodyText"/>
        <w:spacing w:line="261" w:lineRule="auto"/>
        <w:ind w:left="1837" w:right="1721"/>
        <w:jc w:val="both"/>
      </w:pPr>
      <w:r>
        <w:rPr/>
        <w:pict>
          <v:line style="position:absolute;mso-position-horizontal-relative:page;mso-position-vertical-relative:paragraph;z-index:-449344" from="15pt,115.608589pt" to="0pt,115.608589pt" stroked="true" strokeweight=".25pt" strokecolor="#000000">
            <w10:wrap type="none"/>
          </v:line>
        </w:pict>
      </w:r>
      <w:r>
        <w:rPr/>
        <w:pict>
          <v:line style="position:absolute;mso-position-horizontal-relative:page;mso-position-vertical-relative:paragraph;z-index:40864" from="508.890015pt,115.608589pt" to="523.890015pt,115.608589pt" stroked="true" strokeweight=".25pt" strokecolor="#000000">
            <w10:wrap type="none"/>
          </v:line>
        </w:pict>
      </w:r>
      <w:r>
        <w:rPr>
          <w:color w:val="231F20"/>
          <w:spacing w:val="-4"/>
          <w:w w:val="105"/>
        </w:rPr>
        <w:t>Para</w:t>
      </w:r>
      <w:r>
        <w:rPr>
          <w:color w:val="231F20"/>
          <w:spacing w:val="-10"/>
          <w:w w:val="105"/>
        </w:rPr>
        <w:t> </w:t>
      </w:r>
      <w:r>
        <w:rPr>
          <w:color w:val="231F20"/>
          <w:w w:val="105"/>
        </w:rPr>
        <w:t>el</w:t>
      </w:r>
      <w:r>
        <w:rPr>
          <w:color w:val="231F20"/>
          <w:spacing w:val="-10"/>
          <w:w w:val="105"/>
        </w:rPr>
        <w:t> </w:t>
      </w:r>
      <w:r>
        <w:rPr>
          <w:color w:val="231F20"/>
          <w:w w:val="105"/>
        </w:rPr>
        <w:t>año</w:t>
      </w:r>
      <w:r>
        <w:rPr>
          <w:color w:val="231F20"/>
          <w:spacing w:val="-10"/>
          <w:w w:val="105"/>
        </w:rPr>
        <w:t> </w:t>
      </w:r>
      <w:r>
        <w:rPr>
          <w:color w:val="231F20"/>
          <w:w w:val="105"/>
        </w:rPr>
        <w:t>2000</w:t>
      </w:r>
      <w:r>
        <w:rPr>
          <w:color w:val="231F20"/>
          <w:spacing w:val="-10"/>
          <w:w w:val="105"/>
        </w:rPr>
        <w:t> </w:t>
      </w:r>
      <w:r>
        <w:rPr>
          <w:color w:val="231F20"/>
          <w:w w:val="105"/>
        </w:rPr>
        <w:t>costaba</w:t>
      </w:r>
      <w:r>
        <w:rPr>
          <w:color w:val="231F20"/>
          <w:spacing w:val="-10"/>
          <w:w w:val="105"/>
        </w:rPr>
        <w:t> </w:t>
      </w:r>
      <w:r>
        <w:rPr>
          <w:color w:val="231F20"/>
          <w:w w:val="105"/>
        </w:rPr>
        <w:t>alrededor</w:t>
      </w:r>
      <w:r>
        <w:rPr>
          <w:color w:val="231F20"/>
          <w:spacing w:val="-10"/>
          <w:w w:val="105"/>
        </w:rPr>
        <w:t> </w:t>
      </w:r>
      <w:r>
        <w:rPr>
          <w:color w:val="231F20"/>
          <w:w w:val="105"/>
        </w:rPr>
        <w:t>de</w:t>
      </w:r>
      <w:r>
        <w:rPr>
          <w:color w:val="231F20"/>
          <w:spacing w:val="-10"/>
          <w:w w:val="105"/>
        </w:rPr>
        <w:t> </w:t>
      </w:r>
      <w:r>
        <w:rPr>
          <w:color w:val="231F20"/>
          <w:w w:val="105"/>
        </w:rPr>
        <w:t>5,000</w:t>
      </w:r>
      <w:r>
        <w:rPr>
          <w:color w:val="231F20"/>
          <w:spacing w:val="-10"/>
          <w:w w:val="105"/>
        </w:rPr>
        <w:t> </w:t>
      </w:r>
      <w:r>
        <w:rPr>
          <w:color w:val="231F20"/>
          <w:w w:val="105"/>
        </w:rPr>
        <w:t>a</w:t>
      </w:r>
      <w:r>
        <w:rPr>
          <w:color w:val="231F20"/>
          <w:spacing w:val="-10"/>
          <w:w w:val="105"/>
        </w:rPr>
        <w:t> </w:t>
      </w:r>
      <w:r>
        <w:rPr>
          <w:color w:val="231F20"/>
          <w:w w:val="105"/>
        </w:rPr>
        <w:t>6,000</w:t>
      </w:r>
      <w:r>
        <w:rPr>
          <w:color w:val="231F20"/>
          <w:spacing w:val="-10"/>
          <w:w w:val="105"/>
        </w:rPr>
        <w:t> </w:t>
      </w:r>
      <w:r>
        <w:rPr>
          <w:color w:val="231F20"/>
          <w:w w:val="105"/>
        </w:rPr>
        <w:t>dólares</w:t>
      </w:r>
      <w:r>
        <w:rPr>
          <w:color w:val="231F20"/>
          <w:spacing w:val="-10"/>
          <w:w w:val="105"/>
        </w:rPr>
        <w:t> </w:t>
      </w:r>
      <w:r>
        <w:rPr>
          <w:color w:val="231F20"/>
          <w:w w:val="105"/>
        </w:rPr>
        <w:t>poder</w:t>
      </w:r>
      <w:r>
        <w:rPr>
          <w:color w:val="231F20"/>
          <w:spacing w:val="-10"/>
          <w:w w:val="105"/>
        </w:rPr>
        <w:t> </w:t>
      </w:r>
      <w:r>
        <w:rPr>
          <w:color w:val="231F20"/>
          <w:w w:val="105"/>
        </w:rPr>
        <w:t>cru- zar</w:t>
      </w:r>
      <w:r>
        <w:rPr>
          <w:color w:val="231F20"/>
          <w:spacing w:val="-26"/>
          <w:w w:val="105"/>
        </w:rPr>
        <w:t> </w:t>
      </w:r>
      <w:r>
        <w:rPr>
          <w:color w:val="231F20"/>
          <w:w w:val="105"/>
        </w:rPr>
        <w:t>la</w:t>
      </w:r>
      <w:r>
        <w:rPr>
          <w:color w:val="231F20"/>
          <w:spacing w:val="-26"/>
          <w:w w:val="105"/>
        </w:rPr>
        <w:t> </w:t>
      </w:r>
      <w:r>
        <w:rPr>
          <w:color w:val="231F20"/>
          <w:w w:val="105"/>
        </w:rPr>
        <w:t>frontera.</w:t>
      </w:r>
      <w:r>
        <w:rPr>
          <w:color w:val="231F20"/>
          <w:spacing w:val="-30"/>
          <w:w w:val="105"/>
        </w:rPr>
        <w:t> </w:t>
      </w:r>
      <w:r>
        <w:rPr>
          <w:color w:val="231F20"/>
          <w:w w:val="105"/>
        </w:rPr>
        <w:t>Esto</w:t>
      </w:r>
      <w:r>
        <w:rPr>
          <w:color w:val="231F20"/>
          <w:spacing w:val="-26"/>
          <w:w w:val="105"/>
        </w:rPr>
        <w:t> </w:t>
      </w:r>
      <w:r>
        <w:rPr>
          <w:color w:val="231F20"/>
          <w:w w:val="105"/>
        </w:rPr>
        <w:t>con</w:t>
      </w:r>
      <w:r>
        <w:rPr>
          <w:color w:val="231F20"/>
          <w:spacing w:val="-26"/>
          <w:w w:val="105"/>
        </w:rPr>
        <w:t> </w:t>
      </w:r>
      <w:r>
        <w:rPr>
          <w:color w:val="231F20"/>
          <w:w w:val="105"/>
        </w:rPr>
        <w:t>el</w:t>
      </w:r>
      <w:r>
        <w:rPr>
          <w:color w:val="231F20"/>
          <w:spacing w:val="-26"/>
          <w:w w:val="105"/>
        </w:rPr>
        <w:t> </w:t>
      </w:r>
      <w:r>
        <w:rPr>
          <w:color w:val="231F20"/>
          <w:w w:val="105"/>
        </w:rPr>
        <w:t>riesgo</w:t>
      </w:r>
      <w:r>
        <w:rPr>
          <w:color w:val="231F20"/>
          <w:spacing w:val="-26"/>
          <w:w w:val="105"/>
        </w:rPr>
        <w:t> </w:t>
      </w:r>
      <w:r>
        <w:rPr>
          <w:color w:val="231F20"/>
          <w:w w:val="105"/>
        </w:rPr>
        <w:t>de</w:t>
      </w:r>
      <w:r>
        <w:rPr>
          <w:color w:val="231F20"/>
          <w:spacing w:val="-26"/>
          <w:w w:val="105"/>
        </w:rPr>
        <w:t> </w:t>
      </w:r>
      <w:r>
        <w:rPr>
          <w:color w:val="231F20"/>
          <w:w w:val="105"/>
        </w:rPr>
        <w:t>tardar</w:t>
      </w:r>
      <w:r>
        <w:rPr>
          <w:color w:val="231F20"/>
          <w:spacing w:val="-26"/>
          <w:w w:val="105"/>
        </w:rPr>
        <w:t> </w:t>
      </w:r>
      <w:r>
        <w:rPr>
          <w:color w:val="231F20"/>
          <w:w w:val="105"/>
        </w:rPr>
        <w:t>varios</w:t>
      </w:r>
      <w:r>
        <w:rPr>
          <w:color w:val="231F20"/>
          <w:spacing w:val="-26"/>
          <w:w w:val="105"/>
        </w:rPr>
        <w:t> </w:t>
      </w:r>
      <w:r>
        <w:rPr>
          <w:color w:val="231F20"/>
          <w:w w:val="105"/>
        </w:rPr>
        <w:t>días</w:t>
      </w:r>
      <w:r>
        <w:rPr>
          <w:color w:val="231F20"/>
          <w:spacing w:val="-26"/>
          <w:w w:val="105"/>
        </w:rPr>
        <w:t> </w:t>
      </w:r>
      <w:r>
        <w:rPr>
          <w:color w:val="231F20"/>
          <w:w w:val="105"/>
        </w:rPr>
        <w:t>o</w:t>
      </w:r>
      <w:r>
        <w:rPr>
          <w:color w:val="231F20"/>
          <w:spacing w:val="-26"/>
          <w:w w:val="105"/>
        </w:rPr>
        <w:t> </w:t>
      </w:r>
      <w:r>
        <w:rPr>
          <w:color w:val="231F20"/>
          <w:w w:val="105"/>
        </w:rPr>
        <w:t>meses</w:t>
      </w:r>
      <w:r>
        <w:rPr>
          <w:color w:val="231F20"/>
          <w:spacing w:val="-26"/>
          <w:w w:val="105"/>
        </w:rPr>
        <w:t> </w:t>
      </w:r>
      <w:r>
        <w:rPr>
          <w:color w:val="231F20"/>
          <w:w w:val="105"/>
        </w:rPr>
        <w:t>en</w:t>
      </w:r>
      <w:r>
        <w:rPr>
          <w:color w:val="231F20"/>
          <w:spacing w:val="-26"/>
          <w:w w:val="105"/>
        </w:rPr>
        <w:t> </w:t>
      </w:r>
      <w:r>
        <w:rPr>
          <w:color w:val="231F20"/>
          <w:w w:val="105"/>
        </w:rPr>
        <w:t>caso</w:t>
      </w:r>
      <w:r>
        <w:rPr>
          <w:color w:val="231F20"/>
          <w:spacing w:val="-26"/>
          <w:w w:val="105"/>
        </w:rPr>
        <w:t> </w:t>
      </w:r>
      <w:r>
        <w:rPr>
          <w:color w:val="231F20"/>
          <w:w w:val="105"/>
        </w:rPr>
        <w:t>de no poder pasar o ser detenido por la policía fronteriza, en la</w:t>
      </w:r>
      <w:r>
        <w:rPr>
          <w:color w:val="231F20"/>
          <w:spacing w:val="47"/>
          <w:w w:val="105"/>
        </w:rPr>
        <w:t> </w:t>
      </w:r>
      <w:r>
        <w:rPr>
          <w:color w:val="231F20"/>
          <w:w w:val="105"/>
        </w:rPr>
        <w:t>actualidad</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40912" from="15pt,-71.68644pt" to="0pt,-71.68644pt" stroked="true" strokeweight=".25pt" strokecolor="#000000">
            <w10:wrap type="none"/>
          </v:line>
        </w:pict>
      </w:r>
      <w:r>
        <w:rPr/>
        <w:pict>
          <v:line style="position:absolute;mso-position-horizontal-relative:page;mso-position-vertical-relative:paragraph;z-index:40936" from="508.890015pt,-71.68644pt" to="523.890015pt,-71.68644pt" stroked="true" strokeweight=".25pt" strokecolor="#000000">
            <w10:wrap type="none"/>
          </v:line>
        </w:pict>
      </w:r>
      <w:r>
        <w:rPr>
          <w:color w:val="231F20"/>
        </w:rPr>
        <w:t>oscila entre 8,000 y 9,000 dólares. Mino, que ha ido en tres ocasiones a Estados Unidos, dice:</w:t>
      </w:r>
    </w:p>
    <w:p>
      <w:pPr>
        <w:pStyle w:val="BodyText"/>
        <w:spacing w:before="7"/>
        <w:rPr>
          <w:sz w:val="18"/>
        </w:rPr>
      </w:pPr>
    </w:p>
    <w:p>
      <w:pPr>
        <w:spacing w:line="254" w:lineRule="auto" w:before="0"/>
        <w:ind w:left="2857" w:right="1835" w:firstLine="0"/>
        <w:jc w:val="both"/>
        <w:rPr>
          <w:sz w:val="18"/>
        </w:rPr>
      </w:pPr>
      <w:r>
        <w:rPr>
          <w:color w:val="231F20"/>
          <w:w w:val="105"/>
          <w:sz w:val="18"/>
        </w:rPr>
        <w:t>Uno</w:t>
      </w:r>
      <w:r>
        <w:rPr>
          <w:color w:val="231F20"/>
          <w:spacing w:val="-6"/>
          <w:w w:val="105"/>
          <w:sz w:val="18"/>
        </w:rPr>
        <w:t> </w:t>
      </w:r>
      <w:r>
        <w:rPr>
          <w:color w:val="231F20"/>
          <w:w w:val="105"/>
          <w:sz w:val="18"/>
        </w:rPr>
        <w:t>va</w:t>
      </w:r>
      <w:r>
        <w:rPr>
          <w:color w:val="231F20"/>
          <w:spacing w:val="-6"/>
          <w:w w:val="105"/>
          <w:sz w:val="18"/>
        </w:rPr>
        <w:t> </w:t>
      </w:r>
      <w:r>
        <w:rPr>
          <w:color w:val="231F20"/>
          <w:w w:val="105"/>
          <w:sz w:val="18"/>
        </w:rPr>
        <w:t>por</w:t>
      </w:r>
      <w:r>
        <w:rPr>
          <w:color w:val="231F20"/>
          <w:spacing w:val="-6"/>
          <w:w w:val="105"/>
          <w:sz w:val="18"/>
        </w:rPr>
        <w:t> </w:t>
      </w:r>
      <w:r>
        <w:rPr>
          <w:color w:val="231F20"/>
          <w:w w:val="105"/>
          <w:sz w:val="18"/>
        </w:rPr>
        <w:t>necesidad</w:t>
      </w:r>
      <w:r>
        <w:rPr>
          <w:color w:val="231F20"/>
          <w:spacing w:val="-6"/>
          <w:w w:val="105"/>
          <w:sz w:val="18"/>
        </w:rPr>
        <w:t> </w:t>
      </w:r>
      <w:r>
        <w:rPr>
          <w:color w:val="231F20"/>
          <w:w w:val="105"/>
          <w:sz w:val="18"/>
        </w:rPr>
        <w:t>porque</w:t>
      </w:r>
      <w:r>
        <w:rPr>
          <w:color w:val="231F20"/>
          <w:spacing w:val="-6"/>
          <w:w w:val="105"/>
          <w:sz w:val="18"/>
        </w:rPr>
        <w:t> </w:t>
      </w:r>
      <w:r>
        <w:rPr>
          <w:color w:val="231F20"/>
          <w:w w:val="105"/>
          <w:sz w:val="18"/>
        </w:rPr>
        <w:t>con</w:t>
      </w:r>
      <w:r>
        <w:rPr>
          <w:color w:val="231F20"/>
          <w:spacing w:val="-6"/>
          <w:w w:val="105"/>
          <w:sz w:val="18"/>
        </w:rPr>
        <w:t> </w:t>
      </w:r>
      <w:r>
        <w:rPr>
          <w:color w:val="231F20"/>
          <w:w w:val="105"/>
          <w:sz w:val="18"/>
        </w:rPr>
        <w:t>lo</w:t>
      </w:r>
      <w:r>
        <w:rPr>
          <w:color w:val="231F20"/>
          <w:spacing w:val="-6"/>
          <w:w w:val="105"/>
          <w:sz w:val="18"/>
        </w:rPr>
        <w:t> </w:t>
      </w:r>
      <w:r>
        <w:rPr>
          <w:color w:val="231F20"/>
          <w:w w:val="105"/>
          <w:sz w:val="18"/>
        </w:rPr>
        <w:t>que</w:t>
      </w:r>
      <w:r>
        <w:rPr>
          <w:color w:val="231F20"/>
          <w:spacing w:val="-6"/>
          <w:w w:val="105"/>
          <w:sz w:val="18"/>
        </w:rPr>
        <w:t> </w:t>
      </w:r>
      <w:r>
        <w:rPr>
          <w:color w:val="231F20"/>
          <w:w w:val="105"/>
          <w:sz w:val="18"/>
        </w:rPr>
        <w:t>aquí</w:t>
      </w:r>
      <w:r>
        <w:rPr>
          <w:color w:val="231F20"/>
          <w:spacing w:val="-6"/>
          <w:w w:val="105"/>
          <w:sz w:val="18"/>
        </w:rPr>
        <w:t> </w:t>
      </w:r>
      <w:r>
        <w:rPr>
          <w:color w:val="231F20"/>
          <w:w w:val="105"/>
          <w:sz w:val="18"/>
        </w:rPr>
        <w:t>gano</w:t>
      </w:r>
      <w:r>
        <w:rPr>
          <w:color w:val="231F20"/>
          <w:spacing w:val="-6"/>
          <w:w w:val="105"/>
          <w:sz w:val="18"/>
        </w:rPr>
        <w:t> </w:t>
      </w:r>
      <w:r>
        <w:rPr>
          <w:color w:val="231F20"/>
          <w:w w:val="105"/>
          <w:sz w:val="18"/>
        </w:rPr>
        <w:t>no</w:t>
      </w:r>
      <w:r>
        <w:rPr>
          <w:color w:val="231F20"/>
          <w:spacing w:val="-6"/>
          <w:w w:val="105"/>
          <w:sz w:val="18"/>
        </w:rPr>
        <w:t> </w:t>
      </w:r>
      <w:r>
        <w:rPr>
          <w:color w:val="231F20"/>
          <w:w w:val="105"/>
          <w:sz w:val="18"/>
        </w:rPr>
        <w:t>hubiera</w:t>
      </w:r>
      <w:r>
        <w:rPr>
          <w:color w:val="231F20"/>
          <w:spacing w:val="-6"/>
          <w:w w:val="105"/>
          <w:sz w:val="18"/>
        </w:rPr>
        <w:t> </w:t>
      </w:r>
      <w:r>
        <w:rPr>
          <w:color w:val="231F20"/>
          <w:w w:val="105"/>
          <w:sz w:val="18"/>
        </w:rPr>
        <w:t>podido hacer</w:t>
      </w:r>
      <w:r>
        <w:rPr>
          <w:color w:val="231F20"/>
          <w:spacing w:val="-11"/>
          <w:w w:val="105"/>
          <w:sz w:val="18"/>
        </w:rPr>
        <w:t> </w:t>
      </w:r>
      <w:r>
        <w:rPr>
          <w:color w:val="231F20"/>
          <w:w w:val="105"/>
          <w:sz w:val="18"/>
        </w:rPr>
        <w:t>mi</w:t>
      </w:r>
      <w:r>
        <w:rPr>
          <w:color w:val="231F20"/>
          <w:spacing w:val="-11"/>
          <w:w w:val="105"/>
          <w:sz w:val="18"/>
        </w:rPr>
        <w:t> </w:t>
      </w:r>
      <w:r>
        <w:rPr>
          <w:color w:val="231F20"/>
          <w:w w:val="105"/>
          <w:sz w:val="18"/>
        </w:rPr>
        <w:t>casa</w:t>
      </w:r>
      <w:r>
        <w:rPr>
          <w:color w:val="231F20"/>
          <w:spacing w:val="-11"/>
          <w:w w:val="105"/>
          <w:sz w:val="18"/>
        </w:rPr>
        <w:t> </w:t>
      </w:r>
      <w:r>
        <w:rPr>
          <w:color w:val="231F20"/>
          <w:w w:val="105"/>
          <w:sz w:val="18"/>
        </w:rPr>
        <w:t>y</w:t>
      </w:r>
      <w:r>
        <w:rPr>
          <w:color w:val="231F20"/>
          <w:spacing w:val="-11"/>
          <w:w w:val="105"/>
          <w:sz w:val="18"/>
        </w:rPr>
        <w:t> </w:t>
      </w:r>
      <w:r>
        <w:rPr>
          <w:color w:val="231F20"/>
          <w:w w:val="105"/>
          <w:sz w:val="18"/>
        </w:rPr>
        <w:t>ahora</w:t>
      </w:r>
      <w:r>
        <w:rPr>
          <w:color w:val="231F20"/>
          <w:spacing w:val="-11"/>
          <w:w w:val="105"/>
          <w:sz w:val="18"/>
        </w:rPr>
        <w:t> </w:t>
      </w:r>
      <w:r>
        <w:rPr>
          <w:color w:val="231F20"/>
          <w:w w:val="105"/>
          <w:sz w:val="18"/>
        </w:rPr>
        <w:t>me</w:t>
      </w:r>
      <w:r>
        <w:rPr>
          <w:color w:val="231F20"/>
          <w:spacing w:val="-11"/>
          <w:w w:val="105"/>
          <w:sz w:val="18"/>
        </w:rPr>
        <w:t> </w:t>
      </w:r>
      <w:r>
        <w:rPr>
          <w:color w:val="231F20"/>
          <w:w w:val="105"/>
          <w:sz w:val="18"/>
        </w:rPr>
        <w:t>gustaría</w:t>
      </w:r>
      <w:r>
        <w:rPr>
          <w:color w:val="231F20"/>
          <w:spacing w:val="-11"/>
          <w:w w:val="105"/>
          <w:sz w:val="18"/>
        </w:rPr>
        <w:t> </w:t>
      </w:r>
      <w:r>
        <w:rPr>
          <w:color w:val="231F20"/>
          <w:w w:val="105"/>
          <w:sz w:val="18"/>
        </w:rPr>
        <w:t>irme</w:t>
      </w:r>
      <w:r>
        <w:rPr>
          <w:color w:val="231F20"/>
          <w:spacing w:val="-11"/>
          <w:w w:val="105"/>
          <w:sz w:val="18"/>
        </w:rPr>
        <w:t> </w:t>
      </w:r>
      <w:r>
        <w:rPr>
          <w:color w:val="231F20"/>
          <w:w w:val="105"/>
          <w:sz w:val="18"/>
        </w:rPr>
        <w:t>para</w:t>
      </w:r>
      <w:r>
        <w:rPr>
          <w:color w:val="231F20"/>
          <w:spacing w:val="-11"/>
          <w:w w:val="105"/>
          <w:sz w:val="18"/>
        </w:rPr>
        <w:t> </w:t>
      </w:r>
      <w:r>
        <w:rPr>
          <w:color w:val="231F20"/>
          <w:w w:val="105"/>
          <w:sz w:val="18"/>
        </w:rPr>
        <w:t>ayudarle</w:t>
      </w:r>
      <w:r>
        <w:rPr>
          <w:color w:val="231F20"/>
          <w:spacing w:val="-11"/>
          <w:w w:val="105"/>
          <w:sz w:val="18"/>
        </w:rPr>
        <w:t> </w:t>
      </w:r>
      <w:r>
        <w:rPr>
          <w:color w:val="231F20"/>
          <w:w w:val="105"/>
          <w:sz w:val="18"/>
        </w:rPr>
        <w:t>a</w:t>
      </w:r>
      <w:r>
        <w:rPr>
          <w:color w:val="231F20"/>
          <w:spacing w:val="-11"/>
          <w:w w:val="105"/>
          <w:sz w:val="18"/>
        </w:rPr>
        <w:t> </w:t>
      </w:r>
      <w:r>
        <w:rPr>
          <w:color w:val="231F20"/>
          <w:w w:val="105"/>
          <w:sz w:val="18"/>
        </w:rPr>
        <w:t>mi</w:t>
      </w:r>
      <w:r>
        <w:rPr>
          <w:color w:val="231F20"/>
          <w:spacing w:val="-11"/>
          <w:w w:val="105"/>
          <w:sz w:val="18"/>
        </w:rPr>
        <w:t> </w:t>
      </w:r>
      <w:r>
        <w:rPr>
          <w:color w:val="231F20"/>
          <w:w w:val="105"/>
          <w:sz w:val="18"/>
        </w:rPr>
        <w:t>hijo</w:t>
      </w:r>
      <w:r>
        <w:rPr>
          <w:color w:val="231F20"/>
          <w:spacing w:val="-11"/>
          <w:w w:val="105"/>
          <w:sz w:val="18"/>
        </w:rPr>
        <w:t> </w:t>
      </w:r>
      <w:r>
        <w:rPr>
          <w:color w:val="231F20"/>
          <w:w w:val="105"/>
          <w:sz w:val="18"/>
        </w:rPr>
        <w:t>a</w:t>
      </w:r>
      <w:r>
        <w:rPr>
          <w:color w:val="231F20"/>
          <w:spacing w:val="-11"/>
          <w:w w:val="105"/>
          <w:sz w:val="18"/>
        </w:rPr>
        <w:t> </w:t>
      </w:r>
      <w:r>
        <w:rPr>
          <w:color w:val="231F20"/>
          <w:w w:val="105"/>
          <w:sz w:val="18"/>
        </w:rPr>
        <w:t>cons- truir la suya; pero está bien canijo pasar y corro el riesgo de no poder hacerlo</w:t>
      </w:r>
      <w:r>
        <w:rPr>
          <w:color w:val="231F20"/>
          <w:spacing w:val="-16"/>
          <w:w w:val="105"/>
          <w:sz w:val="18"/>
        </w:rPr>
        <w:t> </w:t>
      </w:r>
      <w:r>
        <w:rPr>
          <w:color w:val="231F20"/>
          <w:w w:val="105"/>
          <w:sz w:val="18"/>
        </w:rPr>
        <w:t>y</w:t>
      </w:r>
      <w:r>
        <w:rPr>
          <w:color w:val="231F20"/>
          <w:spacing w:val="-16"/>
          <w:w w:val="105"/>
          <w:sz w:val="18"/>
        </w:rPr>
        <w:t> </w:t>
      </w:r>
      <w:r>
        <w:rPr>
          <w:color w:val="231F20"/>
          <w:w w:val="105"/>
          <w:sz w:val="18"/>
        </w:rPr>
        <w:t>luego</w:t>
      </w:r>
      <w:r>
        <w:rPr>
          <w:color w:val="231F20"/>
          <w:spacing w:val="-16"/>
          <w:w w:val="105"/>
          <w:sz w:val="18"/>
        </w:rPr>
        <w:t> </w:t>
      </w:r>
      <w:r>
        <w:rPr>
          <w:color w:val="231F20"/>
          <w:w w:val="105"/>
          <w:sz w:val="18"/>
        </w:rPr>
        <w:t>para</w:t>
      </w:r>
      <w:r>
        <w:rPr>
          <w:color w:val="231F20"/>
          <w:spacing w:val="-16"/>
          <w:w w:val="105"/>
          <w:sz w:val="18"/>
        </w:rPr>
        <w:t> </w:t>
      </w:r>
      <w:r>
        <w:rPr>
          <w:color w:val="231F20"/>
          <w:w w:val="105"/>
          <w:sz w:val="18"/>
        </w:rPr>
        <w:t>pagar</w:t>
      </w:r>
      <w:r>
        <w:rPr>
          <w:color w:val="231F20"/>
          <w:spacing w:val="-16"/>
          <w:w w:val="105"/>
          <w:sz w:val="18"/>
        </w:rPr>
        <w:t> </w:t>
      </w:r>
      <w:r>
        <w:rPr>
          <w:color w:val="231F20"/>
          <w:w w:val="105"/>
          <w:sz w:val="18"/>
        </w:rPr>
        <w:t>está</w:t>
      </w:r>
      <w:r>
        <w:rPr>
          <w:color w:val="231F20"/>
          <w:spacing w:val="-16"/>
          <w:w w:val="105"/>
          <w:sz w:val="18"/>
        </w:rPr>
        <w:t> </w:t>
      </w:r>
      <w:r>
        <w:rPr>
          <w:color w:val="231F20"/>
          <w:w w:val="105"/>
          <w:sz w:val="18"/>
        </w:rPr>
        <w:t>más</w:t>
      </w:r>
      <w:r>
        <w:rPr>
          <w:color w:val="231F20"/>
          <w:spacing w:val="-16"/>
          <w:w w:val="105"/>
          <w:sz w:val="18"/>
        </w:rPr>
        <w:t> </w:t>
      </w:r>
      <w:r>
        <w:rPr>
          <w:color w:val="231F20"/>
          <w:w w:val="105"/>
          <w:sz w:val="18"/>
        </w:rPr>
        <w:t>complicado.</w:t>
      </w:r>
      <w:r>
        <w:rPr>
          <w:color w:val="231F20"/>
          <w:spacing w:val="-20"/>
          <w:w w:val="105"/>
          <w:sz w:val="18"/>
        </w:rPr>
        <w:t> </w:t>
      </w:r>
      <w:r>
        <w:rPr>
          <w:color w:val="231F20"/>
          <w:w w:val="105"/>
          <w:sz w:val="18"/>
        </w:rPr>
        <w:t>Cuando</w:t>
      </w:r>
      <w:r>
        <w:rPr>
          <w:color w:val="231F20"/>
          <w:spacing w:val="-16"/>
          <w:w w:val="105"/>
          <w:sz w:val="18"/>
        </w:rPr>
        <w:t> </w:t>
      </w:r>
      <w:r>
        <w:rPr>
          <w:color w:val="231F20"/>
          <w:w w:val="105"/>
          <w:sz w:val="18"/>
        </w:rPr>
        <w:t>uno</w:t>
      </w:r>
      <w:r>
        <w:rPr>
          <w:color w:val="231F20"/>
          <w:spacing w:val="-16"/>
          <w:w w:val="105"/>
          <w:sz w:val="18"/>
        </w:rPr>
        <w:t> </w:t>
      </w:r>
      <w:r>
        <w:rPr>
          <w:color w:val="231F20"/>
          <w:w w:val="105"/>
          <w:sz w:val="18"/>
        </w:rPr>
        <w:t>está</w:t>
      </w:r>
      <w:r>
        <w:rPr>
          <w:color w:val="231F20"/>
          <w:spacing w:val="-16"/>
          <w:w w:val="105"/>
          <w:sz w:val="18"/>
        </w:rPr>
        <w:t> </w:t>
      </w:r>
      <w:r>
        <w:rPr>
          <w:color w:val="231F20"/>
          <w:w w:val="105"/>
          <w:sz w:val="18"/>
        </w:rPr>
        <w:t>allá come</w:t>
      </w:r>
      <w:r>
        <w:rPr>
          <w:color w:val="231F20"/>
          <w:spacing w:val="-12"/>
          <w:w w:val="105"/>
          <w:sz w:val="18"/>
        </w:rPr>
        <w:t> </w:t>
      </w:r>
      <w:r>
        <w:rPr>
          <w:color w:val="231F20"/>
          <w:w w:val="105"/>
          <w:sz w:val="18"/>
        </w:rPr>
        <w:t>bien,</w:t>
      </w:r>
      <w:r>
        <w:rPr>
          <w:color w:val="231F20"/>
          <w:spacing w:val="-17"/>
          <w:w w:val="105"/>
          <w:sz w:val="18"/>
        </w:rPr>
        <w:t> </w:t>
      </w:r>
      <w:r>
        <w:rPr>
          <w:color w:val="231F20"/>
          <w:w w:val="105"/>
          <w:sz w:val="18"/>
        </w:rPr>
        <w:t>viste</w:t>
      </w:r>
      <w:r>
        <w:rPr>
          <w:color w:val="231F20"/>
          <w:spacing w:val="-12"/>
          <w:w w:val="105"/>
          <w:sz w:val="18"/>
        </w:rPr>
        <w:t> </w:t>
      </w:r>
      <w:r>
        <w:rPr>
          <w:color w:val="231F20"/>
          <w:w w:val="105"/>
          <w:sz w:val="18"/>
        </w:rPr>
        <w:t>bien,</w:t>
      </w:r>
      <w:r>
        <w:rPr>
          <w:color w:val="231F20"/>
          <w:spacing w:val="-17"/>
          <w:w w:val="105"/>
          <w:sz w:val="18"/>
        </w:rPr>
        <w:t> </w:t>
      </w:r>
      <w:r>
        <w:rPr>
          <w:color w:val="231F20"/>
          <w:w w:val="105"/>
          <w:sz w:val="18"/>
        </w:rPr>
        <w:t>buenos</w:t>
      </w:r>
      <w:r>
        <w:rPr>
          <w:color w:val="231F20"/>
          <w:spacing w:val="-12"/>
          <w:w w:val="105"/>
          <w:sz w:val="18"/>
        </w:rPr>
        <w:t> </w:t>
      </w:r>
      <w:r>
        <w:rPr>
          <w:color w:val="231F20"/>
          <w:w w:val="105"/>
          <w:sz w:val="18"/>
        </w:rPr>
        <w:t>zapatos;</w:t>
      </w:r>
      <w:r>
        <w:rPr>
          <w:color w:val="231F20"/>
          <w:spacing w:val="-12"/>
          <w:w w:val="105"/>
          <w:sz w:val="18"/>
        </w:rPr>
        <w:t> </w:t>
      </w:r>
      <w:r>
        <w:rPr>
          <w:color w:val="231F20"/>
          <w:w w:val="105"/>
          <w:sz w:val="18"/>
        </w:rPr>
        <w:t>pero</w:t>
      </w:r>
      <w:r>
        <w:rPr>
          <w:color w:val="231F20"/>
          <w:spacing w:val="-12"/>
          <w:w w:val="105"/>
          <w:sz w:val="18"/>
        </w:rPr>
        <w:t> </w:t>
      </w:r>
      <w:r>
        <w:rPr>
          <w:color w:val="231F20"/>
          <w:w w:val="105"/>
          <w:sz w:val="18"/>
        </w:rPr>
        <w:t>yo</w:t>
      </w:r>
      <w:r>
        <w:rPr>
          <w:color w:val="231F20"/>
          <w:spacing w:val="-12"/>
          <w:w w:val="105"/>
          <w:sz w:val="18"/>
        </w:rPr>
        <w:t> </w:t>
      </w:r>
      <w:r>
        <w:rPr>
          <w:color w:val="231F20"/>
          <w:w w:val="105"/>
          <w:sz w:val="18"/>
        </w:rPr>
        <w:t>no</w:t>
      </w:r>
      <w:r>
        <w:rPr>
          <w:color w:val="231F20"/>
          <w:spacing w:val="-12"/>
          <w:w w:val="105"/>
          <w:sz w:val="18"/>
        </w:rPr>
        <w:t> </w:t>
      </w:r>
      <w:r>
        <w:rPr>
          <w:color w:val="231F20"/>
          <w:w w:val="105"/>
          <w:sz w:val="18"/>
        </w:rPr>
        <w:t>me</w:t>
      </w:r>
      <w:r>
        <w:rPr>
          <w:color w:val="231F20"/>
          <w:spacing w:val="-12"/>
          <w:w w:val="105"/>
          <w:sz w:val="18"/>
        </w:rPr>
        <w:t> </w:t>
      </w:r>
      <w:r>
        <w:rPr>
          <w:color w:val="231F20"/>
          <w:w w:val="105"/>
          <w:sz w:val="18"/>
        </w:rPr>
        <w:t>puede</w:t>
      </w:r>
      <w:r>
        <w:rPr>
          <w:color w:val="231F20"/>
          <w:spacing w:val="-12"/>
          <w:w w:val="105"/>
          <w:sz w:val="18"/>
        </w:rPr>
        <w:t> </w:t>
      </w:r>
      <w:r>
        <w:rPr>
          <w:color w:val="231F20"/>
          <w:w w:val="105"/>
          <w:sz w:val="18"/>
        </w:rPr>
        <w:t>acostum- brar a no estar con mi familia, por eso siempre me vengo (Mino, 39 años,</w:t>
      </w:r>
      <w:r>
        <w:rPr>
          <w:color w:val="231F20"/>
          <w:spacing w:val="-16"/>
          <w:w w:val="105"/>
          <w:sz w:val="18"/>
        </w:rPr>
        <w:t> </w:t>
      </w:r>
      <w:r>
        <w:rPr>
          <w:color w:val="231F20"/>
          <w:w w:val="105"/>
          <w:sz w:val="18"/>
        </w:rPr>
        <w:t>5</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noviembre</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2014).</w:t>
      </w:r>
    </w:p>
    <w:p>
      <w:pPr>
        <w:pStyle w:val="BodyText"/>
        <w:spacing w:before="5"/>
      </w:pPr>
    </w:p>
    <w:p>
      <w:pPr>
        <w:pStyle w:val="BodyText"/>
        <w:spacing w:line="261" w:lineRule="auto"/>
        <w:ind w:left="1723" w:right="1828"/>
        <w:jc w:val="both"/>
      </w:pPr>
      <w:r>
        <w:rPr>
          <w:color w:val="231F20"/>
          <w:w w:val="105"/>
        </w:rPr>
        <w:t>En</w:t>
      </w:r>
      <w:r>
        <w:rPr>
          <w:color w:val="231F20"/>
          <w:spacing w:val="-24"/>
          <w:w w:val="105"/>
        </w:rPr>
        <w:t> </w:t>
      </w:r>
      <w:r>
        <w:rPr>
          <w:color w:val="231F20"/>
          <w:w w:val="105"/>
        </w:rPr>
        <w:t>sus</w:t>
      </w:r>
      <w:r>
        <w:rPr>
          <w:color w:val="231F20"/>
          <w:spacing w:val="-24"/>
          <w:w w:val="105"/>
        </w:rPr>
        <w:t> </w:t>
      </w:r>
      <w:r>
        <w:rPr>
          <w:color w:val="231F20"/>
          <w:w w:val="105"/>
        </w:rPr>
        <w:t>inicios,</w:t>
      </w:r>
      <w:r>
        <w:rPr>
          <w:color w:val="231F20"/>
          <w:spacing w:val="-30"/>
          <w:w w:val="105"/>
        </w:rPr>
        <w:t> </w:t>
      </w:r>
      <w:r>
        <w:rPr>
          <w:color w:val="231F20"/>
          <w:w w:val="105"/>
        </w:rPr>
        <w:t>al</w:t>
      </w:r>
      <w:r>
        <w:rPr>
          <w:color w:val="231F20"/>
          <w:spacing w:val="-24"/>
          <w:w w:val="105"/>
        </w:rPr>
        <w:t> </w:t>
      </w:r>
      <w:r>
        <w:rPr>
          <w:color w:val="231F20"/>
          <w:w w:val="105"/>
        </w:rPr>
        <w:t>igual</w:t>
      </w:r>
      <w:r>
        <w:rPr>
          <w:color w:val="231F20"/>
          <w:spacing w:val="-24"/>
          <w:w w:val="105"/>
        </w:rPr>
        <w:t> </w:t>
      </w:r>
      <w:r>
        <w:rPr>
          <w:color w:val="231F20"/>
          <w:w w:val="105"/>
        </w:rPr>
        <w:t>que</w:t>
      </w:r>
      <w:r>
        <w:rPr>
          <w:color w:val="231F20"/>
          <w:spacing w:val="-24"/>
          <w:w w:val="105"/>
        </w:rPr>
        <w:t> </w:t>
      </w:r>
      <w:r>
        <w:rPr>
          <w:color w:val="231F20"/>
          <w:w w:val="105"/>
        </w:rPr>
        <w:t>en</w:t>
      </w:r>
      <w:r>
        <w:rPr>
          <w:color w:val="231F20"/>
          <w:spacing w:val="-24"/>
          <w:w w:val="105"/>
        </w:rPr>
        <w:t> </w:t>
      </w:r>
      <w:r>
        <w:rPr>
          <w:color w:val="231F20"/>
          <w:w w:val="105"/>
        </w:rPr>
        <w:t>muchos</w:t>
      </w:r>
      <w:r>
        <w:rPr>
          <w:color w:val="231F20"/>
          <w:spacing w:val="-24"/>
          <w:w w:val="105"/>
        </w:rPr>
        <w:t> </w:t>
      </w:r>
      <w:r>
        <w:rPr>
          <w:color w:val="231F20"/>
          <w:w w:val="105"/>
        </w:rPr>
        <w:t>otros</w:t>
      </w:r>
      <w:r>
        <w:rPr>
          <w:color w:val="231F20"/>
          <w:spacing w:val="-24"/>
          <w:w w:val="105"/>
        </w:rPr>
        <w:t> </w:t>
      </w:r>
      <w:r>
        <w:rPr>
          <w:color w:val="231F20"/>
          <w:w w:val="105"/>
        </w:rPr>
        <w:t>estados</w:t>
      </w:r>
      <w:r>
        <w:rPr>
          <w:color w:val="231F20"/>
          <w:spacing w:val="-24"/>
          <w:w w:val="105"/>
        </w:rPr>
        <w:t> </w:t>
      </w:r>
      <w:r>
        <w:rPr>
          <w:color w:val="231F20"/>
          <w:w w:val="105"/>
        </w:rPr>
        <w:t>del</w:t>
      </w:r>
      <w:r>
        <w:rPr>
          <w:color w:val="231F20"/>
          <w:spacing w:val="-24"/>
          <w:w w:val="105"/>
        </w:rPr>
        <w:t> </w:t>
      </w:r>
      <w:r>
        <w:rPr>
          <w:color w:val="231F20"/>
          <w:w w:val="105"/>
        </w:rPr>
        <w:t>país,</w:t>
      </w:r>
      <w:r>
        <w:rPr>
          <w:color w:val="231F20"/>
          <w:spacing w:val="-30"/>
          <w:w w:val="105"/>
        </w:rPr>
        <w:t> </w:t>
      </w:r>
      <w:r>
        <w:rPr>
          <w:color w:val="231F20"/>
          <w:w w:val="105"/>
        </w:rPr>
        <w:t>la</w:t>
      </w:r>
      <w:r>
        <w:rPr>
          <w:color w:val="231F20"/>
          <w:spacing w:val="-24"/>
          <w:w w:val="105"/>
        </w:rPr>
        <w:t> </w:t>
      </w:r>
      <w:r>
        <w:rPr>
          <w:color w:val="231F20"/>
          <w:w w:val="105"/>
        </w:rPr>
        <w:t>migración era</w:t>
      </w:r>
      <w:r>
        <w:rPr>
          <w:color w:val="231F20"/>
          <w:spacing w:val="-21"/>
          <w:w w:val="105"/>
        </w:rPr>
        <w:t> </w:t>
      </w:r>
      <w:r>
        <w:rPr>
          <w:color w:val="231F20"/>
          <w:w w:val="105"/>
        </w:rPr>
        <w:t>sólo</w:t>
      </w:r>
      <w:r>
        <w:rPr>
          <w:color w:val="231F20"/>
          <w:spacing w:val="-21"/>
          <w:w w:val="105"/>
        </w:rPr>
        <w:t> </w:t>
      </w:r>
      <w:r>
        <w:rPr>
          <w:color w:val="231F20"/>
          <w:w w:val="105"/>
        </w:rPr>
        <w:t>de</w:t>
      </w:r>
      <w:r>
        <w:rPr>
          <w:color w:val="231F20"/>
          <w:spacing w:val="-21"/>
          <w:w w:val="105"/>
        </w:rPr>
        <w:t> </w:t>
      </w:r>
      <w:r>
        <w:rPr>
          <w:color w:val="231F20"/>
          <w:w w:val="105"/>
        </w:rPr>
        <w:t>hombres,</w:t>
      </w:r>
      <w:r>
        <w:rPr>
          <w:color w:val="231F20"/>
          <w:spacing w:val="-27"/>
          <w:w w:val="105"/>
        </w:rPr>
        <w:t> </w:t>
      </w:r>
      <w:r>
        <w:rPr>
          <w:color w:val="231F20"/>
          <w:w w:val="105"/>
        </w:rPr>
        <w:t>después</w:t>
      </w:r>
      <w:r>
        <w:rPr>
          <w:color w:val="231F20"/>
          <w:spacing w:val="-21"/>
          <w:w w:val="105"/>
        </w:rPr>
        <w:t> </w:t>
      </w:r>
      <w:r>
        <w:rPr>
          <w:color w:val="231F20"/>
          <w:w w:val="105"/>
        </w:rPr>
        <w:t>de</w:t>
      </w:r>
      <w:r>
        <w:rPr>
          <w:color w:val="231F20"/>
          <w:spacing w:val="-21"/>
          <w:w w:val="105"/>
        </w:rPr>
        <w:t> </w:t>
      </w:r>
      <w:r>
        <w:rPr>
          <w:color w:val="231F20"/>
          <w:w w:val="105"/>
        </w:rPr>
        <w:t>mujeres</w:t>
      </w:r>
      <w:r>
        <w:rPr>
          <w:color w:val="231F20"/>
          <w:spacing w:val="-21"/>
          <w:w w:val="105"/>
        </w:rPr>
        <w:t> </w:t>
      </w:r>
      <w:r>
        <w:rPr>
          <w:color w:val="231F20"/>
          <w:w w:val="105"/>
        </w:rPr>
        <w:t>y</w:t>
      </w:r>
      <w:r>
        <w:rPr>
          <w:color w:val="231F20"/>
          <w:spacing w:val="-21"/>
          <w:w w:val="105"/>
        </w:rPr>
        <w:t> </w:t>
      </w:r>
      <w:r>
        <w:rPr>
          <w:color w:val="231F20"/>
          <w:w w:val="105"/>
        </w:rPr>
        <w:t>más</w:t>
      </w:r>
      <w:r>
        <w:rPr>
          <w:color w:val="231F20"/>
          <w:spacing w:val="-21"/>
          <w:w w:val="105"/>
        </w:rPr>
        <w:t> </w:t>
      </w:r>
      <w:r>
        <w:rPr>
          <w:color w:val="231F20"/>
          <w:w w:val="105"/>
        </w:rPr>
        <w:t>tarde</w:t>
      </w:r>
      <w:r>
        <w:rPr>
          <w:color w:val="231F20"/>
          <w:spacing w:val="-21"/>
          <w:w w:val="105"/>
        </w:rPr>
        <w:t> </w:t>
      </w:r>
      <w:r>
        <w:rPr>
          <w:color w:val="231F20"/>
          <w:w w:val="105"/>
        </w:rPr>
        <w:t>de</w:t>
      </w:r>
      <w:r>
        <w:rPr>
          <w:color w:val="231F20"/>
          <w:spacing w:val="-21"/>
          <w:w w:val="105"/>
        </w:rPr>
        <w:t> </w:t>
      </w:r>
      <w:r>
        <w:rPr>
          <w:color w:val="231F20"/>
          <w:w w:val="105"/>
        </w:rPr>
        <w:t>niños</w:t>
      </w:r>
      <w:r>
        <w:rPr>
          <w:color w:val="231F20"/>
          <w:spacing w:val="-21"/>
          <w:w w:val="105"/>
        </w:rPr>
        <w:t> </w:t>
      </w:r>
      <w:r>
        <w:rPr>
          <w:color w:val="231F20"/>
          <w:w w:val="105"/>
        </w:rPr>
        <w:t>o</w:t>
      </w:r>
      <w:r>
        <w:rPr>
          <w:color w:val="231F20"/>
          <w:spacing w:val="-21"/>
          <w:w w:val="105"/>
        </w:rPr>
        <w:t> </w:t>
      </w:r>
      <w:r>
        <w:rPr>
          <w:color w:val="231F20"/>
          <w:w w:val="105"/>
        </w:rPr>
        <w:t>familias completas.</w:t>
      </w:r>
      <w:r>
        <w:rPr>
          <w:color w:val="231F20"/>
          <w:spacing w:val="-29"/>
          <w:w w:val="105"/>
        </w:rPr>
        <w:t> </w:t>
      </w:r>
      <w:r>
        <w:rPr>
          <w:color w:val="231F20"/>
          <w:w w:val="105"/>
        </w:rPr>
        <w:t>Este</w:t>
      </w:r>
      <w:r>
        <w:rPr>
          <w:color w:val="231F20"/>
          <w:spacing w:val="-23"/>
          <w:w w:val="105"/>
        </w:rPr>
        <w:t> </w:t>
      </w:r>
      <w:r>
        <w:rPr>
          <w:color w:val="231F20"/>
          <w:w w:val="105"/>
        </w:rPr>
        <w:t>es</w:t>
      </w:r>
      <w:r>
        <w:rPr>
          <w:color w:val="231F20"/>
          <w:spacing w:val="-23"/>
          <w:w w:val="105"/>
        </w:rPr>
        <w:t> </w:t>
      </w:r>
      <w:r>
        <w:rPr>
          <w:color w:val="231F20"/>
          <w:w w:val="105"/>
        </w:rPr>
        <w:t>sin</w:t>
      </w:r>
      <w:r>
        <w:rPr>
          <w:color w:val="231F20"/>
          <w:spacing w:val="-23"/>
          <w:w w:val="105"/>
        </w:rPr>
        <w:t> </w:t>
      </w:r>
      <w:r>
        <w:rPr>
          <w:color w:val="231F20"/>
          <w:w w:val="105"/>
        </w:rPr>
        <w:t>duda</w:t>
      </w:r>
      <w:r>
        <w:rPr>
          <w:color w:val="231F20"/>
          <w:spacing w:val="-23"/>
          <w:w w:val="105"/>
        </w:rPr>
        <w:t> </w:t>
      </w:r>
      <w:r>
        <w:rPr>
          <w:color w:val="231F20"/>
          <w:w w:val="105"/>
        </w:rPr>
        <w:t>uno</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fenómenos</w:t>
      </w:r>
      <w:r>
        <w:rPr>
          <w:color w:val="231F20"/>
          <w:spacing w:val="-23"/>
          <w:w w:val="105"/>
        </w:rPr>
        <w:t> </w:t>
      </w:r>
      <w:r>
        <w:rPr>
          <w:color w:val="231F20"/>
          <w:w w:val="105"/>
        </w:rPr>
        <w:t>más</w:t>
      </w:r>
      <w:r>
        <w:rPr>
          <w:color w:val="231F20"/>
          <w:spacing w:val="-23"/>
          <w:w w:val="105"/>
        </w:rPr>
        <w:t> </w:t>
      </w:r>
      <w:r>
        <w:rPr>
          <w:color w:val="231F20"/>
          <w:w w:val="105"/>
        </w:rPr>
        <w:t>importantes</w:t>
      </w:r>
      <w:r>
        <w:rPr>
          <w:color w:val="231F20"/>
          <w:spacing w:val="-23"/>
          <w:w w:val="105"/>
        </w:rPr>
        <w:t> </w:t>
      </w:r>
      <w:r>
        <w:rPr>
          <w:color w:val="231F20"/>
          <w:w w:val="105"/>
        </w:rPr>
        <w:t>en</w:t>
      </w:r>
      <w:r>
        <w:rPr>
          <w:color w:val="231F20"/>
          <w:spacing w:val="-23"/>
          <w:w w:val="105"/>
        </w:rPr>
        <w:t> </w:t>
      </w:r>
      <w:r>
        <w:rPr>
          <w:color w:val="231F20"/>
          <w:w w:val="105"/>
        </w:rPr>
        <w:t>la comunidad</w:t>
      </w:r>
      <w:r>
        <w:rPr>
          <w:color w:val="231F20"/>
          <w:spacing w:val="-13"/>
          <w:w w:val="105"/>
        </w:rPr>
        <w:t> </w:t>
      </w:r>
      <w:r>
        <w:rPr>
          <w:color w:val="231F20"/>
          <w:w w:val="105"/>
        </w:rPr>
        <w:t>de</w:t>
      </w:r>
      <w:r>
        <w:rPr>
          <w:color w:val="231F20"/>
          <w:spacing w:val="-13"/>
          <w:w w:val="105"/>
        </w:rPr>
        <w:t> </w:t>
      </w:r>
      <w:r>
        <w:rPr>
          <w:color w:val="231F20"/>
          <w:w w:val="105"/>
        </w:rPr>
        <w:t>Santiago</w:t>
      </w:r>
      <w:r>
        <w:rPr>
          <w:color w:val="231F20"/>
          <w:spacing w:val="-13"/>
          <w:w w:val="105"/>
        </w:rPr>
        <w:t> </w:t>
      </w:r>
      <w:r>
        <w:rPr>
          <w:color w:val="231F20"/>
          <w:w w:val="105"/>
        </w:rPr>
        <w:t>ya</w:t>
      </w:r>
      <w:r>
        <w:rPr>
          <w:color w:val="231F20"/>
          <w:spacing w:val="-13"/>
          <w:w w:val="105"/>
        </w:rPr>
        <w:t> </w:t>
      </w:r>
      <w:r>
        <w:rPr>
          <w:color w:val="231F20"/>
          <w:w w:val="105"/>
        </w:rPr>
        <w:t>que</w:t>
      </w:r>
      <w:r>
        <w:rPr>
          <w:color w:val="231F20"/>
          <w:spacing w:val="-13"/>
          <w:w w:val="105"/>
        </w:rPr>
        <w:t> </w:t>
      </w:r>
      <w:r>
        <w:rPr>
          <w:color w:val="231F20"/>
          <w:w w:val="105"/>
        </w:rPr>
        <w:t>obedece</w:t>
      </w:r>
      <w:r>
        <w:rPr>
          <w:color w:val="231F20"/>
          <w:spacing w:val="-13"/>
          <w:w w:val="105"/>
        </w:rPr>
        <w:t> </w:t>
      </w:r>
      <w:r>
        <w:rPr>
          <w:color w:val="231F20"/>
          <w:w w:val="105"/>
        </w:rPr>
        <w:t>a</w:t>
      </w:r>
      <w:r>
        <w:rPr>
          <w:color w:val="231F20"/>
          <w:spacing w:val="-13"/>
          <w:w w:val="105"/>
        </w:rPr>
        <w:t> </w:t>
      </w:r>
      <w:r>
        <w:rPr>
          <w:color w:val="231F20"/>
          <w:w w:val="105"/>
        </w:rPr>
        <w:t>causas</w:t>
      </w:r>
      <w:r>
        <w:rPr>
          <w:color w:val="231F20"/>
          <w:spacing w:val="-13"/>
          <w:w w:val="105"/>
        </w:rPr>
        <w:t> </w:t>
      </w:r>
      <w:r>
        <w:rPr>
          <w:color w:val="231F20"/>
          <w:w w:val="105"/>
        </w:rPr>
        <w:t>diversas</w:t>
      </w:r>
      <w:r>
        <w:rPr>
          <w:color w:val="231F20"/>
          <w:spacing w:val="-13"/>
          <w:w w:val="105"/>
        </w:rPr>
        <w:t> </w:t>
      </w:r>
      <w:r>
        <w:rPr>
          <w:color w:val="231F20"/>
          <w:w w:val="105"/>
        </w:rPr>
        <w:t>y</w:t>
      </w:r>
      <w:r>
        <w:rPr>
          <w:color w:val="231F20"/>
          <w:spacing w:val="-13"/>
          <w:w w:val="105"/>
        </w:rPr>
        <w:t> </w:t>
      </w:r>
      <w:r>
        <w:rPr>
          <w:color w:val="231F20"/>
          <w:w w:val="105"/>
        </w:rPr>
        <w:t>complejas. En agosto de 2014 la escuela primaria del lugar tenía una matrícula de 40 niños y para junio de 2015 eran 35, porque cinco niños se fueron a </w:t>
      </w:r>
      <w:r>
        <w:rPr>
          <w:color w:val="231F20"/>
        </w:rPr>
        <w:t>Estados</w:t>
      </w:r>
      <w:r>
        <w:rPr>
          <w:color w:val="231F20"/>
          <w:spacing w:val="9"/>
        </w:rPr>
        <w:t> </w:t>
      </w:r>
      <w:r>
        <w:rPr>
          <w:color w:val="231F20"/>
        </w:rPr>
        <w:t>Unidos.</w:t>
      </w:r>
    </w:p>
    <w:p>
      <w:pPr>
        <w:pStyle w:val="BodyText"/>
        <w:spacing w:line="261" w:lineRule="auto" w:before="1"/>
        <w:ind w:left="1723" w:right="1834" w:firstLine="567"/>
        <w:jc w:val="both"/>
      </w:pPr>
      <w:r>
        <w:rPr>
          <w:color w:val="231F20"/>
          <w:w w:val="105"/>
        </w:rPr>
        <w:t>Refieren</w:t>
      </w:r>
      <w:r>
        <w:rPr>
          <w:color w:val="231F20"/>
          <w:spacing w:val="-18"/>
          <w:w w:val="105"/>
        </w:rPr>
        <w:t> </w:t>
      </w:r>
      <w:r>
        <w:rPr>
          <w:color w:val="231F20"/>
          <w:w w:val="105"/>
        </w:rPr>
        <w:t>los</w:t>
      </w:r>
      <w:r>
        <w:rPr>
          <w:color w:val="231F20"/>
          <w:spacing w:val="-18"/>
          <w:w w:val="105"/>
        </w:rPr>
        <w:t> </w:t>
      </w:r>
      <w:r>
        <w:rPr>
          <w:color w:val="231F20"/>
          <w:w w:val="105"/>
        </w:rPr>
        <w:t>habitantes</w:t>
      </w:r>
      <w:r>
        <w:rPr>
          <w:color w:val="231F20"/>
          <w:spacing w:val="-18"/>
          <w:w w:val="105"/>
        </w:rPr>
        <w:t> </w:t>
      </w:r>
      <w:r>
        <w:rPr>
          <w:color w:val="231F20"/>
          <w:w w:val="105"/>
        </w:rPr>
        <w:t>de</w:t>
      </w:r>
      <w:r>
        <w:rPr>
          <w:color w:val="231F20"/>
          <w:spacing w:val="-18"/>
          <w:w w:val="105"/>
        </w:rPr>
        <w:t> </w:t>
      </w:r>
      <w:r>
        <w:rPr>
          <w:color w:val="231F20"/>
          <w:w w:val="105"/>
        </w:rPr>
        <w:t>Santiago,</w:t>
      </w:r>
      <w:r>
        <w:rPr>
          <w:color w:val="231F20"/>
          <w:spacing w:val="-22"/>
          <w:w w:val="105"/>
        </w:rPr>
        <w:t> </w:t>
      </w:r>
      <w:r>
        <w:rPr>
          <w:color w:val="231F20"/>
          <w:w w:val="105"/>
        </w:rPr>
        <w:t>la</w:t>
      </w:r>
      <w:r>
        <w:rPr>
          <w:color w:val="231F20"/>
          <w:spacing w:val="-18"/>
          <w:w w:val="105"/>
        </w:rPr>
        <w:t> </w:t>
      </w:r>
      <w:r>
        <w:rPr>
          <w:color w:val="231F20"/>
          <w:w w:val="105"/>
        </w:rPr>
        <w:t>situación</w:t>
      </w:r>
      <w:r>
        <w:rPr>
          <w:color w:val="231F20"/>
          <w:spacing w:val="-18"/>
          <w:w w:val="105"/>
        </w:rPr>
        <w:t> </w:t>
      </w:r>
      <w:r>
        <w:rPr>
          <w:color w:val="231F20"/>
          <w:w w:val="105"/>
        </w:rPr>
        <w:t>económica</w:t>
      </w:r>
      <w:r>
        <w:rPr>
          <w:color w:val="231F20"/>
          <w:spacing w:val="-18"/>
          <w:w w:val="105"/>
        </w:rPr>
        <w:t> </w:t>
      </w:r>
      <w:r>
        <w:rPr>
          <w:color w:val="231F20"/>
          <w:w w:val="105"/>
        </w:rPr>
        <w:t>en</w:t>
      </w:r>
      <w:r>
        <w:rPr>
          <w:color w:val="231F20"/>
          <w:spacing w:val="-18"/>
          <w:w w:val="105"/>
        </w:rPr>
        <w:t> </w:t>
      </w:r>
      <w:r>
        <w:rPr>
          <w:color w:val="231F20"/>
          <w:w w:val="105"/>
        </w:rPr>
        <w:t>es- tos</w:t>
      </w:r>
      <w:r>
        <w:rPr>
          <w:color w:val="231F20"/>
          <w:spacing w:val="-7"/>
          <w:w w:val="105"/>
        </w:rPr>
        <w:t> </w:t>
      </w:r>
      <w:r>
        <w:rPr>
          <w:color w:val="231F20"/>
          <w:w w:val="105"/>
        </w:rPr>
        <w:t>momentos</w:t>
      </w:r>
      <w:r>
        <w:rPr>
          <w:color w:val="231F20"/>
          <w:spacing w:val="-7"/>
          <w:w w:val="105"/>
        </w:rPr>
        <w:t> </w:t>
      </w:r>
      <w:r>
        <w:rPr>
          <w:color w:val="231F20"/>
          <w:w w:val="105"/>
        </w:rPr>
        <w:t>está</w:t>
      </w:r>
      <w:r>
        <w:rPr>
          <w:color w:val="231F20"/>
          <w:spacing w:val="-7"/>
          <w:w w:val="105"/>
        </w:rPr>
        <w:t> </w:t>
      </w:r>
      <w:r>
        <w:rPr>
          <w:color w:val="231F20"/>
          <w:w w:val="105"/>
        </w:rPr>
        <w:t>difícil,</w:t>
      </w:r>
      <w:r>
        <w:rPr>
          <w:color w:val="231F20"/>
          <w:spacing w:val="-13"/>
          <w:w w:val="105"/>
        </w:rPr>
        <w:t> </w:t>
      </w:r>
      <w:r>
        <w:rPr>
          <w:color w:val="231F20"/>
          <w:w w:val="105"/>
        </w:rPr>
        <w:t>tanto</w:t>
      </w:r>
      <w:r>
        <w:rPr>
          <w:color w:val="231F20"/>
          <w:spacing w:val="-7"/>
          <w:w w:val="105"/>
        </w:rPr>
        <w:t> </w:t>
      </w:r>
      <w:r>
        <w:rPr>
          <w:color w:val="231F20"/>
          <w:w w:val="105"/>
        </w:rPr>
        <w:t>para</w:t>
      </w:r>
      <w:r>
        <w:rPr>
          <w:color w:val="231F20"/>
          <w:spacing w:val="-7"/>
          <w:w w:val="105"/>
        </w:rPr>
        <w:t> </w:t>
      </w:r>
      <w:r>
        <w:rPr>
          <w:color w:val="231F20"/>
          <w:w w:val="105"/>
        </w:rPr>
        <w:t>poder</w:t>
      </w:r>
      <w:r>
        <w:rPr>
          <w:color w:val="231F20"/>
          <w:spacing w:val="-7"/>
          <w:w w:val="105"/>
        </w:rPr>
        <w:t> </w:t>
      </w:r>
      <w:r>
        <w:rPr>
          <w:color w:val="231F20"/>
          <w:w w:val="105"/>
        </w:rPr>
        <w:t>pasar</w:t>
      </w:r>
      <w:r>
        <w:rPr>
          <w:color w:val="231F20"/>
          <w:spacing w:val="-7"/>
          <w:w w:val="105"/>
        </w:rPr>
        <w:t> </w:t>
      </w:r>
      <w:r>
        <w:rPr>
          <w:color w:val="231F20"/>
          <w:w w:val="105"/>
        </w:rPr>
        <w:t>a</w:t>
      </w:r>
      <w:r>
        <w:rPr>
          <w:color w:val="231F20"/>
          <w:spacing w:val="-7"/>
          <w:w w:val="105"/>
        </w:rPr>
        <w:t> </w:t>
      </w:r>
      <w:r>
        <w:rPr>
          <w:color w:val="231F20"/>
          <w:w w:val="105"/>
        </w:rPr>
        <w:t>otro</w:t>
      </w:r>
      <w:r>
        <w:rPr>
          <w:color w:val="231F20"/>
          <w:spacing w:val="-7"/>
          <w:w w:val="105"/>
        </w:rPr>
        <w:t> </w:t>
      </w:r>
      <w:r>
        <w:rPr>
          <w:color w:val="231F20"/>
          <w:w w:val="105"/>
        </w:rPr>
        <w:t>país,</w:t>
      </w:r>
      <w:r>
        <w:rPr>
          <w:color w:val="231F20"/>
          <w:spacing w:val="-13"/>
          <w:w w:val="105"/>
        </w:rPr>
        <w:t> </w:t>
      </w:r>
      <w:r>
        <w:rPr>
          <w:color w:val="231F20"/>
          <w:w w:val="105"/>
        </w:rPr>
        <w:t>como</w:t>
      </w:r>
      <w:r>
        <w:rPr>
          <w:color w:val="231F20"/>
          <w:spacing w:val="-7"/>
          <w:w w:val="105"/>
        </w:rPr>
        <w:t> </w:t>
      </w:r>
      <w:r>
        <w:rPr>
          <w:color w:val="231F20"/>
          <w:w w:val="105"/>
        </w:rPr>
        <w:t>para mantenerse</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comunidad.</w:t>
      </w:r>
      <w:r>
        <w:rPr>
          <w:color w:val="231F20"/>
          <w:spacing w:val="-23"/>
          <w:w w:val="105"/>
        </w:rPr>
        <w:t> </w:t>
      </w:r>
      <w:r>
        <w:rPr>
          <w:color w:val="231F20"/>
          <w:w w:val="105"/>
        </w:rPr>
        <w:t>Se</w:t>
      </w:r>
      <w:r>
        <w:rPr>
          <w:color w:val="231F20"/>
          <w:spacing w:val="-17"/>
          <w:w w:val="105"/>
        </w:rPr>
        <w:t> </w:t>
      </w:r>
      <w:r>
        <w:rPr>
          <w:color w:val="231F20"/>
          <w:w w:val="105"/>
        </w:rPr>
        <w:t>logró</w:t>
      </w:r>
      <w:r>
        <w:rPr>
          <w:color w:val="231F20"/>
          <w:spacing w:val="-17"/>
          <w:w w:val="105"/>
        </w:rPr>
        <w:t> </w:t>
      </w:r>
      <w:r>
        <w:rPr>
          <w:color w:val="231F20"/>
          <w:w w:val="105"/>
        </w:rPr>
        <w:t>observar</w:t>
      </w:r>
      <w:r>
        <w:rPr>
          <w:color w:val="231F20"/>
          <w:spacing w:val="-17"/>
          <w:w w:val="105"/>
        </w:rPr>
        <w:t> </w:t>
      </w:r>
      <w:r>
        <w:rPr>
          <w:color w:val="231F20"/>
          <w:w w:val="105"/>
        </w:rPr>
        <w:t>que</w:t>
      </w:r>
      <w:r>
        <w:rPr>
          <w:color w:val="231F20"/>
          <w:spacing w:val="-17"/>
          <w:w w:val="105"/>
        </w:rPr>
        <w:t> </w:t>
      </w:r>
      <w:r>
        <w:rPr>
          <w:color w:val="231F20"/>
          <w:w w:val="105"/>
        </w:rPr>
        <w:t>existe</w:t>
      </w:r>
      <w:r>
        <w:rPr>
          <w:color w:val="231F20"/>
          <w:spacing w:val="-17"/>
          <w:w w:val="105"/>
        </w:rPr>
        <w:t> </w:t>
      </w:r>
      <w:r>
        <w:rPr>
          <w:color w:val="231F20"/>
          <w:w w:val="105"/>
        </w:rPr>
        <w:t>mucha</w:t>
      </w:r>
      <w:r>
        <w:rPr>
          <w:color w:val="231F20"/>
          <w:spacing w:val="-17"/>
          <w:w w:val="105"/>
        </w:rPr>
        <w:t> </w:t>
      </w:r>
      <w:r>
        <w:rPr>
          <w:color w:val="231F20"/>
          <w:w w:val="105"/>
        </w:rPr>
        <w:t>gente de</w:t>
      </w:r>
      <w:r>
        <w:rPr>
          <w:color w:val="231F20"/>
          <w:spacing w:val="-17"/>
          <w:w w:val="105"/>
        </w:rPr>
        <w:t> </w:t>
      </w:r>
      <w:r>
        <w:rPr>
          <w:color w:val="231F20"/>
          <w:w w:val="105"/>
        </w:rPr>
        <w:t>la</w:t>
      </w:r>
      <w:r>
        <w:rPr>
          <w:color w:val="231F20"/>
          <w:spacing w:val="-17"/>
          <w:w w:val="105"/>
        </w:rPr>
        <w:t> </w:t>
      </w:r>
      <w:r>
        <w:rPr>
          <w:color w:val="231F20"/>
          <w:w w:val="105"/>
        </w:rPr>
        <w:t>tercera</w:t>
      </w:r>
      <w:r>
        <w:rPr>
          <w:color w:val="231F20"/>
          <w:spacing w:val="-17"/>
          <w:w w:val="105"/>
        </w:rPr>
        <w:t> </w:t>
      </w:r>
      <w:r>
        <w:rPr>
          <w:color w:val="231F20"/>
          <w:w w:val="105"/>
        </w:rPr>
        <w:t>edad</w:t>
      </w:r>
      <w:r>
        <w:rPr>
          <w:color w:val="231F20"/>
          <w:spacing w:val="-17"/>
          <w:w w:val="105"/>
        </w:rPr>
        <w:t> </w:t>
      </w:r>
      <w:r>
        <w:rPr>
          <w:color w:val="231F20"/>
          <w:w w:val="105"/>
        </w:rPr>
        <w:t>y</w:t>
      </w:r>
      <w:r>
        <w:rPr>
          <w:color w:val="231F20"/>
          <w:spacing w:val="-17"/>
          <w:w w:val="105"/>
        </w:rPr>
        <w:t> </w:t>
      </w:r>
      <w:r>
        <w:rPr>
          <w:color w:val="231F20"/>
          <w:w w:val="105"/>
        </w:rPr>
        <w:t>que</w:t>
      </w:r>
      <w:r>
        <w:rPr>
          <w:color w:val="231F20"/>
          <w:spacing w:val="-17"/>
          <w:w w:val="105"/>
        </w:rPr>
        <w:t> </w:t>
      </w:r>
      <w:r>
        <w:rPr>
          <w:color w:val="231F20"/>
          <w:w w:val="105"/>
        </w:rPr>
        <w:t>son</w:t>
      </w:r>
      <w:r>
        <w:rPr>
          <w:color w:val="231F20"/>
          <w:spacing w:val="-17"/>
          <w:w w:val="105"/>
        </w:rPr>
        <w:t> </w:t>
      </w:r>
      <w:r>
        <w:rPr>
          <w:color w:val="231F20"/>
          <w:w w:val="105"/>
        </w:rPr>
        <w:t>ellos</w:t>
      </w:r>
      <w:r>
        <w:rPr>
          <w:color w:val="231F20"/>
          <w:spacing w:val="-17"/>
          <w:w w:val="105"/>
        </w:rPr>
        <w:t> </w:t>
      </w:r>
      <w:r>
        <w:rPr>
          <w:color w:val="231F20"/>
          <w:w w:val="105"/>
        </w:rPr>
        <w:t>básicamente</w:t>
      </w:r>
      <w:r>
        <w:rPr>
          <w:color w:val="231F20"/>
          <w:spacing w:val="-17"/>
          <w:w w:val="105"/>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momento se</w:t>
      </w:r>
      <w:r>
        <w:rPr>
          <w:color w:val="231F20"/>
          <w:spacing w:val="-19"/>
          <w:w w:val="105"/>
        </w:rPr>
        <w:t> </w:t>
      </w:r>
      <w:r>
        <w:rPr>
          <w:color w:val="231F20"/>
          <w:w w:val="105"/>
        </w:rPr>
        <w:t>encuentran</w:t>
      </w:r>
      <w:r>
        <w:rPr>
          <w:color w:val="231F20"/>
          <w:spacing w:val="-19"/>
          <w:w w:val="105"/>
        </w:rPr>
        <w:t> </w:t>
      </w:r>
      <w:r>
        <w:rPr>
          <w:color w:val="231F20"/>
          <w:w w:val="105"/>
        </w:rPr>
        <w:t>cultivando</w:t>
      </w:r>
      <w:r>
        <w:rPr>
          <w:color w:val="231F20"/>
          <w:spacing w:val="-19"/>
          <w:w w:val="105"/>
        </w:rPr>
        <w:t> </w:t>
      </w:r>
      <w:r>
        <w:rPr>
          <w:color w:val="231F20"/>
          <w:w w:val="105"/>
        </w:rPr>
        <w:t>las</w:t>
      </w:r>
      <w:r>
        <w:rPr>
          <w:color w:val="231F20"/>
          <w:spacing w:val="-19"/>
          <w:w w:val="105"/>
        </w:rPr>
        <w:t> </w:t>
      </w:r>
      <w:r>
        <w:rPr>
          <w:color w:val="231F20"/>
          <w:w w:val="105"/>
        </w:rPr>
        <w:t>tierras.</w:t>
      </w:r>
      <w:r>
        <w:rPr>
          <w:color w:val="231F20"/>
          <w:spacing w:val="-24"/>
          <w:w w:val="105"/>
        </w:rPr>
        <w:t> </w:t>
      </w:r>
      <w:r>
        <w:rPr>
          <w:color w:val="231F20"/>
          <w:w w:val="105"/>
        </w:rPr>
        <w:t>Los</w:t>
      </w:r>
      <w:r>
        <w:rPr>
          <w:color w:val="231F20"/>
          <w:spacing w:val="-19"/>
          <w:w w:val="105"/>
        </w:rPr>
        <w:t> </w:t>
      </w:r>
      <w:r>
        <w:rPr>
          <w:color w:val="231F20"/>
          <w:w w:val="105"/>
        </w:rPr>
        <w:t>jóvenes</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han</w:t>
      </w:r>
      <w:r>
        <w:rPr>
          <w:color w:val="231F20"/>
          <w:spacing w:val="-19"/>
          <w:w w:val="105"/>
        </w:rPr>
        <w:t> </w:t>
      </w:r>
      <w:r>
        <w:rPr>
          <w:color w:val="231F20"/>
          <w:w w:val="105"/>
        </w:rPr>
        <w:t>quedado</w:t>
      </w:r>
      <w:r>
        <w:rPr>
          <w:color w:val="231F20"/>
          <w:spacing w:val="-19"/>
          <w:w w:val="105"/>
        </w:rPr>
        <w:t> </w:t>
      </w:r>
      <w:r>
        <w:rPr>
          <w:color w:val="231F20"/>
          <w:w w:val="105"/>
        </w:rPr>
        <w:t>en el</w:t>
      </w:r>
      <w:r>
        <w:rPr>
          <w:color w:val="231F20"/>
          <w:spacing w:val="-8"/>
          <w:w w:val="105"/>
        </w:rPr>
        <w:t> </w:t>
      </w:r>
      <w:r>
        <w:rPr>
          <w:color w:val="231F20"/>
          <w:w w:val="105"/>
        </w:rPr>
        <w:t>pueblo</w:t>
      </w:r>
      <w:r>
        <w:rPr>
          <w:color w:val="231F20"/>
          <w:spacing w:val="-8"/>
          <w:w w:val="105"/>
        </w:rPr>
        <w:t> </w:t>
      </w:r>
      <w:r>
        <w:rPr>
          <w:color w:val="231F20"/>
          <w:w w:val="105"/>
        </w:rPr>
        <w:t>contribuyen</w:t>
      </w:r>
      <w:r>
        <w:rPr>
          <w:color w:val="231F20"/>
          <w:spacing w:val="-8"/>
          <w:w w:val="105"/>
        </w:rPr>
        <w:t> </w:t>
      </w:r>
      <w:r>
        <w:rPr>
          <w:color w:val="231F20"/>
          <w:w w:val="105"/>
        </w:rPr>
        <w:t>a</w:t>
      </w:r>
      <w:r>
        <w:rPr>
          <w:color w:val="231F20"/>
          <w:spacing w:val="-8"/>
          <w:w w:val="105"/>
        </w:rPr>
        <w:t> </w:t>
      </w:r>
      <w:r>
        <w:rPr>
          <w:color w:val="231F20"/>
          <w:w w:val="105"/>
        </w:rPr>
        <w:t>las</w:t>
      </w:r>
      <w:r>
        <w:rPr>
          <w:color w:val="231F20"/>
          <w:spacing w:val="-8"/>
          <w:w w:val="105"/>
        </w:rPr>
        <w:t> </w:t>
      </w:r>
      <w:r>
        <w:rPr>
          <w:color w:val="231F20"/>
          <w:w w:val="105"/>
        </w:rPr>
        <w:t>labores</w:t>
      </w:r>
      <w:r>
        <w:rPr>
          <w:color w:val="231F20"/>
          <w:spacing w:val="-8"/>
          <w:w w:val="105"/>
        </w:rPr>
        <w:t> </w:t>
      </w:r>
      <w:r>
        <w:rPr>
          <w:color w:val="231F20"/>
          <w:w w:val="105"/>
        </w:rPr>
        <w:t>del</w:t>
      </w:r>
      <w:r>
        <w:rPr>
          <w:color w:val="231F20"/>
          <w:spacing w:val="-8"/>
          <w:w w:val="105"/>
        </w:rPr>
        <w:t> </w:t>
      </w:r>
      <w:r>
        <w:rPr>
          <w:color w:val="231F20"/>
          <w:w w:val="105"/>
        </w:rPr>
        <w:t>campo.</w:t>
      </w:r>
    </w:p>
    <w:p>
      <w:pPr>
        <w:pStyle w:val="BodyText"/>
        <w:spacing w:line="261" w:lineRule="auto" w:before="1"/>
        <w:ind w:left="1723" w:right="1828" w:firstLine="567"/>
        <w:jc w:val="both"/>
      </w:pPr>
      <w:r>
        <w:rPr>
          <w:color w:val="231F20"/>
          <w:w w:val="105"/>
        </w:rPr>
        <w:t>La</w:t>
      </w:r>
      <w:r>
        <w:rPr>
          <w:color w:val="231F20"/>
          <w:spacing w:val="-7"/>
          <w:w w:val="105"/>
        </w:rPr>
        <w:t> </w:t>
      </w:r>
      <w:r>
        <w:rPr>
          <w:color w:val="231F20"/>
          <w:w w:val="105"/>
        </w:rPr>
        <w:t>falta</w:t>
      </w:r>
      <w:r>
        <w:rPr>
          <w:color w:val="231F20"/>
          <w:spacing w:val="-7"/>
          <w:w w:val="105"/>
        </w:rPr>
        <w:t> </w:t>
      </w:r>
      <w:r>
        <w:rPr>
          <w:color w:val="231F20"/>
          <w:w w:val="105"/>
        </w:rPr>
        <w:t>de</w:t>
      </w:r>
      <w:r>
        <w:rPr>
          <w:color w:val="231F20"/>
          <w:spacing w:val="-7"/>
          <w:w w:val="105"/>
        </w:rPr>
        <w:t> </w:t>
      </w:r>
      <w:r>
        <w:rPr>
          <w:color w:val="231F20"/>
          <w:w w:val="105"/>
        </w:rPr>
        <w:t>empleo,</w:t>
      </w:r>
      <w:r>
        <w:rPr>
          <w:color w:val="231F20"/>
          <w:spacing w:val="-12"/>
          <w:w w:val="105"/>
        </w:rPr>
        <w:t> </w:t>
      </w:r>
      <w:r>
        <w:rPr>
          <w:color w:val="231F20"/>
          <w:w w:val="105"/>
        </w:rPr>
        <w:t>principalmente,</w:t>
      </w:r>
      <w:r>
        <w:rPr>
          <w:color w:val="231F20"/>
          <w:spacing w:val="-12"/>
          <w:w w:val="105"/>
        </w:rPr>
        <w:t> </w:t>
      </w:r>
      <w:r>
        <w:rPr>
          <w:color w:val="231F20"/>
          <w:w w:val="105"/>
        </w:rPr>
        <w:t>es</w:t>
      </w:r>
      <w:r>
        <w:rPr>
          <w:color w:val="231F20"/>
          <w:spacing w:val="-7"/>
          <w:w w:val="105"/>
        </w:rPr>
        <w:t> </w:t>
      </w:r>
      <w:r>
        <w:rPr>
          <w:color w:val="231F20"/>
          <w:w w:val="105"/>
        </w:rPr>
        <w:t>la</w:t>
      </w:r>
      <w:r>
        <w:rPr>
          <w:color w:val="231F20"/>
          <w:spacing w:val="-7"/>
          <w:w w:val="105"/>
        </w:rPr>
        <w:t> </w:t>
      </w:r>
      <w:r>
        <w:rPr>
          <w:color w:val="231F20"/>
          <w:w w:val="105"/>
        </w:rPr>
        <w:t>causa</w:t>
      </w:r>
      <w:r>
        <w:rPr>
          <w:color w:val="231F20"/>
          <w:spacing w:val="-7"/>
          <w:w w:val="105"/>
        </w:rPr>
        <w:t> </w:t>
      </w:r>
      <w:r>
        <w:rPr>
          <w:color w:val="231F20"/>
          <w:w w:val="105"/>
        </w:rPr>
        <w:t>por</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las</w:t>
      </w:r>
      <w:r>
        <w:rPr>
          <w:color w:val="231F20"/>
          <w:spacing w:val="-7"/>
          <w:w w:val="105"/>
        </w:rPr>
        <w:t> </w:t>
      </w:r>
      <w:r>
        <w:rPr>
          <w:color w:val="231F20"/>
          <w:w w:val="105"/>
        </w:rPr>
        <w:t>per- sonas</w:t>
      </w:r>
      <w:r>
        <w:rPr>
          <w:color w:val="231F20"/>
          <w:spacing w:val="-24"/>
          <w:w w:val="105"/>
        </w:rPr>
        <w:t> </w:t>
      </w:r>
      <w:r>
        <w:rPr>
          <w:color w:val="231F20"/>
          <w:w w:val="105"/>
        </w:rPr>
        <w:t>migran.</w:t>
      </w:r>
      <w:r>
        <w:rPr>
          <w:color w:val="231F20"/>
          <w:spacing w:val="-30"/>
          <w:w w:val="105"/>
        </w:rPr>
        <w:t> </w:t>
      </w:r>
      <w:r>
        <w:rPr>
          <w:color w:val="231F20"/>
          <w:w w:val="105"/>
        </w:rPr>
        <w:t>Sin</w:t>
      </w:r>
      <w:r>
        <w:rPr>
          <w:color w:val="231F20"/>
          <w:spacing w:val="-24"/>
          <w:w w:val="105"/>
        </w:rPr>
        <w:t> </w:t>
      </w:r>
      <w:r>
        <w:rPr>
          <w:color w:val="231F20"/>
          <w:w w:val="105"/>
        </w:rPr>
        <w:t>duda</w:t>
      </w:r>
      <w:r>
        <w:rPr>
          <w:color w:val="231F20"/>
          <w:spacing w:val="-24"/>
          <w:w w:val="105"/>
        </w:rPr>
        <w:t> </w:t>
      </w:r>
      <w:r>
        <w:rPr>
          <w:color w:val="231F20"/>
          <w:w w:val="105"/>
        </w:rPr>
        <w:t>alguna</w:t>
      </w:r>
      <w:r>
        <w:rPr>
          <w:color w:val="231F20"/>
          <w:spacing w:val="-24"/>
          <w:w w:val="105"/>
        </w:rPr>
        <w:t> </w:t>
      </w:r>
      <w:r>
        <w:rPr>
          <w:color w:val="231F20"/>
          <w:w w:val="105"/>
        </w:rPr>
        <w:t>no</w:t>
      </w:r>
      <w:r>
        <w:rPr>
          <w:color w:val="231F20"/>
          <w:spacing w:val="-24"/>
          <w:w w:val="105"/>
        </w:rPr>
        <w:t> </w:t>
      </w:r>
      <w:r>
        <w:rPr>
          <w:color w:val="231F20"/>
          <w:w w:val="105"/>
        </w:rPr>
        <w:t>es</w:t>
      </w:r>
      <w:r>
        <w:rPr>
          <w:color w:val="231F20"/>
          <w:spacing w:val="-24"/>
          <w:w w:val="105"/>
        </w:rPr>
        <w:t> </w:t>
      </w:r>
      <w:r>
        <w:rPr>
          <w:color w:val="231F20"/>
          <w:w w:val="105"/>
        </w:rPr>
        <w:t>la</w:t>
      </w:r>
      <w:r>
        <w:rPr>
          <w:color w:val="231F20"/>
          <w:spacing w:val="-24"/>
          <w:w w:val="105"/>
        </w:rPr>
        <w:t> </w:t>
      </w:r>
      <w:r>
        <w:rPr>
          <w:color w:val="231F20"/>
          <w:w w:val="105"/>
        </w:rPr>
        <w:t>única</w:t>
      </w:r>
      <w:r>
        <w:rPr>
          <w:color w:val="231F20"/>
          <w:spacing w:val="-24"/>
          <w:w w:val="105"/>
        </w:rPr>
        <w:t> </w:t>
      </w:r>
      <w:r>
        <w:rPr>
          <w:color w:val="231F20"/>
          <w:w w:val="105"/>
        </w:rPr>
        <w:t>razón,</w:t>
      </w:r>
      <w:r>
        <w:rPr>
          <w:color w:val="231F20"/>
          <w:spacing w:val="-30"/>
          <w:w w:val="105"/>
        </w:rPr>
        <w:t> </w:t>
      </w:r>
      <w:r>
        <w:rPr>
          <w:color w:val="231F20"/>
          <w:w w:val="105"/>
        </w:rPr>
        <w:t>porque</w:t>
      </w:r>
      <w:r>
        <w:rPr>
          <w:color w:val="231F20"/>
          <w:spacing w:val="-24"/>
          <w:w w:val="105"/>
        </w:rPr>
        <w:t> </w:t>
      </w:r>
      <w:r>
        <w:rPr>
          <w:color w:val="231F20"/>
          <w:w w:val="105"/>
        </w:rPr>
        <w:t>la</w:t>
      </w:r>
      <w:r>
        <w:rPr>
          <w:color w:val="231F20"/>
          <w:spacing w:val="-24"/>
          <w:w w:val="105"/>
        </w:rPr>
        <w:t> </w:t>
      </w:r>
      <w:r>
        <w:rPr>
          <w:color w:val="231F20"/>
          <w:w w:val="105"/>
        </w:rPr>
        <w:t>idea</w:t>
      </w:r>
      <w:r>
        <w:rPr>
          <w:color w:val="231F20"/>
          <w:spacing w:val="-24"/>
          <w:w w:val="105"/>
        </w:rPr>
        <w:t> </w:t>
      </w:r>
      <w:r>
        <w:rPr>
          <w:color w:val="231F20"/>
          <w:w w:val="105"/>
        </w:rPr>
        <w:t>de</w:t>
      </w:r>
      <w:r>
        <w:rPr>
          <w:color w:val="231F20"/>
          <w:spacing w:val="-24"/>
          <w:w w:val="105"/>
        </w:rPr>
        <w:t> </w:t>
      </w:r>
      <w:r>
        <w:rPr>
          <w:color w:val="231F20"/>
          <w:w w:val="105"/>
        </w:rPr>
        <w:t>po- der</w:t>
      </w:r>
      <w:r>
        <w:rPr>
          <w:color w:val="231F20"/>
          <w:spacing w:val="-12"/>
          <w:w w:val="105"/>
        </w:rPr>
        <w:t> </w:t>
      </w:r>
      <w:r>
        <w:rPr>
          <w:color w:val="231F20"/>
          <w:w w:val="105"/>
        </w:rPr>
        <w:t>vivir</w:t>
      </w:r>
      <w:r>
        <w:rPr>
          <w:color w:val="231F20"/>
          <w:spacing w:val="-12"/>
          <w:w w:val="105"/>
        </w:rPr>
        <w:t> </w:t>
      </w:r>
      <w:r>
        <w:rPr>
          <w:color w:val="231F20"/>
          <w:w w:val="105"/>
        </w:rPr>
        <w:t>mejor</w:t>
      </w:r>
      <w:r>
        <w:rPr>
          <w:color w:val="231F20"/>
          <w:spacing w:val="-12"/>
          <w:w w:val="105"/>
        </w:rPr>
        <w:t> </w:t>
      </w:r>
      <w:r>
        <w:rPr>
          <w:color w:val="231F20"/>
          <w:w w:val="105"/>
        </w:rPr>
        <w:t>o</w:t>
      </w:r>
      <w:r>
        <w:rPr>
          <w:color w:val="231F20"/>
          <w:spacing w:val="-12"/>
          <w:w w:val="105"/>
        </w:rPr>
        <w:t> </w:t>
      </w:r>
      <w:r>
        <w:rPr>
          <w:color w:val="231F20"/>
          <w:w w:val="105"/>
        </w:rPr>
        <w:t>hacerse</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casa</w:t>
      </w:r>
      <w:r>
        <w:rPr>
          <w:color w:val="231F20"/>
          <w:spacing w:val="-12"/>
          <w:w w:val="105"/>
        </w:rPr>
        <w:t> </w:t>
      </w:r>
      <w:r>
        <w:rPr>
          <w:color w:val="231F20"/>
          <w:w w:val="105"/>
        </w:rPr>
        <w:t>sigue</w:t>
      </w:r>
      <w:r>
        <w:rPr>
          <w:color w:val="231F20"/>
          <w:spacing w:val="-12"/>
          <w:w w:val="105"/>
        </w:rPr>
        <w:t> </w:t>
      </w:r>
      <w:r>
        <w:rPr>
          <w:color w:val="231F20"/>
          <w:w w:val="105"/>
        </w:rPr>
        <w:t>presente</w:t>
      </w:r>
      <w:r>
        <w:rPr>
          <w:color w:val="231F20"/>
          <w:spacing w:val="-12"/>
          <w:w w:val="105"/>
        </w:rPr>
        <w:t> </w:t>
      </w:r>
      <w:r>
        <w:rPr>
          <w:color w:val="231F20"/>
          <w:w w:val="105"/>
        </w:rPr>
        <w:t>en</w:t>
      </w:r>
      <w:r>
        <w:rPr>
          <w:color w:val="231F20"/>
          <w:spacing w:val="-12"/>
          <w:w w:val="105"/>
        </w:rPr>
        <w:t> </w:t>
      </w:r>
      <w:r>
        <w:rPr>
          <w:color w:val="231F20"/>
          <w:w w:val="105"/>
        </w:rPr>
        <w:t>jóvenes</w:t>
      </w:r>
      <w:r>
        <w:rPr>
          <w:color w:val="231F20"/>
          <w:spacing w:val="-12"/>
          <w:w w:val="105"/>
        </w:rPr>
        <w:t> </w:t>
      </w:r>
      <w:r>
        <w:rPr>
          <w:color w:val="231F20"/>
          <w:w w:val="105"/>
        </w:rPr>
        <w:t>y</w:t>
      </w:r>
      <w:r>
        <w:rPr>
          <w:color w:val="231F20"/>
          <w:spacing w:val="-12"/>
          <w:w w:val="105"/>
        </w:rPr>
        <w:t> </w:t>
      </w:r>
      <w:r>
        <w:rPr>
          <w:color w:val="231F20"/>
          <w:w w:val="105"/>
        </w:rPr>
        <w:t>en</w:t>
      </w:r>
      <w:r>
        <w:rPr>
          <w:color w:val="231F20"/>
          <w:spacing w:val="-12"/>
          <w:w w:val="105"/>
        </w:rPr>
        <w:t> </w:t>
      </w:r>
      <w:r>
        <w:rPr>
          <w:color w:val="231F20"/>
          <w:w w:val="105"/>
        </w:rPr>
        <w:t>ni- ños</w:t>
      </w:r>
      <w:r>
        <w:rPr>
          <w:color w:val="231F20"/>
          <w:spacing w:val="-18"/>
          <w:w w:val="105"/>
        </w:rPr>
        <w:t> </w:t>
      </w:r>
      <w:r>
        <w:rPr>
          <w:color w:val="231F20"/>
          <w:w w:val="105"/>
        </w:rPr>
        <w:t>del</w:t>
      </w:r>
      <w:r>
        <w:rPr>
          <w:color w:val="231F20"/>
          <w:spacing w:val="-18"/>
          <w:w w:val="105"/>
        </w:rPr>
        <w:t> </w:t>
      </w:r>
      <w:r>
        <w:rPr>
          <w:color w:val="231F20"/>
          <w:w w:val="105"/>
        </w:rPr>
        <w:t>lugar.</w:t>
      </w:r>
      <w:r>
        <w:rPr>
          <w:color w:val="231F20"/>
          <w:spacing w:val="-23"/>
          <w:w w:val="105"/>
        </w:rPr>
        <w:t> </w:t>
      </w:r>
      <w:r>
        <w:rPr>
          <w:color w:val="231F20"/>
          <w:w w:val="105"/>
        </w:rPr>
        <w:t>Los</w:t>
      </w:r>
      <w:r>
        <w:rPr>
          <w:color w:val="231F20"/>
          <w:spacing w:val="-18"/>
          <w:w w:val="105"/>
        </w:rPr>
        <w:t> </w:t>
      </w:r>
      <w:r>
        <w:rPr>
          <w:color w:val="231F20"/>
          <w:w w:val="105"/>
        </w:rPr>
        <w:t>jóvenes</w:t>
      </w:r>
      <w:r>
        <w:rPr>
          <w:color w:val="231F20"/>
          <w:spacing w:val="-18"/>
          <w:w w:val="105"/>
        </w:rPr>
        <w:t> </w:t>
      </w:r>
      <w:r>
        <w:rPr>
          <w:color w:val="231F20"/>
          <w:w w:val="105"/>
        </w:rPr>
        <w:t>que</w:t>
      </w:r>
      <w:r>
        <w:rPr>
          <w:color w:val="231F20"/>
          <w:spacing w:val="-18"/>
          <w:w w:val="105"/>
        </w:rPr>
        <w:t> </w:t>
      </w:r>
      <w:r>
        <w:rPr>
          <w:color w:val="231F20"/>
          <w:w w:val="105"/>
        </w:rPr>
        <w:t>han</w:t>
      </w:r>
      <w:r>
        <w:rPr>
          <w:color w:val="231F20"/>
          <w:spacing w:val="-18"/>
          <w:w w:val="105"/>
        </w:rPr>
        <w:t> </w:t>
      </w:r>
      <w:r>
        <w:rPr>
          <w:color w:val="231F20"/>
          <w:w w:val="105"/>
        </w:rPr>
        <w:t>decidido</w:t>
      </w:r>
      <w:r>
        <w:rPr>
          <w:color w:val="231F20"/>
          <w:spacing w:val="-18"/>
          <w:w w:val="105"/>
        </w:rPr>
        <w:t> </w:t>
      </w:r>
      <w:r>
        <w:rPr>
          <w:color w:val="231F20"/>
          <w:w w:val="105"/>
        </w:rPr>
        <w:t>quedarse</w:t>
      </w:r>
      <w:r>
        <w:rPr>
          <w:color w:val="231F20"/>
          <w:spacing w:val="-18"/>
          <w:w w:val="105"/>
        </w:rPr>
        <w:t> </w:t>
      </w:r>
      <w:r>
        <w:rPr>
          <w:color w:val="231F20"/>
          <w:w w:val="105"/>
        </w:rPr>
        <w:t>y</w:t>
      </w:r>
      <w:r>
        <w:rPr>
          <w:color w:val="231F20"/>
          <w:spacing w:val="-18"/>
          <w:w w:val="105"/>
        </w:rPr>
        <w:t> </w:t>
      </w:r>
      <w:r>
        <w:rPr>
          <w:color w:val="231F20"/>
          <w:w w:val="105"/>
        </w:rPr>
        <w:t>formar</w:t>
      </w:r>
      <w:r>
        <w:rPr>
          <w:color w:val="231F20"/>
          <w:spacing w:val="-18"/>
          <w:w w:val="105"/>
        </w:rPr>
        <w:t> </w:t>
      </w:r>
      <w:r>
        <w:rPr>
          <w:color w:val="231F20"/>
          <w:w w:val="105"/>
        </w:rPr>
        <w:t>su</w:t>
      </w:r>
      <w:r>
        <w:rPr>
          <w:color w:val="231F20"/>
          <w:spacing w:val="-18"/>
          <w:w w:val="105"/>
        </w:rPr>
        <w:t> </w:t>
      </w:r>
      <w:r>
        <w:rPr>
          <w:color w:val="231F20"/>
          <w:w w:val="105"/>
        </w:rPr>
        <w:t>familia en</w:t>
      </w:r>
      <w:r>
        <w:rPr>
          <w:color w:val="231F20"/>
          <w:spacing w:val="-7"/>
          <w:w w:val="105"/>
        </w:rPr>
        <w:t> </w:t>
      </w:r>
      <w:r>
        <w:rPr>
          <w:color w:val="231F20"/>
          <w:w w:val="105"/>
        </w:rPr>
        <w:t>el</w:t>
      </w:r>
      <w:r>
        <w:rPr>
          <w:color w:val="231F20"/>
          <w:spacing w:val="-7"/>
          <w:w w:val="105"/>
        </w:rPr>
        <w:t> </w:t>
      </w:r>
      <w:r>
        <w:rPr>
          <w:color w:val="231F20"/>
          <w:w w:val="105"/>
        </w:rPr>
        <w:t>lugar</w:t>
      </w:r>
      <w:r>
        <w:rPr>
          <w:color w:val="231F20"/>
          <w:spacing w:val="-7"/>
          <w:w w:val="105"/>
        </w:rPr>
        <w:t> </w:t>
      </w:r>
      <w:r>
        <w:rPr>
          <w:color w:val="231F20"/>
          <w:w w:val="105"/>
        </w:rPr>
        <w:t>no</w:t>
      </w:r>
      <w:r>
        <w:rPr>
          <w:color w:val="231F20"/>
          <w:spacing w:val="-7"/>
          <w:w w:val="105"/>
        </w:rPr>
        <w:t> </w:t>
      </w:r>
      <w:r>
        <w:rPr>
          <w:color w:val="231F20"/>
          <w:w w:val="105"/>
        </w:rPr>
        <w:t>son</w:t>
      </w:r>
      <w:r>
        <w:rPr>
          <w:color w:val="231F20"/>
          <w:spacing w:val="-7"/>
          <w:w w:val="105"/>
        </w:rPr>
        <w:t> </w:t>
      </w:r>
      <w:r>
        <w:rPr>
          <w:color w:val="231F20"/>
          <w:w w:val="105"/>
        </w:rPr>
        <w:t>muchos.</w:t>
      </w:r>
      <w:r>
        <w:rPr>
          <w:color w:val="231F20"/>
          <w:spacing w:val="-12"/>
          <w:w w:val="105"/>
        </w:rPr>
        <w:t> </w:t>
      </w:r>
      <w:r>
        <w:rPr>
          <w:color w:val="231F20"/>
          <w:w w:val="105"/>
        </w:rPr>
        <w:t>Francisco</w:t>
      </w:r>
      <w:r>
        <w:rPr>
          <w:color w:val="231F20"/>
          <w:spacing w:val="-9"/>
          <w:w w:val="105"/>
        </w:rPr>
        <w:t> </w:t>
      </w:r>
      <w:r>
        <w:rPr>
          <w:color w:val="231F20"/>
          <w:w w:val="105"/>
        </w:rPr>
        <w:t>Jaramillo</w:t>
      </w:r>
      <w:r>
        <w:rPr>
          <w:color w:val="231F20"/>
          <w:spacing w:val="-7"/>
          <w:w w:val="105"/>
        </w:rPr>
        <w:t> </w:t>
      </w:r>
      <w:r>
        <w:rPr>
          <w:color w:val="231F20"/>
          <w:w w:val="105"/>
        </w:rPr>
        <w:t>Zepeda</w:t>
      </w:r>
      <w:r>
        <w:rPr>
          <w:color w:val="231F20"/>
          <w:spacing w:val="-7"/>
          <w:w w:val="105"/>
        </w:rPr>
        <w:t> </w:t>
      </w:r>
      <w:r>
        <w:rPr>
          <w:color w:val="231F20"/>
          <w:w w:val="105"/>
        </w:rPr>
        <w:t>es</w:t>
      </w:r>
      <w:r>
        <w:rPr>
          <w:color w:val="231F20"/>
          <w:spacing w:val="-7"/>
          <w:w w:val="105"/>
        </w:rPr>
        <w:t> </w:t>
      </w:r>
      <w:r>
        <w:rPr>
          <w:color w:val="231F20"/>
          <w:w w:val="105"/>
        </w:rPr>
        <w:t>un</w:t>
      </w:r>
      <w:r>
        <w:rPr>
          <w:color w:val="231F20"/>
          <w:spacing w:val="-7"/>
          <w:w w:val="105"/>
        </w:rPr>
        <w:t> </w:t>
      </w:r>
      <w:r>
        <w:rPr>
          <w:color w:val="231F20"/>
          <w:w w:val="105"/>
        </w:rPr>
        <w:t>productor joven</w:t>
      </w:r>
      <w:r>
        <w:rPr>
          <w:color w:val="231F20"/>
          <w:spacing w:val="-20"/>
          <w:w w:val="105"/>
        </w:rPr>
        <w:t> </w:t>
      </w:r>
      <w:r>
        <w:rPr>
          <w:color w:val="231F20"/>
          <w:w w:val="105"/>
        </w:rPr>
        <w:t>de</w:t>
      </w:r>
      <w:r>
        <w:rPr>
          <w:color w:val="231F20"/>
          <w:spacing w:val="-20"/>
          <w:w w:val="105"/>
        </w:rPr>
        <w:t> </w:t>
      </w:r>
      <w:r>
        <w:rPr>
          <w:color w:val="231F20"/>
          <w:w w:val="105"/>
        </w:rPr>
        <w:t>maíz</w:t>
      </w:r>
      <w:r>
        <w:rPr>
          <w:color w:val="231F20"/>
          <w:spacing w:val="-20"/>
          <w:w w:val="105"/>
        </w:rPr>
        <w:t> </w:t>
      </w:r>
      <w:r>
        <w:rPr>
          <w:color w:val="231F20"/>
          <w:w w:val="105"/>
        </w:rPr>
        <w:t>con</w:t>
      </w:r>
      <w:r>
        <w:rPr>
          <w:color w:val="231F20"/>
          <w:spacing w:val="-20"/>
          <w:w w:val="105"/>
        </w:rPr>
        <w:t> </w:t>
      </w:r>
      <w:r>
        <w:rPr>
          <w:color w:val="231F20"/>
          <w:w w:val="105"/>
        </w:rPr>
        <w:t>una</w:t>
      </w:r>
      <w:r>
        <w:rPr>
          <w:color w:val="231F20"/>
          <w:spacing w:val="-20"/>
          <w:w w:val="105"/>
        </w:rPr>
        <w:t> </w:t>
      </w:r>
      <w:r>
        <w:rPr>
          <w:color w:val="231F20"/>
          <w:w w:val="105"/>
        </w:rPr>
        <w:t>familia</w:t>
      </w:r>
      <w:r>
        <w:rPr>
          <w:color w:val="231F20"/>
          <w:spacing w:val="-20"/>
          <w:w w:val="105"/>
        </w:rPr>
        <w:t> </w:t>
      </w:r>
      <w:r>
        <w:rPr>
          <w:color w:val="231F20"/>
          <w:w w:val="105"/>
        </w:rPr>
        <w:t>pequeña.</w:t>
      </w:r>
      <w:r>
        <w:rPr>
          <w:color w:val="231F20"/>
          <w:spacing w:val="-25"/>
          <w:w w:val="105"/>
        </w:rPr>
        <w:t> </w:t>
      </w:r>
      <w:r>
        <w:rPr>
          <w:color w:val="231F20"/>
          <w:w w:val="105"/>
        </w:rPr>
        <w:t>No</w:t>
      </w:r>
      <w:r>
        <w:rPr>
          <w:color w:val="231F20"/>
          <w:spacing w:val="-20"/>
          <w:w w:val="105"/>
        </w:rPr>
        <w:t> </w:t>
      </w:r>
      <w:r>
        <w:rPr>
          <w:color w:val="231F20"/>
          <w:w w:val="105"/>
        </w:rPr>
        <w:t>siembra</w:t>
      </w:r>
      <w:r>
        <w:rPr>
          <w:color w:val="231F20"/>
          <w:spacing w:val="-20"/>
          <w:w w:val="105"/>
        </w:rPr>
        <w:t> </w:t>
      </w:r>
      <w:r>
        <w:rPr>
          <w:color w:val="231F20"/>
          <w:w w:val="105"/>
        </w:rPr>
        <w:t>mucho</w:t>
      </w:r>
      <w:r>
        <w:rPr>
          <w:color w:val="231F20"/>
          <w:spacing w:val="-20"/>
          <w:w w:val="105"/>
        </w:rPr>
        <w:t> </w:t>
      </w:r>
      <w:r>
        <w:rPr>
          <w:color w:val="231F20"/>
          <w:w w:val="105"/>
        </w:rPr>
        <w:t>y</w:t>
      </w:r>
      <w:r>
        <w:rPr>
          <w:color w:val="231F20"/>
          <w:spacing w:val="-20"/>
          <w:w w:val="105"/>
        </w:rPr>
        <w:t> </w:t>
      </w:r>
      <w:r>
        <w:rPr>
          <w:color w:val="231F20"/>
          <w:w w:val="105"/>
        </w:rPr>
        <w:t>realiza</w:t>
      </w:r>
      <w:r>
        <w:rPr>
          <w:color w:val="231F20"/>
          <w:spacing w:val="-20"/>
          <w:w w:val="105"/>
        </w:rPr>
        <w:t> </w:t>
      </w:r>
      <w:r>
        <w:rPr>
          <w:color w:val="231F20"/>
          <w:w w:val="105"/>
        </w:rPr>
        <w:t>todo el trabajo de la siembra él solo para no generar tantos gastos. Además de</w:t>
      </w:r>
      <w:r>
        <w:rPr>
          <w:color w:val="231F20"/>
          <w:spacing w:val="-12"/>
          <w:w w:val="105"/>
        </w:rPr>
        <w:t> </w:t>
      </w:r>
      <w:r>
        <w:rPr>
          <w:color w:val="231F20"/>
          <w:w w:val="105"/>
        </w:rPr>
        <w:t>maíz</w:t>
      </w:r>
      <w:r>
        <w:rPr>
          <w:color w:val="231F20"/>
          <w:spacing w:val="-12"/>
          <w:w w:val="105"/>
        </w:rPr>
        <w:t> </w:t>
      </w:r>
      <w:r>
        <w:rPr>
          <w:color w:val="231F20"/>
          <w:w w:val="105"/>
        </w:rPr>
        <w:t>produce</w:t>
      </w:r>
      <w:r>
        <w:rPr>
          <w:color w:val="231F20"/>
          <w:spacing w:val="-12"/>
          <w:w w:val="105"/>
        </w:rPr>
        <w:t> </w:t>
      </w:r>
      <w:r>
        <w:rPr>
          <w:color w:val="231F20"/>
          <w:w w:val="105"/>
        </w:rPr>
        <w:t>aguacate,</w:t>
      </w:r>
      <w:r>
        <w:rPr>
          <w:color w:val="231F20"/>
          <w:spacing w:val="-17"/>
          <w:w w:val="105"/>
        </w:rPr>
        <w:t> </w:t>
      </w:r>
      <w:r>
        <w:rPr>
          <w:color w:val="231F20"/>
          <w:w w:val="105"/>
        </w:rPr>
        <w:t>chayote,</w:t>
      </w:r>
      <w:r>
        <w:rPr>
          <w:color w:val="231F20"/>
          <w:spacing w:val="-17"/>
          <w:w w:val="105"/>
        </w:rPr>
        <w:t> </w:t>
      </w:r>
      <w:r>
        <w:rPr>
          <w:color w:val="231F20"/>
          <w:w w:val="105"/>
        </w:rPr>
        <w:t>mandarina</w:t>
      </w:r>
      <w:r>
        <w:rPr>
          <w:color w:val="231F20"/>
          <w:spacing w:val="-12"/>
          <w:w w:val="105"/>
        </w:rPr>
        <w:t> </w:t>
      </w:r>
      <w:r>
        <w:rPr>
          <w:color w:val="231F20"/>
          <w:w w:val="105"/>
        </w:rPr>
        <w:t>y</w:t>
      </w:r>
      <w:r>
        <w:rPr>
          <w:color w:val="231F20"/>
          <w:spacing w:val="-12"/>
          <w:w w:val="105"/>
        </w:rPr>
        <w:t> </w:t>
      </w:r>
      <w:r>
        <w:rPr>
          <w:color w:val="231F20"/>
          <w:w w:val="105"/>
        </w:rPr>
        <w:t>naranja</w:t>
      </w:r>
      <w:r>
        <w:rPr>
          <w:color w:val="231F20"/>
          <w:spacing w:val="-12"/>
          <w:w w:val="105"/>
        </w:rPr>
        <w:t> </w:t>
      </w:r>
      <w:r>
        <w:rPr>
          <w:color w:val="231F20"/>
          <w:w w:val="105"/>
        </w:rPr>
        <w:t>para</w:t>
      </w:r>
      <w:r>
        <w:rPr>
          <w:color w:val="231F20"/>
          <w:spacing w:val="-12"/>
          <w:w w:val="105"/>
        </w:rPr>
        <w:t> </w:t>
      </w:r>
      <w:r>
        <w:rPr>
          <w:color w:val="231F20"/>
          <w:w w:val="105"/>
        </w:rPr>
        <w:t>autocon- sumo.</w:t>
      </w:r>
      <w:r>
        <w:rPr>
          <w:color w:val="231F20"/>
          <w:spacing w:val="-26"/>
          <w:w w:val="105"/>
        </w:rPr>
        <w:t> </w:t>
      </w:r>
      <w:r>
        <w:rPr>
          <w:color w:val="231F20"/>
          <w:spacing w:val="-4"/>
          <w:w w:val="105"/>
        </w:rPr>
        <w:t>Para</w:t>
      </w:r>
      <w:r>
        <w:rPr>
          <w:color w:val="231F20"/>
          <w:spacing w:val="-21"/>
          <w:w w:val="105"/>
        </w:rPr>
        <w:t> </w:t>
      </w:r>
      <w:r>
        <w:rPr>
          <w:color w:val="231F20"/>
          <w:w w:val="105"/>
        </w:rPr>
        <w:t>este</w:t>
      </w:r>
      <w:r>
        <w:rPr>
          <w:color w:val="231F20"/>
          <w:spacing w:val="-21"/>
          <w:w w:val="105"/>
        </w:rPr>
        <w:t> </w:t>
      </w:r>
      <w:r>
        <w:rPr>
          <w:color w:val="231F20"/>
          <w:w w:val="105"/>
        </w:rPr>
        <w:t>joven</w:t>
      </w:r>
      <w:r>
        <w:rPr>
          <w:color w:val="231F20"/>
          <w:spacing w:val="-21"/>
          <w:w w:val="105"/>
        </w:rPr>
        <w:t> </w:t>
      </w:r>
      <w:r>
        <w:rPr>
          <w:color w:val="231F20"/>
          <w:w w:val="105"/>
        </w:rPr>
        <w:t>las</w:t>
      </w:r>
      <w:r>
        <w:rPr>
          <w:color w:val="231F20"/>
          <w:spacing w:val="-21"/>
          <w:w w:val="105"/>
        </w:rPr>
        <w:t> </w:t>
      </w:r>
      <w:r>
        <w:rPr>
          <w:color w:val="231F20"/>
          <w:w w:val="105"/>
        </w:rPr>
        <w:t>oportunidades</w:t>
      </w:r>
      <w:r>
        <w:rPr>
          <w:color w:val="231F20"/>
          <w:spacing w:val="-21"/>
          <w:w w:val="105"/>
        </w:rPr>
        <w:t> </w:t>
      </w:r>
      <w:r>
        <w:rPr>
          <w:color w:val="231F20"/>
          <w:w w:val="105"/>
        </w:rPr>
        <w:t>de</w:t>
      </w:r>
      <w:r>
        <w:rPr>
          <w:color w:val="231F20"/>
          <w:spacing w:val="-21"/>
          <w:w w:val="105"/>
        </w:rPr>
        <w:t> </w:t>
      </w:r>
      <w:r>
        <w:rPr>
          <w:color w:val="231F20"/>
          <w:w w:val="105"/>
        </w:rPr>
        <w:t>empleo</w:t>
      </w:r>
      <w:r>
        <w:rPr>
          <w:color w:val="231F20"/>
          <w:spacing w:val="-21"/>
          <w:w w:val="105"/>
        </w:rPr>
        <w:t> </w:t>
      </w:r>
      <w:r>
        <w:rPr>
          <w:color w:val="231F20"/>
          <w:w w:val="105"/>
        </w:rPr>
        <w:t>eventual</w:t>
      </w:r>
      <w:r>
        <w:rPr>
          <w:color w:val="231F20"/>
          <w:spacing w:val="-21"/>
          <w:w w:val="105"/>
        </w:rPr>
        <w:t> </w:t>
      </w:r>
      <w:r>
        <w:rPr>
          <w:color w:val="231F20"/>
          <w:w w:val="105"/>
        </w:rPr>
        <w:t>no</w:t>
      </w:r>
      <w:r>
        <w:rPr>
          <w:color w:val="231F20"/>
          <w:spacing w:val="-21"/>
          <w:w w:val="105"/>
        </w:rPr>
        <w:t> </w:t>
      </w:r>
      <w:r>
        <w:rPr>
          <w:color w:val="231F20"/>
          <w:w w:val="105"/>
        </w:rPr>
        <w:t>ocurren, en</w:t>
      </w:r>
      <w:r>
        <w:rPr>
          <w:color w:val="231F20"/>
          <w:spacing w:val="-28"/>
          <w:w w:val="105"/>
        </w:rPr>
        <w:t> </w:t>
      </w:r>
      <w:r>
        <w:rPr>
          <w:color w:val="231F20"/>
          <w:w w:val="105"/>
        </w:rPr>
        <w:t>ocasiones,</w:t>
      </w:r>
      <w:r>
        <w:rPr>
          <w:color w:val="231F20"/>
          <w:spacing w:val="-31"/>
          <w:w w:val="105"/>
        </w:rPr>
        <w:t> </w:t>
      </w:r>
      <w:r>
        <w:rPr>
          <w:color w:val="231F20"/>
          <w:w w:val="105"/>
        </w:rPr>
        <w:t>ni</w:t>
      </w:r>
      <w:r>
        <w:rPr>
          <w:color w:val="231F20"/>
          <w:spacing w:val="-28"/>
          <w:w w:val="105"/>
        </w:rPr>
        <w:t> </w:t>
      </w:r>
      <w:r>
        <w:rPr>
          <w:color w:val="231F20"/>
          <w:w w:val="105"/>
        </w:rPr>
        <w:t>una</w:t>
      </w:r>
      <w:r>
        <w:rPr>
          <w:color w:val="231F20"/>
          <w:spacing w:val="-28"/>
          <w:w w:val="105"/>
        </w:rPr>
        <w:t> </w:t>
      </w:r>
      <w:r>
        <w:rPr>
          <w:color w:val="231F20"/>
          <w:w w:val="105"/>
        </w:rPr>
        <w:t>vez</w:t>
      </w:r>
      <w:r>
        <w:rPr>
          <w:color w:val="231F20"/>
          <w:spacing w:val="-28"/>
          <w:w w:val="105"/>
        </w:rPr>
        <w:t> </w:t>
      </w:r>
      <w:r>
        <w:rPr>
          <w:color w:val="231F20"/>
          <w:w w:val="105"/>
        </w:rPr>
        <w:t>al</w:t>
      </w:r>
      <w:r>
        <w:rPr>
          <w:color w:val="231F20"/>
          <w:spacing w:val="-28"/>
          <w:w w:val="105"/>
        </w:rPr>
        <w:t> </w:t>
      </w:r>
      <w:r>
        <w:rPr>
          <w:color w:val="231F20"/>
          <w:w w:val="105"/>
        </w:rPr>
        <w:t>mes.</w:t>
      </w:r>
    </w:p>
    <w:p>
      <w:pPr>
        <w:pStyle w:val="BodyText"/>
        <w:spacing w:line="261" w:lineRule="auto" w:before="1"/>
        <w:ind w:left="1723" w:right="1834" w:firstLine="567"/>
        <w:jc w:val="both"/>
      </w:pPr>
      <w:r>
        <w:rPr>
          <w:color w:val="231F20"/>
          <w:spacing w:val="-4"/>
          <w:w w:val="105"/>
        </w:rPr>
        <w:t>Para </w:t>
      </w:r>
      <w:r>
        <w:rPr>
          <w:color w:val="231F20"/>
          <w:w w:val="105"/>
        </w:rPr>
        <w:t>Mónica el sueño de poder tener algo representaba</w:t>
      </w:r>
      <w:r>
        <w:rPr>
          <w:color w:val="231F20"/>
          <w:spacing w:val="-15"/>
          <w:w w:val="105"/>
        </w:rPr>
        <w:t> </w:t>
      </w:r>
      <w:r>
        <w:rPr>
          <w:color w:val="231F20"/>
          <w:w w:val="105"/>
        </w:rPr>
        <w:t>aguantar todas</w:t>
      </w:r>
      <w:r>
        <w:rPr>
          <w:color w:val="231F20"/>
          <w:spacing w:val="-24"/>
          <w:w w:val="105"/>
        </w:rPr>
        <w:t> </w:t>
      </w:r>
      <w:r>
        <w:rPr>
          <w:color w:val="231F20"/>
          <w:w w:val="105"/>
        </w:rPr>
        <w:t>las</w:t>
      </w:r>
      <w:r>
        <w:rPr>
          <w:color w:val="231F20"/>
          <w:spacing w:val="-24"/>
          <w:w w:val="105"/>
        </w:rPr>
        <w:t> </w:t>
      </w:r>
      <w:r>
        <w:rPr>
          <w:color w:val="231F20"/>
          <w:w w:val="105"/>
        </w:rPr>
        <w:t>inclemencias</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presentaran</w:t>
      </w:r>
      <w:r>
        <w:rPr>
          <w:color w:val="231F20"/>
          <w:spacing w:val="-24"/>
          <w:w w:val="105"/>
        </w:rPr>
        <w:t> </w:t>
      </w:r>
      <w:r>
        <w:rPr>
          <w:color w:val="231F20"/>
          <w:w w:val="105"/>
        </w:rPr>
        <w:t>en</w:t>
      </w:r>
      <w:r>
        <w:rPr>
          <w:color w:val="231F20"/>
          <w:spacing w:val="-24"/>
          <w:w w:val="105"/>
        </w:rPr>
        <w:t> </w:t>
      </w:r>
      <w:r>
        <w:rPr>
          <w:color w:val="231F20"/>
          <w:w w:val="105"/>
        </w:rPr>
        <w:t>su</w:t>
      </w:r>
      <w:r>
        <w:rPr>
          <w:color w:val="231F20"/>
          <w:spacing w:val="-24"/>
          <w:w w:val="105"/>
        </w:rPr>
        <w:t> </w:t>
      </w:r>
      <w:r>
        <w:rPr>
          <w:color w:val="231F20"/>
          <w:w w:val="105"/>
        </w:rPr>
        <w:t>camino:</w:t>
      </w:r>
    </w:p>
    <w:p>
      <w:pPr>
        <w:pStyle w:val="BodyText"/>
        <w:spacing w:before="8"/>
        <w:rPr>
          <w:sz w:val="18"/>
        </w:rPr>
      </w:pPr>
    </w:p>
    <w:p>
      <w:pPr>
        <w:spacing w:line="254" w:lineRule="auto" w:before="0"/>
        <w:ind w:left="2857" w:right="1834" w:firstLine="0"/>
        <w:jc w:val="both"/>
        <w:rPr>
          <w:sz w:val="18"/>
        </w:rPr>
      </w:pPr>
      <w:r>
        <w:rPr>
          <w:color w:val="231F20"/>
          <w:w w:val="105"/>
          <w:sz w:val="18"/>
        </w:rPr>
        <w:t>Un</w:t>
      </w:r>
      <w:r>
        <w:rPr>
          <w:color w:val="231F20"/>
          <w:spacing w:val="-3"/>
          <w:w w:val="105"/>
          <w:sz w:val="18"/>
        </w:rPr>
        <w:t> </w:t>
      </w:r>
      <w:r>
        <w:rPr>
          <w:color w:val="231F20"/>
          <w:w w:val="105"/>
          <w:sz w:val="18"/>
        </w:rPr>
        <w:t>día</w:t>
      </w:r>
      <w:r>
        <w:rPr>
          <w:color w:val="231F20"/>
          <w:spacing w:val="-3"/>
          <w:w w:val="105"/>
          <w:sz w:val="18"/>
        </w:rPr>
        <w:t> </w:t>
      </w:r>
      <w:r>
        <w:rPr>
          <w:color w:val="231F20"/>
          <w:w w:val="105"/>
          <w:sz w:val="18"/>
        </w:rPr>
        <w:t>(mi</w:t>
      </w:r>
      <w:r>
        <w:rPr>
          <w:color w:val="231F20"/>
          <w:spacing w:val="-3"/>
          <w:w w:val="105"/>
          <w:sz w:val="18"/>
        </w:rPr>
        <w:t> </w:t>
      </w:r>
      <w:r>
        <w:rPr>
          <w:color w:val="231F20"/>
          <w:w w:val="105"/>
          <w:sz w:val="18"/>
        </w:rPr>
        <w:t>hermano)</w:t>
      </w:r>
      <w:r>
        <w:rPr>
          <w:color w:val="231F20"/>
          <w:spacing w:val="-3"/>
          <w:w w:val="105"/>
          <w:sz w:val="18"/>
        </w:rPr>
        <w:t> </w:t>
      </w:r>
      <w:r>
        <w:rPr>
          <w:color w:val="231F20"/>
          <w:w w:val="105"/>
          <w:sz w:val="18"/>
        </w:rPr>
        <w:t>dijo:</w:t>
      </w:r>
      <w:r>
        <w:rPr>
          <w:color w:val="231F20"/>
          <w:spacing w:val="-3"/>
          <w:w w:val="105"/>
          <w:sz w:val="18"/>
        </w:rPr>
        <w:t> </w:t>
      </w:r>
      <w:r>
        <w:rPr>
          <w:color w:val="231F20"/>
          <w:w w:val="105"/>
          <w:sz w:val="18"/>
        </w:rPr>
        <w:t>nos</w:t>
      </w:r>
      <w:r>
        <w:rPr>
          <w:color w:val="231F20"/>
          <w:spacing w:val="-3"/>
          <w:w w:val="105"/>
          <w:sz w:val="18"/>
        </w:rPr>
        <w:t> </w:t>
      </w:r>
      <w:r>
        <w:rPr>
          <w:color w:val="231F20"/>
          <w:w w:val="105"/>
          <w:sz w:val="18"/>
        </w:rPr>
        <w:t>vamos</w:t>
      </w:r>
      <w:r>
        <w:rPr>
          <w:color w:val="231F20"/>
          <w:spacing w:val="-3"/>
          <w:w w:val="105"/>
          <w:sz w:val="18"/>
        </w:rPr>
        <w:t> </w:t>
      </w:r>
      <w:r>
        <w:rPr>
          <w:color w:val="231F20"/>
          <w:w w:val="105"/>
          <w:sz w:val="18"/>
        </w:rPr>
        <w:t>a</w:t>
      </w:r>
      <w:r>
        <w:rPr>
          <w:color w:val="231F20"/>
          <w:spacing w:val="-3"/>
          <w:w w:val="105"/>
          <w:sz w:val="18"/>
        </w:rPr>
        <w:t> </w:t>
      </w:r>
      <w:r>
        <w:rPr>
          <w:color w:val="231F20"/>
          <w:w w:val="105"/>
          <w:sz w:val="18"/>
        </w:rPr>
        <w:t>otro</w:t>
      </w:r>
      <w:r>
        <w:rPr>
          <w:color w:val="231F20"/>
          <w:spacing w:val="-3"/>
          <w:w w:val="105"/>
          <w:sz w:val="18"/>
        </w:rPr>
        <w:t> </w:t>
      </w:r>
      <w:r>
        <w:rPr>
          <w:color w:val="231F20"/>
          <w:w w:val="105"/>
          <w:sz w:val="18"/>
        </w:rPr>
        <w:t>estado,</w:t>
      </w:r>
      <w:r>
        <w:rPr>
          <w:color w:val="231F20"/>
          <w:spacing w:val="-8"/>
          <w:w w:val="105"/>
          <w:sz w:val="18"/>
        </w:rPr>
        <w:t> </w:t>
      </w:r>
      <w:r>
        <w:rPr>
          <w:color w:val="231F20"/>
          <w:w w:val="105"/>
          <w:sz w:val="18"/>
        </w:rPr>
        <w:t>y</w:t>
      </w:r>
      <w:r>
        <w:rPr>
          <w:color w:val="231F20"/>
          <w:spacing w:val="-3"/>
          <w:w w:val="105"/>
          <w:sz w:val="18"/>
        </w:rPr>
        <w:t> </w:t>
      </w:r>
      <w:r>
        <w:rPr>
          <w:color w:val="231F20"/>
          <w:w w:val="105"/>
          <w:sz w:val="18"/>
        </w:rPr>
        <w:t>nos</w:t>
      </w:r>
      <w:r>
        <w:rPr>
          <w:color w:val="231F20"/>
          <w:spacing w:val="-3"/>
          <w:w w:val="105"/>
          <w:sz w:val="18"/>
        </w:rPr>
        <w:t> </w:t>
      </w:r>
      <w:r>
        <w:rPr>
          <w:color w:val="231F20"/>
          <w:w w:val="105"/>
          <w:sz w:val="18"/>
        </w:rPr>
        <w:t>mudamos</w:t>
      </w:r>
      <w:r>
        <w:rPr>
          <w:color w:val="231F20"/>
          <w:spacing w:val="-3"/>
          <w:w w:val="105"/>
          <w:sz w:val="18"/>
        </w:rPr>
        <w:t> </w:t>
      </w:r>
      <w:r>
        <w:rPr>
          <w:color w:val="231F20"/>
          <w:w w:val="105"/>
          <w:sz w:val="18"/>
        </w:rPr>
        <w:t>a </w:t>
      </w:r>
      <w:r>
        <w:rPr>
          <w:color w:val="231F20"/>
          <w:spacing w:val="-4"/>
          <w:w w:val="105"/>
          <w:sz w:val="18"/>
        </w:rPr>
        <w:t>Texas</w:t>
      </w:r>
      <w:r>
        <w:rPr>
          <w:color w:val="231F20"/>
          <w:spacing w:val="-9"/>
          <w:w w:val="105"/>
          <w:sz w:val="18"/>
        </w:rPr>
        <w:t> </w:t>
      </w:r>
      <w:r>
        <w:rPr>
          <w:color w:val="231F20"/>
          <w:w w:val="105"/>
          <w:sz w:val="18"/>
        </w:rPr>
        <w:t>donde</w:t>
      </w:r>
      <w:r>
        <w:rPr>
          <w:color w:val="231F20"/>
          <w:spacing w:val="-9"/>
          <w:w w:val="105"/>
          <w:sz w:val="18"/>
        </w:rPr>
        <w:t> </w:t>
      </w:r>
      <w:r>
        <w:rPr>
          <w:color w:val="231F20"/>
          <w:w w:val="105"/>
          <w:sz w:val="18"/>
        </w:rPr>
        <w:t>empecé</w:t>
      </w:r>
      <w:r>
        <w:rPr>
          <w:color w:val="231F20"/>
          <w:spacing w:val="-9"/>
          <w:w w:val="105"/>
          <w:sz w:val="18"/>
        </w:rPr>
        <w:t> </w:t>
      </w:r>
      <w:r>
        <w:rPr>
          <w:color w:val="231F20"/>
          <w:w w:val="105"/>
          <w:sz w:val="18"/>
        </w:rPr>
        <w:t>a</w:t>
      </w:r>
      <w:r>
        <w:rPr>
          <w:color w:val="231F20"/>
          <w:spacing w:val="-9"/>
          <w:w w:val="105"/>
          <w:sz w:val="18"/>
        </w:rPr>
        <w:t> </w:t>
      </w:r>
      <w:r>
        <w:rPr>
          <w:color w:val="231F20"/>
          <w:w w:val="105"/>
          <w:sz w:val="18"/>
        </w:rPr>
        <w:t>trabajar</w:t>
      </w:r>
      <w:r>
        <w:rPr>
          <w:color w:val="231F20"/>
          <w:spacing w:val="-9"/>
          <w:w w:val="105"/>
          <w:sz w:val="18"/>
        </w:rPr>
        <w:t> </w:t>
      </w:r>
      <w:r>
        <w:rPr>
          <w:color w:val="231F20"/>
          <w:w w:val="105"/>
          <w:sz w:val="18"/>
        </w:rPr>
        <w:t>en</w:t>
      </w:r>
      <w:r>
        <w:rPr>
          <w:color w:val="231F20"/>
          <w:spacing w:val="-9"/>
          <w:w w:val="105"/>
          <w:sz w:val="18"/>
        </w:rPr>
        <w:t> </w:t>
      </w:r>
      <w:r>
        <w:rPr>
          <w:color w:val="231F20"/>
          <w:w w:val="105"/>
          <w:sz w:val="18"/>
        </w:rPr>
        <w:t>una</w:t>
      </w:r>
      <w:r>
        <w:rPr>
          <w:color w:val="231F20"/>
          <w:spacing w:val="-9"/>
          <w:w w:val="105"/>
          <w:sz w:val="18"/>
        </w:rPr>
        <w:t> </w:t>
      </w:r>
      <w:r>
        <w:rPr>
          <w:color w:val="231F20"/>
          <w:w w:val="105"/>
          <w:sz w:val="18"/>
        </w:rPr>
        <w:t>fábrica</w:t>
      </w:r>
      <w:r>
        <w:rPr>
          <w:color w:val="231F20"/>
          <w:spacing w:val="-9"/>
          <w:w w:val="105"/>
          <w:sz w:val="18"/>
        </w:rPr>
        <w:t> </w:t>
      </w:r>
      <w:r>
        <w:rPr>
          <w:color w:val="231F20"/>
          <w:w w:val="105"/>
          <w:sz w:val="18"/>
        </w:rPr>
        <w:t>de</w:t>
      </w:r>
      <w:r>
        <w:rPr>
          <w:color w:val="231F20"/>
          <w:spacing w:val="-9"/>
          <w:w w:val="105"/>
          <w:sz w:val="18"/>
        </w:rPr>
        <w:t> </w:t>
      </w:r>
      <w:r>
        <w:rPr>
          <w:color w:val="231F20"/>
          <w:w w:val="105"/>
          <w:sz w:val="18"/>
        </w:rPr>
        <w:t>plásticos</w:t>
      </w:r>
      <w:r>
        <w:rPr>
          <w:color w:val="231F20"/>
          <w:spacing w:val="-9"/>
          <w:w w:val="105"/>
          <w:sz w:val="18"/>
        </w:rPr>
        <w:t> </w:t>
      </w:r>
      <w:r>
        <w:rPr>
          <w:color w:val="231F20"/>
          <w:w w:val="105"/>
          <w:sz w:val="18"/>
        </w:rPr>
        <w:t>y</w:t>
      </w:r>
      <w:r>
        <w:rPr>
          <w:color w:val="231F20"/>
          <w:spacing w:val="-9"/>
          <w:w w:val="105"/>
          <w:sz w:val="18"/>
        </w:rPr>
        <w:t> </w:t>
      </w:r>
      <w:r>
        <w:rPr>
          <w:color w:val="231F20"/>
          <w:w w:val="105"/>
          <w:sz w:val="18"/>
        </w:rPr>
        <w:t>quedaba cerca</w:t>
      </w:r>
      <w:r>
        <w:rPr>
          <w:color w:val="231F20"/>
          <w:spacing w:val="-4"/>
          <w:w w:val="105"/>
          <w:sz w:val="18"/>
        </w:rPr>
        <w:t> </w:t>
      </w:r>
      <w:r>
        <w:rPr>
          <w:color w:val="231F20"/>
          <w:w w:val="105"/>
          <w:sz w:val="18"/>
        </w:rPr>
        <w:t>de</w:t>
      </w:r>
      <w:r>
        <w:rPr>
          <w:color w:val="231F20"/>
          <w:spacing w:val="-4"/>
          <w:w w:val="105"/>
          <w:sz w:val="18"/>
        </w:rPr>
        <w:t> </w:t>
      </w:r>
      <w:r>
        <w:rPr>
          <w:color w:val="231F20"/>
          <w:w w:val="105"/>
          <w:sz w:val="18"/>
        </w:rPr>
        <w:t>donde</w:t>
      </w:r>
      <w:r>
        <w:rPr>
          <w:color w:val="231F20"/>
          <w:spacing w:val="-4"/>
          <w:w w:val="105"/>
          <w:sz w:val="18"/>
        </w:rPr>
        <w:t> </w:t>
      </w:r>
      <w:r>
        <w:rPr>
          <w:color w:val="231F20"/>
          <w:w w:val="105"/>
          <w:sz w:val="18"/>
        </w:rPr>
        <w:t>vivíamos,</w:t>
      </w:r>
      <w:r>
        <w:rPr>
          <w:color w:val="231F20"/>
          <w:spacing w:val="-8"/>
          <w:w w:val="105"/>
          <w:sz w:val="18"/>
        </w:rPr>
        <w:t> </w:t>
      </w:r>
      <w:r>
        <w:rPr>
          <w:color w:val="231F20"/>
          <w:w w:val="105"/>
          <w:sz w:val="18"/>
        </w:rPr>
        <w:t>así</w:t>
      </w:r>
      <w:r>
        <w:rPr>
          <w:color w:val="231F20"/>
          <w:spacing w:val="-4"/>
          <w:w w:val="105"/>
          <w:sz w:val="18"/>
        </w:rPr>
        <w:t> </w:t>
      </w:r>
      <w:r>
        <w:rPr>
          <w:color w:val="231F20"/>
          <w:w w:val="105"/>
          <w:sz w:val="18"/>
        </w:rPr>
        <w:t>que</w:t>
      </w:r>
      <w:r>
        <w:rPr>
          <w:color w:val="231F20"/>
          <w:spacing w:val="-4"/>
          <w:w w:val="105"/>
          <w:sz w:val="18"/>
        </w:rPr>
        <w:t> </w:t>
      </w:r>
      <w:r>
        <w:rPr>
          <w:color w:val="231F20"/>
          <w:w w:val="105"/>
          <w:sz w:val="18"/>
        </w:rPr>
        <w:t>íbamos</w:t>
      </w:r>
      <w:r>
        <w:rPr>
          <w:color w:val="231F20"/>
          <w:spacing w:val="-4"/>
          <w:w w:val="105"/>
          <w:sz w:val="18"/>
        </w:rPr>
        <w:t> </w:t>
      </w:r>
      <w:r>
        <w:rPr>
          <w:color w:val="231F20"/>
          <w:w w:val="105"/>
          <w:sz w:val="18"/>
        </w:rPr>
        <w:t>caminando.</w:t>
      </w:r>
      <w:r>
        <w:rPr>
          <w:color w:val="231F20"/>
          <w:spacing w:val="-12"/>
          <w:w w:val="105"/>
          <w:sz w:val="18"/>
        </w:rPr>
        <w:t> </w:t>
      </w:r>
      <w:r>
        <w:rPr>
          <w:color w:val="231F20"/>
          <w:w w:val="105"/>
          <w:sz w:val="18"/>
        </w:rPr>
        <w:t>Así</w:t>
      </w:r>
      <w:r>
        <w:rPr>
          <w:color w:val="231F20"/>
          <w:spacing w:val="-4"/>
          <w:w w:val="105"/>
          <w:sz w:val="18"/>
        </w:rPr>
        <w:t> </w:t>
      </w:r>
      <w:r>
        <w:rPr>
          <w:color w:val="231F20"/>
          <w:w w:val="105"/>
          <w:sz w:val="18"/>
        </w:rPr>
        <w:t>pasaron</w:t>
      </w:r>
      <w:r>
        <w:rPr>
          <w:color w:val="231F20"/>
          <w:spacing w:val="-4"/>
          <w:w w:val="105"/>
          <w:sz w:val="18"/>
        </w:rPr>
        <w:t> </w:t>
      </w:r>
      <w:r>
        <w:rPr>
          <w:color w:val="231F20"/>
          <w:w w:val="105"/>
          <w:sz w:val="18"/>
        </w:rPr>
        <w:t>los días,</w:t>
      </w:r>
      <w:r>
        <w:rPr>
          <w:color w:val="231F20"/>
          <w:spacing w:val="-30"/>
          <w:w w:val="105"/>
          <w:sz w:val="18"/>
        </w:rPr>
        <w:t> </w:t>
      </w:r>
      <w:r>
        <w:rPr>
          <w:color w:val="231F20"/>
          <w:w w:val="105"/>
          <w:sz w:val="18"/>
        </w:rPr>
        <w:t>los</w:t>
      </w:r>
      <w:r>
        <w:rPr>
          <w:color w:val="231F20"/>
          <w:spacing w:val="-26"/>
          <w:w w:val="105"/>
          <w:sz w:val="18"/>
        </w:rPr>
        <w:t> </w:t>
      </w:r>
      <w:r>
        <w:rPr>
          <w:color w:val="231F20"/>
          <w:w w:val="105"/>
          <w:sz w:val="18"/>
        </w:rPr>
        <w:t>meses</w:t>
      </w:r>
      <w:r>
        <w:rPr>
          <w:color w:val="231F20"/>
          <w:spacing w:val="-26"/>
          <w:w w:val="105"/>
          <w:sz w:val="18"/>
        </w:rPr>
        <w:t> </w:t>
      </w:r>
      <w:r>
        <w:rPr>
          <w:color w:val="231F20"/>
          <w:w w:val="105"/>
          <w:sz w:val="18"/>
        </w:rPr>
        <w:t>y</w:t>
      </w:r>
      <w:r>
        <w:rPr>
          <w:color w:val="231F20"/>
          <w:spacing w:val="-26"/>
          <w:w w:val="105"/>
          <w:sz w:val="18"/>
        </w:rPr>
        <w:t> </w:t>
      </w:r>
      <w:r>
        <w:rPr>
          <w:color w:val="231F20"/>
          <w:w w:val="105"/>
          <w:sz w:val="18"/>
        </w:rPr>
        <w:t>mis</w:t>
      </w:r>
      <w:r>
        <w:rPr>
          <w:color w:val="231F20"/>
          <w:spacing w:val="-26"/>
          <w:w w:val="105"/>
          <w:sz w:val="18"/>
        </w:rPr>
        <w:t> </w:t>
      </w:r>
      <w:r>
        <w:rPr>
          <w:color w:val="231F20"/>
          <w:w w:val="105"/>
          <w:sz w:val="18"/>
        </w:rPr>
        <w:t>hermanos</w:t>
      </w:r>
      <w:r>
        <w:rPr>
          <w:color w:val="231F20"/>
          <w:spacing w:val="-26"/>
          <w:w w:val="105"/>
          <w:sz w:val="18"/>
        </w:rPr>
        <w:t> </w:t>
      </w:r>
      <w:r>
        <w:rPr>
          <w:color w:val="231F20"/>
          <w:w w:val="105"/>
          <w:sz w:val="18"/>
        </w:rPr>
        <w:t>los</w:t>
      </w:r>
      <w:r>
        <w:rPr>
          <w:color w:val="231F20"/>
          <w:spacing w:val="-26"/>
          <w:w w:val="105"/>
          <w:sz w:val="18"/>
        </w:rPr>
        <w:t> </w:t>
      </w:r>
      <w:r>
        <w:rPr>
          <w:color w:val="231F20"/>
          <w:w w:val="105"/>
          <w:sz w:val="18"/>
        </w:rPr>
        <w:t>fines</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semana</w:t>
      </w:r>
      <w:r>
        <w:rPr>
          <w:color w:val="231F20"/>
          <w:spacing w:val="-26"/>
          <w:w w:val="105"/>
          <w:sz w:val="18"/>
        </w:rPr>
        <w:t> </w:t>
      </w:r>
      <w:r>
        <w:rPr>
          <w:color w:val="231F20"/>
          <w:w w:val="105"/>
          <w:sz w:val="18"/>
        </w:rPr>
        <w:t>nos</w:t>
      </w:r>
      <w:r>
        <w:rPr>
          <w:color w:val="231F20"/>
          <w:spacing w:val="-26"/>
          <w:w w:val="105"/>
          <w:sz w:val="18"/>
        </w:rPr>
        <w:t> </w:t>
      </w:r>
      <w:r>
        <w:rPr>
          <w:color w:val="231F20"/>
          <w:w w:val="105"/>
          <w:sz w:val="18"/>
        </w:rPr>
        <w:t>visitaban,</w:t>
      </w:r>
      <w:r>
        <w:rPr>
          <w:color w:val="231F20"/>
          <w:spacing w:val="-30"/>
          <w:w w:val="105"/>
          <w:sz w:val="18"/>
        </w:rPr>
        <w:t> </w:t>
      </w:r>
      <w:r>
        <w:rPr>
          <w:color w:val="231F20"/>
          <w:w w:val="105"/>
          <w:sz w:val="18"/>
        </w:rPr>
        <w:t>ya</w:t>
      </w:r>
      <w:r>
        <w:rPr>
          <w:color w:val="231F20"/>
          <w:spacing w:val="-26"/>
          <w:w w:val="105"/>
          <w:sz w:val="18"/>
        </w:rPr>
        <w:t> </w:t>
      </w:r>
      <w:r>
        <w:rPr>
          <w:color w:val="231F20"/>
          <w:w w:val="105"/>
          <w:sz w:val="18"/>
        </w:rPr>
        <w:t>no me sentía tan sola había más gente conocida acá. Conocí a un</w:t>
      </w:r>
      <w:r>
        <w:rPr>
          <w:color w:val="231F20"/>
          <w:spacing w:val="-31"/>
          <w:w w:val="105"/>
          <w:sz w:val="18"/>
        </w:rPr>
        <w:t> </w:t>
      </w:r>
      <w:r>
        <w:rPr>
          <w:color w:val="231F20"/>
          <w:w w:val="105"/>
          <w:sz w:val="18"/>
        </w:rPr>
        <w:t>amigo de</w:t>
      </w:r>
      <w:r>
        <w:rPr>
          <w:color w:val="231F20"/>
          <w:spacing w:val="-11"/>
          <w:w w:val="105"/>
          <w:sz w:val="18"/>
        </w:rPr>
        <w:t> </w:t>
      </w:r>
      <w:r>
        <w:rPr>
          <w:color w:val="231F20"/>
          <w:w w:val="105"/>
          <w:sz w:val="18"/>
        </w:rPr>
        <w:t>repente</w:t>
      </w:r>
      <w:r>
        <w:rPr>
          <w:color w:val="231F20"/>
          <w:spacing w:val="-11"/>
          <w:w w:val="105"/>
          <w:sz w:val="18"/>
        </w:rPr>
        <w:t> </w:t>
      </w:r>
      <w:r>
        <w:rPr>
          <w:color w:val="231F20"/>
          <w:w w:val="105"/>
          <w:sz w:val="18"/>
        </w:rPr>
        <w:t>que</w:t>
      </w:r>
      <w:r>
        <w:rPr>
          <w:color w:val="231F20"/>
          <w:spacing w:val="-11"/>
          <w:w w:val="105"/>
          <w:sz w:val="18"/>
        </w:rPr>
        <w:t> </w:t>
      </w:r>
      <w:r>
        <w:rPr>
          <w:color w:val="231F20"/>
          <w:w w:val="105"/>
          <w:sz w:val="18"/>
        </w:rPr>
        <w:t>cambió</w:t>
      </w:r>
      <w:r>
        <w:rPr>
          <w:color w:val="231F20"/>
          <w:spacing w:val="-11"/>
          <w:w w:val="105"/>
          <w:sz w:val="18"/>
        </w:rPr>
        <w:t> </w:t>
      </w:r>
      <w:r>
        <w:rPr>
          <w:color w:val="231F20"/>
          <w:w w:val="105"/>
          <w:sz w:val="18"/>
        </w:rPr>
        <w:t>mi</w:t>
      </w:r>
      <w:r>
        <w:rPr>
          <w:color w:val="231F20"/>
          <w:spacing w:val="-11"/>
          <w:w w:val="105"/>
          <w:sz w:val="18"/>
        </w:rPr>
        <w:t> </w:t>
      </w:r>
      <w:r>
        <w:rPr>
          <w:color w:val="231F20"/>
          <w:w w:val="105"/>
          <w:sz w:val="18"/>
        </w:rPr>
        <w:t>vida;</w:t>
      </w:r>
      <w:r>
        <w:rPr>
          <w:color w:val="231F20"/>
          <w:spacing w:val="-11"/>
          <w:w w:val="105"/>
          <w:sz w:val="18"/>
        </w:rPr>
        <w:t> </w:t>
      </w:r>
      <w:r>
        <w:rPr>
          <w:color w:val="231F20"/>
          <w:w w:val="105"/>
          <w:sz w:val="18"/>
        </w:rPr>
        <w:t>y</w:t>
      </w:r>
      <w:r>
        <w:rPr>
          <w:color w:val="231F20"/>
          <w:spacing w:val="-11"/>
          <w:w w:val="105"/>
          <w:sz w:val="18"/>
        </w:rPr>
        <w:t> </w:t>
      </w:r>
      <w:r>
        <w:rPr>
          <w:color w:val="231F20"/>
          <w:w w:val="105"/>
          <w:sz w:val="18"/>
        </w:rPr>
        <w:t>lo</w:t>
      </w:r>
      <w:r>
        <w:rPr>
          <w:color w:val="231F20"/>
          <w:spacing w:val="-11"/>
          <w:w w:val="105"/>
          <w:sz w:val="18"/>
        </w:rPr>
        <w:t> </w:t>
      </w:r>
      <w:r>
        <w:rPr>
          <w:color w:val="231F20"/>
          <w:w w:val="105"/>
          <w:sz w:val="18"/>
        </w:rPr>
        <w:t>mejor,</w:t>
      </w:r>
      <w:r>
        <w:rPr>
          <w:color w:val="231F20"/>
          <w:spacing w:val="-17"/>
          <w:w w:val="105"/>
          <w:sz w:val="18"/>
        </w:rPr>
        <w:t> </w:t>
      </w:r>
      <w:r>
        <w:rPr>
          <w:color w:val="231F20"/>
          <w:w w:val="105"/>
          <w:sz w:val="18"/>
        </w:rPr>
        <w:t>nunca</w:t>
      </w:r>
      <w:r>
        <w:rPr>
          <w:color w:val="231F20"/>
          <w:spacing w:val="-11"/>
          <w:w w:val="105"/>
          <w:sz w:val="18"/>
        </w:rPr>
        <w:t> </w:t>
      </w:r>
      <w:r>
        <w:rPr>
          <w:color w:val="231F20"/>
          <w:w w:val="105"/>
          <w:sz w:val="18"/>
        </w:rPr>
        <w:t>me</w:t>
      </w:r>
      <w:r>
        <w:rPr>
          <w:color w:val="231F20"/>
          <w:spacing w:val="-11"/>
          <w:w w:val="105"/>
          <w:sz w:val="18"/>
        </w:rPr>
        <w:t> </w:t>
      </w:r>
      <w:r>
        <w:rPr>
          <w:color w:val="231F20"/>
          <w:w w:val="105"/>
          <w:sz w:val="18"/>
        </w:rPr>
        <w:t>dejó</w:t>
      </w:r>
      <w:r>
        <w:rPr>
          <w:color w:val="231F20"/>
          <w:spacing w:val="-11"/>
          <w:w w:val="105"/>
          <w:sz w:val="18"/>
        </w:rPr>
        <w:t> </w:t>
      </w:r>
      <w:r>
        <w:rPr>
          <w:color w:val="231F20"/>
          <w:w w:val="105"/>
          <w:sz w:val="18"/>
        </w:rPr>
        <w:t>sola,</w:t>
      </w:r>
      <w:r>
        <w:rPr>
          <w:color w:val="231F20"/>
          <w:spacing w:val="-17"/>
          <w:w w:val="105"/>
          <w:sz w:val="18"/>
        </w:rPr>
        <w:t> </w:t>
      </w:r>
      <w:r>
        <w:rPr>
          <w:color w:val="231F20"/>
          <w:w w:val="105"/>
          <w:sz w:val="18"/>
        </w:rPr>
        <w:t>porque para</w:t>
      </w:r>
      <w:r>
        <w:rPr>
          <w:color w:val="231F20"/>
          <w:spacing w:val="-9"/>
          <w:w w:val="105"/>
          <w:sz w:val="18"/>
        </w:rPr>
        <w:t> </w:t>
      </w:r>
      <w:r>
        <w:rPr>
          <w:color w:val="231F20"/>
          <w:w w:val="105"/>
          <w:sz w:val="18"/>
        </w:rPr>
        <w:t>mí</w:t>
      </w:r>
      <w:r>
        <w:rPr>
          <w:color w:val="231F20"/>
          <w:spacing w:val="-9"/>
          <w:w w:val="105"/>
          <w:sz w:val="18"/>
        </w:rPr>
        <w:t> </w:t>
      </w:r>
      <w:r>
        <w:rPr>
          <w:color w:val="231F20"/>
          <w:w w:val="105"/>
          <w:sz w:val="18"/>
        </w:rPr>
        <w:t>vivir</w:t>
      </w:r>
      <w:r>
        <w:rPr>
          <w:color w:val="231F20"/>
          <w:spacing w:val="-9"/>
          <w:w w:val="105"/>
          <w:sz w:val="18"/>
        </w:rPr>
        <w:t> </w:t>
      </w:r>
      <w:r>
        <w:rPr>
          <w:color w:val="231F20"/>
          <w:w w:val="105"/>
          <w:sz w:val="18"/>
        </w:rPr>
        <w:t>aquí</w:t>
      </w:r>
      <w:r>
        <w:rPr>
          <w:color w:val="231F20"/>
          <w:spacing w:val="-9"/>
          <w:w w:val="105"/>
          <w:sz w:val="18"/>
        </w:rPr>
        <w:t> </w:t>
      </w:r>
      <w:r>
        <w:rPr>
          <w:color w:val="231F20"/>
          <w:w w:val="105"/>
          <w:sz w:val="18"/>
        </w:rPr>
        <w:t>era</w:t>
      </w:r>
      <w:r>
        <w:rPr>
          <w:color w:val="231F20"/>
          <w:spacing w:val="-9"/>
          <w:w w:val="105"/>
          <w:sz w:val="18"/>
        </w:rPr>
        <w:t> </w:t>
      </w:r>
      <w:r>
        <w:rPr>
          <w:color w:val="231F20"/>
          <w:w w:val="105"/>
          <w:sz w:val="18"/>
        </w:rPr>
        <w:t>soledad,</w:t>
      </w:r>
      <w:r>
        <w:rPr>
          <w:color w:val="231F20"/>
          <w:spacing w:val="-14"/>
          <w:w w:val="105"/>
          <w:sz w:val="18"/>
        </w:rPr>
        <w:t> </w:t>
      </w:r>
      <w:r>
        <w:rPr>
          <w:color w:val="231F20"/>
          <w:w w:val="105"/>
          <w:sz w:val="18"/>
        </w:rPr>
        <w:t>así</w:t>
      </w:r>
      <w:r>
        <w:rPr>
          <w:color w:val="231F20"/>
          <w:spacing w:val="-9"/>
          <w:w w:val="105"/>
          <w:sz w:val="18"/>
        </w:rPr>
        <w:t> </w:t>
      </w:r>
      <w:r>
        <w:rPr>
          <w:color w:val="231F20"/>
          <w:w w:val="105"/>
          <w:sz w:val="18"/>
        </w:rPr>
        <w:t>que</w:t>
      </w:r>
      <w:r>
        <w:rPr>
          <w:color w:val="231F20"/>
          <w:spacing w:val="-9"/>
          <w:w w:val="105"/>
          <w:sz w:val="18"/>
        </w:rPr>
        <w:t> </w:t>
      </w:r>
      <w:r>
        <w:rPr>
          <w:color w:val="231F20"/>
          <w:w w:val="105"/>
          <w:sz w:val="18"/>
        </w:rPr>
        <w:t>salimos</w:t>
      </w:r>
      <w:r>
        <w:rPr>
          <w:color w:val="231F20"/>
          <w:spacing w:val="-9"/>
          <w:w w:val="105"/>
          <w:sz w:val="18"/>
        </w:rPr>
        <w:t> </w:t>
      </w:r>
      <w:r>
        <w:rPr>
          <w:color w:val="231F20"/>
          <w:w w:val="105"/>
          <w:sz w:val="18"/>
        </w:rPr>
        <w:t>y</w:t>
      </w:r>
      <w:r>
        <w:rPr>
          <w:color w:val="231F20"/>
          <w:spacing w:val="-9"/>
          <w:w w:val="105"/>
          <w:sz w:val="18"/>
        </w:rPr>
        <w:t> </w:t>
      </w:r>
      <w:r>
        <w:rPr>
          <w:color w:val="231F20"/>
          <w:w w:val="105"/>
          <w:sz w:val="18"/>
        </w:rPr>
        <w:t>tiempo</w:t>
      </w:r>
      <w:r>
        <w:rPr>
          <w:color w:val="231F20"/>
          <w:spacing w:val="-9"/>
          <w:w w:val="105"/>
          <w:sz w:val="18"/>
        </w:rPr>
        <w:t> </w:t>
      </w:r>
      <w:r>
        <w:rPr>
          <w:color w:val="231F20"/>
          <w:w w:val="105"/>
          <w:sz w:val="18"/>
        </w:rPr>
        <w:t>más</w:t>
      </w:r>
      <w:r>
        <w:rPr>
          <w:color w:val="231F20"/>
          <w:spacing w:val="-9"/>
          <w:w w:val="105"/>
          <w:sz w:val="18"/>
        </w:rPr>
        <w:t> </w:t>
      </w:r>
      <w:r>
        <w:rPr>
          <w:color w:val="231F20"/>
          <w:w w:val="105"/>
          <w:sz w:val="18"/>
        </w:rPr>
        <w:t>tarde</w:t>
      </w:r>
      <w:r>
        <w:rPr>
          <w:color w:val="231F20"/>
          <w:spacing w:val="-9"/>
          <w:w w:val="105"/>
          <w:sz w:val="18"/>
        </w:rPr>
        <w:t> </w:t>
      </w:r>
      <w:r>
        <w:rPr>
          <w:color w:val="231F20"/>
          <w:w w:val="105"/>
          <w:sz w:val="18"/>
        </w:rPr>
        <w:t>em- pezamos</w:t>
      </w:r>
      <w:r>
        <w:rPr>
          <w:color w:val="231F20"/>
          <w:spacing w:val="-14"/>
          <w:w w:val="105"/>
          <w:sz w:val="18"/>
        </w:rPr>
        <w:t> </w:t>
      </w:r>
      <w:r>
        <w:rPr>
          <w:color w:val="231F20"/>
          <w:w w:val="105"/>
          <w:sz w:val="18"/>
        </w:rPr>
        <w:t>a</w:t>
      </w:r>
      <w:r>
        <w:rPr>
          <w:color w:val="231F20"/>
          <w:spacing w:val="-14"/>
          <w:w w:val="105"/>
          <w:sz w:val="18"/>
        </w:rPr>
        <w:t> </w:t>
      </w:r>
      <w:r>
        <w:rPr>
          <w:color w:val="231F20"/>
          <w:w w:val="105"/>
          <w:sz w:val="18"/>
        </w:rPr>
        <w:t>vivir</w:t>
      </w:r>
      <w:r>
        <w:rPr>
          <w:color w:val="231F20"/>
          <w:spacing w:val="-14"/>
          <w:w w:val="105"/>
          <w:sz w:val="18"/>
        </w:rPr>
        <w:t> </w:t>
      </w:r>
      <w:r>
        <w:rPr>
          <w:color w:val="231F20"/>
          <w:w w:val="105"/>
          <w:sz w:val="18"/>
        </w:rPr>
        <w:t>juntos.</w:t>
      </w:r>
      <w:r>
        <w:rPr>
          <w:color w:val="231F20"/>
          <w:spacing w:val="-22"/>
          <w:w w:val="105"/>
          <w:sz w:val="18"/>
        </w:rPr>
        <w:t> </w:t>
      </w:r>
      <w:r>
        <w:rPr>
          <w:color w:val="231F20"/>
          <w:w w:val="105"/>
          <w:sz w:val="18"/>
        </w:rPr>
        <w:t>Vino</w:t>
      </w:r>
      <w:r>
        <w:rPr>
          <w:color w:val="231F20"/>
          <w:spacing w:val="-14"/>
          <w:w w:val="105"/>
          <w:sz w:val="18"/>
        </w:rPr>
        <w:t> </w:t>
      </w:r>
      <w:r>
        <w:rPr>
          <w:color w:val="231F20"/>
          <w:w w:val="105"/>
          <w:sz w:val="18"/>
        </w:rPr>
        <w:t>otro</w:t>
      </w:r>
      <w:r>
        <w:rPr>
          <w:color w:val="231F20"/>
          <w:spacing w:val="-14"/>
          <w:w w:val="105"/>
          <w:sz w:val="18"/>
        </w:rPr>
        <w:t> </w:t>
      </w:r>
      <w:r>
        <w:rPr>
          <w:color w:val="231F20"/>
          <w:w w:val="105"/>
          <w:sz w:val="18"/>
        </w:rPr>
        <w:t>cambio</w:t>
      </w:r>
      <w:r>
        <w:rPr>
          <w:color w:val="231F20"/>
          <w:spacing w:val="-14"/>
          <w:w w:val="105"/>
          <w:sz w:val="18"/>
        </w:rPr>
        <w:t> </w:t>
      </w:r>
      <w:r>
        <w:rPr>
          <w:color w:val="231F20"/>
          <w:w w:val="105"/>
          <w:sz w:val="18"/>
        </w:rPr>
        <w:t>con</w:t>
      </w:r>
      <w:r>
        <w:rPr>
          <w:color w:val="231F20"/>
          <w:spacing w:val="-14"/>
          <w:w w:val="105"/>
          <w:sz w:val="18"/>
        </w:rPr>
        <w:t> </w:t>
      </w:r>
      <w:r>
        <w:rPr>
          <w:color w:val="231F20"/>
          <w:w w:val="105"/>
          <w:sz w:val="18"/>
        </w:rPr>
        <w:t>mi</w:t>
      </w:r>
      <w:r>
        <w:rPr>
          <w:color w:val="231F20"/>
          <w:spacing w:val="-14"/>
          <w:w w:val="105"/>
          <w:sz w:val="18"/>
        </w:rPr>
        <w:t> </w:t>
      </w:r>
      <w:r>
        <w:rPr>
          <w:color w:val="231F20"/>
          <w:w w:val="105"/>
          <w:sz w:val="18"/>
        </w:rPr>
        <w:t>familia</w:t>
      </w:r>
      <w:r>
        <w:rPr>
          <w:color w:val="231F20"/>
          <w:spacing w:val="-14"/>
          <w:w w:val="105"/>
          <w:sz w:val="18"/>
        </w:rPr>
        <w:t> </w:t>
      </w:r>
      <w:r>
        <w:rPr>
          <w:color w:val="231F20"/>
          <w:w w:val="105"/>
          <w:sz w:val="18"/>
        </w:rPr>
        <w:t>porque</w:t>
      </w:r>
      <w:r>
        <w:rPr>
          <w:color w:val="231F20"/>
          <w:spacing w:val="-14"/>
          <w:w w:val="105"/>
          <w:sz w:val="18"/>
        </w:rPr>
        <w:t> </w:t>
      </w:r>
      <w:r>
        <w:rPr>
          <w:color w:val="231F20"/>
          <w:w w:val="105"/>
          <w:sz w:val="18"/>
        </w:rPr>
        <w:t>ya</w:t>
      </w:r>
      <w:r>
        <w:rPr>
          <w:color w:val="231F20"/>
          <w:spacing w:val="-14"/>
          <w:w w:val="105"/>
          <w:sz w:val="18"/>
        </w:rPr>
        <w:t> </w:t>
      </w:r>
      <w:r>
        <w:rPr>
          <w:color w:val="231F20"/>
          <w:w w:val="105"/>
          <w:sz w:val="18"/>
        </w:rPr>
        <w:t>esta-</w:t>
      </w:r>
    </w:p>
    <w:p>
      <w:pPr>
        <w:pStyle w:val="BodyText"/>
        <w:rPr>
          <w:sz w:val="20"/>
        </w:rPr>
      </w:pPr>
    </w:p>
    <w:p>
      <w:pPr>
        <w:pStyle w:val="BodyText"/>
        <w:rPr>
          <w:sz w:val="20"/>
        </w:rPr>
      </w:pPr>
    </w:p>
    <w:p>
      <w:pPr>
        <w:pStyle w:val="BodyText"/>
        <w:spacing w:before="6"/>
        <w:rPr>
          <w:sz w:val="25"/>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9296" from="131.551193pt,3.703715pt" to="131.551193pt,39.506114pt" stroked="true" strokeweight=".35pt" strokecolor="#231f20">
            <w10:wrap type="none"/>
          </v:line>
        </w:pict>
      </w:r>
      <w:r>
        <w:rPr/>
        <w:pict>
          <v:line style="position:absolute;mso-position-horizontal-relative:page;mso-position-vertical-relative:paragraph;z-index:-449224" from="15pt,39.505917pt" to="0pt,39.505917pt" stroked="true" strokeweight=".25pt" strokecolor="#000000">
            <w10:wrap type="none"/>
          </v:line>
        </w:pict>
      </w:r>
      <w:r>
        <w:rPr/>
        <w:pict>
          <v:line style="position:absolute;mso-position-horizontal-relative:page;mso-position-vertical-relative:paragraph;z-index:40984" from="508.890015pt,39.505917pt" to="523.890015pt,39.505917pt" stroked="true" strokeweight=".25pt" strokecolor="#000000">
            <w10:wrap type="none"/>
          </v:line>
        </w:pict>
      </w:r>
      <w:r>
        <w:rPr>
          <w:rFonts w:ascii="Arial" w:hAnsi="Arial"/>
          <w:color w:val="414042"/>
          <w:position w:val="-5"/>
          <w:sz w:val="20"/>
        </w:rPr>
        <w:t>342</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49176" from="405.061005pt,-18.554295pt" to="405.061005pt,16.311579pt" stroked="true" strokeweight=".35pt" strokecolor="#231f20">
            <w10:wrap type="none"/>
          </v:line>
        </w:pict>
      </w:r>
      <w:r>
        <w:rPr/>
        <w:pict>
          <v:line style="position:absolute;mso-position-horizontal-relative:page;mso-position-vertical-relative:paragraph;z-index:41032" from="15pt,-18.554522pt" to="0pt,-18.554522pt" stroked="true" strokeweight=".25pt" strokecolor="#000000">
            <w10:wrap type="none"/>
          </v:line>
        </w:pict>
      </w:r>
      <w:r>
        <w:rPr/>
        <w:pict>
          <v:line style="position:absolute;mso-position-horizontal-relative:page;mso-position-vertical-relative:paragraph;z-index:41056"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343</w:t>
      </w:r>
    </w:p>
    <w:p>
      <w:pPr>
        <w:pStyle w:val="BodyText"/>
        <w:rPr>
          <w:rFonts w:ascii="Arial"/>
          <w:sz w:val="18"/>
        </w:rPr>
      </w:pPr>
    </w:p>
    <w:p>
      <w:pPr>
        <w:pStyle w:val="BodyText"/>
        <w:rPr>
          <w:rFonts w:ascii="Arial"/>
          <w:sz w:val="18"/>
        </w:rPr>
      </w:pPr>
    </w:p>
    <w:p>
      <w:pPr>
        <w:pStyle w:val="BodyText"/>
        <w:spacing w:before="4"/>
        <w:rPr>
          <w:rFonts w:ascii="Arial"/>
          <w:sz w:val="19"/>
        </w:rPr>
      </w:pPr>
    </w:p>
    <w:p>
      <w:pPr>
        <w:spacing w:line="254" w:lineRule="auto" w:before="1"/>
        <w:ind w:left="2971" w:right="1716" w:firstLine="0"/>
        <w:jc w:val="both"/>
        <w:rPr>
          <w:sz w:val="18"/>
        </w:rPr>
      </w:pPr>
      <w:r>
        <w:rPr>
          <w:color w:val="231F20"/>
          <w:w w:val="105"/>
          <w:sz w:val="18"/>
        </w:rPr>
        <w:t>ba listo todo para mudarse nuevamente a Chicago, [pero] me quedé, y</w:t>
      </w:r>
      <w:r>
        <w:rPr>
          <w:color w:val="231F20"/>
          <w:spacing w:val="-5"/>
          <w:w w:val="105"/>
          <w:sz w:val="18"/>
        </w:rPr>
        <w:t> </w:t>
      </w:r>
      <w:r>
        <w:rPr>
          <w:color w:val="231F20"/>
          <w:w w:val="105"/>
          <w:sz w:val="18"/>
        </w:rPr>
        <w:t>seguí</w:t>
      </w:r>
      <w:r>
        <w:rPr>
          <w:color w:val="231F20"/>
          <w:spacing w:val="-5"/>
          <w:w w:val="105"/>
          <w:sz w:val="18"/>
        </w:rPr>
        <w:t> </w:t>
      </w:r>
      <w:r>
        <w:rPr>
          <w:color w:val="231F20"/>
          <w:w w:val="105"/>
          <w:sz w:val="18"/>
        </w:rPr>
        <w:t>trabajando</w:t>
      </w:r>
      <w:r>
        <w:rPr>
          <w:color w:val="231F20"/>
          <w:spacing w:val="-5"/>
          <w:w w:val="105"/>
          <w:sz w:val="18"/>
        </w:rPr>
        <w:t> </w:t>
      </w:r>
      <w:r>
        <w:rPr>
          <w:color w:val="231F20"/>
          <w:w w:val="105"/>
          <w:sz w:val="18"/>
        </w:rPr>
        <w:t>en</w:t>
      </w:r>
      <w:r>
        <w:rPr>
          <w:color w:val="231F20"/>
          <w:spacing w:val="-5"/>
          <w:w w:val="105"/>
          <w:sz w:val="18"/>
        </w:rPr>
        <w:t> </w:t>
      </w:r>
      <w:r>
        <w:rPr>
          <w:color w:val="231F20"/>
          <w:w w:val="105"/>
          <w:sz w:val="18"/>
        </w:rPr>
        <w:t>Houston</w:t>
      </w:r>
      <w:r>
        <w:rPr>
          <w:color w:val="231F20"/>
          <w:spacing w:val="-5"/>
          <w:w w:val="105"/>
          <w:sz w:val="18"/>
        </w:rPr>
        <w:t> </w:t>
      </w:r>
      <w:r>
        <w:rPr>
          <w:color w:val="231F20"/>
          <w:w w:val="105"/>
          <w:sz w:val="18"/>
        </w:rPr>
        <w:t>a</w:t>
      </w:r>
      <w:r>
        <w:rPr>
          <w:color w:val="231F20"/>
          <w:spacing w:val="-5"/>
          <w:w w:val="105"/>
          <w:sz w:val="18"/>
        </w:rPr>
        <w:t> </w:t>
      </w:r>
      <w:r>
        <w:rPr>
          <w:color w:val="231F20"/>
          <w:w w:val="105"/>
          <w:sz w:val="18"/>
        </w:rPr>
        <w:t>vivir</w:t>
      </w:r>
      <w:r>
        <w:rPr>
          <w:color w:val="231F20"/>
          <w:spacing w:val="-5"/>
          <w:w w:val="105"/>
          <w:sz w:val="18"/>
        </w:rPr>
        <w:t> </w:t>
      </w:r>
      <w:r>
        <w:rPr>
          <w:color w:val="231F20"/>
          <w:w w:val="105"/>
          <w:sz w:val="18"/>
        </w:rPr>
        <w:t>nuestra</w:t>
      </w:r>
      <w:r>
        <w:rPr>
          <w:color w:val="231F20"/>
          <w:spacing w:val="-5"/>
          <w:w w:val="105"/>
          <w:sz w:val="18"/>
        </w:rPr>
        <w:t> </w:t>
      </w:r>
      <w:r>
        <w:rPr>
          <w:color w:val="231F20"/>
          <w:w w:val="105"/>
          <w:sz w:val="18"/>
        </w:rPr>
        <w:t>vida</w:t>
      </w:r>
      <w:r>
        <w:rPr>
          <w:color w:val="231F20"/>
          <w:spacing w:val="-5"/>
          <w:w w:val="105"/>
          <w:sz w:val="18"/>
        </w:rPr>
        <w:t> </w:t>
      </w:r>
      <w:r>
        <w:rPr>
          <w:color w:val="231F20"/>
          <w:w w:val="105"/>
          <w:sz w:val="18"/>
        </w:rPr>
        <w:t>(Mónica,</w:t>
      </w:r>
      <w:r>
        <w:rPr>
          <w:color w:val="231F20"/>
          <w:spacing w:val="-9"/>
          <w:w w:val="105"/>
          <w:sz w:val="18"/>
        </w:rPr>
        <w:t> </w:t>
      </w:r>
      <w:r>
        <w:rPr>
          <w:color w:val="231F20"/>
          <w:w w:val="105"/>
          <w:sz w:val="18"/>
        </w:rPr>
        <w:t>entrevista telefónica</w:t>
      </w:r>
      <w:r>
        <w:rPr>
          <w:color w:val="231F20"/>
          <w:spacing w:val="-21"/>
          <w:w w:val="105"/>
          <w:sz w:val="18"/>
        </w:rPr>
        <w:t> </w:t>
      </w:r>
      <w:r>
        <w:rPr>
          <w:color w:val="231F20"/>
          <w:w w:val="105"/>
          <w:sz w:val="18"/>
        </w:rPr>
        <w:t>mayo</w:t>
      </w:r>
      <w:r>
        <w:rPr>
          <w:color w:val="231F20"/>
          <w:spacing w:val="-21"/>
          <w:w w:val="105"/>
          <w:sz w:val="18"/>
        </w:rPr>
        <w:t> </w:t>
      </w:r>
      <w:r>
        <w:rPr>
          <w:color w:val="231F20"/>
          <w:w w:val="105"/>
          <w:sz w:val="18"/>
        </w:rPr>
        <w:t>2015).</w:t>
      </w:r>
    </w:p>
    <w:p>
      <w:pPr>
        <w:pStyle w:val="BodyText"/>
        <w:spacing w:before="5"/>
      </w:pPr>
    </w:p>
    <w:p>
      <w:pPr>
        <w:pStyle w:val="BodyText"/>
        <w:spacing w:line="261" w:lineRule="auto"/>
        <w:ind w:left="1837" w:right="1721"/>
        <w:jc w:val="both"/>
      </w:pPr>
      <w:r>
        <w:rPr>
          <w:color w:val="231F20"/>
        </w:rPr>
        <w:t>Algunos han regresado por voluntad propia y otros fueron deportados    por sus conductas en el país extranjero, como conducir en estado de ebriedad, por ingerir drogas y otras causas. De las 22 unidades domésti- cas entrevistadas, en seis se encontraron migrantes que habían regresa- do y se encontraban en la unidad doméstica al momento de realizar este estudio. El </w:t>
      </w:r>
      <w:r>
        <w:rPr>
          <w:color w:val="231F20"/>
          <w:spacing w:val="-4"/>
        </w:rPr>
        <w:t>Sr. </w:t>
      </w:r>
      <w:r>
        <w:rPr>
          <w:color w:val="231F20"/>
        </w:rPr>
        <w:t>Rogelio describe su experiencia </w:t>
      </w:r>
      <w:r>
        <w:rPr>
          <w:color w:val="231F20"/>
          <w:spacing w:val="38"/>
        </w:rPr>
        <w:t> </w:t>
      </w:r>
      <w:r>
        <w:rPr>
          <w:color w:val="231F20"/>
        </w:rPr>
        <w:t>personal:</w:t>
      </w:r>
    </w:p>
    <w:p>
      <w:pPr>
        <w:pStyle w:val="BodyText"/>
        <w:spacing w:before="7"/>
        <w:rPr>
          <w:sz w:val="18"/>
        </w:rPr>
      </w:pPr>
    </w:p>
    <w:p>
      <w:pPr>
        <w:spacing w:line="254" w:lineRule="auto" w:before="0"/>
        <w:ind w:left="2971" w:right="1721" w:firstLine="0"/>
        <w:jc w:val="both"/>
        <w:rPr>
          <w:sz w:val="18"/>
        </w:rPr>
      </w:pPr>
      <w:r>
        <w:rPr>
          <w:color w:val="231F20"/>
          <w:w w:val="105"/>
          <w:sz w:val="18"/>
        </w:rPr>
        <w:t>Estuve aproximadamente 15 años en Estados Unidos, y tiene 4 años que regresé. Cuando estaba más chico aprendí a trabajar en el cam- po,</w:t>
      </w:r>
      <w:r>
        <w:rPr>
          <w:color w:val="231F20"/>
          <w:spacing w:val="-35"/>
          <w:w w:val="105"/>
          <w:sz w:val="18"/>
        </w:rPr>
        <w:t> </w:t>
      </w:r>
      <w:r>
        <w:rPr>
          <w:color w:val="231F20"/>
          <w:w w:val="105"/>
          <w:sz w:val="18"/>
        </w:rPr>
        <w:t>pues mis padres me enseñaron a “agarrar el </w:t>
      </w:r>
      <w:r>
        <w:rPr>
          <w:color w:val="231F20"/>
          <w:spacing w:val="-3"/>
          <w:w w:val="105"/>
          <w:sz w:val="18"/>
        </w:rPr>
        <w:t>machete”. </w:t>
      </w:r>
      <w:r>
        <w:rPr>
          <w:color w:val="231F20"/>
          <w:w w:val="105"/>
          <w:sz w:val="18"/>
        </w:rPr>
        <w:t>Durante el tiempo</w:t>
      </w:r>
      <w:r>
        <w:rPr>
          <w:color w:val="231F20"/>
          <w:spacing w:val="-6"/>
          <w:w w:val="105"/>
          <w:sz w:val="18"/>
        </w:rPr>
        <w:t> </w:t>
      </w:r>
      <w:r>
        <w:rPr>
          <w:color w:val="231F20"/>
          <w:w w:val="105"/>
          <w:sz w:val="18"/>
        </w:rPr>
        <w:t>que</w:t>
      </w:r>
      <w:r>
        <w:rPr>
          <w:color w:val="231F20"/>
          <w:spacing w:val="-6"/>
          <w:w w:val="105"/>
          <w:sz w:val="18"/>
        </w:rPr>
        <w:t> </w:t>
      </w:r>
      <w:r>
        <w:rPr>
          <w:color w:val="231F20"/>
          <w:w w:val="105"/>
          <w:sz w:val="18"/>
        </w:rPr>
        <w:t>estuve</w:t>
      </w:r>
      <w:r>
        <w:rPr>
          <w:color w:val="231F20"/>
          <w:spacing w:val="-6"/>
          <w:w w:val="105"/>
          <w:sz w:val="18"/>
        </w:rPr>
        <w:t> </w:t>
      </w:r>
      <w:r>
        <w:rPr>
          <w:color w:val="231F20"/>
          <w:w w:val="105"/>
          <w:sz w:val="18"/>
        </w:rPr>
        <w:t>en</w:t>
      </w:r>
      <w:r>
        <w:rPr>
          <w:color w:val="231F20"/>
          <w:spacing w:val="-6"/>
          <w:w w:val="105"/>
          <w:sz w:val="18"/>
        </w:rPr>
        <w:t> </w:t>
      </w:r>
      <w:r>
        <w:rPr>
          <w:color w:val="231F20"/>
          <w:w w:val="105"/>
          <w:sz w:val="18"/>
        </w:rPr>
        <w:t>Estados</w:t>
      </w:r>
      <w:r>
        <w:rPr>
          <w:color w:val="231F20"/>
          <w:spacing w:val="-6"/>
          <w:w w:val="105"/>
          <w:sz w:val="18"/>
        </w:rPr>
        <w:t> </w:t>
      </w:r>
      <w:r>
        <w:rPr>
          <w:color w:val="231F20"/>
          <w:w w:val="105"/>
          <w:sz w:val="18"/>
        </w:rPr>
        <w:t>Unidos</w:t>
      </w:r>
      <w:r>
        <w:rPr>
          <w:color w:val="231F20"/>
          <w:spacing w:val="-6"/>
          <w:w w:val="105"/>
          <w:sz w:val="18"/>
        </w:rPr>
        <w:t> </w:t>
      </w:r>
      <w:r>
        <w:rPr>
          <w:color w:val="231F20"/>
          <w:w w:val="105"/>
          <w:sz w:val="18"/>
        </w:rPr>
        <w:t>trabajé</w:t>
      </w:r>
      <w:r>
        <w:rPr>
          <w:color w:val="231F20"/>
          <w:spacing w:val="-6"/>
          <w:w w:val="105"/>
          <w:sz w:val="18"/>
        </w:rPr>
        <w:t> </w:t>
      </w:r>
      <w:r>
        <w:rPr>
          <w:color w:val="231F20"/>
          <w:w w:val="105"/>
          <w:sz w:val="18"/>
        </w:rPr>
        <w:t>en</w:t>
      </w:r>
      <w:r>
        <w:rPr>
          <w:color w:val="231F20"/>
          <w:spacing w:val="-6"/>
          <w:w w:val="105"/>
          <w:sz w:val="18"/>
        </w:rPr>
        <w:t> </w:t>
      </w:r>
      <w:r>
        <w:rPr>
          <w:color w:val="231F20"/>
          <w:w w:val="105"/>
          <w:sz w:val="18"/>
        </w:rPr>
        <w:t>un</w:t>
      </w:r>
      <w:r>
        <w:rPr>
          <w:color w:val="231F20"/>
          <w:spacing w:val="-6"/>
          <w:w w:val="105"/>
          <w:sz w:val="18"/>
        </w:rPr>
        <w:t> </w:t>
      </w:r>
      <w:r>
        <w:rPr>
          <w:color w:val="231F20"/>
          <w:w w:val="105"/>
          <w:sz w:val="18"/>
        </w:rPr>
        <w:t>restaurante,</w:t>
      </w:r>
      <w:r>
        <w:rPr>
          <w:color w:val="231F20"/>
          <w:spacing w:val="-11"/>
          <w:w w:val="105"/>
          <w:sz w:val="18"/>
        </w:rPr>
        <w:t> </w:t>
      </w:r>
      <w:r>
        <w:rPr>
          <w:color w:val="231F20"/>
          <w:w w:val="105"/>
          <w:sz w:val="18"/>
        </w:rPr>
        <w:t>y</w:t>
      </w:r>
      <w:r>
        <w:rPr>
          <w:color w:val="231F20"/>
          <w:spacing w:val="-6"/>
          <w:w w:val="105"/>
          <w:sz w:val="18"/>
        </w:rPr>
        <w:t> </w:t>
      </w:r>
      <w:r>
        <w:rPr>
          <w:color w:val="231F20"/>
          <w:w w:val="105"/>
          <w:sz w:val="18"/>
        </w:rPr>
        <w:t>me desacostumbré</w:t>
      </w:r>
      <w:r>
        <w:rPr>
          <w:color w:val="231F20"/>
          <w:spacing w:val="-5"/>
          <w:w w:val="105"/>
          <w:sz w:val="18"/>
        </w:rPr>
        <w:t> </w:t>
      </w:r>
      <w:r>
        <w:rPr>
          <w:color w:val="231F20"/>
          <w:w w:val="105"/>
          <w:sz w:val="18"/>
        </w:rPr>
        <w:t>a</w:t>
      </w:r>
      <w:r>
        <w:rPr>
          <w:color w:val="231F20"/>
          <w:spacing w:val="-5"/>
          <w:w w:val="105"/>
          <w:sz w:val="18"/>
        </w:rPr>
        <w:t> </w:t>
      </w:r>
      <w:r>
        <w:rPr>
          <w:color w:val="231F20"/>
          <w:w w:val="105"/>
          <w:sz w:val="18"/>
        </w:rPr>
        <w:t>trabajar</w:t>
      </w:r>
      <w:r>
        <w:rPr>
          <w:color w:val="231F20"/>
          <w:spacing w:val="-5"/>
          <w:w w:val="105"/>
          <w:sz w:val="18"/>
        </w:rPr>
        <w:t> </w:t>
      </w:r>
      <w:r>
        <w:rPr>
          <w:color w:val="231F20"/>
          <w:w w:val="105"/>
          <w:sz w:val="18"/>
        </w:rPr>
        <w:t>en</w:t>
      </w:r>
      <w:r>
        <w:rPr>
          <w:color w:val="231F20"/>
          <w:spacing w:val="-5"/>
          <w:w w:val="105"/>
          <w:sz w:val="18"/>
        </w:rPr>
        <w:t> </w:t>
      </w:r>
      <w:r>
        <w:rPr>
          <w:color w:val="231F20"/>
          <w:w w:val="105"/>
          <w:sz w:val="18"/>
        </w:rPr>
        <w:t>el</w:t>
      </w:r>
      <w:r>
        <w:rPr>
          <w:color w:val="231F20"/>
          <w:spacing w:val="-5"/>
          <w:w w:val="105"/>
          <w:sz w:val="18"/>
        </w:rPr>
        <w:t> </w:t>
      </w:r>
      <w:r>
        <w:rPr>
          <w:color w:val="231F20"/>
          <w:w w:val="105"/>
          <w:sz w:val="18"/>
        </w:rPr>
        <w:t>campo.</w:t>
      </w:r>
      <w:r>
        <w:rPr>
          <w:color w:val="231F20"/>
          <w:spacing w:val="-9"/>
          <w:w w:val="105"/>
          <w:sz w:val="18"/>
        </w:rPr>
        <w:t> </w:t>
      </w:r>
      <w:r>
        <w:rPr>
          <w:color w:val="231F20"/>
          <w:w w:val="105"/>
          <w:sz w:val="18"/>
        </w:rPr>
        <w:t>Sin</w:t>
      </w:r>
      <w:r>
        <w:rPr>
          <w:color w:val="231F20"/>
          <w:spacing w:val="-5"/>
          <w:w w:val="105"/>
          <w:sz w:val="18"/>
        </w:rPr>
        <w:t> </w:t>
      </w:r>
      <w:r>
        <w:rPr>
          <w:color w:val="231F20"/>
          <w:w w:val="105"/>
          <w:sz w:val="18"/>
        </w:rPr>
        <w:t>duda</w:t>
      </w:r>
      <w:r>
        <w:rPr>
          <w:color w:val="231F20"/>
          <w:spacing w:val="-5"/>
          <w:w w:val="105"/>
          <w:sz w:val="18"/>
        </w:rPr>
        <w:t> </w:t>
      </w:r>
      <w:r>
        <w:rPr>
          <w:color w:val="231F20"/>
          <w:w w:val="105"/>
          <w:sz w:val="18"/>
        </w:rPr>
        <w:t>trabajar</w:t>
      </w:r>
      <w:r>
        <w:rPr>
          <w:color w:val="231F20"/>
          <w:spacing w:val="-5"/>
          <w:w w:val="105"/>
          <w:sz w:val="18"/>
        </w:rPr>
        <w:t> </w:t>
      </w:r>
      <w:r>
        <w:rPr>
          <w:color w:val="231F20"/>
          <w:w w:val="105"/>
          <w:sz w:val="18"/>
        </w:rPr>
        <w:t>el</w:t>
      </w:r>
      <w:r>
        <w:rPr>
          <w:color w:val="231F20"/>
          <w:spacing w:val="-5"/>
          <w:w w:val="105"/>
          <w:sz w:val="18"/>
        </w:rPr>
        <w:t> </w:t>
      </w:r>
      <w:r>
        <w:rPr>
          <w:color w:val="231F20"/>
          <w:w w:val="105"/>
          <w:sz w:val="18"/>
        </w:rPr>
        <w:t>campo</w:t>
      </w:r>
      <w:r>
        <w:rPr>
          <w:color w:val="231F20"/>
          <w:spacing w:val="-5"/>
          <w:w w:val="105"/>
          <w:sz w:val="18"/>
        </w:rPr>
        <w:t> </w:t>
      </w:r>
      <w:r>
        <w:rPr>
          <w:color w:val="231F20"/>
          <w:w w:val="105"/>
          <w:sz w:val="18"/>
        </w:rPr>
        <w:t>es más pesado, pero al no haber más trabajo no queda de otra más que hacerlo.</w:t>
      </w:r>
      <w:r>
        <w:rPr>
          <w:color w:val="231F20"/>
          <w:spacing w:val="-25"/>
          <w:w w:val="105"/>
          <w:sz w:val="18"/>
        </w:rPr>
        <w:t> </w:t>
      </w:r>
      <w:r>
        <w:rPr>
          <w:color w:val="231F20"/>
          <w:w w:val="105"/>
          <w:sz w:val="18"/>
        </w:rPr>
        <w:t>Me</w:t>
      </w:r>
      <w:r>
        <w:rPr>
          <w:color w:val="231F20"/>
          <w:spacing w:val="-21"/>
          <w:w w:val="105"/>
          <w:sz w:val="18"/>
        </w:rPr>
        <w:t> </w:t>
      </w:r>
      <w:r>
        <w:rPr>
          <w:color w:val="231F20"/>
          <w:w w:val="105"/>
          <w:sz w:val="18"/>
        </w:rPr>
        <w:t>gustaría</w:t>
      </w:r>
      <w:r>
        <w:rPr>
          <w:color w:val="231F20"/>
          <w:spacing w:val="-21"/>
          <w:w w:val="105"/>
          <w:sz w:val="18"/>
        </w:rPr>
        <w:t> </w:t>
      </w:r>
      <w:r>
        <w:rPr>
          <w:color w:val="231F20"/>
          <w:w w:val="105"/>
          <w:sz w:val="18"/>
        </w:rPr>
        <w:t>regresar</w:t>
      </w:r>
      <w:r>
        <w:rPr>
          <w:color w:val="231F20"/>
          <w:spacing w:val="-21"/>
          <w:w w:val="105"/>
          <w:sz w:val="18"/>
        </w:rPr>
        <w:t> </w:t>
      </w:r>
      <w:r>
        <w:rPr>
          <w:color w:val="231F20"/>
          <w:w w:val="105"/>
          <w:sz w:val="18"/>
        </w:rPr>
        <w:t>a</w:t>
      </w:r>
      <w:r>
        <w:rPr>
          <w:color w:val="231F20"/>
          <w:spacing w:val="-21"/>
          <w:w w:val="105"/>
          <w:sz w:val="18"/>
        </w:rPr>
        <w:t> </w:t>
      </w:r>
      <w:r>
        <w:rPr>
          <w:color w:val="231F20"/>
          <w:w w:val="105"/>
          <w:sz w:val="18"/>
        </w:rPr>
        <w:t>Estados</w:t>
      </w:r>
      <w:r>
        <w:rPr>
          <w:color w:val="231F20"/>
          <w:spacing w:val="-21"/>
          <w:w w:val="105"/>
          <w:sz w:val="18"/>
        </w:rPr>
        <w:t> </w:t>
      </w:r>
      <w:r>
        <w:rPr>
          <w:color w:val="231F20"/>
          <w:w w:val="105"/>
          <w:sz w:val="18"/>
        </w:rPr>
        <w:t>Unidos</w:t>
      </w:r>
      <w:r>
        <w:rPr>
          <w:color w:val="231F20"/>
          <w:spacing w:val="-21"/>
          <w:w w:val="105"/>
          <w:sz w:val="18"/>
        </w:rPr>
        <w:t> </w:t>
      </w:r>
      <w:r>
        <w:rPr>
          <w:color w:val="231F20"/>
          <w:w w:val="105"/>
          <w:sz w:val="18"/>
        </w:rPr>
        <w:t>porque</w:t>
      </w:r>
      <w:r>
        <w:rPr>
          <w:color w:val="231F20"/>
          <w:spacing w:val="-21"/>
          <w:w w:val="105"/>
          <w:sz w:val="18"/>
        </w:rPr>
        <w:t> </w:t>
      </w:r>
      <w:r>
        <w:rPr>
          <w:color w:val="231F20"/>
          <w:w w:val="105"/>
          <w:sz w:val="18"/>
        </w:rPr>
        <w:t>es</w:t>
      </w:r>
      <w:r>
        <w:rPr>
          <w:color w:val="231F20"/>
          <w:spacing w:val="-21"/>
          <w:w w:val="105"/>
          <w:sz w:val="18"/>
        </w:rPr>
        <w:t> </w:t>
      </w:r>
      <w:r>
        <w:rPr>
          <w:color w:val="231F20"/>
          <w:w w:val="105"/>
          <w:sz w:val="18"/>
        </w:rPr>
        <w:t>más</w:t>
      </w:r>
      <w:r>
        <w:rPr>
          <w:color w:val="231F20"/>
          <w:spacing w:val="-21"/>
          <w:w w:val="105"/>
          <w:sz w:val="18"/>
        </w:rPr>
        <w:t> </w:t>
      </w:r>
      <w:r>
        <w:rPr>
          <w:color w:val="231F20"/>
          <w:w w:val="105"/>
          <w:sz w:val="18"/>
        </w:rPr>
        <w:t>fácil</w:t>
      </w:r>
      <w:r>
        <w:rPr>
          <w:color w:val="231F20"/>
          <w:spacing w:val="-21"/>
          <w:w w:val="105"/>
          <w:sz w:val="18"/>
        </w:rPr>
        <w:t> </w:t>
      </w:r>
      <w:r>
        <w:rPr>
          <w:color w:val="231F20"/>
          <w:w w:val="105"/>
          <w:sz w:val="18"/>
        </w:rPr>
        <w:t>tra- bajar</w:t>
      </w:r>
      <w:r>
        <w:rPr>
          <w:color w:val="231F20"/>
          <w:spacing w:val="-14"/>
          <w:w w:val="105"/>
          <w:sz w:val="18"/>
        </w:rPr>
        <w:t> </w:t>
      </w:r>
      <w:r>
        <w:rPr>
          <w:color w:val="231F20"/>
          <w:w w:val="105"/>
          <w:sz w:val="18"/>
        </w:rPr>
        <w:t>allá.</w:t>
      </w:r>
      <w:r>
        <w:rPr>
          <w:color w:val="231F20"/>
          <w:spacing w:val="-18"/>
          <w:w w:val="105"/>
          <w:sz w:val="18"/>
        </w:rPr>
        <w:t> </w:t>
      </w:r>
      <w:r>
        <w:rPr>
          <w:color w:val="231F20"/>
          <w:w w:val="105"/>
          <w:sz w:val="18"/>
        </w:rPr>
        <w:t>Lo</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me</w:t>
      </w:r>
      <w:r>
        <w:rPr>
          <w:color w:val="231F20"/>
          <w:spacing w:val="-14"/>
          <w:w w:val="105"/>
          <w:sz w:val="18"/>
        </w:rPr>
        <w:t> </w:t>
      </w:r>
      <w:r>
        <w:rPr>
          <w:color w:val="231F20"/>
          <w:w w:val="105"/>
          <w:sz w:val="18"/>
        </w:rPr>
        <w:t>detiene</w:t>
      </w:r>
      <w:r>
        <w:rPr>
          <w:color w:val="231F20"/>
          <w:spacing w:val="-14"/>
          <w:w w:val="105"/>
          <w:sz w:val="18"/>
        </w:rPr>
        <w:t> </w:t>
      </w:r>
      <w:r>
        <w:rPr>
          <w:color w:val="231F20"/>
          <w:w w:val="105"/>
          <w:sz w:val="18"/>
        </w:rPr>
        <w:t>es</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no</w:t>
      </w:r>
      <w:r>
        <w:rPr>
          <w:color w:val="231F20"/>
          <w:spacing w:val="-14"/>
          <w:w w:val="105"/>
          <w:sz w:val="18"/>
        </w:rPr>
        <w:t> </w:t>
      </w:r>
      <w:r>
        <w:rPr>
          <w:color w:val="231F20"/>
          <w:w w:val="105"/>
          <w:sz w:val="18"/>
        </w:rPr>
        <w:t>tengo</w:t>
      </w:r>
      <w:r>
        <w:rPr>
          <w:color w:val="231F20"/>
          <w:spacing w:val="-14"/>
          <w:w w:val="105"/>
          <w:sz w:val="18"/>
        </w:rPr>
        <w:t> </w:t>
      </w:r>
      <w:r>
        <w:rPr>
          <w:color w:val="231F20"/>
          <w:w w:val="105"/>
          <w:sz w:val="18"/>
        </w:rPr>
        <w:t>papeles</w:t>
      </w:r>
      <w:r>
        <w:rPr>
          <w:color w:val="231F20"/>
          <w:spacing w:val="-14"/>
          <w:w w:val="105"/>
          <w:sz w:val="18"/>
        </w:rPr>
        <w:t> </w:t>
      </w:r>
      <w:r>
        <w:rPr>
          <w:color w:val="231F20"/>
          <w:w w:val="105"/>
          <w:sz w:val="18"/>
        </w:rPr>
        <w:t>para</w:t>
      </w:r>
      <w:r>
        <w:rPr>
          <w:color w:val="231F20"/>
          <w:spacing w:val="-14"/>
          <w:w w:val="105"/>
          <w:sz w:val="18"/>
        </w:rPr>
        <w:t> </w:t>
      </w:r>
      <w:r>
        <w:rPr>
          <w:color w:val="231F20"/>
          <w:w w:val="105"/>
          <w:sz w:val="18"/>
        </w:rPr>
        <w:t>irme</w:t>
      </w:r>
      <w:r>
        <w:rPr>
          <w:color w:val="231F20"/>
          <w:spacing w:val="-14"/>
          <w:w w:val="105"/>
          <w:sz w:val="18"/>
        </w:rPr>
        <w:t> </w:t>
      </w:r>
      <w:r>
        <w:rPr>
          <w:color w:val="231F20"/>
          <w:w w:val="105"/>
          <w:sz w:val="18"/>
        </w:rPr>
        <w:t>y</w:t>
      </w:r>
      <w:r>
        <w:rPr>
          <w:color w:val="231F20"/>
          <w:spacing w:val="-14"/>
          <w:w w:val="105"/>
          <w:sz w:val="18"/>
        </w:rPr>
        <w:t> </w:t>
      </w:r>
      <w:r>
        <w:rPr>
          <w:color w:val="231F20"/>
          <w:w w:val="105"/>
          <w:sz w:val="18"/>
        </w:rPr>
        <w:t>para ir de mojado está muy canijo, así que espero ir juntando dinerito para poder</w:t>
      </w:r>
      <w:r>
        <w:rPr>
          <w:color w:val="231F20"/>
          <w:spacing w:val="-17"/>
          <w:w w:val="105"/>
          <w:sz w:val="18"/>
        </w:rPr>
        <w:t> </w:t>
      </w:r>
      <w:r>
        <w:rPr>
          <w:color w:val="231F20"/>
          <w:w w:val="105"/>
          <w:sz w:val="18"/>
        </w:rPr>
        <w:t>ir</w:t>
      </w:r>
      <w:r>
        <w:rPr>
          <w:color w:val="231F20"/>
          <w:spacing w:val="-17"/>
          <w:w w:val="105"/>
          <w:sz w:val="18"/>
        </w:rPr>
        <w:t> </w:t>
      </w:r>
      <w:r>
        <w:rPr>
          <w:color w:val="231F20"/>
          <w:w w:val="105"/>
          <w:sz w:val="18"/>
        </w:rPr>
        <w:t>sin</w:t>
      </w:r>
      <w:r>
        <w:rPr>
          <w:color w:val="231F20"/>
          <w:spacing w:val="-17"/>
          <w:w w:val="105"/>
          <w:sz w:val="18"/>
        </w:rPr>
        <w:t> </w:t>
      </w:r>
      <w:r>
        <w:rPr>
          <w:color w:val="231F20"/>
          <w:w w:val="105"/>
          <w:sz w:val="18"/>
        </w:rPr>
        <w:t>problemas</w:t>
      </w:r>
      <w:r>
        <w:rPr>
          <w:color w:val="231F20"/>
          <w:spacing w:val="-17"/>
          <w:w w:val="105"/>
          <w:sz w:val="18"/>
        </w:rPr>
        <w:t> </w:t>
      </w:r>
      <w:r>
        <w:rPr>
          <w:color w:val="231F20"/>
          <w:w w:val="105"/>
          <w:sz w:val="18"/>
        </w:rPr>
        <w:t>a</w:t>
      </w:r>
      <w:r>
        <w:rPr>
          <w:color w:val="231F20"/>
          <w:spacing w:val="-17"/>
          <w:w w:val="105"/>
          <w:sz w:val="18"/>
        </w:rPr>
        <w:t> </w:t>
      </w:r>
      <w:r>
        <w:rPr>
          <w:color w:val="231F20"/>
          <w:w w:val="105"/>
          <w:sz w:val="18"/>
        </w:rPr>
        <w:t>Houston</w:t>
      </w:r>
      <w:r>
        <w:rPr>
          <w:color w:val="231F20"/>
          <w:spacing w:val="-17"/>
          <w:w w:val="105"/>
          <w:sz w:val="18"/>
        </w:rPr>
        <w:t> </w:t>
      </w:r>
      <w:r>
        <w:rPr>
          <w:color w:val="231F20"/>
          <w:w w:val="105"/>
          <w:sz w:val="18"/>
        </w:rPr>
        <w:t>(Entrevista</w:t>
      </w:r>
      <w:r>
        <w:rPr>
          <w:color w:val="231F20"/>
          <w:spacing w:val="-17"/>
          <w:w w:val="105"/>
          <w:sz w:val="18"/>
        </w:rPr>
        <w:t> </w:t>
      </w:r>
      <w:r>
        <w:rPr>
          <w:color w:val="231F20"/>
          <w:spacing w:val="-3"/>
          <w:w w:val="105"/>
          <w:sz w:val="18"/>
        </w:rPr>
        <w:t>Sr.</w:t>
      </w:r>
      <w:r>
        <w:rPr>
          <w:color w:val="231F20"/>
          <w:spacing w:val="-22"/>
          <w:w w:val="105"/>
          <w:sz w:val="18"/>
        </w:rPr>
        <w:t> </w:t>
      </w:r>
      <w:r>
        <w:rPr>
          <w:color w:val="231F20"/>
          <w:w w:val="105"/>
          <w:sz w:val="18"/>
        </w:rPr>
        <w:t>Rogelio</w:t>
      </w:r>
      <w:r>
        <w:rPr>
          <w:color w:val="231F20"/>
          <w:spacing w:val="-19"/>
          <w:w w:val="105"/>
          <w:sz w:val="18"/>
        </w:rPr>
        <w:t> </w:t>
      </w:r>
      <w:r>
        <w:rPr>
          <w:color w:val="231F20"/>
          <w:w w:val="105"/>
          <w:sz w:val="18"/>
        </w:rPr>
        <w:t>Jaramillo</w:t>
      </w:r>
      <w:r>
        <w:rPr>
          <w:color w:val="231F20"/>
          <w:spacing w:val="-17"/>
          <w:w w:val="105"/>
          <w:sz w:val="18"/>
        </w:rPr>
        <w:t> </w:t>
      </w:r>
      <w:r>
        <w:rPr>
          <w:color w:val="231F20"/>
          <w:spacing w:val="-3"/>
          <w:w w:val="105"/>
          <w:sz w:val="18"/>
        </w:rPr>
        <w:t>Pue- </w:t>
      </w:r>
      <w:r>
        <w:rPr>
          <w:color w:val="231F20"/>
          <w:w w:val="105"/>
          <w:sz w:val="18"/>
        </w:rPr>
        <w:t>bla 01 de septiembre de</w:t>
      </w:r>
      <w:r>
        <w:rPr>
          <w:color w:val="231F20"/>
          <w:spacing w:val="-25"/>
          <w:w w:val="105"/>
          <w:sz w:val="18"/>
        </w:rPr>
        <w:t> </w:t>
      </w:r>
      <w:r>
        <w:rPr>
          <w:color w:val="231F20"/>
          <w:w w:val="105"/>
          <w:sz w:val="18"/>
        </w:rPr>
        <w:t>2014).</w:t>
      </w:r>
    </w:p>
    <w:p>
      <w:pPr>
        <w:pStyle w:val="BodyText"/>
        <w:spacing w:before="5"/>
      </w:pPr>
    </w:p>
    <w:p>
      <w:pPr>
        <w:pStyle w:val="BodyText"/>
        <w:spacing w:line="261" w:lineRule="auto"/>
        <w:ind w:left="1837" w:right="1720"/>
        <w:jc w:val="both"/>
      </w:pPr>
      <w:r>
        <w:rPr>
          <w:color w:val="231F20"/>
          <w:w w:val="105"/>
        </w:rPr>
        <w:t>Algunos</w:t>
      </w:r>
      <w:r>
        <w:rPr>
          <w:color w:val="231F20"/>
          <w:spacing w:val="-14"/>
          <w:w w:val="105"/>
        </w:rPr>
        <w:t> </w:t>
      </w:r>
      <w:r>
        <w:rPr>
          <w:color w:val="231F20"/>
          <w:w w:val="105"/>
        </w:rPr>
        <w:t>migrantes</w:t>
      </w:r>
      <w:r>
        <w:rPr>
          <w:color w:val="231F20"/>
          <w:spacing w:val="-14"/>
          <w:w w:val="105"/>
        </w:rPr>
        <w:t> </w:t>
      </w:r>
      <w:r>
        <w:rPr>
          <w:color w:val="231F20"/>
          <w:w w:val="105"/>
        </w:rPr>
        <w:t>quieren</w:t>
      </w:r>
      <w:r>
        <w:rPr>
          <w:color w:val="231F20"/>
          <w:spacing w:val="-14"/>
          <w:w w:val="105"/>
        </w:rPr>
        <w:t> </w:t>
      </w:r>
      <w:r>
        <w:rPr>
          <w:color w:val="231F20"/>
          <w:w w:val="105"/>
        </w:rPr>
        <w:t>regresar</w:t>
      </w:r>
      <w:r>
        <w:rPr>
          <w:color w:val="231F20"/>
          <w:spacing w:val="-14"/>
          <w:w w:val="105"/>
        </w:rPr>
        <w:t> </w:t>
      </w:r>
      <w:r>
        <w:rPr>
          <w:color w:val="231F20"/>
          <w:w w:val="105"/>
        </w:rPr>
        <w:t>a</w:t>
      </w:r>
      <w:r>
        <w:rPr>
          <w:color w:val="231F20"/>
          <w:spacing w:val="-14"/>
          <w:w w:val="105"/>
        </w:rPr>
        <w:t> </w:t>
      </w:r>
      <w:r>
        <w:rPr>
          <w:color w:val="231F20"/>
          <w:w w:val="105"/>
        </w:rPr>
        <w:t>México</w:t>
      </w:r>
      <w:r>
        <w:rPr>
          <w:color w:val="231F20"/>
          <w:spacing w:val="-14"/>
          <w:w w:val="105"/>
        </w:rPr>
        <w:t> </w:t>
      </w:r>
      <w:r>
        <w:rPr>
          <w:color w:val="231F20"/>
          <w:w w:val="105"/>
        </w:rPr>
        <w:t>pero</w:t>
      </w:r>
      <w:r>
        <w:rPr>
          <w:color w:val="231F20"/>
          <w:spacing w:val="-14"/>
          <w:w w:val="105"/>
        </w:rPr>
        <w:t> </w:t>
      </w:r>
      <w:r>
        <w:rPr>
          <w:color w:val="231F20"/>
          <w:w w:val="105"/>
        </w:rPr>
        <w:t>su</w:t>
      </w:r>
      <w:r>
        <w:rPr>
          <w:color w:val="231F20"/>
          <w:spacing w:val="-14"/>
          <w:w w:val="105"/>
        </w:rPr>
        <w:t> </w:t>
      </w:r>
      <w:r>
        <w:rPr>
          <w:color w:val="231F20"/>
          <w:w w:val="105"/>
        </w:rPr>
        <w:t>situación</w:t>
      </w:r>
      <w:r>
        <w:rPr>
          <w:color w:val="231F20"/>
          <w:spacing w:val="-14"/>
          <w:w w:val="105"/>
        </w:rPr>
        <w:t> </w:t>
      </w:r>
      <w:r>
        <w:rPr>
          <w:color w:val="231F20"/>
          <w:w w:val="105"/>
        </w:rPr>
        <w:t>irregular no se los permite, como lo señala Mónica cuando inició su nueva vida con</w:t>
      </w:r>
      <w:r>
        <w:rPr>
          <w:color w:val="231F20"/>
          <w:spacing w:val="-14"/>
          <w:w w:val="105"/>
        </w:rPr>
        <w:t> </w:t>
      </w:r>
      <w:r>
        <w:rPr>
          <w:color w:val="231F20"/>
          <w:w w:val="105"/>
        </w:rPr>
        <w:t>su</w:t>
      </w:r>
      <w:r>
        <w:rPr>
          <w:color w:val="231F20"/>
          <w:spacing w:val="-14"/>
          <w:w w:val="105"/>
        </w:rPr>
        <w:t> </w:t>
      </w:r>
      <w:r>
        <w:rPr>
          <w:color w:val="231F20"/>
          <w:w w:val="105"/>
        </w:rPr>
        <w:t>compañero</w:t>
      </w:r>
      <w:r>
        <w:rPr>
          <w:color w:val="231F20"/>
          <w:spacing w:val="-14"/>
          <w:w w:val="105"/>
        </w:rPr>
        <w:t> </w:t>
      </w:r>
      <w:r>
        <w:rPr>
          <w:color w:val="231F20"/>
          <w:w w:val="105"/>
        </w:rPr>
        <w:t>en</w:t>
      </w:r>
      <w:r>
        <w:rPr>
          <w:color w:val="231F20"/>
          <w:spacing w:val="-14"/>
          <w:w w:val="105"/>
        </w:rPr>
        <w:t> </w:t>
      </w:r>
      <w:r>
        <w:rPr>
          <w:color w:val="231F20"/>
          <w:w w:val="105"/>
        </w:rPr>
        <w:t>Houston:</w:t>
      </w:r>
    </w:p>
    <w:p>
      <w:pPr>
        <w:pStyle w:val="BodyText"/>
        <w:spacing w:before="7"/>
        <w:rPr>
          <w:sz w:val="18"/>
        </w:rPr>
      </w:pPr>
    </w:p>
    <w:p>
      <w:pPr>
        <w:spacing w:line="254" w:lineRule="auto" w:before="0"/>
        <w:ind w:left="2971" w:right="1716" w:firstLine="0"/>
        <w:jc w:val="both"/>
        <w:rPr>
          <w:sz w:val="18"/>
        </w:rPr>
      </w:pPr>
      <w:r>
        <w:rPr>
          <w:color w:val="231F20"/>
          <w:w w:val="105"/>
          <w:sz w:val="18"/>
        </w:rPr>
        <w:t>Los</w:t>
      </w:r>
      <w:r>
        <w:rPr>
          <w:color w:val="231F20"/>
          <w:spacing w:val="-15"/>
          <w:w w:val="105"/>
          <w:sz w:val="18"/>
        </w:rPr>
        <w:t> </w:t>
      </w:r>
      <w:r>
        <w:rPr>
          <w:color w:val="231F20"/>
          <w:w w:val="105"/>
          <w:sz w:val="18"/>
        </w:rPr>
        <w:t>dos</w:t>
      </w:r>
      <w:r>
        <w:rPr>
          <w:color w:val="231F20"/>
          <w:spacing w:val="-15"/>
          <w:w w:val="105"/>
          <w:sz w:val="18"/>
        </w:rPr>
        <w:t> </w:t>
      </w:r>
      <w:r>
        <w:rPr>
          <w:color w:val="231F20"/>
          <w:w w:val="105"/>
          <w:sz w:val="18"/>
        </w:rPr>
        <w:t>trabajábamos</w:t>
      </w:r>
      <w:r>
        <w:rPr>
          <w:color w:val="231F20"/>
          <w:spacing w:val="-15"/>
          <w:w w:val="105"/>
          <w:sz w:val="18"/>
        </w:rPr>
        <w:t> </w:t>
      </w:r>
      <w:r>
        <w:rPr>
          <w:color w:val="231F20"/>
          <w:w w:val="105"/>
          <w:sz w:val="18"/>
        </w:rPr>
        <w:t>y</w:t>
      </w:r>
      <w:r>
        <w:rPr>
          <w:color w:val="231F20"/>
          <w:spacing w:val="-15"/>
          <w:w w:val="105"/>
          <w:sz w:val="18"/>
        </w:rPr>
        <w:t> </w:t>
      </w:r>
      <w:r>
        <w:rPr>
          <w:color w:val="231F20"/>
          <w:w w:val="105"/>
          <w:sz w:val="18"/>
        </w:rPr>
        <w:t>empezamos</w:t>
      </w:r>
      <w:r>
        <w:rPr>
          <w:color w:val="231F20"/>
          <w:spacing w:val="-15"/>
          <w:w w:val="105"/>
          <w:sz w:val="18"/>
        </w:rPr>
        <w:t> </w:t>
      </w:r>
      <w:r>
        <w:rPr>
          <w:color w:val="231F20"/>
          <w:w w:val="105"/>
          <w:sz w:val="18"/>
        </w:rPr>
        <w:t>a</w:t>
      </w:r>
      <w:r>
        <w:rPr>
          <w:color w:val="231F20"/>
          <w:spacing w:val="-15"/>
          <w:w w:val="105"/>
          <w:sz w:val="18"/>
        </w:rPr>
        <w:t> </w:t>
      </w:r>
      <w:r>
        <w:rPr>
          <w:color w:val="231F20"/>
          <w:w w:val="105"/>
          <w:sz w:val="18"/>
        </w:rPr>
        <w:t>asumir</w:t>
      </w:r>
      <w:r>
        <w:rPr>
          <w:color w:val="231F20"/>
          <w:spacing w:val="-15"/>
          <w:w w:val="105"/>
          <w:sz w:val="18"/>
        </w:rPr>
        <w:t> </w:t>
      </w:r>
      <w:r>
        <w:rPr>
          <w:color w:val="231F20"/>
          <w:w w:val="105"/>
          <w:sz w:val="18"/>
        </w:rPr>
        <w:t>muchas</w:t>
      </w:r>
      <w:r>
        <w:rPr>
          <w:color w:val="231F20"/>
          <w:spacing w:val="-15"/>
          <w:w w:val="105"/>
          <w:sz w:val="18"/>
        </w:rPr>
        <w:t> </w:t>
      </w:r>
      <w:r>
        <w:rPr>
          <w:color w:val="231F20"/>
          <w:w w:val="105"/>
          <w:sz w:val="18"/>
        </w:rPr>
        <w:t>responsabilida- des para pagar renta, </w:t>
      </w:r>
      <w:r>
        <w:rPr>
          <w:color w:val="231F20"/>
          <w:spacing w:val="-3"/>
          <w:w w:val="105"/>
          <w:sz w:val="18"/>
        </w:rPr>
        <w:t>‘viles’, </w:t>
      </w:r>
      <w:r>
        <w:rPr>
          <w:color w:val="231F20"/>
          <w:w w:val="105"/>
          <w:sz w:val="18"/>
        </w:rPr>
        <w:t>carro y al paso del tiempo llegó nuestra primera</w:t>
      </w:r>
      <w:r>
        <w:rPr>
          <w:color w:val="231F20"/>
          <w:spacing w:val="-21"/>
          <w:w w:val="105"/>
          <w:sz w:val="18"/>
        </w:rPr>
        <w:t> </w:t>
      </w:r>
      <w:r>
        <w:rPr>
          <w:color w:val="231F20"/>
          <w:w w:val="105"/>
          <w:sz w:val="18"/>
        </w:rPr>
        <w:t>hija</w:t>
      </w:r>
      <w:r>
        <w:rPr>
          <w:color w:val="231F20"/>
          <w:spacing w:val="-21"/>
          <w:w w:val="105"/>
          <w:sz w:val="18"/>
        </w:rPr>
        <w:t> </w:t>
      </w:r>
      <w:r>
        <w:rPr>
          <w:color w:val="231F20"/>
          <w:w w:val="105"/>
          <w:sz w:val="18"/>
        </w:rPr>
        <w:t>y</w:t>
      </w:r>
      <w:r>
        <w:rPr>
          <w:color w:val="231F20"/>
          <w:spacing w:val="-21"/>
          <w:w w:val="105"/>
          <w:sz w:val="18"/>
        </w:rPr>
        <w:t> </w:t>
      </w:r>
      <w:r>
        <w:rPr>
          <w:color w:val="231F20"/>
          <w:w w:val="105"/>
          <w:sz w:val="18"/>
        </w:rPr>
        <w:t>mayor</w:t>
      </w:r>
      <w:r>
        <w:rPr>
          <w:color w:val="231F20"/>
          <w:spacing w:val="-21"/>
          <w:w w:val="105"/>
          <w:sz w:val="18"/>
        </w:rPr>
        <w:t> </w:t>
      </w:r>
      <w:r>
        <w:rPr>
          <w:color w:val="231F20"/>
          <w:w w:val="105"/>
          <w:sz w:val="18"/>
        </w:rPr>
        <w:t>responsabilidad.</w:t>
      </w:r>
      <w:r>
        <w:rPr>
          <w:color w:val="231F20"/>
          <w:spacing w:val="-25"/>
          <w:w w:val="105"/>
          <w:sz w:val="18"/>
        </w:rPr>
        <w:t> </w:t>
      </w:r>
      <w:r>
        <w:rPr>
          <w:color w:val="231F20"/>
          <w:w w:val="105"/>
          <w:sz w:val="18"/>
        </w:rPr>
        <w:t>Más</w:t>
      </w:r>
      <w:r>
        <w:rPr>
          <w:color w:val="231F20"/>
          <w:spacing w:val="-21"/>
          <w:w w:val="105"/>
          <w:sz w:val="18"/>
        </w:rPr>
        <w:t> </w:t>
      </w:r>
      <w:r>
        <w:rPr>
          <w:color w:val="231F20"/>
          <w:w w:val="105"/>
          <w:sz w:val="18"/>
        </w:rPr>
        <w:t>extrañaba</w:t>
      </w:r>
      <w:r>
        <w:rPr>
          <w:color w:val="231F20"/>
          <w:spacing w:val="-21"/>
          <w:w w:val="105"/>
          <w:sz w:val="18"/>
        </w:rPr>
        <w:t> </w:t>
      </w:r>
      <w:r>
        <w:rPr>
          <w:color w:val="231F20"/>
          <w:w w:val="105"/>
          <w:sz w:val="18"/>
        </w:rPr>
        <w:t>a</w:t>
      </w:r>
      <w:r>
        <w:rPr>
          <w:color w:val="231F20"/>
          <w:spacing w:val="-21"/>
          <w:w w:val="105"/>
          <w:sz w:val="18"/>
        </w:rPr>
        <w:t> </w:t>
      </w:r>
      <w:r>
        <w:rPr>
          <w:color w:val="231F20"/>
          <w:w w:val="105"/>
          <w:sz w:val="18"/>
        </w:rPr>
        <w:t>mami,</w:t>
      </w:r>
      <w:r>
        <w:rPr>
          <w:color w:val="231F20"/>
          <w:spacing w:val="-25"/>
          <w:w w:val="105"/>
          <w:sz w:val="18"/>
        </w:rPr>
        <w:t> </w:t>
      </w:r>
      <w:r>
        <w:rPr>
          <w:color w:val="231F20"/>
          <w:w w:val="105"/>
          <w:sz w:val="18"/>
        </w:rPr>
        <w:t>necesita- ba</w:t>
      </w:r>
      <w:r>
        <w:rPr>
          <w:color w:val="231F20"/>
          <w:spacing w:val="-16"/>
          <w:w w:val="105"/>
          <w:sz w:val="18"/>
        </w:rPr>
        <w:t> </w:t>
      </w:r>
      <w:r>
        <w:rPr>
          <w:color w:val="231F20"/>
          <w:w w:val="105"/>
          <w:sz w:val="18"/>
        </w:rPr>
        <w:t>sus</w:t>
      </w:r>
      <w:r>
        <w:rPr>
          <w:color w:val="231F20"/>
          <w:spacing w:val="-16"/>
          <w:w w:val="105"/>
          <w:sz w:val="18"/>
        </w:rPr>
        <w:t> </w:t>
      </w:r>
      <w:r>
        <w:rPr>
          <w:color w:val="231F20"/>
          <w:w w:val="105"/>
          <w:sz w:val="18"/>
        </w:rPr>
        <w:t>consejos,</w:t>
      </w:r>
      <w:r>
        <w:rPr>
          <w:color w:val="231F20"/>
          <w:spacing w:val="-20"/>
          <w:w w:val="105"/>
          <w:sz w:val="18"/>
        </w:rPr>
        <w:t> </w:t>
      </w:r>
      <w:r>
        <w:rPr>
          <w:color w:val="231F20"/>
          <w:w w:val="105"/>
          <w:sz w:val="18"/>
        </w:rPr>
        <w:t>ahora</w:t>
      </w:r>
      <w:r>
        <w:rPr>
          <w:color w:val="231F20"/>
          <w:spacing w:val="-16"/>
          <w:w w:val="105"/>
          <w:sz w:val="18"/>
        </w:rPr>
        <w:t> </w:t>
      </w:r>
      <w:r>
        <w:rPr>
          <w:color w:val="231F20"/>
          <w:w w:val="105"/>
          <w:sz w:val="18"/>
        </w:rPr>
        <w:t>tengo</w:t>
      </w:r>
      <w:r>
        <w:rPr>
          <w:color w:val="231F20"/>
          <w:spacing w:val="-16"/>
          <w:w w:val="105"/>
          <w:sz w:val="18"/>
        </w:rPr>
        <w:t> </w:t>
      </w:r>
      <w:r>
        <w:rPr>
          <w:color w:val="231F20"/>
          <w:w w:val="105"/>
          <w:sz w:val="18"/>
        </w:rPr>
        <w:t>una</w:t>
      </w:r>
      <w:r>
        <w:rPr>
          <w:color w:val="231F20"/>
          <w:spacing w:val="-16"/>
          <w:w w:val="105"/>
          <w:sz w:val="18"/>
        </w:rPr>
        <w:t> </w:t>
      </w:r>
      <w:r>
        <w:rPr>
          <w:color w:val="231F20"/>
          <w:w w:val="105"/>
          <w:sz w:val="18"/>
        </w:rPr>
        <w:t>familia</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siete,</w:t>
      </w:r>
      <w:r>
        <w:rPr>
          <w:color w:val="231F20"/>
          <w:spacing w:val="-20"/>
          <w:w w:val="105"/>
          <w:sz w:val="18"/>
        </w:rPr>
        <w:t> </w:t>
      </w:r>
      <w:r>
        <w:rPr>
          <w:color w:val="231F20"/>
          <w:w w:val="105"/>
          <w:sz w:val="18"/>
        </w:rPr>
        <w:t>tres</w:t>
      </w:r>
      <w:r>
        <w:rPr>
          <w:color w:val="231F20"/>
          <w:spacing w:val="-16"/>
          <w:w w:val="105"/>
          <w:sz w:val="18"/>
        </w:rPr>
        <w:t> </w:t>
      </w:r>
      <w:r>
        <w:rPr>
          <w:color w:val="231F20"/>
          <w:w w:val="105"/>
          <w:sz w:val="18"/>
        </w:rPr>
        <w:t>hijas</w:t>
      </w:r>
      <w:r>
        <w:rPr>
          <w:color w:val="231F20"/>
          <w:spacing w:val="-16"/>
          <w:w w:val="105"/>
          <w:sz w:val="18"/>
        </w:rPr>
        <w:t> </w:t>
      </w:r>
      <w:r>
        <w:rPr>
          <w:color w:val="231F20"/>
          <w:w w:val="105"/>
          <w:sz w:val="18"/>
        </w:rPr>
        <w:t>y</w:t>
      </w:r>
      <w:r>
        <w:rPr>
          <w:color w:val="231F20"/>
          <w:spacing w:val="-16"/>
          <w:w w:val="105"/>
          <w:sz w:val="18"/>
        </w:rPr>
        <w:t> </w:t>
      </w:r>
      <w:r>
        <w:rPr>
          <w:color w:val="231F20"/>
          <w:w w:val="105"/>
          <w:sz w:val="18"/>
        </w:rPr>
        <w:t>dos</w:t>
      </w:r>
      <w:r>
        <w:rPr>
          <w:color w:val="231F20"/>
          <w:spacing w:val="-16"/>
          <w:w w:val="105"/>
          <w:sz w:val="18"/>
        </w:rPr>
        <w:t> </w:t>
      </w:r>
      <w:r>
        <w:rPr>
          <w:color w:val="231F20"/>
          <w:w w:val="105"/>
          <w:sz w:val="18"/>
        </w:rPr>
        <w:t>hijos, a los que amo con toda mi vida y los que me han dado una felicidad enorme y estoy orgullosa de todos. </w:t>
      </w:r>
      <w:r>
        <w:rPr>
          <w:color w:val="231F20"/>
          <w:spacing w:val="-3"/>
          <w:w w:val="105"/>
          <w:sz w:val="18"/>
        </w:rPr>
        <w:t>Van </w:t>
      </w:r>
      <w:r>
        <w:rPr>
          <w:color w:val="231F20"/>
          <w:w w:val="105"/>
          <w:sz w:val="18"/>
        </w:rPr>
        <w:t>muy bien en la escuela, nun- ca han reprobado ningún grado hasta ahora; la mayor está entre las dos mejores de su banda musical, la ascendieron a sinfónica. Como me gustaría que mis padres los vieran y algún día poder ir a mi pue- blo…</w:t>
      </w:r>
      <w:r>
        <w:rPr>
          <w:color w:val="231F20"/>
          <w:spacing w:val="-9"/>
          <w:w w:val="105"/>
          <w:sz w:val="18"/>
        </w:rPr>
        <w:t> </w:t>
      </w:r>
      <w:r>
        <w:rPr>
          <w:color w:val="231F20"/>
          <w:w w:val="105"/>
          <w:sz w:val="18"/>
        </w:rPr>
        <w:t>quiero</w:t>
      </w:r>
      <w:r>
        <w:rPr>
          <w:color w:val="231F20"/>
          <w:spacing w:val="-3"/>
          <w:w w:val="105"/>
          <w:sz w:val="18"/>
        </w:rPr>
        <w:t> </w:t>
      </w:r>
      <w:r>
        <w:rPr>
          <w:color w:val="231F20"/>
          <w:w w:val="105"/>
          <w:sz w:val="18"/>
        </w:rPr>
        <w:t>ir</w:t>
      </w:r>
      <w:r>
        <w:rPr>
          <w:color w:val="231F20"/>
          <w:spacing w:val="-3"/>
          <w:w w:val="105"/>
          <w:sz w:val="18"/>
        </w:rPr>
        <w:t> </w:t>
      </w:r>
      <w:r>
        <w:rPr>
          <w:color w:val="231F20"/>
          <w:w w:val="105"/>
          <w:sz w:val="18"/>
        </w:rPr>
        <w:t>de</w:t>
      </w:r>
      <w:r>
        <w:rPr>
          <w:color w:val="231F20"/>
          <w:spacing w:val="-3"/>
          <w:w w:val="105"/>
          <w:sz w:val="18"/>
        </w:rPr>
        <w:t> </w:t>
      </w:r>
      <w:r>
        <w:rPr>
          <w:color w:val="231F20"/>
          <w:w w:val="105"/>
          <w:sz w:val="18"/>
        </w:rPr>
        <w:t>nuevo</w:t>
      </w:r>
      <w:r>
        <w:rPr>
          <w:color w:val="231F20"/>
          <w:spacing w:val="-3"/>
          <w:w w:val="105"/>
          <w:sz w:val="18"/>
        </w:rPr>
        <w:t> </w:t>
      </w:r>
      <w:r>
        <w:rPr>
          <w:color w:val="231F20"/>
          <w:w w:val="105"/>
          <w:sz w:val="18"/>
        </w:rPr>
        <w:t>con</w:t>
      </w:r>
      <w:r>
        <w:rPr>
          <w:color w:val="231F20"/>
          <w:spacing w:val="-3"/>
          <w:w w:val="105"/>
          <w:sz w:val="18"/>
        </w:rPr>
        <w:t> </w:t>
      </w:r>
      <w:r>
        <w:rPr>
          <w:color w:val="231F20"/>
          <w:w w:val="105"/>
          <w:sz w:val="18"/>
        </w:rPr>
        <w:t>mi</w:t>
      </w:r>
      <w:r>
        <w:rPr>
          <w:color w:val="231F20"/>
          <w:spacing w:val="-3"/>
          <w:w w:val="105"/>
          <w:sz w:val="18"/>
        </w:rPr>
        <w:t> </w:t>
      </w:r>
      <w:r>
        <w:rPr>
          <w:color w:val="231F20"/>
          <w:w w:val="105"/>
          <w:sz w:val="18"/>
        </w:rPr>
        <w:t>padre</w:t>
      </w:r>
      <w:r>
        <w:rPr>
          <w:color w:val="231F20"/>
          <w:spacing w:val="-3"/>
          <w:w w:val="105"/>
          <w:sz w:val="18"/>
        </w:rPr>
        <w:t> </w:t>
      </w:r>
      <w:r>
        <w:rPr>
          <w:color w:val="231F20"/>
          <w:w w:val="105"/>
          <w:sz w:val="18"/>
        </w:rPr>
        <w:t>al</w:t>
      </w:r>
      <w:r>
        <w:rPr>
          <w:color w:val="231F20"/>
          <w:spacing w:val="-3"/>
          <w:w w:val="105"/>
          <w:sz w:val="18"/>
        </w:rPr>
        <w:t> </w:t>
      </w:r>
      <w:r>
        <w:rPr>
          <w:color w:val="231F20"/>
          <w:w w:val="105"/>
          <w:sz w:val="18"/>
        </w:rPr>
        <w:t>campo</w:t>
      </w:r>
      <w:r>
        <w:rPr>
          <w:color w:val="231F20"/>
          <w:spacing w:val="-3"/>
          <w:w w:val="105"/>
          <w:sz w:val="18"/>
        </w:rPr>
        <w:t> </w:t>
      </w:r>
      <w:r>
        <w:rPr>
          <w:color w:val="231F20"/>
          <w:w w:val="105"/>
          <w:sz w:val="18"/>
        </w:rPr>
        <w:t>a</w:t>
      </w:r>
      <w:r>
        <w:rPr>
          <w:color w:val="231F20"/>
          <w:spacing w:val="-3"/>
          <w:w w:val="105"/>
          <w:sz w:val="18"/>
        </w:rPr>
        <w:t> </w:t>
      </w:r>
      <w:r>
        <w:rPr>
          <w:color w:val="231F20"/>
          <w:w w:val="105"/>
          <w:sz w:val="18"/>
        </w:rPr>
        <w:t>sembrar</w:t>
      </w:r>
      <w:r>
        <w:rPr>
          <w:color w:val="231F20"/>
          <w:spacing w:val="-3"/>
          <w:w w:val="105"/>
          <w:sz w:val="18"/>
        </w:rPr>
        <w:t> </w:t>
      </w:r>
      <w:r>
        <w:rPr>
          <w:color w:val="231F20"/>
          <w:w w:val="105"/>
          <w:sz w:val="18"/>
        </w:rPr>
        <w:t>maíz,</w:t>
      </w:r>
      <w:r>
        <w:rPr>
          <w:color w:val="231F20"/>
          <w:spacing w:val="-9"/>
          <w:w w:val="105"/>
          <w:sz w:val="18"/>
        </w:rPr>
        <w:t> </w:t>
      </w:r>
      <w:r>
        <w:rPr>
          <w:color w:val="231F20"/>
          <w:w w:val="105"/>
          <w:sz w:val="18"/>
        </w:rPr>
        <w:t>frijol</w:t>
      </w:r>
      <w:r>
        <w:rPr>
          <w:color w:val="231F20"/>
          <w:spacing w:val="-3"/>
          <w:w w:val="105"/>
          <w:sz w:val="18"/>
        </w:rPr>
        <w:t> </w:t>
      </w:r>
      <w:r>
        <w:rPr>
          <w:color w:val="231F20"/>
          <w:w w:val="105"/>
          <w:sz w:val="18"/>
        </w:rPr>
        <w:t>y calabaza,</w:t>
      </w:r>
      <w:r>
        <w:rPr>
          <w:color w:val="231F20"/>
          <w:spacing w:val="-12"/>
          <w:w w:val="105"/>
          <w:sz w:val="18"/>
        </w:rPr>
        <w:t> </w:t>
      </w:r>
      <w:r>
        <w:rPr>
          <w:color w:val="231F20"/>
          <w:w w:val="105"/>
          <w:sz w:val="18"/>
        </w:rPr>
        <w:t>ayudarle</w:t>
      </w:r>
      <w:r>
        <w:rPr>
          <w:color w:val="231F20"/>
          <w:spacing w:val="-7"/>
          <w:w w:val="105"/>
          <w:sz w:val="18"/>
        </w:rPr>
        <w:t> </w:t>
      </w:r>
      <w:r>
        <w:rPr>
          <w:color w:val="231F20"/>
          <w:w w:val="105"/>
          <w:sz w:val="18"/>
        </w:rPr>
        <w:t>a</w:t>
      </w:r>
      <w:r>
        <w:rPr>
          <w:color w:val="231F20"/>
          <w:spacing w:val="-7"/>
          <w:w w:val="105"/>
          <w:sz w:val="18"/>
        </w:rPr>
        <w:t> </w:t>
      </w:r>
      <w:r>
        <w:rPr>
          <w:color w:val="231F20"/>
          <w:w w:val="105"/>
          <w:sz w:val="18"/>
        </w:rPr>
        <w:t>mi</w:t>
      </w:r>
      <w:r>
        <w:rPr>
          <w:color w:val="231F20"/>
          <w:spacing w:val="-7"/>
          <w:w w:val="105"/>
          <w:sz w:val="18"/>
        </w:rPr>
        <w:t> </w:t>
      </w:r>
      <w:r>
        <w:rPr>
          <w:color w:val="231F20"/>
          <w:w w:val="105"/>
          <w:sz w:val="18"/>
        </w:rPr>
        <w:t>“ma”</w:t>
      </w:r>
      <w:r>
        <w:rPr>
          <w:color w:val="231F20"/>
          <w:spacing w:val="-7"/>
          <w:w w:val="105"/>
          <w:sz w:val="18"/>
        </w:rPr>
        <w:t> </w:t>
      </w:r>
      <w:r>
        <w:rPr>
          <w:color w:val="231F20"/>
          <w:w w:val="105"/>
          <w:sz w:val="18"/>
        </w:rPr>
        <w:t>a</w:t>
      </w:r>
      <w:r>
        <w:rPr>
          <w:color w:val="231F20"/>
          <w:spacing w:val="-7"/>
          <w:w w:val="105"/>
          <w:sz w:val="18"/>
        </w:rPr>
        <w:t> </w:t>
      </w:r>
      <w:r>
        <w:rPr>
          <w:color w:val="231F20"/>
          <w:w w:val="105"/>
          <w:sz w:val="18"/>
        </w:rPr>
        <w:t>hacer</w:t>
      </w:r>
      <w:r>
        <w:rPr>
          <w:color w:val="231F20"/>
          <w:spacing w:val="-7"/>
          <w:w w:val="105"/>
          <w:sz w:val="18"/>
        </w:rPr>
        <w:t> </w:t>
      </w:r>
      <w:r>
        <w:rPr>
          <w:color w:val="231F20"/>
          <w:w w:val="105"/>
          <w:sz w:val="18"/>
        </w:rPr>
        <w:t>los</w:t>
      </w:r>
      <w:r>
        <w:rPr>
          <w:color w:val="231F20"/>
          <w:spacing w:val="-7"/>
          <w:w w:val="105"/>
          <w:sz w:val="18"/>
        </w:rPr>
        <w:t> </w:t>
      </w:r>
      <w:r>
        <w:rPr>
          <w:color w:val="231F20"/>
          <w:w w:val="105"/>
          <w:sz w:val="18"/>
        </w:rPr>
        <w:t>tacos</w:t>
      </w:r>
      <w:r>
        <w:rPr>
          <w:color w:val="231F20"/>
          <w:spacing w:val="-7"/>
          <w:w w:val="105"/>
          <w:sz w:val="18"/>
        </w:rPr>
        <w:t> </w:t>
      </w:r>
      <w:r>
        <w:rPr>
          <w:color w:val="231F20"/>
          <w:w w:val="105"/>
          <w:sz w:val="18"/>
        </w:rPr>
        <w:t>“pa”</w:t>
      </w:r>
      <w:r>
        <w:rPr>
          <w:color w:val="231F20"/>
          <w:spacing w:val="-7"/>
          <w:w w:val="105"/>
          <w:sz w:val="18"/>
        </w:rPr>
        <w:t> </w:t>
      </w:r>
      <w:r>
        <w:rPr>
          <w:color w:val="231F20"/>
          <w:w w:val="105"/>
          <w:sz w:val="18"/>
        </w:rPr>
        <w:t>los</w:t>
      </w:r>
      <w:r>
        <w:rPr>
          <w:color w:val="231F20"/>
          <w:spacing w:val="-7"/>
          <w:w w:val="105"/>
          <w:sz w:val="18"/>
        </w:rPr>
        <w:t> </w:t>
      </w:r>
      <w:r>
        <w:rPr>
          <w:color w:val="231F20"/>
          <w:w w:val="105"/>
          <w:sz w:val="18"/>
        </w:rPr>
        <w:t>piones</w:t>
      </w:r>
      <w:r>
        <w:rPr>
          <w:color w:val="231F20"/>
          <w:spacing w:val="-7"/>
          <w:w w:val="105"/>
          <w:sz w:val="18"/>
        </w:rPr>
        <w:t> </w:t>
      </w:r>
      <w:r>
        <w:rPr>
          <w:color w:val="231F20"/>
          <w:w w:val="105"/>
          <w:sz w:val="18"/>
        </w:rPr>
        <w:t>y</w:t>
      </w:r>
      <w:r>
        <w:rPr>
          <w:color w:val="231F20"/>
          <w:spacing w:val="-7"/>
          <w:w w:val="105"/>
          <w:sz w:val="18"/>
        </w:rPr>
        <w:t> </w:t>
      </w:r>
      <w:r>
        <w:rPr>
          <w:color w:val="231F20"/>
          <w:w w:val="105"/>
          <w:sz w:val="18"/>
        </w:rPr>
        <w:t>poder volver a vivir los momentos felices que quedaron de mí allá (Mónica, entrevista</w:t>
      </w:r>
      <w:r>
        <w:rPr>
          <w:color w:val="231F20"/>
          <w:spacing w:val="-25"/>
          <w:w w:val="105"/>
          <w:sz w:val="18"/>
        </w:rPr>
        <w:t> </w:t>
      </w:r>
      <w:r>
        <w:rPr>
          <w:color w:val="231F20"/>
          <w:w w:val="105"/>
          <w:sz w:val="18"/>
        </w:rPr>
        <w:t>telefónica</w:t>
      </w:r>
      <w:r>
        <w:rPr>
          <w:color w:val="231F20"/>
          <w:spacing w:val="-25"/>
          <w:w w:val="105"/>
          <w:sz w:val="18"/>
        </w:rPr>
        <w:t> </w:t>
      </w:r>
      <w:r>
        <w:rPr>
          <w:color w:val="231F20"/>
          <w:w w:val="105"/>
          <w:sz w:val="18"/>
        </w:rPr>
        <w:t>mayo</w:t>
      </w:r>
      <w:r>
        <w:rPr>
          <w:color w:val="231F20"/>
          <w:spacing w:val="-25"/>
          <w:w w:val="105"/>
          <w:sz w:val="18"/>
        </w:rPr>
        <w:t> </w:t>
      </w:r>
      <w:r>
        <w:rPr>
          <w:color w:val="231F20"/>
          <w:w w:val="105"/>
          <w:sz w:val="18"/>
        </w:rPr>
        <w:t>2015).</w:t>
      </w:r>
    </w:p>
    <w:p>
      <w:pPr>
        <w:pStyle w:val="BodyText"/>
        <w:spacing w:before="5"/>
      </w:pPr>
    </w:p>
    <w:p>
      <w:pPr>
        <w:pStyle w:val="BodyText"/>
        <w:spacing w:line="261" w:lineRule="auto"/>
        <w:ind w:left="1837" w:right="1719"/>
        <w:jc w:val="both"/>
      </w:pPr>
      <w:r>
        <w:rPr>
          <w:color w:val="231F20"/>
          <w:w w:val="105"/>
        </w:rPr>
        <w:t>En la familia de Don Mario existen seis hijos, de los cuales cinco son migrantes, cuatro permanentes y uno temporal. Al final no enviaron re- mesas</w:t>
      </w:r>
      <w:r>
        <w:rPr>
          <w:color w:val="231F20"/>
          <w:spacing w:val="-9"/>
          <w:w w:val="105"/>
        </w:rPr>
        <w:t> </w:t>
      </w:r>
      <w:r>
        <w:rPr>
          <w:color w:val="231F20"/>
          <w:w w:val="105"/>
        </w:rPr>
        <w:t>de</w:t>
      </w:r>
      <w:r>
        <w:rPr>
          <w:color w:val="231F20"/>
          <w:spacing w:val="-9"/>
          <w:w w:val="105"/>
        </w:rPr>
        <w:t> </w:t>
      </w:r>
      <w:r>
        <w:rPr>
          <w:color w:val="231F20"/>
          <w:w w:val="105"/>
        </w:rPr>
        <w:t>manera</w:t>
      </w:r>
      <w:r>
        <w:rPr>
          <w:color w:val="231F20"/>
          <w:spacing w:val="-9"/>
          <w:w w:val="105"/>
        </w:rPr>
        <w:t> </w:t>
      </w:r>
      <w:r>
        <w:rPr>
          <w:color w:val="231F20"/>
          <w:w w:val="105"/>
        </w:rPr>
        <w:t>regular,</w:t>
      </w:r>
      <w:r>
        <w:rPr>
          <w:color w:val="231F20"/>
          <w:spacing w:val="-14"/>
          <w:w w:val="105"/>
        </w:rPr>
        <w:t> </w:t>
      </w:r>
      <w:r>
        <w:rPr>
          <w:color w:val="231F20"/>
          <w:w w:val="105"/>
        </w:rPr>
        <w:t>que</w:t>
      </w:r>
      <w:r>
        <w:rPr>
          <w:color w:val="231F20"/>
          <w:spacing w:val="-9"/>
          <w:w w:val="105"/>
        </w:rPr>
        <w:t> </w:t>
      </w:r>
      <w:r>
        <w:rPr>
          <w:color w:val="231F20"/>
          <w:w w:val="105"/>
        </w:rPr>
        <w:t>fue</w:t>
      </w:r>
      <w:r>
        <w:rPr>
          <w:color w:val="231F20"/>
          <w:spacing w:val="-9"/>
          <w:w w:val="105"/>
        </w:rPr>
        <w:t> </w:t>
      </w:r>
      <w:r>
        <w:rPr>
          <w:color w:val="231F20"/>
          <w:w w:val="105"/>
        </w:rPr>
        <w:t>el</w:t>
      </w:r>
      <w:r>
        <w:rPr>
          <w:color w:val="231F20"/>
          <w:spacing w:val="-9"/>
          <w:w w:val="105"/>
        </w:rPr>
        <w:t> </w:t>
      </w:r>
      <w:r>
        <w:rPr>
          <w:color w:val="231F20"/>
          <w:w w:val="105"/>
        </w:rPr>
        <w:t>objetivo</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cual</w:t>
      </w:r>
      <w:r>
        <w:rPr>
          <w:color w:val="231F20"/>
          <w:spacing w:val="-9"/>
          <w:w w:val="105"/>
        </w:rPr>
        <w:t> </w:t>
      </w:r>
      <w:r>
        <w:rPr>
          <w:color w:val="231F20"/>
          <w:w w:val="105"/>
        </w:rPr>
        <w:t>se</w:t>
      </w:r>
      <w:r>
        <w:rPr>
          <w:color w:val="231F20"/>
          <w:spacing w:val="-9"/>
          <w:w w:val="105"/>
        </w:rPr>
        <w:t> </w:t>
      </w:r>
      <w:r>
        <w:rPr>
          <w:color w:val="231F20"/>
          <w:w w:val="105"/>
        </w:rPr>
        <w:t>fueron.</w:t>
      </w:r>
      <w:r>
        <w:rPr>
          <w:color w:val="231F20"/>
          <w:spacing w:val="-14"/>
          <w:w w:val="105"/>
        </w:rPr>
        <w:t> </w:t>
      </w:r>
      <w:r>
        <w:rPr>
          <w:color w:val="231F20"/>
          <w:w w:val="105"/>
        </w:rPr>
        <w:t>Dice Don</w:t>
      </w:r>
      <w:r>
        <w:rPr>
          <w:color w:val="231F20"/>
          <w:spacing w:val="11"/>
          <w:w w:val="105"/>
        </w:rPr>
        <w:t> </w:t>
      </w:r>
      <w:r>
        <w:rPr>
          <w:color w:val="231F20"/>
          <w:w w:val="105"/>
        </w:rPr>
        <w:t>Mario:</w:t>
      </w:r>
    </w:p>
    <w:p>
      <w:pPr>
        <w:pStyle w:val="BodyText"/>
        <w:spacing w:before="7"/>
        <w:rPr>
          <w:sz w:val="18"/>
        </w:rPr>
      </w:pPr>
    </w:p>
    <w:p>
      <w:pPr>
        <w:spacing w:line="254" w:lineRule="auto" w:before="0"/>
        <w:ind w:left="2971" w:right="1721" w:firstLine="0"/>
        <w:jc w:val="both"/>
        <w:rPr>
          <w:sz w:val="18"/>
        </w:rPr>
      </w:pPr>
      <w:r>
        <w:rPr/>
        <w:pict>
          <v:line style="position:absolute;mso-position-horizontal-relative:page;mso-position-vertical-relative:paragraph;z-index:-449104" from="15pt,94.287277pt" to="0pt,94.287277pt" stroked="true" strokeweight=".25pt" strokecolor="#000000">
            <w10:wrap type="none"/>
          </v:line>
        </w:pict>
      </w:r>
      <w:r>
        <w:rPr/>
        <w:pict>
          <v:line style="position:absolute;mso-position-horizontal-relative:page;mso-position-vertical-relative:paragraph;z-index:41104" from="508.890015pt,94.287277pt" to="523.890015pt,94.287277pt" stroked="true" strokeweight=".25pt" strokecolor="#000000">
            <w10:wrap type="none"/>
          </v:line>
        </w:pict>
      </w:r>
      <w:r>
        <w:rPr>
          <w:color w:val="231F20"/>
          <w:w w:val="105"/>
          <w:sz w:val="18"/>
        </w:rPr>
        <w:t>De</w:t>
      </w:r>
      <w:r>
        <w:rPr>
          <w:color w:val="231F20"/>
          <w:spacing w:val="-18"/>
          <w:w w:val="105"/>
          <w:sz w:val="18"/>
        </w:rPr>
        <w:t> </w:t>
      </w:r>
      <w:r>
        <w:rPr>
          <w:color w:val="231F20"/>
          <w:w w:val="105"/>
          <w:sz w:val="18"/>
        </w:rPr>
        <w:t>Mónica</w:t>
      </w:r>
      <w:r>
        <w:rPr>
          <w:color w:val="231F20"/>
          <w:spacing w:val="-18"/>
          <w:w w:val="105"/>
          <w:sz w:val="18"/>
        </w:rPr>
        <w:t> </w:t>
      </w:r>
      <w:r>
        <w:rPr>
          <w:color w:val="231F20"/>
          <w:w w:val="105"/>
          <w:sz w:val="18"/>
        </w:rPr>
        <w:t>sólo</w:t>
      </w:r>
      <w:r>
        <w:rPr>
          <w:color w:val="231F20"/>
          <w:spacing w:val="-18"/>
          <w:w w:val="105"/>
          <w:sz w:val="18"/>
        </w:rPr>
        <w:t> </w:t>
      </w:r>
      <w:r>
        <w:rPr>
          <w:color w:val="231F20"/>
          <w:w w:val="105"/>
          <w:sz w:val="18"/>
        </w:rPr>
        <w:t>desde</w:t>
      </w:r>
      <w:r>
        <w:rPr>
          <w:color w:val="231F20"/>
          <w:spacing w:val="-18"/>
          <w:w w:val="105"/>
          <w:sz w:val="18"/>
        </w:rPr>
        <w:t> </w:t>
      </w:r>
      <w:r>
        <w:rPr>
          <w:color w:val="231F20"/>
          <w:w w:val="105"/>
          <w:sz w:val="18"/>
        </w:rPr>
        <w:t>que</w:t>
      </w:r>
      <w:r>
        <w:rPr>
          <w:color w:val="231F20"/>
          <w:spacing w:val="-18"/>
          <w:w w:val="105"/>
          <w:sz w:val="18"/>
        </w:rPr>
        <w:t> </w:t>
      </w:r>
      <w:r>
        <w:rPr>
          <w:color w:val="231F20"/>
          <w:w w:val="105"/>
          <w:sz w:val="18"/>
        </w:rPr>
        <w:t>se</w:t>
      </w:r>
      <w:r>
        <w:rPr>
          <w:color w:val="231F20"/>
          <w:spacing w:val="-18"/>
          <w:w w:val="105"/>
          <w:sz w:val="18"/>
        </w:rPr>
        <w:t> </w:t>
      </w:r>
      <w:r>
        <w:rPr>
          <w:color w:val="231F20"/>
          <w:w w:val="105"/>
          <w:sz w:val="18"/>
        </w:rPr>
        <w:t>fue</w:t>
      </w:r>
      <w:r>
        <w:rPr>
          <w:color w:val="231F20"/>
          <w:spacing w:val="-18"/>
          <w:w w:val="105"/>
          <w:sz w:val="18"/>
        </w:rPr>
        <w:t> </w:t>
      </w:r>
      <w:r>
        <w:rPr>
          <w:color w:val="231F20"/>
          <w:w w:val="105"/>
          <w:sz w:val="18"/>
        </w:rPr>
        <w:t>ha</w:t>
      </w:r>
      <w:r>
        <w:rPr>
          <w:color w:val="231F20"/>
          <w:spacing w:val="-18"/>
          <w:w w:val="105"/>
          <w:sz w:val="18"/>
        </w:rPr>
        <w:t> </w:t>
      </w:r>
      <w:r>
        <w:rPr>
          <w:color w:val="231F20"/>
          <w:w w:val="105"/>
          <w:sz w:val="18"/>
        </w:rPr>
        <w:t>mandado</w:t>
      </w:r>
      <w:r>
        <w:rPr>
          <w:color w:val="231F20"/>
          <w:spacing w:val="-18"/>
          <w:w w:val="105"/>
          <w:sz w:val="18"/>
        </w:rPr>
        <w:t> </w:t>
      </w:r>
      <w:r>
        <w:rPr>
          <w:color w:val="231F20"/>
          <w:w w:val="105"/>
          <w:sz w:val="18"/>
        </w:rPr>
        <w:t>tres</w:t>
      </w:r>
      <w:r>
        <w:rPr>
          <w:color w:val="231F20"/>
          <w:spacing w:val="-18"/>
          <w:w w:val="105"/>
          <w:sz w:val="18"/>
        </w:rPr>
        <w:t> </w:t>
      </w:r>
      <w:r>
        <w:rPr>
          <w:color w:val="231F20"/>
          <w:w w:val="105"/>
          <w:sz w:val="18"/>
        </w:rPr>
        <w:t>o</w:t>
      </w:r>
      <w:r>
        <w:rPr>
          <w:color w:val="231F20"/>
          <w:spacing w:val="-18"/>
          <w:w w:val="105"/>
          <w:sz w:val="18"/>
        </w:rPr>
        <w:t> </w:t>
      </w:r>
      <w:r>
        <w:rPr>
          <w:color w:val="231F20"/>
          <w:w w:val="105"/>
          <w:sz w:val="18"/>
        </w:rPr>
        <w:t>cuatro</w:t>
      </w:r>
      <w:r>
        <w:rPr>
          <w:color w:val="231F20"/>
          <w:spacing w:val="-18"/>
          <w:w w:val="105"/>
          <w:sz w:val="18"/>
        </w:rPr>
        <w:t> </w:t>
      </w:r>
      <w:r>
        <w:rPr>
          <w:color w:val="231F20"/>
          <w:w w:val="105"/>
          <w:sz w:val="18"/>
        </w:rPr>
        <w:t>veces</w:t>
      </w:r>
      <w:r>
        <w:rPr>
          <w:color w:val="231F20"/>
          <w:spacing w:val="-18"/>
          <w:w w:val="105"/>
          <w:sz w:val="18"/>
        </w:rPr>
        <w:t> </w:t>
      </w:r>
      <w:r>
        <w:rPr>
          <w:color w:val="231F20"/>
          <w:w w:val="105"/>
          <w:sz w:val="18"/>
        </w:rPr>
        <w:t>dine- ro</w:t>
      </w:r>
      <w:r>
        <w:rPr>
          <w:color w:val="231F20"/>
          <w:spacing w:val="-4"/>
          <w:w w:val="105"/>
          <w:sz w:val="18"/>
        </w:rPr>
        <w:t> </w:t>
      </w:r>
      <w:r>
        <w:rPr>
          <w:color w:val="231F20"/>
          <w:w w:val="105"/>
          <w:sz w:val="18"/>
        </w:rPr>
        <w:t>en</w:t>
      </w:r>
      <w:r>
        <w:rPr>
          <w:color w:val="231F20"/>
          <w:spacing w:val="-4"/>
          <w:w w:val="105"/>
          <w:sz w:val="18"/>
        </w:rPr>
        <w:t> </w:t>
      </w:r>
      <w:r>
        <w:rPr>
          <w:color w:val="231F20"/>
          <w:w w:val="105"/>
          <w:sz w:val="18"/>
        </w:rPr>
        <w:t>15</w:t>
      </w:r>
      <w:r>
        <w:rPr>
          <w:color w:val="231F20"/>
          <w:spacing w:val="-4"/>
          <w:w w:val="105"/>
          <w:sz w:val="18"/>
        </w:rPr>
        <w:t> </w:t>
      </w:r>
      <w:r>
        <w:rPr>
          <w:color w:val="231F20"/>
          <w:w w:val="105"/>
          <w:sz w:val="18"/>
        </w:rPr>
        <w:t>años.</w:t>
      </w:r>
      <w:r>
        <w:rPr>
          <w:color w:val="231F20"/>
          <w:spacing w:val="-8"/>
          <w:w w:val="105"/>
          <w:sz w:val="18"/>
        </w:rPr>
        <w:t> </w:t>
      </w:r>
      <w:r>
        <w:rPr>
          <w:color w:val="231F20"/>
          <w:w w:val="105"/>
          <w:sz w:val="18"/>
        </w:rPr>
        <w:t>Se</w:t>
      </w:r>
      <w:r>
        <w:rPr>
          <w:color w:val="231F20"/>
          <w:spacing w:val="-4"/>
          <w:w w:val="105"/>
          <w:sz w:val="18"/>
        </w:rPr>
        <w:t> </w:t>
      </w:r>
      <w:r>
        <w:rPr>
          <w:color w:val="231F20"/>
          <w:w w:val="105"/>
          <w:sz w:val="18"/>
        </w:rPr>
        <w:t>entiende</w:t>
      </w:r>
      <w:r>
        <w:rPr>
          <w:color w:val="231F20"/>
          <w:spacing w:val="-4"/>
          <w:w w:val="105"/>
          <w:sz w:val="18"/>
        </w:rPr>
        <w:t> </w:t>
      </w:r>
      <w:r>
        <w:rPr>
          <w:color w:val="231F20"/>
          <w:w w:val="105"/>
          <w:sz w:val="18"/>
        </w:rPr>
        <w:t>que</w:t>
      </w:r>
      <w:r>
        <w:rPr>
          <w:color w:val="231F20"/>
          <w:spacing w:val="-4"/>
          <w:w w:val="105"/>
          <w:sz w:val="18"/>
        </w:rPr>
        <w:t> </w:t>
      </w:r>
      <w:r>
        <w:rPr>
          <w:color w:val="231F20"/>
          <w:w w:val="105"/>
          <w:sz w:val="18"/>
        </w:rPr>
        <w:t>ella</w:t>
      </w:r>
      <w:r>
        <w:rPr>
          <w:color w:val="231F20"/>
          <w:spacing w:val="-4"/>
          <w:w w:val="105"/>
          <w:sz w:val="18"/>
        </w:rPr>
        <w:t> </w:t>
      </w:r>
      <w:r>
        <w:rPr>
          <w:color w:val="231F20"/>
          <w:w w:val="105"/>
          <w:sz w:val="18"/>
        </w:rPr>
        <w:t>ya</w:t>
      </w:r>
      <w:r>
        <w:rPr>
          <w:color w:val="231F20"/>
          <w:spacing w:val="-4"/>
          <w:w w:val="105"/>
          <w:sz w:val="18"/>
        </w:rPr>
        <w:t> </w:t>
      </w:r>
      <w:r>
        <w:rPr>
          <w:color w:val="231F20"/>
          <w:w w:val="105"/>
          <w:sz w:val="18"/>
        </w:rPr>
        <w:t>tiene</w:t>
      </w:r>
      <w:r>
        <w:rPr>
          <w:color w:val="231F20"/>
          <w:spacing w:val="-4"/>
          <w:w w:val="105"/>
          <w:sz w:val="18"/>
        </w:rPr>
        <w:t> </w:t>
      </w:r>
      <w:r>
        <w:rPr>
          <w:color w:val="231F20"/>
          <w:w w:val="105"/>
          <w:sz w:val="18"/>
        </w:rPr>
        <w:t>una</w:t>
      </w:r>
      <w:r>
        <w:rPr>
          <w:color w:val="231F20"/>
          <w:spacing w:val="-4"/>
          <w:w w:val="105"/>
          <w:sz w:val="18"/>
        </w:rPr>
        <w:t> </w:t>
      </w:r>
      <w:r>
        <w:rPr>
          <w:color w:val="231F20"/>
          <w:w w:val="105"/>
          <w:sz w:val="18"/>
        </w:rPr>
        <w:t>familia</w:t>
      </w:r>
      <w:r>
        <w:rPr>
          <w:color w:val="231F20"/>
          <w:spacing w:val="-4"/>
          <w:w w:val="105"/>
          <w:sz w:val="18"/>
        </w:rPr>
        <w:t> </w:t>
      </w:r>
      <w:r>
        <w:rPr>
          <w:color w:val="231F20"/>
          <w:w w:val="105"/>
          <w:sz w:val="18"/>
        </w:rPr>
        <w:t>y</w:t>
      </w:r>
      <w:r>
        <w:rPr>
          <w:color w:val="231F20"/>
          <w:spacing w:val="-4"/>
          <w:w w:val="105"/>
          <w:sz w:val="18"/>
        </w:rPr>
        <w:t> </w:t>
      </w:r>
      <w:r>
        <w:rPr>
          <w:color w:val="231F20"/>
          <w:w w:val="105"/>
          <w:sz w:val="18"/>
        </w:rPr>
        <w:t>pues</w:t>
      </w:r>
      <w:r>
        <w:rPr>
          <w:color w:val="231F20"/>
          <w:spacing w:val="-4"/>
          <w:w w:val="105"/>
          <w:sz w:val="18"/>
        </w:rPr>
        <w:t> </w:t>
      </w:r>
      <w:r>
        <w:rPr>
          <w:color w:val="231F20"/>
          <w:w w:val="105"/>
          <w:sz w:val="18"/>
        </w:rPr>
        <w:t>pueda</w:t>
      </w:r>
    </w:p>
    <w:p>
      <w:pPr>
        <w:spacing w:after="0" w:line="254" w:lineRule="auto"/>
        <w:jc w:val="both"/>
        <w:rPr>
          <w:sz w:val="18"/>
        </w:rPr>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line="254" w:lineRule="auto" w:before="0"/>
        <w:ind w:left="2857" w:right="1830" w:firstLine="0"/>
        <w:jc w:val="both"/>
        <w:rPr>
          <w:sz w:val="18"/>
        </w:rPr>
      </w:pPr>
      <w:r>
        <w:rPr/>
        <w:pict>
          <v:line style="position:absolute;mso-position-horizontal-relative:page;mso-position-vertical-relative:paragraph;z-index:41152" from="15pt,-71.569252pt" to="0pt,-71.569252pt" stroked="true" strokeweight=".25pt" strokecolor="#000000">
            <w10:wrap type="none"/>
          </v:line>
        </w:pict>
      </w:r>
      <w:r>
        <w:rPr/>
        <w:pict>
          <v:line style="position:absolute;mso-position-horizontal-relative:page;mso-position-vertical-relative:paragraph;z-index:41176" from="508.890015pt,-71.569252pt" to="523.890015pt,-71.569252pt" stroked="true" strokeweight=".25pt" strokecolor="#000000">
            <w10:wrap type="none"/>
          </v:line>
        </w:pict>
      </w:r>
      <w:r>
        <w:rPr>
          <w:color w:val="231F20"/>
          <w:w w:val="105"/>
          <w:sz w:val="18"/>
        </w:rPr>
        <w:t>que</w:t>
      </w:r>
      <w:r>
        <w:rPr>
          <w:color w:val="231F20"/>
          <w:spacing w:val="-20"/>
          <w:w w:val="105"/>
          <w:sz w:val="18"/>
        </w:rPr>
        <w:t> </w:t>
      </w:r>
      <w:r>
        <w:rPr>
          <w:color w:val="231F20"/>
          <w:w w:val="105"/>
          <w:sz w:val="18"/>
        </w:rPr>
        <w:t>apenas</w:t>
      </w:r>
      <w:r>
        <w:rPr>
          <w:color w:val="231F20"/>
          <w:spacing w:val="-20"/>
          <w:w w:val="105"/>
          <w:sz w:val="18"/>
        </w:rPr>
        <w:t> </w:t>
      </w:r>
      <w:r>
        <w:rPr>
          <w:color w:val="231F20"/>
          <w:w w:val="105"/>
          <w:sz w:val="18"/>
        </w:rPr>
        <w:t>pueda</w:t>
      </w:r>
      <w:r>
        <w:rPr>
          <w:color w:val="231F20"/>
          <w:spacing w:val="-20"/>
          <w:w w:val="105"/>
          <w:sz w:val="18"/>
        </w:rPr>
        <w:t> </w:t>
      </w:r>
      <w:r>
        <w:rPr>
          <w:color w:val="231F20"/>
          <w:w w:val="105"/>
          <w:sz w:val="18"/>
        </w:rPr>
        <w:t>mantenerla</w:t>
      </w:r>
      <w:r>
        <w:rPr>
          <w:color w:val="231F20"/>
          <w:spacing w:val="-20"/>
          <w:w w:val="105"/>
          <w:sz w:val="18"/>
        </w:rPr>
        <w:t> </w:t>
      </w:r>
      <w:r>
        <w:rPr>
          <w:color w:val="231F20"/>
          <w:w w:val="105"/>
          <w:sz w:val="18"/>
        </w:rPr>
        <w:t>para</w:t>
      </w:r>
      <w:r>
        <w:rPr>
          <w:color w:val="231F20"/>
          <w:spacing w:val="-20"/>
          <w:w w:val="105"/>
          <w:sz w:val="18"/>
        </w:rPr>
        <w:t> </w:t>
      </w:r>
      <w:r>
        <w:rPr>
          <w:color w:val="231F20"/>
          <w:w w:val="105"/>
          <w:sz w:val="18"/>
        </w:rPr>
        <w:t>que</w:t>
      </w:r>
      <w:r>
        <w:rPr>
          <w:color w:val="231F20"/>
          <w:spacing w:val="-20"/>
          <w:w w:val="105"/>
          <w:sz w:val="18"/>
        </w:rPr>
        <w:t> </w:t>
      </w:r>
      <w:r>
        <w:rPr>
          <w:color w:val="231F20"/>
          <w:w w:val="105"/>
          <w:sz w:val="18"/>
        </w:rPr>
        <w:t>todavía</w:t>
      </w:r>
      <w:r>
        <w:rPr>
          <w:color w:val="231F20"/>
          <w:spacing w:val="-20"/>
          <w:w w:val="105"/>
          <w:sz w:val="18"/>
        </w:rPr>
        <w:t> </w:t>
      </w:r>
      <w:r>
        <w:rPr>
          <w:color w:val="231F20"/>
          <w:w w:val="105"/>
          <w:sz w:val="18"/>
        </w:rPr>
        <w:t>mande</w:t>
      </w:r>
      <w:r>
        <w:rPr>
          <w:color w:val="231F20"/>
          <w:spacing w:val="-20"/>
          <w:w w:val="105"/>
          <w:sz w:val="18"/>
        </w:rPr>
        <w:t> </w:t>
      </w:r>
      <w:r>
        <w:rPr>
          <w:color w:val="231F20"/>
          <w:spacing w:val="-6"/>
          <w:w w:val="105"/>
          <w:sz w:val="18"/>
        </w:rPr>
        <w:t>“pa’ca”,</w:t>
      </w:r>
      <w:r>
        <w:rPr>
          <w:color w:val="231F20"/>
          <w:spacing w:val="-25"/>
          <w:w w:val="105"/>
          <w:sz w:val="18"/>
        </w:rPr>
        <w:t> </w:t>
      </w:r>
      <w:r>
        <w:rPr>
          <w:color w:val="231F20"/>
          <w:w w:val="105"/>
          <w:sz w:val="18"/>
        </w:rPr>
        <w:t>ya</w:t>
      </w:r>
      <w:r>
        <w:rPr>
          <w:color w:val="231F20"/>
          <w:spacing w:val="-20"/>
          <w:w w:val="105"/>
          <w:sz w:val="18"/>
        </w:rPr>
        <w:t> </w:t>
      </w:r>
      <w:r>
        <w:rPr>
          <w:color w:val="231F20"/>
          <w:w w:val="105"/>
          <w:sz w:val="18"/>
        </w:rPr>
        <w:t>cada uno</w:t>
      </w:r>
      <w:r>
        <w:rPr>
          <w:color w:val="231F20"/>
          <w:spacing w:val="-21"/>
          <w:w w:val="105"/>
          <w:sz w:val="18"/>
        </w:rPr>
        <w:t> </w:t>
      </w:r>
      <w:r>
        <w:rPr>
          <w:color w:val="231F20"/>
          <w:w w:val="105"/>
          <w:sz w:val="18"/>
        </w:rPr>
        <w:t>tiene</w:t>
      </w:r>
      <w:r>
        <w:rPr>
          <w:color w:val="231F20"/>
          <w:spacing w:val="-21"/>
          <w:w w:val="105"/>
          <w:sz w:val="18"/>
        </w:rPr>
        <w:t> </w:t>
      </w:r>
      <w:r>
        <w:rPr>
          <w:color w:val="231F20"/>
          <w:w w:val="105"/>
          <w:sz w:val="18"/>
        </w:rPr>
        <w:t>sus</w:t>
      </w:r>
      <w:r>
        <w:rPr>
          <w:color w:val="231F20"/>
          <w:spacing w:val="-21"/>
          <w:w w:val="105"/>
          <w:sz w:val="18"/>
        </w:rPr>
        <w:t> </w:t>
      </w:r>
      <w:r>
        <w:rPr>
          <w:color w:val="231F20"/>
          <w:w w:val="105"/>
          <w:sz w:val="18"/>
        </w:rPr>
        <w:t>propias</w:t>
      </w:r>
      <w:r>
        <w:rPr>
          <w:color w:val="231F20"/>
          <w:spacing w:val="-21"/>
          <w:w w:val="105"/>
          <w:sz w:val="18"/>
        </w:rPr>
        <w:t> </w:t>
      </w:r>
      <w:r>
        <w:rPr>
          <w:color w:val="231F20"/>
          <w:w w:val="105"/>
          <w:sz w:val="18"/>
        </w:rPr>
        <w:t>familias</w:t>
      </w:r>
      <w:r>
        <w:rPr>
          <w:color w:val="231F20"/>
          <w:spacing w:val="-21"/>
          <w:w w:val="105"/>
          <w:sz w:val="18"/>
        </w:rPr>
        <w:t> </w:t>
      </w:r>
      <w:r>
        <w:rPr>
          <w:color w:val="231F20"/>
          <w:w w:val="105"/>
          <w:sz w:val="18"/>
        </w:rPr>
        <w:t>y</w:t>
      </w:r>
      <w:r>
        <w:rPr>
          <w:color w:val="231F20"/>
          <w:spacing w:val="-21"/>
          <w:w w:val="105"/>
          <w:sz w:val="18"/>
        </w:rPr>
        <w:t> </w:t>
      </w:r>
      <w:r>
        <w:rPr>
          <w:color w:val="231F20"/>
          <w:w w:val="105"/>
          <w:sz w:val="18"/>
        </w:rPr>
        <w:t>tiene</w:t>
      </w:r>
      <w:r>
        <w:rPr>
          <w:color w:val="231F20"/>
          <w:spacing w:val="-21"/>
          <w:w w:val="105"/>
          <w:sz w:val="18"/>
        </w:rPr>
        <w:t> </w:t>
      </w:r>
      <w:r>
        <w:rPr>
          <w:color w:val="231F20"/>
          <w:w w:val="105"/>
          <w:sz w:val="18"/>
        </w:rPr>
        <w:t>que</w:t>
      </w:r>
      <w:r>
        <w:rPr>
          <w:color w:val="231F20"/>
          <w:spacing w:val="-21"/>
          <w:w w:val="105"/>
          <w:sz w:val="18"/>
        </w:rPr>
        <w:t> </w:t>
      </w:r>
      <w:r>
        <w:rPr>
          <w:color w:val="231F20"/>
          <w:w w:val="105"/>
          <w:sz w:val="18"/>
        </w:rPr>
        <w:t>ver</w:t>
      </w:r>
      <w:r>
        <w:rPr>
          <w:color w:val="231F20"/>
          <w:spacing w:val="-21"/>
          <w:w w:val="105"/>
          <w:sz w:val="18"/>
        </w:rPr>
        <w:t> </w:t>
      </w:r>
      <w:r>
        <w:rPr>
          <w:color w:val="231F20"/>
          <w:w w:val="105"/>
          <w:sz w:val="18"/>
        </w:rPr>
        <w:t>por</w:t>
      </w:r>
      <w:r>
        <w:rPr>
          <w:color w:val="231F20"/>
          <w:spacing w:val="-21"/>
          <w:w w:val="105"/>
          <w:sz w:val="18"/>
        </w:rPr>
        <w:t> </w:t>
      </w:r>
      <w:r>
        <w:rPr>
          <w:color w:val="231F20"/>
          <w:w w:val="105"/>
          <w:sz w:val="18"/>
        </w:rPr>
        <w:t>ellas.</w:t>
      </w:r>
      <w:r>
        <w:rPr>
          <w:color w:val="231F20"/>
          <w:spacing w:val="-26"/>
          <w:w w:val="105"/>
          <w:sz w:val="18"/>
        </w:rPr>
        <w:t> </w:t>
      </w:r>
      <w:r>
        <w:rPr>
          <w:color w:val="231F20"/>
          <w:w w:val="105"/>
          <w:sz w:val="18"/>
        </w:rPr>
        <w:t>Sólo</w:t>
      </w:r>
      <w:r>
        <w:rPr>
          <w:color w:val="231F20"/>
          <w:spacing w:val="-21"/>
          <w:w w:val="105"/>
          <w:sz w:val="18"/>
        </w:rPr>
        <w:t> </w:t>
      </w:r>
      <w:r>
        <w:rPr>
          <w:color w:val="231F20"/>
          <w:w w:val="105"/>
          <w:sz w:val="18"/>
        </w:rPr>
        <w:t>Lupe,</w:t>
      </w:r>
      <w:r>
        <w:rPr>
          <w:color w:val="231F20"/>
          <w:spacing w:val="-26"/>
          <w:w w:val="105"/>
          <w:sz w:val="18"/>
        </w:rPr>
        <w:t> </w:t>
      </w:r>
      <w:r>
        <w:rPr>
          <w:color w:val="231F20"/>
          <w:w w:val="105"/>
          <w:sz w:val="18"/>
        </w:rPr>
        <w:t>esa</w:t>
      </w:r>
      <w:r>
        <w:rPr>
          <w:color w:val="231F20"/>
          <w:spacing w:val="-21"/>
          <w:w w:val="105"/>
          <w:sz w:val="18"/>
        </w:rPr>
        <w:t> </w:t>
      </w:r>
      <w:r>
        <w:rPr>
          <w:color w:val="231F20"/>
          <w:w w:val="105"/>
          <w:sz w:val="18"/>
        </w:rPr>
        <w:t>sí manda</w:t>
      </w:r>
      <w:r>
        <w:rPr>
          <w:color w:val="231F20"/>
          <w:spacing w:val="-6"/>
          <w:w w:val="105"/>
          <w:sz w:val="18"/>
        </w:rPr>
        <w:t> </w:t>
      </w:r>
      <w:r>
        <w:rPr>
          <w:color w:val="231F20"/>
          <w:w w:val="105"/>
          <w:sz w:val="18"/>
        </w:rPr>
        <w:t>puntual</w:t>
      </w:r>
      <w:r>
        <w:rPr>
          <w:color w:val="231F20"/>
          <w:spacing w:val="-6"/>
          <w:w w:val="105"/>
          <w:sz w:val="18"/>
        </w:rPr>
        <w:t> </w:t>
      </w:r>
      <w:r>
        <w:rPr>
          <w:color w:val="231F20"/>
          <w:w w:val="105"/>
          <w:sz w:val="18"/>
        </w:rPr>
        <w:t>cada</w:t>
      </w:r>
      <w:r>
        <w:rPr>
          <w:color w:val="231F20"/>
          <w:spacing w:val="-6"/>
          <w:w w:val="105"/>
          <w:sz w:val="18"/>
        </w:rPr>
        <w:t> </w:t>
      </w:r>
      <w:r>
        <w:rPr>
          <w:color w:val="231F20"/>
          <w:w w:val="105"/>
          <w:sz w:val="18"/>
        </w:rPr>
        <w:t>15</w:t>
      </w:r>
      <w:r>
        <w:rPr>
          <w:color w:val="231F20"/>
          <w:spacing w:val="-6"/>
          <w:w w:val="105"/>
          <w:sz w:val="18"/>
        </w:rPr>
        <w:t> </w:t>
      </w:r>
      <w:r>
        <w:rPr>
          <w:color w:val="231F20"/>
          <w:w w:val="105"/>
          <w:sz w:val="18"/>
        </w:rPr>
        <w:t>días,</w:t>
      </w:r>
      <w:r>
        <w:rPr>
          <w:color w:val="231F20"/>
          <w:spacing w:val="-10"/>
          <w:w w:val="105"/>
          <w:sz w:val="18"/>
        </w:rPr>
        <w:t> </w:t>
      </w:r>
      <w:r>
        <w:rPr>
          <w:color w:val="231F20"/>
          <w:w w:val="105"/>
          <w:sz w:val="18"/>
        </w:rPr>
        <w:t>porque</w:t>
      </w:r>
      <w:r>
        <w:rPr>
          <w:color w:val="231F20"/>
          <w:spacing w:val="-6"/>
          <w:w w:val="105"/>
          <w:sz w:val="18"/>
        </w:rPr>
        <w:t> </w:t>
      </w:r>
      <w:r>
        <w:rPr>
          <w:color w:val="231F20"/>
          <w:w w:val="105"/>
          <w:sz w:val="18"/>
        </w:rPr>
        <w:t>sus</w:t>
      </w:r>
      <w:r>
        <w:rPr>
          <w:color w:val="231F20"/>
          <w:spacing w:val="-6"/>
          <w:w w:val="105"/>
          <w:sz w:val="18"/>
        </w:rPr>
        <w:t> </w:t>
      </w:r>
      <w:r>
        <w:rPr>
          <w:color w:val="231F20"/>
          <w:w w:val="105"/>
          <w:sz w:val="18"/>
        </w:rPr>
        <w:t>hijos</w:t>
      </w:r>
      <w:r>
        <w:rPr>
          <w:color w:val="231F20"/>
          <w:spacing w:val="-6"/>
          <w:w w:val="105"/>
          <w:sz w:val="18"/>
        </w:rPr>
        <w:t> </w:t>
      </w:r>
      <w:r>
        <w:rPr>
          <w:color w:val="231F20"/>
          <w:w w:val="105"/>
          <w:sz w:val="18"/>
        </w:rPr>
        <w:t>están</w:t>
      </w:r>
      <w:r>
        <w:rPr>
          <w:color w:val="231F20"/>
          <w:spacing w:val="-6"/>
          <w:w w:val="105"/>
          <w:sz w:val="18"/>
        </w:rPr>
        <w:t> </w:t>
      </w:r>
      <w:r>
        <w:rPr>
          <w:color w:val="231F20"/>
          <w:w w:val="105"/>
          <w:sz w:val="18"/>
        </w:rPr>
        <w:t>aquí</w:t>
      </w:r>
      <w:r>
        <w:rPr>
          <w:color w:val="231F20"/>
          <w:spacing w:val="-6"/>
          <w:w w:val="105"/>
          <w:sz w:val="18"/>
        </w:rPr>
        <w:t> </w:t>
      </w:r>
      <w:r>
        <w:rPr>
          <w:color w:val="231F20"/>
          <w:w w:val="105"/>
          <w:sz w:val="18"/>
        </w:rPr>
        <w:t>y</w:t>
      </w:r>
      <w:r>
        <w:rPr>
          <w:color w:val="231F20"/>
          <w:spacing w:val="-6"/>
          <w:w w:val="105"/>
          <w:sz w:val="18"/>
        </w:rPr>
        <w:t> </w:t>
      </w:r>
      <w:r>
        <w:rPr>
          <w:color w:val="231F20"/>
          <w:w w:val="105"/>
          <w:sz w:val="18"/>
        </w:rPr>
        <w:t>tienen</w:t>
      </w:r>
      <w:r>
        <w:rPr>
          <w:color w:val="231F20"/>
          <w:spacing w:val="-6"/>
          <w:w w:val="105"/>
          <w:sz w:val="18"/>
        </w:rPr>
        <w:t> </w:t>
      </w:r>
      <w:r>
        <w:rPr>
          <w:color w:val="231F20"/>
          <w:w w:val="105"/>
          <w:sz w:val="18"/>
        </w:rPr>
        <w:t>que comer,</w:t>
      </w:r>
      <w:r>
        <w:rPr>
          <w:color w:val="231F20"/>
          <w:spacing w:val="-11"/>
          <w:w w:val="105"/>
          <w:sz w:val="18"/>
        </w:rPr>
        <w:t> </w:t>
      </w:r>
      <w:r>
        <w:rPr>
          <w:color w:val="231F20"/>
          <w:w w:val="105"/>
          <w:sz w:val="18"/>
        </w:rPr>
        <w:t>pero</w:t>
      </w:r>
      <w:r>
        <w:rPr>
          <w:color w:val="231F20"/>
          <w:spacing w:val="-7"/>
          <w:w w:val="105"/>
          <w:sz w:val="18"/>
        </w:rPr>
        <w:t> </w:t>
      </w:r>
      <w:r>
        <w:rPr>
          <w:color w:val="231F20"/>
          <w:w w:val="105"/>
          <w:sz w:val="18"/>
        </w:rPr>
        <w:t>principalmente</w:t>
      </w:r>
      <w:r>
        <w:rPr>
          <w:color w:val="231F20"/>
          <w:spacing w:val="-7"/>
          <w:w w:val="105"/>
          <w:sz w:val="18"/>
        </w:rPr>
        <w:t> </w:t>
      </w:r>
      <w:r>
        <w:rPr>
          <w:color w:val="231F20"/>
          <w:w w:val="105"/>
          <w:sz w:val="18"/>
        </w:rPr>
        <w:t>ir</w:t>
      </w:r>
      <w:r>
        <w:rPr>
          <w:color w:val="231F20"/>
          <w:spacing w:val="-7"/>
          <w:w w:val="105"/>
          <w:sz w:val="18"/>
        </w:rPr>
        <w:t> </w:t>
      </w:r>
      <w:r>
        <w:rPr>
          <w:color w:val="231F20"/>
          <w:w w:val="105"/>
          <w:sz w:val="18"/>
        </w:rPr>
        <w:t>a</w:t>
      </w:r>
      <w:r>
        <w:rPr>
          <w:color w:val="231F20"/>
          <w:spacing w:val="-7"/>
          <w:w w:val="105"/>
          <w:sz w:val="18"/>
        </w:rPr>
        <w:t> </w:t>
      </w:r>
      <w:r>
        <w:rPr>
          <w:color w:val="231F20"/>
          <w:w w:val="105"/>
          <w:sz w:val="18"/>
        </w:rPr>
        <w:t>la</w:t>
      </w:r>
      <w:r>
        <w:rPr>
          <w:color w:val="231F20"/>
          <w:spacing w:val="-7"/>
          <w:w w:val="105"/>
          <w:sz w:val="18"/>
        </w:rPr>
        <w:t> </w:t>
      </w:r>
      <w:r>
        <w:rPr>
          <w:color w:val="231F20"/>
          <w:w w:val="105"/>
          <w:sz w:val="18"/>
        </w:rPr>
        <w:t>escuela.</w:t>
      </w:r>
      <w:r>
        <w:rPr>
          <w:color w:val="231F20"/>
          <w:spacing w:val="-11"/>
          <w:w w:val="105"/>
          <w:sz w:val="18"/>
        </w:rPr>
        <w:t> </w:t>
      </w:r>
      <w:r>
        <w:rPr>
          <w:color w:val="231F20"/>
          <w:w w:val="105"/>
          <w:sz w:val="18"/>
        </w:rPr>
        <w:t>De</w:t>
      </w:r>
      <w:r>
        <w:rPr>
          <w:color w:val="231F20"/>
          <w:spacing w:val="-7"/>
          <w:w w:val="105"/>
          <w:sz w:val="18"/>
        </w:rPr>
        <w:t> </w:t>
      </w:r>
      <w:r>
        <w:rPr>
          <w:color w:val="231F20"/>
          <w:w w:val="105"/>
          <w:sz w:val="18"/>
        </w:rPr>
        <w:t>cualquier</w:t>
      </w:r>
      <w:r>
        <w:rPr>
          <w:color w:val="231F20"/>
          <w:spacing w:val="-7"/>
          <w:w w:val="105"/>
          <w:sz w:val="18"/>
        </w:rPr>
        <w:t> </w:t>
      </w:r>
      <w:r>
        <w:rPr>
          <w:color w:val="231F20"/>
          <w:w w:val="105"/>
          <w:sz w:val="18"/>
        </w:rPr>
        <w:t>modo</w:t>
      </w:r>
      <w:r>
        <w:rPr>
          <w:color w:val="231F20"/>
          <w:spacing w:val="-7"/>
          <w:w w:val="105"/>
          <w:sz w:val="18"/>
        </w:rPr>
        <w:t> </w:t>
      </w:r>
      <w:r>
        <w:rPr>
          <w:color w:val="231F20"/>
          <w:w w:val="105"/>
          <w:sz w:val="18"/>
        </w:rPr>
        <w:t>comida aquí</w:t>
      </w:r>
      <w:r>
        <w:rPr>
          <w:color w:val="231F20"/>
          <w:spacing w:val="-3"/>
          <w:w w:val="105"/>
          <w:sz w:val="18"/>
        </w:rPr>
        <w:t> </w:t>
      </w:r>
      <w:r>
        <w:rPr>
          <w:color w:val="231F20"/>
          <w:w w:val="105"/>
          <w:sz w:val="18"/>
        </w:rPr>
        <w:t>no</w:t>
      </w:r>
      <w:r>
        <w:rPr>
          <w:color w:val="231F20"/>
          <w:spacing w:val="-3"/>
          <w:w w:val="105"/>
          <w:sz w:val="18"/>
        </w:rPr>
        <w:t> </w:t>
      </w:r>
      <w:r>
        <w:rPr>
          <w:color w:val="231F20"/>
          <w:w w:val="105"/>
          <w:sz w:val="18"/>
        </w:rPr>
        <w:t>les</w:t>
      </w:r>
      <w:r>
        <w:rPr>
          <w:color w:val="231F20"/>
          <w:spacing w:val="-3"/>
          <w:w w:val="105"/>
          <w:sz w:val="18"/>
        </w:rPr>
        <w:t> </w:t>
      </w:r>
      <w:r>
        <w:rPr>
          <w:color w:val="231F20"/>
          <w:w w:val="105"/>
          <w:sz w:val="18"/>
        </w:rPr>
        <w:t>falta,</w:t>
      </w:r>
      <w:r>
        <w:rPr>
          <w:color w:val="231F20"/>
          <w:spacing w:val="-8"/>
          <w:w w:val="105"/>
          <w:sz w:val="18"/>
        </w:rPr>
        <w:t> </w:t>
      </w:r>
      <w:r>
        <w:rPr>
          <w:color w:val="231F20"/>
          <w:w w:val="105"/>
          <w:sz w:val="18"/>
        </w:rPr>
        <w:t>aunque</w:t>
      </w:r>
      <w:r>
        <w:rPr>
          <w:color w:val="231F20"/>
          <w:spacing w:val="-3"/>
          <w:w w:val="105"/>
          <w:sz w:val="18"/>
        </w:rPr>
        <w:t> </w:t>
      </w:r>
      <w:r>
        <w:rPr>
          <w:color w:val="231F20"/>
          <w:w w:val="105"/>
          <w:sz w:val="18"/>
        </w:rPr>
        <w:t>sea</w:t>
      </w:r>
      <w:r>
        <w:rPr>
          <w:color w:val="231F20"/>
          <w:spacing w:val="-3"/>
          <w:w w:val="105"/>
          <w:sz w:val="18"/>
        </w:rPr>
        <w:t> </w:t>
      </w:r>
      <w:r>
        <w:rPr>
          <w:color w:val="231F20"/>
          <w:w w:val="105"/>
          <w:sz w:val="18"/>
        </w:rPr>
        <w:t>tortillas,</w:t>
      </w:r>
      <w:r>
        <w:rPr>
          <w:color w:val="231F20"/>
          <w:spacing w:val="-8"/>
          <w:w w:val="105"/>
          <w:sz w:val="18"/>
        </w:rPr>
        <w:t> </w:t>
      </w:r>
      <w:r>
        <w:rPr>
          <w:color w:val="231F20"/>
          <w:w w:val="105"/>
          <w:sz w:val="18"/>
        </w:rPr>
        <w:t>pero</w:t>
      </w:r>
      <w:r>
        <w:rPr>
          <w:color w:val="231F20"/>
          <w:spacing w:val="-3"/>
          <w:w w:val="105"/>
          <w:sz w:val="18"/>
        </w:rPr>
        <w:t> </w:t>
      </w:r>
      <w:r>
        <w:rPr>
          <w:color w:val="231F20"/>
          <w:w w:val="105"/>
          <w:sz w:val="18"/>
        </w:rPr>
        <w:t>hay</w:t>
      </w:r>
      <w:r>
        <w:rPr>
          <w:color w:val="231F20"/>
          <w:spacing w:val="-3"/>
          <w:w w:val="105"/>
          <w:sz w:val="18"/>
        </w:rPr>
        <w:t> </w:t>
      </w:r>
      <w:r>
        <w:rPr>
          <w:color w:val="231F20"/>
          <w:w w:val="105"/>
          <w:sz w:val="18"/>
        </w:rPr>
        <w:t>(Entrevista</w:t>
      </w:r>
      <w:r>
        <w:rPr>
          <w:color w:val="231F20"/>
          <w:spacing w:val="-3"/>
          <w:w w:val="105"/>
          <w:sz w:val="18"/>
        </w:rPr>
        <w:t> </w:t>
      </w:r>
      <w:r>
        <w:rPr>
          <w:color w:val="231F20"/>
          <w:w w:val="105"/>
          <w:sz w:val="18"/>
        </w:rPr>
        <w:t>Don</w:t>
      </w:r>
      <w:r>
        <w:rPr>
          <w:color w:val="231F20"/>
          <w:spacing w:val="-3"/>
          <w:w w:val="105"/>
          <w:sz w:val="18"/>
        </w:rPr>
        <w:t> </w:t>
      </w:r>
      <w:r>
        <w:rPr>
          <w:color w:val="231F20"/>
          <w:w w:val="105"/>
          <w:sz w:val="18"/>
        </w:rPr>
        <w:t>Mario, 24 de mayo de</w:t>
      </w:r>
      <w:r>
        <w:rPr>
          <w:color w:val="231F20"/>
          <w:spacing w:val="-35"/>
          <w:w w:val="105"/>
          <w:sz w:val="18"/>
        </w:rPr>
        <w:t> </w:t>
      </w:r>
      <w:r>
        <w:rPr>
          <w:color w:val="231F20"/>
          <w:w w:val="105"/>
          <w:sz w:val="18"/>
        </w:rPr>
        <w:t>2015).</w:t>
      </w:r>
    </w:p>
    <w:p>
      <w:pPr>
        <w:pStyle w:val="BodyText"/>
        <w:spacing w:before="5"/>
      </w:pPr>
    </w:p>
    <w:p>
      <w:pPr>
        <w:pStyle w:val="BodyText"/>
        <w:spacing w:line="261" w:lineRule="auto"/>
        <w:ind w:left="1723" w:right="1834"/>
        <w:jc w:val="both"/>
      </w:pPr>
      <w:r>
        <w:rPr>
          <w:color w:val="231F20"/>
          <w:w w:val="105"/>
        </w:rPr>
        <w:t>En la comunidad se han quedado algunos niños, sus padres se fueron a</w:t>
      </w:r>
      <w:r>
        <w:rPr>
          <w:color w:val="231F20"/>
          <w:spacing w:val="-10"/>
          <w:w w:val="105"/>
        </w:rPr>
        <w:t> </w:t>
      </w:r>
      <w:r>
        <w:rPr>
          <w:color w:val="231F20"/>
          <w:w w:val="105"/>
        </w:rPr>
        <w:t>Estados</w:t>
      </w:r>
      <w:r>
        <w:rPr>
          <w:color w:val="231F20"/>
          <w:spacing w:val="-10"/>
          <w:w w:val="105"/>
        </w:rPr>
        <w:t> </w:t>
      </w:r>
      <w:r>
        <w:rPr>
          <w:color w:val="231F20"/>
          <w:w w:val="105"/>
        </w:rPr>
        <w:t>Unidos</w:t>
      </w:r>
      <w:r>
        <w:rPr>
          <w:color w:val="231F20"/>
          <w:spacing w:val="-10"/>
          <w:w w:val="105"/>
        </w:rPr>
        <w:t> </w:t>
      </w:r>
      <w:r>
        <w:rPr>
          <w:color w:val="231F20"/>
          <w:w w:val="105"/>
        </w:rPr>
        <w:t>y</w:t>
      </w:r>
      <w:r>
        <w:rPr>
          <w:color w:val="231F20"/>
          <w:spacing w:val="-10"/>
          <w:w w:val="105"/>
        </w:rPr>
        <w:t> </w:t>
      </w:r>
      <w:r>
        <w:rPr>
          <w:color w:val="231F20"/>
          <w:w w:val="105"/>
        </w:rPr>
        <w:t>no</w:t>
      </w:r>
      <w:r>
        <w:rPr>
          <w:color w:val="231F20"/>
          <w:spacing w:val="-10"/>
          <w:w w:val="105"/>
        </w:rPr>
        <w:t> </w:t>
      </w:r>
      <w:r>
        <w:rPr>
          <w:color w:val="231F20"/>
          <w:w w:val="105"/>
        </w:rPr>
        <w:t>han</w:t>
      </w:r>
      <w:r>
        <w:rPr>
          <w:color w:val="231F20"/>
          <w:spacing w:val="-10"/>
          <w:w w:val="105"/>
        </w:rPr>
        <w:t> </w:t>
      </w:r>
      <w:r>
        <w:rPr>
          <w:color w:val="231F20"/>
          <w:w w:val="105"/>
        </w:rPr>
        <w:t>regresado.</w:t>
      </w:r>
      <w:r>
        <w:rPr>
          <w:color w:val="231F20"/>
          <w:spacing w:val="-15"/>
          <w:w w:val="105"/>
        </w:rPr>
        <w:t> </w:t>
      </w:r>
      <w:r>
        <w:rPr>
          <w:color w:val="231F20"/>
          <w:w w:val="105"/>
        </w:rPr>
        <w:t>Únicamente</w:t>
      </w:r>
      <w:r>
        <w:rPr>
          <w:color w:val="231F20"/>
          <w:spacing w:val="-10"/>
          <w:w w:val="105"/>
        </w:rPr>
        <w:t> </w:t>
      </w:r>
      <w:r>
        <w:rPr>
          <w:color w:val="231F20"/>
          <w:w w:val="105"/>
        </w:rPr>
        <w:t>en</w:t>
      </w:r>
      <w:r>
        <w:rPr>
          <w:color w:val="231F20"/>
          <w:spacing w:val="-10"/>
          <w:w w:val="105"/>
        </w:rPr>
        <w:t> </w:t>
      </w:r>
      <w:r>
        <w:rPr>
          <w:color w:val="231F20"/>
          <w:w w:val="105"/>
        </w:rPr>
        <w:t>dos</w:t>
      </w:r>
      <w:r>
        <w:rPr>
          <w:color w:val="231F20"/>
          <w:spacing w:val="-10"/>
          <w:w w:val="105"/>
        </w:rPr>
        <w:t> </w:t>
      </w:r>
      <w:r>
        <w:rPr>
          <w:color w:val="231F20"/>
          <w:w w:val="105"/>
        </w:rPr>
        <w:t>unidades</w:t>
      </w:r>
      <w:r>
        <w:rPr>
          <w:color w:val="231F20"/>
          <w:spacing w:val="-10"/>
          <w:w w:val="105"/>
        </w:rPr>
        <w:t> </w:t>
      </w:r>
      <w:r>
        <w:rPr>
          <w:color w:val="231F20"/>
          <w:w w:val="105"/>
        </w:rPr>
        <w:t>do- mésticas</w:t>
      </w:r>
      <w:r>
        <w:rPr>
          <w:color w:val="231F20"/>
          <w:spacing w:val="-8"/>
          <w:w w:val="105"/>
        </w:rPr>
        <w:t> </w:t>
      </w:r>
      <w:r>
        <w:rPr>
          <w:color w:val="231F20"/>
          <w:w w:val="105"/>
        </w:rPr>
        <w:t>se</w:t>
      </w:r>
      <w:r>
        <w:rPr>
          <w:color w:val="231F20"/>
          <w:spacing w:val="-8"/>
          <w:w w:val="105"/>
        </w:rPr>
        <w:t> </w:t>
      </w:r>
      <w:r>
        <w:rPr>
          <w:color w:val="231F20"/>
          <w:w w:val="105"/>
        </w:rPr>
        <w:t>recibe</w:t>
      </w:r>
      <w:r>
        <w:rPr>
          <w:color w:val="231F20"/>
          <w:spacing w:val="-8"/>
          <w:w w:val="105"/>
        </w:rPr>
        <w:t> </w:t>
      </w:r>
      <w:r>
        <w:rPr>
          <w:color w:val="231F20"/>
          <w:w w:val="105"/>
        </w:rPr>
        <w:t>dinero</w:t>
      </w:r>
      <w:r>
        <w:rPr>
          <w:color w:val="231F20"/>
          <w:spacing w:val="-8"/>
          <w:w w:val="105"/>
        </w:rPr>
        <w:t> </w:t>
      </w:r>
      <w:r>
        <w:rPr>
          <w:color w:val="231F20"/>
          <w:w w:val="105"/>
        </w:rPr>
        <w:t>de</w:t>
      </w:r>
      <w:r>
        <w:rPr>
          <w:color w:val="231F20"/>
          <w:spacing w:val="-8"/>
          <w:w w:val="105"/>
        </w:rPr>
        <w:t> </w:t>
      </w:r>
      <w:r>
        <w:rPr>
          <w:color w:val="231F20"/>
          <w:w w:val="105"/>
        </w:rPr>
        <w:t>forma</w:t>
      </w:r>
      <w:r>
        <w:rPr>
          <w:color w:val="231F20"/>
          <w:spacing w:val="-8"/>
          <w:w w:val="105"/>
        </w:rPr>
        <w:t> </w:t>
      </w:r>
      <w:r>
        <w:rPr>
          <w:color w:val="231F20"/>
          <w:w w:val="105"/>
        </w:rPr>
        <w:t>periódica</w:t>
      </w:r>
      <w:r>
        <w:rPr>
          <w:color w:val="231F20"/>
          <w:spacing w:val="-8"/>
          <w:w w:val="105"/>
        </w:rPr>
        <w:t> </w:t>
      </w:r>
      <w:r>
        <w:rPr>
          <w:color w:val="231F20"/>
          <w:w w:val="105"/>
        </w:rPr>
        <w:t>y</w:t>
      </w:r>
      <w:r>
        <w:rPr>
          <w:color w:val="231F20"/>
          <w:spacing w:val="-8"/>
          <w:w w:val="105"/>
        </w:rPr>
        <w:t> </w:t>
      </w:r>
      <w:r>
        <w:rPr>
          <w:color w:val="231F20"/>
          <w:w w:val="105"/>
        </w:rPr>
        <w:t>básicamente</w:t>
      </w:r>
      <w:r>
        <w:rPr>
          <w:color w:val="231F20"/>
          <w:spacing w:val="-8"/>
          <w:w w:val="105"/>
        </w:rPr>
        <w:t> </w:t>
      </w:r>
      <w:r>
        <w:rPr>
          <w:color w:val="231F20"/>
          <w:w w:val="105"/>
        </w:rPr>
        <w:t>éste</w:t>
      </w:r>
      <w:r>
        <w:rPr>
          <w:color w:val="231F20"/>
          <w:spacing w:val="-8"/>
          <w:w w:val="105"/>
        </w:rPr>
        <w:t> </w:t>
      </w:r>
      <w:r>
        <w:rPr>
          <w:color w:val="231F20"/>
          <w:w w:val="105"/>
        </w:rPr>
        <w:t>es</w:t>
      </w:r>
      <w:r>
        <w:rPr>
          <w:color w:val="231F20"/>
          <w:spacing w:val="-8"/>
          <w:w w:val="105"/>
        </w:rPr>
        <w:t> </w:t>
      </w:r>
      <w:r>
        <w:rPr>
          <w:color w:val="231F20"/>
          <w:w w:val="105"/>
        </w:rPr>
        <w:t>uti- lizado</w:t>
      </w:r>
      <w:r>
        <w:rPr>
          <w:color w:val="231F20"/>
          <w:spacing w:val="-8"/>
          <w:w w:val="105"/>
        </w:rPr>
        <w:t> </w:t>
      </w:r>
      <w:r>
        <w:rPr>
          <w:color w:val="231F20"/>
          <w:w w:val="105"/>
        </w:rPr>
        <w:t>en</w:t>
      </w:r>
      <w:r>
        <w:rPr>
          <w:color w:val="231F20"/>
          <w:spacing w:val="-8"/>
          <w:w w:val="105"/>
        </w:rPr>
        <w:t> </w:t>
      </w:r>
      <w:r>
        <w:rPr>
          <w:color w:val="231F20"/>
          <w:w w:val="105"/>
        </w:rPr>
        <w:t>alimentación,</w:t>
      </w:r>
      <w:r>
        <w:rPr>
          <w:color w:val="231F20"/>
          <w:spacing w:val="-13"/>
          <w:w w:val="105"/>
        </w:rPr>
        <w:t> </w:t>
      </w:r>
      <w:r>
        <w:rPr>
          <w:color w:val="231F20"/>
          <w:w w:val="105"/>
        </w:rPr>
        <w:t>vestido</w:t>
      </w:r>
      <w:r>
        <w:rPr>
          <w:color w:val="231F20"/>
          <w:spacing w:val="-8"/>
          <w:w w:val="105"/>
        </w:rPr>
        <w:t> </w:t>
      </w:r>
      <w:r>
        <w:rPr>
          <w:color w:val="231F20"/>
          <w:w w:val="105"/>
        </w:rPr>
        <w:t>y</w:t>
      </w:r>
      <w:r>
        <w:rPr>
          <w:color w:val="231F20"/>
          <w:spacing w:val="-8"/>
          <w:w w:val="105"/>
        </w:rPr>
        <w:t> </w:t>
      </w:r>
      <w:r>
        <w:rPr>
          <w:color w:val="231F20"/>
          <w:w w:val="105"/>
        </w:rPr>
        <w:t>educación</w:t>
      </w:r>
      <w:r>
        <w:rPr>
          <w:color w:val="231F20"/>
          <w:spacing w:val="-8"/>
          <w:w w:val="105"/>
        </w:rPr>
        <w:t> </w:t>
      </w:r>
      <w:r>
        <w:rPr>
          <w:color w:val="231F20"/>
          <w:w w:val="105"/>
        </w:rPr>
        <w:t>(escuela).</w:t>
      </w:r>
      <w:r>
        <w:rPr>
          <w:color w:val="231F20"/>
          <w:spacing w:val="-13"/>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envían</w:t>
      </w:r>
      <w:r>
        <w:rPr>
          <w:color w:val="231F20"/>
          <w:spacing w:val="-8"/>
          <w:w w:val="105"/>
        </w:rPr>
        <w:t> </w:t>
      </w:r>
      <w:r>
        <w:rPr>
          <w:color w:val="231F20"/>
          <w:w w:val="105"/>
        </w:rPr>
        <w:t>es relativamente poco, pero para una familia que no tiene empleo u otra fuente</w:t>
      </w:r>
      <w:r>
        <w:rPr>
          <w:color w:val="231F20"/>
          <w:spacing w:val="-10"/>
          <w:w w:val="105"/>
        </w:rPr>
        <w:t> </w:t>
      </w:r>
      <w:r>
        <w:rPr>
          <w:color w:val="231F20"/>
          <w:w w:val="105"/>
        </w:rPr>
        <w:t>de</w:t>
      </w:r>
      <w:r>
        <w:rPr>
          <w:color w:val="231F20"/>
          <w:spacing w:val="-10"/>
          <w:w w:val="105"/>
        </w:rPr>
        <w:t> </w:t>
      </w:r>
      <w:r>
        <w:rPr>
          <w:color w:val="231F20"/>
          <w:w w:val="105"/>
        </w:rPr>
        <w:t>ingreso</w:t>
      </w:r>
      <w:r>
        <w:rPr>
          <w:color w:val="231F20"/>
          <w:spacing w:val="-10"/>
          <w:w w:val="105"/>
        </w:rPr>
        <w:t> </w:t>
      </w:r>
      <w:r>
        <w:rPr>
          <w:color w:val="231F20"/>
          <w:w w:val="105"/>
        </w:rPr>
        <w:t>representa</w:t>
      </w:r>
      <w:r>
        <w:rPr>
          <w:color w:val="231F20"/>
          <w:spacing w:val="-10"/>
          <w:w w:val="105"/>
        </w:rPr>
        <w:t> </w:t>
      </w:r>
      <w:r>
        <w:rPr>
          <w:color w:val="231F20"/>
          <w:w w:val="105"/>
        </w:rPr>
        <w:t>una</w:t>
      </w:r>
      <w:r>
        <w:rPr>
          <w:color w:val="231F20"/>
          <w:spacing w:val="-10"/>
          <w:w w:val="105"/>
        </w:rPr>
        <w:t> </w:t>
      </w:r>
      <w:r>
        <w:rPr>
          <w:color w:val="231F20"/>
          <w:w w:val="105"/>
        </w:rPr>
        <w:t>entrada</w:t>
      </w:r>
      <w:r>
        <w:rPr>
          <w:color w:val="231F20"/>
          <w:spacing w:val="-10"/>
          <w:w w:val="105"/>
        </w:rPr>
        <w:t> </w:t>
      </w:r>
      <w:r>
        <w:rPr>
          <w:color w:val="231F20"/>
          <w:w w:val="105"/>
        </w:rPr>
        <w:t>económica</w:t>
      </w:r>
      <w:r>
        <w:rPr>
          <w:color w:val="231F20"/>
          <w:spacing w:val="-10"/>
          <w:w w:val="105"/>
        </w:rPr>
        <w:t> </w:t>
      </w:r>
      <w:r>
        <w:rPr>
          <w:color w:val="231F20"/>
          <w:w w:val="105"/>
        </w:rPr>
        <w:t>importante.</w:t>
      </w:r>
      <w:r>
        <w:rPr>
          <w:color w:val="231F20"/>
          <w:spacing w:val="-15"/>
          <w:w w:val="105"/>
        </w:rPr>
        <w:t> </w:t>
      </w:r>
      <w:r>
        <w:rPr>
          <w:color w:val="231F20"/>
          <w:w w:val="105"/>
        </w:rPr>
        <w:t>Cuan- do</w:t>
      </w:r>
      <w:r>
        <w:rPr>
          <w:color w:val="231F20"/>
          <w:spacing w:val="-7"/>
          <w:w w:val="105"/>
        </w:rPr>
        <w:t> </w:t>
      </w:r>
      <w:r>
        <w:rPr>
          <w:color w:val="231F20"/>
          <w:w w:val="105"/>
        </w:rPr>
        <w:t>Mónica</w:t>
      </w:r>
      <w:r>
        <w:rPr>
          <w:color w:val="231F20"/>
          <w:spacing w:val="-7"/>
          <w:w w:val="105"/>
        </w:rPr>
        <w:t> </w:t>
      </w:r>
      <w:r>
        <w:rPr>
          <w:color w:val="231F20"/>
          <w:w w:val="105"/>
        </w:rPr>
        <w:t>se</w:t>
      </w:r>
      <w:r>
        <w:rPr>
          <w:color w:val="231F20"/>
          <w:spacing w:val="-7"/>
          <w:w w:val="105"/>
        </w:rPr>
        <w:t> </w:t>
      </w:r>
      <w:r>
        <w:rPr>
          <w:color w:val="231F20"/>
          <w:w w:val="105"/>
        </w:rPr>
        <w:t>fue</w:t>
      </w:r>
      <w:r>
        <w:rPr>
          <w:color w:val="231F20"/>
          <w:spacing w:val="-7"/>
          <w:w w:val="105"/>
        </w:rPr>
        <w:t> </w:t>
      </w:r>
      <w:r>
        <w:rPr>
          <w:color w:val="231F20"/>
          <w:w w:val="105"/>
        </w:rPr>
        <w:t>hace</w:t>
      </w:r>
      <w:r>
        <w:rPr>
          <w:color w:val="231F20"/>
          <w:spacing w:val="-7"/>
          <w:w w:val="105"/>
        </w:rPr>
        <w:t> </w:t>
      </w:r>
      <w:r>
        <w:rPr>
          <w:color w:val="231F20"/>
          <w:w w:val="105"/>
        </w:rPr>
        <w:t>15</w:t>
      </w:r>
      <w:r>
        <w:rPr>
          <w:color w:val="231F20"/>
          <w:spacing w:val="-7"/>
          <w:w w:val="105"/>
        </w:rPr>
        <w:t> </w:t>
      </w:r>
      <w:r>
        <w:rPr>
          <w:color w:val="231F20"/>
          <w:w w:val="105"/>
        </w:rPr>
        <w:t>años</w:t>
      </w:r>
      <w:r>
        <w:rPr>
          <w:color w:val="231F20"/>
          <w:spacing w:val="-7"/>
          <w:w w:val="105"/>
        </w:rPr>
        <w:t> </w:t>
      </w:r>
      <w:r>
        <w:rPr>
          <w:color w:val="231F20"/>
          <w:w w:val="105"/>
        </w:rPr>
        <w:t>para</w:t>
      </w:r>
      <w:r>
        <w:rPr>
          <w:color w:val="231F20"/>
          <w:spacing w:val="-7"/>
          <w:w w:val="105"/>
        </w:rPr>
        <w:t> </w:t>
      </w:r>
      <w:r>
        <w:rPr>
          <w:color w:val="231F20"/>
          <w:w w:val="105"/>
        </w:rPr>
        <w:t>Estados</w:t>
      </w:r>
      <w:r>
        <w:rPr>
          <w:color w:val="231F20"/>
          <w:spacing w:val="-7"/>
          <w:w w:val="105"/>
        </w:rPr>
        <w:t> </w:t>
      </w:r>
      <w:r>
        <w:rPr>
          <w:color w:val="231F20"/>
          <w:w w:val="105"/>
        </w:rPr>
        <w:t>Unidos,</w:t>
      </w:r>
      <w:r>
        <w:rPr>
          <w:color w:val="231F20"/>
          <w:spacing w:val="-12"/>
          <w:w w:val="105"/>
        </w:rPr>
        <w:t> </w:t>
      </w:r>
      <w:r>
        <w:rPr>
          <w:color w:val="231F20"/>
          <w:w w:val="105"/>
        </w:rPr>
        <w:t>lo</w:t>
      </w:r>
      <w:r>
        <w:rPr>
          <w:color w:val="231F20"/>
          <w:spacing w:val="-7"/>
          <w:w w:val="105"/>
        </w:rPr>
        <w:t> </w:t>
      </w:r>
      <w:r>
        <w:rPr>
          <w:color w:val="231F20"/>
          <w:w w:val="105"/>
        </w:rPr>
        <w:t>hizo</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7"/>
          <w:w w:val="105"/>
        </w:rPr>
        <w:t> </w:t>
      </w:r>
      <w:r>
        <w:rPr>
          <w:color w:val="231F20"/>
          <w:w w:val="105"/>
        </w:rPr>
        <w:t>pro- mesa</w:t>
      </w:r>
      <w:r>
        <w:rPr>
          <w:color w:val="231F20"/>
          <w:spacing w:val="-12"/>
          <w:w w:val="105"/>
        </w:rPr>
        <w:t> </w:t>
      </w:r>
      <w:r>
        <w:rPr>
          <w:color w:val="231F20"/>
          <w:w w:val="105"/>
        </w:rPr>
        <w:t>de</w:t>
      </w:r>
      <w:r>
        <w:rPr>
          <w:color w:val="231F20"/>
          <w:spacing w:val="-12"/>
          <w:w w:val="105"/>
        </w:rPr>
        <w:t> </w:t>
      </w:r>
      <w:r>
        <w:rPr>
          <w:color w:val="231F20"/>
          <w:w w:val="105"/>
        </w:rPr>
        <w:t>poder</w:t>
      </w:r>
      <w:r>
        <w:rPr>
          <w:color w:val="231F20"/>
          <w:spacing w:val="-12"/>
          <w:w w:val="105"/>
        </w:rPr>
        <w:t> </w:t>
      </w:r>
      <w:r>
        <w:rPr>
          <w:color w:val="231F20"/>
          <w:w w:val="105"/>
        </w:rPr>
        <w:t>contribuir</w:t>
      </w:r>
      <w:r>
        <w:rPr>
          <w:color w:val="231F20"/>
          <w:spacing w:val="-12"/>
          <w:w w:val="105"/>
        </w:rPr>
        <w:t> </w:t>
      </w:r>
      <w:r>
        <w:rPr>
          <w:color w:val="231F20"/>
          <w:w w:val="105"/>
        </w:rPr>
        <w:t>con</w:t>
      </w:r>
      <w:r>
        <w:rPr>
          <w:color w:val="231F20"/>
          <w:spacing w:val="-12"/>
          <w:w w:val="105"/>
        </w:rPr>
        <w:t> </w:t>
      </w:r>
      <w:r>
        <w:rPr>
          <w:color w:val="231F20"/>
          <w:w w:val="105"/>
        </w:rPr>
        <w:t>los</w:t>
      </w:r>
      <w:r>
        <w:rPr>
          <w:color w:val="231F20"/>
          <w:spacing w:val="-12"/>
          <w:w w:val="105"/>
        </w:rPr>
        <w:t> </w:t>
      </w:r>
      <w:r>
        <w:rPr>
          <w:color w:val="231F20"/>
          <w:w w:val="105"/>
        </w:rPr>
        <w:t>gastos</w:t>
      </w:r>
      <w:r>
        <w:rPr>
          <w:color w:val="231F20"/>
          <w:spacing w:val="-12"/>
          <w:w w:val="105"/>
        </w:rPr>
        <w:t> </w:t>
      </w:r>
      <w:r>
        <w:rPr>
          <w:color w:val="231F20"/>
          <w:w w:val="105"/>
        </w:rPr>
        <w:t>del</w:t>
      </w:r>
      <w:r>
        <w:rPr>
          <w:color w:val="231F20"/>
          <w:spacing w:val="-12"/>
          <w:w w:val="105"/>
        </w:rPr>
        <w:t> </w:t>
      </w:r>
      <w:r>
        <w:rPr>
          <w:color w:val="231F20"/>
          <w:w w:val="105"/>
        </w:rPr>
        <w:t>hogar</w:t>
      </w:r>
      <w:r>
        <w:rPr>
          <w:color w:val="231F20"/>
          <w:spacing w:val="-12"/>
          <w:w w:val="105"/>
        </w:rPr>
        <w:t> </w:t>
      </w:r>
      <w:r>
        <w:rPr>
          <w:color w:val="231F20"/>
          <w:w w:val="105"/>
        </w:rPr>
        <w:t>del</w:t>
      </w:r>
      <w:r>
        <w:rPr>
          <w:color w:val="231F20"/>
          <w:spacing w:val="-12"/>
          <w:w w:val="105"/>
        </w:rPr>
        <w:t> </w:t>
      </w:r>
      <w:r>
        <w:rPr>
          <w:color w:val="231F20"/>
          <w:w w:val="105"/>
        </w:rPr>
        <w:t>cual</w:t>
      </w:r>
      <w:r>
        <w:rPr>
          <w:color w:val="231F20"/>
          <w:spacing w:val="-12"/>
          <w:w w:val="105"/>
        </w:rPr>
        <w:t> </w:t>
      </w:r>
      <w:r>
        <w:rPr>
          <w:color w:val="231F20"/>
          <w:w w:val="105"/>
        </w:rPr>
        <w:t>salía,</w:t>
      </w:r>
      <w:r>
        <w:rPr>
          <w:color w:val="231F20"/>
          <w:spacing w:val="-18"/>
          <w:w w:val="105"/>
        </w:rPr>
        <w:t> </w:t>
      </w:r>
      <w:r>
        <w:rPr>
          <w:color w:val="231F20"/>
          <w:w w:val="105"/>
        </w:rPr>
        <w:t>pero</w:t>
      </w:r>
      <w:r>
        <w:rPr>
          <w:color w:val="231F20"/>
          <w:spacing w:val="-12"/>
          <w:w w:val="105"/>
        </w:rPr>
        <w:t> </w:t>
      </w:r>
      <w:r>
        <w:rPr>
          <w:color w:val="231F20"/>
          <w:w w:val="105"/>
        </w:rPr>
        <w:t>en realidad</w:t>
      </w:r>
      <w:r>
        <w:rPr>
          <w:color w:val="231F20"/>
          <w:spacing w:val="-27"/>
          <w:w w:val="105"/>
        </w:rPr>
        <w:t> </w:t>
      </w:r>
      <w:r>
        <w:rPr>
          <w:color w:val="231F20"/>
          <w:w w:val="105"/>
        </w:rPr>
        <w:t>los</w:t>
      </w:r>
      <w:r>
        <w:rPr>
          <w:color w:val="231F20"/>
          <w:spacing w:val="-27"/>
          <w:w w:val="105"/>
        </w:rPr>
        <w:t> </w:t>
      </w:r>
      <w:r>
        <w:rPr>
          <w:color w:val="231F20"/>
          <w:w w:val="105"/>
        </w:rPr>
        <w:t>bajos</w:t>
      </w:r>
      <w:r>
        <w:rPr>
          <w:color w:val="231F20"/>
          <w:spacing w:val="-27"/>
          <w:w w:val="105"/>
        </w:rPr>
        <w:t> </w:t>
      </w:r>
      <w:r>
        <w:rPr>
          <w:color w:val="231F20"/>
          <w:w w:val="105"/>
        </w:rPr>
        <w:t>salarios</w:t>
      </w:r>
      <w:r>
        <w:rPr>
          <w:color w:val="231F20"/>
          <w:spacing w:val="-27"/>
          <w:w w:val="105"/>
        </w:rPr>
        <w:t> </w:t>
      </w:r>
      <w:r>
        <w:rPr>
          <w:color w:val="231F20"/>
          <w:w w:val="105"/>
        </w:rPr>
        <w:t>apenas</w:t>
      </w:r>
      <w:r>
        <w:rPr>
          <w:color w:val="231F20"/>
          <w:spacing w:val="-27"/>
          <w:w w:val="105"/>
        </w:rPr>
        <w:t> </w:t>
      </w:r>
      <w:r>
        <w:rPr>
          <w:color w:val="231F20"/>
          <w:w w:val="105"/>
        </w:rPr>
        <w:t>le</w:t>
      </w:r>
      <w:r>
        <w:rPr>
          <w:color w:val="231F20"/>
          <w:spacing w:val="-27"/>
          <w:w w:val="105"/>
        </w:rPr>
        <w:t> </w:t>
      </w:r>
      <w:r>
        <w:rPr>
          <w:color w:val="231F20"/>
          <w:w w:val="105"/>
        </w:rPr>
        <w:t>alcanzaron</w:t>
      </w:r>
      <w:r>
        <w:rPr>
          <w:color w:val="231F20"/>
          <w:spacing w:val="-27"/>
          <w:w w:val="105"/>
        </w:rPr>
        <w:t> </w:t>
      </w:r>
      <w:r>
        <w:rPr>
          <w:color w:val="231F20"/>
          <w:w w:val="105"/>
        </w:rPr>
        <w:t>para</w:t>
      </w:r>
      <w:r>
        <w:rPr>
          <w:color w:val="231F20"/>
          <w:spacing w:val="-27"/>
          <w:w w:val="105"/>
        </w:rPr>
        <w:t> </w:t>
      </w:r>
      <w:r>
        <w:rPr>
          <w:color w:val="231F20"/>
          <w:w w:val="105"/>
        </w:rPr>
        <w:t>sobrevivir:</w:t>
      </w:r>
    </w:p>
    <w:p>
      <w:pPr>
        <w:pStyle w:val="BodyText"/>
        <w:spacing w:before="7"/>
        <w:rPr>
          <w:sz w:val="18"/>
        </w:rPr>
      </w:pPr>
    </w:p>
    <w:p>
      <w:pPr>
        <w:spacing w:line="254" w:lineRule="auto" w:before="0"/>
        <w:ind w:left="2857" w:right="1829" w:firstLine="0"/>
        <w:jc w:val="both"/>
        <w:rPr>
          <w:sz w:val="18"/>
        </w:rPr>
      </w:pPr>
      <w:r>
        <w:rPr>
          <w:color w:val="231F20"/>
          <w:w w:val="105"/>
          <w:sz w:val="18"/>
        </w:rPr>
        <w:t>Al</w:t>
      </w:r>
      <w:r>
        <w:rPr>
          <w:color w:val="231F20"/>
          <w:spacing w:val="-5"/>
          <w:w w:val="105"/>
          <w:sz w:val="18"/>
        </w:rPr>
        <w:t> </w:t>
      </w:r>
      <w:r>
        <w:rPr>
          <w:color w:val="231F20"/>
          <w:w w:val="105"/>
          <w:sz w:val="18"/>
        </w:rPr>
        <w:t>llegar</w:t>
      </w:r>
      <w:r>
        <w:rPr>
          <w:color w:val="231F20"/>
          <w:spacing w:val="-5"/>
          <w:w w:val="105"/>
          <w:sz w:val="18"/>
        </w:rPr>
        <w:t> </w:t>
      </w:r>
      <w:r>
        <w:rPr>
          <w:color w:val="231F20"/>
          <w:w w:val="105"/>
          <w:sz w:val="18"/>
        </w:rPr>
        <w:t>a</w:t>
      </w:r>
      <w:r>
        <w:rPr>
          <w:color w:val="231F20"/>
          <w:spacing w:val="-5"/>
          <w:w w:val="105"/>
          <w:sz w:val="18"/>
        </w:rPr>
        <w:t> </w:t>
      </w:r>
      <w:r>
        <w:rPr>
          <w:color w:val="231F20"/>
          <w:w w:val="105"/>
          <w:sz w:val="18"/>
        </w:rPr>
        <w:t>Estados</w:t>
      </w:r>
      <w:r>
        <w:rPr>
          <w:color w:val="231F20"/>
          <w:spacing w:val="-5"/>
          <w:w w:val="105"/>
          <w:sz w:val="18"/>
        </w:rPr>
        <w:t> </w:t>
      </w:r>
      <w:r>
        <w:rPr>
          <w:color w:val="231F20"/>
          <w:w w:val="105"/>
          <w:sz w:val="18"/>
        </w:rPr>
        <w:t>Unidos</w:t>
      </w:r>
      <w:r>
        <w:rPr>
          <w:color w:val="231F20"/>
          <w:spacing w:val="-5"/>
          <w:w w:val="105"/>
          <w:sz w:val="18"/>
        </w:rPr>
        <w:t> </w:t>
      </w:r>
      <w:r>
        <w:rPr>
          <w:color w:val="231F20"/>
          <w:w w:val="105"/>
          <w:sz w:val="18"/>
        </w:rPr>
        <w:t>fuimos</w:t>
      </w:r>
      <w:r>
        <w:rPr>
          <w:color w:val="231F20"/>
          <w:spacing w:val="-5"/>
          <w:w w:val="105"/>
          <w:sz w:val="18"/>
        </w:rPr>
        <w:t> </w:t>
      </w:r>
      <w:r>
        <w:rPr>
          <w:color w:val="231F20"/>
          <w:w w:val="105"/>
          <w:sz w:val="18"/>
        </w:rPr>
        <w:t>recibidos</w:t>
      </w:r>
      <w:r>
        <w:rPr>
          <w:color w:val="231F20"/>
          <w:spacing w:val="-5"/>
          <w:w w:val="105"/>
          <w:sz w:val="18"/>
        </w:rPr>
        <w:t> </w:t>
      </w:r>
      <w:r>
        <w:rPr>
          <w:color w:val="231F20"/>
          <w:w w:val="105"/>
          <w:sz w:val="18"/>
        </w:rPr>
        <w:t>por</w:t>
      </w:r>
      <w:r>
        <w:rPr>
          <w:color w:val="231F20"/>
          <w:spacing w:val="-5"/>
          <w:w w:val="105"/>
          <w:sz w:val="18"/>
        </w:rPr>
        <w:t> </w:t>
      </w:r>
      <w:r>
        <w:rPr>
          <w:color w:val="231F20"/>
          <w:w w:val="105"/>
          <w:sz w:val="18"/>
        </w:rPr>
        <w:t>unos</w:t>
      </w:r>
      <w:r>
        <w:rPr>
          <w:color w:val="231F20"/>
          <w:spacing w:val="-5"/>
          <w:w w:val="105"/>
          <w:sz w:val="18"/>
        </w:rPr>
        <w:t> </w:t>
      </w:r>
      <w:r>
        <w:rPr>
          <w:color w:val="231F20"/>
          <w:w w:val="105"/>
          <w:sz w:val="18"/>
        </w:rPr>
        <w:t>conocidos</w:t>
      </w:r>
      <w:r>
        <w:rPr>
          <w:color w:val="231F20"/>
          <w:spacing w:val="-5"/>
          <w:w w:val="105"/>
          <w:sz w:val="18"/>
        </w:rPr>
        <w:t> </w:t>
      </w:r>
      <w:r>
        <w:rPr>
          <w:color w:val="231F20"/>
          <w:w w:val="105"/>
          <w:sz w:val="18"/>
        </w:rPr>
        <w:t>de</w:t>
      </w:r>
      <w:r>
        <w:rPr>
          <w:color w:val="231F20"/>
          <w:spacing w:val="-5"/>
          <w:w w:val="105"/>
          <w:sz w:val="18"/>
        </w:rPr>
        <w:t> </w:t>
      </w:r>
      <w:r>
        <w:rPr>
          <w:color w:val="231F20"/>
          <w:w w:val="105"/>
          <w:sz w:val="18"/>
        </w:rPr>
        <w:t>mi pueblo</w:t>
      </w:r>
      <w:r>
        <w:rPr>
          <w:color w:val="231F20"/>
          <w:spacing w:val="-8"/>
          <w:w w:val="105"/>
          <w:sz w:val="18"/>
        </w:rPr>
        <w:t> </w:t>
      </w:r>
      <w:r>
        <w:rPr>
          <w:color w:val="231F20"/>
          <w:w w:val="105"/>
          <w:sz w:val="18"/>
        </w:rPr>
        <w:t>en</w:t>
      </w:r>
      <w:r>
        <w:rPr>
          <w:color w:val="231F20"/>
          <w:spacing w:val="-8"/>
          <w:w w:val="105"/>
          <w:sz w:val="18"/>
        </w:rPr>
        <w:t> </w:t>
      </w:r>
      <w:r>
        <w:rPr>
          <w:color w:val="231F20"/>
          <w:w w:val="105"/>
          <w:sz w:val="18"/>
        </w:rPr>
        <w:t>Houston,</w:t>
      </w:r>
      <w:r>
        <w:rPr>
          <w:color w:val="231F20"/>
          <w:spacing w:val="-16"/>
          <w:w w:val="105"/>
          <w:sz w:val="18"/>
        </w:rPr>
        <w:t> </w:t>
      </w:r>
      <w:r>
        <w:rPr>
          <w:color w:val="231F20"/>
          <w:spacing w:val="-4"/>
          <w:w w:val="105"/>
          <w:sz w:val="18"/>
        </w:rPr>
        <w:t>Texas,</w:t>
      </w:r>
      <w:r>
        <w:rPr>
          <w:color w:val="231F20"/>
          <w:spacing w:val="-12"/>
          <w:w w:val="105"/>
          <w:sz w:val="18"/>
        </w:rPr>
        <w:t> </w:t>
      </w:r>
      <w:r>
        <w:rPr>
          <w:color w:val="231F20"/>
          <w:w w:val="105"/>
          <w:sz w:val="18"/>
        </w:rPr>
        <w:t>donde</w:t>
      </w:r>
      <w:r>
        <w:rPr>
          <w:color w:val="231F20"/>
          <w:spacing w:val="-8"/>
          <w:w w:val="105"/>
          <w:sz w:val="18"/>
        </w:rPr>
        <w:t> </w:t>
      </w:r>
      <w:r>
        <w:rPr>
          <w:color w:val="231F20"/>
          <w:w w:val="105"/>
          <w:sz w:val="18"/>
        </w:rPr>
        <w:t>descansamos,</w:t>
      </w:r>
      <w:r>
        <w:rPr>
          <w:color w:val="231F20"/>
          <w:spacing w:val="-12"/>
          <w:w w:val="105"/>
          <w:sz w:val="18"/>
        </w:rPr>
        <w:t> </w:t>
      </w:r>
      <w:r>
        <w:rPr>
          <w:color w:val="231F20"/>
          <w:w w:val="105"/>
          <w:sz w:val="18"/>
        </w:rPr>
        <w:t>comimos</w:t>
      </w:r>
      <w:r>
        <w:rPr>
          <w:color w:val="231F20"/>
          <w:spacing w:val="-8"/>
          <w:w w:val="105"/>
          <w:sz w:val="18"/>
        </w:rPr>
        <w:t> </w:t>
      </w:r>
      <w:r>
        <w:rPr>
          <w:color w:val="231F20"/>
          <w:w w:val="105"/>
          <w:sz w:val="18"/>
        </w:rPr>
        <w:t>algo;</w:t>
      </w:r>
      <w:r>
        <w:rPr>
          <w:color w:val="231F20"/>
          <w:spacing w:val="-8"/>
          <w:w w:val="105"/>
          <w:sz w:val="18"/>
        </w:rPr>
        <w:t> </w:t>
      </w:r>
      <w:r>
        <w:rPr>
          <w:color w:val="231F20"/>
          <w:w w:val="105"/>
          <w:sz w:val="18"/>
        </w:rPr>
        <w:t>y</w:t>
      </w:r>
      <w:r>
        <w:rPr>
          <w:color w:val="231F20"/>
          <w:spacing w:val="-8"/>
          <w:w w:val="105"/>
          <w:sz w:val="18"/>
        </w:rPr>
        <w:t> </w:t>
      </w:r>
      <w:r>
        <w:rPr>
          <w:color w:val="231F20"/>
          <w:w w:val="105"/>
          <w:sz w:val="18"/>
        </w:rPr>
        <w:t>otra vez</w:t>
      </w:r>
      <w:r>
        <w:rPr>
          <w:color w:val="231F20"/>
          <w:spacing w:val="-7"/>
          <w:w w:val="105"/>
          <w:sz w:val="18"/>
        </w:rPr>
        <w:t> </w:t>
      </w:r>
      <w:r>
        <w:rPr>
          <w:color w:val="231F20"/>
          <w:w w:val="105"/>
          <w:sz w:val="18"/>
        </w:rPr>
        <w:t>a</w:t>
      </w:r>
      <w:r>
        <w:rPr>
          <w:color w:val="231F20"/>
          <w:spacing w:val="-7"/>
          <w:w w:val="105"/>
          <w:sz w:val="18"/>
        </w:rPr>
        <w:t> </w:t>
      </w:r>
      <w:r>
        <w:rPr>
          <w:color w:val="231F20"/>
          <w:w w:val="105"/>
          <w:sz w:val="18"/>
        </w:rPr>
        <w:t>la</w:t>
      </w:r>
      <w:r>
        <w:rPr>
          <w:color w:val="231F20"/>
          <w:spacing w:val="-7"/>
          <w:w w:val="105"/>
          <w:sz w:val="18"/>
        </w:rPr>
        <w:t> </w:t>
      </w:r>
      <w:r>
        <w:rPr>
          <w:color w:val="231F20"/>
          <w:w w:val="105"/>
          <w:sz w:val="18"/>
        </w:rPr>
        <w:t>carretera</w:t>
      </w:r>
      <w:r>
        <w:rPr>
          <w:color w:val="231F20"/>
          <w:spacing w:val="-7"/>
          <w:w w:val="105"/>
          <w:sz w:val="18"/>
        </w:rPr>
        <w:t> </w:t>
      </w:r>
      <w:r>
        <w:rPr>
          <w:color w:val="231F20"/>
          <w:w w:val="105"/>
          <w:sz w:val="18"/>
        </w:rPr>
        <w:t>por</w:t>
      </w:r>
      <w:r>
        <w:rPr>
          <w:color w:val="231F20"/>
          <w:spacing w:val="-7"/>
          <w:w w:val="105"/>
          <w:sz w:val="18"/>
        </w:rPr>
        <w:t> </w:t>
      </w:r>
      <w:r>
        <w:rPr>
          <w:color w:val="231F20"/>
          <w:w w:val="105"/>
          <w:sz w:val="18"/>
        </w:rPr>
        <w:t>horas</w:t>
      </w:r>
      <w:r>
        <w:rPr>
          <w:color w:val="231F20"/>
          <w:spacing w:val="-7"/>
          <w:w w:val="105"/>
          <w:sz w:val="18"/>
        </w:rPr>
        <w:t> </w:t>
      </w:r>
      <w:r>
        <w:rPr>
          <w:color w:val="231F20"/>
          <w:w w:val="105"/>
          <w:sz w:val="18"/>
        </w:rPr>
        <w:t>y</w:t>
      </w:r>
      <w:r>
        <w:rPr>
          <w:color w:val="231F20"/>
          <w:spacing w:val="-7"/>
          <w:w w:val="105"/>
          <w:sz w:val="18"/>
        </w:rPr>
        <w:t> </w:t>
      </w:r>
      <w:r>
        <w:rPr>
          <w:color w:val="231F20"/>
          <w:w w:val="105"/>
          <w:sz w:val="18"/>
        </w:rPr>
        <w:t>horas</w:t>
      </w:r>
      <w:r>
        <w:rPr>
          <w:color w:val="231F20"/>
          <w:spacing w:val="-7"/>
          <w:w w:val="105"/>
          <w:sz w:val="18"/>
        </w:rPr>
        <w:t> </w:t>
      </w:r>
      <w:r>
        <w:rPr>
          <w:color w:val="231F20"/>
          <w:w w:val="105"/>
          <w:sz w:val="18"/>
        </w:rPr>
        <w:t>para</w:t>
      </w:r>
      <w:r>
        <w:rPr>
          <w:color w:val="231F20"/>
          <w:spacing w:val="-7"/>
          <w:w w:val="105"/>
          <w:sz w:val="18"/>
        </w:rPr>
        <w:t> </w:t>
      </w:r>
      <w:r>
        <w:rPr>
          <w:color w:val="231F20"/>
          <w:w w:val="105"/>
          <w:sz w:val="18"/>
        </w:rPr>
        <w:t>llegar</w:t>
      </w:r>
      <w:r>
        <w:rPr>
          <w:color w:val="231F20"/>
          <w:spacing w:val="-7"/>
          <w:w w:val="105"/>
          <w:sz w:val="18"/>
        </w:rPr>
        <w:t> </w:t>
      </w:r>
      <w:r>
        <w:rPr>
          <w:color w:val="231F20"/>
          <w:w w:val="105"/>
          <w:sz w:val="18"/>
        </w:rPr>
        <w:t>a</w:t>
      </w:r>
      <w:r>
        <w:rPr>
          <w:color w:val="231F20"/>
          <w:spacing w:val="-7"/>
          <w:w w:val="105"/>
          <w:sz w:val="18"/>
        </w:rPr>
        <w:t> </w:t>
      </w:r>
      <w:r>
        <w:rPr>
          <w:color w:val="231F20"/>
          <w:w w:val="105"/>
          <w:sz w:val="18"/>
        </w:rPr>
        <w:t>mi</w:t>
      </w:r>
      <w:r>
        <w:rPr>
          <w:color w:val="231F20"/>
          <w:spacing w:val="-7"/>
          <w:w w:val="105"/>
          <w:sz w:val="18"/>
        </w:rPr>
        <w:t> </w:t>
      </w:r>
      <w:r>
        <w:rPr>
          <w:color w:val="231F20"/>
          <w:w w:val="105"/>
          <w:sz w:val="18"/>
        </w:rPr>
        <w:t>destino.</w:t>
      </w:r>
      <w:r>
        <w:rPr>
          <w:color w:val="231F20"/>
          <w:spacing w:val="-12"/>
          <w:w w:val="105"/>
          <w:sz w:val="18"/>
        </w:rPr>
        <w:t> </w:t>
      </w:r>
      <w:r>
        <w:rPr>
          <w:color w:val="231F20"/>
          <w:w w:val="105"/>
          <w:sz w:val="18"/>
        </w:rPr>
        <w:t>Creo</w:t>
      </w:r>
      <w:r>
        <w:rPr>
          <w:color w:val="231F20"/>
          <w:spacing w:val="-7"/>
          <w:w w:val="105"/>
          <w:sz w:val="18"/>
        </w:rPr>
        <w:t> </w:t>
      </w:r>
      <w:r>
        <w:rPr>
          <w:color w:val="231F20"/>
          <w:w w:val="105"/>
          <w:sz w:val="18"/>
        </w:rPr>
        <w:t>fue- ron 14 horas para por fin llegar con mi hermano y otros conocidos a Kansas.</w:t>
      </w:r>
      <w:r>
        <w:rPr>
          <w:color w:val="231F20"/>
          <w:spacing w:val="-24"/>
          <w:w w:val="105"/>
          <w:sz w:val="18"/>
        </w:rPr>
        <w:t> </w:t>
      </w:r>
      <w:r>
        <w:rPr>
          <w:color w:val="231F20"/>
          <w:w w:val="105"/>
          <w:sz w:val="18"/>
        </w:rPr>
        <w:t>Ahí</w:t>
      </w:r>
      <w:r>
        <w:rPr>
          <w:color w:val="231F20"/>
          <w:spacing w:val="-17"/>
          <w:w w:val="105"/>
          <w:sz w:val="18"/>
        </w:rPr>
        <w:t> </w:t>
      </w:r>
      <w:r>
        <w:rPr>
          <w:color w:val="231F20"/>
          <w:w w:val="105"/>
          <w:sz w:val="18"/>
        </w:rPr>
        <w:t>empezó</w:t>
      </w:r>
      <w:r>
        <w:rPr>
          <w:color w:val="231F20"/>
          <w:spacing w:val="-17"/>
          <w:w w:val="105"/>
          <w:sz w:val="18"/>
        </w:rPr>
        <w:t> </w:t>
      </w:r>
      <w:r>
        <w:rPr>
          <w:color w:val="231F20"/>
          <w:w w:val="105"/>
          <w:sz w:val="18"/>
        </w:rPr>
        <w:t>mi</w:t>
      </w:r>
      <w:r>
        <w:rPr>
          <w:color w:val="231F20"/>
          <w:spacing w:val="-17"/>
          <w:w w:val="105"/>
          <w:sz w:val="18"/>
        </w:rPr>
        <w:t> </w:t>
      </w:r>
      <w:r>
        <w:rPr>
          <w:color w:val="231F20"/>
          <w:w w:val="105"/>
          <w:sz w:val="18"/>
        </w:rPr>
        <w:t>vida</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inmigrante,</w:t>
      </w:r>
      <w:r>
        <w:rPr>
          <w:color w:val="231F20"/>
          <w:spacing w:val="-21"/>
          <w:w w:val="105"/>
          <w:sz w:val="18"/>
        </w:rPr>
        <w:t> </w:t>
      </w:r>
      <w:r>
        <w:rPr>
          <w:color w:val="231F20"/>
          <w:w w:val="105"/>
          <w:sz w:val="18"/>
        </w:rPr>
        <w:t>porque</w:t>
      </w:r>
      <w:r>
        <w:rPr>
          <w:color w:val="231F20"/>
          <w:spacing w:val="-17"/>
          <w:w w:val="105"/>
          <w:sz w:val="18"/>
        </w:rPr>
        <w:t> </w:t>
      </w:r>
      <w:r>
        <w:rPr>
          <w:color w:val="231F20"/>
          <w:w w:val="105"/>
          <w:sz w:val="18"/>
        </w:rPr>
        <w:t>empecé</w:t>
      </w:r>
      <w:r>
        <w:rPr>
          <w:color w:val="231F20"/>
          <w:spacing w:val="-17"/>
          <w:w w:val="105"/>
          <w:sz w:val="18"/>
        </w:rPr>
        <w:t> </w:t>
      </w:r>
      <w:r>
        <w:rPr>
          <w:color w:val="231F20"/>
          <w:w w:val="105"/>
          <w:sz w:val="18"/>
        </w:rPr>
        <w:t>a</w:t>
      </w:r>
      <w:r>
        <w:rPr>
          <w:color w:val="231F20"/>
          <w:spacing w:val="-17"/>
          <w:w w:val="105"/>
          <w:sz w:val="18"/>
        </w:rPr>
        <w:t> </w:t>
      </w:r>
      <w:r>
        <w:rPr>
          <w:color w:val="231F20"/>
          <w:w w:val="105"/>
          <w:sz w:val="18"/>
        </w:rPr>
        <w:t>sufrir</w:t>
      </w:r>
      <w:r>
        <w:rPr>
          <w:color w:val="231F20"/>
          <w:spacing w:val="-17"/>
          <w:w w:val="105"/>
          <w:sz w:val="18"/>
        </w:rPr>
        <w:t> </w:t>
      </w:r>
      <w:r>
        <w:rPr>
          <w:color w:val="231F20"/>
          <w:w w:val="105"/>
          <w:sz w:val="18"/>
        </w:rPr>
        <w:t>con el cambio de la comida, pura comida china y americana y el clima ni se diga; pero ya estaba aquí, así que sufrir un poco no pasaba nada… me</w:t>
      </w:r>
      <w:r>
        <w:rPr>
          <w:color w:val="231F20"/>
          <w:spacing w:val="-8"/>
          <w:w w:val="105"/>
          <w:sz w:val="18"/>
        </w:rPr>
        <w:t> </w:t>
      </w:r>
      <w:r>
        <w:rPr>
          <w:color w:val="231F20"/>
          <w:w w:val="105"/>
          <w:sz w:val="18"/>
        </w:rPr>
        <w:t>fui</w:t>
      </w:r>
      <w:r>
        <w:rPr>
          <w:color w:val="231F20"/>
          <w:spacing w:val="-8"/>
          <w:w w:val="105"/>
          <w:sz w:val="18"/>
        </w:rPr>
        <w:t> </w:t>
      </w:r>
      <w:r>
        <w:rPr>
          <w:color w:val="231F20"/>
          <w:w w:val="105"/>
          <w:sz w:val="18"/>
        </w:rPr>
        <w:t>acostumbrando</w:t>
      </w:r>
      <w:r>
        <w:rPr>
          <w:color w:val="231F20"/>
          <w:spacing w:val="-8"/>
          <w:w w:val="105"/>
          <w:sz w:val="18"/>
        </w:rPr>
        <w:t> </w:t>
      </w:r>
      <w:r>
        <w:rPr>
          <w:color w:val="231F20"/>
          <w:w w:val="105"/>
          <w:sz w:val="18"/>
        </w:rPr>
        <w:t>a</w:t>
      </w:r>
      <w:r>
        <w:rPr>
          <w:color w:val="231F20"/>
          <w:spacing w:val="-8"/>
          <w:w w:val="105"/>
          <w:sz w:val="18"/>
        </w:rPr>
        <w:t> </w:t>
      </w:r>
      <w:r>
        <w:rPr>
          <w:color w:val="231F20"/>
          <w:w w:val="105"/>
          <w:sz w:val="18"/>
        </w:rPr>
        <w:t>convivir</w:t>
      </w:r>
      <w:r>
        <w:rPr>
          <w:color w:val="231F20"/>
          <w:spacing w:val="-8"/>
          <w:w w:val="105"/>
          <w:sz w:val="18"/>
        </w:rPr>
        <w:t> </w:t>
      </w:r>
      <w:r>
        <w:rPr>
          <w:color w:val="231F20"/>
          <w:w w:val="105"/>
          <w:sz w:val="18"/>
        </w:rPr>
        <w:t>con</w:t>
      </w:r>
      <w:r>
        <w:rPr>
          <w:color w:val="231F20"/>
          <w:spacing w:val="-8"/>
          <w:w w:val="105"/>
          <w:sz w:val="18"/>
        </w:rPr>
        <w:t> </w:t>
      </w:r>
      <w:r>
        <w:rPr>
          <w:color w:val="231F20"/>
          <w:w w:val="105"/>
          <w:sz w:val="18"/>
        </w:rPr>
        <w:t>la</w:t>
      </w:r>
      <w:r>
        <w:rPr>
          <w:color w:val="231F20"/>
          <w:spacing w:val="-8"/>
          <w:w w:val="105"/>
          <w:sz w:val="18"/>
        </w:rPr>
        <w:t> </w:t>
      </w:r>
      <w:r>
        <w:rPr>
          <w:color w:val="231F20"/>
          <w:w w:val="105"/>
          <w:sz w:val="18"/>
        </w:rPr>
        <w:t>familia</w:t>
      </w:r>
      <w:r>
        <w:rPr>
          <w:color w:val="231F20"/>
          <w:spacing w:val="-8"/>
          <w:w w:val="105"/>
          <w:sz w:val="18"/>
        </w:rPr>
        <w:t> </w:t>
      </w:r>
      <w:r>
        <w:rPr>
          <w:color w:val="231F20"/>
          <w:w w:val="105"/>
          <w:sz w:val="18"/>
        </w:rPr>
        <w:t>de</w:t>
      </w:r>
      <w:r>
        <w:rPr>
          <w:color w:val="231F20"/>
          <w:spacing w:val="-8"/>
          <w:w w:val="105"/>
          <w:sz w:val="18"/>
        </w:rPr>
        <w:t> </w:t>
      </w:r>
      <w:r>
        <w:rPr>
          <w:color w:val="231F20"/>
          <w:w w:val="105"/>
          <w:sz w:val="18"/>
        </w:rPr>
        <w:t>mi</w:t>
      </w:r>
      <w:r>
        <w:rPr>
          <w:color w:val="231F20"/>
          <w:spacing w:val="-8"/>
          <w:w w:val="105"/>
          <w:sz w:val="18"/>
        </w:rPr>
        <w:t> </w:t>
      </w:r>
      <w:r>
        <w:rPr>
          <w:color w:val="231F20"/>
          <w:w w:val="105"/>
          <w:sz w:val="18"/>
        </w:rPr>
        <w:t>hermano</w:t>
      </w:r>
      <w:r>
        <w:rPr>
          <w:color w:val="231F20"/>
          <w:spacing w:val="-8"/>
          <w:w w:val="105"/>
          <w:sz w:val="18"/>
        </w:rPr>
        <w:t> </w:t>
      </w:r>
      <w:r>
        <w:rPr>
          <w:color w:val="231F20"/>
          <w:w w:val="105"/>
          <w:sz w:val="18"/>
        </w:rPr>
        <w:t>que</w:t>
      </w:r>
      <w:r>
        <w:rPr>
          <w:color w:val="231F20"/>
          <w:spacing w:val="-8"/>
          <w:w w:val="105"/>
          <w:sz w:val="18"/>
        </w:rPr>
        <w:t> </w:t>
      </w:r>
      <w:r>
        <w:rPr>
          <w:color w:val="231F20"/>
          <w:w w:val="105"/>
          <w:sz w:val="18"/>
        </w:rPr>
        <w:t>era americana; y ni cómo platicar con ellos, nada… Un día amanecí y ya tenía trabajo con mi hermano en un restaurante chino, pero como no sabía</w:t>
      </w:r>
      <w:r>
        <w:rPr>
          <w:color w:val="231F20"/>
          <w:spacing w:val="-17"/>
          <w:w w:val="105"/>
          <w:sz w:val="18"/>
        </w:rPr>
        <w:t> </w:t>
      </w:r>
      <w:r>
        <w:rPr>
          <w:color w:val="231F20"/>
          <w:w w:val="105"/>
          <w:sz w:val="18"/>
        </w:rPr>
        <w:t>inglés</w:t>
      </w:r>
      <w:r>
        <w:rPr>
          <w:color w:val="231F20"/>
          <w:spacing w:val="-16"/>
          <w:w w:val="105"/>
          <w:sz w:val="18"/>
        </w:rPr>
        <w:t> </w:t>
      </w:r>
      <w:r>
        <w:rPr>
          <w:color w:val="231F20"/>
          <w:w w:val="105"/>
          <w:sz w:val="18"/>
        </w:rPr>
        <w:t>mi</w:t>
      </w:r>
      <w:r>
        <w:rPr>
          <w:color w:val="231F20"/>
          <w:spacing w:val="-17"/>
          <w:w w:val="105"/>
          <w:sz w:val="18"/>
        </w:rPr>
        <w:t> </w:t>
      </w:r>
      <w:r>
        <w:rPr>
          <w:color w:val="231F20"/>
          <w:w w:val="105"/>
          <w:sz w:val="18"/>
        </w:rPr>
        <w:t>trabajo</w:t>
      </w:r>
      <w:r>
        <w:rPr>
          <w:color w:val="231F20"/>
          <w:spacing w:val="-17"/>
          <w:w w:val="105"/>
          <w:sz w:val="18"/>
        </w:rPr>
        <w:t> </w:t>
      </w:r>
      <w:r>
        <w:rPr>
          <w:color w:val="231F20"/>
          <w:w w:val="105"/>
          <w:sz w:val="18"/>
        </w:rPr>
        <w:t>era</w:t>
      </w:r>
      <w:r>
        <w:rPr>
          <w:color w:val="231F20"/>
          <w:spacing w:val="-16"/>
          <w:w w:val="105"/>
          <w:sz w:val="18"/>
        </w:rPr>
        <w:t> </w:t>
      </w:r>
      <w:r>
        <w:rPr>
          <w:color w:val="231F20"/>
          <w:w w:val="105"/>
          <w:sz w:val="18"/>
        </w:rPr>
        <w:t>servir</w:t>
      </w:r>
      <w:r>
        <w:rPr>
          <w:color w:val="231F20"/>
          <w:spacing w:val="-16"/>
          <w:w w:val="105"/>
          <w:sz w:val="18"/>
        </w:rPr>
        <w:t> </w:t>
      </w:r>
      <w:r>
        <w:rPr>
          <w:color w:val="231F20"/>
          <w:w w:val="105"/>
          <w:sz w:val="18"/>
        </w:rPr>
        <w:t>agua</w:t>
      </w:r>
      <w:r>
        <w:rPr>
          <w:color w:val="231F20"/>
          <w:spacing w:val="-17"/>
          <w:w w:val="105"/>
          <w:sz w:val="18"/>
        </w:rPr>
        <w:t> </w:t>
      </w:r>
      <w:r>
        <w:rPr>
          <w:color w:val="231F20"/>
          <w:w w:val="105"/>
          <w:sz w:val="18"/>
        </w:rPr>
        <w:t>y</w:t>
      </w:r>
      <w:r>
        <w:rPr>
          <w:color w:val="231F20"/>
          <w:spacing w:val="-17"/>
          <w:w w:val="105"/>
          <w:sz w:val="18"/>
        </w:rPr>
        <w:t> </w:t>
      </w:r>
      <w:r>
        <w:rPr>
          <w:color w:val="231F20"/>
          <w:w w:val="105"/>
          <w:sz w:val="18"/>
        </w:rPr>
        <w:t>cambiar</w:t>
      </w:r>
      <w:r>
        <w:rPr>
          <w:color w:val="231F20"/>
          <w:spacing w:val="-16"/>
          <w:w w:val="105"/>
          <w:sz w:val="18"/>
        </w:rPr>
        <w:t> </w:t>
      </w:r>
      <w:r>
        <w:rPr>
          <w:color w:val="231F20"/>
          <w:w w:val="105"/>
          <w:sz w:val="18"/>
        </w:rPr>
        <w:t>la</w:t>
      </w:r>
      <w:r>
        <w:rPr>
          <w:color w:val="231F20"/>
          <w:spacing w:val="-17"/>
          <w:w w:val="105"/>
          <w:sz w:val="18"/>
        </w:rPr>
        <w:t> </w:t>
      </w:r>
      <w:r>
        <w:rPr>
          <w:color w:val="231F20"/>
          <w:w w:val="105"/>
          <w:sz w:val="18"/>
        </w:rPr>
        <w:t>comida</w:t>
      </w:r>
      <w:r>
        <w:rPr>
          <w:color w:val="231F20"/>
          <w:spacing w:val="-16"/>
          <w:w w:val="105"/>
          <w:sz w:val="18"/>
        </w:rPr>
        <w:t> </w:t>
      </w:r>
      <w:r>
        <w:rPr>
          <w:color w:val="231F20"/>
          <w:w w:val="105"/>
          <w:sz w:val="18"/>
        </w:rPr>
        <w:t>del</w:t>
      </w:r>
      <w:r>
        <w:rPr>
          <w:color w:val="231F20"/>
          <w:spacing w:val="-17"/>
          <w:w w:val="105"/>
          <w:sz w:val="18"/>
        </w:rPr>
        <w:t> </w:t>
      </w:r>
      <w:r>
        <w:rPr>
          <w:color w:val="231F20"/>
          <w:w w:val="105"/>
          <w:sz w:val="18"/>
        </w:rPr>
        <w:t>buffet,</w:t>
      </w:r>
      <w:r>
        <w:rPr>
          <w:color w:val="231F20"/>
          <w:spacing w:val="-22"/>
          <w:w w:val="105"/>
          <w:sz w:val="18"/>
        </w:rPr>
        <w:t> </w:t>
      </w:r>
      <w:r>
        <w:rPr>
          <w:color w:val="231F20"/>
          <w:w w:val="105"/>
          <w:sz w:val="18"/>
        </w:rPr>
        <w:t>lo que</w:t>
      </w:r>
      <w:r>
        <w:rPr>
          <w:color w:val="231F20"/>
          <w:spacing w:val="-19"/>
          <w:w w:val="105"/>
          <w:sz w:val="18"/>
        </w:rPr>
        <w:t> </w:t>
      </w:r>
      <w:r>
        <w:rPr>
          <w:color w:val="231F20"/>
          <w:w w:val="105"/>
          <w:sz w:val="18"/>
        </w:rPr>
        <w:t>ganaba</w:t>
      </w:r>
      <w:r>
        <w:rPr>
          <w:color w:val="231F20"/>
          <w:spacing w:val="-19"/>
          <w:w w:val="105"/>
          <w:sz w:val="18"/>
        </w:rPr>
        <w:t> </w:t>
      </w:r>
      <w:r>
        <w:rPr>
          <w:color w:val="231F20"/>
          <w:w w:val="105"/>
          <w:sz w:val="18"/>
        </w:rPr>
        <w:t>apenas</w:t>
      </w:r>
      <w:r>
        <w:rPr>
          <w:color w:val="231F20"/>
          <w:spacing w:val="-19"/>
          <w:w w:val="105"/>
          <w:sz w:val="18"/>
        </w:rPr>
        <w:t> </w:t>
      </w:r>
      <w:r>
        <w:rPr>
          <w:color w:val="231F20"/>
          <w:w w:val="105"/>
          <w:sz w:val="18"/>
        </w:rPr>
        <w:t>y</w:t>
      </w:r>
      <w:r>
        <w:rPr>
          <w:color w:val="231F20"/>
          <w:spacing w:val="-19"/>
          <w:w w:val="105"/>
          <w:sz w:val="18"/>
        </w:rPr>
        <w:t> </w:t>
      </w:r>
      <w:r>
        <w:rPr>
          <w:color w:val="231F20"/>
          <w:w w:val="105"/>
          <w:sz w:val="18"/>
        </w:rPr>
        <w:t>me</w:t>
      </w:r>
      <w:r>
        <w:rPr>
          <w:color w:val="231F20"/>
          <w:spacing w:val="-19"/>
          <w:w w:val="105"/>
          <w:sz w:val="18"/>
        </w:rPr>
        <w:t> </w:t>
      </w:r>
      <w:r>
        <w:rPr>
          <w:color w:val="231F20"/>
          <w:w w:val="105"/>
          <w:sz w:val="18"/>
        </w:rPr>
        <w:t>alcanzaba</w:t>
      </w:r>
      <w:r>
        <w:rPr>
          <w:color w:val="231F20"/>
          <w:spacing w:val="-19"/>
          <w:w w:val="105"/>
          <w:sz w:val="18"/>
        </w:rPr>
        <w:t> </w:t>
      </w:r>
      <w:r>
        <w:rPr>
          <w:color w:val="231F20"/>
          <w:w w:val="105"/>
          <w:sz w:val="18"/>
        </w:rPr>
        <w:t>para</w:t>
      </w:r>
      <w:r>
        <w:rPr>
          <w:color w:val="231F20"/>
          <w:spacing w:val="-19"/>
          <w:w w:val="105"/>
          <w:sz w:val="18"/>
        </w:rPr>
        <w:t> </w:t>
      </w:r>
      <w:r>
        <w:rPr>
          <w:color w:val="231F20"/>
          <w:w w:val="105"/>
          <w:sz w:val="18"/>
        </w:rPr>
        <w:t>mí.</w:t>
      </w:r>
    </w:p>
    <w:p>
      <w:pPr>
        <w:pStyle w:val="BodyText"/>
        <w:rPr>
          <w:sz w:val="18"/>
        </w:rPr>
      </w:pPr>
    </w:p>
    <w:p>
      <w:pPr>
        <w:pStyle w:val="BodyText"/>
        <w:rPr>
          <w:sz w:val="18"/>
        </w:rPr>
      </w:pPr>
    </w:p>
    <w:p>
      <w:pPr>
        <w:pStyle w:val="BodyText"/>
        <w:spacing w:before="2"/>
        <w:rPr>
          <w:sz w:val="26"/>
        </w:rPr>
      </w:pPr>
    </w:p>
    <w:p>
      <w:pPr>
        <w:pStyle w:val="Heading3"/>
        <w:ind w:left="1723"/>
      </w:pPr>
      <w:r>
        <w:rPr>
          <w:color w:val="231F20"/>
        </w:rPr>
        <w:t>Migración, remesas y producción de maíz nativo</w:t>
      </w:r>
    </w:p>
    <w:p>
      <w:pPr>
        <w:pStyle w:val="BodyText"/>
        <w:rPr>
          <w:rFonts w:ascii="Arial"/>
          <w:b/>
          <w:sz w:val="22"/>
        </w:rPr>
      </w:pPr>
    </w:p>
    <w:p>
      <w:pPr>
        <w:pStyle w:val="BodyText"/>
        <w:spacing w:line="261" w:lineRule="auto" w:before="163"/>
        <w:ind w:left="1723" w:right="1834"/>
        <w:jc w:val="both"/>
      </w:pPr>
      <w:r>
        <w:rPr>
          <w:color w:val="231F20"/>
          <w:w w:val="105"/>
        </w:rPr>
        <w:t>Del</w:t>
      </w:r>
      <w:r>
        <w:rPr>
          <w:color w:val="231F20"/>
          <w:spacing w:val="-14"/>
          <w:w w:val="105"/>
        </w:rPr>
        <w:t> </w:t>
      </w:r>
      <w:r>
        <w:rPr>
          <w:color w:val="231F20"/>
          <w:w w:val="105"/>
        </w:rPr>
        <w:t>total</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unidades</w:t>
      </w:r>
      <w:r>
        <w:rPr>
          <w:color w:val="231F20"/>
          <w:spacing w:val="-14"/>
          <w:w w:val="105"/>
        </w:rPr>
        <w:t> </w:t>
      </w:r>
      <w:r>
        <w:rPr>
          <w:color w:val="231F20"/>
          <w:w w:val="105"/>
        </w:rPr>
        <w:t>domésticas</w:t>
      </w:r>
      <w:r>
        <w:rPr>
          <w:color w:val="231F20"/>
          <w:spacing w:val="-14"/>
          <w:w w:val="105"/>
        </w:rPr>
        <w:t> </w:t>
      </w:r>
      <w:r>
        <w:rPr>
          <w:color w:val="231F20"/>
          <w:w w:val="105"/>
        </w:rPr>
        <w:t>entrevistadas</w:t>
      </w:r>
      <w:r>
        <w:rPr>
          <w:color w:val="231F20"/>
          <w:spacing w:val="-14"/>
          <w:w w:val="105"/>
        </w:rPr>
        <w:t> </w:t>
      </w:r>
      <w:r>
        <w:rPr>
          <w:color w:val="231F20"/>
          <w:w w:val="105"/>
        </w:rPr>
        <w:t>sólo</w:t>
      </w:r>
      <w:r>
        <w:rPr>
          <w:color w:val="231F20"/>
          <w:spacing w:val="-14"/>
          <w:w w:val="105"/>
        </w:rPr>
        <w:t> </w:t>
      </w:r>
      <w:r>
        <w:rPr>
          <w:color w:val="231F20"/>
          <w:w w:val="105"/>
        </w:rPr>
        <w:t>en</w:t>
      </w:r>
      <w:r>
        <w:rPr>
          <w:color w:val="231F20"/>
          <w:spacing w:val="-14"/>
          <w:w w:val="105"/>
        </w:rPr>
        <w:t> </w:t>
      </w:r>
      <w:r>
        <w:rPr>
          <w:color w:val="231F20"/>
          <w:w w:val="105"/>
        </w:rPr>
        <w:t>dos</w:t>
      </w:r>
      <w:r>
        <w:rPr>
          <w:color w:val="231F20"/>
          <w:spacing w:val="-14"/>
          <w:w w:val="105"/>
        </w:rPr>
        <w:t> </w:t>
      </w:r>
      <w:r>
        <w:rPr>
          <w:color w:val="231F20"/>
          <w:w w:val="105"/>
        </w:rPr>
        <w:t>casos</w:t>
      </w:r>
      <w:r>
        <w:rPr>
          <w:color w:val="231F20"/>
          <w:spacing w:val="-14"/>
          <w:w w:val="105"/>
        </w:rPr>
        <w:t> </w:t>
      </w:r>
      <w:r>
        <w:rPr>
          <w:color w:val="231F20"/>
          <w:w w:val="105"/>
        </w:rPr>
        <w:t>se registra</w:t>
      </w:r>
      <w:r>
        <w:rPr>
          <w:color w:val="231F20"/>
          <w:spacing w:val="-26"/>
          <w:w w:val="105"/>
        </w:rPr>
        <w:t> </w:t>
      </w:r>
      <w:r>
        <w:rPr>
          <w:color w:val="231F20"/>
          <w:w w:val="105"/>
        </w:rPr>
        <w:t>la</w:t>
      </w:r>
      <w:r>
        <w:rPr>
          <w:color w:val="231F20"/>
          <w:spacing w:val="-26"/>
          <w:w w:val="105"/>
        </w:rPr>
        <w:t> </w:t>
      </w:r>
      <w:r>
        <w:rPr>
          <w:color w:val="231F20"/>
          <w:w w:val="105"/>
        </w:rPr>
        <w:t>recepción</w:t>
      </w:r>
      <w:r>
        <w:rPr>
          <w:color w:val="231F20"/>
          <w:spacing w:val="-26"/>
          <w:w w:val="105"/>
        </w:rPr>
        <w:t> </w:t>
      </w:r>
      <w:r>
        <w:rPr>
          <w:color w:val="231F20"/>
          <w:w w:val="105"/>
        </w:rPr>
        <w:t>de</w:t>
      </w:r>
      <w:r>
        <w:rPr>
          <w:color w:val="231F20"/>
          <w:spacing w:val="-26"/>
          <w:w w:val="105"/>
        </w:rPr>
        <w:t> </w:t>
      </w:r>
      <w:r>
        <w:rPr>
          <w:color w:val="231F20"/>
          <w:w w:val="105"/>
        </w:rPr>
        <w:t>remesas</w:t>
      </w:r>
      <w:r>
        <w:rPr>
          <w:color w:val="231F20"/>
          <w:spacing w:val="-26"/>
          <w:w w:val="105"/>
        </w:rPr>
        <w:t> </w:t>
      </w:r>
      <w:r>
        <w:rPr>
          <w:color w:val="231F20"/>
          <w:w w:val="105"/>
        </w:rPr>
        <w:t>de</w:t>
      </w:r>
      <w:r>
        <w:rPr>
          <w:color w:val="231F20"/>
          <w:spacing w:val="-26"/>
          <w:w w:val="105"/>
        </w:rPr>
        <w:t> </w:t>
      </w:r>
      <w:r>
        <w:rPr>
          <w:color w:val="231F20"/>
          <w:w w:val="105"/>
        </w:rPr>
        <w:t>manera</w:t>
      </w:r>
      <w:r>
        <w:rPr>
          <w:color w:val="231F20"/>
          <w:spacing w:val="-26"/>
          <w:w w:val="105"/>
        </w:rPr>
        <w:t> </w:t>
      </w:r>
      <w:r>
        <w:rPr>
          <w:color w:val="231F20"/>
          <w:w w:val="105"/>
        </w:rPr>
        <w:t>periódica,</w:t>
      </w:r>
      <w:r>
        <w:rPr>
          <w:color w:val="231F20"/>
          <w:spacing w:val="-31"/>
          <w:w w:val="105"/>
        </w:rPr>
        <w:t> </w:t>
      </w:r>
      <w:r>
        <w:rPr>
          <w:color w:val="231F20"/>
          <w:w w:val="105"/>
        </w:rPr>
        <w:t>esto</w:t>
      </w:r>
      <w:r>
        <w:rPr>
          <w:color w:val="231F20"/>
          <w:spacing w:val="-26"/>
          <w:w w:val="105"/>
        </w:rPr>
        <w:t> </w:t>
      </w:r>
      <w:r>
        <w:rPr>
          <w:color w:val="231F20"/>
          <w:w w:val="105"/>
        </w:rPr>
        <w:t>es</w:t>
      </w:r>
      <w:r>
        <w:rPr>
          <w:color w:val="231F20"/>
          <w:spacing w:val="-26"/>
          <w:w w:val="105"/>
        </w:rPr>
        <w:t> </w:t>
      </w:r>
      <w:r>
        <w:rPr>
          <w:color w:val="231F20"/>
          <w:w w:val="105"/>
        </w:rPr>
        <w:t>de</w:t>
      </w:r>
      <w:r>
        <w:rPr>
          <w:color w:val="231F20"/>
          <w:spacing w:val="-26"/>
          <w:w w:val="105"/>
        </w:rPr>
        <w:t> </w:t>
      </w:r>
      <w:r>
        <w:rPr>
          <w:color w:val="231F20"/>
          <w:w w:val="105"/>
        </w:rPr>
        <w:t>manera quincenal.</w:t>
      </w:r>
      <w:r>
        <w:rPr>
          <w:color w:val="231F20"/>
          <w:spacing w:val="-26"/>
          <w:w w:val="105"/>
        </w:rPr>
        <w:t> </w:t>
      </w:r>
      <w:r>
        <w:rPr>
          <w:color w:val="231F20"/>
          <w:w w:val="105"/>
        </w:rPr>
        <w:t>Sin</w:t>
      </w:r>
      <w:r>
        <w:rPr>
          <w:color w:val="231F20"/>
          <w:spacing w:val="-21"/>
          <w:w w:val="105"/>
        </w:rPr>
        <w:t> </w:t>
      </w:r>
      <w:r>
        <w:rPr>
          <w:color w:val="231F20"/>
          <w:w w:val="105"/>
        </w:rPr>
        <w:t>embargo,</w:t>
      </w:r>
      <w:r>
        <w:rPr>
          <w:color w:val="231F20"/>
          <w:spacing w:val="-26"/>
          <w:w w:val="105"/>
        </w:rPr>
        <w:t> </w:t>
      </w:r>
      <w:r>
        <w:rPr>
          <w:color w:val="231F20"/>
          <w:w w:val="105"/>
        </w:rPr>
        <w:t>ello</w:t>
      </w:r>
      <w:r>
        <w:rPr>
          <w:color w:val="231F20"/>
          <w:spacing w:val="-21"/>
          <w:w w:val="105"/>
        </w:rPr>
        <w:t> </w:t>
      </w:r>
      <w:r>
        <w:rPr>
          <w:color w:val="231F20"/>
          <w:w w:val="105"/>
        </w:rPr>
        <w:t>obedece</w:t>
      </w:r>
      <w:r>
        <w:rPr>
          <w:color w:val="231F20"/>
          <w:spacing w:val="-21"/>
          <w:w w:val="105"/>
        </w:rPr>
        <w:t> </w:t>
      </w:r>
      <w:r>
        <w:rPr>
          <w:color w:val="231F20"/>
          <w:w w:val="105"/>
        </w:rPr>
        <w:t>a</w:t>
      </w:r>
      <w:r>
        <w:rPr>
          <w:color w:val="231F20"/>
          <w:spacing w:val="-21"/>
          <w:w w:val="105"/>
        </w:rPr>
        <w:t> </w:t>
      </w:r>
      <w:r>
        <w:rPr>
          <w:color w:val="231F20"/>
          <w:w w:val="105"/>
        </w:rPr>
        <w:t>que</w:t>
      </w:r>
      <w:r>
        <w:rPr>
          <w:color w:val="231F20"/>
          <w:spacing w:val="-21"/>
          <w:w w:val="105"/>
        </w:rPr>
        <w:t> </w:t>
      </w:r>
      <w:r>
        <w:rPr>
          <w:color w:val="231F20"/>
          <w:w w:val="105"/>
        </w:rPr>
        <w:t>los</w:t>
      </w:r>
      <w:r>
        <w:rPr>
          <w:color w:val="231F20"/>
          <w:spacing w:val="-21"/>
          <w:w w:val="105"/>
        </w:rPr>
        <w:t> </w:t>
      </w:r>
      <w:r>
        <w:rPr>
          <w:color w:val="231F20"/>
          <w:w w:val="105"/>
        </w:rPr>
        <w:t>migrantes</w:t>
      </w:r>
      <w:r>
        <w:rPr>
          <w:color w:val="231F20"/>
          <w:spacing w:val="-21"/>
          <w:w w:val="105"/>
        </w:rPr>
        <w:t> </w:t>
      </w:r>
      <w:r>
        <w:rPr>
          <w:color w:val="231F20"/>
          <w:w w:val="105"/>
        </w:rPr>
        <w:t>son</w:t>
      </w:r>
      <w:r>
        <w:rPr>
          <w:color w:val="231F20"/>
          <w:spacing w:val="-21"/>
          <w:w w:val="105"/>
        </w:rPr>
        <w:t> </w:t>
      </w:r>
      <w:r>
        <w:rPr>
          <w:color w:val="231F20"/>
          <w:w w:val="105"/>
        </w:rPr>
        <w:t>los</w:t>
      </w:r>
      <w:r>
        <w:rPr>
          <w:color w:val="231F20"/>
          <w:spacing w:val="-21"/>
          <w:w w:val="105"/>
        </w:rPr>
        <w:t> </w:t>
      </w:r>
      <w:r>
        <w:rPr>
          <w:color w:val="231F20"/>
          <w:w w:val="105"/>
        </w:rPr>
        <w:t>padres de los hijos que permanecen en la comunidad de origen. En otras tres unidades donde mencionaron recibir alguna remesa, se trata de</w:t>
      </w:r>
      <w:r>
        <w:rPr>
          <w:color w:val="231F20"/>
          <w:spacing w:val="-23"/>
          <w:w w:val="105"/>
        </w:rPr>
        <w:t> </w:t>
      </w:r>
      <w:r>
        <w:rPr>
          <w:color w:val="231F20"/>
          <w:w w:val="105"/>
        </w:rPr>
        <w:t>envíos realizados</w:t>
      </w:r>
      <w:r>
        <w:rPr>
          <w:color w:val="231F20"/>
          <w:spacing w:val="-11"/>
          <w:w w:val="105"/>
        </w:rPr>
        <w:t> </w:t>
      </w:r>
      <w:r>
        <w:rPr>
          <w:color w:val="231F20"/>
          <w:w w:val="105"/>
        </w:rPr>
        <w:t>una,</w:t>
      </w:r>
      <w:r>
        <w:rPr>
          <w:color w:val="231F20"/>
          <w:spacing w:val="-16"/>
          <w:w w:val="105"/>
        </w:rPr>
        <w:t> </w:t>
      </w:r>
      <w:r>
        <w:rPr>
          <w:color w:val="231F20"/>
          <w:w w:val="105"/>
        </w:rPr>
        <w:t>dos</w:t>
      </w:r>
      <w:r>
        <w:rPr>
          <w:color w:val="231F20"/>
          <w:spacing w:val="-11"/>
          <w:w w:val="105"/>
        </w:rPr>
        <w:t> </w:t>
      </w:r>
      <w:r>
        <w:rPr>
          <w:color w:val="231F20"/>
          <w:w w:val="105"/>
        </w:rPr>
        <w:t>o</w:t>
      </w:r>
      <w:r>
        <w:rPr>
          <w:color w:val="231F20"/>
          <w:spacing w:val="-11"/>
          <w:w w:val="105"/>
        </w:rPr>
        <w:t> </w:t>
      </w:r>
      <w:r>
        <w:rPr>
          <w:color w:val="231F20"/>
          <w:w w:val="105"/>
        </w:rPr>
        <w:t>tres</w:t>
      </w:r>
      <w:r>
        <w:rPr>
          <w:color w:val="231F20"/>
          <w:spacing w:val="-11"/>
          <w:w w:val="105"/>
        </w:rPr>
        <w:t> </w:t>
      </w:r>
      <w:r>
        <w:rPr>
          <w:color w:val="231F20"/>
          <w:w w:val="105"/>
        </w:rPr>
        <w:t>veces</w:t>
      </w:r>
      <w:r>
        <w:rPr>
          <w:color w:val="231F20"/>
          <w:spacing w:val="-11"/>
          <w:w w:val="105"/>
        </w:rPr>
        <w:t> </w:t>
      </w:r>
      <w:r>
        <w:rPr>
          <w:color w:val="231F20"/>
          <w:w w:val="105"/>
        </w:rPr>
        <w:t>al</w:t>
      </w:r>
      <w:r>
        <w:rPr>
          <w:color w:val="231F20"/>
          <w:spacing w:val="-11"/>
          <w:w w:val="105"/>
        </w:rPr>
        <w:t> </w:t>
      </w:r>
      <w:r>
        <w:rPr>
          <w:color w:val="231F20"/>
          <w:w w:val="105"/>
        </w:rPr>
        <w:t>año,</w:t>
      </w:r>
      <w:r>
        <w:rPr>
          <w:color w:val="231F20"/>
          <w:spacing w:val="-16"/>
          <w:w w:val="105"/>
        </w:rPr>
        <w:t> </w:t>
      </w:r>
      <w:r>
        <w:rPr>
          <w:color w:val="231F20"/>
          <w:w w:val="105"/>
        </w:rPr>
        <w:t>principalmente</w:t>
      </w:r>
      <w:r>
        <w:rPr>
          <w:color w:val="231F20"/>
          <w:spacing w:val="-11"/>
          <w:w w:val="105"/>
        </w:rPr>
        <w:t> </w:t>
      </w:r>
      <w:r>
        <w:rPr>
          <w:color w:val="231F20"/>
          <w:w w:val="105"/>
        </w:rPr>
        <w:t>cuando</w:t>
      </w:r>
      <w:r>
        <w:rPr>
          <w:color w:val="231F20"/>
          <w:spacing w:val="-11"/>
          <w:w w:val="105"/>
        </w:rPr>
        <w:t> </w:t>
      </w:r>
      <w:r>
        <w:rPr>
          <w:color w:val="231F20"/>
          <w:w w:val="105"/>
        </w:rPr>
        <w:t>el</w:t>
      </w:r>
      <w:r>
        <w:rPr>
          <w:color w:val="231F20"/>
          <w:spacing w:val="-11"/>
          <w:w w:val="105"/>
        </w:rPr>
        <w:t> </w:t>
      </w:r>
      <w:r>
        <w:rPr>
          <w:color w:val="231F20"/>
          <w:w w:val="105"/>
        </w:rPr>
        <w:t>apoyo es</w:t>
      </w:r>
      <w:r>
        <w:rPr>
          <w:color w:val="231F20"/>
          <w:spacing w:val="-18"/>
          <w:w w:val="105"/>
        </w:rPr>
        <w:t> </w:t>
      </w:r>
      <w:r>
        <w:rPr>
          <w:color w:val="231F20"/>
          <w:w w:val="105"/>
        </w:rPr>
        <w:t>solicitado</w:t>
      </w:r>
      <w:r>
        <w:rPr>
          <w:color w:val="231F20"/>
          <w:spacing w:val="-18"/>
          <w:w w:val="105"/>
        </w:rPr>
        <w:t> </w:t>
      </w:r>
      <w:r>
        <w:rPr>
          <w:color w:val="231F20"/>
          <w:w w:val="105"/>
        </w:rPr>
        <w:t>de</w:t>
      </w:r>
      <w:r>
        <w:rPr>
          <w:color w:val="231F20"/>
          <w:spacing w:val="-18"/>
          <w:w w:val="105"/>
        </w:rPr>
        <w:t> </w:t>
      </w:r>
      <w:r>
        <w:rPr>
          <w:color w:val="231F20"/>
          <w:w w:val="105"/>
        </w:rPr>
        <w:t>manera</w:t>
      </w:r>
      <w:r>
        <w:rPr>
          <w:color w:val="231F20"/>
          <w:spacing w:val="-18"/>
          <w:w w:val="105"/>
        </w:rPr>
        <w:t> </w:t>
      </w:r>
      <w:r>
        <w:rPr>
          <w:color w:val="231F20"/>
          <w:w w:val="105"/>
        </w:rPr>
        <w:t>explícita.</w:t>
      </w:r>
    </w:p>
    <w:p>
      <w:pPr>
        <w:pStyle w:val="BodyText"/>
        <w:spacing w:line="261" w:lineRule="auto" w:before="1"/>
        <w:ind w:left="1723" w:right="1828" w:firstLine="567"/>
        <w:jc w:val="both"/>
      </w:pPr>
      <w:r>
        <w:rPr>
          <w:color w:val="231F20"/>
          <w:w w:val="105"/>
        </w:rPr>
        <w:t>Las remesas son invertidas principalmente en alimento, vestido, calzado</w:t>
      </w:r>
      <w:r>
        <w:rPr>
          <w:color w:val="231F20"/>
          <w:spacing w:val="-4"/>
          <w:w w:val="105"/>
        </w:rPr>
        <w:t> </w:t>
      </w:r>
      <w:r>
        <w:rPr>
          <w:color w:val="231F20"/>
          <w:w w:val="105"/>
        </w:rPr>
        <w:t>y</w:t>
      </w:r>
      <w:r>
        <w:rPr>
          <w:color w:val="231F20"/>
          <w:spacing w:val="-4"/>
          <w:w w:val="105"/>
        </w:rPr>
        <w:t> </w:t>
      </w:r>
      <w:r>
        <w:rPr>
          <w:color w:val="231F20"/>
          <w:w w:val="105"/>
        </w:rPr>
        <w:t>escuela,</w:t>
      </w:r>
      <w:r>
        <w:rPr>
          <w:color w:val="231F20"/>
          <w:spacing w:val="-10"/>
          <w:w w:val="105"/>
        </w:rPr>
        <w:t> </w:t>
      </w:r>
      <w:r>
        <w:rPr>
          <w:color w:val="231F20"/>
          <w:w w:val="105"/>
        </w:rPr>
        <w:t>como</w:t>
      </w:r>
      <w:r>
        <w:rPr>
          <w:color w:val="231F20"/>
          <w:spacing w:val="-4"/>
          <w:w w:val="105"/>
        </w:rPr>
        <w:t> </w:t>
      </w:r>
      <w:r>
        <w:rPr>
          <w:color w:val="231F20"/>
          <w:w w:val="105"/>
        </w:rPr>
        <w:t>lo</w:t>
      </w:r>
      <w:r>
        <w:rPr>
          <w:color w:val="231F20"/>
          <w:spacing w:val="-4"/>
          <w:w w:val="105"/>
        </w:rPr>
        <w:t> </w:t>
      </w:r>
      <w:r>
        <w:rPr>
          <w:color w:val="231F20"/>
          <w:w w:val="105"/>
        </w:rPr>
        <w:t>refiere</w:t>
      </w:r>
      <w:r>
        <w:rPr>
          <w:color w:val="231F20"/>
          <w:spacing w:val="-4"/>
          <w:w w:val="105"/>
        </w:rPr>
        <w:t> </w:t>
      </w:r>
      <w:r>
        <w:rPr>
          <w:color w:val="231F20"/>
          <w:w w:val="105"/>
        </w:rPr>
        <w:t>Durand,</w:t>
      </w:r>
      <w:r>
        <w:rPr>
          <w:color w:val="231F20"/>
          <w:spacing w:val="-10"/>
          <w:w w:val="105"/>
        </w:rPr>
        <w:t> </w:t>
      </w:r>
      <w:r>
        <w:rPr>
          <w:color w:val="231F20"/>
          <w:w w:val="105"/>
        </w:rPr>
        <w:t>“la</w:t>
      </w:r>
      <w:r>
        <w:rPr>
          <w:color w:val="231F20"/>
          <w:spacing w:val="-4"/>
          <w:w w:val="105"/>
        </w:rPr>
        <w:t> </w:t>
      </w:r>
      <w:r>
        <w:rPr>
          <w:color w:val="231F20"/>
          <w:w w:val="105"/>
        </w:rPr>
        <w:t>mayor</w:t>
      </w:r>
      <w:r>
        <w:rPr>
          <w:color w:val="231F20"/>
          <w:spacing w:val="-4"/>
          <w:w w:val="105"/>
        </w:rPr>
        <w:t> </w:t>
      </w:r>
      <w:r>
        <w:rPr>
          <w:color w:val="231F20"/>
          <w:w w:val="105"/>
        </w:rPr>
        <w:t>parte</w:t>
      </w:r>
      <w:r>
        <w:rPr>
          <w:color w:val="231F20"/>
          <w:spacing w:val="-4"/>
          <w:w w:val="105"/>
        </w:rPr>
        <w:t> </w:t>
      </w:r>
      <w:r>
        <w:rPr>
          <w:color w:val="231F20"/>
          <w:w w:val="105"/>
        </w:rPr>
        <w:t>de</w:t>
      </w:r>
      <w:r>
        <w:rPr>
          <w:color w:val="231F20"/>
          <w:spacing w:val="-4"/>
          <w:w w:val="105"/>
        </w:rPr>
        <w:t> </w:t>
      </w:r>
      <w:r>
        <w:rPr>
          <w:color w:val="231F20"/>
          <w:w w:val="105"/>
        </w:rPr>
        <w:t>esta</w:t>
      </w:r>
      <w:r>
        <w:rPr>
          <w:color w:val="231F20"/>
          <w:spacing w:val="-4"/>
          <w:w w:val="105"/>
        </w:rPr>
        <w:t> </w:t>
      </w:r>
      <w:r>
        <w:rPr>
          <w:color w:val="231F20"/>
          <w:w w:val="105"/>
        </w:rPr>
        <w:t>can- tidad</w:t>
      </w:r>
      <w:r>
        <w:rPr>
          <w:color w:val="231F20"/>
          <w:spacing w:val="-10"/>
          <w:w w:val="105"/>
        </w:rPr>
        <w:t> </w:t>
      </w:r>
      <w:r>
        <w:rPr>
          <w:color w:val="231F20"/>
          <w:w w:val="105"/>
        </w:rPr>
        <w:t>de</w:t>
      </w:r>
      <w:r>
        <w:rPr>
          <w:color w:val="231F20"/>
          <w:spacing w:val="-10"/>
          <w:w w:val="105"/>
        </w:rPr>
        <w:t> </w:t>
      </w:r>
      <w:r>
        <w:rPr>
          <w:color w:val="231F20"/>
          <w:w w:val="105"/>
        </w:rPr>
        <w:t>dólares</w:t>
      </w:r>
      <w:r>
        <w:rPr>
          <w:color w:val="231F20"/>
          <w:spacing w:val="-10"/>
          <w:w w:val="105"/>
        </w:rPr>
        <w:t> </w:t>
      </w:r>
      <w:r>
        <w:rPr>
          <w:color w:val="231F20"/>
          <w:w w:val="105"/>
        </w:rPr>
        <w:t>se</w:t>
      </w:r>
      <w:r>
        <w:rPr>
          <w:color w:val="231F20"/>
          <w:spacing w:val="-10"/>
          <w:w w:val="105"/>
        </w:rPr>
        <w:t> </w:t>
      </w:r>
      <w:r>
        <w:rPr>
          <w:color w:val="231F20"/>
          <w:w w:val="105"/>
        </w:rPr>
        <w:t>destina</w:t>
      </w:r>
      <w:r>
        <w:rPr>
          <w:color w:val="231F20"/>
          <w:spacing w:val="-10"/>
          <w:w w:val="105"/>
        </w:rPr>
        <w:t> </w:t>
      </w:r>
      <w:r>
        <w:rPr>
          <w:color w:val="231F20"/>
          <w:w w:val="105"/>
        </w:rPr>
        <w:t>al</w:t>
      </w:r>
      <w:r>
        <w:rPr>
          <w:color w:val="231F20"/>
          <w:spacing w:val="-10"/>
          <w:w w:val="105"/>
        </w:rPr>
        <w:t> </w:t>
      </w:r>
      <w:r>
        <w:rPr>
          <w:color w:val="231F20"/>
          <w:w w:val="105"/>
        </w:rPr>
        <w:t>consumo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carne,</w:t>
      </w:r>
      <w:r>
        <w:rPr>
          <w:color w:val="231F20"/>
          <w:spacing w:val="-15"/>
          <w:w w:val="105"/>
        </w:rPr>
        <w:t> </w:t>
      </w:r>
      <w:r>
        <w:rPr>
          <w:color w:val="231F20"/>
          <w:w w:val="105"/>
        </w:rPr>
        <w:t>ropa,</w:t>
      </w:r>
      <w:r>
        <w:rPr>
          <w:color w:val="231F20"/>
          <w:spacing w:val="-15"/>
          <w:w w:val="105"/>
        </w:rPr>
        <w:t> </w:t>
      </w:r>
      <w:r>
        <w:rPr>
          <w:color w:val="231F20"/>
          <w:w w:val="105"/>
        </w:rPr>
        <w:t>calzado,</w:t>
      </w:r>
      <w:r>
        <w:rPr>
          <w:color w:val="231F20"/>
          <w:spacing w:val="-15"/>
          <w:w w:val="105"/>
        </w:rPr>
        <w:t> </w:t>
      </w:r>
      <w:r>
        <w:rPr>
          <w:color w:val="231F20"/>
          <w:w w:val="105"/>
        </w:rPr>
        <w:t>útiles escolares,</w:t>
      </w:r>
      <w:r>
        <w:rPr>
          <w:color w:val="231F20"/>
          <w:spacing w:val="-21"/>
          <w:w w:val="105"/>
        </w:rPr>
        <w:t> </w:t>
      </w:r>
      <w:r>
        <w:rPr>
          <w:color w:val="231F20"/>
          <w:w w:val="105"/>
        </w:rPr>
        <w:t>utensilios</w:t>
      </w:r>
      <w:r>
        <w:rPr>
          <w:color w:val="231F20"/>
          <w:spacing w:val="-15"/>
          <w:w w:val="105"/>
        </w:rPr>
        <w:t> </w:t>
      </w:r>
      <w:r>
        <w:rPr>
          <w:color w:val="231F20"/>
          <w:w w:val="105"/>
        </w:rPr>
        <w:t>caseros;</w:t>
      </w:r>
      <w:r>
        <w:rPr>
          <w:color w:val="231F20"/>
          <w:spacing w:val="-15"/>
          <w:w w:val="105"/>
        </w:rPr>
        <w:t> </w:t>
      </w:r>
      <w:r>
        <w:rPr>
          <w:color w:val="231F20"/>
          <w:w w:val="105"/>
        </w:rPr>
        <w:t>contribuye</w:t>
      </w:r>
      <w:r>
        <w:rPr>
          <w:color w:val="231F20"/>
          <w:spacing w:val="-15"/>
          <w:w w:val="105"/>
        </w:rPr>
        <w:t> </w:t>
      </w:r>
      <w:r>
        <w:rPr>
          <w:color w:val="231F20"/>
          <w:w w:val="105"/>
        </w:rPr>
        <w:t>al</w:t>
      </w:r>
      <w:r>
        <w:rPr>
          <w:color w:val="231F20"/>
          <w:spacing w:val="-15"/>
          <w:w w:val="105"/>
        </w:rPr>
        <w:t> </w:t>
      </w:r>
      <w:r>
        <w:rPr>
          <w:color w:val="231F20"/>
          <w:w w:val="105"/>
        </w:rPr>
        <w:t>nivel</w:t>
      </w:r>
      <w:r>
        <w:rPr>
          <w:color w:val="231F20"/>
          <w:spacing w:val="-15"/>
          <w:w w:val="105"/>
        </w:rPr>
        <w:t> </w:t>
      </w:r>
      <w:r>
        <w:rPr>
          <w:color w:val="231F20"/>
          <w:w w:val="105"/>
        </w:rPr>
        <w:t>de</w:t>
      </w:r>
      <w:r>
        <w:rPr>
          <w:color w:val="231F20"/>
          <w:spacing w:val="-15"/>
          <w:w w:val="105"/>
        </w:rPr>
        <w:t> </w:t>
      </w:r>
      <w:r>
        <w:rPr>
          <w:color w:val="231F20"/>
          <w:w w:val="105"/>
        </w:rPr>
        <w:t>vida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población.</w:t>
      </w:r>
    </w:p>
    <w:p>
      <w:pPr>
        <w:pStyle w:val="BodyText"/>
        <w:rPr>
          <w:sz w:val="20"/>
        </w:rPr>
      </w:pPr>
    </w:p>
    <w:p>
      <w:pPr>
        <w:pStyle w:val="BodyText"/>
        <w:rPr>
          <w:sz w:val="20"/>
        </w:rPr>
      </w:pPr>
    </w:p>
    <w:p>
      <w:pPr>
        <w:pStyle w:val="BodyText"/>
        <w:spacing w:before="7"/>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9056" from="131.551193pt,3.703715pt" to="131.551193pt,39.506114pt" stroked="true" strokeweight=".35pt" strokecolor="#231f20">
            <w10:wrap type="none"/>
          </v:line>
        </w:pict>
      </w:r>
      <w:r>
        <w:rPr/>
        <w:pict>
          <v:line style="position:absolute;mso-position-horizontal-relative:page;mso-position-vertical-relative:paragraph;z-index:-448984" from="15pt,39.505917pt" to="0pt,39.505917pt" stroked="true" strokeweight=".25pt" strokecolor="#000000">
            <w10:wrap type="none"/>
          </v:line>
        </w:pict>
      </w:r>
      <w:r>
        <w:rPr/>
        <w:pict>
          <v:line style="position:absolute;mso-position-horizontal-relative:page;mso-position-vertical-relative:paragraph;z-index:41224" from="508.890015pt,39.505917pt" to="523.890015pt,39.505917pt" stroked="true" strokeweight=".25pt" strokecolor="#000000">
            <w10:wrap type="none"/>
          </v:line>
        </w:pict>
      </w:r>
      <w:r>
        <w:rPr>
          <w:rFonts w:ascii="Arial" w:hAnsi="Arial"/>
          <w:color w:val="414042"/>
          <w:position w:val="-5"/>
          <w:sz w:val="20"/>
        </w:rPr>
        <w:t>344</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48936" from="405.061005pt,-18.554295pt" to="405.061005pt,16.311579pt" stroked="true" strokeweight=".35pt" strokecolor="#231f20">
            <w10:wrap type="none"/>
          </v:line>
        </w:pict>
      </w:r>
      <w:r>
        <w:rPr/>
        <w:pict>
          <v:line style="position:absolute;mso-position-horizontal-relative:page;mso-position-vertical-relative:paragraph;z-index:41272" from="15pt,-18.554522pt" to="0pt,-18.554522pt" stroked="true" strokeweight=".25pt" strokecolor="#000000">
            <w10:wrap type="none"/>
          </v:line>
        </w:pict>
      </w:r>
      <w:r>
        <w:rPr/>
        <w:pict>
          <v:line style="position:absolute;mso-position-horizontal-relative:page;mso-position-vertical-relative:paragraph;z-index:41296"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345</w:t>
      </w:r>
    </w:p>
    <w:p>
      <w:pPr>
        <w:pStyle w:val="BodyText"/>
        <w:rPr>
          <w:rFonts w:ascii="Arial"/>
          <w:sz w:val="20"/>
        </w:rPr>
      </w:pPr>
    </w:p>
    <w:p>
      <w:pPr>
        <w:pStyle w:val="BodyText"/>
        <w:rPr>
          <w:rFonts w:ascii="Arial"/>
          <w:sz w:val="20"/>
        </w:rPr>
      </w:pPr>
    </w:p>
    <w:p>
      <w:pPr>
        <w:pStyle w:val="BodyText"/>
        <w:spacing w:line="261" w:lineRule="auto" w:before="179"/>
        <w:ind w:left="1837" w:right="1721"/>
        <w:jc w:val="both"/>
      </w:pPr>
      <w:r>
        <w:rPr>
          <w:color w:val="231F20"/>
          <w:w w:val="105"/>
        </w:rPr>
        <w:t>Una</w:t>
      </w:r>
      <w:r>
        <w:rPr>
          <w:color w:val="231F20"/>
          <w:spacing w:val="-21"/>
          <w:w w:val="105"/>
        </w:rPr>
        <w:t> </w:t>
      </w:r>
      <w:r>
        <w:rPr>
          <w:color w:val="231F20"/>
          <w:w w:val="105"/>
        </w:rPr>
        <w:t>vez</w:t>
      </w:r>
      <w:r>
        <w:rPr>
          <w:color w:val="231F20"/>
          <w:spacing w:val="-21"/>
          <w:w w:val="105"/>
        </w:rPr>
        <w:t> </w:t>
      </w:r>
      <w:r>
        <w:rPr>
          <w:color w:val="231F20"/>
          <w:w w:val="105"/>
        </w:rPr>
        <w:t>logrado</w:t>
      </w:r>
      <w:r>
        <w:rPr>
          <w:color w:val="231F20"/>
          <w:spacing w:val="-21"/>
          <w:w w:val="105"/>
        </w:rPr>
        <w:t> </w:t>
      </w:r>
      <w:r>
        <w:rPr>
          <w:color w:val="231F20"/>
          <w:w w:val="105"/>
        </w:rPr>
        <w:t>ese</w:t>
      </w:r>
      <w:r>
        <w:rPr>
          <w:color w:val="231F20"/>
          <w:spacing w:val="-21"/>
          <w:w w:val="105"/>
        </w:rPr>
        <w:t> </w:t>
      </w:r>
      <w:r>
        <w:rPr>
          <w:color w:val="231F20"/>
          <w:w w:val="105"/>
        </w:rPr>
        <w:t>objetivo</w:t>
      </w:r>
      <w:r>
        <w:rPr>
          <w:color w:val="231F20"/>
          <w:spacing w:val="-21"/>
          <w:w w:val="105"/>
        </w:rPr>
        <w:t> </w:t>
      </w:r>
      <w:r>
        <w:rPr>
          <w:color w:val="231F20"/>
          <w:w w:val="105"/>
        </w:rPr>
        <w:t>las</w:t>
      </w:r>
      <w:r>
        <w:rPr>
          <w:color w:val="231F20"/>
          <w:spacing w:val="-21"/>
          <w:w w:val="105"/>
        </w:rPr>
        <w:t> </w:t>
      </w:r>
      <w:r>
        <w:rPr>
          <w:color w:val="231F20"/>
          <w:w w:val="105"/>
        </w:rPr>
        <w:t>remesas</w:t>
      </w:r>
      <w:r>
        <w:rPr>
          <w:color w:val="231F20"/>
          <w:spacing w:val="-21"/>
          <w:w w:val="105"/>
        </w:rPr>
        <w:t> </w:t>
      </w:r>
      <w:r>
        <w:rPr>
          <w:color w:val="231F20"/>
          <w:w w:val="105"/>
        </w:rPr>
        <w:t>se</w:t>
      </w:r>
      <w:r>
        <w:rPr>
          <w:color w:val="231F20"/>
          <w:spacing w:val="-21"/>
          <w:w w:val="105"/>
        </w:rPr>
        <w:t> </w:t>
      </w:r>
      <w:r>
        <w:rPr>
          <w:color w:val="231F20"/>
          <w:w w:val="105"/>
        </w:rPr>
        <w:t>han</w:t>
      </w:r>
      <w:r>
        <w:rPr>
          <w:color w:val="231F20"/>
          <w:spacing w:val="-21"/>
          <w:w w:val="105"/>
        </w:rPr>
        <w:t> </w:t>
      </w:r>
      <w:r>
        <w:rPr>
          <w:color w:val="231F20"/>
          <w:w w:val="105"/>
        </w:rPr>
        <w:t>destinado</w:t>
      </w:r>
      <w:r>
        <w:rPr>
          <w:color w:val="231F20"/>
          <w:spacing w:val="-21"/>
          <w:w w:val="105"/>
        </w:rPr>
        <w:t> </w:t>
      </w:r>
      <w:r>
        <w:rPr>
          <w:color w:val="231F20"/>
          <w:w w:val="105"/>
        </w:rPr>
        <w:t>a</w:t>
      </w:r>
      <w:r>
        <w:rPr>
          <w:color w:val="231F20"/>
          <w:spacing w:val="-21"/>
          <w:w w:val="105"/>
        </w:rPr>
        <w:t> </w:t>
      </w:r>
      <w:r>
        <w:rPr>
          <w:color w:val="231F20"/>
          <w:w w:val="105"/>
        </w:rPr>
        <w:t>cubrir</w:t>
      </w:r>
      <w:r>
        <w:rPr>
          <w:color w:val="231F20"/>
          <w:spacing w:val="-21"/>
          <w:w w:val="105"/>
        </w:rPr>
        <w:t> </w:t>
      </w:r>
      <w:r>
        <w:rPr>
          <w:color w:val="231F20"/>
          <w:w w:val="105"/>
        </w:rPr>
        <w:t>otras necesidades</w:t>
      </w:r>
      <w:r>
        <w:rPr>
          <w:color w:val="231F20"/>
          <w:spacing w:val="-27"/>
          <w:w w:val="105"/>
        </w:rPr>
        <w:t> </w:t>
      </w:r>
      <w:r>
        <w:rPr>
          <w:color w:val="231F20"/>
          <w:w w:val="105"/>
        </w:rPr>
        <w:t>básicas,</w:t>
      </w:r>
      <w:r>
        <w:rPr>
          <w:color w:val="231F20"/>
          <w:spacing w:val="-31"/>
          <w:w w:val="105"/>
        </w:rPr>
        <w:t> </w:t>
      </w:r>
      <w:r>
        <w:rPr>
          <w:color w:val="231F20"/>
          <w:w w:val="105"/>
        </w:rPr>
        <w:t>aunque</w:t>
      </w:r>
      <w:r>
        <w:rPr>
          <w:color w:val="231F20"/>
          <w:spacing w:val="-27"/>
          <w:w w:val="105"/>
        </w:rPr>
        <w:t> </w:t>
      </w:r>
      <w:r>
        <w:rPr>
          <w:color w:val="231F20"/>
          <w:w w:val="105"/>
        </w:rPr>
        <w:t>no</w:t>
      </w:r>
      <w:r>
        <w:rPr>
          <w:color w:val="231F20"/>
          <w:spacing w:val="-27"/>
          <w:w w:val="105"/>
        </w:rPr>
        <w:t> </w:t>
      </w:r>
      <w:r>
        <w:rPr>
          <w:color w:val="231F20"/>
          <w:w w:val="105"/>
        </w:rPr>
        <w:t>indispensables.</w:t>
      </w:r>
      <w:r>
        <w:rPr>
          <w:color w:val="231F20"/>
          <w:spacing w:val="-31"/>
          <w:w w:val="105"/>
        </w:rPr>
        <w:t> </w:t>
      </w:r>
      <w:r>
        <w:rPr>
          <w:color w:val="231F20"/>
          <w:w w:val="105"/>
        </w:rPr>
        <w:t>La</w:t>
      </w:r>
      <w:r>
        <w:rPr>
          <w:color w:val="231F20"/>
          <w:spacing w:val="-27"/>
          <w:w w:val="105"/>
        </w:rPr>
        <w:t> </w:t>
      </w:r>
      <w:r>
        <w:rPr>
          <w:color w:val="231F20"/>
          <w:w w:val="105"/>
        </w:rPr>
        <w:t>inversión</w:t>
      </w:r>
      <w:r>
        <w:rPr>
          <w:color w:val="231F20"/>
          <w:spacing w:val="-27"/>
          <w:w w:val="105"/>
        </w:rPr>
        <w:t> </w:t>
      </w:r>
      <w:r>
        <w:rPr>
          <w:color w:val="231F20"/>
          <w:w w:val="105"/>
        </w:rPr>
        <w:t>productiva es</w:t>
      </w:r>
      <w:r>
        <w:rPr>
          <w:color w:val="231F20"/>
          <w:spacing w:val="-23"/>
          <w:w w:val="105"/>
        </w:rPr>
        <w:t> </w:t>
      </w:r>
      <w:r>
        <w:rPr>
          <w:color w:val="231F20"/>
          <w:w w:val="105"/>
        </w:rPr>
        <w:t>mínima”</w:t>
      </w:r>
      <w:r>
        <w:rPr>
          <w:color w:val="231F20"/>
          <w:spacing w:val="-23"/>
          <w:w w:val="105"/>
        </w:rPr>
        <w:t> </w:t>
      </w:r>
      <w:r>
        <w:rPr>
          <w:color w:val="231F20"/>
          <w:w w:val="105"/>
        </w:rPr>
        <w:t>(Durand,</w:t>
      </w:r>
      <w:r>
        <w:rPr>
          <w:color w:val="231F20"/>
          <w:spacing w:val="-27"/>
          <w:w w:val="105"/>
        </w:rPr>
        <w:t> </w:t>
      </w:r>
      <w:r>
        <w:rPr>
          <w:color w:val="231F20"/>
          <w:w w:val="105"/>
        </w:rPr>
        <w:t>1993:</w:t>
      </w:r>
      <w:r>
        <w:rPr>
          <w:color w:val="231F20"/>
          <w:spacing w:val="-23"/>
          <w:w w:val="105"/>
        </w:rPr>
        <w:t> </w:t>
      </w:r>
      <w:r>
        <w:rPr>
          <w:color w:val="231F20"/>
          <w:w w:val="105"/>
        </w:rPr>
        <w:t>169).</w:t>
      </w:r>
    </w:p>
    <w:p>
      <w:pPr>
        <w:pStyle w:val="BodyText"/>
        <w:spacing w:line="261" w:lineRule="auto" w:before="1"/>
        <w:ind w:left="1837" w:right="1715"/>
        <w:jc w:val="both"/>
      </w:pPr>
      <w:r>
        <w:rPr>
          <w:color w:val="231F20"/>
          <w:w w:val="105"/>
        </w:rPr>
        <w:t>Se encontró a cinco jefes de familia migrantes temporales que estaban en</w:t>
      </w:r>
      <w:r>
        <w:rPr>
          <w:color w:val="231F20"/>
          <w:spacing w:val="-4"/>
          <w:w w:val="105"/>
        </w:rPr>
        <w:t> </w:t>
      </w:r>
      <w:r>
        <w:rPr>
          <w:color w:val="231F20"/>
          <w:w w:val="105"/>
        </w:rPr>
        <w:t>la</w:t>
      </w:r>
      <w:r>
        <w:rPr>
          <w:color w:val="231F20"/>
          <w:spacing w:val="-4"/>
          <w:w w:val="105"/>
        </w:rPr>
        <w:t> </w:t>
      </w:r>
      <w:r>
        <w:rPr>
          <w:color w:val="231F20"/>
          <w:w w:val="105"/>
        </w:rPr>
        <w:t>unidad</w:t>
      </w:r>
      <w:r>
        <w:rPr>
          <w:color w:val="231F20"/>
          <w:spacing w:val="-4"/>
          <w:w w:val="105"/>
        </w:rPr>
        <w:t> </w:t>
      </w:r>
      <w:r>
        <w:rPr>
          <w:color w:val="231F20"/>
          <w:w w:val="105"/>
        </w:rPr>
        <w:t>doméstica</w:t>
      </w:r>
      <w:r>
        <w:rPr>
          <w:color w:val="231F20"/>
          <w:spacing w:val="-4"/>
          <w:w w:val="105"/>
        </w:rPr>
        <w:t> </w:t>
      </w:r>
      <w:r>
        <w:rPr>
          <w:color w:val="231F20"/>
          <w:w w:val="105"/>
        </w:rPr>
        <w:t>al</w:t>
      </w:r>
      <w:r>
        <w:rPr>
          <w:color w:val="231F20"/>
          <w:spacing w:val="-4"/>
          <w:w w:val="105"/>
        </w:rPr>
        <w:t> </w:t>
      </w:r>
      <w:r>
        <w:rPr>
          <w:color w:val="231F20"/>
          <w:w w:val="105"/>
        </w:rPr>
        <w:t>momento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entrevista,</w:t>
      </w:r>
      <w:r>
        <w:rPr>
          <w:color w:val="231F20"/>
          <w:spacing w:val="-9"/>
          <w:w w:val="105"/>
        </w:rPr>
        <w:t> </w:t>
      </w:r>
      <w:r>
        <w:rPr>
          <w:color w:val="231F20"/>
          <w:w w:val="105"/>
        </w:rPr>
        <w:t>los</w:t>
      </w:r>
      <w:r>
        <w:rPr>
          <w:color w:val="231F20"/>
          <w:spacing w:val="-4"/>
          <w:w w:val="105"/>
        </w:rPr>
        <w:t> </w:t>
      </w:r>
      <w:r>
        <w:rPr>
          <w:color w:val="231F20"/>
          <w:w w:val="105"/>
        </w:rPr>
        <w:t>cuales</w:t>
      </w:r>
      <w:r>
        <w:rPr>
          <w:color w:val="231F20"/>
          <w:spacing w:val="-4"/>
          <w:w w:val="105"/>
        </w:rPr>
        <w:t> </w:t>
      </w:r>
      <w:r>
        <w:rPr>
          <w:color w:val="231F20"/>
          <w:w w:val="105"/>
        </w:rPr>
        <w:t>retorna- ron</w:t>
      </w:r>
      <w:r>
        <w:rPr>
          <w:color w:val="231F20"/>
          <w:spacing w:val="-20"/>
          <w:w w:val="105"/>
        </w:rPr>
        <w:t> </w:t>
      </w:r>
      <w:r>
        <w:rPr>
          <w:color w:val="231F20"/>
          <w:w w:val="105"/>
        </w:rPr>
        <w:t>por</w:t>
      </w:r>
      <w:r>
        <w:rPr>
          <w:color w:val="231F20"/>
          <w:spacing w:val="-20"/>
          <w:w w:val="105"/>
        </w:rPr>
        <w:t> </w:t>
      </w:r>
      <w:r>
        <w:rPr>
          <w:color w:val="231F20"/>
          <w:w w:val="105"/>
        </w:rPr>
        <w:t>causas</w:t>
      </w:r>
      <w:r>
        <w:rPr>
          <w:color w:val="231F20"/>
          <w:spacing w:val="-20"/>
          <w:w w:val="105"/>
        </w:rPr>
        <w:t> </w:t>
      </w:r>
      <w:r>
        <w:rPr>
          <w:color w:val="231F20"/>
          <w:w w:val="105"/>
        </w:rPr>
        <w:t>diversas,</w:t>
      </w:r>
      <w:r>
        <w:rPr>
          <w:color w:val="231F20"/>
          <w:spacing w:val="-25"/>
          <w:w w:val="105"/>
        </w:rPr>
        <w:t> </w:t>
      </w:r>
      <w:r>
        <w:rPr>
          <w:color w:val="231F20"/>
          <w:w w:val="105"/>
        </w:rPr>
        <w:t>pero</w:t>
      </w:r>
      <w:r>
        <w:rPr>
          <w:color w:val="231F20"/>
          <w:spacing w:val="-20"/>
          <w:w w:val="105"/>
        </w:rPr>
        <w:t> </w:t>
      </w:r>
      <w:r>
        <w:rPr>
          <w:color w:val="231F20"/>
          <w:w w:val="105"/>
        </w:rPr>
        <w:t>conservando</w:t>
      </w:r>
      <w:r>
        <w:rPr>
          <w:color w:val="231F20"/>
          <w:spacing w:val="-20"/>
          <w:w w:val="105"/>
        </w:rPr>
        <w:t> </w:t>
      </w:r>
      <w:r>
        <w:rPr>
          <w:color w:val="231F20"/>
          <w:w w:val="105"/>
        </w:rPr>
        <w:t>una</w:t>
      </w:r>
      <w:r>
        <w:rPr>
          <w:color w:val="231F20"/>
          <w:spacing w:val="-20"/>
          <w:w w:val="105"/>
        </w:rPr>
        <w:t> </w:t>
      </w:r>
      <w:r>
        <w:rPr>
          <w:color w:val="231F20"/>
          <w:w w:val="105"/>
        </w:rPr>
        <w:t>idea</w:t>
      </w:r>
      <w:r>
        <w:rPr>
          <w:color w:val="231F20"/>
          <w:spacing w:val="-20"/>
          <w:w w:val="105"/>
        </w:rPr>
        <w:t> </w:t>
      </w:r>
      <w:r>
        <w:rPr>
          <w:color w:val="231F20"/>
          <w:w w:val="105"/>
        </w:rPr>
        <w:t>en</w:t>
      </w:r>
      <w:r>
        <w:rPr>
          <w:color w:val="231F20"/>
          <w:spacing w:val="-20"/>
          <w:w w:val="105"/>
        </w:rPr>
        <w:t> </w:t>
      </w:r>
      <w:r>
        <w:rPr>
          <w:color w:val="231F20"/>
          <w:w w:val="105"/>
        </w:rPr>
        <w:t>común:</w:t>
      </w:r>
      <w:r>
        <w:rPr>
          <w:color w:val="231F20"/>
          <w:spacing w:val="-20"/>
          <w:w w:val="105"/>
        </w:rPr>
        <w:t> </w:t>
      </w:r>
      <w:r>
        <w:rPr>
          <w:color w:val="231F20"/>
          <w:spacing w:val="-3"/>
          <w:w w:val="105"/>
        </w:rPr>
        <w:t>regresar. </w:t>
      </w:r>
      <w:r>
        <w:rPr>
          <w:color w:val="231F20"/>
          <w:w w:val="105"/>
        </w:rPr>
        <w:t>Sin embargo, prefieren esperar ya que consideran que la situación en estos</w:t>
      </w:r>
      <w:r>
        <w:rPr>
          <w:color w:val="231F20"/>
          <w:spacing w:val="-18"/>
          <w:w w:val="105"/>
        </w:rPr>
        <w:t> </w:t>
      </w:r>
      <w:r>
        <w:rPr>
          <w:color w:val="231F20"/>
          <w:w w:val="105"/>
        </w:rPr>
        <w:t>momentos</w:t>
      </w:r>
      <w:r>
        <w:rPr>
          <w:color w:val="231F20"/>
          <w:spacing w:val="-18"/>
          <w:w w:val="105"/>
        </w:rPr>
        <w:t> </w:t>
      </w:r>
      <w:r>
        <w:rPr>
          <w:color w:val="231F20"/>
          <w:w w:val="105"/>
        </w:rPr>
        <w:t>es</w:t>
      </w:r>
      <w:r>
        <w:rPr>
          <w:color w:val="231F20"/>
          <w:spacing w:val="-18"/>
          <w:w w:val="105"/>
        </w:rPr>
        <w:t> </w:t>
      </w:r>
      <w:r>
        <w:rPr>
          <w:color w:val="231F20"/>
          <w:w w:val="105"/>
        </w:rPr>
        <w:t>complicada</w:t>
      </w:r>
      <w:r>
        <w:rPr>
          <w:color w:val="231F20"/>
          <w:spacing w:val="-18"/>
          <w:w w:val="105"/>
        </w:rPr>
        <w:t> </w:t>
      </w:r>
      <w:r>
        <w:rPr>
          <w:color w:val="231F20"/>
          <w:w w:val="105"/>
        </w:rPr>
        <w:t>y</w:t>
      </w:r>
      <w:r>
        <w:rPr>
          <w:color w:val="231F20"/>
          <w:spacing w:val="-18"/>
          <w:w w:val="105"/>
        </w:rPr>
        <w:t> </w:t>
      </w:r>
      <w:r>
        <w:rPr>
          <w:color w:val="231F20"/>
          <w:w w:val="105"/>
        </w:rPr>
        <w:t>muy</w:t>
      </w:r>
      <w:r>
        <w:rPr>
          <w:color w:val="231F20"/>
          <w:spacing w:val="-18"/>
          <w:w w:val="105"/>
        </w:rPr>
        <w:t> </w:t>
      </w:r>
      <w:r>
        <w:rPr>
          <w:color w:val="231F20"/>
          <w:w w:val="105"/>
        </w:rPr>
        <w:t>peligrosa.</w:t>
      </w:r>
    </w:p>
    <w:p>
      <w:pPr>
        <w:pStyle w:val="BodyText"/>
        <w:spacing w:line="261" w:lineRule="auto" w:before="1"/>
        <w:ind w:left="1837" w:right="1716" w:firstLine="567"/>
        <w:jc w:val="both"/>
      </w:pPr>
      <w:r>
        <w:rPr>
          <w:color w:val="231F20"/>
          <w:w w:val="105"/>
        </w:rPr>
        <w:t>En lo que se refiere al cultivo de maíz nativo y otras actividades productivas</w:t>
      </w:r>
      <w:r>
        <w:rPr>
          <w:color w:val="231F20"/>
          <w:spacing w:val="-8"/>
          <w:w w:val="105"/>
        </w:rPr>
        <w:t> </w:t>
      </w:r>
      <w:r>
        <w:rPr>
          <w:color w:val="231F20"/>
          <w:w w:val="105"/>
        </w:rPr>
        <w:t>locales,</w:t>
      </w:r>
      <w:r>
        <w:rPr>
          <w:color w:val="231F20"/>
          <w:spacing w:val="-13"/>
          <w:w w:val="105"/>
        </w:rPr>
        <w:t> </w:t>
      </w:r>
      <w:r>
        <w:rPr>
          <w:color w:val="231F20"/>
          <w:w w:val="105"/>
        </w:rPr>
        <w:t>la</w:t>
      </w:r>
      <w:r>
        <w:rPr>
          <w:color w:val="231F20"/>
          <w:spacing w:val="-8"/>
          <w:w w:val="105"/>
        </w:rPr>
        <w:t> </w:t>
      </w:r>
      <w:r>
        <w:rPr>
          <w:color w:val="231F20"/>
          <w:w w:val="105"/>
        </w:rPr>
        <w:t>migración</w:t>
      </w:r>
      <w:r>
        <w:rPr>
          <w:color w:val="231F20"/>
          <w:spacing w:val="-8"/>
          <w:w w:val="105"/>
        </w:rPr>
        <w:t> </w:t>
      </w:r>
      <w:r>
        <w:rPr>
          <w:color w:val="231F20"/>
          <w:w w:val="105"/>
        </w:rPr>
        <w:t>acompañada</w:t>
      </w:r>
      <w:r>
        <w:rPr>
          <w:color w:val="231F20"/>
          <w:spacing w:val="-8"/>
          <w:w w:val="105"/>
        </w:rPr>
        <w:t> </w:t>
      </w:r>
      <w:r>
        <w:rPr>
          <w:color w:val="231F20"/>
          <w:w w:val="105"/>
        </w:rPr>
        <w:t>de</w:t>
      </w:r>
      <w:r>
        <w:rPr>
          <w:color w:val="231F20"/>
          <w:spacing w:val="-8"/>
          <w:w w:val="105"/>
        </w:rPr>
        <w:t> </w:t>
      </w:r>
      <w:r>
        <w:rPr>
          <w:color w:val="231F20"/>
          <w:w w:val="105"/>
        </w:rPr>
        <w:t>escasa</w:t>
      </w:r>
      <w:r>
        <w:rPr>
          <w:color w:val="231F20"/>
          <w:spacing w:val="-8"/>
          <w:w w:val="105"/>
        </w:rPr>
        <w:t> </w:t>
      </w:r>
      <w:r>
        <w:rPr>
          <w:color w:val="231F20"/>
          <w:w w:val="105"/>
        </w:rPr>
        <w:t>llegada</w:t>
      </w:r>
      <w:r>
        <w:rPr>
          <w:color w:val="231F20"/>
          <w:spacing w:val="-8"/>
          <w:w w:val="105"/>
        </w:rPr>
        <w:t> </w:t>
      </w:r>
      <w:r>
        <w:rPr>
          <w:color w:val="231F20"/>
          <w:w w:val="105"/>
        </w:rPr>
        <w:t>de</w:t>
      </w:r>
      <w:r>
        <w:rPr>
          <w:color w:val="231F20"/>
          <w:spacing w:val="-8"/>
          <w:w w:val="105"/>
        </w:rPr>
        <w:t> </w:t>
      </w:r>
      <w:r>
        <w:rPr>
          <w:color w:val="231F20"/>
          <w:w w:val="105"/>
        </w:rPr>
        <w:t>re- mesas</w:t>
      </w:r>
      <w:r>
        <w:rPr>
          <w:color w:val="231F20"/>
          <w:spacing w:val="-14"/>
          <w:w w:val="105"/>
        </w:rPr>
        <w:t> </w:t>
      </w:r>
      <w:r>
        <w:rPr>
          <w:color w:val="231F20"/>
          <w:w w:val="105"/>
        </w:rPr>
        <w:t>produce</w:t>
      </w:r>
      <w:r>
        <w:rPr>
          <w:color w:val="231F20"/>
          <w:spacing w:val="-14"/>
          <w:w w:val="105"/>
        </w:rPr>
        <w:t> </w:t>
      </w:r>
      <w:r>
        <w:rPr>
          <w:color w:val="231F20"/>
          <w:w w:val="105"/>
        </w:rPr>
        <w:t>desestimulo</w:t>
      </w:r>
      <w:r>
        <w:rPr>
          <w:color w:val="231F20"/>
          <w:spacing w:val="-14"/>
          <w:w w:val="105"/>
        </w:rPr>
        <w:t> </w:t>
      </w:r>
      <w:r>
        <w:rPr>
          <w:color w:val="231F20"/>
          <w:w w:val="105"/>
        </w:rPr>
        <w:t>por</w:t>
      </w:r>
      <w:r>
        <w:rPr>
          <w:color w:val="231F20"/>
          <w:spacing w:val="-14"/>
          <w:w w:val="105"/>
        </w:rPr>
        <w:t> </w:t>
      </w:r>
      <w:r>
        <w:rPr>
          <w:color w:val="231F20"/>
          <w:w w:val="105"/>
        </w:rPr>
        <w:t>varias</w:t>
      </w:r>
      <w:r>
        <w:rPr>
          <w:color w:val="231F20"/>
          <w:spacing w:val="-14"/>
          <w:w w:val="105"/>
        </w:rPr>
        <w:t> </w:t>
      </w:r>
      <w:r>
        <w:rPr>
          <w:color w:val="231F20"/>
          <w:w w:val="105"/>
        </w:rPr>
        <w:t>vías.</w:t>
      </w:r>
      <w:r>
        <w:rPr>
          <w:color w:val="231F20"/>
          <w:spacing w:val="-19"/>
          <w:w w:val="105"/>
        </w:rPr>
        <w:t> </w:t>
      </w:r>
      <w:r>
        <w:rPr>
          <w:color w:val="231F20"/>
          <w:spacing w:val="-6"/>
          <w:w w:val="105"/>
        </w:rPr>
        <w:t>Por</w:t>
      </w:r>
      <w:r>
        <w:rPr>
          <w:color w:val="231F20"/>
          <w:spacing w:val="-14"/>
          <w:w w:val="105"/>
        </w:rPr>
        <w:t> </w:t>
      </w:r>
      <w:r>
        <w:rPr>
          <w:color w:val="231F20"/>
          <w:w w:val="105"/>
        </w:rPr>
        <w:t>un</w:t>
      </w:r>
      <w:r>
        <w:rPr>
          <w:color w:val="231F20"/>
          <w:spacing w:val="-14"/>
          <w:w w:val="105"/>
        </w:rPr>
        <w:t> </w:t>
      </w:r>
      <w:r>
        <w:rPr>
          <w:color w:val="231F20"/>
          <w:w w:val="105"/>
        </w:rPr>
        <w:t>lado</w:t>
      </w:r>
      <w:r>
        <w:rPr>
          <w:color w:val="231F20"/>
          <w:spacing w:val="-14"/>
          <w:w w:val="105"/>
        </w:rPr>
        <w:t> </w:t>
      </w:r>
      <w:r>
        <w:rPr>
          <w:color w:val="231F20"/>
          <w:w w:val="105"/>
        </w:rPr>
        <w:t>reduce</w:t>
      </w:r>
      <w:r>
        <w:rPr>
          <w:color w:val="231F20"/>
          <w:spacing w:val="-14"/>
          <w:w w:val="105"/>
        </w:rPr>
        <w:t> </w:t>
      </w:r>
      <w:r>
        <w:rPr>
          <w:color w:val="231F20"/>
          <w:w w:val="105"/>
        </w:rPr>
        <w:t>la</w:t>
      </w:r>
      <w:r>
        <w:rPr>
          <w:color w:val="231F20"/>
          <w:spacing w:val="-14"/>
          <w:w w:val="105"/>
        </w:rPr>
        <w:t> </w:t>
      </w:r>
      <w:r>
        <w:rPr>
          <w:color w:val="231F20"/>
          <w:w w:val="105"/>
        </w:rPr>
        <w:t>dispo- nibilidad de mano de obra para las actividades agropecuarias. </w:t>
      </w:r>
      <w:r>
        <w:rPr>
          <w:color w:val="231F20"/>
          <w:spacing w:val="-6"/>
          <w:w w:val="105"/>
        </w:rPr>
        <w:t>Por</w:t>
      </w:r>
      <w:r>
        <w:rPr>
          <w:color w:val="231F20"/>
          <w:spacing w:val="-25"/>
          <w:w w:val="105"/>
        </w:rPr>
        <w:t> </w:t>
      </w:r>
      <w:r>
        <w:rPr>
          <w:color w:val="231F20"/>
          <w:w w:val="105"/>
        </w:rPr>
        <w:t>otro, esto</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compensa</w:t>
      </w:r>
      <w:r>
        <w:rPr>
          <w:color w:val="231F20"/>
          <w:spacing w:val="-8"/>
          <w:w w:val="105"/>
        </w:rPr>
        <w:t> </w:t>
      </w:r>
      <w:r>
        <w:rPr>
          <w:color w:val="231F20"/>
          <w:w w:val="105"/>
        </w:rPr>
        <w:t>con</w:t>
      </w:r>
      <w:r>
        <w:rPr>
          <w:color w:val="231F20"/>
          <w:spacing w:val="-8"/>
          <w:w w:val="105"/>
        </w:rPr>
        <w:t> </w:t>
      </w:r>
      <w:r>
        <w:rPr>
          <w:color w:val="231F20"/>
          <w:w w:val="105"/>
        </w:rPr>
        <w:t>ingresos</w:t>
      </w:r>
      <w:r>
        <w:rPr>
          <w:color w:val="231F20"/>
          <w:spacing w:val="-8"/>
          <w:w w:val="105"/>
        </w:rPr>
        <w:t> </w:t>
      </w:r>
      <w:r>
        <w:rPr>
          <w:color w:val="231F20"/>
          <w:w w:val="105"/>
        </w:rPr>
        <w:t>en</w:t>
      </w:r>
      <w:r>
        <w:rPr>
          <w:color w:val="231F20"/>
          <w:spacing w:val="-8"/>
          <w:w w:val="105"/>
        </w:rPr>
        <w:t> </w:t>
      </w:r>
      <w:r>
        <w:rPr>
          <w:color w:val="231F20"/>
          <w:w w:val="105"/>
        </w:rPr>
        <w:t>efectivo</w:t>
      </w:r>
      <w:r>
        <w:rPr>
          <w:color w:val="231F20"/>
          <w:spacing w:val="-8"/>
          <w:w w:val="105"/>
        </w:rPr>
        <w:t> </w:t>
      </w:r>
      <w:r>
        <w:rPr>
          <w:color w:val="231F20"/>
          <w:w w:val="105"/>
        </w:rPr>
        <w:t>que</w:t>
      </w:r>
      <w:r>
        <w:rPr>
          <w:color w:val="231F20"/>
          <w:spacing w:val="-8"/>
          <w:w w:val="105"/>
        </w:rPr>
        <w:t> </w:t>
      </w:r>
      <w:r>
        <w:rPr>
          <w:color w:val="231F20"/>
          <w:w w:val="105"/>
        </w:rPr>
        <w:t>pudieran</w:t>
      </w:r>
      <w:r>
        <w:rPr>
          <w:color w:val="231F20"/>
          <w:spacing w:val="-8"/>
          <w:w w:val="105"/>
        </w:rPr>
        <w:t> </w:t>
      </w:r>
      <w:r>
        <w:rPr>
          <w:color w:val="231F20"/>
          <w:w w:val="105"/>
        </w:rPr>
        <w:t>financiar</w:t>
      </w:r>
      <w:r>
        <w:rPr>
          <w:color w:val="231F20"/>
          <w:spacing w:val="-8"/>
          <w:w w:val="105"/>
        </w:rPr>
        <w:t> </w:t>
      </w:r>
      <w:r>
        <w:rPr>
          <w:color w:val="231F20"/>
          <w:w w:val="105"/>
        </w:rPr>
        <w:t>el pago de jornaleros y la compra de insumos. Debido a que la recepción de</w:t>
      </w:r>
      <w:r>
        <w:rPr>
          <w:color w:val="231F20"/>
          <w:spacing w:val="-28"/>
          <w:w w:val="105"/>
        </w:rPr>
        <w:t> </w:t>
      </w:r>
      <w:r>
        <w:rPr>
          <w:color w:val="231F20"/>
          <w:w w:val="105"/>
        </w:rPr>
        <w:t>remesas</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lugar</w:t>
      </w:r>
      <w:r>
        <w:rPr>
          <w:color w:val="231F20"/>
          <w:spacing w:val="-28"/>
          <w:w w:val="105"/>
        </w:rPr>
        <w:t> </w:t>
      </w:r>
      <w:r>
        <w:rPr>
          <w:color w:val="231F20"/>
          <w:w w:val="105"/>
        </w:rPr>
        <w:t>de</w:t>
      </w:r>
      <w:r>
        <w:rPr>
          <w:color w:val="231F20"/>
          <w:spacing w:val="-28"/>
          <w:w w:val="105"/>
        </w:rPr>
        <w:t> </w:t>
      </w:r>
      <w:r>
        <w:rPr>
          <w:color w:val="231F20"/>
          <w:w w:val="105"/>
        </w:rPr>
        <w:t>origen</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migrantes</w:t>
      </w:r>
      <w:r>
        <w:rPr>
          <w:color w:val="231F20"/>
          <w:spacing w:val="-28"/>
          <w:w w:val="105"/>
        </w:rPr>
        <w:t> </w:t>
      </w:r>
      <w:r>
        <w:rPr>
          <w:color w:val="231F20"/>
          <w:w w:val="105"/>
        </w:rPr>
        <w:t>es</w:t>
      </w:r>
      <w:r>
        <w:rPr>
          <w:color w:val="231F20"/>
          <w:spacing w:val="-28"/>
          <w:w w:val="105"/>
        </w:rPr>
        <w:t> </w:t>
      </w:r>
      <w:r>
        <w:rPr>
          <w:color w:val="231F20"/>
          <w:w w:val="105"/>
        </w:rPr>
        <w:t>escasa,</w:t>
      </w:r>
      <w:r>
        <w:rPr>
          <w:color w:val="231F20"/>
          <w:spacing w:val="-32"/>
          <w:w w:val="105"/>
        </w:rPr>
        <w:t> </w:t>
      </w:r>
      <w:r>
        <w:rPr>
          <w:color w:val="231F20"/>
          <w:w w:val="105"/>
        </w:rPr>
        <w:t>y</w:t>
      </w:r>
      <w:r>
        <w:rPr>
          <w:color w:val="231F20"/>
          <w:spacing w:val="-28"/>
          <w:w w:val="105"/>
        </w:rPr>
        <w:t> </w:t>
      </w:r>
      <w:r>
        <w:rPr>
          <w:color w:val="231F20"/>
          <w:w w:val="105"/>
        </w:rPr>
        <w:t>en</w:t>
      </w:r>
      <w:r>
        <w:rPr>
          <w:color w:val="231F20"/>
          <w:spacing w:val="-28"/>
          <w:w w:val="105"/>
        </w:rPr>
        <w:t> </w:t>
      </w:r>
      <w:r>
        <w:rPr>
          <w:color w:val="231F20"/>
          <w:w w:val="105"/>
        </w:rPr>
        <w:t>algunas unidades es nula, las remesas son utilizadas preferentemente para cu- brir</w:t>
      </w:r>
      <w:r>
        <w:rPr>
          <w:color w:val="231F20"/>
          <w:spacing w:val="-11"/>
          <w:w w:val="105"/>
        </w:rPr>
        <w:t> </w:t>
      </w:r>
      <w:r>
        <w:rPr>
          <w:color w:val="231F20"/>
          <w:w w:val="105"/>
        </w:rPr>
        <w:t>necesidades</w:t>
      </w:r>
      <w:r>
        <w:rPr>
          <w:color w:val="231F20"/>
          <w:spacing w:val="-11"/>
          <w:w w:val="105"/>
        </w:rPr>
        <w:t> </w:t>
      </w:r>
      <w:r>
        <w:rPr>
          <w:color w:val="231F20"/>
          <w:w w:val="105"/>
        </w:rPr>
        <w:t>básicas</w:t>
      </w:r>
      <w:r>
        <w:rPr>
          <w:color w:val="231F20"/>
          <w:spacing w:val="-11"/>
          <w:w w:val="105"/>
        </w:rPr>
        <w:t> </w:t>
      </w:r>
      <w:r>
        <w:rPr>
          <w:color w:val="231F20"/>
          <w:w w:val="105"/>
        </w:rPr>
        <w:t>y</w:t>
      </w:r>
      <w:r>
        <w:rPr>
          <w:color w:val="231F20"/>
          <w:spacing w:val="-11"/>
          <w:w w:val="105"/>
        </w:rPr>
        <w:t> </w:t>
      </w:r>
      <w:r>
        <w:rPr>
          <w:color w:val="231F20"/>
          <w:w w:val="105"/>
        </w:rPr>
        <w:t>excepcionalmente</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producción</w:t>
      </w:r>
      <w:r>
        <w:rPr>
          <w:color w:val="231F20"/>
          <w:spacing w:val="-11"/>
          <w:w w:val="105"/>
        </w:rPr>
        <w:t> </w:t>
      </w:r>
      <w:r>
        <w:rPr>
          <w:color w:val="231F20"/>
          <w:w w:val="105"/>
        </w:rPr>
        <w:t>agrícola. Como consecuencia la suma total de ingresos en especie y en efectivo para</w:t>
      </w:r>
      <w:r>
        <w:rPr>
          <w:color w:val="231F20"/>
          <w:spacing w:val="-6"/>
          <w:w w:val="105"/>
        </w:rPr>
        <w:t> </w:t>
      </w:r>
      <w:r>
        <w:rPr>
          <w:color w:val="231F20"/>
          <w:w w:val="105"/>
        </w:rPr>
        <w:t>las</w:t>
      </w:r>
      <w:r>
        <w:rPr>
          <w:color w:val="231F20"/>
          <w:spacing w:val="-6"/>
          <w:w w:val="105"/>
        </w:rPr>
        <w:t> </w:t>
      </w:r>
      <w:r>
        <w:rPr>
          <w:color w:val="231F20"/>
          <w:w w:val="105"/>
        </w:rPr>
        <w:t>familias</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quedan</w:t>
      </w:r>
      <w:r>
        <w:rPr>
          <w:color w:val="231F20"/>
          <w:spacing w:val="-6"/>
          <w:w w:val="105"/>
        </w:rPr>
        <w:t> </w:t>
      </w:r>
      <w:r>
        <w:rPr>
          <w:color w:val="231F20"/>
          <w:w w:val="105"/>
        </w:rPr>
        <w:t>se</w:t>
      </w:r>
      <w:r>
        <w:rPr>
          <w:color w:val="231F20"/>
          <w:spacing w:val="-6"/>
          <w:w w:val="105"/>
        </w:rPr>
        <w:t> </w:t>
      </w:r>
      <w:r>
        <w:rPr>
          <w:color w:val="231F20"/>
          <w:w w:val="105"/>
        </w:rPr>
        <w:t>reduce,</w:t>
      </w:r>
      <w:r>
        <w:rPr>
          <w:color w:val="231F20"/>
          <w:spacing w:val="-11"/>
          <w:w w:val="105"/>
        </w:rPr>
        <w:t> </w:t>
      </w:r>
      <w:r>
        <w:rPr>
          <w:color w:val="231F20"/>
          <w:w w:val="105"/>
        </w:rPr>
        <w:t>y</w:t>
      </w:r>
      <w:r>
        <w:rPr>
          <w:color w:val="231F20"/>
          <w:spacing w:val="-6"/>
          <w:w w:val="105"/>
        </w:rPr>
        <w:t> </w:t>
      </w:r>
      <w:r>
        <w:rPr>
          <w:color w:val="231F20"/>
          <w:w w:val="105"/>
        </w:rPr>
        <w:t>lo</w:t>
      </w:r>
      <w:r>
        <w:rPr>
          <w:color w:val="231F20"/>
          <w:spacing w:val="-6"/>
          <w:w w:val="105"/>
        </w:rPr>
        <w:t> </w:t>
      </w:r>
      <w:r>
        <w:rPr>
          <w:color w:val="231F20"/>
          <w:w w:val="105"/>
        </w:rPr>
        <w:t>mismo</w:t>
      </w:r>
      <w:r>
        <w:rPr>
          <w:color w:val="231F20"/>
          <w:spacing w:val="-6"/>
          <w:w w:val="105"/>
        </w:rPr>
        <w:t> </w:t>
      </w:r>
      <w:r>
        <w:rPr>
          <w:color w:val="231F20"/>
          <w:w w:val="105"/>
        </w:rPr>
        <w:t>ocurre</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su- perficie</w:t>
      </w:r>
      <w:r>
        <w:rPr>
          <w:color w:val="231F20"/>
          <w:spacing w:val="-10"/>
          <w:w w:val="105"/>
        </w:rPr>
        <w:t> </w:t>
      </w:r>
      <w:r>
        <w:rPr>
          <w:color w:val="231F20"/>
          <w:w w:val="105"/>
        </w:rPr>
        <w:t>sembrada</w:t>
      </w:r>
      <w:r>
        <w:rPr>
          <w:color w:val="231F20"/>
          <w:spacing w:val="-10"/>
          <w:w w:val="105"/>
        </w:rPr>
        <w:t> </w:t>
      </w:r>
      <w:r>
        <w:rPr>
          <w:color w:val="231F20"/>
          <w:w w:val="105"/>
        </w:rPr>
        <w:t>de</w:t>
      </w:r>
      <w:r>
        <w:rPr>
          <w:color w:val="231F20"/>
          <w:spacing w:val="-10"/>
          <w:w w:val="105"/>
        </w:rPr>
        <w:t> </w:t>
      </w:r>
      <w:r>
        <w:rPr>
          <w:color w:val="231F20"/>
          <w:w w:val="105"/>
        </w:rPr>
        <w:t>maíz</w:t>
      </w:r>
      <w:r>
        <w:rPr>
          <w:color w:val="231F20"/>
          <w:spacing w:val="-10"/>
          <w:w w:val="105"/>
        </w:rPr>
        <w:t> </w:t>
      </w:r>
      <w:r>
        <w:rPr>
          <w:color w:val="231F20"/>
          <w:w w:val="105"/>
        </w:rPr>
        <w:t>nativo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comunidad</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municipio.</w:t>
      </w:r>
    </w:p>
    <w:p>
      <w:pPr>
        <w:pStyle w:val="BodyText"/>
        <w:spacing w:line="261" w:lineRule="auto" w:before="1"/>
        <w:ind w:left="1837" w:right="1715" w:firstLine="567"/>
        <w:jc w:val="both"/>
      </w:pPr>
      <w:r>
        <w:rPr>
          <w:color w:val="231F20"/>
          <w:w w:val="105"/>
        </w:rPr>
        <w:t>La</w:t>
      </w:r>
      <w:r>
        <w:rPr>
          <w:color w:val="231F20"/>
          <w:spacing w:val="-22"/>
          <w:w w:val="105"/>
        </w:rPr>
        <w:t> </w:t>
      </w:r>
      <w:r>
        <w:rPr>
          <w:color w:val="231F20"/>
          <w:w w:val="105"/>
        </w:rPr>
        <w:t>reducción</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superficie</w:t>
      </w:r>
      <w:r>
        <w:rPr>
          <w:color w:val="231F20"/>
          <w:spacing w:val="-22"/>
          <w:w w:val="105"/>
        </w:rPr>
        <w:t> </w:t>
      </w:r>
      <w:r>
        <w:rPr>
          <w:color w:val="231F20"/>
          <w:w w:val="105"/>
        </w:rPr>
        <w:t>sembrada</w:t>
      </w:r>
      <w:r>
        <w:rPr>
          <w:color w:val="231F20"/>
          <w:spacing w:val="-22"/>
          <w:w w:val="105"/>
        </w:rPr>
        <w:t> </w:t>
      </w:r>
      <w:r>
        <w:rPr>
          <w:color w:val="231F20"/>
          <w:w w:val="105"/>
        </w:rPr>
        <w:t>de</w:t>
      </w:r>
      <w:r>
        <w:rPr>
          <w:color w:val="231F20"/>
          <w:spacing w:val="-22"/>
          <w:w w:val="105"/>
        </w:rPr>
        <w:t> </w:t>
      </w:r>
      <w:r>
        <w:rPr>
          <w:color w:val="231F20"/>
          <w:w w:val="105"/>
        </w:rPr>
        <w:t>maíz</w:t>
      </w:r>
      <w:r>
        <w:rPr>
          <w:color w:val="231F20"/>
          <w:spacing w:val="-22"/>
          <w:w w:val="105"/>
        </w:rPr>
        <w:t> </w:t>
      </w:r>
      <w:r>
        <w:rPr>
          <w:color w:val="231F20"/>
          <w:w w:val="105"/>
        </w:rPr>
        <w:t>fue</w:t>
      </w:r>
      <w:r>
        <w:rPr>
          <w:color w:val="231F20"/>
          <w:spacing w:val="-22"/>
          <w:w w:val="105"/>
        </w:rPr>
        <w:t> </w:t>
      </w:r>
      <w:r>
        <w:rPr>
          <w:color w:val="231F20"/>
          <w:w w:val="105"/>
        </w:rPr>
        <w:t>confirmada</w:t>
      </w:r>
      <w:r>
        <w:rPr>
          <w:color w:val="231F20"/>
          <w:spacing w:val="-22"/>
          <w:w w:val="105"/>
        </w:rPr>
        <w:t> </w:t>
      </w:r>
      <w:r>
        <w:rPr>
          <w:color w:val="231F20"/>
          <w:w w:val="105"/>
        </w:rPr>
        <w:t>por el aumento en la oferta de tierras prestadas que mostró el trabajo de campo.</w:t>
      </w:r>
      <w:r>
        <w:rPr>
          <w:color w:val="231F20"/>
          <w:spacing w:val="-11"/>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entrevistas</w:t>
      </w:r>
      <w:r>
        <w:rPr>
          <w:color w:val="231F20"/>
          <w:spacing w:val="-7"/>
          <w:w w:val="105"/>
        </w:rPr>
        <w:t> </w:t>
      </w:r>
      <w:r>
        <w:rPr>
          <w:color w:val="231F20"/>
          <w:w w:val="105"/>
        </w:rPr>
        <w:t>realizadas,</w:t>
      </w:r>
      <w:r>
        <w:rPr>
          <w:color w:val="231F20"/>
          <w:spacing w:val="-11"/>
          <w:w w:val="105"/>
        </w:rPr>
        <w:t> </w:t>
      </w:r>
      <w:r>
        <w:rPr>
          <w:color w:val="231F20"/>
          <w:w w:val="105"/>
        </w:rPr>
        <w:t>los</w:t>
      </w:r>
      <w:r>
        <w:rPr>
          <w:color w:val="231F20"/>
          <w:spacing w:val="-7"/>
          <w:w w:val="105"/>
        </w:rPr>
        <w:t> </w:t>
      </w:r>
      <w:r>
        <w:rPr>
          <w:color w:val="231F20"/>
          <w:w w:val="105"/>
        </w:rPr>
        <w:t>productores</w:t>
      </w:r>
      <w:r>
        <w:rPr>
          <w:color w:val="231F20"/>
          <w:spacing w:val="-7"/>
          <w:w w:val="105"/>
        </w:rPr>
        <w:t> </w:t>
      </w:r>
      <w:r>
        <w:rPr>
          <w:color w:val="231F20"/>
          <w:w w:val="105"/>
        </w:rPr>
        <w:t>mencionaron</w:t>
      </w:r>
      <w:r>
        <w:rPr>
          <w:color w:val="231F20"/>
          <w:spacing w:val="-7"/>
          <w:w w:val="105"/>
        </w:rPr>
        <w:t> </w:t>
      </w:r>
      <w:r>
        <w:rPr>
          <w:color w:val="231F20"/>
          <w:w w:val="105"/>
        </w:rPr>
        <w:t>que “cuando el rancho funcionaba no había quien te prestara un pedazo de tierra para sembrar.</w:t>
      </w:r>
      <w:r>
        <w:rPr>
          <w:color w:val="231F20"/>
          <w:spacing w:val="-42"/>
          <w:w w:val="105"/>
        </w:rPr>
        <w:t> </w:t>
      </w:r>
      <w:r>
        <w:rPr>
          <w:color w:val="231F20"/>
          <w:w w:val="105"/>
        </w:rPr>
        <w:t>Si se tenía suerte te rentaban la tierra o a medias y ahora</w:t>
      </w:r>
      <w:r>
        <w:rPr>
          <w:color w:val="231F20"/>
          <w:spacing w:val="-23"/>
          <w:w w:val="105"/>
        </w:rPr>
        <w:t> </w:t>
      </w:r>
      <w:r>
        <w:rPr>
          <w:color w:val="231F20"/>
          <w:w w:val="105"/>
        </w:rPr>
        <w:t>te</w:t>
      </w:r>
      <w:r>
        <w:rPr>
          <w:color w:val="231F20"/>
          <w:spacing w:val="-23"/>
          <w:w w:val="105"/>
        </w:rPr>
        <w:t> </w:t>
      </w:r>
      <w:r>
        <w:rPr>
          <w:color w:val="231F20"/>
          <w:w w:val="105"/>
        </w:rPr>
        <w:t>ofrecen</w:t>
      </w:r>
      <w:r>
        <w:rPr>
          <w:color w:val="231F20"/>
          <w:spacing w:val="-23"/>
          <w:w w:val="105"/>
        </w:rPr>
        <w:t> </w:t>
      </w:r>
      <w:r>
        <w:rPr>
          <w:color w:val="231F20"/>
          <w:w w:val="105"/>
        </w:rPr>
        <w:t>las</w:t>
      </w:r>
      <w:r>
        <w:rPr>
          <w:color w:val="231F20"/>
          <w:spacing w:val="-23"/>
          <w:w w:val="105"/>
        </w:rPr>
        <w:t> </w:t>
      </w:r>
      <w:r>
        <w:rPr>
          <w:color w:val="231F20"/>
          <w:w w:val="105"/>
        </w:rPr>
        <w:t>tierras</w:t>
      </w:r>
      <w:r>
        <w:rPr>
          <w:color w:val="231F20"/>
          <w:spacing w:val="-23"/>
          <w:w w:val="105"/>
        </w:rPr>
        <w:t> </w:t>
      </w:r>
      <w:r>
        <w:rPr>
          <w:color w:val="231F20"/>
          <w:w w:val="105"/>
        </w:rPr>
        <w:t>gratuitamente</w:t>
      </w:r>
      <w:r>
        <w:rPr>
          <w:color w:val="231F20"/>
          <w:spacing w:val="-23"/>
          <w:w w:val="105"/>
        </w:rPr>
        <w:t> </w:t>
      </w:r>
      <w:r>
        <w:rPr>
          <w:color w:val="231F20"/>
          <w:w w:val="105"/>
        </w:rPr>
        <w:t>para</w:t>
      </w:r>
      <w:r>
        <w:rPr>
          <w:color w:val="231F20"/>
          <w:spacing w:val="-23"/>
          <w:w w:val="105"/>
        </w:rPr>
        <w:t> </w:t>
      </w:r>
      <w:r>
        <w:rPr>
          <w:color w:val="231F20"/>
          <w:w w:val="105"/>
        </w:rPr>
        <w:t>que</w:t>
      </w:r>
      <w:r>
        <w:rPr>
          <w:color w:val="231F20"/>
          <w:spacing w:val="-23"/>
          <w:w w:val="105"/>
        </w:rPr>
        <w:t> </w:t>
      </w:r>
      <w:r>
        <w:rPr>
          <w:color w:val="231F20"/>
          <w:w w:val="105"/>
        </w:rPr>
        <w:t>las</w:t>
      </w:r>
      <w:r>
        <w:rPr>
          <w:color w:val="231F20"/>
          <w:spacing w:val="-23"/>
          <w:w w:val="105"/>
        </w:rPr>
        <w:t> </w:t>
      </w:r>
      <w:r>
        <w:rPr>
          <w:color w:val="231F20"/>
          <w:w w:val="105"/>
        </w:rPr>
        <w:t>siembres</w:t>
      </w:r>
      <w:r>
        <w:rPr>
          <w:color w:val="231F20"/>
          <w:spacing w:val="-23"/>
          <w:w w:val="105"/>
        </w:rPr>
        <w:t> </w:t>
      </w:r>
      <w:r>
        <w:rPr>
          <w:color w:val="231F20"/>
          <w:w w:val="105"/>
        </w:rPr>
        <w:t>con</w:t>
      </w:r>
      <w:r>
        <w:rPr>
          <w:color w:val="231F20"/>
          <w:spacing w:val="-23"/>
          <w:w w:val="105"/>
        </w:rPr>
        <w:t> </w:t>
      </w:r>
      <w:r>
        <w:rPr>
          <w:color w:val="231F20"/>
          <w:w w:val="105"/>
        </w:rPr>
        <w:t>el</w:t>
      </w:r>
      <w:r>
        <w:rPr>
          <w:color w:val="231F20"/>
          <w:spacing w:val="-23"/>
          <w:w w:val="105"/>
        </w:rPr>
        <w:t> </w:t>
      </w:r>
      <w:r>
        <w:rPr>
          <w:color w:val="231F20"/>
          <w:w w:val="105"/>
        </w:rPr>
        <w:t>fin de</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mantengan</w:t>
      </w:r>
      <w:r>
        <w:rPr>
          <w:color w:val="231F20"/>
          <w:spacing w:val="-27"/>
          <w:w w:val="105"/>
        </w:rPr>
        <w:t> </w:t>
      </w:r>
      <w:r>
        <w:rPr>
          <w:color w:val="231F20"/>
          <w:w w:val="105"/>
        </w:rPr>
        <w:t>en</w:t>
      </w:r>
      <w:r>
        <w:rPr>
          <w:color w:val="231F20"/>
          <w:spacing w:val="-27"/>
          <w:w w:val="105"/>
        </w:rPr>
        <w:t> </w:t>
      </w:r>
      <w:r>
        <w:rPr>
          <w:color w:val="231F20"/>
          <w:w w:val="105"/>
        </w:rPr>
        <w:t>buenas</w:t>
      </w:r>
      <w:r>
        <w:rPr>
          <w:color w:val="231F20"/>
          <w:spacing w:val="-27"/>
          <w:w w:val="105"/>
        </w:rPr>
        <w:t> </w:t>
      </w:r>
      <w:r>
        <w:rPr>
          <w:color w:val="231F20"/>
          <w:w w:val="105"/>
        </w:rPr>
        <w:t>condiciones”</w:t>
      </w:r>
      <w:r>
        <w:rPr>
          <w:color w:val="231F20"/>
          <w:spacing w:val="-27"/>
          <w:w w:val="105"/>
        </w:rPr>
        <w:t> </w:t>
      </w:r>
      <w:r>
        <w:rPr>
          <w:color w:val="231F20"/>
          <w:w w:val="105"/>
        </w:rPr>
        <w:t>(Entrevista</w:t>
      </w:r>
      <w:r>
        <w:rPr>
          <w:color w:val="231F20"/>
          <w:spacing w:val="-27"/>
          <w:w w:val="105"/>
        </w:rPr>
        <w:t> </w:t>
      </w:r>
      <w:r>
        <w:rPr>
          <w:color w:val="231F20"/>
          <w:w w:val="105"/>
        </w:rPr>
        <w:t>a</w:t>
      </w:r>
      <w:r>
        <w:rPr>
          <w:color w:val="231F20"/>
          <w:spacing w:val="-27"/>
          <w:w w:val="105"/>
        </w:rPr>
        <w:t> </w:t>
      </w:r>
      <w:r>
        <w:rPr>
          <w:color w:val="231F20"/>
          <w:spacing w:val="-4"/>
          <w:w w:val="105"/>
        </w:rPr>
        <w:t>Sr.</w:t>
      </w:r>
      <w:r>
        <w:rPr>
          <w:color w:val="231F20"/>
          <w:spacing w:val="-31"/>
          <w:w w:val="105"/>
        </w:rPr>
        <w:t> </w:t>
      </w:r>
      <w:r>
        <w:rPr>
          <w:color w:val="231F20"/>
          <w:w w:val="105"/>
        </w:rPr>
        <w:t>Leobardo, 20</w:t>
      </w:r>
      <w:r>
        <w:rPr>
          <w:color w:val="231F20"/>
          <w:spacing w:val="-13"/>
          <w:w w:val="105"/>
        </w:rPr>
        <w:t> </w:t>
      </w:r>
      <w:r>
        <w:rPr>
          <w:color w:val="231F20"/>
          <w:w w:val="105"/>
        </w:rPr>
        <w:t>de</w:t>
      </w:r>
      <w:r>
        <w:rPr>
          <w:color w:val="231F20"/>
          <w:spacing w:val="-13"/>
          <w:w w:val="105"/>
        </w:rPr>
        <w:t> </w:t>
      </w:r>
      <w:r>
        <w:rPr>
          <w:color w:val="231F20"/>
          <w:w w:val="105"/>
        </w:rPr>
        <w:t>marzo</w:t>
      </w:r>
      <w:r>
        <w:rPr>
          <w:color w:val="231F20"/>
          <w:spacing w:val="-13"/>
          <w:w w:val="105"/>
        </w:rPr>
        <w:t> </w:t>
      </w:r>
      <w:r>
        <w:rPr>
          <w:color w:val="231F20"/>
          <w:w w:val="105"/>
        </w:rPr>
        <w:t>de</w:t>
      </w:r>
      <w:r>
        <w:rPr>
          <w:color w:val="231F20"/>
          <w:spacing w:val="-13"/>
          <w:w w:val="105"/>
        </w:rPr>
        <w:t> </w:t>
      </w:r>
      <w:r>
        <w:rPr>
          <w:color w:val="231F20"/>
          <w:w w:val="105"/>
        </w:rPr>
        <w:t>2014).</w:t>
      </w:r>
    </w:p>
    <w:p>
      <w:pPr>
        <w:pStyle w:val="BodyText"/>
        <w:spacing w:line="261" w:lineRule="auto" w:before="1"/>
        <w:ind w:left="1837" w:right="1716" w:firstLine="567"/>
        <w:jc w:val="both"/>
      </w:pPr>
      <w:r>
        <w:rPr>
          <w:color w:val="231F20"/>
          <w:w w:val="105"/>
        </w:rPr>
        <w:t>En</w:t>
      </w:r>
      <w:r>
        <w:rPr>
          <w:color w:val="231F20"/>
          <w:spacing w:val="-22"/>
          <w:w w:val="105"/>
        </w:rPr>
        <w:t> </w:t>
      </w:r>
      <w:r>
        <w:rPr>
          <w:color w:val="231F20"/>
          <w:w w:val="105"/>
        </w:rPr>
        <w:t>suma,</w:t>
      </w:r>
      <w:r>
        <w:rPr>
          <w:color w:val="231F20"/>
          <w:spacing w:val="-26"/>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comunidad</w:t>
      </w:r>
      <w:r>
        <w:rPr>
          <w:color w:val="231F20"/>
          <w:spacing w:val="-22"/>
          <w:w w:val="105"/>
        </w:rPr>
        <w:t> </w:t>
      </w:r>
      <w:r>
        <w:rPr>
          <w:color w:val="231F20"/>
          <w:w w:val="105"/>
        </w:rPr>
        <w:t>estudiada</w:t>
      </w:r>
      <w:r>
        <w:rPr>
          <w:color w:val="231F20"/>
          <w:spacing w:val="-22"/>
          <w:w w:val="105"/>
        </w:rPr>
        <w:t> </w:t>
      </w:r>
      <w:r>
        <w:rPr>
          <w:color w:val="231F20"/>
          <w:w w:val="105"/>
        </w:rPr>
        <w:t>la</w:t>
      </w:r>
      <w:r>
        <w:rPr>
          <w:color w:val="231F20"/>
          <w:spacing w:val="-22"/>
          <w:w w:val="105"/>
        </w:rPr>
        <w:t> </w:t>
      </w:r>
      <w:r>
        <w:rPr>
          <w:color w:val="231F20"/>
          <w:w w:val="105"/>
        </w:rPr>
        <w:t>migración</w:t>
      </w:r>
      <w:r>
        <w:rPr>
          <w:color w:val="231F20"/>
          <w:spacing w:val="-22"/>
          <w:w w:val="105"/>
        </w:rPr>
        <w:t> </w:t>
      </w:r>
      <w:r>
        <w:rPr>
          <w:color w:val="231F20"/>
          <w:w w:val="105"/>
        </w:rPr>
        <w:t>y</w:t>
      </w:r>
      <w:r>
        <w:rPr>
          <w:color w:val="231F20"/>
          <w:spacing w:val="-22"/>
          <w:w w:val="105"/>
        </w:rPr>
        <w:t> </w:t>
      </w:r>
      <w:r>
        <w:rPr>
          <w:color w:val="231F20"/>
          <w:w w:val="105"/>
        </w:rPr>
        <w:t>las</w:t>
      </w:r>
      <w:r>
        <w:rPr>
          <w:color w:val="231F20"/>
          <w:spacing w:val="-21"/>
          <w:w w:val="105"/>
        </w:rPr>
        <w:t> </w:t>
      </w:r>
      <w:r>
        <w:rPr>
          <w:color w:val="231F20"/>
          <w:w w:val="105"/>
        </w:rPr>
        <w:t>remesas</w:t>
      </w:r>
      <w:r>
        <w:rPr>
          <w:color w:val="231F20"/>
          <w:spacing w:val="-22"/>
          <w:w w:val="105"/>
        </w:rPr>
        <w:t> </w:t>
      </w:r>
      <w:r>
        <w:rPr>
          <w:color w:val="231F20"/>
          <w:w w:val="105"/>
        </w:rPr>
        <w:t>no contribuyen</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desarrollo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comunidad,</w:t>
      </w:r>
      <w:r>
        <w:rPr>
          <w:color w:val="231F20"/>
          <w:spacing w:val="-23"/>
          <w:w w:val="105"/>
        </w:rPr>
        <w:t> </w:t>
      </w:r>
      <w:r>
        <w:rPr>
          <w:color w:val="231F20"/>
          <w:w w:val="105"/>
        </w:rPr>
        <w:t>sino</w:t>
      </w:r>
      <w:r>
        <w:rPr>
          <w:color w:val="231F20"/>
          <w:spacing w:val="-17"/>
          <w:w w:val="105"/>
        </w:rPr>
        <w:t> </w:t>
      </w:r>
      <w:r>
        <w:rPr>
          <w:color w:val="231F20"/>
          <w:w w:val="105"/>
        </w:rPr>
        <w:t>todo</w:t>
      </w:r>
      <w:r>
        <w:rPr>
          <w:color w:val="231F20"/>
          <w:spacing w:val="-17"/>
          <w:w w:val="105"/>
        </w:rPr>
        <w:t> </w:t>
      </w:r>
      <w:r>
        <w:rPr>
          <w:color w:val="231F20"/>
          <w:w w:val="105"/>
        </w:rPr>
        <w:t>lo</w:t>
      </w:r>
      <w:r>
        <w:rPr>
          <w:color w:val="231F20"/>
          <w:spacing w:val="-17"/>
          <w:w w:val="105"/>
        </w:rPr>
        <w:t> </w:t>
      </w:r>
      <w:r>
        <w:rPr>
          <w:color w:val="231F20"/>
          <w:w w:val="105"/>
        </w:rPr>
        <w:t>contrario.</w:t>
      </w:r>
      <w:r>
        <w:rPr>
          <w:color w:val="231F20"/>
          <w:spacing w:val="-23"/>
          <w:w w:val="105"/>
        </w:rPr>
        <w:t> </w:t>
      </w:r>
      <w:r>
        <w:rPr>
          <w:color w:val="231F20"/>
          <w:w w:val="105"/>
        </w:rPr>
        <w:t>La migración</w:t>
      </w:r>
      <w:r>
        <w:rPr>
          <w:color w:val="231F20"/>
          <w:spacing w:val="-20"/>
          <w:w w:val="105"/>
        </w:rPr>
        <w:t> </w:t>
      </w:r>
      <w:r>
        <w:rPr>
          <w:color w:val="231F20"/>
          <w:w w:val="105"/>
        </w:rPr>
        <w:t>representa</w:t>
      </w:r>
      <w:r>
        <w:rPr>
          <w:color w:val="231F20"/>
          <w:spacing w:val="-20"/>
          <w:w w:val="105"/>
        </w:rPr>
        <w:t> </w:t>
      </w:r>
      <w:r>
        <w:rPr>
          <w:color w:val="231F20"/>
          <w:w w:val="105"/>
        </w:rPr>
        <w:t>para</w:t>
      </w:r>
      <w:r>
        <w:rPr>
          <w:color w:val="231F20"/>
          <w:spacing w:val="-20"/>
          <w:w w:val="105"/>
        </w:rPr>
        <w:t> </w:t>
      </w:r>
      <w:r>
        <w:rPr>
          <w:color w:val="231F20"/>
          <w:w w:val="105"/>
        </w:rPr>
        <w:t>la</w:t>
      </w:r>
      <w:r>
        <w:rPr>
          <w:color w:val="231F20"/>
          <w:spacing w:val="-20"/>
          <w:w w:val="105"/>
        </w:rPr>
        <w:t> </w:t>
      </w:r>
      <w:r>
        <w:rPr>
          <w:color w:val="231F20"/>
          <w:w w:val="105"/>
        </w:rPr>
        <w:t>gran</w:t>
      </w:r>
      <w:r>
        <w:rPr>
          <w:color w:val="231F20"/>
          <w:spacing w:val="-20"/>
          <w:w w:val="105"/>
        </w:rPr>
        <w:t> </w:t>
      </w:r>
      <w:r>
        <w:rPr>
          <w:color w:val="231F20"/>
          <w:w w:val="105"/>
        </w:rPr>
        <w:t>mayoría</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familias</w:t>
      </w:r>
      <w:r>
        <w:rPr>
          <w:color w:val="231F20"/>
          <w:spacing w:val="-20"/>
          <w:w w:val="105"/>
        </w:rPr>
        <w:t> </w:t>
      </w:r>
      <w:r>
        <w:rPr>
          <w:color w:val="231F20"/>
          <w:w w:val="105"/>
        </w:rPr>
        <w:t>una</w:t>
      </w:r>
      <w:r>
        <w:rPr>
          <w:color w:val="231F20"/>
          <w:spacing w:val="-20"/>
          <w:w w:val="105"/>
        </w:rPr>
        <w:t> </w:t>
      </w:r>
      <w:r>
        <w:rPr>
          <w:color w:val="231F20"/>
          <w:w w:val="105"/>
        </w:rPr>
        <w:t>pérdida</w:t>
      </w:r>
      <w:r>
        <w:rPr>
          <w:color w:val="231F20"/>
          <w:spacing w:val="-20"/>
          <w:w w:val="105"/>
        </w:rPr>
        <w:t> </w:t>
      </w:r>
      <w:r>
        <w:rPr>
          <w:color w:val="231F20"/>
          <w:w w:val="105"/>
        </w:rPr>
        <w:t>de capital</w:t>
      </w:r>
      <w:r>
        <w:rPr>
          <w:color w:val="231F20"/>
          <w:spacing w:val="-21"/>
          <w:w w:val="105"/>
        </w:rPr>
        <w:t> </w:t>
      </w:r>
      <w:r>
        <w:rPr>
          <w:color w:val="231F20"/>
          <w:w w:val="105"/>
        </w:rPr>
        <w:t>humano,</w:t>
      </w:r>
      <w:r>
        <w:rPr>
          <w:color w:val="231F20"/>
          <w:spacing w:val="-26"/>
          <w:w w:val="105"/>
        </w:rPr>
        <w:t> </w:t>
      </w:r>
      <w:r>
        <w:rPr>
          <w:color w:val="231F20"/>
          <w:w w:val="105"/>
        </w:rPr>
        <w:t>sin</w:t>
      </w:r>
      <w:r>
        <w:rPr>
          <w:color w:val="231F20"/>
          <w:spacing w:val="-21"/>
          <w:w w:val="105"/>
        </w:rPr>
        <w:t> </w:t>
      </w:r>
      <w:r>
        <w:rPr>
          <w:color w:val="231F20"/>
          <w:w w:val="105"/>
        </w:rPr>
        <w:t>que</w:t>
      </w:r>
      <w:r>
        <w:rPr>
          <w:color w:val="231F20"/>
          <w:spacing w:val="-21"/>
          <w:w w:val="105"/>
        </w:rPr>
        <w:t> </w:t>
      </w:r>
      <w:r>
        <w:rPr>
          <w:color w:val="231F20"/>
          <w:w w:val="105"/>
        </w:rPr>
        <w:t>en</w:t>
      </w:r>
      <w:r>
        <w:rPr>
          <w:color w:val="231F20"/>
          <w:spacing w:val="-21"/>
          <w:w w:val="105"/>
        </w:rPr>
        <w:t> </w:t>
      </w:r>
      <w:r>
        <w:rPr>
          <w:color w:val="231F20"/>
          <w:w w:val="105"/>
        </w:rPr>
        <w:t>contrapartida</w:t>
      </w:r>
      <w:r>
        <w:rPr>
          <w:color w:val="231F20"/>
          <w:spacing w:val="-21"/>
          <w:w w:val="105"/>
        </w:rPr>
        <w:t> </w:t>
      </w:r>
      <w:r>
        <w:rPr>
          <w:color w:val="231F20"/>
          <w:w w:val="105"/>
        </w:rPr>
        <w:t>se</w:t>
      </w:r>
      <w:r>
        <w:rPr>
          <w:color w:val="231F20"/>
          <w:spacing w:val="-21"/>
          <w:w w:val="105"/>
        </w:rPr>
        <w:t> </w:t>
      </w:r>
      <w:r>
        <w:rPr>
          <w:color w:val="231F20"/>
          <w:w w:val="105"/>
        </w:rPr>
        <w:t>reciban</w:t>
      </w:r>
      <w:r>
        <w:rPr>
          <w:color w:val="231F20"/>
          <w:spacing w:val="-21"/>
          <w:w w:val="105"/>
        </w:rPr>
        <w:t> </w:t>
      </w:r>
      <w:r>
        <w:rPr>
          <w:color w:val="231F20"/>
          <w:w w:val="105"/>
        </w:rPr>
        <w:t>ingresos</w:t>
      </w:r>
      <w:r>
        <w:rPr>
          <w:color w:val="231F20"/>
          <w:spacing w:val="-21"/>
          <w:w w:val="105"/>
        </w:rPr>
        <w:t> </w:t>
      </w:r>
      <w:r>
        <w:rPr>
          <w:color w:val="231F20"/>
          <w:w w:val="105"/>
        </w:rPr>
        <w:t>en</w:t>
      </w:r>
      <w:r>
        <w:rPr>
          <w:color w:val="231F20"/>
          <w:spacing w:val="-21"/>
          <w:w w:val="105"/>
        </w:rPr>
        <w:t> </w:t>
      </w:r>
      <w:r>
        <w:rPr>
          <w:color w:val="231F20"/>
          <w:w w:val="105"/>
        </w:rPr>
        <w:t>efectivo. Así,</w:t>
      </w:r>
      <w:r>
        <w:rPr>
          <w:color w:val="231F20"/>
          <w:spacing w:val="-23"/>
          <w:w w:val="105"/>
        </w:rPr>
        <w:t> </w:t>
      </w:r>
      <w:r>
        <w:rPr>
          <w:color w:val="231F20"/>
          <w:w w:val="105"/>
        </w:rPr>
        <w:t>el</w:t>
      </w:r>
      <w:r>
        <w:rPr>
          <w:color w:val="231F20"/>
          <w:spacing w:val="-17"/>
          <w:w w:val="105"/>
        </w:rPr>
        <w:t> </w:t>
      </w:r>
      <w:r>
        <w:rPr>
          <w:color w:val="231F20"/>
          <w:w w:val="105"/>
        </w:rPr>
        <w:t>acto</w:t>
      </w:r>
      <w:r>
        <w:rPr>
          <w:color w:val="231F20"/>
          <w:spacing w:val="-17"/>
          <w:w w:val="105"/>
        </w:rPr>
        <w:t> </w:t>
      </w:r>
      <w:r>
        <w:rPr>
          <w:color w:val="231F20"/>
          <w:w w:val="105"/>
        </w:rPr>
        <w:t>de</w:t>
      </w:r>
      <w:r>
        <w:rPr>
          <w:color w:val="231F20"/>
          <w:spacing w:val="-17"/>
          <w:w w:val="105"/>
        </w:rPr>
        <w:t> </w:t>
      </w:r>
      <w:r>
        <w:rPr>
          <w:color w:val="231F20"/>
          <w:w w:val="105"/>
        </w:rPr>
        <w:t>migrar</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realiza</w:t>
      </w:r>
      <w:r>
        <w:rPr>
          <w:color w:val="231F20"/>
          <w:spacing w:val="-17"/>
          <w:w w:val="105"/>
        </w:rPr>
        <w:t> </w:t>
      </w:r>
      <w:r>
        <w:rPr>
          <w:color w:val="231F20"/>
          <w:w w:val="105"/>
        </w:rPr>
        <w:t>para</w:t>
      </w:r>
      <w:r>
        <w:rPr>
          <w:color w:val="231F20"/>
          <w:spacing w:val="-17"/>
          <w:w w:val="105"/>
        </w:rPr>
        <w:t> </w:t>
      </w:r>
      <w:r>
        <w:rPr>
          <w:color w:val="231F20"/>
          <w:w w:val="105"/>
        </w:rPr>
        <w:t>mejorar</w:t>
      </w:r>
      <w:r>
        <w:rPr>
          <w:color w:val="231F20"/>
          <w:spacing w:val="-17"/>
          <w:w w:val="105"/>
        </w:rPr>
        <w:t> </w:t>
      </w:r>
      <w:r>
        <w:rPr>
          <w:color w:val="231F20"/>
          <w:w w:val="105"/>
        </w:rPr>
        <w:t>las</w:t>
      </w:r>
      <w:r>
        <w:rPr>
          <w:color w:val="231F20"/>
          <w:spacing w:val="-17"/>
          <w:w w:val="105"/>
        </w:rPr>
        <w:t> </w:t>
      </w:r>
      <w:r>
        <w:rPr>
          <w:color w:val="231F20"/>
          <w:w w:val="105"/>
        </w:rPr>
        <w:t>condiciones</w:t>
      </w:r>
      <w:r>
        <w:rPr>
          <w:color w:val="231F20"/>
          <w:spacing w:val="-17"/>
          <w:w w:val="105"/>
        </w:rPr>
        <w:t> </w:t>
      </w:r>
      <w:r>
        <w:rPr>
          <w:color w:val="231F20"/>
          <w:w w:val="105"/>
        </w:rPr>
        <w:t>de</w:t>
      </w:r>
      <w:r>
        <w:rPr>
          <w:color w:val="231F20"/>
          <w:spacing w:val="-17"/>
          <w:w w:val="105"/>
        </w:rPr>
        <w:t> </w:t>
      </w:r>
      <w:r>
        <w:rPr>
          <w:color w:val="231F20"/>
          <w:w w:val="105"/>
        </w:rPr>
        <w:t>vida de</w:t>
      </w:r>
      <w:r>
        <w:rPr>
          <w:color w:val="231F20"/>
          <w:spacing w:val="-21"/>
          <w:w w:val="105"/>
        </w:rPr>
        <w:t> </w:t>
      </w:r>
      <w:r>
        <w:rPr>
          <w:color w:val="231F20"/>
          <w:w w:val="105"/>
        </w:rPr>
        <w:t>los</w:t>
      </w:r>
      <w:r>
        <w:rPr>
          <w:color w:val="231F20"/>
          <w:spacing w:val="-21"/>
          <w:w w:val="105"/>
        </w:rPr>
        <w:t> </w:t>
      </w:r>
      <w:r>
        <w:rPr>
          <w:color w:val="231F20"/>
          <w:w w:val="105"/>
        </w:rPr>
        <w:t>hogares,</w:t>
      </w:r>
      <w:r>
        <w:rPr>
          <w:color w:val="231F20"/>
          <w:spacing w:val="-27"/>
          <w:w w:val="105"/>
        </w:rPr>
        <w:t> </w:t>
      </w:r>
      <w:r>
        <w:rPr>
          <w:color w:val="231F20"/>
          <w:w w:val="105"/>
        </w:rPr>
        <w:t>termina</w:t>
      </w:r>
      <w:r>
        <w:rPr>
          <w:color w:val="231F20"/>
          <w:spacing w:val="-21"/>
          <w:w w:val="105"/>
        </w:rPr>
        <w:t> </w:t>
      </w:r>
      <w:r>
        <w:rPr>
          <w:color w:val="231F20"/>
          <w:w w:val="105"/>
        </w:rPr>
        <w:t>perjudicando</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familias</w:t>
      </w:r>
      <w:r>
        <w:rPr>
          <w:color w:val="231F20"/>
          <w:spacing w:val="-21"/>
          <w:w w:val="105"/>
        </w:rPr>
        <w:t> </w:t>
      </w:r>
      <w:r>
        <w:rPr>
          <w:color w:val="231F20"/>
          <w:w w:val="105"/>
        </w:rPr>
        <w:t>y</w:t>
      </w:r>
      <w:r>
        <w:rPr>
          <w:color w:val="231F20"/>
          <w:spacing w:val="-21"/>
          <w:w w:val="105"/>
        </w:rPr>
        <w:t> </w:t>
      </w:r>
      <w:r>
        <w:rPr>
          <w:color w:val="231F20"/>
          <w:w w:val="105"/>
        </w:rPr>
        <w:t>a</w:t>
      </w:r>
      <w:r>
        <w:rPr>
          <w:color w:val="231F20"/>
          <w:spacing w:val="-21"/>
          <w:w w:val="105"/>
        </w:rPr>
        <w:t> </w:t>
      </w:r>
      <w:r>
        <w:rPr>
          <w:color w:val="231F20"/>
          <w:w w:val="105"/>
        </w:rPr>
        <w:t>toda</w:t>
      </w:r>
      <w:r>
        <w:rPr>
          <w:color w:val="231F20"/>
          <w:spacing w:val="-21"/>
          <w:w w:val="105"/>
        </w:rPr>
        <w:t> </w:t>
      </w:r>
      <w:r>
        <w:rPr>
          <w:color w:val="231F20"/>
          <w:w w:val="105"/>
        </w:rPr>
        <w:t>la</w:t>
      </w:r>
      <w:r>
        <w:rPr>
          <w:color w:val="231F20"/>
          <w:spacing w:val="-21"/>
          <w:w w:val="105"/>
        </w:rPr>
        <w:t> </w:t>
      </w:r>
      <w:r>
        <w:rPr>
          <w:color w:val="231F20"/>
          <w:w w:val="105"/>
        </w:rPr>
        <w:t>comunidad </w:t>
      </w:r>
      <w:r>
        <w:rPr>
          <w:color w:val="231F20"/>
        </w:rPr>
        <w:t>(Salas, Cruz y Honorio,</w:t>
      </w:r>
      <w:r>
        <w:rPr>
          <w:color w:val="231F20"/>
          <w:spacing w:val="-29"/>
        </w:rPr>
        <w:t> </w:t>
      </w:r>
      <w:r>
        <w:rPr>
          <w:color w:val="231F20"/>
        </w:rPr>
        <w:t>2012).</w:t>
      </w:r>
    </w:p>
    <w:p>
      <w:pPr>
        <w:pStyle w:val="BodyText"/>
        <w:rPr>
          <w:sz w:val="20"/>
        </w:rPr>
      </w:pPr>
    </w:p>
    <w:p>
      <w:pPr>
        <w:pStyle w:val="BodyText"/>
        <w:spacing w:before="9"/>
        <w:rPr>
          <w:sz w:val="20"/>
        </w:rPr>
      </w:pPr>
    </w:p>
    <w:p>
      <w:pPr>
        <w:pStyle w:val="Heading3"/>
      </w:pPr>
      <w:r>
        <w:rPr>
          <w:color w:val="231F20"/>
        </w:rPr>
        <w:t>Conclusiones</w:t>
      </w:r>
    </w:p>
    <w:p>
      <w:pPr>
        <w:pStyle w:val="BodyText"/>
        <w:rPr>
          <w:rFonts w:ascii="Arial"/>
          <w:b/>
          <w:sz w:val="22"/>
        </w:rPr>
      </w:pPr>
    </w:p>
    <w:p>
      <w:pPr>
        <w:pStyle w:val="BodyText"/>
        <w:spacing w:line="261" w:lineRule="auto" w:before="163"/>
        <w:ind w:left="1837" w:right="1721"/>
        <w:jc w:val="both"/>
      </w:pPr>
      <w:r>
        <w:rPr/>
        <w:pict>
          <v:line style="position:absolute;mso-position-horizontal-relative:page;mso-position-vertical-relative:paragraph;z-index:-448864" from="15pt,119.431892pt" to="0pt,119.431892pt" stroked="true" strokeweight=".25pt" strokecolor="#000000">
            <w10:wrap type="none"/>
          </v:line>
        </w:pict>
      </w:r>
      <w:r>
        <w:rPr/>
        <w:pict>
          <v:line style="position:absolute;mso-position-horizontal-relative:page;mso-position-vertical-relative:paragraph;z-index:41344" from="508.890015pt,119.431892pt" to="523.890015pt,119.431892pt" stroked="true" strokeweight=".25pt" strokecolor="#000000">
            <w10:wrap type="none"/>
          </v:line>
        </w:pict>
      </w:r>
      <w:r>
        <w:rPr>
          <w:color w:val="231F20"/>
          <w:w w:val="105"/>
        </w:rPr>
        <w:t>La</w:t>
      </w:r>
      <w:r>
        <w:rPr>
          <w:color w:val="231F20"/>
          <w:spacing w:val="-14"/>
          <w:w w:val="105"/>
        </w:rPr>
        <w:t> </w:t>
      </w:r>
      <w:r>
        <w:rPr>
          <w:color w:val="231F20"/>
          <w:w w:val="105"/>
        </w:rPr>
        <w:t>propuesta</w:t>
      </w:r>
      <w:r>
        <w:rPr>
          <w:color w:val="231F20"/>
          <w:spacing w:val="-14"/>
          <w:w w:val="105"/>
        </w:rPr>
        <w:t> </w:t>
      </w:r>
      <w:r>
        <w:rPr>
          <w:color w:val="231F20"/>
          <w:w w:val="105"/>
        </w:rPr>
        <w:t>metodológica</w:t>
      </w:r>
      <w:r>
        <w:rPr>
          <w:color w:val="231F20"/>
          <w:spacing w:val="-14"/>
          <w:w w:val="105"/>
        </w:rPr>
        <w:t> </w:t>
      </w:r>
      <w:r>
        <w:rPr>
          <w:color w:val="231F20"/>
          <w:w w:val="105"/>
        </w:rPr>
        <w:t>empleada</w:t>
      </w:r>
      <w:r>
        <w:rPr>
          <w:color w:val="231F20"/>
          <w:spacing w:val="-14"/>
          <w:w w:val="105"/>
        </w:rPr>
        <w:t> </w:t>
      </w:r>
      <w:r>
        <w:rPr>
          <w:color w:val="231F20"/>
          <w:w w:val="105"/>
        </w:rPr>
        <w:t>en</w:t>
      </w:r>
      <w:r>
        <w:rPr>
          <w:color w:val="231F20"/>
          <w:spacing w:val="-14"/>
          <w:w w:val="105"/>
        </w:rPr>
        <w:t> </w:t>
      </w:r>
      <w:r>
        <w:rPr>
          <w:color w:val="231F20"/>
          <w:w w:val="105"/>
        </w:rPr>
        <w:t>esta</w:t>
      </w:r>
      <w:r>
        <w:rPr>
          <w:color w:val="231F20"/>
          <w:spacing w:val="-14"/>
          <w:w w:val="105"/>
        </w:rPr>
        <w:t> </w:t>
      </w:r>
      <w:r>
        <w:rPr>
          <w:color w:val="231F20"/>
          <w:w w:val="105"/>
        </w:rPr>
        <w:t>investigación,</w:t>
      </w:r>
      <w:r>
        <w:rPr>
          <w:color w:val="231F20"/>
          <w:spacing w:val="-19"/>
          <w:w w:val="105"/>
        </w:rPr>
        <w:t> </w:t>
      </w:r>
      <w:r>
        <w:rPr>
          <w:color w:val="231F20"/>
          <w:w w:val="105"/>
        </w:rPr>
        <w:t>explica</w:t>
      </w:r>
      <w:r>
        <w:rPr>
          <w:color w:val="231F20"/>
          <w:spacing w:val="-14"/>
          <w:w w:val="105"/>
        </w:rPr>
        <w:t> </w:t>
      </w:r>
      <w:r>
        <w:rPr>
          <w:color w:val="231F20"/>
          <w:w w:val="105"/>
        </w:rPr>
        <w:t>dos de los enfoques teóricos a partir de los cuales puede ser analizada  </w:t>
      </w:r>
      <w:r>
        <w:rPr>
          <w:color w:val="231F20"/>
          <w:spacing w:val="51"/>
          <w:w w:val="105"/>
        </w:rPr>
        <w:t> </w:t>
      </w:r>
      <w:r>
        <w:rPr>
          <w:color w:val="231F20"/>
          <w:w w:val="105"/>
        </w:rPr>
        <w:t>la</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683"/>
      </w:pPr>
      <w:r>
        <w:rPr/>
        <w:pict>
          <v:line style="position:absolute;mso-position-horizontal-relative:page;mso-position-vertical-relative:paragraph;z-index:41392" from="15pt,-71.68644pt" to="0pt,-71.68644pt" stroked="true" strokeweight=".25pt" strokecolor="#000000">
            <w10:wrap type="none"/>
          </v:line>
        </w:pict>
      </w:r>
      <w:r>
        <w:rPr/>
        <w:pict>
          <v:line style="position:absolute;mso-position-horizontal-relative:page;mso-position-vertical-relative:paragraph;z-index:41416" from="508.890015pt,-71.68644pt" to="523.890015pt,-71.68644pt" stroked="true" strokeweight=".25pt" strokecolor="#000000">
            <w10:wrap type="none"/>
          </v:line>
        </w:pict>
      </w:r>
      <w:r>
        <w:rPr>
          <w:color w:val="231F20"/>
          <w:w w:val="105"/>
        </w:rPr>
        <w:t>migración, propuestos por los pioneros en la materia (Dinerman, 1983; Mines, 1981:24; Reichert, 1981; Wiest, 1983; Rionda, 1992: 250).</w:t>
      </w:r>
    </w:p>
    <w:p>
      <w:pPr>
        <w:pStyle w:val="BodyText"/>
        <w:spacing w:line="261" w:lineRule="auto" w:before="1"/>
        <w:ind w:left="1723" w:right="1829" w:firstLine="567"/>
        <w:jc w:val="both"/>
      </w:pPr>
      <w:r>
        <w:rPr>
          <w:color w:val="231F20"/>
          <w:w w:val="105"/>
        </w:rPr>
        <w:t>La perspectiva alentadora establece que el objetivo de la migra- ción</w:t>
      </w:r>
      <w:r>
        <w:rPr>
          <w:color w:val="231F20"/>
          <w:spacing w:val="-14"/>
          <w:w w:val="105"/>
        </w:rPr>
        <w:t> </w:t>
      </w:r>
      <w:r>
        <w:rPr>
          <w:color w:val="231F20"/>
          <w:w w:val="105"/>
        </w:rPr>
        <w:t>es</w:t>
      </w:r>
      <w:r>
        <w:rPr>
          <w:color w:val="231F20"/>
          <w:spacing w:val="-14"/>
          <w:w w:val="105"/>
        </w:rPr>
        <w:t> </w:t>
      </w:r>
      <w:r>
        <w:rPr>
          <w:color w:val="231F20"/>
          <w:w w:val="105"/>
        </w:rPr>
        <w:t>traer</w:t>
      </w:r>
      <w:r>
        <w:rPr>
          <w:color w:val="231F20"/>
          <w:spacing w:val="-14"/>
          <w:w w:val="105"/>
        </w:rPr>
        <w:t> </w:t>
      </w:r>
      <w:r>
        <w:rPr>
          <w:color w:val="231F20"/>
          <w:w w:val="105"/>
        </w:rPr>
        <w:t>recursos</w:t>
      </w:r>
      <w:r>
        <w:rPr>
          <w:color w:val="231F20"/>
          <w:spacing w:val="-14"/>
          <w:w w:val="105"/>
        </w:rPr>
        <w:t> </w:t>
      </w:r>
      <w:r>
        <w:rPr>
          <w:color w:val="231F20"/>
          <w:w w:val="105"/>
        </w:rPr>
        <w:t>y</w:t>
      </w:r>
      <w:r>
        <w:rPr>
          <w:color w:val="231F20"/>
          <w:spacing w:val="-14"/>
          <w:w w:val="105"/>
        </w:rPr>
        <w:t> </w:t>
      </w:r>
      <w:r>
        <w:rPr>
          <w:color w:val="231F20"/>
          <w:w w:val="105"/>
        </w:rPr>
        <w:t>acercarlos</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unidad</w:t>
      </w:r>
      <w:r>
        <w:rPr>
          <w:color w:val="231F20"/>
          <w:spacing w:val="-14"/>
          <w:w w:val="105"/>
        </w:rPr>
        <w:t> </w:t>
      </w:r>
      <w:r>
        <w:rPr>
          <w:color w:val="231F20"/>
          <w:w w:val="105"/>
        </w:rPr>
        <w:t>doméstica</w:t>
      </w:r>
      <w:r>
        <w:rPr>
          <w:color w:val="231F20"/>
          <w:spacing w:val="-14"/>
          <w:w w:val="105"/>
        </w:rPr>
        <w:t> </w:t>
      </w:r>
      <w:r>
        <w:rPr>
          <w:color w:val="231F20"/>
          <w:w w:val="105"/>
        </w:rPr>
        <w:t>para</w:t>
      </w:r>
      <w:r>
        <w:rPr>
          <w:color w:val="231F20"/>
          <w:spacing w:val="-14"/>
          <w:w w:val="105"/>
        </w:rPr>
        <w:t> </w:t>
      </w:r>
      <w:r>
        <w:rPr>
          <w:color w:val="231F20"/>
          <w:w w:val="105"/>
        </w:rPr>
        <w:t>invertirlos y</w:t>
      </w:r>
      <w:r>
        <w:rPr>
          <w:color w:val="231F20"/>
          <w:spacing w:val="-22"/>
          <w:w w:val="105"/>
        </w:rPr>
        <w:t> </w:t>
      </w:r>
      <w:r>
        <w:rPr>
          <w:color w:val="231F20"/>
          <w:w w:val="105"/>
        </w:rPr>
        <w:t>poder</w:t>
      </w:r>
      <w:r>
        <w:rPr>
          <w:color w:val="231F20"/>
          <w:spacing w:val="-22"/>
          <w:w w:val="105"/>
        </w:rPr>
        <w:t> </w:t>
      </w:r>
      <w:r>
        <w:rPr>
          <w:color w:val="231F20"/>
          <w:w w:val="105"/>
        </w:rPr>
        <w:t>superar</w:t>
      </w:r>
      <w:r>
        <w:rPr>
          <w:color w:val="231F20"/>
          <w:spacing w:val="-22"/>
          <w:w w:val="105"/>
        </w:rPr>
        <w:t> </w:t>
      </w:r>
      <w:r>
        <w:rPr>
          <w:color w:val="231F20"/>
          <w:w w:val="105"/>
        </w:rPr>
        <w:t>las</w:t>
      </w:r>
      <w:r>
        <w:rPr>
          <w:color w:val="231F20"/>
          <w:spacing w:val="-22"/>
          <w:w w:val="105"/>
        </w:rPr>
        <w:t> </w:t>
      </w:r>
      <w:r>
        <w:rPr>
          <w:color w:val="231F20"/>
          <w:w w:val="105"/>
        </w:rPr>
        <w:t>restricciones</w:t>
      </w:r>
      <w:r>
        <w:rPr>
          <w:color w:val="231F20"/>
          <w:spacing w:val="-22"/>
          <w:w w:val="105"/>
        </w:rPr>
        <w:t> </w:t>
      </w:r>
      <w:r>
        <w:rPr>
          <w:color w:val="231F20"/>
          <w:w w:val="105"/>
        </w:rPr>
        <w:t>financieras</w:t>
      </w:r>
      <w:r>
        <w:rPr>
          <w:color w:val="231F20"/>
          <w:spacing w:val="-22"/>
          <w:w w:val="105"/>
        </w:rPr>
        <w:t> </w:t>
      </w:r>
      <w:r>
        <w:rPr>
          <w:color w:val="231F20"/>
          <w:w w:val="105"/>
        </w:rPr>
        <w:t>y</w:t>
      </w:r>
      <w:r>
        <w:rPr>
          <w:color w:val="231F20"/>
          <w:spacing w:val="-22"/>
          <w:w w:val="105"/>
        </w:rPr>
        <w:t> </w:t>
      </w:r>
      <w:r>
        <w:rPr>
          <w:color w:val="231F20"/>
          <w:w w:val="105"/>
        </w:rPr>
        <w:t>así</w:t>
      </w:r>
      <w:r>
        <w:rPr>
          <w:color w:val="231F20"/>
          <w:spacing w:val="-22"/>
          <w:w w:val="105"/>
        </w:rPr>
        <w:t> </w:t>
      </w:r>
      <w:r>
        <w:rPr>
          <w:color w:val="231F20"/>
          <w:w w:val="105"/>
        </w:rPr>
        <w:t>producir</w:t>
      </w:r>
      <w:r>
        <w:rPr>
          <w:color w:val="231F20"/>
          <w:spacing w:val="-22"/>
          <w:w w:val="105"/>
        </w:rPr>
        <w:t> </w:t>
      </w:r>
      <w:r>
        <w:rPr>
          <w:color w:val="231F20"/>
          <w:w w:val="105"/>
        </w:rPr>
        <w:t>más</w:t>
      </w:r>
      <w:r>
        <w:rPr>
          <w:color w:val="231F20"/>
          <w:spacing w:val="-22"/>
          <w:w w:val="105"/>
        </w:rPr>
        <w:t> </w:t>
      </w:r>
      <w:r>
        <w:rPr>
          <w:color w:val="231F20"/>
          <w:w w:val="105"/>
        </w:rPr>
        <w:t>y</w:t>
      </w:r>
      <w:r>
        <w:rPr>
          <w:color w:val="231F20"/>
          <w:spacing w:val="-22"/>
          <w:w w:val="105"/>
        </w:rPr>
        <w:t> </w:t>
      </w:r>
      <w:r>
        <w:rPr>
          <w:color w:val="231F20"/>
          <w:w w:val="105"/>
        </w:rPr>
        <w:t>lograr</w:t>
      </w:r>
      <w:r>
        <w:rPr>
          <w:color w:val="231F20"/>
          <w:spacing w:val="-22"/>
          <w:w w:val="105"/>
        </w:rPr>
        <w:t> </w:t>
      </w:r>
      <w:r>
        <w:rPr>
          <w:color w:val="231F20"/>
          <w:w w:val="105"/>
        </w:rPr>
        <w:t>la subsistencia</w:t>
      </w:r>
      <w:r>
        <w:rPr>
          <w:color w:val="231F20"/>
          <w:spacing w:val="-6"/>
          <w:w w:val="105"/>
        </w:rPr>
        <w:t> </w:t>
      </w:r>
      <w:r>
        <w:rPr>
          <w:color w:val="231F20"/>
          <w:w w:val="105"/>
        </w:rPr>
        <w:t>y</w:t>
      </w:r>
      <w:r>
        <w:rPr>
          <w:color w:val="231F20"/>
          <w:spacing w:val="-6"/>
          <w:w w:val="105"/>
        </w:rPr>
        <w:t> </w:t>
      </w:r>
      <w:r>
        <w:rPr>
          <w:color w:val="231F20"/>
          <w:w w:val="105"/>
        </w:rPr>
        <w:t>mejora</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condiciones</w:t>
      </w:r>
      <w:r>
        <w:rPr>
          <w:color w:val="231F20"/>
          <w:spacing w:val="-6"/>
          <w:w w:val="105"/>
        </w:rPr>
        <w:t> </w:t>
      </w:r>
      <w:r>
        <w:rPr>
          <w:color w:val="231F20"/>
          <w:w w:val="105"/>
        </w:rPr>
        <w:t>de</w:t>
      </w:r>
      <w:r>
        <w:rPr>
          <w:color w:val="231F20"/>
          <w:spacing w:val="-6"/>
          <w:w w:val="105"/>
        </w:rPr>
        <w:t> </w:t>
      </w:r>
      <w:r>
        <w:rPr>
          <w:color w:val="231F20"/>
          <w:w w:val="105"/>
        </w:rPr>
        <w:t>vida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quedan. Sin embargo, para el caso de la comunidad estudiada no se pudo ob- servar ningún caso de migración que fuera favorable para aumentar la productividad en el lugar de</w:t>
      </w:r>
      <w:r>
        <w:rPr>
          <w:color w:val="231F20"/>
          <w:spacing w:val="19"/>
          <w:w w:val="105"/>
        </w:rPr>
        <w:t> </w:t>
      </w:r>
      <w:r>
        <w:rPr>
          <w:color w:val="231F20"/>
          <w:w w:val="105"/>
        </w:rPr>
        <w:t>origen.</w:t>
      </w:r>
    </w:p>
    <w:p>
      <w:pPr>
        <w:pStyle w:val="BodyText"/>
        <w:spacing w:line="261" w:lineRule="auto" w:before="1"/>
        <w:ind w:left="1723" w:right="1834" w:firstLine="567"/>
        <w:jc w:val="both"/>
      </w:pPr>
      <w:r>
        <w:rPr>
          <w:color w:val="231F20"/>
          <w:spacing w:val="-4"/>
          <w:w w:val="105"/>
        </w:rPr>
        <w:t>Para </w:t>
      </w:r>
      <w:r>
        <w:rPr>
          <w:color w:val="231F20"/>
          <w:w w:val="105"/>
        </w:rPr>
        <w:t>la perspectiva negativa los migrantes tienen como objetivo principal</w:t>
      </w:r>
      <w:r>
        <w:rPr>
          <w:color w:val="231F20"/>
          <w:spacing w:val="-11"/>
          <w:w w:val="105"/>
        </w:rPr>
        <w:t> </w:t>
      </w:r>
      <w:r>
        <w:rPr>
          <w:color w:val="231F20"/>
          <w:w w:val="105"/>
        </w:rPr>
        <w:t>sobrevivir</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lugar</w:t>
      </w:r>
      <w:r>
        <w:rPr>
          <w:color w:val="231F20"/>
          <w:spacing w:val="-11"/>
          <w:w w:val="105"/>
        </w:rPr>
        <w:t> </w:t>
      </w:r>
      <w:r>
        <w:rPr>
          <w:color w:val="231F20"/>
          <w:w w:val="105"/>
        </w:rPr>
        <w:t>de</w:t>
      </w:r>
      <w:r>
        <w:rPr>
          <w:color w:val="231F20"/>
          <w:spacing w:val="-11"/>
          <w:w w:val="105"/>
        </w:rPr>
        <w:t> </w:t>
      </w:r>
      <w:r>
        <w:rPr>
          <w:color w:val="231F20"/>
          <w:w w:val="105"/>
        </w:rPr>
        <w:t>destino</w:t>
      </w:r>
      <w:r>
        <w:rPr>
          <w:color w:val="231F20"/>
          <w:spacing w:val="-11"/>
          <w:w w:val="105"/>
        </w:rPr>
        <w:t> </w:t>
      </w:r>
      <w:r>
        <w:rPr>
          <w:color w:val="231F20"/>
          <w:w w:val="105"/>
        </w:rPr>
        <w:t>y</w:t>
      </w:r>
      <w:r>
        <w:rPr>
          <w:color w:val="231F20"/>
          <w:spacing w:val="-11"/>
          <w:w w:val="105"/>
        </w:rPr>
        <w:t> </w:t>
      </w:r>
      <w:r>
        <w:rPr>
          <w:color w:val="231F20"/>
          <w:w w:val="105"/>
        </w:rPr>
        <w:t>por</w:t>
      </w:r>
      <w:r>
        <w:rPr>
          <w:color w:val="231F20"/>
          <w:spacing w:val="-11"/>
          <w:w w:val="105"/>
        </w:rPr>
        <w:t> </w:t>
      </w:r>
      <w:r>
        <w:rPr>
          <w:color w:val="231F20"/>
          <w:w w:val="105"/>
        </w:rPr>
        <w:t>tanto</w:t>
      </w:r>
      <w:r>
        <w:rPr>
          <w:color w:val="231F20"/>
          <w:spacing w:val="-11"/>
          <w:w w:val="105"/>
        </w:rPr>
        <w:t> </w:t>
      </w:r>
      <w:r>
        <w:rPr>
          <w:color w:val="231F20"/>
          <w:w w:val="105"/>
        </w:rPr>
        <w:t>existen</w:t>
      </w:r>
      <w:r>
        <w:rPr>
          <w:color w:val="231F20"/>
          <w:spacing w:val="-11"/>
          <w:w w:val="105"/>
        </w:rPr>
        <w:t> </w:t>
      </w:r>
      <w:r>
        <w:rPr>
          <w:color w:val="231F20"/>
          <w:w w:val="105"/>
        </w:rPr>
        <w:t>pocas</w:t>
      </w:r>
      <w:r>
        <w:rPr>
          <w:color w:val="231F20"/>
          <w:spacing w:val="-11"/>
          <w:w w:val="105"/>
        </w:rPr>
        <w:t> </w:t>
      </w:r>
      <w:r>
        <w:rPr>
          <w:color w:val="231F20"/>
          <w:w w:val="105"/>
        </w:rPr>
        <w:t>posi- bilidades</w:t>
      </w:r>
      <w:r>
        <w:rPr>
          <w:color w:val="231F20"/>
          <w:spacing w:val="-7"/>
          <w:w w:val="105"/>
        </w:rPr>
        <w:t> </w:t>
      </w:r>
      <w:r>
        <w:rPr>
          <w:color w:val="231F20"/>
          <w:w w:val="105"/>
        </w:rPr>
        <w:t>de</w:t>
      </w:r>
      <w:r>
        <w:rPr>
          <w:color w:val="231F20"/>
          <w:spacing w:val="-7"/>
          <w:w w:val="105"/>
        </w:rPr>
        <w:t> </w:t>
      </w:r>
      <w:r>
        <w:rPr>
          <w:color w:val="231F20"/>
          <w:w w:val="105"/>
        </w:rPr>
        <w:t>alentar</w:t>
      </w:r>
      <w:r>
        <w:rPr>
          <w:color w:val="231F20"/>
          <w:spacing w:val="-7"/>
          <w:w w:val="105"/>
        </w:rPr>
        <w:t> </w:t>
      </w:r>
      <w:r>
        <w:rPr>
          <w:color w:val="231F20"/>
          <w:w w:val="105"/>
        </w:rPr>
        <w:t>desde</w:t>
      </w:r>
      <w:r>
        <w:rPr>
          <w:color w:val="231F20"/>
          <w:spacing w:val="-7"/>
          <w:w w:val="105"/>
        </w:rPr>
        <w:t> </w:t>
      </w:r>
      <w:r>
        <w:rPr>
          <w:color w:val="231F20"/>
          <w:w w:val="105"/>
        </w:rPr>
        <w:t>la</w:t>
      </w:r>
      <w:r>
        <w:rPr>
          <w:color w:val="231F20"/>
          <w:spacing w:val="-7"/>
          <w:w w:val="105"/>
        </w:rPr>
        <w:t> </w:t>
      </w:r>
      <w:r>
        <w:rPr>
          <w:color w:val="231F20"/>
          <w:w w:val="105"/>
        </w:rPr>
        <w:t>distancia</w:t>
      </w:r>
      <w:r>
        <w:rPr>
          <w:color w:val="231F20"/>
          <w:spacing w:val="-7"/>
          <w:w w:val="105"/>
        </w:rPr>
        <w:t> </w:t>
      </w:r>
      <w:r>
        <w:rPr>
          <w:color w:val="231F20"/>
          <w:w w:val="105"/>
        </w:rPr>
        <w:t>la</w:t>
      </w:r>
      <w:r>
        <w:rPr>
          <w:color w:val="231F20"/>
          <w:spacing w:val="-7"/>
          <w:w w:val="105"/>
        </w:rPr>
        <w:t> </w:t>
      </w:r>
      <w:r>
        <w:rPr>
          <w:color w:val="231F20"/>
          <w:w w:val="105"/>
        </w:rPr>
        <w:t>economía</w:t>
      </w:r>
      <w:r>
        <w:rPr>
          <w:color w:val="231F20"/>
          <w:spacing w:val="-7"/>
          <w:w w:val="105"/>
        </w:rPr>
        <w:t> </w:t>
      </w:r>
      <w:r>
        <w:rPr>
          <w:color w:val="231F20"/>
          <w:w w:val="105"/>
        </w:rPr>
        <w:t>local</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lugares de</w:t>
      </w:r>
      <w:r>
        <w:rPr>
          <w:color w:val="231F20"/>
          <w:spacing w:val="-7"/>
          <w:w w:val="105"/>
        </w:rPr>
        <w:t> </w:t>
      </w:r>
      <w:r>
        <w:rPr>
          <w:color w:val="231F20"/>
          <w:w w:val="105"/>
        </w:rPr>
        <w:t>origen.</w:t>
      </w:r>
      <w:r>
        <w:rPr>
          <w:color w:val="231F20"/>
          <w:spacing w:val="-12"/>
          <w:w w:val="105"/>
        </w:rPr>
        <w:t> </w:t>
      </w:r>
      <w:r>
        <w:rPr>
          <w:color w:val="231F20"/>
          <w:w w:val="105"/>
        </w:rPr>
        <w:t>Entonces</w:t>
      </w:r>
      <w:r>
        <w:rPr>
          <w:color w:val="231F20"/>
          <w:spacing w:val="-7"/>
          <w:w w:val="105"/>
        </w:rPr>
        <w:t> </w:t>
      </w:r>
      <w:r>
        <w:rPr>
          <w:color w:val="231F20"/>
          <w:w w:val="105"/>
        </w:rPr>
        <w:t>los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quedan</w:t>
      </w:r>
      <w:r>
        <w:rPr>
          <w:color w:val="231F20"/>
          <w:spacing w:val="-7"/>
          <w:w w:val="105"/>
        </w:rPr>
        <w:t> </w:t>
      </w:r>
      <w:r>
        <w:rPr>
          <w:color w:val="231F20"/>
          <w:w w:val="105"/>
        </w:rPr>
        <w:t>deben</w:t>
      </w:r>
      <w:r>
        <w:rPr>
          <w:color w:val="231F20"/>
          <w:spacing w:val="-7"/>
          <w:w w:val="105"/>
        </w:rPr>
        <w:t> </w:t>
      </w:r>
      <w:r>
        <w:rPr>
          <w:color w:val="231F20"/>
          <w:w w:val="105"/>
        </w:rPr>
        <w:t>depender</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escasos recursos</w:t>
      </w:r>
      <w:r>
        <w:rPr>
          <w:color w:val="231F20"/>
          <w:spacing w:val="-22"/>
          <w:w w:val="105"/>
        </w:rPr>
        <w:t> </w:t>
      </w:r>
      <w:r>
        <w:rPr>
          <w:color w:val="231F20"/>
          <w:w w:val="105"/>
        </w:rPr>
        <w:t>locales,</w:t>
      </w:r>
      <w:r>
        <w:rPr>
          <w:color w:val="231F20"/>
          <w:spacing w:val="-26"/>
          <w:w w:val="105"/>
        </w:rPr>
        <w:t> </w:t>
      </w:r>
      <w:r>
        <w:rPr>
          <w:color w:val="231F20"/>
          <w:w w:val="105"/>
        </w:rPr>
        <w:t>situación</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confirma</w:t>
      </w:r>
      <w:r>
        <w:rPr>
          <w:color w:val="231F20"/>
          <w:spacing w:val="-22"/>
          <w:w w:val="105"/>
        </w:rPr>
        <w:t> </w:t>
      </w:r>
      <w:r>
        <w:rPr>
          <w:color w:val="231F20"/>
          <w:w w:val="105"/>
        </w:rPr>
        <w:t>en</w:t>
      </w:r>
      <w:r>
        <w:rPr>
          <w:color w:val="231F20"/>
          <w:spacing w:val="-22"/>
          <w:w w:val="105"/>
        </w:rPr>
        <w:t> </w:t>
      </w:r>
      <w:r>
        <w:rPr>
          <w:color w:val="231F20"/>
          <w:w w:val="105"/>
        </w:rPr>
        <w:t>Santiago,</w:t>
      </w:r>
      <w:r>
        <w:rPr>
          <w:color w:val="231F20"/>
          <w:spacing w:val="-29"/>
          <w:w w:val="105"/>
        </w:rPr>
        <w:t> </w:t>
      </w:r>
      <w:r>
        <w:rPr>
          <w:color w:val="231F20"/>
          <w:w w:val="105"/>
        </w:rPr>
        <w:t>Amatepec,</w:t>
      </w:r>
      <w:r>
        <w:rPr>
          <w:color w:val="231F20"/>
          <w:spacing w:val="-26"/>
          <w:w w:val="105"/>
        </w:rPr>
        <w:t> </w:t>
      </w:r>
      <w:r>
        <w:rPr>
          <w:color w:val="231F20"/>
          <w:w w:val="105"/>
        </w:rPr>
        <w:t>don- de una combinación de factores de desempleo, escasas</w:t>
      </w:r>
      <w:r>
        <w:rPr>
          <w:color w:val="231F20"/>
          <w:spacing w:val="-32"/>
          <w:w w:val="105"/>
        </w:rPr>
        <w:t> </w:t>
      </w:r>
      <w:r>
        <w:rPr>
          <w:color w:val="231F20"/>
          <w:w w:val="105"/>
        </w:rPr>
        <w:t>oportunidades productivas</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retiro</w:t>
      </w:r>
      <w:r>
        <w:rPr>
          <w:color w:val="231F20"/>
          <w:spacing w:val="-12"/>
          <w:w w:val="105"/>
        </w:rPr>
        <w:t> </w:t>
      </w:r>
      <w:r>
        <w:rPr>
          <w:color w:val="231F20"/>
          <w:w w:val="105"/>
        </w:rPr>
        <w:t>del</w:t>
      </w:r>
      <w:r>
        <w:rPr>
          <w:color w:val="231F20"/>
          <w:spacing w:val="-12"/>
          <w:w w:val="105"/>
        </w:rPr>
        <w:t> </w:t>
      </w:r>
      <w:r>
        <w:rPr>
          <w:color w:val="231F20"/>
          <w:w w:val="105"/>
        </w:rPr>
        <w:t>Estado</w:t>
      </w:r>
      <w:r>
        <w:rPr>
          <w:color w:val="231F20"/>
          <w:spacing w:val="-12"/>
          <w:w w:val="105"/>
        </w:rPr>
        <w:t> </w:t>
      </w:r>
      <w:r>
        <w:rPr>
          <w:color w:val="231F20"/>
          <w:w w:val="105"/>
        </w:rPr>
        <w:t>al</w:t>
      </w:r>
      <w:r>
        <w:rPr>
          <w:color w:val="231F20"/>
          <w:spacing w:val="-12"/>
          <w:w w:val="105"/>
        </w:rPr>
        <w:t> </w:t>
      </w:r>
      <w:r>
        <w:rPr>
          <w:color w:val="231F20"/>
          <w:w w:val="105"/>
        </w:rPr>
        <w:t>desaparecer</w:t>
      </w:r>
      <w:r>
        <w:rPr>
          <w:color w:val="231F20"/>
          <w:spacing w:val="-12"/>
          <w:w w:val="105"/>
        </w:rPr>
        <w:t> </w:t>
      </w:r>
      <w:r>
        <w:rPr>
          <w:color w:val="231F20"/>
          <w:w w:val="105"/>
        </w:rPr>
        <w:t>el</w:t>
      </w:r>
      <w:r>
        <w:rPr>
          <w:color w:val="231F20"/>
          <w:spacing w:val="-12"/>
          <w:w w:val="105"/>
        </w:rPr>
        <w:t> </w:t>
      </w:r>
      <w:r>
        <w:rPr>
          <w:color w:val="231F20"/>
          <w:w w:val="105"/>
        </w:rPr>
        <w:t>Rancho</w:t>
      </w:r>
      <w:r>
        <w:rPr>
          <w:color w:val="231F20"/>
          <w:spacing w:val="-12"/>
          <w:w w:val="105"/>
        </w:rPr>
        <w:t> </w:t>
      </w:r>
      <w:r>
        <w:rPr>
          <w:color w:val="231F20"/>
          <w:w w:val="105"/>
        </w:rPr>
        <w:t>de</w:t>
      </w:r>
      <w:r>
        <w:rPr>
          <w:color w:val="231F20"/>
          <w:spacing w:val="-12"/>
          <w:w w:val="105"/>
        </w:rPr>
        <w:t> </w:t>
      </w:r>
      <w:r>
        <w:rPr>
          <w:color w:val="231F20"/>
          <w:w w:val="105"/>
          <w:sz w:val="17"/>
        </w:rPr>
        <w:t>CODAGEM </w:t>
      </w:r>
      <w:r>
        <w:rPr>
          <w:color w:val="231F20"/>
          <w:w w:val="105"/>
        </w:rPr>
        <w:t>crea</w:t>
      </w:r>
      <w:r>
        <w:rPr>
          <w:color w:val="231F20"/>
          <w:spacing w:val="-12"/>
          <w:w w:val="105"/>
        </w:rPr>
        <w:t> </w:t>
      </w:r>
      <w:r>
        <w:rPr>
          <w:color w:val="231F20"/>
          <w:w w:val="105"/>
        </w:rPr>
        <w:t>condiciones</w:t>
      </w:r>
      <w:r>
        <w:rPr>
          <w:color w:val="231F20"/>
          <w:spacing w:val="-12"/>
          <w:w w:val="105"/>
        </w:rPr>
        <w:t> </w:t>
      </w:r>
      <w:r>
        <w:rPr>
          <w:color w:val="231F20"/>
          <w:w w:val="105"/>
        </w:rPr>
        <w:t>que</w:t>
      </w:r>
      <w:r>
        <w:rPr>
          <w:color w:val="231F20"/>
          <w:spacing w:val="-12"/>
          <w:w w:val="105"/>
        </w:rPr>
        <w:t> </w:t>
      </w:r>
      <w:r>
        <w:rPr>
          <w:color w:val="231F20"/>
          <w:w w:val="105"/>
        </w:rPr>
        <w:t>alentaron</w:t>
      </w:r>
      <w:r>
        <w:rPr>
          <w:color w:val="231F20"/>
          <w:spacing w:val="-12"/>
          <w:w w:val="105"/>
        </w:rPr>
        <w:t> </w:t>
      </w:r>
      <w:r>
        <w:rPr>
          <w:color w:val="231F20"/>
          <w:w w:val="105"/>
        </w:rPr>
        <w:t>el</w:t>
      </w:r>
      <w:r>
        <w:rPr>
          <w:color w:val="231F20"/>
          <w:spacing w:val="-12"/>
          <w:w w:val="105"/>
        </w:rPr>
        <w:t> </w:t>
      </w:r>
      <w:r>
        <w:rPr>
          <w:color w:val="231F20"/>
          <w:w w:val="105"/>
        </w:rPr>
        <w:t>éxodo</w:t>
      </w:r>
      <w:r>
        <w:rPr>
          <w:color w:val="231F20"/>
          <w:spacing w:val="-12"/>
          <w:w w:val="105"/>
        </w:rPr>
        <w:t> </w:t>
      </w:r>
      <w:r>
        <w:rPr>
          <w:color w:val="231F20"/>
          <w:w w:val="105"/>
        </w:rPr>
        <w:t>rural</w:t>
      </w:r>
      <w:r>
        <w:rPr>
          <w:color w:val="231F20"/>
          <w:spacing w:val="-12"/>
          <w:w w:val="105"/>
        </w:rPr>
        <w:t> </w:t>
      </w:r>
      <w:r>
        <w:rPr>
          <w:color w:val="231F20"/>
          <w:w w:val="105"/>
        </w:rPr>
        <w:t>de</w:t>
      </w:r>
      <w:r>
        <w:rPr>
          <w:color w:val="231F20"/>
          <w:spacing w:val="-12"/>
          <w:w w:val="105"/>
        </w:rPr>
        <w:t> </w:t>
      </w:r>
      <w:r>
        <w:rPr>
          <w:color w:val="231F20"/>
          <w:w w:val="105"/>
        </w:rPr>
        <w:t>esta</w:t>
      </w:r>
      <w:r>
        <w:rPr>
          <w:color w:val="231F20"/>
          <w:spacing w:val="-12"/>
          <w:w w:val="105"/>
        </w:rPr>
        <w:t> </w:t>
      </w:r>
      <w:r>
        <w:rPr>
          <w:color w:val="231F20"/>
          <w:w w:val="105"/>
        </w:rPr>
        <w:t>localidad.</w:t>
      </w:r>
    </w:p>
    <w:p>
      <w:pPr>
        <w:pStyle w:val="BodyText"/>
        <w:spacing w:line="261" w:lineRule="auto" w:before="1"/>
        <w:ind w:left="1723" w:right="1829" w:firstLine="567"/>
        <w:jc w:val="both"/>
      </w:pPr>
      <w:r>
        <w:rPr>
          <w:color w:val="231F20"/>
          <w:w w:val="105"/>
        </w:rPr>
        <w:t>La</w:t>
      </w:r>
      <w:r>
        <w:rPr>
          <w:color w:val="231F20"/>
          <w:spacing w:val="-17"/>
          <w:w w:val="105"/>
        </w:rPr>
        <w:t> </w:t>
      </w:r>
      <w:r>
        <w:rPr>
          <w:color w:val="231F20"/>
          <w:w w:val="105"/>
        </w:rPr>
        <w:t>diferencia</w:t>
      </w:r>
      <w:r>
        <w:rPr>
          <w:color w:val="231F20"/>
          <w:spacing w:val="-17"/>
          <w:w w:val="105"/>
        </w:rPr>
        <w:t> </w:t>
      </w:r>
      <w:r>
        <w:rPr>
          <w:color w:val="231F20"/>
          <w:w w:val="105"/>
        </w:rPr>
        <w:t>que</w:t>
      </w:r>
      <w:r>
        <w:rPr>
          <w:color w:val="231F20"/>
          <w:spacing w:val="-17"/>
          <w:w w:val="105"/>
        </w:rPr>
        <w:t> </w:t>
      </w:r>
      <w:r>
        <w:rPr>
          <w:color w:val="231F20"/>
          <w:w w:val="105"/>
        </w:rPr>
        <w:t>marca</w:t>
      </w:r>
      <w:r>
        <w:rPr>
          <w:color w:val="231F20"/>
          <w:spacing w:val="-17"/>
          <w:w w:val="105"/>
        </w:rPr>
        <w:t> </w:t>
      </w:r>
      <w:r>
        <w:rPr>
          <w:color w:val="231F20"/>
          <w:w w:val="105"/>
        </w:rPr>
        <w:t>a</w:t>
      </w:r>
      <w:r>
        <w:rPr>
          <w:color w:val="231F20"/>
          <w:spacing w:val="-17"/>
          <w:w w:val="105"/>
        </w:rPr>
        <w:t> </w:t>
      </w:r>
      <w:r>
        <w:rPr>
          <w:color w:val="231F20"/>
          <w:w w:val="105"/>
        </w:rPr>
        <w:t>las</w:t>
      </w:r>
      <w:r>
        <w:rPr>
          <w:color w:val="231F20"/>
          <w:spacing w:val="-17"/>
          <w:w w:val="105"/>
        </w:rPr>
        <w:t> </w:t>
      </w:r>
      <w:r>
        <w:rPr>
          <w:color w:val="231F20"/>
          <w:w w:val="105"/>
        </w:rPr>
        <w:t>dos</w:t>
      </w:r>
      <w:r>
        <w:rPr>
          <w:color w:val="231F20"/>
          <w:spacing w:val="-17"/>
          <w:w w:val="105"/>
        </w:rPr>
        <w:t> </w:t>
      </w:r>
      <w:r>
        <w:rPr>
          <w:color w:val="231F20"/>
          <w:w w:val="105"/>
        </w:rPr>
        <w:t>perspectivas</w:t>
      </w:r>
      <w:r>
        <w:rPr>
          <w:color w:val="231F20"/>
          <w:spacing w:val="-17"/>
          <w:w w:val="105"/>
        </w:rPr>
        <w:t> </w:t>
      </w:r>
      <w:r>
        <w:rPr>
          <w:color w:val="231F20"/>
          <w:w w:val="105"/>
        </w:rPr>
        <w:t>anteriores</w:t>
      </w:r>
      <w:r>
        <w:rPr>
          <w:color w:val="231F20"/>
          <w:spacing w:val="-17"/>
          <w:w w:val="105"/>
        </w:rPr>
        <w:t> </w:t>
      </w:r>
      <w:r>
        <w:rPr>
          <w:color w:val="231F20"/>
          <w:w w:val="105"/>
        </w:rPr>
        <w:t>no</w:t>
      </w:r>
      <w:r>
        <w:rPr>
          <w:color w:val="231F20"/>
          <w:spacing w:val="-17"/>
          <w:w w:val="105"/>
        </w:rPr>
        <w:t> </w:t>
      </w:r>
      <w:r>
        <w:rPr>
          <w:color w:val="231F20"/>
          <w:w w:val="105"/>
        </w:rPr>
        <w:t>es</w:t>
      </w:r>
      <w:r>
        <w:rPr>
          <w:color w:val="231F20"/>
          <w:spacing w:val="-17"/>
          <w:w w:val="105"/>
        </w:rPr>
        <w:t> </w:t>
      </w:r>
      <w:r>
        <w:rPr>
          <w:color w:val="231F20"/>
          <w:w w:val="105"/>
        </w:rPr>
        <w:t>en realidad</w:t>
      </w:r>
      <w:r>
        <w:rPr>
          <w:color w:val="231F20"/>
          <w:spacing w:val="-8"/>
          <w:w w:val="105"/>
        </w:rPr>
        <w:t> </w:t>
      </w:r>
      <w:r>
        <w:rPr>
          <w:color w:val="231F20"/>
          <w:w w:val="105"/>
        </w:rPr>
        <w:t>el</w:t>
      </w:r>
      <w:r>
        <w:rPr>
          <w:color w:val="231F20"/>
          <w:spacing w:val="-8"/>
          <w:w w:val="105"/>
        </w:rPr>
        <w:t> </w:t>
      </w:r>
      <w:r>
        <w:rPr>
          <w:color w:val="231F20"/>
          <w:w w:val="105"/>
        </w:rPr>
        <w:t>objetivo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migración,</w:t>
      </w:r>
      <w:r>
        <w:rPr>
          <w:color w:val="231F20"/>
          <w:spacing w:val="-14"/>
          <w:w w:val="105"/>
        </w:rPr>
        <w:t> </w:t>
      </w:r>
      <w:r>
        <w:rPr>
          <w:color w:val="231F20"/>
          <w:w w:val="105"/>
        </w:rPr>
        <w:t>sino</w:t>
      </w:r>
      <w:r>
        <w:rPr>
          <w:color w:val="231F20"/>
          <w:spacing w:val="-8"/>
          <w:w w:val="105"/>
        </w:rPr>
        <w:t> </w:t>
      </w:r>
      <w:r>
        <w:rPr>
          <w:color w:val="231F20"/>
          <w:w w:val="105"/>
        </w:rPr>
        <w:t>el</w:t>
      </w:r>
      <w:r>
        <w:rPr>
          <w:color w:val="231F20"/>
          <w:spacing w:val="-8"/>
          <w:w w:val="105"/>
        </w:rPr>
        <w:t> </w:t>
      </w:r>
      <w:r>
        <w:rPr>
          <w:color w:val="231F20"/>
          <w:w w:val="105"/>
        </w:rPr>
        <w:t>resultado</w:t>
      </w:r>
      <w:r>
        <w:rPr>
          <w:color w:val="231F20"/>
          <w:spacing w:val="-8"/>
          <w:w w:val="105"/>
        </w:rPr>
        <w:t> </w:t>
      </w:r>
      <w:r>
        <w:rPr>
          <w:color w:val="231F20"/>
          <w:w w:val="105"/>
        </w:rPr>
        <w:t>final</w:t>
      </w:r>
      <w:r>
        <w:rPr>
          <w:color w:val="231F20"/>
          <w:spacing w:val="-8"/>
          <w:w w:val="105"/>
        </w:rPr>
        <w:t> </w:t>
      </w:r>
      <w:r>
        <w:rPr>
          <w:color w:val="231F20"/>
          <w:w w:val="105"/>
        </w:rPr>
        <w:t>que</w:t>
      </w:r>
      <w:r>
        <w:rPr>
          <w:color w:val="231F20"/>
          <w:spacing w:val="-8"/>
          <w:w w:val="105"/>
        </w:rPr>
        <w:t> </w:t>
      </w:r>
      <w:r>
        <w:rPr>
          <w:color w:val="231F20"/>
          <w:w w:val="105"/>
        </w:rPr>
        <w:t>depende- rá</w:t>
      </w:r>
      <w:r>
        <w:rPr>
          <w:color w:val="231F20"/>
          <w:spacing w:val="-10"/>
          <w:w w:val="105"/>
        </w:rPr>
        <w:t> </w:t>
      </w:r>
      <w:r>
        <w:rPr>
          <w:color w:val="231F20"/>
          <w:w w:val="105"/>
        </w:rPr>
        <w:t>en</w:t>
      </w:r>
      <w:r>
        <w:rPr>
          <w:color w:val="231F20"/>
          <w:spacing w:val="-10"/>
          <w:w w:val="105"/>
        </w:rPr>
        <w:t> </w:t>
      </w:r>
      <w:r>
        <w:rPr>
          <w:color w:val="231F20"/>
          <w:w w:val="105"/>
        </w:rPr>
        <w:t>buena</w:t>
      </w:r>
      <w:r>
        <w:rPr>
          <w:color w:val="231F20"/>
          <w:spacing w:val="-10"/>
          <w:w w:val="105"/>
        </w:rPr>
        <w:t> </w:t>
      </w:r>
      <w:r>
        <w:rPr>
          <w:color w:val="231F20"/>
          <w:w w:val="105"/>
        </w:rPr>
        <w:t>medida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suerte</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migrantes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lugar</w:t>
      </w:r>
      <w:r>
        <w:rPr>
          <w:color w:val="231F20"/>
          <w:spacing w:val="-10"/>
          <w:w w:val="105"/>
        </w:rPr>
        <w:t> </w:t>
      </w:r>
      <w:r>
        <w:rPr>
          <w:color w:val="231F20"/>
          <w:w w:val="105"/>
        </w:rPr>
        <w:t>de</w:t>
      </w:r>
      <w:r>
        <w:rPr>
          <w:color w:val="231F20"/>
          <w:spacing w:val="-10"/>
          <w:w w:val="105"/>
        </w:rPr>
        <w:t> </w:t>
      </w:r>
      <w:r>
        <w:rPr>
          <w:color w:val="231F20"/>
          <w:w w:val="105"/>
        </w:rPr>
        <w:t>destino, y las acciones de desarrollo que propiamente son o no desplegadas</w:t>
      </w:r>
      <w:r>
        <w:rPr>
          <w:color w:val="231F20"/>
          <w:spacing w:val="-27"/>
          <w:w w:val="105"/>
        </w:rPr>
        <w:t> </w:t>
      </w:r>
      <w:r>
        <w:rPr>
          <w:color w:val="231F20"/>
          <w:w w:val="105"/>
        </w:rPr>
        <w:t>en los</w:t>
      </w:r>
      <w:r>
        <w:rPr>
          <w:color w:val="231F20"/>
          <w:spacing w:val="-9"/>
          <w:w w:val="105"/>
        </w:rPr>
        <w:t> </w:t>
      </w:r>
      <w:r>
        <w:rPr>
          <w:color w:val="231F20"/>
          <w:w w:val="105"/>
        </w:rPr>
        <w:t>lugares</w:t>
      </w:r>
      <w:r>
        <w:rPr>
          <w:color w:val="231F20"/>
          <w:spacing w:val="-9"/>
          <w:w w:val="105"/>
        </w:rPr>
        <w:t> </w:t>
      </w:r>
      <w:r>
        <w:rPr>
          <w:color w:val="231F20"/>
          <w:w w:val="105"/>
        </w:rPr>
        <w:t>de</w:t>
      </w:r>
      <w:r>
        <w:rPr>
          <w:color w:val="231F20"/>
          <w:spacing w:val="-9"/>
          <w:w w:val="105"/>
        </w:rPr>
        <w:t> </w:t>
      </w:r>
      <w:r>
        <w:rPr>
          <w:color w:val="231F20"/>
          <w:w w:val="105"/>
        </w:rPr>
        <w:t>origen</w:t>
      </w:r>
      <w:r>
        <w:rPr>
          <w:color w:val="231F20"/>
          <w:spacing w:val="-9"/>
          <w:w w:val="105"/>
        </w:rPr>
        <w:t> </w:t>
      </w:r>
      <w:r>
        <w:rPr>
          <w:color w:val="231F20"/>
          <w:w w:val="105"/>
        </w:rPr>
        <w:t>de</w:t>
      </w:r>
      <w:r>
        <w:rPr>
          <w:color w:val="231F20"/>
          <w:spacing w:val="-9"/>
          <w:w w:val="105"/>
        </w:rPr>
        <w:t> </w:t>
      </w:r>
      <w:r>
        <w:rPr>
          <w:color w:val="231F20"/>
          <w:w w:val="105"/>
        </w:rPr>
        <w:t>quienes</w:t>
      </w:r>
      <w:r>
        <w:rPr>
          <w:color w:val="231F20"/>
          <w:spacing w:val="-9"/>
          <w:w w:val="105"/>
        </w:rPr>
        <w:t> </w:t>
      </w:r>
      <w:r>
        <w:rPr>
          <w:color w:val="231F20"/>
          <w:w w:val="105"/>
        </w:rPr>
        <w:t>migran.</w:t>
      </w:r>
    </w:p>
    <w:p>
      <w:pPr>
        <w:pStyle w:val="BodyText"/>
        <w:spacing w:line="261" w:lineRule="auto" w:before="1"/>
        <w:ind w:left="1723" w:right="1834" w:firstLine="567"/>
        <w:jc w:val="both"/>
      </w:pPr>
      <w:r>
        <w:rPr>
          <w:color w:val="231F20"/>
          <w:w w:val="105"/>
        </w:rPr>
        <w:t>De</w:t>
      </w:r>
      <w:r>
        <w:rPr>
          <w:color w:val="231F20"/>
          <w:spacing w:val="-11"/>
          <w:w w:val="105"/>
        </w:rPr>
        <w:t> </w:t>
      </w:r>
      <w:r>
        <w:rPr>
          <w:color w:val="231F20"/>
          <w:w w:val="105"/>
        </w:rPr>
        <w:t>acuerdo</w:t>
      </w:r>
      <w:r>
        <w:rPr>
          <w:color w:val="231F20"/>
          <w:spacing w:val="-11"/>
          <w:w w:val="105"/>
        </w:rPr>
        <w:t> </w:t>
      </w:r>
      <w:r>
        <w:rPr>
          <w:color w:val="231F20"/>
          <w:w w:val="105"/>
        </w:rPr>
        <w:t>a</w:t>
      </w:r>
      <w:r>
        <w:rPr>
          <w:color w:val="231F20"/>
          <w:spacing w:val="-11"/>
          <w:w w:val="105"/>
        </w:rPr>
        <w:t> </w:t>
      </w:r>
      <w:r>
        <w:rPr>
          <w:color w:val="231F20"/>
          <w:w w:val="105"/>
        </w:rPr>
        <w:t>Rozelle,</w:t>
      </w:r>
      <w:r>
        <w:rPr>
          <w:color w:val="231F20"/>
          <w:spacing w:val="-19"/>
          <w:w w:val="105"/>
        </w:rPr>
        <w:t> </w:t>
      </w:r>
      <w:r>
        <w:rPr>
          <w:color w:val="231F20"/>
          <w:spacing w:val="-4"/>
          <w:w w:val="105"/>
        </w:rPr>
        <w:t>Taylor</w:t>
      </w:r>
      <w:r>
        <w:rPr>
          <w:color w:val="231F20"/>
          <w:spacing w:val="-11"/>
          <w:w w:val="105"/>
        </w:rPr>
        <w:t> </w:t>
      </w:r>
      <w:r>
        <w:rPr>
          <w:color w:val="231F20"/>
          <w:w w:val="105"/>
        </w:rPr>
        <w:t>y</w:t>
      </w:r>
      <w:r>
        <w:rPr>
          <w:color w:val="231F20"/>
          <w:spacing w:val="-11"/>
          <w:w w:val="105"/>
        </w:rPr>
        <w:t> </w:t>
      </w:r>
      <w:r>
        <w:rPr>
          <w:color w:val="231F20"/>
          <w:w w:val="105"/>
        </w:rPr>
        <w:t>Brauw</w:t>
      </w:r>
      <w:r>
        <w:rPr>
          <w:color w:val="231F20"/>
          <w:spacing w:val="-11"/>
          <w:w w:val="105"/>
        </w:rPr>
        <w:t> </w:t>
      </w:r>
      <w:r>
        <w:rPr>
          <w:color w:val="231F20"/>
          <w:w w:val="105"/>
        </w:rPr>
        <w:t>(1999:</w:t>
      </w:r>
      <w:r>
        <w:rPr>
          <w:color w:val="231F20"/>
          <w:spacing w:val="-11"/>
          <w:w w:val="105"/>
        </w:rPr>
        <w:t> </w:t>
      </w:r>
      <w:r>
        <w:rPr>
          <w:color w:val="231F20"/>
          <w:w w:val="105"/>
        </w:rPr>
        <w:t>287),</w:t>
      </w:r>
      <w:r>
        <w:rPr>
          <w:color w:val="231F20"/>
          <w:spacing w:val="-16"/>
          <w:w w:val="105"/>
        </w:rPr>
        <w:t> </w:t>
      </w:r>
      <w:r>
        <w:rPr>
          <w:color w:val="231F20"/>
          <w:w w:val="105"/>
        </w:rPr>
        <w:t>Brauw,</w:t>
      </w:r>
      <w:r>
        <w:rPr>
          <w:color w:val="231F20"/>
          <w:spacing w:val="-19"/>
          <w:w w:val="105"/>
        </w:rPr>
        <w:t> </w:t>
      </w:r>
      <w:r>
        <w:rPr>
          <w:color w:val="231F20"/>
          <w:spacing w:val="-4"/>
          <w:w w:val="105"/>
        </w:rPr>
        <w:t>Taylor</w:t>
      </w:r>
      <w:r>
        <w:rPr>
          <w:color w:val="231F20"/>
          <w:spacing w:val="-11"/>
          <w:w w:val="105"/>
        </w:rPr>
        <w:t> </w:t>
      </w:r>
      <w:r>
        <w:rPr>
          <w:color w:val="231F20"/>
          <w:w w:val="105"/>
        </w:rPr>
        <w:t>y Rozelle</w:t>
      </w:r>
      <w:r>
        <w:rPr>
          <w:color w:val="231F20"/>
          <w:spacing w:val="-27"/>
          <w:w w:val="105"/>
        </w:rPr>
        <w:t> </w:t>
      </w:r>
      <w:r>
        <w:rPr>
          <w:color w:val="231F20"/>
          <w:w w:val="105"/>
        </w:rPr>
        <w:t>en</w:t>
      </w:r>
      <w:r>
        <w:rPr>
          <w:color w:val="231F20"/>
          <w:spacing w:val="-27"/>
          <w:w w:val="105"/>
        </w:rPr>
        <w:t> </w:t>
      </w:r>
      <w:r>
        <w:rPr>
          <w:color w:val="231F20"/>
          <w:w w:val="105"/>
        </w:rPr>
        <w:t>Salas,</w:t>
      </w:r>
      <w:r>
        <w:rPr>
          <w:color w:val="231F20"/>
          <w:spacing w:val="-31"/>
          <w:w w:val="105"/>
        </w:rPr>
        <w:t> </w:t>
      </w:r>
      <w:r>
        <w:rPr>
          <w:color w:val="231F20"/>
          <w:w w:val="105"/>
        </w:rPr>
        <w:t>Cruz</w:t>
      </w:r>
      <w:r>
        <w:rPr>
          <w:color w:val="231F20"/>
          <w:spacing w:val="-27"/>
          <w:w w:val="105"/>
        </w:rPr>
        <w:t> </w:t>
      </w:r>
      <w:r>
        <w:rPr>
          <w:color w:val="231F20"/>
          <w:w w:val="105"/>
        </w:rPr>
        <w:t>y</w:t>
      </w:r>
      <w:r>
        <w:rPr>
          <w:color w:val="231F20"/>
          <w:spacing w:val="-27"/>
          <w:w w:val="105"/>
        </w:rPr>
        <w:t> </w:t>
      </w:r>
      <w:r>
        <w:rPr>
          <w:color w:val="231F20"/>
          <w:w w:val="105"/>
        </w:rPr>
        <w:t>Honorio,</w:t>
      </w:r>
      <w:r>
        <w:rPr>
          <w:color w:val="231F20"/>
          <w:spacing w:val="-31"/>
          <w:w w:val="105"/>
        </w:rPr>
        <w:t> </w:t>
      </w:r>
      <w:r>
        <w:rPr>
          <w:color w:val="231F20"/>
          <w:w w:val="105"/>
        </w:rPr>
        <w:t>(2012),</w:t>
      </w:r>
      <w:r>
        <w:rPr>
          <w:color w:val="231F20"/>
          <w:spacing w:val="-31"/>
          <w:w w:val="105"/>
        </w:rPr>
        <w:t> </w:t>
      </w:r>
      <w:r>
        <w:rPr>
          <w:color w:val="231F20"/>
          <w:w w:val="105"/>
        </w:rPr>
        <w:t>la</w:t>
      </w:r>
      <w:r>
        <w:rPr>
          <w:color w:val="231F20"/>
          <w:spacing w:val="-27"/>
          <w:w w:val="105"/>
        </w:rPr>
        <w:t> </w:t>
      </w:r>
      <w:r>
        <w:rPr>
          <w:color w:val="231F20"/>
          <w:w w:val="105"/>
        </w:rPr>
        <w:t>migración</w:t>
      </w:r>
      <w:r>
        <w:rPr>
          <w:color w:val="231F20"/>
          <w:spacing w:val="-27"/>
          <w:w w:val="105"/>
        </w:rPr>
        <w:t> </w:t>
      </w:r>
      <w:r>
        <w:rPr>
          <w:color w:val="231F20"/>
          <w:w w:val="105"/>
        </w:rPr>
        <w:t>internacional</w:t>
      </w:r>
      <w:r>
        <w:rPr>
          <w:color w:val="231F20"/>
          <w:spacing w:val="-27"/>
          <w:w w:val="105"/>
        </w:rPr>
        <w:t> </w:t>
      </w:r>
      <w:r>
        <w:rPr>
          <w:color w:val="231F20"/>
          <w:w w:val="105"/>
        </w:rPr>
        <w:t>redu- ce la producción agrícola. </w:t>
      </w:r>
      <w:r>
        <w:rPr>
          <w:color w:val="231F20"/>
          <w:spacing w:val="-6"/>
          <w:w w:val="105"/>
        </w:rPr>
        <w:t>Por </w:t>
      </w:r>
      <w:r>
        <w:rPr>
          <w:color w:val="231F20"/>
          <w:w w:val="105"/>
        </w:rPr>
        <w:t>su parte Lucas (1987) también concluye que en el corto plazo la emigración reduce la producción de cultivos en los</w:t>
      </w:r>
      <w:r>
        <w:rPr>
          <w:color w:val="231F20"/>
          <w:spacing w:val="-26"/>
          <w:w w:val="105"/>
        </w:rPr>
        <w:t> </w:t>
      </w:r>
      <w:r>
        <w:rPr>
          <w:color w:val="231F20"/>
          <w:w w:val="105"/>
        </w:rPr>
        <w:t>sectores</w:t>
      </w:r>
      <w:r>
        <w:rPr>
          <w:color w:val="231F20"/>
          <w:spacing w:val="-26"/>
          <w:w w:val="105"/>
        </w:rPr>
        <w:t> </w:t>
      </w:r>
      <w:r>
        <w:rPr>
          <w:color w:val="231F20"/>
          <w:w w:val="105"/>
        </w:rPr>
        <w:t>de</w:t>
      </w:r>
      <w:r>
        <w:rPr>
          <w:color w:val="231F20"/>
          <w:spacing w:val="-26"/>
          <w:w w:val="105"/>
        </w:rPr>
        <w:t> </w:t>
      </w:r>
      <w:r>
        <w:rPr>
          <w:color w:val="231F20"/>
          <w:w w:val="105"/>
        </w:rPr>
        <w:t>subsistencia</w:t>
      </w:r>
      <w:r>
        <w:rPr>
          <w:color w:val="231F20"/>
          <w:spacing w:val="-26"/>
          <w:w w:val="105"/>
        </w:rPr>
        <w:t> </w:t>
      </w:r>
      <w:r>
        <w:rPr>
          <w:color w:val="231F20"/>
          <w:w w:val="105"/>
        </w:rPr>
        <w:t>porque</w:t>
      </w:r>
      <w:r>
        <w:rPr>
          <w:color w:val="231F20"/>
          <w:spacing w:val="-26"/>
          <w:w w:val="105"/>
        </w:rPr>
        <w:t> </w:t>
      </w:r>
      <w:r>
        <w:rPr>
          <w:color w:val="231F20"/>
          <w:w w:val="105"/>
        </w:rPr>
        <w:t>los</w:t>
      </w:r>
      <w:r>
        <w:rPr>
          <w:color w:val="231F20"/>
          <w:spacing w:val="-26"/>
          <w:w w:val="105"/>
        </w:rPr>
        <w:t> </w:t>
      </w:r>
      <w:r>
        <w:rPr>
          <w:color w:val="231F20"/>
          <w:w w:val="105"/>
        </w:rPr>
        <w:t>que</w:t>
      </w:r>
      <w:r>
        <w:rPr>
          <w:color w:val="231F20"/>
          <w:spacing w:val="-26"/>
          <w:w w:val="105"/>
        </w:rPr>
        <w:t> </w:t>
      </w:r>
      <w:r>
        <w:rPr>
          <w:color w:val="231F20"/>
          <w:w w:val="105"/>
        </w:rPr>
        <w:t>migran</w:t>
      </w:r>
      <w:r>
        <w:rPr>
          <w:color w:val="231F20"/>
          <w:spacing w:val="-26"/>
          <w:w w:val="105"/>
        </w:rPr>
        <w:t> </w:t>
      </w:r>
      <w:r>
        <w:rPr>
          <w:color w:val="231F20"/>
          <w:w w:val="105"/>
        </w:rPr>
        <w:t>son</w:t>
      </w:r>
      <w:r>
        <w:rPr>
          <w:color w:val="231F20"/>
          <w:spacing w:val="-26"/>
          <w:w w:val="105"/>
        </w:rPr>
        <w:t> </w:t>
      </w:r>
      <w:r>
        <w:rPr>
          <w:color w:val="231F20"/>
          <w:w w:val="105"/>
        </w:rPr>
        <w:t>las</w:t>
      </w:r>
      <w:r>
        <w:rPr>
          <w:color w:val="231F20"/>
          <w:spacing w:val="-26"/>
          <w:w w:val="105"/>
        </w:rPr>
        <w:t> </w:t>
      </w:r>
      <w:r>
        <w:rPr>
          <w:color w:val="231F20"/>
          <w:w w:val="105"/>
        </w:rPr>
        <w:t>personas</w:t>
      </w:r>
      <w:r>
        <w:rPr>
          <w:color w:val="231F20"/>
          <w:spacing w:val="-26"/>
          <w:w w:val="105"/>
        </w:rPr>
        <w:t> </w:t>
      </w:r>
      <w:r>
        <w:rPr>
          <w:color w:val="231F20"/>
          <w:w w:val="105"/>
        </w:rPr>
        <w:t>más jóvenes</w:t>
      </w:r>
      <w:r>
        <w:rPr>
          <w:color w:val="231F20"/>
          <w:spacing w:val="-8"/>
          <w:w w:val="105"/>
        </w:rPr>
        <w:t> </w:t>
      </w:r>
      <w:r>
        <w:rPr>
          <w:color w:val="231F20"/>
          <w:w w:val="105"/>
        </w:rPr>
        <w:t>en</w:t>
      </w:r>
      <w:r>
        <w:rPr>
          <w:color w:val="231F20"/>
          <w:spacing w:val="-8"/>
          <w:w w:val="105"/>
        </w:rPr>
        <w:t> </w:t>
      </w:r>
      <w:r>
        <w:rPr>
          <w:color w:val="231F20"/>
          <w:w w:val="105"/>
        </w:rPr>
        <w:t>edad</w:t>
      </w:r>
      <w:r>
        <w:rPr>
          <w:color w:val="231F20"/>
          <w:spacing w:val="-8"/>
          <w:w w:val="105"/>
        </w:rPr>
        <w:t> </w:t>
      </w:r>
      <w:r>
        <w:rPr>
          <w:color w:val="231F20"/>
          <w:w w:val="105"/>
        </w:rPr>
        <w:t>productiva,</w:t>
      </w:r>
      <w:r>
        <w:rPr>
          <w:color w:val="231F20"/>
          <w:spacing w:val="-14"/>
          <w:w w:val="105"/>
        </w:rPr>
        <w:t> </w:t>
      </w:r>
      <w:r>
        <w:rPr>
          <w:color w:val="231F20"/>
          <w:w w:val="105"/>
        </w:rPr>
        <w:t>los</w:t>
      </w:r>
      <w:r>
        <w:rPr>
          <w:color w:val="231F20"/>
          <w:spacing w:val="-8"/>
          <w:w w:val="105"/>
        </w:rPr>
        <w:t> </w:t>
      </w:r>
      <w:r>
        <w:rPr>
          <w:color w:val="231F20"/>
          <w:w w:val="105"/>
        </w:rPr>
        <w:t>más</w:t>
      </w:r>
      <w:r>
        <w:rPr>
          <w:color w:val="231F20"/>
          <w:spacing w:val="-8"/>
          <w:w w:val="105"/>
        </w:rPr>
        <w:t> </w:t>
      </w:r>
      <w:r>
        <w:rPr>
          <w:color w:val="231F20"/>
          <w:w w:val="105"/>
        </w:rPr>
        <w:t>fuertes</w:t>
      </w:r>
      <w:r>
        <w:rPr>
          <w:color w:val="231F20"/>
          <w:spacing w:val="-8"/>
          <w:w w:val="105"/>
        </w:rPr>
        <w:t> </w:t>
      </w:r>
      <w:r>
        <w:rPr>
          <w:color w:val="231F20"/>
          <w:w w:val="105"/>
        </w:rPr>
        <w:t>y</w:t>
      </w:r>
      <w:r>
        <w:rPr>
          <w:color w:val="231F20"/>
          <w:spacing w:val="-8"/>
          <w:w w:val="105"/>
        </w:rPr>
        <w:t> </w:t>
      </w:r>
      <w:r>
        <w:rPr>
          <w:color w:val="231F20"/>
          <w:w w:val="105"/>
        </w:rPr>
        <w:t>hábiles,</w:t>
      </w:r>
      <w:r>
        <w:rPr>
          <w:color w:val="231F20"/>
          <w:spacing w:val="-14"/>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que- dan</w:t>
      </w:r>
      <w:r>
        <w:rPr>
          <w:color w:val="231F20"/>
          <w:spacing w:val="-29"/>
          <w:w w:val="105"/>
        </w:rPr>
        <w:t> </w:t>
      </w:r>
      <w:r>
        <w:rPr>
          <w:color w:val="231F20"/>
          <w:w w:val="105"/>
        </w:rPr>
        <w:t>son</w:t>
      </w:r>
      <w:r>
        <w:rPr>
          <w:color w:val="231F20"/>
          <w:spacing w:val="-29"/>
          <w:w w:val="105"/>
        </w:rPr>
        <w:t> </w:t>
      </w:r>
      <w:r>
        <w:rPr>
          <w:color w:val="231F20"/>
          <w:w w:val="105"/>
        </w:rPr>
        <w:t>personas</w:t>
      </w:r>
      <w:r>
        <w:rPr>
          <w:color w:val="231F20"/>
          <w:spacing w:val="-29"/>
          <w:w w:val="105"/>
        </w:rPr>
        <w:t> </w:t>
      </w:r>
      <w:r>
        <w:rPr>
          <w:color w:val="231F20"/>
          <w:w w:val="105"/>
        </w:rPr>
        <w:t>adultas,</w:t>
      </w:r>
      <w:r>
        <w:rPr>
          <w:color w:val="231F20"/>
          <w:spacing w:val="-33"/>
          <w:w w:val="105"/>
        </w:rPr>
        <w:t> </w:t>
      </w:r>
      <w:r>
        <w:rPr>
          <w:color w:val="231F20"/>
          <w:w w:val="105"/>
        </w:rPr>
        <w:t>ancianos</w:t>
      </w:r>
      <w:r>
        <w:rPr>
          <w:color w:val="231F20"/>
          <w:spacing w:val="-29"/>
          <w:w w:val="105"/>
        </w:rPr>
        <w:t> </w:t>
      </w:r>
      <w:r>
        <w:rPr>
          <w:color w:val="231F20"/>
          <w:w w:val="105"/>
        </w:rPr>
        <w:t>y</w:t>
      </w:r>
      <w:r>
        <w:rPr>
          <w:color w:val="231F20"/>
          <w:spacing w:val="-29"/>
          <w:w w:val="105"/>
        </w:rPr>
        <w:t> </w:t>
      </w:r>
      <w:r>
        <w:rPr>
          <w:color w:val="231F20"/>
          <w:w w:val="105"/>
        </w:rPr>
        <w:t>niños.</w:t>
      </w:r>
    </w:p>
    <w:p>
      <w:pPr>
        <w:pStyle w:val="BodyText"/>
        <w:spacing w:line="261" w:lineRule="auto" w:before="1"/>
        <w:ind w:left="1723" w:right="1834" w:firstLine="567"/>
        <w:jc w:val="both"/>
      </w:pPr>
      <w:r>
        <w:rPr>
          <w:color w:val="231F20"/>
          <w:w w:val="105"/>
        </w:rPr>
        <w:t>Sin</w:t>
      </w:r>
      <w:r>
        <w:rPr>
          <w:color w:val="231F20"/>
          <w:spacing w:val="-11"/>
          <w:w w:val="105"/>
        </w:rPr>
        <w:t> </w:t>
      </w:r>
      <w:r>
        <w:rPr>
          <w:color w:val="231F20"/>
          <w:w w:val="105"/>
        </w:rPr>
        <w:t>embargo,</w:t>
      </w:r>
      <w:r>
        <w:rPr>
          <w:color w:val="231F20"/>
          <w:spacing w:val="-15"/>
          <w:w w:val="105"/>
        </w:rPr>
        <w:t> </w:t>
      </w:r>
      <w:r>
        <w:rPr>
          <w:color w:val="231F20"/>
          <w:w w:val="105"/>
        </w:rPr>
        <w:t>todos</w:t>
      </w:r>
      <w:r>
        <w:rPr>
          <w:color w:val="231F20"/>
          <w:spacing w:val="-11"/>
          <w:w w:val="105"/>
        </w:rPr>
        <w:t> </w:t>
      </w:r>
      <w:r>
        <w:rPr>
          <w:color w:val="231F20"/>
          <w:w w:val="105"/>
        </w:rPr>
        <w:t>ellos</w:t>
      </w:r>
      <w:r>
        <w:rPr>
          <w:color w:val="231F20"/>
          <w:spacing w:val="-11"/>
          <w:w w:val="105"/>
        </w:rPr>
        <w:t> </w:t>
      </w:r>
      <w:r>
        <w:rPr>
          <w:color w:val="231F20"/>
          <w:w w:val="105"/>
        </w:rPr>
        <w:t>mencionan</w:t>
      </w:r>
      <w:r>
        <w:rPr>
          <w:color w:val="231F20"/>
          <w:spacing w:val="-11"/>
          <w:w w:val="105"/>
        </w:rPr>
        <w:t> </w:t>
      </w:r>
      <w:r>
        <w:rPr>
          <w:color w:val="231F20"/>
          <w:w w:val="105"/>
        </w:rPr>
        <w:t>que</w:t>
      </w:r>
      <w:r>
        <w:rPr>
          <w:color w:val="231F20"/>
          <w:spacing w:val="-11"/>
          <w:w w:val="105"/>
        </w:rPr>
        <w:t> </w:t>
      </w:r>
      <w:r>
        <w:rPr>
          <w:color w:val="231F20"/>
          <w:w w:val="105"/>
        </w:rPr>
        <w:t>las</w:t>
      </w:r>
      <w:r>
        <w:rPr>
          <w:color w:val="231F20"/>
          <w:spacing w:val="-11"/>
          <w:w w:val="105"/>
        </w:rPr>
        <w:t> </w:t>
      </w:r>
      <w:r>
        <w:rPr>
          <w:color w:val="231F20"/>
          <w:w w:val="105"/>
        </w:rPr>
        <w:t>remesas</w:t>
      </w:r>
      <w:r>
        <w:rPr>
          <w:color w:val="231F20"/>
          <w:spacing w:val="-11"/>
          <w:w w:val="105"/>
        </w:rPr>
        <w:t> </w:t>
      </w:r>
      <w:r>
        <w:rPr>
          <w:color w:val="231F20"/>
          <w:w w:val="105"/>
        </w:rPr>
        <w:t>compensan de</w:t>
      </w:r>
      <w:r>
        <w:rPr>
          <w:color w:val="231F20"/>
          <w:spacing w:val="-9"/>
          <w:w w:val="105"/>
        </w:rPr>
        <w:t> </w:t>
      </w:r>
      <w:r>
        <w:rPr>
          <w:color w:val="231F20"/>
          <w:w w:val="105"/>
        </w:rPr>
        <w:t>manera</w:t>
      </w:r>
      <w:r>
        <w:rPr>
          <w:color w:val="231F20"/>
          <w:spacing w:val="-9"/>
          <w:w w:val="105"/>
        </w:rPr>
        <w:t> </w:t>
      </w:r>
      <w:r>
        <w:rPr>
          <w:color w:val="231F20"/>
          <w:w w:val="105"/>
        </w:rPr>
        <w:t>positiva</w:t>
      </w:r>
      <w:r>
        <w:rPr>
          <w:color w:val="231F20"/>
          <w:spacing w:val="-9"/>
          <w:w w:val="105"/>
        </w:rPr>
        <w:t> </w:t>
      </w:r>
      <w:r>
        <w:rPr>
          <w:color w:val="231F20"/>
          <w:w w:val="105"/>
        </w:rPr>
        <w:t>esta</w:t>
      </w:r>
      <w:r>
        <w:rPr>
          <w:color w:val="231F20"/>
          <w:spacing w:val="-9"/>
          <w:w w:val="105"/>
        </w:rPr>
        <w:t> </w:t>
      </w:r>
      <w:r>
        <w:rPr>
          <w:color w:val="231F20"/>
          <w:w w:val="105"/>
        </w:rPr>
        <w:t>reducción,</w:t>
      </w:r>
      <w:r>
        <w:rPr>
          <w:color w:val="231F20"/>
          <w:spacing w:val="-15"/>
          <w:w w:val="105"/>
        </w:rPr>
        <w:t> </w:t>
      </w:r>
      <w:r>
        <w:rPr>
          <w:color w:val="231F20"/>
          <w:w w:val="105"/>
        </w:rPr>
        <w:t>contribuyendo</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ingresos</w:t>
      </w:r>
      <w:r>
        <w:rPr>
          <w:color w:val="231F20"/>
          <w:spacing w:val="-9"/>
          <w:w w:val="105"/>
        </w:rPr>
        <w:t> </w:t>
      </w:r>
      <w:r>
        <w:rPr>
          <w:color w:val="231F20"/>
          <w:w w:val="105"/>
        </w:rPr>
        <w:t>del</w:t>
      </w:r>
      <w:r>
        <w:rPr>
          <w:color w:val="231F20"/>
          <w:spacing w:val="-9"/>
          <w:w w:val="105"/>
        </w:rPr>
        <w:t> </w:t>
      </w:r>
      <w:r>
        <w:rPr>
          <w:color w:val="231F20"/>
          <w:w w:val="105"/>
        </w:rPr>
        <w:t>ho- </w:t>
      </w:r>
      <w:r>
        <w:rPr>
          <w:color w:val="231F20"/>
          <w:spacing w:val="-3"/>
          <w:w w:val="105"/>
        </w:rPr>
        <w:t>gar. </w:t>
      </w:r>
      <w:r>
        <w:rPr>
          <w:color w:val="231F20"/>
          <w:w w:val="105"/>
        </w:rPr>
        <w:t>Los resultados obtenidos en la investigación muestran que las re- mesas sólo aportan para la subsistencia en dos unidades de 22 casos estudiados.</w:t>
      </w:r>
      <w:r>
        <w:rPr>
          <w:color w:val="231F20"/>
          <w:spacing w:val="-17"/>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w w:val="105"/>
        </w:rPr>
        <w:t>encontraron</w:t>
      </w:r>
      <w:r>
        <w:rPr>
          <w:color w:val="231F20"/>
          <w:spacing w:val="-11"/>
          <w:w w:val="105"/>
        </w:rPr>
        <w:t> </w:t>
      </w:r>
      <w:r>
        <w:rPr>
          <w:color w:val="231F20"/>
          <w:w w:val="105"/>
        </w:rPr>
        <w:t>evidencias</w:t>
      </w:r>
      <w:r>
        <w:rPr>
          <w:color w:val="231F20"/>
          <w:spacing w:val="-11"/>
          <w:w w:val="105"/>
        </w:rPr>
        <w:t> </w:t>
      </w:r>
      <w:r>
        <w:rPr>
          <w:color w:val="231F20"/>
          <w:w w:val="105"/>
        </w:rPr>
        <w:t>de</w:t>
      </w:r>
      <w:r>
        <w:rPr>
          <w:color w:val="231F20"/>
          <w:spacing w:val="-11"/>
          <w:w w:val="105"/>
        </w:rPr>
        <w:t> </w:t>
      </w:r>
      <w:r>
        <w:rPr>
          <w:color w:val="231F20"/>
          <w:w w:val="105"/>
        </w:rPr>
        <w:t>que</w:t>
      </w:r>
      <w:r>
        <w:rPr>
          <w:color w:val="231F20"/>
          <w:spacing w:val="-11"/>
          <w:w w:val="105"/>
        </w:rPr>
        <w:t> </w:t>
      </w:r>
      <w:r>
        <w:rPr>
          <w:color w:val="231F20"/>
          <w:w w:val="105"/>
        </w:rPr>
        <w:t>las</w:t>
      </w:r>
      <w:r>
        <w:rPr>
          <w:color w:val="231F20"/>
          <w:spacing w:val="-11"/>
          <w:w w:val="105"/>
        </w:rPr>
        <w:t> </w:t>
      </w:r>
      <w:r>
        <w:rPr>
          <w:color w:val="231F20"/>
          <w:w w:val="105"/>
        </w:rPr>
        <w:t>remesas</w:t>
      </w:r>
      <w:r>
        <w:rPr>
          <w:color w:val="231F20"/>
          <w:spacing w:val="-11"/>
          <w:w w:val="105"/>
        </w:rPr>
        <w:t> </w:t>
      </w:r>
      <w:r>
        <w:rPr>
          <w:color w:val="231F20"/>
          <w:w w:val="105"/>
        </w:rPr>
        <w:t>recibidas de</w:t>
      </w:r>
      <w:r>
        <w:rPr>
          <w:color w:val="231F20"/>
          <w:spacing w:val="-12"/>
          <w:w w:val="105"/>
        </w:rPr>
        <w:t> </w:t>
      </w:r>
      <w:r>
        <w:rPr>
          <w:color w:val="231F20"/>
          <w:w w:val="105"/>
        </w:rPr>
        <w:t>manera</w:t>
      </w:r>
      <w:r>
        <w:rPr>
          <w:color w:val="231F20"/>
          <w:spacing w:val="-12"/>
          <w:w w:val="105"/>
        </w:rPr>
        <w:t> </w:t>
      </w:r>
      <w:r>
        <w:rPr>
          <w:color w:val="231F20"/>
          <w:w w:val="105"/>
        </w:rPr>
        <w:t>periódica</w:t>
      </w:r>
      <w:r>
        <w:rPr>
          <w:color w:val="231F20"/>
          <w:spacing w:val="-12"/>
          <w:w w:val="105"/>
        </w:rPr>
        <w:t> </w:t>
      </w:r>
      <w:r>
        <w:rPr>
          <w:color w:val="231F20"/>
          <w:w w:val="105"/>
        </w:rPr>
        <w:t>se</w:t>
      </w:r>
      <w:r>
        <w:rPr>
          <w:color w:val="231F20"/>
          <w:spacing w:val="-12"/>
          <w:w w:val="105"/>
        </w:rPr>
        <w:t> </w:t>
      </w:r>
      <w:r>
        <w:rPr>
          <w:color w:val="231F20"/>
          <w:w w:val="105"/>
        </w:rPr>
        <w:t>reflejen</w:t>
      </w:r>
      <w:r>
        <w:rPr>
          <w:color w:val="231F20"/>
          <w:spacing w:val="-12"/>
          <w:w w:val="105"/>
        </w:rPr>
        <w:t> </w:t>
      </w:r>
      <w:r>
        <w:rPr>
          <w:color w:val="231F20"/>
          <w:w w:val="105"/>
        </w:rPr>
        <w:t>en</w:t>
      </w:r>
      <w:r>
        <w:rPr>
          <w:color w:val="231F20"/>
          <w:spacing w:val="-12"/>
          <w:w w:val="105"/>
        </w:rPr>
        <w:t> </w:t>
      </w:r>
      <w:r>
        <w:rPr>
          <w:color w:val="231F20"/>
          <w:w w:val="105"/>
        </w:rPr>
        <w:t>un</w:t>
      </w:r>
      <w:r>
        <w:rPr>
          <w:color w:val="231F20"/>
          <w:spacing w:val="-12"/>
          <w:w w:val="105"/>
        </w:rPr>
        <w:t> </w:t>
      </w:r>
      <w:r>
        <w:rPr>
          <w:color w:val="231F20"/>
          <w:w w:val="105"/>
        </w:rPr>
        <w:t>aumento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productividad</w:t>
      </w:r>
      <w:r>
        <w:rPr>
          <w:color w:val="231F20"/>
          <w:spacing w:val="-12"/>
          <w:w w:val="105"/>
        </w:rPr>
        <w:t> </w:t>
      </w:r>
      <w:r>
        <w:rPr>
          <w:color w:val="231F20"/>
          <w:w w:val="105"/>
        </w:rPr>
        <w:t>de</w:t>
      </w:r>
      <w:r>
        <w:rPr>
          <w:color w:val="231F20"/>
          <w:spacing w:val="-12"/>
          <w:w w:val="105"/>
        </w:rPr>
        <w:t> </w:t>
      </w:r>
      <w:r>
        <w:rPr>
          <w:color w:val="231F20"/>
          <w:w w:val="105"/>
        </w:rPr>
        <w:t>la agricultura</w:t>
      </w:r>
      <w:r>
        <w:rPr>
          <w:color w:val="231F20"/>
          <w:spacing w:val="-10"/>
          <w:w w:val="105"/>
        </w:rPr>
        <w:t> </w:t>
      </w:r>
      <w:r>
        <w:rPr>
          <w:color w:val="231F20"/>
          <w:w w:val="105"/>
        </w:rPr>
        <w:t>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acumulación</w:t>
      </w:r>
      <w:r>
        <w:rPr>
          <w:color w:val="231F20"/>
          <w:spacing w:val="-10"/>
          <w:w w:val="105"/>
        </w:rPr>
        <w:t> </w:t>
      </w:r>
      <w:r>
        <w:rPr>
          <w:color w:val="231F20"/>
          <w:w w:val="105"/>
        </w:rPr>
        <w:t>de</w:t>
      </w:r>
      <w:r>
        <w:rPr>
          <w:color w:val="231F20"/>
          <w:spacing w:val="-10"/>
          <w:w w:val="105"/>
        </w:rPr>
        <w:t> </w:t>
      </w:r>
      <w:r>
        <w:rPr>
          <w:color w:val="231F20"/>
          <w:w w:val="105"/>
        </w:rPr>
        <w:t>ganado.</w:t>
      </w:r>
    </w:p>
    <w:p>
      <w:pPr>
        <w:pStyle w:val="BodyText"/>
        <w:spacing w:line="261" w:lineRule="auto" w:before="1"/>
        <w:ind w:left="1723" w:right="1828" w:firstLine="567"/>
        <w:jc w:val="both"/>
      </w:pPr>
      <w:r>
        <w:rPr>
          <w:color w:val="231F20"/>
          <w:w w:val="105"/>
        </w:rPr>
        <w:t>La migración como estrategia de subsistencia es una realidad en Santiago, donde además los que se van es poco probable regresen, como en el caso de Mónica que tiene ya 15 años viviendo en Houston </w:t>
      </w:r>
      <w:r>
        <w:rPr>
          <w:color w:val="231F20"/>
          <w:spacing w:val="-5"/>
          <w:w w:val="105"/>
        </w:rPr>
        <w:t>Texas</w:t>
      </w:r>
      <w:r>
        <w:rPr>
          <w:color w:val="231F20"/>
          <w:spacing w:val="-16"/>
          <w:w w:val="105"/>
        </w:rPr>
        <w:t> </w:t>
      </w:r>
      <w:r>
        <w:rPr>
          <w:color w:val="231F20"/>
          <w:w w:val="105"/>
        </w:rPr>
        <w:t>con</w:t>
      </w:r>
      <w:r>
        <w:rPr>
          <w:color w:val="231F20"/>
          <w:spacing w:val="-16"/>
          <w:w w:val="105"/>
        </w:rPr>
        <w:t> </w:t>
      </w:r>
      <w:r>
        <w:rPr>
          <w:color w:val="231F20"/>
          <w:w w:val="105"/>
        </w:rPr>
        <w:t>cinco</w:t>
      </w:r>
      <w:r>
        <w:rPr>
          <w:color w:val="231F20"/>
          <w:spacing w:val="-16"/>
          <w:w w:val="105"/>
        </w:rPr>
        <w:t> </w:t>
      </w:r>
      <w:r>
        <w:rPr>
          <w:color w:val="231F20"/>
          <w:w w:val="105"/>
        </w:rPr>
        <w:t>hijos</w:t>
      </w:r>
      <w:r>
        <w:rPr>
          <w:color w:val="231F20"/>
          <w:spacing w:val="-16"/>
          <w:w w:val="105"/>
        </w:rPr>
        <w:t> </w:t>
      </w:r>
      <w:r>
        <w:rPr>
          <w:color w:val="231F20"/>
          <w:w w:val="105"/>
        </w:rPr>
        <w:t>nacidos</w:t>
      </w:r>
      <w:r>
        <w:rPr>
          <w:color w:val="231F20"/>
          <w:spacing w:val="-16"/>
          <w:w w:val="105"/>
        </w:rPr>
        <w:t> </w:t>
      </w:r>
      <w:r>
        <w:rPr>
          <w:color w:val="231F20"/>
          <w:w w:val="105"/>
        </w:rPr>
        <w:t>allá</w:t>
      </w:r>
      <w:r>
        <w:rPr>
          <w:color w:val="231F20"/>
          <w:spacing w:val="-16"/>
          <w:w w:val="105"/>
        </w:rPr>
        <w:t> </w:t>
      </w:r>
      <w:r>
        <w:rPr>
          <w:color w:val="231F20"/>
          <w:w w:val="105"/>
        </w:rPr>
        <w:t>y</w:t>
      </w:r>
      <w:r>
        <w:rPr>
          <w:color w:val="231F20"/>
          <w:spacing w:val="-16"/>
          <w:w w:val="105"/>
        </w:rPr>
        <w:t> </w:t>
      </w:r>
      <w:r>
        <w:rPr>
          <w:color w:val="231F20"/>
          <w:w w:val="105"/>
        </w:rPr>
        <w:t>que</w:t>
      </w:r>
      <w:r>
        <w:rPr>
          <w:color w:val="231F20"/>
          <w:spacing w:val="-16"/>
          <w:w w:val="105"/>
        </w:rPr>
        <w:t> </w:t>
      </w:r>
      <w:r>
        <w:rPr>
          <w:color w:val="231F20"/>
          <w:w w:val="105"/>
        </w:rPr>
        <w:t>buscan</w:t>
      </w:r>
      <w:r>
        <w:rPr>
          <w:color w:val="231F20"/>
          <w:spacing w:val="-16"/>
          <w:w w:val="105"/>
        </w:rPr>
        <w:t> </w:t>
      </w:r>
      <w:r>
        <w:rPr>
          <w:color w:val="231F20"/>
          <w:w w:val="105"/>
        </w:rPr>
        <w:t>ahora</w:t>
      </w:r>
      <w:r>
        <w:rPr>
          <w:color w:val="231F20"/>
          <w:spacing w:val="-16"/>
          <w:w w:val="105"/>
        </w:rPr>
        <w:t> </w:t>
      </w:r>
      <w:r>
        <w:rPr>
          <w:color w:val="231F20"/>
          <w:w w:val="105"/>
        </w:rPr>
        <w:t>sobrevivir</w:t>
      </w:r>
      <w:r>
        <w:rPr>
          <w:color w:val="231F20"/>
          <w:spacing w:val="-16"/>
          <w:w w:val="105"/>
        </w:rPr>
        <w:t> </w:t>
      </w:r>
      <w:r>
        <w:rPr>
          <w:color w:val="231F20"/>
          <w:w w:val="105"/>
        </w:rPr>
        <w:t>pero</w:t>
      </w:r>
      <w:r>
        <w:rPr>
          <w:color w:val="231F20"/>
          <w:spacing w:val="-16"/>
          <w:w w:val="105"/>
        </w:rPr>
        <w:t> </w:t>
      </w:r>
      <w:r>
        <w:rPr>
          <w:color w:val="231F20"/>
          <w:w w:val="105"/>
        </w:rPr>
        <w:t>en otro</w:t>
      </w:r>
      <w:r>
        <w:rPr>
          <w:color w:val="231F20"/>
          <w:spacing w:val="-24"/>
          <w:w w:val="105"/>
        </w:rPr>
        <w:t> </w:t>
      </w:r>
      <w:r>
        <w:rPr>
          <w:color w:val="231F20"/>
          <w:w w:val="105"/>
        </w:rPr>
        <w:t>país.</w:t>
      </w:r>
      <w:r>
        <w:rPr>
          <w:color w:val="231F20"/>
          <w:spacing w:val="-32"/>
          <w:w w:val="105"/>
        </w:rPr>
        <w:t> </w:t>
      </w:r>
      <w:r>
        <w:rPr>
          <w:color w:val="231F20"/>
          <w:w w:val="105"/>
        </w:rPr>
        <w:t>Aunque</w:t>
      </w:r>
      <w:r>
        <w:rPr>
          <w:color w:val="231F20"/>
          <w:spacing w:val="-24"/>
          <w:w w:val="105"/>
        </w:rPr>
        <w:t> </w:t>
      </w:r>
      <w:r>
        <w:rPr>
          <w:color w:val="231F20"/>
          <w:w w:val="105"/>
        </w:rPr>
        <w:t>la</w:t>
      </w:r>
      <w:r>
        <w:rPr>
          <w:color w:val="231F20"/>
          <w:spacing w:val="-24"/>
          <w:w w:val="105"/>
        </w:rPr>
        <w:t> </w:t>
      </w:r>
      <w:r>
        <w:rPr>
          <w:color w:val="231F20"/>
          <w:w w:val="105"/>
        </w:rPr>
        <w:t>ilusión</w:t>
      </w:r>
      <w:r>
        <w:rPr>
          <w:color w:val="231F20"/>
          <w:spacing w:val="-24"/>
          <w:w w:val="105"/>
        </w:rPr>
        <w:t> </w:t>
      </w:r>
      <w:r>
        <w:rPr>
          <w:color w:val="231F20"/>
          <w:w w:val="105"/>
        </w:rPr>
        <w:t>de</w:t>
      </w:r>
      <w:r>
        <w:rPr>
          <w:color w:val="231F20"/>
          <w:spacing w:val="-24"/>
          <w:w w:val="105"/>
        </w:rPr>
        <w:t> </w:t>
      </w:r>
      <w:r>
        <w:rPr>
          <w:color w:val="231F20"/>
          <w:w w:val="105"/>
        </w:rPr>
        <w:t>regresar</w:t>
      </w:r>
      <w:r>
        <w:rPr>
          <w:color w:val="231F20"/>
          <w:spacing w:val="-24"/>
          <w:w w:val="105"/>
        </w:rPr>
        <w:t> </w:t>
      </w:r>
      <w:r>
        <w:rPr>
          <w:color w:val="231F20"/>
          <w:w w:val="105"/>
        </w:rPr>
        <w:t>a</w:t>
      </w:r>
      <w:r>
        <w:rPr>
          <w:color w:val="231F20"/>
          <w:spacing w:val="-24"/>
          <w:w w:val="105"/>
        </w:rPr>
        <w:t> </w:t>
      </w:r>
      <w:r>
        <w:rPr>
          <w:color w:val="231F20"/>
          <w:w w:val="105"/>
        </w:rPr>
        <w:t>su</w:t>
      </w:r>
      <w:r>
        <w:rPr>
          <w:color w:val="231F20"/>
          <w:spacing w:val="-24"/>
          <w:w w:val="105"/>
        </w:rPr>
        <w:t> </w:t>
      </w:r>
      <w:r>
        <w:rPr>
          <w:color w:val="231F20"/>
          <w:w w:val="105"/>
        </w:rPr>
        <w:t>tierra</w:t>
      </w:r>
      <w:r>
        <w:rPr>
          <w:color w:val="231F20"/>
          <w:spacing w:val="-24"/>
          <w:w w:val="105"/>
        </w:rPr>
        <w:t> </w:t>
      </w:r>
      <w:r>
        <w:rPr>
          <w:color w:val="231F20"/>
          <w:w w:val="105"/>
        </w:rPr>
        <w:t>natal</w:t>
      </w:r>
      <w:r>
        <w:rPr>
          <w:color w:val="231F20"/>
          <w:spacing w:val="-24"/>
          <w:w w:val="105"/>
        </w:rPr>
        <w:t> </w:t>
      </w:r>
      <w:r>
        <w:rPr>
          <w:color w:val="231F20"/>
          <w:w w:val="105"/>
        </w:rPr>
        <w:t>está</w:t>
      </w:r>
      <w:r>
        <w:rPr>
          <w:color w:val="231F20"/>
          <w:spacing w:val="-24"/>
          <w:w w:val="105"/>
        </w:rPr>
        <w:t> </w:t>
      </w:r>
      <w:r>
        <w:rPr>
          <w:color w:val="231F20"/>
          <w:w w:val="105"/>
        </w:rPr>
        <w:t>presente,</w:t>
      </w:r>
      <w:r>
        <w:rPr>
          <w:color w:val="231F20"/>
          <w:spacing w:val="-29"/>
          <w:w w:val="105"/>
        </w:rPr>
        <w:t> </w:t>
      </w:r>
      <w:r>
        <w:rPr>
          <w:color w:val="231F20"/>
          <w:w w:val="105"/>
        </w:rPr>
        <w:t>por el momento imposible por su condición de</w:t>
      </w:r>
      <w:r>
        <w:rPr>
          <w:color w:val="231F20"/>
          <w:spacing w:val="11"/>
          <w:w w:val="105"/>
        </w:rPr>
        <w:t> </w:t>
      </w:r>
      <w:r>
        <w:rPr>
          <w:color w:val="231F20"/>
          <w:w w:val="105"/>
        </w:rPr>
        <w:t>indocumentada.</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8816" from="131.551193pt,3.703715pt" to="131.551193pt,39.506114pt" stroked="true" strokeweight=".35pt" strokecolor="#231f20">
            <w10:wrap type="none"/>
          </v:line>
        </w:pict>
      </w:r>
      <w:r>
        <w:rPr/>
        <w:pict>
          <v:line style="position:absolute;mso-position-horizontal-relative:page;mso-position-vertical-relative:paragraph;z-index:-448744" from="15pt,39.505917pt" to="0pt,39.505917pt" stroked="true" strokeweight=".25pt" strokecolor="#000000">
            <w10:wrap type="none"/>
          </v:line>
        </w:pict>
      </w:r>
      <w:r>
        <w:rPr/>
        <w:pict>
          <v:line style="position:absolute;mso-position-horizontal-relative:page;mso-position-vertical-relative:paragraph;z-index:41464" from="508.890015pt,39.505917pt" to="523.890015pt,39.505917pt" stroked="true" strokeweight=".25pt" strokecolor="#000000">
            <w10:wrap type="none"/>
          </v:line>
        </w:pict>
      </w:r>
      <w:r>
        <w:rPr>
          <w:rFonts w:ascii="Arial" w:hAnsi="Arial"/>
          <w:color w:val="414042"/>
          <w:position w:val="-5"/>
          <w:sz w:val="20"/>
        </w:rPr>
        <w:t>346</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48696" from="405.061005pt,-18.554295pt" to="405.061005pt,16.311579pt" stroked="true" strokeweight=".35pt" strokecolor="#231f20">
            <w10:wrap type="none"/>
          </v:line>
        </w:pict>
      </w:r>
      <w:r>
        <w:rPr/>
        <w:pict>
          <v:line style="position:absolute;mso-position-horizontal-relative:page;mso-position-vertical-relative:paragraph;z-index:41512" from="15pt,-18.554522pt" to="0pt,-18.554522pt" stroked="true" strokeweight=".25pt" strokecolor="#000000">
            <w10:wrap type="none"/>
          </v:line>
        </w:pict>
      </w:r>
      <w:r>
        <w:rPr/>
        <w:pict>
          <v:line style="position:absolute;mso-position-horizontal-relative:page;mso-position-vertical-relative:paragraph;z-index:41536"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347</w:t>
      </w:r>
    </w:p>
    <w:p>
      <w:pPr>
        <w:pStyle w:val="BodyText"/>
        <w:rPr>
          <w:rFonts w:ascii="Arial"/>
          <w:sz w:val="20"/>
        </w:rPr>
      </w:pPr>
    </w:p>
    <w:p>
      <w:pPr>
        <w:pStyle w:val="BodyText"/>
        <w:rPr>
          <w:rFonts w:ascii="Arial"/>
          <w:sz w:val="20"/>
        </w:rPr>
      </w:pPr>
    </w:p>
    <w:p>
      <w:pPr>
        <w:pStyle w:val="BodyText"/>
        <w:spacing w:line="261" w:lineRule="auto" w:before="179"/>
        <w:ind w:left="1837" w:right="1715"/>
        <w:jc w:val="both"/>
      </w:pPr>
      <w:r>
        <w:rPr>
          <w:color w:val="231F20"/>
          <w:w w:val="105"/>
        </w:rPr>
        <w:t>Finalmente,</w:t>
      </w:r>
      <w:r>
        <w:rPr>
          <w:color w:val="231F20"/>
          <w:spacing w:val="-17"/>
          <w:w w:val="105"/>
        </w:rPr>
        <w:t> </w:t>
      </w:r>
      <w:r>
        <w:rPr>
          <w:color w:val="231F20"/>
          <w:w w:val="105"/>
        </w:rPr>
        <w:t>se</w:t>
      </w:r>
      <w:r>
        <w:rPr>
          <w:color w:val="231F20"/>
          <w:spacing w:val="-12"/>
          <w:w w:val="105"/>
        </w:rPr>
        <w:t> </w:t>
      </w:r>
      <w:r>
        <w:rPr>
          <w:color w:val="231F20"/>
          <w:w w:val="105"/>
        </w:rPr>
        <w:t>concluye</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migración</w:t>
      </w:r>
      <w:r>
        <w:rPr>
          <w:color w:val="231F20"/>
          <w:spacing w:val="-12"/>
          <w:w w:val="105"/>
        </w:rPr>
        <w:t> </w:t>
      </w:r>
      <w:r>
        <w:rPr>
          <w:color w:val="231F20"/>
          <w:w w:val="105"/>
        </w:rPr>
        <w:t>ha</w:t>
      </w:r>
      <w:r>
        <w:rPr>
          <w:color w:val="231F20"/>
          <w:spacing w:val="-12"/>
          <w:w w:val="105"/>
        </w:rPr>
        <w:t> </w:t>
      </w:r>
      <w:r>
        <w:rPr>
          <w:color w:val="231F20"/>
          <w:w w:val="105"/>
        </w:rPr>
        <w:t>sido</w:t>
      </w:r>
      <w:r>
        <w:rPr>
          <w:color w:val="231F20"/>
          <w:spacing w:val="-12"/>
          <w:w w:val="105"/>
        </w:rPr>
        <w:t> </w:t>
      </w:r>
      <w:r>
        <w:rPr>
          <w:color w:val="231F20"/>
          <w:w w:val="105"/>
        </w:rPr>
        <w:t>un</w:t>
      </w:r>
      <w:r>
        <w:rPr>
          <w:color w:val="231F20"/>
          <w:spacing w:val="-12"/>
          <w:w w:val="105"/>
        </w:rPr>
        <w:t> </w:t>
      </w:r>
      <w:r>
        <w:rPr>
          <w:color w:val="231F20"/>
          <w:w w:val="105"/>
        </w:rPr>
        <w:t>factor</w:t>
      </w:r>
      <w:r>
        <w:rPr>
          <w:color w:val="231F20"/>
          <w:spacing w:val="-12"/>
          <w:w w:val="105"/>
        </w:rPr>
        <w:t> </w:t>
      </w:r>
      <w:r>
        <w:rPr>
          <w:color w:val="231F20"/>
          <w:w w:val="105"/>
        </w:rPr>
        <w:t>de</w:t>
      </w:r>
      <w:r>
        <w:rPr>
          <w:color w:val="231F20"/>
          <w:spacing w:val="-12"/>
          <w:w w:val="105"/>
        </w:rPr>
        <w:t> </w:t>
      </w:r>
      <w:r>
        <w:rPr>
          <w:color w:val="231F20"/>
          <w:w w:val="105"/>
        </w:rPr>
        <w:t>empobre- cimiento</w:t>
      </w:r>
      <w:r>
        <w:rPr>
          <w:color w:val="231F20"/>
          <w:spacing w:val="-20"/>
          <w:w w:val="105"/>
        </w:rPr>
        <w:t> </w:t>
      </w:r>
      <w:r>
        <w:rPr>
          <w:color w:val="231F20"/>
          <w:w w:val="105"/>
        </w:rPr>
        <w:t>rural</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familias,</w:t>
      </w:r>
      <w:r>
        <w:rPr>
          <w:color w:val="231F20"/>
          <w:spacing w:val="-25"/>
          <w:w w:val="105"/>
        </w:rPr>
        <w:t> </w:t>
      </w:r>
      <w:r>
        <w:rPr>
          <w:color w:val="231F20"/>
          <w:w w:val="105"/>
        </w:rPr>
        <w:t>especialmente</w:t>
      </w:r>
      <w:r>
        <w:rPr>
          <w:color w:val="231F20"/>
          <w:spacing w:val="-20"/>
          <w:w w:val="105"/>
        </w:rPr>
        <w:t> </w:t>
      </w:r>
      <w:r>
        <w:rPr>
          <w:color w:val="231F20"/>
          <w:w w:val="105"/>
        </w:rPr>
        <w:t>de</w:t>
      </w:r>
      <w:r>
        <w:rPr>
          <w:color w:val="231F20"/>
          <w:spacing w:val="-20"/>
          <w:w w:val="105"/>
        </w:rPr>
        <w:t> </w:t>
      </w:r>
      <w:r>
        <w:rPr>
          <w:color w:val="231F20"/>
          <w:w w:val="105"/>
        </w:rPr>
        <w:t>aquellas</w:t>
      </w:r>
      <w:r>
        <w:rPr>
          <w:color w:val="231F20"/>
          <w:spacing w:val="-20"/>
          <w:w w:val="105"/>
        </w:rPr>
        <w:t> </w:t>
      </w:r>
      <w:r>
        <w:rPr>
          <w:color w:val="231F20"/>
          <w:w w:val="105"/>
        </w:rPr>
        <w:t>unidades domésticas con una menor proporción de integrantes en edad produc- tiva. A pesar de que en Santiago, Amatepec hay terrenos disponibles, éstos muchas veces son dados en préstamo ante la ausencia de capi- tal humano y la carencia de oportunidades de inversión o proyectos de impulso productivo para la zona, los cuales deberían incorporar en sus propuestas la complejidad y problemas estructurales que impiden la</w:t>
      </w:r>
      <w:r>
        <w:rPr>
          <w:color w:val="231F20"/>
          <w:spacing w:val="-29"/>
          <w:w w:val="105"/>
        </w:rPr>
        <w:t> </w:t>
      </w:r>
      <w:r>
        <w:rPr>
          <w:color w:val="231F20"/>
          <w:w w:val="105"/>
        </w:rPr>
        <w:t>di- namización</w:t>
      </w:r>
      <w:r>
        <w:rPr>
          <w:color w:val="231F20"/>
          <w:spacing w:val="-16"/>
          <w:w w:val="105"/>
        </w:rPr>
        <w:t> </w:t>
      </w:r>
      <w:r>
        <w:rPr>
          <w:color w:val="231F20"/>
          <w:w w:val="105"/>
        </w:rPr>
        <w:t>de</w:t>
      </w:r>
      <w:r>
        <w:rPr>
          <w:color w:val="231F20"/>
          <w:spacing w:val="-16"/>
          <w:w w:val="105"/>
        </w:rPr>
        <w:t> </w:t>
      </w:r>
      <w:r>
        <w:rPr>
          <w:color w:val="231F20"/>
          <w:w w:val="105"/>
        </w:rPr>
        <w:t>aquellos</w:t>
      </w:r>
      <w:r>
        <w:rPr>
          <w:color w:val="231F20"/>
          <w:spacing w:val="-16"/>
          <w:w w:val="105"/>
        </w:rPr>
        <w:t> </w:t>
      </w:r>
      <w:r>
        <w:rPr>
          <w:color w:val="231F20"/>
          <w:w w:val="105"/>
        </w:rPr>
        <w:t>territorios</w:t>
      </w:r>
      <w:r>
        <w:rPr>
          <w:color w:val="231F20"/>
          <w:spacing w:val="-16"/>
          <w:w w:val="105"/>
        </w:rPr>
        <w:t> </w:t>
      </w:r>
      <w:r>
        <w:rPr>
          <w:color w:val="231F20"/>
          <w:w w:val="105"/>
        </w:rPr>
        <w:t>rurales</w:t>
      </w:r>
      <w:r>
        <w:rPr>
          <w:color w:val="231F20"/>
          <w:spacing w:val="-16"/>
          <w:w w:val="105"/>
        </w:rPr>
        <w:t> </w:t>
      </w:r>
      <w:r>
        <w:rPr>
          <w:color w:val="231F20"/>
          <w:w w:val="105"/>
        </w:rPr>
        <w:t>con</w:t>
      </w:r>
      <w:r>
        <w:rPr>
          <w:color w:val="231F20"/>
          <w:spacing w:val="-16"/>
          <w:w w:val="105"/>
        </w:rPr>
        <w:t> </w:t>
      </w:r>
      <w:r>
        <w:rPr>
          <w:color w:val="231F20"/>
          <w:w w:val="105"/>
        </w:rPr>
        <w:t>alta</w:t>
      </w:r>
      <w:r>
        <w:rPr>
          <w:color w:val="231F20"/>
          <w:spacing w:val="-16"/>
          <w:w w:val="105"/>
        </w:rPr>
        <w:t> </w:t>
      </w:r>
      <w:r>
        <w:rPr>
          <w:color w:val="231F20"/>
          <w:w w:val="105"/>
        </w:rPr>
        <w:t>migración.</w:t>
      </w:r>
    </w:p>
    <w:p>
      <w:pPr>
        <w:pStyle w:val="BodyText"/>
        <w:rPr>
          <w:sz w:val="20"/>
        </w:rPr>
      </w:pPr>
    </w:p>
    <w:p>
      <w:pPr>
        <w:pStyle w:val="BodyText"/>
        <w:spacing w:before="9"/>
        <w:rPr>
          <w:sz w:val="20"/>
        </w:rPr>
      </w:pPr>
    </w:p>
    <w:p>
      <w:pPr>
        <w:pStyle w:val="Heading3"/>
        <w:ind w:right="6753"/>
        <w:jc w:val="left"/>
      </w:pPr>
      <w:r>
        <w:rPr>
          <w:color w:val="231F20"/>
        </w:rPr>
        <w:t>Bibliografía</w:t>
      </w:r>
    </w:p>
    <w:p>
      <w:pPr>
        <w:pStyle w:val="BodyText"/>
        <w:rPr>
          <w:rFonts w:ascii="Arial"/>
          <w:b/>
          <w:sz w:val="22"/>
        </w:rPr>
      </w:pPr>
    </w:p>
    <w:p>
      <w:pPr>
        <w:spacing w:line="259" w:lineRule="auto" w:before="163"/>
        <w:ind w:left="2574" w:right="1721" w:hanging="738"/>
        <w:jc w:val="both"/>
        <w:rPr>
          <w:sz w:val="21"/>
        </w:rPr>
      </w:pPr>
      <w:r>
        <w:rPr>
          <w:color w:val="231F20"/>
          <w:sz w:val="21"/>
        </w:rPr>
        <w:t>Adelman, Irma, Taylor, Edward y Vogel, Stephen, (1987), “Life in a Mex- ican Village: A SAM Perspective”</w:t>
      </w:r>
      <w:r>
        <w:rPr>
          <w:rFonts w:ascii="Arial" w:hAnsi="Arial"/>
          <w:i/>
          <w:color w:val="231F20"/>
          <w:sz w:val="21"/>
        </w:rPr>
        <w:t>, The Journal of Development </w:t>
      </w:r>
      <w:r>
        <w:rPr>
          <w:rFonts w:ascii="Arial" w:hAnsi="Arial"/>
          <w:i/>
          <w:color w:val="231F20"/>
          <w:sz w:val="21"/>
        </w:rPr>
        <w:t>Studies</w:t>
      </w:r>
      <w:r>
        <w:rPr>
          <w:color w:val="231F20"/>
          <w:sz w:val="21"/>
        </w:rPr>
        <w:t>, vol. 25, núm. 1.</w:t>
      </w:r>
    </w:p>
    <w:p>
      <w:pPr>
        <w:pStyle w:val="BodyText"/>
        <w:spacing w:line="259" w:lineRule="auto" w:before="3"/>
        <w:ind w:left="2574" w:right="1721" w:hanging="738"/>
        <w:jc w:val="both"/>
      </w:pPr>
      <w:r>
        <w:rPr>
          <w:color w:val="231F20"/>
          <w:w w:val="105"/>
        </w:rPr>
        <w:t>Arango,</w:t>
      </w:r>
      <w:r>
        <w:rPr>
          <w:color w:val="231F20"/>
          <w:spacing w:val="-28"/>
          <w:w w:val="105"/>
        </w:rPr>
        <w:t> </w:t>
      </w:r>
      <w:r>
        <w:rPr>
          <w:color w:val="231F20"/>
          <w:w w:val="105"/>
        </w:rPr>
        <w:t>Joaquín,</w:t>
      </w:r>
      <w:r>
        <w:rPr>
          <w:color w:val="231F20"/>
          <w:spacing w:val="-27"/>
          <w:w w:val="105"/>
        </w:rPr>
        <w:t> </w:t>
      </w:r>
      <w:r>
        <w:rPr>
          <w:color w:val="231F20"/>
          <w:w w:val="105"/>
        </w:rPr>
        <w:t>(2003),</w:t>
      </w:r>
      <w:r>
        <w:rPr>
          <w:color w:val="231F20"/>
          <w:spacing w:val="-27"/>
          <w:w w:val="105"/>
        </w:rPr>
        <w:t> </w:t>
      </w:r>
      <w:r>
        <w:rPr>
          <w:color w:val="231F20"/>
          <w:w w:val="105"/>
        </w:rPr>
        <w:t>“La</w:t>
      </w:r>
      <w:r>
        <w:rPr>
          <w:color w:val="231F20"/>
          <w:spacing w:val="-22"/>
          <w:w w:val="105"/>
        </w:rPr>
        <w:t> </w:t>
      </w:r>
      <w:r>
        <w:rPr>
          <w:color w:val="231F20"/>
          <w:w w:val="105"/>
        </w:rPr>
        <w:t>explicación</w:t>
      </w:r>
      <w:r>
        <w:rPr>
          <w:color w:val="231F20"/>
          <w:spacing w:val="-22"/>
          <w:w w:val="105"/>
        </w:rPr>
        <w:t> </w:t>
      </w:r>
      <w:r>
        <w:rPr>
          <w:color w:val="231F20"/>
          <w:w w:val="105"/>
        </w:rPr>
        <w:t>teórica</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migraciones:</w:t>
      </w:r>
      <w:r>
        <w:rPr>
          <w:color w:val="231F20"/>
          <w:spacing w:val="-22"/>
          <w:w w:val="105"/>
        </w:rPr>
        <w:t> </w:t>
      </w:r>
      <w:r>
        <w:rPr>
          <w:color w:val="231F20"/>
          <w:w w:val="105"/>
        </w:rPr>
        <w:t>luz</w:t>
      </w:r>
      <w:r>
        <w:rPr>
          <w:color w:val="231F20"/>
          <w:spacing w:val="-22"/>
          <w:w w:val="105"/>
        </w:rPr>
        <w:t> </w:t>
      </w:r>
      <w:r>
        <w:rPr>
          <w:color w:val="231F20"/>
          <w:w w:val="105"/>
        </w:rPr>
        <w:t>y </w:t>
      </w:r>
      <w:r>
        <w:rPr>
          <w:color w:val="231F20"/>
          <w:spacing w:val="-5"/>
          <w:w w:val="105"/>
        </w:rPr>
        <w:t>sombra”,</w:t>
      </w:r>
      <w:r>
        <w:rPr>
          <w:color w:val="231F20"/>
          <w:spacing w:val="-23"/>
          <w:w w:val="105"/>
        </w:rPr>
        <w:t> </w:t>
      </w:r>
      <w:r>
        <w:rPr>
          <w:rFonts w:ascii="Arial" w:hAnsi="Arial"/>
          <w:i/>
          <w:color w:val="231F20"/>
          <w:w w:val="105"/>
        </w:rPr>
        <w:t>Migración</w:t>
      </w:r>
      <w:r>
        <w:rPr>
          <w:rFonts w:ascii="Arial" w:hAnsi="Arial"/>
          <w:i/>
          <w:color w:val="231F20"/>
          <w:spacing w:val="-21"/>
          <w:w w:val="105"/>
        </w:rPr>
        <w:t> </w:t>
      </w:r>
      <w:r>
        <w:rPr>
          <w:rFonts w:ascii="Arial" w:hAnsi="Arial"/>
          <w:i/>
          <w:color w:val="231F20"/>
          <w:w w:val="105"/>
        </w:rPr>
        <w:t>y</w:t>
      </w:r>
      <w:r>
        <w:rPr>
          <w:rFonts w:ascii="Arial" w:hAnsi="Arial"/>
          <w:i/>
          <w:color w:val="231F20"/>
          <w:spacing w:val="-21"/>
          <w:w w:val="105"/>
        </w:rPr>
        <w:t> </w:t>
      </w:r>
      <w:r>
        <w:rPr>
          <w:rFonts w:ascii="Arial" w:hAnsi="Arial"/>
          <w:i/>
          <w:color w:val="231F20"/>
          <w:w w:val="105"/>
        </w:rPr>
        <w:t>Desarrollo</w:t>
      </w:r>
      <w:r>
        <w:rPr>
          <w:color w:val="231F20"/>
          <w:w w:val="105"/>
        </w:rPr>
        <w:t>,</w:t>
      </w:r>
      <w:r>
        <w:rPr>
          <w:color w:val="231F20"/>
          <w:spacing w:val="-23"/>
          <w:w w:val="105"/>
        </w:rPr>
        <w:t> </w:t>
      </w:r>
      <w:r>
        <w:rPr>
          <w:color w:val="231F20"/>
          <w:w w:val="105"/>
        </w:rPr>
        <w:t>núm.</w:t>
      </w:r>
      <w:r>
        <w:rPr>
          <w:color w:val="231F20"/>
          <w:spacing w:val="-23"/>
          <w:w w:val="105"/>
        </w:rPr>
        <w:t> </w:t>
      </w:r>
      <w:r>
        <w:rPr>
          <w:color w:val="231F20"/>
          <w:w w:val="105"/>
        </w:rPr>
        <w:t>1.</w:t>
      </w:r>
    </w:p>
    <w:p>
      <w:pPr>
        <w:spacing w:line="259" w:lineRule="auto" w:before="0"/>
        <w:ind w:left="2574" w:right="1721" w:hanging="738"/>
        <w:jc w:val="both"/>
        <w:rPr>
          <w:sz w:val="21"/>
        </w:rPr>
      </w:pPr>
      <w:r>
        <w:rPr>
          <w:color w:val="231F20"/>
          <w:w w:val="105"/>
          <w:sz w:val="21"/>
        </w:rPr>
        <w:t>Arellanes</w:t>
      </w:r>
      <w:r>
        <w:rPr>
          <w:color w:val="231F20"/>
          <w:spacing w:val="-20"/>
          <w:w w:val="105"/>
          <w:sz w:val="21"/>
        </w:rPr>
        <w:t> </w:t>
      </w:r>
      <w:r>
        <w:rPr>
          <w:color w:val="231F20"/>
          <w:w w:val="105"/>
          <w:sz w:val="21"/>
        </w:rPr>
        <w:t>Cancino,</w:t>
      </w:r>
      <w:r>
        <w:rPr>
          <w:color w:val="231F20"/>
          <w:spacing w:val="-24"/>
          <w:w w:val="105"/>
          <w:sz w:val="21"/>
        </w:rPr>
        <w:t> </w:t>
      </w:r>
      <w:r>
        <w:rPr>
          <w:color w:val="231F20"/>
          <w:w w:val="105"/>
          <w:sz w:val="21"/>
        </w:rPr>
        <w:t>Nimcy,</w:t>
      </w:r>
      <w:r>
        <w:rPr>
          <w:color w:val="231F20"/>
          <w:spacing w:val="-24"/>
          <w:w w:val="105"/>
          <w:sz w:val="21"/>
        </w:rPr>
        <w:t> </w:t>
      </w:r>
      <w:r>
        <w:rPr>
          <w:color w:val="231F20"/>
          <w:w w:val="105"/>
          <w:sz w:val="21"/>
        </w:rPr>
        <w:t>(2004),</w:t>
      </w:r>
      <w:r>
        <w:rPr>
          <w:color w:val="231F20"/>
          <w:spacing w:val="-24"/>
          <w:w w:val="105"/>
          <w:sz w:val="21"/>
        </w:rPr>
        <w:t> </w:t>
      </w:r>
      <w:r>
        <w:rPr>
          <w:rFonts w:ascii="Arial" w:hAnsi="Arial"/>
          <w:i/>
          <w:color w:val="231F20"/>
          <w:w w:val="105"/>
          <w:sz w:val="21"/>
        </w:rPr>
        <w:t>Españoles</w:t>
      </w:r>
      <w:r>
        <w:rPr>
          <w:rFonts w:ascii="Arial" w:hAnsi="Arial"/>
          <w:i/>
          <w:color w:val="231F20"/>
          <w:spacing w:val="-23"/>
          <w:w w:val="105"/>
          <w:sz w:val="21"/>
        </w:rPr>
        <w:t> </w:t>
      </w:r>
      <w:r>
        <w:rPr>
          <w:rFonts w:ascii="Arial" w:hAnsi="Arial"/>
          <w:i/>
          <w:color w:val="231F20"/>
          <w:w w:val="105"/>
          <w:sz w:val="21"/>
        </w:rPr>
        <w:t>de</w:t>
      </w:r>
      <w:r>
        <w:rPr>
          <w:rFonts w:ascii="Arial" w:hAnsi="Arial"/>
          <w:i/>
          <w:color w:val="231F20"/>
          <w:spacing w:val="-23"/>
          <w:w w:val="105"/>
          <w:sz w:val="21"/>
        </w:rPr>
        <w:t> </w:t>
      </w:r>
      <w:r>
        <w:rPr>
          <w:rFonts w:ascii="Arial" w:hAnsi="Arial"/>
          <w:i/>
          <w:color w:val="231F20"/>
          <w:w w:val="105"/>
          <w:sz w:val="21"/>
        </w:rPr>
        <w:t>ambos</w:t>
      </w:r>
      <w:r>
        <w:rPr>
          <w:rFonts w:ascii="Arial" w:hAnsi="Arial"/>
          <w:i/>
          <w:color w:val="231F20"/>
          <w:spacing w:val="-23"/>
          <w:w w:val="105"/>
          <w:sz w:val="21"/>
        </w:rPr>
        <w:t> </w:t>
      </w:r>
      <w:r>
        <w:rPr>
          <w:rFonts w:ascii="Arial" w:hAnsi="Arial"/>
          <w:i/>
          <w:color w:val="231F20"/>
          <w:w w:val="105"/>
          <w:sz w:val="21"/>
        </w:rPr>
        <w:t>lados</w:t>
      </w:r>
      <w:r>
        <w:rPr>
          <w:rFonts w:ascii="Arial" w:hAnsi="Arial"/>
          <w:i/>
          <w:color w:val="231F20"/>
          <w:spacing w:val="-23"/>
          <w:w w:val="105"/>
          <w:sz w:val="21"/>
        </w:rPr>
        <w:t> </w:t>
      </w:r>
      <w:r>
        <w:rPr>
          <w:rFonts w:ascii="Arial" w:hAnsi="Arial"/>
          <w:i/>
          <w:color w:val="231F20"/>
          <w:w w:val="105"/>
          <w:sz w:val="21"/>
        </w:rPr>
        <w:t>del</w:t>
      </w:r>
      <w:r>
        <w:rPr>
          <w:rFonts w:ascii="Arial" w:hAnsi="Arial"/>
          <w:i/>
          <w:color w:val="231F20"/>
          <w:spacing w:val="-23"/>
          <w:w w:val="105"/>
          <w:sz w:val="21"/>
        </w:rPr>
        <w:t> </w:t>
      </w:r>
      <w:r>
        <w:rPr>
          <w:rFonts w:ascii="Arial" w:hAnsi="Arial"/>
          <w:i/>
          <w:color w:val="231F20"/>
          <w:w w:val="105"/>
          <w:sz w:val="21"/>
        </w:rPr>
        <w:t>mar:</w:t>
      </w:r>
      <w:r>
        <w:rPr>
          <w:rFonts w:ascii="Arial" w:hAnsi="Arial"/>
          <w:i/>
          <w:color w:val="231F20"/>
          <w:spacing w:val="-23"/>
          <w:w w:val="105"/>
          <w:sz w:val="21"/>
        </w:rPr>
        <w:t> </w:t>
      </w:r>
      <w:r>
        <w:rPr>
          <w:rFonts w:ascii="Arial" w:hAnsi="Arial"/>
          <w:i/>
          <w:color w:val="231F20"/>
          <w:w w:val="105"/>
          <w:sz w:val="21"/>
        </w:rPr>
        <w:t>la </w:t>
      </w:r>
      <w:r>
        <w:rPr>
          <w:rFonts w:ascii="Arial" w:hAnsi="Arial"/>
          <w:i/>
          <w:color w:val="231F20"/>
          <w:w w:val="105"/>
          <w:sz w:val="21"/>
        </w:rPr>
        <w:t>emigración</w:t>
      </w:r>
      <w:r>
        <w:rPr>
          <w:rFonts w:ascii="Arial" w:hAnsi="Arial"/>
          <w:i/>
          <w:color w:val="231F20"/>
          <w:spacing w:val="-23"/>
          <w:w w:val="105"/>
          <w:sz w:val="21"/>
        </w:rPr>
        <w:t> </w:t>
      </w:r>
      <w:r>
        <w:rPr>
          <w:rFonts w:ascii="Arial" w:hAnsi="Arial"/>
          <w:i/>
          <w:color w:val="231F20"/>
          <w:w w:val="105"/>
          <w:sz w:val="21"/>
        </w:rPr>
        <w:t>al</w:t>
      </w:r>
      <w:r>
        <w:rPr>
          <w:rFonts w:ascii="Arial" w:hAnsi="Arial"/>
          <w:i/>
          <w:color w:val="231F20"/>
          <w:spacing w:val="-23"/>
          <w:w w:val="105"/>
          <w:sz w:val="21"/>
        </w:rPr>
        <w:t> </w:t>
      </w:r>
      <w:r>
        <w:rPr>
          <w:rFonts w:ascii="Arial" w:hAnsi="Arial"/>
          <w:i/>
          <w:color w:val="231F20"/>
          <w:w w:val="105"/>
          <w:sz w:val="21"/>
        </w:rPr>
        <w:t>sur</w:t>
      </w:r>
      <w:r>
        <w:rPr>
          <w:rFonts w:ascii="Arial" w:hAnsi="Arial"/>
          <w:i/>
          <w:color w:val="231F20"/>
          <w:spacing w:val="-23"/>
          <w:w w:val="105"/>
          <w:sz w:val="21"/>
        </w:rPr>
        <w:t> </w:t>
      </w:r>
      <w:r>
        <w:rPr>
          <w:rFonts w:ascii="Arial" w:hAnsi="Arial"/>
          <w:i/>
          <w:color w:val="231F20"/>
          <w:w w:val="105"/>
          <w:sz w:val="21"/>
        </w:rPr>
        <w:t>de</w:t>
      </w:r>
      <w:r>
        <w:rPr>
          <w:rFonts w:ascii="Arial" w:hAnsi="Arial"/>
          <w:i/>
          <w:color w:val="231F20"/>
          <w:spacing w:val="-23"/>
          <w:w w:val="105"/>
          <w:sz w:val="21"/>
        </w:rPr>
        <w:t> </w:t>
      </w:r>
      <w:r>
        <w:rPr>
          <w:rFonts w:ascii="Arial" w:hAnsi="Arial"/>
          <w:i/>
          <w:color w:val="231F20"/>
          <w:w w:val="105"/>
          <w:sz w:val="21"/>
        </w:rPr>
        <w:t>México</w:t>
      </w:r>
      <w:r>
        <w:rPr>
          <w:rFonts w:ascii="Arial" w:hAnsi="Arial"/>
          <w:i/>
          <w:color w:val="231F20"/>
          <w:spacing w:val="-23"/>
          <w:w w:val="105"/>
          <w:sz w:val="21"/>
        </w:rPr>
        <w:t> </w:t>
      </w:r>
      <w:r>
        <w:rPr>
          <w:rFonts w:ascii="Arial" w:hAnsi="Arial"/>
          <w:i/>
          <w:color w:val="231F20"/>
          <w:w w:val="105"/>
          <w:sz w:val="21"/>
        </w:rPr>
        <w:t>durante</w:t>
      </w:r>
      <w:r>
        <w:rPr>
          <w:rFonts w:ascii="Arial" w:hAnsi="Arial"/>
          <w:i/>
          <w:color w:val="231F20"/>
          <w:spacing w:val="-23"/>
          <w:w w:val="105"/>
          <w:sz w:val="21"/>
        </w:rPr>
        <w:t> </w:t>
      </w:r>
      <w:r>
        <w:rPr>
          <w:rFonts w:ascii="Arial" w:hAnsi="Arial"/>
          <w:i/>
          <w:color w:val="231F20"/>
          <w:w w:val="105"/>
          <w:sz w:val="21"/>
        </w:rPr>
        <w:t>el</w:t>
      </w:r>
      <w:r>
        <w:rPr>
          <w:rFonts w:ascii="Arial" w:hAnsi="Arial"/>
          <w:i/>
          <w:color w:val="231F20"/>
          <w:spacing w:val="-23"/>
          <w:w w:val="105"/>
          <w:sz w:val="21"/>
        </w:rPr>
        <w:t> </w:t>
      </w:r>
      <w:r>
        <w:rPr>
          <w:rFonts w:ascii="Arial" w:hAnsi="Arial"/>
          <w:i/>
          <w:color w:val="231F20"/>
          <w:w w:val="105"/>
          <w:sz w:val="21"/>
        </w:rPr>
        <w:t>siglo</w:t>
      </w:r>
      <w:r>
        <w:rPr>
          <w:rFonts w:ascii="Arial" w:hAnsi="Arial"/>
          <w:i/>
          <w:color w:val="231F20"/>
          <w:spacing w:val="-23"/>
          <w:w w:val="105"/>
          <w:sz w:val="21"/>
        </w:rPr>
        <w:t> </w:t>
      </w:r>
      <w:r>
        <w:rPr>
          <w:rFonts w:ascii="Arial" w:hAnsi="Arial"/>
          <w:i/>
          <w:color w:val="231F20"/>
          <w:w w:val="105"/>
          <w:sz w:val="17"/>
        </w:rPr>
        <w:t>XX</w:t>
      </w:r>
      <w:r>
        <w:rPr>
          <w:rFonts w:ascii="Arial" w:hAnsi="Arial"/>
          <w:i/>
          <w:color w:val="231F20"/>
          <w:spacing w:val="-11"/>
          <w:w w:val="105"/>
          <w:sz w:val="17"/>
        </w:rPr>
        <w:t> </w:t>
      </w:r>
      <w:r>
        <w:rPr>
          <w:color w:val="231F20"/>
          <w:spacing w:val="-4"/>
          <w:w w:val="105"/>
          <w:sz w:val="21"/>
        </w:rPr>
        <w:t>(Tesis</w:t>
      </w:r>
      <w:r>
        <w:rPr>
          <w:color w:val="231F20"/>
          <w:spacing w:val="-20"/>
          <w:w w:val="105"/>
          <w:sz w:val="21"/>
        </w:rPr>
        <w:t> </w:t>
      </w:r>
      <w:r>
        <w:rPr>
          <w:color w:val="231F20"/>
          <w:w w:val="105"/>
          <w:sz w:val="21"/>
        </w:rPr>
        <w:t>de</w:t>
      </w:r>
      <w:r>
        <w:rPr>
          <w:color w:val="231F20"/>
          <w:spacing w:val="-20"/>
          <w:w w:val="105"/>
          <w:sz w:val="21"/>
        </w:rPr>
        <w:t> </w:t>
      </w:r>
      <w:r>
        <w:rPr>
          <w:color w:val="231F20"/>
          <w:w w:val="105"/>
          <w:sz w:val="21"/>
        </w:rPr>
        <w:t>doctora- </w:t>
      </w:r>
      <w:r>
        <w:rPr>
          <w:color w:val="231F20"/>
          <w:sz w:val="21"/>
        </w:rPr>
        <w:t>do), Universidad de Salamanca,</w:t>
      </w:r>
      <w:r>
        <w:rPr>
          <w:color w:val="231F20"/>
          <w:spacing w:val="-1"/>
          <w:sz w:val="21"/>
        </w:rPr>
        <w:t> </w:t>
      </w:r>
      <w:r>
        <w:rPr>
          <w:color w:val="231F20"/>
          <w:sz w:val="21"/>
        </w:rPr>
        <w:t>Salamanca.</w:t>
      </w:r>
    </w:p>
    <w:p>
      <w:pPr>
        <w:spacing w:line="259" w:lineRule="auto" w:before="0"/>
        <w:ind w:left="2574" w:right="1722" w:hanging="737"/>
        <w:jc w:val="both"/>
        <w:rPr>
          <w:sz w:val="21"/>
        </w:rPr>
      </w:pPr>
      <w:r>
        <w:rPr>
          <w:color w:val="231F20"/>
          <w:sz w:val="21"/>
        </w:rPr>
        <w:t>Baca, Norma y  Salas  Renato, (2015), </w:t>
      </w:r>
      <w:r>
        <w:rPr>
          <w:rFonts w:ascii="Arial" w:hAnsi="Arial"/>
          <w:i/>
          <w:color w:val="231F20"/>
          <w:sz w:val="21"/>
        </w:rPr>
        <w:t>Migración  Internacional, territorio  </w:t>
      </w:r>
      <w:r>
        <w:rPr>
          <w:rFonts w:ascii="Arial" w:hAnsi="Arial"/>
          <w:i/>
          <w:color w:val="231F20"/>
          <w:sz w:val="21"/>
        </w:rPr>
        <w:t>y sujetos migrantes del Estado de México</w:t>
      </w:r>
      <w:r>
        <w:rPr>
          <w:color w:val="231F20"/>
          <w:sz w:val="21"/>
        </w:rPr>
        <w:t>, </w:t>
      </w:r>
      <w:r>
        <w:rPr>
          <w:color w:val="231F20"/>
          <w:spacing w:val="-3"/>
          <w:sz w:val="21"/>
        </w:rPr>
        <w:t>Toluca, </w:t>
      </w:r>
      <w:r>
        <w:rPr>
          <w:color w:val="231F20"/>
          <w:sz w:val="21"/>
        </w:rPr>
        <w:t>México: Eón/ </w:t>
      </w:r>
      <w:r>
        <w:rPr>
          <w:color w:val="231F20"/>
          <w:sz w:val="17"/>
        </w:rPr>
        <w:t>UAEM</w:t>
      </w:r>
      <w:r>
        <w:rPr>
          <w:color w:val="231F20"/>
          <w:sz w:val="21"/>
        </w:rPr>
        <w:t>.</w:t>
      </w:r>
    </w:p>
    <w:p>
      <w:pPr>
        <w:spacing w:line="261" w:lineRule="auto" w:before="0"/>
        <w:ind w:left="2574" w:right="1715" w:hanging="737"/>
        <w:jc w:val="both"/>
        <w:rPr>
          <w:sz w:val="21"/>
        </w:rPr>
      </w:pPr>
      <w:r>
        <w:rPr>
          <w:color w:val="231F20"/>
          <w:sz w:val="21"/>
        </w:rPr>
        <w:t>Brinley, Thomas, (1961), </w:t>
      </w:r>
      <w:r>
        <w:rPr>
          <w:rFonts w:ascii="Arial" w:hAnsi="Arial"/>
          <w:i/>
          <w:color w:val="231F20"/>
          <w:sz w:val="21"/>
        </w:rPr>
        <w:t>Migración internacional y desarrollo económico</w:t>
      </w:r>
      <w:r>
        <w:rPr>
          <w:color w:val="231F20"/>
          <w:sz w:val="21"/>
        </w:rPr>
        <w:t>, </w:t>
      </w:r>
      <w:r>
        <w:rPr>
          <w:color w:val="231F20"/>
          <w:w w:val="95"/>
          <w:sz w:val="21"/>
        </w:rPr>
        <w:t>París: </w:t>
      </w:r>
      <w:r>
        <w:rPr>
          <w:color w:val="231F20"/>
          <w:w w:val="95"/>
          <w:sz w:val="17"/>
        </w:rPr>
        <w:t>UNESCO</w:t>
      </w:r>
      <w:r>
        <w:rPr>
          <w:color w:val="231F20"/>
          <w:w w:val="95"/>
          <w:sz w:val="21"/>
        </w:rPr>
        <w:t>.</w:t>
      </w:r>
    </w:p>
    <w:p>
      <w:pPr>
        <w:spacing w:line="259" w:lineRule="auto" w:before="0"/>
        <w:ind w:left="2574" w:right="1721" w:hanging="738"/>
        <w:jc w:val="both"/>
        <w:rPr>
          <w:sz w:val="21"/>
        </w:rPr>
      </w:pPr>
      <w:r>
        <w:rPr>
          <w:color w:val="231F20"/>
          <w:w w:val="105"/>
          <w:sz w:val="21"/>
        </w:rPr>
        <w:t>Butterworth,</w:t>
      </w:r>
      <w:r>
        <w:rPr>
          <w:color w:val="231F20"/>
          <w:spacing w:val="-16"/>
          <w:w w:val="105"/>
          <w:sz w:val="21"/>
        </w:rPr>
        <w:t> </w:t>
      </w:r>
      <w:r>
        <w:rPr>
          <w:color w:val="231F20"/>
          <w:w w:val="105"/>
          <w:sz w:val="21"/>
        </w:rPr>
        <w:t>Douglas,</w:t>
      </w:r>
      <w:r>
        <w:rPr>
          <w:color w:val="231F20"/>
          <w:spacing w:val="-16"/>
          <w:w w:val="105"/>
          <w:sz w:val="21"/>
        </w:rPr>
        <w:t> </w:t>
      </w:r>
      <w:r>
        <w:rPr>
          <w:color w:val="231F20"/>
          <w:w w:val="105"/>
          <w:sz w:val="21"/>
        </w:rPr>
        <w:t>(1975),</w:t>
      </w:r>
      <w:r>
        <w:rPr>
          <w:color w:val="231F20"/>
          <w:spacing w:val="-16"/>
          <w:w w:val="105"/>
          <w:sz w:val="21"/>
        </w:rPr>
        <w:t> </w:t>
      </w:r>
      <w:r>
        <w:rPr>
          <w:rFonts w:ascii="Arial" w:hAnsi="Arial"/>
          <w:i/>
          <w:color w:val="231F20"/>
          <w:w w:val="105"/>
          <w:sz w:val="21"/>
        </w:rPr>
        <w:t>Tilantongo.</w:t>
      </w:r>
      <w:r>
        <w:rPr>
          <w:rFonts w:ascii="Arial" w:hAnsi="Arial"/>
          <w:i/>
          <w:color w:val="231F20"/>
          <w:spacing w:val="-18"/>
          <w:w w:val="105"/>
          <w:sz w:val="21"/>
        </w:rPr>
        <w:t> </w:t>
      </w:r>
      <w:r>
        <w:rPr>
          <w:rFonts w:ascii="Arial" w:hAnsi="Arial"/>
          <w:i/>
          <w:color w:val="231F20"/>
          <w:w w:val="105"/>
          <w:sz w:val="21"/>
        </w:rPr>
        <w:t>Comunidad</w:t>
      </w:r>
      <w:r>
        <w:rPr>
          <w:rFonts w:ascii="Arial" w:hAnsi="Arial"/>
          <w:i/>
          <w:color w:val="231F20"/>
          <w:spacing w:val="-14"/>
          <w:w w:val="105"/>
          <w:sz w:val="21"/>
        </w:rPr>
        <w:t> </w:t>
      </w:r>
      <w:r>
        <w:rPr>
          <w:rFonts w:ascii="Arial" w:hAnsi="Arial"/>
          <w:i/>
          <w:color w:val="231F20"/>
          <w:w w:val="105"/>
          <w:sz w:val="21"/>
        </w:rPr>
        <w:t>mixteca</w:t>
      </w:r>
      <w:r>
        <w:rPr>
          <w:rFonts w:ascii="Arial" w:hAnsi="Arial"/>
          <w:i/>
          <w:color w:val="231F20"/>
          <w:spacing w:val="-14"/>
          <w:w w:val="105"/>
          <w:sz w:val="21"/>
        </w:rPr>
        <w:t> </w:t>
      </w:r>
      <w:r>
        <w:rPr>
          <w:rFonts w:ascii="Arial" w:hAnsi="Arial"/>
          <w:i/>
          <w:color w:val="231F20"/>
          <w:w w:val="105"/>
          <w:sz w:val="21"/>
        </w:rPr>
        <w:t>en</w:t>
      </w:r>
      <w:r>
        <w:rPr>
          <w:rFonts w:ascii="Arial" w:hAnsi="Arial"/>
          <w:i/>
          <w:color w:val="231F20"/>
          <w:spacing w:val="-14"/>
          <w:w w:val="105"/>
          <w:sz w:val="21"/>
        </w:rPr>
        <w:t> </w:t>
      </w:r>
      <w:r>
        <w:rPr>
          <w:rFonts w:ascii="Arial" w:hAnsi="Arial"/>
          <w:i/>
          <w:color w:val="231F20"/>
          <w:w w:val="105"/>
          <w:sz w:val="21"/>
        </w:rPr>
        <w:t>transi- </w:t>
      </w:r>
      <w:r>
        <w:rPr>
          <w:rFonts w:ascii="Arial" w:hAnsi="Arial"/>
          <w:i/>
          <w:color w:val="231F20"/>
          <w:w w:val="105"/>
          <w:sz w:val="21"/>
        </w:rPr>
        <w:t>ción</w:t>
      </w:r>
      <w:r>
        <w:rPr>
          <w:color w:val="231F20"/>
          <w:w w:val="105"/>
          <w:sz w:val="21"/>
        </w:rPr>
        <w:t>,</w:t>
      </w:r>
      <w:r>
        <w:rPr>
          <w:color w:val="231F20"/>
          <w:spacing w:val="-27"/>
          <w:w w:val="105"/>
          <w:sz w:val="21"/>
        </w:rPr>
        <w:t> </w:t>
      </w:r>
      <w:r>
        <w:rPr>
          <w:color w:val="231F20"/>
          <w:w w:val="105"/>
          <w:sz w:val="21"/>
        </w:rPr>
        <w:t>México:</w:t>
      </w:r>
      <w:r>
        <w:rPr>
          <w:color w:val="231F20"/>
          <w:spacing w:val="-23"/>
          <w:w w:val="105"/>
          <w:sz w:val="21"/>
        </w:rPr>
        <w:t> </w:t>
      </w:r>
      <w:r>
        <w:rPr>
          <w:color w:val="231F20"/>
          <w:w w:val="105"/>
          <w:sz w:val="17"/>
        </w:rPr>
        <w:t>INI</w:t>
      </w:r>
      <w:r>
        <w:rPr>
          <w:color w:val="231F20"/>
          <w:w w:val="105"/>
          <w:sz w:val="21"/>
        </w:rPr>
        <w:t>.</w:t>
      </w:r>
    </w:p>
    <w:p>
      <w:pPr>
        <w:spacing w:line="261" w:lineRule="auto" w:before="3"/>
        <w:ind w:left="2574" w:right="1716" w:hanging="737"/>
        <w:jc w:val="both"/>
        <w:rPr>
          <w:sz w:val="21"/>
        </w:rPr>
      </w:pPr>
      <w:r>
        <w:rPr>
          <w:color w:val="231F20"/>
          <w:w w:val="105"/>
          <w:sz w:val="21"/>
        </w:rPr>
        <w:t>Comisión Nacional para el Conocimiento y uso de la Biodiversidad</w:t>
      </w:r>
      <w:r>
        <w:rPr>
          <w:color w:val="231F20"/>
          <w:spacing w:val="-37"/>
          <w:w w:val="105"/>
          <w:sz w:val="21"/>
        </w:rPr>
        <w:t> </w:t>
      </w:r>
      <w:r>
        <w:rPr>
          <w:color w:val="231F20"/>
          <w:w w:val="105"/>
          <w:sz w:val="21"/>
        </w:rPr>
        <w:t>(</w:t>
      </w:r>
      <w:r>
        <w:rPr>
          <w:color w:val="231F20"/>
          <w:w w:val="105"/>
          <w:sz w:val="17"/>
        </w:rPr>
        <w:t>CO- NABIO</w:t>
      </w:r>
      <w:r>
        <w:rPr>
          <w:color w:val="231F20"/>
          <w:w w:val="105"/>
          <w:sz w:val="21"/>
        </w:rPr>
        <w:t>), (2010), </w:t>
      </w:r>
      <w:r>
        <w:rPr>
          <w:color w:val="231F20"/>
          <w:spacing w:val="-3"/>
          <w:w w:val="105"/>
          <w:sz w:val="21"/>
        </w:rPr>
        <w:t>“Tabla </w:t>
      </w:r>
      <w:r>
        <w:rPr>
          <w:color w:val="231F20"/>
          <w:w w:val="105"/>
          <w:sz w:val="21"/>
        </w:rPr>
        <w:t>descriptiva de razas de maíz en </w:t>
      </w:r>
      <w:r>
        <w:rPr>
          <w:color w:val="231F20"/>
          <w:spacing w:val="-4"/>
          <w:w w:val="105"/>
          <w:sz w:val="21"/>
        </w:rPr>
        <w:t>México”, </w:t>
      </w:r>
      <w:r>
        <w:rPr>
          <w:rFonts w:ascii="Arial" w:hAnsi="Arial"/>
          <w:i/>
          <w:color w:val="231F20"/>
          <w:w w:val="105"/>
          <w:sz w:val="21"/>
        </w:rPr>
        <w:t>Proyecto</w:t>
      </w:r>
      <w:r>
        <w:rPr>
          <w:rFonts w:ascii="Arial" w:hAnsi="Arial"/>
          <w:i/>
          <w:color w:val="231F20"/>
          <w:spacing w:val="-36"/>
          <w:w w:val="105"/>
          <w:sz w:val="21"/>
        </w:rPr>
        <w:t> </w:t>
      </w:r>
      <w:r>
        <w:rPr>
          <w:rFonts w:ascii="Arial" w:hAnsi="Arial"/>
          <w:i/>
          <w:color w:val="231F20"/>
          <w:w w:val="105"/>
          <w:sz w:val="21"/>
        </w:rPr>
        <w:t>Global</w:t>
      </w:r>
      <w:r>
        <w:rPr>
          <w:rFonts w:ascii="Arial" w:hAnsi="Arial"/>
          <w:i/>
          <w:color w:val="231F20"/>
          <w:spacing w:val="-36"/>
          <w:w w:val="105"/>
          <w:sz w:val="21"/>
        </w:rPr>
        <w:t> </w:t>
      </w:r>
      <w:r>
        <w:rPr>
          <w:rFonts w:ascii="Arial" w:hAnsi="Arial"/>
          <w:i/>
          <w:color w:val="231F20"/>
          <w:w w:val="105"/>
          <w:sz w:val="21"/>
        </w:rPr>
        <w:t>de</w:t>
      </w:r>
      <w:r>
        <w:rPr>
          <w:rFonts w:ascii="Arial" w:hAnsi="Arial"/>
          <w:i/>
          <w:color w:val="231F20"/>
          <w:spacing w:val="-36"/>
          <w:w w:val="105"/>
          <w:sz w:val="21"/>
        </w:rPr>
        <w:t> </w:t>
      </w:r>
      <w:r>
        <w:rPr>
          <w:rFonts w:ascii="Arial" w:hAnsi="Arial"/>
          <w:i/>
          <w:color w:val="231F20"/>
          <w:w w:val="105"/>
          <w:sz w:val="21"/>
        </w:rPr>
        <w:t>Maíces</w:t>
      </w:r>
      <w:r>
        <w:rPr>
          <w:rFonts w:ascii="Arial" w:hAnsi="Arial"/>
          <w:i/>
          <w:color w:val="231F20"/>
          <w:spacing w:val="-36"/>
          <w:w w:val="105"/>
          <w:sz w:val="21"/>
        </w:rPr>
        <w:t> </w:t>
      </w:r>
      <w:r>
        <w:rPr>
          <w:rFonts w:ascii="Arial" w:hAnsi="Arial"/>
          <w:i/>
          <w:color w:val="231F20"/>
          <w:w w:val="105"/>
          <w:sz w:val="21"/>
        </w:rPr>
        <w:t>Nativos</w:t>
      </w:r>
      <w:r>
        <w:rPr>
          <w:color w:val="231F20"/>
          <w:w w:val="105"/>
          <w:sz w:val="21"/>
        </w:rPr>
        <w:t>,</w:t>
      </w:r>
      <w:r>
        <w:rPr>
          <w:color w:val="231F20"/>
          <w:spacing w:val="-36"/>
          <w:w w:val="105"/>
          <w:sz w:val="21"/>
        </w:rPr>
        <w:t> </w:t>
      </w:r>
      <w:r>
        <w:rPr>
          <w:color w:val="231F20"/>
          <w:w w:val="105"/>
          <w:sz w:val="21"/>
        </w:rPr>
        <w:t>México:</w:t>
      </w:r>
      <w:r>
        <w:rPr>
          <w:color w:val="231F20"/>
          <w:spacing w:val="-33"/>
          <w:w w:val="105"/>
          <w:sz w:val="21"/>
        </w:rPr>
        <w:t> </w:t>
      </w:r>
      <w:r>
        <w:rPr>
          <w:color w:val="231F20"/>
          <w:w w:val="105"/>
          <w:sz w:val="17"/>
        </w:rPr>
        <w:t>CONABIO</w:t>
      </w:r>
      <w:r>
        <w:rPr>
          <w:color w:val="231F20"/>
          <w:w w:val="105"/>
          <w:sz w:val="21"/>
        </w:rPr>
        <w:t>.</w:t>
      </w:r>
    </w:p>
    <w:p>
      <w:pPr>
        <w:spacing w:line="259" w:lineRule="auto" w:before="0"/>
        <w:ind w:left="2574" w:right="1721" w:hanging="738"/>
        <w:jc w:val="both"/>
        <w:rPr>
          <w:sz w:val="21"/>
        </w:rPr>
      </w:pPr>
      <w:r>
        <w:rPr>
          <w:color w:val="231F20"/>
          <w:w w:val="105"/>
          <w:sz w:val="21"/>
        </w:rPr>
        <w:t>Consejo</w:t>
      </w:r>
      <w:r>
        <w:rPr>
          <w:color w:val="231F20"/>
          <w:spacing w:val="-19"/>
          <w:w w:val="105"/>
          <w:sz w:val="21"/>
        </w:rPr>
        <w:t> </w:t>
      </w:r>
      <w:r>
        <w:rPr>
          <w:color w:val="231F20"/>
          <w:w w:val="105"/>
          <w:sz w:val="21"/>
        </w:rPr>
        <w:t>Nacional</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Población</w:t>
      </w:r>
      <w:r>
        <w:rPr>
          <w:color w:val="231F20"/>
          <w:spacing w:val="-19"/>
          <w:w w:val="105"/>
          <w:sz w:val="21"/>
        </w:rPr>
        <w:t> </w:t>
      </w:r>
      <w:r>
        <w:rPr>
          <w:color w:val="231F20"/>
          <w:w w:val="105"/>
          <w:sz w:val="21"/>
        </w:rPr>
        <w:t>(</w:t>
      </w:r>
      <w:r>
        <w:rPr>
          <w:color w:val="231F20"/>
          <w:w w:val="105"/>
          <w:sz w:val="17"/>
        </w:rPr>
        <w:t>CONAPO</w:t>
      </w:r>
      <w:r>
        <w:rPr>
          <w:color w:val="231F20"/>
          <w:w w:val="105"/>
          <w:sz w:val="21"/>
        </w:rPr>
        <w:t>),</w:t>
      </w:r>
      <w:r>
        <w:rPr>
          <w:color w:val="231F20"/>
          <w:spacing w:val="-23"/>
          <w:w w:val="105"/>
          <w:sz w:val="21"/>
        </w:rPr>
        <w:t> </w:t>
      </w:r>
      <w:r>
        <w:rPr>
          <w:color w:val="231F20"/>
          <w:w w:val="105"/>
          <w:sz w:val="21"/>
        </w:rPr>
        <w:t>(2010),</w:t>
      </w:r>
      <w:r>
        <w:rPr>
          <w:color w:val="231F20"/>
          <w:spacing w:val="-23"/>
          <w:w w:val="105"/>
          <w:sz w:val="21"/>
        </w:rPr>
        <w:t> </w:t>
      </w:r>
      <w:r>
        <w:rPr>
          <w:color w:val="231F20"/>
          <w:w w:val="105"/>
          <w:sz w:val="21"/>
        </w:rPr>
        <w:t>Índice</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m</w:t>
      </w:r>
      <w:r>
        <w:rPr>
          <w:rFonts w:ascii="Arial" w:hAnsi="Arial"/>
          <w:i/>
          <w:color w:val="231F20"/>
          <w:w w:val="105"/>
          <w:sz w:val="21"/>
        </w:rPr>
        <w:t>arginación </w:t>
      </w:r>
      <w:r>
        <w:rPr>
          <w:rFonts w:ascii="Arial" w:hAnsi="Arial"/>
          <w:i/>
          <w:color w:val="231F20"/>
          <w:w w:val="105"/>
          <w:sz w:val="21"/>
        </w:rPr>
        <w:t>por</w:t>
      </w:r>
      <w:r>
        <w:rPr>
          <w:rFonts w:ascii="Arial" w:hAnsi="Arial"/>
          <w:i/>
          <w:color w:val="231F20"/>
          <w:spacing w:val="-17"/>
          <w:w w:val="105"/>
          <w:sz w:val="21"/>
        </w:rPr>
        <w:t> </w:t>
      </w:r>
      <w:r>
        <w:rPr>
          <w:rFonts w:ascii="Arial" w:hAnsi="Arial"/>
          <w:i/>
          <w:color w:val="231F20"/>
          <w:w w:val="105"/>
          <w:sz w:val="21"/>
        </w:rPr>
        <w:t>entidad</w:t>
      </w:r>
      <w:r>
        <w:rPr>
          <w:rFonts w:ascii="Arial" w:hAnsi="Arial"/>
          <w:i/>
          <w:color w:val="231F20"/>
          <w:spacing w:val="-17"/>
          <w:w w:val="105"/>
          <w:sz w:val="21"/>
        </w:rPr>
        <w:t> </w:t>
      </w:r>
      <w:r>
        <w:rPr>
          <w:rFonts w:ascii="Arial" w:hAnsi="Arial"/>
          <w:i/>
          <w:color w:val="231F20"/>
          <w:w w:val="105"/>
          <w:sz w:val="21"/>
        </w:rPr>
        <w:t>federativa</w:t>
      </w:r>
      <w:r>
        <w:rPr>
          <w:rFonts w:ascii="Arial" w:hAnsi="Arial"/>
          <w:i/>
          <w:color w:val="231F20"/>
          <w:spacing w:val="-17"/>
          <w:w w:val="105"/>
          <w:sz w:val="21"/>
        </w:rPr>
        <w:t> </w:t>
      </w:r>
      <w:r>
        <w:rPr>
          <w:rFonts w:ascii="Arial" w:hAnsi="Arial"/>
          <w:i/>
          <w:color w:val="231F20"/>
          <w:w w:val="105"/>
          <w:sz w:val="21"/>
        </w:rPr>
        <w:t>y</w:t>
      </w:r>
      <w:r>
        <w:rPr>
          <w:rFonts w:ascii="Arial" w:hAnsi="Arial"/>
          <w:i/>
          <w:color w:val="231F20"/>
          <w:spacing w:val="-17"/>
          <w:w w:val="105"/>
          <w:sz w:val="21"/>
        </w:rPr>
        <w:t> </w:t>
      </w:r>
      <w:r>
        <w:rPr>
          <w:rFonts w:ascii="Arial" w:hAnsi="Arial"/>
          <w:i/>
          <w:color w:val="231F20"/>
          <w:w w:val="105"/>
          <w:sz w:val="21"/>
        </w:rPr>
        <w:t>municipio</w:t>
      </w:r>
      <w:r>
        <w:rPr>
          <w:color w:val="231F20"/>
          <w:w w:val="105"/>
          <w:sz w:val="21"/>
        </w:rPr>
        <w:t>,</w:t>
      </w:r>
      <w:r>
        <w:rPr>
          <w:color w:val="231F20"/>
          <w:spacing w:val="-20"/>
          <w:w w:val="105"/>
          <w:sz w:val="21"/>
        </w:rPr>
        <w:t> </w:t>
      </w:r>
      <w:r>
        <w:rPr>
          <w:color w:val="231F20"/>
          <w:w w:val="105"/>
          <w:sz w:val="21"/>
        </w:rPr>
        <w:t>México:</w:t>
      </w:r>
      <w:r>
        <w:rPr>
          <w:color w:val="231F20"/>
          <w:spacing w:val="-15"/>
          <w:w w:val="105"/>
          <w:sz w:val="21"/>
        </w:rPr>
        <w:t> </w:t>
      </w:r>
      <w:r>
        <w:rPr>
          <w:color w:val="231F20"/>
          <w:w w:val="105"/>
          <w:sz w:val="17"/>
        </w:rPr>
        <w:t>CONAPO</w:t>
      </w:r>
      <w:r>
        <w:rPr>
          <w:color w:val="231F20"/>
          <w:w w:val="105"/>
          <w:sz w:val="21"/>
        </w:rPr>
        <w:t>.</w:t>
      </w:r>
    </w:p>
    <w:p>
      <w:pPr>
        <w:spacing w:line="259" w:lineRule="auto" w:before="3"/>
        <w:ind w:left="2574" w:right="1714" w:hanging="737"/>
        <w:jc w:val="both"/>
        <w:rPr>
          <w:sz w:val="21"/>
        </w:rPr>
      </w:pPr>
      <w:r>
        <w:rPr>
          <w:color w:val="231F20"/>
          <w:w w:val="105"/>
          <w:sz w:val="21"/>
        </w:rPr>
        <w:t>Comité de Planeación para el Desarrollo del Estado de México (</w:t>
      </w:r>
      <w:r>
        <w:rPr>
          <w:color w:val="231F20"/>
          <w:w w:val="105"/>
          <w:sz w:val="17"/>
        </w:rPr>
        <w:t>COPLA- DEM</w:t>
      </w:r>
      <w:r>
        <w:rPr>
          <w:color w:val="231F20"/>
          <w:w w:val="105"/>
          <w:sz w:val="21"/>
        </w:rPr>
        <w:t>), (2012), </w:t>
      </w:r>
      <w:r>
        <w:rPr>
          <w:rFonts w:ascii="Arial" w:hAnsi="Arial"/>
          <w:i/>
          <w:color w:val="231F20"/>
          <w:w w:val="105"/>
          <w:sz w:val="21"/>
        </w:rPr>
        <w:t>Programas de Desarrollo Regional del Estado de </w:t>
      </w:r>
      <w:r>
        <w:rPr>
          <w:rFonts w:ascii="Arial" w:hAnsi="Arial"/>
          <w:i/>
          <w:color w:val="231F20"/>
          <w:w w:val="105"/>
          <w:sz w:val="21"/>
        </w:rPr>
        <w:t>México</w:t>
      </w:r>
      <w:r>
        <w:rPr>
          <w:rFonts w:ascii="Arial" w:hAnsi="Arial"/>
          <w:i/>
          <w:color w:val="231F20"/>
          <w:spacing w:val="-42"/>
          <w:w w:val="105"/>
          <w:sz w:val="21"/>
        </w:rPr>
        <w:t> </w:t>
      </w:r>
      <w:r>
        <w:rPr>
          <w:rFonts w:ascii="Arial" w:hAnsi="Arial"/>
          <w:i/>
          <w:color w:val="231F20"/>
          <w:w w:val="105"/>
          <w:sz w:val="21"/>
        </w:rPr>
        <w:t>2012-2017.</w:t>
      </w:r>
      <w:r>
        <w:rPr>
          <w:rFonts w:ascii="Arial" w:hAnsi="Arial"/>
          <w:i/>
          <w:color w:val="231F20"/>
          <w:spacing w:val="-45"/>
          <w:w w:val="105"/>
          <w:sz w:val="21"/>
        </w:rPr>
        <w:t> </w:t>
      </w:r>
      <w:r>
        <w:rPr>
          <w:rFonts w:ascii="Arial" w:hAnsi="Arial"/>
          <w:i/>
          <w:color w:val="231F20"/>
          <w:w w:val="105"/>
          <w:sz w:val="21"/>
        </w:rPr>
        <w:t>Región</w:t>
      </w:r>
      <w:r>
        <w:rPr>
          <w:rFonts w:ascii="Arial" w:hAnsi="Arial"/>
          <w:i/>
          <w:color w:val="231F20"/>
          <w:spacing w:val="-44"/>
          <w:w w:val="105"/>
          <w:sz w:val="21"/>
        </w:rPr>
        <w:t> </w:t>
      </w:r>
      <w:r>
        <w:rPr>
          <w:rFonts w:ascii="Arial" w:hAnsi="Arial"/>
          <w:i/>
          <w:color w:val="231F20"/>
          <w:w w:val="105"/>
          <w:sz w:val="21"/>
        </w:rPr>
        <w:t>Tejupilco.</w:t>
      </w:r>
      <w:r>
        <w:rPr>
          <w:rFonts w:ascii="Arial" w:hAnsi="Arial"/>
          <w:i/>
          <w:color w:val="231F20"/>
          <w:spacing w:val="-45"/>
          <w:w w:val="105"/>
          <w:sz w:val="21"/>
        </w:rPr>
        <w:t> </w:t>
      </w:r>
      <w:r>
        <w:rPr>
          <w:rFonts w:ascii="Arial" w:hAnsi="Arial"/>
          <w:i/>
          <w:color w:val="231F20"/>
          <w:w w:val="105"/>
          <w:sz w:val="21"/>
        </w:rPr>
        <w:t>Programa</w:t>
      </w:r>
      <w:r>
        <w:rPr>
          <w:rFonts w:ascii="Arial" w:hAnsi="Arial"/>
          <w:i/>
          <w:color w:val="231F20"/>
          <w:spacing w:val="-42"/>
          <w:w w:val="105"/>
          <w:sz w:val="21"/>
        </w:rPr>
        <w:t> </w:t>
      </w:r>
      <w:r>
        <w:rPr>
          <w:rFonts w:ascii="Arial" w:hAnsi="Arial"/>
          <w:i/>
          <w:color w:val="231F20"/>
          <w:w w:val="105"/>
          <w:sz w:val="21"/>
        </w:rPr>
        <w:t>Regional</w:t>
      </w:r>
      <w:r>
        <w:rPr>
          <w:color w:val="231F20"/>
          <w:w w:val="105"/>
          <w:sz w:val="21"/>
        </w:rPr>
        <w:t>,</w:t>
      </w:r>
      <w:r>
        <w:rPr>
          <w:color w:val="231F20"/>
          <w:spacing w:val="-44"/>
          <w:w w:val="105"/>
          <w:sz w:val="21"/>
        </w:rPr>
        <w:t> </w:t>
      </w:r>
      <w:r>
        <w:rPr>
          <w:color w:val="231F20"/>
          <w:w w:val="105"/>
          <w:sz w:val="21"/>
        </w:rPr>
        <w:t>Toluca, </w:t>
      </w:r>
      <w:r>
        <w:rPr>
          <w:color w:val="231F20"/>
          <w:sz w:val="21"/>
        </w:rPr>
        <w:t>México:</w:t>
      </w:r>
      <w:r>
        <w:rPr>
          <w:color w:val="231F20"/>
          <w:spacing w:val="25"/>
          <w:sz w:val="21"/>
        </w:rPr>
        <w:t> </w:t>
      </w:r>
      <w:r>
        <w:rPr>
          <w:color w:val="231F20"/>
          <w:sz w:val="17"/>
        </w:rPr>
        <w:t>COPLADEM</w:t>
      </w:r>
      <w:r>
        <w:rPr>
          <w:color w:val="231F20"/>
          <w:sz w:val="21"/>
        </w:rPr>
        <w:t>.</w:t>
      </w:r>
    </w:p>
    <w:p>
      <w:pPr>
        <w:pStyle w:val="BodyText"/>
        <w:spacing w:before="3"/>
        <w:ind w:left="1837"/>
      </w:pPr>
      <w:r>
        <w:rPr>
          <w:color w:val="231F20"/>
          <w:w w:val="105"/>
        </w:rPr>
        <w:t>Dinerman, Ina, (1983), “El impacto agrario de la migración en Huecorio”,</w:t>
      </w:r>
    </w:p>
    <w:p>
      <w:pPr>
        <w:spacing w:before="19"/>
        <w:ind w:left="2574" w:right="0" w:firstLine="0"/>
        <w:jc w:val="left"/>
        <w:rPr>
          <w:sz w:val="21"/>
        </w:rPr>
      </w:pPr>
      <w:r>
        <w:rPr>
          <w:rFonts w:ascii="Arial" w:hAnsi="Arial"/>
          <w:i/>
          <w:color w:val="231F20"/>
          <w:sz w:val="21"/>
        </w:rPr>
        <w:t>Relaciones </w:t>
      </w:r>
      <w:r>
        <w:rPr>
          <w:color w:val="231F20"/>
          <w:sz w:val="21"/>
        </w:rPr>
        <w:t>vol. 4, núm. 15.</w:t>
      </w:r>
    </w:p>
    <w:p>
      <w:pPr>
        <w:pStyle w:val="BodyText"/>
        <w:spacing w:line="259" w:lineRule="auto" w:before="22"/>
        <w:ind w:left="2574" w:right="1721" w:hanging="738"/>
        <w:jc w:val="both"/>
        <w:rPr>
          <w:rFonts w:ascii="Arial" w:hAnsi="Arial"/>
          <w:i/>
        </w:rPr>
      </w:pPr>
      <w:r>
        <w:rPr/>
        <w:pict>
          <v:line style="position:absolute;mso-position-horizontal-relative:page;mso-position-vertical-relative:paragraph;z-index:-448624" from="15pt,112.384888pt" to="0pt,112.384888pt" stroked="true" strokeweight=".25pt" strokecolor="#000000">
            <w10:wrap type="none"/>
          </v:line>
        </w:pict>
      </w:r>
      <w:r>
        <w:rPr/>
        <w:pict>
          <v:line style="position:absolute;mso-position-horizontal-relative:page;mso-position-vertical-relative:paragraph;z-index:41584" from="508.890015pt,112.384888pt" to="523.890015pt,112.384888pt" stroked="true" strokeweight=".25pt" strokecolor="#000000">
            <w10:wrap type="none"/>
          </v:line>
        </w:pict>
      </w:r>
      <w:r>
        <w:rPr>
          <w:color w:val="231F20"/>
          <w:w w:val="105"/>
        </w:rPr>
        <w:t>Durand, Jorge, (1993), “Las remesas en dólares: usos y alternativas</w:t>
      </w:r>
      <w:r>
        <w:rPr>
          <w:color w:val="231F20"/>
          <w:spacing w:val="-27"/>
          <w:w w:val="105"/>
        </w:rPr>
        <w:t> </w:t>
      </w:r>
      <w:r>
        <w:rPr>
          <w:color w:val="231F20"/>
          <w:w w:val="105"/>
        </w:rPr>
        <w:t>de financiamiento”,</w:t>
      </w:r>
      <w:r>
        <w:rPr>
          <w:color w:val="231F20"/>
          <w:spacing w:val="-21"/>
          <w:w w:val="105"/>
        </w:rPr>
        <w:t> </w:t>
      </w:r>
      <w:r>
        <w:rPr>
          <w:color w:val="231F20"/>
          <w:w w:val="105"/>
        </w:rPr>
        <w:t>en</w:t>
      </w:r>
      <w:r>
        <w:rPr>
          <w:color w:val="231F20"/>
          <w:spacing w:val="-17"/>
          <w:w w:val="105"/>
        </w:rPr>
        <w:t> </w:t>
      </w:r>
      <w:r>
        <w:rPr>
          <w:color w:val="231F20"/>
          <w:w w:val="105"/>
        </w:rPr>
        <w:t>Mariel-Noëlle</w:t>
      </w:r>
      <w:r>
        <w:rPr>
          <w:color w:val="231F20"/>
          <w:spacing w:val="-17"/>
          <w:w w:val="105"/>
        </w:rPr>
        <w:t> </w:t>
      </w:r>
      <w:r>
        <w:rPr>
          <w:color w:val="231F20"/>
          <w:w w:val="105"/>
        </w:rPr>
        <w:t>Chamoux,</w:t>
      </w:r>
      <w:r>
        <w:rPr>
          <w:color w:val="231F20"/>
          <w:spacing w:val="-21"/>
          <w:w w:val="105"/>
        </w:rPr>
        <w:t> </w:t>
      </w:r>
      <w:r>
        <w:rPr>
          <w:color w:val="231F20"/>
          <w:w w:val="105"/>
        </w:rPr>
        <w:t>Daniéle</w:t>
      </w:r>
      <w:r>
        <w:rPr>
          <w:color w:val="231F20"/>
          <w:spacing w:val="-17"/>
          <w:w w:val="105"/>
        </w:rPr>
        <w:t> </w:t>
      </w:r>
      <w:r>
        <w:rPr>
          <w:color w:val="231F20"/>
          <w:w w:val="105"/>
        </w:rPr>
        <w:t>Dehouve</w:t>
      </w:r>
      <w:r>
        <w:rPr>
          <w:color w:val="231F20"/>
          <w:spacing w:val="-17"/>
          <w:w w:val="105"/>
        </w:rPr>
        <w:t> </w:t>
      </w:r>
      <w:r>
        <w:rPr>
          <w:rFonts w:ascii="Arial" w:hAnsi="Arial"/>
          <w:i/>
          <w:color w:val="231F20"/>
          <w:w w:val="105"/>
        </w:rPr>
        <w:t>et</w:t>
      </w:r>
    </w:p>
    <w:p>
      <w:pPr>
        <w:spacing w:after="0" w:line="259" w:lineRule="auto"/>
        <w:jc w:val="both"/>
        <w:rPr>
          <w:rFonts w:ascii="Arial" w:hAnsi="Arial"/>
        </w:rPr>
        <w:sectPr>
          <w:pgSz w:w="10480" w:h="14730"/>
          <w:pgMar w:header="0" w:footer="103" w:top="300" w:bottom="300" w:left="0" w:right="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7"/>
        <w:rPr>
          <w:rFonts w:ascii="Arial"/>
          <w:i/>
          <w:sz w:val="29"/>
        </w:rPr>
      </w:pPr>
    </w:p>
    <w:p>
      <w:pPr>
        <w:spacing w:line="259" w:lineRule="auto" w:before="57"/>
        <w:ind w:left="2460" w:right="1683" w:firstLine="0"/>
        <w:jc w:val="left"/>
        <w:rPr>
          <w:sz w:val="21"/>
        </w:rPr>
      </w:pPr>
      <w:r>
        <w:rPr/>
        <w:pict>
          <v:line style="position:absolute;mso-position-horizontal-relative:page;mso-position-vertical-relative:paragraph;z-index:41632" from="15pt,-68.667252pt" to="0pt,-68.667252pt" stroked="true" strokeweight=".25pt" strokecolor="#000000">
            <w10:wrap type="none"/>
          </v:line>
        </w:pict>
      </w:r>
      <w:r>
        <w:rPr/>
        <w:pict>
          <v:line style="position:absolute;mso-position-horizontal-relative:page;mso-position-vertical-relative:paragraph;z-index:41656" from="508.890015pt,-68.667252pt" to="523.890015pt,-68.667252pt" stroked="true" strokeweight=".25pt" strokecolor="#000000">
            <w10:wrap type="none"/>
          </v:line>
        </w:pict>
      </w:r>
      <w:r>
        <w:rPr>
          <w:rFonts w:ascii="Arial" w:hAnsi="Arial"/>
          <w:i/>
          <w:color w:val="231F20"/>
          <w:sz w:val="21"/>
        </w:rPr>
        <w:t>al</w:t>
      </w:r>
      <w:r>
        <w:rPr>
          <w:color w:val="231F20"/>
          <w:sz w:val="21"/>
        </w:rPr>
        <w:t>.</w:t>
      </w:r>
      <w:r>
        <w:rPr>
          <w:color w:val="231F20"/>
          <w:spacing w:val="-16"/>
          <w:sz w:val="21"/>
        </w:rPr>
        <w:t> </w:t>
      </w:r>
      <w:r>
        <w:rPr>
          <w:color w:val="231F20"/>
          <w:sz w:val="21"/>
        </w:rPr>
        <w:t>(coords.),</w:t>
      </w:r>
      <w:r>
        <w:rPr>
          <w:color w:val="231F20"/>
          <w:spacing w:val="-16"/>
          <w:sz w:val="21"/>
        </w:rPr>
        <w:t> </w:t>
      </w:r>
      <w:r>
        <w:rPr>
          <w:rFonts w:ascii="Arial" w:hAnsi="Arial"/>
          <w:i/>
          <w:color w:val="231F20"/>
          <w:sz w:val="21"/>
        </w:rPr>
        <w:t>Prestar</w:t>
      </w:r>
      <w:r>
        <w:rPr>
          <w:rFonts w:ascii="Arial" w:hAnsi="Arial"/>
          <w:i/>
          <w:color w:val="231F20"/>
          <w:spacing w:val="-12"/>
          <w:sz w:val="21"/>
        </w:rPr>
        <w:t> </w:t>
      </w:r>
      <w:r>
        <w:rPr>
          <w:rFonts w:ascii="Arial" w:hAnsi="Arial"/>
          <w:i/>
          <w:color w:val="231F20"/>
          <w:sz w:val="21"/>
        </w:rPr>
        <w:t>y</w:t>
      </w:r>
      <w:r>
        <w:rPr>
          <w:rFonts w:ascii="Arial" w:hAnsi="Arial"/>
          <w:i/>
          <w:color w:val="231F20"/>
          <w:spacing w:val="-12"/>
          <w:sz w:val="21"/>
        </w:rPr>
        <w:t> </w:t>
      </w:r>
      <w:r>
        <w:rPr>
          <w:rFonts w:ascii="Arial" w:hAnsi="Arial"/>
          <w:i/>
          <w:color w:val="231F20"/>
          <w:sz w:val="21"/>
        </w:rPr>
        <w:t>pedir</w:t>
      </w:r>
      <w:r>
        <w:rPr>
          <w:rFonts w:ascii="Arial" w:hAnsi="Arial"/>
          <w:i/>
          <w:color w:val="231F20"/>
          <w:spacing w:val="-12"/>
          <w:sz w:val="21"/>
        </w:rPr>
        <w:t> </w:t>
      </w:r>
      <w:r>
        <w:rPr>
          <w:rFonts w:ascii="Arial" w:hAnsi="Arial"/>
          <w:i/>
          <w:color w:val="231F20"/>
          <w:sz w:val="21"/>
        </w:rPr>
        <w:t>prestado.</w:t>
      </w:r>
      <w:r>
        <w:rPr>
          <w:rFonts w:ascii="Arial" w:hAnsi="Arial"/>
          <w:i/>
          <w:color w:val="231F20"/>
          <w:spacing w:val="-18"/>
          <w:sz w:val="21"/>
        </w:rPr>
        <w:t> </w:t>
      </w:r>
      <w:r>
        <w:rPr>
          <w:rFonts w:ascii="Arial" w:hAnsi="Arial"/>
          <w:i/>
          <w:color w:val="231F20"/>
          <w:sz w:val="21"/>
        </w:rPr>
        <w:t>Relaciones</w:t>
      </w:r>
      <w:r>
        <w:rPr>
          <w:rFonts w:ascii="Arial" w:hAnsi="Arial"/>
          <w:i/>
          <w:color w:val="231F20"/>
          <w:spacing w:val="-12"/>
          <w:sz w:val="21"/>
        </w:rPr>
        <w:t> </w:t>
      </w:r>
      <w:r>
        <w:rPr>
          <w:rFonts w:ascii="Arial" w:hAnsi="Arial"/>
          <w:i/>
          <w:color w:val="231F20"/>
          <w:sz w:val="21"/>
        </w:rPr>
        <w:t>sociales</w:t>
      </w:r>
      <w:r>
        <w:rPr>
          <w:rFonts w:ascii="Arial" w:hAnsi="Arial"/>
          <w:i/>
          <w:color w:val="231F20"/>
          <w:spacing w:val="-12"/>
          <w:sz w:val="21"/>
        </w:rPr>
        <w:t> </w:t>
      </w:r>
      <w:r>
        <w:rPr>
          <w:rFonts w:ascii="Arial" w:hAnsi="Arial"/>
          <w:i/>
          <w:color w:val="231F20"/>
          <w:sz w:val="21"/>
        </w:rPr>
        <w:t>y</w:t>
      </w:r>
      <w:r>
        <w:rPr>
          <w:rFonts w:ascii="Arial" w:hAnsi="Arial"/>
          <w:i/>
          <w:color w:val="231F20"/>
          <w:spacing w:val="-12"/>
          <w:sz w:val="21"/>
        </w:rPr>
        <w:t> </w:t>
      </w:r>
      <w:r>
        <w:rPr>
          <w:rFonts w:ascii="Arial" w:hAnsi="Arial"/>
          <w:i/>
          <w:color w:val="231F20"/>
          <w:sz w:val="21"/>
        </w:rPr>
        <w:t>crédito </w:t>
      </w:r>
      <w:r>
        <w:rPr>
          <w:rFonts w:ascii="Arial" w:hAnsi="Arial"/>
          <w:i/>
          <w:color w:val="231F20"/>
          <w:sz w:val="21"/>
        </w:rPr>
        <w:t>en México del siglo </w:t>
      </w:r>
      <w:r>
        <w:rPr>
          <w:rFonts w:ascii="Arial" w:hAnsi="Arial"/>
          <w:i/>
          <w:color w:val="231F20"/>
          <w:sz w:val="17"/>
        </w:rPr>
        <w:t>XVI </w:t>
      </w:r>
      <w:r>
        <w:rPr>
          <w:rFonts w:ascii="Arial" w:hAnsi="Arial"/>
          <w:i/>
          <w:color w:val="231F20"/>
          <w:sz w:val="21"/>
        </w:rPr>
        <w:t>al </w:t>
      </w:r>
      <w:r>
        <w:rPr>
          <w:rFonts w:ascii="Arial" w:hAnsi="Arial"/>
          <w:i/>
          <w:color w:val="231F20"/>
          <w:sz w:val="17"/>
        </w:rPr>
        <w:t>XX</w:t>
      </w:r>
      <w:r>
        <w:rPr>
          <w:color w:val="231F20"/>
          <w:sz w:val="21"/>
        </w:rPr>
        <w:t>, México:</w:t>
      </w:r>
      <w:r>
        <w:rPr>
          <w:color w:val="231F20"/>
          <w:spacing w:val="-28"/>
          <w:sz w:val="21"/>
        </w:rPr>
        <w:t> </w:t>
      </w:r>
      <w:r>
        <w:rPr>
          <w:color w:val="231F20"/>
          <w:sz w:val="17"/>
        </w:rPr>
        <w:t>CIESAS</w:t>
      </w:r>
      <w:r>
        <w:rPr>
          <w:color w:val="231F20"/>
          <w:sz w:val="21"/>
        </w:rPr>
        <w:t>.</w:t>
      </w:r>
    </w:p>
    <w:p>
      <w:pPr>
        <w:pStyle w:val="BodyText"/>
        <w:spacing w:line="261" w:lineRule="auto" w:before="3"/>
        <w:ind w:left="2460" w:right="1834" w:hanging="738"/>
        <w:jc w:val="both"/>
      </w:pPr>
      <w:r>
        <w:rPr>
          <w:color w:val="231F20"/>
          <w:w w:val="105"/>
        </w:rPr>
        <w:t>Galinat,</w:t>
      </w:r>
      <w:r>
        <w:rPr>
          <w:color w:val="231F20"/>
          <w:spacing w:val="-41"/>
          <w:w w:val="105"/>
        </w:rPr>
        <w:t> </w:t>
      </w:r>
      <w:r>
        <w:rPr>
          <w:color w:val="231F20"/>
          <w:spacing w:val="-3"/>
          <w:w w:val="105"/>
        </w:rPr>
        <w:t>Walter,</w:t>
      </w:r>
      <w:r>
        <w:rPr>
          <w:color w:val="231F20"/>
          <w:spacing w:val="-40"/>
          <w:w w:val="105"/>
        </w:rPr>
        <w:t> </w:t>
      </w:r>
      <w:r>
        <w:rPr>
          <w:color w:val="231F20"/>
          <w:w w:val="105"/>
        </w:rPr>
        <w:t>(1988),</w:t>
      </w:r>
      <w:r>
        <w:rPr>
          <w:color w:val="231F20"/>
          <w:spacing w:val="-40"/>
          <w:w w:val="105"/>
        </w:rPr>
        <w:t> </w:t>
      </w:r>
      <w:r>
        <w:rPr>
          <w:color w:val="231F20"/>
          <w:w w:val="105"/>
        </w:rPr>
        <w:t>“The</w:t>
      </w:r>
      <w:r>
        <w:rPr>
          <w:color w:val="231F20"/>
          <w:spacing w:val="-35"/>
          <w:w w:val="105"/>
        </w:rPr>
        <w:t> </w:t>
      </w:r>
      <w:r>
        <w:rPr>
          <w:color w:val="231F20"/>
          <w:w w:val="105"/>
        </w:rPr>
        <w:t>Origin</w:t>
      </w:r>
      <w:r>
        <w:rPr>
          <w:color w:val="231F20"/>
          <w:spacing w:val="-35"/>
          <w:w w:val="105"/>
        </w:rPr>
        <w:t> </w:t>
      </w:r>
      <w:r>
        <w:rPr>
          <w:color w:val="231F20"/>
          <w:w w:val="105"/>
        </w:rPr>
        <w:t>of</w:t>
      </w:r>
      <w:r>
        <w:rPr>
          <w:color w:val="231F20"/>
          <w:spacing w:val="-31"/>
          <w:w w:val="105"/>
        </w:rPr>
        <w:t> </w:t>
      </w:r>
      <w:r>
        <w:rPr>
          <w:color w:val="231F20"/>
          <w:spacing w:val="-5"/>
          <w:w w:val="105"/>
        </w:rPr>
        <w:t>Corn”,</w:t>
      </w:r>
      <w:r>
        <w:rPr>
          <w:color w:val="231F20"/>
          <w:spacing w:val="-39"/>
          <w:w w:val="105"/>
        </w:rPr>
        <w:t> </w:t>
      </w:r>
      <w:r>
        <w:rPr>
          <w:color w:val="231F20"/>
          <w:w w:val="105"/>
        </w:rPr>
        <w:t>en</w:t>
      </w:r>
      <w:r>
        <w:rPr>
          <w:color w:val="231F20"/>
          <w:spacing w:val="-35"/>
          <w:w w:val="105"/>
        </w:rPr>
        <w:t> </w:t>
      </w:r>
      <w:r>
        <w:rPr>
          <w:color w:val="231F20"/>
          <w:w w:val="105"/>
        </w:rPr>
        <w:t>George</w:t>
      </w:r>
      <w:r>
        <w:rPr>
          <w:color w:val="231F20"/>
          <w:spacing w:val="-35"/>
          <w:w w:val="105"/>
        </w:rPr>
        <w:t> </w:t>
      </w:r>
      <w:r>
        <w:rPr>
          <w:color w:val="231F20"/>
          <w:w w:val="105"/>
        </w:rPr>
        <w:t>Frederick</w:t>
      </w:r>
      <w:r>
        <w:rPr>
          <w:color w:val="231F20"/>
          <w:spacing w:val="-35"/>
          <w:w w:val="105"/>
        </w:rPr>
        <w:t> </w:t>
      </w:r>
      <w:r>
        <w:rPr>
          <w:color w:val="231F20"/>
          <w:w w:val="105"/>
        </w:rPr>
        <w:t>Sprague y</w:t>
      </w:r>
      <w:r>
        <w:rPr>
          <w:color w:val="231F20"/>
          <w:spacing w:val="-6"/>
          <w:w w:val="105"/>
        </w:rPr>
        <w:t> </w:t>
      </w:r>
      <w:r>
        <w:rPr>
          <w:color w:val="231F20"/>
          <w:w w:val="105"/>
        </w:rPr>
        <w:t>John</w:t>
      </w:r>
      <w:r>
        <w:rPr>
          <w:color w:val="231F20"/>
          <w:spacing w:val="-4"/>
          <w:w w:val="105"/>
        </w:rPr>
        <w:t> </w:t>
      </w:r>
      <w:r>
        <w:rPr>
          <w:color w:val="231F20"/>
          <w:w w:val="105"/>
        </w:rPr>
        <w:t>Dudley</w:t>
      </w:r>
      <w:r>
        <w:rPr>
          <w:color w:val="231F20"/>
          <w:spacing w:val="-4"/>
          <w:w w:val="105"/>
        </w:rPr>
        <w:t> </w:t>
      </w:r>
      <w:r>
        <w:rPr>
          <w:color w:val="231F20"/>
          <w:w w:val="105"/>
        </w:rPr>
        <w:t>(eds.)</w:t>
      </w:r>
      <w:r>
        <w:rPr>
          <w:color w:val="231F20"/>
          <w:spacing w:val="-4"/>
          <w:w w:val="105"/>
        </w:rPr>
        <w:t> </w:t>
      </w:r>
      <w:r>
        <w:rPr>
          <w:rFonts w:ascii="Arial" w:hAnsi="Arial"/>
          <w:i/>
          <w:color w:val="231F20"/>
          <w:w w:val="105"/>
        </w:rPr>
        <w:t>Corn</w:t>
      </w:r>
      <w:r>
        <w:rPr>
          <w:rFonts w:ascii="Arial" w:hAnsi="Arial"/>
          <w:i/>
          <w:color w:val="231F20"/>
          <w:spacing w:val="-7"/>
          <w:w w:val="105"/>
        </w:rPr>
        <w:t> </w:t>
      </w:r>
      <w:r>
        <w:rPr>
          <w:rFonts w:ascii="Arial" w:hAnsi="Arial"/>
          <w:i/>
          <w:color w:val="231F20"/>
          <w:w w:val="105"/>
        </w:rPr>
        <w:t>and</w:t>
      </w:r>
      <w:r>
        <w:rPr>
          <w:rFonts w:ascii="Arial" w:hAnsi="Arial"/>
          <w:i/>
          <w:color w:val="231F20"/>
          <w:spacing w:val="-7"/>
          <w:w w:val="105"/>
        </w:rPr>
        <w:t> </w:t>
      </w:r>
      <w:r>
        <w:rPr>
          <w:rFonts w:ascii="Arial" w:hAnsi="Arial"/>
          <w:i/>
          <w:color w:val="231F20"/>
          <w:w w:val="105"/>
        </w:rPr>
        <w:t>Corn</w:t>
      </w:r>
      <w:r>
        <w:rPr>
          <w:rFonts w:ascii="Arial" w:hAnsi="Arial"/>
          <w:i/>
          <w:color w:val="231F20"/>
          <w:spacing w:val="-7"/>
          <w:w w:val="105"/>
        </w:rPr>
        <w:t> </w:t>
      </w:r>
      <w:r>
        <w:rPr>
          <w:rFonts w:ascii="Arial" w:hAnsi="Arial"/>
          <w:i/>
          <w:color w:val="231F20"/>
          <w:w w:val="105"/>
        </w:rPr>
        <w:t>Improvement</w:t>
      </w:r>
      <w:r>
        <w:rPr>
          <w:color w:val="231F20"/>
          <w:w w:val="105"/>
        </w:rPr>
        <w:t>,</w:t>
      </w:r>
      <w:r>
        <w:rPr>
          <w:color w:val="231F20"/>
          <w:spacing w:val="-9"/>
          <w:w w:val="105"/>
        </w:rPr>
        <w:t> </w:t>
      </w:r>
      <w:r>
        <w:rPr>
          <w:color w:val="231F20"/>
          <w:w w:val="105"/>
        </w:rPr>
        <w:t>Madison:</w:t>
      </w:r>
      <w:r>
        <w:rPr>
          <w:color w:val="231F20"/>
          <w:spacing w:val="-4"/>
          <w:w w:val="105"/>
        </w:rPr>
        <w:t> </w:t>
      </w:r>
      <w:r>
        <w:rPr>
          <w:color w:val="231F20"/>
          <w:w w:val="105"/>
          <w:sz w:val="17"/>
        </w:rPr>
        <w:t>WI</w:t>
      </w:r>
      <w:r>
        <w:rPr>
          <w:color w:val="231F20"/>
          <w:w w:val="105"/>
        </w:rPr>
        <w:t>/ American</w:t>
      </w:r>
      <w:r>
        <w:rPr>
          <w:color w:val="231F20"/>
          <w:spacing w:val="-20"/>
          <w:w w:val="105"/>
        </w:rPr>
        <w:t> </w:t>
      </w:r>
      <w:r>
        <w:rPr>
          <w:color w:val="231F20"/>
          <w:w w:val="105"/>
        </w:rPr>
        <w:t>Society</w:t>
      </w:r>
      <w:r>
        <w:rPr>
          <w:color w:val="231F20"/>
          <w:spacing w:val="-20"/>
          <w:w w:val="105"/>
        </w:rPr>
        <w:t> </w:t>
      </w:r>
      <w:r>
        <w:rPr>
          <w:color w:val="231F20"/>
          <w:w w:val="105"/>
        </w:rPr>
        <w:t>of</w:t>
      </w:r>
      <w:r>
        <w:rPr>
          <w:color w:val="231F20"/>
          <w:spacing w:val="-19"/>
          <w:w w:val="105"/>
        </w:rPr>
        <w:t> </w:t>
      </w:r>
      <w:r>
        <w:rPr>
          <w:color w:val="231F20"/>
          <w:w w:val="105"/>
        </w:rPr>
        <w:t>Agronomy.</w:t>
      </w:r>
    </w:p>
    <w:p>
      <w:pPr>
        <w:spacing w:line="259" w:lineRule="auto" w:before="0"/>
        <w:ind w:left="2460" w:right="1835" w:hanging="738"/>
        <w:jc w:val="both"/>
        <w:rPr>
          <w:sz w:val="21"/>
        </w:rPr>
      </w:pPr>
      <w:r>
        <w:rPr>
          <w:color w:val="231F20"/>
          <w:w w:val="105"/>
          <w:sz w:val="21"/>
        </w:rPr>
        <w:t>Instituto</w:t>
      </w:r>
      <w:r>
        <w:rPr>
          <w:color w:val="231F20"/>
          <w:spacing w:val="-32"/>
          <w:w w:val="105"/>
          <w:sz w:val="21"/>
        </w:rPr>
        <w:t> </w:t>
      </w:r>
      <w:r>
        <w:rPr>
          <w:color w:val="231F20"/>
          <w:w w:val="105"/>
          <w:sz w:val="21"/>
        </w:rPr>
        <w:t>Nacional</w:t>
      </w:r>
      <w:r>
        <w:rPr>
          <w:color w:val="231F20"/>
          <w:spacing w:val="-32"/>
          <w:w w:val="105"/>
          <w:sz w:val="21"/>
        </w:rPr>
        <w:t> </w:t>
      </w:r>
      <w:r>
        <w:rPr>
          <w:color w:val="231F20"/>
          <w:w w:val="105"/>
          <w:sz w:val="21"/>
        </w:rPr>
        <w:t>de</w:t>
      </w:r>
      <w:r>
        <w:rPr>
          <w:color w:val="231F20"/>
          <w:spacing w:val="-32"/>
          <w:w w:val="105"/>
          <w:sz w:val="21"/>
        </w:rPr>
        <w:t> </w:t>
      </w:r>
      <w:r>
        <w:rPr>
          <w:color w:val="231F20"/>
          <w:w w:val="105"/>
          <w:sz w:val="21"/>
        </w:rPr>
        <w:t>Geografía</w:t>
      </w:r>
      <w:r>
        <w:rPr>
          <w:color w:val="231F20"/>
          <w:spacing w:val="-32"/>
          <w:w w:val="105"/>
          <w:sz w:val="21"/>
        </w:rPr>
        <w:t> </w:t>
      </w:r>
      <w:r>
        <w:rPr>
          <w:color w:val="231F20"/>
          <w:w w:val="105"/>
          <w:sz w:val="21"/>
        </w:rPr>
        <w:t>y</w:t>
      </w:r>
      <w:r>
        <w:rPr>
          <w:color w:val="231F20"/>
          <w:spacing w:val="-32"/>
          <w:w w:val="105"/>
          <w:sz w:val="21"/>
        </w:rPr>
        <w:t> </w:t>
      </w:r>
      <w:r>
        <w:rPr>
          <w:color w:val="231F20"/>
          <w:w w:val="105"/>
          <w:sz w:val="21"/>
        </w:rPr>
        <w:t>Estadística</w:t>
      </w:r>
      <w:r>
        <w:rPr>
          <w:color w:val="231F20"/>
          <w:spacing w:val="-32"/>
          <w:w w:val="105"/>
          <w:sz w:val="21"/>
        </w:rPr>
        <w:t> </w:t>
      </w:r>
      <w:r>
        <w:rPr>
          <w:color w:val="231F20"/>
          <w:w w:val="105"/>
          <w:sz w:val="21"/>
        </w:rPr>
        <w:t>(</w:t>
      </w:r>
      <w:r>
        <w:rPr>
          <w:color w:val="231F20"/>
          <w:w w:val="105"/>
          <w:sz w:val="17"/>
        </w:rPr>
        <w:t>INEGI</w:t>
      </w:r>
      <w:r>
        <w:rPr>
          <w:color w:val="231F20"/>
          <w:w w:val="105"/>
          <w:sz w:val="21"/>
        </w:rPr>
        <w:t>),</w:t>
      </w:r>
      <w:r>
        <w:rPr>
          <w:color w:val="231F20"/>
          <w:spacing w:val="-36"/>
          <w:w w:val="105"/>
          <w:sz w:val="21"/>
        </w:rPr>
        <w:t> </w:t>
      </w:r>
      <w:r>
        <w:rPr>
          <w:color w:val="231F20"/>
          <w:w w:val="105"/>
          <w:sz w:val="21"/>
        </w:rPr>
        <w:t>(2009),</w:t>
      </w:r>
      <w:r>
        <w:rPr>
          <w:color w:val="231F20"/>
          <w:spacing w:val="-36"/>
          <w:w w:val="105"/>
          <w:sz w:val="21"/>
        </w:rPr>
        <w:t> </w:t>
      </w:r>
      <w:r>
        <w:rPr>
          <w:rFonts w:ascii="Arial" w:hAnsi="Arial"/>
          <w:i/>
          <w:color w:val="231F20"/>
          <w:w w:val="105"/>
          <w:sz w:val="21"/>
        </w:rPr>
        <w:t>Prontuario</w:t>
      </w:r>
      <w:r>
        <w:rPr>
          <w:rFonts w:ascii="Arial" w:hAnsi="Arial"/>
          <w:i/>
          <w:color w:val="231F20"/>
          <w:spacing w:val="-35"/>
          <w:w w:val="105"/>
          <w:sz w:val="21"/>
        </w:rPr>
        <w:t> </w:t>
      </w:r>
      <w:r>
        <w:rPr>
          <w:rFonts w:ascii="Arial" w:hAnsi="Arial"/>
          <w:i/>
          <w:color w:val="231F20"/>
          <w:w w:val="105"/>
          <w:sz w:val="21"/>
        </w:rPr>
        <w:t>de </w:t>
      </w:r>
      <w:r>
        <w:rPr>
          <w:rFonts w:ascii="Arial" w:hAnsi="Arial"/>
          <w:i/>
          <w:color w:val="231F20"/>
          <w:w w:val="105"/>
          <w:sz w:val="21"/>
        </w:rPr>
        <w:t>información</w:t>
      </w:r>
      <w:r>
        <w:rPr>
          <w:rFonts w:ascii="Arial" w:hAnsi="Arial"/>
          <w:i/>
          <w:color w:val="231F20"/>
          <w:spacing w:val="-20"/>
          <w:w w:val="105"/>
          <w:sz w:val="21"/>
        </w:rPr>
        <w:t> </w:t>
      </w:r>
      <w:r>
        <w:rPr>
          <w:rFonts w:ascii="Arial" w:hAnsi="Arial"/>
          <w:i/>
          <w:color w:val="231F20"/>
          <w:w w:val="105"/>
          <w:sz w:val="21"/>
        </w:rPr>
        <w:t>geográfica</w:t>
      </w:r>
      <w:r>
        <w:rPr>
          <w:rFonts w:ascii="Arial" w:hAnsi="Arial"/>
          <w:i/>
          <w:color w:val="231F20"/>
          <w:spacing w:val="-20"/>
          <w:w w:val="105"/>
          <w:sz w:val="21"/>
        </w:rPr>
        <w:t> </w:t>
      </w:r>
      <w:r>
        <w:rPr>
          <w:rFonts w:ascii="Arial" w:hAnsi="Arial"/>
          <w:i/>
          <w:color w:val="231F20"/>
          <w:w w:val="105"/>
          <w:sz w:val="21"/>
        </w:rPr>
        <w:t>municipal</w:t>
      </w:r>
      <w:r>
        <w:rPr>
          <w:rFonts w:ascii="Arial" w:hAnsi="Arial"/>
          <w:i/>
          <w:color w:val="231F20"/>
          <w:spacing w:val="-20"/>
          <w:w w:val="105"/>
          <w:sz w:val="21"/>
        </w:rPr>
        <w:t> </w:t>
      </w:r>
      <w:r>
        <w:rPr>
          <w:rFonts w:ascii="Arial" w:hAnsi="Arial"/>
          <w:i/>
          <w:color w:val="231F20"/>
          <w:w w:val="105"/>
          <w:sz w:val="21"/>
        </w:rPr>
        <w:t>de</w:t>
      </w:r>
      <w:r>
        <w:rPr>
          <w:rFonts w:ascii="Arial" w:hAnsi="Arial"/>
          <w:i/>
          <w:color w:val="231F20"/>
          <w:spacing w:val="-20"/>
          <w:w w:val="105"/>
          <w:sz w:val="21"/>
        </w:rPr>
        <w:t> </w:t>
      </w:r>
      <w:r>
        <w:rPr>
          <w:rFonts w:ascii="Arial" w:hAnsi="Arial"/>
          <w:i/>
          <w:color w:val="231F20"/>
          <w:w w:val="105"/>
          <w:sz w:val="21"/>
        </w:rPr>
        <w:t>los</w:t>
      </w:r>
      <w:r>
        <w:rPr>
          <w:rFonts w:ascii="Arial" w:hAnsi="Arial"/>
          <w:i/>
          <w:color w:val="231F20"/>
          <w:spacing w:val="-20"/>
          <w:w w:val="105"/>
          <w:sz w:val="21"/>
        </w:rPr>
        <w:t> </w:t>
      </w:r>
      <w:r>
        <w:rPr>
          <w:rFonts w:ascii="Arial" w:hAnsi="Arial"/>
          <w:i/>
          <w:color w:val="231F20"/>
          <w:w w:val="105"/>
          <w:sz w:val="21"/>
        </w:rPr>
        <w:t>Estados</w:t>
      </w:r>
      <w:r>
        <w:rPr>
          <w:rFonts w:ascii="Arial" w:hAnsi="Arial"/>
          <w:i/>
          <w:color w:val="231F20"/>
          <w:spacing w:val="-20"/>
          <w:w w:val="105"/>
          <w:sz w:val="21"/>
        </w:rPr>
        <w:t> </w:t>
      </w:r>
      <w:r>
        <w:rPr>
          <w:rFonts w:ascii="Arial" w:hAnsi="Arial"/>
          <w:i/>
          <w:color w:val="231F20"/>
          <w:w w:val="105"/>
          <w:sz w:val="21"/>
        </w:rPr>
        <w:t>Unidos</w:t>
      </w:r>
      <w:r>
        <w:rPr>
          <w:rFonts w:ascii="Arial" w:hAnsi="Arial"/>
          <w:i/>
          <w:color w:val="231F20"/>
          <w:spacing w:val="-20"/>
          <w:w w:val="105"/>
          <w:sz w:val="21"/>
        </w:rPr>
        <w:t> </w:t>
      </w:r>
      <w:r>
        <w:rPr>
          <w:rFonts w:ascii="Arial" w:hAnsi="Arial"/>
          <w:i/>
          <w:color w:val="231F20"/>
          <w:w w:val="105"/>
          <w:sz w:val="21"/>
        </w:rPr>
        <w:t>Mexica- nos. Amatepec. 2009</w:t>
      </w:r>
      <w:r>
        <w:rPr>
          <w:color w:val="231F20"/>
          <w:w w:val="105"/>
          <w:sz w:val="21"/>
        </w:rPr>
        <w:t>, recuperado de </w:t>
      </w:r>
      <w:hyperlink r:id="rId356">
        <w:r>
          <w:rPr>
            <w:color w:val="231F20"/>
            <w:w w:val="105"/>
            <w:sz w:val="21"/>
          </w:rPr>
          <w:t>http://www3.inegi.org.mx/</w:t>
        </w:r>
      </w:hyperlink>
      <w:r>
        <w:rPr>
          <w:color w:val="231F20"/>
          <w:w w:val="105"/>
          <w:sz w:val="21"/>
        </w:rPr>
        <w:t> sistemas/mexicocifras/default.aspx</w:t>
      </w:r>
    </w:p>
    <w:p>
      <w:pPr>
        <w:tabs>
          <w:tab w:pos="2563" w:val="left" w:leader="none"/>
        </w:tabs>
        <w:spacing w:line="259" w:lineRule="auto" w:before="0"/>
        <w:ind w:left="2460" w:right="1835" w:hanging="737"/>
        <w:jc w:val="both"/>
        <w:rPr>
          <w:sz w:val="21"/>
        </w:rPr>
      </w:pPr>
      <w:r>
        <w:rPr>
          <w:color w:val="231F20"/>
          <w:w w:val="94"/>
          <w:sz w:val="21"/>
          <w:u w:val="single" w:color="221E1F"/>
        </w:rPr>
        <w:t> </w:t>
      </w:r>
      <w:r>
        <w:rPr>
          <w:color w:val="231F20"/>
          <w:sz w:val="21"/>
          <w:u w:val="single" w:color="221E1F"/>
        </w:rPr>
        <w:tab/>
        <w:tab/>
      </w:r>
      <w:r>
        <w:rPr>
          <w:color w:val="231F20"/>
          <w:spacing w:val="13"/>
          <w:sz w:val="21"/>
        </w:rPr>
        <w:t> </w:t>
      </w:r>
      <w:r>
        <w:rPr>
          <w:color w:val="231F20"/>
          <w:w w:val="105"/>
          <w:sz w:val="21"/>
        </w:rPr>
        <w:t>(2011),</w:t>
      </w:r>
      <w:r>
        <w:rPr>
          <w:color w:val="231F20"/>
          <w:spacing w:val="-18"/>
          <w:w w:val="105"/>
          <w:sz w:val="21"/>
        </w:rPr>
        <w:t> </w:t>
      </w:r>
      <w:r>
        <w:rPr>
          <w:rFonts w:ascii="Arial" w:hAnsi="Arial"/>
          <w:i/>
          <w:color w:val="231F20"/>
          <w:w w:val="105"/>
          <w:sz w:val="21"/>
        </w:rPr>
        <w:t>Censo</w:t>
      </w:r>
      <w:r>
        <w:rPr>
          <w:rFonts w:ascii="Arial" w:hAnsi="Arial"/>
          <w:i/>
          <w:color w:val="231F20"/>
          <w:spacing w:val="-16"/>
          <w:w w:val="105"/>
          <w:sz w:val="21"/>
        </w:rPr>
        <w:t> </w:t>
      </w:r>
      <w:r>
        <w:rPr>
          <w:rFonts w:ascii="Arial" w:hAnsi="Arial"/>
          <w:i/>
          <w:color w:val="231F20"/>
          <w:w w:val="105"/>
          <w:sz w:val="21"/>
        </w:rPr>
        <w:t>de</w:t>
      </w:r>
      <w:r>
        <w:rPr>
          <w:rFonts w:ascii="Arial" w:hAnsi="Arial"/>
          <w:i/>
          <w:color w:val="231F20"/>
          <w:spacing w:val="-16"/>
          <w:w w:val="105"/>
          <w:sz w:val="21"/>
        </w:rPr>
        <w:t> </w:t>
      </w:r>
      <w:r>
        <w:rPr>
          <w:rFonts w:ascii="Arial" w:hAnsi="Arial"/>
          <w:i/>
          <w:color w:val="231F20"/>
          <w:w w:val="105"/>
          <w:sz w:val="21"/>
        </w:rPr>
        <w:t>Población</w:t>
      </w:r>
      <w:r>
        <w:rPr>
          <w:rFonts w:ascii="Arial" w:hAnsi="Arial"/>
          <w:i/>
          <w:color w:val="231F20"/>
          <w:spacing w:val="-16"/>
          <w:w w:val="105"/>
          <w:sz w:val="21"/>
        </w:rPr>
        <w:t> </w:t>
      </w:r>
      <w:r>
        <w:rPr>
          <w:rFonts w:ascii="Arial" w:hAnsi="Arial"/>
          <w:i/>
          <w:color w:val="231F20"/>
          <w:w w:val="105"/>
          <w:sz w:val="21"/>
        </w:rPr>
        <w:t>y</w:t>
      </w:r>
      <w:r>
        <w:rPr>
          <w:rFonts w:ascii="Arial" w:hAnsi="Arial"/>
          <w:i/>
          <w:color w:val="231F20"/>
          <w:spacing w:val="-19"/>
          <w:w w:val="105"/>
          <w:sz w:val="21"/>
        </w:rPr>
        <w:t> </w:t>
      </w:r>
      <w:r>
        <w:rPr>
          <w:rFonts w:ascii="Arial" w:hAnsi="Arial"/>
          <w:i/>
          <w:color w:val="231F20"/>
          <w:w w:val="105"/>
          <w:sz w:val="21"/>
        </w:rPr>
        <w:t>Vivienda</w:t>
      </w:r>
      <w:r>
        <w:rPr>
          <w:rFonts w:ascii="Arial" w:hAnsi="Arial"/>
          <w:i/>
          <w:color w:val="231F20"/>
          <w:spacing w:val="-16"/>
          <w:w w:val="105"/>
          <w:sz w:val="21"/>
        </w:rPr>
        <w:t> </w:t>
      </w:r>
      <w:r>
        <w:rPr>
          <w:rFonts w:ascii="Arial" w:hAnsi="Arial"/>
          <w:i/>
          <w:color w:val="231F20"/>
          <w:w w:val="105"/>
          <w:sz w:val="21"/>
        </w:rPr>
        <w:t>2010</w:t>
      </w:r>
      <w:r>
        <w:rPr>
          <w:color w:val="231F20"/>
          <w:w w:val="105"/>
          <w:sz w:val="21"/>
        </w:rPr>
        <w:t>.</w:t>
      </w:r>
      <w:r>
        <w:rPr>
          <w:color w:val="231F20"/>
          <w:spacing w:val="-18"/>
          <w:w w:val="105"/>
          <w:sz w:val="21"/>
        </w:rPr>
        <w:t> </w:t>
      </w:r>
      <w:r>
        <w:rPr>
          <w:rFonts w:ascii="Arial" w:hAnsi="Arial"/>
          <w:i/>
          <w:color w:val="231F20"/>
          <w:w w:val="105"/>
          <w:sz w:val="21"/>
        </w:rPr>
        <w:t>Integración</w:t>
      </w:r>
      <w:r>
        <w:rPr>
          <w:rFonts w:ascii="Arial" w:hAnsi="Arial"/>
          <w:i/>
          <w:color w:val="231F20"/>
          <w:spacing w:val="-19"/>
          <w:w w:val="105"/>
          <w:sz w:val="21"/>
        </w:rPr>
        <w:t> </w:t>
      </w:r>
      <w:r>
        <w:rPr>
          <w:rFonts w:ascii="Arial" w:hAnsi="Arial"/>
          <w:i/>
          <w:color w:val="231F20"/>
          <w:spacing w:val="-4"/>
          <w:w w:val="105"/>
          <w:sz w:val="21"/>
        </w:rPr>
        <w:t>Terri-</w:t>
      </w:r>
      <w:r>
        <w:rPr>
          <w:rFonts w:ascii="Arial" w:hAnsi="Arial"/>
          <w:i/>
          <w:color w:val="231F20"/>
          <w:w w:val="96"/>
          <w:sz w:val="21"/>
        </w:rPr>
        <w:t> </w:t>
      </w:r>
      <w:r>
        <w:rPr>
          <w:rFonts w:ascii="Arial" w:hAnsi="Arial"/>
          <w:i/>
          <w:color w:val="231F20"/>
          <w:w w:val="105"/>
          <w:sz w:val="21"/>
        </w:rPr>
        <w:t>torial</w:t>
      </w:r>
      <w:r>
        <w:rPr>
          <w:color w:val="231F20"/>
          <w:w w:val="105"/>
          <w:sz w:val="21"/>
        </w:rPr>
        <w:t>, recuperado de </w:t>
      </w:r>
      <w:hyperlink r:id="rId357">
        <w:r>
          <w:rPr>
            <w:color w:val="231F20"/>
            <w:w w:val="105"/>
            <w:sz w:val="21"/>
          </w:rPr>
          <w:t>http://www.inegi.org.mx/sistemas/consul-</w:t>
        </w:r>
      </w:hyperlink>
      <w:r>
        <w:rPr>
          <w:color w:val="231F20"/>
          <w:w w:val="105"/>
          <w:sz w:val="21"/>
        </w:rPr>
        <w:t> ta_resultados/iter2010.aspx?c=27329&amp;s=est</w:t>
      </w:r>
    </w:p>
    <w:p>
      <w:pPr>
        <w:spacing w:line="259" w:lineRule="auto" w:before="3"/>
        <w:ind w:left="2460" w:right="1835" w:hanging="738"/>
        <w:jc w:val="both"/>
        <w:rPr>
          <w:sz w:val="21"/>
        </w:rPr>
      </w:pPr>
      <w:r>
        <w:rPr>
          <w:color w:val="231F20"/>
          <w:w w:val="105"/>
          <w:sz w:val="21"/>
        </w:rPr>
        <w:t>Kenyan Agricultural Research Institute (</w:t>
      </w:r>
      <w:r>
        <w:rPr>
          <w:color w:val="231F20"/>
          <w:w w:val="105"/>
          <w:sz w:val="17"/>
        </w:rPr>
        <w:t>KARI</w:t>
      </w:r>
      <w:r>
        <w:rPr>
          <w:color w:val="231F20"/>
          <w:w w:val="105"/>
          <w:sz w:val="21"/>
        </w:rPr>
        <w:t>), International Maize and Wheat Improvement Center (</w:t>
      </w:r>
      <w:r>
        <w:rPr>
          <w:color w:val="231F20"/>
          <w:w w:val="105"/>
          <w:sz w:val="17"/>
        </w:rPr>
        <w:t>CIMMYT</w:t>
      </w:r>
      <w:r>
        <w:rPr>
          <w:color w:val="231F20"/>
          <w:w w:val="105"/>
          <w:sz w:val="21"/>
        </w:rPr>
        <w:t>)</w:t>
      </w:r>
      <w:r>
        <w:rPr>
          <w:color w:val="231F20"/>
          <w:w w:val="105"/>
          <w:sz w:val="17"/>
        </w:rPr>
        <w:t>, </w:t>
      </w:r>
      <w:r>
        <w:rPr>
          <w:color w:val="231F20"/>
          <w:w w:val="105"/>
          <w:sz w:val="21"/>
        </w:rPr>
        <w:t>(2001), </w:t>
      </w:r>
      <w:r>
        <w:rPr>
          <w:rFonts w:ascii="Arial"/>
          <w:i/>
          <w:color w:val="231F20"/>
          <w:w w:val="105"/>
          <w:sz w:val="21"/>
        </w:rPr>
        <w:t>Insect</w:t>
      </w:r>
      <w:r>
        <w:rPr>
          <w:rFonts w:ascii="Arial"/>
          <w:i/>
          <w:color w:val="231F20"/>
          <w:spacing w:val="-29"/>
          <w:w w:val="105"/>
          <w:sz w:val="21"/>
        </w:rPr>
        <w:t> </w:t>
      </w:r>
      <w:r>
        <w:rPr>
          <w:rFonts w:ascii="Arial"/>
          <w:i/>
          <w:color w:val="231F20"/>
          <w:w w:val="105"/>
          <w:sz w:val="21"/>
        </w:rPr>
        <w:t>Resistance </w:t>
      </w:r>
      <w:r>
        <w:rPr>
          <w:rFonts w:ascii="Arial"/>
          <w:i/>
          <w:color w:val="231F20"/>
          <w:w w:val="105"/>
          <w:sz w:val="21"/>
        </w:rPr>
        <w:t>Maize</w:t>
      </w:r>
      <w:r>
        <w:rPr>
          <w:rFonts w:ascii="Arial"/>
          <w:i/>
          <w:color w:val="231F20"/>
          <w:spacing w:val="-18"/>
          <w:w w:val="105"/>
          <w:sz w:val="21"/>
        </w:rPr>
        <w:t> </w:t>
      </w:r>
      <w:r>
        <w:rPr>
          <w:rFonts w:ascii="Arial"/>
          <w:i/>
          <w:color w:val="231F20"/>
          <w:w w:val="105"/>
          <w:sz w:val="21"/>
        </w:rPr>
        <w:t>for</w:t>
      </w:r>
      <w:r>
        <w:rPr>
          <w:rFonts w:ascii="Arial"/>
          <w:i/>
          <w:color w:val="231F20"/>
          <w:spacing w:val="-21"/>
          <w:w w:val="105"/>
          <w:sz w:val="21"/>
        </w:rPr>
        <w:t> </w:t>
      </w:r>
      <w:r>
        <w:rPr>
          <w:rFonts w:ascii="Arial"/>
          <w:i/>
          <w:color w:val="231F20"/>
          <w:w w:val="105"/>
          <w:sz w:val="21"/>
        </w:rPr>
        <w:t>Africa</w:t>
      </w:r>
      <w:r>
        <w:rPr>
          <w:rFonts w:ascii="Arial"/>
          <w:i/>
          <w:color w:val="231F20"/>
          <w:spacing w:val="-18"/>
          <w:w w:val="105"/>
          <w:sz w:val="21"/>
        </w:rPr>
        <w:t> </w:t>
      </w:r>
      <w:r>
        <w:rPr>
          <w:rFonts w:ascii="Arial"/>
          <w:i/>
          <w:color w:val="231F20"/>
          <w:w w:val="105"/>
          <w:sz w:val="21"/>
        </w:rPr>
        <w:t>(</w:t>
      </w:r>
      <w:r>
        <w:rPr>
          <w:rFonts w:ascii="Arial"/>
          <w:i/>
          <w:color w:val="231F20"/>
          <w:w w:val="105"/>
          <w:sz w:val="17"/>
        </w:rPr>
        <w:t>IRMA</w:t>
      </w:r>
      <w:r>
        <w:rPr>
          <w:rFonts w:ascii="Arial"/>
          <w:i/>
          <w:color w:val="231F20"/>
          <w:w w:val="105"/>
          <w:sz w:val="21"/>
        </w:rPr>
        <w:t>).</w:t>
      </w:r>
      <w:r>
        <w:rPr>
          <w:rFonts w:ascii="Arial"/>
          <w:i/>
          <w:color w:val="231F20"/>
          <w:spacing w:val="-23"/>
          <w:w w:val="105"/>
          <w:sz w:val="21"/>
        </w:rPr>
        <w:t> </w:t>
      </w:r>
      <w:r>
        <w:rPr>
          <w:rFonts w:ascii="Arial"/>
          <w:i/>
          <w:color w:val="231F20"/>
          <w:w w:val="105"/>
          <w:sz w:val="21"/>
        </w:rPr>
        <w:t>Project</w:t>
      </w:r>
      <w:r>
        <w:rPr>
          <w:color w:val="231F20"/>
          <w:w w:val="105"/>
          <w:sz w:val="21"/>
        </w:rPr>
        <w:t>.</w:t>
      </w:r>
      <w:r>
        <w:rPr>
          <w:color w:val="231F20"/>
          <w:spacing w:val="-20"/>
          <w:w w:val="105"/>
          <w:sz w:val="21"/>
        </w:rPr>
        <w:t> </w:t>
      </w:r>
      <w:r>
        <w:rPr>
          <w:rFonts w:ascii="Arial"/>
          <w:i/>
          <w:color w:val="231F20"/>
          <w:w w:val="105"/>
          <w:sz w:val="21"/>
        </w:rPr>
        <w:t>Annual</w:t>
      </w:r>
      <w:r>
        <w:rPr>
          <w:rFonts w:ascii="Arial"/>
          <w:i/>
          <w:color w:val="231F20"/>
          <w:spacing w:val="-18"/>
          <w:w w:val="105"/>
          <w:sz w:val="21"/>
        </w:rPr>
        <w:t> </w:t>
      </w:r>
      <w:r>
        <w:rPr>
          <w:rFonts w:ascii="Arial"/>
          <w:i/>
          <w:color w:val="231F20"/>
          <w:w w:val="105"/>
          <w:sz w:val="21"/>
        </w:rPr>
        <w:t>Report</w:t>
      </w:r>
      <w:r>
        <w:rPr>
          <w:rFonts w:ascii="Arial"/>
          <w:i/>
          <w:color w:val="231F20"/>
          <w:spacing w:val="-18"/>
          <w:w w:val="105"/>
          <w:sz w:val="21"/>
        </w:rPr>
        <w:t> </w:t>
      </w:r>
      <w:r>
        <w:rPr>
          <w:rFonts w:ascii="Arial"/>
          <w:i/>
          <w:color w:val="231F20"/>
          <w:w w:val="105"/>
          <w:sz w:val="21"/>
        </w:rPr>
        <w:t>2001</w:t>
      </w:r>
      <w:r>
        <w:rPr>
          <w:color w:val="231F20"/>
          <w:w w:val="105"/>
          <w:sz w:val="21"/>
        </w:rPr>
        <w:t>,</w:t>
      </w:r>
      <w:r>
        <w:rPr>
          <w:color w:val="231F20"/>
          <w:spacing w:val="-20"/>
          <w:w w:val="105"/>
          <w:sz w:val="21"/>
        </w:rPr>
        <w:t> </w:t>
      </w:r>
      <w:r>
        <w:rPr>
          <w:color w:val="231F20"/>
          <w:w w:val="105"/>
          <w:sz w:val="21"/>
        </w:rPr>
        <w:t>Nairobi,</w:t>
      </w:r>
      <w:r>
        <w:rPr>
          <w:color w:val="231F20"/>
          <w:spacing w:val="-20"/>
          <w:w w:val="105"/>
          <w:sz w:val="21"/>
        </w:rPr>
        <w:t> </w:t>
      </w:r>
      <w:r>
        <w:rPr>
          <w:color w:val="231F20"/>
          <w:spacing w:val="-3"/>
          <w:w w:val="105"/>
          <w:sz w:val="21"/>
        </w:rPr>
        <w:t>Ke- </w:t>
      </w:r>
      <w:r>
        <w:rPr>
          <w:color w:val="231F20"/>
          <w:sz w:val="21"/>
        </w:rPr>
        <w:t>nia: </w:t>
      </w:r>
      <w:r>
        <w:rPr>
          <w:color w:val="231F20"/>
          <w:sz w:val="17"/>
        </w:rPr>
        <w:t>KARI </w:t>
      </w:r>
      <w:r>
        <w:rPr>
          <w:color w:val="231F20"/>
          <w:sz w:val="21"/>
        </w:rPr>
        <w:t>/</w:t>
      </w:r>
      <w:r>
        <w:rPr>
          <w:color w:val="231F20"/>
          <w:sz w:val="17"/>
        </w:rPr>
        <w:t>CIMMYT</w:t>
      </w:r>
      <w:r>
        <w:rPr>
          <w:color w:val="231F20"/>
          <w:sz w:val="21"/>
        </w:rPr>
        <w:t>/</w:t>
      </w:r>
      <w:r>
        <w:rPr>
          <w:color w:val="231F20"/>
          <w:sz w:val="17"/>
        </w:rPr>
        <w:t>IRMA</w:t>
      </w:r>
      <w:r>
        <w:rPr>
          <w:color w:val="231F20"/>
          <w:spacing w:val="4"/>
          <w:sz w:val="17"/>
        </w:rPr>
        <w:t> </w:t>
      </w:r>
      <w:r>
        <w:rPr>
          <w:color w:val="231F20"/>
          <w:sz w:val="21"/>
        </w:rPr>
        <w:t>Project.</w:t>
      </w:r>
    </w:p>
    <w:p>
      <w:pPr>
        <w:spacing w:line="259" w:lineRule="auto" w:before="0"/>
        <w:ind w:left="2461" w:right="1835" w:hanging="738"/>
        <w:jc w:val="both"/>
        <w:rPr>
          <w:sz w:val="21"/>
        </w:rPr>
      </w:pPr>
      <w:r>
        <w:rPr>
          <w:color w:val="231F20"/>
          <w:w w:val="105"/>
          <w:sz w:val="21"/>
        </w:rPr>
        <w:t>Lucas,</w:t>
      </w:r>
      <w:r>
        <w:rPr>
          <w:color w:val="231F20"/>
          <w:spacing w:val="-44"/>
          <w:w w:val="105"/>
          <w:sz w:val="21"/>
        </w:rPr>
        <w:t> </w:t>
      </w:r>
      <w:r>
        <w:rPr>
          <w:color w:val="231F20"/>
          <w:w w:val="105"/>
          <w:sz w:val="21"/>
        </w:rPr>
        <w:t>Robert,</w:t>
      </w:r>
      <w:r>
        <w:rPr>
          <w:color w:val="231F20"/>
          <w:spacing w:val="-44"/>
          <w:w w:val="105"/>
          <w:sz w:val="21"/>
        </w:rPr>
        <w:t> </w:t>
      </w:r>
      <w:r>
        <w:rPr>
          <w:color w:val="231F20"/>
          <w:w w:val="105"/>
          <w:sz w:val="21"/>
        </w:rPr>
        <w:t>(1987),</w:t>
      </w:r>
      <w:r>
        <w:rPr>
          <w:color w:val="231F20"/>
          <w:spacing w:val="-44"/>
          <w:w w:val="105"/>
          <w:sz w:val="21"/>
        </w:rPr>
        <w:t> </w:t>
      </w:r>
      <w:r>
        <w:rPr>
          <w:color w:val="231F20"/>
          <w:w w:val="105"/>
          <w:sz w:val="21"/>
        </w:rPr>
        <w:t>“Emigration</w:t>
      </w:r>
      <w:r>
        <w:rPr>
          <w:color w:val="231F20"/>
          <w:spacing w:val="-41"/>
          <w:w w:val="105"/>
          <w:sz w:val="21"/>
        </w:rPr>
        <w:t> </w:t>
      </w:r>
      <w:r>
        <w:rPr>
          <w:color w:val="231F20"/>
          <w:w w:val="105"/>
          <w:sz w:val="21"/>
        </w:rPr>
        <w:t>to</w:t>
      </w:r>
      <w:r>
        <w:rPr>
          <w:color w:val="231F20"/>
          <w:spacing w:val="-41"/>
          <w:w w:val="105"/>
          <w:sz w:val="21"/>
        </w:rPr>
        <w:t> </w:t>
      </w:r>
      <w:r>
        <w:rPr>
          <w:color w:val="231F20"/>
          <w:w w:val="105"/>
          <w:sz w:val="21"/>
        </w:rPr>
        <w:t>South</w:t>
      </w:r>
      <w:r>
        <w:rPr>
          <w:color w:val="231F20"/>
          <w:spacing w:val="-42"/>
          <w:w w:val="105"/>
          <w:sz w:val="21"/>
        </w:rPr>
        <w:t> </w:t>
      </w:r>
      <w:r>
        <w:rPr>
          <w:color w:val="231F20"/>
          <w:w w:val="105"/>
          <w:sz w:val="21"/>
        </w:rPr>
        <w:t>Africa’s</w:t>
      </w:r>
      <w:r>
        <w:rPr>
          <w:color w:val="231F20"/>
          <w:spacing w:val="-41"/>
          <w:w w:val="105"/>
          <w:sz w:val="21"/>
        </w:rPr>
        <w:t> </w:t>
      </w:r>
      <w:r>
        <w:rPr>
          <w:color w:val="231F20"/>
          <w:spacing w:val="-4"/>
          <w:w w:val="105"/>
          <w:sz w:val="21"/>
        </w:rPr>
        <w:t>Mines”,</w:t>
      </w:r>
      <w:r>
        <w:rPr>
          <w:color w:val="231F20"/>
          <w:spacing w:val="-44"/>
          <w:w w:val="105"/>
          <w:sz w:val="21"/>
        </w:rPr>
        <w:t> </w:t>
      </w:r>
      <w:r>
        <w:rPr>
          <w:rFonts w:ascii="Arial" w:hAnsi="Arial"/>
          <w:i/>
          <w:color w:val="231F20"/>
          <w:w w:val="105"/>
          <w:sz w:val="21"/>
        </w:rPr>
        <w:t>American</w:t>
      </w:r>
      <w:r>
        <w:rPr>
          <w:rFonts w:ascii="Arial" w:hAnsi="Arial"/>
          <w:i/>
          <w:color w:val="231F20"/>
          <w:spacing w:val="-44"/>
          <w:w w:val="105"/>
          <w:sz w:val="21"/>
        </w:rPr>
        <w:t> </w:t>
      </w:r>
      <w:r>
        <w:rPr>
          <w:rFonts w:ascii="Arial" w:hAnsi="Arial"/>
          <w:i/>
          <w:color w:val="231F20"/>
          <w:w w:val="105"/>
          <w:sz w:val="21"/>
        </w:rPr>
        <w:t>Eco- </w:t>
      </w:r>
      <w:r>
        <w:rPr>
          <w:rFonts w:ascii="Arial" w:hAnsi="Arial"/>
          <w:i/>
          <w:color w:val="231F20"/>
          <w:w w:val="105"/>
          <w:sz w:val="21"/>
        </w:rPr>
        <w:t>nomic</w:t>
      </w:r>
      <w:r>
        <w:rPr>
          <w:rFonts w:ascii="Arial" w:hAnsi="Arial"/>
          <w:i/>
          <w:color w:val="231F20"/>
          <w:spacing w:val="-38"/>
          <w:w w:val="105"/>
          <w:sz w:val="21"/>
        </w:rPr>
        <w:t> </w:t>
      </w:r>
      <w:r>
        <w:rPr>
          <w:rFonts w:ascii="Arial" w:hAnsi="Arial"/>
          <w:i/>
          <w:color w:val="231F20"/>
          <w:w w:val="105"/>
          <w:sz w:val="21"/>
        </w:rPr>
        <w:t>Review</w:t>
      </w:r>
      <w:r>
        <w:rPr>
          <w:color w:val="231F20"/>
          <w:w w:val="105"/>
          <w:sz w:val="21"/>
        </w:rPr>
        <w:t>,</w:t>
      </w:r>
      <w:r>
        <w:rPr>
          <w:color w:val="231F20"/>
          <w:spacing w:val="-38"/>
          <w:w w:val="105"/>
          <w:sz w:val="21"/>
        </w:rPr>
        <w:t> </w:t>
      </w:r>
      <w:r>
        <w:rPr>
          <w:color w:val="231F20"/>
          <w:w w:val="105"/>
          <w:sz w:val="21"/>
        </w:rPr>
        <w:t>núm.</w:t>
      </w:r>
      <w:r>
        <w:rPr>
          <w:color w:val="231F20"/>
          <w:spacing w:val="-38"/>
          <w:w w:val="105"/>
          <w:sz w:val="21"/>
        </w:rPr>
        <w:t> </w:t>
      </w:r>
      <w:r>
        <w:rPr>
          <w:color w:val="231F20"/>
          <w:w w:val="105"/>
          <w:sz w:val="21"/>
        </w:rPr>
        <w:t>77.</w:t>
      </w:r>
    </w:p>
    <w:p>
      <w:pPr>
        <w:pStyle w:val="BodyText"/>
        <w:spacing w:line="261" w:lineRule="auto" w:before="3"/>
        <w:ind w:left="2461" w:right="1836" w:hanging="738"/>
        <w:jc w:val="both"/>
      </w:pPr>
      <w:r>
        <w:rPr>
          <w:color w:val="231F20"/>
          <w:spacing w:val="-3"/>
          <w:w w:val="105"/>
        </w:rPr>
        <w:t>Mines, Richard, (1981), “Developing </w:t>
      </w:r>
      <w:r>
        <w:rPr>
          <w:color w:val="231F20"/>
          <w:w w:val="105"/>
        </w:rPr>
        <w:t>a </w:t>
      </w:r>
      <w:r>
        <w:rPr>
          <w:color w:val="231F20"/>
          <w:spacing w:val="-3"/>
          <w:w w:val="105"/>
        </w:rPr>
        <w:t>Community </w:t>
      </w:r>
      <w:r>
        <w:rPr>
          <w:color w:val="231F20"/>
          <w:spacing w:val="-5"/>
          <w:w w:val="105"/>
        </w:rPr>
        <w:t>Tradition </w:t>
      </w:r>
      <w:r>
        <w:rPr>
          <w:color w:val="231F20"/>
          <w:w w:val="105"/>
        </w:rPr>
        <w:t>of </w:t>
      </w:r>
      <w:r>
        <w:rPr>
          <w:color w:val="231F20"/>
          <w:spacing w:val="-4"/>
          <w:w w:val="105"/>
        </w:rPr>
        <w:t>Migration: </w:t>
      </w:r>
      <w:r>
        <w:rPr>
          <w:color w:val="231F20"/>
          <w:w w:val="105"/>
        </w:rPr>
        <w:t>a</w:t>
      </w:r>
      <w:r>
        <w:rPr>
          <w:color w:val="231F20"/>
          <w:spacing w:val="-23"/>
          <w:w w:val="105"/>
        </w:rPr>
        <w:t> </w:t>
      </w:r>
      <w:r>
        <w:rPr>
          <w:color w:val="231F20"/>
          <w:spacing w:val="-3"/>
          <w:w w:val="105"/>
        </w:rPr>
        <w:t>Field</w:t>
      </w:r>
      <w:r>
        <w:rPr>
          <w:color w:val="231F20"/>
          <w:spacing w:val="-23"/>
          <w:w w:val="105"/>
        </w:rPr>
        <w:t> </w:t>
      </w:r>
      <w:r>
        <w:rPr>
          <w:color w:val="231F20"/>
          <w:spacing w:val="-3"/>
          <w:w w:val="105"/>
        </w:rPr>
        <w:t>Study</w:t>
      </w:r>
      <w:r>
        <w:rPr>
          <w:color w:val="231F20"/>
          <w:spacing w:val="-23"/>
          <w:w w:val="105"/>
        </w:rPr>
        <w:t> </w:t>
      </w:r>
      <w:r>
        <w:rPr>
          <w:color w:val="231F20"/>
          <w:w w:val="105"/>
        </w:rPr>
        <w:t>in</w:t>
      </w:r>
      <w:r>
        <w:rPr>
          <w:color w:val="231F20"/>
          <w:spacing w:val="-23"/>
          <w:w w:val="105"/>
        </w:rPr>
        <w:t> </w:t>
      </w:r>
      <w:r>
        <w:rPr>
          <w:color w:val="231F20"/>
          <w:spacing w:val="-4"/>
          <w:w w:val="105"/>
        </w:rPr>
        <w:t>Rural</w:t>
      </w:r>
      <w:r>
        <w:rPr>
          <w:color w:val="231F20"/>
          <w:spacing w:val="-23"/>
          <w:w w:val="105"/>
        </w:rPr>
        <w:t> </w:t>
      </w:r>
      <w:r>
        <w:rPr>
          <w:color w:val="231F20"/>
          <w:spacing w:val="-4"/>
          <w:w w:val="105"/>
        </w:rPr>
        <w:t>Zacatecas,</w:t>
      </w:r>
      <w:r>
        <w:rPr>
          <w:color w:val="231F20"/>
          <w:spacing w:val="-27"/>
          <w:w w:val="105"/>
        </w:rPr>
        <w:t> </w:t>
      </w:r>
      <w:r>
        <w:rPr>
          <w:color w:val="231F20"/>
          <w:spacing w:val="-3"/>
          <w:w w:val="105"/>
        </w:rPr>
        <w:t>México</w:t>
      </w:r>
      <w:r>
        <w:rPr>
          <w:color w:val="231F20"/>
          <w:spacing w:val="-23"/>
          <w:w w:val="105"/>
        </w:rPr>
        <w:t> </w:t>
      </w:r>
      <w:r>
        <w:rPr>
          <w:color w:val="231F20"/>
          <w:w w:val="105"/>
        </w:rPr>
        <w:t>and</w:t>
      </w:r>
      <w:r>
        <w:rPr>
          <w:color w:val="231F20"/>
          <w:spacing w:val="-23"/>
          <w:w w:val="105"/>
        </w:rPr>
        <w:t> </w:t>
      </w:r>
      <w:r>
        <w:rPr>
          <w:color w:val="231F20"/>
          <w:spacing w:val="-3"/>
          <w:w w:val="105"/>
        </w:rPr>
        <w:t>California</w:t>
      </w:r>
      <w:r>
        <w:rPr>
          <w:color w:val="231F20"/>
          <w:spacing w:val="-23"/>
          <w:w w:val="105"/>
        </w:rPr>
        <w:t> </w:t>
      </w:r>
      <w:r>
        <w:rPr>
          <w:color w:val="231F20"/>
          <w:spacing w:val="-4"/>
          <w:w w:val="105"/>
        </w:rPr>
        <w:t>Settlement </w:t>
      </w:r>
      <w:r>
        <w:rPr>
          <w:color w:val="231F20"/>
          <w:spacing w:val="-7"/>
          <w:w w:val="105"/>
        </w:rPr>
        <w:t>Areas”,</w:t>
      </w:r>
      <w:r>
        <w:rPr>
          <w:color w:val="231F20"/>
          <w:spacing w:val="-41"/>
          <w:w w:val="105"/>
        </w:rPr>
        <w:t> </w:t>
      </w:r>
      <w:r>
        <w:rPr>
          <w:rFonts w:ascii="Arial" w:hAnsi="Arial"/>
          <w:i/>
          <w:color w:val="231F20"/>
          <w:spacing w:val="-3"/>
          <w:w w:val="105"/>
        </w:rPr>
        <w:t>Monographs</w:t>
      </w:r>
      <w:r>
        <w:rPr>
          <w:rFonts w:ascii="Arial" w:hAnsi="Arial"/>
          <w:i/>
          <w:color w:val="231F20"/>
          <w:spacing w:val="-41"/>
          <w:w w:val="105"/>
        </w:rPr>
        <w:t> </w:t>
      </w:r>
      <w:r>
        <w:rPr>
          <w:rFonts w:ascii="Arial" w:hAnsi="Arial"/>
          <w:i/>
          <w:color w:val="231F20"/>
          <w:w w:val="105"/>
        </w:rPr>
        <w:t>in</w:t>
      </w:r>
      <w:r>
        <w:rPr>
          <w:rFonts w:ascii="Arial" w:hAnsi="Arial"/>
          <w:i/>
          <w:color w:val="231F20"/>
          <w:spacing w:val="-41"/>
          <w:w w:val="105"/>
        </w:rPr>
        <w:t> </w:t>
      </w:r>
      <w:r>
        <w:rPr>
          <w:rFonts w:ascii="Arial" w:hAnsi="Arial"/>
          <w:i/>
          <w:color w:val="231F20"/>
          <w:spacing w:val="-4"/>
          <w:w w:val="105"/>
        </w:rPr>
        <w:t>U.S-Mexican</w:t>
      </w:r>
      <w:r>
        <w:rPr>
          <w:rFonts w:ascii="Arial" w:hAnsi="Arial"/>
          <w:i/>
          <w:color w:val="231F20"/>
          <w:spacing w:val="-41"/>
          <w:w w:val="105"/>
        </w:rPr>
        <w:t> </w:t>
      </w:r>
      <w:r>
        <w:rPr>
          <w:rFonts w:ascii="Arial" w:hAnsi="Arial"/>
          <w:i/>
          <w:color w:val="231F20"/>
          <w:spacing w:val="-3"/>
          <w:w w:val="105"/>
        </w:rPr>
        <w:t>Studies</w:t>
      </w:r>
      <w:r>
        <w:rPr>
          <w:color w:val="231F20"/>
          <w:spacing w:val="-3"/>
          <w:w w:val="105"/>
        </w:rPr>
        <w:t>,</w:t>
      </w:r>
      <w:r>
        <w:rPr>
          <w:color w:val="231F20"/>
          <w:spacing w:val="-41"/>
          <w:w w:val="105"/>
        </w:rPr>
        <w:t> </w:t>
      </w:r>
      <w:r>
        <w:rPr>
          <w:color w:val="231F20"/>
          <w:spacing w:val="-3"/>
          <w:w w:val="105"/>
        </w:rPr>
        <w:t>núm.</w:t>
      </w:r>
      <w:r>
        <w:rPr>
          <w:color w:val="231F20"/>
          <w:spacing w:val="-41"/>
          <w:w w:val="105"/>
        </w:rPr>
        <w:t> </w:t>
      </w:r>
      <w:r>
        <w:rPr>
          <w:color w:val="231F20"/>
          <w:spacing w:val="-3"/>
          <w:w w:val="105"/>
        </w:rPr>
        <w:t>3.</w:t>
      </w:r>
    </w:p>
    <w:p>
      <w:pPr>
        <w:spacing w:line="259" w:lineRule="auto" w:before="0"/>
        <w:ind w:left="2461" w:right="1837" w:hanging="738"/>
        <w:jc w:val="both"/>
        <w:rPr>
          <w:sz w:val="21"/>
        </w:rPr>
      </w:pPr>
      <w:r>
        <w:rPr>
          <w:color w:val="231F20"/>
          <w:spacing w:val="-4"/>
          <w:w w:val="105"/>
          <w:sz w:val="21"/>
        </w:rPr>
        <w:t>Murphy,</w:t>
      </w:r>
      <w:r>
        <w:rPr>
          <w:color w:val="231F20"/>
          <w:spacing w:val="-42"/>
          <w:w w:val="105"/>
          <w:sz w:val="21"/>
        </w:rPr>
        <w:t> </w:t>
      </w:r>
      <w:r>
        <w:rPr>
          <w:color w:val="231F20"/>
          <w:spacing w:val="-3"/>
          <w:w w:val="105"/>
          <w:sz w:val="21"/>
        </w:rPr>
        <w:t>Arthur</w:t>
      </w:r>
      <w:r>
        <w:rPr>
          <w:color w:val="231F20"/>
          <w:spacing w:val="-36"/>
          <w:w w:val="105"/>
          <w:sz w:val="21"/>
        </w:rPr>
        <w:t> </w:t>
      </w:r>
      <w:r>
        <w:rPr>
          <w:color w:val="231F20"/>
          <w:w w:val="105"/>
          <w:sz w:val="21"/>
        </w:rPr>
        <w:t>y</w:t>
      </w:r>
      <w:r>
        <w:rPr>
          <w:color w:val="231F20"/>
          <w:spacing w:val="-36"/>
          <w:w w:val="105"/>
          <w:sz w:val="21"/>
        </w:rPr>
        <w:t> </w:t>
      </w:r>
      <w:r>
        <w:rPr>
          <w:color w:val="231F20"/>
          <w:spacing w:val="-3"/>
          <w:w w:val="105"/>
          <w:sz w:val="21"/>
        </w:rPr>
        <w:t>Stepick,</w:t>
      </w:r>
      <w:r>
        <w:rPr>
          <w:color w:val="231F20"/>
          <w:spacing w:val="-42"/>
          <w:w w:val="105"/>
          <w:sz w:val="21"/>
        </w:rPr>
        <w:t> </w:t>
      </w:r>
      <w:r>
        <w:rPr>
          <w:color w:val="231F20"/>
          <w:spacing w:val="-3"/>
          <w:w w:val="105"/>
          <w:sz w:val="21"/>
        </w:rPr>
        <w:t>Alex,</w:t>
      </w:r>
      <w:r>
        <w:rPr>
          <w:color w:val="231F20"/>
          <w:spacing w:val="-40"/>
          <w:w w:val="105"/>
          <w:sz w:val="21"/>
        </w:rPr>
        <w:t> </w:t>
      </w:r>
      <w:r>
        <w:rPr>
          <w:color w:val="231F20"/>
          <w:spacing w:val="-3"/>
          <w:w w:val="105"/>
          <w:sz w:val="21"/>
        </w:rPr>
        <w:t>(1991),</w:t>
      </w:r>
      <w:r>
        <w:rPr>
          <w:color w:val="231F20"/>
          <w:spacing w:val="-40"/>
          <w:w w:val="105"/>
          <w:sz w:val="21"/>
        </w:rPr>
        <w:t> </w:t>
      </w:r>
      <w:r>
        <w:rPr>
          <w:rFonts w:ascii="Arial"/>
          <w:i/>
          <w:color w:val="231F20"/>
          <w:spacing w:val="-3"/>
          <w:w w:val="105"/>
          <w:sz w:val="21"/>
        </w:rPr>
        <w:t>Social</w:t>
      </w:r>
      <w:r>
        <w:rPr>
          <w:rFonts w:ascii="Arial"/>
          <w:i/>
          <w:color w:val="231F20"/>
          <w:spacing w:val="-38"/>
          <w:w w:val="105"/>
          <w:sz w:val="21"/>
        </w:rPr>
        <w:t> </w:t>
      </w:r>
      <w:r>
        <w:rPr>
          <w:rFonts w:ascii="Arial"/>
          <w:i/>
          <w:color w:val="231F20"/>
          <w:spacing w:val="-3"/>
          <w:w w:val="105"/>
          <w:sz w:val="21"/>
        </w:rPr>
        <w:t>Inequality</w:t>
      </w:r>
      <w:r>
        <w:rPr>
          <w:rFonts w:ascii="Arial"/>
          <w:i/>
          <w:color w:val="231F20"/>
          <w:spacing w:val="-38"/>
          <w:w w:val="105"/>
          <w:sz w:val="21"/>
        </w:rPr>
        <w:t> </w:t>
      </w:r>
      <w:r>
        <w:rPr>
          <w:rFonts w:ascii="Arial"/>
          <w:i/>
          <w:color w:val="231F20"/>
          <w:w w:val="105"/>
          <w:sz w:val="21"/>
        </w:rPr>
        <w:t>in</w:t>
      </w:r>
      <w:r>
        <w:rPr>
          <w:rFonts w:ascii="Arial"/>
          <w:i/>
          <w:color w:val="231F20"/>
          <w:spacing w:val="-38"/>
          <w:w w:val="105"/>
          <w:sz w:val="21"/>
        </w:rPr>
        <w:t> </w:t>
      </w:r>
      <w:r>
        <w:rPr>
          <w:rFonts w:ascii="Arial"/>
          <w:i/>
          <w:color w:val="231F20"/>
          <w:spacing w:val="-3"/>
          <w:w w:val="105"/>
          <w:sz w:val="21"/>
        </w:rPr>
        <w:t>Oaxaca.</w:t>
      </w:r>
      <w:r>
        <w:rPr>
          <w:rFonts w:ascii="Arial"/>
          <w:i/>
          <w:color w:val="231F20"/>
          <w:spacing w:val="-44"/>
          <w:w w:val="105"/>
          <w:sz w:val="21"/>
        </w:rPr>
        <w:t> </w:t>
      </w:r>
      <w:r>
        <w:rPr>
          <w:rFonts w:ascii="Arial"/>
          <w:i/>
          <w:color w:val="231F20"/>
          <w:w w:val="105"/>
          <w:sz w:val="21"/>
        </w:rPr>
        <w:t>A</w:t>
      </w:r>
      <w:r>
        <w:rPr>
          <w:rFonts w:ascii="Arial"/>
          <w:i/>
          <w:color w:val="231F20"/>
          <w:spacing w:val="-41"/>
          <w:w w:val="105"/>
          <w:sz w:val="21"/>
        </w:rPr>
        <w:t> </w:t>
      </w:r>
      <w:r>
        <w:rPr>
          <w:rFonts w:ascii="Arial"/>
          <w:i/>
          <w:color w:val="231F20"/>
          <w:spacing w:val="-3"/>
          <w:w w:val="105"/>
          <w:sz w:val="21"/>
        </w:rPr>
        <w:t>History </w:t>
      </w:r>
      <w:r>
        <w:rPr>
          <w:rFonts w:ascii="Arial"/>
          <w:i/>
          <w:color w:val="231F20"/>
          <w:sz w:val="21"/>
        </w:rPr>
        <w:t>of </w:t>
      </w:r>
      <w:r>
        <w:rPr>
          <w:rFonts w:ascii="Arial"/>
          <w:i/>
          <w:color w:val="231F20"/>
          <w:spacing w:val="-3"/>
          <w:sz w:val="21"/>
        </w:rPr>
        <w:t>Resistance </w:t>
      </w:r>
      <w:r>
        <w:rPr>
          <w:rFonts w:ascii="Arial"/>
          <w:i/>
          <w:color w:val="231F20"/>
          <w:sz w:val="21"/>
        </w:rPr>
        <w:t>and </w:t>
      </w:r>
      <w:r>
        <w:rPr>
          <w:rFonts w:ascii="Arial"/>
          <w:i/>
          <w:color w:val="231F20"/>
          <w:spacing w:val="-3"/>
          <w:sz w:val="21"/>
        </w:rPr>
        <w:t>Change</w:t>
      </w:r>
      <w:r>
        <w:rPr>
          <w:color w:val="231F20"/>
          <w:spacing w:val="-3"/>
          <w:sz w:val="21"/>
        </w:rPr>
        <w:t>, Philadelphia: </w:t>
      </w:r>
      <w:r>
        <w:rPr>
          <w:color w:val="231F20"/>
          <w:spacing w:val="-6"/>
          <w:sz w:val="21"/>
        </w:rPr>
        <w:t>Temple </w:t>
      </w:r>
      <w:r>
        <w:rPr>
          <w:color w:val="231F20"/>
          <w:spacing w:val="-3"/>
          <w:sz w:val="21"/>
        </w:rPr>
        <w:t>University</w:t>
      </w:r>
      <w:r>
        <w:rPr>
          <w:color w:val="231F20"/>
          <w:spacing w:val="11"/>
          <w:sz w:val="21"/>
        </w:rPr>
        <w:t> </w:t>
      </w:r>
      <w:r>
        <w:rPr>
          <w:color w:val="231F20"/>
          <w:spacing w:val="-6"/>
          <w:sz w:val="21"/>
        </w:rPr>
        <w:t>Press.</w:t>
      </w:r>
    </w:p>
    <w:p>
      <w:pPr>
        <w:pStyle w:val="BodyText"/>
        <w:spacing w:line="259" w:lineRule="auto" w:before="3"/>
        <w:ind w:left="1837" w:right="1828"/>
        <w:jc w:val="right"/>
        <w:rPr>
          <w:rFonts w:ascii="Arial" w:hAnsi="Arial"/>
          <w:i/>
        </w:rPr>
      </w:pPr>
      <w:r>
        <w:rPr>
          <w:color w:val="231F20"/>
          <w:spacing w:val="-3"/>
        </w:rPr>
        <w:t>Portes, </w:t>
      </w:r>
      <w:r>
        <w:rPr>
          <w:color w:val="231F20"/>
        </w:rPr>
        <w:t>Alejandro, (2001), “Inmigración y  metrópolis:</w:t>
      </w:r>
      <w:r>
        <w:rPr>
          <w:color w:val="231F20"/>
          <w:spacing w:val="-2"/>
        </w:rPr>
        <w:t> </w:t>
      </w:r>
      <w:r>
        <w:rPr>
          <w:color w:val="231F20"/>
        </w:rPr>
        <w:t>reflexiones</w:t>
      </w:r>
      <w:r>
        <w:rPr>
          <w:color w:val="231F20"/>
          <w:spacing w:val="50"/>
        </w:rPr>
        <w:t> </w:t>
      </w:r>
      <w:r>
        <w:rPr>
          <w:color w:val="231F20"/>
        </w:rPr>
        <w:t>acerca</w:t>
      </w:r>
      <w:r>
        <w:rPr>
          <w:color w:val="231F20"/>
          <w:w w:val="97"/>
        </w:rPr>
        <w:t> </w:t>
      </w:r>
      <w:r>
        <w:rPr>
          <w:color w:val="231F20"/>
        </w:rPr>
        <w:t>de la historia </w:t>
      </w:r>
      <w:r>
        <w:rPr>
          <w:color w:val="231F20"/>
          <w:spacing w:val="-4"/>
        </w:rPr>
        <w:t>urbana”, </w:t>
      </w:r>
      <w:r>
        <w:rPr>
          <w:rFonts w:ascii="Arial" w:hAnsi="Arial"/>
          <w:i/>
          <w:color w:val="231F20"/>
        </w:rPr>
        <w:t>Migraciones Internacionales</w:t>
      </w:r>
      <w:r>
        <w:rPr>
          <w:color w:val="231F20"/>
        </w:rPr>
        <w:t>, vol. 1,</w:t>
      </w:r>
      <w:r>
        <w:rPr>
          <w:color w:val="231F20"/>
          <w:spacing w:val="29"/>
        </w:rPr>
        <w:t> </w:t>
      </w:r>
      <w:r>
        <w:rPr>
          <w:color w:val="231F20"/>
        </w:rPr>
        <w:t>núm.</w:t>
      </w:r>
      <w:r>
        <w:rPr>
          <w:color w:val="231F20"/>
          <w:spacing w:val="5"/>
        </w:rPr>
        <w:t> </w:t>
      </w:r>
      <w:r>
        <w:rPr>
          <w:color w:val="231F20"/>
        </w:rPr>
        <w:t>1.</w:t>
      </w:r>
      <w:r>
        <w:rPr>
          <w:color w:val="231F20"/>
          <w:w w:val="100"/>
        </w:rPr>
        <w:t> </w:t>
      </w:r>
      <w:r>
        <w:rPr>
          <w:color w:val="231F20"/>
        </w:rPr>
        <w:t>Reichert, Joshua, (1981), “The Migrant Syndrome: Seasonal</w:t>
      </w:r>
      <w:r>
        <w:rPr>
          <w:color w:val="231F20"/>
          <w:spacing w:val="43"/>
        </w:rPr>
        <w:t> </w:t>
      </w:r>
      <w:r>
        <w:rPr>
          <w:color w:val="231F20"/>
        </w:rPr>
        <w:t>U.S.</w:t>
      </w:r>
      <w:r>
        <w:rPr>
          <w:color w:val="231F20"/>
          <w:spacing w:val="24"/>
        </w:rPr>
        <w:t> </w:t>
      </w:r>
      <w:r>
        <w:rPr>
          <w:color w:val="231F20"/>
        </w:rPr>
        <w:t>Wage</w:t>
      </w:r>
      <w:r>
        <w:rPr>
          <w:color w:val="231F20"/>
          <w:w w:val="104"/>
        </w:rPr>
        <w:t> </w:t>
      </w:r>
      <w:r>
        <w:rPr>
          <w:color w:val="231F20"/>
        </w:rPr>
        <w:t>Labor and Rural Development in Central </w:t>
      </w:r>
      <w:r>
        <w:rPr>
          <w:color w:val="231F20"/>
          <w:spacing w:val="-4"/>
        </w:rPr>
        <w:t>Mexico”, </w:t>
      </w:r>
      <w:r>
        <w:rPr>
          <w:rFonts w:ascii="Arial" w:hAnsi="Arial"/>
          <w:i/>
          <w:color w:val="231F20"/>
        </w:rPr>
        <w:t>Human </w:t>
      </w:r>
      <w:r>
        <w:rPr>
          <w:rFonts w:ascii="Arial" w:hAnsi="Arial"/>
          <w:i/>
          <w:color w:val="231F20"/>
          <w:spacing w:val="57"/>
        </w:rPr>
        <w:t> </w:t>
      </w:r>
      <w:r>
        <w:rPr>
          <w:rFonts w:ascii="Arial" w:hAnsi="Arial"/>
          <w:i/>
          <w:color w:val="231F20"/>
        </w:rPr>
        <w:t>Organi-</w:t>
      </w:r>
    </w:p>
    <w:p>
      <w:pPr>
        <w:spacing w:line="241" w:lineRule="exact" w:before="0"/>
        <w:ind w:left="2461" w:right="0" w:firstLine="0"/>
        <w:jc w:val="left"/>
        <w:rPr>
          <w:sz w:val="21"/>
        </w:rPr>
      </w:pPr>
      <w:r>
        <w:rPr>
          <w:rFonts w:ascii="Arial" w:hAnsi="Arial"/>
          <w:i/>
          <w:color w:val="231F20"/>
          <w:sz w:val="21"/>
        </w:rPr>
        <w:t>zation</w:t>
      </w:r>
      <w:r>
        <w:rPr>
          <w:color w:val="231F20"/>
          <w:sz w:val="21"/>
        </w:rPr>
        <w:t>, vol. 1, núm. 40.</w:t>
      </w:r>
    </w:p>
    <w:p>
      <w:pPr>
        <w:spacing w:line="259" w:lineRule="auto" w:before="18"/>
        <w:ind w:left="2461" w:right="1834" w:hanging="738"/>
        <w:jc w:val="both"/>
        <w:rPr>
          <w:sz w:val="21"/>
        </w:rPr>
      </w:pPr>
      <w:r>
        <w:rPr>
          <w:color w:val="231F20"/>
          <w:w w:val="105"/>
          <w:sz w:val="21"/>
        </w:rPr>
        <w:t>Rionda</w:t>
      </w:r>
      <w:r>
        <w:rPr>
          <w:color w:val="231F20"/>
          <w:spacing w:val="-40"/>
          <w:w w:val="105"/>
          <w:sz w:val="21"/>
        </w:rPr>
        <w:t> </w:t>
      </w:r>
      <w:r>
        <w:rPr>
          <w:color w:val="231F20"/>
          <w:w w:val="105"/>
          <w:sz w:val="21"/>
        </w:rPr>
        <w:t>Ramírez,</w:t>
      </w:r>
      <w:r>
        <w:rPr>
          <w:color w:val="231F20"/>
          <w:spacing w:val="-43"/>
          <w:w w:val="105"/>
          <w:sz w:val="21"/>
        </w:rPr>
        <w:t> </w:t>
      </w:r>
      <w:r>
        <w:rPr>
          <w:color w:val="231F20"/>
          <w:w w:val="105"/>
          <w:sz w:val="21"/>
        </w:rPr>
        <w:t>Luis</w:t>
      </w:r>
      <w:r>
        <w:rPr>
          <w:color w:val="231F20"/>
          <w:spacing w:val="-42"/>
          <w:w w:val="105"/>
          <w:sz w:val="21"/>
        </w:rPr>
        <w:t> </w:t>
      </w:r>
      <w:r>
        <w:rPr>
          <w:color w:val="231F20"/>
          <w:w w:val="105"/>
          <w:sz w:val="21"/>
        </w:rPr>
        <w:t>Ángel,</w:t>
      </w:r>
      <w:r>
        <w:rPr>
          <w:color w:val="231F20"/>
          <w:spacing w:val="-43"/>
          <w:w w:val="105"/>
          <w:sz w:val="21"/>
        </w:rPr>
        <w:t> </w:t>
      </w:r>
      <w:r>
        <w:rPr>
          <w:color w:val="231F20"/>
          <w:w w:val="105"/>
          <w:sz w:val="21"/>
        </w:rPr>
        <w:t>(1992),</w:t>
      </w:r>
      <w:r>
        <w:rPr>
          <w:color w:val="231F20"/>
          <w:spacing w:val="-42"/>
          <w:w w:val="105"/>
          <w:sz w:val="21"/>
        </w:rPr>
        <w:t> </w:t>
      </w:r>
      <w:r>
        <w:rPr>
          <w:rFonts w:ascii="Arial" w:hAnsi="Arial"/>
          <w:i/>
          <w:color w:val="231F20"/>
          <w:w w:val="105"/>
          <w:sz w:val="21"/>
        </w:rPr>
        <w:t>Y</w:t>
      </w:r>
      <w:r>
        <w:rPr>
          <w:rFonts w:ascii="Arial" w:hAnsi="Arial"/>
          <w:i/>
          <w:color w:val="231F20"/>
          <w:spacing w:val="-45"/>
          <w:w w:val="105"/>
          <w:sz w:val="21"/>
        </w:rPr>
        <w:t> </w:t>
      </w:r>
      <w:r>
        <w:rPr>
          <w:rFonts w:ascii="Arial" w:hAnsi="Arial"/>
          <w:i/>
          <w:color w:val="231F20"/>
          <w:w w:val="105"/>
          <w:sz w:val="21"/>
        </w:rPr>
        <w:t>jalaron</w:t>
      </w:r>
      <w:r>
        <w:rPr>
          <w:rFonts w:ascii="Arial" w:hAnsi="Arial"/>
          <w:i/>
          <w:color w:val="231F20"/>
          <w:spacing w:val="-43"/>
          <w:w w:val="105"/>
          <w:sz w:val="21"/>
        </w:rPr>
        <w:t> </w:t>
      </w:r>
      <w:r>
        <w:rPr>
          <w:rFonts w:ascii="Arial" w:hAnsi="Arial"/>
          <w:i/>
          <w:color w:val="231F20"/>
          <w:w w:val="105"/>
          <w:sz w:val="21"/>
        </w:rPr>
        <w:t>pa´l</w:t>
      </w:r>
      <w:r>
        <w:rPr>
          <w:rFonts w:ascii="Arial" w:hAnsi="Arial"/>
          <w:i/>
          <w:color w:val="231F20"/>
          <w:spacing w:val="-43"/>
          <w:w w:val="105"/>
          <w:sz w:val="21"/>
        </w:rPr>
        <w:t> </w:t>
      </w:r>
      <w:r>
        <w:rPr>
          <w:rFonts w:ascii="Arial" w:hAnsi="Arial"/>
          <w:i/>
          <w:color w:val="231F20"/>
          <w:w w:val="105"/>
          <w:sz w:val="21"/>
        </w:rPr>
        <w:t>norte…</w:t>
      </w:r>
      <w:r>
        <w:rPr>
          <w:rFonts w:ascii="Arial" w:hAnsi="Arial"/>
          <w:i/>
          <w:color w:val="231F20"/>
          <w:spacing w:val="-46"/>
          <w:w w:val="105"/>
          <w:sz w:val="21"/>
        </w:rPr>
        <w:t> </w:t>
      </w:r>
      <w:r>
        <w:rPr>
          <w:rFonts w:ascii="Arial" w:hAnsi="Arial"/>
          <w:i/>
          <w:color w:val="231F20"/>
          <w:w w:val="105"/>
          <w:sz w:val="21"/>
        </w:rPr>
        <w:t>Migración,</w:t>
      </w:r>
      <w:r>
        <w:rPr>
          <w:rFonts w:ascii="Arial" w:hAnsi="Arial"/>
          <w:i/>
          <w:color w:val="231F20"/>
          <w:spacing w:val="-46"/>
          <w:w w:val="105"/>
          <w:sz w:val="21"/>
        </w:rPr>
        <w:t> </w:t>
      </w:r>
      <w:r>
        <w:rPr>
          <w:rFonts w:ascii="Arial" w:hAnsi="Arial"/>
          <w:i/>
          <w:color w:val="231F20"/>
          <w:w w:val="105"/>
          <w:sz w:val="21"/>
        </w:rPr>
        <w:t>agra- </w:t>
      </w:r>
      <w:r>
        <w:rPr>
          <w:rFonts w:ascii="Arial" w:hAnsi="Arial"/>
          <w:i/>
          <w:color w:val="231F20"/>
          <w:w w:val="105"/>
          <w:sz w:val="21"/>
        </w:rPr>
        <w:t>rismo y agricultura en un pueblo michoacano</w:t>
      </w:r>
      <w:r>
        <w:rPr>
          <w:color w:val="231F20"/>
          <w:w w:val="105"/>
          <w:sz w:val="21"/>
        </w:rPr>
        <w:t>, Zamora de</w:t>
      </w:r>
      <w:r>
        <w:rPr>
          <w:color w:val="231F20"/>
          <w:spacing w:val="-31"/>
          <w:w w:val="105"/>
          <w:sz w:val="21"/>
        </w:rPr>
        <w:t> </w:t>
      </w:r>
      <w:r>
        <w:rPr>
          <w:color w:val="231F20"/>
          <w:w w:val="105"/>
          <w:sz w:val="21"/>
        </w:rPr>
        <w:t>Hidal- go,</w:t>
      </w:r>
      <w:r>
        <w:rPr>
          <w:color w:val="231F20"/>
          <w:spacing w:val="-30"/>
          <w:w w:val="105"/>
          <w:sz w:val="21"/>
        </w:rPr>
        <w:t> </w:t>
      </w:r>
      <w:r>
        <w:rPr>
          <w:color w:val="231F20"/>
          <w:w w:val="105"/>
          <w:sz w:val="21"/>
        </w:rPr>
        <w:t>México:</w:t>
      </w:r>
      <w:r>
        <w:rPr>
          <w:color w:val="231F20"/>
          <w:spacing w:val="-26"/>
          <w:w w:val="105"/>
          <w:sz w:val="21"/>
        </w:rPr>
        <w:t> </w:t>
      </w:r>
      <w:r>
        <w:rPr>
          <w:color w:val="231F20"/>
          <w:w w:val="105"/>
          <w:sz w:val="17"/>
        </w:rPr>
        <w:t>INAH</w:t>
      </w:r>
      <w:r>
        <w:rPr>
          <w:color w:val="231F20"/>
          <w:w w:val="105"/>
          <w:sz w:val="21"/>
        </w:rPr>
        <w:t>/</w:t>
      </w:r>
      <w:r>
        <w:rPr>
          <w:color w:val="231F20"/>
          <w:w w:val="105"/>
          <w:sz w:val="17"/>
        </w:rPr>
        <w:t>COLMICH</w:t>
      </w:r>
      <w:r>
        <w:rPr>
          <w:color w:val="231F20"/>
          <w:w w:val="105"/>
          <w:sz w:val="21"/>
        </w:rPr>
        <w:t>.</w:t>
      </w:r>
    </w:p>
    <w:p>
      <w:pPr>
        <w:spacing w:line="261" w:lineRule="auto" w:before="3"/>
        <w:ind w:left="2460" w:right="1828" w:hanging="737"/>
        <w:jc w:val="both"/>
        <w:rPr>
          <w:sz w:val="21"/>
        </w:rPr>
      </w:pPr>
      <w:r>
        <w:rPr>
          <w:color w:val="231F20"/>
          <w:sz w:val="21"/>
        </w:rPr>
        <w:t>Secretaría de Agricultura, Ganadería, Desarrollo Rural, </w:t>
      </w:r>
      <w:r>
        <w:rPr>
          <w:color w:val="231F20"/>
          <w:spacing w:val="-4"/>
          <w:sz w:val="21"/>
        </w:rPr>
        <w:t>Pesca </w:t>
      </w:r>
      <w:r>
        <w:rPr>
          <w:color w:val="231F20"/>
          <w:sz w:val="21"/>
        </w:rPr>
        <w:t>y Alimenta- ción</w:t>
      </w:r>
      <w:r>
        <w:rPr>
          <w:color w:val="231F20"/>
          <w:spacing w:val="-13"/>
          <w:sz w:val="21"/>
        </w:rPr>
        <w:t> </w:t>
      </w:r>
      <w:r>
        <w:rPr>
          <w:color w:val="231F20"/>
          <w:sz w:val="21"/>
        </w:rPr>
        <w:t>(</w:t>
      </w:r>
      <w:r>
        <w:rPr>
          <w:color w:val="231F20"/>
          <w:sz w:val="17"/>
        </w:rPr>
        <w:t>SAGARPA</w:t>
      </w:r>
      <w:r>
        <w:rPr>
          <w:color w:val="231F20"/>
          <w:sz w:val="21"/>
        </w:rPr>
        <w:t>),</w:t>
      </w:r>
      <w:r>
        <w:rPr>
          <w:color w:val="231F20"/>
          <w:spacing w:val="-19"/>
          <w:sz w:val="21"/>
        </w:rPr>
        <w:t> </w:t>
      </w:r>
      <w:r>
        <w:rPr>
          <w:color w:val="231F20"/>
          <w:sz w:val="21"/>
        </w:rPr>
        <w:t>(2012),</w:t>
      </w:r>
      <w:r>
        <w:rPr>
          <w:color w:val="231F20"/>
          <w:spacing w:val="-19"/>
          <w:sz w:val="21"/>
        </w:rPr>
        <w:t> </w:t>
      </w:r>
      <w:r>
        <w:rPr>
          <w:rFonts w:ascii="Arial" w:hAnsi="Arial"/>
          <w:i/>
          <w:sz w:val="21"/>
        </w:rPr>
        <w:t>Estadística</w:t>
      </w:r>
      <w:r>
        <w:rPr>
          <w:rFonts w:ascii="Arial" w:hAnsi="Arial"/>
          <w:i/>
          <w:spacing w:val="-15"/>
          <w:sz w:val="21"/>
        </w:rPr>
        <w:t> </w:t>
      </w:r>
      <w:r>
        <w:rPr>
          <w:rFonts w:ascii="Arial" w:hAnsi="Arial"/>
          <w:i/>
          <w:sz w:val="21"/>
        </w:rPr>
        <w:t>de</w:t>
      </w:r>
      <w:r>
        <w:rPr>
          <w:rFonts w:ascii="Arial" w:hAnsi="Arial"/>
          <w:i/>
          <w:spacing w:val="-15"/>
          <w:sz w:val="21"/>
        </w:rPr>
        <w:t> </w:t>
      </w:r>
      <w:r>
        <w:rPr>
          <w:rFonts w:ascii="Arial" w:hAnsi="Arial"/>
          <w:i/>
          <w:sz w:val="21"/>
        </w:rPr>
        <w:t>la</w:t>
      </w:r>
      <w:r>
        <w:rPr>
          <w:rFonts w:ascii="Arial" w:hAnsi="Arial"/>
          <w:i/>
          <w:spacing w:val="-15"/>
          <w:sz w:val="21"/>
        </w:rPr>
        <w:t> </w:t>
      </w:r>
      <w:r>
        <w:rPr>
          <w:rFonts w:ascii="Arial" w:hAnsi="Arial"/>
          <w:i/>
          <w:sz w:val="21"/>
        </w:rPr>
        <w:t>Producción</w:t>
      </w:r>
      <w:r>
        <w:rPr>
          <w:rFonts w:ascii="Arial" w:hAnsi="Arial"/>
          <w:i/>
          <w:spacing w:val="-19"/>
          <w:sz w:val="21"/>
        </w:rPr>
        <w:t> </w:t>
      </w:r>
      <w:r>
        <w:rPr>
          <w:rFonts w:ascii="Arial" w:hAnsi="Arial"/>
          <w:i/>
          <w:sz w:val="21"/>
        </w:rPr>
        <w:t>Agrícola</w:t>
      </w:r>
      <w:r>
        <w:rPr>
          <w:rFonts w:ascii="Arial" w:hAnsi="Arial"/>
          <w:i/>
          <w:spacing w:val="-15"/>
          <w:sz w:val="21"/>
        </w:rPr>
        <w:t> </w:t>
      </w:r>
      <w:r>
        <w:rPr>
          <w:rFonts w:ascii="Arial" w:hAnsi="Arial"/>
          <w:i/>
          <w:sz w:val="21"/>
        </w:rPr>
        <w:t>2012</w:t>
      </w:r>
      <w:r>
        <w:rPr>
          <w:sz w:val="21"/>
        </w:rPr>
        <w:t>, recuperado de </w:t>
      </w:r>
      <w:hyperlink r:id="rId358">
        <w:r>
          <w:rPr>
            <w:color w:val="231F20"/>
            <w:sz w:val="21"/>
          </w:rPr>
          <w:t>http://www.sagarpa.gob.mx/quienesomos/dato-</w:t>
        </w:r>
      </w:hyperlink>
      <w:r>
        <w:rPr>
          <w:color w:val="231F20"/>
          <w:sz w:val="21"/>
        </w:rPr>
        <w:t> sabiertos/siap/Paginas/estadistica.aspx</w:t>
      </w:r>
    </w:p>
    <w:p>
      <w:pPr>
        <w:tabs>
          <w:tab w:pos="2563" w:val="left" w:leader="none"/>
        </w:tabs>
        <w:spacing w:line="261" w:lineRule="auto" w:before="0"/>
        <w:ind w:left="2460" w:right="1835" w:hanging="738"/>
        <w:jc w:val="both"/>
        <w:rPr>
          <w:sz w:val="21"/>
        </w:rPr>
      </w:pPr>
      <w:r>
        <w:rPr>
          <w:color w:val="231F20"/>
          <w:w w:val="94"/>
          <w:sz w:val="21"/>
          <w:u w:val="single" w:color="221E1F"/>
        </w:rPr>
        <w:t> </w:t>
      </w:r>
      <w:r>
        <w:rPr>
          <w:color w:val="231F20"/>
          <w:sz w:val="21"/>
          <w:u w:val="single" w:color="221E1F"/>
        </w:rPr>
        <w:tab/>
        <w:tab/>
      </w:r>
      <w:r>
        <w:rPr>
          <w:color w:val="231F20"/>
          <w:sz w:val="21"/>
        </w:rPr>
        <w:t> </w:t>
      </w:r>
      <w:r>
        <w:rPr>
          <w:color w:val="231F20"/>
          <w:spacing w:val="-28"/>
          <w:sz w:val="21"/>
        </w:rPr>
        <w:t> </w:t>
      </w:r>
      <w:r>
        <w:rPr>
          <w:color w:val="231F20"/>
          <w:w w:val="105"/>
          <w:sz w:val="21"/>
        </w:rPr>
        <w:t>(2013), </w:t>
      </w:r>
      <w:r>
        <w:rPr>
          <w:rFonts w:ascii="Arial" w:hAnsi="Arial"/>
          <w:i/>
          <w:w w:val="105"/>
          <w:sz w:val="21"/>
        </w:rPr>
        <w:t>Estadística de la Producción Agrícola</w:t>
      </w:r>
      <w:r>
        <w:rPr>
          <w:rFonts w:ascii="Arial" w:hAnsi="Arial"/>
          <w:i/>
          <w:spacing w:val="-31"/>
          <w:w w:val="105"/>
          <w:sz w:val="21"/>
        </w:rPr>
        <w:t> </w:t>
      </w:r>
      <w:r>
        <w:rPr>
          <w:rFonts w:ascii="Arial" w:hAnsi="Arial"/>
          <w:i/>
          <w:w w:val="105"/>
          <w:sz w:val="21"/>
        </w:rPr>
        <w:t>2013</w:t>
      </w:r>
      <w:r>
        <w:rPr>
          <w:w w:val="105"/>
          <w:sz w:val="21"/>
        </w:rPr>
        <w:t>,</w:t>
      </w:r>
      <w:r>
        <w:rPr>
          <w:spacing w:val="-7"/>
          <w:w w:val="105"/>
          <w:sz w:val="21"/>
        </w:rPr>
        <w:t> </w:t>
      </w:r>
      <w:r>
        <w:rPr>
          <w:w w:val="105"/>
          <w:sz w:val="21"/>
        </w:rPr>
        <w:t>recupera-</w:t>
      </w:r>
      <w:r>
        <w:rPr>
          <w:w w:val="96"/>
          <w:sz w:val="21"/>
        </w:rPr>
        <w:t> </w:t>
      </w:r>
      <w:r>
        <w:rPr>
          <w:w w:val="105"/>
          <w:sz w:val="21"/>
        </w:rPr>
        <w:t>do de </w:t>
      </w:r>
      <w:hyperlink r:id="rId359">
        <w:r>
          <w:rPr>
            <w:color w:val="231F20"/>
            <w:w w:val="105"/>
            <w:sz w:val="21"/>
          </w:rPr>
          <w:t>http://www.sagarpa.gob.mx/quienesomos/datosabiertos/</w:t>
        </w:r>
      </w:hyperlink>
      <w:r>
        <w:rPr>
          <w:color w:val="231F20"/>
          <w:w w:val="105"/>
          <w:sz w:val="21"/>
        </w:rPr>
        <w:t> siap/Paginas/estadistica.aspx</w:t>
      </w:r>
    </w:p>
    <w:p>
      <w:pPr>
        <w:tabs>
          <w:tab w:pos="2563" w:val="left" w:leader="none"/>
        </w:tabs>
        <w:spacing w:line="261" w:lineRule="auto" w:before="0"/>
        <w:ind w:left="2460" w:right="1836" w:hanging="737"/>
        <w:jc w:val="both"/>
        <w:rPr>
          <w:sz w:val="21"/>
        </w:rPr>
      </w:pPr>
      <w:r>
        <w:rPr>
          <w:color w:val="231F20"/>
          <w:w w:val="94"/>
          <w:sz w:val="21"/>
          <w:u w:val="single" w:color="221E1F"/>
        </w:rPr>
        <w:t> </w:t>
      </w:r>
      <w:r>
        <w:rPr>
          <w:color w:val="231F20"/>
          <w:sz w:val="21"/>
          <w:u w:val="single" w:color="221E1F"/>
        </w:rPr>
        <w:tab/>
        <w:tab/>
      </w:r>
      <w:r>
        <w:rPr>
          <w:color w:val="231F20"/>
          <w:spacing w:val="12"/>
          <w:sz w:val="21"/>
        </w:rPr>
        <w:t> </w:t>
      </w:r>
      <w:r>
        <w:rPr>
          <w:color w:val="231F20"/>
          <w:w w:val="105"/>
          <w:sz w:val="21"/>
        </w:rPr>
        <w:t>(2015),</w:t>
      </w:r>
      <w:r>
        <w:rPr>
          <w:color w:val="231F20"/>
          <w:spacing w:val="-26"/>
          <w:w w:val="105"/>
          <w:sz w:val="21"/>
        </w:rPr>
        <w:t> </w:t>
      </w:r>
      <w:r>
        <w:rPr>
          <w:rFonts w:ascii="Arial" w:hAnsi="Arial"/>
          <w:i/>
          <w:w w:val="105"/>
          <w:sz w:val="21"/>
        </w:rPr>
        <w:t>Estadística</w:t>
      </w:r>
      <w:r>
        <w:rPr>
          <w:rFonts w:ascii="Arial" w:hAnsi="Arial"/>
          <w:i/>
          <w:spacing w:val="-25"/>
          <w:w w:val="105"/>
          <w:sz w:val="21"/>
        </w:rPr>
        <w:t> </w:t>
      </w:r>
      <w:r>
        <w:rPr>
          <w:rFonts w:ascii="Arial" w:hAnsi="Arial"/>
          <w:i/>
          <w:w w:val="105"/>
          <w:sz w:val="21"/>
        </w:rPr>
        <w:t>de</w:t>
      </w:r>
      <w:r>
        <w:rPr>
          <w:rFonts w:ascii="Arial" w:hAnsi="Arial"/>
          <w:i/>
          <w:spacing w:val="-25"/>
          <w:w w:val="105"/>
          <w:sz w:val="21"/>
        </w:rPr>
        <w:t> </w:t>
      </w:r>
      <w:r>
        <w:rPr>
          <w:rFonts w:ascii="Arial" w:hAnsi="Arial"/>
          <w:i/>
          <w:w w:val="105"/>
          <w:sz w:val="21"/>
        </w:rPr>
        <w:t>la</w:t>
      </w:r>
      <w:r>
        <w:rPr>
          <w:rFonts w:ascii="Arial" w:hAnsi="Arial"/>
          <w:i/>
          <w:spacing w:val="-25"/>
          <w:w w:val="105"/>
          <w:sz w:val="21"/>
        </w:rPr>
        <w:t> </w:t>
      </w:r>
      <w:r>
        <w:rPr>
          <w:rFonts w:ascii="Arial" w:hAnsi="Arial"/>
          <w:i/>
          <w:spacing w:val="-3"/>
          <w:w w:val="105"/>
          <w:sz w:val="21"/>
        </w:rPr>
        <w:t>Producción</w:t>
      </w:r>
      <w:r>
        <w:rPr>
          <w:rFonts w:ascii="Arial" w:hAnsi="Arial"/>
          <w:i/>
          <w:spacing w:val="-28"/>
          <w:w w:val="105"/>
          <w:sz w:val="21"/>
        </w:rPr>
        <w:t> </w:t>
      </w:r>
      <w:r>
        <w:rPr>
          <w:rFonts w:ascii="Arial" w:hAnsi="Arial"/>
          <w:i/>
          <w:w w:val="105"/>
          <w:sz w:val="21"/>
        </w:rPr>
        <w:t>Agrícola</w:t>
      </w:r>
      <w:r>
        <w:rPr>
          <w:rFonts w:ascii="Arial" w:hAnsi="Arial"/>
          <w:i/>
          <w:spacing w:val="-25"/>
          <w:w w:val="105"/>
          <w:sz w:val="21"/>
        </w:rPr>
        <w:t> </w:t>
      </w:r>
      <w:r>
        <w:rPr>
          <w:rFonts w:ascii="Arial" w:hAnsi="Arial"/>
          <w:i/>
          <w:w w:val="105"/>
          <w:sz w:val="21"/>
        </w:rPr>
        <w:t>2015</w:t>
      </w:r>
      <w:r>
        <w:rPr>
          <w:w w:val="105"/>
          <w:sz w:val="21"/>
        </w:rPr>
        <w:t>,</w:t>
      </w:r>
      <w:r>
        <w:rPr>
          <w:spacing w:val="-26"/>
          <w:w w:val="105"/>
          <w:sz w:val="21"/>
        </w:rPr>
        <w:t> </w:t>
      </w:r>
      <w:r>
        <w:rPr>
          <w:spacing w:val="-3"/>
          <w:w w:val="105"/>
          <w:sz w:val="21"/>
        </w:rPr>
        <w:t>recuperado</w:t>
      </w:r>
      <w:r>
        <w:rPr>
          <w:spacing w:val="-2"/>
          <w:w w:val="106"/>
          <w:sz w:val="21"/>
        </w:rPr>
        <w:t> </w:t>
      </w:r>
      <w:r>
        <w:rPr>
          <w:w w:val="105"/>
          <w:sz w:val="21"/>
        </w:rPr>
        <w:t>de </w:t>
      </w:r>
      <w:hyperlink r:id="rId360">
        <w:r>
          <w:rPr>
            <w:color w:val="231F20"/>
            <w:spacing w:val="-4"/>
            <w:w w:val="105"/>
            <w:sz w:val="21"/>
          </w:rPr>
          <w:t>http://www.sagarpa.gob.mx/quienesomos/datosabiertos/siap/</w:t>
        </w:r>
      </w:hyperlink>
      <w:r>
        <w:rPr>
          <w:color w:val="231F20"/>
          <w:spacing w:val="-4"/>
          <w:w w:val="105"/>
          <w:sz w:val="21"/>
        </w:rPr>
        <w:t> </w:t>
      </w:r>
      <w:r>
        <w:rPr>
          <w:color w:val="231F20"/>
          <w:w w:val="105"/>
          <w:sz w:val="21"/>
        </w:rPr>
        <w:t>Paginas/estadistica.aspx</w:t>
      </w:r>
    </w:p>
    <w:p>
      <w:pPr>
        <w:pStyle w:val="BodyText"/>
        <w:rPr>
          <w:sz w:val="20"/>
        </w:rPr>
      </w:pPr>
    </w:p>
    <w:p>
      <w:pPr>
        <w:pStyle w:val="BodyText"/>
        <w:rPr>
          <w:sz w:val="20"/>
        </w:rPr>
      </w:pPr>
    </w:p>
    <w:p>
      <w:pPr>
        <w:pStyle w:val="BodyText"/>
        <w:rPr>
          <w:sz w:val="20"/>
        </w:rPr>
      </w:pPr>
    </w:p>
    <w:p>
      <w:pPr>
        <w:pStyle w:val="BodyText"/>
        <w:spacing w:before="10"/>
        <w:rPr>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48576" from="131.551193pt,3.753715pt" to="131.551193pt,39.556114pt" stroked="true" strokeweight=".35pt" strokecolor="#231f20">
            <w10:wrap type="none"/>
          </v:line>
        </w:pict>
      </w:r>
      <w:r>
        <w:rPr/>
        <w:pict>
          <v:line style="position:absolute;mso-position-horizontal-relative:page;mso-position-vertical-relative:paragraph;z-index:-448504" from="15pt,39.555916pt" to="0pt,39.555916pt" stroked="true" strokeweight=".25pt" strokecolor="#000000">
            <w10:wrap type="none"/>
          </v:line>
        </w:pict>
      </w:r>
      <w:r>
        <w:rPr/>
        <w:pict>
          <v:line style="position:absolute;mso-position-horizontal-relative:page;mso-position-vertical-relative:paragraph;z-index:41704" from="508.890015pt,39.555916pt" to="523.890015pt,39.555916pt" stroked="true" strokeweight=".25pt" strokecolor="#000000">
            <w10:wrap type="none"/>
          </v:line>
        </w:pict>
      </w:r>
      <w:r>
        <w:rPr>
          <w:rFonts w:ascii="Arial" w:hAnsi="Arial"/>
          <w:color w:val="414042"/>
          <w:position w:val="-5"/>
          <w:sz w:val="20"/>
        </w:rPr>
        <w:t>348</w:t>
        <w:tab/>
      </w:r>
      <w:r>
        <w:rPr>
          <w:rFonts w:ascii="Calibri" w:hAnsi="Calibri"/>
          <w:color w:val="6D6E71"/>
          <w:sz w:val="15"/>
        </w:rPr>
        <w:t>Daniela Macedo Garduño, Gladys Rivera Herrejón y Francisco Herrera  </w:t>
      </w:r>
      <w:r>
        <w:rPr>
          <w:rFonts w:ascii="Calibri" w:hAnsi="Calibri"/>
          <w:color w:val="6D6E71"/>
          <w:spacing w:val="1"/>
          <w:sz w:val="15"/>
        </w:rPr>
        <w:t> </w:t>
      </w:r>
      <w:r>
        <w:rPr>
          <w:rFonts w:ascii="Calibri" w:hAnsi="Calibri"/>
          <w:color w:val="6D6E71"/>
          <w:spacing w:val="-3"/>
          <w:sz w:val="15"/>
        </w:rPr>
        <w:t>Tapia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1897" w:right="0" w:firstLine="0"/>
        <w:jc w:val="left"/>
        <w:rPr>
          <w:rFonts w:ascii="Arial" w:hAnsi="Arial"/>
          <w:sz w:val="20"/>
        </w:rPr>
      </w:pPr>
      <w:r>
        <w:rPr/>
        <w:pict>
          <v:line style="position:absolute;mso-position-horizontal-relative:page;mso-position-vertical-relative:paragraph;z-index:-448456" from="405.061005pt,-18.554295pt" to="405.061005pt,16.311579pt" stroked="true" strokeweight=".35pt" strokecolor="#231f20">
            <w10:wrap type="none"/>
          </v:line>
        </w:pict>
      </w:r>
      <w:r>
        <w:rPr/>
        <w:pict>
          <v:line style="position:absolute;mso-position-horizontal-relative:page;mso-position-vertical-relative:paragraph;z-index:41752" from="15pt,-18.554522pt" to="0pt,-18.554522pt" stroked="true" strokeweight=".25pt" strokecolor="#000000">
            <w10:wrap type="none"/>
          </v:line>
        </w:pict>
      </w:r>
      <w:r>
        <w:rPr/>
        <w:pict>
          <v:line style="position:absolute;mso-position-horizontal-relative:page;mso-position-vertical-relative:paragraph;z-index:41776" from="508.890015pt,-18.554522pt" to="523.890015pt,-18.554522pt" stroked="true" strokeweight=".25pt" strokecolor="#000000">
            <w10:wrap type="none"/>
          </v:line>
        </w:pict>
      </w:r>
      <w:r>
        <w:rPr>
          <w:rFonts w:ascii="Lucida Sans Unicode" w:hAnsi="Lucida Sans Unicode"/>
          <w:color w:val="6D6E71"/>
          <w:w w:val="105"/>
          <w:sz w:val="14"/>
        </w:rPr>
        <w:t>Migración</w:t>
      </w:r>
      <w:r>
        <w:rPr>
          <w:rFonts w:ascii="Lucida Sans Unicode" w:hAnsi="Lucida Sans Unicode"/>
          <w:color w:val="6D6E71"/>
          <w:spacing w:val="-13"/>
          <w:w w:val="105"/>
          <w:sz w:val="14"/>
        </w:rPr>
        <w:t> </w:t>
      </w:r>
      <w:r>
        <w:rPr>
          <w:rFonts w:ascii="Lucida Sans Unicode" w:hAnsi="Lucida Sans Unicode"/>
          <w:color w:val="6D6E71"/>
          <w:w w:val="105"/>
          <w:sz w:val="14"/>
        </w:rPr>
        <w:t>internacional</w:t>
      </w:r>
      <w:r>
        <w:rPr>
          <w:rFonts w:ascii="Lucida Sans Unicode" w:hAnsi="Lucida Sans Unicode"/>
          <w:color w:val="6D6E71"/>
          <w:spacing w:val="-13"/>
          <w:w w:val="105"/>
          <w:sz w:val="14"/>
        </w:rPr>
        <w:t> </w:t>
      </w:r>
      <w:r>
        <w:rPr>
          <w:rFonts w:ascii="Lucida Sans Unicode" w:hAnsi="Lucida Sans Unicode"/>
          <w:color w:val="6D6E71"/>
          <w:w w:val="105"/>
          <w:sz w:val="14"/>
        </w:rPr>
        <w:t>y</w:t>
      </w:r>
      <w:r>
        <w:rPr>
          <w:rFonts w:ascii="Lucida Sans Unicode" w:hAnsi="Lucida Sans Unicode"/>
          <w:color w:val="6D6E71"/>
          <w:spacing w:val="-13"/>
          <w:w w:val="105"/>
          <w:sz w:val="14"/>
        </w:rPr>
        <w:t> </w:t>
      </w:r>
      <w:r>
        <w:rPr>
          <w:rFonts w:ascii="Lucida Sans Unicode" w:hAnsi="Lucida Sans Unicode"/>
          <w:color w:val="6D6E71"/>
          <w:w w:val="105"/>
          <w:sz w:val="14"/>
        </w:rPr>
        <w:t>estrategias</w:t>
      </w:r>
      <w:r>
        <w:rPr>
          <w:rFonts w:ascii="Lucida Sans Unicode" w:hAnsi="Lucida Sans Unicode"/>
          <w:color w:val="6D6E71"/>
          <w:spacing w:val="-13"/>
          <w:w w:val="105"/>
          <w:sz w:val="14"/>
        </w:rPr>
        <w:t> </w:t>
      </w:r>
      <w:r>
        <w:rPr>
          <w:rFonts w:ascii="Lucida Sans Unicode" w:hAnsi="Lucida Sans Unicode"/>
          <w:color w:val="6D6E71"/>
          <w:w w:val="105"/>
          <w:sz w:val="14"/>
        </w:rPr>
        <w:t>de</w:t>
      </w:r>
      <w:r>
        <w:rPr>
          <w:rFonts w:ascii="Lucida Sans Unicode" w:hAnsi="Lucida Sans Unicode"/>
          <w:color w:val="6D6E71"/>
          <w:spacing w:val="-13"/>
          <w:w w:val="105"/>
          <w:sz w:val="14"/>
        </w:rPr>
        <w:t> </w:t>
      </w:r>
      <w:r>
        <w:rPr>
          <w:rFonts w:ascii="Lucida Sans Unicode" w:hAnsi="Lucida Sans Unicode"/>
          <w:color w:val="6D6E71"/>
          <w:w w:val="105"/>
          <w:sz w:val="14"/>
        </w:rPr>
        <w:t>subsistencia</w:t>
      </w:r>
      <w:r>
        <w:rPr>
          <w:rFonts w:ascii="Lucida Sans Unicode" w:hAnsi="Lucida Sans Unicode"/>
          <w:color w:val="6D6E71"/>
          <w:spacing w:val="-13"/>
          <w:w w:val="105"/>
          <w:sz w:val="14"/>
        </w:rPr>
        <w:t> </w:t>
      </w:r>
      <w:r>
        <w:rPr>
          <w:rFonts w:ascii="Lucida Sans Unicode" w:hAnsi="Lucida Sans Unicode"/>
          <w:color w:val="6D6E71"/>
          <w:w w:val="105"/>
          <w:sz w:val="14"/>
        </w:rPr>
        <w:t>caMpesina</w:t>
      </w:r>
      <w:r>
        <w:rPr>
          <w:rFonts w:ascii="Lucida Sans Unicode" w:hAnsi="Lucida Sans Unicode"/>
          <w:color w:val="6D6E71"/>
          <w:spacing w:val="-13"/>
          <w:w w:val="105"/>
          <w:sz w:val="14"/>
        </w:rPr>
        <w:t> </w:t>
      </w:r>
      <w:r>
        <w:rPr>
          <w:rFonts w:ascii="Lucida Sans Unicode" w:hAnsi="Lucida Sans Unicode"/>
          <w:color w:val="6D6E71"/>
          <w:w w:val="105"/>
          <w:sz w:val="14"/>
        </w:rPr>
        <w:t>en</w:t>
      </w:r>
      <w:r>
        <w:rPr>
          <w:rFonts w:ascii="Lucida Sans Unicode" w:hAnsi="Lucida Sans Unicode"/>
          <w:color w:val="6D6E71"/>
          <w:spacing w:val="-13"/>
          <w:w w:val="105"/>
          <w:sz w:val="14"/>
        </w:rPr>
        <w:t> </w:t>
      </w:r>
      <w:r>
        <w:rPr>
          <w:rFonts w:ascii="Lucida Sans Unicode" w:hAnsi="Lucida Sans Unicode"/>
          <w:color w:val="6D6E71"/>
          <w:w w:val="105"/>
          <w:sz w:val="14"/>
        </w:rPr>
        <w:t>santiago,</w:t>
      </w:r>
      <w:r>
        <w:rPr>
          <w:rFonts w:ascii="Lucida Sans Unicode" w:hAnsi="Lucida Sans Unicode"/>
          <w:color w:val="6D6E71"/>
          <w:spacing w:val="-13"/>
          <w:w w:val="105"/>
          <w:sz w:val="14"/>
        </w:rPr>
        <w:t> </w:t>
      </w:r>
      <w:r>
        <w:rPr>
          <w:rFonts w:ascii="Lucida Sans Unicode" w:hAnsi="Lucida Sans Unicode"/>
          <w:color w:val="6D6E71"/>
          <w:w w:val="105"/>
          <w:sz w:val="14"/>
        </w:rPr>
        <w:t>aMatepec</w:t>
      </w:r>
      <w:r>
        <w:rPr>
          <w:rFonts w:ascii="Arial" w:hAnsi="Arial"/>
          <w:color w:val="414042"/>
          <w:w w:val="105"/>
          <w:position w:val="-3"/>
          <w:sz w:val="20"/>
        </w:rPr>
        <w:tab/>
        <w:t>349</w:t>
      </w:r>
    </w:p>
    <w:p>
      <w:pPr>
        <w:pStyle w:val="BodyText"/>
        <w:rPr>
          <w:rFonts w:ascii="Arial"/>
          <w:sz w:val="20"/>
        </w:rPr>
      </w:pPr>
    </w:p>
    <w:p>
      <w:pPr>
        <w:pStyle w:val="BodyText"/>
        <w:rPr>
          <w:rFonts w:ascii="Arial"/>
          <w:sz w:val="20"/>
        </w:rPr>
      </w:pPr>
    </w:p>
    <w:p>
      <w:pPr>
        <w:spacing w:line="259" w:lineRule="auto" w:before="176"/>
        <w:ind w:left="2574" w:right="1715" w:hanging="738"/>
        <w:jc w:val="both"/>
        <w:rPr>
          <w:sz w:val="21"/>
        </w:rPr>
      </w:pPr>
      <w:r>
        <w:rPr>
          <w:color w:val="231F20"/>
          <w:sz w:val="21"/>
        </w:rPr>
        <w:t>Salas, Renato, (2012), </w:t>
      </w:r>
      <w:r>
        <w:rPr>
          <w:rFonts w:ascii="Arial" w:hAnsi="Arial"/>
          <w:i/>
          <w:color w:val="231F20"/>
          <w:sz w:val="21"/>
        </w:rPr>
        <w:t>Migración Internacional. Actividades Agrícolas y </w:t>
      </w:r>
      <w:r>
        <w:rPr>
          <w:rFonts w:ascii="Arial" w:hAnsi="Arial"/>
          <w:i/>
          <w:color w:val="231F20"/>
          <w:sz w:val="21"/>
        </w:rPr>
        <w:t>Distribución del Ingreso de San Miguel del Valle</w:t>
      </w:r>
      <w:r>
        <w:rPr>
          <w:color w:val="231F20"/>
          <w:sz w:val="21"/>
        </w:rPr>
        <w:t>, </w:t>
      </w:r>
      <w:r>
        <w:rPr>
          <w:rFonts w:ascii="Arial" w:hAnsi="Arial"/>
          <w:i/>
          <w:color w:val="231F20"/>
          <w:sz w:val="21"/>
        </w:rPr>
        <w:t>Oaxaca</w:t>
      </w:r>
      <w:r>
        <w:rPr>
          <w:color w:val="231F20"/>
          <w:sz w:val="21"/>
        </w:rPr>
        <w:t>, Toluca, México: </w:t>
      </w:r>
      <w:r>
        <w:rPr>
          <w:color w:val="231F20"/>
          <w:sz w:val="17"/>
        </w:rPr>
        <w:t>UAEM</w:t>
      </w:r>
      <w:r>
        <w:rPr>
          <w:color w:val="231F20"/>
          <w:sz w:val="21"/>
        </w:rPr>
        <w:t>/</w:t>
      </w:r>
      <w:r>
        <w:rPr>
          <w:color w:val="231F20"/>
          <w:sz w:val="17"/>
        </w:rPr>
        <w:t>CICS</w:t>
      </w:r>
      <w:r>
        <w:rPr>
          <w:color w:val="231F20"/>
          <w:sz w:val="21"/>
        </w:rPr>
        <w:t>y</w:t>
      </w:r>
      <w:r>
        <w:rPr>
          <w:color w:val="231F20"/>
          <w:sz w:val="17"/>
        </w:rPr>
        <w:t>H</w:t>
      </w:r>
      <w:r>
        <w:rPr>
          <w:color w:val="231F20"/>
          <w:sz w:val="21"/>
        </w:rPr>
        <w:t>.</w:t>
      </w:r>
    </w:p>
    <w:p>
      <w:pPr>
        <w:spacing w:line="259" w:lineRule="auto" w:before="0"/>
        <w:ind w:left="2574" w:right="1715" w:hanging="738"/>
        <w:jc w:val="both"/>
        <w:rPr>
          <w:sz w:val="21"/>
        </w:rPr>
      </w:pPr>
      <w:r>
        <w:rPr>
          <w:color w:val="231F20"/>
          <w:w w:val="105"/>
          <w:sz w:val="21"/>
        </w:rPr>
        <w:t>Salas,</w:t>
      </w:r>
      <w:r>
        <w:rPr>
          <w:color w:val="231F20"/>
          <w:spacing w:val="-16"/>
          <w:w w:val="105"/>
          <w:sz w:val="21"/>
        </w:rPr>
        <w:t> </w:t>
      </w:r>
      <w:r>
        <w:rPr>
          <w:color w:val="231F20"/>
          <w:w w:val="105"/>
          <w:sz w:val="21"/>
        </w:rPr>
        <w:t>Renato</w:t>
      </w:r>
      <w:r>
        <w:rPr>
          <w:color w:val="231F20"/>
          <w:spacing w:val="-12"/>
          <w:w w:val="105"/>
          <w:sz w:val="21"/>
        </w:rPr>
        <w:t> </w:t>
      </w:r>
      <w:r>
        <w:rPr>
          <w:color w:val="231F20"/>
          <w:w w:val="105"/>
          <w:sz w:val="21"/>
        </w:rPr>
        <w:t>y</w:t>
      </w:r>
      <w:r>
        <w:rPr>
          <w:color w:val="231F20"/>
          <w:spacing w:val="-12"/>
          <w:w w:val="105"/>
          <w:sz w:val="21"/>
        </w:rPr>
        <w:t> </w:t>
      </w:r>
      <w:r>
        <w:rPr>
          <w:color w:val="231F20"/>
          <w:w w:val="105"/>
          <w:sz w:val="21"/>
        </w:rPr>
        <w:t>Cruz,</w:t>
      </w:r>
      <w:r>
        <w:rPr>
          <w:color w:val="231F20"/>
          <w:spacing w:val="-16"/>
          <w:w w:val="105"/>
          <w:sz w:val="21"/>
        </w:rPr>
        <w:t> </w:t>
      </w:r>
      <w:r>
        <w:rPr>
          <w:color w:val="231F20"/>
          <w:w w:val="105"/>
          <w:sz w:val="21"/>
        </w:rPr>
        <w:t>Miguel,</w:t>
      </w:r>
      <w:r>
        <w:rPr>
          <w:color w:val="231F20"/>
          <w:spacing w:val="-16"/>
          <w:w w:val="105"/>
          <w:sz w:val="21"/>
        </w:rPr>
        <w:t> </w:t>
      </w:r>
      <w:r>
        <w:rPr>
          <w:color w:val="231F20"/>
          <w:w w:val="105"/>
          <w:sz w:val="21"/>
        </w:rPr>
        <w:t>(2014),</w:t>
      </w:r>
      <w:r>
        <w:rPr>
          <w:color w:val="231F20"/>
          <w:spacing w:val="-16"/>
          <w:w w:val="105"/>
          <w:sz w:val="21"/>
        </w:rPr>
        <w:t> </w:t>
      </w:r>
      <w:r>
        <w:rPr>
          <w:rFonts w:ascii="Arial" w:hAnsi="Arial"/>
          <w:i/>
          <w:color w:val="231F20"/>
          <w:w w:val="105"/>
          <w:sz w:val="21"/>
        </w:rPr>
        <w:t>Migrantes</w:t>
      </w:r>
      <w:r>
        <w:rPr>
          <w:rFonts w:ascii="Arial" w:hAnsi="Arial"/>
          <w:i/>
          <w:color w:val="231F20"/>
          <w:spacing w:val="-14"/>
          <w:w w:val="105"/>
          <w:sz w:val="21"/>
        </w:rPr>
        <w:t> </w:t>
      </w:r>
      <w:r>
        <w:rPr>
          <w:rFonts w:ascii="Arial" w:hAnsi="Arial"/>
          <w:i/>
          <w:color w:val="231F20"/>
          <w:w w:val="105"/>
          <w:sz w:val="21"/>
        </w:rPr>
        <w:t>retornados,</w:t>
      </w:r>
      <w:r>
        <w:rPr>
          <w:rFonts w:ascii="Arial" w:hAnsi="Arial"/>
          <w:i/>
          <w:color w:val="231F20"/>
          <w:spacing w:val="-19"/>
          <w:w w:val="105"/>
          <w:sz w:val="21"/>
        </w:rPr>
        <w:t> </w:t>
      </w:r>
      <w:r>
        <w:rPr>
          <w:rFonts w:ascii="Arial" w:hAnsi="Arial"/>
          <w:i/>
          <w:color w:val="231F20"/>
          <w:w w:val="105"/>
          <w:sz w:val="21"/>
        </w:rPr>
        <w:t>actividades </w:t>
      </w:r>
      <w:r>
        <w:rPr>
          <w:rFonts w:ascii="Arial" w:hAnsi="Arial"/>
          <w:i/>
          <w:color w:val="231F20"/>
          <w:w w:val="105"/>
          <w:sz w:val="21"/>
        </w:rPr>
        <w:t>laborales</w:t>
      </w:r>
      <w:r>
        <w:rPr>
          <w:rFonts w:ascii="Arial" w:hAnsi="Arial"/>
          <w:i/>
          <w:color w:val="231F20"/>
          <w:spacing w:val="-34"/>
          <w:w w:val="105"/>
          <w:sz w:val="21"/>
        </w:rPr>
        <w:t> </w:t>
      </w:r>
      <w:r>
        <w:rPr>
          <w:rFonts w:ascii="Arial" w:hAnsi="Arial"/>
          <w:i/>
          <w:color w:val="231F20"/>
          <w:w w:val="105"/>
          <w:sz w:val="21"/>
        </w:rPr>
        <w:t>y</w:t>
      </w:r>
      <w:r>
        <w:rPr>
          <w:rFonts w:ascii="Arial" w:hAnsi="Arial"/>
          <w:i/>
          <w:color w:val="231F20"/>
          <w:spacing w:val="-34"/>
          <w:w w:val="105"/>
          <w:sz w:val="21"/>
        </w:rPr>
        <w:t> </w:t>
      </w:r>
      <w:r>
        <w:rPr>
          <w:rFonts w:ascii="Arial" w:hAnsi="Arial"/>
          <w:i/>
          <w:color w:val="231F20"/>
          <w:w w:val="105"/>
          <w:sz w:val="21"/>
        </w:rPr>
        <w:t>nuevas</w:t>
      </w:r>
      <w:r>
        <w:rPr>
          <w:rFonts w:ascii="Arial" w:hAnsi="Arial"/>
          <w:i/>
          <w:color w:val="231F20"/>
          <w:spacing w:val="-34"/>
          <w:w w:val="105"/>
          <w:sz w:val="21"/>
        </w:rPr>
        <w:t> </w:t>
      </w:r>
      <w:r>
        <w:rPr>
          <w:rFonts w:ascii="Arial" w:hAnsi="Arial"/>
          <w:i/>
          <w:color w:val="231F20"/>
          <w:w w:val="105"/>
          <w:sz w:val="21"/>
        </w:rPr>
        <w:t>habilidades</w:t>
      </w:r>
      <w:r>
        <w:rPr>
          <w:rFonts w:ascii="Arial" w:hAnsi="Arial"/>
          <w:i/>
          <w:color w:val="231F20"/>
          <w:spacing w:val="-34"/>
          <w:w w:val="105"/>
          <w:sz w:val="21"/>
        </w:rPr>
        <w:t> </w:t>
      </w:r>
      <w:r>
        <w:rPr>
          <w:rFonts w:ascii="Arial" w:hAnsi="Arial"/>
          <w:i/>
          <w:color w:val="231F20"/>
          <w:w w:val="105"/>
          <w:sz w:val="21"/>
        </w:rPr>
        <w:t>adquiridas</w:t>
      </w:r>
      <w:r>
        <w:rPr>
          <w:rFonts w:ascii="Arial" w:hAnsi="Arial"/>
          <w:i/>
          <w:color w:val="231F20"/>
          <w:spacing w:val="-34"/>
          <w:w w:val="105"/>
          <w:sz w:val="21"/>
        </w:rPr>
        <w:t> </w:t>
      </w:r>
      <w:r>
        <w:rPr>
          <w:rFonts w:ascii="Arial" w:hAnsi="Arial"/>
          <w:i/>
          <w:color w:val="231F20"/>
          <w:w w:val="105"/>
          <w:sz w:val="21"/>
        </w:rPr>
        <w:t>en</w:t>
      </w:r>
      <w:r>
        <w:rPr>
          <w:rFonts w:ascii="Arial" w:hAnsi="Arial"/>
          <w:i/>
          <w:color w:val="231F20"/>
          <w:spacing w:val="-34"/>
          <w:w w:val="105"/>
          <w:sz w:val="21"/>
        </w:rPr>
        <w:t> </w:t>
      </w:r>
      <w:r>
        <w:rPr>
          <w:rFonts w:ascii="Arial" w:hAnsi="Arial"/>
          <w:i/>
          <w:color w:val="231F20"/>
          <w:w w:val="105"/>
          <w:sz w:val="21"/>
        </w:rPr>
        <w:t>San</w:t>
      </w:r>
      <w:r>
        <w:rPr>
          <w:rFonts w:ascii="Arial" w:hAnsi="Arial"/>
          <w:i/>
          <w:color w:val="231F20"/>
          <w:spacing w:val="-34"/>
          <w:w w:val="105"/>
          <w:sz w:val="21"/>
        </w:rPr>
        <w:t> </w:t>
      </w:r>
      <w:r>
        <w:rPr>
          <w:rFonts w:ascii="Arial" w:hAnsi="Arial"/>
          <w:i/>
          <w:color w:val="231F20"/>
          <w:w w:val="105"/>
          <w:sz w:val="21"/>
        </w:rPr>
        <w:t>Miguel</w:t>
      </w:r>
      <w:r>
        <w:rPr>
          <w:rFonts w:ascii="Arial" w:hAnsi="Arial"/>
          <w:i/>
          <w:color w:val="231F20"/>
          <w:spacing w:val="-34"/>
          <w:w w:val="105"/>
          <w:sz w:val="21"/>
        </w:rPr>
        <w:t> </w:t>
      </w:r>
      <w:r>
        <w:rPr>
          <w:rFonts w:ascii="Arial" w:hAnsi="Arial"/>
          <w:i/>
          <w:color w:val="231F20"/>
          <w:w w:val="105"/>
          <w:sz w:val="21"/>
        </w:rPr>
        <w:t>Coatlán</w:t>
      </w:r>
      <w:r>
        <w:rPr>
          <w:color w:val="231F20"/>
          <w:w w:val="105"/>
          <w:sz w:val="21"/>
        </w:rPr>
        <w:t>, </w:t>
      </w:r>
      <w:r>
        <w:rPr>
          <w:rFonts w:ascii="Arial" w:hAnsi="Arial"/>
          <w:i/>
          <w:color w:val="231F20"/>
          <w:sz w:val="21"/>
        </w:rPr>
        <w:t>Oaxaca</w:t>
      </w:r>
      <w:r>
        <w:rPr>
          <w:color w:val="231F20"/>
          <w:sz w:val="21"/>
        </w:rPr>
        <w:t>,</w:t>
      </w:r>
      <w:r>
        <w:rPr>
          <w:color w:val="231F20"/>
          <w:spacing w:val="-24"/>
          <w:sz w:val="21"/>
        </w:rPr>
        <w:t> </w:t>
      </w:r>
      <w:r>
        <w:rPr>
          <w:color w:val="231F20"/>
          <w:sz w:val="21"/>
        </w:rPr>
        <w:t>Puebla,</w:t>
      </w:r>
      <w:r>
        <w:rPr>
          <w:color w:val="231F20"/>
          <w:spacing w:val="-24"/>
          <w:sz w:val="21"/>
        </w:rPr>
        <w:t> </w:t>
      </w:r>
      <w:r>
        <w:rPr>
          <w:color w:val="231F20"/>
          <w:sz w:val="21"/>
        </w:rPr>
        <w:t>México:</w:t>
      </w:r>
      <w:r>
        <w:rPr>
          <w:color w:val="231F20"/>
          <w:spacing w:val="-20"/>
          <w:sz w:val="21"/>
        </w:rPr>
        <w:t> </w:t>
      </w:r>
      <w:r>
        <w:rPr>
          <w:color w:val="231F20"/>
          <w:sz w:val="17"/>
        </w:rPr>
        <w:t>UPAEP</w:t>
      </w:r>
      <w:r>
        <w:rPr>
          <w:color w:val="231F20"/>
          <w:sz w:val="21"/>
        </w:rPr>
        <w:t>.</w:t>
      </w:r>
    </w:p>
    <w:p>
      <w:pPr>
        <w:pStyle w:val="BodyText"/>
        <w:spacing w:line="261" w:lineRule="auto" w:before="3"/>
        <w:ind w:left="2574" w:right="1715" w:hanging="737"/>
        <w:jc w:val="both"/>
      </w:pPr>
      <w:r>
        <w:rPr>
          <w:color w:val="231F20"/>
          <w:w w:val="105"/>
        </w:rPr>
        <w:t>Secretaría</w:t>
      </w:r>
      <w:r>
        <w:rPr>
          <w:color w:val="231F20"/>
          <w:spacing w:val="-27"/>
          <w:w w:val="105"/>
        </w:rPr>
        <w:t> </w:t>
      </w:r>
      <w:r>
        <w:rPr>
          <w:color w:val="231F20"/>
          <w:w w:val="105"/>
        </w:rPr>
        <w:t>de</w:t>
      </w:r>
      <w:r>
        <w:rPr>
          <w:color w:val="231F20"/>
          <w:spacing w:val="-27"/>
          <w:w w:val="105"/>
        </w:rPr>
        <w:t> </w:t>
      </w:r>
      <w:r>
        <w:rPr>
          <w:color w:val="231F20"/>
          <w:w w:val="105"/>
        </w:rPr>
        <w:t>Medio</w:t>
      </w:r>
      <w:r>
        <w:rPr>
          <w:color w:val="231F20"/>
          <w:spacing w:val="-29"/>
          <w:w w:val="105"/>
        </w:rPr>
        <w:t> </w:t>
      </w:r>
      <w:r>
        <w:rPr>
          <w:color w:val="231F20"/>
          <w:w w:val="105"/>
        </w:rPr>
        <w:t>Ambiente</w:t>
      </w:r>
      <w:r>
        <w:rPr>
          <w:color w:val="231F20"/>
          <w:spacing w:val="-27"/>
          <w:w w:val="105"/>
        </w:rPr>
        <w:t> </w:t>
      </w:r>
      <w:r>
        <w:rPr>
          <w:color w:val="231F20"/>
          <w:w w:val="105"/>
        </w:rPr>
        <w:t>y</w:t>
      </w:r>
      <w:r>
        <w:rPr>
          <w:color w:val="231F20"/>
          <w:spacing w:val="-27"/>
          <w:w w:val="105"/>
        </w:rPr>
        <w:t> </w:t>
      </w:r>
      <w:r>
        <w:rPr>
          <w:color w:val="231F20"/>
          <w:w w:val="105"/>
        </w:rPr>
        <w:t>Recursos</w:t>
      </w:r>
      <w:r>
        <w:rPr>
          <w:color w:val="231F20"/>
          <w:spacing w:val="-27"/>
          <w:w w:val="105"/>
        </w:rPr>
        <w:t> </w:t>
      </w:r>
      <w:r>
        <w:rPr>
          <w:color w:val="231F20"/>
          <w:w w:val="105"/>
        </w:rPr>
        <w:t>Naturales</w:t>
      </w:r>
      <w:r>
        <w:rPr>
          <w:color w:val="231F20"/>
          <w:spacing w:val="-27"/>
          <w:w w:val="105"/>
        </w:rPr>
        <w:t> </w:t>
      </w:r>
      <w:r>
        <w:rPr>
          <w:color w:val="231F20"/>
          <w:w w:val="105"/>
        </w:rPr>
        <w:t>(</w:t>
      </w:r>
      <w:r>
        <w:rPr>
          <w:color w:val="231F20"/>
          <w:w w:val="105"/>
          <w:sz w:val="17"/>
        </w:rPr>
        <w:t>SEMARNAT</w:t>
      </w:r>
      <w:r>
        <w:rPr>
          <w:color w:val="231F20"/>
          <w:w w:val="105"/>
        </w:rPr>
        <w:t>),</w:t>
      </w:r>
      <w:r>
        <w:rPr>
          <w:color w:val="231F20"/>
          <w:spacing w:val="-30"/>
          <w:w w:val="105"/>
        </w:rPr>
        <w:t> </w:t>
      </w:r>
      <w:r>
        <w:rPr>
          <w:color w:val="231F20"/>
          <w:w w:val="105"/>
        </w:rPr>
        <w:t>(2015), </w:t>
      </w:r>
      <w:r>
        <w:rPr>
          <w:color w:val="231F20"/>
          <w:spacing w:val="-3"/>
          <w:w w:val="105"/>
        </w:rPr>
        <w:t>“Suelos”, </w:t>
      </w:r>
      <w:r>
        <w:rPr>
          <w:color w:val="231F20"/>
          <w:w w:val="105"/>
        </w:rPr>
        <w:t>recuperado de </w:t>
      </w:r>
      <w:hyperlink r:id="rId362">
        <w:r>
          <w:rPr>
            <w:color w:val="231F20"/>
            <w:w w:val="105"/>
          </w:rPr>
          <w:t>http://app1.semarnat.gob.mx/dgeia/in-</w:t>
        </w:r>
      </w:hyperlink>
      <w:r>
        <w:rPr>
          <w:color w:val="231F20"/>
          <w:w w:val="105"/>
        </w:rPr>
        <w:t> forme_04/03_suelos/index_suelos.html</w:t>
      </w:r>
    </w:p>
    <w:p>
      <w:pPr>
        <w:pStyle w:val="BodyText"/>
        <w:spacing w:before="1"/>
        <w:ind w:left="1837"/>
      </w:pPr>
      <w:r>
        <w:rPr>
          <w:color w:val="231F20"/>
          <w:w w:val="105"/>
        </w:rPr>
        <w:t>Staller, Karen, (2010), “Technology and Inquiry: Future, Present and Past”,</w:t>
      </w:r>
    </w:p>
    <w:p>
      <w:pPr>
        <w:spacing w:before="19"/>
        <w:ind w:left="2574" w:right="0" w:firstLine="0"/>
        <w:jc w:val="left"/>
        <w:rPr>
          <w:sz w:val="21"/>
        </w:rPr>
      </w:pPr>
      <w:r>
        <w:rPr>
          <w:rFonts w:ascii="Arial" w:hAnsi="Arial"/>
          <w:i/>
          <w:color w:val="231F20"/>
          <w:sz w:val="21"/>
        </w:rPr>
        <w:t>Qualitative Social Work</w:t>
      </w:r>
      <w:r>
        <w:rPr>
          <w:color w:val="231F20"/>
          <w:sz w:val="21"/>
        </w:rPr>
        <w:t>, vol. 9, núm. 2.</w:t>
      </w:r>
    </w:p>
    <w:p>
      <w:pPr>
        <w:pStyle w:val="BodyText"/>
        <w:spacing w:line="261" w:lineRule="auto" w:before="22"/>
        <w:ind w:left="2574" w:right="1715" w:hanging="738"/>
        <w:jc w:val="both"/>
      </w:pPr>
      <w:r>
        <w:rPr>
          <w:color w:val="231F20"/>
          <w:w w:val="105"/>
        </w:rPr>
        <w:t>Stark,</w:t>
      </w:r>
      <w:r>
        <w:rPr>
          <w:color w:val="231F20"/>
          <w:spacing w:val="-20"/>
          <w:w w:val="105"/>
        </w:rPr>
        <w:t> </w:t>
      </w:r>
      <w:r>
        <w:rPr>
          <w:color w:val="231F20"/>
          <w:w w:val="105"/>
        </w:rPr>
        <w:t>Oded,</w:t>
      </w:r>
      <w:r>
        <w:rPr>
          <w:color w:val="231F20"/>
          <w:spacing w:val="-20"/>
          <w:w w:val="105"/>
        </w:rPr>
        <w:t> </w:t>
      </w:r>
      <w:r>
        <w:rPr>
          <w:color w:val="231F20"/>
          <w:w w:val="105"/>
        </w:rPr>
        <w:t>(1982),</w:t>
      </w:r>
      <w:r>
        <w:rPr>
          <w:color w:val="231F20"/>
          <w:spacing w:val="-20"/>
          <w:w w:val="105"/>
        </w:rPr>
        <w:t> </w:t>
      </w:r>
      <w:r>
        <w:rPr>
          <w:color w:val="231F20"/>
          <w:w w:val="105"/>
        </w:rPr>
        <w:t>“Research</w:t>
      </w:r>
      <w:r>
        <w:rPr>
          <w:color w:val="231F20"/>
          <w:spacing w:val="-16"/>
          <w:w w:val="105"/>
        </w:rPr>
        <w:t> </w:t>
      </w:r>
      <w:r>
        <w:rPr>
          <w:color w:val="231F20"/>
          <w:w w:val="105"/>
        </w:rPr>
        <w:t>on</w:t>
      </w:r>
      <w:r>
        <w:rPr>
          <w:color w:val="231F20"/>
          <w:spacing w:val="-16"/>
          <w:w w:val="105"/>
        </w:rPr>
        <w:t> </w:t>
      </w:r>
      <w:r>
        <w:rPr>
          <w:color w:val="231F20"/>
          <w:w w:val="105"/>
        </w:rPr>
        <w:t>Rural</w:t>
      </w:r>
      <w:r>
        <w:rPr>
          <w:color w:val="231F20"/>
          <w:spacing w:val="-16"/>
          <w:w w:val="105"/>
        </w:rPr>
        <w:t> </w:t>
      </w:r>
      <w:r>
        <w:rPr>
          <w:color w:val="231F20"/>
          <w:w w:val="105"/>
        </w:rPr>
        <w:t>to</w:t>
      </w:r>
      <w:r>
        <w:rPr>
          <w:color w:val="231F20"/>
          <w:spacing w:val="-16"/>
          <w:w w:val="105"/>
        </w:rPr>
        <w:t> </w:t>
      </w:r>
      <w:r>
        <w:rPr>
          <w:color w:val="231F20"/>
          <w:w w:val="105"/>
        </w:rPr>
        <w:t>Urban</w:t>
      </w:r>
      <w:r>
        <w:rPr>
          <w:color w:val="231F20"/>
          <w:spacing w:val="-16"/>
          <w:w w:val="105"/>
        </w:rPr>
        <w:t> </w:t>
      </w:r>
      <w:r>
        <w:rPr>
          <w:color w:val="231F20"/>
          <w:w w:val="105"/>
        </w:rPr>
        <w:t>Migration</w:t>
      </w:r>
      <w:r>
        <w:rPr>
          <w:color w:val="231F20"/>
          <w:spacing w:val="-16"/>
          <w:w w:val="105"/>
        </w:rPr>
        <w:t> </w:t>
      </w:r>
      <w:r>
        <w:rPr>
          <w:color w:val="231F20"/>
          <w:w w:val="105"/>
        </w:rPr>
        <w:t>in</w:t>
      </w:r>
      <w:r>
        <w:rPr>
          <w:color w:val="231F20"/>
          <w:spacing w:val="-16"/>
          <w:w w:val="105"/>
        </w:rPr>
        <w:t> </w:t>
      </w:r>
      <w:r>
        <w:rPr>
          <w:color w:val="231F20"/>
          <w:w w:val="105"/>
        </w:rPr>
        <w:t>LDCs:</w:t>
      </w:r>
      <w:r>
        <w:rPr>
          <w:color w:val="231F20"/>
          <w:spacing w:val="-16"/>
          <w:w w:val="105"/>
        </w:rPr>
        <w:t> </w:t>
      </w:r>
      <w:r>
        <w:rPr>
          <w:color w:val="231F20"/>
          <w:w w:val="105"/>
        </w:rPr>
        <w:t>the Confusion</w:t>
      </w:r>
      <w:r>
        <w:rPr>
          <w:color w:val="231F20"/>
          <w:spacing w:val="-22"/>
          <w:w w:val="105"/>
        </w:rPr>
        <w:t> </w:t>
      </w:r>
      <w:r>
        <w:rPr>
          <w:color w:val="231F20"/>
          <w:w w:val="105"/>
        </w:rPr>
        <w:t>Frontier</w:t>
      </w:r>
      <w:r>
        <w:rPr>
          <w:color w:val="231F20"/>
          <w:spacing w:val="-22"/>
          <w:w w:val="105"/>
        </w:rPr>
        <w:t> </w:t>
      </w:r>
      <w:r>
        <w:rPr>
          <w:color w:val="231F20"/>
          <w:w w:val="105"/>
        </w:rPr>
        <w:t>and</w:t>
      </w:r>
      <w:r>
        <w:rPr>
          <w:color w:val="231F20"/>
          <w:spacing w:val="-24"/>
          <w:w w:val="105"/>
        </w:rPr>
        <w:t> </w:t>
      </w:r>
      <w:r>
        <w:rPr>
          <w:color w:val="231F20"/>
          <w:w w:val="105"/>
        </w:rPr>
        <w:t>Why</w:t>
      </w:r>
      <w:r>
        <w:rPr>
          <w:color w:val="231F20"/>
          <w:spacing w:val="-24"/>
          <w:w w:val="105"/>
        </w:rPr>
        <w:t> </w:t>
      </w:r>
      <w:r>
        <w:rPr>
          <w:color w:val="231F20"/>
          <w:spacing w:val="-4"/>
          <w:w w:val="105"/>
        </w:rPr>
        <w:t>We</w:t>
      </w:r>
      <w:r>
        <w:rPr>
          <w:color w:val="231F20"/>
          <w:spacing w:val="-22"/>
          <w:w w:val="105"/>
        </w:rPr>
        <w:t> </w:t>
      </w:r>
      <w:r>
        <w:rPr>
          <w:color w:val="231F20"/>
          <w:w w:val="105"/>
        </w:rPr>
        <w:t>Should</w:t>
      </w:r>
      <w:r>
        <w:rPr>
          <w:color w:val="231F20"/>
          <w:spacing w:val="-22"/>
          <w:w w:val="105"/>
        </w:rPr>
        <w:t> </w:t>
      </w:r>
      <w:r>
        <w:rPr>
          <w:color w:val="231F20"/>
          <w:spacing w:val="-3"/>
          <w:w w:val="105"/>
        </w:rPr>
        <w:t>Pause</w:t>
      </w:r>
      <w:r>
        <w:rPr>
          <w:color w:val="231F20"/>
          <w:spacing w:val="-22"/>
          <w:w w:val="105"/>
        </w:rPr>
        <w:t> </w:t>
      </w:r>
      <w:r>
        <w:rPr>
          <w:color w:val="231F20"/>
          <w:w w:val="105"/>
        </w:rPr>
        <w:t>to</w:t>
      </w:r>
      <w:r>
        <w:rPr>
          <w:color w:val="231F20"/>
          <w:spacing w:val="-22"/>
          <w:w w:val="105"/>
        </w:rPr>
        <w:t> </w:t>
      </w:r>
      <w:r>
        <w:rPr>
          <w:color w:val="231F20"/>
          <w:w w:val="105"/>
        </w:rPr>
        <w:t>Rethink</w:t>
      </w:r>
      <w:r>
        <w:rPr>
          <w:color w:val="231F20"/>
          <w:spacing w:val="-25"/>
          <w:w w:val="105"/>
        </w:rPr>
        <w:t> </w:t>
      </w:r>
      <w:r>
        <w:rPr>
          <w:color w:val="231F20"/>
          <w:spacing w:val="-4"/>
          <w:w w:val="105"/>
        </w:rPr>
        <w:t>Afresh”, </w:t>
      </w:r>
      <w:r>
        <w:rPr>
          <w:rFonts w:ascii="Arial" w:hAnsi="Arial"/>
          <w:i/>
          <w:color w:val="231F20"/>
          <w:w w:val="105"/>
        </w:rPr>
        <w:t>World</w:t>
      </w:r>
      <w:r>
        <w:rPr>
          <w:rFonts w:ascii="Arial" w:hAnsi="Arial"/>
          <w:i/>
          <w:color w:val="231F20"/>
          <w:spacing w:val="-17"/>
          <w:w w:val="105"/>
        </w:rPr>
        <w:t> </w:t>
      </w:r>
      <w:r>
        <w:rPr>
          <w:rFonts w:ascii="Arial" w:hAnsi="Arial"/>
          <w:i/>
          <w:color w:val="231F20"/>
          <w:w w:val="105"/>
        </w:rPr>
        <w:t>Development</w:t>
      </w:r>
      <w:r>
        <w:rPr>
          <w:color w:val="231F20"/>
          <w:w w:val="105"/>
        </w:rPr>
        <w:t>,</w:t>
      </w:r>
      <w:r>
        <w:rPr>
          <w:color w:val="231F20"/>
          <w:spacing w:val="-20"/>
          <w:w w:val="105"/>
        </w:rPr>
        <w:t> </w:t>
      </w:r>
      <w:r>
        <w:rPr>
          <w:color w:val="231F20"/>
          <w:w w:val="105"/>
        </w:rPr>
        <w:t>vol.</w:t>
      </w:r>
      <w:r>
        <w:rPr>
          <w:color w:val="231F20"/>
          <w:spacing w:val="-20"/>
          <w:w w:val="105"/>
        </w:rPr>
        <w:t> </w:t>
      </w:r>
      <w:r>
        <w:rPr>
          <w:color w:val="231F20"/>
          <w:w w:val="105"/>
        </w:rPr>
        <w:t>10,</w:t>
      </w:r>
      <w:r>
        <w:rPr>
          <w:color w:val="231F20"/>
          <w:spacing w:val="-20"/>
          <w:w w:val="105"/>
        </w:rPr>
        <w:t> </w:t>
      </w:r>
      <w:r>
        <w:rPr>
          <w:color w:val="231F20"/>
          <w:w w:val="105"/>
        </w:rPr>
        <w:t>núm.</w:t>
      </w:r>
      <w:r>
        <w:rPr>
          <w:color w:val="231F20"/>
          <w:spacing w:val="-20"/>
          <w:w w:val="105"/>
        </w:rPr>
        <w:t> </w:t>
      </w:r>
      <w:r>
        <w:rPr>
          <w:color w:val="231F20"/>
          <w:w w:val="105"/>
        </w:rPr>
        <w:t>1.</w:t>
      </w:r>
    </w:p>
    <w:p>
      <w:pPr>
        <w:spacing w:line="259" w:lineRule="auto" w:before="0"/>
        <w:ind w:left="2574" w:right="1722" w:hanging="738"/>
        <w:jc w:val="both"/>
        <w:rPr>
          <w:sz w:val="21"/>
        </w:rPr>
      </w:pPr>
      <w:r>
        <w:rPr>
          <w:color w:val="231F20"/>
          <w:spacing w:val="-5"/>
          <w:w w:val="105"/>
          <w:sz w:val="21"/>
        </w:rPr>
        <w:t>Taylor, </w:t>
      </w:r>
      <w:r>
        <w:rPr>
          <w:color w:val="231F20"/>
          <w:w w:val="105"/>
          <w:sz w:val="21"/>
        </w:rPr>
        <w:t>Edward, (1995), </w:t>
      </w:r>
      <w:r>
        <w:rPr>
          <w:rFonts w:ascii="Arial" w:hAnsi="Arial"/>
          <w:i/>
          <w:color w:val="231F20"/>
          <w:w w:val="105"/>
          <w:sz w:val="21"/>
        </w:rPr>
        <w:t>Micro Economic-Wide Models for Migration</w:t>
      </w:r>
      <w:r>
        <w:rPr>
          <w:rFonts w:ascii="Arial" w:hAnsi="Arial"/>
          <w:i/>
          <w:color w:val="231F20"/>
          <w:spacing w:val="-39"/>
          <w:w w:val="105"/>
          <w:sz w:val="21"/>
        </w:rPr>
        <w:t> </w:t>
      </w:r>
      <w:r>
        <w:rPr>
          <w:rFonts w:ascii="Arial" w:hAnsi="Arial"/>
          <w:i/>
          <w:color w:val="231F20"/>
          <w:w w:val="105"/>
          <w:sz w:val="21"/>
        </w:rPr>
        <w:t>and </w:t>
      </w:r>
      <w:r>
        <w:rPr>
          <w:rFonts w:ascii="Arial" w:hAnsi="Arial"/>
          <w:i/>
          <w:color w:val="231F20"/>
          <w:spacing w:val="-3"/>
          <w:w w:val="105"/>
          <w:sz w:val="21"/>
        </w:rPr>
        <w:t>Policy</w:t>
      </w:r>
      <w:r>
        <w:rPr>
          <w:rFonts w:ascii="Arial" w:hAnsi="Arial"/>
          <w:i/>
          <w:color w:val="231F20"/>
          <w:spacing w:val="-38"/>
          <w:w w:val="105"/>
          <w:sz w:val="21"/>
        </w:rPr>
        <w:t> </w:t>
      </w:r>
      <w:r>
        <w:rPr>
          <w:rFonts w:ascii="Arial" w:hAnsi="Arial"/>
          <w:i/>
          <w:color w:val="231F20"/>
          <w:w w:val="105"/>
          <w:sz w:val="21"/>
        </w:rPr>
        <w:t>Analysis:</w:t>
      </w:r>
      <w:r>
        <w:rPr>
          <w:rFonts w:ascii="Arial" w:hAnsi="Arial"/>
          <w:i/>
          <w:color w:val="231F20"/>
          <w:spacing w:val="-36"/>
          <w:w w:val="105"/>
          <w:sz w:val="21"/>
        </w:rPr>
        <w:t> </w:t>
      </w:r>
      <w:r>
        <w:rPr>
          <w:rFonts w:ascii="Arial" w:hAnsi="Arial"/>
          <w:i/>
          <w:color w:val="231F20"/>
          <w:w w:val="105"/>
          <w:sz w:val="21"/>
        </w:rPr>
        <w:t>an</w:t>
      </w:r>
      <w:r>
        <w:rPr>
          <w:rFonts w:ascii="Arial" w:hAnsi="Arial"/>
          <w:i/>
          <w:color w:val="231F20"/>
          <w:spacing w:val="-38"/>
          <w:w w:val="105"/>
          <w:sz w:val="21"/>
        </w:rPr>
        <w:t> </w:t>
      </w:r>
      <w:r>
        <w:rPr>
          <w:rFonts w:ascii="Arial" w:hAnsi="Arial"/>
          <w:i/>
          <w:color w:val="231F20"/>
          <w:w w:val="105"/>
          <w:sz w:val="21"/>
        </w:rPr>
        <w:t>Application</w:t>
      </w:r>
      <w:r>
        <w:rPr>
          <w:rFonts w:ascii="Arial" w:hAnsi="Arial"/>
          <w:i/>
          <w:color w:val="231F20"/>
          <w:spacing w:val="-36"/>
          <w:w w:val="105"/>
          <w:sz w:val="21"/>
        </w:rPr>
        <w:t> </w:t>
      </w:r>
      <w:r>
        <w:rPr>
          <w:rFonts w:ascii="Arial" w:hAnsi="Arial"/>
          <w:i/>
          <w:color w:val="231F20"/>
          <w:w w:val="105"/>
          <w:sz w:val="21"/>
        </w:rPr>
        <w:t>to</w:t>
      </w:r>
      <w:r>
        <w:rPr>
          <w:rFonts w:ascii="Arial" w:hAnsi="Arial"/>
          <w:i/>
          <w:color w:val="231F20"/>
          <w:spacing w:val="-36"/>
          <w:w w:val="105"/>
          <w:sz w:val="21"/>
        </w:rPr>
        <w:t> </w:t>
      </w:r>
      <w:r>
        <w:rPr>
          <w:rFonts w:ascii="Arial" w:hAnsi="Arial"/>
          <w:i/>
          <w:color w:val="231F20"/>
          <w:w w:val="105"/>
          <w:sz w:val="21"/>
        </w:rPr>
        <w:t>Rural</w:t>
      </w:r>
      <w:r>
        <w:rPr>
          <w:rFonts w:ascii="Arial" w:hAnsi="Arial"/>
          <w:i/>
          <w:color w:val="231F20"/>
          <w:spacing w:val="-36"/>
          <w:w w:val="105"/>
          <w:sz w:val="21"/>
        </w:rPr>
        <w:t> </w:t>
      </w:r>
      <w:r>
        <w:rPr>
          <w:rFonts w:ascii="Arial" w:hAnsi="Arial"/>
          <w:i/>
          <w:color w:val="231F20"/>
          <w:w w:val="105"/>
          <w:sz w:val="21"/>
        </w:rPr>
        <w:t>Mexico</w:t>
      </w:r>
      <w:r>
        <w:rPr>
          <w:color w:val="231F20"/>
          <w:w w:val="105"/>
          <w:sz w:val="21"/>
        </w:rPr>
        <w:t>,</w:t>
      </w:r>
      <w:r>
        <w:rPr>
          <w:color w:val="231F20"/>
          <w:spacing w:val="-36"/>
          <w:w w:val="105"/>
          <w:sz w:val="21"/>
        </w:rPr>
        <w:t> </w:t>
      </w:r>
      <w:r>
        <w:rPr>
          <w:color w:val="231F20"/>
          <w:spacing w:val="-3"/>
          <w:w w:val="105"/>
          <w:sz w:val="21"/>
        </w:rPr>
        <w:t>París:</w:t>
      </w:r>
      <w:r>
        <w:rPr>
          <w:color w:val="231F20"/>
          <w:spacing w:val="-33"/>
          <w:w w:val="105"/>
          <w:sz w:val="21"/>
        </w:rPr>
        <w:t> </w:t>
      </w:r>
      <w:r>
        <w:rPr>
          <w:color w:val="231F20"/>
          <w:w w:val="105"/>
          <w:sz w:val="17"/>
        </w:rPr>
        <w:t>OECD</w:t>
      </w:r>
      <w:r>
        <w:rPr>
          <w:color w:val="231F20"/>
          <w:w w:val="105"/>
          <w:sz w:val="21"/>
        </w:rPr>
        <w:t>.</w:t>
      </w:r>
    </w:p>
    <w:p>
      <w:pPr>
        <w:spacing w:line="259" w:lineRule="auto" w:before="0"/>
        <w:ind w:left="2574" w:right="1715" w:hanging="738"/>
        <w:jc w:val="both"/>
        <w:rPr>
          <w:sz w:val="21"/>
        </w:rPr>
      </w:pPr>
      <w:r>
        <w:rPr>
          <w:color w:val="231F20"/>
          <w:spacing w:val="-5"/>
          <w:w w:val="105"/>
          <w:sz w:val="21"/>
        </w:rPr>
        <w:t>Taylor,</w:t>
      </w:r>
      <w:r>
        <w:rPr>
          <w:color w:val="231F20"/>
          <w:spacing w:val="-21"/>
          <w:w w:val="105"/>
          <w:sz w:val="21"/>
        </w:rPr>
        <w:t> </w:t>
      </w:r>
      <w:r>
        <w:rPr>
          <w:color w:val="231F20"/>
          <w:w w:val="105"/>
          <w:sz w:val="21"/>
        </w:rPr>
        <w:t>Edward</w:t>
      </w:r>
      <w:r>
        <w:rPr>
          <w:color w:val="231F20"/>
          <w:spacing w:val="-18"/>
          <w:w w:val="105"/>
          <w:sz w:val="21"/>
        </w:rPr>
        <w:t> </w:t>
      </w:r>
      <w:r>
        <w:rPr>
          <w:color w:val="231F20"/>
          <w:w w:val="105"/>
          <w:sz w:val="21"/>
        </w:rPr>
        <w:t>y</w:t>
      </w:r>
      <w:r>
        <w:rPr>
          <w:color w:val="231F20"/>
          <w:spacing w:val="-20"/>
          <w:w w:val="105"/>
          <w:sz w:val="21"/>
        </w:rPr>
        <w:t> </w:t>
      </w:r>
      <w:r>
        <w:rPr>
          <w:color w:val="231F20"/>
          <w:w w:val="105"/>
          <w:sz w:val="21"/>
        </w:rPr>
        <w:t>Adelman,</w:t>
      </w:r>
      <w:r>
        <w:rPr>
          <w:color w:val="231F20"/>
          <w:spacing w:val="-21"/>
          <w:w w:val="105"/>
          <w:sz w:val="21"/>
        </w:rPr>
        <w:t> </w:t>
      </w:r>
      <w:r>
        <w:rPr>
          <w:color w:val="231F20"/>
          <w:w w:val="105"/>
          <w:sz w:val="21"/>
        </w:rPr>
        <w:t>Irma,</w:t>
      </w:r>
      <w:r>
        <w:rPr>
          <w:color w:val="231F20"/>
          <w:spacing w:val="-21"/>
          <w:w w:val="105"/>
          <w:sz w:val="21"/>
        </w:rPr>
        <w:t> </w:t>
      </w:r>
      <w:r>
        <w:rPr>
          <w:color w:val="231F20"/>
          <w:w w:val="105"/>
          <w:sz w:val="21"/>
        </w:rPr>
        <w:t>(1995),</w:t>
      </w:r>
      <w:r>
        <w:rPr>
          <w:color w:val="231F20"/>
          <w:spacing w:val="-21"/>
          <w:w w:val="105"/>
          <w:sz w:val="21"/>
        </w:rPr>
        <w:t> </w:t>
      </w:r>
      <w:r>
        <w:rPr>
          <w:rFonts w:ascii="Arial"/>
          <w:i/>
          <w:color w:val="231F20"/>
          <w:w w:val="105"/>
          <w:sz w:val="21"/>
        </w:rPr>
        <w:t>Village</w:t>
      </w:r>
      <w:r>
        <w:rPr>
          <w:rFonts w:ascii="Arial"/>
          <w:i/>
          <w:color w:val="231F20"/>
          <w:spacing w:val="-21"/>
          <w:w w:val="105"/>
          <w:sz w:val="21"/>
        </w:rPr>
        <w:t> </w:t>
      </w:r>
      <w:r>
        <w:rPr>
          <w:rFonts w:ascii="Arial"/>
          <w:i/>
          <w:color w:val="231F20"/>
          <w:w w:val="105"/>
          <w:sz w:val="21"/>
        </w:rPr>
        <w:t>Economies.</w:t>
      </w:r>
      <w:r>
        <w:rPr>
          <w:rFonts w:ascii="Arial"/>
          <w:i/>
          <w:color w:val="231F20"/>
          <w:spacing w:val="-27"/>
          <w:w w:val="105"/>
          <w:sz w:val="21"/>
        </w:rPr>
        <w:t> </w:t>
      </w:r>
      <w:r>
        <w:rPr>
          <w:rFonts w:ascii="Arial"/>
          <w:i/>
          <w:color w:val="231F20"/>
          <w:w w:val="105"/>
          <w:sz w:val="21"/>
        </w:rPr>
        <w:t>The</w:t>
      </w:r>
      <w:r>
        <w:rPr>
          <w:rFonts w:ascii="Arial"/>
          <w:i/>
          <w:color w:val="231F20"/>
          <w:spacing w:val="-21"/>
          <w:w w:val="105"/>
          <w:sz w:val="21"/>
        </w:rPr>
        <w:t> </w:t>
      </w:r>
      <w:r>
        <w:rPr>
          <w:rFonts w:ascii="Arial"/>
          <w:i/>
          <w:color w:val="231F20"/>
          <w:w w:val="105"/>
          <w:sz w:val="21"/>
        </w:rPr>
        <w:t>Design, </w:t>
      </w:r>
      <w:r>
        <w:rPr>
          <w:rFonts w:ascii="Arial"/>
          <w:i/>
          <w:color w:val="231F20"/>
          <w:w w:val="105"/>
          <w:sz w:val="21"/>
        </w:rPr>
        <w:t>Estimation and Use of Village-Wide Economic Models</w:t>
      </w:r>
      <w:r>
        <w:rPr>
          <w:color w:val="231F20"/>
          <w:w w:val="105"/>
          <w:sz w:val="21"/>
        </w:rPr>
        <w:t>, Cam- bridge:</w:t>
      </w:r>
      <w:r>
        <w:rPr>
          <w:color w:val="231F20"/>
          <w:spacing w:val="-18"/>
          <w:w w:val="105"/>
          <w:sz w:val="21"/>
        </w:rPr>
        <w:t> </w:t>
      </w:r>
      <w:r>
        <w:rPr>
          <w:color w:val="231F20"/>
          <w:w w:val="105"/>
          <w:sz w:val="21"/>
        </w:rPr>
        <w:t>Cambridge</w:t>
      </w:r>
      <w:r>
        <w:rPr>
          <w:color w:val="231F20"/>
          <w:spacing w:val="-18"/>
          <w:w w:val="105"/>
          <w:sz w:val="21"/>
        </w:rPr>
        <w:t> </w:t>
      </w:r>
      <w:r>
        <w:rPr>
          <w:color w:val="231F20"/>
          <w:w w:val="105"/>
          <w:sz w:val="21"/>
        </w:rPr>
        <w:t>University</w:t>
      </w:r>
      <w:r>
        <w:rPr>
          <w:color w:val="231F20"/>
          <w:spacing w:val="-18"/>
          <w:w w:val="105"/>
          <w:sz w:val="21"/>
        </w:rPr>
        <w:t> </w:t>
      </w:r>
      <w:r>
        <w:rPr>
          <w:color w:val="231F20"/>
          <w:spacing w:val="-3"/>
          <w:w w:val="105"/>
          <w:sz w:val="21"/>
        </w:rPr>
        <w:t>Prees.</w:t>
      </w:r>
    </w:p>
    <w:p>
      <w:pPr>
        <w:pStyle w:val="BodyText"/>
        <w:spacing w:line="259" w:lineRule="auto" w:before="3"/>
        <w:ind w:left="2574" w:right="1721" w:hanging="737"/>
        <w:jc w:val="both"/>
      </w:pPr>
      <w:r>
        <w:rPr>
          <w:color w:val="231F20"/>
          <w:w w:val="105"/>
        </w:rPr>
        <w:t>Universidad Autónoma Metropolitana (</w:t>
      </w:r>
      <w:r>
        <w:rPr>
          <w:color w:val="231F20"/>
          <w:w w:val="105"/>
          <w:sz w:val="17"/>
        </w:rPr>
        <w:t>UAM</w:t>
      </w:r>
      <w:r>
        <w:rPr>
          <w:color w:val="231F20"/>
          <w:w w:val="105"/>
        </w:rPr>
        <w:t>), (2005), “Migración. Nuevo rostro mundial”, </w:t>
      </w:r>
      <w:r>
        <w:rPr>
          <w:rFonts w:ascii="Arial" w:hAnsi="Arial"/>
          <w:i/>
          <w:color w:val="231F20"/>
          <w:w w:val="105"/>
        </w:rPr>
        <w:t>Política y Cultura</w:t>
      </w:r>
      <w:r>
        <w:rPr>
          <w:color w:val="231F20"/>
          <w:w w:val="105"/>
        </w:rPr>
        <w:t>, núm. 23.</w:t>
      </w:r>
    </w:p>
    <w:p>
      <w:pPr>
        <w:pStyle w:val="BodyText"/>
        <w:spacing w:line="259" w:lineRule="auto" w:before="3"/>
        <w:ind w:left="2574" w:right="1721" w:hanging="738"/>
        <w:jc w:val="both"/>
      </w:pPr>
      <w:r>
        <w:rPr>
          <w:color w:val="231F20"/>
          <w:w w:val="105"/>
        </w:rPr>
        <w:t>Wiest</w:t>
      </w:r>
      <w:r>
        <w:rPr>
          <w:color w:val="231F20"/>
          <w:spacing w:val="-20"/>
          <w:w w:val="105"/>
        </w:rPr>
        <w:t> </w:t>
      </w:r>
      <w:r>
        <w:rPr>
          <w:color w:val="231F20"/>
          <w:w w:val="105"/>
        </w:rPr>
        <w:t>Raymond,</w:t>
      </w:r>
      <w:r>
        <w:rPr>
          <w:color w:val="231F20"/>
          <w:spacing w:val="-24"/>
          <w:w w:val="105"/>
        </w:rPr>
        <w:t> </w:t>
      </w:r>
      <w:r>
        <w:rPr>
          <w:color w:val="231F20"/>
          <w:w w:val="105"/>
        </w:rPr>
        <w:t>(1979),</w:t>
      </w:r>
      <w:r>
        <w:rPr>
          <w:color w:val="231F20"/>
          <w:spacing w:val="-24"/>
          <w:w w:val="105"/>
        </w:rPr>
        <w:t> </w:t>
      </w:r>
      <w:r>
        <w:rPr>
          <w:color w:val="231F20"/>
          <w:w w:val="105"/>
        </w:rPr>
        <w:t>“Anthropological</w:t>
      </w:r>
      <w:r>
        <w:rPr>
          <w:color w:val="231F20"/>
          <w:spacing w:val="-20"/>
          <w:w w:val="105"/>
        </w:rPr>
        <w:t> </w:t>
      </w:r>
      <w:r>
        <w:rPr>
          <w:color w:val="231F20"/>
          <w:w w:val="105"/>
        </w:rPr>
        <w:t>Perspectives</w:t>
      </w:r>
      <w:r>
        <w:rPr>
          <w:color w:val="231F20"/>
          <w:spacing w:val="-20"/>
          <w:w w:val="105"/>
        </w:rPr>
        <w:t> </w:t>
      </w:r>
      <w:r>
        <w:rPr>
          <w:color w:val="231F20"/>
          <w:w w:val="105"/>
        </w:rPr>
        <w:t>on</w:t>
      </w:r>
      <w:r>
        <w:rPr>
          <w:color w:val="231F20"/>
          <w:spacing w:val="-20"/>
          <w:w w:val="105"/>
        </w:rPr>
        <w:t> </w:t>
      </w:r>
      <w:r>
        <w:rPr>
          <w:color w:val="231F20"/>
          <w:w w:val="105"/>
        </w:rPr>
        <w:t>Return</w:t>
      </w:r>
      <w:r>
        <w:rPr>
          <w:color w:val="231F20"/>
          <w:spacing w:val="-20"/>
          <w:w w:val="105"/>
        </w:rPr>
        <w:t> </w:t>
      </w:r>
      <w:r>
        <w:rPr>
          <w:color w:val="231F20"/>
          <w:w w:val="105"/>
        </w:rPr>
        <w:t>Migra- tion:</w:t>
      </w:r>
      <w:r>
        <w:rPr>
          <w:color w:val="231F20"/>
          <w:spacing w:val="-17"/>
          <w:w w:val="105"/>
        </w:rPr>
        <w:t> </w:t>
      </w:r>
      <w:r>
        <w:rPr>
          <w:color w:val="231F20"/>
          <w:w w:val="105"/>
        </w:rPr>
        <w:t>A</w:t>
      </w:r>
      <w:r>
        <w:rPr>
          <w:color w:val="231F20"/>
          <w:spacing w:val="-17"/>
          <w:w w:val="105"/>
        </w:rPr>
        <w:t> </w:t>
      </w:r>
      <w:r>
        <w:rPr>
          <w:color w:val="231F20"/>
          <w:w w:val="105"/>
        </w:rPr>
        <w:t>Critical</w:t>
      </w:r>
      <w:r>
        <w:rPr>
          <w:color w:val="231F20"/>
          <w:spacing w:val="-13"/>
          <w:w w:val="105"/>
        </w:rPr>
        <w:t> </w:t>
      </w:r>
      <w:r>
        <w:rPr>
          <w:color w:val="231F20"/>
          <w:spacing w:val="-3"/>
          <w:w w:val="105"/>
        </w:rPr>
        <w:t>Commentary”,</w:t>
      </w:r>
      <w:r>
        <w:rPr>
          <w:color w:val="231F20"/>
          <w:spacing w:val="-19"/>
          <w:w w:val="105"/>
        </w:rPr>
        <w:t> </w:t>
      </w:r>
      <w:r>
        <w:rPr>
          <w:rFonts w:ascii="Arial" w:hAnsi="Arial"/>
          <w:i/>
          <w:color w:val="231F20"/>
          <w:spacing w:val="-3"/>
          <w:w w:val="105"/>
        </w:rPr>
        <w:t>Papers</w:t>
      </w:r>
      <w:r>
        <w:rPr>
          <w:rFonts w:ascii="Arial" w:hAnsi="Arial"/>
          <w:i/>
          <w:color w:val="231F20"/>
          <w:spacing w:val="-15"/>
          <w:w w:val="105"/>
        </w:rPr>
        <w:t> </w:t>
      </w:r>
      <w:r>
        <w:rPr>
          <w:rFonts w:ascii="Arial" w:hAnsi="Arial"/>
          <w:i/>
          <w:color w:val="231F20"/>
          <w:w w:val="105"/>
        </w:rPr>
        <w:t>in</w:t>
      </w:r>
      <w:r>
        <w:rPr>
          <w:rFonts w:ascii="Arial" w:hAnsi="Arial"/>
          <w:i/>
          <w:color w:val="231F20"/>
          <w:spacing w:val="-19"/>
          <w:w w:val="105"/>
        </w:rPr>
        <w:t> </w:t>
      </w:r>
      <w:r>
        <w:rPr>
          <w:rFonts w:ascii="Arial" w:hAnsi="Arial"/>
          <w:i/>
          <w:color w:val="231F20"/>
          <w:w w:val="105"/>
        </w:rPr>
        <w:t>Anthropology</w:t>
      </w:r>
      <w:r>
        <w:rPr>
          <w:color w:val="231F20"/>
          <w:w w:val="105"/>
        </w:rPr>
        <w:t>,</w:t>
      </w:r>
      <w:r>
        <w:rPr>
          <w:color w:val="231F20"/>
          <w:spacing w:val="-19"/>
          <w:w w:val="105"/>
        </w:rPr>
        <w:t> </w:t>
      </w:r>
      <w:r>
        <w:rPr>
          <w:color w:val="231F20"/>
          <w:w w:val="105"/>
        </w:rPr>
        <w:t>núm.</w:t>
      </w:r>
      <w:r>
        <w:rPr>
          <w:color w:val="231F20"/>
          <w:spacing w:val="-19"/>
          <w:w w:val="105"/>
        </w:rPr>
        <w:t> </w:t>
      </w:r>
      <w:r>
        <w:rPr>
          <w:color w:val="231F20"/>
          <w:w w:val="105"/>
        </w:rPr>
        <w:t>20.</w:t>
      </w:r>
    </w:p>
    <w:p>
      <w:pPr>
        <w:tabs>
          <w:tab w:pos="2677" w:val="left" w:leader="none"/>
        </w:tabs>
        <w:spacing w:line="259" w:lineRule="auto" w:before="3"/>
        <w:ind w:left="2574" w:right="1722" w:hanging="738"/>
        <w:jc w:val="both"/>
        <w:rPr>
          <w:sz w:val="21"/>
        </w:rPr>
      </w:pPr>
      <w:r>
        <w:rPr>
          <w:color w:val="231F20"/>
          <w:w w:val="94"/>
          <w:sz w:val="21"/>
          <w:u w:val="single" w:color="221E1F"/>
        </w:rPr>
        <w:t> </w:t>
      </w:r>
      <w:r>
        <w:rPr>
          <w:color w:val="231F20"/>
          <w:sz w:val="21"/>
          <w:u w:val="single" w:color="221E1F"/>
        </w:rPr>
        <w:tab/>
        <w:tab/>
      </w:r>
      <w:r>
        <w:rPr>
          <w:color w:val="231F20"/>
          <w:spacing w:val="-11"/>
          <w:sz w:val="21"/>
        </w:rPr>
        <w:t> </w:t>
      </w:r>
      <w:r>
        <w:rPr>
          <w:color w:val="231F20"/>
          <w:w w:val="105"/>
          <w:sz w:val="21"/>
        </w:rPr>
        <w:t>(1982),</w:t>
      </w:r>
      <w:r>
        <w:rPr>
          <w:color w:val="231F20"/>
          <w:spacing w:val="-28"/>
          <w:w w:val="105"/>
          <w:sz w:val="21"/>
        </w:rPr>
        <w:t> </w:t>
      </w:r>
      <w:r>
        <w:rPr>
          <w:color w:val="231F20"/>
          <w:w w:val="105"/>
          <w:sz w:val="21"/>
        </w:rPr>
        <w:t>“Wage-Labor</w:t>
      </w:r>
      <w:r>
        <w:rPr>
          <w:color w:val="231F20"/>
          <w:spacing w:val="-23"/>
          <w:w w:val="105"/>
          <w:sz w:val="21"/>
        </w:rPr>
        <w:t> </w:t>
      </w:r>
      <w:r>
        <w:rPr>
          <w:color w:val="231F20"/>
          <w:w w:val="105"/>
          <w:sz w:val="21"/>
        </w:rPr>
        <w:t>Migration</w:t>
      </w:r>
      <w:r>
        <w:rPr>
          <w:color w:val="231F20"/>
          <w:spacing w:val="-23"/>
          <w:w w:val="105"/>
          <w:sz w:val="21"/>
        </w:rPr>
        <w:t> </w:t>
      </w:r>
      <w:r>
        <w:rPr>
          <w:color w:val="231F20"/>
          <w:w w:val="105"/>
          <w:sz w:val="21"/>
        </w:rPr>
        <w:t>and</w:t>
      </w:r>
      <w:r>
        <w:rPr>
          <w:color w:val="231F20"/>
          <w:spacing w:val="-23"/>
          <w:w w:val="105"/>
          <w:sz w:val="21"/>
        </w:rPr>
        <w:t> </w:t>
      </w:r>
      <w:r>
        <w:rPr>
          <w:color w:val="231F20"/>
          <w:w w:val="105"/>
          <w:sz w:val="21"/>
        </w:rPr>
        <w:t>the</w:t>
      </w:r>
      <w:r>
        <w:rPr>
          <w:color w:val="231F20"/>
          <w:spacing w:val="-23"/>
          <w:w w:val="105"/>
          <w:sz w:val="21"/>
        </w:rPr>
        <w:t> </w:t>
      </w:r>
      <w:r>
        <w:rPr>
          <w:color w:val="231F20"/>
          <w:w w:val="105"/>
          <w:sz w:val="21"/>
        </w:rPr>
        <w:t>Household</w:t>
      </w:r>
      <w:r>
        <w:rPr>
          <w:color w:val="231F20"/>
          <w:spacing w:val="-23"/>
          <w:w w:val="105"/>
          <w:sz w:val="21"/>
        </w:rPr>
        <w:t> </w:t>
      </w:r>
      <w:r>
        <w:rPr>
          <w:color w:val="231F20"/>
          <w:w w:val="105"/>
          <w:sz w:val="21"/>
        </w:rPr>
        <w:t>in</w:t>
      </w:r>
      <w:r>
        <w:rPr>
          <w:color w:val="231F20"/>
          <w:spacing w:val="-23"/>
          <w:w w:val="105"/>
          <w:sz w:val="21"/>
        </w:rPr>
        <w:t> </w:t>
      </w:r>
      <w:r>
        <w:rPr>
          <w:color w:val="231F20"/>
          <w:w w:val="105"/>
          <w:sz w:val="21"/>
        </w:rPr>
        <w:t>a</w:t>
      </w:r>
      <w:r>
        <w:rPr>
          <w:color w:val="231F20"/>
          <w:spacing w:val="-23"/>
          <w:w w:val="105"/>
          <w:sz w:val="21"/>
        </w:rPr>
        <w:t> </w:t>
      </w:r>
      <w:r>
        <w:rPr>
          <w:color w:val="231F20"/>
          <w:w w:val="105"/>
          <w:sz w:val="21"/>
        </w:rPr>
        <w:t>Mexican</w:t>
      </w:r>
      <w:r>
        <w:rPr>
          <w:color w:val="231F20"/>
          <w:w w:val="100"/>
          <w:sz w:val="21"/>
        </w:rPr>
        <w:t> </w:t>
      </w:r>
      <w:r>
        <w:rPr>
          <w:color w:val="231F20"/>
          <w:spacing w:val="-8"/>
          <w:w w:val="105"/>
          <w:sz w:val="21"/>
        </w:rPr>
        <w:t>Town”,</w:t>
      </w:r>
      <w:r>
        <w:rPr>
          <w:color w:val="231F20"/>
          <w:spacing w:val="-28"/>
          <w:w w:val="105"/>
          <w:sz w:val="21"/>
        </w:rPr>
        <w:t> </w:t>
      </w:r>
      <w:r>
        <w:rPr>
          <w:rFonts w:ascii="Arial" w:hAnsi="Arial"/>
          <w:i/>
          <w:color w:val="231F20"/>
          <w:w w:val="105"/>
          <w:sz w:val="21"/>
        </w:rPr>
        <w:t>Journal</w:t>
      </w:r>
      <w:r>
        <w:rPr>
          <w:rFonts w:ascii="Arial" w:hAnsi="Arial"/>
          <w:i/>
          <w:color w:val="231F20"/>
          <w:spacing w:val="-26"/>
          <w:w w:val="105"/>
          <w:sz w:val="21"/>
        </w:rPr>
        <w:t> </w:t>
      </w:r>
      <w:r>
        <w:rPr>
          <w:rFonts w:ascii="Arial" w:hAnsi="Arial"/>
          <w:i/>
          <w:color w:val="231F20"/>
          <w:w w:val="105"/>
          <w:sz w:val="21"/>
        </w:rPr>
        <w:t>of</w:t>
      </w:r>
      <w:r>
        <w:rPr>
          <w:rFonts w:ascii="Arial" w:hAnsi="Arial"/>
          <w:i/>
          <w:color w:val="231F20"/>
          <w:spacing w:val="-26"/>
          <w:w w:val="105"/>
          <w:sz w:val="21"/>
        </w:rPr>
        <w:t> </w:t>
      </w:r>
      <w:r>
        <w:rPr>
          <w:rFonts w:ascii="Arial" w:hAnsi="Arial"/>
          <w:i/>
          <w:color w:val="231F20"/>
          <w:w w:val="105"/>
          <w:sz w:val="21"/>
        </w:rPr>
        <w:t>Anthropological</w:t>
      </w:r>
      <w:r>
        <w:rPr>
          <w:rFonts w:ascii="Arial" w:hAnsi="Arial"/>
          <w:i/>
          <w:color w:val="231F20"/>
          <w:spacing w:val="-26"/>
          <w:w w:val="105"/>
          <w:sz w:val="21"/>
        </w:rPr>
        <w:t> </w:t>
      </w:r>
      <w:r>
        <w:rPr>
          <w:rFonts w:ascii="Arial" w:hAnsi="Arial"/>
          <w:i/>
          <w:color w:val="231F20"/>
          <w:w w:val="105"/>
          <w:sz w:val="21"/>
        </w:rPr>
        <w:t>Research</w:t>
      </w:r>
      <w:r>
        <w:rPr>
          <w:color w:val="231F20"/>
          <w:w w:val="105"/>
          <w:sz w:val="21"/>
        </w:rPr>
        <w:t>,</w:t>
      </w:r>
      <w:r>
        <w:rPr>
          <w:color w:val="231F20"/>
          <w:spacing w:val="-28"/>
          <w:w w:val="105"/>
          <w:sz w:val="21"/>
        </w:rPr>
        <w:t> </w:t>
      </w:r>
      <w:r>
        <w:rPr>
          <w:color w:val="231F20"/>
          <w:w w:val="105"/>
          <w:sz w:val="21"/>
        </w:rPr>
        <w:t>vol.</w:t>
      </w:r>
      <w:r>
        <w:rPr>
          <w:color w:val="231F20"/>
          <w:spacing w:val="-28"/>
          <w:w w:val="105"/>
          <w:sz w:val="21"/>
        </w:rPr>
        <w:t> </w:t>
      </w:r>
      <w:r>
        <w:rPr>
          <w:color w:val="231F20"/>
          <w:w w:val="105"/>
          <w:sz w:val="21"/>
        </w:rPr>
        <w:t>29,</w:t>
      </w:r>
      <w:r>
        <w:rPr>
          <w:color w:val="231F20"/>
          <w:spacing w:val="-28"/>
          <w:w w:val="105"/>
          <w:sz w:val="21"/>
        </w:rPr>
        <w:t> </w:t>
      </w:r>
      <w:r>
        <w:rPr>
          <w:color w:val="231F20"/>
          <w:w w:val="105"/>
          <w:sz w:val="21"/>
        </w:rPr>
        <w:t>núm.</w:t>
      </w:r>
      <w:r>
        <w:rPr>
          <w:color w:val="231F20"/>
          <w:spacing w:val="-28"/>
          <w:w w:val="105"/>
          <w:sz w:val="21"/>
        </w:rPr>
        <w:t> </w:t>
      </w:r>
      <w:r>
        <w:rPr>
          <w:color w:val="231F20"/>
          <w:w w:val="105"/>
          <w:sz w:val="21"/>
        </w:rPr>
        <w:t>3.</w:t>
      </w:r>
    </w:p>
    <w:p>
      <w:pPr>
        <w:tabs>
          <w:tab w:pos="2677" w:val="left" w:leader="none"/>
        </w:tabs>
        <w:spacing w:line="259" w:lineRule="auto" w:before="3"/>
        <w:ind w:left="2574" w:right="1721" w:hanging="738"/>
        <w:jc w:val="both"/>
        <w:rPr>
          <w:sz w:val="21"/>
        </w:rPr>
      </w:pPr>
      <w:r>
        <w:rPr>
          <w:color w:val="231F20"/>
          <w:w w:val="94"/>
          <w:sz w:val="21"/>
          <w:u w:val="single" w:color="221E1F"/>
        </w:rPr>
        <w:t> </w:t>
      </w:r>
      <w:r>
        <w:rPr>
          <w:color w:val="231F20"/>
          <w:sz w:val="21"/>
          <w:u w:val="single" w:color="221E1F"/>
        </w:rPr>
        <w:tab/>
        <w:tab/>
      </w:r>
      <w:r>
        <w:rPr>
          <w:color w:val="231F20"/>
          <w:spacing w:val="11"/>
          <w:sz w:val="21"/>
        </w:rPr>
        <w:t> </w:t>
      </w:r>
      <w:r>
        <w:rPr>
          <w:color w:val="231F20"/>
          <w:w w:val="105"/>
          <w:sz w:val="21"/>
        </w:rPr>
        <w:t>(1983), “Male Migration, Machismo and Conjugal</w:t>
      </w:r>
      <w:r>
        <w:rPr>
          <w:color w:val="231F20"/>
          <w:spacing w:val="-39"/>
          <w:w w:val="105"/>
          <w:sz w:val="21"/>
        </w:rPr>
        <w:t> </w:t>
      </w:r>
      <w:r>
        <w:rPr>
          <w:color w:val="231F20"/>
          <w:w w:val="105"/>
          <w:sz w:val="21"/>
        </w:rPr>
        <w:t>Roles:</w:t>
      </w:r>
      <w:r>
        <w:rPr>
          <w:color w:val="231F20"/>
          <w:spacing w:val="-5"/>
          <w:w w:val="105"/>
          <w:sz w:val="21"/>
        </w:rPr>
        <w:t> </w:t>
      </w:r>
      <w:r>
        <w:rPr>
          <w:color w:val="231F20"/>
          <w:w w:val="105"/>
          <w:sz w:val="21"/>
        </w:rPr>
        <w:t>Impli-</w:t>
      </w:r>
      <w:r>
        <w:rPr>
          <w:color w:val="231F20"/>
          <w:w w:val="96"/>
          <w:sz w:val="21"/>
        </w:rPr>
        <w:t> </w:t>
      </w:r>
      <w:r>
        <w:rPr>
          <w:color w:val="231F20"/>
          <w:w w:val="105"/>
          <w:sz w:val="21"/>
        </w:rPr>
        <w:t>cations for Fertility Control in a Mexican </w:t>
      </w:r>
      <w:r>
        <w:rPr>
          <w:color w:val="231F20"/>
          <w:spacing w:val="-3"/>
          <w:w w:val="105"/>
          <w:sz w:val="21"/>
        </w:rPr>
        <w:t>Municipio”, </w:t>
      </w:r>
      <w:r>
        <w:rPr>
          <w:rFonts w:ascii="Arial" w:hAnsi="Arial"/>
          <w:i/>
          <w:color w:val="231F20"/>
          <w:w w:val="105"/>
          <w:sz w:val="21"/>
        </w:rPr>
        <w:t>Journal of </w:t>
      </w:r>
      <w:r>
        <w:rPr>
          <w:rFonts w:ascii="Arial" w:hAnsi="Arial"/>
          <w:i/>
          <w:color w:val="231F20"/>
          <w:sz w:val="21"/>
        </w:rPr>
        <w:t>Comparative Family Studies</w:t>
      </w:r>
      <w:r>
        <w:rPr>
          <w:color w:val="231F20"/>
          <w:sz w:val="21"/>
        </w:rPr>
        <w:t>, núm.</w:t>
      </w:r>
      <w:r>
        <w:rPr>
          <w:color w:val="231F20"/>
          <w:spacing w:val="-1"/>
          <w:sz w:val="21"/>
        </w:rPr>
        <w:t> </w:t>
      </w:r>
      <w:r>
        <w:rPr>
          <w:color w:val="231F20"/>
          <w:sz w:val="21"/>
        </w:rPr>
        <w:t>14.</w:t>
      </w:r>
    </w:p>
    <w:p>
      <w:pPr>
        <w:spacing w:line="259" w:lineRule="auto" w:before="3"/>
        <w:ind w:left="2574" w:right="1722" w:hanging="738"/>
        <w:jc w:val="both"/>
        <w:rPr>
          <w:sz w:val="21"/>
        </w:rPr>
      </w:pPr>
      <w:r>
        <w:rPr>
          <w:color w:val="231F20"/>
          <w:sz w:val="21"/>
        </w:rPr>
        <w:t>Yúñez Naude, Antonio, (2000), “Cambio estructural y emigración rural ha- cia Estados Unidos”, </w:t>
      </w:r>
      <w:r>
        <w:rPr>
          <w:rFonts w:ascii="Arial" w:hAnsi="Arial"/>
          <w:i/>
          <w:color w:val="231F20"/>
          <w:sz w:val="21"/>
        </w:rPr>
        <w:t>Comercio Exterior, </w:t>
      </w:r>
      <w:r>
        <w:rPr>
          <w:color w:val="231F20"/>
          <w:sz w:val="21"/>
        </w:rPr>
        <w:t>México: </w:t>
      </w:r>
      <w:r>
        <w:rPr>
          <w:color w:val="231F20"/>
          <w:sz w:val="17"/>
        </w:rPr>
        <w:t>BANCOMEXT</w:t>
      </w:r>
      <w:r>
        <w:rPr>
          <w:color w:val="231F20"/>
          <w:sz w:val="21"/>
        </w:rPr>
        <w:t>.</w:t>
      </w:r>
    </w:p>
    <w:p>
      <w:pPr>
        <w:tabs>
          <w:tab w:pos="2677" w:val="left" w:leader="none"/>
        </w:tabs>
        <w:spacing w:line="259" w:lineRule="auto" w:before="3"/>
        <w:ind w:left="2574" w:right="1715" w:hanging="738"/>
        <w:jc w:val="both"/>
        <w:rPr>
          <w:sz w:val="21"/>
        </w:rPr>
      </w:pPr>
      <w:r>
        <w:rPr>
          <w:color w:val="231F20"/>
          <w:w w:val="94"/>
          <w:sz w:val="21"/>
          <w:u w:val="single" w:color="221E1F"/>
        </w:rPr>
        <w:t> </w:t>
      </w:r>
      <w:r>
        <w:rPr>
          <w:color w:val="231F20"/>
          <w:sz w:val="21"/>
          <w:u w:val="single" w:color="221E1F"/>
        </w:rPr>
        <w:tab/>
        <w:tab/>
      </w:r>
      <w:r>
        <w:rPr>
          <w:color w:val="231F20"/>
          <w:sz w:val="21"/>
        </w:rPr>
        <w:t> </w:t>
      </w:r>
      <w:r>
        <w:rPr>
          <w:color w:val="231F20"/>
          <w:spacing w:val="-9"/>
          <w:sz w:val="21"/>
        </w:rPr>
        <w:t> </w:t>
      </w:r>
      <w:r>
        <w:rPr>
          <w:color w:val="231F20"/>
          <w:sz w:val="21"/>
        </w:rPr>
        <w:t>(2001),  “Las  remesas  y  </w:t>
      </w:r>
      <w:r>
        <w:rPr>
          <w:color w:val="231F20"/>
          <w:spacing w:val="-3"/>
          <w:sz w:val="21"/>
        </w:rPr>
        <w:t>desarrollo”,  </w:t>
      </w:r>
      <w:r>
        <w:rPr>
          <w:color w:val="231F20"/>
          <w:sz w:val="21"/>
        </w:rPr>
        <w:t>ponencia </w:t>
      </w:r>
      <w:r>
        <w:rPr>
          <w:color w:val="231F20"/>
          <w:spacing w:val="44"/>
          <w:sz w:val="21"/>
        </w:rPr>
        <w:t> </w:t>
      </w:r>
      <w:r>
        <w:rPr>
          <w:color w:val="231F20"/>
          <w:sz w:val="21"/>
        </w:rPr>
        <w:t>presentada </w:t>
      </w:r>
      <w:r>
        <w:rPr>
          <w:color w:val="231F20"/>
          <w:spacing w:val="8"/>
          <w:sz w:val="21"/>
        </w:rPr>
        <w:t> </w:t>
      </w:r>
      <w:r>
        <w:rPr>
          <w:color w:val="231F20"/>
          <w:sz w:val="21"/>
        </w:rPr>
        <w:t>en</w:t>
      </w:r>
      <w:r>
        <w:rPr>
          <w:color w:val="231F20"/>
          <w:w w:val="103"/>
          <w:sz w:val="21"/>
        </w:rPr>
        <w:t> </w:t>
      </w:r>
      <w:r>
        <w:rPr>
          <w:rFonts w:ascii="Arial" w:hAnsi="Arial"/>
          <w:i/>
          <w:color w:val="231F20"/>
          <w:sz w:val="21"/>
        </w:rPr>
        <w:t>Seminario internacional sobre la transferencia y uso de remesas, </w:t>
      </w:r>
      <w:r>
        <w:rPr>
          <w:rFonts w:ascii="Arial" w:hAnsi="Arial"/>
          <w:i/>
          <w:color w:val="231F20"/>
          <w:sz w:val="21"/>
        </w:rPr>
        <w:t>proyectos productivos y ahorro</w:t>
      </w:r>
      <w:r>
        <w:rPr>
          <w:color w:val="231F20"/>
          <w:sz w:val="21"/>
        </w:rPr>
        <w:t>, México: Sin</w:t>
      </w:r>
      <w:r>
        <w:rPr>
          <w:color w:val="231F20"/>
          <w:spacing w:val="48"/>
          <w:sz w:val="21"/>
        </w:rPr>
        <w:t> </w:t>
      </w:r>
      <w:r>
        <w:rPr>
          <w:color w:val="231F20"/>
          <w:sz w:val="21"/>
        </w:rPr>
        <w:t>Fronteras/</w:t>
      </w:r>
      <w:r>
        <w:rPr>
          <w:color w:val="231F20"/>
          <w:sz w:val="17"/>
        </w:rPr>
        <w:t>CEPAL</w:t>
      </w:r>
      <w:r>
        <w:rPr>
          <w:color w:val="231F20"/>
          <w:sz w:val="21"/>
        </w:rPr>
        <w:t>/</w:t>
      </w:r>
      <w:r>
        <w:rPr>
          <w:color w:val="231F20"/>
          <w:sz w:val="17"/>
        </w:rPr>
        <w:t>UAZ</w:t>
      </w:r>
      <w:r>
        <w:rPr>
          <w:color w:val="231F20"/>
          <w:sz w:val="21"/>
        </w:rPr>
        <w:t>.</w:t>
      </w:r>
    </w:p>
    <w:p>
      <w:pPr>
        <w:spacing w:after="0" w:line="259" w:lineRule="auto"/>
        <w:jc w:val="both"/>
        <w:rPr>
          <w:sz w:val="21"/>
        </w:rPr>
        <w:sectPr>
          <w:footerReference w:type="default" r:id="rId361"/>
          <w:pgSz w:w="10480" w:h="14730"/>
          <w:pgMar w:footer="223" w:header="0" w:top="300" w:bottom="420" w:left="0" w:right="0"/>
        </w:sectPr>
      </w:pPr>
    </w:p>
    <w:p>
      <w:pPr>
        <w:pStyle w:val="BodyText"/>
        <w:spacing w:before="4"/>
        <w:rPr>
          <w:rFonts w:ascii="Times New Roman"/>
          <w:sz w:val="17"/>
        </w:rPr>
      </w:pPr>
    </w:p>
    <w:p>
      <w:pPr>
        <w:spacing w:after="0"/>
        <w:rPr>
          <w:rFonts w:ascii="Times New Roman"/>
          <w:sz w:val="17"/>
        </w:rPr>
        <w:sectPr>
          <w:headerReference w:type="default" r:id="rId363"/>
          <w:footerReference w:type="default" r:id="rId364"/>
          <w:pgSz w:w="10480" w:h="14730"/>
          <w:pgMar w:header="0" w:footer="223"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rPr>
      </w:pPr>
    </w:p>
    <w:p>
      <w:pPr>
        <w:pStyle w:val="Heading1"/>
        <w:ind w:left="2924" w:right="2804"/>
        <w:jc w:val="center"/>
      </w:pPr>
      <w:r>
        <w:rPr/>
        <w:drawing>
          <wp:anchor distT="0" distB="0" distL="0" distR="0" allowOverlap="1" layoutInCell="1" locked="0" behindDoc="1" simplePos="0" relativeHeight="267987071">
            <wp:simplePos x="0" y="0"/>
            <wp:positionH relativeFrom="page">
              <wp:posOffset>266700</wp:posOffset>
            </wp:positionH>
            <wp:positionV relativeFrom="paragraph">
              <wp:posOffset>-44920</wp:posOffset>
            </wp:positionV>
            <wp:extent cx="6120003" cy="4910399"/>
            <wp:effectExtent l="0" t="0" r="0" b="0"/>
            <wp:wrapNone/>
            <wp:docPr id="67" name="image189.png" descr=""/>
            <wp:cNvGraphicFramePr>
              <a:graphicFrameLocks noChangeAspect="1"/>
            </wp:cNvGraphicFramePr>
            <a:graphic>
              <a:graphicData uri="http://schemas.openxmlformats.org/drawingml/2006/picture">
                <pic:pic>
                  <pic:nvPicPr>
                    <pic:cNvPr id="68" name="image189.png"/>
                    <pic:cNvPicPr/>
                  </pic:nvPicPr>
                  <pic:blipFill>
                    <a:blip r:embed="rId365" cstate="print"/>
                    <a:stretch>
                      <a:fillRect/>
                    </a:stretch>
                  </pic:blipFill>
                  <pic:spPr>
                    <a:xfrm>
                      <a:off x="0" y="0"/>
                      <a:ext cx="6120003" cy="4910399"/>
                    </a:xfrm>
                    <a:prstGeom prst="rect">
                      <a:avLst/>
                    </a:prstGeom>
                  </pic:spPr>
                </pic:pic>
              </a:graphicData>
            </a:graphic>
          </wp:anchor>
        </w:drawing>
      </w:r>
      <w:r>
        <w:rPr>
          <w:color w:val="231F20"/>
          <w:spacing w:val="5"/>
          <w:w w:val="105"/>
        </w:rPr>
        <w:t>COMUNICACIÓN </w:t>
      </w:r>
      <w:r>
        <w:rPr>
          <w:color w:val="231F20"/>
          <w:w w:val="105"/>
        </w:rPr>
        <w:t>Y</w:t>
      </w:r>
      <w:r>
        <w:rPr>
          <w:color w:val="231F20"/>
          <w:spacing w:val="-56"/>
          <w:w w:val="105"/>
        </w:rPr>
        <w:t> </w:t>
      </w:r>
      <w:r>
        <w:rPr>
          <w:color w:val="231F20"/>
          <w:spacing w:val="7"/>
          <w:w w:val="105"/>
        </w:rPr>
        <w:t>EMOCIONES</w:t>
      </w:r>
    </w:p>
    <w:p>
      <w:pPr>
        <w:spacing w:before="14"/>
        <w:ind w:left="2433" w:right="2313" w:firstLine="0"/>
        <w:jc w:val="center"/>
        <w:rPr>
          <w:rFonts w:ascii="Arial"/>
          <w:b/>
          <w:sz w:val="28"/>
        </w:rPr>
      </w:pPr>
      <w:r>
        <w:rPr>
          <w:rFonts w:ascii="Arial"/>
          <w:b/>
          <w:color w:val="231F20"/>
          <w:sz w:val="28"/>
        </w:rPr>
        <w:t>EN CONTEXTOS TRANSNACIONALES</w:t>
      </w:r>
    </w:p>
    <w:p>
      <w:pPr>
        <w:spacing w:after="0"/>
        <w:jc w:val="center"/>
        <w:rPr>
          <w:rFonts w:ascii="Arial"/>
          <w:sz w:val="28"/>
        </w:rPr>
        <w:sectPr>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pgSz w:w="10480" w:h="14730"/>
          <w:pgMar w:header="0" w:footer="223" w:top="420" w:bottom="420" w:left="0" w:right="0"/>
        </w:sectPr>
      </w:pPr>
    </w:p>
    <w:p>
      <w:pPr>
        <w:pStyle w:val="BodyText"/>
        <w:rPr>
          <w:rFonts w:ascii="Times New Roman"/>
          <w:sz w:val="20"/>
        </w:rPr>
      </w:pPr>
      <w:r>
        <w:rPr/>
        <w:pict>
          <v:group style="position:absolute;margin-left:21pt;margin-top:20.999975pt;width:481.9pt;height:694.5pt;mso-position-horizontal-relative:page;mso-position-vertical-relative:page;z-index:-448360" coordorigin="420,420" coordsize="9638,13890">
            <v:rect style="position:absolute;left:420;top:420;width:9638;height:13890" filled="true" fillcolor="#77787b" stroked="false">
              <v:fill type="solid"/>
            </v:rect>
            <v:shape style="position:absolute;left:420;top:6577;width:9638;height:7733" type="#_x0000_t75" stroked="false">
              <v:imagedata r:id="rId366"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6"/>
        </w:rPr>
      </w:pPr>
    </w:p>
    <w:p>
      <w:pPr>
        <w:pStyle w:val="Heading2"/>
        <w:spacing w:line="187" w:lineRule="auto" w:before="63"/>
        <w:ind w:left="2385" w:right="2795" w:firstLine="1900"/>
      </w:pPr>
      <w:r>
        <w:rPr>
          <w:color w:val="FFFFFF"/>
          <w:w w:val="85"/>
        </w:rPr>
        <w:t>MAINTAININft </w:t>
      </w:r>
      <w:r>
        <w:rPr>
          <w:color w:val="FFFFFF"/>
        </w:rPr>
        <w:t>TRANSNATIONALISM:</w:t>
      </w:r>
    </w:p>
    <w:p>
      <w:pPr>
        <w:spacing w:line="187" w:lineRule="auto" w:before="0"/>
        <w:ind w:left="2677" w:right="4759" w:hanging="43"/>
        <w:jc w:val="left"/>
        <w:rPr>
          <w:rFonts w:ascii="Lucida Sans Unicode"/>
          <w:sz w:val="24"/>
        </w:rPr>
      </w:pPr>
      <w:r>
        <w:rPr>
          <w:rFonts w:ascii="Lucida Sans Unicode"/>
          <w:color w:val="FFFFFF"/>
          <w:w w:val="90"/>
          <w:sz w:val="24"/>
        </w:rPr>
        <w:t>OF</w:t>
      </w:r>
      <w:r>
        <w:rPr>
          <w:rFonts w:ascii="Lucida Sans Unicode"/>
          <w:color w:val="FFFFFF"/>
          <w:spacing w:val="-43"/>
          <w:w w:val="90"/>
          <w:sz w:val="24"/>
        </w:rPr>
        <w:t> </w:t>
      </w:r>
      <w:r>
        <w:rPr>
          <w:rFonts w:ascii="Lucida Sans Unicode"/>
          <w:color w:val="FFFFFF"/>
          <w:w w:val="90"/>
          <w:sz w:val="24"/>
        </w:rPr>
        <w:t>DIftITAL</w:t>
      </w:r>
      <w:r>
        <w:rPr>
          <w:rFonts w:ascii="Lucida Sans Unicode"/>
          <w:color w:val="FFFFFF"/>
          <w:spacing w:val="-43"/>
          <w:w w:val="90"/>
          <w:sz w:val="24"/>
        </w:rPr>
        <w:t> </w:t>
      </w:r>
      <w:r>
        <w:rPr>
          <w:rFonts w:ascii="Lucida Sans Unicode"/>
          <w:color w:val="FFFFFF"/>
          <w:w w:val="90"/>
          <w:sz w:val="24"/>
        </w:rPr>
        <w:t>COMMUNICATION AMONft US-bORN</w:t>
      </w:r>
      <w:r>
        <w:rPr>
          <w:rFonts w:ascii="Lucida Sans Unicode"/>
          <w:color w:val="FFFFFF"/>
          <w:spacing w:val="-3"/>
          <w:w w:val="90"/>
          <w:sz w:val="24"/>
        </w:rPr>
        <w:t> </w:t>
      </w:r>
      <w:r>
        <w:rPr>
          <w:rFonts w:ascii="Lucida Sans Unicode"/>
          <w:color w:val="FFFFFF"/>
          <w:w w:val="90"/>
          <w:sz w:val="24"/>
        </w:rPr>
        <w:t>MEXICANS</w:t>
      </w:r>
    </w:p>
    <w:p>
      <w:pPr>
        <w:pStyle w:val="Heading4"/>
        <w:spacing w:before="124"/>
        <w:ind w:left="5712"/>
        <w:rPr>
          <w:sz w:val="18"/>
        </w:rPr>
      </w:pPr>
      <w:r>
        <w:rPr>
          <w:color w:val="FFFFFF"/>
        </w:rPr>
        <w:t>Martha  Sidury Christiansen</w:t>
      </w:r>
      <w:r>
        <w:rPr>
          <w:color w:val="FFFFFF"/>
          <w:sz w:val="18"/>
        </w:rPr>
        <w: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6"/>
        </w:rPr>
      </w:pPr>
    </w:p>
    <w:p>
      <w:pPr>
        <w:spacing w:line="180" w:lineRule="exact" w:before="69"/>
        <w:ind w:left="2120" w:right="1727" w:firstLine="0"/>
        <w:jc w:val="both"/>
        <w:rPr>
          <w:rFonts w:ascii="Calibri"/>
          <w:i/>
          <w:sz w:val="15"/>
        </w:rPr>
      </w:pPr>
      <w:r>
        <w:rPr>
          <w:rFonts w:ascii="Calibri"/>
          <w:color w:val="FFFFFF"/>
          <w:sz w:val="15"/>
        </w:rPr>
        <w:t>* Ph.D. in Foreign, Second, and Multilingual Language Education. Assistant Professor in Department of Bicul- tural-Bilingual Studies, College of Education and Human Development in University of Texas at San tonio. </w:t>
      </w:r>
      <w:hyperlink r:id="rId367">
        <w:r>
          <w:rPr>
            <w:rFonts w:ascii="Calibri"/>
            <w:i/>
            <w:color w:val="FFFFFF"/>
            <w:sz w:val="15"/>
          </w:rPr>
          <w:t>marthasidury.christiansen@utsa.edu</w:t>
        </w:r>
      </w:hyperlink>
    </w:p>
    <w:p>
      <w:pPr>
        <w:spacing w:after="0" w:line="180" w:lineRule="exact"/>
        <w:jc w:val="both"/>
        <w:rPr>
          <w:rFonts w:ascii="Calibri"/>
          <w:sz w:val="15"/>
        </w:rPr>
        <w:sectPr>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368"/>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b/>
          <w:sz w:val="22"/>
        </w:rPr>
      </w:pPr>
      <w:r>
        <w:rPr>
          <w:rFonts w:ascii="Arial"/>
          <w:b/>
          <w:color w:val="231F20"/>
          <w:sz w:val="22"/>
        </w:rPr>
        <w:t>Introduction</w:t>
      </w:r>
    </w:p>
    <w:p>
      <w:pPr>
        <w:pStyle w:val="BodyText"/>
        <w:rPr>
          <w:rFonts w:ascii="Arial"/>
          <w:b/>
          <w:sz w:val="20"/>
        </w:rPr>
      </w:pPr>
    </w:p>
    <w:p>
      <w:pPr>
        <w:pStyle w:val="BodyText"/>
        <w:spacing w:before="2"/>
        <w:rPr>
          <w:rFonts w:ascii="Arial"/>
          <w:b/>
          <w:sz w:val="16"/>
        </w:rPr>
      </w:pPr>
    </w:p>
    <w:p>
      <w:pPr>
        <w:pStyle w:val="BodyText"/>
        <w:spacing w:line="261" w:lineRule="auto"/>
        <w:ind w:left="2900" w:right="1716"/>
        <w:jc w:val="both"/>
      </w:pPr>
      <w:r>
        <w:rPr/>
        <w:pict>
          <v:shape style="position:absolute;margin-left:99.408798pt;margin-top:13.11352pt;width:39.7pt;height:51pt;mso-position-horizontal-relative:page;mso-position-vertical-relative:paragraph;z-index:41848"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A</w:t>
                  </w:r>
                </w:p>
              </w:txbxContent>
            </v:textbox>
            <w10:wrap type="none"/>
          </v:shape>
        </w:pict>
      </w:r>
      <w:r>
        <w:rPr>
          <w:color w:val="231F20"/>
          <w:w w:val="105"/>
        </w:rPr>
        <w:t>transnational</w:t>
      </w:r>
      <w:r>
        <w:rPr>
          <w:color w:val="231F20"/>
          <w:spacing w:val="-7"/>
          <w:w w:val="105"/>
        </w:rPr>
        <w:t> </w:t>
      </w:r>
      <w:r>
        <w:rPr>
          <w:color w:val="231F20"/>
          <w:w w:val="105"/>
        </w:rPr>
        <w:t>community</w:t>
      </w:r>
      <w:r>
        <w:rPr>
          <w:color w:val="231F20"/>
          <w:spacing w:val="-7"/>
          <w:w w:val="105"/>
        </w:rPr>
        <w:t> </w:t>
      </w:r>
      <w:r>
        <w:rPr>
          <w:color w:val="231F20"/>
          <w:w w:val="105"/>
        </w:rPr>
        <w:t>is</w:t>
      </w:r>
      <w:r>
        <w:rPr>
          <w:color w:val="231F20"/>
          <w:spacing w:val="-7"/>
          <w:w w:val="105"/>
        </w:rPr>
        <w:t> </w:t>
      </w:r>
      <w:r>
        <w:rPr>
          <w:color w:val="231F20"/>
          <w:w w:val="105"/>
        </w:rPr>
        <w:t>one</w:t>
      </w:r>
      <w:r>
        <w:rPr>
          <w:color w:val="231F20"/>
          <w:spacing w:val="-7"/>
          <w:w w:val="105"/>
        </w:rPr>
        <w:t> </w:t>
      </w:r>
      <w:r>
        <w:rPr>
          <w:color w:val="231F20"/>
          <w:w w:val="105"/>
        </w:rPr>
        <w:t>which</w:t>
      </w:r>
      <w:r>
        <w:rPr>
          <w:color w:val="231F20"/>
          <w:spacing w:val="-7"/>
          <w:w w:val="105"/>
        </w:rPr>
        <w:t> </w:t>
      </w:r>
      <w:r>
        <w:rPr>
          <w:color w:val="231F20"/>
          <w:w w:val="105"/>
        </w:rPr>
        <w:t>has</w:t>
      </w:r>
      <w:r>
        <w:rPr>
          <w:color w:val="231F20"/>
          <w:spacing w:val="-7"/>
          <w:w w:val="105"/>
        </w:rPr>
        <w:t> </w:t>
      </w:r>
      <w:r>
        <w:rPr>
          <w:color w:val="231F20"/>
          <w:w w:val="105"/>
        </w:rPr>
        <w:t>civic,</w:t>
      </w:r>
      <w:r>
        <w:rPr>
          <w:color w:val="231F20"/>
          <w:spacing w:val="-12"/>
          <w:w w:val="105"/>
        </w:rPr>
        <w:t> </w:t>
      </w:r>
      <w:r>
        <w:rPr>
          <w:color w:val="231F20"/>
          <w:w w:val="105"/>
        </w:rPr>
        <w:t>political,</w:t>
      </w:r>
      <w:r>
        <w:rPr>
          <w:color w:val="231F20"/>
          <w:spacing w:val="-12"/>
          <w:w w:val="105"/>
        </w:rPr>
        <w:t> </w:t>
      </w:r>
      <w:r>
        <w:rPr>
          <w:color w:val="231F20"/>
          <w:w w:val="105"/>
        </w:rPr>
        <w:t>and cultural</w:t>
      </w:r>
      <w:r>
        <w:rPr>
          <w:color w:val="231F20"/>
          <w:spacing w:val="-15"/>
          <w:w w:val="105"/>
        </w:rPr>
        <w:t> </w:t>
      </w:r>
      <w:r>
        <w:rPr>
          <w:color w:val="231F20"/>
          <w:w w:val="105"/>
        </w:rPr>
        <w:t>ties,</w:t>
      </w:r>
      <w:r>
        <w:rPr>
          <w:color w:val="231F20"/>
          <w:spacing w:val="-20"/>
          <w:w w:val="105"/>
        </w:rPr>
        <w:t> </w:t>
      </w:r>
      <w:r>
        <w:rPr>
          <w:color w:val="231F20"/>
          <w:w w:val="105"/>
        </w:rPr>
        <w:t>as</w:t>
      </w:r>
      <w:r>
        <w:rPr>
          <w:color w:val="231F20"/>
          <w:spacing w:val="-15"/>
          <w:w w:val="105"/>
        </w:rPr>
        <w:t> </w:t>
      </w:r>
      <w:r>
        <w:rPr>
          <w:color w:val="231F20"/>
          <w:w w:val="105"/>
        </w:rPr>
        <w:t>well</w:t>
      </w:r>
      <w:r>
        <w:rPr>
          <w:color w:val="231F20"/>
          <w:spacing w:val="-15"/>
          <w:w w:val="105"/>
        </w:rPr>
        <w:t> </w:t>
      </w:r>
      <w:r>
        <w:rPr>
          <w:color w:val="231F20"/>
          <w:w w:val="105"/>
        </w:rPr>
        <w:t>as</w:t>
      </w:r>
      <w:r>
        <w:rPr>
          <w:color w:val="231F20"/>
          <w:spacing w:val="-15"/>
          <w:w w:val="105"/>
        </w:rPr>
        <w:t> </w:t>
      </w:r>
      <w:r>
        <w:rPr>
          <w:color w:val="231F20"/>
          <w:w w:val="105"/>
        </w:rPr>
        <w:t>individual</w:t>
      </w:r>
      <w:r>
        <w:rPr>
          <w:color w:val="231F20"/>
          <w:spacing w:val="-15"/>
          <w:w w:val="105"/>
        </w:rPr>
        <w:t> </w:t>
      </w:r>
      <w:r>
        <w:rPr>
          <w:color w:val="231F20"/>
          <w:w w:val="105"/>
        </w:rPr>
        <w:t>participation</w:t>
      </w:r>
      <w:r>
        <w:rPr>
          <w:color w:val="231F20"/>
          <w:spacing w:val="-15"/>
          <w:w w:val="105"/>
        </w:rPr>
        <w:t> </w:t>
      </w:r>
      <w:r>
        <w:rPr>
          <w:color w:val="231F20"/>
          <w:w w:val="105"/>
        </w:rPr>
        <w:t>(or</w:t>
      </w:r>
      <w:r>
        <w:rPr>
          <w:color w:val="231F20"/>
          <w:spacing w:val="-15"/>
          <w:w w:val="105"/>
        </w:rPr>
        <w:t> </w:t>
      </w:r>
      <w:r>
        <w:rPr>
          <w:color w:val="231F20"/>
          <w:w w:val="105"/>
        </w:rPr>
        <w:t>through</w:t>
      </w:r>
      <w:r>
        <w:rPr>
          <w:color w:val="231F20"/>
          <w:spacing w:val="-15"/>
          <w:w w:val="105"/>
        </w:rPr>
        <w:t> </w:t>
      </w:r>
      <w:r>
        <w:rPr>
          <w:color w:val="231F20"/>
          <w:w w:val="105"/>
        </w:rPr>
        <w:t>ins- titutions)</w:t>
      </w:r>
      <w:r>
        <w:rPr>
          <w:color w:val="231F20"/>
          <w:spacing w:val="-7"/>
          <w:w w:val="105"/>
        </w:rPr>
        <w:t> </w:t>
      </w:r>
      <w:r>
        <w:rPr>
          <w:color w:val="231F20"/>
          <w:w w:val="105"/>
        </w:rPr>
        <w:t>in</w:t>
      </w:r>
      <w:r>
        <w:rPr>
          <w:color w:val="231F20"/>
          <w:spacing w:val="-7"/>
          <w:w w:val="105"/>
        </w:rPr>
        <w:t> </w:t>
      </w:r>
      <w:r>
        <w:rPr>
          <w:color w:val="231F20"/>
          <w:w w:val="105"/>
        </w:rPr>
        <w:t>more</w:t>
      </w:r>
      <w:r>
        <w:rPr>
          <w:color w:val="231F20"/>
          <w:spacing w:val="-7"/>
          <w:w w:val="105"/>
        </w:rPr>
        <w:t> </w:t>
      </w:r>
      <w:r>
        <w:rPr>
          <w:color w:val="231F20"/>
          <w:w w:val="105"/>
        </w:rPr>
        <w:t>than</w:t>
      </w:r>
      <w:r>
        <w:rPr>
          <w:color w:val="231F20"/>
          <w:spacing w:val="-7"/>
          <w:w w:val="105"/>
        </w:rPr>
        <w:t> </w:t>
      </w:r>
      <w:r>
        <w:rPr>
          <w:color w:val="231F20"/>
          <w:w w:val="105"/>
        </w:rPr>
        <w:t>one</w:t>
      </w:r>
      <w:r>
        <w:rPr>
          <w:color w:val="231F20"/>
          <w:spacing w:val="-7"/>
          <w:w w:val="105"/>
        </w:rPr>
        <w:t> </w:t>
      </w:r>
      <w:r>
        <w:rPr>
          <w:color w:val="231F20"/>
          <w:w w:val="105"/>
        </w:rPr>
        <w:t>country</w:t>
      </w:r>
      <w:r>
        <w:rPr>
          <w:color w:val="231F20"/>
          <w:spacing w:val="-7"/>
          <w:w w:val="105"/>
        </w:rPr>
        <w:t> </w:t>
      </w:r>
      <w:r>
        <w:rPr>
          <w:color w:val="231F20"/>
          <w:w w:val="105"/>
        </w:rPr>
        <w:t>(Cornelius,</w:t>
      </w:r>
      <w:r>
        <w:rPr>
          <w:color w:val="231F20"/>
          <w:spacing w:val="-12"/>
          <w:w w:val="105"/>
        </w:rPr>
        <w:t> </w:t>
      </w:r>
      <w:r>
        <w:rPr>
          <w:color w:val="231F20"/>
          <w:w w:val="105"/>
        </w:rPr>
        <w:t>2009;</w:t>
      </w:r>
      <w:r>
        <w:rPr>
          <w:color w:val="231F20"/>
          <w:spacing w:val="-7"/>
          <w:w w:val="105"/>
        </w:rPr>
        <w:t> </w:t>
      </w:r>
      <w:r>
        <w:rPr>
          <w:color w:val="231F20"/>
          <w:w w:val="105"/>
        </w:rPr>
        <w:t>Schiller, Basch</w:t>
      </w:r>
      <w:r>
        <w:rPr>
          <w:color w:val="231F20"/>
          <w:spacing w:val="-34"/>
          <w:w w:val="105"/>
        </w:rPr>
        <w:t> </w:t>
      </w:r>
      <w:r>
        <w:rPr>
          <w:color w:val="231F20"/>
          <w:w w:val="105"/>
        </w:rPr>
        <w:t>and</w:t>
      </w:r>
      <w:r>
        <w:rPr>
          <w:color w:val="231F20"/>
          <w:spacing w:val="-34"/>
          <w:w w:val="105"/>
        </w:rPr>
        <w:t> </w:t>
      </w:r>
      <w:r>
        <w:rPr>
          <w:color w:val="231F20"/>
          <w:w w:val="105"/>
        </w:rPr>
        <w:t>Blanc,</w:t>
      </w:r>
      <w:r>
        <w:rPr>
          <w:color w:val="231F20"/>
          <w:spacing w:val="-37"/>
          <w:w w:val="105"/>
        </w:rPr>
        <w:t> </w:t>
      </w:r>
      <w:r>
        <w:rPr>
          <w:color w:val="231F20"/>
          <w:w w:val="105"/>
        </w:rPr>
        <w:t>1992;</w:t>
      </w:r>
      <w:r>
        <w:rPr>
          <w:color w:val="231F20"/>
          <w:spacing w:val="-34"/>
          <w:w w:val="105"/>
        </w:rPr>
        <w:t> </w:t>
      </w:r>
      <w:r>
        <w:rPr>
          <w:color w:val="231F20"/>
          <w:w w:val="105"/>
        </w:rPr>
        <w:t>Smith,</w:t>
      </w:r>
      <w:r>
        <w:rPr>
          <w:color w:val="231F20"/>
          <w:spacing w:val="-37"/>
          <w:w w:val="105"/>
        </w:rPr>
        <w:t> </w:t>
      </w:r>
      <w:r>
        <w:rPr>
          <w:color w:val="231F20"/>
          <w:w w:val="105"/>
        </w:rPr>
        <w:t>2006).</w:t>
      </w:r>
      <w:r>
        <w:rPr>
          <w:color w:val="231F20"/>
          <w:spacing w:val="-37"/>
          <w:w w:val="105"/>
        </w:rPr>
        <w:t> </w:t>
      </w:r>
      <w:r>
        <w:rPr>
          <w:color w:val="231F20"/>
          <w:w w:val="105"/>
        </w:rPr>
        <w:t>However,</w:t>
      </w:r>
      <w:r>
        <w:rPr>
          <w:color w:val="231F20"/>
          <w:spacing w:val="-37"/>
          <w:w w:val="105"/>
        </w:rPr>
        <w:t> </w:t>
      </w:r>
      <w:r>
        <w:rPr>
          <w:color w:val="231F20"/>
          <w:w w:val="105"/>
        </w:rPr>
        <w:t>the</w:t>
      </w:r>
      <w:r>
        <w:rPr>
          <w:color w:val="231F20"/>
          <w:spacing w:val="-34"/>
          <w:w w:val="105"/>
        </w:rPr>
        <w:t> </w:t>
      </w:r>
      <w:r>
        <w:rPr>
          <w:color w:val="231F20"/>
          <w:w w:val="105"/>
        </w:rPr>
        <w:t>term</w:t>
      </w:r>
      <w:r>
        <w:rPr>
          <w:color w:val="231F20"/>
          <w:spacing w:val="-34"/>
          <w:w w:val="105"/>
        </w:rPr>
        <w:t> </w:t>
      </w:r>
      <w:r>
        <w:rPr>
          <w:color w:val="231F20"/>
          <w:w w:val="105"/>
        </w:rPr>
        <w:t>trans- national</w:t>
      </w:r>
      <w:r>
        <w:rPr>
          <w:color w:val="231F20"/>
          <w:spacing w:val="-20"/>
          <w:w w:val="105"/>
        </w:rPr>
        <w:t> </w:t>
      </w:r>
      <w:r>
        <w:rPr>
          <w:color w:val="231F20"/>
          <w:w w:val="105"/>
        </w:rPr>
        <w:t>has</w:t>
      </w:r>
      <w:r>
        <w:rPr>
          <w:color w:val="231F20"/>
          <w:spacing w:val="-20"/>
          <w:w w:val="105"/>
        </w:rPr>
        <w:t> </w:t>
      </w:r>
      <w:r>
        <w:rPr>
          <w:color w:val="231F20"/>
          <w:w w:val="105"/>
        </w:rPr>
        <w:t>been</w:t>
      </w:r>
      <w:r>
        <w:rPr>
          <w:color w:val="231F20"/>
          <w:spacing w:val="-20"/>
          <w:w w:val="105"/>
        </w:rPr>
        <w:t> </w:t>
      </w:r>
      <w:r>
        <w:rPr>
          <w:color w:val="231F20"/>
          <w:w w:val="105"/>
        </w:rPr>
        <w:t>contested</w:t>
      </w:r>
      <w:r>
        <w:rPr>
          <w:color w:val="231F20"/>
          <w:spacing w:val="-20"/>
          <w:w w:val="105"/>
        </w:rPr>
        <w:t> </w:t>
      </w:r>
      <w:r>
        <w:rPr>
          <w:color w:val="231F20"/>
          <w:w w:val="105"/>
        </w:rPr>
        <w:t>(Levitt</w:t>
      </w:r>
      <w:r>
        <w:rPr>
          <w:color w:val="231F20"/>
          <w:spacing w:val="-20"/>
          <w:w w:val="105"/>
        </w:rPr>
        <w:t> </w:t>
      </w:r>
      <w:r>
        <w:rPr>
          <w:color w:val="231F20"/>
          <w:w w:val="105"/>
        </w:rPr>
        <w:t>and</w:t>
      </w:r>
      <w:r>
        <w:rPr>
          <w:color w:val="231F20"/>
          <w:spacing w:val="-21"/>
          <w:w w:val="105"/>
        </w:rPr>
        <w:t> </w:t>
      </w:r>
      <w:r>
        <w:rPr>
          <w:color w:val="231F20"/>
          <w:w w:val="105"/>
        </w:rPr>
        <w:t>Waters,</w:t>
      </w:r>
      <w:r>
        <w:rPr>
          <w:color w:val="231F20"/>
          <w:spacing w:val="-24"/>
          <w:w w:val="105"/>
        </w:rPr>
        <w:t> </w:t>
      </w:r>
      <w:r>
        <w:rPr>
          <w:color w:val="231F20"/>
          <w:w w:val="105"/>
        </w:rPr>
        <w:t>2006).</w:t>
      </w:r>
      <w:r>
        <w:rPr>
          <w:color w:val="231F20"/>
          <w:spacing w:val="-27"/>
          <w:w w:val="105"/>
        </w:rPr>
        <w:t> </w:t>
      </w:r>
      <w:r>
        <w:rPr>
          <w:color w:val="231F20"/>
          <w:w w:val="105"/>
        </w:rPr>
        <w:t>A</w:t>
      </w:r>
      <w:r>
        <w:rPr>
          <w:color w:val="231F20"/>
          <w:spacing w:val="-23"/>
          <w:w w:val="105"/>
        </w:rPr>
        <w:t> </w:t>
      </w:r>
      <w:r>
        <w:rPr>
          <w:color w:val="231F20"/>
          <w:w w:val="105"/>
        </w:rPr>
        <w:t>spe-</w:t>
      </w:r>
    </w:p>
    <w:p>
      <w:pPr>
        <w:pStyle w:val="BodyText"/>
        <w:spacing w:line="261" w:lineRule="auto" w:before="1"/>
        <w:ind w:left="1837" w:right="1714"/>
        <w:jc w:val="both"/>
      </w:pPr>
      <w:r>
        <w:rPr>
          <w:color w:val="231F20"/>
          <w:w w:val="105"/>
        </w:rPr>
        <w:t>cific</w:t>
      </w:r>
      <w:r>
        <w:rPr>
          <w:color w:val="231F20"/>
          <w:spacing w:val="-34"/>
          <w:w w:val="105"/>
        </w:rPr>
        <w:t> </w:t>
      </w:r>
      <w:r>
        <w:rPr>
          <w:color w:val="231F20"/>
          <w:w w:val="105"/>
        </w:rPr>
        <w:t>view</w:t>
      </w:r>
      <w:r>
        <w:rPr>
          <w:color w:val="231F20"/>
          <w:spacing w:val="-34"/>
          <w:w w:val="105"/>
        </w:rPr>
        <w:t> </w:t>
      </w:r>
      <w:r>
        <w:rPr>
          <w:color w:val="231F20"/>
          <w:w w:val="105"/>
        </w:rPr>
        <w:t>of</w:t>
      </w:r>
      <w:r>
        <w:rPr>
          <w:color w:val="231F20"/>
          <w:spacing w:val="-31"/>
          <w:w w:val="105"/>
        </w:rPr>
        <w:t> </w:t>
      </w:r>
      <w:r>
        <w:rPr>
          <w:color w:val="231F20"/>
          <w:w w:val="105"/>
        </w:rPr>
        <w:t>transnationals</w:t>
      </w:r>
      <w:r>
        <w:rPr>
          <w:color w:val="231F20"/>
          <w:spacing w:val="-34"/>
          <w:w w:val="105"/>
        </w:rPr>
        <w:t> </w:t>
      </w:r>
      <w:r>
        <w:rPr>
          <w:color w:val="231F20"/>
          <w:w w:val="105"/>
        </w:rPr>
        <w:t>encompasses</w:t>
      </w:r>
      <w:r>
        <w:rPr>
          <w:color w:val="231F20"/>
          <w:spacing w:val="-34"/>
          <w:w w:val="105"/>
        </w:rPr>
        <w:t> </w:t>
      </w:r>
      <w:r>
        <w:rPr>
          <w:color w:val="231F20"/>
          <w:w w:val="105"/>
        </w:rPr>
        <w:t>those</w:t>
      </w:r>
      <w:r>
        <w:rPr>
          <w:color w:val="231F20"/>
          <w:spacing w:val="-34"/>
          <w:w w:val="105"/>
        </w:rPr>
        <w:t> </w:t>
      </w:r>
      <w:r>
        <w:rPr>
          <w:color w:val="231F20"/>
          <w:w w:val="105"/>
        </w:rPr>
        <w:t>individuals</w:t>
      </w:r>
      <w:r>
        <w:rPr>
          <w:color w:val="231F20"/>
          <w:spacing w:val="-34"/>
          <w:w w:val="105"/>
        </w:rPr>
        <w:t> </w:t>
      </w:r>
      <w:r>
        <w:rPr>
          <w:color w:val="231F20"/>
          <w:w w:val="105"/>
        </w:rPr>
        <w:t>who</w:t>
      </w:r>
      <w:r>
        <w:rPr>
          <w:color w:val="231F20"/>
          <w:spacing w:val="-34"/>
          <w:w w:val="105"/>
        </w:rPr>
        <w:t> </w:t>
      </w:r>
      <w:r>
        <w:rPr>
          <w:color w:val="231F20"/>
          <w:w w:val="105"/>
        </w:rPr>
        <w:t>have</w:t>
      </w:r>
      <w:r>
        <w:rPr>
          <w:color w:val="231F20"/>
          <w:spacing w:val="-34"/>
          <w:w w:val="105"/>
        </w:rPr>
        <w:t> </w:t>
      </w:r>
      <w:r>
        <w:rPr>
          <w:color w:val="231F20"/>
          <w:w w:val="105"/>
        </w:rPr>
        <w:t>esta- blished</w:t>
      </w:r>
      <w:r>
        <w:rPr>
          <w:color w:val="231F20"/>
          <w:spacing w:val="-16"/>
          <w:w w:val="105"/>
        </w:rPr>
        <w:t> </w:t>
      </w:r>
      <w:r>
        <w:rPr>
          <w:color w:val="231F20"/>
          <w:w w:val="105"/>
        </w:rPr>
        <w:t>“social</w:t>
      </w:r>
      <w:r>
        <w:rPr>
          <w:color w:val="231F20"/>
          <w:spacing w:val="-16"/>
          <w:w w:val="105"/>
        </w:rPr>
        <w:t> </w:t>
      </w:r>
      <w:r>
        <w:rPr>
          <w:color w:val="231F20"/>
          <w:w w:val="105"/>
        </w:rPr>
        <w:t>fields</w:t>
      </w:r>
      <w:r>
        <w:rPr>
          <w:color w:val="231F20"/>
          <w:spacing w:val="-16"/>
          <w:w w:val="105"/>
        </w:rPr>
        <w:t> </w:t>
      </w:r>
      <w:r>
        <w:rPr>
          <w:color w:val="231F20"/>
          <w:w w:val="105"/>
        </w:rPr>
        <w:t>that</w:t>
      </w:r>
      <w:r>
        <w:rPr>
          <w:color w:val="231F20"/>
          <w:spacing w:val="-16"/>
          <w:w w:val="105"/>
        </w:rPr>
        <w:t> </w:t>
      </w:r>
      <w:r>
        <w:rPr>
          <w:color w:val="231F20"/>
          <w:w w:val="105"/>
        </w:rPr>
        <w:t>cross</w:t>
      </w:r>
      <w:r>
        <w:rPr>
          <w:color w:val="231F20"/>
          <w:spacing w:val="-16"/>
          <w:w w:val="105"/>
        </w:rPr>
        <w:t> </w:t>
      </w:r>
      <w:r>
        <w:rPr>
          <w:color w:val="231F20"/>
          <w:w w:val="105"/>
        </w:rPr>
        <w:t>geographic,</w:t>
      </w:r>
      <w:r>
        <w:rPr>
          <w:color w:val="231F20"/>
          <w:spacing w:val="-23"/>
          <w:w w:val="105"/>
        </w:rPr>
        <w:t> </w:t>
      </w:r>
      <w:r>
        <w:rPr>
          <w:color w:val="231F20"/>
          <w:w w:val="105"/>
        </w:rPr>
        <w:t>cultural</w:t>
      </w:r>
      <w:r>
        <w:rPr>
          <w:color w:val="231F20"/>
          <w:spacing w:val="-16"/>
          <w:w w:val="105"/>
        </w:rPr>
        <w:t> </w:t>
      </w:r>
      <w:r>
        <w:rPr>
          <w:color w:val="231F20"/>
          <w:w w:val="105"/>
        </w:rPr>
        <w:t>and</w:t>
      </w:r>
      <w:r>
        <w:rPr>
          <w:color w:val="231F20"/>
          <w:spacing w:val="-16"/>
          <w:w w:val="105"/>
        </w:rPr>
        <w:t> </w:t>
      </w:r>
      <w:r>
        <w:rPr>
          <w:color w:val="231F20"/>
          <w:w w:val="105"/>
        </w:rPr>
        <w:t>political</w:t>
      </w:r>
      <w:r>
        <w:rPr>
          <w:color w:val="231F20"/>
          <w:spacing w:val="-16"/>
          <w:w w:val="105"/>
        </w:rPr>
        <w:t> </w:t>
      </w:r>
      <w:r>
        <w:rPr>
          <w:color w:val="231F20"/>
          <w:w w:val="105"/>
        </w:rPr>
        <w:t>borders, </w:t>
      </w:r>
      <w:r>
        <w:rPr>
          <w:color w:val="231F20"/>
          <w:spacing w:val="-4"/>
          <w:w w:val="105"/>
        </w:rPr>
        <w:t>develop</w:t>
      </w:r>
      <w:r>
        <w:rPr>
          <w:color w:val="231F20"/>
          <w:spacing w:val="-11"/>
          <w:w w:val="105"/>
        </w:rPr>
        <w:t> </w:t>
      </w:r>
      <w:r>
        <w:rPr>
          <w:color w:val="231F20"/>
          <w:spacing w:val="-3"/>
          <w:w w:val="105"/>
        </w:rPr>
        <w:t>and</w:t>
      </w:r>
      <w:r>
        <w:rPr>
          <w:color w:val="231F20"/>
          <w:spacing w:val="-11"/>
          <w:w w:val="105"/>
        </w:rPr>
        <w:t> </w:t>
      </w:r>
      <w:r>
        <w:rPr>
          <w:color w:val="231F20"/>
          <w:spacing w:val="-4"/>
          <w:w w:val="105"/>
        </w:rPr>
        <w:t>maintain</w:t>
      </w:r>
      <w:r>
        <w:rPr>
          <w:color w:val="231F20"/>
          <w:spacing w:val="-11"/>
          <w:w w:val="105"/>
        </w:rPr>
        <w:t> </w:t>
      </w:r>
      <w:r>
        <w:rPr>
          <w:color w:val="231F20"/>
          <w:spacing w:val="-4"/>
          <w:w w:val="105"/>
        </w:rPr>
        <w:t>multiple</w:t>
      </w:r>
      <w:r>
        <w:rPr>
          <w:color w:val="231F20"/>
          <w:spacing w:val="-11"/>
          <w:w w:val="105"/>
        </w:rPr>
        <w:t> </w:t>
      </w:r>
      <w:r>
        <w:rPr>
          <w:color w:val="231F20"/>
          <w:spacing w:val="-5"/>
          <w:w w:val="105"/>
        </w:rPr>
        <w:t>relations</w:t>
      </w:r>
      <w:r>
        <w:rPr>
          <w:color w:val="231F20"/>
          <w:spacing w:val="-11"/>
          <w:w w:val="105"/>
        </w:rPr>
        <w:t> </w:t>
      </w:r>
      <w:r>
        <w:rPr>
          <w:color w:val="231F20"/>
          <w:spacing w:val="-4"/>
          <w:w w:val="105"/>
        </w:rPr>
        <w:t>—familial,</w:t>
      </w:r>
      <w:r>
        <w:rPr>
          <w:color w:val="231F20"/>
          <w:spacing w:val="-18"/>
          <w:w w:val="105"/>
        </w:rPr>
        <w:t> </w:t>
      </w:r>
      <w:r>
        <w:rPr>
          <w:color w:val="231F20"/>
          <w:spacing w:val="-4"/>
          <w:w w:val="105"/>
        </w:rPr>
        <w:t>economic,</w:t>
      </w:r>
      <w:r>
        <w:rPr>
          <w:color w:val="231F20"/>
          <w:spacing w:val="-18"/>
          <w:w w:val="105"/>
        </w:rPr>
        <w:t> </w:t>
      </w:r>
      <w:r>
        <w:rPr>
          <w:color w:val="231F20"/>
          <w:spacing w:val="-4"/>
          <w:w w:val="105"/>
        </w:rPr>
        <w:t>social,</w:t>
      </w:r>
      <w:r>
        <w:rPr>
          <w:color w:val="231F20"/>
          <w:spacing w:val="-17"/>
          <w:w w:val="105"/>
        </w:rPr>
        <w:t> </w:t>
      </w:r>
      <w:r>
        <w:rPr>
          <w:color w:val="231F20"/>
          <w:spacing w:val="-4"/>
          <w:w w:val="105"/>
        </w:rPr>
        <w:t>organi- zational,</w:t>
      </w:r>
      <w:r>
        <w:rPr>
          <w:color w:val="231F20"/>
          <w:spacing w:val="-24"/>
          <w:w w:val="105"/>
        </w:rPr>
        <w:t> </w:t>
      </w:r>
      <w:r>
        <w:rPr>
          <w:color w:val="231F20"/>
          <w:spacing w:val="-4"/>
          <w:w w:val="105"/>
        </w:rPr>
        <w:t>religious,</w:t>
      </w:r>
      <w:r>
        <w:rPr>
          <w:color w:val="231F20"/>
          <w:spacing w:val="-24"/>
          <w:w w:val="105"/>
        </w:rPr>
        <w:t> </w:t>
      </w:r>
      <w:r>
        <w:rPr>
          <w:color w:val="231F20"/>
          <w:spacing w:val="-3"/>
          <w:w w:val="105"/>
        </w:rPr>
        <w:t>and</w:t>
      </w:r>
      <w:r>
        <w:rPr>
          <w:color w:val="231F20"/>
          <w:spacing w:val="-18"/>
          <w:w w:val="105"/>
        </w:rPr>
        <w:t> </w:t>
      </w:r>
      <w:r>
        <w:rPr>
          <w:color w:val="231F20"/>
          <w:spacing w:val="-4"/>
          <w:w w:val="105"/>
        </w:rPr>
        <w:t>political—that</w:t>
      </w:r>
      <w:r>
        <w:rPr>
          <w:color w:val="231F20"/>
          <w:spacing w:val="-18"/>
          <w:w w:val="105"/>
        </w:rPr>
        <w:t> </w:t>
      </w:r>
      <w:r>
        <w:rPr>
          <w:color w:val="231F20"/>
          <w:spacing w:val="-3"/>
          <w:w w:val="105"/>
        </w:rPr>
        <w:t>span</w:t>
      </w:r>
      <w:r>
        <w:rPr>
          <w:color w:val="231F20"/>
          <w:spacing w:val="-18"/>
          <w:w w:val="105"/>
        </w:rPr>
        <w:t> </w:t>
      </w:r>
      <w:r>
        <w:rPr>
          <w:color w:val="231F20"/>
          <w:spacing w:val="-4"/>
          <w:w w:val="105"/>
        </w:rPr>
        <w:t>borders”</w:t>
      </w:r>
      <w:r>
        <w:rPr>
          <w:color w:val="231F20"/>
          <w:spacing w:val="-18"/>
          <w:w w:val="105"/>
        </w:rPr>
        <w:t> </w:t>
      </w:r>
      <w:r>
        <w:rPr>
          <w:color w:val="231F20"/>
          <w:spacing w:val="-4"/>
          <w:w w:val="105"/>
        </w:rPr>
        <w:t>(Schiller</w:t>
      </w:r>
      <w:r>
        <w:rPr>
          <w:color w:val="231F20"/>
          <w:spacing w:val="-18"/>
          <w:w w:val="105"/>
        </w:rPr>
        <w:t> </w:t>
      </w:r>
      <w:r>
        <w:rPr>
          <w:color w:val="231F20"/>
          <w:w w:val="105"/>
        </w:rPr>
        <w:t>et</w:t>
      </w:r>
      <w:r>
        <w:rPr>
          <w:color w:val="231F20"/>
          <w:spacing w:val="-18"/>
          <w:w w:val="105"/>
        </w:rPr>
        <w:t> </w:t>
      </w:r>
      <w:r>
        <w:rPr>
          <w:color w:val="231F20"/>
          <w:spacing w:val="-3"/>
          <w:w w:val="105"/>
        </w:rPr>
        <w:t>al.,</w:t>
      </w:r>
      <w:r>
        <w:rPr>
          <w:color w:val="231F20"/>
          <w:spacing w:val="-24"/>
          <w:w w:val="105"/>
        </w:rPr>
        <w:t> </w:t>
      </w:r>
      <w:r>
        <w:rPr>
          <w:color w:val="231F20"/>
          <w:spacing w:val="-4"/>
          <w:w w:val="105"/>
        </w:rPr>
        <w:t>1992:</w:t>
      </w:r>
      <w:r>
        <w:rPr>
          <w:color w:val="231F20"/>
          <w:spacing w:val="-19"/>
          <w:w w:val="105"/>
        </w:rPr>
        <w:t> </w:t>
      </w:r>
      <w:r>
        <w:rPr>
          <w:color w:val="231F20"/>
          <w:spacing w:val="-3"/>
          <w:w w:val="105"/>
          <w:sz w:val="17"/>
        </w:rPr>
        <w:t>IX</w:t>
      </w:r>
      <w:r>
        <w:rPr>
          <w:color w:val="231F20"/>
          <w:spacing w:val="-3"/>
          <w:w w:val="105"/>
        </w:rPr>
        <w:t>). </w:t>
      </w:r>
      <w:r>
        <w:rPr>
          <w:color w:val="231F20"/>
          <w:w w:val="105"/>
        </w:rPr>
        <w:t>These</w:t>
      </w:r>
      <w:r>
        <w:rPr>
          <w:color w:val="231F20"/>
          <w:spacing w:val="-10"/>
          <w:w w:val="105"/>
        </w:rPr>
        <w:t> </w:t>
      </w:r>
      <w:r>
        <w:rPr>
          <w:color w:val="231F20"/>
          <w:w w:val="105"/>
        </w:rPr>
        <w:t>individuals</w:t>
      </w:r>
      <w:r>
        <w:rPr>
          <w:color w:val="231F20"/>
          <w:spacing w:val="-10"/>
          <w:w w:val="105"/>
        </w:rPr>
        <w:t> </w:t>
      </w:r>
      <w:r>
        <w:rPr>
          <w:color w:val="231F20"/>
          <w:w w:val="105"/>
        </w:rPr>
        <w:t>go</w:t>
      </w:r>
      <w:r>
        <w:rPr>
          <w:color w:val="231F20"/>
          <w:spacing w:val="-10"/>
          <w:w w:val="105"/>
        </w:rPr>
        <w:t> </w:t>
      </w:r>
      <w:r>
        <w:rPr>
          <w:color w:val="231F20"/>
          <w:w w:val="105"/>
        </w:rPr>
        <w:t>back</w:t>
      </w:r>
      <w:r>
        <w:rPr>
          <w:color w:val="231F20"/>
          <w:spacing w:val="-10"/>
          <w:w w:val="105"/>
        </w:rPr>
        <w:t> </w:t>
      </w:r>
      <w:r>
        <w:rPr>
          <w:color w:val="231F20"/>
          <w:w w:val="105"/>
        </w:rPr>
        <w:t>and</w:t>
      </w:r>
      <w:r>
        <w:rPr>
          <w:color w:val="231F20"/>
          <w:spacing w:val="-10"/>
          <w:w w:val="105"/>
        </w:rPr>
        <w:t> </w:t>
      </w:r>
      <w:r>
        <w:rPr>
          <w:color w:val="231F20"/>
          <w:w w:val="105"/>
        </w:rPr>
        <w:t>forth</w:t>
      </w:r>
      <w:r>
        <w:rPr>
          <w:color w:val="231F20"/>
          <w:spacing w:val="-10"/>
          <w:w w:val="105"/>
        </w:rPr>
        <w:t> </w:t>
      </w:r>
      <w:r>
        <w:rPr>
          <w:color w:val="231F20"/>
          <w:w w:val="105"/>
        </w:rPr>
        <w:t>between,</w:t>
      </w:r>
      <w:r>
        <w:rPr>
          <w:color w:val="231F20"/>
          <w:spacing w:val="-16"/>
          <w:w w:val="105"/>
        </w:rPr>
        <w:t> </w:t>
      </w:r>
      <w:r>
        <w:rPr>
          <w:color w:val="231F20"/>
          <w:w w:val="105"/>
        </w:rPr>
        <w:t>at</w:t>
      </w:r>
      <w:r>
        <w:rPr>
          <w:color w:val="231F20"/>
          <w:spacing w:val="-10"/>
          <w:w w:val="105"/>
        </w:rPr>
        <w:t> </w:t>
      </w:r>
      <w:r>
        <w:rPr>
          <w:color w:val="231F20"/>
          <w:w w:val="105"/>
        </w:rPr>
        <w:t>least,</w:t>
      </w:r>
      <w:r>
        <w:rPr>
          <w:color w:val="231F20"/>
          <w:spacing w:val="-16"/>
          <w:w w:val="105"/>
        </w:rPr>
        <w:t> </w:t>
      </w:r>
      <w:r>
        <w:rPr>
          <w:color w:val="231F20"/>
          <w:w w:val="105"/>
        </w:rPr>
        <w:t>two</w:t>
      </w:r>
      <w:r>
        <w:rPr>
          <w:color w:val="231F20"/>
          <w:spacing w:val="-10"/>
          <w:w w:val="105"/>
        </w:rPr>
        <w:t> </w:t>
      </w:r>
      <w:r>
        <w:rPr>
          <w:color w:val="231F20"/>
          <w:w w:val="105"/>
        </w:rPr>
        <w:t>countries</w:t>
      </w:r>
      <w:r>
        <w:rPr>
          <w:color w:val="231F20"/>
          <w:spacing w:val="-10"/>
          <w:w w:val="105"/>
        </w:rPr>
        <w:t> </w:t>
      </w:r>
      <w:r>
        <w:rPr>
          <w:color w:val="231F20"/>
          <w:w w:val="105"/>
        </w:rPr>
        <w:t>and study/work, become politically involved, and physically participate on both</w:t>
      </w:r>
      <w:r>
        <w:rPr>
          <w:color w:val="231F20"/>
          <w:spacing w:val="-5"/>
          <w:w w:val="105"/>
        </w:rPr>
        <w:t> </w:t>
      </w:r>
      <w:r>
        <w:rPr>
          <w:color w:val="231F20"/>
          <w:w w:val="105"/>
        </w:rPr>
        <w:t>sides</w:t>
      </w:r>
      <w:r>
        <w:rPr>
          <w:color w:val="231F20"/>
          <w:spacing w:val="-5"/>
          <w:w w:val="105"/>
        </w:rPr>
        <w:t> </w:t>
      </w:r>
      <w:r>
        <w:rPr>
          <w:color w:val="231F20"/>
          <w:w w:val="105"/>
        </w:rPr>
        <w:t>of</w:t>
      </w:r>
      <w:r>
        <w:rPr>
          <w:color w:val="231F20"/>
          <w:spacing w:val="-1"/>
          <w:w w:val="105"/>
        </w:rPr>
        <w:t> </w:t>
      </w:r>
      <w:r>
        <w:rPr>
          <w:color w:val="231F20"/>
          <w:w w:val="105"/>
        </w:rPr>
        <w:t>the</w:t>
      </w:r>
      <w:r>
        <w:rPr>
          <w:color w:val="231F20"/>
          <w:spacing w:val="-5"/>
          <w:w w:val="105"/>
        </w:rPr>
        <w:t> </w:t>
      </w:r>
      <w:r>
        <w:rPr>
          <w:color w:val="231F20"/>
          <w:spacing w:val="-3"/>
          <w:w w:val="105"/>
        </w:rPr>
        <w:t>border.</w:t>
      </w:r>
      <w:r>
        <w:rPr>
          <w:color w:val="231F20"/>
          <w:spacing w:val="-11"/>
          <w:w w:val="105"/>
        </w:rPr>
        <w:t> </w:t>
      </w:r>
      <w:r>
        <w:rPr>
          <w:color w:val="231F20"/>
          <w:w w:val="105"/>
        </w:rPr>
        <w:t>Under</w:t>
      </w:r>
      <w:r>
        <w:rPr>
          <w:color w:val="231F20"/>
          <w:spacing w:val="-5"/>
          <w:w w:val="105"/>
        </w:rPr>
        <w:t> </w:t>
      </w:r>
      <w:r>
        <w:rPr>
          <w:color w:val="231F20"/>
          <w:w w:val="105"/>
        </w:rPr>
        <w:t>this</w:t>
      </w:r>
      <w:r>
        <w:rPr>
          <w:color w:val="231F20"/>
          <w:spacing w:val="-5"/>
          <w:w w:val="105"/>
        </w:rPr>
        <w:t> </w:t>
      </w:r>
      <w:r>
        <w:rPr>
          <w:color w:val="231F20"/>
          <w:w w:val="105"/>
        </w:rPr>
        <w:t>view,</w:t>
      </w:r>
      <w:r>
        <w:rPr>
          <w:color w:val="231F20"/>
          <w:spacing w:val="-11"/>
          <w:w w:val="105"/>
        </w:rPr>
        <w:t> </w:t>
      </w:r>
      <w:r>
        <w:rPr>
          <w:color w:val="231F20"/>
          <w:w w:val="105"/>
        </w:rPr>
        <w:t>transnationals</w:t>
      </w:r>
      <w:r>
        <w:rPr>
          <w:color w:val="231F20"/>
          <w:spacing w:val="-5"/>
          <w:w w:val="105"/>
        </w:rPr>
        <w:t> </w:t>
      </w:r>
      <w:r>
        <w:rPr>
          <w:color w:val="231F20"/>
          <w:w w:val="105"/>
        </w:rPr>
        <w:t>are</w:t>
      </w:r>
      <w:r>
        <w:rPr>
          <w:color w:val="231F20"/>
          <w:spacing w:val="-5"/>
          <w:w w:val="105"/>
        </w:rPr>
        <w:t> </w:t>
      </w:r>
      <w:r>
        <w:rPr>
          <w:color w:val="231F20"/>
          <w:w w:val="105"/>
        </w:rPr>
        <w:t>people</w:t>
      </w:r>
      <w:r>
        <w:rPr>
          <w:color w:val="231F20"/>
          <w:spacing w:val="-5"/>
          <w:w w:val="105"/>
        </w:rPr>
        <w:t> </w:t>
      </w:r>
      <w:r>
        <w:rPr>
          <w:color w:val="231F20"/>
          <w:w w:val="105"/>
        </w:rPr>
        <w:t>who divide</w:t>
      </w:r>
      <w:r>
        <w:rPr>
          <w:color w:val="231F20"/>
          <w:spacing w:val="-5"/>
          <w:w w:val="105"/>
        </w:rPr>
        <w:t> </w:t>
      </w:r>
      <w:r>
        <w:rPr>
          <w:color w:val="231F20"/>
          <w:w w:val="105"/>
        </w:rPr>
        <w:t>their</w:t>
      </w:r>
      <w:r>
        <w:rPr>
          <w:color w:val="231F20"/>
          <w:spacing w:val="-5"/>
          <w:w w:val="105"/>
        </w:rPr>
        <w:t> </w:t>
      </w:r>
      <w:r>
        <w:rPr>
          <w:color w:val="231F20"/>
          <w:w w:val="105"/>
        </w:rPr>
        <w:t>time</w:t>
      </w:r>
      <w:r>
        <w:rPr>
          <w:color w:val="231F20"/>
          <w:spacing w:val="-5"/>
          <w:w w:val="105"/>
        </w:rPr>
        <w:t> </w:t>
      </w:r>
      <w:r>
        <w:rPr>
          <w:color w:val="231F20"/>
          <w:w w:val="105"/>
        </w:rPr>
        <w:t>between</w:t>
      </w:r>
      <w:r>
        <w:rPr>
          <w:color w:val="231F20"/>
          <w:spacing w:val="-5"/>
          <w:w w:val="105"/>
        </w:rPr>
        <w:t> </w:t>
      </w:r>
      <w:r>
        <w:rPr>
          <w:color w:val="231F20"/>
          <w:w w:val="105"/>
        </w:rPr>
        <w:t>two</w:t>
      </w:r>
      <w:r>
        <w:rPr>
          <w:color w:val="231F20"/>
          <w:spacing w:val="-5"/>
          <w:w w:val="105"/>
        </w:rPr>
        <w:t> </w:t>
      </w:r>
      <w:r>
        <w:rPr>
          <w:color w:val="231F20"/>
          <w:w w:val="105"/>
        </w:rPr>
        <w:t>countries</w:t>
      </w:r>
      <w:r>
        <w:rPr>
          <w:color w:val="231F20"/>
          <w:spacing w:val="-5"/>
          <w:w w:val="105"/>
        </w:rPr>
        <w:t> </w:t>
      </w:r>
      <w:r>
        <w:rPr>
          <w:color w:val="231F20"/>
          <w:w w:val="105"/>
        </w:rPr>
        <w:t>and</w:t>
      </w:r>
      <w:r>
        <w:rPr>
          <w:color w:val="231F20"/>
          <w:spacing w:val="-5"/>
          <w:w w:val="105"/>
        </w:rPr>
        <w:t> </w:t>
      </w:r>
      <w:r>
        <w:rPr>
          <w:color w:val="231F20"/>
          <w:w w:val="105"/>
        </w:rPr>
        <w:t>maintain</w:t>
      </w:r>
      <w:r>
        <w:rPr>
          <w:color w:val="231F20"/>
          <w:spacing w:val="-5"/>
          <w:w w:val="105"/>
        </w:rPr>
        <w:t> </w:t>
      </w:r>
      <w:r>
        <w:rPr>
          <w:color w:val="231F20"/>
          <w:w w:val="105"/>
        </w:rPr>
        <w:t>a</w:t>
      </w:r>
      <w:r>
        <w:rPr>
          <w:color w:val="231F20"/>
          <w:spacing w:val="-5"/>
          <w:w w:val="105"/>
        </w:rPr>
        <w:t> </w:t>
      </w:r>
      <w:r>
        <w:rPr>
          <w:color w:val="231F20"/>
          <w:w w:val="105"/>
        </w:rPr>
        <w:t>physical</w:t>
      </w:r>
      <w:r>
        <w:rPr>
          <w:color w:val="231F20"/>
          <w:spacing w:val="-5"/>
          <w:w w:val="105"/>
        </w:rPr>
        <w:t> </w:t>
      </w:r>
      <w:r>
        <w:rPr>
          <w:color w:val="231F20"/>
          <w:w w:val="105"/>
        </w:rPr>
        <w:t>presen- ce and engagement in the social fields of both. Individuals who solely stay</w:t>
      </w:r>
      <w:r>
        <w:rPr>
          <w:color w:val="231F20"/>
          <w:spacing w:val="-3"/>
          <w:w w:val="105"/>
        </w:rPr>
        <w:t> </w:t>
      </w:r>
      <w:r>
        <w:rPr>
          <w:color w:val="231F20"/>
          <w:w w:val="105"/>
        </w:rPr>
        <w:t>in</w:t>
      </w:r>
      <w:r>
        <w:rPr>
          <w:color w:val="231F20"/>
          <w:spacing w:val="-3"/>
          <w:w w:val="105"/>
        </w:rPr>
        <w:t> </w:t>
      </w:r>
      <w:r>
        <w:rPr>
          <w:color w:val="231F20"/>
          <w:w w:val="105"/>
        </w:rPr>
        <w:t>touch,</w:t>
      </w:r>
      <w:r>
        <w:rPr>
          <w:color w:val="231F20"/>
          <w:spacing w:val="-9"/>
          <w:w w:val="105"/>
        </w:rPr>
        <w:t> </w:t>
      </w:r>
      <w:r>
        <w:rPr>
          <w:color w:val="231F20"/>
          <w:w w:val="105"/>
        </w:rPr>
        <w:t>but</w:t>
      </w:r>
      <w:r>
        <w:rPr>
          <w:color w:val="231F20"/>
          <w:spacing w:val="-3"/>
          <w:w w:val="105"/>
        </w:rPr>
        <w:t> </w:t>
      </w:r>
      <w:r>
        <w:rPr>
          <w:color w:val="231F20"/>
          <w:w w:val="105"/>
        </w:rPr>
        <w:t>do</w:t>
      </w:r>
      <w:r>
        <w:rPr>
          <w:color w:val="231F20"/>
          <w:spacing w:val="-3"/>
          <w:w w:val="105"/>
        </w:rPr>
        <w:t> </w:t>
      </w:r>
      <w:r>
        <w:rPr>
          <w:color w:val="231F20"/>
          <w:w w:val="105"/>
        </w:rPr>
        <w:t>not</w:t>
      </w:r>
      <w:r>
        <w:rPr>
          <w:color w:val="231F20"/>
          <w:spacing w:val="-3"/>
          <w:w w:val="105"/>
        </w:rPr>
        <w:t> </w:t>
      </w:r>
      <w:r>
        <w:rPr>
          <w:color w:val="231F20"/>
          <w:w w:val="105"/>
        </w:rPr>
        <w:t>travel</w:t>
      </w:r>
      <w:r>
        <w:rPr>
          <w:color w:val="231F20"/>
          <w:spacing w:val="-3"/>
          <w:w w:val="105"/>
        </w:rPr>
        <w:t> </w:t>
      </w:r>
      <w:r>
        <w:rPr>
          <w:color w:val="231F20"/>
          <w:w w:val="105"/>
        </w:rPr>
        <w:t>to</w:t>
      </w:r>
      <w:r>
        <w:rPr>
          <w:color w:val="231F20"/>
          <w:spacing w:val="-3"/>
          <w:w w:val="105"/>
        </w:rPr>
        <w:t> </w:t>
      </w:r>
      <w:r>
        <w:rPr>
          <w:color w:val="231F20"/>
          <w:w w:val="105"/>
        </w:rPr>
        <w:t>the</w:t>
      </w:r>
      <w:r>
        <w:rPr>
          <w:color w:val="231F20"/>
          <w:spacing w:val="-3"/>
          <w:w w:val="105"/>
        </w:rPr>
        <w:t> </w:t>
      </w:r>
      <w:r>
        <w:rPr>
          <w:color w:val="231F20"/>
          <w:w w:val="105"/>
        </w:rPr>
        <w:t>home</w:t>
      </w:r>
      <w:r>
        <w:rPr>
          <w:color w:val="231F20"/>
          <w:spacing w:val="-3"/>
          <w:w w:val="105"/>
        </w:rPr>
        <w:t> </w:t>
      </w:r>
      <w:r>
        <w:rPr>
          <w:color w:val="231F20"/>
          <w:w w:val="105"/>
        </w:rPr>
        <w:t>country,</w:t>
      </w:r>
      <w:r>
        <w:rPr>
          <w:color w:val="231F20"/>
          <w:spacing w:val="-9"/>
          <w:w w:val="105"/>
        </w:rPr>
        <w:t> </w:t>
      </w:r>
      <w:r>
        <w:rPr>
          <w:color w:val="231F20"/>
          <w:w w:val="105"/>
        </w:rPr>
        <w:t>in</w:t>
      </w:r>
      <w:r>
        <w:rPr>
          <w:color w:val="231F20"/>
          <w:spacing w:val="-3"/>
          <w:w w:val="105"/>
        </w:rPr>
        <w:t> </w:t>
      </w:r>
      <w:r>
        <w:rPr>
          <w:color w:val="231F20"/>
          <w:w w:val="105"/>
        </w:rPr>
        <w:t>this</w:t>
      </w:r>
      <w:r>
        <w:rPr>
          <w:color w:val="231F20"/>
          <w:spacing w:val="-3"/>
          <w:w w:val="105"/>
        </w:rPr>
        <w:t> </w:t>
      </w:r>
      <w:r>
        <w:rPr>
          <w:color w:val="231F20"/>
          <w:w w:val="105"/>
        </w:rPr>
        <w:t>case</w:t>
      </w:r>
      <w:r>
        <w:rPr>
          <w:color w:val="231F20"/>
          <w:spacing w:val="-3"/>
          <w:w w:val="105"/>
        </w:rPr>
        <w:t> </w:t>
      </w:r>
      <w:r>
        <w:rPr>
          <w:color w:val="231F20"/>
          <w:w w:val="105"/>
        </w:rPr>
        <w:t>Mexico, are</w:t>
      </w:r>
      <w:r>
        <w:rPr>
          <w:color w:val="231F20"/>
          <w:spacing w:val="-13"/>
          <w:w w:val="105"/>
        </w:rPr>
        <w:t> </w:t>
      </w:r>
      <w:r>
        <w:rPr>
          <w:color w:val="231F20"/>
          <w:w w:val="105"/>
        </w:rPr>
        <w:t>said</w:t>
      </w:r>
      <w:r>
        <w:rPr>
          <w:color w:val="231F20"/>
          <w:spacing w:val="-13"/>
          <w:w w:val="105"/>
        </w:rPr>
        <w:t> </w:t>
      </w:r>
      <w:r>
        <w:rPr>
          <w:color w:val="231F20"/>
          <w:w w:val="105"/>
        </w:rPr>
        <w:t>to</w:t>
      </w:r>
      <w:r>
        <w:rPr>
          <w:color w:val="231F20"/>
          <w:spacing w:val="-13"/>
          <w:w w:val="105"/>
        </w:rPr>
        <w:t> </w:t>
      </w:r>
      <w:r>
        <w:rPr>
          <w:color w:val="231F20"/>
          <w:w w:val="105"/>
        </w:rPr>
        <w:t>be</w:t>
      </w:r>
      <w:r>
        <w:rPr>
          <w:color w:val="231F20"/>
          <w:spacing w:val="-13"/>
          <w:w w:val="105"/>
        </w:rPr>
        <w:t> </w:t>
      </w:r>
      <w:r>
        <w:rPr>
          <w:color w:val="231F20"/>
          <w:w w:val="105"/>
        </w:rPr>
        <w:t>transnationalized</w:t>
      </w:r>
      <w:r>
        <w:rPr>
          <w:color w:val="231F20"/>
          <w:spacing w:val="-13"/>
          <w:w w:val="105"/>
        </w:rPr>
        <w:t> </w:t>
      </w:r>
      <w:r>
        <w:rPr>
          <w:color w:val="231F20"/>
          <w:w w:val="105"/>
        </w:rPr>
        <w:t>(Levitt,</w:t>
      </w:r>
      <w:r>
        <w:rPr>
          <w:color w:val="231F20"/>
          <w:spacing w:val="-18"/>
          <w:w w:val="105"/>
        </w:rPr>
        <w:t> </w:t>
      </w:r>
      <w:r>
        <w:rPr>
          <w:color w:val="231F20"/>
          <w:w w:val="105"/>
        </w:rPr>
        <w:t>2001).</w:t>
      </w:r>
      <w:r>
        <w:rPr>
          <w:color w:val="231F20"/>
          <w:spacing w:val="-18"/>
          <w:w w:val="105"/>
        </w:rPr>
        <w:t> </w:t>
      </w:r>
      <w:r>
        <w:rPr>
          <w:color w:val="231F20"/>
          <w:w w:val="105"/>
        </w:rPr>
        <w:t>Researchers</w:t>
      </w:r>
      <w:r>
        <w:rPr>
          <w:color w:val="231F20"/>
          <w:spacing w:val="-13"/>
          <w:w w:val="105"/>
        </w:rPr>
        <w:t> </w:t>
      </w:r>
      <w:r>
        <w:rPr>
          <w:color w:val="231F20"/>
          <w:w w:val="105"/>
        </w:rPr>
        <w:t>contend</w:t>
      </w:r>
      <w:r>
        <w:rPr>
          <w:color w:val="231F20"/>
          <w:spacing w:val="-13"/>
          <w:w w:val="105"/>
        </w:rPr>
        <w:t> </w:t>
      </w:r>
      <w:r>
        <w:rPr>
          <w:color w:val="231F20"/>
          <w:w w:val="105"/>
        </w:rPr>
        <w:t>that transnationalized</w:t>
      </w:r>
      <w:r>
        <w:rPr>
          <w:color w:val="231F20"/>
          <w:spacing w:val="-11"/>
          <w:w w:val="105"/>
        </w:rPr>
        <w:t> </w:t>
      </w:r>
      <w:r>
        <w:rPr>
          <w:color w:val="231F20"/>
          <w:w w:val="105"/>
        </w:rPr>
        <w:t>people</w:t>
      </w:r>
      <w:r>
        <w:rPr>
          <w:color w:val="231F20"/>
          <w:spacing w:val="-11"/>
          <w:w w:val="105"/>
        </w:rPr>
        <w:t> </w:t>
      </w:r>
      <w:r>
        <w:rPr>
          <w:color w:val="231F20"/>
          <w:w w:val="105"/>
        </w:rPr>
        <w:t>include,</w:t>
      </w:r>
      <w:r>
        <w:rPr>
          <w:color w:val="231F20"/>
          <w:spacing w:val="-16"/>
          <w:w w:val="105"/>
        </w:rPr>
        <w:t> </w:t>
      </w:r>
      <w:r>
        <w:rPr>
          <w:color w:val="231F20"/>
          <w:w w:val="105"/>
        </w:rPr>
        <w:t>for</w:t>
      </w:r>
      <w:r>
        <w:rPr>
          <w:color w:val="231F20"/>
          <w:spacing w:val="-11"/>
          <w:w w:val="105"/>
        </w:rPr>
        <w:t> </w:t>
      </w:r>
      <w:r>
        <w:rPr>
          <w:color w:val="231F20"/>
          <w:w w:val="105"/>
        </w:rPr>
        <w:t>example,</w:t>
      </w:r>
      <w:r>
        <w:rPr>
          <w:color w:val="231F20"/>
          <w:spacing w:val="-16"/>
          <w:w w:val="105"/>
        </w:rPr>
        <w:t> </w:t>
      </w:r>
      <w:r>
        <w:rPr>
          <w:color w:val="231F20"/>
          <w:w w:val="105"/>
        </w:rPr>
        <w:t>immigrants</w:t>
      </w:r>
      <w:r>
        <w:rPr>
          <w:color w:val="231F20"/>
          <w:spacing w:val="-11"/>
          <w:w w:val="105"/>
        </w:rPr>
        <w:t> </w:t>
      </w:r>
      <w:r>
        <w:rPr>
          <w:color w:val="231F20"/>
          <w:w w:val="105"/>
        </w:rPr>
        <w:t>and</w:t>
      </w:r>
      <w:r>
        <w:rPr>
          <w:color w:val="231F20"/>
          <w:spacing w:val="-11"/>
          <w:w w:val="105"/>
        </w:rPr>
        <w:t> </w:t>
      </w:r>
      <w:r>
        <w:rPr>
          <w:color w:val="231F20"/>
          <w:w w:val="105"/>
        </w:rPr>
        <w:t>their</w:t>
      </w:r>
      <w:r>
        <w:rPr>
          <w:color w:val="231F20"/>
          <w:spacing w:val="-11"/>
          <w:w w:val="105"/>
        </w:rPr>
        <w:t> </w:t>
      </w:r>
      <w:r>
        <w:rPr>
          <w:color w:val="231F20"/>
          <w:w w:val="105"/>
        </w:rPr>
        <w:t>chil- dren</w:t>
      </w:r>
      <w:r>
        <w:rPr>
          <w:color w:val="231F20"/>
          <w:spacing w:val="-15"/>
          <w:w w:val="105"/>
        </w:rPr>
        <w:t> </w:t>
      </w:r>
      <w:r>
        <w:rPr>
          <w:color w:val="231F20"/>
          <w:w w:val="105"/>
        </w:rPr>
        <w:t>who</w:t>
      </w:r>
      <w:r>
        <w:rPr>
          <w:color w:val="231F20"/>
          <w:spacing w:val="-15"/>
          <w:w w:val="105"/>
        </w:rPr>
        <w:t> </w:t>
      </w:r>
      <w:r>
        <w:rPr>
          <w:color w:val="231F20"/>
          <w:w w:val="105"/>
        </w:rPr>
        <w:t>never</w:t>
      </w:r>
      <w:r>
        <w:rPr>
          <w:color w:val="231F20"/>
          <w:spacing w:val="-15"/>
          <w:w w:val="105"/>
        </w:rPr>
        <w:t> </w:t>
      </w:r>
      <w:r>
        <w:rPr>
          <w:color w:val="231F20"/>
          <w:w w:val="105"/>
        </w:rPr>
        <w:t>go</w:t>
      </w:r>
      <w:r>
        <w:rPr>
          <w:color w:val="231F20"/>
          <w:spacing w:val="-15"/>
          <w:w w:val="105"/>
        </w:rPr>
        <w:t> </w:t>
      </w:r>
      <w:r>
        <w:rPr>
          <w:color w:val="231F20"/>
          <w:w w:val="105"/>
        </w:rPr>
        <w:t>to</w:t>
      </w:r>
      <w:r>
        <w:rPr>
          <w:color w:val="231F20"/>
          <w:spacing w:val="-15"/>
          <w:w w:val="105"/>
        </w:rPr>
        <w:t> </w:t>
      </w:r>
      <w:r>
        <w:rPr>
          <w:color w:val="231F20"/>
          <w:w w:val="105"/>
        </w:rPr>
        <w:t>their</w:t>
      </w:r>
      <w:r>
        <w:rPr>
          <w:color w:val="231F20"/>
          <w:spacing w:val="-15"/>
          <w:w w:val="105"/>
        </w:rPr>
        <w:t> </w:t>
      </w:r>
      <w:r>
        <w:rPr>
          <w:color w:val="231F20"/>
          <w:w w:val="105"/>
        </w:rPr>
        <w:t>parents’</w:t>
      </w:r>
      <w:r>
        <w:rPr>
          <w:color w:val="231F20"/>
          <w:spacing w:val="-15"/>
          <w:w w:val="105"/>
        </w:rPr>
        <w:t> </w:t>
      </w:r>
      <w:r>
        <w:rPr>
          <w:color w:val="231F20"/>
          <w:w w:val="105"/>
        </w:rPr>
        <w:t>home</w:t>
      </w:r>
      <w:r>
        <w:rPr>
          <w:color w:val="231F20"/>
          <w:spacing w:val="-15"/>
          <w:w w:val="105"/>
        </w:rPr>
        <w:t> </w:t>
      </w:r>
      <w:r>
        <w:rPr>
          <w:color w:val="231F20"/>
          <w:w w:val="105"/>
        </w:rPr>
        <w:t>country,</w:t>
      </w:r>
      <w:r>
        <w:rPr>
          <w:color w:val="231F20"/>
          <w:spacing w:val="-21"/>
          <w:w w:val="105"/>
        </w:rPr>
        <w:t> </w:t>
      </w:r>
      <w:r>
        <w:rPr>
          <w:color w:val="231F20"/>
          <w:w w:val="105"/>
        </w:rPr>
        <w:t>as</w:t>
      </w:r>
      <w:r>
        <w:rPr>
          <w:color w:val="231F20"/>
          <w:spacing w:val="-15"/>
          <w:w w:val="105"/>
        </w:rPr>
        <w:t> </w:t>
      </w:r>
      <w:r>
        <w:rPr>
          <w:color w:val="231F20"/>
          <w:w w:val="105"/>
        </w:rPr>
        <w:t>well</w:t>
      </w:r>
      <w:r>
        <w:rPr>
          <w:color w:val="231F20"/>
          <w:spacing w:val="-15"/>
          <w:w w:val="105"/>
        </w:rPr>
        <w:t> </w:t>
      </w:r>
      <w:r>
        <w:rPr>
          <w:color w:val="231F20"/>
          <w:w w:val="105"/>
        </w:rPr>
        <w:t>as</w:t>
      </w:r>
      <w:r>
        <w:rPr>
          <w:color w:val="231F20"/>
          <w:spacing w:val="-15"/>
          <w:w w:val="105"/>
        </w:rPr>
        <w:t> </w:t>
      </w:r>
      <w:r>
        <w:rPr>
          <w:color w:val="231F20"/>
          <w:w w:val="105"/>
        </w:rPr>
        <w:t>relatives</w:t>
      </w:r>
      <w:r>
        <w:rPr>
          <w:color w:val="231F20"/>
          <w:spacing w:val="-15"/>
          <w:w w:val="105"/>
        </w:rPr>
        <w:t> </w:t>
      </w:r>
      <w:r>
        <w:rPr>
          <w:color w:val="231F20"/>
          <w:w w:val="105"/>
        </w:rPr>
        <w:t>left behind who did not migrate but yet have significant contact with those who</w:t>
      </w:r>
      <w:r>
        <w:rPr>
          <w:color w:val="231F20"/>
          <w:spacing w:val="-10"/>
          <w:w w:val="105"/>
        </w:rPr>
        <w:t> </w:t>
      </w:r>
      <w:r>
        <w:rPr>
          <w:color w:val="231F20"/>
          <w:w w:val="105"/>
        </w:rPr>
        <w:t>did</w:t>
      </w:r>
      <w:r>
        <w:rPr>
          <w:color w:val="231F20"/>
          <w:spacing w:val="-10"/>
          <w:w w:val="105"/>
        </w:rPr>
        <w:t> </w:t>
      </w:r>
      <w:r>
        <w:rPr>
          <w:color w:val="231F20"/>
          <w:w w:val="105"/>
        </w:rPr>
        <w:t>(Levitt,</w:t>
      </w:r>
      <w:r>
        <w:rPr>
          <w:color w:val="231F20"/>
          <w:spacing w:val="-16"/>
          <w:w w:val="105"/>
        </w:rPr>
        <w:t> </w:t>
      </w:r>
      <w:r>
        <w:rPr>
          <w:color w:val="231F20"/>
          <w:w w:val="105"/>
        </w:rPr>
        <w:t>2001).</w:t>
      </w:r>
      <w:r>
        <w:rPr>
          <w:color w:val="231F20"/>
          <w:spacing w:val="-16"/>
          <w:w w:val="105"/>
        </w:rPr>
        <w:t> </w:t>
      </w:r>
      <w:r>
        <w:rPr>
          <w:color w:val="231F20"/>
          <w:w w:val="105"/>
        </w:rPr>
        <w:t>Even</w:t>
      </w:r>
      <w:r>
        <w:rPr>
          <w:color w:val="231F20"/>
          <w:spacing w:val="-10"/>
          <w:w w:val="105"/>
        </w:rPr>
        <w:t> </w:t>
      </w:r>
      <w:r>
        <w:rPr>
          <w:color w:val="231F20"/>
          <w:w w:val="105"/>
        </w:rPr>
        <w:t>though</w:t>
      </w:r>
      <w:r>
        <w:rPr>
          <w:color w:val="231F20"/>
          <w:spacing w:val="-10"/>
          <w:w w:val="105"/>
        </w:rPr>
        <w:t> </w:t>
      </w:r>
      <w:r>
        <w:rPr>
          <w:color w:val="231F20"/>
          <w:w w:val="105"/>
        </w:rPr>
        <w:t>they</w:t>
      </w:r>
      <w:r>
        <w:rPr>
          <w:color w:val="231F20"/>
          <w:spacing w:val="-10"/>
          <w:w w:val="105"/>
        </w:rPr>
        <w:t> </w:t>
      </w:r>
      <w:r>
        <w:rPr>
          <w:color w:val="231F20"/>
          <w:w w:val="105"/>
        </w:rPr>
        <w:t>do</w:t>
      </w:r>
      <w:r>
        <w:rPr>
          <w:color w:val="231F20"/>
          <w:spacing w:val="-10"/>
          <w:w w:val="105"/>
        </w:rPr>
        <w:t> </w:t>
      </w:r>
      <w:r>
        <w:rPr>
          <w:color w:val="231F20"/>
          <w:w w:val="105"/>
        </w:rPr>
        <w:t>not</w:t>
      </w:r>
      <w:r>
        <w:rPr>
          <w:color w:val="231F20"/>
          <w:spacing w:val="-10"/>
          <w:w w:val="105"/>
        </w:rPr>
        <w:t> </w:t>
      </w:r>
      <w:r>
        <w:rPr>
          <w:color w:val="231F20"/>
          <w:w w:val="105"/>
        </w:rPr>
        <w:t>directly</w:t>
      </w:r>
      <w:r>
        <w:rPr>
          <w:color w:val="231F20"/>
          <w:spacing w:val="-10"/>
          <w:w w:val="105"/>
        </w:rPr>
        <w:t> </w:t>
      </w:r>
      <w:r>
        <w:rPr>
          <w:color w:val="231F20"/>
          <w:w w:val="105"/>
        </w:rPr>
        <w:t>participate</w:t>
      </w:r>
      <w:r>
        <w:rPr>
          <w:color w:val="231F20"/>
          <w:spacing w:val="-10"/>
          <w:w w:val="105"/>
        </w:rPr>
        <w:t> </w:t>
      </w:r>
      <w:r>
        <w:rPr>
          <w:color w:val="231F20"/>
          <w:w w:val="105"/>
        </w:rPr>
        <w:t>in</w:t>
      </w:r>
      <w:r>
        <w:rPr>
          <w:color w:val="231F20"/>
          <w:spacing w:val="-10"/>
          <w:w w:val="105"/>
        </w:rPr>
        <w:t> </w:t>
      </w:r>
      <w:r>
        <w:rPr>
          <w:color w:val="231F20"/>
          <w:w w:val="105"/>
        </w:rPr>
        <w:t>the other</w:t>
      </w:r>
      <w:r>
        <w:rPr>
          <w:color w:val="231F20"/>
          <w:spacing w:val="-15"/>
          <w:w w:val="105"/>
        </w:rPr>
        <w:t> </w:t>
      </w:r>
      <w:r>
        <w:rPr>
          <w:color w:val="231F20"/>
          <w:w w:val="105"/>
        </w:rPr>
        <w:t>countries’</w:t>
      </w:r>
      <w:r>
        <w:rPr>
          <w:color w:val="231F20"/>
          <w:spacing w:val="-15"/>
          <w:w w:val="105"/>
        </w:rPr>
        <w:t> </w:t>
      </w:r>
      <w:r>
        <w:rPr>
          <w:color w:val="231F20"/>
          <w:w w:val="105"/>
        </w:rPr>
        <w:t>politics,</w:t>
      </w:r>
      <w:r>
        <w:rPr>
          <w:color w:val="231F20"/>
          <w:spacing w:val="-21"/>
          <w:w w:val="105"/>
        </w:rPr>
        <w:t> </w:t>
      </w:r>
      <w:r>
        <w:rPr>
          <w:color w:val="231F20"/>
          <w:w w:val="105"/>
        </w:rPr>
        <w:t>educational</w:t>
      </w:r>
      <w:r>
        <w:rPr>
          <w:color w:val="231F20"/>
          <w:spacing w:val="-15"/>
          <w:w w:val="105"/>
        </w:rPr>
        <w:t> </w:t>
      </w:r>
      <w:r>
        <w:rPr>
          <w:color w:val="231F20"/>
          <w:w w:val="105"/>
        </w:rPr>
        <w:t>and</w:t>
      </w:r>
      <w:r>
        <w:rPr>
          <w:color w:val="231F20"/>
          <w:spacing w:val="-15"/>
          <w:w w:val="105"/>
        </w:rPr>
        <w:t> </w:t>
      </w:r>
      <w:r>
        <w:rPr>
          <w:color w:val="231F20"/>
          <w:w w:val="105"/>
        </w:rPr>
        <w:t>religious</w:t>
      </w:r>
      <w:r>
        <w:rPr>
          <w:color w:val="231F20"/>
          <w:spacing w:val="-15"/>
          <w:w w:val="105"/>
        </w:rPr>
        <w:t> </w:t>
      </w:r>
      <w:r>
        <w:rPr>
          <w:color w:val="231F20"/>
          <w:w w:val="105"/>
        </w:rPr>
        <w:t>activities,</w:t>
      </w:r>
      <w:r>
        <w:rPr>
          <w:color w:val="231F20"/>
          <w:spacing w:val="-21"/>
          <w:w w:val="105"/>
        </w:rPr>
        <w:t> </w:t>
      </w:r>
      <w:r>
        <w:rPr>
          <w:color w:val="231F20"/>
          <w:w w:val="105"/>
        </w:rPr>
        <w:t>they</w:t>
      </w:r>
      <w:r>
        <w:rPr>
          <w:color w:val="231F20"/>
          <w:spacing w:val="-15"/>
          <w:w w:val="105"/>
        </w:rPr>
        <w:t> </w:t>
      </w:r>
      <w:r>
        <w:rPr>
          <w:color w:val="231F20"/>
          <w:w w:val="105"/>
        </w:rPr>
        <w:t>engage in structural transnational practices that follow certain patterns of enga- gement</w:t>
      </w:r>
      <w:r>
        <w:rPr>
          <w:color w:val="231F20"/>
          <w:spacing w:val="-8"/>
          <w:w w:val="105"/>
        </w:rPr>
        <w:t> </w:t>
      </w:r>
      <w:r>
        <w:rPr>
          <w:color w:val="231F20"/>
          <w:w w:val="105"/>
        </w:rPr>
        <w:t>(Smith,</w:t>
      </w:r>
      <w:r>
        <w:rPr>
          <w:color w:val="231F20"/>
          <w:spacing w:val="-13"/>
          <w:w w:val="105"/>
        </w:rPr>
        <w:t> </w:t>
      </w:r>
      <w:r>
        <w:rPr>
          <w:color w:val="231F20"/>
          <w:w w:val="105"/>
        </w:rPr>
        <w:t>2006),</w:t>
      </w:r>
      <w:r>
        <w:rPr>
          <w:color w:val="231F20"/>
          <w:spacing w:val="-13"/>
          <w:w w:val="105"/>
        </w:rPr>
        <w:t> </w:t>
      </w:r>
      <w:r>
        <w:rPr>
          <w:color w:val="231F20"/>
          <w:w w:val="105"/>
        </w:rPr>
        <w:t>such</w:t>
      </w:r>
      <w:r>
        <w:rPr>
          <w:color w:val="231F20"/>
          <w:spacing w:val="-8"/>
          <w:w w:val="105"/>
        </w:rPr>
        <w:t> </w:t>
      </w:r>
      <w:r>
        <w:rPr>
          <w:color w:val="231F20"/>
          <w:w w:val="105"/>
        </w:rPr>
        <w:t>as</w:t>
      </w:r>
      <w:r>
        <w:rPr>
          <w:color w:val="231F20"/>
          <w:spacing w:val="-8"/>
          <w:w w:val="105"/>
        </w:rPr>
        <w:t> </w:t>
      </w:r>
      <w:r>
        <w:rPr>
          <w:color w:val="231F20"/>
          <w:w w:val="105"/>
        </w:rPr>
        <w:t>maintaining</w:t>
      </w:r>
      <w:r>
        <w:rPr>
          <w:color w:val="231F20"/>
          <w:spacing w:val="-8"/>
          <w:w w:val="105"/>
        </w:rPr>
        <w:t> </w:t>
      </w:r>
      <w:r>
        <w:rPr>
          <w:color w:val="231F20"/>
          <w:w w:val="105"/>
        </w:rPr>
        <w:t>communication</w:t>
      </w:r>
      <w:r>
        <w:rPr>
          <w:color w:val="231F20"/>
          <w:spacing w:val="-8"/>
          <w:w w:val="105"/>
        </w:rPr>
        <w:t> </w:t>
      </w:r>
      <w:r>
        <w:rPr>
          <w:color w:val="231F20"/>
          <w:w w:val="105"/>
        </w:rPr>
        <w:t>via</w:t>
      </w:r>
      <w:r>
        <w:rPr>
          <w:color w:val="231F20"/>
          <w:spacing w:val="-8"/>
          <w:w w:val="105"/>
        </w:rPr>
        <w:t> </w:t>
      </w:r>
      <w:r>
        <w:rPr>
          <w:color w:val="231F20"/>
          <w:w w:val="105"/>
        </w:rPr>
        <w:t>phone</w:t>
      </w:r>
      <w:r>
        <w:rPr>
          <w:color w:val="231F20"/>
          <w:spacing w:val="-8"/>
          <w:w w:val="105"/>
        </w:rPr>
        <w:t> </w:t>
      </w:r>
      <w:r>
        <w:rPr>
          <w:color w:val="231F20"/>
          <w:w w:val="105"/>
        </w:rPr>
        <w:t>or other</w:t>
      </w:r>
      <w:r>
        <w:rPr>
          <w:color w:val="231F20"/>
          <w:spacing w:val="-14"/>
          <w:w w:val="105"/>
        </w:rPr>
        <w:t> </w:t>
      </w:r>
      <w:r>
        <w:rPr>
          <w:color w:val="231F20"/>
          <w:w w:val="105"/>
        </w:rPr>
        <w:t>means</w:t>
      </w:r>
      <w:r>
        <w:rPr>
          <w:color w:val="231F20"/>
          <w:spacing w:val="-14"/>
          <w:w w:val="105"/>
        </w:rPr>
        <w:t> </w:t>
      </w:r>
      <w:r>
        <w:rPr>
          <w:color w:val="231F20"/>
          <w:w w:val="105"/>
        </w:rPr>
        <w:t>and</w:t>
      </w:r>
      <w:r>
        <w:rPr>
          <w:color w:val="231F20"/>
          <w:spacing w:val="-14"/>
          <w:w w:val="105"/>
        </w:rPr>
        <w:t> </w:t>
      </w:r>
      <w:r>
        <w:rPr>
          <w:color w:val="231F20"/>
          <w:w w:val="105"/>
        </w:rPr>
        <w:t>sending</w:t>
      </w:r>
      <w:r>
        <w:rPr>
          <w:color w:val="231F20"/>
          <w:spacing w:val="-14"/>
          <w:w w:val="105"/>
        </w:rPr>
        <w:t> </w:t>
      </w:r>
      <w:r>
        <w:rPr>
          <w:color w:val="231F20"/>
          <w:w w:val="105"/>
        </w:rPr>
        <w:t>or</w:t>
      </w:r>
      <w:r>
        <w:rPr>
          <w:color w:val="231F20"/>
          <w:spacing w:val="-14"/>
          <w:w w:val="105"/>
        </w:rPr>
        <w:t> </w:t>
      </w:r>
      <w:r>
        <w:rPr>
          <w:color w:val="231F20"/>
          <w:w w:val="105"/>
        </w:rPr>
        <w:t>receiving</w:t>
      </w:r>
      <w:r>
        <w:rPr>
          <w:color w:val="231F20"/>
          <w:spacing w:val="-14"/>
          <w:w w:val="105"/>
        </w:rPr>
        <w:t> </w:t>
      </w:r>
      <w:r>
        <w:rPr>
          <w:color w:val="231F20"/>
          <w:w w:val="105"/>
        </w:rPr>
        <w:t>economic</w:t>
      </w:r>
      <w:r>
        <w:rPr>
          <w:color w:val="231F20"/>
          <w:spacing w:val="-14"/>
          <w:w w:val="105"/>
        </w:rPr>
        <w:t> </w:t>
      </w:r>
      <w:r>
        <w:rPr>
          <w:color w:val="231F20"/>
          <w:w w:val="105"/>
        </w:rPr>
        <w:t>remittances.</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28"/>
        <w:jc w:val="both"/>
      </w:pPr>
      <w:r>
        <w:rPr>
          <w:color w:val="231F20"/>
          <w:w w:val="105"/>
        </w:rPr>
        <w:t>I</w:t>
      </w:r>
      <w:r>
        <w:rPr>
          <w:color w:val="231F20"/>
          <w:spacing w:val="-6"/>
          <w:w w:val="105"/>
        </w:rPr>
        <w:t> </w:t>
      </w:r>
      <w:r>
        <w:rPr>
          <w:color w:val="231F20"/>
          <w:w w:val="105"/>
        </w:rPr>
        <w:t>argue</w:t>
      </w:r>
      <w:r>
        <w:rPr>
          <w:color w:val="231F20"/>
          <w:spacing w:val="-6"/>
          <w:w w:val="105"/>
        </w:rPr>
        <w:t> </w:t>
      </w:r>
      <w:r>
        <w:rPr>
          <w:color w:val="231F20"/>
          <w:w w:val="105"/>
        </w:rPr>
        <w:t>that</w:t>
      </w:r>
      <w:r>
        <w:rPr>
          <w:color w:val="231F20"/>
          <w:spacing w:val="-6"/>
          <w:w w:val="105"/>
        </w:rPr>
        <w:t> </w:t>
      </w:r>
      <w:r>
        <w:rPr>
          <w:color w:val="231F20"/>
          <w:w w:val="105"/>
        </w:rPr>
        <w:t>transnationalism</w:t>
      </w:r>
      <w:r>
        <w:rPr>
          <w:color w:val="231F20"/>
          <w:spacing w:val="-6"/>
          <w:w w:val="105"/>
        </w:rPr>
        <w:t> </w:t>
      </w:r>
      <w:r>
        <w:rPr>
          <w:color w:val="231F20"/>
          <w:w w:val="105"/>
        </w:rPr>
        <w:t>must</w:t>
      </w:r>
      <w:r>
        <w:rPr>
          <w:color w:val="231F20"/>
          <w:spacing w:val="-6"/>
          <w:w w:val="105"/>
        </w:rPr>
        <w:t> </w:t>
      </w:r>
      <w:r>
        <w:rPr>
          <w:color w:val="231F20"/>
          <w:w w:val="105"/>
        </w:rPr>
        <w:t>now</w:t>
      </w:r>
      <w:r>
        <w:rPr>
          <w:color w:val="231F20"/>
          <w:spacing w:val="-6"/>
          <w:w w:val="105"/>
        </w:rPr>
        <w:t> </w:t>
      </w:r>
      <w:r>
        <w:rPr>
          <w:color w:val="231F20"/>
          <w:w w:val="105"/>
        </w:rPr>
        <w:t>be</w:t>
      </w:r>
      <w:r>
        <w:rPr>
          <w:color w:val="231F20"/>
          <w:spacing w:val="-6"/>
          <w:w w:val="105"/>
        </w:rPr>
        <w:t> </w:t>
      </w:r>
      <w:r>
        <w:rPr>
          <w:color w:val="231F20"/>
          <w:w w:val="105"/>
        </w:rPr>
        <w:t>considered</w:t>
      </w:r>
      <w:r>
        <w:rPr>
          <w:color w:val="231F20"/>
          <w:spacing w:val="-6"/>
          <w:w w:val="105"/>
        </w:rPr>
        <w:t> </w:t>
      </w:r>
      <w:r>
        <w:rPr>
          <w:color w:val="231F20"/>
          <w:w w:val="105"/>
        </w:rPr>
        <w:t>in</w:t>
      </w:r>
      <w:r>
        <w:rPr>
          <w:color w:val="231F20"/>
          <w:spacing w:val="-6"/>
          <w:w w:val="105"/>
        </w:rPr>
        <w:t> </w:t>
      </w:r>
      <w:r>
        <w:rPr>
          <w:color w:val="231F20"/>
          <w:w w:val="105"/>
        </w:rPr>
        <w:t>light</w:t>
      </w:r>
      <w:r>
        <w:rPr>
          <w:color w:val="231F20"/>
          <w:spacing w:val="-6"/>
          <w:w w:val="105"/>
        </w:rPr>
        <w:t> </w:t>
      </w:r>
      <w:r>
        <w:rPr>
          <w:color w:val="231F20"/>
          <w:w w:val="105"/>
        </w:rPr>
        <w:t>of</w:t>
      </w:r>
      <w:r>
        <w:rPr>
          <w:color w:val="231F20"/>
          <w:spacing w:val="-1"/>
          <w:w w:val="105"/>
        </w:rPr>
        <w:t> </w:t>
      </w:r>
      <w:r>
        <w:rPr>
          <w:color w:val="231F20"/>
          <w:w w:val="105"/>
        </w:rPr>
        <w:t>the</w:t>
      </w:r>
      <w:r>
        <w:rPr>
          <w:color w:val="231F20"/>
          <w:spacing w:val="-6"/>
          <w:w w:val="105"/>
        </w:rPr>
        <w:t> </w:t>
      </w:r>
      <w:r>
        <w:rPr>
          <w:color w:val="231F20"/>
          <w:w w:val="105"/>
        </w:rPr>
        <w:t>mo- re-than-ever</w:t>
      </w:r>
      <w:r>
        <w:rPr>
          <w:color w:val="231F20"/>
          <w:spacing w:val="-13"/>
          <w:w w:val="105"/>
        </w:rPr>
        <w:t> </w:t>
      </w:r>
      <w:r>
        <w:rPr>
          <w:color w:val="231F20"/>
          <w:w w:val="105"/>
        </w:rPr>
        <w:t>ubiquitous</w:t>
      </w:r>
      <w:r>
        <w:rPr>
          <w:color w:val="231F20"/>
          <w:spacing w:val="-13"/>
          <w:w w:val="105"/>
        </w:rPr>
        <w:t> </w:t>
      </w:r>
      <w:r>
        <w:rPr>
          <w:color w:val="231F20"/>
          <w:w w:val="105"/>
        </w:rPr>
        <w:t>use</w:t>
      </w:r>
      <w:r>
        <w:rPr>
          <w:color w:val="231F20"/>
          <w:spacing w:val="-13"/>
          <w:w w:val="105"/>
        </w:rPr>
        <w:t> </w:t>
      </w:r>
      <w:r>
        <w:rPr>
          <w:color w:val="231F20"/>
          <w:w w:val="105"/>
        </w:rPr>
        <w:t>of</w:t>
      </w:r>
      <w:r>
        <w:rPr>
          <w:color w:val="231F20"/>
          <w:spacing w:val="-9"/>
          <w:w w:val="105"/>
        </w:rPr>
        <w:t> </w:t>
      </w:r>
      <w:r>
        <w:rPr>
          <w:color w:val="231F20"/>
          <w:w w:val="105"/>
        </w:rPr>
        <w:t>digital</w:t>
      </w:r>
      <w:r>
        <w:rPr>
          <w:color w:val="231F20"/>
          <w:spacing w:val="-13"/>
          <w:w w:val="105"/>
        </w:rPr>
        <w:t> </w:t>
      </w:r>
      <w:r>
        <w:rPr>
          <w:color w:val="231F20"/>
          <w:w w:val="105"/>
        </w:rPr>
        <w:t>communication,</w:t>
      </w:r>
      <w:r>
        <w:rPr>
          <w:color w:val="231F20"/>
          <w:spacing w:val="-19"/>
          <w:w w:val="105"/>
        </w:rPr>
        <w:t> </w:t>
      </w:r>
      <w:r>
        <w:rPr>
          <w:color w:val="231F20"/>
          <w:w w:val="105"/>
        </w:rPr>
        <w:t>especially</w:t>
      </w:r>
      <w:r>
        <w:rPr>
          <w:color w:val="231F20"/>
          <w:spacing w:val="-13"/>
          <w:w w:val="105"/>
        </w:rPr>
        <w:t> </w:t>
      </w:r>
      <w:r>
        <w:rPr>
          <w:color w:val="231F20"/>
          <w:w w:val="105"/>
        </w:rPr>
        <w:t>through online</w:t>
      </w:r>
      <w:r>
        <w:rPr>
          <w:color w:val="231F20"/>
          <w:spacing w:val="-33"/>
          <w:w w:val="105"/>
        </w:rPr>
        <w:t> </w:t>
      </w:r>
      <w:r>
        <w:rPr>
          <w:color w:val="231F20"/>
          <w:w w:val="105"/>
        </w:rPr>
        <w:t>social</w:t>
      </w:r>
      <w:r>
        <w:rPr>
          <w:color w:val="231F20"/>
          <w:spacing w:val="-33"/>
          <w:w w:val="105"/>
        </w:rPr>
        <w:t> </w:t>
      </w:r>
      <w:r>
        <w:rPr>
          <w:color w:val="231F20"/>
          <w:w w:val="105"/>
        </w:rPr>
        <w:t>network</w:t>
      </w:r>
      <w:r>
        <w:rPr>
          <w:color w:val="231F20"/>
          <w:spacing w:val="-33"/>
          <w:w w:val="105"/>
        </w:rPr>
        <w:t> </w:t>
      </w:r>
      <w:r>
        <w:rPr>
          <w:color w:val="231F20"/>
          <w:w w:val="105"/>
        </w:rPr>
        <w:t>sites</w:t>
      </w:r>
      <w:r>
        <w:rPr>
          <w:color w:val="231F20"/>
          <w:spacing w:val="-33"/>
          <w:w w:val="105"/>
        </w:rPr>
        <w:t> </w:t>
      </w:r>
      <w:r>
        <w:rPr>
          <w:color w:val="231F20"/>
          <w:w w:val="105"/>
        </w:rPr>
        <w:t>(</w:t>
      </w:r>
      <w:r>
        <w:rPr>
          <w:color w:val="231F20"/>
          <w:w w:val="105"/>
          <w:sz w:val="17"/>
        </w:rPr>
        <w:t>SNS</w:t>
      </w:r>
      <w:r>
        <w:rPr>
          <w:color w:val="231F20"/>
          <w:w w:val="105"/>
        </w:rPr>
        <w:t>)</w:t>
      </w:r>
      <w:r>
        <w:rPr>
          <w:color w:val="231F20"/>
          <w:spacing w:val="-33"/>
          <w:w w:val="105"/>
        </w:rPr>
        <w:t> </w:t>
      </w:r>
      <w:r>
        <w:rPr>
          <w:color w:val="231F20"/>
          <w:w w:val="105"/>
        </w:rPr>
        <w:t>which</w:t>
      </w:r>
      <w:r>
        <w:rPr>
          <w:color w:val="231F20"/>
          <w:spacing w:val="-33"/>
          <w:w w:val="105"/>
        </w:rPr>
        <w:t> </w:t>
      </w:r>
      <w:r>
        <w:rPr>
          <w:color w:val="231F20"/>
          <w:w w:val="105"/>
        </w:rPr>
        <w:t>have</w:t>
      </w:r>
      <w:r>
        <w:rPr>
          <w:color w:val="231F20"/>
          <w:spacing w:val="-33"/>
          <w:w w:val="105"/>
        </w:rPr>
        <w:t> </w:t>
      </w:r>
      <w:r>
        <w:rPr>
          <w:color w:val="231F20"/>
          <w:w w:val="105"/>
        </w:rPr>
        <w:t>become</w:t>
      </w:r>
      <w:r>
        <w:rPr>
          <w:color w:val="231F20"/>
          <w:spacing w:val="-33"/>
          <w:w w:val="105"/>
        </w:rPr>
        <w:t> </w:t>
      </w:r>
      <w:r>
        <w:rPr>
          <w:color w:val="231F20"/>
          <w:w w:val="105"/>
        </w:rPr>
        <w:t>increasingly</w:t>
      </w:r>
      <w:r>
        <w:rPr>
          <w:color w:val="231F20"/>
          <w:spacing w:val="-33"/>
          <w:w w:val="105"/>
        </w:rPr>
        <w:t> </w:t>
      </w:r>
      <w:r>
        <w:rPr>
          <w:color w:val="231F20"/>
          <w:w w:val="105"/>
        </w:rPr>
        <w:t>relevant (Smith,</w:t>
      </w:r>
      <w:r>
        <w:rPr>
          <w:color w:val="231F20"/>
          <w:spacing w:val="-23"/>
          <w:w w:val="105"/>
        </w:rPr>
        <w:t> </w:t>
      </w:r>
      <w:r>
        <w:rPr>
          <w:color w:val="231F20"/>
          <w:w w:val="105"/>
        </w:rPr>
        <w:t>2006).</w:t>
      </w:r>
      <w:r>
        <w:rPr>
          <w:color w:val="231F20"/>
          <w:spacing w:val="-28"/>
          <w:w w:val="105"/>
        </w:rPr>
        <w:t> </w:t>
      </w:r>
      <w:r>
        <w:rPr>
          <w:color w:val="231F20"/>
          <w:w w:val="105"/>
        </w:rPr>
        <w:t>The</w:t>
      </w:r>
      <w:r>
        <w:rPr>
          <w:color w:val="231F20"/>
          <w:spacing w:val="-18"/>
          <w:w w:val="105"/>
        </w:rPr>
        <w:t> </w:t>
      </w:r>
      <w:r>
        <w:rPr>
          <w:color w:val="231F20"/>
          <w:w w:val="105"/>
        </w:rPr>
        <w:t>purpose</w:t>
      </w:r>
      <w:r>
        <w:rPr>
          <w:color w:val="231F20"/>
          <w:spacing w:val="-18"/>
          <w:w w:val="105"/>
        </w:rPr>
        <w:t> </w:t>
      </w:r>
      <w:r>
        <w:rPr>
          <w:color w:val="231F20"/>
          <w:w w:val="105"/>
        </w:rPr>
        <w:t>of</w:t>
      </w:r>
      <w:r>
        <w:rPr>
          <w:color w:val="231F20"/>
          <w:spacing w:val="-13"/>
          <w:w w:val="105"/>
        </w:rPr>
        <w:t> </w:t>
      </w:r>
      <w:r>
        <w:rPr>
          <w:color w:val="231F20"/>
          <w:w w:val="105"/>
        </w:rPr>
        <w:t>this</w:t>
      </w:r>
      <w:r>
        <w:rPr>
          <w:color w:val="231F20"/>
          <w:spacing w:val="-18"/>
          <w:w w:val="105"/>
        </w:rPr>
        <w:t> </w:t>
      </w:r>
      <w:r>
        <w:rPr>
          <w:color w:val="231F20"/>
          <w:w w:val="105"/>
        </w:rPr>
        <w:t>study</w:t>
      </w:r>
      <w:r>
        <w:rPr>
          <w:color w:val="231F20"/>
          <w:spacing w:val="-18"/>
          <w:w w:val="105"/>
        </w:rPr>
        <w:t> </w:t>
      </w:r>
      <w:r>
        <w:rPr>
          <w:color w:val="231F20"/>
          <w:w w:val="105"/>
        </w:rPr>
        <w:t>is</w:t>
      </w:r>
      <w:r>
        <w:rPr>
          <w:color w:val="231F20"/>
          <w:spacing w:val="-18"/>
          <w:w w:val="105"/>
        </w:rPr>
        <w:t> </w:t>
      </w:r>
      <w:r>
        <w:rPr>
          <w:color w:val="231F20"/>
          <w:w w:val="105"/>
        </w:rPr>
        <w:t>to</w:t>
      </w:r>
      <w:r>
        <w:rPr>
          <w:color w:val="231F20"/>
          <w:spacing w:val="-18"/>
          <w:w w:val="105"/>
        </w:rPr>
        <w:t> </w:t>
      </w:r>
      <w:r>
        <w:rPr>
          <w:color w:val="231F20"/>
          <w:w w:val="105"/>
        </w:rPr>
        <w:t>demonstrate</w:t>
      </w:r>
      <w:r>
        <w:rPr>
          <w:color w:val="231F20"/>
          <w:spacing w:val="-18"/>
          <w:w w:val="105"/>
        </w:rPr>
        <w:t> </w:t>
      </w:r>
      <w:r>
        <w:rPr>
          <w:color w:val="231F20"/>
          <w:w w:val="105"/>
        </w:rPr>
        <w:t>how</w:t>
      </w:r>
      <w:r>
        <w:rPr>
          <w:color w:val="231F20"/>
          <w:spacing w:val="-18"/>
          <w:w w:val="105"/>
        </w:rPr>
        <w:t> </w:t>
      </w:r>
      <w:r>
        <w:rPr>
          <w:color w:val="231F20"/>
          <w:w w:val="105"/>
        </w:rPr>
        <w:t>online</w:t>
      </w:r>
      <w:r>
        <w:rPr>
          <w:color w:val="231F20"/>
          <w:spacing w:val="-18"/>
          <w:w w:val="105"/>
        </w:rPr>
        <w:t> </w:t>
      </w:r>
      <w:r>
        <w:rPr>
          <w:color w:val="231F20"/>
          <w:w w:val="105"/>
        </w:rPr>
        <w:t>so- cial</w:t>
      </w:r>
      <w:r>
        <w:rPr>
          <w:color w:val="231F20"/>
          <w:spacing w:val="-19"/>
          <w:w w:val="105"/>
        </w:rPr>
        <w:t> </w:t>
      </w:r>
      <w:r>
        <w:rPr>
          <w:color w:val="231F20"/>
          <w:w w:val="105"/>
        </w:rPr>
        <w:t>network</w:t>
      </w:r>
      <w:r>
        <w:rPr>
          <w:color w:val="231F20"/>
          <w:spacing w:val="-19"/>
          <w:w w:val="105"/>
        </w:rPr>
        <w:t> </w:t>
      </w:r>
      <w:r>
        <w:rPr>
          <w:color w:val="231F20"/>
          <w:w w:val="105"/>
        </w:rPr>
        <w:t>sites</w:t>
      </w:r>
      <w:r>
        <w:rPr>
          <w:color w:val="231F20"/>
          <w:spacing w:val="-19"/>
          <w:w w:val="105"/>
        </w:rPr>
        <w:t> </w:t>
      </w:r>
      <w:r>
        <w:rPr>
          <w:color w:val="231F20"/>
          <w:w w:val="105"/>
        </w:rPr>
        <w:t>(</w:t>
      </w:r>
      <w:r>
        <w:rPr>
          <w:color w:val="231F20"/>
          <w:w w:val="105"/>
          <w:sz w:val="17"/>
        </w:rPr>
        <w:t>SNS</w:t>
      </w:r>
      <w:r>
        <w:rPr>
          <w:color w:val="231F20"/>
          <w:w w:val="105"/>
        </w:rPr>
        <w:t>)</w:t>
      </w:r>
      <w:r>
        <w:rPr>
          <w:color w:val="231F20"/>
          <w:spacing w:val="-19"/>
          <w:w w:val="105"/>
        </w:rPr>
        <w:t> </w:t>
      </w:r>
      <w:r>
        <w:rPr>
          <w:color w:val="231F20"/>
          <w:w w:val="105"/>
        </w:rPr>
        <w:t>such</w:t>
      </w:r>
      <w:r>
        <w:rPr>
          <w:color w:val="231F20"/>
          <w:spacing w:val="-19"/>
          <w:w w:val="105"/>
        </w:rPr>
        <w:t> </w:t>
      </w:r>
      <w:r>
        <w:rPr>
          <w:color w:val="231F20"/>
          <w:w w:val="105"/>
        </w:rPr>
        <w:t>as</w:t>
      </w:r>
      <w:r>
        <w:rPr>
          <w:color w:val="231F20"/>
          <w:spacing w:val="-19"/>
          <w:w w:val="105"/>
        </w:rPr>
        <w:t> </w:t>
      </w:r>
      <w:r>
        <w:rPr>
          <w:color w:val="231F20"/>
          <w:w w:val="105"/>
        </w:rPr>
        <w:t>Facebook</w:t>
      </w:r>
      <w:r>
        <w:rPr>
          <w:color w:val="231F20"/>
          <w:spacing w:val="-19"/>
          <w:w w:val="105"/>
        </w:rPr>
        <w:t> </w:t>
      </w:r>
      <w:r>
        <w:rPr>
          <w:color w:val="231F20"/>
          <w:w w:val="105"/>
        </w:rPr>
        <w:t>facilitate</w:t>
      </w:r>
      <w:r>
        <w:rPr>
          <w:color w:val="231F20"/>
          <w:spacing w:val="-19"/>
          <w:w w:val="105"/>
        </w:rPr>
        <w:t> </w:t>
      </w:r>
      <w:r>
        <w:rPr>
          <w:color w:val="231F20"/>
          <w:w w:val="105"/>
        </w:rPr>
        <w:t>transnational</w:t>
      </w:r>
      <w:r>
        <w:rPr>
          <w:color w:val="231F20"/>
          <w:spacing w:val="-19"/>
          <w:w w:val="105"/>
        </w:rPr>
        <w:t> </w:t>
      </w:r>
      <w:r>
        <w:rPr>
          <w:color w:val="231F20"/>
          <w:w w:val="105"/>
        </w:rPr>
        <w:t>networ- ks and thus bolster their transnationalism. I analyze the communication patterns of one bilingual Mexican transnational network who lives in</w:t>
      </w:r>
      <w:r>
        <w:rPr>
          <w:color w:val="231F20"/>
          <w:spacing w:val="-29"/>
          <w:w w:val="105"/>
        </w:rPr>
        <w:t> </w:t>
      </w:r>
      <w:r>
        <w:rPr>
          <w:color w:val="231F20"/>
          <w:w w:val="105"/>
        </w:rPr>
        <w:t>Mi- choacán</w:t>
      </w:r>
      <w:r>
        <w:rPr>
          <w:color w:val="231F20"/>
          <w:spacing w:val="-24"/>
          <w:w w:val="105"/>
        </w:rPr>
        <w:t> </w:t>
      </w:r>
      <w:r>
        <w:rPr>
          <w:color w:val="231F20"/>
          <w:w w:val="105"/>
        </w:rPr>
        <w:t>and</w:t>
      </w:r>
      <w:r>
        <w:rPr>
          <w:color w:val="231F20"/>
          <w:spacing w:val="-24"/>
          <w:w w:val="105"/>
        </w:rPr>
        <w:t> </w:t>
      </w:r>
      <w:r>
        <w:rPr>
          <w:color w:val="231F20"/>
          <w:w w:val="105"/>
        </w:rPr>
        <w:t>Chicago</w:t>
      </w:r>
      <w:r>
        <w:rPr>
          <w:color w:val="231F20"/>
          <w:spacing w:val="-24"/>
          <w:w w:val="105"/>
        </w:rPr>
        <w:t> </w:t>
      </w:r>
      <w:r>
        <w:rPr>
          <w:color w:val="231F20"/>
          <w:w w:val="105"/>
        </w:rPr>
        <w:t>and</w:t>
      </w:r>
      <w:r>
        <w:rPr>
          <w:color w:val="231F20"/>
          <w:spacing w:val="-24"/>
          <w:w w:val="105"/>
        </w:rPr>
        <w:t> </w:t>
      </w:r>
      <w:r>
        <w:rPr>
          <w:color w:val="231F20"/>
          <w:w w:val="105"/>
        </w:rPr>
        <w:t>has</w:t>
      </w:r>
      <w:r>
        <w:rPr>
          <w:color w:val="231F20"/>
          <w:spacing w:val="-24"/>
          <w:w w:val="105"/>
        </w:rPr>
        <w:t> </w:t>
      </w:r>
      <w:r>
        <w:rPr>
          <w:color w:val="231F20"/>
          <w:w w:val="105"/>
        </w:rPr>
        <w:t>transnationals</w:t>
      </w:r>
      <w:r>
        <w:rPr>
          <w:color w:val="231F20"/>
          <w:spacing w:val="-24"/>
          <w:w w:val="105"/>
        </w:rPr>
        <w:t> </w:t>
      </w:r>
      <w:r>
        <w:rPr>
          <w:color w:val="231F20"/>
          <w:w w:val="105"/>
        </w:rPr>
        <w:t>of</w:t>
      </w:r>
      <w:r>
        <w:rPr>
          <w:color w:val="231F20"/>
          <w:spacing w:val="-20"/>
          <w:w w:val="105"/>
        </w:rPr>
        <w:t> </w:t>
      </w:r>
      <w:r>
        <w:rPr>
          <w:color w:val="231F20"/>
          <w:w w:val="105"/>
        </w:rPr>
        <w:t>all</w:t>
      </w:r>
      <w:r>
        <w:rPr>
          <w:color w:val="231F20"/>
          <w:spacing w:val="-24"/>
          <w:w w:val="105"/>
        </w:rPr>
        <w:t> </w:t>
      </w:r>
      <w:r>
        <w:rPr>
          <w:color w:val="231F20"/>
          <w:w w:val="105"/>
        </w:rPr>
        <w:t>varieties</w:t>
      </w:r>
      <w:r>
        <w:rPr>
          <w:color w:val="231F20"/>
          <w:spacing w:val="-24"/>
          <w:w w:val="105"/>
        </w:rPr>
        <w:t> </w:t>
      </w:r>
      <w:r>
        <w:rPr>
          <w:color w:val="231F20"/>
          <w:w w:val="105"/>
        </w:rPr>
        <w:t>and</w:t>
      </w:r>
      <w:r>
        <w:rPr>
          <w:color w:val="231F20"/>
          <w:spacing w:val="-24"/>
          <w:w w:val="105"/>
        </w:rPr>
        <w:t> </w:t>
      </w:r>
      <w:r>
        <w:rPr>
          <w:color w:val="231F20"/>
          <w:w w:val="105"/>
        </w:rPr>
        <w:t>degrees. Some</w:t>
      </w:r>
      <w:r>
        <w:rPr>
          <w:color w:val="231F20"/>
          <w:spacing w:val="-25"/>
          <w:w w:val="105"/>
        </w:rPr>
        <w:t> </w:t>
      </w:r>
      <w:r>
        <w:rPr>
          <w:color w:val="231F20"/>
          <w:w w:val="105"/>
        </w:rPr>
        <w:t>members</w:t>
      </w:r>
      <w:r>
        <w:rPr>
          <w:color w:val="231F20"/>
          <w:spacing w:val="-25"/>
          <w:w w:val="105"/>
        </w:rPr>
        <w:t> </w:t>
      </w:r>
      <w:r>
        <w:rPr>
          <w:color w:val="231F20"/>
          <w:w w:val="105"/>
        </w:rPr>
        <w:t>of</w:t>
      </w:r>
      <w:r>
        <w:rPr>
          <w:color w:val="231F20"/>
          <w:spacing w:val="-21"/>
          <w:w w:val="105"/>
        </w:rPr>
        <w:t> </w:t>
      </w:r>
      <w:r>
        <w:rPr>
          <w:color w:val="231F20"/>
          <w:w w:val="105"/>
        </w:rPr>
        <w:t>this</w:t>
      </w:r>
      <w:r>
        <w:rPr>
          <w:color w:val="231F20"/>
          <w:spacing w:val="-25"/>
          <w:w w:val="105"/>
        </w:rPr>
        <w:t> </w:t>
      </w:r>
      <w:r>
        <w:rPr>
          <w:color w:val="231F20"/>
          <w:w w:val="105"/>
        </w:rPr>
        <w:t>focal</w:t>
      </w:r>
      <w:r>
        <w:rPr>
          <w:color w:val="231F20"/>
          <w:spacing w:val="-25"/>
          <w:w w:val="105"/>
        </w:rPr>
        <w:t> </w:t>
      </w:r>
      <w:r>
        <w:rPr>
          <w:color w:val="231F20"/>
          <w:w w:val="105"/>
        </w:rPr>
        <w:t>transnational</w:t>
      </w:r>
      <w:r>
        <w:rPr>
          <w:color w:val="231F20"/>
          <w:spacing w:val="-25"/>
          <w:w w:val="105"/>
        </w:rPr>
        <w:t> </w:t>
      </w:r>
      <w:r>
        <w:rPr>
          <w:color w:val="231F20"/>
          <w:w w:val="105"/>
        </w:rPr>
        <w:t>social</w:t>
      </w:r>
      <w:r>
        <w:rPr>
          <w:color w:val="231F20"/>
          <w:spacing w:val="-25"/>
          <w:w w:val="105"/>
        </w:rPr>
        <w:t> </w:t>
      </w:r>
      <w:r>
        <w:rPr>
          <w:color w:val="231F20"/>
          <w:w w:val="105"/>
        </w:rPr>
        <w:t>network</w:t>
      </w:r>
      <w:r>
        <w:rPr>
          <w:color w:val="231F20"/>
          <w:spacing w:val="-25"/>
          <w:w w:val="105"/>
        </w:rPr>
        <w:t> </w:t>
      </w:r>
      <w:r>
        <w:rPr>
          <w:color w:val="231F20"/>
          <w:w w:val="105"/>
        </w:rPr>
        <w:t>travel</w:t>
      </w:r>
      <w:r>
        <w:rPr>
          <w:color w:val="231F20"/>
          <w:spacing w:val="-25"/>
          <w:w w:val="105"/>
        </w:rPr>
        <w:t> </w:t>
      </w:r>
      <w:r>
        <w:rPr>
          <w:color w:val="231F20"/>
          <w:w w:val="105"/>
        </w:rPr>
        <w:t>frequently and</w:t>
      </w:r>
      <w:r>
        <w:rPr>
          <w:color w:val="231F20"/>
          <w:spacing w:val="-9"/>
          <w:w w:val="105"/>
        </w:rPr>
        <w:t> </w:t>
      </w:r>
      <w:r>
        <w:rPr>
          <w:color w:val="231F20"/>
          <w:w w:val="105"/>
        </w:rPr>
        <w:t>stay</w:t>
      </w:r>
      <w:r>
        <w:rPr>
          <w:color w:val="231F20"/>
          <w:spacing w:val="-9"/>
          <w:w w:val="105"/>
        </w:rPr>
        <w:t> </w:t>
      </w:r>
      <w:r>
        <w:rPr>
          <w:color w:val="231F20"/>
          <w:w w:val="105"/>
        </w:rPr>
        <w:t>for</w:t>
      </w:r>
      <w:r>
        <w:rPr>
          <w:color w:val="231F20"/>
          <w:spacing w:val="-9"/>
          <w:w w:val="105"/>
        </w:rPr>
        <w:t> </w:t>
      </w:r>
      <w:r>
        <w:rPr>
          <w:color w:val="231F20"/>
          <w:w w:val="105"/>
        </w:rPr>
        <w:t>long</w:t>
      </w:r>
      <w:r>
        <w:rPr>
          <w:color w:val="231F20"/>
          <w:spacing w:val="-9"/>
          <w:w w:val="105"/>
        </w:rPr>
        <w:t> </w:t>
      </w:r>
      <w:r>
        <w:rPr>
          <w:color w:val="231F20"/>
          <w:w w:val="105"/>
        </w:rPr>
        <w:t>periods</w:t>
      </w:r>
      <w:r>
        <w:rPr>
          <w:color w:val="231F20"/>
          <w:spacing w:val="-9"/>
          <w:w w:val="105"/>
        </w:rPr>
        <w:t> </w:t>
      </w:r>
      <w:r>
        <w:rPr>
          <w:color w:val="231F20"/>
          <w:w w:val="105"/>
        </w:rPr>
        <w:t>of</w:t>
      </w:r>
      <w:r>
        <w:rPr>
          <w:color w:val="231F20"/>
          <w:spacing w:val="-4"/>
          <w:w w:val="105"/>
        </w:rPr>
        <w:t> </w:t>
      </w:r>
      <w:r>
        <w:rPr>
          <w:color w:val="231F20"/>
          <w:w w:val="105"/>
        </w:rPr>
        <w:t>time</w:t>
      </w:r>
      <w:r>
        <w:rPr>
          <w:color w:val="231F20"/>
          <w:spacing w:val="-9"/>
          <w:w w:val="105"/>
        </w:rPr>
        <w:t> </w:t>
      </w:r>
      <w:r>
        <w:rPr>
          <w:color w:val="231F20"/>
          <w:w w:val="105"/>
        </w:rPr>
        <w:t>(from</w:t>
      </w:r>
      <w:r>
        <w:rPr>
          <w:color w:val="231F20"/>
          <w:spacing w:val="-9"/>
          <w:w w:val="105"/>
        </w:rPr>
        <w:t> </w:t>
      </w:r>
      <w:r>
        <w:rPr>
          <w:color w:val="231F20"/>
          <w:w w:val="105"/>
        </w:rPr>
        <w:t>a</w:t>
      </w:r>
      <w:r>
        <w:rPr>
          <w:color w:val="231F20"/>
          <w:spacing w:val="-9"/>
          <w:w w:val="105"/>
        </w:rPr>
        <w:t> </w:t>
      </w:r>
      <w:r>
        <w:rPr>
          <w:color w:val="231F20"/>
          <w:w w:val="105"/>
        </w:rPr>
        <w:t>month</w:t>
      </w:r>
      <w:r>
        <w:rPr>
          <w:color w:val="231F20"/>
          <w:spacing w:val="-9"/>
          <w:w w:val="105"/>
        </w:rPr>
        <w:t> </w:t>
      </w:r>
      <w:r>
        <w:rPr>
          <w:color w:val="231F20"/>
          <w:w w:val="105"/>
        </w:rPr>
        <w:t>to</w:t>
      </w:r>
      <w:r>
        <w:rPr>
          <w:color w:val="231F20"/>
          <w:spacing w:val="-9"/>
          <w:w w:val="105"/>
        </w:rPr>
        <w:t> </w:t>
      </w:r>
      <w:r>
        <w:rPr>
          <w:color w:val="231F20"/>
          <w:w w:val="105"/>
        </w:rPr>
        <w:t>entire</w:t>
      </w:r>
      <w:r>
        <w:rPr>
          <w:color w:val="231F20"/>
          <w:spacing w:val="-9"/>
          <w:w w:val="105"/>
        </w:rPr>
        <w:t> </w:t>
      </w:r>
      <w:r>
        <w:rPr>
          <w:color w:val="231F20"/>
          <w:w w:val="105"/>
        </w:rPr>
        <w:t>years</w:t>
      </w:r>
      <w:r>
        <w:rPr>
          <w:color w:val="231F20"/>
          <w:spacing w:val="-9"/>
          <w:w w:val="105"/>
        </w:rPr>
        <w:t> </w:t>
      </w:r>
      <w:r>
        <w:rPr>
          <w:color w:val="231F20"/>
          <w:w w:val="105"/>
        </w:rPr>
        <w:t>at</w:t>
      </w:r>
      <w:r>
        <w:rPr>
          <w:color w:val="231F20"/>
          <w:spacing w:val="-9"/>
          <w:w w:val="105"/>
        </w:rPr>
        <w:t> </w:t>
      </w:r>
      <w:r>
        <w:rPr>
          <w:color w:val="231F20"/>
          <w:w w:val="105"/>
        </w:rPr>
        <w:t>a</w:t>
      </w:r>
      <w:r>
        <w:rPr>
          <w:color w:val="231F20"/>
          <w:spacing w:val="-9"/>
          <w:w w:val="105"/>
        </w:rPr>
        <w:t> </w:t>
      </w:r>
      <w:r>
        <w:rPr>
          <w:color w:val="231F20"/>
          <w:w w:val="105"/>
        </w:rPr>
        <w:t>time), and communicate with their relatives living on the other side of the bor- der</w:t>
      </w:r>
      <w:r>
        <w:rPr>
          <w:color w:val="231F20"/>
          <w:spacing w:val="-17"/>
          <w:w w:val="105"/>
        </w:rPr>
        <w:t> </w:t>
      </w:r>
      <w:r>
        <w:rPr>
          <w:color w:val="231F20"/>
          <w:w w:val="105"/>
        </w:rPr>
        <w:t>(either</w:t>
      </w:r>
      <w:r>
        <w:rPr>
          <w:color w:val="231F20"/>
          <w:spacing w:val="-17"/>
          <w:w w:val="105"/>
        </w:rPr>
        <w:t> </w:t>
      </w:r>
      <w:r>
        <w:rPr>
          <w:color w:val="231F20"/>
          <w:w w:val="105"/>
        </w:rPr>
        <w:t>Mexico</w:t>
      </w:r>
      <w:r>
        <w:rPr>
          <w:color w:val="231F20"/>
          <w:spacing w:val="-17"/>
          <w:w w:val="105"/>
        </w:rPr>
        <w:t> </w:t>
      </w:r>
      <w:r>
        <w:rPr>
          <w:color w:val="231F20"/>
          <w:w w:val="105"/>
        </w:rPr>
        <w:t>or</w:t>
      </w:r>
      <w:r>
        <w:rPr>
          <w:color w:val="231F20"/>
          <w:spacing w:val="-17"/>
          <w:w w:val="105"/>
        </w:rPr>
        <w:t> </w:t>
      </w:r>
      <w:r>
        <w:rPr>
          <w:color w:val="231F20"/>
          <w:w w:val="105"/>
        </w:rPr>
        <w:t>the</w:t>
      </w:r>
      <w:r>
        <w:rPr>
          <w:color w:val="231F20"/>
          <w:spacing w:val="-17"/>
          <w:w w:val="105"/>
        </w:rPr>
        <w:t> </w:t>
      </w:r>
      <w:r>
        <w:rPr>
          <w:color w:val="231F20"/>
          <w:w w:val="105"/>
        </w:rPr>
        <w:t>U.S.).</w:t>
      </w:r>
      <w:r>
        <w:rPr>
          <w:color w:val="231F20"/>
          <w:spacing w:val="-22"/>
          <w:w w:val="105"/>
        </w:rPr>
        <w:t> </w:t>
      </w:r>
      <w:r>
        <w:rPr>
          <w:color w:val="231F20"/>
          <w:w w:val="105"/>
        </w:rPr>
        <w:t>Others</w:t>
      </w:r>
      <w:r>
        <w:rPr>
          <w:color w:val="231F20"/>
          <w:spacing w:val="-17"/>
          <w:w w:val="105"/>
        </w:rPr>
        <w:t> </w:t>
      </w:r>
      <w:r>
        <w:rPr>
          <w:color w:val="231F20"/>
          <w:w w:val="105"/>
        </w:rPr>
        <w:t>seldom</w:t>
      </w:r>
      <w:r>
        <w:rPr>
          <w:color w:val="231F20"/>
          <w:spacing w:val="-17"/>
          <w:w w:val="105"/>
        </w:rPr>
        <w:t> </w:t>
      </w:r>
      <w:r>
        <w:rPr>
          <w:color w:val="231F20"/>
          <w:w w:val="105"/>
        </w:rPr>
        <w:t>or</w:t>
      </w:r>
      <w:r>
        <w:rPr>
          <w:color w:val="231F20"/>
          <w:spacing w:val="-17"/>
          <w:w w:val="105"/>
        </w:rPr>
        <w:t> </w:t>
      </w:r>
      <w:r>
        <w:rPr>
          <w:color w:val="231F20"/>
          <w:w w:val="105"/>
        </w:rPr>
        <w:t>never</w:t>
      </w:r>
      <w:r>
        <w:rPr>
          <w:color w:val="231F20"/>
          <w:spacing w:val="-17"/>
          <w:w w:val="105"/>
        </w:rPr>
        <w:t> </w:t>
      </w:r>
      <w:r>
        <w:rPr>
          <w:color w:val="231F20"/>
          <w:w w:val="105"/>
        </w:rPr>
        <w:t>travel</w:t>
      </w:r>
      <w:r>
        <w:rPr>
          <w:color w:val="231F20"/>
          <w:spacing w:val="-17"/>
          <w:w w:val="105"/>
        </w:rPr>
        <w:t> </w:t>
      </w:r>
      <w:r>
        <w:rPr>
          <w:color w:val="231F20"/>
          <w:w w:val="105"/>
        </w:rPr>
        <w:t>to</w:t>
      </w:r>
      <w:r>
        <w:rPr>
          <w:color w:val="231F20"/>
          <w:spacing w:val="-17"/>
          <w:w w:val="105"/>
        </w:rPr>
        <w:t> </w:t>
      </w:r>
      <w:r>
        <w:rPr>
          <w:color w:val="231F20"/>
          <w:w w:val="105"/>
        </w:rPr>
        <w:t>the</w:t>
      </w:r>
      <w:r>
        <w:rPr>
          <w:color w:val="231F20"/>
          <w:spacing w:val="-17"/>
          <w:w w:val="105"/>
        </w:rPr>
        <w:t> </w:t>
      </w:r>
      <w:r>
        <w:rPr>
          <w:color w:val="231F20"/>
          <w:w w:val="105"/>
        </w:rPr>
        <w:t>other country.</w:t>
      </w:r>
      <w:r>
        <w:rPr>
          <w:color w:val="231F20"/>
          <w:spacing w:val="-24"/>
          <w:w w:val="105"/>
        </w:rPr>
        <w:t> </w:t>
      </w:r>
      <w:r>
        <w:rPr>
          <w:color w:val="231F20"/>
          <w:w w:val="105"/>
        </w:rPr>
        <w:t>The</w:t>
      </w:r>
      <w:r>
        <w:rPr>
          <w:color w:val="231F20"/>
          <w:spacing w:val="-13"/>
          <w:w w:val="105"/>
        </w:rPr>
        <w:t> </w:t>
      </w:r>
      <w:r>
        <w:rPr>
          <w:color w:val="231F20"/>
          <w:w w:val="105"/>
        </w:rPr>
        <w:t>goal</w:t>
      </w:r>
      <w:r>
        <w:rPr>
          <w:color w:val="231F20"/>
          <w:spacing w:val="-13"/>
          <w:w w:val="105"/>
        </w:rPr>
        <w:t> </w:t>
      </w:r>
      <w:r>
        <w:rPr>
          <w:color w:val="231F20"/>
          <w:w w:val="105"/>
        </w:rPr>
        <w:t>is</w:t>
      </w:r>
      <w:r>
        <w:rPr>
          <w:color w:val="231F20"/>
          <w:spacing w:val="-13"/>
          <w:w w:val="105"/>
        </w:rPr>
        <w:t> </w:t>
      </w:r>
      <w:r>
        <w:rPr>
          <w:color w:val="231F20"/>
          <w:w w:val="105"/>
        </w:rPr>
        <w:t>to</w:t>
      </w:r>
      <w:r>
        <w:rPr>
          <w:color w:val="231F20"/>
          <w:spacing w:val="-13"/>
          <w:w w:val="105"/>
        </w:rPr>
        <w:t> </w:t>
      </w:r>
      <w:r>
        <w:rPr>
          <w:color w:val="231F20"/>
          <w:w w:val="105"/>
        </w:rPr>
        <w:t>demonstrate</w:t>
      </w:r>
      <w:r>
        <w:rPr>
          <w:color w:val="231F20"/>
          <w:spacing w:val="-13"/>
          <w:w w:val="105"/>
        </w:rPr>
        <w:t> </w:t>
      </w:r>
      <w:r>
        <w:rPr>
          <w:color w:val="231F20"/>
          <w:w w:val="105"/>
        </w:rPr>
        <w:t>how</w:t>
      </w:r>
      <w:r>
        <w:rPr>
          <w:color w:val="231F20"/>
          <w:spacing w:val="-13"/>
          <w:w w:val="105"/>
        </w:rPr>
        <w:t> </w:t>
      </w:r>
      <w:r>
        <w:rPr>
          <w:color w:val="231F20"/>
          <w:w w:val="105"/>
        </w:rPr>
        <w:t>digital</w:t>
      </w:r>
      <w:r>
        <w:rPr>
          <w:color w:val="231F20"/>
          <w:spacing w:val="-13"/>
          <w:w w:val="105"/>
        </w:rPr>
        <w:t> </w:t>
      </w:r>
      <w:r>
        <w:rPr>
          <w:color w:val="231F20"/>
          <w:w w:val="105"/>
        </w:rPr>
        <w:t>communication</w:t>
      </w:r>
      <w:r>
        <w:rPr>
          <w:color w:val="231F20"/>
          <w:spacing w:val="-13"/>
          <w:w w:val="105"/>
        </w:rPr>
        <w:t> </w:t>
      </w:r>
      <w:r>
        <w:rPr>
          <w:color w:val="231F20"/>
          <w:w w:val="105"/>
        </w:rPr>
        <w:t>practices have</w:t>
      </w:r>
      <w:r>
        <w:rPr>
          <w:color w:val="231F20"/>
          <w:spacing w:val="-21"/>
          <w:w w:val="105"/>
        </w:rPr>
        <w:t> </w:t>
      </w:r>
      <w:r>
        <w:rPr>
          <w:color w:val="231F20"/>
          <w:w w:val="105"/>
        </w:rPr>
        <w:t>changed</w:t>
      </w:r>
      <w:r>
        <w:rPr>
          <w:color w:val="231F20"/>
          <w:spacing w:val="-21"/>
          <w:w w:val="105"/>
        </w:rPr>
        <w:t> </w:t>
      </w:r>
      <w:r>
        <w:rPr>
          <w:color w:val="231F20"/>
          <w:w w:val="105"/>
        </w:rPr>
        <w:t>the</w:t>
      </w:r>
      <w:r>
        <w:rPr>
          <w:color w:val="231F20"/>
          <w:spacing w:val="-21"/>
          <w:w w:val="105"/>
        </w:rPr>
        <w:t> </w:t>
      </w:r>
      <w:r>
        <w:rPr>
          <w:color w:val="231F20"/>
          <w:w w:val="105"/>
        </w:rPr>
        <w:t>way</w:t>
      </w:r>
      <w:r>
        <w:rPr>
          <w:color w:val="231F20"/>
          <w:spacing w:val="-21"/>
          <w:w w:val="105"/>
        </w:rPr>
        <w:t> </w:t>
      </w:r>
      <w:r>
        <w:rPr>
          <w:color w:val="231F20"/>
          <w:w w:val="105"/>
        </w:rPr>
        <w:t>individuals</w:t>
      </w:r>
      <w:r>
        <w:rPr>
          <w:color w:val="231F20"/>
          <w:spacing w:val="-21"/>
          <w:w w:val="105"/>
        </w:rPr>
        <w:t> </w:t>
      </w:r>
      <w:r>
        <w:rPr>
          <w:color w:val="231F20"/>
          <w:spacing w:val="-3"/>
          <w:w w:val="105"/>
        </w:rPr>
        <w:t>“do”</w:t>
      </w:r>
      <w:r>
        <w:rPr>
          <w:color w:val="231F20"/>
          <w:spacing w:val="-21"/>
          <w:w w:val="105"/>
        </w:rPr>
        <w:t> </w:t>
      </w:r>
      <w:r>
        <w:rPr>
          <w:color w:val="231F20"/>
          <w:w w:val="105"/>
        </w:rPr>
        <w:t>transnationalism.</w:t>
      </w:r>
      <w:r>
        <w:rPr>
          <w:color w:val="231F20"/>
          <w:spacing w:val="-29"/>
          <w:w w:val="105"/>
        </w:rPr>
        <w:t> </w:t>
      </w:r>
      <w:r>
        <w:rPr>
          <w:color w:val="231F20"/>
          <w:w w:val="105"/>
        </w:rPr>
        <w:t>Thus,</w:t>
      </w:r>
      <w:r>
        <w:rPr>
          <w:color w:val="231F20"/>
          <w:spacing w:val="-25"/>
          <w:w w:val="105"/>
        </w:rPr>
        <w:t> </w:t>
      </w:r>
      <w:r>
        <w:rPr>
          <w:color w:val="231F20"/>
          <w:w w:val="105"/>
        </w:rPr>
        <w:t>I</w:t>
      </w:r>
      <w:r>
        <w:rPr>
          <w:color w:val="231F20"/>
          <w:spacing w:val="-21"/>
          <w:w w:val="105"/>
        </w:rPr>
        <w:t> </w:t>
      </w:r>
      <w:r>
        <w:rPr>
          <w:color w:val="231F20"/>
          <w:w w:val="105"/>
        </w:rPr>
        <w:t>argue</w:t>
      </w:r>
      <w:r>
        <w:rPr>
          <w:color w:val="231F20"/>
          <w:spacing w:val="-21"/>
          <w:w w:val="105"/>
        </w:rPr>
        <w:t> </w:t>
      </w:r>
      <w:r>
        <w:rPr>
          <w:color w:val="231F20"/>
          <w:w w:val="105"/>
        </w:rPr>
        <w:t>for a paradigm shift for how transnationalism is construed and understood because digital communication has made it possible for all members of the network to maintain their engagement with each other without ever being in the same</w:t>
      </w:r>
      <w:r>
        <w:rPr>
          <w:color w:val="231F20"/>
          <w:spacing w:val="-27"/>
          <w:w w:val="105"/>
        </w:rPr>
        <w:t> </w:t>
      </w:r>
      <w:r>
        <w:rPr>
          <w:color w:val="231F20"/>
          <w:w w:val="105"/>
        </w:rPr>
        <w:t>room.</w:t>
      </w:r>
    </w:p>
    <w:p>
      <w:pPr>
        <w:pStyle w:val="BodyText"/>
        <w:rPr>
          <w:sz w:val="20"/>
        </w:rPr>
      </w:pPr>
    </w:p>
    <w:p>
      <w:pPr>
        <w:pStyle w:val="BodyText"/>
        <w:spacing w:before="9"/>
        <w:rPr>
          <w:sz w:val="20"/>
        </w:rPr>
      </w:pPr>
    </w:p>
    <w:p>
      <w:pPr>
        <w:pStyle w:val="Heading3"/>
        <w:ind w:left="1723"/>
      </w:pPr>
      <w:r>
        <w:rPr>
          <w:color w:val="231F20"/>
          <w:w w:val="95"/>
        </w:rPr>
        <w:t>Literature Review on Transnational Studies</w:t>
      </w:r>
    </w:p>
    <w:p>
      <w:pPr>
        <w:pStyle w:val="BodyText"/>
        <w:rPr>
          <w:rFonts w:ascii="Arial"/>
          <w:b/>
          <w:sz w:val="22"/>
        </w:rPr>
      </w:pPr>
    </w:p>
    <w:p>
      <w:pPr>
        <w:pStyle w:val="BodyText"/>
        <w:spacing w:line="261" w:lineRule="auto" w:before="163"/>
        <w:ind w:left="1723" w:right="1828"/>
        <w:jc w:val="both"/>
      </w:pPr>
      <w:r>
        <w:rPr>
          <w:color w:val="231F20"/>
          <w:w w:val="105"/>
        </w:rPr>
        <w:t>Research points out that individuals who are unable to achieve social membership in the receiving community purposefully maintain stronger ties to “home” (Levitt, 2001). In addition to sending remittances, which have an economic value, there are emotional and cultural remittances (e.g. paraphernalia such as Baseball Cubs sweatshirt) for both the</w:t>
      </w:r>
      <w:r>
        <w:rPr>
          <w:color w:val="231F20"/>
          <w:spacing w:val="-14"/>
          <w:w w:val="105"/>
        </w:rPr>
        <w:t> </w:t>
      </w:r>
      <w:r>
        <w:rPr>
          <w:color w:val="231F20"/>
          <w:w w:val="105"/>
        </w:rPr>
        <w:t>sen- der</w:t>
      </w:r>
      <w:r>
        <w:rPr>
          <w:color w:val="231F20"/>
          <w:spacing w:val="-3"/>
          <w:w w:val="105"/>
        </w:rPr>
        <w:t> </w:t>
      </w:r>
      <w:r>
        <w:rPr>
          <w:color w:val="231F20"/>
          <w:w w:val="105"/>
        </w:rPr>
        <w:t>and</w:t>
      </w:r>
      <w:r>
        <w:rPr>
          <w:color w:val="231F20"/>
          <w:spacing w:val="-3"/>
          <w:w w:val="105"/>
        </w:rPr>
        <w:t> </w:t>
      </w:r>
      <w:r>
        <w:rPr>
          <w:color w:val="231F20"/>
          <w:w w:val="105"/>
        </w:rPr>
        <w:t>the</w:t>
      </w:r>
      <w:r>
        <w:rPr>
          <w:color w:val="231F20"/>
          <w:spacing w:val="-3"/>
          <w:w w:val="105"/>
        </w:rPr>
        <w:t> </w:t>
      </w:r>
      <w:r>
        <w:rPr>
          <w:color w:val="231F20"/>
          <w:w w:val="105"/>
        </w:rPr>
        <w:t>recipient</w:t>
      </w:r>
      <w:r>
        <w:rPr>
          <w:color w:val="231F20"/>
          <w:spacing w:val="-3"/>
          <w:w w:val="105"/>
        </w:rPr>
        <w:t> </w:t>
      </w:r>
      <w:r>
        <w:rPr>
          <w:color w:val="231F20"/>
          <w:w w:val="105"/>
        </w:rPr>
        <w:t>(Levitt</w:t>
      </w:r>
      <w:r>
        <w:rPr>
          <w:color w:val="231F20"/>
          <w:spacing w:val="-3"/>
          <w:w w:val="105"/>
        </w:rPr>
        <w:t> </w:t>
      </w:r>
      <w:r>
        <w:rPr>
          <w:color w:val="231F20"/>
          <w:w w:val="105"/>
        </w:rPr>
        <w:t>and</w:t>
      </w:r>
      <w:r>
        <w:rPr>
          <w:color w:val="231F20"/>
          <w:spacing w:val="-5"/>
          <w:w w:val="105"/>
        </w:rPr>
        <w:t> </w:t>
      </w:r>
      <w:r>
        <w:rPr>
          <w:color w:val="231F20"/>
          <w:w w:val="105"/>
        </w:rPr>
        <w:t>Waters,</w:t>
      </w:r>
      <w:r>
        <w:rPr>
          <w:color w:val="231F20"/>
          <w:spacing w:val="-8"/>
          <w:w w:val="105"/>
        </w:rPr>
        <w:t> </w:t>
      </w:r>
      <w:r>
        <w:rPr>
          <w:color w:val="231F20"/>
          <w:w w:val="105"/>
        </w:rPr>
        <w:t>2006;</w:t>
      </w:r>
      <w:r>
        <w:rPr>
          <w:color w:val="231F20"/>
          <w:spacing w:val="-3"/>
          <w:w w:val="105"/>
        </w:rPr>
        <w:t> </w:t>
      </w:r>
      <w:r>
        <w:rPr>
          <w:color w:val="231F20"/>
          <w:w w:val="105"/>
        </w:rPr>
        <w:t>Smith,</w:t>
      </w:r>
      <w:r>
        <w:rPr>
          <w:color w:val="231F20"/>
          <w:spacing w:val="-8"/>
          <w:w w:val="105"/>
        </w:rPr>
        <w:t> </w:t>
      </w:r>
      <w:r>
        <w:rPr>
          <w:color w:val="231F20"/>
          <w:w w:val="105"/>
        </w:rPr>
        <w:t>2006).</w:t>
      </w:r>
      <w:r>
        <w:rPr>
          <w:color w:val="231F20"/>
          <w:spacing w:val="-12"/>
          <w:w w:val="105"/>
        </w:rPr>
        <w:t> </w:t>
      </w:r>
      <w:r>
        <w:rPr>
          <w:color w:val="231F20"/>
          <w:w w:val="105"/>
        </w:rPr>
        <w:t>Therefore, researchers</w:t>
      </w:r>
      <w:r>
        <w:rPr>
          <w:color w:val="231F20"/>
          <w:spacing w:val="-21"/>
          <w:w w:val="105"/>
        </w:rPr>
        <w:t> </w:t>
      </w:r>
      <w:r>
        <w:rPr>
          <w:color w:val="231F20"/>
          <w:w w:val="105"/>
        </w:rPr>
        <w:t>agree</w:t>
      </w:r>
      <w:r>
        <w:rPr>
          <w:color w:val="231F20"/>
          <w:spacing w:val="-21"/>
          <w:w w:val="105"/>
        </w:rPr>
        <w:t> </w:t>
      </w:r>
      <w:r>
        <w:rPr>
          <w:color w:val="231F20"/>
          <w:w w:val="105"/>
        </w:rPr>
        <w:t>there</w:t>
      </w:r>
      <w:r>
        <w:rPr>
          <w:color w:val="231F20"/>
          <w:spacing w:val="-21"/>
          <w:w w:val="105"/>
        </w:rPr>
        <w:t> </w:t>
      </w:r>
      <w:r>
        <w:rPr>
          <w:color w:val="231F20"/>
          <w:w w:val="105"/>
        </w:rPr>
        <w:t>is</w:t>
      </w:r>
      <w:r>
        <w:rPr>
          <w:color w:val="231F20"/>
          <w:spacing w:val="-21"/>
          <w:w w:val="105"/>
        </w:rPr>
        <w:t> </w:t>
      </w:r>
      <w:r>
        <w:rPr>
          <w:color w:val="231F20"/>
          <w:w w:val="105"/>
        </w:rPr>
        <w:t>variation</w:t>
      </w:r>
      <w:r>
        <w:rPr>
          <w:color w:val="231F20"/>
          <w:spacing w:val="-21"/>
          <w:w w:val="105"/>
        </w:rPr>
        <w:t> </w:t>
      </w:r>
      <w:r>
        <w:rPr>
          <w:color w:val="231F20"/>
          <w:w w:val="105"/>
        </w:rPr>
        <w:t>within</w:t>
      </w:r>
      <w:r>
        <w:rPr>
          <w:color w:val="231F20"/>
          <w:spacing w:val="-21"/>
          <w:w w:val="105"/>
        </w:rPr>
        <w:t> </w:t>
      </w:r>
      <w:r>
        <w:rPr>
          <w:color w:val="231F20"/>
          <w:w w:val="105"/>
        </w:rPr>
        <w:t>transnationalism;</w:t>
      </w:r>
      <w:r>
        <w:rPr>
          <w:color w:val="231F20"/>
          <w:spacing w:val="-21"/>
          <w:w w:val="105"/>
        </w:rPr>
        <w:t> </w:t>
      </w:r>
      <w:r>
        <w:rPr>
          <w:color w:val="231F20"/>
          <w:w w:val="105"/>
        </w:rPr>
        <w:t>for</w:t>
      </w:r>
      <w:r>
        <w:rPr>
          <w:color w:val="231F20"/>
          <w:spacing w:val="-21"/>
          <w:w w:val="105"/>
        </w:rPr>
        <w:t> </w:t>
      </w:r>
      <w:r>
        <w:rPr>
          <w:color w:val="231F20"/>
          <w:w w:val="105"/>
        </w:rPr>
        <w:t>example, some researchers think that children of transnationals who go to visit</w:t>
      </w:r>
      <w:r>
        <w:rPr>
          <w:color w:val="231F20"/>
          <w:spacing w:val="-23"/>
          <w:w w:val="105"/>
        </w:rPr>
        <w:t> </w:t>
      </w:r>
      <w:r>
        <w:rPr>
          <w:color w:val="231F20"/>
          <w:w w:val="105"/>
        </w:rPr>
        <w:t>or vacation in their parents’ country of origin participate in a symbolic or emotional transnationalism (Levitt and Waters, 2006). Thus, the</w:t>
      </w:r>
      <w:r>
        <w:rPr>
          <w:color w:val="231F20"/>
          <w:spacing w:val="-22"/>
          <w:w w:val="105"/>
        </w:rPr>
        <w:t> </w:t>
      </w:r>
      <w:r>
        <w:rPr>
          <w:color w:val="231F20"/>
          <w:w w:val="105"/>
        </w:rPr>
        <w:t>current definitions</w:t>
      </w:r>
      <w:r>
        <w:rPr>
          <w:color w:val="231F20"/>
          <w:spacing w:val="-21"/>
          <w:w w:val="105"/>
        </w:rPr>
        <w:t> </w:t>
      </w:r>
      <w:r>
        <w:rPr>
          <w:color w:val="231F20"/>
          <w:w w:val="105"/>
        </w:rPr>
        <w:t>of</w:t>
      </w:r>
      <w:r>
        <w:rPr>
          <w:color w:val="231F20"/>
          <w:spacing w:val="-17"/>
          <w:w w:val="105"/>
        </w:rPr>
        <w:t> </w:t>
      </w:r>
      <w:r>
        <w:rPr>
          <w:color w:val="231F20"/>
          <w:w w:val="105"/>
        </w:rPr>
        <w:t>transnationals</w:t>
      </w:r>
      <w:r>
        <w:rPr>
          <w:color w:val="231F20"/>
          <w:spacing w:val="-21"/>
          <w:w w:val="105"/>
        </w:rPr>
        <w:t> </w:t>
      </w:r>
      <w:r>
        <w:rPr>
          <w:color w:val="231F20"/>
          <w:w w:val="105"/>
        </w:rPr>
        <w:t>can</w:t>
      </w:r>
      <w:r>
        <w:rPr>
          <w:color w:val="231F20"/>
          <w:spacing w:val="-21"/>
          <w:w w:val="105"/>
        </w:rPr>
        <w:t> </w:t>
      </w:r>
      <w:r>
        <w:rPr>
          <w:color w:val="231F20"/>
          <w:w w:val="105"/>
        </w:rPr>
        <w:t>be</w:t>
      </w:r>
      <w:r>
        <w:rPr>
          <w:color w:val="231F20"/>
          <w:spacing w:val="-21"/>
          <w:w w:val="105"/>
        </w:rPr>
        <w:t> </w:t>
      </w:r>
      <w:r>
        <w:rPr>
          <w:color w:val="231F20"/>
          <w:w w:val="105"/>
        </w:rPr>
        <w:t>broad</w:t>
      </w:r>
      <w:r>
        <w:rPr>
          <w:color w:val="231F20"/>
          <w:spacing w:val="-21"/>
          <w:w w:val="105"/>
        </w:rPr>
        <w:t> </w:t>
      </w:r>
      <w:r>
        <w:rPr>
          <w:color w:val="231F20"/>
          <w:w w:val="105"/>
        </w:rPr>
        <w:t>(e.g.</w:t>
      </w:r>
      <w:r>
        <w:rPr>
          <w:color w:val="231F20"/>
          <w:spacing w:val="-26"/>
          <w:w w:val="105"/>
        </w:rPr>
        <w:t> </w:t>
      </w:r>
      <w:r>
        <w:rPr>
          <w:color w:val="231F20"/>
          <w:w w:val="105"/>
        </w:rPr>
        <w:t>inclusion</w:t>
      </w:r>
      <w:r>
        <w:rPr>
          <w:color w:val="231F20"/>
          <w:spacing w:val="-21"/>
          <w:w w:val="105"/>
        </w:rPr>
        <w:t> </w:t>
      </w:r>
      <w:r>
        <w:rPr>
          <w:color w:val="231F20"/>
          <w:w w:val="105"/>
        </w:rPr>
        <w:t>of</w:t>
      </w:r>
      <w:r>
        <w:rPr>
          <w:color w:val="231F20"/>
          <w:spacing w:val="-17"/>
          <w:w w:val="105"/>
        </w:rPr>
        <w:t> </w:t>
      </w:r>
      <w:r>
        <w:rPr>
          <w:color w:val="231F20"/>
          <w:w w:val="105"/>
        </w:rPr>
        <w:t>members</w:t>
      </w:r>
      <w:r>
        <w:rPr>
          <w:color w:val="231F20"/>
          <w:spacing w:val="-21"/>
          <w:w w:val="105"/>
        </w:rPr>
        <w:t> </w:t>
      </w:r>
      <w:r>
        <w:rPr>
          <w:color w:val="231F20"/>
          <w:w w:val="105"/>
        </w:rPr>
        <w:t>who have</w:t>
      </w:r>
      <w:r>
        <w:rPr>
          <w:color w:val="231F20"/>
          <w:spacing w:val="-19"/>
          <w:w w:val="105"/>
        </w:rPr>
        <w:t> </w:t>
      </w:r>
      <w:r>
        <w:rPr>
          <w:color w:val="231F20"/>
          <w:w w:val="105"/>
        </w:rPr>
        <w:t>never</w:t>
      </w:r>
      <w:r>
        <w:rPr>
          <w:color w:val="231F20"/>
          <w:spacing w:val="-19"/>
          <w:w w:val="105"/>
        </w:rPr>
        <w:t> </w:t>
      </w:r>
      <w:r>
        <w:rPr>
          <w:color w:val="231F20"/>
          <w:w w:val="105"/>
        </w:rPr>
        <w:t>traveled</w:t>
      </w:r>
      <w:r>
        <w:rPr>
          <w:color w:val="231F20"/>
          <w:spacing w:val="-19"/>
          <w:w w:val="105"/>
        </w:rPr>
        <w:t> </w:t>
      </w:r>
      <w:r>
        <w:rPr>
          <w:color w:val="231F20"/>
          <w:w w:val="105"/>
        </w:rPr>
        <w:t>and</w:t>
      </w:r>
      <w:r>
        <w:rPr>
          <w:color w:val="231F20"/>
          <w:spacing w:val="-19"/>
          <w:w w:val="105"/>
        </w:rPr>
        <w:t> </w:t>
      </w:r>
      <w:r>
        <w:rPr>
          <w:color w:val="231F20"/>
          <w:w w:val="105"/>
        </w:rPr>
        <w:t>have</w:t>
      </w:r>
      <w:r>
        <w:rPr>
          <w:color w:val="231F20"/>
          <w:spacing w:val="-19"/>
          <w:w w:val="105"/>
        </w:rPr>
        <w:t> </w:t>
      </w:r>
      <w:r>
        <w:rPr>
          <w:color w:val="231F20"/>
          <w:w w:val="105"/>
        </w:rPr>
        <w:t>become</w:t>
      </w:r>
      <w:r>
        <w:rPr>
          <w:color w:val="231F20"/>
          <w:spacing w:val="-19"/>
          <w:w w:val="105"/>
        </w:rPr>
        <w:t> </w:t>
      </w:r>
      <w:r>
        <w:rPr>
          <w:color w:val="231F20"/>
          <w:w w:val="105"/>
        </w:rPr>
        <w:t>transnationalized</w:t>
      </w:r>
      <w:r>
        <w:rPr>
          <w:color w:val="231F20"/>
          <w:spacing w:val="-19"/>
          <w:w w:val="105"/>
        </w:rPr>
        <w:t> </w:t>
      </w:r>
      <w:r>
        <w:rPr>
          <w:color w:val="231F20"/>
          <w:w w:val="105"/>
        </w:rPr>
        <w:t>such</w:t>
      </w:r>
      <w:r>
        <w:rPr>
          <w:color w:val="231F20"/>
          <w:spacing w:val="-19"/>
          <w:w w:val="105"/>
        </w:rPr>
        <w:t> </w:t>
      </w:r>
      <w:r>
        <w:rPr>
          <w:color w:val="231F20"/>
          <w:w w:val="105"/>
        </w:rPr>
        <w:t>as</w:t>
      </w:r>
      <w:r>
        <w:rPr>
          <w:color w:val="231F20"/>
          <w:spacing w:val="-19"/>
          <w:w w:val="105"/>
        </w:rPr>
        <w:t> </w:t>
      </w:r>
      <w:r>
        <w:rPr>
          <w:color w:val="231F20"/>
          <w:w w:val="105"/>
        </w:rPr>
        <w:t>in</w:t>
      </w:r>
      <w:r>
        <w:rPr>
          <w:color w:val="231F20"/>
          <w:spacing w:val="-19"/>
          <w:w w:val="105"/>
        </w:rPr>
        <w:t> </w:t>
      </w:r>
      <w:r>
        <w:rPr>
          <w:color w:val="231F20"/>
          <w:w w:val="105"/>
        </w:rPr>
        <w:t>Levitt (2001), or very specific (i.e. counting the number of times and length of stay</w:t>
      </w:r>
      <w:r>
        <w:rPr>
          <w:color w:val="231F20"/>
          <w:spacing w:val="-8"/>
          <w:w w:val="105"/>
        </w:rPr>
        <w:t> </w:t>
      </w:r>
      <w:r>
        <w:rPr>
          <w:color w:val="231F20"/>
          <w:w w:val="105"/>
        </w:rPr>
        <w:t>to</w:t>
      </w:r>
      <w:r>
        <w:rPr>
          <w:color w:val="231F20"/>
          <w:spacing w:val="-8"/>
          <w:w w:val="105"/>
        </w:rPr>
        <w:t> </w:t>
      </w:r>
      <w:r>
        <w:rPr>
          <w:color w:val="231F20"/>
          <w:w w:val="105"/>
        </w:rPr>
        <w:t>label</w:t>
      </w:r>
      <w:r>
        <w:rPr>
          <w:color w:val="231F20"/>
          <w:spacing w:val="-8"/>
          <w:w w:val="105"/>
        </w:rPr>
        <w:t> </w:t>
      </w:r>
      <w:r>
        <w:rPr>
          <w:color w:val="231F20"/>
          <w:w w:val="105"/>
        </w:rPr>
        <w:t>a</w:t>
      </w:r>
      <w:r>
        <w:rPr>
          <w:color w:val="231F20"/>
          <w:spacing w:val="-8"/>
          <w:w w:val="105"/>
        </w:rPr>
        <w:t> </w:t>
      </w:r>
      <w:r>
        <w:rPr>
          <w:color w:val="231F20"/>
          <w:w w:val="105"/>
        </w:rPr>
        <w:t>person</w:t>
      </w:r>
      <w:r>
        <w:rPr>
          <w:color w:val="231F20"/>
          <w:spacing w:val="-8"/>
          <w:w w:val="105"/>
        </w:rPr>
        <w:t> </w:t>
      </w:r>
      <w:r>
        <w:rPr>
          <w:color w:val="231F20"/>
          <w:w w:val="105"/>
        </w:rPr>
        <w:t>transnational,</w:t>
      </w:r>
      <w:r>
        <w:rPr>
          <w:color w:val="231F20"/>
          <w:spacing w:val="-13"/>
          <w:w w:val="105"/>
        </w:rPr>
        <w:t> </w:t>
      </w:r>
      <w:r>
        <w:rPr>
          <w:color w:val="231F20"/>
          <w:w w:val="105"/>
        </w:rPr>
        <w:t>such</w:t>
      </w:r>
      <w:r>
        <w:rPr>
          <w:color w:val="231F20"/>
          <w:spacing w:val="-8"/>
          <w:w w:val="105"/>
        </w:rPr>
        <w:t> </w:t>
      </w:r>
      <w:r>
        <w:rPr>
          <w:color w:val="231F20"/>
          <w:w w:val="105"/>
        </w:rPr>
        <w:t>as</w:t>
      </w:r>
      <w:r>
        <w:rPr>
          <w:color w:val="231F20"/>
          <w:spacing w:val="-8"/>
          <w:w w:val="105"/>
        </w:rPr>
        <w:t> </w:t>
      </w:r>
      <w:r>
        <w:rPr>
          <w:color w:val="231F20"/>
          <w:w w:val="105"/>
        </w:rPr>
        <w:t>in</w:t>
      </w:r>
      <w:r>
        <w:rPr>
          <w:color w:val="231F20"/>
          <w:spacing w:val="-8"/>
          <w:w w:val="105"/>
        </w:rPr>
        <w:t> </w:t>
      </w:r>
      <w:r>
        <w:rPr>
          <w:color w:val="231F20"/>
          <w:w w:val="105"/>
        </w:rPr>
        <w:t>sociology</w:t>
      </w:r>
      <w:r>
        <w:rPr>
          <w:color w:val="231F20"/>
          <w:spacing w:val="-8"/>
          <w:w w:val="105"/>
        </w:rPr>
        <w:t> </w:t>
      </w:r>
      <w:r>
        <w:rPr>
          <w:color w:val="231F20"/>
          <w:w w:val="105"/>
        </w:rPr>
        <w:t>surveys).</w:t>
      </w:r>
      <w:r>
        <w:rPr>
          <w:color w:val="231F20"/>
          <w:spacing w:val="-13"/>
          <w:w w:val="105"/>
        </w:rPr>
        <w:t> </w:t>
      </w:r>
      <w:r>
        <w:rPr>
          <w:color w:val="231F20"/>
          <w:w w:val="105"/>
        </w:rPr>
        <w:t>Each of</w:t>
      </w:r>
      <w:r>
        <w:rPr>
          <w:color w:val="231F20"/>
          <w:spacing w:val="-7"/>
          <w:w w:val="105"/>
        </w:rPr>
        <w:t> </w:t>
      </w:r>
      <w:r>
        <w:rPr>
          <w:color w:val="231F20"/>
          <w:w w:val="105"/>
        </w:rPr>
        <w:t>these</w:t>
      </w:r>
      <w:r>
        <w:rPr>
          <w:color w:val="231F20"/>
          <w:spacing w:val="-12"/>
          <w:w w:val="105"/>
        </w:rPr>
        <w:t> </w:t>
      </w:r>
      <w:r>
        <w:rPr>
          <w:color w:val="231F20"/>
          <w:w w:val="105"/>
        </w:rPr>
        <w:t>definitions</w:t>
      </w:r>
      <w:r>
        <w:rPr>
          <w:color w:val="231F20"/>
          <w:spacing w:val="-12"/>
          <w:w w:val="105"/>
        </w:rPr>
        <w:t> </w:t>
      </w:r>
      <w:r>
        <w:rPr>
          <w:color w:val="231F20"/>
          <w:w w:val="105"/>
        </w:rPr>
        <w:t>presupposes</w:t>
      </w:r>
      <w:r>
        <w:rPr>
          <w:color w:val="231F20"/>
          <w:spacing w:val="-12"/>
          <w:w w:val="105"/>
        </w:rPr>
        <w:t> </w:t>
      </w:r>
      <w:r>
        <w:rPr>
          <w:color w:val="231F20"/>
          <w:w w:val="105"/>
        </w:rPr>
        <w:t>direct</w:t>
      </w:r>
      <w:r>
        <w:rPr>
          <w:color w:val="231F20"/>
          <w:spacing w:val="-12"/>
          <w:w w:val="105"/>
        </w:rPr>
        <w:t> </w:t>
      </w:r>
      <w:r>
        <w:rPr>
          <w:color w:val="231F20"/>
          <w:w w:val="105"/>
        </w:rPr>
        <w:t>engagement</w:t>
      </w:r>
      <w:r>
        <w:rPr>
          <w:color w:val="231F20"/>
          <w:spacing w:val="-12"/>
          <w:w w:val="105"/>
        </w:rPr>
        <w:t> </w:t>
      </w:r>
      <w:r>
        <w:rPr>
          <w:color w:val="231F20"/>
          <w:w w:val="105"/>
        </w:rPr>
        <w:t>with</w:t>
      </w:r>
      <w:r>
        <w:rPr>
          <w:color w:val="231F20"/>
          <w:spacing w:val="-12"/>
          <w:w w:val="105"/>
        </w:rPr>
        <w:t> </w:t>
      </w:r>
      <w:r>
        <w:rPr>
          <w:color w:val="231F20"/>
          <w:w w:val="105"/>
        </w:rPr>
        <w:t>the</w:t>
      </w:r>
      <w:r>
        <w:rPr>
          <w:color w:val="231F20"/>
          <w:spacing w:val="-12"/>
          <w:w w:val="105"/>
        </w:rPr>
        <w:t> </w:t>
      </w:r>
      <w:r>
        <w:rPr>
          <w:color w:val="231F20"/>
          <w:w w:val="105"/>
        </w:rPr>
        <w:t>two</w:t>
      </w:r>
      <w:r>
        <w:rPr>
          <w:color w:val="231F20"/>
          <w:spacing w:val="-12"/>
          <w:w w:val="105"/>
        </w:rPr>
        <w:t> </w:t>
      </w:r>
      <w:r>
        <w:rPr>
          <w:color w:val="231F20"/>
          <w:w w:val="105"/>
        </w:rPr>
        <w:t>places, either physical through travel, or emotional through phone calls, remit- tances, and stories or visits from other people. The many ideas of what transnationalism</w:t>
      </w:r>
      <w:r>
        <w:rPr>
          <w:color w:val="231F20"/>
          <w:spacing w:val="-12"/>
          <w:w w:val="105"/>
        </w:rPr>
        <w:t> </w:t>
      </w:r>
      <w:r>
        <w:rPr>
          <w:color w:val="231F20"/>
          <w:w w:val="105"/>
        </w:rPr>
        <w:t>is</w:t>
      </w:r>
      <w:r>
        <w:rPr>
          <w:color w:val="231F20"/>
          <w:spacing w:val="-12"/>
          <w:w w:val="105"/>
        </w:rPr>
        <w:t> </w:t>
      </w:r>
      <w:r>
        <w:rPr>
          <w:color w:val="231F20"/>
          <w:w w:val="105"/>
        </w:rPr>
        <w:t>and</w:t>
      </w:r>
      <w:r>
        <w:rPr>
          <w:color w:val="231F20"/>
          <w:spacing w:val="-12"/>
          <w:w w:val="105"/>
        </w:rPr>
        <w:t> </w:t>
      </w:r>
      <w:r>
        <w:rPr>
          <w:color w:val="231F20"/>
          <w:w w:val="105"/>
        </w:rPr>
        <w:t>consists</w:t>
      </w:r>
      <w:r>
        <w:rPr>
          <w:color w:val="231F20"/>
          <w:spacing w:val="-12"/>
          <w:w w:val="105"/>
        </w:rPr>
        <w:t> </w:t>
      </w:r>
      <w:r>
        <w:rPr>
          <w:color w:val="231F20"/>
          <w:w w:val="105"/>
        </w:rPr>
        <w:t>of</w:t>
      </w:r>
      <w:r>
        <w:rPr>
          <w:color w:val="231F20"/>
          <w:spacing w:val="-8"/>
          <w:w w:val="105"/>
        </w:rPr>
        <w:t> </w:t>
      </w:r>
      <w:r>
        <w:rPr>
          <w:color w:val="231F20"/>
          <w:w w:val="105"/>
        </w:rPr>
        <w:t>do</w:t>
      </w:r>
      <w:r>
        <w:rPr>
          <w:color w:val="231F20"/>
          <w:spacing w:val="-12"/>
          <w:w w:val="105"/>
        </w:rPr>
        <w:t> </w:t>
      </w:r>
      <w:r>
        <w:rPr>
          <w:color w:val="231F20"/>
          <w:w w:val="105"/>
        </w:rPr>
        <w:t>not</w:t>
      </w:r>
      <w:r>
        <w:rPr>
          <w:color w:val="231F20"/>
          <w:spacing w:val="-12"/>
          <w:w w:val="105"/>
        </w:rPr>
        <w:t> </w:t>
      </w:r>
      <w:r>
        <w:rPr>
          <w:color w:val="231F20"/>
          <w:w w:val="105"/>
        </w:rPr>
        <w:t>fit</w:t>
      </w:r>
      <w:r>
        <w:rPr>
          <w:color w:val="231F20"/>
          <w:spacing w:val="-12"/>
          <w:w w:val="105"/>
        </w:rPr>
        <w:t> </w:t>
      </w:r>
      <w:r>
        <w:rPr>
          <w:color w:val="231F20"/>
          <w:w w:val="105"/>
        </w:rPr>
        <w:t>every</w:t>
      </w:r>
      <w:r>
        <w:rPr>
          <w:color w:val="231F20"/>
          <w:spacing w:val="-12"/>
          <w:w w:val="105"/>
        </w:rPr>
        <w:t> </w:t>
      </w:r>
      <w:r>
        <w:rPr>
          <w:color w:val="231F20"/>
          <w:w w:val="105"/>
        </w:rPr>
        <w:t>single</w:t>
      </w:r>
      <w:r>
        <w:rPr>
          <w:color w:val="231F20"/>
          <w:spacing w:val="-12"/>
          <w:w w:val="105"/>
        </w:rPr>
        <w:t> </w:t>
      </w:r>
      <w:r>
        <w:rPr>
          <w:color w:val="231F20"/>
          <w:w w:val="105"/>
        </w:rPr>
        <w:t>community,</w:t>
      </w:r>
      <w:r>
        <w:rPr>
          <w:color w:val="231F20"/>
          <w:spacing w:val="-17"/>
          <w:w w:val="105"/>
        </w:rPr>
        <w:t> </w:t>
      </w:r>
      <w:r>
        <w:rPr>
          <w:color w:val="231F20"/>
          <w:w w:val="105"/>
        </w:rPr>
        <w:t>ca- tegory, or group of</w:t>
      </w:r>
      <w:r>
        <w:rPr>
          <w:color w:val="231F20"/>
          <w:spacing w:val="26"/>
          <w:w w:val="105"/>
        </w:rPr>
        <w:t> </w:t>
      </w:r>
      <w:r>
        <w:rPr>
          <w:color w:val="231F20"/>
          <w:w w:val="105"/>
        </w:rPr>
        <w:t>people.</w:t>
      </w:r>
    </w:p>
    <w:p>
      <w:pPr>
        <w:pStyle w:val="BodyText"/>
        <w:rPr>
          <w:sz w:val="20"/>
        </w:rPr>
      </w:pPr>
    </w:p>
    <w:p>
      <w:pPr>
        <w:pStyle w:val="BodyText"/>
        <w:rPr>
          <w:sz w:val="20"/>
        </w:rPr>
      </w:pPr>
    </w:p>
    <w:p>
      <w:pPr>
        <w:pStyle w:val="BodyText"/>
        <w:rPr>
          <w:sz w:val="20"/>
        </w:rPr>
      </w:pPr>
    </w:p>
    <w:p>
      <w:pPr>
        <w:pStyle w:val="BodyText"/>
        <w:spacing w:before="11"/>
        <w:rPr>
          <w:sz w:val="20"/>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48312" from="131.551193pt,3.703715pt" to="131.551193pt,39.506114pt" stroked="true" strokeweight=".35pt" strokecolor="#231f20">
            <w10:wrap type="none"/>
          </v:line>
        </w:pict>
      </w:r>
      <w:r>
        <w:rPr/>
        <w:pict>
          <v:line style="position:absolute;mso-position-horizontal-relative:page;mso-position-vertical-relative:paragraph;z-index:-448288" from="15pt,39.505917pt" to="0pt,39.505917pt" stroked="true" strokeweight=".25pt" strokecolor="#000000">
            <w10:wrap type="none"/>
          </v:line>
        </w:pict>
      </w:r>
      <w:r>
        <w:rPr/>
        <w:pict>
          <v:line style="position:absolute;mso-position-horizontal-relative:page;mso-position-vertical-relative:paragraph;z-index:41920" from="508.890015pt,39.505917pt" to="523.890015pt,39.505917pt" stroked="true" strokeweight=".25pt" strokecolor="#000000">
            <w10:wrap type="none"/>
          </v:line>
        </w:pict>
      </w:r>
      <w:r>
        <w:rPr>
          <w:rFonts w:ascii="Arial"/>
          <w:color w:val="414042"/>
          <w:position w:val="-5"/>
          <w:sz w:val="20"/>
        </w:rPr>
        <w:t>356</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footerReference w:type="default" r:id="rId369"/>
          <w:pgSz w:w="10480" w:h="14730"/>
          <w:pgMar w:footer="103" w:header="0" w:top="42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headerReference w:type="default" r:id="rId370"/>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1944" from="405.061005pt,-27.904295pt" to="405.061005pt,6.961579pt" stroked="true" strokeweight=".35pt" strokecolor="#231f20">
            <w10:wrap type="none"/>
          </v:line>
        </w:pict>
      </w:r>
      <w:r>
        <w:rPr/>
        <w:pict>
          <v:line style="position:absolute;mso-position-horizontal-relative:page;mso-position-vertical-relative:paragraph;z-index:41968" from="15pt,-27.90452pt" to="0pt,-27.90452pt" stroked="true" strokeweight=".25pt" strokecolor="#000000">
            <w10:wrap type="none"/>
          </v:line>
        </w:pict>
      </w:r>
      <w:r>
        <w:rPr/>
        <w:pict>
          <v:line style="position:absolute;mso-position-horizontal-relative:page;mso-position-vertical-relative:paragraph;z-index:4199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357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4"/>
        <w:jc w:val="both"/>
      </w:pPr>
      <w:r>
        <w:rPr>
          <w:color w:val="231F20"/>
          <w:w w:val="105"/>
        </w:rPr>
        <w:t>Studies on transnationalism include sociologically based surveys, in- terviews with supplemental ethnographic components, and long-term ethnographic</w:t>
      </w:r>
      <w:r>
        <w:rPr>
          <w:color w:val="231F20"/>
          <w:spacing w:val="-12"/>
          <w:w w:val="105"/>
        </w:rPr>
        <w:t> </w:t>
      </w:r>
      <w:r>
        <w:rPr>
          <w:color w:val="231F20"/>
          <w:w w:val="105"/>
        </w:rPr>
        <w:t>research</w:t>
      </w:r>
      <w:r>
        <w:rPr>
          <w:color w:val="231F20"/>
          <w:spacing w:val="-12"/>
          <w:w w:val="105"/>
        </w:rPr>
        <w:t> </w:t>
      </w:r>
      <w:r>
        <w:rPr>
          <w:color w:val="231F20"/>
          <w:w w:val="105"/>
        </w:rPr>
        <w:t>(Cornelius,</w:t>
      </w:r>
      <w:r>
        <w:rPr>
          <w:color w:val="231F20"/>
          <w:spacing w:val="-16"/>
          <w:w w:val="105"/>
        </w:rPr>
        <w:t> </w:t>
      </w:r>
      <w:r>
        <w:rPr>
          <w:color w:val="231F20"/>
          <w:w w:val="105"/>
        </w:rPr>
        <w:t>2009;</w:t>
      </w:r>
      <w:r>
        <w:rPr>
          <w:color w:val="231F20"/>
          <w:spacing w:val="-12"/>
          <w:w w:val="105"/>
        </w:rPr>
        <w:t> </w:t>
      </w:r>
      <w:r>
        <w:rPr>
          <w:color w:val="231F20"/>
          <w:w w:val="105"/>
        </w:rPr>
        <w:t>Levitt,</w:t>
      </w:r>
      <w:r>
        <w:rPr>
          <w:color w:val="231F20"/>
          <w:spacing w:val="-16"/>
          <w:w w:val="105"/>
        </w:rPr>
        <w:t> </w:t>
      </w:r>
      <w:r>
        <w:rPr>
          <w:color w:val="231F20"/>
          <w:w w:val="105"/>
        </w:rPr>
        <w:t>2001;</w:t>
      </w:r>
      <w:r>
        <w:rPr>
          <w:color w:val="231F20"/>
          <w:spacing w:val="-12"/>
          <w:w w:val="105"/>
        </w:rPr>
        <w:t> </w:t>
      </w:r>
      <w:r>
        <w:rPr>
          <w:color w:val="231F20"/>
          <w:w w:val="105"/>
        </w:rPr>
        <w:t>Levitt</w:t>
      </w:r>
      <w:r>
        <w:rPr>
          <w:color w:val="231F20"/>
          <w:spacing w:val="-12"/>
          <w:w w:val="105"/>
        </w:rPr>
        <w:t> </w:t>
      </w:r>
      <w:r>
        <w:rPr>
          <w:color w:val="231F20"/>
          <w:w w:val="105"/>
        </w:rPr>
        <w:t>and</w:t>
      </w:r>
      <w:r>
        <w:rPr>
          <w:color w:val="231F20"/>
          <w:spacing w:val="-14"/>
          <w:w w:val="105"/>
        </w:rPr>
        <w:t> </w:t>
      </w:r>
      <w:r>
        <w:rPr>
          <w:color w:val="231F20"/>
          <w:w w:val="105"/>
        </w:rPr>
        <w:t>Waters, 2006;</w:t>
      </w:r>
      <w:r>
        <w:rPr>
          <w:color w:val="231F20"/>
          <w:spacing w:val="-29"/>
          <w:w w:val="105"/>
        </w:rPr>
        <w:t> </w:t>
      </w:r>
      <w:r>
        <w:rPr>
          <w:color w:val="231F20"/>
          <w:w w:val="105"/>
        </w:rPr>
        <w:t>Louie,</w:t>
      </w:r>
      <w:r>
        <w:rPr>
          <w:color w:val="231F20"/>
          <w:spacing w:val="-33"/>
          <w:w w:val="105"/>
        </w:rPr>
        <w:t> </w:t>
      </w:r>
      <w:r>
        <w:rPr>
          <w:color w:val="231F20"/>
          <w:w w:val="105"/>
        </w:rPr>
        <w:t>2004;</w:t>
      </w:r>
      <w:r>
        <w:rPr>
          <w:color w:val="231F20"/>
          <w:spacing w:val="-29"/>
          <w:w w:val="105"/>
        </w:rPr>
        <w:t> </w:t>
      </w:r>
      <w:r>
        <w:rPr>
          <w:color w:val="231F20"/>
          <w:w w:val="105"/>
        </w:rPr>
        <w:t>Rumbaut</w:t>
      </w:r>
      <w:r>
        <w:rPr>
          <w:color w:val="231F20"/>
          <w:spacing w:val="-29"/>
          <w:w w:val="105"/>
        </w:rPr>
        <w:t> </w:t>
      </w:r>
      <w:r>
        <w:rPr>
          <w:color w:val="231F20"/>
          <w:w w:val="105"/>
        </w:rPr>
        <w:t>and</w:t>
      </w:r>
      <w:r>
        <w:rPr>
          <w:color w:val="231F20"/>
          <w:spacing w:val="-29"/>
          <w:w w:val="105"/>
        </w:rPr>
        <w:t> </w:t>
      </w:r>
      <w:r>
        <w:rPr>
          <w:color w:val="231F20"/>
          <w:w w:val="105"/>
        </w:rPr>
        <w:t>Komaie,</w:t>
      </w:r>
      <w:r>
        <w:rPr>
          <w:color w:val="231F20"/>
          <w:spacing w:val="-33"/>
          <w:w w:val="105"/>
        </w:rPr>
        <w:t> </w:t>
      </w:r>
      <w:r>
        <w:rPr>
          <w:color w:val="231F20"/>
          <w:w w:val="105"/>
        </w:rPr>
        <w:t>2010;</w:t>
      </w:r>
      <w:r>
        <w:rPr>
          <w:color w:val="231F20"/>
          <w:spacing w:val="-29"/>
          <w:w w:val="105"/>
        </w:rPr>
        <w:t> </w:t>
      </w:r>
      <w:r>
        <w:rPr>
          <w:color w:val="231F20"/>
          <w:w w:val="105"/>
        </w:rPr>
        <w:t>Smith,</w:t>
      </w:r>
      <w:r>
        <w:rPr>
          <w:color w:val="231F20"/>
          <w:spacing w:val="-33"/>
          <w:w w:val="105"/>
        </w:rPr>
        <w:t> </w:t>
      </w:r>
      <w:r>
        <w:rPr>
          <w:color w:val="231F20"/>
          <w:w w:val="105"/>
        </w:rPr>
        <w:t>2006).</w:t>
      </w:r>
      <w:r>
        <w:rPr>
          <w:color w:val="231F20"/>
          <w:spacing w:val="-36"/>
          <w:w w:val="105"/>
        </w:rPr>
        <w:t> </w:t>
      </w:r>
      <w:r>
        <w:rPr>
          <w:color w:val="231F20"/>
          <w:spacing w:val="-3"/>
          <w:w w:val="105"/>
        </w:rPr>
        <w:t>Transnatio- </w:t>
      </w:r>
      <w:r>
        <w:rPr>
          <w:color w:val="231F20"/>
          <w:w w:val="105"/>
        </w:rPr>
        <w:t>nalism studies focus on how individuals maintain connections between two</w:t>
      </w:r>
      <w:r>
        <w:rPr>
          <w:color w:val="231F20"/>
          <w:spacing w:val="-10"/>
          <w:w w:val="105"/>
        </w:rPr>
        <w:t> </w:t>
      </w:r>
      <w:r>
        <w:rPr>
          <w:color w:val="231F20"/>
          <w:w w:val="105"/>
        </w:rPr>
        <w:t>countries</w:t>
      </w:r>
      <w:r>
        <w:rPr>
          <w:color w:val="231F20"/>
          <w:spacing w:val="-10"/>
          <w:w w:val="105"/>
        </w:rPr>
        <w:t> </w:t>
      </w:r>
      <w:r>
        <w:rPr>
          <w:color w:val="231F20"/>
          <w:w w:val="105"/>
        </w:rPr>
        <w:t>(Levitt,</w:t>
      </w:r>
      <w:r>
        <w:rPr>
          <w:color w:val="231F20"/>
          <w:spacing w:val="-15"/>
          <w:w w:val="105"/>
        </w:rPr>
        <w:t> </w:t>
      </w:r>
      <w:r>
        <w:rPr>
          <w:color w:val="231F20"/>
          <w:w w:val="105"/>
        </w:rPr>
        <w:t>2001)</w:t>
      </w:r>
      <w:r>
        <w:rPr>
          <w:color w:val="231F20"/>
          <w:spacing w:val="-10"/>
          <w:w w:val="105"/>
        </w:rPr>
        <w:t> </w:t>
      </w:r>
      <w:r>
        <w:rPr>
          <w:color w:val="231F20"/>
          <w:w w:val="105"/>
        </w:rPr>
        <w:t>and</w:t>
      </w:r>
      <w:r>
        <w:rPr>
          <w:color w:val="231F20"/>
          <w:spacing w:val="-10"/>
          <w:w w:val="105"/>
        </w:rPr>
        <w:t> </w:t>
      </w:r>
      <w:r>
        <w:rPr>
          <w:color w:val="231F20"/>
          <w:w w:val="105"/>
        </w:rPr>
        <w:t>in</w:t>
      </w:r>
      <w:r>
        <w:rPr>
          <w:color w:val="231F20"/>
          <w:spacing w:val="-10"/>
          <w:w w:val="105"/>
        </w:rPr>
        <w:t> </w:t>
      </w:r>
      <w:r>
        <w:rPr>
          <w:color w:val="231F20"/>
          <w:w w:val="105"/>
        </w:rPr>
        <w:t>what</w:t>
      </w:r>
      <w:r>
        <w:rPr>
          <w:color w:val="231F20"/>
          <w:spacing w:val="-10"/>
          <w:w w:val="105"/>
        </w:rPr>
        <w:t> </w:t>
      </w:r>
      <w:r>
        <w:rPr>
          <w:color w:val="231F20"/>
          <w:w w:val="105"/>
        </w:rPr>
        <w:t>kinds</w:t>
      </w:r>
      <w:r>
        <w:rPr>
          <w:color w:val="231F20"/>
          <w:spacing w:val="-10"/>
          <w:w w:val="105"/>
        </w:rPr>
        <w:t> </w:t>
      </w:r>
      <w:r>
        <w:rPr>
          <w:color w:val="231F20"/>
          <w:w w:val="105"/>
        </w:rPr>
        <w:t>of</w:t>
      </w:r>
      <w:r>
        <w:rPr>
          <w:color w:val="231F20"/>
          <w:spacing w:val="-6"/>
          <w:w w:val="105"/>
        </w:rPr>
        <w:t> </w:t>
      </w:r>
      <w:r>
        <w:rPr>
          <w:color w:val="231F20"/>
          <w:w w:val="105"/>
        </w:rPr>
        <w:t>activities</w:t>
      </w:r>
      <w:r>
        <w:rPr>
          <w:color w:val="231F20"/>
          <w:spacing w:val="-10"/>
          <w:w w:val="105"/>
        </w:rPr>
        <w:t> </w:t>
      </w:r>
      <w:r>
        <w:rPr>
          <w:color w:val="231F20"/>
          <w:w w:val="105"/>
        </w:rPr>
        <w:t>individuals</w:t>
      </w:r>
      <w:r>
        <w:rPr>
          <w:color w:val="231F20"/>
          <w:spacing w:val="-10"/>
          <w:w w:val="105"/>
        </w:rPr>
        <w:t> </w:t>
      </w:r>
      <w:r>
        <w:rPr>
          <w:color w:val="231F20"/>
          <w:w w:val="105"/>
        </w:rPr>
        <w:t>en- gage (Levitt and Waters, 2006). In much of the transnational research</w:t>
      </w:r>
      <w:r>
        <w:rPr>
          <w:color w:val="231F20"/>
          <w:spacing w:val="-37"/>
          <w:w w:val="105"/>
        </w:rPr>
        <w:t> </w:t>
      </w:r>
      <w:r>
        <w:rPr>
          <w:color w:val="231F20"/>
          <w:w w:val="105"/>
        </w:rPr>
        <w:t>a comparison is sought between immigrants and “native” groups (groups in the country of immigration) (Kasinitz, Mollenkopf and Waters, 2010). Lately</w:t>
      </w:r>
      <w:r>
        <w:rPr>
          <w:color w:val="231F20"/>
          <w:spacing w:val="-16"/>
          <w:w w:val="105"/>
        </w:rPr>
        <w:t> </w:t>
      </w:r>
      <w:r>
        <w:rPr>
          <w:color w:val="231F20"/>
          <w:w w:val="105"/>
        </w:rPr>
        <w:t>many</w:t>
      </w:r>
      <w:r>
        <w:rPr>
          <w:color w:val="231F20"/>
          <w:spacing w:val="-16"/>
          <w:w w:val="105"/>
        </w:rPr>
        <w:t> </w:t>
      </w:r>
      <w:r>
        <w:rPr>
          <w:color w:val="231F20"/>
          <w:w w:val="105"/>
        </w:rPr>
        <w:t>studies</w:t>
      </w:r>
      <w:r>
        <w:rPr>
          <w:color w:val="231F20"/>
          <w:spacing w:val="-16"/>
          <w:w w:val="105"/>
        </w:rPr>
        <w:t> </w:t>
      </w:r>
      <w:r>
        <w:rPr>
          <w:color w:val="231F20"/>
          <w:w w:val="105"/>
        </w:rPr>
        <w:t>have</w:t>
      </w:r>
      <w:r>
        <w:rPr>
          <w:color w:val="231F20"/>
          <w:spacing w:val="-16"/>
          <w:w w:val="105"/>
        </w:rPr>
        <w:t> </w:t>
      </w:r>
      <w:r>
        <w:rPr>
          <w:color w:val="231F20"/>
          <w:w w:val="105"/>
        </w:rPr>
        <w:t>focused</w:t>
      </w:r>
      <w:r>
        <w:rPr>
          <w:color w:val="231F20"/>
          <w:spacing w:val="-16"/>
          <w:w w:val="105"/>
        </w:rPr>
        <w:t> </w:t>
      </w:r>
      <w:r>
        <w:rPr>
          <w:color w:val="231F20"/>
          <w:w w:val="105"/>
        </w:rPr>
        <w:t>on</w:t>
      </w:r>
      <w:r>
        <w:rPr>
          <w:color w:val="231F20"/>
          <w:spacing w:val="-16"/>
          <w:w w:val="105"/>
        </w:rPr>
        <w:t> </w:t>
      </w:r>
      <w:r>
        <w:rPr>
          <w:color w:val="231F20"/>
          <w:w w:val="105"/>
        </w:rPr>
        <w:t>the</w:t>
      </w:r>
      <w:r>
        <w:rPr>
          <w:color w:val="231F20"/>
          <w:spacing w:val="-16"/>
          <w:w w:val="105"/>
        </w:rPr>
        <w:t> </w:t>
      </w:r>
      <w:r>
        <w:rPr>
          <w:color w:val="231F20"/>
          <w:w w:val="105"/>
        </w:rPr>
        <w:t>second</w:t>
      </w:r>
      <w:r>
        <w:rPr>
          <w:color w:val="231F20"/>
          <w:spacing w:val="-16"/>
          <w:w w:val="105"/>
        </w:rPr>
        <w:t> </w:t>
      </w:r>
      <w:r>
        <w:rPr>
          <w:color w:val="231F20"/>
          <w:w w:val="105"/>
        </w:rPr>
        <w:t>generation</w:t>
      </w:r>
      <w:r>
        <w:rPr>
          <w:color w:val="231F20"/>
          <w:spacing w:val="-16"/>
          <w:w w:val="105"/>
        </w:rPr>
        <w:t> </w:t>
      </w:r>
      <w:r>
        <w:rPr>
          <w:color w:val="231F20"/>
          <w:w w:val="105"/>
        </w:rPr>
        <w:t>of</w:t>
      </w:r>
      <w:r>
        <w:rPr>
          <w:color w:val="231F20"/>
          <w:spacing w:val="-12"/>
          <w:w w:val="105"/>
        </w:rPr>
        <w:t> </w:t>
      </w:r>
      <w:r>
        <w:rPr>
          <w:color w:val="231F20"/>
          <w:w w:val="105"/>
        </w:rPr>
        <w:t>the</w:t>
      </w:r>
      <w:r>
        <w:rPr>
          <w:color w:val="231F20"/>
          <w:spacing w:val="-16"/>
          <w:w w:val="105"/>
        </w:rPr>
        <w:t> </w:t>
      </w:r>
      <w:r>
        <w:rPr>
          <w:color w:val="231F20"/>
          <w:w w:val="105"/>
        </w:rPr>
        <w:t>trans- national</w:t>
      </w:r>
      <w:r>
        <w:rPr>
          <w:color w:val="231F20"/>
          <w:spacing w:val="-5"/>
          <w:w w:val="105"/>
        </w:rPr>
        <w:t> </w:t>
      </w:r>
      <w:r>
        <w:rPr>
          <w:color w:val="231F20"/>
          <w:w w:val="105"/>
        </w:rPr>
        <w:t>community</w:t>
      </w:r>
      <w:r>
        <w:rPr>
          <w:color w:val="231F20"/>
          <w:spacing w:val="-5"/>
          <w:w w:val="105"/>
        </w:rPr>
        <w:t> </w:t>
      </w:r>
      <w:r>
        <w:rPr>
          <w:color w:val="231F20"/>
          <w:w w:val="105"/>
        </w:rPr>
        <w:t>and</w:t>
      </w:r>
      <w:r>
        <w:rPr>
          <w:color w:val="231F20"/>
          <w:spacing w:val="-5"/>
          <w:w w:val="105"/>
        </w:rPr>
        <w:t> </w:t>
      </w:r>
      <w:r>
        <w:rPr>
          <w:color w:val="231F20"/>
          <w:w w:val="105"/>
        </w:rPr>
        <w:t>the</w:t>
      </w:r>
      <w:r>
        <w:rPr>
          <w:color w:val="231F20"/>
          <w:spacing w:val="-5"/>
          <w:w w:val="105"/>
        </w:rPr>
        <w:t> </w:t>
      </w:r>
      <w:r>
        <w:rPr>
          <w:color w:val="231F20"/>
          <w:w w:val="105"/>
        </w:rPr>
        <w:t>social</w:t>
      </w:r>
      <w:r>
        <w:rPr>
          <w:color w:val="231F20"/>
          <w:spacing w:val="-5"/>
          <w:w w:val="105"/>
        </w:rPr>
        <w:t> </w:t>
      </w:r>
      <w:r>
        <w:rPr>
          <w:color w:val="231F20"/>
          <w:w w:val="105"/>
        </w:rPr>
        <w:t>behavior</w:t>
      </w:r>
      <w:r>
        <w:rPr>
          <w:color w:val="231F20"/>
          <w:spacing w:val="-5"/>
          <w:w w:val="105"/>
        </w:rPr>
        <w:t> </w:t>
      </w:r>
      <w:r>
        <w:rPr>
          <w:color w:val="231F20"/>
          <w:w w:val="105"/>
        </w:rPr>
        <w:t>that</w:t>
      </w:r>
      <w:r>
        <w:rPr>
          <w:color w:val="231F20"/>
          <w:spacing w:val="-5"/>
          <w:w w:val="105"/>
        </w:rPr>
        <w:t> </w:t>
      </w:r>
      <w:r>
        <w:rPr>
          <w:color w:val="231F20"/>
          <w:w w:val="105"/>
        </w:rPr>
        <w:t>is</w:t>
      </w:r>
      <w:r>
        <w:rPr>
          <w:color w:val="231F20"/>
          <w:spacing w:val="-5"/>
          <w:w w:val="105"/>
        </w:rPr>
        <w:t> </w:t>
      </w:r>
      <w:r>
        <w:rPr>
          <w:color w:val="231F20"/>
          <w:w w:val="105"/>
        </w:rPr>
        <w:t>maintained</w:t>
      </w:r>
      <w:r>
        <w:rPr>
          <w:color w:val="231F20"/>
          <w:spacing w:val="-5"/>
          <w:w w:val="105"/>
        </w:rPr>
        <w:t> </w:t>
      </w:r>
      <w:r>
        <w:rPr>
          <w:color w:val="231F20"/>
          <w:w w:val="105"/>
        </w:rPr>
        <w:t>from</w:t>
      </w:r>
      <w:r>
        <w:rPr>
          <w:color w:val="231F20"/>
          <w:spacing w:val="-5"/>
          <w:w w:val="105"/>
        </w:rPr>
        <w:t> </w:t>
      </w:r>
      <w:r>
        <w:rPr>
          <w:color w:val="231F20"/>
          <w:w w:val="105"/>
        </w:rPr>
        <w:t>ear- lier</w:t>
      </w:r>
      <w:r>
        <w:rPr>
          <w:color w:val="231F20"/>
          <w:spacing w:val="-7"/>
          <w:w w:val="105"/>
        </w:rPr>
        <w:t> </w:t>
      </w:r>
      <w:r>
        <w:rPr>
          <w:color w:val="231F20"/>
          <w:w w:val="105"/>
        </w:rPr>
        <w:t>generations.</w:t>
      </w:r>
      <w:r>
        <w:rPr>
          <w:color w:val="231F20"/>
          <w:spacing w:val="-12"/>
          <w:w w:val="105"/>
        </w:rPr>
        <w:t> </w:t>
      </w:r>
      <w:r>
        <w:rPr>
          <w:color w:val="231F20"/>
          <w:w w:val="105"/>
        </w:rPr>
        <w:t>Some</w:t>
      </w:r>
      <w:r>
        <w:rPr>
          <w:color w:val="231F20"/>
          <w:spacing w:val="-7"/>
          <w:w w:val="105"/>
        </w:rPr>
        <w:t> </w:t>
      </w:r>
      <w:r>
        <w:rPr>
          <w:color w:val="231F20"/>
          <w:w w:val="105"/>
        </w:rPr>
        <w:t>studies</w:t>
      </w:r>
      <w:r>
        <w:rPr>
          <w:color w:val="231F20"/>
          <w:spacing w:val="-7"/>
          <w:w w:val="105"/>
        </w:rPr>
        <w:t> </w:t>
      </w:r>
      <w:r>
        <w:rPr>
          <w:color w:val="231F20"/>
          <w:w w:val="105"/>
        </w:rPr>
        <w:t>on</w:t>
      </w:r>
      <w:r>
        <w:rPr>
          <w:color w:val="231F20"/>
          <w:spacing w:val="-7"/>
          <w:w w:val="105"/>
        </w:rPr>
        <w:t> </w:t>
      </w:r>
      <w:r>
        <w:rPr>
          <w:color w:val="231F20"/>
          <w:w w:val="105"/>
        </w:rPr>
        <w:t>transnationalism</w:t>
      </w:r>
      <w:r>
        <w:rPr>
          <w:color w:val="231F20"/>
          <w:spacing w:val="-7"/>
          <w:w w:val="105"/>
        </w:rPr>
        <w:t> </w:t>
      </w:r>
      <w:r>
        <w:rPr>
          <w:color w:val="231F20"/>
          <w:w w:val="105"/>
        </w:rPr>
        <w:t>that</w:t>
      </w:r>
      <w:r>
        <w:rPr>
          <w:color w:val="231F20"/>
          <w:spacing w:val="-7"/>
          <w:w w:val="105"/>
        </w:rPr>
        <w:t> </w:t>
      </w:r>
      <w:r>
        <w:rPr>
          <w:color w:val="231F20"/>
          <w:w w:val="105"/>
        </w:rPr>
        <w:t>focus</w:t>
      </w:r>
      <w:r>
        <w:rPr>
          <w:color w:val="231F20"/>
          <w:spacing w:val="-7"/>
          <w:w w:val="105"/>
        </w:rPr>
        <w:t> </w:t>
      </w:r>
      <w:r>
        <w:rPr>
          <w:color w:val="231F20"/>
          <w:w w:val="105"/>
        </w:rPr>
        <w:t>on</w:t>
      </w:r>
      <w:r>
        <w:rPr>
          <w:color w:val="231F20"/>
          <w:spacing w:val="-7"/>
          <w:w w:val="105"/>
        </w:rPr>
        <w:t> </w:t>
      </w:r>
      <w:r>
        <w:rPr>
          <w:color w:val="231F20"/>
          <w:w w:val="105"/>
        </w:rPr>
        <w:t>people from</w:t>
      </w:r>
      <w:r>
        <w:rPr>
          <w:color w:val="231F20"/>
          <w:spacing w:val="-15"/>
          <w:w w:val="105"/>
        </w:rPr>
        <w:t> </w:t>
      </w:r>
      <w:r>
        <w:rPr>
          <w:color w:val="231F20"/>
          <w:w w:val="105"/>
        </w:rPr>
        <w:t>the</w:t>
      </w:r>
      <w:r>
        <w:rPr>
          <w:color w:val="231F20"/>
          <w:spacing w:val="-15"/>
          <w:w w:val="105"/>
        </w:rPr>
        <w:t> </w:t>
      </w:r>
      <w:r>
        <w:rPr>
          <w:color w:val="231F20"/>
          <w:w w:val="105"/>
        </w:rPr>
        <w:t>Michoacán</w:t>
      </w:r>
      <w:r>
        <w:rPr>
          <w:color w:val="231F20"/>
          <w:spacing w:val="-15"/>
          <w:w w:val="105"/>
        </w:rPr>
        <w:t> </w:t>
      </w:r>
      <w:r>
        <w:rPr>
          <w:color w:val="231F20"/>
          <w:w w:val="105"/>
        </w:rPr>
        <w:t>region</w:t>
      </w:r>
      <w:r>
        <w:rPr>
          <w:color w:val="231F20"/>
          <w:spacing w:val="-15"/>
          <w:w w:val="105"/>
        </w:rPr>
        <w:t> </w:t>
      </w:r>
      <w:r>
        <w:rPr>
          <w:color w:val="231F20"/>
          <w:w w:val="105"/>
        </w:rPr>
        <w:t>are</w:t>
      </w:r>
      <w:r>
        <w:rPr>
          <w:color w:val="231F20"/>
          <w:spacing w:val="-15"/>
          <w:w w:val="105"/>
        </w:rPr>
        <w:t> </w:t>
      </w:r>
      <w:r>
        <w:rPr>
          <w:color w:val="231F20"/>
          <w:w w:val="105"/>
        </w:rPr>
        <w:t>about</w:t>
      </w:r>
      <w:r>
        <w:rPr>
          <w:color w:val="231F20"/>
          <w:spacing w:val="-15"/>
          <w:w w:val="105"/>
        </w:rPr>
        <w:t> </w:t>
      </w:r>
      <w:r>
        <w:rPr>
          <w:color w:val="231F20"/>
          <w:w w:val="105"/>
        </w:rPr>
        <w:t>groups</w:t>
      </w:r>
      <w:r>
        <w:rPr>
          <w:color w:val="231F20"/>
          <w:spacing w:val="-15"/>
          <w:w w:val="105"/>
        </w:rPr>
        <w:t> </w:t>
      </w:r>
      <w:r>
        <w:rPr>
          <w:color w:val="231F20"/>
          <w:w w:val="105"/>
        </w:rPr>
        <w:t>settling</w:t>
      </w:r>
      <w:r>
        <w:rPr>
          <w:color w:val="231F20"/>
          <w:spacing w:val="-15"/>
          <w:w w:val="105"/>
        </w:rPr>
        <w:t> </w:t>
      </w:r>
      <w:r>
        <w:rPr>
          <w:color w:val="231F20"/>
          <w:w w:val="105"/>
        </w:rPr>
        <w:t>in</w:t>
      </w:r>
      <w:r>
        <w:rPr>
          <w:color w:val="231F20"/>
          <w:spacing w:val="-15"/>
          <w:w w:val="105"/>
        </w:rPr>
        <w:t> </w:t>
      </w:r>
      <w:r>
        <w:rPr>
          <w:color w:val="231F20"/>
          <w:w w:val="105"/>
        </w:rPr>
        <w:t>the</w:t>
      </w:r>
      <w:r>
        <w:rPr>
          <w:color w:val="231F20"/>
          <w:spacing w:val="-15"/>
          <w:w w:val="105"/>
        </w:rPr>
        <w:t> </w:t>
      </w:r>
      <w:r>
        <w:rPr>
          <w:color w:val="231F20"/>
          <w:w w:val="105"/>
        </w:rPr>
        <w:t>United</w:t>
      </w:r>
      <w:r>
        <w:rPr>
          <w:color w:val="231F20"/>
          <w:spacing w:val="-15"/>
          <w:w w:val="105"/>
        </w:rPr>
        <w:t> </w:t>
      </w:r>
      <w:r>
        <w:rPr>
          <w:color w:val="231F20"/>
          <w:w w:val="105"/>
        </w:rPr>
        <w:t>States as</w:t>
      </w:r>
      <w:r>
        <w:rPr>
          <w:color w:val="231F20"/>
          <w:spacing w:val="-14"/>
          <w:w w:val="105"/>
        </w:rPr>
        <w:t> </w:t>
      </w:r>
      <w:r>
        <w:rPr>
          <w:color w:val="231F20"/>
          <w:w w:val="105"/>
        </w:rPr>
        <w:t>a</w:t>
      </w:r>
      <w:r>
        <w:rPr>
          <w:color w:val="231F20"/>
          <w:spacing w:val="-14"/>
          <w:w w:val="105"/>
        </w:rPr>
        <w:t> </w:t>
      </w:r>
      <w:r>
        <w:rPr>
          <w:color w:val="231F20"/>
          <w:w w:val="105"/>
        </w:rPr>
        <w:t>result</w:t>
      </w:r>
      <w:r>
        <w:rPr>
          <w:color w:val="231F20"/>
          <w:spacing w:val="-14"/>
          <w:w w:val="105"/>
        </w:rPr>
        <w:t> </w:t>
      </w:r>
      <w:r>
        <w:rPr>
          <w:color w:val="231F20"/>
          <w:w w:val="105"/>
        </w:rPr>
        <w:t>of</w:t>
      </w:r>
      <w:r>
        <w:rPr>
          <w:color w:val="231F20"/>
          <w:spacing w:val="-9"/>
          <w:w w:val="105"/>
        </w:rPr>
        <w:t> </w:t>
      </w:r>
      <w:r>
        <w:rPr>
          <w:color w:val="231F20"/>
          <w:w w:val="105"/>
        </w:rPr>
        <w:t>the</w:t>
      </w:r>
      <w:r>
        <w:rPr>
          <w:color w:val="231F20"/>
          <w:spacing w:val="-14"/>
          <w:w w:val="105"/>
        </w:rPr>
        <w:t> </w:t>
      </w:r>
      <w:r>
        <w:rPr>
          <w:color w:val="231F20"/>
          <w:w w:val="105"/>
        </w:rPr>
        <w:t>bracero</w:t>
      </w:r>
      <w:r>
        <w:rPr>
          <w:color w:val="231F20"/>
          <w:spacing w:val="-14"/>
          <w:w w:val="105"/>
        </w:rPr>
        <w:t> </w:t>
      </w:r>
      <w:r>
        <w:rPr>
          <w:color w:val="231F20"/>
          <w:w w:val="105"/>
        </w:rPr>
        <w:t>(migrants</w:t>
      </w:r>
      <w:r>
        <w:rPr>
          <w:color w:val="231F20"/>
          <w:spacing w:val="-14"/>
          <w:w w:val="105"/>
        </w:rPr>
        <w:t> </w:t>
      </w:r>
      <w:r>
        <w:rPr>
          <w:color w:val="231F20"/>
          <w:w w:val="105"/>
        </w:rPr>
        <w:t>going</w:t>
      </w:r>
      <w:r>
        <w:rPr>
          <w:color w:val="231F20"/>
          <w:spacing w:val="-14"/>
          <w:w w:val="105"/>
        </w:rPr>
        <w:t> </w:t>
      </w:r>
      <w:r>
        <w:rPr>
          <w:color w:val="231F20"/>
          <w:w w:val="105"/>
        </w:rPr>
        <w:t>as</w:t>
      </w:r>
      <w:r>
        <w:rPr>
          <w:color w:val="231F20"/>
          <w:spacing w:val="-14"/>
          <w:w w:val="105"/>
        </w:rPr>
        <w:t> </w:t>
      </w:r>
      <w:r>
        <w:rPr>
          <w:color w:val="231F20"/>
          <w:w w:val="105"/>
        </w:rPr>
        <w:t>manual</w:t>
      </w:r>
      <w:r>
        <w:rPr>
          <w:color w:val="231F20"/>
          <w:spacing w:val="-14"/>
          <w:w w:val="105"/>
        </w:rPr>
        <w:t> </w:t>
      </w:r>
      <w:r>
        <w:rPr>
          <w:color w:val="231F20"/>
          <w:w w:val="105"/>
        </w:rPr>
        <w:t>workers</w:t>
      </w:r>
      <w:r>
        <w:rPr>
          <w:color w:val="231F20"/>
          <w:spacing w:val="-14"/>
          <w:w w:val="105"/>
        </w:rPr>
        <w:t> </w:t>
      </w:r>
      <w:r>
        <w:rPr>
          <w:color w:val="231F20"/>
          <w:w w:val="105"/>
        </w:rPr>
        <w:t>to</w:t>
      </w:r>
      <w:r>
        <w:rPr>
          <w:color w:val="231F20"/>
          <w:spacing w:val="-14"/>
          <w:w w:val="105"/>
        </w:rPr>
        <w:t> </w:t>
      </w:r>
      <w:r>
        <w:rPr>
          <w:color w:val="231F20"/>
          <w:w w:val="105"/>
        </w:rPr>
        <w:t>the</w:t>
      </w:r>
      <w:r>
        <w:rPr>
          <w:color w:val="231F20"/>
          <w:spacing w:val="-14"/>
          <w:w w:val="105"/>
        </w:rPr>
        <w:t> </w:t>
      </w:r>
      <w:r>
        <w:rPr>
          <w:color w:val="231F20"/>
          <w:w w:val="105"/>
        </w:rPr>
        <w:t>U.S.) program</w:t>
      </w:r>
      <w:r>
        <w:rPr>
          <w:color w:val="231F20"/>
          <w:spacing w:val="-22"/>
          <w:w w:val="105"/>
        </w:rPr>
        <w:t> </w:t>
      </w:r>
      <w:r>
        <w:rPr>
          <w:color w:val="231F20"/>
          <w:w w:val="105"/>
        </w:rPr>
        <w:t>(1942-1964),</w:t>
      </w:r>
      <w:r>
        <w:rPr>
          <w:color w:val="231F20"/>
          <w:spacing w:val="-27"/>
          <w:w w:val="105"/>
        </w:rPr>
        <w:t> </w:t>
      </w:r>
      <w:r>
        <w:rPr>
          <w:color w:val="231F20"/>
          <w:w w:val="105"/>
        </w:rPr>
        <w:t>and</w:t>
      </w:r>
      <w:r>
        <w:rPr>
          <w:color w:val="231F20"/>
          <w:spacing w:val="-22"/>
          <w:w w:val="105"/>
        </w:rPr>
        <w:t> </w:t>
      </w:r>
      <w:r>
        <w:rPr>
          <w:color w:val="231F20"/>
          <w:w w:val="105"/>
        </w:rPr>
        <w:t>have</w:t>
      </w:r>
      <w:r>
        <w:rPr>
          <w:color w:val="231F20"/>
          <w:spacing w:val="-22"/>
          <w:w w:val="105"/>
        </w:rPr>
        <w:t> </w:t>
      </w:r>
      <w:r>
        <w:rPr>
          <w:color w:val="231F20"/>
          <w:w w:val="105"/>
        </w:rPr>
        <w:t>examined</w:t>
      </w:r>
      <w:r>
        <w:rPr>
          <w:color w:val="231F20"/>
          <w:spacing w:val="-22"/>
          <w:w w:val="105"/>
        </w:rPr>
        <w:t> </w:t>
      </w:r>
      <w:r>
        <w:rPr>
          <w:color w:val="231F20"/>
          <w:w w:val="105"/>
        </w:rPr>
        <w:t>the</w:t>
      </w:r>
      <w:r>
        <w:rPr>
          <w:color w:val="231F20"/>
          <w:spacing w:val="-22"/>
          <w:w w:val="105"/>
        </w:rPr>
        <w:t> </w:t>
      </w:r>
      <w:r>
        <w:rPr>
          <w:color w:val="231F20"/>
          <w:w w:val="105"/>
        </w:rPr>
        <w:t>involvement</w:t>
      </w:r>
      <w:r>
        <w:rPr>
          <w:color w:val="231F20"/>
          <w:spacing w:val="-22"/>
          <w:w w:val="105"/>
        </w:rPr>
        <w:t> </w:t>
      </w:r>
      <w:r>
        <w:rPr>
          <w:color w:val="231F20"/>
          <w:w w:val="105"/>
        </w:rPr>
        <w:t>of</w:t>
      </w:r>
      <w:r>
        <w:rPr>
          <w:color w:val="231F20"/>
          <w:spacing w:val="-17"/>
          <w:w w:val="105"/>
        </w:rPr>
        <w:t> </w:t>
      </w:r>
      <w:r>
        <w:rPr>
          <w:color w:val="231F20"/>
          <w:w w:val="105"/>
        </w:rPr>
        <w:t>the</w:t>
      </w:r>
      <w:r>
        <w:rPr>
          <w:color w:val="231F20"/>
          <w:spacing w:val="-22"/>
          <w:w w:val="105"/>
        </w:rPr>
        <w:t> </w:t>
      </w:r>
      <w:r>
        <w:rPr>
          <w:color w:val="231F20"/>
          <w:w w:val="105"/>
        </w:rPr>
        <w:t>second generation</w:t>
      </w:r>
      <w:r>
        <w:rPr>
          <w:color w:val="231F20"/>
          <w:spacing w:val="-4"/>
          <w:w w:val="105"/>
        </w:rPr>
        <w:t> </w:t>
      </w:r>
      <w:r>
        <w:rPr>
          <w:color w:val="231F20"/>
          <w:w w:val="105"/>
        </w:rPr>
        <w:t>with</w:t>
      </w:r>
      <w:r>
        <w:rPr>
          <w:color w:val="231F20"/>
          <w:spacing w:val="-4"/>
          <w:w w:val="105"/>
        </w:rPr>
        <w:t> </w:t>
      </w:r>
      <w:r>
        <w:rPr>
          <w:color w:val="231F20"/>
          <w:w w:val="105"/>
        </w:rPr>
        <w:t>their</w:t>
      </w:r>
      <w:r>
        <w:rPr>
          <w:color w:val="231F20"/>
          <w:spacing w:val="-4"/>
          <w:w w:val="105"/>
        </w:rPr>
        <w:t> </w:t>
      </w:r>
      <w:r>
        <w:rPr>
          <w:color w:val="231F20"/>
          <w:w w:val="105"/>
        </w:rPr>
        <w:t>two</w:t>
      </w:r>
      <w:r>
        <w:rPr>
          <w:color w:val="231F20"/>
          <w:spacing w:val="-4"/>
          <w:w w:val="105"/>
        </w:rPr>
        <w:t> </w:t>
      </w:r>
      <w:r>
        <w:rPr>
          <w:color w:val="231F20"/>
          <w:w w:val="105"/>
        </w:rPr>
        <w:t>communities:</w:t>
      </w:r>
      <w:r>
        <w:rPr>
          <w:color w:val="231F20"/>
          <w:spacing w:val="-4"/>
          <w:w w:val="105"/>
        </w:rPr>
        <w:t> </w:t>
      </w:r>
      <w:r>
        <w:rPr>
          <w:color w:val="231F20"/>
          <w:w w:val="105"/>
        </w:rPr>
        <w:t>the</w:t>
      </w:r>
      <w:r>
        <w:rPr>
          <w:color w:val="231F20"/>
          <w:spacing w:val="-4"/>
          <w:w w:val="105"/>
        </w:rPr>
        <w:t> </w:t>
      </w:r>
      <w:r>
        <w:rPr>
          <w:color w:val="231F20"/>
          <w:w w:val="105"/>
        </w:rPr>
        <w:t>one</w:t>
      </w:r>
      <w:r>
        <w:rPr>
          <w:color w:val="231F20"/>
          <w:spacing w:val="-4"/>
          <w:w w:val="105"/>
        </w:rPr>
        <w:t> </w:t>
      </w:r>
      <w:r>
        <w:rPr>
          <w:color w:val="231F20"/>
          <w:w w:val="105"/>
        </w:rPr>
        <w:t>in</w:t>
      </w:r>
      <w:r>
        <w:rPr>
          <w:color w:val="231F20"/>
          <w:spacing w:val="-4"/>
          <w:w w:val="105"/>
        </w:rPr>
        <w:t> </w:t>
      </w:r>
      <w:r>
        <w:rPr>
          <w:color w:val="231F20"/>
          <w:w w:val="105"/>
        </w:rPr>
        <w:t>the</w:t>
      </w:r>
      <w:r>
        <w:rPr>
          <w:color w:val="231F20"/>
          <w:spacing w:val="-4"/>
          <w:w w:val="105"/>
        </w:rPr>
        <w:t> </w:t>
      </w:r>
      <w:r>
        <w:rPr>
          <w:color w:val="231F20"/>
          <w:w w:val="105"/>
        </w:rPr>
        <w:t>U.S.</w:t>
      </w:r>
      <w:r>
        <w:rPr>
          <w:color w:val="231F20"/>
          <w:spacing w:val="-11"/>
          <w:w w:val="105"/>
        </w:rPr>
        <w:t> </w:t>
      </w:r>
      <w:r>
        <w:rPr>
          <w:color w:val="231F20"/>
          <w:w w:val="105"/>
        </w:rPr>
        <w:t>and</w:t>
      </w:r>
      <w:r>
        <w:rPr>
          <w:color w:val="231F20"/>
          <w:spacing w:val="-4"/>
          <w:w w:val="105"/>
        </w:rPr>
        <w:t> </w:t>
      </w:r>
      <w:r>
        <w:rPr>
          <w:color w:val="231F20"/>
          <w:w w:val="105"/>
        </w:rPr>
        <w:t>the</w:t>
      </w:r>
      <w:r>
        <w:rPr>
          <w:color w:val="231F20"/>
          <w:spacing w:val="-4"/>
          <w:w w:val="105"/>
        </w:rPr>
        <w:t> </w:t>
      </w:r>
      <w:r>
        <w:rPr>
          <w:color w:val="231F20"/>
          <w:w w:val="105"/>
        </w:rPr>
        <w:t>com- munity of the parents’ country </w:t>
      </w:r>
      <w:r>
        <w:rPr>
          <w:color w:val="231F20"/>
          <w:spacing w:val="-4"/>
          <w:w w:val="105"/>
        </w:rPr>
        <w:t>(Farr, </w:t>
      </w:r>
      <w:r>
        <w:rPr>
          <w:color w:val="231F20"/>
          <w:w w:val="105"/>
        </w:rPr>
        <w:t>2006; Guerra, 1998). Other studies also</w:t>
      </w:r>
      <w:r>
        <w:rPr>
          <w:color w:val="231F20"/>
          <w:spacing w:val="-24"/>
          <w:w w:val="105"/>
        </w:rPr>
        <w:t> </w:t>
      </w:r>
      <w:r>
        <w:rPr>
          <w:color w:val="231F20"/>
          <w:w w:val="105"/>
        </w:rPr>
        <w:t>examine</w:t>
      </w:r>
      <w:r>
        <w:rPr>
          <w:color w:val="231F20"/>
          <w:spacing w:val="-24"/>
          <w:w w:val="105"/>
        </w:rPr>
        <w:t> </w:t>
      </w:r>
      <w:r>
        <w:rPr>
          <w:color w:val="231F20"/>
          <w:w w:val="105"/>
        </w:rPr>
        <w:t>how</w:t>
      </w:r>
      <w:r>
        <w:rPr>
          <w:color w:val="231F20"/>
          <w:spacing w:val="-24"/>
          <w:w w:val="105"/>
        </w:rPr>
        <w:t> </w:t>
      </w:r>
      <w:r>
        <w:rPr>
          <w:color w:val="231F20"/>
          <w:w w:val="105"/>
        </w:rPr>
        <w:t>the</w:t>
      </w:r>
      <w:r>
        <w:rPr>
          <w:color w:val="231F20"/>
          <w:spacing w:val="-24"/>
          <w:w w:val="105"/>
        </w:rPr>
        <w:t> </w:t>
      </w:r>
      <w:r>
        <w:rPr>
          <w:color w:val="231F20"/>
          <w:w w:val="105"/>
        </w:rPr>
        <w:t>movement</w:t>
      </w:r>
      <w:r>
        <w:rPr>
          <w:color w:val="231F20"/>
          <w:spacing w:val="-24"/>
          <w:w w:val="105"/>
        </w:rPr>
        <w:t> </w:t>
      </w:r>
      <w:r>
        <w:rPr>
          <w:color w:val="231F20"/>
          <w:w w:val="105"/>
        </w:rPr>
        <w:t>back</w:t>
      </w:r>
      <w:r>
        <w:rPr>
          <w:color w:val="231F20"/>
          <w:spacing w:val="-24"/>
          <w:w w:val="105"/>
        </w:rPr>
        <w:t> </w:t>
      </w:r>
      <w:r>
        <w:rPr>
          <w:color w:val="231F20"/>
          <w:w w:val="105"/>
        </w:rPr>
        <w:t>and</w:t>
      </w:r>
      <w:r>
        <w:rPr>
          <w:color w:val="231F20"/>
          <w:spacing w:val="-24"/>
          <w:w w:val="105"/>
        </w:rPr>
        <w:t> </w:t>
      </w:r>
      <w:r>
        <w:rPr>
          <w:color w:val="231F20"/>
          <w:w w:val="105"/>
        </w:rPr>
        <w:t>forth</w:t>
      </w:r>
      <w:r>
        <w:rPr>
          <w:color w:val="231F20"/>
          <w:spacing w:val="-24"/>
          <w:w w:val="105"/>
        </w:rPr>
        <w:t> </w:t>
      </w:r>
      <w:r>
        <w:rPr>
          <w:color w:val="231F20"/>
          <w:w w:val="105"/>
        </w:rPr>
        <w:t>between</w:t>
      </w:r>
      <w:r>
        <w:rPr>
          <w:color w:val="231F20"/>
          <w:spacing w:val="-24"/>
          <w:w w:val="105"/>
        </w:rPr>
        <w:t> </w:t>
      </w:r>
      <w:r>
        <w:rPr>
          <w:color w:val="231F20"/>
          <w:w w:val="105"/>
        </w:rPr>
        <w:t>the</w:t>
      </w:r>
      <w:r>
        <w:rPr>
          <w:color w:val="231F20"/>
          <w:spacing w:val="-24"/>
          <w:w w:val="105"/>
        </w:rPr>
        <w:t> </w:t>
      </w:r>
      <w:r>
        <w:rPr>
          <w:color w:val="231F20"/>
          <w:w w:val="105"/>
        </w:rPr>
        <w:t>U.S.</w:t>
      </w:r>
      <w:r>
        <w:rPr>
          <w:color w:val="231F20"/>
          <w:spacing w:val="-30"/>
          <w:w w:val="105"/>
        </w:rPr>
        <w:t> </w:t>
      </w:r>
      <w:r>
        <w:rPr>
          <w:color w:val="231F20"/>
          <w:w w:val="105"/>
        </w:rPr>
        <w:t>and</w:t>
      </w:r>
      <w:r>
        <w:rPr>
          <w:color w:val="231F20"/>
          <w:spacing w:val="-24"/>
          <w:w w:val="105"/>
        </w:rPr>
        <w:t> </w:t>
      </w:r>
      <w:r>
        <w:rPr>
          <w:color w:val="231F20"/>
          <w:w w:val="105"/>
        </w:rPr>
        <w:t>the parents’ country of origin has affected the culture (e.g. in the domain of religion) and the politics of the sending communities as well as the</w:t>
      </w:r>
      <w:r>
        <w:rPr>
          <w:color w:val="231F20"/>
          <w:spacing w:val="-24"/>
          <w:w w:val="105"/>
        </w:rPr>
        <w:t> </w:t>
      </w:r>
      <w:r>
        <w:rPr>
          <w:color w:val="231F20"/>
          <w:w w:val="105"/>
        </w:rPr>
        <w:t>reci- pient</w:t>
      </w:r>
      <w:r>
        <w:rPr>
          <w:color w:val="231F20"/>
          <w:spacing w:val="-21"/>
          <w:w w:val="105"/>
        </w:rPr>
        <w:t> </w:t>
      </w:r>
      <w:r>
        <w:rPr>
          <w:color w:val="231F20"/>
          <w:w w:val="105"/>
        </w:rPr>
        <w:t>ones</w:t>
      </w:r>
      <w:r>
        <w:rPr>
          <w:color w:val="231F20"/>
          <w:spacing w:val="-21"/>
          <w:w w:val="105"/>
        </w:rPr>
        <w:t> </w:t>
      </w:r>
      <w:r>
        <w:rPr>
          <w:color w:val="231F20"/>
          <w:w w:val="105"/>
        </w:rPr>
        <w:t>(Cornelius,</w:t>
      </w:r>
      <w:r>
        <w:rPr>
          <w:color w:val="231F20"/>
          <w:spacing w:val="-25"/>
          <w:w w:val="105"/>
        </w:rPr>
        <w:t> </w:t>
      </w:r>
      <w:r>
        <w:rPr>
          <w:color w:val="231F20"/>
          <w:w w:val="105"/>
        </w:rPr>
        <w:t>2009;</w:t>
      </w:r>
      <w:r>
        <w:rPr>
          <w:color w:val="231F20"/>
          <w:spacing w:val="-21"/>
          <w:w w:val="105"/>
        </w:rPr>
        <w:t> </w:t>
      </w:r>
      <w:r>
        <w:rPr>
          <w:color w:val="231F20"/>
          <w:w w:val="105"/>
        </w:rPr>
        <w:t>Levitt,</w:t>
      </w:r>
      <w:r>
        <w:rPr>
          <w:color w:val="231F20"/>
          <w:spacing w:val="-25"/>
          <w:w w:val="105"/>
        </w:rPr>
        <w:t> </w:t>
      </w:r>
      <w:r>
        <w:rPr>
          <w:color w:val="231F20"/>
          <w:w w:val="105"/>
        </w:rPr>
        <w:t>2001;</w:t>
      </w:r>
      <w:r>
        <w:rPr>
          <w:color w:val="231F20"/>
          <w:spacing w:val="-21"/>
          <w:w w:val="105"/>
        </w:rPr>
        <w:t> </w:t>
      </w:r>
      <w:r>
        <w:rPr>
          <w:color w:val="231F20"/>
          <w:w w:val="105"/>
        </w:rPr>
        <w:t>Levitt</w:t>
      </w:r>
      <w:r>
        <w:rPr>
          <w:color w:val="231F20"/>
          <w:spacing w:val="-21"/>
          <w:w w:val="105"/>
        </w:rPr>
        <w:t> </w:t>
      </w:r>
      <w:r>
        <w:rPr>
          <w:color w:val="231F20"/>
          <w:w w:val="105"/>
        </w:rPr>
        <w:t>and</w:t>
      </w:r>
      <w:r>
        <w:rPr>
          <w:color w:val="231F20"/>
          <w:spacing w:val="-23"/>
          <w:w w:val="105"/>
        </w:rPr>
        <w:t> </w:t>
      </w:r>
      <w:r>
        <w:rPr>
          <w:color w:val="231F20"/>
          <w:w w:val="105"/>
        </w:rPr>
        <w:t>Waters,</w:t>
      </w:r>
      <w:r>
        <w:rPr>
          <w:color w:val="231F20"/>
          <w:spacing w:val="-25"/>
          <w:w w:val="105"/>
        </w:rPr>
        <w:t> </w:t>
      </w:r>
      <w:r>
        <w:rPr>
          <w:color w:val="231F20"/>
          <w:w w:val="105"/>
        </w:rPr>
        <w:t>2006;</w:t>
      </w:r>
      <w:r>
        <w:rPr>
          <w:color w:val="231F20"/>
          <w:spacing w:val="-21"/>
          <w:w w:val="105"/>
        </w:rPr>
        <w:t> </w:t>
      </w:r>
      <w:r>
        <w:rPr>
          <w:color w:val="231F20"/>
          <w:w w:val="105"/>
        </w:rPr>
        <w:t>Smith, 2006). Among the handful of scholars who focus on how transnationals maintain</w:t>
      </w:r>
      <w:r>
        <w:rPr>
          <w:color w:val="231F20"/>
          <w:spacing w:val="-8"/>
          <w:w w:val="105"/>
        </w:rPr>
        <w:t> </w:t>
      </w:r>
      <w:r>
        <w:rPr>
          <w:color w:val="231F20"/>
          <w:w w:val="105"/>
        </w:rPr>
        <w:t>their</w:t>
      </w:r>
      <w:r>
        <w:rPr>
          <w:color w:val="231F20"/>
          <w:spacing w:val="-8"/>
          <w:w w:val="105"/>
        </w:rPr>
        <w:t> </w:t>
      </w:r>
      <w:r>
        <w:rPr>
          <w:color w:val="231F20"/>
          <w:w w:val="105"/>
        </w:rPr>
        <w:t>ties</w:t>
      </w:r>
      <w:r>
        <w:rPr>
          <w:color w:val="231F20"/>
          <w:spacing w:val="-8"/>
          <w:w w:val="105"/>
        </w:rPr>
        <w:t> </w:t>
      </w:r>
      <w:r>
        <w:rPr>
          <w:color w:val="231F20"/>
          <w:w w:val="105"/>
        </w:rPr>
        <w:t>using</w:t>
      </w:r>
      <w:r>
        <w:rPr>
          <w:color w:val="231F20"/>
          <w:spacing w:val="-8"/>
          <w:w w:val="105"/>
        </w:rPr>
        <w:t> </w:t>
      </w:r>
      <w:r>
        <w:rPr>
          <w:color w:val="231F20"/>
          <w:w w:val="105"/>
        </w:rPr>
        <w:t>different</w:t>
      </w:r>
      <w:r>
        <w:rPr>
          <w:color w:val="231F20"/>
          <w:spacing w:val="-8"/>
          <w:w w:val="105"/>
        </w:rPr>
        <w:t> </w:t>
      </w:r>
      <w:r>
        <w:rPr>
          <w:color w:val="231F20"/>
          <w:w w:val="105"/>
        </w:rPr>
        <w:t>means</w:t>
      </w:r>
      <w:r>
        <w:rPr>
          <w:color w:val="231F20"/>
          <w:spacing w:val="-8"/>
          <w:w w:val="105"/>
        </w:rPr>
        <w:t> </w:t>
      </w:r>
      <w:r>
        <w:rPr>
          <w:color w:val="231F20"/>
          <w:w w:val="105"/>
        </w:rPr>
        <w:t>of</w:t>
      </w:r>
      <w:r>
        <w:rPr>
          <w:color w:val="231F20"/>
          <w:spacing w:val="-3"/>
          <w:w w:val="105"/>
        </w:rPr>
        <w:t> </w:t>
      </w:r>
      <w:r>
        <w:rPr>
          <w:color w:val="231F20"/>
          <w:w w:val="105"/>
        </w:rPr>
        <w:t>communication,</w:t>
      </w:r>
      <w:r>
        <w:rPr>
          <w:color w:val="231F20"/>
          <w:spacing w:val="-14"/>
          <w:w w:val="105"/>
        </w:rPr>
        <w:t> </w:t>
      </w:r>
      <w:r>
        <w:rPr>
          <w:color w:val="231F20"/>
          <w:w w:val="105"/>
        </w:rPr>
        <w:t>including</w:t>
      </w:r>
      <w:r>
        <w:rPr>
          <w:color w:val="231F20"/>
          <w:spacing w:val="-8"/>
          <w:w w:val="105"/>
        </w:rPr>
        <w:t> </w:t>
      </w:r>
      <w:r>
        <w:rPr>
          <w:color w:val="231F20"/>
          <w:w w:val="105"/>
        </w:rPr>
        <w:t>di- gital</w:t>
      </w:r>
      <w:r>
        <w:rPr>
          <w:color w:val="231F20"/>
          <w:spacing w:val="-21"/>
          <w:w w:val="105"/>
        </w:rPr>
        <w:t> </w:t>
      </w:r>
      <w:r>
        <w:rPr>
          <w:color w:val="231F20"/>
          <w:w w:val="105"/>
        </w:rPr>
        <w:t>media</w:t>
      </w:r>
      <w:r>
        <w:rPr>
          <w:color w:val="231F20"/>
          <w:spacing w:val="-21"/>
          <w:w w:val="105"/>
        </w:rPr>
        <w:t> </w:t>
      </w:r>
      <w:r>
        <w:rPr>
          <w:color w:val="231F20"/>
          <w:w w:val="105"/>
        </w:rPr>
        <w:t>(Madianou</w:t>
      </w:r>
      <w:r>
        <w:rPr>
          <w:color w:val="231F20"/>
          <w:spacing w:val="-21"/>
          <w:w w:val="105"/>
        </w:rPr>
        <w:t> </w:t>
      </w:r>
      <w:r>
        <w:rPr>
          <w:color w:val="231F20"/>
          <w:w w:val="105"/>
        </w:rPr>
        <w:t>and</w:t>
      </w:r>
      <w:r>
        <w:rPr>
          <w:color w:val="231F20"/>
          <w:spacing w:val="-21"/>
          <w:w w:val="105"/>
        </w:rPr>
        <w:t> </w:t>
      </w:r>
      <w:r>
        <w:rPr>
          <w:color w:val="231F20"/>
          <w:w w:val="105"/>
        </w:rPr>
        <w:t>Miller,</w:t>
      </w:r>
      <w:r>
        <w:rPr>
          <w:color w:val="231F20"/>
          <w:spacing w:val="-27"/>
          <w:w w:val="105"/>
        </w:rPr>
        <w:t> </w:t>
      </w:r>
      <w:r>
        <w:rPr>
          <w:color w:val="231F20"/>
          <w:w w:val="105"/>
        </w:rPr>
        <w:t>2012),</w:t>
      </w:r>
      <w:r>
        <w:rPr>
          <w:color w:val="231F20"/>
          <w:spacing w:val="-27"/>
          <w:w w:val="105"/>
        </w:rPr>
        <w:t> </w:t>
      </w:r>
      <w:r>
        <w:rPr>
          <w:color w:val="231F20"/>
          <w:w w:val="105"/>
        </w:rPr>
        <w:t>most</w:t>
      </w:r>
      <w:r>
        <w:rPr>
          <w:color w:val="231F20"/>
          <w:spacing w:val="-21"/>
          <w:w w:val="105"/>
        </w:rPr>
        <w:t> </w:t>
      </w:r>
      <w:r>
        <w:rPr>
          <w:color w:val="231F20"/>
          <w:w w:val="105"/>
        </w:rPr>
        <w:t>focus</w:t>
      </w:r>
      <w:r>
        <w:rPr>
          <w:color w:val="231F20"/>
          <w:spacing w:val="-21"/>
          <w:w w:val="105"/>
        </w:rPr>
        <w:t> </w:t>
      </w:r>
      <w:r>
        <w:rPr>
          <w:color w:val="231F20"/>
          <w:w w:val="105"/>
        </w:rPr>
        <w:t>only</w:t>
      </w:r>
      <w:r>
        <w:rPr>
          <w:color w:val="231F20"/>
          <w:spacing w:val="-21"/>
          <w:w w:val="105"/>
        </w:rPr>
        <w:t> </w:t>
      </w:r>
      <w:r>
        <w:rPr>
          <w:color w:val="231F20"/>
          <w:w w:val="105"/>
        </w:rPr>
        <w:t>on</w:t>
      </w:r>
      <w:r>
        <w:rPr>
          <w:color w:val="231F20"/>
          <w:spacing w:val="-21"/>
          <w:w w:val="105"/>
        </w:rPr>
        <w:t> </w:t>
      </w:r>
      <w:r>
        <w:rPr>
          <w:color w:val="231F20"/>
          <w:w w:val="105"/>
        </w:rPr>
        <w:t>the</w:t>
      </w:r>
      <w:r>
        <w:rPr>
          <w:color w:val="231F20"/>
          <w:spacing w:val="-21"/>
          <w:w w:val="105"/>
        </w:rPr>
        <w:t> </w:t>
      </w:r>
      <w:r>
        <w:rPr>
          <w:color w:val="231F20"/>
          <w:w w:val="105"/>
        </w:rPr>
        <w:t>language practices of a single individual (Lam, 2014) and not on the network as</w:t>
      </w:r>
      <w:r>
        <w:rPr>
          <w:color w:val="231F20"/>
          <w:spacing w:val="-24"/>
          <w:w w:val="105"/>
        </w:rPr>
        <w:t> </w:t>
      </w:r>
      <w:r>
        <w:rPr>
          <w:color w:val="231F20"/>
          <w:w w:val="105"/>
        </w:rPr>
        <w:t>a whole.</w:t>
      </w:r>
      <w:r>
        <w:rPr>
          <w:color w:val="231F20"/>
          <w:spacing w:val="-23"/>
          <w:w w:val="105"/>
        </w:rPr>
        <w:t> </w:t>
      </w:r>
      <w:r>
        <w:rPr>
          <w:color w:val="231F20"/>
          <w:w w:val="105"/>
        </w:rPr>
        <w:t>A</w:t>
      </w:r>
      <w:r>
        <w:rPr>
          <w:color w:val="231F20"/>
          <w:spacing w:val="-16"/>
          <w:w w:val="105"/>
        </w:rPr>
        <w:t> </w:t>
      </w:r>
      <w:r>
        <w:rPr>
          <w:color w:val="231F20"/>
          <w:w w:val="105"/>
        </w:rPr>
        <w:t>wider</w:t>
      </w:r>
      <w:r>
        <w:rPr>
          <w:color w:val="231F20"/>
          <w:spacing w:val="-12"/>
          <w:w w:val="105"/>
        </w:rPr>
        <w:t> </w:t>
      </w:r>
      <w:r>
        <w:rPr>
          <w:color w:val="231F20"/>
          <w:w w:val="105"/>
        </w:rPr>
        <w:t>view</w:t>
      </w:r>
      <w:r>
        <w:rPr>
          <w:color w:val="231F20"/>
          <w:spacing w:val="-12"/>
          <w:w w:val="105"/>
        </w:rPr>
        <w:t> </w:t>
      </w:r>
      <w:r>
        <w:rPr>
          <w:color w:val="231F20"/>
          <w:w w:val="105"/>
        </w:rPr>
        <w:t>of</w:t>
      </w:r>
      <w:r>
        <w:rPr>
          <w:color w:val="231F20"/>
          <w:spacing w:val="-8"/>
          <w:w w:val="105"/>
        </w:rPr>
        <w:t> </w:t>
      </w:r>
      <w:r>
        <w:rPr>
          <w:color w:val="231F20"/>
          <w:w w:val="105"/>
        </w:rPr>
        <w:t>how</w:t>
      </w:r>
      <w:r>
        <w:rPr>
          <w:color w:val="231F20"/>
          <w:spacing w:val="-12"/>
          <w:w w:val="105"/>
        </w:rPr>
        <w:t> </w:t>
      </w:r>
      <w:r>
        <w:rPr>
          <w:color w:val="231F20"/>
          <w:w w:val="105"/>
        </w:rPr>
        <w:t>different</w:t>
      </w:r>
      <w:r>
        <w:rPr>
          <w:color w:val="231F20"/>
          <w:spacing w:val="-12"/>
          <w:w w:val="105"/>
        </w:rPr>
        <w:t> </w:t>
      </w:r>
      <w:r>
        <w:rPr>
          <w:color w:val="231F20"/>
          <w:w w:val="105"/>
        </w:rPr>
        <w:t>members</w:t>
      </w:r>
      <w:r>
        <w:rPr>
          <w:color w:val="231F20"/>
          <w:spacing w:val="-12"/>
          <w:w w:val="105"/>
        </w:rPr>
        <w:t> </w:t>
      </w:r>
      <w:r>
        <w:rPr>
          <w:color w:val="231F20"/>
          <w:w w:val="105"/>
        </w:rPr>
        <w:t>of</w:t>
      </w:r>
      <w:r>
        <w:rPr>
          <w:color w:val="231F20"/>
          <w:spacing w:val="-8"/>
          <w:w w:val="105"/>
        </w:rPr>
        <w:t> </w:t>
      </w:r>
      <w:r>
        <w:rPr>
          <w:color w:val="231F20"/>
          <w:w w:val="105"/>
        </w:rPr>
        <w:t>a</w:t>
      </w:r>
      <w:r>
        <w:rPr>
          <w:color w:val="231F20"/>
          <w:spacing w:val="-12"/>
          <w:w w:val="105"/>
        </w:rPr>
        <w:t> </w:t>
      </w:r>
      <w:r>
        <w:rPr>
          <w:color w:val="231F20"/>
          <w:w w:val="105"/>
        </w:rPr>
        <w:t>transnational</w:t>
      </w:r>
      <w:r>
        <w:rPr>
          <w:color w:val="231F20"/>
          <w:spacing w:val="-12"/>
          <w:w w:val="105"/>
        </w:rPr>
        <w:t> </w:t>
      </w:r>
      <w:r>
        <w:rPr>
          <w:color w:val="231F20"/>
          <w:w w:val="105"/>
        </w:rPr>
        <w:t>network use</w:t>
      </w:r>
      <w:r>
        <w:rPr>
          <w:color w:val="231F20"/>
          <w:spacing w:val="-19"/>
          <w:w w:val="105"/>
        </w:rPr>
        <w:t> </w:t>
      </w:r>
      <w:r>
        <w:rPr>
          <w:color w:val="231F20"/>
          <w:w w:val="105"/>
        </w:rPr>
        <w:t>digital</w:t>
      </w:r>
      <w:r>
        <w:rPr>
          <w:color w:val="231F20"/>
          <w:spacing w:val="-19"/>
          <w:w w:val="105"/>
        </w:rPr>
        <w:t> </w:t>
      </w:r>
      <w:r>
        <w:rPr>
          <w:color w:val="231F20"/>
          <w:w w:val="105"/>
        </w:rPr>
        <w:t>media</w:t>
      </w:r>
      <w:r>
        <w:rPr>
          <w:color w:val="231F20"/>
          <w:spacing w:val="-19"/>
          <w:w w:val="105"/>
        </w:rPr>
        <w:t> </w:t>
      </w:r>
      <w:r>
        <w:rPr>
          <w:color w:val="231F20"/>
          <w:w w:val="105"/>
        </w:rPr>
        <w:t>to</w:t>
      </w:r>
      <w:r>
        <w:rPr>
          <w:color w:val="231F20"/>
          <w:spacing w:val="-19"/>
          <w:w w:val="105"/>
        </w:rPr>
        <w:t> </w:t>
      </w:r>
      <w:r>
        <w:rPr>
          <w:color w:val="231F20"/>
          <w:w w:val="105"/>
        </w:rPr>
        <w:t>communicate</w:t>
      </w:r>
      <w:r>
        <w:rPr>
          <w:color w:val="231F20"/>
          <w:spacing w:val="-19"/>
          <w:w w:val="105"/>
        </w:rPr>
        <w:t> </w:t>
      </w:r>
      <w:r>
        <w:rPr>
          <w:color w:val="231F20"/>
          <w:w w:val="105"/>
        </w:rPr>
        <w:t>is</w:t>
      </w:r>
      <w:r>
        <w:rPr>
          <w:color w:val="231F20"/>
          <w:spacing w:val="-19"/>
          <w:w w:val="105"/>
        </w:rPr>
        <w:t> </w:t>
      </w:r>
      <w:r>
        <w:rPr>
          <w:color w:val="231F20"/>
          <w:w w:val="105"/>
        </w:rPr>
        <w:t>necessary</w:t>
      </w:r>
      <w:r>
        <w:rPr>
          <w:color w:val="231F20"/>
          <w:spacing w:val="-19"/>
          <w:w w:val="105"/>
        </w:rPr>
        <w:t> </w:t>
      </w:r>
      <w:r>
        <w:rPr>
          <w:color w:val="231F20"/>
          <w:w w:val="105"/>
        </w:rPr>
        <w:t>to</w:t>
      </w:r>
      <w:r>
        <w:rPr>
          <w:color w:val="231F20"/>
          <w:spacing w:val="-19"/>
          <w:w w:val="105"/>
        </w:rPr>
        <w:t> </w:t>
      </w:r>
      <w:r>
        <w:rPr>
          <w:color w:val="231F20"/>
          <w:w w:val="105"/>
        </w:rPr>
        <w:t>see</w:t>
      </w:r>
      <w:r>
        <w:rPr>
          <w:color w:val="231F20"/>
          <w:spacing w:val="-19"/>
          <w:w w:val="105"/>
        </w:rPr>
        <w:t> </w:t>
      </w:r>
      <w:r>
        <w:rPr>
          <w:color w:val="231F20"/>
          <w:w w:val="105"/>
        </w:rPr>
        <w:t>the</w:t>
      </w:r>
      <w:r>
        <w:rPr>
          <w:color w:val="231F20"/>
          <w:spacing w:val="-19"/>
          <w:w w:val="105"/>
        </w:rPr>
        <w:t> </w:t>
      </w:r>
      <w:r>
        <w:rPr>
          <w:color w:val="231F20"/>
          <w:w w:val="105"/>
        </w:rPr>
        <w:t>various</w:t>
      </w:r>
      <w:r>
        <w:rPr>
          <w:color w:val="231F20"/>
          <w:spacing w:val="-19"/>
          <w:w w:val="105"/>
        </w:rPr>
        <w:t> </w:t>
      </w:r>
      <w:r>
        <w:rPr>
          <w:color w:val="231F20"/>
          <w:w w:val="105"/>
        </w:rPr>
        <w:t>ways</w:t>
      </w:r>
      <w:r>
        <w:rPr>
          <w:color w:val="231F20"/>
          <w:spacing w:val="-19"/>
          <w:w w:val="105"/>
        </w:rPr>
        <w:t> </w:t>
      </w:r>
      <w:r>
        <w:rPr>
          <w:color w:val="231F20"/>
          <w:w w:val="105"/>
        </w:rPr>
        <w:t>in which</w:t>
      </w:r>
      <w:r>
        <w:rPr>
          <w:color w:val="231F20"/>
          <w:spacing w:val="-10"/>
          <w:w w:val="105"/>
        </w:rPr>
        <w:t> </w:t>
      </w:r>
      <w:r>
        <w:rPr>
          <w:color w:val="231F20"/>
          <w:w w:val="105"/>
        </w:rPr>
        <w:t>members</w:t>
      </w:r>
      <w:r>
        <w:rPr>
          <w:color w:val="231F20"/>
          <w:spacing w:val="-10"/>
          <w:w w:val="105"/>
        </w:rPr>
        <w:t> </w:t>
      </w:r>
      <w:r>
        <w:rPr>
          <w:color w:val="231F20"/>
          <w:w w:val="105"/>
        </w:rPr>
        <w:t>maintain</w:t>
      </w:r>
      <w:r>
        <w:rPr>
          <w:color w:val="231F20"/>
          <w:spacing w:val="-10"/>
          <w:w w:val="105"/>
        </w:rPr>
        <w:t> </w:t>
      </w:r>
      <w:r>
        <w:rPr>
          <w:color w:val="231F20"/>
          <w:w w:val="105"/>
        </w:rPr>
        <w:t>their</w:t>
      </w:r>
      <w:r>
        <w:rPr>
          <w:color w:val="231F20"/>
          <w:spacing w:val="-10"/>
          <w:w w:val="105"/>
        </w:rPr>
        <w:t> </w:t>
      </w:r>
      <w:r>
        <w:rPr>
          <w:color w:val="231F20"/>
          <w:w w:val="105"/>
        </w:rPr>
        <w:t>transnationalism</w:t>
      </w:r>
      <w:r>
        <w:rPr>
          <w:color w:val="231F20"/>
          <w:spacing w:val="-10"/>
          <w:w w:val="105"/>
        </w:rPr>
        <w:t> </w:t>
      </w:r>
      <w:r>
        <w:rPr>
          <w:color w:val="231F20"/>
          <w:w w:val="105"/>
        </w:rPr>
        <w:t>regardless</w:t>
      </w:r>
      <w:r>
        <w:rPr>
          <w:color w:val="231F20"/>
          <w:spacing w:val="-10"/>
          <w:w w:val="105"/>
        </w:rPr>
        <w:t> </w:t>
      </w:r>
      <w:r>
        <w:rPr>
          <w:color w:val="231F20"/>
          <w:w w:val="105"/>
        </w:rPr>
        <w:t>of</w:t>
      </w:r>
      <w:r>
        <w:rPr>
          <w:color w:val="231F20"/>
          <w:spacing w:val="-6"/>
          <w:w w:val="105"/>
        </w:rPr>
        <w:t> </w:t>
      </w:r>
      <w:r>
        <w:rPr>
          <w:color w:val="231F20"/>
          <w:w w:val="105"/>
        </w:rPr>
        <w:t>how</w:t>
      </w:r>
      <w:r>
        <w:rPr>
          <w:color w:val="231F20"/>
          <w:spacing w:val="-10"/>
          <w:w w:val="105"/>
        </w:rPr>
        <w:t> </w:t>
      </w:r>
      <w:r>
        <w:rPr>
          <w:color w:val="231F20"/>
          <w:w w:val="105"/>
        </w:rPr>
        <w:t>much they</w:t>
      </w:r>
      <w:r>
        <w:rPr>
          <w:color w:val="231F20"/>
          <w:spacing w:val="-9"/>
          <w:w w:val="105"/>
        </w:rPr>
        <w:t> </w:t>
      </w:r>
      <w:r>
        <w:rPr>
          <w:color w:val="231F20"/>
          <w:w w:val="105"/>
        </w:rPr>
        <w:t>travel</w:t>
      </w:r>
      <w:r>
        <w:rPr>
          <w:color w:val="231F20"/>
          <w:spacing w:val="-9"/>
          <w:w w:val="105"/>
        </w:rPr>
        <w:t> </w:t>
      </w:r>
      <w:r>
        <w:rPr>
          <w:color w:val="231F20"/>
          <w:w w:val="105"/>
        </w:rPr>
        <w:t>to</w:t>
      </w:r>
      <w:r>
        <w:rPr>
          <w:color w:val="231F20"/>
          <w:spacing w:val="-9"/>
          <w:w w:val="105"/>
        </w:rPr>
        <w:t> </w:t>
      </w:r>
      <w:r>
        <w:rPr>
          <w:color w:val="231F20"/>
          <w:w w:val="105"/>
        </w:rPr>
        <w:t>the</w:t>
      </w:r>
      <w:r>
        <w:rPr>
          <w:color w:val="231F20"/>
          <w:spacing w:val="-9"/>
          <w:w w:val="105"/>
        </w:rPr>
        <w:t> </w:t>
      </w:r>
      <w:r>
        <w:rPr>
          <w:color w:val="231F20"/>
          <w:w w:val="105"/>
        </w:rPr>
        <w:t>host</w:t>
      </w:r>
      <w:r>
        <w:rPr>
          <w:color w:val="231F20"/>
          <w:spacing w:val="-9"/>
          <w:w w:val="105"/>
        </w:rPr>
        <w:t> </w:t>
      </w:r>
      <w:r>
        <w:rPr>
          <w:color w:val="231F20"/>
          <w:w w:val="105"/>
        </w:rPr>
        <w:t>or</w:t>
      </w:r>
      <w:r>
        <w:rPr>
          <w:color w:val="231F20"/>
          <w:spacing w:val="-9"/>
          <w:w w:val="105"/>
        </w:rPr>
        <w:t> </w:t>
      </w:r>
      <w:r>
        <w:rPr>
          <w:color w:val="231F20"/>
          <w:w w:val="105"/>
        </w:rPr>
        <w:t>home</w:t>
      </w:r>
      <w:r>
        <w:rPr>
          <w:color w:val="231F20"/>
          <w:spacing w:val="-9"/>
          <w:w w:val="105"/>
        </w:rPr>
        <w:t> </w:t>
      </w:r>
      <w:r>
        <w:rPr>
          <w:color w:val="231F20"/>
          <w:w w:val="105"/>
        </w:rPr>
        <w:t>country.</w:t>
      </w:r>
    </w:p>
    <w:p>
      <w:pPr>
        <w:pStyle w:val="BodyText"/>
        <w:rPr>
          <w:sz w:val="20"/>
        </w:rPr>
      </w:pPr>
    </w:p>
    <w:p>
      <w:pPr>
        <w:pStyle w:val="BodyText"/>
        <w:spacing w:before="9"/>
        <w:rPr>
          <w:sz w:val="20"/>
        </w:rPr>
      </w:pPr>
    </w:p>
    <w:p>
      <w:pPr>
        <w:pStyle w:val="Heading3"/>
      </w:pPr>
      <w:r>
        <w:rPr>
          <w:color w:val="231F20"/>
        </w:rPr>
        <w:t>Methodology</w:t>
      </w:r>
    </w:p>
    <w:p>
      <w:pPr>
        <w:pStyle w:val="BodyText"/>
        <w:rPr>
          <w:rFonts w:ascii="Arial"/>
          <w:b/>
          <w:sz w:val="22"/>
        </w:rPr>
      </w:pPr>
    </w:p>
    <w:p>
      <w:pPr>
        <w:pStyle w:val="BodyText"/>
        <w:spacing w:line="261" w:lineRule="auto" w:before="163"/>
        <w:ind w:left="1837" w:right="1715"/>
        <w:jc w:val="both"/>
      </w:pPr>
      <w:r>
        <w:rPr/>
        <w:pict>
          <v:line style="position:absolute;mso-position-horizontal-relative:page;mso-position-vertical-relative:paragraph;z-index:-448168" from="15pt,197.431885pt" to="0pt,197.431885pt" stroked="true" strokeweight=".25pt" strokecolor="#000000">
            <w10:wrap type="none"/>
          </v:line>
        </w:pict>
      </w:r>
      <w:r>
        <w:rPr/>
        <w:pict>
          <v:line style="position:absolute;mso-position-horizontal-relative:page;mso-position-vertical-relative:paragraph;z-index:42040" from="508.890015pt,197.431885pt" to="523.890015pt,197.431885pt" stroked="true" strokeweight=".25pt" strokecolor="#000000">
            <w10:wrap type="none"/>
          </v:line>
        </w:pict>
      </w:r>
      <w:r>
        <w:rPr>
          <w:color w:val="231F20"/>
          <w:w w:val="105"/>
        </w:rPr>
        <w:t>This study is part of a larger ethnographic study of young members of</w:t>
      </w:r>
      <w:r>
        <w:rPr>
          <w:color w:val="231F20"/>
          <w:spacing w:val="-17"/>
          <w:w w:val="105"/>
        </w:rPr>
        <w:t> </w:t>
      </w:r>
      <w:r>
        <w:rPr>
          <w:color w:val="231F20"/>
          <w:w w:val="105"/>
        </w:rPr>
        <w:t>a transnational social network of Mexican bilinguals that was carried out between</w:t>
      </w:r>
      <w:r>
        <w:rPr>
          <w:color w:val="231F20"/>
          <w:spacing w:val="-29"/>
          <w:w w:val="105"/>
        </w:rPr>
        <w:t> </w:t>
      </w:r>
      <w:r>
        <w:rPr>
          <w:color w:val="231F20"/>
          <w:w w:val="105"/>
        </w:rPr>
        <w:t>2011</w:t>
      </w:r>
      <w:r>
        <w:rPr>
          <w:color w:val="231F20"/>
          <w:spacing w:val="-29"/>
          <w:w w:val="105"/>
        </w:rPr>
        <w:t> </w:t>
      </w:r>
      <w:r>
        <w:rPr>
          <w:color w:val="231F20"/>
          <w:w w:val="105"/>
        </w:rPr>
        <w:t>and</w:t>
      </w:r>
      <w:r>
        <w:rPr>
          <w:color w:val="231F20"/>
          <w:spacing w:val="-29"/>
          <w:w w:val="105"/>
        </w:rPr>
        <w:t> </w:t>
      </w:r>
      <w:r>
        <w:rPr>
          <w:color w:val="231F20"/>
          <w:w w:val="105"/>
        </w:rPr>
        <w:t>2013</w:t>
      </w:r>
      <w:r>
        <w:rPr>
          <w:color w:val="231F20"/>
          <w:spacing w:val="-29"/>
          <w:w w:val="105"/>
        </w:rPr>
        <w:t> </w:t>
      </w:r>
      <w:r>
        <w:rPr>
          <w:color w:val="231F20"/>
          <w:w w:val="105"/>
        </w:rPr>
        <w:t>(Christiansen,</w:t>
      </w:r>
      <w:r>
        <w:rPr>
          <w:color w:val="231F20"/>
          <w:spacing w:val="-33"/>
          <w:w w:val="105"/>
        </w:rPr>
        <w:t> </w:t>
      </w:r>
      <w:r>
        <w:rPr>
          <w:color w:val="231F20"/>
          <w:w w:val="105"/>
        </w:rPr>
        <w:t>2013,</w:t>
      </w:r>
      <w:r>
        <w:rPr>
          <w:color w:val="231F20"/>
          <w:spacing w:val="-33"/>
          <w:w w:val="105"/>
        </w:rPr>
        <w:t> </w:t>
      </w:r>
      <w:r>
        <w:rPr>
          <w:color w:val="231F20"/>
          <w:w w:val="105"/>
        </w:rPr>
        <w:t>2015a,</w:t>
      </w:r>
      <w:r>
        <w:rPr>
          <w:color w:val="231F20"/>
          <w:spacing w:val="-33"/>
          <w:w w:val="105"/>
        </w:rPr>
        <w:t> </w:t>
      </w:r>
      <w:r>
        <w:rPr>
          <w:color w:val="231F20"/>
          <w:w w:val="105"/>
        </w:rPr>
        <w:t>2015b).</w:t>
      </w:r>
      <w:r>
        <w:rPr>
          <w:color w:val="231F20"/>
          <w:spacing w:val="-33"/>
          <w:w w:val="105"/>
        </w:rPr>
        <w:t> </w:t>
      </w:r>
      <w:r>
        <w:rPr>
          <w:color w:val="231F20"/>
          <w:w w:val="105"/>
        </w:rPr>
        <w:t>In</w:t>
      </w:r>
      <w:r>
        <w:rPr>
          <w:color w:val="231F20"/>
          <w:spacing w:val="-29"/>
          <w:w w:val="105"/>
        </w:rPr>
        <w:t> </w:t>
      </w:r>
      <w:r>
        <w:rPr>
          <w:color w:val="231F20"/>
          <w:w w:val="105"/>
        </w:rPr>
        <w:t>this</w:t>
      </w:r>
      <w:r>
        <w:rPr>
          <w:color w:val="231F20"/>
          <w:spacing w:val="-29"/>
          <w:w w:val="105"/>
        </w:rPr>
        <w:t> </w:t>
      </w:r>
      <w:r>
        <w:rPr>
          <w:color w:val="231F20"/>
          <w:w w:val="105"/>
        </w:rPr>
        <w:t>study, I</w:t>
      </w:r>
      <w:r>
        <w:rPr>
          <w:color w:val="231F20"/>
          <w:spacing w:val="-4"/>
          <w:w w:val="105"/>
        </w:rPr>
        <w:t> </w:t>
      </w:r>
      <w:r>
        <w:rPr>
          <w:color w:val="231F20"/>
          <w:w w:val="105"/>
        </w:rPr>
        <w:t>take</w:t>
      </w:r>
      <w:r>
        <w:rPr>
          <w:color w:val="231F20"/>
          <w:spacing w:val="-4"/>
          <w:w w:val="105"/>
        </w:rPr>
        <w:t> </w:t>
      </w:r>
      <w:r>
        <w:rPr>
          <w:color w:val="231F20"/>
          <w:w w:val="105"/>
        </w:rPr>
        <w:t>a</w:t>
      </w:r>
      <w:r>
        <w:rPr>
          <w:color w:val="231F20"/>
          <w:spacing w:val="-4"/>
          <w:w w:val="105"/>
        </w:rPr>
        <w:t> </w:t>
      </w:r>
      <w:r>
        <w:rPr>
          <w:color w:val="231F20"/>
          <w:w w:val="105"/>
        </w:rPr>
        <w:t>social</w:t>
      </w:r>
      <w:r>
        <w:rPr>
          <w:color w:val="231F20"/>
          <w:spacing w:val="-4"/>
          <w:w w:val="105"/>
        </w:rPr>
        <w:t> </w:t>
      </w:r>
      <w:r>
        <w:rPr>
          <w:color w:val="231F20"/>
          <w:w w:val="105"/>
        </w:rPr>
        <w:t>network</w:t>
      </w:r>
      <w:r>
        <w:rPr>
          <w:color w:val="231F20"/>
          <w:spacing w:val="-4"/>
          <w:w w:val="105"/>
        </w:rPr>
        <w:t> </w:t>
      </w:r>
      <w:r>
        <w:rPr>
          <w:color w:val="231F20"/>
          <w:w w:val="105"/>
        </w:rPr>
        <w:t>approach</w:t>
      </w:r>
      <w:r>
        <w:rPr>
          <w:color w:val="231F20"/>
          <w:spacing w:val="-4"/>
          <w:w w:val="105"/>
        </w:rPr>
        <w:t> </w:t>
      </w:r>
      <w:r>
        <w:rPr>
          <w:color w:val="231F20"/>
          <w:w w:val="105"/>
        </w:rPr>
        <w:t>(Milroy,</w:t>
      </w:r>
      <w:r>
        <w:rPr>
          <w:color w:val="231F20"/>
          <w:spacing w:val="-9"/>
          <w:w w:val="105"/>
        </w:rPr>
        <w:t> </w:t>
      </w:r>
      <w:r>
        <w:rPr>
          <w:color w:val="231F20"/>
          <w:w w:val="105"/>
        </w:rPr>
        <w:t>2002)</w:t>
      </w:r>
      <w:r>
        <w:rPr>
          <w:color w:val="231F20"/>
          <w:spacing w:val="-4"/>
          <w:w w:val="105"/>
        </w:rPr>
        <w:t> </w:t>
      </w:r>
      <w:r>
        <w:rPr>
          <w:color w:val="231F20"/>
          <w:w w:val="105"/>
        </w:rPr>
        <w:t>in</w:t>
      </w:r>
      <w:r>
        <w:rPr>
          <w:color w:val="231F20"/>
          <w:spacing w:val="-4"/>
          <w:w w:val="105"/>
        </w:rPr>
        <w:t> </w:t>
      </w:r>
      <w:r>
        <w:rPr>
          <w:color w:val="231F20"/>
          <w:w w:val="105"/>
        </w:rPr>
        <w:t>order</w:t>
      </w:r>
      <w:r>
        <w:rPr>
          <w:color w:val="231F20"/>
          <w:spacing w:val="-4"/>
          <w:w w:val="105"/>
        </w:rPr>
        <w:t> </w:t>
      </w:r>
      <w:r>
        <w:rPr>
          <w:color w:val="231F20"/>
          <w:w w:val="105"/>
        </w:rPr>
        <w:t>to</w:t>
      </w:r>
      <w:r>
        <w:rPr>
          <w:color w:val="231F20"/>
          <w:spacing w:val="-4"/>
          <w:w w:val="105"/>
        </w:rPr>
        <w:t> </w:t>
      </w:r>
      <w:r>
        <w:rPr>
          <w:color w:val="231F20"/>
          <w:w w:val="105"/>
        </w:rPr>
        <w:t>contextualize the discourse practices that each member has with one another via di- gital media. The focal transnational social network in this study resides in Chicago and in a “</w:t>
      </w:r>
      <w:r>
        <w:rPr>
          <w:rFonts w:ascii="Arial" w:hAnsi="Arial"/>
          <w:i/>
          <w:color w:val="231F20"/>
          <w:w w:val="105"/>
        </w:rPr>
        <w:t>rancho</w:t>
      </w:r>
      <w:r>
        <w:rPr>
          <w:color w:val="231F20"/>
          <w:w w:val="105"/>
        </w:rPr>
        <w:t>” in Michoacán, Mexico. There are about 70 members of different ages: from grand and great-grand parent genera- tion</w:t>
      </w:r>
      <w:r>
        <w:rPr>
          <w:color w:val="231F20"/>
          <w:spacing w:val="-10"/>
          <w:w w:val="105"/>
        </w:rPr>
        <w:t> </w:t>
      </w:r>
      <w:r>
        <w:rPr>
          <w:color w:val="231F20"/>
          <w:w w:val="105"/>
        </w:rPr>
        <w:t>(immigrants)</w:t>
      </w:r>
      <w:r>
        <w:rPr>
          <w:color w:val="231F20"/>
          <w:spacing w:val="-10"/>
          <w:w w:val="105"/>
        </w:rPr>
        <w:t> </w:t>
      </w:r>
      <w:r>
        <w:rPr>
          <w:color w:val="231F20"/>
          <w:w w:val="105"/>
        </w:rPr>
        <w:t>to</w:t>
      </w:r>
      <w:r>
        <w:rPr>
          <w:color w:val="231F20"/>
          <w:spacing w:val="-10"/>
          <w:w w:val="105"/>
        </w:rPr>
        <w:t> </w:t>
      </w:r>
      <w:r>
        <w:rPr>
          <w:color w:val="231F20"/>
          <w:w w:val="105"/>
        </w:rPr>
        <w:t>third</w:t>
      </w:r>
      <w:r>
        <w:rPr>
          <w:color w:val="231F20"/>
          <w:spacing w:val="-10"/>
          <w:w w:val="105"/>
        </w:rPr>
        <w:t> </w:t>
      </w:r>
      <w:r>
        <w:rPr>
          <w:color w:val="231F20"/>
          <w:w w:val="105"/>
        </w:rPr>
        <w:t>generation</w:t>
      </w:r>
      <w:r>
        <w:rPr>
          <w:color w:val="231F20"/>
          <w:spacing w:val="-10"/>
          <w:w w:val="105"/>
        </w:rPr>
        <w:t> </w:t>
      </w:r>
      <w:r>
        <w:rPr>
          <w:color w:val="231F20"/>
          <w:w w:val="105"/>
        </w:rPr>
        <w:t>babies</w:t>
      </w:r>
      <w:r>
        <w:rPr>
          <w:color w:val="231F20"/>
          <w:spacing w:val="-10"/>
          <w:w w:val="105"/>
        </w:rPr>
        <w:t> </w:t>
      </w:r>
      <w:r>
        <w:rPr>
          <w:color w:val="231F20"/>
          <w:w w:val="105"/>
        </w:rPr>
        <w:t>(U.S.</w:t>
      </w:r>
      <w:r>
        <w:rPr>
          <w:color w:val="231F20"/>
          <w:spacing w:val="-15"/>
          <w:w w:val="105"/>
        </w:rPr>
        <w:t> </w:t>
      </w:r>
      <w:r>
        <w:rPr>
          <w:color w:val="231F20"/>
          <w:w w:val="105"/>
        </w:rPr>
        <w:t>born).</w:t>
      </w:r>
      <w:r>
        <w:rPr>
          <w:color w:val="231F20"/>
          <w:spacing w:val="-19"/>
          <w:w w:val="105"/>
        </w:rPr>
        <w:t> </w:t>
      </w:r>
      <w:r>
        <w:rPr>
          <w:color w:val="231F20"/>
          <w:w w:val="105"/>
        </w:rPr>
        <w:t>There</w:t>
      </w:r>
      <w:r>
        <w:rPr>
          <w:color w:val="231F20"/>
          <w:spacing w:val="-10"/>
          <w:w w:val="105"/>
        </w:rPr>
        <w:t> </w:t>
      </w:r>
      <w:r>
        <w:rPr>
          <w:color w:val="231F20"/>
          <w:w w:val="105"/>
        </w:rPr>
        <w:t>are</w:t>
      </w:r>
      <w:r>
        <w:rPr>
          <w:color w:val="231F20"/>
          <w:spacing w:val="-10"/>
          <w:w w:val="105"/>
        </w:rPr>
        <w:t> </w:t>
      </w:r>
      <w:r>
        <w:rPr>
          <w:color w:val="231F20"/>
          <w:w w:val="105"/>
        </w:rPr>
        <w:t>mem-</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9"/>
        <w:jc w:val="both"/>
      </w:pPr>
      <w:r>
        <w:rPr/>
        <w:pict>
          <v:line style="position:absolute;mso-position-horizontal-relative:page;mso-position-vertical-relative:paragraph;z-index:42088" from="15pt,-71.68644pt" to="0pt,-71.68644pt" stroked="true" strokeweight=".25pt" strokecolor="#000000">
            <w10:wrap type="none"/>
          </v:line>
        </w:pict>
      </w:r>
      <w:r>
        <w:rPr/>
        <w:pict>
          <v:line style="position:absolute;mso-position-horizontal-relative:page;mso-position-vertical-relative:paragraph;z-index:42112" from="508.890015pt,-71.68644pt" to="523.890015pt,-71.68644pt" stroked="true" strokeweight=".25pt" strokecolor="#000000">
            <w10:wrap type="none"/>
          </v:line>
        </w:pict>
      </w:r>
      <w:r>
        <w:rPr>
          <w:color w:val="231F20"/>
          <w:w w:val="105"/>
        </w:rPr>
        <w:t>bers of different households. Some of these households are of blood relatives (e.g. siblings, cousins), but other households are ‘political’ re- latives (e.g. in-law relatives). Although the oldest members of the</w:t>
      </w:r>
      <w:r>
        <w:rPr>
          <w:color w:val="231F20"/>
          <w:spacing w:val="-20"/>
          <w:w w:val="105"/>
        </w:rPr>
        <w:t> </w:t>
      </w:r>
      <w:r>
        <w:rPr>
          <w:color w:val="231F20"/>
          <w:w w:val="105"/>
        </w:rPr>
        <w:t>social network spend large amounts of time in both countries, many younger members</w:t>
      </w:r>
      <w:r>
        <w:rPr>
          <w:color w:val="231F20"/>
          <w:spacing w:val="-15"/>
          <w:w w:val="105"/>
        </w:rPr>
        <w:t> </w:t>
      </w:r>
      <w:r>
        <w:rPr>
          <w:color w:val="231F20"/>
          <w:w w:val="105"/>
        </w:rPr>
        <w:t>only</w:t>
      </w:r>
      <w:r>
        <w:rPr>
          <w:color w:val="231F20"/>
          <w:spacing w:val="-15"/>
          <w:w w:val="105"/>
        </w:rPr>
        <w:t> </w:t>
      </w:r>
      <w:r>
        <w:rPr>
          <w:color w:val="231F20"/>
          <w:w w:val="105"/>
        </w:rPr>
        <w:t>visit</w:t>
      </w:r>
      <w:r>
        <w:rPr>
          <w:color w:val="231F20"/>
          <w:spacing w:val="-15"/>
          <w:w w:val="105"/>
        </w:rPr>
        <w:t> </w:t>
      </w:r>
      <w:r>
        <w:rPr>
          <w:color w:val="231F20"/>
          <w:w w:val="105"/>
        </w:rPr>
        <w:t>Mexico</w:t>
      </w:r>
      <w:r>
        <w:rPr>
          <w:color w:val="231F20"/>
          <w:spacing w:val="-15"/>
          <w:w w:val="105"/>
        </w:rPr>
        <w:t> </w:t>
      </w:r>
      <w:r>
        <w:rPr>
          <w:color w:val="231F20"/>
          <w:w w:val="105"/>
        </w:rPr>
        <w:t>occasionally</w:t>
      </w:r>
      <w:r>
        <w:rPr>
          <w:color w:val="231F20"/>
          <w:spacing w:val="-15"/>
          <w:w w:val="105"/>
        </w:rPr>
        <w:t> </w:t>
      </w:r>
      <w:r>
        <w:rPr>
          <w:color w:val="231F20"/>
          <w:w w:val="105"/>
        </w:rPr>
        <w:t>as</w:t>
      </w:r>
      <w:r>
        <w:rPr>
          <w:color w:val="231F20"/>
          <w:spacing w:val="-15"/>
          <w:w w:val="105"/>
        </w:rPr>
        <w:t> </w:t>
      </w:r>
      <w:r>
        <w:rPr>
          <w:color w:val="231F20"/>
          <w:w w:val="105"/>
        </w:rPr>
        <w:t>they</w:t>
      </w:r>
      <w:r>
        <w:rPr>
          <w:color w:val="231F20"/>
          <w:spacing w:val="-15"/>
          <w:w w:val="105"/>
        </w:rPr>
        <w:t> </w:t>
      </w:r>
      <w:r>
        <w:rPr>
          <w:color w:val="231F20"/>
          <w:w w:val="105"/>
        </w:rPr>
        <w:t>have</w:t>
      </w:r>
      <w:r>
        <w:rPr>
          <w:color w:val="231F20"/>
          <w:spacing w:val="-15"/>
          <w:w w:val="105"/>
        </w:rPr>
        <w:t> </w:t>
      </w:r>
      <w:r>
        <w:rPr>
          <w:color w:val="231F20"/>
          <w:w w:val="105"/>
        </w:rPr>
        <w:t>economic</w:t>
      </w:r>
      <w:r>
        <w:rPr>
          <w:color w:val="231F20"/>
          <w:spacing w:val="-15"/>
          <w:w w:val="105"/>
        </w:rPr>
        <w:t> </w:t>
      </w:r>
      <w:r>
        <w:rPr>
          <w:color w:val="231F20"/>
          <w:w w:val="105"/>
        </w:rPr>
        <w:t>and</w:t>
      </w:r>
      <w:r>
        <w:rPr>
          <w:color w:val="231F20"/>
          <w:spacing w:val="-15"/>
          <w:w w:val="105"/>
        </w:rPr>
        <w:t> </w:t>
      </w:r>
      <w:r>
        <w:rPr>
          <w:color w:val="231F20"/>
          <w:w w:val="105"/>
        </w:rPr>
        <w:t>time constrains due to school and work commitments (all are documented). It is these restrictions along with changes in communication technolo- gies that have modified the interaction of members with each other and their families in Mexico. Until recently, communication among</w:t>
      </w:r>
      <w:r>
        <w:rPr>
          <w:color w:val="231F20"/>
          <w:spacing w:val="-28"/>
          <w:w w:val="105"/>
        </w:rPr>
        <w:t> </w:t>
      </w:r>
      <w:r>
        <w:rPr>
          <w:color w:val="231F20"/>
          <w:w w:val="105"/>
        </w:rPr>
        <w:t>members of</w:t>
      </w:r>
      <w:r>
        <w:rPr>
          <w:color w:val="231F20"/>
          <w:spacing w:val="-5"/>
          <w:w w:val="105"/>
        </w:rPr>
        <w:t> </w:t>
      </w:r>
      <w:r>
        <w:rPr>
          <w:color w:val="231F20"/>
          <w:w w:val="105"/>
        </w:rPr>
        <w:t>this</w:t>
      </w:r>
      <w:r>
        <w:rPr>
          <w:color w:val="231F20"/>
          <w:spacing w:val="-10"/>
          <w:w w:val="105"/>
        </w:rPr>
        <w:t> </w:t>
      </w:r>
      <w:r>
        <w:rPr>
          <w:color w:val="231F20"/>
          <w:w w:val="105"/>
        </w:rPr>
        <w:t>and</w:t>
      </w:r>
      <w:r>
        <w:rPr>
          <w:color w:val="231F20"/>
          <w:spacing w:val="-10"/>
          <w:w w:val="105"/>
        </w:rPr>
        <w:t> </w:t>
      </w:r>
      <w:r>
        <w:rPr>
          <w:color w:val="231F20"/>
          <w:w w:val="105"/>
        </w:rPr>
        <w:t>other</w:t>
      </w:r>
      <w:r>
        <w:rPr>
          <w:color w:val="231F20"/>
          <w:spacing w:val="-10"/>
          <w:w w:val="105"/>
        </w:rPr>
        <w:t> </w:t>
      </w:r>
      <w:r>
        <w:rPr>
          <w:color w:val="231F20"/>
          <w:w w:val="105"/>
        </w:rPr>
        <w:t>transnational</w:t>
      </w:r>
      <w:r>
        <w:rPr>
          <w:color w:val="231F20"/>
          <w:spacing w:val="-10"/>
          <w:w w:val="105"/>
        </w:rPr>
        <w:t> </w:t>
      </w:r>
      <w:r>
        <w:rPr>
          <w:color w:val="231F20"/>
          <w:w w:val="105"/>
        </w:rPr>
        <w:t>communities</w:t>
      </w:r>
      <w:r>
        <w:rPr>
          <w:color w:val="231F20"/>
          <w:spacing w:val="-10"/>
          <w:w w:val="105"/>
        </w:rPr>
        <w:t> </w:t>
      </w:r>
      <w:r>
        <w:rPr>
          <w:color w:val="231F20"/>
          <w:w w:val="105"/>
        </w:rPr>
        <w:t>was</w:t>
      </w:r>
      <w:r>
        <w:rPr>
          <w:color w:val="231F20"/>
          <w:spacing w:val="-10"/>
          <w:w w:val="105"/>
        </w:rPr>
        <w:t> </w:t>
      </w:r>
      <w:r>
        <w:rPr>
          <w:color w:val="231F20"/>
          <w:w w:val="105"/>
        </w:rPr>
        <w:t>possible</w:t>
      </w:r>
      <w:r>
        <w:rPr>
          <w:color w:val="231F20"/>
          <w:spacing w:val="-10"/>
          <w:w w:val="105"/>
        </w:rPr>
        <w:t> </w:t>
      </w:r>
      <w:r>
        <w:rPr>
          <w:color w:val="231F20"/>
          <w:w w:val="105"/>
        </w:rPr>
        <w:t>through</w:t>
      </w:r>
      <w:r>
        <w:rPr>
          <w:color w:val="231F20"/>
          <w:spacing w:val="-10"/>
          <w:w w:val="105"/>
        </w:rPr>
        <w:t> </w:t>
      </w:r>
      <w:r>
        <w:rPr>
          <w:color w:val="231F20"/>
          <w:w w:val="105"/>
        </w:rPr>
        <w:t>phone calls,</w:t>
      </w:r>
      <w:r>
        <w:rPr>
          <w:color w:val="231F20"/>
          <w:spacing w:val="-9"/>
          <w:w w:val="105"/>
        </w:rPr>
        <w:t> </w:t>
      </w:r>
      <w:r>
        <w:rPr>
          <w:color w:val="231F20"/>
          <w:w w:val="105"/>
        </w:rPr>
        <w:t>radio</w:t>
      </w:r>
      <w:r>
        <w:rPr>
          <w:color w:val="231F20"/>
          <w:spacing w:val="-3"/>
          <w:w w:val="105"/>
        </w:rPr>
        <w:t> </w:t>
      </w:r>
      <w:r>
        <w:rPr>
          <w:color w:val="231F20"/>
          <w:w w:val="105"/>
        </w:rPr>
        <w:t>services,</w:t>
      </w:r>
      <w:r>
        <w:rPr>
          <w:color w:val="231F20"/>
          <w:spacing w:val="-9"/>
          <w:w w:val="105"/>
        </w:rPr>
        <w:t> </w:t>
      </w:r>
      <w:r>
        <w:rPr>
          <w:color w:val="231F20"/>
          <w:w w:val="105"/>
        </w:rPr>
        <w:t>and</w:t>
      </w:r>
      <w:r>
        <w:rPr>
          <w:color w:val="231F20"/>
          <w:spacing w:val="-3"/>
          <w:w w:val="105"/>
        </w:rPr>
        <w:t> </w:t>
      </w:r>
      <w:r>
        <w:rPr>
          <w:color w:val="231F20"/>
          <w:w w:val="105"/>
        </w:rPr>
        <w:t>simple</w:t>
      </w:r>
      <w:r>
        <w:rPr>
          <w:color w:val="231F20"/>
          <w:spacing w:val="-3"/>
          <w:w w:val="105"/>
        </w:rPr>
        <w:t> </w:t>
      </w:r>
      <w:r>
        <w:rPr>
          <w:color w:val="231F20"/>
          <w:w w:val="105"/>
        </w:rPr>
        <w:t>letter</w:t>
      </w:r>
      <w:r>
        <w:rPr>
          <w:color w:val="231F20"/>
          <w:spacing w:val="-3"/>
          <w:w w:val="105"/>
        </w:rPr>
        <w:t> </w:t>
      </w:r>
      <w:r>
        <w:rPr>
          <w:color w:val="231F20"/>
          <w:w w:val="105"/>
        </w:rPr>
        <w:t>writing.</w:t>
      </w:r>
      <w:r>
        <w:rPr>
          <w:color w:val="231F20"/>
          <w:spacing w:val="-9"/>
          <w:w w:val="105"/>
        </w:rPr>
        <w:t> </w:t>
      </w:r>
      <w:r>
        <w:rPr>
          <w:color w:val="231F20"/>
          <w:w w:val="105"/>
        </w:rPr>
        <w:t>Nowadays,</w:t>
      </w:r>
      <w:r>
        <w:rPr>
          <w:color w:val="231F20"/>
          <w:spacing w:val="-9"/>
          <w:w w:val="105"/>
        </w:rPr>
        <w:t> </w:t>
      </w:r>
      <w:r>
        <w:rPr>
          <w:color w:val="231F20"/>
          <w:w w:val="105"/>
        </w:rPr>
        <w:t>these</w:t>
      </w:r>
      <w:r>
        <w:rPr>
          <w:color w:val="231F20"/>
          <w:spacing w:val="-3"/>
          <w:w w:val="105"/>
        </w:rPr>
        <w:t> </w:t>
      </w:r>
      <w:r>
        <w:rPr>
          <w:color w:val="231F20"/>
          <w:w w:val="105"/>
        </w:rPr>
        <w:t>popula- tions</w:t>
      </w:r>
      <w:r>
        <w:rPr>
          <w:color w:val="231F20"/>
          <w:spacing w:val="-6"/>
          <w:w w:val="105"/>
        </w:rPr>
        <w:t> </w:t>
      </w:r>
      <w:r>
        <w:rPr>
          <w:color w:val="231F20"/>
          <w:w w:val="105"/>
        </w:rPr>
        <w:t>communicate</w:t>
      </w:r>
      <w:r>
        <w:rPr>
          <w:color w:val="231F20"/>
          <w:spacing w:val="-6"/>
          <w:w w:val="105"/>
        </w:rPr>
        <w:t> </w:t>
      </w:r>
      <w:r>
        <w:rPr>
          <w:color w:val="231F20"/>
          <w:w w:val="105"/>
        </w:rPr>
        <w:t>through</w:t>
      </w:r>
      <w:r>
        <w:rPr>
          <w:color w:val="231F20"/>
          <w:spacing w:val="-6"/>
          <w:w w:val="105"/>
        </w:rPr>
        <w:t> </w:t>
      </w:r>
      <w:r>
        <w:rPr>
          <w:color w:val="231F20"/>
          <w:w w:val="105"/>
        </w:rPr>
        <w:t>their</w:t>
      </w:r>
      <w:r>
        <w:rPr>
          <w:color w:val="231F20"/>
          <w:spacing w:val="-6"/>
          <w:w w:val="105"/>
        </w:rPr>
        <w:t> </w:t>
      </w:r>
      <w:r>
        <w:rPr>
          <w:color w:val="231F20"/>
          <w:w w:val="105"/>
        </w:rPr>
        <w:t>computers,</w:t>
      </w:r>
      <w:r>
        <w:rPr>
          <w:color w:val="231F20"/>
          <w:spacing w:val="-12"/>
          <w:w w:val="105"/>
        </w:rPr>
        <w:t> </w:t>
      </w:r>
      <w:r>
        <w:rPr>
          <w:color w:val="231F20"/>
          <w:w w:val="105"/>
        </w:rPr>
        <w:t>tablets,</w:t>
      </w:r>
      <w:r>
        <w:rPr>
          <w:color w:val="231F20"/>
          <w:spacing w:val="-12"/>
          <w:w w:val="105"/>
        </w:rPr>
        <w:t> </w:t>
      </w:r>
      <w:r>
        <w:rPr>
          <w:color w:val="231F20"/>
          <w:w w:val="105"/>
        </w:rPr>
        <w:t>and</w:t>
      </w:r>
      <w:r>
        <w:rPr>
          <w:color w:val="231F20"/>
          <w:spacing w:val="-6"/>
          <w:w w:val="105"/>
        </w:rPr>
        <w:t> </w:t>
      </w:r>
      <w:r>
        <w:rPr>
          <w:color w:val="231F20"/>
          <w:w w:val="105"/>
        </w:rPr>
        <w:t>mobile</w:t>
      </w:r>
      <w:r>
        <w:rPr>
          <w:color w:val="231F20"/>
          <w:spacing w:val="-6"/>
          <w:w w:val="105"/>
        </w:rPr>
        <w:t> </w:t>
      </w:r>
      <w:r>
        <w:rPr>
          <w:color w:val="231F20"/>
          <w:w w:val="105"/>
        </w:rPr>
        <w:t>phones using</w:t>
      </w:r>
      <w:r>
        <w:rPr>
          <w:color w:val="231F20"/>
          <w:spacing w:val="-21"/>
          <w:w w:val="105"/>
        </w:rPr>
        <w:t> </w:t>
      </w:r>
      <w:r>
        <w:rPr>
          <w:color w:val="231F20"/>
          <w:w w:val="105"/>
        </w:rPr>
        <w:t>a</w:t>
      </w:r>
      <w:r>
        <w:rPr>
          <w:color w:val="231F20"/>
          <w:spacing w:val="-21"/>
          <w:w w:val="105"/>
        </w:rPr>
        <w:t> </w:t>
      </w:r>
      <w:r>
        <w:rPr>
          <w:color w:val="231F20"/>
          <w:w w:val="105"/>
        </w:rPr>
        <w:t>mixture</w:t>
      </w:r>
      <w:r>
        <w:rPr>
          <w:color w:val="231F20"/>
          <w:spacing w:val="-21"/>
          <w:w w:val="105"/>
        </w:rPr>
        <w:t> </w:t>
      </w:r>
      <w:r>
        <w:rPr>
          <w:color w:val="231F20"/>
          <w:w w:val="105"/>
        </w:rPr>
        <w:t>of</w:t>
      </w:r>
      <w:r>
        <w:rPr>
          <w:color w:val="231F20"/>
          <w:spacing w:val="-17"/>
          <w:w w:val="105"/>
        </w:rPr>
        <w:t> </w:t>
      </w:r>
      <w:r>
        <w:rPr>
          <w:color w:val="231F20"/>
          <w:w w:val="105"/>
        </w:rPr>
        <w:t>digital</w:t>
      </w:r>
      <w:r>
        <w:rPr>
          <w:color w:val="231F20"/>
          <w:spacing w:val="-21"/>
          <w:w w:val="105"/>
        </w:rPr>
        <w:t> </w:t>
      </w:r>
      <w:r>
        <w:rPr>
          <w:color w:val="231F20"/>
          <w:w w:val="105"/>
        </w:rPr>
        <w:t>platforms</w:t>
      </w:r>
      <w:r>
        <w:rPr>
          <w:color w:val="231F20"/>
          <w:spacing w:val="-21"/>
          <w:w w:val="105"/>
        </w:rPr>
        <w:t> </w:t>
      </w:r>
      <w:r>
        <w:rPr>
          <w:color w:val="231F20"/>
          <w:w w:val="105"/>
        </w:rPr>
        <w:t>such</w:t>
      </w:r>
      <w:r>
        <w:rPr>
          <w:color w:val="231F20"/>
          <w:spacing w:val="-21"/>
          <w:w w:val="105"/>
        </w:rPr>
        <w:t> </w:t>
      </w:r>
      <w:r>
        <w:rPr>
          <w:color w:val="231F20"/>
          <w:w w:val="105"/>
        </w:rPr>
        <w:t>as</w:t>
      </w:r>
      <w:r>
        <w:rPr>
          <w:color w:val="231F20"/>
          <w:spacing w:val="-21"/>
          <w:w w:val="105"/>
        </w:rPr>
        <w:t> </w:t>
      </w:r>
      <w:r>
        <w:rPr>
          <w:color w:val="231F20"/>
          <w:w w:val="105"/>
        </w:rPr>
        <w:t>Facebook</w:t>
      </w:r>
      <w:r>
        <w:rPr>
          <w:color w:val="231F20"/>
          <w:spacing w:val="-21"/>
          <w:w w:val="105"/>
        </w:rPr>
        <w:t> </w:t>
      </w:r>
      <w:r>
        <w:rPr>
          <w:color w:val="231F20"/>
          <w:w w:val="105"/>
        </w:rPr>
        <w:t>and</w:t>
      </w:r>
      <w:r>
        <w:rPr>
          <w:color w:val="231F20"/>
          <w:spacing w:val="-21"/>
          <w:w w:val="105"/>
        </w:rPr>
        <w:t> </w:t>
      </w:r>
      <w:r>
        <w:rPr>
          <w:color w:val="231F20"/>
          <w:w w:val="105"/>
        </w:rPr>
        <w:t>Instagram,</w:t>
      </w:r>
      <w:r>
        <w:rPr>
          <w:color w:val="231F20"/>
          <w:spacing w:val="-25"/>
          <w:w w:val="105"/>
        </w:rPr>
        <w:t> </w:t>
      </w:r>
      <w:r>
        <w:rPr>
          <w:color w:val="231F20"/>
          <w:w w:val="105"/>
        </w:rPr>
        <w:t>and mobile</w:t>
      </w:r>
      <w:r>
        <w:rPr>
          <w:color w:val="231F20"/>
          <w:spacing w:val="-7"/>
          <w:w w:val="105"/>
        </w:rPr>
        <w:t> </w:t>
      </w:r>
      <w:r>
        <w:rPr>
          <w:color w:val="231F20"/>
          <w:w w:val="105"/>
        </w:rPr>
        <w:t>applications</w:t>
      </w:r>
      <w:r>
        <w:rPr>
          <w:color w:val="231F20"/>
          <w:spacing w:val="-7"/>
          <w:w w:val="105"/>
        </w:rPr>
        <w:t> </w:t>
      </w:r>
      <w:r>
        <w:rPr>
          <w:color w:val="231F20"/>
          <w:w w:val="105"/>
        </w:rPr>
        <w:t>such</w:t>
      </w:r>
      <w:r>
        <w:rPr>
          <w:color w:val="231F20"/>
          <w:spacing w:val="-7"/>
          <w:w w:val="105"/>
        </w:rPr>
        <w:t> </w:t>
      </w:r>
      <w:r>
        <w:rPr>
          <w:color w:val="231F20"/>
          <w:w w:val="105"/>
        </w:rPr>
        <w:t>as</w:t>
      </w:r>
      <w:r>
        <w:rPr>
          <w:color w:val="231F20"/>
          <w:spacing w:val="-10"/>
          <w:w w:val="105"/>
        </w:rPr>
        <w:t> </w:t>
      </w:r>
      <w:r>
        <w:rPr>
          <w:color w:val="231F20"/>
          <w:w w:val="105"/>
        </w:rPr>
        <w:t>WhatsApp</w:t>
      </w:r>
      <w:r>
        <w:rPr>
          <w:color w:val="231F20"/>
          <w:spacing w:val="-7"/>
          <w:w w:val="105"/>
        </w:rPr>
        <w:t> </w:t>
      </w:r>
      <w:r>
        <w:rPr>
          <w:color w:val="231F20"/>
          <w:w w:val="105"/>
        </w:rPr>
        <w:t>and</w:t>
      </w:r>
      <w:r>
        <w:rPr>
          <w:color w:val="231F20"/>
          <w:spacing w:val="-7"/>
          <w:w w:val="105"/>
        </w:rPr>
        <w:t> </w:t>
      </w:r>
      <w:r>
        <w:rPr>
          <w:color w:val="231F20"/>
          <w:w w:val="105"/>
        </w:rPr>
        <w:t>Skype.</w:t>
      </w:r>
      <w:r>
        <w:rPr>
          <w:color w:val="231F20"/>
          <w:spacing w:val="-17"/>
          <w:w w:val="105"/>
        </w:rPr>
        <w:t> </w:t>
      </w:r>
      <w:r>
        <w:rPr>
          <w:color w:val="231F20"/>
          <w:w w:val="105"/>
        </w:rPr>
        <w:t>This</w:t>
      </w:r>
      <w:r>
        <w:rPr>
          <w:color w:val="231F20"/>
          <w:spacing w:val="-7"/>
          <w:w w:val="105"/>
        </w:rPr>
        <w:t> </w:t>
      </w:r>
      <w:r>
        <w:rPr>
          <w:color w:val="231F20"/>
          <w:w w:val="105"/>
        </w:rPr>
        <w:t>multimodal</w:t>
      </w:r>
      <w:r>
        <w:rPr>
          <w:color w:val="231F20"/>
          <w:spacing w:val="-7"/>
          <w:w w:val="105"/>
        </w:rPr>
        <w:t> </w:t>
      </w:r>
      <w:r>
        <w:rPr>
          <w:color w:val="231F20"/>
          <w:w w:val="105"/>
        </w:rPr>
        <w:t>par- ticipation includes multiple modes of communication: linguistic, visual, auditory,</w:t>
      </w:r>
      <w:r>
        <w:rPr>
          <w:color w:val="231F20"/>
          <w:spacing w:val="-8"/>
          <w:w w:val="105"/>
        </w:rPr>
        <w:t> </w:t>
      </w:r>
      <w:r>
        <w:rPr>
          <w:color w:val="231F20"/>
          <w:w w:val="105"/>
        </w:rPr>
        <w:t>gestural,</w:t>
      </w:r>
      <w:r>
        <w:rPr>
          <w:color w:val="231F20"/>
          <w:spacing w:val="-8"/>
          <w:w w:val="105"/>
        </w:rPr>
        <w:t> </w:t>
      </w:r>
      <w:r>
        <w:rPr>
          <w:color w:val="231F20"/>
          <w:w w:val="105"/>
        </w:rPr>
        <w:t>and</w:t>
      </w:r>
      <w:r>
        <w:rPr>
          <w:color w:val="231F20"/>
          <w:spacing w:val="-3"/>
          <w:w w:val="105"/>
        </w:rPr>
        <w:t> </w:t>
      </w:r>
      <w:r>
        <w:rPr>
          <w:color w:val="231F20"/>
          <w:w w:val="105"/>
        </w:rPr>
        <w:t>spatial</w:t>
      </w:r>
      <w:r>
        <w:rPr>
          <w:color w:val="231F20"/>
          <w:spacing w:val="-3"/>
          <w:w w:val="105"/>
        </w:rPr>
        <w:t> </w:t>
      </w:r>
      <w:r>
        <w:rPr>
          <w:color w:val="231F20"/>
          <w:w w:val="105"/>
        </w:rPr>
        <w:t>(Madinau</w:t>
      </w:r>
      <w:r>
        <w:rPr>
          <w:color w:val="231F20"/>
          <w:spacing w:val="-3"/>
          <w:w w:val="105"/>
        </w:rPr>
        <w:t> </w:t>
      </w:r>
      <w:r>
        <w:rPr>
          <w:color w:val="231F20"/>
          <w:w w:val="105"/>
        </w:rPr>
        <w:t>and</w:t>
      </w:r>
      <w:r>
        <w:rPr>
          <w:color w:val="231F20"/>
          <w:spacing w:val="-3"/>
          <w:w w:val="105"/>
        </w:rPr>
        <w:t> </w:t>
      </w:r>
      <w:r>
        <w:rPr>
          <w:color w:val="231F20"/>
          <w:w w:val="105"/>
        </w:rPr>
        <w:t>Miller,</w:t>
      </w:r>
      <w:r>
        <w:rPr>
          <w:color w:val="231F20"/>
          <w:spacing w:val="-8"/>
          <w:w w:val="105"/>
        </w:rPr>
        <w:t> </w:t>
      </w:r>
      <w:r>
        <w:rPr>
          <w:color w:val="231F20"/>
          <w:w w:val="105"/>
        </w:rPr>
        <w:t>2012).</w:t>
      </w:r>
      <w:r>
        <w:rPr>
          <w:color w:val="231F20"/>
          <w:spacing w:val="-11"/>
          <w:w w:val="105"/>
        </w:rPr>
        <w:t> </w:t>
      </w:r>
      <w:r>
        <w:rPr>
          <w:color w:val="231F20"/>
          <w:w w:val="105"/>
        </w:rPr>
        <w:t>As</w:t>
      </w:r>
      <w:r>
        <w:rPr>
          <w:color w:val="231F20"/>
          <w:spacing w:val="-3"/>
          <w:w w:val="105"/>
        </w:rPr>
        <w:t> </w:t>
      </w:r>
      <w:r>
        <w:rPr>
          <w:color w:val="231F20"/>
          <w:w w:val="105"/>
        </w:rPr>
        <w:t>a</w:t>
      </w:r>
      <w:r>
        <w:rPr>
          <w:color w:val="231F20"/>
          <w:spacing w:val="-3"/>
          <w:w w:val="105"/>
        </w:rPr>
        <w:t> </w:t>
      </w:r>
      <w:r>
        <w:rPr>
          <w:color w:val="231F20"/>
          <w:w w:val="105"/>
        </w:rPr>
        <w:t>result</w:t>
      </w:r>
      <w:r>
        <w:rPr>
          <w:color w:val="231F20"/>
          <w:spacing w:val="-3"/>
          <w:w w:val="105"/>
        </w:rPr>
        <w:t> </w:t>
      </w:r>
      <w:r>
        <w:rPr>
          <w:color w:val="231F20"/>
          <w:w w:val="105"/>
        </w:rPr>
        <w:t>of advances</w:t>
      </w:r>
      <w:r>
        <w:rPr>
          <w:color w:val="231F20"/>
          <w:spacing w:val="-13"/>
          <w:w w:val="105"/>
        </w:rPr>
        <w:t> </w:t>
      </w:r>
      <w:r>
        <w:rPr>
          <w:color w:val="231F20"/>
          <w:w w:val="105"/>
        </w:rPr>
        <w:t>in</w:t>
      </w:r>
      <w:r>
        <w:rPr>
          <w:color w:val="231F20"/>
          <w:spacing w:val="-13"/>
          <w:w w:val="105"/>
        </w:rPr>
        <w:t> </w:t>
      </w:r>
      <w:r>
        <w:rPr>
          <w:color w:val="231F20"/>
          <w:w w:val="105"/>
        </w:rPr>
        <w:t>communication</w:t>
      </w:r>
      <w:r>
        <w:rPr>
          <w:color w:val="231F20"/>
          <w:spacing w:val="-13"/>
          <w:w w:val="105"/>
        </w:rPr>
        <w:t> </w:t>
      </w:r>
      <w:r>
        <w:rPr>
          <w:color w:val="231F20"/>
          <w:w w:val="105"/>
        </w:rPr>
        <w:t>technology</w:t>
      </w:r>
      <w:r>
        <w:rPr>
          <w:color w:val="231F20"/>
          <w:spacing w:val="-13"/>
          <w:w w:val="105"/>
        </w:rPr>
        <w:t> </w:t>
      </w:r>
      <w:r>
        <w:rPr>
          <w:color w:val="231F20"/>
          <w:w w:val="105"/>
        </w:rPr>
        <w:t>young</w:t>
      </w:r>
      <w:r>
        <w:rPr>
          <w:color w:val="231F20"/>
          <w:spacing w:val="-13"/>
          <w:w w:val="105"/>
        </w:rPr>
        <w:t> </w:t>
      </w:r>
      <w:r>
        <w:rPr>
          <w:color w:val="231F20"/>
          <w:w w:val="105"/>
        </w:rPr>
        <w:t>generation</w:t>
      </w:r>
      <w:r>
        <w:rPr>
          <w:color w:val="231F20"/>
          <w:spacing w:val="-13"/>
          <w:w w:val="105"/>
        </w:rPr>
        <w:t> </w:t>
      </w:r>
      <w:r>
        <w:rPr>
          <w:color w:val="231F20"/>
          <w:w w:val="105"/>
        </w:rPr>
        <w:t>members</w:t>
      </w:r>
      <w:r>
        <w:rPr>
          <w:color w:val="231F20"/>
          <w:spacing w:val="-13"/>
          <w:w w:val="105"/>
        </w:rPr>
        <w:t> </w:t>
      </w:r>
      <w:r>
        <w:rPr>
          <w:color w:val="231F20"/>
          <w:w w:val="105"/>
        </w:rPr>
        <w:t>feel strong</w:t>
      </w:r>
      <w:r>
        <w:rPr>
          <w:color w:val="231F20"/>
          <w:spacing w:val="-11"/>
          <w:w w:val="105"/>
        </w:rPr>
        <w:t> </w:t>
      </w:r>
      <w:r>
        <w:rPr>
          <w:color w:val="231F20"/>
          <w:w w:val="105"/>
        </w:rPr>
        <w:t>ties</w:t>
      </w:r>
      <w:r>
        <w:rPr>
          <w:color w:val="231F20"/>
          <w:spacing w:val="-11"/>
          <w:w w:val="105"/>
        </w:rPr>
        <w:t> </w:t>
      </w:r>
      <w:r>
        <w:rPr>
          <w:color w:val="231F20"/>
          <w:w w:val="105"/>
        </w:rPr>
        <w:t>to</w:t>
      </w:r>
      <w:r>
        <w:rPr>
          <w:color w:val="231F20"/>
          <w:spacing w:val="-11"/>
          <w:w w:val="105"/>
        </w:rPr>
        <w:t> </w:t>
      </w:r>
      <w:r>
        <w:rPr>
          <w:color w:val="231F20"/>
          <w:w w:val="105"/>
        </w:rPr>
        <w:t>Michoacán</w:t>
      </w:r>
      <w:r>
        <w:rPr>
          <w:color w:val="231F20"/>
          <w:spacing w:val="-11"/>
          <w:w w:val="105"/>
        </w:rPr>
        <w:t> </w:t>
      </w:r>
      <w:r>
        <w:rPr>
          <w:color w:val="231F20"/>
          <w:w w:val="105"/>
        </w:rPr>
        <w:t>and</w:t>
      </w:r>
      <w:r>
        <w:rPr>
          <w:color w:val="231F20"/>
          <w:spacing w:val="-11"/>
          <w:w w:val="105"/>
        </w:rPr>
        <w:t> </w:t>
      </w:r>
      <w:r>
        <w:rPr>
          <w:color w:val="231F20"/>
          <w:w w:val="105"/>
        </w:rPr>
        <w:t>continue</w:t>
      </w:r>
      <w:r>
        <w:rPr>
          <w:color w:val="231F20"/>
          <w:spacing w:val="-11"/>
          <w:w w:val="105"/>
        </w:rPr>
        <w:t> </w:t>
      </w:r>
      <w:r>
        <w:rPr>
          <w:color w:val="231F20"/>
          <w:w w:val="105"/>
        </w:rPr>
        <w:t>building</w:t>
      </w:r>
      <w:r>
        <w:rPr>
          <w:color w:val="231F20"/>
          <w:spacing w:val="-11"/>
          <w:w w:val="105"/>
        </w:rPr>
        <w:t> </w:t>
      </w:r>
      <w:r>
        <w:rPr>
          <w:color w:val="231F20"/>
          <w:w w:val="105"/>
        </w:rPr>
        <w:t>relationships</w:t>
      </w:r>
      <w:r>
        <w:rPr>
          <w:color w:val="231F20"/>
          <w:spacing w:val="-11"/>
          <w:w w:val="105"/>
        </w:rPr>
        <w:t> </w:t>
      </w:r>
      <w:r>
        <w:rPr>
          <w:color w:val="231F20"/>
          <w:w w:val="105"/>
        </w:rPr>
        <w:t>with</w:t>
      </w:r>
      <w:r>
        <w:rPr>
          <w:color w:val="231F20"/>
          <w:spacing w:val="-11"/>
          <w:w w:val="105"/>
        </w:rPr>
        <w:t> </w:t>
      </w:r>
      <w:r>
        <w:rPr>
          <w:color w:val="231F20"/>
          <w:w w:val="105"/>
        </w:rPr>
        <w:t>friends and family in both sides of the</w:t>
      </w:r>
      <w:r>
        <w:rPr>
          <w:color w:val="231F20"/>
          <w:spacing w:val="-15"/>
          <w:w w:val="105"/>
        </w:rPr>
        <w:t> </w:t>
      </w:r>
      <w:r>
        <w:rPr>
          <w:color w:val="231F20"/>
          <w:spacing w:val="-3"/>
          <w:w w:val="105"/>
        </w:rPr>
        <w:t>border.</w:t>
      </w:r>
    </w:p>
    <w:p>
      <w:pPr>
        <w:pStyle w:val="BodyText"/>
        <w:rPr>
          <w:sz w:val="20"/>
        </w:rPr>
      </w:pPr>
    </w:p>
    <w:p>
      <w:pPr>
        <w:pStyle w:val="BodyText"/>
        <w:spacing w:before="9"/>
        <w:rPr>
          <w:sz w:val="20"/>
        </w:rPr>
      </w:pPr>
    </w:p>
    <w:p>
      <w:pPr>
        <w:pStyle w:val="Heading3"/>
        <w:ind w:left="1723"/>
      </w:pPr>
      <w:r>
        <w:rPr>
          <w:color w:val="231F20"/>
        </w:rPr>
        <w:t>Participants</w:t>
      </w:r>
    </w:p>
    <w:p>
      <w:pPr>
        <w:pStyle w:val="BodyText"/>
        <w:rPr>
          <w:rFonts w:ascii="Arial"/>
          <w:b/>
          <w:sz w:val="22"/>
        </w:rPr>
      </w:pPr>
    </w:p>
    <w:p>
      <w:pPr>
        <w:pStyle w:val="BodyText"/>
        <w:spacing w:line="261" w:lineRule="auto" w:before="163"/>
        <w:ind w:left="1723" w:right="1829"/>
        <w:jc w:val="both"/>
      </w:pPr>
      <w:r>
        <w:rPr>
          <w:color w:val="231F20"/>
          <w:w w:val="105"/>
        </w:rPr>
        <w:t>In</w:t>
      </w:r>
      <w:r>
        <w:rPr>
          <w:color w:val="231F20"/>
          <w:spacing w:val="-17"/>
          <w:w w:val="105"/>
        </w:rPr>
        <w:t> </w:t>
      </w:r>
      <w:r>
        <w:rPr>
          <w:color w:val="231F20"/>
          <w:spacing w:val="-3"/>
          <w:w w:val="105"/>
        </w:rPr>
        <w:t>order</w:t>
      </w:r>
      <w:r>
        <w:rPr>
          <w:color w:val="231F20"/>
          <w:spacing w:val="-17"/>
          <w:w w:val="105"/>
        </w:rPr>
        <w:t> </w:t>
      </w:r>
      <w:r>
        <w:rPr>
          <w:color w:val="231F20"/>
          <w:w w:val="105"/>
        </w:rPr>
        <w:t>to</w:t>
      </w:r>
      <w:r>
        <w:rPr>
          <w:color w:val="231F20"/>
          <w:spacing w:val="-17"/>
          <w:w w:val="105"/>
        </w:rPr>
        <w:t> </w:t>
      </w:r>
      <w:r>
        <w:rPr>
          <w:color w:val="231F20"/>
          <w:w w:val="105"/>
        </w:rPr>
        <w:t>study</w:t>
      </w:r>
      <w:r>
        <w:rPr>
          <w:color w:val="231F20"/>
          <w:spacing w:val="-17"/>
          <w:w w:val="105"/>
        </w:rPr>
        <w:t> </w:t>
      </w:r>
      <w:r>
        <w:rPr>
          <w:color w:val="231F20"/>
          <w:w w:val="105"/>
        </w:rPr>
        <w:t>how</w:t>
      </w:r>
      <w:r>
        <w:rPr>
          <w:color w:val="231F20"/>
          <w:spacing w:val="-17"/>
          <w:w w:val="105"/>
        </w:rPr>
        <w:t> </w:t>
      </w:r>
      <w:r>
        <w:rPr>
          <w:color w:val="231F20"/>
          <w:spacing w:val="-3"/>
          <w:w w:val="105"/>
        </w:rPr>
        <w:t>transnationals</w:t>
      </w:r>
      <w:r>
        <w:rPr>
          <w:color w:val="231F20"/>
          <w:spacing w:val="-17"/>
          <w:w w:val="105"/>
        </w:rPr>
        <w:t> </w:t>
      </w:r>
      <w:r>
        <w:rPr>
          <w:color w:val="231F20"/>
          <w:w w:val="105"/>
        </w:rPr>
        <w:t>communicate</w:t>
      </w:r>
      <w:r>
        <w:rPr>
          <w:color w:val="231F20"/>
          <w:spacing w:val="-17"/>
          <w:w w:val="105"/>
        </w:rPr>
        <w:t> </w:t>
      </w:r>
      <w:r>
        <w:rPr>
          <w:color w:val="231F20"/>
          <w:w w:val="105"/>
        </w:rPr>
        <w:t>via</w:t>
      </w:r>
      <w:r>
        <w:rPr>
          <w:color w:val="231F20"/>
          <w:spacing w:val="-17"/>
          <w:w w:val="105"/>
        </w:rPr>
        <w:t> </w:t>
      </w:r>
      <w:r>
        <w:rPr>
          <w:color w:val="231F20"/>
          <w:w w:val="105"/>
        </w:rPr>
        <w:t>online</w:t>
      </w:r>
      <w:r>
        <w:rPr>
          <w:color w:val="231F20"/>
          <w:spacing w:val="-17"/>
          <w:w w:val="105"/>
        </w:rPr>
        <w:t> </w:t>
      </w:r>
      <w:r>
        <w:rPr>
          <w:color w:val="231F20"/>
          <w:w w:val="105"/>
        </w:rPr>
        <w:t>SNS,</w:t>
      </w:r>
      <w:r>
        <w:rPr>
          <w:color w:val="231F20"/>
          <w:spacing w:val="-21"/>
          <w:w w:val="105"/>
        </w:rPr>
        <w:t> </w:t>
      </w:r>
      <w:r>
        <w:rPr>
          <w:color w:val="231F20"/>
          <w:w w:val="105"/>
        </w:rPr>
        <w:t>I</w:t>
      </w:r>
      <w:r>
        <w:rPr>
          <w:color w:val="231F20"/>
          <w:spacing w:val="-17"/>
          <w:w w:val="105"/>
        </w:rPr>
        <w:t> </w:t>
      </w:r>
      <w:r>
        <w:rPr>
          <w:color w:val="231F20"/>
          <w:w w:val="105"/>
        </w:rPr>
        <w:t>study the</w:t>
      </w:r>
      <w:r>
        <w:rPr>
          <w:color w:val="231F20"/>
          <w:spacing w:val="-26"/>
          <w:w w:val="105"/>
        </w:rPr>
        <w:t> </w:t>
      </w:r>
      <w:r>
        <w:rPr>
          <w:color w:val="231F20"/>
          <w:spacing w:val="-3"/>
          <w:w w:val="105"/>
        </w:rPr>
        <w:t>Facebook</w:t>
      </w:r>
      <w:r>
        <w:rPr>
          <w:color w:val="231F20"/>
          <w:spacing w:val="-26"/>
          <w:w w:val="105"/>
        </w:rPr>
        <w:t> </w:t>
      </w:r>
      <w:r>
        <w:rPr>
          <w:color w:val="231F20"/>
          <w:w w:val="105"/>
        </w:rPr>
        <w:t>pages</w:t>
      </w:r>
      <w:r>
        <w:rPr>
          <w:color w:val="231F20"/>
          <w:spacing w:val="-26"/>
          <w:w w:val="105"/>
        </w:rPr>
        <w:t> </w:t>
      </w:r>
      <w:r>
        <w:rPr>
          <w:color w:val="231F20"/>
          <w:w w:val="105"/>
        </w:rPr>
        <w:t>of</w:t>
      </w:r>
      <w:r>
        <w:rPr>
          <w:color w:val="231F20"/>
          <w:spacing w:val="-22"/>
          <w:w w:val="105"/>
        </w:rPr>
        <w:t> </w:t>
      </w:r>
      <w:r>
        <w:rPr>
          <w:color w:val="231F20"/>
          <w:w w:val="105"/>
        </w:rPr>
        <w:t>members</w:t>
      </w:r>
      <w:r>
        <w:rPr>
          <w:color w:val="231F20"/>
          <w:spacing w:val="-26"/>
          <w:w w:val="105"/>
        </w:rPr>
        <w:t> </w:t>
      </w:r>
      <w:r>
        <w:rPr>
          <w:color w:val="231F20"/>
          <w:w w:val="105"/>
        </w:rPr>
        <w:t>of</w:t>
      </w:r>
      <w:r>
        <w:rPr>
          <w:color w:val="231F20"/>
          <w:spacing w:val="-22"/>
          <w:w w:val="105"/>
        </w:rPr>
        <w:t> </w:t>
      </w:r>
      <w:r>
        <w:rPr>
          <w:color w:val="231F20"/>
          <w:w w:val="105"/>
        </w:rPr>
        <w:t>this</w:t>
      </w:r>
      <w:r>
        <w:rPr>
          <w:color w:val="231F20"/>
          <w:spacing w:val="-26"/>
          <w:w w:val="105"/>
        </w:rPr>
        <w:t> </w:t>
      </w:r>
      <w:r>
        <w:rPr>
          <w:color w:val="231F20"/>
          <w:w w:val="105"/>
        </w:rPr>
        <w:t>focal</w:t>
      </w:r>
      <w:r>
        <w:rPr>
          <w:color w:val="231F20"/>
          <w:spacing w:val="-26"/>
          <w:w w:val="105"/>
        </w:rPr>
        <w:t> </w:t>
      </w:r>
      <w:r>
        <w:rPr>
          <w:color w:val="231F20"/>
          <w:w w:val="105"/>
        </w:rPr>
        <w:t>social</w:t>
      </w:r>
      <w:r>
        <w:rPr>
          <w:color w:val="231F20"/>
          <w:spacing w:val="-26"/>
          <w:w w:val="105"/>
        </w:rPr>
        <w:t> </w:t>
      </w:r>
      <w:r>
        <w:rPr>
          <w:color w:val="231F20"/>
          <w:w w:val="105"/>
        </w:rPr>
        <w:t>network.</w:t>
      </w:r>
      <w:r>
        <w:rPr>
          <w:color w:val="231F20"/>
          <w:spacing w:val="-30"/>
          <w:w w:val="105"/>
        </w:rPr>
        <w:t> </w:t>
      </w:r>
      <w:r>
        <w:rPr>
          <w:color w:val="231F20"/>
          <w:w w:val="105"/>
        </w:rPr>
        <w:t>Because</w:t>
      </w:r>
      <w:r>
        <w:rPr>
          <w:color w:val="231F20"/>
          <w:spacing w:val="-26"/>
          <w:w w:val="105"/>
        </w:rPr>
        <w:t> </w:t>
      </w:r>
      <w:r>
        <w:rPr>
          <w:color w:val="231F20"/>
          <w:w w:val="105"/>
        </w:rPr>
        <w:t>it</w:t>
      </w:r>
      <w:r>
        <w:rPr>
          <w:color w:val="231F20"/>
          <w:spacing w:val="-26"/>
          <w:w w:val="105"/>
        </w:rPr>
        <w:t> </w:t>
      </w:r>
      <w:r>
        <w:rPr>
          <w:color w:val="231F20"/>
          <w:w w:val="105"/>
        </w:rPr>
        <w:t>is not</w:t>
      </w:r>
      <w:r>
        <w:rPr>
          <w:color w:val="231F20"/>
          <w:spacing w:val="-14"/>
          <w:w w:val="105"/>
        </w:rPr>
        <w:t> </w:t>
      </w:r>
      <w:r>
        <w:rPr>
          <w:color w:val="231F20"/>
          <w:w w:val="105"/>
        </w:rPr>
        <w:t>possible</w:t>
      </w:r>
      <w:r>
        <w:rPr>
          <w:color w:val="231F20"/>
          <w:spacing w:val="-14"/>
          <w:w w:val="105"/>
        </w:rPr>
        <w:t> </w:t>
      </w:r>
      <w:r>
        <w:rPr>
          <w:color w:val="231F20"/>
          <w:w w:val="105"/>
        </w:rPr>
        <w:t>to</w:t>
      </w:r>
      <w:r>
        <w:rPr>
          <w:color w:val="231F20"/>
          <w:spacing w:val="-14"/>
          <w:w w:val="105"/>
        </w:rPr>
        <w:t> </w:t>
      </w:r>
      <w:r>
        <w:rPr>
          <w:color w:val="231F20"/>
          <w:spacing w:val="-3"/>
          <w:w w:val="105"/>
        </w:rPr>
        <w:t>present</w:t>
      </w:r>
      <w:r>
        <w:rPr>
          <w:color w:val="231F20"/>
          <w:spacing w:val="-14"/>
          <w:w w:val="105"/>
        </w:rPr>
        <w:t> </w:t>
      </w:r>
      <w:r>
        <w:rPr>
          <w:color w:val="231F20"/>
          <w:w w:val="105"/>
        </w:rPr>
        <w:t>all</w:t>
      </w:r>
      <w:r>
        <w:rPr>
          <w:color w:val="231F20"/>
          <w:spacing w:val="-14"/>
          <w:w w:val="105"/>
        </w:rPr>
        <w:t> </w:t>
      </w:r>
      <w:r>
        <w:rPr>
          <w:color w:val="231F20"/>
          <w:w w:val="105"/>
        </w:rPr>
        <w:t>the</w:t>
      </w:r>
      <w:r>
        <w:rPr>
          <w:color w:val="231F20"/>
          <w:spacing w:val="-14"/>
          <w:w w:val="105"/>
        </w:rPr>
        <w:t> </w:t>
      </w:r>
      <w:r>
        <w:rPr>
          <w:color w:val="231F20"/>
          <w:spacing w:val="-3"/>
          <w:w w:val="105"/>
        </w:rPr>
        <w:t>Facebook</w:t>
      </w:r>
      <w:r>
        <w:rPr>
          <w:color w:val="231F20"/>
          <w:spacing w:val="-14"/>
          <w:w w:val="105"/>
        </w:rPr>
        <w:t> </w:t>
      </w:r>
      <w:r>
        <w:rPr>
          <w:color w:val="231F20"/>
          <w:w w:val="105"/>
        </w:rPr>
        <w:t>pages</w:t>
      </w:r>
      <w:r>
        <w:rPr>
          <w:color w:val="231F20"/>
          <w:spacing w:val="-14"/>
          <w:w w:val="105"/>
        </w:rPr>
        <w:t> </w:t>
      </w:r>
      <w:r>
        <w:rPr>
          <w:color w:val="231F20"/>
          <w:w w:val="105"/>
        </w:rPr>
        <w:t>(14</w:t>
      </w:r>
      <w:r>
        <w:rPr>
          <w:color w:val="231F20"/>
          <w:spacing w:val="-14"/>
          <w:w w:val="105"/>
        </w:rPr>
        <w:t> </w:t>
      </w:r>
      <w:r>
        <w:rPr>
          <w:color w:val="231F20"/>
          <w:w w:val="105"/>
        </w:rPr>
        <w:t>total),</w:t>
      </w:r>
      <w:r>
        <w:rPr>
          <w:color w:val="231F20"/>
          <w:spacing w:val="-19"/>
          <w:w w:val="105"/>
        </w:rPr>
        <w:t> </w:t>
      </w:r>
      <w:r>
        <w:rPr>
          <w:color w:val="231F20"/>
          <w:w w:val="105"/>
        </w:rPr>
        <w:t>I</w:t>
      </w:r>
      <w:r>
        <w:rPr>
          <w:color w:val="231F20"/>
          <w:spacing w:val="-14"/>
          <w:w w:val="105"/>
        </w:rPr>
        <w:t> </w:t>
      </w:r>
      <w:r>
        <w:rPr>
          <w:color w:val="231F20"/>
          <w:w w:val="105"/>
        </w:rPr>
        <w:t>am</w:t>
      </w:r>
      <w:r>
        <w:rPr>
          <w:color w:val="231F20"/>
          <w:spacing w:val="-14"/>
          <w:w w:val="105"/>
        </w:rPr>
        <w:t> </w:t>
      </w:r>
      <w:r>
        <w:rPr>
          <w:color w:val="231F20"/>
          <w:spacing w:val="-3"/>
          <w:w w:val="105"/>
        </w:rPr>
        <w:t>presenting </w:t>
      </w:r>
      <w:r>
        <w:rPr>
          <w:color w:val="231F20"/>
          <w:w w:val="105"/>
        </w:rPr>
        <w:t>sample</w:t>
      </w:r>
      <w:r>
        <w:rPr>
          <w:color w:val="231F20"/>
          <w:spacing w:val="-25"/>
          <w:w w:val="105"/>
        </w:rPr>
        <w:t> </w:t>
      </w:r>
      <w:r>
        <w:rPr>
          <w:color w:val="231F20"/>
          <w:spacing w:val="-2"/>
          <w:w w:val="105"/>
        </w:rPr>
        <w:t>conversations</w:t>
      </w:r>
      <w:r>
        <w:rPr>
          <w:color w:val="231F20"/>
          <w:spacing w:val="-25"/>
          <w:w w:val="105"/>
        </w:rPr>
        <w:t> </w:t>
      </w:r>
      <w:r>
        <w:rPr>
          <w:color w:val="231F20"/>
          <w:w w:val="105"/>
        </w:rPr>
        <w:t>that</w:t>
      </w:r>
      <w:r>
        <w:rPr>
          <w:color w:val="231F20"/>
          <w:spacing w:val="-25"/>
          <w:w w:val="105"/>
        </w:rPr>
        <w:t> </w:t>
      </w:r>
      <w:r>
        <w:rPr>
          <w:color w:val="231F20"/>
          <w:spacing w:val="-3"/>
          <w:w w:val="105"/>
        </w:rPr>
        <w:t>reflect</w:t>
      </w:r>
      <w:r>
        <w:rPr>
          <w:color w:val="231F20"/>
          <w:spacing w:val="-25"/>
          <w:w w:val="105"/>
        </w:rPr>
        <w:t> </w:t>
      </w:r>
      <w:r>
        <w:rPr>
          <w:color w:val="231F20"/>
          <w:w w:val="105"/>
        </w:rPr>
        <w:t>the</w:t>
      </w:r>
      <w:r>
        <w:rPr>
          <w:color w:val="231F20"/>
          <w:spacing w:val="-25"/>
          <w:w w:val="105"/>
        </w:rPr>
        <w:t> </w:t>
      </w:r>
      <w:r>
        <w:rPr>
          <w:color w:val="231F20"/>
          <w:spacing w:val="-3"/>
          <w:w w:val="105"/>
        </w:rPr>
        <w:t>participation</w:t>
      </w:r>
      <w:r>
        <w:rPr>
          <w:color w:val="231F20"/>
          <w:spacing w:val="-25"/>
          <w:w w:val="105"/>
        </w:rPr>
        <w:t> </w:t>
      </w:r>
      <w:r>
        <w:rPr>
          <w:color w:val="231F20"/>
          <w:w w:val="105"/>
        </w:rPr>
        <w:t>among</w:t>
      </w:r>
      <w:r>
        <w:rPr>
          <w:color w:val="231F20"/>
          <w:spacing w:val="-25"/>
          <w:w w:val="105"/>
        </w:rPr>
        <w:t> </w:t>
      </w:r>
      <w:r>
        <w:rPr>
          <w:color w:val="231F20"/>
          <w:spacing w:val="-3"/>
          <w:w w:val="105"/>
        </w:rPr>
        <w:t>relatives.</w:t>
      </w:r>
      <w:r>
        <w:rPr>
          <w:color w:val="231F20"/>
          <w:spacing w:val="-29"/>
          <w:w w:val="105"/>
        </w:rPr>
        <w:t> </w:t>
      </w:r>
      <w:r>
        <w:rPr>
          <w:color w:val="231F20"/>
          <w:w w:val="105"/>
        </w:rPr>
        <w:t>Selec- tions</w:t>
      </w:r>
      <w:r>
        <w:rPr>
          <w:color w:val="231F20"/>
          <w:spacing w:val="-13"/>
          <w:w w:val="105"/>
        </w:rPr>
        <w:t> </w:t>
      </w:r>
      <w:r>
        <w:rPr>
          <w:color w:val="231F20"/>
          <w:spacing w:val="-3"/>
          <w:w w:val="105"/>
        </w:rPr>
        <w:t>were</w:t>
      </w:r>
      <w:r>
        <w:rPr>
          <w:color w:val="231F20"/>
          <w:spacing w:val="-13"/>
          <w:w w:val="105"/>
        </w:rPr>
        <w:t> </w:t>
      </w:r>
      <w:r>
        <w:rPr>
          <w:color w:val="231F20"/>
          <w:w w:val="105"/>
        </w:rPr>
        <w:t>made</w:t>
      </w:r>
      <w:r>
        <w:rPr>
          <w:color w:val="231F20"/>
          <w:spacing w:val="-13"/>
          <w:w w:val="105"/>
        </w:rPr>
        <w:t> </w:t>
      </w:r>
      <w:r>
        <w:rPr>
          <w:color w:val="231F20"/>
          <w:w w:val="105"/>
        </w:rPr>
        <w:t>based</w:t>
      </w:r>
      <w:r>
        <w:rPr>
          <w:color w:val="231F20"/>
          <w:spacing w:val="-13"/>
          <w:w w:val="105"/>
        </w:rPr>
        <w:t> </w:t>
      </w:r>
      <w:r>
        <w:rPr>
          <w:color w:val="231F20"/>
          <w:w w:val="105"/>
        </w:rPr>
        <w:t>on</w:t>
      </w:r>
      <w:r>
        <w:rPr>
          <w:color w:val="231F20"/>
          <w:spacing w:val="-13"/>
          <w:w w:val="105"/>
        </w:rPr>
        <w:t> </w:t>
      </w:r>
      <w:r>
        <w:rPr>
          <w:color w:val="231F20"/>
          <w:w w:val="105"/>
        </w:rPr>
        <w:t>the</w:t>
      </w:r>
      <w:r>
        <w:rPr>
          <w:color w:val="231F20"/>
          <w:spacing w:val="-13"/>
          <w:w w:val="105"/>
        </w:rPr>
        <w:t> </w:t>
      </w:r>
      <w:r>
        <w:rPr>
          <w:color w:val="231F20"/>
          <w:w w:val="105"/>
        </w:rPr>
        <w:t>richness</w:t>
      </w:r>
      <w:r>
        <w:rPr>
          <w:color w:val="231F20"/>
          <w:spacing w:val="-13"/>
          <w:w w:val="105"/>
        </w:rPr>
        <w:t> </w:t>
      </w:r>
      <w:r>
        <w:rPr>
          <w:color w:val="231F20"/>
          <w:w w:val="105"/>
        </w:rPr>
        <w:t>of</w:t>
      </w:r>
      <w:r>
        <w:rPr>
          <w:color w:val="231F20"/>
          <w:spacing w:val="-9"/>
          <w:w w:val="105"/>
        </w:rPr>
        <w:t> </w:t>
      </w:r>
      <w:r>
        <w:rPr>
          <w:color w:val="231F20"/>
          <w:w w:val="105"/>
        </w:rPr>
        <w:t>data</w:t>
      </w:r>
      <w:r>
        <w:rPr>
          <w:color w:val="231F20"/>
          <w:spacing w:val="-13"/>
          <w:w w:val="105"/>
        </w:rPr>
        <w:t> </w:t>
      </w:r>
      <w:r>
        <w:rPr>
          <w:color w:val="231F20"/>
          <w:spacing w:val="-3"/>
          <w:w w:val="105"/>
        </w:rPr>
        <w:t>(Androutsopoulos,</w:t>
      </w:r>
      <w:r>
        <w:rPr>
          <w:color w:val="231F20"/>
          <w:spacing w:val="-19"/>
          <w:w w:val="105"/>
        </w:rPr>
        <w:t> </w:t>
      </w:r>
      <w:r>
        <w:rPr>
          <w:color w:val="231F20"/>
          <w:spacing w:val="-2"/>
          <w:w w:val="105"/>
        </w:rPr>
        <w:t>2010). </w:t>
      </w:r>
      <w:r>
        <w:rPr>
          <w:color w:val="231F20"/>
          <w:w w:val="105"/>
        </w:rPr>
        <w:t>Most</w:t>
      </w:r>
      <w:r>
        <w:rPr>
          <w:color w:val="231F20"/>
          <w:spacing w:val="-20"/>
          <w:w w:val="105"/>
        </w:rPr>
        <w:t> </w:t>
      </w:r>
      <w:r>
        <w:rPr>
          <w:color w:val="231F20"/>
          <w:spacing w:val="-2"/>
          <w:w w:val="105"/>
        </w:rPr>
        <w:t>conversations</w:t>
      </w:r>
      <w:r>
        <w:rPr>
          <w:color w:val="231F20"/>
          <w:spacing w:val="-20"/>
          <w:w w:val="105"/>
        </w:rPr>
        <w:t> </w:t>
      </w:r>
      <w:r>
        <w:rPr>
          <w:color w:val="231F20"/>
          <w:spacing w:val="-3"/>
          <w:w w:val="105"/>
        </w:rPr>
        <w:t>reflected</w:t>
      </w:r>
      <w:r>
        <w:rPr>
          <w:color w:val="231F20"/>
          <w:spacing w:val="-20"/>
          <w:w w:val="105"/>
        </w:rPr>
        <w:t> </w:t>
      </w:r>
      <w:r>
        <w:rPr>
          <w:color w:val="231F20"/>
          <w:spacing w:val="-3"/>
          <w:w w:val="105"/>
        </w:rPr>
        <w:t>here</w:t>
      </w:r>
      <w:r>
        <w:rPr>
          <w:color w:val="231F20"/>
          <w:spacing w:val="-20"/>
          <w:w w:val="105"/>
        </w:rPr>
        <w:t> </w:t>
      </w:r>
      <w:r>
        <w:rPr>
          <w:color w:val="231F20"/>
          <w:spacing w:val="-3"/>
          <w:w w:val="105"/>
        </w:rPr>
        <w:t>are</w:t>
      </w:r>
      <w:r>
        <w:rPr>
          <w:color w:val="231F20"/>
          <w:spacing w:val="-20"/>
          <w:w w:val="105"/>
        </w:rPr>
        <w:t> </w:t>
      </w:r>
      <w:r>
        <w:rPr>
          <w:color w:val="231F20"/>
          <w:w w:val="105"/>
        </w:rPr>
        <w:t>between</w:t>
      </w:r>
      <w:r>
        <w:rPr>
          <w:color w:val="231F20"/>
          <w:spacing w:val="-20"/>
          <w:w w:val="105"/>
        </w:rPr>
        <w:t> </w:t>
      </w:r>
      <w:r>
        <w:rPr>
          <w:color w:val="231F20"/>
          <w:w w:val="105"/>
        </w:rPr>
        <w:t>an</w:t>
      </w:r>
      <w:r>
        <w:rPr>
          <w:color w:val="231F20"/>
          <w:spacing w:val="-20"/>
          <w:w w:val="105"/>
        </w:rPr>
        <w:t> </w:t>
      </w:r>
      <w:r>
        <w:rPr>
          <w:color w:val="231F20"/>
          <w:w w:val="105"/>
        </w:rPr>
        <w:t>older</w:t>
      </w:r>
      <w:r>
        <w:rPr>
          <w:color w:val="231F20"/>
          <w:spacing w:val="-20"/>
          <w:w w:val="105"/>
        </w:rPr>
        <w:t> </w:t>
      </w:r>
      <w:r>
        <w:rPr>
          <w:color w:val="231F20"/>
          <w:spacing w:val="-3"/>
          <w:w w:val="105"/>
        </w:rPr>
        <w:t>generation</w:t>
      </w:r>
      <w:r>
        <w:rPr>
          <w:color w:val="231F20"/>
          <w:spacing w:val="-20"/>
          <w:w w:val="105"/>
        </w:rPr>
        <w:t> </w:t>
      </w:r>
      <w:r>
        <w:rPr>
          <w:color w:val="231F20"/>
          <w:w w:val="105"/>
        </w:rPr>
        <w:t>mem- ber</w:t>
      </w:r>
      <w:r>
        <w:rPr>
          <w:color w:val="231F20"/>
          <w:spacing w:val="-10"/>
          <w:w w:val="105"/>
        </w:rPr>
        <w:t> </w:t>
      </w:r>
      <w:r>
        <w:rPr>
          <w:color w:val="231F20"/>
          <w:w w:val="105"/>
        </w:rPr>
        <w:t>(usually</w:t>
      </w:r>
      <w:r>
        <w:rPr>
          <w:color w:val="231F20"/>
          <w:spacing w:val="-10"/>
          <w:w w:val="105"/>
        </w:rPr>
        <w:t> </w:t>
      </w:r>
      <w:r>
        <w:rPr>
          <w:color w:val="231F20"/>
          <w:spacing w:val="-3"/>
          <w:w w:val="105"/>
        </w:rPr>
        <w:t>generation</w:t>
      </w:r>
      <w:r>
        <w:rPr>
          <w:color w:val="231F20"/>
          <w:spacing w:val="-10"/>
          <w:w w:val="105"/>
        </w:rPr>
        <w:t> </w:t>
      </w:r>
      <w:r>
        <w:rPr>
          <w:color w:val="231F20"/>
          <w:w w:val="105"/>
        </w:rPr>
        <w:t>1.5,</w:t>
      </w:r>
      <w:r>
        <w:rPr>
          <w:color w:val="231F20"/>
          <w:spacing w:val="-16"/>
          <w:w w:val="105"/>
        </w:rPr>
        <w:t> </w:t>
      </w:r>
      <w:r>
        <w:rPr>
          <w:color w:val="231F20"/>
          <w:w w:val="105"/>
        </w:rPr>
        <w:t>the</w:t>
      </w:r>
      <w:r>
        <w:rPr>
          <w:color w:val="231F20"/>
          <w:spacing w:val="-10"/>
          <w:w w:val="105"/>
        </w:rPr>
        <w:t> </w:t>
      </w:r>
      <w:r>
        <w:rPr>
          <w:color w:val="231F20"/>
          <w:spacing w:val="-3"/>
          <w:w w:val="105"/>
        </w:rPr>
        <w:t>children</w:t>
      </w:r>
      <w:r>
        <w:rPr>
          <w:color w:val="231F20"/>
          <w:spacing w:val="-10"/>
          <w:w w:val="105"/>
        </w:rPr>
        <w:t> </w:t>
      </w:r>
      <w:r>
        <w:rPr>
          <w:color w:val="231F20"/>
          <w:w w:val="105"/>
        </w:rPr>
        <w:t>of</w:t>
      </w:r>
      <w:r>
        <w:rPr>
          <w:color w:val="231F20"/>
          <w:spacing w:val="-5"/>
          <w:w w:val="105"/>
        </w:rPr>
        <w:t> </w:t>
      </w:r>
      <w:r>
        <w:rPr>
          <w:color w:val="231F20"/>
          <w:w w:val="105"/>
        </w:rPr>
        <w:t>immigrants</w:t>
      </w:r>
      <w:r>
        <w:rPr>
          <w:color w:val="231F20"/>
          <w:spacing w:val="-10"/>
          <w:w w:val="105"/>
        </w:rPr>
        <w:t> </w:t>
      </w:r>
      <w:r>
        <w:rPr>
          <w:color w:val="231F20"/>
          <w:w w:val="105"/>
        </w:rPr>
        <w:t>who</w:t>
      </w:r>
      <w:r>
        <w:rPr>
          <w:color w:val="231F20"/>
          <w:spacing w:val="-10"/>
          <w:w w:val="105"/>
        </w:rPr>
        <w:t> </w:t>
      </w:r>
      <w:r>
        <w:rPr>
          <w:color w:val="231F20"/>
          <w:spacing w:val="-3"/>
          <w:w w:val="105"/>
        </w:rPr>
        <w:t>were</w:t>
      </w:r>
      <w:r>
        <w:rPr>
          <w:color w:val="231F20"/>
          <w:spacing w:val="-10"/>
          <w:w w:val="105"/>
        </w:rPr>
        <w:t> </w:t>
      </w:r>
      <w:r>
        <w:rPr>
          <w:color w:val="231F20"/>
          <w:spacing w:val="-3"/>
          <w:w w:val="105"/>
        </w:rPr>
        <w:t>brought </w:t>
      </w:r>
      <w:r>
        <w:rPr>
          <w:color w:val="231F20"/>
          <w:w w:val="105"/>
        </w:rPr>
        <w:t>to</w:t>
      </w:r>
      <w:r>
        <w:rPr>
          <w:color w:val="231F20"/>
          <w:spacing w:val="-14"/>
          <w:w w:val="105"/>
        </w:rPr>
        <w:t> </w:t>
      </w:r>
      <w:r>
        <w:rPr>
          <w:color w:val="231F20"/>
          <w:w w:val="105"/>
        </w:rPr>
        <w:t>the</w:t>
      </w:r>
      <w:r>
        <w:rPr>
          <w:color w:val="231F20"/>
          <w:spacing w:val="-14"/>
          <w:w w:val="105"/>
        </w:rPr>
        <w:t> </w:t>
      </w:r>
      <w:r>
        <w:rPr>
          <w:color w:val="231F20"/>
          <w:spacing w:val="-3"/>
          <w:w w:val="105"/>
        </w:rPr>
        <w:t>U.S.</w:t>
      </w:r>
      <w:r>
        <w:rPr>
          <w:color w:val="231F20"/>
          <w:spacing w:val="-19"/>
          <w:w w:val="105"/>
        </w:rPr>
        <w:t> </w:t>
      </w:r>
      <w:r>
        <w:rPr>
          <w:color w:val="231F20"/>
          <w:w w:val="105"/>
        </w:rPr>
        <w:t>when</w:t>
      </w:r>
      <w:r>
        <w:rPr>
          <w:color w:val="231F20"/>
          <w:spacing w:val="-14"/>
          <w:w w:val="105"/>
        </w:rPr>
        <w:t> </w:t>
      </w:r>
      <w:r>
        <w:rPr>
          <w:color w:val="231F20"/>
          <w:w w:val="105"/>
        </w:rPr>
        <w:t>they</w:t>
      </w:r>
      <w:r>
        <w:rPr>
          <w:color w:val="231F20"/>
          <w:spacing w:val="-14"/>
          <w:w w:val="105"/>
        </w:rPr>
        <w:t> </w:t>
      </w:r>
      <w:r>
        <w:rPr>
          <w:color w:val="231F20"/>
          <w:spacing w:val="-3"/>
          <w:w w:val="105"/>
        </w:rPr>
        <w:t>were</w:t>
      </w:r>
      <w:r>
        <w:rPr>
          <w:color w:val="231F20"/>
          <w:spacing w:val="-14"/>
          <w:w w:val="105"/>
        </w:rPr>
        <w:t> </w:t>
      </w:r>
      <w:r>
        <w:rPr>
          <w:color w:val="231F20"/>
          <w:w w:val="105"/>
        </w:rPr>
        <w:t>11</w:t>
      </w:r>
      <w:r>
        <w:rPr>
          <w:color w:val="231F20"/>
          <w:spacing w:val="-14"/>
          <w:w w:val="105"/>
        </w:rPr>
        <w:t> </w:t>
      </w:r>
      <w:r>
        <w:rPr>
          <w:color w:val="231F20"/>
          <w:w w:val="105"/>
        </w:rPr>
        <w:t>years</w:t>
      </w:r>
      <w:r>
        <w:rPr>
          <w:color w:val="231F20"/>
          <w:spacing w:val="-14"/>
          <w:w w:val="105"/>
        </w:rPr>
        <w:t> </w:t>
      </w:r>
      <w:r>
        <w:rPr>
          <w:color w:val="231F20"/>
          <w:w w:val="105"/>
        </w:rPr>
        <w:t>old</w:t>
      </w:r>
      <w:r>
        <w:rPr>
          <w:color w:val="231F20"/>
          <w:spacing w:val="-14"/>
          <w:w w:val="105"/>
        </w:rPr>
        <w:t> </w:t>
      </w:r>
      <w:r>
        <w:rPr>
          <w:color w:val="231F20"/>
          <w:w w:val="105"/>
        </w:rPr>
        <w:t>or</w:t>
      </w:r>
      <w:r>
        <w:rPr>
          <w:color w:val="231F20"/>
          <w:spacing w:val="-14"/>
          <w:w w:val="105"/>
        </w:rPr>
        <w:t> </w:t>
      </w:r>
      <w:r>
        <w:rPr>
          <w:color w:val="231F20"/>
          <w:w w:val="105"/>
        </w:rPr>
        <w:t>younger)</w:t>
      </w:r>
      <w:r>
        <w:rPr>
          <w:color w:val="231F20"/>
          <w:spacing w:val="-14"/>
          <w:w w:val="105"/>
        </w:rPr>
        <w:t> </w:t>
      </w:r>
      <w:r>
        <w:rPr>
          <w:color w:val="231F20"/>
          <w:w w:val="105"/>
        </w:rPr>
        <w:t>and</w:t>
      </w:r>
      <w:r>
        <w:rPr>
          <w:color w:val="231F20"/>
          <w:spacing w:val="-14"/>
          <w:w w:val="105"/>
        </w:rPr>
        <w:t> </w:t>
      </w:r>
      <w:r>
        <w:rPr>
          <w:color w:val="231F20"/>
          <w:w w:val="105"/>
        </w:rPr>
        <w:t>a</w:t>
      </w:r>
      <w:r>
        <w:rPr>
          <w:color w:val="231F20"/>
          <w:spacing w:val="-14"/>
          <w:w w:val="105"/>
        </w:rPr>
        <w:t> </w:t>
      </w:r>
      <w:r>
        <w:rPr>
          <w:color w:val="231F20"/>
          <w:w w:val="105"/>
        </w:rPr>
        <w:t>young</w:t>
      </w:r>
      <w:r>
        <w:rPr>
          <w:color w:val="231F20"/>
          <w:spacing w:val="-14"/>
          <w:w w:val="105"/>
        </w:rPr>
        <w:t> </w:t>
      </w:r>
      <w:r>
        <w:rPr>
          <w:color w:val="231F20"/>
          <w:spacing w:val="-2"/>
          <w:w w:val="105"/>
        </w:rPr>
        <w:t>second </w:t>
      </w:r>
      <w:r>
        <w:rPr>
          <w:color w:val="231F20"/>
          <w:spacing w:val="-3"/>
          <w:w w:val="105"/>
        </w:rPr>
        <w:t>generation</w:t>
      </w:r>
      <w:r>
        <w:rPr>
          <w:color w:val="231F20"/>
          <w:spacing w:val="-19"/>
          <w:w w:val="105"/>
        </w:rPr>
        <w:t> </w:t>
      </w:r>
      <w:r>
        <w:rPr>
          <w:color w:val="231F20"/>
          <w:spacing w:val="-4"/>
          <w:w w:val="105"/>
        </w:rPr>
        <w:t>member.</w:t>
      </w:r>
      <w:r>
        <w:rPr>
          <w:color w:val="231F20"/>
          <w:spacing w:val="-30"/>
          <w:w w:val="105"/>
        </w:rPr>
        <w:t> </w:t>
      </w:r>
      <w:r>
        <w:rPr>
          <w:color w:val="231F20"/>
          <w:spacing w:val="-3"/>
          <w:w w:val="105"/>
        </w:rPr>
        <w:t>The</w:t>
      </w:r>
      <w:r>
        <w:rPr>
          <w:color w:val="231F20"/>
          <w:spacing w:val="-19"/>
          <w:w w:val="105"/>
        </w:rPr>
        <w:t> </w:t>
      </w:r>
      <w:r>
        <w:rPr>
          <w:color w:val="231F20"/>
          <w:w w:val="105"/>
        </w:rPr>
        <w:t>1.5</w:t>
      </w:r>
      <w:r>
        <w:rPr>
          <w:color w:val="231F20"/>
          <w:spacing w:val="-19"/>
          <w:w w:val="105"/>
        </w:rPr>
        <w:t> </w:t>
      </w:r>
      <w:r>
        <w:rPr>
          <w:color w:val="231F20"/>
          <w:w w:val="105"/>
        </w:rPr>
        <w:t>and</w:t>
      </w:r>
      <w:r>
        <w:rPr>
          <w:color w:val="231F20"/>
          <w:spacing w:val="-19"/>
          <w:w w:val="105"/>
        </w:rPr>
        <w:t> </w:t>
      </w:r>
      <w:r>
        <w:rPr>
          <w:color w:val="231F20"/>
          <w:spacing w:val="-3"/>
          <w:w w:val="105"/>
        </w:rPr>
        <w:t>second-generation</w:t>
      </w:r>
      <w:r>
        <w:rPr>
          <w:color w:val="231F20"/>
          <w:spacing w:val="-19"/>
          <w:w w:val="105"/>
        </w:rPr>
        <w:t> </w:t>
      </w:r>
      <w:r>
        <w:rPr>
          <w:color w:val="231F20"/>
          <w:w w:val="105"/>
        </w:rPr>
        <w:t>members</w:t>
      </w:r>
      <w:r>
        <w:rPr>
          <w:color w:val="231F20"/>
          <w:spacing w:val="-19"/>
          <w:w w:val="105"/>
        </w:rPr>
        <w:t> </w:t>
      </w:r>
      <w:r>
        <w:rPr>
          <w:color w:val="231F20"/>
          <w:w w:val="105"/>
        </w:rPr>
        <w:t>often</w:t>
      </w:r>
      <w:r>
        <w:rPr>
          <w:color w:val="231F20"/>
          <w:spacing w:val="-19"/>
          <w:w w:val="105"/>
        </w:rPr>
        <w:t> </w:t>
      </w:r>
      <w:r>
        <w:rPr>
          <w:color w:val="231F20"/>
          <w:w w:val="105"/>
        </w:rPr>
        <w:t>have similar</w:t>
      </w:r>
      <w:r>
        <w:rPr>
          <w:color w:val="231F20"/>
          <w:spacing w:val="-13"/>
          <w:w w:val="105"/>
        </w:rPr>
        <w:t> </w:t>
      </w:r>
      <w:r>
        <w:rPr>
          <w:color w:val="231F20"/>
          <w:w w:val="105"/>
        </w:rPr>
        <w:t>characteristics,</w:t>
      </w:r>
      <w:r>
        <w:rPr>
          <w:color w:val="231F20"/>
          <w:spacing w:val="-17"/>
          <w:w w:val="105"/>
        </w:rPr>
        <w:t> </w:t>
      </w:r>
      <w:r>
        <w:rPr>
          <w:color w:val="231F20"/>
          <w:w w:val="105"/>
        </w:rPr>
        <w:t>such</w:t>
      </w:r>
      <w:r>
        <w:rPr>
          <w:color w:val="231F20"/>
          <w:spacing w:val="-13"/>
          <w:w w:val="105"/>
        </w:rPr>
        <w:t> </w:t>
      </w:r>
      <w:r>
        <w:rPr>
          <w:color w:val="231F20"/>
          <w:w w:val="105"/>
        </w:rPr>
        <w:t>as</w:t>
      </w:r>
      <w:r>
        <w:rPr>
          <w:color w:val="231F20"/>
          <w:spacing w:val="-13"/>
          <w:w w:val="105"/>
        </w:rPr>
        <w:t> </w:t>
      </w:r>
      <w:r>
        <w:rPr>
          <w:color w:val="231F20"/>
          <w:w w:val="105"/>
        </w:rPr>
        <w:t>speaking</w:t>
      </w:r>
      <w:r>
        <w:rPr>
          <w:color w:val="231F20"/>
          <w:spacing w:val="-13"/>
          <w:w w:val="105"/>
        </w:rPr>
        <w:t> </w:t>
      </w:r>
      <w:r>
        <w:rPr>
          <w:color w:val="231F20"/>
          <w:w w:val="105"/>
        </w:rPr>
        <w:t>Spanish</w:t>
      </w:r>
      <w:r>
        <w:rPr>
          <w:color w:val="231F20"/>
          <w:spacing w:val="-13"/>
          <w:w w:val="105"/>
        </w:rPr>
        <w:t> </w:t>
      </w:r>
      <w:r>
        <w:rPr>
          <w:color w:val="231F20"/>
          <w:w w:val="105"/>
        </w:rPr>
        <w:t>as</w:t>
      </w:r>
      <w:r>
        <w:rPr>
          <w:color w:val="231F20"/>
          <w:spacing w:val="-13"/>
          <w:w w:val="105"/>
        </w:rPr>
        <w:t> </w:t>
      </w:r>
      <w:r>
        <w:rPr>
          <w:color w:val="231F20"/>
          <w:w w:val="105"/>
        </w:rPr>
        <w:t>their</w:t>
      </w:r>
      <w:r>
        <w:rPr>
          <w:color w:val="231F20"/>
          <w:spacing w:val="-13"/>
          <w:w w:val="105"/>
        </w:rPr>
        <w:t> </w:t>
      </w:r>
      <w:r>
        <w:rPr>
          <w:color w:val="231F20"/>
          <w:w w:val="105"/>
        </w:rPr>
        <w:t>first</w:t>
      </w:r>
      <w:r>
        <w:rPr>
          <w:color w:val="231F20"/>
          <w:spacing w:val="-13"/>
          <w:w w:val="105"/>
        </w:rPr>
        <w:t> </w:t>
      </w:r>
      <w:r>
        <w:rPr>
          <w:color w:val="231F20"/>
          <w:w w:val="105"/>
        </w:rPr>
        <w:t>language, having</w:t>
      </w:r>
      <w:r>
        <w:rPr>
          <w:color w:val="231F20"/>
          <w:spacing w:val="-40"/>
          <w:w w:val="105"/>
        </w:rPr>
        <w:t> </w:t>
      </w:r>
      <w:r>
        <w:rPr>
          <w:color w:val="231F20"/>
          <w:w w:val="105"/>
        </w:rPr>
        <w:t>ESL</w:t>
      </w:r>
      <w:r>
        <w:rPr>
          <w:color w:val="231F20"/>
          <w:spacing w:val="-43"/>
          <w:w w:val="105"/>
        </w:rPr>
        <w:t> </w:t>
      </w:r>
      <w:r>
        <w:rPr>
          <w:color w:val="231F20"/>
          <w:w w:val="105"/>
        </w:rPr>
        <w:t>(English</w:t>
      </w:r>
      <w:r>
        <w:rPr>
          <w:color w:val="231F20"/>
          <w:spacing w:val="-40"/>
          <w:w w:val="105"/>
        </w:rPr>
        <w:t> </w:t>
      </w:r>
      <w:r>
        <w:rPr>
          <w:color w:val="231F20"/>
          <w:w w:val="105"/>
        </w:rPr>
        <w:t>as</w:t>
      </w:r>
      <w:r>
        <w:rPr>
          <w:color w:val="231F20"/>
          <w:spacing w:val="-40"/>
          <w:w w:val="105"/>
        </w:rPr>
        <w:t> </w:t>
      </w:r>
      <w:r>
        <w:rPr>
          <w:color w:val="231F20"/>
          <w:w w:val="105"/>
        </w:rPr>
        <w:t>a</w:t>
      </w:r>
      <w:r>
        <w:rPr>
          <w:color w:val="231F20"/>
          <w:spacing w:val="-40"/>
          <w:w w:val="105"/>
        </w:rPr>
        <w:t> </w:t>
      </w:r>
      <w:r>
        <w:rPr>
          <w:color w:val="231F20"/>
          <w:w w:val="105"/>
        </w:rPr>
        <w:t>second</w:t>
      </w:r>
      <w:r>
        <w:rPr>
          <w:color w:val="231F20"/>
          <w:spacing w:val="-40"/>
          <w:w w:val="105"/>
        </w:rPr>
        <w:t> </w:t>
      </w:r>
      <w:r>
        <w:rPr>
          <w:color w:val="231F20"/>
          <w:w w:val="105"/>
        </w:rPr>
        <w:t>language)</w:t>
      </w:r>
      <w:r>
        <w:rPr>
          <w:color w:val="231F20"/>
          <w:spacing w:val="-40"/>
          <w:w w:val="105"/>
        </w:rPr>
        <w:t> </w:t>
      </w:r>
      <w:r>
        <w:rPr>
          <w:color w:val="231F20"/>
          <w:w w:val="105"/>
        </w:rPr>
        <w:t>classes</w:t>
      </w:r>
      <w:r>
        <w:rPr>
          <w:color w:val="231F20"/>
          <w:spacing w:val="-40"/>
          <w:w w:val="105"/>
        </w:rPr>
        <w:t> </w:t>
      </w:r>
      <w:r>
        <w:rPr>
          <w:color w:val="231F20"/>
          <w:w w:val="105"/>
        </w:rPr>
        <w:t>as</w:t>
      </w:r>
      <w:r>
        <w:rPr>
          <w:color w:val="231F20"/>
          <w:spacing w:val="-40"/>
          <w:w w:val="105"/>
        </w:rPr>
        <w:t> </w:t>
      </w:r>
      <w:r>
        <w:rPr>
          <w:color w:val="231F20"/>
          <w:spacing w:val="-3"/>
          <w:w w:val="105"/>
        </w:rPr>
        <w:t>children,</w:t>
      </w:r>
      <w:r>
        <w:rPr>
          <w:color w:val="231F20"/>
          <w:spacing w:val="-43"/>
          <w:w w:val="105"/>
        </w:rPr>
        <w:t> </w:t>
      </w:r>
      <w:r>
        <w:rPr>
          <w:color w:val="231F20"/>
          <w:w w:val="105"/>
        </w:rPr>
        <w:t>and</w:t>
      </w:r>
      <w:r>
        <w:rPr>
          <w:color w:val="231F20"/>
          <w:spacing w:val="-40"/>
          <w:w w:val="105"/>
        </w:rPr>
        <w:t> </w:t>
      </w:r>
      <w:r>
        <w:rPr>
          <w:color w:val="231F20"/>
          <w:spacing w:val="-2"/>
          <w:w w:val="105"/>
        </w:rPr>
        <w:t>having </w:t>
      </w:r>
      <w:r>
        <w:rPr>
          <w:color w:val="231F20"/>
          <w:spacing w:val="-3"/>
          <w:w w:val="105"/>
        </w:rPr>
        <w:t>roughly</w:t>
      </w:r>
      <w:r>
        <w:rPr>
          <w:color w:val="231F20"/>
          <w:spacing w:val="-25"/>
          <w:w w:val="105"/>
        </w:rPr>
        <w:t> </w:t>
      </w:r>
      <w:r>
        <w:rPr>
          <w:color w:val="231F20"/>
          <w:w w:val="105"/>
        </w:rPr>
        <w:t>the</w:t>
      </w:r>
      <w:r>
        <w:rPr>
          <w:color w:val="231F20"/>
          <w:spacing w:val="-25"/>
          <w:w w:val="105"/>
        </w:rPr>
        <w:t> </w:t>
      </w:r>
      <w:r>
        <w:rPr>
          <w:color w:val="231F20"/>
          <w:w w:val="105"/>
        </w:rPr>
        <w:t>same</w:t>
      </w:r>
      <w:r>
        <w:rPr>
          <w:color w:val="231F20"/>
          <w:spacing w:val="-25"/>
          <w:w w:val="105"/>
        </w:rPr>
        <w:t> </w:t>
      </w:r>
      <w:r>
        <w:rPr>
          <w:color w:val="231F20"/>
          <w:spacing w:val="-3"/>
          <w:w w:val="105"/>
        </w:rPr>
        <w:t>proficiency</w:t>
      </w:r>
      <w:r>
        <w:rPr>
          <w:color w:val="231F20"/>
          <w:spacing w:val="-25"/>
          <w:w w:val="105"/>
        </w:rPr>
        <w:t> </w:t>
      </w:r>
      <w:r>
        <w:rPr>
          <w:color w:val="231F20"/>
          <w:w w:val="105"/>
        </w:rPr>
        <w:t>skills</w:t>
      </w:r>
      <w:r>
        <w:rPr>
          <w:color w:val="231F20"/>
          <w:spacing w:val="-25"/>
          <w:w w:val="105"/>
        </w:rPr>
        <w:t> </w:t>
      </w:r>
      <w:r>
        <w:rPr>
          <w:color w:val="231F20"/>
          <w:w w:val="105"/>
        </w:rPr>
        <w:t>in</w:t>
      </w:r>
      <w:r>
        <w:rPr>
          <w:color w:val="231F20"/>
          <w:spacing w:val="-25"/>
          <w:w w:val="105"/>
        </w:rPr>
        <w:t> </w:t>
      </w:r>
      <w:r>
        <w:rPr>
          <w:color w:val="231F20"/>
          <w:w w:val="105"/>
        </w:rPr>
        <w:t>both</w:t>
      </w:r>
      <w:r>
        <w:rPr>
          <w:color w:val="231F20"/>
          <w:spacing w:val="-25"/>
          <w:w w:val="105"/>
        </w:rPr>
        <w:t> </w:t>
      </w:r>
      <w:r>
        <w:rPr>
          <w:color w:val="231F20"/>
          <w:w w:val="105"/>
        </w:rPr>
        <w:t>English</w:t>
      </w:r>
      <w:r>
        <w:rPr>
          <w:color w:val="231F20"/>
          <w:spacing w:val="-25"/>
          <w:w w:val="105"/>
        </w:rPr>
        <w:t> </w:t>
      </w:r>
      <w:r>
        <w:rPr>
          <w:color w:val="231F20"/>
          <w:w w:val="105"/>
        </w:rPr>
        <w:t>and</w:t>
      </w:r>
      <w:r>
        <w:rPr>
          <w:color w:val="231F20"/>
          <w:spacing w:val="-25"/>
          <w:w w:val="105"/>
        </w:rPr>
        <w:t> </w:t>
      </w:r>
      <w:r>
        <w:rPr>
          <w:color w:val="231F20"/>
          <w:w w:val="105"/>
        </w:rPr>
        <w:t>Spanish.</w:t>
      </w:r>
    </w:p>
    <w:p>
      <w:pPr>
        <w:pStyle w:val="BodyText"/>
        <w:rPr>
          <w:sz w:val="20"/>
        </w:rPr>
      </w:pPr>
    </w:p>
    <w:p>
      <w:pPr>
        <w:pStyle w:val="BodyText"/>
        <w:spacing w:before="9"/>
        <w:rPr>
          <w:sz w:val="20"/>
        </w:rPr>
      </w:pPr>
    </w:p>
    <w:p>
      <w:pPr>
        <w:pStyle w:val="Heading3"/>
        <w:ind w:left="1723"/>
      </w:pPr>
      <w:r>
        <w:rPr>
          <w:color w:val="231F20"/>
        </w:rPr>
        <w:t>Data Collection and Analysis</w:t>
      </w:r>
    </w:p>
    <w:p>
      <w:pPr>
        <w:pStyle w:val="BodyText"/>
        <w:rPr>
          <w:rFonts w:ascii="Arial"/>
          <w:b/>
          <w:sz w:val="22"/>
        </w:rPr>
      </w:pPr>
    </w:p>
    <w:p>
      <w:pPr>
        <w:pStyle w:val="BodyText"/>
        <w:spacing w:line="261" w:lineRule="auto" w:before="163"/>
        <w:ind w:left="1723" w:right="1834"/>
        <w:jc w:val="both"/>
      </w:pPr>
      <w:r>
        <w:rPr>
          <w:color w:val="231F20"/>
          <w:w w:val="105"/>
        </w:rPr>
        <w:t>All Facebook posts made during 2011 and 2012 comprise the data for this study. Additionally, I conducted traditional and online ethnographic participant-observations, screenshots of participants’ Facebook  pages</w:t>
      </w:r>
    </w:p>
    <w:p>
      <w:pPr>
        <w:pStyle w:val="BodyText"/>
        <w:rPr>
          <w:sz w:val="20"/>
        </w:rPr>
      </w:pPr>
    </w:p>
    <w:p>
      <w:pPr>
        <w:pStyle w:val="BodyText"/>
        <w:spacing w:before="11"/>
        <w:rPr>
          <w:sz w:val="29"/>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48120" from="131.551193pt,3.703715pt" to="131.551193pt,39.506114pt" stroked="true" strokeweight=".35pt" strokecolor="#231f20">
            <w10:wrap type="none"/>
          </v:line>
        </w:pict>
      </w:r>
      <w:r>
        <w:rPr/>
        <w:pict>
          <v:line style="position:absolute;mso-position-horizontal-relative:page;mso-position-vertical-relative:paragraph;z-index:-448048" from="15pt,39.505917pt" to="0pt,39.505917pt" stroked="true" strokeweight=".25pt" strokecolor="#000000">
            <w10:wrap type="none"/>
          </v:line>
        </w:pict>
      </w:r>
      <w:r>
        <w:rPr/>
        <w:pict>
          <v:line style="position:absolute;mso-position-horizontal-relative:page;mso-position-vertical-relative:paragraph;z-index:42160" from="508.890015pt,39.505917pt" to="523.890015pt,39.505917pt" stroked="true" strokeweight=".25pt" strokecolor="#000000">
            <w10:wrap type="none"/>
          </v:line>
        </w:pict>
      </w:r>
      <w:r>
        <w:rPr>
          <w:rFonts w:ascii="Arial"/>
          <w:color w:val="414042"/>
          <w:position w:val="-5"/>
          <w:sz w:val="20"/>
        </w:rPr>
        <w:t>358</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2184" from="405.061005pt,-27.904295pt" to="405.061005pt,6.961579pt" stroked="true" strokeweight=".35pt" strokecolor="#231f20">
            <w10:wrap type="none"/>
          </v:line>
        </w:pict>
      </w:r>
      <w:r>
        <w:rPr/>
        <w:pict>
          <v:line style="position:absolute;mso-position-horizontal-relative:page;mso-position-vertical-relative:paragraph;z-index:42208" from="15pt,-27.90452pt" to="0pt,-27.90452pt" stroked="true" strokeweight=".25pt" strokecolor="#000000">
            <w10:wrap type="none"/>
          </v:line>
        </w:pict>
      </w:r>
      <w:r>
        <w:rPr/>
        <w:pict>
          <v:line style="position:absolute;mso-position-horizontal-relative:page;mso-position-vertical-relative:paragraph;z-index:4223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359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6"/>
        <w:jc w:val="both"/>
      </w:pPr>
      <w:r>
        <w:rPr>
          <w:color w:val="231F20"/>
          <w:w w:val="105"/>
        </w:rPr>
        <w:t>and</w:t>
      </w:r>
      <w:r>
        <w:rPr>
          <w:color w:val="231F20"/>
          <w:spacing w:val="-13"/>
          <w:w w:val="105"/>
        </w:rPr>
        <w:t> </w:t>
      </w:r>
      <w:r>
        <w:rPr>
          <w:color w:val="231F20"/>
          <w:w w:val="105"/>
        </w:rPr>
        <w:t>interactions,</w:t>
      </w:r>
      <w:r>
        <w:rPr>
          <w:color w:val="231F20"/>
          <w:spacing w:val="-18"/>
          <w:w w:val="105"/>
        </w:rPr>
        <w:t> </w:t>
      </w:r>
      <w:r>
        <w:rPr>
          <w:color w:val="231F20"/>
          <w:w w:val="105"/>
        </w:rPr>
        <w:t>retrospective</w:t>
      </w:r>
      <w:r>
        <w:rPr>
          <w:color w:val="231F20"/>
          <w:spacing w:val="-13"/>
          <w:w w:val="105"/>
        </w:rPr>
        <w:t> </w:t>
      </w:r>
      <w:r>
        <w:rPr>
          <w:color w:val="231F20"/>
          <w:w w:val="105"/>
        </w:rPr>
        <w:t>interviews</w:t>
      </w:r>
      <w:r>
        <w:rPr>
          <w:color w:val="231F20"/>
          <w:spacing w:val="-13"/>
          <w:w w:val="105"/>
        </w:rPr>
        <w:t> </w:t>
      </w:r>
      <w:r>
        <w:rPr>
          <w:color w:val="231F20"/>
          <w:w w:val="105"/>
        </w:rPr>
        <w:t>about</w:t>
      </w:r>
      <w:r>
        <w:rPr>
          <w:color w:val="231F20"/>
          <w:spacing w:val="-13"/>
          <w:w w:val="105"/>
        </w:rPr>
        <w:t> </w:t>
      </w:r>
      <w:r>
        <w:rPr>
          <w:color w:val="231F20"/>
          <w:w w:val="105"/>
        </w:rPr>
        <w:t>Facebook</w:t>
      </w:r>
      <w:r>
        <w:rPr>
          <w:color w:val="231F20"/>
          <w:spacing w:val="-13"/>
          <w:w w:val="105"/>
        </w:rPr>
        <w:t> </w:t>
      </w:r>
      <w:r>
        <w:rPr>
          <w:color w:val="231F20"/>
          <w:w w:val="105"/>
        </w:rPr>
        <w:t>activities,</w:t>
      </w:r>
      <w:r>
        <w:rPr>
          <w:color w:val="231F20"/>
          <w:spacing w:val="-18"/>
          <w:w w:val="105"/>
        </w:rPr>
        <w:t> </w:t>
      </w:r>
      <w:r>
        <w:rPr>
          <w:color w:val="231F20"/>
          <w:w w:val="105"/>
        </w:rPr>
        <w:t>and field</w:t>
      </w:r>
      <w:r>
        <w:rPr>
          <w:color w:val="231F20"/>
          <w:spacing w:val="-24"/>
          <w:w w:val="105"/>
        </w:rPr>
        <w:t> </w:t>
      </w:r>
      <w:r>
        <w:rPr>
          <w:color w:val="231F20"/>
          <w:w w:val="105"/>
        </w:rPr>
        <w:t>notes.</w:t>
      </w:r>
      <w:r>
        <w:rPr>
          <w:color w:val="231F20"/>
          <w:spacing w:val="-32"/>
          <w:w w:val="105"/>
        </w:rPr>
        <w:t> </w:t>
      </w:r>
      <w:r>
        <w:rPr>
          <w:color w:val="231F20"/>
          <w:w w:val="105"/>
        </w:rPr>
        <w:t>The</w:t>
      </w:r>
      <w:r>
        <w:rPr>
          <w:color w:val="231F20"/>
          <w:spacing w:val="-24"/>
          <w:w w:val="105"/>
        </w:rPr>
        <w:t> </w:t>
      </w:r>
      <w:r>
        <w:rPr>
          <w:color w:val="231F20"/>
          <w:w w:val="105"/>
        </w:rPr>
        <w:t>analysis</w:t>
      </w:r>
      <w:r>
        <w:rPr>
          <w:color w:val="231F20"/>
          <w:spacing w:val="-24"/>
          <w:w w:val="105"/>
        </w:rPr>
        <w:t> </w:t>
      </w:r>
      <w:r>
        <w:rPr>
          <w:color w:val="231F20"/>
          <w:w w:val="105"/>
        </w:rPr>
        <w:t>focuses</w:t>
      </w:r>
      <w:r>
        <w:rPr>
          <w:color w:val="231F20"/>
          <w:spacing w:val="-24"/>
          <w:w w:val="105"/>
        </w:rPr>
        <w:t> </w:t>
      </w:r>
      <w:r>
        <w:rPr>
          <w:color w:val="231F20"/>
          <w:w w:val="105"/>
        </w:rPr>
        <w:t>on</w:t>
      </w:r>
      <w:r>
        <w:rPr>
          <w:color w:val="231F20"/>
          <w:spacing w:val="-24"/>
          <w:w w:val="105"/>
        </w:rPr>
        <w:t> </w:t>
      </w:r>
      <w:r>
        <w:rPr>
          <w:color w:val="231F20"/>
          <w:w w:val="105"/>
        </w:rPr>
        <w:t>conversations</w:t>
      </w:r>
      <w:r>
        <w:rPr>
          <w:color w:val="231F20"/>
          <w:spacing w:val="-24"/>
          <w:w w:val="105"/>
        </w:rPr>
        <w:t> </w:t>
      </w:r>
      <w:r>
        <w:rPr>
          <w:color w:val="231F20"/>
          <w:w w:val="105"/>
        </w:rPr>
        <w:t>that</w:t>
      </w:r>
      <w:r>
        <w:rPr>
          <w:color w:val="231F20"/>
          <w:spacing w:val="-24"/>
          <w:w w:val="105"/>
        </w:rPr>
        <w:t> </w:t>
      </w:r>
      <w:r>
        <w:rPr>
          <w:color w:val="231F20"/>
          <w:w w:val="105"/>
        </w:rPr>
        <w:t>occurred</w:t>
      </w:r>
      <w:r>
        <w:rPr>
          <w:color w:val="231F20"/>
          <w:spacing w:val="-24"/>
          <w:w w:val="105"/>
        </w:rPr>
        <w:t> </w:t>
      </w:r>
      <w:r>
        <w:rPr>
          <w:color w:val="231F20"/>
          <w:w w:val="105"/>
        </w:rPr>
        <w:t>on</w:t>
      </w:r>
      <w:r>
        <w:rPr>
          <w:color w:val="231F20"/>
          <w:spacing w:val="-24"/>
          <w:w w:val="105"/>
        </w:rPr>
        <w:t> </w:t>
      </w:r>
      <w:r>
        <w:rPr>
          <w:color w:val="231F20"/>
          <w:spacing w:val="-3"/>
          <w:w w:val="105"/>
        </w:rPr>
        <w:t>Face- </w:t>
      </w:r>
      <w:r>
        <w:rPr>
          <w:color w:val="231F20"/>
          <w:w w:val="105"/>
        </w:rPr>
        <w:t>book while members were in the same and in different countries. I then followed the tenets of discourse-centered online ethnography</w:t>
      </w:r>
      <w:r>
        <w:rPr>
          <w:color w:val="231F20"/>
          <w:spacing w:val="-17"/>
          <w:w w:val="105"/>
        </w:rPr>
        <w:t> </w:t>
      </w:r>
      <w:r>
        <w:rPr>
          <w:color w:val="231F20"/>
          <w:w w:val="105"/>
        </w:rPr>
        <w:t>(Androut- sopoulos,</w:t>
      </w:r>
      <w:r>
        <w:rPr>
          <w:color w:val="231F20"/>
          <w:spacing w:val="-18"/>
          <w:w w:val="105"/>
        </w:rPr>
        <w:t> </w:t>
      </w:r>
      <w:r>
        <w:rPr>
          <w:color w:val="231F20"/>
          <w:w w:val="105"/>
        </w:rPr>
        <w:t>2008)</w:t>
      </w:r>
      <w:r>
        <w:rPr>
          <w:color w:val="231F20"/>
          <w:spacing w:val="-13"/>
          <w:w w:val="105"/>
        </w:rPr>
        <w:t> </w:t>
      </w:r>
      <w:r>
        <w:rPr>
          <w:color w:val="231F20"/>
          <w:w w:val="105"/>
        </w:rPr>
        <w:t>to</w:t>
      </w:r>
      <w:r>
        <w:rPr>
          <w:color w:val="231F20"/>
          <w:spacing w:val="-13"/>
          <w:w w:val="105"/>
        </w:rPr>
        <w:t> </w:t>
      </w:r>
      <w:r>
        <w:rPr>
          <w:color w:val="231F20"/>
          <w:w w:val="105"/>
        </w:rPr>
        <w:t>analyze</w:t>
      </w:r>
      <w:r>
        <w:rPr>
          <w:color w:val="231F20"/>
          <w:spacing w:val="-13"/>
          <w:w w:val="105"/>
        </w:rPr>
        <w:t> </w:t>
      </w:r>
      <w:r>
        <w:rPr>
          <w:color w:val="231F20"/>
          <w:w w:val="105"/>
        </w:rPr>
        <w:t>the</w:t>
      </w:r>
      <w:r>
        <w:rPr>
          <w:color w:val="231F20"/>
          <w:spacing w:val="-13"/>
          <w:w w:val="105"/>
        </w:rPr>
        <w:t> </w:t>
      </w:r>
      <w:r>
        <w:rPr>
          <w:color w:val="231F20"/>
          <w:w w:val="105"/>
        </w:rPr>
        <w:t>conversations.</w:t>
      </w:r>
      <w:r>
        <w:rPr>
          <w:color w:val="231F20"/>
          <w:spacing w:val="-18"/>
          <w:w w:val="105"/>
        </w:rPr>
        <w:t> </w:t>
      </w:r>
      <w:r>
        <w:rPr>
          <w:color w:val="231F20"/>
          <w:w w:val="105"/>
        </w:rPr>
        <w:t>I</w:t>
      </w:r>
      <w:r>
        <w:rPr>
          <w:color w:val="231F20"/>
          <w:spacing w:val="-13"/>
          <w:w w:val="105"/>
        </w:rPr>
        <w:t> </w:t>
      </w:r>
      <w:r>
        <w:rPr>
          <w:color w:val="231F20"/>
          <w:w w:val="105"/>
        </w:rPr>
        <w:t>coded</w:t>
      </w:r>
      <w:r>
        <w:rPr>
          <w:color w:val="231F20"/>
          <w:spacing w:val="-13"/>
          <w:w w:val="105"/>
        </w:rPr>
        <w:t> </w:t>
      </w:r>
      <w:r>
        <w:rPr>
          <w:color w:val="231F20"/>
          <w:w w:val="105"/>
        </w:rPr>
        <w:t>the</w:t>
      </w:r>
      <w:r>
        <w:rPr>
          <w:color w:val="231F20"/>
          <w:spacing w:val="-13"/>
          <w:w w:val="105"/>
        </w:rPr>
        <w:t> </w:t>
      </w:r>
      <w:r>
        <w:rPr>
          <w:color w:val="231F20"/>
          <w:w w:val="105"/>
        </w:rPr>
        <w:t>conversations focusing</w:t>
      </w:r>
      <w:r>
        <w:rPr>
          <w:color w:val="231F20"/>
          <w:spacing w:val="-15"/>
          <w:w w:val="105"/>
        </w:rPr>
        <w:t> </w:t>
      </w:r>
      <w:r>
        <w:rPr>
          <w:color w:val="231F20"/>
          <w:w w:val="105"/>
        </w:rPr>
        <w:t>on</w:t>
      </w:r>
      <w:r>
        <w:rPr>
          <w:color w:val="231F20"/>
          <w:spacing w:val="-15"/>
          <w:w w:val="105"/>
        </w:rPr>
        <w:t> </w:t>
      </w:r>
      <w:r>
        <w:rPr>
          <w:color w:val="231F20"/>
          <w:w w:val="105"/>
        </w:rPr>
        <w:t>patters</w:t>
      </w:r>
      <w:r>
        <w:rPr>
          <w:color w:val="231F20"/>
          <w:spacing w:val="-15"/>
          <w:w w:val="105"/>
        </w:rPr>
        <w:t> </w:t>
      </w:r>
      <w:r>
        <w:rPr>
          <w:color w:val="231F20"/>
          <w:w w:val="105"/>
        </w:rPr>
        <w:t>of</w:t>
      </w:r>
      <w:r>
        <w:rPr>
          <w:color w:val="231F20"/>
          <w:spacing w:val="-10"/>
          <w:w w:val="105"/>
        </w:rPr>
        <w:t> </w:t>
      </w:r>
      <w:r>
        <w:rPr>
          <w:color w:val="231F20"/>
          <w:w w:val="105"/>
        </w:rPr>
        <w:t>discourse</w:t>
      </w:r>
      <w:r>
        <w:rPr>
          <w:color w:val="231F20"/>
          <w:spacing w:val="-15"/>
          <w:w w:val="105"/>
        </w:rPr>
        <w:t> </w:t>
      </w:r>
      <w:r>
        <w:rPr>
          <w:color w:val="231F20"/>
          <w:w w:val="105"/>
        </w:rPr>
        <w:t>that</w:t>
      </w:r>
      <w:r>
        <w:rPr>
          <w:color w:val="231F20"/>
          <w:spacing w:val="-15"/>
          <w:w w:val="105"/>
        </w:rPr>
        <w:t> </w:t>
      </w:r>
      <w:r>
        <w:rPr>
          <w:color w:val="231F20"/>
          <w:w w:val="105"/>
        </w:rPr>
        <w:t>reflected</w:t>
      </w:r>
      <w:r>
        <w:rPr>
          <w:color w:val="231F20"/>
          <w:spacing w:val="-15"/>
          <w:w w:val="105"/>
        </w:rPr>
        <w:t> </w:t>
      </w:r>
      <w:r>
        <w:rPr>
          <w:color w:val="231F20"/>
          <w:w w:val="105"/>
        </w:rPr>
        <w:t>participants’</w:t>
      </w:r>
      <w:r>
        <w:rPr>
          <w:color w:val="231F20"/>
          <w:spacing w:val="-15"/>
          <w:w w:val="105"/>
        </w:rPr>
        <w:t> </w:t>
      </w:r>
      <w:r>
        <w:rPr>
          <w:color w:val="231F20"/>
          <w:w w:val="105"/>
        </w:rPr>
        <w:t>transnationa- lism</w:t>
      </w:r>
      <w:r>
        <w:rPr>
          <w:color w:val="231F20"/>
          <w:spacing w:val="-9"/>
          <w:w w:val="105"/>
        </w:rPr>
        <w:t> </w:t>
      </w:r>
      <w:r>
        <w:rPr>
          <w:color w:val="231F20"/>
          <w:w w:val="105"/>
        </w:rPr>
        <w:t>(e.g.</w:t>
      </w:r>
      <w:r>
        <w:rPr>
          <w:color w:val="231F20"/>
          <w:spacing w:val="-16"/>
          <w:w w:val="105"/>
        </w:rPr>
        <w:t> </w:t>
      </w:r>
      <w:r>
        <w:rPr>
          <w:color w:val="231F20"/>
          <w:w w:val="105"/>
        </w:rPr>
        <w:t>displaying</w:t>
      </w:r>
      <w:r>
        <w:rPr>
          <w:color w:val="231F20"/>
          <w:spacing w:val="-9"/>
          <w:w w:val="105"/>
        </w:rPr>
        <w:t> </w:t>
      </w:r>
      <w:r>
        <w:rPr>
          <w:color w:val="231F20"/>
          <w:w w:val="105"/>
        </w:rPr>
        <w:t>knowledge</w:t>
      </w:r>
      <w:r>
        <w:rPr>
          <w:color w:val="231F20"/>
          <w:spacing w:val="-9"/>
          <w:w w:val="105"/>
        </w:rPr>
        <w:t> </w:t>
      </w:r>
      <w:r>
        <w:rPr>
          <w:color w:val="231F20"/>
          <w:w w:val="105"/>
        </w:rPr>
        <w:t>of</w:t>
      </w:r>
      <w:r>
        <w:rPr>
          <w:color w:val="231F20"/>
          <w:spacing w:val="-5"/>
          <w:w w:val="105"/>
        </w:rPr>
        <w:t> </w:t>
      </w:r>
      <w:r>
        <w:rPr>
          <w:color w:val="231F20"/>
          <w:w w:val="105"/>
        </w:rPr>
        <w:t>cultural</w:t>
      </w:r>
      <w:r>
        <w:rPr>
          <w:color w:val="231F20"/>
          <w:spacing w:val="-9"/>
          <w:w w:val="105"/>
        </w:rPr>
        <w:t> </w:t>
      </w:r>
      <w:r>
        <w:rPr>
          <w:color w:val="231F20"/>
          <w:w w:val="105"/>
        </w:rPr>
        <w:t>practices</w:t>
      </w:r>
      <w:r>
        <w:rPr>
          <w:color w:val="231F20"/>
          <w:spacing w:val="-9"/>
          <w:w w:val="105"/>
        </w:rPr>
        <w:t> </w:t>
      </w:r>
      <w:r>
        <w:rPr>
          <w:color w:val="231F20"/>
          <w:w w:val="105"/>
        </w:rPr>
        <w:t>in</w:t>
      </w:r>
      <w:r>
        <w:rPr>
          <w:color w:val="231F20"/>
          <w:spacing w:val="-9"/>
          <w:w w:val="105"/>
        </w:rPr>
        <w:t> </w:t>
      </w:r>
      <w:r>
        <w:rPr>
          <w:color w:val="231F20"/>
          <w:w w:val="105"/>
        </w:rPr>
        <w:t>the</w:t>
      </w:r>
      <w:r>
        <w:rPr>
          <w:color w:val="231F20"/>
          <w:spacing w:val="-9"/>
          <w:w w:val="105"/>
        </w:rPr>
        <w:t> </w:t>
      </w:r>
      <w:r>
        <w:rPr>
          <w:color w:val="231F20"/>
          <w:w w:val="105"/>
        </w:rPr>
        <w:t>other</w:t>
      </w:r>
      <w:r>
        <w:rPr>
          <w:color w:val="231F20"/>
          <w:spacing w:val="-9"/>
          <w:w w:val="105"/>
        </w:rPr>
        <w:t> </w:t>
      </w:r>
      <w:r>
        <w:rPr>
          <w:color w:val="231F20"/>
          <w:w w:val="105"/>
        </w:rPr>
        <w:t>country, such as how a specific dish is prepared at a local joint). I formed larger analytic</w:t>
      </w:r>
      <w:r>
        <w:rPr>
          <w:color w:val="231F20"/>
          <w:spacing w:val="-14"/>
          <w:w w:val="105"/>
        </w:rPr>
        <w:t> </w:t>
      </w:r>
      <w:r>
        <w:rPr>
          <w:color w:val="231F20"/>
          <w:w w:val="105"/>
        </w:rPr>
        <w:t>categories</w:t>
      </w:r>
      <w:r>
        <w:rPr>
          <w:color w:val="231F20"/>
          <w:spacing w:val="-14"/>
          <w:w w:val="105"/>
        </w:rPr>
        <w:t> </w:t>
      </w:r>
      <w:r>
        <w:rPr>
          <w:color w:val="231F20"/>
          <w:w w:val="105"/>
        </w:rPr>
        <w:t>that</w:t>
      </w:r>
      <w:r>
        <w:rPr>
          <w:color w:val="231F20"/>
          <w:spacing w:val="-14"/>
          <w:w w:val="105"/>
        </w:rPr>
        <w:t> </w:t>
      </w:r>
      <w:r>
        <w:rPr>
          <w:color w:val="231F20"/>
          <w:w w:val="105"/>
        </w:rPr>
        <w:t>emerged</w:t>
      </w:r>
      <w:r>
        <w:rPr>
          <w:color w:val="231F20"/>
          <w:spacing w:val="-14"/>
          <w:w w:val="105"/>
        </w:rPr>
        <w:t> </w:t>
      </w:r>
      <w:r>
        <w:rPr>
          <w:color w:val="231F20"/>
          <w:w w:val="105"/>
        </w:rPr>
        <w:t>from</w:t>
      </w:r>
      <w:r>
        <w:rPr>
          <w:color w:val="231F20"/>
          <w:spacing w:val="-14"/>
          <w:w w:val="105"/>
        </w:rPr>
        <w:t> </w:t>
      </w:r>
      <w:r>
        <w:rPr>
          <w:color w:val="231F20"/>
          <w:w w:val="105"/>
        </w:rPr>
        <w:t>these</w:t>
      </w:r>
      <w:r>
        <w:rPr>
          <w:color w:val="231F20"/>
          <w:spacing w:val="-14"/>
          <w:w w:val="105"/>
        </w:rPr>
        <w:t> </w:t>
      </w:r>
      <w:r>
        <w:rPr>
          <w:color w:val="231F20"/>
          <w:w w:val="105"/>
        </w:rPr>
        <w:t>patterns,</w:t>
      </w:r>
      <w:r>
        <w:rPr>
          <w:color w:val="231F20"/>
          <w:spacing w:val="-19"/>
          <w:w w:val="105"/>
        </w:rPr>
        <w:t> </w:t>
      </w:r>
      <w:r>
        <w:rPr>
          <w:color w:val="231F20"/>
          <w:w w:val="105"/>
        </w:rPr>
        <w:t>such</w:t>
      </w:r>
      <w:r>
        <w:rPr>
          <w:color w:val="231F20"/>
          <w:spacing w:val="-14"/>
          <w:w w:val="105"/>
        </w:rPr>
        <w:t> </w:t>
      </w:r>
      <w:r>
        <w:rPr>
          <w:color w:val="231F20"/>
          <w:w w:val="105"/>
        </w:rPr>
        <w:t>as</w:t>
      </w:r>
      <w:r>
        <w:rPr>
          <w:color w:val="231F20"/>
          <w:spacing w:val="-14"/>
          <w:w w:val="105"/>
        </w:rPr>
        <w:t> </w:t>
      </w:r>
      <w:r>
        <w:rPr>
          <w:rFonts w:ascii="Arial" w:hAnsi="Arial"/>
          <w:i/>
          <w:color w:val="231F20"/>
          <w:w w:val="105"/>
        </w:rPr>
        <w:t>x</w:t>
      </w:r>
      <w:r>
        <w:rPr>
          <w:rFonts w:ascii="Arial" w:hAnsi="Arial"/>
          <w:i/>
          <w:color w:val="231F20"/>
          <w:spacing w:val="-16"/>
          <w:w w:val="105"/>
        </w:rPr>
        <w:t> </w:t>
      </w:r>
      <w:r>
        <w:rPr>
          <w:color w:val="231F20"/>
          <w:w w:val="105"/>
        </w:rPr>
        <w:t>and</w:t>
      </w:r>
      <w:r>
        <w:rPr>
          <w:color w:val="231F20"/>
          <w:spacing w:val="-14"/>
          <w:w w:val="105"/>
        </w:rPr>
        <w:t> </w:t>
      </w:r>
      <w:r>
        <w:rPr>
          <w:rFonts w:ascii="Arial" w:hAnsi="Arial"/>
          <w:i/>
          <w:color w:val="231F20"/>
          <w:w w:val="105"/>
        </w:rPr>
        <w:t>y</w:t>
      </w:r>
      <w:r>
        <w:rPr>
          <w:color w:val="231F20"/>
          <w:w w:val="105"/>
        </w:rPr>
        <w:t>.</w:t>
      </w:r>
      <w:r>
        <w:rPr>
          <w:color w:val="231F20"/>
          <w:spacing w:val="-19"/>
          <w:w w:val="105"/>
        </w:rPr>
        <w:t> </w:t>
      </w:r>
      <w:r>
        <w:rPr>
          <w:color w:val="231F20"/>
          <w:w w:val="105"/>
        </w:rPr>
        <w:t>In the following section, I present examples, which are verbatim copies of Facebook</w:t>
      </w:r>
      <w:r>
        <w:rPr>
          <w:color w:val="231F20"/>
          <w:spacing w:val="-10"/>
          <w:w w:val="105"/>
        </w:rPr>
        <w:t> </w:t>
      </w:r>
      <w:r>
        <w:rPr>
          <w:color w:val="231F20"/>
          <w:w w:val="105"/>
        </w:rPr>
        <w:t>posts.</w:t>
      </w:r>
      <w:r>
        <w:rPr>
          <w:color w:val="231F20"/>
          <w:spacing w:val="-17"/>
          <w:w w:val="105"/>
        </w:rPr>
        <w:t> </w:t>
      </w:r>
      <w:r>
        <w:rPr>
          <w:color w:val="231F20"/>
          <w:w w:val="105"/>
        </w:rPr>
        <w:t>I</w:t>
      </w:r>
      <w:r>
        <w:rPr>
          <w:color w:val="231F20"/>
          <w:spacing w:val="-10"/>
          <w:w w:val="105"/>
        </w:rPr>
        <w:t> </w:t>
      </w:r>
      <w:r>
        <w:rPr>
          <w:color w:val="231F20"/>
          <w:w w:val="105"/>
        </w:rPr>
        <w:t>have</w:t>
      </w:r>
      <w:r>
        <w:rPr>
          <w:color w:val="231F20"/>
          <w:spacing w:val="-10"/>
          <w:w w:val="105"/>
        </w:rPr>
        <w:t> </w:t>
      </w:r>
      <w:r>
        <w:rPr>
          <w:color w:val="231F20"/>
          <w:w w:val="105"/>
        </w:rPr>
        <w:t>not</w:t>
      </w:r>
      <w:r>
        <w:rPr>
          <w:color w:val="231F20"/>
          <w:spacing w:val="-10"/>
          <w:w w:val="105"/>
        </w:rPr>
        <w:t> </w:t>
      </w:r>
      <w:r>
        <w:rPr>
          <w:color w:val="231F20"/>
          <w:w w:val="105"/>
        </w:rPr>
        <w:t>changed</w:t>
      </w:r>
      <w:r>
        <w:rPr>
          <w:color w:val="231F20"/>
          <w:spacing w:val="-10"/>
          <w:w w:val="105"/>
        </w:rPr>
        <w:t> </w:t>
      </w:r>
      <w:r>
        <w:rPr>
          <w:color w:val="231F20"/>
          <w:w w:val="105"/>
        </w:rPr>
        <w:t>their</w:t>
      </w:r>
      <w:r>
        <w:rPr>
          <w:color w:val="231F20"/>
          <w:spacing w:val="-10"/>
          <w:w w:val="105"/>
        </w:rPr>
        <w:t> </w:t>
      </w:r>
      <w:r>
        <w:rPr>
          <w:color w:val="231F20"/>
          <w:spacing w:val="-3"/>
          <w:w w:val="105"/>
        </w:rPr>
        <w:t>order,</w:t>
      </w:r>
      <w:r>
        <w:rPr>
          <w:color w:val="231F20"/>
          <w:spacing w:val="-17"/>
          <w:w w:val="105"/>
        </w:rPr>
        <w:t> </w:t>
      </w:r>
      <w:r>
        <w:rPr>
          <w:color w:val="231F20"/>
          <w:w w:val="105"/>
        </w:rPr>
        <w:t>spelling,</w:t>
      </w:r>
      <w:r>
        <w:rPr>
          <w:color w:val="231F20"/>
          <w:spacing w:val="-17"/>
          <w:w w:val="105"/>
        </w:rPr>
        <w:t> </w:t>
      </w:r>
      <w:r>
        <w:rPr>
          <w:color w:val="231F20"/>
          <w:w w:val="105"/>
        </w:rPr>
        <w:t>punctuation,</w:t>
      </w:r>
      <w:r>
        <w:rPr>
          <w:color w:val="231F20"/>
          <w:spacing w:val="-17"/>
          <w:w w:val="105"/>
        </w:rPr>
        <w:t> </w:t>
      </w:r>
      <w:r>
        <w:rPr>
          <w:color w:val="231F20"/>
          <w:w w:val="105"/>
        </w:rPr>
        <w:t>or grammar.</w:t>
      </w:r>
      <w:r>
        <w:rPr>
          <w:color w:val="231F20"/>
          <w:spacing w:val="-17"/>
          <w:w w:val="105"/>
        </w:rPr>
        <w:t> </w:t>
      </w:r>
      <w:r>
        <w:rPr>
          <w:color w:val="231F20"/>
          <w:w w:val="105"/>
        </w:rPr>
        <w:t>I</w:t>
      </w:r>
      <w:r>
        <w:rPr>
          <w:color w:val="231F20"/>
          <w:spacing w:val="-12"/>
          <w:w w:val="105"/>
        </w:rPr>
        <w:t> </w:t>
      </w:r>
      <w:r>
        <w:rPr>
          <w:color w:val="231F20"/>
          <w:w w:val="105"/>
        </w:rPr>
        <w:t>have</w:t>
      </w:r>
      <w:r>
        <w:rPr>
          <w:color w:val="231F20"/>
          <w:spacing w:val="-12"/>
          <w:w w:val="105"/>
        </w:rPr>
        <w:t> </w:t>
      </w:r>
      <w:r>
        <w:rPr>
          <w:color w:val="231F20"/>
          <w:w w:val="105"/>
        </w:rPr>
        <w:t>added</w:t>
      </w:r>
      <w:r>
        <w:rPr>
          <w:color w:val="231F20"/>
          <w:spacing w:val="-12"/>
          <w:w w:val="105"/>
        </w:rPr>
        <w:t> </w:t>
      </w:r>
      <w:r>
        <w:rPr>
          <w:color w:val="231F20"/>
          <w:w w:val="105"/>
        </w:rPr>
        <w:t>a</w:t>
      </w:r>
      <w:r>
        <w:rPr>
          <w:color w:val="231F20"/>
          <w:spacing w:val="-12"/>
          <w:w w:val="105"/>
        </w:rPr>
        <w:t> </w:t>
      </w:r>
      <w:r>
        <w:rPr>
          <w:color w:val="231F20"/>
          <w:w w:val="105"/>
        </w:rPr>
        <w:t>translation</w:t>
      </w:r>
      <w:r>
        <w:rPr>
          <w:color w:val="231F20"/>
          <w:spacing w:val="-12"/>
          <w:w w:val="105"/>
        </w:rPr>
        <w:t> </w:t>
      </w:r>
      <w:r>
        <w:rPr>
          <w:color w:val="231F20"/>
          <w:w w:val="105"/>
        </w:rPr>
        <w:t>on</w:t>
      </w:r>
      <w:r>
        <w:rPr>
          <w:color w:val="231F20"/>
          <w:spacing w:val="-12"/>
          <w:w w:val="105"/>
        </w:rPr>
        <w:t> </w:t>
      </w:r>
      <w:r>
        <w:rPr>
          <w:color w:val="231F20"/>
          <w:w w:val="105"/>
        </w:rPr>
        <w:t>the</w:t>
      </w:r>
      <w:r>
        <w:rPr>
          <w:color w:val="231F20"/>
          <w:spacing w:val="-12"/>
          <w:w w:val="105"/>
        </w:rPr>
        <w:t> </w:t>
      </w:r>
      <w:r>
        <w:rPr>
          <w:color w:val="231F20"/>
          <w:w w:val="105"/>
        </w:rPr>
        <w:t>right</w:t>
      </w:r>
      <w:r>
        <w:rPr>
          <w:color w:val="231F20"/>
          <w:spacing w:val="-12"/>
          <w:w w:val="105"/>
        </w:rPr>
        <w:t> </w:t>
      </w:r>
      <w:r>
        <w:rPr>
          <w:color w:val="231F20"/>
          <w:w w:val="105"/>
        </w:rPr>
        <w:t>column.</w:t>
      </w:r>
    </w:p>
    <w:p>
      <w:pPr>
        <w:pStyle w:val="BodyText"/>
        <w:rPr>
          <w:sz w:val="20"/>
        </w:rPr>
      </w:pPr>
    </w:p>
    <w:p>
      <w:pPr>
        <w:pStyle w:val="BodyText"/>
        <w:spacing w:before="9"/>
        <w:rPr>
          <w:sz w:val="20"/>
        </w:rPr>
      </w:pPr>
    </w:p>
    <w:p>
      <w:pPr>
        <w:pStyle w:val="Heading3"/>
      </w:pPr>
      <w:r>
        <w:rPr>
          <w:color w:val="231F20"/>
        </w:rPr>
        <w:t>Findings</w:t>
      </w:r>
    </w:p>
    <w:p>
      <w:pPr>
        <w:pStyle w:val="BodyText"/>
        <w:rPr>
          <w:rFonts w:ascii="Arial"/>
          <w:b/>
          <w:sz w:val="22"/>
        </w:rPr>
      </w:pPr>
    </w:p>
    <w:p>
      <w:pPr>
        <w:pStyle w:val="BodyText"/>
        <w:spacing w:line="261" w:lineRule="auto" w:before="163"/>
        <w:ind w:left="1837" w:right="1721"/>
        <w:jc w:val="both"/>
      </w:pPr>
      <w:r>
        <w:rPr>
          <w:color w:val="231F20"/>
          <w:w w:val="105"/>
        </w:rPr>
        <w:t>One</w:t>
      </w:r>
      <w:r>
        <w:rPr>
          <w:color w:val="231F20"/>
          <w:spacing w:val="-28"/>
          <w:w w:val="105"/>
        </w:rPr>
        <w:t> </w:t>
      </w:r>
      <w:r>
        <w:rPr>
          <w:color w:val="231F20"/>
          <w:w w:val="105"/>
        </w:rPr>
        <w:t>of</w:t>
      </w:r>
      <w:r>
        <w:rPr>
          <w:color w:val="231F20"/>
          <w:spacing w:val="-24"/>
          <w:w w:val="105"/>
        </w:rPr>
        <w:t> </w:t>
      </w:r>
      <w:r>
        <w:rPr>
          <w:color w:val="231F20"/>
          <w:w w:val="105"/>
        </w:rPr>
        <w:t>the</w:t>
      </w:r>
      <w:r>
        <w:rPr>
          <w:color w:val="231F20"/>
          <w:spacing w:val="-28"/>
          <w:w w:val="105"/>
        </w:rPr>
        <w:t> </w:t>
      </w:r>
      <w:r>
        <w:rPr>
          <w:color w:val="231F20"/>
          <w:w w:val="105"/>
        </w:rPr>
        <w:t>salient</w:t>
      </w:r>
      <w:r>
        <w:rPr>
          <w:color w:val="231F20"/>
          <w:spacing w:val="-28"/>
          <w:w w:val="105"/>
        </w:rPr>
        <w:t> </w:t>
      </w:r>
      <w:r>
        <w:rPr>
          <w:color w:val="231F20"/>
          <w:w w:val="105"/>
        </w:rPr>
        <w:t>discourses</w:t>
      </w:r>
      <w:r>
        <w:rPr>
          <w:color w:val="231F20"/>
          <w:spacing w:val="-28"/>
          <w:w w:val="105"/>
        </w:rPr>
        <w:t> </w:t>
      </w:r>
      <w:r>
        <w:rPr>
          <w:color w:val="231F20"/>
          <w:w w:val="105"/>
        </w:rPr>
        <w:t>in</w:t>
      </w:r>
      <w:r>
        <w:rPr>
          <w:color w:val="231F20"/>
          <w:spacing w:val="-28"/>
          <w:w w:val="105"/>
        </w:rPr>
        <w:t> </w:t>
      </w:r>
      <w:r>
        <w:rPr>
          <w:color w:val="231F20"/>
          <w:w w:val="105"/>
        </w:rPr>
        <w:t>these</w:t>
      </w:r>
      <w:r>
        <w:rPr>
          <w:color w:val="231F20"/>
          <w:spacing w:val="-28"/>
          <w:w w:val="105"/>
        </w:rPr>
        <w:t> </w:t>
      </w:r>
      <w:r>
        <w:rPr>
          <w:color w:val="231F20"/>
          <w:w w:val="105"/>
        </w:rPr>
        <w:t>members’</w:t>
      </w:r>
      <w:r>
        <w:rPr>
          <w:color w:val="231F20"/>
          <w:spacing w:val="-28"/>
          <w:w w:val="105"/>
        </w:rPr>
        <w:t> </w:t>
      </w:r>
      <w:r>
        <w:rPr>
          <w:color w:val="231F20"/>
          <w:w w:val="105"/>
        </w:rPr>
        <w:t>Facebook</w:t>
      </w:r>
      <w:r>
        <w:rPr>
          <w:color w:val="231F20"/>
          <w:spacing w:val="-28"/>
          <w:w w:val="105"/>
        </w:rPr>
        <w:t> </w:t>
      </w:r>
      <w:r>
        <w:rPr>
          <w:color w:val="231F20"/>
          <w:w w:val="105"/>
        </w:rPr>
        <w:t>activities</w:t>
      </w:r>
      <w:r>
        <w:rPr>
          <w:color w:val="231F20"/>
          <w:spacing w:val="-28"/>
          <w:w w:val="105"/>
        </w:rPr>
        <w:t> </w:t>
      </w:r>
      <w:r>
        <w:rPr>
          <w:color w:val="231F20"/>
          <w:w w:val="105"/>
        </w:rPr>
        <w:t>is</w:t>
      </w:r>
      <w:r>
        <w:rPr>
          <w:color w:val="231F20"/>
          <w:spacing w:val="-28"/>
          <w:w w:val="105"/>
        </w:rPr>
        <w:t> </w:t>
      </w:r>
      <w:r>
        <w:rPr>
          <w:color w:val="231F20"/>
          <w:w w:val="105"/>
        </w:rPr>
        <w:t>the use</w:t>
      </w:r>
      <w:r>
        <w:rPr>
          <w:color w:val="231F20"/>
          <w:spacing w:val="-11"/>
          <w:w w:val="105"/>
        </w:rPr>
        <w:t> </w:t>
      </w:r>
      <w:r>
        <w:rPr>
          <w:color w:val="231F20"/>
          <w:w w:val="105"/>
        </w:rPr>
        <w:t>of</w:t>
      </w:r>
      <w:r>
        <w:rPr>
          <w:color w:val="231F20"/>
          <w:spacing w:val="-6"/>
          <w:w w:val="105"/>
        </w:rPr>
        <w:t> </w:t>
      </w:r>
      <w:r>
        <w:rPr>
          <w:color w:val="231F20"/>
          <w:w w:val="105"/>
        </w:rPr>
        <w:t>deixis,</w:t>
      </w:r>
      <w:r>
        <w:rPr>
          <w:color w:val="231F20"/>
          <w:spacing w:val="-17"/>
          <w:w w:val="105"/>
        </w:rPr>
        <w:t> </w:t>
      </w:r>
      <w:r>
        <w:rPr>
          <w:color w:val="231F20"/>
          <w:w w:val="105"/>
        </w:rPr>
        <w:t>words</w:t>
      </w:r>
      <w:r>
        <w:rPr>
          <w:color w:val="231F20"/>
          <w:spacing w:val="-11"/>
          <w:w w:val="105"/>
        </w:rPr>
        <w:t> </w:t>
      </w:r>
      <w:r>
        <w:rPr>
          <w:color w:val="231F20"/>
          <w:w w:val="105"/>
        </w:rPr>
        <w:t>and</w:t>
      </w:r>
      <w:r>
        <w:rPr>
          <w:color w:val="231F20"/>
          <w:spacing w:val="-11"/>
          <w:w w:val="105"/>
        </w:rPr>
        <w:t> </w:t>
      </w:r>
      <w:r>
        <w:rPr>
          <w:color w:val="231F20"/>
          <w:w w:val="105"/>
        </w:rPr>
        <w:t>phrases</w:t>
      </w:r>
      <w:r>
        <w:rPr>
          <w:color w:val="231F20"/>
          <w:spacing w:val="-11"/>
          <w:w w:val="105"/>
        </w:rPr>
        <w:t> </w:t>
      </w:r>
      <w:r>
        <w:rPr>
          <w:color w:val="231F20"/>
          <w:w w:val="105"/>
        </w:rPr>
        <w:t>that</w:t>
      </w:r>
      <w:r>
        <w:rPr>
          <w:color w:val="231F20"/>
          <w:spacing w:val="-11"/>
          <w:w w:val="105"/>
        </w:rPr>
        <w:t> </w:t>
      </w:r>
      <w:r>
        <w:rPr>
          <w:color w:val="231F20"/>
          <w:w w:val="105"/>
        </w:rPr>
        <w:t>cannot</w:t>
      </w:r>
      <w:r>
        <w:rPr>
          <w:color w:val="231F20"/>
          <w:spacing w:val="-11"/>
          <w:w w:val="105"/>
        </w:rPr>
        <w:t> </w:t>
      </w:r>
      <w:r>
        <w:rPr>
          <w:color w:val="231F20"/>
          <w:w w:val="105"/>
        </w:rPr>
        <w:t>be</w:t>
      </w:r>
      <w:r>
        <w:rPr>
          <w:color w:val="231F20"/>
          <w:spacing w:val="-11"/>
          <w:w w:val="105"/>
        </w:rPr>
        <w:t> </w:t>
      </w:r>
      <w:r>
        <w:rPr>
          <w:color w:val="231F20"/>
          <w:w w:val="105"/>
        </w:rPr>
        <w:t>understood</w:t>
      </w:r>
      <w:r>
        <w:rPr>
          <w:color w:val="231F20"/>
          <w:spacing w:val="-11"/>
          <w:w w:val="105"/>
        </w:rPr>
        <w:t> </w:t>
      </w:r>
      <w:r>
        <w:rPr>
          <w:color w:val="231F20"/>
          <w:w w:val="105"/>
        </w:rPr>
        <w:t>fully</w:t>
      </w:r>
      <w:r>
        <w:rPr>
          <w:color w:val="231F20"/>
          <w:spacing w:val="-11"/>
          <w:w w:val="105"/>
        </w:rPr>
        <w:t> </w:t>
      </w:r>
      <w:r>
        <w:rPr>
          <w:color w:val="231F20"/>
          <w:w w:val="105"/>
        </w:rPr>
        <w:t>without additional</w:t>
      </w:r>
      <w:r>
        <w:rPr>
          <w:color w:val="231F20"/>
          <w:spacing w:val="-13"/>
          <w:w w:val="105"/>
        </w:rPr>
        <w:t> </w:t>
      </w:r>
      <w:r>
        <w:rPr>
          <w:color w:val="231F20"/>
          <w:w w:val="105"/>
        </w:rPr>
        <w:t>information</w:t>
      </w:r>
      <w:r>
        <w:rPr>
          <w:color w:val="231F20"/>
          <w:spacing w:val="-13"/>
          <w:w w:val="105"/>
        </w:rPr>
        <w:t> </w:t>
      </w:r>
      <w:r>
        <w:rPr>
          <w:color w:val="231F20"/>
          <w:w w:val="105"/>
        </w:rPr>
        <w:t>about</w:t>
      </w:r>
      <w:r>
        <w:rPr>
          <w:color w:val="231F20"/>
          <w:spacing w:val="-13"/>
          <w:w w:val="105"/>
        </w:rPr>
        <w:t> </w:t>
      </w:r>
      <w:r>
        <w:rPr>
          <w:color w:val="231F20"/>
          <w:w w:val="105"/>
        </w:rPr>
        <w:t>the</w:t>
      </w:r>
      <w:r>
        <w:rPr>
          <w:color w:val="231F20"/>
          <w:spacing w:val="-13"/>
          <w:w w:val="105"/>
        </w:rPr>
        <w:t> </w:t>
      </w:r>
      <w:r>
        <w:rPr>
          <w:color w:val="231F20"/>
          <w:w w:val="105"/>
        </w:rPr>
        <w:t>context.</w:t>
      </w:r>
      <w:r>
        <w:rPr>
          <w:color w:val="231F20"/>
          <w:spacing w:val="-24"/>
          <w:w w:val="105"/>
        </w:rPr>
        <w:t> </w:t>
      </w:r>
      <w:r>
        <w:rPr>
          <w:color w:val="231F20"/>
          <w:w w:val="105"/>
        </w:rPr>
        <w:t>This</w:t>
      </w:r>
      <w:r>
        <w:rPr>
          <w:color w:val="231F20"/>
          <w:spacing w:val="-13"/>
          <w:w w:val="105"/>
        </w:rPr>
        <w:t> </w:t>
      </w:r>
      <w:r>
        <w:rPr>
          <w:color w:val="231F20"/>
          <w:w w:val="105"/>
        </w:rPr>
        <w:t>is</w:t>
      </w:r>
      <w:r>
        <w:rPr>
          <w:color w:val="231F20"/>
          <w:spacing w:val="-13"/>
          <w:w w:val="105"/>
        </w:rPr>
        <w:t> </w:t>
      </w:r>
      <w:r>
        <w:rPr>
          <w:color w:val="231F20"/>
          <w:w w:val="105"/>
        </w:rPr>
        <w:t>the</w:t>
      </w:r>
      <w:r>
        <w:rPr>
          <w:color w:val="231F20"/>
          <w:spacing w:val="-13"/>
          <w:w w:val="105"/>
        </w:rPr>
        <w:t> </w:t>
      </w:r>
      <w:r>
        <w:rPr>
          <w:color w:val="231F20"/>
          <w:w w:val="105"/>
        </w:rPr>
        <w:t>kind</w:t>
      </w:r>
      <w:r>
        <w:rPr>
          <w:color w:val="231F20"/>
          <w:spacing w:val="-13"/>
          <w:w w:val="105"/>
        </w:rPr>
        <w:t> </w:t>
      </w:r>
      <w:r>
        <w:rPr>
          <w:color w:val="231F20"/>
          <w:w w:val="105"/>
        </w:rPr>
        <w:t>of</w:t>
      </w:r>
      <w:r>
        <w:rPr>
          <w:color w:val="231F20"/>
          <w:spacing w:val="-8"/>
          <w:w w:val="105"/>
        </w:rPr>
        <w:t> </w:t>
      </w:r>
      <w:r>
        <w:rPr>
          <w:color w:val="231F20"/>
          <w:w w:val="105"/>
        </w:rPr>
        <w:t>talk</w:t>
      </w:r>
      <w:r>
        <w:rPr>
          <w:color w:val="231F20"/>
          <w:spacing w:val="-13"/>
          <w:w w:val="105"/>
        </w:rPr>
        <w:t> </w:t>
      </w:r>
      <w:r>
        <w:rPr>
          <w:color w:val="231F20"/>
          <w:w w:val="105"/>
        </w:rPr>
        <w:t>members use for communication among members living in the U.S. (various nei- ghborhoods in Chicago and other cities and states) and members</w:t>
      </w:r>
      <w:r>
        <w:rPr>
          <w:color w:val="231F20"/>
          <w:spacing w:val="-19"/>
          <w:w w:val="105"/>
        </w:rPr>
        <w:t> </w:t>
      </w:r>
      <w:r>
        <w:rPr>
          <w:color w:val="231F20"/>
          <w:w w:val="105"/>
        </w:rPr>
        <w:t>living in</w:t>
      </w:r>
      <w:r>
        <w:rPr>
          <w:color w:val="231F20"/>
          <w:spacing w:val="-6"/>
          <w:w w:val="105"/>
        </w:rPr>
        <w:t> </w:t>
      </w:r>
      <w:r>
        <w:rPr>
          <w:color w:val="231F20"/>
          <w:w w:val="105"/>
        </w:rPr>
        <w:t>Michoacán.</w:t>
      </w:r>
      <w:r>
        <w:rPr>
          <w:color w:val="231F20"/>
          <w:spacing w:val="-15"/>
          <w:w w:val="105"/>
        </w:rPr>
        <w:t> </w:t>
      </w:r>
      <w:r>
        <w:rPr>
          <w:color w:val="231F20"/>
          <w:w w:val="105"/>
        </w:rPr>
        <w:t>The</w:t>
      </w:r>
      <w:r>
        <w:rPr>
          <w:color w:val="231F20"/>
          <w:spacing w:val="-6"/>
          <w:w w:val="105"/>
        </w:rPr>
        <w:t> </w:t>
      </w:r>
      <w:r>
        <w:rPr>
          <w:color w:val="231F20"/>
          <w:w w:val="105"/>
        </w:rPr>
        <w:t>frequent</w:t>
      </w:r>
      <w:r>
        <w:rPr>
          <w:color w:val="231F20"/>
          <w:spacing w:val="-6"/>
          <w:w w:val="105"/>
        </w:rPr>
        <w:t> </w:t>
      </w:r>
      <w:r>
        <w:rPr>
          <w:color w:val="231F20"/>
          <w:w w:val="105"/>
        </w:rPr>
        <w:t>use</w:t>
      </w:r>
      <w:r>
        <w:rPr>
          <w:color w:val="231F20"/>
          <w:spacing w:val="-6"/>
          <w:w w:val="105"/>
        </w:rPr>
        <w:t> </w:t>
      </w:r>
      <w:r>
        <w:rPr>
          <w:color w:val="231F20"/>
          <w:w w:val="105"/>
        </w:rPr>
        <w:t>of</w:t>
      </w:r>
      <w:r>
        <w:rPr>
          <w:color w:val="231F20"/>
          <w:spacing w:val="-2"/>
          <w:w w:val="105"/>
        </w:rPr>
        <w:t> </w:t>
      </w:r>
      <w:r>
        <w:rPr>
          <w:color w:val="231F20"/>
          <w:w w:val="105"/>
        </w:rPr>
        <w:t>deictic</w:t>
      </w:r>
      <w:r>
        <w:rPr>
          <w:color w:val="231F20"/>
          <w:spacing w:val="-6"/>
          <w:w w:val="105"/>
        </w:rPr>
        <w:t> </w:t>
      </w:r>
      <w:r>
        <w:rPr>
          <w:color w:val="231F20"/>
          <w:w w:val="105"/>
        </w:rPr>
        <w:t>features</w:t>
      </w:r>
      <w:r>
        <w:rPr>
          <w:color w:val="231F20"/>
          <w:spacing w:val="-6"/>
          <w:w w:val="105"/>
        </w:rPr>
        <w:t> </w:t>
      </w:r>
      <w:r>
        <w:rPr>
          <w:color w:val="231F20"/>
          <w:w w:val="105"/>
        </w:rPr>
        <w:t>include</w:t>
      </w:r>
      <w:r>
        <w:rPr>
          <w:color w:val="231F20"/>
          <w:spacing w:val="-6"/>
          <w:w w:val="105"/>
        </w:rPr>
        <w:t> </w:t>
      </w:r>
      <w:r>
        <w:rPr>
          <w:color w:val="231F20"/>
          <w:w w:val="105"/>
        </w:rPr>
        <w:t>references</w:t>
      </w:r>
      <w:r>
        <w:rPr>
          <w:color w:val="231F20"/>
          <w:spacing w:val="-6"/>
          <w:w w:val="105"/>
        </w:rPr>
        <w:t> </w:t>
      </w:r>
      <w:r>
        <w:rPr>
          <w:color w:val="231F20"/>
          <w:w w:val="105"/>
        </w:rPr>
        <w:t>to here and there – </w:t>
      </w:r>
      <w:r>
        <w:rPr>
          <w:rFonts w:ascii="Arial" w:hAnsi="Arial"/>
          <w:i/>
          <w:color w:val="231F20"/>
          <w:w w:val="105"/>
        </w:rPr>
        <w:t>aquí</w:t>
      </w:r>
      <w:r>
        <w:rPr>
          <w:color w:val="231F20"/>
          <w:w w:val="105"/>
        </w:rPr>
        <w:t>, </w:t>
      </w:r>
      <w:r>
        <w:rPr>
          <w:rFonts w:ascii="Arial" w:hAnsi="Arial"/>
          <w:i/>
          <w:color w:val="231F20"/>
          <w:w w:val="105"/>
        </w:rPr>
        <w:t>acá</w:t>
      </w:r>
      <w:r>
        <w:rPr>
          <w:color w:val="231F20"/>
          <w:w w:val="105"/>
        </w:rPr>
        <w:t>, </w:t>
      </w:r>
      <w:r>
        <w:rPr>
          <w:rFonts w:ascii="Arial" w:hAnsi="Arial"/>
          <w:i/>
          <w:color w:val="231F20"/>
          <w:w w:val="105"/>
        </w:rPr>
        <w:t>allá</w:t>
      </w:r>
      <w:r>
        <w:rPr>
          <w:color w:val="231F20"/>
          <w:w w:val="105"/>
        </w:rPr>
        <w:t>) and reported speech features such as “</w:t>
      </w:r>
      <w:r>
        <w:rPr>
          <w:rFonts w:ascii="Arial" w:hAnsi="Arial"/>
          <w:i/>
          <w:color w:val="231F20"/>
          <w:w w:val="105"/>
        </w:rPr>
        <w:t>le dices</w:t>
      </w:r>
      <w:r>
        <w:rPr>
          <w:color w:val="231F20"/>
          <w:w w:val="105"/>
        </w:rPr>
        <w:t>” (tell him/her). What is more, the topics associated with deictic discourse make it uniquely transnational. These topics tend to be</w:t>
      </w:r>
      <w:r>
        <w:rPr>
          <w:color w:val="231F20"/>
          <w:spacing w:val="-22"/>
          <w:w w:val="105"/>
        </w:rPr>
        <w:t> </w:t>
      </w:r>
      <w:r>
        <w:rPr>
          <w:color w:val="231F20"/>
          <w:w w:val="105"/>
        </w:rPr>
        <w:t>about places and things, such as food that members on either side of the bor- der need to know or have experienced first hand in order to enter the conversation.</w:t>
      </w:r>
      <w:r>
        <w:rPr>
          <w:color w:val="231F20"/>
          <w:spacing w:val="-38"/>
          <w:w w:val="105"/>
        </w:rPr>
        <w:t> </w:t>
      </w:r>
      <w:r>
        <w:rPr>
          <w:color w:val="231F20"/>
          <w:w w:val="105"/>
        </w:rPr>
        <w:t>Participants</w:t>
      </w:r>
      <w:r>
        <w:rPr>
          <w:color w:val="231F20"/>
          <w:spacing w:val="-34"/>
          <w:w w:val="105"/>
        </w:rPr>
        <w:t> </w:t>
      </w:r>
      <w:r>
        <w:rPr>
          <w:color w:val="231F20"/>
          <w:w w:val="105"/>
        </w:rPr>
        <w:t>use</w:t>
      </w:r>
      <w:r>
        <w:rPr>
          <w:color w:val="231F20"/>
          <w:spacing w:val="-34"/>
          <w:w w:val="105"/>
        </w:rPr>
        <w:t> </w:t>
      </w:r>
      <w:r>
        <w:rPr>
          <w:color w:val="231F20"/>
          <w:w w:val="105"/>
        </w:rPr>
        <w:t>Facebook</w:t>
      </w:r>
      <w:r>
        <w:rPr>
          <w:color w:val="231F20"/>
          <w:spacing w:val="-34"/>
          <w:w w:val="105"/>
        </w:rPr>
        <w:t> </w:t>
      </w:r>
      <w:r>
        <w:rPr>
          <w:color w:val="231F20"/>
          <w:w w:val="105"/>
        </w:rPr>
        <w:t>to</w:t>
      </w:r>
      <w:r>
        <w:rPr>
          <w:color w:val="231F20"/>
          <w:spacing w:val="-34"/>
          <w:w w:val="105"/>
        </w:rPr>
        <w:t> </w:t>
      </w:r>
      <w:r>
        <w:rPr>
          <w:color w:val="231F20"/>
          <w:w w:val="105"/>
        </w:rPr>
        <w:t>construct</w:t>
      </w:r>
      <w:r>
        <w:rPr>
          <w:color w:val="231F20"/>
          <w:spacing w:val="-34"/>
          <w:w w:val="105"/>
        </w:rPr>
        <w:t> </w:t>
      </w:r>
      <w:r>
        <w:rPr>
          <w:color w:val="231F20"/>
          <w:w w:val="105"/>
        </w:rPr>
        <w:t>discourse</w:t>
      </w:r>
      <w:r>
        <w:rPr>
          <w:color w:val="231F20"/>
          <w:spacing w:val="-34"/>
          <w:w w:val="105"/>
        </w:rPr>
        <w:t> </w:t>
      </w:r>
      <w:r>
        <w:rPr>
          <w:color w:val="231F20"/>
          <w:w w:val="105"/>
        </w:rPr>
        <w:t>for</w:t>
      </w:r>
      <w:r>
        <w:rPr>
          <w:color w:val="231F20"/>
          <w:spacing w:val="-34"/>
          <w:w w:val="105"/>
        </w:rPr>
        <w:t> </w:t>
      </w:r>
      <w:r>
        <w:rPr>
          <w:color w:val="231F20"/>
          <w:w w:val="105"/>
        </w:rPr>
        <w:t>a</w:t>
      </w:r>
      <w:r>
        <w:rPr>
          <w:color w:val="231F20"/>
          <w:spacing w:val="-34"/>
          <w:w w:val="105"/>
        </w:rPr>
        <w:t> </w:t>
      </w:r>
      <w:r>
        <w:rPr>
          <w:color w:val="231F20"/>
          <w:w w:val="105"/>
        </w:rPr>
        <w:t>num- ber of purposes including: a) planning, gathering online</w:t>
      </w:r>
      <w:r>
        <w:rPr>
          <w:color w:val="231F20"/>
          <w:spacing w:val="5"/>
          <w:w w:val="105"/>
        </w:rPr>
        <w:t> </w:t>
      </w:r>
      <w:r>
        <w:rPr>
          <w:color w:val="231F20"/>
          <w:w w:val="105"/>
        </w:rPr>
        <w:t>spontaneously;</w:t>
      </w:r>
    </w:p>
    <w:p>
      <w:pPr>
        <w:pStyle w:val="BodyText"/>
        <w:spacing w:line="261" w:lineRule="auto" w:before="1"/>
        <w:ind w:left="1837" w:right="1720"/>
        <w:jc w:val="both"/>
      </w:pPr>
      <w:r>
        <w:rPr>
          <w:color w:val="231F20"/>
          <w:w w:val="105"/>
        </w:rPr>
        <w:t>b) maintaining connections; and c) fulfilling family roles. In the following section,</w:t>
      </w:r>
      <w:r>
        <w:rPr>
          <w:color w:val="231F20"/>
          <w:spacing w:val="-30"/>
          <w:w w:val="105"/>
        </w:rPr>
        <w:t> </w:t>
      </w:r>
      <w:r>
        <w:rPr>
          <w:color w:val="231F20"/>
          <w:w w:val="105"/>
        </w:rPr>
        <w:t>each</w:t>
      </w:r>
      <w:r>
        <w:rPr>
          <w:color w:val="231F20"/>
          <w:spacing w:val="-25"/>
          <w:w w:val="105"/>
        </w:rPr>
        <w:t> </w:t>
      </w:r>
      <w:r>
        <w:rPr>
          <w:color w:val="231F20"/>
          <w:w w:val="105"/>
        </w:rPr>
        <w:t>one</w:t>
      </w:r>
      <w:r>
        <w:rPr>
          <w:color w:val="231F20"/>
          <w:spacing w:val="-25"/>
          <w:w w:val="105"/>
        </w:rPr>
        <w:t> </w:t>
      </w:r>
      <w:r>
        <w:rPr>
          <w:color w:val="231F20"/>
          <w:w w:val="105"/>
        </w:rPr>
        <w:t>of</w:t>
      </w:r>
      <w:r>
        <w:rPr>
          <w:color w:val="231F20"/>
          <w:spacing w:val="-20"/>
          <w:w w:val="105"/>
        </w:rPr>
        <w:t> </w:t>
      </w:r>
      <w:r>
        <w:rPr>
          <w:color w:val="231F20"/>
          <w:w w:val="105"/>
        </w:rPr>
        <w:t>the</w:t>
      </w:r>
      <w:r>
        <w:rPr>
          <w:color w:val="231F20"/>
          <w:spacing w:val="-25"/>
          <w:w w:val="105"/>
        </w:rPr>
        <w:t> </w:t>
      </w:r>
      <w:r>
        <w:rPr>
          <w:color w:val="231F20"/>
          <w:w w:val="105"/>
        </w:rPr>
        <w:t>uses</w:t>
      </w:r>
      <w:r>
        <w:rPr>
          <w:color w:val="231F20"/>
          <w:spacing w:val="-25"/>
          <w:w w:val="105"/>
        </w:rPr>
        <w:t> </w:t>
      </w:r>
      <w:r>
        <w:rPr>
          <w:color w:val="231F20"/>
          <w:w w:val="105"/>
        </w:rPr>
        <w:t>of</w:t>
      </w:r>
      <w:r>
        <w:rPr>
          <w:color w:val="231F20"/>
          <w:spacing w:val="-20"/>
          <w:w w:val="105"/>
        </w:rPr>
        <w:t> </w:t>
      </w:r>
      <w:r>
        <w:rPr>
          <w:color w:val="231F20"/>
          <w:w w:val="105"/>
        </w:rPr>
        <w:t>Facebook</w:t>
      </w:r>
      <w:r>
        <w:rPr>
          <w:color w:val="231F20"/>
          <w:spacing w:val="-25"/>
          <w:w w:val="105"/>
        </w:rPr>
        <w:t> </w:t>
      </w:r>
      <w:r>
        <w:rPr>
          <w:color w:val="231F20"/>
          <w:w w:val="105"/>
        </w:rPr>
        <w:t>will</w:t>
      </w:r>
      <w:r>
        <w:rPr>
          <w:color w:val="231F20"/>
          <w:spacing w:val="-25"/>
          <w:w w:val="105"/>
        </w:rPr>
        <w:t> </w:t>
      </w:r>
      <w:r>
        <w:rPr>
          <w:color w:val="231F20"/>
          <w:w w:val="105"/>
        </w:rPr>
        <w:t>be</w:t>
      </w:r>
      <w:r>
        <w:rPr>
          <w:color w:val="231F20"/>
          <w:spacing w:val="-25"/>
          <w:w w:val="105"/>
        </w:rPr>
        <w:t> </w:t>
      </w:r>
      <w:r>
        <w:rPr>
          <w:color w:val="231F20"/>
          <w:w w:val="105"/>
        </w:rPr>
        <w:t>explained</w:t>
      </w:r>
      <w:r>
        <w:rPr>
          <w:color w:val="231F20"/>
          <w:spacing w:val="-25"/>
          <w:w w:val="105"/>
        </w:rPr>
        <w:t> </w:t>
      </w:r>
      <w:r>
        <w:rPr>
          <w:color w:val="231F20"/>
          <w:w w:val="105"/>
        </w:rPr>
        <w:t>and</w:t>
      </w:r>
      <w:r>
        <w:rPr>
          <w:color w:val="231F20"/>
          <w:spacing w:val="-25"/>
          <w:w w:val="105"/>
        </w:rPr>
        <w:t> </w:t>
      </w:r>
      <w:r>
        <w:rPr>
          <w:color w:val="231F20"/>
          <w:w w:val="105"/>
        </w:rPr>
        <w:t>the</w:t>
      </w:r>
      <w:r>
        <w:rPr>
          <w:color w:val="231F20"/>
          <w:spacing w:val="-25"/>
          <w:w w:val="105"/>
        </w:rPr>
        <w:t> </w:t>
      </w:r>
      <w:r>
        <w:rPr>
          <w:color w:val="231F20"/>
          <w:w w:val="105"/>
        </w:rPr>
        <w:t>trans- national</w:t>
      </w:r>
      <w:r>
        <w:rPr>
          <w:color w:val="231F20"/>
          <w:spacing w:val="-21"/>
          <w:w w:val="105"/>
        </w:rPr>
        <w:t> </w:t>
      </w:r>
      <w:r>
        <w:rPr>
          <w:color w:val="231F20"/>
          <w:w w:val="105"/>
        </w:rPr>
        <w:t>discourse</w:t>
      </w:r>
      <w:r>
        <w:rPr>
          <w:color w:val="231F20"/>
          <w:spacing w:val="-21"/>
          <w:w w:val="105"/>
        </w:rPr>
        <w:t> </w:t>
      </w:r>
      <w:r>
        <w:rPr>
          <w:color w:val="231F20"/>
          <w:w w:val="105"/>
        </w:rPr>
        <w:t>created</w:t>
      </w:r>
      <w:r>
        <w:rPr>
          <w:color w:val="231F20"/>
          <w:spacing w:val="-21"/>
          <w:w w:val="105"/>
        </w:rPr>
        <w:t> </w:t>
      </w:r>
      <w:r>
        <w:rPr>
          <w:color w:val="231F20"/>
          <w:w w:val="105"/>
        </w:rPr>
        <w:t>will</w:t>
      </w:r>
      <w:r>
        <w:rPr>
          <w:color w:val="231F20"/>
          <w:spacing w:val="-21"/>
          <w:w w:val="105"/>
        </w:rPr>
        <w:t> </w:t>
      </w:r>
      <w:r>
        <w:rPr>
          <w:color w:val="231F20"/>
          <w:w w:val="105"/>
        </w:rPr>
        <w:t>be</w:t>
      </w:r>
      <w:r>
        <w:rPr>
          <w:color w:val="231F20"/>
          <w:spacing w:val="-21"/>
          <w:w w:val="105"/>
        </w:rPr>
        <w:t> </w:t>
      </w:r>
      <w:r>
        <w:rPr>
          <w:color w:val="231F20"/>
          <w:w w:val="105"/>
        </w:rPr>
        <w:t>analyzed.</w:t>
      </w:r>
    </w:p>
    <w:p>
      <w:pPr>
        <w:pStyle w:val="BodyText"/>
        <w:spacing w:before="8"/>
        <w:rPr>
          <w:sz w:val="22"/>
        </w:rPr>
      </w:pPr>
    </w:p>
    <w:p>
      <w:pPr>
        <w:pStyle w:val="ListParagraph"/>
        <w:numPr>
          <w:ilvl w:val="0"/>
          <w:numId w:val="11"/>
        </w:numPr>
        <w:tabs>
          <w:tab w:pos="2065" w:val="left" w:leader="none"/>
        </w:tabs>
        <w:spacing w:line="240" w:lineRule="auto" w:before="0" w:after="0"/>
        <w:ind w:left="2064" w:right="0" w:hanging="227"/>
        <w:jc w:val="both"/>
        <w:rPr>
          <w:rFonts w:ascii="Arial"/>
          <w:i/>
          <w:sz w:val="21"/>
        </w:rPr>
      </w:pPr>
      <w:r>
        <w:rPr>
          <w:rFonts w:ascii="Arial"/>
          <w:i/>
          <w:color w:val="231F20"/>
          <w:w w:val="105"/>
          <w:sz w:val="21"/>
        </w:rPr>
        <w:t>Planning,</w:t>
      </w:r>
      <w:r>
        <w:rPr>
          <w:rFonts w:ascii="Arial"/>
          <w:i/>
          <w:color w:val="231F20"/>
          <w:spacing w:val="-44"/>
          <w:w w:val="105"/>
          <w:sz w:val="21"/>
        </w:rPr>
        <w:t> </w:t>
      </w:r>
      <w:r>
        <w:rPr>
          <w:rFonts w:ascii="Arial"/>
          <w:i/>
          <w:color w:val="231F20"/>
          <w:w w:val="105"/>
          <w:sz w:val="21"/>
        </w:rPr>
        <w:t>Gathering</w:t>
      </w:r>
      <w:r>
        <w:rPr>
          <w:rFonts w:ascii="Arial"/>
          <w:i/>
          <w:color w:val="231F20"/>
          <w:spacing w:val="-42"/>
          <w:w w:val="105"/>
          <w:sz w:val="21"/>
        </w:rPr>
        <w:t> </w:t>
      </w:r>
      <w:r>
        <w:rPr>
          <w:rFonts w:ascii="Arial"/>
          <w:i/>
          <w:color w:val="231F20"/>
          <w:w w:val="105"/>
          <w:sz w:val="21"/>
        </w:rPr>
        <w:t>Online</w:t>
      </w:r>
      <w:r>
        <w:rPr>
          <w:rFonts w:ascii="Arial"/>
          <w:i/>
          <w:color w:val="231F20"/>
          <w:spacing w:val="-42"/>
          <w:w w:val="105"/>
          <w:sz w:val="21"/>
        </w:rPr>
        <w:t> </w:t>
      </w:r>
      <w:r>
        <w:rPr>
          <w:rFonts w:ascii="Arial"/>
          <w:i/>
          <w:color w:val="231F20"/>
          <w:w w:val="105"/>
          <w:sz w:val="21"/>
        </w:rPr>
        <w:t>Spontaneously</w:t>
      </w:r>
    </w:p>
    <w:p>
      <w:pPr>
        <w:pStyle w:val="BodyText"/>
        <w:spacing w:before="5"/>
        <w:rPr>
          <w:rFonts w:ascii="Arial"/>
          <w:i/>
          <w:sz w:val="24"/>
        </w:rPr>
      </w:pPr>
    </w:p>
    <w:p>
      <w:pPr>
        <w:pStyle w:val="BodyText"/>
        <w:spacing w:line="261" w:lineRule="auto" w:before="1"/>
        <w:ind w:left="1837" w:right="1716"/>
        <w:jc w:val="both"/>
      </w:pPr>
      <w:r>
        <w:rPr/>
        <w:pict>
          <v:line style="position:absolute;mso-position-horizontal-relative:page;mso-position-vertical-relative:paragraph;z-index:-447928" from="15pt,163.350891pt" to="0pt,163.350891pt" stroked="true" strokeweight=".25pt" strokecolor="#000000">
            <w10:wrap type="none"/>
          </v:line>
        </w:pict>
      </w:r>
      <w:r>
        <w:rPr/>
        <w:pict>
          <v:line style="position:absolute;mso-position-horizontal-relative:page;mso-position-vertical-relative:paragraph;z-index:42280" from="508.890015pt,163.350891pt" to="523.890015pt,163.350891pt" stroked="true" strokeweight=".25pt" strokecolor="#000000">
            <w10:wrap type="none"/>
          </v:line>
        </w:pict>
      </w:r>
      <w:r>
        <w:rPr>
          <w:color w:val="231F20"/>
          <w:w w:val="105"/>
        </w:rPr>
        <w:t>The use of Facebook has allowed the members of this network to keep the</w:t>
      </w:r>
      <w:r>
        <w:rPr>
          <w:color w:val="231F20"/>
          <w:spacing w:val="-32"/>
          <w:w w:val="105"/>
        </w:rPr>
        <w:t> </w:t>
      </w:r>
      <w:r>
        <w:rPr>
          <w:color w:val="231F20"/>
          <w:w w:val="105"/>
        </w:rPr>
        <w:t>close</w:t>
      </w:r>
      <w:r>
        <w:rPr>
          <w:color w:val="231F20"/>
          <w:spacing w:val="-32"/>
          <w:w w:val="105"/>
        </w:rPr>
        <w:t> </w:t>
      </w:r>
      <w:r>
        <w:rPr>
          <w:color w:val="231F20"/>
          <w:w w:val="105"/>
        </w:rPr>
        <w:t>ties</w:t>
      </w:r>
      <w:r>
        <w:rPr>
          <w:color w:val="231F20"/>
          <w:spacing w:val="-32"/>
          <w:w w:val="105"/>
        </w:rPr>
        <w:t> </w:t>
      </w:r>
      <w:r>
        <w:rPr>
          <w:color w:val="231F20"/>
          <w:w w:val="105"/>
        </w:rPr>
        <w:t>they</w:t>
      </w:r>
      <w:r>
        <w:rPr>
          <w:color w:val="231F20"/>
          <w:spacing w:val="-32"/>
          <w:w w:val="105"/>
        </w:rPr>
        <w:t> </w:t>
      </w:r>
      <w:r>
        <w:rPr>
          <w:color w:val="231F20"/>
          <w:w w:val="105"/>
        </w:rPr>
        <w:t>already</w:t>
      </w:r>
      <w:r>
        <w:rPr>
          <w:color w:val="231F20"/>
          <w:spacing w:val="-32"/>
          <w:w w:val="105"/>
        </w:rPr>
        <w:t> </w:t>
      </w:r>
      <w:r>
        <w:rPr>
          <w:color w:val="231F20"/>
          <w:w w:val="105"/>
        </w:rPr>
        <w:t>had</w:t>
      </w:r>
      <w:r>
        <w:rPr>
          <w:color w:val="231F20"/>
          <w:spacing w:val="-32"/>
          <w:w w:val="105"/>
        </w:rPr>
        <w:t> </w:t>
      </w:r>
      <w:r>
        <w:rPr>
          <w:color w:val="231F20"/>
          <w:w w:val="105"/>
        </w:rPr>
        <w:t>physically</w:t>
      </w:r>
      <w:r>
        <w:rPr>
          <w:color w:val="231F20"/>
          <w:spacing w:val="-32"/>
          <w:w w:val="105"/>
        </w:rPr>
        <w:t> </w:t>
      </w:r>
      <w:r>
        <w:rPr>
          <w:color w:val="231F20"/>
          <w:w w:val="105"/>
        </w:rPr>
        <w:t>in</w:t>
      </w:r>
      <w:r>
        <w:rPr>
          <w:color w:val="231F20"/>
          <w:spacing w:val="-32"/>
          <w:w w:val="105"/>
        </w:rPr>
        <w:t> </w:t>
      </w:r>
      <w:r>
        <w:rPr>
          <w:color w:val="231F20"/>
          <w:w w:val="105"/>
        </w:rPr>
        <w:t>their</w:t>
      </w:r>
      <w:r>
        <w:rPr>
          <w:color w:val="231F20"/>
          <w:spacing w:val="-32"/>
          <w:w w:val="105"/>
        </w:rPr>
        <w:t> </w:t>
      </w:r>
      <w:r>
        <w:rPr>
          <w:color w:val="231F20"/>
          <w:w w:val="105"/>
        </w:rPr>
        <w:t>everyday</w:t>
      </w:r>
      <w:r>
        <w:rPr>
          <w:color w:val="231F20"/>
          <w:spacing w:val="-32"/>
          <w:w w:val="105"/>
        </w:rPr>
        <w:t> </w:t>
      </w:r>
      <w:r>
        <w:rPr>
          <w:color w:val="231F20"/>
          <w:w w:val="105"/>
        </w:rPr>
        <w:t>lives</w:t>
      </w:r>
      <w:r>
        <w:rPr>
          <w:color w:val="231F20"/>
          <w:spacing w:val="-32"/>
          <w:w w:val="105"/>
        </w:rPr>
        <w:t> </w:t>
      </w:r>
      <w:r>
        <w:rPr>
          <w:color w:val="231F20"/>
          <w:w w:val="105"/>
        </w:rPr>
        <w:t>and</w:t>
      </w:r>
      <w:r>
        <w:rPr>
          <w:color w:val="231F20"/>
          <w:spacing w:val="-32"/>
          <w:w w:val="105"/>
        </w:rPr>
        <w:t> </w:t>
      </w:r>
      <w:r>
        <w:rPr>
          <w:color w:val="231F20"/>
          <w:w w:val="105"/>
        </w:rPr>
        <w:t>travels back</w:t>
      </w:r>
      <w:r>
        <w:rPr>
          <w:color w:val="231F20"/>
          <w:spacing w:val="-12"/>
          <w:w w:val="105"/>
        </w:rPr>
        <w:t> </w:t>
      </w:r>
      <w:r>
        <w:rPr>
          <w:color w:val="231F20"/>
          <w:w w:val="105"/>
        </w:rPr>
        <w:t>and</w:t>
      </w:r>
      <w:r>
        <w:rPr>
          <w:color w:val="231F20"/>
          <w:spacing w:val="-12"/>
          <w:w w:val="105"/>
        </w:rPr>
        <w:t> </w:t>
      </w:r>
      <w:r>
        <w:rPr>
          <w:color w:val="231F20"/>
          <w:w w:val="105"/>
        </w:rPr>
        <w:t>forth</w:t>
      </w:r>
      <w:r>
        <w:rPr>
          <w:color w:val="231F20"/>
          <w:spacing w:val="-12"/>
          <w:w w:val="105"/>
        </w:rPr>
        <w:t> </w:t>
      </w:r>
      <w:r>
        <w:rPr>
          <w:color w:val="231F20"/>
          <w:w w:val="105"/>
        </w:rPr>
        <w:t>between</w:t>
      </w:r>
      <w:r>
        <w:rPr>
          <w:color w:val="231F20"/>
          <w:spacing w:val="-12"/>
          <w:w w:val="105"/>
        </w:rPr>
        <w:t> </w:t>
      </w:r>
      <w:r>
        <w:rPr>
          <w:color w:val="231F20"/>
          <w:w w:val="105"/>
        </w:rPr>
        <w:t>the</w:t>
      </w:r>
      <w:r>
        <w:rPr>
          <w:color w:val="231F20"/>
          <w:spacing w:val="-12"/>
          <w:w w:val="105"/>
        </w:rPr>
        <w:t> </w:t>
      </w:r>
      <w:r>
        <w:rPr>
          <w:color w:val="231F20"/>
          <w:w w:val="105"/>
        </w:rPr>
        <w:t>U.S.</w:t>
      </w:r>
      <w:r>
        <w:rPr>
          <w:color w:val="231F20"/>
          <w:spacing w:val="-18"/>
          <w:w w:val="105"/>
        </w:rPr>
        <w:t> </w:t>
      </w:r>
      <w:r>
        <w:rPr>
          <w:color w:val="231F20"/>
          <w:w w:val="105"/>
        </w:rPr>
        <w:t>and</w:t>
      </w:r>
      <w:r>
        <w:rPr>
          <w:color w:val="231F20"/>
          <w:spacing w:val="-12"/>
          <w:w w:val="105"/>
        </w:rPr>
        <w:t> </w:t>
      </w:r>
      <w:r>
        <w:rPr>
          <w:color w:val="231F20"/>
          <w:w w:val="105"/>
        </w:rPr>
        <w:t>Mexico</w:t>
      </w:r>
      <w:r>
        <w:rPr>
          <w:color w:val="231F20"/>
          <w:spacing w:val="-12"/>
          <w:w w:val="105"/>
        </w:rPr>
        <w:t> </w:t>
      </w:r>
      <w:r>
        <w:rPr>
          <w:color w:val="231F20"/>
          <w:w w:val="105"/>
        </w:rPr>
        <w:t>or</w:t>
      </w:r>
      <w:r>
        <w:rPr>
          <w:color w:val="231F20"/>
          <w:spacing w:val="-12"/>
          <w:w w:val="105"/>
        </w:rPr>
        <w:t> </w:t>
      </w:r>
      <w:r>
        <w:rPr>
          <w:color w:val="231F20"/>
          <w:w w:val="105"/>
        </w:rPr>
        <w:t>maintain</w:t>
      </w:r>
      <w:r>
        <w:rPr>
          <w:color w:val="231F20"/>
          <w:spacing w:val="-12"/>
          <w:w w:val="105"/>
        </w:rPr>
        <w:t> </w:t>
      </w:r>
      <w:r>
        <w:rPr>
          <w:color w:val="231F20"/>
          <w:w w:val="105"/>
        </w:rPr>
        <w:t>and</w:t>
      </w:r>
      <w:r>
        <w:rPr>
          <w:color w:val="231F20"/>
          <w:spacing w:val="-12"/>
          <w:w w:val="105"/>
        </w:rPr>
        <w:t> </w:t>
      </w:r>
      <w:r>
        <w:rPr>
          <w:color w:val="231F20"/>
          <w:w w:val="105"/>
        </w:rPr>
        <w:t>forge</w:t>
      </w:r>
      <w:r>
        <w:rPr>
          <w:color w:val="231F20"/>
          <w:spacing w:val="-12"/>
          <w:w w:val="105"/>
        </w:rPr>
        <w:t> </w:t>
      </w:r>
      <w:r>
        <w:rPr>
          <w:color w:val="231F20"/>
          <w:w w:val="105"/>
        </w:rPr>
        <w:t>those ties</w:t>
      </w:r>
      <w:r>
        <w:rPr>
          <w:color w:val="231F20"/>
          <w:spacing w:val="-6"/>
          <w:w w:val="105"/>
        </w:rPr>
        <w:t> </w:t>
      </w:r>
      <w:r>
        <w:rPr>
          <w:color w:val="231F20"/>
          <w:w w:val="105"/>
        </w:rPr>
        <w:t>if</w:t>
      </w:r>
      <w:r>
        <w:rPr>
          <w:color w:val="231F20"/>
          <w:spacing w:val="-1"/>
          <w:w w:val="105"/>
        </w:rPr>
        <w:t> </w:t>
      </w:r>
      <w:r>
        <w:rPr>
          <w:color w:val="231F20"/>
          <w:w w:val="105"/>
        </w:rPr>
        <w:t>they</w:t>
      </w:r>
      <w:r>
        <w:rPr>
          <w:color w:val="231F20"/>
          <w:spacing w:val="-6"/>
          <w:w w:val="105"/>
        </w:rPr>
        <w:t> </w:t>
      </w:r>
      <w:r>
        <w:rPr>
          <w:color w:val="231F20"/>
          <w:w w:val="105"/>
        </w:rPr>
        <w:t>do</w:t>
      </w:r>
      <w:r>
        <w:rPr>
          <w:color w:val="231F20"/>
          <w:spacing w:val="-6"/>
          <w:w w:val="105"/>
        </w:rPr>
        <w:t> </w:t>
      </w:r>
      <w:r>
        <w:rPr>
          <w:color w:val="231F20"/>
          <w:w w:val="105"/>
        </w:rPr>
        <w:t>not</w:t>
      </w:r>
      <w:r>
        <w:rPr>
          <w:color w:val="231F20"/>
          <w:spacing w:val="-6"/>
          <w:w w:val="105"/>
        </w:rPr>
        <w:t> </w:t>
      </w:r>
      <w:r>
        <w:rPr>
          <w:color w:val="231F20"/>
          <w:w w:val="105"/>
        </w:rPr>
        <w:t>travel.</w:t>
      </w:r>
      <w:r>
        <w:rPr>
          <w:color w:val="231F20"/>
          <w:spacing w:val="-12"/>
          <w:w w:val="105"/>
        </w:rPr>
        <w:t> </w:t>
      </w:r>
      <w:r>
        <w:rPr>
          <w:color w:val="231F20"/>
          <w:w w:val="105"/>
        </w:rPr>
        <w:t>Before</w:t>
      </w:r>
      <w:r>
        <w:rPr>
          <w:color w:val="231F20"/>
          <w:spacing w:val="-6"/>
          <w:w w:val="105"/>
        </w:rPr>
        <w:t> </w:t>
      </w:r>
      <w:r>
        <w:rPr>
          <w:color w:val="231F20"/>
          <w:w w:val="105"/>
        </w:rPr>
        <w:t>computer-mediated</w:t>
      </w:r>
      <w:r>
        <w:rPr>
          <w:color w:val="231F20"/>
          <w:spacing w:val="-6"/>
          <w:w w:val="105"/>
        </w:rPr>
        <w:t> </w:t>
      </w:r>
      <w:r>
        <w:rPr>
          <w:color w:val="231F20"/>
          <w:w w:val="105"/>
        </w:rPr>
        <w:t>communication</w:t>
      </w:r>
      <w:r>
        <w:rPr>
          <w:color w:val="231F20"/>
          <w:spacing w:val="-6"/>
          <w:w w:val="105"/>
        </w:rPr>
        <w:t> </w:t>
      </w:r>
      <w:r>
        <w:rPr>
          <w:color w:val="231F20"/>
          <w:w w:val="105"/>
        </w:rPr>
        <w:t>and SNS,</w:t>
      </w:r>
      <w:r>
        <w:rPr>
          <w:color w:val="231F20"/>
          <w:spacing w:val="-19"/>
          <w:w w:val="105"/>
        </w:rPr>
        <w:t> </w:t>
      </w:r>
      <w:r>
        <w:rPr>
          <w:color w:val="231F20"/>
          <w:w w:val="105"/>
        </w:rPr>
        <w:t>communication</w:t>
      </w:r>
      <w:r>
        <w:rPr>
          <w:color w:val="231F20"/>
          <w:spacing w:val="-13"/>
          <w:w w:val="105"/>
        </w:rPr>
        <w:t> </w:t>
      </w:r>
      <w:r>
        <w:rPr>
          <w:color w:val="231F20"/>
          <w:w w:val="105"/>
        </w:rPr>
        <w:t>was</w:t>
      </w:r>
      <w:r>
        <w:rPr>
          <w:color w:val="231F20"/>
          <w:spacing w:val="-13"/>
          <w:w w:val="105"/>
        </w:rPr>
        <w:t> </w:t>
      </w:r>
      <w:r>
        <w:rPr>
          <w:color w:val="231F20"/>
          <w:w w:val="105"/>
        </w:rPr>
        <w:t>delayed</w:t>
      </w:r>
      <w:r>
        <w:rPr>
          <w:color w:val="231F20"/>
          <w:spacing w:val="-13"/>
          <w:w w:val="105"/>
        </w:rPr>
        <w:t> </w:t>
      </w:r>
      <w:r>
        <w:rPr>
          <w:color w:val="231F20"/>
          <w:w w:val="105"/>
        </w:rPr>
        <w:t>due</w:t>
      </w:r>
      <w:r>
        <w:rPr>
          <w:color w:val="231F20"/>
          <w:spacing w:val="-13"/>
          <w:w w:val="105"/>
        </w:rPr>
        <w:t> </w:t>
      </w:r>
      <w:r>
        <w:rPr>
          <w:color w:val="231F20"/>
          <w:w w:val="105"/>
        </w:rPr>
        <w:t>to</w:t>
      </w:r>
      <w:r>
        <w:rPr>
          <w:color w:val="231F20"/>
          <w:spacing w:val="-13"/>
          <w:w w:val="105"/>
        </w:rPr>
        <w:t> </w:t>
      </w:r>
      <w:r>
        <w:rPr>
          <w:color w:val="231F20"/>
          <w:w w:val="105"/>
        </w:rPr>
        <w:t>mail</w:t>
      </w:r>
      <w:r>
        <w:rPr>
          <w:color w:val="231F20"/>
          <w:spacing w:val="-13"/>
          <w:w w:val="105"/>
        </w:rPr>
        <w:t> </w:t>
      </w:r>
      <w:r>
        <w:rPr>
          <w:color w:val="231F20"/>
          <w:w w:val="105"/>
        </w:rPr>
        <w:t>and</w:t>
      </w:r>
      <w:r>
        <w:rPr>
          <w:color w:val="231F20"/>
          <w:spacing w:val="-13"/>
          <w:w w:val="105"/>
        </w:rPr>
        <w:t> </w:t>
      </w:r>
      <w:r>
        <w:rPr>
          <w:color w:val="231F20"/>
          <w:w w:val="105"/>
        </w:rPr>
        <w:t>travel</w:t>
      </w:r>
      <w:r>
        <w:rPr>
          <w:color w:val="231F20"/>
          <w:spacing w:val="-13"/>
          <w:w w:val="105"/>
        </w:rPr>
        <w:t> </w:t>
      </w:r>
      <w:r>
        <w:rPr>
          <w:color w:val="231F20"/>
          <w:w w:val="105"/>
        </w:rPr>
        <w:t>times,</w:t>
      </w:r>
      <w:r>
        <w:rPr>
          <w:color w:val="231F20"/>
          <w:spacing w:val="-19"/>
          <w:w w:val="105"/>
        </w:rPr>
        <w:t> </w:t>
      </w:r>
      <w:r>
        <w:rPr>
          <w:color w:val="231F20"/>
          <w:w w:val="105"/>
        </w:rPr>
        <w:t>or</w:t>
      </w:r>
      <w:r>
        <w:rPr>
          <w:color w:val="231F20"/>
          <w:spacing w:val="-13"/>
          <w:w w:val="105"/>
        </w:rPr>
        <w:t> </w:t>
      </w:r>
      <w:r>
        <w:rPr>
          <w:color w:val="231F20"/>
          <w:w w:val="105"/>
        </w:rPr>
        <w:t>by</w:t>
      </w:r>
      <w:r>
        <w:rPr>
          <w:color w:val="231F20"/>
          <w:spacing w:val="-13"/>
          <w:w w:val="105"/>
        </w:rPr>
        <w:t> </w:t>
      </w:r>
      <w:r>
        <w:rPr>
          <w:color w:val="231F20"/>
          <w:w w:val="105"/>
        </w:rPr>
        <w:t>ha- ving to go to the nearest town to use the phones. Regarding travelling, earlier immigrant members only returned to the </w:t>
      </w:r>
      <w:r>
        <w:rPr>
          <w:rFonts w:ascii="Arial"/>
          <w:i/>
          <w:color w:val="231F20"/>
          <w:w w:val="105"/>
        </w:rPr>
        <w:t>rancho </w:t>
      </w:r>
      <w:r>
        <w:rPr>
          <w:color w:val="231F20"/>
          <w:w w:val="105"/>
        </w:rPr>
        <w:t>every few years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42328" from="15pt,-71.68644pt" to="0pt,-71.68644pt" stroked="true" strokeweight=".25pt" strokecolor="#000000">
            <w10:wrap type="none"/>
          </v:line>
        </w:pict>
      </w:r>
      <w:r>
        <w:rPr/>
        <w:pict>
          <v:line style="position:absolute;mso-position-horizontal-relative:page;mso-position-vertical-relative:paragraph;z-index:42352" from="508.890015pt,-71.68644pt" to="523.890015pt,-71.68644pt" stroked="true" strokeweight=".25pt" strokecolor="#000000">
            <w10:wrap type="none"/>
          </v:line>
        </w:pict>
      </w:r>
      <w:r>
        <w:rPr>
          <w:color w:val="231F20"/>
          <w:w w:val="105"/>
        </w:rPr>
        <w:t>before</w:t>
      </w:r>
      <w:r>
        <w:rPr>
          <w:color w:val="231F20"/>
          <w:spacing w:val="-8"/>
          <w:w w:val="105"/>
        </w:rPr>
        <w:t> </w:t>
      </w:r>
      <w:r>
        <w:rPr>
          <w:color w:val="231F20"/>
          <w:w w:val="105"/>
        </w:rPr>
        <w:t>becoming</w:t>
      </w:r>
      <w:r>
        <w:rPr>
          <w:color w:val="231F20"/>
          <w:spacing w:val="-8"/>
          <w:w w:val="105"/>
        </w:rPr>
        <w:t> </w:t>
      </w:r>
      <w:r>
        <w:rPr>
          <w:color w:val="231F20"/>
          <w:w w:val="105"/>
        </w:rPr>
        <w:t>U.S.</w:t>
      </w:r>
      <w:r>
        <w:rPr>
          <w:color w:val="231F20"/>
          <w:spacing w:val="-13"/>
          <w:w w:val="105"/>
        </w:rPr>
        <w:t> </w:t>
      </w:r>
      <w:r>
        <w:rPr>
          <w:color w:val="231F20"/>
          <w:w w:val="105"/>
        </w:rPr>
        <w:t>citizens;</w:t>
      </w:r>
      <w:r>
        <w:rPr>
          <w:color w:val="231F20"/>
          <w:spacing w:val="-8"/>
          <w:w w:val="105"/>
        </w:rPr>
        <w:t> </w:t>
      </w:r>
      <w:r>
        <w:rPr>
          <w:color w:val="231F20"/>
          <w:spacing w:val="-3"/>
          <w:w w:val="105"/>
        </w:rPr>
        <w:t>later,</w:t>
      </w:r>
      <w:r>
        <w:rPr>
          <w:color w:val="231F20"/>
          <w:spacing w:val="-13"/>
          <w:w w:val="105"/>
        </w:rPr>
        <w:t> </w:t>
      </w:r>
      <w:r>
        <w:rPr>
          <w:color w:val="231F20"/>
          <w:w w:val="105"/>
        </w:rPr>
        <w:t>a</w:t>
      </w:r>
      <w:r>
        <w:rPr>
          <w:color w:val="231F20"/>
          <w:spacing w:val="-8"/>
          <w:w w:val="105"/>
        </w:rPr>
        <w:t> </w:t>
      </w:r>
      <w:r>
        <w:rPr>
          <w:color w:val="231F20"/>
          <w:w w:val="105"/>
        </w:rPr>
        <w:t>few</w:t>
      </w:r>
      <w:r>
        <w:rPr>
          <w:color w:val="231F20"/>
          <w:spacing w:val="-8"/>
          <w:w w:val="105"/>
        </w:rPr>
        <w:t> </w:t>
      </w:r>
      <w:r>
        <w:rPr>
          <w:color w:val="231F20"/>
          <w:w w:val="105"/>
        </w:rPr>
        <w:t>times</w:t>
      </w:r>
      <w:r>
        <w:rPr>
          <w:color w:val="231F20"/>
          <w:spacing w:val="-8"/>
          <w:w w:val="105"/>
        </w:rPr>
        <w:t> </w:t>
      </w:r>
      <w:r>
        <w:rPr>
          <w:color w:val="231F20"/>
          <w:w w:val="105"/>
        </w:rPr>
        <w:t>a</w:t>
      </w:r>
      <w:r>
        <w:rPr>
          <w:color w:val="231F20"/>
          <w:spacing w:val="-8"/>
          <w:w w:val="105"/>
        </w:rPr>
        <w:t> </w:t>
      </w:r>
      <w:r>
        <w:rPr>
          <w:color w:val="231F20"/>
          <w:w w:val="105"/>
        </w:rPr>
        <w:t>year</w:t>
      </w:r>
      <w:r>
        <w:rPr>
          <w:color w:val="231F20"/>
          <w:spacing w:val="-8"/>
          <w:w w:val="105"/>
        </w:rPr>
        <w:t> </w:t>
      </w:r>
      <w:r>
        <w:rPr>
          <w:color w:val="231F20"/>
          <w:w w:val="105"/>
        </w:rPr>
        <w:t>they</w:t>
      </w:r>
      <w:r>
        <w:rPr>
          <w:color w:val="231F20"/>
          <w:spacing w:val="-8"/>
          <w:w w:val="105"/>
        </w:rPr>
        <w:t> </w:t>
      </w:r>
      <w:r>
        <w:rPr>
          <w:color w:val="231F20"/>
          <w:w w:val="105"/>
        </w:rPr>
        <w:t>would</w:t>
      </w:r>
      <w:r>
        <w:rPr>
          <w:color w:val="231F20"/>
          <w:spacing w:val="-8"/>
          <w:w w:val="105"/>
        </w:rPr>
        <w:t> </w:t>
      </w:r>
      <w:r>
        <w:rPr>
          <w:color w:val="231F20"/>
          <w:w w:val="105"/>
        </w:rPr>
        <w:t>drive back with their families to Mexico and visit other members who stayed, had returned temporarily or retired in Mexico. Now, with more access</w:t>
      </w:r>
      <w:r>
        <w:rPr>
          <w:color w:val="231F20"/>
          <w:spacing w:val="-39"/>
          <w:w w:val="105"/>
        </w:rPr>
        <w:t> </w:t>
      </w:r>
      <w:r>
        <w:rPr>
          <w:color w:val="231F20"/>
          <w:w w:val="105"/>
        </w:rPr>
        <w:t>to air</w:t>
      </w:r>
      <w:r>
        <w:rPr>
          <w:color w:val="231F20"/>
          <w:spacing w:val="-19"/>
          <w:w w:val="105"/>
        </w:rPr>
        <w:t> </w:t>
      </w:r>
      <w:r>
        <w:rPr>
          <w:color w:val="231F20"/>
          <w:w w:val="105"/>
        </w:rPr>
        <w:t>transportation</w:t>
      </w:r>
      <w:r>
        <w:rPr>
          <w:color w:val="231F20"/>
          <w:spacing w:val="-19"/>
          <w:w w:val="105"/>
        </w:rPr>
        <w:t> </w:t>
      </w:r>
      <w:r>
        <w:rPr>
          <w:color w:val="231F20"/>
          <w:w w:val="105"/>
        </w:rPr>
        <w:t>than</w:t>
      </w:r>
      <w:r>
        <w:rPr>
          <w:color w:val="231F20"/>
          <w:spacing w:val="-19"/>
          <w:w w:val="105"/>
        </w:rPr>
        <w:t> </w:t>
      </w:r>
      <w:r>
        <w:rPr>
          <w:color w:val="231F20"/>
          <w:w w:val="105"/>
        </w:rPr>
        <w:t>in</w:t>
      </w:r>
      <w:r>
        <w:rPr>
          <w:color w:val="231F20"/>
          <w:spacing w:val="-19"/>
          <w:w w:val="105"/>
        </w:rPr>
        <w:t> </w:t>
      </w:r>
      <w:r>
        <w:rPr>
          <w:color w:val="231F20"/>
          <w:w w:val="105"/>
        </w:rPr>
        <w:t>previous</w:t>
      </w:r>
      <w:r>
        <w:rPr>
          <w:color w:val="231F20"/>
          <w:spacing w:val="-19"/>
          <w:w w:val="105"/>
        </w:rPr>
        <w:t> </w:t>
      </w:r>
      <w:r>
        <w:rPr>
          <w:color w:val="231F20"/>
          <w:w w:val="105"/>
        </w:rPr>
        <w:t>years,</w:t>
      </w:r>
      <w:r>
        <w:rPr>
          <w:color w:val="231F20"/>
          <w:spacing w:val="-24"/>
          <w:w w:val="105"/>
        </w:rPr>
        <w:t> </w:t>
      </w:r>
      <w:r>
        <w:rPr>
          <w:color w:val="231F20"/>
          <w:w w:val="105"/>
        </w:rPr>
        <w:t>many</w:t>
      </w:r>
      <w:r>
        <w:rPr>
          <w:color w:val="231F20"/>
          <w:spacing w:val="-19"/>
          <w:w w:val="105"/>
        </w:rPr>
        <w:t> </w:t>
      </w:r>
      <w:r>
        <w:rPr>
          <w:color w:val="231F20"/>
          <w:w w:val="105"/>
        </w:rPr>
        <w:t>members</w:t>
      </w:r>
      <w:r>
        <w:rPr>
          <w:color w:val="231F20"/>
          <w:spacing w:val="-19"/>
          <w:w w:val="105"/>
        </w:rPr>
        <w:t> </w:t>
      </w:r>
      <w:r>
        <w:rPr>
          <w:color w:val="231F20"/>
          <w:w w:val="105"/>
        </w:rPr>
        <w:t>travel</w:t>
      </w:r>
      <w:r>
        <w:rPr>
          <w:color w:val="231F20"/>
          <w:spacing w:val="-19"/>
          <w:w w:val="105"/>
        </w:rPr>
        <w:t> </w:t>
      </w:r>
      <w:r>
        <w:rPr>
          <w:color w:val="231F20"/>
          <w:w w:val="105"/>
        </w:rPr>
        <w:t>to</w:t>
      </w:r>
      <w:r>
        <w:rPr>
          <w:color w:val="231F20"/>
          <w:spacing w:val="-19"/>
          <w:w w:val="105"/>
        </w:rPr>
        <w:t> </w:t>
      </w:r>
      <w:r>
        <w:rPr>
          <w:color w:val="231F20"/>
          <w:w w:val="105"/>
        </w:rPr>
        <w:t>Mexico at any chance they have if they can afford it. These vacations are often planned</w:t>
      </w:r>
      <w:r>
        <w:rPr>
          <w:color w:val="231F20"/>
          <w:spacing w:val="-14"/>
          <w:w w:val="105"/>
        </w:rPr>
        <w:t> </w:t>
      </w:r>
      <w:r>
        <w:rPr>
          <w:color w:val="231F20"/>
          <w:w w:val="105"/>
        </w:rPr>
        <w:t>in</w:t>
      </w:r>
      <w:r>
        <w:rPr>
          <w:color w:val="231F20"/>
          <w:spacing w:val="-14"/>
          <w:w w:val="105"/>
        </w:rPr>
        <w:t> </w:t>
      </w:r>
      <w:r>
        <w:rPr>
          <w:color w:val="231F20"/>
          <w:w w:val="105"/>
        </w:rPr>
        <w:t>advance</w:t>
      </w:r>
      <w:r>
        <w:rPr>
          <w:color w:val="231F20"/>
          <w:spacing w:val="-14"/>
          <w:w w:val="105"/>
        </w:rPr>
        <w:t> </w:t>
      </w:r>
      <w:r>
        <w:rPr>
          <w:color w:val="231F20"/>
          <w:w w:val="105"/>
        </w:rPr>
        <w:t>and,</w:t>
      </w:r>
      <w:r>
        <w:rPr>
          <w:color w:val="231F20"/>
          <w:spacing w:val="-19"/>
          <w:w w:val="105"/>
        </w:rPr>
        <w:t> </w:t>
      </w:r>
      <w:r>
        <w:rPr>
          <w:color w:val="231F20"/>
          <w:w w:val="105"/>
        </w:rPr>
        <w:t>in</w:t>
      </w:r>
      <w:r>
        <w:rPr>
          <w:color w:val="231F20"/>
          <w:spacing w:val="-14"/>
          <w:w w:val="105"/>
        </w:rPr>
        <w:t> </w:t>
      </w:r>
      <w:r>
        <w:rPr>
          <w:color w:val="231F20"/>
          <w:w w:val="105"/>
        </w:rPr>
        <w:t>contrast</w:t>
      </w:r>
      <w:r>
        <w:rPr>
          <w:color w:val="231F20"/>
          <w:spacing w:val="-14"/>
          <w:w w:val="105"/>
        </w:rPr>
        <w:t> </w:t>
      </w:r>
      <w:r>
        <w:rPr>
          <w:color w:val="231F20"/>
          <w:w w:val="105"/>
        </w:rPr>
        <w:t>to</w:t>
      </w:r>
      <w:r>
        <w:rPr>
          <w:color w:val="231F20"/>
          <w:spacing w:val="-14"/>
          <w:w w:val="105"/>
        </w:rPr>
        <w:t> </w:t>
      </w:r>
      <w:r>
        <w:rPr>
          <w:color w:val="231F20"/>
          <w:w w:val="105"/>
        </w:rPr>
        <w:t>earlier</w:t>
      </w:r>
      <w:r>
        <w:rPr>
          <w:color w:val="231F20"/>
          <w:spacing w:val="-14"/>
          <w:w w:val="105"/>
        </w:rPr>
        <w:t> </w:t>
      </w:r>
      <w:r>
        <w:rPr>
          <w:color w:val="231F20"/>
          <w:w w:val="105"/>
        </w:rPr>
        <w:t>years</w:t>
      </w:r>
      <w:r>
        <w:rPr>
          <w:color w:val="231F20"/>
          <w:spacing w:val="-14"/>
          <w:w w:val="105"/>
        </w:rPr>
        <w:t> </w:t>
      </w:r>
      <w:r>
        <w:rPr>
          <w:color w:val="231F20"/>
          <w:w w:val="105"/>
        </w:rPr>
        <w:t>when</w:t>
      </w:r>
      <w:r>
        <w:rPr>
          <w:color w:val="231F20"/>
          <w:spacing w:val="-14"/>
          <w:w w:val="105"/>
        </w:rPr>
        <w:t> </w:t>
      </w:r>
      <w:r>
        <w:rPr>
          <w:color w:val="231F20"/>
          <w:w w:val="105"/>
        </w:rPr>
        <w:t>all</w:t>
      </w:r>
      <w:r>
        <w:rPr>
          <w:color w:val="231F20"/>
          <w:spacing w:val="-14"/>
          <w:w w:val="105"/>
        </w:rPr>
        <w:t> </w:t>
      </w:r>
      <w:r>
        <w:rPr>
          <w:color w:val="231F20"/>
          <w:w w:val="105"/>
        </w:rPr>
        <w:t>members</w:t>
      </w:r>
      <w:r>
        <w:rPr>
          <w:color w:val="231F20"/>
          <w:spacing w:val="-14"/>
          <w:w w:val="105"/>
        </w:rPr>
        <w:t> </w:t>
      </w:r>
      <w:r>
        <w:rPr>
          <w:color w:val="231F20"/>
          <w:w w:val="105"/>
        </w:rPr>
        <w:t>of a</w:t>
      </w:r>
      <w:r>
        <w:rPr>
          <w:color w:val="231F20"/>
          <w:spacing w:val="-8"/>
          <w:w w:val="105"/>
        </w:rPr>
        <w:t> </w:t>
      </w:r>
      <w:r>
        <w:rPr>
          <w:color w:val="231F20"/>
          <w:w w:val="105"/>
        </w:rPr>
        <w:t>nuclear</w:t>
      </w:r>
      <w:r>
        <w:rPr>
          <w:color w:val="231F20"/>
          <w:spacing w:val="-8"/>
          <w:w w:val="105"/>
        </w:rPr>
        <w:t> </w:t>
      </w:r>
      <w:r>
        <w:rPr>
          <w:color w:val="231F20"/>
          <w:w w:val="105"/>
        </w:rPr>
        <w:t>family</w:t>
      </w:r>
      <w:r>
        <w:rPr>
          <w:color w:val="231F20"/>
          <w:spacing w:val="-8"/>
          <w:w w:val="105"/>
        </w:rPr>
        <w:t> </w:t>
      </w:r>
      <w:r>
        <w:rPr>
          <w:color w:val="231F20"/>
          <w:w w:val="105"/>
        </w:rPr>
        <w:t>went,</w:t>
      </w:r>
      <w:r>
        <w:rPr>
          <w:color w:val="231F20"/>
          <w:spacing w:val="-13"/>
          <w:w w:val="105"/>
        </w:rPr>
        <w:t> </w:t>
      </w:r>
      <w:r>
        <w:rPr>
          <w:color w:val="231F20"/>
          <w:w w:val="105"/>
        </w:rPr>
        <w:t>currently</w:t>
      </w:r>
      <w:r>
        <w:rPr>
          <w:color w:val="231F20"/>
          <w:spacing w:val="-8"/>
          <w:w w:val="105"/>
        </w:rPr>
        <w:t> </w:t>
      </w:r>
      <w:r>
        <w:rPr>
          <w:color w:val="231F20"/>
          <w:w w:val="105"/>
        </w:rPr>
        <w:t>only</w:t>
      </w:r>
      <w:r>
        <w:rPr>
          <w:color w:val="231F20"/>
          <w:spacing w:val="-8"/>
          <w:w w:val="105"/>
        </w:rPr>
        <w:t> </w:t>
      </w:r>
      <w:r>
        <w:rPr>
          <w:color w:val="231F20"/>
          <w:w w:val="105"/>
        </w:rPr>
        <w:t>members</w:t>
      </w:r>
      <w:r>
        <w:rPr>
          <w:color w:val="231F20"/>
          <w:spacing w:val="-8"/>
          <w:w w:val="105"/>
        </w:rPr>
        <w:t> </w:t>
      </w:r>
      <w:r>
        <w:rPr>
          <w:color w:val="231F20"/>
          <w:w w:val="105"/>
        </w:rPr>
        <w:t>who</w:t>
      </w:r>
      <w:r>
        <w:rPr>
          <w:color w:val="231F20"/>
          <w:spacing w:val="-8"/>
          <w:w w:val="105"/>
        </w:rPr>
        <w:t> </w:t>
      </w:r>
      <w:r>
        <w:rPr>
          <w:color w:val="231F20"/>
          <w:w w:val="105"/>
        </w:rPr>
        <w:t>choose</w:t>
      </w:r>
      <w:r>
        <w:rPr>
          <w:color w:val="231F20"/>
          <w:spacing w:val="-8"/>
          <w:w w:val="105"/>
        </w:rPr>
        <w:t> </w:t>
      </w:r>
      <w:r>
        <w:rPr>
          <w:color w:val="231F20"/>
          <w:w w:val="105"/>
        </w:rPr>
        <w:t>or</w:t>
      </w:r>
      <w:r>
        <w:rPr>
          <w:color w:val="231F20"/>
          <w:spacing w:val="-8"/>
          <w:w w:val="105"/>
        </w:rPr>
        <w:t> </w:t>
      </w:r>
      <w:r>
        <w:rPr>
          <w:color w:val="231F20"/>
          <w:w w:val="105"/>
        </w:rPr>
        <w:t>can</w:t>
      </w:r>
      <w:r>
        <w:rPr>
          <w:color w:val="231F20"/>
          <w:spacing w:val="-8"/>
          <w:w w:val="105"/>
        </w:rPr>
        <w:t> </w:t>
      </w:r>
      <w:r>
        <w:rPr>
          <w:color w:val="231F20"/>
          <w:w w:val="105"/>
        </w:rPr>
        <w:t>afford to make the trip go. Therefore the transformation in communication</w:t>
      </w:r>
      <w:r>
        <w:rPr>
          <w:color w:val="231F20"/>
          <w:spacing w:val="-22"/>
          <w:w w:val="105"/>
        </w:rPr>
        <w:t> </w:t>
      </w:r>
      <w:r>
        <w:rPr>
          <w:color w:val="231F20"/>
          <w:w w:val="105"/>
        </w:rPr>
        <w:t>and transportation has helped families keep in touch in different, more syn- </w:t>
      </w:r>
      <w:r>
        <w:rPr>
          <w:color w:val="231F20"/>
        </w:rPr>
        <w:t>chronous</w:t>
      </w:r>
      <w:r>
        <w:rPr>
          <w:color w:val="231F20"/>
          <w:spacing w:val="7"/>
        </w:rPr>
        <w:t> </w:t>
      </w:r>
      <w:r>
        <w:rPr>
          <w:color w:val="231F20"/>
        </w:rPr>
        <w:t>ways.</w:t>
      </w:r>
    </w:p>
    <w:p>
      <w:pPr>
        <w:pStyle w:val="BodyText"/>
        <w:spacing w:line="261" w:lineRule="auto" w:before="1"/>
        <w:ind w:left="1723" w:right="1828" w:firstLine="567"/>
        <w:jc w:val="both"/>
      </w:pPr>
      <w:r>
        <w:rPr>
          <w:color w:val="231F20"/>
          <w:w w:val="105"/>
        </w:rPr>
        <w:t>Facebook</w:t>
      </w:r>
      <w:r>
        <w:rPr>
          <w:color w:val="231F20"/>
          <w:spacing w:val="-23"/>
          <w:w w:val="105"/>
        </w:rPr>
        <w:t> </w:t>
      </w:r>
      <w:r>
        <w:rPr>
          <w:color w:val="231F20"/>
          <w:w w:val="105"/>
        </w:rPr>
        <w:t>has</w:t>
      </w:r>
      <w:r>
        <w:rPr>
          <w:color w:val="231F20"/>
          <w:spacing w:val="-23"/>
          <w:w w:val="105"/>
        </w:rPr>
        <w:t> </w:t>
      </w:r>
      <w:r>
        <w:rPr>
          <w:color w:val="231F20"/>
          <w:w w:val="105"/>
        </w:rPr>
        <w:t>changed</w:t>
      </w:r>
      <w:r>
        <w:rPr>
          <w:color w:val="231F20"/>
          <w:spacing w:val="-23"/>
          <w:w w:val="105"/>
        </w:rPr>
        <w:t> </w:t>
      </w:r>
      <w:r>
        <w:rPr>
          <w:color w:val="231F20"/>
          <w:w w:val="105"/>
        </w:rPr>
        <w:t>the</w:t>
      </w:r>
      <w:r>
        <w:rPr>
          <w:color w:val="231F20"/>
          <w:spacing w:val="-23"/>
          <w:w w:val="105"/>
        </w:rPr>
        <w:t> </w:t>
      </w:r>
      <w:r>
        <w:rPr>
          <w:color w:val="231F20"/>
          <w:w w:val="105"/>
        </w:rPr>
        <w:t>communication</w:t>
      </w:r>
      <w:r>
        <w:rPr>
          <w:color w:val="231F20"/>
          <w:spacing w:val="-23"/>
          <w:w w:val="105"/>
        </w:rPr>
        <w:t> </w:t>
      </w:r>
      <w:r>
        <w:rPr>
          <w:color w:val="231F20"/>
          <w:w w:val="105"/>
        </w:rPr>
        <w:t>patterns</w:t>
      </w:r>
      <w:r>
        <w:rPr>
          <w:color w:val="231F20"/>
          <w:spacing w:val="-23"/>
          <w:w w:val="105"/>
        </w:rPr>
        <w:t> </w:t>
      </w:r>
      <w:r>
        <w:rPr>
          <w:color w:val="231F20"/>
          <w:w w:val="105"/>
        </w:rPr>
        <w:t>in</w:t>
      </w:r>
      <w:r>
        <w:rPr>
          <w:color w:val="231F20"/>
          <w:spacing w:val="-23"/>
          <w:w w:val="105"/>
        </w:rPr>
        <w:t> </w:t>
      </w:r>
      <w:r>
        <w:rPr>
          <w:color w:val="231F20"/>
          <w:w w:val="105"/>
        </w:rPr>
        <w:t>which</w:t>
      </w:r>
      <w:r>
        <w:rPr>
          <w:color w:val="231F20"/>
          <w:spacing w:val="-23"/>
          <w:w w:val="105"/>
        </w:rPr>
        <w:t> </w:t>
      </w:r>
      <w:r>
        <w:rPr>
          <w:color w:val="231F20"/>
          <w:w w:val="105"/>
        </w:rPr>
        <w:t>mem- bers engage with one another. </w:t>
      </w:r>
      <w:r>
        <w:rPr>
          <w:color w:val="231F20"/>
          <w:spacing w:val="-4"/>
          <w:w w:val="105"/>
        </w:rPr>
        <w:t>For </w:t>
      </w:r>
      <w:r>
        <w:rPr>
          <w:color w:val="231F20"/>
          <w:w w:val="105"/>
        </w:rPr>
        <w:t>instance, during a drive to Mexico,   a member recalled that it was not easy to constantly call during the trip to make plans for </w:t>
      </w:r>
      <w:r>
        <w:rPr>
          <w:color w:val="231F20"/>
          <w:spacing w:val="-3"/>
          <w:w w:val="105"/>
        </w:rPr>
        <w:t>later, </w:t>
      </w:r>
      <w:r>
        <w:rPr>
          <w:color w:val="231F20"/>
          <w:w w:val="105"/>
        </w:rPr>
        <w:t>when they arrive to the </w:t>
      </w:r>
      <w:r>
        <w:rPr>
          <w:rFonts w:ascii="Arial" w:hAnsi="Arial"/>
          <w:i/>
          <w:color w:val="231F20"/>
          <w:w w:val="105"/>
        </w:rPr>
        <w:t>rancho</w:t>
      </w:r>
      <w:r>
        <w:rPr>
          <w:color w:val="231F20"/>
          <w:w w:val="105"/>
        </w:rPr>
        <w:t>. However, due</w:t>
      </w:r>
      <w:r>
        <w:rPr>
          <w:color w:val="231F20"/>
          <w:spacing w:val="-34"/>
          <w:w w:val="105"/>
        </w:rPr>
        <w:t> </w:t>
      </w:r>
      <w:r>
        <w:rPr>
          <w:color w:val="231F20"/>
          <w:w w:val="105"/>
        </w:rPr>
        <w:t>to members’</w:t>
      </w:r>
      <w:r>
        <w:rPr>
          <w:color w:val="231F20"/>
          <w:spacing w:val="-21"/>
          <w:w w:val="105"/>
        </w:rPr>
        <w:t> </w:t>
      </w:r>
      <w:r>
        <w:rPr>
          <w:color w:val="231F20"/>
          <w:w w:val="105"/>
        </w:rPr>
        <w:t>numerous</w:t>
      </w:r>
      <w:r>
        <w:rPr>
          <w:color w:val="231F20"/>
          <w:spacing w:val="-21"/>
          <w:w w:val="105"/>
        </w:rPr>
        <w:t> </w:t>
      </w:r>
      <w:r>
        <w:rPr>
          <w:color w:val="231F20"/>
          <w:w w:val="105"/>
        </w:rPr>
        <w:t>travels</w:t>
      </w:r>
      <w:r>
        <w:rPr>
          <w:color w:val="231F20"/>
          <w:spacing w:val="-21"/>
          <w:w w:val="105"/>
        </w:rPr>
        <w:t> </w:t>
      </w:r>
      <w:r>
        <w:rPr>
          <w:color w:val="231F20"/>
          <w:w w:val="105"/>
        </w:rPr>
        <w:t>along</w:t>
      </w:r>
      <w:r>
        <w:rPr>
          <w:color w:val="231F20"/>
          <w:spacing w:val="-21"/>
          <w:w w:val="105"/>
        </w:rPr>
        <w:t> </w:t>
      </w:r>
      <w:r>
        <w:rPr>
          <w:color w:val="231F20"/>
          <w:w w:val="105"/>
        </w:rPr>
        <w:t>the</w:t>
      </w:r>
      <w:r>
        <w:rPr>
          <w:color w:val="231F20"/>
          <w:spacing w:val="-21"/>
          <w:w w:val="105"/>
        </w:rPr>
        <w:t> </w:t>
      </w:r>
      <w:r>
        <w:rPr>
          <w:color w:val="231F20"/>
          <w:w w:val="105"/>
        </w:rPr>
        <w:t>same</w:t>
      </w:r>
      <w:r>
        <w:rPr>
          <w:color w:val="231F20"/>
          <w:spacing w:val="-21"/>
          <w:w w:val="105"/>
        </w:rPr>
        <w:t> </w:t>
      </w:r>
      <w:r>
        <w:rPr>
          <w:color w:val="231F20"/>
          <w:w w:val="105"/>
        </w:rPr>
        <w:t>highways,</w:t>
      </w:r>
      <w:r>
        <w:rPr>
          <w:color w:val="231F20"/>
          <w:spacing w:val="-25"/>
          <w:w w:val="105"/>
        </w:rPr>
        <w:t> </w:t>
      </w:r>
      <w:r>
        <w:rPr>
          <w:color w:val="231F20"/>
          <w:w w:val="105"/>
        </w:rPr>
        <w:t>key</w:t>
      </w:r>
      <w:r>
        <w:rPr>
          <w:color w:val="231F20"/>
          <w:spacing w:val="-21"/>
          <w:w w:val="105"/>
        </w:rPr>
        <w:t> </w:t>
      </w:r>
      <w:r>
        <w:rPr>
          <w:color w:val="231F20"/>
          <w:w w:val="105"/>
        </w:rPr>
        <w:t>landmarks</w:t>
      </w:r>
      <w:r>
        <w:rPr>
          <w:color w:val="231F20"/>
          <w:spacing w:val="-21"/>
          <w:w w:val="105"/>
        </w:rPr>
        <w:t> </w:t>
      </w:r>
      <w:r>
        <w:rPr>
          <w:color w:val="231F20"/>
          <w:w w:val="105"/>
        </w:rPr>
        <w:t>al- lowed</w:t>
      </w:r>
      <w:r>
        <w:rPr>
          <w:color w:val="231F20"/>
          <w:spacing w:val="-8"/>
          <w:w w:val="105"/>
        </w:rPr>
        <w:t> </w:t>
      </w:r>
      <w:r>
        <w:rPr>
          <w:color w:val="231F20"/>
          <w:w w:val="105"/>
        </w:rPr>
        <w:t>members</w:t>
      </w:r>
      <w:r>
        <w:rPr>
          <w:color w:val="231F20"/>
          <w:spacing w:val="-8"/>
          <w:w w:val="105"/>
        </w:rPr>
        <w:t> </w:t>
      </w:r>
      <w:r>
        <w:rPr>
          <w:color w:val="231F20"/>
          <w:w w:val="105"/>
        </w:rPr>
        <w:t>in</w:t>
      </w:r>
      <w:r>
        <w:rPr>
          <w:color w:val="231F20"/>
          <w:spacing w:val="-8"/>
          <w:w w:val="105"/>
        </w:rPr>
        <w:t> </w:t>
      </w:r>
      <w:r>
        <w:rPr>
          <w:color w:val="231F20"/>
          <w:w w:val="105"/>
        </w:rPr>
        <w:t>Mexico</w:t>
      </w:r>
      <w:r>
        <w:rPr>
          <w:color w:val="231F20"/>
          <w:spacing w:val="-8"/>
          <w:w w:val="105"/>
        </w:rPr>
        <w:t> </w:t>
      </w:r>
      <w:r>
        <w:rPr>
          <w:color w:val="231F20"/>
          <w:w w:val="105"/>
        </w:rPr>
        <w:t>to</w:t>
      </w:r>
      <w:r>
        <w:rPr>
          <w:color w:val="231F20"/>
          <w:spacing w:val="-8"/>
          <w:w w:val="105"/>
        </w:rPr>
        <w:t> </w:t>
      </w:r>
      <w:r>
        <w:rPr>
          <w:color w:val="231F20"/>
          <w:w w:val="105"/>
        </w:rPr>
        <w:t>know</w:t>
      </w:r>
      <w:r>
        <w:rPr>
          <w:color w:val="231F20"/>
          <w:spacing w:val="-8"/>
          <w:w w:val="105"/>
        </w:rPr>
        <w:t> </w:t>
      </w:r>
      <w:r>
        <w:rPr>
          <w:color w:val="231F20"/>
          <w:w w:val="105"/>
        </w:rPr>
        <w:t>if</w:t>
      </w:r>
      <w:r>
        <w:rPr>
          <w:color w:val="231F20"/>
          <w:spacing w:val="-2"/>
          <w:w w:val="105"/>
        </w:rPr>
        <w:t> </w:t>
      </w:r>
      <w:r>
        <w:rPr>
          <w:color w:val="231F20"/>
          <w:w w:val="105"/>
        </w:rPr>
        <w:t>a</w:t>
      </w:r>
      <w:r>
        <w:rPr>
          <w:color w:val="231F20"/>
          <w:spacing w:val="-8"/>
          <w:w w:val="105"/>
        </w:rPr>
        <w:t> </w:t>
      </w:r>
      <w:r>
        <w:rPr>
          <w:color w:val="231F20"/>
          <w:w w:val="105"/>
        </w:rPr>
        <w:t>person</w:t>
      </w:r>
      <w:r>
        <w:rPr>
          <w:color w:val="231F20"/>
          <w:spacing w:val="-8"/>
          <w:w w:val="105"/>
        </w:rPr>
        <w:t> </w:t>
      </w:r>
      <w:r>
        <w:rPr>
          <w:color w:val="231F20"/>
          <w:w w:val="105"/>
        </w:rPr>
        <w:t>called</w:t>
      </w:r>
      <w:r>
        <w:rPr>
          <w:color w:val="231F20"/>
          <w:spacing w:val="-8"/>
          <w:w w:val="105"/>
        </w:rPr>
        <w:t> </w:t>
      </w:r>
      <w:r>
        <w:rPr>
          <w:color w:val="231F20"/>
          <w:w w:val="105"/>
        </w:rPr>
        <w:t>from</w:t>
      </w:r>
      <w:r>
        <w:rPr>
          <w:color w:val="231F20"/>
          <w:spacing w:val="-8"/>
          <w:w w:val="105"/>
        </w:rPr>
        <w:t> </w:t>
      </w:r>
      <w:r>
        <w:rPr>
          <w:color w:val="231F20"/>
          <w:w w:val="105"/>
        </w:rPr>
        <w:t>the</w:t>
      </w:r>
      <w:r>
        <w:rPr>
          <w:color w:val="231F20"/>
          <w:spacing w:val="-8"/>
          <w:w w:val="105"/>
        </w:rPr>
        <w:t> </w:t>
      </w:r>
      <w:r>
        <w:rPr>
          <w:color w:val="231F20"/>
          <w:spacing w:val="-3"/>
          <w:w w:val="105"/>
        </w:rPr>
        <w:t>border,</w:t>
      </w:r>
      <w:r>
        <w:rPr>
          <w:color w:val="231F20"/>
          <w:spacing w:val="-14"/>
          <w:w w:val="105"/>
        </w:rPr>
        <w:t> </w:t>
      </w:r>
      <w:r>
        <w:rPr>
          <w:color w:val="231F20"/>
          <w:w w:val="105"/>
        </w:rPr>
        <w:t>for example, it would take that person a certain number of hours to reach the </w:t>
      </w:r>
      <w:r>
        <w:rPr>
          <w:rFonts w:ascii="Arial" w:hAnsi="Arial"/>
          <w:i/>
          <w:color w:val="231F20"/>
          <w:w w:val="105"/>
        </w:rPr>
        <w:t>rancho</w:t>
      </w:r>
      <w:r>
        <w:rPr>
          <w:color w:val="231F20"/>
          <w:w w:val="105"/>
        </w:rPr>
        <w:t>. With cell phones, smartphones, and Facebook (providing they</w:t>
      </w:r>
      <w:r>
        <w:rPr>
          <w:color w:val="231F20"/>
          <w:spacing w:val="-19"/>
          <w:w w:val="105"/>
        </w:rPr>
        <w:t> </w:t>
      </w:r>
      <w:r>
        <w:rPr>
          <w:color w:val="231F20"/>
          <w:w w:val="105"/>
        </w:rPr>
        <w:t>have</w:t>
      </w:r>
      <w:r>
        <w:rPr>
          <w:color w:val="231F20"/>
          <w:spacing w:val="-19"/>
          <w:w w:val="105"/>
        </w:rPr>
        <w:t> </w:t>
      </w:r>
      <w:r>
        <w:rPr>
          <w:color w:val="231F20"/>
          <w:w w:val="105"/>
        </w:rPr>
        <w:t>an</w:t>
      </w:r>
      <w:r>
        <w:rPr>
          <w:color w:val="231F20"/>
          <w:spacing w:val="-19"/>
          <w:w w:val="105"/>
        </w:rPr>
        <w:t> </w:t>
      </w:r>
      <w:r>
        <w:rPr>
          <w:color w:val="231F20"/>
          <w:w w:val="105"/>
        </w:rPr>
        <w:t>account)</w:t>
      </w:r>
      <w:r>
        <w:rPr>
          <w:color w:val="231F20"/>
          <w:spacing w:val="-19"/>
          <w:w w:val="105"/>
        </w:rPr>
        <w:t> </w:t>
      </w:r>
      <w:r>
        <w:rPr>
          <w:color w:val="231F20"/>
          <w:w w:val="105"/>
        </w:rPr>
        <w:t>members</w:t>
      </w:r>
      <w:r>
        <w:rPr>
          <w:color w:val="231F20"/>
          <w:spacing w:val="-19"/>
          <w:w w:val="105"/>
        </w:rPr>
        <w:t> </w:t>
      </w:r>
      <w:r>
        <w:rPr>
          <w:color w:val="231F20"/>
          <w:w w:val="105"/>
        </w:rPr>
        <w:t>of</w:t>
      </w:r>
      <w:r>
        <w:rPr>
          <w:color w:val="231F20"/>
          <w:spacing w:val="-14"/>
          <w:w w:val="105"/>
        </w:rPr>
        <w:t> </w:t>
      </w:r>
      <w:r>
        <w:rPr>
          <w:color w:val="231F20"/>
          <w:w w:val="105"/>
        </w:rPr>
        <w:t>the</w:t>
      </w:r>
      <w:r>
        <w:rPr>
          <w:color w:val="231F20"/>
          <w:spacing w:val="-19"/>
          <w:w w:val="105"/>
        </w:rPr>
        <w:t> </w:t>
      </w:r>
      <w:r>
        <w:rPr>
          <w:color w:val="231F20"/>
          <w:w w:val="105"/>
        </w:rPr>
        <w:t>network</w:t>
      </w:r>
      <w:r>
        <w:rPr>
          <w:color w:val="231F20"/>
          <w:spacing w:val="-19"/>
          <w:w w:val="105"/>
        </w:rPr>
        <w:t> </w:t>
      </w:r>
      <w:r>
        <w:rPr>
          <w:color w:val="231F20"/>
          <w:w w:val="105"/>
        </w:rPr>
        <w:t>are</w:t>
      </w:r>
      <w:r>
        <w:rPr>
          <w:color w:val="231F20"/>
          <w:spacing w:val="-19"/>
          <w:w w:val="105"/>
        </w:rPr>
        <w:t> </w:t>
      </w:r>
      <w:r>
        <w:rPr>
          <w:color w:val="231F20"/>
          <w:w w:val="105"/>
        </w:rPr>
        <w:t>able</w:t>
      </w:r>
      <w:r>
        <w:rPr>
          <w:color w:val="231F20"/>
          <w:spacing w:val="-19"/>
          <w:w w:val="105"/>
        </w:rPr>
        <w:t> </w:t>
      </w:r>
      <w:r>
        <w:rPr>
          <w:color w:val="231F20"/>
          <w:w w:val="105"/>
        </w:rPr>
        <w:t>to</w:t>
      </w:r>
      <w:r>
        <w:rPr>
          <w:color w:val="231F20"/>
          <w:spacing w:val="-19"/>
          <w:w w:val="105"/>
        </w:rPr>
        <w:t> </w:t>
      </w:r>
      <w:r>
        <w:rPr>
          <w:color w:val="231F20"/>
          <w:w w:val="105"/>
        </w:rPr>
        <w:t>inform</w:t>
      </w:r>
      <w:r>
        <w:rPr>
          <w:color w:val="231F20"/>
          <w:spacing w:val="-19"/>
          <w:w w:val="105"/>
        </w:rPr>
        <w:t> </w:t>
      </w:r>
      <w:r>
        <w:rPr>
          <w:color w:val="231F20"/>
          <w:w w:val="105"/>
        </w:rPr>
        <w:t>anyone when</w:t>
      </w:r>
      <w:r>
        <w:rPr>
          <w:color w:val="231F20"/>
          <w:spacing w:val="-9"/>
          <w:w w:val="105"/>
        </w:rPr>
        <w:t> </w:t>
      </w:r>
      <w:r>
        <w:rPr>
          <w:color w:val="231F20"/>
          <w:w w:val="105"/>
        </w:rPr>
        <w:t>they</w:t>
      </w:r>
      <w:r>
        <w:rPr>
          <w:color w:val="231F20"/>
          <w:spacing w:val="-9"/>
          <w:w w:val="105"/>
        </w:rPr>
        <w:t> </w:t>
      </w:r>
      <w:r>
        <w:rPr>
          <w:color w:val="231F20"/>
          <w:w w:val="105"/>
        </w:rPr>
        <w:t>are</w:t>
      </w:r>
      <w:r>
        <w:rPr>
          <w:color w:val="231F20"/>
          <w:spacing w:val="-9"/>
          <w:w w:val="105"/>
        </w:rPr>
        <w:t> </w:t>
      </w:r>
      <w:r>
        <w:rPr>
          <w:color w:val="231F20"/>
          <w:w w:val="105"/>
        </w:rPr>
        <w:t>planning</w:t>
      </w:r>
      <w:r>
        <w:rPr>
          <w:color w:val="231F20"/>
          <w:spacing w:val="-9"/>
          <w:w w:val="105"/>
        </w:rPr>
        <w:t> </w:t>
      </w:r>
      <w:r>
        <w:rPr>
          <w:color w:val="231F20"/>
          <w:w w:val="105"/>
        </w:rPr>
        <w:t>to</w:t>
      </w:r>
      <w:r>
        <w:rPr>
          <w:color w:val="231F20"/>
          <w:spacing w:val="-9"/>
          <w:w w:val="105"/>
        </w:rPr>
        <w:t> </w:t>
      </w:r>
      <w:r>
        <w:rPr>
          <w:color w:val="231F20"/>
          <w:w w:val="105"/>
        </w:rPr>
        <w:t>visit,</w:t>
      </w:r>
      <w:r>
        <w:rPr>
          <w:color w:val="231F20"/>
          <w:spacing w:val="-15"/>
          <w:w w:val="105"/>
        </w:rPr>
        <w:t> </w:t>
      </w:r>
      <w:r>
        <w:rPr>
          <w:color w:val="231F20"/>
          <w:w w:val="105"/>
        </w:rPr>
        <w:t>if</w:t>
      </w:r>
      <w:r>
        <w:rPr>
          <w:color w:val="231F20"/>
          <w:spacing w:val="-4"/>
          <w:w w:val="105"/>
        </w:rPr>
        <w:t> </w:t>
      </w:r>
      <w:r>
        <w:rPr>
          <w:color w:val="231F20"/>
          <w:w w:val="105"/>
        </w:rPr>
        <w:t>anything</w:t>
      </w:r>
      <w:r>
        <w:rPr>
          <w:color w:val="231F20"/>
          <w:spacing w:val="-9"/>
          <w:w w:val="105"/>
        </w:rPr>
        <w:t> </w:t>
      </w:r>
      <w:r>
        <w:rPr>
          <w:color w:val="231F20"/>
          <w:w w:val="105"/>
        </w:rPr>
        <w:t>has</w:t>
      </w:r>
      <w:r>
        <w:rPr>
          <w:color w:val="231F20"/>
          <w:spacing w:val="-9"/>
          <w:w w:val="105"/>
        </w:rPr>
        <w:t> </w:t>
      </w:r>
      <w:r>
        <w:rPr>
          <w:color w:val="231F20"/>
          <w:w w:val="105"/>
        </w:rPr>
        <w:t>changed,</w:t>
      </w:r>
      <w:r>
        <w:rPr>
          <w:color w:val="231F20"/>
          <w:spacing w:val="-15"/>
          <w:w w:val="105"/>
        </w:rPr>
        <w:t> </w:t>
      </w:r>
      <w:r>
        <w:rPr>
          <w:color w:val="231F20"/>
          <w:w w:val="105"/>
        </w:rPr>
        <w:t>or</w:t>
      </w:r>
      <w:r>
        <w:rPr>
          <w:color w:val="231F20"/>
          <w:spacing w:val="-9"/>
          <w:w w:val="105"/>
        </w:rPr>
        <w:t> </w:t>
      </w:r>
      <w:r>
        <w:rPr>
          <w:color w:val="231F20"/>
          <w:w w:val="105"/>
        </w:rPr>
        <w:t>if</w:t>
      </w:r>
      <w:r>
        <w:rPr>
          <w:color w:val="231F20"/>
          <w:spacing w:val="-4"/>
          <w:w w:val="105"/>
        </w:rPr>
        <w:t> </w:t>
      </w:r>
      <w:r>
        <w:rPr>
          <w:color w:val="231F20"/>
          <w:w w:val="105"/>
        </w:rPr>
        <w:t>they</w:t>
      </w:r>
      <w:r>
        <w:rPr>
          <w:color w:val="231F20"/>
          <w:spacing w:val="-9"/>
          <w:w w:val="105"/>
        </w:rPr>
        <w:t> </w:t>
      </w:r>
      <w:r>
        <w:rPr>
          <w:color w:val="231F20"/>
          <w:w w:val="105"/>
        </w:rPr>
        <w:t>will</w:t>
      </w:r>
      <w:r>
        <w:rPr>
          <w:color w:val="231F20"/>
          <w:spacing w:val="-9"/>
          <w:w w:val="105"/>
        </w:rPr>
        <w:t> </w:t>
      </w:r>
      <w:r>
        <w:rPr>
          <w:color w:val="231F20"/>
          <w:w w:val="105"/>
        </w:rPr>
        <w:t>go suddenly due to a price drop in airfares or an emergency situation and health</w:t>
      </w:r>
      <w:r>
        <w:rPr>
          <w:color w:val="231F20"/>
          <w:spacing w:val="-14"/>
          <w:w w:val="105"/>
        </w:rPr>
        <w:t> </w:t>
      </w:r>
      <w:r>
        <w:rPr>
          <w:color w:val="231F20"/>
          <w:w w:val="105"/>
        </w:rPr>
        <w:t>of</w:t>
      </w:r>
      <w:r>
        <w:rPr>
          <w:color w:val="231F20"/>
          <w:spacing w:val="-9"/>
          <w:w w:val="105"/>
        </w:rPr>
        <w:t> </w:t>
      </w:r>
      <w:r>
        <w:rPr>
          <w:color w:val="231F20"/>
          <w:w w:val="105"/>
        </w:rPr>
        <w:t>a</w:t>
      </w:r>
      <w:r>
        <w:rPr>
          <w:color w:val="231F20"/>
          <w:spacing w:val="-14"/>
          <w:w w:val="105"/>
        </w:rPr>
        <w:t> </w:t>
      </w:r>
      <w:r>
        <w:rPr>
          <w:color w:val="231F20"/>
          <w:w w:val="105"/>
        </w:rPr>
        <w:t>family</w:t>
      </w:r>
      <w:r>
        <w:rPr>
          <w:color w:val="231F20"/>
          <w:spacing w:val="-14"/>
          <w:w w:val="105"/>
        </w:rPr>
        <w:t> </w:t>
      </w:r>
      <w:r>
        <w:rPr>
          <w:color w:val="231F20"/>
          <w:w w:val="105"/>
        </w:rPr>
        <w:t>member.</w:t>
      </w:r>
      <w:r>
        <w:rPr>
          <w:color w:val="231F20"/>
          <w:spacing w:val="-19"/>
          <w:w w:val="105"/>
        </w:rPr>
        <w:t> </w:t>
      </w:r>
      <w:r>
        <w:rPr>
          <w:color w:val="231F20"/>
          <w:w w:val="105"/>
        </w:rPr>
        <w:t>Facebook</w:t>
      </w:r>
      <w:r>
        <w:rPr>
          <w:color w:val="231F20"/>
          <w:spacing w:val="-14"/>
          <w:w w:val="105"/>
        </w:rPr>
        <w:t> </w:t>
      </w:r>
      <w:r>
        <w:rPr>
          <w:color w:val="231F20"/>
          <w:w w:val="105"/>
        </w:rPr>
        <w:t>has</w:t>
      </w:r>
      <w:r>
        <w:rPr>
          <w:color w:val="231F20"/>
          <w:spacing w:val="-14"/>
          <w:w w:val="105"/>
        </w:rPr>
        <w:t> </w:t>
      </w:r>
      <w:r>
        <w:rPr>
          <w:color w:val="231F20"/>
          <w:w w:val="105"/>
        </w:rPr>
        <w:t>become</w:t>
      </w:r>
      <w:r>
        <w:rPr>
          <w:color w:val="231F20"/>
          <w:spacing w:val="-14"/>
          <w:w w:val="105"/>
        </w:rPr>
        <w:t> </w:t>
      </w:r>
      <w:r>
        <w:rPr>
          <w:color w:val="231F20"/>
          <w:w w:val="105"/>
        </w:rPr>
        <w:t>a</w:t>
      </w:r>
      <w:r>
        <w:rPr>
          <w:color w:val="231F20"/>
          <w:spacing w:val="-14"/>
          <w:w w:val="105"/>
        </w:rPr>
        <w:t> </w:t>
      </w:r>
      <w:r>
        <w:rPr>
          <w:color w:val="231F20"/>
          <w:w w:val="105"/>
        </w:rPr>
        <w:t>multimodal</w:t>
      </w:r>
      <w:r>
        <w:rPr>
          <w:color w:val="231F20"/>
          <w:spacing w:val="-14"/>
          <w:w w:val="105"/>
        </w:rPr>
        <w:t> </w:t>
      </w:r>
      <w:r>
        <w:rPr>
          <w:color w:val="231F20"/>
          <w:w w:val="105"/>
        </w:rPr>
        <w:t>platform that</w:t>
      </w:r>
      <w:r>
        <w:rPr>
          <w:color w:val="231F20"/>
          <w:spacing w:val="-10"/>
          <w:w w:val="105"/>
        </w:rPr>
        <w:t> </w:t>
      </w:r>
      <w:r>
        <w:rPr>
          <w:color w:val="231F20"/>
          <w:w w:val="105"/>
        </w:rPr>
        <w:t>allows</w:t>
      </w:r>
      <w:r>
        <w:rPr>
          <w:color w:val="231F20"/>
          <w:spacing w:val="-10"/>
          <w:w w:val="105"/>
        </w:rPr>
        <w:t> </w:t>
      </w:r>
      <w:r>
        <w:rPr>
          <w:color w:val="231F20"/>
          <w:w w:val="105"/>
        </w:rPr>
        <w:t>users</w:t>
      </w:r>
      <w:r>
        <w:rPr>
          <w:color w:val="231F20"/>
          <w:spacing w:val="-10"/>
          <w:w w:val="105"/>
        </w:rPr>
        <w:t> </w:t>
      </w:r>
      <w:r>
        <w:rPr>
          <w:color w:val="231F20"/>
          <w:w w:val="105"/>
        </w:rPr>
        <w:t>to</w:t>
      </w:r>
      <w:r>
        <w:rPr>
          <w:color w:val="231F20"/>
          <w:spacing w:val="-10"/>
          <w:w w:val="105"/>
        </w:rPr>
        <w:t> </w:t>
      </w:r>
      <w:r>
        <w:rPr>
          <w:color w:val="231F20"/>
          <w:w w:val="105"/>
        </w:rPr>
        <w:t>easily</w:t>
      </w:r>
      <w:r>
        <w:rPr>
          <w:color w:val="231F20"/>
          <w:spacing w:val="-10"/>
          <w:w w:val="105"/>
        </w:rPr>
        <w:t> </w:t>
      </w:r>
      <w:r>
        <w:rPr>
          <w:color w:val="231F20"/>
          <w:w w:val="105"/>
        </w:rPr>
        <w:t>plan</w:t>
      </w:r>
      <w:r>
        <w:rPr>
          <w:color w:val="231F20"/>
          <w:spacing w:val="-10"/>
          <w:w w:val="105"/>
        </w:rPr>
        <w:t> </w:t>
      </w:r>
      <w:r>
        <w:rPr>
          <w:color w:val="231F20"/>
          <w:w w:val="105"/>
        </w:rPr>
        <w:t>and</w:t>
      </w:r>
      <w:r>
        <w:rPr>
          <w:color w:val="231F20"/>
          <w:spacing w:val="-10"/>
          <w:w w:val="105"/>
        </w:rPr>
        <w:t> </w:t>
      </w:r>
      <w:r>
        <w:rPr>
          <w:color w:val="231F20"/>
          <w:w w:val="105"/>
        </w:rPr>
        <w:t>coordinate</w:t>
      </w:r>
      <w:r>
        <w:rPr>
          <w:color w:val="231F20"/>
          <w:spacing w:val="-10"/>
          <w:w w:val="105"/>
        </w:rPr>
        <w:t> </w:t>
      </w:r>
      <w:r>
        <w:rPr>
          <w:color w:val="231F20"/>
          <w:w w:val="105"/>
        </w:rPr>
        <w:t>events</w:t>
      </w:r>
      <w:r>
        <w:rPr>
          <w:color w:val="231F20"/>
          <w:spacing w:val="-10"/>
          <w:w w:val="105"/>
        </w:rPr>
        <w:t> </w:t>
      </w:r>
      <w:r>
        <w:rPr>
          <w:color w:val="231F20"/>
          <w:w w:val="105"/>
        </w:rPr>
        <w:t>that</w:t>
      </w:r>
      <w:r>
        <w:rPr>
          <w:color w:val="231F20"/>
          <w:spacing w:val="-10"/>
          <w:w w:val="105"/>
        </w:rPr>
        <w:t> </w:t>
      </w:r>
      <w:r>
        <w:rPr>
          <w:color w:val="231F20"/>
          <w:w w:val="105"/>
        </w:rPr>
        <w:t>include</w:t>
      </w:r>
      <w:r>
        <w:rPr>
          <w:color w:val="231F20"/>
          <w:spacing w:val="-10"/>
          <w:w w:val="105"/>
        </w:rPr>
        <w:t> </w:t>
      </w:r>
      <w:r>
        <w:rPr>
          <w:color w:val="231F20"/>
          <w:w w:val="105"/>
        </w:rPr>
        <w:t>mem- bers in both countries. It is also a place where members anywhere can join</w:t>
      </w:r>
      <w:r>
        <w:rPr>
          <w:color w:val="231F20"/>
          <w:spacing w:val="-5"/>
          <w:w w:val="105"/>
        </w:rPr>
        <w:t> </w:t>
      </w:r>
      <w:r>
        <w:rPr>
          <w:color w:val="231F20"/>
          <w:w w:val="105"/>
        </w:rPr>
        <w:t>in</w:t>
      </w:r>
      <w:r>
        <w:rPr>
          <w:color w:val="231F20"/>
          <w:spacing w:val="-5"/>
          <w:w w:val="105"/>
        </w:rPr>
        <w:t> </w:t>
      </w:r>
      <w:r>
        <w:rPr>
          <w:color w:val="231F20"/>
          <w:w w:val="105"/>
        </w:rPr>
        <w:t>the</w:t>
      </w:r>
      <w:r>
        <w:rPr>
          <w:color w:val="231F20"/>
          <w:spacing w:val="-5"/>
          <w:w w:val="105"/>
        </w:rPr>
        <w:t> </w:t>
      </w:r>
      <w:r>
        <w:rPr>
          <w:color w:val="231F20"/>
          <w:w w:val="105"/>
        </w:rPr>
        <w:t>conversation.</w:t>
      </w:r>
      <w:r>
        <w:rPr>
          <w:color w:val="231F20"/>
          <w:spacing w:val="-14"/>
          <w:w w:val="105"/>
        </w:rPr>
        <w:t> </w:t>
      </w:r>
      <w:r>
        <w:rPr>
          <w:color w:val="231F20"/>
          <w:w w:val="105"/>
        </w:rPr>
        <w:t>Thus,</w:t>
      </w:r>
      <w:r>
        <w:rPr>
          <w:color w:val="231F20"/>
          <w:spacing w:val="-10"/>
          <w:w w:val="105"/>
        </w:rPr>
        <w:t> </w:t>
      </w:r>
      <w:r>
        <w:rPr>
          <w:color w:val="231F20"/>
          <w:w w:val="105"/>
        </w:rPr>
        <w:t>spontaneous</w:t>
      </w:r>
      <w:r>
        <w:rPr>
          <w:color w:val="231F20"/>
          <w:spacing w:val="-5"/>
          <w:w w:val="105"/>
        </w:rPr>
        <w:t> </w:t>
      </w:r>
      <w:r>
        <w:rPr>
          <w:color w:val="231F20"/>
          <w:w w:val="105"/>
        </w:rPr>
        <w:t>Facebook</w:t>
      </w:r>
      <w:r>
        <w:rPr>
          <w:color w:val="231F20"/>
          <w:spacing w:val="-5"/>
          <w:w w:val="105"/>
        </w:rPr>
        <w:t> </w:t>
      </w:r>
      <w:r>
        <w:rPr>
          <w:color w:val="231F20"/>
          <w:w w:val="105"/>
        </w:rPr>
        <w:t>gatherings</w:t>
      </w:r>
      <w:r>
        <w:rPr>
          <w:color w:val="231F20"/>
          <w:spacing w:val="-5"/>
          <w:w w:val="105"/>
        </w:rPr>
        <w:t> </w:t>
      </w:r>
      <w:r>
        <w:rPr>
          <w:color w:val="231F20"/>
          <w:w w:val="105"/>
        </w:rPr>
        <w:t>occur among</w:t>
      </w:r>
      <w:r>
        <w:rPr>
          <w:color w:val="231F20"/>
          <w:spacing w:val="-20"/>
          <w:w w:val="105"/>
        </w:rPr>
        <w:t> </w:t>
      </w:r>
      <w:r>
        <w:rPr>
          <w:color w:val="231F20"/>
          <w:w w:val="105"/>
        </w:rPr>
        <w:t>members</w:t>
      </w:r>
      <w:r>
        <w:rPr>
          <w:color w:val="231F20"/>
          <w:spacing w:val="-20"/>
          <w:w w:val="105"/>
        </w:rPr>
        <w:t> </w:t>
      </w:r>
      <w:r>
        <w:rPr>
          <w:color w:val="231F20"/>
          <w:w w:val="105"/>
        </w:rPr>
        <w:t>in</w:t>
      </w:r>
      <w:r>
        <w:rPr>
          <w:color w:val="231F20"/>
          <w:spacing w:val="-20"/>
          <w:w w:val="105"/>
        </w:rPr>
        <w:t> </w:t>
      </w:r>
      <w:r>
        <w:rPr>
          <w:color w:val="231F20"/>
          <w:w w:val="105"/>
        </w:rPr>
        <w:t>any</w:t>
      </w:r>
      <w:r>
        <w:rPr>
          <w:color w:val="231F20"/>
          <w:spacing w:val="-20"/>
          <w:w w:val="105"/>
        </w:rPr>
        <w:t> </w:t>
      </w:r>
      <w:r>
        <w:rPr>
          <w:color w:val="231F20"/>
          <w:w w:val="105"/>
        </w:rPr>
        <w:t>number</w:t>
      </w:r>
      <w:r>
        <w:rPr>
          <w:color w:val="231F20"/>
          <w:spacing w:val="-20"/>
          <w:w w:val="105"/>
        </w:rPr>
        <w:t> </w:t>
      </w:r>
      <w:r>
        <w:rPr>
          <w:color w:val="231F20"/>
          <w:w w:val="105"/>
        </w:rPr>
        <w:t>of</w:t>
      </w:r>
      <w:r>
        <w:rPr>
          <w:color w:val="231F20"/>
          <w:spacing w:val="-16"/>
          <w:w w:val="105"/>
        </w:rPr>
        <w:t> </w:t>
      </w:r>
      <w:r>
        <w:rPr>
          <w:color w:val="231F20"/>
          <w:w w:val="105"/>
        </w:rPr>
        <w:t>locations,</w:t>
      </w:r>
      <w:r>
        <w:rPr>
          <w:color w:val="231F20"/>
          <w:spacing w:val="-25"/>
          <w:w w:val="105"/>
        </w:rPr>
        <w:t> </w:t>
      </w:r>
      <w:r>
        <w:rPr>
          <w:color w:val="231F20"/>
          <w:w w:val="105"/>
        </w:rPr>
        <w:t>both</w:t>
      </w:r>
      <w:r>
        <w:rPr>
          <w:color w:val="231F20"/>
          <w:spacing w:val="-20"/>
          <w:w w:val="105"/>
        </w:rPr>
        <w:t> </w:t>
      </w:r>
      <w:r>
        <w:rPr>
          <w:color w:val="231F20"/>
          <w:w w:val="105"/>
        </w:rPr>
        <w:t>in</w:t>
      </w:r>
      <w:r>
        <w:rPr>
          <w:color w:val="231F20"/>
          <w:spacing w:val="-20"/>
          <w:w w:val="105"/>
        </w:rPr>
        <w:t> </w:t>
      </w:r>
      <w:r>
        <w:rPr>
          <w:color w:val="231F20"/>
          <w:w w:val="105"/>
        </w:rPr>
        <w:t>the</w:t>
      </w:r>
      <w:r>
        <w:rPr>
          <w:color w:val="231F20"/>
          <w:spacing w:val="-20"/>
          <w:w w:val="105"/>
        </w:rPr>
        <w:t> </w:t>
      </w:r>
      <w:r>
        <w:rPr>
          <w:color w:val="231F20"/>
          <w:w w:val="105"/>
        </w:rPr>
        <w:t>U.S.</w:t>
      </w:r>
      <w:r>
        <w:rPr>
          <w:color w:val="231F20"/>
          <w:spacing w:val="-25"/>
          <w:w w:val="105"/>
        </w:rPr>
        <w:t> </w:t>
      </w:r>
      <w:r>
        <w:rPr>
          <w:color w:val="231F20"/>
          <w:w w:val="105"/>
        </w:rPr>
        <w:t>and</w:t>
      </w:r>
      <w:r>
        <w:rPr>
          <w:color w:val="231F20"/>
          <w:spacing w:val="-20"/>
          <w:w w:val="105"/>
        </w:rPr>
        <w:t> </w:t>
      </w:r>
      <w:r>
        <w:rPr>
          <w:color w:val="231F20"/>
          <w:w w:val="105"/>
        </w:rPr>
        <w:t>Mexico, and members often plan an outing for the same evening, the upcoming weekend or for someone’s next trip to Mexico or Chicago (especially if the trip is very soon). These interactions occur regardless of whether</w:t>
      </w:r>
      <w:r>
        <w:rPr>
          <w:color w:val="231F20"/>
          <w:spacing w:val="-36"/>
          <w:w w:val="105"/>
        </w:rPr>
        <w:t> </w:t>
      </w:r>
      <w:r>
        <w:rPr>
          <w:color w:val="231F20"/>
          <w:w w:val="105"/>
        </w:rPr>
        <w:t>all of the members participating in the conversation will actually attend the event being planned. </w:t>
      </w:r>
      <w:r>
        <w:rPr>
          <w:color w:val="231F20"/>
          <w:spacing w:val="-4"/>
          <w:w w:val="105"/>
        </w:rPr>
        <w:t>For </w:t>
      </w:r>
      <w:r>
        <w:rPr>
          <w:color w:val="231F20"/>
          <w:w w:val="105"/>
        </w:rPr>
        <w:t>instance in Conversation 1, </w:t>
      </w:r>
      <w:r>
        <w:rPr>
          <w:color w:val="231F20"/>
          <w:spacing w:val="-6"/>
          <w:w w:val="105"/>
        </w:rPr>
        <w:t>“Chi-Town”, </w:t>
      </w:r>
      <w:r>
        <w:rPr>
          <w:color w:val="231F20"/>
          <w:w w:val="105"/>
        </w:rPr>
        <w:t>Vania updates her Facebook status to let her family and friends know she is about</w:t>
      </w:r>
      <w:r>
        <w:rPr>
          <w:color w:val="231F20"/>
          <w:spacing w:val="-16"/>
          <w:w w:val="105"/>
        </w:rPr>
        <w:t> </w:t>
      </w:r>
      <w:r>
        <w:rPr>
          <w:color w:val="231F20"/>
          <w:w w:val="105"/>
        </w:rPr>
        <w:t>to</w:t>
      </w:r>
      <w:r>
        <w:rPr>
          <w:color w:val="231F20"/>
          <w:spacing w:val="-16"/>
          <w:w w:val="105"/>
        </w:rPr>
        <w:t> </w:t>
      </w:r>
      <w:r>
        <w:rPr>
          <w:color w:val="231F20"/>
          <w:w w:val="105"/>
        </w:rPr>
        <w:t>arrive</w:t>
      </w:r>
      <w:r>
        <w:rPr>
          <w:color w:val="231F20"/>
          <w:spacing w:val="-16"/>
          <w:w w:val="105"/>
        </w:rPr>
        <w:t> </w:t>
      </w:r>
      <w:r>
        <w:rPr>
          <w:color w:val="231F20"/>
          <w:w w:val="105"/>
        </w:rPr>
        <w:t>in</w:t>
      </w:r>
      <w:r>
        <w:rPr>
          <w:color w:val="231F20"/>
          <w:spacing w:val="-16"/>
          <w:w w:val="105"/>
        </w:rPr>
        <w:t> </w:t>
      </w:r>
      <w:r>
        <w:rPr>
          <w:color w:val="231F20"/>
          <w:w w:val="105"/>
        </w:rPr>
        <w:t>Chicago</w:t>
      </w:r>
      <w:r>
        <w:rPr>
          <w:color w:val="231F20"/>
          <w:spacing w:val="-16"/>
          <w:w w:val="105"/>
        </w:rPr>
        <w:t> </w:t>
      </w:r>
      <w:r>
        <w:rPr>
          <w:color w:val="231F20"/>
          <w:w w:val="105"/>
        </w:rPr>
        <w:t>(she</w:t>
      </w:r>
      <w:r>
        <w:rPr>
          <w:color w:val="231F20"/>
          <w:spacing w:val="-16"/>
          <w:w w:val="105"/>
        </w:rPr>
        <w:t> </w:t>
      </w:r>
      <w:r>
        <w:rPr>
          <w:color w:val="231F20"/>
          <w:w w:val="105"/>
        </w:rPr>
        <w:t>is</w:t>
      </w:r>
      <w:r>
        <w:rPr>
          <w:color w:val="231F20"/>
          <w:spacing w:val="-16"/>
          <w:w w:val="105"/>
        </w:rPr>
        <w:t> </w:t>
      </w:r>
      <w:r>
        <w:rPr>
          <w:color w:val="231F20"/>
          <w:w w:val="105"/>
        </w:rPr>
        <w:t>in</w:t>
      </w:r>
      <w:r>
        <w:rPr>
          <w:color w:val="231F20"/>
          <w:spacing w:val="-16"/>
          <w:w w:val="105"/>
        </w:rPr>
        <w:t> </w:t>
      </w:r>
      <w:r>
        <w:rPr>
          <w:color w:val="231F20"/>
          <w:w w:val="105"/>
        </w:rPr>
        <w:t>a</w:t>
      </w:r>
      <w:r>
        <w:rPr>
          <w:color w:val="231F20"/>
          <w:spacing w:val="-16"/>
          <w:w w:val="105"/>
        </w:rPr>
        <w:t> </w:t>
      </w:r>
      <w:r>
        <w:rPr>
          <w:color w:val="231F20"/>
          <w:w w:val="105"/>
        </w:rPr>
        <w:t>layover</w:t>
      </w:r>
      <w:r>
        <w:rPr>
          <w:color w:val="231F20"/>
          <w:spacing w:val="-16"/>
          <w:w w:val="105"/>
        </w:rPr>
        <w:t> </w:t>
      </w:r>
      <w:r>
        <w:rPr>
          <w:color w:val="231F20"/>
          <w:w w:val="105"/>
        </w:rPr>
        <w:t>at</w:t>
      </w:r>
      <w:r>
        <w:rPr>
          <w:color w:val="231F20"/>
          <w:spacing w:val="-16"/>
          <w:w w:val="105"/>
        </w:rPr>
        <w:t> </w:t>
      </w:r>
      <w:r>
        <w:rPr>
          <w:color w:val="231F20"/>
          <w:w w:val="105"/>
        </w:rPr>
        <w:t>the</w:t>
      </w:r>
      <w:r>
        <w:rPr>
          <w:color w:val="231F20"/>
          <w:spacing w:val="-16"/>
          <w:w w:val="105"/>
        </w:rPr>
        <w:t> </w:t>
      </w:r>
      <w:r>
        <w:rPr>
          <w:color w:val="231F20"/>
          <w:w w:val="105"/>
        </w:rPr>
        <w:t>Houston</w:t>
      </w:r>
      <w:r>
        <w:rPr>
          <w:color w:val="231F20"/>
          <w:spacing w:val="-16"/>
          <w:w w:val="105"/>
        </w:rPr>
        <w:t> </w:t>
      </w:r>
      <w:r>
        <w:rPr>
          <w:color w:val="231F20"/>
          <w:w w:val="105"/>
        </w:rPr>
        <w:t>airport)</w:t>
      </w:r>
      <w:r>
        <w:rPr>
          <w:color w:val="231F20"/>
          <w:spacing w:val="-16"/>
          <w:w w:val="105"/>
        </w:rPr>
        <w:t> </w:t>
      </w:r>
      <w:r>
        <w:rPr>
          <w:color w:val="231F20"/>
          <w:w w:val="105"/>
        </w:rPr>
        <w:t>(see table</w:t>
      </w:r>
      <w:r>
        <w:rPr>
          <w:color w:val="231F20"/>
          <w:spacing w:val="-24"/>
          <w:w w:val="105"/>
        </w:rPr>
        <w:t> </w:t>
      </w:r>
      <w:r>
        <w:rPr>
          <w:color w:val="231F20"/>
          <w:w w:val="105"/>
        </w:rPr>
        <w:t>1).</w:t>
      </w:r>
      <w:r>
        <w:rPr>
          <w:color w:val="231F20"/>
          <w:spacing w:val="-29"/>
          <w:w w:val="105"/>
        </w:rPr>
        <w:t> </w:t>
      </w:r>
      <w:r>
        <w:rPr>
          <w:color w:val="231F20"/>
          <w:w w:val="105"/>
        </w:rPr>
        <w:t>In</w:t>
      </w:r>
      <w:r>
        <w:rPr>
          <w:color w:val="231F20"/>
          <w:spacing w:val="-24"/>
          <w:w w:val="105"/>
        </w:rPr>
        <w:t> </w:t>
      </w:r>
      <w:r>
        <w:rPr>
          <w:color w:val="231F20"/>
          <w:w w:val="105"/>
        </w:rPr>
        <w:t>this</w:t>
      </w:r>
      <w:r>
        <w:rPr>
          <w:color w:val="231F20"/>
          <w:spacing w:val="-24"/>
          <w:w w:val="105"/>
        </w:rPr>
        <w:t> </w:t>
      </w:r>
      <w:r>
        <w:rPr>
          <w:color w:val="231F20"/>
          <w:w w:val="105"/>
        </w:rPr>
        <w:t>post</w:t>
      </w:r>
      <w:r>
        <w:rPr>
          <w:color w:val="231F20"/>
          <w:spacing w:val="-26"/>
          <w:w w:val="105"/>
        </w:rPr>
        <w:t> </w:t>
      </w:r>
      <w:r>
        <w:rPr>
          <w:color w:val="231F20"/>
          <w:w w:val="105"/>
        </w:rPr>
        <w:t>Vania</w:t>
      </w:r>
      <w:r>
        <w:rPr>
          <w:color w:val="231F20"/>
          <w:spacing w:val="-24"/>
          <w:w w:val="105"/>
        </w:rPr>
        <w:t> </w:t>
      </w:r>
      <w:r>
        <w:rPr>
          <w:color w:val="231F20"/>
          <w:w w:val="105"/>
        </w:rPr>
        <w:t>was</w:t>
      </w:r>
      <w:r>
        <w:rPr>
          <w:color w:val="231F20"/>
          <w:spacing w:val="-24"/>
          <w:w w:val="105"/>
        </w:rPr>
        <w:t> </w:t>
      </w:r>
      <w:r>
        <w:rPr>
          <w:color w:val="231F20"/>
          <w:w w:val="105"/>
        </w:rPr>
        <w:t>updating</w:t>
      </w:r>
      <w:r>
        <w:rPr>
          <w:color w:val="231F20"/>
          <w:spacing w:val="-24"/>
          <w:w w:val="105"/>
        </w:rPr>
        <w:t> </w:t>
      </w:r>
      <w:r>
        <w:rPr>
          <w:color w:val="231F20"/>
          <w:w w:val="105"/>
        </w:rPr>
        <w:t>her</w:t>
      </w:r>
      <w:r>
        <w:rPr>
          <w:color w:val="231F20"/>
          <w:spacing w:val="-24"/>
          <w:w w:val="105"/>
        </w:rPr>
        <w:t> </w:t>
      </w:r>
      <w:r>
        <w:rPr>
          <w:color w:val="231F20"/>
          <w:w w:val="105"/>
        </w:rPr>
        <w:t>friends</w:t>
      </w:r>
      <w:r>
        <w:rPr>
          <w:color w:val="231F20"/>
          <w:spacing w:val="-24"/>
          <w:w w:val="105"/>
        </w:rPr>
        <w:t> </w:t>
      </w:r>
      <w:r>
        <w:rPr>
          <w:color w:val="231F20"/>
          <w:w w:val="105"/>
        </w:rPr>
        <w:t>and</w:t>
      </w:r>
      <w:r>
        <w:rPr>
          <w:color w:val="231F20"/>
          <w:spacing w:val="-24"/>
          <w:w w:val="105"/>
        </w:rPr>
        <w:t> </w:t>
      </w:r>
      <w:r>
        <w:rPr>
          <w:color w:val="231F20"/>
          <w:w w:val="105"/>
        </w:rPr>
        <w:t>family</w:t>
      </w:r>
      <w:r>
        <w:rPr>
          <w:color w:val="231F20"/>
          <w:spacing w:val="-24"/>
          <w:w w:val="105"/>
        </w:rPr>
        <w:t> </w:t>
      </w:r>
      <w:r>
        <w:rPr>
          <w:color w:val="231F20"/>
          <w:w w:val="105"/>
        </w:rPr>
        <w:t>on</w:t>
      </w:r>
      <w:r>
        <w:rPr>
          <w:color w:val="231F20"/>
          <w:spacing w:val="-24"/>
          <w:w w:val="105"/>
        </w:rPr>
        <w:t> </w:t>
      </w:r>
      <w:r>
        <w:rPr>
          <w:color w:val="231F20"/>
          <w:w w:val="105"/>
        </w:rPr>
        <w:t>her</w:t>
      </w:r>
      <w:r>
        <w:rPr>
          <w:color w:val="231F20"/>
          <w:spacing w:val="-24"/>
          <w:w w:val="105"/>
        </w:rPr>
        <w:t> </w:t>
      </w:r>
      <w:r>
        <w:rPr>
          <w:color w:val="231F20"/>
          <w:w w:val="105"/>
        </w:rPr>
        <w:t>trav- el</w:t>
      </w:r>
      <w:r>
        <w:rPr>
          <w:color w:val="231F20"/>
          <w:spacing w:val="-5"/>
          <w:w w:val="105"/>
        </w:rPr>
        <w:t> </w:t>
      </w:r>
      <w:r>
        <w:rPr>
          <w:color w:val="231F20"/>
          <w:w w:val="105"/>
        </w:rPr>
        <w:t>status</w:t>
      </w:r>
      <w:r>
        <w:rPr>
          <w:color w:val="231F20"/>
          <w:spacing w:val="-5"/>
          <w:w w:val="105"/>
        </w:rPr>
        <w:t> </w:t>
      </w:r>
      <w:r>
        <w:rPr>
          <w:color w:val="231F20"/>
          <w:w w:val="105"/>
        </w:rPr>
        <w:t>about</w:t>
      </w:r>
      <w:r>
        <w:rPr>
          <w:color w:val="231F20"/>
          <w:spacing w:val="-5"/>
          <w:w w:val="105"/>
        </w:rPr>
        <w:t> </w:t>
      </w:r>
      <w:r>
        <w:rPr>
          <w:color w:val="231F20"/>
          <w:w w:val="105"/>
        </w:rPr>
        <w:t>her</w:t>
      </w:r>
      <w:r>
        <w:rPr>
          <w:color w:val="231F20"/>
          <w:spacing w:val="-5"/>
          <w:w w:val="105"/>
        </w:rPr>
        <w:t> </w:t>
      </w:r>
      <w:r>
        <w:rPr>
          <w:color w:val="231F20"/>
          <w:w w:val="105"/>
        </w:rPr>
        <w:t>way</w:t>
      </w:r>
      <w:r>
        <w:rPr>
          <w:color w:val="231F20"/>
          <w:spacing w:val="-5"/>
          <w:w w:val="105"/>
        </w:rPr>
        <w:t> </w:t>
      </w:r>
      <w:r>
        <w:rPr>
          <w:color w:val="231F20"/>
          <w:w w:val="105"/>
        </w:rPr>
        <w:t>back</w:t>
      </w:r>
      <w:r>
        <w:rPr>
          <w:color w:val="231F20"/>
          <w:spacing w:val="-5"/>
          <w:w w:val="105"/>
        </w:rPr>
        <w:t> </w:t>
      </w:r>
      <w:r>
        <w:rPr>
          <w:color w:val="231F20"/>
          <w:w w:val="105"/>
        </w:rPr>
        <w:t>to</w:t>
      </w:r>
      <w:r>
        <w:rPr>
          <w:color w:val="231F20"/>
          <w:spacing w:val="-5"/>
          <w:w w:val="105"/>
        </w:rPr>
        <w:t> </w:t>
      </w:r>
      <w:r>
        <w:rPr>
          <w:color w:val="231F20"/>
          <w:w w:val="105"/>
        </w:rPr>
        <w:t>Chicago</w:t>
      </w:r>
      <w:r>
        <w:rPr>
          <w:color w:val="231F20"/>
          <w:spacing w:val="-5"/>
          <w:w w:val="105"/>
        </w:rPr>
        <w:t> </w:t>
      </w:r>
      <w:r>
        <w:rPr>
          <w:color w:val="231F20"/>
          <w:w w:val="105"/>
        </w:rPr>
        <w:t>(responses</w:t>
      </w:r>
      <w:r>
        <w:rPr>
          <w:color w:val="231F20"/>
          <w:spacing w:val="-5"/>
          <w:w w:val="105"/>
        </w:rPr>
        <w:t> </w:t>
      </w:r>
      <w:r>
        <w:rPr>
          <w:color w:val="231F20"/>
          <w:w w:val="105"/>
        </w:rPr>
        <w:t>are</w:t>
      </w:r>
      <w:r>
        <w:rPr>
          <w:color w:val="231F20"/>
          <w:spacing w:val="-5"/>
          <w:w w:val="105"/>
        </w:rPr>
        <w:t> </w:t>
      </w:r>
      <w:r>
        <w:rPr>
          <w:color w:val="231F20"/>
          <w:w w:val="105"/>
        </w:rPr>
        <w:t>not</w:t>
      </w:r>
      <w:r>
        <w:rPr>
          <w:color w:val="231F20"/>
          <w:spacing w:val="-5"/>
          <w:w w:val="105"/>
        </w:rPr>
        <w:t> </w:t>
      </w:r>
      <w:r>
        <w:rPr>
          <w:color w:val="231F20"/>
          <w:w w:val="105"/>
        </w:rPr>
        <w:t>included</w:t>
      </w:r>
      <w:r>
        <w:rPr>
          <w:color w:val="231F20"/>
          <w:spacing w:val="-5"/>
          <w:w w:val="105"/>
        </w:rPr>
        <w:t> </w:t>
      </w:r>
      <w:r>
        <w:rPr>
          <w:color w:val="231F20"/>
          <w:w w:val="105"/>
        </w:rPr>
        <w:t>as they</w:t>
      </w:r>
      <w:r>
        <w:rPr>
          <w:color w:val="231F20"/>
          <w:spacing w:val="-6"/>
          <w:w w:val="105"/>
        </w:rPr>
        <w:t> </w:t>
      </w:r>
      <w:r>
        <w:rPr>
          <w:color w:val="231F20"/>
          <w:w w:val="105"/>
        </w:rPr>
        <w:t>only</w:t>
      </w:r>
      <w:r>
        <w:rPr>
          <w:color w:val="231F20"/>
          <w:spacing w:val="-6"/>
          <w:w w:val="105"/>
        </w:rPr>
        <w:t> </w:t>
      </w:r>
      <w:r>
        <w:rPr>
          <w:color w:val="231F20"/>
          <w:w w:val="105"/>
        </w:rPr>
        <w:t>contained</w:t>
      </w:r>
      <w:r>
        <w:rPr>
          <w:color w:val="231F20"/>
          <w:spacing w:val="-6"/>
          <w:w w:val="105"/>
        </w:rPr>
        <w:t> </w:t>
      </w:r>
      <w:r>
        <w:rPr>
          <w:color w:val="231F20"/>
          <w:w w:val="105"/>
        </w:rPr>
        <w:t>phrases</w:t>
      </w:r>
      <w:r>
        <w:rPr>
          <w:color w:val="231F20"/>
          <w:spacing w:val="-6"/>
          <w:w w:val="105"/>
        </w:rPr>
        <w:t> </w:t>
      </w:r>
      <w:r>
        <w:rPr>
          <w:color w:val="231F20"/>
          <w:w w:val="105"/>
        </w:rPr>
        <w:t>such</w:t>
      </w:r>
      <w:r>
        <w:rPr>
          <w:color w:val="231F20"/>
          <w:spacing w:val="-6"/>
          <w:w w:val="105"/>
        </w:rPr>
        <w:t> </w:t>
      </w:r>
      <w:r>
        <w:rPr>
          <w:color w:val="231F20"/>
          <w:w w:val="105"/>
        </w:rPr>
        <w:t>as</w:t>
      </w:r>
      <w:r>
        <w:rPr>
          <w:color w:val="231F20"/>
          <w:spacing w:val="-6"/>
          <w:w w:val="105"/>
        </w:rPr>
        <w:t> </w:t>
      </w:r>
      <w:r>
        <w:rPr>
          <w:color w:val="231F20"/>
          <w:w w:val="105"/>
        </w:rPr>
        <w:t>“Welcome</w:t>
      </w:r>
      <w:r>
        <w:rPr>
          <w:color w:val="231F20"/>
          <w:spacing w:val="-6"/>
          <w:w w:val="105"/>
        </w:rPr>
        <w:t> </w:t>
      </w:r>
      <w:r>
        <w:rPr>
          <w:color w:val="231F20"/>
          <w:spacing w:val="-5"/>
          <w:w w:val="105"/>
        </w:rPr>
        <w:t>home”.</w:t>
      </w:r>
      <w:r>
        <w:rPr>
          <w:color w:val="231F20"/>
          <w:spacing w:val="-11"/>
          <w:w w:val="105"/>
        </w:rPr>
        <w:t> </w:t>
      </w:r>
      <w:r>
        <w:rPr>
          <w:color w:val="231F20"/>
          <w:w w:val="105"/>
        </w:rPr>
        <w:t>Before</w:t>
      </w:r>
      <w:r>
        <w:rPr>
          <w:color w:val="231F20"/>
          <w:spacing w:val="-6"/>
          <w:w w:val="105"/>
        </w:rPr>
        <w:t> </w:t>
      </w:r>
      <w:r>
        <w:rPr>
          <w:color w:val="231F20"/>
          <w:w w:val="105"/>
        </w:rPr>
        <w:t>this</w:t>
      </w:r>
      <w:r>
        <w:rPr>
          <w:color w:val="231F20"/>
          <w:spacing w:val="-6"/>
          <w:w w:val="105"/>
        </w:rPr>
        <w:t> </w:t>
      </w:r>
      <w:r>
        <w:rPr>
          <w:color w:val="231F20"/>
          <w:w w:val="105"/>
        </w:rPr>
        <w:t>post, Vania</w:t>
      </w:r>
      <w:r>
        <w:rPr>
          <w:color w:val="231F20"/>
          <w:spacing w:val="-18"/>
          <w:w w:val="105"/>
        </w:rPr>
        <w:t> </w:t>
      </w:r>
      <w:r>
        <w:rPr>
          <w:color w:val="231F20"/>
          <w:w w:val="105"/>
        </w:rPr>
        <w:t>had</w:t>
      </w:r>
      <w:r>
        <w:rPr>
          <w:color w:val="231F20"/>
          <w:spacing w:val="-18"/>
          <w:w w:val="105"/>
        </w:rPr>
        <w:t> </w:t>
      </w:r>
      <w:r>
        <w:rPr>
          <w:color w:val="231F20"/>
          <w:w w:val="105"/>
        </w:rPr>
        <w:t>not</w:t>
      </w:r>
      <w:r>
        <w:rPr>
          <w:color w:val="231F20"/>
          <w:spacing w:val="-18"/>
          <w:w w:val="105"/>
        </w:rPr>
        <w:t> </w:t>
      </w:r>
      <w:r>
        <w:rPr>
          <w:color w:val="231F20"/>
          <w:w w:val="105"/>
        </w:rPr>
        <w:t>been</w:t>
      </w:r>
      <w:r>
        <w:rPr>
          <w:color w:val="231F20"/>
          <w:spacing w:val="-18"/>
          <w:w w:val="105"/>
        </w:rPr>
        <w:t> </w:t>
      </w:r>
      <w:r>
        <w:rPr>
          <w:color w:val="231F20"/>
          <w:w w:val="105"/>
        </w:rPr>
        <w:t>updating</w:t>
      </w:r>
      <w:r>
        <w:rPr>
          <w:color w:val="231F20"/>
          <w:spacing w:val="-18"/>
          <w:w w:val="105"/>
        </w:rPr>
        <w:t> </w:t>
      </w:r>
      <w:r>
        <w:rPr>
          <w:color w:val="231F20"/>
          <w:w w:val="105"/>
        </w:rPr>
        <w:t>her</w:t>
      </w:r>
      <w:r>
        <w:rPr>
          <w:color w:val="231F20"/>
          <w:spacing w:val="-18"/>
          <w:w w:val="105"/>
        </w:rPr>
        <w:t> </w:t>
      </w:r>
      <w:r>
        <w:rPr>
          <w:color w:val="231F20"/>
          <w:w w:val="105"/>
        </w:rPr>
        <w:t>Facebook</w:t>
      </w:r>
      <w:r>
        <w:rPr>
          <w:color w:val="231F20"/>
          <w:spacing w:val="-18"/>
          <w:w w:val="105"/>
        </w:rPr>
        <w:t> </w:t>
      </w:r>
      <w:r>
        <w:rPr>
          <w:color w:val="231F20"/>
          <w:w w:val="105"/>
        </w:rPr>
        <w:t>status</w:t>
      </w:r>
      <w:r>
        <w:rPr>
          <w:color w:val="231F20"/>
          <w:spacing w:val="-18"/>
          <w:w w:val="105"/>
        </w:rPr>
        <w:t> </w:t>
      </w:r>
      <w:r>
        <w:rPr>
          <w:color w:val="231F20"/>
          <w:w w:val="105"/>
        </w:rPr>
        <w:t>saying</w:t>
      </w:r>
      <w:r>
        <w:rPr>
          <w:color w:val="231F20"/>
          <w:spacing w:val="-18"/>
          <w:w w:val="105"/>
        </w:rPr>
        <w:t> </w:t>
      </w:r>
      <w:r>
        <w:rPr>
          <w:color w:val="231F20"/>
          <w:w w:val="105"/>
        </w:rPr>
        <w:t>when</w:t>
      </w:r>
      <w:r>
        <w:rPr>
          <w:color w:val="231F20"/>
          <w:spacing w:val="-18"/>
          <w:w w:val="105"/>
        </w:rPr>
        <w:t> </w:t>
      </w:r>
      <w:r>
        <w:rPr>
          <w:color w:val="231F20"/>
          <w:w w:val="105"/>
        </w:rPr>
        <w:t>and</w:t>
      </w:r>
      <w:r>
        <w:rPr>
          <w:color w:val="231F20"/>
          <w:spacing w:val="-18"/>
          <w:w w:val="105"/>
        </w:rPr>
        <w:t> </w:t>
      </w:r>
      <w:r>
        <w:rPr>
          <w:color w:val="231F20"/>
          <w:w w:val="105"/>
        </w:rPr>
        <w:t>what time</w:t>
      </w:r>
      <w:r>
        <w:rPr>
          <w:color w:val="231F20"/>
          <w:spacing w:val="-5"/>
          <w:w w:val="105"/>
        </w:rPr>
        <w:t> </w:t>
      </w:r>
      <w:r>
        <w:rPr>
          <w:color w:val="231F20"/>
          <w:w w:val="105"/>
        </w:rPr>
        <w:t>she</w:t>
      </w:r>
      <w:r>
        <w:rPr>
          <w:color w:val="231F20"/>
          <w:spacing w:val="-5"/>
          <w:w w:val="105"/>
        </w:rPr>
        <w:t> </w:t>
      </w:r>
      <w:r>
        <w:rPr>
          <w:color w:val="231F20"/>
          <w:w w:val="105"/>
        </w:rPr>
        <w:t>would</w:t>
      </w:r>
      <w:r>
        <w:rPr>
          <w:color w:val="231F20"/>
          <w:spacing w:val="-5"/>
          <w:w w:val="105"/>
        </w:rPr>
        <w:t> </w:t>
      </w:r>
      <w:r>
        <w:rPr>
          <w:color w:val="231F20"/>
          <w:w w:val="105"/>
        </w:rPr>
        <w:t>go</w:t>
      </w:r>
      <w:r>
        <w:rPr>
          <w:color w:val="231F20"/>
          <w:spacing w:val="-5"/>
          <w:w w:val="105"/>
        </w:rPr>
        <w:t> </w:t>
      </w:r>
      <w:r>
        <w:rPr>
          <w:color w:val="231F20"/>
          <w:w w:val="105"/>
        </w:rPr>
        <w:t>back</w:t>
      </w:r>
      <w:r>
        <w:rPr>
          <w:color w:val="231F20"/>
          <w:spacing w:val="-5"/>
          <w:w w:val="105"/>
        </w:rPr>
        <w:t> </w:t>
      </w:r>
      <w:r>
        <w:rPr>
          <w:color w:val="231F20"/>
          <w:w w:val="105"/>
        </w:rPr>
        <w:t>to</w:t>
      </w:r>
      <w:r>
        <w:rPr>
          <w:color w:val="231F20"/>
          <w:spacing w:val="-5"/>
          <w:w w:val="105"/>
        </w:rPr>
        <w:t> </w:t>
      </w:r>
      <w:r>
        <w:rPr>
          <w:color w:val="231F20"/>
          <w:w w:val="105"/>
        </w:rPr>
        <w:t>Chicago.</w:t>
      </w:r>
      <w:r>
        <w:rPr>
          <w:color w:val="231F20"/>
          <w:spacing w:val="-10"/>
          <w:w w:val="105"/>
        </w:rPr>
        <w:t> </w:t>
      </w:r>
      <w:r>
        <w:rPr>
          <w:color w:val="231F20"/>
          <w:w w:val="105"/>
        </w:rPr>
        <w:t>Instead,</w:t>
      </w:r>
      <w:r>
        <w:rPr>
          <w:color w:val="231F20"/>
          <w:spacing w:val="-10"/>
          <w:w w:val="105"/>
        </w:rPr>
        <w:t> </w:t>
      </w:r>
      <w:r>
        <w:rPr>
          <w:color w:val="231F20"/>
          <w:w w:val="105"/>
        </w:rPr>
        <w:t>she</w:t>
      </w:r>
      <w:r>
        <w:rPr>
          <w:color w:val="231F20"/>
          <w:spacing w:val="-5"/>
          <w:w w:val="105"/>
        </w:rPr>
        <w:t> </w:t>
      </w:r>
      <w:r>
        <w:rPr>
          <w:color w:val="231F20"/>
          <w:w w:val="105"/>
        </w:rPr>
        <w:t>was</w:t>
      </w:r>
      <w:r>
        <w:rPr>
          <w:color w:val="231F20"/>
          <w:spacing w:val="-5"/>
          <w:w w:val="105"/>
        </w:rPr>
        <w:t> </w:t>
      </w:r>
      <w:r>
        <w:rPr>
          <w:color w:val="231F20"/>
          <w:w w:val="105"/>
        </w:rPr>
        <w:t>only</w:t>
      </w:r>
      <w:r>
        <w:rPr>
          <w:color w:val="231F20"/>
          <w:spacing w:val="-5"/>
          <w:w w:val="105"/>
        </w:rPr>
        <w:t> </w:t>
      </w:r>
      <w:r>
        <w:rPr>
          <w:color w:val="231F20"/>
          <w:w w:val="105"/>
        </w:rPr>
        <w:t>making</w:t>
      </w:r>
      <w:r>
        <w:rPr>
          <w:color w:val="231F20"/>
          <w:spacing w:val="-5"/>
          <w:w w:val="105"/>
        </w:rPr>
        <w:t> </w:t>
      </w:r>
      <w:r>
        <w:rPr>
          <w:color w:val="231F20"/>
          <w:w w:val="105"/>
        </w:rPr>
        <w:t>men- tion to how little time left she had to enjoy Mexico. Thus, only her</w:t>
      </w:r>
      <w:r>
        <w:rPr>
          <w:color w:val="231F20"/>
          <w:spacing w:val="-32"/>
          <w:w w:val="105"/>
        </w:rPr>
        <w:t> </w:t>
      </w:r>
      <w:r>
        <w:rPr>
          <w:color w:val="231F20"/>
          <w:w w:val="105"/>
        </w:rPr>
        <w:t>status update is shown here. Shortly </w:t>
      </w:r>
      <w:r>
        <w:rPr>
          <w:color w:val="231F20"/>
          <w:spacing w:val="-3"/>
          <w:w w:val="105"/>
        </w:rPr>
        <w:t>after, </w:t>
      </w:r>
      <w:r>
        <w:rPr>
          <w:color w:val="231F20"/>
          <w:w w:val="105"/>
        </w:rPr>
        <w:t>in Conversation 2, </w:t>
      </w:r>
      <w:r>
        <w:rPr>
          <w:color w:val="231F20"/>
          <w:spacing w:val="-3"/>
          <w:w w:val="105"/>
        </w:rPr>
        <w:t>“</w:t>
      </w:r>
      <w:r>
        <w:rPr>
          <w:rFonts w:ascii="Arial" w:hAnsi="Arial"/>
          <w:i/>
          <w:color w:val="231F20"/>
          <w:spacing w:val="-3"/>
          <w:w w:val="105"/>
        </w:rPr>
        <w:t>Pobres</w:t>
      </w:r>
      <w:r>
        <w:rPr>
          <w:color w:val="231F20"/>
          <w:spacing w:val="-3"/>
          <w:w w:val="105"/>
        </w:rPr>
        <w:t>” </w:t>
      </w:r>
      <w:r>
        <w:rPr>
          <w:color w:val="231F20"/>
          <w:w w:val="105"/>
        </w:rPr>
        <w:t>[poor], she updates her status with an invitation to go to a bar that same night. The shaded rows indicate the member is not in Chicago at the time</w:t>
      </w:r>
      <w:r>
        <w:rPr>
          <w:color w:val="231F20"/>
          <w:spacing w:val="30"/>
          <w:w w:val="105"/>
        </w:rPr>
        <w:t> </w:t>
      </w:r>
      <w:r>
        <w:rPr>
          <w:color w:val="231F20"/>
          <w:w w:val="105"/>
        </w:rPr>
        <w:t>the</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47880" from="131.551193pt,3.703715pt" to="131.551193pt,39.506114pt" stroked="true" strokeweight=".35pt" strokecolor="#231f20">
            <w10:wrap type="none"/>
          </v:line>
        </w:pict>
      </w:r>
      <w:r>
        <w:rPr/>
        <w:pict>
          <v:line style="position:absolute;mso-position-horizontal-relative:page;mso-position-vertical-relative:paragraph;z-index:-447808" from="15pt,39.505917pt" to="0pt,39.505917pt" stroked="true" strokeweight=".25pt" strokecolor="#000000">
            <w10:wrap type="none"/>
          </v:line>
        </w:pict>
      </w:r>
      <w:r>
        <w:rPr/>
        <w:pict>
          <v:line style="position:absolute;mso-position-horizontal-relative:page;mso-position-vertical-relative:paragraph;z-index:42400" from="508.890015pt,39.505917pt" to="523.890015pt,39.505917pt" stroked="true" strokeweight=".25pt" strokecolor="#000000">
            <w10:wrap type="none"/>
          </v:line>
        </w:pict>
      </w:r>
      <w:r>
        <w:rPr>
          <w:rFonts w:ascii="Arial"/>
          <w:color w:val="414042"/>
          <w:position w:val="-5"/>
          <w:sz w:val="20"/>
        </w:rPr>
        <w:t>360</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2424" from="405.061005pt,-27.904295pt" to="405.061005pt,6.961579pt" stroked="true" strokeweight=".35pt" strokecolor="#231f20">
            <w10:wrap type="none"/>
          </v:line>
        </w:pict>
      </w:r>
      <w:r>
        <w:rPr/>
        <w:pict>
          <v:line style="position:absolute;mso-position-horizontal-relative:page;mso-position-vertical-relative:paragraph;z-index:42448" from="15pt,-27.90452pt" to="0pt,-27.90452pt" stroked="true" strokeweight=".25pt" strokecolor="#000000">
            <w10:wrap type="none"/>
          </v:line>
        </w:pict>
      </w:r>
      <w:r>
        <w:rPr/>
        <w:pict>
          <v:line style="position:absolute;mso-position-horizontal-relative:page;mso-position-vertical-relative:paragraph;z-index:4247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361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6"/>
        <w:jc w:val="both"/>
      </w:pPr>
      <w:r>
        <w:rPr>
          <w:color w:val="231F20"/>
          <w:w w:val="105"/>
        </w:rPr>
        <w:t>post</w:t>
      </w:r>
      <w:r>
        <w:rPr>
          <w:color w:val="231F20"/>
          <w:spacing w:val="-12"/>
          <w:w w:val="105"/>
        </w:rPr>
        <w:t> </w:t>
      </w:r>
      <w:r>
        <w:rPr>
          <w:color w:val="231F20"/>
          <w:w w:val="105"/>
        </w:rPr>
        <w:t>was</w:t>
      </w:r>
      <w:r>
        <w:rPr>
          <w:color w:val="231F20"/>
          <w:spacing w:val="-12"/>
          <w:w w:val="105"/>
        </w:rPr>
        <w:t> </w:t>
      </w:r>
      <w:r>
        <w:rPr>
          <w:color w:val="231F20"/>
          <w:w w:val="105"/>
        </w:rPr>
        <w:t>made.</w:t>
      </w:r>
      <w:r>
        <w:rPr>
          <w:color w:val="231F20"/>
          <w:spacing w:val="-17"/>
          <w:w w:val="105"/>
        </w:rPr>
        <w:t> </w:t>
      </w:r>
      <w:r>
        <w:rPr>
          <w:color w:val="231F20"/>
          <w:w w:val="105"/>
        </w:rPr>
        <w:t>Please</w:t>
      </w:r>
      <w:r>
        <w:rPr>
          <w:color w:val="231F20"/>
          <w:spacing w:val="-12"/>
          <w:w w:val="105"/>
        </w:rPr>
        <w:t> </w:t>
      </w:r>
      <w:r>
        <w:rPr>
          <w:color w:val="231F20"/>
          <w:w w:val="105"/>
        </w:rPr>
        <w:t>note</w:t>
      </w:r>
      <w:r>
        <w:rPr>
          <w:color w:val="231F20"/>
          <w:spacing w:val="-12"/>
          <w:w w:val="105"/>
        </w:rPr>
        <w:t> </w:t>
      </w:r>
      <w:r>
        <w:rPr>
          <w:color w:val="231F20"/>
          <w:w w:val="105"/>
        </w:rPr>
        <w:t>that</w:t>
      </w:r>
      <w:r>
        <w:rPr>
          <w:color w:val="231F20"/>
          <w:spacing w:val="-12"/>
          <w:w w:val="105"/>
        </w:rPr>
        <w:t> </w:t>
      </w:r>
      <w:r>
        <w:rPr>
          <w:color w:val="231F20"/>
          <w:w w:val="105"/>
        </w:rPr>
        <w:t>all</w:t>
      </w:r>
      <w:r>
        <w:rPr>
          <w:color w:val="231F20"/>
          <w:spacing w:val="-12"/>
          <w:w w:val="105"/>
        </w:rPr>
        <w:t> </w:t>
      </w:r>
      <w:r>
        <w:rPr>
          <w:color w:val="231F20"/>
          <w:w w:val="105"/>
        </w:rPr>
        <w:t>Facebook</w:t>
      </w:r>
      <w:r>
        <w:rPr>
          <w:color w:val="231F20"/>
          <w:spacing w:val="-12"/>
          <w:w w:val="105"/>
        </w:rPr>
        <w:t> </w:t>
      </w:r>
      <w:r>
        <w:rPr>
          <w:color w:val="231F20"/>
          <w:w w:val="105"/>
        </w:rPr>
        <w:t>conversations</w:t>
      </w:r>
      <w:r>
        <w:rPr>
          <w:color w:val="231F20"/>
          <w:spacing w:val="-12"/>
          <w:w w:val="105"/>
        </w:rPr>
        <w:t> </w:t>
      </w:r>
      <w:r>
        <w:rPr>
          <w:color w:val="231F20"/>
          <w:w w:val="105"/>
        </w:rPr>
        <w:t>included</w:t>
      </w:r>
      <w:r>
        <w:rPr>
          <w:color w:val="231F20"/>
          <w:spacing w:val="-12"/>
          <w:w w:val="105"/>
        </w:rPr>
        <w:t> </w:t>
      </w:r>
      <w:r>
        <w:rPr>
          <w:color w:val="231F20"/>
          <w:w w:val="105"/>
        </w:rPr>
        <w:t>in this article maintain the original post in the </w:t>
      </w:r>
      <w:r>
        <w:rPr>
          <w:color w:val="231F20"/>
          <w:spacing w:val="-3"/>
          <w:w w:val="105"/>
        </w:rPr>
        <w:t>order, </w:t>
      </w:r>
      <w:r>
        <w:rPr>
          <w:color w:val="231F20"/>
          <w:w w:val="105"/>
        </w:rPr>
        <w:t>spelling, punctuation, grammar,</w:t>
      </w:r>
      <w:r>
        <w:rPr>
          <w:color w:val="231F20"/>
          <w:spacing w:val="-22"/>
          <w:w w:val="105"/>
        </w:rPr>
        <w:t> </w:t>
      </w:r>
      <w:r>
        <w:rPr>
          <w:color w:val="231F20"/>
          <w:w w:val="105"/>
        </w:rPr>
        <w:t>and</w:t>
      </w:r>
      <w:r>
        <w:rPr>
          <w:color w:val="231F20"/>
          <w:spacing w:val="-17"/>
          <w:w w:val="105"/>
        </w:rPr>
        <w:t> </w:t>
      </w:r>
      <w:r>
        <w:rPr>
          <w:color w:val="231F20"/>
          <w:w w:val="105"/>
        </w:rPr>
        <w:t>vocabulary</w:t>
      </w:r>
      <w:r>
        <w:rPr>
          <w:color w:val="231F20"/>
          <w:spacing w:val="-17"/>
          <w:w w:val="105"/>
        </w:rPr>
        <w:t> </w:t>
      </w:r>
      <w:r>
        <w:rPr>
          <w:color w:val="231F20"/>
          <w:w w:val="105"/>
        </w:rPr>
        <w:t>used.</w:t>
      </w:r>
      <w:r>
        <w:rPr>
          <w:color w:val="231F20"/>
          <w:spacing w:val="-22"/>
          <w:w w:val="105"/>
        </w:rPr>
        <w:t> </w:t>
      </w:r>
      <w:r>
        <w:rPr>
          <w:color w:val="231F20"/>
          <w:w w:val="105"/>
        </w:rPr>
        <w:t>Nothing</w:t>
      </w:r>
      <w:r>
        <w:rPr>
          <w:color w:val="231F20"/>
          <w:spacing w:val="-17"/>
          <w:w w:val="105"/>
        </w:rPr>
        <w:t> </w:t>
      </w:r>
      <w:r>
        <w:rPr>
          <w:color w:val="231F20"/>
          <w:w w:val="105"/>
        </w:rPr>
        <w:t>has</w:t>
      </w:r>
      <w:r>
        <w:rPr>
          <w:color w:val="231F20"/>
          <w:spacing w:val="-17"/>
          <w:w w:val="105"/>
        </w:rPr>
        <w:t> </w:t>
      </w:r>
      <w:r>
        <w:rPr>
          <w:color w:val="231F20"/>
          <w:w w:val="105"/>
        </w:rPr>
        <w:t>been</w:t>
      </w:r>
      <w:r>
        <w:rPr>
          <w:color w:val="231F20"/>
          <w:spacing w:val="-17"/>
          <w:w w:val="105"/>
        </w:rPr>
        <w:t> </w:t>
      </w:r>
      <w:r>
        <w:rPr>
          <w:color w:val="231F20"/>
          <w:w w:val="105"/>
        </w:rPr>
        <w:t>altered.</w:t>
      </w:r>
    </w:p>
    <w:p>
      <w:pPr>
        <w:pStyle w:val="BodyText"/>
        <w:spacing w:before="4"/>
      </w:pPr>
    </w:p>
    <w:p>
      <w:pPr>
        <w:spacing w:before="0"/>
        <w:ind w:left="2917" w:right="2804" w:firstLine="0"/>
        <w:jc w:val="center"/>
        <w:rPr>
          <w:rFonts w:ascii="Arial" w:hAnsi="Arial"/>
          <w:sz w:val="18"/>
        </w:rPr>
      </w:pPr>
      <w:r>
        <w:rPr>
          <w:rFonts w:ascii="Arial" w:hAnsi="Arial"/>
          <w:color w:val="231F20"/>
          <w:w w:val="105"/>
          <w:sz w:val="18"/>
        </w:rPr>
        <w:t>Table 1. Conversation 1, “Chi-Town”</w:t>
      </w:r>
    </w:p>
    <w:p>
      <w:pPr>
        <w:pStyle w:val="BodyText"/>
        <w:spacing w:before="5"/>
        <w:rPr>
          <w:rFonts w:ascii="Arial"/>
          <w:sz w:val="13"/>
        </w:rPr>
      </w:pPr>
    </w:p>
    <w:tbl>
      <w:tblPr>
        <w:tblW w:w="0" w:type="auto"/>
        <w:jc w:val="left"/>
        <w:tblInd w:w="2052"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56"/>
        <w:gridCol w:w="2832"/>
        <w:gridCol w:w="3193"/>
      </w:tblGrid>
      <w:tr>
        <w:trPr>
          <w:trHeight w:val="556" w:hRule="exact"/>
        </w:trPr>
        <w:tc>
          <w:tcPr>
            <w:tcW w:w="456" w:type="dxa"/>
          </w:tcPr>
          <w:p>
            <w:pPr>
              <w:pStyle w:val="TableParagraph"/>
              <w:ind w:left="77"/>
              <w:rPr>
                <w:sz w:val="18"/>
              </w:rPr>
            </w:pPr>
            <w:r>
              <w:rPr>
                <w:color w:val="231F20"/>
                <w:w w:val="104"/>
                <w:sz w:val="18"/>
              </w:rPr>
              <w:t>1</w:t>
            </w:r>
          </w:p>
        </w:tc>
        <w:tc>
          <w:tcPr>
            <w:tcW w:w="2832" w:type="dxa"/>
          </w:tcPr>
          <w:p>
            <w:pPr>
              <w:pStyle w:val="TableParagraph"/>
              <w:ind w:left="77"/>
              <w:rPr>
                <w:sz w:val="18"/>
              </w:rPr>
            </w:pPr>
            <w:r>
              <w:rPr>
                <w:color w:val="231F20"/>
                <w:sz w:val="18"/>
              </w:rPr>
              <w:t>Vania’s wall post:</w:t>
            </w:r>
          </w:p>
          <w:p>
            <w:pPr>
              <w:pStyle w:val="TableParagraph"/>
              <w:spacing w:before="12"/>
              <w:ind w:left="77"/>
              <w:rPr>
                <w:sz w:val="18"/>
              </w:rPr>
            </w:pPr>
            <w:r>
              <w:rPr>
                <w:color w:val="231F20"/>
                <w:spacing w:val="-3"/>
                <w:w w:val="105"/>
                <w:sz w:val="18"/>
              </w:rPr>
              <w:t>“In</w:t>
            </w:r>
            <w:r>
              <w:rPr>
                <w:color w:val="231F20"/>
                <w:spacing w:val="-24"/>
                <w:w w:val="105"/>
                <w:sz w:val="18"/>
              </w:rPr>
              <w:t> </w:t>
            </w:r>
            <w:r>
              <w:rPr>
                <w:color w:val="231F20"/>
                <w:spacing w:val="-4"/>
                <w:w w:val="105"/>
                <w:sz w:val="18"/>
              </w:rPr>
              <w:t>Houston,</w:t>
            </w:r>
            <w:r>
              <w:rPr>
                <w:color w:val="231F20"/>
                <w:spacing w:val="-30"/>
                <w:w w:val="105"/>
                <w:sz w:val="18"/>
              </w:rPr>
              <w:t> </w:t>
            </w:r>
            <w:r>
              <w:rPr>
                <w:color w:val="231F20"/>
                <w:spacing w:val="-4"/>
                <w:w w:val="105"/>
                <w:sz w:val="18"/>
              </w:rPr>
              <w:t>chi-town</w:t>
            </w:r>
            <w:r>
              <w:rPr>
                <w:color w:val="231F20"/>
                <w:spacing w:val="-24"/>
                <w:w w:val="105"/>
                <w:sz w:val="18"/>
              </w:rPr>
              <w:t> </w:t>
            </w:r>
            <w:r>
              <w:rPr>
                <w:color w:val="231F20"/>
                <w:spacing w:val="-4"/>
                <w:w w:val="105"/>
                <w:sz w:val="18"/>
              </w:rPr>
              <w:t>here</w:t>
            </w:r>
            <w:r>
              <w:rPr>
                <w:color w:val="231F20"/>
                <w:spacing w:val="-24"/>
                <w:w w:val="105"/>
                <w:sz w:val="18"/>
              </w:rPr>
              <w:t> </w:t>
            </w:r>
            <w:r>
              <w:rPr>
                <w:color w:val="231F20"/>
                <w:w w:val="105"/>
                <w:sz w:val="18"/>
              </w:rPr>
              <w:t>I</w:t>
            </w:r>
            <w:r>
              <w:rPr>
                <w:color w:val="231F20"/>
                <w:spacing w:val="-24"/>
                <w:w w:val="105"/>
                <w:sz w:val="18"/>
              </w:rPr>
              <w:t> </w:t>
            </w:r>
            <w:r>
              <w:rPr>
                <w:color w:val="231F20"/>
                <w:spacing w:val="-4"/>
                <w:w w:val="105"/>
                <w:sz w:val="18"/>
              </w:rPr>
              <w:t>come”</w:t>
            </w:r>
          </w:p>
        </w:tc>
        <w:tc>
          <w:tcPr>
            <w:tcW w:w="3193" w:type="dxa"/>
          </w:tcPr>
          <w:p>
            <w:pPr>
              <w:pStyle w:val="TableParagraph"/>
              <w:ind w:left="77"/>
              <w:rPr>
                <w:sz w:val="18"/>
              </w:rPr>
            </w:pPr>
            <w:r>
              <w:rPr>
                <w:color w:val="231F20"/>
                <w:sz w:val="18"/>
              </w:rPr>
              <w:t>En Houston, Chicago-Town, allá voy.</w:t>
            </w:r>
          </w:p>
        </w:tc>
      </w:tr>
      <w:tr>
        <w:trPr>
          <w:trHeight w:val="340" w:hRule="exact"/>
        </w:trPr>
        <w:tc>
          <w:tcPr>
            <w:tcW w:w="456" w:type="dxa"/>
          </w:tcPr>
          <w:p>
            <w:pPr>
              <w:pStyle w:val="TableParagraph"/>
              <w:ind w:left="77"/>
              <w:rPr>
                <w:sz w:val="18"/>
              </w:rPr>
            </w:pPr>
            <w:r>
              <w:rPr>
                <w:color w:val="231F20"/>
                <w:w w:val="104"/>
                <w:sz w:val="18"/>
              </w:rPr>
              <w:t>2</w:t>
            </w:r>
          </w:p>
        </w:tc>
        <w:tc>
          <w:tcPr>
            <w:tcW w:w="2832" w:type="dxa"/>
          </w:tcPr>
          <w:p>
            <w:pPr>
              <w:pStyle w:val="TableParagraph"/>
              <w:ind w:left="77"/>
              <w:rPr>
                <w:sz w:val="18"/>
              </w:rPr>
            </w:pPr>
            <w:r>
              <w:rPr>
                <w:color w:val="231F20"/>
                <w:w w:val="105"/>
                <w:sz w:val="18"/>
              </w:rPr>
              <w:t>3 people like this.</w:t>
            </w:r>
          </w:p>
        </w:tc>
        <w:tc>
          <w:tcPr>
            <w:tcW w:w="3193" w:type="dxa"/>
          </w:tcPr>
          <w:p>
            <w:pPr/>
          </w:p>
        </w:tc>
      </w:tr>
    </w:tbl>
    <w:p>
      <w:pPr>
        <w:spacing w:before="78"/>
        <w:ind w:left="2072" w:right="0" w:firstLine="0"/>
        <w:jc w:val="left"/>
        <w:rPr>
          <w:sz w:val="16"/>
        </w:rPr>
      </w:pPr>
      <w:r>
        <w:rPr>
          <w:color w:val="231F20"/>
          <w:sz w:val="16"/>
        </w:rPr>
        <w:t>Source: Vania’s Facebook.</w:t>
      </w:r>
    </w:p>
    <w:p>
      <w:pPr>
        <w:pStyle w:val="BodyText"/>
        <w:rPr>
          <w:sz w:val="16"/>
        </w:rPr>
      </w:pPr>
    </w:p>
    <w:p>
      <w:pPr>
        <w:spacing w:before="120"/>
        <w:ind w:left="2917" w:right="2804" w:firstLine="0"/>
        <w:jc w:val="center"/>
        <w:rPr>
          <w:rFonts w:ascii="Arial" w:hAnsi="Arial"/>
          <w:sz w:val="18"/>
        </w:rPr>
      </w:pPr>
      <w:r>
        <w:rPr>
          <w:rFonts w:ascii="Arial" w:hAnsi="Arial"/>
          <w:color w:val="231F20"/>
          <w:w w:val="105"/>
          <w:sz w:val="18"/>
        </w:rPr>
        <w:t>Table 2. Conversation 2, “</w:t>
      </w:r>
      <w:r>
        <w:rPr>
          <w:rFonts w:ascii="Arial" w:hAnsi="Arial"/>
          <w:i/>
          <w:color w:val="231F20"/>
          <w:w w:val="105"/>
          <w:sz w:val="18"/>
        </w:rPr>
        <w:t>Pobres</w:t>
      </w:r>
      <w:r>
        <w:rPr>
          <w:rFonts w:ascii="Arial" w:hAnsi="Arial"/>
          <w:color w:val="231F20"/>
          <w:w w:val="105"/>
          <w:sz w:val="18"/>
        </w:rPr>
        <w:t>” [Poor]</w:t>
      </w:r>
    </w:p>
    <w:p>
      <w:pPr>
        <w:pStyle w:val="BodyText"/>
        <w:spacing w:before="5"/>
        <w:rPr>
          <w:rFonts w:ascii="Arial"/>
          <w:sz w:val="13"/>
        </w:rPr>
      </w:pPr>
    </w:p>
    <w:tbl>
      <w:tblPr>
        <w:tblW w:w="0" w:type="auto"/>
        <w:jc w:val="left"/>
        <w:tblInd w:w="2038"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56"/>
        <w:gridCol w:w="2844"/>
        <w:gridCol w:w="3208"/>
      </w:tblGrid>
      <w:tr>
        <w:trPr>
          <w:trHeight w:val="556" w:hRule="exact"/>
        </w:trPr>
        <w:tc>
          <w:tcPr>
            <w:tcW w:w="456" w:type="dxa"/>
          </w:tcPr>
          <w:p>
            <w:pPr>
              <w:pStyle w:val="TableParagraph"/>
              <w:ind w:left="77"/>
              <w:rPr>
                <w:sz w:val="18"/>
              </w:rPr>
            </w:pPr>
            <w:r>
              <w:rPr>
                <w:color w:val="231F20"/>
                <w:w w:val="104"/>
                <w:sz w:val="18"/>
              </w:rPr>
              <w:t>1</w:t>
            </w:r>
          </w:p>
        </w:tc>
        <w:tc>
          <w:tcPr>
            <w:tcW w:w="2844" w:type="dxa"/>
          </w:tcPr>
          <w:p>
            <w:pPr>
              <w:pStyle w:val="TableParagraph"/>
              <w:spacing w:line="254" w:lineRule="auto"/>
              <w:ind w:left="77" w:right="-13"/>
              <w:rPr>
                <w:sz w:val="18"/>
              </w:rPr>
            </w:pPr>
            <w:r>
              <w:rPr>
                <w:color w:val="231F20"/>
                <w:spacing w:val="-5"/>
                <w:w w:val="105"/>
                <w:sz w:val="18"/>
              </w:rPr>
              <w:t>Vania:</w:t>
            </w:r>
            <w:r>
              <w:rPr>
                <w:color w:val="231F20"/>
                <w:spacing w:val="-32"/>
                <w:w w:val="105"/>
                <w:sz w:val="18"/>
              </w:rPr>
              <w:t> </w:t>
            </w:r>
            <w:r>
              <w:rPr>
                <w:color w:val="231F20"/>
                <w:spacing w:val="-6"/>
                <w:w w:val="105"/>
                <w:sz w:val="18"/>
              </w:rPr>
              <w:t>Tonigth</w:t>
            </w:r>
            <w:r>
              <w:rPr>
                <w:color w:val="231F20"/>
                <w:spacing w:val="-28"/>
                <w:w w:val="105"/>
                <w:sz w:val="18"/>
              </w:rPr>
              <w:t> </w:t>
            </w:r>
            <w:r>
              <w:rPr>
                <w:color w:val="231F20"/>
                <w:spacing w:val="-3"/>
                <w:w w:val="105"/>
                <w:sz w:val="18"/>
              </w:rPr>
              <w:t>at</w:t>
            </w:r>
            <w:r>
              <w:rPr>
                <w:color w:val="231F20"/>
                <w:spacing w:val="-28"/>
                <w:w w:val="105"/>
                <w:sz w:val="18"/>
              </w:rPr>
              <w:t> </w:t>
            </w:r>
            <w:r>
              <w:rPr>
                <w:color w:val="231F20"/>
                <w:spacing w:val="-4"/>
                <w:w w:val="105"/>
                <w:sz w:val="18"/>
              </w:rPr>
              <w:t>[name</w:t>
            </w:r>
            <w:r>
              <w:rPr>
                <w:color w:val="231F20"/>
                <w:spacing w:val="-28"/>
                <w:w w:val="105"/>
                <w:sz w:val="18"/>
              </w:rPr>
              <w:t> </w:t>
            </w:r>
            <w:r>
              <w:rPr>
                <w:color w:val="231F20"/>
                <w:w w:val="105"/>
                <w:sz w:val="18"/>
              </w:rPr>
              <w:t>of</w:t>
            </w:r>
            <w:r>
              <w:rPr>
                <w:color w:val="231F20"/>
                <w:spacing w:val="-25"/>
                <w:w w:val="105"/>
                <w:sz w:val="18"/>
              </w:rPr>
              <w:t> </w:t>
            </w:r>
            <w:r>
              <w:rPr>
                <w:color w:val="231F20"/>
                <w:spacing w:val="-4"/>
                <w:w w:val="105"/>
                <w:sz w:val="18"/>
              </w:rPr>
              <w:t>bar].</w:t>
            </w:r>
            <w:r>
              <w:rPr>
                <w:color w:val="231F20"/>
                <w:spacing w:val="-32"/>
                <w:w w:val="105"/>
                <w:sz w:val="18"/>
              </w:rPr>
              <w:t> </w:t>
            </w:r>
            <w:r>
              <w:rPr>
                <w:color w:val="231F20"/>
                <w:spacing w:val="-4"/>
                <w:w w:val="105"/>
                <w:sz w:val="18"/>
              </w:rPr>
              <w:t>Sin </w:t>
            </w:r>
            <w:r>
              <w:rPr>
                <w:color w:val="231F20"/>
                <w:w w:val="105"/>
                <w:sz w:val="18"/>
              </w:rPr>
              <w:t>pretextos</w:t>
            </w:r>
          </w:p>
        </w:tc>
        <w:tc>
          <w:tcPr>
            <w:tcW w:w="3208" w:type="dxa"/>
          </w:tcPr>
          <w:p>
            <w:pPr>
              <w:pStyle w:val="TableParagraph"/>
              <w:ind w:left="77"/>
              <w:rPr>
                <w:sz w:val="18"/>
              </w:rPr>
            </w:pPr>
            <w:r>
              <w:rPr>
                <w:color w:val="231F20"/>
                <w:spacing w:val="-4"/>
                <w:w w:val="105"/>
                <w:sz w:val="18"/>
              </w:rPr>
              <w:t>Hoy</w:t>
            </w:r>
            <w:r>
              <w:rPr>
                <w:color w:val="231F20"/>
                <w:spacing w:val="-29"/>
                <w:w w:val="105"/>
                <w:sz w:val="18"/>
              </w:rPr>
              <w:t> </w:t>
            </w:r>
            <w:r>
              <w:rPr>
                <w:color w:val="231F20"/>
                <w:spacing w:val="-3"/>
                <w:w w:val="105"/>
                <w:sz w:val="18"/>
              </w:rPr>
              <w:t>en</w:t>
            </w:r>
            <w:r>
              <w:rPr>
                <w:color w:val="231F20"/>
                <w:spacing w:val="-29"/>
                <w:w w:val="105"/>
                <w:sz w:val="18"/>
              </w:rPr>
              <w:t> </w:t>
            </w:r>
            <w:r>
              <w:rPr>
                <w:color w:val="231F20"/>
                <w:spacing w:val="-5"/>
                <w:w w:val="105"/>
                <w:sz w:val="18"/>
              </w:rPr>
              <w:t>[nombre</w:t>
            </w:r>
            <w:r>
              <w:rPr>
                <w:color w:val="231F20"/>
                <w:spacing w:val="-29"/>
                <w:w w:val="105"/>
                <w:sz w:val="18"/>
              </w:rPr>
              <w:t> </w:t>
            </w:r>
            <w:r>
              <w:rPr>
                <w:color w:val="231F20"/>
                <w:spacing w:val="-3"/>
                <w:w w:val="105"/>
                <w:sz w:val="18"/>
              </w:rPr>
              <w:t>de</w:t>
            </w:r>
            <w:r>
              <w:rPr>
                <w:color w:val="231F20"/>
                <w:spacing w:val="-29"/>
                <w:w w:val="105"/>
                <w:sz w:val="18"/>
              </w:rPr>
              <w:t> </w:t>
            </w:r>
            <w:r>
              <w:rPr>
                <w:color w:val="231F20"/>
                <w:spacing w:val="-3"/>
                <w:w w:val="105"/>
                <w:sz w:val="18"/>
              </w:rPr>
              <w:t>un</w:t>
            </w:r>
            <w:r>
              <w:rPr>
                <w:color w:val="231F20"/>
                <w:spacing w:val="-29"/>
                <w:w w:val="105"/>
                <w:sz w:val="18"/>
              </w:rPr>
              <w:t> </w:t>
            </w:r>
            <w:r>
              <w:rPr>
                <w:color w:val="231F20"/>
                <w:spacing w:val="-4"/>
                <w:w w:val="105"/>
                <w:sz w:val="18"/>
              </w:rPr>
              <w:t>bar].</w:t>
            </w:r>
            <w:r>
              <w:rPr>
                <w:color w:val="231F20"/>
                <w:spacing w:val="-33"/>
                <w:w w:val="105"/>
                <w:sz w:val="18"/>
              </w:rPr>
              <w:t> </w:t>
            </w:r>
            <w:r>
              <w:rPr>
                <w:color w:val="231F20"/>
                <w:spacing w:val="-3"/>
                <w:w w:val="105"/>
                <w:sz w:val="18"/>
              </w:rPr>
              <w:t>No</w:t>
            </w:r>
            <w:r>
              <w:rPr>
                <w:color w:val="231F20"/>
                <w:spacing w:val="-29"/>
                <w:w w:val="105"/>
                <w:sz w:val="18"/>
              </w:rPr>
              <w:t> </w:t>
            </w:r>
            <w:r>
              <w:rPr>
                <w:color w:val="231F20"/>
                <w:spacing w:val="-5"/>
                <w:w w:val="105"/>
                <w:sz w:val="18"/>
              </w:rPr>
              <w:t>excuses.</w:t>
            </w:r>
          </w:p>
        </w:tc>
      </w:tr>
      <w:tr>
        <w:trPr>
          <w:trHeight w:val="340" w:hRule="exact"/>
        </w:trPr>
        <w:tc>
          <w:tcPr>
            <w:tcW w:w="456" w:type="dxa"/>
          </w:tcPr>
          <w:p>
            <w:pPr>
              <w:pStyle w:val="TableParagraph"/>
              <w:ind w:left="77"/>
              <w:rPr>
                <w:sz w:val="18"/>
              </w:rPr>
            </w:pPr>
            <w:r>
              <w:rPr>
                <w:color w:val="231F20"/>
                <w:w w:val="104"/>
                <w:sz w:val="18"/>
              </w:rPr>
              <w:t>2</w:t>
            </w:r>
          </w:p>
        </w:tc>
        <w:tc>
          <w:tcPr>
            <w:tcW w:w="2844" w:type="dxa"/>
          </w:tcPr>
          <w:p>
            <w:pPr>
              <w:pStyle w:val="TableParagraph"/>
              <w:ind w:left="77" w:right="-13"/>
              <w:rPr>
                <w:sz w:val="18"/>
              </w:rPr>
            </w:pPr>
            <w:r>
              <w:rPr>
                <w:color w:val="231F20"/>
                <w:w w:val="105"/>
                <w:sz w:val="18"/>
              </w:rPr>
              <w:t>Tita: Voy aunque esté pobre hoy</w:t>
            </w:r>
          </w:p>
        </w:tc>
        <w:tc>
          <w:tcPr>
            <w:tcW w:w="3208" w:type="dxa"/>
          </w:tcPr>
          <w:p>
            <w:pPr>
              <w:pStyle w:val="TableParagraph"/>
              <w:ind w:left="77"/>
              <w:rPr>
                <w:sz w:val="18"/>
              </w:rPr>
            </w:pPr>
            <w:r>
              <w:rPr>
                <w:color w:val="231F20"/>
                <w:w w:val="105"/>
                <w:sz w:val="18"/>
              </w:rPr>
              <w:t>I’ll go although I’m poor today.</w:t>
            </w:r>
          </w:p>
        </w:tc>
      </w:tr>
      <w:tr>
        <w:trPr>
          <w:trHeight w:val="340" w:hRule="exact"/>
        </w:trPr>
        <w:tc>
          <w:tcPr>
            <w:tcW w:w="456" w:type="dxa"/>
          </w:tcPr>
          <w:p>
            <w:pPr>
              <w:pStyle w:val="TableParagraph"/>
              <w:ind w:left="77"/>
              <w:rPr>
                <w:sz w:val="18"/>
              </w:rPr>
            </w:pPr>
            <w:r>
              <w:rPr>
                <w:color w:val="231F20"/>
                <w:w w:val="104"/>
                <w:sz w:val="18"/>
              </w:rPr>
              <w:t>3</w:t>
            </w:r>
          </w:p>
        </w:tc>
        <w:tc>
          <w:tcPr>
            <w:tcW w:w="2844" w:type="dxa"/>
          </w:tcPr>
          <w:p>
            <w:pPr>
              <w:pStyle w:val="TableParagraph"/>
              <w:ind w:left="77" w:right="-13"/>
              <w:rPr>
                <w:sz w:val="18"/>
              </w:rPr>
            </w:pPr>
            <w:r>
              <w:rPr>
                <w:color w:val="231F20"/>
                <w:spacing w:val="-4"/>
                <w:w w:val="105"/>
                <w:sz w:val="18"/>
              </w:rPr>
              <w:t>Vania:</w:t>
            </w:r>
            <w:r>
              <w:rPr>
                <w:color w:val="231F20"/>
                <w:spacing w:val="-30"/>
                <w:w w:val="105"/>
                <w:sz w:val="18"/>
              </w:rPr>
              <w:t> </w:t>
            </w:r>
            <w:r>
              <w:rPr>
                <w:color w:val="231F20"/>
                <w:spacing w:val="-3"/>
                <w:w w:val="105"/>
                <w:sz w:val="18"/>
              </w:rPr>
              <w:t>ayer</w:t>
            </w:r>
            <w:r>
              <w:rPr>
                <w:color w:val="231F20"/>
                <w:spacing w:val="-30"/>
                <w:w w:val="105"/>
                <w:sz w:val="18"/>
              </w:rPr>
              <w:t> </w:t>
            </w:r>
            <w:r>
              <w:rPr>
                <w:color w:val="231F20"/>
                <w:w w:val="105"/>
                <w:sz w:val="18"/>
              </w:rPr>
              <w:t>no</w:t>
            </w:r>
            <w:r>
              <w:rPr>
                <w:color w:val="231F20"/>
                <w:spacing w:val="-30"/>
                <w:w w:val="105"/>
                <w:sz w:val="18"/>
              </w:rPr>
              <w:t> </w:t>
            </w:r>
            <w:r>
              <w:rPr>
                <w:color w:val="231F20"/>
                <w:spacing w:val="-3"/>
                <w:w w:val="105"/>
                <w:sz w:val="18"/>
              </w:rPr>
              <w:t>estavas</w:t>
            </w:r>
            <w:r>
              <w:rPr>
                <w:color w:val="231F20"/>
                <w:spacing w:val="-30"/>
                <w:w w:val="105"/>
                <w:sz w:val="18"/>
              </w:rPr>
              <w:t> </w:t>
            </w:r>
            <w:r>
              <w:rPr>
                <w:color w:val="231F20"/>
                <w:spacing w:val="-3"/>
                <w:w w:val="105"/>
                <w:sz w:val="18"/>
              </w:rPr>
              <w:t>pobre!!!</w:t>
            </w:r>
            <w:r>
              <w:rPr>
                <w:color w:val="231F20"/>
                <w:spacing w:val="-30"/>
                <w:w w:val="105"/>
                <w:sz w:val="18"/>
              </w:rPr>
              <w:t> </w:t>
            </w:r>
            <w:r>
              <w:rPr>
                <w:color w:val="231F20"/>
                <w:spacing w:val="-4"/>
                <w:w w:val="105"/>
                <w:sz w:val="18"/>
              </w:rPr>
              <w:t>Lol</w:t>
            </w:r>
          </w:p>
        </w:tc>
        <w:tc>
          <w:tcPr>
            <w:tcW w:w="3208" w:type="dxa"/>
          </w:tcPr>
          <w:p>
            <w:pPr>
              <w:pStyle w:val="TableParagraph"/>
              <w:ind w:left="77"/>
              <w:rPr>
                <w:sz w:val="18"/>
              </w:rPr>
            </w:pPr>
            <w:r>
              <w:rPr>
                <w:color w:val="231F20"/>
                <w:w w:val="105"/>
                <w:sz w:val="18"/>
              </w:rPr>
              <w:t>You were not poor yesterday! Lol</w:t>
            </w:r>
          </w:p>
        </w:tc>
      </w:tr>
      <w:tr>
        <w:trPr>
          <w:trHeight w:val="340" w:hRule="exact"/>
        </w:trPr>
        <w:tc>
          <w:tcPr>
            <w:tcW w:w="456" w:type="dxa"/>
          </w:tcPr>
          <w:p>
            <w:pPr>
              <w:pStyle w:val="TableParagraph"/>
              <w:ind w:left="77"/>
              <w:rPr>
                <w:sz w:val="18"/>
              </w:rPr>
            </w:pPr>
            <w:r>
              <w:rPr>
                <w:color w:val="231F20"/>
                <w:w w:val="104"/>
                <w:sz w:val="18"/>
              </w:rPr>
              <w:t>4</w:t>
            </w:r>
          </w:p>
        </w:tc>
        <w:tc>
          <w:tcPr>
            <w:tcW w:w="2844" w:type="dxa"/>
          </w:tcPr>
          <w:p>
            <w:pPr>
              <w:pStyle w:val="TableParagraph"/>
              <w:ind w:left="77" w:right="-13"/>
              <w:rPr>
                <w:sz w:val="18"/>
              </w:rPr>
            </w:pPr>
            <w:r>
              <w:rPr>
                <w:color w:val="231F20"/>
                <w:w w:val="105"/>
                <w:sz w:val="18"/>
              </w:rPr>
              <w:t>Ali: Sounds like fun… Ill see.</w:t>
            </w:r>
          </w:p>
        </w:tc>
        <w:tc>
          <w:tcPr>
            <w:tcW w:w="3208" w:type="dxa"/>
          </w:tcPr>
          <w:p>
            <w:pPr>
              <w:pStyle w:val="TableParagraph"/>
              <w:ind w:left="77"/>
              <w:rPr>
                <w:sz w:val="18"/>
              </w:rPr>
            </w:pPr>
            <w:r>
              <w:rPr>
                <w:color w:val="231F20"/>
                <w:sz w:val="18"/>
              </w:rPr>
              <w:t>Suena bien, veré.</w:t>
            </w:r>
          </w:p>
        </w:tc>
      </w:tr>
      <w:tr>
        <w:trPr>
          <w:trHeight w:val="340" w:hRule="exact"/>
        </w:trPr>
        <w:tc>
          <w:tcPr>
            <w:tcW w:w="456" w:type="dxa"/>
          </w:tcPr>
          <w:p>
            <w:pPr>
              <w:pStyle w:val="TableParagraph"/>
              <w:ind w:left="77"/>
              <w:rPr>
                <w:sz w:val="18"/>
              </w:rPr>
            </w:pPr>
            <w:r>
              <w:rPr>
                <w:color w:val="231F20"/>
                <w:w w:val="104"/>
                <w:sz w:val="18"/>
              </w:rPr>
              <w:t>5</w:t>
            </w:r>
          </w:p>
        </w:tc>
        <w:tc>
          <w:tcPr>
            <w:tcW w:w="2844" w:type="dxa"/>
          </w:tcPr>
          <w:p>
            <w:pPr>
              <w:pStyle w:val="TableParagraph"/>
              <w:ind w:left="77" w:right="-13"/>
              <w:rPr>
                <w:sz w:val="18"/>
              </w:rPr>
            </w:pPr>
            <w:r>
              <w:rPr>
                <w:color w:val="231F20"/>
                <w:w w:val="105"/>
                <w:sz w:val="18"/>
              </w:rPr>
              <w:t>Vania: you should come Ali</w:t>
            </w:r>
          </w:p>
        </w:tc>
        <w:tc>
          <w:tcPr>
            <w:tcW w:w="3208" w:type="dxa"/>
          </w:tcPr>
          <w:p>
            <w:pPr>
              <w:pStyle w:val="TableParagraph"/>
              <w:ind w:left="77"/>
              <w:rPr>
                <w:sz w:val="18"/>
              </w:rPr>
            </w:pPr>
            <w:r>
              <w:rPr>
                <w:color w:val="231F20"/>
                <w:w w:val="105"/>
                <w:sz w:val="18"/>
              </w:rPr>
              <w:t>Deberías venir, Ali!</w:t>
            </w:r>
          </w:p>
        </w:tc>
      </w:tr>
      <w:tr>
        <w:trPr>
          <w:trHeight w:val="556" w:hRule="exact"/>
        </w:trPr>
        <w:tc>
          <w:tcPr>
            <w:tcW w:w="456" w:type="dxa"/>
          </w:tcPr>
          <w:p>
            <w:pPr>
              <w:pStyle w:val="TableParagraph"/>
              <w:ind w:left="77"/>
              <w:rPr>
                <w:sz w:val="18"/>
              </w:rPr>
            </w:pPr>
            <w:r>
              <w:rPr>
                <w:color w:val="231F20"/>
                <w:w w:val="104"/>
                <w:sz w:val="18"/>
              </w:rPr>
              <w:t>6</w:t>
            </w:r>
          </w:p>
        </w:tc>
        <w:tc>
          <w:tcPr>
            <w:tcW w:w="2844" w:type="dxa"/>
          </w:tcPr>
          <w:p>
            <w:pPr>
              <w:pStyle w:val="TableParagraph"/>
              <w:spacing w:line="254" w:lineRule="auto"/>
              <w:ind w:left="77" w:right="-13"/>
              <w:rPr>
                <w:sz w:val="18"/>
              </w:rPr>
            </w:pPr>
            <w:r>
              <w:rPr>
                <w:color w:val="231F20"/>
                <w:w w:val="105"/>
                <w:sz w:val="18"/>
              </w:rPr>
              <w:t>Silvia: IGUAL Q TITA STOY PO- BRE… PERO HAY Q IR…. JIJIJIJI</w:t>
            </w:r>
          </w:p>
        </w:tc>
        <w:tc>
          <w:tcPr>
            <w:tcW w:w="3208" w:type="dxa"/>
          </w:tcPr>
          <w:p>
            <w:pPr>
              <w:pStyle w:val="TableParagraph"/>
              <w:spacing w:line="254" w:lineRule="auto"/>
              <w:ind w:left="77" w:right="58"/>
              <w:rPr>
                <w:sz w:val="18"/>
              </w:rPr>
            </w:pPr>
            <w:r>
              <w:rPr>
                <w:color w:val="231F20"/>
                <w:w w:val="110"/>
                <w:sz w:val="18"/>
              </w:rPr>
              <w:t>I’m</w:t>
            </w:r>
            <w:r>
              <w:rPr>
                <w:color w:val="231F20"/>
                <w:spacing w:val="-12"/>
                <w:w w:val="110"/>
                <w:sz w:val="18"/>
              </w:rPr>
              <w:t> </w:t>
            </w:r>
            <w:r>
              <w:rPr>
                <w:color w:val="231F20"/>
                <w:w w:val="110"/>
                <w:sz w:val="18"/>
              </w:rPr>
              <w:t>just</w:t>
            </w:r>
            <w:r>
              <w:rPr>
                <w:color w:val="231F20"/>
                <w:spacing w:val="-12"/>
                <w:w w:val="110"/>
                <w:sz w:val="18"/>
              </w:rPr>
              <w:t> </w:t>
            </w:r>
            <w:r>
              <w:rPr>
                <w:color w:val="231F20"/>
                <w:w w:val="110"/>
                <w:sz w:val="18"/>
              </w:rPr>
              <w:t>as</w:t>
            </w:r>
            <w:r>
              <w:rPr>
                <w:color w:val="231F20"/>
                <w:spacing w:val="-12"/>
                <w:w w:val="110"/>
                <w:sz w:val="18"/>
              </w:rPr>
              <w:t> </w:t>
            </w:r>
            <w:r>
              <w:rPr>
                <w:color w:val="231F20"/>
                <w:w w:val="110"/>
                <w:sz w:val="18"/>
              </w:rPr>
              <w:t>poor</w:t>
            </w:r>
            <w:r>
              <w:rPr>
                <w:color w:val="231F20"/>
                <w:spacing w:val="-12"/>
                <w:w w:val="110"/>
                <w:sz w:val="18"/>
              </w:rPr>
              <w:t> </w:t>
            </w:r>
            <w:r>
              <w:rPr>
                <w:color w:val="231F20"/>
                <w:w w:val="110"/>
                <w:sz w:val="18"/>
              </w:rPr>
              <w:t>as</w:t>
            </w:r>
            <w:r>
              <w:rPr>
                <w:color w:val="231F20"/>
                <w:spacing w:val="-16"/>
                <w:w w:val="110"/>
                <w:sz w:val="18"/>
              </w:rPr>
              <w:t> </w:t>
            </w:r>
            <w:r>
              <w:rPr>
                <w:color w:val="231F20"/>
                <w:w w:val="110"/>
                <w:sz w:val="18"/>
              </w:rPr>
              <w:t>Tita,</w:t>
            </w:r>
            <w:r>
              <w:rPr>
                <w:color w:val="231F20"/>
                <w:spacing w:val="-16"/>
                <w:w w:val="110"/>
                <w:sz w:val="18"/>
              </w:rPr>
              <w:t> </w:t>
            </w:r>
            <w:r>
              <w:rPr>
                <w:color w:val="231F20"/>
                <w:w w:val="110"/>
                <w:sz w:val="18"/>
              </w:rPr>
              <w:t>but</w:t>
            </w:r>
            <w:r>
              <w:rPr>
                <w:color w:val="231F20"/>
                <w:spacing w:val="-12"/>
                <w:w w:val="110"/>
                <w:sz w:val="18"/>
              </w:rPr>
              <w:t> </w:t>
            </w:r>
            <w:r>
              <w:rPr>
                <w:color w:val="231F20"/>
                <w:w w:val="110"/>
                <w:sz w:val="18"/>
              </w:rPr>
              <w:t>we</w:t>
            </w:r>
            <w:r>
              <w:rPr>
                <w:color w:val="231F20"/>
                <w:spacing w:val="-12"/>
                <w:w w:val="110"/>
                <w:sz w:val="18"/>
              </w:rPr>
              <w:t> </w:t>
            </w:r>
            <w:r>
              <w:rPr>
                <w:color w:val="231F20"/>
                <w:w w:val="110"/>
                <w:sz w:val="18"/>
              </w:rPr>
              <w:t>must go…</w:t>
            </w:r>
            <w:r>
              <w:rPr>
                <w:color w:val="231F20"/>
                <w:spacing w:val="8"/>
                <w:w w:val="110"/>
                <w:sz w:val="18"/>
              </w:rPr>
              <w:t> </w:t>
            </w:r>
            <w:r>
              <w:rPr>
                <w:color w:val="231F20"/>
                <w:w w:val="110"/>
                <w:sz w:val="18"/>
              </w:rPr>
              <w:t>hehehe</w:t>
            </w:r>
          </w:p>
        </w:tc>
      </w:tr>
      <w:tr>
        <w:trPr>
          <w:trHeight w:val="340" w:hRule="exact"/>
        </w:trPr>
        <w:tc>
          <w:tcPr>
            <w:tcW w:w="456" w:type="dxa"/>
          </w:tcPr>
          <w:p>
            <w:pPr>
              <w:pStyle w:val="TableParagraph"/>
              <w:ind w:left="77"/>
              <w:rPr>
                <w:sz w:val="18"/>
              </w:rPr>
            </w:pPr>
            <w:r>
              <w:rPr>
                <w:color w:val="231F20"/>
                <w:w w:val="104"/>
                <w:sz w:val="18"/>
              </w:rPr>
              <w:t>7</w:t>
            </w:r>
          </w:p>
        </w:tc>
        <w:tc>
          <w:tcPr>
            <w:tcW w:w="2844" w:type="dxa"/>
          </w:tcPr>
          <w:p>
            <w:pPr>
              <w:pStyle w:val="TableParagraph"/>
              <w:ind w:left="77" w:right="-13"/>
              <w:rPr>
                <w:sz w:val="18"/>
              </w:rPr>
            </w:pPr>
            <w:r>
              <w:rPr>
                <w:color w:val="231F20"/>
                <w:spacing w:val="-6"/>
                <w:w w:val="110"/>
                <w:sz w:val="18"/>
              </w:rPr>
              <w:t>Tere:</w:t>
            </w:r>
            <w:r>
              <w:rPr>
                <w:color w:val="231F20"/>
                <w:spacing w:val="-28"/>
                <w:w w:val="110"/>
                <w:sz w:val="18"/>
              </w:rPr>
              <w:t> </w:t>
            </w:r>
            <w:r>
              <w:rPr>
                <w:color w:val="231F20"/>
                <w:w w:val="110"/>
                <w:sz w:val="18"/>
              </w:rPr>
              <w:t>No</w:t>
            </w:r>
            <w:r>
              <w:rPr>
                <w:color w:val="231F20"/>
                <w:spacing w:val="-28"/>
                <w:w w:val="110"/>
                <w:sz w:val="18"/>
              </w:rPr>
              <w:t> </w:t>
            </w:r>
            <w:r>
              <w:rPr>
                <w:color w:val="231F20"/>
                <w:spacing w:val="-3"/>
                <w:w w:val="110"/>
                <w:sz w:val="18"/>
              </w:rPr>
              <w:t>pretextos.</w:t>
            </w:r>
            <w:r>
              <w:rPr>
                <w:color w:val="231F20"/>
                <w:spacing w:val="-32"/>
                <w:w w:val="110"/>
                <w:sz w:val="18"/>
              </w:rPr>
              <w:t> </w:t>
            </w:r>
            <w:r>
              <w:rPr>
                <w:color w:val="231F20"/>
                <w:spacing w:val="-3"/>
                <w:w w:val="110"/>
                <w:sz w:val="18"/>
              </w:rPr>
              <w:t>Let’s</w:t>
            </w:r>
            <w:r>
              <w:rPr>
                <w:color w:val="231F20"/>
                <w:spacing w:val="-28"/>
                <w:w w:val="110"/>
                <w:sz w:val="18"/>
              </w:rPr>
              <w:t> </w:t>
            </w:r>
            <w:r>
              <w:rPr>
                <w:color w:val="231F20"/>
                <w:w w:val="110"/>
                <w:sz w:val="18"/>
              </w:rPr>
              <w:t>do</w:t>
            </w:r>
            <w:r>
              <w:rPr>
                <w:color w:val="231F20"/>
                <w:spacing w:val="-28"/>
                <w:w w:val="110"/>
                <w:sz w:val="18"/>
              </w:rPr>
              <w:t> </w:t>
            </w:r>
            <w:r>
              <w:rPr>
                <w:color w:val="231F20"/>
                <w:w w:val="110"/>
                <w:sz w:val="18"/>
              </w:rPr>
              <w:t>it…</w:t>
            </w:r>
            <w:r>
              <w:rPr>
                <w:color w:val="231F20"/>
                <w:spacing w:val="-32"/>
                <w:w w:val="110"/>
                <w:sz w:val="18"/>
              </w:rPr>
              <w:t> </w:t>
            </w:r>
            <w:r>
              <w:rPr>
                <w:color w:val="231F20"/>
                <w:spacing w:val="-2"/>
                <w:w w:val="110"/>
                <w:sz w:val="18"/>
              </w:rPr>
              <w:t>!!!</w:t>
            </w:r>
          </w:p>
        </w:tc>
        <w:tc>
          <w:tcPr>
            <w:tcW w:w="3208" w:type="dxa"/>
          </w:tcPr>
          <w:p>
            <w:pPr>
              <w:pStyle w:val="TableParagraph"/>
              <w:ind w:left="77"/>
              <w:rPr>
                <w:sz w:val="18"/>
              </w:rPr>
            </w:pPr>
            <w:r>
              <w:rPr>
                <w:color w:val="231F20"/>
                <w:sz w:val="18"/>
              </w:rPr>
              <w:t>No excuses! ¡Hagámoslo!</w:t>
            </w:r>
          </w:p>
        </w:tc>
      </w:tr>
      <w:tr>
        <w:trPr>
          <w:trHeight w:val="1204" w:hRule="exact"/>
        </w:trPr>
        <w:tc>
          <w:tcPr>
            <w:tcW w:w="456" w:type="dxa"/>
          </w:tcPr>
          <w:p>
            <w:pPr>
              <w:pStyle w:val="TableParagraph"/>
              <w:ind w:left="77"/>
              <w:rPr>
                <w:sz w:val="18"/>
              </w:rPr>
            </w:pPr>
            <w:r>
              <w:rPr>
                <w:color w:val="231F20"/>
                <w:w w:val="104"/>
                <w:sz w:val="18"/>
              </w:rPr>
              <w:t>8</w:t>
            </w:r>
          </w:p>
        </w:tc>
        <w:tc>
          <w:tcPr>
            <w:tcW w:w="2844" w:type="dxa"/>
          </w:tcPr>
          <w:p>
            <w:pPr>
              <w:pStyle w:val="TableParagraph"/>
              <w:spacing w:line="254" w:lineRule="auto"/>
              <w:ind w:left="77" w:right="66"/>
              <w:jc w:val="both"/>
              <w:rPr>
                <w:sz w:val="18"/>
              </w:rPr>
            </w:pPr>
            <w:r>
              <w:rPr>
                <w:color w:val="231F20"/>
                <w:w w:val="105"/>
                <w:sz w:val="18"/>
              </w:rPr>
              <w:t>Vania: Mas bien somo pobres, pero no podemos quedarnos en casa un viernes como hoy!!!lol Tere valemas k vallas no quiero pretestos varatos ehhh… lol</w:t>
            </w:r>
          </w:p>
        </w:tc>
        <w:tc>
          <w:tcPr>
            <w:tcW w:w="3208" w:type="dxa"/>
          </w:tcPr>
          <w:p>
            <w:pPr>
              <w:pStyle w:val="TableParagraph"/>
              <w:spacing w:line="254" w:lineRule="auto"/>
              <w:ind w:left="77" w:right="73"/>
              <w:jc w:val="both"/>
              <w:rPr>
                <w:sz w:val="18"/>
              </w:rPr>
            </w:pPr>
            <w:r>
              <w:rPr>
                <w:color w:val="231F20"/>
                <w:w w:val="105"/>
                <w:sz w:val="18"/>
              </w:rPr>
              <w:t>We are poor, but we cannot stay at home on a Friday such as today! Lol Tere you’d better go [with us]. I don’t want cheap excuses eh, lol.</w:t>
            </w:r>
          </w:p>
        </w:tc>
      </w:tr>
    </w:tbl>
    <w:p>
      <w:pPr>
        <w:spacing w:before="78"/>
        <w:ind w:left="2033" w:right="0" w:firstLine="0"/>
        <w:jc w:val="left"/>
        <w:rPr>
          <w:sz w:val="16"/>
        </w:rPr>
      </w:pPr>
      <w:r>
        <w:rPr>
          <w:color w:val="231F20"/>
          <w:sz w:val="16"/>
        </w:rPr>
        <w:t>Source: Vania’s Facebook.</w:t>
      </w:r>
    </w:p>
    <w:p>
      <w:pPr>
        <w:pStyle w:val="BodyText"/>
        <w:rPr>
          <w:sz w:val="16"/>
        </w:rPr>
      </w:pPr>
    </w:p>
    <w:p>
      <w:pPr>
        <w:pStyle w:val="BodyText"/>
        <w:spacing w:line="261" w:lineRule="auto" w:before="111"/>
        <w:ind w:left="1837" w:right="1715"/>
        <w:jc w:val="both"/>
      </w:pPr>
      <w:r>
        <w:rPr>
          <w:color w:val="231F20"/>
          <w:w w:val="105"/>
        </w:rPr>
        <w:t>In</w:t>
      </w:r>
      <w:r>
        <w:rPr>
          <w:color w:val="231F20"/>
          <w:spacing w:val="-26"/>
          <w:w w:val="105"/>
        </w:rPr>
        <w:t> </w:t>
      </w:r>
      <w:r>
        <w:rPr>
          <w:color w:val="231F20"/>
          <w:w w:val="105"/>
        </w:rPr>
        <w:t>Conversation</w:t>
      </w:r>
      <w:r>
        <w:rPr>
          <w:color w:val="231F20"/>
          <w:spacing w:val="-26"/>
          <w:w w:val="105"/>
        </w:rPr>
        <w:t> </w:t>
      </w:r>
      <w:r>
        <w:rPr>
          <w:color w:val="231F20"/>
          <w:w w:val="105"/>
        </w:rPr>
        <w:t>1,</w:t>
      </w:r>
      <w:r>
        <w:rPr>
          <w:color w:val="231F20"/>
          <w:spacing w:val="-33"/>
          <w:w w:val="105"/>
        </w:rPr>
        <w:t> </w:t>
      </w:r>
      <w:r>
        <w:rPr>
          <w:color w:val="231F20"/>
          <w:w w:val="105"/>
        </w:rPr>
        <w:t>Vania</w:t>
      </w:r>
      <w:r>
        <w:rPr>
          <w:color w:val="231F20"/>
          <w:spacing w:val="-26"/>
          <w:w w:val="105"/>
        </w:rPr>
        <w:t> </w:t>
      </w:r>
      <w:r>
        <w:rPr>
          <w:color w:val="231F20"/>
          <w:w w:val="105"/>
        </w:rPr>
        <w:t>announces</w:t>
      </w:r>
      <w:r>
        <w:rPr>
          <w:color w:val="231F20"/>
          <w:spacing w:val="-26"/>
          <w:w w:val="105"/>
        </w:rPr>
        <w:t> </w:t>
      </w:r>
      <w:r>
        <w:rPr>
          <w:color w:val="231F20"/>
          <w:w w:val="105"/>
        </w:rPr>
        <w:t>her</w:t>
      </w:r>
      <w:r>
        <w:rPr>
          <w:color w:val="231F20"/>
          <w:spacing w:val="-26"/>
          <w:w w:val="105"/>
        </w:rPr>
        <w:t> </w:t>
      </w:r>
      <w:r>
        <w:rPr>
          <w:color w:val="231F20"/>
          <w:w w:val="105"/>
        </w:rPr>
        <w:t>arrival</w:t>
      </w:r>
      <w:r>
        <w:rPr>
          <w:color w:val="231F20"/>
          <w:spacing w:val="-26"/>
          <w:w w:val="105"/>
        </w:rPr>
        <w:t> </w:t>
      </w:r>
      <w:r>
        <w:rPr>
          <w:color w:val="231F20"/>
          <w:w w:val="105"/>
        </w:rPr>
        <w:t>in</w:t>
      </w:r>
      <w:r>
        <w:rPr>
          <w:color w:val="231F20"/>
          <w:spacing w:val="-26"/>
          <w:w w:val="105"/>
        </w:rPr>
        <w:t> </w:t>
      </w:r>
      <w:r>
        <w:rPr>
          <w:color w:val="231F20"/>
          <w:w w:val="105"/>
        </w:rPr>
        <w:t>the</w:t>
      </w:r>
      <w:r>
        <w:rPr>
          <w:color w:val="231F20"/>
          <w:spacing w:val="-26"/>
          <w:w w:val="105"/>
        </w:rPr>
        <w:t> </w:t>
      </w:r>
      <w:r>
        <w:rPr>
          <w:color w:val="231F20"/>
          <w:w w:val="105"/>
        </w:rPr>
        <w:t>US.</w:t>
      </w:r>
      <w:r>
        <w:rPr>
          <w:color w:val="231F20"/>
          <w:spacing w:val="-30"/>
          <w:w w:val="105"/>
        </w:rPr>
        <w:t> </w:t>
      </w:r>
      <w:r>
        <w:rPr>
          <w:color w:val="231F20"/>
          <w:w w:val="105"/>
        </w:rPr>
        <w:t>Shortly</w:t>
      </w:r>
      <w:r>
        <w:rPr>
          <w:color w:val="231F20"/>
          <w:spacing w:val="-26"/>
          <w:w w:val="105"/>
        </w:rPr>
        <w:t> </w:t>
      </w:r>
      <w:r>
        <w:rPr>
          <w:color w:val="231F20"/>
          <w:w w:val="105"/>
        </w:rPr>
        <w:t>after</w:t>
      </w:r>
      <w:r>
        <w:rPr>
          <w:color w:val="231F20"/>
          <w:spacing w:val="-26"/>
          <w:w w:val="105"/>
        </w:rPr>
        <w:t> </w:t>
      </w:r>
      <w:r>
        <w:rPr>
          <w:color w:val="231F20"/>
          <w:w w:val="105"/>
        </w:rPr>
        <w:t>her arrival;</w:t>
      </w:r>
      <w:r>
        <w:rPr>
          <w:color w:val="231F20"/>
          <w:spacing w:val="-11"/>
          <w:w w:val="105"/>
        </w:rPr>
        <w:t> </w:t>
      </w:r>
      <w:r>
        <w:rPr>
          <w:color w:val="231F20"/>
          <w:w w:val="105"/>
        </w:rPr>
        <w:t>Vania</w:t>
      </w:r>
      <w:r>
        <w:rPr>
          <w:color w:val="231F20"/>
          <w:spacing w:val="-8"/>
          <w:w w:val="105"/>
        </w:rPr>
        <w:t> </w:t>
      </w:r>
      <w:r>
        <w:rPr>
          <w:color w:val="231F20"/>
          <w:w w:val="105"/>
        </w:rPr>
        <w:t>updated</w:t>
      </w:r>
      <w:r>
        <w:rPr>
          <w:color w:val="231F20"/>
          <w:spacing w:val="-8"/>
          <w:w w:val="105"/>
        </w:rPr>
        <w:t> </w:t>
      </w:r>
      <w:r>
        <w:rPr>
          <w:color w:val="231F20"/>
          <w:w w:val="105"/>
        </w:rPr>
        <w:t>her</w:t>
      </w:r>
      <w:r>
        <w:rPr>
          <w:color w:val="231F20"/>
          <w:spacing w:val="-8"/>
          <w:w w:val="105"/>
        </w:rPr>
        <w:t> </w:t>
      </w:r>
      <w:r>
        <w:rPr>
          <w:color w:val="231F20"/>
          <w:w w:val="105"/>
        </w:rPr>
        <w:t>Facebook</w:t>
      </w:r>
      <w:r>
        <w:rPr>
          <w:color w:val="231F20"/>
          <w:spacing w:val="-8"/>
          <w:w w:val="105"/>
        </w:rPr>
        <w:t> </w:t>
      </w:r>
      <w:r>
        <w:rPr>
          <w:color w:val="231F20"/>
          <w:w w:val="105"/>
        </w:rPr>
        <w:t>status</w:t>
      </w:r>
      <w:r>
        <w:rPr>
          <w:color w:val="231F20"/>
          <w:spacing w:val="-8"/>
          <w:w w:val="105"/>
        </w:rPr>
        <w:t> </w:t>
      </w:r>
      <w:r>
        <w:rPr>
          <w:color w:val="231F20"/>
          <w:w w:val="105"/>
        </w:rPr>
        <w:t>with</w:t>
      </w:r>
      <w:r>
        <w:rPr>
          <w:color w:val="231F20"/>
          <w:spacing w:val="-8"/>
          <w:w w:val="105"/>
        </w:rPr>
        <w:t> </w:t>
      </w:r>
      <w:r>
        <w:rPr>
          <w:color w:val="231F20"/>
          <w:w w:val="105"/>
        </w:rPr>
        <w:t>an</w:t>
      </w:r>
      <w:r>
        <w:rPr>
          <w:color w:val="231F20"/>
          <w:spacing w:val="-8"/>
          <w:w w:val="105"/>
        </w:rPr>
        <w:t> </w:t>
      </w:r>
      <w:r>
        <w:rPr>
          <w:color w:val="231F20"/>
          <w:w w:val="105"/>
        </w:rPr>
        <w:t>invitation</w:t>
      </w:r>
      <w:r>
        <w:rPr>
          <w:color w:val="231F20"/>
          <w:spacing w:val="-8"/>
          <w:w w:val="105"/>
        </w:rPr>
        <w:t> </w:t>
      </w:r>
      <w:r>
        <w:rPr>
          <w:color w:val="231F20"/>
          <w:w w:val="105"/>
        </w:rPr>
        <w:t>to</w:t>
      </w:r>
      <w:r>
        <w:rPr>
          <w:color w:val="231F20"/>
          <w:spacing w:val="-8"/>
          <w:w w:val="105"/>
        </w:rPr>
        <w:t> </w:t>
      </w:r>
      <w:r>
        <w:rPr>
          <w:color w:val="231F20"/>
          <w:w w:val="105"/>
        </w:rPr>
        <w:t>a</w:t>
      </w:r>
      <w:r>
        <w:rPr>
          <w:color w:val="231F20"/>
          <w:spacing w:val="-8"/>
          <w:w w:val="105"/>
        </w:rPr>
        <w:t> </w:t>
      </w:r>
      <w:r>
        <w:rPr>
          <w:color w:val="231F20"/>
          <w:w w:val="105"/>
        </w:rPr>
        <w:t>gathe- ring at a local bar they frequent (see table 2). In this conversation, she makes an invitation to which other family members respond they would attend. Notice in post 7 even </w:t>
      </w:r>
      <w:r>
        <w:rPr>
          <w:color w:val="231F20"/>
          <w:spacing w:val="-5"/>
          <w:w w:val="105"/>
        </w:rPr>
        <w:t>Tere, </w:t>
      </w:r>
      <w:r>
        <w:rPr>
          <w:color w:val="231F20"/>
          <w:w w:val="105"/>
        </w:rPr>
        <w:t>one of </w:t>
      </w:r>
      <w:r>
        <w:rPr>
          <w:color w:val="231F20"/>
          <w:spacing w:val="-4"/>
          <w:w w:val="105"/>
        </w:rPr>
        <w:t>Vania’s </w:t>
      </w:r>
      <w:r>
        <w:rPr>
          <w:color w:val="231F20"/>
          <w:w w:val="105"/>
        </w:rPr>
        <w:t>cousins from Mexico, was responding as if she were going to attend this gathering. Although this</w:t>
      </w:r>
      <w:r>
        <w:rPr>
          <w:color w:val="231F20"/>
          <w:spacing w:val="-7"/>
          <w:w w:val="105"/>
        </w:rPr>
        <w:t> </w:t>
      </w:r>
      <w:r>
        <w:rPr>
          <w:color w:val="231F20"/>
          <w:w w:val="105"/>
        </w:rPr>
        <w:t>cousin</w:t>
      </w:r>
      <w:r>
        <w:rPr>
          <w:color w:val="231F20"/>
          <w:spacing w:val="-7"/>
          <w:w w:val="105"/>
        </w:rPr>
        <w:t> </w:t>
      </w:r>
      <w:r>
        <w:rPr>
          <w:color w:val="231F20"/>
          <w:w w:val="105"/>
        </w:rPr>
        <w:t>did</w:t>
      </w:r>
      <w:r>
        <w:rPr>
          <w:color w:val="231F20"/>
          <w:spacing w:val="-7"/>
          <w:w w:val="105"/>
        </w:rPr>
        <w:t> </w:t>
      </w:r>
      <w:r>
        <w:rPr>
          <w:color w:val="231F20"/>
          <w:w w:val="105"/>
        </w:rPr>
        <w:t>not</w:t>
      </w:r>
      <w:r>
        <w:rPr>
          <w:color w:val="231F20"/>
          <w:spacing w:val="-7"/>
          <w:w w:val="105"/>
        </w:rPr>
        <w:t> </w:t>
      </w:r>
      <w:r>
        <w:rPr>
          <w:color w:val="231F20"/>
          <w:w w:val="105"/>
        </w:rPr>
        <w:t>attend,</w:t>
      </w:r>
      <w:r>
        <w:rPr>
          <w:color w:val="231F20"/>
          <w:spacing w:val="-12"/>
          <w:w w:val="105"/>
        </w:rPr>
        <w:t> </w:t>
      </w:r>
      <w:r>
        <w:rPr>
          <w:color w:val="231F20"/>
          <w:w w:val="105"/>
        </w:rPr>
        <w:t>the</w:t>
      </w:r>
      <w:r>
        <w:rPr>
          <w:color w:val="231F20"/>
          <w:spacing w:val="-7"/>
          <w:w w:val="105"/>
        </w:rPr>
        <w:t> </w:t>
      </w:r>
      <w:r>
        <w:rPr>
          <w:color w:val="231F20"/>
          <w:w w:val="105"/>
        </w:rPr>
        <w:t>fact</w:t>
      </w:r>
      <w:r>
        <w:rPr>
          <w:color w:val="231F20"/>
          <w:spacing w:val="-7"/>
          <w:w w:val="105"/>
        </w:rPr>
        <w:t> </w:t>
      </w:r>
      <w:r>
        <w:rPr>
          <w:color w:val="231F20"/>
          <w:w w:val="105"/>
        </w:rPr>
        <w:t>that</w:t>
      </w:r>
      <w:r>
        <w:rPr>
          <w:color w:val="231F20"/>
          <w:spacing w:val="-7"/>
          <w:w w:val="105"/>
        </w:rPr>
        <w:t> </w:t>
      </w:r>
      <w:r>
        <w:rPr>
          <w:color w:val="231F20"/>
          <w:w w:val="105"/>
        </w:rPr>
        <w:t>she</w:t>
      </w:r>
      <w:r>
        <w:rPr>
          <w:color w:val="231F20"/>
          <w:spacing w:val="-7"/>
          <w:w w:val="105"/>
        </w:rPr>
        <w:t> </w:t>
      </w:r>
      <w:r>
        <w:rPr>
          <w:color w:val="231F20"/>
          <w:w w:val="105"/>
        </w:rPr>
        <w:t>was</w:t>
      </w:r>
      <w:r>
        <w:rPr>
          <w:color w:val="231F20"/>
          <w:spacing w:val="-7"/>
          <w:w w:val="105"/>
        </w:rPr>
        <w:t> </w:t>
      </w:r>
      <w:r>
        <w:rPr>
          <w:color w:val="231F20"/>
          <w:w w:val="105"/>
        </w:rPr>
        <w:t>participating</w:t>
      </w:r>
      <w:r>
        <w:rPr>
          <w:color w:val="231F20"/>
          <w:spacing w:val="-7"/>
          <w:w w:val="105"/>
        </w:rPr>
        <w:t> </w:t>
      </w:r>
      <w:r>
        <w:rPr>
          <w:color w:val="231F20"/>
          <w:w w:val="105"/>
        </w:rPr>
        <w:t>in</w:t>
      </w:r>
      <w:r>
        <w:rPr>
          <w:color w:val="231F20"/>
          <w:spacing w:val="-7"/>
          <w:w w:val="105"/>
        </w:rPr>
        <w:t> </w:t>
      </w:r>
      <w:r>
        <w:rPr>
          <w:color w:val="231F20"/>
          <w:w w:val="105"/>
        </w:rPr>
        <w:t>the</w:t>
      </w:r>
      <w:r>
        <w:rPr>
          <w:color w:val="231F20"/>
          <w:spacing w:val="-7"/>
          <w:w w:val="105"/>
        </w:rPr>
        <w:t> </w:t>
      </w:r>
      <w:r>
        <w:rPr>
          <w:color w:val="231F20"/>
          <w:w w:val="105"/>
        </w:rPr>
        <w:t>plans gave</w:t>
      </w:r>
      <w:r>
        <w:rPr>
          <w:color w:val="231F20"/>
          <w:spacing w:val="-7"/>
          <w:w w:val="105"/>
        </w:rPr>
        <w:t> </w:t>
      </w:r>
      <w:r>
        <w:rPr>
          <w:color w:val="231F20"/>
          <w:w w:val="105"/>
        </w:rPr>
        <w:t>her</w:t>
      </w:r>
      <w:r>
        <w:rPr>
          <w:color w:val="231F20"/>
          <w:spacing w:val="-7"/>
          <w:w w:val="105"/>
        </w:rPr>
        <w:t> </w:t>
      </w:r>
      <w:r>
        <w:rPr>
          <w:color w:val="231F20"/>
          <w:w w:val="105"/>
        </w:rPr>
        <w:t>a</w:t>
      </w:r>
      <w:r>
        <w:rPr>
          <w:color w:val="231F20"/>
          <w:spacing w:val="-7"/>
          <w:w w:val="105"/>
        </w:rPr>
        <w:t> </w:t>
      </w:r>
      <w:r>
        <w:rPr>
          <w:color w:val="231F20"/>
          <w:w w:val="105"/>
        </w:rPr>
        <w:t>presence</w:t>
      </w:r>
      <w:r>
        <w:rPr>
          <w:color w:val="231F20"/>
          <w:spacing w:val="-7"/>
          <w:w w:val="105"/>
        </w:rPr>
        <w:t> </w:t>
      </w:r>
      <w:r>
        <w:rPr>
          <w:color w:val="231F20"/>
          <w:w w:val="105"/>
        </w:rPr>
        <w:t>online</w:t>
      </w:r>
      <w:r>
        <w:rPr>
          <w:color w:val="231F20"/>
          <w:spacing w:val="-7"/>
          <w:w w:val="105"/>
        </w:rPr>
        <w:t> </w:t>
      </w:r>
      <w:r>
        <w:rPr>
          <w:color w:val="231F20"/>
          <w:w w:val="105"/>
        </w:rPr>
        <w:t>and</w:t>
      </w:r>
      <w:r>
        <w:rPr>
          <w:color w:val="231F20"/>
          <w:spacing w:val="-7"/>
          <w:w w:val="105"/>
        </w:rPr>
        <w:t> </w:t>
      </w:r>
      <w:r>
        <w:rPr>
          <w:color w:val="231F20"/>
          <w:w w:val="105"/>
        </w:rPr>
        <w:t>in</w:t>
      </w:r>
      <w:r>
        <w:rPr>
          <w:color w:val="231F20"/>
          <w:spacing w:val="-7"/>
          <w:w w:val="105"/>
        </w:rPr>
        <w:t> </w:t>
      </w:r>
      <w:r>
        <w:rPr>
          <w:color w:val="231F20"/>
          <w:w w:val="105"/>
        </w:rPr>
        <w:t>the</w:t>
      </w:r>
      <w:r>
        <w:rPr>
          <w:color w:val="231F20"/>
          <w:spacing w:val="-7"/>
          <w:w w:val="105"/>
        </w:rPr>
        <w:t> </w:t>
      </w:r>
      <w:r>
        <w:rPr>
          <w:color w:val="231F20"/>
          <w:w w:val="105"/>
        </w:rPr>
        <w:t>transnational</w:t>
      </w:r>
      <w:r>
        <w:rPr>
          <w:color w:val="231F20"/>
          <w:spacing w:val="-7"/>
          <w:w w:val="105"/>
        </w:rPr>
        <w:t> </w:t>
      </w:r>
      <w:r>
        <w:rPr>
          <w:color w:val="231F20"/>
          <w:w w:val="105"/>
        </w:rPr>
        <w:t>community</w:t>
      </w:r>
      <w:r>
        <w:rPr>
          <w:color w:val="231F20"/>
          <w:spacing w:val="-7"/>
          <w:w w:val="105"/>
        </w:rPr>
        <w:t> </w:t>
      </w:r>
      <w:r>
        <w:rPr>
          <w:color w:val="231F20"/>
          <w:w w:val="105"/>
        </w:rPr>
        <w:t>to</w:t>
      </w:r>
      <w:r>
        <w:rPr>
          <w:color w:val="231F20"/>
          <w:spacing w:val="-7"/>
          <w:w w:val="105"/>
        </w:rPr>
        <w:t> </w:t>
      </w:r>
      <w:r>
        <w:rPr>
          <w:color w:val="231F20"/>
          <w:w w:val="105"/>
        </w:rPr>
        <w:t>which she</w:t>
      </w:r>
      <w:r>
        <w:rPr>
          <w:color w:val="231F20"/>
          <w:spacing w:val="-24"/>
          <w:w w:val="105"/>
        </w:rPr>
        <w:t> </w:t>
      </w:r>
      <w:r>
        <w:rPr>
          <w:color w:val="231F20"/>
          <w:w w:val="105"/>
        </w:rPr>
        <w:t>belongs.</w:t>
      </w:r>
    </w:p>
    <w:p>
      <w:pPr>
        <w:pStyle w:val="BodyText"/>
        <w:spacing w:line="261" w:lineRule="auto" w:before="1"/>
        <w:ind w:left="1837" w:right="1721" w:firstLine="567"/>
        <w:jc w:val="both"/>
      </w:pPr>
      <w:r>
        <w:rPr/>
        <w:pict>
          <v:line style="position:absolute;mso-position-horizontal-relative:page;mso-position-vertical-relative:paragraph;z-index:-447688" from="15pt,116.883385pt" to="0pt,116.883385pt" stroked="true" strokeweight=".25pt" strokecolor="#000000">
            <w10:wrap type="none"/>
          </v:line>
        </w:pict>
      </w:r>
      <w:r>
        <w:rPr/>
        <w:pict>
          <v:line style="position:absolute;mso-position-horizontal-relative:page;mso-position-vertical-relative:paragraph;z-index:42520" from="508.890015pt,116.883385pt" to="523.890015pt,116.883385pt" stroked="true" strokeweight=".25pt" strokecolor="#000000">
            <w10:wrap type="none"/>
          </v:line>
        </w:pict>
      </w:r>
      <w:r>
        <w:rPr>
          <w:color w:val="231F20"/>
          <w:w w:val="105"/>
        </w:rPr>
        <w:t>Apart from planning, members also create spontaneous conver- sations on Facebook. </w:t>
      </w:r>
      <w:r>
        <w:rPr>
          <w:color w:val="231F20"/>
          <w:spacing w:val="-4"/>
          <w:w w:val="105"/>
        </w:rPr>
        <w:t>For </w:t>
      </w:r>
      <w:r>
        <w:rPr>
          <w:color w:val="231F20"/>
          <w:w w:val="105"/>
        </w:rPr>
        <w:t>example, a member will post a picture of an ordinary</w:t>
      </w:r>
      <w:r>
        <w:rPr>
          <w:color w:val="231F20"/>
          <w:spacing w:val="-12"/>
          <w:w w:val="105"/>
        </w:rPr>
        <w:t> </w:t>
      </w:r>
      <w:r>
        <w:rPr>
          <w:color w:val="231F20"/>
          <w:w w:val="105"/>
        </w:rPr>
        <w:t>activity</w:t>
      </w:r>
      <w:r>
        <w:rPr>
          <w:color w:val="231F20"/>
          <w:spacing w:val="-12"/>
          <w:w w:val="105"/>
        </w:rPr>
        <w:t> </w:t>
      </w:r>
      <w:r>
        <w:rPr>
          <w:color w:val="231F20"/>
          <w:w w:val="105"/>
        </w:rPr>
        <w:t>that</w:t>
      </w:r>
      <w:r>
        <w:rPr>
          <w:color w:val="231F20"/>
          <w:spacing w:val="-12"/>
          <w:w w:val="105"/>
        </w:rPr>
        <w:t> </w:t>
      </w:r>
      <w:r>
        <w:rPr>
          <w:color w:val="231F20"/>
          <w:w w:val="105"/>
        </w:rPr>
        <w:t>usually</w:t>
      </w:r>
      <w:r>
        <w:rPr>
          <w:color w:val="231F20"/>
          <w:spacing w:val="-12"/>
          <w:w w:val="105"/>
        </w:rPr>
        <w:t> </w:t>
      </w:r>
      <w:r>
        <w:rPr>
          <w:color w:val="231F20"/>
          <w:w w:val="105"/>
        </w:rPr>
        <w:t>occurs</w:t>
      </w:r>
      <w:r>
        <w:rPr>
          <w:color w:val="231F20"/>
          <w:spacing w:val="-12"/>
          <w:w w:val="105"/>
        </w:rPr>
        <w:t> </w:t>
      </w:r>
      <w:r>
        <w:rPr>
          <w:color w:val="231F20"/>
          <w:w w:val="105"/>
        </w:rPr>
        <w:t>in</w:t>
      </w:r>
      <w:r>
        <w:rPr>
          <w:color w:val="231F20"/>
          <w:spacing w:val="-12"/>
          <w:w w:val="105"/>
        </w:rPr>
        <w:t> </w:t>
      </w:r>
      <w:r>
        <w:rPr>
          <w:color w:val="231F20"/>
          <w:w w:val="105"/>
        </w:rPr>
        <w:t>groups,</w:t>
      </w:r>
      <w:r>
        <w:rPr>
          <w:color w:val="231F20"/>
          <w:spacing w:val="-18"/>
          <w:w w:val="105"/>
        </w:rPr>
        <w:t> </w:t>
      </w:r>
      <w:r>
        <w:rPr>
          <w:color w:val="231F20"/>
          <w:w w:val="105"/>
        </w:rPr>
        <w:t>such</w:t>
      </w:r>
      <w:r>
        <w:rPr>
          <w:color w:val="231F20"/>
          <w:spacing w:val="-12"/>
          <w:w w:val="105"/>
        </w:rPr>
        <w:t> </w:t>
      </w:r>
      <w:r>
        <w:rPr>
          <w:color w:val="231F20"/>
          <w:w w:val="105"/>
        </w:rPr>
        <w:t>nail</w:t>
      </w:r>
      <w:r>
        <w:rPr>
          <w:color w:val="231F20"/>
          <w:spacing w:val="-12"/>
          <w:w w:val="105"/>
        </w:rPr>
        <w:t> </w:t>
      </w:r>
      <w:r>
        <w:rPr>
          <w:color w:val="231F20"/>
          <w:w w:val="105"/>
        </w:rPr>
        <w:t>polishing</w:t>
      </w:r>
      <w:r>
        <w:rPr>
          <w:color w:val="231F20"/>
          <w:spacing w:val="-12"/>
          <w:w w:val="105"/>
        </w:rPr>
        <w:t> </w:t>
      </w:r>
      <w:r>
        <w:rPr>
          <w:color w:val="231F20"/>
          <w:w w:val="105"/>
        </w:rPr>
        <w:t>among</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42568" from="15pt,-71.68644pt" to="0pt,-71.68644pt" stroked="true" strokeweight=".25pt" strokecolor="#000000">
            <w10:wrap type="none"/>
          </v:line>
        </w:pict>
      </w:r>
      <w:r>
        <w:rPr/>
        <w:pict>
          <v:line style="position:absolute;mso-position-horizontal-relative:page;mso-position-vertical-relative:paragraph;z-index:42592" from="508.890015pt,-71.68644pt" to="523.890015pt,-71.68644pt" stroked="true" strokeweight=".25pt" strokecolor="#000000">
            <w10:wrap type="none"/>
          </v:line>
        </w:pict>
      </w:r>
      <w:r>
        <w:rPr>
          <w:color w:val="231F20"/>
          <w:w w:val="105"/>
        </w:rPr>
        <w:t>young</w:t>
      </w:r>
      <w:r>
        <w:rPr>
          <w:color w:val="231F20"/>
          <w:spacing w:val="-17"/>
          <w:w w:val="105"/>
        </w:rPr>
        <w:t> </w:t>
      </w:r>
      <w:r>
        <w:rPr>
          <w:color w:val="231F20"/>
          <w:w w:val="105"/>
        </w:rPr>
        <w:t>women.</w:t>
      </w:r>
      <w:r>
        <w:rPr>
          <w:color w:val="231F20"/>
          <w:spacing w:val="-28"/>
          <w:w w:val="105"/>
        </w:rPr>
        <w:t> </w:t>
      </w:r>
      <w:r>
        <w:rPr>
          <w:color w:val="231F20"/>
          <w:w w:val="105"/>
        </w:rPr>
        <w:t>Thus,</w:t>
      </w:r>
      <w:r>
        <w:rPr>
          <w:color w:val="231F20"/>
          <w:spacing w:val="-24"/>
          <w:w w:val="105"/>
        </w:rPr>
        <w:t> </w:t>
      </w:r>
      <w:r>
        <w:rPr>
          <w:color w:val="231F20"/>
          <w:w w:val="105"/>
        </w:rPr>
        <w:t>one</w:t>
      </w:r>
      <w:r>
        <w:rPr>
          <w:color w:val="231F20"/>
          <w:spacing w:val="-17"/>
          <w:w w:val="105"/>
        </w:rPr>
        <w:t> </w:t>
      </w:r>
      <w:r>
        <w:rPr>
          <w:color w:val="231F20"/>
          <w:w w:val="105"/>
        </w:rPr>
        <w:t>posts</w:t>
      </w:r>
      <w:r>
        <w:rPr>
          <w:color w:val="231F20"/>
          <w:spacing w:val="-17"/>
          <w:w w:val="105"/>
        </w:rPr>
        <w:t> </w:t>
      </w:r>
      <w:r>
        <w:rPr>
          <w:color w:val="231F20"/>
          <w:w w:val="105"/>
        </w:rPr>
        <w:t>pictures</w:t>
      </w:r>
      <w:r>
        <w:rPr>
          <w:color w:val="231F20"/>
          <w:spacing w:val="-17"/>
          <w:w w:val="105"/>
        </w:rPr>
        <w:t> </w:t>
      </w:r>
      <w:r>
        <w:rPr>
          <w:color w:val="231F20"/>
          <w:w w:val="105"/>
        </w:rPr>
        <w:t>on</w:t>
      </w:r>
      <w:r>
        <w:rPr>
          <w:color w:val="231F20"/>
          <w:spacing w:val="-17"/>
          <w:w w:val="105"/>
        </w:rPr>
        <w:t> </w:t>
      </w:r>
      <w:r>
        <w:rPr>
          <w:color w:val="231F20"/>
          <w:w w:val="105"/>
        </w:rPr>
        <w:t>her</w:t>
      </w:r>
      <w:r>
        <w:rPr>
          <w:color w:val="231F20"/>
          <w:spacing w:val="-17"/>
          <w:w w:val="105"/>
        </w:rPr>
        <w:t> </w:t>
      </w:r>
      <w:r>
        <w:rPr>
          <w:color w:val="231F20"/>
          <w:w w:val="105"/>
        </w:rPr>
        <w:t>wall</w:t>
      </w:r>
      <w:r>
        <w:rPr>
          <w:color w:val="231F20"/>
          <w:spacing w:val="-17"/>
          <w:w w:val="105"/>
        </w:rPr>
        <w:t> </w:t>
      </w:r>
      <w:r>
        <w:rPr>
          <w:color w:val="231F20"/>
          <w:w w:val="105"/>
        </w:rPr>
        <w:t>of</w:t>
      </w:r>
      <w:r>
        <w:rPr>
          <w:color w:val="231F20"/>
          <w:spacing w:val="-13"/>
          <w:w w:val="105"/>
        </w:rPr>
        <w:t> </w:t>
      </w:r>
      <w:r>
        <w:rPr>
          <w:color w:val="231F20"/>
          <w:w w:val="105"/>
        </w:rPr>
        <w:t>her</w:t>
      </w:r>
      <w:r>
        <w:rPr>
          <w:color w:val="231F20"/>
          <w:spacing w:val="-17"/>
          <w:w w:val="105"/>
        </w:rPr>
        <w:t> </w:t>
      </w:r>
      <w:r>
        <w:rPr>
          <w:color w:val="231F20"/>
          <w:w w:val="105"/>
        </w:rPr>
        <w:t>toenails</w:t>
      </w:r>
      <w:r>
        <w:rPr>
          <w:color w:val="231F20"/>
          <w:spacing w:val="-17"/>
          <w:w w:val="105"/>
        </w:rPr>
        <w:t> </w:t>
      </w:r>
      <w:r>
        <w:rPr>
          <w:color w:val="231F20"/>
          <w:w w:val="105"/>
        </w:rPr>
        <w:t>before and</w:t>
      </w:r>
      <w:r>
        <w:rPr>
          <w:color w:val="231F20"/>
          <w:spacing w:val="-14"/>
          <w:w w:val="105"/>
        </w:rPr>
        <w:t> </w:t>
      </w:r>
      <w:r>
        <w:rPr>
          <w:color w:val="231F20"/>
          <w:w w:val="105"/>
        </w:rPr>
        <w:t>after</w:t>
      </w:r>
      <w:r>
        <w:rPr>
          <w:color w:val="231F20"/>
          <w:spacing w:val="-14"/>
          <w:w w:val="105"/>
        </w:rPr>
        <w:t> </w:t>
      </w:r>
      <w:r>
        <w:rPr>
          <w:color w:val="231F20"/>
          <w:w w:val="105"/>
        </w:rPr>
        <w:t>the</w:t>
      </w:r>
      <w:r>
        <w:rPr>
          <w:color w:val="231F20"/>
          <w:spacing w:val="-14"/>
          <w:w w:val="105"/>
        </w:rPr>
        <w:t> </w:t>
      </w:r>
      <w:r>
        <w:rPr>
          <w:color w:val="231F20"/>
          <w:w w:val="105"/>
        </w:rPr>
        <w:t>process,</w:t>
      </w:r>
      <w:r>
        <w:rPr>
          <w:color w:val="231F20"/>
          <w:spacing w:val="-19"/>
          <w:w w:val="105"/>
        </w:rPr>
        <w:t> </w:t>
      </w:r>
      <w:r>
        <w:rPr>
          <w:color w:val="231F20"/>
          <w:w w:val="105"/>
        </w:rPr>
        <w:t>and</w:t>
      </w:r>
      <w:r>
        <w:rPr>
          <w:color w:val="231F20"/>
          <w:spacing w:val="-14"/>
          <w:w w:val="105"/>
        </w:rPr>
        <w:t> </w:t>
      </w:r>
      <w:r>
        <w:rPr>
          <w:color w:val="231F20"/>
          <w:w w:val="105"/>
        </w:rPr>
        <w:t>an</w:t>
      </w:r>
      <w:r>
        <w:rPr>
          <w:color w:val="231F20"/>
          <w:spacing w:val="-14"/>
          <w:w w:val="105"/>
        </w:rPr>
        <w:t> </w:t>
      </w:r>
      <w:r>
        <w:rPr>
          <w:color w:val="231F20"/>
          <w:w w:val="105"/>
        </w:rPr>
        <w:t>exchange</w:t>
      </w:r>
      <w:r>
        <w:rPr>
          <w:color w:val="231F20"/>
          <w:spacing w:val="-14"/>
          <w:w w:val="105"/>
        </w:rPr>
        <w:t> </w:t>
      </w:r>
      <w:r>
        <w:rPr>
          <w:color w:val="231F20"/>
          <w:w w:val="105"/>
        </w:rPr>
        <w:t>of</w:t>
      </w:r>
      <w:r>
        <w:rPr>
          <w:color w:val="231F20"/>
          <w:spacing w:val="-10"/>
          <w:w w:val="105"/>
        </w:rPr>
        <w:t> </w:t>
      </w:r>
      <w:r>
        <w:rPr>
          <w:color w:val="231F20"/>
          <w:w w:val="105"/>
        </w:rPr>
        <w:t>pictures</w:t>
      </w:r>
      <w:r>
        <w:rPr>
          <w:color w:val="231F20"/>
          <w:spacing w:val="-14"/>
          <w:w w:val="105"/>
        </w:rPr>
        <w:t> </w:t>
      </w:r>
      <w:r>
        <w:rPr>
          <w:color w:val="231F20"/>
          <w:w w:val="105"/>
        </w:rPr>
        <w:t>and</w:t>
      </w:r>
      <w:r>
        <w:rPr>
          <w:color w:val="231F20"/>
          <w:spacing w:val="-14"/>
          <w:w w:val="105"/>
        </w:rPr>
        <w:t> </w:t>
      </w:r>
      <w:r>
        <w:rPr>
          <w:color w:val="231F20"/>
          <w:w w:val="105"/>
        </w:rPr>
        <w:t>conversation</w:t>
      </w:r>
      <w:r>
        <w:rPr>
          <w:color w:val="231F20"/>
          <w:spacing w:val="-14"/>
          <w:w w:val="105"/>
        </w:rPr>
        <w:t> </w:t>
      </w:r>
      <w:r>
        <w:rPr>
          <w:color w:val="231F20"/>
          <w:w w:val="105"/>
        </w:rPr>
        <w:t>be- gins</w:t>
      </w:r>
      <w:r>
        <w:rPr>
          <w:color w:val="231F20"/>
          <w:spacing w:val="-10"/>
          <w:w w:val="105"/>
        </w:rPr>
        <w:t> </w:t>
      </w:r>
      <w:r>
        <w:rPr>
          <w:color w:val="231F20"/>
          <w:w w:val="105"/>
        </w:rPr>
        <w:t>spontaneously</w:t>
      </w:r>
      <w:r>
        <w:rPr>
          <w:color w:val="231F20"/>
          <w:spacing w:val="-10"/>
          <w:w w:val="105"/>
        </w:rPr>
        <w:t> </w:t>
      </w:r>
      <w:r>
        <w:rPr>
          <w:color w:val="231F20"/>
          <w:w w:val="105"/>
        </w:rPr>
        <w:t>with</w:t>
      </w:r>
      <w:r>
        <w:rPr>
          <w:color w:val="231F20"/>
          <w:spacing w:val="-10"/>
          <w:w w:val="105"/>
        </w:rPr>
        <w:t> </w:t>
      </w:r>
      <w:r>
        <w:rPr>
          <w:color w:val="231F20"/>
          <w:w w:val="105"/>
        </w:rPr>
        <w:t>other</w:t>
      </w:r>
      <w:r>
        <w:rPr>
          <w:color w:val="231F20"/>
          <w:spacing w:val="-10"/>
          <w:w w:val="105"/>
        </w:rPr>
        <w:t> </w:t>
      </w:r>
      <w:r>
        <w:rPr>
          <w:color w:val="231F20"/>
          <w:w w:val="105"/>
        </w:rPr>
        <w:t>members</w:t>
      </w:r>
      <w:r>
        <w:rPr>
          <w:color w:val="231F20"/>
          <w:spacing w:val="-10"/>
          <w:w w:val="105"/>
        </w:rPr>
        <w:t> </w:t>
      </w:r>
      <w:r>
        <w:rPr>
          <w:color w:val="231F20"/>
          <w:w w:val="105"/>
        </w:rPr>
        <w:t>who</w:t>
      </w:r>
      <w:r>
        <w:rPr>
          <w:color w:val="231F20"/>
          <w:spacing w:val="-10"/>
          <w:w w:val="105"/>
        </w:rPr>
        <w:t> </w:t>
      </w:r>
      <w:r>
        <w:rPr>
          <w:color w:val="231F20"/>
          <w:w w:val="105"/>
        </w:rPr>
        <w:t>are</w:t>
      </w:r>
      <w:r>
        <w:rPr>
          <w:color w:val="231F20"/>
          <w:spacing w:val="-10"/>
          <w:w w:val="105"/>
        </w:rPr>
        <w:t> </w:t>
      </w:r>
      <w:r>
        <w:rPr>
          <w:color w:val="231F20"/>
          <w:w w:val="105"/>
        </w:rPr>
        <w:t>online.</w:t>
      </w:r>
      <w:r>
        <w:rPr>
          <w:color w:val="231F20"/>
          <w:spacing w:val="-15"/>
          <w:w w:val="105"/>
        </w:rPr>
        <w:t> </w:t>
      </w:r>
      <w:r>
        <w:rPr>
          <w:color w:val="231F20"/>
          <w:spacing w:val="-4"/>
          <w:w w:val="105"/>
        </w:rPr>
        <w:t>For</w:t>
      </w:r>
      <w:r>
        <w:rPr>
          <w:color w:val="231F20"/>
          <w:spacing w:val="-10"/>
          <w:w w:val="105"/>
        </w:rPr>
        <w:t> </w:t>
      </w:r>
      <w:r>
        <w:rPr>
          <w:color w:val="231F20"/>
          <w:w w:val="105"/>
        </w:rPr>
        <w:t>young</w:t>
      </w:r>
      <w:r>
        <w:rPr>
          <w:color w:val="231F20"/>
          <w:spacing w:val="-10"/>
          <w:w w:val="105"/>
        </w:rPr>
        <w:t> </w:t>
      </w:r>
      <w:r>
        <w:rPr>
          <w:color w:val="231F20"/>
          <w:w w:val="105"/>
        </w:rPr>
        <w:t>men, it might be a link to a music video or a picture of a hat, which sparks a conversation, with others affirming a good choice or providing links to other potential choices. Indirectly, Facebook allows members (men</w:t>
      </w:r>
      <w:r>
        <w:rPr>
          <w:color w:val="231F20"/>
          <w:spacing w:val="-25"/>
          <w:w w:val="105"/>
        </w:rPr>
        <w:t> </w:t>
      </w:r>
      <w:r>
        <w:rPr>
          <w:color w:val="231F20"/>
          <w:w w:val="105"/>
        </w:rPr>
        <w:t>and women)</w:t>
      </w:r>
      <w:r>
        <w:rPr>
          <w:color w:val="231F20"/>
          <w:spacing w:val="-12"/>
          <w:w w:val="105"/>
        </w:rPr>
        <w:t> </w:t>
      </w:r>
      <w:r>
        <w:rPr>
          <w:color w:val="231F20"/>
          <w:w w:val="105"/>
        </w:rPr>
        <w:t>to</w:t>
      </w:r>
      <w:r>
        <w:rPr>
          <w:color w:val="231F20"/>
          <w:spacing w:val="-12"/>
          <w:w w:val="105"/>
        </w:rPr>
        <w:t> </w:t>
      </w:r>
      <w:r>
        <w:rPr>
          <w:color w:val="231F20"/>
          <w:w w:val="105"/>
        </w:rPr>
        <w:t>shop</w:t>
      </w:r>
      <w:r>
        <w:rPr>
          <w:color w:val="231F20"/>
          <w:spacing w:val="-12"/>
          <w:w w:val="105"/>
        </w:rPr>
        <w:t> </w:t>
      </w:r>
      <w:r>
        <w:rPr>
          <w:color w:val="231F20"/>
          <w:w w:val="105"/>
        </w:rPr>
        <w:t>together,</w:t>
      </w:r>
      <w:r>
        <w:rPr>
          <w:color w:val="231F20"/>
          <w:spacing w:val="-18"/>
          <w:w w:val="105"/>
        </w:rPr>
        <w:t> </w:t>
      </w:r>
      <w:r>
        <w:rPr>
          <w:color w:val="231F20"/>
          <w:w w:val="105"/>
        </w:rPr>
        <w:t>by</w:t>
      </w:r>
      <w:r>
        <w:rPr>
          <w:color w:val="231F20"/>
          <w:spacing w:val="-12"/>
          <w:w w:val="105"/>
        </w:rPr>
        <w:t> </w:t>
      </w:r>
      <w:r>
        <w:rPr>
          <w:color w:val="231F20"/>
          <w:w w:val="105"/>
        </w:rPr>
        <w:t>posting</w:t>
      </w:r>
      <w:r>
        <w:rPr>
          <w:color w:val="231F20"/>
          <w:spacing w:val="-12"/>
          <w:w w:val="105"/>
        </w:rPr>
        <w:t> </w:t>
      </w:r>
      <w:r>
        <w:rPr>
          <w:color w:val="231F20"/>
          <w:w w:val="105"/>
        </w:rPr>
        <w:t>pictures</w:t>
      </w:r>
      <w:r>
        <w:rPr>
          <w:color w:val="231F20"/>
          <w:spacing w:val="-12"/>
          <w:w w:val="105"/>
        </w:rPr>
        <w:t> </w:t>
      </w:r>
      <w:r>
        <w:rPr>
          <w:color w:val="231F20"/>
          <w:w w:val="105"/>
        </w:rPr>
        <w:t>of</w:t>
      </w:r>
      <w:r>
        <w:rPr>
          <w:color w:val="231F20"/>
          <w:spacing w:val="-7"/>
          <w:w w:val="105"/>
        </w:rPr>
        <w:t> </w:t>
      </w:r>
      <w:r>
        <w:rPr>
          <w:color w:val="231F20"/>
          <w:w w:val="105"/>
        </w:rPr>
        <w:t>potential</w:t>
      </w:r>
      <w:r>
        <w:rPr>
          <w:color w:val="231F20"/>
          <w:spacing w:val="-12"/>
          <w:w w:val="105"/>
        </w:rPr>
        <w:t> </w:t>
      </w:r>
      <w:r>
        <w:rPr>
          <w:color w:val="231F20"/>
          <w:w w:val="105"/>
        </w:rPr>
        <w:t>purchases</w:t>
      </w:r>
      <w:r>
        <w:rPr>
          <w:color w:val="231F20"/>
          <w:spacing w:val="-12"/>
          <w:w w:val="105"/>
        </w:rPr>
        <w:t> </w:t>
      </w:r>
      <w:r>
        <w:rPr>
          <w:color w:val="231F20"/>
          <w:w w:val="105"/>
        </w:rPr>
        <w:t>and soliciting</w:t>
      </w:r>
      <w:r>
        <w:rPr>
          <w:color w:val="231F20"/>
          <w:spacing w:val="-18"/>
          <w:w w:val="105"/>
        </w:rPr>
        <w:t> </w:t>
      </w:r>
      <w:r>
        <w:rPr>
          <w:color w:val="231F20"/>
          <w:w w:val="105"/>
        </w:rPr>
        <w:t>feedback</w:t>
      </w:r>
      <w:r>
        <w:rPr>
          <w:color w:val="231F20"/>
          <w:spacing w:val="-18"/>
          <w:w w:val="105"/>
        </w:rPr>
        <w:t> </w:t>
      </w:r>
      <w:r>
        <w:rPr>
          <w:color w:val="231F20"/>
          <w:w w:val="105"/>
        </w:rPr>
        <w:t>from</w:t>
      </w:r>
      <w:r>
        <w:rPr>
          <w:color w:val="231F20"/>
          <w:spacing w:val="-18"/>
          <w:w w:val="105"/>
        </w:rPr>
        <w:t> </w:t>
      </w:r>
      <w:r>
        <w:rPr>
          <w:color w:val="231F20"/>
          <w:w w:val="105"/>
        </w:rPr>
        <w:t>others</w:t>
      </w:r>
      <w:r>
        <w:rPr>
          <w:color w:val="231F20"/>
          <w:spacing w:val="-18"/>
          <w:w w:val="105"/>
        </w:rPr>
        <w:t> </w:t>
      </w:r>
      <w:r>
        <w:rPr>
          <w:color w:val="231F20"/>
          <w:w w:val="105"/>
        </w:rPr>
        <w:t>in</w:t>
      </w:r>
      <w:r>
        <w:rPr>
          <w:color w:val="231F20"/>
          <w:spacing w:val="-18"/>
          <w:w w:val="105"/>
        </w:rPr>
        <w:t> </w:t>
      </w:r>
      <w:r>
        <w:rPr>
          <w:color w:val="231F20"/>
          <w:w w:val="105"/>
        </w:rPr>
        <w:t>the</w:t>
      </w:r>
      <w:r>
        <w:rPr>
          <w:color w:val="231F20"/>
          <w:spacing w:val="-18"/>
          <w:w w:val="105"/>
        </w:rPr>
        <w:t> </w:t>
      </w:r>
      <w:r>
        <w:rPr>
          <w:color w:val="231F20"/>
          <w:w w:val="105"/>
        </w:rPr>
        <w:t>network.</w:t>
      </w:r>
      <w:r>
        <w:rPr>
          <w:color w:val="231F20"/>
          <w:spacing w:val="-24"/>
          <w:w w:val="105"/>
        </w:rPr>
        <w:t> </w:t>
      </w:r>
      <w:r>
        <w:rPr>
          <w:color w:val="231F20"/>
          <w:w w:val="105"/>
        </w:rPr>
        <w:t>In</w:t>
      </w:r>
      <w:r>
        <w:rPr>
          <w:color w:val="231F20"/>
          <w:spacing w:val="-18"/>
          <w:w w:val="105"/>
        </w:rPr>
        <w:t> </w:t>
      </w:r>
      <w:r>
        <w:rPr>
          <w:color w:val="231F20"/>
          <w:w w:val="105"/>
        </w:rPr>
        <w:t>Conversation</w:t>
      </w:r>
      <w:r>
        <w:rPr>
          <w:color w:val="231F20"/>
          <w:spacing w:val="-18"/>
          <w:w w:val="105"/>
        </w:rPr>
        <w:t> </w:t>
      </w:r>
      <w:r>
        <w:rPr>
          <w:color w:val="231F20"/>
          <w:w w:val="105"/>
        </w:rPr>
        <w:t>3,</w:t>
      </w:r>
      <w:r>
        <w:rPr>
          <w:color w:val="231F20"/>
          <w:spacing w:val="-24"/>
          <w:w w:val="105"/>
        </w:rPr>
        <w:t> </w:t>
      </w:r>
      <w:r>
        <w:rPr>
          <w:color w:val="231F20"/>
          <w:spacing w:val="-4"/>
          <w:w w:val="105"/>
        </w:rPr>
        <w:t>“Boots”, </w:t>
      </w:r>
      <w:r>
        <w:rPr>
          <w:color w:val="231F20"/>
          <w:w w:val="105"/>
        </w:rPr>
        <w:t>Fabián</w:t>
      </w:r>
      <w:r>
        <w:rPr>
          <w:color w:val="231F20"/>
          <w:spacing w:val="-15"/>
          <w:w w:val="105"/>
        </w:rPr>
        <w:t> </w:t>
      </w:r>
      <w:r>
        <w:rPr>
          <w:color w:val="231F20"/>
          <w:w w:val="105"/>
        </w:rPr>
        <w:t>posts</w:t>
      </w:r>
      <w:r>
        <w:rPr>
          <w:color w:val="231F20"/>
          <w:spacing w:val="-15"/>
          <w:w w:val="105"/>
        </w:rPr>
        <w:t> </w:t>
      </w:r>
      <w:r>
        <w:rPr>
          <w:color w:val="231F20"/>
          <w:w w:val="105"/>
        </w:rPr>
        <w:t>a</w:t>
      </w:r>
      <w:r>
        <w:rPr>
          <w:color w:val="231F20"/>
          <w:spacing w:val="-15"/>
          <w:w w:val="105"/>
        </w:rPr>
        <w:t> </w:t>
      </w:r>
      <w:r>
        <w:rPr>
          <w:color w:val="231F20"/>
          <w:w w:val="105"/>
        </w:rPr>
        <w:t>picture</w:t>
      </w:r>
      <w:r>
        <w:rPr>
          <w:color w:val="231F20"/>
          <w:spacing w:val="-15"/>
          <w:w w:val="105"/>
        </w:rPr>
        <w:t> </w:t>
      </w:r>
      <w:r>
        <w:rPr>
          <w:color w:val="231F20"/>
          <w:w w:val="105"/>
        </w:rPr>
        <w:t>of</w:t>
      </w:r>
      <w:r>
        <w:rPr>
          <w:color w:val="231F20"/>
          <w:spacing w:val="-10"/>
          <w:w w:val="105"/>
        </w:rPr>
        <w:t> </w:t>
      </w:r>
      <w:r>
        <w:rPr>
          <w:color w:val="231F20"/>
          <w:w w:val="105"/>
        </w:rPr>
        <w:t>two</w:t>
      </w:r>
      <w:r>
        <w:rPr>
          <w:color w:val="231F20"/>
          <w:spacing w:val="-15"/>
          <w:w w:val="105"/>
        </w:rPr>
        <w:t> </w:t>
      </w:r>
      <w:r>
        <w:rPr>
          <w:color w:val="231F20"/>
          <w:w w:val="105"/>
        </w:rPr>
        <w:t>of</w:t>
      </w:r>
      <w:r>
        <w:rPr>
          <w:color w:val="231F20"/>
          <w:spacing w:val="-10"/>
          <w:w w:val="105"/>
        </w:rPr>
        <w:t> </w:t>
      </w:r>
      <w:r>
        <w:rPr>
          <w:color w:val="231F20"/>
          <w:w w:val="105"/>
        </w:rPr>
        <w:t>his</w:t>
      </w:r>
      <w:r>
        <w:rPr>
          <w:color w:val="231F20"/>
          <w:spacing w:val="-15"/>
          <w:w w:val="105"/>
        </w:rPr>
        <w:t> </w:t>
      </w:r>
      <w:r>
        <w:rPr>
          <w:color w:val="231F20"/>
          <w:w w:val="105"/>
        </w:rPr>
        <w:t>boots</w:t>
      </w:r>
      <w:r>
        <w:rPr>
          <w:color w:val="231F20"/>
          <w:spacing w:val="-15"/>
          <w:w w:val="105"/>
        </w:rPr>
        <w:t> </w:t>
      </w:r>
      <w:r>
        <w:rPr>
          <w:color w:val="231F20"/>
          <w:w w:val="105"/>
        </w:rPr>
        <w:t>and</w:t>
      </w:r>
      <w:r>
        <w:rPr>
          <w:color w:val="231F20"/>
          <w:spacing w:val="-15"/>
          <w:w w:val="105"/>
        </w:rPr>
        <w:t> </w:t>
      </w:r>
      <w:r>
        <w:rPr>
          <w:color w:val="231F20"/>
          <w:w w:val="105"/>
        </w:rPr>
        <w:t>asks</w:t>
      </w:r>
      <w:r>
        <w:rPr>
          <w:color w:val="231F20"/>
          <w:spacing w:val="-15"/>
          <w:w w:val="105"/>
        </w:rPr>
        <w:t> </w:t>
      </w:r>
      <w:r>
        <w:rPr>
          <w:color w:val="231F20"/>
          <w:w w:val="105"/>
        </w:rPr>
        <w:t>in</w:t>
      </w:r>
      <w:r>
        <w:rPr>
          <w:color w:val="231F20"/>
          <w:spacing w:val="-15"/>
          <w:w w:val="105"/>
        </w:rPr>
        <w:t> </w:t>
      </w:r>
      <w:r>
        <w:rPr>
          <w:color w:val="231F20"/>
          <w:w w:val="105"/>
        </w:rPr>
        <w:t>a</w:t>
      </w:r>
      <w:r>
        <w:rPr>
          <w:color w:val="231F20"/>
          <w:spacing w:val="-15"/>
          <w:w w:val="105"/>
        </w:rPr>
        <w:t> </w:t>
      </w:r>
      <w:r>
        <w:rPr>
          <w:color w:val="231F20"/>
          <w:w w:val="105"/>
        </w:rPr>
        <w:t>Facebook</w:t>
      </w:r>
      <w:r>
        <w:rPr>
          <w:color w:val="231F20"/>
          <w:spacing w:val="-15"/>
          <w:w w:val="105"/>
        </w:rPr>
        <w:t> </w:t>
      </w:r>
      <w:r>
        <w:rPr>
          <w:color w:val="231F20"/>
          <w:w w:val="105"/>
        </w:rPr>
        <w:t>update for</w:t>
      </w:r>
      <w:r>
        <w:rPr>
          <w:color w:val="231F20"/>
          <w:spacing w:val="-14"/>
          <w:w w:val="105"/>
        </w:rPr>
        <w:t> </w:t>
      </w:r>
      <w:r>
        <w:rPr>
          <w:color w:val="231F20"/>
          <w:w w:val="105"/>
        </w:rPr>
        <w:t>opinions</w:t>
      </w:r>
      <w:r>
        <w:rPr>
          <w:color w:val="231F20"/>
          <w:spacing w:val="-14"/>
          <w:w w:val="105"/>
        </w:rPr>
        <w:t> </w:t>
      </w:r>
      <w:r>
        <w:rPr>
          <w:color w:val="231F20"/>
          <w:w w:val="105"/>
        </w:rPr>
        <w:t>on</w:t>
      </w:r>
      <w:r>
        <w:rPr>
          <w:color w:val="231F20"/>
          <w:spacing w:val="-14"/>
          <w:w w:val="105"/>
        </w:rPr>
        <w:t> </w:t>
      </w:r>
      <w:r>
        <w:rPr>
          <w:color w:val="231F20"/>
          <w:w w:val="105"/>
        </w:rPr>
        <w:t>what</w:t>
      </w:r>
      <w:r>
        <w:rPr>
          <w:color w:val="231F20"/>
          <w:spacing w:val="-14"/>
          <w:w w:val="105"/>
        </w:rPr>
        <w:t> </w:t>
      </w:r>
      <w:r>
        <w:rPr>
          <w:color w:val="231F20"/>
          <w:w w:val="105"/>
        </w:rPr>
        <w:t>to</w:t>
      </w:r>
      <w:r>
        <w:rPr>
          <w:color w:val="231F20"/>
          <w:spacing w:val="-14"/>
          <w:w w:val="105"/>
        </w:rPr>
        <w:t> </w:t>
      </w:r>
      <w:r>
        <w:rPr>
          <w:color w:val="231F20"/>
          <w:w w:val="105"/>
        </w:rPr>
        <w:t>wear</w:t>
      </w:r>
      <w:r>
        <w:rPr>
          <w:color w:val="231F20"/>
          <w:spacing w:val="-14"/>
          <w:w w:val="105"/>
        </w:rPr>
        <w:t> </w:t>
      </w:r>
      <w:r>
        <w:rPr>
          <w:color w:val="231F20"/>
          <w:w w:val="105"/>
        </w:rPr>
        <w:t>for</w:t>
      </w:r>
      <w:r>
        <w:rPr>
          <w:color w:val="231F20"/>
          <w:spacing w:val="-14"/>
          <w:w w:val="105"/>
        </w:rPr>
        <w:t> </w:t>
      </w:r>
      <w:r>
        <w:rPr>
          <w:color w:val="231F20"/>
          <w:w w:val="105"/>
        </w:rPr>
        <w:t>that</w:t>
      </w:r>
      <w:r>
        <w:rPr>
          <w:color w:val="231F20"/>
          <w:spacing w:val="-14"/>
          <w:w w:val="105"/>
        </w:rPr>
        <w:t> </w:t>
      </w:r>
      <w:r>
        <w:rPr>
          <w:color w:val="231F20"/>
          <w:w w:val="105"/>
        </w:rPr>
        <w:t>Saturday</w:t>
      </w:r>
      <w:r>
        <w:rPr>
          <w:color w:val="231F20"/>
          <w:spacing w:val="-14"/>
          <w:w w:val="105"/>
        </w:rPr>
        <w:t> </w:t>
      </w:r>
      <w:r>
        <w:rPr>
          <w:color w:val="231F20"/>
          <w:w w:val="105"/>
        </w:rPr>
        <w:t>(see</w:t>
      </w:r>
      <w:r>
        <w:rPr>
          <w:color w:val="231F20"/>
          <w:spacing w:val="-14"/>
          <w:w w:val="105"/>
        </w:rPr>
        <w:t> </w:t>
      </w:r>
      <w:r>
        <w:rPr>
          <w:color w:val="231F20"/>
          <w:w w:val="105"/>
        </w:rPr>
        <w:t>table</w:t>
      </w:r>
      <w:r>
        <w:rPr>
          <w:color w:val="231F20"/>
          <w:spacing w:val="-14"/>
          <w:w w:val="105"/>
        </w:rPr>
        <w:t> </w:t>
      </w:r>
      <w:r>
        <w:rPr>
          <w:color w:val="231F20"/>
          <w:w w:val="105"/>
        </w:rPr>
        <w:t>3).</w:t>
      </w:r>
    </w:p>
    <w:p>
      <w:pPr>
        <w:pStyle w:val="BodyText"/>
        <w:spacing w:before="4"/>
      </w:pPr>
    </w:p>
    <w:p>
      <w:pPr>
        <w:spacing w:before="0"/>
        <w:ind w:left="2693" w:right="2804" w:firstLine="0"/>
        <w:jc w:val="center"/>
        <w:rPr>
          <w:rFonts w:ascii="Arial" w:hAnsi="Arial"/>
          <w:sz w:val="18"/>
        </w:rPr>
      </w:pPr>
      <w:r>
        <w:rPr>
          <w:rFonts w:ascii="Arial" w:hAnsi="Arial"/>
          <w:color w:val="231F20"/>
          <w:w w:val="105"/>
          <w:sz w:val="18"/>
        </w:rPr>
        <w:t>Table 3. Conversation 3, “Boots”</w:t>
      </w:r>
    </w:p>
    <w:p>
      <w:pPr>
        <w:pStyle w:val="BodyText"/>
        <w:spacing w:before="5"/>
        <w:rPr>
          <w:rFonts w:ascii="Arial"/>
          <w:sz w:val="13"/>
        </w:rPr>
      </w:pPr>
    </w:p>
    <w:tbl>
      <w:tblPr>
        <w:tblW w:w="0" w:type="auto"/>
        <w:jc w:val="left"/>
        <w:tblInd w:w="1716"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56"/>
        <w:gridCol w:w="3106"/>
        <w:gridCol w:w="3365"/>
      </w:tblGrid>
      <w:tr>
        <w:trPr>
          <w:trHeight w:val="2500" w:hRule="exact"/>
        </w:trPr>
        <w:tc>
          <w:tcPr>
            <w:tcW w:w="456" w:type="dxa"/>
          </w:tcPr>
          <w:p>
            <w:pPr>
              <w:pStyle w:val="TableParagraph"/>
              <w:ind w:left="77"/>
              <w:rPr>
                <w:sz w:val="18"/>
              </w:rPr>
            </w:pPr>
            <w:r>
              <w:rPr>
                <w:color w:val="231F20"/>
                <w:w w:val="104"/>
                <w:sz w:val="18"/>
              </w:rPr>
              <w:t>1</w:t>
            </w:r>
          </w:p>
        </w:tc>
        <w:tc>
          <w:tcPr>
            <w:tcW w:w="3106" w:type="dxa"/>
          </w:tcPr>
          <w:p>
            <w:pPr>
              <w:pStyle w:val="TableParagraph"/>
              <w:ind w:left="77" w:right="12"/>
              <w:rPr>
                <w:sz w:val="18"/>
              </w:rPr>
            </w:pPr>
            <w:r>
              <w:rPr>
                <w:color w:val="231F20"/>
                <w:sz w:val="18"/>
              </w:rPr>
              <w:t>Fabián’s status update</w:t>
            </w: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2"/>
              <w:rPr>
                <w:rFonts w:ascii="Arial"/>
                <w:sz w:val="22"/>
              </w:rPr>
            </w:pPr>
          </w:p>
          <w:p>
            <w:pPr>
              <w:pStyle w:val="TableParagraph"/>
              <w:spacing w:before="0"/>
              <w:ind w:left="77" w:right="12"/>
              <w:rPr>
                <w:sz w:val="18"/>
              </w:rPr>
            </w:pPr>
            <w:r>
              <w:rPr>
                <w:color w:val="231F20"/>
                <w:sz w:val="18"/>
              </w:rPr>
              <w:t>Caption reads:</w:t>
            </w:r>
          </w:p>
          <w:p>
            <w:pPr>
              <w:pStyle w:val="TableParagraph"/>
              <w:spacing w:before="12"/>
              <w:ind w:left="77" w:right="12"/>
              <w:rPr>
                <w:sz w:val="18"/>
              </w:rPr>
            </w:pPr>
            <w:r>
              <w:rPr>
                <w:color w:val="231F20"/>
                <w:sz w:val="18"/>
              </w:rPr>
              <w:t>‘Wich</w:t>
            </w:r>
            <w:r>
              <w:rPr>
                <w:color w:val="231F20"/>
                <w:spacing w:val="-15"/>
                <w:sz w:val="18"/>
              </w:rPr>
              <w:t> </w:t>
            </w:r>
            <w:r>
              <w:rPr>
                <w:color w:val="231F20"/>
                <w:sz w:val="18"/>
              </w:rPr>
              <w:t>ones</w:t>
            </w:r>
            <w:r>
              <w:rPr>
                <w:color w:val="231F20"/>
                <w:spacing w:val="-15"/>
                <w:sz w:val="18"/>
              </w:rPr>
              <w:t> </w:t>
            </w:r>
            <w:r>
              <w:rPr>
                <w:color w:val="231F20"/>
                <w:sz w:val="18"/>
              </w:rPr>
              <w:t>do</w:t>
            </w:r>
            <w:r>
              <w:rPr>
                <w:color w:val="231F20"/>
                <w:spacing w:val="-15"/>
                <w:sz w:val="18"/>
              </w:rPr>
              <w:t> </w:t>
            </w:r>
            <w:r>
              <w:rPr>
                <w:color w:val="231F20"/>
                <w:sz w:val="18"/>
              </w:rPr>
              <w:t>i</w:t>
            </w:r>
            <w:r>
              <w:rPr>
                <w:color w:val="231F20"/>
                <w:spacing w:val="-15"/>
                <w:sz w:val="18"/>
              </w:rPr>
              <w:t> </w:t>
            </w:r>
            <w:r>
              <w:rPr>
                <w:color w:val="231F20"/>
                <w:sz w:val="18"/>
              </w:rPr>
              <w:t>wear</w:t>
            </w:r>
            <w:r>
              <w:rPr>
                <w:color w:val="231F20"/>
                <w:spacing w:val="-15"/>
                <w:sz w:val="18"/>
              </w:rPr>
              <w:t> </w:t>
            </w:r>
            <w:r>
              <w:rPr>
                <w:color w:val="231F20"/>
                <w:sz w:val="18"/>
              </w:rPr>
              <w:t>on</w:t>
            </w:r>
            <w:r>
              <w:rPr>
                <w:color w:val="231F20"/>
                <w:spacing w:val="-15"/>
                <w:sz w:val="18"/>
              </w:rPr>
              <w:t> </w:t>
            </w:r>
            <w:r>
              <w:rPr>
                <w:color w:val="231F20"/>
                <w:spacing w:val="-3"/>
                <w:sz w:val="18"/>
              </w:rPr>
              <w:t>Saturday</w:t>
            </w:r>
            <w:r>
              <w:rPr>
                <w:color w:val="231F20"/>
                <w:spacing w:val="-15"/>
                <w:sz w:val="18"/>
              </w:rPr>
              <w:t> </w:t>
            </w:r>
            <w:r>
              <w:rPr>
                <w:color w:val="231F20"/>
                <w:sz w:val="18"/>
              </w:rPr>
              <w:t>???’</w:t>
            </w:r>
          </w:p>
        </w:tc>
        <w:tc>
          <w:tcPr>
            <w:tcW w:w="3365" w:type="dxa"/>
          </w:tcPr>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0"/>
              <w:rPr>
                <w:rFonts w:ascii="Arial"/>
                <w:sz w:val="18"/>
              </w:rPr>
            </w:pPr>
          </w:p>
          <w:p>
            <w:pPr>
              <w:pStyle w:val="TableParagraph"/>
              <w:spacing w:before="9"/>
              <w:rPr>
                <w:rFonts w:ascii="Arial"/>
                <w:sz w:val="15"/>
              </w:rPr>
            </w:pPr>
          </w:p>
          <w:p>
            <w:pPr>
              <w:pStyle w:val="TableParagraph"/>
              <w:spacing w:before="0"/>
              <w:ind w:left="77" w:right="65"/>
              <w:rPr>
                <w:sz w:val="18"/>
              </w:rPr>
            </w:pPr>
            <w:r>
              <w:rPr>
                <w:color w:val="231F20"/>
                <w:sz w:val="18"/>
              </w:rPr>
              <w:t>¿Cuáles me pongo el sábado?</w:t>
            </w:r>
          </w:p>
        </w:tc>
      </w:tr>
      <w:tr>
        <w:trPr>
          <w:trHeight w:val="340" w:hRule="exact"/>
        </w:trPr>
        <w:tc>
          <w:tcPr>
            <w:tcW w:w="456" w:type="dxa"/>
          </w:tcPr>
          <w:p>
            <w:pPr>
              <w:pStyle w:val="TableParagraph"/>
              <w:ind w:left="77"/>
              <w:rPr>
                <w:sz w:val="18"/>
              </w:rPr>
            </w:pPr>
            <w:r>
              <w:rPr>
                <w:color w:val="231F20"/>
                <w:w w:val="104"/>
                <w:sz w:val="18"/>
              </w:rPr>
              <w:t>2</w:t>
            </w:r>
          </w:p>
        </w:tc>
        <w:tc>
          <w:tcPr>
            <w:tcW w:w="3106" w:type="dxa"/>
          </w:tcPr>
          <w:p>
            <w:pPr>
              <w:pStyle w:val="TableParagraph"/>
              <w:ind w:left="77" w:right="12"/>
              <w:rPr>
                <w:sz w:val="18"/>
              </w:rPr>
            </w:pPr>
            <w:r>
              <w:rPr>
                <w:color w:val="231F20"/>
                <w:sz w:val="18"/>
              </w:rPr>
              <w:t>Gonzo: Pinches mamadas lol</w:t>
            </w:r>
          </w:p>
        </w:tc>
        <w:tc>
          <w:tcPr>
            <w:tcW w:w="3365" w:type="dxa"/>
          </w:tcPr>
          <w:p>
            <w:pPr>
              <w:pStyle w:val="TableParagraph"/>
              <w:ind w:left="77" w:right="65"/>
              <w:rPr>
                <w:sz w:val="18"/>
              </w:rPr>
            </w:pPr>
            <w:r>
              <w:rPr>
                <w:color w:val="231F20"/>
                <w:w w:val="105"/>
                <w:sz w:val="18"/>
              </w:rPr>
              <w:t>Damn stupidities lol</w:t>
            </w:r>
          </w:p>
        </w:tc>
      </w:tr>
      <w:tr>
        <w:trPr>
          <w:trHeight w:val="556" w:hRule="exact"/>
        </w:trPr>
        <w:tc>
          <w:tcPr>
            <w:tcW w:w="456" w:type="dxa"/>
          </w:tcPr>
          <w:p>
            <w:pPr>
              <w:pStyle w:val="TableParagraph"/>
              <w:ind w:left="77"/>
              <w:rPr>
                <w:sz w:val="18"/>
              </w:rPr>
            </w:pPr>
            <w:r>
              <w:rPr>
                <w:color w:val="231F20"/>
                <w:w w:val="104"/>
                <w:sz w:val="18"/>
              </w:rPr>
              <w:t>3</w:t>
            </w:r>
          </w:p>
        </w:tc>
        <w:tc>
          <w:tcPr>
            <w:tcW w:w="3106" w:type="dxa"/>
          </w:tcPr>
          <w:p>
            <w:pPr>
              <w:pStyle w:val="TableParagraph"/>
              <w:spacing w:line="254" w:lineRule="auto"/>
              <w:ind w:left="77" w:right="73"/>
              <w:rPr>
                <w:sz w:val="18"/>
              </w:rPr>
            </w:pPr>
            <w:r>
              <w:rPr>
                <w:color w:val="231F20"/>
                <w:spacing w:val="-3"/>
                <w:w w:val="105"/>
                <w:sz w:val="18"/>
              </w:rPr>
              <w:t>Fabián:</w:t>
            </w:r>
            <w:r>
              <w:rPr>
                <w:color w:val="231F20"/>
                <w:spacing w:val="-31"/>
                <w:w w:val="105"/>
                <w:sz w:val="18"/>
              </w:rPr>
              <w:t> </w:t>
            </w:r>
            <w:r>
              <w:rPr>
                <w:color w:val="231F20"/>
                <w:spacing w:val="-3"/>
                <w:w w:val="105"/>
                <w:sz w:val="18"/>
              </w:rPr>
              <w:t>Lol</w:t>
            </w:r>
            <w:r>
              <w:rPr>
                <w:color w:val="231F20"/>
                <w:spacing w:val="-31"/>
                <w:w w:val="105"/>
                <w:sz w:val="18"/>
              </w:rPr>
              <w:t> </w:t>
            </w:r>
            <w:r>
              <w:rPr>
                <w:color w:val="231F20"/>
                <w:w w:val="105"/>
                <w:sz w:val="18"/>
              </w:rPr>
              <w:t>te</w:t>
            </w:r>
            <w:r>
              <w:rPr>
                <w:color w:val="231F20"/>
                <w:spacing w:val="-31"/>
                <w:w w:val="105"/>
                <w:sz w:val="18"/>
              </w:rPr>
              <w:t> </w:t>
            </w:r>
            <w:r>
              <w:rPr>
                <w:color w:val="231F20"/>
                <w:w w:val="105"/>
                <w:sz w:val="18"/>
              </w:rPr>
              <w:t>enkantan</w:t>
            </w:r>
            <w:r>
              <w:rPr>
                <w:color w:val="231F20"/>
                <w:spacing w:val="-31"/>
                <w:w w:val="105"/>
                <w:sz w:val="18"/>
              </w:rPr>
              <w:t> </w:t>
            </w:r>
            <w:r>
              <w:rPr>
                <w:color w:val="231F20"/>
                <w:w w:val="105"/>
                <w:sz w:val="18"/>
              </w:rPr>
              <w:t>di</w:t>
            </w:r>
            <w:r>
              <w:rPr>
                <w:color w:val="231F20"/>
                <w:spacing w:val="-31"/>
                <w:w w:val="105"/>
                <w:sz w:val="18"/>
              </w:rPr>
              <w:t> </w:t>
            </w:r>
            <w:r>
              <w:rPr>
                <w:color w:val="231F20"/>
                <w:w w:val="105"/>
                <w:sz w:val="18"/>
              </w:rPr>
              <w:t>se</w:t>
            </w:r>
            <w:r>
              <w:rPr>
                <w:color w:val="231F20"/>
                <w:spacing w:val="-31"/>
                <w:w w:val="105"/>
                <w:sz w:val="18"/>
              </w:rPr>
              <w:t> </w:t>
            </w:r>
            <w:r>
              <w:rPr>
                <w:color w:val="231F20"/>
                <w:w w:val="105"/>
                <w:sz w:val="18"/>
              </w:rPr>
              <w:t>las</w:t>
            </w:r>
            <w:r>
              <w:rPr>
                <w:color w:val="231F20"/>
                <w:spacing w:val="-31"/>
                <w:w w:val="105"/>
                <w:sz w:val="18"/>
              </w:rPr>
              <w:t> </w:t>
            </w:r>
            <w:r>
              <w:rPr>
                <w:color w:val="231F20"/>
                <w:spacing w:val="-3"/>
                <w:w w:val="105"/>
                <w:sz w:val="18"/>
              </w:rPr>
              <w:t>pres- </w:t>
            </w:r>
            <w:r>
              <w:rPr>
                <w:color w:val="231F20"/>
                <w:w w:val="105"/>
                <w:sz w:val="18"/>
              </w:rPr>
              <w:t>to</w:t>
            </w:r>
            <w:r>
              <w:rPr>
                <w:color w:val="231F20"/>
                <w:spacing w:val="-13"/>
                <w:w w:val="105"/>
                <w:sz w:val="18"/>
              </w:rPr>
              <w:t> </w:t>
            </w:r>
            <w:r>
              <w:rPr>
                <w:color w:val="231F20"/>
                <w:w w:val="105"/>
                <w:sz w:val="18"/>
              </w:rPr>
              <w:t>kuando</w:t>
            </w:r>
            <w:r>
              <w:rPr>
                <w:color w:val="231F20"/>
                <w:spacing w:val="-13"/>
                <w:w w:val="105"/>
                <w:sz w:val="18"/>
              </w:rPr>
              <w:t> </w:t>
            </w:r>
            <w:r>
              <w:rPr>
                <w:color w:val="231F20"/>
                <w:w w:val="105"/>
                <w:sz w:val="18"/>
              </w:rPr>
              <w:t>kiera</w:t>
            </w:r>
            <w:r>
              <w:rPr>
                <w:color w:val="231F20"/>
                <w:spacing w:val="-13"/>
                <w:w w:val="105"/>
                <w:sz w:val="18"/>
              </w:rPr>
              <w:t> </w:t>
            </w:r>
            <w:r>
              <w:rPr>
                <w:color w:val="231F20"/>
                <w:w w:val="105"/>
                <w:sz w:val="18"/>
              </w:rPr>
              <w:t>viejillo</w:t>
            </w:r>
          </w:p>
        </w:tc>
        <w:tc>
          <w:tcPr>
            <w:tcW w:w="3365" w:type="dxa"/>
          </w:tcPr>
          <w:p>
            <w:pPr>
              <w:pStyle w:val="TableParagraph"/>
              <w:spacing w:line="254" w:lineRule="auto"/>
              <w:ind w:left="77" w:right="65"/>
              <w:rPr>
                <w:sz w:val="18"/>
              </w:rPr>
            </w:pPr>
            <w:r>
              <w:rPr>
                <w:color w:val="231F20"/>
                <w:w w:val="105"/>
                <w:sz w:val="18"/>
              </w:rPr>
              <w:t>Lol. </w:t>
            </w:r>
            <w:r>
              <w:rPr>
                <w:color w:val="231F20"/>
                <w:spacing w:val="-4"/>
                <w:w w:val="105"/>
                <w:sz w:val="18"/>
              </w:rPr>
              <w:t>You </w:t>
            </w:r>
            <w:r>
              <w:rPr>
                <w:color w:val="231F20"/>
                <w:w w:val="105"/>
                <w:sz w:val="18"/>
              </w:rPr>
              <w:t>love them, say so. I can lend </w:t>
            </w:r>
            <w:r>
              <w:rPr>
                <w:color w:val="231F20"/>
                <w:spacing w:val="-3"/>
                <w:w w:val="105"/>
                <w:sz w:val="18"/>
              </w:rPr>
              <w:t>them</w:t>
            </w:r>
            <w:r>
              <w:rPr>
                <w:color w:val="231F20"/>
                <w:spacing w:val="-22"/>
                <w:w w:val="105"/>
                <w:sz w:val="18"/>
              </w:rPr>
              <w:t> </w:t>
            </w:r>
            <w:r>
              <w:rPr>
                <w:color w:val="231F20"/>
                <w:w w:val="105"/>
                <w:sz w:val="18"/>
              </w:rPr>
              <w:t>to</w:t>
            </w:r>
            <w:r>
              <w:rPr>
                <w:color w:val="231F20"/>
                <w:spacing w:val="-22"/>
                <w:w w:val="105"/>
                <w:sz w:val="18"/>
              </w:rPr>
              <w:t> </w:t>
            </w:r>
            <w:r>
              <w:rPr>
                <w:color w:val="231F20"/>
                <w:spacing w:val="-3"/>
                <w:w w:val="105"/>
                <w:sz w:val="18"/>
              </w:rPr>
              <w:t>you</w:t>
            </w:r>
            <w:r>
              <w:rPr>
                <w:color w:val="231F20"/>
                <w:spacing w:val="-22"/>
                <w:w w:val="105"/>
                <w:sz w:val="18"/>
              </w:rPr>
              <w:t> </w:t>
            </w:r>
            <w:r>
              <w:rPr>
                <w:color w:val="231F20"/>
                <w:spacing w:val="-4"/>
                <w:w w:val="105"/>
                <w:sz w:val="18"/>
              </w:rPr>
              <w:t>whenever</w:t>
            </w:r>
            <w:r>
              <w:rPr>
                <w:color w:val="231F20"/>
                <w:spacing w:val="-22"/>
                <w:w w:val="105"/>
                <w:sz w:val="18"/>
              </w:rPr>
              <w:t> </w:t>
            </w:r>
            <w:r>
              <w:rPr>
                <w:color w:val="231F20"/>
                <w:spacing w:val="-3"/>
                <w:w w:val="105"/>
                <w:sz w:val="18"/>
              </w:rPr>
              <w:t>you</w:t>
            </w:r>
            <w:r>
              <w:rPr>
                <w:color w:val="231F20"/>
                <w:spacing w:val="-22"/>
                <w:w w:val="105"/>
                <w:sz w:val="18"/>
              </w:rPr>
              <w:t> </w:t>
            </w:r>
            <w:r>
              <w:rPr>
                <w:color w:val="231F20"/>
                <w:spacing w:val="-3"/>
                <w:w w:val="105"/>
                <w:sz w:val="18"/>
              </w:rPr>
              <w:t>want</w:t>
            </w:r>
            <w:r>
              <w:rPr>
                <w:color w:val="231F20"/>
                <w:spacing w:val="-22"/>
                <w:w w:val="105"/>
                <w:sz w:val="18"/>
              </w:rPr>
              <w:t> </w:t>
            </w:r>
            <w:r>
              <w:rPr>
                <w:color w:val="231F20"/>
                <w:spacing w:val="-3"/>
                <w:w w:val="105"/>
                <w:sz w:val="18"/>
              </w:rPr>
              <w:t>old</w:t>
            </w:r>
            <w:r>
              <w:rPr>
                <w:color w:val="231F20"/>
                <w:spacing w:val="-22"/>
                <w:w w:val="105"/>
                <w:sz w:val="18"/>
              </w:rPr>
              <w:t> </w:t>
            </w:r>
            <w:r>
              <w:rPr>
                <w:color w:val="231F20"/>
                <w:spacing w:val="-4"/>
                <w:w w:val="105"/>
                <w:sz w:val="18"/>
              </w:rPr>
              <w:t>man.</w:t>
            </w:r>
          </w:p>
        </w:tc>
      </w:tr>
      <w:tr>
        <w:trPr>
          <w:trHeight w:val="556" w:hRule="exact"/>
        </w:trPr>
        <w:tc>
          <w:tcPr>
            <w:tcW w:w="456" w:type="dxa"/>
          </w:tcPr>
          <w:p>
            <w:pPr>
              <w:pStyle w:val="TableParagraph"/>
              <w:ind w:left="77"/>
              <w:rPr>
                <w:sz w:val="18"/>
              </w:rPr>
            </w:pPr>
            <w:r>
              <w:rPr>
                <w:color w:val="231F20"/>
                <w:w w:val="104"/>
                <w:sz w:val="18"/>
              </w:rPr>
              <w:t>4</w:t>
            </w:r>
          </w:p>
        </w:tc>
        <w:tc>
          <w:tcPr>
            <w:tcW w:w="3106" w:type="dxa"/>
          </w:tcPr>
          <w:p>
            <w:pPr>
              <w:pStyle w:val="TableParagraph"/>
              <w:spacing w:line="254" w:lineRule="auto"/>
              <w:ind w:left="77" w:right="12"/>
              <w:rPr>
                <w:sz w:val="18"/>
              </w:rPr>
            </w:pPr>
            <w:r>
              <w:rPr>
                <w:color w:val="231F20"/>
                <w:spacing w:val="-4"/>
                <w:w w:val="105"/>
                <w:sz w:val="18"/>
              </w:rPr>
              <w:t>Juan:</w:t>
            </w:r>
            <w:r>
              <w:rPr>
                <w:color w:val="231F20"/>
                <w:spacing w:val="-27"/>
                <w:w w:val="105"/>
                <w:sz w:val="18"/>
              </w:rPr>
              <w:t> </w:t>
            </w:r>
            <w:r>
              <w:rPr>
                <w:color w:val="231F20"/>
                <w:spacing w:val="-4"/>
                <w:w w:val="105"/>
                <w:sz w:val="18"/>
              </w:rPr>
              <w:t>Where</w:t>
            </w:r>
            <w:r>
              <w:rPr>
                <w:color w:val="231F20"/>
                <w:spacing w:val="-24"/>
                <w:w w:val="105"/>
                <w:sz w:val="18"/>
              </w:rPr>
              <w:t> </w:t>
            </w:r>
            <w:r>
              <w:rPr>
                <w:color w:val="231F20"/>
                <w:w w:val="105"/>
                <w:sz w:val="18"/>
              </w:rPr>
              <w:t>ur</w:t>
            </w:r>
            <w:r>
              <w:rPr>
                <w:color w:val="231F20"/>
                <w:spacing w:val="-24"/>
                <w:w w:val="105"/>
                <w:sz w:val="18"/>
              </w:rPr>
              <w:t> </w:t>
            </w:r>
            <w:r>
              <w:rPr>
                <w:color w:val="231F20"/>
                <w:spacing w:val="-4"/>
                <w:w w:val="105"/>
                <w:sz w:val="18"/>
              </w:rPr>
              <w:t>pointy</w:t>
            </w:r>
            <w:r>
              <w:rPr>
                <w:color w:val="231F20"/>
                <w:spacing w:val="-24"/>
                <w:w w:val="105"/>
                <w:sz w:val="18"/>
              </w:rPr>
              <w:t> </w:t>
            </w:r>
            <w:r>
              <w:rPr>
                <w:color w:val="231F20"/>
                <w:spacing w:val="-3"/>
                <w:w w:val="105"/>
                <w:sz w:val="18"/>
              </w:rPr>
              <w:t>ones</w:t>
            </w:r>
            <w:r>
              <w:rPr>
                <w:color w:val="231F20"/>
                <w:spacing w:val="-24"/>
                <w:w w:val="105"/>
                <w:sz w:val="18"/>
              </w:rPr>
              <w:t> </w:t>
            </w:r>
            <w:r>
              <w:rPr>
                <w:color w:val="231F20"/>
                <w:spacing w:val="-4"/>
                <w:w w:val="105"/>
                <w:sz w:val="18"/>
              </w:rPr>
              <w:t>that</w:t>
            </w:r>
            <w:r>
              <w:rPr>
                <w:color w:val="231F20"/>
                <w:spacing w:val="-24"/>
                <w:w w:val="105"/>
                <w:sz w:val="18"/>
              </w:rPr>
              <w:t> </w:t>
            </w:r>
            <w:r>
              <w:rPr>
                <w:color w:val="231F20"/>
                <w:spacing w:val="-4"/>
                <w:w w:val="105"/>
                <w:sz w:val="18"/>
              </w:rPr>
              <w:t>make </w:t>
            </w:r>
            <w:r>
              <w:rPr>
                <w:color w:val="231F20"/>
                <w:w w:val="105"/>
                <w:sz w:val="18"/>
              </w:rPr>
              <w:t>u</w:t>
            </w:r>
            <w:r>
              <w:rPr>
                <w:color w:val="231F20"/>
                <w:spacing w:val="-12"/>
                <w:w w:val="105"/>
                <w:sz w:val="18"/>
              </w:rPr>
              <w:t> </w:t>
            </w:r>
            <w:r>
              <w:rPr>
                <w:color w:val="231F20"/>
                <w:w w:val="105"/>
                <w:sz w:val="18"/>
              </w:rPr>
              <w:t>look</w:t>
            </w:r>
            <w:r>
              <w:rPr>
                <w:color w:val="231F20"/>
                <w:spacing w:val="-12"/>
                <w:w w:val="105"/>
                <w:sz w:val="18"/>
              </w:rPr>
              <w:t> </w:t>
            </w:r>
            <w:r>
              <w:rPr>
                <w:color w:val="231F20"/>
                <w:w w:val="105"/>
                <w:sz w:val="18"/>
              </w:rPr>
              <w:t>like</w:t>
            </w:r>
            <w:r>
              <w:rPr>
                <w:color w:val="231F20"/>
                <w:spacing w:val="-12"/>
                <w:w w:val="105"/>
                <w:sz w:val="18"/>
              </w:rPr>
              <w:t> </w:t>
            </w:r>
            <w:r>
              <w:rPr>
                <w:color w:val="231F20"/>
                <w:w w:val="105"/>
                <w:sz w:val="18"/>
              </w:rPr>
              <w:t>an</w:t>
            </w:r>
            <w:r>
              <w:rPr>
                <w:color w:val="231F20"/>
                <w:spacing w:val="-12"/>
                <w:w w:val="105"/>
                <w:sz w:val="18"/>
              </w:rPr>
              <w:t> </w:t>
            </w:r>
            <w:r>
              <w:rPr>
                <w:color w:val="231F20"/>
                <w:w w:val="105"/>
                <w:sz w:val="18"/>
              </w:rPr>
              <w:t>elf</w:t>
            </w:r>
          </w:p>
        </w:tc>
        <w:tc>
          <w:tcPr>
            <w:tcW w:w="3365" w:type="dxa"/>
          </w:tcPr>
          <w:p>
            <w:pPr>
              <w:pStyle w:val="TableParagraph"/>
              <w:spacing w:line="254" w:lineRule="auto"/>
              <w:ind w:left="77" w:right="65"/>
              <w:rPr>
                <w:sz w:val="18"/>
              </w:rPr>
            </w:pPr>
            <w:r>
              <w:rPr>
                <w:color w:val="231F20"/>
                <w:spacing w:val="-4"/>
                <w:w w:val="105"/>
                <w:sz w:val="18"/>
              </w:rPr>
              <w:t>Ponte</w:t>
            </w:r>
            <w:r>
              <w:rPr>
                <w:color w:val="231F20"/>
                <w:spacing w:val="-17"/>
                <w:w w:val="105"/>
                <w:sz w:val="18"/>
              </w:rPr>
              <w:t> </w:t>
            </w:r>
            <w:r>
              <w:rPr>
                <w:color w:val="231F20"/>
                <w:w w:val="105"/>
                <w:sz w:val="18"/>
              </w:rPr>
              <w:t>las</w:t>
            </w:r>
            <w:r>
              <w:rPr>
                <w:color w:val="231F20"/>
                <w:spacing w:val="-17"/>
                <w:w w:val="105"/>
                <w:sz w:val="18"/>
              </w:rPr>
              <w:t> </w:t>
            </w:r>
            <w:r>
              <w:rPr>
                <w:color w:val="231F20"/>
                <w:w w:val="105"/>
                <w:sz w:val="18"/>
              </w:rPr>
              <w:t>puntiagudas</w:t>
            </w:r>
            <w:r>
              <w:rPr>
                <w:color w:val="231F20"/>
                <w:spacing w:val="-17"/>
                <w:w w:val="105"/>
                <w:sz w:val="18"/>
              </w:rPr>
              <w:t> </w:t>
            </w:r>
            <w:r>
              <w:rPr>
                <w:color w:val="231F20"/>
                <w:w w:val="105"/>
                <w:sz w:val="18"/>
              </w:rPr>
              <w:t>que</w:t>
            </w:r>
            <w:r>
              <w:rPr>
                <w:color w:val="231F20"/>
                <w:spacing w:val="-17"/>
                <w:w w:val="105"/>
                <w:sz w:val="18"/>
              </w:rPr>
              <w:t> </w:t>
            </w:r>
            <w:r>
              <w:rPr>
                <w:color w:val="231F20"/>
                <w:w w:val="105"/>
                <w:sz w:val="18"/>
              </w:rPr>
              <w:t>te</w:t>
            </w:r>
            <w:r>
              <w:rPr>
                <w:color w:val="231F20"/>
                <w:spacing w:val="-17"/>
                <w:w w:val="105"/>
                <w:sz w:val="18"/>
              </w:rPr>
              <w:t> </w:t>
            </w:r>
            <w:r>
              <w:rPr>
                <w:color w:val="231F20"/>
                <w:w w:val="105"/>
                <w:sz w:val="18"/>
              </w:rPr>
              <w:t>hacen</w:t>
            </w:r>
            <w:r>
              <w:rPr>
                <w:color w:val="231F20"/>
                <w:spacing w:val="-17"/>
                <w:w w:val="105"/>
                <w:sz w:val="18"/>
              </w:rPr>
              <w:t> </w:t>
            </w:r>
            <w:r>
              <w:rPr>
                <w:color w:val="231F20"/>
                <w:w w:val="105"/>
                <w:sz w:val="18"/>
              </w:rPr>
              <w:t>ver como</w:t>
            </w:r>
            <w:r>
              <w:rPr>
                <w:color w:val="231F20"/>
                <w:spacing w:val="4"/>
                <w:w w:val="105"/>
                <w:sz w:val="18"/>
              </w:rPr>
              <w:t> </w:t>
            </w:r>
            <w:r>
              <w:rPr>
                <w:color w:val="231F20"/>
                <w:w w:val="105"/>
                <w:sz w:val="18"/>
              </w:rPr>
              <w:t>duende</w:t>
            </w:r>
          </w:p>
        </w:tc>
      </w:tr>
      <w:tr>
        <w:trPr>
          <w:trHeight w:val="340" w:hRule="exact"/>
        </w:trPr>
        <w:tc>
          <w:tcPr>
            <w:tcW w:w="456" w:type="dxa"/>
          </w:tcPr>
          <w:p>
            <w:pPr>
              <w:pStyle w:val="TableParagraph"/>
              <w:ind w:left="77"/>
              <w:rPr>
                <w:sz w:val="18"/>
              </w:rPr>
            </w:pPr>
            <w:r>
              <w:rPr>
                <w:color w:val="231F20"/>
                <w:w w:val="104"/>
                <w:sz w:val="18"/>
              </w:rPr>
              <w:t>5</w:t>
            </w:r>
          </w:p>
        </w:tc>
        <w:tc>
          <w:tcPr>
            <w:tcW w:w="3106" w:type="dxa"/>
          </w:tcPr>
          <w:p>
            <w:pPr>
              <w:pStyle w:val="TableParagraph"/>
              <w:tabs>
                <w:tab w:pos="1704" w:val="left" w:leader="none"/>
              </w:tabs>
              <w:ind w:left="77" w:right="12"/>
              <w:rPr>
                <w:sz w:val="18"/>
              </w:rPr>
            </w:pPr>
            <w:r>
              <w:rPr>
                <w:color w:val="231F20"/>
                <w:w w:val="105"/>
                <w:sz w:val="18"/>
              </w:rPr>
              <w:t>Nelo:</w:t>
            </w:r>
            <w:r>
              <w:rPr>
                <w:color w:val="231F20"/>
                <w:spacing w:val="-11"/>
                <w:w w:val="105"/>
                <w:sz w:val="18"/>
              </w:rPr>
              <w:t> </w:t>
            </w:r>
            <w:r>
              <w:rPr>
                <w:color w:val="231F20"/>
                <w:w w:val="105"/>
                <w:sz w:val="18"/>
              </w:rPr>
              <w:t>Brown</w:t>
              <w:tab/>
              <w:t>(3:45</w:t>
            </w:r>
            <w:r>
              <w:rPr>
                <w:color w:val="231F20"/>
                <w:spacing w:val="-23"/>
                <w:w w:val="105"/>
                <w:sz w:val="18"/>
              </w:rPr>
              <w:t> </w:t>
            </w:r>
            <w:r>
              <w:rPr>
                <w:color w:val="231F20"/>
                <w:w w:val="105"/>
                <w:sz w:val="18"/>
              </w:rPr>
              <w:t>pm)</w:t>
            </w:r>
          </w:p>
        </w:tc>
        <w:tc>
          <w:tcPr>
            <w:tcW w:w="3365" w:type="dxa"/>
          </w:tcPr>
          <w:p>
            <w:pPr>
              <w:pStyle w:val="TableParagraph"/>
              <w:ind w:left="77" w:right="65"/>
              <w:rPr>
                <w:sz w:val="18"/>
              </w:rPr>
            </w:pPr>
            <w:r>
              <w:rPr>
                <w:color w:val="231F20"/>
                <w:w w:val="95"/>
                <w:sz w:val="18"/>
              </w:rPr>
              <w:t>Las cafés</w:t>
            </w:r>
          </w:p>
        </w:tc>
      </w:tr>
    </w:tbl>
    <w:p>
      <w:pPr>
        <w:spacing w:before="78"/>
        <w:ind w:left="1723" w:right="0" w:firstLine="0"/>
        <w:jc w:val="both"/>
        <w:rPr>
          <w:sz w:val="16"/>
        </w:rPr>
      </w:pPr>
      <w:r>
        <w:rPr>
          <w:color w:val="231F20"/>
          <w:sz w:val="16"/>
        </w:rPr>
        <w:t>Source: Fabián’s Facebook.</w:t>
      </w:r>
    </w:p>
    <w:p>
      <w:pPr>
        <w:pStyle w:val="BodyText"/>
        <w:rPr>
          <w:sz w:val="16"/>
        </w:rPr>
      </w:pPr>
    </w:p>
    <w:p>
      <w:pPr>
        <w:pStyle w:val="BodyText"/>
        <w:spacing w:line="261" w:lineRule="auto" w:before="111"/>
        <w:ind w:left="1723" w:right="1831"/>
        <w:jc w:val="both"/>
      </w:pPr>
      <w:r>
        <w:rPr>
          <w:color w:val="231F20"/>
          <w:w w:val="105"/>
        </w:rPr>
        <w:t>In</w:t>
      </w:r>
      <w:r>
        <w:rPr>
          <w:color w:val="231F20"/>
          <w:spacing w:val="-20"/>
          <w:w w:val="105"/>
        </w:rPr>
        <w:t> </w:t>
      </w:r>
      <w:r>
        <w:rPr>
          <w:color w:val="231F20"/>
          <w:spacing w:val="-3"/>
          <w:w w:val="105"/>
        </w:rPr>
        <w:t>this</w:t>
      </w:r>
      <w:r>
        <w:rPr>
          <w:color w:val="231F20"/>
          <w:spacing w:val="-20"/>
          <w:w w:val="105"/>
        </w:rPr>
        <w:t> </w:t>
      </w:r>
      <w:r>
        <w:rPr>
          <w:color w:val="231F20"/>
          <w:spacing w:val="-3"/>
          <w:w w:val="105"/>
        </w:rPr>
        <w:t>conversation,</w:t>
      </w:r>
      <w:r>
        <w:rPr>
          <w:color w:val="231F20"/>
          <w:spacing w:val="-25"/>
          <w:w w:val="105"/>
        </w:rPr>
        <w:t> </w:t>
      </w:r>
      <w:r>
        <w:rPr>
          <w:color w:val="231F20"/>
          <w:spacing w:val="-5"/>
          <w:w w:val="105"/>
        </w:rPr>
        <w:t>Fabián</w:t>
      </w:r>
      <w:r>
        <w:rPr>
          <w:color w:val="231F20"/>
          <w:spacing w:val="-20"/>
          <w:w w:val="105"/>
        </w:rPr>
        <w:t> </w:t>
      </w:r>
      <w:r>
        <w:rPr>
          <w:color w:val="231F20"/>
          <w:spacing w:val="-3"/>
          <w:w w:val="105"/>
        </w:rPr>
        <w:t>asks</w:t>
      </w:r>
      <w:r>
        <w:rPr>
          <w:color w:val="231F20"/>
          <w:spacing w:val="-20"/>
          <w:w w:val="105"/>
        </w:rPr>
        <w:t> </w:t>
      </w:r>
      <w:r>
        <w:rPr>
          <w:color w:val="231F20"/>
          <w:w w:val="105"/>
        </w:rPr>
        <w:t>for</w:t>
      </w:r>
      <w:r>
        <w:rPr>
          <w:color w:val="231F20"/>
          <w:spacing w:val="-20"/>
          <w:w w:val="105"/>
        </w:rPr>
        <w:t> </w:t>
      </w:r>
      <w:r>
        <w:rPr>
          <w:color w:val="231F20"/>
          <w:w w:val="105"/>
        </w:rPr>
        <w:t>an</w:t>
      </w:r>
      <w:r>
        <w:rPr>
          <w:color w:val="231F20"/>
          <w:spacing w:val="-20"/>
          <w:w w:val="105"/>
        </w:rPr>
        <w:t> </w:t>
      </w:r>
      <w:r>
        <w:rPr>
          <w:color w:val="231F20"/>
          <w:spacing w:val="-3"/>
          <w:w w:val="105"/>
        </w:rPr>
        <w:t>opinion</w:t>
      </w:r>
      <w:r>
        <w:rPr>
          <w:color w:val="231F20"/>
          <w:spacing w:val="-20"/>
          <w:w w:val="105"/>
        </w:rPr>
        <w:t> </w:t>
      </w:r>
      <w:r>
        <w:rPr>
          <w:color w:val="231F20"/>
          <w:w w:val="105"/>
        </w:rPr>
        <w:t>and</w:t>
      </w:r>
      <w:r>
        <w:rPr>
          <w:color w:val="231F20"/>
          <w:spacing w:val="-20"/>
          <w:w w:val="105"/>
        </w:rPr>
        <w:t> </w:t>
      </w:r>
      <w:r>
        <w:rPr>
          <w:color w:val="231F20"/>
          <w:w w:val="105"/>
        </w:rPr>
        <w:t>a</w:t>
      </w:r>
      <w:r>
        <w:rPr>
          <w:color w:val="231F20"/>
          <w:spacing w:val="-20"/>
          <w:w w:val="105"/>
        </w:rPr>
        <w:t> </w:t>
      </w:r>
      <w:r>
        <w:rPr>
          <w:color w:val="231F20"/>
          <w:spacing w:val="-3"/>
          <w:w w:val="105"/>
        </w:rPr>
        <w:t>cousin</w:t>
      </w:r>
      <w:r>
        <w:rPr>
          <w:color w:val="231F20"/>
          <w:spacing w:val="-20"/>
          <w:w w:val="105"/>
        </w:rPr>
        <w:t> </w:t>
      </w:r>
      <w:r>
        <w:rPr>
          <w:color w:val="231F20"/>
          <w:spacing w:val="-3"/>
          <w:w w:val="105"/>
        </w:rPr>
        <w:t>living</w:t>
      </w:r>
      <w:r>
        <w:rPr>
          <w:color w:val="231F20"/>
          <w:spacing w:val="-20"/>
          <w:w w:val="105"/>
        </w:rPr>
        <w:t> </w:t>
      </w:r>
      <w:r>
        <w:rPr>
          <w:color w:val="231F20"/>
          <w:w w:val="105"/>
        </w:rPr>
        <w:t>in</w:t>
      </w:r>
      <w:r>
        <w:rPr>
          <w:color w:val="231F20"/>
          <w:spacing w:val="-20"/>
          <w:w w:val="105"/>
        </w:rPr>
        <w:t> </w:t>
      </w:r>
      <w:r>
        <w:rPr>
          <w:color w:val="231F20"/>
          <w:spacing w:val="-3"/>
          <w:w w:val="105"/>
        </w:rPr>
        <w:t>Mexi- </w:t>
      </w:r>
      <w:r>
        <w:rPr>
          <w:color w:val="231F20"/>
          <w:w w:val="105"/>
        </w:rPr>
        <w:t>co</w:t>
      </w:r>
      <w:r>
        <w:rPr>
          <w:color w:val="231F20"/>
          <w:spacing w:val="-25"/>
          <w:w w:val="105"/>
        </w:rPr>
        <w:t> </w:t>
      </w:r>
      <w:r>
        <w:rPr>
          <w:color w:val="231F20"/>
          <w:w w:val="105"/>
        </w:rPr>
        <w:t>was</w:t>
      </w:r>
      <w:r>
        <w:rPr>
          <w:color w:val="231F20"/>
          <w:spacing w:val="-25"/>
          <w:w w:val="105"/>
        </w:rPr>
        <w:t> </w:t>
      </w:r>
      <w:r>
        <w:rPr>
          <w:color w:val="231F20"/>
          <w:w w:val="105"/>
        </w:rPr>
        <w:t>the</w:t>
      </w:r>
      <w:r>
        <w:rPr>
          <w:color w:val="231F20"/>
          <w:spacing w:val="-25"/>
          <w:w w:val="105"/>
        </w:rPr>
        <w:t> </w:t>
      </w:r>
      <w:r>
        <w:rPr>
          <w:color w:val="231F20"/>
          <w:w w:val="105"/>
        </w:rPr>
        <w:t>first</w:t>
      </w:r>
      <w:r>
        <w:rPr>
          <w:color w:val="231F20"/>
          <w:spacing w:val="-25"/>
          <w:w w:val="105"/>
        </w:rPr>
        <w:t> </w:t>
      </w:r>
      <w:r>
        <w:rPr>
          <w:color w:val="231F20"/>
          <w:w w:val="105"/>
        </w:rPr>
        <w:t>to</w:t>
      </w:r>
      <w:r>
        <w:rPr>
          <w:color w:val="231F20"/>
          <w:spacing w:val="-25"/>
          <w:w w:val="105"/>
        </w:rPr>
        <w:t> </w:t>
      </w:r>
      <w:r>
        <w:rPr>
          <w:color w:val="231F20"/>
          <w:spacing w:val="-3"/>
          <w:w w:val="105"/>
        </w:rPr>
        <w:t>respond</w:t>
      </w:r>
      <w:r>
        <w:rPr>
          <w:color w:val="231F20"/>
          <w:spacing w:val="-25"/>
          <w:w w:val="105"/>
        </w:rPr>
        <w:t> </w:t>
      </w:r>
      <w:r>
        <w:rPr>
          <w:color w:val="231F20"/>
          <w:spacing w:val="-3"/>
          <w:w w:val="105"/>
        </w:rPr>
        <w:t>with</w:t>
      </w:r>
      <w:r>
        <w:rPr>
          <w:color w:val="231F20"/>
          <w:spacing w:val="-25"/>
          <w:w w:val="105"/>
        </w:rPr>
        <w:t> </w:t>
      </w:r>
      <w:r>
        <w:rPr>
          <w:color w:val="231F20"/>
          <w:w w:val="105"/>
        </w:rPr>
        <w:t>a</w:t>
      </w:r>
      <w:r>
        <w:rPr>
          <w:color w:val="231F20"/>
          <w:spacing w:val="-25"/>
          <w:w w:val="105"/>
        </w:rPr>
        <w:t> </w:t>
      </w:r>
      <w:r>
        <w:rPr>
          <w:color w:val="231F20"/>
          <w:spacing w:val="-3"/>
          <w:w w:val="105"/>
        </w:rPr>
        <w:t>joke,</w:t>
      </w:r>
      <w:r>
        <w:rPr>
          <w:color w:val="231F20"/>
          <w:spacing w:val="-31"/>
          <w:w w:val="105"/>
        </w:rPr>
        <w:t> </w:t>
      </w:r>
      <w:r>
        <w:rPr>
          <w:color w:val="231F20"/>
          <w:spacing w:val="-3"/>
          <w:w w:val="105"/>
        </w:rPr>
        <w:t>just</w:t>
      </w:r>
      <w:r>
        <w:rPr>
          <w:color w:val="231F20"/>
          <w:spacing w:val="-25"/>
          <w:w w:val="105"/>
        </w:rPr>
        <w:t> </w:t>
      </w:r>
      <w:r>
        <w:rPr>
          <w:color w:val="231F20"/>
          <w:w w:val="105"/>
        </w:rPr>
        <w:t>as</w:t>
      </w:r>
      <w:r>
        <w:rPr>
          <w:color w:val="231F20"/>
          <w:spacing w:val="-25"/>
          <w:w w:val="105"/>
        </w:rPr>
        <w:t> </w:t>
      </w:r>
      <w:r>
        <w:rPr>
          <w:color w:val="231F20"/>
          <w:w w:val="105"/>
        </w:rPr>
        <w:t>if</w:t>
      </w:r>
      <w:r>
        <w:rPr>
          <w:color w:val="231F20"/>
          <w:spacing w:val="-21"/>
          <w:w w:val="105"/>
        </w:rPr>
        <w:t> </w:t>
      </w:r>
      <w:r>
        <w:rPr>
          <w:color w:val="231F20"/>
          <w:w w:val="105"/>
        </w:rPr>
        <w:t>he</w:t>
      </w:r>
      <w:r>
        <w:rPr>
          <w:color w:val="231F20"/>
          <w:spacing w:val="-25"/>
          <w:w w:val="105"/>
        </w:rPr>
        <w:t> </w:t>
      </w:r>
      <w:r>
        <w:rPr>
          <w:color w:val="231F20"/>
          <w:spacing w:val="-3"/>
          <w:w w:val="105"/>
        </w:rPr>
        <w:t>were</w:t>
      </w:r>
      <w:r>
        <w:rPr>
          <w:color w:val="231F20"/>
          <w:spacing w:val="-25"/>
          <w:w w:val="105"/>
        </w:rPr>
        <w:t> </w:t>
      </w:r>
      <w:r>
        <w:rPr>
          <w:color w:val="231F20"/>
          <w:spacing w:val="-3"/>
          <w:w w:val="105"/>
        </w:rPr>
        <w:t>physically</w:t>
      </w:r>
      <w:r>
        <w:rPr>
          <w:color w:val="231F20"/>
          <w:spacing w:val="-25"/>
          <w:w w:val="105"/>
        </w:rPr>
        <w:t> </w:t>
      </w:r>
      <w:r>
        <w:rPr>
          <w:color w:val="231F20"/>
          <w:w w:val="105"/>
        </w:rPr>
        <w:t>in</w:t>
      </w:r>
      <w:r>
        <w:rPr>
          <w:color w:val="231F20"/>
          <w:spacing w:val="-25"/>
          <w:w w:val="105"/>
        </w:rPr>
        <w:t> </w:t>
      </w:r>
      <w:r>
        <w:rPr>
          <w:color w:val="231F20"/>
          <w:spacing w:val="-3"/>
          <w:w w:val="105"/>
        </w:rPr>
        <w:t>front</w:t>
      </w:r>
      <w:r>
        <w:rPr>
          <w:color w:val="231F20"/>
          <w:spacing w:val="-25"/>
          <w:w w:val="105"/>
        </w:rPr>
        <w:t> </w:t>
      </w:r>
      <w:r>
        <w:rPr>
          <w:color w:val="231F20"/>
          <w:spacing w:val="-3"/>
          <w:w w:val="105"/>
        </w:rPr>
        <w:t>of </w:t>
      </w:r>
      <w:r>
        <w:rPr>
          <w:color w:val="231F20"/>
          <w:spacing w:val="-4"/>
          <w:w w:val="105"/>
        </w:rPr>
        <w:t>Fabián,</w:t>
      </w:r>
      <w:r>
        <w:rPr>
          <w:color w:val="231F20"/>
          <w:spacing w:val="-18"/>
          <w:w w:val="105"/>
        </w:rPr>
        <w:t> </w:t>
      </w:r>
      <w:r>
        <w:rPr>
          <w:color w:val="231F20"/>
          <w:spacing w:val="-3"/>
          <w:w w:val="105"/>
        </w:rPr>
        <w:t>looking</w:t>
      </w:r>
      <w:r>
        <w:rPr>
          <w:color w:val="231F20"/>
          <w:spacing w:val="-12"/>
          <w:w w:val="105"/>
        </w:rPr>
        <w:t> </w:t>
      </w:r>
      <w:r>
        <w:rPr>
          <w:color w:val="231F20"/>
          <w:spacing w:val="-3"/>
          <w:w w:val="105"/>
        </w:rPr>
        <w:t>at</w:t>
      </w:r>
      <w:r>
        <w:rPr>
          <w:color w:val="231F20"/>
          <w:spacing w:val="-12"/>
          <w:w w:val="105"/>
        </w:rPr>
        <w:t> </w:t>
      </w:r>
      <w:r>
        <w:rPr>
          <w:color w:val="231F20"/>
          <w:spacing w:val="-3"/>
          <w:w w:val="105"/>
        </w:rPr>
        <w:t>him.</w:t>
      </w:r>
      <w:r>
        <w:rPr>
          <w:color w:val="231F20"/>
          <w:spacing w:val="-23"/>
          <w:w w:val="105"/>
        </w:rPr>
        <w:t> </w:t>
      </w:r>
      <w:r>
        <w:rPr>
          <w:color w:val="231F20"/>
          <w:spacing w:val="-3"/>
          <w:w w:val="105"/>
        </w:rPr>
        <w:t>The</w:t>
      </w:r>
      <w:r>
        <w:rPr>
          <w:color w:val="231F20"/>
          <w:spacing w:val="-12"/>
          <w:w w:val="105"/>
        </w:rPr>
        <w:t> </w:t>
      </w:r>
      <w:r>
        <w:rPr>
          <w:color w:val="231F20"/>
          <w:spacing w:val="-3"/>
          <w:w w:val="105"/>
        </w:rPr>
        <w:t>joke</w:t>
      </w:r>
      <w:r>
        <w:rPr>
          <w:color w:val="231F20"/>
          <w:spacing w:val="-12"/>
          <w:w w:val="105"/>
        </w:rPr>
        <w:t> </w:t>
      </w:r>
      <w:r>
        <w:rPr>
          <w:color w:val="231F20"/>
          <w:w w:val="105"/>
        </w:rPr>
        <w:t>is</w:t>
      </w:r>
      <w:r>
        <w:rPr>
          <w:color w:val="231F20"/>
          <w:spacing w:val="-12"/>
          <w:w w:val="105"/>
        </w:rPr>
        <w:t> </w:t>
      </w:r>
      <w:r>
        <w:rPr>
          <w:color w:val="231F20"/>
          <w:spacing w:val="-3"/>
          <w:w w:val="105"/>
        </w:rPr>
        <w:t>making</w:t>
      </w:r>
      <w:r>
        <w:rPr>
          <w:color w:val="231F20"/>
          <w:spacing w:val="-12"/>
          <w:w w:val="105"/>
        </w:rPr>
        <w:t> </w:t>
      </w:r>
      <w:r>
        <w:rPr>
          <w:color w:val="231F20"/>
          <w:w w:val="105"/>
        </w:rPr>
        <w:t>fun</w:t>
      </w:r>
      <w:r>
        <w:rPr>
          <w:color w:val="231F20"/>
          <w:spacing w:val="-12"/>
          <w:w w:val="105"/>
        </w:rPr>
        <w:t> </w:t>
      </w:r>
      <w:r>
        <w:rPr>
          <w:color w:val="231F20"/>
          <w:w w:val="105"/>
        </w:rPr>
        <w:t>of</w:t>
      </w:r>
      <w:r>
        <w:rPr>
          <w:color w:val="231F20"/>
          <w:spacing w:val="-8"/>
          <w:w w:val="105"/>
        </w:rPr>
        <w:t> </w:t>
      </w:r>
      <w:r>
        <w:rPr>
          <w:color w:val="231F20"/>
          <w:spacing w:val="-5"/>
          <w:w w:val="105"/>
        </w:rPr>
        <w:t>Fabián</w:t>
      </w:r>
      <w:r>
        <w:rPr>
          <w:color w:val="231F20"/>
          <w:spacing w:val="-12"/>
          <w:w w:val="105"/>
        </w:rPr>
        <w:t> </w:t>
      </w:r>
      <w:r>
        <w:rPr>
          <w:color w:val="231F20"/>
          <w:spacing w:val="-3"/>
          <w:w w:val="105"/>
        </w:rPr>
        <w:t>asking</w:t>
      </w:r>
      <w:r>
        <w:rPr>
          <w:color w:val="231F20"/>
          <w:spacing w:val="-12"/>
          <w:w w:val="105"/>
        </w:rPr>
        <w:t> </w:t>
      </w:r>
      <w:r>
        <w:rPr>
          <w:color w:val="231F20"/>
          <w:w w:val="105"/>
        </w:rPr>
        <w:t>for</w:t>
      </w:r>
      <w:r>
        <w:rPr>
          <w:color w:val="231F20"/>
          <w:spacing w:val="-12"/>
          <w:w w:val="105"/>
        </w:rPr>
        <w:t> </w:t>
      </w:r>
      <w:r>
        <w:rPr>
          <w:color w:val="231F20"/>
          <w:spacing w:val="-3"/>
          <w:w w:val="105"/>
        </w:rPr>
        <w:t>advice. </w:t>
      </w:r>
      <w:r>
        <w:rPr>
          <w:color w:val="231F20"/>
          <w:w w:val="105"/>
        </w:rPr>
        <w:t>In</w:t>
      </w:r>
      <w:r>
        <w:rPr>
          <w:color w:val="231F20"/>
          <w:spacing w:val="-18"/>
          <w:w w:val="105"/>
        </w:rPr>
        <w:t> </w:t>
      </w:r>
      <w:r>
        <w:rPr>
          <w:color w:val="231F20"/>
          <w:spacing w:val="-3"/>
          <w:w w:val="105"/>
        </w:rPr>
        <w:t>line</w:t>
      </w:r>
      <w:r>
        <w:rPr>
          <w:color w:val="231F20"/>
          <w:spacing w:val="-18"/>
          <w:w w:val="105"/>
        </w:rPr>
        <w:t> </w:t>
      </w:r>
      <w:r>
        <w:rPr>
          <w:color w:val="231F20"/>
          <w:w w:val="105"/>
        </w:rPr>
        <w:t>3,</w:t>
      </w:r>
      <w:r>
        <w:rPr>
          <w:color w:val="231F20"/>
          <w:spacing w:val="-23"/>
          <w:w w:val="105"/>
        </w:rPr>
        <w:t> </w:t>
      </w:r>
      <w:r>
        <w:rPr>
          <w:color w:val="231F20"/>
          <w:spacing w:val="-5"/>
          <w:w w:val="105"/>
        </w:rPr>
        <w:t>Fabián</w:t>
      </w:r>
      <w:r>
        <w:rPr>
          <w:color w:val="231F20"/>
          <w:spacing w:val="-18"/>
          <w:w w:val="105"/>
        </w:rPr>
        <w:t> </w:t>
      </w:r>
      <w:r>
        <w:rPr>
          <w:color w:val="231F20"/>
          <w:spacing w:val="-3"/>
          <w:w w:val="105"/>
        </w:rPr>
        <w:t>replies</w:t>
      </w:r>
      <w:r>
        <w:rPr>
          <w:color w:val="231F20"/>
          <w:spacing w:val="-18"/>
          <w:w w:val="105"/>
        </w:rPr>
        <w:t> </w:t>
      </w:r>
      <w:r>
        <w:rPr>
          <w:color w:val="231F20"/>
          <w:w w:val="105"/>
        </w:rPr>
        <w:t>to</w:t>
      </w:r>
      <w:r>
        <w:rPr>
          <w:color w:val="231F20"/>
          <w:spacing w:val="-18"/>
          <w:w w:val="105"/>
        </w:rPr>
        <w:t> </w:t>
      </w:r>
      <w:r>
        <w:rPr>
          <w:color w:val="231F20"/>
          <w:spacing w:val="-3"/>
          <w:w w:val="105"/>
        </w:rPr>
        <w:t>Gonzo</w:t>
      </w:r>
      <w:r>
        <w:rPr>
          <w:color w:val="231F20"/>
          <w:spacing w:val="-18"/>
          <w:w w:val="105"/>
        </w:rPr>
        <w:t> </w:t>
      </w:r>
      <w:r>
        <w:rPr>
          <w:color w:val="231F20"/>
          <w:w w:val="105"/>
        </w:rPr>
        <w:t>as</w:t>
      </w:r>
      <w:r>
        <w:rPr>
          <w:color w:val="231F20"/>
          <w:spacing w:val="-18"/>
          <w:w w:val="105"/>
        </w:rPr>
        <w:t> </w:t>
      </w:r>
      <w:r>
        <w:rPr>
          <w:color w:val="231F20"/>
          <w:w w:val="105"/>
        </w:rPr>
        <w:t>if</w:t>
      </w:r>
      <w:r>
        <w:rPr>
          <w:color w:val="231F20"/>
          <w:spacing w:val="-12"/>
          <w:w w:val="105"/>
        </w:rPr>
        <w:t> </w:t>
      </w:r>
      <w:r>
        <w:rPr>
          <w:color w:val="231F20"/>
          <w:w w:val="105"/>
        </w:rPr>
        <w:t>he</w:t>
      </w:r>
      <w:r>
        <w:rPr>
          <w:color w:val="231F20"/>
          <w:spacing w:val="-18"/>
          <w:w w:val="105"/>
        </w:rPr>
        <w:t> </w:t>
      </w:r>
      <w:r>
        <w:rPr>
          <w:color w:val="231F20"/>
          <w:w w:val="105"/>
        </w:rPr>
        <w:t>is</w:t>
      </w:r>
      <w:r>
        <w:rPr>
          <w:color w:val="231F20"/>
          <w:spacing w:val="-18"/>
          <w:w w:val="105"/>
        </w:rPr>
        <w:t> </w:t>
      </w:r>
      <w:r>
        <w:rPr>
          <w:color w:val="231F20"/>
          <w:spacing w:val="-3"/>
          <w:w w:val="105"/>
        </w:rPr>
        <w:t>just</w:t>
      </w:r>
      <w:r>
        <w:rPr>
          <w:color w:val="231F20"/>
          <w:spacing w:val="-18"/>
          <w:w w:val="105"/>
        </w:rPr>
        <w:t> </w:t>
      </w:r>
      <w:r>
        <w:rPr>
          <w:color w:val="231F20"/>
          <w:spacing w:val="-3"/>
          <w:w w:val="105"/>
        </w:rPr>
        <w:t>next</w:t>
      </w:r>
      <w:r>
        <w:rPr>
          <w:color w:val="231F20"/>
          <w:spacing w:val="-18"/>
          <w:w w:val="105"/>
        </w:rPr>
        <w:t> </w:t>
      </w:r>
      <w:r>
        <w:rPr>
          <w:color w:val="231F20"/>
          <w:spacing w:val="-3"/>
          <w:w w:val="105"/>
        </w:rPr>
        <w:t>door</w:t>
      </w:r>
      <w:r>
        <w:rPr>
          <w:color w:val="231F20"/>
          <w:spacing w:val="-18"/>
          <w:w w:val="105"/>
        </w:rPr>
        <w:t> </w:t>
      </w:r>
      <w:r>
        <w:rPr>
          <w:color w:val="231F20"/>
          <w:w w:val="105"/>
        </w:rPr>
        <w:t>too</w:t>
      </w:r>
      <w:r>
        <w:rPr>
          <w:color w:val="231F20"/>
          <w:spacing w:val="-18"/>
          <w:w w:val="105"/>
        </w:rPr>
        <w:t> </w:t>
      </w:r>
      <w:r>
        <w:rPr>
          <w:color w:val="231F20"/>
          <w:w w:val="105"/>
        </w:rPr>
        <w:t>by</w:t>
      </w:r>
      <w:r>
        <w:rPr>
          <w:color w:val="231F20"/>
          <w:spacing w:val="-18"/>
          <w:w w:val="105"/>
        </w:rPr>
        <w:t> </w:t>
      </w:r>
      <w:r>
        <w:rPr>
          <w:color w:val="231F20"/>
          <w:spacing w:val="-3"/>
          <w:w w:val="105"/>
        </w:rPr>
        <w:t>telling</w:t>
      </w:r>
      <w:r>
        <w:rPr>
          <w:color w:val="231F20"/>
          <w:spacing w:val="-18"/>
          <w:w w:val="105"/>
        </w:rPr>
        <w:t> </w:t>
      </w:r>
      <w:r>
        <w:rPr>
          <w:color w:val="231F20"/>
          <w:spacing w:val="-3"/>
          <w:w w:val="105"/>
        </w:rPr>
        <w:t>him </w:t>
      </w:r>
      <w:r>
        <w:rPr>
          <w:color w:val="231F20"/>
          <w:w w:val="105"/>
        </w:rPr>
        <w:t>he can </w:t>
      </w:r>
      <w:r>
        <w:rPr>
          <w:color w:val="231F20"/>
          <w:spacing w:val="-3"/>
          <w:w w:val="105"/>
        </w:rPr>
        <w:t>lend </w:t>
      </w:r>
      <w:r>
        <w:rPr>
          <w:color w:val="231F20"/>
          <w:w w:val="105"/>
        </w:rPr>
        <w:t>the </w:t>
      </w:r>
      <w:r>
        <w:rPr>
          <w:color w:val="231F20"/>
          <w:spacing w:val="-3"/>
          <w:w w:val="105"/>
        </w:rPr>
        <w:t>boots </w:t>
      </w:r>
      <w:r>
        <w:rPr>
          <w:color w:val="231F20"/>
          <w:w w:val="105"/>
        </w:rPr>
        <w:t>to him </w:t>
      </w:r>
      <w:r>
        <w:rPr>
          <w:color w:val="231F20"/>
          <w:spacing w:val="-3"/>
          <w:w w:val="105"/>
        </w:rPr>
        <w:t>whenever </w:t>
      </w:r>
      <w:r>
        <w:rPr>
          <w:color w:val="231F20"/>
          <w:w w:val="105"/>
        </w:rPr>
        <w:t>he </w:t>
      </w:r>
      <w:r>
        <w:rPr>
          <w:color w:val="231F20"/>
          <w:spacing w:val="-3"/>
          <w:w w:val="105"/>
        </w:rPr>
        <w:t>wants. The other </w:t>
      </w:r>
      <w:r>
        <w:rPr>
          <w:color w:val="231F20"/>
          <w:w w:val="105"/>
        </w:rPr>
        <w:t>two </w:t>
      </w:r>
      <w:r>
        <w:rPr>
          <w:color w:val="231F20"/>
          <w:spacing w:val="-3"/>
          <w:w w:val="105"/>
        </w:rPr>
        <w:t>people were</w:t>
      </w:r>
      <w:r>
        <w:rPr>
          <w:color w:val="231F20"/>
          <w:spacing w:val="-10"/>
          <w:w w:val="105"/>
        </w:rPr>
        <w:t> </w:t>
      </w:r>
      <w:r>
        <w:rPr>
          <w:color w:val="231F20"/>
          <w:spacing w:val="-3"/>
          <w:w w:val="105"/>
        </w:rPr>
        <w:t>cousins</w:t>
      </w:r>
      <w:r>
        <w:rPr>
          <w:color w:val="231F20"/>
          <w:spacing w:val="-10"/>
          <w:w w:val="105"/>
        </w:rPr>
        <w:t> </w:t>
      </w:r>
      <w:r>
        <w:rPr>
          <w:color w:val="231F20"/>
          <w:spacing w:val="-3"/>
          <w:w w:val="105"/>
        </w:rPr>
        <w:t>living</w:t>
      </w:r>
      <w:r>
        <w:rPr>
          <w:color w:val="231F20"/>
          <w:spacing w:val="-10"/>
          <w:w w:val="105"/>
        </w:rPr>
        <w:t> </w:t>
      </w:r>
      <w:r>
        <w:rPr>
          <w:color w:val="231F20"/>
          <w:w w:val="105"/>
        </w:rPr>
        <w:t>in</w:t>
      </w:r>
      <w:r>
        <w:rPr>
          <w:color w:val="231F20"/>
          <w:spacing w:val="-10"/>
          <w:w w:val="105"/>
        </w:rPr>
        <w:t> </w:t>
      </w:r>
      <w:r>
        <w:rPr>
          <w:color w:val="231F20"/>
          <w:spacing w:val="-3"/>
          <w:w w:val="105"/>
        </w:rPr>
        <w:t>Chicago,</w:t>
      </w:r>
      <w:r>
        <w:rPr>
          <w:color w:val="231F20"/>
          <w:spacing w:val="-16"/>
          <w:w w:val="105"/>
        </w:rPr>
        <w:t> </w:t>
      </w:r>
      <w:r>
        <w:rPr>
          <w:color w:val="231F20"/>
          <w:w w:val="105"/>
        </w:rPr>
        <w:t>one</w:t>
      </w:r>
      <w:r>
        <w:rPr>
          <w:color w:val="231F20"/>
          <w:spacing w:val="-10"/>
          <w:w w:val="105"/>
        </w:rPr>
        <w:t> </w:t>
      </w:r>
      <w:r>
        <w:rPr>
          <w:color w:val="231F20"/>
          <w:spacing w:val="-3"/>
          <w:w w:val="105"/>
        </w:rPr>
        <w:t>that</w:t>
      </w:r>
      <w:r>
        <w:rPr>
          <w:color w:val="231F20"/>
          <w:spacing w:val="-10"/>
          <w:w w:val="105"/>
        </w:rPr>
        <w:t> </w:t>
      </w:r>
      <w:r>
        <w:rPr>
          <w:color w:val="231F20"/>
          <w:w w:val="105"/>
        </w:rPr>
        <w:t>was</w:t>
      </w:r>
      <w:r>
        <w:rPr>
          <w:color w:val="231F20"/>
          <w:spacing w:val="-10"/>
          <w:w w:val="105"/>
        </w:rPr>
        <w:t> </w:t>
      </w:r>
      <w:r>
        <w:rPr>
          <w:color w:val="231F20"/>
          <w:spacing w:val="-3"/>
          <w:w w:val="105"/>
        </w:rPr>
        <w:t>also</w:t>
      </w:r>
      <w:r>
        <w:rPr>
          <w:color w:val="231F20"/>
          <w:spacing w:val="-10"/>
          <w:w w:val="105"/>
        </w:rPr>
        <w:t> </w:t>
      </w:r>
      <w:r>
        <w:rPr>
          <w:color w:val="231F20"/>
          <w:spacing w:val="-3"/>
          <w:w w:val="105"/>
        </w:rPr>
        <w:t>joking</w:t>
      </w:r>
      <w:r>
        <w:rPr>
          <w:color w:val="231F20"/>
          <w:spacing w:val="-10"/>
          <w:w w:val="105"/>
        </w:rPr>
        <w:t> </w:t>
      </w:r>
      <w:r>
        <w:rPr>
          <w:color w:val="231F20"/>
          <w:spacing w:val="-3"/>
          <w:w w:val="105"/>
        </w:rPr>
        <w:t>(line</w:t>
      </w:r>
      <w:r>
        <w:rPr>
          <w:color w:val="231F20"/>
          <w:spacing w:val="-10"/>
          <w:w w:val="105"/>
        </w:rPr>
        <w:t> </w:t>
      </w:r>
      <w:r>
        <w:rPr>
          <w:color w:val="231F20"/>
          <w:w w:val="105"/>
        </w:rPr>
        <w:t>4),</w:t>
      </w:r>
      <w:r>
        <w:rPr>
          <w:color w:val="231F20"/>
          <w:spacing w:val="-16"/>
          <w:w w:val="105"/>
        </w:rPr>
        <w:t> </w:t>
      </w:r>
      <w:r>
        <w:rPr>
          <w:color w:val="231F20"/>
          <w:w w:val="105"/>
        </w:rPr>
        <w:t>and</w:t>
      </w:r>
      <w:r>
        <w:rPr>
          <w:color w:val="231F20"/>
          <w:spacing w:val="-10"/>
          <w:w w:val="105"/>
        </w:rPr>
        <w:t> </w:t>
      </w:r>
      <w:r>
        <w:rPr>
          <w:color w:val="231F20"/>
          <w:spacing w:val="-3"/>
          <w:w w:val="105"/>
        </w:rPr>
        <w:t>Nelo </w:t>
      </w:r>
      <w:r>
        <w:rPr>
          <w:color w:val="231F20"/>
          <w:w w:val="105"/>
        </w:rPr>
        <w:t>who </w:t>
      </w:r>
      <w:r>
        <w:rPr>
          <w:color w:val="231F20"/>
          <w:spacing w:val="-3"/>
          <w:w w:val="105"/>
        </w:rPr>
        <w:t>just gave </w:t>
      </w:r>
      <w:r>
        <w:rPr>
          <w:color w:val="231F20"/>
          <w:w w:val="105"/>
        </w:rPr>
        <w:t>a </w:t>
      </w:r>
      <w:r>
        <w:rPr>
          <w:color w:val="231F20"/>
          <w:spacing w:val="-3"/>
          <w:w w:val="105"/>
        </w:rPr>
        <w:t>plain answer with </w:t>
      </w:r>
      <w:r>
        <w:rPr>
          <w:color w:val="231F20"/>
          <w:w w:val="105"/>
        </w:rPr>
        <w:t>his </w:t>
      </w:r>
      <w:r>
        <w:rPr>
          <w:color w:val="231F20"/>
          <w:spacing w:val="-3"/>
          <w:w w:val="105"/>
        </w:rPr>
        <w:t>opinion (line </w:t>
      </w:r>
      <w:r>
        <w:rPr>
          <w:color w:val="231F20"/>
          <w:w w:val="105"/>
        </w:rPr>
        <w:t>5). In </w:t>
      </w:r>
      <w:r>
        <w:rPr>
          <w:color w:val="231F20"/>
          <w:spacing w:val="-3"/>
          <w:w w:val="105"/>
        </w:rPr>
        <w:t>this sense </w:t>
      </w:r>
      <w:r>
        <w:rPr>
          <w:color w:val="231F20"/>
          <w:spacing w:val="-5"/>
          <w:w w:val="105"/>
        </w:rPr>
        <w:t>Face- </w:t>
      </w:r>
      <w:r>
        <w:rPr>
          <w:color w:val="231F20"/>
          <w:spacing w:val="-3"/>
          <w:w w:val="105"/>
        </w:rPr>
        <w:t>book</w:t>
      </w:r>
      <w:r>
        <w:rPr>
          <w:color w:val="231F20"/>
          <w:spacing w:val="-22"/>
          <w:w w:val="105"/>
        </w:rPr>
        <w:t> </w:t>
      </w:r>
      <w:r>
        <w:rPr>
          <w:color w:val="231F20"/>
          <w:w w:val="105"/>
        </w:rPr>
        <w:t>is</w:t>
      </w:r>
      <w:r>
        <w:rPr>
          <w:color w:val="231F20"/>
          <w:spacing w:val="-22"/>
          <w:w w:val="105"/>
        </w:rPr>
        <w:t> </w:t>
      </w:r>
      <w:r>
        <w:rPr>
          <w:color w:val="231F20"/>
          <w:w w:val="105"/>
        </w:rPr>
        <w:t>a</w:t>
      </w:r>
      <w:r>
        <w:rPr>
          <w:color w:val="231F20"/>
          <w:spacing w:val="-22"/>
          <w:w w:val="105"/>
        </w:rPr>
        <w:t> </w:t>
      </w:r>
      <w:r>
        <w:rPr>
          <w:color w:val="231F20"/>
          <w:spacing w:val="-3"/>
          <w:w w:val="105"/>
        </w:rPr>
        <w:t>constructed</w:t>
      </w:r>
      <w:r>
        <w:rPr>
          <w:color w:val="231F20"/>
          <w:spacing w:val="-22"/>
          <w:w w:val="105"/>
        </w:rPr>
        <w:t> </w:t>
      </w:r>
      <w:r>
        <w:rPr>
          <w:color w:val="231F20"/>
          <w:spacing w:val="-4"/>
          <w:w w:val="105"/>
        </w:rPr>
        <w:t>transnational</w:t>
      </w:r>
      <w:r>
        <w:rPr>
          <w:color w:val="231F20"/>
          <w:spacing w:val="-22"/>
          <w:w w:val="105"/>
        </w:rPr>
        <w:t> </w:t>
      </w:r>
      <w:r>
        <w:rPr>
          <w:color w:val="231F20"/>
          <w:spacing w:val="-3"/>
          <w:w w:val="105"/>
        </w:rPr>
        <w:t>space</w:t>
      </w:r>
      <w:r>
        <w:rPr>
          <w:color w:val="231F20"/>
          <w:spacing w:val="-22"/>
          <w:w w:val="105"/>
        </w:rPr>
        <w:t> </w:t>
      </w:r>
      <w:r>
        <w:rPr>
          <w:color w:val="231F20"/>
          <w:spacing w:val="-3"/>
          <w:w w:val="105"/>
        </w:rPr>
        <w:t>that</w:t>
      </w:r>
      <w:r>
        <w:rPr>
          <w:color w:val="231F20"/>
          <w:spacing w:val="-22"/>
          <w:w w:val="105"/>
        </w:rPr>
        <w:t> </w:t>
      </w:r>
      <w:r>
        <w:rPr>
          <w:color w:val="231F20"/>
          <w:spacing w:val="-3"/>
          <w:w w:val="105"/>
        </w:rPr>
        <w:t>erases</w:t>
      </w:r>
      <w:r>
        <w:rPr>
          <w:color w:val="231F20"/>
          <w:spacing w:val="-22"/>
          <w:w w:val="105"/>
        </w:rPr>
        <w:t> </w:t>
      </w:r>
      <w:r>
        <w:rPr>
          <w:color w:val="231F20"/>
          <w:spacing w:val="-3"/>
          <w:w w:val="105"/>
        </w:rPr>
        <w:t>physical</w:t>
      </w:r>
      <w:r>
        <w:rPr>
          <w:color w:val="231F20"/>
          <w:spacing w:val="-22"/>
          <w:w w:val="105"/>
        </w:rPr>
        <w:t> </w:t>
      </w:r>
      <w:r>
        <w:rPr>
          <w:color w:val="231F20"/>
          <w:spacing w:val="-3"/>
          <w:w w:val="105"/>
        </w:rPr>
        <w:t>borders</w:t>
      </w:r>
      <w:r>
        <w:rPr>
          <w:color w:val="231F20"/>
          <w:spacing w:val="-22"/>
          <w:w w:val="105"/>
        </w:rPr>
        <w:t> </w:t>
      </w:r>
      <w:r>
        <w:rPr>
          <w:color w:val="231F20"/>
          <w:spacing w:val="-3"/>
          <w:w w:val="105"/>
        </w:rPr>
        <w:t>and merges</w:t>
      </w:r>
      <w:r>
        <w:rPr>
          <w:color w:val="231F20"/>
          <w:spacing w:val="-14"/>
          <w:w w:val="105"/>
        </w:rPr>
        <w:t> </w:t>
      </w:r>
      <w:r>
        <w:rPr>
          <w:color w:val="231F20"/>
          <w:spacing w:val="-3"/>
          <w:w w:val="105"/>
        </w:rPr>
        <w:t>local</w:t>
      </w:r>
      <w:r>
        <w:rPr>
          <w:color w:val="231F20"/>
          <w:spacing w:val="-14"/>
          <w:w w:val="105"/>
        </w:rPr>
        <w:t> </w:t>
      </w:r>
      <w:r>
        <w:rPr>
          <w:color w:val="231F20"/>
          <w:spacing w:val="-3"/>
          <w:w w:val="105"/>
        </w:rPr>
        <w:t>spaces</w:t>
      </w:r>
      <w:r>
        <w:rPr>
          <w:color w:val="231F20"/>
          <w:spacing w:val="-14"/>
          <w:w w:val="105"/>
        </w:rPr>
        <w:t> </w:t>
      </w:r>
      <w:r>
        <w:rPr>
          <w:color w:val="231F20"/>
          <w:w w:val="105"/>
        </w:rPr>
        <w:t>and</w:t>
      </w:r>
      <w:r>
        <w:rPr>
          <w:color w:val="231F20"/>
          <w:spacing w:val="-14"/>
          <w:w w:val="105"/>
        </w:rPr>
        <w:t> </w:t>
      </w:r>
      <w:r>
        <w:rPr>
          <w:color w:val="231F20"/>
          <w:spacing w:val="-3"/>
          <w:w w:val="105"/>
        </w:rPr>
        <w:t>makes</w:t>
      </w:r>
      <w:r>
        <w:rPr>
          <w:color w:val="231F20"/>
          <w:spacing w:val="-14"/>
          <w:w w:val="105"/>
        </w:rPr>
        <w:t> </w:t>
      </w:r>
      <w:r>
        <w:rPr>
          <w:color w:val="231F20"/>
          <w:w w:val="105"/>
        </w:rPr>
        <w:t>it</w:t>
      </w:r>
      <w:r>
        <w:rPr>
          <w:color w:val="231F20"/>
          <w:spacing w:val="-14"/>
          <w:w w:val="105"/>
        </w:rPr>
        <w:t> </w:t>
      </w:r>
      <w:r>
        <w:rPr>
          <w:color w:val="231F20"/>
          <w:spacing w:val="-3"/>
          <w:w w:val="105"/>
        </w:rPr>
        <w:t>possible</w:t>
      </w:r>
      <w:r>
        <w:rPr>
          <w:color w:val="231F20"/>
          <w:spacing w:val="-14"/>
          <w:w w:val="105"/>
        </w:rPr>
        <w:t> </w:t>
      </w:r>
      <w:r>
        <w:rPr>
          <w:color w:val="231F20"/>
          <w:w w:val="105"/>
        </w:rPr>
        <w:t>for</w:t>
      </w:r>
      <w:r>
        <w:rPr>
          <w:color w:val="231F20"/>
          <w:spacing w:val="-14"/>
          <w:w w:val="105"/>
        </w:rPr>
        <w:t> </w:t>
      </w:r>
      <w:r>
        <w:rPr>
          <w:color w:val="231F20"/>
          <w:spacing w:val="-3"/>
          <w:w w:val="105"/>
        </w:rPr>
        <w:t>members</w:t>
      </w:r>
      <w:r>
        <w:rPr>
          <w:color w:val="231F20"/>
          <w:spacing w:val="-14"/>
          <w:w w:val="105"/>
        </w:rPr>
        <w:t> </w:t>
      </w:r>
      <w:r>
        <w:rPr>
          <w:color w:val="231F20"/>
          <w:w w:val="105"/>
        </w:rPr>
        <w:t>of</w:t>
      </w:r>
      <w:r>
        <w:rPr>
          <w:color w:val="231F20"/>
          <w:spacing w:val="-10"/>
          <w:w w:val="105"/>
        </w:rPr>
        <w:t> </w:t>
      </w:r>
      <w:r>
        <w:rPr>
          <w:color w:val="231F20"/>
          <w:w w:val="105"/>
        </w:rPr>
        <w:t>the</w:t>
      </w:r>
      <w:r>
        <w:rPr>
          <w:color w:val="231F20"/>
          <w:spacing w:val="-14"/>
          <w:w w:val="105"/>
        </w:rPr>
        <w:t> </w:t>
      </w:r>
      <w:r>
        <w:rPr>
          <w:color w:val="231F20"/>
          <w:spacing w:val="-4"/>
          <w:w w:val="105"/>
        </w:rPr>
        <w:t>transnatio- </w:t>
      </w:r>
      <w:r>
        <w:rPr>
          <w:color w:val="231F20"/>
          <w:w w:val="105"/>
        </w:rPr>
        <w:t>nal </w:t>
      </w:r>
      <w:r>
        <w:rPr>
          <w:color w:val="231F20"/>
          <w:spacing w:val="-3"/>
          <w:w w:val="105"/>
        </w:rPr>
        <w:t>community </w:t>
      </w:r>
      <w:r>
        <w:rPr>
          <w:color w:val="231F20"/>
          <w:w w:val="105"/>
        </w:rPr>
        <w:t>to </w:t>
      </w:r>
      <w:r>
        <w:rPr>
          <w:color w:val="231F20"/>
          <w:spacing w:val="-4"/>
          <w:w w:val="105"/>
        </w:rPr>
        <w:t>participate </w:t>
      </w:r>
      <w:r>
        <w:rPr>
          <w:color w:val="231F20"/>
          <w:w w:val="105"/>
        </w:rPr>
        <w:t>in </w:t>
      </w:r>
      <w:r>
        <w:rPr>
          <w:color w:val="231F20"/>
          <w:spacing w:val="-3"/>
          <w:w w:val="105"/>
        </w:rPr>
        <w:t>virtual plans </w:t>
      </w:r>
      <w:r>
        <w:rPr>
          <w:color w:val="231F20"/>
          <w:w w:val="105"/>
        </w:rPr>
        <w:t>and </w:t>
      </w:r>
      <w:r>
        <w:rPr>
          <w:color w:val="231F20"/>
          <w:spacing w:val="-3"/>
          <w:w w:val="105"/>
        </w:rPr>
        <w:t>gatherings </w:t>
      </w:r>
      <w:r>
        <w:rPr>
          <w:color w:val="231F20"/>
          <w:w w:val="105"/>
        </w:rPr>
        <w:t>in </w:t>
      </w:r>
      <w:r>
        <w:rPr>
          <w:color w:val="231F20"/>
          <w:spacing w:val="-3"/>
          <w:w w:val="105"/>
        </w:rPr>
        <w:t>spite </w:t>
      </w:r>
      <w:r>
        <w:rPr>
          <w:color w:val="231F20"/>
          <w:w w:val="105"/>
        </w:rPr>
        <w:t>of </w:t>
      </w:r>
      <w:r>
        <w:rPr>
          <w:color w:val="231F20"/>
          <w:spacing w:val="-3"/>
          <w:w w:val="105"/>
        </w:rPr>
        <w:t>not sharing</w:t>
      </w:r>
      <w:r>
        <w:rPr>
          <w:color w:val="231F20"/>
          <w:spacing w:val="-21"/>
          <w:w w:val="105"/>
        </w:rPr>
        <w:t> </w:t>
      </w:r>
      <w:r>
        <w:rPr>
          <w:color w:val="231F20"/>
          <w:w w:val="105"/>
        </w:rPr>
        <w:t>the</w:t>
      </w:r>
      <w:r>
        <w:rPr>
          <w:color w:val="231F20"/>
          <w:spacing w:val="-21"/>
          <w:w w:val="105"/>
        </w:rPr>
        <w:t> </w:t>
      </w:r>
      <w:r>
        <w:rPr>
          <w:color w:val="231F20"/>
          <w:spacing w:val="-3"/>
          <w:w w:val="105"/>
        </w:rPr>
        <w:t>same</w:t>
      </w:r>
      <w:r>
        <w:rPr>
          <w:color w:val="231F20"/>
          <w:spacing w:val="-21"/>
          <w:w w:val="105"/>
        </w:rPr>
        <w:t> </w:t>
      </w:r>
      <w:r>
        <w:rPr>
          <w:color w:val="231F20"/>
          <w:spacing w:val="-3"/>
          <w:w w:val="105"/>
        </w:rPr>
        <w:t>physical</w:t>
      </w:r>
      <w:r>
        <w:rPr>
          <w:color w:val="231F20"/>
          <w:spacing w:val="-21"/>
          <w:w w:val="105"/>
        </w:rPr>
        <w:t> </w:t>
      </w:r>
      <w:r>
        <w:rPr>
          <w:color w:val="231F20"/>
          <w:spacing w:val="-3"/>
          <w:w w:val="105"/>
        </w:rPr>
        <w:t>space,</w:t>
      </w:r>
      <w:r>
        <w:rPr>
          <w:color w:val="231F20"/>
          <w:spacing w:val="-26"/>
          <w:w w:val="105"/>
        </w:rPr>
        <w:t> </w:t>
      </w:r>
      <w:r>
        <w:rPr>
          <w:color w:val="231F20"/>
          <w:spacing w:val="-3"/>
          <w:w w:val="105"/>
        </w:rPr>
        <w:t>however</w:t>
      </w:r>
      <w:r>
        <w:rPr>
          <w:color w:val="231F20"/>
          <w:spacing w:val="-21"/>
          <w:w w:val="105"/>
        </w:rPr>
        <w:t> </w:t>
      </w:r>
      <w:r>
        <w:rPr>
          <w:color w:val="231F20"/>
          <w:spacing w:val="-3"/>
          <w:w w:val="105"/>
        </w:rPr>
        <w:t>appearing</w:t>
      </w:r>
      <w:r>
        <w:rPr>
          <w:color w:val="231F20"/>
          <w:spacing w:val="-21"/>
          <w:w w:val="105"/>
        </w:rPr>
        <w:t> </w:t>
      </w:r>
      <w:r>
        <w:rPr>
          <w:color w:val="231F20"/>
          <w:w w:val="105"/>
        </w:rPr>
        <w:t>as</w:t>
      </w:r>
      <w:r>
        <w:rPr>
          <w:color w:val="231F20"/>
          <w:spacing w:val="-21"/>
          <w:w w:val="105"/>
        </w:rPr>
        <w:t> </w:t>
      </w:r>
      <w:r>
        <w:rPr>
          <w:color w:val="231F20"/>
          <w:w w:val="105"/>
        </w:rPr>
        <w:t>if</w:t>
      </w:r>
      <w:r>
        <w:rPr>
          <w:color w:val="231F20"/>
          <w:spacing w:val="-17"/>
          <w:w w:val="105"/>
        </w:rPr>
        <w:t> </w:t>
      </w:r>
      <w:r>
        <w:rPr>
          <w:color w:val="231F20"/>
          <w:spacing w:val="-3"/>
          <w:w w:val="105"/>
        </w:rPr>
        <w:t>they</w:t>
      </w:r>
      <w:r>
        <w:rPr>
          <w:color w:val="231F20"/>
          <w:spacing w:val="-21"/>
          <w:w w:val="105"/>
        </w:rPr>
        <w:t> </w:t>
      </w:r>
      <w:r>
        <w:rPr>
          <w:color w:val="231F20"/>
          <w:spacing w:val="-3"/>
          <w:w w:val="105"/>
        </w:rPr>
        <w:t>did.</w:t>
      </w:r>
    </w:p>
    <w:p>
      <w:pPr>
        <w:pStyle w:val="BodyText"/>
        <w:rPr>
          <w:sz w:val="20"/>
        </w:rPr>
      </w:pPr>
    </w:p>
    <w:p>
      <w:pPr>
        <w:pStyle w:val="BodyText"/>
        <w:rPr>
          <w:sz w:val="20"/>
        </w:rPr>
      </w:pPr>
    </w:p>
    <w:p>
      <w:pPr>
        <w:pStyle w:val="BodyText"/>
        <w:spacing w:before="8"/>
        <w:rPr>
          <w:sz w:val="26"/>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47640" from="131.551193pt,3.703715pt" to="131.551193pt,39.506114pt" stroked="true" strokeweight=".35pt" strokecolor="#231f20">
            <w10:wrap type="none"/>
          </v:line>
        </w:pict>
      </w:r>
      <w:r>
        <w:rPr/>
        <w:pict>
          <v:line style="position:absolute;mso-position-horizontal-relative:page;mso-position-vertical-relative:paragraph;z-index:-447568" from="15pt,39.505917pt" to="0pt,39.505917pt" stroked="true" strokeweight=".25pt" strokecolor="#000000">
            <w10:wrap type="none"/>
          </v:line>
        </w:pict>
      </w:r>
      <w:r>
        <w:rPr/>
        <w:pict>
          <v:line style="position:absolute;mso-position-horizontal-relative:page;mso-position-vertical-relative:paragraph;z-index:42640" from="508.890015pt,39.505917pt" to="523.890015pt,39.505917pt" stroked="true" strokeweight=".25pt" strokecolor="#000000">
            <w10:wrap type="none"/>
          </v:line>
        </w:pict>
      </w:r>
      <w:r>
        <w:rPr>
          <w:rFonts w:ascii="Arial"/>
          <w:color w:val="414042"/>
          <w:position w:val="-5"/>
          <w:sz w:val="20"/>
        </w:rPr>
        <w:t>362</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2664" from="405.061005pt,-27.904295pt" to="405.061005pt,6.961579pt" stroked="true" strokeweight=".35pt" strokecolor="#231f20">
            <w10:wrap type="none"/>
          </v:line>
        </w:pict>
      </w:r>
      <w:r>
        <w:rPr/>
        <w:pict>
          <v:line style="position:absolute;mso-position-horizontal-relative:page;mso-position-vertical-relative:paragraph;z-index:42688" from="15pt,-27.90452pt" to="0pt,-27.90452pt" stroked="true" strokeweight=".25pt" strokecolor="#000000">
            <w10:wrap type="none"/>
          </v:line>
        </w:pict>
      </w:r>
      <w:r>
        <w:rPr/>
        <w:pict>
          <v:line style="position:absolute;mso-position-horizontal-relative:page;mso-position-vertical-relative:paragraph;z-index:4271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363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47448" from="15pt,715.487793pt" to="0pt,715.487793pt" stroked="true" strokeweight=".25pt" strokecolor="#000000">
            <w10:wrap type="none"/>
          </v:line>
        </w:pict>
      </w:r>
      <w:r>
        <w:rPr/>
        <w:pict>
          <v:line style="position:absolute;mso-position-horizontal-relative:page;mso-position-vertical-relative:page;z-index:42760" from="508.890015pt,715.487793pt" to="523.890015pt,715.487793pt" stroked="true" strokeweight=".25pt" strokecolor="#000000">
            <w10:wrap type="none"/>
          </v:line>
        </w:pict>
      </w:r>
    </w:p>
    <w:p>
      <w:pPr>
        <w:pStyle w:val="BodyText"/>
        <w:spacing w:before="6"/>
        <w:rPr>
          <w:rFonts w:ascii="Arial"/>
          <w:sz w:val="16"/>
        </w:rPr>
      </w:pPr>
    </w:p>
    <w:p>
      <w:pPr>
        <w:pStyle w:val="ListParagraph"/>
        <w:numPr>
          <w:ilvl w:val="0"/>
          <w:numId w:val="11"/>
        </w:numPr>
        <w:tabs>
          <w:tab w:pos="2085" w:val="left" w:leader="none"/>
        </w:tabs>
        <w:spacing w:line="240" w:lineRule="auto" w:before="57" w:after="0"/>
        <w:ind w:left="2084" w:right="0" w:hanging="247"/>
        <w:jc w:val="both"/>
        <w:rPr>
          <w:rFonts w:ascii="Arial"/>
          <w:i/>
          <w:sz w:val="21"/>
        </w:rPr>
      </w:pPr>
      <w:r>
        <w:rPr>
          <w:rFonts w:ascii="Arial"/>
          <w:i/>
          <w:color w:val="231F20"/>
          <w:w w:val="105"/>
          <w:sz w:val="21"/>
        </w:rPr>
        <w:t>Maintaining</w:t>
      </w:r>
      <w:r>
        <w:rPr>
          <w:rFonts w:ascii="Arial"/>
          <w:i/>
          <w:color w:val="231F20"/>
          <w:spacing w:val="-39"/>
          <w:w w:val="105"/>
          <w:sz w:val="21"/>
        </w:rPr>
        <w:t> </w:t>
      </w:r>
      <w:r>
        <w:rPr>
          <w:rFonts w:ascii="Arial"/>
          <w:i/>
          <w:color w:val="231F20"/>
          <w:w w:val="105"/>
          <w:sz w:val="21"/>
        </w:rPr>
        <w:t>Connections</w:t>
      </w:r>
    </w:p>
    <w:p>
      <w:pPr>
        <w:pStyle w:val="BodyText"/>
        <w:spacing w:before="5"/>
        <w:rPr>
          <w:rFonts w:ascii="Arial"/>
          <w:i/>
          <w:sz w:val="24"/>
        </w:rPr>
      </w:pPr>
    </w:p>
    <w:p>
      <w:pPr>
        <w:pStyle w:val="BodyText"/>
        <w:spacing w:line="261" w:lineRule="auto" w:before="1"/>
        <w:ind w:left="1837" w:right="1721"/>
        <w:jc w:val="both"/>
      </w:pPr>
      <w:r>
        <w:rPr>
          <w:color w:val="231F20"/>
          <w:w w:val="105"/>
        </w:rPr>
        <w:t>Another</w:t>
      </w:r>
      <w:r>
        <w:rPr>
          <w:color w:val="231F20"/>
          <w:spacing w:val="-19"/>
          <w:w w:val="105"/>
        </w:rPr>
        <w:t> </w:t>
      </w:r>
      <w:r>
        <w:rPr>
          <w:color w:val="231F20"/>
          <w:w w:val="105"/>
        </w:rPr>
        <w:t>use</w:t>
      </w:r>
      <w:r>
        <w:rPr>
          <w:color w:val="231F20"/>
          <w:spacing w:val="-19"/>
          <w:w w:val="105"/>
        </w:rPr>
        <w:t> </w:t>
      </w:r>
      <w:r>
        <w:rPr>
          <w:color w:val="231F20"/>
          <w:w w:val="105"/>
        </w:rPr>
        <w:t>of</w:t>
      </w:r>
      <w:r>
        <w:rPr>
          <w:color w:val="231F20"/>
          <w:spacing w:val="-15"/>
          <w:w w:val="105"/>
        </w:rPr>
        <w:t> </w:t>
      </w:r>
      <w:r>
        <w:rPr>
          <w:color w:val="231F20"/>
          <w:w w:val="105"/>
        </w:rPr>
        <w:t>Facebook</w:t>
      </w:r>
      <w:r>
        <w:rPr>
          <w:color w:val="231F20"/>
          <w:spacing w:val="-19"/>
          <w:w w:val="105"/>
        </w:rPr>
        <w:t> </w:t>
      </w:r>
      <w:r>
        <w:rPr>
          <w:color w:val="231F20"/>
          <w:w w:val="105"/>
        </w:rPr>
        <w:t>is</w:t>
      </w:r>
      <w:r>
        <w:rPr>
          <w:color w:val="231F20"/>
          <w:spacing w:val="-19"/>
          <w:w w:val="105"/>
        </w:rPr>
        <w:t> </w:t>
      </w:r>
      <w:r>
        <w:rPr>
          <w:color w:val="231F20"/>
          <w:w w:val="105"/>
        </w:rPr>
        <w:t>to</w:t>
      </w:r>
      <w:r>
        <w:rPr>
          <w:color w:val="231F20"/>
          <w:spacing w:val="-19"/>
          <w:w w:val="105"/>
        </w:rPr>
        <w:t> </w:t>
      </w:r>
      <w:r>
        <w:rPr>
          <w:color w:val="231F20"/>
          <w:w w:val="105"/>
        </w:rPr>
        <w:t>maintain</w:t>
      </w:r>
      <w:r>
        <w:rPr>
          <w:color w:val="231F20"/>
          <w:spacing w:val="-19"/>
          <w:w w:val="105"/>
        </w:rPr>
        <w:t> </w:t>
      </w:r>
      <w:r>
        <w:rPr>
          <w:color w:val="231F20"/>
          <w:w w:val="105"/>
        </w:rPr>
        <w:t>connections.</w:t>
      </w:r>
      <w:r>
        <w:rPr>
          <w:color w:val="231F20"/>
          <w:spacing w:val="-26"/>
          <w:w w:val="105"/>
        </w:rPr>
        <w:t> </w:t>
      </w:r>
      <w:r>
        <w:rPr>
          <w:color w:val="231F20"/>
          <w:w w:val="105"/>
        </w:rPr>
        <w:t>What</w:t>
      </w:r>
      <w:r>
        <w:rPr>
          <w:color w:val="231F20"/>
          <w:spacing w:val="-19"/>
          <w:w w:val="105"/>
        </w:rPr>
        <w:t> </w:t>
      </w:r>
      <w:r>
        <w:rPr>
          <w:color w:val="231F20"/>
          <w:w w:val="105"/>
        </w:rPr>
        <w:t>makes</w:t>
      </w:r>
      <w:r>
        <w:rPr>
          <w:color w:val="231F20"/>
          <w:spacing w:val="-19"/>
          <w:w w:val="105"/>
        </w:rPr>
        <w:t> </w:t>
      </w:r>
      <w:r>
        <w:rPr>
          <w:color w:val="231F20"/>
          <w:w w:val="105"/>
        </w:rPr>
        <w:t>the</w:t>
      </w:r>
      <w:r>
        <w:rPr>
          <w:color w:val="231F20"/>
          <w:spacing w:val="-19"/>
          <w:w w:val="105"/>
        </w:rPr>
        <w:t> </w:t>
      </w:r>
      <w:r>
        <w:rPr>
          <w:color w:val="231F20"/>
          <w:w w:val="105"/>
        </w:rPr>
        <w:t>ex- changes</w:t>
      </w:r>
      <w:r>
        <w:rPr>
          <w:color w:val="231F20"/>
          <w:spacing w:val="-19"/>
          <w:w w:val="105"/>
        </w:rPr>
        <w:t> </w:t>
      </w:r>
      <w:r>
        <w:rPr>
          <w:color w:val="231F20"/>
          <w:w w:val="105"/>
        </w:rPr>
        <w:t>on</w:t>
      </w:r>
      <w:r>
        <w:rPr>
          <w:color w:val="231F20"/>
          <w:spacing w:val="-19"/>
          <w:w w:val="105"/>
        </w:rPr>
        <w:t> </w:t>
      </w:r>
      <w:r>
        <w:rPr>
          <w:color w:val="231F20"/>
          <w:w w:val="105"/>
        </w:rPr>
        <w:t>Facebook</w:t>
      </w:r>
      <w:r>
        <w:rPr>
          <w:color w:val="231F20"/>
          <w:spacing w:val="-19"/>
          <w:w w:val="105"/>
        </w:rPr>
        <w:t> </w:t>
      </w:r>
      <w:r>
        <w:rPr>
          <w:color w:val="231F20"/>
          <w:w w:val="105"/>
        </w:rPr>
        <w:t>transnational</w:t>
      </w:r>
      <w:r>
        <w:rPr>
          <w:color w:val="231F20"/>
          <w:spacing w:val="-19"/>
          <w:w w:val="105"/>
        </w:rPr>
        <w:t> </w:t>
      </w:r>
      <w:r>
        <w:rPr>
          <w:color w:val="231F20"/>
          <w:w w:val="105"/>
        </w:rPr>
        <w:t>in</w:t>
      </w:r>
      <w:r>
        <w:rPr>
          <w:color w:val="231F20"/>
          <w:spacing w:val="-19"/>
          <w:w w:val="105"/>
        </w:rPr>
        <w:t> </w:t>
      </w:r>
      <w:r>
        <w:rPr>
          <w:color w:val="231F20"/>
          <w:w w:val="105"/>
        </w:rPr>
        <w:t>nature</w:t>
      </w:r>
      <w:r>
        <w:rPr>
          <w:color w:val="231F20"/>
          <w:spacing w:val="-19"/>
          <w:w w:val="105"/>
        </w:rPr>
        <w:t> </w:t>
      </w:r>
      <w:r>
        <w:rPr>
          <w:color w:val="231F20"/>
          <w:w w:val="105"/>
        </w:rPr>
        <w:t>is</w:t>
      </w:r>
      <w:r>
        <w:rPr>
          <w:color w:val="231F20"/>
          <w:spacing w:val="-19"/>
          <w:w w:val="105"/>
        </w:rPr>
        <w:t> </w:t>
      </w:r>
      <w:r>
        <w:rPr>
          <w:color w:val="231F20"/>
          <w:w w:val="105"/>
        </w:rPr>
        <w:t>that</w:t>
      </w:r>
      <w:r>
        <w:rPr>
          <w:color w:val="231F20"/>
          <w:spacing w:val="-19"/>
          <w:w w:val="105"/>
        </w:rPr>
        <w:t> </w:t>
      </w:r>
      <w:r>
        <w:rPr>
          <w:color w:val="231F20"/>
          <w:w w:val="105"/>
        </w:rPr>
        <w:t>many</w:t>
      </w:r>
      <w:r>
        <w:rPr>
          <w:color w:val="231F20"/>
          <w:spacing w:val="-19"/>
          <w:w w:val="105"/>
        </w:rPr>
        <w:t> </w:t>
      </w:r>
      <w:r>
        <w:rPr>
          <w:color w:val="231F20"/>
          <w:w w:val="105"/>
        </w:rPr>
        <w:t>are</w:t>
      </w:r>
      <w:r>
        <w:rPr>
          <w:color w:val="231F20"/>
          <w:spacing w:val="-19"/>
          <w:w w:val="105"/>
        </w:rPr>
        <w:t> </w:t>
      </w:r>
      <w:r>
        <w:rPr>
          <w:color w:val="231F20"/>
          <w:w w:val="105"/>
        </w:rPr>
        <w:t>devoted</w:t>
      </w:r>
      <w:r>
        <w:rPr>
          <w:color w:val="231F20"/>
          <w:spacing w:val="-19"/>
          <w:w w:val="105"/>
        </w:rPr>
        <w:t> </w:t>
      </w:r>
      <w:r>
        <w:rPr>
          <w:color w:val="231F20"/>
          <w:w w:val="105"/>
        </w:rPr>
        <w:t>to “longing for” people from “</w:t>
      </w:r>
      <w:r>
        <w:rPr>
          <w:rFonts w:ascii="Arial" w:hAnsi="Arial"/>
          <w:i/>
          <w:color w:val="231F20"/>
          <w:w w:val="105"/>
        </w:rPr>
        <w:t>allá</w:t>
      </w:r>
      <w:r>
        <w:rPr>
          <w:color w:val="231F20"/>
          <w:w w:val="105"/>
        </w:rPr>
        <w:t>” (over there) so much. </w:t>
      </w:r>
      <w:r>
        <w:rPr>
          <w:color w:val="231F20"/>
          <w:spacing w:val="-4"/>
          <w:w w:val="105"/>
        </w:rPr>
        <w:t>Posts </w:t>
      </w:r>
      <w:r>
        <w:rPr>
          <w:color w:val="231F20"/>
          <w:w w:val="105"/>
        </w:rPr>
        <w:t>from mem- bers</w:t>
      </w:r>
      <w:r>
        <w:rPr>
          <w:color w:val="231F20"/>
          <w:spacing w:val="-17"/>
          <w:w w:val="105"/>
        </w:rPr>
        <w:t> </w:t>
      </w:r>
      <w:r>
        <w:rPr>
          <w:color w:val="231F20"/>
          <w:w w:val="105"/>
        </w:rPr>
        <w:t>living</w:t>
      </w:r>
      <w:r>
        <w:rPr>
          <w:color w:val="231F20"/>
          <w:spacing w:val="-17"/>
          <w:w w:val="105"/>
        </w:rPr>
        <w:t> </w:t>
      </w:r>
      <w:r>
        <w:rPr>
          <w:color w:val="231F20"/>
          <w:w w:val="105"/>
        </w:rPr>
        <w:t>in</w:t>
      </w:r>
      <w:r>
        <w:rPr>
          <w:color w:val="231F20"/>
          <w:spacing w:val="-17"/>
          <w:w w:val="105"/>
        </w:rPr>
        <w:t> </w:t>
      </w:r>
      <w:r>
        <w:rPr>
          <w:color w:val="231F20"/>
          <w:w w:val="105"/>
        </w:rPr>
        <w:t>the</w:t>
      </w:r>
      <w:r>
        <w:rPr>
          <w:color w:val="231F20"/>
          <w:spacing w:val="-17"/>
          <w:w w:val="105"/>
        </w:rPr>
        <w:t> </w:t>
      </w:r>
      <w:r>
        <w:rPr>
          <w:color w:val="231F20"/>
          <w:w w:val="105"/>
        </w:rPr>
        <w:t>U.S.</w:t>
      </w:r>
      <w:r>
        <w:rPr>
          <w:color w:val="231F20"/>
          <w:spacing w:val="-22"/>
          <w:w w:val="105"/>
        </w:rPr>
        <w:t> </w:t>
      </w:r>
      <w:r>
        <w:rPr>
          <w:color w:val="231F20"/>
          <w:w w:val="105"/>
        </w:rPr>
        <w:t>often</w:t>
      </w:r>
      <w:r>
        <w:rPr>
          <w:color w:val="231F20"/>
          <w:spacing w:val="-17"/>
          <w:w w:val="105"/>
        </w:rPr>
        <w:t> </w:t>
      </w:r>
      <w:r>
        <w:rPr>
          <w:color w:val="231F20"/>
          <w:w w:val="105"/>
        </w:rPr>
        <w:t>write</w:t>
      </w:r>
      <w:r>
        <w:rPr>
          <w:color w:val="231F20"/>
          <w:spacing w:val="-17"/>
          <w:w w:val="105"/>
        </w:rPr>
        <w:t> </w:t>
      </w:r>
      <w:r>
        <w:rPr>
          <w:color w:val="231F20"/>
          <w:w w:val="105"/>
        </w:rPr>
        <w:t>members</w:t>
      </w:r>
      <w:r>
        <w:rPr>
          <w:color w:val="231F20"/>
          <w:spacing w:val="-17"/>
          <w:w w:val="105"/>
        </w:rPr>
        <w:t> </w:t>
      </w:r>
      <w:r>
        <w:rPr>
          <w:color w:val="231F20"/>
          <w:w w:val="105"/>
        </w:rPr>
        <w:t>who</w:t>
      </w:r>
      <w:r>
        <w:rPr>
          <w:color w:val="231F20"/>
          <w:spacing w:val="-17"/>
          <w:w w:val="105"/>
        </w:rPr>
        <w:t> </w:t>
      </w:r>
      <w:r>
        <w:rPr>
          <w:color w:val="231F20"/>
          <w:w w:val="105"/>
        </w:rPr>
        <w:t>visit</w:t>
      </w:r>
      <w:r>
        <w:rPr>
          <w:color w:val="231F20"/>
          <w:spacing w:val="-17"/>
          <w:w w:val="105"/>
        </w:rPr>
        <w:t> </w:t>
      </w:r>
      <w:r>
        <w:rPr>
          <w:color w:val="231F20"/>
          <w:w w:val="105"/>
        </w:rPr>
        <w:t>or</w:t>
      </w:r>
      <w:r>
        <w:rPr>
          <w:color w:val="231F20"/>
          <w:spacing w:val="-17"/>
          <w:w w:val="105"/>
        </w:rPr>
        <w:t> </w:t>
      </w:r>
      <w:r>
        <w:rPr>
          <w:color w:val="231F20"/>
          <w:w w:val="105"/>
        </w:rPr>
        <w:t>return</w:t>
      </w:r>
      <w:r>
        <w:rPr>
          <w:color w:val="231F20"/>
          <w:spacing w:val="-17"/>
          <w:w w:val="105"/>
        </w:rPr>
        <w:t> </w:t>
      </w:r>
      <w:r>
        <w:rPr>
          <w:color w:val="231F20"/>
          <w:w w:val="105"/>
        </w:rPr>
        <w:t>permanent- ly to Mexico “</w:t>
      </w:r>
      <w:r>
        <w:rPr>
          <w:rFonts w:ascii="Arial" w:hAnsi="Arial"/>
          <w:i/>
          <w:color w:val="231F20"/>
          <w:w w:val="105"/>
        </w:rPr>
        <w:t>regresa </w:t>
      </w:r>
      <w:r>
        <w:rPr>
          <w:color w:val="231F20"/>
          <w:w w:val="105"/>
        </w:rPr>
        <w:t>/</w:t>
      </w:r>
      <w:r>
        <w:rPr>
          <w:rFonts w:ascii="Arial" w:hAnsi="Arial"/>
          <w:i/>
          <w:color w:val="231F20"/>
          <w:w w:val="105"/>
        </w:rPr>
        <w:t>regrésate</w:t>
      </w:r>
      <w:r>
        <w:rPr>
          <w:color w:val="231F20"/>
          <w:w w:val="105"/>
        </w:rPr>
        <w:t>” (come back) messages. The posts for members in Mexico who have lived in or visited the U.S. frequently but return</w:t>
      </w:r>
      <w:r>
        <w:rPr>
          <w:color w:val="231F20"/>
          <w:spacing w:val="-5"/>
          <w:w w:val="105"/>
        </w:rPr>
        <w:t> </w:t>
      </w:r>
      <w:r>
        <w:rPr>
          <w:color w:val="231F20"/>
          <w:w w:val="105"/>
        </w:rPr>
        <w:t>to</w:t>
      </w:r>
      <w:r>
        <w:rPr>
          <w:color w:val="231F20"/>
          <w:spacing w:val="-5"/>
          <w:w w:val="105"/>
        </w:rPr>
        <w:t> </w:t>
      </w:r>
      <w:r>
        <w:rPr>
          <w:color w:val="231F20"/>
          <w:w w:val="105"/>
        </w:rPr>
        <w:t>Mexico</w:t>
      </w:r>
      <w:r>
        <w:rPr>
          <w:color w:val="231F20"/>
          <w:spacing w:val="-5"/>
          <w:w w:val="105"/>
        </w:rPr>
        <w:t> </w:t>
      </w:r>
      <w:r>
        <w:rPr>
          <w:color w:val="231F20"/>
          <w:w w:val="105"/>
        </w:rPr>
        <w:t>include</w:t>
      </w:r>
      <w:r>
        <w:rPr>
          <w:color w:val="231F20"/>
          <w:spacing w:val="-5"/>
          <w:w w:val="105"/>
        </w:rPr>
        <w:t> </w:t>
      </w:r>
      <w:r>
        <w:rPr>
          <w:color w:val="231F20"/>
          <w:w w:val="105"/>
        </w:rPr>
        <w:t>“</w:t>
      </w:r>
      <w:r>
        <w:rPr>
          <w:rFonts w:ascii="Arial" w:hAnsi="Arial"/>
          <w:i/>
          <w:color w:val="231F20"/>
          <w:w w:val="105"/>
        </w:rPr>
        <w:t>no</w:t>
      </w:r>
      <w:r>
        <w:rPr>
          <w:rFonts w:ascii="Arial" w:hAnsi="Arial"/>
          <w:i/>
          <w:color w:val="231F20"/>
          <w:spacing w:val="-8"/>
          <w:w w:val="105"/>
        </w:rPr>
        <w:t> </w:t>
      </w:r>
      <w:r>
        <w:rPr>
          <w:rFonts w:ascii="Arial" w:hAnsi="Arial"/>
          <w:i/>
          <w:color w:val="231F20"/>
          <w:w w:val="105"/>
        </w:rPr>
        <w:t>te</w:t>
      </w:r>
      <w:r>
        <w:rPr>
          <w:rFonts w:ascii="Arial" w:hAnsi="Arial"/>
          <w:i/>
          <w:color w:val="231F20"/>
          <w:spacing w:val="-8"/>
          <w:w w:val="105"/>
        </w:rPr>
        <w:t> </w:t>
      </w:r>
      <w:r>
        <w:rPr>
          <w:rFonts w:ascii="Arial" w:hAnsi="Arial"/>
          <w:i/>
          <w:color w:val="231F20"/>
          <w:w w:val="105"/>
        </w:rPr>
        <w:t>vayas</w:t>
      </w:r>
      <w:r>
        <w:rPr>
          <w:color w:val="231F20"/>
          <w:w w:val="105"/>
        </w:rPr>
        <w:t>”</w:t>
      </w:r>
      <w:r>
        <w:rPr>
          <w:color w:val="231F20"/>
          <w:spacing w:val="-5"/>
          <w:w w:val="105"/>
        </w:rPr>
        <w:t> </w:t>
      </w:r>
      <w:r>
        <w:rPr>
          <w:color w:val="231F20"/>
          <w:w w:val="105"/>
        </w:rPr>
        <w:t>[don’t</w:t>
      </w:r>
      <w:r>
        <w:rPr>
          <w:color w:val="231F20"/>
          <w:spacing w:val="-5"/>
          <w:w w:val="105"/>
        </w:rPr>
        <w:t> </w:t>
      </w:r>
      <w:r>
        <w:rPr>
          <w:color w:val="231F20"/>
          <w:w w:val="105"/>
        </w:rPr>
        <w:t>leave/go]</w:t>
      </w:r>
      <w:r>
        <w:rPr>
          <w:color w:val="231F20"/>
          <w:spacing w:val="-5"/>
          <w:w w:val="105"/>
        </w:rPr>
        <w:t> </w:t>
      </w:r>
      <w:r>
        <w:rPr>
          <w:color w:val="231F20"/>
          <w:w w:val="105"/>
        </w:rPr>
        <w:t>messages.</w:t>
      </w:r>
      <w:r>
        <w:rPr>
          <w:color w:val="231F20"/>
          <w:spacing w:val="-11"/>
          <w:w w:val="105"/>
        </w:rPr>
        <w:t> </w:t>
      </w:r>
      <w:r>
        <w:rPr>
          <w:color w:val="231F20"/>
          <w:w w:val="105"/>
        </w:rPr>
        <w:t>Mem- bers who live permanently in the U.S. tell their family members </w:t>
      </w:r>
      <w:r>
        <w:rPr>
          <w:color w:val="231F20"/>
          <w:spacing w:val="-3"/>
          <w:w w:val="105"/>
        </w:rPr>
        <w:t>“do </w:t>
      </w:r>
      <w:r>
        <w:rPr>
          <w:color w:val="231F20"/>
          <w:w w:val="105"/>
        </w:rPr>
        <w:t>not leave/go”</w:t>
      </w:r>
      <w:r>
        <w:rPr>
          <w:color w:val="231F20"/>
          <w:spacing w:val="-5"/>
          <w:w w:val="105"/>
        </w:rPr>
        <w:t> </w:t>
      </w:r>
      <w:r>
        <w:rPr>
          <w:color w:val="231F20"/>
          <w:w w:val="105"/>
        </w:rPr>
        <w:t>to</w:t>
      </w:r>
      <w:r>
        <w:rPr>
          <w:color w:val="231F20"/>
          <w:spacing w:val="-5"/>
          <w:w w:val="105"/>
        </w:rPr>
        <w:t> </w:t>
      </w:r>
      <w:r>
        <w:rPr>
          <w:color w:val="231F20"/>
          <w:w w:val="105"/>
        </w:rPr>
        <w:t>Mexico.</w:t>
      </w:r>
      <w:r>
        <w:rPr>
          <w:color w:val="231F20"/>
          <w:spacing w:val="-10"/>
          <w:w w:val="105"/>
        </w:rPr>
        <w:t> </w:t>
      </w:r>
      <w:r>
        <w:rPr>
          <w:color w:val="231F20"/>
          <w:w w:val="105"/>
        </w:rPr>
        <w:t>Such</w:t>
      </w:r>
      <w:r>
        <w:rPr>
          <w:color w:val="231F20"/>
          <w:spacing w:val="-5"/>
          <w:w w:val="105"/>
        </w:rPr>
        <w:t> </w:t>
      </w:r>
      <w:r>
        <w:rPr>
          <w:color w:val="231F20"/>
          <w:w w:val="105"/>
        </w:rPr>
        <w:t>messages</w:t>
      </w:r>
      <w:r>
        <w:rPr>
          <w:color w:val="231F20"/>
          <w:spacing w:val="-5"/>
          <w:w w:val="105"/>
        </w:rPr>
        <w:t> </w:t>
      </w:r>
      <w:r>
        <w:rPr>
          <w:color w:val="231F20"/>
          <w:w w:val="105"/>
        </w:rPr>
        <w:t>are</w:t>
      </w:r>
      <w:r>
        <w:rPr>
          <w:color w:val="231F20"/>
          <w:spacing w:val="-5"/>
          <w:w w:val="105"/>
        </w:rPr>
        <w:t> </w:t>
      </w:r>
      <w:r>
        <w:rPr>
          <w:color w:val="231F20"/>
          <w:w w:val="105"/>
        </w:rPr>
        <w:t>not</w:t>
      </w:r>
      <w:r>
        <w:rPr>
          <w:color w:val="231F20"/>
          <w:spacing w:val="-5"/>
          <w:w w:val="105"/>
        </w:rPr>
        <w:t> </w:t>
      </w:r>
      <w:r>
        <w:rPr>
          <w:color w:val="231F20"/>
          <w:w w:val="105"/>
        </w:rPr>
        <w:t>written</w:t>
      </w:r>
      <w:r>
        <w:rPr>
          <w:color w:val="231F20"/>
          <w:spacing w:val="-5"/>
          <w:w w:val="105"/>
        </w:rPr>
        <w:t> </w:t>
      </w:r>
      <w:r>
        <w:rPr>
          <w:color w:val="231F20"/>
          <w:w w:val="105"/>
        </w:rPr>
        <w:t>unless</w:t>
      </w:r>
      <w:r>
        <w:rPr>
          <w:color w:val="231F20"/>
          <w:spacing w:val="-5"/>
          <w:w w:val="105"/>
        </w:rPr>
        <w:t> </w:t>
      </w:r>
      <w:r>
        <w:rPr>
          <w:color w:val="231F20"/>
          <w:w w:val="105"/>
        </w:rPr>
        <w:t>the</w:t>
      </w:r>
      <w:r>
        <w:rPr>
          <w:color w:val="231F20"/>
          <w:spacing w:val="-5"/>
          <w:w w:val="105"/>
        </w:rPr>
        <w:t> </w:t>
      </w:r>
      <w:r>
        <w:rPr>
          <w:color w:val="231F20"/>
          <w:w w:val="105"/>
        </w:rPr>
        <w:t>family</w:t>
      </w:r>
      <w:r>
        <w:rPr>
          <w:color w:val="231F20"/>
          <w:spacing w:val="-5"/>
          <w:w w:val="105"/>
        </w:rPr>
        <w:t> </w:t>
      </w:r>
      <w:r>
        <w:rPr>
          <w:color w:val="231F20"/>
          <w:w w:val="105"/>
        </w:rPr>
        <w:t>is thinking about permanently moving to</w:t>
      </w:r>
      <w:r>
        <w:rPr>
          <w:color w:val="231F20"/>
          <w:spacing w:val="-5"/>
          <w:w w:val="105"/>
        </w:rPr>
        <w:t> </w:t>
      </w:r>
      <w:r>
        <w:rPr>
          <w:color w:val="231F20"/>
          <w:w w:val="105"/>
        </w:rPr>
        <w:t>Mexico.</w:t>
      </w:r>
    </w:p>
    <w:p>
      <w:pPr>
        <w:pStyle w:val="BodyText"/>
        <w:spacing w:line="261" w:lineRule="auto" w:before="1"/>
        <w:ind w:left="1837" w:right="1721" w:firstLine="567"/>
        <w:jc w:val="both"/>
      </w:pPr>
      <w:r>
        <w:rPr>
          <w:color w:val="231F20"/>
          <w:w w:val="105"/>
        </w:rPr>
        <w:t>In this network it has been very common for children to grow up living apart from their parents and siblings at least for a period in their lives.</w:t>
      </w:r>
      <w:r>
        <w:rPr>
          <w:color w:val="231F20"/>
          <w:spacing w:val="-15"/>
          <w:w w:val="105"/>
        </w:rPr>
        <w:t> </w:t>
      </w:r>
      <w:r>
        <w:rPr>
          <w:color w:val="231F20"/>
          <w:w w:val="105"/>
        </w:rPr>
        <w:t>Sometimes</w:t>
      </w:r>
      <w:r>
        <w:rPr>
          <w:color w:val="231F20"/>
          <w:spacing w:val="-10"/>
          <w:w w:val="105"/>
        </w:rPr>
        <w:t> </w:t>
      </w:r>
      <w:r>
        <w:rPr>
          <w:color w:val="231F20"/>
          <w:w w:val="105"/>
        </w:rPr>
        <w:t>this</w:t>
      </w:r>
      <w:r>
        <w:rPr>
          <w:color w:val="231F20"/>
          <w:spacing w:val="-10"/>
          <w:w w:val="105"/>
        </w:rPr>
        <w:t> </w:t>
      </w:r>
      <w:r>
        <w:rPr>
          <w:color w:val="231F20"/>
          <w:w w:val="105"/>
        </w:rPr>
        <w:t>is</w:t>
      </w:r>
      <w:r>
        <w:rPr>
          <w:color w:val="231F20"/>
          <w:spacing w:val="-10"/>
          <w:w w:val="105"/>
        </w:rPr>
        <w:t> </w:t>
      </w:r>
      <w:r>
        <w:rPr>
          <w:color w:val="231F20"/>
          <w:w w:val="105"/>
        </w:rPr>
        <w:t>because</w:t>
      </w:r>
      <w:r>
        <w:rPr>
          <w:color w:val="231F20"/>
          <w:spacing w:val="-10"/>
          <w:w w:val="105"/>
        </w:rPr>
        <w:t> </w:t>
      </w:r>
      <w:r>
        <w:rPr>
          <w:color w:val="231F20"/>
          <w:w w:val="105"/>
        </w:rPr>
        <w:t>parents</w:t>
      </w:r>
      <w:r>
        <w:rPr>
          <w:color w:val="231F20"/>
          <w:spacing w:val="-10"/>
          <w:w w:val="105"/>
        </w:rPr>
        <w:t> </w:t>
      </w:r>
      <w:r>
        <w:rPr>
          <w:color w:val="231F20"/>
          <w:w w:val="105"/>
        </w:rPr>
        <w:t>go</w:t>
      </w:r>
      <w:r>
        <w:rPr>
          <w:color w:val="231F20"/>
          <w:spacing w:val="-10"/>
          <w:w w:val="105"/>
        </w:rPr>
        <w:t> </w:t>
      </w:r>
      <w:r>
        <w:rPr>
          <w:color w:val="231F20"/>
          <w:w w:val="105"/>
        </w:rPr>
        <w:t>to</w:t>
      </w:r>
      <w:r>
        <w:rPr>
          <w:color w:val="231F20"/>
          <w:spacing w:val="-10"/>
          <w:w w:val="105"/>
        </w:rPr>
        <w:t> </w:t>
      </w:r>
      <w:r>
        <w:rPr>
          <w:color w:val="231F20"/>
          <w:w w:val="105"/>
        </w:rPr>
        <w:t>Mexico</w:t>
      </w:r>
      <w:r>
        <w:rPr>
          <w:color w:val="231F20"/>
          <w:spacing w:val="-10"/>
          <w:w w:val="105"/>
        </w:rPr>
        <w:t> </w:t>
      </w:r>
      <w:r>
        <w:rPr>
          <w:color w:val="231F20"/>
          <w:w w:val="105"/>
        </w:rPr>
        <w:t>to</w:t>
      </w:r>
      <w:r>
        <w:rPr>
          <w:color w:val="231F20"/>
          <w:spacing w:val="-10"/>
          <w:w w:val="105"/>
        </w:rPr>
        <w:t> </w:t>
      </w:r>
      <w:r>
        <w:rPr>
          <w:color w:val="231F20"/>
          <w:w w:val="105"/>
        </w:rPr>
        <w:t>take</w:t>
      </w:r>
      <w:r>
        <w:rPr>
          <w:color w:val="231F20"/>
          <w:spacing w:val="-10"/>
          <w:w w:val="105"/>
        </w:rPr>
        <w:t> </w:t>
      </w:r>
      <w:r>
        <w:rPr>
          <w:color w:val="231F20"/>
          <w:w w:val="105"/>
        </w:rPr>
        <w:t>care</w:t>
      </w:r>
      <w:r>
        <w:rPr>
          <w:color w:val="231F20"/>
          <w:spacing w:val="-10"/>
          <w:w w:val="105"/>
        </w:rPr>
        <w:t> </w:t>
      </w:r>
      <w:r>
        <w:rPr>
          <w:color w:val="231F20"/>
          <w:w w:val="105"/>
        </w:rPr>
        <w:t>of</w:t>
      </w:r>
      <w:r>
        <w:rPr>
          <w:color w:val="231F20"/>
          <w:spacing w:val="-6"/>
          <w:w w:val="105"/>
        </w:rPr>
        <w:t> </w:t>
      </w:r>
      <w:r>
        <w:rPr>
          <w:color w:val="231F20"/>
          <w:w w:val="105"/>
        </w:rPr>
        <w:t>el- ders or business. Other times children are sent to live with relatives in Mexico</w:t>
      </w:r>
      <w:r>
        <w:rPr>
          <w:color w:val="231F20"/>
          <w:spacing w:val="-22"/>
          <w:w w:val="105"/>
        </w:rPr>
        <w:t> </w:t>
      </w:r>
      <w:r>
        <w:rPr>
          <w:color w:val="231F20"/>
          <w:w w:val="105"/>
        </w:rPr>
        <w:t>to</w:t>
      </w:r>
      <w:r>
        <w:rPr>
          <w:color w:val="231F20"/>
          <w:spacing w:val="-22"/>
          <w:w w:val="105"/>
        </w:rPr>
        <w:t> </w:t>
      </w:r>
      <w:r>
        <w:rPr>
          <w:color w:val="231F20"/>
          <w:w w:val="105"/>
        </w:rPr>
        <w:t>avoid</w:t>
      </w:r>
      <w:r>
        <w:rPr>
          <w:color w:val="231F20"/>
          <w:spacing w:val="-22"/>
          <w:w w:val="105"/>
        </w:rPr>
        <w:t> </w:t>
      </w:r>
      <w:r>
        <w:rPr>
          <w:color w:val="231F20"/>
          <w:w w:val="105"/>
        </w:rPr>
        <w:t>gang</w:t>
      </w:r>
      <w:r>
        <w:rPr>
          <w:color w:val="231F20"/>
          <w:spacing w:val="-22"/>
          <w:w w:val="105"/>
        </w:rPr>
        <w:t> </w:t>
      </w:r>
      <w:r>
        <w:rPr>
          <w:color w:val="231F20"/>
          <w:w w:val="105"/>
        </w:rPr>
        <w:t>problems</w:t>
      </w:r>
      <w:r>
        <w:rPr>
          <w:color w:val="231F20"/>
          <w:spacing w:val="-22"/>
          <w:w w:val="105"/>
        </w:rPr>
        <w:t> </w:t>
      </w:r>
      <w:r>
        <w:rPr>
          <w:color w:val="231F20"/>
          <w:w w:val="105"/>
        </w:rPr>
        <w:t>in</w:t>
      </w:r>
      <w:r>
        <w:rPr>
          <w:color w:val="231F20"/>
          <w:spacing w:val="-22"/>
          <w:w w:val="105"/>
        </w:rPr>
        <w:t> </w:t>
      </w:r>
      <w:r>
        <w:rPr>
          <w:color w:val="231F20"/>
          <w:w w:val="105"/>
        </w:rPr>
        <w:t>Chicago.</w:t>
      </w:r>
      <w:r>
        <w:rPr>
          <w:color w:val="231F20"/>
          <w:spacing w:val="-27"/>
          <w:w w:val="105"/>
        </w:rPr>
        <w:t> </w:t>
      </w:r>
      <w:r>
        <w:rPr>
          <w:color w:val="231F20"/>
          <w:w w:val="105"/>
        </w:rPr>
        <w:t>Still</w:t>
      </w:r>
      <w:r>
        <w:rPr>
          <w:color w:val="231F20"/>
          <w:spacing w:val="-22"/>
          <w:w w:val="105"/>
        </w:rPr>
        <w:t> </w:t>
      </w:r>
      <w:r>
        <w:rPr>
          <w:color w:val="231F20"/>
          <w:w w:val="105"/>
        </w:rPr>
        <w:t>on</w:t>
      </w:r>
      <w:r>
        <w:rPr>
          <w:color w:val="231F20"/>
          <w:spacing w:val="-22"/>
          <w:w w:val="105"/>
        </w:rPr>
        <w:t> </w:t>
      </w:r>
      <w:r>
        <w:rPr>
          <w:color w:val="231F20"/>
          <w:w w:val="105"/>
        </w:rPr>
        <w:t>occasion,</w:t>
      </w:r>
      <w:r>
        <w:rPr>
          <w:color w:val="231F20"/>
          <w:spacing w:val="-27"/>
          <w:w w:val="105"/>
        </w:rPr>
        <w:t> </w:t>
      </w:r>
      <w:r>
        <w:rPr>
          <w:color w:val="231F20"/>
          <w:w w:val="105"/>
        </w:rPr>
        <w:t>some</w:t>
      </w:r>
      <w:r>
        <w:rPr>
          <w:color w:val="231F20"/>
          <w:spacing w:val="-22"/>
          <w:w w:val="105"/>
        </w:rPr>
        <w:t> </w:t>
      </w:r>
      <w:r>
        <w:rPr>
          <w:color w:val="231F20"/>
          <w:w w:val="105"/>
        </w:rPr>
        <w:t>family members</w:t>
      </w:r>
      <w:r>
        <w:rPr>
          <w:color w:val="231F20"/>
          <w:spacing w:val="-9"/>
          <w:w w:val="105"/>
        </w:rPr>
        <w:t> </w:t>
      </w:r>
      <w:r>
        <w:rPr>
          <w:color w:val="231F20"/>
          <w:w w:val="105"/>
        </w:rPr>
        <w:t>go</w:t>
      </w:r>
      <w:r>
        <w:rPr>
          <w:color w:val="231F20"/>
          <w:spacing w:val="-9"/>
          <w:w w:val="105"/>
        </w:rPr>
        <w:t> </w:t>
      </w:r>
      <w:r>
        <w:rPr>
          <w:color w:val="231F20"/>
          <w:w w:val="105"/>
        </w:rPr>
        <w:t>to</w:t>
      </w:r>
      <w:r>
        <w:rPr>
          <w:color w:val="231F20"/>
          <w:spacing w:val="-9"/>
          <w:w w:val="105"/>
        </w:rPr>
        <w:t> </w:t>
      </w:r>
      <w:r>
        <w:rPr>
          <w:color w:val="231F20"/>
          <w:w w:val="105"/>
        </w:rPr>
        <w:t>Mexico</w:t>
      </w:r>
      <w:r>
        <w:rPr>
          <w:color w:val="231F20"/>
          <w:spacing w:val="-9"/>
          <w:w w:val="105"/>
        </w:rPr>
        <w:t> </w:t>
      </w:r>
      <w:r>
        <w:rPr>
          <w:color w:val="231F20"/>
          <w:w w:val="105"/>
        </w:rPr>
        <w:t>simply</w:t>
      </w:r>
      <w:r>
        <w:rPr>
          <w:color w:val="231F20"/>
          <w:spacing w:val="-9"/>
          <w:w w:val="105"/>
        </w:rPr>
        <w:t> </w:t>
      </w:r>
      <w:r>
        <w:rPr>
          <w:color w:val="231F20"/>
          <w:w w:val="105"/>
        </w:rPr>
        <w:t>because</w:t>
      </w:r>
      <w:r>
        <w:rPr>
          <w:color w:val="231F20"/>
          <w:spacing w:val="-9"/>
          <w:w w:val="105"/>
        </w:rPr>
        <w:t> </w:t>
      </w:r>
      <w:r>
        <w:rPr>
          <w:color w:val="231F20"/>
          <w:w w:val="105"/>
        </w:rPr>
        <w:t>they</w:t>
      </w:r>
      <w:r>
        <w:rPr>
          <w:color w:val="231F20"/>
          <w:spacing w:val="-9"/>
          <w:w w:val="105"/>
        </w:rPr>
        <w:t> </w:t>
      </w:r>
      <w:r>
        <w:rPr>
          <w:color w:val="231F20"/>
          <w:w w:val="105"/>
        </w:rPr>
        <w:t>enjoy</w:t>
      </w:r>
      <w:r>
        <w:rPr>
          <w:color w:val="231F20"/>
          <w:spacing w:val="-9"/>
          <w:w w:val="105"/>
        </w:rPr>
        <w:t> </w:t>
      </w:r>
      <w:r>
        <w:rPr>
          <w:color w:val="231F20"/>
          <w:w w:val="105"/>
        </w:rPr>
        <w:t>the</w:t>
      </w:r>
      <w:r>
        <w:rPr>
          <w:color w:val="231F20"/>
          <w:spacing w:val="-9"/>
          <w:w w:val="105"/>
        </w:rPr>
        <w:t> </w:t>
      </w:r>
      <w:r>
        <w:rPr>
          <w:color w:val="231F20"/>
          <w:w w:val="105"/>
        </w:rPr>
        <w:t>lifestyle</w:t>
      </w:r>
      <w:r>
        <w:rPr>
          <w:color w:val="231F20"/>
          <w:spacing w:val="-9"/>
          <w:w w:val="105"/>
        </w:rPr>
        <w:t> </w:t>
      </w:r>
      <w:r>
        <w:rPr>
          <w:color w:val="231F20"/>
          <w:w w:val="105"/>
        </w:rPr>
        <w:t>there,</w:t>
      </w:r>
      <w:r>
        <w:rPr>
          <w:color w:val="231F20"/>
          <w:spacing w:val="-15"/>
          <w:w w:val="105"/>
        </w:rPr>
        <w:t> </w:t>
      </w:r>
      <w:r>
        <w:rPr>
          <w:color w:val="231F20"/>
          <w:w w:val="105"/>
        </w:rPr>
        <w:t>but some older children (college age) opt to remain in the U.S. to continue studying or work for a period. Separated family members often</w:t>
      </w:r>
      <w:r>
        <w:rPr>
          <w:color w:val="231F20"/>
          <w:spacing w:val="-16"/>
          <w:w w:val="105"/>
        </w:rPr>
        <w:t> </w:t>
      </w:r>
      <w:r>
        <w:rPr>
          <w:color w:val="231F20"/>
          <w:w w:val="105"/>
        </w:rPr>
        <w:t>commu- nicate through mobile phones for quick conversations (the equivalent</w:t>
      </w:r>
      <w:r>
        <w:rPr>
          <w:color w:val="231F20"/>
          <w:spacing w:val="-36"/>
          <w:w w:val="105"/>
        </w:rPr>
        <w:t> </w:t>
      </w:r>
      <w:r>
        <w:rPr>
          <w:color w:val="231F20"/>
          <w:w w:val="105"/>
        </w:rPr>
        <w:t>to texting)</w:t>
      </w:r>
      <w:r>
        <w:rPr>
          <w:color w:val="231F20"/>
          <w:spacing w:val="-23"/>
          <w:w w:val="105"/>
        </w:rPr>
        <w:t> </w:t>
      </w:r>
      <w:r>
        <w:rPr>
          <w:color w:val="231F20"/>
          <w:w w:val="105"/>
        </w:rPr>
        <w:t>or</w:t>
      </w:r>
      <w:r>
        <w:rPr>
          <w:color w:val="231F20"/>
          <w:spacing w:val="-23"/>
          <w:w w:val="105"/>
        </w:rPr>
        <w:t> </w:t>
      </w:r>
      <w:r>
        <w:rPr>
          <w:color w:val="231F20"/>
          <w:w w:val="105"/>
        </w:rPr>
        <w:t>use</w:t>
      </w:r>
      <w:r>
        <w:rPr>
          <w:color w:val="231F20"/>
          <w:spacing w:val="-23"/>
          <w:w w:val="105"/>
        </w:rPr>
        <w:t> </w:t>
      </w:r>
      <w:r>
        <w:rPr>
          <w:color w:val="231F20"/>
          <w:w w:val="105"/>
        </w:rPr>
        <w:t>Facebook</w:t>
      </w:r>
      <w:r>
        <w:rPr>
          <w:color w:val="231F20"/>
          <w:spacing w:val="-23"/>
          <w:w w:val="105"/>
        </w:rPr>
        <w:t> </w:t>
      </w:r>
      <w:r>
        <w:rPr>
          <w:color w:val="231F20"/>
          <w:w w:val="105"/>
        </w:rPr>
        <w:t>and</w:t>
      </w:r>
      <w:r>
        <w:rPr>
          <w:color w:val="231F20"/>
          <w:spacing w:val="-23"/>
          <w:w w:val="105"/>
        </w:rPr>
        <w:t> </w:t>
      </w:r>
      <w:r>
        <w:rPr>
          <w:color w:val="231F20"/>
          <w:w w:val="105"/>
        </w:rPr>
        <w:t>Skype</w:t>
      </w:r>
      <w:r>
        <w:rPr>
          <w:color w:val="231F20"/>
          <w:spacing w:val="-23"/>
          <w:w w:val="105"/>
        </w:rPr>
        <w:t> </w:t>
      </w:r>
      <w:r>
        <w:rPr>
          <w:color w:val="231F20"/>
          <w:w w:val="105"/>
        </w:rPr>
        <w:t>for</w:t>
      </w:r>
      <w:r>
        <w:rPr>
          <w:color w:val="231F20"/>
          <w:spacing w:val="-23"/>
          <w:w w:val="105"/>
        </w:rPr>
        <w:t> </w:t>
      </w:r>
      <w:r>
        <w:rPr>
          <w:color w:val="231F20"/>
          <w:w w:val="105"/>
        </w:rPr>
        <w:t>longer,</w:t>
      </w:r>
      <w:r>
        <w:rPr>
          <w:color w:val="231F20"/>
          <w:spacing w:val="-28"/>
          <w:w w:val="105"/>
        </w:rPr>
        <w:t> </w:t>
      </w:r>
      <w:r>
        <w:rPr>
          <w:color w:val="231F20"/>
          <w:w w:val="105"/>
        </w:rPr>
        <w:t>although</w:t>
      </w:r>
      <w:r>
        <w:rPr>
          <w:color w:val="231F20"/>
          <w:spacing w:val="-23"/>
          <w:w w:val="105"/>
        </w:rPr>
        <w:t> </w:t>
      </w:r>
      <w:r>
        <w:rPr>
          <w:color w:val="231F20"/>
          <w:w w:val="105"/>
        </w:rPr>
        <w:t>still</w:t>
      </w:r>
      <w:r>
        <w:rPr>
          <w:color w:val="231F20"/>
          <w:spacing w:val="-23"/>
          <w:w w:val="105"/>
        </w:rPr>
        <w:t> </w:t>
      </w:r>
      <w:r>
        <w:rPr>
          <w:color w:val="231F20"/>
          <w:w w:val="105"/>
        </w:rPr>
        <w:t>mostly</w:t>
      </w:r>
      <w:r>
        <w:rPr>
          <w:color w:val="231F20"/>
          <w:spacing w:val="-23"/>
          <w:w w:val="105"/>
        </w:rPr>
        <w:t> </w:t>
      </w:r>
      <w:r>
        <w:rPr>
          <w:color w:val="231F20"/>
          <w:w w:val="105"/>
        </w:rPr>
        <w:t>spon- taneous,</w:t>
      </w:r>
      <w:r>
        <w:rPr>
          <w:color w:val="231F20"/>
          <w:spacing w:val="-36"/>
          <w:w w:val="105"/>
        </w:rPr>
        <w:t> </w:t>
      </w:r>
      <w:r>
        <w:rPr>
          <w:color w:val="231F20"/>
          <w:w w:val="105"/>
        </w:rPr>
        <w:t>exchanges.</w:t>
      </w:r>
      <w:r>
        <w:rPr>
          <w:color w:val="231F20"/>
          <w:spacing w:val="-36"/>
          <w:w w:val="105"/>
        </w:rPr>
        <w:t> </w:t>
      </w:r>
      <w:r>
        <w:rPr>
          <w:color w:val="231F20"/>
          <w:w w:val="105"/>
        </w:rPr>
        <w:t>Facebook,</w:t>
      </w:r>
      <w:r>
        <w:rPr>
          <w:color w:val="231F20"/>
          <w:spacing w:val="-36"/>
          <w:w w:val="105"/>
        </w:rPr>
        <w:t> </w:t>
      </w:r>
      <w:r>
        <w:rPr>
          <w:color w:val="231F20"/>
          <w:w w:val="105"/>
        </w:rPr>
        <w:t>then,</w:t>
      </w:r>
      <w:r>
        <w:rPr>
          <w:color w:val="231F20"/>
          <w:spacing w:val="-36"/>
          <w:w w:val="105"/>
        </w:rPr>
        <w:t> </w:t>
      </w:r>
      <w:r>
        <w:rPr>
          <w:color w:val="231F20"/>
          <w:w w:val="105"/>
        </w:rPr>
        <w:t>is</w:t>
      </w:r>
      <w:r>
        <w:rPr>
          <w:color w:val="231F20"/>
          <w:spacing w:val="-33"/>
          <w:w w:val="105"/>
        </w:rPr>
        <w:t> </w:t>
      </w:r>
      <w:r>
        <w:rPr>
          <w:color w:val="231F20"/>
          <w:w w:val="105"/>
        </w:rPr>
        <w:t>the</w:t>
      </w:r>
      <w:r>
        <w:rPr>
          <w:color w:val="231F20"/>
          <w:spacing w:val="-33"/>
          <w:w w:val="105"/>
        </w:rPr>
        <w:t> </w:t>
      </w:r>
      <w:r>
        <w:rPr>
          <w:color w:val="231F20"/>
          <w:w w:val="105"/>
        </w:rPr>
        <w:t>place</w:t>
      </w:r>
      <w:r>
        <w:rPr>
          <w:color w:val="231F20"/>
          <w:spacing w:val="-33"/>
          <w:w w:val="105"/>
        </w:rPr>
        <w:t> </w:t>
      </w:r>
      <w:r>
        <w:rPr>
          <w:color w:val="231F20"/>
          <w:w w:val="105"/>
        </w:rPr>
        <w:t>where</w:t>
      </w:r>
      <w:r>
        <w:rPr>
          <w:color w:val="231F20"/>
          <w:spacing w:val="-33"/>
          <w:w w:val="105"/>
        </w:rPr>
        <w:t> </w:t>
      </w:r>
      <w:r>
        <w:rPr>
          <w:color w:val="231F20"/>
          <w:w w:val="105"/>
        </w:rPr>
        <w:t>members</w:t>
      </w:r>
      <w:r>
        <w:rPr>
          <w:color w:val="231F20"/>
          <w:spacing w:val="-33"/>
          <w:w w:val="105"/>
        </w:rPr>
        <w:t> </w:t>
      </w:r>
      <w:r>
        <w:rPr>
          <w:color w:val="231F20"/>
          <w:w w:val="105"/>
        </w:rPr>
        <w:t>can</w:t>
      </w:r>
      <w:r>
        <w:rPr>
          <w:color w:val="231F20"/>
          <w:spacing w:val="-33"/>
          <w:w w:val="105"/>
        </w:rPr>
        <w:t> </w:t>
      </w:r>
      <w:r>
        <w:rPr>
          <w:color w:val="231F20"/>
          <w:spacing w:val="-2"/>
          <w:w w:val="105"/>
        </w:rPr>
        <w:t>ex- </w:t>
      </w:r>
      <w:r>
        <w:rPr>
          <w:color w:val="231F20"/>
          <w:w w:val="105"/>
        </w:rPr>
        <w:t>press</w:t>
      </w:r>
      <w:r>
        <w:rPr>
          <w:color w:val="231F20"/>
          <w:spacing w:val="-21"/>
          <w:w w:val="105"/>
        </w:rPr>
        <w:t> </w:t>
      </w:r>
      <w:r>
        <w:rPr>
          <w:color w:val="231F20"/>
          <w:w w:val="105"/>
        </w:rPr>
        <w:t>their</w:t>
      </w:r>
      <w:r>
        <w:rPr>
          <w:color w:val="231F20"/>
          <w:spacing w:val="-21"/>
          <w:w w:val="105"/>
        </w:rPr>
        <w:t> </w:t>
      </w:r>
      <w:r>
        <w:rPr>
          <w:color w:val="231F20"/>
          <w:w w:val="105"/>
        </w:rPr>
        <w:t>feelings</w:t>
      </w:r>
      <w:r>
        <w:rPr>
          <w:color w:val="231F20"/>
          <w:spacing w:val="-21"/>
          <w:w w:val="105"/>
        </w:rPr>
        <w:t> </w:t>
      </w:r>
      <w:r>
        <w:rPr>
          <w:color w:val="231F20"/>
          <w:w w:val="105"/>
        </w:rPr>
        <w:t>of</w:t>
      </w:r>
      <w:r>
        <w:rPr>
          <w:color w:val="231F20"/>
          <w:spacing w:val="-17"/>
          <w:w w:val="105"/>
        </w:rPr>
        <w:t> </w:t>
      </w:r>
      <w:r>
        <w:rPr>
          <w:color w:val="231F20"/>
          <w:w w:val="105"/>
        </w:rPr>
        <w:t>missing</w:t>
      </w:r>
      <w:r>
        <w:rPr>
          <w:color w:val="231F20"/>
          <w:spacing w:val="-21"/>
          <w:w w:val="105"/>
        </w:rPr>
        <w:t> </w:t>
      </w:r>
      <w:r>
        <w:rPr>
          <w:color w:val="231F20"/>
          <w:w w:val="105"/>
        </w:rPr>
        <w:t>one</w:t>
      </w:r>
      <w:r>
        <w:rPr>
          <w:color w:val="231F20"/>
          <w:spacing w:val="-21"/>
          <w:w w:val="105"/>
        </w:rPr>
        <w:t> </w:t>
      </w:r>
      <w:r>
        <w:rPr>
          <w:color w:val="231F20"/>
          <w:w w:val="105"/>
        </w:rPr>
        <w:t>another</w:t>
      </w:r>
      <w:r>
        <w:rPr>
          <w:color w:val="231F20"/>
          <w:spacing w:val="-21"/>
          <w:w w:val="105"/>
        </w:rPr>
        <w:t> </w:t>
      </w:r>
      <w:r>
        <w:rPr>
          <w:color w:val="231F20"/>
          <w:w w:val="105"/>
        </w:rPr>
        <w:t>and</w:t>
      </w:r>
      <w:r>
        <w:rPr>
          <w:color w:val="231F20"/>
          <w:spacing w:val="-21"/>
          <w:w w:val="105"/>
        </w:rPr>
        <w:t> </w:t>
      </w:r>
      <w:r>
        <w:rPr>
          <w:color w:val="231F20"/>
          <w:w w:val="105"/>
        </w:rPr>
        <w:t>also</w:t>
      </w:r>
      <w:r>
        <w:rPr>
          <w:color w:val="231F20"/>
          <w:spacing w:val="-21"/>
          <w:w w:val="105"/>
        </w:rPr>
        <w:t> </w:t>
      </w:r>
      <w:r>
        <w:rPr>
          <w:color w:val="231F20"/>
          <w:w w:val="105"/>
        </w:rPr>
        <w:t>integrate</w:t>
      </w:r>
      <w:r>
        <w:rPr>
          <w:color w:val="231F20"/>
          <w:spacing w:val="-21"/>
          <w:w w:val="105"/>
        </w:rPr>
        <w:t> </w:t>
      </w:r>
      <w:r>
        <w:rPr>
          <w:color w:val="231F20"/>
          <w:w w:val="105"/>
        </w:rPr>
        <w:t>themselves into</w:t>
      </w:r>
      <w:r>
        <w:rPr>
          <w:color w:val="231F20"/>
          <w:spacing w:val="-13"/>
          <w:w w:val="105"/>
        </w:rPr>
        <w:t> </w:t>
      </w:r>
      <w:r>
        <w:rPr>
          <w:color w:val="231F20"/>
          <w:w w:val="105"/>
        </w:rPr>
        <w:t>everyday</w:t>
      </w:r>
      <w:r>
        <w:rPr>
          <w:color w:val="231F20"/>
          <w:spacing w:val="-13"/>
          <w:w w:val="105"/>
        </w:rPr>
        <w:t> </w:t>
      </w:r>
      <w:r>
        <w:rPr>
          <w:color w:val="231F20"/>
          <w:w w:val="105"/>
        </w:rPr>
        <w:t>conversation</w:t>
      </w:r>
      <w:r>
        <w:rPr>
          <w:color w:val="231F20"/>
          <w:spacing w:val="-13"/>
          <w:w w:val="105"/>
        </w:rPr>
        <w:t> </w:t>
      </w:r>
      <w:r>
        <w:rPr>
          <w:color w:val="231F20"/>
          <w:w w:val="105"/>
        </w:rPr>
        <w:t>with</w:t>
      </w:r>
      <w:r>
        <w:rPr>
          <w:color w:val="231F20"/>
          <w:spacing w:val="-13"/>
          <w:w w:val="105"/>
        </w:rPr>
        <w:t> </w:t>
      </w:r>
      <w:r>
        <w:rPr>
          <w:color w:val="231F20"/>
          <w:w w:val="105"/>
        </w:rPr>
        <w:t>others</w:t>
      </w:r>
      <w:r>
        <w:rPr>
          <w:color w:val="231F20"/>
          <w:spacing w:val="-13"/>
          <w:w w:val="105"/>
        </w:rPr>
        <w:t> </w:t>
      </w:r>
      <w:r>
        <w:rPr>
          <w:color w:val="231F20"/>
          <w:w w:val="105"/>
        </w:rPr>
        <w:t>in</w:t>
      </w:r>
      <w:r>
        <w:rPr>
          <w:color w:val="231F20"/>
          <w:spacing w:val="-13"/>
          <w:w w:val="105"/>
        </w:rPr>
        <w:t> </w:t>
      </w:r>
      <w:r>
        <w:rPr>
          <w:color w:val="231F20"/>
          <w:w w:val="105"/>
        </w:rPr>
        <w:t>the</w:t>
      </w:r>
      <w:r>
        <w:rPr>
          <w:color w:val="231F20"/>
          <w:spacing w:val="-13"/>
          <w:w w:val="105"/>
        </w:rPr>
        <w:t> </w:t>
      </w:r>
      <w:r>
        <w:rPr>
          <w:color w:val="231F20"/>
          <w:w w:val="105"/>
        </w:rPr>
        <w:t>network.</w:t>
      </w:r>
    </w:p>
    <w:p>
      <w:pPr>
        <w:pStyle w:val="BodyText"/>
        <w:spacing w:line="261" w:lineRule="auto" w:before="1"/>
        <w:ind w:left="1837" w:right="1716" w:firstLine="567"/>
        <w:jc w:val="both"/>
      </w:pPr>
      <w:r>
        <w:rPr>
          <w:color w:val="231F20"/>
          <w:spacing w:val="-5"/>
          <w:w w:val="105"/>
        </w:rPr>
        <w:t>Table</w:t>
      </w:r>
      <w:r>
        <w:rPr>
          <w:color w:val="231F20"/>
          <w:spacing w:val="-20"/>
          <w:w w:val="105"/>
        </w:rPr>
        <w:t> </w:t>
      </w:r>
      <w:r>
        <w:rPr>
          <w:color w:val="231F20"/>
          <w:w w:val="105"/>
        </w:rPr>
        <w:t>4,</w:t>
      </w:r>
      <w:r>
        <w:rPr>
          <w:color w:val="231F20"/>
          <w:spacing w:val="-25"/>
          <w:w w:val="105"/>
        </w:rPr>
        <w:t> </w:t>
      </w:r>
      <w:r>
        <w:rPr>
          <w:color w:val="231F20"/>
          <w:w w:val="105"/>
        </w:rPr>
        <w:t>Components</w:t>
      </w:r>
      <w:r>
        <w:rPr>
          <w:color w:val="231F20"/>
          <w:spacing w:val="-20"/>
          <w:w w:val="105"/>
        </w:rPr>
        <w:t> </w:t>
      </w:r>
      <w:r>
        <w:rPr>
          <w:color w:val="231F20"/>
          <w:w w:val="105"/>
        </w:rPr>
        <w:t>of</w:t>
      </w:r>
      <w:r>
        <w:rPr>
          <w:color w:val="231F20"/>
          <w:spacing w:val="-15"/>
          <w:w w:val="105"/>
        </w:rPr>
        <w:t> </w:t>
      </w:r>
      <w:r>
        <w:rPr>
          <w:color w:val="231F20"/>
          <w:w w:val="105"/>
        </w:rPr>
        <w:t>Facebook,</w:t>
      </w:r>
      <w:r>
        <w:rPr>
          <w:color w:val="231F20"/>
          <w:spacing w:val="-25"/>
          <w:w w:val="105"/>
        </w:rPr>
        <w:t> </w:t>
      </w:r>
      <w:r>
        <w:rPr>
          <w:color w:val="231F20"/>
          <w:w w:val="105"/>
        </w:rPr>
        <w:t>“longing</w:t>
      </w:r>
      <w:r>
        <w:rPr>
          <w:color w:val="231F20"/>
          <w:spacing w:val="-20"/>
          <w:w w:val="105"/>
        </w:rPr>
        <w:t> </w:t>
      </w:r>
      <w:r>
        <w:rPr>
          <w:color w:val="231F20"/>
          <w:w w:val="105"/>
        </w:rPr>
        <w:t>for”</w:t>
      </w:r>
      <w:r>
        <w:rPr>
          <w:color w:val="231F20"/>
          <w:spacing w:val="-20"/>
          <w:w w:val="105"/>
        </w:rPr>
        <w:t> </w:t>
      </w:r>
      <w:r>
        <w:rPr>
          <w:color w:val="231F20"/>
          <w:w w:val="105"/>
        </w:rPr>
        <w:t>conversations</w:t>
      </w:r>
      <w:r>
        <w:rPr>
          <w:color w:val="231F20"/>
          <w:spacing w:val="-20"/>
          <w:w w:val="105"/>
        </w:rPr>
        <w:t> </w:t>
      </w:r>
      <w:r>
        <w:rPr>
          <w:color w:val="231F20"/>
          <w:w w:val="105"/>
        </w:rPr>
        <w:t>out- lines</w:t>
      </w:r>
      <w:r>
        <w:rPr>
          <w:color w:val="231F20"/>
          <w:spacing w:val="-7"/>
          <w:w w:val="105"/>
        </w:rPr>
        <w:t> </w:t>
      </w:r>
      <w:r>
        <w:rPr>
          <w:color w:val="231F20"/>
          <w:w w:val="105"/>
        </w:rPr>
        <w:t>features</w:t>
      </w:r>
      <w:r>
        <w:rPr>
          <w:color w:val="231F20"/>
          <w:spacing w:val="-7"/>
          <w:w w:val="105"/>
        </w:rPr>
        <w:t> </w:t>
      </w:r>
      <w:r>
        <w:rPr>
          <w:color w:val="231F20"/>
          <w:w w:val="105"/>
        </w:rPr>
        <w:t>of</w:t>
      </w:r>
      <w:r>
        <w:rPr>
          <w:color w:val="231F20"/>
          <w:spacing w:val="-2"/>
          <w:w w:val="105"/>
        </w:rPr>
        <w:t> </w:t>
      </w:r>
      <w:r>
        <w:rPr>
          <w:color w:val="231F20"/>
          <w:w w:val="105"/>
        </w:rPr>
        <w:t>conversations</w:t>
      </w:r>
      <w:r>
        <w:rPr>
          <w:color w:val="231F20"/>
          <w:spacing w:val="-7"/>
          <w:w w:val="105"/>
        </w:rPr>
        <w:t> </w:t>
      </w:r>
      <w:r>
        <w:rPr>
          <w:color w:val="231F20"/>
          <w:w w:val="105"/>
        </w:rPr>
        <w:t>exhibited</w:t>
      </w:r>
      <w:r>
        <w:rPr>
          <w:color w:val="231F20"/>
          <w:spacing w:val="-7"/>
          <w:w w:val="105"/>
        </w:rPr>
        <w:t> </w:t>
      </w:r>
      <w:r>
        <w:rPr>
          <w:color w:val="231F20"/>
          <w:w w:val="105"/>
        </w:rPr>
        <w:t>in</w:t>
      </w:r>
      <w:r>
        <w:rPr>
          <w:color w:val="231F20"/>
          <w:spacing w:val="-7"/>
          <w:w w:val="105"/>
        </w:rPr>
        <w:t> </w:t>
      </w:r>
      <w:r>
        <w:rPr>
          <w:color w:val="231F20"/>
          <w:w w:val="105"/>
        </w:rPr>
        <w:t>Facebook</w:t>
      </w:r>
      <w:r>
        <w:rPr>
          <w:color w:val="231F20"/>
          <w:spacing w:val="-7"/>
          <w:w w:val="105"/>
        </w:rPr>
        <w:t> </w:t>
      </w:r>
      <w:r>
        <w:rPr>
          <w:color w:val="231F20"/>
          <w:w w:val="105"/>
        </w:rPr>
        <w:t>“longing</w:t>
      </w:r>
      <w:r>
        <w:rPr>
          <w:color w:val="231F20"/>
          <w:spacing w:val="-7"/>
          <w:w w:val="105"/>
        </w:rPr>
        <w:t> </w:t>
      </w:r>
      <w:r>
        <w:rPr>
          <w:color w:val="231F20"/>
          <w:w w:val="105"/>
        </w:rPr>
        <w:t>for”</w:t>
      </w:r>
      <w:r>
        <w:rPr>
          <w:color w:val="231F20"/>
          <w:spacing w:val="-7"/>
          <w:w w:val="105"/>
        </w:rPr>
        <w:t> </w:t>
      </w:r>
      <w:r>
        <w:rPr>
          <w:color w:val="231F20"/>
          <w:w w:val="105"/>
        </w:rPr>
        <w:t>mes- sages</w:t>
      </w:r>
      <w:r>
        <w:rPr>
          <w:color w:val="231F20"/>
          <w:spacing w:val="-22"/>
          <w:w w:val="105"/>
        </w:rPr>
        <w:t> </w:t>
      </w:r>
      <w:r>
        <w:rPr>
          <w:color w:val="231F20"/>
          <w:w w:val="105"/>
        </w:rPr>
        <w:t>(these</w:t>
      </w:r>
      <w:r>
        <w:rPr>
          <w:color w:val="231F20"/>
          <w:spacing w:val="-22"/>
          <w:w w:val="105"/>
        </w:rPr>
        <w:t> </w:t>
      </w:r>
      <w:r>
        <w:rPr>
          <w:color w:val="231F20"/>
          <w:w w:val="105"/>
        </w:rPr>
        <w:t>are</w:t>
      </w:r>
      <w:r>
        <w:rPr>
          <w:color w:val="231F20"/>
          <w:spacing w:val="-22"/>
          <w:w w:val="105"/>
        </w:rPr>
        <w:t> </w:t>
      </w:r>
      <w:r>
        <w:rPr>
          <w:color w:val="231F20"/>
          <w:w w:val="105"/>
        </w:rPr>
        <w:t>messages</w:t>
      </w:r>
      <w:r>
        <w:rPr>
          <w:color w:val="231F20"/>
          <w:spacing w:val="-22"/>
          <w:w w:val="105"/>
        </w:rPr>
        <w:t> </w:t>
      </w:r>
      <w:r>
        <w:rPr>
          <w:color w:val="231F20"/>
          <w:w w:val="105"/>
        </w:rPr>
        <w:t>in</w:t>
      </w:r>
      <w:r>
        <w:rPr>
          <w:color w:val="231F20"/>
          <w:spacing w:val="-22"/>
          <w:w w:val="105"/>
        </w:rPr>
        <w:t> </w:t>
      </w:r>
      <w:r>
        <w:rPr>
          <w:color w:val="231F20"/>
          <w:w w:val="105"/>
        </w:rPr>
        <w:t>which</w:t>
      </w:r>
      <w:r>
        <w:rPr>
          <w:color w:val="231F20"/>
          <w:spacing w:val="-22"/>
          <w:w w:val="105"/>
        </w:rPr>
        <w:t> </w:t>
      </w:r>
      <w:r>
        <w:rPr>
          <w:color w:val="231F20"/>
          <w:w w:val="105"/>
        </w:rPr>
        <w:t>members</w:t>
      </w:r>
      <w:r>
        <w:rPr>
          <w:color w:val="231F20"/>
          <w:spacing w:val="-22"/>
          <w:w w:val="105"/>
        </w:rPr>
        <w:t> </w:t>
      </w:r>
      <w:r>
        <w:rPr>
          <w:color w:val="231F20"/>
          <w:w w:val="105"/>
        </w:rPr>
        <w:t>express</w:t>
      </w:r>
      <w:r>
        <w:rPr>
          <w:color w:val="231F20"/>
          <w:spacing w:val="-22"/>
          <w:w w:val="105"/>
        </w:rPr>
        <w:t> </w:t>
      </w:r>
      <w:r>
        <w:rPr>
          <w:color w:val="231F20"/>
          <w:w w:val="105"/>
        </w:rPr>
        <w:t>that</w:t>
      </w:r>
      <w:r>
        <w:rPr>
          <w:color w:val="231F20"/>
          <w:spacing w:val="-22"/>
          <w:w w:val="105"/>
        </w:rPr>
        <w:t> </w:t>
      </w:r>
      <w:r>
        <w:rPr>
          <w:color w:val="231F20"/>
          <w:w w:val="105"/>
        </w:rPr>
        <w:t>they</w:t>
      </w:r>
      <w:r>
        <w:rPr>
          <w:color w:val="231F20"/>
          <w:spacing w:val="-22"/>
          <w:w w:val="105"/>
        </w:rPr>
        <w:t> </w:t>
      </w:r>
      <w:r>
        <w:rPr>
          <w:color w:val="231F20"/>
          <w:w w:val="105"/>
        </w:rPr>
        <w:t>miss</w:t>
      </w:r>
      <w:r>
        <w:rPr>
          <w:color w:val="231F20"/>
          <w:spacing w:val="-22"/>
          <w:w w:val="105"/>
        </w:rPr>
        <w:t> </w:t>
      </w:r>
      <w:r>
        <w:rPr>
          <w:color w:val="231F20"/>
          <w:w w:val="105"/>
        </w:rPr>
        <w:t>the other</w:t>
      </w:r>
      <w:r>
        <w:rPr>
          <w:color w:val="231F20"/>
          <w:spacing w:val="-5"/>
          <w:w w:val="105"/>
        </w:rPr>
        <w:t> </w:t>
      </w:r>
      <w:r>
        <w:rPr>
          <w:color w:val="231F20"/>
          <w:w w:val="105"/>
        </w:rPr>
        <w:t>person).</w:t>
      </w:r>
      <w:r>
        <w:rPr>
          <w:color w:val="231F20"/>
          <w:spacing w:val="-12"/>
          <w:w w:val="105"/>
        </w:rPr>
        <w:t> </w:t>
      </w:r>
      <w:r>
        <w:rPr>
          <w:color w:val="231F20"/>
          <w:w w:val="105"/>
        </w:rPr>
        <w:t>Of</w:t>
      </w:r>
      <w:r>
        <w:rPr>
          <w:color w:val="231F20"/>
          <w:spacing w:val="-1"/>
          <w:w w:val="105"/>
        </w:rPr>
        <w:t> </w:t>
      </w:r>
      <w:r>
        <w:rPr>
          <w:color w:val="231F20"/>
          <w:w w:val="105"/>
        </w:rPr>
        <w:t>course,</w:t>
      </w:r>
      <w:r>
        <w:rPr>
          <w:color w:val="231F20"/>
          <w:spacing w:val="-12"/>
          <w:w w:val="105"/>
        </w:rPr>
        <w:t> </w:t>
      </w:r>
      <w:r>
        <w:rPr>
          <w:color w:val="231F20"/>
          <w:w w:val="105"/>
        </w:rPr>
        <w:t>variations</w:t>
      </w:r>
      <w:r>
        <w:rPr>
          <w:color w:val="231F20"/>
          <w:spacing w:val="-5"/>
          <w:w w:val="105"/>
        </w:rPr>
        <w:t> </w:t>
      </w:r>
      <w:r>
        <w:rPr>
          <w:color w:val="231F20"/>
          <w:w w:val="105"/>
        </w:rPr>
        <w:t>on</w:t>
      </w:r>
      <w:r>
        <w:rPr>
          <w:color w:val="231F20"/>
          <w:spacing w:val="-5"/>
          <w:w w:val="105"/>
        </w:rPr>
        <w:t> </w:t>
      </w:r>
      <w:r>
        <w:rPr>
          <w:color w:val="231F20"/>
          <w:w w:val="105"/>
        </w:rPr>
        <w:t>these</w:t>
      </w:r>
      <w:r>
        <w:rPr>
          <w:color w:val="231F20"/>
          <w:spacing w:val="-5"/>
          <w:w w:val="105"/>
        </w:rPr>
        <w:t> </w:t>
      </w:r>
      <w:r>
        <w:rPr>
          <w:color w:val="231F20"/>
          <w:w w:val="105"/>
        </w:rPr>
        <w:t>components</w:t>
      </w:r>
      <w:r>
        <w:rPr>
          <w:color w:val="231F20"/>
          <w:spacing w:val="-5"/>
          <w:w w:val="105"/>
        </w:rPr>
        <w:t> </w:t>
      </w:r>
      <w:r>
        <w:rPr>
          <w:color w:val="231F20"/>
          <w:w w:val="105"/>
        </w:rPr>
        <w:t>form</w:t>
      </w:r>
      <w:r>
        <w:rPr>
          <w:color w:val="231F20"/>
          <w:spacing w:val="-5"/>
          <w:w w:val="105"/>
        </w:rPr>
        <w:t> </w:t>
      </w:r>
      <w:r>
        <w:rPr>
          <w:color w:val="231F20"/>
          <w:w w:val="105"/>
        </w:rPr>
        <w:t>different patterns (see examples below). That is, they do not always occur in the same </w:t>
      </w:r>
      <w:r>
        <w:rPr>
          <w:color w:val="231F20"/>
          <w:spacing w:val="-3"/>
          <w:w w:val="105"/>
        </w:rPr>
        <w:t>order, </w:t>
      </w:r>
      <w:r>
        <w:rPr>
          <w:color w:val="231F20"/>
          <w:w w:val="105"/>
        </w:rPr>
        <w:t>and not all components are always present. The examples provided below have the five components listed in </w:t>
      </w:r>
      <w:r>
        <w:rPr>
          <w:color w:val="231F20"/>
          <w:spacing w:val="-5"/>
          <w:w w:val="105"/>
        </w:rPr>
        <w:t>Table </w:t>
      </w:r>
      <w:r>
        <w:rPr>
          <w:color w:val="231F20"/>
          <w:w w:val="105"/>
        </w:rPr>
        <w:t>4. The compo- nents</w:t>
      </w:r>
      <w:r>
        <w:rPr>
          <w:color w:val="231F20"/>
          <w:spacing w:val="-22"/>
          <w:w w:val="105"/>
        </w:rPr>
        <w:t> </w:t>
      </w:r>
      <w:r>
        <w:rPr>
          <w:color w:val="231F20"/>
          <w:w w:val="105"/>
        </w:rPr>
        <w:t>appear</w:t>
      </w:r>
      <w:r>
        <w:rPr>
          <w:color w:val="231F20"/>
          <w:spacing w:val="-22"/>
          <w:w w:val="105"/>
        </w:rPr>
        <w:t> </w:t>
      </w:r>
      <w:r>
        <w:rPr>
          <w:color w:val="231F20"/>
          <w:w w:val="105"/>
        </w:rPr>
        <w:t>in</w:t>
      </w:r>
      <w:r>
        <w:rPr>
          <w:color w:val="231F20"/>
          <w:spacing w:val="-22"/>
          <w:w w:val="105"/>
        </w:rPr>
        <w:t> </w:t>
      </w:r>
      <w:r>
        <w:rPr>
          <w:color w:val="231F20"/>
          <w:w w:val="105"/>
        </w:rPr>
        <w:t>the</w:t>
      </w:r>
      <w:r>
        <w:rPr>
          <w:color w:val="231F20"/>
          <w:spacing w:val="-22"/>
          <w:w w:val="105"/>
        </w:rPr>
        <w:t> </w:t>
      </w:r>
      <w:r>
        <w:rPr>
          <w:color w:val="231F20"/>
          <w:w w:val="105"/>
        </w:rPr>
        <w:t>order</w:t>
      </w:r>
      <w:r>
        <w:rPr>
          <w:color w:val="231F20"/>
          <w:spacing w:val="-22"/>
          <w:w w:val="105"/>
        </w:rPr>
        <w:t> </w:t>
      </w:r>
      <w:r>
        <w:rPr>
          <w:color w:val="231F20"/>
          <w:w w:val="105"/>
        </w:rPr>
        <w:t>given</w:t>
      </w:r>
      <w:r>
        <w:rPr>
          <w:color w:val="231F20"/>
          <w:spacing w:val="-22"/>
          <w:w w:val="105"/>
        </w:rPr>
        <w:t> </w:t>
      </w:r>
      <w:r>
        <w:rPr>
          <w:color w:val="231F20"/>
          <w:w w:val="105"/>
        </w:rPr>
        <w:t>in</w:t>
      </w:r>
      <w:r>
        <w:rPr>
          <w:color w:val="231F20"/>
          <w:spacing w:val="-22"/>
          <w:w w:val="105"/>
        </w:rPr>
        <w:t> </w:t>
      </w:r>
      <w:r>
        <w:rPr>
          <w:color w:val="231F20"/>
          <w:w w:val="105"/>
        </w:rPr>
        <w:t>the</w:t>
      </w:r>
      <w:r>
        <w:rPr>
          <w:color w:val="231F20"/>
          <w:spacing w:val="-22"/>
          <w:w w:val="105"/>
        </w:rPr>
        <w:t> </w:t>
      </w:r>
      <w:r>
        <w:rPr>
          <w:color w:val="231F20"/>
          <w:w w:val="105"/>
        </w:rPr>
        <w:t>table,</w:t>
      </w:r>
      <w:r>
        <w:rPr>
          <w:color w:val="231F20"/>
          <w:spacing w:val="-27"/>
          <w:w w:val="105"/>
        </w:rPr>
        <w:t> </w:t>
      </w:r>
      <w:r>
        <w:rPr>
          <w:color w:val="231F20"/>
          <w:w w:val="105"/>
        </w:rPr>
        <w:t>however</w:t>
      </w:r>
      <w:r>
        <w:rPr>
          <w:color w:val="231F20"/>
          <w:spacing w:val="-22"/>
          <w:w w:val="105"/>
        </w:rPr>
        <w:t> </w:t>
      </w:r>
      <w:r>
        <w:rPr>
          <w:color w:val="231F20"/>
          <w:w w:val="105"/>
        </w:rPr>
        <w:t>sometimes</w:t>
      </w:r>
      <w:r>
        <w:rPr>
          <w:color w:val="231F20"/>
          <w:spacing w:val="-22"/>
          <w:w w:val="105"/>
        </w:rPr>
        <w:t> </w:t>
      </w:r>
      <w:r>
        <w:rPr>
          <w:color w:val="231F20"/>
          <w:w w:val="105"/>
        </w:rPr>
        <w:t>because of</w:t>
      </w:r>
      <w:r>
        <w:rPr>
          <w:color w:val="231F20"/>
          <w:spacing w:val="-10"/>
          <w:w w:val="105"/>
        </w:rPr>
        <w:t> </w:t>
      </w:r>
      <w:r>
        <w:rPr>
          <w:color w:val="231F20"/>
          <w:w w:val="105"/>
        </w:rPr>
        <w:t>the</w:t>
      </w:r>
      <w:r>
        <w:rPr>
          <w:color w:val="231F20"/>
          <w:spacing w:val="-14"/>
          <w:w w:val="105"/>
        </w:rPr>
        <w:t> </w:t>
      </w:r>
      <w:r>
        <w:rPr>
          <w:color w:val="231F20"/>
          <w:w w:val="105"/>
        </w:rPr>
        <w:t>participation</w:t>
      </w:r>
      <w:r>
        <w:rPr>
          <w:color w:val="231F20"/>
          <w:spacing w:val="-14"/>
          <w:w w:val="105"/>
        </w:rPr>
        <w:t> </w:t>
      </w:r>
      <w:r>
        <w:rPr>
          <w:color w:val="231F20"/>
          <w:w w:val="105"/>
        </w:rPr>
        <w:t>of</w:t>
      </w:r>
      <w:r>
        <w:rPr>
          <w:color w:val="231F20"/>
          <w:spacing w:val="-10"/>
          <w:w w:val="105"/>
        </w:rPr>
        <w:t> </w:t>
      </w:r>
      <w:r>
        <w:rPr>
          <w:color w:val="231F20"/>
          <w:w w:val="105"/>
        </w:rPr>
        <w:t>multiple</w:t>
      </w:r>
      <w:r>
        <w:rPr>
          <w:color w:val="231F20"/>
          <w:spacing w:val="-14"/>
          <w:w w:val="105"/>
        </w:rPr>
        <w:t> </w:t>
      </w:r>
      <w:r>
        <w:rPr>
          <w:color w:val="231F20"/>
          <w:w w:val="105"/>
        </w:rPr>
        <w:t>Facebook</w:t>
      </w:r>
      <w:r>
        <w:rPr>
          <w:color w:val="231F20"/>
          <w:spacing w:val="-14"/>
          <w:w w:val="105"/>
        </w:rPr>
        <w:t> </w:t>
      </w:r>
      <w:r>
        <w:rPr>
          <w:color w:val="231F20"/>
          <w:w w:val="105"/>
        </w:rPr>
        <w:t>users,</w:t>
      </w:r>
      <w:r>
        <w:rPr>
          <w:color w:val="231F20"/>
          <w:spacing w:val="-20"/>
          <w:w w:val="105"/>
        </w:rPr>
        <w:t> </w:t>
      </w:r>
      <w:r>
        <w:rPr>
          <w:color w:val="231F20"/>
          <w:w w:val="105"/>
        </w:rPr>
        <w:t>they</w:t>
      </w:r>
      <w:r>
        <w:rPr>
          <w:color w:val="231F20"/>
          <w:spacing w:val="-14"/>
          <w:w w:val="105"/>
        </w:rPr>
        <w:t> </w:t>
      </w:r>
      <w:r>
        <w:rPr>
          <w:color w:val="231F20"/>
          <w:w w:val="105"/>
        </w:rPr>
        <w:t>may</w:t>
      </w:r>
      <w:r>
        <w:rPr>
          <w:color w:val="231F20"/>
          <w:spacing w:val="-14"/>
          <w:w w:val="105"/>
        </w:rPr>
        <w:t> </w:t>
      </w:r>
      <w:r>
        <w:rPr>
          <w:color w:val="231F20"/>
          <w:w w:val="105"/>
        </w:rPr>
        <w:t>not</w:t>
      </w:r>
      <w:r>
        <w:rPr>
          <w:color w:val="231F20"/>
          <w:spacing w:val="-14"/>
          <w:w w:val="105"/>
        </w:rPr>
        <w:t> </w:t>
      </w:r>
      <w:r>
        <w:rPr>
          <w:color w:val="231F20"/>
          <w:w w:val="105"/>
        </w:rPr>
        <w:t>seem</w:t>
      </w:r>
      <w:r>
        <w:rPr>
          <w:color w:val="231F20"/>
          <w:spacing w:val="-14"/>
          <w:w w:val="105"/>
        </w:rPr>
        <w:t> </w:t>
      </w:r>
      <w:r>
        <w:rPr>
          <w:color w:val="231F20"/>
          <w:w w:val="105"/>
        </w:rPr>
        <w:t>to</w:t>
      </w:r>
      <w:r>
        <w:rPr>
          <w:color w:val="231F20"/>
          <w:spacing w:val="-14"/>
          <w:w w:val="105"/>
        </w:rPr>
        <w:t> </w:t>
      </w:r>
      <w:r>
        <w:rPr>
          <w:color w:val="231F20"/>
          <w:w w:val="105"/>
        </w:rPr>
        <w:t>be.</w:t>
      </w:r>
    </w:p>
    <w:p>
      <w:pPr>
        <w:pStyle w:val="BodyText"/>
        <w:spacing w:before="4"/>
      </w:pPr>
    </w:p>
    <w:p>
      <w:pPr>
        <w:spacing w:before="0"/>
        <w:ind w:left="2709" w:right="0" w:firstLine="0"/>
        <w:jc w:val="left"/>
        <w:rPr>
          <w:rFonts w:ascii="Arial" w:hAnsi="Arial"/>
          <w:sz w:val="18"/>
        </w:rPr>
      </w:pPr>
      <w:r>
        <w:rPr>
          <w:rFonts w:ascii="Arial" w:hAnsi="Arial"/>
          <w:color w:val="231F20"/>
          <w:w w:val="105"/>
          <w:sz w:val="18"/>
        </w:rPr>
        <w:t>Table 4. Components of Facebook, “longing for” conversations</w:t>
      </w:r>
    </w:p>
    <w:p>
      <w:pPr>
        <w:pStyle w:val="BodyText"/>
        <w:spacing w:before="5"/>
        <w:rPr>
          <w:rFonts w:ascii="Arial"/>
          <w:sz w:val="13"/>
        </w:rPr>
      </w:pPr>
    </w:p>
    <w:tbl>
      <w:tblPr>
        <w:tblW w:w="0" w:type="auto"/>
        <w:jc w:val="left"/>
        <w:tblInd w:w="2798"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205"/>
        <w:gridCol w:w="784"/>
      </w:tblGrid>
      <w:tr>
        <w:trPr>
          <w:trHeight w:val="340" w:hRule="exact"/>
        </w:trPr>
        <w:tc>
          <w:tcPr>
            <w:tcW w:w="4205" w:type="dxa"/>
          </w:tcPr>
          <w:p>
            <w:pPr>
              <w:pStyle w:val="TableParagraph"/>
              <w:spacing w:before="88"/>
              <w:ind w:left="1591" w:right="1591"/>
              <w:jc w:val="center"/>
              <w:rPr>
                <w:rFonts w:ascii="Arial"/>
                <w:sz w:val="18"/>
              </w:rPr>
            </w:pPr>
            <w:r>
              <w:rPr>
                <w:rFonts w:ascii="Arial"/>
                <w:color w:val="231F20"/>
                <w:w w:val="105"/>
                <w:sz w:val="18"/>
              </w:rPr>
              <w:t>Component</w:t>
            </w:r>
          </w:p>
        </w:tc>
        <w:tc>
          <w:tcPr>
            <w:tcW w:w="784" w:type="dxa"/>
          </w:tcPr>
          <w:p>
            <w:pPr>
              <w:pStyle w:val="TableParagraph"/>
              <w:spacing w:before="88"/>
              <w:ind w:left="143" w:right="143"/>
              <w:jc w:val="center"/>
              <w:rPr>
                <w:rFonts w:ascii="Arial"/>
                <w:sz w:val="18"/>
              </w:rPr>
            </w:pPr>
            <w:r>
              <w:rPr>
                <w:rFonts w:ascii="Arial"/>
                <w:color w:val="231F20"/>
                <w:w w:val="105"/>
                <w:sz w:val="18"/>
              </w:rPr>
              <w:t>Code</w:t>
            </w:r>
          </w:p>
        </w:tc>
      </w:tr>
      <w:tr>
        <w:trPr>
          <w:trHeight w:val="556" w:hRule="exact"/>
        </w:trPr>
        <w:tc>
          <w:tcPr>
            <w:tcW w:w="4205" w:type="dxa"/>
          </w:tcPr>
          <w:p>
            <w:pPr>
              <w:pStyle w:val="TableParagraph"/>
              <w:spacing w:line="254" w:lineRule="auto"/>
              <w:ind w:left="77" w:right="69"/>
              <w:rPr>
                <w:sz w:val="18"/>
              </w:rPr>
            </w:pPr>
            <w:r>
              <w:rPr>
                <w:color w:val="231F20"/>
                <w:w w:val="105"/>
                <w:sz w:val="18"/>
              </w:rPr>
              <w:t>Wall post (photo, status update about mood, link to a video)</w:t>
            </w:r>
          </w:p>
        </w:tc>
        <w:tc>
          <w:tcPr>
            <w:tcW w:w="784" w:type="dxa"/>
          </w:tcPr>
          <w:p>
            <w:pPr>
              <w:pStyle w:val="TableParagraph"/>
              <w:ind w:left="3"/>
              <w:jc w:val="center"/>
              <w:rPr>
                <w:sz w:val="18"/>
              </w:rPr>
            </w:pPr>
            <w:r>
              <w:rPr>
                <w:color w:val="231F20"/>
                <w:w w:val="104"/>
                <w:sz w:val="18"/>
              </w:rPr>
              <w:t>A</w:t>
            </w:r>
          </w:p>
        </w:tc>
      </w:tr>
      <w:tr>
        <w:trPr>
          <w:trHeight w:val="556" w:hRule="exact"/>
        </w:trPr>
        <w:tc>
          <w:tcPr>
            <w:tcW w:w="4205" w:type="dxa"/>
          </w:tcPr>
          <w:p>
            <w:pPr>
              <w:pStyle w:val="TableParagraph"/>
              <w:ind w:left="77" w:right="69"/>
              <w:rPr>
                <w:sz w:val="18"/>
              </w:rPr>
            </w:pPr>
            <w:r>
              <w:rPr>
                <w:color w:val="231F20"/>
                <w:sz w:val="18"/>
              </w:rPr>
              <w:t>Expression of camaraderie</w:t>
            </w:r>
          </w:p>
          <w:p>
            <w:pPr>
              <w:pStyle w:val="TableParagraph"/>
              <w:spacing w:before="12"/>
              <w:ind w:left="77" w:right="69"/>
              <w:rPr>
                <w:sz w:val="18"/>
              </w:rPr>
            </w:pPr>
            <w:r>
              <w:rPr>
                <w:color w:val="231F20"/>
                <w:w w:val="105"/>
                <w:sz w:val="18"/>
              </w:rPr>
              <w:t>e.g. Through joking</w:t>
            </w:r>
          </w:p>
        </w:tc>
        <w:tc>
          <w:tcPr>
            <w:tcW w:w="784" w:type="dxa"/>
          </w:tcPr>
          <w:p>
            <w:pPr>
              <w:pStyle w:val="TableParagraph"/>
              <w:jc w:val="center"/>
              <w:rPr>
                <w:sz w:val="18"/>
              </w:rPr>
            </w:pPr>
            <w:r>
              <w:rPr>
                <w:color w:val="231F20"/>
                <w:w w:val="95"/>
                <w:sz w:val="18"/>
              </w:rPr>
              <w:t>B</w:t>
            </w:r>
          </w:p>
        </w:tc>
      </w:tr>
    </w:tbl>
    <w:p>
      <w:pPr>
        <w:spacing w:after="0"/>
        <w:jc w:val="center"/>
        <w:rPr>
          <w:sz w:val="18"/>
        </w:rPr>
        <w:sectPr>
          <w:type w:val="continuous"/>
          <w:pgSz w:w="10480" w:h="14730"/>
          <w:pgMar w:top="0" w:bottom="0" w:left="0" w:right="0"/>
        </w:sectPr>
      </w:pPr>
    </w:p>
    <w:p>
      <w:pPr>
        <w:pStyle w:val="BodyText"/>
        <w:rPr>
          <w:rFonts w:ascii="Arial"/>
          <w:sz w:val="20"/>
        </w:rPr>
      </w:pPr>
      <w:r>
        <w:rPr/>
        <w:pict>
          <v:line style="position:absolute;mso-position-horizontal-relative:page;mso-position-vertical-relative:page;z-index:42808" from="15pt,20.999777pt" to="0pt,20.999777pt" stroked="true" strokeweight=".25pt" strokecolor="#000000">
            <w10:wrap type="none"/>
          </v:line>
        </w:pict>
      </w:r>
      <w:r>
        <w:rPr/>
        <w:pict>
          <v:line style="position:absolute;mso-position-horizontal-relative:page;mso-position-vertical-relative:page;z-index:42832" from="508.890015pt,20.999777pt" to="523.890015pt,20.999777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13"/>
        </w:rPr>
      </w:pPr>
    </w:p>
    <w:tbl>
      <w:tblPr>
        <w:tblW w:w="0" w:type="auto"/>
        <w:jc w:val="left"/>
        <w:tblInd w:w="268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205"/>
        <w:gridCol w:w="784"/>
      </w:tblGrid>
      <w:tr>
        <w:trPr>
          <w:trHeight w:val="772" w:hRule="exact"/>
        </w:trPr>
        <w:tc>
          <w:tcPr>
            <w:tcW w:w="4205" w:type="dxa"/>
          </w:tcPr>
          <w:p>
            <w:pPr>
              <w:pStyle w:val="TableParagraph"/>
              <w:spacing w:line="254" w:lineRule="auto"/>
              <w:ind w:left="77"/>
              <w:rPr>
                <w:sz w:val="18"/>
              </w:rPr>
            </w:pPr>
            <w:r>
              <w:rPr>
                <w:color w:val="231F20"/>
                <w:w w:val="105"/>
                <w:sz w:val="18"/>
              </w:rPr>
              <w:t>Reference to inclusion/exclusion (acknowledging </w:t>
            </w:r>
            <w:r>
              <w:rPr>
                <w:color w:val="231F20"/>
                <w:spacing w:val="-3"/>
                <w:w w:val="105"/>
                <w:sz w:val="18"/>
              </w:rPr>
              <w:t>inclusion </w:t>
            </w:r>
            <w:r>
              <w:rPr>
                <w:color w:val="231F20"/>
                <w:w w:val="105"/>
                <w:sz w:val="18"/>
              </w:rPr>
              <w:t>or </w:t>
            </w:r>
            <w:r>
              <w:rPr>
                <w:color w:val="231F20"/>
                <w:spacing w:val="-3"/>
                <w:w w:val="105"/>
                <w:sz w:val="18"/>
              </w:rPr>
              <w:t>complaining about </w:t>
            </w:r>
            <w:r>
              <w:rPr>
                <w:color w:val="231F20"/>
                <w:w w:val="105"/>
                <w:sz w:val="18"/>
              </w:rPr>
              <w:t>not </w:t>
            </w:r>
            <w:r>
              <w:rPr>
                <w:color w:val="231F20"/>
                <w:spacing w:val="-3"/>
                <w:w w:val="105"/>
                <w:sz w:val="18"/>
              </w:rPr>
              <w:t>being included)</w:t>
            </w:r>
          </w:p>
          <w:p>
            <w:pPr>
              <w:pStyle w:val="TableParagraph"/>
              <w:spacing w:before="0"/>
              <w:ind w:left="77" w:right="69"/>
              <w:rPr>
                <w:sz w:val="18"/>
              </w:rPr>
            </w:pPr>
            <w:r>
              <w:rPr>
                <w:color w:val="231F20"/>
                <w:w w:val="105"/>
                <w:sz w:val="18"/>
              </w:rPr>
              <w:t>e.g. By tagging</w:t>
            </w:r>
          </w:p>
        </w:tc>
        <w:tc>
          <w:tcPr>
            <w:tcW w:w="784" w:type="dxa"/>
          </w:tcPr>
          <w:p>
            <w:pPr>
              <w:pStyle w:val="TableParagraph"/>
              <w:jc w:val="center"/>
              <w:rPr>
                <w:sz w:val="18"/>
              </w:rPr>
            </w:pPr>
            <w:r>
              <w:rPr>
                <w:color w:val="231F20"/>
                <w:w w:val="99"/>
                <w:sz w:val="18"/>
              </w:rPr>
              <w:t>C</w:t>
            </w:r>
          </w:p>
        </w:tc>
      </w:tr>
      <w:tr>
        <w:trPr>
          <w:trHeight w:val="556" w:hRule="exact"/>
        </w:trPr>
        <w:tc>
          <w:tcPr>
            <w:tcW w:w="4205" w:type="dxa"/>
          </w:tcPr>
          <w:p>
            <w:pPr>
              <w:pStyle w:val="TableParagraph"/>
              <w:ind w:left="77" w:right="69"/>
              <w:rPr>
                <w:sz w:val="18"/>
              </w:rPr>
            </w:pPr>
            <w:r>
              <w:rPr>
                <w:color w:val="231F20"/>
                <w:w w:val="105"/>
                <w:sz w:val="18"/>
              </w:rPr>
              <w:t>Expression of longing</w:t>
            </w:r>
          </w:p>
          <w:p>
            <w:pPr>
              <w:pStyle w:val="TableParagraph"/>
              <w:spacing w:before="12"/>
              <w:ind w:left="77"/>
              <w:rPr>
                <w:sz w:val="18"/>
              </w:rPr>
            </w:pPr>
            <w:r>
              <w:rPr>
                <w:color w:val="231F20"/>
                <w:w w:val="105"/>
                <w:sz w:val="18"/>
              </w:rPr>
              <w:t>e.g.</w:t>
            </w:r>
            <w:r>
              <w:rPr>
                <w:color w:val="231F20"/>
                <w:spacing w:val="-27"/>
                <w:w w:val="105"/>
                <w:sz w:val="18"/>
              </w:rPr>
              <w:t> </w:t>
            </w:r>
            <w:r>
              <w:rPr>
                <w:color w:val="231F20"/>
                <w:w w:val="105"/>
                <w:sz w:val="18"/>
              </w:rPr>
              <w:t>Statement</w:t>
            </w:r>
            <w:r>
              <w:rPr>
                <w:color w:val="231F20"/>
                <w:spacing w:val="-24"/>
                <w:w w:val="105"/>
                <w:sz w:val="18"/>
              </w:rPr>
              <w:t> </w:t>
            </w:r>
            <w:r>
              <w:rPr>
                <w:color w:val="231F20"/>
                <w:w w:val="105"/>
                <w:sz w:val="18"/>
              </w:rPr>
              <w:t>of</w:t>
            </w:r>
            <w:r>
              <w:rPr>
                <w:color w:val="231F20"/>
                <w:spacing w:val="-20"/>
                <w:w w:val="105"/>
                <w:sz w:val="18"/>
              </w:rPr>
              <w:t> </w:t>
            </w:r>
            <w:r>
              <w:rPr>
                <w:color w:val="231F20"/>
                <w:w w:val="105"/>
                <w:sz w:val="18"/>
              </w:rPr>
              <w:t>missing</w:t>
            </w:r>
            <w:r>
              <w:rPr>
                <w:color w:val="231F20"/>
                <w:spacing w:val="-23"/>
                <w:w w:val="105"/>
                <w:sz w:val="18"/>
              </w:rPr>
              <w:t> </w:t>
            </w:r>
            <w:r>
              <w:rPr>
                <w:color w:val="231F20"/>
                <w:w w:val="105"/>
                <w:sz w:val="18"/>
              </w:rPr>
              <w:t>(person</w:t>
            </w:r>
            <w:r>
              <w:rPr>
                <w:color w:val="231F20"/>
                <w:spacing w:val="-23"/>
                <w:w w:val="105"/>
                <w:sz w:val="18"/>
              </w:rPr>
              <w:t> </w:t>
            </w:r>
            <w:r>
              <w:rPr>
                <w:color w:val="231F20"/>
                <w:w w:val="105"/>
                <w:sz w:val="18"/>
              </w:rPr>
              <w:t>/</w:t>
            </w:r>
            <w:r>
              <w:rPr>
                <w:color w:val="231F20"/>
                <w:spacing w:val="-24"/>
                <w:w w:val="105"/>
                <w:sz w:val="18"/>
              </w:rPr>
              <w:t> </w:t>
            </w:r>
            <w:r>
              <w:rPr>
                <w:color w:val="231F20"/>
                <w:w w:val="105"/>
                <w:sz w:val="18"/>
              </w:rPr>
              <w:t>place</w:t>
            </w:r>
            <w:r>
              <w:rPr>
                <w:color w:val="231F20"/>
                <w:spacing w:val="-24"/>
                <w:w w:val="105"/>
                <w:sz w:val="18"/>
              </w:rPr>
              <w:t> </w:t>
            </w:r>
            <w:r>
              <w:rPr>
                <w:color w:val="231F20"/>
                <w:w w:val="105"/>
                <w:sz w:val="18"/>
              </w:rPr>
              <w:t>/</w:t>
            </w:r>
            <w:r>
              <w:rPr>
                <w:color w:val="231F20"/>
                <w:spacing w:val="-23"/>
                <w:w w:val="105"/>
                <w:sz w:val="18"/>
              </w:rPr>
              <w:t> </w:t>
            </w:r>
            <w:r>
              <w:rPr>
                <w:color w:val="231F20"/>
                <w:w w:val="105"/>
                <w:sz w:val="18"/>
              </w:rPr>
              <w:t>activity)</w:t>
            </w:r>
          </w:p>
        </w:tc>
        <w:tc>
          <w:tcPr>
            <w:tcW w:w="784" w:type="dxa"/>
          </w:tcPr>
          <w:p>
            <w:pPr>
              <w:pStyle w:val="TableParagraph"/>
              <w:jc w:val="center"/>
              <w:rPr>
                <w:sz w:val="18"/>
              </w:rPr>
            </w:pPr>
            <w:r>
              <w:rPr>
                <w:color w:val="231F20"/>
                <w:w w:val="104"/>
                <w:sz w:val="18"/>
              </w:rPr>
              <w:t>D</w:t>
            </w:r>
          </w:p>
        </w:tc>
      </w:tr>
      <w:tr>
        <w:trPr>
          <w:trHeight w:val="556" w:hRule="exact"/>
        </w:trPr>
        <w:tc>
          <w:tcPr>
            <w:tcW w:w="4205" w:type="dxa"/>
          </w:tcPr>
          <w:p>
            <w:pPr>
              <w:pStyle w:val="TableParagraph"/>
              <w:ind w:left="77" w:right="69"/>
              <w:rPr>
                <w:sz w:val="18"/>
              </w:rPr>
            </w:pPr>
            <w:r>
              <w:rPr>
                <w:color w:val="231F20"/>
                <w:w w:val="105"/>
                <w:sz w:val="18"/>
              </w:rPr>
              <w:t>Conclusion with plans and promises</w:t>
            </w:r>
          </w:p>
          <w:p>
            <w:pPr>
              <w:pStyle w:val="TableParagraph"/>
              <w:spacing w:before="12"/>
              <w:ind w:left="77" w:right="69"/>
              <w:rPr>
                <w:sz w:val="18"/>
              </w:rPr>
            </w:pPr>
            <w:r>
              <w:rPr>
                <w:color w:val="231F20"/>
                <w:w w:val="110"/>
                <w:sz w:val="18"/>
              </w:rPr>
              <w:t>e.g. Next time / We will for you</w:t>
            </w:r>
          </w:p>
        </w:tc>
        <w:tc>
          <w:tcPr>
            <w:tcW w:w="784" w:type="dxa"/>
          </w:tcPr>
          <w:p>
            <w:pPr>
              <w:pStyle w:val="TableParagraph"/>
              <w:jc w:val="center"/>
              <w:rPr>
                <w:sz w:val="18"/>
              </w:rPr>
            </w:pPr>
            <w:r>
              <w:rPr>
                <w:color w:val="231F20"/>
                <w:w w:val="88"/>
                <w:sz w:val="18"/>
              </w:rPr>
              <w:t>E</w:t>
            </w:r>
          </w:p>
        </w:tc>
      </w:tr>
    </w:tbl>
    <w:p>
      <w:pPr>
        <w:pStyle w:val="BodyText"/>
        <w:spacing w:before="2"/>
        <w:rPr>
          <w:rFonts w:ascii="Arial"/>
          <w:sz w:val="16"/>
        </w:rPr>
      </w:pPr>
    </w:p>
    <w:p>
      <w:pPr>
        <w:pStyle w:val="BodyText"/>
        <w:spacing w:line="261" w:lineRule="auto" w:before="60"/>
        <w:ind w:left="1723" w:right="1834"/>
        <w:jc w:val="both"/>
      </w:pPr>
      <w:r>
        <w:rPr>
          <w:color w:val="231F20"/>
          <w:w w:val="105"/>
        </w:rPr>
        <w:t>In the following Conversation 4, “Good trip to </w:t>
      </w:r>
      <w:r>
        <w:rPr>
          <w:color w:val="231F20"/>
          <w:spacing w:val="-3"/>
          <w:w w:val="105"/>
        </w:rPr>
        <w:t>Chicago”, </w:t>
      </w:r>
      <w:r>
        <w:rPr>
          <w:color w:val="231F20"/>
          <w:w w:val="105"/>
        </w:rPr>
        <w:t>Fabián updates his status as he arrives in Chicago from a trip to Mexico, briefly descri- bing the trip, missing his horse, and stating that he already wants to go back.</w:t>
      </w:r>
      <w:r>
        <w:rPr>
          <w:color w:val="231F20"/>
          <w:spacing w:val="-20"/>
          <w:w w:val="105"/>
        </w:rPr>
        <w:t> </w:t>
      </w:r>
      <w:r>
        <w:rPr>
          <w:color w:val="231F20"/>
          <w:w w:val="105"/>
        </w:rPr>
        <w:t>His</w:t>
      </w:r>
      <w:r>
        <w:rPr>
          <w:color w:val="231F20"/>
          <w:spacing w:val="-15"/>
          <w:w w:val="105"/>
        </w:rPr>
        <w:t> </w:t>
      </w:r>
      <w:r>
        <w:rPr>
          <w:color w:val="231F20"/>
          <w:w w:val="105"/>
        </w:rPr>
        <w:t>aunt,</w:t>
      </w:r>
      <w:r>
        <w:rPr>
          <w:color w:val="231F20"/>
          <w:spacing w:val="-20"/>
          <w:w w:val="105"/>
        </w:rPr>
        <w:t> </w:t>
      </w:r>
      <w:r>
        <w:rPr>
          <w:color w:val="231F20"/>
          <w:w w:val="105"/>
        </w:rPr>
        <w:t>who</w:t>
      </w:r>
      <w:r>
        <w:rPr>
          <w:color w:val="231F20"/>
          <w:spacing w:val="-14"/>
          <w:w w:val="105"/>
        </w:rPr>
        <w:t> </w:t>
      </w:r>
      <w:r>
        <w:rPr>
          <w:color w:val="231F20"/>
          <w:w w:val="105"/>
        </w:rPr>
        <w:t>is</w:t>
      </w:r>
      <w:r>
        <w:rPr>
          <w:color w:val="231F20"/>
          <w:spacing w:val="-14"/>
          <w:w w:val="105"/>
        </w:rPr>
        <w:t> </w:t>
      </w:r>
      <w:r>
        <w:rPr>
          <w:color w:val="231F20"/>
          <w:w w:val="105"/>
        </w:rPr>
        <w:t>in</w:t>
      </w:r>
      <w:r>
        <w:rPr>
          <w:color w:val="231F20"/>
          <w:spacing w:val="-15"/>
          <w:w w:val="105"/>
        </w:rPr>
        <w:t> </w:t>
      </w:r>
      <w:r>
        <w:rPr>
          <w:color w:val="231F20"/>
          <w:w w:val="105"/>
        </w:rPr>
        <w:t>the</w:t>
      </w:r>
      <w:r>
        <w:rPr>
          <w:color w:val="231F20"/>
          <w:spacing w:val="-14"/>
          <w:w w:val="105"/>
        </w:rPr>
        <w:t> </w:t>
      </w:r>
      <w:r>
        <w:rPr>
          <w:color w:val="231F20"/>
          <w:w w:val="105"/>
        </w:rPr>
        <w:t>U.S.,</w:t>
      </w:r>
      <w:r>
        <w:rPr>
          <w:color w:val="231F20"/>
          <w:spacing w:val="-20"/>
          <w:w w:val="105"/>
        </w:rPr>
        <w:t> </w:t>
      </w:r>
      <w:r>
        <w:rPr>
          <w:color w:val="231F20"/>
          <w:w w:val="105"/>
        </w:rPr>
        <w:t>then</w:t>
      </w:r>
      <w:r>
        <w:rPr>
          <w:color w:val="231F20"/>
          <w:spacing w:val="-15"/>
          <w:w w:val="105"/>
        </w:rPr>
        <w:t> </w:t>
      </w:r>
      <w:r>
        <w:rPr>
          <w:color w:val="231F20"/>
          <w:w w:val="105"/>
        </w:rPr>
        <w:t>jokes</w:t>
      </w:r>
      <w:r>
        <w:rPr>
          <w:color w:val="231F20"/>
          <w:spacing w:val="-15"/>
          <w:w w:val="105"/>
        </w:rPr>
        <w:t> </w:t>
      </w:r>
      <w:r>
        <w:rPr>
          <w:color w:val="231F20"/>
          <w:w w:val="105"/>
        </w:rPr>
        <w:t>with</w:t>
      </w:r>
      <w:r>
        <w:rPr>
          <w:color w:val="231F20"/>
          <w:spacing w:val="-15"/>
          <w:w w:val="105"/>
        </w:rPr>
        <w:t> </w:t>
      </w:r>
      <w:r>
        <w:rPr>
          <w:color w:val="231F20"/>
          <w:w w:val="105"/>
        </w:rPr>
        <w:t>him,</w:t>
      </w:r>
      <w:r>
        <w:rPr>
          <w:color w:val="231F20"/>
          <w:spacing w:val="-20"/>
          <w:w w:val="105"/>
        </w:rPr>
        <w:t> </w:t>
      </w:r>
      <w:r>
        <w:rPr>
          <w:color w:val="231F20"/>
          <w:w w:val="105"/>
        </w:rPr>
        <w:t>and</w:t>
      </w:r>
      <w:r>
        <w:rPr>
          <w:color w:val="231F20"/>
          <w:spacing w:val="-14"/>
          <w:w w:val="105"/>
        </w:rPr>
        <w:t> </w:t>
      </w:r>
      <w:r>
        <w:rPr>
          <w:color w:val="231F20"/>
          <w:w w:val="105"/>
        </w:rPr>
        <w:t>his</w:t>
      </w:r>
      <w:r>
        <w:rPr>
          <w:color w:val="231F20"/>
          <w:spacing w:val="-15"/>
          <w:w w:val="105"/>
        </w:rPr>
        <w:t> </w:t>
      </w:r>
      <w:r>
        <w:rPr>
          <w:color w:val="231F20"/>
          <w:w w:val="105"/>
        </w:rPr>
        <w:t>uncle,</w:t>
      </w:r>
      <w:r>
        <w:rPr>
          <w:color w:val="231F20"/>
          <w:spacing w:val="-20"/>
          <w:w w:val="105"/>
        </w:rPr>
        <w:t> </w:t>
      </w:r>
      <w:r>
        <w:rPr>
          <w:color w:val="231F20"/>
          <w:w w:val="105"/>
        </w:rPr>
        <w:t>who lives</w:t>
      </w:r>
      <w:r>
        <w:rPr>
          <w:color w:val="231F20"/>
          <w:spacing w:val="-16"/>
          <w:w w:val="105"/>
        </w:rPr>
        <w:t> </w:t>
      </w:r>
      <w:r>
        <w:rPr>
          <w:color w:val="231F20"/>
          <w:w w:val="105"/>
        </w:rPr>
        <w:t>in</w:t>
      </w:r>
      <w:r>
        <w:rPr>
          <w:color w:val="231F20"/>
          <w:spacing w:val="-16"/>
          <w:w w:val="105"/>
        </w:rPr>
        <w:t> </w:t>
      </w:r>
      <w:r>
        <w:rPr>
          <w:color w:val="231F20"/>
          <w:w w:val="105"/>
        </w:rPr>
        <w:t>Mexico,</w:t>
      </w:r>
      <w:r>
        <w:rPr>
          <w:color w:val="231F20"/>
          <w:spacing w:val="-23"/>
          <w:w w:val="105"/>
        </w:rPr>
        <w:t> </w:t>
      </w:r>
      <w:r>
        <w:rPr>
          <w:color w:val="231F20"/>
          <w:w w:val="105"/>
        </w:rPr>
        <w:t>scolds</w:t>
      </w:r>
      <w:r>
        <w:rPr>
          <w:color w:val="231F20"/>
          <w:spacing w:val="-16"/>
          <w:w w:val="105"/>
        </w:rPr>
        <w:t> </w:t>
      </w:r>
      <w:r>
        <w:rPr>
          <w:color w:val="231F20"/>
          <w:w w:val="105"/>
        </w:rPr>
        <w:t>him</w:t>
      </w:r>
      <w:r>
        <w:rPr>
          <w:color w:val="231F20"/>
          <w:spacing w:val="-16"/>
          <w:w w:val="105"/>
        </w:rPr>
        <w:t> </w:t>
      </w:r>
      <w:r>
        <w:rPr>
          <w:color w:val="231F20"/>
          <w:w w:val="105"/>
        </w:rPr>
        <w:t>for</w:t>
      </w:r>
      <w:r>
        <w:rPr>
          <w:color w:val="231F20"/>
          <w:spacing w:val="-16"/>
          <w:w w:val="105"/>
        </w:rPr>
        <w:t> </w:t>
      </w:r>
      <w:r>
        <w:rPr>
          <w:color w:val="231F20"/>
          <w:w w:val="105"/>
        </w:rPr>
        <w:t>not</w:t>
      </w:r>
      <w:r>
        <w:rPr>
          <w:color w:val="231F20"/>
          <w:spacing w:val="-16"/>
          <w:w w:val="105"/>
        </w:rPr>
        <w:t> </w:t>
      </w:r>
      <w:r>
        <w:rPr>
          <w:color w:val="231F20"/>
          <w:w w:val="105"/>
        </w:rPr>
        <w:t>saying</w:t>
      </w:r>
      <w:r>
        <w:rPr>
          <w:color w:val="231F20"/>
          <w:spacing w:val="-16"/>
          <w:w w:val="105"/>
        </w:rPr>
        <w:t> </w:t>
      </w:r>
      <w:r>
        <w:rPr>
          <w:color w:val="231F20"/>
          <w:w w:val="105"/>
        </w:rPr>
        <w:t>goodbye.</w:t>
      </w:r>
      <w:r>
        <w:rPr>
          <w:color w:val="231F20"/>
          <w:spacing w:val="-27"/>
          <w:w w:val="105"/>
        </w:rPr>
        <w:t> </w:t>
      </w:r>
      <w:r>
        <w:rPr>
          <w:color w:val="231F20"/>
          <w:w w:val="105"/>
        </w:rPr>
        <w:t>The</w:t>
      </w:r>
      <w:r>
        <w:rPr>
          <w:color w:val="231F20"/>
          <w:spacing w:val="-16"/>
          <w:w w:val="105"/>
        </w:rPr>
        <w:t> </w:t>
      </w:r>
      <w:r>
        <w:rPr>
          <w:color w:val="231F20"/>
          <w:w w:val="105"/>
        </w:rPr>
        <w:t>column</w:t>
      </w:r>
      <w:r>
        <w:rPr>
          <w:color w:val="231F20"/>
          <w:spacing w:val="-16"/>
          <w:w w:val="105"/>
        </w:rPr>
        <w:t> </w:t>
      </w:r>
      <w:r>
        <w:rPr>
          <w:color w:val="231F20"/>
          <w:w w:val="105"/>
        </w:rPr>
        <w:t>on</w:t>
      </w:r>
      <w:r>
        <w:rPr>
          <w:color w:val="231F20"/>
          <w:spacing w:val="-16"/>
          <w:w w:val="105"/>
        </w:rPr>
        <w:t> </w:t>
      </w:r>
      <w:r>
        <w:rPr>
          <w:color w:val="231F20"/>
          <w:w w:val="105"/>
        </w:rPr>
        <w:t>the</w:t>
      </w:r>
      <w:r>
        <w:rPr>
          <w:color w:val="231F20"/>
          <w:spacing w:val="-16"/>
          <w:w w:val="105"/>
        </w:rPr>
        <w:t> </w:t>
      </w:r>
      <w:r>
        <w:rPr>
          <w:color w:val="231F20"/>
          <w:w w:val="105"/>
        </w:rPr>
        <w:t>far right has the components of the Facebook “longing for” conversations outlined</w:t>
      </w:r>
      <w:r>
        <w:rPr>
          <w:color w:val="231F20"/>
          <w:spacing w:val="-10"/>
          <w:w w:val="105"/>
        </w:rPr>
        <w:t> </w:t>
      </w:r>
      <w:r>
        <w:rPr>
          <w:color w:val="231F20"/>
          <w:w w:val="105"/>
        </w:rPr>
        <w:t>in</w:t>
      </w:r>
      <w:r>
        <w:rPr>
          <w:color w:val="231F20"/>
          <w:spacing w:val="-15"/>
          <w:w w:val="105"/>
        </w:rPr>
        <w:t> </w:t>
      </w:r>
      <w:r>
        <w:rPr>
          <w:color w:val="231F20"/>
          <w:spacing w:val="-5"/>
          <w:w w:val="105"/>
        </w:rPr>
        <w:t>Table</w:t>
      </w:r>
      <w:r>
        <w:rPr>
          <w:color w:val="231F20"/>
          <w:spacing w:val="-10"/>
          <w:w w:val="105"/>
        </w:rPr>
        <w:t> </w:t>
      </w:r>
      <w:r>
        <w:rPr>
          <w:color w:val="231F20"/>
          <w:w w:val="105"/>
        </w:rPr>
        <w:t>4.</w:t>
      </w:r>
      <w:r>
        <w:rPr>
          <w:color w:val="231F20"/>
          <w:spacing w:val="-15"/>
          <w:w w:val="105"/>
        </w:rPr>
        <w:t> </w:t>
      </w:r>
      <w:r>
        <w:rPr>
          <w:color w:val="231F20"/>
          <w:w w:val="105"/>
        </w:rPr>
        <w:t>Shaded</w:t>
      </w:r>
      <w:r>
        <w:rPr>
          <w:color w:val="231F20"/>
          <w:spacing w:val="-10"/>
          <w:w w:val="105"/>
        </w:rPr>
        <w:t> </w:t>
      </w:r>
      <w:r>
        <w:rPr>
          <w:color w:val="231F20"/>
          <w:w w:val="105"/>
        </w:rPr>
        <w:t>rows</w:t>
      </w:r>
      <w:r>
        <w:rPr>
          <w:color w:val="231F20"/>
          <w:spacing w:val="-10"/>
          <w:w w:val="105"/>
        </w:rPr>
        <w:t> </w:t>
      </w:r>
      <w:r>
        <w:rPr>
          <w:color w:val="231F20"/>
          <w:w w:val="105"/>
        </w:rPr>
        <w:t>represent</w:t>
      </w:r>
      <w:r>
        <w:rPr>
          <w:color w:val="231F20"/>
          <w:spacing w:val="-10"/>
          <w:w w:val="105"/>
        </w:rPr>
        <w:t> </w:t>
      </w:r>
      <w:r>
        <w:rPr>
          <w:color w:val="231F20"/>
          <w:w w:val="105"/>
        </w:rPr>
        <w:t>participants</w:t>
      </w:r>
      <w:r>
        <w:rPr>
          <w:color w:val="231F20"/>
          <w:spacing w:val="-10"/>
          <w:w w:val="105"/>
        </w:rPr>
        <w:t> </w:t>
      </w:r>
      <w:r>
        <w:rPr>
          <w:color w:val="231F20"/>
          <w:w w:val="105"/>
        </w:rPr>
        <w:t>who</w:t>
      </w:r>
      <w:r>
        <w:rPr>
          <w:color w:val="231F20"/>
          <w:spacing w:val="-10"/>
          <w:w w:val="105"/>
        </w:rPr>
        <w:t> </w:t>
      </w:r>
      <w:r>
        <w:rPr>
          <w:color w:val="231F20"/>
          <w:w w:val="105"/>
        </w:rPr>
        <w:t>wrote</w:t>
      </w:r>
      <w:r>
        <w:rPr>
          <w:color w:val="231F20"/>
          <w:spacing w:val="-10"/>
          <w:w w:val="105"/>
        </w:rPr>
        <w:t> </w:t>
      </w:r>
      <w:r>
        <w:rPr>
          <w:color w:val="231F20"/>
          <w:w w:val="105"/>
        </w:rPr>
        <w:t>these posts</w:t>
      </w:r>
      <w:r>
        <w:rPr>
          <w:color w:val="231F20"/>
          <w:spacing w:val="-17"/>
          <w:w w:val="105"/>
        </w:rPr>
        <w:t> </w:t>
      </w:r>
      <w:r>
        <w:rPr>
          <w:color w:val="231F20"/>
          <w:w w:val="105"/>
        </w:rPr>
        <w:t>while</w:t>
      </w:r>
      <w:r>
        <w:rPr>
          <w:color w:val="231F20"/>
          <w:spacing w:val="-17"/>
          <w:w w:val="105"/>
        </w:rPr>
        <w:t> </w:t>
      </w:r>
      <w:r>
        <w:rPr>
          <w:color w:val="231F20"/>
          <w:w w:val="105"/>
        </w:rPr>
        <w:t>they</w:t>
      </w:r>
      <w:r>
        <w:rPr>
          <w:color w:val="231F20"/>
          <w:spacing w:val="-17"/>
          <w:w w:val="105"/>
        </w:rPr>
        <w:t> </w:t>
      </w:r>
      <w:r>
        <w:rPr>
          <w:color w:val="231F20"/>
          <w:w w:val="105"/>
        </w:rPr>
        <w:t>were</w:t>
      </w:r>
      <w:r>
        <w:rPr>
          <w:color w:val="231F20"/>
          <w:spacing w:val="-17"/>
          <w:w w:val="105"/>
        </w:rPr>
        <w:t> </w:t>
      </w:r>
      <w:r>
        <w:rPr>
          <w:color w:val="231F20"/>
          <w:w w:val="105"/>
        </w:rPr>
        <w:t>in</w:t>
      </w:r>
      <w:r>
        <w:rPr>
          <w:color w:val="231F20"/>
          <w:spacing w:val="-17"/>
          <w:w w:val="105"/>
        </w:rPr>
        <w:t> </w:t>
      </w:r>
      <w:r>
        <w:rPr>
          <w:color w:val="231F20"/>
          <w:w w:val="105"/>
        </w:rPr>
        <w:t>Mexico</w:t>
      </w:r>
      <w:r>
        <w:rPr>
          <w:color w:val="231F20"/>
          <w:spacing w:val="-17"/>
          <w:w w:val="105"/>
        </w:rPr>
        <w:t> </w:t>
      </w:r>
      <w:r>
        <w:rPr>
          <w:color w:val="231F20"/>
          <w:w w:val="105"/>
        </w:rPr>
        <w:t>(see</w:t>
      </w:r>
      <w:r>
        <w:rPr>
          <w:color w:val="231F20"/>
          <w:spacing w:val="-17"/>
          <w:w w:val="105"/>
        </w:rPr>
        <w:t> </w:t>
      </w:r>
      <w:r>
        <w:rPr>
          <w:color w:val="231F20"/>
          <w:w w:val="105"/>
        </w:rPr>
        <w:t>table</w:t>
      </w:r>
      <w:r>
        <w:rPr>
          <w:color w:val="231F20"/>
          <w:spacing w:val="-17"/>
          <w:w w:val="105"/>
        </w:rPr>
        <w:t> </w:t>
      </w:r>
      <w:r>
        <w:rPr>
          <w:color w:val="231F20"/>
          <w:w w:val="105"/>
        </w:rPr>
        <w:t>5).</w:t>
      </w:r>
    </w:p>
    <w:p>
      <w:pPr>
        <w:pStyle w:val="BodyText"/>
        <w:spacing w:before="4"/>
      </w:pPr>
    </w:p>
    <w:p>
      <w:pPr>
        <w:spacing w:before="0"/>
        <w:ind w:left="3219" w:right="0" w:firstLine="0"/>
        <w:jc w:val="left"/>
        <w:rPr>
          <w:rFonts w:ascii="Arial" w:hAnsi="Arial"/>
          <w:sz w:val="18"/>
        </w:rPr>
      </w:pPr>
      <w:r>
        <w:rPr>
          <w:rFonts w:ascii="Arial" w:hAnsi="Arial"/>
          <w:color w:val="231F20"/>
          <w:w w:val="105"/>
          <w:sz w:val="18"/>
        </w:rPr>
        <w:t>Table 5. Conversation 4, “Good trip to Chicago”</w:t>
      </w:r>
    </w:p>
    <w:p>
      <w:pPr>
        <w:pStyle w:val="BodyText"/>
        <w:spacing w:before="5"/>
        <w:rPr>
          <w:rFonts w:ascii="Arial"/>
          <w:sz w:val="13"/>
        </w:rPr>
      </w:pPr>
    </w:p>
    <w:tbl>
      <w:tblPr>
        <w:tblW w:w="0" w:type="auto"/>
        <w:jc w:val="left"/>
        <w:tblInd w:w="2068"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43"/>
        <w:gridCol w:w="2665"/>
        <w:gridCol w:w="2665"/>
        <w:gridCol w:w="450"/>
      </w:tblGrid>
      <w:tr>
        <w:trPr>
          <w:trHeight w:val="1852" w:hRule="exact"/>
        </w:trPr>
        <w:tc>
          <w:tcPr>
            <w:tcW w:w="443" w:type="dxa"/>
          </w:tcPr>
          <w:p>
            <w:pPr>
              <w:pStyle w:val="TableParagraph"/>
              <w:ind w:left="77"/>
              <w:rPr>
                <w:sz w:val="18"/>
              </w:rPr>
            </w:pPr>
            <w:r>
              <w:rPr>
                <w:color w:val="231F20"/>
                <w:w w:val="104"/>
                <w:sz w:val="18"/>
              </w:rPr>
              <w:t>1</w:t>
            </w:r>
          </w:p>
        </w:tc>
        <w:tc>
          <w:tcPr>
            <w:tcW w:w="2665" w:type="dxa"/>
          </w:tcPr>
          <w:p>
            <w:pPr>
              <w:pStyle w:val="TableParagraph"/>
              <w:ind w:left="77"/>
              <w:jc w:val="both"/>
              <w:rPr>
                <w:sz w:val="18"/>
              </w:rPr>
            </w:pPr>
            <w:r>
              <w:rPr>
                <w:color w:val="231F20"/>
                <w:w w:val="105"/>
                <w:sz w:val="18"/>
              </w:rPr>
              <w:t>Fabián’s wall post:</w:t>
            </w:r>
          </w:p>
          <w:p>
            <w:pPr>
              <w:pStyle w:val="TableParagraph"/>
              <w:spacing w:line="254" w:lineRule="auto" w:before="12"/>
              <w:ind w:left="77" w:right="76"/>
              <w:jc w:val="both"/>
              <w:rPr>
                <w:sz w:val="18"/>
              </w:rPr>
            </w:pPr>
            <w:r>
              <w:rPr>
                <w:color w:val="231F20"/>
                <w:spacing w:val="7"/>
                <w:w w:val="105"/>
                <w:sz w:val="18"/>
              </w:rPr>
              <w:t>“Good </w:t>
            </w:r>
            <w:r>
              <w:rPr>
                <w:color w:val="231F20"/>
                <w:spacing w:val="6"/>
                <w:w w:val="105"/>
                <w:sz w:val="18"/>
              </w:rPr>
              <w:t>trip </w:t>
            </w:r>
            <w:r>
              <w:rPr>
                <w:color w:val="231F20"/>
                <w:spacing w:val="4"/>
                <w:w w:val="105"/>
                <w:sz w:val="18"/>
              </w:rPr>
              <w:t>to </w:t>
            </w:r>
            <w:r>
              <w:rPr>
                <w:color w:val="231F20"/>
                <w:spacing w:val="7"/>
                <w:w w:val="105"/>
                <w:sz w:val="18"/>
              </w:rPr>
              <w:t>Chicago </w:t>
            </w:r>
            <w:r>
              <w:rPr>
                <w:color w:val="231F20"/>
                <w:w w:val="150"/>
                <w:sz w:val="18"/>
              </w:rPr>
              <w:t>… </w:t>
            </w:r>
            <w:r>
              <w:rPr>
                <w:color w:val="231F20"/>
                <w:spacing w:val="2"/>
                <w:w w:val="105"/>
                <w:sz w:val="18"/>
              </w:rPr>
              <w:t>Michoacan </w:t>
            </w:r>
            <w:r>
              <w:rPr>
                <w:color w:val="231F20"/>
                <w:w w:val="105"/>
                <w:sz w:val="18"/>
              </w:rPr>
              <w:t>was the </w:t>
            </w:r>
            <w:r>
              <w:rPr>
                <w:color w:val="231F20"/>
                <w:spacing w:val="2"/>
                <w:w w:val="105"/>
                <w:sz w:val="18"/>
              </w:rPr>
              <w:t>best </w:t>
            </w:r>
            <w:r>
              <w:rPr>
                <w:color w:val="231F20"/>
                <w:w w:val="105"/>
                <w:sz w:val="18"/>
              </w:rPr>
              <w:t>like always,</w:t>
            </w:r>
            <w:r>
              <w:rPr>
                <w:color w:val="231F20"/>
                <w:spacing w:val="-36"/>
                <w:w w:val="105"/>
                <w:sz w:val="18"/>
              </w:rPr>
              <w:t> </w:t>
            </w:r>
            <w:r>
              <w:rPr>
                <w:color w:val="231F20"/>
                <w:w w:val="105"/>
                <w:sz w:val="18"/>
              </w:rPr>
              <w:t>that</w:t>
            </w:r>
            <w:r>
              <w:rPr>
                <w:color w:val="231F20"/>
                <w:spacing w:val="-32"/>
                <w:w w:val="105"/>
                <w:sz w:val="18"/>
              </w:rPr>
              <w:t> </w:t>
            </w:r>
            <w:r>
              <w:rPr>
                <w:color w:val="231F20"/>
                <w:w w:val="105"/>
                <w:sz w:val="18"/>
              </w:rPr>
              <w:t>horse</w:t>
            </w:r>
            <w:r>
              <w:rPr>
                <w:color w:val="231F20"/>
                <w:spacing w:val="-32"/>
                <w:w w:val="105"/>
                <w:sz w:val="18"/>
              </w:rPr>
              <w:t> </w:t>
            </w:r>
            <w:r>
              <w:rPr>
                <w:color w:val="231F20"/>
                <w:w w:val="105"/>
                <w:sz w:val="18"/>
              </w:rPr>
              <w:t>is</w:t>
            </w:r>
            <w:r>
              <w:rPr>
                <w:color w:val="231F20"/>
                <w:spacing w:val="-32"/>
                <w:w w:val="105"/>
                <w:sz w:val="18"/>
              </w:rPr>
              <w:t> </w:t>
            </w:r>
            <w:r>
              <w:rPr>
                <w:color w:val="231F20"/>
                <w:spacing w:val="-3"/>
                <w:w w:val="105"/>
                <w:sz w:val="18"/>
              </w:rPr>
              <w:t>probly</w:t>
            </w:r>
            <w:r>
              <w:rPr>
                <w:color w:val="231F20"/>
                <w:spacing w:val="-32"/>
                <w:w w:val="105"/>
                <w:sz w:val="18"/>
              </w:rPr>
              <w:t> </w:t>
            </w:r>
            <w:r>
              <w:rPr>
                <w:color w:val="231F20"/>
                <w:w w:val="105"/>
                <w:sz w:val="18"/>
              </w:rPr>
              <w:t>glad i</w:t>
            </w:r>
            <w:r>
              <w:rPr>
                <w:color w:val="231F20"/>
                <w:spacing w:val="-22"/>
                <w:w w:val="105"/>
                <w:sz w:val="18"/>
              </w:rPr>
              <w:t> </w:t>
            </w:r>
            <w:r>
              <w:rPr>
                <w:color w:val="231F20"/>
                <w:w w:val="105"/>
                <w:sz w:val="18"/>
              </w:rPr>
              <w:t>came</w:t>
            </w:r>
            <w:r>
              <w:rPr>
                <w:color w:val="231F20"/>
                <w:spacing w:val="-22"/>
                <w:w w:val="105"/>
                <w:sz w:val="18"/>
              </w:rPr>
              <w:t> </w:t>
            </w:r>
            <w:r>
              <w:rPr>
                <w:color w:val="231F20"/>
                <w:w w:val="105"/>
                <w:sz w:val="18"/>
              </w:rPr>
              <w:t>back</w:t>
            </w:r>
            <w:r>
              <w:rPr>
                <w:color w:val="231F20"/>
                <w:spacing w:val="-22"/>
                <w:w w:val="105"/>
                <w:sz w:val="18"/>
              </w:rPr>
              <w:t> </w:t>
            </w:r>
            <w:r>
              <w:rPr>
                <w:color w:val="231F20"/>
                <w:w w:val="105"/>
                <w:sz w:val="18"/>
              </w:rPr>
              <w:t>lol</w:t>
            </w:r>
            <w:r>
              <w:rPr>
                <w:color w:val="231F20"/>
                <w:spacing w:val="-22"/>
                <w:w w:val="105"/>
                <w:sz w:val="18"/>
              </w:rPr>
              <w:t> </w:t>
            </w:r>
            <w:r>
              <w:rPr>
                <w:color w:val="231F20"/>
                <w:w w:val="105"/>
                <w:sz w:val="18"/>
              </w:rPr>
              <w:t>but</w:t>
            </w:r>
            <w:r>
              <w:rPr>
                <w:color w:val="231F20"/>
                <w:spacing w:val="-22"/>
                <w:w w:val="105"/>
                <w:sz w:val="18"/>
              </w:rPr>
              <w:t> </w:t>
            </w:r>
            <w:r>
              <w:rPr>
                <w:color w:val="231F20"/>
                <w:w w:val="105"/>
                <w:sz w:val="18"/>
              </w:rPr>
              <w:t>i</w:t>
            </w:r>
            <w:r>
              <w:rPr>
                <w:color w:val="231F20"/>
                <w:spacing w:val="-22"/>
                <w:w w:val="105"/>
                <w:sz w:val="18"/>
              </w:rPr>
              <w:t> </w:t>
            </w:r>
            <w:r>
              <w:rPr>
                <w:color w:val="231F20"/>
                <w:w w:val="105"/>
                <w:sz w:val="18"/>
              </w:rPr>
              <w:t>had</w:t>
            </w:r>
            <w:r>
              <w:rPr>
                <w:color w:val="231F20"/>
                <w:spacing w:val="-22"/>
                <w:w w:val="105"/>
                <w:sz w:val="18"/>
              </w:rPr>
              <w:t> </w:t>
            </w:r>
            <w:r>
              <w:rPr>
                <w:color w:val="231F20"/>
                <w:w w:val="105"/>
                <w:sz w:val="18"/>
              </w:rPr>
              <w:t>a</w:t>
            </w:r>
            <w:r>
              <w:rPr>
                <w:color w:val="231F20"/>
                <w:spacing w:val="-22"/>
                <w:w w:val="105"/>
                <w:sz w:val="18"/>
              </w:rPr>
              <w:t> </w:t>
            </w:r>
            <w:r>
              <w:rPr>
                <w:color w:val="231F20"/>
                <w:spacing w:val="-3"/>
                <w:w w:val="105"/>
                <w:sz w:val="18"/>
              </w:rPr>
              <w:t>really </w:t>
            </w:r>
            <w:r>
              <w:rPr>
                <w:color w:val="231F20"/>
                <w:w w:val="105"/>
                <w:sz w:val="18"/>
              </w:rPr>
              <w:t>good time every time i was on him :) man I wanna go back</w:t>
            </w:r>
            <w:r>
              <w:rPr>
                <w:color w:val="231F20"/>
                <w:spacing w:val="-19"/>
                <w:w w:val="105"/>
                <w:sz w:val="18"/>
              </w:rPr>
              <w:t> </w:t>
            </w:r>
            <w:r>
              <w:rPr>
                <w:color w:val="231F20"/>
                <w:w w:val="105"/>
                <w:sz w:val="18"/>
              </w:rPr>
              <w:t>to </w:t>
            </w:r>
            <w:r>
              <w:rPr>
                <w:color w:val="231F20"/>
                <w:sz w:val="18"/>
              </w:rPr>
              <w:t>Michoacan</w:t>
            </w:r>
            <w:r>
              <w:rPr>
                <w:color w:val="231F20"/>
                <w:spacing w:val="30"/>
                <w:sz w:val="18"/>
              </w:rPr>
              <w:t> </w:t>
            </w:r>
            <w:r>
              <w:rPr>
                <w:color w:val="231F20"/>
                <w:spacing w:val="-3"/>
                <w:sz w:val="18"/>
              </w:rPr>
              <w:t>already.</w:t>
            </w:r>
          </w:p>
        </w:tc>
        <w:tc>
          <w:tcPr>
            <w:tcW w:w="2665" w:type="dxa"/>
          </w:tcPr>
          <w:p>
            <w:pPr>
              <w:pStyle w:val="TableParagraph"/>
              <w:spacing w:line="254" w:lineRule="auto"/>
              <w:ind w:left="77" w:right="71"/>
              <w:jc w:val="both"/>
              <w:rPr>
                <w:sz w:val="18"/>
              </w:rPr>
            </w:pPr>
            <w:r>
              <w:rPr>
                <w:color w:val="231F20"/>
                <w:spacing w:val="-3"/>
                <w:w w:val="105"/>
                <w:sz w:val="18"/>
              </w:rPr>
              <w:t>Buen</w:t>
            </w:r>
            <w:r>
              <w:rPr>
                <w:color w:val="231F20"/>
                <w:spacing w:val="-31"/>
                <w:w w:val="105"/>
                <w:sz w:val="18"/>
              </w:rPr>
              <w:t> </w:t>
            </w:r>
            <w:r>
              <w:rPr>
                <w:color w:val="231F20"/>
                <w:spacing w:val="-3"/>
                <w:w w:val="105"/>
                <w:sz w:val="18"/>
              </w:rPr>
              <w:t>viaje</w:t>
            </w:r>
            <w:r>
              <w:rPr>
                <w:color w:val="231F20"/>
                <w:spacing w:val="-31"/>
                <w:w w:val="105"/>
                <w:sz w:val="18"/>
              </w:rPr>
              <w:t> </w:t>
            </w:r>
            <w:r>
              <w:rPr>
                <w:color w:val="231F20"/>
                <w:w w:val="105"/>
                <w:sz w:val="18"/>
              </w:rPr>
              <w:t>a</w:t>
            </w:r>
            <w:r>
              <w:rPr>
                <w:color w:val="231F20"/>
                <w:spacing w:val="-31"/>
                <w:w w:val="105"/>
                <w:sz w:val="18"/>
              </w:rPr>
              <w:t> </w:t>
            </w:r>
            <w:r>
              <w:rPr>
                <w:color w:val="231F20"/>
                <w:spacing w:val="-3"/>
                <w:w w:val="105"/>
                <w:sz w:val="18"/>
              </w:rPr>
              <w:t>Chicago.</w:t>
            </w:r>
            <w:r>
              <w:rPr>
                <w:color w:val="231F20"/>
                <w:spacing w:val="-34"/>
                <w:w w:val="105"/>
                <w:sz w:val="18"/>
              </w:rPr>
              <w:t> </w:t>
            </w:r>
            <w:r>
              <w:rPr>
                <w:color w:val="231F20"/>
                <w:spacing w:val="-3"/>
                <w:w w:val="105"/>
                <w:sz w:val="18"/>
              </w:rPr>
              <w:t>Michocán </w:t>
            </w:r>
            <w:r>
              <w:rPr>
                <w:color w:val="231F20"/>
                <w:w w:val="105"/>
                <w:sz w:val="18"/>
              </w:rPr>
              <w:t>estuvo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lo</w:t>
            </w:r>
            <w:r>
              <w:rPr>
                <w:color w:val="231F20"/>
                <w:spacing w:val="-13"/>
                <w:w w:val="105"/>
                <w:sz w:val="18"/>
              </w:rPr>
              <w:t> </w:t>
            </w:r>
            <w:r>
              <w:rPr>
                <w:color w:val="231F20"/>
                <w:w w:val="105"/>
                <w:sz w:val="18"/>
              </w:rPr>
              <w:t>mejor</w:t>
            </w:r>
            <w:r>
              <w:rPr>
                <w:color w:val="231F20"/>
                <w:spacing w:val="-13"/>
                <w:w w:val="105"/>
                <w:sz w:val="18"/>
              </w:rPr>
              <w:t> </w:t>
            </w:r>
            <w:r>
              <w:rPr>
                <w:color w:val="231F20"/>
                <w:w w:val="105"/>
                <w:sz w:val="18"/>
              </w:rPr>
              <w:t>como</w:t>
            </w:r>
            <w:r>
              <w:rPr>
                <w:color w:val="231F20"/>
                <w:spacing w:val="-13"/>
                <w:w w:val="105"/>
                <w:sz w:val="18"/>
              </w:rPr>
              <w:t> </w:t>
            </w:r>
            <w:r>
              <w:rPr>
                <w:color w:val="231F20"/>
                <w:w w:val="105"/>
                <w:sz w:val="18"/>
              </w:rPr>
              <w:t>siem- </w:t>
            </w:r>
            <w:r>
              <w:rPr>
                <w:color w:val="231F20"/>
                <w:spacing w:val="-4"/>
                <w:w w:val="105"/>
                <w:sz w:val="18"/>
              </w:rPr>
              <w:t>pre.</w:t>
            </w:r>
            <w:r>
              <w:rPr>
                <w:color w:val="231F20"/>
                <w:spacing w:val="-26"/>
                <w:w w:val="105"/>
                <w:sz w:val="18"/>
              </w:rPr>
              <w:t> </w:t>
            </w:r>
            <w:r>
              <w:rPr>
                <w:color w:val="231F20"/>
                <w:spacing w:val="-3"/>
                <w:w w:val="105"/>
                <w:sz w:val="18"/>
              </w:rPr>
              <w:t>Ese</w:t>
            </w:r>
            <w:r>
              <w:rPr>
                <w:color w:val="231F20"/>
                <w:spacing w:val="-20"/>
                <w:w w:val="105"/>
                <w:sz w:val="18"/>
              </w:rPr>
              <w:t> </w:t>
            </w:r>
            <w:r>
              <w:rPr>
                <w:color w:val="231F20"/>
                <w:spacing w:val="-4"/>
                <w:w w:val="105"/>
                <w:sz w:val="18"/>
              </w:rPr>
              <w:t>caballo</w:t>
            </w:r>
            <w:r>
              <w:rPr>
                <w:color w:val="231F20"/>
                <w:spacing w:val="-20"/>
                <w:w w:val="105"/>
                <w:sz w:val="18"/>
              </w:rPr>
              <w:t> </w:t>
            </w:r>
            <w:r>
              <w:rPr>
                <w:color w:val="231F20"/>
                <w:spacing w:val="-5"/>
                <w:w w:val="105"/>
                <w:sz w:val="18"/>
              </w:rPr>
              <w:t>probablemente </w:t>
            </w:r>
            <w:r>
              <w:rPr>
                <w:color w:val="231F20"/>
                <w:w w:val="105"/>
                <w:sz w:val="18"/>
              </w:rPr>
              <w:t>está contento de que regresé  ( ja ja) pero me la </w:t>
            </w:r>
            <w:r>
              <w:rPr>
                <w:color w:val="231F20"/>
                <w:spacing w:val="2"/>
                <w:w w:val="105"/>
                <w:sz w:val="18"/>
              </w:rPr>
              <w:t>pasé </w:t>
            </w:r>
            <w:r>
              <w:rPr>
                <w:color w:val="231F20"/>
                <w:spacing w:val="3"/>
                <w:w w:val="105"/>
                <w:sz w:val="18"/>
              </w:rPr>
              <w:t>muy </w:t>
            </w:r>
            <w:r>
              <w:rPr>
                <w:color w:val="231F20"/>
                <w:w w:val="105"/>
                <w:sz w:val="18"/>
              </w:rPr>
              <w:t>bien cada vez que lo monté</w:t>
            </w:r>
            <w:r>
              <w:rPr>
                <w:color w:val="231F20"/>
                <w:spacing w:val="-15"/>
                <w:w w:val="105"/>
                <w:sz w:val="18"/>
              </w:rPr>
              <w:t> </w:t>
            </w:r>
            <w:r>
              <w:rPr>
                <w:color w:val="231F20"/>
                <w:w w:val="105"/>
                <w:sz w:val="18"/>
              </w:rPr>
              <w:t>:). Hombre, ya quiero regresar a Michoacán.</w:t>
            </w:r>
          </w:p>
        </w:tc>
        <w:tc>
          <w:tcPr>
            <w:tcW w:w="450" w:type="dxa"/>
          </w:tcPr>
          <w:p>
            <w:pPr>
              <w:pStyle w:val="TableParagraph"/>
              <w:ind w:left="3"/>
              <w:jc w:val="center"/>
              <w:rPr>
                <w:sz w:val="18"/>
              </w:rPr>
            </w:pPr>
            <w:r>
              <w:rPr>
                <w:color w:val="231F20"/>
                <w:w w:val="104"/>
                <w:sz w:val="18"/>
              </w:rPr>
              <w:t>A</w:t>
            </w:r>
          </w:p>
        </w:tc>
      </w:tr>
      <w:tr>
        <w:trPr>
          <w:trHeight w:val="340" w:hRule="exact"/>
        </w:trPr>
        <w:tc>
          <w:tcPr>
            <w:tcW w:w="443" w:type="dxa"/>
          </w:tcPr>
          <w:p>
            <w:pPr>
              <w:pStyle w:val="TableParagraph"/>
              <w:ind w:left="77"/>
              <w:rPr>
                <w:sz w:val="18"/>
              </w:rPr>
            </w:pPr>
            <w:r>
              <w:rPr>
                <w:color w:val="231F20"/>
                <w:w w:val="104"/>
                <w:sz w:val="18"/>
              </w:rPr>
              <w:t>2</w:t>
            </w:r>
          </w:p>
        </w:tc>
        <w:tc>
          <w:tcPr>
            <w:tcW w:w="2665" w:type="dxa"/>
          </w:tcPr>
          <w:p>
            <w:pPr>
              <w:pStyle w:val="TableParagraph"/>
              <w:ind w:left="77" w:right="1"/>
              <w:rPr>
                <w:sz w:val="18"/>
              </w:rPr>
            </w:pPr>
            <w:r>
              <w:rPr>
                <w:color w:val="231F20"/>
                <w:w w:val="105"/>
                <w:sz w:val="18"/>
              </w:rPr>
              <w:t>10 people like this.</w:t>
            </w:r>
          </w:p>
        </w:tc>
        <w:tc>
          <w:tcPr>
            <w:tcW w:w="2665" w:type="dxa"/>
          </w:tcPr>
          <w:p>
            <w:pPr/>
          </w:p>
        </w:tc>
        <w:tc>
          <w:tcPr>
            <w:tcW w:w="450" w:type="dxa"/>
          </w:tcPr>
          <w:p>
            <w:pPr/>
          </w:p>
        </w:tc>
      </w:tr>
      <w:tr>
        <w:trPr>
          <w:trHeight w:val="772" w:hRule="exact"/>
        </w:trPr>
        <w:tc>
          <w:tcPr>
            <w:tcW w:w="443" w:type="dxa"/>
          </w:tcPr>
          <w:p>
            <w:pPr>
              <w:pStyle w:val="TableParagraph"/>
              <w:ind w:left="77"/>
              <w:rPr>
                <w:sz w:val="18"/>
              </w:rPr>
            </w:pPr>
            <w:r>
              <w:rPr>
                <w:color w:val="231F20"/>
                <w:w w:val="104"/>
                <w:sz w:val="18"/>
              </w:rPr>
              <w:t>3</w:t>
            </w:r>
          </w:p>
        </w:tc>
        <w:tc>
          <w:tcPr>
            <w:tcW w:w="2665" w:type="dxa"/>
          </w:tcPr>
          <w:p>
            <w:pPr>
              <w:pStyle w:val="TableParagraph"/>
              <w:spacing w:line="254" w:lineRule="auto"/>
              <w:ind w:left="77" w:right="75"/>
              <w:jc w:val="both"/>
              <w:rPr>
                <w:sz w:val="18"/>
              </w:rPr>
            </w:pPr>
            <w:r>
              <w:rPr>
                <w:color w:val="231F20"/>
                <w:spacing w:val="-4"/>
                <w:w w:val="105"/>
                <w:sz w:val="18"/>
              </w:rPr>
              <w:t>Vania</w:t>
            </w:r>
            <w:r>
              <w:rPr>
                <w:color w:val="231F20"/>
                <w:spacing w:val="37"/>
                <w:w w:val="105"/>
                <w:sz w:val="18"/>
              </w:rPr>
              <w:t> </w:t>
            </w:r>
            <w:r>
              <w:rPr>
                <w:color w:val="231F20"/>
                <w:spacing w:val="-3"/>
                <w:w w:val="105"/>
                <w:sz w:val="18"/>
              </w:rPr>
              <w:t>The</w:t>
            </w:r>
            <w:r>
              <w:rPr>
                <w:color w:val="231F20"/>
                <w:spacing w:val="-29"/>
                <w:w w:val="105"/>
                <w:sz w:val="18"/>
              </w:rPr>
              <w:t> </w:t>
            </w:r>
            <w:r>
              <w:rPr>
                <w:color w:val="231F20"/>
                <w:w w:val="105"/>
                <w:sz w:val="18"/>
              </w:rPr>
              <w:t>family</w:t>
            </w:r>
            <w:r>
              <w:rPr>
                <w:color w:val="231F20"/>
                <w:spacing w:val="-29"/>
                <w:w w:val="105"/>
                <w:sz w:val="18"/>
              </w:rPr>
              <w:t> </w:t>
            </w:r>
            <w:r>
              <w:rPr>
                <w:color w:val="231F20"/>
                <w:w w:val="105"/>
                <w:sz w:val="18"/>
              </w:rPr>
              <w:t>and</w:t>
            </w:r>
            <w:r>
              <w:rPr>
                <w:color w:val="231F20"/>
                <w:spacing w:val="-29"/>
                <w:w w:val="105"/>
                <w:sz w:val="18"/>
              </w:rPr>
              <w:t> </w:t>
            </w:r>
            <w:r>
              <w:rPr>
                <w:color w:val="231F20"/>
                <w:w w:val="105"/>
                <w:sz w:val="18"/>
              </w:rPr>
              <w:t>the</w:t>
            </w:r>
            <w:r>
              <w:rPr>
                <w:color w:val="231F20"/>
                <w:spacing w:val="-29"/>
                <w:w w:val="105"/>
                <w:sz w:val="18"/>
              </w:rPr>
              <w:t> </w:t>
            </w:r>
            <w:r>
              <w:rPr>
                <w:color w:val="231F20"/>
                <w:w w:val="105"/>
                <w:sz w:val="18"/>
              </w:rPr>
              <w:t>horse are</w:t>
            </w:r>
            <w:r>
              <w:rPr>
                <w:color w:val="231F20"/>
                <w:spacing w:val="-16"/>
                <w:w w:val="105"/>
                <w:sz w:val="18"/>
              </w:rPr>
              <w:t> </w:t>
            </w:r>
            <w:r>
              <w:rPr>
                <w:color w:val="231F20"/>
                <w:w w:val="105"/>
                <w:sz w:val="18"/>
              </w:rPr>
              <w:t>happy</w:t>
            </w:r>
            <w:r>
              <w:rPr>
                <w:color w:val="231F20"/>
                <w:spacing w:val="-16"/>
                <w:w w:val="105"/>
                <w:sz w:val="18"/>
              </w:rPr>
              <w:t> </w:t>
            </w:r>
            <w:r>
              <w:rPr>
                <w:color w:val="231F20"/>
                <w:w w:val="105"/>
                <w:sz w:val="18"/>
              </w:rPr>
              <w:t>your</w:t>
            </w:r>
            <w:r>
              <w:rPr>
                <w:color w:val="231F20"/>
                <w:spacing w:val="-16"/>
                <w:w w:val="105"/>
                <w:sz w:val="18"/>
              </w:rPr>
              <w:t> </w:t>
            </w:r>
            <w:r>
              <w:rPr>
                <w:color w:val="231F20"/>
                <w:w w:val="105"/>
                <w:sz w:val="18"/>
              </w:rPr>
              <w:t>back!</w:t>
            </w:r>
            <w:r>
              <w:rPr>
                <w:color w:val="231F20"/>
                <w:spacing w:val="-16"/>
                <w:w w:val="105"/>
                <w:sz w:val="18"/>
              </w:rPr>
              <w:t> </w:t>
            </w:r>
            <w:r>
              <w:rPr>
                <w:color w:val="231F20"/>
                <w:spacing w:val="-3"/>
                <w:w w:val="105"/>
                <w:sz w:val="18"/>
              </w:rPr>
              <w:t>LOL</w:t>
            </w:r>
            <w:r>
              <w:rPr>
                <w:color w:val="231F20"/>
                <w:spacing w:val="-21"/>
                <w:w w:val="105"/>
                <w:sz w:val="18"/>
              </w:rPr>
              <w:t> </w:t>
            </w:r>
            <w:r>
              <w:rPr>
                <w:color w:val="231F20"/>
                <w:spacing w:val="-3"/>
                <w:w w:val="105"/>
                <w:sz w:val="18"/>
              </w:rPr>
              <w:t>Wel- </w:t>
            </w:r>
            <w:r>
              <w:rPr>
                <w:color w:val="231F20"/>
                <w:w w:val="105"/>
                <w:sz w:val="18"/>
              </w:rPr>
              <w:t>come </w:t>
            </w:r>
            <w:r>
              <w:rPr>
                <w:color w:val="231F20"/>
                <w:spacing w:val="4"/>
                <w:w w:val="105"/>
                <w:sz w:val="18"/>
              </w:rPr>
              <w:t> </w:t>
            </w:r>
            <w:r>
              <w:rPr>
                <w:color w:val="231F20"/>
                <w:w w:val="105"/>
                <w:sz w:val="18"/>
              </w:rPr>
              <w:t>home….</w:t>
            </w:r>
          </w:p>
        </w:tc>
        <w:tc>
          <w:tcPr>
            <w:tcW w:w="2665" w:type="dxa"/>
          </w:tcPr>
          <w:p>
            <w:pPr>
              <w:pStyle w:val="TableParagraph"/>
              <w:spacing w:line="254" w:lineRule="auto"/>
              <w:ind w:left="77" w:right="75"/>
              <w:jc w:val="both"/>
              <w:rPr>
                <w:sz w:val="18"/>
              </w:rPr>
            </w:pPr>
            <w:r>
              <w:rPr>
                <w:color w:val="231F20"/>
                <w:w w:val="105"/>
                <w:sz w:val="18"/>
              </w:rPr>
              <w:t>La</w:t>
            </w:r>
            <w:r>
              <w:rPr>
                <w:color w:val="231F20"/>
                <w:spacing w:val="-29"/>
                <w:w w:val="105"/>
                <w:sz w:val="18"/>
              </w:rPr>
              <w:t> </w:t>
            </w:r>
            <w:r>
              <w:rPr>
                <w:color w:val="231F20"/>
                <w:w w:val="105"/>
                <w:sz w:val="18"/>
              </w:rPr>
              <w:t>familia</w:t>
            </w:r>
            <w:r>
              <w:rPr>
                <w:color w:val="231F20"/>
                <w:spacing w:val="-29"/>
                <w:w w:val="105"/>
                <w:sz w:val="18"/>
              </w:rPr>
              <w:t> </w:t>
            </w:r>
            <w:r>
              <w:rPr>
                <w:color w:val="231F20"/>
                <w:w w:val="105"/>
                <w:sz w:val="18"/>
              </w:rPr>
              <w:t>y</w:t>
            </w:r>
            <w:r>
              <w:rPr>
                <w:color w:val="231F20"/>
                <w:spacing w:val="-29"/>
                <w:w w:val="105"/>
                <w:sz w:val="18"/>
              </w:rPr>
              <w:t> </w:t>
            </w:r>
            <w:r>
              <w:rPr>
                <w:color w:val="231F20"/>
                <w:w w:val="105"/>
                <w:sz w:val="18"/>
              </w:rPr>
              <w:t>el</w:t>
            </w:r>
            <w:r>
              <w:rPr>
                <w:color w:val="231F20"/>
                <w:spacing w:val="-29"/>
                <w:w w:val="105"/>
                <w:sz w:val="18"/>
              </w:rPr>
              <w:t> </w:t>
            </w:r>
            <w:r>
              <w:rPr>
                <w:color w:val="231F20"/>
                <w:w w:val="105"/>
                <w:sz w:val="18"/>
              </w:rPr>
              <w:t>caballo</w:t>
            </w:r>
            <w:r>
              <w:rPr>
                <w:color w:val="231F20"/>
                <w:spacing w:val="-29"/>
                <w:w w:val="105"/>
                <w:sz w:val="18"/>
              </w:rPr>
              <w:t> </w:t>
            </w:r>
            <w:r>
              <w:rPr>
                <w:color w:val="231F20"/>
                <w:w w:val="105"/>
                <w:sz w:val="18"/>
              </w:rPr>
              <w:t>están</w:t>
            </w:r>
            <w:r>
              <w:rPr>
                <w:color w:val="231F20"/>
                <w:spacing w:val="-29"/>
                <w:w w:val="105"/>
                <w:sz w:val="18"/>
              </w:rPr>
              <w:t> </w:t>
            </w:r>
            <w:r>
              <w:rPr>
                <w:color w:val="231F20"/>
                <w:w w:val="105"/>
                <w:sz w:val="18"/>
              </w:rPr>
              <w:t>feli- ces</w:t>
            </w:r>
            <w:r>
              <w:rPr>
                <w:color w:val="231F20"/>
                <w:spacing w:val="-24"/>
                <w:w w:val="105"/>
                <w:sz w:val="18"/>
              </w:rPr>
              <w:t> </w:t>
            </w:r>
            <w:r>
              <w:rPr>
                <w:color w:val="231F20"/>
                <w:w w:val="105"/>
                <w:sz w:val="18"/>
              </w:rPr>
              <w:t>de</w:t>
            </w:r>
            <w:r>
              <w:rPr>
                <w:color w:val="231F20"/>
                <w:spacing w:val="-24"/>
                <w:w w:val="105"/>
                <w:sz w:val="18"/>
              </w:rPr>
              <w:t> </w:t>
            </w:r>
            <w:r>
              <w:rPr>
                <w:color w:val="231F20"/>
                <w:w w:val="105"/>
                <w:sz w:val="18"/>
              </w:rPr>
              <w:t>que</w:t>
            </w:r>
            <w:r>
              <w:rPr>
                <w:color w:val="231F20"/>
                <w:spacing w:val="-24"/>
                <w:w w:val="105"/>
                <w:sz w:val="18"/>
              </w:rPr>
              <w:t> </w:t>
            </w:r>
            <w:r>
              <w:rPr>
                <w:color w:val="231F20"/>
                <w:w w:val="105"/>
                <w:sz w:val="18"/>
              </w:rPr>
              <w:t>estés</w:t>
            </w:r>
            <w:r>
              <w:rPr>
                <w:color w:val="231F20"/>
                <w:spacing w:val="-24"/>
                <w:w w:val="105"/>
                <w:sz w:val="18"/>
              </w:rPr>
              <w:t> </w:t>
            </w:r>
            <w:r>
              <w:rPr>
                <w:color w:val="231F20"/>
                <w:w w:val="105"/>
                <w:sz w:val="18"/>
              </w:rPr>
              <w:t>de</w:t>
            </w:r>
            <w:r>
              <w:rPr>
                <w:color w:val="231F20"/>
                <w:spacing w:val="-24"/>
                <w:w w:val="105"/>
                <w:sz w:val="18"/>
              </w:rPr>
              <w:t> </w:t>
            </w:r>
            <w:r>
              <w:rPr>
                <w:color w:val="231F20"/>
                <w:spacing w:val="-3"/>
                <w:w w:val="105"/>
                <w:sz w:val="18"/>
              </w:rPr>
              <w:t>regreso.</w:t>
            </w:r>
            <w:r>
              <w:rPr>
                <w:color w:val="231F20"/>
                <w:spacing w:val="-30"/>
                <w:w w:val="105"/>
                <w:sz w:val="18"/>
              </w:rPr>
              <w:t> </w:t>
            </w:r>
            <w:r>
              <w:rPr>
                <w:color w:val="231F20"/>
                <w:w w:val="105"/>
                <w:sz w:val="18"/>
              </w:rPr>
              <w:t>Ja ja</w:t>
            </w:r>
            <w:r>
              <w:rPr>
                <w:color w:val="231F20"/>
                <w:spacing w:val="-28"/>
                <w:w w:val="105"/>
                <w:sz w:val="18"/>
              </w:rPr>
              <w:t> </w:t>
            </w:r>
            <w:r>
              <w:rPr>
                <w:color w:val="231F20"/>
                <w:w w:val="105"/>
                <w:sz w:val="18"/>
              </w:rPr>
              <w:t>ja</w:t>
            </w:r>
            <w:r>
              <w:rPr>
                <w:color w:val="231F20"/>
                <w:spacing w:val="-28"/>
                <w:w w:val="105"/>
                <w:sz w:val="18"/>
              </w:rPr>
              <w:t> </w:t>
            </w:r>
            <w:r>
              <w:rPr>
                <w:color w:val="231F20"/>
                <w:w w:val="105"/>
                <w:sz w:val="18"/>
              </w:rPr>
              <w:t>Bienvenido</w:t>
            </w:r>
            <w:r>
              <w:rPr>
                <w:color w:val="231F20"/>
                <w:spacing w:val="-28"/>
                <w:w w:val="105"/>
                <w:sz w:val="18"/>
              </w:rPr>
              <w:t> </w:t>
            </w:r>
            <w:r>
              <w:rPr>
                <w:color w:val="231F20"/>
                <w:w w:val="105"/>
                <w:sz w:val="18"/>
              </w:rPr>
              <w:t>a</w:t>
            </w:r>
            <w:r>
              <w:rPr>
                <w:color w:val="231F20"/>
                <w:spacing w:val="-28"/>
                <w:w w:val="105"/>
                <w:sz w:val="18"/>
              </w:rPr>
              <w:t> </w:t>
            </w:r>
            <w:r>
              <w:rPr>
                <w:color w:val="231F20"/>
                <w:w w:val="105"/>
                <w:sz w:val="18"/>
              </w:rPr>
              <w:t>casa</w:t>
            </w:r>
          </w:p>
        </w:tc>
        <w:tc>
          <w:tcPr>
            <w:tcW w:w="450" w:type="dxa"/>
          </w:tcPr>
          <w:p>
            <w:pPr>
              <w:pStyle w:val="TableParagraph"/>
              <w:jc w:val="center"/>
              <w:rPr>
                <w:sz w:val="18"/>
              </w:rPr>
            </w:pPr>
            <w:r>
              <w:rPr>
                <w:color w:val="231F20"/>
                <w:w w:val="95"/>
                <w:sz w:val="18"/>
              </w:rPr>
              <w:t>B</w:t>
            </w:r>
          </w:p>
        </w:tc>
      </w:tr>
      <w:tr>
        <w:trPr>
          <w:trHeight w:val="340" w:hRule="exact"/>
        </w:trPr>
        <w:tc>
          <w:tcPr>
            <w:tcW w:w="443" w:type="dxa"/>
          </w:tcPr>
          <w:p>
            <w:pPr>
              <w:pStyle w:val="TableParagraph"/>
              <w:ind w:left="77"/>
              <w:rPr>
                <w:sz w:val="18"/>
              </w:rPr>
            </w:pPr>
            <w:r>
              <w:rPr>
                <w:color w:val="231F20"/>
                <w:w w:val="104"/>
                <w:sz w:val="18"/>
              </w:rPr>
              <w:t>4</w:t>
            </w:r>
          </w:p>
        </w:tc>
        <w:tc>
          <w:tcPr>
            <w:tcW w:w="2665" w:type="dxa"/>
          </w:tcPr>
          <w:p>
            <w:pPr>
              <w:pStyle w:val="TableParagraph"/>
              <w:ind w:left="77" w:right="1"/>
              <w:rPr>
                <w:sz w:val="18"/>
              </w:rPr>
            </w:pPr>
            <w:r>
              <w:rPr>
                <w:color w:val="231F20"/>
                <w:sz w:val="18"/>
              </w:rPr>
              <w:t>Fabián   Lol wich family ?</w:t>
            </w:r>
          </w:p>
        </w:tc>
        <w:tc>
          <w:tcPr>
            <w:tcW w:w="2665" w:type="dxa"/>
          </w:tcPr>
          <w:p>
            <w:pPr>
              <w:pStyle w:val="TableParagraph"/>
              <w:ind w:left="77" w:right="1"/>
              <w:rPr>
                <w:sz w:val="18"/>
              </w:rPr>
            </w:pPr>
            <w:r>
              <w:rPr>
                <w:color w:val="231F20"/>
                <w:sz w:val="18"/>
              </w:rPr>
              <w:t>Ja ja ¿Cuál familia?</w:t>
            </w:r>
          </w:p>
        </w:tc>
        <w:tc>
          <w:tcPr>
            <w:tcW w:w="450" w:type="dxa"/>
          </w:tcPr>
          <w:p>
            <w:pPr>
              <w:pStyle w:val="TableParagraph"/>
              <w:jc w:val="center"/>
              <w:rPr>
                <w:sz w:val="18"/>
              </w:rPr>
            </w:pPr>
            <w:r>
              <w:rPr>
                <w:color w:val="231F20"/>
                <w:w w:val="95"/>
                <w:sz w:val="18"/>
              </w:rPr>
              <w:t>B</w:t>
            </w:r>
          </w:p>
        </w:tc>
      </w:tr>
      <w:tr>
        <w:trPr>
          <w:trHeight w:val="772" w:hRule="exact"/>
        </w:trPr>
        <w:tc>
          <w:tcPr>
            <w:tcW w:w="443" w:type="dxa"/>
          </w:tcPr>
          <w:p>
            <w:pPr>
              <w:pStyle w:val="TableParagraph"/>
              <w:ind w:left="77"/>
              <w:rPr>
                <w:sz w:val="18"/>
              </w:rPr>
            </w:pPr>
            <w:r>
              <w:rPr>
                <w:color w:val="231F20"/>
                <w:w w:val="104"/>
                <w:sz w:val="18"/>
              </w:rPr>
              <w:t>5</w:t>
            </w:r>
          </w:p>
        </w:tc>
        <w:tc>
          <w:tcPr>
            <w:tcW w:w="2665" w:type="dxa"/>
          </w:tcPr>
          <w:p>
            <w:pPr>
              <w:pStyle w:val="TableParagraph"/>
              <w:tabs>
                <w:tab w:pos="699" w:val="left" w:leader="none"/>
              </w:tabs>
              <w:spacing w:line="254" w:lineRule="auto"/>
              <w:ind w:left="77" w:right="71"/>
              <w:rPr>
                <w:sz w:val="18"/>
              </w:rPr>
            </w:pPr>
            <w:r>
              <w:rPr>
                <w:color w:val="231F20"/>
                <w:w w:val="105"/>
                <w:sz w:val="18"/>
              </w:rPr>
              <w:t>Raul</w:t>
              <w:tab/>
              <w:t>Ni dijiste</w:t>
            </w:r>
            <w:r>
              <w:rPr>
                <w:color w:val="231F20"/>
                <w:spacing w:val="-11"/>
                <w:w w:val="105"/>
                <w:sz w:val="18"/>
              </w:rPr>
              <w:t> </w:t>
            </w:r>
            <w:r>
              <w:rPr>
                <w:color w:val="231F20"/>
                <w:w w:val="105"/>
                <w:sz w:val="18"/>
              </w:rPr>
              <w:t>adios</w:t>
            </w:r>
            <w:r>
              <w:rPr>
                <w:color w:val="231F20"/>
                <w:spacing w:val="-6"/>
                <w:w w:val="105"/>
                <w:sz w:val="18"/>
              </w:rPr>
              <w:t> </w:t>
            </w:r>
            <w:r>
              <w:rPr>
                <w:color w:val="231F20"/>
                <w:w w:val="105"/>
                <w:sz w:val="18"/>
              </w:rPr>
              <w:t>cabron,</w:t>
            </w:r>
            <w:r>
              <w:rPr>
                <w:color w:val="231F20"/>
                <w:spacing w:val="-1"/>
                <w:w w:val="104"/>
                <w:sz w:val="18"/>
              </w:rPr>
              <w:t> </w:t>
            </w:r>
            <w:r>
              <w:rPr>
                <w:color w:val="231F20"/>
                <w:w w:val="105"/>
                <w:sz w:val="18"/>
              </w:rPr>
              <w:t>miss</w:t>
            </w:r>
            <w:r>
              <w:rPr>
                <w:color w:val="231F20"/>
                <w:spacing w:val="-22"/>
                <w:w w:val="105"/>
                <w:sz w:val="18"/>
              </w:rPr>
              <w:t> </w:t>
            </w:r>
            <w:r>
              <w:rPr>
                <w:color w:val="231F20"/>
                <w:w w:val="105"/>
                <w:sz w:val="18"/>
              </w:rPr>
              <w:t>you</w:t>
            </w:r>
            <w:r>
              <w:rPr>
                <w:color w:val="231F20"/>
                <w:spacing w:val="-22"/>
                <w:w w:val="105"/>
                <w:sz w:val="18"/>
              </w:rPr>
              <w:t> </w:t>
            </w:r>
            <w:r>
              <w:rPr>
                <w:color w:val="231F20"/>
                <w:w w:val="105"/>
                <w:sz w:val="18"/>
              </w:rPr>
              <w:t>already</w:t>
            </w:r>
            <w:r>
              <w:rPr>
                <w:color w:val="231F20"/>
                <w:spacing w:val="-22"/>
                <w:w w:val="105"/>
                <w:sz w:val="18"/>
              </w:rPr>
              <w:t> </w:t>
            </w:r>
            <w:r>
              <w:rPr>
                <w:color w:val="231F20"/>
                <w:spacing w:val="-3"/>
                <w:w w:val="105"/>
                <w:sz w:val="18"/>
              </w:rPr>
              <w:t>broo..</w:t>
            </w:r>
          </w:p>
        </w:tc>
        <w:tc>
          <w:tcPr>
            <w:tcW w:w="2665" w:type="dxa"/>
          </w:tcPr>
          <w:p>
            <w:pPr>
              <w:pStyle w:val="TableParagraph"/>
              <w:spacing w:line="254" w:lineRule="auto"/>
              <w:ind w:left="77" w:right="73"/>
              <w:jc w:val="both"/>
              <w:rPr>
                <w:sz w:val="18"/>
              </w:rPr>
            </w:pPr>
            <w:r>
              <w:rPr>
                <w:color w:val="231F20"/>
                <w:sz w:val="18"/>
              </w:rPr>
              <w:t>You didn’t even say goodbye dumbass, ya te extraño [her] mano</w:t>
            </w:r>
          </w:p>
        </w:tc>
        <w:tc>
          <w:tcPr>
            <w:tcW w:w="450" w:type="dxa"/>
          </w:tcPr>
          <w:p>
            <w:pPr>
              <w:pStyle w:val="TableParagraph"/>
              <w:jc w:val="center"/>
              <w:rPr>
                <w:sz w:val="18"/>
              </w:rPr>
            </w:pPr>
            <w:r>
              <w:rPr>
                <w:color w:val="231F20"/>
                <w:w w:val="104"/>
                <w:sz w:val="18"/>
              </w:rPr>
              <w:t>D</w:t>
            </w:r>
          </w:p>
        </w:tc>
      </w:tr>
      <w:tr>
        <w:trPr>
          <w:trHeight w:val="556" w:hRule="exact"/>
        </w:trPr>
        <w:tc>
          <w:tcPr>
            <w:tcW w:w="443" w:type="dxa"/>
          </w:tcPr>
          <w:p>
            <w:pPr>
              <w:pStyle w:val="TableParagraph"/>
              <w:ind w:left="77"/>
              <w:rPr>
                <w:sz w:val="18"/>
              </w:rPr>
            </w:pPr>
            <w:r>
              <w:rPr>
                <w:color w:val="231F20"/>
                <w:w w:val="104"/>
                <w:sz w:val="18"/>
              </w:rPr>
              <w:t>6</w:t>
            </w:r>
          </w:p>
        </w:tc>
        <w:tc>
          <w:tcPr>
            <w:tcW w:w="2665" w:type="dxa"/>
          </w:tcPr>
          <w:p>
            <w:pPr>
              <w:pStyle w:val="TableParagraph"/>
              <w:spacing w:line="254" w:lineRule="auto"/>
              <w:ind w:left="77" w:right="1"/>
              <w:rPr>
                <w:sz w:val="18"/>
              </w:rPr>
            </w:pPr>
            <w:r>
              <w:rPr>
                <w:color w:val="231F20"/>
                <w:w w:val="105"/>
                <w:sz w:val="18"/>
              </w:rPr>
              <w:t>Fabián Dude! I found out I was leaving when I got home.</w:t>
            </w:r>
          </w:p>
        </w:tc>
        <w:tc>
          <w:tcPr>
            <w:tcW w:w="2665" w:type="dxa"/>
          </w:tcPr>
          <w:p>
            <w:pPr>
              <w:pStyle w:val="TableParagraph"/>
              <w:spacing w:line="254" w:lineRule="auto"/>
              <w:ind w:left="77" w:right="67"/>
              <w:rPr>
                <w:sz w:val="18"/>
              </w:rPr>
            </w:pPr>
            <w:r>
              <w:rPr>
                <w:color w:val="231F20"/>
                <w:w w:val="105"/>
                <w:sz w:val="18"/>
              </w:rPr>
              <w:t>Güey!</w:t>
            </w:r>
            <w:r>
              <w:rPr>
                <w:color w:val="231F20"/>
                <w:spacing w:val="-22"/>
                <w:w w:val="105"/>
                <w:sz w:val="18"/>
              </w:rPr>
              <w:t> </w:t>
            </w:r>
            <w:r>
              <w:rPr>
                <w:color w:val="231F20"/>
                <w:w w:val="105"/>
                <w:sz w:val="18"/>
              </w:rPr>
              <w:t>Me</w:t>
            </w:r>
            <w:r>
              <w:rPr>
                <w:color w:val="231F20"/>
                <w:spacing w:val="-22"/>
                <w:w w:val="105"/>
                <w:sz w:val="18"/>
              </w:rPr>
              <w:t> </w:t>
            </w:r>
            <w:r>
              <w:rPr>
                <w:color w:val="231F20"/>
                <w:spacing w:val="-3"/>
                <w:w w:val="105"/>
                <w:sz w:val="18"/>
              </w:rPr>
              <w:t>enteré</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que</w:t>
            </w:r>
            <w:r>
              <w:rPr>
                <w:color w:val="231F20"/>
                <w:spacing w:val="-22"/>
                <w:w w:val="105"/>
                <w:sz w:val="18"/>
              </w:rPr>
              <w:t> </w:t>
            </w:r>
            <w:r>
              <w:rPr>
                <w:color w:val="231F20"/>
                <w:w w:val="105"/>
                <w:sz w:val="18"/>
              </w:rPr>
              <w:t>me</w:t>
            </w:r>
            <w:r>
              <w:rPr>
                <w:color w:val="231F20"/>
                <w:spacing w:val="-22"/>
                <w:w w:val="105"/>
                <w:sz w:val="18"/>
              </w:rPr>
              <w:t> </w:t>
            </w:r>
            <w:r>
              <w:rPr>
                <w:color w:val="231F20"/>
                <w:w w:val="105"/>
                <w:sz w:val="18"/>
              </w:rPr>
              <w:t>iba a</w:t>
            </w:r>
            <w:r>
              <w:rPr>
                <w:color w:val="231F20"/>
                <w:spacing w:val="-19"/>
                <w:w w:val="105"/>
                <w:sz w:val="18"/>
              </w:rPr>
              <w:t> </w:t>
            </w:r>
            <w:r>
              <w:rPr>
                <w:color w:val="231F20"/>
                <w:w w:val="105"/>
                <w:sz w:val="18"/>
              </w:rPr>
              <w:t>ir</w:t>
            </w:r>
            <w:r>
              <w:rPr>
                <w:color w:val="231F20"/>
                <w:spacing w:val="-19"/>
                <w:w w:val="105"/>
                <w:sz w:val="18"/>
              </w:rPr>
              <w:t> </w:t>
            </w:r>
            <w:r>
              <w:rPr>
                <w:color w:val="231F20"/>
                <w:w w:val="105"/>
                <w:sz w:val="18"/>
              </w:rPr>
              <w:t>cuando</w:t>
            </w:r>
            <w:r>
              <w:rPr>
                <w:color w:val="231F20"/>
                <w:spacing w:val="-19"/>
                <w:w w:val="105"/>
                <w:sz w:val="18"/>
              </w:rPr>
              <w:t> </w:t>
            </w:r>
            <w:r>
              <w:rPr>
                <w:color w:val="231F20"/>
                <w:w w:val="105"/>
                <w:sz w:val="18"/>
              </w:rPr>
              <w:t>llegué</w:t>
            </w:r>
            <w:r>
              <w:rPr>
                <w:color w:val="231F20"/>
                <w:spacing w:val="-19"/>
                <w:w w:val="105"/>
                <w:sz w:val="18"/>
              </w:rPr>
              <w:t> </w:t>
            </w:r>
            <w:r>
              <w:rPr>
                <w:color w:val="231F20"/>
                <w:w w:val="105"/>
                <w:sz w:val="18"/>
              </w:rPr>
              <w:t>a</w:t>
            </w:r>
            <w:r>
              <w:rPr>
                <w:color w:val="231F20"/>
                <w:spacing w:val="-19"/>
                <w:w w:val="105"/>
                <w:sz w:val="18"/>
              </w:rPr>
              <w:t> </w:t>
            </w:r>
            <w:r>
              <w:rPr>
                <w:color w:val="231F20"/>
                <w:w w:val="105"/>
                <w:sz w:val="18"/>
              </w:rPr>
              <w:t>la</w:t>
            </w:r>
            <w:r>
              <w:rPr>
                <w:color w:val="231F20"/>
                <w:spacing w:val="-19"/>
                <w:w w:val="105"/>
                <w:sz w:val="18"/>
              </w:rPr>
              <w:t> </w:t>
            </w:r>
            <w:r>
              <w:rPr>
                <w:color w:val="231F20"/>
                <w:w w:val="105"/>
                <w:sz w:val="18"/>
              </w:rPr>
              <w:t>casa</w:t>
            </w:r>
          </w:p>
        </w:tc>
        <w:tc>
          <w:tcPr>
            <w:tcW w:w="450" w:type="dxa"/>
          </w:tcPr>
          <w:p>
            <w:pPr>
              <w:pStyle w:val="TableParagraph"/>
              <w:jc w:val="center"/>
              <w:rPr>
                <w:sz w:val="18"/>
              </w:rPr>
            </w:pPr>
            <w:r>
              <w:rPr>
                <w:color w:val="231F20"/>
                <w:w w:val="95"/>
                <w:sz w:val="18"/>
              </w:rPr>
              <w:t>B</w:t>
            </w:r>
          </w:p>
        </w:tc>
      </w:tr>
      <w:tr>
        <w:trPr>
          <w:trHeight w:val="340" w:hRule="exact"/>
        </w:trPr>
        <w:tc>
          <w:tcPr>
            <w:tcW w:w="443" w:type="dxa"/>
          </w:tcPr>
          <w:p>
            <w:pPr>
              <w:pStyle w:val="TableParagraph"/>
              <w:ind w:left="77"/>
              <w:rPr>
                <w:sz w:val="18"/>
              </w:rPr>
            </w:pPr>
            <w:r>
              <w:rPr>
                <w:color w:val="231F20"/>
                <w:w w:val="104"/>
                <w:sz w:val="18"/>
              </w:rPr>
              <w:t>7</w:t>
            </w:r>
          </w:p>
        </w:tc>
        <w:tc>
          <w:tcPr>
            <w:tcW w:w="2665" w:type="dxa"/>
          </w:tcPr>
          <w:p>
            <w:pPr>
              <w:pStyle w:val="TableParagraph"/>
              <w:tabs>
                <w:tab w:pos="646" w:val="left" w:leader="none"/>
              </w:tabs>
              <w:ind w:left="77" w:right="1"/>
              <w:rPr>
                <w:sz w:val="18"/>
              </w:rPr>
            </w:pPr>
            <w:r>
              <w:rPr>
                <w:color w:val="231F20"/>
                <w:w w:val="105"/>
                <w:sz w:val="18"/>
              </w:rPr>
              <w:t>Raul</w:t>
              <w:tab/>
              <w:t>Next</w:t>
            </w:r>
            <w:r>
              <w:rPr>
                <w:color w:val="231F20"/>
                <w:spacing w:val="-14"/>
                <w:w w:val="105"/>
                <w:sz w:val="18"/>
              </w:rPr>
              <w:t> </w:t>
            </w:r>
            <w:r>
              <w:rPr>
                <w:color w:val="231F20"/>
                <w:w w:val="105"/>
                <w:sz w:val="18"/>
              </w:rPr>
              <w:t>time</w:t>
            </w:r>
          </w:p>
        </w:tc>
        <w:tc>
          <w:tcPr>
            <w:tcW w:w="2665" w:type="dxa"/>
          </w:tcPr>
          <w:p>
            <w:pPr>
              <w:pStyle w:val="TableParagraph"/>
              <w:ind w:left="77" w:right="1"/>
              <w:rPr>
                <w:sz w:val="18"/>
              </w:rPr>
            </w:pPr>
            <w:r>
              <w:rPr>
                <w:color w:val="231F20"/>
                <w:sz w:val="18"/>
              </w:rPr>
              <w:t>Para la próxima</w:t>
            </w:r>
          </w:p>
        </w:tc>
        <w:tc>
          <w:tcPr>
            <w:tcW w:w="450" w:type="dxa"/>
          </w:tcPr>
          <w:p>
            <w:pPr>
              <w:pStyle w:val="TableParagraph"/>
              <w:jc w:val="center"/>
              <w:rPr>
                <w:sz w:val="18"/>
              </w:rPr>
            </w:pPr>
            <w:r>
              <w:rPr>
                <w:color w:val="231F20"/>
                <w:w w:val="88"/>
                <w:sz w:val="18"/>
              </w:rPr>
              <w:t>E</w:t>
            </w:r>
          </w:p>
        </w:tc>
      </w:tr>
    </w:tbl>
    <w:p>
      <w:pPr>
        <w:spacing w:before="78"/>
        <w:ind w:left="2076" w:right="0" w:firstLine="0"/>
        <w:jc w:val="left"/>
        <w:rPr>
          <w:sz w:val="16"/>
        </w:rPr>
      </w:pPr>
      <w:r>
        <w:rPr>
          <w:color w:val="231F20"/>
          <w:sz w:val="16"/>
        </w:rPr>
        <w:t>Source: Fabián’s Facebook.</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47400" from="131.551193pt,3.703715pt" to="131.551193pt,39.506114pt" stroked="true" strokeweight=".35pt" strokecolor="#231f20">
            <w10:wrap type="none"/>
          </v:line>
        </w:pict>
      </w:r>
      <w:r>
        <w:rPr/>
        <w:pict>
          <v:line style="position:absolute;mso-position-horizontal-relative:page;mso-position-vertical-relative:paragraph;z-index:-447328" from="15pt,39.505917pt" to="0pt,39.505917pt" stroked="true" strokeweight=".25pt" strokecolor="#000000">
            <w10:wrap type="none"/>
          </v:line>
        </w:pict>
      </w:r>
      <w:r>
        <w:rPr/>
        <w:pict>
          <v:line style="position:absolute;mso-position-horizontal-relative:page;mso-position-vertical-relative:paragraph;z-index:42880" from="508.890015pt,39.505917pt" to="523.890015pt,39.505917pt" stroked="true" strokeweight=".25pt" strokecolor="#000000">
            <w10:wrap type="none"/>
          </v:line>
        </w:pict>
      </w:r>
      <w:r>
        <w:rPr>
          <w:rFonts w:ascii="Arial"/>
          <w:color w:val="414042"/>
          <w:position w:val="-5"/>
          <w:sz w:val="20"/>
        </w:rPr>
        <w:t>364</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2904" from="405.061005pt,-27.904295pt" to="405.061005pt,6.961579pt" stroked="true" strokeweight=".35pt" strokecolor="#231f20">
            <w10:wrap type="none"/>
          </v:line>
        </w:pict>
      </w:r>
      <w:r>
        <w:rPr/>
        <w:pict>
          <v:line style="position:absolute;mso-position-horizontal-relative:page;mso-position-vertical-relative:paragraph;z-index:42928" from="15pt,-27.90452pt" to="0pt,-27.90452pt" stroked="true" strokeweight=".25pt" strokecolor="#000000">
            <w10:wrap type="none"/>
          </v:line>
        </w:pict>
      </w:r>
      <w:r>
        <w:rPr/>
        <w:pict>
          <v:line style="position:absolute;mso-position-horizontal-relative:page;mso-position-vertical-relative:paragraph;z-index:4295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365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7"/>
        <w:jc w:val="both"/>
      </w:pPr>
      <w:r>
        <w:rPr>
          <w:color w:val="231F20"/>
          <w:spacing w:val="-3"/>
          <w:w w:val="105"/>
        </w:rPr>
        <w:t>This </w:t>
      </w:r>
      <w:r>
        <w:rPr>
          <w:color w:val="231F20"/>
          <w:spacing w:val="-2"/>
          <w:w w:val="105"/>
        </w:rPr>
        <w:t>conversation </w:t>
      </w:r>
      <w:r>
        <w:rPr>
          <w:color w:val="231F20"/>
          <w:w w:val="105"/>
        </w:rPr>
        <w:t>includes people in the two countries, statements of missing people or places, and </w:t>
      </w:r>
      <w:r>
        <w:rPr>
          <w:color w:val="231F20"/>
          <w:spacing w:val="-3"/>
          <w:w w:val="105"/>
        </w:rPr>
        <w:t>closures </w:t>
      </w:r>
      <w:r>
        <w:rPr>
          <w:color w:val="231F20"/>
          <w:w w:val="105"/>
        </w:rPr>
        <w:t>with a plan or a </w:t>
      </w:r>
      <w:r>
        <w:rPr>
          <w:color w:val="231F20"/>
          <w:spacing w:val="-3"/>
          <w:w w:val="105"/>
        </w:rPr>
        <w:t>promise. These </w:t>
      </w:r>
      <w:r>
        <w:rPr>
          <w:color w:val="231F20"/>
          <w:spacing w:val="-2"/>
          <w:w w:val="105"/>
        </w:rPr>
        <w:t>conversations</w:t>
      </w:r>
      <w:r>
        <w:rPr>
          <w:color w:val="231F20"/>
          <w:spacing w:val="-10"/>
          <w:w w:val="105"/>
        </w:rPr>
        <w:t> </w:t>
      </w:r>
      <w:r>
        <w:rPr>
          <w:color w:val="231F20"/>
          <w:w w:val="105"/>
        </w:rPr>
        <w:t>also</w:t>
      </w:r>
      <w:r>
        <w:rPr>
          <w:color w:val="231F20"/>
          <w:spacing w:val="-10"/>
          <w:w w:val="105"/>
        </w:rPr>
        <w:t> </w:t>
      </w:r>
      <w:r>
        <w:rPr>
          <w:color w:val="231F20"/>
          <w:w w:val="105"/>
        </w:rPr>
        <w:t>include</w:t>
      </w:r>
      <w:r>
        <w:rPr>
          <w:color w:val="231F20"/>
          <w:spacing w:val="-10"/>
          <w:w w:val="105"/>
        </w:rPr>
        <w:t> </w:t>
      </w:r>
      <w:r>
        <w:rPr>
          <w:color w:val="231F20"/>
          <w:w w:val="105"/>
        </w:rPr>
        <w:t>a</w:t>
      </w:r>
      <w:r>
        <w:rPr>
          <w:color w:val="231F20"/>
          <w:spacing w:val="-10"/>
          <w:w w:val="105"/>
        </w:rPr>
        <w:t> </w:t>
      </w:r>
      <w:r>
        <w:rPr>
          <w:color w:val="231F20"/>
          <w:w w:val="105"/>
        </w:rPr>
        <w:t>sense</w:t>
      </w:r>
      <w:r>
        <w:rPr>
          <w:color w:val="231F20"/>
          <w:spacing w:val="-10"/>
          <w:w w:val="105"/>
        </w:rPr>
        <w:t> </w:t>
      </w:r>
      <w:r>
        <w:rPr>
          <w:color w:val="231F20"/>
          <w:w w:val="105"/>
        </w:rPr>
        <w:t>of</w:t>
      </w:r>
      <w:r>
        <w:rPr>
          <w:color w:val="231F20"/>
          <w:spacing w:val="-6"/>
          <w:w w:val="105"/>
        </w:rPr>
        <w:t> </w:t>
      </w:r>
      <w:r>
        <w:rPr>
          <w:color w:val="231F20"/>
          <w:w w:val="105"/>
        </w:rPr>
        <w:t>humor</w:t>
      </w:r>
      <w:r>
        <w:rPr>
          <w:color w:val="231F20"/>
          <w:spacing w:val="-10"/>
          <w:w w:val="105"/>
        </w:rPr>
        <w:t> </w:t>
      </w:r>
      <w:r>
        <w:rPr>
          <w:color w:val="231F20"/>
          <w:w w:val="105"/>
        </w:rPr>
        <w:t>characteristic</w:t>
      </w:r>
      <w:r>
        <w:rPr>
          <w:color w:val="231F20"/>
          <w:spacing w:val="-10"/>
          <w:w w:val="105"/>
        </w:rPr>
        <w:t> </w:t>
      </w:r>
      <w:r>
        <w:rPr>
          <w:color w:val="231F20"/>
          <w:w w:val="105"/>
        </w:rPr>
        <w:t>to</w:t>
      </w:r>
      <w:r>
        <w:rPr>
          <w:color w:val="231F20"/>
          <w:spacing w:val="-10"/>
          <w:w w:val="105"/>
        </w:rPr>
        <w:t> </w:t>
      </w:r>
      <w:r>
        <w:rPr>
          <w:color w:val="231F20"/>
          <w:spacing w:val="-3"/>
          <w:w w:val="105"/>
        </w:rPr>
        <w:t>“</w:t>
      </w:r>
      <w:r>
        <w:rPr>
          <w:rFonts w:ascii="Arial" w:hAnsi="Arial"/>
          <w:i/>
          <w:color w:val="231F20"/>
          <w:spacing w:val="-3"/>
          <w:w w:val="105"/>
        </w:rPr>
        <w:t>ranchero</w:t>
      </w:r>
      <w:r>
        <w:rPr>
          <w:color w:val="231F20"/>
          <w:spacing w:val="-3"/>
          <w:w w:val="105"/>
        </w:rPr>
        <w:t>” </w:t>
      </w:r>
      <w:r>
        <w:rPr>
          <w:color w:val="231F20"/>
          <w:w w:val="105"/>
        </w:rPr>
        <w:t>ways</w:t>
      </w:r>
      <w:r>
        <w:rPr>
          <w:color w:val="231F20"/>
          <w:spacing w:val="-32"/>
          <w:w w:val="105"/>
        </w:rPr>
        <w:t> </w:t>
      </w:r>
      <w:r>
        <w:rPr>
          <w:color w:val="231F20"/>
          <w:w w:val="105"/>
        </w:rPr>
        <w:t>of</w:t>
      </w:r>
      <w:r>
        <w:rPr>
          <w:color w:val="231F20"/>
          <w:spacing w:val="-29"/>
          <w:w w:val="105"/>
        </w:rPr>
        <w:t> </w:t>
      </w:r>
      <w:r>
        <w:rPr>
          <w:color w:val="231F20"/>
          <w:w w:val="105"/>
        </w:rPr>
        <w:t>speaking</w:t>
      </w:r>
      <w:r>
        <w:rPr>
          <w:color w:val="231F20"/>
          <w:spacing w:val="-32"/>
          <w:w w:val="105"/>
        </w:rPr>
        <w:t> </w:t>
      </w:r>
      <w:r>
        <w:rPr>
          <w:color w:val="231F20"/>
          <w:spacing w:val="-5"/>
          <w:w w:val="105"/>
        </w:rPr>
        <w:t>(Farr,</w:t>
      </w:r>
      <w:r>
        <w:rPr>
          <w:color w:val="231F20"/>
          <w:spacing w:val="-36"/>
          <w:w w:val="105"/>
        </w:rPr>
        <w:t> </w:t>
      </w:r>
      <w:r>
        <w:rPr>
          <w:color w:val="231F20"/>
          <w:w w:val="105"/>
        </w:rPr>
        <w:t>2006).</w:t>
      </w:r>
      <w:r>
        <w:rPr>
          <w:color w:val="231F20"/>
          <w:spacing w:val="-36"/>
          <w:w w:val="105"/>
        </w:rPr>
        <w:t> </w:t>
      </w:r>
      <w:r>
        <w:rPr>
          <w:color w:val="231F20"/>
          <w:w w:val="105"/>
        </w:rPr>
        <w:t>Some</w:t>
      </w:r>
      <w:r>
        <w:rPr>
          <w:color w:val="231F20"/>
          <w:spacing w:val="-32"/>
          <w:w w:val="105"/>
        </w:rPr>
        <w:t> </w:t>
      </w:r>
      <w:r>
        <w:rPr>
          <w:color w:val="231F20"/>
          <w:spacing w:val="-3"/>
          <w:w w:val="105"/>
        </w:rPr>
        <w:t>argue</w:t>
      </w:r>
      <w:r>
        <w:rPr>
          <w:color w:val="231F20"/>
          <w:spacing w:val="-32"/>
          <w:w w:val="105"/>
        </w:rPr>
        <w:t> </w:t>
      </w:r>
      <w:r>
        <w:rPr>
          <w:color w:val="231F20"/>
          <w:w w:val="105"/>
        </w:rPr>
        <w:t>that</w:t>
      </w:r>
      <w:r>
        <w:rPr>
          <w:color w:val="231F20"/>
          <w:spacing w:val="-32"/>
          <w:w w:val="105"/>
        </w:rPr>
        <w:t> </w:t>
      </w:r>
      <w:r>
        <w:rPr>
          <w:color w:val="231F20"/>
          <w:spacing w:val="-3"/>
          <w:w w:val="105"/>
        </w:rPr>
        <w:t>Facebook</w:t>
      </w:r>
      <w:r>
        <w:rPr>
          <w:color w:val="231F20"/>
          <w:spacing w:val="-32"/>
          <w:w w:val="105"/>
        </w:rPr>
        <w:t> </w:t>
      </w:r>
      <w:r>
        <w:rPr>
          <w:color w:val="231F20"/>
          <w:spacing w:val="-3"/>
          <w:w w:val="105"/>
        </w:rPr>
        <w:t>promotes</w:t>
      </w:r>
      <w:r>
        <w:rPr>
          <w:color w:val="231F20"/>
          <w:spacing w:val="-32"/>
          <w:w w:val="105"/>
        </w:rPr>
        <w:t> </w:t>
      </w:r>
      <w:r>
        <w:rPr>
          <w:color w:val="231F20"/>
          <w:spacing w:val="-3"/>
          <w:w w:val="105"/>
        </w:rPr>
        <w:t>cheap </w:t>
      </w:r>
      <w:r>
        <w:rPr>
          <w:color w:val="231F20"/>
          <w:spacing w:val="-2"/>
          <w:w w:val="105"/>
        </w:rPr>
        <w:t>entertainment</w:t>
      </w:r>
      <w:r>
        <w:rPr>
          <w:color w:val="231F20"/>
          <w:spacing w:val="-7"/>
          <w:w w:val="105"/>
        </w:rPr>
        <w:t> </w:t>
      </w:r>
      <w:r>
        <w:rPr>
          <w:color w:val="231F20"/>
          <w:spacing w:val="-4"/>
          <w:w w:val="105"/>
        </w:rPr>
        <w:t>(Carr,</w:t>
      </w:r>
      <w:r>
        <w:rPr>
          <w:color w:val="231F20"/>
          <w:spacing w:val="-12"/>
          <w:w w:val="105"/>
        </w:rPr>
        <w:t> </w:t>
      </w:r>
      <w:r>
        <w:rPr>
          <w:color w:val="231F20"/>
          <w:spacing w:val="-3"/>
          <w:w w:val="105"/>
        </w:rPr>
        <w:t>Schrock</w:t>
      </w:r>
      <w:r>
        <w:rPr>
          <w:color w:val="231F20"/>
          <w:spacing w:val="-7"/>
          <w:w w:val="105"/>
        </w:rPr>
        <w:t> </w:t>
      </w:r>
      <w:r>
        <w:rPr>
          <w:color w:val="231F20"/>
          <w:w w:val="105"/>
        </w:rPr>
        <w:t>and</w:t>
      </w:r>
      <w:r>
        <w:rPr>
          <w:color w:val="231F20"/>
          <w:spacing w:val="-7"/>
          <w:w w:val="105"/>
        </w:rPr>
        <w:t> </w:t>
      </w:r>
      <w:r>
        <w:rPr>
          <w:color w:val="231F20"/>
          <w:w w:val="105"/>
        </w:rPr>
        <w:t>Dauterman,</w:t>
      </w:r>
      <w:r>
        <w:rPr>
          <w:color w:val="231F20"/>
          <w:spacing w:val="-12"/>
          <w:w w:val="105"/>
        </w:rPr>
        <w:t> </w:t>
      </w:r>
      <w:r>
        <w:rPr>
          <w:color w:val="231F20"/>
          <w:w w:val="105"/>
        </w:rPr>
        <w:t>2012).</w:t>
      </w:r>
      <w:r>
        <w:rPr>
          <w:color w:val="231F20"/>
          <w:spacing w:val="-12"/>
          <w:w w:val="105"/>
        </w:rPr>
        <w:t> </w:t>
      </w:r>
      <w:r>
        <w:rPr>
          <w:color w:val="231F20"/>
          <w:spacing w:val="-3"/>
          <w:w w:val="105"/>
        </w:rPr>
        <w:t>However,</w:t>
      </w:r>
      <w:r>
        <w:rPr>
          <w:color w:val="231F20"/>
          <w:spacing w:val="-12"/>
          <w:w w:val="105"/>
        </w:rPr>
        <w:t> </w:t>
      </w:r>
      <w:r>
        <w:rPr>
          <w:color w:val="231F20"/>
          <w:w w:val="105"/>
        </w:rPr>
        <w:t>although humor is identified as a common </w:t>
      </w:r>
      <w:r>
        <w:rPr>
          <w:color w:val="231F20"/>
          <w:spacing w:val="-3"/>
          <w:w w:val="105"/>
        </w:rPr>
        <w:t>trend </w:t>
      </w:r>
      <w:r>
        <w:rPr>
          <w:color w:val="231F20"/>
          <w:w w:val="105"/>
        </w:rPr>
        <w:t>found in </w:t>
      </w:r>
      <w:r>
        <w:rPr>
          <w:color w:val="231F20"/>
          <w:spacing w:val="-3"/>
          <w:w w:val="105"/>
        </w:rPr>
        <w:t>Facebook, </w:t>
      </w:r>
      <w:r>
        <w:rPr>
          <w:color w:val="231F20"/>
          <w:w w:val="105"/>
        </w:rPr>
        <w:t>the “</w:t>
      </w:r>
      <w:r>
        <w:rPr>
          <w:rFonts w:ascii="Arial" w:hAnsi="Arial"/>
          <w:i/>
          <w:color w:val="231F20"/>
          <w:w w:val="105"/>
        </w:rPr>
        <w:t>relajo</w:t>
      </w:r>
      <w:r>
        <w:rPr>
          <w:color w:val="231F20"/>
          <w:w w:val="105"/>
        </w:rPr>
        <w:t>” exhibited by the network members should not be confused with </w:t>
      </w:r>
      <w:r>
        <w:rPr>
          <w:color w:val="231F20"/>
          <w:spacing w:val="-3"/>
          <w:w w:val="105"/>
        </w:rPr>
        <w:t>cheap </w:t>
      </w:r>
      <w:r>
        <w:rPr>
          <w:color w:val="231F20"/>
          <w:w w:val="105"/>
        </w:rPr>
        <w:t>entertainment.</w:t>
      </w:r>
      <w:r>
        <w:rPr>
          <w:color w:val="231F20"/>
          <w:spacing w:val="-32"/>
          <w:w w:val="105"/>
        </w:rPr>
        <w:t> </w:t>
      </w:r>
      <w:r>
        <w:rPr>
          <w:color w:val="231F20"/>
          <w:spacing w:val="-3"/>
          <w:w w:val="105"/>
        </w:rPr>
        <w:t>The</w:t>
      </w:r>
      <w:r>
        <w:rPr>
          <w:color w:val="231F20"/>
          <w:spacing w:val="-24"/>
          <w:w w:val="105"/>
        </w:rPr>
        <w:t> </w:t>
      </w:r>
      <w:r>
        <w:rPr>
          <w:color w:val="231F20"/>
          <w:w w:val="105"/>
        </w:rPr>
        <w:t>use</w:t>
      </w:r>
      <w:r>
        <w:rPr>
          <w:color w:val="231F20"/>
          <w:spacing w:val="-24"/>
          <w:w w:val="105"/>
        </w:rPr>
        <w:t> </w:t>
      </w:r>
      <w:r>
        <w:rPr>
          <w:color w:val="231F20"/>
          <w:w w:val="105"/>
        </w:rPr>
        <w:t>of</w:t>
      </w:r>
      <w:r>
        <w:rPr>
          <w:color w:val="231F20"/>
          <w:spacing w:val="-21"/>
          <w:w w:val="105"/>
        </w:rPr>
        <w:t> </w:t>
      </w:r>
      <w:r>
        <w:rPr>
          <w:color w:val="231F20"/>
          <w:w w:val="105"/>
        </w:rPr>
        <w:t>humor</w:t>
      </w:r>
      <w:r>
        <w:rPr>
          <w:color w:val="231F20"/>
          <w:spacing w:val="-24"/>
          <w:w w:val="105"/>
        </w:rPr>
        <w:t> </w:t>
      </w:r>
      <w:r>
        <w:rPr>
          <w:color w:val="231F20"/>
          <w:w w:val="105"/>
        </w:rPr>
        <w:t>by</w:t>
      </w:r>
      <w:r>
        <w:rPr>
          <w:color w:val="231F20"/>
          <w:spacing w:val="-24"/>
          <w:w w:val="105"/>
        </w:rPr>
        <w:t> </w:t>
      </w:r>
      <w:r>
        <w:rPr>
          <w:color w:val="231F20"/>
          <w:w w:val="105"/>
        </w:rPr>
        <w:t>the</w:t>
      </w:r>
      <w:r>
        <w:rPr>
          <w:color w:val="231F20"/>
          <w:spacing w:val="-24"/>
          <w:w w:val="105"/>
        </w:rPr>
        <w:t> </w:t>
      </w:r>
      <w:r>
        <w:rPr>
          <w:color w:val="231F20"/>
          <w:w w:val="105"/>
        </w:rPr>
        <w:t>network</w:t>
      </w:r>
      <w:r>
        <w:rPr>
          <w:color w:val="231F20"/>
          <w:spacing w:val="-24"/>
          <w:w w:val="105"/>
        </w:rPr>
        <w:t> </w:t>
      </w:r>
      <w:r>
        <w:rPr>
          <w:color w:val="231F20"/>
          <w:w w:val="105"/>
        </w:rPr>
        <w:t>is</w:t>
      </w:r>
      <w:r>
        <w:rPr>
          <w:color w:val="231F20"/>
          <w:spacing w:val="-24"/>
          <w:w w:val="105"/>
        </w:rPr>
        <w:t> </w:t>
      </w:r>
      <w:r>
        <w:rPr>
          <w:color w:val="231F20"/>
          <w:w w:val="105"/>
        </w:rPr>
        <w:t>a</w:t>
      </w:r>
      <w:r>
        <w:rPr>
          <w:color w:val="231F20"/>
          <w:spacing w:val="-24"/>
          <w:w w:val="105"/>
        </w:rPr>
        <w:t> </w:t>
      </w:r>
      <w:r>
        <w:rPr>
          <w:color w:val="231F20"/>
          <w:w w:val="105"/>
        </w:rPr>
        <w:t>characteristic</w:t>
      </w:r>
      <w:r>
        <w:rPr>
          <w:color w:val="231F20"/>
          <w:spacing w:val="-24"/>
          <w:w w:val="105"/>
        </w:rPr>
        <w:t> </w:t>
      </w:r>
      <w:r>
        <w:rPr>
          <w:color w:val="231F20"/>
          <w:spacing w:val="-3"/>
          <w:w w:val="105"/>
        </w:rPr>
        <w:t>feature </w:t>
      </w:r>
      <w:r>
        <w:rPr>
          <w:color w:val="231F20"/>
          <w:w w:val="105"/>
        </w:rPr>
        <w:t>of</w:t>
      </w:r>
      <w:r>
        <w:rPr>
          <w:color w:val="231F20"/>
          <w:spacing w:val="-21"/>
          <w:w w:val="105"/>
        </w:rPr>
        <w:t> </w:t>
      </w:r>
      <w:r>
        <w:rPr>
          <w:color w:val="231F20"/>
          <w:w w:val="105"/>
        </w:rPr>
        <w:t>discourse</w:t>
      </w:r>
      <w:r>
        <w:rPr>
          <w:color w:val="231F20"/>
          <w:spacing w:val="-24"/>
          <w:w w:val="105"/>
        </w:rPr>
        <w:t> </w:t>
      </w:r>
      <w:r>
        <w:rPr>
          <w:color w:val="231F20"/>
          <w:w w:val="105"/>
        </w:rPr>
        <w:t>among</w:t>
      </w:r>
      <w:r>
        <w:rPr>
          <w:color w:val="231F20"/>
          <w:spacing w:val="-24"/>
          <w:w w:val="105"/>
        </w:rPr>
        <w:t> </w:t>
      </w:r>
      <w:r>
        <w:rPr>
          <w:color w:val="231F20"/>
          <w:w w:val="105"/>
        </w:rPr>
        <w:t>these</w:t>
      </w:r>
      <w:r>
        <w:rPr>
          <w:color w:val="231F20"/>
          <w:spacing w:val="-24"/>
          <w:w w:val="105"/>
        </w:rPr>
        <w:t> </w:t>
      </w:r>
      <w:r>
        <w:rPr>
          <w:color w:val="231F20"/>
          <w:spacing w:val="-3"/>
          <w:w w:val="105"/>
        </w:rPr>
        <w:t>transnational</w:t>
      </w:r>
      <w:r>
        <w:rPr>
          <w:color w:val="231F20"/>
          <w:spacing w:val="-24"/>
          <w:w w:val="105"/>
        </w:rPr>
        <w:t> </w:t>
      </w:r>
      <w:r>
        <w:rPr>
          <w:color w:val="231F20"/>
          <w:w w:val="105"/>
        </w:rPr>
        <w:t>Mexican</w:t>
      </w:r>
      <w:r>
        <w:rPr>
          <w:color w:val="231F20"/>
          <w:spacing w:val="-24"/>
          <w:w w:val="105"/>
        </w:rPr>
        <w:t> </w:t>
      </w:r>
      <w:r>
        <w:rPr>
          <w:color w:val="231F20"/>
          <w:spacing w:val="-3"/>
          <w:w w:val="105"/>
        </w:rPr>
        <w:t>“</w:t>
      </w:r>
      <w:r>
        <w:rPr>
          <w:rFonts w:ascii="Arial" w:hAnsi="Arial"/>
          <w:i/>
          <w:color w:val="231F20"/>
          <w:spacing w:val="-3"/>
          <w:w w:val="105"/>
        </w:rPr>
        <w:t>rancheros</w:t>
      </w:r>
      <w:r>
        <w:rPr>
          <w:color w:val="231F20"/>
          <w:spacing w:val="-3"/>
          <w:w w:val="105"/>
        </w:rPr>
        <w:t>”</w:t>
      </w:r>
      <w:r>
        <w:rPr>
          <w:color w:val="231F20"/>
          <w:spacing w:val="-24"/>
          <w:w w:val="105"/>
        </w:rPr>
        <w:t> </w:t>
      </w:r>
      <w:r>
        <w:rPr>
          <w:color w:val="231F20"/>
          <w:spacing w:val="-5"/>
          <w:w w:val="105"/>
        </w:rPr>
        <w:t>(Farr,</w:t>
      </w:r>
      <w:r>
        <w:rPr>
          <w:color w:val="231F20"/>
          <w:spacing w:val="-27"/>
          <w:w w:val="105"/>
        </w:rPr>
        <w:t> </w:t>
      </w:r>
      <w:r>
        <w:rPr>
          <w:color w:val="231F20"/>
          <w:spacing w:val="-2"/>
          <w:w w:val="105"/>
        </w:rPr>
        <w:t>2006), </w:t>
      </w:r>
      <w:r>
        <w:rPr>
          <w:color w:val="231F20"/>
          <w:w w:val="105"/>
        </w:rPr>
        <w:t>whether</w:t>
      </w:r>
      <w:r>
        <w:rPr>
          <w:color w:val="231F20"/>
          <w:spacing w:val="-29"/>
          <w:w w:val="105"/>
        </w:rPr>
        <w:t> </w:t>
      </w:r>
      <w:r>
        <w:rPr>
          <w:color w:val="231F20"/>
          <w:w w:val="105"/>
        </w:rPr>
        <w:t>face-to-face</w:t>
      </w:r>
      <w:r>
        <w:rPr>
          <w:color w:val="231F20"/>
          <w:spacing w:val="-29"/>
          <w:w w:val="105"/>
        </w:rPr>
        <w:t> </w:t>
      </w:r>
      <w:r>
        <w:rPr>
          <w:color w:val="231F20"/>
          <w:w w:val="105"/>
        </w:rPr>
        <w:t>or</w:t>
      </w:r>
      <w:r>
        <w:rPr>
          <w:color w:val="231F20"/>
          <w:spacing w:val="-29"/>
          <w:w w:val="105"/>
        </w:rPr>
        <w:t> </w:t>
      </w:r>
      <w:r>
        <w:rPr>
          <w:color w:val="231F20"/>
          <w:w w:val="105"/>
        </w:rPr>
        <w:t>on</w:t>
      </w:r>
      <w:r>
        <w:rPr>
          <w:color w:val="231F20"/>
          <w:spacing w:val="-29"/>
          <w:w w:val="105"/>
        </w:rPr>
        <w:t> </w:t>
      </w:r>
      <w:r>
        <w:rPr>
          <w:color w:val="231F20"/>
          <w:spacing w:val="-3"/>
          <w:w w:val="105"/>
        </w:rPr>
        <w:t>Facebook.</w:t>
      </w:r>
      <w:r>
        <w:rPr>
          <w:color w:val="231F20"/>
          <w:spacing w:val="-33"/>
          <w:w w:val="105"/>
        </w:rPr>
        <w:t> </w:t>
      </w:r>
      <w:r>
        <w:rPr>
          <w:color w:val="231F20"/>
          <w:spacing w:val="-4"/>
          <w:w w:val="105"/>
        </w:rPr>
        <w:t>Farr</w:t>
      </w:r>
      <w:r>
        <w:rPr>
          <w:color w:val="231F20"/>
          <w:spacing w:val="-29"/>
          <w:w w:val="105"/>
        </w:rPr>
        <w:t> </w:t>
      </w:r>
      <w:r>
        <w:rPr>
          <w:color w:val="231F20"/>
          <w:w w:val="105"/>
        </w:rPr>
        <w:t>(2006:</w:t>
      </w:r>
      <w:r>
        <w:rPr>
          <w:color w:val="231F20"/>
          <w:spacing w:val="-29"/>
          <w:w w:val="105"/>
        </w:rPr>
        <w:t> </w:t>
      </w:r>
      <w:r>
        <w:rPr>
          <w:color w:val="231F20"/>
          <w:w w:val="105"/>
        </w:rPr>
        <w:t>17)</w:t>
      </w:r>
      <w:r>
        <w:rPr>
          <w:color w:val="231F20"/>
          <w:spacing w:val="-29"/>
          <w:w w:val="105"/>
        </w:rPr>
        <w:t> </w:t>
      </w:r>
      <w:r>
        <w:rPr>
          <w:color w:val="231F20"/>
          <w:w w:val="105"/>
        </w:rPr>
        <w:t>explains</w:t>
      </w:r>
      <w:r>
        <w:rPr>
          <w:color w:val="231F20"/>
          <w:spacing w:val="-29"/>
          <w:w w:val="105"/>
        </w:rPr>
        <w:t> </w:t>
      </w:r>
      <w:r>
        <w:rPr>
          <w:color w:val="231F20"/>
          <w:w w:val="105"/>
        </w:rPr>
        <w:t>that</w:t>
      </w:r>
      <w:r>
        <w:rPr>
          <w:color w:val="231F20"/>
          <w:spacing w:val="-29"/>
          <w:w w:val="105"/>
        </w:rPr>
        <w:t> </w:t>
      </w:r>
      <w:r>
        <w:rPr>
          <w:color w:val="231F20"/>
          <w:w w:val="105"/>
        </w:rPr>
        <w:t>“</w:t>
      </w:r>
      <w:r>
        <w:rPr>
          <w:rFonts w:ascii="Arial" w:hAnsi="Arial"/>
          <w:i/>
          <w:color w:val="231F20"/>
          <w:w w:val="105"/>
        </w:rPr>
        <w:t>relajo</w:t>
      </w:r>
      <w:r>
        <w:rPr>
          <w:color w:val="231F20"/>
          <w:w w:val="105"/>
        </w:rPr>
        <w:t>” is</w:t>
      </w:r>
      <w:r>
        <w:rPr>
          <w:color w:val="231F20"/>
          <w:spacing w:val="-20"/>
          <w:w w:val="105"/>
        </w:rPr>
        <w:t> </w:t>
      </w:r>
      <w:r>
        <w:rPr>
          <w:color w:val="231F20"/>
          <w:w w:val="105"/>
        </w:rPr>
        <w:t>a</w:t>
      </w:r>
      <w:r>
        <w:rPr>
          <w:color w:val="231F20"/>
          <w:spacing w:val="-20"/>
          <w:w w:val="105"/>
        </w:rPr>
        <w:t> </w:t>
      </w:r>
      <w:r>
        <w:rPr>
          <w:color w:val="231F20"/>
          <w:w w:val="105"/>
        </w:rPr>
        <w:t>“joking</w:t>
      </w:r>
      <w:r>
        <w:rPr>
          <w:color w:val="231F20"/>
          <w:spacing w:val="-20"/>
          <w:w w:val="105"/>
        </w:rPr>
        <w:t> </w:t>
      </w:r>
      <w:r>
        <w:rPr>
          <w:color w:val="231F20"/>
          <w:w w:val="105"/>
        </w:rPr>
        <w:t>style,</w:t>
      </w:r>
      <w:r>
        <w:rPr>
          <w:color w:val="231F20"/>
          <w:spacing w:val="-26"/>
          <w:w w:val="105"/>
        </w:rPr>
        <w:t> </w:t>
      </w:r>
      <w:r>
        <w:rPr>
          <w:color w:val="231F20"/>
          <w:w w:val="105"/>
        </w:rPr>
        <w:t>a</w:t>
      </w:r>
      <w:r>
        <w:rPr>
          <w:color w:val="231F20"/>
          <w:spacing w:val="-20"/>
          <w:w w:val="105"/>
        </w:rPr>
        <w:t> </w:t>
      </w:r>
      <w:r>
        <w:rPr>
          <w:color w:val="231F20"/>
          <w:w w:val="105"/>
        </w:rPr>
        <w:t>space</w:t>
      </w:r>
      <w:r>
        <w:rPr>
          <w:color w:val="231F20"/>
          <w:spacing w:val="-20"/>
          <w:w w:val="105"/>
        </w:rPr>
        <w:t> </w:t>
      </w:r>
      <w:r>
        <w:rPr>
          <w:color w:val="231F20"/>
          <w:w w:val="105"/>
        </w:rPr>
        <w:t>for</w:t>
      </w:r>
      <w:r>
        <w:rPr>
          <w:color w:val="231F20"/>
          <w:spacing w:val="-20"/>
          <w:w w:val="105"/>
        </w:rPr>
        <w:t> </w:t>
      </w:r>
      <w:r>
        <w:rPr>
          <w:color w:val="231F20"/>
          <w:spacing w:val="-4"/>
          <w:w w:val="105"/>
        </w:rPr>
        <w:t>disorder,</w:t>
      </w:r>
      <w:r>
        <w:rPr>
          <w:color w:val="231F20"/>
          <w:spacing w:val="-26"/>
          <w:w w:val="105"/>
        </w:rPr>
        <w:t> </w:t>
      </w:r>
      <w:r>
        <w:rPr>
          <w:color w:val="231F20"/>
          <w:w w:val="105"/>
        </w:rPr>
        <w:t>for</w:t>
      </w:r>
      <w:r>
        <w:rPr>
          <w:color w:val="231F20"/>
          <w:spacing w:val="-20"/>
          <w:w w:val="105"/>
        </w:rPr>
        <w:t> </w:t>
      </w:r>
      <w:r>
        <w:rPr>
          <w:color w:val="231F20"/>
          <w:spacing w:val="-2"/>
          <w:w w:val="105"/>
        </w:rPr>
        <w:t>violating</w:t>
      </w:r>
      <w:r>
        <w:rPr>
          <w:color w:val="231F20"/>
          <w:spacing w:val="-20"/>
          <w:w w:val="105"/>
        </w:rPr>
        <w:t> </w:t>
      </w:r>
      <w:r>
        <w:rPr>
          <w:color w:val="231F20"/>
          <w:w w:val="105"/>
        </w:rPr>
        <w:t>boundaries</w:t>
      </w:r>
      <w:r>
        <w:rPr>
          <w:color w:val="231F20"/>
          <w:spacing w:val="-20"/>
          <w:w w:val="105"/>
        </w:rPr>
        <w:t> </w:t>
      </w:r>
      <w:r>
        <w:rPr>
          <w:color w:val="231F20"/>
          <w:w w:val="105"/>
        </w:rPr>
        <w:t>and</w:t>
      </w:r>
      <w:r>
        <w:rPr>
          <w:color w:val="231F20"/>
          <w:spacing w:val="-20"/>
          <w:w w:val="105"/>
        </w:rPr>
        <w:t> </w:t>
      </w:r>
      <w:r>
        <w:rPr>
          <w:color w:val="231F20"/>
          <w:spacing w:val="-2"/>
          <w:w w:val="105"/>
        </w:rPr>
        <w:t>normal </w:t>
      </w:r>
      <w:r>
        <w:rPr>
          <w:color w:val="231F20"/>
          <w:w w:val="105"/>
        </w:rPr>
        <w:t>rules</w:t>
      </w:r>
      <w:r>
        <w:rPr>
          <w:color w:val="231F20"/>
          <w:spacing w:val="-19"/>
          <w:w w:val="105"/>
        </w:rPr>
        <w:t> </w:t>
      </w:r>
      <w:r>
        <w:rPr>
          <w:color w:val="231F20"/>
          <w:w w:val="105"/>
        </w:rPr>
        <w:t>for</w:t>
      </w:r>
      <w:r>
        <w:rPr>
          <w:color w:val="231F20"/>
          <w:spacing w:val="-19"/>
          <w:w w:val="105"/>
        </w:rPr>
        <w:t> </w:t>
      </w:r>
      <w:r>
        <w:rPr>
          <w:color w:val="231F20"/>
          <w:w w:val="105"/>
        </w:rPr>
        <w:t>behavior</w:t>
      </w:r>
      <w:r>
        <w:rPr>
          <w:color w:val="231F20"/>
          <w:spacing w:val="-19"/>
          <w:w w:val="105"/>
        </w:rPr>
        <w:t> </w:t>
      </w:r>
      <w:r>
        <w:rPr>
          <w:color w:val="231F20"/>
          <w:w w:val="105"/>
        </w:rPr>
        <w:t>and</w:t>
      </w:r>
      <w:r>
        <w:rPr>
          <w:color w:val="231F20"/>
          <w:spacing w:val="-19"/>
          <w:w w:val="105"/>
        </w:rPr>
        <w:t> </w:t>
      </w:r>
      <w:r>
        <w:rPr>
          <w:color w:val="231F20"/>
          <w:spacing w:val="-2"/>
          <w:w w:val="105"/>
        </w:rPr>
        <w:t>interaction…</w:t>
      </w:r>
      <w:r>
        <w:rPr>
          <w:color w:val="231F20"/>
          <w:spacing w:val="-24"/>
          <w:w w:val="105"/>
        </w:rPr>
        <w:t> </w:t>
      </w:r>
      <w:r>
        <w:rPr>
          <w:color w:val="231F20"/>
          <w:w w:val="105"/>
        </w:rPr>
        <w:t>it</w:t>
      </w:r>
      <w:r>
        <w:rPr>
          <w:color w:val="231F20"/>
          <w:spacing w:val="-19"/>
          <w:w w:val="105"/>
        </w:rPr>
        <w:t> </w:t>
      </w:r>
      <w:r>
        <w:rPr>
          <w:color w:val="231F20"/>
          <w:w w:val="105"/>
        </w:rPr>
        <w:t>occurs</w:t>
      </w:r>
      <w:r>
        <w:rPr>
          <w:color w:val="231F20"/>
          <w:spacing w:val="-19"/>
          <w:w w:val="105"/>
        </w:rPr>
        <w:t> </w:t>
      </w:r>
      <w:r>
        <w:rPr>
          <w:color w:val="231F20"/>
          <w:w w:val="105"/>
        </w:rPr>
        <w:t>primarily</w:t>
      </w:r>
      <w:r>
        <w:rPr>
          <w:color w:val="231F20"/>
          <w:spacing w:val="-19"/>
          <w:w w:val="105"/>
        </w:rPr>
        <w:t> </w:t>
      </w:r>
      <w:r>
        <w:rPr>
          <w:color w:val="231F20"/>
          <w:w w:val="105"/>
        </w:rPr>
        <w:t>in</w:t>
      </w:r>
      <w:r>
        <w:rPr>
          <w:color w:val="231F20"/>
          <w:spacing w:val="-19"/>
          <w:w w:val="105"/>
        </w:rPr>
        <w:t> </w:t>
      </w:r>
      <w:r>
        <w:rPr>
          <w:color w:val="231F20"/>
          <w:w w:val="105"/>
        </w:rPr>
        <w:t>intimate,</w:t>
      </w:r>
      <w:r>
        <w:rPr>
          <w:color w:val="231F20"/>
          <w:spacing w:val="-24"/>
          <w:w w:val="105"/>
        </w:rPr>
        <w:t> </w:t>
      </w:r>
      <w:r>
        <w:rPr>
          <w:color w:val="231F20"/>
          <w:w w:val="105"/>
        </w:rPr>
        <w:t>informal </w:t>
      </w:r>
      <w:r>
        <w:rPr>
          <w:color w:val="231F20"/>
          <w:spacing w:val="-5"/>
          <w:w w:val="105"/>
        </w:rPr>
        <w:t>contexts”,</w:t>
      </w:r>
      <w:r>
        <w:rPr>
          <w:color w:val="231F20"/>
          <w:spacing w:val="-35"/>
          <w:w w:val="105"/>
        </w:rPr>
        <w:t> </w:t>
      </w:r>
      <w:r>
        <w:rPr>
          <w:color w:val="231F20"/>
          <w:w w:val="105"/>
        </w:rPr>
        <w:t>but</w:t>
      </w:r>
      <w:r>
        <w:rPr>
          <w:color w:val="231F20"/>
          <w:spacing w:val="-29"/>
          <w:w w:val="105"/>
        </w:rPr>
        <w:t> </w:t>
      </w:r>
      <w:r>
        <w:rPr>
          <w:color w:val="231F20"/>
          <w:w w:val="105"/>
        </w:rPr>
        <w:t>it</w:t>
      </w:r>
      <w:r>
        <w:rPr>
          <w:color w:val="231F20"/>
          <w:spacing w:val="-29"/>
          <w:w w:val="105"/>
        </w:rPr>
        <w:t> </w:t>
      </w:r>
      <w:r>
        <w:rPr>
          <w:color w:val="231F20"/>
          <w:w w:val="105"/>
        </w:rPr>
        <w:t>can</w:t>
      </w:r>
      <w:r>
        <w:rPr>
          <w:color w:val="231F20"/>
          <w:spacing w:val="-29"/>
          <w:w w:val="105"/>
        </w:rPr>
        <w:t> </w:t>
      </w:r>
      <w:r>
        <w:rPr>
          <w:color w:val="231F20"/>
          <w:w w:val="105"/>
        </w:rPr>
        <w:t>occur</w:t>
      </w:r>
      <w:r>
        <w:rPr>
          <w:color w:val="231F20"/>
          <w:spacing w:val="-29"/>
          <w:w w:val="105"/>
        </w:rPr>
        <w:t> </w:t>
      </w:r>
      <w:r>
        <w:rPr>
          <w:color w:val="231F20"/>
          <w:w w:val="105"/>
        </w:rPr>
        <w:t>in</w:t>
      </w:r>
      <w:r>
        <w:rPr>
          <w:color w:val="231F20"/>
          <w:spacing w:val="-29"/>
          <w:w w:val="105"/>
        </w:rPr>
        <w:t> </w:t>
      </w:r>
      <w:r>
        <w:rPr>
          <w:color w:val="231F20"/>
          <w:w w:val="105"/>
        </w:rPr>
        <w:t>other</w:t>
      </w:r>
      <w:r>
        <w:rPr>
          <w:color w:val="231F20"/>
          <w:spacing w:val="-29"/>
          <w:w w:val="105"/>
        </w:rPr>
        <w:t> </w:t>
      </w:r>
      <w:r>
        <w:rPr>
          <w:color w:val="231F20"/>
          <w:w w:val="105"/>
        </w:rPr>
        <w:t>contexts.</w:t>
      </w:r>
      <w:r>
        <w:rPr>
          <w:color w:val="231F20"/>
          <w:spacing w:val="-34"/>
          <w:w w:val="105"/>
        </w:rPr>
        <w:t> </w:t>
      </w:r>
      <w:r>
        <w:rPr>
          <w:color w:val="231F20"/>
          <w:spacing w:val="-4"/>
          <w:w w:val="105"/>
        </w:rPr>
        <w:t>Farr</w:t>
      </w:r>
      <w:r>
        <w:rPr>
          <w:color w:val="231F20"/>
          <w:spacing w:val="-29"/>
          <w:w w:val="105"/>
        </w:rPr>
        <w:t> </w:t>
      </w:r>
      <w:r>
        <w:rPr>
          <w:color w:val="231F20"/>
          <w:w w:val="105"/>
        </w:rPr>
        <w:t>(2006:</w:t>
      </w:r>
      <w:r>
        <w:rPr>
          <w:color w:val="231F20"/>
          <w:spacing w:val="-29"/>
          <w:w w:val="105"/>
        </w:rPr>
        <w:t> </w:t>
      </w:r>
      <w:r>
        <w:rPr>
          <w:color w:val="231F20"/>
          <w:w w:val="105"/>
        </w:rPr>
        <w:t>19)</w:t>
      </w:r>
      <w:r>
        <w:rPr>
          <w:color w:val="231F20"/>
          <w:spacing w:val="-29"/>
          <w:w w:val="105"/>
        </w:rPr>
        <w:t> </w:t>
      </w:r>
      <w:r>
        <w:rPr>
          <w:color w:val="231F20"/>
          <w:w w:val="105"/>
        </w:rPr>
        <w:t>further</w:t>
      </w:r>
      <w:r>
        <w:rPr>
          <w:color w:val="231F20"/>
          <w:spacing w:val="-29"/>
          <w:w w:val="105"/>
        </w:rPr>
        <w:t> </w:t>
      </w:r>
      <w:r>
        <w:rPr>
          <w:color w:val="231F20"/>
          <w:spacing w:val="-3"/>
          <w:w w:val="105"/>
        </w:rPr>
        <w:t>explains </w:t>
      </w:r>
      <w:r>
        <w:rPr>
          <w:color w:val="231F20"/>
          <w:w w:val="105"/>
        </w:rPr>
        <w:t>that</w:t>
      </w:r>
      <w:r>
        <w:rPr>
          <w:color w:val="231F20"/>
          <w:spacing w:val="-12"/>
          <w:w w:val="105"/>
        </w:rPr>
        <w:t> </w:t>
      </w:r>
      <w:r>
        <w:rPr>
          <w:color w:val="231F20"/>
          <w:w w:val="105"/>
        </w:rPr>
        <w:t>“</w:t>
      </w:r>
      <w:r>
        <w:rPr>
          <w:rFonts w:ascii="Arial" w:hAnsi="Arial"/>
          <w:i/>
          <w:color w:val="231F20"/>
          <w:w w:val="105"/>
        </w:rPr>
        <w:t>echar</w:t>
      </w:r>
      <w:r>
        <w:rPr>
          <w:rFonts w:ascii="Arial" w:hAnsi="Arial"/>
          <w:i/>
          <w:color w:val="231F20"/>
          <w:spacing w:val="-14"/>
          <w:w w:val="105"/>
        </w:rPr>
        <w:t> </w:t>
      </w:r>
      <w:r>
        <w:rPr>
          <w:rFonts w:ascii="Arial" w:hAnsi="Arial"/>
          <w:i/>
          <w:color w:val="231F20"/>
          <w:w w:val="105"/>
        </w:rPr>
        <w:t>relajo</w:t>
      </w:r>
      <w:r>
        <w:rPr>
          <w:color w:val="231F20"/>
          <w:w w:val="105"/>
        </w:rPr>
        <w:t>”</w:t>
      </w:r>
      <w:r>
        <w:rPr>
          <w:color w:val="231F20"/>
          <w:spacing w:val="-12"/>
          <w:w w:val="105"/>
        </w:rPr>
        <w:t> </w:t>
      </w:r>
      <w:r>
        <w:rPr>
          <w:color w:val="231F20"/>
          <w:w w:val="105"/>
        </w:rPr>
        <w:t>(joke</w:t>
      </w:r>
      <w:r>
        <w:rPr>
          <w:color w:val="231F20"/>
          <w:spacing w:val="-12"/>
          <w:w w:val="105"/>
        </w:rPr>
        <w:t> </w:t>
      </w:r>
      <w:r>
        <w:rPr>
          <w:color w:val="231F20"/>
          <w:spacing w:val="-3"/>
          <w:w w:val="105"/>
        </w:rPr>
        <w:t>around)</w:t>
      </w:r>
      <w:r>
        <w:rPr>
          <w:color w:val="231F20"/>
          <w:spacing w:val="-12"/>
          <w:w w:val="105"/>
        </w:rPr>
        <w:t> </w:t>
      </w:r>
      <w:r>
        <w:rPr>
          <w:color w:val="231F20"/>
          <w:w w:val="105"/>
        </w:rPr>
        <w:t>is</w:t>
      </w:r>
      <w:r>
        <w:rPr>
          <w:color w:val="231F20"/>
          <w:spacing w:val="-12"/>
          <w:w w:val="105"/>
        </w:rPr>
        <w:t> </w:t>
      </w:r>
      <w:r>
        <w:rPr>
          <w:color w:val="231F20"/>
          <w:w w:val="105"/>
        </w:rPr>
        <w:t>an</w:t>
      </w:r>
      <w:r>
        <w:rPr>
          <w:color w:val="231F20"/>
          <w:spacing w:val="-12"/>
          <w:w w:val="105"/>
        </w:rPr>
        <w:t> </w:t>
      </w:r>
      <w:r>
        <w:rPr>
          <w:color w:val="231F20"/>
          <w:spacing w:val="-3"/>
          <w:w w:val="105"/>
        </w:rPr>
        <w:t>“occasion</w:t>
      </w:r>
      <w:r>
        <w:rPr>
          <w:color w:val="231F20"/>
          <w:spacing w:val="-12"/>
          <w:w w:val="105"/>
        </w:rPr>
        <w:t> </w:t>
      </w:r>
      <w:r>
        <w:rPr>
          <w:color w:val="231F20"/>
          <w:w w:val="105"/>
        </w:rPr>
        <w:t>for</w:t>
      </w:r>
      <w:r>
        <w:rPr>
          <w:color w:val="231F20"/>
          <w:spacing w:val="-12"/>
          <w:w w:val="105"/>
        </w:rPr>
        <w:t> </w:t>
      </w:r>
      <w:r>
        <w:rPr>
          <w:color w:val="231F20"/>
          <w:spacing w:val="-4"/>
          <w:w w:val="105"/>
        </w:rPr>
        <w:t>disorder,</w:t>
      </w:r>
      <w:r>
        <w:rPr>
          <w:color w:val="231F20"/>
          <w:spacing w:val="-17"/>
          <w:w w:val="105"/>
        </w:rPr>
        <w:t> </w:t>
      </w:r>
      <w:r>
        <w:rPr>
          <w:color w:val="231F20"/>
          <w:w w:val="105"/>
        </w:rPr>
        <w:t>for</w:t>
      </w:r>
      <w:r>
        <w:rPr>
          <w:color w:val="231F20"/>
          <w:spacing w:val="-12"/>
          <w:w w:val="105"/>
        </w:rPr>
        <w:t> </w:t>
      </w:r>
      <w:r>
        <w:rPr>
          <w:color w:val="231F20"/>
          <w:w w:val="105"/>
        </w:rPr>
        <w:t>undermi- ning</w:t>
      </w:r>
      <w:r>
        <w:rPr>
          <w:color w:val="231F20"/>
          <w:spacing w:val="-19"/>
          <w:w w:val="105"/>
        </w:rPr>
        <w:t> </w:t>
      </w:r>
      <w:r>
        <w:rPr>
          <w:color w:val="231F20"/>
          <w:w w:val="105"/>
        </w:rPr>
        <w:t>seriousness,</w:t>
      </w:r>
      <w:r>
        <w:rPr>
          <w:color w:val="231F20"/>
          <w:spacing w:val="-23"/>
          <w:w w:val="105"/>
        </w:rPr>
        <w:t> </w:t>
      </w:r>
      <w:r>
        <w:rPr>
          <w:color w:val="231F20"/>
          <w:w w:val="105"/>
        </w:rPr>
        <w:t>a</w:t>
      </w:r>
      <w:r>
        <w:rPr>
          <w:color w:val="231F20"/>
          <w:spacing w:val="-19"/>
          <w:w w:val="105"/>
        </w:rPr>
        <w:t> </w:t>
      </w:r>
      <w:r>
        <w:rPr>
          <w:color w:val="231F20"/>
          <w:w w:val="105"/>
        </w:rPr>
        <w:t>time</w:t>
      </w:r>
      <w:r>
        <w:rPr>
          <w:color w:val="231F20"/>
          <w:spacing w:val="-19"/>
          <w:w w:val="105"/>
        </w:rPr>
        <w:t> </w:t>
      </w:r>
      <w:r>
        <w:rPr>
          <w:color w:val="231F20"/>
          <w:w w:val="105"/>
        </w:rPr>
        <w:t>for</w:t>
      </w:r>
      <w:r>
        <w:rPr>
          <w:color w:val="231F20"/>
          <w:spacing w:val="-19"/>
          <w:w w:val="105"/>
        </w:rPr>
        <w:t> </w:t>
      </w:r>
      <w:r>
        <w:rPr>
          <w:color w:val="231F20"/>
          <w:w w:val="105"/>
        </w:rPr>
        <w:t>verbal</w:t>
      </w:r>
      <w:r>
        <w:rPr>
          <w:color w:val="231F20"/>
          <w:spacing w:val="-19"/>
          <w:w w:val="105"/>
        </w:rPr>
        <w:t> </w:t>
      </w:r>
      <w:r>
        <w:rPr>
          <w:color w:val="231F20"/>
          <w:spacing w:val="-3"/>
          <w:w w:val="105"/>
        </w:rPr>
        <w:t>play,</w:t>
      </w:r>
      <w:r>
        <w:rPr>
          <w:color w:val="231F20"/>
          <w:spacing w:val="-23"/>
          <w:w w:val="105"/>
        </w:rPr>
        <w:t> </w:t>
      </w:r>
      <w:r>
        <w:rPr>
          <w:color w:val="231F20"/>
          <w:w w:val="105"/>
        </w:rPr>
        <w:t>[and</w:t>
      </w:r>
      <w:r>
        <w:rPr>
          <w:color w:val="231F20"/>
          <w:spacing w:val="-19"/>
          <w:w w:val="105"/>
        </w:rPr>
        <w:t> </w:t>
      </w:r>
      <w:r>
        <w:rPr>
          <w:color w:val="231F20"/>
          <w:w w:val="105"/>
        </w:rPr>
        <w:t>thus]</w:t>
      </w:r>
      <w:r>
        <w:rPr>
          <w:color w:val="231F20"/>
          <w:spacing w:val="-19"/>
          <w:w w:val="105"/>
        </w:rPr>
        <w:t> </w:t>
      </w:r>
      <w:r>
        <w:rPr>
          <w:color w:val="231F20"/>
          <w:w w:val="105"/>
        </w:rPr>
        <w:t>it</w:t>
      </w:r>
      <w:r>
        <w:rPr>
          <w:color w:val="231F20"/>
          <w:spacing w:val="-19"/>
          <w:w w:val="105"/>
        </w:rPr>
        <w:t> </w:t>
      </w:r>
      <w:r>
        <w:rPr>
          <w:color w:val="231F20"/>
          <w:w w:val="105"/>
        </w:rPr>
        <w:t>is</w:t>
      </w:r>
      <w:r>
        <w:rPr>
          <w:color w:val="231F20"/>
          <w:spacing w:val="-19"/>
          <w:w w:val="105"/>
        </w:rPr>
        <w:t> </w:t>
      </w:r>
      <w:r>
        <w:rPr>
          <w:color w:val="231F20"/>
          <w:w w:val="105"/>
        </w:rPr>
        <w:t>a</w:t>
      </w:r>
      <w:r>
        <w:rPr>
          <w:color w:val="231F20"/>
          <w:spacing w:val="-19"/>
          <w:w w:val="105"/>
        </w:rPr>
        <w:t> </w:t>
      </w:r>
      <w:r>
        <w:rPr>
          <w:color w:val="231F20"/>
          <w:w w:val="105"/>
        </w:rPr>
        <w:t>rich</w:t>
      </w:r>
      <w:r>
        <w:rPr>
          <w:color w:val="231F20"/>
          <w:spacing w:val="-19"/>
          <w:w w:val="105"/>
        </w:rPr>
        <w:t> </w:t>
      </w:r>
      <w:r>
        <w:rPr>
          <w:color w:val="231F20"/>
          <w:w w:val="105"/>
        </w:rPr>
        <w:t>communica- tive</w:t>
      </w:r>
      <w:r>
        <w:rPr>
          <w:color w:val="231F20"/>
          <w:spacing w:val="-19"/>
          <w:w w:val="105"/>
        </w:rPr>
        <w:t> </w:t>
      </w:r>
      <w:r>
        <w:rPr>
          <w:color w:val="231F20"/>
          <w:w w:val="105"/>
        </w:rPr>
        <w:t>event</w:t>
      </w:r>
      <w:r>
        <w:rPr>
          <w:color w:val="231F20"/>
          <w:spacing w:val="-19"/>
          <w:w w:val="105"/>
        </w:rPr>
        <w:t> </w:t>
      </w:r>
      <w:r>
        <w:rPr>
          <w:color w:val="231F20"/>
          <w:w w:val="105"/>
        </w:rPr>
        <w:t>for</w:t>
      </w:r>
      <w:r>
        <w:rPr>
          <w:color w:val="231F20"/>
          <w:spacing w:val="-19"/>
          <w:w w:val="105"/>
        </w:rPr>
        <w:t> </w:t>
      </w:r>
      <w:r>
        <w:rPr>
          <w:color w:val="231F20"/>
          <w:w w:val="105"/>
        </w:rPr>
        <w:t>the</w:t>
      </w:r>
      <w:r>
        <w:rPr>
          <w:color w:val="231F20"/>
          <w:spacing w:val="-19"/>
          <w:w w:val="105"/>
        </w:rPr>
        <w:t> </w:t>
      </w:r>
      <w:r>
        <w:rPr>
          <w:color w:val="231F20"/>
          <w:w w:val="105"/>
        </w:rPr>
        <w:t>poetic</w:t>
      </w:r>
      <w:r>
        <w:rPr>
          <w:color w:val="231F20"/>
          <w:spacing w:val="-19"/>
          <w:w w:val="105"/>
        </w:rPr>
        <w:t> </w:t>
      </w:r>
      <w:r>
        <w:rPr>
          <w:color w:val="231F20"/>
          <w:w w:val="105"/>
        </w:rPr>
        <w:t>and</w:t>
      </w:r>
      <w:r>
        <w:rPr>
          <w:color w:val="231F20"/>
          <w:spacing w:val="-19"/>
          <w:w w:val="105"/>
        </w:rPr>
        <w:t> </w:t>
      </w:r>
      <w:r>
        <w:rPr>
          <w:color w:val="231F20"/>
          <w:w w:val="105"/>
        </w:rPr>
        <w:t>metacommunicative</w:t>
      </w:r>
      <w:r>
        <w:rPr>
          <w:color w:val="231F20"/>
          <w:spacing w:val="-19"/>
          <w:w w:val="105"/>
        </w:rPr>
        <w:t> </w:t>
      </w:r>
      <w:r>
        <w:rPr>
          <w:color w:val="231F20"/>
          <w:w w:val="105"/>
        </w:rPr>
        <w:t>functions</w:t>
      </w:r>
      <w:r>
        <w:rPr>
          <w:color w:val="231F20"/>
          <w:spacing w:val="-19"/>
          <w:w w:val="105"/>
        </w:rPr>
        <w:t> </w:t>
      </w:r>
      <w:r>
        <w:rPr>
          <w:color w:val="231F20"/>
          <w:w w:val="105"/>
        </w:rPr>
        <w:t>of</w:t>
      </w:r>
      <w:r>
        <w:rPr>
          <w:color w:val="231F20"/>
          <w:spacing w:val="-15"/>
          <w:w w:val="105"/>
        </w:rPr>
        <w:t> </w:t>
      </w:r>
      <w:r>
        <w:rPr>
          <w:color w:val="231F20"/>
          <w:spacing w:val="-5"/>
          <w:w w:val="105"/>
        </w:rPr>
        <w:t>language”.</w:t>
      </w:r>
    </w:p>
    <w:p>
      <w:pPr>
        <w:pStyle w:val="BodyText"/>
        <w:spacing w:line="261" w:lineRule="auto" w:before="1"/>
        <w:ind w:left="1837" w:right="1716" w:firstLine="567"/>
        <w:jc w:val="both"/>
      </w:pPr>
      <w:r>
        <w:rPr>
          <w:color w:val="231F20"/>
          <w:w w:val="105"/>
        </w:rPr>
        <w:t>Another common conversation occurs between family members when some have been in Mexico for long periods of time. </w:t>
      </w:r>
      <w:r>
        <w:rPr>
          <w:color w:val="231F20"/>
          <w:spacing w:val="-4"/>
          <w:w w:val="105"/>
        </w:rPr>
        <w:t>For </w:t>
      </w:r>
      <w:r>
        <w:rPr>
          <w:color w:val="231F20"/>
          <w:w w:val="105"/>
        </w:rPr>
        <w:t>example, a</w:t>
      </w:r>
      <w:r>
        <w:rPr>
          <w:color w:val="231F20"/>
          <w:spacing w:val="-7"/>
          <w:w w:val="105"/>
        </w:rPr>
        <w:t> </w:t>
      </w:r>
      <w:r>
        <w:rPr>
          <w:color w:val="231F20"/>
          <w:w w:val="105"/>
        </w:rPr>
        <w:t>mother</w:t>
      </w:r>
      <w:r>
        <w:rPr>
          <w:color w:val="231F20"/>
          <w:spacing w:val="-7"/>
          <w:w w:val="105"/>
        </w:rPr>
        <w:t> </w:t>
      </w:r>
      <w:r>
        <w:rPr>
          <w:color w:val="231F20"/>
          <w:w w:val="105"/>
        </w:rPr>
        <w:t>and</w:t>
      </w:r>
      <w:r>
        <w:rPr>
          <w:color w:val="231F20"/>
          <w:spacing w:val="-7"/>
          <w:w w:val="105"/>
        </w:rPr>
        <w:t> </w:t>
      </w:r>
      <w:r>
        <w:rPr>
          <w:color w:val="231F20"/>
          <w:w w:val="105"/>
        </w:rPr>
        <w:t>a</w:t>
      </w:r>
      <w:r>
        <w:rPr>
          <w:color w:val="231F20"/>
          <w:spacing w:val="-7"/>
          <w:w w:val="105"/>
        </w:rPr>
        <w:t> </w:t>
      </w:r>
      <w:r>
        <w:rPr>
          <w:color w:val="231F20"/>
          <w:w w:val="105"/>
        </w:rPr>
        <w:t>daughter</w:t>
      </w:r>
      <w:r>
        <w:rPr>
          <w:color w:val="231F20"/>
          <w:spacing w:val="-7"/>
          <w:w w:val="105"/>
        </w:rPr>
        <w:t> </w:t>
      </w:r>
      <w:r>
        <w:rPr>
          <w:color w:val="231F20"/>
          <w:w w:val="105"/>
        </w:rPr>
        <w:t>constantly</w:t>
      </w:r>
      <w:r>
        <w:rPr>
          <w:color w:val="231F20"/>
          <w:spacing w:val="-7"/>
          <w:w w:val="105"/>
        </w:rPr>
        <w:t> </w:t>
      </w:r>
      <w:r>
        <w:rPr>
          <w:color w:val="231F20"/>
          <w:w w:val="105"/>
        </w:rPr>
        <w:t>exchange</w:t>
      </w:r>
      <w:r>
        <w:rPr>
          <w:color w:val="231F20"/>
          <w:spacing w:val="-7"/>
          <w:w w:val="105"/>
        </w:rPr>
        <w:t> </w:t>
      </w:r>
      <w:r>
        <w:rPr>
          <w:color w:val="231F20"/>
          <w:w w:val="105"/>
        </w:rPr>
        <w:t>versions</w:t>
      </w:r>
      <w:r>
        <w:rPr>
          <w:color w:val="231F20"/>
          <w:spacing w:val="-7"/>
          <w:w w:val="105"/>
        </w:rPr>
        <w:t> </w:t>
      </w:r>
      <w:r>
        <w:rPr>
          <w:color w:val="231F20"/>
          <w:w w:val="105"/>
        </w:rPr>
        <w:t>of</w:t>
      </w:r>
      <w:r>
        <w:rPr>
          <w:color w:val="231F20"/>
          <w:spacing w:val="-2"/>
          <w:w w:val="105"/>
        </w:rPr>
        <w:t> </w:t>
      </w:r>
      <w:r>
        <w:rPr>
          <w:color w:val="231F20"/>
          <w:w w:val="105"/>
        </w:rPr>
        <w:t>“I</w:t>
      </w:r>
      <w:r>
        <w:rPr>
          <w:color w:val="231F20"/>
          <w:spacing w:val="-7"/>
          <w:w w:val="105"/>
        </w:rPr>
        <w:t> </w:t>
      </w:r>
      <w:r>
        <w:rPr>
          <w:color w:val="231F20"/>
          <w:w w:val="105"/>
        </w:rPr>
        <w:t>love</w:t>
      </w:r>
      <w:r>
        <w:rPr>
          <w:color w:val="231F20"/>
          <w:spacing w:val="-7"/>
          <w:w w:val="105"/>
        </w:rPr>
        <w:t> </w:t>
      </w:r>
      <w:r>
        <w:rPr>
          <w:color w:val="231F20"/>
          <w:spacing w:val="-4"/>
          <w:w w:val="105"/>
        </w:rPr>
        <w:t>you,”</w:t>
      </w:r>
      <w:r>
        <w:rPr>
          <w:color w:val="231F20"/>
          <w:spacing w:val="-7"/>
          <w:w w:val="105"/>
        </w:rPr>
        <w:t> </w:t>
      </w:r>
      <w:r>
        <w:rPr>
          <w:color w:val="231F20"/>
          <w:w w:val="105"/>
        </w:rPr>
        <w:t>“I miss </w:t>
      </w:r>
      <w:r>
        <w:rPr>
          <w:color w:val="231F20"/>
          <w:spacing w:val="-4"/>
          <w:w w:val="105"/>
        </w:rPr>
        <w:t>you,” </w:t>
      </w:r>
      <w:r>
        <w:rPr>
          <w:color w:val="231F20"/>
          <w:w w:val="105"/>
        </w:rPr>
        <w:t>“we’ll get back together </w:t>
      </w:r>
      <w:r>
        <w:rPr>
          <w:color w:val="231F20"/>
          <w:spacing w:val="-3"/>
          <w:w w:val="105"/>
        </w:rPr>
        <w:t>soon,” </w:t>
      </w:r>
      <w:r>
        <w:rPr>
          <w:color w:val="231F20"/>
          <w:w w:val="105"/>
        </w:rPr>
        <w:t>but it is never said where the reunion</w:t>
      </w:r>
      <w:r>
        <w:rPr>
          <w:color w:val="231F20"/>
          <w:spacing w:val="-8"/>
          <w:w w:val="105"/>
        </w:rPr>
        <w:t> </w:t>
      </w:r>
      <w:r>
        <w:rPr>
          <w:color w:val="231F20"/>
          <w:w w:val="105"/>
        </w:rPr>
        <w:t>will</w:t>
      </w:r>
      <w:r>
        <w:rPr>
          <w:color w:val="231F20"/>
          <w:spacing w:val="-8"/>
          <w:w w:val="105"/>
        </w:rPr>
        <w:t> </w:t>
      </w:r>
      <w:r>
        <w:rPr>
          <w:color w:val="231F20"/>
          <w:w w:val="105"/>
        </w:rPr>
        <w:t>occur</w:t>
      </w:r>
      <w:r>
        <w:rPr>
          <w:color w:val="231F20"/>
          <w:spacing w:val="-8"/>
          <w:w w:val="105"/>
        </w:rPr>
        <w:t> </w:t>
      </w:r>
      <w:r>
        <w:rPr>
          <w:color w:val="231F20"/>
          <w:w w:val="105"/>
        </w:rPr>
        <w:t>(in</w:t>
      </w:r>
      <w:r>
        <w:rPr>
          <w:color w:val="231F20"/>
          <w:spacing w:val="-8"/>
          <w:w w:val="105"/>
        </w:rPr>
        <w:t> </w:t>
      </w:r>
      <w:r>
        <w:rPr>
          <w:color w:val="231F20"/>
          <w:w w:val="105"/>
        </w:rPr>
        <w:t>the</w:t>
      </w:r>
      <w:r>
        <w:rPr>
          <w:color w:val="231F20"/>
          <w:spacing w:val="-8"/>
          <w:w w:val="105"/>
        </w:rPr>
        <w:t> </w:t>
      </w:r>
      <w:r>
        <w:rPr>
          <w:color w:val="231F20"/>
          <w:w w:val="105"/>
        </w:rPr>
        <w:t>U.S.</w:t>
      </w:r>
      <w:r>
        <w:rPr>
          <w:color w:val="231F20"/>
          <w:spacing w:val="-12"/>
          <w:w w:val="105"/>
        </w:rPr>
        <w:t> </w:t>
      </w:r>
      <w:r>
        <w:rPr>
          <w:color w:val="231F20"/>
          <w:w w:val="105"/>
        </w:rPr>
        <w:t>or</w:t>
      </w:r>
      <w:r>
        <w:rPr>
          <w:color w:val="231F20"/>
          <w:spacing w:val="-8"/>
          <w:w w:val="105"/>
        </w:rPr>
        <w:t> </w:t>
      </w:r>
      <w:r>
        <w:rPr>
          <w:color w:val="231F20"/>
          <w:w w:val="105"/>
        </w:rPr>
        <w:t>Mexico),</w:t>
      </w:r>
      <w:r>
        <w:rPr>
          <w:color w:val="231F20"/>
          <w:spacing w:val="-12"/>
          <w:w w:val="105"/>
        </w:rPr>
        <w:t> </w:t>
      </w:r>
      <w:r>
        <w:rPr>
          <w:color w:val="231F20"/>
          <w:w w:val="105"/>
        </w:rPr>
        <w:t>and</w:t>
      </w:r>
      <w:r>
        <w:rPr>
          <w:color w:val="231F20"/>
          <w:spacing w:val="-8"/>
          <w:w w:val="105"/>
        </w:rPr>
        <w:t> </w:t>
      </w:r>
      <w:r>
        <w:rPr>
          <w:color w:val="231F20"/>
          <w:w w:val="105"/>
        </w:rPr>
        <w:t>sisters</w:t>
      </w:r>
      <w:r>
        <w:rPr>
          <w:color w:val="231F20"/>
          <w:spacing w:val="-8"/>
          <w:w w:val="105"/>
        </w:rPr>
        <w:t> </w:t>
      </w:r>
      <w:r>
        <w:rPr>
          <w:color w:val="231F20"/>
          <w:w w:val="105"/>
        </w:rPr>
        <w:t>living</w:t>
      </w:r>
      <w:r>
        <w:rPr>
          <w:color w:val="231F20"/>
          <w:spacing w:val="-8"/>
          <w:w w:val="105"/>
        </w:rPr>
        <w:t> </w:t>
      </w:r>
      <w:r>
        <w:rPr>
          <w:color w:val="231F20"/>
          <w:w w:val="105"/>
        </w:rPr>
        <w:t>apart</w:t>
      </w:r>
      <w:r>
        <w:rPr>
          <w:color w:val="231F20"/>
          <w:spacing w:val="-8"/>
          <w:w w:val="105"/>
        </w:rPr>
        <w:t> </w:t>
      </w:r>
      <w:r>
        <w:rPr>
          <w:color w:val="231F20"/>
          <w:w w:val="105"/>
        </w:rPr>
        <w:t>usually write</w:t>
      </w:r>
      <w:r>
        <w:rPr>
          <w:color w:val="231F20"/>
          <w:spacing w:val="-5"/>
          <w:w w:val="105"/>
        </w:rPr>
        <w:t> </w:t>
      </w:r>
      <w:r>
        <w:rPr>
          <w:color w:val="231F20"/>
          <w:w w:val="105"/>
        </w:rPr>
        <w:t>on</w:t>
      </w:r>
      <w:r>
        <w:rPr>
          <w:color w:val="231F20"/>
          <w:spacing w:val="-5"/>
          <w:w w:val="105"/>
        </w:rPr>
        <w:t> </w:t>
      </w:r>
      <w:r>
        <w:rPr>
          <w:color w:val="231F20"/>
          <w:w w:val="105"/>
        </w:rPr>
        <w:t>each</w:t>
      </w:r>
      <w:r>
        <w:rPr>
          <w:color w:val="231F20"/>
          <w:spacing w:val="-5"/>
          <w:w w:val="105"/>
        </w:rPr>
        <w:t> </w:t>
      </w:r>
      <w:r>
        <w:rPr>
          <w:color w:val="231F20"/>
          <w:w w:val="105"/>
        </w:rPr>
        <w:t>other’s</w:t>
      </w:r>
      <w:r>
        <w:rPr>
          <w:color w:val="231F20"/>
          <w:spacing w:val="-5"/>
          <w:w w:val="105"/>
        </w:rPr>
        <w:t> </w:t>
      </w:r>
      <w:r>
        <w:rPr>
          <w:color w:val="231F20"/>
          <w:w w:val="105"/>
        </w:rPr>
        <w:t>walls,</w:t>
      </w:r>
      <w:r>
        <w:rPr>
          <w:color w:val="231F20"/>
          <w:spacing w:val="-10"/>
          <w:w w:val="105"/>
        </w:rPr>
        <w:t> </w:t>
      </w:r>
      <w:r>
        <w:rPr>
          <w:color w:val="231F20"/>
          <w:w w:val="105"/>
        </w:rPr>
        <w:t>explaining</w:t>
      </w:r>
      <w:r>
        <w:rPr>
          <w:color w:val="231F20"/>
          <w:spacing w:val="-5"/>
          <w:w w:val="105"/>
        </w:rPr>
        <w:t> </w:t>
      </w:r>
      <w:r>
        <w:rPr>
          <w:color w:val="231F20"/>
          <w:w w:val="105"/>
        </w:rPr>
        <w:t>why</w:t>
      </w:r>
      <w:r>
        <w:rPr>
          <w:color w:val="231F20"/>
          <w:spacing w:val="-5"/>
          <w:w w:val="105"/>
        </w:rPr>
        <w:t> </w:t>
      </w:r>
      <w:r>
        <w:rPr>
          <w:color w:val="231F20"/>
          <w:w w:val="105"/>
        </w:rPr>
        <w:t>one</w:t>
      </w:r>
      <w:r>
        <w:rPr>
          <w:color w:val="231F20"/>
          <w:spacing w:val="-5"/>
          <w:w w:val="105"/>
        </w:rPr>
        <w:t> </w:t>
      </w:r>
      <w:r>
        <w:rPr>
          <w:color w:val="231F20"/>
          <w:w w:val="105"/>
        </w:rPr>
        <w:t>or</w:t>
      </w:r>
      <w:r>
        <w:rPr>
          <w:color w:val="231F20"/>
          <w:spacing w:val="-5"/>
          <w:w w:val="105"/>
        </w:rPr>
        <w:t> </w:t>
      </w:r>
      <w:r>
        <w:rPr>
          <w:color w:val="231F20"/>
          <w:w w:val="105"/>
        </w:rPr>
        <w:t>the</w:t>
      </w:r>
      <w:r>
        <w:rPr>
          <w:color w:val="231F20"/>
          <w:spacing w:val="-5"/>
          <w:w w:val="105"/>
        </w:rPr>
        <w:t> </w:t>
      </w:r>
      <w:r>
        <w:rPr>
          <w:color w:val="231F20"/>
          <w:w w:val="105"/>
        </w:rPr>
        <w:t>other</w:t>
      </w:r>
      <w:r>
        <w:rPr>
          <w:color w:val="231F20"/>
          <w:spacing w:val="-5"/>
          <w:w w:val="105"/>
        </w:rPr>
        <w:t> </w:t>
      </w:r>
      <w:r>
        <w:rPr>
          <w:color w:val="231F20"/>
          <w:w w:val="105"/>
        </w:rPr>
        <w:t>of them</w:t>
      </w:r>
      <w:r>
        <w:rPr>
          <w:color w:val="231F20"/>
          <w:spacing w:val="-5"/>
          <w:w w:val="105"/>
        </w:rPr>
        <w:t> </w:t>
      </w:r>
      <w:r>
        <w:rPr>
          <w:color w:val="231F20"/>
          <w:w w:val="105"/>
        </w:rPr>
        <w:t>has not</w:t>
      </w:r>
      <w:r>
        <w:rPr>
          <w:color w:val="231F20"/>
          <w:spacing w:val="-11"/>
          <w:w w:val="105"/>
        </w:rPr>
        <w:t> </w:t>
      </w:r>
      <w:r>
        <w:rPr>
          <w:color w:val="231F20"/>
          <w:w w:val="105"/>
        </w:rPr>
        <w:t>gone</w:t>
      </w:r>
      <w:r>
        <w:rPr>
          <w:color w:val="231F20"/>
          <w:spacing w:val="-11"/>
          <w:w w:val="105"/>
        </w:rPr>
        <w:t> </w:t>
      </w:r>
      <w:r>
        <w:rPr>
          <w:color w:val="231F20"/>
          <w:w w:val="105"/>
        </w:rPr>
        <w:t>to</w:t>
      </w:r>
      <w:r>
        <w:rPr>
          <w:color w:val="231F20"/>
          <w:spacing w:val="-11"/>
          <w:w w:val="105"/>
        </w:rPr>
        <w:t> </w:t>
      </w:r>
      <w:r>
        <w:rPr>
          <w:color w:val="231F20"/>
          <w:w w:val="105"/>
        </w:rPr>
        <w:t>Mexico</w:t>
      </w:r>
      <w:r>
        <w:rPr>
          <w:color w:val="231F20"/>
          <w:spacing w:val="-11"/>
          <w:w w:val="105"/>
        </w:rPr>
        <w:t> </w:t>
      </w:r>
      <w:r>
        <w:rPr>
          <w:color w:val="231F20"/>
          <w:w w:val="105"/>
        </w:rPr>
        <w:t>or</w:t>
      </w:r>
      <w:r>
        <w:rPr>
          <w:color w:val="231F20"/>
          <w:spacing w:val="-11"/>
          <w:w w:val="105"/>
        </w:rPr>
        <w:t> </w:t>
      </w:r>
      <w:r>
        <w:rPr>
          <w:color w:val="231F20"/>
          <w:w w:val="105"/>
        </w:rPr>
        <w:t>come</w:t>
      </w:r>
      <w:r>
        <w:rPr>
          <w:color w:val="231F20"/>
          <w:spacing w:val="-11"/>
          <w:w w:val="105"/>
        </w:rPr>
        <w:t> </w:t>
      </w:r>
      <w:r>
        <w:rPr>
          <w:color w:val="231F20"/>
          <w:w w:val="105"/>
        </w:rPr>
        <w:t>back</w:t>
      </w:r>
      <w:r>
        <w:rPr>
          <w:color w:val="231F20"/>
          <w:spacing w:val="-11"/>
          <w:w w:val="105"/>
        </w:rPr>
        <w:t> </w:t>
      </w:r>
      <w:r>
        <w:rPr>
          <w:color w:val="231F20"/>
          <w:w w:val="105"/>
        </w:rPr>
        <w:t>from</w:t>
      </w:r>
      <w:r>
        <w:rPr>
          <w:color w:val="231F20"/>
          <w:spacing w:val="-11"/>
          <w:w w:val="105"/>
        </w:rPr>
        <w:t> </w:t>
      </w:r>
      <w:r>
        <w:rPr>
          <w:color w:val="231F20"/>
          <w:w w:val="105"/>
        </w:rPr>
        <w:t>Mexico.</w:t>
      </w:r>
      <w:r>
        <w:rPr>
          <w:color w:val="231F20"/>
          <w:spacing w:val="-21"/>
          <w:w w:val="105"/>
        </w:rPr>
        <w:t> </w:t>
      </w:r>
      <w:r>
        <w:rPr>
          <w:color w:val="231F20"/>
          <w:w w:val="105"/>
        </w:rPr>
        <w:t>The</w:t>
      </w:r>
      <w:r>
        <w:rPr>
          <w:color w:val="231F20"/>
          <w:spacing w:val="-11"/>
          <w:w w:val="105"/>
        </w:rPr>
        <w:t> </w:t>
      </w:r>
      <w:r>
        <w:rPr>
          <w:color w:val="231F20"/>
          <w:w w:val="105"/>
        </w:rPr>
        <w:t>displays</w:t>
      </w:r>
      <w:r>
        <w:rPr>
          <w:color w:val="231F20"/>
          <w:spacing w:val="-11"/>
          <w:w w:val="105"/>
        </w:rPr>
        <w:t> </w:t>
      </w:r>
      <w:r>
        <w:rPr>
          <w:color w:val="231F20"/>
          <w:w w:val="105"/>
        </w:rPr>
        <w:t>of</w:t>
      </w:r>
      <w:r>
        <w:rPr>
          <w:color w:val="231F20"/>
          <w:spacing w:val="-6"/>
          <w:w w:val="105"/>
        </w:rPr>
        <w:t> </w:t>
      </w:r>
      <w:r>
        <w:rPr>
          <w:color w:val="231F20"/>
          <w:w w:val="105"/>
        </w:rPr>
        <w:t>affection, longing and missing can be all understood as part of identity construc- tion</w:t>
      </w:r>
      <w:r>
        <w:rPr>
          <w:color w:val="231F20"/>
          <w:spacing w:val="-27"/>
          <w:w w:val="105"/>
        </w:rPr>
        <w:t> </w:t>
      </w:r>
      <w:r>
        <w:rPr>
          <w:color w:val="231F20"/>
          <w:w w:val="105"/>
        </w:rPr>
        <w:t>as</w:t>
      </w:r>
      <w:r>
        <w:rPr>
          <w:color w:val="231F20"/>
          <w:spacing w:val="-27"/>
          <w:w w:val="105"/>
        </w:rPr>
        <w:t> </w:t>
      </w:r>
      <w:r>
        <w:rPr>
          <w:color w:val="231F20"/>
          <w:w w:val="105"/>
        </w:rPr>
        <w:t>transnational</w:t>
      </w:r>
      <w:r>
        <w:rPr>
          <w:color w:val="231F20"/>
          <w:spacing w:val="-27"/>
          <w:w w:val="105"/>
        </w:rPr>
        <w:t> </w:t>
      </w:r>
      <w:r>
        <w:rPr>
          <w:color w:val="231F20"/>
          <w:w w:val="105"/>
        </w:rPr>
        <w:t>individuals.</w:t>
      </w:r>
    </w:p>
    <w:p>
      <w:pPr>
        <w:pStyle w:val="BodyText"/>
        <w:spacing w:line="261" w:lineRule="auto" w:before="1"/>
        <w:ind w:left="1837" w:right="1721" w:firstLine="567"/>
        <w:jc w:val="both"/>
      </w:pPr>
      <w:r>
        <w:rPr/>
        <w:pict>
          <v:line style="position:absolute;mso-position-horizontal-relative:page;mso-position-vertical-relative:paragraph;z-index:-447208" from="15pt,297.876587pt" to="0pt,297.876587pt" stroked="true" strokeweight=".25pt" strokecolor="#000000">
            <w10:wrap type="none"/>
          </v:line>
        </w:pict>
      </w:r>
      <w:r>
        <w:rPr/>
        <w:pict>
          <v:line style="position:absolute;mso-position-horizontal-relative:page;mso-position-vertical-relative:paragraph;z-index:43000" from="508.890015pt,297.876587pt" to="523.890015pt,297.876587pt" stroked="true" strokeweight=".25pt" strokecolor="#000000">
            <w10:wrap type="none"/>
          </v:line>
        </w:pict>
      </w:r>
      <w:r>
        <w:rPr>
          <w:color w:val="231F20"/>
          <w:w w:val="105"/>
        </w:rPr>
        <w:t>It is interesting how the “longing for” posts by members of the ne- twork index a Mexican space in their </w:t>
      </w:r>
      <w:r>
        <w:rPr>
          <w:rFonts w:ascii="Arial" w:hAnsi="Arial"/>
          <w:i/>
          <w:color w:val="231F20"/>
          <w:w w:val="105"/>
        </w:rPr>
        <w:t>rancho</w:t>
      </w:r>
      <w:r>
        <w:rPr>
          <w:color w:val="231F20"/>
          <w:w w:val="105"/>
        </w:rPr>
        <w:t>. When members go to the </w:t>
      </w:r>
      <w:r>
        <w:rPr>
          <w:rFonts w:ascii="Arial" w:hAnsi="Arial"/>
          <w:i/>
          <w:color w:val="231F20"/>
          <w:w w:val="105"/>
        </w:rPr>
        <w:t>rancho</w:t>
      </w:r>
      <w:r>
        <w:rPr>
          <w:color w:val="231F20"/>
          <w:w w:val="105"/>
        </w:rPr>
        <w:t>,</w:t>
      </w:r>
      <w:r>
        <w:rPr>
          <w:color w:val="231F20"/>
          <w:spacing w:val="-13"/>
          <w:w w:val="105"/>
        </w:rPr>
        <w:t> </w:t>
      </w:r>
      <w:r>
        <w:rPr>
          <w:color w:val="231F20"/>
          <w:w w:val="105"/>
        </w:rPr>
        <w:t>many</w:t>
      </w:r>
      <w:r>
        <w:rPr>
          <w:color w:val="231F20"/>
          <w:spacing w:val="-6"/>
          <w:w w:val="105"/>
        </w:rPr>
        <w:t> </w:t>
      </w:r>
      <w:r>
        <w:rPr>
          <w:color w:val="231F20"/>
          <w:w w:val="105"/>
        </w:rPr>
        <w:t>post</w:t>
      </w:r>
      <w:r>
        <w:rPr>
          <w:color w:val="231F20"/>
          <w:spacing w:val="-6"/>
          <w:w w:val="105"/>
        </w:rPr>
        <w:t> </w:t>
      </w:r>
      <w:r>
        <w:rPr>
          <w:color w:val="231F20"/>
          <w:w w:val="105"/>
        </w:rPr>
        <w:t>that</w:t>
      </w:r>
      <w:r>
        <w:rPr>
          <w:color w:val="231F20"/>
          <w:spacing w:val="-6"/>
          <w:w w:val="105"/>
        </w:rPr>
        <w:t> </w:t>
      </w:r>
      <w:r>
        <w:rPr>
          <w:color w:val="231F20"/>
          <w:w w:val="105"/>
        </w:rPr>
        <w:t>they</w:t>
      </w:r>
      <w:r>
        <w:rPr>
          <w:color w:val="231F20"/>
          <w:spacing w:val="-6"/>
          <w:w w:val="105"/>
        </w:rPr>
        <w:t> </w:t>
      </w:r>
      <w:r>
        <w:rPr>
          <w:color w:val="231F20"/>
          <w:w w:val="105"/>
        </w:rPr>
        <w:t>are</w:t>
      </w:r>
      <w:r>
        <w:rPr>
          <w:color w:val="231F20"/>
          <w:spacing w:val="-6"/>
          <w:w w:val="105"/>
        </w:rPr>
        <w:t> </w:t>
      </w:r>
      <w:r>
        <w:rPr>
          <w:color w:val="231F20"/>
          <w:w w:val="105"/>
        </w:rPr>
        <w:t>going</w:t>
      </w:r>
      <w:r>
        <w:rPr>
          <w:color w:val="231F20"/>
          <w:spacing w:val="-6"/>
          <w:w w:val="105"/>
        </w:rPr>
        <w:t> </w:t>
      </w:r>
      <w:r>
        <w:rPr>
          <w:color w:val="231F20"/>
          <w:w w:val="105"/>
        </w:rPr>
        <w:t>“back”</w:t>
      </w:r>
      <w:r>
        <w:rPr>
          <w:color w:val="231F20"/>
          <w:spacing w:val="-6"/>
          <w:w w:val="105"/>
        </w:rPr>
        <w:t> </w:t>
      </w:r>
      <w:r>
        <w:rPr>
          <w:color w:val="231F20"/>
          <w:w w:val="105"/>
        </w:rPr>
        <w:t>to</w:t>
      </w:r>
      <w:r>
        <w:rPr>
          <w:color w:val="231F20"/>
          <w:spacing w:val="-6"/>
          <w:w w:val="105"/>
        </w:rPr>
        <w:t> </w:t>
      </w:r>
      <w:r>
        <w:rPr>
          <w:color w:val="231F20"/>
          <w:w w:val="105"/>
        </w:rPr>
        <w:t>their</w:t>
      </w:r>
      <w:r>
        <w:rPr>
          <w:color w:val="231F20"/>
          <w:spacing w:val="-6"/>
          <w:w w:val="105"/>
        </w:rPr>
        <w:t> </w:t>
      </w:r>
      <w:r>
        <w:rPr>
          <w:color w:val="231F20"/>
          <w:w w:val="105"/>
        </w:rPr>
        <w:t>beloved</w:t>
      </w:r>
      <w:r>
        <w:rPr>
          <w:color w:val="231F20"/>
          <w:spacing w:val="-6"/>
          <w:w w:val="105"/>
        </w:rPr>
        <w:t> </w:t>
      </w:r>
      <w:r>
        <w:rPr>
          <w:rFonts w:ascii="Arial" w:hAnsi="Arial"/>
          <w:i/>
          <w:color w:val="231F20"/>
          <w:w w:val="105"/>
        </w:rPr>
        <w:t>rancho</w:t>
      </w:r>
      <w:r>
        <w:rPr>
          <w:color w:val="231F20"/>
          <w:w w:val="105"/>
        </w:rPr>
        <w:t>,</w:t>
      </w:r>
      <w:r>
        <w:rPr>
          <w:color w:val="231F20"/>
          <w:spacing w:val="-13"/>
          <w:w w:val="105"/>
        </w:rPr>
        <w:t> </w:t>
      </w:r>
      <w:r>
        <w:rPr>
          <w:color w:val="231F20"/>
          <w:w w:val="105"/>
        </w:rPr>
        <w:t>its old</w:t>
      </w:r>
      <w:r>
        <w:rPr>
          <w:color w:val="231F20"/>
          <w:spacing w:val="-9"/>
          <w:w w:val="105"/>
        </w:rPr>
        <w:t> </w:t>
      </w:r>
      <w:r>
        <w:rPr>
          <w:color w:val="231F20"/>
          <w:w w:val="105"/>
        </w:rPr>
        <w:t>ways</w:t>
      </w:r>
      <w:r>
        <w:rPr>
          <w:color w:val="231F20"/>
          <w:spacing w:val="-9"/>
          <w:w w:val="105"/>
        </w:rPr>
        <w:t> </w:t>
      </w:r>
      <w:r>
        <w:rPr>
          <w:color w:val="231F20"/>
          <w:w w:val="105"/>
        </w:rPr>
        <w:t>and</w:t>
      </w:r>
      <w:r>
        <w:rPr>
          <w:color w:val="231F20"/>
          <w:spacing w:val="-9"/>
          <w:w w:val="105"/>
        </w:rPr>
        <w:t> </w:t>
      </w:r>
      <w:r>
        <w:rPr>
          <w:color w:val="231F20"/>
          <w:w w:val="105"/>
        </w:rPr>
        <w:t>its</w:t>
      </w:r>
      <w:r>
        <w:rPr>
          <w:color w:val="231F20"/>
          <w:spacing w:val="-9"/>
          <w:w w:val="105"/>
        </w:rPr>
        <w:t> </w:t>
      </w:r>
      <w:r>
        <w:rPr>
          <w:color w:val="231F20"/>
          <w:w w:val="105"/>
        </w:rPr>
        <w:t>calm</w:t>
      </w:r>
      <w:r>
        <w:rPr>
          <w:color w:val="231F20"/>
          <w:spacing w:val="-9"/>
          <w:w w:val="105"/>
        </w:rPr>
        <w:t> </w:t>
      </w:r>
      <w:r>
        <w:rPr>
          <w:color w:val="231F20"/>
          <w:w w:val="105"/>
        </w:rPr>
        <w:t>way</w:t>
      </w:r>
      <w:r>
        <w:rPr>
          <w:color w:val="231F20"/>
          <w:spacing w:val="-9"/>
          <w:w w:val="105"/>
        </w:rPr>
        <w:t> </w:t>
      </w:r>
      <w:r>
        <w:rPr>
          <w:color w:val="231F20"/>
          <w:w w:val="105"/>
        </w:rPr>
        <w:t>of</w:t>
      </w:r>
      <w:r>
        <w:rPr>
          <w:color w:val="231F20"/>
          <w:spacing w:val="-5"/>
          <w:w w:val="105"/>
        </w:rPr>
        <w:t> </w:t>
      </w:r>
      <w:r>
        <w:rPr>
          <w:color w:val="231F20"/>
          <w:w w:val="105"/>
        </w:rPr>
        <w:t>living.</w:t>
      </w:r>
      <w:r>
        <w:rPr>
          <w:color w:val="231F20"/>
          <w:spacing w:val="-14"/>
          <w:w w:val="105"/>
        </w:rPr>
        <w:t> </w:t>
      </w:r>
      <w:r>
        <w:rPr>
          <w:color w:val="231F20"/>
          <w:w w:val="105"/>
        </w:rPr>
        <w:t>However,</w:t>
      </w:r>
      <w:r>
        <w:rPr>
          <w:color w:val="231F20"/>
          <w:spacing w:val="-14"/>
          <w:w w:val="105"/>
        </w:rPr>
        <w:t> </w:t>
      </w:r>
      <w:r>
        <w:rPr>
          <w:color w:val="231F20"/>
          <w:w w:val="105"/>
        </w:rPr>
        <w:t>what</w:t>
      </w:r>
      <w:r>
        <w:rPr>
          <w:color w:val="231F20"/>
          <w:spacing w:val="-9"/>
          <w:w w:val="105"/>
        </w:rPr>
        <w:t> </w:t>
      </w:r>
      <w:r>
        <w:rPr>
          <w:color w:val="231F20"/>
          <w:w w:val="105"/>
        </w:rPr>
        <w:t>members</w:t>
      </w:r>
      <w:r>
        <w:rPr>
          <w:color w:val="231F20"/>
          <w:spacing w:val="-9"/>
          <w:w w:val="105"/>
        </w:rPr>
        <w:t> </w:t>
      </w:r>
      <w:r>
        <w:rPr>
          <w:color w:val="231F20"/>
          <w:w w:val="105"/>
        </w:rPr>
        <w:t>say</w:t>
      </w:r>
      <w:r>
        <w:rPr>
          <w:color w:val="231F20"/>
          <w:spacing w:val="-9"/>
          <w:w w:val="105"/>
        </w:rPr>
        <w:t> </w:t>
      </w:r>
      <w:r>
        <w:rPr>
          <w:color w:val="231F20"/>
          <w:w w:val="105"/>
        </w:rPr>
        <w:t>and</w:t>
      </w:r>
      <w:r>
        <w:rPr>
          <w:color w:val="231F20"/>
          <w:spacing w:val="-9"/>
          <w:w w:val="105"/>
        </w:rPr>
        <w:t> </w:t>
      </w:r>
      <w:r>
        <w:rPr>
          <w:color w:val="231F20"/>
          <w:w w:val="105"/>
        </w:rPr>
        <w:t>do when</w:t>
      </w:r>
      <w:r>
        <w:rPr>
          <w:color w:val="231F20"/>
          <w:spacing w:val="-7"/>
          <w:w w:val="105"/>
        </w:rPr>
        <w:t> </w:t>
      </w:r>
      <w:r>
        <w:rPr>
          <w:color w:val="231F20"/>
          <w:w w:val="105"/>
        </w:rPr>
        <w:t>they</w:t>
      </w:r>
      <w:r>
        <w:rPr>
          <w:color w:val="231F20"/>
          <w:spacing w:val="-7"/>
          <w:w w:val="105"/>
        </w:rPr>
        <w:t> </w:t>
      </w:r>
      <w:r>
        <w:rPr>
          <w:color w:val="231F20"/>
          <w:w w:val="105"/>
        </w:rPr>
        <w:t>travel</w:t>
      </w:r>
      <w:r>
        <w:rPr>
          <w:color w:val="231F20"/>
          <w:spacing w:val="-7"/>
          <w:w w:val="105"/>
        </w:rPr>
        <w:t> </w:t>
      </w:r>
      <w:r>
        <w:rPr>
          <w:color w:val="231F20"/>
          <w:w w:val="105"/>
        </w:rPr>
        <w:t>individually</w:t>
      </w:r>
      <w:r>
        <w:rPr>
          <w:color w:val="231F20"/>
          <w:spacing w:val="-7"/>
          <w:w w:val="105"/>
        </w:rPr>
        <w:t> </w:t>
      </w:r>
      <w:r>
        <w:rPr>
          <w:color w:val="231F20"/>
          <w:w w:val="105"/>
        </w:rPr>
        <w:t>to</w:t>
      </w:r>
      <w:r>
        <w:rPr>
          <w:color w:val="231F20"/>
          <w:spacing w:val="-7"/>
          <w:w w:val="105"/>
        </w:rPr>
        <w:t> </w:t>
      </w:r>
      <w:r>
        <w:rPr>
          <w:color w:val="231F20"/>
          <w:w w:val="105"/>
        </w:rPr>
        <w:t>the</w:t>
      </w:r>
      <w:r>
        <w:rPr>
          <w:color w:val="231F20"/>
          <w:spacing w:val="-7"/>
          <w:w w:val="105"/>
        </w:rPr>
        <w:t> </w:t>
      </w:r>
      <w:r>
        <w:rPr>
          <w:color w:val="231F20"/>
          <w:w w:val="105"/>
        </w:rPr>
        <w:t>rancho,</w:t>
      </w:r>
      <w:r>
        <w:rPr>
          <w:color w:val="231F20"/>
          <w:spacing w:val="-13"/>
          <w:w w:val="105"/>
        </w:rPr>
        <w:t> </w:t>
      </w:r>
      <w:r>
        <w:rPr>
          <w:color w:val="231F20"/>
          <w:w w:val="105"/>
        </w:rPr>
        <w:t>as</w:t>
      </w:r>
      <w:r>
        <w:rPr>
          <w:color w:val="231F20"/>
          <w:spacing w:val="-7"/>
          <w:w w:val="105"/>
        </w:rPr>
        <w:t> </w:t>
      </w:r>
      <w:r>
        <w:rPr>
          <w:color w:val="231F20"/>
          <w:w w:val="105"/>
        </w:rPr>
        <w:t>opposed</w:t>
      </w:r>
      <w:r>
        <w:rPr>
          <w:color w:val="231F20"/>
          <w:spacing w:val="-7"/>
          <w:w w:val="105"/>
        </w:rPr>
        <w:t> </w:t>
      </w:r>
      <w:r>
        <w:rPr>
          <w:color w:val="231F20"/>
          <w:w w:val="105"/>
        </w:rPr>
        <w:t>to</w:t>
      </w:r>
      <w:r>
        <w:rPr>
          <w:color w:val="231F20"/>
          <w:spacing w:val="-7"/>
          <w:w w:val="105"/>
        </w:rPr>
        <w:t> </w:t>
      </w:r>
      <w:r>
        <w:rPr>
          <w:color w:val="231F20"/>
          <w:w w:val="105"/>
        </w:rPr>
        <w:t>when</w:t>
      </w:r>
      <w:r>
        <w:rPr>
          <w:color w:val="231F20"/>
          <w:spacing w:val="-7"/>
          <w:w w:val="105"/>
        </w:rPr>
        <w:t> </w:t>
      </w:r>
      <w:r>
        <w:rPr>
          <w:color w:val="231F20"/>
          <w:w w:val="105"/>
        </w:rPr>
        <w:t>multiple members visit the rancho at the same time, is a little different. </w:t>
      </w:r>
      <w:r>
        <w:rPr>
          <w:color w:val="231F20"/>
          <w:spacing w:val="-4"/>
          <w:w w:val="105"/>
        </w:rPr>
        <w:t>For </w:t>
      </w:r>
      <w:r>
        <w:rPr>
          <w:color w:val="231F20"/>
          <w:w w:val="105"/>
        </w:rPr>
        <w:t>ins- tance, Conversation 5, </w:t>
      </w:r>
      <w:r>
        <w:rPr>
          <w:color w:val="231F20"/>
          <w:spacing w:val="-8"/>
          <w:w w:val="105"/>
        </w:rPr>
        <w:t>“A </w:t>
      </w:r>
      <w:r>
        <w:rPr>
          <w:color w:val="231F20"/>
          <w:w w:val="105"/>
        </w:rPr>
        <w:t>white </w:t>
      </w:r>
      <w:r>
        <w:rPr>
          <w:color w:val="231F20"/>
          <w:spacing w:val="-4"/>
          <w:w w:val="105"/>
        </w:rPr>
        <w:t>truck”, </w:t>
      </w:r>
      <w:r>
        <w:rPr>
          <w:color w:val="231F20"/>
          <w:w w:val="105"/>
        </w:rPr>
        <w:t>an older member who has been living in Mexico for more than two months posts the message on </w:t>
      </w:r>
      <w:r>
        <w:rPr>
          <w:color w:val="231F20"/>
          <w:spacing w:val="-3"/>
          <w:w w:val="105"/>
        </w:rPr>
        <w:t>Face- </w:t>
      </w:r>
      <w:r>
        <w:rPr>
          <w:color w:val="231F20"/>
          <w:w w:val="105"/>
        </w:rPr>
        <w:t>book</w:t>
      </w:r>
      <w:r>
        <w:rPr>
          <w:color w:val="231F20"/>
          <w:spacing w:val="-3"/>
          <w:w w:val="105"/>
        </w:rPr>
        <w:t> </w:t>
      </w:r>
      <w:r>
        <w:rPr>
          <w:color w:val="231F20"/>
          <w:w w:val="105"/>
        </w:rPr>
        <w:t>via</w:t>
      </w:r>
      <w:r>
        <w:rPr>
          <w:color w:val="231F20"/>
          <w:spacing w:val="-3"/>
          <w:w w:val="105"/>
        </w:rPr>
        <w:t> </w:t>
      </w:r>
      <w:r>
        <w:rPr>
          <w:color w:val="231F20"/>
          <w:w w:val="105"/>
        </w:rPr>
        <w:t>her</w:t>
      </w:r>
      <w:r>
        <w:rPr>
          <w:color w:val="231F20"/>
          <w:spacing w:val="-3"/>
          <w:w w:val="105"/>
        </w:rPr>
        <w:t> </w:t>
      </w:r>
      <w:r>
        <w:rPr>
          <w:color w:val="231F20"/>
          <w:w w:val="105"/>
        </w:rPr>
        <w:t>eldest</w:t>
      </w:r>
      <w:r>
        <w:rPr>
          <w:color w:val="231F20"/>
          <w:spacing w:val="-3"/>
          <w:w w:val="105"/>
        </w:rPr>
        <w:t> </w:t>
      </w:r>
      <w:r>
        <w:rPr>
          <w:color w:val="231F20"/>
          <w:w w:val="105"/>
        </w:rPr>
        <w:t>daughter,</w:t>
      </w:r>
      <w:r>
        <w:rPr>
          <w:color w:val="231F20"/>
          <w:spacing w:val="-8"/>
          <w:w w:val="105"/>
        </w:rPr>
        <w:t> </w:t>
      </w:r>
      <w:r>
        <w:rPr>
          <w:color w:val="231F20"/>
          <w:w w:val="105"/>
        </w:rPr>
        <w:t>Itzel.</w:t>
      </w:r>
      <w:r>
        <w:rPr>
          <w:color w:val="231F20"/>
          <w:spacing w:val="-8"/>
          <w:w w:val="105"/>
        </w:rPr>
        <w:t> </w:t>
      </w:r>
      <w:r>
        <w:rPr>
          <w:color w:val="231F20"/>
          <w:w w:val="105"/>
        </w:rPr>
        <w:t>In</w:t>
      </w:r>
      <w:r>
        <w:rPr>
          <w:color w:val="231F20"/>
          <w:spacing w:val="-3"/>
          <w:w w:val="105"/>
        </w:rPr>
        <w:t> </w:t>
      </w:r>
      <w:r>
        <w:rPr>
          <w:color w:val="231F20"/>
          <w:w w:val="105"/>
        </w:rPr>
        <w:t>this</w:t>
      </w:r>
      <w:r>
        <w:rPr>
          <w:color w:val="231F20"/>
          <w:spacing w:val="-3"/>
          <w:w w:val="105"/>
        </w:rPr>
        <w:t> </w:t>
      </w:r>
      <w:r>
        <w:rPr>
          <w:color w:val="231F20"/>
          <w:w w:val="105"/>
        </w:rPr>
        <w:t>wall</w:t>
      </w:r>
      <w:r>
        <w:rPr>
          <w:color w:val="231F20"/>
          <w:spacing w:val="-3"/>
          <w:w w:val="105"/>
        </w:rPr>
        <w:t> </w:t>
      </w:r>
      <w:r>
        <w:rPr>
          <w:color w:val="231F20"/>
          <w:w w:val="105"/>
        </w:rPr>
        <w:t>post,</w:t>
      </w:r>
      <w:r>
        <w:rPr>
          <w:color w:val="231F20"/>
          <w:spacing w:val="-8"/>
          <w:w w:val="105"/>
        </w:rPr>
        <w:t> </w:t>
      </w:r>
      <w:r>
        <w:rPr>
          <w:color w:val="231F20"/>
          <w:w w:val="105"/>
        </w:rPr>
        <w:t>Itzel</w:t>
      </w:r>
      <w:r>
        <w:rPr>
          <w:color w:val="231F20"/>
          <w:spacing w:val="-3"/>
          <w:w w:val="105"/>
        </w:rPr>
        <w:t> </w:t>
      </w:r>
      <w:r>
        <w:rPr>
          <w:color w:val="231F20"/>
          <w:w w:val="105"/>
        </w:rPr>
        <w:t>is</w:t>
      </w:r>
      <w:r>
        <w:rPr>
          <w:color w:val="231F20"/>
          <w:spacing w:val="-3"/>
          <w:w w:val="105"/>
        </w:rPr>
        <w:t> </w:t>
      </w:r>
      <w:r>
        <w:rPr>
          <w:color w:val="231F20"/>
          <w:w w:val="105"/>
        </w:rPr>
        <w:t>representing a</w:t>
      </w:r>
      <w:r>
        <w:rPr>
          <w:color w:val="231F20"/>
          <w:spacing w:val="-7"/>
          <w:w w:val="105"/>
        </w:rPr>
        <w:t> </w:t>
      </w:r>
      <w:r>
        <w:rPr>
          <w:color w:val="231F20"/>
          <w:w w:val="105"/>
        </w:rPr>
        <w:t>conversation</w:t>
      </w:r>
      <w:r>
        <w:rPr>
          <w:color w:val="231F20"/>
          <w:spacing w:val="-7"/>
          <w:w w:val="105"/>
        </w:rPr>
        <w:t> </w:t>
      </w:r>
      <w:r>
        <w:rPr>
          <w:color w:val="231F20"/>
          <w:w w:val="105"/>
        </w:rPr>
        <w:t>that</w:t>
      </w:r>
      <w:r>
        <w:rPr>
          <w:color w:val="231F20"/>
          <w:spacing w:val="-7"/>
          <w:w w:val="105"/>
        </w:rPr>
        <w:t> </w:t>
      </w:r>
      <w:r>
        <w:rPr>
          <w:color w:val="231F20"/>
          <w:w w:val="105"/>
        </w:rPr>
        <w:t>she</w:t>
      </w:r>
      <w:r>
        <w:rPr>
          <w:color w:val="231F20"/>
          <w:spacing w:val="-7"/>
          <w:w w:val="105"/>
        </w:rPr>
        <w:t> </w:t>
      </w:r>
      <w:r>
        <w:rPr>
          <w:color w:val="231F20"/>
          <w:w w:val="105"/>
        </w:rPr>
        <w:t>and</w:t>
      </w:r>
      <w:r>
        <w:rPr>
          <w:color w:val="231F20"/>
          <w:spacing w:val="-7"/>
          <w:w w:val="105"/>
        </w:rPr>
        <w:t> </w:t>
      </w:r>
      <w:r>
        <w:rPr>
          <w:color w:val="231F20"/>
          <w:w w:val="105"/>
        </w:rPr>
        <w:t>her</w:t>
      </w:r>
      <w:r>
        <w:rPr>
          <w:color w:val="231F20"/>
          <w:spacing w:val="-7"/>
          <w:w w:val="105"/>
        </w:rPr>
        <w:t> </w:t>
      </w:r>
      <w:r>
        <w:rPr>
          <w:color w:val="231F20"/>
          <w:w w:val="105"/>
        </w:rPr>
        <w:t>mother</w:t>
      </w:r>
      <w:r>
        <w:rPr>
          <w:color w:val="231F20"/>
          <w:spacing w:val="-7"/>
          <w:w w:val="105"/>
        </w:rPr>
        <w:t> </w:t>
      </w:r>
      <w:r>
        <w:rPr>
          <w:color w:val="231F20"/>
          <w:w w:val="105"/>
        </w:rPr>
        <w:t>had</w:t>
      </w:r>
      <w:r>
        <w:rPr>
          <w:color w:val="231F20"/>
          <w:spacing w:val="-7"/>
          <w:w w:val="105"/>
        </w:rPr>
        <w:t> </w:t>
      </w:r>
      <w:r>
        <w:rPr>
          <w:color w:val="231F20"/>
          <w:w w:val="105"/>
        </w:rPr>
        <w:t>earlier</w:t>
      </w:r>
      <w:r>
        <w:rPr>
          <w:color w:val="231F20"/>
          <w:spacing w:val="-7"/>
          <w:w w:val="105"/>
        </w:rPr>
        <w:t> </w:t>
      </w:r>
      <w:r>
        <w:rPr>
          <w:color w:val="231F20"/>
          <w:w w:val="105"/>
        </w:rPr>
        <w:t>in</w:t>
      </w:r>
      <w:r>
        <w:rPr>
          <w:color w:val="231F20"/>
          <w:spacing w:val="-7"/>
          <w:w w:val="105"/>
        </w:rPr>
        <w:t> </w:t>
      </w:r>
      <w:r>
        <w:rPr>
          <w:color w:val="231F20"/>
          <w:w w:val="105"/>
        </w:rPr>
        <w:t>the</w:t>
      </w:r>
      <w:r>
        <w:rPr>
          <w:color w:val="231F20"/>
          <w:spacing w:val="-7"/>
          <w:w w:val="105"/>
        </w:rPr>
        <w:t> </w:t>
      </w:r>
      <w:r>
        <w:rPr>
          <w:color w:val="231F20"/>
          <w:w w:val="105"/>
        </w:rPr>
        <w:t>day.</w:t>
      </w:r>
      <w:r>
        <w:rPr>
          <w:color w:val="231F20"/>
          <w:spacing w:val="-13"/>
          <w:w w:val="105"/>
        </w:rPr>
        <w:t> </w:t>
      </w:r>
      <w:r>
        <w:rPr>
          <w:color w:val="231F20"/>
          <w:w w:val="105"/>
        </w:rPr>
        <w:t>First,</w:t>
      </w:r>
      <w:r>
        <w:rPr>
          <w:color w:val="231F20"/>
          <w:spacing w:val="-13"/>
          <w:w w:val="105"/>
        </w:rPr>
        <w:t> </w:t>
      </w:r>
      <w:r>
        <w:rPr>
          <w:color w:val="231F20"/>
          <w:w w:val="105"/>
        </w:rPr>
        <w:t>Itzel explains</w:t>
      </w:r>
      <w:r>
        <w:rPr>
          <w:color w:val="231F20"/>
          <w:spacing w:val="-26"/>
          <w:w w:val="105"/>
        </w:rPr>
        <w:t> </w:t>
      </w:r>
      <w:r>
        <w:rPr>
          <w:color w:val="231F20"/>
          <w:w w:val="105"/>
        </w:rPr>
        <w:t>what</w:t>
      </w:r>
      <w:r>
        <w:rPr>
          <w:color w:val="231F20"/>
          <w:spacing w:val="-26"/>
          <w:w w:val="105"/>
        </w:rPr>
        <w:t> </w:t>
      </w:r>
      <w:r>
        <w:rPr>
          <w:color w:val="231F20"/>
          <w:w w:val="105"/>
        </w:rPr>
        <w:t>happens</w:t>
      </w:r>
      <w:r>
        <w:rPr>
          <w:color w:val="231F20"/>
          <w:spacing w:val="-26"/>
          <w:w w:val="105"/>
        </w:rPr>
        <w:t> </w:t>
      </w:r>
      <w:r>
        <w:rPr>
          <w:color w:val="231F20"/>
          <w:w w:val="105"/>
        </w:rPr>
        <w:t>(they</w:t>
      </w:r>
      <w:r>
        <w:rPr>
          <w:color w:val="231F20"/>
          <w:spacing w:val="-26"/>
          <w:w w:val="105"/>
        </w:rPr>
        <w:t> </w:t>
      </w:r>
      <w:r>
        <w:rPr>
          <w:color w:val="231F20"/>
          <w:w w:val="105"/>
        </w:rPr>
        <w:t>saw</w:t>
      </w:r>
      <w:r>
        <w:rPr>
          <w:color w:val="231F20"/>
          <w:spacing w:val="-26"/>
          <w:w w:val="105"/>
        </w:rPr>
        <w:t> </w:t>
      </w:r>
      <w:r>
        <w:rPr>
          <w:color w:val="231F20"/>
          <w:w w:val="105"/>
        </w:rPr>
        <w:t>a</w:t>
      </w:r>
      <w:r>
        <w:rPr>
          <w:color w:val="231F20"/>
          <w:spacing w:val="-26"/>
          <w:w w:val="105"/>
        </w:rPr>
        <w:t> </w:t>
      </w:r>
      <w:r>
        <w:rPr>
          <w:color w:val="231F20"/>
          <w:w w:val="105"/>
        </w:rPr>
        <w:t>white</w:t>
      </w:r>
      <w:r>
        <w:rPr>
          <w:color w:val="231F20"/>
          <w:spacing w:val="-26"/>
          <w:w w:val="105"/>
        </w:rPr>
        <w:t> </w:t>
      </w:r>
      <w:r>
        <w:rPr>
          <w:color w:val="231F20"/>
          <w:w w:val="105"/>
        </w:rPr>
        <w:t>truck),</w:t>
      </w:r>
      <w:r>
        <w:rPr>
          <w:color w:val="231F20"/>
          <w:spacing w:val="-30"/>
          <w:w w:val="105"/>
        </w:rPr>
        <w:t> </w:t>
      </w:r>
      <w:r>
        <w:rPr>
          <w:color w:val="231F20"/>
          <w:w w:val="105"/>
        </w:rPr>
        <w:t>and</w:t>
      </w:r>
      <w:r>
        <w:rPr>
          <w:color w:val="231F20"/>
          <w:spacing w:val="-26"/>
          <w:w w:val="105"/>
        </w:rPr>
        <w:t> </w:t>
      </w:r>
      <w:r>
        <w:rPr>
          <w:color w:val="231F20"/>
          <w:w w:val="105"/>
        </w:rPr>
        <w:t>then</w:t>
      </w:r>
      <w:r>
        <w:rPr>
          <w:color w:val="231F20"/>
          <w:spacing w:val="-26"/>
          <w:w w:val="105"/>
        </w:rPr>
        <w:t> </w:t>
      </w:r>
      <w:r>
        <w:rPr>
          <w:color w:val="231F20"/>
          <w:w w:val="105"/>
        </w:rPr>
        <w:t>she</w:t>
      </w:r>
      <w:r>
        <w:rPr>
          <w:color w:val="231F20"/>
          <w:spacing w:val="-26"/>
          <w:w w:val="105"/>
        </w:rPr>
        <w:t> </w:t>
      </w:r>
      <w:r>
        <w:rPr>
          <w:color w:val="231F20"/>
          <w:w w:val="105"/>
        </w:rPr>
        <w:t>uses</w:t>
      </w:r>
      <w:r>
        <w:rPr>
          <w:color w:val="231F20"/>
          <w:spacing w:val="-26"/>
          <w:w w:val="105"/>
        </w:rPr>
        <w:t> </w:t>
      </w:r>
      <w:r>
        <w:rPr>
          <w:color w:val="231F20"/>
          <w:w w:val="105"/>
        </w:rPr>
        <w:t>capital letters</w:t>
      </w:r>
      <w:r>
        <w:rPr>
          <w:color w:val="231F20"/>
          <w:spacing w:val="-10"/>
          <w:w w:val="105"/>
        </w:rPr>
        <w:t> </w:t>
      </w:r>
      <w:r>
        <w:rPr>
          <w:color w:val="231F20"/>
          <w:w w:val="105"/>
        </w:rPr>
        <w:t>to</w:t>
      </w:r>
      <w:r>
        <w:rPr>
          <w:color w:val="231F20"/>
          <w:spacing w:val="-10"/>
          <w:w w:val="105"/>
        </w:rPr>
        <w:t> </w:t>
      </w:r>
      <w:r>
        <w:rPr>
          <w:color w:val="231F20"/>
          <w:w w:val="105"/>
        </w:rPr>
        <w:t>indicate</w:t>
      </w:r>
      <w:r>
        <w:rPr>
          <w:color w:val="231F20"/>
          <w:spacing w:val="-10"/>
          <w:w w:val="105"/>
        </w:rPr>
        <w:t> </w:t>
      </w:r>
      <w:r>
        <w:rPr>
          <w:color w:val="231F20"/>
          <w:w w:val="105"/>
        </w:rPr>
        <w:t>who</w:t>
      </w:r>
      <w:r>
        <w:rPr>
          <w:color w:val="231F20"/>
          <w:spacing w:val="-10"/>
          <w:w w:val="105"/>
        </w:rPr>
        <w:t> </w:t>
      </w:r>
      <w:r>
        <w:rPr>
          <w:color w:val="231F20"/>
          <w:w w:val="105"/>
        </w:rPr>
        <w:t>is</w:t>
      </w:r>
      <w:r>
        <w:rPr>
          <w:color w:val="231F20"/>
          <w:spacing w:val="-10"/>
          <w:w w:val="105"/>
        </w:rPr>
        <w:t> </w:t>
      </w:r>
      <w:r>
        <w:rPr>
          <w:color w:val="231F20"/>
          <w:w w:val="105"/>
        </w:rPr>
        <w:t>talking</w:t>
      </w:r>
      <w:r>
        <w:rPr>
          <w:color w:val="231F20"/>
          <w:spacing w:val="-10"/>
          <w:w w:val="105"/>
        </w:rPr>
        <w:t> </w:t>
      </w:r>
      <w:r>
        <w:rPr>
          <w:color w:val="231F20"/>
          <w:w w:val="105"/>
        </w:rPr>
        <w:t>in</w:t>
      </w:r>
      <w:r>
        <w:rPr>
          <w:color w:val="231F20"/>
          <w:spacing w:val="-10"/>
          <w:w w:val="105"/>
        </w:rPr>
        <w:t> </w:t>
      </w:r>
      <w:r>
        <w:rPr>
          <w:color w:val="231F20"/>
          <w:w w:val="105"/>
        </w:rPr>
        <w:t>the</w:t>
      </w:r>
      <w:r>
        <w:rPr>
          <w:color w:val="231F20"/>
          <w:spacing w:val="-10"/>
          <w:w w:val="105"/>
        </w:rPr>
        <w:t> </w:t>
      </w:r>
      <w:r>
        <w:rPr>
          <w:color w:val="231F20"/>
          <w:w w:val="105"/>
        </w:rPr>
        <w:t>reported</w:t>
      </w:r>
      <w:r>
        <w:rPr>
          <w:color w:val="231F20"/>
          <w:spacing w:val="-10"/>
          <w:w w:val="105"/>
        </w:rPr>
        <w:t> </w:t>
      </w:r>
      <w:r>
        <w:rPr>
          <w:color w:val="231F20"/>
          <w:w w:val="105"/>
        </w:rPr>
        <w:t>speech.</w:t>
      </w:r>
      <w:r>
        <w:rPr>
          <w:color w:val="231F20"/>
          <w:spacing w:val="-17"/>
          <w:w w:val="105"/>
        </w:rPr>
        <w:t> </w:t>
      </w:r>
      <w:r>
        <w:rPr>
          <w:color w:val="231F20"/>
          <w:w w:val="105"/>
        </w:rPr>
        <w:t>Itzel</w:t>
      </w:r>
      <w:r>
        <w:rPr>
          <w:color w:val="231F20"/>
          <w:spacing w:val="-10"/>
          <w:w w:val="105"/>
        </w:rPr>
        <w:t> </w:t>
      </w:r>
      <w:r>
        <w:rPr>
          <w:color w:val="231F20"/>
          <w:w w:val="105"/>
        </w:rPr>
        <w:t>uses</w:t>
      </w:r>
      <w:r>
        <w:rPr>
          <w:color w:val="231F20"/>
          <w:spacing w:val="-10"/>
          <w:w w:val="105"/>
        </w:rPr>
        <w:t> </w:t>
      </w:r>
      <w:r>
        <w:rPr>
          <w:color w:val="231F20"/>
          <w:w w:val="105"/>
        </w:rPr>
        <w:t>‘MOM’ to mean that her mother is talking, and she uses ‘ME’ to represent that she is talking. The use of dialogue (reported speech) is common in the story</w:t>
      </w:r>
      <w:r>
        <w:rPr>
          <w:color w:val="231F20"/>
          <w:spacing w:val="-9"/>
          <w:w w:val="105"/>
        </w:rPr>
        <w:t> </w:t>
      </w:r>
      <w:r>
        <w:rPr>
          <w:color w:val="231F20"/>
          <w:w w:val="105"/>
        </w:rPr>
        <w:t>telling</w:t>
      </w:r>
      <w:r>
        <w:rPr>
          <w:color w:val="231F20"/>
          <w:spacing w:val="-9"/>
          <w:w w:val="105"/>
        </w:rPr>
        <w:t> </w:t>
      </w:r>
      <w:r>
        <w:rPr>
          <w:color w:val="231F20"/>
          <w:w w:val="105"/>
        </w:rPr>
        <w:t>practices</w:t>
      </w:r>
      <w:r>
        <w:rPr>
          <w:color w:val="231F20"/>
          <w:spacing w:val="-9"/>
          <w:w w:val="105"/>
        </w:rPr>
        <w:t> </w:t>
      </w:r>
      <w:r>
        <w:rPr>
          <w:color w:val="231F20"/>
          <w:w w:val="105"/>
        </w:rPr>
        <w:t>of</w:t>
      </w:r>
      <w:r>
        <w:rPr>
          <w:color w:val="231F20"/>
          <w:spacing w:val="-5"/>
          <w:w w:val="105"/>
        </w:rPr>
        <w:t> </w:t>
      </w:r>
      <w:r>
        <w:rPr>
          <w:rFonts w:ascii="Arial" w:hAnsi="Arial"/>
          <w:i/>
          <w:color w:val="231F20"/>
          <w:w w:val="105"/>
        </w:rPr>
        <w:t>rancheros</w:t>
      </w:r>
      <w:r>
        <w:rPr>
          <w:rFonts w:ascii="Arial" w:hAnsi="Arial"/>
          <w:i/>
          <w:color w:val="231F20"/>
          <w:spacing w:val="-12"/>
          <w:w w:val="105"/>
        </w:rPr>
        <w:t> </w:t>
      </w:r>
      <w:r>
        <w:rPr>
          <w:color w:val="231F20"/>
          <w:spacing w:val="-4"/>
          <w:w w:val="105"/>
        </w:rPr>
        <w:t>(Farr,</w:t>
      </w:r>
      <w:r>
        <w:rPr>
          <w:color w:val="231F20"/>
          <w:spacing w:val="-14"/>
          <w:w w:val="105"/>
        </w:rPr>
        <w:t> </w:t>
      </w:r>
      <w:r>
        <w:rPr>
          <w:color w:val="231F20"/>
          <w:w w:val="105"/>
        </w:rPr>
        <w:t>2006),</w:t>
      </w:r>
      <w:r>
        <w:rPr>
          <w:color w:val="231F20"/>
          <w:spacing w:val="-14"/>
          <w:w w:val="105"/>
        </w:rPr>
        <w:t> </w:t>
      </w:r>
      <w:r>
        <w:rPr>
          <w:color w:val="231F20"/>
          <w:w w:val="105"/>
        </w:rPr>
        <w:t>and</w:t>
      </w:r>
      <w:r>
        <w:rPr>
          <w:color w:val="231F20"/>
          <w:spacing w:val="-9"/>
          <w:w w:val="105"/>
        </w:rPr>
        <w:t> </w:t>
      </w:r>
      <w:r>
        <w:rPr>
          <w:color w:val="231F20"/>
          <w:w w:val="105"/>
        </w:rPr>
        <w:t>it</w:t>
      </w:r>
      <w:r>
        <w:rPr>
          <w:color w:val="231F20"/>
          <w:spacing w:val="-9"/>
          <w:w w:val="105"/>
        </w:rPr>
        <w:t> </w:t>
      </w:r>
      <w:r>
        <w:rPr>
          <w:color w:val="231F20"/>
          <w:w w:val="105"/>
        </w:rPr>
        <w:t>is</w:t>
      </w:r>
      <w:r>
        <w:rPr>
          <w:color w:val="231F20"/>
          <w:spacing w:val="-9"/>
          <w:w w:val="105"/>
        </w:rPr>
        <w:t> </w:t>
      </w:r>
      <w:r>
        <w:rPr>
          <w:color w:val="231F20"/>
          <w:w w:val="105"/>
        </w:rPr>
        <w:t>very</w:t>
      </w:r>
      <w:r>
        <w:rPr>
          <w:color w:val="231F20"/>
          <w:spacing w:val="-9"/>
          <w:w w:val="105"/>
        </w:rPr>
        <w:t> </w:t>
      </w:r>
      <w:r>
        <w:rPr>
          <w:color w:val="231F20"/>
          <w:w w:val="105"/>
        </w:rPr>
        <w:t>common</w:t>
      </w:r>
      <w:r>
        <w:rPr>
          <w:color w:val="231F20"/>
          <w:spacing w:val="-9"/>
          <w:w w:val="105"/>
        </w:rPr>
        <w:t> </w:t>
      </w:r>
      <w:r>
        <w:rPr>
          <w:color w:val="231F20"/>
          <w:w w:val="105"/>
        </w:rPr>
        <w:t>in members’</w:t>
      </w:r>
      <w:r>
        <w:rPr>
          <w:color w:val="231F20"/>
          <w:spacing w:val="-25"/>
          <w:w w:val="105"/>
        </w:rPr>
        <w:t> </w:t>
      </w:r>
      <w:r>
        <w:rPr>
          <w:color w:val="231F20"/>
          <w:w w:val="105"/>
        </w:rPr>
        <w:t>Facebook</w:t>
      </w:r>
      <w:r>
        <w:rPr>
          <w:color w:val="231F20"/>
          <w:spacing w:val="-25"/>
          <w:w w:val="105"/>
        </w:rPr>
        <w:t> </w:t>
      </w:r>
      <w:r>
        <w:rPr>
          <w:color w:val="231F20"/>
          <w:w w:val="105"/>
        </w:rPr>
        <w:t>posts</w:t>
      </w:r>
      <w:r>
        <w:rPr>
          <w:color w:val="231F20"/>
          <w:spacing w:val="-25"/>
          <w:w w:val="105"/>
        </w:rPr>
        <w:t> </w:t>
      </w:r>
      <w:r>
        <w:rPr>
          <w:color w:val="231F20"/>
          <w:w w:val="105"/>
        </w:rPr>
        <w:t>(see</w:t>
      </w:r>
      <w:r>
        <w:rPr>
          <w:color w:val="231F20"/>
          <w:spacing w:val="-25"/>
          <w:w w:val="105"/>
        </w:rPr>
        <w:t> </w:t>
      </w:r>
      <w:r>
        <w:rPr>
          <w:color w:val="231F20"/>
          <w:w w:val="105"/>
        </w:rPr>
        <w:t>table</w:t>
      </w:r>
      <w:r>
        <w:rPr>
          <w:color w:val="231F20"/>
          <w:spacing w:val="-25"/>
          <w:w w:val="105"/>
        </w:rPr>
        <w:t> </w:t>
      </w:r>
      <w:r>
        <w:rPr>
          <w:color w:val="231F20"/>
          <w:w w:val="105"/>
        </w:rPr>
        <w:t>6).</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before="0"/>
        <w:ind w:left="2693" w:right="2804" w:firstLine="0"/>
        <w:jc w:val="center"/>
        <w:rPr>
          <w:rFonts w:ascii="Arial" w:hAnsi="Arial"/>
          <w:sz w:val="18"/>
        </w:rPr>
      </w:pPr>
      <w:r>
        <w:rPr/>
        <w:pict>
          <v:line style="position:absolute;mso-position-horizontal-relative:page;mso-position-vertical-relative:paragraph;z-index:43048" from="15pt,-71.424232pt" to="0pt,-71.424232pt" stroked="true" strokeweight=".25pt" strokecolor="#000000">
            <w10:wrap type="none"/>
          </v:line>
        </w:pict>
      </w:r>
      <w:r>
        <w:rPr/>
        <w:pict>
          <v:line style="position:absolute;mso-position-horizontal-relative:page;mso-position-vertical-relative:paragraph;z-index:43072" from="508.890015pt,-71.424232pt" to="523.890015pt,-71.424232pt" stroked="true" strokeweight=".25pt" strokecolor="#000000">
            <w10:wrap type="none"/>
          </v:line>
        </w:pict>
      </w:r>
      <w:r>
        <w:rPr>
          <w:rFonts w:ascii="Arial" w:hAnsi="Arial"/>
          <w:color w:val="231F20"/>
          <w:w w:val="105"/>
          <w:sz w:val="18"/>
        </w:rPr>
        <w:t>Table 6. Conversation 5 “A white truck”</w:t>
      </w:r>
    </w:p>
    <w:p>
      <w:pPr>
        <w:pStyle w:val="BodyText"/>
        <w:spacing w:before="5"/>
        <w:rPr>
          <w:rFonts w:ascii="Arial"/>
          <w:sz w:val="13"/>
        </w:rPr>
      </w:pPr>
    </w:p>
    <w:tbl>
      <w:tblPr>
        <w:tblW w:w="0" w:type="auto"/>
        <w:jc w:val="left"/>
        <w:tblInd w:w="201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43"/>
        <w:gridCol w:w="2721"/>
        <w:gridCol w:w="2721"/>
        <w:gridCol w:w="445"/>
      </w:tblGrid>
      <w:tr>
        <w:trPr>
          <w:trHeight w:val="2716" w:hRule="exact"/>
        </w:trPr>
        <w:tc>
          <w:tcPr>
            <w:tcW w:w="443" w:type="dxa"/>
          </w:tcPr>
          <w:p>
            <w:pPr>
              <w:pStyle w:val="TableParagraph"/>
              <w:ind w:left="77"/>
              <w:rPr>
                <w:sz w:val="18"/>
              </w:rPr>
            </w:pPr>
            <w:r>
              <w:rPr>
                <w:color w:val="231F20"/>
                <w:w w:val="104"/>
                <w:sz w:val="18"/>
              </w:rPr>
              <w:t>1</w:t>
            </w:r>
          </w:p>
        </w:tc>
        <w:tc>
          <w:tcPr>
            <w:tcW w:w="2721" w:type="dxa"/>
          </w:tcPr>
          <w:p>
            <w:pPr>
              <w:pStyle w:val="TableParagraph"/>
              <w:ind w:left="77"/>
              <w:jc w:val="both"/>
              <w:rPr>
                <w:sz w:val="18"/>
              </w:rPr>
            </w:pPr>
            <w:r>
              <w:rPr>
                <w:color w:val="231F20"/>
                <w:sz w:val="18"/>
              </w:rPr>
              <w:t>Itzel’s wall post:</w:t>
            </w:r>
          </w:p>
          <w:p>
            <w:pPr>
              <w:pStyle w:val="TableParagraph"/>
              <w:spacing w:line="254" w:lineRule="auto" w:before="12"/>
              <w:ind w:left="77" w:right="66"/>
              <w:jc w:val="both"/>
              <w:rPr>
                <w:sz w:val="18"/>
              </w:rPr>
            </w:pPr>
            <w:r>
              <w:rPr>
                <w:color w:val="231F20"/>
                <w:sz w:val="18"/>
              </w:rPr>
              <w:t>“me and my  mom  see  a  </w:t>
            </w:r>
            <w:r>
              <w:rPr>
                <w:color w:val="231F20"/>
                <w:spacing w:val="2"/>
                <w:sz w:val="18"/>
              </w:rPr>
              <w:t>whi- </w:t>
            </w:r>
            <w:r>
              <w:rPr>
                <w:color w:val="231F20"/>
                <w:sz w:val="18"/>
              </w:rPr>
              <w:t>te truck like my tia dali’s MOM   “i love see that truck it makes me think she’s here” ME “i like  to think that there is an north face avalanche,a black Honda, an messed up mustang, a tahoe and a</w:t>
            </w:r>
            <w:r>
              <w:rPr>
                <w:color w:val="231F20"/>
                <w:spacing w:val="32"/>
                <w:sz w:val="18"/>
              </w:rPr>
              <w:t> </w:t>
            </w:r>
            <w:r>
              <w:rPr>
                <w:color w:val="231F20"/>
                <w:spacing w:val="-4"/>
                <w:sz w:val="18"/>
              </w:rPr>
              <w:t>jeep..”</w:t>
            </w:r>
          </w:p>
          <w:p>
            <w:pPr>
              <w:pStyle w:val="TableParagraph"/>
              <w:spacing w:line="254" w:lineRule="auto" w:before="0"/>
              <w:ind w:left="77" w:right="75"/>
              <w:jc w:val="both"/>
              <w:rPr>
                <w:sz w:val="18"/>
              </w:rPr>
            </w:pPr>
            <w:r>
              <w:rPr>
                <w:color w:val="231F20"/>
                <w:w w:val="105"/>
                <w:sz w:val="18"/>
              </w:rPr>
              <w:t>MOM</w:t>
            </w:r>
            <w:r>
              <w:rPr>
                <w:color w:val="231F20"/>
                <w:spacing w:val="-19"/>
                <w:w w:val="105"/>
                <w:sz w:val="18"/>
              </w:rPr>
              <w:t> </w:t>
            </w:r>
            <w:r>
              <w:rPr>
                <w:color w:val="231F20"/>
                <w:w w:val="105"/>
                <w:sz w:val="18"/>
              </w:rPr>
              <w:t>“y</w:t>
            </w:r>
            <w:r>
              <w:rPr>
                <w:color w:val="231F20"/>
                <w:spacing w:val="-19"/>
                <w:w w:val="105"/>
                <w:sz w:val="18"/>
              </w:rPr>
              <w:t> </w:t>
            </w:r>
            <w:r>
              <w:rPr>
                <w:color w:val="231F20"/>
                <w:w w:val="105"/>
                <w:sz w:val="18"/>
              </w:rPr>
              <w:t>un</w:t>
            </w:r>
            <w:r>
              <w:rPr>
                <w:color w:val="231F20"/>
                <w:spacing w:val="-19"/>
                <w:w w:val="105"/>
                <w:sz w:val="18"/>
              </w:rPr>
              <w:t> </w:t>
            </w:r>
            <w:r>
              <w:rPr>
                <w:color w:val="231F20"/>
                <w:w w:val="105"/>
                <w:sz w:val="18"/>
              </w:rPr>
              <w:t>carrito</w:t>
            </w:r>
            <w:r>
              <w:rPr>
                <w:color w:val="231F20"/>
                <w:spacing w:val="-19"/>
                <w:w w:val="105"/>
                <w:sz w:val="18"/>
              </w:rPr>
              <w:t> </w:t>
            </w:r>
            <w:r>
              <w:rPr>
                <w:color w:val="231F20"/>
                <w:w w:val="105"/>
                <w:sz w:val="18"/>
              </w:rPr>
              <w:t>negro</w:t>
            </w:r>
            <w:r>
              <w:rPr>
                <w:color w:val="231F20"/>
                <w:spacing w:val="-19"/>
                <w:w w:val="105"/>
                <w:sz w:val="18"/>
              </w:rPr>
              <w:t> </w:t>
            </w:r>
            <w:r>
              <w:rPr>
                <w:color w:val="231F20"/>
                <w:w w:val="105"/>
                <w:sz w:val="18"/>
              </w:rPr>
              <w:t>that</w:t>
            </w:r>
            <w:r>
              <w:rPr>
                <w:color w:val="231F20"/>
                <w:spacing w:val="-19"/>
                <w:w w:val="105"/>
                <w:sz w:val="18"/>
              </w:rPr>
              <w:t> </w:t>
            </w:r>
            <w:r>
              <w:rPr>
                <w:color w:val="231F20"/>
                <w:w w:val="105"/>
                <w:sz w:val="18"/>
              </w:rPr>
              <w:t>al- most touches the ground” man how</w:t>
            </w:r>
            <w:r>
              <w:rPr>
                <w:color w:val="231F20"/>
                <w:spacing w:val="-21"/>
                <w:w w:val="105"/>
                <w:sz w:val="18"/>
              </w:rPr>
              <w:t> </w:t>
            </w:r>
            <w:r>
              <w:rPr>
                <w:color w:val="231F20"/>
                <w:w w:val="105"/>
                <w:sz w:val="18"/>
              </w:rPr>
              <w:t>we</w:t>
            </w:r>
            <w:r>
              <w:rPr>
                <w:color w:val="231F20"/>
                <w:spacing w:val="-21"/>
                <w:w w:val="105"/>
                <w:sz w:val="18"/>
              </w:rPr>
              <w:t> </w:t>
            </w:r>
            <w:r>
              <w:rPr>
                <w:color w:val="231F20"/>
                <w:w w:val="105"/>
                <w:sz w:val="18"/>
              </w:rPr>
              <w:t>miss</w:t>
            </w:r>
            <w:r>
              <w:rPr>
                <w:color w:val="231F20"/>
                <w:spacing w:val="-21"/>
                <w:w w:val="105"/>
                <w:sz w:val="18"/>
              </w:rPr>
              <w:t> </w:t>
            </w:r>
            <w:r>
              <w:rPr>
                <w:color w:val="231F20"/>
                <w:w w:val="105"/>
                <w:sz w:val="18"/>
              </w:rPr>
              <w:t>you</w:t>
            </w:r>
            <w:r>
              <w:rPr>
                <w:color w:val="231F20"/>
                <w:spacing w:val="-21"/>
                <w:w w:val="105"/>
                <w:sz w:val="18"/>
              </w:rPr>
              <w:t> </w:t>
            </w:r>
            <w:r>
              <w:rPr>
                <w:color w:val="231F20"/>
                <w:w w:val="105"/>
                <w:sz w:val="18"/>
              </w:rPr>
              <w:t>guys</w:t>
            </w:r>
            <w:r>
              <w:rPr>
                <w:color w:val="231F20"/>
                <w:spacing w:val="-21"/>
                <w:w w:val="105"/>
                <w:sz w:val="18"/>
              </w:rPr>
              <w:t> </w:t>
            </w:r>
            <w:r>
              <w:rPr>
                <w:color w:val="231F20"/>
                <w:w w:val="105"/>
                <w:sz w:val="18"/>
              </w:rPr>
              <w:t>:(</w:t>
            </w:r>
          </w:p>
        </w:tc>
        <w:tc>
          <w:tcPr>
            <w:tcW w:w="2721" w:type="dxa"/>
          </w:tcPr>
          <w:p>
            <w:pPr>
              <w:pStyle w:val="TableParagraph"/>
              <w:spacing w:line="254" w:lineRule="auto"/>
              <w:ind w:left="77" w:right="73"/>
              <w:jc w:val="both"/>
              <w:rPr>
                <w:sz w:val="18"/>
              </w:rPr>
            </w:pPr>
            <w:r>
              <w:rPr>
                <w:color w:val="231F20"/>
                <w:spacing w:val="-7"/>
                <w:w w:val="105"/>
                <w:sz w:val="18"/>
              </w:rPr>
              <w:t>Yo </w:t>
            </w:r>
            <w:r>
              <w:rPr>
                <w:color w:val="231F20"/>
                <w:w w:val="105"/>
                <w:sz w:val="18"/>
              </w:rPr>
              <w:t>y mi mamá vemos una ca- mioneta blanca como la de mi tía</w:t>
            </w:r>
            <w:r>
              <w:rPr>
                <w:color w:val="231F20"/>
                <w:spacing w:val="-18"/>
                <w:w w:val="105"/>
                <w:sz w:val="18"/>
              </w:rPr>
              <w:t> </w:t>
            </w:r>
            <w:r>
              <w:rPr>
                <w:color w:val="231F20"/>
                <w:w w:val="105"/>
                <w:sz w:val="18"/>
              </w:rPr>
              <w:t>Dali.</w:t>
            </w:r>
            <w:r>
              <w:rPr>
                <w:color w:val="231F20"/>
                <w:spacing w:val="-22"/>
                <w:w w:val="105"/>
                <w:sz w:val="18"/>
              </w:rPr>
              <w:t> </w:t>
            </w:r>
            <w:r>
              <w:rPr>
                <w:color w:val="231F20"/>
                <w:w w:val="105"/>
                <w:sz w:val="18"/>
              </w:rPr>
              <w:t>MAMA:</w:t>
            </w:r>
            <w:r>
              <w:rPr>
                <w:color w:val="231F20"/>
                <w:spacing w:val="-18"/>
                <w:w w:val="105"/>
                <w:sz w:val="18"/>
              </w:rPr>
              <w:t> </w:t>
            </w:r>
            <w:r>
              <w:rPr>
                <w:color w:val="231F20"/>
                <w:w w:val="105"/>
                <w:sz w:val="18"/>
              </w:rPr>
              <w:t>Me</w:t>
            </w:r>
            <w:r>
              <w:rPr>
                <w:color w:val="231F20"/>
                <w:spacing w:val="-18"/>
                <w:w w:val="105"/>
                <w:sz w:val="18"/>
              </w:rPr>
              <w:t> </w:t>
            </w:r>
            <w:r>
              <w:rPr>
                <w:color w:val="231F20"/>
                <w:w w:val="105"/>
                <w:sz w:val="18"/>
              </w:rPr>
              <w:t>encanta</w:t>
            </w:r>
            <w:r>
              <w:rPr>
                <w:color w:val="231F20"/>
                <w:spacing w:val="-18"/>
                <w:w w:val="105"/>
                <w:sz w:val="18"/>
              </w:rPr>
              <w:t> </w:t>
            </w:r>
            <w:r>
              <w:rPr>
                <w:color w:val="231F20"/>
                <w:w w:val="105"/>
                <w:sz w:val="18"/>
              </w:rPr>
              <w:t>ver esa</w:t>
            </w:r>
            <w:r>
              <w:rPr>
                <w:color w:val="231F20"/>
                <w:spacing w:val="-30"/>
                <w:w w:val="105"/>
                <w:sz w:val="18"/>
              </w:rPr>
              <w:t> </w:t>
            </w:r>
            <w:r>
              <w:rPr>
                <w:color w:val="231F20"/>
                <w:w w:val="105"/>
                <w:sz w:val="18"/>
              </w:rPr>
              <w:t>camioneta,</w:t>
            </w:r>
            <w:r>
              <w:rPr>
                <w:color w:val="231F20"/>
                <w:spacing w:val="-32"/>
                <w:w w:val="105"/>
                <w:sz w:val="18"/>
              </w:rPr>
              <w:t> </w:t>
            </w:r>
            <w:r>
              <w:rPr>
                <w:color w:val="231F20"/>
                <w:w w:val="105"/>
                <w:sz w:val="18"/>
              </w:rPr>
              <w:t>me</w:t>
            </w:r>
            <w:r>
              <w:rPr>
                <w:color w:val="231F20"/>
                <w:spacing w:val="-30"/>
                <w:w w:val="105"/>
                <w:sz w:val="18"/>
              </w:rPr>
              <w:t> </w:t>
            </w:r>
            <w:r>
              <w:rPr>
                <w:color w:val="231F20"/>
                <w:w w:val="105"/>
                <w:sz w:val="18"/>
              </w:rPr>
              <w:t>hace</w:t>
            </w:r>
            <w:r>
              <w:rPr>
                <w:color w:val="231F20"/>
                <w:spacing w:val="-30"/>
                <w:w w:val="105"/>
                <w:sz w:val="18"/>
              </w:rPr>
              <w:t> </w:t>
            </w:r>
            <w:r>
              <w:rPr>
                <w:color w:val="231F20"/>
                <w:w w:val="105"/>
                <w:sz w:val="18"/>
              </w:rPr>
              <w:t>pensar que está aquí. </w:t>
            </w:r>
            <w:r>
              <w:rPr>
                <w:color w:val="231F20"/>
                <w:spacing w:val="-3"/>
                <w:w w:val="105"/>
                <w:sz w:val="18"/>
              </w:rPr>
              <w:t>YO: </w:t>
            </w:r>
            <w:r>
              <w:rPr>
                <w:color w:val="231F20"/>
                <w:w w:val="105"/>
                <w:sz w:val="18"/>
              </w:rPr>
              <w:t>Me</w:t>
            </w:r>
            <w:r>
              <w:rPr>
                <w:color w:val="231F20"/>
                <w:spacing w:val="-28"/>
                <w:w w:val="105"/>
                <w:sz w:val="18"/>
              </w:rPr>
              <w:t> </w:t>
            </w:r>
            <w:r>
              <w:rPr>
                <w:color w:val="231F20"/>
                <w:w w:val="105"/>
                <w:sz w:val="18"/>
              </w:rPr>
              <w:t>gustaría pensar</w:t>
            </w:r>
            <w:r>
              <w:rPr>
                <w:color w:val="231F20"/>
                <w:spacing w:val="-12"/>
                <w:w w:val="105"/>
                <w:sz w:val="18"/>
              </w:rPr>
              <w:t> </w:t>
            </w:r>
            <w:r>
              <w:rPr>
                <w:color w:val="231F20"/>
                <w:w w:val="105"/>
                <w:sz w:val="18"/>
              </w:rPr>
              <w:t>que</w:t>
            </w:r>
            <w:r>
              <w:rPr>
                <w:color w:val="231F20"/>
                <w:spacing w:val="-12"/>
                <w:w w:val="105"/>
                <w:sz w:val="18"/>
              </w:rPr>
              <w:t> </w:t>
            </w:r>
            <w:r>
              <w:rPr>
                <w:color w:val="231F20"/>
                <w:w w:val="105"/>
                <w:sz w:val="18"/>
              </w:rPr>
              <w:t>hay</w:t>
            </w:r>
            <w:r>
              <w:rPr>
                <w:color w:val="231F20"/>
                <w:spacing w:val="-12"/>
                <w:w w:val="105"/>
                <w:sz w:val="18"/>
              </w:rPr>
              <w:t> </w:t>
            </w:r>
            <w:r>
              <w:rPr>
                <w:color w:val="231F20"/>
                <w:w w:val="105"/>
                <w:sz w:val="18"/>
              </w:rPr>
              <w:t>una</w:t>
            </w:r>
            <w:r>
              <w:rPr>
                <w:color w:val="231F20"/>
                <w:spacing w:val="-14"/>
                <w:w w:val="105"/>
                <w:sz w:val="18"/>
              </w:rPr>
              <w:t> </w:t>
            </w:r>
            <w:r>
              <w:rPr>
                <w:color w:val="231F20"/>
                <w:w w:val="105"/>
                <w:sz w:val="18"/>
              </w:rPr>
              <w:t>Avalanche North </w:t>
            </w:r>
            <w:r>
              <w:rPr>
                <w:color w:val="231F20"/>
                <w:spacing w:val="-3"/>
                <w:w w:val="105"/>
                <w:sz w:val="18"/>
              </w:rPr>
              <w:t>Face, </w:t>
            </w:r>
            <w:r>
              <w:rPr>
                <w:color w:val="231F20"/>
                <w:w w:val="105"/>
                <w:sz w:val="18"/>
              </w:rPr>
              <w:t>un Honda negro,</w:t>
            </w:r>
            <w:r>
              <w:rPr>
                <w:color w:val="231F20"/>
                <w:spacing w:val="-13"/>
                <w:w w:val="105"/>
                <w:sz w:val="18"/>
              </w:rPr>
              <w:t> </w:t>
            </w:r>
            <w:r>
              <w:rPr>
                <w:color w:val="231F20"/>
                <w:w w:val="105"/>
                <w:sz w:val="18"/>
              </w:rPr>
              <w:t>y un </w:t>
            </w:r>
            <w:r>
              <w:rPr>
                <w:color w:val="231F20"/>
                <w:spacing w:val="2"/>
                <w:w w:val="105"/>
                <w:sz w:val="18"/>
              </w:rPr>
              <w:t>Mustang hecho chatarra </w:t>
            </w:r>
            <w:r>
              <w:rPr>
                <w:color w:val="231F20"/>
                <w:w w:val="105"/>
                <w:sz w:val="18"/>
              </w:rPr>
              <w:t>y una Tahoe y un Jeep. MAMA: and a little car que casi toca el </w:t>
            </w:r>
            <w:r>
              <w:rPr>
                <w:color w:val="231F20"/>
                <w:spacing w:val="-3"/>
                <w:w w:val="105"/>
                <w:sz w:val="18"/>
              </w:rPr>
              <w:t>piso.</w:t>
            </w:r>
            <w:r>
              <w:rPr>
                <w:color w:val="231F20"/>
                <w:spacing w:val="-30"/>
                <w:w w:val="105"/>
                <w:sz w:val="18"/>
              </w:rPr>
              <w:t> </w:t>
            </w:r>
            <w:r>
              <w:rPr>
                <w:color w:val="231F20"/>
                <w:spacing w:val="-3"/>
                <w:w w:val="105"/>
                <w:sz w:val="18"/>
              </w:rPr>
              <w:t>Hombre,</w:t>
            </w:r>
            <w:r>
              <w:rPr>
                <w:color w:val="231F20"/>
                <w:spacing w:val="-30"/>
                <w:w w:val="105"/>
                <w:sz w:val="18"/>
              </w:rPr>
              <w:t> </w:t>
            </w:r>
            <w:r>
              <w:rPr>
                <w:color w:val="231F20"/>
                <w:w w:val="105"/>
                <w:sz w:val="18"/>
              </w:rPr>
              <w:t>cómo</w:t>
            </w:r>
            <w:r>
              <w:rPr>
                <w:color w:val="231F20"/>
                <w:spacing w:val="-25"/>
                <w:w w:val="105"/>
                <w:sz w:val="18"/>
              </w:rPr>
              <w:t> </w:t>
            </w:r>
            <w:r>
              <w:rPr>
                <w:color w:val="231F20"/>
                <w:w w:val="105"/>
                <w:sz w:val="18"/>
              </w:rPr>
              <w:t>los</w:t>
            </w:r>
            <w:r>
              <w:rPr>
                <w:color w:val="231F20"/>
                <w:spacing w:val="-25"/>
                <w:w w:val="105"/>
                <w:sz w:val="18"/>
              </w:rPr>
              <w:t> </w:t>
            </w:r>
            <w:r>
              <w:rPr>
                <w:color w:val="231F20"/>
                <w:spacing w:val="-3"/>
                <w:w w:val="105"/>
                <w:sz w:val="18"/>
              </w:rPr>
              <w:t>extraña- </w:t>
            </w:r>
            <w:r>
              <w:rPr>
                <w:color w:val="231F20"/>
                <w:w w:val="105"/>
                <w:sz w:val="18"/>
              </w:rPr>
              <w:t>mos</w:t>
            </w:r>
            <w:r>
              <w:rPr>
                <w:color w:val="231F20"/>
                <w:spacing w:val="-35"/>
                <w:w w:val="105"/>
                <w:sz w:val="18"/>
              </w:rPr>
              <w:t> </w:t>
            </w:r>
            <w:r>
              <w:rPr>
                <w:color w:val="231F20"/>
                <w:w w:val="105"/>
                <w:sz w:val="18"/>
              </w:rPr>
              <w:t>muchachos</w:t>
            </w:r>
            <w:r>
              <w:rPr>
                <w:color w:val="231F20"/>
                <w:spacing w:val="-35"/>
                <w:w w:val="105"/>
                <w:sz w:val="18"/>
              </w:rPr>
              <w:t> </w:t>
            </w:r>
            <w:r>
              <w:rPr>
                <w:color w:val="231F20"/>
                <w:w w:val="105"/>
                <w:sz w:val="18"/>
              </w:rPr>
              <w:t>:(</w:t>
            </w:r>
          </w:p>
        </w:tc>
        <w:tc>
          <w:tcPr>
            <w:tcW w:w="445" w:type="dxa"/>
          </w:tcPr>
          <w:p>
            <w:pPr>
              <w:pStyle w:val="TableParagraph"/>
              <w:ind w:left="3"/>
              <w:jc w:val="center"/>
              <w:rPr>
                <w:sz w:val="18"/>
              </w:rPr>
            </w:pPr>
            <w:r>
              <w:rPr>
                <w:color w:val="231F20"/>
                <w:w w:val="104"/>
                <w:sz w:val="18"/>
              </w:rPr>
              <w:t>A</w:t>
            </w:r>
          </w:p>
        </w:tc>
      </w:tr>
      <w:tr>
        <w:trPr>
          <w:trHeight w:val="340" w:hRule="exact"/>
        </w:trPr>
        <w:tc>
          <w:tcPr>
            <w:tcW w:w="443" w:type="dxa"/>
          </w:tcPr>
          <w:p>
            <w:pPr>
              <w:pStyle w:val="TableParagraph"/>
              <w:ind w:left="77"/>
              <w:rPr>
                <w:sz w:val="18"/>
              </w:rPr>
            </w:pPr>
            <w:r>
              <w:rPr>
                <w:color w:val="231F20"/>
                <w:w w:val="104"/>
                <w:sz w:val="18"/>
              </w:rPr>
              <w:t>2</w:t>
            </w:r>
          </w:p>
        </w:tc>
        <w:tc>
          <w:tcPr>
            <w:tcW w:w="2721" w:type="dxa"/>
          </w:tcPr>
          <w:p>
            <w:pPr>
              <w:pStyle w:val="TableParagraph"/>
              <w:ind w:left="77"/>
              <w:rPr>
                <w:sz w:val="18"/>
              </w:rPr>
            </w:pPr>
            <w:r>
              <w:rPr>
                <w:color w:val="231F20"/>
                <w:w w:val="105"/>
                <w:sz w:val="18"/>
              </w:rPr>
              <w:t>4 people like this.</w:t>
            </w:r>
          </w:p>
        </w:tc>
        <w:tc>
          <w:tcPr>
            <w:tcW w:w="2721" w:type="dxa"/>
          </w:tcPr>
          <w:p>
            <w:pPr/>
          </w:p>
        </w:tc>
        <w:tc>
          <w:tcPr>
            <w:tcW w:w="445" w:type="dxa"/>
          </w:tcPr>
          <w:p>
            <w:pPr/>
          </w:p>
        </w:tc>
      </w:tr>
      <w:tr>
        <w:trPr>
          <w:trHeight w:val="556" w:hRule="exact"/>
        </w:trPr>
        <w:tc>
          <w:tcPr>
            <w:tcW w:w="443" w:type="dxa"/>
          </w:tcPr>
          <w:p>
            <w:pPr>
              <w:pStyle w:val="TableParagraph"/>
              <w:ind w:left="77"/>
              <w:rPr>
                <w:sz w:val="18"/>
              </w:rPr>
            </w:pPr>
            <w:r>
              <w:rPr>
                <w:color w:val="231F20"/>
                <w:w w:val="104"/>
                <w:sz w:val="18"/>
              </w:rPr>
              <w:t>3</w:t>
            </w:r>
          </w:p>
        </w:tc>
        <w:tc>
          <w:tcPr>
            <w:tcW w:w="2721" w:type="dxa"/>
          </w:tcPr>
          <w:p>
            <w:pPr>
              <w:pStyle w:val="TableParagraph"/>
              <w:spacing w:line="254" w:lineRule="auto"/>
              <w:ind w:left="77"/>
              <w:rPr>
                <w:sz w:val="18"/>
              </w:rPr>
            </w:pPr>
            <w:r>
              <w:rPr>
                <w:color w:val="231F20"/>
                <w:w w:val="105"/>
                <w:sz w:val="18"/>
              </w:rPr>
              <w:t>Fanny: i just teared :’( please come back soon!</w:t>
            </w:r>
          </w:p>
        </w:tc>
        <w:tc>
          <w:tcPr>
            <w:tcW w:w="2721" w:type="dxa"/>
          </w:tcPr>
          <w:p>
            <w:pPr>
              <w:pStyle w:val="TableParagraph"/>
              <w:spacing w:line="254" w:lineRule="auto"/>
              <w:ind w:left="77"/>
              <w:rPr>
                <w:sz w:val="18"/>
              </w:rPr>
            </w:pPr>
            <w:r>
              <w:rPr>
                <w:color w:val="231F20"/>
                <w:w w:val="105"/>
                <w:sz w:val="18"/>
              </w:rPr>
              <w:t>Derramé una lágrima ;’( por fa- vor, ¡regresen pronto!</w:t>
            </w:r>
          </w:p>
        </w:tc>
        <w:tc>
          <w:tcPr>
            <w:tcW w:w="445" w:type="dxa"/>
          </w:tcPr>
          <w:p>
            <w:pPr>
              <w:pStyle w:val="TableParagraph"/>
              <w:jc w:val="center"/>
              <w:rPr>
                <w:sz w:val="18"/>
              </w:rPr>
            </w:pPr>
            <w:r>
              <w:rPr>
                <w:color w:val="231F20"/>
                <w:w w:val="95"/>
                <w:sz w:val="18"/>
              </w:rPr>
              <w:t>B</w:t>
            </w:r>
          </w:p>
        </w:tc>
      </w:tr>
      <w:tr>
        <w:trPr>
          <w:trHeight w:val="556" w:hRule="exact"/>
        </w:trPr>
        <w:tc>
          <w:tcPr>
            <w:tcW w:w="443" w:type="dxa"/>
          </w:tcPr>
          <w:p>
            <w:pPr>
              <w:pStyle w:val="TableParagraph"/>
              <w:ind w:left="77"/>
              <w:rPr>
                <w:sz w:val="18"/>
              </w:rPr>
            </w:pPr>
            <w:r>
              <w:rPr>
                <w:color w:val="231F20"/>
                <w:w w:val="104"/>
                <w:sz w:val="18"/>
              </w:rPr>
              <w:t>4</w:t>
            </w:r>
          </w:p>
        </w:tc>
        <w:tc>
          <w:tcPr>
            <w:tcW w:w="2721" w:type="dxa"/>
          </w:tcPr>
          <w:p>
            <w:pPr>
              <w:pStyle w:val="TableParagraph"/>
              <w:spacing w:line="254" w:lineRule="auto"/>
              <w:ind w:left="77"/>
              <w:rPr>
                <w:sz w:val="18"/>
              </w:rPr>
            </w:pPr>
            <w:r>
              <w:rPr>
                <w:color w:val="231F20"/>
                <w:w w:val="105"/>
                <w:sz w:val="18"/>
              </w:rPr>
              <w:t>Itzel: i know its not funhere wi- thout you guys</w:t>
            </w:r>
          </w:p>
        </w:tc>
        <w:tc>
          <w:tcPr>
            <w:tcW w:w="2721" w:type="dxa"/>
          </w:tcPr>
          <w:p>
            <w:pPr>
              <w:pStyle w:val="TableParagraph"/>
              <w:spacing w:line="254" w:lineRule="auto"/>
              <w:ind w:left="77"/>
              <w:rPr>
                <w:sz w:val="18"/>
              </w:rPr>
            </w:pPr>
            <w:r>
              <w:rPr>
                <w:color w:val="231F20"/>
                <w:sz w:val="18"/>
              </w:rPr>
              <w:t>Lo sé, no es divertido aquí sin ustedes</w:t>
            </w:r>
          </w:p>
        </w:tc>
        <w:tc>
          <w:tcPr>
            <w:tcW w:w="445" w:type="dxa"/>
          </w:tcPr>
          <w:p>
            <w:pPr>
              <w:pStyle w:val="TableParagraph"/>
              <w:jc w:val="center"/>
              <w:rPr>
                <w:sz w:val="18"/>
              </w:rPr>
            </w:pPr>
            <w:r>
              <w:rPr>
                <w:color w:val="231F20"/>
                <w:w w:val="95"/>
                <w:sz w:val="18"/>
              </w:rPr>
              <w:t>B</w:t>
            </w:r>
          </w:p>
        </w:tc>
      </w:tr>
      <w:tr>
        <w:trPr>
          <w:trHeight w:val="340" w:hRule="exact"/>
        </w:trPr>
        <w:tc>
          <w:tcPr>
            <w:tcW w:w="443" w:type="dxa"/>
          </w:tcPr>
          <w:p>
            <w:pPr>
              <w:pStyle w:val="TableParagraph"/>
              <w:ind w:left="77"/>
              <w:rPr>
                <w:sz w:val="18"/>
              </w:rPr>
            </w:pPr>
            <w:r>
              <w:rPr>
                <w:color w:val="231F20"/>
                <w:w w:val="104"/>
                <w:sz w:val="18"/>
              </w:rPr>
              <w:t>5</w:t>
            </w:r>
          </w:p>
        </w:tc>
        <w:tc>
          <w:tcPr>
            <w:tcW w:w="2721" w:type="dxa"/>
          </w:tcPr>
          <w:p>
            <w:pPr>
              <w:pStyle w:val="TableParagraph"/>
              <w:ind w:left="77"/>
              <w:rPr>
                <w:sz w:val="18"/>
              </w:rPr>
            </w:pPr>
            <w:r>
              <w:rPr>
                <w:color w:val="231F20"/>
                <w:spacing w:val="-4"/>
                <w:w w:val="105"/>
                <w:sz w:val="18"/>
              </w:rPr>
              <w:t>Fanny:</w:t>
            </w:r>
            <w:r>
              <w:rPr>
                <w:color w:val="231F20"/>
                <w:spacing w:val="-31"/>
                <w:w w:val="105"/>
                <w:sz w:val="18"/>
              </w:rPr>
              <w:t> </w:t>
            </w:r>
            <w:r>
              <w:rPr>
                <w:color w:val="231F20"/>
                <w:w w:val="105"/>
                <w:sz w:val="18"/>
              </w:rPr>
              <w:t>I</w:t>
            </w:r>
            <w:r>
              <w:rPr>
                <w:color w:val="231F20"/>
                <w:spacing w:val="-31"/>
                <w:w w:val="105"/>
                <w:sz w:val="18"/>
              </w:rPr>
              <w:t> </w:t>
            </w:r>
            <w:r>
              <w:rPr>
                <w:color w:val="231F20"/>
                <w:w w:val="105"/>
                <w:sz w:val="18"/>
              </w:rPr>
              <w:t>know</w:t>
            </w:r>
            <w:r>
              <w:rPr>
                <w:color w:val="231F20"/>
                <w:spacing w:val="-31"/>
                <w:w w:val="105"/>
                <w:sz w:val="18"/>
              </w:rPr>
              <w:t> </w:t>
            </w:r>
            <w:r>
              <w:rPr>
                <w:color w:val="231F20"/>
                <w:w w:val="105"/>
                <w:sz w:val="18"/>
              </w:rPr>
              <w:t>what</w:t>
            </w:r>
            <w:r>
              <w:rPr>
                <w:color w:val="231F20"/>
                <w:spacing w:val="-31"/>
                <w:w w:val="105"/>
                <w:sz w:val="18"/>
              </w:rPr>
              <w:t> </w:t>
            </w:r>
            <w:r>
              <w:rPr>
                <w:color w:val="231F20"/>
                <w:w w:val="105"/>
                <w:sz w:val="18"/>
              </w:rPr>
              <w:t>you</w:t>
            </w:r>
            <w:r>
              <w:rPr>
                <w:color w:val="231F20"/>
                <w:spacing w:val="-31"/>
                <w:w w:val="105"/>
                <w:sz w:val="18"/>
              </w:rPr>
              <w:t> </w:t>
            </w:r>
            <w:r>
              <w:rPr>
                <w:color w:val="231F20"/>
                <w:w w:val="105"/>
                <w:sz w:val="18"/>
              </w:rPr>
              <w:t>mean..</w:t>
            </w:r>
            <w:r>
              <w:rPr>
                <w:color w:val="231F20"/>
                <w:spacing w:val="-35"/>
                <w:w w:val="105"/>
                <w:sz w:val="18"/>
              </w:rPr>
              <w:t> </w:t>
            </w:r>
            <w:r>
              <w:rPr>
                <w:color w:val="231F20"/>
                <w:w w:val="105"/>
                <w:sz w:val="18"/>
              </w:rPr>
              <w:t>:/</w:t>
            </w:r>
          </w:p>
        </w:tc>
        <w:tc>
          <w:tcPr>
            <w:tcW w:w="2721" w:type="dxa"/>
          </w:tcPr>
          <w:p>
            <w:pPr>
              <w:pStyle w:val="TableParagraph"/>
              <w:ind w:left="77"/>
              <w:rPr>
                <w:sz w:val="18"/>
              </w:rPr>
            </w:pPr>
            <w:r>
              <w:rPr>
                <w:color w:val="231F20"/>
                <w:w w:val="105"/>
                <w:sz w:val="18"/>
              </w:rPr>
              <w:t>Sé a lo que te refieres :/</w:t>
            </w:r>
          </w:p>
        </w:tc>
        <w:tc>
          <w:tcPr>
            <w:tcW w:w="445" w:type="dxa"/>
          </w:tcPr>
          <w:p>
            <w:pPr>
              <w:pStyle w:val="TableParagraph"/>
              <w:jc w:val="center"/>
              <w:rPr>
                <w:sz w:val="18"/>
              </w:rPr>
            </w:pPr>
            <w:r>
              <w:rPr>
                <w:color w:val="231F20"/>
                <w:w w:val="104"/>
                <w:sz w:val="18"/>
              </w:rPr>
              <w:t>D</w:t>
            </w:r>
          </w:p>
        </w:tc>
      </w:tr>
      <w:tr>
        <w:trPr>
          <w:trHeight w:val="556" w:hRule="exact"/>
        </w:trPr>
        <w:tc>
          <w:tcPr>
            <w:tcW w:w="443" w:type="dxa"/>
          </w:tcPr>
          <w:p>
            <w:pPr>
              <w:pStyle w:val="TableParagraph"/>
              <w:ind w:left="77"/>
              <w:rPr>
                <w:sz w:val="18"/>
              </w:rPr>
            </w:pPr>
            <w:r>
              <w:rPr>
                <w:color w:val="231F20"/>
                <w:w w:val="104"/>
                <w:sz w:val="18"/>
              </w:rPr>
              <w:t>6</w:t>
            </w:r>
          </w:p>
        </w:tc>
        <w:tc>
          <w:tcPr>
            <w:tcW w:w="2721" w:type="dxa"/>
          </w:tcPr>
          <w:p>
            <w:pPr>
              <w:pStyle w:val="TableParagraph"/>
              <w:spacing w:line="254" w:lineRule="auto"/>
              <w:ind w:left="77"/>
              <w:rPr>
                <w:sz w:val="18"/>
              </w:rPr>
            </w:pPr>
            <w:r>
              <w:rPr>
                <w:color w:val="231F20"/>
                <w:w w:val="105"/>
                <w:sz w:val="18"/>
              </w:rPr>
              <w:t>Itzel: i miss your faces tooooo!!!!!!!!!</w:t>
            </w:r>
          </w:p>
        </w:tc>
        <w:tc>
          <w:tcPr>
            <w:tcW w:w="2721" w:type="dxa"/>
          </w:tcPr>
          <w:p>
            <w:pPr>
              <w:pStyle w:val="TableParagraph"/>
              <w:ind w:left="77"/>
              <w:rPr>
                <w:sz w:val="18"/>
              </w:rPr>
            </w:pPr>
            <w:r>
              <w:rPr>
                <w:color w:val="231F20"/>
                <w:w w:val="105"/>
                <w:sz w:val="18"/>
              </w:rPr>
              <w:t>¡Yo también extraño sus caras!</w:t>
            </w:r>
          </w:p>
        </w:tc>
        <w:tc>
          <w:tcPr>
            <w:tcW w:w="445" w:type="dxa"/>
          </w:tcPr>
          <w:p>
            <w:pPr/>
          </w:p>
        </w:tc>
      </w:tr>
      <w:tr>
        <w:trPr>
          <w:trHeight w:val="556" w:hRule="exact"/>
        </w:trPr>
        <w:tc>
          <w:tcPr>
            <w:tcW w:w="443" w:type="dxa"/>
          </w:tcPr>
          <w:p>
            <w:pPr>
              <w:pStyle w:val="TableParagraph"/>
              <w:ind w:left="77"/>
              <w:rPr>
                <w:sz w:val="18"/>
              </w:rPr>
            </w:pPr>
            <w:r>
              <w:rPr>
                <w:color w:val="231F20"/>
                <w:w w:val="104"/>
                <w:sz w:val="18"/>
              </w:rPr>
              <w:t>7</w:t>
            </w:r>
          </w:p>
        </w:tc>
        <w:tc>
          <w:tcPr>
            <w:tcW w:w="2721" w:type="dxa"/>
          </w:tcPr>
          <w:p>
            <w:pPr>
              <w:pStyle w:val="TableParagraph"/>
              <w:spacing w:line="254" w:lineRule="auto"/>
              <w:ind w:left="77"/>
              <w:rPr>
                <w:sz w:val="18"/>
              </w:rPr>
            </w:pPr>
            <w:r>
              <w:rPr>
                <w:color w:val="231F20"/>
                <w:w w:val="105"/>
                <w:sz w:val="18"/>
              </w:rPr>
              <w:t>Telma: I miss talking to your mom every day too :(</w:t>
            </w:r>
          </w:p>
        </w:tc>
        <w:tc>
          <w:tcPr>
            <w:tcW w:w="2721" w:type="dxa"/>
          </w:tcPr>
          <w:p>
            <w:pPr>
              <w:pStyle w:val="TableParagraph"/>
              <w:spacing w:line="254" w:lineRule="auto"/>
              <w:ind w:left="77" w:right="9"/>
              <w:rPr>
                <w:sz w:val="18"/>
              </w:rPr>
            </w:pPr>
            <w:r>
              <w:rPr>
                <w:color w:val="231F20"/>
                <w:spacing w:val="-4"/>
                <w:w w:val="105"/>
                <w:sz w:val="18"/>
              </w:rPr>
              <w:t>También </w:t>
            </w:r>
            <w:r>
              <w:rPr>
                <w:color w:val="231F20"/>
                <w:w w:val="105"/>
                <w:sz w:val="18"/>
              </w:rPr>
              <w:t>extraño platicar con tu mamá todos los días :(</w:t>
            </w:r>
          </w:p>
        </w:tc>
        <w:tc>
          <w:tcPr>
            <w:tcW w:w="445" w:type="dxa"/>
          </w:tcPr>
          <w:p>
            <w:pPr>
              <w:pStyle w:val="TableParagraph"/>
              <w:jc w:val="center"/>
              <w:rPr>
                <w:sz w:val="18"/>
              </w:rPr>
            </w:pPr>
            <w:r>
              <w:rPr>
                <w:color w:val="231F20"/>
                <w:w w:val="88"/>
                <w:sz w:val="18"/>
              </w:rPr>
              <w:t>E</w:t>
            </w:r>
          </w:p>
        </w:tc>
      </w:tr>
    </w:tbl>
    <w:p>
      <w:pPr>
        <w:spacing w:before="78"/>
        <w:ind w:left="1998" w:right="0" w:firstLine="0"/>
        <w:jc w:val="left"/>
        <w:rPr>
          <w:sz w:val="16"/>
        </w:rPr>
      </w:pPr>
      <w:r>
        <w:rPr>
          <w:color w:val="231F20"/>
          <w:sz w:val="16"/>
        </w:rPr>
        <w:t>Source: Itzel’s Facebook.</w:t>
      </w:r>
    </w:p>
    <w:p>
      <w:pPr>
        <w:pStyle w:val="BodyText"/>
        <w:rPr>
          <w:sz w:val="16"/>
        </w:rPr>
      </w:pPr>
    </w:p>
    <w:p>
      <w:pPr>
        <w:pStyle w:val="BodyText"/>
        <w:spacing w:line="261" w:lineRule="auto" w:before="111"/>
        <w:ind w:left="1723" w:right="1828"/>
        <w:jc w:val="both"/>
      </w:pPr>
      <w:r>
        <w:rPr>
          <w:color w:val="231F20"/>
          <w:w w:val="105"/>
        </w:rPr>
        <w:t>Itzel’s</w:t>
      </w:r>
      <w:r>
        <w:rPr>
          <w:color w:val="231F20"/>
          <w:spacing w:val="-20"/>
          <w:w w:val="105"/>
        </w:rPr>
        <w:t> </w:t>
      </w:r>
      <w:r>
        <w:rPr>
          <w:color w:val="231F20"/>
          <w:w w:val="105"/>
        </w:rPr>
        <w:t>claim</w:t>
      </w:r>
      <w:r>
        <w:rPr>
          <w:color w:val="231F20"/>
          <w:spacing w:val="-20"/>
          <w:w w:val="105"/>
        </w:rPr>
        <w:t> </w:t>
      </w:r>
      <w:r>
        <w:rPr>
          <w:color w:val="231F20"/>
          <w:w w:val="105"/>
        </w:rPr>
        <w:t>in</w:t>
      </w:r>
      <w:r>
        <w:rPr>
          <w:color w:val="231F20"/>
          <w:spacing w:val="-20"/>
          <w:w w:val="105"/>
        </w:rPr>
        <w:t> </w:t>
      </w:r>
      <w:r>
        <w:rPr>
          <w:color w:val="231F20"/>
          <w:w w:val="105"/>
        </w:rPr>
        <w:t>line</w:t>
      </w:r>
      <w:r>
        <w:rPr>
          <w:color w:val="231F20"/>
          <w:spacing w:val="-20"/>
          <w:w w:val="105"/>
        </w:rPr>
        <w:t> </w:t>
      </w:r>
      <w:r>
        <w:rPr>
          <w:color w:val="231F20"/>
          <w:w w:val="105"/>
        </w:rPr>
        <w:t>4</w:t>
      </w:r>
      <w:r>
        <w:rPr>
          <w:color w:val="231F20"/>
          <w:spacing w:val="-20"/>
          <w:w w:val="105"/>
        </w:rPr>
        <w:t> </w:t>
      </w:r>
      <w:r>
        <w:rPr>
          <w:color w:val="231F20"/>
          <w:w w:val="105"/>
        </w:rPr>
        <w:t>that</w:t>
      </w:r>
      <w:r>
        <w:rPr>
          <w:color w:val="231F20"/>
          <w:spacing w:val="-20"/>
          <w:w w:val="105"/>
        </w:rPr>
        <w:t> </w:t>
      </w:r>
      <w:r>
        <w:rPr>
          <w:color w:val="231F20"/>
          <w:w w:val="105"/>
        </w:rPr>
        <w:t>her</w:t>
      </w:r>
      <w:r>
        <w:rPr>
          <w:color w:val="231F20"/>
          <w:spacing w:val="-20"/>
          <w:w w:val="105"/>
        </w:rPr>
        <w:t> </w:t>
      </w:r>
      <w:r>
        <w:rPr>
          <w:color w:val="231F20"/>
          <w:w w:val="105"/>
        </w:rPr>
        <w:t>experience</w:t>
      </w:r>
      <w:r>
        <w:rPr>
          <w:color w:val="231F20"/>
          <w:spacing w:val="-20"/>
          <w:w w:val="105"/>
        </w:rPr>
        <w:t> </w:t>
      </w:r>
      <w:r>
        <w:rPr>
          <w:color w:val="231F20"/>
          <w:w w:val="105"/>
        </w:rPr>
        <w:t>in</w:t>
      </w:r>
      <w:r>
        <w:rPr>
          <w:color w:val="231F20"/>
          <w:spacing w:val="-20"/>
          <w:w w:val="105"/>
        </w:rPr>
        <w:t> </w:t>
      </w:r>
      <w:r>
        <w:rPr>
          <w:color w:val="231F20"/>
          <w:w w:val="105"/>
        </w:rPr>
        <w:t>Mexico</w:t>
      </w:r>
      <w:r>
        <w:rPr>
          <w:color w:val="231F20"/>
          <w:spacing w:val="-20"/>
          <w:w w:val="105"/>
        </w:rPr>
        <w:t> </w:t>
      </w:r>
      <w:r>
        <w:rPr>
          <w:color w:val="231F20"/>
          <w:w w:val="105"/>
        </w:rPr>
        <w:t>is</w:t>
      </w:r>
      <w:r>
        <w:rPr>
          <w:color w:val="231F20"/>
          <w:spacing w:val="-20"/>
          <w:w w:val="105"/>
        </w:rPr>
        <w:t> </w:t>
      </w:r>
      <w:r>
        <w:rPr>
          <w:color w:val="231F20"/>
          <w:w w:val="105"/>
        </w:rPr>
        <w:t>not</w:t>
      </w:r>
      <w:r>
        <w:rPr>
          <w:color w:val="231F20"/>
          <w:spacing w:val="-20"/>
          <w:w w:val="105"/>
        </w:rPr>
        <w:t> </w:t>
      </w:r>
      <w:r>
        <w:rPr>
          <w:color w:val="231F20"/>
          <w:w w:val="105"/>
        </w:rPr>
        <w:t>fun</w:t>
      </w:r>
      <w:r>
        <w:rPr>
          <w:color w:val="231F20"/>
          <w:spacing w:val="-20"/>
          <w:w w:val="105"/>
        </w:rPr>
        <w:t> </w:t>
      </w:r>
      <w:r>
        <w:rPr>
          <w:color w:val="231F20"/>
          <w:w w:val="105"/>
        </w:rPr>
        <w:t>if</w:t>
      </w:r>
      <w:r>
        <w:rPr>
          <w:color w:val="231F20"/>
          <w:spacing w:val="-16"/>
          <w:w w:val="105"/>
        </w:rPr>
        <w:t> </w:t>
      </w:r>
      <w:r>
        <w:rPr>
          <w:color w:val="231F20"/>
          <w:w w:val="105"/>
        </w:rPr>
        <w:t>other</w:t>
      </w:r>
      <w:r>
        <w:rPr>
          <w:color w:val="231F20"/>
          <w:spacing w:val="-20"/>
          <w:w w:val="105"/>
        </w:rPr>
        <w:t> </w:t>
      </w:r>
      <w:r>
        <w:rPr>
          <w:color w:val="231F20"/>
          <w:w w:val="105"/>
        </w:rPr>
        <w:t>social network</w:t>
      </w:r>
      <w:r>
        <w:rPr>
          <w:color w:val="231F20"/>
          <w:spacing w:val="-8"/>
          <w:w w:val="105"/>
        </w:rPr>
        <w:t> </w:t>
      </w:r>
      <w:r>
        <w:rPr>
          <w:color w:val="231F20"/>
          <w:w w:val="105"/>
        </w:rPr>
        <w:t>members</w:t>
      </w:r>
      <w:r>
        <w:rPr>
          <w:color w:val="231F20"/>
          <w:spacing w:val="-8"/>
          <w:w w:val="105"/>
        </w:rPr>
        <w:t> </w:t>
      </w:r>
      <w:r>
        <w:rPr>
          <w:color w:val="231F20"/>
          <w:w w:val="105"/>
        </w:rPr>
        <w:t>living</w:t>
      </w:r>
      <w:r>
        <w:rPr>
          <w:color w:val="231F20"/>
          <w:spacing w:val="-8"/>
          <w:w w:val="105"/>
        </w:rPr>
        <w:t> </w:t>
      </w:r>
      <w:r>
        <w:rPr>
          <w:color w:val="231F20"/>
          <w:w w:val="105"/>
        </w:rPr>
        <w:t>in</w:t>
      </w:r>
      <w:r>
        <w:rPr>
          <w:color w:val="231F20"/>
          <w:spacing w:val="-8"/>
          <w:w w:val="105"/>
        </w:rPr>
        <w:t> </w:t>
      </w:r>
      <w:r>
        <w:rPr>
          <w:color w:val="231F20"/>
          <w:w w:val="105"/>
        </w:rPr>
        <w:t>the</w:t>
      </w:r>
      <w:r>
        <w:rPr>
          <w:color w:val="231F20"/>
          <w:spacing w:val="-8"/>
          <w:w w:val="105"/>
        </w:rPr>
        <w:t> </w:t>
      </w:r>
      <w:r>
        <w:rPr>
          <w:color w:val="231F20"/>
          <w:w w:val="105"/>
        </w:rPr>
        <w:t>U.S.</w:t>
      </w:r>
      <w:r>
        <w:rPr>
          <w:color w:val="231F20"/>
          <w:spacing w:val="-13"/>
          <w:w w:val="105"/>
        </w:rPr>
        <w:t> </w:t>
      </w:r>
      <w:r>
        <w:rPr>
          <w:color w:val="231F20"/>
          <w:w w:val="105"/>
        </w:rPr>
        <w:t>are</w:t>
      </w:r>
      <w:r>
        <w:rPr>
          <w:color w:val="231F20"/>
          <w:spacing w:val="-8"/>
          <w:w w:val="105"/>
        </w:rPr>
        <w:t> </w:t>
      </w:r>
      <w:r>
        <w:rPr>
          <w:color w:val="231F20"/>
          <w:w w:val="105"/>
        </w:rPr>
        <w:t>not</w:t>
      </w:r>
      <w:r>
        <w:rPr>
          <w:color w:val="231F20"/>
          <w:spacing w:val="-8"/>
          <w:w w:val="105"/>
        </w:rPr>
        <w:t> </w:t>
      </w:r>
      <w:r>
        <w:rPr>
          <w:color w:val="231F20"/>
          <w:w w:val="105"/>
        </w:rPr>
        <w:t>there</w:t>
      </w:r>
      <w:r>
        <w:rPr>
          <w:color w:val="231F20"/>
          <w:spacing w:val="-8"/>
          <w:w w:val="105"/>
        </w:rPr>
        <w:t> </w:t>
      </w:r>
      <w:r>
        <w:rPr>
          <w:color w:val="231F20"/>
          <w:w w:val="105"/>
        </w:rPr>
        <w:t>with</w:t>
      </w:r>
      <w:r>
        <w:rPr>
          <w:color w:val="231F20"/>
          <w:spacing w:val="-8"/>
          <w:w w:val="105"/>
        </w:rPr>
        <w:t> </w:t>
      </w:r>
      <w:r>
        <w:rPr>
          <w:color w:val="231F20"/>
          <w:w w:val="105"/>
        </w:rPr>
        <w:t>her</w:t>
      </w:r>
      <w:r>
        <w:rPr>
          <w:color w:val="231F20"/>
          <w:spacing w:val="-8"/>
          <w:w w:val="105"/>
        </w:rPr>
        <w:t> </w:t>
      </w:r>
      <w:r>
        <w:rPr>
          <w:color w:val="231F20"/>
          <w:w w:val="105"/>
        </w:rPr>
        <w:t>indexes</w:t>
      </w:r>
      <w:r>
        <w:rPr>
          <w:color w:val="231F20"/>
          <w:spacing w:val="-8"/>
          <w:w w:val="105"/>
        </w:rPr>
        <w:t> </w:t>
      </w:r>
      <w:r>
        <w:rPr>
          <w:color w:val="231F20"/>
          <w:w w:val="105"/>
        </w:rPr>
        <w:t>affilia- tion to people who live in the US and some distancing from those who live</w:t>
      </w:r>
      <w:r>
        <w:rPr>
          <w:color w:val="231F20"/>
          <w:spacing w:val="-19"/>
          <w:w w:val="105"/>
        </w:rPr>
        <w:t> </w:t>
      </w:r>
      <w:r>
        <w:rPr>
          <w:color w:val="231F20"/>
          <w:w w:val="105"/>
        </w:rPr>
        <w:t>in</w:t>
      </w:r>
      <w:r>
        <w:rPr>
          <w:color w:val="231F20"/>
          <w:spacing w:val="-19"/>
          <w:w w:val="105"/>
        </w:rPr>
        <w:t> </w:t>
      </w:r>
      <w:r>
        <w:rPr>
          <w:color w:val="231F20"/>
          <w:w w:val="105"/>
        </w:rPr>
        <w:t>Mexico.</w:t>
      </w:r>
      <w:r>
        <w:rPr>
          <w:color w:val="231F20"/>
          <w:spacing w:val="-25"/>
          <w:w w:val="105"/>
        </w:rPr>
        <w:t> </w:t>
      </w:r>
      <w:r>
        <w:rPr>
          <w:color w:val="231F20"/>
          <w:spacing w:val="-4"/>
          <w:w w:val="105"/>
        </w:rPr>
        <w:t>For</w:t>
      </w:r>
      <w:r>
        <w:rPr>
          <w:color w:val="231F20"/>
          <w:spacing w:val="-19"/>
          <w:w w:val="105"/>
        </w:rPr>
        <w:t> </w:t>
      </w:r>
      <w:r>
        <w:rPr>
          <w:color w:val="231F20"/>
          <w:w w:val="105"/>
        </w:rPr>
        <w:t>younger</w:t>
      </w:r>
      <w:r>
        <w:rPr>
          <w:color w:val="231F20"/>
          <w:spacing w:val="-19"/>
          <w:w w:val="105"/>
        </w:rPr>
        <w:t> </w:t>
      </w:r>
      <w:r>
        <w:rPr>
          <w:color w:val="231F20"/>
          <w:w w:val="105"/>
        </w:rPr>
        <w:t>members</w:t>
      </w:r>
      <w:r>
        <w:rPr>
          <w:color w:val="231F20"/>
          <w:spacing w:val="-19"/>
          <w:w w:val="105"/>
        </w:rPr>
        <w:t> </w:t>
      </w:r>
      <w:r>
        <w:rPr>
          <w:color w:val="231F20"/>
          <w:w w:val="105"/>
        </w:rPr>
        <w:t>of</w:t>
      </w:r>
      <w:r>
        <w:rPr>
          <w:color w:val="231F20"/>
          <w:spacing w:val="-15"/>
          <w:w w:val="105"/>
        </w:rPr>
        <w:t> </w:t>
      </w:r>
      <w:r>
        <w:rPr>
          <w:color w:val="231F20"/>
          <w:w w:val="105"/>
        </w:rPr>
        <w:t>the</w:t>
      </w:r>
      <w:r>
        <w:rPr>
          <w:color w:val="231F20"/>
          <w:spacing w:val="-19"/>
          <w:w w:val="105"/>
        </w:rPr>
        <w:t> </w:t>
      </w:r>
      <w:r>
        <w:rPr>
          <w:color w:val="231F20"/>
          <w:w w:val="105"/>
        </w:rPr>
        <w:t>subnetwork,</w:t>
      </w:r>
      <w:r>
        <w:rPr>
          <w:color w:val="231F20"/>
          <w:spacing w:val="-25"/>
          <w:w w:val="105"/>
        </w:rPr>
        <w:t> </w:t>
      </w:r>
      <w:r>
        <w:rPr>
          <w:color w:val="231F20"/>
          <w:w w:val="105"/>
        </w:rPr>
        <w:t>Mexico</w:t>
      </w:r>
      <w:r>
        <w:rPr>
          <w:color w:val="231F20"/>
          <w:spacing w:val="-19"/>
          <w:w w:val="105"/>
        </w:rPr>
        <w:t> </w:t>
      </w:r>
      <w:r>
        <w:rPr>
          <w:color w:val="231F20"/>
          <w:w w:val="105"/>
        </w:rPr>
        <w:t>is</w:t>
      </w:r>
      <w:r>
        <w:rPr>
          <w:color w:val="231F20"/>
          <w:spacing w:val="-19"/>
          <w:w w:val="105"/>
        </w:rPr>
        <w:t> </w:t>
      </w:r>
      <w:r>
        <w:rPr>
          <w:color w:val="231F20"/>
          <w:w w:val="105"/>
        </w:rPr>
        <w:t>mainly a place to go for vacations, not a place to return to permanently or long term, as it is for older members of the network. Although it is common for such members to express missing those in Chicago and a desire to reunite, they do not express any nostalgia for Chicago (as a place),</w:t>
      </w:r>
      <w:r>
        <w:rPr>
          <w:color w:val="231F20"/>
          <w:spacing w:val="-36"/>
          <w:w w:val="105"/>
        </w:rPr>
        <w:t> </w:t>
      </w:r>
      <w:r>
        <w:rPr>
          <w:color w:val="231F20"/>
          <w:w w:val="105"/>
        </w:rPr>
        <w:t>and only complain if they have not been updated on important events occu- rring</w:t>
      </w:r>
      <w:r>
        <w:rPr>
          <w:color w:val="231F20"/>
          <w:spacing w:val="-9"/>
          <w:w w:val="105"/>
        </w:rPr>
        <w:t> </w:t>
      </w:r>
      <w:r>
        <w:rPr>
          <w:color w:val="231F20"/>
          <w:w w:val="105"/>
        </w:rPr>
        <w:t>among</w:t>
      </w:r>
      <w:r>
        <w:rPr>
          <w:color w:val="231F20"/>
          <w:spacing w:val="-9"/>
          <w:w w:val="105"/>
        </w:rPr>
        <w:t> </w:t>
      </w:r>
      <w:r>
        <w:rPr>
          <w:color w:val="231F20"/>
          <w:w w:val="105"/>
        </w:rPr>
        <w:t>members</w:t>
      </w:r>
      <w:r>
        <w:rPr>
          <w:color w:val="231F20"/>
          <w:spacing w:val="-9"/>
          <w:w w:val="105"/>
        </w:rPr>
        <w:t> </w:t>
      </w:r>
      <w:r>
        <w:rPr>
          <w:color w:val="231F20"/>
          <w:w w:val="105"/>
        </w:rPr>
        <w:t>in</w:t>
      </w:r>
      <w:r>
        <w:rPr>
          <w:color w:val="231F20"/>
          <w:spacing w:val="-9"/>
          <w:w w:val="105"/>
        </w:rPr>
        <w:t> </w:t>
      </w:r>
      <w:r>
        <w:rPr>
          <w:color w:val="231F20"/>
          <w:w w:val="105"/>
        </w:rPr>
        <w:t>Chicago.</w:t>
      </w:r>
      <w:r>
        <w:rPr>
          <w:color w:val="231F20"/>
          <w:spacing w:val="-19"/>
          <w:w w:val="105"/>
        </w:rPr>
        <w:t> </w:t>
      </w:r>
      <w:r>
        <w:rPr>
          <w:color w:val="231F20"/>
          <w:w w:val="105"/>
        </w:rPr>
        <w:t>Thus,</w:t>
      </w:r>
      <w:r>
        <w:rPr>
          <w:color w:val="231F20"/>
          <w:spacing w:val="-14"/>
          <w:w w:val="105"/>
        </w:rPr>
        <w:t> </w:t>
      </w:r>
      <w:r>
        <w:rPr>
          <w:color w:val="231F20"/>
          <w:w w:val="105"/>
        </w:rPr>
        <w:t>there</w:t>
      </w:r>
      <w:r>
        <w:rPr>
          <w:color w:val="231F20"/>
          <w:spacing w:val="-9"/>
          <w:w w:val="105"/>
        </w:rPr>
        <w:t> </w:t>
      </w:r>
      <w:r>
        <w:rPr>
          <w:color w:val="231F20"/>
          <w:w w:val="105"/>
        </w:rPr>
        <w:t>are</w:t>
      </w:r>
      <w:r>
        <w:rPr>
          <w:color w:val="231F20"/>
          <w:spacing w:val="-9"/>
          <w:w w:val="105"/>
        </w:rPr>
        <w:t> </w:t>
      </w:r>
      <w:r>
        <w:rPr>
          <w:color w:val="231F20"/>
          <w:w w:val="105"/>
        </w:rPr>
        <w:t>frequent</w:t>
      </w:r>
      <w:r>
        <w:rPr>
          <w:color w:val="231F20"/>
          <w:spacing w:val="-9"/>
          <w:w w:val="105"/>
        </w:rPr>
        <w:t> </w:t>
      </w:r>
      <w:r>
        <w:rPr>
          <w:color w:val="231F20"/>
          <w:w w:val="105"/>
        </w:rPr>
        <w:t>posts</w:t>
      </w:r>
      <w:r>
        <w:rPr>
          <w:color w:val="231F20"/>
          <w:spacing w:val="-9"/>
          <w:w w:val="105"/>
        </w:rPr>
        <w:t> </w:t>
      </w:r>
      <w:r>
        <w:rPr>
          <w:color w:val="231F20"/>
          <w:w w:val="105"/>
        </w:rPr>
        <w:t>asking members</w:t>
      </w:r>
      <w:r>
        <w:rPr>
          <w:color w:val="231F20"/>
          <w:spacing w:val="-13"/>
          <w:w w:val="105"/>
        </w:rPr>
        <w:t> </w:t>
      </w:r>
      <w:r>
        <w:rPr>
          <w:color w:val="231F20"/>
          <w:w w:val="105"/>
        </w:rPr>
        <w:t>in</w:t>
      </w:r>
      <w:r>
        <w:rPr>
          <w:color w:val="231F20"/>
          <w:spacing w:val="-13"/>
          <w:w w:val="105"/>
        </w:rPr>
        <w:t> </w:t>
      </w:r>
      <w:r>
        <w:rPr>
          <w:color w:val="231F20"/>
          <w:w w:val="105"/>
        </w:rPr>
        <w:t>the</w:t>
      </w:r>
      <w:r>
        <w:rPr>
          <w:color w:val="231F20"/>
          <w:spacing w:val="-13"/>
          <w:w w:val="105"/>
        </w:rPr>
        <w:t> </w:t>
      </w:r>
      <w:r>
        <w:rPr>
          <w:color w:val="231F20"/>
          <w:w w:val="105"/>
        </w:rPr>
        <w:t>U.S.</w:t>
      </w:r>
      <w:r>
        <w:rPr>
          <w:color w:val="231F20"/>
          <w:spacing w:val="-18"/>
          <w:w w:val="105"/>
        </w:rPr>
        <w:t> </w:t>
      </w:r>
      <w:r>
        <w:rPr>
          <w:color w:val="231F20"/>
          <w:w w:val="105"/>
        </w:rPr>
        <w:t>to</w:t>
      </w:r>
      <w:r>
        <w:rPr>
          <w:color w:val="231F20"/>
          <w:spacing w:val="-13"/>
          <w:w w:val="105"/>
        </w:rPr>
        <w:t> </w:t>
      </w:r>
      <w:r>
        <w:rPr>
          <w:color w:val="231F20"/>
          <w:w w:val="105"/>
        </w:rPr>
        <w:t>post</w:t>
      </w:r>
      <w:r>
        <w:rPr>
          <w:color w:val="231F20"/>
          <w:spacing w:val="-13"/>
          <w:w w:val="105"/>
        </w:rPr>
        <w:t> </w:t>
      </w:r>
      <w:r>
        <w:rPr>
          <w:color w:val="231F20"/>
          <w:w w:val="105"/>
        </w:rPr>
        <w:t>photos</w:t>
      </w:r>
      <w:r>
        <w:rPr>
          <w:color w:val="231F20"/>
          <w:spacing w:val="-13"/>
          <w:w w:val="105"/>
        </w:rPr>
        <w:t> </w:t>
      </w:r>
      <w:r>
        <w:rPr>
          <w:color w:val="231F20"/>
          <w:w w:val="105"/>
        </w:rPr>
        <w:t>of</w:t>
      </w:r>
      <w:r>
        <w:rPr>
          <w:color w:val="231F20"/>
          <w:spacing w:val="-9"/>
          <w:w w:val="105"/>
        </w:rPr>
        <w:t> </w:t>
      </w:r>
      <w:r>
        <w:rPr>
          <w:color w:val="231F20"/>
          <w:w w:val="105"/>
        </w:rPr>
        <w:t>a</w:t>
      </w:r>
      <w:r>
        <w:rPr>
          <w:color w:val="231F20"/>
          <w:spacing w:val="-13"/>
          <w:w w:val="105"/>
        </w:rPr>
        <w:t> </w:t>
      </w:r>
      <w:r>
        <w:rPr>
          <w:color w:val="231F20"/>
          <w:w w:val="105"/>
        </w:rPr>
        <w:t>newborn,</w:t>
      </w:r>
      <w:r>
        <w:rPr>
          <w:color w:val="231F20"/>
          <w:spacing w:val="-18"/>
          <w:w w:val="105"/>
        </w:rPr>
        <w:t> </w:t>
      </w:r>
      <w:r>
        <w:rPr>
          <w:color w:val="231F20"/>
          <w:w w:val="105"/>
        </w:rPr>
        <w:t>a</w:t>
      </w:r>
      <w:r>
        <w:rPr>
          <w:color w:val="231F20"/>
          <w:spacing w:val="-13"/>
          <w:w w:val="105"/>
        </w:rPr>
        <w:t> </w:t>
      </w:r>
      <w:r>
        <w:rPr>
          <w:color w:val="231F20"/>
          <w:w w:val="105"/>
        </w:rPr>
        <w:t>baby</w:t>
      </w:r>
      <w:r>
        <w:rPr>
          <w:color w:val="231F20"/>
          <w:spacing w:val="-13"/>
          <w:w w:val="105"/>
        </w:rPr>
        <w:t> </w:t>
      </w:r>
      <w:r>
        <w:rPr>
          <w:color w:val="231F20"/>
          <w:w w:val="105"/>
        </w:rPr>
        <w:t>shower,</w:t>
      </w:r>
      <w:r>
        <w:rPr>
          <w:color w:val="231F20"/>
          <w:spacing w:val="-18"/>
          <w:w w:val="105"/>
        </w:rPr>
        <w:t> </w:t>
      </w:r>
      <w:r>
        <w:rPr>
          <w:color w:val="231F20"/>
          <w:w w:val="105"/>
        </w:rPr>
        <w:t>a</w:t>
      </w:r>
      <w:r>
        <w:rPr>
          <w:color w:val="231F20"/>
          <w:spacing w:val="-13"/>
          <w:w w:val="105"/>
        </w:rPr>
        <w:t> </w:t>
      </w:r>
      <w:r>
        <w:rPr>
          <w:color w:val="231F20"/>
          <w:w w:val="105"/>
        </w:rPr>
        <w:t>wed- ding,</w:t>
      </w:r>
      <w:r>
        <w:rPr>
          <w:color w:val="231F20"/>
          <w:spacing w:val="-12"/>
          <w:w w:val="105"/>
        </w:rPr>
        <w:t> </w:t>
      </w:r>
      <w:r>
        <w:rPr>
          <w:color w:val="231F20"/>
          <w:w w:val="105"/>
        </w:rPr>
        <w:t>or</w:t>
      </w:r>
      <w:r>
        <w:rPr>
          <w:color w:val="231F20"/>
          <w:spacing w:val="-4"/>
          <w:w w:val="105"/>
        </w:rPr>
        <w:t> </w:t>
      </w:r>
      <w:r>
        <w:rPr>
          <w:color w:val="231F20"/>
          <w:w w:val="105"/>
        </w:rPr>
        <w:t>an</w:t>
      </w:r>
      <w:r>
        <w:rPr>
          <w:color w:val="231F20"/>
          <w:spacing w:val="-4"/>
          <w:w w:val="105"/>
        </w:rPr>
        <w:t> </w:t>
      </w:r>
      <w:r>
        <w:rPr>
          <w:color w:val="231F20"/>
          <w:w w:val="105"/>
        </w:rPr>
        <w:t>important</w:t>
      </w:r>
      <w:r>
        <w:rPr>
          <w:color w:val="231F20"/>
          <w:spacing w:val="-4"/>
          <w:w w:val="105"/>
        </w:rPr>
        <w:t> </w:t>
      </w:r>
      <w:r>
        <w:rPr>
          <w:color w:val="231F20"/>
          <w:w w:val="105"/>
        </w:rPr>
        <w:t>birthday</w:t>
      </w:r>
      <w:r>
        <w:rPr>
          <w:color w:val="231F20"/>
          <w:spacing w:val="-4"/>
          <w:w w:val="105"/>
        </w:rPr>
        <w:t> </w:t>
      </w:r>
      <w:r>
        <w:rPr>
          <w:color w:val="231F20"/>
          <w:w w:val="105"/>
        </w:rPr>
        <w:t>celebration</w:t>
      </w:r>
      <w:r>
        <w:rPr>
          <w:color w:val="231F20"/>
          <w:spacing w:val="-4"/>
          <w:w w:val="105"/>
        </w:rPr>
        <w:t> </w:t>
      </w:r>
      <w:r>
        <w:rPr>
          <w:color w:val="231F20"/>
          <w:w w:val="105"/>
        </w:rPr>
        <w:t>which</w:t>
      </w:r>
      <w:r>
        <w:rPr>
          <w:color w:val="231F20"/>
          <w:spacing w:val="-4"/>
          <w:w w:val="105"/>
        </w:rPr>
        <w:t> </w:t>
      </w:r>
      <w:r>
        <w:rPr>
          <w:color w:val="231F20"/>
          <w:w w:val="105"/>
        </w:rPr>
        <w:t>the</w:t>
      </w:r>
      <w:r>
        <w:rPr>
          <w:color w:val="231F20"/>
          <w:spacing w:val="-4"/>
          <w:w w:val="105"/>
        </w:rPr>
        <w:t> </w:t>
      </w:r>
      <w:r>
        <w:rPr>
          <w:color w:val="231F20"/>
          <w:w w:val="105"/>
        </w:rPr>
        <w:t>members</w:t>
      </w:r>
      <w:r>
        <w:rPr>
          <w:color w:val="231F20"/>
          <w:spacing w:val="-4"/>
          <w:w w:val="105"/>
        </w:rPr>
        <w:t> </w:t>
      </w:r>
      <w:r>
        <w:rPr>
          <w:color w:val="231F20"/>
          <w:w w:val="105"/>
        </w:rPr>
        <w:t>in</w:t>
      </w:r>
      <w:r>
        <w:rPr>
          <w:color w:val="231F20"/>
          <w:spacing w:val="-4"/>
          <w:w w:val="105"/>
        </w:rPr>
        <w:t> </w:t>
      </w:r>
      <w:r>
        <w:rPr>
          <w:color w:val="231F20"/>
          <w:w w:val="105"/>
        </w:rPr>
        <w:t>Mexico could</w:t>
      </w:r>
      <w:r>
        <w:rPr>
          <w:color w:val="231F20"/>
          <w:spacing w:val="-17"/>
          <w:w w:val="105"/>
        </w:rPr>
        <w:t> </w:t>
      </w:r>
      <w:r>
        <w:rPr>
          <w:color w:val="231F20"/>
          <w:w w:val="105"/>
        </w:rPr>
        <w:t>not</w:t>
      </w:r>
      <w:r>
        <w:rPr>
          <w:color w:val="231F20"/>
          <w:spacing w:val="-17"/>
          <w:w w:val="105"/>
        </w:rPr>
        <w:t> </w:t>
      </w:r>
      <w:r>
        <w:rPr>
          <w:color w:val="231F20"/>
          <w:w w:val="105"/>
        </w:rPr>
        <w:t>attend.</w:t>
      </w:r>
      <w:r>
        <w:rPr>
          <w:color w:val="231F20"/>
          <w:spacing w:val="-24"/>
          <w:w w:val="105"/>
        </w:rPr>
        <w:t> </w:t>
      </w:r>
      <w:r>
        <w:rPr>
          <w:color w:val="231F20"/>
          <w:w w:val="105"/>
        </w:rPr>
        <w:t>What</w:t>
      </w:r>
      <w:r>
        <w:rPr>
          <w:color w:val="231F20"/>
          <w:spacing w:val="-17"/>
          <w:w w:val="105"/>
        </w:rPr>
        <w:t> </w:t>
      </w:r>
      <w:r>
        <w:rPr>
          <w:color w:val="231F20"/>
          <w:w w:val="105"/>
        </w:rPr>
        <w:t>this</w:t>
      </w:r>
      <w:r>
        <w:rPr>
          <w:color w:val="231F20"/>
          <w:spacing w:val="-17"/>
          <w:w w:val="105"/>
        </w:rPr>
        <w:t> </w:t>
      </w:r>
      <w:r>
        <w:rPr>
          <w:color w:val="231F20"/>
          <w:w w:val="105"/>
        </w:rPr>
        <w:t>conversation</w:t>
      </w:r>
      <w:r>
        <w:rPr>
          <w:color w:val="231F20"/>
          <w:spacing w:val="-17"/>
          <w:w w:val="105"/>
        </w:rPr>
        <w:t> </w:t>
      </w:r>
      <w:r>
        <w:rPr>
          <w:color w:val="231F20"/>
          <w:w w:val="105"/>
        </w:rPr>
        <w:t>shows</w:t>
      </w:r>
      <w:r>
        <w:rPr>
          <w:color w:val="231F20"/>
          <w:spacing w:val="-17"/>
          <w:w w:val="105"/>
        </w:rPr>
        <w:t> </w:t>
      </w:r>
      <w:r>
        <w:rPr>
          <w:color w:val="231F20"/>
          <w:w w:val="105"/>
        </w:rPr>
        <w:t>is</w:t>
      </w:r>
      <w:r>
        <w:rPr>
          <w:color w:val="231F20"/>
          <w:spacing w:val="-17"/>
          <w:w w:val="105"/>
        </w:rPr>
        <w:t> </w:t>
      </w:r>
      <w:r>
        <w:rPr>
          <w:color w:val="231F20"/>
          <w:w w:val="105"/>
        </w:rPr>
        <w:t>a</w:t>
      </w:r>
      <w:r>
        <w:rPr>
          <w:color w:val="231F20"/>
          <w:spacing w:val="-17"/>
          <w:w w:val="105"/>
        </w:rPr>
        <w:t> </w:t>
      </w:r>
      <w:r>
        <w:rPr>
          <w:color w:val="231F20"/>
          <w:w w:val="105"/>
        </w:rPr>
        <w:t>prime</w:t>
      </w:r>
      <w:r>
        <w:rPr>
          <w:color w:val="231F20"/>
          <w:spacing w:val="-17"/>
          <w:w w:val="105"/>
        </w:rPr>
        <w:t> </w:t>
      </w:r>
      <w:r>
        <w:rPr>
          <w:color w:val="231F20"/>
          <w:w w:val="105"/>
        </w:rPr>
        <w:t>example</w:t>
      </w:r>
      <w:r>
        <w:rPr>
          <w:color w:val="231F20"/>
          <w:spacing w:val="-17"/>
          <w:w w:val="105"/>
        </w:rPr>
        <w:t> </w:t>
      </w:r>
      <w:r>
        <w:rPr>
          <w:color w:val="231F20"/>
          <w:w w:val="105"/>
        </w:rPr>
        <w:t>of</w:t>
      </w:r>
      <w:r>
        <w:rPr>
          <w:color w:val="231F20"/>
          <w:spacing w:val="-13"/>
          <w:w w:val="105"/>
        </w:rPr>
        <w:t> </w:t>
      </w:r>
      <w:r>
        <w:rPr>
          <w:color w:val="231F20"/>
          <w:w w:val="105"/>
        </w:rPr>
        <w:t>the “longing</w:t>
      </w:r>
      <w:r>
        <w:rPr>
          <w:color w:val="231F20"/>
          <w:spacing w:val="-21"/>
          <w:w w:val="105"/>
        </w:rPr>
        <w:t> </w:t>
      </w:r>
      <w:r>
        <w:rPr>
          <w:color w:val="231F20"/>
          <w:w w:val="105"/>
        </w:rPr>
        <w:t>for”</w:t>
      </w:r>
      <w:r>
        <w:rPr>
          <w:color w:val="231F20"/>
          <w:spacing w:val="-21"/>
          <w:w w:val="105"/>
        </w:rPr>
        <w:t> </w:t>
      </w:r>
      <w:r>
        <w:rPr>
          <w:color w:val="231F20"/>
          <w:w w:val="105"/>
        </w:rPr>
        <w:t>messages.</w:t>
      </w:r>
      <w:r>
        <w:rPr>
          <w:color w:val="231F20"/>
          <w:spacing w:val="-30"/>
          <w:w w:val="105"/>
        </w:rPr>
        <w:t> </w:t>
      </w:r>
      <w:r>
        <w:rPr>
          <w:color w:val="231F20"/>
          <w:w w:val="105"/>
        </w:rPr>
        <w:t>The</w:t>
      </w:r>
      <w:r>
        <w:rPr>
          <w:color w:val="231F20"/>
          <w:spacing w:val="-21"/>
          <w:w w:val="105"/>
        </w:rPr>
        <w:t> </w:t>
      </w:r>
      <w:r>
        <w:rPr>
          <w:color w:val="231F20"/>
          <w:w w:val="105"/>
        </w:rPr>
        <w:t>conversation</w:t>
      </w:r>
      <w:r>
        <w:rPr>
          <w:color w:val="231F20"/>
          <w:spacing w:val="-21"/>
          <w:w w:val="105"/>
        </w:rPr>
        <w:t> </w:t>
      </w:r>
      <w:r>
        <w:rPr>
          <w:color w:val="231F20"/>
          <w:w w:val="105"/>
        </w:rPr>
        <w:t>starts</w:t>
      </w:r>
      <w:r>
        <w:rPr>
          <w:color w:val="231F20"/>
          <w:spacing w:val="-21"/>
          <w:w w:val="105"/>
        </w:rPr>
        <w:t> </w:t>
      </w:r>
      <w:r>
        <w:rPr>
          <w:color w:val="231F20"/>
          <w:w w:val="105"/>
        </w:rPr>
        <w:t>with</w:t>
      </w:r>
      <w:r>
        <w:rPr>
          <w:color w:val="231F20"/>
          <w:spacing w:val="-21"/>
          <w:w w:val="105"/>
        </w:rPr>
        <w:t> </w:t>
      </w:r>
      <w:r>
        <w:rPr>
          <w:color w:val="231F20"/>
          <w:w w:val="105"/>
        </w:rPr>
        <w:t>a</w:t>
      </w:r>
      <w:r>
        <w:rPr>
          <w:color w:val="231F20"/>
          <w:spacing w:val="-21"/>
          <w:w w:val="105"/>
        </w:rPr>
        <w:t> </w:t>
      </w:r>
      <w:r>
        <w:rPr>
          <w:color w:val="231F20"/>
          <w:w w:val="105"/>
        </w:rPr>
        <w:t>joke/camaraderie, then</w:t>
      </w:r>
      <w:r>
        <w:rPr>
          <w:color w:val="231F20"/>
          <w:spacing w:val="-11"/>
          <w:w w:val="105"/>
        </w:rPr>
        <w:t> </w:t>
      </w:r>
      <w:r>
        <w:rPr>
          <w:color w:val="231F20"/>
          <w:w w:val="105"/>
        </w:rPr>
        <w:t>they</w:t>
      </w:r>
      <w:r>
        <w:rPr>
          <w:color w:val="231F20"/>
          <w:spacing w:val="-11"/>
          <w:w w:val="105"/>
        </w:rPr>
        <w:t> </w:t>
      </w:r>
      <w:r>
        <w:rPr>
          <w:color w:val="231F20"/>
          <w:w w:val="105"/>
        </w:rPr>
        <w:t>start</w:t>
      </w:r>
      <w:r>
        <w:rPr>
          <w:color w:val="231F20"/>
          <w:spacing w:val="-11"/>
          <w:w w:val="105"/>
        </w:rPr>
        <w:t> </w:t>
      </w:r>
      <w:r>
        <w:rPr>
          <w:color w:val="231F20"/>
          <w:w w:val="105"/>
        </w:rPr>
        <w:t>tagging/recalling</w:t>
      </w:r>
      <w:r>
        <w:rPr>
          <w:color w:val="231F20"/>
          <w:spacing w:val="-11"/>
          <w:w w:val="105"/>
        </w:rPr>
        <w:t> </w:t>
      </w:r>
      <w:r>
        <w:rPr>
          <w:color w:val="231F20"/>
          <w:w w:val="105"/>
        </w:rPr>
        <w:t>people.</w:t>
      </w:r>
      <w:r>
        <w:rPr>
          <w:color w:val="231F20"/>
          <w:spacing w:val="-21"/>
          <w:w w:val="105"/>
        </w:rPr>
        <w:t> </w:t>
      </w:r>
      <w:r>
        <w:rPr>
          <w:color w:val="231F20"/>
          <w:w w:val="105"/>
        </w:rPr>
        <w:t>Then,</w:t>
      </w:r>
      <w:r>
        <w:rPr>
          <w:color w:val="231F20"/>
          <w:spacing w:val="-16"/>
          <w:w w:val="105"/>
        </w:rPr>
        <w:t> </w:t>
      </w:r>
      <w:r>
        <w:rPr>
          <w:color w:val="231F20"/>
          <w:w w:val="105"/>
        </w:rPr>
        <w:t>they</w:t>
      </w:r>
      <w:r>
        <w:rPr>
          <w:color w:val="231F20"/>
          <w:spacing w:val="-11"/>
          <w:w w:val="105"/>
        </w:rPr>
        <w:t> </w:t>
      </w:r>
      <w:r>
        <w:rPr>
          <w:color w:val="231F20"/>
          <w:w w:val="105"/>
        </w:rPr>
        <w:t>move</w:t>
      </w:r>
      <w:r>
        <w:rPr>
          <w:color w:val="231F20"/>
          <w:spacing w:val="-11"/>
          <w:w w:val="105"/>
        </w:rPr>
        <w:t> </w:t>
      </w:r>
      <w:r>
        <w:rPr>
          <w:color w:val="231F20"/>
          <w:w w:val="105"/>
        </w:rPr>
        <w:t>to</w:t>
      </w:r>
      <w:r>
        <w:rPr>
          <w:color w:val="231F20"/>
          <w:spacing w:val="-11"/>
          <w:w w:val="105"/>
        </w:rPr>
        <w:t> </w:t>
      </w:r>
      <w:r>
        <w:rPr>
          <w:color w:val="231F20"/>
          <w:w w:val="105"/>
        </w:rPr>
        <w:t>expressions of</w:t>
      </w:r>
      <w:r>
        <w:rPr>
          <w:color w:val="231F20"/>
          <w:spacing w:val="-10"/>
          <w:w w:val="105"/>
        </w:rPr>
        <w:t> </w:t>
      </w:r>
      <w:r>
        <w:rPr>
          <w:color w:val="231F20"/>
          <w:w w:val="105"/>
        </w:rPr>
        <w:t>missing</w:t>
      </w:r>
      <w:r>
        <w:rPr>
          <w:color w:val="231F20"/>
          <w:spacing w:val="-14"/>
          <w:w w:val="105"/>
        </w:rPr>
        <w:t> </w:t>
      </w:r>
      <w:r>
        <w:rPr>
          <w:color w:val="231F20"/>
          <w:w w:val="105"/>
        </w:rPr>
        <w:t>the</w:t>
      </w:r>
      <w:r>
        <w:rPr>
          <w:color w:val="231F20"/>
          <w:spacing w:val="-14"/>
          <w:w w:val="105"/>
        </w:rPr>
        <w:t> </w:t>
      </w:r>
      <w:r>
        <w:rPr>
          <w:color w:val="231F20"/>
          <w:w w:val="105"/>
        </w:rPr>
        <w:t>others,</w:t>
      </w:r>
      <w:r>
        <w:rPr>
          <w:color w:val="231F20"/>
          <w:spacing w:val="-19"/>
          <w:w w:val="105"/>
        </w:rPr>
        <w:t> </w:t>
      </w:r>
      <w:r>
        <w:rPr>
          <w:color w:val="231F20"/>
          <w:w w:val="105"/>
        </w:rPr>
        <w:t>and</w:t>
      </w:r>
      <w:r>
        <w:rPr>
          <w:color w:val="231F20"/>
          <w:spacing w:val="-14"/>
          <w:w w:val="105"/>
        </w:rPr>
        <w:t> </w:t>
      </w:r>
      <w:r>
        <w:rPr>
          <w:color w:val="231F20"/>
          <w:w w:val="105"/>
        </w:rPr>
        <w:t>finally</w:t>
      </w:r>
      <w:r>
        <w:rPr>
          <w:color w:val="231F20"/>
          <w:spacing w:val="-14"/>
          <w:w w:val="105"/>
        </w:rPr>
        <w:t> </w:t>
      </w:r>
      <w:r>
        <w:rPr>
          <w:color w:val="231F20"/>
          <w:w w:val="105"/>
        </w:rPr>
        <w:t>plans</w:t>
      </w:r>
      <w:r>
        <w:rPr>
          <w:color w:val="231F20"/>
          <w:spacing w:val="-14"/>
          <w:w w:val="105"/>
        </w:rPr>
        <w:t> </w:t>
      </w:r>
      <w:r>
        <w:rPr>
          <w:color w:val="231F20"/>
          <w:w w:val="105"/>
        </w:rPr>
        <w:t>to</w:t>
      </w:r>
      <w:r>
        <w:rPr>
          <w:color w:val="231F20"/>
          <w:spacing w:val="-14"/>
          <w:w w:val="105"/>
        </w:rPr>
        <w:t> </w:t>
      </w:r>
      <w:r>
        <w:rPr>
          <w:color w:val="231F20"/>
          <w:w w:val="105"/>
        </w:rPr>
        <w:t>visit</w:t>
      </w:r>
      <w:r>
        <w:rPr>
          <w:color w:val="231F20"/>
          <w:spacing w:val="-14"/>
          <w:w w:val="105"/>
        </w:rPr>
        <w:t> </w:t>
      </w:r>
      <w:r>
        <w:rPr>
          <w:color w:val="231F20"/>
          <w:w w:val="105"/>
        </w:rPr>
        <w:t>one</w:t>
      </w:r>
      <w:r>
        <w:rPr>
          <w:color w:val="231F20"/>
          <w:spacing w:val="-14"/>
          <w:w w:val="105"/>
        </w:rPr>
        <w:t> </w:t>
      </w:r>
      <w:r>
        <w:rPr>
          <w:color w:val="231F20"/>
          <w:w w:val="105"/>
        </w:rPr>
        <w:t>another.</w:t>
      </w:r>
    </w:p>
    <w:p>
      <w:pPr>
        <w:pStyle w:val="BodyText"/>
        <w:rPr>
          <w:sz w:val="20"/>
        </w:rPr>
      </w:pPr>
    </w:p>
    <w:p>
      <w:pPr>
        <w:pStyle w:val="BodyText"/>
        <w:rPr>
          <w:sz w:val="20"/>
        </w:rPr>
      </w:pPr>
    </w:p>
    <w:p>
      <w:pPr>
        <w:pStyle w:val="BodyText"/>
        <w:rPr>
          <w:sz w:val="20"/>
        </w:rPr>
      </w:pPr>
    </w:p>
    <w:p>
      <w:pPr>
        <w:pStyle w:val="BodyText"/>
        <w:spacing w:before="11"/>
        <w:rPr>
          <w:sz w:val="25"/>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47160" from="131.551193pt,3.703715pt" to="131.551193pt,39.506114pt" stroked="true" strokeweight=".35pt" strokecolor="#231f20">
            <w10:wrap type="none"/>
          </v:line>
        </w:pict>
      </w:r>
      <w:r>
        <w:rPr/>
        <w:pict>
          <v:line style="position:absolute;mso-position-horizontal-relative:page;mso-position-vertical-relative:paragraph;z-index:-447088" from="15pt,39.505917pt" to="0pt,39.505917pt" stroked="true" strokeweight=".25pt" strokecolor="#000000">
            <w10:wrap type="none"/>
          </v:line>
        </w:pict>
      </w:r>
      <w:r>
        <w:rPr/>
        <w:pict>
          <v:line style="position:absolute;mso-position-horizontal-relative:page;mso-position-vertical-relative:paragraph;z-index:43120" from="508.890015pt,39.505917pt" to="523.890015pt,39.505917pt" stroked="true" strokeweight=".25pt" strokecolor="#000000">
            <w10:wrap type="none"/>
          </v:line>
        </w:pict>
      </w:r>
      <w:r>
        <w:rPr>
          <w:rFonts w:ascii="Arial"/>
          <w:color w:val="414042"/>
          <w:position w:val="-5"/>
          <w:sz w:val="20"/>
        </w:rPr>
        <w:t>366</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3144" from="405.061005pt,-27.904295pt" to="405.061005pt,6.961579pt" stroked="true" strokeweight=".35pt" strokecolor="#231f20">
            <w10:wrap type="none"/>
          </v:line>
        </w:pict>
      </w:r>
      <w:r>
        <w:rPr/>
        <w:pict>
          <v:line style="position:absolute;mso-position-horizontal-relative:page;mso-position-vertical-relative:paragraph;z-index:43168" from="15pt,-27.90452pt" to="0pt,-27.90452pt" stroked="true" strokeweight=".25pt" strokecolor="#000000">
            <w10:wrap type="none"/>
          </v:line>
        </w:pict>
      </w:r>
      <w:r>
        <w:rPr/>
        <w:pict>
          <v:line style="position:absolute;mso-position-horizontal-relative:page;mso-position-vertical-relative:paragraph;z-index:4319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367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5"/>
        <w:jc w:val="both"/>
      </w:pPr>
      <w:r>
        <w:rPr>
          <w:color w:val="231F20"/>
          <w:w w:val="105"/>
        </w:rPr>
        <w:t>However,</w:t>
      </w:r>
      <w:r>
        <w:rPr>
          <w:color w:val="231F20"/>
          <w:spacing w:val="-32"/>
          <w:w w:val="105"/>
        </w:rPr>
        <w:t> </w:t>
      </w:r>
      <w:r>
        <w:rPr>
          <w:color w:val="231F20"/>
          <w:w w:val="105"/>
        </w:rPr>
        <w:t>again,</w:t>
      </w:r>
      <w:r>
        <w:rPr>
          <w:color w:val="231F20"/>
          <w:spacing w:val="-32"/>
          <w:w w:val="105"/>
        </w:rPr>
        <w:t> </w:t>
      </w:r>
      <w:r>
        <w:rPr>
          <w:color w:val="231F20"/>
          <w:w w:val="105"/>
        </w:rPr>
        <w:t>there</w:t>
      </w:r>
      <w:r>
        <w:rPr>
          <w:color w:val="231F20"/>
          <w:spacing w:val="-28"/>
          <w:w w:val="105"/>
        </w:rPr>
        <w:t> </w:t>
      </w:r>
      <w:r>
        <w:rPr>
          <w:color w:val="231F20"/>
          <w:w w:val="105"/>
        </w:rPr>
        <w:t>are</w:t>
      </w:r>
      <w:r>
        <w:rPr>
          <w:color w:val="231F20"/>
          <w:spacing w:val="-28"/>
          <w:w w:val="105"/>
        </w:rPr>
        <w:t> </w:t>
      </w:r>
      <w:r>
        <w:rPr>
          <w:color w:val="231F20"/>
          <w:w w:val="105"/>
        </w:rPr>
        <w:t>also</w:t>
      </w:r>
      <w:r>
        <w:rPr>
          <w:color w:val="231F20"/>
          <w:spacing w:val="-28"/>
          <w:w w:val="105"/>
        </w:rPr>
        <w:t> </w:t>
      </w:r>
      <w:r>
        <w:rPr>
          <w:color w:val="231F20"/>
          <w:w w:val="105"/>
        </w:rPr>
        <w:t>posts</w:t>
      </w:r>
      <w:r>
        <w:rPr>
          <w:color w:val="231F20"/>
          <w:spacing w:val="-28"/>
          <w:w w:val="105"/>
        </w:rPr>
        <w:t> </w:t>
      </w:r>
      <w:r>
        <w:rPr>
          <w:color w:val="231F20"/>
          <w:w w:val="105"/>
        </w:rPr>
        <w:t>that</w:t>
      </w:r>
      <w:r>
        <w:rPr>
          <w:color w:val="231F20"/>
          <w:spacing w:val="-28"/>
          <w:w w:val="105"/>
        </w:rPr>
        <w:t> </w:t>
      </w:r>
      <w:r>
        <w:rPr>
          <w:color w:val="231F20"/>
          <w:w w:val="105"/>
        </w:rPr>
        <w:t>transcend</w:t>
      </w:r>
      <w:r>
        <w:rPr>
          <w:color w:val="231F20"/>
          <w:spacing w:val="-28"/>
          <w:w w:val="105"/>
        </w:rPr>
        <w:t> </w:t>
      </w:r>
      <w:r>
        <w:rPr>
          <w:color w:val="231F20"/>
          <w:w w:val="105"/>
        </w:rPr>
        <w:t>physical</w:t>
      </w:r>
      <w:r>
        <w:rPr>
          <w:color w:val="231F20"/>
          <w:spacing w:val="-28"/>
          <w:w w:val="105"/>
        </w:rPr>
        <w:t> </w:t>
      </w:r>
      <w:r>
        <w:rPr>
          <w:color w:val="231F20"/>
          <w:w w:val="105"/>
        </w:rPr>
        <w:t>distance</w:t>
      </w:r>
      <w:r>
        <w:rPr>
          <w:color w:val="231F20"/>
          <w:spacing w:val="-28"/>
          <w:w w:val="105"/>
        </w:rPr>
        <w:t> </w:t>
      </w:r>
      <w:r>
        <w:rPr>
          <w:color w:val="231F20"/>
          <w:w w:val="105"/>
        </w:rPr>
        <w:t>and bring members together in a single transnational space on Facebook, integrating knowledge of activities and places in both countries. The following</w:t>
      </w:r>
      <w:r>
        <w:rPr>
          <w:color w:val="231F20"/>
          <w:spacing w:val="-8"/>
          <w:w w:val="105"/>
        </w:rPr>
        <w:t> </w:t>
      </w:r>
      <w:r>
        <w:rPr>
          <w:color w:val="231F20"/>
          <w:w w:val="105"/>
        </w:rPr>
        <w:t>example,</w:t>
      </w:r>
      <w:r>
        <w:rPr>
          <w:color w:val="231F20"/>
          <w:spacing w:val="-12"/>
          <w:w w:val="105"/>
        </w:rPr>
        <w:t> </w:t>
      </w:r>
      <w:r>
        <w:rPr>
          <w:color w:val="231F20"/>
          <w:w w:val="105"/>
        </w:rPr>
        <w:t>Conversation</w:t>
      </w:r>
      <w:r>
        <w:rPr>
          <w:color w:val="231F20"/>
          <w:spacing w:val="-8"/>
          <w:w w:val="105"/>
        </w:rPr>
        <w:t> </w:t>
      </w:r>
      <w:r>
        <w:rPr>
          <w:color w:val="231F20"/>
          <w:w w:val="105"/>
        </w:rPr>
        <w:t>6,</w:t>
      </w:r>
      <w:r>
        <w:rPr>
          <w:color w:val="231F20"/>
          <w:spacing w:val="-12"/>
          <w:w w:val="105"/>
        </w:rPr>
        <w:t> </w:t>
      </w:r>
      <w:r>
        <w:rPr>
          <w:color w:val="231F20"/>
          <w:w w:val="105"/>
        </w:rPr>
        <w:t>“</w:t>
      </w:r>
      <w:r>
        <w:rPr>
          <w:rFonts w:ascii="Arial" w:hAnsi="Arial"/>
          <w:i/>
          <w:color w:val="231F20"/>
          <w:w w:val="105"/>
        </w:rPr>
        <w:t>Fiestas</w:t>
      </w:r>
      <w:r>
        <w:rPr>
          <w:rFonts w:ascii="Arial" w:hAnsi="Arial"/>
          <w:i/>
          <w:color w:val="231F20"/>
          <w:spacing w:val="-11"/>
          <w:w w:val="105"/>
        </w:rPr>
        <w:t> </w:t>
      </w:r>
      <w:r>
        <w:rPr>
          <w:rFonts w:ascii="Arial" w:hAnsi="Arial"/>
          <w:i/>
          <w:color w:val="231F20"/>
          <w:w w:val="105"/>
        </w:rPr>
        <w:t>en</w:t>
      </w:r>
      <w:r>
        <w:rPr>
          <w:rFonts w:ascii="Arial" w:hAnsi="Arial"/>
          <w:i/>
          <w:color w:val="231F20"/>
          <w:spacing w:val="-15"/>
          <w:w w:val="105"/>
        </w:rPr>
        <w:t> </w:t>
      </w:r>
      <w:r>
        <w:rPr>
          <w:rFonts w:ascii="Arial" w:hAnsi="Arial"/>
          <w:i/>
          <w:color w:val="231F20"/>
          <w:spacing w:val="-3"/>
          <w:w w:val="105"/>
        </w:rPr>
        <w:t>Tocumbo</w:t>
      </w:r>
      <w:r>
        <w:rPr>
          <w:color w:val="231F20"/>
          <w:spacing w:val="-3"/>
          <w:w w:val="105"/>
        </w:rPr>
        <w:t>”</w:t>
      </w:r>
      <w:r>
        <w:rPr>
          <w:color w:val="231F20"/>
          <w:spacing w:val="-8"/>
          <w:w w:val="105"/>
        </w:rPr>
        <w:t> </w:t>
      </w:r>
      <w:r>
        <w:rPr>
          <w:color w:val="231F20"/>
          <w:w w:val="105"/>
        </w:rPr>
        <w:t>[Parties</w:t>
      </w:r>
      <w:r>
        <w:rPr>
          <w:color w:val="231F20"/>
          <w:spacing w:val="-8"/>
          <w:w w:val="105"/>
        </w:rPr>
        <w:t> </w:t>
      </w:r>
      <w:r>
        <w:rPr>
          <w:color w:val="231F20"/>
          <w:w w:val="105"/>
        </w:rPr>
        <w:t>in</w:t>
      </w:r>
      <w:r>
        <w:rPr>
          <w:color w:val="231F20"/>
          <w:spacing w:val="-12"/>
          <w:w w:val="105"/>
        </w:rPr>
        <w:t> </w:t>
      </w:r>
      <w:r>
        <w:rPr>
          <w:color w:val="231F20"/>
          <w:spacing w:val="-7"/>
          <w:w w:val="105"/>
        </w:rPr>
        <w:t>To- </w:t>
      </w:r>
      <w:r>
        <w:rPr>
          <w:color w:val="231F20"/>
          <w:w w:val="105"/>
        </w:rPr>
        <w:t>cumbo],</w:t>
      </w:r>
      <w:r>
        <w:rPr>
          <w:color w:val="231F20"/>
          <w:spacing w:val="-19"/>
          <w:w w:val="105"/>
        </w:rPr>
        <w:t> </w:t>
      </w:r>
      <w:r>
        <w:rPr>
          <w:color w:val="231F20"/>
          <w:w w:val="105"/>
        </w:rPr>
        <w:t>illustrates</w:t>
      </w:r>
      <w:r>
        <w:rPr>
          <w:color w:val="231F20"/>
          <w:spacing w:val="-12"/>
          <w:w w:val="105"/>
        </w:rPr>
        <w:t> </w:t>
      </w:r>
      <w:r>
        <w:rPr>
          <w:color w:val="231F20"/>
          <w:w w:val="105"/>
        </w:rPr>
        <w:t>how</w:t>
      </w:r>
      <w:r>
        <w:rPr>
          <w:color w:val="231F20"/>
          <w:spacing w:val="-12"/>
          <w:w w:val="105"/>
        </w:rPr>
        <w:t> </w:t>
      </w:r>
      <w:r>
        <w:rPr>
          <w:color w:val="231F20"/>
          <w:w w:val="105"/>
        </w:rPr>
        <w:t>for</w:t>
      </w:r>
      <w:r>
        <w:rPr>
          <w:color w:val="231F20"/>
          <w:spacing w:val="-12"/>
          <w:w w:val="105"/>
        </w:rPr>
        <w:t> </w:t>
      </w:r>
      <w:r>
        <w:rPr>
          <w:color w:val="231F20"/>
          <w:w w:val="105"/>
        </w:rPr>
        <w:t>the</w:t>
      </w:r>
      <w:r>
        <w:rPr>
          <w:color w:val="231F20"/>
          <w:spacing w:val="-12"/>
          <w:w w:val="105"/>
        </w:rPr>
        <w:t> </w:t>
      </w:r>
      <w:r>
        <w:rPr>
          <w:color w:val="231F20"/>
          <w:w w:val="105"/>
        </w:rPr>
        <w:t>participation</w:t>
      </w:r>
      <w:r>
        <w:rPr>
          <w:color w:val="231F20"/>
          <w:spacing w:val="-12"/>
          <w:w w:val="105"/>
        </w:rPr>
        <w:t> </w:t>
      </w:r>
      <w:r>
        <w:rPr>
          <w:color w:val="231F20"/>
          <w:w w:val="105"/>
        </w:rPr>
        <w:t>to</w:t>
      </w:r>
      <w:r>
        <w:rPr>
          <w:color w:val="231F20"/>
          <w:spacing w:val="-12"/>
          <w:w w:val="105"/>
        </w:rPr>
        <w:t> </w:t>
      </w:r>
      <w:r>
        <w:rPr>
          <w:color w:val="231F20"/>
          <w:w w:val="105"/>
        </w:rPr>
        <w:t>be</w:t>
      </w:r>
      <w:r>
        <w:rPr>
          <w:color w:val="231F20"/>
          <w:spacing w:val="-12"/>
          <w:w w:val="105"/>
        </w:rPr>
        <w:t> </w:t>
      </w:r>
      <w:r>
        <w:rPr>
          <w:color w:val="231F20"/>
          <w:w w:val="105"/>
        </w:rPr>
        <w:t>transnational</w:t>
      </w:r>
      <w:r>
        <w:rPr>
          <w:color w:val="231F20"/>
          <w:spacing w:val="-12"/>
          <w:w w:val="105"/>
        </w:rPr>
        <w:t> </w:t>
      </w:r>
      <w:r>
        <w:rPr>
          <w:color w:val="231F20"/>
          <w:w w:val="105"/>
        </w:rPr>
        <w:t>members have</w:t>
      </w:r>
      <w:r>
        <w:rPr>
          <w:color w:val="231F20"/>
          <w:spacing w:val="-4"/>
          <w:w w:val="105"/>
        </w:rPr>
        <w:t> </w:t>
      </w:r>
      <w:r>
        <w:rPr>
          <w:color w:val="231F20"/>
          <w:w w:val="105"/>
        </w:rPr>
        <w:t>to</w:t>
      </w:r>
      <w:r>
        <w:rPr>
          <w:color w:val="231F20"/>
          <w:spacing w:val="-4"/>
          <w:w w:val="105"/>
        </w:rPr>
        <w:t> </w:t>
      </w:r>
      <w:r>
        <w:rPr>
          <w:color w:val="231F20"/>
          <w:w w:val="105"/>
        </w:rPr>
        <w:t>display</w:t>
      </w:r>
      <w:r>
        <w:rPr>
          <w:color w:val="231F20"/>
          <w:spacing w:val="-4"/>
          <w:w w:val="105"/>
        </w:rPr>
        <w:t> </w:t>
      </w:r>
      <w:r>
        <w:rPr>
          <w:color w:val="231F20"/>
          <w:w w:val="105"/>
        </w:rPr>
        <w:t>knowledge</w:t>
      </w:r>
      <w:r>
        <w:rPr>
          <w:color w:val="231F20"/>
          <w:spacing w:val="-4"/>
          <w:w w:val="105"/>
        </w:rPr>
        <w:t> </w:t>
      </w:r>
      <w:r>
        <w:rPr>
          <w:color w:val="231F20"/>
          <w:w w:val="105"/>
        </w:rPr>
        <w:t>of</w:t>
      </w:r>
      <w:r>
        <w:rPr>
          <w:color w:val="231F20"/>
          <w:spacing w:val="1"/>
          <w:w w:val="105"/>
        </w:rPr>
        <w:t> </w:t>
      </w:r>
      <w:r>
        <w:rPr>
          <w:color w:val="231F20"/>
          <w:w w:val="105"/>
        </w:rPr>
        <w:t>activities</w:t>
      </w:r>
      <w:r>
        <w:rPr>
          <w:color w:val="231F20"/>
          <w:spacing w:val="-4"/>
          <w:w w:val="105"/>
        </w:rPr>
        <w:t> </w:t>
      </w:r>
      <w:r>
        <w:rPr>
          <w:color w:val="231F20"/>
          <w:w w:val="105"/>
        </w:rPr>
        <w:t>in</w:t>
      </w:r>
      <w:r>
        <w:rPr>
          <w:color w:val="231F20"/>
          <w:spacing w:val="-4"/>
          <w:w w:val="105"/>
        </w:rPr>
        <w:t> </w:t>
      </w:r>
      <w:r>
        <w:rPr>
          <w:color w:val="231F20"/>
          <w:w w:val="105"/>
        </w:rPr>
        <w:t>the</w:t>
      </w:r>
      <w:r>
        <w:rPr>
          <w:color w:val="231F20"/>
          <w:spacing w:val="-4"/>
          <w:w w:val="105"/>
        </w:rPr>
        <w:t> </w:t>
      </w:r>
      <w:r>
        <w:rPr>
          <w:color w:val="231F20"/>
          <w:w w:val="105"/>
        </w:rPr>
        <w:t>other</w:t>
      </w:r>
      <w:r>
        <w:rPr>
          <w:color w:val="231F20"/>
          <w:spacing w:val="-4"/>
          <w:w w:val="105"/>
        </w:rPr>
        <w:t> </w:t>
      </w:r>
      <w:r>
        <w:rPr>
          <w:color w:val="231F20"/>
          <w:w w:val="105"/>
        </w:rPr>
        <w:t>country.</w:t>
      </w:r>
      <w:r>
        <w:rPr>
          <w:color w:val="231F20"/>
          <w:spacing w:val="-10"/>
          <w:w w:val="105"/>
        </w:rPr>
        <w:t> </w:t>
      </w:r>
      <w:r>
        <w:rPr>
          <w:color w:val="231F20"/>
          <w:w w:val="105"/>
        </w:rPr>
        <w:t>In</w:t>
      </w:r>
      <w:r>
        <w:rPr>
          <w:color w:val="231F20"/>
          <w:spacing w:val="-4"/>
          <w:w w:val="105"/>
        </w:rPr>
        <w:t> </w:t>
      </w:r>
      <w:r>
        <w:rPr>
          <w:color w:val="231F20"/>
          <w:w w:val="105"/>
        </w:rPr>
        <w:t>this</w:t>
      </w:r>
      <w:r>
        <w:rPr>
          <w:color w:val="231F20"/>
          <w:spacing w:val="-4"/>
          <w:w w:val="105"/>
        </w:rPr>
        <w:t> </w:t>
      </w:r>
      <w:r>
        <w:rPr>
          <w:color w:val="231F20"/>
          <w:w w:val="105"/>
        </w:rPr>
        <w:t>case, such knowledge enables the participants to give suggestions. Cosme had</w:t>
      </w:r>
      <w:r>
        <w:rPr>
          <w:color w:val="231F20"/>
          <w:spacing w:val="-19"/>
          <w:w w:val="105"/>
        </w:rPr>
        <w:t> </w:t>
      </w:r>
      <w:r>
        <w:rPr>
          <w:color w:val="231F20"/>
          <w:w w:val="105"/>
        </w:rPr>
        <w:t>gone</w:t>
      </w:r>
      <w:r>
        <w:rPr>
          <w:color w:val="231F20"/>
          <w:spacing w:val="-19"/>
          <w:w w:val="105"/>
        </w:rPr>
        <w:t> </w:t>
      </w:r>
      <w:r>
        <w:rPr>
          <w:color w:val="231F20"/>
          <w:w w:val="105"/>
        </w:rPr>
        <w:t>to</w:t>
      </w:r>
      <w:r>
        <w:rPr>
          <w:color w:val="231F20"/>
          <w:spacing w:val="-19"/>
          <w:w w:val="105"/>
        </w:rPr>
        <w:t> </w:t>
      </w:r>
      <w:r>
        <w:rPr>
          <w:color w:val="231F20"/>
          <w:w w:val="105"/>
        </w:rPr>
        <w:t>Mexico</w:t>
      </w:r>
      <w:r>
        <w:rPr>
          <w:color w:val="231F20"/>
          <w:spacing w:val="-19"/>
          <w:w w:val="105"/>
        </w:rPr>
        <w:t> </w:t>
      </w:r>
      <w:r>
        <w:rPr>
          <w:color w:val="231F20"/>
          <w:w w:val="105"/>
        </w:rPr>
        <w:t>for</w:t>
      </w:r>
      <w:r>
        <w:rPr>
          <w:color w:val="231F20"/>
          <w:spacing w:val="-19"/>
          <w:w w:val="105"/>
        </w:rPr>
        <w:t> </w:t>
      </w:r>
      <w:r>
        <w:rPr>
          <w:color w:val="231F20"/>
          <w:w w:val="105"/>
        </w:rPr>
        <w:t>his</w:t>
      </w:r>
      <w:r>
        <w:rPr>
          <w:color w:val="231F20"/>
          <w:spacing w:val="-19"/>
          <w:w w:val="105"/>
        </w:rPr>
        <w:t> </w:t>
      </w:r>
      <w:r>
        <w:rPr>
          <w:color w:val="231F20"/>
          <w:w w:val="105"/>
        </w:rPr>
        <w:t>summer</w:t>
      </w:r>
      <w:r>
        <w:rPr>
          <w:color w:val="231F20"/>
          <w:spacing w:val="-19"/>
          <w:w w:val="105"/>
        </w:rPr>
        <w:t> </w:t>
      </w:r>
      <w:r>
        <w:rPr>
          <w:color w:val="231F20"/>
          <w:w w:val="105"/>
        </w:rPr>
        <w:t>vacation</w:t>
      </w:r>
      <w:r>
        <w:rPr>
          <w:color w:val="231F20"/>
          <w:spacing w:val="-19"/>
          <w:w w:val="105"/>
        </w:rPr>
        <w:t> </w:t>
      </w:r>
      <w:r>
        <w:rPr>
          <w:color w:val="231F20"/>
          <w:w w:val="105"/>
        </w:rPr>
        <w:t>and</w:t>
      </w:r>
      <w:r>
        <w:rPr>
          <w:color w:val="231F20"/>
          <w:spacing w:val="-19"/>
          <w:w w:val="105"/>
        </w:rPr>
        <w:t> </w:t>
      </w:r>
      <w:r>
        <w:rPr>
          <w:color w:val="231F20"/>
          <w:w w:val="105"/>
        </w:rPr>
        <w:t>was</w:t>
      </w:r>
      <w:r>
        <w:rPr>
          <w:color w:val="231F20"/>
          <w:spacing w:val="-19"/>
          <w:w w:val="105"/>
        </w:rPr>
        <w:t> </w:t>
      </w:r>
      <w:r>
        <w:rPr>
          <w:color w:val="231F20"/>
          <w:w w:val="105"/>
        </w:rPr>
        <w:t>partially</w:t>
      </w:r>
      <w:r>
        <w:rPr>
          <w:color w:val="231F20"/>
          <w:spacing w:val="-19"/>
          <w:w w:val="105"/>
        </w:rPr>
        <w:t> </w:t>
      </w:r>
      <w:r>
        <w:rPr>
          <w:color w:val="231F20"/>
          <w:w w:val="105"/>
        </w:rPr>
        <w:t>sharing</w:t>
      </w:r>
      <w:r>
        <w:rPr>
          <w:color w:val="231F20"/>
          <w:spacing w:val="-19"/>
          <w:w w:val="105"/>
        </w:rPr>
        <w:t> </w:t>
      </w:r>
      <w:r>
        <w:rPr>
          <w:color w:val="231F20"/>
          <w:w w:val="105"/>
        </w:rPr>
        <w:t>his party</w:t>
      </w:r>
      <w:r>
        <w:rPr>
          <w:color w:val="231F20"/>
          <w:spacing w:val="-13"/>
          <w:w w:val="105"/>
        </w:rPr>
        <w:t> </w:t>
      </w:r>
      <w:r>
        <w:rPr>
          <w:color w:val="231F20"/>
          <w:w w:val="105"/>
        </w:rPr>
        <w:t>schedule</w:t>
      </w:r>
      <w:r>
        <w:rPr>
          <w:color w:val="231F20"/>
          <w:spacing w:val="-13"/>
          <w:w w:val="105"/>
        </w:rPr>
        <w:t> </w:t>
      </w:r>
      <w:r>
        <w:rPr>
          <w:color w:val="231F20"/>
          <w:w w:val="105"/>
        </w:rPr>
        <w:t>(e.g.</w:t>
      </w:r>
      <w:r>
        <w:rPr>
          <w:color w:val="231F20"/>
          <w:spacing w:val="-18"/>
          <w:w w:val="105"/>
        </w:rPr>
        <w:t> </w:t>
      </w:r>
      <w:r>
        <w:rPr>
          <w:color w:val="231F20"/>
          <w:w w:val="105"/>
        </w:rPr>
        <w:t>to</w:t>
      </w:r>
      <w:r>
        <w:rPr>
          <w:color w:val="231F20"/>
          <w:spacing w:val="-13"/>
          <w:w w:val="105"/>
        </w:rPr>
        <w:t> </w:t>
      </w:r>
      <w:r>
        <w:rPr>
          <w:color w:val="231F20"/>
          <w:w w:val="105"/>
        </w:rPr>
        <w:t>show</w:t>
      </w:r>
      <w:r>
        <w:rPr>
          <w:color w:val="231F20"/>
          <w:spacing w:val="-13"/>
          <w:w w:val="105"/>
        </w:rPr>
        <w:t> </w:t>
      </w:r>
      <w:r>
        <w:rPr>
          <w:color w:val="231F20"/>
          <w:w w:val="105"/>
        </w:rPr>
        <w:t>off</w:t>
      </w:r>
      <w:r>
        <w:rPr>
          <w:color w:val="231F20"/>
          <w:spacing w:val="-9"/>
          <w:w w:val="105"/>
        </w:rPr>
        <w:t> </w:t>
      </w:r>
      <w:r>
        <w:rPr>
          <w:color w:val="231F20"/>
          <w:w w:val="105"/>
        </w:rPr>
        <w:t>what</w:t>
      </w:r>
      <w:r>
        <w:rPr>
          <w:color w:val="231F20"/>
          <w:spacing w:val="-13"/>
          <w:w w:val="105"/>
        </w:rPr>
        <w:t> </w:t>
      </w:r>
      <w:r>
        <w:rPr>
          <w:color w:val="231F20"/>
          <w:w w:val="105"/>
        </w:rPr>
        <w:t>a</w:t>
      </w:r>
      <w:r>
        <w:rPr>
          <w:color w:val="231F20"/>
          <w:spacing w:val="-13"/>
          <w:w w:val="105"/>
        </w:rPr>
        <w:t> </w:t>
      </w:r>
      <w:r>
        <w:rPr>
          <w:color w:val="231F20"/>
          <w:w w:val="105"/>
        </w:rPr>
        <w:t>good</w:t>
      </w:r>
      <w:r>
        <w:rPr>
          <w:color w:val="231F20"/>
          <w:spacing w:val="-13"/>
          <w:w w:val="105"/>
        </w:rPr>
        <w:t> </w:t>
      </w:r>
      <w:r>
        <w:rPr>
          <w:color w:val="231F20"/>
          <w:w w:val="105"/>
        </w:rPr>
        <w:t>time</w:t>
      </w:r>
      <w:r>
        <w:rPr>
          <w:color w:val="231F20"/>
          <w:spacing w:val="-13"/>
          <w:w w:val="105"/>
        </w:rPr>
        <w:t> </w:t>
      </w:r>
      <w:r>
        <w:rPr>
          <w:color w:val="231F20"/>
          <w:w w:val="105"/>
        </w:rPr>
        <w:t>he</w:t>
      </w:r>
      <w:r>
        <w:rPr>
          <w:color w:val="231F20"/>
          <w:spacing w:val="-13"/>
          <w:w w:val="105"/>
        </w:rPr>
        <w:t> </w:t>
      </w:r>
      <w:r>
        <w:rPr>
          <w:color w:val="231F20"/>
          <w:w w:val="105"/>
        </w:rPr>
        <w:t>was</w:t>
      </w:r>
      <w:r>
        <w:rPr>
          <w:color w:val="231F20"/>
          <w:spacing w:val="-13"/>
          <w:w w:val="105"/>
        </w:rPr>
        <w:t> </w:t>
      </w:r>
      <w:r>
        <w:rPr>
          <w:color w:val="231F20"/>
          <w:w w:val="105"/>
        </w:rPr>
        <w:t>having).</w:t>
      </w:r>
      <w:r>
        <w:rPr>
          <w:color w:val="231F20"/>
          <w:spacing w:val="-18"/>
          <w:w w:val="105"/>
        </w:rPr>
        <w:t> </w:t>
      </w:r>
      <w:r>
        <w:rPr>
          <w:color w:val="231F20"/>
          <w:w w:val="105"/>
        </w:rPr>
        <w:t>Lola,</w:t>
      </w:r>
      <w:r>
        <w:rPr>
          <w:color w:val="231F20"/>
          <w:spacing w:val="-18"/>
          <w:w w:val="105"/>
        </w:rPr>
        <w:t> </w:t>
      </w:r>
      <w:r>
        <w:rPr>
          <w:color w:val="231F20"/>
          <w:w w:val="105"/>
        </w:rPr>
        <w:t>a cousin</w:t>
      </w:r>
      <w:r>
        <w:rPr>
          <w:color w:val="231F20"/>
          <w:spacing w:val="-7"/>
          <w:w w:val="105"/>
        </w:rPr>
        <w:t> </w:t>
      </w:r>
      <w:r>
        <w:rPr>
          <w:color w:val="231F20"/>
          <w:w w:val="105"/>
        </w:rPr>
        <w:t>in</w:t>
      </w:r>
      <w:r>
        <w:rPr>
          <w:color w:val="231F20"/>
          <w:spacing w:val="-7"/>
          <w:w w:val="105"/>
        </w:rPr>
        <w:t> </w:t>
      </w:r>
      <w:r>
        <w:rPr>
          <w:color w:val="231F20"/>
          <w:w w:val="105"/>
        </w:rPr>
        <w:t>Mexico,</w:t>
      </w:r>
      <w:r>
        <w:rPr>
          <w:color w:val="231F20"/>
          <w:spacing w:val="-13"/>
          <w:w w:val="105"/>
        </w:rPr>
        <w:t> </w:t>
      </w:r>
      <w:r>
        <w:rPr>
          <w:color w:val="231F20"/>
          <w:w w:val="105"/>
        </w:rPr>
        <w:t>wants</w:t>
      </w:r>
      <w:r>
        <w:rPr>
          <w:color w:val="231F20"/>
          <w:spacing w:val="-7"/>
          <w:w w:val="105"/>
        </w:rPr>
        <w:t> </w:t>
      </w:r>
      <w:r>
        <w:rPr>
          <w:color w:val="231F20"/>
          <w:w w:val="105"/>
        </w:rPr>
        <w:t>to</w:t>
      </w:r>
      <w:r>
        <w:rPr>
          <w:color w:val="231F20"/>
          <w:spacing w:val="-7"/>
          <w:w w:val="105"/>
        </w:rPr>
        <w:t> </w:t>
      </w:r>
      <w:r>
        <w:rPr>
          <w:color w:val="231F20"/>
          <w:w w:val="105"/>
        </w:rPr>
        <w:t>join</w:t>
      </w:r>
      <w:r>
        <w:rPr>
          <w:color w:val="231F20"/>
          <w:spacing w:val="-7"/>
          <w:w w:val="105"/>
        </w:rPr>
        <w:t> </w:t>
      </w:r>
      <w:r>
        <w:rPr>
          <w:color w:val="231F20"/>
          <w:w w:val="105"/>
        </w:rPr>
        <w:t>them</w:t>
      </w:r>
      <w:r>
        <w:rPr>
          <w:color w:val="231F20"/>
          <w:spacing w:val="-7"/>
          <w:w w:val="105"/>
        </w:rPr>
        <w:t> </w:t>
      </w:r>
      <w:r>
        <w:rPr>
          <w:color w:val="231F20"/>
          <w:w w:val="105"/>
        </w:rPr>
        <w:t>at</w:t>
      </w:r>
      <w:r>
        <w:rPr>
          <w:color w:val="231F20"/>
          <w:spacing w:val="-7"/>
          <w:w w:val="105"/>
        </w:rPr>
        <w:t> </w:t>
      </w:r>
      <w:r>
        <w:rPr>
          <w:color w:val="231F20"/>
          <w:w w:val="105"/>
        </w:rPr>
        <w:t>their</w:t>
      </w:r>
      <w:r>
        <w:rPr>
          <w:color w:val="231F20"/>
          <w:spacing w:val="-7"/>
          <w:w w:val="105"/>
        </w:rPr>
        <w:t> </w:t>
      </w:r>
      <w:r>
        <w:rPr>
          <w:color w:val="231F20"/>
          <w:w w:val="105"/>
        </w:rPr>
        <w:t>next</w:t>
      </w:r>
      <w:r>
        <w:rPr>
          <w:color w:val="231F20"/>
          <w:spacing w:val="-7"/>
          <w:w w:val="105"/>
        </w:rPr>
        <w:t> </w:t>
      </w:r>
      <w:r>
        <w:rPr>
          <w:color w:val="231F20"/>
          <w:w w:val="105"/>
        </w:rPr>
        <w:t>outing</w:t>
      </w:r>
      <w:r>
        <w:rPr>
          <w:color w:val="231F20"/>
          <w:spacing w:val="-7"/>
          <w:w w:val="105"/>
        </w:rPr>
        <w:t> </w:t>
      </w:r>
      <w:r>
        <w:rPr>
          <w:color w:val="231F20"/>
          <w:w w:val="105"/>
        </w:rPr>
        <w:t>and</w:t>
      </w:r>
      <w:r>
        <w:rPr>
          <w:color w:val="231F20"/>
          <w:spacing w:val="-7"/>
          <w:w w:val="105"/>
        </w:rPr>
        <w:t> </w:t>
      </w:r>
      <w:r>
        <w:rPr>
          <w:color w:val="231F20"/>
          <w:w w:val="105"/>
        </w:rPr>
        <w:t>asks</w:t>
      </w:r>
      <w:r>
        <w:rPr>
          <w:color w:val="231F20"/>
          <w:spacing w:val="-7"/>
          <w:w w:val="105"/>
        </w:rPr>
        <w:t> </w:t>
      </w:r>
      <w:r>
        <w:rPr>
          <w:color w:val="231F20"/>
          <w:w w:val="105"/>
        </w:rPr>
        <w:t>for</w:t>
      </w:r>
      <w:r>
        <w:rPr>
          <w:color w:val="231F20"/>
          <w:spacing w:val="-7"/>
          <w:w w:val="105"/>
        </w:rPr>
        <w:t> </w:t>
      </w:r>
      <w:r>
        <w:rPr>
          <w:color w:val="231F20"/>
          <w:w w:val="105"/>
        </w:rPr>
        <w:t>the time.</w:t>
      </w:r>
      <w:r>
        <w:rPr>
          <w:color w:val="231F20"/>
          <w:spacing w:val="-9"/>
          <w:w w:val="105"/>
        </w:rPr>
        <w:t> </w:t>
      </w:r>
      <w:r>
        <w:rPr>
          <w:color w:val="231F20"/>
          <w:w w:val="105"/>
        </w:rPr>
        <w:t>However,</w:t>
      </w:r>
      <w:r>
        <w:rPr>
          <w:color w:val="231F20"/>
          <w:spacing w:val="-9"/>
          <w:w w:val="105"/>
        </w:rPr>
        <w:t> </w:t>
      </w:r>
      <w:r>
        <w:rPr>
          <w:color w:val="231F20"/>
          <w:w w:val="105"/>
        </w:rPr>
        <w:t>two</w:t>
      </w:r>
      <w:r>
        <w:rPr>
          <w:color w:val="231F20"/>
          <w:spacing w:val="-3"/>
          <w:w w:val="105"/>
        </w:rPr>
        <w:t> </w:t>
      </w:r>
      <w:r>
        <w:rPr>
          <w:color w:val="231F20"/>
          <w:w w:val="105"/>
        </w:rPr>
        <w:t>people</w:t>
      </w:r>
      <w:r>
        <w:rPr>
          <w:color w:val="231F20"/>
          <w:spacing w:val="-3"/>
          <w:w w:val="105"/>
        </w:rPr>
        <w:t> </w:t>
      </w:r>
      <w:r>
        <w:rPr>
          <w:color w:val="231F20"/>
          <w:w w:val="105"/>
        </w:rPr>
        <w:t>from</w:t>
      </w:r>
      <w:r>
        <w:rPr>
          <w:color w:val="231F20"/>
          <w:spacing w:val="-3"/>
          <w:w w:val="105"/>
        </w:rPr>
        <w:t> </w:t>
      </w:r>
      <w:r>
        <w:rPr>
          <w:color w:val="231F20"/>
          <w:w w:val="105"/>
        </w:rPr>
        <w:t>the</w:t>
      </w:r>
      <w:r>
        <w:rPr>
          <w:color w:val="231F20"/>
          <w:spacing w:val="-3"/>
          <w:w w:val="105"/>
        </w:rPr>
        <w:t> </w:t>
      </w:r>
      <w:r>
        <w:rPr>
          <w:color w:val="231F20"/>
          <w:w w:val="105"/>
        </w:rPr>
        <w:t>U.S.</w:t>
      </w:r>
      <w:r>
        <w:rPr>
          <w:color w:val="231F20"/>
          <w:spacing w:val="-9"/>
          <w:w w:val="105"/>
        </w:rPr>
        <w:t> </w:t>
      </w:r>
      <w:r>
        <w:rPr>
          <w:color w:val="231F20"/>
          <w:w w:val="105"/>
        </w:rPr>
        <w:t>enter</w:t>
      </w:r>
      <w:r>
        <w:rPr>
          <w:color w:val="231F20"/>
          <w:spacing w:val="-3"/>
          <w:w w:val="105"/>
        </w:rPr>
        <w:t> </w:t>
      </w:r>
      <w:r>
        <w:rPr>
          <w:color w:val="231F20"/>
          <w:w w:val="105"/>
        </w:rPr>
        <w:t>the</w:t>
      </w:r>
      <w:r>
        <w:rPr>
          <w:color w:val="231F20"/>
          <w:spacing w:val="-3"/>
          <w:w w:val="105"/>
        </w:rPr>
        <w:t> </w:t>
      </w:r>
      <w:r>
        <w:rPr>
          <w:color w:val="231F20"/>
          <w:w w:val="105"/>
        </w:rPr>
        <w:t>conversation.</w:t>
      </w:r>
      <w:r>
        <w:rPr>
          <w:color w:val="231F20"/>
          <w:spacing w:val="-9"/>
          <w:w w:val="105"/>
        </w:rPr>
        <w:t> </w:t>
      </w:r>
      <w:r>
        <w:rPr>
          <w:color w:val="231F20"/>
          <w:w w:val="105"/>
        </w:rPr>
        <w:t>One</w:t>
      </w:r>
      <w:r>
        <w:rPr>
          <w:color w:val="231F20"/>
          <w:spacing w:val="-3"/>
          <w:w w:val="105"/>
        </w:rPr>
        <w:t> </w:t>
      </w:r>
      <w:r>
        <w:rPr>
          <w:color w:val="231F20"/>
          <w:w w:val="105"/>
        </w:rPr>
        <w:t>of them,</w:t>
      </w:r>
      <w:r>
        <w:rPr>
          <w:color w:val="231F20"/>
          <w:spacing w:val="-17"/>
          <w:w w:val="105"/>
        </w:rPr>
        <w:t> </w:t>
      </w:r>
      <w:r>
        <w:rPr>
          <w:color w:val="231F20"/>
          <w:w w:val="105"/>
        </w:rPr>
        <w:t>Lola,</w:t>
      </w:r>
      <w:r>
        <w:rPr>
          <w:color w:val="231F20"/>
          <w:spacing w:val="-17"/>
          <w:w w:val="105"/>
        </w:rPr>
        <w:t> </w:t>
      </w:r>
      <w:r>
        <w:rPr>
          <w:color w:val="231F20"/>
          <w:w w:val="105"/>
        </w:rPr>
        <w:t>suggests</w:t>
      </w:r>
      <w:r>
        <w:rPr>
          <w:color w:val="231F20"/>
          <w:spacing w:val="-11"/>
          <w:w w:val="105"/>
        </w:rPr>
        <w:t> </w:t>
      </w:r>
      <w:r>
        <w:rPr>
          <w:color w:val="231F20"/>
          <w:w w:val="105"/>
        </w:rPr>
        <w:t>that</w:t>
      </w:r>
      <w:r>
        <w:rPr>
          <w:color w:val="231F20"/>
          <w:spacing w:val="-11"/>
          <w:w w:val="105"/>
        </w:rPr>
        <w:t> </w:t>
      </w:r>
      <w:r>
        <w:rPr>
          <w:color w:val="231F20"/>
          <w:w w:val="105"/>
        </w:rPr>
        <w:t>Cosme</w:t>
      </w:r>
      <w:r>
        <w:rPr>
          <w:color w:val="231F20"/>
          <w:spacing w:val="-11"/>
          <w:w w:val="105"/>
        </w:rPr>
        <w:t> </w:t>
      </w:r>
      <w:r>
        <w:rPr>
          <w:color w:val="231F20"/>
          <w:w w:val="105"/>
        </w:rPr>
        <w:t>attends</w:t>
      </w:r>
      <w:r>
        <w:rPr>
          <w:color w:val="231F20"/>
          <w:spacing w:val="-11"/>
          <w:w w:val="105"/>
        </w:rPr>
        <w:t> </w:t>
      </w:r>
      <w:r>
        <w:rPr>
          <w:color w:val="231F20"/>
          <w:w w:val="105"/>
        </w:rPr>
        <w:t>a</w:t>
      </w:r>
      <w:r>
        <w:rPr>
          <w:color w:val="231F20"/>
          <w:spacing w:val="-11"/>
          <w:w w:val="105"/>
        </w:rPr>
        <w:t> </w:t>
      </w:r>
      <w:r>
        <w:rPr>
          <w:color w:val="231F20"/>
          <w:w w:val="105"/>
        </w:rPr>
        <w:t>particular</w:t>
      </w:r>
      <w:r>
        <w:rPr>
          <w:color w:val="231F20"/>
          <w:spacing w:val="-11"/>
          <w:w w:val="105"/>
        </w:rPr>
        <w:t> </w:t>
      </w:r>
      <w:r>
        <w:rPr>
          <w:color w:val="231F20"/>
          <w:w w:val="105"/>
        </w:rPr>
        <w:t>party,</w:t>
      </w:r>
      <w:r>
        <w:rPr>
          <w:color w:val="231F20"/>
          <w:spacing w:val="-16"/>
          <w:w w:val="105"/>
        </w:rPr>
        <w:t> </w:t>
      </w:r>
      <w:r>
        <w:rPr>
          <w:color w:val="231F20"/>
          <w:w w:val="105"/>
        </w:rPr>
        <w:t>but</w:t>
      </w:r>
      <w:r>
        <w:rPr>
          <w:color w:val="231F20"/>
          <w:spacing w:val="-11"/>
          <w:w w:val="105"/>
        </w:rPr>
        <w:t> </w:t>
      </w:r>
      <w:r>
        <w:rPr>
          <w:color w:val="231F20"/>
          <w:w w:val="105"/>
        </w:rPr>
        <w:t>Cosme’s friend</w:t>
      </w:r>
      <w:r>
        <w:rPr>
          <w:color w:val="231F20"/>
          <w:spacing w:val="-15"/>
          <w:w w:val="105"/>
        </w:rPr>
        <w:t> </w:t>
      </w:r>
      <w:r>
        <w:rPr>
          <w:color w:val="231F20"/>
          <w:w w:val="105"/>
        </w:rPr>
        <w:t>disagrees,</w:t>
      </w:r>
      <w:r>
        <w:rPr>
          <w:color w:val="231F20"/>
          <w:spacing w:val="-20"/>
          <w:w w:val="105"/>
        </w:rPr>
        <w:t> </w:t>
      </w:r>
      <w:r>
        <w:rPr>
          <w:color w:val="231F20"/>
          <w:w w:val="105"/>
        </w:rPr>
        <w:t>stating</w:t>
      </w:r>
      <w:r>
        <w:rPr>
          <w:color w:val="231F20"/>
          <w:spacing w:val="-15"/>
          <w:w w:val="105"/>
        </w:rPr>
        <w:t> </w:t>
      </w:r>
      <w:r>
        <w:rPr>
          <w:color w:val="231F20"/>
          <w:w w:val="105"/>
        </w:rPr>
        <w:t>that</w:t>
      </w:r>
      <w:r>
        <w:rPr>
          <w:color w:val="231F20"/>
          <w:spacing w:val="-15"/>
          <w:w w:val="105"/>
        </w:rPr>
        <w:t> </w:t>
      </w:r>
      <w:r>
        <w:rPr>
          <w:color w:val="231F20"/>
          <w:w w:val="105"/>
        </w:rPr>
        <w:t>Cosme</w:t>
      </w:r>
      <w:r>
        <w:rPr>
          <w:color w:val="231F20"/>
          <w:spacing w:val="-15"/>
          <w:w w:val="105"/>
        </w:rPr>
        <w:t> </w:t>
      </w:r>
      <w:r>
        <w:rPr>
          <w:color w:val="231F20"/>
          <w:w w:val="105"/>
        </w:rPr>
        <w:t>is</w:t>
      </w:r>
      <w:r>
        <w:rPr>
          <w:color w:val="231F20"/>
          <w:spacing w:val="-15"/>
          <w:w w:val="105"/>
        </w:rPr>
        <w:t> </w:t>
      </w:r>
      <w:r>
        <w:rPr>
          <w:color w:val="231F20"/>
          <w:w w:val="105"/>
        </w:rPr>
        <w:t>not</w:t>
      </w:r>
      <w:r>
        <w:rPr>
          <w:color w:val="231F20"/>
          <w:spacing w:val="-15"/>
          <w:w w:val="105"/>
        </w:rPr>
        <w:t> </w:t>
      </w:r>
      <w:r>
        <w:rPr>
          <w:color w:val="231F20"/>
          <w:w w:val="105"/>
        </w:rPr>
        <w:t>ready</w:t>
      </w:r>
      <w:r>
        <w:rPr>
          <w:color w:val="231F20"/>
          <w:spacing w:val="-15"/>
          <w:w w:val="105"/>
        </w:rPr>
        <w:t> </w:t>
      </w:r>
      <w:r>
        <w:rPr>
          <w:color w:val="231F20"/>
          <w:w w:val="105"/>
        </w:rPr>
        <w:t>for</w:t>
      </w:r>
      <w:r>
        <w:rPr>
          <w:color w:val="231F20"/>
          <w:spacing w:val="-15"/>
          <w:w w:val="105"/>
        </w:rPr>
        <w:t> </w:t>
      </w:r>
      <w:r>
        <w:rPr>
          <w:color w:val="231F20"/>
          <w:w w:val="105"/>
        </w:rPr>
        <w:t>that</w:t>
      </w:r>
      <w:r>
        <w:rPr>
          <w:color w:val="231F20"/>
          <w:spacing w:val="-15"/>
          <w:w w:val="105"/>
        </w:rPr>
        <w:t> </w:t>
      </w:r>
      <w:r>
        <w:rPr>
          <w:color w:val="231F20"/>
          <w:w w:val="105"/>
        </w:rPr>
        <w:t>type</w:t>
      </w:r>
      <w:r>
        <w:rPr>
          <w:color w:val="231F20"/>
          <w:spacing w:val="-15"/>
          <w:w w:val="105"/>
        </w:rPr>
        <w:t> </w:t>
      </w:r>
      <w:r>
        <w:rPr>
          <w:color w:val="231F20"/>
          <w:w w:val="105"/>
        </w:rPr>
        <w:t>of</w:t>
      </w:r>
      <w:r>
        <w:rPr>
          <w:color w:val="231F20"/>
          <w:spacing w:val="-10"/>
          <w:w w:val="105"/>
        </w:rPr>
        <w:t> </w:t>
      </w:r>
      <w:r>
        <w:rPr>
          <w:color w:val="231F20"/>
          <w:w w:val="105"/>
        </w:rPr>
        <w:t>partying. Both</w:t>
      </w:r>
      <w:r>
        <w:rPr>
          <w:color w:val="231F20"/>
          <w:spacing w:val="-6"/>
          <w:w w:val="105"/>
        </w:rPr>
        <w:t> </w:t>
      </w:r>
      <w:r>
        <w:rPr>
          <w:color w:val="231F20"/>
          <w:w w:val="105"/>
        </w:rPr>
        <w:t>Linda</w:t>
      </w:r>
      <w:r>
        <w:rPr>
          <w:color w:val="231F20"/>
          <w:spacing w:val="-6"/>
          <w:w w:val="105"/>
        </w:rPr>
        <w:t> </w:t>
      </w:r>
      <w:r>
        <w:rPr>
          <w:color w:val="231F20"/>
          <w:w w:val="105"/>
        </w:rPr>
        <w:t>and</w:t>
      </w:r>
      <w:r>
        <w:rPr>
          <w:color w:val="231F20"/>
          <w:spacing w:val="-6"/>
          <w:w w:val="105"/>
        </w:rPr>
        <w:t> </w:t>
      </w:r>
      <w:r>
        <w:rPr>
          <w:color w:val="231F20"/>
          <w:w w:val="105"/>
        </w:rPr>
        <w:t>the</w:t>
      </w:r>
      <w:r>
        <w:rPr>
          <w:color w:val="231F20"/>
          <w:spacing w:val="-6"/>
          <w:w w:val="105"/>
        </w:rPr>
        <w:t> </w:t>
      </w:r>
      <w:r>
        <w:rPr>
          <w:color w:val="231F20"/>
          <w:w w:val="105"/>
        </w:rPr>
        <w:t>friend</w:t>
      </w:r>
      <w:r>
        <w:rPr>
          <w:color w:val="231F20"/>
          <w:spacing w:val="-6"/>
          <w:w w:val="105"/>
        </w:rPr>
        <w:t> </w:t>
      </w:r>
      <w:r>
        <w:rPr>
          <w:color w:val="231F20"/>
          <w:w w:val="105"/>
        </w:rPr>
        <w:t>are</w:t>
      </w:r>
      <w:r>
        <w:rPr>
          <w:color w:val="231F20"/>
          <w:spacing w:val="-6"/>
          <w:w w:val="105"/>
        </w:rPr>
        <w:t> </w:t>
      </w:r>
      <w:r>
        <w:rPr>
          <w:color w:val="231F20"/>
          <w:w w:val="105"/>
        </w:rPr>
        <w:t>able</w:t>
      </w:r>
      <w:r>
        <w:rPr>
          <w:color w:val="231F20"/>
          <w:spacing w:val="-6"/>
          <w:w w:val="105"/>
        </w:rPr>
        <w:t> </w:t>
      </w:r>
      <w:r>
        <w:rPr>
          <w:color w:val="231F20"/>
          <w:w w:val="105"/>
        </w:rPr>
        <w:t>to</w:t>
      </w:r>
      <w:r>
        <w:rPr>
          <w:color w:val="231F20"/>
          <w:spacing w:val="-6"/>
          <w:w w:val="105"/>
        </w:rPr>
        <w:t> </w:t>
      </w:r>
      <w:r>
        <w:rPr>
          <w:color w:val="231F20"/>
          <w:w w:val="105"/>
        </w:rPr>
        <w:t>enter</w:t>
      </w:r>
      <w:r>
        <w:rPr>
          <w:color w:val="231F20"/>
          <w:spacing w:val="-6"/>
          <w:w w:val="105"/>
        </w:rPr>
        <w:t> </w:t>
      </w:r>
      <w:r>
        <w:rPr>
          <w:color w:val="231F20"/>
          <w:w w:val="105"/>
        </w:rPr>
        <w:t>this</w:t>
      </w:r>
      <w:r>
        <w:rPr>
          <w:color w:val="231F20"/>
          <w:spacing w:val="-6"/>
          <w:w w:val="105"/>
        </w:rPr>
        <w:t> </w:t>
      </w:r>
      <w:r>
        <w:rPr>
          <w:color w:val="231F20"/>
          <w:w w:val="105"/>
        </w:rPr>
        <w:t>conversation</w:t>
      </w:r>
      <w:r>
        <w:rPr>
          <w:color w:val="231F20"/>
          <w:spacing w:val="-6"/>
          <w:w w:val="105"/>
        </w:rPr>
        <w:t> </w:t>
      </w:r>
      <w:r>
        <w:rPr>
          <w:color w:val="231F20"/>
          <w:w w:val="105"/>
        </w:rPr>
        <w:t>due</w:t>
      </w:r>
      <w:r>
        <w:rPr>
          <w:color w:val="231F20"/>
          <w:spacing w:val="-6"/>
          <w:w w:val="105"/>
        </w:rPr>
        <w:t> </w:t>
      </w:r>
      <w:r>
        <w:rPr>
          <w:color w:val="231F20"/>
          <w:w w:val="105"/>
        </w:rPr>
        <w:t>to</w:t>
      </w:r>
      <w:r>
        <w:rPr>
          <w:color w:val="231F20"/>
          <w:spacing w:val="-6"/>
          <w:w w:val="105"/>
        </w:rPr>
        <w:t> </w:t>
      </w:r>
      <w:r>
        <w:rPr>
          <w:color w:val="231F20"/>
          <w:w w:val="105"/>
        </w:rPr>
        <w:t>their knowledge of and experience having been in the </w:t>
      </w:r>
      <w:r>
        <w:rPr>
          <w:rFonts w:ascii="Arial" w:hAnsi="Arial"/>
          <w:i/>
          <w:color w:val="231F20"/>
          <w:w w:val="105"/>
        </w:rPr>
        <w:t>rancho </w:t>
      </w:r>
      <w:r>
        <w:rPr>
          <w:color w:val="231F20"/>
          <w:w w:val="105"/>
        </w:rPr>
        <w:t>and in Mexico (see</w:t>
      </w:r>
      <w:r>
        <w:rPr>
          <w:color w:val="231F20"/>
          <w:spacing w:val="-16"/>
          <w:w w:val="105"/>
        </w:rPr>
        <w:t> </w:t>
      </w:r>
      <w:r>
        <w:rPr>
          <w:color w:val="231F20"/>
          <w:w w:val="105"/>
        </w:rPr>
        <w:t>table</w:t>
      </w:r>
      <w:r>
        <w:rPr>
          <w:color w:val="231F20"/>
          <w:spacing w:val="-16"/>
          <w:w w:val="105"/>
        </w:rPr>
        <w:t> </w:t>
      </w:r>
      <w:r>
        <w:rPr>
          <w:color w:val="231F20"/>
          <w:w w:val="105"/>
        </w:rPr>
        <w:t>7).</w:t>
      </w:r>
      <w:r>
        <w:rPr>
          <w:color w:val="231F20"/>
          <w:spacing w:val="-27"/>
          <w:w w:val="105"/>
        </w:rPr>
        <w:t> </w:t>
      </w:r>
      <w:r>
        <w:rPr>
          <w:color w:val="231F20"/>
          <w:w w:val="105"/>
        </w:rPr>
        <w:t>The</w:t>
      </w:r>
      <w:r>
        <w:rPr>
          <w:color w:val="231F20"/>
          <w:spacing w:val="-16"/>
          <w:w w:val="105"/>
        </w:rPr>
        <w:t> </w:t>
      </w:r>
      <w:r>
        <w:rPr>
          <w:color w:val="231F20"/>
          <w:w w:val="105"/>
        </w:rPr>
        <w:t>shaded</w:t>
      </w:r>
      <w:r>
        <w:rPr>
          <w:color w:val="231F20"/>
          <w:spacing w:val="-16"/>
          <w:w w:val="105"/>
        </w:rPr>
        <w:t> </w:t>
      </w:r>
      <w:r>
        <w:rPr>
          <w:color w:val="231F20"/>
          <w:w w:val="105"/>
        </w:rPr>
        <w:t>rows</w:t>
      </w:r>
      <w:r>
        <w:rPr>
          <w:color w:val="231F20"/>
          <w:spacing w:val="-16"/>
          <w:w w:val="105"/>
        </w:rPr>
        <w:t> </w:t>
      </w:r>
      <w:r>
        <w:rPr>
          <w:color w:val="231F20"/>
          <w:w w:val="105"/>
        </w:rPr>
        <w:t>indicate</w:t>
      </w:r>
      <w:r>
        <w:rPr>
          <w:color w:val="231F20"/>
          <w:spacing w:val="-16"/>
          <w:w w:val="105"/>
        </w:rPr>
        <w:t> </w:t>
      </w:r>
      <w:r>
        <w:rPr>
          <w:color w:val="231F20"/>
          <w:w w:val="105"/>
        </w:rPr>
        <w:t>that</w:t>
      </w:r>
      <w:r>
        <w:rPr>
          <w:color w:val="231F20"/>
          <w:spacing w:val="-16"/>
          <w:w w:val="105"/>
        </w:rPr>
        <w:t> </w:t>
      </w:r>
      <w:r>
        <w:rPr>
          <w:color w:val="231F20"/>
          <w:w w:val="105"/>
        </w:rPr>
        <w:t>the</w:t>
      </w:r>
      <w:r>
        <w:rPr>
          <w:color w:val="231F20"/>
          <w:spacing w:val="-16"/>
          <w:w w:val="105"/>
        </w:rPr>
        <w:t> </w:t>
      </w:r>
      <w:r>
        <w:rPr>
          <w:color w:val="231F20"/>
          <w:w w:val="105"/>
        </w:rPr>
        <w:t>person</w:t>
      </w:r>
      <w:r>
        <w:rPr>
          <w:color w:val="231F20"/>
          <w:spacing w:val="-16"/>
          <w:w w:val="105"/>
        </w:rPr>
        <w:t> </w:t>
      </w:r>
      <w:r>
        <w:rPr>
          <w:color w:val="231F20"/>
          <w:w w:val="105"/>
        </w:rPr>
        <w:t>writing</w:t>
      </w:r>
      <w:r>
        <w:rPr>
          <w:color w:val="231F20"/>
          <w:spacing w:val="-16"/>
          <w:w w:val="105"/>
        </w:rPr>
        <w:t> </w:t>
      </w:r>
      <w:r>
        <w:rPr>
          <w:color w:val="231F20"/>
          <w:w w:val="105"/>
        </w:rPr>
        <w:t>the</w:t>
      </w:r>
      <w:r>
        <w:rPr>
          <w:color w:val="231F20"/>
          <w:spacing w:val="-16"/>
          <w:w w:val="105"/>
        </w:rPr>
        <w:t> </w:t>
      </w:r>
      <w:r>
        <w:rPr>
          <w:color w:val="231F20"/>
          <w:w w:val="105"/>
        </w:rPr>
        <w:t>post</w:t>
      </w:r>
      <w:r>
        <w:rPr>
          <w:color w:val="231F20"/>
          <w:spacing w:val="-16"/>
          <w:w w:val="105"/>
        </w:rPr>
        <w:t> </w:t>
      </w:r>
      <w:r>
        <w:rPr>
          <w:color w:val="231F20"/>
          <w:w w:val="105"/>
        </w:rPr>
        <w:t>is in</w:t>
      </w:r>
      <w:r>
        <w:rPr>
          <w:color w:val="231F20"/>
          <w:spacing w:val="-8"/>
          <w:w w:val="105"/>
        </w:rPr>
        <w:t> </w:t>
      </w:r>
      <w:r>
        <w:rPr>
          <w:color w:val="231F20"/>
          <w:w w:val="105"/>
        </w:rPr>
        <w:t>Mexico</w:t>
      </w:r>
      <w:r>
        <w:rPr>
          <w:color w:val="231F20"/>
          <w:spacing w:val="-8"/>
          <w:w w:val="105"/>
        </w:rPr>
        <w:t> </w:t>
      </w:r>
      <w:r>
        <w:rPr>
          <w:color w:val="231F20"/>
          <w:w w:val="105"/>
        </w:rPr>
        <w:t>at</w:t>
      </w:r>
      <w:r>
        <w:rPr>
          <w:color w:val="231F20"/>
          <w:spacing w:val="-8"/>
          <w:w w:val="105"/>
        </w:rPr>
        <w:t> </w:t>
      </w:r>
      <w:r>
        <w:rPr>
          <w:color w:val="231F20"/>
          <w:w w:val="105"/>
        </w:rPr>
        <w:t>the</w:t>
      </w:r>
      <w:r>
        <w:rPr>
          <w:color w:val="231F20"/>
          <w:spacing w:val="-8"/>
          <w:w w:val="105"/>
        </w:rPr>
        <w:t> </w:t>
      </w:r>
      <w:r>
        <w:rPr>
          <w:color w:val="231F20"/>
          <w:w w:val="105"/>
        </w:rPr>
        <w:t>time</w:t>
      </w:r>
      <w:r>
        <w:rPr>
          <w:color w:val="231F20"/>
          <w:spacing w:val="-8"/>
          <w:w w:val="105"/>
        </w:rPr>
        <w:t> </w:t>
      </w:r>
      <w:r>
        <w:rPr>
          <w:color w:val="231F20"/>
          <w:w w:val="105"/>
        </w:rPr>
        <w:t>he</w:t>
      </w:r>
      <w:r>
        <w:rPr>
          <w:color w:val="231F20"/>
          <w:spacing w:val="-8"/>
          <w:w w:val="105"/>
        </w:rPr>
        <w:t> </w:t>
      </w:r>
      <w:r>
        <w:rPr>
          <w:color w:val="231F20"/>
          <w:w w:val="105"/>
        </w:rPr>
        <w:t>or</w:t>
      </w:r>
      <w:r>
        <w:rPr>
          <w:color w:val="231F20"/>
          <w:spacing w:val="-8"/>
          <w:w w:val="105"/>
        </w:rPr>
        <w:t> </w:t>
      </w:r>
      <w:r>
        <w:rPr>
          <w:color w:val="231F20"/>
          <w:w w:val="105"/>
        </w:rPr>
        <w:t>she</w:t>
      </w:r>
      <w:r>
        <w:rPr>
          <w:color w:val="231F20"/>
          <w:spacing w:val="-8"/>
          <w:w w:val="105"/>
        </w:rPr>
        <w:t> </w:t>
      </w:r>
      <w:r>
        <w:rPr>
          <w:color w:val="231F20"/>
          <w:w w:val="105"/>
        </w:rPr>
        <w:t>wrote</w:t>
      </w:r>
      <w:r>
        <w:rPr>
          <w:color w:val="231F20"/>
          <w:spacing w:val="-8"/>
          <w:w w:val="105"/>
        </w:rPr>
        <w:t> </w:t>
      </w:r>
      <w:r>
        <w:rPr>
          <w:color w:val="231F20"/>
          <w:w w:val="105"/>
        </w:rPr>
        <w:t>the</w:t>
      </w:r>
      <w:r>
        <w:rPr>
          <w:color w:val="231F20"/>
          <w:spacing w:val="-8"/>
          <w:w w:val="105"/>
        </w:rPr>
        <w:t> </w:t>
      </w:r>
      <w:r>
        <w:rPr>
          <w:color w:val="231F20"/>
          <w:w w:val="105"/>
        </w:rPr>
        <w:t>post:</w:t>
      </w:r>
    </w:p>
    <w:p>
      <w:pPr>
        <w:pStyle w:val="BodyText"/>
        <w:spacing w:before="4"/>
      </w:pPr>
    </w:p>
    <w:p>
      <w:pPr>
        <w:spacing w:before="0"/>
        <w:ind w:left="2549" w:right="0" w:firstLine="0"/>
        <w:jc w:val="left"/>
        <w:rPr>
          <w:rFonts w:ascii="Arial" w:hAnsi="Arial"/>
          <w:sz w:val="18"/>
        </w:rPr>
      </w:pPr>
      <w:r>
        <w:rPr>
          <w:rFonts w:ascii="Arial" w:hAnsi="Arial"/>
          <w:color w:val="231F20"/>
          <w:w w:val="105"/>
          <w:sz w:val="18"/>
        </w:rPr>
        <w:t>Table 7. Conversation 6, “</w:t>
      </w:r>
      <w:r>
        <w:rPr>
          <w:rFonts w:ascii="Arial" w:hAnsi="Arial"/>
          <w:i/>
          <w:color w:val="231F20"/>
          <w:w w:val="105"/>
          <w:sz w:val="18"/>
        </w:rPr>
        <w:t>Fiestas en Tocumbo</w:t>
      </w:r>
      <w:r>
        <w:rPr>
          <w:rFonts w:ascii="Arial" w:hAnsi="Arial"/>
          <w:color w:val="231F20"/>
          <w:w w:val="105"/>
          <w:sz w:val="18"/>
        </w:rPr>
        <w:t>” [Parties in Tocumbo]</w:t>
      </w:r>
    </w:p>
    <w:p>
      <w:pPr>
        <w:pStyle w:val="BodyText"/>
        <w:spacing w:before="5"/>
        <w:rPr>
          <w:rFonts w:ascii="Arial"/>
          <w:sz w:val="13"/>
        </w:rPr>
      </w:pPr>
    </w:p>
    <w:tbl>
      <w:tblPr>
        <w:tblW w:w="0" w:type="auto"/>
        <w:jc w:val="left"/>
        <w:tblInd w:w="235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43"/>
        <w:gridCol w:w="2721"/>
        <w:gridCol w:w="2721"/>
      </w:tblGrid>
      <w:tr>
        <w:trPr>
          <w:trHeight w:val="988" w:hRule="exact"/>
        </w:trPr>
        <w:tc>
          <w:tcPr>
            <w:tcW w:w="443" w:type="dxa"/>
          </w:tcPr>
          <w:p>
            <w:pPr>
              <w:pStyle w:val="TableParagraph"/>
              <w:ind w:left="77"/>
              <w:rPr>
                <w:sz w:val="18"/>
              </w:rPr>
            </w:pPr>
            <w:r>
              <w:rPr>
                <w:color w:val="231F20"/>
                <w:w w:val="104"/>
                <w:sz w:val="18"/>
              </w:rPr>
              <w:t>1</w:t>
            </w:r>
          </w:p>
        </w:tc>
        <w:tc>
          <w:tcPr>
            <w:tcW w:w="2721" w:type="dxa"/>
          </w:tcPr>
          <w:p>
            <w:pPr>
              <w:pStyle w:val="TableParagraph"/>
              <w:ind w:left="77"/>
              <w:jc w:val="both"/>
              <w:rPr>
                <w:sz w:val="18"/>
              </w:rPr>
            </w:pPr>
            <w:r>
              <w:rPr>
                <w:color w:val="231F20"/>
                <w:sz w:val="18"/>
              </w:rPr>
              <w:t>Cosme’s post:</w:t>
            </w:r>
          </w:p>
          <w:p>
            <w:pPr>
              <w:pStyle w:val="TableParagraph"/>
              <w:spacing w:line="254" w:lineRule="auto" w:before="12"/>
              <w:ind w:left="77" w:right="70"/>
              <w:jc w:val="both"/>
              <w:rPr>
                <w:sz w:val="18"/>
              </w:rPr>
            </w:pPr>
            <w:r>
              <w:rPr>
                <w:color w:val="231F20"/>
                <w:w w:val="105"/>
                <w:sz w:val="18"/>
              </w:rPr>
              <w:t>“12 dias de puro fiesta aqui ando desvelado pero sigue las noches”</w:t>
            </w:r>
          </w:p>
        </w:tc>
        <w:tc>
          <w:tcPr>
            <w:tcW w:w="2721" w:type="dxa"/>
          </w:tcPr>
          <w:p>
            <w:pPr>
              <w:pStyle w:val="TableParagraph"/>
              <w:spacing w:before="8"/>
              <w:rPr>
                <w:rFonts w:ascii="Arial"/>
                <w:sz w:val="26"/>
              </w:rPr>
            </w:pPr>
          </w:p>
          <w:p>
            <w:pPr>
              <w:pStyle w:val="TableParagraph"/>
              <w:spacing w:line="254" w:lineRule="auto" w:before="0"/>
              <w:ind w:left="77" w:right="11"/>
              <w:rPr>
                <w:sz w:val="18"/>
              </w:rPr>
            </w:pPr>
            <w:r>
              <w:rPr>
                <w:color w:val="231F20"/>
                <w:sz w:val="18"/>
              </w:rPr>
              <w:t>“12 days of just parties here I am sleepless but nights go  on”</w:t>
            </w:r>
          </w:p>
        </w:tc>
      </w:tr>
      <w:tr>
        <w:trPr>
          <w:trHeight w:val="340" w:hRule="exact"/>
        </w:trPr>
        <w:tc>
          <w:tcPr>
            <w:tcW w:w="443" w:type="dxa"/>
          </w:tcPr>
          <w:p>
            <w:pPr>
              <w:pStyle w:val="TableParagraph"/>
              <w:ind w:left="77"/>
              <w:rPr>
                <w:sz w:val="18"/>
              </w:rPr>
            </w:pPr>
            <w:r>
              <w:rPr>
                <w:color w:val="231F20"/>
                <w:w w:val="104"/>
                <w:sz w:val="18"/>
              </w:rPr>
              <w:t>2</w:t>
            </w:r>
          </w:p>
        </w:tc>
        <w:tc>
          <w:tcPr>
            <w:tcW w:w="2721" w:type="dxa"/>
          </w:tcPr>
          <w:p>
            <w:pPr>
              <w:pStyle w:val="TableParagraph"/>
              <w:ind w:left="77"/>
              <w:rPr>
                <w:sz w:val="18"/>
              </w:rPr>
            </w:pPr>
            <w:r>
              <w:rPr>
                <w:color w:val="231F20"/>
                <w:w w:val="105"/>
                <w:sz w:val="18"/>
              </w:rPr>
              <w:t>6 people like this.</w:t>
            </w:r>
          </w:p>
        </w:tc>
        <w:tc>
          <w:tcPr>
            <w:tcW w:w="2721" w:type="dxa"/>
          </w:tcPr>
          <w:p>
            <w:pPr/>
          </w:p>
        </w:tc>
      </w:tr>
      <w:tr>
        <w:trPr>
          <w:trHeight w:val="340" w:hRule="exact"/>
        </w:trPr>
        <w:tc>
          <w:tcPr>
            <w:tcW w:w="443" w:type="dxa"/>
          </w:tcPr>
          <w:p>
            <w:pPr>
              <w:pStyle w:val="TableParagraph"/>
              <w:ind w:left="77"/>
              <w:rPr>
                <w:sz w:val="18"/>
              </w:rPr>
            </w:pPr>
            <w:r>
              <w:rPr>
                <w:color w:val="231F20"/>
                <w:w w:val="104"/>
                <w:sz w:val="18"/>
              </w:rPr>
              <w:t>3</w:t>
            </w:r>
          </w:p>
        </w:tc>
        <w:tc>
          <w:tcPr>
            <w:tcW w:w="2721" w:type="dxa"/>
          </w:tcPr>
          <w:p>
            <w:pPr>
              <w:pStyle w:val="TableParagraph"/>
              <w:ind w:left="77"/>
              <w:rPr>
                <w:sz w:val="18"/>
              </w:rPr>
            </w:pPr>
            <w:r>
              <w:rPr>
                <w:color w:val="231F20"/>
                <w:sz w:val="18"/>
              </w:rPr>
              <w:t>Lola: Y al las fiestas!!</w:t>
            </w:r>
          </w:p>
        </w:tc>
        <w:tc>
          <w:tcPr>
            <w:tcW w:w="2721" w:type="dxa"/>
          </w:tcPr>
          <w:p>
            <w:pPr>
              <w:pStyle w:val="TableParagraph"/>
              <w:ind w:left="77"/>
              <w:rPr>
                <w:sz w:val="18"/>
              </w:rPr>
            </w:pPr>
            <w:r>
              <w:rPr>
                <w:color w:val="231F20"/>
                <w:w w:val="110"/>
                <w:sz w:val="18"/>
              </w:rPr>
              <w:t>And to the parties!!</w:t>
            </w:r>
          </w:p>
        </w:tc>
      </w:tr>
      <w:tr>
        <w:trPr>
          <w:trHeight w:val="340" w:hRule="exact"/>
        </w:trPr>
        <w:tc>
          <w:tcPr>
            <w:tcW w:w="443" w:type="dxa"/>
          </w:tcPr>
          <w:p>
            <w:pPr>
              <w:pStyle w:val="TableParagraph"/>
              <w:ind w:left="77"/>
              <w:rPr>
                <w:sz w:val="18"/>
              </w:rPr>
            </w:pPr>
            <w:r>
              <w:rPr>
                <w:color w:val="231F20"/>
                <w:w w:val="104"/>
                <w:sz w:val="18"/>
              </w:rPr>
              <w:t>4</w:t>
            </w:r>
          </w:p>
        </w:tc>
        <w:tc>
          <w:tcPr>
            <w:tcW w:w="2721" w:type="dxa"/>
          </w:tcPr>
          <w:p>
            <w:pPr>
              <w:pStyle w:val="TableParagraph"/>
              <w:ind w:left="77"/>
              <w:rPr>
                <w:sz w:val="18"/>
              </w:rPr>
            </w:pPr>
            <w:r>
              <w:rPr>
                <w:color w:val="231F20"/>
                <w:w w:val="105"/>
                <w:sz w:val="18"/>
              </w:rPr>
              <w:t>Cosme: en Tocumbo</w:t>
            </w:r>
          </w:p>
        </w:tc>
        <w:tc>
          <w:tcPr>
            <w:tcW w:w="2721" w:type="dxa"/>
          </w:tcPr>
          <w:p>
            <w:pPr>
              <w:pStyle w:val="TableParagraph"/>
              <w:ind w:left="77"/>
              <w:rPr>
                <w:sz w:val="18"/>
              </w:rPr>
            </w:pPr>
            <w:r>
              <w:rPr>
                <w:color w:val="231F20"/>
                <w:w w:val="105"/>
                <w:sz w:val="18"/>
              </w:rPr>
              <w:t>in Tocumbo</w:t>
            </w:r>
          </w:p>
        </w:tc>
      </w:tr>
      <w:tr>
        <w:trPr>
          <w:trHeight w:val="340" w:hRule="exact"/>
        </w:trPr>
        <w:tc>
          <w:tcPr>
            <w:tcW w:w="443" w:type="dxa"/>
          </w:tcPr>
          <w:p>
            <w:pPr>
              <w:pStyle w:val="TableParagraph"/>
              <w:ind w:left="77"/>
              <w:rPr>
                <w:sz w:val="18"/>
              </w:rPr>
            </w:pPr>
            <w:r>
              <w:rPr>
                <w:color w:val="231F20"/>
                <w:w w:val="104"/>
                <w:sz w:val="18"/>
              </w:rPr>
              <w:t>5</w:t>
            </w:r>
          </w:p>
        </w:tc>
        <w:tc>
          <w:tcPr>
            <w:tcW w:w="2721" w:type="dxa"/>
          </w:tcPr>
          <w:p>
            <w:pPr>
              <w:pStyle w:val="TableParagraph"/>
              <w:ind w:left="77"/>
              <w:rPr>
                <w:sz w:val="18"/>
              </w:rPr>
            </w:pPr>
            <w:r>
              <w:rPr>
                <w:color w:val="231F20"/>
                <w:sz w:val="18"/>
              </w:rPr>
              <w:t>Lola: A k horas se van??</w:t>
            </w:r>
          </w:p>
        </w:tc>
        <w:tc>
          <w:tcPr>
            <w:tcW w:w="2721" w:type="dxa"/>
          </w:tcPr>
          <w:p>
            <w:pPr>
              <w:pStyle w:val="TableParagraph"/>
              <w:ind w:left="77"/>
              <w:rPr>
                <w:sz w:val="18"/>
              </w:rPr>
            </w:pPr>
            <w:r>
              <w:rPr>
                <w:color w:val="231F20"/>
                <w:w w:val="105"/>
                <w:sz w:val="18"/>
              </w:rPr>
              <w:t>What time do you leave??</w:t>
            </w:r>
          </w:p>
        </w:tc>
      </w:tr>
      <w:tr>
        <w:trPr>
          <w:trHeight w:val="556" w:hRule="exact"/>
        </w:trPr>
        <w:tc>
          <w:tcPr>
            <w:tcW w:w="443" w:type="dxa"/>
          </w:tcPr>
          <w:p>
            <w:pPr>
              <w:pStyle w:val="TableParagraph"/>
              <w:ind w:left="77"/>
              <w:rPr>
                <w:sz w:val="18"/>
              </w:rPr>
            </w:pPr>
            <w:r>
              <w:rPr>
                <w:color w:val="231F20"/>
                <w:w w:val="104"/>
                <w:sz w:val="18"/>
              </w:rPr>
              <w:t>6</w:t>
            </w:r>
          </w:p>
        </w:tc>
        <w:tc>
          <w:tcPr>
            <w:tcW w:w="2721" w:type="dxa"/>
          </w:tcPr>
          <w:p>
            <w:pPr>
              <w:pStyle w:val="TableParagraph"/>
              <w:spacing w:line="252" w:lineRule="auto"/>
              <w:ind w:left="77"/>
              <w:rPr>
                <w:rFonts w:ascii="Arial"/>
                <w:i/>
                <w:sz w:val="18"/>
              </w:rPr>
            </w:pPr>
            <w:r>
              <w:rPr>
                <w:color w:val="231F20"/>
                <w:w w:val="105"/>
                <w:sz w:val="18"/>
              </w:rPr>
              <w:t>Linda: you guys should have gone to </w:t>
            </w:r>
            <w:r>
              <w:rPr>
                <w:rFonts w:ascii="Arial"/>
                <w:i/>
                <w:color w:val="231F20"/>
                <w:w w:val="105"/>
                <w:sz w:val="18"/>
              </w:rPr>
              <w:t>la fiesta de la jabonera</w:t>
            </w:r>
          </w:p>
        </w:tc>
        <w:tc>
          <w:tcPr>
            <w:tcW w:w="2721" w:type="dxa"/>
          </w:tcPr>
          <w:p>
            <w:pPr>
              <w:pStyle w:val="TableParagraph"/>
              <w:ind w:left="77"/>
              <w:rPr>
                <w:sz w:val="18"/>
              </w:rPr>
            </w:pPr>
            <w:r>
              <w:rPr>
                <w:color w:val="231F20"/>
                <w:w w:val="105"/>
                <w:sz w:val="18"/>
              </w:rPr>
              <w:t>Ustedes debieron haber ido  a</w:t>
            </w:r>
          </w:p>
          <w:p>
            <w:pPr>
              <w:pStyle w:val="TableParagraph"/>
              <w:spacing w:before="9"/>
              <w:ind w:left="77"/>
              <w:rPr>
                <w:rFonts w:ascii="Arial"/>
                <w:i/>
                <w:sz w:val="18"/>
              </w:rPr>
            </w:pPr>
            <w:r>
              <w:rPr>
                <w:rFonts w:ascii="Arial"/>
                <w:i/>
                <w:color w:val="231F20"/>
                <w:w w:val="105"/>
                <w:sz w:val="18"/>
              </w:rPr>
              <w:t>the party of la Jabonera</w:t>
            </w:r>
          </w:p>
        </w:tc>
      </w:tr>
      <w:tr>
        <w:trPr>
          <w:trHeight w:val="988" w:hRule="exact"/>
        </w:trPr>
        <w:tc>
          <w:tcPr>
            <w:tcW w:w="443" w:type="dxa"/>
          </w:tcPr>
          <w:p>
            <w:pPr>
              <w:pStyle w:val="TableParagraph"/>
              <w:ind w:left="77"/>
              <w:rPr>
                <w:sz w:val="18"/>
              </w:rPr>
            </w:pPr>
            <w:r>
              <w:rPr>
                <w:color w:val="231F20"/>
                <w:w w:val="104"/>
                <w:sz w:val="18"/>
              </w:rPr>
              <w:t>7</w:t>
            </w:r>
          </w:p>
        </w:tc>
        <w:tc>
          <w:tcPr>
            <w:tcW w:w="2721" w:type="dxa"/>
          </w:tcPr>
          <w:p>
            <w:pPr>
              <w:pStyle w:val="TableParagraph"/>
              <w:spacing w:line="254" w:lineRule="auto"/>
              <w:ind w:left="77" w:right="75"/>
              <w:jc w:val="both"/>
              <w:rPr>
                <w:sz w:val="18"/>
              </w:rPr>
            </w:pPr>
            <w:r>
              <w:rPr>
                <w:color w:val="231F20"/>
                <w:w w:val="105"/>
                <w:sz w:val="18"/>
              </w:rPr>
              <w:t>Member [anonymized due to a racial slur] haha yu aint ready nigguuh</w:t>
            </w:r>
          </w:p>
        </w:tc>
        <w:tc>
          <w:tcPr>
            <w:tcW w:w="2721" w:type="dxa"/>
          </w:tcPr>
          <w:p>
            <w:pPr>
              <w:pStyle w:val="TableParagraph"/>
              <w:spacing w:line="254" w:lineRule="auto"/>
              <w:ind w:left="77" w:right="74"/>
              <w:jc w:val="both"/>
              <w:rPr>
                <w:sz w:val="18"/>
              </w:rPr>
            </w:pPr>
            <w:r>
              <w:rPr>
                <w:color w:val="231F20"/>
                <w:w w:val="105"/>
                <w:sz w:val="18"/>
              </w:rPr>
              <w:t>Ja ja no, tu no estás listo toda- vía</w:t>
            </w:r>
            <w:r>
              <w:rPr>
                <w:color w:val="231F20"/>
                <w:spacing w:val="-13"/>
                <w:w w:val="105"/>
                <w:sz w:val="18"/>
              </w:rPr>
              <w:t> </w:t>
            </w:r>
            <w:r>
              <w:rPr>
                <w:color w:val="231F20"/>
                <w:w w:val="105"/>
                <w:sz w:val="18"/>
              </w:rPr>
              <w:t>nigguuh</w:t>
            </w:r>
            <w:r>
              <w:rPr>
                <w:color w:val="231F20"/>
                <w:spacing w:val="-13"/>
                <w:w w:val="105"/>
                <w:sz w:val="18"/>
              </w:rPr>
              <w:t> </w:t>
            </w:r>
            <w:r>
              <w:rPr>
                <w:color w:val="231F20"/>
                <w:w w:val="105"/>
                <w:sz w:val="18"/>
              </w:rPr>
              <w:t>[esta</w:t>
            </w:r>
            <w:r>
              <w:rPr>
                <w:color w:val="231F20"/>
                <w:spacing w:val="-13"/>
                <w:w w:val="105"/>
                <w:sz w:val="18"/>
              </w:rPr>
              <w:t> </w:t>
            </w:r>
            <w:r>
              <w:rPr>
                <w:color w:val="231F20"/>
                <w:w w:val="105"/>
                <w:sz w:val="18"/>
              </w:rPr>
              <w:t>palabra</w:t>
            </w:r>
            <w:r>
              <w:rPr>
                <w:color w:val="231F20"/>
                <w:spacing w:val="-13"/>
                <w:w w:val="105"/>
                <w:sz w:val="18"/>
              </w:rPr>
              <w:t> </w:t>
            </w:r>
            <w:r>
              <w:rPr>
                <w:color w:val="231F20"/>
                <w:w w:val="105"/>
                <w:sz w:val="18"/>
              </w:rPr>
              <w:t>es</w:t>
            </w:r>
            <w:r>
              <w:rPr>
                <w:color w:val="231F20"/>
                <w:spacing w:val="-13"/>
                <w:w w:val="105"/>
                <w:sz w:val="18"/>
              </w:rPr>
              <w:t> </w:t>
            </w:r>
            <w:r>
              <w:rPr>
                <w:color w:val="231F20"/>
                <w:w w:val="105"/>
                <w:sz w:val="18"/>
              </w:rPr>
              <w:t>un epíteto de racismo en Estados Unidos]</w:t>
            </w:r>
          </w:p>
        </w:tc>
      </w:tr>
    </w:tbl>
    <w:p>
      <w:pPr>
        <w:spacing w:before="78"/>
        <w:ind w:left="2346" w:right="0" w:firstLine="0"/>
        <w:jc w:val="left"/>
        <w:rPr>
          <w:sz w:val="16"/>
        </w:rPr>
      </w:pPr>
      <w:r>
        <w:rPr>
          <w:color w:val="231F20"/>
          <w:sz w:val="16"/>
        </w:rPr>
        <w:t>Source: Cosme’s Facebook.</w:t>
      </w:r>
    </w:p>
    <w:p>
      <w:pPr>
        <w:pStyle w:val="BodyText"/>
        <w:rPr>
          <w:sz w:val="16"/>
        </w:rPr>
      </w:pPr>
    </w:p>
    <w:p>
      <w:pPr>
        <w:pStyle w:val="BodyText"/>
        <w:spacing w:line="261" w:lineRule="auto" w:before="111"/>
        <w:ind w:left="1837" w:right="1715"/>
        <w:jc w:val="both"/>
      </w:pPr>
      <w:r>
        <w:rPr/>
        <w:pict>
          <v:line style="position:absolute;mso-position-horizontal-relative:page;mso-position-vertical-relative:paragraph;z-index:-446968" from="15pt,154.762985pt" to="0pt,154.762985pt" stroked="true" strokeweight=".25pt" strokecolor="#000000">
            <w10:wrap type="none"/>
          </v:line>
        </w:pict>
      </w:r>
      <w:r>
        <w:rPr/>
        <w:pict>
          <v:line style="position:absolute;mso-position-horizontal-relative:page;mso-position-vertical-relative:paragraph;z-index:43240" from="508.890015pt,154.762985pt" to="523.890015pt,154.762985pt" stroked="true" strokeweight=".25pt" strokecolor="#000000">
            <w10:wrap type="none"/>
          </v:line>
        </w:pict>
      </w:r>
      <w:r>
        <w:rPr>
          <w:color w:val="231F20"/>
          <w:w w:val="105"/>
        </w:rPr>
        <w:t>In Conversation 6, the participation is even more interesting because it not only shows that members in the U.S. know about Mexico, but it</w:t>
      </w:r>
      <w:r>
        <w:rPr>
          <w:color w:val="231F20"/>
          <w:spacing w:val="-35"/>
          <w:w w:val="105"/>
        </w:rPr>
        <w:t> </w:t>
      </w:r>
      <w:r>
        <w:rPr>
          <w:color w:val="231F20"/>
          <w:w w:val="105"/>
        </w:rPr>
        <w:t>also displays</w:t>
      </w:r>
      <w:r>
        <w:rPr>
          <w:color w:val="231F20"/>
          <w:spacing w:val="-21"/>
          <w:w w:val="105"/>
        </w:rPr>
        <w:t> </w:t>
      </w:r>
      <w:r>
        <w:rPr>
          <w:color w:val="231F20"/>
          <w:w w:val="105"/>
        </w:rPr>
        <w:t>a</w:t>
      </w:r>
      <w:r>
        <w:rPr>
          <w:color w:val="231F20"/>
          <w:spacing w:val="-21"/>
          <w:w w:val="105"/>
        </w:rPr>
        <w:t> </w:t>
      </w:r>
      <w:r>
        <w:rPr>
          <w:color w:val="231F20"/>
          <w:w w:val="105"/>
        </w:rPr>
        <w:t>certain</w:t>
      </w:r>
      <w:r>
        <w:rPr>
          <w:color w:val="231F20"/>
          <w:spacing w:val="-21"/>
          <w:w w:val="105"/>
        </w:rPr>
        <w:t> </w:t>
      </w:r>
      <w:r>
        <w:rPr>
          <w:color w:val="231F20"/>
          <w:w w:val="105"/>
        </w:rPr>
        <w:t>level</w:t>
      </w:r>
      <w:r>
        <w:rPr>
          <w:color w:val="231F20"/>
          <w:spacing w:val="-21"/>
          <w:w w:val="105"/>
        </w:rPr>
        <w:t> </w:t>
      </w:r>
      <w:r>
        <w:rPr>
          <w:color w:val="231F20"/>
          <w:w w:val="105"/>
        </w:rPr>
        <w:t>of</w:t>
      </w:r>
      <w:r>
        <w:rPr>
          <w:color w:val="231F20"/>
          <w:spacing w:val="-17"/>
          <w:w w:val="105"/>
        </w:rPr>
        <w:t> </w:t>
      </w:r>
      <w:r>
        <w:rPr>
          <w:color w:val="231F20"/>
          <w:w w:val="105"/>
        </w:rPr>
        <w:t>expertise</w:t>
      </w:r>
      <w:r>
        <w:rPr>
          <w:color w:val="231F20"/>
          <w:spacing w:val="-21"/>
          <w:w w:val="105"/>
        </w:rPr>
        <w:t> </w:t>
      </w:r>
      <w:r>
        <w:rPr>
          <w:color w:val="231F20"/>
          <w:w w:val="105"/>
        </w:rPr>
        <w:t>(similar</w:t>
      </w:r>
      <w:r>
        <w:rPr>
          <w:color w:val="231F20"/>
          <w:spacing w:val="-21"/>
          <w:w w:val="105"/>
        </w:rPr>
        <w:t> </w:t>
      </w:r>
      <w:r>
        <w:rPr>
          <w:color w:val="231F20"/>
          <w:w w:val="105"/>
        </w:rPr>
        <w:t>to</w:t>
      </w:r>
      <w:r>
        <w:rPr>
          <w:color w:val="231F20"/>
          <w:spacing w:val="-21"/>
          <w:w w:val="105"/>
        </w:rPr>
        <w:t> </w:t>
      </w:r>
      <w:r>
        <w:rPr>
          <w:color w:val="231F20"/>
          <w:w w:val="105"/>
        </w:rPr>
        <w:t>some</w:t>
      </w:r>
      <w:r>
        <w:rPr>
          <w:color w:val="231F20"/>
          <w:spacing w:val="-21"/>
          <w:w w:val="105"/>
        </w:rPr>
        <w:t> </w:t>
      </w:r>
      <w:r>
        <w:rPr>
          <w:color w:val="231F20"/>
          <w:w w:val="105"/>
        </w:rPr>
        <w:t>members</w:t>
      </w:r>
      <w:r>
        <w:rPr>
          <w:color w:val="231F20"/>
          <w:spacing w:val="-21"/>
          <w:w w:val="105"/>
        </w:rPr>
        <w:t> </w:t>
      </w:r>
      <w:r>
        <w:rPr>
          <w:color w:val="231F20"/>
          <w:w w:val="105"/>
        </w:rPr>
        <w:t>in</w:t>
      </w:r>
      <w:r>
        <w:rPr>
          <w:color w:val="231F20"/>
          <w:spacing w:val="-21"/>
          <w:w w:val="105"/>
        </w:rPr>
        <w:t> </w:t>
      </w:r>
      <w:r>
        <w:rPr>
          <w:color w:val="231F20"/>
          <w:w w:val="105"/>
        </w:rPr>
        <w:t>previous posts).</w:t>
      </w:r>
      <w:r>
        <w:rPr>
          <w:color w:val="231F20"/>
          <w:spacing w:val="-26"/>
          <w:w w:val="105"/>
        </w:rPr>
        <w:t> </w:t>
      </w:r>
      <w:r>
        <w:rPr>
          <w:color w:val="231F20"/>
          <w:w w:val="105"/>
        </w:rPr>
        <w:t>This</w:t>
      </w:r>
      <w:r>
        <w:rPr>
          <w:color w:val="231F20"/>
          <w:spacing w:val="-16"/>
          <w:w w:val="105"/>
        </w:rPr>
        <w:t> </w:t>
      </w:r>
      <w:r>
        <w:rPr>
          <w:color w:val="231F20"/>
          <w:w w:val="105"/>
        </w:rPr>
        <w:t>type</w:t>
      </w:r>
      <w:r>
        <w:rPr>
          <w:color w:val="231F20"/>
          <w:spacing w:val="-16"/>
          <w:w w:val="105"/>
        </w:rPr>
        <w:t> </w:t>
      </w:r>
      <w:r>
        <w:rPr>
          <w:color w:val="231F20"/>
          <w:w w:val="105"/>
        </w:rPr>
        <w:t>of</w:t>
      </w:r>
      <w:r>
        <w:rPr>
          <w:color w:val="231F20"/>
          <w:spacing w:val="-12"/>
          <w:w w:val="105"/>
        </w:rPr>
        <w:t> </w:t>
      </w:r>
      <w:r>
        <w:rPr>
          <w:color w:val="231F20"/>
          <w:w w:val="105"/>
        </w:rPr>
        <w:t>conversation</w:t>
      </w:r>
      <w:r>
        <w:rPr>
          <w:color w:val="231F20"/>
          <w:spacing w:val="-16"/>
          <w:w w:val="105"/>
        </w:rPr>
        <w:t> </w:t>
      </w:r>
      <w:r>
        <w:rPr>
          <w:color w:val="231F20"/>
          <w:w w:val="105"/>
        </w:rPr>
        <w:t>reads</w:t>
      </w:r>
      <w:r>
        <w:rPr>
          <w:color w:val="231F20"/>
          <w:spacing w:val="-16"/>
          <w:w w:val="105"/>
        </w:rPr>
        <w:t> </w:t>
      </w:r>
      <w:r>
        <w:rPr>
          <w:color w:val="231F20"/>
          <w:w w:val="105"/>
        </w:rPr>
        <w:t>as</w:t>
      </w:r>
      <w:r>
        <w:rPr>
          <w:color w:val="231F20"/>
          <w:spacing w:val="-16"/>
          <w:w w:val="105"/>
        </w:rPr>
        <w:t> </w:t>
      </w:r>
      <w:r>
        <w:rPr>
          <w:color w:val="231F20"/>
          <w:w w:val="105"/>
        </w:rPr>
        <w:t>if</w:t>
      </w:r>
      <w:r>
        <w:rPr>
          <w:color w:val="231F20"/>
          <w:spacing w:val="-12"/>
          <w:w w:val="105"/>
        </w:rPr>
        <w:t> </w:t>
      </w:r>
      <w:r>
        <w:rPr>
          <w:color w:val="231F20"/>
          <w:w w:val="105"/>
        </w:rPr>
        <w:t>it</w:t>
      </w:r>
      <w:r>
        <w:rPr>
          <w:color w:val="231F20"/>
          <w:spacing w:val="-16"/>
          <w:w w:val="105"/>
        </w:rPr>
        <w:t> </w:t>
      </w:r>
      <w:r>
        <w:rPr>
          <w:color w:val="231F20"/>
          <w:w w:val="105"/>
        </w:rPr>
        <w:t>had</w:t>
      </w:r>
      <w:r>
        <w:rPr>
          <w:color w:val="231F20"/>
          <w:spacing w:val="-16"/>
          <w:w w:val="105"/>
        </w:rPr>
        <w:t> </w:t>
      </w:r>
      <w:r>
        <w:rPr>
          <w:color w:val="231F20"/>
          <w:w w:val="105"/>
        </w:rPr>
        <w:t>happened</w:t>
      </w:r>
      <w:r>
        <w:rPr>
          <w:color w:val="231F20"/>
          <w:spacing w:val="-16"/>
          <w:w w:val="105"/>
        </w:rPr>
        <w:t> </w:t>
      </w:r>
      <w:r>
        <w:rPr>
          <w:color w:val="231F20"/>
          <w:w w:val="105"/>
        </w:rPr>
        <w:t>face</w:t>
      </w:r>
      <w:r>
        <w:rPr>
          <w:color w:val="231F20"/>
          <w:spacing w:val="-16"/>
          <w:w w:val="105"/>
        </w:rPr>
        <w:t> </w:t>
      </w:r>
      <w:r>
        <w:rPr>
          <w:color w:val="231F20"/>
          <w:w w:val="105"/>
        </w:rPr>
        <w:t>to</w:t>
      </w:r>
      <w:r>
        <w:rPr>
          <w:color w:val="231F20"/>
          <w:spacing w:val="-16"/>
          <w:w w:val="105"/>
        </w:rPr>
        <w:t> </w:t>
      </w:r>
      <w:r>
        <w:rPr>
          <w:color w:val="231F20"/>
          <w:w w:val="105"/>
        </w:rPr>
        <w:t>face. Cosme’s</w:t>
      </w:r>
      <w:r>
        <w:rPr>
          <w:color w:val="231F20"/>
          <w:spacing w:val="-25"/>
          <w:w w:val="105"/>
        </w:rPr>
        <w:t> </w:t>
      </w:r>
      <w:r>
        <w:rPr>
          <w:color w:val="231F20"/>
          <w:w w:val="105"/>
        </w:rPr>
        <w:t>post</w:t>
      </w:r>
      <w:r>
        <w:rPr>
          <w:color w:val="231F20"/>
          <w:spacing w:val="-25"/>
          <w:w w:val="105"/>
        </w:rPr>
        <w:t> </w:t>
      </w:r>
      <w:r>
        <w:rPr>
          <w:color w:val="231F20"/>
          <w:w w:val="105"/>
        </w:rPr>
        <w:t>is</w:t>
      </w:r>
      <w:r>
        <w:rPr>
          <w:color w:val="231F20"/>
          <w:spacing w:val="-25"/>
          <w:w w:val="105"/>
        </w:rPr>
        <w:t> </w:t>
      </w:r>
      <w:r>
        <w:rPr>
          <w:color w:val="231F20"/>
          <w:w w:val="105"/>
        </w:rPr>
        <w:t>intended</w:t>
      </w:r>
      <w:r>
        <w:rPr>
          <w:color w:val="231F20"/>
          <w:spacing w:val="-25"/>
          <w:w w:val="105"/>
        </w:rPr>
        <w:t> </w:t>
      </w:r>
      <w:r>
        <w:rPr>
          <w:color w:val="231F20"/>
          <w:w w:val="105"/>
        </w:rPr>
        <w:t>for</w:t>
      </w:r>
      <w:r>
        <w:rPr>
          <w:color w:val="231F20"/>
          <w:spacing w:val="-25"/>
          <w:w w:val="105"/>
        </w:rPr>
        <w:t> </w:t>
      </w:r>
      <w:r>
        <w:rPr>
          <w:color w:val="231F20"/>
          <w:w w:val="105"/>
        </w:rPr>
        <w:t>a</w:t>
      </w:r>
      <w:r>
        <w:rPr>
          <w:color w:val="231F20"/>
          <w:spacing w:val="-25"/>
          <w:w w:val="105"/>
        </w:rPr>
        <w:t> </w:t>
      </w:r>
      <w:r>
        <w:rPr>
          <w:color w:val="231F20"/>
          <w:w w:val="105"/>
        </w:rPr>
        <w:t>U.S.</w:t>
      </w:r>
      <w:r>
        <w:rPr>
          <w:color w:val="231F20"/>
          <w:spacing w:val="-30"/>
          <w:w w:val="105"/>
        </w:rPr>
        <w:t> </w:t>
      </w:r>
      <w:r>
        <w:rPr>
          <w:color w:val="231F20"/>
          <w:w w:val="105"/>
        </w:rPr>
        <w:t>audience,</w:t>
      </w:r>
      <w:r>
        <w:rPr>
          <w:color w:val="231F20"/>
          <w:spacing w:val="-30"/>
          <w:w w:val="105"/>
        </w:rPr>
        <w:t> </w:t>
      </w:r>
      <w:r>
        <w:rPr>
          <w:color w:val="231F20"/>
          <w:w w:val="105"/>
        </w:rPr>
        <w:t>even</w:t>
      </w:r>
      <w:r>
        <w:rPr>
          <w:color w:val="231F20"/>
          <w:spacing w:val="-25"/>
          <w:w w:val="105"/>
        </w:rPr>
        <w:t> </w:t>
      </w:r>
      <w:r>
        <w:rPr>
          <w:color w:val="231F20"/>
          <w:w w:val="105"/>
        </w:rPr>
        <w:t>though</w:t>
      </w:r>
      <w:r>
        <w:rPr>
          <w:color w:val="231F20"/>
          <w:spacing w:val="-25"/>
          <w:w w:val="105"/>
        </w:rPr>
        <w:t> </w:t>
      </w:r>
      <w:r>
        <w:rPr>
          <w:color w:val="231F20"/>
          <w:w w:val="105"/>
        </w:rPr>
        <w:t>he</w:t>
      </w:r>
      <w:r>
        <w:rPr>
          <w:color w:val="231F20"/>
          <w:spacing w:val="-25"/>
          <w:w w:val="105"/>
        </w:rPr>
        <w:t> </w:t>
      </w:r>
      <w:r>
        <w:rPr>
          <w:color w:val="231F20"/>
          <w:w w:val="105"/>
        </w:rPr>
        <w:t>is</w:t>
      </w:r>
      <w:r>
        <w:rPr>
          <w:color w:val="231F20"/>
          <w:spacing w:val="-25"/>
          <w:w w:val="105"/>
        </w:rPr>
        <w:t> </w:t>
      </w:r>
      <w:r>
        <w:rPr>
          <w:color w:val="231F20"/>
          <w:w w:val="105"/>
        </w:rPr>
        <w:t>in</w:t>
      </w:r>
      <w:r>
        <w:rPr>
          <w:color w:val="231F20"/>
          <w:spacing w:val="-25"/>
          <w:w w:val="105"/>
        </w:rPr>
        <w:t> </w:t>
      </w:r>
      <w:r>
        <w:rPr>
          <w:color w:val="231F20"/>
          <w:w w:val="105"/>
        </w:rPr>
        <w:t>Mexico at the time of the post. Cosme usually lives in Chicago and has </w:t>
      </w:r>
      <w:r>
        <w:rPr>
          <w:color w:val="231F20"/>
          <w:spacing w:val="1"/>
          <w:w w:val="105"/>
        </w:rPr>
        <w:t> </w:t>
      </w:r>
      <w:r>
        <w:rPr>
          <w:color w:val="231F20"/>
          <w:w w:val="105"/>
        </w:rPr>
        <w:t>started</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43288" from="15pt,-71.68644pt" to="0pt,-71.68644pt" stroked="true" strokeweight=".25pt" strokecolor="#000000">
            <w10:wrap type="none"/>
          </v:line>
        </w:pict>
      </w:r>
      <w:r>
        <w:rPr/>
        <w:pict>
          <v:line style="position:absolute;mso-position-horizontal-relative:page;mso-position-vertical-relative:paragraph;z-index:43312" from="508.890015pt,-71.68644pt" to="523.890015pt,-71.68644pt" stroked="true" strokeweight=".25pt" strokecolor="#000000">
            <w10:wrap type="none"/>
          </v:line>
        </w:pict>
      </w:r>
      <w:r>
        <w:rPr>
          <w:color w:val="231F20"/>
          <w:w w:val="105"/>
        </w:rPr>
        <w:t>going</w:t>
      </w:r>
      <w:r>
        <w:rPr>
          <w:color w:val="231F20"/>
          <w:spacing w:val="-8"/>
          <w:w w:val="105"/>
        </w:rPr>
        <w:t> </w:t>
      </w:r>
      <w:r>
        <w:rPr>
          <w:color w:val="231F20"/>
          <w:w w:val="105"/>
        </w:rPr>
        <w:t>for</w:t>
      </w:r>
      <w:r>
        <w:rPr>
          <w:color w:val="231F20"/>
          <w:spacing w:val="-8"/>
          <w:w w:val="105"/>
        </w:rPr>
        <w:t> </w:t>
      </w:r>
      <w:r>
        <w:rPr>
          <w:color w:val="231F20"/>
          <w:w w:val="105"/>
        </w:rPr>
        <w:t>summer</w:t>
      </w:r>
      <w:r>
        <w:rPr>
          <w:color w:val="231F20"/>
          <w:spacing w:val="-8"/>
          <w:w w:val="105"/>
        </w:rPr>
        <w:t> </w:t>
      </w:r>
      <w:r>
        <w:rPr>
          <w:color w:val="231F20"/>
          <w:w w:val="105"/>
        </w:rPr>
        <w:t>vacation</w:t>
      </w:r>
      <w:r>
        <w:rPr>
          <w:color w:val="231F20"/>
          <w:spacing w:val="-8"/>
          <w:w w:val="105"/>
        </w:rPr>
        <w:t> </w:t>
      </w:r>
      <w:r>
        <w:rPr>
          <w:color w:val="231F20"/>
          <w:w w:val="105"/>
        </w:rPr>
        <w:t>to</w:t>
      </w:r>
      <w:r>
        <w:rPr>
          <w:color w:val="231F20"/>
          <w:spacing w:val="-8"/>
          <w:w w:val="105"/>
        </w:rPr>
        <w:t> </w:t>
      </w:r>
      <w:r>
        <w:rPr>
          <w:color w:val="231F20"/>
          <w:w w:val="105"/>
        </w:rPr>
        <w:t>Mexico;</w:t>
      </w:r>
      <w:r>
        <w:rPr>
          <w:color w:val="231F20"/>
          <w:spacing w:val="-8"/>
          <w:w w:val="105"/>
        </w:rPr>
        <w:t> </w:t>
      </w:r>
      <w:r>
        <w:rPr>
          <w:color w:val="231F20"/>
          <w:w w:val="105"/>
        </w:rPr>
        <w:t>his</w:t>
      </w:r>
      <w:r>
        <w:rPr>
          <w:color w:val="231F20"/>
          <w:spacing w:val="-8"/>
          <w:w w:val="105"/>
        </w:rPr>
        <w:t> </w:t>
      </w:r>
      <w:r>
        <w:rPr>
          <w:color w:val="231F20"/>
          <w:w w:val="105"/>
        </w:rPr>
        <w:t>level</w:t>
      </w:r>
      <w:r>
        <w:rPr>
          <w:color w:val="231F20"/>
          <w:spacing w:val="-8"/>
          <w:w w:val="105"/>
        </w:rPr>
        <w:t> </w:t>
      </w:r>
      <w:r>
        <w:rPr>
          <w:color w:val="231F20"/>
          <w:w w:val="105"/>
        </w:rPr>
        <w:t>of</w:t>
      </w:r>
      <w:r>
        <w:rPr>
          <w:color w:val="231F20"/>
          <w:spacing w:val="-3"/>
          <w:w w:val="105"/>
        </w:rPr>
        <w:t> </w:t>
      </w:r>
      <w:r>
        <w:rPr>
          <w:color w:val="231F20"/>
          <w:w w:val="105"/>
        </w:rPr>
        <w:t>Spanish</w:t>
      </w:r>
      <w:r>
        <w:rPr>
          <w:color w:val="231F20"/>
          <w:spacing w:val="-8"/>
          <w:w w:val="105"/>
        </w:rPr>
        <w:t> </w:t>
      </w:r>
      <w:r>
        <w:rPr>
          <w:color w:val="231F20"/>
          <w:w w:val="105"/>
        </w:rPr>
        <w:t>is</w:t>
      </w:r>
      <w:r>
        <w:rPr>
          <w:color w:val="231F20"/>
          <w:spacing w:val="-8"/>
          <w:w w:val="105"/>
        </w:rPr>
        <w:t> </w:t>
      </w:r>
      <w:r>
        <w:rPr>
          <w:color w:val="231F20"/>
          <w:w w:val="105"/>
        </w:rPr>
        <w:t>low</w:t>
      </w:r>
      <w:r>
        <w:rPr>
          <w:color w:val="231F20"/>
          <w:spacing w:val="-8"/>
          <w:w w:val="105"/>
        </w:rPr>
        <w:t> </w:t>
      </w:r>
      <w:r>
        <w:rPr>
          <w:color w:val="231F20"/>
          <w:w w:val="105"/>
        </w:rPr>
        <w:t>but</w:t>
      </w:r>
      <w:r>
        <w:rPr>
          <w:color w:val="231F20"/>
          <w:spacing w:val="-8"/>
          <w:w w:val="105"/>
        </w:rPr>
        <w:t> </w:t>
      </w:r>
      <w:r>
        <w:rPr>
          <w:color w:val="231F20"/>
          <w:w w:val="105"/>
        </w:rPr>
        <w:t>has increased over the past two years. Five of the six people who liked the post</w:t>
      </w:r>
      <w:r>
        <w:rPr>
          <w:color w:val="231F20"/>
          <w:spacing w:val="-3"/>
          <w:w w:val="105"/>
        </w:rPr>
        <w:t> </w:t>
      </w:r>
      <w:r>
        <w:rPr>
          <w:color w:val="231F20"/>
          <w:w w:val="105"/>
        </w:rPr>
        <w:t>were</w:t>
      </w:r>
      <w:r>
        <w:rPr>
          <w:color w:val="231F20"/>
          <w:spacing w:val="-3"/>
          <w:w w:val="105"/>
        </w:rPr>
        <w:t> </w:t>
      </w:r>
      <w:r>
        <w:rPr>
          <w:color w:val="231F20"/>
          <w:w w:val="105"/>
        </w:rPr>
        <w:t>living</w:t>
      </w:r>
      <w:r>
        <w:rPr>
          <w:color w:val="231F20"/>
          <w:spacing w:val="-3"/>
          <w:w w:val="105"/>
        </w:rPr>
        <w:t> </w:t>
      </w:r>
      <w:r>
        <w:rPr>
          <w:color w:val="231F20"/>
          <w:w w:val="105"/>
        </w:rPr>
        <w:t>in</w:t>
      </w:r>
      <w:r>
        <w:rPr>
          <w:color w:val="231F20"/>
          <w:spacing w:val="-3"/>
          <w:w w:val="105"/>
        </w:rPr>
        <w:t> </w:t>
      </w:r>
      <w:r>
        <w:rPr>
          <w:color w:val="231F20"/>
          <w:w w:val="105"/>
        </w:rPr>
        <w:t>the</w:t>
      </w:r>
      <w:r>
        <w:rPr>
          <w:color w:val="231F20"/>
          <w:spacing w:val="-3"/>
          <w:w w:val="105"/>
        </w:rPr>
        <w:t> </w:t>
      </w:r>
      <w:r>
        <w:rPr>
          <w:color w:val="231F20"/>
          <w:w w:val="105"/>
        </w:rPr>
        <w:t>U.S.</w:t>
      </w:r>
      <w:r>
        <w:rPr>
          <w:color w:val="231F20"/>
          <w:spacing w:val="-8"/>
          <w:w w:val="105"/>
        </w:rPr>
        <w:t> </w:t>
      </w:r>
      <w:r>
        <w:rPr>
          <w:color w:val="231F20"/>
          <w:w w:val="105"/>
        </w:rPr>
        <w:t>In</w:t>
      </w:r>
      <w:r>
        <w:rPr>
          <w:color w:val="231F20"/>
          <w:spacing w:val="-3"/>
          <w:w w:val="105"/>
        </w:rPr>
        <w:t> </w:t>
      </w:r>
      <w:r>
        <w:rPr>
          <w:color w:val="231F20"/>
          <w:w w:val="105"/>
        </w:rPr>
        <w:t>post</w:t>
      </w:r>
      <w:r>
        <w:rPr>
          <w:color w:val="231F20"/>
          <w:spacing w:val="-3"/>
          <w:w w:val="105"/>
        </w:rPr>
        <w:t> </w:t>
      </w:r>
      <w:r>
        <w:rPr>
          <w:color w:val="231F20"/>
          <w:w w:val="105"/>
        </w:rPr>
        <w:t>3,</w:t>
      </w:r>
      <w:r>
        <w:rPr>
          <w:color w:val="231F20"/>
          <w:spacing w:val="-8"/>
          <w:w w:val="105"/>
        </w:rPr>
        <w:t> </w:t>
      </w:r>
      <w:r>
        <w:rPr>
          <w:color w:val="231F20"/>
          <w:w w:val="105"/>
        </w:rPr>
        <w:t>Cosme’s</w:t>
      </w:r>
      <w:r>
        <w:rPr>
          <w:color w:val="231F20"/>
          <w:spacing w:val="-3"/>
          <w:w w:val="105"/>
        </w:rPr>
        <w:t> </w:t>
      </w:r>
      <w:r>
        <w:rPr>
          <w:color w:val="231F20"/>
          <w:w w:val="105"/>
        </w:rPr>
        <w:t>cousin,</w:t>
      </w:r>
      <w:r>
        <w:rPr>
          <w:color w:val="231F20"/>
          <w:spacing w:val="-8"/>
          <w:w w:val="105"/>
        </w:rPr>
        <w:t> </w:t>
      </w:r>
      <w:r>
        <w:rPr>
          <w:color w:val="231F20"/>
          <w:w w:val="105"/>
        </w:rPr>
        <w:t>Lola,</w:t>
      </w:r>
      <w:r>
        <w:rPr>
          <w:color w:val="231F20"/>
          <w:spacing w:val="-8"/>
          <w:w w:val="105"/>
        </w:rPr>
        <w:t> </w:t>
      </w:r>
      <w:r>
        <w:rPr>
          <w:color w:val="231F20"/>
          <w:w w:val="105"/>
        </w:rPr>
        <w:t>who</w:t>
      </w:r>
      <w:r>
        <w:rPr>
          <w:color w:val="231F20"/>
          <w:spacing w:val="-3"/>
          <w:w w:val="105"/>
        </w:rPr>
        <w:t> </w:t>
      </w:r>
      <w:r>
        <w:rPr>
          <w:color w:val="231F20"/>
          <w:w w:val="105"/>
        </w:rPr>
        <w:t>lives</w:t>
      </w:r>
      <w:r>
        <w:rPr>
          <w:color w:val="231F20"/>
          <w:spacing w:val="-3"/>
          <w:w w:val="105"/>
        </w:rPr>
        <w:t> </w:t>
      </w:r>
      <w:r>
        <w:rPr>
          <w:color w:val="231F20"/>
          <w:w w:val="105"/>
        </w:rPr>
        <w:t>in Mexico,</w:t>
      </w:r>
      <w:r>
        <w:rPr>
          <w:color w:val="231F20"/>
          <w:spacing w:val="-12"/>
          <w:w w:val="105"/>
        </w:rPr>
        <w:t> </w:t>
      </w:r>
      <w:r>
        <w:rPr>
          <w:color w:val="231F20"/>
          <w:w w:val="105"/>
        </w:rPr>
        <w:t>replies</w:t>
      </w:r>
      <w:r>
        <w:rPr>
          <w:color w:val="231F20"/>
          <w:spacing w:val="-7"/>
          <w:w w:val="105"/>
        </w:rPr>
        <w:t> </w:t>
      </w:r>
      <w:r>
        <w:rPr>
          <w:color w:val="231F20"/>
          <w:w w:val="105"/>
        </w:rPr>
        <w:t>to</w:t>
      </w:r>
      <w:r>
        <w:rPr>
          <w:color w:val="231F20"/>
          <w:spacing w:val="-7"/>
          <w:w w:val="105"/>
        </w:rPr>
        <w:t> </w:t>
      </w:r>
      <w:r>
        <w:rPr>
          <w:color w:val="231F20"/>
          <w:w w:val="105"/>
        </w:rPr>
        <w:t>Cosme’s</w:t>
      </w:r>
      <w:r>
        <w:rPr>
          <w:color w:val="231F20"/>
          <w:spacing w:val="-7"/>
          <w:w w:val="105"/>
        </w:rPr>
        <w:t> </w:t>
      </w:r>
      <w:r>
        <w:rPr>
          <w:color w:val="231F20"/>
          <w:w w:val="105"/>
        </w:rPr>
        <w:t>post</w:t>
      </w:r>
      <w:r>
        <w:rPr>
          <w:color w:val="231F20"/>
          <w:spacing w:val="-7"/>
          <w:w w:val="105"/>
        </w:rPr>
        <w:t> </w:t>
      </w:r>
      <w:r>
        <w:rPr>
          <w:color w:val="231F20"/>
          <w:w w:val="105"/>
        </w:rPr>
        <w:t>by</w:t>
      </w:r>
      <w:r>
        <w:rPr>
          <w:color w:val="231F20"/>
          <w:spacing w:val="-7"/>
          <w:w w:val="105"/>
        </w:rPr>
        <w:t> </w:t>
      </w:r>
      <w:r>
        <w:rPr>
          <w:color w:val="231F20"/>
          <w:w w:val="105"/>
        </w:rPr>
        <w:t>saying</w:t>
      </w:r>
      <w:r>
        <w:rPr>
          <w:color w:val="231F20"/>
          <w:spacing w:val="-7"/>
          <w:w w:val="105"/>
        </w:rPr>
        <w:t> </w:t>
      </w:r>
      <w:r>
        <w:rPr>
          <w:color w:val="231F20"/>
          <w:w w:val="105"/>
        </w:rPr>
        <w:t>that</w:t>
      </w:r>
      <w:r>
        <w:rPr>
          <w:color w:val="231F20"/>
          <w:spacing w:val="-7"/>
          <w:w w:val="105"/>
        </w:rPr>
        <w:t> </w:t>
      </w:r>
      <w:r>
        <w:rPr>
          <w:color w:val="231F20"/>
          <w:w w:val="105"/>
        </w:rPr>
        <w:t>more</w:t>
      </w:r>
      <w:r>
        <w:rPr>
          <w:color w:val="231F20"/>
          <w:spacing w:val="-7"/>
          <w:w w:val="105"/>
        </w:rPr>
        <w:t> </w:t>
      </w:r>
      <w:r>
        <w:rPr>
          <w:color w:val="231F20"/>
          <w:w w:val="105"/>
        </w:rPr>
        <w:t>parties</w:t>
      </w:r>
      <w:r>
        <w:rPr>
          <w:color w:val="231F20"/>
          <w:spacing w:val="-7"/>
          <w:w w:val="105"/>
        </w:rPr>
        <w:t> </w:t>
      </w:r>
      <w:r>
        <w:rPr>
          <w:color w:val="231F20"/>
          <w:w w:val="105"/>
        </w:rPr>
        <w:t>go</w:t>
      </w:r>
      <w:r>
        <w:rPr>
          <w:color w:val="231F20"/>
          <w:spacing w:val="-7"/>
          <w:w w:val="105"/>
        </w:rPr>
        <w:t> </w:t>
      </w:r>
      <w:r>
        <w:rPr>
          <w:color w:val="231F20"/>
          <w:w w:val="105"/>
        </w:rPr>
        <w:t>on.</w:t>
      </w:r>
      <w:r>
        <w:rPr>
          <w:color w:val="231F20"/>
          <w:spacing w:val="-12"/>
          <w:w w:val="105"/>
        </w:rPr>
        <w:t> </w:t>
      </w:r>
      <w:r>
        <w:rPr>
          <w:color w:val="231F20"/>
          <w:w w:val="105"/>
        </w:rPr>
        <w:t>Cos- me replies to his cousin by informing her that he will go to the party in </w:t>
      </w:r>
      <w:r>
        <w:rPr>
          <w:color w:val="231F20"/>
          <w:spacing w:val="-3"/>
          <w:w w:val="105"/>
        </w:rPr>
        <w:t>Tocumbo,</w:t>
      </w:r>
      <w:r>
        <w:rPr>
          <w:color w:val="231F20"/>
          <w:spacing w:val="-10"/>
          <w:w w:val="105"/>
        </w:rPr>
        <w:t> </w:t>
      </w:r>
      <w:r>
        <w:rPr>
          <w:color w:val="231F20"/>
          <w:w w:val="105"/>
        </w:rPr>
        <w:t>and</w:t>
      </w:r>
      <w:r>
        <w:rPr>
          <w:color w:val="231F20"/>
          <w:spacing w:val="-5"/>
          <w:w w:val="105"/>
        </w:rPr>
        <w:t> </w:t>
      </w:r>
      <w:r>
        <w:rPr>
          <w:color w:val="231F20"/>
          <w:w w:val="105"/>
        </w:rPr>
        <w:t>then</w:t>
      </w:r>
      <w:r>
        <w:rPr>
          <w:color w:val="231F20"/>
          <w:spacing w:val="-5"/>
          <w:w w:val="105"/>
        </w:rPr>
        <w:t> </w:t>
      </w:r>
      <w:r>
        <w:rPr>
          <w:color w:val="231F20"/>
          <w:w w:val="105"/>
        </w:rPr>
        <w:t>Lola</w:t>
      </w:r>
      <w:r>
        <w:rPr>
          <w:color w:val="231F20"/>
          <w:spacing w:val="-5"/>
          <w:w w:val="105"/>
        </w:rPr>
        <w:t> </w:t>
      </w:r>
      <w:r>
        <w:rPr>
          <w:color w:val="231F20"/>
          <w:w w:val="105"/>
        </w:rPr>
        <w:t>asks</w:t>
      </w:r>
      <w:r>
        <w:rPr>
          <w:color w:val="231F20"/>
          <w:spacing w:val="-5"/>
          <w:w w:val="105"/>
        </w:rPr>
        <w:t> </w:t>
      </w:r>
      <w:r>
        <w:rPr>
          <w:color w:val="231F20"/>
          <w:w w:val="105"/>
        </w:rPr>
        <w:t>him</w:t>
      </w:r>
      <w:r>
        <w:rPr>
          <w:color w:val="231F20"/>
          <w:spacing w:val="-5"/>
          <w:w w:val="105"/>
        </w:rPr>
        <w:t> </w:t>
      </w:r>
      <w:r>
        <w:rPr>
          <w:color w:val="231F20"/>
          <w:w w:val="105"/>
        </w:rPr>
        <w:t>what</w:t>
      </w:r>
      <w:r>
        <w:rPr>
          <w:color w:val="231F20"/>
          <w:spacing w:val="-5"/>
          <w:w w:val="105"/>
        </w:rPr>
        <w:t> </w:t>
      </w:r>
      <w:r>
        <w:rPr>
          <w:color w:val="231F20"/>
          <w:w w:val="105"/>
        </w:rPr>
        <w:t>time</w:t>
      </w:r>
      <w:r>
        <w:rPr>
          <w:color w:val="231F20"/>
          <w:spacing w:val="-5"/>
          <w:w w:val="105"/>
        </w:rPr>
        <w:t> </w:t>
      </w:r>
      <w:r>
        <w:rPr>
          <w:color w:val="231F20"/>
          <w:w w:val="105"/>
        </w:rPr>
        <w:t>they</w:t>
      </w:r>
      <w:r>
        <w:rPr>
          <w:color w:val="231F20"/>
          <w:spacing w:val="-5"/>
          <w:w w:val="105"/>
        </w:rPr>
        <w:t> </w:t>
      </w:r>
      <w:r>
        <w:rPr>
          <w:color w:val="231F20"/>
          <w:w w:val="105"/>
        </w:rPr>
        <w:t>will</w:t>
      </w:r>
      <w:r>
        <w:rPr>
          <w:color w:val="231F20"/>
          <w:spacing w:val="-5"/>
          <w:w w:val="105"/>
        </w:rPr>
        <w:t> </w:t>
      </w:r>
      <w:r>
        <w:rPr>
          <w:color w:val="231F20"/>
          <w:w w:val="105"/>
        </w:rPr>
        <w:t>leave</w:t>
      </w:r>
      <w:r>
        <w:rPr>
          <w:color w:val="231F20"/>
          <w:spacing w:val="-5"/>
          <w:w w:val="105"/>
        </w:rPr>
        <w:t> </w:t>
      </w:r>
      <w:r>
        <w:rPr>
          <w:color w:val="231F20"/>
          <w:w w:val="105"/>
        </w:rPr>
        <w:t>(posts</w:t>
      </w:r>
      <w:r>
        <w:rPr>
          <w:color w:val="231F20"/>
          <w:spacing w:val="-5"/>
          <w:w w:val="105"/>
        </w:rPr>
        <w:t> </w:t>
      </w:r>
      <w:r>
        <w:rPr>
          <w:color w:val="231F20"/>
          <w:w w:val="105"/>
        </w:rPr>
        <w:t>4</w:t>
      </w:r>
      <w:r>
        <w:rPr>
          <w:color w:val="231F20"/>
          <w:spacing w:val="-5"/>
          <w:w w:val="105"/>
        </w:rPr>
        <w:t> </w:t>
      </w:r>
      <w:r>
        <w:rPr>
          <w:color w:val="231F20"/>
          <w:w w:val="105"/>
        </w:rPr>
        <w:t>and 5).</w:t>
      </w:r>
      <w:r>
        <w:rPr>
          <w:color w:val="231F20"/>
          <w:spacing w:val="-13"/>
          <w:w w:val="105"/>
        </w:rPr>
        <w:t> </w:t>
      </w:r>
      <w:r>
        <w:rPr>
          <w:color w:val="231F20"/>
          <w:w w:val="105"/>
        </w:rPr>
        <w:t>At</w:t>
      </w:r>
      <w:r>
        <w:rPr>
          <w:color w:val="231F20"/>
          <w:spacing w:val="-3"/>
          <w:w w:val="105"/>
        </w:rPr>
        <w:t> </w:t>
      </w:r>
      <w:r>
        <w:rPr>
          <w:color w:val="231F20"/>
          <w:w w:val="105"/>
        </w:rPr>
        <w:t>this</w:t>
      </w:r>
      <w:r>
        <w:rPr>
          <w:color w:val="231F20"/>
          <w:spacing w:val="-3"/>
          <w:w w:val="105"/>
        </w:rPr>
        <w:t> </w:t>
      </w:r>
      <w:r>
        <w:rPr>
          <w:color w:val="231F20"/>
          <w:w w:val="105"/>
        </w:rPr>
        <w:t>point,</w:t>
      </w:r>
      <w:r>
        <w:rPr>
          <w:color w:val="231F20"/>
          <w:spacing w:val="-9"/>
          <w:w w:val="105"/>
        </w:rPr>
        <w:t> </w:t>
      </w:r>
      <w:r>
        <w:rPr>
          <w:color w:val="231F20"/>
          <w:w w:val="105"/>
        </w:rPr>
        <w:t>two</w:t>
      </w:r>
      <w:r>
        <w:rPr>
          <w:color w:val="231F20"/>
          <w:spacing w:val="-3"/>
          <w:w w:val="105"/>
        </w:rPr>
        <w:t> </w:t>
      </w:r>
      <w:r>
        <w:rPr>
          <w:color w:val="231F20"/>
          <w:w w:val="105"/>
        </w:rPr>
        <w:t>members</w:t>
      </w:r>
      <w:r>
        <w:rPr>
          <w:color w:val="231F20"/>
          <w:spacing w:val="-3"/>
          <w:w w:val="105"/>
        </w:rPr>
        <w:t> </w:t>
      </w:r>
      <w:r>
        <w:rPr>
          <w:color w:val="231F20"/>
          <w:w w:val="105"/>
        </w:rPr>
        <w:t>of</w:t>
      </w:r>
      <w:r>
        <w:rPr>
          <w:color w:val="231F20"/>
          <w:spacing w:val="2"/>
          <w:w w:val="105"/>
        </w:rPr>
        <w:t> </w:t>
      </w:r>
      <w:r>
        <w:rPr>
          <w:color w:val="231F20"/>
          <w:w w:val="105"/>
        </w:rPr>
        <w:t>their</w:t>
      </w:r>
      <w:r>
        <w:rPr>
          <w:color w:val="231F20"/>
          <w:spacing w:val="-3"/>
          <w:w w:val="105"/>
        </w:rPr>
        <w:t> </w:t>
      </w:r>
      <w:r>
        <w:rPr>
          <w:color w:val="231F20"/>
          <w:w w:val="105"/>
        </w:rPr>
        <w:t>network</w:t>
      </w:r>
      <w:r>
        <w:rPr>
          <w:color w:val="231F20"/>
          <w:spacing w:val="-3"/>
          <w:w w:val="105"/>
        </w:rPr>
        <w:t> </w:t>
      </w:r>
      <w:r>
        <w:rPr>
          <w:color w:val="231F20"/>
          <w:w w:val="105"/>
        </w:rPr>
        <w:t>in</w:t>
      </w:r>
      <w:r>
        <w:rPr>
          <w:color w:val="231F20"/>
          <w:spacing w:val="-3"/>
          <w:w w:val="105"/>
        </w:rPr>
        <w:t> </w:t>
      </w:r>
      <w:r>
        <w:rPr>
          <w:color w:val="231F20"/>
          <w:w w:val="105"/>
        </w:rPr>
        <w:t>the</w:t>
      </w:r>
      <w:r>
        <w:rPr>
          <w:color w:val="231F20"/>
          <w:spacing w:val="-3"/>
          <w:w w:val="105"/>
        </w:rPr>
        <w:t> </w:t>
      </w:r>
      <w:r>
        <w:rPr>
          <w:color w:val="231F20"/>
          <w:w w:val="105"/>
        </w:rPr>
        <w:t>U.S.</w:t>
      </w:r>
      <w:r>
        <w:rPr>
          <w:color w:val="231F20"/>
          <w:spacing w:val="-9"/>
          <w:w w:val="105"/>
        </w:rPr>
        <w:t> </w:t>
      </w:r>
      <w:r>
        <w:rPr>
          <w:color w:val="231F20"/>
          <w:w w:val="105"/>
        </w:rPr>
        <w:t>enter</w:t>
      </w:r>
      <w:r>
        <w:rPr>
          <w:color w:val="231F20"/>
          <w:spacing w:val="-3"/>
          <w:w w:val="105"/>
        </w:rPr>
        <w:t> </w:t>
      </w:r>
      <w:r>
        <w:rPr>
          <w:color w:val="231F20"/>
          <w:w w:val="105"/>
        </w:rPr>
        <w:t>the</w:t>
      </w:r>
      <w:r>
        <w:rPr>
          <w:color w:val="231F20"/>
          <w:spacing w:val="-3"/>
          <w:w w:val="105"/>
        </w:rPr>
        <w:t> </w:t>
      </w:r>
      <w:r>
        <w:rPr>
          <w:color w:val="231F20"/>
          <w:w w:val="105"/>
        </w:rPr>
        <w:t>con- versation</w:t>
      </w:r>
      <w:r>
        <w:rPr>
          <w:color w:val="231F20"/>
          <w:spacing w:val="-5"/>
          <w:w w:val="105"/>
        </w:rPr>
        <w:t> </w:t>
      </w:r>
      <w:r>
        <w:rPr>
          <w:color w:val="231F20"/>
          <w:w w:val="105"/>
        </w:rPr>
        <w:t>(posts</w:t>
      </w:r>
      <w:r>
        <w:rPr>
          <w:color w:val="231F20"/>
          <w:spacing w:val="-5"/>
          <w:w w:val="105"/>
        </w:rPr>
        <w:t> </w:t>
      </w:r>
      <w:r>
        <w:rPr>
          <w:color w:val="231F20"/>
          <w:w w:val="105"/>
        </w:rPr>
        <w:t>6</w:t>
      </w:r>
      <w:r>
        <w:rPr>
          <w:color w:val="231F20"/>
          <w:spacing w:val="-5"/>
          <w:w w:val="105"/>
        </w:rPr>
        <w:t> </w:t>
      </w:r>
      <w:r>
        <w:rPr>
          <w:color w:val="231F20"/>
          <w:w w:val="105"/>
        </w:rPr>
        <w:t>and</w:t>
      </w:r>
      <w:r>
        <w:rPr>
          <w:color w:val="231F20"/>
          <w:spacing w:val="-5"/>
          <w:w w:val="105"/>
        </w:rPr>
        <w:t> </w:t>
      </w:r>
      <w:r>
        <w:rPr>
          <w:color w:val="231F20"/>
          <w:w w:val="105"/>
        </w:rPr>
        <w:t>7)</w:t>
      </w:r>
      <w:r>
        <w:rPr>
          <w:color w:val="231F20"/>
          <w:spacing w:val="-5"/>
          <w:w w:val="105"/>
        </w:rPr>
        <w:t> </w:t>
      </w:r>
      <w:r>
        <w:rPr>
          <w:color w:val="231F20"/>
          <w:w w:val="105"/>
        </w:rPr>
        <w:t>to</w:t>
      </w:r>
      <w:r>
        <w:rPr>
          <w:color w:val="231F20"/>
          <w:spacing w:val="-5"/>
          <w:w w:val="105"/>
        </w:rPr>
        <w:t> </w:t>
      </w:r>
      <w:r>
        <w:rPr>
          <w:color w:val="231F20"/>
          <w:w w:val="105"/>
        </w:rPr>
        <w:t>suggest</w:t>
      </w:r>
      <w:r>
        <w:rPr>
          <w:color w:val="231F20"/>
          <w:spacing w:val="-5"/>
          <w:w w:val="105"/>
        </w:rPr>
        <w:t> </w:t>
      </w:r>
      <w:r>
        <w:rPr>
          <w:color w:val="231F20"/>
          <w:w w:val="105"/>
        </w:rPr>
        <w:t>a</w:t>
      </w:r>
      <w:r>
        <w:rPr>
          <w:color w:val="231F20"/>
          <w:spacing w:val="-5"/>
          <w:w w:val="105"/>
        </w:rPr>
        <w:t> </w:t>
      </w:r>
      <w:r>
        <w:rPr>
          <w:color w:val="231F20"/>
          <w:w w:val="105"/>
        </w:rPr>
        <w:t>“better”</w:t>
      </w:r>
      <w:r>
        <w:rPr>
          <w:color w:val="231F20"/>
          <w:spacing w:val="-5"/>
          <w:w w:val="105"/>
        </w:rPr>
        <w:t> </w:t>
      </w:r>
      <w:r>
        <w:rPr>
          <w:color w:val="231F20"/>
          <w:w w:val="105"/>
        </w:rPr>
        <w:t>place</w:t>
      </w:r>
      <w:r>
        <w:rPr>
          <w:color w:val="231F20"/>
          <w:spacing w:val="-5"/>
          <w:w w:val="105"/>
        </w:rPr>
        <w:t> </w:t>
      </w:r>
      <w:r>
        <w:rPr>
          <w:color w:val="231F20"/>
          <w:w w:val="105"/>
        </w:rPr>
        <w:t>to</w:t>
      </w:r>
      <w:r>
        <w:rPr>
          <w:color w:val="231F20"/>
          <w:spacing w:val="-5"/>
          <w:w w:val="105"/>
        </w:rPr>
        <w:t> </w:t>
      </w:r>
      <w:r>
        <w:rPr>
          <w:color w:val="231F20"/>
          <w:w w:val="105"/>
        </w:rPr>
        <w:t>attend</w:t>
      </w:r>
      <w:r>
        <w:rPr>
          <w:color w:val="231F20"/>
          <w:spacing w:val="-5"/>
          <w:w w:val="105"/>
        </w:rPr>
        <w:t> </w:t>
      </w:r>
      <w:r>
        <w:rPr>
          <w:color w:val="231F20"/>
          <w:w w:val="105"/>
        </w:rPr>
        <w:t>a</w:t>
      </w:r>
      <w:r>
        <w:rPr>
          <w:color w:val="231F20"/>
          <w:spacing w:val="-5"/>
          <w:w w:val="105"/>
        </w:rPr>
        <w:t> </w:t>
      </w:r>
      <w:r>
        <w:rPr>
          <w:color w:val="231F20"/>
          <w:w w:val="105"/>
        </w:rPr>
        <w:t>party,</w:t>
      </w:r>
      <w:r>
        <w:rPr>
          <w:color w:val="231F20"/>
          <w:spacing w:val="-11"/>
          <w:w w:val="105"/>
        </w:rPr>
        <w:t> </w:t>
      </w:r>
      <w:r>
        <w:rPr>
          <w:color w:val="231F20"/>
          <w:w w:val="105"/>
        </w:rPr>
        <w:t>to show</w:t>
      </w:r>
      <w:r>
        <w:rPr>
          <w:color w:val="231F20"/>
          <w:spacing w:val="-11"/>
          <w:w w:val="105"/>
        </w:rPr>
        <w:t> </w:t>
      </w:r>
      <w:r>
        <w:rPr>
          <w:color w:val="231F20"/>
          <w:w w:val="105"/>
        </w:rPr>
        <w:t>expertise</w:t>
      </w:r>
      <w:r>
        <w:rPr>
          <w:color w:val="231F20"/>
          <w:spacing w:val="-11"/>
          <w:w w:val="105"/>
        </w:rPr>
        <w:t> </w:t>
      </w:r>
      <w:r>
        <w:rPr>
          <w:color w:val="231F20"/>
          <w:w w:val="105"/>
        </w:rPr>
        <w:t>about</w:t>
      </w:r>
      <w:r>
        <w:rPr>
          <w:color w:val="231F20"/>
          <w:spacing w:val="-11"/>
          <w:w w:val="105"/>
        </w:rPr>
        <w:t> </w:t>
      </w:r>
      <w:r>
        <w:rPr>
          <w:color w:val="231F20"/>
          <w:w w:val="105"/>
        </w:rPr>
        <w:t>Michoacán.</w:t>
      </w:r>
      <w:r>
        <w:rPr>
          <w:color w:val="231F20"/>
          <w:spacing w:val="-20"/>
          <w:w w:val="105"/>
        </w:rPr>
        <w:t> </w:t>
      </w:r>
      <w:r>
        <w:rPr>
          <w:color w:val="231F20"/>
          <w:w w:val="105"/>
        </w:rPr>
        <w:t>A</w:t>
      </w:r>
      <w:r>
        <w:rPr>
          <w:color w:val="231F20"/>
          <w:spacing w:val="-15"/>
          <w:w w:val="105"/>
        </w:rPr>
        <w:t> </w:t>
      </w:r>
      <w:r>
        <w:rPr>
          <w:color w:val="231F20"/>
          <w:w w:val="105"/>
        </w:rPr>
        <w:t>friend</w:t>
      </w:r>
      <w:r>
        <w:rPr>
          <w:color w:val="231F20"/>
          <w:spacing w:val="-11"/>
          <w:w w:val="105"/>
        </w:rPr>
        <w:t> </w:t>
      </w:r>
      <w:r>
        <w:rPr>
          <w:color w:val="231F20"/>
          <w:w w:val="105"/>
        </w:rPr>
        <w:t>in</w:t>
      </w:r>
      <w:r>
        <w:rPr>
          <w:color w:val="231F20"/>
          <w:spacing w:val="-11"/>
          <w:w w:val="105"/>
        </w:rPr>
        <w:t> </w:t>
      </w:r>
      <w:r>
        <w:rPr>
          <w:color w:val="231F20"/>
          <w:w w:val="105"/>
        </w:rPr>
        <w:t>post</w:t>
      </w:r>
      <w:r>
        <w:rPr>
          <w:color w:val="231F20"/>
          <w:spacing w:val="-11"/>
          <w:w w:val="105"/>
        </w:rPr>
        <w:t> </w:t>
      </w:r>
      <w:r>
        <w:rPr>
          <w:color w:val="231F20"/>
          <w:w w:val="105"/>
        </w:rPr>
        <w:t>7</w:t>
      </w:r>
      <w:r>
        <w:rPr>
          <w:color w:val="231F20"/>
          <w:spacing w:val="-11"/>
          <w:w w:val="105"/>
        </w:rPr>
        <w:t> </w:t>
      </w:r>
      <w:r>
        <w:rPr>
          <w:color w:val="231F20"/>
          <w:w w:val="105"/>
        </w:rPr>
        <w:t>adds</w:t>
      </w:r>
      <w:r>
        <w:rPr>
          <w:color w:val="231F20"/>
          <w:spacing w:val="-11"/>
          <w:w w:val="105"/>
        </w:rPr>
        <w:t> </w:t>
      </w:r>
      <w:r>
        <w:rPr>
          <w:color w:val="231F20"/>
          <w:w w:val="105"/>
        </w:rPr>
        <w:t>to</w:t>
      </w:r>
      <w:r>
        <w:rPr>
          <w:color w:val="231F20"/>
          <w:spacing w:val="-11"/>
          <w:w w:val="105"/>
        </w:rPr>
        <w:t> </w:t>
      </w:r>
      <w:r>
        <w:rPr>
          <w:color w:val="231F20"/>
          <w:w w:val="105"/>
        </w:rPr>
        <w:t>his</w:t>
      </w:r>
      <w:r>
        <w:rPr>
          <w:color w:val="231F20"/>
          <w:spacing w:val="-11"/>
          <w:w w:val="105"/>
        </w:rPr>
        <w:t> </w:t>
      </w:r>
      <w:r>
        <w:rPr>
          <w:color w:val="231F20"/>
          <w:w w:val="105"/>
        </w:rPr>
        <w:t>expertise by</w:t>
      </w:r>
      <w:r>
        <w:rPr>
          <w:color w:val="231F20"/>
          <w:spacing w:val="-17"/>
          <w:w w:val="105"/>
        </w:rPr>
        <w:t> </w:t>
      </w:r>
      <w:r>
        <w:rPr>
          <w:color w:val="231F20"/>
          <w:w w:val="105"/>
        </w:rPr>
        <w:t>advising</w:t>
      </w:r>
      <w:r>
        <w:rPr>
          <w:color w:val="231F20"/>
          <w:spacing w:val="-17"/>
          <w:w w:val="105"/>
        </w:rPr>
        <w:t> </w:t>
      </w:r>
      <w:r>
        <w:rPr>
          <w:color w:val="231F20"/>
          <w:w w:val="105"/>
        </w:rPr>
        <w:t>Cosme</w:t>
      </w:r>
      <w:r>
        <w:rPr>
          <w:color w:val="231F20"/>
          <w:spacing w:val="-17"/>
          <w:w w:val="105"/>
        </w:rPr>
        <w:t> </w:t>
      </w:r>
      <w:r>
        <w:rPr>
          <w:color w:val="231F20"/>
          <w:w w:val="105"/>
        </w:rPr>
        <w:t>that</w:t>
      </w:r>
      <w:r>
        <w:rPr>
          <w:color w:val="231F20"/>
          <w:spacing w:val="-17"/>
          <w:w w:val="105"/>
        </w:rPr>
        <w:t> </w:t>
      </w:r>
      <w:r>
        <w:rPr>
          <w:color w:val="231F20"/>
          <w:w w:val="105"/>
        </w:rPr>
        <w:t>he</w:t>
      </w:r>
      <w:r>
        <w:rPr>
          <w:color w:val="231F20"/>
          <w:spacing w:val="-17"/>
          <w:w w:val="105"/>
        </w:rPr>
        <w:t> </w:t>
      </w:r>
      <w:r>
        <w:rPr>
          <w:color w:val="231F20"/>
          <w:w w:val="105"/>
        </w:rPr>
        <w:t>is</w:t>
      </w:r>
      <w:r>
        <w:rPr>
          <w:color w:val="231F20"/>
          <w:spacing w:val="-17"/>
          <w:w w:val="105"/>
        </w:rPr>
        <w:t> </w:t>
      </w:r>
      <w:r>
        <w:rPr>
          <w:color w:val="231F20"/>
          <w:w w:val="105"/>
        </w:rPr>
        <w:t>not</w:t>
      </w:r>
      <w:r>
        <w:rPr>
          <w:color w:val="231F20"/>
          <w:spacing w:val="-17"/>
          <w:w w:val="105"/>
        </w:rPr>
        <w:t> </w:t>
      </w:r>
      <w:r>
        <w:rPr>
          <w:color w:val="231F20"/>
          <w:w w:val="105"/>
        </w:rPr>
        <w:t>“ready”</w:t>
      </w:r>
      <w:r>
        <w:rPr>
          <w:color w:val="231F20"/>
          <w:spacing w:val="-17"/>
          <w:w w:val="105"/>
        </w:rPr>
        <w:t> </w:t>
      </w:r>
      <w:r>
        <w:rPr>
          <w:color w:val="231F20"/>
          <w:w w:val="105"/>
        </w:rPr>
        <w:t>for</w:t>
      </w:r>
      <w:r>
        <w:rPr>
          <w:color w:val="231F20"/>
          <w:spacing w:val="-17"/>
          <w:w w:val="105"/>
        </w:rPr>
        <w:t> </w:t>
      </w:r>
      <w:r>
        <w:rPr>
          <w:color w:val="231F20"/>
          <w:w w:val="105"/>
        </w:rPr>
        <w:t>anything</w:t>
      </w:r>
      <w:r>
        <w:rPr>
          <w:color w:val="231F20"/>
          <w:spacing w:val="-17"/>
          <w:w w:val="105"/>
        </w:rPr>
        <w:t> </w:t>
      </w:r>
      <w:r>
        <w:rPr>
          <w:color w:val="231F20"/>
          <w:w w:val="105"/>
        </w:rPr>
        <w:t>there</w:t>
      </w:r>
      <w:r>
        <w:rPr>
          <w:color w:val="231F20"/>
          <w:spacing w:val="-17"/>
          <w:w w:val="105"/>
        </w:rPr>
        <w:t> </w:t>
      </w:r>
      <w:r>
        <w:rPr>
          <w:color w:val="231F20"/>
          <w:w w:val="105"/>
        </w:rPr>
        <w:t>is</w:t>
      </w:r>
      <w:r>
        <w:rPr>
          <w:color w:val="231F20"/>
          <w:spacing w:val="-17"/>
          <w:w w:val="105"/>
        </w:rPr>
        <w:t> </w:t>
      </w:r>
      <w:r>
        <w:rPr>
          <w:color w:val="231F20"/>
          <w:w w:val="105"/>
        </w:rPr>
        <w:t>at</w:t>
      </w:r>
      <w:r>
        <w:rPr>
          <w:color w:val="231F20"/>
          <w:spacing w:val="-17"/>
          <w:w w:val="105"/>
        </w:rPr>
        <w:t> </w:t>
      </w:r>
      <w:r>
        <w:rPr>
          <w:color w:val="231F20"/>
          <w:w w:val="105"/>
        </w:rPr>
        <w:t>that</w:t>
      </w:r>
      <w:r>
        <w:rPr>
          <w:color w:val="231F20"/>
          <w:spacing w:val="-17"/>
          <w:w w:val="105"/>
        </w:rPr>
        <w:t> </w:t>
      </w:r>
      <w:r>
        <w:rPr>
          <w:color w:val="231F20"/>
          <w:w w:val="105"/>
        </w:rPr>
        <w:t>party (either</w:t>
      </w:r>
      <w:r>
        <w:rPr>
          <w:color w:val="231F20"/>
          <w:spacing w:val="-28"/>
          <w:w w:val="105"/>
        </w:rPr>
        <w:t> </w:t>
      </w:r>
      <w:r>
        <w:rPr>
          <w:color w:val="231F20"/>
          <w:w w:val="105"/>
        </w:rPr>
        <w:t>due</w:t>
      </w:r>
      <w:r>
        <w:rPr>
          <w:color w:val="231F20"/>
          <w:spacing w:val="-28"/>
          <w:w w:val="105"/>
        </w:rPr>
        <w:t> </w:t>
      </w:r>
      <w:r>
        <w:rPr>
          <w:color w:val="231F20"/>
          <w:w w:val="105"/>
        </w:rPr>
        <w:t>to</w:t>
      </w:r>
      <w:r>
        <w:rPr>
          <w:color w:val="231F20"/>
          <w:spacing w:val="-28"/>
          <w:w w:val="105"/>
        </w:rPr>
        <w:t> </w:t>
      </w:r>
      <w:r>
        <w:rPr>
          <w:color w:val="231F20"/>
          <w:w w:val="105"/>
        </w:rPr>
        <w:t>Cosme’s</w:t>
      </w:r>
      <w:r>
        <w:rPr>
          <w:color w:val="231F20"/>
          <w:spacing w:val="-28"/>
          <w:w w:val="105"/>
        </w:rPr>
        <w:t> </w:t>
      </w:r>
      <w:r>
        <w:rPr>
          <w:color w:val="231F20"/>
          <w:w w:val="105"/>
        </w:rPr>
        <w:t>lack</w:t>
      </w:r>
      <w:r>
        <w:rPr>
          <w:color w:val="231F20"/>
          <w:spacing w:val="-28"/>
          <w:w w:val="105"/>
        </w:rPr>
        <w:t> </w:t>
      </w:r>
      <w:r>
        <w:rPr>
          <w:color w:val="231F20"/>
          <w:w w:val="105"/>
        </w:rPr>
        <w:t>of</w:t>
      </w:r>
      <w:r>
        <w:rPr>
          <w:color w:val="231F20"/>
          <w:spacing w:val="-25"/>
          <w:w w:val="105"/>
        </w:rPr>
        <w:t> </w:t>
      </w:r>
      <w:r>
        <w:rPr>
          <w:color w:val="231F20"/>
          <w:w w:val="105"/>
        </w:rPr>
        <w:t>Spanish</w:t>
      </w:r>
      <w:r>
        <w:rPr>
          <w:color w:val="231F20"/>
          <w:spacing w:val="-28"/>
          <w:w w:val="105"/>
        </w:rPr>
        <w:t> </w:t>
      </w:r>
      <w:r>
        <w:rPr>
          <w:color w:val="231F20"/>
          <w:w w:val="105"/>
        </w:rPr>
        <w:t>skills,</w:t>
      </w:r>
      <w:r>
        <w:rPr>
          <w:color w:val="231F20"/>
          <w:spacing w:val="-34"/>
          <w:w w:val="105"/>
        </w:rPr>
        <w:t> </w:t>
      </w:r>
      <w:r>
        <w:rPr>
          <w:color w:val="231F20"/>
          <w:w w:val="105"/>
        </w:rPr>
        <w:t>culture,</w:t>
      </w:r>
      <w:r>
        <w:rPr>
          <w:color w:val="231F20"/>
          <w:spacing w:val="-34"/>
          <w:w w:val="105"/>
        </w:rPr>
        <w:t> </w:t>
      </w:r>
      <w:r>
        <w:rPr>
          <w:color w:val="231F20"/>
          <w:w w:val="105"/>
        </w:rPr>
        <w:t>or</w:t>
      </w:r>
      <w:r>
        <w:rPr>
          <w:color w:val="231F20"/>
          <w:spacing w:val="-28"/>
          <w:w w:val="105"/>
        </w:rPr>
        <w:t> </w:t>
      </w:r>
      <w:r>
        <w:rPr>
          <w:color w:val="231F20"/>
          <w:w w:val="105"/>
        </w:rPr>
        <w:t>age),</w:t>
      </w:r>
      <w:r>
        <w:rPr>
          <w:color w:val="231F20"/>
          <w:spacing w:val="-34"/>
          <w:w w:val="105"/>
        </w:rPr>
        <w:t> </w:t>
      </w:r>
      <w:r>
        <w:rPr>
          <w:color w:val="231F20"/>
          <w:w w:val="105"/>
        </w:rPr>
        <w:t>implying</w:t>
      </w:r>
      <w:r>
        <w:rPr>
          <w:color w:val="231F20"/>
          <w:spacing w:val="-28"/>
          <w:w w:val="105"/>
        </w:rPr>
        <w:t> </w:t>
      </w:r>
      <w:r>
        <w:rPr>
          <w:color w:val="231F20"/>
          <w:w w:val="105"/>
        </w:rPr>
        <w:t>that the</w:t>
      </w:r>
      <w:r>
        <w:rPr>
          <w:color w:val="231F20"/>
          <w:spacing w:val="-13"/>
          <w:w w:val="105"/>
        </w:rPr>
        <w:t> </w:t>
      </w:r>
      <w:r>
        <w:rPr>
          <w:color w:val="231F20"/>
          <w:w w:val="105"/>
        </w:rPr>
        <w:t>friend</w:t>
      </w:r>
      <w:r>
        <w:rPr>
          <w:color w:val="231F20"/>
          <w:spacing w:val="-13"/>
          <w:w w:val="105"/>
        </w:rPr>
        <w:t> </w:t>
      </w:r>
      <w:r>
        <w:rPr>
          <w:color w:val="231F20"/>
          <w:w w:val="105"/>
        </w:rPr>
        <w:t>has</w:t>
      </w:r>
      <w:r>
        <w:rPr>
          <w:color w:val="231F20"/>
          <w:spacing w:val="-13"/>
          <w:w w:val="105"/>
        </w:rPr>
        <w:t> </w:t>
      </w:r>
      <w:r>
        <w:rPr>
          <w:color w:val="231F20"/>
          <w:w w:val="105"/>
        </w:rPr>
        <w:t>gone</w:t>
      </w:r>
      <w:r>
        <w:rPr>
          <w:color w:val="231F20"/>
          <w:spacing w:val="-13"/>
          <w:w w:val="105"/>
        </w:rPr>
        <w:t> </w:t>
      </w:r>
      <w:r>
        <w:rPr>
          <w:color w:val="231F20"/>
          <w:w w:val="105"/>
        </w:rPr>
        <w:t>to</w:t>
      </w:r>
      <w:r>
        <w:rPr>
          <w:color w:val="231F20"/>
          <w:spacing w:val="-13"/>
          <w:w w:val="105"/>
        </w:rPr>
        <w:t> </w:t>
      </w:r>
      <w:r>
        <w:rPr>
          <w:color w:val="231F20"/>
          <w:w w:val="105"/>
        </w:rPr>
        <w:t>such</w:t>
      </w:r>
      <w:r>
        <w:rPr>
          <w:color w:val="231F20"/>
          <w:spacing w:val="-13"/>
          <w:w w:val="105"/>
        </w:rPr>
        <w:t> </w:t>
      </w:r>
      <w:r>
        <w:rPr>
          <w:color w:val="231F20"/>
          <w:w w:val="105"/>
        </w:rPr>
        <w:t>a</w:t>
      </w:r>
      <w:r>
        <w:rPr>
          <w:color w:val="231F20"/>
          <w:spacing w:val="-13"/>
          <w:w w:val="105"/>
        </w:rPr>
        <w:t> </w:t>
      </w:r>
      <w:r>
        <w:rPr>
          <w:color w:val="231F20"/>
          <w:w w:val="105"/>
        </w:rPr>
        <w:t>party.</w:t>
      </w:r>
    </w:p>
    <w:p>
      <w:pPr>
        <w:pStyle w:val="BodyText"/>
        <w:spacing w:line="261" w:lineRule="auto" w:before="1"/>
        <w:ind w:left="1723" w:right="1834" w:firstLine="567"/>
        <w:jc w:val="both"/>
      </w:pPr>
      <w:r>
        <w:rPr>
          <w:color w:val="231F20"/>
          <w:w w:val="105"/>
        </w:rPr>
        <w:t>The</w:t>
      </w:r>
      <w:r>
        <w:rPr>
          <w:color w:val="231F20"/>
          <w:spacing w:val="-24"/>
          <w:w w:val="105"/>
        </w:rPr>
        <w:t> </w:t>
      </w:r>
      <w:r>
        <w:rPr>
          <w:color w:val="231F20"/>
          <w:w w:val="105"/>
        </w:rPr>
        <w:t>use</w:t>
      </w:r>
      <w:r>
        <w:rPr>
          <w:color w:val="231F20"/>
          <w:spacing w:val="-24"/>
          <w:w w:val="105"/>
        </w:rPr>
        <w:t> </w:t>
      </w:r>
      <w:r>
        <w:rPr>
          <w:color w:val="231F20"/>
          <w:w w:val="105"/>
        </w:rPr>
        <w:t>of</w:t>
      </w:r>
      <w:r>
        <w:rPr>
          <w:color w:val="231F20"/>
          <w:spacing w:val="-21"/>
          <w:w w:val="105"/>
        </w:rPr>
        <w:t> </w:t>
      </w:r>
      <w:r>
        <w:rPr>
          <w:color w:val="231F20"/>
          <w:w w:val="105"/>
        </w:rPr>
        <w:t>smart</w:t>
      </w:r>
      <w:r>
        <w:rPr>
          <w:color w:val="231F20"/>
          <w:spacing w:val="-24"/>
          <w:w w:val="105"/>
        </w:rPr>
        <w:t> </w:t>
      </w:r>
      <w:r>
        <w:rPr>
          <w:color w:val="231F20"/>
          <w:w w:val="105"/>
        </w:rPr>
        <w:t>phones</w:t>
      </w:r>
      <w:r>
        <w:rPr>
          <w:color w:val="231F20"/>
          <w:spacing w:val="-24"/>
          <w:w w:val="105"/>
        </w:rPr>
        <w:t> </w:t>
      </w:r>
      <w:r>
        <w:rPr>
          <w:color w:val="231F20"/>
          <w:w w:val="105"/>
        </w:rPr>
        <w:t>and</w:t>
      </w:r>
      <w:r>
        <w:rPr>
          <w:color w:val="231F20"/>
          <w:spacing w:val="-24"/>
          <w:w w:val="105"/>
        </w:rPr>
        <w:t> </w:t>
      </w:r>
      <w:r>
        <w:rPr>
          <w:color w:val="231F20"/>
          <w:w w:val="105"/>
        </w:rPr>
        <w:t>applications</w:t>
      </w:r>
      <w:r>
        <w:rPr>
          <w:color w:val="231F20"/>
          <w:spacing w:val="-24"/>
          <w:w w:val="105"/>
        </w:rPr>
        <w:t> </w:t>
      </w:r>
      <w:r>
        <w:rPr>
          <w:color w:val="231F20"/>
          <w:w w:val="105"/>
        </w:rPr>
        <w:t>such</w:t>
      </w:r>
      <w:r>
        <w:rPr>
          <w:color w:val="231F20"/>
          <w:spacing w:val="-24"/>
          <w:w w:val="105"/>
        </w:rPr>
        <w:t> </w:t>
      </w:r>
      <w:r>
        <w:rPr>
          <w:color w:val="231F20"/>
          <w:w w:val="105"/>
        </w:rPr>
        <w:t>as</w:t>
      </w:r>
      <w:r>
        <w:rPr>
          <w:color w:val="231F20"/>
          <w:spacing w:val="-24"/>
          <w:w w:val="105"/>
        </w:rPr>
        <w:t> </w:t>
      </w:r>
      <w:r>
        <w:rPr>
          <w:color w:val="231F20"/>
          <w:w w:val="105"/>
        </w:rPr>
        <w:t>Facebook</w:t>
      </w:r>
      <w:r>
        <w:rPr>
          <w:color w:val="231F20"/>
          <w:spacing w:val="-24"/>
          <w:w w:val="105"/>
        </w:rPr>
        <w:t> </w:t>
      </w:r>
      <w:r>
        <w:rPr>
          <w:color w:val="231F20"/>
          <w:w w:val="105"/>
        </w:rPr>
        <w:t>Mess- enger,</w:t>
      </w:r>
      <w:r>
        <w:rPr>
          <w:color w:val="231F20"/>
          <w:spacing w:val="-21"/>
          <w:w w:val="105"/>
        </w:rPr>
        <w:t> </w:t>
      </w:r>
      <w:r>
        <w:rPr>
          <w:color w:val="231F20"/>
          <w:w w:val="105"/>
        </w:rPr>
        <w:t>or</w:t>
      </w:r>
      <w:r>
        <w:rPr>
          <w:color w:val="231F20"/>
          <w:spacing w:val="-17"/>
          <w:w w:val="105"/>
        </w:rPr>
        <w:t> </w:t>
      </w:r>
      <w:r>
        <w:rPr>
          <w:color w:val="231F20"/>
          <w:w w:val="105"/>
        </w:rPr>
        <w:t>texting</w:t>
      </w:r>
      <w:r>
        <w:rPr>
          <w:color w:val="231F20"/>
          <w:spacing w:val="-17"/>
          <w:w w:val="105"/>
        </w:rPr>
        <w:t> </w:t>
      </w:r>
      <w:r>
        <w:rPr>
          <w:color w:val="231F20"/>
          <w:w w:val="105"/>
        </w:rPr>
        <w:t>services,</w:t>
      </w:r>
      <w:r>
        <w:rPr>
          <w:color w:val="231F20"/>
          <w:spacing w:val="-21"/>
          <w:w w:val="105"/>
        </w:rPr>
        <w:t> </w:t>
      </w:r>
      <w:r>
        <w:rPr>
          <w:color w:val="231F20"/>
          <w:w w:val="105"/>
        </w:rPr>
        <w:t>has</w:t>
      </w:r>
      <w:r>
        <w:rPr>
          <w:color w:val="231F20"/>
          <w:spacing w:val="-17"/>
          <w:w w:val="105"/>
        </w:rPr>
        <w:t> </w:t>
      </w:r>
      <w:r>
        <w:rPr>
          <w:color w:val="231F20"/>
          <w:w w:val="105"/>
        </w:rPr>
        <w:t>made</w:t>
      </w:r>
      <w:r>
        <w:rPr>
          <w:color w:val="231F20"/>
          <w:spacing w:val="-17"/>
          <w:w w:val="105"/>
        </w:rPr>
        <w:t> </w:t>
      </w:r>
      <w:r>
        <w:rPr>
          <w:color w:val="231F20"/>
          <w:w w:val="105"/>
        </w:rPr>
        <w:t>it</w:t>
      </w:r>
      <w:r>
        <w:rPr>
          <w:color w:val="231F20"/>
          <w:spacing w:val="-17"/>
          <w:w w:val="105"/>
        </w:rPr>
        <w:t> </w:t>
      </w:r>
      <w:r>
        <w:rPr>
          <w:color w:val="231F20"/>
          <w:w w:val="105"/>
        </w:rPr>
        <w:t>easier</w:t>
      </w:r>
      <w:r>
        <w:rPr>
          <w:color w:val="231F20"/>
          <w:spacing w:val="-17"/>
          <w:w w:val="105"/>
        </w:rPr>
        <w:t> </w:t>
      </w:r>
      <w:r>
        <w:rPr>
          <w:color w:val="231F20"/>
          <w:w w:val="105"/>
        </w:rPr>
        <w:t>(and</w:t>
      </w:r>
      <w:r>
        <w:rPr>
          <w:color w:val="231F20"/>
          <w:spacing w:val="-17"/>
          <w:w w:val="105"/>
        </w:rPr>
        <w:t> </w:t>
      </w:r>
      <w:r>
        <w:rPr>
          <w:color w:val="231F20"/>
          <w:w w:val="105"/>
        </w:rPr>
        <w:t>cheaper)</w:t>
      </w:r>
      <w:r>
        <w:rPr>
          <w:color w:val="231F20"/>
          <w:spacing w:val="-17"/>
          <w:w w:val="105"/>
        </w:rPr>
        <w:t> </w:t>
      </w:r>
      <w:r>
        <w:rPr>
          <w:color w:val="231F20"/>
          <w:w w:val="105"/>
        </w:rPr>
        <w:t>for</w:t>
      </w:r>
      <w:r>
        <w:rPr>
          <w:color w:val="231F20"/>
          <w:spacing w:val="-17"/>
          <w:w w:val="105"/>
        </w:rPr>
        <w:t> </w:t>
      </w:r>
      <w:r>
        <w:rPr>
          <w:color w:val="231F20"/>
          <w:w w:val="105"/>
        </w:rPr>
        <w:t>members of the network to maintain connections with one another and to keep a presence</w:t>
      </w:r>
      <w:r>
        <w:rPr>
          <w:color w:val="231F20"/>
          <w:spacing w:val="-9"/>
          <w:w w:val="105"/>
        </w:rPr>
        <w:t> </w:t>
      </w:r>
      <w:r>
        <w:rPr>
          <w:color w:val="231F20"/>
          <w:w w:val="105"/>
        </w:rPr>
        <w:t>in</w:t>
      </w:r>
      <w:r>
        <w:rPr>
          <w:color w:val="231F20"/>
          <w:spacing w:val="-9"/>
          <w:w w:val="105"/>
        </w:rPr>
        <w:t> </w:t>
      </w:r>
      <w:r>
        <w:rPr>
          <w:color w:val="231F20"/>
          <w:w w:val="105"/>
        </w:rPr>
        <w:t>what</w:t>
      </w:r>
      <w:r>
        <w:rPr>
          <w:color w:val="231F20"/>
          <w:spacing w:val="-9"/>
          <w:w w:val="105"/>
        </w:rPr>
        <w:t> </w:t>
      </w:r>
      <w:r>
        <w:rPr>
          <w:color w:val="231F20"/>
          <w:w w:val="105"/>
        </w:rPr>
        <w:t>the</w:t>
      </w:r>
      <w:r>
        <w:rPr>
          <w:color w:val="231F20"/>
          <w:spacing w:val="-9"/>
          <w:w w:val="105"/>
        </w:rPr>
        <w:t> </w:t>
      </w:r>
      <w:r>
        <w:rPr>
          <w:color w:val="231F20"/>
          <w:w w:val="105"/>
        </w:rPr>
        <w:t>members</w:t>
      </w:r>
      <w:r>
        <w:rPr>
          <w:color w:val="231F20"/>
          <w:spacing w:val="-9"/>
          <w:w w:val="105"/>
        </w:rPr>
        <w:t> </w:t>
      </w:r>
      <w:r>
        <w:rPr>
          <w:color w:val="231F20"/>
          <w:w w:val="105"/>
        </w:rPr>
        <w:t>in</w:t>
      </w:r>
      <w:r>
        <w:rPr>
          <w:color w:val="231F20"/>
          <w:spacing w:val="-9"/>
          <w:w w:val="105"/>
        </w:rPr>
        <w:t> </w:t>
      </w:r>
      <w:r>
        <w:rPr>
          <w:color w:val="231F20"/>
          <w:w w:val="105"/>
        </w:rPr>
        <w:t>the</w:t>
      </w:r>
      <w:r>
        <w:rPr>
          <w:color w:val="231F20"/>
          <w:spacing w:val="-9"/>
          <w:w w:val="105"/>
        </w:rPr>
        <w:t> </w:t>
      </w:r>
      <w:r>
        <w:rPr>
          <w:color w:val="231F20"/>
          <w:w w:val="105"/>
        </w:rPr>
        <w:t>other</w:t>
      </w:r>
      <w:r>
        <w:rPr>
          <w:color w:val="231F20"/>
          <w:spacing w:val="-9"/>
          <w:w w:val="105"/>
        </w:rPr>
        <w:t> </w:t>
      </w:r>
      <w:r>
        <w:rPr>
          <w:color w:val="231F20"/>
          <w:w w:val="105"/>
        </w:rPr>
        <w:t>country</w:t>
      </w:r>
      <w:r>
        <w:rPr>
          <w:color w:val="231F20"/>
          <w:spacing w:val="-9"/>
          <w:w w:val="105"/>
        </w:rPr>
        <w:t> </w:t>
      </w:r>
      <w:r>
        <w:rPr>
          <w:color w:val="231F20"/>
          <w:w w:val="105"/>
        </w:rPr>
        <w:t>are</w:t>
      </w:r>
      <w:r>
        <w:rPr>
          <w:color w:val="231F20"/>
          <w:spacing w:val="-9"/>
          <w:w w:val="105"/>
        </w:rPr>
        <w:t> </w:t>
      </w:r>
      <w:r>
        <w:rPr>
          <w:color w:val="231F20"/>
          <w:w w:val="105"/>
        </w:rPr>
        <w:t>doing.</w:t>
      </w:r>
    </w:p>
    <w:p>
      <w:pPr>
        <w:pStyle w:val="BodyText"/>
        <w:spacing w:before="8"/>
        <w:rPr>
          <w:sz w:val="22"/>
        </w:rPr>
      </w:pPr>
    </w:p>
    <w:p>
      <w:pPr>
        <w:pStyle w:val="ListParagraph"/>
        <w:numPr>
          <w:ilvl w:val="0"/>
          <w:numId w:val="11"/>
        </w:numPr>
        <w:tabs>
          <w:tab w:pos="1945" w:val="left" w:leader="none"/>
        </w:tabs>
        <w:spacing w:line="240" w:lineRule="auto" w:before="0" w:after="0"/>
        <w:ind w:left="1944" w:right="0" w:hanging="221"/>
        <w:jc w:val="both"/>
        <w:rPr>
          <w:rFonts w:ascii="Arial"/>
          <w:i/>
          <w:sz w:val="21"/>
        </w:rPr>
      </w:pPr>
      <w:r>
        <w:rPr>
          <w:rFonts w:ascii="Arial"/>
          <w:i/>
          <w:color w:val="231F20"/>
          <w:sz w:val="21"/>
        </w:rPr>
        <w:t>Fulfill Family</w:t>
      </w:r>
      <w:r>
        <w:rPr>
          <w:rFonts w:ascii="Arial"/>
          <w:i/>
          <w:color w:val="231F20"/>
          <w:spacing w:val="-37"/>
          <w:sz w:val="21"/>
        </w:rPr>
        <w:t> </w:t>
      </w:r>
      <w:r>
        <w:rPr>
          <w:rFonts w:ascii="Arial"/>
          <w:i/>
          <w:color w:val="231F20"/>
          <w:sz w:val="21"/>
        </w:rPr>
        <w:t>Roles</w:t>
      </w:r>
    </w:p>
    <w:p>
      <w:pPr>
        <w:pStyle w:val="BodyText"/>
        <w:spacing w:before="5"/>
        <w:rPr>
          <w:rFonts w:ascii="Arial"/>
          <w:i/>
          <w:sz w:val="24"/>
        </w:rPr>
      </w:pPr>
    </w:p>
    <w:p>
      <w:pPr>
        <w:pStyle w:val="BodyText"/>
        <w:spacing w:line="261" w:lineRule="auto" w:before="1"/>
        <w:ind w:left="1723" w:right="1828"/>
        <w:jc w:val="both"/>
      </w:pPr>
      <w:r>
        <w:rPr>
          <w:color w:val="231F20"/>
          <w:w w:val="105"/>
        </w:rPr>
        <w:t>Since Facebook became an open social network that accepts anyone over the age of 13, people of all ages have registered, and over 75% of adults</w:t>
      </w:r>
      <w:r>
        <w:rPr>
          <w:color w:val="231F20"/>
          <w:spacing w:val="-17"/>
          <w:w w:val="105"/>
        </w:rPr>
        <w:t> </w:t>
      </w:r>
      <w:r>
        <w:rPr>
          <w:color w:val="231F20"/>
          <w:w w:val="105"/>
        </w:rPr>
        <w:t>use</w:t>
      </w:r>
      <w:r>
        <w:rPr>
          <w:color w:val="231F20"/>
          <w:spacing w:val="-17"/>
          <w:w w:val="105"/>
        </w:rPr>
        <w:t> </w:t>
      </w:r>
      <w:r>
        <w:rPr>
          <w:color w:val="231F20"/>
          <w:w w:val="105"/>
        </w:rPr>
        <w:t>it</w:t>
      </w:r>
      <w:r>
        <w:rPr>
          <w:color w:val="231F20"/>
          <w:spacing w:val="-17"/>
          <w:w w:val="105"/>
        </w:rPr>
        <w:t> </w:t>
      </w:r>
      <w:r>
        <w:rPr>
          <w:color w:val="231F20"/>
          <w:spacing w:val="-4"/>
          <w:w w:val="105"/>
        </w:rPr>
        <w:t>(Pew</w:t>
      </w:r>
      <w:r>
        <w:rPr>
          <w:color w:val="231F20"/>
          <w:spacing w:val="-17"/>
          <w:w w:val="105"/>
        </w:rPr>
        <w:t> </w:t>
      </w:r>
      <w:r>
        <w:rPr>
          <w:color w:val="231F20"/>
          <w:w w:val="105"/>
        </w:rPr>
        <w:t>Research</w:t>
      </w:r>
      <w:r>
        <w:rPr>
          <w:color w:val="231F20"/>
          <w:spacing w:val="-17"/>
          <w:w w:val="105"/>
        </w:rPr>
        <w:t> </w:t>
      </w:r>
      <w:r>
        <w:rPr>
          <w:color w:val="231F20"/>
          <w:w w:val="105"/>
        </w:rPr>
        <w:t>Center,</w:t>
      </w:r>
      <w:r>
        <w:rPr>
          <w:color w:val="231F20"/>
          <w:spacing w:val="-21"/>
          <w:w w:val="105"/>
        </w:rPr>
        <w:t> </w:t>
      </w:r>
      <w:r>
        <w:rPr>
          <w:color w:val="231F20"/>
          <w:w w:val="105"/>
        </w:rPr>
        <w:t>2015).</w:t>
      </w:r>
      <w:r>
        <w:rPr>
          <w:color w:val="231F20"/>
          <w:spacing w:val="-24"/>
          <w:w w:val="105"/>
        </w:rPr>
        <w:t> </w:t>
      </w:r>
      <w:r>
        <w:rPr>
          <w:color w:val="231F20"/>
          <w:w w:val="105"/>
        </w:rPr>
        <w:t>Articles</w:t>
      </w:r>
      <w:r>
        <w:rPr>
          <w:color w:val="231F20"/>
          <w:spacing w:val="-17"/>
          <w:w w:val="105"/>
        </w:rPr>
        <w:t> </w:t>
      </w:r>
      <w:r>
        <w:rPr>
          <w:color w:val="231F20"/>
          <w:w w:val="105"/>
        </w:rPr>
        <w:t>on</w:t>
      </w:r>
      <w:r>
        <w:rPr>
          <w:color w:val="231F20"/>
          <w:spacing w:val="-17"/>
          <w:w w:val="105"/>
        </w:rPr>
        <w:t> </w:t>
      </w:r>
      <w:r>
        <w:rPr>
          <w:color w:val="231F20"/>
          <w:w w:val="105"/>
        </w:rPr>
        <w:t>helicopter</w:t>
      </w:r>
      <w:r>
        <w:rPr>
          <w:color w:val="231F20"/>
          <w:spacing w:val="-17"/>
          <w:w w:val="105"/>
        </w:rPr>
        <w:t> </w:t>
      </w:r>
      <w:r>
        <w:rPr>
          <w:color w:val="231F20"/>
          <w:w w:val="105"/>
        </w:rPr>
        <w:t>parents and children feeling that parents invade their privacy have filled the co- lumns</w:t>
      </w:r>
      <w:r>
        <w:rPr>
          <w:color w:val="231F20"/>
          <w:spacing w:val="-11"/>
          <w:w w:val="105"/>
        </w:rPr>
        <w:t> </w:t>
      </w:r>
      <w:r>
        <w:rPr>
          <w:color w:val="231F20"/>
          <w:w w:val="105"/>
        </w:rPr>
        <w:t>and</w:t>
      </w:r>
      <w:r>
        <w:rPr>
          <w:color w:val="231F20"/>
          <w:spacing w:val="-11"/>
          <w:w w:val="105"/>
        </w:rPr>
        <w:t> </w:t>
      </w:r>
      <w:r>
        <w:rPr>
          <w:color w:val="231F20"/>
          <w:w w:val="105"/>
        </w:rPr>
        <w:t>opinion</w:t>
      </w:r>
      <w:r>
        <w:rPr>
          <w:color w:val="231F20"/>
          <w:spacing w:val="-11"/>
          <w:w w:val="105"/>
        </w:rPr>
        <w:t> </w:t>
      </w:r>
      <w:r>
        <w:rPr>
          <w:color w:val="231F20"/>
          <w:w w:val="105"/>
        </w:rPr>
        <w:t>pages</w:t>
      </w:r>
      <w:r>
        <w:rPr>
          <w:color w:val="231F20"/>
          <w:spacing w:val="-11"/>
          <w:w w:val="105"/>
        </w:rPr>
        <w:t> </w:t>
      </w:r>
      <w:r>
        <w:rPr>
          <w:color w:val="231F20"/>
          <w:w w:val="105"/>
        </w:rPr>
        <w:t>of</w:t>
      </w:r>
      <w:r>
        <w:rPr>
          <w:color w:val="231F20"/>
          <w:spacing w:val="-6"/>
          <w:w w:val="105"/>
        </w:rPr>
        <w:t> </w:t>
      </w:r>
      <w:r>
        <w:rPr>
          <w:color w:val="231F20"/>
          <w:w w:val="105"/>
        </w:rPr>
        <w:t>periodicals.</w:t>
      </w:r>
      <w:r>
        <w:rPr>
          <w:color w:val="231F20"/>
          <w:spacing w:val="-18"/>
          <w:w w:val="105"/>
        </w:rPr>
        <w:t> </w:t>
      </w:r>
      <w:r>
        <w:rPr>
          <w:color w:val="231F20"/>
          <w:w w:val="105"/>
        </w:rPr>
        <w:t>However,</w:t>
      </w:r>
      <w:r>
        <w:rPr>
          <w:color w:val="231F20"/>
          <w:spacing w:val="-18"/>
          <w:w w:val="105"/>
        </w:rPr>
        <w:t> </w:t>
      </w:r>
      <w:r>
        <w:rPr>
          <w:color w:val="231F20"/>
          <w:w w:val="105"/>
        </w:rPr>
        <w:t>in</w:t>
      </w:r>
      <w:r>
        <w:rPr>
          <w:color w:val="231F20"/>
          <w:spacing w:val="-11"/>
          <w:w w:val="105"/>
        </w:rPr>
        <w:t> </w:t>
      </w:r>
      <w:r>
        <w:rPr>
          <w:color w:val="231F20"/>
          <w:w w:val="105"/>
        </w:rPr>
        <w:t>the</w:t>
      </w:r>
      <w:r>
        <w:rPr>
          <w:color w:val="231F20"/>
          <w:spacing w:val="-11"/>
          <w:w w:val="105"/>
        </w:rPr>
        <w:t> </w:t>
      </w:r>
      <w:r>
        <w:rPr>
          <w:color w:val="231F20"/>
          <w:w w:val="105"/>
        </w:rPr>
        <w:t>focal</w:t>
      </w:r>
      <w:r>
        <w:rPr>
          <w:color w:val="231F20"/>
          <w:spacing w:val="-11"/>
          <w:w w:val="105"/>
        </w:rPr>
        <w:t> </w:t>
      </w:r>
      <w:r>
        <w:rPr>
          <w:color w:val="231F20"/>
          <w:w w:val="105"/>
        </w:rPr>
        <w:t>network,</w:t>
      </w:r>
      <w:r>
        <w:rPr>
          <w:color w:val="231F20"/>
          <w:spacing w:val="-18"/>
          <w:w w:val="105"/>
        </w:rPr>
        <w:t> </w:t>
      </w:r>
      <w:r>
        <w:rPr>
          <w:color w:val="231F20"/>
          <w:w w:val="105"/>
        </w:rPr>
        <w:t>if a</w:t>
      </w:r>
      <w:r>
        <w:rPr>
          <w:color w:val="231F20"/>
          <w:spacing w:val="-23"/>
          <w:w w:val="105"/>
        </w:rPr>
        <w:t> </w:t>
      </w:r>
      <w:r>
        <w:rPr>
          <w:color w:val="231F20"/>
          <w:w w:val="105"/>
        </w:rPr>
        <w:t>parent</w:t>
      </w:r>
      <w:r>
        <w:rPr>
          <w:color w:val="231F20"/>
          <w:spacing w:val="-23"/>
          <w:w w:val="105"/>
        </w:rPr>
        <w:t> </w:t>
      </w:r>
      <w:r>
        <w:rPr>
          <w:color w:val="231F20"/>
          <w:w w:val="105"/>
        </w:rPr>
        <w:t>is</w:t>
      </w:r>
      <w:r>
        <w:rPr>
          <w:color w:val="231F20"/>
          <w:spacing w:val="-23"/>
          <w:w w:val="105"/>
        </w:rPr>
        <w:t> </w:t>
      </w:r>
      <w:r>
        <w:rPr>
          <w:color w:val="231F20"/>
          <w:w w:val="105"/>
        </w:rPr>
        <w:t>not</w:t>
      </w:r>
      <w:r>
        <w:rPr>
          <w:color w:val="231F20"/>
          <w:spacing w:val="-23"/>
          <w:w w:val="105"/>
        </w:rPr>
        <w:t> </w:t>
      </w:r>
      <w:r>
        <w:rPr>
          <w:color w:val="231F20"/>
          <w:w w:val="105"/>
        </w:rPr>
        <w:t>on</w:t>
      </w:r>
      <w:r>
        <w:rPr>
          <w:color w:val="231F20"/>
          <w:spacing w:val="-23"/>
          <w:w w:val="105"/>
        </w:rPr>
        <w:t> </w:t>
      </w:r>
      <w:r>
        <w:rPr>
          <w:color w:val="231F20"/>
          <w:w w:val="105"/>
        </w:rPr>
        <w:t>Facebook,</w:t>
      </w:r>
      <w:r>
        <w:rPr>
          <w:color w:val="231F20"/>
          <w:spacing w:val="-28"/>
          <w:w w:val="105"/>
        </w:rPr>
        <w:t> </w:t>
      </w:r>
      <w:r>
        <w:rPr>
          <w:color w:val="231F20"/>
          <w:w w:val="105"/>
        </w:rPr>
        <w:t>younger</w:t>
      </w:r>
      <w:r>
        <w:rPr>
          <w:color w:val="231F20"/>
          <w:spacing w:val="-23"/>
          <w:w w:val="105"/>
        </w:rPr>
        <w:t> </w:t>
      </w:r>
      <w:r>
        <w:rPr>
          <w:color w:val="231F20"/>
          <w:w w:val="105"/>
        </w:rPr>
        <w:t>members</w:t>
      </w:r>
      <w:r>
        <w:rPr>
          <w:color w:val="231F20"/>
          <w:spacing w:val="-23"/>
          <w:w w:val="105"/>
        </w:rPr>
        <w:t> </w:t>
      </w:r>
      <w:r>
        <w:rPr>
          <w:color w:val="231F20"/>
          <w:w w:val="105"/>
        </w:rPr>
        <w:t>show</w:t>
      </w:r>
      <w:r>
        <w:rPr>
          <w:color w:val="231F20"/>
          <w:spacing w:val="-23"/>
          <w:w w:val="105"/>
        </w:rPr>
        <w:t> </w:t>
      </w:r>
      <w:r>
        <w:rPr>
          <w:color w:val="231F20"/>
          <w:w w:val="105"/>
        </w:rPr>
        <w:t>discontent</w:t>
      </w:r>
      <w:r>
        <w:rPr>
          <w:color w:val="231F20"/>
          <w:spacing w:val="-23"/>
          <w:w w:val="105"/>
        </w:rPr>
        <w:t> </w:t>
      </w:r>
      <w:r>
        <w:rPr>
          <w:color w:val="231F20"/>
          <w:w w:val="105"/>
        </w:rPr>
        <w:t>because this</w:t>
      </w:r>
      <w:r>
        <w:rPr>
          <w:color w:val="231F20"/>
          <w:spacing w:val="-8"/>
          <w:w w:val="105"/>
        </w:rPr>
        <w:t> </w:t>
      </w:r>
      <w:r>
        <w:rPr>
          <w:color w:val="231F20"/>
          <w:w w:val="105"/>
        </w:rPr>
        <w:t>means</w:t>
      </w:r>
      <w:r>
        <w:rPr>
          <w:color w:val="231F20"/>
          <w:spacing w:val="-8"/>
          <w:w w:val="105"/>
        </w:rPr>
        <w:t> </w:t>
      </w:r>
      <w:r>
        <w:rPr>
          <w:color w:val="231F20"/>
          <w:w w:val="105"/>
        </w:rPr>
        <w:t>they</w:t>
      </w:r>
      <w:r>
        <w:rPr>
          <w:color w:val="231F20"/>
          <w:spacing w:val="-8"/>
          <w:w w:val="105"/>
        </w:rPr>
        <w:t> </w:t>
      </w:r>
      <w:r>
        <w:rPr>
          <w:color w:val="231F20"/>
          <w:w w:val="105"/>
        </w:rPr>
        <w:t>will</w:t>
      </w:r>
      <w:r>
        <w:rPr>
          <w:color w:val="231F20"/>
          <w:spacing w:val="-8"/>
          <w:w w:val="105"/>
        </w:rPr>
        <w:t> </w:t>
      </w:r>
      <w:r>
        <w:rPr>
          <w:color w:val="231F20"/>
          <w:w w:val="105"/>
        </w:rPr>
        <w:t>have</w:t>
      </w:r>
      <w:r>
        <w:rPr>
          <w:color w:val="231F20"/>
          <w:spacing w:val="-8"/>
          <w:w w:val="105"/>
        </w:rPr>
        <w:t> </w:t>
      </w:r>
      <w:r>
        <w:rPr>
          <w:color w:val="231F20"/>
          <w:w w:val="105"/>
        </w:rPr>
        <w:t>to</w:t>
      </w:r>
      <w:r>
        <w:rPr>
          <w:color w:val="231F20"/>
          <w:spacing w:val="-9"/>
          <w:w w:val="105"/>
        </w:rPr>
        <w:t> </w:t>
      </w:r>
      <w:r>
        <w:rPr>
          <w:color w:val="231F20"/>
          <w:w w:val="105"/>
        </w:rPr>
        <w:t>fill</w:t>
      </w:r>
      <w:r>
        <w:rPr>
          <w:color w:val="231F20"/>
          <w:spacing w:val="-8"/>
          <w:w w:val="105"/>
        </w:rPr>
        <w:t> </w:t>
      </w:r>
      <w:r>
        <w:rPr>
          <w:color w:val="231F20"/>
          <w:w w:val="105"/>
        </w:rPr>
        <w:t>their</w:t>
      </w:r>
      <w:r>
        <w:rPr>
          <w:color w:val="231F20"/>
          <w:spacing w:val="-8"/>
          <w:w w:val="105"/>
        </w:rPr>
        <w:t> </w:t>
      </w:r>
      <w:r>
        <w:rPr>
          <w:color w:val="231F20"/>
          <w:w w:val="105"/>
        </w:rPr>
        <w:t>parents</w:t>
      </w:r>
      <w:r>
        <w:rPr>
          <w:color w:val="231F20"/>
          <w:spacing w:val="-8"/>
          <w:w w:val="105"/>
        </w:rPr>
        <w:t> </w:t>
      </w:r>
      <w:r>
        <w:rPr>
          <w:color w:val="231F20"/>
          <w:w w:val="105"/>
        </w:rPr>
        <w:t>in</w:t>
      </w:r>
      <w:r>
        <w:rPr>
          <w:color w:val="231F20"/>
          <w:spacing w:val="-8"/>
          <w:w w:val="105"/>
        </w:rPr>
        <w:t> </w:t>
      </w:r>
      <w:r>
        <w:rPr>
          <w:color w:val="231F20"/>
          <w:w w:val="105"/>
        </w:rPr>
        <w:t>on</w:t>
      </w:r>
      <w:r>
        <w:rPr>
          <w:color w:val="231F20"/>
          <w:spacing w:val="-8"/>
          <w:w w:val="105"/>
        </w:rPr>
        <w:t> </w:t>
      </w:r>
      <w:r>
        <w:rPr>
          <w:color w:val="231F20"/>
          <w:w w:val="105"/>
        </w:rPr>
        <w:t>all</w:t>
      </w:r>
      <w:r>
        <w:rPr>
          <w:color w:val="231F20"/>
          <w:spacing w:val="-8"/>
          <w:w w:val="105"/>
        </w:rPr>
        <w:t> </w:t>
      </w:r>
      <w:r>
        <w:rPr>
          <w:color w:val="231F20"/>
          <w:w w:val="105"/>
        </w:rPr>
        <w:t>the</w:t>
      </w:r>
      <w:r>
        <w:rPr>
          <w:color w:val="231F20"/>
          <w:spacing w:val="-8"/>
          <w:w w:val="105"/>
        </w:rPr>
        <w:t> </w:t>
      </w:r>
      <w:r>
        <w:rPr>
          <w:color w:val="231F20"/>
          <w:w w:val="105"/>
        </w:rPr>
        <w:t>news.</w:t>
      </w:r>
      <w:r>
        <w:rPr>
          <w:color w:val="231F20"/>
          <w:spacing w:val="-18"/>
          <w:w w:val="105"/>
        </w:rPr>
        <w:t> </w:t>
      </w:r>
      <w:r>
        <w:rPr>
          <w:color w:val="231F20"/>
          <w:w w:val="105"/>
        </w:rPr>
        <w:t>This</w:t>
      </w:r>
      <w:r>
        <w:rPr>
          <w:color w:val="231F20"/>
          <w:spacing w:val="-8"/>
          <w:w w:val="105"/>
        </w:rPr>
        <w:t> </w:t>
      </w:r>
      <w:r>
        <w:rPr>
          <w:color w:val="231F20"/>
          <w:w w:val="105"/>
        </w:rPr>
        <w:t>way, in</w:t>
      </w:r>
      <w:r>
        <w:rPr>
          <w:color w:val="231F20"/>
          <w:spacing w:val="-7"/>
          <w:w w:val="105"/>
        </w:rPr>
        <w:t> </w:t>
      </w:r>
      <w:r>
        <w:rPr>
          <w:color w:val="231F20"/>
          <w:w w:val="105"/>
        </w:rPr>
        <w:t>many</w:t>
      </w:r>
      <w:r>
        <w:rPr>
          <w:color w:val="231F20"/>
          <w:spacing w:val="-7"/>
          <w:w w:val="105"/>
        </w:rPr>
        <w:t> </w:t>
      </w:r>
      <w:r>
        <w:rPr>
          <w:color w:val="231F20"/>
          <w:w w:val="105"/>
        </w:rPr>
        <w:t>cases,</w:t>
      </w:r>
      <w:r>
        <w:rPr>
          <w:color w:val="231F20"/>
          <w:spacing w:val="-11"/>
          <w:w w:val="105"/>
        </w:rPr>
        <w:t> </w:t>
      </w:r>
      <w:r>
        <w:rPr>
          <w:color w:val="231F20"/>
          <w:w w:val="105"/>
        </w:rPr>
        <w:t>younger</w:t>
      </w:r>
      <w:r>
        <w:rPr>
          <w:color w:val="231F20"/>
          <w:spacing w:val="-7"/>
          <w:w w:val="105"/>
        </w:rPr>
        <w:t> </w:t>
      </w:r>
      <w:r>
        <w:rPr>
          <w:color w:val="231F20"/>
          <w:w w:val="105"/>
        </w:rPr>
        <w:t>members</w:t>
      </w:r>
      <w:r>
        <w:rPr>
          <w:color w:val="231F20"/>
          <w:spacing w:val="-7"/>
          <w:w w:val="105"/>
        </w:rPr>
        <w:t> </w:t>
      </w:r>
      <w:r>
        <w:rPr>
          <w:color w:val="231F20"/>
          <w:w w:val="105"/>
        </w:rPr>
        <w:t>are</w:t>
      </w:r>
      <w:r>
        <w:rPr>
          <w:color w:val="231F20"/>
          <w:spacing w:val="-7"/>
          <w:w w:val="105"/>
        </w:rPr>
        <w:t> </w:t>
      </w:r>
      <w:r>
        <w:rPr>
          <w:color w:val="231F20"/>
          <w:w w:val="105"/>
        </w:rPr>
        <w:t>the</w:t>
      </w:r>
      <w:r>
        <w:rPr>
          <w:color w:val="231F20"/>
          <w:spacing w:val="-7"/>
          <w:w w:val="105"/>
        </w:rPr>
        <w:t> </w:t>
      </w:r>
      <w:r>
        <w:rPr>
          <w:color w:val="231F20"/>
          <w:w w:val="105"/>
        </w:rPr>
        <w:t>ones</w:t>
      </w:r>
      <w:r>
        <w:rPr>
          <w:color w:val="231F20"/>
          <w:spacing w:val="-7"/>
          <w:w w:val="105"/>
        </w:rPr>
        <w:t> </w:t>
      </w:r>
      <w:r>
        <w:rPr>
          <w:color w:val="231F20"/>
          <w:w w:val="105"/>
        </w:rPr>
        <w:t>creating</w:t>
      </w:r>
      <w:r>
        <w:rPr>
          <w:color w:val="231F20"/>
          <w:spacing w:val="-7"/>
          <w:w w:val="105"/>
        </w:rPr>
        <w:t> </w:t>
      </w:r>
      <w:r>
        <w:rPr>
          <w:color w:val="231F20"/>
          <w:w w:val="105"/>
        </w:rPr>
        <w:t>accounts</w:t>
      </w:r>
      <w:r>
        <w:rPr>
          <w:color w:val="231F20"/>
          <w:spacing w:val="-7"/>
          <w:w w:val="105"/>
        </w:rPr>
        <w:t> </w:t>
      </w:r>
      <w:r>
        <w:rPr>
          <w:color w:val="231F20"/>
          <w:w w:val="105"/>
        </w:rPr>
        <w:t>for</w:t>
      </w:r>
      <w:r>
        <w:rPr>
          <w:color w:val="231F20"/>
          <w:spacing w:val="-7"/>
          <w:w w:val="105"/>
        </w:rPr>
        <w:t> </w:t>
      </w:r>
      <w:r>
        <w:rPr>
          <w:color w:val="231F20"/>
          <w:w w:val="105"/>
        </w:rPr>
        <w:t>ol- </w:t>
      </w:r>
      <w:r>
        <w:rPr>
          <w:color w:val="231F20"/>
          <w:spacing w:val="-3"/>
          <w:w w:val="105"/>
        </w:rPr>
        <w:t>der,</w:t>
      </w:r>
      <w:r>
        <w:rPr>
          <w:color w:val="231F20"/>
          <w:spacing w:val="-15"/>
          <w:w w:val="105"/>
        </w:rPr>
        <w:t> </w:t>
      </w:r>
      <w:r>
        <w:rPr>
          <w:color w:val="231F20"/>
          <w:w w:val="105"/>
        </w:rPr>
        <w:t>less</w:t>
      </w:r>
      <w:r>
        <w:rPr>
          <w:color w:val="231F20"/>
          <w:spacing w:val="-9"/>
          <w:w w:val="105"/>
        </w:rPr>
        <w:t> </w:t>
      </w:r>
      <w:r>
        <w:rPr>
          <w:color w:val="231F20"/>
          <w:w w:val="105"/>
        </w:rPr>
        <w:t>computer-savvy</w:t>
      </w:r>
      <w:r>
        <w:rPr>
          <w:color w:val="231F20"/>
          <w:spacing w:val="-9"/>
          <w:w w:val="105"/>
        </w:rPr>
        <w:t> </w:t>
      </w:r>
      <w:r>
        <w:rPr>
          <w:color w:val="231F20"/>
          <w:w w:val="105"/>
        </w:rPr>
        <w:t>members;</w:t>
      </w:r>
      <w:r>
        <w:rPr>
          <w:color w:val="231F20"/>
          <w:spacing w:val="-9"/>
          <w:w w:val="105"/>
        </w:rPr>
        <w:t> </w:t>
      </w:r>
      <w:r>
        <w:rPr>
          <w:color w:val="231F20"/>
          <w:w w:val="105"/>
        </w:rPr>
        <w:t>younger</w:t>
      </w:r>
      <w:r>
        <w:rPr>
          <w:color w:val="231F20"/>
          <w:spacing w:val="-9"/>
          <w:w w:val="105"/>
        </w:rPr>
        <w:t> </w:t>
      </w:r>
      <w:r>
        <w:rPr>
          <w:color w:val="231F20"/>
          <w:w w:val="105"/>
        </w:rPr>
        <w:t>members</w:t>
      </w:r>
      <w:r>
        <w:rPr>
          <w:color w:val="231F20"/>
          <w:spacing w:val="-9"/>
          <w:w w:val="105"/>
        </w:rPr>
        <w:t> </w:t>
      </w:r>
      <w:r>
        <w:rPr>
          <w:color w:val="231F20"/>
          <w:w w:val="105"/>
        </w:rPr>
        <w:t>also</w:t>
      </w:r>
      <w:r>
        <w:rPr>
          <w:color w:val="231F20"/>
          <w:spacing w:val="-9"/>
          <w:w w:val="105"/>
        </w:rPr>
        <w:t> </w:t>
      </w:r>
      <w:r>
        <w:rPr>
          <w:color w:val="231F20"/>
          <w:w w:val="105"/>
        </w:rPr>
        <w:t>monitor</w:t>
      </w:r>
      <w:r>
        <w:rPr>
          <w:color w:val="231F20"/>
          <w:spacing w:val="-9"/>
          <w:w w:val="105"/>
        </w:rPr>
        <w:t> </w:t>
      </w:r>
      <w:r>
        <w:rPr>
          <w:color w:val="231F20"/>
          <w:w w:val="105"/>
        </w:rPr>
        <w:t>and teach older members how to use Facebook. Only in a couple of cases do children help their elders set up an account but still remain without friending them. Tita told me: “that was my condition when I opened my </w:t>
      </w:r>
      <w:r>
        <w:rPr>
          <w:color w:val="231F20"/>
          <w:spacing w:val="-3"/>
          <w:w w:val="105"/>
        </w:rPr>
        <w:t>mom’s </w:t>
      </w:r>
      <w:r>
        <w:rPr>
          <w:color w:val="231F20"/>
          <w:w w:val="105"/>
        </w:rPr>
        <w:t>(Licha) </w:t>
      </w:r>
      <w:r>
        <w:rPr>
          <w:color w:val="231F20"/>
          <w:spacing w:val="-5"/>
          <w:w w:val="105"/>
        </w:rPr>
        <w:t>page”. </w:t>
      </w:r>
      <w:r>
        <w:rPr>
          <w:color w:val="231F20"/>
          <w:w w:val="105"/>
        </w:rPr>
        <w:t>The majority of members of the social network</w:t>
      </w:r>
      <w:r>
        <w:rPr>
          <w:color w:val="231F20"/>
          <w:spacing w:val="-32"/>
          <w:w w:val="105"/>
        </w:rPr>
        <w:t> </w:t>
      </w:r>
      <w:r>
        <w:rPr>
          <w:color w:val="231F20"/>
          <w:w w:val="105"/>
        </w:rPr>
        <w:t>are ‘friends’</w:t>
      </w:r>
      <w:r>
        <w:rPr>
          <w:color w:val="231F20"/>
          <w:spacing w:val="-15"/>
          <w:w w:val="105"/>
        </w:rPr>
        <w:t> </w:t>
      </w:r>
      <w:r>
        <w:rPr>
          <w:color w:val="231F20"/>
          <w:w w:val="105"/>
        </w:rPr>
        <w:t>with</w:t>
      </w:r>
      <w:r>
        <w:rPr>
          <w:color w:val="231F20"/>
          <w:spacing w:val="-15"/>
          <w:w w:val="105"/>
        </w:rPr>
        <w:t> </w:t>
      </w:r>
      <w:r>
        <w:rPr>
          <w:color w:val="231F20"/>
          <w:w w:val="105"/>
        </w:rPr>
        <w:t>each</w:t>
      </w:r>
      <w:r>
        <w:rPr>
          <w:color w:val="231F20"/>
          <w:spacing w:val="-15"/>
          <w:w w:val="105"/>
        </w:rPr>
        <w:t> </w:t>
      </w:r>
      <w:r>
        <w:rPr>
          <w:color w:val="231F20"/>
          <w:w w:val="105"/>
        </w:rPr>
        <w:t>other.</w:t>
      </w:r>
      <w:r>
        <w:rPr>
          <w:color w:val="231F20"/>
          <w:spacing w:val="-24"/>
          <w:w w:val="105"/>
        </w:rPr>
        <w:t> </w:t>
      </w:r>
      <w:r>
        <w:rPr>
          <w:color w:val="231F20"/>
          <w:w w:val="105"/>
        </w:rPr>
        <w:t>They</w:t>
      </w:r>
      <w:r>
        <w:rPr>
          <w:color w:val="231F20"/>
          <w:spacing w:val="-15"/>
          <w:w w:val="105"/>
        </w:rPr>
        <w:t> </w:t>
      </w:r>
      <w:r>
        <w:rPr>
          <w:color w:val="231F20"/>
          <w:w w:val="105"/>
        </w:rPr>
        <w:t>have</w:t>
      </w:r>
      <w:r>
        <w:rPr>
          <w:color w:val="231F20"/>
          <w:spacing w:val="-15"/>
          <w:w w:val="105"/>
        </w:rPr>
        <w:t> </w:t>
      </w:r>
      <w:r>
        <w:rPr>
          <w:color w:val="231F20"/>
          <w:w w:val="105"/>
        </w:rPr>
        <w:t>even</w:t>
      </w:r>
      <w:r>
        <w:rPr>
          <w:color w:val="231F20"/>
          <w:spacing w:val="-15"/>
          <w:w w:val="105"/>
        </w:rPr>
        <w:t> </w:t>
      </w:r>
      <w:r>
        <w:rPr>
          <w:color w:val="231F20"/>
          <w:w w:val="105"/>
        </w:rPr>
        <w:t>formed</w:t>
      </w:r>
      <w:r>
        <w:rPr>
          <w:color w:val="231F20"/>
          <w:spacing w:val="-15"/>
          <w:w w:val="105"/>
        </w:rPr>
        <w:t> </w:t>
      </w:r>
      <w:r>
        <w:rPr>
          <w:color w:val="231F20"/>
          <w:w w:val="105"/>
        </w:rPr>
        <w:t>a</w:t>
      </w:r>
      <w:r>
        <w:rPr>
          <w:color w:val="231F20"/>
          <w:spacing w:val="-15"/>
          <w:w w:val="105"/>
        </w:rPr>
        <w:t> </w:t>
      </w:r>
      <w:r>
        <w:rPr>
          <w:color w:val="231F20"/>
          <w:w w:val="105"/>
        </w:rPr>
        <w:t>private</w:t>
      </w:r>
      <w:r>
        <w:rPr>
          <w:color w:val="231F20"/>
          <w:spacing w:val="-15"/>
          <w:w w:val="105"/>
        </w:rPr>
        <w:t> </w:t>
      </w:r>
      <w:r>
        <w:rPr>
          <w:color w:val="231F20"/>
          <w:w w:val="105"/>
        </w:rPr>
        <w:t>Family</w:t>
      </w:r>
      <w:r>
        <w:rPr>
          <w:color w:val="231F20"/>
          <w:spacing w:val="-15"/>
          <w:w w:val="105"/>
        </w:rPr>
        <w:t> </w:t>
      </w:r>
      <w:r>
        <w:rPr>
          <w:color w:val="231F20"/>
          <w:w w:val="105"/>
        </w:rPr>
        <w:t>Group, although they do almost all of their communication publicly (i.e. you do not need to friend them in order to see their posts). Thus, one can see how they prepare for family picnic, their joint vacations or outings, and their organization of trips to Mexico. Another common practice is to see how some members fulfill family roles they lost when they moved</w:t>
      </w:r>
      <w:r>
        <w:rPr>
          <w:color w:val="231F20"/>
          <w:spacing w:val="-38"/>
          <w:w w:val="105"/>
        </w:rPr>
        <w:t> </w:t>
      </w:r>
      <w:r>
        <w:rPr>
          <w:color w:val="231F20"/>
          <w:w w:val="105"/>
        </w:rPr>
        <w:t>away. In some cases, the parents and grandparents had problems with each other, and stop talking to each other. However, their children and gran- dchildren interact with each other via online social networks. Thus, </w:t>
      </w:r>
      <w:r>
        <w:rPr>
          <w:color w:val="231F20"/>
          <w:spacing w:val="-4"/>
          <w:w w:val="105"/>
        </w:rPr>
        <w:t>Fa- </w:t>
      </w:r>
      <w:r>
        <w:rPr>
          <w:color w:val="231F20"/>
          <w:w w:val="105"/>
        </w:rPr>
        <w:t>cebook</w:t>
      </w:r>
      <w:r>
        <w:rPr>
          <w:color w:val="231F20"/>
          <w:spacing w:val="-7"/>
          <w:w w:val="105"/>
        </w:rPr>
        <w:t> </w:t>
      </w:r>
      <w:r>
        <w:rPr>
          <w:color w:val="231F20"/>
          <w:w w:val="105"/>
        </w:rPr>
        <w:t>acts</w:t>
      </w:r>
      <w:r>
        <w:rPr>
          <w:color w:val="231F20"/>
          <w:spacing w:val="-7"/>
          <w:w w:val="105"/>
        </w:rPr>
        <w:t> </w:t>
      </w:r>
      <w:r>
        <w:rPr>
          <w:color w:val="231F20"/>
          <w:w w:val="105"/>
        </w:rPr>
        <w:t>as</w:t>
      </w:r>
      <w:r>
        <w:rPr>
          <w:color w:val="231F20"/>
          <w:spacing w:val="-7"/>
          <w:w w:val="105"/>
        </w:rPr>
        <w:t> </w:t>
      </w:r>
      <w:r>
        <w:rPr>
          <w:color w:val="231F20"/>
          <w:w w:val="105"/>
        </w:rPr>
        <w:t>a</w:t>
      </w:r>
      <w:r>
        <w:rPr>
          <w:color w:val="231F20"/>
          <w:spacing w:val="-7"/>
          <w:w w:val="105"/>
        </w:rPr>
        <w:t> </w:t>
      </w:r>
      <w:r>
        <w:rPr>
          <w:color w:val="231F20"/>
          <w:w w:val="105"/>
        </w:rPr>
        <w:t>“neutral”</w:t>
      </w:r>
      <w:r>
        <w:rPr>
          <w:color w:val="231F20"/>
          <w:spacing w:val="-7"/>
          <w:w w:val="105"/>
        </w:rPr>
        <w:t> </w:t>
      </w:r>
      <w:r>
        <w:rPr>
          <w:color w:val="231F20"/>
          <w:w w:val="105"/>
        </w:rPr>
        <w:t>platform;</w:t>
      </w:r>
      <w:r>
        <w:rPr>
          <w:color w:val="231F20"/>
          <w:spacing w:val="-7"/>
          <w:w w:val="105"/>
        </w:rPr>
        <w:t> </w:t>
      </w:r>
      <w:r>
        <w:rPr>
          <w:color w:val="231F20"/>
          <w:w w:val="105"/>
        </w:rPr>
        <w:t>this</w:t>
      </w:r>
      <w:r>
        <w:rPr>
          <w:color w:val="231F20"/>
          <w:spacing w:val="-7"/>
          <w:w w:val="105"/>
        </w:rPr>
        <w:t> </w:t>
      </w:r>
      <w:r>
        <w:rPr>
          <w:color w:val="231F20"/>
          <w:w w:val="105"/>
        </w:rPr>
        <w:t>is</w:t>
      </w:r>
      <w:r>
        <w:rPr>
          <w:color w:val="231F20"/>
          <w:spacing w:val="-7"/>
          <w:w w:val="105"/>
        </w:rPr>
        <w:t> </w:t>
      </w:r>
      <w:r>
        <w:rPr>
          <w:color w:val="231F20"/>
          <w:w w:val="105"/>
        </w:rPr>
        <w:t>so</w:t>
      </w:r>
      <w:r>
        <w:rPr>
          <w:color w:val="231F20"/>
          <w:spacing w:val="-7"/>
          <w:w w:val="105"/>
        </w:rPr>
        <w:t> </w:t>
      </w:r>
      <w:r>
        <w:rPr>
          <w:color w:val="231F20"/>
          <w:w w:val="105"/>
        </w:rPr>
        <w:t>because</w:t>
      </w:r>
      <w:r>
        <w:rPr>
          <w:color w:val="231F20"/>
          <w:spacing w:val="-7"/>
          <w:w w:val="105"/>
        </w:rPr>
        <w:t> </w:t>
      </w:r>
      <w:r>
        <w:rPr>
          <w:color w:val="231F20"/>
          <w:w w:val="105"/>
        </w:rPr>
        <w:t>the</w:t>
      </w:r>
      <w:r>
        <w:rPr>
          <w:color w:val="231F20"/>
          <w:spacing w:val="-7"/>
          <w:w w:val="105"/>
        </w:rPr>
        <w:t> </w:t>
      </w:r>
      <w:r>
        <w:rPr>
          <w:color w:val="231F20"/>
          <w:w w:val="105"/>
        </w:rPr>
        <w:t>person</w:t>
      </w:r>
      <w:r>
        <w:rPr>
          <w:color w:val="231F20"/>
          <w:spacing w:val="-7"/>
          <w:w w:val="105"/>
        </w:rPr>
        <w:t> </w:t>
      </w:r>
      <w:r>
        <w:rPr>
          <w:color w:val="231F20"/>
          <w:w w:val="105"/>
        </w:rPr>
        <w:t>who</w:t>
      </w:r>
      <w:r>
        <w:rPr>
          <w:color w:val="231F20"/>
          <w:spacing w:val="-7"/>
          <w:w w:val="105"/>
        </w:rPr>
        <w:t> </w:t>
      </w:r>
      <w:r>
        <w:rPr>
          <w:color w:val="231F20"/>
          <w:w w:val="105"/>
        </w:rPr>
        <w:t>a</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46920" from="131.551193pt,3.703715pt" to="131.551193pt,39.506114pt" stroked="true" strokeweight=".35pt" strokecolor="#231f20">
            <w10:wrap type="none"/>
          </v:line>
        </w:pict>
      </w:r>
      <w:r>
        <w:rPr/>
        <w:pict>
          <v:line style="position:absolute;mso-position-horizontal-relative:page;mso-position-vertical-relative:paragraph;z-index:-446848" from="15pt,39.505917pt" to="0pt,39.505917pt" stroked="true" strokeweight=".25pt" strokecolor="#000000">
            <w10:wrap type="none"/>
          </v:line>
        </w:pict>
      </w:r>
      <w:r>
        <w:rPr/>
        <w:pict>
          <v:line style="position:absolute;mso-position-horizontal-relative:page;mso-position-vertical-relative:paragraph;z-index:43360" from="508.890015pt,39.505917pt" to="523.890015pt,39.505917pt" stroked="true" strokeweight=".25pt" strokecolor="#000000">
            <w10:wrap type="none"/>
          </v:line>
        </w:pict>
      </w:r>
      <w:r>
        <w:rPr>
          <w:rFonts w:ascii="Arial"/>
          <w:color w:val="414042"/>
          <w:position w:val="-5"/>
          <w:sz w:val="20"/>
        </w:rPr>
        <w:t>368</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3384" from="405.061005pt,-27.904295pt" to="405.061005pt,6.961579pt" stroked="true" strokeweight=".35pt" strokecolor="#231f20">
            <w10:wrap type="none"/>
          </v:line>
        </w:pict>
      </w:r>
      <w:r>
        <w:rPr/>
        <w:pict>
          <v:line style="position:absolute;mso-position-horizontal-relative:page;mso-position-vertical-relative:paragraph;z-index:43408" from="15pt,-27.90452pt" to="0pt,-27.90452pt" stroked="true" strokeweight=".25pt" strokecolor="#000000">
            <w10:wrap type="none"/>
          </v:line>
        </w:pict>
      </w:r>
      <w:r>
        <w:rPr/>
        <w:pict>
          <v:line style="position:absolute;mso-position-horizontal-relative:page;mso-position-vertical-relative:paragraph;z-index:4343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369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7"/>
        <w:jc w:val="both"/>
      </w:pPr>
      <w:r>
        <w:rPr>
          <w:color w:val="231F20"/>
          <w:w w:val="105"/>
        </w:rPr>
        <w:t>member</w:t>
      </w:r>
      <w:r>
        <w:rPr>
          <w:color w:val="231F20"/>
          <w:spacing w:val="-4"/>
          <w:w w:val="105"/>
        </w:rPr>
        <w:t> </w:t>
      </w:r>
      <w:r>
        <w:rPr>
          <w:color w:val="231F20"/>
          <w:w w:val="105"/>
        </w:rPr>
        <w:t>has</w:t>
      </w:r>
      <w:r>
        <w:rPr>
          <w:color w:val="231F20"/>
          <w:spacing w:val="-4"/>
          <w:w w:val="105"/>
        </w:rPr>
        <w:t> </w:t>
      </w:r>
      <w:r>
        <w:rPr>
          <w:color w:val="231F20"/>
          <w:w w:val="105"/>
        </w:rPr>
        <w:t>a</w:t>
      </w:r>
      <w:r>
        <w:rPr>
          <w:color w:val="231F20"/>
          <w:spacing w:val="-4"/>
          <w:w w:val="105"/>
        </w:rPr>
        <w:t> </w:t>
      </w:r>
      <w:r>
        <w:rPr>
          <w:color w:val="231F20"/>
          <w:w w:val="105"/>
        </w:rPr>
        <w:t>conflict</w:t>
      </w:r>
      <w:r>
        <w:rPr>
          <w:color w:val="231F20"/>
          <w:spacing w:val="-4"/>
          <w:w w:val="105"/>
        </w:rPr>
        <w:t> </w:t>
      </w:r>
      <w:r>
        <w:rPr>
          <w:color w:val="231F20"/>
          <w:w w:val="105"/>
        </w:rPr>
        <w:t>with</w:t>
      </w:r>
      <w:r>
        <w:rPr>
          <w:color w:val="231F20"/>
          <w:spacing w:val="-4"/>
          <w:w w:val="105"/>
        </w:rPr>
        <w:t> </w:t>
      </w:r>
      <w:r>
        <w:rPr>
          <w:color w:val="231F20"/>
          <w:w w:val="105"/>
        </w:rPr>
        <w:t>(i.e.</w:t>
      </w:r>
      <w:r>
        <w:rPr>
          <w:color w:val="231F20"/>
          <w:spacing w:val="-9"/>
          <w:w w:val="105"/>
        </w:rPr>
        <w:t> </w:t>
      </w:r>
      <w:r>
        <w:rPr>
          <w:color w:val="231F20"/>
          <w:w w:val="105"/>
        </w:rPr>
        <w:t>a</w:t>
      </w:r>
      <w:r>
        <w:rPr>
          <w:color w:val="231F20"/>
          <w:spacing w:val="-4"/>
          <w:w w:val="105"/>
        </w:rPr>
        <w:t> </w:t>
      </w:r>
      <w:r>
        <w:rPr>
          <w:color w:val="231F20"/>
          <w:w w:val="105"/>
        </w:rPr>
        <w:t>parent)</w:t>
      </w:r>
      <w:r>
        <w:rPr>
          <w:color w:val="231F20"/>
          <w:spacing w:val="-4"/>
          <w:w w:val="105"/>
        </w:rPr>
        <w:t> </w:t>
      </w:r>
      <w:r>
        <w:rPr>
          <w:color w:val="231F20"/>
          <w:w w:val="105"/>
        </w:rPr>
        <w:t>does</w:t>
      </w:r>
      <w:r>
        <w:rPr>
          <w:color w:val="231F20"/>
          <w:spacing w:val="-4"/>
          <w:w w:val="105"/>
        </w:rPr>
        <w:t> </w:t>
      </w:r>
      <w:r>
        <w:rPr>
          <w:color w:val="231F20"/>
          <w:w w:val="105"/>
        </w:rPr>
        <w:t>not</w:t>
      </w:r>
      <w:r>
        <w:rPr>
          <w:color w:val="231F20"/>
          <w:spacing w:val="-4"/>
          <w:w w:val="105"/>
        </w:rPr>
        <w:t> </w:t>
      </w:r>
      <w:r>
        <w:rPr>
          <w:color w:val="231F20"/>
          <w:w w:val="105"/>
        </w:rPr>
        <w:t>stand</w:t>
      </w:r>
      <w:r>
        <w:rPr>
          <w:color w:val="231F20"/>
          <w:spacing w:val="-4"/>
          <w:w w:val="105"/>
        </w:rPr>
        <w:t> </w:t>
      </w:r>
      <w:r>
        <w:rPr>
          <w:color w:val="231F20"/>
          <w:w w:val="105"/>
        </w:rPr>
        <w:t>in</w:t>
      </w:r>
      <w:r>
        <w:rPr>
          <w:color w:val="231F20"/>
          <w:spacing w:val="-4"/>
          <w:w w:val="105"/>
        </w:rPr>
        <w:t> </w:t>
      </w:r>
      <w:r>
        <w:rPr>
          <w:color w:val="231F20"/>
          <w:w w:val="105"/>
        </w:rPr>
        <w:t>between</w:t>
      </w:r>
      <w:r>
        <w:rPr>
          <w:color w:val="231F20"/>
          <w:spacing w:val="-4"/>
          <w:w w:val="105"/>
        </w:rPr>
        <w:t> </w:t>
      </w:r>
      <w:r>
        <w:rPr>
          <w:color w:val="231F20"/>
          <w:w w:val="105"/>
        </w:rPr>
        <w:t>the member and the niece or nephew. Hence, aunts and uncles can freely interact with nieces/nephews on Facebook, because it does not require going</w:t>
      </w:r>
      <w:r>
        <w:rPr>
          <w:color w:val="231F20"/>
          <w:spacing w:val="-6"/>
          <w:w w:val="105"/>
        </w:rPr>
        <w:t> </w:t>
      </w:r>
      <w:r>
        <w:rPr>
          <w:color w:val="231F20"/>
          <w:w w:val="105"/>
        </w:rPr>
        <w:t>to</w:t>
      </w:r>
      <w:r>
        <w:rPr>
          <w:color w:val="231F20"/>
          <w:spacing w:val="-6"/>
          <w:w w:val="105"/>
        </w:rPr>
        <w:t> </w:t>
      </w:r>
      <w:r>
        <w:rPr>
          <w:color w:val="231F20"/>
          <w:w w:val="105"/>
        </w:rPr>
        <w:t>their</w:t>
      </w:r>
      <w:r>
        <w:rPr>
          <w:color w:val="231F20"/>
          <w:spacing w:val="-6"/>
          <w:w w:val="105"/>
        </w:rPr>
        <w:t> </w:t>
      </w:r>
      <w:r>
        <w:rPr>
          <w:color w:val="231F20"/>
          <w:w w:val="105"/>
        </w:rPr>
        <w:t>house</w:t>
      </w:r>
      <w:r>
        <w:rPr>
          <w:color w:val="231F20"/>
          <w:spacing w:val="-6"/>
          <w:w w:val="105"/>
        </w:rPr>
        <w:t> </w:t>
      </w:r>
      <w:r>
        <w:rPr>
          <w:color w:val="231F20"/>
          <w:w w:val="105"/>
        </w:rPr>
        <w:t>and</w:t>
      </w:r>
      <w:r>
        <w:rPr>
          <w:color w:val="231F20"/>
          <w:spacing w:val="-6"/>
          <w:w w:val="105"/>
        </w:rPr>
        <w:t> </w:t>
      </w:r>
      <w:r>
        <w:rPr>
          <w:color w:val="231F20"/>
          <w:w w:val="105"/>
        </w:rPr>
        <w:t>interacting</w:t>
      </w:r>
      <w:r>
        <w:rPr>
          <w:color w:val="231F20"/>
          <w:spacing w:val="-6"/>
          <w:w w:val="105"/>
        </w:rPr>
        <w:t> </w:t>
      </w:r>
      <w:r>
        <w:rPr>
          <w:color w:val="231F20"/>
          <w:w w:val="105"/>
        </w:rPr>
        <w:t>with</w:t>
      </w:r>
      <w:r>
        <w:rPr>
          <w:color w:val="231F20"/>
          <w:spacing w:val="-6"/>
          <w:w w:val="105"/>
        </w:rPr>
        <w:t> </w:t>
      </w:r>
      <w:r>
        <w:rPr>
          <w:color w:val="231F20"/>
          <w:w w:val="105"/>
        </w:rPr>
        <w:t>the</w:t>
      </w:r>
      <w:r>
        <w:rPr>
          <w:color w:val="231F20"/>
          <w:spacing w:val="-6"/>
          <w:w w:val="105"/>
        </w:rPr>
        <w:t> </w:t>
      </w:r>
      <w:r>
        <w:rPr>
          <w:color w:val="231F20"/>
          <w:w w:val="105"/>
        </w:rPr>
        <w:t>relative</w:t>
      </w:r>
      <w:r>
        <w:rPr>
          <w:color w:val="231F20"/>
          <w:spacing w:val="-6"/>
          <w:w w:val="105"/>
        </w:rPr>
        <w:t> </w:t>
      </w:r>
      <w:r>
        <w:rPr>
          <w:color w:val="231F20"/>
          <w:w w:val="105"/>
        </w:rPr>
        <w:t>with</w:t>
      </w:r>
      <w:r>
        <w:rPr>
          <w:color w:val="231F20"/>
          <w:spacing w:val="-6"/>
          <w:w w:val="105"/>
        </w:rPr>
        <w:t> </w:t>
      </w:r>
      <w:r>
        <w:rPr>
          <w:color w:val="231F20"/>
          <w:w w:val="105"/>
        </w:rPr>
        <w:t>whom</w:t>
      </w:r>
      <w:r>
        <w:rPr>
          <w:color w:val="231F20"/>
          <w:spacing w:val="-6"/>
          <w:w w:val="105"/>
        </w:rPr>
        <w:t> </w:t>
      </w:r>
      <w:r>
        <w:rPr>
          <w:color w:val="231F20"/>
          <w:w w:val="105"/>
        </w:rPr>
        <w:t>they</w:t>
      </w:r>
      <w:r>
        <w:rPr>
          <w:color w:val="231F20"/>
          <w:spacing w:val="-6"/>
          <w:w w:val="105"/>
        </w:rPr>
        <w:t> </w:t>
      </w:r>
      <w:r>
        <w:rPr>
          <w:color w:val="231F20"/>
          <w:w w:val="105"/>
        </w:rPr>
        <w:t>are in conflict. Most interesting is that the parent who they have the conflict with</w:t>
      </w:r>
      <w:r>
        <w:rPr>
          <w:color w:val="231F20"/>
          <w:spacing w:val="-11"/>
          <w:w w:val="105"/>
        </w:rPr>
        <w:t> </w:t>
      </w:r>
      <w:r>
        <w:rPr>
          <w:color w:val="231F20"/>
          <w:w w:val="105"/>
        </w:rPr>
        <w:t>does</w:t>
      </w:r>
      <w:r>
        <w:rPr>
          <w:color w:val="231F20"/>
          <w:spacing w:val="-11"/>
          <w:w w:val="105"/>
        </w:rPr>
        <w:t> </w:t>
      </w:r>
      <w:r>
        <w:rPr>
          <w:color w:val="231F20"/>
          <w:w w:val="105"/>
        </w:rPr>
        <w:t>not</w:t>
      </w:r>
      <w:r>
        <w:rPr>
          <w:color w:val="231F20"/>
          <w:spacing w:val="-11"/>
          <w:w w:val="105"/>
        </w:rPr>
        <w:t> </w:t>
      </w:r>
      <w:r>
        <w:rPr>
          <w:color w:val="231F20"/>
          <w:w w:val="105"/>
        </w:rPr>
        <w:t>intervene</w:t>
      </w:r>
      <w:r>
        <w:rPr>
          <w:color w:val="231F20"/>
          <w:spacing w:val="-11"/>
          <w:w w:val="105"/>
        </w:rPr>
        <w:t> </w:t>
      </w:r>
      <w:r>
        <w:rPr>
          <w:color w:val="231F20"/>
          <w:w w:val="105"/>
        </w:rPr>
        <w:t>to</w:t>
      </w:r>
      <w:r>
        <w:rPr>
          <w:color w:val="231F20"/>
          <w:spacing w:val="-11"/>
          <w:w w:val="105"/>
        </w:rPr>
        <w:t> </w:t>
      </w:r>
      <w:r>
        <w:rPr>
          <w:color w:val="231F20"/>
          <w:w w:val="105"/>
        </w:rPr>
        <w:t>prevent</w:t>
      </w:r>
      <w:r>
        <w:rPr>
          <w:color w:val="231F20"/>
          <w:spacing w:val="-11"/>
          <w:w w:val="105"/>
        </w:rPr>
        <w:t> </w:t>
      </w:r>
      <w:r>
        <w:rPr>
          <w:color w:val="231F20"/>
          <w:w w:val="105"/>
        </w:rPr>
        <w:t>the</w:t>
      </w:r>
      <w:r>
        <w:rPr>
          <w:color w:val="231F20"/>
          <w:spacing w:val="-11"/>
          <w:w w:val="105"/>
        </w:rPr>
        <w:t> </w:t>
      </w:r>
      <w:r>
        <w:rPr>
          <w:color w:val="231F20"/>
          <w:w w:val="105"/>
        </w:rPr>
        <w:t>contact.</w:t>
      </w:r>
      <w:r>
        <w:rPr>
          <w:color w:val="231F20"/>
          <w:spacing w:val="-21"/>
          <w:w w:val="105"/>
        </w:rPr>
        <w:t> </w:t>
      </w:r>
      <w:r>
        <w:rPr>
          <w:color w:val="231F20"/>
          <w:w w:val="105"/>
        </w:rPr>
        <w:t>This</w:t>
      </w:r>
      <w:r>
        <w:rPr>
          <w:color w:val="231F20"/>
          <w:spacing w:val="-11"/>
          <w:w w:val="105"/>
        </w:rPr>
        <w:t> </w:t>
      </w:r>
      <w:r>
        <w:rPr>
          <w:color w:val="231F20"/>
          <w:w w:val="105"/>
        </w:rPr>
        <w:t>way</w:t>
      </w:r>
      <w:r>
        <w:rPr>
          <w:color w:val="231F20"/>
          <w:spacing w:val="-11"/>
          <w:w w:val="105"/>
        </w:rPr>
        <w:t> </w:t>
      </w:r>
      <w:r>
        <w:rPr>
          <w:color w:val="231F20"/>
          <w:w w:val="105"/>
        </w:rPr>
        <w:t>family</w:t>
      </w:r>
      <w:r>
        <w:rPr>
          <w:color w:val="231F20"/>
          <w:spacing w:val="-11"/>
          <w:w w:val="105"/>
        </w:rPr>
        <w:t> </w:t>
      </w:r>
      <w:r>
        <w:rPr>
          <w:color w:val="231F20"/>
          <w:w w:val="105"/>
        </w:rPr>
        <w:t>members often use Facebook to keep in touch but at the same time </w:t>
      </w:r>
      <w:r>
        <w:rPr>
          <w:rFonts w:ascii="Arial" w:hAnsi="Arial"/>
          <w:i/>
          <w:color w:val="231F20"/>
          <w:w w:val="105"/>
        </w:rPr>
        <w:t>educar</w:t>
      </w:r>
      <w:r>
        <w:rPr>
          <w:rFonts w:ascii="Arial" w:hAnsi="Arial"/>
          <w:i/>
          <w:color w:val="231F20"/>
          <w:spacing w:val="-35"/>
          <w:w w:val="105"/>
        </w:rPr>
        <w:t> </w:t>
      </w:r>
      <w:r>
        <w:rPr>
          <w:color w:val="231F20"/>
          <w:w w:val="105"/>
        </w:rPr>
        <w:t>(bring up)</w:t>
      </w:r>
      <w:r>
        <w:rPr>
          <w:color w:val="231F20"/>
          <w:spacing w:val="-6"/>
          <w:w w:val="105"/>
        </w:rPr>
        <w:t> </w:t>
      </w:r>
      <w:r>
        <w:rPr>
          <w:color w:val="231F20"/>
          <w:w w:val="105"/>
        </w:rPr>
        <w:t>or</w:t>
      </w:r>
      <w:r>
        <w:rPr>
          <w:color w:val="231F20"/>
          <w:spacing w:val="-6"/>
          <w:w w:val="105"/>
        </w:rPr>
        <w:t> </w:t>
      </w:r>
      <w:r>
        <w:rPr>
          <w:color w:val="231F20"/>
          <w:w w:val="105"/>
        </w:rPr>
        <w:t>fulfill</w:t>
      </w:r>
      <w:r>
        <w:rPr>
          <w:color w:val="231F20"/>
          <w:spacing w:val="-6"/>
          <w:w w:val="105"/>
        </w:rPr>
        <w:t> </w:t>
      </w:r>
      <w:r>
        <w:rPr>
          <w:color w:val="231F20"/>
          <w:w w:val="105"/>
        </w:rPr>
        <w:t>their</w:t>
      </w:r>
      <w:r>
        <w:rPr>
          <w:color w:val="231F20"/>
          <w:spacing w:val="-6"/>
          <w:w w:val="105"/>
        </w:rPr>
        <w:t> </w:t>
      </w:r>
      <w:r>
        <w:rPr>
          <w:color w:val="231F20"/>
          <w:w w:val="105"/>
        </w:rPr>
        <w:t>role</w:t>
      </w:r>
      <w:r>
        <w:rPr>
          <w:color w:val="231F20"/>
          <w:spacing w:val="-6"/>
          <w:w w:val="105"/>
        </w:rPr>
        <w:t> </w:t>
      </w:r>
      <w:r>
        <w:rPr>
          <w:color w:val="231F20"/>
          <w:w w:val="105"/>
        </w:rPr>
        <w:t>as</w:t>
      </w:r>
      <w:r>
        <w:rPr>
          <w:color w:val="231F20"/>
          <w:spacing w:val="-6"/>
          <w:w w:val="105"/>
        </w:rPr>
        <w:t> </w:t>
      </w:r>
      <w:r>
        <w:rPr>
          <w:color w:val="231F20"/>
          <w:w w:val="105"/>
        </w:rPr>
        <w:t>a</w:t>
      </w:r>
      <w:r>
        <w:rPr>
          <w:color w:val="231F20"/>
          <w:spacing w:val="-6"/>
          <w:w w:val="105"/>
        </w:rPr>
        <w:t> </w:t>
      </w:r>
      <w:r>
        <w:rPr>
          <w:color w:val="231F20"/>
          <w:w w:val="105"/>
        </w:rPr>
        <w:t>godparent,</w:t>
      </w:r>
      <w:r>
        <w:rPr>
          <w:color w:val="231F20"/>
          <w:spacing w:val="-12"/>
          <w:w w:val="105"/>
        </w:rPr>
        <w:t> </w:t>
      </w:r>
      <w:r>
        <w:rPr>
          <w:color w:val="231F20"/>
          <w:w w:val="105"/>
        </w:rPr>
        <w:t>aunt/uncle,</w:t>
      </w:r>
      <w:r>
        <w:rPr>
          <w:color w:val="231F20"/>
          <w:spacing w:val="-12"/>
          <w:w w:val="105"/>
        </w:rPr>
        <w:t> </w:t>
      </w:r>
      <w:r>
        <w:rPr>
          <w:color w:val="231F20"/>
          <w:w w:val="105"/>
        </w:rPr>
        <w:t>or</w:t>
      </w:r>
      <w:r>
        <w:rPr>
          <w:color w:val="231F20"/>
          <w:spacing w:val="-6"/>
          <w:w w:val="105"/>
        </w:rPr>
        <w:t> </w:t>
      </w:r>
      <w:r>
        <w:rPr>
          <w:color w:val="231F20"/>
          <w:w w:val="105"/>
        </w:rPr>
        <w:t>as</w:t>
      </w:r>
      <w:r>
        <w:rPr>
          <w:color w:val="231F20"/>
          <w:spacing w:val="-6"/>
          <w:w w:val="105"/>
        </w:rPr>
        <w:t> </w:t>
      </w:r>
      <w:r>
        <w:rPr>
          <w:color w:val="231F20"/>
          <w:w w:val="105"/>
        </w:rPr>
        <w:t>an</w:t>
      </w:r>
      <w:r>
        <w:rPr>
          <w:color w:val="231F20"/>
          <w:spacing w:val="-6"/>
          <w:w w:val="105"/>
        </w:rPr>
        <w:t> </w:t>
      </w:r>
      <w:r>
        <w:rPr>
          <w:color w:val="231F20"/>
          <w:w w:val="105"/>
        </w:rPr>
        <w:t>older</w:t>
      </w:r>
      <w:r>
        <w:rPr>
          <w:color w:val="231F20"/>
          <w:spacing w:val="-6"/>
          <w:w w:val="105"/>
        </w:rPr>
        <w:t> </w:t>
      </w:r>
      <w:r>
        <w:rPr>
          <w:color w:val="231F20"/>
          <w:w w:val="105"/>
        </w:rPr>
        <w:t>member who has already gone through school (for an explanation of differences between</w:t>
      </w:r>
      <w:r>
        <w:rPr>
          <w:color w:val="231F20"/>
          <w:spacing w:val="-10"/>
          <w:w w:val="105"/>
        </w:rPr>
        <w:t> </w:t>
      </w:r>
      <w:r>
        <w:rPr>
          <w:color w:val="231F20"/>
          <w:w w:val="105"/>
        </w:rPr>
        <w:t>education</w:t>
      </w:r>
      <w:r>
        <w:rPr>
          <w:color w:val="231F20"/>
          <w:spacing w:val="-10"/>
          <w:w w:val="105"/>
        </w:rPr>
        <w:t> </w:t>
      </w:r>
      <w:r>
        <w:rPr>
          <w:color w:val="231F20"/>
          <w:w w:val="105"/>
        </w:rPr>
        <w:t>–</w:t>
      </w:r>
      <w:r>
        <w:rPr>
          <w:color w:val="231F20"/>
          <w:spacing w:val="-10"/>
          <w:w w:val="105"/>
        </w:rPr>
        <w:t> </w:t>
      </w:r>
      <w:r>
        <w:rPr>
          <w:color w:val="231F20"/>
          <w:w w:val="105"/>
        </w:rPr>
        <w:t>educate</w:t>
      </w:r>
      <w:r>
        <w:rPr>
          <w:color w:val="231F20"/>
          <w:spacing w:val="-10"/>
          <w:w w:val="105"/>
        </w:rPr>
        <w:t> </w:t>
      </w:r>
      <w:r>
        <w:rPr>
          <w:color w:val="231F20"/>
          <w:w w:val="105"/>
        </w:rPr>
        <w:t>vs.</w:t>
      </w:r>
      <w:r>
        <w:rPr>
          <w:color w:val="231F20"/>
          <w:spacing w:val="-15"/>
          <w:w w:val="105"/>
        </w:rPr>
        <w:t> </w:t>
      </w:r>
      <w:r>
        <w:rPr>
          <w:rFonts w:ascii="Arial" w:hAnsi="Arial"/>
          <w:i/>
          <w:color w:val="231F20"/>
          <w:w w:val="105"/>
        </w:rPr>
        <w:t>educación</w:t>
      </w:r>
      <w:r>
        <w:rPr>
          <w:rFonts w:ascii="Arial" w:hAnsi="Arial"/>
          <w:i/>
          <w:color w:val="231F20"/>
          <w:spacing w:val="-12"/>
          <w:w w:val="105"/>
        </w:rPr>
        <w:t> </w:t>
      </w:r>
      <w:r>
        <w:rPr>
          <w:color w:val="231F20"/>
          <w:w w:val="105"/>
        </w:rPr>
        <w:t>–</w:t>
      </w:r>
      <w:r>
        <w:rPr>
          <w:color w:val="231F20"/>
          <w:spacing w:val="-10"/>
          <w:w w:val="105"/>
        </w:rPr>
        <w:t> </w:t>
      </w:r>
      <w:r>
        <w:rPr>
          <w:rFonts w:ascii="Arial" w:hAnsi="Arial"/>
          <w:i/>
          <w:color w:val="231F20"/>
          <w:w w:val="105"/>
        </w:rPr>
        <w:t>educar</w:t>
      </w:r>
      <w:r>
        <w:rPr>
          <w:color w:val="231F20"/>
          <w:w w:val="105"/>
        </w:rPr>
        <w:t>,</w:t>
      </w:r>
      <w:r>
        <w:rPr>
          <w:color w:val="231F20"/>
          <w:spacing w:val="-15"/>
          <w:w w:val="105"/>
        </w:rPr>
        <w:t> </w:t>
      </w:r>
      <w:r>
        <w:rPr>
          <w:color w:val="231F20"/>
          <w:w w:val="105"/>
        </w:rPr>
        <w:t>see</w:t>
      </w:r>
      <w:r>
        <w:rPr>
          <w:color w:val="231F20"/>
          <w:spacing w:val="-13"/>
          <w:w w:val="105"/>
        </w:rPr>
        <w:t> </w:t>
      </w:r>
      <w:r>
        <w:rPr>
          <w:color w:val="231F20"/>
          <w:w w:val="105"/>
        </w:rPr>
        <w:t>Valdés,</w:t>
      </w:r>
      <w:r>
        <w:rPr>
          <w:color w:val="231F20"/>
          <w:spacing w:val="-15"/>
          <w:w w:val="105"/>
        </w:rPr>
        <w:t> </w:t>
      </w:r>
      <w:r>
        <w:rPr>
          <w:color w:val="231F20"/>
          <w:w w:val="105"/>
        </w:rPr>
        <w:t>1996). All of this erases physical forms of separation (houses, neighborhoods, and</w:t>
      </w:r>
      <w:r>
        <w:rPr>
          <w:color w:val="231F20"/>
          <w:spacing w:val="-13"/>
          <w:w w:val="105"/>
        </w:rPr>
        <w:t> </w:t>
      </w:r>
      <w:r>
        <w:rPr>
          <w:color w:val="231F20"/>
          <w:w w:val="105"/>
        </w:rPr>
        <w:t>borderlands).</w:t>
      </w:r>
    </w:p>
    <w:p>
      <w:pPr>
        <w:pStyle w:val="BodyText"/>
        <w:spacing w:line="261" w:lineRule="auto" w:before="1"/>
        <w:ind w:left="1837" w:right="1721" w:firstLine="567"/>
        <w:jc w:val="both"/>
      </w:pPr>
      <w:r>
        <w:rPr>
          <w:color w:val="231F20"/>
          <w:spacing w:val="-3"/>
          <w:w w:val="105"/>
        </w:rPr>
        <w:t>Transnationally, </w:t>
      </w:r>
      <w:r>
        <w:rPr>
          <w:color w:val="231F20"/>
          <w:w w:val="105"/>
        </w:rPr>
        <w:t>godparents and aunts/uncles keep track of their godchildren</w:t>
      </w:r>
      <w:r>
        <w:rPr>
          <w:color w:val="231F20"/>
          <w:spacing w:val="-33"/>
          <w:w w:val="105"/>
        </w:rPr>
        <w:t> </w:t>
      </w:r>
      <w:r>
        <w:rPr>
          <w:color w:val="231F20"/>
          <w:w w:val="105"/>
        </w:rPr>
        <w:t>and</w:t>
      </w:r>
      <w:r>
        <w:rPr>
          <w:color w:val="231F20"/>
          <w:spacing w:val="-33"/>
          <w:w w:val="105"/>
        </w:rPr>
        <w:t> </w:t>
      </w:r>
      <w:r>
        <w:rPr>
          <w:color w:val="231F20"/>
          <w:w w:val="105"/>
        </w:rPr>
        <w:t>nieces/nephews.</w:t>
      </w:r>
      <w:r>
        <w:rPr>
          <w:color w:val="231F20"/>
          <w:spacing w:val="-40"/>
          <w:w w:val="105"/>
        </w:rPr>
        <w:t> </w:t>
      </w:r>
      <w:r>
        <w:rPr>
          <w:color w:val="231F20"/>
          <w:w w:val="105"/>
        </w:rPr>
        <w:t>Thus,</w:t>
      </w:r>
      <w:r>
        <w:rPr>
          <w:color w:val="231F20"/>
          <w:spacing w:val="-37"/>
          <w:w w:val="105"/>
        </w:rPr>
        <w:t> </w:t>
      </w:r>
      <w:r>
        <w:rPr>
          <w:color w:val="231F20"/>
          <w:w w:val="105"/>
        </w:rPr>
        <w:t>many</w:t>
      </w:r>
      <w:r>
        <w:rPr>
          <w:color w:val="231F20"/>
          <w:spacing w:val="-33"/>
          <w:w w:val="105"/>
        </w:rPr>
        <w:t> </w:t>
      </w:r>
      <w:r>
        <w:rPr>
          <w:color w:val="231F20"/>
          <w:w w:val="105"/>
        </w:rPr>
        <w:t>posts</w:t>
      </w:r>
      <w:r>
        <w:rPr>
          <w:color w:val="231F20"/>
          <w:spacing w:val="-33"/>
          <w:w w:val="105"/>
        </w:rPr>
        <w:t> </w:t>
      </w:r>
      <w:r>
        <w:rPr>
          <w:color w:val="231F20"/>
          <w:w w:val="105"/>
        </w:rPr>
        <w:t>are</w:t>
      </w:r>
      <w:r>
        <w:rPr>
          <w:color w:val="231F20"/>
          <w:spacing w:val="-33"/>
          <w:w w:val="105"/>
        </w:rPr>
        <w:t> </w:t>
      </w:r>
      <w:r>
        <w:rPr>
          <w:color w:val="231F20"/>
          <w:w w:val="105"/>
        </w:rPr>
        <w:t>response</w:t>
      </w:r>
      <w:r>
        <w:rPr>
          <w:color w:val="231F20"/>
          <w:spacing w:val="-33"/>
          <w:w w:val="105"/>
        </w:rPr>
        <w:t> </w:t>
      </w:r>
      <w:r>
        <w:rPr>
          <w:color w:val="231F20"/>
          <w:w w:val="105"/>
        </w:rPr>
        <w:t>messa- ges</w:t>
      </w:r>
      <w:r>
        <w:rPr>
          <w:color w:val="231F20"/>
          <w:spacing w:val="-4"/>
          <w:w w:val="105"/>
        </w:rPr>
        <w:t> </w:t>
      </w:r>
      <w:r>
        <w:rPr>
          <w:color w:val="231F20"/>
          <w:w w:val="105"/>
        </w:rPr>
        <w:t>to</w:t>
      </w:r>
      <w:r>
        <w:rPr>
          <w:color w:val="231F20"/>
          <w:spacing w:val="-4"/>
          <w:w w:val="105"/>
        </w:rPr>
        <w:t> </w:t>
      </w:r>
      <w:r>
        <w:rPr>
          <w:color w:val="231F20"/>
          <w:w w:val="105"/>
        </w:rPr>
        <w:t>wall</w:t>
      </w:r>
      <w:r>
        <w:rPr>
          <w:color w:val="231F20"/>
          <w:spacing w:val="-4"/>
          <w:w w:val="105"/>
        </w:rPr>
        <w:t> </w:t>
      </w:r>
      <w:r>
        <w:rPr>
          <w:color w:val="231F20"/>
          <w:w w:val="105"/>
        </w:rPr>
        <w:t>posts</w:t>
      </w:r>
      <w:r>
        <w:rPr>
          <w:color w:val="231F20"/>
          <w:spacing w:val="-4"/>
          <w:w w:val="105"/>
        </w:rPr>
        <w:t> </w:t>
      </w:r>
      <w:r>
        <w:rPr>
          <w:color w:val="231F20"/>
          <w:w w:val="105"/>
        </w:rPr>
        <w:t>or</w:t>
      </w:r>
      <w:r>
        <w:rPr>
          <w:color w:val="231F20"/>
          <w:spacing w:val="-4"/>
          <w:w w:val="105"/>
        </w:rPr>
        <w:t> </w:t>
      </w:r>
      <w:r>
        <w:rPr>
          <w:color w:val="231F20"/>
          <w:w w:val="105"/>
        </w:rPr>
        <w:t>pictures</w:t>
      </w:r>
      <w:r>
        <w:rPr>
          <w:color w:val="231F20"/>
          <w:spacing w:val="-4"/>
          <w:w w:val="105"/>
        </w:rPr>
        <w:t> </w:t>
      </w:r>
      <w:r>
        <w:rPr>
          <w:color w:val="231F20"/>
          <w:w w:val="105"/>
        </w:rPr>
        <w:t>by</w:t>
      </w:r>
      <w:r>
        <w:rPr>
          <w:color w:val="231F20"/>
          <w:spacing w:val="-4"/>
          <w:w w:val="105"/>
        </w:rPr>
        <w:t> </w:t>
      </w:r>
      <w:r>
        <w:rPr>
          <w:color w:val="231F20"/>
          <w:w w:val="105"/>
        </w:rPr>
        <w:t>high</w:t>
      </w:r>
      <w:r>
        <w:rPr>
          <w:color w:val="231F20"/>
          <w:spacing w:val="-4"/>
          <w:w w:val="105"/>
        </w:rPr>
        <w:t> </w:t>
      </w:r>
      <w:r>
        <w:rPr>
          <w:color w:val="231F20"/>
          <w:w w:val="105"/>
        </w:rPr>
        <w:t>school</w:t>
      </w:r>
      <w:r>
        <w:rPr>
          <w:color w:val="231F20"/>
          <w:spacing w:val="-4"/>
          <w:w w:val="105"/>
        </w:rPr>
        <w:t> </w:t>
      </w:r>
      <w:r>
        <w:rPr>
          <w:color w:val="231F20"/>
          <w:w w:val="105"/>
        </w:rPr>
        <w:t>aged</w:t>
      </w:r>
      <w:r>
        <w:rPr>
          <w:color w:val="231F20"/>
          <w:spacing w:val="-4"/>
          <w:w w:val="105"/>
        </w:rPr>
        <w:t> </w:t>
      </w:r>
      <w:r>
        <w:rPr>
          <w:color w:val="231F20"/>
          <w:w w:val="105"/>
        </w:rPr>
        <w:t>members</w:t>
      </w:r>
      <w:r>
        <w:rPr>
          <w:color w:val="231F20"/>
          <w:spacing w:val="-4"/>
          <w:w w:val="105"/>
        </w:rPr>
        <w:t> </w:t>
      </w:r>
      <w:r>
        <w:rPr>
          <w:color w:val="231F20"/>
          <w:w w:val="105"/>
        </w:rPr>
        <w:t>that</w:t>
      </w:r>
      <w:r>
        <w:rPr>
          <w:color w:val="231F20"/>
          <w:spacing w:val="-4"/>
          <w:w w:val="105"/>
        </w:rPr>
        <w:t> </w:t>
      </w:r>
      <w:r>
        <w:rPr>
          <w:color w:val="231F20"/>
          <w:w w:val="105"/>
        </w:rPr>
        <w:t>indicate the members did not go to school, such as pictures taken around noon on</w:t>
      </w:r>
      <w:r>
        <w:rPr>
          <w:color w:val="231F20"/>
          <w:spacing w:val="-10"/>
          <w:w w:val="105"/>
        </w:rPr>
        <w:t> </w:t>
      </w:r>
      <w:r>
        <w:rPr>
          <w:color w:val="231F20"/>
          <w:w w:val="105"/>
        </w:rPr>
        <w:t>a</w:t>
      </w:r>
      <w:r>
        <w:rPr>
          <w:color w:val="231F20"/>
          <w:spacing w:val="-10"/>
          <w:w w:val="105"/>
        </w:rPr>
        <w:t> </w:t>
      </w:r>
      <w:r>
        <w:rPr>
          <w:color w:val="231F20"/>
          <w:w w:val="105"/>
        </w:rPr>
        <w:t>weekday.</w:t>
      </w:r>
      <w:r>
        <w:rPr>
          <w:color w:val="231F20"/>
          <w:spacing w:val="-15"/>
          <w:w w:val="105"/>
        </w:rPr>
        <w:t> </w:t>
      </w:r>
      <w:r>
        <w:rPr>
          <w:color w:val="231F20"/>
          <w:spacing w:val="-4"/>
          <w:w w:val="105"/>
        </w:rPr>
        <w:t>For</w:t>
      </w:r>
      <w:r>
        <w:rPr>
          <w:color w:val="231F20"/>
          <w:spacing w:val="-10"/>
          <w:w w:val="105"/>
        </w:rPr>
        <w:t> </w:t>
      </w:r>
      <w:r>
        <w:rPr>
          <w:color w:val="231F20"/>
          <w:w w:val="105"/>
        </w:rPr>
        <w:t>instance</w:t>
      </w:r>
      <w:r>
        <w:rPr>
          <w:color w:val="231F20"/>
          <w:spacing w:val="-10"/>
          <w:w w:val="105"/>
        </w:rPr>
        <w:t> </w:t>
      </w:r>
      <w:r>
        <w:rPr>
          <w:color w:val="231F20"/>
          <w:w w:val="105"/>
        </w:rPr>
        <w:t>in</w:t>
      </w:r>
      <w:r>
        <w:rPr>
          <w:color w:val="231F20"/>
          <w:spacing w:val="-10"/>
          <w:w w:val="105"/>
        </w:rPr>
        <w:t> </w:t>
      </w:r>
      <w:r>
        <w:rPr>
          <w:color w:val="231F20"/>
          <w:w w:val="105"/>
        </w:rPr>
        <w:t>Conversation</w:t>
      </w:r>
      <w:r>
        <w:rPr>
          <w:color w:val="231F20"/>
          <w:spacing w:val="-10"/>
          <w:w w:val="105"/>
        </w:rPr>
        <w:t> </w:t>
      </w:r>
      <w:r>
        <w:rPr>
          <w:color w:val="231F20"/>
          <w:w w:val="105"/>
        </w:rPr>
        <w:t>7,</w:t>
      </w:r>
      <w:r>
        <w:rPr>
          <w:color w:val="231F20"/>
          <w:spacing w:val="-15"/>
          <w:w w:val="105"/>
        </w:rPr>
        <w:t> </w:t>
      </w:r>
      <w:r>
        <w:rPr>
          <w:color w:val="231F20"/>
          <w:w w:val="105"/>
        </w:rPr>
        <w:t>“Skipping</w:t>
      </w:r>
      <w:r>
        <w:rPr>
          <w:color w:val="231F20"/>
          <w:spacing w:val="-10"/>
          <w:w w:val="105"/>
        </w:rPr>
        <w:t> </w:t>
      </w:r>
      <w:r>
        <w:rPr>
          <w:color w:val="231F20"/>
          <w:spacing w:val="-4"/>
          <w:w w:val="105"/>
        </w:rPr>
        <w:t>school”,</w:t>
      </w:r>
      <w:r>
        <w:rPr>
          <w:color w:val="231F20"/>
          <w:spacing w:val="-15"/>
          <w:w w:val="105"/>
        </w:rPr>
        <w:t> </w:t>
      </w:r>
      <w:r>
        <w:rPr>
          <w:color w:val="231F20"/>
          <w:w w:val="105"/>
        </w:rPr>
        <w:t>Fabián posted</w:t>
      </w:r>
      <w:r>
        <w:rPr>
          <w:color w:val="231F20"/>
          <w:spacing w:val="-10"/>
          <w:w w:val="105"/>
        </w:rPr>
        <w:t> </w:t>
      </w:r>
      <w:r>
        <w:rPr>
          <w:color w:val="231F20"/>
          <w:w w:val="105"/>
        </w:rPr>
        <w:t>on</w:t>
      </w:r>
      <w:r>
        <w:rPr>
          <w:color w:val="231F20"/>
          <w:spacing w:val="-10"/>
          <w:w w:val="105"/>
        </w:rPr>
        <w:t> </w:t>
      </w:r>
      <w:r>
        <w:rPr>
          <w:color w:val="231F20"/>
          <w:w w:val="105"/>
        </w:rPr>
        <w:t>his</w:t>
      </w:r>
      <w:r>
        <w:rPr>
          <w:color w:val="231F20"/>
          <w:spacing w:val="-10"/>
          <w:w w:val="105"/>
        </w:rPr>
        <w:t> </w:t>
      </w:r>
      <w:r>
        <w:rPr>
          <w:color w:val="231F20"/>
          <w:w w:val="105"/>
        </w:rPr>
        <w:t>wall</w:t>
      </w:r>
      <w:r>
        <w:rPr>
          <w:color w:val="231F20"/>
          <w:spacing w:val="-10"/>
          <w:w w:val="105"/>
        </w:rPr>
        <w:t> </w:t>
      </w:r>
      <w:r>
        <w:rPr>
          <w:color w:val="231F20"/>
          <w:w w:val="105"/>
        </w:rPr>
        <w:t>that</w:t>
      </w:r>
      <w:r>
        <w:rPr>
          <w:color w:val="231F20"/>
          <w:spacing w:val="-10"/>
          <w:w w:val="105"/>
        </w:rPr>
        <w:t> </w:t>
      </w:r>
      <w:r>
        <w:rPr>
          <w:color w:val="231F20"/>
          <w:w w:val="105"/>
        </w:rPr>
        <w:t>he</w:t>
      </w:r>
      <w:r>
        <w:rPr>
          <w:color w:val="231F20"/>
          <w:spacing w:val="-10"/>
          <w:w w:val="105"/>
        </w:rPr>
        <w:t> </w:t>
      </w:r>
      <w:r>
        <w:rPr>
          <w:color w:val="231F20"/>
          <w:w w:val="105"/>
        </w:rPr>
        <w:t>was</w:t>
      </w:r>
      <w:r>
        <w:rPr>
          <w:color w:val="231F20"/>
          <w:spacing w:val="-10"/>
          <w:w w:val="105"/>
        </w:rPr>
        <w:t> </w:t>
      </w:r>
      <w:r>
        <w:rPr>
          <w:color w:val="231F20"/>
          <w:w w:val="105"/>
        </w:rPr>
        <w:t>playing</w:t>
      </w:r>
      <w:r>
        <w:rPr>
          <w:color w:val="231F20"/>
          <w:spacing w:val="-10"/>
          <w:w w:val="105"/>
        </w:rPr>
        <w:t> </w:t>
      </w:r>
      <w:r>
        <w:rPr>
          <w:color w:val="231F20"/>
          <w:w w:val="105"/>
        </w:rPr>
        <w:t>baseball</w:t>
      </w:r>
      <w:r>
        <w:rPr>
          <w:color w:val="231F20"/>
          <w:spacing w:val="-10"/>
          <w:w w:val="105"/>
        </w:rPr>
        <w:t> </w:t>
      </w:r>
      <w:r>
        <w:rPr>
          <w:color w:val="231F20"/>
          <w:w w:val="105"/>
        </w:rPr>
        <w:t>with</w:t>
      </w:r>
      <w:r>
        <w:rPr>
          <w:color w:val="231F20"/>
          <w:spacing w:val="-10"/>
          <w:w w:val="105"/>
        </w:rPr>
        <w:t> </w:t>
      </w:r>
      <w:r>
        <w:rPr>
          <w:color w:val="231F20"/>
          <w:w w:val="105"/>
        </w:rPr>
        <w:t>his</w:t>
      </w:r>
      <w:r>
        <w:rPr>
          <w:color w:val="231F20"/>
          <w:spacing w:val="-10"/>
          <w:w w:val="105"/>
        </w:rPr>
        <w:t> </w:t>
      </w:r>
      <w:r>
        <w:rPr>
          <w:color w:val="231F20"/>
          <w:w w:val="105"/>
        </w:rPr>
        <w:t>younger</w:t>
      </w:r>
      <w:r>
        <w:rPr>
          <w:color w:val="231F20"/>
          <w:spacing w:val="-10"/>
          <w:w w:val="105"/>
        </w:rPr>
        <w:t> </w:t>
      </w:r>
      <w:r>
        <w:rPr>
          <w:color w:val="231F20"/>
          <w:w w:val="105"/>
        </w:rPr>
        <w:t>cousins (the time indicated was 12:16 p.m.). He uploaded a picture to which his godparent, Marcos, in Mexico responded in a separate post to </w:t>
      </w:r>
      <w:r>
        <w:rPr>
          <w:color w:val="231F20"/>
          <w:spacing w:val="-3"/>
          <w:w w:val="105"/>
        </w:rPr>
        <w:t>Fabián’s </w:t>
      </w:r>
      <w:r>
        <w:rPr>
          <w:color w:val="231F20"/>
          <w:w w:val="105"/>
        </w:rPr>
        <w:t>wall</w:t>
      </w:r>
      <w:r>
        <w:rPr>
          <w:color w:val="231F20"/>
          <w:spacing w:val="-27"/>
          <w:w w:val="105"/>
        </w:rPr>
        <w:t> </w:t>
      </w:r>
      <w:r>
        <w:rPr>
          <w:color w:val="231F20"/>
          <w:spacing w:val="-4"/>
          <w:w w:val="105"/>
        </w:rPr>
        <w:t>(Table</w:t>
      </w:r>
      <w:r>
        <w:rPr>
          <w:color w:val="231F20"/>
          <w:spacing w:val="-27"/>
          <w:w w:val="105"/>
        </w:rPr>
        <w:t> </w:t>
      </w:r>
      <w:r>
        <w:rPr>
          <w:color w:val="231F20"/>
          <w:w w:val="105"/>
        </w:rPr>
        <w:t>8):</w:t>
      </w:r>
    </w:p>
    <w:p>
      <w:pPr>
        <w:pStyle w:val="BodyText"/>
        <w:spacing w:before="4"/>
      </w:pPr>
    </w:p>
    <w:p>
      <w:pPr>
        <w:spacing w:before="0"/>
        <w:ind w:left="3548" w:right="0" w:firstLine="0"/>
        <w:jc w:val="left"/>
        <w:rPr>
          <w:rFonts w:ascii="Arial" w:hAnsi="Arial"/>
          <w:sz w:val="18"/>
        </w:rPr>
      </w:pPr>
      <w:r>
        <w:rPr>
          <w:rFonts w:ascii="Arial" w:hAnsi="Arial"/>
          <w:color w:val="231F20"/>
          <w:w w:val="105"/>
          <w:sz w:val="18"/>
        </w:rPr>
        <w:t>Table 8. Conversation 7, “Skipping school”</w:t>
      </w:r>
    </w:p>
    <w:p>
      <w:pPr>
        <w:pStyle w:val="BodyText"/>
        <w:spacing w:before="5"/>
        <w:rPr>
          <w:rFonts w:ascii="Arial"/>
          <w:sz w:val="13"/>
        </w:rPr>
      </w:pPr>
    </w:p>
    <w:tbl>
      <w:tblPr>
        <w:tblW w:w="0" w:type="auto"/>
        <w:jc w:val="left"/>
        <w:tblInd w:w="215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43"/>
        <w:gridCol w:w="2778"/>
        <w:gridCol w:w="2665"/>
        <w:gridCol w:w="390"/>
      </w:tblGrid>
      <w:tr>
        <w:trPr>
          <w:trHeight w:val="1204" w:hRule="exact"/>
        </w:trPr>
        <w:tc>
          <w:tcPr>
            <w:tcW w:w="443" w:type="dxa"/>
          </w:tcPr>
          <w:p>
            <w:pPr/>
          </w:p>
        </w:tc>
        <w:tc>
          <w:tcPr>
            <w:tcW w:w="2778" w:type="dxa"/>
          </w:tcPr>
          <w:p>
            <w:pPr>
              <w:pStyle w:val="TableParagraph"/>
              <w:ind w:left="77"/>
              <w:jc w:val="both"/>
              <w:rPr>
                <w:sz w:val="18"/>
              </w:rPr>
            </w:pPr>
            <w:r>
              <w:rPr>
                <w:color w:val="231F20"/>
                <w:sz w:val="18"/>
              </w:rPr>
              <w:t>Fabián’s wall</w:t>
            </w:r>
          </w:p>
          <w:p>
            <w:pPr>
              <w:pStyle w:val="TableParagraph"/>
              <w:spacing w:line="254" w:lineRule="auto" w:before="12"/>
              <w:ind w:left="77" w:right="70"/>
              <w:jc w:val="both"/>
              <w:rPr>
                <w:sz w:val="18"/>
              </w:rPr>
            </w:pPr>
            <w:r>
              <w:rPr>
                <w:color w:val="231F20"/>
                <w:w w:val="105"/>
                <w:sz w:val="18"/>
              </w:rPr>
              <w:t>[a picture of </w:t>
            </w:r>
            <w:r>
              <w:rPr>
                <w:color w:val="231F20"/>
                <w:spacing w:val="-3"/>
                <w:w w:val="105"/>
                <w:sz w:val="18"/>
              </w:rPr>
              <w:t>Fabián </w:t>
            </w:r>
            <w:r>
              <w:rPr>
                <w:color w:val="231F20"/>
                <w:w w:val="105"/>
                <w:sz w:val="18"/>
              </w:rPr>
              <w:t>playing out- </w:t>
            </w:r>
            <w:r>
              <w:rPr>
                <w:color w:val="231F20"/>
                <w:spacing w:val="2"/>
                <w:w w:val="105"/>
                <w:sz w:val="18"/>
              </w:rPr>
              <w:t>side </w:t>
            </w:r>
            <w:r>
              <w:rPr>
                <w:color w:val="231F20"/>
                <w:w w:val="105"/>
                <w:sz w:val="18"/>
              </w:rPr>
              <w:t>of his </w:t>
            </w:r>
            <w:r>
              <w:rPr>
                <w:color w:val="231F20"/>
                <w:spacing w:val="2"/>
                <w:w w:val="105"/>
                <w:sz w:val="18"/>
              </w:rPr>
              <w:t>house; picture </w:t>
            </w:r>
            <w:r>
              <w:rPr>
                <w:color w:val="231F20"/>
                <w:spacing w:val="3"/>
                <w:w w:val="105"/>
                <w:sz w:val="18"/>
              </w:rPr>
              <w:t>not </w:t>
            </w:r>
            <w:r>
              <w:rPr>
                <w:color w:val="231F20"/>
                <w:spacing w:val="2"/>
                <w:w w:val="105"/>
                <w:sz w:val="18"/>
              </w:rPr>
              <w:t>included </w:t>
            </w:r>
            <w:r>
              <w:rPr>
                <w:color w:val="231F20"/>
                <w:w w:val="105"/>
                <w:sz w:val="18"/>
              </w:rPr>
              <w:t>to </w:t>
            </w:r>
            <w:r>
              <w:rPr>
                <w:color w:val="231F20"/>
                <w:spacing w:val="2"/>
                <w:w w:val="105"/>
                <w:sz w:val="18"/>
              </w:rPr>
              <w:t>protect </w:t>
            </w:r>
            <w:r>
              <w:rPr>
                <w:color w:val="231F20"/>
                <w:w w:val="105"/>
                <w:sz w:val="18"/>
              </w:rPr>
              <w:t>member’s confidentiality]</w:t>
            </w:r>
          </w:p>
        </w:tc>
        <w:tc>
          <w:tcPr>
            <w:tcW w:w="2665" w:type="dxa"/>
          </w:tcPr>
          <w:p>
            <w:pPr/>
          </w:p>
        </w:tc>
        <w:tc>
          <w:tcPr>
            <w:tcW w:w="390" w:type="dxa"/>
          </w:tcPr>
          <w:p>
            <w:pPr/>
          </w:p>
        </w:tc>
      </w:tr>
      <w:tr>
        <w:trPr>
          <w:trHeight w:val="988" w:hRule="exact"/>
        </w:trPr>
        <w:tc>
          <w:tcPr>
            <w:tcW w:w="443" w:type="dxa"/>
          </w:tcPr>
          <w:p>
            <w:pPr>
              <w:pStyle w:val="TableParagraph"/>
              <w:ind w:left="77"/>
              <w:rPr>
                <w:sz w:val="18"/>
              </w:rPr>
            </w:pPr>
            <w:r>
              <w:rPr>
                <w:color w:val="231F20"/>
                <w:w w:val="104"/>
                <w:sz w:val="18"/>
              </w:rPr>
              <w:t>1</w:t>
            </w:r>
          </w:p>
        </w:tc>
        <w:tc>
          <w:tcPr>
            <w:tcW w:w="2778" w:type="dxa"/>
          </w:tcPr>
          <w:p>
            <w:pPr>
              <w:pStyle w:val="TableParagraph"/>
              <w:spacing w:line="254" w:lineRule="auto"/>
              <w:ind w:left="77" w:right="9"/>
              <w:rPr>
                <w:sz w:val="18"/>
              </w:rPr>
            </w:pPr>
            <w:r>
              <w:rPr>
                <w:color w:val="231F20"/>
                <w:spacing w:val="-3"/>
                <w:w w:val="105"/>
                <w:sz w:val="18"/>
              </w:rPr>
              <w:t>Marcos (godparent) wrote </w:t>
            </w:r>
            <w:r>
              <w:rPr>
                <w:color w:val="231F20"/>
                <w:w w:val="105"/>
                <w:sz w:val="18"/>
              </w:rPr>
              <w:t>on </w:t>
            </w:r>
            <w:r>
              <w:rPr>
                <w:color w:val="231F20"/>
                <w:spacing w:val="-4"/>
                <w:w w:val="105"/>
                <w:sz w:val="18"/>
              </w:rPr>
              <w:t>Fa- </w:t>
            </w:r>
            <w:r>
              <w:rPr>
                <w:color w:val="231F20"/>
                <w:spacing w:val="-3"/>
                <w:w w:val="105"/>
                <w:sz w:val="18"/>
              </w:rPr>
              <w:t>bián’s </w:t>
            </w:r>
            <w:r>
              <w:rPr>
                <w:color w:val="231F20"/>
                <w:w w:val="105"/>
                <w:sz w:val="18"/>
              </w:rPr>
              <w:t>wall:</w:t>
            </w:r>
          </w:p>
          <w:p>
            <w:pPr>
              <w:pStyle w:val="TableParagraph"/>
              <w:spacing w:line="254" w:lineRule="auto" w:before="0"/>
              <w:ind w:left="77" w:right="9"/>
              <w:rPr>
                <w:sz w:val="18"/>
              </w:rPr>
            </w:pPr>
            <w:r>
              <w:rPr>
                <w:color w:val="231F20"/>
                <w:w w:val="105"/>
                <w:sz w:val="18"/>
              </w:rPr>
              <w:t>“yo shouldn’t you be at school foo?”</w:t>
            </w:r>
          </w:p>
        </w:tc>
        <w:tc>
          <w:tcPr>
            <w:tcW w:w="2665" w:type="dxa"/>
          </w:tcPr>
          <w:p>
            <w:pPr>
              <w:pStyle w:val="TableParagraph"/>
              <w:spacing w:line="254" w:lineRule="auto"/>
              <w:ind w:left="77" w:right="1"/>
              <w:rPr>
                <w:sz w:val="18"/>
              </w:rPr>
            </w:pPr>
            <w:r>
              <w:rPr>
                <w:color w:val="231F20"/>
                <w:sz w:val="18"/>
              </w:rPr>
              <w:t>Tú, ¿no deberías estar en la es- cuela, tonto?</w:t>
            </w:r>
          </w:p>
        </w:tc>
        <w:tc>
          <w:tcPr>
            <w:tcW w:w="390" w:type="dxa"/>
          </w:tcPr>
          <w:p>
            <w:pPr>
              <w:pStyle w:val="TableParagraph"/>
              <w:ind w:left="3"/>
              <w:jc w:val="center"/>
              <w:rPr>
                <w:sz w:val="18"/>
              </w:rPr>
            </w:pPr>
            <w:r>
              <w:rPr>
                <w:color w:val="231F20"/>
                <w:w w:val="104"/>
                <w:sz w:val="18"/>
              </w:rPr>
              <w:t>A</w:t>
            </w:r>
          </w:p>
        </w:tc>
      </w:tr>
      <w:tr>
        <w:trPr>
          <w:trHeight w:val="340" w:hRule="exact"/>
        </w:trPr>
        <w:tc>
          <w:tcPr>
            <w:tcW w:w="443" w:type="dxa"/>
          </w:tcPr>
          <w:p>
            <w:pPr>
              <w:pStyle w:val="TableParagraph"/>
              <w:ind w:left="77"/>
              <w:rPr>
                <w:sz w:val="18"/>
              </w:rPr>
            </w:pPr>
            <w:r>
              <w:rPr>
                <w:color w:val="231F20"/>
                <w:w w:val="104"/>
                <w:sz w:val="18"/>
              </w:rPr>
              <w:t>2</w:t>
            </w:r>
          </w:p>
        </w:tc>
        <w:tc>
          <w:tcPr>
            <w:tcW w:w="2778" w:type="dxa"/>
          </w:tcPr>
          <w:p>
            <w:pPr>
              <w:pStyle w:val="TableParagraph"/>
              <w:ind w:left="77" w:right="9"/>
              <w:rPr>
                <w:sz w:val="18"/>
              </w:rPr>
            </w:pPr>
            <w:r>
              <w:rPr>
                <w:color w:val="231F20"/>
                <w:sz w:val="18"/>
              </w:rPr>
              <w:t>Tita likes this.</w:t>
            </w:r>
          </w:p>
        </w:tc>
        <w:tc>
          <w:tcPr>
            <w:tcW w:w="2665" w:type="dxa"/>
          </w:tcPr>
          <w:p>
            <w:pPr/>
          </w:p>
        </w:tc>
        <w:tc>
          <w:tcPr>
            <w:tcW w:w="390" w:type="dxa"/>
          </w:tcPr>
          <w:p>
            <w:pPr/>
          </w:p>
        </w:tc>
      </w:tr>
      <w:tr>
        <w:trPr>
          <w:trHeight w:val="556" w:hRule="exact"/>
        </w:trPr>
        <w:tc>
          <w:tcPr>
            <w:tcW w:w="443" w:type="dxa"/>
          </w:tcPr>
          <w:p>
            <w:pPr>
              <w:pStyle w:val="TableParagraph"/>
              <w:ind w:left="77"/>
              <w:rPr>
                <w:sz w:val="18"/>
              </w:rPr>
            </w:pPr>
            <w:r>
              <w:rPr>
                <w:color w:val="231F20"/>
                <w:w w:val="104"/>
                <w:sz w:val="18"/>
              </w:rPr>
              <w:t>3</w:t>
            </w:r>
          </w:p>
        </w:tc>
        <w:tc>
          <w:tcPr>
            <w:tcW w:w="2778" w:type="dxa"/>
          </w:tcPr>
          <w:p>
            <w:pPr>
              <w:pStyle w:val="TableParagraph"/>
              <w:spacing w:line="254" w:lineRule="auto"/>
              <w:ind w:left="77" w:right="9"/>
              <w:rPr>
                <w:sz w:val="18"/>
              </w:rPr>
            </w:pPr>
            <w:r>
              <w:rPr>
                <w:color w:val="231F20"/>
                <w:w w:val="105"/>
                <w:sz w:val="18"/>
              </w:rPr>
              <w:t>Fabián: I know but I’ve missed too much</w:t>
            </w:r>
          </w:p>
        </w:tc>
        <w:tc>
          <w:tcPr>
            <w:tcW w:w="2665" w:type="dxa"/>
          </w:tcPr>
          <w:p>
            <w:pPr>
              <w:pStyle w:val="TableParagraph"/>
              <w:ind w:left="77" w:right="1"/>
              <w:rPr>
                <w:sz w:val="18"/>
              </w:rPr>
            </w:pPr>
            <w:r>
              <w:rPr>
                <w:color w:val="231F20"/>
                <w:w w:val="105"/>
                <w:sz w:val="18"/>
              </w:rPr>
              <w:t>Lo sé, pero lo extraño mucho</w:t>
            </w:r>
          </w:p>
        </w:tc>
        <w:tc>
          <w:tcPr>
            <w:tcW w:w="390" w:type="dxa"/>
          </w:tcPr>
          <w:p>
            <w:pPr>
              <w:pStyle w:val="TableParagraph"/>
              <w:jc w:val="center"/>
              <w:rPr>
                <w:sz w:val="18"/>
              </w:rPr>
            </w:pPr>
            <w:r>
              <w:rPr>
                <w:color w:val="231F20"/>
                <w:w w:val="95"/>
                <w:sz w:val="18"/>
              </w:rPr>
              <w:t>B</w:t>
            </w:r>
          </w:p>
        </w:tc>
      </w:tr>
      <w:tr>
        <w:trPr>
          <w:trHeight w:val="772" w:hRule="exact"/>
        </w:trPr>
        <w:tc>
          <w:tcPr>
            <w:tcW w:w="443" w:type="dxa"/>
          </w:tcPr>
          <w:p>
            <w:pPr>
              <w:pStyle w:val="TableParagraph"/>
              <w:ind w:left="77"/>
              <w:rPr>
                <w:sz w:val="18"/>
              </w:rPr>
            </w:pPr>
            <w:r>
              <w:rPr>
                <w:color w:val="231F20"/>
                <w:w w:val="104"/>
                <w:sz w:val="18"/>
              </w:rPr>
              <w:t>4</w:t>
            </w:r>
          </w:p>
        </w:tc>
        <w:tc>
          <w:tcPr>
            <w:tcW w:w="2778" w:type="dxa"/>
          </w:tcPr>
          <w:p>
            <w:pPr>
              <w:pStyle w:val="TableParagraph"/>
              <w:spacing w:line="254" w:lineRule="auto"/>
              <w:ind w:left="77" w:right="73"/>
              <w:jc w:val="both"/>
              <w:rPr>
                <w:sz w:val="18"/>
              </w:rPr>
            </w:pPr>
            <w:r>
              <w:rPr>
                <w:color w:val="231F20"/>
                <w:sz w:val="18"/>
              </w:rPr>
              <w:t>Tito:</w:t>
            </w:r>
            <w:r>
              <w:rPr>
                <w:color w:val="231F20"/>
                <w:spacing w:val="-17"/>
                <w:sz w:val="18"/>
              </w:rPr>
              <w:t> </w:t>
            </w:r>
            <w:r>
              <w:rPr>
                <w:color w:val="231F20"/>
                <w:sz w:val="18"/>
              </w:rPr>
              <w:t>MUY</w:t>
            </w:r>
            <w:r>
              <w:rPr>
                <w:color w:val="231F20"/>
                <w:spacing w:val="-20"/>
                <w:sz w:val="18"/>
              </w:rPr>
              <w:t> </w:t>
            </w:r>
            <w:r>
              <w:rPr>
                <w:color w:val="231F20"/>
                <w:sz w:val="18"/>
              </w:rPr>
              <w:t>MAL</w:t>
            </w:r>
            <w:r>
              <w:rPr>
                <w:color w:val="231F20"/>
                <w:spacing w:val="-20"/>
                <w:sz w:val="18"/>
              </w:rPr>
              <w:t> </w:t>
            </w:r>
            <w:r>
              <w:rPr>
                <w:color w:val="231F20"/>
                <w:spacing w:val="-3"/>
                <w:sz w:val="18"/>
              </w:rPr>
              <w:t>ESO….,,,</w:t>
            </w:r>
            <w:r>
              <w:rPr>
                <w:color w:val="231F20"/>
                <w:spacing w:val="-21"/>
                <w:sz w:val="18"/>
              </w:rPr>
              <w:t> </w:t>
            </w:r>
            <w:r>
              <w:rPr>
                <w:color w:val="231F20"/>
                <w:sz w:val="18"/>
              </w:rPr>
              <w:t>BUT</w:t>
            </w:r>
            <w:r>
              <w:rPr>
                <w:color w:val="231F20"/>
                <w:spacing w:val="-20"/>
                <w:sz w:val="18"/>
              </w:rPr>
              <w:t> </w:t>
            </w:r>
            <w:r>
              <w:rPr>
                <w:color w:val="231F20"/>
                <w:sz w:val="18"/>
              </w:rPr>
              <w:t>IT’S </w:t>
            </w:r>
            <w:r>
              <w:rPr>
                <w:color w:val="231F20"/>
                <w:spacing w:val="2"/>
                <w:sz w:val="18"/>
              </w:rPr>
              <w:t>ALRIGHT </w:t>
            </w:r>
            <w:r>
              <w:rPr>
                <w:color w:val="231F20"/>
                <w:sz w:val="18"/>
              </w:rPr>
              <w:t>BECAUSE </w:t>
            </w:r>
            <w:r>
              <w:rPr>
                <w:color w:val="231F20"/>
                <w:spacing w:val="2"/>
                <w:sz w:val="18"/>
              </w:rPr>
              <w:t>IT’S</w:t>
            </w:r>
            <w:r>
              <w:rPr>
                <w:color w:val="231F20"/>
                <w:spacing w:val="-29"/>
                <w:sz w:val="18"/>
              </w:rPr>
              <w:t> </w:t>
            </w:r>
            <w:r>
              <w:rPr>
                <w:color w:val="231F20"/>
                <w:sz w:val="18"/>
              </w:rPr>
              <w:t>YOUR </w:t>
            </w:r>
            <w:r>
              <w:rPr>
                <w:color w:val="231F20"/>
                <w:spacing w:val="-6"/>
                <w:sz w:val="18"/>
              </w:rPr>
              <w:t>B-DAY……   </w:t>
            </w:r>
            <w:r>
              <w:rPr>
                <w:color w:val="231F20"/>
                <w:spacing w:val="16"/>
                <w:sz w:val="18"/>
              </w:rPr>
              <w:t> </w:t>
            </w:r>
            <w:r>
              <w:rPr>
                <w:color w:val="231F20"/>
                <w:spacing w:val="-3"/>
                <w:sz w:val="18"/>
              </w:rPr>
              <w:t>LOL</w:t>
            </w:r>
          </w:p>
        </w:tc>
        <w:tc>
          <w:tcPr>
            <w:tcW w:w="2665" w:type="dxa"/>
          </w:tcPr>
          <w:p>
            <w:pPr>
              <w:pStyle w:val="TableParagraph"/>
              <w:spacing w:line="254" w:lineRule="auto"/>
              <w:ind w:left="77" w:right="64"/>
              <w:rPr>
                <w:sz w:val="18"/>
              </w:rPr>
            </w:pPr>
            <w:r>
              <w:rPr>
                <w:color w:val="231F20"/>
                <w:spacing w:val="-3"/>
                <w:w w:val="105"/>
                <w:sz w:val="18"/>
              </w:rPr>
              <w:t>That’s</w:t>
            </w:r>
            <w:r>
              <w:rPr>
                <w:color w:val="231F20"/>
                <w:spacing w:val="-20"/>
                <w:w w:val="105"/>
                <w:sz w:val="18"/>
              </w:rPr>
              <w:t> </w:t>
            </w:r>
            <w:r>
              <w:rPr>
                <w:color w:val="231F20"/>
                <w:w w:val="105"/>
                <w:sz w:val="18"/>
              </w:rPr>
              <w:t>really</w:t>
            </w:r>
            <w:r>
              <w:rPr>
                <w:color w:val="231F20"/>
                <w:spacing w:val="-20"/>
                <w:w w:val="105"/>
                <w:sz w:val="18"/>
              </w:rPr>
              <w:t> </w:t>
            </w:r>
            <w:r>
              <w:rPr>
                <w:color w:val="231F20"/>
                <w:w w:val="105"/>
                <w:sz w:val="18"/>
              </w:rPr>
              <w:t>bad.</w:t>
            </w:r>
            <w:r>
              <w:rPr>
                <w:color w:val="231F20"/>
                <w:spacing w:val="-24"/>
                <w:w w:val="105"/>
                <w:sz w:val="18"/>
              </w:rPr>
              <w:t> </w:t>
            </w:r>
            <w:r>
              <w:rPr>
                <w:color w:val="231F20"/>
                <w:w w:val="105"/>
                <w:sz w:val="18"/>
              </w:rPr>
              <w:t>But</w:t>
            </w:r>
            <w:r>
              <w:rPr>
                <w:color w:val="231F20"/>
                <w:spacing w:val="-20"/>
                <w:w w:val="105"/>
                <w:sz w:val="18"/>
              </w:rPr>
              <w:t> </w:t>
            </w:r>
            <w:r>
              <w:rPr>
                <w:color w:val="231F20"/>
                <w:w w:val="105"/>
                <w:sz w:val="18"/>
              </w:rPr>
              <w:t>it’s</w:t>
            </w:r>
            <w:r>
              <w:rPr>
                <w:color w:val="231F20"/>
                <w:spacing w:val="-20"/>
                <w:w w:val="105"/>
                <w:sz w:val="18"/>
              </w:rPr>
              <w:t> </w:t>
            </w:r>
            <w:r>
              <w:rPr>
                <w:color w:val="231F20"/>
                <w:w w:val="105"/>
                <w:sz w:val="18"/>
              </w:rPr>
              <w:t>alright because it’s your birthday…</w:t>
            </w:r>
            <w:r>
              <w:rPr>
                <w:color w:val="231F20"/>
                <w:spacing w:val="-13"/>
                <w:w w:val="105"/>
                <w:sz w:val="18"/>
              </w:rPr>
              <w:t> </w:t>
            </w:r>
            <w:r>
              <w:rPr>
                <w:color w:val="231F20"/>
                <w:w w:val="105"/>
                <w:sz w:val="18"/>
              </w:rPr>
              <w:t>lol</w:t>
            </w:r>
          </w:p>
        </w:tc>
        <w:tc>
          <w:tcPr>
            <w:tcW w:w="390" w:type="dxa"/>
          </w:tcPr>
          <w:p>
            <w:pPr>
              <w:pStyle w:val="TableParagraph"/>
              <w:jc w:val="center"/>
              <w:rPr>
                <w:sz w:val="18"/>
              </w:rPr>
            </w:pPr>
            <w:r>
              <w:rPr>
                <w:color w:val="231F20"/>
                <w:w w:val="95"/>
                <w:sz w:val="18"/>
              </w:rPr>
              <w:t>B</w:t>
            </w:r>
          </w:p>
        </w:tc>
      </w:tr>
    </w:tbl>
    <w:p>
      <w:pPr>
        <w:spacing w:before="78"/>
        <w:ind w:left="2150" w:right="0" w:firstLine="0"/>
        <w:jc w:val="left"/>
        <w:rPr>
          <w:sz w:val="16"/>
        </w:rPr>
      </w:pPr>
      <w:r>
        <w:rPr>
          <w:color w:val="231F20"/>
          <w:sz w:val="16"/>
        </w:rPr>
        <w:t>Source: Fabián’s Facebook.</w:t>
      </w:r>
    </w:p>
    <w:p>
      <w:pPr>
        <w:pStyle w:val="BodyText"/>
        <w:rPr>
          <w:sz w:val="16"/>
        </w:rPr>
      </w:pPr>
    </w:p>
    <w:p>
      <w:pPr>
        <w:pStyle w:val="BodyText"/>
        <w:spacing w:line="261" w:lineRule="auto" w:before="111"/>
        <w:ind w:left="1837" w:right="1683"/>
      </w:pPr>
      <w:r>
        <w:rPr/>
        <w:pict>
          <v:line style="position:absolute;mso-position-horizontal-relative:page;mso-position-vertical-relative:paragraph;z-index:-446728" from="15pt,104.362984pt" to="0pt,104.362984pt" stroked="true" strokeweight=".25pt" strokecolor="#000000">
            <w10:wrap type="none"/>
          </v:line>
        </w:pict>
      </w:r>
      <w:r>
        <w:rPr/>
        <w:pict>
          <v:line style="position:absolute;mso-position-horizontal-relative:page;mso-position-vertical-relative:paragraph;z-index:43480" from="508.890015pt,104.362984pt" to="523.890015pt,104.362984pt" stroked="true" strokeweight=".25pt" strokecolor="#000000">
            <w10:wrap type="none"/>
          </v:line>
        </w:pict>
      </w:r>
      <w:r>
        <w:rPr>
          <w:color w:val="231F20"/>
          <w:w w:val="105"/>
        </w:rPr>
        <w:t>While Marcos is concerned about his godson’s education (which Tita, Marcos’s</w:t>
      </w:r>
      <w:r>
        <w:rPr>
          <w:color w:val="231F20"/>
          <w:spacing w:val="-26"/>
          <w:w w:val="105"/>
        </w:rPr>
        <w:t> </w:t>
      </w:r>
      <w:r>
        <w:rPr>
          <w:color w:val="231F20"/>
          <w:w w:val="105"/>
        </w:rPr>
        <w:t>niece</w:t>
      </w:r>
      <w:r>
        <w:rPr>
          <w:color w:val="231F20"/>
          <w:spacing w:val="-26"/>
          <w:w w:val="105"/>
        </w:rPr>
        <w:t> </w:t>
      </w:r>
      <w:r>
        <w:rPr>
          <w:color w:val="231F20"/>
          <w:w w:val="105"/>
        </w:rPr>
        <w:t>and</w:t>
      </w:r>
      <w:r>
        <w:rPr>
          <w:color w:val="231F20"/>
          <w:spacing w:val="-26"/>
          <w:w w:val="105"/>
        </w:rPr>
        <w:t> </w:t>
      </w:r>
      <w:r>
        <w:rPr>
          <w:color w:val="231F20"/>
          <w:spacing w:val="-3"/>
          <w:w w:val="105"/>
        </w:rPr>
        <w:t>Fabián’s</w:t>
      </w:r>
      <w:r>
        <w:rPr>
          <w:color w:val="231F20"/>
          <w:spacing w:val="-26"/>
          <w:w w:val="105"/>
        </w:rPr>
        <w:t> </w:t>
      </w:r>
      <w:r>
        <w:rPr>
          <w:color w:val="231F20"/>
          <w:w w:val="105"/>
        </w:rPr>
        <w:t>older</w:t>
      </w:r>
      <w:r>
        <w:rPr>
          <w:color w:val="231F20"/>
          <w:spacing w:val="-26"/>
          <w:w w:val="105"/>
        </w:rPr>
        <w:t> </w:t>
      </w:r>
      <w:r>
        <w:rPr>
          <w:color w:val="231F20"/>
          <w:w w:val="105"/>
        </w:rPr>
        <w:t>cousin,</w:t>
      </w:r>
      <w:r>
        <w:rPr>
          <w:color w:val="231F20"/>
          <w:spacing w:val="-30"/>
          <w:w w:val="105"/>
        </w:rPr>
        <w:t> </w:t>
      </w:r>
      <w:r>
        <w:rPr>
          <w:color w:val="231F20"/>
          <w:w w:val="105"/>
        </w:rPr>
        <w:t>agrees</w:t>
      </w:r>
      <w:r>
        <w:rPr>
          <w:color w:val="231F20"/>
          <w:spacing w:val="-26"/>
          <w:w w:val="105"/>
        </w:rPr>
        <w:t> </w:t>
      </w:r>
      <w:r>
        <w:rPr>
          <w:color w:val="231F20"/>
          <w:w w:val="105"/>
        </w:rPr>
        <w:t>with),</w:t>
      </w:r>
      <w:r>
        <w:rPr>
          <w:color w:val="231F20"/>
          <w:spacing w:val="-33"/>
          <w:w w:val="105"/>
        </w:rPr>
        <w:t> </w:t>
      </w:r>
      <w:r>
        <w:rPr>
          <w:color w:val="231F20"/>
          <w:w w:val="105"/>
        </w:rPr>
        <w:t>Tito,</w:t>
      </w:r>
      <w:r>
        <w:rPr>
          <w:color w:val="231F20"/>
          <w:spacing w:val="-30"/>
          <w:w w:val="105"/>
        </w:rPr>
        <w:t> </w:t>
      </w:r>
      <w:r>
        <w:rPr>
          <w:color w:val="231F20"/>
          <w:spacing w:val="-3"/>
          <w:w w:val="105"/>
        </w:rPr>
        <w:t>Marco’s</w:t>
      </w:r>
      <w:r>
        <w:rPr>
          <w:color w:val="231F20"/>
          <w:spacing w:val="-26"/>
          <w:w w:val="105"/>
        </w:rPr>
        <w:t> </w:t>
      </w:r>
      <w:r>
        <w:rPr>
          <w:color w:val="231F20"/>
          <w:w w:val="105"/>
        </w:rPr>
        <w:t>cou-</w:t>
      </w:r>
    </w:p>
    <w:p>
      <w:pPr>
        <w:spacing w:after="0" w:line="261" w:lineRule="auto"/>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43528" from="15pt,-71.68644pt" to="0pt,-71.68644pt" stroked="true" strokeweight=".25pt" strokecolor="#000000">
            <w10:wrap type="none"/>
          </v:line>
        </w:pict>
      </w:r>
      <w:r>
        <w:rPr/>
        <w:pict>
          <v:line style="position:absolute;mso-position-horizontal-relative:page;mso-position-vertical-relative:paragraph;z-index:43552" from="508.890015pt,-71.68644pt" to="523.890015pt,-71.68644pt" stroked="true" strokeweight=".25pt" strokecolor="#000000">
            <w10:wrap type="none"/>
          </v:line>
        </w:pict>
      </w:r>
      <w:r>
        <w:rPr>
          <w:color w:val="231F20"/>
          <w:w w:val="105"/>
        </w:rPr>
        <w:t>sin,</w:t>
      </w:r>
      <w:r>
        <w:rPr>
          <w:color w:val="231F20"/>
          <w:spacing w:val="-27"/>
          <w:w w:val="105"/>
        </w:rPr>
        <w:t> </w:t>
      </w:r>
      <w:r>
        <w:rPr>
          <w:color w:val="231F20"/>
          <w:w w:val="105"/>
        </w:rPr>
        <w:t>also</w:t>
      </w:r>
      <w:r>
        <w:rPr>
          <w:color w:val="231F20"/>
          <w:spacing w:val="-22"/>
          <w:w w:val="105"/>
        </w:rPr>
        <w:t> </w:t>
      </w:r>
      <w:r>
        <w:rPr>
          <w:color w:val="231F20"/>
          <w:w w:val="105"/>
        </w:rPr>
        <w:t>disapproves</w:t>
      </w:r>
      <w:r>
        <w:rPr>
          <w:color w:val="231F20"/>
          <w:spacing w:val="-22"/>
          <w:w w:val="105"/>
        </w:rPr>
        <w:t> </w:t>
      </w:r>
      <w:r>
        <w:rPr>
          <w:color w:val="231F20"/>
          <w:w w:val="105"/>
        </w:rPr>
        <w:t>but</w:t>
      </w:r>
      <w:r>
        <w:rPr>
          <w:color w:val="231F20"/>
          <w:spacing w:val="-22"/>
          <w:w w:val="105"/>
        </w:rPr>
        <w:t> </w:t>
      </w:r>
      <w:r>
        <w:rPr>
          <w:color w:val="231F20"/>
          <w:w w:val="105"/>
        </w:rPr>
        <w:t>justifies</w:t>
      </w:r>
      <w:r>
        <w:rPr>
          <w:color w:val="231F20"/>
          <w:spacing w:val="-22"/>
          <w:w w:val="105"/>
        </w:rPr>
        <w:t> </w:t>
      </w:r>
      <w:r>
        <w:rPr>
          <w:color w:val="231F20"/>
          <w:w w:val="105"/>
        </w:rPr>
        <w:t>the</w:t>
      </w:r>
      <w:r>
        <w:rPr>
          <w:color w:val="231F20"/>
          <w:spacing w:val="-22"/>
          <w:w w:val="105"/>
        </w:rPr>
        <w:t> </w:t>
      </w:r>
      <w:r>
        <w:rPr>
          <w:color w:val="231F20"/>
          <w:w w:val="105"/>
        </w:rPr>
        <w:t>action</w:t>
      </w:r>
      <w:r>
        <w:rPr>
          <w:color w:val="231F20"/>
          <w:spacing w:val="-22"/>
          <w:w w:val="105"/>
        </w:rPr>
        <w:t> </w:t>
      </w:r>
      <w:r>
        <w:rPr>
          <w:color w:val="231F20"/>
          <w:w w:val="105"/>
        </w:rPr>
        <w:t>of</w:t>
      </w:r>
      <w:r>
        <w:rPr>
          <w:color w:val="231F20"/>
          <w:spacing w:val="-17"/>
          <w:w w:val="105"/>
        </w:rPr>
        <w:t> </w:t>
      </w:r>
      <w:r>
        <w:rPr>
          <w:color w:val="231F20"/>
          <w:w w:val="105"/>
        </w:rPr>
        <w:t>skipping</w:t>
      </w:r>
      <w:r>
        <w:rPr>
          <w:color w:val="231F20"/>
          <w:spacing w:val="-22"/>
          <w:w w:val="105"/>
        </w:rPr>
        <w:t> </w:t>
      </w:r>
      <w:r>
        <w:rPr>
          <w:color w:val="231F20"/>
          <w:w w:val="105"/>
        </w:rPr>
        <w:t>school</w:t>
      </w:r>
      <w:r>
        <w:rPr>
          <w:color w:val="231F20"/>
          <w:spacing w:val="-22"/>
          <w:w w:val="105"/>
        </w:rPr>
        <w:t> </w:t>
      </w:r>
      <w:r>
        <w:rPr>
          <w:color w:val="231F20"/>
          <w:w w:val="105"/>
        </w:rPr>
        <w:t>as</w:t>
      </w:r>
      <w:r>
        <w:rPr>
          <w:color w:val="231F20"/>
          <w:spacing w:val="-22"/>
          <w:w w:val="105"/>
        </w:rPr>
        <w:t> </w:t>
      </w:r>
      <w:r>
        <w:rPr>
          <w:color w:val="231F20"/>
          <w:w w:val="105"/>
        </w:rPr>
        <w:t>a</w:t>
      </w:r>
      <w:r>
        <w:rPr>
          <w:color w:val="231F20"/>
          <w:spacing w:val="-22"/>
          <w:w w:val="105"/>
        </w:rPr>
        <w:t> </w:t>
      </w:r>
      <w:r>
        <w:rPr>
          <w:color w:val="231F20"/>
          <w:w w:val="105"/>
        </w:rPr>
        <w:t>“treat” for his birthday, in a way giving some tacit unrequested “permission” to do</w:t>
      </w:r>
      <w:r>
        <w:rPr>
          <w:color w:val="231F20"/>
          <w:spacing w:val="-4"/>
          <w:w w:val="105"/>
        </w:rPr>
        <w:t> </w:t>
      </w:r>
      <w:r>
        <w:rPr>
          <w:color w:val="231F20"/>
          <w:w w:val="105"/>
        </w:rPr>
        <w:t>so.</w:t>
      </w:r>
      <w:r>
        <w:rPr>
          <w:color w:val="231F20"/>
          <w:spacing w:val="-14"/>
          <w:w w:val="105"/>
        </w:rPr>
        <w:t> </w:t>
      </w:r>
      <w:r>
        <w:rPr>
          <w:color w:val="231F20"/>
          <w:w w:val="105"/>
        </w:rPr>
        <w:t>These</w:t>
      </w:r>
      <w:r>
        <w:rPr>
          <w:color w:val="231F20"/>
          <w:spacing w:val="-4"/>
          <w:w w:val="105"/>
        </w:rPr>
        <w:t> </w:t>
      </w:r>
      <w:r>
        <w:rPr>
          <w:color w:val="231F20"/>
          <w:w w:val="105"/>
        </w:rPr>
        <w:t>kinds</w:t>
      </w:r>
      <w:r>
        <w:rPr>
          <w:color w:val="231F20"/>
          <w:spacing w:val="-4"/>
          <w:w w:val="105"/>
        </w:rPr>
        <w:t> </w:t>
      </w:r>
      <w:r>
        <w:rPr>
          <w:color w:val="231F20"/>
          <w:w w:val="105"/>
        </w:rPr>
        <w:t>of interactions</w:t>
      </w:r>
      <w:r>
        <w:rPr>
          <w:color w:val="231F20"/>
          <w:spacing w:val="-4"/>
          <w:w w:val="105"/>
        </w:rPr>
        <w:t> </w:t>
      </w:r>
      <w:r>
        <w:rPr>
          <w:color w:val="231F20"/>
          <w:w w:val="105"/>
        </w:rPr>
        <w:t>are</w:t>
      </w:r>
      <w:r>
        <w:rPr>
          <w:color w:val="231F20"/>
          <w:spacing w:val="-4"/>
          <w:w w:val="105"/>
        </w:rPr>
        <w:t> </w:t>
      </w:r>
      <w:r>
        <w:rPr>
          <w:color w:val="231F20"/>
          <w:w w:val="105"/>
        </w:rPr>
        <w:t>common</w:t>
      </w:r>
      <w:r>
        <w:rPr>
          <w:color w:val="231F20"/>
          <w:spacing w:val="-4"/>
          <w:w w:val="105"/>
        </w:rPr>
        <w:t> </w:t>
      </w:r>
      <w:r>
        <w:rPr>
          <w:color w:val="231F20"/>
          <w:w w:val="105"/>
        </w:rPr>
        <w:t>and</w:t>
      </w:r>
      <w:r>
        <w:rPr>
          <w:color w:val="231F20"/>
          <w:spacing w:val="-4"/>
          <w:w w:val="105"/>
        </w:rPr>
        <w:t> </w:t>
      </w:r>
      <w:r>
        <w:rPr>
          <w:color w:val="231F20"/>
          <w:w w:val="105"/>
        </w:rPr>
        <w:t>show</w:t>
      </w:r>
      <w:r>
        <w:rPr>
          <w:color w:val="231F20"/>
          <w:spacing w:val="-4"/>
          <w:w w:val="105"/>
        </w:rPr>
        <w:t> </w:t>
      </w:r>
      <w:r>
        <w:rPr>
          <w:color w:val="231F20"/>
          <w:w w:val="105"/>
        </w:rPr>
        <w:t>that</w:t>
      </w:r>
      <w:r>
        <w:rPr>
          <w:color w:val="231F20"/>
          <w:spacing w:val="-4"/>
          <w:w w:val="105"/>
        </w:rPr>
        <w:t> </w:t>
      </w:r>
      <w:r>
        <w:rPr>
          <w:color w:val="231F20"/>
          <w:w w:val="105"/>
        </w:rPr>
        <w:t>members are</w:t>
      </w:r>
      <w:r>
        <w:rPr>
          <w:color w:val="231F20"/>
          <w:spacing w:val="-17"/>
          <w:w w:val="105"/>
        </w:rPr>
        <w:t> </w:t>
      </w:r>
      <w:r>
        <w:rPr>
          <w:color w:val="231F20"/>
          <w:w w:val="105"/>
        </w:rPr>
        <w:t>trying</w:t>
      </w:r>
      <w:r>
        <w:rPr>
          <w:color w:val="231F20"/>
          <w:spacing w:val="-17"/>
          <w:w w:val="105"/>
        </w:rPr>
        <w:t> </w:t>
      </w:r>
      <w:r>
        <w:rPr>
          <w:color w:val="231F20"/>
          <w:w w:val="105"/>
        </w:rPr>
        <w:t>to</w:t>
      </w:r>
      <w:r>
        <w:rPr>
          <w:color w:val="231F20"/>
          <w:spacing w:val="-17"/>
          <w:w w:val="105"/>
        </w:rPr>
        <w:t> </w:t>
      </w:r>
      <w:r>
        <w:rPr>
          <w:color w:val="231F20"/>
          <w:w w:val="105"/>
        </w:rPr>
        <w:t>fulfill</w:t>
      </w:r>
      <w:r>
        <w:rPr>
          <w:color w:val="231F20"/>
          <w:spacing w:val="-17"/>
          <w:w w:val="105"/>
        </w:rPr>
        <w:t> </w:t>
      </w:r>
      <w:r>
        <w:rPr>
          <w:color w:val="231F20"/>
          <w:w w:val="105"/>
        </w:rPr>
        <w:t>their</w:t>
      </w:r>
      <w:r>
        <w:rPr>
          <w:color w:val="231F20"/>
          <w:spacing w:val="-17"/>
          <w:w w:val="105"/>
        </w:rPr>
        <w:t> </w:t>
      </w:r>
      <w:r>
        <w:rPr>
          <w:color w:val="231F20"/>
          <w:w w:val="105"/>
        </w:rPr>
        <w:t>kinship/family</w:t>
      </w:r>
      <w:r>
        <w:rPr>
          <w:color w:val="231F20"/>
          <w:spacing w:val="-17"/>
          <w:w w:val="105"/>
        </w:rPr>
        <w:t> </w:t>
      </w:r>
      <w:r>
        <w:rPr>
          <w:color w:val="231F20"/>
          <w:w w:val="105"/>
        </w:rPr>
        <w:t>role.</w:t>
      </w:r>
      <w:r>
        <w:rPr>
          <w:color w:val="231F20"/>
          <w:spacing w:val="-24"/>
          <w:w w:val="105"/>
        </w:rPr>
        <w:t> </w:t>
      </w:r>
      <w:r>
        <w:rPr>
          <w:color w:val="231F20"/>
          <w:w w:val="105"/>
        </w:rPr>
        <w:t>Participating</w:t>
      </w:r>
      <w:r>
        <w:rPr>
          <w:color w:val="231F20"/>
          <w:spacing w:val="-17"/>
          <w:w w:val="105"/>
        </w:rPr>
        <w:t> </w:t>
      </w:r>
      <w:r>
        <w:rPr>
          <w:color w:val="231F20"/>
          <w:w w:val="105"/>
        </w:rPr>
        <w:t>by</w:t>
      </w:r>
      <w:r>
        <w:rPr>
          <w:color w:val="231F20"/>
          <w:spacing w:val="-17"/>
          <w:w w:val="105"/>
        </w:rPr>
        <w:t> </w:t>
      </w:r>
      <w:r>
        <w:rPr>
          <w:color w:val="231F20"/>
          <w:w w:val="105"/>
        </w:rPr>
        <w:t>posting</w:t>
      </w:r>
      <w:r>
        <w:rPr>
          <w:color w:val="231F20"/>
          <w:spacing w:val="-17"/>
          <w:w w:val="105"/>
        </w:rPr>
        <w:t> </w:t>
      </w:r>
      <w:r>
        <w:rPr>
          <w:color w:val="231F20"/>
          <w:w w:val="105"/>
        </w:rPr>
        <w:t>a</w:t>
      </w:r>
      <w:r>
        <w:rPr>
          <w:color w:val="231F20"/>
          <w:spacing w:val="-17"/>
          <w:w w:val="105"/>
        </w:rPr>
        <w:t> </w:t>
      </w:r>
      <w:r>
        <w:rPr>
          <w:color w:val="231F20"/>
          <w:w w:val="105"/>
        </w:rPr>
        <w:t>com- ment</w:t>
      </w:r>
      <w:r>
        <w:rPr>
          <w:color w:val="231F20"/>
          <w:spacing w:val="-3"/>
          <w:w w:val="105"/>
        </w:rPr>
        <w:t> </w:t>
      </w:r>
      <w:r>
        <w:rPr>
          <w:color w:val="231F20"/>
          <w:w w:val="105"/>
        </w:rPr>
        <w:t>(funny</w:t>
      </w:r>
      <w:r>
        <w:rPr>
          <w:color w:val="231F20"/>
          <w:spacing w:val="-3"/>
          <w:w w:val="105"/>
        </w:rPr>
        <w:t> </w:t>
      </w:r>
      <w:r>
        <w:rPr>
          <w:color w:val="231F20"/>
          <w:w w:val="105"/>
        </w:rPr>
        <w:t>or</w:t>
      </w:r>
      <w:r>
        <w:rPr>
          <w:color w:val="231F20"/>
          <w:spacing w:val="-3"/>
          <w:w w:val="105"/>
        </w:rPr>
        <w:t> </w:t>
      </w:r>
      <w:r>
        <w:rPr>
          <w:color w:val="231F20"/>
          <w:w w:val="105"/>
        </w:rPr>
        <w:t>not)</w:t>
      </w:r>
      <w:r>
        <w:rPr>
          <w:color w:val="231F20"/>
          <w:spacing w:val="-3"/>
          <w:w w:val="105"/>
        </w:rPr>
        <w:t> </w:t>
      </w:r>
      <w:r>
        <w:rPr>
          <w:color w:val="231F20"/>
          <w:w w:val="105"/>
        </w:rPr>
        <w:t>on</w:t>
      </w:r>
      <w:r>
        <w:rPr>
          <w:color w:val="231F20"/>
          <w:spacing w:val="-3"/>
          <w:w w:val="105"/>
        </w:rPr>
        <w:t> </w:t>
      </w:r>
      <w:r>
        <w:rPr>
          <w:color w:val="231F20"/>
          <w:w w:val="105"/>
        </w:rPr>
        <w:t>a</w:t>
      </w:r>
      <w:r>
        <w:rPr>
          <w:color w:val="231F20"/>
          <w:spacing w:val="-3"/>
          <w:w w:val="105"/>
        </w:rPr>
        <w:t> </w:t>
      </w:r>
      <w:r>
        <w:rPr>
          <w:color w:val="231F20"/>
          <w:w w:val="105"/>
        </w:rPr>
        <w:t>member’s</w:t>
      </w:r>
      <w:r>
        <w:rPr>
          <w:color w:val="231F20"/>
          <w:spacing w:val="-3"/>
          <w:w w:val="105"/>
        </w:rPr>
        <w:t> </w:t>
      </w:r>
      <w:r>
        <w:rPr>
          <w:color w:val="231F20"/>
          <w:w w:val="105"/>
        </w:rPr>
        <w:t>wall</w:t>
      </w:r>
      <w:r>
        <w:rPr>
          <w:color w:val="231F20"/>
          <w:spacing w:val="-3"/>
          <w:w w:val="105"/>
        </w:rPr>
        <w:t> </w:t>
      </w:r>
      <w:r>
        <w:rPr>
          <w:color w:val="231F20"/>
          <w:w w:val="105"/>
        </w:rPr>
        <w:t>is</w:t>
      </w:r>
      <w:r>
        <w:rPr>
          <w:color w:val="231F20"/>
          <w:spacing w:val="-3"/>
          <w:w w:val="105"/>
        </w:rPr>
        <w:t> </w:t>
      </w:r>
      <w:r>
        <w:rPr>
          <w:color w:val="231F20"/>
          <w:w w:val="105"/>
        </w:rPr>
        <w:t>a</w:t>
      </w:r>
      <w:r>
        <w:rPr>
          <w:color w:val="231F20"/>
          <w:spacing w:val="-3"/>
          <w:w w:val="105"/>
        </w:rPr>
        <w:t> </w:t>
      </w:r>
      <w:r>
        <w:rPr>
          <w:color w:val="231F20"/>
          <w:w w:val="105"/>
        </w:rPr>
        <w:t>way</w:t>
      </w:r>
      <w:r>
        <w:rPr>
          <w:color w:val="231F20"/>
          <w:spacing w:val="-3"/>
          <w:w w:val="105"/>
        </w:rPr>
        <w:t> </w:t>
      </w:r>
      <w:r>
        <w:rPr>
          <w:color w:val="231F20"/>
          <w:w w:val="105"/>
        </w:rPr>
        <w:t>to</w:t>
      </w:r>
      <w:r>
        <w:rPr>
          <w:color w:val="231F20"/>
          <w:spacing w:val="-3"/>
          <w:w w:val="105"/>
        </w:rPr>
        <w:t> </w:t>
      </w:r>
      <w:r>
        <w:rPr>
          <w:color w:val="231F20"/>
          <w:w w:val="105"/>
        </w:rPr>
        <w:t>make</w:t>
      </w:r>
      <w:r>
        <w:rPr>
          <w:color w:val="231F20"/>
          <w:spacing w:val="-3"/>
          <w:w w:val="105"/>
        </w:rPr>
        <w:t> </w:t>
      </w:r>
      <w:r>
        <w:rPr>
          <w:color w:val="231F20"/>
          <w:w w:val="105"/>
        </w:rPr>
        <w:t>their</w:t>
      </w:r>
      <w:r>
        <w:rPr>
          <w:color w:val="231F20"/>
          <w:spacing w:val="-3"/>
          <w:w w:val="105"/>
        </w:rPr>
        <w:t> </w:t>
      </w:r>
      <w:r>
        <w:rPr>
          <w:color w:val="231F20"/>
          <w:w w:val="105"/>
        </w:rPr>
        <w:t>presence known.</w:t>
      </w:r>
      <w:r>
        <w:rPr>
          <w:color w:val="231F20"/>
          <w:spacing w:val="-14"/>
          <w:w w:val="105"/>
        </w:rPr>
        <w:t> </w:t>
      </w:r>
      <w:r>
        <w:rPr>
          <w:color w:val="231F20"/>
          <w:w w:val="105"/>
        </w:rPr>
        <w:t>It</w:t>
      </w:r>
      <w:r>
        <w:rPr>
          <w:color w:val="231F20"/>
          <w:spacing w:val="-8"/>
          <w:w w:val="105"/>
        </w:rPr>
        <w:t> </w:t>
      </w:r>
      <w:r>
        <w:rPr>
          <w:color w:val="231F20"/>
          <w:w w:val="105"/>
        </w:rPr>
        <w:t>is</w:t>
      </w:r>
      <w:r>
        <w:rPr>
          <w:color w:val="231F20"/>
          <w:spacing w:val="-8"/>
          <w:w w:val="105"/>
        </w:rPr>
        <w:t> </w:t>
      </w:r>
      <w:r>
        <w:rPr>
          <w:color w:val="231F20"/>
          <w:w w:val="105"/>
        </w:rPr>
        <w:t>a</w:t>
      </w:r>
      <w:r>
        <w:rPr>
          <w:color w:val="231F20"/>
          <w:spacing w:val="-8"/>
          <w:w w:val="105"/>
        </w:rPr>
        <w:t> </w:t>
      </w:r>
      <w:r>
        <w:rPr>
          <w:color w:val="231F20"/>
          <w:w w:val="105"/>
        </w:rPr>
        <w:t>way</w:t>
      </w:r>
      <w:r>
        <w:rPr>
          <w:color w:val="231F20"/>
          <w:spacing w:val="-8"/>
          <w:w w:val="105"/>
        </w:rPr>
        <w:t> </w:t>
      </w:r>
      <w:r>
        <w:rPr>
          <w:color w:val="231F20"/>
          <w:w w:val="105"/>
        </w:rPr>
        <w:t>to</w:t>
      </w:r>
      <w:r>
        <w:rPr>
          <w:color w:val="231F20"/>
          <w:spacing w:val="-8"/>
          <w:w w:val="105"/>
        </w:rPr>
        <w:t> </w:t>
      </w:r>
      <w:r>
        <w:rPr>
          <w:color w:val="231F20"/>
          <w:w w:val="105"/>
        </w:rPr>
        <w:t>let</w:t>
      </w:r>
      <w:r>
        <w:rPr>
          <w:color w:val="231F20"/>
          <w:spacing w:val="-8"/>
          <w:w w:val="105"/>
        </w:rPr>
        <w:t> </w:t>
      </w:r>
      <w:r>
        <w:rPr>
          <w:color w:val="231F20"/>
          <w:w w:val="105"/>
        </w:rPr>
        <w:t>other</w:t>
      </w:r>
      <w:r>
        <w:rPr>
          <w:color w:val="231F20"/>
          <w:spacing w:val="-8"/>
          <w:w w:val="105"/>
        </w:rPr>
        <w:t> </w:t>
      </w:r>
      <w:r>
        <w:rPr>
          <w:color w:val="231F20"/>
          <w:w w:val="105"/>
        </w:rPr>
        <w:t>network</w:t>
      </w:r>
      <w:r>
        <w:rPr>
          <w:color w:val="231F20"/>
          <w:spacing w:val="-8"/>
          <w:w w:val="105"/>
        </w:rPr>
        <w:t> </w:t>
      </w:r>
      <w:r>
        <w:rPr>
          <w:color w:val="231F20"/>
          <w:w w:val="105"/>
        </w:rPr>
        <w:t>members</w:t>
      </w:r>
      <w:r>
        <w:rPr>
          <w:color w:val="231F20"/>
          <w:spacing w:val="-8"/>
          <w:w w:val="105"/>
        </w:rPr>
        <w:t> </w:t>
      </w:r>
      <w:r>
        <w:rPr>
          <w:color w:val="231F20"/>
          <w:w w:val="105"/>
        </w:rPr>
        <w:t>know</w:t>
      </w:r>
      <w:r>
        <w:rPr>
          <w:color w:val="231F20"/>
          <w:spacing w:val="-8"/>
          <w:w w:val="105"/>
        </w:rPr>
        <w:t> </w:t>
      </w:r>
      <w:r>
        <w:rPr>
          <w:color w:val="231F20"/>
          <w:w w:val="105"/>
        </w:rPr>
        <w:t>that</w:t>
      </w:r>
      <w:r>
        <w:rPr>
          <w:color w:val="231F20"/>
          <w:spacing w:val="-8"/>
          <w:w w:val="105"/>
        </w:rPr>
        <w:t> </w:t>
      </w:r>
      <w:r>
        <w:rPr>
          <w:color w:val="231F20"/>
          <w:w w:val="105"/>
        </w:rPr>
        <w:t>they</w:t>
      </w:r>
      <w:r>
        <w:rPr>
          <w:color w:val="231F20"/>
          <w:spacing w:val="-8"/>
          <w:w w:val="105"/>
        </w:rPr>
        <w:t> </w:t>
      </w:r>
      <w:r>
        <w:rPr>
          <w:color w:val="231F20"/>
          <w:w w:val="105"/>
        </w:rPr>
        <w:t>care</w:t>
      </w:r>
      <w:r>
        <w:rPr>
          <w:color w:val="231F20"/>
          <w:spacing w:val="-8"/>
          <w:w w:val="105"/>
        </w:rPr>
        <w:t> </w:t>
      </w:r>
      <w:r>
        <w:rPr>
          <w:color w:val="231F20"/>
          <w:w w:val="105"/>
        </w:rPr>
        <w:t>and are keeping a channel of communication open. It is then expected that the member would return the</w:t>
      </w:r>
      <w:r>
        <w:rPr>
          <w:color w:val="231F20"/>
          <w:spacing w:val="-5"/>
          <w:w w:val="105"/>
        </w:rPr>
        <w:t> </w:t>
      </w:r>
      <w:r>
        <w:rPr>
          <w:color w:val="231F20"/>
          <w:w w:val="105"/>
        </w:rPr>
        <w:t>interaction.</w:t>
      </w:r>
    </w:p>
    <w:p>
      <w:pPr>
        <w:pStyle w:val="BodyText"/>
        <w:spacing w:line="261" w:lineRule="auto" w:before="1"/>
        <w:ind w:left="1723" w:right="1828" w:firstLine="567"/>
        <w:jc w:val="both"/>
      </w:pPr>
      <w:r>
        <w:rPr>
          <w:color w:val="231F20"/>
          <w:w w:val="105"/>
        </w:rPr>
        <w:t>Fulfilling</w:t>
      </w:r>
      <w:r>
        <w:rPr>
          <w:color w:val="231F20"/>
          <w:spacing w:val="-15"/>
          <w:w w:val="105"/>
        </w:rPr>
        <w:t> </w:t>
      </w:r>
      <w:r>
        <w:rPr>
          <w:color w:val="231F20"/>
          <w:w w:val="105"/>
        </w:rPr>
        <w:t>family</w:t>
      </w:r>
      <w:r>
        <w:rPr>
          <w:color w:val="231F20"/>
          <w:spacing w:val="-15"/>
          <w:w w:val="105"/>
        </w:rPr>
        <w:t> </w:t>
      </w:r>
      <w:r>
        <w:rPr>
          <w:color w:val="231F20"/>
          <w:w w:val="105"/>
        </w:rPr>
        <w:t>roles</w:t>
      </w:r>
      <w:r>
        <w:rPr>
          <w:color w:val="231F20"/>
          <w:spacing w:val="-15"/>
          <w:w w:val="105"/>
        </w:rPr>
        <w:t> </w:t>
      </w:r>
      <w:r>
        <w:rPr>
          <w:color w:val="231F20"/>
          <w:w w:val="105"/>
        </w:rPr>
        <w:t>also</w:t>
      </w:r>
      <w:r>
        <w:rPr>
          <w:color w:val="231F20"/>
          <w:spacing w:val="-15"/>
          <w:w w:val="105"/>
        </w:rPr>
        <w:t> </w:t>
      </w:r>
      <w:r>
        <w:rPr>
          <w:color w:val="231F20"/>
          <w:w w:val="105"/>
        </w:rPr>
        <w:t>takes</w:t>
      </w:r>
      <w:r>
        <w:rPr>
          <w:color w:val="231F20"/>
          <w:spacing w:val="-15"/>
          <w:w w:val="105"/>
        </w:rPr>
        <w:t> </w:t>
      </w:r>
      <w:r>
        <w:rPr>
          <w:color w:val="231F20"/>
          <w:w w:val="105"/>
        </w:rPr>
        <w:t>place</w:t>
      </w:r>
      <w:r>
        <w:rPr>
          <w:color w:val="231F20"/>
          <w:spacing w:val="-15"/>
          <w:w w:val="105"/>
        </w:rPr>
        <w:t> </w:t>
      </w:r>
      <w:r>
        <w:rPr>
          <w:color w:val="231F20"/>
          <w:w w:val="105"/>
        </w:rPr>
        <w:t>quietly</w:t>
      </w:r>
      <w:r>
        <w:rPr>
          <w:color w:val="231F20"/>
          <w:spacing w:val="-15"/>
          <w:w w:val="105"/>
        </w:rPr>
        <w:t> </w:t>
      </w:r>
      <w:r>
        <w:rPr>
          <w:color w:val="231F20"/>
          <w:w w:val="105"/>
        </w:rPr>
        <w:t>and</w:t>
      </w:r>
      <w:r>
        <w:rPr>
          <w:color w:val="231F20"/>
          <w:spacing w:val="-15"/>
          <w:w w:val="105"/>
        </w:rPr>
        <w:t> </w:t>
      </w:r>
      <w:r>
        <w:rPr>
          <w:color w:val="231F20"/>
          <w:w w:val="105"/>
        </w:rPr>
        <w:t>most</w:t>
      </w:r>
      <w:r>
        <w:rPr>
          <w:color w:val="231F20"/>
          <w:spacing w:val="-15"/>
          <w:w w:val="105"/>
        </w:rPr>
        <w:t> </w:t>
      </w:r>
      <w:r>
        <w:rPr>
          <w:color w:val="231F20"/>
          <w:w w:val="105"/>
        </w:rPr>
        <w:t>participants on Facebook do not have “active engagement,” but rather they engage instead in “stalking” practices by just looking at people’s posts, photos, and</w:t>
      </w:r>
      <w:r>
        <w:rPr>
          <w:color w:val="231F20"/>
          <w:spacing w:val="-6"/>
          <w:w w:val="105"/>
        </w:rPr>
        <w:t> </w:t>
      </w:r>
      <w:r>
        <w:rPr>
          <w:color w:val="231F20"/>
          <w:w w:val="105"/>
        </w:rPr>
        <w:t>walls</w:t>
      </w:r>
      <w:r>
        <w:rPr>
          <w:color w:val="231F20"/>
          <w:spacing w:val="-6"/>
          <w:w w:val="105"/>
        </w:rPr>
        <w:t> </w:t>
      </w:r>
      <w:r>
        <w:rPr>
          <w:color w:val="231F20"/>
          <w:w w:val="105"/>
        </w:rPr>
        <w:t>(Carr</w:t>
      </w:r>
      <w:r>
        <w:rPr>
          <w:color w:val="231F20"/>
          <w:spacing w:val="-6"/>
          <w:w w:val="105"/>
        </w:rPr>
        <w:t> </w:t>
      </w:r>
      <w:r>
        <w:rPr>
          <w:color w:val="231F20"/>
          <w:w w:val="105"/>
        </w:rPr>
        <w:t>et</w:t>
      </w:r>
      <w:r>
        <w:rPr>
          <w:color w:val="231F20"/>
          <w:spacing w:val="-6"/>
          <w:w w:val="105"/>
        </w:rPr>
        <w:t> </w:t>
      </w:r>
      <w:r>
        <w:rPr>
          <w:color w:val="231F20"/>
          <w:w w:val="105"/>
        </w:rPr>
        <w:t>al.,</w:t>
      </w:r>
      <w:r>
        <w:rPr>
          <w:color w:val="231F20"/>
          <w:spacing w:val="-11"/>
          <w:w w:val="105"/>
        </w:rPr>
        <w:t> </w:t>
      </w:r>
      <w:r>
        <w:rPr>
          <w:color w:val="231F20"/>
          <w:w w:val="105"/>
        </w:rPr>
        <w:t>2012).</w:t>
      </w:r>
      <w:r>
        <w:rPr>
          <w:color w:val="231F20"/>
          <w:spacing w:val="-15"/>
          <w:w w:val="105"/>
        </w:rPr>
        <w:t> </w:t>
      </w:r>
      <w:r>
        <w:rPr>
          <w:color w:val="231F20"/>
          <w:w w:val="105"/>
        </w:rPr>
        <w:t>These</w:t>
      </w:r>
      <w:r>
        <w:rPr>
          <w:color w:val="231F20"/>
          <w:spacing w:val="-6"/>
          <w:w w:val="105"/>
        </w:rPr>
        <w:t> </w:t>
      </w:r>
      <w:r>
        <w:rPr>
          <w:color w:val="231F20"/>
          <w:w w:val="105"/>
        </w:rPr>
        <w:t>members</w:t>
      </w:r>
      <w:r>
        <w:rPr>
          <w:color w:val="231F20"/>
          <w:spacing w:val="-6"/>
          <w:w w:val="105"/>
        </w:rPr>
        <w:t> </w:t>
      </w:r>
      <w:r>
        <w:rPr>
          <w:color w:val="231F20"/>
          <w:w w:val="105"/>
        </w:rPr>
        <w:t>keep</w:t>
      </w:r>
      <w:r>
        <w:rPr>
          <w:color w:val="231F20"/>
          <w:spacing w:val="-6"/>
          <w:w w:val="105"/>
        </w:rPr>
        <w:t> </w:t>
      </w:r>
      <w:r>
        <w:rPr>
          <w:color w:val="231F20"/>
          <w:w w:val="105"/>
        </w:rPr>
        <w:t>the</w:t>
      </w:r>
      <w:r>
        <w:rPr>
          <w:color w:val="231F20"/>
          <w:spacing w:val="-6"/>
          <w:w w:val="105"/>
        </w:rPr>
        <w:t> </w:t>
      </w:r>
      <w:r>
        <w:rPr>
          <w:color w:val="231F20"/>
          <w:w w:val="105"/>
        </w:rPr>
        <w:t>role</w:t>
      </w:r>
      <w:r>
        <w:rPr>
          <w:color w:val="231F20"/>
          <w:spacing w:val="-6"/>
          <w:w w:val="105"/>
        </w:rPr>
        <w:t> </w:t>
      </w:r>
      <w:r>
        <w:rPr>
          <w:color w:val="231F20"/>
          <w:w w:val="105"/>
        </w:rPr>
        <w:t>of</w:t>
      </w:r>
      <w:r>
        <w:rPr>
          <w:color w:val="231F20"/>
          <w:spacing w:val="-2"/>
          <w:w w:val="105"/>
        </w:rPr>
        <w:t> </w:t>
      </w:r>
      <w:r>
        <w:rPr>
          <w:color w:val="231F20"/>
          <w:w w:val="105"/>
        </w:rPr>
        <w:t>“overhea- rers” (Goffman, 1959) and usually include in their daily conversations what they saw or read on Facebook about other members.</w:t>
      </w:r>
      <w:r>
        <w:rPr>
          <w:color w:val="231F20"/>
          <w:spacing w:val="-24"/>
          <w:w w:val="105"/>
        </w:rPr>
        <w:t> </w:t>
      </w:r>
      <w:r>
        <w:rPr>
          <w:color w:val="231F20"/>
          <w:w w:val="105"/>
        </w:rPr>
        <w:t>Additionally, members discuss behaviors or actions from others and use the time to scold those members or provide them with advice. If the action is not appropriate and members feel the need to fulfill their role via</w:t>
      </w:r>
      <w:r>
        <w:rPr>
          <w:color w:val="231F20"/>
          <w:spacing w:val="-27"/>
          <w:w w:val="105"/>
        </w:rPr>
        <w:t> </w:t>
      </w:r>
      <w:r>
        <w:rPr>
          <w:color w:val="231F20"/>
          <w:w w:val="105"/>
        </w:rPr>
        <w:t>Facebook, they do so. </w:t>
      </w:r>
      <w:r>
        <w:rPr>
          <w:color w:val="231F20"/>
          <w:spacing w:val="-4"/>
          <w:w w:val="105"/>
        </w:rPr>
        <w:t>For </w:t>
      </w:r>
      <w:r>
        <w:rPr>
          <w:color w:val="231F20"/>
          <w:w w:val="105"/>
        </w:rPr>
        <w:t>example, in Conversation 8, “Gang </w:t>
      </w:r>
      <w:r>
        <w:rPr>
          <w:color w:val="231F20"/>
          <w:spacing w:val="-4"/>
          <w:w w:val="105"/>
        </w:rPr>
        <w:t>signs”, </w:t>
      </w:r>
      <w:r>
        <w:rPr>
          <w:color w:val="231F20"/>
          <w:w w:val="105"/>
        </w:rPr>
        <w:t>Eduardo and Cosme,</w:t>
      </w:r>
      <w:r>
        <w:rPr>
          <w:color w:val="231F20"/>
          <w:spacing w:val="-21"/>
          <w:w w:val="105"/>
        </w:rPr>
        <w:t> </w:t>
      </w:r>
      <w:r>
        <w:rPr>
          <w:color w:val="231F20"/>
          <w:w w:val="105"/>
        </w:rPr>
        <w:t>two</w:t>
      </w:r>
      <w:r>
        <w:rPr>
          <w:color w:val="231F20"/>
          <w:spacing w:val="-14"/>
          <w:w w:val="105"/>
        </w:rPr>
        <w:t> </w:t>
      </w:r>
      <w:r>
        <w:rPr>
          <w:color w:val="231F20"/>
          <w:w w:val="105"/>
        </w:rPr>
        <w:t>younger</w:t>
      </w:r>
      <w:r>
        <w:rPr>
          <w:color w:val="231F20"/>
          <w:spacing w:val="-14"/>
          <w:w w:val="105"/>
        </w:rPr>
        <w:t> </w:t>
      </w:r>
      <w:r>
        <w:rPr>
          <w:color w:val="231F20"/>
          <w:w w:val="105"/>
        </w:rPr>
        <w:t>second-generation</w:t>
      </w:r>
      <w:r>
        <w:rPr>
          <w:color w:val="231F20"/>
          <w:spacing w:val="-14"/>
          <w:w w:val="105"/>
        </w:rPr>
        <w:t> </w:t>
      </w:r>
      <w:r>
        <w:rPr>
          <w:color w:val="231F20"/>
          <w:w w:val="105"/>
        </w:rPr>
        <w:t>males</w:t>
      </w:r>
      <w:r>
        <w:rPr>
          <w:color w:val="231F20"/>
          <w:spacing w:val="-14"/>
          <w:w w:val="105"/>
        </w:rPr>
        <w:t> </w:t>
      </w:r>
      <w:r>
        <w:rPr>
          <w:color w:val="231F20"/>
          <w:w w:val="105"/>
        </w:rPr>
        <w:t>posted</w:t>
      </w:r>
      <w:r>
        <w:rPr>
          <w:color w:val="231F20"/>
          <w:spacing w:val="-14"/>
          <w:w w:val="105"/>
        </w:rPr>
        <w:t> </w:t>
      </w:r>
      <w:r>
        <w:rPr>
          <w:color w:val="231F20"/>
          <w:w w:val="105"/>
        </w:rPr>
        <w:t>a</w:t>
      </w:r>
      <w:r>
        <w:rPr>
          <w:color w:val="231F20"/>
          <w:spacing w:val="-14"/>
          <w:w w:val="105"/>
        </w:rPr>
        <w:t> </w:t>
      </w:r>
      <w:r>
        <w:rPr>
          <w:color w:val="231F20"/>
          <w:w w:val="105"/>
        </w:rPr>
        <w:t>picture</w:t>
      </w:r>
      <w:r>
        <w:rPr>
          <w:color w:val="231F20"/>
          <w:spacing w:val="-14"/>
          <w:w w:val="105"/>
        </w:rPr>
        <w:t> </w:t>
      </w:r>
      <w:r>
        <w:rPr>
          <w:color w:val="231F20"/>
          <w:w w:val="105"/>
        </w:rPr>
        <w:t>of</w:t>
      </w:r>
      <w:r>
        <w:rPr>
          <w:color w:val="231F20"/>
          <w:spacing w:val="-10"/>
          <w:w w:val="105"/>
        </w:rPr>
        <w:t> </w:t>
      </w:r>
      <w:r>
        <w:rPr>
          <w:color w:val="231F20"/>
          <w:w w:val="105"/>
        </w:rPr>
        <w:t>them- selves at a party with their friends. They posed for the picture holding beers</w:t>
      </w:r>
      <w:r>
        <w:rPr>
          <w:color w:val="231F20"/>
          <w:spacing w:val="-8"/>
          <w:w w:val="105"/>
        </w:rPr>
        <w:t> </w:t>
      </w:r>
      <w:r>
        <w:rPr>
          <w:color w:val="231F20"/>
          <w:w w:val="105"/>
        </w:rPr>
        <w:t>and</w:t>
      </w:r>
      <w:r>
        <w:rPr>
          <w:color w:val="231F20"/>
          <w:spacing w:val="-8"/>
          <w:w w:val="105"/>
        </w:rPr>
        <w:t> </w:t>
      </w:r>
      <w:r>
        <w:rPr>
          <w:color w:val="231F20"/>
          <w:w w:val="105"/>
        </w:rPr>
        <w:t>making</w:t>
      </w:r>
      <w:r>
        <w:rPr>
          <w:color w:val="231F20"/>
          <w:spacing w:val="-8"/>
          <w:w w:val="105"/>
        </w:rPr>
        <w:t> </w:t>
      </w:r>
      <w:r>
        <w:rPr>
          <w:color w:val="231F20"/>
          <w:w w:val="105"/>
        </w:rPr>
        <w:t>signs</w:t>
      </w:r>
      <w:r>
        <w:rPr>
          <w:color w:val="231F20"/>
          <w:spacing w:val="-8"/>
          <w:w w:val="105"/>
        </w:rPr>
        <w:t> </w:t>
      </w:r>
      <w:r>
        <w:rPr>
          <w:color w:val="231F20"/>
          <w:w w:val="105"/>
        </w:rPr>
        <w:t>(such</w:t>
      </w:r>
      <w:r>
        <w:rPr>
          <w:color w:val="231F20"/>
          <w:spacing w:val="-8"/>
          <w:w w:val="105"/>
        </w:rPr>
        <w:t> </w:t>
      </w:r>
      <w:r>
        <w:rPr>
          <w:color w:val="231F20"/>
          <w:w w:val="105"/>
        </w:rPr>
        <w:t>as</w:t>
      </w:r>
      <w:r>
        <w:rPr>
          <w:color w:val="231F20"/>
          <w:spacing w:val="-8"/>
          <w:w w:val="105"/>
        </w:rPr>
        <w:t> </w:t>
      </w:r>
      <w:r>
        <w:rPr>
          <w:color w:val="231F20"/>
          <w:w w:val="105"/>
        </w:rPr>
        <w:t>the</w:t>
      </w:r>
      <w:r>
        <w:rPr>
          <w:color w:val="231F20"/>
          <w:spacing w:val="-8"/>
          <w:w w:val="105"/>
        </w:rPr>
        <w:t> </w:t>
      </w:r>
      <w:r>
        <w:rPr>
          <w:color w:val="231F20"/>
          <w:w w:val="105"/>
        </w:rPr>
        <w:t>peace</w:t>
      </w:r>
      <w:r>
        <w:rPr>
          <w:color w:val="231F20"/>
          <w:spacing w:val="-8"/>
          <w:w w:val="105"/>
        </w:rPr>
        <w:t> </w:t>
      </w:r>
      <w:r>
        <w:rPr>
          <w:color w:val="231F20"/>
          <w:w w:val="105"/>
        </w:rPr>
        <w:t>sign</w:t>
      </w:r>
      <w:r>
        <w:rPr>
          <w:color w:val="231F20"/>
          <w:spacing w:val="-8"/>
          <w:w w:val="105"/>
        </w:rPr>
        <w:t> </w:t>
      </w:r>
      <w:r>
        <w:rPr>
          <w:color w:val="231F20"/>
          <w:w w:val="105"/>
        </w:rPr>
        <w:t>that</w:t>
      </w:r>
      <w:r>
        <w:rPr>
          <w:color w:val="231F20"/>
          <w:spacing w:val="-8"/>
          <w:w w:val="105"/>
        </w:rPr>
        <w:t> </w:t>
      </w:r>
      <w:r>
        <w:rPr>
          <w:color w:val="231F20"/>
          <w:w w:val="105"/>
        </w:rPr>
        <w:t>people</w:t>
      </w:r>
      <w:r>
        <w:rPr>
          <w:color w:val="231F20"/>
          <w:spacing w:val="-8"/>
          <w:w w:val="105"/>
        </w:rPr>
        <w:t> </w:t>
      </w:r>
      <w:r>
        <w:rPr>
          <w:color w:val="231F20"/>
          <w:w w:val="105"/>
        </w:rPr>
        <w:t>do</w:t>
      </w:r>
      <w:r>
        <w:rPr>
          <w:color w:val="231F20"/>
          <w:spacing w:val="-8"/>
          <w:w w:val="105"/>
        </w:rPr>
        <w:t> </w:t>
      </w:r>
      <w:r>
        <w:rPr>
          <w:color w:val="231F20"/>
          <w:w w:val="105"/>
        </w:rPr>
        <w:t>with</w:t>
      </w:r>
      <w:r>
        <w:rPr>
          <w:color w:val="231F20"/>
          <w:spacing w:val="-8"/>
          <w:w w:val="105"/>
        </w:rPr>
        <w:t> </w:t>
      </w:r>
      <w:r>
        <w:rPr>
          <w:color w:val="231F20"/>
          <w:w w:val="105"/>
        </w:rPr>
        <w:t>two fingers,</w:t>
      </w:r>
      <w:r>
        <w:rPr>
          <w:color w:val="231F20"/>
          <w:spacing w:val="-13"/>
          <w:w w:val="105"/>
        </w:rPr>
        <w:t> </w:t>
      </w:r>
      <w:r>
        <w:rPr>
          <w:color w:val="231F20"/>
          <w:w w:val="105"/>
        </w:rPr>
        <w:t>or</w:t>
      </w:r>
      <w:r>
        <w:rPr>
          <w:color w:val="231F20"/>
          <w:spacing w:val="-8"/>
          <w:w w:val="105"/>
        </w:rPr>
        <w:t> </w:t>
      </w:r>
      <w:r>
        <w:rPr>
          <w:color w:val="231F20"/>
          <w:w w:val="105"/>
        </w:rPr>
        <w:t>the</w:t>
      </w:r>
      <w:r>
        <w:rPr>
          <w:color w:val="231F20"/>
          <w:spacing w:val="-8"/>
          <w:w w:val="105"/>
        </w:rPr>
        <w:t> </w:t>
      </w:r>
      <w:r>
        <w:rPr>
          <w:color w:val="231F20"/>
          <w:w w:val="105"/>
        </w:rPr>
        <w:t>thumbs</w:t>
      </w:r>
      <w:r>
        <w:rPr>
          <w:color w:val="231F20"/>
          <w:spacing w:val="-8"/>
          <w:w w:val="105"/>
        </w:rPr>
        <w:t> </w:t>
      </w:r>
      <w:r>
        <w:rPr>
          <w:color w:val="231F20"/>
          <w:w w:val="105"/>
        </w:rPr>
        <w:t>up</w:t>
      </w:r>
      <w:r>
        <w:rPr>
          <w:color w:val="231F20"/>
          <w:spacing w:val="-8"/>
          <w:w w:val="105"/>
        </w:rPr>
        <w:t> </w:t>
      </w:r>
      <w:r>
        <w:rPr>
          <w:color w:val="231F20"/>
          <w:w w:val="105"/>
        </w:rPr>
        <w:t>sign),</w:t>
      </w:r>
      <w:r>
        <w:rPr>
          <w:color w:val="231F20"/>
          <w:spacing w:val="-13"/>
          <w:w w:val="105"/>
        </w:rPr>
        <w:t> </w:t>
      </w:r>
      <w:r>
        <w:rPr>
          <w:color w:val="231F20"/>
          <w:w w:val="105"/>
        </w:rPr>
        <w:t>except</w:t>
      </w:r>
      <w:r>
        <w:rPr>
          <w:color w:val="231F20"/>
          <w:spacing w:val="-8"/>
          <w:w w:val="105"/>
        </w:rPr>
        <w:t> </w:t>
      </w:r>
      <w:r>
        <w:rPr>
          <w:color w:val="231F20"/>
          <w:w w:val="105"/>
        </w:rPr>
        <w:t>that</w:t>
      </w:r>
      <w:r>
        <w:rPr>
          <w:color w:val="231F20"/>
          <w:spacing w:val="-8"/>
          <w:w w:val="105"/>
        </w:rPr>
        <w:t> </w:t>
      </w:r>
      <w:r>
        <w:rPr>
          <w:color w:val="231F20"/>
          <w:w w:val="105"/>
        </w:rPr>
        <w:t>these</w:t>
      </w:r>
      <w:r>
        <w:rPr>
          <w:color w:val="231F20"/>
          <w:spacing w:val="-8"/>
          <w:w w:val="105"/>
        </w:rPr>
        <w:t> </w:t>
      </w:r>
      <w:r>
        <w:rPr>
          <w:color w:val="231F20"/>
          <w:w w:val="105"/>
        </w:rPr>
        <w:t>signs</w:t>
      </w:r>
      <w:r>
        <w:rPr>
          <w:color w:val="231F20"/>
          <w:spacing w:val="-8"/>
          <w:w w:val="105"/>
        </w:rPr>
        <w:t> </w:t>
      </w:r>
      <w:r>
        <w:rPr>
          <w:color w:val="231F20"/>
          <w:w w:val="105"/>
        </w:rPr>
        <w:t>could</w:t>
      </w:r>
      <w:r>
        <w:rPr>
          <w:color w:val="231F20"/>
          <w:spacing w:val="-8"/>
          <w:w w:val="105"/>
        </w:rPr>
        <w:t> </w:t>
      </w:r>
      <w:r>
        <w:rPr>
          <w:color w:val="231F20"/>
          <w:w w:val="105"/>
        </w:rPr>
        <w:t>have</w:t>
      </w:r>
      <w:r>
        <w:rPr>
          <w:color w:val="231F20"/>
          <w:spacing w:val="-8"/>
          <w:w w:val="105"/>
        </w:rPr>
        <w:t> </w:t>
      </w:r>
      <w:r>
        <w:rPr>
          <w:color w:val="231F20"/>
          <w:w w:val="105"/>
        </w:rPr>
        <w:t>been misinterpreted as gang signs. Below the picture, there were numerous comments</w:t>
      </w:r>
      <w:r>
        <w:rPr>
          <w:color w:val="231F20"/>
          <w:spacing w:val="-13"/>
          <w:w w:val="105"/>
        </w:rPr>
        <w:t> </w:t>
      </w:r>
      <w:r>
        <w:rPr>
          <w:color w:val="231F20"/>
          <w:w w:val="105"/>
        </w:rPr>
        <w:t>from</w:t>
      </w:r>
      <w:r>
        <w:rPr>
          <w:color w:val="231F20"/>
          <w:spacing w:val="-13"/>
          <w:w w:val="105"/>
        </w:rPr>
        <w:t> </w:t>
      </w:r>
      <w:r>
        <w:rPr>
          <w:color w:val="231F20"/>
          <w:w w:val="105"/>
        </w:rPr>
        <w:t>people</w:t>
      </w:r>
      <w:r>
        <w:rPr>
          <w:color w:val="231F20"/>
          <w:spacing w:val="-13"/>
          <w:w w:val="105"/>
        </w:rPr>
        <w:t> </w:t>
      </w:r>
      <w:r>
        <w:rPr>
          <w:color w:val="231F20"/>
          <w:w w:val="105"/>
        </w:rPr>
        <w:t>in</w:t>
      </w:r>
      <w:r>
        <w:rPr>
          <w:color w:val="231F20"/>
          <w:spacing w:val="-13"/>
          <w:w w:val="105"/>
        </w:rPr>
        <w:t> </w:t>
      </w:r>
      <w:r>
        <w:rPr>
          <w:color w:val="231F20"/>
          <w:w w:val="105"/>
        </w:rPr>
        <w:t>the</w:t>
      </w:r>
      <w:r>
        <w:rPr>
          <w:color w:val="231F20"/>
          <w:spacing w:val="-13"/>
          <w:w w:val="105"/>
        </w:rPr>
        <w:t> </w:t>
      </w:r>
      <w:r>
        <w:rPr>
          <w:color w:val="231F20"/>
          <w:w w:val="105"/>
        </w:rPr>
        <w:t>picture</w:t>
      </w:r>
      <w:r>
        <w:rPr>
          <w:color w:val="231F20"/>
          <w:spacing w:val="-13"/>
          <w:w w:val="105"/>
        </w:rPr>
        <w:t> </w:t>
      </w:r>
      <w:r>
        <w:rPr>
          <w:color w:val="231F20"/>
          <w:w w:val="105"/>
        </w:rPr>
        <w:t>recounting</w:t>
      </w:r>
      <w:r>
        <w:rPr>
          <w:color w:val="231F20"/>
          <w:spacing w:val="-13"/>
          <w:w w:val="105"/>
        </w:rPr>
        <w:t> </w:t>
      </w:r>
      <w:r>
        <w:rPr>
          <w:color w:val="231F20"/>
          <w:w w:val="105"/>
        </w:rPr>
        <w:t>the</w:t>
      </w:r>
      <w:r>
        <w:rPr>
          <w:color w:val="231F20"/>
          <w:spacing w:val="-13"/>
          <w:w w:val="105"/>
        </w:rPr>
        <w:t> </w:t>
      </w:r>
      <w:r>
        <w:rPr>
          <w:color w:val="231F20"/>
          <w:w w:val="105"/>
        </w:rPr>
        <w:t>party,</w:t>
      </w:r>
      <w:r>
        <w:rPr>
          <w:color w:val="231F20"/>
          <w:spacing w:val="-19"/>
          <w:w w:val="105"/>
        </w:rPr>
        <w:t> </w:t>
      </w:r>
      <w:r>
        <w:rPr>
          <w:color w:val="231F20"/>
          <w:w w:val="105"/>
        </w:rPr>
        <w:t>how</w:t>
      </w:r>
      <w:r>
        <w:rPr>
          <w:color w:val="231F20"/>
          <w:spacing w:val="-13"/>
          <w:w w:val="105"/>
        </w:rPr>
        <w:t> </w:t>
      </w:r>
      <w:r>
        <w:rPr>
          <w:color w:val="231F20"/>
          <w:w w:val="105"/>
        </w:rPr>
        <w:t>much</w:t>
      </w:r>
      <w:r>
        <w:rPr>
          <w:color w:val="231F20"/>
          <w:spacing w:val="-13"/>
          <w:w w:val="105"/>
        </w:rPr>
        <w:t> </w:t>
      </w:r>
      <w:r>
        <w:rPr>
          <w:color w:val="231F20"/>
          <w:w w:val="105"/>
        </w:rPr>
        <w:t>fun they had, and how they wanted to repeat the experience (first 10 com- ments</w:t>
      </w:r>
      <w:r>
        <w:rPr>
          <w:color w:val="231F20"/>
          <w:spacing w:val="-22"/>
          <w:w w:val="105"/>
        </w:rPr>
        <w:t> </w:t>
      </w:r>
      <w:r>
        <w:rPr>
          <w:color w:val="231F20"/>
          <w:w w:val="105"/>
        </w:rPr>
        <w:t>not</w:t>
      </w:r>
      <w:r>
        <w:rPr>
          <w:color w:val="231F20"/>
          <w:spacing w:val="-22"/>
          <w:w w:val="105"/>
        </w:rPr>
        <w:t> </w:t>
      </w:r>
      <w:r>
        <w:rPr>
          <w:color w:val="231F20"/>
          <w:w w:val="105"/>
        </w:rPr>
        <w:t>shown</w:t>
      </w:r>
      <w:r>
        <w:rPr>
          <w:color w:val="231F20"/>
          <w:spacing w:val="-22"/>
          <w:w w:val="105"/>
        </w:rPr>
        <w:t> </w:t>
      </w:r>
      <w:r>
        <w:rPr>
          <w:color w:val="231F20"/>
          <w:w w:val="105"/>
        </w:rPr>
        <w:t>due</w:t>
      </w:r>
      <w:r>
        <w:rPr>
          <w:color w:val="231F20"/>
          <w:spacing w:val="-22"/>
          <w:w w:val="105"/>
        </w:rPr>
        <w:t> </w:t>
      </w:r>
      <w:r>
        <w:rPr>
          <w:color w:val="231F20"/>
          <w:w w:val="105"/>
        </w:rPr>
        <w:t>to</w:t>
      </w:r>
      <w:r>
        <w:rPr>
          <w:color w:val="231F20"/>
          <w:spacing w:val="-22"/>
          <w:w w:val="105"/>
        </w:rPr>
        <w:t> </w:t>
      </w:r>
      <w:r>
        <w:rPr>
          <w:color w:val="231F20"/>
          <w:w w:val="105"/>
        </w:rPr>
        <w:t>space</w:t>
      </w:r>
      <w:r>
        <w:rPr>
          <w:color w:val="231F20"/>
          <w:spacing w:val="-22"/>
          <w:w w:val="105"/>
        </w:rPr>
        <w:t> </w:t>
      </w:r>
      <w:r>
        <w:rPr>
          <w:color w:val="231F20"/>
          <w:w w:val="105"/>
        </w:rPr>
        <w:t>constraints)</w:t>
      </w:r>
      <w:r>
        <w:rPr>
          <w:color w:val="231F20"/>
          <w:spacing w:val="-22"/>
          <w:w w:val="105"/>
        </w:rPr>
        <w:t> </w:t>
      </w:r>
      <w:r>
        <w:rPr>
          <w:color w:val="231F20"/>
          <w:w w:val="105"/>
        </w:rPr>
        <w:t>(see</w:t>
      </w:r>
      <w:r>
        <w:rPr>
          <w:color w:val="231F20"/>
          <w:spacing w:val="-25"/>
          <w:w w:val="105"/>
        </w:rPr>
        <w:t> </w:t>
      </w:r>
      <w:r>
        <w:rPr>
          <w:color w:val="231F20"/>
          <w:spacing w:val="-5"/>
          <w:w w:val="105"/>
        </w:rPr>
        <w:t>Table</w:t>
      </w:r>
      <w:r>
        <w:rPr>
          <w:color w:val="231F20"/>
          <w:spacing w:val="-22"/>
          <w:w w:val="105"/>
        </w:rPr>
        <w:t> </w:t>
      </w:r>
      <w:r>
        <w:rPr>
          <w:color w:val="231F20"/>
          <w:w w:val="105"/>
        </w:rPr>
        <w:t>9).</w:t>
      </w:r>
    </w:p>
    <w:p>
      <w:pPr>
        <w:pStyle w:val="BodyText"/>
        <w:spacing w:before="4"/>
      </w:pPr>
    </w:p>
    <w:p>
      <w:pPr>
        <w:spacing w:before="0"/>
        <w:ind w:left="2693" w:right="2804" w:firstLine="0"/>
        <w:jc w:val="center"/>
        <w:rPr>
          <w:rFonts w:ascii="Arial" w:hAnsi="Arial"/>
          <w:sz w:val="18"/>
        </w:rPr>
      </w:pPr>
      <w:r>
        <w:rPr>
          <w:rFonts w:ascii="Arial" w:hAnsi="Arial"/>
          <w:color w:val="231F20"/>
          <w:w w:val="105"/>
          <w:sz w:val="18"/>
        </w:rPr>
        <w:t>Table 9. Conversation 8, “Gang Signs”</w:t>
      </w:r>
    </w:p>
    <w:p>
      <w:pPr>
        <w:pStyle w:val="BodyText"/>
        <w:spacing w:before="5"/>
        <w:rPr>
          <w:rFonts w:ascii="Arial"/>
          <w:sz w:val="13"/>
        </w:rPr>
      </w:pPr>
    </w:p>
    <w:tbl>
      <w:tblPr>
        <w:tblW w:w="0" w:type="auto"/>
        <w:jc w:val="left"/>
        <w:tblInd w:w="223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56"/>
        <w:gridCol w:w="2778"/>
        <w:gridCol w:w="2665"/>
      </w:tblGrid>
      <w:tr>
        <w:trPr>
          <w:trHeight w:val="988" w:hRule="exact"/>
        </w:trPr>
        <w:tc>
          <w:tcPr>
            <w:tcW w:w="456" w:type="dxa"/>
          </w:tcPr>
          <w:p>
            <w:pPr>
              <w:pStyle w:val="TableParagraph"/>
              <w:ind w:left="77"/>
              <w:rPr>
                <w:sz w:val="18"/>
              </w:rPr>
            </w:pPr>
            <w:r>
              <w:rPr>
                <w:color w:val="231F20"/>
                <w:w w:val="104"/>
                <w:sz w:val="18"/>
              </w:rPr>
              <w:t>1</w:t>
            </w:r>
          </w:p>
        </w:tc>
        <w:tc>
          <w:tcPr>
            <w:tcW w:w="2778" w:type="dxa"/>
          </w:tcPr>
          <w:p>
            <w:pPr>
              <w:pStyle w:val="TableParagraph"/>
              <w:ind w:left="77" w:right="9"/>
              <w:rPr>
                <w:sz w:val="18"/>
              </w:rPr>
            </w:pPr>
            <w:r>
              <w:rPr>
                <w:color w:val="231F20"/>
                <w:sz w:val="18"/>
              </w:rPr>
              <w:t>Cosme’s wall</w:t>
            </w:r>
          </w:p>
          <w:p>
            <w:pPr>
              <w:pStyle w:val="TableParagraph"/>
              <w:spacing w:line="254" w:lineRule="auto" w:before="12"/>
              <w:ind w:left="77" w:right="60"/>
              <w:rPr>
                <w:sz w:val="18"/>
              </w:rPr>
            </w:pPr>
            <w:r>
              <w:rPr>
                <w:color w:val="231F20"/>
                <w:w w:val="105"/>
                <w:sz w:val="18"/>
              </w:rPr>
              <w:t>A picture of all cousins in a bar, posing and making hand signs.</w:t>
            </w:r>
          </w:p>
        </w:tc>
        <w:tc>
          <w:tcPr>
            <w:tcW w:w="2665" w:type="dxa"/>
          </w:tcPr>
          <w:p>
            <w:pPr>
              <w:pStyle w:val="TableParagraph"/>
              <w:spacing w:line="254" w:lineRule="auto"/>
              <w:ind w:left="77" w:right="72"/>
              <w:jc w:val="both"/>
              <w:rPr>
                <w:sz w:val="18"/>
              </w:rPr>
            </w:pPr>
            <w:r>
              <w:rPr>
                <w:color w:val="231F20"/>
                <w:w w:val="105"/>
                <w:sz w:val="18"/>
              </w:rPr>
              <w:t>Una foto de todos los primos en un bar, posando y hacien- do</w:t>
            </w:r>
            <w:r>
              <w:rPr>
                <w:color w:val="231F20"/>
                <w:spacing w:val="-24"/>
                <w:w w:val="105"/>
                <w:sz w:val="18"/>
              </w:rPr>
              <w:t> </w:t>
            </w:r>
            <w:r>
              <w:rPr>
                <w:color w:val="231F20"/>
                <w:w w:val="105"/>
                <w:sz w:val="18"/>
              </w:rPr>
              <w:t>señales</w:t>
            </w:r>
            <w:r>
              <w:rPr>
                <w:color w:val="231F20"/>
                <w:spacing w:val="-24"/>
                <w:w w:val="105"/>
                <w:sz w:val="18"/>
              </w:rPr>
              <w:t> </w:t>
            </w:r>
            <w:r>
              <w:rPr>
                <w:color w:val="231F20"/>
                <w:w w:val="105"/>
                <w:sz w:val="18"/>
              </w:rPr>
              <w:t>de</w:t>
            </w:r>
            <w:r>
              <w:rPr>
                <w:color w:val="231F20"/>
                <w:spacing w:val="-24"/>
                <w:w w:val="105"/>
                <w:sz w:val="18"/>
              </w:rPr>
              <w:t> </w:t>
            </w:r>
            <w:r>
              <w:rPr>
                <w:color w:val="231F20"/>
                <w:w w:val="105"/>
                <w:sz w:val="18"/>
              </w:rPr>
              <w:t>pandillas</w:t>
            </w:r>
            <w:r>
              <w:rPr>
                <w:color w:val="231F20"/>
                <w:spacing w:val="-24"/>
                <w:w w:val="105"/>
                <w:sz w:val="18"/>
              </w:rPr>
              <w:t> </w:t>
            </w:r>
            <w:r>
              <w:rPr>
                <w:color w:val="231F20"/>
                <w:w w:val="105"/>
                <w:sz w:val="18"/>
              </w:rPr>
              <w:t>con</w:t>
            </w:r>
            <w:r>
              <w:rPr>
                <w:color w:val="231F20"/>
                <w:spacing w:val="-24"/>
                <w:w w:val="105"/>
                <w:sz w:val="18"/>
              </w:rPr>
              <w:t> </w:t>
            </w:r>
            <w:r>
              <w:rPr>
                <w:color w:val="231F20"/>
                <w:w w:val="105"/>
                <w:sz w:val="18"/>
              </w:rPr>
              <w:t>las manos.</w:t>
            </w:r>
          </w:p>
        </w:tc>
      </w:tr>
      <w:tr>
        <w:trPr>
          <w:trHeight w:val="1204" w:hRule="exact"/>
        </w:trPr>
        <w:tc>
          <w:tcPr>
            <w:tcW w:w="456" w:type="dxa"/>
          </w:tcPr>
          <w:p>
            <w:pPr>
              <w:pStyle w:val="TableParagraph"/>
              <w:ind w:left="77"/>
              <w:rPr>
                <w:sz w:val="18"/>
              </w:rPr>
            </w:pPr>
            <w:r>
              <w:rPr>
                <w:color w:val="231F20"/>
                <w:w w:val="105"/>
                <w:sz w:val="18"/>
              </w:rPr>
              <w:t>12</w:t>
            </w:r>
          </w:p>
        </w:tc>
        <w:tc>
          <w:tcPr>
            <w:tcW w:w="2778" w:type="dxa"/>
          </w:tcPr>
          <w:p>
            <w:pPr>
              <w:pStyle w:val="TableParagraph"/>
              <w:spacing w:line="254" w:lineRule="auto"/>
              <w:ind w:left="77" w:right="72"/>
              <w:jc w:val="both"/>
              <w:rPr>
                <w:sz w:val="18"/>
              </w:rPr>
            </w:pPr>
            <w:r>
              <w:rPr>
                <w:color w:val="231F20"/>
                <w:w w:val="110"/>
                <w:sz w:val="18"/>
              </w:rPr>
              <w:t>Dante</w:t>
            </w:r>
            <w:r>
              <w:rPr>
                <w:color w:val="231F20"/>
                <w:spacing w:val="3"/>
                <w:w w:val="110"/>
                <w:sz w:val="18"/>
              </w:rPr>
              <w:t> </w:t>
            </w:r>
            <w:r>
              <w:rPr>
                <w:color w:val="231F20"/>
                <w:w w:val="110"/>
                <w:sz w:val="18"/>
              </w:rPr>
              <w:t>When</w:t>
            </w:r>
            <w:r>
              <w:rPr>
                <w:color w:val="231F20"/>
                <w:spacing w:val="-34"/>
                <w:w w:val="110"/>
                <w:sz w:val="18"/>
              </w:rPr>
              <w:t> </w:t>
            </w:r>
            <w:r>
              <w:rPr>
                <w:color w:val="231F20"/>
                <w:w w:val="110"/>
                <w:sz w:val="18"/>
              </w:rPr>
              <w:t>you</w:t>
            </w:r>
            <w:r>
              <w:rPr>
                <w:color w:val="231F20"/>
                <w:spacing w:val="-34"/>
                <w:w w:val="110"/>
                <w:sz w:val="18"/>
              </w:rPr>
              <w:t> </w:t>
            </w:r>
            <w:r>
              <w:rPr>
                <w:color w:val="231F20"/>
                <w:w w:val="110"/>
                <w:sz w:val="18"/>
              </w:rPr>
              <w:t>get</w:t>
            </w:r>
            <w:r>
              <w:rPr>
                <w:color w:val="231F20"/>
                <w:spacing w:val="-34"/>
                <w:w w:val="110"/>
                <w:sz w:val="18"/>
              </w:rPr>
              <w:t> </w:t>
            </w:r>
            <w:r>
              <w:rPr>
                <w:color w:val="231F20"/>
                <w:w w:val="110"/>
                <w:sz w:val="18"/>
              </w:rPr>
              <w:t>you’re</w:t>
            </w:r>
            <w:r>
              <w:rPr>
                <w:color w:val="231F20"/>
                <w:spacing w:val="-34"/>
                <w:w w:val="110"/>
                <w:sz w:val="18"/>
              </w:rPr>
              <w:t> </w:t>
            </w:r>
            <w:r>
              <w:rPr>
                <w:color w:val="231F20"/>
                <w:w w:val="110"/>
                <w:sz w:val="18"/>
              </w:rPr>
              <w:t>ass </w:t>
            </w:r>
            <w:r>
              <w:rPr>
                <w:color w:val="231F20"/>
                <w:spacing w:val="-4"/>
                <w:w w:val="110"/>
                <w:sz w:val="18"/>
              </w:rPr>
              <w:t>handed</w:t>
            </w:r>
            <w:r>
              <w:rPr>
                <w:color w:val="231F20"/>
                <w:spacing w:val="-32"/>
                <w:w w:val="110"/>
                <w:sz w:val="18"/>
              </w:rPr>
              <w:t> </w:t>
            </w:r>
            <w:r>
              <w:rPr>
                <w:color w:val="231F20"/>
                <w:w w:val="110"/>
                <w:sz w:val="18"/>
              </w:rPr>
              <w:t>to</w:t>
            </w:r>
            <w:r>
              <w:rPr>
                <w:color w:val="231F20"/>
                <w:spacing w:val="-32"/>
                <w:w w:val="110"/>
                <w:sz w:val="18"/>
              </w:rPr>
              <w:t> </w:t>
            </w:r>
            <w:r>
              <w:rPr>
                <w:color w:val="231F20"/>
                <w:spacing w:val="-3"/>
                <w:w w:val="110"/>
                <w:sz w:val="18"/>
              </w:rPr>
              <w:t>you</w:t>
            </w:r>
            <w:r>
              <w:rPr>
                <w:color w:val="231F20"/>
                <w:spacing w:val="-32"/>
                <w:w w:val="110"/>
                <w:sz w:val="18"/>
              </w:rPr>
              <w:t> </w:t>
            </w:r>
            <w:r>
              <w:rPr>
                <w:color w:val="231F20"/>
                <w:spacing w:val="-3"/>
                <w:w w:val="110"/>
                <w:sz w:val="18"/>
              </w:rPr>
              <w:t>for</w:t>
            </w:r>
            <w:r>
              <w:rPr>
                <w:color w:val="231F20"/>
                <w:spacing w:val="-32"/>
                <w:w w:val="110"/>
                <w:sz w:val="18"/>
              </w:rPr>
              <w:t> </w:t>
            </w:r>
            <w:r>
              <w:rPr>
                <w:color w:val="231F20"/>
                <w:spacing w:val="-5"/>
                <w:w w:val="110"/>
                <w:sz w:val="18"/>
              </w:rPr>
              <w:t>reporting</w:t>
            </w:r>
            <w:r>
              <w:rPr>
                <w:color w:val="231F20"/>
                <w:spacing w:val="-32"/>
                <w:w w:val="110"/>
                <w:sz w:val="18"/>
              </w:rPr>
              <w:t> </w:t>
            </w:r>
            <w:r>
              <w:rPr>
                <w:color w:val="231F20"/>
                <w:spacing w:val="-4"/>
                <w:w w:val="110"/>
                <w:sz w:val="18"/>
              </w:rPr>
              <w:t>gang </w:t>
            </w:r>
            <w:r>
              <w:rPr>
                <w:color w:val="231F20"/>
                <w:w w:val="110"/>
                <w:sz w:val="18"/>
              </w:rPr>
              <w:t>signs with out bring one </w:t>
            </w:r>
            <w:r>
              <w:rPr>
                <w:color w:val="231F20"/>
                <w:spacing w:val="2"/>
                <w:w w:val="110"/>
                <w:sz w:val="18"/>
              </w:rPr>
              <w:t>you’ll </w:t>
            </w:r>
            <w:r>
              <w:rPr>
                <w:color w:val="231F20"/>
                <w:w w:val="110"/>
                <w:sz w:val="18"/>
              </w:rPr>
              <w:t>learn</w:t>
            </w:r>
          </w:p>
        </w:tc>
        <w:tc>
          <w:tcPr>
            <w:tcW w:w="2665" w:type="dxa"/>
          </w:tcPr>
          <w:p>
            <w:pPr>
              <w:pStyle w:val="TableParagraph"/>
              <w:spacing w:line="254" w:lineRule="auto"/>
              <w:ind w:left="77" w:right="75"/>
              <w:jc w:val="both"/>
              <w:rPr>
                <w:sz w:val="18"/>
              </w:rPr>
            </w:pPr>
            <w:r>
              <w:rPr>
                <w:color w:val="231F20"/>
                <w:w w:val="105"/>
                <w:sz w:val="18"/>
              </w:rPr>
              <w:t>Cuando</w:t>
            </w:r>
            <w:r>
              <w:rPr>
                <w:color w:val="231F20"/>
                <w:spacing w:val="-20"/>
                <w:w w:val="105"/>
                <w:sz w:val="18"/>
              </w:rPr>
              <w:t> </w:t>
            </w:r>
            <w:r>
              <w:rPr>
                <w:color w:val="231F20"/>
                <w:w w:val="105"/>
                <w:sz w:val="18"/>
              </w:rPr>
              <w:t>te</w:t>
            </w:r>
            <w:r>
              <w:rPr>
                <w:color w:val="231F20"/>
                <w:spacing w:val="-20"/>
                <w:w w:val="105"/>
                <w:sz w:val="18"/>
              </w:rPr>
              <w:t> </w:t>
            </w:r>
            <w:r>
              <w:rPr>
                <w:color w:val="231F20"/>
                <w:spacing w:val="-3"/>
                <w:w w:val="105"/>
                <w:sz w:val="18"/>
              </w:rPr>
              <w:t>entreguen</w:t>
            </w:r>
            <w:r>
              <w:rPr>
                <w:color w:val="231F20"/>
                <w:spacing w:val="-20"/>
                <w:w w:val="105"/>
                <w:sz w:val="18"/>
              </w:rPr>
              <w:t> </w:t>
            </w:r>
            <w:r>
              <w:rPr>
                <w:color w:val="231F20"/>
                <w:w w:val="105"/>
                <w:sz w:val="18"/>
              </w:rPr>
              <w:t>tu</w:t>
            </w:r>
            <w:r>
              <w:rPr>
                <w:color w:val="231F20"/>
                <w:spacing w:val="-20"/>
                <w:w w:val="105"/>
                <w:sz w:val="18"/>
              </w:rPr>
              <w:t> </w:t>
            </w:r>
            <w:r>
              <w:rPr>
                <w:color w:val="231F20"/>
                <w:spacing w:val="-3"/>
                <w:w w:val="105"/>
                <w:sz w:val="18"/>
              </w:rPr>
              <w:t>trasero </w:t>
            </w:r>
            <w:r>
              <w:rPr>
                <w:color w:val="231F20"/>
                <w:w w:val="105"/>
                <w:sz w:val="18"/>
              </w:rPr>
              <w:t>en</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mano</w:t>
            </w:r>
            <w:r>
              <w:rPr>
                <w:color w:val="231F20"/>
                <w:spacing w:val="-17"/>
                <w:w w:val="105"/>
                <w:sz w:val="18"/>
              </w:rPr>
              <w:t> </w:t>
            </w:r>
            <w:r>
              <w:rPr>
                <w:color w:val="231F20"/>
                <w:w w:val="105"/>
                <w:sz w:val="18"/>
              </w:rPr>
              <w:t>por</w:t>
            </w:r>
            <w:r>
              <w:rPr>
                <w:color w:val="231F20"/>
                <w:spacing w:val="-17"/>
                <w:w w:val="105"/>
                <w:sz w:val="18"/>
              </w:rPr>
              <w:t> </w:t>
            </w:r>
            <w:r>
              <w:rPr>
                <w:color w:val="231F20"/>
                <w:w w:val="105"/>
                <w:sz w:val="18"/>
              </w:rPr>
              <w:t>andar</w:t>
            </w:r>
            <w:r>
              <w:rPr>
                <w:color w:val="231F20"/>
                <w:spacing w:val="-17"/>
                <w:w w:val="105"/>
                <w:sz w:val="18"/>
              </w:rPr>
              <w:t> </w:t>
            </w:r>
            <w:r>
              <w:rPr>
                <w:color w:val="231F20"/>
                <w:w w:val="105"/>
                <w:sz w:val="18"/>
              </w:rPr>
              <w:t>mandan- do</w:t>
            </w:r>
            <w:r>
              <w:rPr>
                <w:color w:val="231F20"/>
                <w:spacing w:val="-16"/>
                <w:w w:val="105"/>
                <w:sz w:val="18"/>
              </w:rPr>
              <w:t> </w:t>
            </w:r>
            <w:r>
              <w:rPr>
                <w:color w:val="231F20"/>
                <w:w w:val="105"/>
                <w:sz w:val="18"/>
              </w:rPr>
              <w:t>señales</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pandillas</w:t>
            </w:r>
            <w:r>
              <w:rPr>
                <w:color w:val="231F20"/>
                <w:spacing w:val="-16"/>
                <w:w w:val="105"/>
                <w:sz w:val="18"/>
              </w:rPr>
              <w:t> </w:t>
            </w:r>
            <w:r>
              <w:rPr>
                <w:color w:val="231F20"/>
                <w:w w:val="105"/>
                <w:sz w:val="18"/>
              </w:rPr>
              <w:t>sin</w:t>
            </w:r>
            <w:r>
              <w:rPr>
                <w:color w:val="231F20"/>
                <w:spacing w:val="-16"/>
                <w:w w:val="105"/>
                <w:sz w:val="18"/>
              </w:rPr>
              <w:t> </w:t>
            </w:r>
            <w:r>
              <w:rPr>
                <w:color w:val="231F20"/>
                <w:w w:val="105"/>
                <w:sz w:val="18"/>
              </w:rPr>
              <w:t>ser parte</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alguna</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ellas,</w:t>
            </w:r>
            <w:r>
              <w:rPr>
                <w:color w:val="231F20"/>
                <w:spacing w:val="-14"/>
                <w:w w:val="105"/>
                <w:sz w:val="18"/>
              </w:rPr>
              <w:t> </w:t>
            </w:r>
            <w:r>
              <w:rPr>
                <w:color w:val="231F20"/>
                <w:w w:val="105"/>
                <w:sz w:val="18"/>
              </w:rPr>
              <w:t>vas</w:t>
            </w:r>
            <w:r>
              <w:rPr>
                <w:color w:val="231F20"/>
                <w:spacing w:val="-10"/>
                <w:w w:val="105"/>
                <w:sz w:val="18"/>
              </w:rPr>
              <w:t> </w:t>
            </w:r>
            <w:r>
              <w:rPr>
                <w:color w:val="231F20"/>
                <w:w w:val="105"/>
                <w:sz w:val="18"/>
              </w:rPr>
              <w:t>a aprender</w:t>
            </w:r>
          </w:p>
        </w:tc>
      </w:tr>
      <w:tr>
        <w:trPr>
          <w:trHeight w:val="556" w:hRule="exact"/>
        </w:trPr>
        <w:tc>
          <w:tcPr>
            <w:tcW w:w="456" w:type="dxa"/>
          </w:tcPr>
          <w:p>
            <w:pPr>
              <w:pStyle w:val="TableParagraph"/>
              <w:ind w:left="77"/>
              <w:rPr>
                <w:sz w:val="18"/>
              </w:rPr>
            </w:pPr>
            <w:r>
              <w:rPr>
                <w:color w:val="231F20"/>
                <w:w w:val="105"/>
                <w:sz w:val="18"/>
              </w:rPr>
              <w:t>13</w:t>
            </w:r>
          </w:p>
        </w:tc>
        <w:tc>
          <w:tcPr>
            <w:tcW w:w="2778" w:type="dxa"/>
          </w:tcPr>
          <w:p>
            <w:pPr>
              <w:pStyle w:val="TableParagraph"/>
              <w:tabs>
                <w:tab w:pos="993" w:val="left" w:leader="none"/>
              </w:tabs>
              <w:spacing w:line="254" w:lineRule="auto"/>
              <w:ind w:left="77" w:right="75"/>
              <w:rPr>
                <w:sz w:val="18"/>
              </w:rPr>
            </w:pPr>
            <w:r>
              <w:rPr>
                <w:color w:val="231F20"/>
                <w:w w:val="105"/>
                <w:sz w:val="18"/>
              </w:rPr>
              <w:t>Eduardo</w:t>
              <w:tab/>
              <w:t>lmao no one</w:t>
            </w:r>
            <w:r>
              <w:rPr>
                <w:color w:val="231F20"/>
                <w:spacing w:val="-7"/>
                <w:w w:val="105"/>
                <w:sz w:val="18"/>
              </w:rPr>
              <w:t> </w:t>
            </w:r>
            <w:r>
              <w:rPr>
                <w:color w:val="231F20"/>
                <w:w w:val="105"/>
                <w:sz w:val="18"/>
              </w:rPr>
              <w:t>threw</w:t>
            </w:r>
            <w:r>
              <w:rPr>
                <w:color w:val="231F20"/>
                <w:spacing w:val="-3"/>
                <w:w w:val="105"/>
                <w:sz w:val="18"/>
              </w:rPr>
              <w:t> </w:t>
            </w:r>
            <w:r>
              <w:rPr>
                <w:color w:val="231F20"/>
                <w:w w:val="105"/>
                <w:sz w:val="18"/>
              </w:rPr>
              <w:t>a</w:t>
            </w:r>
            <w:r>
              <w:rPr>
                <w:color w:val="231F20"/>
                <w:w w:val="96"/>
                <w:sz w:val="18"/>
              </w:rPr>
              <w:t> </w:t>
            </w:r>
            <w:r>
              <w:rPr>
                <w:color w:val="231F20"/>
                <w:w w:val="105"/>
                <w:sz w:val="18"/>
              </w:rPr>
              <w:t>gang sign</w:t>
            </w:r>
            <w:r>
              <w:rPr>
                <w:color w:val="231F20"/>
                <w:spacing w:val="-22"/>
                <w:w w:val="105"/>
                <w:sz w:val="18"/>
              </w:rPr>
              <w:t> </w:t>
            </w:r>
            <w:r>
              <w:rPr>
                <w:color w:val="231F20"/>
                <w:w w:val="105"/>
                <w:sz w:val="18"/>
              </w:rPr>
              <w:t>lmao</w:t>
            </w:r>
          </w:p>
        </w:tc>
        <w:tc>
          <w:tcPr>
            <w:tcW w:w="2665" w:type="dxa"/>
          </w:tcPr>
          <w:p>
            <w:pPr>
              <w:pStyle w:val="TableParagraph"/>
              <w:spacing w:line="254" w:lineRule="auto"/>
              <w:ind w:left="77" w:right="1"/>
              <w:rPr>
                <w:sz w:val="18"/>
              </w:rPr>
            </w:pPr>
            <w:r>
              <w:rPr>
                <w:color w:val="231F20"/>
                <w:sz w:val="18"/>
              </w:rPr>
              <w:t>Ja ja ja. Nadie mandó señales de  pandillas. Ja ja ja</w:t>
            </w:r>
          </w:p>
        </w:tc>
      </w:tr>
      <w:tr>
        <w:trPr>
          <w:trHeight w:val="340" w:hRule="exact"/>
        </w:trPr>
        <w:tc>
          <w:tcPr>
            <w:tcW w:w="456" w:type="dxa"/>
          </w:tcPr>
          <w:p>
            <w:pPr>
              <w:pStyle w:val="TableParagraph"/>
              <w:ind w:left="77"/>
              <w:rPr>
                <w:sz w:val="18"/>
              </w:rPr>
            </w:pPr>
            <w:r>
              <w:rPr>
                <w:color w:val="231F20"/>
                <w:w w:val="105"/>
                <w:sz w:val="18"/>
              </w:rPr>
              <w:t>14</w:t>
            </w:r>
          </w:p>
        </w:tc>
        <w:tc>
          <w:tcPr>
            <w:tcW w:w="2778" w:type="dxa"/>
          </w:tcPr>
          <w:p>
            <w:pPr>
              <w:pStyle w:val="TableParagraph"/>
              <w:ind w:left="77" w:right="9"/>
              <w:rPr>
                <w:sz w:val="18"/>
              </w:rPr>
            </w:pPr>
            <w:r>
              <w:rPr>
                <w:color w:val="231F20"/>
                <w:sz w:val="18"/>
              </w:rPr>
              <w:t>Dante   Wanna bz</w:t>
            </w:r>
          </w:p>
        </w:tc>
        <w:tc>
          <w:tcPr>
            <w:tcW w:w="2665" w:type="dxa"/>
          </w:tcPr>
          <w:p>
            <w:pPr>
              <w:pStyle w:val="TableParagraph"/>
              <w:ind w:left="77" w:right="1"/>
              <w:rPr>
                <w:sz w:val="18"/>
              </w:rPr>
            </w:pPr>
            <w:r>
              <w:rPr>
                <w:color w:val="231F20"/>
                <w:w w:val="105"/>
                <w:sz w:val="18"/>
              </w:rPr>
              <w:t>Ya quisieran ser pandilleros</w:t>
            </w:r>
          </w:p>
        </w:tc>
      </w:tr>
      <w:tr>
        <w:trPr>
          <w:trHeight w:val="340" w:hRule="exact"/>
        </w:trPr>
        <w:tc>
          <w:tcPr>
            <w:tcW w:w="456" w:type="dxa"/>
          </w:tcPr>
          <w:p>
            <w:pPr>
              <w:pStyle w:val="TableParagraph"/>
              <w:ind w:left="77"/>
              <w:rPr>
                <w:sz w:val="18"/>
              </w:rPr>
            </w:pPr>
            <w:r>
              <w:rPr>
                <w:color w:val="231F20"/>
                <w:w w:val="105"/>
                <w:sz w:val="18"/>
              </w:rPr>
              <w:t>15</w:t>
            </w:r>
          </w:p>
        </w:tc>
        <w:tc>
          <w:tcPr>
            <w:tcW w:w="2778" w:type="dxa"/>
          </w:tcPr>
          <w:p>
            <w:pPr>
              <w:pStyle w:val="TableParagraph"/>
              <w:tabs>
                <w:tab w:pos="790" w:val="left" w:leader="none"/>
              </w:tabs>
              <w:ind w:left="77" w:right="9"/>
              <w:rPr>
                <w:sz w:val="18"/>
              </w:rPr>
            </w:pPr>
            <w:r>
              <w:rPr>
                <w:color w:val="231F20"/>
                <w:sz w:val="18"/>
              </w:rPr>
              <w:t>Dante</w:t>
              <w:tab/>
              <w:t>I see one I see 2</w:t>
            </w:r>
            <w:r>
              <w:rPr>
                <w:color w:val="231F20"/>
                <w:spacing w:val="-26"/>
                <w:sz w:val="18"/>
              </w:rPr>
              <w:t> </w:t>
            </w:r>
            <w:r>
              <w:rPr>
                <w:color w:val="231F20"/>
                <w:sz w:val="18"/>
              </w:rPr>
              <w:t>6</w:t>
            </w:r>
          </w:p>
        </w:tc>
        <w:tc>
          <w:tcPr>
            <w:tcW w:w="2665" w:type="dxa"/>
          </w:tcPr>
          <w:p>
            <w:pPr>
              <w:pStyle w:val="TableParagraph"/>
              <w:ind w:left="77" w:right="1"/>
              <w:rPr>
                <w:sz w:val="18"/>
              </w:rPr>
            </w:pPr>
            <w:r>
              <w:rPr>
                <w:color w:val="231F20"/>
                <w:w w:val="105"/>
                <w:sz w:val="18"/>
              </w:rPr>
              <w:t>Veo uno, veo 2 6</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rPr>
      </w:pPr>
    </w:p>
    <w:p>
      <w:pPr>
        <w:tabs>
          <w:tab w:pos="2937" w:val="left" w:leader="none"/>
        </w:tabs>
        <w:spacing w:before="0"/>
        <w:ind w:left="1832" w:right="0" w:firstLine="0"/>
        <w:jc w:val="left"/>
        <w:rPr>
          <w:rFonts w:ascii="Calibri"/>
          <w:sz w:val="15"/>
        </w:rPr>
      </w:pPr>
      <w:r>
        <w:rPr/>
        <w:pict>
          <v:line style="position:absolute;mso-position-horizontal-relative:page;mso-position-vertical-relative:paragraph;z-index:-446680" from="131.551193pt,.203715pt" to="131.551193pt,36.006114pt" stroked="true" strokeweight=".35pt" strokecolor="#231f20">
            <w10:wrap type="none"/>
          </v:line>
        </w:pict>
      </w:r>
      <w:r>
        <w:rPr/>
        <w:pict>
          <v:line style="position:absolute;mso-position-horizontal-relative:page;mso-position-vertical-relative:paragraph;z-index:-446608" from="15pt,36.005917pt" to="0pt,36.005917pt" stroked="true" strokeweight=".25pt" strokecolor="#000000">
            <w10:wrap type="none"/>
          </v:line>
        </w:pict>
      </w:r>
      <w:r>
        <w:rPr/>
        <w:pict>
          <v:line style="position:absolute;mso-position-horizontal-relative:page;mso-position-vertical-relative:paragraph;z-index:43600" from="508.890015pt,36.005917pt" to="523.890015pt,36.005917pt" stroked="true" strokeweight=".25pt" strokecolor="#000000">
            <w10:wrap type="none"/>
          </v:line>
        </w:pict>
      </w:r>
      <w:r>
        <w:rPr>
          <w:rFonts w:ascii="Arial"/>
          <w:color w:val="414042"/>
          <w:position w:val="-5"/>
          <w:sz w:val="20"/>
        </w:rPr>
        <w:t>370</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3624" from="405.061005pt,-27.904295pt" to="405.061005pt,6.961579pt" stroked="true" strokeweight=".35pt" strokecolor="#231f20">
            <w10:wrap type="none"/>
          </v:line>
        </w:pict>
      </w:r>
      <w:r>
        <w:rPr/>
        <w:pict>
          <v:line style="position:absolute;mso-position-horizontal-relative:page;mso-position-vertical-relative:paragraph;z-index:43648" from="15pt,-27.90452pt" to="0pt,-27.90452pt" stroked="true" strokeweight=".25pt" strokecolor="#000000">
            <w10:wrap type="none"/>
          </v:line>
        </w:pict>
      </w:r>
      <w:r>
        <w:rPr/>
        <w:pict>
          <v:line style="position:absolute;mso-position-horizontal-relative:page;mso-position-vertical-relative:paragraph;z-index:4367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371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r>
        <w:rPr/>
        <w:pict>
          <v:line style="position:absolute;mso-position-horizontal-relative:page;mso-position-vertical-relative:page;z-index:-446488" from="15pt,715.487793pt" to="0pt,715.487793pt" stroked="true" strokeweight=".25pt" strokecolor="#000000">
            <w10:wrap type="none"/>
          </v:line>
        </w:pict>
      </w:r>
      <w:r>
        <w:rPr/>
        <w:pict>
          <v:line style="position:absolute;mso-position-horizontal-relative:page;mso-position-vertical-relative:page;z-index:43720" from="508.890015pt,715.487793pt" to="523.890015pt,715.487793pt" stroked="true" strokeweight=".25pt" strokecolor="#000000">
            <w10:wrap type="none"/>
          </v:line>
        </w:pict>
      </w:r>
    </w:p>
    <w:p>
      <w:pPr>
        <w:pStyle w:val="BodyText"/>
        <w:spacing w:before="4"/>
        <w:rPr>
          <w:rFonts w:ascii="Arial"/>
          <w:sz w:val="20"/>
        </w:rPr>
      </w:pPr>
    </w:p>
    <w:tbl>
      <w:tblPr>
        <w:tblW w:w="0" w:type="auto"/>
        <w:jc w:val="left"/>
        <w:tblInd w:w="234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56"/>
        <w:gridCol w:w="2778"/>
        <w:gridCol w:w="2665"/>
      </w:tblGrid>
      <w:tr>
        <w:trPr>
          <w:trHeight w:val="340" w:hRule="exact"/>
        </w:trPr>
        <w:tc>
          <w:tcPr>
            <w:tcW w:w="456" w:type="dxa"/>
          </w:tcPr>
          <w:p>
            <w:pPr>
              <w:pStyle w:val="TableParagraph"/>
              <w:ind w:left="77"/>
              <w:rPr>
                <w:sz w:val="18"/>
              </w:rPr>
            </w:pPr>
            <w:r>
              <w:rPr>
                <w:color w:val="231F20"/>
                <w:w w:val="105"/>
                <w:sz w:val="18"/>
              </w:rPr>
              <w:t>17</w:t>
            </w:r>
          </w:p>
        </w:tc>
        <w:tc>
          <w:tcPr>
            <w:tcW w:w="2778" w:type="dxa"/>
          </w:tcPr>
          <w:p>
            <w:pPr>
              <w:pStyle w:val="TableParagraph"/>
              <w:tabs>
                <w:tab w:pos="790" w:val="left" w:leader="none"/>
              </w:tabs>
              <w:ind w:left="77" w:right="9"/>
              <w:rPr>
                <w:sz w:val="18"/>
              </w:rPr>
            </w:pPr>
            <w:r>
              <w:rPr>
                <w:color w:val="231F20"/>
                <w:sz w:val="18"/>
              </w:rPr>
              <w:t>Dante</w:t>
              <w:tab/>
              <w:t>I</w:t>
            </w:r>
            <w:r>
              <w:rPr>
                <w:color w:val="231F20"/>
                <w:spacing w:val="-21"/>
                <w:sz w:val="18"/>
              </w:rPr>
              <w:t> </w:t>
            </w:r>
            <w:r>
              <w:rPr>
                <w:color w:val="231F20"/>
                <w:sz w:val="18"/>
              </w:rPr>
              <w:t>see</w:t>
            </w:r>
            <w:r>
              <w:rPr>
                <w:color w:val="231F20"/>
                <w:spacing w:val="-21"/>
                <w:sz w:val="18"/>
              </w:rPr>
              <w:t> </w:t>
            </w:r>
            <w:r>
              <w:rPr>
                <w:color w:val="231F20"/>
                <w:sz w:val="18"/>
              </w:rPr>
              <w:t>raza</w:t>
            </w:r>
          </w:p>
        </w:tc>
        <w:tc>
          <w:tcPr>
            <w:tcW w:w="2665" w:type="dxa"/>
          </w:tcPr>
          <w:p>
            <w:pPr>
              <w:pStyle w:val="TableParagraph"/>
              <w:ind w:left="77" w:right="1"/>
              <w:rPr>
                <w:sz w:val="18"/>
              </w:rPr>
            </w:pPr>
            <w:r>
              <w:rPr>
                <w:color w:val="231F20"/>
                <w:sz w:val="18"/>
              </w:rPr>
              <w:t>Veo a la raza</w:t>
            </w:r>
          </w:p>
        </w:tc>
      </w:tr>
      <w:tr>
        <w:trPr>
          <w:trHeight w:val="340" w:hRule="exact"/>
        </w:trPr>
        <w:tc>
          <w:tcPr>
            <w:tcW w:w="456" w:type="dxa"/>
          </w:tcPr>
          <w:p>
            <w:pPr>
              <w:pStyle w:val="TableParagraph"/>
              <w:ind w:left="77"/>
              <w:rPr>
                <w:sz w:val="18"/>
              </w:rPr>
            </w:pPr>
            <w:r>
              <w:rPr>
                <w:color w:val="231F20"/>
                <w:w w:val="105"/>
                <w:sz w:val="18"/>
              </w:rPr>
              <w:t>18</w:t>
            </w:r>
          </w:p>
        </w:tc>
        <w:tc>
          <w:tcPr>
            <w:tcW w:w="2778" w:type="dxa"/>
          </w:tcPr>
          <w:p>
            <w:pPr>
              <w:pStyle w:val="TableParagraph"/>
              <w:tabs>
                <w:tab w:pos="999" w:val="left" w:leader="none"/>
              </w:tabs>
              <w:ind w:left="77" w:right="9"/>
              <w:rPr>
                <w:sz w:val="18"/>
              </w:rPr>
            </w:pPr>
            <w:r>
              <w:rPr>
                <w:color w:val="231F20"/>
                <w:w w:val="105"/>
                <w:sz w:val="18"/>
              </w:rPr>
              <w:t>Eduardo</w:t>
              <w:tab/>
              <w:t>lol ok</w:t>
            </w:r>
          </w:p>
        </w:tc>
        <w:tc>
          <w:tcPr>
            <w:tcW w:w="2665" w:type="dxa"/>
          </w:tcPr>
          <w:p>
            <w:pPr>
              <w:pStyle w:val="TableParagraph"/>
              <w:ind w:left="77" w:right="1"/>
              <w:rPr>
                <w:sz w:val="18"/>
              </w:rPr>
            </w:pPr>
            <w:r>
              <w:rPr>
                <w:color w:val="231F20"/>
                <w:sz w:val="18"/>
              </w:rPr>
              <w:t>Ja ja Ok</w:t>
            </w:r>
          </w:p>
        </w:tc>
      </w:tr>
      <w:tr>
        <w:trPr>
          <w:trHeight w:val="340" w:hRule="exact"/>
        </w:trPr>
        <w:tc>
          <w:tcPr>
            <w:tcW w:w="456" w:type="dxa"/>
          </w:tcPr>
          <w:p>
            <w:pPr>
              <w:pStyle w:val="TableParagraph"/>
              <w:ind w:left="77"/>
              <w:rPr>
                <w:sz w:val="18"/>
              </w:rPr>
            </w:pPr>
            <w:r>
              <w:rPr>
                <w:color w:val="231F20"/>
                <w:w w:val="105"/>
                <w:sz w:val="18"/>
              </w:rPr>
              <w:t>19</w:t>
            </w:r>
          </w:p>
        </w:tc>
        <w:tc>
          <w:tcPr>
            <w:tcW w:w="2778" w:type="dxa"/>
          </w:tcPr>
          <w:p>
            <w:pPr>
              <w:pStyle w:val="TableParagraph"/>
              <w:ind w:left="77" w:right="9"/>
              <w:rPr>
                <w:sz w:val="18"/>
              </w:rPr>
            </w:pPr>
            <w:r>
              <w:rPr>
                <w:color w:val="231F20"/>
                <w:sz w:val="18"/>
              </w:rPr>
              <w:t>Cosme   all i see is EMC</w:t>
            </w:r>
          </w:p>
        </w:tc>
        <w:tc>
          <w:tcPr>
            <w:tcW w:w="2665" w:type="dxa"/>
          </w:tcPr>
          <w:p>
            <w:pPr>
              <w:pStyle w:val="TableParagraph"/>
              <w:ind w:left="77" w:right="1"/>
              <w:rPr>
                <w:sz w:val="18"/>
              </w:rPr>
            </w:pPr>
            <w:r>
              <w:rPr>
                <w:color w:val="231F20"/>
                <w:w w:val="105"/>
                <w:sz w:val="18"/>
              </w:rPr>
              <w:t>Todo lo que veo es EMC</w:t>
            </w:r>
          </w:p>
        </w:tc>
      </w:tr>
    </w:tbl>
    <w:p>
      <w:pPr>
        <w:spacing w:before="78"/>
        <w:ind w:left="2346" w:right="0" w:firstLine="0"/>
        <w:jc w:val="left"/>
        <w:rPr>
          <w:sz w:val="16"/>
        </w:rPr>
      </w:pPr>
      <w:r>
        <w:rPr>
          <w:color w:val="231F20"/>
          <w:sz w:val="16"/>
        </w:rPr>
        <w:t>Source: Cosme’s Facebook.</w:t>
      </w:r>
    </w:p>
    <w:p>
      <w:pPr>
        <w:pStyle w:val="BodyText"/>
        <w:rPr>
          <w:sz w:val="16"/>
        </w:rPr>
      </w:pPr>
    </w:p>
    <w:p>
      <w:pPr>
        <w:pStyle w:val="BodyText"/>
        <w:spacing w:line="261" w:lineRule="auto" w:before="111"/>
        <w:ind w:left="1837" w:right="1721"/>
        <w:jc w:val="both"/>
      </w:pPr>
      <w:r>
        <w:rPr>
          <w:color w:val="231F20"/>
          <w:w w:val="105"/>
        </w:rPr>
        <w:t>Notice</w:t>
      </w:r>
      <w:r>
        <w:rPr>
          <w:color w:val="231F20"/>
          <w:spacing w:val="-8"/>
          <w:w w:val="105"/>
        </w:rPr>
        <w:t> </w:t>
      </w:r>
      <w:r>
        <w:rPr>
          <w:color w:val="231F20"/>
          <w:w w:val="105"/>
        </w:rPr>
        <w:t>that</w:t>
      </w:r>
      <w:r>
        <w:rPr>
          <w:color w:val="231F20"/>
          <w:spacing w:val="-8"/>
          <w:w w:val="105"/>
        </w:rPr>
        <w:t> </w:t>
      </w:r>
      <w:r>
        <w:rPr>
          <w:color w:val="231F20"/>
          <w:w w:val="105"/>
        </w:rPr>
        <w:t>this</w:t>
      </w:r>
      <w:r>
        <w:rPr>
          <w:color w:val="231F20"/>
          <w:spacing w:val="-8"/>
          <w:w w:val="105"/>
        </w:rPr>
        <w:t> </w:t>
      </w:r>
      <w:r>
        <w:rPr>
          <w:color w:val="231F20"/>
          <w:w w:val="105"/>
        </w:rPr>
        <w:t>occurs</w:t>
      </w:r>
      <w:r>
        <w:rPr>
          <w:color w:val="231F20"/>
          <w:spacing w:val="-8"/>
          <w:w w:val="105"/>
        </w:rPr>
        <w:t> </w:t>
      </w:r>
      <w:r>
        <w:rPr>
          <w:color w:val="231F20"/>
          <w:w w:val="105"/>
        </w:rPr>
        <w:t>two</w:t>
      </w:r>
      <w:r>
        <w:rPr>
          <w:color w:val="231F20"/>
          <w:spacing w:val="-8"/>
          <w:w w:val="105"/>
        </w:rPr>
        <w:t> </w:t>
      </w:r>
      <w:r>
        <w:rPr>
          <w:color w:val="231F20"/>
          <w:w w:val="105"/>
        </w:rPr>
        <w:t>weeks</w:t>
      </w:r>
      <w:r>
        <w:rPr>
          <w:color w:val="231F20"/>
          <w:spacing w:val="-8"/>
          <w:w w:val="105"/>
        </w:rPr>
        <w:t> </w:t>
      </w:r>
      <w:r>
        <w:rPr>
          <w:color w:val="231F20"/>
          <w:w w:val="105"/>
        </w:rPr>
        <w:t>after</w:t>
      </w:r>
      <w:r>
        <w:rPr>
          <w:color w:val="231F20"/>
          <w:spacing w:val="-8"/>
          <w:w w:val="105"/>
        </w:rPr>
        <w:t> </w:t>
      </w:r>
      <w:r>
        <w:rPr>
          <w:color w:val="231F20"/>
          <w:w w:val="105"/>
        </w:rPr>
        <w:t>the</w:t>
      </w:r>
      <w:r>
        <w:rPr>
          <w:color w:val="231F20"/>
          <w:spacing w:val="-8"/>
          <w:w w:val="105"/>
        </w:rPr>
        <w:t> </w:t>
      </w:r>
      <w:r>
        <w:rPr>
          <w:color w:val="231F20"/>
          <w:w w:val="105"/>
        </w:rPr>
        <w:t>initial</w:t>
      </w:r>
      <w:r>
        <w:rPr>
          <w:color w:val="231F20"/>
          <w:spacing w:val="-8"/>
          <w:w w:val="105"/>
        </w:rPr>
        <w:t> </w:t>
      </w:r>
      <w:r>
        <w:rPr>
          <w:color w:val="231F20"/>
          <w:w w:val="105"/>
        </w:rPr>
        <w:t>post</w:t>
      </w:r>
      <w:r>
        <w:rPr>
          <w:color w:val="231F20"/>
          <w:spacing w:val="-8"/>
          <w:w w:val="105"/>
        </w:rPr>
        <w:t> </w:t>
      </w:r>
      <w:r>
        <w:rPr>
          <w:color w:val="231F20"/>
          <w:w w:val="105"/>
        </w:rPr>
        <w:t>that</w:t>
      </w:r>
      <w:r>
        <w:rPr>
          <w:color w:val="231F20"/>
          <w:spacing w:val="-8"/>
          <w:w w:val="105"/>
        </w:rPr>
        <w:t> </w:t>
      </w:r>
      <w:r>
        <w:rPr>
          <w:color w:val="231F20"/>
          <w:w w:val="105"/>
        </w:rPr>
        <w:t>Dante,</w:t>
      </w:r>
      <w:r>
        <w:rPr>
          <w:color w:val="231F20"/>
          <w:spacing w:val="-14"/>
          <w:w w:val="105"/>
        </w:rPr>
        <w:t> </w:t>
      </w:r>
      <w:r>
        <w:rPr>
          <w:color w:val="231F20"/>
          <w:w w:val="105"/>
        </w:rPr>
        <w:t>Eduar- </w:t>
      </w:r>
      <w:r>
        <w:rPr>
          <w:color w:val="231F20"/>
          <w:spacing w:val="-3"/>
          <w:w w:val="105"/>
        </w:rPr>
        <w:t>do’s </w:t>
      </w:r>
      <w:r>
        <w:rPr>
          <w:color w:val="231F20"/>
          <w:w w:val="105"/>
        </w:rPr>
        <w:t>godfather and uncle (uncle to Cosme as well), scolded the pair for making gang signs that could get them in trouble. Only Eduardo and Cosme, and not any of the other friends, replied denying any wrong- doing</w:t>
      </w:r>
      <w:r>
        <w:rPr>
          <w:color w:val="231F20"/>
          <w:spacing w:val="-21"/>
          <w:w w:val="105"/>
        </w:rPr>
        <w:t> </w:t>
      </w:r>
      <w:r>
        <w:rPr>
          <w:color w:val="231F20"/>
          <w:w w:val="105"/>
        </w:rPr>
        <w:t>and</w:t>
      </w:r>
      <w:r>
        <w:rPr>
          <w:color w:val="231F20"/>
          <w:spacing w:val="-21"/>
          <w:w w:val="105"/>
        </w:rPr>
        <w:t> </w:t>
      </w:r>
      <w:r>
        <w:rPr>
          <w:color w:val="231F20"/>
          <w:w w:val="105"/>
        </w:rPr>
        <w:t>telling</w:t>
      </w:r>
      <w:r>
        <w:rPr>
          <w:color w:val="231F20"/>
          <w:spacing w:val="-21"/>
          <w:w w:val="105"/>
        </w:rPr>
        <w:t> </w:t>
      </w:r>
      <w:r>
        <w:rPr>
          <w:color w:val="231F20"/>
          <w:w w:val="105"/>
        </w:rPr>
        <w:t>their</w:t>
      </w:r>
      <w:r>
        <w:rPr>
          <w:color w:val="231F20"/>
          <w:spacing w:val="-21"/>
          <w:w w:val="105"/>
        </w:rPr>
        <w:t> </w:t>
      </w:r>
      <w:r>
        <w:rPr>
          <w:color w:val="231F20"/>
          <w:w w:val="105"/>
        </w:rPr>
        <w:t>uncle,</w:t>
      </w:r>
      <w:r>
        <w:rPr>
          <w:color w:val="231F20"/>
          <w:spacing w:val="-28"/>
          <w:w w:val="105"/>
        </w:rPr>
        <w:t> </w:t>
      </w:r>
      <w:r>
        <w:rPr>
          <w:color w:val="231F20"/>
          <w:w w:val="105"/>
        </w:rPr>
        <w:t>who</w:t>
      </w:r>
      <w:r>
        <w:rPr>
          <w:color w:val="231F20"/>
          <w:spacing w:val="-21"/>
          <w:w w:val="105"/>
        </w:rPr>
        <w:t> </w:t>
      </w:r>
      <w:r>
        <w:rPr>
          <w:color w:val="231F20"/>
          <w:w w:val="105"/>
        </w:rPr>
        <w:t>is</w:t>
      </w:r>
      <w:r>
        <w:rPr>
          <w:color w:val="231F20"/>
          <w:spacing w:val="-21"/>
          <w:w w:val="105"/>
        </w:rPr>
        <w:t> </w:t>
      </w:r>
      <w:r>
        <w:rPr>
          <w:color w:val="231F20"/>
          <w:w w:val="105"/>
        </w:rPr>
        <w:t>also</w:t>
      </w:r>
      <w:r>
        <w:rPr>
          <w:color w:val="231F20"/>
          <w:spacing w:val="-21"/>
          <w:w w:val="105"/>
        </w:rPr>
        <w:t> </w:t>
      </w:r>
      <w:r>
        <w:rPr>
          <w:color w:val="231F20"/>
          <w:w w:val="105"/>
        </w:rPr>
        <w:t>Eduardo’s</w:t>
      </w:r>
      <w:r>
        <w:rPr>
          <w:color w:val="231F20"/>
          <w:spacing w:val="-21"/>
          <w:w w:val="105"/>
        </w:rPr>
        <w:t> </w:t>
      </w:r>
      <w:r>
        <w:rPr>
          <w:color w:val="231F20"/>
          <w:w w:val="105"/>
        </w:rPr>
        <w:t>godfather,</w:t>
      </w:r>
      <w:r>
        <w:rPr>
          <w:color w:val="231F20"/>
          <w:spacing w:val="-28"/>
          <w:w w:val="105"/>
        </w:rPr>
        <w:t> </w:t>
      </w:r>
      <w:r>
        <w:rPr>
          <w:color w:val="231F20"/>
          <w:w w:val="105"/>
        </w:rPr>
        <w:t>that</w:t>
      </w:r>
      <w:r>
        <w:rPr>
          <w:color w:val="231F20"/>
          <w:spacing w:val="-21"/>
          <w:w w:val="105"/>
        </w:rPr>
        <w:t> </w:t>
      </w:r>
      <w:r>
        <w:rPr>
          <w:color w:val="231F20"/>
          <w:w w:val="105"/>
        </w:rPr>
        <w:t>he</w:t>
      </w:r>
      <w:r>
        <w:rPr>
          <w:color w:val="231F20"/>
          <w:spacing w:val="-21"/>
          <w:w w:val="105"/>
        </w:rPr>
        <w:t> </w:t>
      </w:r>
      <w:r>
        <w:rPr>
          <w:color w:val="231F20"/>
          <w:w w:val="105"/>
        </w:rPr>
        <w:t>was wrong</w:t>
      </w:r>
      <w:r>
        <w:rPr>
          <w:color w:val="231F20"/>
          <w:spacing w:val="-17"/>
          <w:w w:val="105"/>
        </w:rPr>
        <w:t> </w:t>
      </w:r>
      <w:r>
        <w:rPr>
          <w:color w:val="231F20"/>
          <w:w w:val="105"/>
        </w:rPr>
        <w:t>and</w:t>
      </w:r>
      <w:r>
        <w:rPr>
          <w:color w:val="231F20"/>
          <w:spacing w:val="-17"/>
          <w:w w:val="105"/>
        </w:rPr>
        <w:t> </w:t>
      </w:r>
      <w:r>
        <w:rPr>
          <w:color w:val="231F20"/>
          <w:w w:val="105"/>
        </w:rPr>
        <w:t>that</w:t>
      </w:r>
      <w:r>
        <w:rPr>
          <w:color w:val="231F20"/>
          <w:spacing w:val="-17"/>
          <w:w w:val="105"/>
        </w:rPr>
        <w:t> </w:t>
      </w:r>
      <w:r>
        <w:rPr>
          <w:color w:val="231F20"/>
          <w:w w:val="105"/>
        </w:rPr>
        <w:t>what</w:t>
      </w:r>
      <w:r>
        <w:rPr>
          <w:color w:val="231F20"/>
          <w:spacing w:val="-17"/>
          <w:w w:val="105"/>
        </w:rPr>
        <w:t> </w:t>
      </w:r>
      <w:r>
        <w:rPr>
          <w:color w:val="231F20"/>
          <w:w w:val="105"/>
        </w:rPr>
        <w:t>they</w:t>
      </w:r>
      <w:r>
        <w:rPr>
          <w:color w:val="231F20"/>
          <w:spacing w:val="-17"/>
          <w:w w:val="105"/>
        </w:rPr>
        <w:t> </w:t>
      </w:r>
      <w:r>
        <w:rPr>
          <w:color w:val="231F20"/>
          <w:w w:val="105"/>
        </w:rPr>
        <w:t>were</w:t>
      </w:r>
      <w:r>
        <w:rPr>
          <w:color w:val="231F20"/>
          <w:spacing w:val="-17"/>
          <w:w w:val="105"/>
        </w:rPr>
        <w:t> </w:t>
      </w:r>
      <w:r>
        <w:rPr>
          <w:color w:val="231F20"/>
          <w:w w:val="105"/>
        </w:rPr>
        <w:t>doing</w:t>
      </w:r>
      <w:r>
        <w:rPr>
          <w:color w:val="231F20"/>
          <w:spacing w:val="-17"/>
          <w:w w:val="105"/>
        </w:rPr>
        <w:t> </w:t>
      </w:r>
      <w:r>
        <w:rPr>
          <w:color w:val="231F20"/>
          <w:w w:val="105"/>
        </w:rPr>
        <w:t>was</w:t>
      </w:r>
      <w:r>
        <w:rPr>
          <w:color w:val="231F20"/>
          <w:spacing w:val="-17"/>
          <w:w w:val="105"/>
        </w:rPr>
        <w:t> </w:t>
      </w:r>
      <w:r>
        <w:rPr>
          <w:color w:val="231F20"/>
          <w:w w:val="105"/>
        </w:rPr>
        <w:t>just</w:t>
      </w:r>
      <w:r>
        <w:rPr>
          <w:color w:val="231F20"/>
          <w:spacing w:val="-17"/>
          <w:w w:val="105"/>
        </w:rPr>
        <w:t> </w:t>
      </w:r>
      <w:r>
        <w:rPr>
          <w:color w:val="231F20"/>
          <w:w w:val="105"/>
        </w:rPr>
        <w:t>for</w:t>
      </w:r>
      <w:r>
        <w:rPr>
          <w:color w:val="231F20"/>
          <w:spacing w:val="-17"/>
          <w:w w:val="105"/>
        </w:rPr>
        <w:t> </w:t>
      </w:r>
      <w:r>
        <w:rPr>
          <w:color w:val="231F20"/>
          <w:w w:val="105"/>
        </w:rPr>
        <w:t>fun.</w:t>
      </w:r>
      <w:r>
        <w:rPr>
          <w:color w:val="231F20"/>
          <w:spacing w:val="-28"/>
          <w:w w:val="105"/>
        </w:rPr>
        <w:t> </w:t>
      </w:r>
      <w:r>
        <w:rPr>
          <w:color w:val="231F20"/>
          <w:w w:val="105"/>
        </w:rPr>
        <w:t>The</w:t>
      </w:r>
      <w:r>
        <w:rPr>
          <w:color w:val="231F20"/>
          <w:spacing w:val="-17"/>
          <w:w w:val="105"/>
        </w:rPr>
        <w:t> </w:t>
      </w:r>
      <w:r>
        <w:rPr>
          <w:color w:val="231F20"/>
          <w:w w:val="105"/>
        </w:rPr>
        <w:t>uncle</w:t>
      </w:r>
      <w:r>
        <w:rPr>
          <w:color w:val="231F20"/>
          <w:spacing w:val="-17"/>
          <w:w w:val="105"/>
        </w:rPr>
        <w:t> </w:t>
      </w:r>
      <w:r>
        <w:rPr>
          <w:color w:val="231F20"/>
          <w:w w:val="105"/>
        </w:rPr>
        <w:t>repeated that it was inappropriate to make those signs. The interaction with the godfather ended at 3:40 pm but Eduardo and Cosme later wrote more comments agreeing that they did nothing wrong and there was no</w:t>
      </w:r>
      <w:r>
        <w:rPr>
          <w:color w:val="231F20"/>
          <w:spacing w:val="-18"/>
          <w:w w:val="105"/>
        </w:rPr>
        <w:t> </w:t>
      </w:r>
      <w:r>
        <w:rPr>
          <w:color w:val="231F20"/>
          <w:w w:val="105"/>
        </w:rPr>
        <w:t>gang sign. This topic was later brought up by Eduardo’s father during supper whose cousin had told him about the</w:t>
      </w:r>
      <w:r>
        <w:rPr>
          <w:color w:val="231F20"/>
          <w:spacing w:val="-36"/>
          <w:w w:val="105"/>
        </w:rPr>
        <w:t> </w:t>
      </w:r>
      <w:r>
        <w:rPr>
          <w:color w:val="231F20"/>
          <w:w w:val="105"/>
        </w:rPr>
        <w:t>picture.</w:t>
      </w:r>
    </w:p>
    <w:p>
      <w:pPr>
        <w:pStyle w:val="BodyText"/>
        <w:spacing w:line="261" w:lineRule="auto" w:before="1"/>
        <w:ind w:left="1837" w:right="1715" w:firstLine="567"/>
        <w:jc w:val="both"/>
      </w:pPr>
      <w:r>
        <w:rPr>
          <w:color w:val="231F20"/>
          <w:w w:val="105"/>
        </w:rPr>
        <w:t>Policing and scolding is not the only family role members of the network</w:t>
      </w:r>
      <w:r>
        <w:rPr>
          <w:color w:val="231F20"/>
          <w:spacing w:val="-18"/>
          <w:w w:val="105"/>
        </w:rPr>
        <w:t> </w:t>
      </w:r>
      <w:r>
        <w:rPr>
          <w:color w:val="231F20"/>
          <w:w w:val="105"/>
        </w:rPr>
        <w:t>fulfill</w:t>
      </w:r>
      <w:r>
        <w:rPr>
          <w:color w:val="231F20"/>
          <w:spacing w:val="-18"/>
          <w:w w:val="105"/>
        </w:rPr>
        <w:t> </w:t>
      </w:r>
      <w:r>
        <w:rPr>
          <w:color w:val="231F20"/>
          <w:w w:val="105"/>
        </w:rPr>
        <w:t>on</w:t>
      </w:r>
      <w:r>
        <w:rPr>
          <w:color w:val="231F20"/>
          <w:spacing w:val="-18"/>
          <w:w w:val="105"/>
        </w:rPr>
        <w:t> </w:t>
      </w:r>
      <w:r>
        <w:rPr>
          <w:color w:val="231F20"/>
          <w:w w:val="105"/>
        </w:rPr>
        <w:t>Facebook;</w:t>
      </w:r>
      <w:r>
        <w:rPr>
          <w:color w:val="231F20"/>
          <w:spacing w:val="-18"/>
          <w:w w:val="105"/>
        </w:rPr>
        <w:t> </w:t>
      </w:r>
      <w:r>
        <w:rPr>
          <w:color w:val="231F20"/>
          <w:w w:val="105"/>
        </w:rPr>
        <w:t>they</w:t>
      </w:r>
      <w:r>
        <w:rPr>
          <w:color w:val="231F20"/>
          <w:spacing w:val="-18"/>
          <w:w w:val="105"/>
        </w:rPr>
        <w:t> </w:t>
      </w:r>
      <w:r>
        <w:rPr>
          <w:color w:val="231F20"/>
          <w:w w:val="105"/>
        </w:rPr>
        <w:t>also</w:t>
      </w:r>
      <w:r>
        <w:rPr>
          <w:color w:val="231F20"/>
          <w:spacing w:val="-18"/>
          <w:w w:val="105"/>
        </w:rPr>
        <w:t> </w:t>
      </w:r>
      <w:r>
        <w:rPr>
          <w:color w:val="231F20"/>
          <w:w w:val="105"/>
        </w:rPr>
        <w:t>support</w:t>
      </w:r>
      <w:r>
        <w:rPr>
          <w:color w:val="231F20"/>
          <w:spacing w:val="-18"/>
          <w:w w:val="105"/>
        </w:rPr>
        <w:t> </w:t>
      </w:r>
      <w:r>
        <w:rPr>
          <w:color w:val="231F20"/>
          <w:w w:val="105"/>
        </w:rPr>
        <w:t>and</w:t>
      </w:r>
      <w:r>
        <w:rPr>
          <w:color w:val="231F20"/>
          <w:spacing w:val="-18"/>
          <w:w w:val="105"/>
        </w:rPr>
        <w:t> </w:t>
      </w:r>
      <w:r>
        <w:rPr>
          <w:color w:val="231F20"/>
          <w:w w:val="105"/>
        </w:rPr>
        <w:t>encourage</w:t>
      </w:r>
      <w:r>
        <w:rPr>
          <w:color w:val="231F20"/>
          <w:spacing w:val="-18"/>
          <w:w w:val="105"/>
        </w:rPr>
        <w:t> </w:t>
      </w:r>
      <w:r>
        <w:rPr>
          <w:color w:val="231F20"/>
          <w:w w:val="105"/>
        </w:rPr>
        <w:t>each</w:t>
      </w:r>
      <w:r>
        <w:rPr>
          <w:color w:val="231F20"/>
          <w:spacing w:val="-18"/>
          <w:w w:val="105"/>
        </w:rPr>
        <w:t> </w:t>
      </w:r>
      <w:r>
        <w:rPr>
          <w:color w:val="231F20"/>
          <w:w w:val="105"/>
        </w:rPr>
        <w:t>other, especially</w:t>
      </w:r>
      <w:r>
        <w:rPr>
          <w:color w:val="231F20"/>
          <w:spacing w:val="-19"/>
          <w:w w:val="105"/>
        </w:rPr>
        <w:t> </w:t>
      </w:r>
      <w:r>
        <w:rPr>
          <w:color w:val="231F20"/>
          <w:w w:val="105"/>
        </w:rPr>
        <w:t>parents,</w:t>
      </w:r>
      <w:r>
        <w:rPr>
          <w:color w:val="231F20"/>
          <w:spacing w:val="-24"/>
          <w:w w:val="105"/>
        </w:rPr>
        <w:t> </w:t>
      </w:r>
      <w:r>
        <w:rPr>
          <w:color w:val="231F20"/>
          <w:w w:val="105"/>
        </w:rPr>
        <w:t>godparents,</w:t>
      </w:r>
      <w:r>
        <w:rPr>
          <w:color w:val="231F20"/>
          <w:spacing w:val="-24"/>
          <w:w w:val="105"/>
        </w:rPr>
        <w:t> </w:t>
      </w:r>
      <w:r>
        <w:rPr>
          <w:color w:val="231F20"/>
          <w:w w:val="105"/>
        </w:rPr>
        <w:t>aunts</w:t>
      </w:r>
      <w:r>
        <w:rPr>
          <w:color w:val="231F20"/>
          <w:spacing w:val="-19"/>
          <w:w w:val="105"/>
        </w:rPr>
        <w:t> </w:t>
      </w:r>
      <w:r>
        <w:rPr>
          <w:color w:val="231F20"/>
          <w:w w:val="105"/>
        </w:rPr>
        <w:t>and</w:t>
      </w:r>
      <w:r>
        <w:rPr>
          <w:color w:val="231F20"/>
          <w:spacing w:val="-19"/>
          <w:w w:val="105"/>
        </w:rPr>
        <w:t> </w:t>
      </w:r>
      <w:r>
        <w:rPr>
          <w:color w:val="231F20"/>
          <w:w w:val="105"/>
        </w:rPr>
        <w:t>uncles</w:t>
      </w:r>
      <w:r>
        <w:rPr>
          <w:color w:val="231F20"/>
          <w:spacing w:val="-19"/>
          <w:w w:val="105"/>
        </w:rPr>
        <w:t> </w:t>
      </w:r>
      <w:r>
        <w:rPr>
          <w:color w:val="231F20"/>
          <w:w w:val="105"/>
        </w:rPr>
        <w:t>to</w:t>
      </w:r>
      <w:r>
        <w:rPr>
          <w:color w:val="231F20"/>
          <w:spacing w:val="-19"/>
          <w:w w:val="105"/>
        </w:rPr>
        <w:t> </w:t>
      </w:r>
      <w:r>
        <w:rPr>
          <w:color w:val="231F20"/>
          <w:w w:val="105"/>
        </w:rPr>
        <w:t>younger</w:t>
      </w:r>
      <w:r>
        <w:rPr>
          <w:color w:val="231F20"/>
          <w:spacing w:val="-19"/>
          <w:w w:val="105"/>
        </w:rPr>
        <w:t> </w:t>
      </w:r>
      <w:r>
        <w:rPr>
          <w:color w:val="231F20"/>
          <w:w w:val="105"/>
        </w:rPr>
        <w:t>members</w:t>
      </w:r>
      <w:r>
        <w:rPr>
          <w:color w:val="231F20"/>
          <w:spacing w:val="-19"/>
          <w:w w:val="105"/>
        </w:rPr>
        <w:t> </w:t>
      </w:r>
      <w:r>
        <w:rPr>
          <w:color w:val="231F20"/>
          <w:w w:val="105"/>
        </w:rPr>
        <w:t>of the</w:t>
      </w:r>
      <w:r>
        <w:rPr>
          <w:color w:val="231F20"/>
          <w:spacing w:val="-28"/>
          <w:w w:val="105"/>
        </w:rPr>
        <w:t> </w:t>
      </w:r>
      <w:r>
        <w:rPr>
          <w:color w:val="231F20"/>
          <w:w w:val="105"/>
        </w:rPr>
        <w:t>network.</w:t>
      </w:r>
      <w:r>
        <w:rPr>
          <w:color w:val="231F20"/>
          <w:spacing w:val="-32"/>
          <w:w w:val="105"/>
        </w:rPr>
        <w:t> </w:t>
      </w:r>
      <w:r>
        <w:rPr>
          <w:color w:val="231F20"/>
          <w:spacing w:val="-4"/>
          <w:w w:val="105"/>
        </w:rPr>
        <w:t>For</w:t>
      </w:r>
      <w:r>
        <w:rPr>
          <w:color w:val="231F20"/>
          <w:spacing w:val="-28"/>
          <w:w w:val="105"/>
        </w:rPr>
        <w:t> </w:t>
      </w:r>
      <w:r>
        <w:rPr>
          <w:color w:val="231F20"/>
          <w:w w:val="105"/>
        </w:rPr>
        <w:t>instance,</w:t>
      </w:r>
      <w:r>
        <w:rPr>
          <w:color w:val="231F20"/>
          <w:spacing w:val="-32"/>
          <w:w w:val="105"/>
        </w:rPr>
        <w:t> </w:t>
      </w:r>
      <w:r>
        <w:rPr>
          <w:color w:val="231F20"/>
          <w:w w:val="105"/>
        </w:rPr>
        <w:t>in</w:t>
      </w:r>
      <w:r>
        <w:rPr>
          <w:color w:val="231F20"/>
          <w:spacing w:val="-28"/>
          <w:w w:val="105"/>
        </w:rPr>
        <w:t> </w:t>
      </w:r>
      <w:r>
        <w:rPr>
          <w:color w:val="231F20"/>
          <w:w w:val="105"/>
        </w:rPr>
        <w:t>Conversation</w:t>
      </w:r>
      <w:r>
        <w:rPr>
          <w:color w:val="231F20"/>
          <w:spacing w:val="-28"/>
          <w:w w:val="105"/>
        </w:rPr>
        <w:t> </w:t>
      </w:r>
      <w:r>
        <w:rPr>
          <w:color w:val="231F20"/>
          <w:w w:val="105"/>
        </w:rPr>
        <w:t>9,</w:t>
      </w:r>
      <w:r>
        <w:rPr>
          <w:color w:val="231F20"/>
          <w:spacing w:val="-32"/>
          <w:w w:val="105"/>
        </w:rPr>
        <w:t> </w:t>
      </w:r>
      <w:r>
        <w:rPr>
          <w:color w:val="231F20"/>
          <w:spacing w:val="-5"/>
          <w:w w:val="105"/>
        </w:rPr>
        <w:t>“Sad”,</w:t>
      </w:r>
      <w:r>
        <w:rPr>
          <w:color w:val="231F20"/>
          <w:spacing w:val="-32"/>
          <w:w w:val="105"/>
        </w:rPr>
        <w:t> </w:t>
      </w:r>
      <w:r>
        <w:rPr>
          <w:color w:val="231F20"/>
          <w:w w:val="105"/>
        </w:rPr>
        <w:t>Paloma,</w:t>
      </w:r>
      <w:r>
        <w:rPr>
          <w:color w:val="231F20"/>
          <w:spacing w:val="-32"/>
          <w:w w:val="105"/>
        </w:rPr>
        <w:t> </w:t>
      </w:r>
      <w:r>
        <w:rPr>
          <w:color w:val="231F20"/>
          <w:w w:val="105"/>
        </w:rPr>
        <w:t>a</w:t>
      </w:r>
      <w:r>
        <w:rPr>
          <w:color w:val="231F20"/>
          <w:spacing w:val="-28"/>
          <w:w w:val="105"/>
        </w:rPr>
        <w:t> </w:t>
      </w:r>
      <w:r>
        <w:rPr>
          <w:color w:val="231F20"/>
          <w:w w:val="105"/>
        </w:rPr>
        <w:t>17-year-old girl</w:t>
      </w:r>
      <w:r>
        <w:rPr>
          <w:color w:val="231F20"/>
          <w:spacing w:val="-5"/>
          <w:w w:val="105"/>
        </w:rPr>
        <w:t> </w:t>
      </w:r>
      <w:r>
        <w:rPr>
          <w:color w:val="231F20"/>
          <w:w w:val="105"/>
        </w:rPr>
        <w:t>updated</w:t>
      </w:r>
      <w:r>
        <w:rPr>
          <w:color w:val="231F20"/>
          <w:spacing w:val="-5"/>
          <w:w w:val="105"/>
        </w:rPr>
        <w:t> </w:t>
      </w:r>
      <w:r>
        <w:rPr>
          <w:color w:val="231F20"/>
          <w:w w:val="105"/>
        </w:rPr>
        <w:t>her</w:t>
      </w:r>
      <w:r>
        <w:rPr>
          <w:color w:val="231F20"/>
          <w:spacing w:val="-5"/>
          <w:w w:val="105"/>
        </w:rPr>
        <w:t> </w:t>
      </w:r>
      <w:r>
        <w:rPr>
          <w:color w:val="231F20"/>
          <w:w w:val="105"/>
        </w:rPr>
        <w:t>status</w:t>
      </w:r>
      <w:r>
        <w:rPr>
          <w:color w:val="231F20"/>
          <w:spacing w:val="-5"/>
          <w:w w:val="105"/>
        </w:rPr>
        <w:t> </w:t>
      </w:r>
      <w:r>
        <w:rPr>
          <w:color w:val="231F20"/>
          <w:w w:val="105"/>
        </w:rPr>
        <w:t>with</w:t>
      </w:r>
      <w:r>
        <w:rPr>
          <w:color w:val="231F20"/>
          <w:spacing w:val="-5"/>
          <w:w w:val="105"/>
        </w:rPr>
        <w:t> </w:t>
      </w:r>
      <w:r>
        <w:rPr>
          <w:color w:val="231F20"/>
          <w:w w:val="105"/>
        </w:rPr>
        <w:t>a</w:t>
      </w:r>
      <w:r>
        <w:rPr>
          <w:color w:val="231F20"/>
          <w:spacing w:val="-5"/>
          <w:w w:val="105"/>
        </w:rPr>
        <w:t> </w:t>
      </w:r>
      <w:r>
        <w:rPr>
          <w:color w:val="231F20"/>
          <w:w w:val="105"/>
        </w:rPr>
        <w:t>broken</w:t>
      </w:r>
      <w:r>
        <w:rPr>
          <w:color w:val="231F20"/>
          <w:spacing w:val="-5"/>
          <w:w w:val="105"/>
        </w:rPr>
        <w:t> </w:t>
      </w:r>
      <w:r>
        <w:rPr>
          <w:color w:val="231F20"/>
          <w:w w:val="105"/>
        </w:rPr>
        <w:t>heart</w:t>
      </w:r>
      <w:r>
        <w:rPr>
          <w:color w:val="231F20"/>
          <w:spacing w:val="-5"/>
          <w:w w:val="105"/>
        </w:rPr>
        <w:t> </w:t>
      </w:r>
      <w:r>
        <w:rPr>
          <w:color w:val="231F20"/>
          <w:w w:val="105"/>
        </w:rPr>
        <w:t>and</w:t>
      </w:r>
      <w:r>
        <w:rPr>
          <w:color w:val="231F20"/>
          <w:spacing w:val="-5"/>
          <w:w w:val="105"/>
        </w:rPr>
        <w:t> </w:t>
      </w:r>
      <w:r>
        <w:rPr>
          <w:color w:val="231F20"/>
          <w:w w:val="105"/>
        </w:rPr>
        <w:t>a</w:t>
      </w:r>
      <w:r>
        <w:rPr>
          <w:color w:val="231F20"/>
          <w:spacing w:val="-5"/>
          <w:w w:val="105"/>
        </w:rPr>
        <w:t> </w:t>
      </w:r>
      <w:r>
        <w:rPr>
          <w:color w:val="231F20"/>
          <w:w w:val="105"/>
        </w:rPr>
        <w:t>teary</w:t>
      </w:r>
      <w:r>
        <w:rPr>
          <w:color w:val="231F20"/>
          <w:spacing w:val="-5"/>
          <w:w w:val="105"/>
        </w:rPr>
        <w:t> </w:t>
      </w:r>
      <w:r>
        <w:rPr>
          <w:color w:val="231F20"/>
          <w:w w:val="105"/>
        </w:rPr>
        <w:t>face.</w:t>
      </w:r>
      <w:r>
        <w:rPr>
          <w:color w:val="231F20"/>
          <w:spacing w:val="-14"/>
          <w:w w:val="105"/>
        </w:rPr>
        <w:t> </w:t>
      </w:r>
      <w:r>
        <w:rPr>
          <w:color w:val="231F20"/>
          <w:w w:val="105"/>
        </w:rPr>
        <w:t>The</w:t>
      </w:r>
      <w:r>
        <w:rPr>
          <w:color w:val="231F20"/>
          <w:spacing w:val="-5"/>
          <w:w w:val="105"/>
        </w:rPr>
        <w:t> </w:t>
      </w:r>
      <w:r>
        <w:rPr>
          <w:color w:val="231F20"/>
          <w:w w:val="105"/>
        </w:rPr>
        <w:t>reason was because her mother and younger siblings had just moved back to Mexico permanently and left her to finish high school. Moving back</w:t>
      </w:r>
      <w:r>
        <w:rPr>
          <w:color w:val="231F20"/>
          <w:spacing w:val="-34"/>
          <w:w w:val="105"/>
        </w:rPr>
        <w:t> </w:t>
      </w:r>
      <w:r>
        <w:rPr>
          <w:color w:val="231F20"/>
          <w:w w:val="105"/>
        </w:rPr>
        <w:t>only means establishing residency in Mexico and spending more time there than</w:t>
      </w:r>
      <w:r>
        <w:rPr>
          <w:color w:val="231F20"/>
          <w:spacing w:val="-16"/>
          <w:w w:val="105"/>
        </w:rPr>
        <w:t> </w:t>
      </w:r>
      <w:r>
        <w:rPr>
          <w:color w:val="231F20"/>
          <w:w w:val="105"/>
        </w:rPr>
        <w:t>they</w:t>
      </w:r>
      <w:r>
        <w:rPr>
          <w:color w:val="231F20"/>
          <w:spacing w:val="-16"/>
          <w:w w:val="105"/>
        </w:rPr>
        <w:t> </w:t>
      </w:r>
      <w:r>
        <w:rPr>
          <w:color w:val="231F20"/>
          <w:w w:val="105"/>
        </w:rPr>
        <w:t>do</w:t>
      </w:r>
      <w:r>
        <w:rPr>
          <w:color w:val="231F20"/>
          <w:spacing w:val="-16"/>
          <w:w w:val="105"/>
        </w:rPr>
        <w:t> </w:t>
      </w:r>
      <w:r>
        <w:rPr>
          <w:color w:val="231F20"/>
          <w:w w:val="105"/>
        </w:rPr>
        <w:t>in</w:t>
      </w:r>
      <w:r>
        <w:rPr>
          <w:color w:val="231F20"/>
          <w:spacing w:val="-16"/>
          <w:w w:val="105"/>
        </w:rPr>
        <w:t> </w:t>
      </w:r>
      <w:r>
        <w:rPr>
          <w:color w:val="231F20"/>
          <w:w w:val="105"/>
        </w:rPr>
        <w:t>the</w:t>
      </w:r>
      <w:r>
        <w:rPr>
          <w:color w:val="231F20"/>
          <w:spacing w:val="-16"/>
          <w:w w:val="105"/>
        </w:rPr>
        <w:t> </w:t>
      </w:r>
      <w:r>
        <w:rPr>
          <w:color w:val="231F20"/>
          <w:w w:val="105"/>
        </w:rPr>
        <w:t>US,</w:t>
      </w:r>
      <w:r>
        <w:rPr>
          <w:color w:val="231F20"/>
          <w:spacing w:val="-21"/>
          <w:w w:val="105"/>
        </w:rPr>
        <w:t> </w:t>
      </w:r>
      <w:r>
        <w:rPr>
          <w:color w:val="231F20"/>
          <w:w w:val="105"/>
        </w:rPr>
        <w:t>but</w:t>
      </w:r>
      <w:r>
        <w:rPr>
          <w:color w:val="231F20"/>
          <w:spacing w:val="-16"/>
          <w:w w:val="105"/>
        </w:rPr>
        <w:t> </w:t>
      </w:r>
      <w:r>
        <w:rPr>
          <w:color w:val="231F20"/>
          <w:w w:val="105"/>
        </w:rPr>
        <w:t>they</w:t>
      </w:r>
      <w:r>
        <w:rPr>
          <w:color w:val="231F20"/>
          <w:spacing w:val="-16"/>
          <w:w w:val="105"/>
        </w:rPr>
        <w:t> </w:t>
      </w:r>
      <w:r>
        <w:rPr>
          <w:color w:val="231F20"/>
          <w:w w:val="105"/>
        </w:rPr>
        <w:t>often</w:t>
      </w:r>
      <w:r>
        <w:rPr>
          <w:color w:val="231F20"/>
          <w:spacing w:val="-16"/>
          <w:w w:val="105"/>
        </w:rPr>
        <w:t> </w:t>
      </w:r>
      <w:r>
        <w:rPr>
          <w:color w:val="231F20"/>
          <w:w w:val="105"/>
        </w:rPr>
        <w:t>visit</w:t>
      </w:r>
      <w:r>
        <w:rPr>
          <w:color w:val="231F20"/>
          <w:spacing w:val="-16"/>
          <w:w w:val="105"/>
        </w:rPr>
        <w:t> </w:t>
      </w:r>
      <w:r>
        <w:rPr>
          <w:color w:val="231F20"/>
          <w:w w:val="105"/>
        </w:rPr>
        <w:t>the</w:t>
      </w:r>
      <w:r>
        <w:rPr>
          <w:color w:val="231F20"/>
          <w:spacing w:val="-16"/>
          <w:w w:val="105"/>
        </w:rPr>
        <w:t> </w:t>
      </w:r>
      <w:r>
        <w:rPr>
          <w:color w:val="231F20"/>
          <w:w w:val="105"/>
        </w:rPr>
        <w:t>US</w:t>
      </w:r>
      <w:r>
        <w:rPr>
          <w:color w:val="231F20"/>
          <w:spacing w:val="-16"/>
          <w:w w:val="105"/>
        </w:rPr>
        <w:t> </w:t>
      </w:r>
      <w:r>
        <w:rPr>
          <w:color w:val="231F20"/>
          <w:w w:val="105"/>
        </w:rPr>
        <w:t>(see</w:t>
      </w:r>
      <w:r>
        <w:rPr>
          <w:color w:val="231F20"/>
          <w:spacing w:val="-16"/>
          <w:w w:val="105"/>
        </w:rPr>
        <w:t> </w:t>
      </w:r>
      <w:r>
        <w:rPr>
          <w:color w:val="231F20"/>
          <w:w w:val="105"/>
        </w:rPr>
        <w:t>table</w:t>
      </w:r>
      <w:r>
        <w:rPr>
          <w:color w:val="231F20"/>
          <w:spacing w:val="-16"/>
          <w:w w:val="105"/>
        </w:rPr>
        <w:t> </w:t>
      </w:r>
      <w:r>
        <w:rPr>
          <w:color w:val="231F20"/>
          <w:w w:val="105"/>
        </w:rPr>
        <w:t>10).</w:t>
      </w:r>
    </w:p>
    <w:p>
      <w:pPr>
        <w:pStyle w:val="BodyText"/>
        <w:spacing w:before="4"/>
      </w:pPr>
    </w:p>
    <w:p>
      <w:pPr>
        <w:spacing w:before="0"/>
        <w:ind w:left="2917" w:right="2804" w:firstLine="0"/>
        <w:jc w:val="center"/>
        <w:rPr>
          <w:rFonts w:ascii="Arial" w:hAnsi="Arial"/>
          <w:sz w:val="18"/>
        </w:rPr>
      </w:pPr>
      <w:r>
        <w:rPr>
          <w:rFonts w:ascii="Arial" w:hAnsi="Arial"/>
          <w:color w:val="231F20"/>
          <w:w w:val="105"/>
          <w:sz w:val="18"/>
        </w:rPr>
        <w:t>Table 10. Conversation 9, “Sad”</w:t>
      </w:r>
    </w:p>
    <w:p>
      <w:pPr>
        <w:pStyle w:val="BodyText"/>
        <w:spacing w:before="5"/>
        <w:rPr>
          <w:rFonts w:ascii="Arial"/>
          <w:sz w:val="13"/>
        </w:rPr>
      </w:pPr>
    </w:p>
    <w:tbl>
      <w:tblPr>
        <w:tblW w:w="0" w:type="auto"/>
        <w:jc w:val="left"/>
        <w:tblInd w:w="234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56"/>
        <w:gridCol w:w="2778"/>
        <w:gridCol w:w="2665"/>
      </w:tblGrid>
      <w:tr>
        <w:trPr>
          <w:trHeight w:val="556" w:hRule="exact"/>
        </w:trPr>
        <w:tc>
          <w:tcPr>
            <w:tcW w:w="456" w:type="dxa"/>
          </w:tcPr>
          <w:p>
            <w:pPr>
              <w:pStyle w:val="TableParagraph"/>
              <w:ind w:left="77"/>
              <w:rPr>
                <w:sz w:val="18"/>
              </w:rPr>
            </w:pPr>
            <w:r>
              <w:rPr>
                <w:color w:val="231F20"/>
                <w:w w:val="104"/>
                <w:sz w:val="18"/>
              </w:rPr>
              <w:t>1</w:t>
            </w:r>
          </w:p>
        </w:tc>
        <w:tc>
          <w:tcPr>
            <w:tcW w:w="2778" w:type="dxa"/>
          </w:tcPr>
          <w:p>
            <w:pPr>
              <w:pStyle w:val="TableParagraph"/>
              <w:ind w:left="77" w:right="9"/>
              <w:rPr>
                <w:sz w:val="18"/>
              </w:rPr>
            </w:pPr>
            <w:r>
              <w:rPr>
                <w:color w:val="231F20"/>
                <w:sz w:val="18"/>
              </w:rPr>
              <w:t>Paloma’s status update</w:t>
            </w:r>
          </w:p>
          <w:p>
            <w:pPr>
              <w:pStyle w:val="TableParagraph"/>
              <w:spacing w:before="12"/>
              <w:ind w:left="77" w:right="9"/>
              <w:rPr>
                <w:sz w:val="18"/>
              </w:rPr>
            </w:pPr>
            <w:r>
              <w:rPr>
                <w:color w:val="231F20"/>
                <w:w w:val="110"/>
                <w:sz w:val="18"/>
              </w:rPr>
              <w:t>&lt;/3 :’(</w:t>
            </w:r>
          </w:p>
        </w:tc>
        <w:tc>
          <w:tcPr>
            <w:tcW w:w="2665" w:type="dxa"/>
          </w:tcPr>
          <w:p>
            <w:pPr>
              <w:pStyle w:val="TableParagraph"/>
              <w:spacing w:line="254" w:lineRule="auto"/>
              <w:ind w:left="77" w:right="1"/>
              <w:rPr>
                <w:sz w:val="18"/>
              </w:rPr>
            </w:pPr>
            <w:r>
              <w:rPr>
                <w:color w:val="231F20"/>
                <w:w w:val="105"/>
                <w:sz w:val="18"/>
              </w:rPr>
              <w:t>[emoticones de corazón roto y llanto]</w:t>
            </w:r>
          </w:p>
        </w:tc>
      </w:tr>
      <w:tr>
        <w:trPr>
          <w:trHeight w:val="340" w:hRule="exact"/>
        </w:trPr>
        <w:tc>
          <w:tcPr>
            <w:tcW w:w="456" w:type="dxa"/>
          </w:tcPr>
          <w:p>
            <w:pPr>
              <w:pStyle w:val="TableParagraph"/>
              <w:ind w:left="77"/>
              <w:rPr>
                <w:sz w:val="18"/>
              </w:rPr>
            </w:pPr>
            <w:r>
              <w:rPr>
                <w:color w:val="231F20"/>
                <w:w w:val="104"/>
                <w:sz w:val="18"/>
              </w:rPr>
              <w:t>2</w:t>
            </w:r>
          </w:p>
        </w:tc>
        <w:tc>
          <w:tcPr>
            <w:tcW w:w="2778" w:type="dxa"/>
          </w:tcPr>
          <w:p>
            <w:pPr>
              <w:pStyle w:val="TableParagraph"/>
              <w:ind w:left="77" w:right="9"/>
              <w:rPr>
                <w:sz w:val="18"/>
              </w:rPr>
            </w:pPr>
            <w:r>
              <w:rPr>
                <w:color w:val="231F20"/>
                <w:w w:val="105"/>
                <w:sz w:val="18"/>
              </w:rPr>
              <w:t>Friend 1 What’s wrong nerd.?!</w:t>
            </w:r>
          </w:p>
        </w:tc>
        <w:tc>
          <w:tcPr>
            <w:tcW w:w="2665" w:type="dxa"/>
          </w:tcPr>
          <w:p>
            <w:pPr>
              <w:pStyle w:val="TableParagraph"/>
              <w:ind w:left="77" w:right="1"/>
              <w:rPr>
                <w:sz w:val="18"/>
              </w:rPr>
            </w:pPr>
            <w:r>
              <w:rPr>
                <w:color w:val="231F20"/>
                <w:w w:val="105"/>
                <w:sz w:val="18"/>
              </w:rPr>
              <w:t>¿Qué te pasa nerd?</w:t>
            </w:r>
          </w:p>
        </w:tc>
      </w:tr>
      <w:tr>
        <w:trPr>
          <w:trHeight w:val="1636" w:hRule="exact"/>
        </w:trPr>
        <w:tc>
          <w:tcPr>
            <w:tcW w:w="456" w:type="dxa"/>
          </w:tcPr>
          <w:p>
            <w:pPr>
              <w:pStyle w:val="TableParagraph"/>
              <w:ind w:left="77"/>
              <w:rPr>
                <w:sz w:val="18"/>
              </w:rPr>
            </w:pPr>
            <w:r>
              <w:rPr>
                <w:color w:val="231F20"/>
                <w:w w:val="104"/>
                <w:sz w:val="18"/>
              </w:rPr>
              <w:t>3</w:t>
            </w:r>
          </w:p>
        </w:tc>
        <w:tc>
          <w:tcPr>
            <w:tcW w:w="2778" w:type="dxa"/>
          </w:tcPr>
          <w:p>
            <w:pPr>
              <w:pStyle w:val="TableParagraph"/>
              <w:spacing w:line="254" w:lineRule="auto"/>
              <w:ind w:left="77" w:right="69"/>
              <w:jc w:val="both"/>
              <w:rPr>
                <w:sz w:val="18"/>
              </w:rPr>
            </w:pPr>
            <w:r>
              <w:rPr>
                <w:color w:val="231F20"/>
                <w:w w:val="105"/>
                <w:sz w:val="18"/>
              </w:rPr>
              <w:t>Fanny: </w:t>
            </w:r>
            <w:r>
              <w:rPr>
                <w:color w:val="231F20"/>
                <w:spacing w:val="-6"/>
                <w:w w:val="105"/>
                <w:sz w:val="18"/>
              </w:rPr>
              <w:t>You </w:t>
            </w:r>
            <w:r>
              <w:rPr>
                <w:color w:val="231F20"/>
                <w:w w:val="105"/>
                <w:sz w:val="18"/>
              </w:rPr>
              <w:t>will be just fine, but I understand how your feeling.</w:t>
            </w:r>
            <w:r>
              <w:rPr>
                <w:color w:val="231F20"/>
                <w:spacing w:val="-15"/>
                <w:w w:val="105"/>
                <w:sz w:val="18"/>
              </w:rPr>
              <w:t> </w:t>
            </w:r>
            <w:r>
              <w:rPr>
                <w:color w:val="231F20"/>
                <w:w w:val="105"/>
                <w:sz w:val="18"/>
              </w:rPr>
              <w:t>I say</w:t>
            </w:r>
            <w:r>
              <w:rPr>
                <w:color w:val="231F20"/>
                <w:spacing w:val="-14"/>
                <w:w w:val="105"/>
                <w:sz w:val="18"/>
              </w:rPr>
              <w:t> </w:t>
            </w:r>
            <w:r>
              <w:rPr>
                <w:color w:val="231F20"/>
                <w:w w:val="105"/>
                <w:sz w:val="18"/>
              </w:rPr>
              <w:t>you</w:t>
            </w:r>
            <w:r>
              <w:rPr>
                <w:color w:val="231F20"/>
                <w:spacing w:val="-14"/>
                <w:w w:val="105"/>
                <w:sz w:val="18"/>
              </w:rPr>
              <w:t> </w:t>
            </w:r>
            <w:r>
              <w:rPr>
                <w:color w:val="231F20"/>
                <w:w w:val="105"/>
                <w:sz w:val="18"/>
              </w:rPr>
              <w:t>stop</w:t>
            </w:r>
            <w:r>
              <w:rPr>
                <w:color w:val="231F20"/>
                <w:spacing w:val="-14"/>
                <w:w w:val="105"/>
                <w:sz w:val="18"/>
              </w:rPr>
              <w:t> </w:t>
            </w:r>
            <w:r>
              <w:rPr>
                <w:color w:val="231F20"/>
                <w:w w:val="105"/>
                <w:sz w:val="18"/>
              </w:rPr>
              <w:t>by</w:t>
            </w:r>
            <w:r>
              <w:rPr>
                <w:color w:val="231F20"/>
                <w:spacing w:val="-14"/>
                <w:w w:val="105"/>
                <w:sz w:val="18"/>
              </w:rPr>
              <w:t> </w:t>
            </w:r>
            <w:r>
              <w:rPr>
                <w:color w:val="231F20"/>
                <w:w w:val="105"/>
                <w:sz w:val="18"/>
              </w:rPr>
              <w:t>after</w:t>
            </w:r>
            <w:r>
              <w:rPr>
                <w:color w:val="231F20"/>
                <w:spacing w:val="-14"/>
                <w:w w:val="105"/>
                <w:sz w:val="18"/>
              </w:rPr>
              <w:t> </w:t>
            </w:r>
            <w:r>
              <w:rPr>
                <w:color w:val="231F20"/>
                <w:w w:val="105"/>
                <w:sz w:val="18"/>
              </w:rPr>
              <w:t>school</w:t>
            </w:r>
            <w:r>
              <w:rPr>
                <w:color w:val="231F20"/>
                <w:spacing w:val="-14"/>
                <w:w w:val="105"/>
                <w:sz w:val="18"/>
              </w:rPr>
              <w:t> </w:t>
            </w:r>
            <w:r>
              <w:rPr>
                <w:color w:val="231F20"/>
                <w:w w:val="105"/>
                <w:sz w:val="18"/>
              </w:rPr>
              <w:t>and we can chat, maybe a little dis- traction</w:t>
            </w:r>
            <w:r>
              <w:rPr>
                <w:color w:val="231F20"/>
                <w:spacing w:val="-9"/>
                <w:w w:val="105"/>
                <w:sz w:val="18"/>
              </w:rPr>
              <w:t> </w:t>
            </w:r>
            <w:r>
              <w:rPr>
                <w:color w:val="231F20"/>
                <w:w w:val="105"/>
                <w:sz w:val="18"/>
              </w:rPr>
              <w:t>can</w:t>
            </w:r>
            <w:r>
              <w:rPr>
                <w:color w:val="231F20"/>
                <w:spacing w:val="-9"/>
                <w:w w:val="105"/>
                <w:sz w:val="18"/>
              </w:rPr>
              <w:t> </w:t>
            </w:r>
            <w:r>
              <w:rPr>
                <w:color w:val="231F20"/>
                <w:w w:val="105"/>
                <w:sz w:val="18"/>
              </w:rPr>
              <w:t>help</w:t>
            </w:r>
            <w:r>
              <w:rPr>
                <w:color w:val="231F20"/>
                <w:spacing w:val="-9"/>
                <w:w w:val="105"/>
                <w:sz w:val="18"/>
              </w:rPr>
              <w:t> </w:t>
            </w:r>
            <w:r>
              <w:rPr>
                <w:color w:val="231F20"/>
                <w:w w:val="105"/>
                <w:sz w:val="18"/>
              </w:rPr>
              <w:t>you</w:t>
            </w:r>
            <w:r>
              <w:rPr>
                <w:color w:val="231F20"/>
                <w:spacing w:val="-9"/>
                <w:w w:val="105"/>
                <w:sz w:val="18"/>
              </w:rPr>
              <w:t> </w:t>
            </w:r>
            <w:r>
              <w:rPr>
                <w:color w:val="231F20"/>
                <w:w w:val="105"/>
                <w:sz w:val="18"/>
              </w:rPr>
              <w:t>feel</w:t>
            </w:r>
            <w:r>
              <w:rPr>
                <w:color w:val="231F20"/>
                <w:spacing w:val="-9"/>
                <w:w w:val="105"/>
                <w:sz w:val="18"/>
              </w:rPr>
              <w:t> </w:t>
            </w:r>
            <w:r>
              <w:rPr>
                <w:color w:val="231F20"/>
                <w:spacing w:val="-3"/>
                <w:w w:val="105"/>
                <w:sz w:val="18"/>
              </w:rPr>
              <w:t>better.</w:t>
            </w:r>
          </w:p>
          <w:p>
            <w:pPr>
              <w:pStyle w:val="TableParagraph"/>
              <w:spacing w:before="0"/>
              <w:ind w:left="77"/>
              <w:jc w:val="both"/>
              <w:rPr>
                <w:sz w:val="18"/>
              </w:rPr>
            </w:pPr>
            <w:r>
              <w:rPr>
                <w:color w:val="231F20"/>
                <w:w w:val="105"/>
                <w:sz w:val="18"/>
              </w:rPr>
              <w:t>:) love you bruja!</w:t>
            </w:r>
          </w:p>
        </w:tc>
        <w:tc>
          <w:tcPr>
            <w:tcW w:w="2665" w:type="dxa"/>
          </w:tcPr>
          <w:p>
            <w:pPr>
              <w:pStyle w:val="TableParagraph"/>
              <w:spacing w:line="254" w:lineRule="auto"/>
              <w:ind w:left="77" w:right="70"/>
              <w:jc w:val="both"/>
              <w:rPr>
                <w:sz w:val="18"/>
              </w:rPr>
            </w:pPr>
            <w:r>
              <w:rPr>
                <w:color w:val="231F20"/>
                <w:spacing w:val="-4"/>
                <w:w w:val="105"/>
                <w:sz w:val="18"/>
              </w:rPr>
              <w:t>Vas</w:t>
            </w:r>
            <w:r>
              <w:rPr>
                <w:color w:val="231F20"/>
                <w:spacing w:val="-20"/>
                <w:w w:val="105"/>
                <w:sz w:val="18"/>
              </w:rPr>
              <w:t> </w:t>
            </w:r>
            <w:r>
              <w:rPr>
                <w:color w:val="231F20"/>
                <w:w w:val="105"/>
                <w:sz w:val="18"/>
              </w:rPr>
              <w:t>a</w:t>
            </w:r>
            <w:r>
              <w:rPr>
                <w:color w:val="231F20"/>
                <w:spacing w:val="-20"/>
                <w:w w:val="105"/>
                <w:sz w:val="18"/>
              </w:rPr>
              <w:t> </w:t>
            </w:r>
            <w:r>
              <w:rPr>
                <w:color w:val="231F20"/>
                <w:w w:val="105"/>
                <w:sz w:val="18"/>
              </w:rPr>
              <w:t>estar</w:t>
            </w:r>
            <w:r>
              <w:rPr>
                <w:color w:val="231F20"/>
                <w:spacing w:val="-20"/>
                <w:w w:val="105"/>
                <w:sz w:val="18"/>
              </w:rPr>
              <w:t> </w:t>
            </w:r>
            <w:r>
              <w:rPr>
                <w:color w:val="231F20"/>
                <w:w w:val="105"/>
                <w:sz w:val="18"/>
              </w:rPr>
              <w:t>bien,</w:t>
            </w:r>
            <w:r>
              <w:rPr>
                <w:color w:val="231F20"/>
                <w:spacing w:val="-24"/>
                <w:w w:val="105"/>
                <w:sz w:val="18"/>
              </w:rPr>
              <w:t> </w:t>
            </w:r>
            <w:r>
              <w:rPr>
                <w:color w:val="231F20"/>
                <w:w w:val="105"/>
                <w:sz w:val="18"/>
              </w:rPr>
              <w:t>pero</w:t>
            </w:r>
            <w:r>
              <w:rPr>
                <w:color w:val="231F20"/>
                <w:spacing w:val="-20"/>
                <w:w w:val="105"/>
                <w:sz w:val="18"/>
              </w:rPr>
              <w:t> </w:t>
            </w:r>
            <w:r>
              <w:rPr>
                <w:color w:val="231F20"/>
                <w:w w:val="105"/>
                <w:sz w:val="18"/>
              </w:rPr>
              <w:t>entiendo como te sientes. </w:t>
            </w:r>
            <w:r>
              <w:rPr>
                <w:color w:val="231F20"/>
                <w:spacing w:val="-8"/>
                <w:w w:val="105"/>
                <w:sz w:val="18"/>
              </w:rPr>
              <w:t>Yo </w:t>
            </w:r>
            <w:r>
              <w:rPr>
                <w:color w:val="231F20"/>
                <w:w w:val="105"/>
                <w:sz w:val="18"/>
              </w:rPr>
              <w:t>digo que me</w:t>
            </w:r>
            <w:r>
              <w:rPr>
                <w:color w:val="231F20"/>
                <w:spacing w:val="-19"/>
                <w:w w:val="105"/>
                <w:sz w:val="18"/>
              </w:rPr>
              <w:t> </w:t>
            </w:r>
            <w:r>
              <w:rPr>
                <w:color w:val="231F20"/>
                <w:w w:val="105"/>
                <w:sz w:val="18"/>
              </w:rPr>
              <w:t>vengas</w:t>
            </w:r>
            <w:r>
              <w:rPr>
                <w:color w:val="231F20"/>
                <w:spacing w:val="-19"/>
                <w:w w:val="105"/>
                <w:sz w:val="18"/>
              </w:rPr>
              <w:t> </w:t>
            </w:r>
            <w:r>
              <w:rPr>
                <w:color w:val="231F20"/>
                <w:w w:val="105"/>
                <w:sz w:val="18"/>
              </w:rPr>
              <w:t>a</w:t>
            </w:r>
            <w:r>
              <w:rPr>
                <w:color w:val="231F20"/>
                <w:spacing w:val="-19"/>
                <w:w w:val="105"/>
                <w:sz w:val="18"/>
              </w:rPr>
              <w:t> </w:t>
            </w:r>
            <w:r>
              <w:rPr>
                <w:color w:val="231F20"/>
                <w:w w:val="105"/>
                <w:sz w:val="18"/>
              </w:rPr>
              <w:t>ver</w:t>
            </w:r>
            <w:r>
              <w:rPr>
                <w:color w:val="231F20"/>
                <w:spacing w:val="-19"/>
                <w:w w:val="105"/>
                <w:sz w:val="18"/>
              </w:rPr>
              <w:t> </w:t>
            </w:r>
            <w:r>
              <w:rPr>
                <w:color w:val="231F20"/>
                <w:w w:val="105"/>
                <w:sz w:val="18"/>
              </w:rPr>
              <w:t>después</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la escuela</w:t>
            </w:r>
            <w:r>
              <w:rPr>
                <w:color w:val="231F20"/>
                <w:spacing w:val="-15"/>
                <w:w w:val="105"/>
                <w:sz w:val="18"/>
              </w:rPr>
              <w:t> </w:t>
            </w:r>
            <w:r>
              <w:rPr>
                <w:color w:val="231F20"/>
                <w:w w:val="105"/>
                <w:sz w:val="18"/>
              </w:rPr>
              <w:t>y</w:t>
            </w:r>
            <w:r>
              <w:rPr>
                <w:color w:val="231F20"/>
                <w:spacing w:val="-15"/>
                <w:w w:val="105"/>
                <w:sz w:val="18"/>
              </w:rPr>
              <w:t> </w:t>
            </w:r>
            <w:r>
              <w:rPr>
                <w:color w:val="231F20"/>
                <w:w w:val="105"/>
                <w:sz w:val="18"/>
              </w:rPr>
              <w:t>podemos</w:t>
            </w:r>
            <w:r>
              <w:rPr>
                <w:color w:val="231F20"/>
                <w:spacing w:val="-15"/>
                <w:w w:val="105"/>
                <w:sz w:val="18"/>
              </w:rPr>
              <w:t> </w:t>
            </w:r>
            <w:r>
              <w:rPr>
                <w:color w:val="231F20"/>
                <w:spacing w:val="-3"/>
                <w:w w:val="105"/>
                <w:sz w:val="18"/>
              </w:rPr>
              <w:t>platicar,</w:t>
            </w:r>
            <w:r>
              <w:rPr>
                <w:color w:val="231F20"/>
                <w:spacing w:val="-19"/>
                <w:w w:val="105"/>
                <w:sz w:val="18"/>
              </w:rPr>
              <w:t> </w:t>
            </w:r>
            <w:r>
              <w:rPr>
                <w:color w:val="231F20"/>
                <w:w w:val="105"/>
                <w:sz w:val="18"/>
              </w:rPr>
              <w:t>tal vez un poco de distracción te ayude</w:t>
            </w:r>
            <w:r>
              <w:rPr>
                <w:color w:val="231F20"/>
                <w:spacing w:val="-18"/>
                <w:w w:val="105"/>
                <w:sz w:val="18"/>
              </w:rPr>
              <w:t> </w:t>
            </w:r>
            <w:r>
              <w:rPr>
                <w:color w:val="231F20"/>
                <w:w w:val="105"/>
                <w:sz w:val="18"/>
              </w:rPr>
              <w:t>a</w:t>
            </w:r>
            <w:r>
              <w:rPr>
                <w:color w:val="231F20"/>
                <w:spacing w:val="-18"/>
                <w:w w:val="105"/>
                <w:sz w:val="18"/>
              </w:rPr>
              <w:t> </w:t>
            </w:r>
            <w:r>
              <w:rPr>
                <w:color w:val="231F20"/>
                <w:w w:val="105"/>
                <w:sz w:val="18"/>
              </w:rPr>
              <w:t>sentir</w:t>
            </w:r>
            <w:r>
              <w:rPr>
                <w:color w:val="231F20"/>
                <w:spacing w:val="-18"/>
                <w:w w:val="105"/>
                <w:sz w:val="18"/>
              </w:rPr>
              <w:t> </w:t>
            </w:r>
            <w:r>
              <w:rPr>
                <w:color w:val="231F20"/>
                <w:w w:val="105"/>
                <w:sz w:val="18"/>
              </w:rPr>
              <w:t>mejor:)</w:t>
            </w:r>
            <w:r>
              <w:rPr>
                <w:color w:val="231F20"/>
                <w:spacing w:val="-18"/>
                <w:w w:val="105"/>
                <w:sz w:val="18"/>
              </w:rPr>
              <w:t> </w:t>
            </w:r>
            <w:r>
              <w:rPr>
                <w:color w:val="231F20"/>
                <w:spacing w:val="-7"/>
                <w:w w:val="105"/>
                <w:sz w:val="18"/>
              </w:rPr>
              <w:t>¡Te</w:t>
            </w:r>
            <w:r>
              <w:rPr>
                <w:color w:val="231F20"/>
                <w:spacing w:val="-18"/>
                <w:w w:val="105"/>
                <w:sz w:val="18"/>
              </w:rPr>
              <w:t> </w:t>
            </w:r>
            <w:r>
              <w:rPr>
                <w:color w:val="231F20"/>
                <w:w w:val="105"/>
                <w:sz w:val="18"/>
              </w:rPr>
              <w:t>amo, witch!</w:t>
            </w:r>
          </w:p>
        </w:tc>
      </w:tr>
      <w:tr>
        <w:trPr>
          <w:trHeight w:val="772" w:hRule="exact"/>
        </w:trPr>
        <w:tc>
          <w:tcPr>
            <w:tcW w:w="456" w:type="dxa"/>
          </w:tcPr>
          <w:p>
            <w:pPr>
              <w:pStyle w:val="TableParagraph"/>
              <w:ind w:left="77"/>
              <w:rPr>
                <w:sz w:val="18"/>
              </w:rPr>
            </w:pPr>
            <w:r>
              <w:rPr>
                <w:color w:val="231F20"/>
                <w:w w:val="104"/>
                <w:sz w:val="18"/>
              </w:rPr>
              <w:t>4</w:t>
            </w:r>
          </w:p>
        </w:tc>
        <w:tc>
          <w:tcPr>
            <w:tcW w:w="2778" w:type="dxa"/>
          </w:tcPr>
          <w:p>
            <w:pPr>
              <w:pStyle w:val="TableParagraph"/>
              <w:spacing w:line="254" w:lineRule="auto"/>
              <w:ind w:left="77" w:right="71"/>
              <w:jc w:val="both"/>
              <w:rPr>
                <w:sz w:val="18"/>
              </w:rPr>
            </w:pPr>
            <w:r>
              <w:rPr>
                <w:color w:val="231F20"/>
                <w:w w:val="105"/>
                <w:sz w:val="18"/>
              </w:rPr>
              <w:t>Cosme:</w:t>
            </w:r>
            <w:r>
              <w:rPr>
                <w:color w:val="231F20"/>
                <w:spacing w:val="-25"/>
                <w:w w:val="105"/>
                <w:sz w:val="18"/>
              </w:rPr>
              <w:t> </w:t>
            </w:r>
            <w:r>
              <w:rPr>
                <w:color w:val="231F20"/>
                <w:w w:val="105"/>
                <w:sz w:val="18"/>
              </w:rPr>
              <w:t>hey</w:t>
            </w:r>
            <w:r>
              <w:rPr>
                <w:color w:val="231F20"/>
                <w:spacing w:val="-25"/>
                <w:w w:val="105"/>
                <w:sz w:val="18"/>
              </w:rPr>
              <w:t> </w:t>
            </w:r>
            <w:r>
              <w:rPr>
                <w:color w:val="231F20"/>
                <w:w w:val="105"/>
                <w:sz w:val="18"/>
              </w:rPr>
              <w:t>Im</w:t>
            </w:r>
            <w:r>
              <w:rPr>
                <w:color w:val="231F20"/>
                <w:spacing w:val="-25"/>
                <w:w w:val="105"/>
                <w:sz w:val="18"/>
              </w:rPr>
              <w:t> </w:t>
            </w:r>
            <w:r>
              <w:rPr>
                <w:color w:val="231F20"/>
                <w:w w:val="105"/>
                <w:sz w:val="18"/>
              </w:rPr>
              <w:t>Here,</w:t>
            </w:r>
            <w:r>
              <w:rPr>
                <w:color w:val="231F20"/>
                <w:spacing w:val="-30"/>
                <w:w w:val="105"/>
                <w:sz w:val="18"/>
              </w:rPr>
              <w:t> </w:t>
            </w:r>
            <w:r>
              <w:rPr>
                <w:color w:val="231F20"/>
                <w:spacing w:val="-4"/>
                <w:w w:val="105"/>
                <w:sz w:val="18"/>
              </w:rPr>
              <w:t>Were</w:t>
            </w:r>
            <w:r>
              <w:rPr>
                <w:color w:val="231F20"/>
                <w:spacing w:val="-25"/>
                <w:w w:val="105"/>
                <w:sz w:val="18"/>
              </w:rPr>
              <w:t> </w:t>
            </w:r>
            <w:r>
              <w:rPr>
                <w:color w:val="231F20"/>
                <w:w w:val="105"/>
                <w:sz w:val="18"/>
              </w:rPr>
              <w:t>here, I</w:t>
            </w:r>
            <w:r>
              <w:rPr>
                <w:color w:val="231F20"/>
                <w:spacing w:val="-15"/>
                <w:w w:val="105"/>
                <w:sz w:val="18"/>
              </w:rPr>
              <w:t> </w:t>
            </w:r>
            <w:r>
              <w:rPr>
                <w:color w:val="231F20"/>
                <w:w w:val="105"/>
                <w:sz w:val="18"/>
              </w:rPr>
              <w:t>Know</w:t>
            </w:r>
            <w:r>
              <w:rPr>
                <w:color w:val="231F20"/>
                <w:spacing w:val="-15"/>
                <w:w w:val="105"/>
                <w:sz w:val="18"/>
              </w:rPr>
              <w:t> </w:t>
            </w:r>
            <w:r>
              <w:rPr>
                <w:color w:val="231F20"/>
                <w:w w:val="105"/>
                <w:sz w:val="18"/>
              </w:rPr>
              <w:t>we</w:t>
            </w:r>
            <w:r>
              <w:rPr>
                <w:color w:val="231F20"/>
                <w:spacing w:val="-15"/>
                <w:w w:val="105"/>
                <w:sz w:val="18"/>
              </w:rPr>
              <w:t> </w:t>
            </w:r>
            <w:r>
              <w:rPr>
                <w:color w:val="231F20"/>
                <w:w w:val="105"/>
                <w:sz w:val="18"/>
              </w:rPr>
              <w:t>aint</w:t>
            </w:r>
            <w:r>
              <w:rPr>
                <w:color w:val="231F20"/>
                <w:spacing w:val="-15"/>
                <w:w w:val="105"/>
                <w:sz w:val="18"/>
              </w:rPr>
              <w:t> </w:t>
            </w:r>
            <w:r>
              <w:rPr>
                <w:color w:val="231F20"/>
                <w:w w:val="105"/>
                <w:sz w:val="18"/>
              </w:rPr>
              <w:t>your</w:t>
            </w:r>
            <w:r>
              <w:rPr>
                <w:color w:val="231F20"/>
                <w:spacing w:val="-15"/>
                <w:w w:val="105"/>
                <w:sz w:val="18"/>
              </w:rPr>
              <w:t> </w:t>
            </w:r>
            <w:r>
              <w:rPr>
                <w:color w:val="231F20"/>
                <w:w w:val="105"/>
                <w:sz w:val="18"/>
              </w:rPr>
              <w:t>mom</w:t>
            </w:r>
            <w:r>
              <w:rPr>
                <w:color w:val="231F20"/>
                <w:spacing w:val="-15"/>
                <w:w w:val="105"/>
                <w:sz w:val="18"/>
              </w:rPr>
              <w:t> </w:t>
            </w:r>
            <w:r>
              <w:rPr>
                <w:color w:val="231F20"/>
                <w:w w:val="105"/>
                <w:sz w:val="18"/>
              </w:rPr>
              <w:t>but</w:t>
            </w:r>
            <w:r>
              <w:rPr>
                <w:color w:val="231F20"/>
                <w:spacing w:val="-15"/>
                <w:w w:val="105"/>
                <w:sz w:val="18"/>
              </w:rPr>
              <w:t> </w:t>
            </w:r>
            <w:r>
              <w:rPr>
                <w:color w:val="231F20"/>
                <w:w w:val="105"/>
                <w:sz w:val="18"/>
              </w:rPr>
              <w:t>we love</w:t>
            </w:r>
            <w:r>
              <w:rPr>
                <w:color w:val="231F20"/>
                <w:spacing w:val="-19"/>
                <w:w w:val="105"/>
                <w:sz w:val="18"/>
              </w:rPr>
              <w:t> </w:t>
            </w:r>
            <w:r>
              <w:rPr>
                <w:color w:val="231F20"/>
                <w:w w:val="105"/>
                <w:sz w:val="18"/>
              </w:rPr>
              <w:t>you</w:t>
            </w:r>
            <w:r>
              <w:rPr>
                <w:color w:val="231F20"/>
                <w:spacing w:val="-19"/>
                <w:w w:val="105"/>
                <w:sz w:val="18"/>
              </w:rPr>
              <w:t> </w:t>
            </w:r>
            <w:r>
              <w:rPr>
                <w:color w:val="231F20"/>
                <w:w w:val="105"/>
                <w:sz w:val="18"/>
              </w:rPr>
              <w:t>the</w:t>
            </w:r>
            <w:r>
              <w:rPr>
                <w:color w:val="231F20"/>
                <w:spacing w:val="-19"/>
                <w:w w:val="105"/>
                <w:sz w:val="18"/>
              </w:rPr>
              <w:t> </w:t>
            </w:r>
            <w:r>
              <w:rPr>
                <w:color w:val="231F20"/>
                <w:w w:val="105"/>
                <w:sz w:val="18"/>
              </w:rPr>
              <w:t>same</w:t>
            </w:r>
            <w:r>
              <w:rPr>
                <w:color w:val="231F20"/>
                <w:spacing w:val="-19"/>
                <w:w w:val="105"/>
                <w:sz w:val="18"/>
              </w:rPr>
              <w:t> </w:t>
            </w:r>
            <w:r>
              <w:rPr>
                <w:color w:val="231F20"/>
                <w:w w:val="105"/>
                <w:sz w:val="18"/>
              </w:rPr>
              <w:t>:)</w:t>
            </w:r>
          </w:p>
        </w:tc>
        <w:tc>
          <w:tcPr>
            <w:tcW w:w="2665" w:type="dxa"/>
          </w:tcPr>
          <w:p>
            <w:pPr>
              <w:pStyle w:val="TableParagraph"/>
              <w:spacing w:line="254" w:lineRule="auto"/>
              <w:ind w:left="77" w:right="76"/>
              <w:jc w:val="both"/>
              <w:rPr>
                <w:sz w:val="18"/>
              </w:rPr>
            </w:pPr>
            <w:r>
              <w:rPr>
                <w:color w:val="231F20"/>
                <w:w w:val="105"/>
                <w:sz w:val="18"/>
              </w:rPr>
              <w:t>Oye,</w:t>
            </w:r>
            <w:r>
              <w:rPr>
                <w:color w:val="231F20"/>
                <w:spacing w:val="-33"/>
                <w:w w:val="105"/>
                <w:sz w:val="18"/>
              </w:rPr>
              <w:t> </w:t>
            </w:r>
            <w:r>
              <w:rPr>
                <w:color w:val="231F20"/>
                <w:w w:val="105"/>
                <w:sz w:val="18"/>
              </w:rPr>
              <w:t>aquí</w:t>
            </w:r>
            <w:r>
              <w:rPr>
                <w:color w:val="231F20"/>
                <w:spacing w:val="-30"/>
                <w:w w:val="105"/>
                <w:sz w:val="18"/>
              </w:rPr>
              <w:t> </w:t>
            </w:r>
            <w:r>
              <w:rPr>
                <w:color w:val="231F20"/>
                <w:spacing w:val="-2"/>
                <w:w w:val="105"/>
                <w:sz w:val="18"/>
              </w:rPr>
              <w:t>estoy,</w:t>
            </w:r>
            <w:r>
              <w:rPr>
                <w:color w:val="231F20"/>
                <w:spacing w:val="-33"/>
                <w:w w:val="105"/>
                <w:sz w:val="18"/>
              </w:rPr>
              <w:t> </w:t>
            </w:r>
            <w:r>
              <w:rPr>
                <w:color w:val="231F20"/>
                <w:w w:val="105"/>
                <w:sz w:val="18"/>
              </w:rPr>
              <w:t>todos</w:t>
            </w:r>
            <w:r>
              <w:rPr>
                <w:color w:val="231F20"/>
                <w:spacing w:val="-30"/>
                <w:w w:val="105"/>
                <w:sz w:val="18"/>
              </w:rPr>
              <w:t> </w:t>
            </w:r>
            <w:r>
              <w:rPr>
                <w:color w:val="231F20"/>
                <w:w w:val="105"/>
                <w:sz w:val="18"/>
              </w:rPr>
              <w:t>estamos </w:t>
            </w:r>
            <w:r>
              <w:rPr>
                <w:color w:val="231F20"/>
                <w:spacing w:val="-3"/>
                <w:w w:val="105"/>
                <w:sz w:val="18"/>
              </w:rPr>
              <w:t>aquí.</w:t>
            </w:r>
            <w:r>
              <w:rPr>
                <w:color w:val="231F20"/>
                <w:spacing w:val="-32"/>
                <w:w w:val="105"/>
                <w:sz w:val="18"/>
              </w:rPr>
              <w:t> </w:t>
            </w:r>
            <w:r>
              <w:rPr>
                <w:color w:val="231F20"/>
                <w:w w:val="105"/>
                <w:sz w:val="18"/>
              </w:rPr>
              <w:t>Sé</w:t>
            </w:r>
            <w:r>
              <w:rPr>
                <w:color w:val="231F20"/>
                <w:spacing w:val="-29"/>
                <w:w w:val="105"/>
                <w:sz w:val="18"/>
              </w:rPr>
              <w:t> </w:t>
            </w:r>
            <w:r>
              <w:rPr>
                <w:color w:val="231F20"/>
                <w:w w:val="105"/>
                <w:sz w:val="18"/>
              </w:rPr>
              <w:t>que</w:t>
            </w:r>
            <w:r>
              <w:rPr>
                <w:color w:val="231F20"/>
                <w:spacing w:val="-29"/>
                <w:w w:val="105"/>
                <w:sz w:val="18"/>
              </w:rPr>
              <w:t> </w:t>
            </w:r>
            <w:r>
              <w:rPr>
                <w:color w:val="231F20"/>
                <w:w w:val="105"/>
                <w:sz w:val="18"/>
              </w:rPr>
              <w:t>no</w:t>
            </w:r>
            <w:r>
              <w:rPr>
                <w:color w:val="231F20"/>
                <w:spacing w:val="-29"/>
                <w:w w:val="105"/>
                <w:sz w:val="18"/>
              </w:rPr>
              <w:t> </w:t>
            </w:r>
            <w:r>
              <w:rPr>
                <w:color w:val="231F20"/>
                <w:spacing w:val="-3"/>
                <w:w w:val="105"/>
                <w:sz w:val="18"/>
              </w:rPr>
              <w:t>somos</w:t>
            </w:r>
            <w:r>
              <w:rPr>
                <w:color w:val="231F20"/>
                <w:spacing w:val="-29"/>
                <w:w w:val="105"/>
                <w:sz w:val="18"/>
              </w:rPr>
              <w:t> </w:t>
            </w:r>
            <w:r>
              <w:rPr>
                <w:color w:val="231F20"/>
                <w:w w:val="105"/>
                <w:sz w:val="18"/>
              </w:rPr>
              <w:t>tu</w:t>
            </w:r>
            <w:r>
              <w:rPr>
                <w:color w:val="231F20"/>
                <w:spacing w:val="-29"/>
                <w:w w:val="105"/>
                <w:sz w:val="18"/>
              </w:rPr>
              <w:t> </w:t>
            </w:r>
            <w:r>
              <w:rPr>
                <w:color w:val="231F20"/>
                <w:spacing w:val="-3"/>
                <w:w w:val="105"/>
                <w:sz w:val="18"/>
              </w:rPr>
              <w:t>mamá </w:t>
            </w:r>
            <w:r>
              <w:rPr>
                <w:color w:val="231F20"/>
                <w:w w:val="105"/>
                <w:sz w:val="18"/>
              </w:rPr>
              <w:t>pero</w:t>
            </w:r>
            <w:r>
              <w:rPr>
                <w:color w:val="231F20"/>
                <w:spacing w:val="-13"/>
                <w:w w:val="105"/>
                <w:sz w:val="18"/>
              </w:rPr>
              <w:t> </w:t>
            </w:r>
            <w:r>
              <w:rPr>
                <w:color w:val="231F20"/>
                <w:w w:val="105"/>
                <w:sz w:val="18"/>
              </w:rPr>
              <w:t>te</w:t>
            </w:r>
            <w:r>
              <w:rPr>
                <w:color w:val="231F20"/>
                <w:spacing w:val="-13"/>
                <w:w w:val="105"/>
                <w:sz w:val="18"/>
              </w:rPr>
              <w:t> </w:t>
            </w:r>
            <w:r>
              <w:rPr>
                <w:color w:val="231F20"/>
                <w:w w:val="105"/>
                <w:sz w:val="18"/>
              </w:rPr>
              <w:t>queremos</w:t>
            </w:r>
            <w:r>
              <w:rPr>
                <w:color w:val="231F20"/>
                <w:spacing w:val="-13"/>
                <w:w w:val="105"/>
                <w:sz w:val="18"/>
              </w:rPr>
              <w:t> </w:t>
            </w:r>
            <w:r>
              <w:rPr>
                <w:color w:val="231F20"/>
                <w:w w:val="105"/>
                <w:sz w:val="18"/>
              </w:rPr>
              <w:t>igual:)</w:t>
            </w:r>
          </w:p>
        </w:tc>
      </w:tr>
    </w:tbl>
    <w:p>
      <w:pPr>
        <w:spacing w:after="0" w:line="254" w:lineRule="auto"/>
        <w:jc w:val="both"/>
        <w:rPr>
          <w:sz w:val="18"/>
        </w:rPr>
        <w:sectPr>
          <w:type w:val="continuous"/>
          <w:pgSz w:w="10480" w:h="14730"/>
          <w:pgMar w:top="0" w:bottom="0" w:left="0" w:right="0"/>
        </w:sectPr>
      </w:pPr>
    </w:p>
    <w:p>
      <w:pPr>
        <w:pStyle w:val="BodyText"/>
        <w:rPr>
          <w:rFonts w:ascii="Arial"/>
          <w:sz w:val="20"/>
        </w:rPr>
      </w:pPr>
      <w:r>
        <w:rPr/>
        <w:pict>
          <v:line style="position:absolute;mso-position-horizontal-relative:page;mso-position-vertical-relative:page;z-index:43768" from="15pt,20.999777pt" to="0pt,20.999777pt" stroked="true" strokeweight=".25pt" strokecolor="#000000">
            <w10:wrap type="none"/>
          </v:line>
        </w:pict>
      </w:r>
      <w:r>
        <w:rPr/>
        <w:pict>
          <v:line style="position:absolute;mso-position-horizontal-relative:page;mso-position-vertical-relative:page;z-index:43792" from="508.890015pt,20.999777pt" to="523.890015pt,20.999777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13"/>
        </w:rPr>
      </w:pPr>
    </w:p>
    <w:tbl>
      <w:tblPr>
        <w:tblW w:w="0" w:type="auto"/>
        <w:jc w:val="left"/>
        <w:tblInd w:w="223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56"/>
        <w:gridCol w:w="2778"/>
        <w:gridCol w:w="2665"/>
      </w:tblGrid>
      <w:tr>
        <w:trPr>
          <w:trHeight w:val="556" w:hRule="exact"/>
        </w:trPr>
        <w:tc>
          <w:tcPr>
            <w:tcW w:w="456" w:type="dxa"/>
          </w:tcPr>
          <w:p>
            <w:pPr>
              <w:pStyle w:val="TableParagraph"/>
              <w:ind w:left="77"/>
              <w:rPr>
                <w:sz w:val="18"/>
              </w:rPr>
            </w:pPr>
            <w:r>
              <w:rPr>
                <w:color w:val="231F20"/>
                <w:w w:val="104"/>
                <w:sz w:val="18"/>
              </w:rPr>
              <w:t>5</w:t>
            </w:r>
          </w:p>
        </w:tc>
        <w:tc>
          <w:tcPr>
            <w:tcW w:w="2778" w:type="dxa"/>
          </w:tcPr>
          <w:p>
            <w:pPr>
              <w:pStyle w:val="TableParagraph"/>
              <w:spacing w:line="254" w:lineRule="auto"/>
              <w:ind w:left="77" w:right="9"/>
              <w:rPr>
                <w:sz w:val="18"/>
              </w:rPr>
            </w:pPr>
            <w:r>
              <w:rPr>
                <w:color w:val="231F20"/>
                <w:w w:val="105"/>
                <w:sz w:val="18"/>
              </w:rPr>
              <w:t>Friend 2: what’s wrong?:/ you also had a bad day</w:t>
            </w:r>
          </w:p>
        </w:tc>
        <w:tc>
          <w:tcPr>
            <w:tcW w:w="2665" w:type="dxa"/>
          </w:tcPr>
          <w:p>
            <w:pPr>
              <w:pStyle w:val="TableParagraph"/>
              <w:spacing w:line="254" w:lineRule="auto"/>
              <w:ind w:left="77" w:right="66"/>
              <w:rPr>
                <w:sz w:val="18"/>
              </w:rPr>
            </w:pPr>
            <w:r>
              <w:rPr>
                <w:color w:val="231F20"/>
                <w:spacing w:val="-3"/>
                <w:w w:val="105"/>
                <w:sz w:val="18"/>
              </w:rPr>
              <w:t>¿Qué</w:t>
            </w:r>
            <w:r>
              <w:rPr>
                <w:color w:val="231F20"/>
                <w:spacing w:val="-32"/>
                <w:w w:val="105"/>
                <w:sz w:val="18"/>
              </w:rPr>
              <w:t> </w:t>
            </w:r>
            <w:r>
              <w:rPr>
                <w:color w:val="231F20"/>
                <w:spacing w:val="-3"/>
                <w:w w:val="105"/>
                <w:sz w:val="18"/>
              </w:rPr>
              <w:t>pasa?</w:t>
            </w:r>
            <w:r>
              <w:rPr>
                <w:color w:val="231F20"/>
                <w:spacing w:val="-32"/>
                <w:w w:val="105"/>
                <w:sz w:val="18"/>
              </w:rPr>
              <w:t> </w:t>
            </w:r>
            <w:r>
              <w:rPr>
                <w:color w:val="231F20"/>
                <w:w w:val="105"/>
                <w:sz w:val="18"/>
              </w:rPr>
              <w:t>:/</w:t>
            </w:r>
            <w:r>
              <w:rPr>
                <w:color w:val="231F20"/>
                <w:spacing w:val="-32"/>
                <w:w w:val="105"/>
                <w:sz w:val="18"/>
              </w:rPr>
              <w:t> </w:t>
            </w:r>
            <w:r>
              <w:rPr>
                <w:color w:val="231F20"/>
                <w:w w:val="105"/>
                <w:sz w:val="18"/>
              </w:rPr>
              <w:t>¿tú</w:t>
            </w:r>
            <w:r>
              <w:rPr>
                <w:color w:val="231F20"/>
                <w:spacing w:val="-32"/>
                <w:w w:val="105"/>
                <w:sz w:val="18"/>
              </w:rPr>
              <w:t> </w:t>
            </w:r>
            <w:r>
              <w:rPr>
                <w:color w:val="231F20"/>
                <w:spacing w:val="-3"/>
                <w:w w:val="105"/>
                <w:sz w:val="18"/>
              </w:rPr>
              <w:t>también</w:t>
            </w:r>
            <w:r>
              <w:rPr>
                <w:color w:val="231F20"/>
                <w:spacing w:val="-32"/>
                <w:w w:val="105"/>
                <w:sz w:val="18"/>
              </w:rPr>
              <w:t> </w:t>
            </w:r>
            <w:r>
              <w:rPr>
                <w:color w:val="231F20"/>
                <w:spacing w:val="-3"/>
                <w:w w:val="105"/>
                <w:sz w:val="18"/>
              </w:rPr>
              <w:t>tuvis- </w:t>
            </w:r>
            <w:r>
              <w:rPr>
                <w:color w:val="231F20"/>
                <w:w w:val="105"/>
                <w:sz w:val="18"/>
              </w:rPr>
              <w:t>te</w:t>
            </w:r>
            <w:r>
              <w:rPr>
                <w:color w:val="231F20"/>
                <w:spacing w:val="-17"/>
                <w:w w:val="105"/>
                <w:sz w:val="18"/>
              </w:rPr>
              <w:t> </w:t>
            </w:r>
            <w:r>
              <w:rPr>
                <w:color w:val="231F20"/>
                <w:w w:val="105"/>
                <w:sz w:val="18"/>
              </w:rPr>
              <w:t>un</w:t>
            </w:r>
            <w:r>
              <w:rPr>
                <w:color w:val="231F20"/>
                <w:spacing w:val="-17"/>
                <w:w w:val="105"/>
                <w:sz w:val="18"/>
              </w:rPr>
              <w:t> </w:t>
            </w:r>
            <w:r>
              <w:rPr>
                <w:color w:val="231F20"/>
                <w:w w:val="105"/>
                <w:sz w:val="18"/>
              </w:rPr>
              <w:t>mal</w:t>
            </w:r>
            <w:r>
              <w:rPr>
                <w:color w:val="231F20"/>
                <w:spacing w:val="-17"/>
                <w:w w:val="105"/>
                <w:sz w:val="18"/>
              </w:rPr>
              <w:t> </w:t>
            </w:r>
            <w:r>
              <w:rPr>
                <w:color w:val="231F20"/>
                <w:w w:val="105"/>
                <w:sz w:val="18"/>
              </w:rPr>
              <w:t>día?</w:t>
            </w:r>
          </w:p>
        </w:tc>
      </w:tr>
      <w:tr>
        <w:trPr>
          <w:trHeight w:val="988" w:hRule="exact"/>
        </w:trPr>
        <w:tc>
          <w:tcPr>
            <w:tcW w:w="456" w:type="dxa"/>
          </w:tcPr>
          <w:p>
            <w:pPr>
              <w:pStyle w:val="TableParagraph"/>
              <w:ind w:left="77"/>
              <w:rPr>
                <w:sz w:val="18"/>
              </w:rPr>
            </w:pPr>
            <w:r>
              <w:rPr>
                <w:color w:val="231F20"/>
                <w:w w:val="104"/>
                <w:sz w:val="18"/>
              </w:rPr>
              <w:t>6</w:t>
            </w:r>
          </w:p>
        </w:tc>
        <w:tc>
          <w:tcPr>
            <w:tcW w:w="2778" w:type="dxa"/>
          </w:tcPr>
          <w:p>
            <w:pPr>
              <w:pStyle w:val="TableParagraph"/>
              <w:spacing w:line="254" w:lineRule="auto"/>
              <w:ind w:left="77" w:right="72"/>
              <w:jc w:val="both"/>
              <w:rPr>
                <w:sz w:val="18"/>
              </w:rPr>
            </w:pPr>
            <w:r>
              <w:rPr>
                <w:color w:val="231F20"/>
                <w:w w:val="105"/>
                <w:sz w:val="18"/>
              </w:rPr>
              <w:t>Vania: Your </w:t>
            </w:r>
            <w:r>
              <w:rPr>
                <w:color w:val="231F20"/>
                <w:spacing w:val="2"/>
                <w:w w:val="105"/>
                <w:sz w:val="18"/>
              </w:rPr>
              <w:t>going </w:t>
            </w:r>
            <w:r>
              <w:rPr>
                <w:color w:val="231F20"/>
                <w:w w:val="105"/>
                <w:sz w:val="18"/>
              </w:rPr>
              <w:t>to be ok! </w:t>
            </w:r>
            <w:r>
              <w:rPr>
                <w:color w:val="231F20"/>
                <w:spacing w:val="3"/>
                <w:w w:val="105"/>
                <w:sz w:val="18"/>
              </w:rPr>
              <w:t>If   </w:t>
            </w:r>
            <w:r>
              <w:rPr>
                <w:color w:val="231F20"/>
                <w:w w:val="105"/>
                <w:sz w:val="18"/>
              </w:rPr>
              <w:t>u need anything u know u can count on us… &lt;3</w:t>
            </w:r>
            <w:r>
              <w:rPr>
                <w:color w:val="231F20"/>
                <w:spacing w:val="28"/>
                <w:w w:val="105"/>
                <w:sz w:val="18"/>
              </w:rPr>
              <w:t> </w:t>
            </w:r>
            <w:r>
              <w:rPr>
                <w:color w:val="231F20"/>
                <w:spacing w:val="-3"/>
                <w:w w:val="105"/>
                <w:sz w:val="18"/>
              </w:rPr>
              <w:t>Paloma!!!</w:t>
            </w:r>
          </w:p>
        </w:tc>
        <w:tc>
          <w:tcPr>
            <w:tcW w:w="2665" w:type="dxa"/>
          </w:tcPr>
          <w:p>
            <w:pPr>
              <w:pStyle w:val="TableParagraph"/>
              <w:spacing w:line="254" w:lineRule="auto"/>
              <w:ind w:left="77" w:right="73"/>
              <w:jc w:val="both"/>
              <w:rPr>
                <w:sz w:val="18"/>
              </w:rPr>
            </w:pPr>
            <w:r>
              <w:rPr>
                <w:color w:val="231F20"/>
                <w:sz w:val="18"/>
              </w:rPr>
              <w:t>¡Vas a estar bien! Si necesitas algo sabes que puedes contar con nosotros. [emoticono de corazón] ¡Paloma!</w:t>
            </w:r>
          </w:p>
        </w:tc>
      </w:tr>
      <w:tr>
        <w:trPr>
          <w:trHeight w:val="556" w:hRule="exact"/>
        </w:trPr>
        <w:tc>
          <w:tcPr>
            <w:tcW w:w="456" w:type="dxa"/>
          </w:tcPr>
          <w:p>
            <w:pPr>
              <w:pStyle w:val="TableParagraph"/>
              <w:ind w:left="77"/>
              <w:rPr>
                <w:sz w:val="18"/>
              </w:rPr>
            </w:pPr>
            <w:r>
              <w:rPr>
                <w:color w:val="231F20"/>
                <w:w w:val="104"/>
                <w:sz w:val="18"/>
              </w:rPr>
              <w:t>7</w:t>
            </w:r>
          </w:p>
        </w:tc>
        <w:tc>
          <w:tcPr>
            <w:tcW w:w="2778" w:type="dxa"/>
          </w:tcPr>
          <w:p>
            <w:pPr>
              <w:pStyle w:val="TableParagraph"/>
              <w:spacing w:line="254" w:lineRule="auto"/>
              <w:ind w:left="77" w:right="-4"/>
              <w:rPr>
                <w:sz w:val="18"/>
              </w:rPr>
            </w:pPr>
            <w:r>
              <w:rPr>
                <w:color w:val="231F20"/>
                <w:w w:val="105"/>
                <w:sz w:val="18"/>
              </w:rPr>
              <w:t>Olga: love you girl! Let me know if you need anything.</w:t>
            </w:r>
          </w:p>
        </w:tc>
        <w:tc>
          <w:tcPr>
            <w:tcW w:w="2665" w:type="dxa"/>
          </w:tcPr>
          <w:p>
            <w:pPr>
              <w:pStyle w:val="TableParagraph"/>
              <w:spacing w:line="254" w:lineRule="auto"/>
              <w:ind w:left="77" w:right="1"/>
              <w:rPr>
                <w:sz w:val="18"/>
              </w:rPr>
            </w:pPr>
            <w:r>
              <w:rPr>
                <w:color w:val="231F20"/>
                <w:sz w:val="18"/>
              </w:rPr>
              <w:t>¡Te quiero nena! Me avisas si necesitas algo.</w:t>
            </w:r>
          </w:p>
        </w:tc>
      </w:tr>
    </w:tbl>
    <w:p>
      <w:pPr>
        <w:spacing w:before="78"/>
        <w:ind w:left="2233" w:right="0" w:firstLine="0"/>
        <w:jc w:val="left"/>
        <w:rPr>
          <w:sz w:val="16"/>
        </w:rPr>
      </w:pPr>
      <w:r>
        <w:rPr>
          <w:color w:val="231F20"/>
          <w:sz w:val="16"/>
        </w:rPr>
        <w:t>Source:  Paloma’s Facebook.</w:t>
      </w:r>
    </w:p>
    <w:p>
      <w:pPr>
        <w:pStyle w:val="BodyText"/>
        <w:rPr>
          <w:sz w:val="16"/>
        </w:rPr>
      </w:pPr>
    </w:p>
    <w:p>
      <w:pPr>
        <w:pStyle w:val="BodyText"/>
        <w:spacing w:line="261" w:lineRule="auto" w:before="111"/>
        <w:ind w:left="1723" w:right="1834"/>
        <w:jc w:val="both"/>
      </w:pPr>
      <w:r>
        <w:rPr>
          <w:color w:val="231F20"/>
          <w:spacing w:val="-4"/>
          <w:w w:val="105"/>
        </w:rPr>
        <w:t>Paloma’s</w:t>
      </w:r>
      <w:r>
        <w:rPr>
          <w:color w:val="231F20"/>
          <w:spacing w:val="-37"/>
          <w:w w:val="105"/>
        </w:rPr>
        <w:t> </w:t>
      </w:r>
      <w:r>
        <w:rPr>
          <w:color w:val="231F20"/>
          <w:w w:val="105"/>
        </w:rPr>
        <w:t>cousins,</w:t>
      </w:r>
      <w:r>
        <w:rPr>
          <w:color w:val="231F20"/>
          <w:spacing w:val="-40"/>
          <w:w w:val="105"/>
        </w:rPr>
        <w:t> </w:t>
      </w:r>
      <w:r>
        <w:rPr>
          <w:color w:val="231F20"/>
          <w:spacing w:val="-3"/>
          <w:w w:val="105"/>
        </w:rPr>
        <w:t>Fanny</w:t>
      </w:r>
      <w:r>
        <w:rPr>
          <w:color w:val="231F20"/>
          <w:spacing w:val="-37"/>
          <w:w w:val="105"/>
        </w:rPr>
        <w:t> </w:t>
      </w:r>
      <w:r>
        <w:rPr>
          <w:color w:val="231F20"/>
          <w:w w:val="105"/>
        </w:rPr>
        <w:t>and</w:t>
      </w:r>
      <w:r>
        <w:rPr>
          <w:color w:val="231F20"/>
          <w:spacing w:val="-37"/>
          <w:w w:val="105"/>
        </w:rPr>
        <w:t> </w:t>
      </w:r>
      <w:r>
        <w:rPr>
          <w:color w:val="231F20"/>
          <w:w w:val="105"/>
        </w:rPr>
        <w:t>Cosme,</w:t>
      </w:r>
      <w:r>
        <w:rPr>
          <w:color w:val="231F20"/>
          <w:spacing w:val="-40"/>
          <w:w w:val="105"/>
        </w:rPr>
        <w:t> </w:t>
      </w:r>
      <w:r>
        <w:rPr>
          <w:color w:val="231F20"/>
          <w:w w:val="105"/>
        </w:rPr>
        <w:t>who</w:t>
      </w:r>
      <w:r>
        <w:rPr>
          <w:color w:val="231F20"/>
          <w:spacing w:val="-37"/>
          <w:w w:val="105"/>
        </w:rPr>
        <w:t> </w:t>
      </w:r>
      <w:r>
        <w:rPr>
          <w:color w:val="231F20"/>
          <w:w w:val="105"/>
        </w:rPr>
        <w:t>had</w:t>
      </w:r>
      <w:r>
        <w:rPr>
          <w:color w:val="231F20"/>
          <w:spacing w:val="-37"/>
          <w:w w:val="105"/>
        </w:rPr>
        <w:t> </w:t>
      </w:r>
      <w:r>
        <w:rPr>
          <w:color w:val="231F20"/>
          <w:w w:val="105"/>
        </w:rPr>
        <w:t>had</w:t>
      </w:r>
      <w:r>
        <w:rPr>
          <w:color w:val="231F20"/>
          <w:spacing w:val="-37"/>
          <w:w w:val="105"/>
        </w:rPr>
        <w:t> </w:t>
      </w:r>
      <w:r>
        <w:rPr>
          <w:color w:val="231F20"/>
          <w:w w:val="105"/>
        </w:rPr>
        <w:t>similar</w:t>
      </w:r>
      <w:r>
        <w:rPr>
          <w:color w:val="231F20"/>
          <w:spacing w:val="-37"/>
          <w:w w:val="105"/>
        </w:rPr>
        <w:t> </w:t>
      </w:r>
      <w:r>
        <w:rPr>
          <w:color w:val="231F20"/>
          <w:w w:val="105"/>
        </w:rPr>
        <w:t>experiences</w:t>
      </w:r>
      <w:r>
        <w:rPr>
          <w:color w:val="231F20"/>
          <w:spacing w:val="-37"/>
          <w:w w:val="105"/>
        </w:rPr>
        <w:t> </w:t>
      </w:r>
      <w:r>
        <w:rPr>
          <w:color w:val="231F20"/>
          <w:w w:val="105"/>
        </w:rPr>
        <w:t>en- courage</w:t>
      </w:r>
      <w:r>
        <w:rPr>
          <w:color w:val="231F20"/>
          <w:spacing w:val="-15"/>
          <w:w w:val="105"/>
        </w:rPr>
        <w:t> </w:t>
      </w:r>
      <w:r>
        <w:rPr>
          <w:color w:val="231F20"/>
          <w:spacing w:val="-3"/>
          <w:w w:val="105"/>
        </w:rPr>
        <w:t>her,</w:t>
      </w:r>
      <w:r>
        <w:rPr>
          <w:color w:val="231F20"/>
          <w:spacing w:val="-21"/>
          <w:w w:val="105"/>
        </w:rPr>
        <w:t> </w:t>
      </w:r>
      <w:r>
        <w:rPr>
          <w:color w:val="231F20"/>
          <w:w w:val="105"/>
        </w:rPr>
        <w:t>as</w:t>
      </w:r>
      <w:r>
        <w:rPr>
          <w:color w:val="231F20"/>
          <w:spacing w:val="-15"/>
          <w:w w:val="105"/>
        </w:rPr>
        <w:t> </w:t>
      </w:r>
      <w:r>
        <w:rPr>
          <w:color w:val="231F20"/>
          <w:w w:val="105"/>
        </w:rPr>
        <w:t>do</w:t>
      </w:r>
      <w:r>
        <w:rPr>
          <w:color w:val="231F20"/>
          <w:spacing w:val="-15"/>
          <w:w w:val="105"/>
        </w:rPr>
        <w:t> </w:t>
      </w:r>
      <w:r>
        <w:rPr>
          <w:color w:val="231F20"/>
          <w:w w:val="105"/>
        </w:rPr>
        <w:t>two</w:t>
      </w:r>
      <w:r>
        <w:rPr>
          <w:color w:val="231F20"/>
          <w:spacing w:val="-15"/>
          <w:w w:val="105"/>
        </w:rPr>
        <w:t> </w:t>
      </w:r>
      <w:r>
        <w:rPr>
          <w:color w:val="231F20"/>
          <w:w w:val="105"/>
        </w:rPr>
        <w:t>of</w:t>
      </w:r>
      <w:r>
        <w:rPr>
          <w:color w:val="231F20"/>
          <w:spacing w:val="-11"/>
          <w:w w:val="105"/>
        </w:rPr>
        <w:t> </w:t>
      </w:r>
      <w:r>
        <w:rPr>
          <w:color w:val="231F20"/>
          <w:w w:val="105"/>
        </w:rPr>
        <w:t>her</w:t>
      </w:r>
      <w:r>
        <w:rPr>
          <w:color w:val="231F20"/>
          <w:spacing w:val="-15"/>
          <w:w w:val="105"/>
        </w:rPr>
        <w:t> </w:t>
      </w:r>
      <w:r>
        <w:rPr>
          <w:color w:val="231F20"/>
          <w:w w:val="105"/>
        </w:rPr>
        <w:t>aunts</w:t>
      </w:r>
      <w:r>
        <w:rPr>
          <w:color w:val="231F20"/>
          <w:spacing w:val="-19"/>
          <w:w w:val="105"/>
        </w:rPr>
        <w:t> </w:t>
      </w:r>
      <w:r>
        <w:rPr>
          <w:color w:val="231F20"/>
          <w:w w:val="105"/>
        </w:rPr>
        <w:t>Vania</w:t>
      </w:r>
      <w:r>
        <w:rPr>
          <w:color w:val="231F20"/>
          <w:spacing w:val="-15"/>
          <w:w w:val="105"/>
        </w:rPr>
        <w:t> </w:t>
      </w:r>
      <w:r>
        <w:rPr>
          <w:color w:val="231F20"/>
          <w:w w:val="105"/>
        </w:rPr>
        <w:t>and</w:t>
      </w:r>
      <w:r>
        <w:rPr>
          <w:color w:val="231F20"/>
          <w:spacing w:val="-15"/>
          <w:w w:val="105"/>
        </w:rPr>
        <w:t> </w:t>
      </w:r>
      <w:r>
        <w:rPr>
          <w:color w:val="231F20"/>
          <w:w w:val="105"/>
        </w:rPr>
        <w:t>Olga,</w:t>
      </w:r>
      <w:r>
        <w:rPr>
          <w:color w:val="231F20"/>
          <w:spacing w:val="-21"/>
          <w:w w:val="105"/>
        </w:rPr>
        <w:t> </w:t>
      </w:r>
      <w:r>
        <w:rPr>
          <w:color w:val="231F20"/>
          <w:w w:val="105"/>
        </w:rPr>
        <w:t>whose</w:t>
      </w:r>
      <w:r>
        <w:rPr>
          <w:color w:val="231F20"/>
          <w:spacing w:val="-15"/>
          <w:w w:val="105"/>
        </w:rPr>
        <w:t> </w:t>
      </w:r>
      <w:r>
        <w:rPr>
          <w:color w:val="231F20"/>
          <w:w w:val="105"/>
        </w:rPr>
        <w:t>families</w:t>
      </w:r>
      <w:r>
        <w:rPr>
          <w:color w:val="231F20"/>
          <w:spacing w:val="-15"/>
          <w:w w:val="105"/>
        </w:rPr>
        <w:t> </w:t>
      </w:r>
      <w:r>
        <w:rPr>
          <w:color w:val="231F20"/>
          <w:w w:val="105"/>
        </w:rPr>
        <w:t>were fragmented</w:t>
      </w:r>
      <w:r>
        <w:rPr>
          <w:color w:val="231F20"/>
          <w:spacing w:val="-13"/>
          <w:w w:val="105"/>
        </w:rPr>
        <w:t> </w:t>
      </w:r>
      <w:r>
        <w:rPr>
          <w:color w:val="231F20"/>
          <w:w w:val="105"/>
        </w:rPr>
        <w:t>during</w:t>
      </w:r>
      <w:r>
        <w:rPr>
          <w:color w:val="231F20"/>
          <w:spacing w:val="-13"/>
          <w:w w:val="105"/>
        </w:rPr>
        <w:t> </w:t>
      </w:r>
      <w:r>
        <w:rPr>
          <w:color w:val="231F20"/>
          <w:w w:val="105"/>
        </w:rPr>
        <w:t>their</w:t>
      </w:r>
      <w:r>
        <w:rPr>
          <w:color w:val="231F20"/>
          <w:spacing w:val="-13"/>
          <w:w w:val="105"/>
        </w:rPr>
        <w:t> </w:t>
      </w:r>
      <w:r>
        <w:rPr>
          <w:color w:val="231F20"/>
          <w:w w:val="105"/>
        </w:rPr>
        <w:t>childhood</w:t>
      </w:r>
      <w:r>
        <w:rPr>
          <w:color w:val="231F20"/>
          <w:spacing w:val="-13"/>
          <w:w w:val="105"/>
        </w:rPr>
        <w:t> </w:t>
      </w:r>
      <w:r>
        <w:rPr>
          <w:color w:val="231F20"/>
          <w:w w:val="105"/>
        </w:rPr>
        <w:t>in</w:t>
      </w:r>
      <w:r>
        <w:rPr>
          <w:color w:val="231F20"/>
          <w:spacing w:val="-13"/>
          <w:w w:val="105"/>
        </w:rPr>
        <w:t> </w:t>
      </w:r>
      <w:r>
        <w:rPr>
          <w:color w:val="231F20"/>
          <w:w w:val="105"/>
        </w:rPr>
        <w:t>similar</w:t>
      </w:r>
      <w:r>
        <w:rPr>
          <w:color w:val="231F20"/>
          <w:spacing w:val="-13"/>
          <w:w w:val="105"/>
        </w:rPr>
        <w:t> </w:t>
      </w:r>
      <w:r>
        <w:rPr>
          <w:color w:val="231F20"/>
          <w:w w:val="105"/>
        </w:rPr>
        <w:t>ways.</w:t>
      </w:r>
      <w:r>
        <w:rPr>
          <w:color w:val="231F20"/>
          <w:spacing w:val="-25"/>
          <w:w w:val="105"/>
        </w:rPr>
        <w:t> </w:t>
      </w:r>
      <w:r>
        <w:rPr>
          <w:color w:val="231F20"/>
          <w:w w:val="105"/>
        </w:rPr>
        <w:t>At</w:t>
      </w:r>
      <w:r>
        <w:rPr>
          <w:color w:val="231F20"/>
          <w:spacing w:val="-13"/>
          <w:w w:val="105"/>
        </w:rPr>
        <w:t> </w:t>
      </w:r>
      <w:r>
        <w:rPr>
          <w:color w:val="231F20"/>
          <w:w w:val="105"/>
        </w:rPr>
        <w:t>the</w:t>
      </w:r>
      <w:r>
        <w:rPr>
          <w:color w:val="231F20"/>
          <w:spacing w:val="-13"/>
          <w:w w:val="105"/>
        </w:rPr>
        <w:t> </w:t>
      </w:r>
      <w:r>
        <w:rPr>
          <w:color w:val="231F20"/>
          <w:w w:val="105"/>
        </w:rPr>
        <w:t>time</w:t>
      </w:r>
      <w:r>
        <w:rPr>
          <w:color w:val="231F20"/>
          <w:spacing w:val="-13"/>
          <w:w w:val="105"/>
        </w:rPr>
        <w:t> </w:t>
      </w:r>
      <w:r>
        <w:rPr>
          <w:color w:val="231F20"/>
          <w:w w:val="105"/>
        </w:rPr>
        <w:t>of</w:t>
      </w:r>
      <w:r>
        <w:rPr>
          <w:color w:val="231F20"/>
          <w:spacing w:val="-8"/>
          <w:w w:val="105"/>
        </w:rPr>
        <w:t> </w:t>
      </w:r>
      <w:r>
        <w:rPr>
          <w:color w:val="231F20"/>
          <w:w w:val="105"/>
        </w:rPr>
        <w:t>this</w:t>
      </w:r>
      <w:r>
        <w:rPr>
          <w:color w:val="231F20"/>
          <w:spacing w:val="-13"/>
          <w:w w:val="105"/>
        </w:rPr>
        <w:t> </w:t>
      </w:r>
      <w:r>
        <w:rPr>
          <w:color w:val="231F20"/>
          <w:w w:val="105"/>
        </w:rPr>
        <w:t>con- versation</w:t>
      </w:r>
      <w:r>
        <w:rPr>
          <w:color w:val="231F20"/>
          <w:spacing w:val="-10"/>
          <w:w w:val="105"/>
        </w:rPr>
        <w:t> </w:t>
      </w:r>
      <w:r>
        <w:rPr>
          <w:color w:val="231F20"/>
          <w:w w:val="105"/>
        </w:rPr>
        <w:t>Cosme</w:t>
      </w:r>
      <w:r>
        <w:rPr>
          <w:color w:val="231F20"/>
          <w:spacing w:val="-10"/>
          <w:w w:val="105"/>
        </w:rPr>
        <w:t> </w:t>
      </w:r>
      <w:r>
        <w:rPr>
          <w:color w:val="231F20"/>
          <w:w w:val="105"/>
        </w:rPr>
        <w:t>is</w:t>
      </w:r>
      <w:r>
        <w:rPr>
          <w:color w:val="231F20"/>
          <w:spacing w:val="-10"/>
          <w:w w:val="105"/>
        </w:rPr>
        <w:t> </w:t>
      </w:r>
      <w:r>
        <w:rPr>
          <w:color w:val="231F20"/>
          <w:w w:val="105"/>
        </w:rPr>
        <w:t>in</w:t>
      </w:r>
      <w:r>
        <w:rPr>
          <w:color w:val="231F20"/>
          <w:spacing w:val="-10"/>
          <w:w w:val="105"/>
        </w:rPr>
        <w:t> </w:t>
      </w:r>
      <w:r>
        <w:rPr>
          <w:color w:val="231F20"/>
          <w:w w:val="105"/>
        </w:rPr>
        <w:t>Chicago;</w:t>
      </w:r>
      <w:r>
        <w:rPr>
          <w:color w:val="231F20"/>
          <w:spacing w:val="-10"/>
          <w:w w:val="105"/>
        </w:rPr>
        <w:t> </w:t>
      </w:r>
      <w:r>
        <w:rPr>
          <w:color w:val="231F20"/>
          <w:w w:val="105"/>
        </w:rPr>
        <w:t>however,</w:t>
      </w:r>
      <w:r>
        <w:rPr>
          <w:color w:val="231F20"/>
          <w:spacing w:val="-16"/>
          <w:w w:val="105"/>
        </w:rPr>
        <w:t> </w:t>
      </w:r>
      <w:r>
        <w:rPr>
          <w:color w:val="231F20"/>
          <w:w w:val="105"/>
        </w:rPr>
        <w:t>it</w:t>
      </w:r>
      <w:r>
        <w:rPr>
          <w:color w:val="231F20"/>
          <w:spacing w:val="-10"/>
          <w:w w:val="105"/>
        </w:rPr>
        <w:t> </w:t>
      </w:r>
      <w:r>
        <w:rPr>
          <w:color w:val="231F20"/>
          <w:w w:val="105"/>
        </w:rPr>
        <w:t>is</w:t>
      </w:r>
      <w:r>
        <w:rPr>
          <w:color w:val="231F20"/>
          <w:spacing w:val="-10"/>
          <w:w w:val="105"/>
        </w:rPr>
        <w:t> </w:t>
      </w:r>
      <w:r>
        <w:rPr>
          <w:color w:val="231F20"/>
          <w:w w:val="105"/>
        </w:rPr>
        <w:t>worth</w:t>
      </w:r>
      <w:r>
        <w:rPr>
          <w:color w:val="231F20"/>
          <w:spacing w:val="-10"/>
          <w:w w:val="105"/>
        </w:rPr>
        <w:t> </w:t>
      </w:r>
      <w:r>
        <w:rPr>
          <w:color w:val="231F20"/>
          <w:w w:val="105"/>
        </w:rPr>
        <w:t>noting</w:t>
      </w:r>
      <w:r>
        <w:rPr>
          <w:color w:val="231F20"/>
          <w:spacing w:val="-10"/>
          <w:w w:val="105"/>
        </w:rPr>
        <w:t> </w:t>
      </w:r>
      <w:r>
        <w:rPr>
          <w:color w:val="231F20"/>
          <w:w w:val="105"/>
        </w:rPr>
        <w:t>that</w:t>
      </w:r>
      <w:r>
        <w:rPr>
          <w:color w:val="231F20"/>
          <w:spacing w:val="-10"/>
          <w:w w:val="105"/>
        </w:rPr>
        <w:t> </w:t>
      </w:r>
      <w:r>
        <w:rPr>
          <w:color w:val="231F20"/>
          <w:w w:val="105"/>
        </w:rPr>
        <w:t>Cosme</w:t>
      </w:r>
      <w:r>
        <w:rPr>
          <w:color w:val="231F20"/>
          <w:spacing w:val="-10"/>
          <w:w w:val="105"/>
        </w:rPr>
        <w:t> </w:t>
      </w:r>
      <w:r>
        <w:rPr>
          <w:color w:val="231F20"/>
          <w:w w:val="105"/>
        </w:rPr>
        <w:t>is the only member of his nuclear family to live in Chicago at the time of the</w:t>
      </w:r>
      <w:r>
        <w:rPr>
          <w:color w:val="231F20"/>
          <w:spacing w:val="-18"/>
          <w:w w:val="105"/>
        </w:rPr>
        <w:t> </w:t>
      </w:r>
      <w:r>
        <w:rPr>
          <w:color w:val="231F20"/>
          <w:w w:val="105"/>
        </w:rPr>
        <w:t>study.</w:t>
      </w:r>
      <w:r>
        <w:rPr>
          <w:color w:val="231F20"/>
          <w:spacing w:val="-23"/>
          <w:w w:val="105"/>
        </w:rPr>
        <w:t> </w:t>
      </w:r>
      <w:r>
        <w:rPr>
          <w:color w:val="231F20"/>
          <w:w w:val="105"/>
        </w:rPr>
        <w:t>In</w:t>
      </w:r>
      <w:r>
        <w:rPr>
          <w:color w:val="231F20"/>
          <w:spacing w:val="-18"/>
          <w:w w:val="105"/>
        </w:rPr>
        <w:t> </w:t>
      </w:r>
      <w:r>
        <w:rPr>
          <w:color w:val="231F20"/>
          <w:w w:val="105"/>
        </w:rPr>
        <w:t>her</w:t>
      </w:r>
      <w:r>
        <w:rPr>
          <w:color w:val="231F20"/>
          <w:spacing w:val="-18"/>
          <w:w w:val="105"/>
        </w:rPr>
        <w:t> </w:t>
      </w:r>
      <w:r>
        <w:rPr>
          <w:color w:val="231F20"/>
          <w:w w:val="105"/>
        </w:rPr>
        <w:t>case</w:t>
      </w:r>
      <w:r>
        <w:rPr>
          <w:color w:val="231F20"/>
          <w:spacing w:val="-18"/>
          <w:w w:val="105"/>
        </w:rPr>
        <w:t> </w:t>
      </w:r>
      <w:r>
        <w:rPr>
          <w:color w:val="231F20"/>
          <w:w w:val="105"/>
        </w:rPr>
        <w:t>Olga</w:t>
      </w:r>
      <w:r>
        <w:rPr>
          <w:color w:val="231F20"/>
          <w:spacing w:val="-18"/>
          <w:w w:val="105"/>
        </w:rPr>
        <w:t> </w:t>
      </w:r>
      <w:r>
        <w:rPr>
          <w:color w:val="231F20"/>
          <w:w w:val="105"/>
        </w:rPr>
        <w:t>usually</w:t>
      </w:r>
      <w:r>
        <w:rPr>
          <w:color w:val="231F20"/>
          <w:spacing w:val="-18"/>
          <w:w w:val="105"/>
        </w:rPr>
        <w:t> </w:t>
      </w:r>
      <w:r>
        <w:rPr>
          <w:color w:val="231F20"/>
          <w:w w:val="105"/>
        </w:rPr>
        <w:t>spends</w:t>
      </w:r>
      <w:r>
        <w:rPr>
          <w:color w:val="231F20"/>
          <w:spacing w:val="-18"/>
          <w:w w:val="105"/>
        </w:rPr>
        <w:t> </w:t>
      </w:r>
      <w:r>
        <w:rPr>
          <w:color w:val="231F20"/>
          <w:w w:val="105"/>
        </w:rPr>
        <w:t>most</w:t>
      </w:r>
      <w:r>
        <w:rPr>
          <w:color w:val="231F20"/>
          <w:spacing w:val="-18"/>
          <w:w w:val="105"/>
        </w:rPr>
        <w:t> </w:t>
      </w:r>
      <w:r>
        <w:rPr>
          <w:color w:val="231F20"/>
          <w:w w:val="105"/>
        </w:rPr>
        <w:t>of</w:t>
      </w:r>
      <w:r>
        <w:rPr>
          <w:color w:val="231F20"/>
          <w:spacing w:val="-14"/>
          <w:w w:val="105"/>
        </w:rPr>
        <w:t> </w:t>
      </w:r>
      <w:r>
        <w:rPr>
          <w:color w:val="231F20"/>
          <w:w w:val="105"/>
        </w:rPr>
        <w:t>the</w:t>
      </w:r>
      <w:r>
        <w:rPr>
          <w:color w:val="231F20"/>
          <w:spacing w:val="-18"/>
          <w:w w:val="105"/>
        </w:rPr>
        <w:t> </w:t>
      </w:r>
      <w:r>
        <w:rPr>
          <w:color w:val="231F20"/>
          <w:w w:val="105"/>
        </w:rPr>
        <w:t>time</w:t>
      </w:r>
      <w:r>
        <w:rPr>
          <w:color w:val="231F20"/>
          <w:spacing w:val="-18"/>
          <w:w w:val="105"/>
        </w:rPr>
        <w:t> </w:t>
      </w:r>
      <w:r>
        <w:rPr>
          <w:color w:val="231F20"/>
          <w:w w:val="105"/>
        </w:rPr>
        <w:t>in</w:t>
      </w:r>
      <w:r>
        <w:rPr>
          <w:color w:val="231F20"/>
          <w:spacing w:val="-18"/>
          <w:w w:val="105"/>
        </w:rPr>
        <w:t> </w:t>
      </w:r>
      <w:r>
        <w:rPr>
          <w:color w:val="231F20"/>
          <w:w w:val="105"/>
        </w:rPr>
        <w:t>Chicago</w:t>
      </w:r>
      <w:r>
        <w:rPr>
          <w:color w:val="231F20"/>
          <w:spacing w:val="-18"/>
          <w:w w:val="105"/>
        </w:rPr>
        <w:t> </w:t>
      </w:r>
      <w:r>
        <w:rPr>
          <w:color w:val="231F20"/>
          <w:w w:val="105"/>
        </w:rPr>
        <w:t>as well,</w:t>
      </w:r>
      <w:r>
        <w:rPr>
          <w:color w:val="231F20"/>
          <w:spacing w:val="-22"/>
          <w:w w:val="105"/>
        </w:rPr>
        <w:t> </w:t>
      </w:r>
      <w:r>
        <w:rPr>
          <w:color w:val="231F20"/>
          <w:w w:val="105"/>
        </w:rPr>
        <w:t>but</w:t>
      </w:r>
      <w:r>
        <w:rPr>
          <w:color w:val="231F20"/>
          <w:spacing w:val="-15"/>
          <w:w w:val="105"/>
        </w:rPr>
        <w:t> </w:t>
      </w:r>
      <w:r>
        <w:rPr>
          <w:color w:val="231F20"/>
          <w:w w:val="105"/>
        </w:rPr>
        <w:t>at</w:t>
      </w:r>
      <w:r>
        <w:rPr>
          <w:color w:val="231F20"/>
          <w:spacing w:val="-15"/>
          <w:w w:val="105"/>
        </w:rPr>
        <w:t> </w:t>
      </w:r>
      <w:r>
        <w:rPr>
          <w:color w:val="231F20"/>
          <w:w w:val="105"/>
        </w:rPr>
        <w:t>the</w:t>
      </w:r>
      <w:r>
        <w:rPr>
          <w:color w:val="231F20"/>
          <w:spacing w:val="-15"/>
          <w:w w:val="105"/>
        </w:rPr>
        <w:t> </w:t>
      </w:r>
      <w:r>
        <w:rPr>
          <w:color w:val="231F20"/>
          <w:w w:val="105"/>
        </w:rPr>
        <w:t>time</w:t>
      </w:r>
      <w:r>
        <w:rPr>
          <w:color w:val="231F20"/>
          <w:spacing w:val="-15"/>
          <w:w w:val="105"/>
        </w:rPr>
        <w:t> </w:t>
      </w:r>
      <w:r>
        <w:rPr>
          <w:color w:val="231F20"/>
          <w:w w:val="105"/>
        </w:rPr>
        <w:t>of</w:t>
      </w:r>
      <w:r>
        <w:rPr>
          <w:color w:val="231F20"/>
          <w:spacing w:val="-10"/>
          <w:w w:val="105"/>
        </w:rPr>
        <w:t> </w:t>
      </w:r>
      <w:r>
        <w:rPr>
          <w:color w:val="231F20"/>
          <w:w w:val="105"/>
        </w:rPr>
        <w:t>the</w:t>
      </w:r>
      <w:r>
        <w:rPr>
          <w:color w:val="231F20"/>
          <w:spacing w:val="-15"/>
          <w:w w:val="105"/>
        </w:rPr>
        <w:t> </w:t>
      </w:r>
      <w:r>
        <w:rPr>
          <w:color w:val="231F20"/>
          <w:w w:val="105"/>
        </w:rPr>
        <w:t>post,</w:t>
      </w:r>
      <w:r>
        <w:rPr>
          <w:color w:val="231F20"/>
          <w:spacing w:val="-22"/>
          <w:w w:val="105"/>
        </w:rPr>
        <w:t> </w:t>
      </w:r>
      <w:r>
        <w:rPr>
          <w:color w:val="231F20"/>
          <w:w w:val="105"/>
        </w:rPr>
        <w:t>she</w:t>
      </w:r>
      <w:r>
        <w:rPr>
          <w:color w:val="231F20"/>
          <w:spacing w:val="-15"/>
          <w:w w:val="105"/>
        </w:rPr>
        <w:t> </w:t>
      </w:r>
      <w:r>
        <w:rPr>
          <w:color w:val="231F20"/>
          <w:w w:val="105"/>
        </w:rPr>
        <w:t>is</w:t>
      </w:r>
      <w:r>
        <w:rPr>
          <w:color w:val="231F20"/>
          <w:spacing w:val="-15"/>
          <w:w w:val="105"/>
        </w:rPr>
        <w:t> </w:t>
      </w:r>
      <w:r>
        <w:rPr>
          <w:color w:val="231F20"/>
          <w:w w:val="105"/>
        </w:rPr>
        <w:t>in</w:t>
      </w:r>
      <w:r>
        <w:rPr>
          <w:color w:val="231F20"/>
          <w:spacing w:val="-15"/>
          <w:w w:val="105"/>
        </w:rPr>
        <w:t> </w:t>
      </w:r>
      <w:r>
        <w:rPr>
          <w:color w:val="231F20"/>
          <w:w w:val="105"/>
        </w:rPr>
        <w:t>Mexico.</w:t>
      </w:r>
      <w:r>
        <w:rPr>
          <w:color w:val="231F20"/>
          <w:spacing w:val="-22"/>
          <w:w w:val="105"/>
        </w:rPr>
        <w:t> </w:t>
      </w:r>
      <w:r>
        <w:rPr>
          <w:color w:val="231F20"/>
          <w:w w:val="105"/>
        </w:rPr>
        <w:t>Members</w:t>
      </w:r>
      <w:r>
        <w:rPr>
          <w:color w:val="231F20"/>
          <w:spacing w:val="-15"/>
          <w:w w:val="105"/>
        </w:rPr>
        <w:t> </w:t>
      </w:r>
      <w:r>
        <w:rPr>
          <w:color w:val="231F20"/>
          <w:w w:val="105"/>
        </w:rPr>
        <w:t>of</w:t>
      </w:r>
      <w:r>
        <w:rPr>
          <w:color w:val="231F20"/>
          <w:spacing w:val="-10"/>
          <w:w w:val="105"/>
        </w:rPr>
        <w:t> </w:t>
      </w:r>
      <w:r>
        <w:rPr>
          <w:color w:val="231F20"/>
          <w:w w:val="105"/>
        </w:rPr>
        <w:t>the</w:t>
      </w:r>
      <w:r>
        <w:rPr>
          <w:color w:val="231F20"/>
          <w:spacing w:val="-15"/>
          <w:w w:val="105"/>
        </w:rPr>
        <w:t> </w:t>
      </w:r>
      <w:r>
        <w:rPr>
          <w:color w:val="231F20"/>
          <w:w w:val="105"/>
        </w:rPr>
        <w:t>newtork are</w:t>
      </w:r>
      <w:r>
        <w:rPr>
          <w:color w:val="231F20"/>
          <w:spacing w:val="-5"/>
          <w:w w:val="105"/>
        </w:rPr>
        <w:t> </w:t>
      </w:r>
      <w:r>
        <w:rPr>
          <w:color w:val="231F20"/>
          <w:w w:val="105"/>
        </w:rPr>
        <w:t>able</w:t>
      </w:r>
      <w:r>
        <w:rPr>
          <w:color w:val="231F20"/>
          <w:spacing w:val="-5"/>
          <w:w w:val="105"/>
        </w:rPr>
        <w:t> </w:t>
      </w:r>
      <w:r>
        <w:rPr>
          <w:color w:val="231F20"/>
          <w:w w:val="105"/>
        </w:rPr>
        <w:t>to</w:t>
      </w:r>
      <w:r>
        <w:rPr>
          <w:color w:val="231F20"/>
          <w:spacing w:val="-5"/>
          <w:w w:val="105"/>
        </w:rPr>
        <w:t> </w:t>
      </w:r>
      <w:r>
        <w:rPr>
          <w:color w:val="231F20"/>
          <w:w w:val="105"/>
        </w:rPr>
        <w:t>show</w:t>
      </w:r>
      <w:r>
        <w:rPr>
          <w:color w:val="231F20"/>
          <w:spacing w:val="-5"/>
          <w:w w:val="105"/>
        </w:rPr>
        <w:t> </w:t>
      </w:r>
      <w:r>
        <w:rPr>
          <w:color w:val="231F20"/>
          <w:w w:val="105"/>
        </w:rPr>
        <w:t>support</w:t>
      </w:r>
      <w:r>
        <w:rPr>
          <w:color w:val="231F20"/>
          <w:spacing w:val="-5"/>
          <w:w w:val="105"/>
        </w:rPr>
        <w:t> </w:t>
      </w:r>
      <w:r>
        <w:rPr>
          <w:color w:val="231F20"/>
          <w:w w:val="105"/>
        </w:rPr>
        <w:t>on</w:t>
      </w:r>
      <w:r>
        <w:rPr>
          <w:color w:val="231F20"/>
          <w:spacing w:val="-5"/>
          <w:w w:val="105"/>
        </w:rPr>
        <w:t> </w:t>
      </w:r>
      <w:r>
        <w:rPr>
          <w:color w:val="231F20"/>
          <w:w w:val="105"/>
        </w:rPr>
        <w:t>Facebook,</w:t>
      </w:r>
      <w:r>
        <w:rPr>
          <w:color w:val="231F20"/>
          <w:spacing w:val="-11"/>
          <w:w w:val="105"/>
        </w:rPr>
        <w:t> </w:t>
      </w:r>
      <w:r>
        <w:rPr>
          <w:color w:val="231F20"/>
          <w:w w:val="105"/>
        </w:rPr>
        <w:t>fullfilling</w:t>
      </w:r>
      <w:r>
        <w:rPr>
          <w:color w:val="231F20"/>
          <w:spacing w:val="-5"/>
          <w:w w:val="105"/>
        </w:rPr>
        <w:t> </w:t>
      </w:r>
      <w:r>
        <w:rPr>
          <w:color w:val="231F20"/>
          <w:w w:val="105"/>
        </w:rPr>
        <w:t>a</w:t>
      </w:r>
      <w:r>
        <w:rPr>
          <w:color w:val="231F20"/>
          <w:spacing w:val="-5"/>
          <w:w w:val="105"/>
        </w:rPr>
        <w:t> </w:t>
      </w:r>
      <w:r>
        <w:rPr>
          <w:color w:val="231F20"/>
          <w:w w:val="105"/>
        </w:rPr>
        <w:t>family</w:t>
      </w:r>
      <w:r>
        <w:rPr>
          <w:color w:val="231F20"/>
          <w:spacing w:val="-5"/>
          <w:w w:val="105"/>
        </w:rPr>
        <w:t> </w:t>
      </w:r>
      <w:r>
        <w:rPr>
          <w:color w:val="231F20"/>
          <w:w w:val="105"/>
        </w:rPr>
        <w:t>role</w:t>
      </w:r>
      <w:r>
        <w:rPr>
          <w:color w:val="231F20"/>
          <w:spacing w:val="-5"/>
          <w:w w:val="105"/>
        </w:rPr>
        <w:t> </w:t>
      </w:r>
      <w:r>
        <w:rPr>
          <w:color w:val="231F20"/>
          <w:w w:val="105"/>
        </w:rPr>
        <w:t>to</w:t>
      </w:r>
      <w:r>
        <w:rPr>
          <w:color w:val="231F20"/>
          <w:spacing w:val="-5"/>
          <w:w w:val="105"/>
        </w:rPr>
        <w:t> </w:t>
      </w:r>
      <w:r>
        <w:rPr>
          <w:color w:val="231F20"/>
          <w:w w:val="105"/>
        </w:rPr>
        <w:t>keep</w:t>
      </w:r>
      <w:r>
        <w:rPr>
          <w:color w:val="231F20"/>
          <w:spacing w:val="-5"/>
          <w:w w:val="105"/>
        </w:rPr>
        <w:t> </w:t>
      </w:r>
      <w:r>
        <w:rPr>
          <w:color w:val="231F20"/>
          <w:w w:val="105"/>
        </w:rPr>
        <w:t>an eye on </w:t>
      </w:r>
      <w:r>
        <w:rPr>
          <w:color w:val="231F20"/>
          <w:spacing w:val="-3"/>
          <w:w w:val="105"/>
        </w:rPr>
        <w:t>Paloma </w:t>
      </w:r>
      <w:r>
        <w:rPr>
          <w:color w:val="231F20"/>
          <w:w w:val="105"/>
        </w:rPr>
        <w:t>or encourage her through difficult times. Additionally, it is</w:t>
      </w:r>
      <w:r>
        <w:rPr>
          <w:color w:val="231F20"/>
          <w:spacing w:val="-9"/>
          <w:w w:val="105"/>
        </w:rPr>
        <w:t> </w:t>
      </w:r>
      <w:r>
        <w:rPr>
          <w:color w:val="231F20"/>
          <w:w w:val="105"/>
        </w:rPr>
        <w:t>possible</w:t>
      </w:r>
      <w:r>
        <w:rPr>
          <w:color w:val="231F20"/>
          <w:spacing w:val="-9"/>
          <w:w w:val="105"/>
        </w:rPr>
        <w:t> </w:t>
      </w:r>
      <w:r>
        <w:rPr>
          <w:color w:val="231F20"/>
          <w:w w:val="105"/>
        </w:rPr>
        <w:t>to</w:t>
      </w:r>
      <w:r>
        <w:rPr>
          <w:color w:val="231F20"/>
          <w:spacing w:val="-9"/>
          <w:w w:val="105"/>
        </w:rPr>
        <w:t> </w:t>
      </w:r>
      <w:r>
        <w:rPr>
          <w:color w:val="231F20"/>
          <w:w w:val="105"/>
        </w:rPr>
        <w:t>see</w:t>
      </w:r>
      <w:r>
        <w:rPr>
          <w:color w:val="231F20"/>
          <w:spacing w:val="-9"/>
          <w:w w:val="105"/>
        </w:rPr>
        <w:t> </w:t>
      </w:r>
      <w:r>
        <w:rPr>
          <w:color w:val="231F20"/>
          <w:w w:val="105"/>
        </w:rPr>
        <w:t>that</w:t>
      </w:r>
      <w:r>
        <w:rPr>
          <w:color w:val="231F20"/>
          <w:spacing w:val="-9"/>
          <w:w w:val="105"/>
        </w:rPr>
        <w:t> </w:t>
      </w:r>
      <w:r>
        <w:rPr>
          <w:color w:val="231F20"/>
          <w:w w:val="105"/>
        </w:rPr>
        <w:t>being</w:t>
      </w:r>
      <w:r>
        <w:rPr>
          <w:color w:val="231F20"/>
          <w:spacing w:val="-9"/>
          <w:w w:val="105"/>
        </w:rPr>
        <w:t> </w:t>
      </w:r>
      <w:r>
        <w:rPr>
          <w:color w:val="231F20"/>
          <w:w w:val="105"/>
        </w:rPr>
        <w:t>away</w:t>
      </w:r>
      <w:r>
        <w:rPr>
          <w:color w:val="231F20"/>
          <w:spacing w:val="-9"/>
          <w:w w:val="105"/>
        </w:rPr>
        <w:t> </w:t>
      </w:r>
      <w:r>
        <w:rPr>
          <w:color w:val="231F20"/>
          <w:w w:val="105"/>
        </w:rPr>
        <w:t>from</w:t>
      </w:r>
      <w:r>
        <w:rPr>
          <w:color w:val="231F20"/>
          <w:spacing w:val="-9"/>
          <w:w w:val="105"/>
        </w:rPr>
        <w:t> </w:t>
      </w:r>
      <w:r>
        <w:rPr>
          <w:color w:val="231F20"/>
          <w:w w:val="105"/>
        </w:rPr>
        <w:t>nuclear</w:t>
      </w:r>
      <w:r>
        <w:rPr>
          <w:color w:val="231F20"/>
          <w:spacing w:val="-9"/>
          <w:w w:val="105"/>
        </w:rPr>
        <w:t> </w:t>
      </w:r>
      <w:r>
        <w:rPr>
          <w:color w:val="231F20"/>
          <w:w w:val="105"/>
        </w:rPr>
        <w:t>family</w:t>
      </w:r>
      <w:r>
        <w:rPr>
          <w:color w:val="231F20"/>
          <w:spacing w:val="-9"/>
          <w:w w:val="105"/>
        </w:rPr>
        <w:t> </w:t>
      </w:r>
      <w:r>
        <w:rPr>
          <w:color w:val="231F20"/>
          <w:w w:val="105"/>
        </w:rPr>
        <w:t>(parents,</w:t>
      </w:r>
      <w:r>
        <w:rPr>
          <w:color w:val="231F20"/>
          <w:spacing w:val="-14"/>
          <w:w w:val="105"/>
        </w:rPr>
        <w:t> </w:t>
      </w:r>
      <w:r>
        <w:rPr>
          <w:color w:val="231F20"/>
          <w:w w:val="105"/>
        </w:rPr>
        <w:t>siblings) is</w:t>
      </w:r>
      <w:r>
        <w:rPr>
          <w:color w:val="231F20"/>
          <w:spacing w:val="-5"/>
          <w:w w:val="105"/>
        </w:rPr>
        <w:t> </w:t>
      </w:r>
      <w:r>
        <w:rPr>
          <w:color w:val="231F20"/>
          <w:w w:val="105"/>
        </w:rPr>
        <w:t>not</w:t>
      </w:r>
      <w:r>
        <w:rPr>
          <w:color w:val="231F20"/>
          <w:spacing w:val="-5"/>
          <w:w w:val="105"/>
        </w:rPr>
        <w:t> </w:t>
      </w:r>
      <w:r>
        <w:rPr>
          <w:color w:val="231F20"/>
          <w:w w:val="105"/>
        </w:rPr>
        <w:t>uncommon</w:t>
      </w:r>
      <w:r>
        <w:rPr>
          <w:color w:val="231F20"/>
          <w:spacing w:val="-5"/>
          <w:w w:val="105"/>
        </w:rPr>
        <w:t> </w:t>
      </w:r>
      <w:r>
        <w:rPr>
          <w:color w:val="231F20"/>
          <w:w w:val="105"/>
        </w:rPr>
        <w:t>in</w:t>
      </w:r>
      <w:r>
        <w:rPr>
          <w:color w:val="231F20"/>
          <w:spacing w:val="-5"/>
          <w:w w:val="105"/>
        </w:rPr>
        <w:t> </w:t>
      </w:r>
      <w:r>
        <w:rPr>
          <w:color w:val="231F20"/>
          <w:w w:val="105"/>
        </w:rPr>
        <w:t>this</w:t>
      </w:r>
      <w:r>
        <w:rPr>
          <w:color w:val="231F20"/>
          <w:spacing w:val="-5"/>
          <w:w w:val="105"/>
        </w:rPr>
        <w:t> </w:t>
      </w:r>
      <w:r>
        <w:rPr>
          <w:color w:val="231F20"/>
          <w:w w:val="105"/>
        </w:rPr>
        <w:t>network.</w:t>
      </w:r>
      <w:r>
        <w:rPr>
          <w:color w:val="231F20"/>
          <w:spacing w:val="-15"/>
          <w:w w:val="105"/>
        </w:rPr>
        <w:t> </w:t>
      </w:r>
      <w:r>
        <w:rPr>
          <w:color w:val="231F20"/>
          <w:w w:val="105"/>
        </w:rPr>
        <w:t>Thus,</w:t>
      </w:r>
      <w:r>
        <w:rPr>
          <w:color w:val="231F20"/>
          <w:spacing w:val="-11"/>
          <w:w w:val="105"/>
        </w:rPr>
        <w:t> </w:t>
      </w:r>
      <w:r>
        <w:rPr>
          <w:color w:val="231F20"/>
          <w:w w:val="105"/>
        </w:rPr>
        <w:t>communication</w:t>
      </w:r>
      <w:r>
        <w:rPr>
          <w:color w:val="231F20"/>
          <w:spacing w:val="-5"/>
          <w:w w:val="105"/>
        </w:rPr>
        <w:t> </w:t>
      </w:r>
      <w:r>
        <w:rPr>
          <w:color w:val="231F20"/>
          <w:w w:val="105"/>
        </w:rPr>
        <w:t>via</w:t>
      </w:r>
      <w:r>
        <w:rPr>
          <w:color w:val="231F20"/>
          <w:spacing w:val="-5"/>
          <w:w w:val="105"/>
        </w:rPr>
        <w:t> </w:t>
      </w:r>
      <w:r>
        <w:rPr>
          <w:color w:val="231F20"/>
          <w:w w:val="105"/>
        </w:rPr>
        <w:t>online</w:t>
      </w:r>
      <w:r>
        <w:rPr>
          <w:color w:val="231F20"/>
          <w:spacing w:val="-5"/>
          <w:w w:val="105"/>
        </w:rPr>
        <w:t> </w:t>
      </w:r>
      <w:r>
        <w:rPr>
          <w:color w:val="231F20"/>
          <w:w w:val="105"/>
        </w:rPr>
        <w:t>social networks</w:t>
      </w:r>
      <w:r>
        <w:rPr>
          <w:color w:val="231F20"/>
          <w:spacing w:val="-20"/>
          <w:w w:val="105"/>
        </w:rPr>
        <w:t> </w:t>
      </w:r>
      <w:r>
        <w:rPr>
          <w:color w:val="231F20"/>
          <w:w w:val="105"/>
        </w:rPr>
        <w:t>is</w:t>
      </w:r>
      <w:r>
        <w:rPr>
          <w:color w:val="231F20"/>
          <w:spacing w:val="-20"/>
          <w:w w:val="105"/>
        </w:rPr>
        <w:t> </w:t>
      </w:r>
      <w:r>
        <w:rPr>
          <w:color w:val="231F20"/>
          <w:w w:val="105"/>
        </w:rPr>
        <w:t>crucial</w:t>
      </w:r>
      <w:r>
        <w:rPr>
          <w:color w:val="231F20"/>
          <w:spacing w:val="-20"/>
          <w:w w:val="105"/>
        </w:rPr>
        <w:t> </w:t>
      </w:r>
      <w:r>
        <w:rPr>
          <w:color w:val="231F20"/>
          <w:w w:val="105"/>
        </w:rPr>
        <w:t>to</w:t>
      </w:r>
      <w:r>
        <w:rPr>
          <w:color w:val="231F20"/>
          <w:spacing w:val="-20"/>
          <w:w w:val="105"/>
        </w:rPr>
        <w:t> </w:t>
      </w:r>
      <w:r>
        <w:rPr>
          <w:color w:val="231F20"/>
          <w:w w:val="105"/>
        </w:rPr>
        <w:t>maintain</w:t>
      </w:r>
      <w:r>
        <w:rPr>
          <w:color w:val="231F20"/>
          <w:spacing w:val="-20"/>
          <w:w w:val="105"/>
        </w:rPr>
        <w:t> </w:t>
      </w:r>
      <w:r>
        <w:rPr>
          <w:color w:val="231F20"/>
          <w:w w:val="105"/>
        </w:rPr>
        <w:t>ties.</w:t>
      </w:r>
    </w:p>
    <w:p>
      <w:pPr>
        <w:pStyle w:val="BodyText"/>
        <w:spacing w:line="261" w:lineRule="auto" w:before="1"/>
        <w:ind w:left="1723" w:right="1834" w:firstLine="567"/>
        <w:jc w:val="both"/>
      </w:pPr>
      <w:r>
        <w:rPr>
          <w:color w:val="231F20"/>
          <w:w w:val="105"/>
        </w:rPr>
        <w:t>These sections described the functions that Facebook allows its members</w:t>
      </w:r>
      <w:r>
        <w:rPr>
          <w:color w:val="231F20"/>
          <w:spacing w:val="-17"/>
          <w:w w:val="105"/>
        </w:rPr>
        <w:t> </w:t>
      </w:r>
      <w:r>
        <w:rPr>
          <w:color w:val="231F20"/>
          <w:w w:val="105"/>
        </w:rPr>
        <w:t>to</w:t>
      </w:r>
      <w:r>
        <w:rPr>
          <w:color w:val="231F20"/>
          <w:spacing w:val="-17"/>
          <w:w w:val="105"/>
        </w:rPr>
        <w:t> </w:t>
      </w:r>
      <w:r>
        <w:rPr>
          <w:color w:val="231F20"/>
          <w:w w:val="105"/>
        </w:rPr>
        <w:t>carry</w:t>
      </w:r>
      <w:r>
        <w:rPr>
          <w:color w:val="231F20"/>
          <w:spacing w:val="-17"/>
          <w:w w:val="105"/>
        </w:rPr>
        <w:t> </w:t>
      </w:r>
      <w:r>
        <w:rPr>
          <w:color w:val="231F20"/>
          <w:w w:val="105"/>
        </w:rPr>
        <w:t>out</w:t>
      </w:r>
      <w:r>
        <w:rPr>
          <w:color w:val="231F20"/>
          <w:spacing w:val="-17"/>
          <w:w w:val="105"/>
        </w:rPr>
        <w:t> </w:t>
      </w:r>
      <w:r>
        <w:rPr>
          <w:color w:val="231F20"/>
          <w:w w:val="105"/>
        </w:rPr>
        <w:t>despite</w:t>
      </w:r>
      <w:r>
        <w:rPr>
          <w:color w:val="231F20"/>
          <w:spacing w:val="-17"/>
          <w:w w:val="105"/>
        </w:rPr>
        <w:t> </w:t>
      </w:r>
      <w:r>
        <w:rPr>
          <w:color w:val="231F20"/>
          <w:w w:val="105"/>
        </w:rPr>
        <w:t>physical</w:t>
      </w:r>
      <w:r>
        <w:rPr>
          <w:color w:val="231F20"/>
          <w:spacing w:val="-17"/>
          <w:w w:val="105"/>
        </w:rPr>
        <w:t> </w:t>
      </w:r>
      <w:r>
        <w:rPr>
          <w:color w:val="231F20"/>
          <w:w w:val="105"/>
        </w:rPr>
        <w:t>distance.</w:t>
      </w:r>
      <w:r>
        <w:rPr>
          <w:color w:val="231F20"/>
          <w:spacing w:val="-23"/>
          <w:w w:val="105"/>
        </w:rPr>
        <w:t> </w:t>
      </w:r>
      <w:r>
        <w:rPr>
          <w:color w:val="231F20"/>
          <w:w w:val="105"/>
        </w:rPr>
        <w:t>In</w:t>
      </w:r>
      <w:r>
        <w:rPr>
          <w:color w:val="231F20"/>
          <w:spacing w:val="-17"/>
          <w:w w:val="105"/>
        </w:rPr>
        <w:t> </w:t>
      </w:r>
      <w:r>
        <w:rPr>
          <w:color w:val="231F20"/>
          <w:w w:val="105"/>
        </w:rPr>
        <w:t>addition</w:t>
      </w:r>
      <w:r>
        <w:rPr>
          <w:color w:val="231F20"/>
          <w:spacing w:val="-17"/>
          <w:w w:val="105"/>
        </w:rPr>
        <w:t> </w:t>
      </w:r>
      <w:r>
        <w:rPr>
          <w:color w:val="231F20"/>
          <w:w w:val="105"/>
        </w:rPr>
        <w:t>to</w:t>
      </w:r>
      <w:r>
        <w:rPr>
          <w:color w:val="231F20"/>
          <w:spacing w:val="-17"/>
          <w:w w:val="105"/>
        </w:rPr>
        <w:t> </w:t>
      </w:r>
      <w:r>
        <w:rPr>
          <w:color w:val="231F20"/>
          <w:w w:val="105"/>
        </w:rPr>
        <w:t>create</w:t>
      </w:r>
      <w:r>
        <w:rPr>
          <w:color w:val="231F20"/>
          <w:spacing w:val="-17"/>
          <w:w w:val="105"/>
        </w:rPr>
        <w:t> </w:t>
      </w:r>
      <w:r>
        <w:rPr>
          <w:color w:val="231F20"/>
          <w:w w:val="105"/>
        </w:rPr>
        <w:t>new spaces for conversation, these functions provide members with a conti- nuation</w:t>
      </w:r>
      <w:r>
        <w:rPr>
          <w:color w:val="231F20"/>
          <w:spacing w:val="-11"/>
          <w:w w:val="105"/>
        </w:rPr>
        <w:t> </w:t>
      </w:r>
      <w:r>
        <w:rPr>
          <w:color w:val="231F20"/>
          <w:w w:val="105"/>
        </w:rPr>
        <w:t>of</w:t>
      </w:r>
      <w:r>
        <w:rPr>
          <w:color w:val="231F20"/>
          <w:spacing w:val="-6"/>
          <w:w w:val="105"/>
        </w:rPr>
        <w:t> </w:t>
      </w:r>
      <w:r>
        <w:rPr>
          <w:color w:val="231F20"/>
          <w:w w:val="105"/>
        </w:rPr>
        <w:t>their</w:t>
      </w:r>
      <w:r>
        <w:rPr>
          <w:color w:val="231F20"/>
          <w:spacing w:val="-11"/>
          <w:w w:val="105"/>
        </w:rPr>
        <w:t> </w:t>
      </w:r>
      <w:r>
        <w:rPr>
          <w:color w:val="231F20"/>
          <w:w w:val="105"/>
        </w:rPr>
        <w:t>roles</w:t>
      </w:r>
      <w:r>
        <w:rPr>
          <w:color w:val="231F20"/>
          <w:spacing w:val="-11"/>
          <w:w w:val="105"/>
        </w:rPr>
        <w:t> </w:t>
      </w:r>
      <w:r>
        <w:rPr>
          <w:color w:val="231F20"/>
          <w:w w:val="105"/>
        </w:rPr>
        <w:t>in</w:t>
      </w:r>
      <w:r>
        <w:rPr>
          <w:color w:val="231F20"/>
          <w:spacing w:val="-11"/>
          <w:w w:val="105"/>
        </w:rPr>
        <w:t> </w:t>
      </w:r>
      <w:r>
        <w:rPr>
          <w:color w:val="231F20"/>
          <w:w w:val="105"/>
        </w:rPr>
        <w:t>the</w:t>
      </w:r>
      <w:r>
        <w:rPr>
          <w:color w:val="231F20"/>
          <w:spacing w:val="-11"/>
          <w:w w:val="105"/>
        </w:rPr>
        <w:t> </w:t>
      </w:r>
      <w:r>
        <w:rPr>
          <w:color w:val="231F20"/>
          <w:w w:val="105"/>
        </w:rPr>
        <w:t>network,</w:t>
      </w:r>
      <w:r>
        <w:rPr>
          <w:color w:val="231F20"/>
          <w:spacing w:val="-17"/>
          <w:w w:val="105"/>
        </w:rPr>
        <w:t> </w:t>
      </w:r>
      <w:r>
        <w:rPr>
          <w:color w:val="231F20"/>
          <w:w w:val="105"/>
        </w:rPr>
        <w:t>whether</w:t>
      </w:r>
      <w:r>
        <w:rPr>
          <w:color w:val="231F20"/>
          <w:spacing w:val="-11"/>
          <w:w w:val="105"/>
        </w:rPr>
        <w:t> </w:t>
      </w:r>
      <w:r>
        <w:rPr>
          <w:color w:val="231F20"/>
          <w:w w:val="105"/>
        </w:rPr>
        <w:t>it</w:t>
      </w:r>
      <w:r>
        <w:rPr>
          <w:color w:val="231F20"/>
          <w:spacing w:val="-11"/>
          <w:w w:val="105"/>
        </w:rPr>
        <w:t> </w:t>
      </w:r>
      <w:r>
        <w:rPr>
          <w:color w:val="231F20"/>
          <w:w w:val="105"/>
        </w:rPr>
        <w:t>is</w:t>
      </w:r>
      <w:r>
        <w:rPr>
          <w:color w:val="231F20"/>
          <w:spacing w:val="-11"/>
          <w:w w:val="105"/>
        </w:rPr>
        <w:t> </w:t>
      </w:r>
      <w:r>
        <w:rPr>
          <w:color w:val="231F20"/>
          <w:w w:val="105"/>
        </w:rPr>
        <w:t>to</w:t>
      </w:r>
      <w:r>
        <w:rPr>
          <w:color w:val="231F20"/>
          <w:spacing w:val="-11"/>
          <w:w w:val="105"/>
        </w:rPr>
        <w:t> </w:t>
      </w:r>
      <w:r>
        <w:rPr>
          <w:color w:val="231F20"/>
          <w:w w:val="105"/>
        </w:rPr>
        <w:t>keep</w:t>
      </w:r>
      <w:r>
        <w:rPr>
          <w:color w:val="231F20"/>
          <w:spacing w:val="-11"/>
          <w:w w:val="105"/>
        </w:rPr>
        <w:t> </w:t>
      </w:r>
      <w:r>
        <w:rPr>
          <w:color w:val="231F20"/>
          <w:w w:val="105"/>
        </w:rPr>
        <w:t>in</w:t>
      </w:r>
      <w:r>
        <w:rPr>
          <w:color w:val="231F20"/>
          <w:spacing w:val="-11"/>
          <w:w w:val="105"/>
        </w:rPr>
        <w:t> </w:t>
      </w:r>
      <w:r>
        <w:rPr>
          <w:color w:val="231F20"/>
          <w:w w:val="105"/>
        </w:rPr>
        <w:t>touch,</w:t>
      </w:r>
      <w:r>
        <w:rPr>
          <w:color w:val="231F20"/>
          <w:spacing w:val="-17"/>
          <w:w w:val="105"/>
        </w:rPr>
        <w:t> </w:t>
      </w:r>
      <w:r>
        <w:rPr>
          <w:color w:val="231F20"/>
          <w:w w:val="105"/>
        </w:rPr>
        <w:t>fulfill</w:t>
      </w:r>
      <w:r>
        <w:rPr>
          <w:color w:val="231F20"/>
          <w:spacing w:val="-11"/>
          <w:w w:val="105"/>
        </w:rPr>
        <w:t> </w:t>
      </w:r>
      <w:r>
        <w:rPr>
          <w:color w:val="231F20"/>
          <w:w w:val="105"/>
        </w:rPr>
        <w:t>a parental</w:t>
      </w:r>
      <w:r>
        <w:rPr>
          <w:color w:val="231F20"/>
          <w:spacing w:val="-17"/>
          <w:w w:val="105"/>
        </w:rPr>
        <w:t> </w:t>
      </w:r>
      <w:r>
        <w:rPr>
          <w:color w:val="231F20"/>
          <w:w w:val="105"/>
        </w:rPr>
        <w:t>or</w:t>
      </w:r>
      <w:r>
        <w:rPr>
          <w:color w:val="231F20"/>
          <w:spacing w:val="-17"/>
          <w:w w:val="105"/>
        </w:rPr>
        <w:t> </w:t>
      </w:r>
      <w:r>
        <w:rPr>
          <w:color w:val="231F20"/>
          <w:w w:val="105"/>
        </w:rPr>
        <w:t>caregiver</w:t>
      </w:r>
      <w:r>
        <w:rPr>
          <w:color w:val="231F20"/>
          <w:spacing w:val="-17"/>
          <w:w w:val="105"/>
        </w:rPr>
        <w:t> </w:t>
      </w:r>
      <w:r>
        <w:rPr>
          <w:color w:val="231F20"/>
          <w:w w:val="105"/>
        </w:rPr>
        <w:t>(such</w:t>
      </w:r>
      <w:r>
        <w:rPr>
          <w:color w:val="231F20"/>
          <w:spacing w:val="-17"/>
          <w:w w:val="105"/>
        </w:rPr>
        <w:t> </w:t>
      </w:r>
      <w:r>
        <w:rPr>
          <w:color w:val="231F20"/>
          <w:w w:val="105"/>
        </w:rPr>
        <w:t>as</w:t>
      </w:r>
      <w:r>
        <w:rPr>
          <w:color w:val="231F20"/>
          <w:spacing w:val="-17"/>
          <w:w w:val="105"/>
        </w:rPr>
        <w:t> </w:t>
      </w:r>
      <w:r>
        <w:rPr>
          <w:color w:val="231F20"/>
          <w:w w:val="105"/>
        </w:rPr>
        <w:t>godparent,</w:t>
      </w:r>
      <w:r>
        <w:rPr>
          <w:color w:val="231F20"/>
          <w:spacing w:val="-22"/>
          <w:w w:val="105"/>
        </w:rPr>
        <w:t> </w:t>
      </w:r>
      <w:r>
        <w:rPr>
          <w:color w:val="231F20"/>
          <w:w w:val="105"/>
        </w:rPr>
        <w:t>older</w:t>
      </w:r>
      <w:r>
        <w:rPr>
          <w:color w:val="231F20"/>
          <w:spacing w:val="-17"/>
          <w:w w:val="105"/>
        </w:rPr>
        <w:t> </w:t>
      </w:r>
      <w:r>
        <w:rPr>
          <w:color w:val="231F20"/>
          <w:w w:val="105"/>
        </w:rPr>
        <w:t>sibling)</w:t>
      </w:r>
      <w:r>
        <w:rPr>
          <w:color w:val="231F20"/>
          <w:spacing w:val="-17"/>
          <w:w w:val="105"/>
        </w:rPr>
        <w:t> </w:t>
      </w:r>
      <w:r>
        <w:rPr>
          <w:color w:val="231F20"/>
          <w:w w:val="105"/>
        </w:rPr>
        <w:t>role,</w:t>
      </w:r>
      <w:r>
        <w:rPr>
          <w:color w:val="231F20"/>
          <w:spacing w:val="-22"/>
          <w:w w:val="105"/>
        </w:rPr>
        <w:t> </w:t>
      </w:r>
      <w:r>
        <w:rPr>
          <w:color w:val="231F20"/>
          <w:w w:val="105"/>
        </w:rPr>
        <w:t>and</w:t>
      </w:r>
      <w:r>
        <w:rPr>
          <w:color w:val="231F20"/>
          <w:spacing w:val="-17"/>
          <w:w w:val="105"/>
        </w:rPr>
        <w:t> </w:t>
      </w:r>
      <w:r>
        <w:rPr>
          <w:color w:val="231F20"/>
          <w:w w:val="105"/>
        </w:rPr>
        <w:t>to</w:t>
      </w:r>
      <w:r>
        <w:rPr>
          <w:color w:val="231F20"/>
          <w:spacing w:val="-17"/>
          <w:w w:val="105"/>
        </w:rPr>
        <w:t> </w:t>
      </w:r>
      <w:r>
        <w:rPr>
          <w:color w:val="231F20"/>
          <w:w w:val="105"/>
        </w:rPr>
        <w:t>main- tain ties with members of the network that did not have direct problems with</w:t>
      </w:r>
      <w:r>
        <w:rPr>
          <w:color w:val="231F20"/>
          <w:spacing w:val="-13"/>
          <w:w w:val="105"/>
        </w:rPr>
        <w:t> </w:t>
      </w:r>
      <w:r>
        <w:rPr>
          <w:color w:val="231F20"/>
          <w:w w:val="105"/>
        </w:rPr>
        <w:t>them.</w:t>
      </w:r>
      <w:r>
        <w:rPr>
          <w:color w:val="231F20"/>
          <w:spacing w:val="-19"/>
          <w:w w:val="105"/>
        </w:rPr>
        <w:t> </w:t>
      </w:r>
      <w:r>
        <w:rPr>
          <w:color w:val="231F20"/>
          <w:w w:val="105"/>
        </w:rPr>
        <w:t>Note</w:t>
      </w:r>
      <w:r>
        <w:rPr>
          <w:color w:val="231F20"/>
          <w:spacing w:val="-13"/>
          <w:w w:val="105"/>
        </w:rPr>
        <w:t> </w:t>
      </w:r>
      <w:r>
        <w:rPr>
          <w:color w:val="231F20"/>
          <w:w w:val="105"/>
        </w:rPr>
        <w:t>that</w:t>
      </w:r>
      <w:r>
        <w:rPr>
          <w:color w:val="231F20"/>
          <w:spacing w:val="-13"/>
          <w:w w:val="105"/>
        </w:rPr>
        <w:t> </w:t>
      </w:r>
      <w:r>
        <w:rPr>
          <w:color w:val="231F20"/>
          <w:w w:val="105"/>
        </w:rPr>
        <w:t>the</w:t>
      </w:r>
      <w:r>
        <w:rPr>
          <w:color w:val="231F20"/>
          <w:spacing w:val="-13"/>
          <w:w w:val="105"/>
        </w:rPr>
        <w:t> </w:t>
      </w:r>
      <w:r>
        <w:rPr>
          <w:color w:val="231F20"/>
          <w:w w:val="105"/>
        </w:rPr>
        <w:t>two</w:t>
      </w:r>
      <w:r>
        <w:rPr>
          <w:color w:val="231F20"/>
          <w:spacing w:val="-13"/>
          <w:w w:val="105"/>
        </w:rPr>
        <w:t> </w:t>
      </w:r>
      <w:r>
        <w:rPr>
          <w:color w:val="231F20"/>
          <w:w w:val="105"/>
        </w:rPr>
        <w:t>friends</w:t>
      </w:r>
      <w:r>
        <w:rPr>
          <w:color w:val="231F20"/>
          <w:spacing w:val="-13"/>
          <w:w w:val="105"/>
        </w:rPr>
        <w:t> </w:t>
      </w:r>
      <w:r>
        <w:rPr>
          <w:color w:val="231F20"/>
          <w:w w:val="105"/>
        </w:rPr>
        <w:t>who</w:t>
      </w:r>
      <w:r>
        <w:rPr>
          <w:color w:val="231F20"/>
          <w:spacing w:val="-13"/>
          <w:w w:val="105"/>
        </w:rPr>
        <w:t> </w:t>
      </w:r>
      <w:r>
        <w:rPr>
          <w:color w:val="231F20"/>
          <w:w w:val="105"/>
        </w:rPr>
        <w:t>participated</w:t>
      </w:r>
      <w:r>
        <w:rPr>
          <w:color w:val="231F20"/>
          <w:spacing w:val="-13"/>
          <w:w w:val="105"/>
        </w:rPr>
        <w:t> </w:t>
      </w:r>
      <w:r>
        <w:rPr>
          <w:color w:val="231F20"/>
          <w:w w:val="105"/>
        </w:rPr>
        <w:t>in</w:t>
      </w:r>
      <w:r>
        <w:rPr>
          <w:color w:val="231F20"/>
          <w:spacing w:val="-13"/>
          <w:w w:val="105"/>
        </w:rPr>
        <w:t> </w:t>
      </w:r>
      <w:r>
        <w:rPr>
          <w:color w:val="231F20"/>
          <w:w w:val="105"/>
        </w:rPr>
        <w:t>this</w:t>
      </w:r>
      <w:r>
        <w:rPr>
          <w:color w:val="231F20"/>
          <w:spacing w:val="-13"/>
          <w:w w:val="105"/>
        </w:rPr>
        <w:t> </w:t>
      </w:r>
      <w:r>
        <w:rPr>
          <w:color w:val="231F20"/>
          <w:w w:val="105"/>
        </w:rPr>
        <w:t>conversation did</w:t>
      </w:r>
      <w:r>
        <w:rPr>
          <w:color w:val="231F20"/>
          <w:spacing w:val="-14"/>
          <w:w w:val="105"/>
        </w:rPr>
        <w:t> </w:t>
      </w:r>
      <w:r>
        <w:rPr>
          <w:color w:val="231F20"/>
          <w:w w:val="105"/>
        </w:rPr>
        <w:t>not</w:t>
      </w:r>
      <w:r>
        <w:rPr>
          <w:color w:val="231F20"/>
          <w:spacing w:val="-14"/>
          <w:w w:val="105"/>
        </w:rPr>
        <w:t> </w:t>
      </w:r>
      <w:r>
        <w:rPr>
          <w:color w:val="231F20"/>
          <w:w w:val="105"/>
        </w:rPr>
        <w:t>know</w:t>
      </w:r>
      <w:r>
        <w:rPr>
          <w:color w:val="231F20"/>
          <w:spacing w:val="-14"/>
          <w:w w:val="105"/>
        </w:rPr>
        <w:t> </w:t>
      </w:r>
      <w:r>
        <w:rPr>
          <w:color w:val="231F20"/>
          <w:w w:val="105"/>
        </w:rPr>
        <w:t>what</w:t>
      </w:r>
      <w:r>
        <w:rPr>
          <w:color w:val="231F20"/>
          <w:spacing w:val="-14"/>
          <w:w w:val="105"/>
        </w:rPr>
        <w:t> </w:t>
      </w:r>
      <w:r>
        <w:rPr>
          <w:color w:val="231F20"/>
          <w:spacing w:val="-3"/>
          <w:w w:val="105"/>
        </w:rPr>
        <w:t>Paloma</w:t>
      </w:r>
      <w:r>
        <w:rPr>
          <w:color w:val="231F20"/>
          <w:spacing w:val="-14"/>
          <w:w w:val="105"/>
        </w:rPr>
        <w:t> </w:t>
      </w:r>
      <w:r>
        <w:rPr>
          <w:color w:val="231F20"/>
          <w:w w:val="105"/>
        </w:rPr>
        <w:t>was</w:t>
      </w:r>
      <w:r>
        <w:rPr>
          <w:color w:val="231F20"/>
          <w:spacing w:val="-14"/>
          <w:w w:val="105"/>
        </w:rPr>
        <w:t> </w:t>
      </w:r>
      <w:r>
        <w:rPr>
          <w:color w:val="231F20"/>
          <w:w w:val="105"/>
        </w:rPr>
        <w:t>experiencing.</w:t>
      </w:r>
    </w:p>
    <w:p>
      <w:pPr>
        <w:pStyle w:val="BodyText"/>
        <w:rPr>
          <w:sz w:val="20"/>
        </w:rPr>
      </w:pPr>
    </w:p>
    <w:p>
      <w:pPr>
        <w:pStyle w:val="BodyText"/>
        <w:spacing w:before="9"/>
        <w:rPr>
          <w:sz w:val="20"/>
        </w:rPr>
      </w:pPr>
    </w:p>
    <w:p>
      <w:pPr>
        <w:pStyle w:val="Heading3"/>
        <w:ind w:left="1723"/>
      </w:pPr>
      <w:r>
        <w:rPr>
          <w:color w:val="231F20"/>
          <w:w w:val="95"/>
        </w:rPr>
        <w:t>Discussion and Conclusion</w:t>
      </w:r>
    </w:p>
    <w:p>
      <w:pPr>
        <w:pStyle w:val="BodyText"/>
        <w:rPr>
          <w:rFonts w:ascii="Arial"/>
          <w:b/>
          <w:sz w:val="22"/>
        </w:rPr>
      </w:pPr>
    </w:p>
    <w:p>
      <w:pPr>
        <w:pStyle w:val="BodyText"/>
        <w:spacing w:line="261" w:lineRule="auto" w:before="163"/>
        <w:ind w:left="1723" w:right="1834"/>
        <w:jc w:val="both"/>
      </w:pPr>
      <w:r>
        <w:rPr>
          <w:color w:val="231F20"/>
          <w:w w:val="105"/>
        </w:rPr>
        <w:t>Recent</w:t>
      </w:r>
      <w:r>
        <w:rPr>
          <w:color w:val="231F20"/>
          <w:spacing w:val="-21"/>
          <w:w w:val="105"/>
        </w:rPr>
        <w:t> </w:t>
      </w:r>
      <w:r>
        <w:rPr>
          <w:color w:val="231F20"/>
          <w:w w:val="105"/>
        </w:rPr>
        <w:t>studies</w:t>
      </w:r>
      <w:r>
        <w:rPr>
          <w:color w:val="231F20"/>
          <w:spacing w:val="-21"/>
          <w:w w:val="105"/>
        </w:rPr>
        <w:t> </w:t>
      </w:r>
      <w:r>
        <w:rPr>
          <w:color w:val="231F20"/>
          <w:w w:val="105"/>
        </w:rPr>
        <w:t>in</w:t>
      </w:r>
      <w:r>
        <w:rPr>
          <w:color w:val="231F20"/>
          <w:spacing w:val="-21"/>
          <w:w w:val="105"/>
        </w:rPr>
        <w:t> </w:t>
      </w:r>
      <w:r>
        <w:rPr>
          <w:color w:val="231F20"/>
          <w:w w:val="105"/>
        </w:rPr>
        <w:t>transnationalism</w:t>
      </w:r>
      <w:r>
        <w:rPr>
          <w:color w:val="231F20"/>
          <w:spacing w:val="-21"/>
          <w:w w:val="105"/>
        </w:rPr>
        <w:t> </w:t>
      </w:r>
      <w:r>
        <w:rPr>
          <w:color w:val="231F20"/>
          <w:w w:val="105"/>
        </w:rPr>
        <w:t>have</w:t>
      </w:r>
      <w:r>
        <w:rPr>
          <w:color w:val="231F20"/>
          <w:spacing w:val="-21"/>
          <w:w w:val="105"/>
        </w:rPr>
        <w:t> </w:t>
      </w:r>
      <w:r>
        <w:rPr>
          <w:color w:val="231F20"/>
          <w:w w:val="105"/>
        </w:rPr>
        <w:t>explored</w:t>
      </w:r>
      <w:r>
        <w:rPr>
          <w:color w:val="231F20"/>
          <w:spacing w:val="-21"/>
          <w:w w:val="105"/>
        </w:rPr>
        <w:t> </w:t>
      </w:r>
      <w:r>
        <w:rPr>
          <w:color w:val="231F20"/>
          <w:w w:val="105"/>
        </w:rPr>
        <w:t>how</w:t>
      </w:r>
      <w:r>
        <w:rPr>
          <w:color w:val="231F20"/>
          <w:spacing w:val="-21"/>
          <w:w w:val="105"/>
        </w:rPr>
        <w:t> </w:t>
      </w:r>
      <w:r>
        <w:rPr>
          <w:color w:val="231F20"/>
          <w:w w:val="105"/>
        </w:rPr>
        <w:t>transnationals</w:t>
      </w:r>
      <w:r>
        <w:rPr>
          <w:color w:val="231F20"/>
          <w:spacing w:val="-21"/>
          <w:w w:val="105"/>
        </w:rPr>
        <w:t> </w:t>
      </w:r>
      <w:r>
        <w:rPr>
          <w:color w:val="231F20"/>
          <w:w w:val="105"/>
        </w:rPr>
        <w:t>en- gage</w:t>
      </w:r>
      <w:r>
        <w:rPr>
          <w:color w:val="231F20"/>
          <w:spacing w:val="-14"/>
          <w:w w:val="105"/>
        </w:rPr>
        <w:t> </w:t>
      </w:r>
      <w:r>
        <w:rPr>
          <w:color w:val="231F20"/>
          <w:w w:val="105"/>
        </w:rPr>
        <w:t>with</w:t>
      </w:r>
      <w:r>
        <w:rPr>
          <w:color w:val="231F20"/>
          <w:spacing w:val="-14"/>
          <w:w w:val="105"/>
        </w:rPr>
        <w:t> </w:t>
      </w:r>
      <w:r>
        <w:rPr>
          <w:color w:val="231F20"/>
          <w:w w:val="105"/>
        </w:rPr>
        <w:t>their</w:t>
      </w:r>
      <w:r>
        <w:rPr>
          <w:color w:val="231F20"/>
          <w:spacing w:val="-14"/>
          <w:w w:val="105"/>
        </w:rPr>
        <w:t> </w:t>
      </w:r>
      <w:r>
        <w:rPr>
          <w:color w:val="231F20"/>
          <w:w w:val="105"/>
        </w:rPr>
        <w:t>receiving</w:t>
      </w:r>
      <w:r>
        <w:rPr>
          <w:color w:val="231F20"/>
          <w:spacing w:val="-14"/>
          <w:w w:val="105"/>
        </w:rPr>
        <w:t> </w:t>
      </w:r>
      <w:r>
        <w:rPr>
          <w:color w:val="231F20"/>
          <w:w w:val="105"/>
        </w:rPr>
        <w:t>and</w:t>
      </w:r>
      <w:r>
        <w:rPr>
          <w:color w:val="231F20"/>
          <w:spacing w:val="-14"/>
          <w:w w:val="105"/>
        </w:rPr>
        <w:t> </w:t>
      </w:r>
      <w:r>
        <w:rPr>
          <w:color w:val="231F20"/>
          <w:w w:val="105"/>
        </w:rPr>
        <w:t>sending</w:t>
      </w:r>
      <w:r>
        <w:rPr>
          <w:color w:val="231F20"/>
          <w:spacing w:val="-14"/>
          <w:w w:val="105"/>
        </w:rPr>
        <w:t> </w:t>
      </w:r>
      <w:r>
        <w:rPr>
          <w:color w:val="231F20"/>
          <w:w w:val="105"/>
        </w:rPr>
        <w:t>societies.</w:t>
      </w:r>
      <w:r>
        <w:rPr>
          <w:color w:val="231F20"/>
          <w:spacing w:val="-19"/>
          <w:w w:val="105"/>
        </w:rPr>
        <w:t> </w:t>
      </w:r>
      <w:r>
        <w:rPr>
          <w:color w:val="231F20"/>
          <w:w w:val="105"/>
        </w:rPr>
        <w:t>However,</w:t>
      </w:r>
      <w:r>
        <w:rPr>
          <w:color w:val="231F20"/>
          <w:spacing w:val="-19"/>
          <w:w w:val="105"/>
        </w:rPr>
        <w:t> </w:t>
      </w:r>
      <w:r>
        <w:rPr>
          <w:color w:val="231F20"/>
          <w:w w:val="105"/>
        </w:rPr>
        <w:t>such</w:t>
      </w:r>
      <w:r>
        <w:rPr>
          <w:color w:val="231F20"/>
          <w:spacing w:val="-14"/>
          <w:w w:val="105"/>
        </w:rPr>
        <w:t> </w:t>
      </w:r>
      <w:r>
        <w:rPr>
          <w:color w:val="231F20"/>
          <w:w w:val="105"/>
        </w:rPr>
        <w:t>research is</w:t>
      </w:r>
      <w:r>
        <w:rPr>
          <w:color w:val="231F20"/>
          <w:spacing w:val="-13"/>
          <w:w w:val="105"/>
        </w:rPr>
        <w:t> </w:t>
      </w:r>
      <w:r>
        <w:rPr>
          <w:color w:val="231F20"/>
          <w:w w:val="105"/>
        </w:rPr>
        <w:t>scant</w:t>
      </w:r>
      <w:r>
        <w:rPr>
          <w:color w:val="231F20"/>
          <w:spacing w:val="-13"/>
          <w:w w:val="105"/>
        </w:rPr>
        <w:t> </w:t>
      </w:r>
      <w:r>
        <w:rPr>
          <w:color w:val="231F20"/>
          <w:w w:val="105"/>
        </w:rPr>
        <w:t>due</w:t>
      </w:r>
      <w:r>
        <w:rPr>
          <w:color w:val="231F20"/>
          <w:spacing w:val="-13"/>
          <w:w w:val="105"/>
        </w:rPr>
        <w:t> </w:t>
      </w:r>
      <w:r>
        <w:rPr>
          <w:color w:val="231F20"/>
          <w:w w:val="105"/>
        </w:rPr>
        <w:t>to</w:t>
      </w:r>
      <w:r>
        <w:rPr>
          <w:color w:val="231F20"/>
          <w:spacing w:val="-13"/>
          <w:w w:val="105"/>
        </w:rPr>
        <w:t> </w:t>
      </w:r>
      <w:r>
        <w:rPr>
          <w:color w:val="231F20"/>
          <w:w w:val="105"/>
        </w:rPr>
        <w:t>the</w:t>
      </w:r>
      <w:r>
        <w:rPr>
          <w:color w:val="231F20"/>
          <w:spacing w:val="-13"/>
          <w:w w:val="105"/>
        </w:rPr>
        <w:t> </w:t>
      </w:r>
      <w:r>
        <w:rPr>
          <w:color w:val="231F20"/>
          <w:w w:val="105"/>
        </w:rPr>
        <w:t>belief</w:t>
      </w:r>
      <w:r>
        <w:rPr>
          <w:color w:val="231F20"/>
          <w:spacing w:val="-8"/>
          <w:w w:val="105"/>
        </w:rPr>
        <w:t> </w:t>
      </w:r>
      <w:r>
        <w:rPr>
          <w:color w:val="231F20"/>
          <w:w w:val="105"/>
        </w:rPr>
        <w:t>that</w:t>
      </w:r>
      <w:r>
        <w:rPr>
          <w:color w:val="231F20"/>
          <w:spacing w:val="-13"/>
          <w:w w:val="105"/>
        </w:rPr>
        <w:t> </w:t>
      </w:r>
      <w:r>
        <w:rPr>
          <w:color w:val="231F20"/>
          <w:w w:val="105"/>
        </w:rPr>
        <w:t>transnational</w:t>
      </w:r>
      <w:r>
        <w:rPr>
          <w:color w:val="231F20"/>
          <w:spacing w:val="-13"/>
          <w:w w:val="105"/>
        </w:rPr>
        <w:t> </w:t>
      </w:r>
      <w:r>
        <w:rPr>
          <w:color w:val="231F20"/>
          <w:w w:val="105"/>
        </w:rPr>
        <w:t>parents</w:t>
      </w:r>
      <w:r>
        <w:rPr>
          <w:color w:val="231F20"/>
          <w:spacing w:val="-13"/>
          <w:w w:val="105"/>
        </w:rPr>
        <w:t> </w:t>
      </w:r>
      <w:r>
        <w:rPr>
          <w:color w:val="231F20"/>
          <w:w w:val="105"/>
        </w:rPr>
        <w:t>do</w:t>
      </w:r>
      <w:r>
        <w:rPr>
          <w:color w:val="231F20"/>
          <w:spacing w:val="-13"/>
          <w:w w:val="105"/>
        </w:rPr>
        <w:t> </w:t>
      </w:r>
      <w:r>
        <w:rPr>
          <w:color w:val="231F20"/>
          <w:w w:val="105"/>
        </w:rPr>
        <w:t>not</w:t>
      </w:r>
      <w:r>
        <w:rPr>
          <w:color w:val="231F20"/>
          <w:spacing w:val="-13"/>
          <w:w w:val="105"/>
        </w:rPr>
        <w:t> </w:t>
      </w:r>
      <w:r>
        <w:rPr>
          <w:color w:val="231F20"/>
          <w:w w:val="105"/>
        </w:rPr>
        <w:t>produce</w:t>
      </w:r>
      <w:r>
        <w:rPr>
          <w:color w:val="231F20"/>
          <w:spacing w:val="-13"/>
          <w:w w:val="105"/>
        </w:rPr>
        <w:t> </w:t>
      </w:r>
      <w:r>
        <w:rPr>
          <w:color w:val="231F20"/>
          <w:w w:val="105"/>
        </w:rPr>
        <w:t>trans- national</w:t>
      </w:r>
      <w:r>
        <w:rPr>
          <w:color w:val="231F20"/>
          <w:spacing w:val="-5"/>
          <w:w w:val="105"/>
        </w:rPr>
        <w:t> </w:t>
      </w:r>
      <w:r>
        <w:rPr>
          <w:color w:val="231F20"/>
          <w:w w:val="105"/>
        </w:rPr>
        <w:t>children</w:t>
      </w:r>
      <w:r>
        <w:rPr>
          <w:color w:val="231F20"/>
          <w:spacing w:val="-5"/>
          <w:w w:val="105"/>
        </w:rPr>
        <w:t> </w:t>
      </w:r>
      <w:r>
        <w:rPr>
          <w:color w:val="231F20"/>
          <w:w w:val="105"/>
        </w:rPr>
        <w:t>(Alba</w:t>
      </w:r>
      <w:r>
        <w:rPr>
          <w:color w:val="231F20"/>
          <w:spacing w:val="-5"/>
          <w:w w:val="105"/>
        </w:rPr>
        <w:t> </w:t>
      </w:r>
      <w:r>
        <w:rPr>
          <w:color w:val="231F20"/>
          <w:w w:val="105"/>
        </w:rPr>
        <w:t>and</w:t>
      </w:r>
      <w:r>
        <w:rPr>
          <w:color w:val="231F20"/>
          <w:spacing w:val="-5"/>
          <w:w w:val="105"/>
        </w:rPr>
        <w:t> </w:t>
      </w:r>
      <w:r>
        <w:rPr>
          <w:color w:val="231F20"/>
          <w:w w:val="105"/>
        </w:rPr>
        <w:t>Nee,</w:t>
      </w:r>
      <w:r>
        <w:rPr>
          <w:color w:val="231F20"/>
          <w:spacing w:val="-10"/>
          <w:w w:val="105"/>
        </w:rPr>
        <w:t> </w:t>
      </w:r>
      <w:r>
        <w:rPr>
          <w:color w:val="231F20"/>
          <w:w w:val="105"/>
        </w:rPr>
        <w:t>2003;</w:t>
      </w:r>
      <w:r>
        <w:rPr>
          <w:color w:val="231F20"/>
          <w:spacing w:val="-5"/>
          <w:w w:val="105"/>
        </w:rPr>
        <w:t> </w:t>
      </w:r>
      <w:r>
        <w:rPr>
          <w:color w:val="231F20"/>
          <w:w w:val="105"/>
        </w:rPr>
        <w:t>Kasinitz</w:t>
      </w:r>
      <w:r>
        <w:rPr>
          <w:color w:val="231F20"/>
          <w:spacing w:val="-5"/>
          <w:w w:val="105"/>
        </w:rPr>
        <w:t> </w:t>
      </w:r>
      <w:r>
        <w:rPr>
          <w:color w:val="231F20"/>
          <w:w w:val="105"/>
        </w:rPr>
        <w:t>et</w:t>
      </w:r>
      <w:r>
        <w:rPr>
          <w:color w:val="231F20"/>
          <w:spacing w:val="-5"/>
          <w:w w:val="105"/>
        </w:rPr>
        <w:t> </w:t>
      </w:r>
      <w:r>
        <w:rPr>
          <w:color w:val="231F20"/>
          <w:w w:val="105"/>
        </w:rPr>
        <w:t>al.,</w:t>
      </w:r>
      <w:r>
        <w:rPr>
          <w:color w:val="231F20"/>
          <w:spacing w:val="-10"/>
          <w:w w:val="105"/>
        </w:rPr>
        <w:t> </w:t>
      </w:r>
      <w:r>
        <w:rPr>
          <w:color w:val="231F20"/>
          <w:w w:val="105"/>
        </w:rPr>
        <w:t>2010),</w:t>
      </w:r>
      <w:r>
        <w:rPr>
          <w:color w:val="231F20"/>
          <w:spacing w:val="-10"/>
          <w:w w:val="105"/>
        </w:rPr>
        <w:t> </w:t>
      </w:r>
      <w:r>
        <w:rPr>
          <w:color w:val="231F20"/>
          <w:w w:val="105"/>
        </w:rPr>
        <w:t>as</w:t>
      </w:r>
      <w:r>
        <w:rPr>
          <w:color w:val="231F20"/>
          <w:spacing w:val="-5"/>
          <w:w w:val="105"/>
        </w:rPr>
        <w:t> </w:t>
      </w:r>
      <w:r>
        <w:rPr>
          <w:color w:val="231F20"/>
          <w:w w:val="105"/>
        </w:rPr>
        <w:t>many</w:t>
      </w:r>
      <w:r>
        <w:rPr>
          <w:color w:val="231F20"/>
          <w:spacing w:val="-5"/>
          <w:w w:val="105"/>
        </w:rPr>
        <w:t> </w:t>
      </w:r>
      <w:r>
        <w:rPr>
          <w:color w:val="231F20"/>
          <w:w w:val="105"/>
        </w:rPr>
        <w:t>in the later generations are not fluent in the parent’s language, know little about their parents places of origin, and have no plans to live in their parents’</w:t>
      </w:r>
      <w:r>
        <w:rPr>
          <w:color w:val="231F20"/>
          <w:spacing w:val="-22"/>
          <w:w w:val="105"/>
        </w:rPr>
        <w:t> </w:t>
      </w:r>
      <w:r>
        <w:rPr>
          <w:color w:val="231F20"/>
          <w:w w:val="105"/>
        </w:rPr>
        <w:t>country.</w:t>
      </w:r>
      <w:r>
        <w:rPr>
          <w:color w:val="231F20"/>
          <w:spacing w:val="-27"/>
          <w:w w:val="105"/>
        </w:rPr>
        <w:t> </w:t>
      </w:r>
      <w:r>
        <w:rPr>
          <w:color w:val="231F20"/>
          <w:w w:val="105"/>
        </w:rPr>
        <w:t>Nonetheless,</w:t>
      </w:r>
      <w:r>
        <w:rPr>
          <w:color w:val="231F20"/>
          <w:spacing w:val="-27"/>
          <w:w w:val="105"/>
        </w:rPr>
        <w:t> </w:t>
      </w:r>
      <w:r>
        <w:rPr>
          <w:color w:val="231F20"/>
          <w:w w:val="105"/>
        </w:rPr>
        <w:t>fluency</w:t>
      </w:r>
      <w:r>
        <w:rPr>
          <w:color w:val="231F20"/>
          <w:spacing w:val="-22"/>
          <w:w w:val="105"/>
        </w:rPr>
        <w:t> </w:t>
      </w:r>
      <w:r>
        <w:rPr>
          <w:color w:val="231F20"/>
          <w:w w:val="105"/>
        </w:rPr>
        <w:t>in</w:t>
      </w:r>
      <w:r>
        <w:rPr>
          <w:color w:val="231F20"/>
          <w:spacing w:val="-22"/>
          <w:w w:val="105"/>
        </w:rPr>
        <w:t> </w:t>
      </w:r>
      <w:r>
        <w:rPr>
          <w:color w:val="231F20"/>
          <w:w w:val="105"/>
        </w:rPr>
        <w:t>the</w:t>
      </w:r>
      <w:r>
        <w:rPr>
          <w:color w:val="231F20"/>
          <w:spacing w:val="-22"/>
          <w:w w:val="105"/>
        </w:rPr>
        <w:t> </w:t>
      </w:r>
      <w:r>
        <w:rPr>
          <w:color w:val="231F20"/>
          <w:w w:val="105"/>
        </w:rPr>
        <w:t>parent’s</w:t>
      </w:r>
      <w:r>
        <w:rPr>
          <w:color w:val="231F20"/>
          <w:spacing w:val="-22"/>
          <w:w w:val="105"/>
        </w:rPr>
        <w:t> </w:t>
      </w:r>
      <w:r>
        <w:rPr>
          <w:color w:val="231F20"/>
          <w:w w:val="105"/>
        </w:rPr>
        <w:t>language</w:t>
      </w:r>
      <w:r>
        <w:rPr>
          <w:color w:val="231F20"/>
          <w:spacing w:val="-22"/>
          <w:w w:val="105"/>
        </w:rPr>
        <w:t> </w:t>
      </w:r>
      <w:r>
        <w:rPr>
          <w:color w:val="231F20"/>
          <w:w w:val="105"/>
        </w:rPr>
        <w:t>is</w:t>
      </w:r>
      <w:r>
        <w:rPr>
          <w:color w:val="231F20"/>
          <w:spacing w:val="-22"/>
          <w:w w:val="105"/>
        </w:rPr>
        <w:t> </w:t>
      </w:r>
      <w:r>
        <w:rPr>
          <w:color w:val="231F20"/>
          <w:w w:val="105"/>
        </w:rPr>
        <w:t>also</w:t>
      </w:r>
      <w:r>
        <w:rPr>
          <w:color w:val="231F20"/>
          <w:spacing w:val="-22"/>
          <w:w w:val="105"/>
        </w:rPr>
        <w:t> </w:t>
      </w:r>
      <w:r>
        <w:rPr>
          <w:color w:val="231F20"/>
          <w:w w:val="105"/>
        </w:rPr>
        <w:t>at- tained among members of younger transnational generations, who  </w:t>
      </w:r>
      <w:r>
        <w:rPr>
          <w:color w:val="231F20"/>
          <w:spacing w:val="20"/>
          <w:w w:val="105"/>
        </w:rPr>
        <w:t> </w:t>
      </w:r>
      <w:r>
        <w:rPr>
          <w:color w:val="231F20"/>
          <w:w w:val="105"/>
        </w:rPr>
        <w:t>do</w:t>
      </w:r>
    </w:p>
    <w:p>
      <w:pPr>
        <w:pStyle w:val="BodyText"/>
        <w:rPr>
          <w:sz w:val="20"/>
        </w:rPr>
      </w:pPr>
    </w:p>
    <w:p>
      <w:pPr>
        <w:pStyle w:val="BodyText"/>
        <w:rPr>
          <w:sz w:val="20"/>
        </w:rPr>
      </w:pPr>
    </w:p>
    <w:p>
      <w:pPr>
        <w:pStyle w:val="BodyText"/>
        <w:spacing w:before="7"/>
        <w:rPr>
          <w:sz w:val="20"/>
        </w:rPr>
      </w:pPr>
    </w:p>
    <w:p>
      <w:pPr>
        <w:tabs>
          <w:tab w:pos="2937" w:val="left" w:leader="none"/>
        </w:tabs>
        <w:spacing w:before="0"/>
        <w:ind w:left="1832" w:right="0" w:firstLine="0"/>
        <w:jc w:val="left"/>
        <w:rPr>
          <w:rFonts w:ascii="Calibri"/>
          <w:sz w:val="15"/>
        </w:rPr>
      </w:pPr>
      <w:r>
        <w:rPr/>
        <w:pict>
          <v:line style="position:absolute;mso-position-horizontal-relative:page;mso-position-vertical-relative:paragraph;z-index:-446440" from="131.551193pt,.203715pt" to="131.551193pt,36.006114pt" stroked="true" strokeweight=".35pt" strokecolor="#231f20">
            <w10:wrap type="none"/>
          </v:line>
        </w:pict>
      </w:r>
      <w:r>
        <w:rPr/>
        <w:pict>
          <v:line style="position:absolute;mso-position-horizontal-relative:page;mso-position-vertical-relative:paragraph;z-index:-446368" from="15pt,36.005917pt" to="0pt,36.005917pt" stroked="true" strokeweight=".25pt" strokecolor="#000000">
            <w10:wrap type="none"/>
          </v:line>
        </w:pict>
      </w:r>
      <w:r>
        <w:rPr/>
        <w:pict>
          <v:line style="position:absolute;mso-position-horizontal-relative:page;mso-position-vertical-relative:paragraph;z-index:43840" from="508.890015pt,36.005917pt" to="523.890015pt,36.005917pt" stroked="true" strokeweight=".25pt" strokecolor="#000000">
            <w10:wrap type="none"/>
          </v:line>
        </w:pict>
      </w:r>
      <w:r>
        <w:rPr>
          <w:rFonts w:ascii="Arial"/>
          <w:color w:val="414042"/>
          <w:position w:val="-5"/>
          <w:sz w:val="20"/>
        </w:rPr>
        <w:t>372</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3864" from="405.061005pt,-27.904295pt" to="405.061005pt,6.961579pt" stroked="true" strokeweight=".35pt" strokecolor="#231f20">
            <w10:wrap type="none"/>
          </v:line>
        </w:pict>
      </w:r>
      <w:r>
        <w:rPr/>
        <w:pict>
          <v:line style="position:absolute;mso-position-horizontal-relative:page;mso-position-vertical-relative:paragraph;z-index:43888" from="15pt,-27.90452pt" to="0pt,-27.90452pt" stroked="true" strokeweight=".25pt" strokecolor="#000000">
            <w10:wrap type="none"/>
          </v:line>
        </w:pict>
      </w:r>
      <w:r>
        <w:rPr/>
        <w:pict>
          <v:line style="position:absolute;mso-position-horizontal-relative:page;mso-position-vertical-relative:paragraph;z-index:4391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373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pStyle w:val="BodyText"/>
        <w:spacing w:line="261" w:lineRule="auto" w:before="60"/>
        <w:ind w:left="1837" w:right="1716"/>
        <w:jc w:val="both"/>
      </w:pPr>
      <w:r>
        <w:rPr>
          <w:color w:val="231F20"/>
          <w:w w:val="105"/>
        </w:rPr>
        <w:t>continue to have a degree of activity in the parents’ country of origin. Facebook</w:t>
      </w:r>
      <w:r>
        <w:rPr>
          <w:color w:val="231F20"/>
          <w:spacing w:val="-13"/>
          <w:w w:val="105"/>
        </w:rPr>
        <w:t> </w:t>
      </w:r>
      <w:r>
        <w:rPr>
          <w:color w:val="231F20"/>
          <w:w w:val="105"/>
        </w:rPr>
        <w:t>is</w:t>
      </w:r>
      <w:r>
        <w:rPr>
          <w:color w:val="231F20"/>
          <w:spacing w:val="-13"/>
          <w:w w:val="105"/>
        </w:rPr>
        <w:t> </w:t>
      </w:r>
      <w:r>
        <w:rPr>
          <w:color w:val="231F20"/>
          <w:w w:val="105"/>
        </w:rPr>
        <w:t>an</w:t>
      </w:r>
      <w:r>
        <w:rPr>
          <w:color w:val="231F20"/>
          <w:spacing w:val="-13"/>
          <w:w w:val="105"/>
        </w:rPr>
        <w:t> </w:t>
      </w:r>
      <w:r>
        <w:rPr>
          <w:color w:val="231F20"/>
          <w:w w:val="105"/>
        </w:rPr>
        <w:t>example</w:t>
      </w:r>
      <w:r>
        <w:rPr>
          <w:color w:val="231F20"/>
          <w:spacing w:val="-13"/>
          <w:w w:val="105"/>
        </w:rPr>
        <w:t> </w:t>
      </w:r>
      <w:r>
        <w:rPr>
          <w:color w:val="231F20"/>
          <w:w w:val="105"/>
        </w:rPr>
        <w:t>of</w:t>
      </w:r>
      <w:r>
        <w:rPr>
          <w:color w:val="231F20"/>
          <w:spacing w:val="-9"/>
          <w:w w:val="105"/>
        </w:rPr>
        <w:t> </w:t>
      </w:r>
      <w:r>
        <w:rPr>
          <w:color w:val="231F20"/>
          <w:w w:val="105"/>
        </w:rPr>
        <w:t>how</w:t>
      </w:r>
      <w:r>
        <w:rPr>
          <w:color w:val="231F20"/>
          <w:spacing w:val="-13"/>
          <w:w w:val="105"/>
        </w:rPr>
        <w:t> </w:t>
      </w:r>
      <w:r>
        <w:rPr>
          <w:color w:val="231F20"/>
          <w:w w:val="105"/>
        </w:rPr>
        <w:t>members</w:t>
      </w:r>
      <w:r>
        <w:rPr>
          <w:color w:val="231F20"/>
          <w:spacing w:val="-13"/>
          <w:w w:val="105"/>
        </w:rPr>
        <w:t> </w:t>
      </w:r>
      <w:r>
        <w:rPr>
          <w:color w:val="231F20"/>
          <w:w w:val="105"/>
        </w:rPr>
        <w:t>constantly</w:t>
      </w:r>
      <w:r>
        <w:rPr>
          <w:color w:val="231F20"/>
          <w:spacing w:val="-13"/>
          <w:w w:val="105"/>
        </w:rPr>
        <w:t> </w:t>
      </w:r>
      <w:r>
        <w:rPr>
          <w:color w:val="231F20"/>
          <w:w w:val="105"/>
        </w:rPr>
        <w:t>try</w:t>
      </w:r>
      <w:r>
        <w:rPr>
          <w:color w:val="231F20"/>
          <w:spacing w:val="-13"/>
          <w:w w:val="105"/>
        </w:rPr>
        <w:t> </w:t>
      </w:r>
      <w:r>
        <w:rPr>
          <w:color w:val="231F20"/>
          <w:w w:val="105"/>
        </w:rPr>
        <w:t>to</w:t>
      </w:r>
      <w:r>
        <w:rPr>
          <w:color w:val="231F20"/>
          <w:spacing w:val="-13"/>
          <w:w w:val="105"/>
        </w:rPr>
        <w:t> </w:t>
      </w:r>
      <w:r>
        <w:rPr>
          <w:color w:val="231F20"/>
          <w:w w:val="105"/>
        </w:rPr>
        <w:t>communicate with other members in Mexico and integrate Spanish. The more institu- tionalized</w:t>
      </w:r>
      <w:r>
        <w:rPr>
          <w:color w:val="231F20"/>
          <w:spacing w:val="-10"/>
          <w:w w:val="105"/>
        </w:rPr>
        <w:t> </w:t>
      </w:r>
      <w:r>
        <w:rPr>
          <w:color w:val="231F20"/>
          <w:w w:val="105"/>
        </w:rPr>
        <w:t>the</w:t>
      </w:r>
      <w:r>
        <w:rPr>
          <w:color w:val="231F20"/>
          <w:spacing w:val="-10"/>
          <w:w w:val="105"/>
        </w:rPr>
        <w:t> </w:t>
      </w:r>
      <w:r>
        <w:rPr>
          <w:color w:val="231F20"/>
          <w:w w:val="105"/>
        </w:rPr>
        <w:t>relationships</w:t>
      </w:r>
      <w:r>
        <w:rPr>
          <w:color w:val="231F20"/>
          <w:spacing w:val="-10"/>
          <w:w w:val="105"/>
        </w:rPr>
        <w:t> </w:t>
      </w:r>
      <w:r>
        <w:rPr>
          <w:color w:val="231F20"/>
          <w:w w:val="105"/>
        </w:rPr>
        <w:t>in</w:t>
      </w:r>
      <w:r>
        <w:rPr>
          <w:color w:val="231F20"/>
          <w:spacing w:val="-10"/>
          <w:w w:val="105"/>
        </w:rPr>
        <w:t> </w:t>
      </w:r>
      <w:r>
        <w:rPr>
          <w:color w:val="231F20"/>
          <w:w w:val="105"/>
        </w:rPr>
        <w:t>the</w:t>
      </w:r>
      <w:r>
        <w:rPr>
          <w:color w:val="231F20"/>
          <w:spacing w:val="-10"/>
          <w:w w:val="105"/>
        </w:rPr>
        <w:t> </w:t>
      </w:r>
      <w:r>
        <w:rPr>
          <w:color w:val="231F20"/>
          <w:w w:val="105"/>
        </w:rPr>
        <w:t>transnational</w:t>
      </w:r>
      <w:r>
        <w:rPr>
          <w:color w:val="231F20"/>
          <w:spacing w:val="-10"/>
          <w:w w:val="105"/>
        </w:rPr>
        <w:t> </w:t>
      </w:r>
      <w:r>
        <w:rPr>
          <w:color w:val="231F20"/>
          <w:w w:val="105"/>
        </w:rPr>
        <w:t>space</w:t>
      </w:r>
      <w:r>
        <w:rPr>
          <w:color w:val="231F20"/>
          <w:spacing w:val="-10"/>
          <w:w w:val="105"/>
        </w:rPr>
        <w:t> </w:t>
      </w:r>
      <w:r>
        <w:rPr>
          <w:color w:val="231F20"/>
          <w:w w:val="105"/>
        </w:rPr>
        <w:t>are,</w:t>
      </w:r>
      <w:r>
        <w:rPr>
          <w:color w:val="231F20"/>
          <w:spacing w:val="-15"/>
          <w:w w:val="105"/>
        </w:rPr>
        <w:t> </w:t>
      </w:r>
      <w:r>
        <w:rPr>
          <w:color w:val="231F20"/>
          <w:w w:val="105"/>
        </w:rPr>
        <w:t>the</w:t>
      </w:r>
      <w:r>
        <w:rPr>
          <w:color w:val="231F20"/>
          <w:spacing w:val="-10"/>
          <w:w w:val="105"/>
        </w:rPr>
        <w:t> </w:t>
      </w:r>
      <w:r>
        <w:rPr>
          <w:color w:val="231F20"/>
          <w:w w:val="105"/>
        </w:rPr>
        <w:t>higher</w:t>
      </w:r>
      <w:r>
        <w:rPr>
          <w:color w:val="231F20"/>
          <w:spacing w:val="-10"/>
          <w:w w:val="105"/>
        </w:rPr>
        <w:t> </w:t>
      </w:r>
      <w:r>
        <w:rPr>
          <w:color w:val="231F20"/>
          <w:w w:val="105"/>
        </w:rPr>
        <w:t>the probability</w:t>
      </w:r>
      <w:r>
        <w:rPr>
          <w:color w:val="231F20"/>
          <w:spacing w:val="-22"/>
          <w:w w:val="105"/>
        </w:rPr>
        <w:t> </w:t>
      </w:r>
      <w:r>
        <w:rPr>
          <w:color w:val="231F20"/>
          <w:w w:val="105"/>
        </w:rPr>
        <w:t>that</w:t>
      </w:r>
      <w:r>
        <w:rPr>
          <w:color w:val="231F20"/>
          <w:spacing w:val="-22"/>
          <w:w w:val="105"/>
        </w:rPr>
        <w:t> </w:t>
      </w:r>
      <w:r>
        <w:rPr>
          <w:color w:val="231F20"/>
          <w:w w:val="105"/>
        </w:rPr>
        <w:t>transnational</w:t>
      </w:r>
      <w:r>
        <w:rPr>
          <w:color w:val="231F20"/>
          <w:spacing w:val="-22"/>
          <w:w w:val="105"/>
        </w:rPr>
        <w:t> </w:t>
      </w:r>
      <w:r>
        <w:rPr>
          <w:color w:val="231F20"/>
          <w:w w:val="105"/>
        </w:rPr>
        <w:t>membership</w:t>
      </w:r>
      <w:r>
        <w:rPr>
          <w:color w:val="231F20"/>
          <w:spacing w:val="-22"/>
          <w:w w:val="105"/>
        </w:rPr>
        <w:t> </w:t>
      </w:r>
      <w:r>
        <w:rPr>
          <w:color w:val="231F20"/>
          <w:w w:val="105"/>
        </w:rPr>
        <w:t>persists</w:t>
      </w:r>
      <w:r>
        <w:rPr>
          <w:color w:val="231F20"/>
          <w:spacing w:val="-22"/>
          <w:w w:val="105"/>
        </w:rPr>
        <w:t> </w:t>
      </w:r>
      <w:r>
        <w:rPr>
          <w:color w:val="231F20"/>
          <w:w w:val="105"/>
        </w:rPr>
        <w:t>(Levitt,</w:t>
      </w:r>
      <w:r>
        <w:rPr>
          <w:color w:val="231F20"/>
          <w:spacing w:val="-27"/>
          <w:w w:val="105"/>
        </w:rPr>
        <w:t> </w:t>
      </w:r>
      <w:r>
        <w:rPr>
          <w:color w:val="231F20"/>
          <w:w w:val="105"/>
        </w:rPr>
        <w:t>2001).</w:t>
      </w:r>
    </w:p>
    <w:p>
      <w:pPr>
        <w:pStyle w:val="BodyText"/>
        <w:spacing w:line="261" w:lineRule="auto" w:before="1"/>
        <w:ind w:left="1837" w:right="1715" w:firstLine="567"/>
        <w:jc w:val="both"/>
      </w:pPr>
      <w:r>
        <w:rPr>
          <w:color w:val="231F20"/>
          <w:w w:val="105"/>
        </w:rPr>
        <w:t>This study argues that Facebook has allowed members to move some</w:t>
      </w:r>
      <w:r>
        <w:rPr>
          <w:color w:val="231F20"/>
          <w:spacing w:val="-17"/>
          <w:w w:val="105"/>
        </w:rPr>
        <w:t> </w:t>
      </w:r>
      <w:r>
        <w:rPr>
          <w:color w:val="231F20"/>
          <w:w w:val="105"/>
        </w:rPr>
        <w:t>of</w:t>
      </w:r>
      <w:r>
        <w:rPr>
          <w:color w:val="231F20"/>
          <w:spacing w:val="-13"/>
          <w:w w:val="105"/>
        </w:rPr>
        <w:t> </w:t>
      </w:r>
      <w:r>
        <w:rPr>
          <w:color w:val="231F20"/>
          <w:w w:val="105"/>
        </w:rPr>
        <w:t>their</w:t>
      </w:r>
      <w:r>
        <w:rPr>
          <w:color w:val="231F20"/>
          <w:spacing w:val="-17"/>
          <w:w w:val="105"/>
        </w:rPr>
        <w:t> </w:t>
      </w:r>
      <w:r>
        <w:rPr>
          <w:color w:val="231F20"/>
          <w:w w:val="105"/>
        </w:rPr>
        <w:t>transnational</w:t>
      </w:r>
      <w:r>
        <w:rPr>
          <w:color w:val="231F20"/>
          <w:spacing w:val="-17"/>
          <w:w w:val="105"/>
        </w:rPr>
        <w:t> </w:t>
      </w:r>
      <w:r>
        <w:rPr>
          <w:color w:val="231F20"/>
          <w:w w:val="105"/>
        </w:rPr>
        <w:t>experiences</w:t>
      </w:r>
      <w:r>
        <w:rPr>
          <w:color w:val="231F20"/>
          <w:spacing w:val="-17"/>
          <w:w w:val="105"/>
        </w:rPr>
        <w:t> </w:t>
      </w:r>
      <w:r>
        <w:rPr>
          <w:color w:val="231F20"/>
          <w:w w:val="105"/>
        </w:rPr>
        <w:t>to</w:t>
      </w:r>
      <w:r>
        <w:rPr>
          <w:color w:val="231F20"/>
          <w:spacing w:val="-17"/>
          <w:w w:val="105"/>
        </w:rPr>
        <w:t> </w:t>
      </w:r>
      <w:r>
        <w:rPr>
          <w:color w:val="231F20"/>
          <w:w w:val="105"/>
        </w:rPr>
        <w:t>this</w:t>
      </w:r>
      <w:r>
        <w:rPr>
          <w:color w:val="231F20"/>
          <w:spacing w:val="-17"/>
          <w:w w:val="105"/>
        </w:rPr>
        <w:t> </w:t>
      </w:r>
      <w:r>
        <w:rPr>
          <w:color w:val="231F20"/>
          <w:w w:val="105"/>
        </w:rPr>
        <w:t>“new”</w:t>
      </w:r>
      <w:r>
        <w:rPr>
          <w:color w:val="231F20"/>
          <w:spacing w:val="-17"/>
          <w:w w:val="105"/>
        </w:rPr>
        <w:t> </w:t>
      </w:r>
      <w:r>
        <w:rPr>
          <w:color w:val="231F20"/>
          <w:w w:val="105"/>
        </w:rPr>
        <w:t>transnational</w:t>
      </w:r>
      <w:r>
        <w:rPr>
          <w:color w:val="231F20"/>
          <w:spacing w:val="-17"/>
          <w:w w:val="105"/>
        </w:rPr>
        <w:t> </w:t>
      </w:r>
      <w:r>
        <w:rPr>
          <w:color w:val="231F20"/>
          <w:w w:val="105"/>
        </w:rPr>
        <w:t>digital space.</w:t>
      </w:r>
      <w:r>
        <w:rPr>
          <w:color w:val="231F20"/>
          <w:spacing w:val="-27"/>
          <w:w w:val="105"/>
        </w:rPr>
        <w:t> </w:t>
      </w:r>
      <w:r>
        <w:rPr>
          <w:color w:val="231F20"/>
          <w:w w:val="105"/>
        </w:rPr>
        <w:t>By</w:t>
      </w:r>
      <w:r>
        <w:rPr>
          <w:color w:val="231F20"/>
          <w:spacing w:val="-22"/>
          <w:w w:val="105"/>
        </w:rPr>
        <w:t> </w:t>
      </w:r>
      <w:r>
        <w:rPr>
          <w:color w:val="231F20"/>
          <w:w w:val="105"/>
        </w:rPr>
        <w:t>allowing</w:t>
      </w:r>
      <w:r>
        <w:rPr>
          <w:color w:val="231F20"/>
          <w:spacing w:val="-22"/>
          <w:w w:val="105"/>
        </w:rPr>
        <w:t> </w:t>
      </w:r>
      <w:r>
        <w:rPr>
          <w:color w:val="231F20"/>
          <w:w w:val="105"/>
        </w:rPr>
        <w:t>members</w:t>
      </w:r>
      <w:r>
        <w:rPr>
          <w:color w:val="231F20"/>
          <w:spacing w:val="-22"/>
          <w:w w:val="105"/>
        </w:rPr>
        <w:t> </w:t>
      </w:r>
      <w:r>
        <w:rPr>
          <w:color w:val="231F20"/>
          <w:w w:val="105"/>
        </w:rPr>
        <w:t>to</w:t>
      </w:r>
      <w:r>
        <w:rPr>
          <w:color w:val="231F20"/>
          <w:spacing w:val="-22"/>
          <w:w w:val="105"/>
        </w:rPr>
        <w:t> </w:t>
      </w:r>
      <w:r>
        <w:rPr>
          <w:color w:val="231F20"/>
          <w:w w:val="105"/>
        </w:rPr>
        <w:t>include</w:t>
      </w:r>
      <w:r>
        <w:rPr>
          <w:color w:val="231F20"/>
          <w:spacing w:val="-22"/>
          <w:w w:val="105"/>
        </w:rPr>
        <w:t> </w:t>
      </w:r>
      <w:r>
        <w:rPr>
          <w:color w:val="231F20"/>
          <w:w w:val="105"/>
        </w:rPr>
        <w:t>photos,</w:t>
      </w:r>
      <w:r>
        <w:rPr>
          <w:color w:val="231F20"/>
          <w:spacing w:val="-27"/>
          <w:w w:val="105"/>
        </w:rPr>
        <w:t> </w:t>
      </w:r>
      <w:r>
        <w:rPr>
          <w:color w:val="231F20"/>
          <w:w w:val="105"/>
        </w:rPr>
        <w:t>videos,</w:t>
      </w:r>
      <w:r>
        <w:rPr>
          <w:color w:val="231F20"/>
          <w:spacing w:val="-27"/>
          <w:w w:val="105"/>
        </w:rPr>
        <w:t> </w:t>
      </w:r>
      <w:r>
        <w:rPr>
          <w:color w:val="231F20"/>
          <w:w w:val="105"/>
        </w:rPr>
        <w:t>website</w:t>
      </w:r>
      <w:r>
        <w:rPr>
          <w:color w:val="231F20"/>
          <w:spacing w:val="-22"/>
          <w:w w:val="105"/>
        </w:rPr>
        <w:t> </w:t>
      </w:r>
      <w:r>
        <w:rPr>
          <w:color w:val="231F20"/>
          <w:w w:val="105"/>
        </w:rPr>
        <w:t>links,</w:t>
      </w:r>
      <w:r>
        <w:rPr>
          <w:color w:val="231F20"/>
          <w:spacing w:val="-27"/>
          <w:w w:val="105"/>
        </w:rPr>
        <w:t> </w:t>
      </w:r>
      <w:r>
        <w:rPr>
          <w:color w:val="231F20"/>
          <w:w w:val="105"/>
        </w:rPr>
        <w:t>and other forms of communication, Facebook provides a space for them to interact,</w:t>
      </w:r>
      <w:r>
        <w:rPr>
          <w:color w:val="231F20"/>
          <w:spacing w:val="-15"/>
          <w:w w:val="105"/>
        </w:rPr>
        <w:t> </w:t>
      </w:r>
      <w:r>
        <w:rPr>
          <w:color w:val="231F20"/>
          <w:w w:val="105"/>
        </w:rPr>
        <w:t>give</w:t>
      </w:r>
      <w:r>
        <w:rPr>
          <w:color w:val="231F20"/>
          <w:spacing w:val="-9"/>
          <w:w w:val="105"/>
        </w:rPr>
        <w:t> </w:t>
      </w:r>
      <w:r>
        <w:rPr>
          <w:color w:val="231F20"/>
          <w:w w:val="105"/>
        </w:rPr>
        <w:t>each</w:t>
      </w:r>
      <w:r>
        <w:rPr>
          <w:color w:val="231F20"/>
          <w:spacing w:val="-9"/>
          <w:w w:val="105"/>
        </w:rPr>
        <w:t> </w:t>
      </w:r>
      <w:r>
        <w:rPr>
          <w:color w:val="231F20"/>
          <w:w w:val="105"/>
        </w:rPr>
        <w:t>other</w:t>
      </w:r>
      <w:r>
        <w:rPr>
          <w:color w:val="231F20"/>
          <w:spacing w:val="-9"/>
          <w:w w:val="105"/>
        </w:rPr>
        <w:t> </w:t>
      </w:r>
      <w:r>
        <w:rPr>
          <w:color w:val="231F20"/>
          <w:w w:val="105"/>
        </w:rPr>
        <w:t>advice,</w:t>
      </w:r>
      <w:r>
        <w:rPr>
          <w:color w:val="231F20"/>
          <w:spacing w:val="-15"/>
          <w:w w:val="105"/>
        </w:rPr>
        <w:t> </w:t>
      </w:r>
      <w:r>
        <w:rPr>
          <w:color w:val="231F20"/>
          <w:w w:val="105"/>
        </w:rPr>
        <w:t>“shop”</w:t>
      </w:r>
      <w:r>
        <w:rPr>
          <w:color w:val="231F20"/>
          <w:spacing w:val="-9"/>
          <w:w w:val="105"/>
        </w:rPr>
        <w:t> </w:t>
      </w:r>
      <w:r>
        <w:rPr>
          <w:color w:val="231F20"/>
          <w:w w:val="105"/>
        </w:rPr>
        <w:t>together</w:t>
      </w:r>
      <w:r>
        <w:rPr>
          <w:color w:val="231F20"/>
          <w:spacing w:val="-9"/>
          <w:w w:val="105"/>
        </w:rPr>
        <w:t> </w:t>
      </w:r>
      <w:r>
        <w:rPr>
          <w:color w:val="231F20"/>
          <w:w w:val="105"/>
        </w:rPr>
        <w:t>online,</w:t>
      </w:r>
      <w:r>
        <w:rPr>
          <w:color w:val="231F20"/>
          <w:spacing w:val="-15"/>
          <w:w w:val="105"/>
        </w:rPr>
        <w:t> </w:t>
      </w:r>
      <w:r>
        <w:rPr>
          <w:color w:val="231F20"/>
          <w:w w:val="105"/>
        </w:rPr>
        <w:t>and</w:t>
      </w:r>
      <w:r>
        <w:rPr>
          <w:color w:val="231F20"/>
          <w:spacing w:val="-9"/>
          <w:w w:val="105"/>
        </w:rPr>
        <w:t> </w:t>
      </w:r>
      <w:r>
        <w:rPr>
          <w:color w:val="231F20"/>
          <w:w w:val="105"/>
        </w:rPr>
        <w:t>make</w:t>
      </w:r>
      <w:r>
        <w:rPr>
          <w:color w:val="231F20"/>
          <w:spacing w:val="-9"/>
          <w:w w:val="105"/>
        </w:rPr>
        <w:t> </w:t>
      </w:r>
      <w:r>
        <w:rPr>
          <w:color w:val="231F20"/>
          <w:w w:val="105"/>
        </w:rPr>
        <w:t>mem- bers</w:t>
      </w:r>
      <w:r>
        <w:rPr>
          <w:color w:val="231F20"/>
          <w:spacing w:val="-18"/>
          <w:w w:val="105"/>
        </w:rPr>
        <w:t> </w:t>
      </w:r>
      <w:r>
        <w:rPr>
          <w:color w:val="231F20"/>
          <w:w w:val="105"/>
        </w:rPr>
        <w:t>on</w:t>
      </w:r>
      <w:r>
        <w:rPr>
          <w:color w:val="231F20"/>
          <w:spacing w:val="-18"/>
          <w:w w:val="105"/>
        </w:rPr>
        <w:t> </w:t>
      </w:r>
      <w:r>
        <w:rPr>
          <w:color w:val="231F20"/>
          <w:w w:val="105"/>
        </w:rPr>
        <w:t>the</w:t>
      </w:r>
      <w:r>
        <w:rPr>
          <w:color w:val="231F20"/>
          <w:spacing w:val="-18"/>
          <w:w w:val="105"/>
        </w:rPr>
        <w:t> </w:t>
      </w:r>
      <w:r>
        <w:rPr>
          <w:color w:val="231F20"/>
          <w:w w:val="105"/>
        </w:rPr>
        <w:t>other</w:t>
      </w:r>
      <w:r>
        <w:rPr>
          <w:color w:val="231F20"/>
          <w:spacing w:val="-18"/>
          <w:w w:val="105"/>
        </w:rPr>
        <w:t> </w:t>
      </w:r>
      <w:r>
        <w:rPr>
          <w:color w:val="231F20"/>
          <w:w w:val="105"/>
        </w:rPr>
        <w:t>side</w:t>
      </w:r>
      <w:r>
        <w:rPr>
          <w:color w:val="231F20"/>
          <w:spacing w:val="-18"/>
          <w:w w:val="105"/>
        </w:rPr>
        <w:t> </w:t>
      </w:r>
      <w:r>
        <w:rPr>
          <w:color w:val="231F20"/>
          <w:w w:val="105"/>
        </w:rPr>
        <w:t>of</w:t>
      </w:r>
      <w:r>
        <w:rPr>
          <w:color w:val="231F20"/>
          <w:spacing w:val="-13"/>
          <w:w w:val="105"/>
        </w:rPr>
        <w:t> </w:t>
      </w:r>
      <w:r>
        <w:rPr>
          <w:color w:val="231F20"/>
          <w:w w:val="105"/>
        </w:rPr>
        <w:t>the</w:t>
      </w:r>
      <w:r>
        <w:rPr>
          <w:color w:val="231F20"/>
          <w:spacing w:val="-18"/>
          <w:w w:val="105"/>
        </w:rPr>
        <w:t> </w:t>
      </w:r>
      <w:r>
        <w:rPr>
          <w:color w:val="231F20"/>
          <w:w w:val="105"/>
        </w:rPr>
        <w:t>border</w:t>
      </w:r>
      <w:r>
        <w:rPr>
          <w:color w:val="231F20"/>
          <w:spacing w:val="-18"/>
          <w:w w:val="105"/>
        </w:rPr>
        <w:t> </w:t>
      </w:r>
      <w:r>
        <w:rPr>
          <w:color w:val="231F20"/>
          <w:w w:val="105"/>
        </w:rPr>
        <w:t>jealous</w:t>
      </w:r>
      <w:r>
        <w:rPr>
          <w:color w:val="231F20"/>
          <w:spacing w:val="-18"/>
          <w:w w:val="105"/>
        </w:rPr>
        <w:t> </w:t>
      </w:r>
      <w:r>
        <w:rPr>
          <w:color w:val="231F20"/>
          <w:w w:val="105"/>
        </w:rPr>
        <w:t>of</w:t>
      </w:r>
      <w:r>
        <w:rPr>
          <w:color w:val="231F20"/>
          <w:spacing w:val="-13"/>
          <w:w w:val="105"/>
        </w:rPr>
        <w:t> </w:t>
      </w:r>
      <w:r>
        <w:rPr>
          <w:color w:val="231F20"/>
          <w:w w:val="105"/>
        </w:rPr>
        <w:t>what</w:t>
      </w:r>
      <w:r>
        <w:rPr>
          <w:color w:val="231F20"/>
          <w:spacing w:val="-18"/>
          <w:w w:val="105"/>
        </w:rPr>
        <w:t> </w:t>
      </w:r>
      <w:r>
        <w:rPr>
          <w:color w:val="231F20"/>
          <w:w w:val="105"/>
        </w:rPr>
        <w:t>they</w:t>
      </w:r>
      <w:r>
        <w:rPr>
          <w:color w:val="231F20"/>
          <w:spacing w:val="-18"/>
          <w:w w:val="105"/>
        </w:rPr>
        <w:t> </w:t>
      </w:r>
      <w:r>
        <w:rPr>
          <w:color w:val="231F20"/>
          <w:w w:val="105"/>
        </w:rPr>
        <w:t>are</w:t>
      </w:r>
      <w:r>
        <w:rPr>
          <w:color w:val="231F20"/>
          <w:spacing w:val="-18"/>
          <w:w w:val="105"/>
        </w:rPr>
        <w:t> </w:t>
      </w:r>
      <w:r>
        <w:rPr>
          <w:color w:val="231F20"/>
          <w:w w:val="105"/>
        </w:rPr>
        <w:t>doing,</w:t>
      </w:r>
      <w:r>
        <w:rPr>
          <w:color w:val="231F20"/>
          <w:spacing w:val="-23"/>
          <w:w w:val="105"/>
        </w:rPr>
        <w:t> </w:t>
      </w:r>
      <w:r>
        <w:rPr>
          <w:color w:val="231F20"/>
          <w:w w:val="105"/>
        </w:rPr>
        <w:t>just</w:t>
      </w:r>
      <w:r>
        <w:rPr>
          <w:color w:val="231F20"/>
          <w:spacing w:val="-18"/>
          <w:w w:val="105"/>
        </w:rPr>
        <w:t> </w:t>
      </w:r>
      <w:r>
        <w:rPr>
          <w:color w:val="231F20"/>
          <w:w w:val="105"/>
        </w:rPr>
        <w:t>as friends</w:t>
      </w:r>
      <w:r>
        <w:rPr>
          <w:color w:val="231F20"/>
          <w:spacing w:val="-13"/>
          <w:w w:val="105"/>
        </w:rPr>
        <w:t> </w:t>
      </w:r>
      <w:r>
        <w:rPr>
          <w:color w:val="231F20"/>
          <w:w w:val="105"/>
        </w:rPr>
        <w:t>who</w:t>
      </w:r>
      <w:r>
        <w:rPr>
          <w:color w:val="231F20"/>
          <w:spacing w:val="-13"/>
          <w:w w:val="105"/>
        </w:rPr>
        <w:t> </w:t>
      </w:r>
      <w:r>
        <w:rPr>
          <w:color w:val="231F20"/>
          <w:w w:val="105"/>
        </w:rPr>
        <w:t>are</w:t>
      </w:r>
      <w:r>
        <w:rPr>
          <w:color w:val="231F20"/>
          <w:spacing w:val="-13"/>
          <w:w w:val="105"/>
        </w:rPr>
        <w:t> </w:t>
      </w:r>
      <w:r>
        <w:rPr>
          <w:color w:val="231F20"/>
          <w:w w:val="105"/>
        </w:rPr>
        <w:t>in</w:t>
      </w:r>
      <w:r>
        <w:rPr>
          <w:color w:val="231F20"/>
          <w:spacing w:val="-13"/>
          <w:w w:val="105"/>
        </w:rPr>
        <w:t> </w:t>
      </w:r>
      <w:r>
        <w:rPr>
          <w:color w:val="231F20"/>
          <w:w w:val="105"/>
        </w:rPr>
        <w:t>the</w:t>
      </w:r>
      <w:r>
        <w:rPr>
          <w:color w:val="231F20"/>
          <w:spacing w:val="-13"/>
          <w:w w:val="105"/>
        </w:rPr>
        <w:t> </w:t>
      </w:r>
      <w:r>
        <w:rPr>
          <w:color w:val="231F20"/>
          <w:w w:val="105"/>
        </w:rPr>
        <w:t>same</w:t>
      </w:r>
      <w:r>
        <w:rPr>
          <w:color w:val="231F20"/>
          <w:spacing w:val="-13"/>
          <w:w w:val="105"/>
        </w:rPr>
        <w:t> </w:t>
      </w:r>
      <w:r>
        <w:rPr>
          <w:color w:val="231F20"/>
          <w:w w:val="105"/>
        </w:rPr>
        <w:t>town</w:t>
      </w:r>
      <w:r>
        <w:rPr>
          <w:color w:val="231F20"/>
          <w:spacing w:val="-13"/>
          <w:w w:val="105"/>
        </w:rPr>
        <w:t> </w:t>
      </w:r>
      <w:r>
        <w:rPr>
          <w:color w:val="231F20"/>
          <w:w w:val="105"/>
        </w:rPr>
        <w:t>or</w:t>
      </w:r>
      <w:r>
        <w:rPr>
          <w:color w:val="231F20"/>
          <w:spacing w:val="-13"/>
          <w:w w:val="105"/>
        </w:rPr>
        <w:t> </w:t>
      </w:r>
      <w:r>
        <w:rPr>
          <w:color w:val="231F20"/>
          <w:w w:val="105"/>
        </w:rPr>
        <w:t>school</w:t>
      </w:r>
      <w:r>
        <w:rPr>
          <w:color w:val="231F20"/>
          <w:spacing w:val="-13"/>
          <w:w w:val="105"/>
        </w:rPr>
        <w:t> </w:t>
      </w:r>
      <w:r>
        <w:rPr>
          <w:color w:val="231F20"/>
          <w:w w:val="105"/>
        </w:rPr>
        <w:t>do.</w:t>
      </w:r>
      <w:r>
        <w:rPr>
          <w:color w:val="231F20"/>
          <w:spacing w:val="-18"/>
          <w:w w:val="105"/>
        </w:rPr>
        <w:t> </w:t>
      </w:r>
      <w:r>
        <w:rPr>
          <w:color w:val="231F20"/>
          <w:w w:val="105"/>
        </w:rPr>
        <w:t>Facebook</w:t>
      </w:r>
      <w:r>
        <w:rPr>
          <w:color w:val="231F20"/>
          <w:spacing w:val="-13"/>
          <w:w w:val="105"/>
        </w:rPr>
        <w:t> </w:t>
      </w:r>
      <w:r>
        <w:rPr>
          <w:color w:val="231F20"/>
          <w:w w:val="105"/>
        </w:rPr>
        <w:t>affords</w:t>
      </w:r>
      <w:r>
        <w:rPr>
          <w:color w:val="231F20"/>
          <w:spacing w:val="-13"/>
          <w:w w:val="105"/>
        </w:rPr>
        <w:t> </w:t>
      </w:r>
      <w:r>
        <w:rPr>
          <w:color w:val="231F20"/>
          <w:w w:val="105"/>
        </w:rPr>
        <w:t>users</w:t>
      </w:r>
      <w:r>
        <w:rPr>
          <w:color w:val="231F20"/>
          <w:spacing w:val="-13"/>
          <w:w w:val="105"/>
        </w:rPr>
        <w:t> </w:t>
      </w:r>
      <w:r>
        <w:rPr>
          <w:color w:val="231F20"/>
          <w:w w:val="105"/>
        </w:rPr>
        <w:t>a great</w:t>
      </w:r>
      <w:r>
        <w:rPr>
          <w:color w:val="231F20"/>
          <w:spacing w:val="-10"/>
          <w:w w:val="105"/>
        </w:rPr>
        <w:t> </w:t>
      </w:r>
      <w:r>
        <w:rPr>
          <w:color w:val="231F20"/>
          <w:w w:val="105"/>
        </w:rPr>
        <w:t>degree</w:t>
      </w:r>
      <w:r>
        <w:rPr>
          <w:color w:val="231F20"/>
          <w:spacing w:val="-10"/>
          <w:w w:val="105"/>
        </w:rPr>
        <w:t> </w:t>
      </w:r>
      <w:r>
        <w:rPr>
          <w:color w:val="231F20"/>
          <w:w w:val="105"/>
        </w:rPr>
        <w:t>of</w:t>
      </w:r>
      <w:r>
        <w:rPr>
          <w:color w:val="231F20"/>
          <w:spacing w:val="-6"/>
          <w:w w:val="105"/>
        </w:rPr>
        <w:t> </w:t>
      </w:r>
      <w:r>
        <w:rPr>
          <w:color w:val="231F20"/>
          <w:w w:val="105"/>
        </w:rPr>
        <w:t>agency</w:t>
      </w:r>
      <w:r>
        <w:rPr>
          <w:color w:val="231F20"/>
          <w:spacing w:val="-10"/>
          <w:w w:val="105"/>
        </w:rPr>
        <w:t> </w:t>
      </w:r>
      <w:r>
        <w:rPr>
          <w:color w:val="231F20"/>
          <w:w w:val="105"/>
        </w:rPr>
        <w:t>and</w:t>
      </w:r>
      <w:r>
        <w:rPr>
          <w:color w:val="231F20"/>
          <w:spacing w:val="-10"/>
          <w:w w:val="105"/>
        </w:rPr>
        <w:t> </w:t>
      </w:r>
      <w:r>
        <w:rPr>
          <w:color w:val="231F20"/>
          <w:w w:val="105"/>
        </w:rPr>
        <w:t>dialogical</w:t>
      </w:r>
      <w:r>
        <w:rPr>
          <w:color w:val="231F20"/>
          <w:spacing w:val="-10"/>
          <w:w w:val="105"/>
        </w:rPr>
        <w:t> </w:t>
      </w:r>
      <w:r>
        <w:rPr>
          <w:color w:val="231F20"/>
          <w:w w:val="105"/>
        </w:rPr>
        <w:t>discourse</w:t>
      </w:r>
      <w:r>
        <w:rPr>
          <w:color w:val="231F20"/>
          <w:spacing w:val="-10"/>
          <w:w w:val="105"/>
        </w:rPr>
        <w:t> </w:t>
      </w:r>
      <w:r>
        <w:rPr>
          <w:color w:val="231F20"/>
          <w:w w:val="105"/>
        </w:rPr>
        <w:t>that</w:t>
      </w:r>
      <w:r>
        <w:rPr>
          <w:color w:val="231F20"/>
          <w:spacing w:val="-10"/>
          <w:w w:val="105"/>
        </w:rPr>
        <w:t> </w:t>
      </w:r>
      <w:r>
        <w:rPr>
          <w:color w:val="231F20"/>
          <w:w w:val="105"/>
        </w:rPr>
        <w:t>transcends</w:t>
      </w:r>
      <w:r>
        <w:rPr>
          <w:color w:val="231F20"/>
          <w:spacing w:val="-10"/>
          <w:w w:val="105"/>
        </w:rPr>
        <w:t> </w:t>
      </w:r>
      <w:r>
        <w:rPr>
          <w:color w:val="231F20"/>
          <w:w w:val="105"/>
        </w:rPr>
        <w:t>spatial, temporal,</w:t>
      </w:r>
      <w:r>
        <w:rPr>
          <w:color w:val="231F20"/>
          <w:spacing w:val="-17"/>
          <w:w w:val="105"/>
        </w:rPr>
        <w:t> </w:t>
      </w:r>
      <w:r>
        <w:rPr>
          <w:color w:val="231F20"/>
          <w:w w:val="105"/>
        </w:rPr>
        <w:t>and</w:t>
      </w:r>
      <w:r>
        <w:rPr>
          <w:color w:val="231F20"/>
          <w:spacing w:val="-12"/>
          <w:w w:val="105"/>
        </w:rPr>
        <w:t> </w:t>
      </w:r>
      <w:r>
        <w:rPr>
          <w:color w:val="231F20"/>
          <w:w w:val="105"/>
        </w:rPr>
        <w:t>physical</w:t>
      </w:r>
      <w:r>
        <w:rPr>
          <w:color w:val="231F20"/>
          <w:spacing w:val="-12"/>
          <w:w w:val="105"/>
        </w:rPr>
        <w:t> </w:t>
      </w:r>
      <w:r>
        <w:rPr>
          <w:color w:val="231F20"/>
          <w:w w:val="105"/>
        </w:rPr>
        <w:t>borders.</w:t>
      </w:r>
      <w:r>
        <w:rPr>
          <w:color w:val="231F20"/>
          <w:spacing w:val="-21"/>
          <w:w w:val="105"/>
        </w:rPr>
        <w:t> </w:t>
      </w:r>
      <w:r>
        <w:rPr>
          <w:color w:val="231F20"/>
          <w:w w:val="105"/>
        </w:rPr>
        <w:t>As</w:t>
      </w:r>
      <w:r>
        <w:rPr>
          <w:color w:val="231F20"/>
          <w:spacing w:val="-12"/>
          <w:w w:val="105"/>
        </w:rPr>
        <w:t> </w:t>
      </w:r>
      <w:r>
        <w:rPr>
          <w:color w:val="231F20"/>
          <w:w w:val="105"/>
        </w:rPr>
        <w:t>noticed</w:t>
      </w:r>
      <w:r>
        <w:rPr>
          <w:color w:val="231F20"/>
          <w:spacing w:val="-12"/>
          <w:w w:val="105"/>
        </w:rPr>
        <w:t> </w:t>
      </w:r>
      <w:r>
        <w:rPr>
          <w:color w:val="231F20"/>
          <w:w w:val="105"/>
        </w:rPr>
        <w:t>in</w:t>
      </w:r>
      <w:r>
        <w:rPr>
          <w:color w:val="231F20"/>
          <w:spacing w:val="-12"/>
          <w:w w:val="105"/>
        </w:rPr>
        <w:t> </w:t>
      </w:r>
      <w:r>
        <w:rPr>
          <w:color w:val="231F20"/>
          <w:w w:val="105"/>
        </w:rPr>
        <w:t>the</w:t>
      </w:r>
      <w:r>
        <w:rPr>
          <w:color w:val="231F20"/>
          <w:spacing w:val="-12"/>
          <w:w w:val="105"/>
        </w:rPr>
        <w:t> </w:t>
      </w:r>
      <w:r>
        <w:rPr>
          <w:color w:val="231F20"/>
          <w:w w:val="105"/>
        </w:rPr>
        <w:t>examples,</w:t>
      </w:r>
      <w:r>
        <w:rPr>
          <w:color w:val="231F20"/>
          <w:spacing w:val="-17"/>
          <w:w w:val="105"/>
        </w:rPr>
        <w:t> </w:t>
      </w:r>
      <w:r>
        <w:rPr>
          <w:color w:val="231F20"/>
          <w:w w:val="105"/>
        </w:rPr>
        <w:t>members</w:t>
      </w:r>
      <w:r>
        <w:rPr>
          <w:color w:val="231F20"/>
          <w:spacing w:val="-12"/>
          <w:w w:val="105"/>
        </w:rPr>
        <w:t> </w:t>
      </w:r>
      <w:r>
        <w:rPr>
          <w:color w:val="231F20"/>
          <w:w w:val="105"/>
        </w:rPr>
        <w:t>of the</w:t>
      </w:r>
      <w:r>
        <w:rPr>
          <w:color w:val="231F20"/>
          <w:spacing w:val="-8"/>
          <w:w w:val="105"/>
        </w:rPr>
        <w:t> </w:t>
      </w:r>
      <w:r>
        <w:rPr>
          <w:color w:val="231F20"/>
          <w:w w:val="105"/>
        </w:rPr>
        <w:t>network</w:t>
      </w:r>
      <w:r>
        <w:rPr>
          <w:color w:val="231F20"/>
          <w:spacing w:val="-8"/>
          <w:w w:val="105"/>
        </w:rPr>
        <w:t> </w:t>
      </w:r>
      <w:r>
        <w:rPr>
          <w:color w:val="231F20"/>
          <w:w w:val="105"/>
        </w:rPr>
        <w:t>use</w:t>
      </w:r>
      <w:r>
        <w:rPr>
          <w:color w:val="231F20"/>
          <w:spacing w:val="-8"/>
          <w:w w:val="105"/>
        </w:rPr>
        <w:t> </w:t>
      </w:r>
      <w:r>
        <w:rPr>
          <w:color w:val="231F20"/>
          <w:w w:val="105"/>
        </w:rPr>
        <w:t>images</w:t>
      </w:r>
      <w:r>
        <w:rPr>
          <w:color w:val="231F20"/>
          <w:spacing w:val="-8"/>
          <w:w w:val="105"/>
        </w:rPr>
        <w:t> </w:t>
      </w:r>
      <w:r>
        <w:rPr>
          <w:color w:val="231F20"/>
          <w:w w:val="105"/>
        </w:rPr>
        <w:t>and</w:t>
      </w:r>
      <w:r>
        <w:rPr>
          <w:color w:val="231F20"/>
          <w:spacing w:val="-8"/>
          <w:w w:val="105"/>
        </w:rPr>
        <w:t> </w:t>
      </w:r>
      <w:r>
        <w:rPr>
          <w:color w:val="231F20"/>
          <w:w w:val="105"/>
        </w:rPr>
        <w:t>their</w:t>
      </w:r>
      <w:r>
        <w:rPr>
          <w:color w:val="231F20"/>
          <w:spacing w:val="-8"/>
          <w:w w:val="105"/>
        </w:rPr>
        <w:t> </w:t>
      </w:r>
      <w:r>
        <w:rPr>
          <w:color w:val="231F20"/>
          <w:w w:val="105"/>
        </w:rPr>
        <w:t>various</w:t>
      </w:r>
      <w:r>
        <w:rPr>
          <w:color w:val="231F20"/>
          <w:spacing w:val="-8"/>
          <w:w w:val="105"/>
        </w:rPr>
        <w:t> </w:t>
      </w:r>
      <w:r>
        <w:rPr>
          <w:color w:val="231F20"/>
          <w:w w:val="105"/>
        </w:rPr>
        <w:t>linguistic</w:t>
      </w:r>
      <w:r>
        <w:rPr>
          <w:color w:val="231F20"/>
          <w:spacing w:val="-8"/>
          <w:w w:val="105"/>
        </w:rPr>
        <w:t> </w:t>
      </w:r>
      <w:r>
        <w:rPr>
          <w:color w:val="231F20"/>
          <w:w w:val="105"/>
        </w:rPr>
        <w:t>resources</w:t>
      </w:r>
      <w:r>
        <w:rPr>
          <w:color w:val="231F20"/>
          <w:spacing w:val="-8"/>
          <w:w w:val="105"/>
        </w:rPr>
        <w:t> </w:t>
      </w:r>
      <w:r>
        <w:rPr>
          <w:color w:val="231F20"/>
          <w:w w:val="105"/>
        </w:rPr>
        <w:t>to</w:t>
      </w:r>
      <w:r>
        <w:rPr>
          <w:color w:val="231F20"/>
          <w:spacing w:val="-8"/>
          <w:w w:val="105"/>
        </w:rPr>
        <w:t> </w:t>
      </w:r>
      <w:r>
        <w:rPr>
          <w:color w:val="231F20"/>
          <w:w w:val="105"/>
        </w:rPr>
        <w:t>engage in</w:t>
      </w:r>
      <w:r>
        <w:rPr>
          <w:color w:val="231F20"/>
          <w:spacing w:val="-17"/>
          <w:w w:val="105"/>
        </w:rPr>
        <w:t> </w:t>
      </w:r>
      <w:r>
        <w:rPr>
          <w:color w:val="231F20"/>
          <w:w w:val="105"/>
        </w:rPr>
        <w:t>conversations</w:t>
      </w:r>
      <w:r>
        <w:rPr>
          <w:color w:val="231F20"/>
          <w:spacing w:val="-17"/>
          <w:w w:val="105"/>
        </w:rPr>
        <w:t> </w:t>
      </w:r>
      <w:r>
        <w:rPr>
          <w:color w:val="231F20"/>
          <w:w w:val="105"/>
        </w:rPr>
        <w:t>to</w:t>
      </w:r>
      <w:r>
        <w:rPr>
          <w:color w:val="231F20"/>
          <w:spacing w:val="-17"/>
          <w:w w:val="105"/>
        </w:rPr>
        <w:t> </w:t>
      </w:r>
      <w:r>
        <w:rPr>
          <w:color w:val="231F20"/>
          <w:w w:val="105"/>
        </w:rPr>
        <w:t>display</w:t>
      </w:r>
      <w:r>
        <w:rPr>
          <w:color w:val="231F20"/>
          <w:spacing w:val="-17"/>
          <w:w w:val="105"/>
        </w:rPr>
        <w:t> </w:t>
      </w:r>
      <w:r>
        <w:rPr>
          <w:color w:val="231F20"/>
          <w:w w:val="105"/>
        </w:rPr>
        <w:t>knowledge</w:t>
      </w:r>
      <w:r>
        <w:rPr>
          <w:color w:val="231F20"/>
          <w:spacing w:val="-17"/>
          <w:w w:val="105"/>
        </w:rPr>
        <w:t> </w:t>
      </w:r>
      <w:r>
        <w:rPr>
          <w:color w:val="231F20"/>
          <w:w w:val="105"/>
        </w:rPr>
        <w:t>and</w:t>
      </w:r>
      <w:r>
        <w:rPr>
          <w:color w:val="231F20"/>
          <w:spacing w:val="-17"/>
          <w:w w:val="105"/>
        </w:rPr>
        <w:t> </w:t>
      </w:r>
      <w:r>
        <w:rPr>
          <w:color w:val="231F20"/>
          <w:w w:val="105"/>
        </w:rPr>
        <w:t>expertise</w:t>
      </w:r>
      <w:r>
        <w:rPr>
          <w:color w:val="231F20"/>
          <w:spacing w:val="-17"/>
          <w:w w:val="105"/>
        </w:rPr>
        <w:t> </w:t>
      </w:r>
      <w:r>
        <w:rPr>
          <w:color w:val="231F20"/>
          <w:w w:val="105"/>
        </w:rPr>
        <w:t>of</w:t>
      </w:r>
      <w:r>
        <w:rPr>
          <w:color w:val="231F20"/>
          <w:spacing w:val="-12"/>
          <w:w w:val="105"/>
        </w:rPr>
        <w:t> </w:t>
      </w:r>
      <w:r>
        <w:rPr>
          <w:color w:val="231F20"/>
          <w:w w:val="105"/>
        </w:rPr>
        <w:t>activities</w:t>
      </w:r>
      <w:r>
        <w:rPr>
          <w:color w:val="231F20"/>
          <w:spacing w:val="-17"/>
          <w:w w:val="105"/>
        </w:rPr>
        <w:t> </w:t>
      </w:r>
      <w:r>
        <w:rPr>
          <w:color w:val="231F20"/>
          <w:w w:val="105"/>
        </w:rPr>
        <w:t>and</w:t>
      </w:r>
      <w:r>
        <w:rPr>
          <w:color w:val="231F20"/>
          <w:spacing w:val="-17"/>
          <w:w w:val="105"/>
        </w:rPr>
        <w:t> </w:t>
      </w:r>
      <w:r>
        <w:rPr>
          <w:color w:val="231F20"/>
          <w:w w:val="105"/>
        </w:rPr>
        <w:t>cul- tural</w:t>
      </w:r>
      <w:r>
        <w:rPr>
          <w:color w:val="231F20"/>
          <w:spacing w:val="-13"/>
          <w:w w:val="105"/>
        </w:rPr>
        <w:t> </w:t>
      </w:r>
      <w:r>
        <w:rPr>
          <w:color w:val="231F20"/>
          <w:w w:val="105"/>
        </w:rPr>
        <w:t>artifacts</w:t>
      </w:r>
      <w:r>
        <w:rPr>
          <w:color w:val="231F20"/>
          <w:spacing w:val="-13"/>
          <w:w w:val="105"/>
        </w:rPr>
        <w:t> </w:t>
      </w:r>
      <w:r>
        <w:rPr>
          <w:color w:val="231F20"/>
          <w:w w:val="105"/>
        </w:rPr>
        <w:t>from</w:t>
      </w:r>
      <w:r>
        <w:rPr>
          <w:color w:val="231F20"/>
          <w:spacing w:val="-13"/>
          <w:w w:val="105"/>
        </w:rPr>
        <w:t> </w:t>
      </w:r>
      <w:r>
        <w:rPr>
          <w:color w:val="231F20"/>
          <w:w w:val="105"/>
        </w:rPr>
        <w:t>the</w:t>
      </w:r>
      <w:r>
        <w:rPr>
          <w:color w:val="231F20"/>
          <w:spacing w:val="-13"/>
          <w:w w:val="105"/>
        </w:rPr>
        <w:t> </w:t>
      </w:r>
      <w:r>
        <w:rPr>
          <w:color w:val="231F20"/>
          <w:w w:val="105"/>
        </w:rPr>
        <w:t>other</w:t>
      </w:r>
      <w:r>
        <w:rPr>
          <w:color w:val="231F20"/>
          <w:spacing w:val="-13"/>
          <w:w w:val="105"/>
        </w:rPr>
        <w:t> </w:t>
      </w:r>
      <w:r>
        <w:rPr>
          <w:color w:val="231F20"/>
          <w:w w:val="105"/>
        </w:rPr>
        <w:t>side.</w:t>
      </w:r>
    </w:p>
    <w:p>
      <w:pPr>
        <w:pStyle w:val="BodyText"/>
        <w:spacing w:line="261" w:lineRule="auto" w:before="1"/>
        <w:ind w:left="1837" w:right="1721" w:firstLine="567"/>
        <w:jc w:val="both"/>
      </w:pPr>
      <w:r>
        <w:rPr>
          <w:color w:val="231F20"/>
          <w:w w:val="105"/>
        </w:rPr>
        <w:t>Facebook allows these transnational members to experience pla- ces and food, and participate in activities without being physically pre- sent. By doing this, members display knowledge and expertise about activities and items in the other country, constructing transnationalism that</w:t>
      </w:r>
      <w:r>
        <w:rPr>
          <w:color w:val="231F20"/>
          <w:spacing w:val="-11"/>
          <w:w w:val="105"/>
        </w:rPr>
        <w:t> </w:t>
      </w:r>
      <w:r>
        <w:rPr>
          <w:color w:val="231F20"/>
          <w:w w:val="105"/>
        </w:rPr>
        <w:t>they</w:t>
      </w:r>
      <w:r>
        <w:rPr>
          <w:color w:val="231F20"/>
          <w:spacing w:val="-11"/>
          <w:w w:val="105"/>
        </w:rPr>
        <w:t> </w:t>
      </w:r>
      <w:r>
        <w:rPr>
          <w:color w:val="231F20"/>
          <w:w w:val="105"/>
        </w:rPr>
        <w:t>could</w:t>
      </w:r>
      <w:r>
        <w:rPr>
          <w:color w:val="231F20"/>
          <w:spacing w:val="-11"/>
          <w:w w:val="105"/>
        </w:rPr>
        <w:t> </w:t>
      </w:r>
      <w:r>
        <w:rPr>
          <w:color w:val="231F20"/>
          <w:w w:val="105"/>
        </w:rPr>
        <w:t>not</w:t>
      </w:r>
      <w:r>
        <w:rPr>
          <w:color w:val="231F20"/>
          <w:spacing w:val="-11"/>
          <w:w w:val="105"/>
        </w:rPr>
        <w:t> </w:t>
      </w:r>
      <w:r>
        <w:rPr>
          <w:color w:val="231F20"/>
          <w:w w:val="105"/>
        </w:rPr>
        <w:t>otherwise</w:t>
      </w:r>
      <w:r>
        <w:rPr>
          <w:color w:val="231F20"/>
          <w:spacing w:val="-11"/>
          <w:w w:val="105"/>
        </w:rPr>
        <w:t> </w:t>
      </w:r>
      <w:r>
        <w:rPr>
          <w:color w:val="231F20"/>
          <w:w w:val="105"/>
        </w:rPr>
        <w:t>in</w:t>
      </w:r>
      <w:r>
        <w:rPr>
          <w:color w:val="231F20"/>
          <w:spacing w:val="-11"/>
          <w:w w:val="105"/>
        </w:rPr>
        <w:t> </w:t>
      </w:r>
      <w:r>
        <w:rPr>
          <w:color w:val="231F20"/>
          <w:w w:val="105"/>
        </w:rPr>
        <w:t>more</w:t>
      </w:r>
      <w:r>
        <w:rPr>
          <w:color w:val="231F20"/>
          <w:spacing w:val="-11"/>
          <w:w w:val="105"/>
        </w:rPr>
        <w:t> </w:t>
      </w:r>
      <w:r>
        <w:rPr>
          <w:color w:val="231F20"/>
          <w:w w:val="105"/>
        </w:rPr>
        <w:t>traditional</w:t>
      </w:r>
      <w:r>
        <w:rPr>
          <w:color w:val="231F20"/>
          <w:spacing w:val="-11"/>
          <w:w w:val="105"/>
        </w:rPr>
        <w:t> </w:t>
      </w:r>
      <w:r>
        <w:rPr>
          <w:color w:val="231F20"/>
          <w:w w:val="105"/>
        </w:rPr>
        <w:t>forms</w:t>
      </w:r>
      <w:r>
        <w:rPr>
          <w:color w:val="231F20"/>
          <w:spacing w:val="-10"/>
          <w:w w:val="105"/>
        </w:rPr>
        <w:t> </w:t>
      </w:r>
      <w:r>
        <w:rPr>
          <w:color w:val="231F20"/>
          <w:w w:val="105"/>
        </w:rPr>
        <w:t>of</w:t>
      </w:r>
      <w:r>
        <w:rPr>
          <w:color w:val="231F20"/>
          <w:spacing w:val="-5"/>
          <w:w w:val="105"/>
        </w:rPr>
        <w:t> </w:t>
      </w:r>
      <w:r>
        <w:rPr>
          <w:color w:val="231F20"/>
          <w:w w:val="105"/>
        </w:rPr>
        <w:t>communication like letter writing. This particular discursive practice is what extends the definition of transnationalism – from physical to virtual. That is, when in the</w:t>
      </w:r>
      <w:r>
        <w:rPr>
          <w:color w:val="231F20"/>
          <w:spacing w:val="-14"/>
          <w:w w:val="105"/>
        </w:rPr>
        <w:t> </w:t>
      </w:r>
      <w:r>
        <w:rPr>
          <w:color w:val="231F20"/>
          <w:w w:val="105"/>
        </w:rPr>
        <w:t>past</w:t>
      </w:r>
      <w:r>
        <w:rPr>
          <w:color w:val="231F20"/>
          <w:spacing w:val="-14"/>
          <w:w w:val="105"/>
        </w:rPr>
        <w:t> </w:t>
      </w:r>
      <w:r>
        <w:rPr>
          <w:color w:val="231F20"/>
          <w:w w:val="105"/>
        </w:rPr>
        <w:t>there</w:t>
      </w:r>
      <w:r>
        <w:rPr>
          <w:color w:val="231F20"/>
          <w:spacing w:val="-14"/>
          <w:w w:val="105"/>
        </w:rPr>
        <w:t> </w:t>
      </w:r>
      <w:r>
        <w:rPr>
          <w:color w:val="231F20"/>
          <w:w w:val="105"/>
        </w:rPr>
        <w:t>was</w:t>
      </w:r>
      <w:r>
        <w:rPr>
          <w:color w:val="231F20"/>
          <w:spacing w:val="-14"/>
          <w:w w:val="105"/>
        </w:rPr>
        <w:t> </w:t>
      </w:r>
      <w:r>
        <w:rPr>
          <w:color w:val="231F20"/>
          <w:w w:val="105"/>
        </w:rPr>
        <w:t>need</w:t>
      </w:r>
      <w:r>
        <w:rPr>
          <w:color w:val="231F20"/>
          <w:spacing w:val="-14"/>
          <w:w w:val="105"/>
        </w:rPr>
        <w:t> </w:t>
      </w:r>
      <w:r>
        <w:rPr>
          <w:color w:val="231F20"/>
          <w:w w:val="105"/>
        </w:rPr>
        <w:t>for</w:t>
      </w:r>
      <w:r>
        <w:rPr>
          <w:color w:val="231F20"/>
          <w:spacing w:val="-14"/>
          <w:w w:val="105"/>
        </w:rPr>
        <w:t> </w:t>
      </w:r>
      <w:r>
        <w:rPr>
          <w:color w:val="231F20"/>
          <w:w w:val="105"/>
        </w:rPr>
        <w:t>physical</w:t>
      </w:r>
      <w:r>
        <w:rPr>
          <w:color w:val="231F20"/>
          <w:spacing w:val="-14"/>
          <w:w w:val="105"/>
        </w:rPr>
        <w:t> </w:t>
      </w:r>
      <w:r>
        <w:rPr>
          <w:color w:val="231F20"/>
          <w:w w:val="105"/>
        </w:rPr>
        <w:t>contact</w:t>
      </w:r>
      <w:r>
        <w:rPr>
          <w:color w:val="231F20"/>
          <w:spacing w:val="-14"/>
          <w:w w:val="105"/>
        </w:rPr>
        <w:t> </w:t>
      </w:r>
      <w:r>
        <w:rPr>
          <w:color w:val="231F20"/>
          <w:w w:val="105"/>
        </w:rPr>
        <w:t>either</w:t>
      </w:r>
      <w:r>
        <w:rPr>
          <w:color w:val="231F20"/>
          <w:spacing w:val="-14"/>
          <w:w w:val="105"/>
        </w:rPr>
        <w:t> </w:t>
      </w:r>
      <w:r>
        <w:rPr>
          <w:color w:val="231F20"/>
          <w:w w:val="105"/>
        </w:rPr>
        <w:t>encounters</w:t>
      </w:r>
      <w:r>
        <w:rPr>
          <w:color w:val="231F20"/>
          <w:spacing w:val="-14"/>
          <w:w w:val="105"/>
        </w:rPr>
        <w:t> </w:t>
      </w:r>
      <w:r>
        <w:rPr>
          <w:color w:val="231F20"/>
          <w:w w:val="105"/>
        </w:rPr>
        <w:t>by</w:t>
      </w:r>
      <w:r>
        <w:rPr>
          <w:color w:val="231F20"/>
          <w:spacing w:val="-14"/>
          <w:w w:val="105"/>
        </w:rPr>
        <w:t> </w:t>
      </w:r>
      <w:r>
        <w:rPr>
          <w:color w:val="231F20"/>
          <w:w w:val="105"/>
        </w:rPr>
        <w:t>people face to face, or physical remittances such as letters, packets</w:t>
      </w:r>
      <w:r>
        <w:rPr>
          <w:color w:val="231F20"/>
          <w:spacing w:val="-19"/>
          <w:w w:val="105"/>
        </w:rPr>
        <w:t> </w:t>
      </w:r>
      <w:r>
        <w:rPr>
          <w:color w:val="231F20"/>
          <w:w w:val="105"/>
        </w:rPr>
        <w:t>containing goods,</w:t>
      </w:r>
      <w:r>
        <w:rPr>
          <w:color w:val="231F20"/>
          <w:spacing w:val="-31"/>
          <w:w w:val="105"/>
        </w:rPr>
        <w:t> </w:t>
      </w:r>
      <w:r>
        <w:rPr>
          <w:color w:val="231F20"/>
          <w:w w:val="105"/>
        </w:rPr>
        <w:t>nowadays</w:t>
      </w:r>
      <w:r>
        <w:rPr>
          <w:color w:val="231F20"/>
          <w:spacing w:val="-26"/>
          <w:w w:val="105"/>
        </w:rPr>
        <w:t> </w:t>
      </w:r>
      <w:r>
        <w:rPr>
          <w:color w:val="231F20"/>
          <w:w w:val="105"/>
        </w:rPr>
        <w:t>people</w:t>
      </w:r>
      <w:r>
        <w:rPr>
          <w:color w:val="231F20"/>
          <w:spacing w:val="-26"/>
          <w:w w:val="105"/>
        </w:rPr>
        <w:t> </w:t>
      </w:r>
      <w:r>
        <w:rPr>
          <w:color w:val="231F20"/>
          <w:w w:val="105"/>
        </w:rPr>
        <w:t>keep</w:t>
      </w:r>
      <w:r>
        <w:rPr>
          <w:color w:val="231F20"/>
          <w:spacing w:val="-26"/>
          <w:w w:val="105"/>
        </w:rPr>
        <w:t> </w:t>
      </w:r>
      <w:r>
        <w:rPr>
          <w:color w:val="231F20"/>
          <w:w w:val="105"/>
        </w:rPr>
        <w:t>transnationalism</w:t>
      </w:r>
      <w:r>
        <w:rPr>
          <w:color w:val="231F20"/>
          <w:spacing w:val="-27"/>
          <w:w w:val="105"/>
        </w:rPr>
        <w:t> </w:t>
      </w:r>
      <w:r>
        <w:rPr>
          <w:color w:val="231F20"/>
          <w:w w:val="105"/>
        </w:rPr>
        <w:t>going</w:t>
      </w:r>
      <w:r>
        <w:rPr>
          <w:color w:val="231F20"/>
          <w:spacing w:val="-27"/>
          <w:w w:val="105"/>
        </w:rPr>
        <w:t> </w:t>
      </w:r>
      <w:r>
        <w:rPr>
          <w:color w:val="231F20"/>
          <w:w w:val="105"/>
        </w:rPr>
        <w:t>on</w:t>
      </w:r>
      <w:r>
        <w:rPr>
          <w:color w:val="231F20"/>
          <w:spacing w:val="-27"/>
          <w:w w:val="105"/>
        </w:rPr>
        <w:t> </w:t>
      </w:r>
      <w:r>
        <w:rPr>
          <w:color w:val="231F20"/>
          <w:w w:val="105"/>
        </w:rPr>
        <w:t>Facebook.</w:t>
      </w:r>
      <w:r>
        <w:rPr>
          <w:color w:val="231F20"/>
          <w:spacing w:val="-35"/>
          <w:w w:val="105"/>
        </w:rPr>
        <w:t> </w:t>
      </w:r>
      <w:r>
        <w:rPr>
          <w:color w:val="231F20"/>
          <w:w w:val="105"/>
        </w:rPr>
        <w:t>That is,</w:t>
      </w:r>
      <w:r>
        <w:rPr>
          <w:color w:val="231F20"/>
          <w:spacing w:val="-32"/>
          <w:w w:val="105"/>
        </w:rPr>
        <w:t> </w:t>
      </w:r>
      <w:r>
        <w:rPr>
          <w:color w:val="231F20"/>
          <w:w w:val="105"/>
        </w:rPr>
        <w:t>people</w:t>
      </w:r>
      <w:r>
        <w:rPr>
          <w:color w:val="231F20"/>
          <w:spacing w:val="-28"/>
          <w:w w:val="105"/>
        </w:rPr>
        <w:t> </w:t>
      </w:r>
      <w:r>
        <w:rPr>
          <w:color w:val="231F20"/>
          <w:w w:val="105"/>
        </w:rPr>
        <w:t>can</w:t>
      </w:r>
      <w:r>
        <w:rPr>
          <w:color w:val="231F20"/>
          <w:spacing w:val="-28"/>
          <w:w w:val="105"/>
        </w:rPr>
        <w:t> </w:t>
      </w:r>
      <w:r>
        <w:rPr>
          <w:color w:val="231F20"/>
          <w:w w:val="105"/>
        </w:rPr>
        <w:t>post</w:t>
      </w:r>
      <w:r>
        <w:rPr>
          <w:color w:val="231F20"/>
          <w:spacing w:val="-28"/>
          <w:w w:val="105"/>
        </w:rPr>
        <w:t> </w:t>
      </w:r>
      <w:r>
        <w:rPr>
          <w:color w:val="231F20"/>
          <w:w w:val="105"/>
        </w:rPr>
        <w:t>pictures,</w:t>
      </w:r>
      <w:r>
        <w:rPr>
          <w:color w:val="231F20"/>
          <w:spacing w:val="-32"/>
          <w:w w:val="105"/>
        </w:rPr>
        <w:t> </w:t>
      </w:r>
      <w:r>
        <w:rPr>
          <w:color w:val="231F20"/>
          <w:w w:val="105"/>
        </w:rPr>
        <w:t>videos,</w:t>
      </w:r>
      <w:r>
        <w:rPr>
          <w:color w:val="231F20"/>
          <w:spacing w:val="-32"/>
          <w:w w:val="105"/>
        </w:rPr>
        <w:t> </w:t>
      </w:r>
      <w:r>
        <w:rPr>
          <w:color w:val="231F20"/>
          <w:w w:val="105"/>
        </w:rPr>
        <w:t>and</w:t>
      </w:r>
      <w:r>
        <w:rPr>
          <w:color w:val="231F20"/>
          <w:spacing w:val="-28"/>
          <w:w w:val="105"/>
        </w:rPr>
        <w:t> </w:t>
      </w:r>
      <w:r>
        <w:rPr>
          <w:color w:val="231F20"/>
          <w:w w:val="105"/>
        </w:rPr>
        <w:t>messages</w:t>
      </w:r>
      <w:r>
        <w:rPr>
          <w:color w:val="231F20"/>
          <w:spacing w:val="-28"/>
          <w:w w:val="105"/>
        </w:rPr>
        <w:t> </w:t>
      </w:r>
      <w:r>
        <w:rPr>
          <w:color w:val="231F20"/>
          <w:w w:val="105"/>
        </w:rPr>
        <w:t>in</w:t>
      </w:r>
      <w:r>
        <w:rPr>
          <w:color w:val="231F20"/>
          <w:spacing w:val="-28"/>
          <w:w w:val="105"/>
        </w:rPr>
        <w:t> </w:t>
      </w:r>
      <w:r>
        <w:rPr>
          <w:color w:val="231F20"/>
          <w:w w:val="105"/>
        </w:rPr>
        <w:t>a</w:t>
      </w:r>
      <w:r>
        <w:rPr>
          <w:color w:val="231F20"/>
          <w:spacing w:val="-28"/>
          <w:w w:val="105"/>
        </w:rPr>
        <w:t> </w:t>
      </w:r>
      <w:r>
        <w:rPr>
          <w:color w:val="231F20"/>
          <w:w w:val="105"/>
        </w:rPr>
        <w:t>status</w:t>
      </w:r>
      <w:r>
        <w:rPr>
          <w:color w:val="231F20"/>
          <w:spacing w:val="-28"/>
          <w:w w:val="105"/>
        </w:rPr>
        <w:t> </w:t>
      </w:r>
      <w:r>
        <w:rPr>
          <w:color w:val="231F20"/>
          <w:w w:val="105"/>
        </w:rPr>
        <w:t>update,</w:t>
      </w:r>
      <w:r>
        <w:rPr>
          <w:color w:val="231F20"/>
          <w:spacing w:val="-32"/>
          <w:w w:val="105"/>
        </w:rPr>
        <w:t> </w:t>
      </w:r>
      <w:r>
        <w:rPr>
          <w:color w:val="231F20"/>
          <w:w w:val="105"/>
        </w:rPr>
        <w:t>and other Facebook users can immediately see what their family members are up to without having to wait for the mail, a phone call or a visit. This kind</w:t>
      </w:r>
      <w:r>
        <w:rPr>
          <w:color w:val="231F20"/>
          <w:spacing w:val="-15"/>
          <w:w w:val="105"/>
        </w:rPr>
        <w:t> </w:t>
      </w:r>
      <w:r>
        <w:rPr>
          <w:color w:val="231F20"/>
          <w:w w:val="105"/>
        </w:rPr>
        <w:t>of</w:t>
      </w:r>
      <w:r>
        <w:rPr>
          <w:color w:val="231F20"/>
          <w:spacing w:val="-11"/>
          <w:w w:val="105"/>
        </w:rPr>
        <w:t> </w:t>
      </w:r>
      <w:r>
        <w:rPr>
          <w:color w:val="231F20"/>
          <w:w w:val="105"/>
        </w:rPr>
        <w:t>transnationalism</w:t>
      </w:r>
      <w:r>
        <w:rPr>
          <w:color w:val="231F20"/>
          <w:spacing w:val="-15"/>
          <w:w w:val="105"/>
        </w:rPr>
        <w:t> </w:t>
      </w:r>
      <w:r>
        <w:rPr>
          <w:color w:val="231F20"/>
          <w:w w:val="105"/>
        </w:rPr>
        <w:t>is</w:t>
      </w:r>
      <w:r>
        <w:rPr>
          <w:color w:val="231F20"/>
          <w:spacing w:val="-15"/>
          <w:w w:val="105"/>
        </w:rPr>
        <w:t> </w:t>
      </w:r>
      <w:r>
        <w:rPr>
          <w:color w:val="231F20"/>
          <w:w w:val="105"/>
        </w:rPr>
        <w:t>more</w:t>
      </w:r>
      <w:r>
        <w:rPr>
          <w:color w:val="231F20"/>
          <w:spacing w:val="-15"/>
          <w:w w:val="105"/>
        </w:rPr>
        <w:t> </w:t>
      </w:r>
      <w:r>
        <w:rPr>
          <w:color w:val="231F20"/>
          <w:w w:val="105"/>
        </w:rPr>
        <w:t>than</w:t>
      </w:r>
      <w:r>
        <w:rPr>
          <w:color w:val="231F20"/>
          <w:spacing w:val="-15"/>
          <w:w w:val="105"/>
        </w:rPr>
        <w:t> </w:t>
      </w:r>
      <w:r>
        <w:rPr>
          <w:color w:val="231F20"/>
          <w:w w:val="105"/>
        </w:rPr>
        <w:t>the</w:t>
      </w:r>
      <w:r>
        <w:rPr>
          <w:color w:val="231F20"/>
          <w:spacing w:val="-15"/>
          <w:w w:val="105"/>
        </w:rPr>
        <w:t> </w:t>
      </w:r>
      <w:r>
        <w:rPr>
          <w:color w:val="231F20"/>
          <w:w w:val="105"/>
        </w:rPr>
        <w:t>“emotional”</w:t>
      </w:r>
      <w:r>
        <w:rPr>
          <w:color w:val="231F20"/>
          <w:spacing w:val="-15"/>
          <w:w w:val="105"/>
        </w:rPr>
        <w:t> </w:t>
      </w:r>
      <w:r>
        <w:rPr>
          <w:color w:val="231F20"/>
          <w:w w:val="105"/>
        </w:rPr>
        <w:t>or</w:t>
      </w:r>
      <w:r>
        <w:rPr>
          <w:color w:val="231F20"/>
          <w:spacing w:val="-15"/>
          <w:w w:val="105"/>
        </w:rPr>
        <w:t> </w:t>
      </w:r>
      <w:r>
        <w:rPr>
          <w:color w:val="231F20"/>
          <w:w w:val="105"/>
        </w:rPr>
        <w:t>“symbolic”</w:t>
      </w:r>
      <w:r>
        <w:rPr>
          <w:color w:val="231F20"/>
          <w:spacing w:val="-15"/>
          <w:w w:val="105"/>
        </w:rPr>
        <w:t> </w:t>
      </w:r>
      <w:r>
        <w:rPr>
          <w:color w:val="231F20"/>
          <w:w w:val="105"/>
        </w:rPr>
        <w:t>trans- nationalism</w:t>
      </w:r>
      <w:r>
        <w:rPr>
          <w:color w:val="231F20"/>
          <w:spacing w:val="-18"/>
          <w:w w:val="105"/>
        </w:rPr>
        <w:t> </w:t>
      </w:r>
      <w:r>
        <w:rPr>
          <w:color w:val="231F20"/>
          <w:w w:val="105"/>
        </w:rPr>
        <w:t>described</w:t>
      </w:r>
      <w:r>
        <w:rPr>
          <w:color w:val="231F20"/>
          <w:spacing w:val="-18"/>
          <w:w w:val="105"/>
        </w:rPr>
        <w:t> </w:t>
      </w:r>
      <w:r>
        <w:rPr>
          <w:color w:val="231F20"/>
          <w:w w:val="105"/>
        </w:rPr>
        <w:t>in</w:t>
      </w:r>
      <w:r>
        <w:rPr>
          <w:color w:val="231F20"/>
          <w:spacing w:val="-18"/>
          <w:w w:val="105"/>
        </w:rPr>
        <w:t> </w:t>
      </w:r>
      <w:r>
        <w:rPr>
          <w:color w:val="231F20"/>
          <w:w w:val="105"/>
        </w:rPr>
        <w:t>Levitt</w:t>
      </w:r>
      <w:r>
        <w:rPr>
          <w:color w:val="231F20"/>
          <w:spacing w:val="-18"/>
          <w:w w:val="105"/>
        </w:rPr>
        <w:t> </w:t>
      </w:r>
      <w:r>
        <w:rPr>
          <w:color w:val="231F20"/>
          <w:w w:val="105"/>
        </w:rPr>
        <w:t>and</w:t>
      </w:r>
      <w:r>
        <w:rPr>
          <w:color w:val="231F20"/>
          <w:spacing w:val="-20"/>
          <w:w w:val="105"/>
        </w:rPr>
        <w:t> </w:t>
      </w:r>
      <w:r>
        <w:rPr>
          <w:color w:val="231F20"/>
          <w:w w:val="105"/>
        </w:rPr>
        <w:t>Waters</w:t>
      </w:r>
      <w:r>
        <w:rPr>
          <w:color w:val="231F20"/>
          <w:spacing w:val="-18"/>
          <w:w w:val="105"/>
        </w:rPr>
        <w:t> </w:t>
      </w:r>
      <w:r>
        <w:rPr>
          <w:color w:val="231F20"/>
          <w:w w:val="105"/>
        </w:rPr>
        <w:t>(2006).</w:t>
      </w:r>
      <w:r>
        <w:rPr>
          <w:color w:val="231F20"/>
          <w:spacing w:val="-26"/>
          <w:w w:val="105"/>
        </w:rPr>
        <w:t> </w:t>
      </w:r>
      <w:r>
        <w:rPr>
          <w:color w:val="231F20"/>
          <w:w w:val="105"/>
        </w:rPr>
        <w:t>These</w:t>
      </w:r>
      <w:r>
        <w:rPr>
          <w:color w:val="231F20"/>
          <w:spacing w:val="-18"/>
          <w:w w:val="105"/>
        </w:rPr>
        <w:t> </w:t>
      </w:r>
      <w:r>
        <w:rPr>
          <w:color w:val="231F20"/>
          <w:w w:val="105"/>
        </w:rPr>
        <w:t>members</w:t>
      </w:r>
      <w:r>
        <w:rPr>
          <w:color w:val="231F20"/>
          <w:spacing w:val="-18"/>
          <w:w w:val="105"/>
        </w:rPr>
        <w:t> </w:t>
      </w:r>
      <w:r>
        <w:rPr>
          <w:color w:val="231F20"/>
          <w:w w:val="105"/>
        </w:rPr>
        <w:t>have to actively be engaged in conversations with one another; they need to know what is happening in the other country, and what is happening in the life of each of the members. Not knowing results in their inability to communicate</w:t>
      </w:r>
      <w:r>
        <w:rPr>
          <w:color w:val="231F20"/>
          <w:spacing w:val="-13"/>
          <w:w w:val="105"/>
        </w:rPr>
        <w:t> </w:t>
      </w:r>
      <w:r>
        <w:rPr>
          <w:color w:val="231F20"/>
          <w:w w:val="105"/>
        </w:rPr>
        <w:t>effectively,</w:t>
      </w:r>
      <w:r>
        <w:rPr>
          <w:color w:val="231F20"/>
          <w:spacing w:val="-18"/>
          <w:w w:val="105"/>
        </w:rPr>
        <w:t> </w:t>
      </w:r>
      <w:r>
        <w:rPr>
          <w:color w:val="231F20"/>
          <w:w w:val="105"/>
        </w:rPr>
        <w:t>gather</w:t>
      </w:r>
      <w:r>
        <w:rPr>
          <w:color w:val="231F20"/>
          <w:spacing w:val="-13"/>
          <w:w w:val="105"/>
        </w:rPr>
        <w:t> </w:t>
      </w:r>
      <w:r>
        <w:rPr>
          <w:color w:val="231F20"/>
          <w:w w:val="105"/>
        </w:rPr>
        <w:t>virtually</w:t>
      </w:r>
      <w:r>
        <w:rPr>
          <w:color w:val="231F20"/>
          <w:spacing w:val="-13"/>
          <w:w w:val="105"/>
        </w:rPr>
        <w:t> </w:t>
      </w:r>
      <w:r>
        <w:rPr>
          <w:color w:val="231F20"/>
          <w:w w:val="105"/>
        </w:rPr>
        <w:t>online,</w:t>
      </w:r>
      <w:r>
        <w:rPr>
          <w:color w:val="231F20"/>
          <w:spacing w:val="-18"/>
          <w:w w:val="105"/>
        </w:rPr>
        <w:t> </w:t>
      </w:r>
      <w:r>
        <w:rPr>
          <w:color w:val="231F20"/>
          <w:w w:val="105"/>
        </w:rPr>
        <w:t>and</w:t>
      </w:r>
      <w:r>
        <w:rPr>
          <w:color w:val="231F20"/>
          <w:spacing w:val="-13"/>
          <w:w w:val="105"/>
        </w:rPr>
        <w:t> </w:t>
      </w:r>
      <w:r>
        <w:rPr>
          <w:color w:val="231F20"/>
          <w:w w:val="105"/>
        </w:rPr>
        <w:t>fulfill</w:t>
      </w:r>
      <w:r>
        <w:rPr>
          <w:color w:val="231F20"/>
          <w:spacing w:val="-13"/>
          <w:w w:val="105"/>
        </w:rPr>
        <w:t> </w:t>
      </w:r>
      <w:r>
        <w:rPr>
          <w:color w:val="231F20"/>
          <w:w w:val="105"/>
        </w:rPr>
        <w:t>certain</w:t>
      </w:r>
      <w:r>
        <w:rPr>
          <w:color w:val="231F20"/>
          <w:spacing w:val="-13"/>
          <w:w w:val="105"/>
        </w:rPr>
        <w:t> </w:t>
      </w:r>
      <w:r>
        <w:rPr>
          <w:color w:val="231F20"/>
          <w:w w:val="105"/>
        </w:rPr>
        <w:t>kinship roles.</w:t>
      </w:r>
      <w:r>
        <w:rPr>
          <w:color w:val="231F20"/>
          <w:spacing w:val="-31"/>
          <w:w w:val="105"/>
        </w:rPr>
        <w:t> </w:t>
      </w:r>
      <w:r>
        <w:rPr>
          <w:color w:val="231F20"/>
          <w:w w:val="105"/>
        </w:rPr>
        <w:t>Finally,</w:t>
      </w:r>
      <w:r>
        <w:rPr>
          <w:color w:val="231F20"/>
          <w:spacing w:val="-31"/>
          <w:w w:val="105"/>
        </w:rPr>
        <w:t> </w:t>
      </w:r>
      <w:r>
        <w:rPr>
          <w:color w:val="231F20"/>
          <w:w w:val="105"/>
        </w:rPr>
        <w:t>transnational</w:t>
      </w:r>
      <w:r>
        <w:rPr>
          <w:color w:val="231F20"/>
          <w:spacing w:val="-27"/>
          <w:w w:val="105"/>
        </w:rPr>
        <w:t> </w:t>
      </w:r>
      <w:r>
        <w:rPr>
          <w:color w:val="231F20"/>
          <w:w w:val="105"/>
        </w:rPr>
        <w:t>members</w:t>
      </w:r>
      <w:r>
        <w:rPr>
          <w:color w:val="231F20"/>
          <w:spacing w:val="-27"/>
          <w:w w:val="105"/>
        </w:rPr>
        <w:t> </w:t>
      </w:r>
      <w:r>
        <w:rPr>
          <w:color w:val="231F20"/>
          <w:w w:val="105"/>
        </w:rPr>
        <w:t>fulfill</w:t>
      </w:r>
      <w:r>
        <w:rPr>
          <w:color w:val="231F20"/>
          <w:spacing w:val="-27"/>
          <w:w w:val="105"/>
        </w:rPr>
        <w:t> </w:t>
      </w:r>
      <w:r>
        <w:rPr>
          <w:color w:val="231F20"/>
          <w:w w:val="105"/>
        </w:rPr>
        <w:t>family</w:t>
      </w:r>
      <w:r>
        <w:rPr>
          <w:color w:val="231F20"/>
          <w:spacing w:val="-27"/>
          <w:w w:val="105"/>
        </w:rPr>
        <w:t> </w:t>
      </w:r>
      <w:r>
        <w:rPr>
          <w:color w:val="231F20"/>
          <w:w w:val="105"/>
        </w:rPr>
        <w:t>roles,</w:t>
      </w:r>
      <w:r>
        <w:rPr>
          <w:color w:val="231F20"/>
          <w:spacing w:val="-31"/>
          <w:w w:val="105"/>
        </w:rPr>
        <w:t> </w:t>
      </w:r>
      <w:r>
        <w:rPr>
          <w:color w:val="231F20"/>
          <w:w w:val="105"/>
        </w:rPr>
        <w:t>keep</w:t>
      </w:r>
      <w:r>
        <w:rPr>
          <w:color w:val="231F20"/>
          <w:spacing w:val="-27"/>
          <w:w w:val="105"/>
        </w:rPr>
        <w:t> </w:t>
      </w:r>
      <w:r>
        <w:rPr>
          <w:color w:val="231F20"/>
          <w:w w:val="105"/>
        </w:rPr>
        <w:t>in</w:t>
      </w:r>
      <w:r>
        <w:rPr>
          <w:color w:val="231F20"/>
          <w:spacing w:val="-27"/>
          <w:w w:val="105"/>
        </w:rPr>
        <w:t> </w:t>
      </w:r>
      <w:r>
        <w:rPr>
          <w:color w:val="231F20"/>
          <w:w w:val="105"/>
        </w:rPr>
        <w:t>touch,</w:t>
      </w:r>
      <w:r>
        <w:rPr>
          <w:color w:val="231F20"/>
          <w:spacing w:val="-31"/>
          <w:w w:val="105"/>
        </w:rPr>
        <w:t> </w:t>
      </w:r>
      <w:r>
        <w:rPr>
          <w:color w:val="231F20"/>
          <w:w w:val="105"/>
        </w:rPr>
        <w:t>and carry</w:t>
      </w:r>
      <w:r>
        <w:rPr>
          <w:color w:val="231F20"/>
          <w:spacing w:val="-15"/>
          <w:w w:val="105"/>
        </w:rPr>
        <w:t> </w:t>
      </w:r>
      <w:r>
        <w:rPr>
          <w:color w:val="231F20"/>
          <w:w w:val="105"/>
        </w:rPr>
        <w:t>on</w:t>
      </w:r>
      <w:r>
        <w:rPr>
          <w:color w:val="231F20"/>
          <w:spacing w:val="-15"/>
          <w:w w:val="105"/>
        </w:rPr>
        <w:t> </w:t>
      </w:r>
      <w:r>
        <w:rPr>
          <w:color w:val="231F20"/>
          <w:w w:val="105"/>
        </w:rPr>
        <w:t>a</w:t>
      </w:r>
      <w:r>
        <w:rPr>
          <w:color w:val="231F20"/>
          <w:spacing w:val="-15"/>
          <w:w w:val="105"/>
        </w:rPr>
        <w:t> </w:t>
      </w:r>
      <w:r>
        <w:rPr>
          <w:color w:val="231F20"/>
          <w:w w:val="105"/>
        </w:rPr>
        <w:t>conversation</w:t>
      </w:r>
      <w:r>
        <w:rPr>
          <w:color w:val="231F20"/>
          <w:spacing w:val="-15"/>
          <w:w w:val="105"/>
        </w:rPr>
        <w:t> </w:t>
      </w:r>
      <w:r>
        <w:rPr>
          <w:color w:val="231F20"/>
          <w:w w:val="105"/>
        </w:rPr>
        <w:t>without</w:t>
      </w:r>
      <w:r>
        <w:rPr>
          <w:color w:val="231F20"/>
          <w:spacing w:val="-15"/>
          <w:w w:val="105"/>
        </w:rPr>
        <w:t> </w:t>
      </w:r>
      <w:r>
        <w:rPr>
          <w:color w:val="231F20"/>
          <w:w w:val="105"/>
        </w:rPr>
        <w:t>having</w:t>
      </w:r>
      <w:r>
        <w:rPr>
          <w:color w:val="231F20"/>
          <w:spacing w:val="-15"/>
          <w:w w:val="105"/>
        </w:rPr>
        <w:t> </w:t>
      </w:r>
      <w:r>
        <w:rPr>
          <w:color w:val="231F20"/>
          <w:w w:val="105"/>
        </w:rPr>
        <w:t>to</w:t>
      </w:r>
      <w:r>
        <w:rPr>
          <w:color w:val="231F20"/>
          <w:spacing w:val="-15"/>
          <w:w w:val="105"/>
        </w:rPr>
        <w:t> </w:t>
      </w:r>
      <w:r>
        <w:rPr>
          <w:color w:val="231F20"/>
          <w:w w:val="105"/>
        </w:rPr>
        <w:t>wait</w:t>
      </w:r>
      <w:r>
        <w:rPr>
          <w:color w:val="231F20"/>
          <w:spacing w:val="-15"/>
          <w:w w:val="105"/>
        </w:rPr>
        <w:t> </w:t>
      </w:r>
      <w:r>
        <w:rPr>
          <w:color w:val="231F20"/>
          <w:w w:val="105"/>
        </w:rPr>
        <w:t>for</w:t>
      </w:r>
      <w:r>
        <w:rPr>
          <w:color w:val="231F20"/>
          <w:spacing w:val="-15"/>
          <w:w w:val="105"/>
        </w:rPr>
        <w:t> </w:t>
      </w:r>
      <w:r>
        <w:rPr>
          <w:color w:val="231F20"/>
          <w:w w:val="105"/>
        </w:rPr>
        <w:t>a</w:t>
      </w:r>
      <w:r>
        <w:rPr>
          <w:color w:val="231F20"/>
          <w:spacing w:val="-15"/>
          <w:w w:val="105"/>
        </w:rPr>
        <w:t> </w:t>
      </w:r>
      <w:r>
        <w:rPr>
          <w:color w:val="231F20"/>
          <w:w w:val="105"/>
        </w:rPr>
        <w:t>letter,</w:t>
      </w:r>
      <w:r>
        <w:rPr>
          <w:color w:val="231F20"/>
          <w:spacing w:val="-20"/>
          <w:w w:val="105"/>
        </w:rPr>
        <w:t> </w:t>
      </w:r>
      <w:r>
        <w:rPr>
          <w:color w:val="231F20"/>
          <w:w w:val="105"/>
        </w:rPr>
        <w:t>a</w:t>
      </w:r>
      <w:r>
        <w:rPr>
          <w:color w:val="231F20"/>
          <w:spacing w:val="-15"/>
          <w:w w:val="105"/>
        </w:rPr>
        <w:t> </w:t>
      </w:r>
      <w:r>
        <w:rPr>
          <w:color w:val="231F20"/>
          <w:w w:val="105"/>
        </w:rPr>
        <w:t>phone/Skype call,</w:t>
      </w:r>
      <w:r>
        <w:rPr>
          <w:color w:val="231F20"/>
          <w:spacing w:val="-17"/>
          <w:w w:val="105"/>
        </w:rPr>
        <w:t> </w:t>
      </w:r>
      <w:r>
        <w:rPr>
          <w:color w:val="231F20"/>
          <w:w w:val="105"/>
        </w:rPr>
        <w:t>or</w:t>
      </w:r>
      <w:r>
        <w:rPr>
          <w:color w:val="231F20"/>
          <w:spacing w:val="-11"/>
          <w:w w:val="105"/>
        </w:rPr>
        <w:t> </w:t>
      </w:r>
      <w:r>
        <w:rPr>
          <w:color w:val="231F20"/>
          <w:w w:val="105"/>
        </w:rPr>
        <w:t>a</w:t>
      </w:r>
      <w:r>
        <w:rPr>
          <w:color w:val="231F20"/>
          <w:spacing w:val="-11"/>
          <w:w w:val="105"/>
        </w:rPr>
        <w:t> </w:t>
      </w:r>
      <w:r>
        <w:rPr>
          <w:color w:val="231F20"/>
          <w:w w:val="105"/>
        </w:rPr>
        <w:t>visit</w:t>
      </w:r>
      <w:r>
        <w:rPr>
          <w:color w:val="231F20"/>
          <w:spacing w:val="-11"/>
          <w:w w:val="105"/>
        </w:rPr>
        <w:t> </w:t>
      </w:r>
      <w:r>
        <w:rPr>
          <w:color w:val="231F20"/>
          <w:w w:val="105"/>
        </w:rPr>
        <w:t>to</w:t>
      </w:r>
      <w:r>
        <w:rPr>
          <w:color w:val="231F20"/>
          <w:spacing w:val="-11"/>
          <w:w w:val="105"/>
        </w:rPr>
        <w:t> </w:t>
      </w:r>
      <w:r>
        <w:rPr>
          <w:color w:val="231F20"/>
          <w:w w:val="105"/>
        </w:rPr>
        <w:t>the</w:t>
      </w:r>
      <w:r>
        <w:rPr>
          <w:color w:val="231F20"/>
          <w:spacing w:val="-11"/>
          <w:w w:val="105"/>
        </w:rPr>
        <w:t> </w:t>
      </w:r>
      <w:r>
        <w:rPr>
          <w:color w:val="231F20"/>
          <w:w w:val="105"/>
        </w:rPr>
        <w:t>other</w:t>
      </w:r>
      <w:r>
        <w:rPr>
          <w:color w:val="231F20"/>
          <w:spacing w:val="-11"/>
          <w:w w:val="105"/>
        </w:rPr>
        <w:t> </w:t>
      </w:r>
      <w:r>
        <w:rPr>
          <w:color w:val="231F20"/>
          <w:w w:val="105"/>
        </w:rPr>
        <w:t>country.</w:t>
      </w:r>
    </w:p>
    <w:p>
      <w:pPr>
        <w:pStyle w:val="BodyText"/>
        <w:spacing w:line="261" w:lineRule="auto" w:before="1"/>
        <w:ind w:left="1837" w:right="1721" w:firstLine="567"/>
        <w:jc w:val="both"/>
      </w:pPr>
      <w:r>
        <w:rPr/>
        <w:pict>
          <v:line style="position:absolute;mso-position-horizontal-relative:page;mso-position-vertical-relative:paragraph;z-index:-446248" from="15pt,115.890587pt" to="0pt,115.890587pt" stroked="true" strokeweight=".25pt" strokecolor="#000000">
            <w10:wrap type="none"/>
          </v:line>
        </w:pict>
      </w:r>
      <w:r>
        <w:rPr/>
        <w:pict>
          <v:line style="position:absolute;mso-position-horizontal-relative:page;mso-position-vertical-relative:paragraph;z-index:43960" from="508.890015pt,115.890587pt" to="523.890015pt,115.890587pt" stroked="true" strokeweight=".25pt" strokecolor="#000000">
            <w10:wrap type="none"/>
          </v:line>
        </w:pict>
      </w:r>
      <w:r>
        <w:rPr>
          <w:color w:val="231F20"/>
          <w:w w:val="105"/>
        </w:rPr>
        <w:t>Due</w:t>
      </w:r>
      <w:r>
        <w:rPr>
          <w:color w:val="231F20"/>
          <w:spacing w:val="-24"/>
          <w:w w:val="105"/>
        </w:rPr>
        <w:t> </w:t>
      </w:r>
      <w:r>
        <w:rPr>
          <w:color w:val="231F20"/>
          <w:w w:val="105"/>
        </w:rPr>
        <w:t>to</w:t>
      </w:r>
      <w:r>
        <w:rPr>
          <w:color w:val="231F20"/>
          <w:spacing w:val="-24"/>
          <w:w w:val="105"/>
        </w:rPr>
        <w:t> </w:t>
      </w:r>
      <w:r>
        <w:rPr>
          <w:color w:val="231F20"/>
          <w:w w:val="105"/>
        </w:rPr>
        <w:t>changes</w:t>
      </w:r>
      <w:r>
        <w:rPr>
          <w:color w:val="231F20"/>
          <w:spacing w:val="-24"/>
          <w:w w:val="105"/>
        </w:rPr>
        <w:t> </w:t>
      </w:r>
      <w:r>
        <w:rPr>
          <w:color w:val="231F20"/>
          <w:w w:val="105"/>
        </w:rPr>
        <w:t>in</w:t>
      </w:r>
      <w:r>
        <w:rPr>
          <w:color w:val="231F20"/>
          <w:spacing w:val="-24"/>
          <w:w w:val="105"/>
        </w:rPr>
        <w:t> </w:t>
      </w:r>
      <w:r>
        <w:rPr>
          <w:color w:val="231F20"/>
          <w:w w:val="105"/>
        </w:rPr>
        <w:t>lifestyle</w:t>
      </w:r>
      <w:r>
        <w:rPr>
          <w:color w:val="231F20"/>
          <w:spacing w:val="-24"/>
          <w:w w:val="105"/>
        </w:rPr>
        <w:t> </w:t>
      </w:r>
      <w:r>
        <w:rPr>
          <w:color w:val="231F20"/>
          <w:w w:val="105"/>
        </w:rPr>
        <w:t>(more</w:t>
      </w:r>
      <w:r>
        <w:rPr>
          <w:color w:val="231F20"/>
          <w:spacing w:val="-24"/>
          <w:w w:val="105"/>
        </w:rPr>
        <w:t> </w:t>
      </w:r>
      <w:r>
        <w:rPr>
          <w:color w:val="231F20"/>
          <w:w w:val="105"/>
        </w:rPr>
        <w:t>sedentary</w:t>
      </w:r>
      <w:r>
        <w:rPr>
          <w:color w:val="231F20"/>
          <w:spacing w:val="-24"/>
          <w:w w:val="105"/>
        </w:rPr>
        <w:t> </w:t>
      </w:r>
      <w:r>
        <w:rPr>
          <w:color w:val="231F20"/>
          <w:w w:val="105"/>
        </w:rPr>
        <w:t>jobs,</w:t>
      </w:r>
      <w:r>
        <w:rPr>
          <w:color w:val="231F20"/>
          <w:spacing w:val="-28"/>
          <w:w w:val="105"/>
        </w:rPr>
        <w:t> </w:t>
      </w:r>
      <w:r>
        <w:rPr>
          <w:color w:val="231F20"/>
          <w:w w:val="105"/>
        </w:rPr>
        <w:t>such</w:t>
      </w:r>
      <w:r>
        <w:rPr>
          <w:color w:val="231F20"/>
          <w:spacing w:val="-24"/>
          <w:w w:val="105"/>
        </w:rPr>
        <w:t> </w:t>
      </w:r>
      <w:r>
        <w:rPr>
          <w:color w:val="231F20"/>
          <w:w w:val="105"/>
        </w:rPr>
        <w:t>as</w:t>
      </w:r>
      <w:r>
        <w:rPr>
          <w:color w:val="231F20"/>
          <w:spacing w:val="-24"/>
          <w:w w:val="105"/>
        </w:rPr>
        <w:t> </w:t>
      </w:r>
      <w:r>
        <w:rPr>
          <w:color w:val="231F20"/>
          <w:w w:val="105"/>
        </w:rPr>
        <w:t>in</w:t>
      </w:r>
      <w:r>
        <w:rPr>
          <w:color w:val="231F20"/>
          <w:spacing w:val="-24"/>
          <w:w w:val="105"/>
        </w:rPr>
        <w:t> </w:t>
      </w:r>
      <w:r>
        <w:rPr>
          <w:color w:val="231F20"/>
          <w:w w:val="105"/>
        </w:rPr>
        <w:t>schools or in offices), economy (less income and more expenses), and commu- nication</w:t>
      </w:r>
      <w:r>
        <w:rPr>
          <w:color w:val="231F20"/>
          <w:spacing w:val="-12"/>
          <w:w w:val="105"/>
        </w:rPr>
        <w:t> </w:t>
      </w:r>
      <w:r>
        <w:rPr>
          <w:color w:val="231F20"/>
          <w:w w:val="105"/>
        </w:rPr>
        <w:t>technology</w:t>
      </w:r>
      <w:r>
        <w:rPr>
          <w:color w:val="231F20"/>
          <w:spacing w:val="-12"/>
          <w:w w:val="105"/>
        </w:rPr>
        <w:t> </w:t>
      </w:r>
      <w:r>
        <w:rPr>
          <w:color w:val="231F20"/>
          <w:w w:val="105"/>
        </w:rPr>
        <w:t>(access</w:t>
      </w:r>
      <w:r>
        <w:rPr>
          <w:color w:val="231F20"/>
          <w:spacing w:val="-12"/>
          <w:w w:val="105"/>
        </w:rPr>
        <w:t> </w:t>
      </w:r>
      <w:r>
        <w:rPr>
          <w:color w:val="231F20"/>
          <w:w w:val="105"/>
        </w:rPr>
        <w:t>to</w:t>
      </w:r>
      <w:r>
        <w:rPr>
          <w:color w:val="231F20"/>
          <w:spacing w:val="-12"/>
          <w:w w:val="105"/>
        </w:rPr>
        <w:t> </w:t>
      </w:r>
      <w:r>
        <w:rPr>
          <w:color w:val="231F20"/>
          <w:w w:val="105"/>
        </w:rPr>
        <w:t>Skype,</w:t>
      </w:r>
      <w:r>
        <w:rPr>
          <w:color w:val="231F20"/>
          <w:spacing w:val="-17"/>
          <w:w w:val="105"/>
        </w:rPr>
        <w:t> </w:t>
      </w:r>
      <w:r>
        <w:rPr>
          <w:color w:val="231F20"/>
          <w:w w:val="105"/>
        </w:rPr>
        <w:t>internet,</w:t>
      </w:r>
      <w:r>
        <w:rPr>
          <w:color w:val="231F20"/>
          <w:spacing w:val="-17"/>
          <w:w w:val="105"/>
        </w:rPr>
        <w:t> </w:t>
      </w:r>
      <w:r>
        <w:rPr>
          <w:color w:val="231F20"/>
          <w:w w:val="105"/>
        </w:rPr>
        <w:t>Facebook,</w:t>
      </w:r>
      <w:r>
        <w:rPr>
          <w:color w:val="231F20"/>
          <w:spacing w:val="-17"/>
          <w:w w:val="105"/>
        </w:rPr>
        <w:t> </w:t>
      </w:r>
      <w:r>
        <w:rPr>
          <w:color w:val="231F20"/>
          <w:w w:val="105"/>
        </w:rPr>
        <w:t>smart</w:t>
      </w:r>
      <w:r>
        <w:rPr>
          <w:color w:val="231F20"/>
          <w:spacing w:val="-12"/>
          <w:w w:val="105"/>
        </w:rPr>
        <w:t> </w:t>
      </w:r>
      <w:r>
        <w:rPr>
          <w:color w:val="231F20"/>
          <w:w w:val="105"/>
        </w:rPr>
        <w:t>phones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695" w:right="1800"/>
        <w:jc w:val="both"/>
      </w:pPr>
      <w:r>
        <w:rPr/>
        <w:pict>
          <v:line style="position:absolute;mso-position-horizontal-relative:page;mso-position-vertical-relative:paragraph;z-index:44008" from="15pt,-71.68644pt" to="0pt,-71.68644pt" stroked="true" strokeweight=".25pt" strokecolor="#000000">
            <w10:wrap type="none"/>
          </v:line>
        </w:pict>
      </w:r>
      <w:r>
        <w:rPr/>
        <w:pict>
          <v:line style="position:absolute;mso-position-horizontal-relative:page;mso-position-vertical-relative:paragraph;z-index:44032" from="508.890015pt,-71.68644pt" to="523.890015pt,-71.68644pt" stroked="true" strokeweight=".25pt" strokecolor="#000000">
            <w10:wrap type="none"/>
          </v:line>
        </w:pict>
      </w:r>
      <w:r>
        <w:rPr>
          <w:color w:val="231F20"/>
          <w:w w:val="105"/>
        </w:rPr>
        <w:t>and</w:t>
      </w:r>
      <w:r>
        <w:rPr>
          <w:color w:val="231F20"/>
          <w:spacing w:val="-5"/>
          <w:w w:val="105"/>
        </w:rPr>
        <w:t> </w:t>
      </w:r>
      <w:r>
        <w:rPr>
          <w:color w:val="231F20"/>
          <w:w w:val="105"/>
        </w:rPr>
        <w:t>cheap</w:t>
      </w:r>
      <w:r>
        <w:rPr>
          <w:color w:val="231F20"/>
          <w:spacing w:val="-5"/>
          <w:w w:val="105"/>
        </w:rPr>
        <w:t> </w:t>
      </w:r>
      <w:r>
        <w:rPr>
          <w:color w:val="231F20"/>
          <w:w w:val="105"/>
        </w:rPr>
        <w:t>plans</w:t>
      </w:r>
      <w:r>
        <w:rPr>
          <w:color w:val="231F20"/>
          <w:spacing w:val="-5"/>
          <w:w w:val="105"/>
        </w:rPr>
        <w:t> </w:t>
      </w:r>
      <w:r>
        <w:rPr>
          <w:color w:val="231F20"/>
          <w:w w:val="105"/>
        </w:rPr>
        <w:t>to</w:t>
      </w:r>
      <w:r>
        <w:rPr>
          <w:color w:val="231F20"/>
          <w:spacing w:val="-5"/>
          <w:w w:val="105"/>
        </w:rPr>
        <w:t> </w:t>
      </w:r>
      <w:r>
        <w:rPr>
          <w:color w:val="231F20"/>
          <w:w w:val="105"/>
        </w:rPr>
        <w:t>call</w:t>
      </w:r>
      <w:r>
        <w:rPr>
          <w:color w:val="231F20"/>
          <w:spacing w:val="-5"/>
          <w:w w:val="105"/>
        </w:rPr>
        <w:t> </w:t>
      </w:r>
      <w:r>
        <w:rPr>
          <w:color w:val="231F20"/>
          <w:w w:val="105"/>
        </w:rPr>
        <w:t>Mexico,</w:t>
      </w:r>
      <w:r>
        <w:rPr>
          <w:color w:val="231F20"/>
          <w:spacing w:val="-10"/>
          <w:w w:val="105"/>
        </w:rPr>
        <w:t> </w:t>
      </w:r>
      <w:r>
        <w:rPr>
          <w:color w:val="231F20"/>
          <w:w w:val="105"/>
        </w:rPr>
        <w:t>and</w:t>
      </w:r>
      <w:r>
        <w:rPr>
          <w:color w:val="231F20"/>
          <w:spacing w:val="-5"/>
          <w:w w:val="105"/>
        </w:rPr>
        <w:t> </w:t>
      </w:r>
      <w:r>
        <w:rPr>
          <w:color w:val="231F20"/>
          <w:w w:val="105"/>
        </w:rPr>
        <w:t>radio),</w:t>
      </w:r>
      <w:r>
        <w:rPr>
          <w:color w:val="231F20"/>
          <w:spacing w:val="-10"/>
          <w:w w:val="105"/>
        </w:rPr>
        <w:t> </w:t>
      </w:r>
      <w:r>
        <w:rPr>
          <w:color w:val="231F20"/>
          <w:w w:val="105"/>
        </w:rPr>
        <w:t>traveling</w:t>
      </w:r>
      <w:r>
        <w:rPr>
          <w:color w:val="231F20"/>
          <w:spacing w:val="-5"/>
          <w:w w:val="105"/>
        </w:rPr>
        <w:t> </w:t>
      </w:r>
      <w:r>
        <w:rPr>
          <w:color w:val="231F20"/>
          <w:w w:val="105"/>
        </w:rPr>
        <w:t>to</w:t>
      </w:r>
      <w:r>
        <w:rPr>
          <w:color w:val="231F20"/>
          <w:spacing w:val="-5"/>
          <w:w w:val="105"/>
        </w:rPr>
        <w:t> </w:t>
      </w:r>
      <w:r>
        <w:rPr>
          <w:color w:val="231F20"/>
          <w:w w:val="105"/>
        </w:rPr>
        <w:t>the</w:t>
      </w:r>
      <w:r>
        <w:rPr>
          <w:color w:val="231F20"/>
          <w:spacing w:val="-5"/>
          <w:w w:val="105"/>
        </w:rPr>
        <w:t> </w:t>
      </w:r>
      <w:r>
        <w:rPr>
          <w:color w:val="231F20"/>
          <w:w w:val="105"/>
        </w:rPr>
        <w:t>other</w:t>
      </w:r>
      <w:r>
        <w:rPr>
          <w:color w:val="231F20"/>
          <w:spacing w:val="-5"/>
          <w:w w:val="105"/>
        </w:rPr>
        <w:t> </w:t>
      </w:r>
      <w:r>
        <w:rPr>
          <w:color w:val="231F20"/>
          <w:w w:val="105"/>
        </w:rPr>
        <w:t>country is no longer necessary to remain in touch. </w:t>
      </w:r>
      <w:r>
        <w:rPr>
          <w:color w:val="231F20"/>
          <w:spacing w:val="-4"/>
          <w:w w:val="105"/>
        </w:rPr>
        <w:t>For </w:t>
      </w:r>
      <w:r>
        <w:rPr>
          <w:color w:val="231F20"/>
          <w:w w:val="105"/>
        </w:rPr>
        <w:t>the younger generations, Facebook is currently the primary platform on which they turn all their local</w:t>
      </w:r>
      <w:r>
        <w:rPr>
          <w:color w:val="231F20"/>
          <w:spacing w:val="-34"/>
          <w:w w:val="105"/>
        </w:rPr>
        <w:t> </w:t>
      </w:r>
      <w:r>
        <w:rPr>
          <w:color w:val="231F20"/>
          <w:w w:val="105"/>
        </w:rPr>
        <w:t>experiences</w:t>
      </w:r>
      <w:r>
        <w:rPr>
          <w:color w:val="231F20"/>
          <w:spacing w:val="-34"/>
          <w:w w:val="105"/>
        </w:rPr>
        <w:t> </w:t>
      </w:r>
      <w:r>
        <w:rPr>
          <w:color w:val="231F20"/>
          <w:w w:val="105"/>
        </w:rPr>
        <w:t>into</w:t>
      </w:r>
      <w:r>
        <w:rPr>
          <w:color w:val="231F20"/>
          <w:spacing w:val="-34"/>
          <w:w w:val="105"/>
        </w:rPr>
        <w:t> </w:t>
      </w:r>
      <w:r>
        <w:rPr>
          <w:color w:val="231F20"/>
          <w:w w:val="105"/>
        </w:rPr>
        <w:t>transnational,</w:t>
      </w:r>
      <w:r>
        <w:rPr>
          <w:color w:val="231F20"/>
          <w:spacing w:val="-38"/>
          <w:w w:val="105"/>
        </w:rPr>
        <w:t> </w:t>
      </w:r>
      <w:r>
        <w:rPr>
          <w:color w:val="231F20"/>
          <w:w w:val="105"/>
        </w:rPr>
        <w:t>shared</w:t>
      </w:r>
      <w:r>
        <w:rPr>
          <w:color w:val="231F20"/>
          <w:spacing w:val="-34"/>
          <w:w w:val="105"/>
        </w:rPr>
        <w:t> </w:t>
      </w:r>
      <w:r>
        <w:rPr>
          <w:color w:val="231F20"/>
          <w:w w:val="105"/>
        </w:rPr>
        <w:t>experiences</w:t>
      </w:r>
      <w:r>
        <w:rPr>
          <w:color w:val="231F20"/>
          <w:spacing w:val="-34"/>
          <w:w w:val="105"/>
        </w:rPr>
        <w:t> </w:t>
      </w:r>
      <w:r>
        <w:rPr>
          <w:color w:val="231F20"/>
          <w:w w:val="105"/>
        </w:rPr>
        <w:t>and</w:t>
      </w:r>
      <w:r>
        <w:rPr>
          <w:color w:val="231F20"/>
          <w:spacing w:val="-34"/>
          <w:w w:val="105"/>
        </w:rPr>
        <w:t> </w:t>
      </w:r>
      <w:r>
        <w:rPr>
          <w:color w:val="231F20"/>
          <w:w w:val="105"/>
        </w:rPr>
        <w:t>a</w:t>
      </w:r>
      <w:r>
        <w:rPr>
          <w:color w:val="231F20"/>
          <w:spacing w:val="-34"/>
          <w:w w:val="105"/>
        </w:rPr>
        <w:t> </w:t>
      </w:r>
      <w:r>
        <w:rPr>
          <w:color w:val="231F20"/>
          <w:w w:val="105"/>
        </w:rPr>
        <w:t>‘new’</w:t>
      </w:r>
      <w:r>
        <w:rPr>
          <w:color w:val="231F20"/>
          <w:spacing w:val="-34"/>
          <w:w w:val="105"/>
        </w:rPr>
        <w:t> </w:t>
      </w:r>
      <w:r>
        <w:rPr>
          <w:color w:val="231F20"/>
          <w:w w:val="105"/>
        </w:rPr>
        <w:t>trans- national</w:t>
      </w:r>
      <w:r>
        <w:rPr>
          <w:color w:val="231F20"/>
          <w:spacing w:val="-20"/>
          <w:w w:val="105"/>
        </w:rPr>
        <w:t> </w:t>
      </w:r>
      <w:r>
        <w:rPr>
          <w:color w:val="231F20"/>
          <w:w w:val="105"/>
        </w:rPr>
        <w:t>space</w:t>
      </w:r>
      <w:r>
        <w:rPr>
          <w:color w:val="231F20"/>
          <w:spacing w:val="-20"/>
          <w:w w:val="105"/>
        </w:rPr>
        <w:t> </w:t>
      </w:r>
      <w:r>
        <w:rPr>
          <w:color w:val="231F20"/>
          <w:w w:val="105"/>
        </w:rPr>
        <w:t>for</w:t>
      </w:r>
      <w:r>
        <w:rPr>
          <w:color w:val="231F20"/>
          <w:spacing w:val="-20"/>
          <w:w w:val="105"/>
        </w:rPr>
        <w:t> </w:t>
      </w:r>
      <w:r>
        <w:rPr>
          <w:color w:val="231F20"/>
          <w:w w:val="105"/>
        </w:rPr>
        <w:t>keeping</w:t>
      </w:r>
      <w:r>
        <w:rPr>
          <w:color w:val="231F20"/>
          <w:spacing w:val="-20"/>
          <w:w w:val="105"/>
        </w:rPr>
        <w:t> </w:t>
      </w:r>
      <w:r>
        <w:rPr>
          <w:color w:val="231F20"/>
          <w:w w:val="105"/>
        </w:rPr>
        <w:t>relationships</w:t>
      </w:r>
      <w:r>
        <w:rPr>
          <w:color w:val="231F20"/>
          <w:spacing w:val="-20"/>
          <w:w w:val="105"/>
        </w:rPr>
        <w:t> </w:t>
      </w:r>
      <w:r>
        <w:rPr>
          <w:color w:val="231F20"/>
          <w:w w:val="105"/>
        </w:rPr>
        <w:t>alive.</w:t>
      </w:r>
    </w:p>
    <w:p>
      <w:pPr>
        <w:pStyle w:val="BodyText"/>
        <w:spacing w:line="261" w:lineRule="auto" w:before="1"/>
        <w:ind w:left="1695" w:right="1807" w:firstLine="567"/>
        <w:jc w:val="both"/>
      </w:pPr>
      <w:r>
        <w:rPr>
          <w:color w:val="231F20"/>
          <w:w w:val="105"/>
        </w:rPr>
        <w:t>Facebook</w:t>
      </w:r>
      <w:r>
        <w:rPr>
          <w:color w:val="231F20"/>
          <w:spacing w:val="-11"/>
          <w:w w:val="105"/>
        </w:rPr>
        <w:t> </w:t>
      </w:r>
      <w:r>
        <w:rPr>
          <w:color w:val="231F20"/>
          <w:w w:val="105"/>
        </w:rPr>
        <w:t>allows</w:t>
      </w:r>
      <w:r>
        <w:rPr>
          <w:color w:val="231F20"/>
          <w:spacing w:val="-11"/>
          <w:w w:val="105"/>
        </w:rPr>
        <w:t> </w:t>
      </w:r>
      <w:r>
        <w:rPr>
          <w:color w:val="231F20"/>
          <w:w w:val="105"/>
        </w:rPr>
        <w:t>for</w:t>
      </w:r>
      <w:r>
        <w:rPr>
          <w:color w:val="231F20"/>
          <w:spacing w:val="-11"/>
          <w:w w:val="105"/>
        </w:rPr>
        <w:t> </w:t>
      </w:r>
      <w:r>
        <w:rPr>
          <w:color w:val="231F20"/>
          <w:w w:val="105"/>
        </w:rPr>
        <w:t>members</w:t>
      </w:r>
      <w:r>
        <w:rPr>
          <w:color w:val="231F20"/>
          <w:spacing w:val="-11"/>
          <w:w w:val="105"/>
        </w:rPr>
        <w:t> </w:t>
      </w:r>
      <w:r>
        <w:rPr>
          <w:color w:val="231F20"/>
          <w:w w:val="105"/>
        </w:rPr>
        <w:t>of</w:t>
      </w:r>
      <w:r>
        <w:rPr>
          <w:color w:val="231F20"/>
          <w:spacing w:val="-6"/>
          <w:w w:val="105"/>
        </w:rPr>
        <w:t> </w:t>
      </w:r>
      <w:r>
        <w:rPr>
          <w:color w:val="231F20"/>
          <w:w w:val="105"/>
        </w:rPr>
        <w:t>the</w:t>
      </w:r>
      <w:r>
        <w:rPr>
          <w:color w:val="231F20"/>
          <w:spacing w:val="-11"/>
          <w:w w:val="105"/>
        </w:rPr>
        <w:t> </w:t>
      </w:r>
      <w:r>
        <w:rPr>
          <w:color w:val="231F20"/>
          <w:w w:val="105"/>
        </w:rPr>
        <w:t>network</w:t>
      </w:r>
      <w:r>
        <w:rPr>
          <w:color w:val="231F20"/>
          <w:spacing w:val="-11"/>
          <w:w w:val="105"/>
        </w:rPr>
        <w:t> </w:t>
      </w:r>
      <w:r>
        <w:rPr>
          <w:color w:val="231F20"/>
          <w:w w:val="105"/>
        </w:rPr>
        <w:t>to</w:t>
      </w:r>
      <w:r>
        <w:rPr>
          <w:color w:val="231F20"/>
          <w:spacing w:val="-11"/>
          <w:w w:val="105"/>
        </w:rPr>
        <w:t> </w:t>
      </w:r>
      <w:r>
        <w:rPr>
          <w:color w:val="231F20"/>
          <w:w w:val="105"/>
        </w:rPr>
        <w:t>be</w:t>
      </w:r>
      <w:r>
        <w:rPr>
          <w:color w:val="231F20"/>
          <w:spacing w:val="-11"/>
          <w:w w:val="105"/>
        </w:rPr>
        <w:t> </w:t>
      </w:r>
      <w:r>
        <w:rPr>
          <w:color w:val="231F20"/>
          <w:w w:val="105"/>
        </w:rPr>
        <w:t>informed</w:t>
      </w:r>
      <w:r>
        <w:rPr>
          <w:color w:val="231F20"/>
          <w:spacing w:val="-11"/>
          <w:w w:val="105"/>
        </w:rPr>
        <w:t> </w:t>
      </w:r>
      <w:r>
        <w:rPr>
          <w:color w:val="231F20"/>
          <w:w w:val="105"/>
        </w:rPr>
        <w:t>of</w:t>
      </w:r>
      <w:r>
        <w:rPr>
          <w:color w:val="231F20"/>
          <w:spacing w:val="-6"/>
          <w:w w:val="105"/>
        </w:rPr>
        <w:t> </w:t>
      </w:r>
      <w:r>
        <w:rPr>
          <w:color w:val="231F20"/>
          <w:w w:val="105"/>
        </w:rPr>
        <w:t>and participate</w:t>
      </w:r>
      <w:r>
        <w:rPr>
          <w:color w:val="231F20"/>
          <w:spacing w:val="-29"/>
          <w:w w:val="105"/>
        </w:rPr>
        <w:t> </w:t>
      </w:r>
      <w:r>
        <w:rPr>
          <w:color w:val="231F20"/>
          <w:w w:val="105"/>
        </w:rPr>
        <w:t>(either</w:t>
      </w:r>
      <w:r>
        <w:rPr>
          <w:color w:val="231F20"/>
          <w:spacing w:val="-29"/>
          <w:w w:val="105"/>
        </w:rPr>
        <w:t> </w:t>
      </w:r>
      <w:r>
        <w:rPr>
          <w:color w:val="231F20"/>
          <w:w w:val="105"/>
        </w:rPr>
        <w:t>synchronically</w:t>
      </w:r>
      <w:r>
        <w:rPr>
          <w:color w:val="231F20"/>
          <w:spacing w:val="-29"/>
          <w:w w:val="105"/>
        </w:rPr>
        <w:t> </w:t>
      </w:r>
      <w:r>
        <w:rPr>
          <w:color w:val="231F20"/>
          <w:w w:val="105"/>
        </w:rPr>
        <w:t>or</w:t>
      </w:r>
      <w:r>
        <w:rPr>
          <w:color w:val="231F20"/>
          <w:spacing w:val="-29"/>
          <w:w w:val="105"/>
        </w:rPr>
        <w:t> </w:t>
      </w:r>
      <w:r>
        <w:rPr>
          <w:color w:val="231F20"/>
          <w:w w:val="105"/>
        </w:rPr>
        <w:t>asynchronically)</w:t>
      </w:r>
      <w:r>
        <w:rPr>
          <w:color w:val="231F20"/>
          <w:spacing w:val="-29"/>
          <w:w w:val="105"/>
        </w:rPr>
        <w:t> </w:t>
      </w:r>
      <w:r>
        <w:rPr>
          <w:color w:val="231F20"/>
          <w:w w:val="105"/>
        </w:rPr>
        <w:t>in</w:t>
      </w:r>
      <w:r>
        <w:rPr>
          <w:color w:val="231F20"/>
          <w:spacing w:val="-29"/>
          <w:w w:val="105"/>
        </w:rPr>
        <w:t> </w:t>
      </w:r>
      <w:r>
        <w:rPr>
          <w:color w:val="231F20"/>
          <w:w w:val="105"/>
        </w:rPr>
        <w:t>events.</w:t>
      </w:r>
    </w:p>
    <w:p>
      <w:pPr>
        <w:pStyle w:val="BodyText"/>
        <w:spacing w:line="261" w:lineRule="auto" w:before="1"/>
        <w:ind w:left="1695" w:right="1806" w:firstLine="567"/>
        <w:jc w:val="both"/>
      </w:pPr>
      <w:r>
        <w:rPr>
          <w:color w:val="231F20"/>
          <w:spacing w:val="-4"/>
          <w:w w:val="105"/>
        </w:rPr>
        <w:t>Information</w:t>
      </w:r>
      <w:r>
        <w:rPr>
          <w:color w:val="231F20"/>
          <w:spacing w:val="-25"/>
          <w:w w:val="105"/>
        </w:rPr>
        <w:t> </w:t>
      </w:r>
      <w:r>
        <w:rPr>
          <w:color w:val="231F20"/>
          <w:w w:val="105"/>
        </w:rPr>
        <w:t>is</w:t>
      </w:r>
      <w:r>
        <w:rPr>
          <w:color w:val="231F20"/>
          <w:spacing w:val="-25"/>
          <w:w w:val="105"/>
        </w:rPr>
        <w:t> </w:t>
      </w:r>
      <w:r>
        <w:rPr>
          <w:color w:val="231F20"/>
          <w:spacing w:val="-3"/>
          <w:w w:val="105"/>
        </w:rPr>
        <w:t>not</w:t>
      </w:r>
      <w:r>
        <w:rPr>
          <w:color w:val="231F20"/>
          <w:spacing w:val="-26"/>
          <w:w w:val="105"/>
        </w:rPr>
        <w:t> </w:t>
      </w:r>
      <w:r>
        <w:rPr>
          <w:color w:val="231F20"/>
          <w:spacing w:val="-4"/>
          <w:w w:val="105"/>
        </w:rPr>
        <w:t>restricted</w:t>
      </w:r>
      <w:r>
        <w:rPr>
          <w:color w:val="231F20"/>
          <w:spacing w:val="-25"/>
          <w:w w:val="105"/>
        </w:rPr>
        <w:t> </w:t>
      </w:r>
      <w:r>
        <w:rPr>
          <w:color w:val="231F20"/>
          <w:w w:val="105"/>
        </w:rPr>
        <w:t>to</w:t>
      </w:r>
      <w:r>
        <w:rPr>
          <w:color w:val="231F20"/>
          <w:spacing w:val="-26"/>
          <w:w w:val="105"/>
        </w:rPr>
        <w:t> </w:t>
      </w:r>
      <w:r>
        <w:rPr>
          <w:color w:val="231F20"/>
          <w:spacing w:val="-3"/>
          <w:w w:val="105"/>
        </w:rPr>
        <w:t>one</w:t>
      </w:r>
      <w:r>
        <w:rPr>
          <w:color w:val="231F20"/>
          <w:spacing w:val="-26"/>
          <w:w w:val="105"/>
        </w:rPr>
        <w:t> </w:t>
      </w:r>
      <w:r>
        <w:rPr>
          <w:color w:val="231F20"/>
          <w:spacing w:val="-4"/>
          <w:w w:val="105"/>
        </w:rPr>
        <w:t>language</w:t>
      </w:r>
      <w:r>
        <w:rPr>
          <w:color w:val="231F20"/>
          <w:spacing w:val="-26"/>
          <w:w w:val="105"/>
        </w:rPr>
        <w:t> </w:t>
      </w:r>
      <w:r>
        <w:rPr>
          <w:color w:val="231F20"/>
          <w:spacing w:val="-4"/>
          <w:w w:val="105"/>
        </w:rPr>
        <w:t>variety</w:t>
      </w:r>
      <w:r>
        <w:rPr>
          <w:color w:val="231F20"/>
          <w:spacing w:val="-26"/>
          <w:w w:val="105"/>
        </w:rPr>
        <w:t> </w:t>
      </w:r>
      <w:r>
        <w:rPr>
          <w:color w:val="231F20"/>
          <w:spacing w:val="-3"/>
          <w:w w:val="105"/>
        </w:rPr>
        <w:t>but</w:t>
      </w:r>
      <w:r>
        <w:rPr>
          <w:color w:val="231F20"/>
          <w:spacing w:val="-26"/>
          <w:w w:val="105"/>
        </w:rPr>
        <w:t> </w:t>
      </w:r>
      <w:r>
        <w:rPr>
          <w:color w:val="231F20"/>
          <w:spacing w:val="-4"/>
          <w:w w:val="105"/>
        </w:rPr>
        <w:t>includes</w:t>
      </w:r>
      <w:r>
        <w:rPr>
          <w:color w:val="231F20"/>
          <w:spacing w:val="-26"/>
          <w:w w:val="105"/>
        </w:rPr>
        <w:t> </w:t>
      </w:r>
      <w:r>
        <w:rPr>
          <w:color w:val="231F20"/>
          <w:spacing w:val="-4"/>
          <w:w w:val="105"/>
        </w:rPr>
        <w:t>Engli- </w:t>
      </w:r>
      <w:r>
        <w:rPr>
          <w:color w:val="231F20"/>
          <w:w w:val="105"/>
        </w:rPr>
        <w:t>sh</w:t>
      </w:r>
      <w:r>
        <w:rPr>
          <w:color w:val="231F20"/>
          <w:spacing w:val="-36"/>
          <w:w w:val="105"/>
        </w:rPr>
        <w:t> </w:t>
      </w:r>
      <w:r>
        <w:rPr>
          <w:color w:val="231F20"/>
          <w:spacing w:val="-3"/>
          <w:w w:val="105"/>
        </w:rPr>
        <w:t>and</w:t>
      </w:r>
      <w:r>
        <w:rPr>
          <w:color w:val="231F20"/>
          <w:spacing w:val="-36"/>
          <w:w w:val="105"/>
        </w:rPr>
        <w:t> </w:t>
      </w:r>
      <w:r>
        <w:rPr>
          <w:color w:val="231F20"/>
          <w:spacing w:val="-4"/>
          <w:w w:val="105"/>
        </w:rPr>
        <w:t>Spanish</w:t>
      </w:r>
      <w:r>
        <w:rPr>
          <w:color w:val="231F20"/>
          <w:spacing w:val="-36"/>
          <w:w w:val="105"/>
        </w:rPr>
        <w:t> </w:t>
      </w:r>
      <w:r>
        <w:rPr>
          <w:color w:val="231F20"/>
          <w:spacing w:val="-3"/>
          <w:w w:val="105"/>
        </w:rPr>
        <w:t>and</w:t>
      </w:r>
      <w:r>
        <w:rPr>
          <w:color w:val="231F20"/>
          <w:spacing w:val="-36"/>
          <w:w w:val="105"/>
        </w:rPr>
        <w:t> </w:t>
      </w:r>
      <w:r>
        <w:rPr>
          <w:color w:val="231F20"/>
          <w:spacing w:val="-3"/>
          <w:w w:val="105"/>
        </w:rPr>
        <w:t>also</w:t>
      </w:r>
      <w:r>
        <w:rPr>
          <w:color w:val="231F20"/>
          <w:spacing w:val="-36"/>
          <w:w w:val="105"/>
        </w:rPr>
        <w:t> </w:t>
      </w:r>
      <w:r>
        <w:rPr>
          <w:color w:val="231F20"/>
          <w:spacing w:val="-4"/>
          <w:w w:val="105"/>
        </w:rPr>
        <w:t>visual</w:t>
      </w:r>
      <w:r>
        <w:rPr>
          <w:color w:val="231F20"/>
          <w:spacing w:val="-36"/>
          <w:w w:val="105"/>
        </w:rPr>
        <w:t> </w:t>
      </w:r>
      <w:r>
        <w:rPr>
          <w:color w:val="231F20"/>
          <w:spacing w:val="-5"/>
          <w:w w:val="105"/>
        </w:rPr>
        <w:t>resources</w:t>
      </w:r>
      <w:r>
        <w:rPr>
          <w:color w:val="231F20"/>
          <w:spacing w:val="-36"/>
          <w:w w:val="105"/>
        </w:rPr>
        <w:t> </w:t>
      </w:r>
      <w:r>
        <w:rPr>
          <w:color w:val="231F20"/>
          <w:spacing w:val="-4"/>
          <w:w w:val="105"/>
        </w:rPr>
        <w:t>(video,</w:t>
      </w:r>
      <w:r>
        <w:rPr>
          <w:color w:val="231F20"/>
          <w:spacing w:val="-39"/>
          <w:w w:val="105"/>
        </w:rPr>
        <w:t> </w:t>
      </w:r>
      <w:r>
        <w:rPr>
          <w:color w:val="231F20"/>
          <w:spacing w:val="-4"/>
          <w:w w:val="105"/>
        </w:rPr>
        <w:t>pictures,</w:t>
      </w:r>
      <w:r>
        <w:rPr>
          <w:color w:val="231F20"/>
          <w:spacing w:val="-39"/>
          <w:w w:val="105"/>
        </w:rPr>
        <w:t> </w:t>
      </w:r>
      <w:r>
        <w:rPr>
          <w:color w:val="231F20"/>
          <w:spacing w:val="-4"/>
          <w:w w:val="105"/>
        </w:rPr>
        <w:t>links,</w:t>
      </w:r>
      <w:r>
        <w:rPr>
          <w:color w:val="231F20"/>
          <w:spacing w:val="-39"/>
          <w:w w:val="105"/>
        </w:rPr>
        <w:t> </w:t>
      </w:r>
      <w:r>
        <w:rPr>
          <w:color w:val="231F20"/>
          <w:spacing w:val="-4"/>
          <w:w w:val="105"/>
        </w:rPr>
        <w:t>collages).</w:t>
      </w:r>
    </w:p>
    <w:p>
      <w:pPr>
        <w:pStyle w:val="BodyText"/>
        <w:spacing w:line="261" w:lineRule="auto" w:before="1"/>
        <w:ind w:left="1695" w:right="1806" w:firstLine="567"/>
        <w:jc w:val="both"/>
      </w:pPr>
      <w:r>
        <w:rPr>
          <w:color w:val="231F20"/>
          <w:w w:val="105"/>
        </w:rPr>
        <w:t>Although</w:t>
      </w:r>
      <w:r>
        <w:rPr>
          <w:color w:val="231F20"/>
          <w:spacing w:val="-18"/>
          <w:w w:val="105"/>
        </w:rPr>
        <w:t> </w:t>
      </w:r>
      <w:r>
        <w:rPr>
          <w:color w:val="231F20"/>
          <w:w w:val="105"/>
        </w:rPr>
        <w:t>physical</w:t>
      </w:r>
      <w:r>
        <w:rPr>
          <w:color w:val="231F20"/>
          <w:spacing w:val="-18"/>
          <w:w w:val="105"/>
        </w:rPr>
        <w:t> </w:t>
      </w:r>
      <w:r>
        <w:rPr>
          <w:color w:val="231F20"/>
          <w:w w:val="105"/>
        </w:rPr>
        <w:t>contact</w:t>
      </w:r>
      <w:r>
        <w:rPr>
          <w:color w:val="231F20"/>
          <w:spacing w:val="-18"/>
          <w:w w:val="105"/>
        </w:rPr>
        <w:t> </w:t>
      </w:r>
      <w:r>
        <w:rPr>
          <w:color w:val="231F20"/>
          <w:w w:val="105"/>
        </w:rPr>
        <w:t>and</w:t>
      </w:r>
      <w:r>
        <w:rPr>
          <w:color w:val="231F20"/>
          <w:spacing w:val="-18"/>
          <w:w w:val="105"/>
        </w:rPr>
        <w:t> </w:t>
      </w:r>
      <w:r>
        <w:rPr>
          <w:color w:val="231F20"/>
          <w:spacing w:val="-2"/>
          <w:w w:val="105"/>
        </w:rPr>
        <w:t>travel</w:t>
      </w:r>
      <w:r>
        <w:rPr>
          <w:color w:val="231F20"/>
          <w:spacing w:val="-18"/>
          <w:w w:val="105"/>
        </w:rPr>
        <w:t> </w:t>
      </w:r>
      <w:r>
        <w:rPr>
          <w:color w:val="231F20"/>
          <w:w w:val="105"/>
        </w:rPr>
        <w:t>is</w:t>
      </w:r>
      <w:r>
        <w:rPr>
          <w:color w:val="231F20"/>
          <w:spacing w:val="-18"/>
          <w:w w:val="105"/>
        </w:rPr>
        <w:t> </w:t>
      </w:r>
      <w:r>
        <w:rPr>
          <w:color w:val="231F20"/>
          <w:w w:val="105"/>
        </w:rPr>
        <w:t>still</w:t>
      </w:r>
      <w:r>
        <w:rPr>
          <w:color w:val="231F20"/>
          <w:spacing w:val="-18"/>
          <w:w w:val="105"/>
        </w:rPr>
        <w:t> </w:t>
      </w:r>
      <w:r>
        <w:rPr>
          <w:color w:val="231F20"/>
          <w:w w:val="105"/>
        </w:rPr>
        <w:t>paramount</w:t>
      </w:r>
      <w:r>
        <w:rPr>
          <w:color w:val="231F20"/>
          <w:spacing w:val="-18"/>
          <w:w w:val="105"/>
        </w:rPr>
        <w:t> </w:t>
      </w:r>
      <w:r>
        <w:rPr>
          <w:color w:val="231F20"/>
          <w:w w:val="105"/>
        </w:rPr>
        <w:t>in</w:t>
      </w:r>
      <w:r>
        <w:rPr>
          <w:color w:val="231F20"/>
          <w:spacing w:val="-18"/>
          <w:w w:val="105"/>
        </w:rPr>
        <w:t> </w:t>
      </w:r>
      <w:r>
        <w:rPr>
          <w:color w:val="231F20"/>
          <w:spacing w:val="-3"/>
          <w:w w:val="105"/>
        </w:rPr>
        <w:t>transnatio- </w:t>
      </w:r>
      <w:r>
        <w:rPr>
          <w:color w:val="231F20"/>
          <w:w w:val="105"/>
        </w:rPr>
        <w:t>nal</w:t>
      </w:r>
      <w:r>
        <w:rPr>
          <w:color w:val="231F20"/>
          <w:spacing w:val="-10"/>
          <w:w w:val="105"/>
        </w:rPr>
        <w:t> </w:t>
      </w:r>
      <w:r>
        <w:rPr>
          <w:color w:val="231F20"/>
          <w:w w:val="105"/>
        </w:rPr>
        <w:t>communities,</w:t>
      </w:r>
      <w:r>
        <w:rPr>
          <w:color w:val="231F20"/>
          <w:spacing w:val="-15"/>
          <w:w w:val="105"/>
        </w:rPr>
        <w:t> </w:t>
      </w:r>
      <w:r>
        <w:rPr>
          <w:color w:val="231F20"/>
          <w:w w:val="105"/>
        </w:rPr>
        <w:t>it</w:t>
      </w:r>
      <w:r>
        <w:rPr>
          <w:color w:val="231F20"/>
          <w:spacing w:val="-10"/>
          <w:w w:val="105"/>
        </w:rPr>
        <w:t> </w:t>
      </w:r>
      <w:r>
        <w:rPr>
          <w:color w:val="231F20"/>
          <w:w w:val="105"/>
        </w:rPr>
        <w:t>is</w:t>
      </w:r>
      <w:r>
        <w:rPr>
          <w:color w:val="231F20"/>
          <w:spacing w:val="-10"/>
          <w:w w:val="105"/>
        </w:rPr>
        <w:t> </w:t>
      </w:r>
      <w:r>
        <w:rPr>
          <w:color w:val="231F20"/>
          <w:w w:val="105"/>
        </w:rPr>
        <w:t>not</w:t>
      </w:r>
      <w:r>
        <w:rPr>
          <w:color w:val="231F20"/>
          <w:spacing w:val="-10"/>
          <w:w w:val="105"/>
        </w:rPr>
        <w:t> </w:t>
      </w:r>
      <w:r>
        <w:rPr>
          <w:color w:val="231F20"/>
          <w:w w:val="105"/>
        </w:rPr>
        <w:t>the</w:t>
      </w:r>
      <w:r>
        <w:rPr>
          <w:color w:val="231F20"/>
          <w:spacing w:val="-10"/>
          <w:w w:val="105"/>
        </w:rPr>
        <w:t> </w:t>
      </w:r>
      <w:r>
        <w:rPr>
          <w:color w:val="231F20"/>
          <w:w w:val="105"/>
        </w:rPr>
        <w:t>only</w:t>
      </w:r>
      <w:r>
        <w:rPr>
          <w:color w:val="231F20"/>
          <w:spacing w:val="-10"/>
          <w:w w:val="105"/>
        </w:rPr>
        <w:t> </w:t>
      </w:r>
      <w:r>
        <w:rPr>
          <w:color w:val="231F20"/>
          <w:w w:val="105"/>
        </w:rPr>
        <w:t>way</w:t>
      </w:r>
      <w:r>
        <w:rPr>
          <w:color w:val="231F20"/>
          <w:spacing w:val="-10"/>
          <w:w w:val="105"/>
        </w:rPr>
        <w:t> </w:t>
      </w:r>
      <w:r>
        <w:rPr>
          <w:color w:val="231F20"/>
          <w:w w:val="105"/>
        </w:rPr>
        <w:t>to</w:t>
      </w:r>
      <w:r>
        <w:rPr>
          <w:color w:val="231F20"/>
          <w:spacing w:val="-10"/>
          <w:w w:val="105"/>
        </w:rPr>
        <w:t> </w:t>
      </w:r>
      <w:r>
        <w:rPr>
          <w:color w:val="231F20"/>
          <w:w w:val="105"/>
        </w:rPr>
        <w:t>maintain</w:t>
      </w:r>
      <w:r>
        <w:rPr>
          <w:color w:val="231F20"/>
          <w:spacing w:val="-10"/>
          <w:w w:val="105"/>
        </w:rPr>
        <w:t> </w:t>
      </w:r>
      <w:r>
        <w:rPr>
          <w:color w:val="231F20"/>
          <w:spacing w:val="-3"/>
          <w:w w:val="105"/>
        </w:rPr>
        <w:t>transnationalism</w:t>
      </w:r>
      <w:r>
        <w:rPr>
          <w:color w:val="231F20"/>
          <w:spacing w:val="-10"/>
          <w:w w:val="105"/>
        </w:rPr>
        <w:t> </w:t>
      </w:r>
      <w:r>
        <w:rPr>
          <w:color w:val="231F20"/>
          <w:w w:val="105"/>
        </w:rPr>
        <w:t>and</w:t>
      </w:r>
      <w:r>
        <w:rPr>
          <w:color w:val="231F20"/>
          <w:spacing w:val="-10"/>
          <w:w w:val="105"/>
        </w:rPr>
        <w:t> </w:t>
      </w:r>
      <w:r>
        <w:rPr>
          <w:color w:val="231F20"/>
          <w:w w:val="105"/>
        </w:rPr>
        <w:t>a </w:t>
      </w:r>
      <w:r>
        <w:rPr>
          <w:color w:val="231F20"/>
          <w:spacing w:val="-3"/>
          <w:w w:val="105"/>
        </w:rPr>
        <w:t>transnational</w:t>
      </w:r>
      <w:r>
        <w:rPr>
          <w:color w:val="231F20"/>
          <w:spacing w:val="-15"/>
          <w:w w:val="105"/>
        </w:rPr>
        <w:t> </w:t>
      </w:r>
      <w:r>
        <w:rPr>
          <w:color w:val="231F20"/>
          <w:spacing w:val="-3"/>
          <w:w w:val="105"/>
        </w:rPr>
        <w:t>identity.</w:t>
      </w:r>
      <w:r>
        <w:rPr>
          <w:color w:val="231F20"/>
          <w:spacing w:val="-20"/>
          <w:w w:val="105"/>
        </w:rPr>
        <w:t> </w:t>
      </w:r>
      <w:r>
        <w:rPr>
          <w:color w:val="231F20"/>
          <w:spacing w:val="-3"/>
          <w:w w:val="105"/>
        </w:rPr>
        <w:t>Facebook</w:t>
      </w:r>
      <w:r>
        <w:rPr>
          <w:color w:val="231F20"/>
          <w:spacing w:val="-15"/>
          <w:w w:val="105"/>
        </w:rPr>
        <w:t> </w:t>
      </w:r>
      <w:r>
        <w:rPr>
          <w:color w:val="231F20"/>
          <w:w w:val="105"/>
        </w:rPr>
        <w:t>allows</w:t>
      </w:r>
      <w:r>
        <w:rPr>
          <w:color w:val="231F20"/>
          <w:spacing w:val="-15"/>
          <w:w w:val="105"/>
        </w:rPr>
        <w:t> </w:t>
      </w:r>
      <w:r>
        <w:rPr>
          <w:color w:val="231F20"/>
          <w:spacing w:val="-3"/>
          <w:w w:val="105"/>
        </w:rPr>
        <w:t>strengthening</w:t>
      </w:r>
      <w:r>
        <w:rPr>
          <w:color w:val="231F20"/>
          <w:spacing w:val="-15"/>
          <w:w w:val="105"/>
        </w:rPr>
        <w:t> </w:t>
      </w:r>
      <w:r>
        <w:rPr>
          <w:color w:val="231F20"/>
          <w:w w:val="105"/>
        </w:rPr>
        <w:t>the</w:t>
      </w:r>
      <w:r>
        <w:rPr>
          <w:color w:val="231F20"/>
          <w:spacing w:val="-15"/>
          <w:w w:val="105"/>
        </w:rPr>
        <w:t> </w:t>
      </w:r>
      <w:r>
        <w:rPr>
          <w:color w:val="231F20"/>
          <w:w w:val="105"/>
        </w:rPr>
        <w:t>connections</w:t>
      </w:r>
      <w:r>
        <w:rPr>
          <w:color w:val="231F20"/>
          <w:spacing w:val="-15"/>
          <w:w w:val="105"/>
        </w:rPr>
        <w:t> </w:t>
      </w:r>
      <w:r>
        <w:rPr>
          <w:color w:val="231F20"/>
          <w:w w:val="105"/>
        </w:rPr>
        <w:t>be- tween</w:t>
      </w:r>
      <w:r>
        <w:rPr>
          <w:color w:val="231F20"/>
          <w:spacing w:val="-15"/>
          <w:w w:val="105"/>
        </w:rPr>
        <w:t> </w:t>
      </w:r>
      <w:r>
        <w:rPr>
          <w:color w:val="231F20"/>
          <w:w w:val="105"/>
        </w:rPr>
        <w:t>the</w:t>
      </w:r>
      <w:r>
        <w:rPr>
          <w:color w:val="231F20"/>
          <w:spacing w:val="-15"/>
          <w:w w:val="105"/>
        </w:rPr>
        <w:t> </w:t>
      </w:r>
      <w:r>
        <w:rPr>
          <w:color w:val="231F20"/>
          <w:w w:val="105"/>
        </w:rPr>
        <w:t>societies</w:t>
      </w:r>
      <w:r>
        <w:rPr>
          <w:color w:val="231F20"/>
          <w:spacing w:val="-15"/>
          <w:w w:val="105"/>
        </w:rPr>
        <w:t> </w:t>
      </w:r>
      <w:r>
        <w:rPr>
          <w:color w:val="231F20"/>
          <w:w w:val="105"/>
        </w:rPr>
        <w:t>and</w:t>
      </w:r>
      <w:r>
        <w:rPr>
          <w:color w:val="231F20"/>
          <w:spacing w:val="-15"/>
          <w:w w:val="105"/>
        </w:rPr>
        <w:t> </w:t>
      </w:r>
      <w:r>
        <w:rPr>
          <w:color w:val="231F20"/>
          <w:w w:val="105"/>
        </w:rPr>
        <w:t>the</w:t>
      </w:r>
      <w:r>
        <w:rPr>
          <w:color w:val="231F20"/>
          <w:spacing w:val="-15"/>
          <w:w w:val="105"/>
        </w:rPr>
        <w:t> </w:t>
      </w:r>
      <w:r>
        <w:rPr>
          <w:color w:val="231F20"/>
          <w:w w:val="105"/>
        </w:rPr>
        <w:t>members</w:t>
      </w:r>
      <w:r>
        <w:rPr>
          <w:color w:val="231F20"/>
          <w:spacing w:val="-15"/>
          <w:w w:val="105"/>
        </w:rPr>
        <w:t> </w:t>
      </w:r>
      <w:r>
        <w:rPr>
          <w:color w:val="231F20"/>
          <w:w w:val="105"/>
        </w:rPr>
        <w:t>despite</w:t>
      </w:r>
      <w:r>
        <w:rPr>
          <w:color w:val="231F20"/>
          <w:spacing w:val="-15"/>
          <w:w w:val="105"/>
        </w:rPr>
        <w:t> </w:t>
      </w:r>
      <w:r>
        <w:rPr>
          <w:color w:val="231F20"/>
          <w:w w:val="105"/>
        </w:rPr>
        <w:t>the</w:t>
      </w:r>
      <w:r>
        <w:rPr>
          <w:color w:val="231F20"/>
          <w:spacing w:val="-15"/>
          <w:w w:val="105"/>
        </w:rPr>
        <w:t> </w:t>
      </w:r>
      <w:r>
        <w:rPr>
          <w:color w:val="231F20"/>
          <w:spacing w:val="-3"/>
          <w:w w:val="105"/>
        </w:rPr>
        <w:t>frequency</w:t>
      </w:r>
      <w:r>
        <w:rPr>
          <w:color w:val="231F20"/>
          <w:spacing w:val="-15"/>
          <w:w w:val="105"/>
        </w:rPr>
        <w:t> </w:t>
      </w:r>
      <w:r>
        <w:rPr>
          <w:color w:val="231F20"/>
          <w:w w:val="105"/>
        </w:rPr>
        <w:t>of</w:t>
      </w:r>
      <w:r>
        <w:rPr>
          <w:color w:val="231F20"/>
          <w:spacing w:val="-11"/>
          <w:w w:val="105"/>
        </w:rPr>
        <w:t> </w:t>
      </w:r>
      <w:r>
        <w:rPr>
          <w:color w:val="231F20"/>
          <w:spacing w:val="-3"/>
          <w:w w:val="105"/>
        </w:rPr>
        <w:t>mobility.</w:t>
      </w:r>
    </w:p>
    <w:p>
      <w:pPr>
        <w:pStyle w:val="BodyText"/>
        <w:spacing w:line="261" w:lineRule="auto" w:before="1"/>
        <w:ind w:left="1695" w:right="1801" w:firstLine="567"/>
        <w:jc w:val="both"/>
      </w:pPr>
      <w:r>
        <w:rPr>
          <w:color w:val="231F20"/>
          <w:w w:val="105"/>
        </w:rPr>
        <w:t>Apart </w:t>
      </w:r>
      <w:r>
        <w:rPr>
          <w:color w:val="231F20"/>
          <w:spacing w:val="-3"/>
          <w:w w:val="105"/>
        </w:rPr>
        <w:t>from presentation </w:t>
      </w:r>
      <w:r>
        <w:rPr>
          <w:color w:val="231F20"/>
          <w:w w:val="105"/>
        </w:rPr>
        <w:t>of self and contention among identities, members</w:t>
      </w:r>
      <w:r>
        <w:rPr>
          <w:color w:val="231F20"/>
          <w:spacing w:val="-12"/>
          <w:w w:val="105"/>
        </w:rPr>
        <w:t> </w:t>
      </w:r>
      <w:r>
        <w:rPr>
          <w:color w:val="231F20"/>
          <w:w w:val="105"/>
        </w:rPr>
        <w:t>of</w:t>
      </w:r>
      <w:r>
        <w:rPr>
          <w:color w:val="231F20"/>
          <w:spacing w:val="-8"/>
          <w:w w:val="105"/>
        </w:rPr>
        <w:t> </w:t>
      </w:r>
      <w:r>
        <w:rPr>
          <w:color w:val="231F20"/>
          <w:w w:val="105"/>
        </w:rPr>
        <w:t>the</w:t>
      </w:r>
      <w:r>
        <w:rPr>
          <w:color w:val="231F20"/>
          <w:spacing w:val="-12"/>
          <w:w w:val="105"/>
        </w:rPr>
        <w:t> </w:t>
      </w:r>
      <w:r>
        <w:rPr>
          <w:color w:val="231F20"/>
          <w:w w:val="105"/>
        </w:rPr>
        <w:t>network</w:t>
      </w:r>
      <w:r>
        <w:rPr>
          <w:color w:val="231F20"/>
          <w:spacing w:val="-12"/>
          <w:w w:val="105"/>
        </w:rPr>
        <w:t> </w:t>
      </w:r>
      <w:r>
        <w:rPr>
          <w:color w:val="231F20"/>
          <w:w w:val="105"/>
        </w:rPr>
        <w:t>use</w:t>
      </w:r>
      <w:r>
        <w:rPr>
          <w:color w:val="231F20"/>
          <w:spacing w:val="-12"/>
          <w:w w:val="105"/>
        </w:rPr>
        <w:t> </w:t>
      </w:r>
      <w:r>
        <w:rPr>
          <w:color w:val="231F20"/>
          <w:spacing w:val="-3"/>
          <w:w w:val="105"/>
        </w:rPr>
        <w:t>Facebook</w:t>
      </w:r>
      <w:r>
        <w:rPr>
          <w:color w:val="231F20"/>
          <w:spacing w:val="-12"/>
          <w:w w:val="105"/>
        </w:rPr>
        <w:t> </w:t>
      </w:r>
      <w:r>
        <w:rPr>
          <w:color w:val="231F20"/>
          <w:w w:val="105"/>
        </w:rPr>
        <w:t>as</w:t>
      </w:r>
      <w:r>
        <w:rPr>
          <w:color w:val="231F20"/>
          <w:spacing w:val="-12"/>
          <w:w w:val="105"/>
        </w:rPr>
        <w:t> </w:t>
      </w:r>
      <w:r>
        <w:rPr>
          <w:color w:val="231F20"/>
          <w:w w:val="105"/>
        </w:rPr>
        <w:t>a</w:t>
      </w:r>
      <w:r>
        <w:rPr>
          <w:color w:val="231F20"/>
          <w:spacing w:val="-12"/>
          <w:w w:val="105"/>
        </w:rPr>
        <w:t> </w:t>
      </w:r>
      <w:r>
        <w:rPr>
          <w:color w:val="231F20"/>
          <w:w w:val="105"/>
        </w:rPr>
        <w:t>new</w:t>
      </w:r>
      <w:r>
        <w:rPr>
          <w:color w:val="231F20"/>
          <w:spacing w:val="-12"/>
          <w:w w:val="105"/>
        </w:rPr>
        <w:t> </w:t>
      </w:r>
      <w:r>
        <w:rPr>
          <w:color w:val="231F20"/>
          <w:spacing w:val="-3"/>
          <w:w w:val="105"/>
        </w:rPr>
        <w:t>transnational</w:t>
      </w:r>
      <w:r>
        <w:rPr>
          <w:color w:val="231F20"/>
          <w:spacing w:val="-12"/>
          <w:w w:val="105"/>
        </w:rPr>
        <w:t> </w:t>
      </w:r>
      <w:r>
        <w:rPr>
          <w:color w:val="231F20"/>
          <w:w w:val="105"/>
        </w:rPr>
        <w:t>space</w:t>
      </w:r>
      <w:r>
        <w:rPr>
          <w:color w:val="231F20"/>
          <w:spacing w:val="-12"/>
          <w:w w:val="105"/>
        </w:rPr>
        <w:t> </w:t>
      </w:r>
      <w:r>
        <w:rPr>
          <w:color w:val="231F20"/>
          <w:w w:val="105"/>
        </w:rPr>
        <w:t>that encompasses</w:t>
      </w:r>
      <w:r>
        <w:rPr>
          <w:color w:val="231F20"/>
          <w:spacing w:val="-29"/>
          <w:w w:val="105"/>
        </w:rPr>
        <w:t> </w:t>
      </w:r>
      <w:r>
        <w:rPr>
          <w:color w:val="231F20"/>
          <w:w w:val="105"/>
        </w:rPr>
        <w:t>various</w:t>
      </w:r>
      <w:r>
        <w:rPr>
          <w:color w:val="231F20"/>
          <w:spacing w:val="-29"/>
          <w:w w:val="105"/>
        </w:rPr>
        <w:t> </w:t>
      </w:r>
      <w:r>
        <w:rPr>
          <w:color w:val="231F20"/>
          <w:w w:val="105"/>
        </w:rPr>
        <w:t>forms</w:t>
      </w:r>
      <w:r>
        <w:rPr>
          <w:color w:val="231F20"/>
          <w:spacing w:val="-29"/>
          <w:w w:val="105"/>
        </w:rPr>
        <w:t> </w:t>
      </w:r>
      <w:r>
        <w:rPr>
          <w:color w:val="231F20"/>
          <w:w w:val="105"/>
        </w:rPr>
        <w:t>of</w:t>
      </w:r>
      <w:r>
        <w:rPr>
          <w:color w:val="231F20"/>
          <w:spacing w:val="-26"/>
          <w:w w:val="105"/>
        </w:rPr>
        <w:t> </w:t>
      </w:r>
      <w:r>
        <w:rPr>
          <w:color w:val="231F20"/>
          <w:w w:val="105"/>
        </w:rPr>
        <w:t>communication:</w:t>
      </w:r>
      <w:r>
        <w:rPr>
          <w:color w:val="231F20"/>
          <w:spacing w:val="-29"/>
          <w:w w:val="105"/>
        </w:rPr>
        <w:t> </w:t>
      </w:r>
      <w:r>
        <w:rPr>
          <w:color w:val="231F20"/>
          <w:w w:val="105"/>
        </w:rPr>
        <w:t>chat,</w:t>
      </w:r>
      <w:r>
        <w:rPr>
          <w:color w:val="231F20"/>
          <w:spacing w:val="-31"/>
          <w:w w:val="105"/>
        </w:rPr>
        <w:t> </w:t>
      </w:r>
      <w:r>
        <w:rPr>
          <w:color w:val="231F20"/>
          <w:w w:val="105"/>
        </w:rPr>
        <w:t>calls,</w:t>
      </w:r>
      <w:r>
        <w:rPr>
          <w:color w:val="231F20"/>
          <w:spacing w:val="-31"/>
          <w:w w:val="105"/>
        </w:rPr>
        <w:t> </w:t>
      </w:r>
      <w:r>
        <w:rPr>
          <w:color w:val="231F20"/>
          <w:w w:val="105"/>
        </w:rPr>
        <w:t>instant</w:t>
      </w:r>
      <w:r>
        <w:rPr>
          <w:color w:val="231F20"/>
          <w:spacing w:val="-29"/>
          <w:w w:val="105"/>
        </w:rPr>
        <w:t> </w:t>
      </w:r>
      <w:r>
        <w:rPr>
          <w:color w:val="231F20"/>
          <w:w w:val="105"/>
        </w:rPr>
        <w:t>messa- ges,</w:t>
      </w:r>
      <w:r>
        <w:rPr>
          <w:color w:val="231F20"/>
          <w:spacing w:val="-22"/>
          <w:w w:val="105"/>
        </w:rPr>
        <w:t> </w:t>
      </w:r>
      <w:r>
        <w:rPr>
          <w:color w:val="231F20"/>
          <w:w w:val="105"/>
        </w:rPr>
        <w:t>letters,</w:t>
      </w:r>
      <w:r>
        <w:rPr>
          <w:color w:val="231F20"/>
          <w:spacing w:val="-22"/>
          <w:w w:val="105"/>
        </w:rPr>
        <w:t> </w:t>
      </w:r>
      <w:r>
        <w:rPr>
          <w:color w:val="231F20"/>
          <w:w w:val="105"/>
        </w:rPr>
        <w:t>and</w:t>
      </w:r>
      <w:r>
        <w:rPr>
          <w:color w:val="231F20"/>
          <w:spacing w:val="-18"/>
          <w:w w:val="105"/>
        </w:rPr>
        <w:t> </w:t>
      </w:r>
      <w:r>
        <w:rPr>
          <w:color w:val="231F20"/>
          <w:spacing w:val="-3"/>
          <w:w w:val="105"/>
        </w:rPr>
        <w:t>creates</w:t>
      </w:r>
      <w:r>
        <w:rPr>
          <w:color w:val="231F20"/>
          <w:spacing w:val="-18"/>
          <w:w w:val="105"/>
        </w:rPr>
        <w:t> </w:t>
      </w:r>
      <w:r>
        <w:rPr>
          <w:color w:val="231F20"/>
          <w:w w:val="105"/>
        </w:rPr>
        <w:t>a</w:t>
      </w:r>
      <w:r>
        <w:rPr>
          <w:color w:val="231F20"/>
          <w:spacing w:val="-18"/>
          <w:w w:val="105"/>
        </w:rPr>
        <w:t> </w:t>
      </w:r>
      <w:r>
        <w:rPr>
          <w:color w:val="231F20"/>
          <w:w w:val="105"/>
        </w:rPr>
        <w:t>multimodal</w:t>
      </w:r>
      <w:r>
        <w:rPr>
          <w:color w:val="231F20"/>
          <w:spacing w:val="-18"/>
          <w:w w:val="105"/>
        </w:rPr>
        <w:t> </w:t>
      </w:r>
      <w:r>
        <w:rPr>
          <w:color w:val="231F20"/>
          <w:w w:val="105"/>
        </w:rPr>
        <w:t>platform</w:t>
      </w:r>
      <w:r>
        <w:rPr>
          <w:color w:val="231F20"/>
          <w:spacing w:val="-18"/>
          <w:w w:val="105"/>
        </w:rPr>
        <w:t> </w:t>
      </w:r>
      <w:r>
        <w:rPr>
          <w:color w:val="231F20"/>
          <w:spacing w:val="-3"/>
          <w:w w:val="105"/>
        </w:rPr>
        <w:t>where</w:t>
      </w:r>
      <w:r>
        <w:rPr>
          <w:color w:val="231F20"/>
          <w:spacing w:val="-18"/>
          <w:w w:val="105"/>
        </w:rPr>
        <w:t> </w:t>
      </w:r>
      <w:r>
        <w:rPr>
          <w:color w:val="231F20"/>
          <w:w w:val="105"/>
        </w:rPr>
        <w:t>members</w:t>
      </w:r>
      <w:r>
        <w:rPr>
          <w:color w:val="231F20"/>
          <w:spacing w:val="-18"/>
          <w:w w:val="105"/>
        </w:rPr>
        <w:t> </w:t>
      </w:r>
      <w:r>
        <w:rPr>
          <w:color w:val="231F20"/>
          <w:w w:val="105"/>
        </w:rPr>
        <w:t>can</w:t>
      </w:r>
      <w:r>
        <w:rPr>
          <w:color w:val="231F20"/>
          <w:spacing w:val="-18"/>
          <w:w w:val="105"/>
        </w:rPr>
        <w:t> </w:t>
      </w:r>
      <w:r>
        <w:rPr>
          <w:color w:val="231F20"/>
          <w:spacing w:val="-3"/>
          <w:w w:val="105"/>
        </w:rPr>
        <w:t>share pictures </w:t>
      </w:r>
      <w:r>
        <w:rPr>
          <w:color w:val="231F20"/>
          <w:w w:val="105"/>
        </w:rPr>
        <w:t>and events, thus </w:t>
      </w:r>
      <w:r>
        <w:rPr>
          <w:color w:val="231F20"/>
          <w:spacing w:val="-3"/>
          <w:w w:val="105"/>
        </w:rPr>
        <w:t>creating </w:t>
      </w:r>
      <w:r>
        <w:rPr>
          <w:color w:val="231F20"/>
          <w:w w:val="105"/>
        </w:rPr>
        <w:t>the sense that they </w:t>
      </w:r>
      <w:r>
        <w:rPr>
          <w:color w:val="231F20"/>
          <w:spacing w:val="-3"/>
          <w:w w:val="105"/>
        </w:rPr>
        <w:t>are </w:t>
      </w:r>
      <w:r>
        <w:rPr>
          <w:color w:val="231F20"/>
          <w:w w:val="105"/>
        </w:rPr>
        <w:t>having </w:t>
      </w:r>
      <w:r>
        <w:rPr>
          <w:color w:val="231F20"/>
          <w:spacing w:val="-3"/>
          <w:w w:val="105"/>
        </w:rPr>
        <w:t>shared </w:t>
      </w:r>
      <w:r>
        <w:rPr>
          <w:color w:val="231F20"/>
          <w:w w:val="105"/>
        </w:rPr>
        <w:t>experiences.</w:t>
      </w:r>
      <w:r>
        <w:rPr>
          <w:color w:val="231F20"/>
          <w:spacing w:val="-27"/>
          <w:w w:val="105"/>
        </w:rPr>
        <w:t> </w:t>
      </w:r>
      <w:r>
        <w:rPr>
          <w:color w:val="231F20"/>
          <w:spacing w:val="-3"/>
          <w:w w:val="105"/>
        </w:rPr>
        <w:t>Facebook</w:t>
      </w:r>
      <w:r>
        <w:rPr>
          <w:color w:val="231F20"/>
          <w:spacing w:val="-22"/>
          <w:w w:val="105"/>
        </w:rPr>
        <w:t> </w:t>
      </w:r>
      <w:r>
        <w:rPr>
          <w:color w:val="231F20"/>
          <w:w w:val="105"/>
        </w:rPr>
        <w:t>also</w:t>
      </w:r>
      <w:r>
        <w:rPr>
          <w:color w:val="231F20"/>
          <w:spacing w:val="-22"/>
          <w:w w:val="105"/>
        </w:rPr>
        <w:t> </w:t>
      </w:r>
      <w:r>
        <w:rPr>
          <w:color w:val="231F20"/>
          <w:w w:val="105"/>
        </w:rPr>
        <w:t>allows</w:t>
      </w:r>
      <w:r>
        <w:rPr>
          <w:color w:val="231F20"/>
          <w:spacing w:val="-22"/>
          <w:w w:val="105"/>
        </w:rPr>
        <w:t> </w:t>
      </w:r>
      <w:r>
        <w:rPr>
          <w:color w:val="231F20"/>
          <w:w w:val="105"/>
        </w:rPr>
        <w:t>members</w:t>
      </w:r>
      <w:r>
        <w:rPr>
          <w:color w:val="231F20"/>
          <w:spacing w:val="-22"/>
          <w:w w:val="105"/>
        </w:rPr>
        <w:t> </w:t>
      </w:r>
      <w:r>
        <w:rPr>
          <w:color w:val="231F20"/>
          <w:w w:val="105"/>
        </w:rPr>
        <w:t>to</w:t>
      </w:r>
      <w:r>
        <w:rPr>
          <w:color w:val="231F20"/>
          <w:spacing w:val="-22"/>
          <w:w w:val="105"/>
        </w:rPr>
        <w:t> </w:t>
      </w:r>
      <w:r>
        <w:rPr>
          <w:color w:val="231F20"/>
          <w:w w:val="105"/>
        </w:rPr>
        <w:t>fulfill</w:t>
      </w:r>
      <w:r>
        <w:rPr>
          <w:color w:val="231F20"/>
          <w:spacing w:val="-22"/>
          <w:w w:val="105"/>
        </w:rPr>
        <w:t> </w:t>
      </w:r>
      <w:r>
        <w:rPr>
          <w:color w:val="231F20"/>
          <w:w w:val="105"/>
        </w:rPr>
        <w:t>their</w:t>
      </w:r>
      <w:r>
        <w:rPr>
          <w:color w:val="231F20"/>
          <w:spacing w:val="-22"/>
          <w:w w:val="105"/>
        </w:rPr>
        <w:t> </w:t>
      </w:r>
      <w:r>
        <w:rPr>
          <w:color w:val="231F20"/>
          <w:spacing w:val="-3"/>
          <w:w w:val="105"/>
        </w:rPr>
        <w:t>roles</w:t>
      </w:r>
      <w:r>
        <w:rPr>
          <w:color w:val="231F20"/>
          <w:spacing w:val="-22"/>
          <w:w w:val="105"/>
        </w:rPr>
        <w:t> </w:t>
      </w:r>
      <w:r>
        <w:rPr>
          <w:color w:val="231F20"/>
          <w:w w:val="105"/>
        </w:rPr>
        <w:t>and</w:t>
      </w:r>
      <w:r>
        <w:rPr>
          <w:color w:val="231F20"/>
          <w:spacing w:val="-22"/>
          <w:w w:val="105"/>
        </w:rPr>
        <w:t> </w:t>
      </w:r>
      <w:r>
        <w:rPr>
          <w:color w:val="231F20"/>
          <w:spacing w:val="-3"/>
          <w:w w:val="105"/>
        </w:rPr>
        <w:t>stren- </w:t>
      </w:r>
      <w:r>
        <w:rPr>
          <w:color w:val="231F20"/>
          <w:w w:val="105"/>
        </w:rPr>
        <w:t>gthen ties and </w:t>
      </w:r>
      <w:r>
        <w:rPr>
          <w:color w:val="231F20"/>
          <w:spacing w:val="-3"/>
          <w:w w:val="105"/>
        </w:rPr>
        <w:t>relationships </w:t>
      </w:r>
      <w:r>
        <w:rPr>
          <w:color w:val="231F20"/>
          <w:w w:val="105"/>
        </w:rPr>
        <w:t>with other members </w:t>
      </w:r>
      <w:r>
        <w:rPr>
          <w:color w:val="231F20"/>
          <w:spacing w:val="-3"/>
          <w:w w:val="105"/>
        </w:rPr>
        <w:t>through </w:t>
      </w:r>
      <w:r>
        <w:rPr>
          <w:color w:val="231F20"/>
          <w:spacing w:val="-6"/>
          <w:w w:val="105"/>
        </w:rPr>
        <w:t>“</w:t>
      </w:r>
      <w:r>
        <w:rPr>
          <w:rFonts w:ascii="Arial" w:hAnsi="Arial"/>
          <w:i/>
          <w:color w:val="231F20"/>
          <w:spacing w:val="-6"/>
          <w:w w:val="105"/>
        </w:rPr>
        <w:t>compadrazgo</w:t>
      </w:r>
      <w:r>
        <w:rPr>
          <w:color w:val="231F20"/>
          <w:spacing w:val="-6"/>
          <w:w w:val="105"/>
        </w:rPr>
        <w:t>”, </w:t>
      </w:r>
      <w:r>
        <w:rPr>
          <w:color w:val="231F20"/>
          <w:w w:val="105"/>
        </w:rPr>
        <w:t>for</w:t>
      </w:r>
      <w:r>
        <w:rPr>
          <w:color w:val="231F20"/>
          <w:spacing w:val="-6"/>
          <w:w w:val="105"/>
        </w:rPr>
        <w:t> </w:t>
      </w:r>
      <w:r>
        <w:rPr>
          <w:color w:val="231F20"/>
          <w:w w:val="105"/>
        </w:rPr>
        <w:t>instance.</w:t>
      </w:r>
      <w:r>
        <w:rPr>
          <w:color w:val="231F20"/>
          <w:spacing w:val="-15"/>
          <w:w w:val="105"/>
        </w:rPr>
        <w:t> </w:t>
      </w:r>
      <w:r>
        <w:rPr>
          <w:color w:val="231F20"/>
          <w:spacing w:val="-3"/>
          <w:w w:val="105"/>
        </w:rPr>
        <w:t>That</w:t>
      </w:r>
      <w:r>
        <w:rPr>
          <w:color w:val="231F20"/>
          <w:spacing w:val="-6"/>
          <w:w w:val="105"/>
        </w:rPr>
        <w:t> </w:t>
      </w:r>
      <w:r>
        <w:rPr>
          <w:color w:val="231F20"/>
          <w:w w:val="105"/>
        </w:rPr>
        <w:t>is,</w:t>
      </w:r>
      <w:r>
        <w:rPr>
          <w:color w:val="231F20"/>
          <w:spacing w:val="-11"/>
          <w:w w:val="105"/>
        </w:rPr>
        <w:t> </w:t>
      </w:r>
      <w:r>
        <w:rPr>
          <w:color w:val="231F20"/>
          <w:w w:val="105"/>
        </w:rPr>
        <w:t>members</w:t>
      </w:r>
      <w:r>
        <w:rPr>
          <w:color w:val="231F20"/>
          <w:spacing w:val="-6"/>
          <w:w w:val="105"/>
        </w:rPr>
        <w:t> </w:t>
      </w:r>
      <w:r>
        <w:rPr>
          <w:color w:val="231F20"/>
          <w:w w:val="105"/>
        </w:rPr>
        <w:t>now</w:t>
      </w:r>
      <w:r>
        <w:rPr>
          <w:color w:val="231F20"/>
          <w:spacing w:val="-6"/>
          <w:w w:val="105"/>
        </w:rPr>
        <w:t> </w:t>
      </w:r>
      <w:r>
        <w:rPr>
          <w:color w:val="231F20"/>
          <w:w w:val="105"/>
        </w:rPr>
        <w:t>can</w:t>
      </w:r>
      <w:r>
        <w:rPr>
          <w:color w:val="231F20"/>
          <w:spacing w:val="-6"/>
          <w:w w:val="105"/>
        </w:rPr>
        <w:t> </w:t>
      </w:r>
      <w:r>
        <w:rPr>
          <w:color w:val="231F20"/>
          <w:w w:val="105"/>
        </w:rPr>
        <w:t>check</w:t>
      </w:r>
      <w:r>
        <w:rPr>
          <w:color w:val="231F20"/>
          <w:spacing w:val="-6"/>
          <w:w w:val="105"/>
        </w:rPr>
        <w:t> </w:t>
      </w:r>
      <w:r>
        <w:rPr>
          <w:color w:val="231F20"/>
          <w:w w:val="105"/>
        </w:rPr>
        <w:t>on</w:t>
      </w:r>
      <w:r>
        <w:rPr>
          <w:color w:val="231F20"/>
          <w:spacing w:val="-6"/>
          <w:w w:val="105"/>
        </w:rPr>
        <w:t> </w:t>
      </w:r>
      <w:r>
        <w:rPr>
          <w:color w:val="231F20"/>
          <w:w w:val="105"/>
        </w:rPr>
        <w:t>each</w:t>
      </w:r>
      <w:r>
        <w:rPr>
          <w:color w:val="231F20"/>
          <w:spacing w:val="-6"/>
          <w:w w:val="105"/>
        </w:rPr>
        <w:t> </w:t>
      </w:r>
      <w:r>
        <w:rPr>
          <w:color w:val="231F20"/>
          <w:spacing w:val="-4"/>
          <w:w w:val="105"/>
        </w:rPr>
        <w:t>other,</w:t>
      </w:r>
      <w:r>
        <w:rPr>
          <w:color w:val="231F20"/>
          <w:spacing w:val="-11"/>
          <w:w w:val="105"/>
        </w:rPr>
        <w:t> </w:t>
      </w:r>
      <w:r>
        <w:rPr>
          <w:color w:val="231F20"/>
          <w:w w:val="105"/>
        </w:rPr>
        <w:t>call</w:t>
      </w:r>
      <w:r>
        <w:rPr>
          <w:color w:val="231F20"/>
          <w:spacing w:val="-6"/>
          <w:w w:val="105"/>
        </w:rPr>
        <w:t> </w:t>
      </w:r>
      <w:r>
        <w:rPr>
          <w:color w:val="231F20"/>
          <w:w w:val="105"/>
        </w:rPr>
        <w:t>out</w:t>
      </w:r>
      <w:r>
        <w:rPr>
          <w:color w:val="231F20"/>
          <w:spacing w:val="-6"/>
          <w:w w:val="105"/>
        </w:rPr>
        <w:t> </w:t>
      </w:r>
      <w:r>
        <w:rPr>
          <w:color w:val="231F20"/>
          <w:w w:val="105"/>
        </w:rPr>
        <w:t>be- haviors (Dante on a gang sign), or simply monitor </w:t>
      </w:r>
      <w:r>
        <w:rPr>
          <w:color w:val="231F20"/>
          <w:spacing w:val="-4"/>
          <w:w w:val="105"/>
        </w:rPr>
        <w:t>youth’s </w:t>
      </w:r>
      <w:r>
        <w:rPr>
          <w:color w:val="231F20"/>
          <w:w w:val="105"/>
        </w:rPr>
        <w:t>activity as an </w:t>
      </w:r>
      <w:r>
        <w:rPr>
          <w:color w:val="231F20"/>
          <w:spacing w:val="-4"/>
          <w:w w:val="105"/>
        </w:rPr>
        <w:t>overhearer, </w:t>
      </w:r>
      <w:r>
        <w:rPr>
          <w:color w:val="231F20"/>
          <w:w w:val="105"/>
        </w:rPr>
        <w:t>but stepping in when needed. </w:t>
      </w:r>
      <w:r>
        <w:rPr>
          <w:color w:val="231F20"/>
          <w:spacing w:val="-3"/>
          <w:w w:val="105"/>
        </w:rPr>
        <w:t>Facebook </w:t>
      </w:r>
      <w:r>
        <w:rPr>
          <w:color w:val="231F20"/>
          <w:w w:val="105"/>
        </w:rPr>
        <w:t>allows members of this network to fulfill </w:t>
      </w:r>
      <w:r>
        <w:rPr>
          <w:color w:val="231F20"/>
          <w:spacing w:val="-3"/>
          <w:w w:val="105"/>
        </w:rPr>
        <w:t>roles </w:t>
      </w:r>
      <w:r>
        <w:rPr>
          <w:color w:val="231F20"/>
          <w:w w:val="105"/>
        </w:rPr>
        <w:t>and </w:t>
      </w:r>
      <w:r>
        <w:rPr>
          <w:color w:val="231F20"/>
          <w:spacing w:val="-3"/>
          <w:w w:val="105"/>
        </w:rPr>
        <w:t>participate </w:t>
      </w:r>
      <w:r>
        <w:rPr>
          <w:color w:val="231F20"/>
          <w:w w:val="105"/>
        </w:rPr>
        <w:t>even if they </w:t>
      </w:r>
      <w:r>
        <w:rPr>
          <w:color w:val="231F20"/>
          <w:spacing w:val="-3"/>
          <w:w w:val="105"/>
        </w:rPr>
        <w:t>are </w:t>
      </w:r>
      <w:r>
        <w:rPr>
          <w:color w:val="231F20"/>
          <w:w w:val="105"/>
        </w:rPr>
        <w:t>not physically </w:t>
      </w:r>
      <w:r>
        <w:rPr>
          <w:color w:val="231F20"/>
          <w:spacing w:val="-3"/>
          <w:w w:val="105"/>
        </w:rPr>
        <w:t>present </w:t>
      </w:r>
      <w:r>
        <w:rPr>
          <w:color w:val="231F20"/>
          <w:w w:val="105"/>
        </w:rPr>
        <w:t>with each </w:t>
      </w:r>
      <w:r>
        <w:rPr>
          <w:color w:val="231F20"/>
          <w:spacing w:val="-4"/>
          <w:w w:val="105"/>
        </w:rPr>
        <w:t>other. </w:t>
      </w:r>
      <w:r>
        <w:rPr>
          <w:color w:val="231F20"/>
          <w:spacing w:val="-3"/>
          <w:w w:val="105"/>
        </w:rPr>
        <w:t>This strengthens </w:t>
      </w:r>
      <w:r>
        <w:rPr>
          <w:color w:val="231F20"/>
          <w:w w:val="105"/>
        </w:rPr>
        <w:t>their </w:t>
      </w:r>
      <w:r>
        <w:rPr>
          <w:color w:val="231F20"/>
          <w:spacing w:val="-3"/>
          <w:w w:val="105"/>
        </w:rPr>
        <w:t>transnational </w:t>
      </w:r>
      <w:r>
        <w:rPr>
          <w:color w:val="231F20"/>
          <w:spacing w:val="-2"/>
          <w:w w:val="105"/>
        </w:rPr>
        <w:t>involvement. </w:t>
      </w:r>
      <w:r>
        <w:rPr>
          <w:color w:val="231F20"/>
          <w:spacing w:val="-3"/>
          <w:w w:val="105"/>
        </w:rPr>
        <w:t>Thus, </w:t>
      </w:r>
      <w:r>
        <w:rPr>
          <w:color w:val="231F20"/>
          <w:w w:val="105"/>
        </w:rPr>
        <w:t>members do not simply hold symbolic </w:t>
      </w:r>
      <w:r>
        <w:rPr>
          <w:color w:val="231F20"/>
          <w:spacing w:val="-3"/>
          <w:w w:val="105"/>
        </w:rPr>
        <w:t>transnationalism, </w:t>
      </w:r>
      <w:r>
        <w:rPr>
          <w:color w:val="231F20"/>
          <w:w w:val="105"/>
        </w:rPr>
        <w:t>they </w:t>
      </w:r>
      <w:r>
        <w:rPr>
          <w:color w:val="231F20"/>
          <w:spacing w:val="-3"/>
          <w:w w:val="105"/>
        </w:rPr>
        <w:t>are transnational </w:t>
      </w:r>
      <w:r>
        <w:rPr>
          <w:color w:val="231F20"/>
          <w:w w:val="105"/>
        </w:rPr>
        <w:t>by </w:t>
      </w:r>
      <w:r>
        <w:rPr>
          <w:color w:val="231F20"/>
          <w:spacing w:val="-2"/>
          <w:w w:val="105"/>
        </w:rPr>
        <w:t>virtue </w:t>
      </w:r>
      <w:r>
        <w:rPr>
          <w:color w:val="231F20"/>
          <w:w w:val="105"/>
        </w:rPr>
        <w:t>of being active </w:t>
      </w:r>
      <w:r>
        <w:rPr>
          <w:color w:val="231F20"/>
          <w:spacing w:val="-2"/>
          <w:w w:val="105"/>
        </w:rPr>
        <w:t>participants </w:t>
      </w:r>
      <w:r>
        <w:rPr>
          <w:color w:val="231F20"/>
          <w:w w:val="105"/>
        </w:rPr>
        <w:t>of their </w:t>
      </w:r>
      <w:r>
        <w:rPr>
          <w:color w:val="231F20"/>
          <w:spacing w:val="-3"/>
          <w:w w:val="105"/>
        </w:rPr>
        <w:t>transnational community. This </w:t>
      </w:r>
      <w:r>
        <w:rPr>
          <w:color w:val="231F20"/>
          <w:w w:val="105"/>
        </w:rPr>
        <w:t>is only possible </w:t>
      </w:r>
      <w:r>
        <w:rPr>
          <w:color w:val="231F20"/>
          <w:spacing w:val="-3"/>
          <w:w w:val="105"/>
        </w:rPr>
        <w:t>through </w:t>
      </w:r>
      <w:r>
        <w:rPr>
          <w:color w:val="231F20"/>
          <w:w w:val="105"/>
        </w:rPr>
        <w:t>new digital communication </w:t>
      </w:r>
      <w:r>
        <w:rPr>
          <w:color w:val="231F20"/>
          <w:spacing w:val="-2"/>
          <w:w w:val="105"/>
        </w:rPr>
        <w:t>and </w:t>
      </w:r>
      <w:r>
        <w:rPr>
          <w:color w:val="231F20"/>
          <w:w w:val="105"/>
        </w:rPr>
        <w:t>the</w:t>
      </w:r>
      <w:r>
        <w:rPr>
          <w:color w:val="231F20"/>
          <w:spacing w:val="-31"/>
          <w:w w:val="105"/>
        </w:rPr>
        <w:t> </w:t>
      </w:r>
      <w:r>
        <w:rPr>
          <w:color w:val="231F20"/>
          <w:w w:val="105"/>
        </w:rPr>
        <w:t>distinct</w:t>
      </w:r>
      <w:r>
        <w:rPr>
          <w:color w:val="231F20"/>
          <w:spacing w:val="-31"/>
          <w:w w:val="105"/>
        </w:rPr>
        <w:t> </w:t>
      </w:r>
      <w:r>
        <w:rPr>
          <w:color w:val="231F20"/>
          <w:w w:val="105"/>
        </w:rPr>
        <w:t>uses</w:t>
      </w:r>
      <w:r>
        <w:rPr>
          <w:color w:val="231F20"/>
          <w:spacing w:val="-31"/>
          <w:w w:val="105"/>
        </w:rPr>
        <w:t> </w:t>
      </w:r>
      <w:r>
        <w:rPr>
          <w:color w:val="231F20"/>
          <w:w w:val="105"/>
        </w:rPr>
        <w:t>that</w:t>
      </w:r>
      <w:r>
        <w:rPr>
          <w:color w:val="231F20"/>
          <w:spacing w:val="-31"/>
          <w:w w:val="105"/>
        </w:rPr>
        <w:t> </w:t>
      </w:r>
      <w:r>
        <w:rPr>
          <w:color w:val="231F20"/>
          <w:w w:val="105"/>
        </w:rPr>
        <w:t>online</w:t>
      </w:r>
      <w:r>
        <w:rPr>
          <w:color w:val="231F20"/>
          <w:spacing w:val="-31"/>
          <w:w w:val="105"/>
        </w:rPr>
        <w:t> </w:t>
      </w:r>
      <w:r>
        <w:rPr>
          <w:color w:val="231F20"/>
          <w:w w:val="105"/>
        </w:rPr>
        <w:t>social</w:t>
      </w:r>
      <w:r>
        <w:rPr>
          <w:color w:val="231F20"/>
          <w:spacing w:val="-31"/>
          <w:w w:val="105"/>
        </w:rPr>
        <w:t> </w:t>
      </w:r>
      <w:r>
        <w:rPr>
          <w:color w:val="231F20"/>
          <w:w w:val="105"/>
        </w:rPr>
        <w:t>network</w:t>
      </w:r>
      <w:r>
        <w:rPr>
          <w:color w:val="231F20"/>
          <w:spacing w:val="-31"/>
          <w:w w:val="105"/>
        </w:rPr>
        <w:t> </w:t>
      </w:r>
      <w:r>
        <w:rPr>
          <w:color w:val="231F20"/>
          <w:w w:val="105"/>
        </w:rPr>
        <w:t>sites</w:t>
      </w:r>
      <w:r>
        <w:rPr>
          <w:color w:val="231F20"/>
          <w:spacing w:val="-31"/>
          <w:w w:val="105"/>
        </w:rPr>
        <w:t> </w:t>
      </w:r>
      <w:r>
        <w:rPr>
          <w:color w:val="231F20"/>
          <w:w w:val="105"/>
        </w:rPr>
        <w:t>such</w:t>
      </w:r>
      <w:r>
        <w:rPr>
          <w:color w:val="231F20"/>
          <w:spacing w:val="-31"/>
          <w:w w:val="105"/>
        </w:rPr>
        <w:t> </w:t>
      </w:r>
      <w:r>
        <w:rPr>
          <w:color w:val="231F20"/>
          <w:w w:val="105"/>
        </w:rPr>
        <w:t>as</w:t>
      </w:r>
      <w:r>
        <w:rPr>
          <w:color w:val="231F20"/>
          <w:spacing w:val="-31"/>
          <w:w w:val="105"/>
        </w:rPr>
        <w:t> </w:t>
      </w:r>
      <w:r>
        <w:rPr>
          <w:color w:val="231F20"/>
          <w:spacing w:val="-3"/>
          <w:w w:val="105"/>
        </w:rPr>
        <w:t>Facebook</w:t>
      </w:r>
      <w:r>
        <w:rPr>
          <w:color w:val="231F20"/>
          <w:spacing w:val="-31"/>
          <w:w w:val="105"/>
        </w:rPr>
        <w:t> </w:t>
      </w:r>
      <w:r>
        <w:rPr>
          <w:color w:val="231F20"/>
          <w:spacing w:val="-3"/>
          <w:w w:val="105"/>
        </w:rPr>
        <w:t>provide.</w:t>
      </w:r>
    </w:p>
    <w:p>
      <w:pPr>
        <w:pStyle w:val="BodyText"/>
        <w:rPr>
          <w:sz w:val="20"/>
        </w:rPr>
      </w:pPr>
    </w:p>
    <w:p>
      <w:pPr>
        <w:pStyle w:val="BodyText"/>
        <w:spacing w:before="9"/>
        <w:rPr>
          <w:sz w:val="20"/>
        </w:rPr>
      </w:pPr>
    </w:p>
    <w:p>
      <w:pPr>
        <w:pStyle w:val="Heading3"/>
        <w:ind w:left="1695"/>
      </w:pPr>
      <w:r>
        <w:rPr>
          <w:color w:val="231F20"/>
        </w:rPr>
        <w:t>Bibliography</w:t>
      </w:r>
    </w:p>
    <w:p>
      <w:pPr>
        <w:pStyle w:val="BodyText"/>
        <w:rPr>
          <w:rFonts w:ascii="Arial"/>
          <w:b/>
          <w:sz w:val="22"/>
        </w:rPr>
      </w:pPr>
    </w:p>
    <w:p>
      <w:pPr>
        <w:spacing w:line="259" w:lineRule="auto" w:before="160"/>
        <w:ind w:left="2432" w:right="1806" w:hanging="738"/>
        <w:jc w:val="both"/>
        <w:rPr>
          <w:sz w:val="21"/>
        </w:rPr>
      </w:pPr>
      <w:r>
        <w:rPr>
          <w:color w:val="231F20"/>
          <w:w w:val="105"/>
          <w:sz w:val="21"/>
        </w:rPr>
        <w:t>Alba,</w:t>
      </w:r>
      <w:r>
        <w:rPr>
          <w:color w:val="231F20"/>
          <w:spacing w:val="-40"/>
          <w:w w:val="105"/>
          <w:sz w:val="21"/>
        </w:rPr>
        <w:t> </w:t>
      </w:r>
      <w:r>
        <w:rPr>
          <w:color w:val="231F20"/>
          <w:w w:val="105"/>
          <w:sz w:val="21"/>
        </w:rPr>
        <w:t>Richard</w:t>
      </w:r>
      <w:r>
        <w:rPr>
          <w:color w:val="231F20"/>
          <w:spacing w:val="-37"/>
          <w:w w:val="105"/>
          <w:sz w:val="21"/>
        </w:rPr>
        <w:t> </w:t>
      </w:r>
      <w:r>
        <w:rPr>
          <w:color w:val="231F20"/>
          <w:w w:val="105"/>
          <w:sz w:val="21"/>
        </w:rPr>
        <w:t>and</w:t>
      </w:r>
      <w:r>
        <w:rPr>
          <w:color w:val="231F20"/>
          <w:spacing w:val="-37"/>
          <w:w w:val="105"/>
          <w:sz w:val="21"/>
        </w:rPr>
        <w:t> </w:t>
      </w:r>
      <w:r>
        <w:rPr>
          <w:color w:val="231F20"/>
          <w:w w:val="105"/>
          <w:sz w:val="21"/>
        </w:rPr>
        <w:t>Nee,</w:t>
      </w:r>
      <w:r>
        <w:rPr>
          <w:color w:val="231F20"/>
          <w:spacing w:val="-42"/>
          <w:w w:val="105"/>
          <w:sz w:val="21"/>
        </w:rPr>
        <w:t> </w:t>
      </w:r>
      <w:r>
        <w:rPr>
          <w:color w:val="231F20"/>
          <w:w w:val="105"/>
          <w:sz w:val="21"/>
        </w:rPr>
        <w:t>Victor</w:t>
      </w:r>
      <w:r>
        <w:rPr>
          <w:color w:val="231F20"/>
          <w:spacing w:val="-37"/>
          <w:w w:val="105"/>
          <w:sz w:val="21"/>
        </w:rPr>
        <w:t> </w:t>
      </w:r>
      <w:r>
        <w:rPr>
          <w:color w:val="231F20"/>
          <w:w w:val="105"/>
          <w:sz w:val="21"/>
        </w:rPr>
        <w:t>(eds.),</w:t>
      </w:r>
      <w:r>
        <w:rPr>
          <w:color w:val="231F20"/>
          <w:spacing w:val="-40"/>
          <w:w w:val="105"/>
          <w:sz w:val="21"/>
        </w:rPr>
        <w:t> </w:t>
      </w:r>
      <w:r>
        <w:rPr>
          <w:color w:val="231F20"/>
          <w:w w:val="105"/>
          <w:sz w:val="21"/>
        </w:rPr>
        <w:t>(2003),</w:t>
      </w:r>
      <w:r>
        <w:rPr>
          <w:color w:val="231F20"/>
          <w:spacing w:val="-40"/>
          <w:w w:val="105"/>
          <w:sz w:val="21"/>
        </w:rPr>
        <w:t> </w:t>
      </w:r>
      <w:r>
        <w:rPr>
          <w:rFonts w:ascii="Arial"/>
          <w:i/>
          <w:color w:val="231F20"/>
          <w:w w:val="105"/>
          <w:sz w:val="21"/>
        </w:rPr>
        <w:t>Remaking</w:t>
      </w:r>
      <w:r>
        <w:rPr>
          <w:rFonts w:ascii="Arial"/>
          <w:i/>
          <w:color w:val="231F20"/>
          <w:spacing w:val="-39"/>
          <w:w w:val="105"/>
          <w:sz w:val="21"/>
        </w:rPr>
        <w:t> </w:t>
      </w:r>
      <w:r>
        <w:rPr>
          <w:rFonts w:ascii="Arial"/>
          <w:i/>
          <w:color w:val="231F20"/>
          <w:w w:val="105"/>
          <w:sz w:val="21"/>
        </w:rPr>
        <w:t>the</w:t>
      </w:r>
      <w:r>
        <w:rPr>
          <w:rFonts w:ascii="Arial"/>
          <w:i/>
          <w:color w:val="231F20"/>
          <w:spacing w:val="-41"/>
          <w:w w:val="105"/>
          <w:sz w:val="21"/>
        </w:rPr>
        <w:t> </w:t>
      </w:r>
      <w:r>
        <w:rPr>
          <w:rFonts w:ascii="Arial"/>
          <w:i/>
          <w:color w:val="231F20"/>
          <w:w w:val="105"/>
          <w:sz w:val="21"/>
        </w:rPr>
        <w:t>American</w:t>
      </w:r>
      <w:r>
        <w:rPr>
          <w:rFonts w:ascii="Arial"/>
          <w:i/>
          <w:color w:val="231F20"/>
          <w:spacing w:val="-39"/>
          <w:w w:val="105"/>
          <w:sz w:val="21"/>
        </w:rPr>
        <w:t> </w:t>
      </w:r>
      <w:r>
        <w:rPr>
          <w:rFonts w:ascii="Arial"/>
          <w:i/>
          <w:color w:val="231F20"/>
          <w:w w:val="105"/>
          <w:sz w:val="21"/>
        </w:rPr>
        <w:t>main- </w:t>
      </w:r>
      <w:r>
        <w:rPr>
          <w:rFonts w:ascii="Arial"/>
          <w:i/>
          <w:color w:val="231F20"/>
          <w:w w:val="105"/>
          <w:sz w:val="21"/>
        </w:rPr>
        <w:t>stream: assimilation and contemporary immigration</w:t>
      </w:r>
      <w:r>
        <w:rPr>
          <w:color w:val="231F20"/>
          <w:w w:val="105"/>
          <w:sz w:val="21"/>
        </w:rPr>
        <w:t>,</w:t>
      </w:r>
      <w:r>
        <w:rPr>
          <w:color w:val="231F20"/>
          <w:spacing w:val="-17"/>
          <w:w w:val="105"/>
          <w:sz w:val="21"/>
        </w:rPr>
        <w:t> </w:t>
      </w:r>
      <w:r>
        <w:rPr>
          <w:color w:val="231F20"/>
          <w:w w:val="105"/>
          <w:sz w:val="21"/>
        </w:rPr>
        <w:t>Cambridge: </w:t>
      </w:r>
      <w:r>
        <w:rPr>
          <w:color w:val="231F20"/>
          <w:sz w:val="21"/>
        </w:rPr>
        <w:t>Harvard University</w:t>
      </w:r>
      <w:r>
        <w:rPr>
          <w:color w:val="231F20"/>
          <w:spacing w:val="-18"/>
          <w:sz w:val="21"/>
        </w:rPr>
        <w:t> </w:t>
      </w:r>
      <w:r>
        <w:rPr>
          <w:color w:val="231F20"/>
          <w:spacing w:val="-3"/>
          <w:sz w:val="21"/>
        </w:rPr>
        <w:t>Press.</w:t>
      </w:r>
    </w:p>
    <w:p>
      <w:pPr>
        <w:pStyle w:val="BodyText"/>
        <w:spacing w:line="261" w:lineRule="auto" w:before="3"/>
        <w:ind w:left="2432" w:right="1800" w:hanging="738"/>
        <w:jc w:val="both"/>
      </w:pPr>
      <w:r>
        <w:rPr>
          <w:color w:val="231F20"/>
          <w:w w:val="105"/>
        </w:rPr>
        <w:t>Androutsopoulos, Jannis, (2008), “Potentials and Limitations of Discourse-Centred Online Ethnography”, </w:t>
      </w:r>
      <w:r>
        <w:rPr>
          <w:rFonts w:ascii="Arial" w:hAnsi="Arial"/>
          <w:i/>
          <w:color w:val="231F20"/>
          <w:w w:val="105"/>
        </w:rPr>
        <w:t>Language@Internet</w:t>
      </w:r>
      <w:r>
        <w:rPr>
          <w:color w:val="231F20"/>
          <w:w w:val="105"/>
        </w:rPr>
        <w:t>, vol. 5, num. 8, retrieved from </w:t>
      </w:r>
      <w:hyperlink r:id="rId371">
        <w:r>
          <w:rPr>
            <w:color w:val="231F20"/>
            <w:w w:val="105"/>
          </w:rPr>
          <w:t>http://www.languageatinternet.org/</w:t>
        </w:r>
      </w:hyperlink>
      <w:r>
        <w:rPr>
          <w:color w:val="231F20"/>
          <w:w w:val="105"/>
        </w:rPr>
        <w:t> articles/2008/1610</w:t>
      </w:r>
    </w:p>
    <w:p>
      <w:pPr>
        <w:pStyle w:val="BodyText"/>
        <w:tabs>
          <w:tab w:pos="2535" w:val="left" w:leader="none"/>
        </w:tabs>
        <w:spacing w:line="261" w:lineRule="auto" w:before="1"/>
        <w:ind w:left="2432" w:right="1807" w:hanging="738"/>
        <w:jc w:val="both"/>
      </w:pPr>
      <w:r>
        <w:rPr>
          <w:color w:val="231F20"/>
          <w:w w:val="94"/>
          <w:u w:val="single" w:color="221E1F"/>
        </w:rPr>
        <w:t> </w:t>
      </w:r>
      <w:r>
        <w:rPr>
          <w:color w:val="231F20"/>
          <w:u w:val="single" w:color="221E1F"/>
        </w:rPr>
        <w:tab/>
        <w:tab/>
      </w:r>
      <w:r>
        <w:rPr>
          <w:color w:val="231F20"/>
          <w:spacing w:val="-11"/>
        </w:rPr>
        <w:t> </w:t>
      </w:r>
      <w:r>
        <w:rPr>
          <w:color w:val="231F20"/>
          <w:w w:val="105"/>
        </w:rPr>
        <w:t>(2010),</w:t>
      </w:r>
      <w:r>
        <w:rPr>
          <w:color w:val="231F20"/>
          <w:spacing w:val="-28"/>
          <w:w w:val="105"/>
        </w:rPr>
        <w:t> </w:t>
      </w:r>
      <w:r>
        <w:rPr>
          <w:color w:val="231F20"/>
          <w:w w:val="105"/>
        </w:rPr>
        <w:t>“The</w:t>
      </w:r>
      <w:r>
        <w:rPr>
          <w:color w:val="231F20"/>
          <w:spacing w:val="-22"/>
          <w:w w:val="105"/>
        </w:rPr>
        <w:t> </w:t>
      </w:r>
      <w:r>
        <w:rPr>
          <w:color w:val="231F20"/>
          <w:w w:val="105"/>
        </w:rPr>
        <w:t>study</w:t>
      </w:r>
      <w:r>
        <w:rPr>
          <w:color w:val="231F20"/>
          <w:spacing w:val="-22"/>
          <w:w w:val="105"/>
        </w:rPr>
        <w:t> </w:t>
      </w:r>
      <w:r>
        <w:rPr>
          <w:color w:val="231F20"/>
          <w:w w:val="105"/>
        </w:rPr>
        <w:t>of</w:t>
      </w:r>
      <w:r>
        <w:rPr>
          <w:color w:val="231F20"/>
          <w:spacing w:val="-18"/>
          <w:w w:val="105"/>
        </w:rPr>
        <w:t> </w:t>
      </w:r>
      <w:r>
        <w:rPr>
          <w:color w:val="231F20"/>
          <w:w w:val="105"/>
        </w:rPr>
        <w:t>language</w:t>
      </w:r>
      <w:r>
        <w:rPr>
          <w:color w:val="231F20"/>
          <w:spacing w:val="-22"/>
          <w:w w:val="105"/>
        </w:rPr>
        <w:t> </w:t>
      </w:r>
      <w:r>
        <w:rPr>
          <w:color w:val="231F20"/>
          <w:w w:val="105"/>
        </w:rPr>
        <w:t>and</w:t>
      </w:r>
      <w:r>
        <w:rPr>
          <w:color w:val="231F20"/>
          <w:spacing w:val="-22"/>
          <w:w w:val="105"/>
        </w:rPr>
        <w:t> </w:t>
      </w:r>
      <w:r>
        <w:rPr>
          <w:color w:val="231F20"/>
          <w:w w:val="105"/>
        </w:rPr>
        <w:t>space</w:t>
      </w:r>
      <w:r>
        <w:rPr>
          <w:color w:val="231F20"/>
          <w:spacing w:val="-22"/>
          <w:w w:val="105"/>
        </w:rPr>
        <w:t> </w:t>
      </w:r>
      <w:r>
        <w:rPr>
          <w:color w:val="231F20"/>
          <w:w w:val="105"/>
        </w:rPr>
        <w:t>in</w:t>
      </w:r>
      <w:r>
        <w:rPr>
          <w:color w:val="231F20"/>
          <w:spacing w:val="-22"/>
          <w:w w:val="105"/>
        </w:rPr>
        <w:t> </w:t>
      </w:r>
      <w:r>
        <w:rPr>
          <w:color w:val="231F20"/>
          <w:w w:val="105"/>
        </w:rPr>
        <w:t>media</w:t>
      </w:r>
      <w:r>
        <w:rPr>
          <w:color w:val="231F20"/>
          <w:spacing w:val="-22"/>
          <w:w w:val="105"/>
        </w:rPr>
        <w:t> </w:t>
      </w:r>
      <w:r>
        <w:rPr>
          <w:color w:val="231F20"/>
          <w:spacing w:val="-3"/>
          <w:w w:val="105"/>
        </w:rPr>
        <w:t>discourse”,</w:t>
      </w:r>
      <w:r>
        <w:rPr>
          <w:color w:val="231F20"/>
          <w:spacing w:val="-28"/>
          <w:w w:val="105"/>
        </w:rPr>
        <w:t> </w:t>
      </w:r>
      <w:r>
        <w:rPr>
          <w:color w:val="231F20"/>
          <w:w w:val="105"/>
        </w:rPr>
        <w:t>in</w:t>
      </w:r>
      <w:r>
        <w:rPr>
          <w:color w:val="231F20"/>
          <w:w w:val="105"/>
        </w:rPr>
        <w:t> </w:t>
      </w:r>
      <w:r>
        <w:rPr>
          <w:color w:val="231F20"/>
          <w:spacing w:val="-4"/>
          <w:w w:val="105"/>
        </w:rPr>
        <w:t>Peter</w:t>
      </w:r>
      <w:r>
        <w:rPr>
          <w:color w:val="231F20"/>
          <w:spacing w:val="-35"/>
          <w:w w:val="105"/>
        </w:rPr>
        <w:t> </w:t>
      </w:r>
      <w:r>
        <w:rPr>
          <w:color w:val="231F20"/>
          <w:w w:val="105"/>
        </w:rPr>
        <w:t>Auer</w:t>
      </w:r>
      <w:r>
        <w:rPr>
          <w:color w:val="231F20"/>
          <w:spacing w:val="-33"/>
          <w:w w:val="105"/>
        </w:rPr>
        <w:t> </w:t>
      </w:r>
      <w:r>
        <w:rPr>
          <w:color w:val="231F20"/>
          <w:w w:val="105"/>
        </w:rPr>
        <w:t>and</w:t>
      </w:r>
      <w:r>
        <w:rPr>
          <w:color w:val="231F20"/>
          <w:spacing w:val="-34"/>
          <w:w w:val="105"/>
        </w:rPr>
        <w:t> </w:t>
      </w:r>
      <w:r>
        <w:rPr>
          <w:color w:val="231F20"/>
          <w:w w:val="105"/>
        </w:rPr>
        <w:t>Jürgen</w:t>
      </w:r>
      <w:r>
        <w:rPr>
          <w:color w:val="231F20"/>
          <w:spacing w:val="-33"/>
          <w:w w:val="105"/>
        </w:rPr>
        <w:t> </w:t>
      </w:r>
      <w:r>
        <w:rPr>
          <w:color w:val="231F20"/>
          <w:w w:val="105"/>
        </w:rPr>
        <w:t>Erich</w:t>
      </w:r>
      <w:r>
        <w:rPr>
          <w:color w:val="231F20"/>
          <w:spacing w:val="-33"/>
          <w:w w:val="105"/>
        </w:rPr>
        <w:t> </w:t>
      </w:r>
      <w:r>
        <w:rPr>
          <w:color w:val="231F20"/>
          <w:w w:val="105"/>
        </w:rPr>
        <w:t>Schmidt</w:t>
      </w:r>
      <w:r>
        <w:rPr>
          <w:color w:val="231F20"/>
          <w:spacing w:val="-33"/>
          <w:w w:val="105"/>
        </w:rPr>
        <w:t> </w:t>
      </w:r>
      <w:r>
        <w:rPr>
          <w:color w:val="231F20"/>
          <w:w w:val="105"/>
        </w:rPr>
        <w:t>(Eds.),</w:t>
      </w:r>
      <w:r>
        <w:rPr>
          <w:color w:val="231F20"/>
          <w:spacing w:val="-37"/>
          <w:w w:val="105"/>
        </w:rPr>
        <w:t> </w:t>
      </w:r>
      <w:r>
        <w:rPr>
          <w:color w:val="231F20"/>
          <w:w w:val="105"/>
        </w:rPr>
        <w:t>Language</w:t>
      </w:r>
      <w:r>
        <w:rPr>
          <w:color w:val="231F20"/>
          <w:spacing w:val="-33"/>
          <w:w w:val="105"/>
        </w:rPr>
        <w:t> </w:t>
      </w:r>
      <w:r>
        <w:rPr>
          <w:color w:val="231F20"/>
          <w:w w:val="105"/>
        </w:rPr>
        <w:t>and</w:t>
      </w:r>
      <w:r>
        <w:rPr>
          <w:color w:val="231F20"/>
          <w:spacing w:val="-33"/>
          <w:w w:val="105"/>
        </w:rPr>
        <w:t> </w:t>
      </w:r>
      <w:r>
        <w:rPr>
          <w:color w:val="231F20"/>
          <w:w w:val="105"/>
        </w:rPr>
        <w:t>Space:</w:t>
      </w:r>
    </w:p>
    <w:p>
      <w:pPr>
        <w:pStyle w:val="BodyText"/>
        <w:rPr>
          <w:sz w:val="20"/>
        </w:rPr>
      </w:pPr>
    </w:p>
    <w:p>
      <w:pPr>
        <w:pStyle w:val="BodyText"/>
        <w:rPr>
          <w:sz w:val="20"/>
        </w:rPr>
      </w:pPr>
    </w:p>
    <w:p>
      <w:pPr>
        <w:pStyle w:val="BodyText"/>
        <w:spacing w:before="11"/>
        <w:rPr>
          <w:sz w:val="17"/>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46200" from="131.551193pt,3.703715pt" to="131.551193pt,39.506114pt" stroked="true" strokeweight=".35pt" strokecolor="#231f20">
            <w10:wrap type="none"/>
          </v:line>
        </w:pict>
      </w:r>
      <w:r>
        <w:rPr/>
        <w:pict>
          <v:line style="position:absolute;mso-position-horizontal-relative:page;mso-position-vertical-relative:paragraph;z-index:-446128" from="15pt,39.505917pt" to="0pt,39.505917pt" stroked="true" strokeweight=".25pt" strokecolor="#000000">
            <w10:wrap type="none"/>
          </v:line>
        </w:pict>
      </w:r>
      <w:r>
        <w:rPr/>
        <w:pict>
          <v:line style="position:absolute;mso-position-horizontal-relative:page;mso-position-vertical-relative:paragraph;z-index:44080" from="508.890015pt,39.505917pt" to="523.890015pt,39.505917pt" stroked="true" strokeweight=".25pt" strokecolor="#000000">
            <w10:wrap type="none"/>
          </v:line>
        </w:pict>
      </w:r>
      <w:r>
        <w:rPr>
          <w:rFonts w:ascii="Arial"/>
          <w:color w:val="414042"/>
          <w:position w:val="-5"/>
          <w:sz w:val="20"/>
        </w:rPr>
        <w:t>374</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4"/>
        <w:rPr>
          <w:rFonts w:ascii="Calibri"/>
          <w:sz w:val="15"/>
        </w:rPr>
      </w:pPr>
    </w:p>
    <w:p>
      <w:pPr>
        <w:spacing w:line="198" w:lineRule="exact" w:before="0"/>
        <w:ind w:left="0" w:right="0" w:firstLine="0"/>
        <w:jc w:val="right"/>
        <w:rPr>
          <w:rFonts w:ascii="Lucida Sans Unicode"/>
          <w:sz w:val="14"/>
        </w:rPr>
      </w:pPr>
      <w:r>
        <w:rPr/>
        <w:pict>
          <v:line style="position:absolute;mso-position-horizontal-relative:page;mso-position-vertical-relative:paragraph;z-index:44104" from="405.061005pt,-27.904295pt" to="405.061005pt,6.961579pt" stroked="true" strokeweight=".35pt" strokecolor="#231f20">
            <w10:wrap type="none"/>
          </v:line>
        </w:pict>
      </w:r>
      <w:r>
        <w:rPr/>
        <w:pict>
          <v:line style="position:absolute;mso-position-horizontal-relative:page;mso-position-vertical-relative:paragraph;z-index:44128" from="15pt,-27.90452pt" to="0pt,-27.90452pt" stroked="true" strokeweight=".25pt" strokecolor="#000000">
            <w10:wrap type="none"/>
          </v:line>
        </w:pict>
      </w:r>
      <w:r>
        <w:rPr/>
        <w:pict>
          <v:line style="position:absolute;mso-position-horizontal-relative:page;mso-position-vertical-relative:paragraph;z-index:44152" from="508.890015pt,-27.90452pt" to="523.890015pt,-27.90452pt" stroked="true" strokeweight=".25pt" strokecolor="#000000">
            <w10:wrap type="none"/>
          </v:line>
        </w:pict>
      </w:r>
      <w:r>
        <w:rPr>
          <w:rFonts w:ascii="Lucida Sans Unicode"/>
          <w:color w:val="6D6E71"/>
          <w:w w:val="105"/>
          <w:sz w:val="14"/>
        </w:rPr>
        <w:t>Maintaining transnationalisM: the role of digital coMMunication</w:t>
      </w:r>
    </w:p>
    <w:p>
      <w:pPr>
        <w:spacing w:line="198" w:lineRule="exact" w:before="0"/>
        <w:ind w:left="0" w:right="0" w:firstLine="0"/>
        <w:jc w:val="right"/>
        <w:rPr>
          <w:rFonts w:ascii="Lucida Sans Unicode"/>
          <w:sz w:val="14"/>
        </w:rPr>
      </w:pPr>
      <w:r>
        <w:rPr>
          <w:rFonts w:ascii="Lucida Sans Unicode"/>
          <w:color w:val="6D6E71"/>
          <w:sz w:val="14"/>
        </w:rPr>
        <w:t>aMong us-born Mexicans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rFonts w:ascii="Arial"/>
          <w:color w:val="414042"/>
          <w:sz w:val="20"/>
        </w:rPr>
        <w:t>375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6"/>
        <w:rPr>
          <w:rFonts w:ascii="Arial"/>
          <w:sz w:val="16"/>
        </w:rPr>
      </w:pPr>
    </w:p>
    <w:p>
      <w:pPr>
        <w:spacing w:line="261" w:lineRule="auto" w:before="0"/>
        <w:ind w:left="2574" w:right="1712" w:firstLine="0"/>
        <w:jc w:val="left"/>
        <w:rPr>
          <w:sz w:val="21"/>
        </w:rPr>
      </w:pPr>
      <w:r>
        <w:rPr>
          <w:rFonts w:ascii="Arial"/>
          <w:i/>
          <w:color w:val="231F20"/>
          <w:w w:val="105"/>
          <w:sz w:val="21"/>
        </w:rPr>
        <w:t>An</w:t>
      </w:r>
      <w:r>
        <w:rPr>
          <w:rFonts w:ascii="Arial"/>
          <w:i/>
          <w:color w:val="231F20"/>
          <w:spacing w:val="-28"/>
          <w:w w:val="105"/>
          <w:sz w:val="21"/>
        </w:rPr>
        <w:t> </w:t>
      </w:r>
      <w:r>
        <w:rPr>
          <w:rFonts w:ascii="Arial"/>
          <w:i/>
          <w:color w:val="231F20"/>
          <w:w w:val="105"/>
          <w:sz w:val="21"/>
        </w:rPr>
        <w:t>International</w:t>
      </w:r>
      <w:r>
        <w:rPr>
          <w:rFonts w:ascii="Arial"/>
          <w:i/>
          <w:color w:val="231F20"/>
          <w:spacing w:val="-28"/>
          <w:w w:val="105"/>
          <w:sz w:val="21"/>
        </w:rPr>
        <w:t> </w:t>
      </w:r>
      <w:r>
        <w:rPr>
          <w:rFonts w:ascii="Arial"/>
          <w:i/>
          <w:color w:val="231F20"/>
          <w:w w:val="105"/>
          <w:sz w:val="21"/>
        </w:rPr>
        <w:t>Handbook</w:t>
      </w:r>
      <w:r>
        <w:rPr>
          <w:rFonts w:ascii="Arial"/>
          <w:i/>
          <w:color w:val="231F20"/>
          <w:spacing w:val="-28"/>
          <w:w w:val="105"/>
          <w:sz w:val="21"/>
        </w:rPr>
        <w:t> </w:t>
      </w:r>
      <w:r>
        <w:rPr>
          <w:rFonts w:ascii="Arial"/>
          <w:i/>
          <w:color w:val="231F20"/>
          <w:w w:val="105"/>
          <w:sz w:val="21"/>
        </w:rPr>
        <w:t>of</w:t>
      </w:r>
      <w:r>
        <w:rPr>
          <w:rFonts w:ascii="Arial"/>
          <w:i/>
          <w:color w:val="231F20"/>
          <w:spacing w:val="-24"/>
          <w:w w:val="105"/>
          <w:sz w:val="21"/>
        </w:rPr>
        <w:t> </w:t>
      </w:r>
      <w:r>
        <w:rPr>
          <w:rFonts w:ascii="Arial"/>
          <w:i/>
          <w:color w:val="231F20"/>
          <w:w w:val="105"/>
          <w:sz w:val="21"/>
        </w:rPr>
        <w:t>Linguistic</w:t>
      </w:r>
      <w:r>
        <w:rPr>
          <w:rFonts w:ascii="Arial"/>
          <w:i/>
          <w:color w:val="231F20"/>
          <w:spacing w:val="-30"/>
          <w:w w:val="105"/>
          <w:sz w:val="21"/>
        </w:rPr>
        <w:t> </w:t>
      </w:r>
      <w:r>
        <w:rPr>
          <w:rFonts w:ascii="Arial"/>
          <w:i/>
          <w:color w:val="231F20"/>
          <w:w w:val="105"/>
          <w:sz w:val="21"/>
        </w:rPr>
        <w:t>Variation</w:t>
      </w:r>
      <w:r>
        <w:rPr>
          <w:color w:val="231F20"/>
          <w:w w:val="105"/>
          <w:sz w:val="21"/>
        </w:rPr>
        <w:t>,</w:t>
      </w:r>
      <w:r>
        <w:rPr>
          <w:color w:val="231F20"/>
          <w:spacing w:val="-29"/>
          <w:w w:val="105"/>
          <w:sz w:val="21"/>
        </w:rPr>
        <w:t> </w:t>
      </w:r>
      <w:r>
        <w:rPr>
          <w:color w:val="231F20"/>
          <w:w w:val="105"/>
          <w:sz w:val="21"/>
        </w:rPr>
        <w:t>New</w:t>
      </w:r>
      <w:r>
        <w:rPr>
          <w:color w:val="231F20"/>
          <w:spacing w:val="-28"/>
          <w:w w:val="105"/>
          <w:sz w:val="21"/>
        </w:rPr>
        <w:t> </w:t>
      </w:r>
      <w:r>
        <w:rPr>
          <w:color w:val="231F20"/>
          <w:spacing w:val="-4"/>
          <w:w w:val="105"/>
          <w:sz w:val="21"/>
        </w:rPr>
        <w:t>York:</w:t>
      </w:r>
      <w:r>
        <w:rPr>
          <w:color w:val="231F20"/>
          <w:spacing w:val="-27"/>
          <w:w w:val="105"/>
          <w:sz w:val="21"/>
        </w:rPr>
        <w:t> </w:t>
      </w:r>
      <w:r>
        <w:rPr>
          <w:color w:val="231F20"/>
          <w:w w:val="105"/>
          <w:sz w:val="21"/>
        </w:rPr>
        <w:t>Wal- ter de</w:t>
      </w:r>
      <w:r>
        <w:rPr>
          <w:color w:val="231F20"/>
          <w:spacing w:val="-27"/>
          <w:w w:val="105"/>
          <w:sz w:val="21"/>
        </w:rPr>
        <w:t> </w:t>
      </w:r>
      <w:r>
        <w:rPr>
          <w:color w:val="231F20"/>
          <w:w w:val="105"/>
          <w:sz w:val="21"/>
        </w:rPr>
        <w:t>Gruyter.</w:t>
      </w:r>
    </w:p>
    <w:p>
      <w:pPr>
        <w:spacing w:line="259" w:lineRule="auto" w:before="1"/>
        <w:ind w:left="2574" w:right="1721" w:hanging="738"/>
        <w:jc w:val="both"/>
        <w:rPr>
          <w:sz w:val="21"/>
        </w:rPr>
      </w:pPr>
      <w:r>
        <w:rPr>
          <w:color w:val="231F20"/>
          <w:spacing w:val="-5"/>
          <w:sz w:val="21"/>
        </w:rPr>
        <w:t>Carr, </w:t>
      </w:r>
      <w:r>
        <w:rPr>
          <w:color w:val="231F20"/>
          <w:spacing w:val="-4"/>
          <w:sz w:val="21"/>
        </w:rPr>
        <w:t>Caleb, </w:t>
      </w:r>
      <w:r>
        <w:rPr>
          <w:color w:val="231F20"/>
          <w:spacing w:val="-3"/>
          <w:sz w:val="21"/>
        </w:rPr>
        <w:t>Schrock, David </w:t>
      </w:r>
      <w:r>
        <w:rPr>
          <w:color w:val="231F20"/>
          <w:sz w:val="21"/>
        </w:rPr>
        <w:t>and </w:t>
      </w:r>
      <w:r>
        <w:rPr>
          <w:color w:val="231F20"/>
          <w:spacing w:val="-3"/>
          <w:sz w:val="21"/>
        </w:rPr>
        <w:t>Dauterman, </w:t>
      </w:r>
      <w:r>
        <w:rPr>
          <w:color w:val="231F20"/>
          <w:spacing w:val="-5"/>
          <w:sz w:val="21"/>
        </w:rPr>
        <w:t>Patricia, </w:t>
      </w:r>
      <w:r>
        <w:rPr>
          <w:color w:val="231F20"/>
          <w:spacing w:val="-3"/>
          <w:sz w:val="21"/>
        </w:rPr>
        <w:t>(2012), “Speech Acts Within </w:t>
      </w:r>
      <w:r>
        <w:rPr>
          <w:color w:val="231F20"/>
          <w:spacing w:val="-4"/>
          <w:sz w:val="21"/>
        </w:rPr>
        <w:t>Facebook </w:t>
      </w:r>
      <w:r>
        <w:rPr>
          <w:color w:val="231F20"/>
          <w:spacing w:val="-3"/>
          <w:sz w:val="21"/>
        </w:rPr>
        <w:t>Status </w:t>
      </w:r>
      <w:r>
        <w:rPr>
          <w:color w:val="231F20"/>
          <w:spacing w:val="-6"/>
          <w:sz w:val="21"/>
        </w:rPr>
        <w:t>Messages”, </w:t>
      </w:r>
      <w:r>
        <w:rPr>
          <w:rFonts w:ascii="Arial" w:hAnsi="Arial"/>
          <w:i/>
          <w:color w:val="231F20"/>
          <w:spacing w:val="-3"/>
          <w:sz w:val="21"/>
        </w:rPr>
        <w:t>Journal </w:t>
      </w:r>
      <w:r>
        <w:rPr>
          <w:rFonts w:ascii="Arial" w:hAnsi="Arial"/>
          <w:i/>
          <w:color w:val="231F20"/>
          <w:sz w:val="21"/>
        </w:rPr>
        <w:t>of </w:t>
      </w:r>
      <w:r>
        <w:rPr>
          <w:rFonts w:ascii="Arial" w:hAnsi="Arial"/>
          <w:i/>
          <w:color w:val="231F20"/>
          <w:spacing w:val="-3"/>
          <w:sz w:val="21"/>
        </w:rPr>
        <w:t>Language </w:t>
      </w:r>
      <w:r>
        <w:rPr>
          <w:rFonts w:ascii="Arial" w:hAnsi="Arial"/>
          <w:i/>
          <w:color w:val="231F20"/>
          <w:sz w:val="21"/>
        </w:rPr>
        <w:t>and So- </w:t>
      </w:r>
      <w:r>
        <w:rPr>
          <w:rFonts w:ascii="Arial" w:hAnsi="Arial"/>
          <w:i/>
          <w:color w:val="231F20"/>
          <w:spacing w:val="-3"/>
          <w:sz w:val="21"/>
        </w:rPr>
        <w:t>cial </w:t>
      </w:r>
      <w:r>
        <w:rPr>
          <w:rFonts w:ascii="Arial" w:hAnsi="Arial"/>
          <w:i/>
          <w:color w:val="231F20"/>
          <w:spacing w:val="-4"/>
          <w:sz w:val="21"/>
        </w:rPr>
        <w:t>Psychology</w:t>
      </w:r>
      <w:r>
        <w:rPr>
          <w:color w:val="231F20"/>
          <w:spacing w:val="-4"/>
          <w:sz w:val="21"/>
        </w:rPr>
        <w:t>, </w:t>
      </w:r>
      <w:r>
        <w:rPr>
          <w:color w:val="231F20"/>
          <w:spacing w:val="-3"/>
          <w:sz w:val="21"/>
        </w:rPr>
        <w:t>vol. </w:t>
      </w:r>
      <w:r>
        <w:rPr>
          <w:color w:val="231F20"/>
          <w:sz w:val="21"/>
        </w:rPr>
        <w:t>31, </w:t>
      </w:r>
      <w:r>
        <w:rPr>
          <w:color w:val="231F20"/>
          <w:spacing w:val="-3"/>
          <w:sz w:val="21"/>
        </w:rPr>
        <w:t>num. 2.</w:t>
      </w:r>
    </w:p>
    <w:p>
      <w:pPr>
        <w:spacing w:line="259" w:lineRule="auto" w:before="0"/>
        <w:ind w:left="2574" w:right="1721" w:hanging="738"/>
        <w:jc w:val="both"/>
        <w:rPr>
          <w:sz w:val="21"/>
        </w:rPr>
      </w:pPr>
      <w:r>
        <w:rPr>
          <w:color w:val="231F20"/>
          <w:w w:val="105"/>
          <w:sz w:val="21"/>
        </w:rPr>
        <w:t>Cornelius, Wayne (ed.), (2009), </w:t>
      </w:r>
      <w:r>
        <w:rPr>
          <w:rFonts w:ascii="Arial"/>
          <w:i/>
          <w:color w:val="231F20"/>
          <w:w w:val="105"/>
          <w:sz w:val="21"/>
        </w:rPr>
        <w:t>Migration from the Mexican Mixteca: a </w:t>
      </w:r>
      <w:r>
        <w:rPr>
          <w:rFonts w:ascii="Arial"/>
          <w:i/>
          <w:color w:val="231F20"/>
          <w:w w:val="105"/>
          <w:sz w:val="21"/>
        </w:rPr>
        <w:t>transnational</w:t>
      </w:r>
      <w:r>
        <w:rPr>
          <w:rFonts w:ascii="Arial"/>
          <w:i/>
          <w:color w:val="231F20"/>
          <w:spacing w:val="-21"/>
          <w:w w:val="105"/>
          <w:sz w:val="21"/>
        </w:rPr>
        <w:t> </w:t>
      </w:r>
      <w:r>
        <w:rPr>
          <w:rFonts w:ascii="Arial"/>
          <w:i/>
          <w:color w:val="231F20"/>
          <w:w w:val="105"/>
          <w:sz w:val="21"/>
        </w:rPr>
        <w:t>community</w:t>
      </w:r>
      <w:r>
        <w:rPr>
          <w:rFonts w:ascii="Arial"/>
          <w:i/>
          <w:color w:val="231F20"/>
          <w:spacing w:val="-21"/>
          <w:w w:val="105"/>
          <w:sz w:val="21"/>
        </w:rPr>
        <w:t> </w:t>
      </w:r>
      <w:r>
        <w:rPr>
          <w:rFonts w:ascii="Arial"/>
          <w:i/>
          <w:color w:val="231F20"/>
          <w:w w:val="105"/>
          <w:sz w:val="21"/>
        </w:rPr>
        <w:t>in</w:t>
      </w:r>
      <w:r>
        <w:rPr>
          <w:rFonts w:ascii="Arial"/>
          <w:i/>
          <w:color w:val="231F20"/>
          <w:spacing w:val="-21"/>
          <w:w w:val="105"/>
          <w:sz w:val="21"/>
        </w:rPr>
        <w:t> </w:t>
      </w:r>
      <w:r>
        <w:rPr>
          <w:rFonts w:ascii="Arial"/>
          <w:i/>
          <w:color w:val="231F20"/>
          <w:w w:val="105"/>
          <w:sz w:val="21"/>
        </w:rPr>
        <w:t>Oaxaca</w:t>
      </w:r>
      <w:r>
        <w:rPr>
          <w:rFonts w:ascii="Arial"/>
          <w:i/>
          <w:color w:val="231F20"/>
          <w:spacing w:val="-21"/>
          <w:w w:val="105"/>
          <w:sz w:val="21"/>
        </w:rPr>
        <w:t> </w:t>
      </w:r>
      <w:r>
        <w:rPr>
          <w:rFonts w:ascii="Arial"/>
          <w:i/>
          <w:color w:val="231F20"/>
          <w:w w:val="105"/>
          <w:sz w:val="21"/>
        </w:rPr>
        <w:t>and</w:t>
      </w:r>
      <w:r>
        <w:rPr>
          <w:rFonts w:ascii="Arial"/>
          <w:i/>
          <w:color w:val="231F20"/>
          <w:spacing w:val="-21"/>
          <w:w w:val="105"/>
          <w:sz w:val="21"/>
        </w:rPr>
        <w:t> </w:t>
      </w:r>
      <w:r>
        <w:rPr>
          <w:rFonts w:ascii="Arial"/>
          <w:i/>
          <w:color w:val="231F20"/>
          <w:w w:val="105"/>
          <w:sz w:val="21"/>
        </w:rPr>
        <w:t>California,</w:t>
      </w:r>
      <w:r>
        <w:rPr>
          <w:rFonts w:ascii="Arial"/>
          <w:i/>
          <w:color w:val="231F20"/>
          <w:spacing w:val="-25"/>
          <w:w w:val="105"/>
          <w:sz w:val="21"/>
        </w:rPr>
        <w:t> </w:t>
      </w:r>
      <w:r>
        <w:rPr>
          <w:rFonts w:ascii="Arial"/>
          <w:i/>
          <w:color w:val="231F20"/>
          <w:w w:val="105"/>
          <w:sz w:val="21"/>
        </w:rPr>
        <w:t>La</w:t>
      </w:r>
      <w:r>
        <w:rPr>
          <w:rFonts w:ascii="Arial"/>
          <w:i/>
          <w:color w:val="231F20"/>
          <w:spacing w:val="-23"/>
          <w:w w:val="105"/>
          <w:sz w:val="21"/>
        </w:rPr>
        <w:t> </w:t>
      </w:r>
      <w:r>
        <w:rPr>
          <w:rFonts w:ascii="Arial"/>
          <w:i/>
          <w:color w:val="231F20"/>
          <w:w w:val="105"/>
          <w:sz w:val="21"/>
        </w:rPr>
        <w:t>Jolla:</w:t>
      </w:r>
      <w:r>
        <w:rPr>
          <w:rFonts w:ascii="Arial"/>
          <w:i/>
          <w:color w:val="231F20"/>
          <w:spacing w:val="-21"/>
          <w:w w:val="105"/>
          <w:sz w:val="21"/>
        </w:rPr>
        <w:t> </w:t>
      </w:r>
      <w:r>
        <w:rPr>
          <w:rFonts w:ascii="Arial"/>
          <w:i/>
          <w:color w:val="231F20"/>
          <w:w w:val="105"/>
          <w:sz w:val="21"/>
        </w:rPr>
        <w:t>Cen- ter</w:t>
      </w:r>
      <w:r>
        <w:rPr>
          <w:rFonts w:ascii="Arial"/>
          <w:i/>
          <w:color w:val="231F20"/>
          <w:spacing w:val="-40"/>
          <w:w w:val="105"/>
          <w:sz w:val="21"/>
        </w:rPr>
        <w:t> </w:t>
      </w:r>
      <w:r>
        <w:rPr>
          <w:rFonts w:ascii="Arial"/>
          <w:i/>
          <w:color w:val="231F20"/>
          <w:w w:val="105"/>
          <w:sz w:val="21"/>
        </w:rPr>
        <w:t>for</w:t>
      </w:r>
      <w:r>
        <w:rPr>
          <w:rFonts w:ascii="Arial"/>
          <w:i/>
          <w:color w:val="231F20"/>
          <w:spacing w:val="-40"/>
          <w:w w:val="105"/>
          <w:sz w:val="21"/>
        </w:rPr>
        <w:t> </w:t>
      </w:r>
      <w:r>
        <w:rPr>
          <w:rFonts w:ascii="Arial"/>
          <w:i/>
          <w:color w:val="231F20"/>
          <w:w w:val="105"/>
          <w:sz w:val="21"/>
        </w:rPr>
        <w:t>Comparative</w:t>
      </w:r>
      <w:r>
        <w:rPr>
          <w:rFonts w:ascii="Arial"/>
          <w:i/>
          <w:color w:val="231F20"/>
          <w:spacing w:val="-40"/>
          <w:w w:val="105"/>
          <w:sz w:val="21"/>
        </w:rPr>
        <w:t> </w:t>
      </w:r>
      <w:r>
        <w:rPr>
          <w:rFonts w:ascii="Arial"/>
          <w:i/>
          <w:color w:val="231F20"/>
          <w:w w:val="105"/>
          <w:sz w:val="21"/>
        </w:rPr>
        <w:t>Immigration</w:t>
      </w:r>
      <w:r>
        <w:rPr>
          <w:rFonts w:ascii="Arial"/>
          <w:i/>
          <w:color w:val="231F20"/>
          <w:spacing w:val="-40"/>
          <w:w w:val="105"/>
          <w:sz w:val="21"/>
        </w:rPr>
        <w:t> </w:t>
      </w:r>
      <w:r>
        <w:rPr>
          <w:rFonts w:ascii="Arial"/>
          <w:i/>
          <w:color w:val="231F20"/>
          <w:w w:val="105"/>
          <w:sz w:val="21"/>
        </w:rPr>
        <w:t>Studies</w:t>
      </w:r>
      <w:r>
        <w:rPr>
          <w:color w:val="231F20"/>
          <w:w w:val="105"/>
          <w:sz w:val="21"/>
        </w:rPr>
        <w:t>,</w:t>
      </w:r>
      <w:r>
        <w:rPr>
          <w:color w:val="231F20"/>
          <w:spacing w:val="-40"/>
          <w:w w:val="105"/>
          <w:sz w:val="21"/>
        </w:rPr>
        <w:t> </w:t>
      </w:r>
      <w:r>
        <w:rPr>
          <w:color w:val="231F20"/>
          <w:w w:val="105"/>
          <w:sz w:val="21"/>
        </w:rPr>
        <w:t>San</w:t>
      </w:r>
      <w:r>
        <w:rPr>
          <w:color w:val="231F20"/>
          <w:spacing w:val="-37"/>
          <w:w w:val="105"/>
          <w:sz w:val="21"/>
        </w:rPr>
        <w:t> </w:t>
      </w:r>
      <w:r>
        <w:rPr>
          <w:color w:val="231F20"/>
          <w:w w:val="105"/>
          <w:sz w:val="21"/>
        </w:rPr>
        <w:t>Diego,</w:t>
      </w:r>
      <w:r>
        <w:rPr>
          <w:color w:val="231F20"/>
          <w:spacing w:val="-40"/>
          <w:w w:val="105"/>
          <w:sz w:val="21"/>
        </w:rPr>
        <w:t> </w:t>
      </w:r>
      <w:r>
        <w:rPr>
          <w:color w:val="231F20"/>
          <w:w w:val="105"/>
          <w:sz w:val="21"/>
        </w:rPr>
        <w:t>United</w:t>
      </w:r>
      <w:r>
        <w:rPr>
          <w:color w:val="231F20"/>
          <w:spacing w:val="-37"/>
          <w:w w:val="105"/>
          <w:sz w:val="21"/>
        </w:rPr>
        <w:t> </w:t>
      </w:r>
      <w:r>
        <w:rPr>
          <w:color w:val="231F20"/>
          <w:w w:val="105"/>
          <w:sz w:val="21"/>
        </w:rPr>
        <w:t>States of</w:t>
      </w:r>
      <w:r>
        <w:rPr>
          <w:color w:val="231F20"/>
          <w:spacing w:val="-19"/>
          <w:w w:val="105"/>
          <w:sz w:val="21"/>
        </w:rPr>
        <w:t> </w:t>
      </w:r>
      <w:r>
        <w:rPr>
          <w:color w:val="231F20"/>
          <w:w w:val="105"/>
          <w:sz w:val="21"/>
        </w:rPr>
        <w:t>America:</w:t>
      </w:r>
      <w:r>
        <w:rPr>
          <w:color w:val="231F20"/>
          <w:spacing w:val="-20"/>
          <w:w w:val="105"/>
          <w:sz w:val="21"/>
        </w:rPr>
        <w:t> </w:t>
      </w:r>
      <w:r>
        <w:rPr>
          <w:color w:val="231F20"/>
          <w:w w:val="105"/>
          <w:sz w:val="21"/>
        </w:rPr>
        <w:t>University</w:t>
      </w:r>
      <w:r>
        <w:rPr>
          <w:color w:val="231F20"/>
          <w:spacing w:val="-20"/>
          <w:w w:val="105"/>
          <w:sz w:val="21"/>
        </w:rPr>
        <w:t> </w:t>
      </w:r>
      <w:r>
        <w:rPr>
          <w:color w:val="231F20"/>
          <w:w w:val="105"/>
          <w:sz w:val="21"/>
        </w:rPr>
        <w:t>of</w:t>
      </w:r>
      <w:r>
        <w:rPr>
          <w:color w:val="231F20"/>
          <w:spacing w:val="-16"/>
          <w:w w:val="105"/>
          <w:sz w:val="21"/>
        </w:rPr>
        <w:t> </w:t>
      </w:r>
      <w:r>
        <w:rPr>
          <w:color w:val="231F20"/>
          <w:w w:val="105"/>
          <w:sz w:val="21"/>
        </w:rPr>
        <w:t>California,</w:t>
      </w:r>
      <w:r>
        <w:rPr>
          <w:color w:val="231F20"/>
          <w:spacing w:val="-24"/>
          <w:w w:val="105"/>
          <w:sz w:val="21"/>
        </w:rPr>
        <w:t> </w:t>
      </w:r>
      <w:r>
        <w:rPr>
          <w:color w:val="231F20"/>
          <w:w w:val="105"/>
          <w:sz w:val="21"/>
        </w:rPr>
        <w:t>.</w:t>
      </w:r>
    </w:p>
    <w:p>
      <w:pPr>
        <w:spacing w:line="259" w:lineRule="auto" w:before="0"/>
        <w:ind w:left="2574" w:right="1721" w:hanging="738"/>
        <w:jc w:val="both"/>
        <w:rPr>
          <w:sz w:val="21"/>
        </w:rPr>
      </w:pPr>
      <w:r>
        <w:rPr>
          <w:color w:val="231F20"/>
          <w:spacing w:val="-5"/>
          <w:sz w:val="21"/>
        </w:rPr>
        <w:t>Farr, </w:t>
      </w:r>
      <w:r>
        <w:rPr>
          <w:color w:val="231F20"/>
          <w:sz w:val="21"/>
        </w:rPr>
        <w:t>Marcia, (2006), </w:t>
      </w:r>
      <w:r>
        <w:rPr>
          <w:rFonts w:ascii="Arial" w:hAnsi="Arial"/>
          <w:i/>
          <w:color w:val="231F20"/>
          <w:sz w:val="21"/>
        </w:rPr>
        <w:t>Rancheros in Chicagoacán: Language and identity in </w:t>
      </w:r>
      <w:r>
        <w:rPr>
          <w:rFonts w:ascii="Arial" w:hAnsi="Arial"/>
          <w:i/>
          <w:color w:val="231F20"/>
          <w:sz w:val="21"/>
        </w:rPr>
        <w:t>a </w:t>
      </w:r>
      <w:r>
        <w:rPr>
          <w:rFonts w:ascii="Arial" w:hAnsi="Arial"/>
          <w:i/>
          <w:color w:val="231F20"/>
          <w:spacing w:val="-3"/>
          <w:sz w:val="21"/>
        </w:rPr>
        <w:t>transnational </w:t>
      </w:r>
      <w:r>
        <w:rPr>
          <w:rFonts w:ascii="Arial" w:hAnsi="Arial"/>
          <w:i/>
          <w:color w:val="231F20"/>
          <w:sz w:val="21"/>
        </w:rPr>
        <w:t>community</w:t>
      </w:r>
      <w:r>
        <w:rPr>
          <w:color w:val="231F20"/>
          <w:sz w:val="21"/>
        </w:rPr>
        <w:t>, San Antonio, United </w:t>
      </w:r>
      <w:r>
        <w:rPr>
          <w:color w:val="231F20"/>
          <w:spacing w:val="-3"/>
          <w:sz w:val="21"/>
        </w:rPr>
        <w:t>States </w:t>
      </w:r>
      <w:r>
        <w:rPr>
          <w:color w:val="231F20"/>
          <w:sz w:val="21"/>
        </w:rPr>
        <w:t>of America: University of </w:t>
      </w:r>
      <w:r>
        <w:rPr>
          <w:color w:val="231F20"/>
          <w:spacing w:val="-5"/>
          <w:sz w:val="21"/>
        </w:rPr>
        <w:t>Texas </w:t>
      </w:r>
      <w:r>
        <w:rPr>
          <w:color w:val="231F20"/>
          <w:spacing w:val="-3"/>
          <w:sz w:val="21"/>
        </w:rPr>
        <w:t>Press.</w:t>
      </w:r>
    </w:p>
    <w:p>
      <w:pPr>
        <w:spacing w:line="261" w:lineRule="auto" w:before="0"/>
        <w:ind w:left="2574" w:right="1721" w:hanging="738"/>
        <w:jc w:val="both"/>
        <w:rPr>
          <w:sz w:val="21"/>
        </w:rPr>
      </w:pPr>
      <w:r>
        <w:rPr>
          <w:color w:val="231F20"/>
          <w:w w:val="105"/>
          <w:sz w:val="21"/>
        </w:rPr>
        <w:t>Goffman, Erving, (1959), </w:t>
      </w:r>
      <w:r>
        <w:rPr>
          <w:rFonts w:ascii="Arial"/>
          <w:i/>
          <w:color w:val="231F20"/>
          <w:w w:val="105"/>
          <w:sz w:val="21"/>
        </w:rPr>
        <w:t>The presentation of self in everyday life</w:t>
      </w:r>
      <w:r>
        <w:rPr>
          <w:color w:val="231F20"/>
          <w:w w:val="105"/>
          <w:sz w:val="21"/>
        </w:rPr>
        <w:t>,</w:t>
      </w:r>
      <w:r>
        <w:rPr>
          <w:color w:val="231F20"/>
          <w:spacing w:val="-27"/>
          <w:w w:val="105"/>
          <w:sz w:val="21"/>
        </w:rPr>
        <w:t> </w:t>
      </w:r>
      <w:r>
        <w:rPr>
          <w:color w:val="231F20"/>
          <w:w w:val="105"/>
          <w:sz w:val="21"/>
        </w:rPr>
        <w:t>Edin- burgh, United Kingdom: University of Edinburg/Social Science </w:t>
      </w:r>
      <w:r>
        <w:rPr>
          <w:color w:val="231F20"/>
          <w:sz w:val="21"/>
        </w:rPr>
        <w:t>research</w:t>
      </w:r>
      <w:r>
        <w:rPr>
          <w:color w:val="231F20"/>
          <w:spacing w:val="7"/>
          <w:sz w:val="21"/>
        </w:rPr>
        <w:t> </w:t>
      </w:r>
      <w:r>
        <w:rPr>
          <w:color w:val="231F20"/>
          <w:sz w:val="21"/>
        </w:rPr>
        <w:t>Centre.</w:t>
      </w:r>
    </w:p>
    <w:p>
      <w:pPr>
        <w:spacing w:line="259" w:lineRule="auto" w:before="0"/>
        <w:ind w:left="1837" w:right="1715" w:firstLine="0"/>
        <w:jc w:val="right"/>
        <w:rPr>
          <w:rFonts w:ascii="Arial"/>
          <w:i/>
          <w:sz w:val="21"/>
        </w:rPr>
      </w:pPr>
      <w:r>
        <w:rPr>
          <w:color w:val="231F20"/>
          <w:w w:val="105"/>
          <w:sz w:val="21"/>
        </w:rPr>
        <w:t>Guerra,</w:t>
      </w:r>
      <w:r>
        <w:rPr>
          <w:color w:val="231F20"/>
          <w:spacing w:val="-28"/>
          <w:w w:val="105"/>
          <w:sz w:val="21"/>
        </w:rPr>
        <w:t> </w:t>
      </w:r>
      <w:r>
        <w:rPr>
          <w:color w:val="231F20"/>
          <w:w w:val="105"/>
          <w:sz w:val="21"/>
        </w:rPr>
        <w:t>Juan,</w:t>
      </w:r>
      <w:r>
        <w:rPr>
          <w:color w:val="231F20"/>
          <w:spacing w:val="-27"/>
          <w:w w:val="105"/>
          <w:sz w:val="21"/>
        </w:rPr>
        <w:t> </w:t>
      </w:r>
      <w:r>
        <w:rPr>
          <w:color w:val="231F20"/>
          <w:w w:val="105"/>
          <w:sz w:val="21"/>
        </w:rPr>
        <w:t>(1998),</w:t>
      </w:r>
      <w:r>
        <w:rPr>
          <w:color w:val="231F20"/>
          <w:spacing w:val="-27"/>
          <w:w w:val="105"/>
          <w:sz w:val="21"/>
        </w:rPr>
        <w:t> </w:t>
      </w:r>
      <w:r>
        <w:rPr>
          <w:rFonts w:ascii="Arial"/>
          <w:i/>
          <w:color w:val="231F20"/>
          <w:w w:val="105"/>
          <w:sz w:val="21"/>
        </w:rPr>
        <w:t>Close</w:t>
      </w:r>
      <w:r>
        <w:rPr>
          <w:rFonts w:ascii="Arial"/>
          <w:i/>
          <w:color w:val="231F20"/>
          <w:spacing w:val="-25"/>
          <w:w w:val="105"/>
          <w:sz w:val="21"/>
        </w:rPr>
        <w:t> </w:t>
      </w:r>
      <w:r>
        <w:rPr>
          <w:rFonts w:ascii="Arial"/>
          <w:i/>
          <w:color w:val="231F20"/>
          <w:w w:val="105"/>
          <w:sz w:val="21"/>
        </w:rPr>
        <w:t>to</w:t>
      </w:r>
      <w:r>
        <w:rPr>
          <w:rFonts w:ascii="Arial"/>
          <w:i/>
          <w:color w:val="231F20"/>
          <w:spacing w:val="-25"/>
          <w:w w:val="105"/>
          <w:sz w:val="21"/>
        </w:rPr>
        <w:t> </w:t>
      </w:r>
      <w:r>
        <w:rPr>
          <w:rFonts w:ascii="Arial"/>
          <w:i/>
          <w:color w:val="231F20"/>
          <w:w w:val="105"/>
          <w:sz w:val="21"/>
        </w:rPr>
        <w:t>home:</w:t>
      </w:r>
      <w:r>
        <w:rPr>
          <w:rFonts w:ascii="Arial"/>
          <w:i/>
          <w:color w:val="231F20"/>
          <w:spacing w:val="-25"/>
          <w:w w:val="105"/>
          <w:sz w:val="21"/>
        </w:rPr>
        <w:t> </w:t>
      </w:r>
      <w:r>
        <w:rPr>
          <w:rFonts w:ascii="Arial"/>
          <w:i/>
          <w:color w:val="231F20"/>
          <w:w w:val="105"/>
          <w:sz w:val="21"/>
        </w:rPr>
        <w:t>oral</w:t>
      </w:r>
      <w:r>
        <w:rPr>
          <w:rFonts w:ascii="Arial"/>
          <w:i/>
          <w:color w:val="231F20"/>
          <w:spacing w:val="-25"/>
          <w:w w:val="105"/>
          <w:sz w:val="21"/>
        </w:rPr>
        <w:t> </w:t>
      </w:r>
      <w:r>
        <w:rPr>
          <w:rFonts w:ascii="Arial"/>
          <w:i/>
          <w:color w:val="231F20"/>
          <w:w w:val="105"/>
          <w:sz w:val="21"/>
        </w:rPr>
        <w:t>and</w:t>
      </w:r>
      <w:r>
        <w:rPr>
          <w:rFonts w:ascii="Arial"/>
          <w:i/>
          <w:color w:val="231F20"/>
          <w:spacing w:val="-25"/>
          <w:w w:val="105"/>
          <w:sz w:val="21"/>
        </w:rPr>
        <w:t> </w:t>
      </w:r>
      <w:r>
        <w:rPr>
          <w:rFonts w:ascii="Arial"/>
          <w:i/>
          <w:color w:val="231F20"/>
          <w:w w:val="105"/>
          <w:sz w:val="21"/>
        </w:rPr>
        <w:t>literate</w:t>
      </w:r>
      <w:r>
        <w:rPr>
          <w:rFonts w:ascii="Arial"/>
          <w:i/>
          <w:color w:val="231F20"/>
          <w:spacing w:val="-25"/>
          <w:w w:val="105"/>
          <w:sz w:val="21"/>
        </w:rPr>
        <w:t> </w:t>
      </w:r>
      <w:r>
        <w:rPr>
          <w:rFonts w:ascii="Arial"/>
          <w:i/>
          <w:color w:val="231F20"/>
          <w:w w:val="105"/>
          <w:sz w:val="21"/>
        </w:rPr>
        <w:t>practices</w:t>
      </w:r>
      <w:r>
        <w:rPr>
          <w:rFonts w:ascii="Arial"/>
          <w:i/>
          <w:color w:val="231F20"/>
          <w:spacing w:val="-25"/>
          <w:w w:val="105"/>
          <w:sz w:val="21"/>
        </w:rPr>
        <w:t> </w:t>
      </w:r>
      <w:r>
        <w:rPr>
          <w:rFonts w:ascii="Arial"/>
          <w:i/>
          <w:color w:val="231F20"/>
          <w:w w:val="105"/>
          <w:sz w:val="21"/>
        </w:rPr>
        <w:t>in</w:t>
      </w:r>
      <w:r>
        <w:rPr>
          <w:rFonts w:ascii="Arial"/>
          <w:i/>
          <w:color w:val="231F20"/>
          <w:spacing w:val="-25"/>
          <w:w w:val="105"/>
          <w:sz w:val="21"/>
        </w:rPr>
        <w:t> </w:t>
      </w:r>
      <w:r>
        <w:rPr>
          <w:rFonts w:ascii="Arial"/>
          <w:i/>
          <w:color w:val="231F20"/>
          <w:w w:val="105"/>
          <w:sz w:val="21"/>
        </w:rPr>
        <w:t>a</w:t>
      </w:r>
      <w:r>
        <w:rPr>
          <w:rFonts w:ascii="Arial"/>
          <w:i/>
          <w:color w:val="231F20"/>
          <w:spacing w:val="-25"/>
          <w:w w:val="105"/>
          <w:sz w:val="21"/>
        </w:rPr>
        <w:t> </w:t>
      </w:r>
      <w:r>
        <w:rPr>
          <w:rFonts w:ascii="Arial"/>
          <w:i/>
          <w:color w:val="231F20"/>
          <w:w w:val="105"/>
          <w:sz w:val="21"/>
        </w:rPr>
        <w:t>trans-</w:t>
      </w:r>
      <w:r>
        <w:rPr>
          <w:rFonts w:ascii="Arial"/>
          <w:i/>
          <w:color w:val="231F20"/>
          <w:w w:val="96"/>
          <w:sz w:val="21"/>
        </w:rPr>
        <w:t> </w:t>
      </w:r>
      <w:r>
        <w:rPr>
          <w:rFonts w:ascii="Arial"/>
          <w:i/>
          <w:color w:val="231F20"/>
          <w:spacing w:val="-3"/>
          <w:w w:val="105"/>
          <w:sz w:val="21"/>
        </w:rPr>
        <w:t>national</w:t>
      </w:r>
      <w:r>
        <w:rPr>
          <w:rFonts w:ascii="Arial"/>
          <w:i/>
          <w:color w:val="231F20"/>
          <w:spacing w:val="-39"/>
          <w:w w:val="105"/>
          <w:sz w:val="21"/>
        </w:rPr>
        <w:t> </w:t>
      </w:r>
      <w:r>
        <w:rPr>
          <w:rFonts w:ascii="Arial"/>
          <w:i/>
          <w:color w:val="231F20"/>
          <w:spacing w:val="-3"/>
          <w:w w:val="105"/>
          <w:sz w:val="21"/>
        </w:rPr>
        <w:t>Mexicano</w:t>
      </w:r>
      <w:r>
        <w:rPr>
          <w:rFonts w:ascii="Arial"/>
          <w:i/>
          <w:color w:val="231F20"/>
          <w:spacing w:val="-39"/>
          <w:w w:val="105"/>
          <w:sz w:val="21"/>
        </w:rPr>
        <w:t> </w:t>
      </w:r>
      <w:r>
        <w:rPr>
          <w:rFonts w:ascii="Arial"/>
          <w:i/>
          <w:color w:val="231F20"/>
          <w:spacing w:val="-3"/>
          <w:w w:val="105"/>
          <w:sz w:val="21"/>
        </w:rPr>
        <w:t>community</w:t>
      </w:r>
      <w:r>
        <w:rPr>
          <w:color w:val="231F20"/>
          <w:spacing w:val="-3"/>
          <w:w w:val="105"/>
          <w:sz w:val="21"/>
        </w:rPr>
        <w:t>,</w:t>
      </w:r>
      <w:r>
        <w:rPr>
          <w:color w:val="231F20"/>
          <w:spacing w:val="-39"/>
          <w:w w:val="105"/>
          <w:sz w:val="21"/>
        </w:rPr>
        <w:t> </w:t>
      </w:r>
      <w:r>
        <w:rPr>
          <w:color w:val="231F20"/>
          <w:w w:val="105"/>
          <w:sz w:val="21"/>
        </w:rPr>
        <w:t>New</w:t>
      </w:r>
      <w:r>
        <w:rPr>
          <w:color w:val="231F20"/>
          <w:spacing w:val="-39"/>
          <w:w w:val="105"/>
          <w:sz w:val="21"/>
        </w:rPr>
        <w:t> </w:t>
      </w:r>
      <w:r>
        <w:rPr>
          <w:color w:val="231F20"/>
          <w:spacing w:val="-6"/>
          <w:w w:val="105"/>
          <w:sz w:val="21"/>
        </w:rPr>
        <w:t>York:</w:t>
      </w:r>
      <w:r>
        <w:rPr>
          <w:color w:val="231F20"/>
          <w:spacing w:val="-39"/>
          <w:w w:val="105"/>
          <w:sz w:val="21"/>
        </w:rPr>
        <w:t> </w:t>
      </w:r>
      <w:r>
        <w:rPr>
          <w:color w:val="231F20"/>
          <w:spacing w:val="-3"/>
          <w:w w:val="105"/>
          <w:sz w:val="21"/>
        </w:rPr>
        <w:t>Teachers</w:t>
      </w:r>
      <w:r>
        <w:rPr>
          <w:color w:val="231F20"/>
          <w:spacing w:val="-35"/>
          <w:w w:val="105"/>
          <w:sz w:val="21"/>
        </w:rPr>
        <w:t> </w:t>
      </w:r>
      <w:r>
        <w:rPr>
          <w:color w:val="231F20"/>
          <w:w w:val="105"/>
          <w:sz w:val="21"/>
        </w:rPr>
        <w:t>College</w:t>
      </w:r>
      <w:r>
        <w:rPr>
          <w:color w:val="231F20"/>
          <w:spacing w:val="-35"/>
          <w:w w:val="105"/>
          <w:sz w:val="21"/>
        </w:rPr>
        <w:t> </w:t>
      </w:r>
      <w:r>
        <w:rPr>
          <w:color w:val="231F20"/>
          <w:spacing w:val="-3"/>
          <w:w w:val="105"/>
          <w:sz w:val="21"/>
        </w:rPr>
        <w:t>Press.</w:t>
      </w:r>
      <w:r>
        <w:rPr>
          <w:color w:val="231F20"/>
          <w:w w:val="93"/>
          <w:sz w:val="21"/>
        </w:rPr>
        <w:t> </w:t>
      </w:r>
      <w:r>
        <w:rPr>
          <w:color w:val="231F20"/>
          <w:spacing w:val="-3"/>
          <w:w w:val="94"/>
          <w:sz w:val="21"/>
        </w:rPr>
        <w:t> </w:t>
      </w:r>
      <w:r>
        <w:rPr>
          <w:color w:val="231F20"/>
          <w:w w:val="105"/>
          <w:sz w:val="21"/>
        </w:rPr>
        <w:t>Kasinitz,</w:t>
      </w:r>
      <w:r>
        <w:rPr>
          <w:color w:val="231F20"/>
          <w:spacing w:val="-21"/>
          <w:w w:val="105"/>
          <w:sz w:val="21"/>
        </w:rPr>
        <w:t> </w:t>
      </w:r>
      <w:r>
        <w:rPr>
          <w:color w:val="231F20"/>
          <w:w w:val="105"/>
          <w:sz w:val="21"/>
        </w:rPr>
        <w:t>Philip,</w:t>
      </w:r>
      <w:r>
        <w:rPr>
          <w:color w:val="231F20"/>
          <w:spacing w:val="-21"/>
          <w:w w:val="105"/>
          <w:sz w:val="21"/>
        </w:rPr>
        <w:t> </w:t>
      </w:r>
      <w:r>
        <w:rPr>
          <w:color w:val="231F20"/>
          <w:w w:val="105"/>
          <w:sz w:val="21"/>
        </w:rPr>
        <w:t>Mollenkopf,</w:t>
      </w:r>
      <w:r>
        <w:rPr>
          <w:color w:val="231F20"/>
          <w:spacing w:val="-22"/>
          <w:w w:val="105"/>
          <w:sz w:val="21"/>
        </w:rPr>
        <w:t> </w:t>
      </w:r>
      <w:r>
        <w:rPr>
          <w:color w:val="231F20"/>
          <w:w w:val="105"/>
          <w:sz w:val="21"/>
        </w:rPr>
        <w:t>John,</w:t>
      </w:r>
      <w:r>
        <w:rPr>
          <w:color w:val="231F20"/>
          <w:spacing w:val="-22"/>
          <w:w w:val="105"/>
          <w:sz w:val="21"/>
        </w:rPr>
        <w:t> </w:t>
      </w:r>
      <w:r>
        <w:rPr>
          <w:color w:val="231F20"/>
          <w:w w:val="105"/>
          <w:sz w:val="21"/>
        </w:rPr>
        <w:t>Waters,</w:t>
      </w:r>
      <w:r>
        <w:rPr>
          <w:color w:val="231F20"/>
          <w:spacing w:val="-21"/>
          <w:w w:val="105"/>
          <w:sz w:val="21"/>
        </w:rPr>
        <w:t> </w:t>
      </w:r>
      <w:r>
        <w:rPr>
          <w:color w:val="231F20"/>
          <w:w w:val="105"/>
          <w:sz w:val="21"/>
        </w:rPr>
        <w:t>Mary</w:t>
      </w:r>
      <w:r>
        <w:rPr>
          <w:color w:val="231F20"/>
          <w:spacing w:val="-17"/>
          <w:w w:val="105"/>
          <w:sz w:val="21"/>
        </w:rPr>
        <w:t> </w:t>
      </w:r>
      <w:r>
        <w:rPr>
          <w:color w:val="231F20"/>
          <w:w w:val="105"/>
          <w:sz w:val="21"/>
        </w:rPr>
        <w:t>and</w:t>
      </w:r>
      <w:r>
        <w:rPr>
          <w:color w:val="231F20"/>
          <w:spacing w:val="-17"/>
          <w:w w:val="105"/>
          <w:sz w:val="21"/>
        </w:rPr>
        <w:t> </w:t>
      </w:r>
      <w:r>
        <w:rPr>
          <w:color w:val="231F20"/>
          <w:w w:val="105"/>
          <w:sz w:val="21"/>
        </w:rPr>
        <w:t>Holdaway,</w:t>
      </w:r>
      <w:r>
        <w:rPr>
          <w:color w:val="231F20"/>
          <w:spacing w:val="-22"/>
          <w:w w:val="105"/>
          <w:sz w:val="21"/>
        </w:rPr>
        <w:t> </w:t>
      </w:r>
      <w:r>
        <w:rPr>
          <w:color w:val="231F20"/>
          <w:w w:val="105"/>
          <w:sz w:val="21"/>
        </w:rPr>
        <w:t>Jennifer,</w:t>
      </w:r>
      <w:r>
        <w:rPr>
          <w:color w:val="231F20"/>
          <w:w w:val="93"/>
          <w:sz w:val="21"/>
        </w:rPr>
        <w:t> </w:t>
      </w:r>
      <w:r>
        <w:rPr>
          <w:color w:val="231F20"/>
          <w:w w:val="105"/>
          <w:sz w:val="21"/>
        </w:rPr>
        <w:t>(2010), </w:t>
      </w:r>
      <w:r>
        <w:rPr>
          <w:rFonts w:ascii="Arial"/>
          <w:i/>
          <w:color w:val="231F20"/>
          <w:w w:val="105"/>
          <w:sz w:val="21"/>
        </w:rPr>
        <w:t>Inheriting the City: The Children of Immigrants Come</w:t>
      </w:r>
      <w:r>
        <w:rPr>
          <w:rFonts w:ascii="Arial"/>
          <w:i/>
          <w:color w:val="231F20"/>
          <w:spacing w:val="16"/>
          <w:w w:val="105"/>
          <w:sz w:val="21"/>
        </w:rPr>
        <w:t> </w:t>
      </w:r>
      <w:r>
        <w:rPr>
          <w:rFonts w:ascii="Arial"/>
          <w:i/>
          <w:color w:val="231F20"/>
          <w:w w:val="105"/>
          <w:sz w:val="21"/>
        </w:rPr>
        <w:t>of</w:t>
      </w:r>
    </w:p>
    <w:p>
      <w:pPr>
        <w:pStyle w:val="BodyText"/>
        <w:spacing w:line="241" w:lineRule="exact"/>
        <w:ind w:left="2574"/>
      </w:pPr>
      <w:r>
        <w:rPr>
          <w:rFonts w:ascii="Arial"/>
          <w:i/>
          <w:color w:val="231F20"/>
        </w:rPr>
        <w:t>Age</w:t>
      </w:r>
      <w:r>
        <w:rPr>
          <w:color w:val="231F20"/>
        </w:rPr>
        <w:t>, New York: Russell Sage Foundation Publications.</w:t>
      </w:r>
    </w:p>
    <w:p>
      <w:pPr>
        <w:pStyle w:val="BodyText"/>
        <w:spacing w:line="261" w:lineRule="auto" w:before="22"/>
        <w:ind w:left="2574" w:right="1715" w:hanging="738"/>
        <w:jc w:val="both"/>
      </w:pPr>
      <w:r>
        <w:rPr>
          <w:color w:val="231F20"/>
          <w:w w:val="105"/>
        </w:rPr>
        <w:t>Lam</w:t>
      </w:r>
      <w:r>
        <w:rPr>
          <w:color w:val="231F20"/>
          <w:spacing w:val="-31"/>
          <w:w w:val="105"/>
        </w:rPr>
        <w:t> </w:t>
      </w:r>
      <w:r>
        <w:rPr>
          <w:color w:val="231F20"/>
          <w:spacing w:val="-3"/>
          <w:w w:val="105"/>
        </w:rPr>
        <w:t>Wan</w:t>
      </w:r>
      <w:r>
        <w:rPr>
          <w:color w:val="231F20"/>
          <w:spacing w:val="-30"/>
          <w:w w:val="105"/>
        </w:rPr>
        <w:t> </w:t>
      </w:r>
      <w:r>
        <w:rPr>
          <w:color w:val="231F20"/>
          <w:w w:val="105"/>
        </w:rPr>
        <w:t>Shun,</w:t>
      </w:r>
      <w:r>
        <w:rPr>
          <w:color w:val="231F20"/>
          <w:spacing w:val="-34"/>
          <w:w w:val="105"/>
        </w:rPr>
        <w:t> </w:t>
      </w:r>
      <w:r>
        <w:rPr>
          <w:color w:val="231F20"/>
          <w:w w:val="105"/>
        </w:rPr>
        <w:t>Eva,</w:t>
      </w:r>
      <w:r>
        <w:rPr>
          <w:color w:val="231F20"/>
          <w:spacing w:val="-34"/>
          <w:w w:val="105"/>
        </w:rPr>
        <w:t> </w:t>
      </w:r>
      <w:r>
        <w:rPr>
          <w:color w:val="231F20"/>
          <w:w w:val="105"/>
        </w:rPr>
        <w:t>(2014),</w:t>
      </w:r>
      <w:r>
        <w:rPr>
          <w:color w:val="231F20"/>
          <w:spacing w:val="-34"/>
          <w:w w:val="105"/>
        </w:rPr>
        <w:t> </w:t>
      </w:r>
      <w:r>
        <w:rPr>
          <w:color w:val="231F20"/>
          <w:w w:val="105"/>
        </w:rPr>
        <w:t>“Literacy</w:t>
      </w:r>
      <w:r>
        <w:rPr>
          <w:color w:val="231F20"/>
          <w:spacing w:val="-29"/>
          <w:w w:val="105"/>
        </w:rPr>
        <w:t> </w:t>
      </w:r>
      <w:r>
        <w:rPr>
          <w:color w:val="231F20"/>
          <w:w w:val="105"/>
        </w:rPr>
        <w:t>and</w:t>
      </w:r>
      <w:r>
        <w:rPr>
          <w:color w:val="231F20"/>
          <w:spacing w:val="-29"/>
          <w:w w:val="105"/>
        </w:rPr>
        <w:t> </w:t>
      </w:r>
      <w:r>
        <w:rPr>
          <w:color w:val="231F20"/>
          <w:w w:val="105"/>
        </w:rPr>
        <w:t>capital</w:t>
      </w:r>
      <w:r>
        <w:rPr>
          <w:color w:val="231F20"/>
          <w:spacing w:val="-29"/>
          <w:w w:val="105"/>
        </w:rPr>
        <w:t> </w:t>
      </w:r>
      <w:r>
        <w:rPr>
          <w:color w:val="231F20"/>
          <w:w w:val="105"/>
        </w:rPr>
        <w:t>in</w:t>
      </w:r>
      <w:r>
        <w:rPr>
          <w:color w:val="231F20"/>
          <w:spacing w:val="-29"/>
          <w:w w:val="105"/>
        </w:rPr>
        <w:t> </w:t>
      </w:r>
      <w:r>
        <w:rPr>
          <w:color w:val="231F20"/>
          <w:w w:val="105"/>
        </w:rPr>
        <w:t>immigrant</w:t>
      </w:r>
      <w:r>
        <w:rPr>
          <w:color w:val="231F20"/>
          <w:spacing w:val="-30"/>
          <w:w w:val="105"/>
        </w:rPr>
        <w:t> </w:t>
      </w:r>
      <w:r>
        <w:rPr>
          <w:color w:val="231F20"/>
          <w:w w:val="105"/>
        </w:rPr>
        <w:t>youths’</w:t>
      </w:r>
      <w:r>
        <w:rPr>
          <w:color w:val="231F20"/>
          <w:spacing w:val="-29"/>
          <w:w w:val="105"/>
        </w:rPr>
        <w:t> </w:t>
      </w:r>
      <w:r>
        <w:rPr>
          <w:color w:val="231F20"/>
          <w:w w:val="105"/>
        </w:rPr>
        <w:t>on- line</w:t>
      </w:r>
      <w:r>
        <w:rPr>
          <w:color w:val="231F20"/>
          <w:spacing w:val="-26"/>
          <w:w w:val="105"/>
        </w:rPr>
        <w:t> </w:t>
      </w:r>
      <w:r>
        <w:rPr>
          <w:color w:val="231F20"/>
          <w:w w:val="105"/>
        </w:rPr>
        <w:t>networks</w:t>
      </w:r>
      <w:r>
        <w:rPr>
          <w:color w:val="231F20"/>
          <w:spacing w:val="-26"/>
          <w:w w:val="105"/>
        </w:rPr>
        <w:t> </w:t>
      </w:r>
      <w:r>
        <w:rPr>
          <w:color w:val="231F20"/>
          <w:w w:val="105"/>
        </w:rPr>
        <w:t>across</w:t>
      </w:r>
      <w:r>
        <w:rPr>
          <w:color w:val="231F20"/>
          <w:spacing w:val="-26"/>
          <w:w w:val="105"/>
        </w:rPr>
        <w:t> </w:t>
      </w:r>
      <w:r>
        <w:rPr>
          <w:color w:val="231F20"/>
          <w:spacing w:val="-3"/>
          <w:w w:val="105"/>
        </w:rPr>
        <w:t>countries”,</w:t>
      </w:r>
      <w:r>
        <w:rPr>
          <w:color w:val="231F20"/>
          <w:spacing w:val="-30"/>
          <w:w w:val="105"/>
        </w:rPr>
        <w:t> </w:t>
      </w:r>
      <w:r>
        <w:rPr>
          <w:rFonts w:ascii="Arial" w:hAnsi="Arial"/>
          <w:i/>
          <w:color w:val="231F20"/>
          <w:w w:val="105"/>
        </w:rPr>
        <w:t>Learning,</w:t>
      </w:r>
      <w:r>
        <w:rPr>
          <w:rFonts w:ascii="Arial" w:hAnsi="Arial"/>
          <w:i/>
          <w:color w:val="231F20"/>
          <w:spacing w:val="-33"/>
          <w:w w:val="105"/>
        </w:rPr>
        <w:t> </w:t>
      </w:r>
      <w:r>
        <w:rPr>
          <w:rFonts w:ascii="Arial" w:hAnsi="Arial"/>
          <w:i/>
          <w:color w:val="231F20"/>
          <w:w w:val="105"/>
        </w:rPr>
        <w:t>Media</w:t>
      </w:r>
      <w:r>
        <w:rPr>
          <w:rFonts w:ascii="Arial" w:hAnsi="Arial"/>
          <w:i/>
          <w:color w:val="231F20"/>
          <w:spacing w:val="-29"/>
          <w:w w:val="105"/>
        </w:rPr>
        <w:t> </w:t>
      </w:r>
      <w:r>
        <w:rPr>
          <w:rFonts w:ascii="Arial" w:hAnsi="Arial"/>
          <w:i/>
          <w:color w:val="231F20"/>
          <w:w w:val="105"/>
        </w:rPr>
        <w:t>and</w:t>
      </w:r>
      <w:r>
        <w:rPr>
          <w:rFonts w:ascii="Arial" w:hAnsi="Arial"/>
          <w:i/>
          <w:color w:val="231F20"/>
          <w:spacing w:val="-32"/>
          <w:w w:val="105"/>
        </w:rPr>
        <w:t> </w:t>
      </w:r>
      <w:r>
        <w:rPr>
          <w:rFonts w:ascii="Arial" w:hAnsi="Arial"/>
          <w:i/>
          <w:color w:val="231F20"/>
          <w:w w:val="105"/>
        </w:rPr>
        <w:t>Technology</w:t>
      </w:r>
      <w:r>
        <w:rPr>
          <w:color w:val="231F20"/>
          <w:w w:val="105"/>
        </w:rPr>
        <w:t>, vol. 39, num. 4, retrieved from </w:t>
      </w:r>
      <w:r>
        <w:rPr>
          <w:color w:val="231F20"/>
          <w:spacing w:val="12"/>
          <w:w w:val="105"/>
        </w:rPr>
        <w:t> </w:t>
      </w:r>
      <w:hyperlink r:id="rId372">
        <w:r>
          <w:rPr>
            <w:color w:val="231F20"/>
            <w:w w:val="105"/>
          </w:rPr>
          <w:t>http://doi.org/10.1080/17439884</w:t>
        </w:r>
      </w:hyperlink>
    </w:p>
    <w:p>
      <w:pPr>
        <w:pStyle w:val="BodyText"/>
        <w:spacing w:before="1"/>
        <w:ind w:left="2574"/>
      </w:pPr>
      <w:r>
        <w:rPr>
          <w:color w:val="231F20"/>
          <w:w w:val="105"/>
        </w:rPr>
        <w:t>.2014.942665</w:t>
      </w:r>
    </w:p>
    <w:p>
      <w:pPr>
        <w:spacing w:line="261" w:lineRule="auto" w:before="19"/>
        <w:ind w:left="2574" w:right="1726" w:hanging="738"/>
        <w:jc w:val="both"/>
        <w:rPr>
          <w:sz w:val="21"/>
        </w:rPr>
      </w:pPr>
      <w:r>
        <w:rPr>
          <w:color w:val="231F20"/>
          <w:sz w:val="21"/>
        </w:rPr>
        <w:t>Levitt, Peggy, (2001), </w:t>
      </w:r>
      <w:r>
        <w:rPr>
          <w:rFonts w:ascii="Arial"/>
          <w:i/>
          <w:color w:val="231F20"/>
          <w:sz w:val="21"/>
        </w:rPr>
        <w:t>The Transnational Villagers</w:t>
      </w:r>
      <w:r>
        <w:rPr>
          <w:color w:val="231F20"/>
          <w:sz w:val="21"/>
        </w:rPr>
        <w:t>, California: University of California Press.</w:t>
      </w:r>
    </w:p>
    <w:p>
      <w:pPr>
        <w:spacing w:line="259" w:lineRule="auto" w:before="0"/>
        <w:ind w:left="2574" w:right="1721" w:hanging="738"/>
        <w:jc w:val="both"/>
        <w:rPr>
          <w:sz w:val="21"/>
        </w:rPr>
      </w:pPr>
      <w:r>
        <w:rPr>
          <w:color w:val="231F20"/>
          <w:sz w:val="21"/>
        </w:rPr>
        <w:t>Levitt, Peggy and Marcy, Waters (eds.), (2006), </w:t>
      </w:r>
      <w:r>
        <w:rPr>
          <w:rFonts w:ascii="Arial"/>
          <w:i/>
          <w:color w:val="231F20"/>
          <w:sz w:val="21"/>
        </w:rPr>
        <w:t>The Changing Face of </w:t>
      </w:r>
      <w:r>
        <w:rPr>
          <w:rFonts w:ascii="Arial"/>
          <w:i/>
          <w:color w:val="231F20"/>
          <w:sz w:val="21"/>
        </w:rPr>
        <w:t>Home: The Transnational Lives of the Second Generation</w:t>
      </w:r>
      <w:r>
        <w:rPr>
          <w:color w:val="231F20"/>
          <w:sz w:val="21"/>
        </w:rPr>
        <w:t>, New York: Russell Sage Foundation.</w:t>
      </w:r>
    </w:p>
    <w:p>
      <w:pPr>
        <w:spacing w:line="259" w:lineRule="auto" w:before="0"/>
        <w:ind w:left="2574" w:right="1721" w:hanging="738"/>
        <w:jc w:val="both"/>
        <w:rPr>
          <w:sz w:val="21"/>
        </w:rPr>
      </w:pPr>
      <w:r>
        <w:rPr>
          <w:color w:val="231F20"/>
          <w:w w:val="105"/>
          <w:sz w:val="21"/>
        </w:rPr>
        <w:t>Louie, Vivian, (2004), </w:t>
      </w:r>
      <w:r>
        <w:rPr>
          <w:rFonts w:ascii="Arial"/>
          <w:i/>
          <w:color w:val="231F20"/>
          <w:w w:val="105"/>
          <w:sz w:val="21"/>
        </w:rPr>
        <w:t>Compelled to Excel: Immigration, Education, and </w:t>
      </w:r>
      <w:r>
        <w:rPr>
          <w:rFonts w:ascii="Arial"/>
          <w:i/>
          <w:color w:val="231F20"/>
          <w:w w:val="105"/>
          <w:sz w:val="21"/>
        </w:rPr>
        <w:t>Opportunity among Chinese Americans</w:t>
      </w:r>
      <w:r>
        <w:rPr>
          <w:color w:val="231F20"/>
          <w:w w:val="105"/>
          <w:sz w:val="21"/>
        </w:rPr>
        <w:t>, Indiana: Stanford Uni- </w:t>
      </w:r>
      <w:r>
        <w:rPr>
          <w:color w:val="231F20"/>
          <w:sz w:val="21"/>
        </w:rPr>
        <w:t>versity Press.</w:t>
      </w:r>
    </w:p>
    <w:p>
      <w:pPr>
        <w:spacing w:line="259" w:lineRule="auto" w:before="0"/>
        <w:ind w:left="2574" w:right="1721" w:hanging="738"/>
        <w:jc w:val="both"/>
        <w:rPr>
          <w:sz w:val="21"/>
        </w:rPr>
      </w:pPr>
      <w:r>
        <w:rPr>
          <w:color w:val="231F20"/>
          <w:sz w:val="21"/>
        </w:rPr>
        <w:t>Madianou, Mirca and Miller, Daniel, (2012), </w:t>
      </w:r>
      <w:r>
        <w:rPr>
          <w:rFonts w:ascii="Arial"/>
          <w:i/>
          <w:color w:val="231F20"/>
          <w:sz w:val="21"/>
        </w:rPr>
        <w:t>Migration and New Media: </w:t>
      </w:r>
      <w:r>
        <w:rPr>
          <w:rFonts w:ascii="Arial"/>
          <w:i/>
          <w:color w:val="231F20"/>
          <w:sz w:val="21"/>
        </w:rPr>
        <w:t>Transnational Families and Polymedia</w:t>
      </w:r>
      <w:r>
        <w:rPr>
          <w:color w:val="231F20"/>
          <w:sz w:val="21"/>
        </w:rPr>
        <w:t>, London: Routledge, .</w:t>
      </w:r>
    </w:p>
    <w:p>
      <w:pPr>
        <w:spacing w:line="261" w:lineRule="auto" w:before="3"/>
        <w:ind w:left="2574" w:right="1710" w:hanging="738"/>
        <w:jc w:val="both"/>
        <w:rPr>
          <w:sz w:val="21"/>
        </w:rPr>
      </w:pPr>
      <w:r>
        <w:rPr>
          <w:color w:val="231F20"/>
          <w:spacing w:val="-4"/>
          <w:w w:val="105"/>
          <w:sz w:val="21"/>
        </w:rPr>
        <w:t>Milroy,</w:t>
      </w:r>
      <w:r>
        <w:rPr>
          <w:color w:val="231F20"/>
          <w:spacing w:val="-37"/>
          <w:w w:val="105"/>
          <w:sz w:val="21"/>
        </w:rPr>
        <w:t> </w:t>
      </w:r>
      <w:r>
        <w:rPr>
          <w:color w:val="231F20"/>
          <w:spacing w:val="-3"/>
          <w:w w:val="105"/>
          <w:sz w:val="21"/>
        </w:rPr>
        <w:t>Lesley</w:t>
      </w:r>
      <w:r>
        <w:rPr>
          <w:color w:val="231F20"/>
          <w:spacing w:val="-33"/>
          <w:w w:val="105"/>
          <w:sz w:val="21"/>
        </w:rPr>
        <w:t> </w:t>
      </w:r>
      <w:r>
        <w:rPr>
          <w:color w:val="231F20"/>
          <w:w w:val="105"/>
          <w:sz w:val="21"/>
        </w:rPr>
        <w:t>and</w:t>
      </w:r>
      <w:r>
        <w:rPr>
          <w:color w:val="231F20"/>
          <w:spacing w:val="-33"/>
          <w:w w:val="105"/>
          <w:sz w:val="21"/>
        </w:rPr>
        <w:t> </w:t>
      </w:r>
      <w:r>
        <w:rPr>
          <w:color w:val="231F20"/>
          <w:spacing w:val="-3"/>
          <w:w w:val="105"/>
          <w:sz w:val="21"/>
        </w:rPr>
        <w:t>Llamas,</w:t>
      </w:r>
      <w:r>
        <w:rPr>
          <w:color w:val="231F20"/>
          <w:spacing w:val="-37"/>
          <w:w w:val="105"/>
          <w:sz w:val="21"/>
        </w:rPr>
        <w:t> </w:t>
      </w:r>
      <w:r>
        <w:rPr>
          <w:color w:val="231F20"/>
          <w:spacing w:val="-3"/>
          <w:w w:val="105"/>
          <w:sz w:val="21"/>
        </w:rPr>
        <w:t>Carmen,</w:t>
      </w:r>
      <w:r>
        <w:rPr>
          <w:color w:val="231F20"/>
          <w:spacing w:val="-37"/>
          <w:w w:val="105"/>
          <w:sz w:val="21"/>
        </w:rPr>
        <w:t> </w:t>
      </w:r>
      <w:r>
        <w:rPr>
          <w:color w:val="231F20"/>
          <w:spacing w:val="-3"/>
          <w:w w:val="105"/>
          <w:sz w:val="21"/>
        </w:rPr>
        <w:t>(2002),</w:t>
      </w:r>
      <w:r>
        <w:rPr>
          <w:color w:val="231F20"/>
          <w:spacing w:val="-37"/>
          <w:w w:val="105"/>
          <w:sz w:val="21"/>
        </w:rPr>
        <w:t> </w:t>
      </w:r>
      <w:r>
        <w:rPr>
          <w:color w:val="231F20"/>
          <w:spacing w:val="-3"/>
          <w:w w:val="105"/>
          <w:sz w:val="21"/>
        </w:rPr>
        <w:t>“Social</w:t>
      </w:r>
      <w:r>
        <w:rPr>
          <w:color w:val="231F20"/>
          <w:spacing w:val="-33"/>
          <w:w w:val="105"/>
          <w:sz w:val="21"/>
        </w:rPr>
        <w:t> </w:t>
      </w:r>
      <w:r>
        <w:rPr>
          <w:color w:val="231F20"/>
          <w:spacing w:val="-6"/>
          <w:w w:val="105"/>
          <w:sz w:val="21"/>
        </w:rPr>
        <w:t>Networks”,</w:t>
      </w:r>
      <w:r>
        <w:rPr>
          <w:color w:val="231F20"/>
          <w:spacing w:val="-37"/>
          <w:w w:val="105"/>
          <w:sz w:val="21"/>
        </w:rPr>
        <w:t> </w:t>
      </w:r>
      <w:r>
        <w:rPr>
          <w:color w:val="231F20"/>
          <w:w w:val="105"/>
          <w:sz w:val="21"/>
        </w:rPr>
        <w:t>in</w:t>
      </w:r>
      <w:r>
        <w:rPr>
          <w:color w:val="231F20"/>
          <w:spacing w:val="-33"/>
          <w:w w:val="105"/>
          <w:sz w:val="21"/>
        </w:rPr>
        <w:t> </w:t>
      </w:r>
      <w:r>
        <w:rPr>
          <w:color w:val="231F20"/>
          <w:spacing w:val="-3"/>
          <w:w w:val="105"/>
          <w:sz w:val="21"/>
        </w:rPr>
        <w:t>Chambers </w:t>
      </w:r>
      <w:r>
        <w:rPr>
          <w:color w:val="231F20"/>
          <w:spacing w:val="-6"/>
          <w:w w:val="105"/>
          <w:sz w:val="21"/>
        </w:rPr>
        <w:t>Peter</w:t>
      </w:r>
      <w:r>
        <w:rPr>
          <w:color w:val="231F20"/>
          <w:spacing w:val="-14"/>
          <w:w w:val="105"/>
          <w:sz w:val="21"/>
        </w:rPr>
        <w:t> </w:t>
      </w:r>
      <w:r>
        <w:rPr>
          <w:color w:val="231F20"/>
          <w:spacing w:val="-5"/>
          <w:w w:val="105"/>
          <w:sz w:val="21"/>
        </w:rPr>
        <w:t>Trudgill</w:t>
      </w:r>
      <w:r>
        <w:rPr>
          <w:color w:val="231F20"/>
          <w:spacing w:val="-10"/>
          <w:w w:val="105"/>
          <w:sz w:val="21"/>
        </w:rPr>
        <w:t> </w:t>
      </w:r>
      <w:r>
        <w:rPr>
          <w:color w:val="231F20"/>
          <w:w w:val="105"/>
          <w:sz w:val="21"/>
        </w:rPr>
        <w:t>and</w:t>
      </w:r>
      <w:r>
        <w:rPr>
          <w:color w:val="231F20"/>
          <w:spacing w:val="-10"/>
          <w:w w:val="105"/>
          <w:sz w:val="21"/>
        </w:rPr>
        <w:t> </w:t>
      </w:r>
      <w:r>
        <w:rPr>
          <w:color w:val="231F20"/>
          <w:spacing w:val="-3"/>
          <w:w w:val="105"/>
          <w:sz w:val="21"/>
        </w:rPr>
        <w:t>Natalie</w:t>
      </w:r>
      <w:r>
        <w:rPr>
          <w:color w:val="231F20"/>
          <w:spacing w:val="-10"/>
          <w:w w:val="105"/>
          <w:sz w:val="21"/>
        </w:rPr>
        <w:t> </w:t>
      </w:r>
      <w:r>
        <w:rPr>
          <w:color w:val="231F20"/>
          <w:spacing w:val="-3"/>
          <w:w w:val="105"/>
          <w:sz w:val="21"/>
        </w:rPr>
        <w:t>Schilling-Estes</w:t>
      </w:r>
      <w:r>
        <w:rPr>
          <w:color w:val="231F20"/>
          <w:spacing w:val="-10"/>
          <w:w w:val="105"/>
          <w:sz w:val="21"/>
        </w:rPr>
        <w:t> </w:t>
      </w:r>
      <w:r>
        <w:rPr>
          <w:color w:val="231F20"/>
          <w:spacing w:val="-3"/>
          <w:w w:val="105"/>
          <w:sz w:val="21"/>
        </w:rPr>
        <w:t>(eds.),</w:t>
      </w:r>
      <w:r>
        <w:rPr>
          <w:color w:val="231F20"/>
          <w:spacing w:val="-14"/>
          <w:w w:val="105"/>
          <w:sz w:val="21"/>
        </w:rPr>
        <w:t> </w:t>
      </w:r>
      <w:r>
        <w:rPr>
          <w:rFonts w:ascii="Arial" w:hAnsi="Arial"/>
          <w:i/>
          <w:color w:val="231F20"/>
          <w:spacing w:val="-3"/>
          <w:w w:val="105"/>
          <w:sz w:val="21"/>
        </w:rPr>
        <w:t>The</w:t>
      </w:r>
      <w:r>
        <w:rPr>
          <w:rFonts w:ascii="Arial" w:hAnsi="Arial"/>
          <w:i/>
          <w:color w:val="231F20"/>
          <w:spacing w:val="-12"/>
          <w:w w:val="105"/>
          <w:sz w:val="21"/>
        </w:rPr>
        <w:t> </w:t>
      </w:r>
      <w:r>
        <w:rPr>
          <w:rFonts w:ascii="Arial" w:hAnsi="Arial"/>
          <w:i/>
          <w:color w:val="231F20"/>
          <w:spacing w:val="-3"/>
          <w:w w:val="105"/>
          <w:sz w:val="21"/>
        </w:rPr>
        <w:t>Handbook</w:t>
      </w:r>
      <w:r>
        <w:rPr>
          <w:rFonts w:ascii="Arial" w:hAnsi="Arial"/>
          <w:i/>
          <w:color w:val="231F20"/>
          <w:spacing w:val="-12"/>
          <w:w w:val="105"/>
          <w:sz w:val="21"/>
        </w:rPr>
        <w:t> </w:t>
      </w:r>
      <w:r>
        <w:rPr>
          <w:rFonts w:ascii="Arial" w:hAnsi="Arial"/>
          <w:i/>
          <w:color w:val="231F20"/>
          <w:spacing w:val="-3"/>
          <w:w w:val="105"/>
          <w:sz w:val="21"/>
        </w:rPr>
        <w:t>of </w:t>
      </w:r>
      <w:r>
        <w:rPr>
          <w:rFonts w:ascii="Arial" w:hAnsi="Arial"/>
          <w:i/>
          <w:color w:val="231F20"/>
          <w:spacing w:val="-3"/>
          <w:w w:val="105"/>
          <w:sz w:val="21"/>
        </w:rPr>
        <w:t>Language </w:t>
      </w:r>
      <w:r>
        <w:rPr>
          <w:rFonts w:ascii="Arial" w:hAnsi="Arial"/>
          <w:i/>
          <w:color w:val="231F20"/>
          <w:spacing w:val="-4"/>
          <w:w w:val="105"/>
          <w:sz w:val="21"/>
        </w:rPr>
        <w:t>Variation </w:t>
      </w:r>
      <w:r>
        <w:rPr>
          <w:rFonts w:ascii="Arial" w:hAnsi="Arial"/>
          <w:i/>
          <w:color w:val="231F20"/>
          <w:w w:val="105"/>
          <w:sz w:val="21"/>
        </w:rPr>
        <w:t>and </w:t>
      </w:r>
      <w:r>
        <w:rPr>
          <w:rFonts w:ascii="Arial" w:hAnsi="Arial"/>
          <w:i/>
          <w:color w:val="231F20"/>
          <w:spacing w:val="-3"/>
          <w:w w:val="105"/>
          <w:sz w:val="21"/>
        </w:rPr>
        <w:t>Change, Blackwell</w:t>
      </w:r>
      <w:r>
        <w:rPr>
          <w:color w:val="231F20"/>
          <w:spacing w:val="-3"/>
          <w:w w:val="105"/>
          <w:sz w:val="21"/>
        </w:rPr>
        <w:t>, retrieved from </w:t>
      </w:r>
      <w:r>
        <w:rPr>
          <w:color w:val="231F20"/>
          <w:spacing w:val="-4"/>
          <w:w w:val="105"/>
          <w:sz w:val="21"/>
        </w:rPr>
        <w:t>http:// </w:t>
      </w:r>
      <w:r>
        <w:rPr>
          <w:color w:val="231F20"/>
          <w:spacing w:val="7"/>
          <w:w w:val="105"/>
          <w:sz w:val="21"/>
        </w:rPr>
        <w:t>onlinelibrary.wiley.com/doi/10.1002/9780470756591.ch22/ </w:t>
      </w:r>
      <w:r>
        <w:rPr>
          <w:color w:val="231F20"/>
          <w:spacing w:val="-3"/>
          <w:w w:val="105"/>
          <w:sz w:val="21"/>
        </w:rPr>
        <w:t>summary</w:t>
      </w:r>
    </w:p>
    <w:p>
      <w:pPr>
        <w:pStyle w:val="BodyText"/>
        <w:spacing w:line="261" w:lineRule="auto"/>
        <w:ind w:left="2574" w:right="1721" w:hanging="738"/>
        <w:jc w:val="both"/>
      </w:pPr>
      <w:r>
        <w:rPr/>
        <w:pict>
          <v:line style="position:absolute;mso-position-horizontal-relative:page;mso-position-vertical-relative:paragraph;z-index:-446008" from="15pt,118.844376pt" to="0pt,118.844376pt" stroked="true" strokeweight=".25pt" strokecolor="#000000">
            <w10:wrap type="none"/>
          </v:line>
        </w:pict>
      </w:r>
      <w:r>
        <w:rPr/>
        <w:pict>
          <v:line style="position:absolute;mso-position-horizontal-relative:page;mso-position-vertical-relative:paragraph;z-index:44200" from="508.890015pt,118.844376pt" to="523.890015pt,118.844376pt" stroked="true" strokeweight=".25pt" strokecolor="#000000">
            <w10:wrap type="none"/>
          </v:line>
        </w:pict>
      </w:r>
      <w:r>
        <w:rPr>
          <w:color w:val="231F20"/>
          <w:w w:val="105"/>
        </w:rPr>
        <w:t>Pew Research Center, (2015), </w:t>
      </w:r>
      <w:r>
        <w:rPr>
          <w:rFonts w:ascii="Arial"/>
          <w:i/>
          <w:color w:val="231F20"/>
          <w:w w:val="105"/>
        </w:rPr>
        <w:t>Social Networking Fact Sheet</w:t>
      </w:r>
      <w:r>
        <w:rPr>
          <w:color w:val="231F20"/>
          <w:w w:val="105"/>
        </w:rPr>
        <w:t>, retrieved from </w:t>
      </w:r>
      <w:hyperlink r:id="rId373">
        <w:r>
          <w:rPr>
            <w:color w:val="231F20"/>
            <w:w w:val="105"/>
          </w:rPr>
          <w:t>http://www.pewinternet.org/fact-sheets/social-networking-</w:t>
        </w:r>
      </w:hyperlink>
      <w:r>
        <w:rPr>
          <w:color w:val="231F20"/>
          <w:w w:val="105"/>
        </w:rPr>
        <w:t> fact-sheet/</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2461" w:right="1835" w:hanging="738"/>
        <w:jc w:val="both"/>
      </w:pPr>
      <w:r>
        <w:rPr>
          <w:color w:val="231F20"/>
          <w:w w:val="105"/>
        </w:rPr>
        <w:t>Rumbaut, Ruben and Komaie, Golnaz, (2010), “Immigration and Adult Transitions”, </w:t>
      </w:r>
      <w:r>
        <w:rPr>
          <w:rFonts w:ascii="Arial" w:hAnsi="Arial"/>
          <w:i/>
          <w:color w:val="231F20"/>
          <w:w w:val="105"/>
        </w:rPr>
        <w:t>The Future of Children</w:t>
      </w:r>
      <w:r>
        <w:rPr>
          <w:color w:val="231F20"/>
          <w:w w:val="105"/>
        </w:rPr>
        <w:t>, retrieved from </w:t>
      </w:r>
      <w:hyperlink r:id="rId375">
        <w:r>
          <w:rPr>
            <w:color w:val="231F20"/>
            <w:w w:val="105"/>
          </w:rPr>
          <w:t>http://doi.</w:t>
        </w:r>
      </w:hyperlink>
      <w:r>
        <w:rPr>
          <w:color w:val="231F20"/>
          <w:w w:val="105"/>
        </w:rPr>
        <w:t> org/10.2307/27795059</w:t>
      </w:r>
    </w:p>
    <w:p>
      <w:pPr>
        <w:spacing w:line="259" w:lineRule="auto" w:before="0"/>
        <w:ind w:left="2461" w:right="1834" w:hanging="738"/>
        <w:jc w:val="both"/>
        <w:rPr>
          <w:sz w:val="21"/>
        </w:rPr>
      </w:pPr>
      <w:r>
        <w:rPr>
          <w:color w:val="231F20"/>
          <w:w w:val="105"/>
          <w:sz w:val="21"/>
        </w:rPr>
        <w:t>Schiller,</w:t>
      </w:r>
      <w:r>
        <w:rPr>
          <w:color w:val="231F20"/>
          <w:spacing w:val="-14"/>
          <w:w w:val="105"/>
          <w:sz w:val="21"/>
        </w:rPr>
        <w:t> </w:t>
      </w:r>
      <w:r>
        <w:rPr>
          <w:color w:val="231F20"/>
          <w:w w:val="105"/>
          <w:sz w:val="21"/>
        </w:rPr>
        <w:t>Nina</w:t>
      </w:r>
      <w:r>
        <w:rPr>
          <w:color w:val="231F20"/>
          <w:spacing w:val="-9"/>
          <w:w w:val="105"/>
          <w:sz w:val="21"/>
        </w:rPr>
        <w:t> </w:t>
      </w:r>
      <w:r>
        <w:rPr>
          <w:color w:val="231F20"/>
          <w:w w:val="105"/>
          <w:sz w:val="21"/>
        </w:rPr>
        <w:t>Glick,</w:t>
      </w:r>
      <w:r>
        <w:rPr>
          <w:color w:val="231F20"/>
          <w:spacing w:val="-14"/>
          <w:w w:val="105"/>
          <w:sz w:val="21"/>
        </w:rPr>
        <w:t> </w:t>
      </w:r>
      <w:r>
        <w:rPr>
          <w:color w:val="231F20"/>
          <w:w w:val="105"/>
          <w:sz w:val="21"/>
        </w:rPr>
        <w:t>Basch,</w:t>
      </w:r>
      <w:r>
        <w:rPr>
          <w:color w:val="231F20"/>
          <w:spacing w:val="-14"/>
          <w:w w:val="105"/>
          <w:sz w:val="21"/>
        </w:rPr>
        <w:t> </w:t>
      </w:r>
      <w:r>
        <w:rPr>
          <w:color w:val="231F20"/>
          <w:w w:val="105"/>
          <w:sz w:val="21"/>
        </w:rPr>
        <w:t>Linda</w:t>
      </w:r>
      <w:r>
        <w:rPr>
          <w:color w:val="231F20"/>
          <w:spacing w:val="-9"/>
          <w:w w:val="105"/>
          <w:sz w:val="21"/>
        </w:rPr>
        <w:t> </w:t>
      </w:r>
      <w:r>
        <w:rPr>
          <w:color w:val="231F20"/>
          <w:w w:val="105"/>
          <w:sz w:val="21"/>
        </w:rPr>
        <w:t>and</w:t>
      </w:r>
      <w:r>
        <w:rPr>
          <w:color w:val="231F20"/>
          <w:spacing w:val="-9"/>
          <w:w w:val="105"/>
          <w:sz w:val="21"/>
        </w:rPr>
        <w:t> </w:t>
      </w:r>
      <w:r>
        <w:rPr>
          <w:color w:val="231F20"/>
          <w:w w:val="105"/>
          <w:sz w:val="21"/>
        </w:rPr>
        <w:t>Blanc,</w:t>
      </w:r>
      <w:r>
        <w:rPr>
          <w:color w:val="231F20"/>
          <w:spacing w:val="-14"/>
          <w:w w:val="105"/>
          <w:sz w:val="21"/>
        </w:rPr>
        <w:t> </w:t>
      </w:r>
      <w:r>
        <w:rPr>
          <w:color w:val="231F20"/>
          <w:w w:val="105"/>
          <w:sz w:val="21"/>
        </w:rPr>
        <w:t>Cristina,</w:t>
      </w:r>
      <w:r>
        <w:rPr>
          <w:color w:val="231F20"/>
          <w:spacing w:val="-14"/>
          <w:w w:val="105"/>
          <w:sz w:val="21"/>
        </w:rPr>
        <w:t> </w:t>
      </w:r>
      <w:r>
        <w:rPr>
          <w:color w:val="231F20"/>
          <w:w w:val="105"/>
          <w:sz w:val="21"/>
        </w:rPr>
        <w:t>(1992),</w:t>
      </w:r>
      <w:r>
        <w:rPr>
          <w:color w:val="231F20"/>
          <w:spacing w:val="-14"/>
          <w:w w:val="105"/>
          <w:sz w:val="21"/>
        </w:rPr>
        <w:t> </w:t>
      </w:r>
      <w:r>
        <w:rPr>
          <w:rFonts w:ascii="Arial"/>
          <w:i/>
          <w:color w:val="231F20"/>
          <w:spacing w:val="-4"/>
          <w:w w:val="105"/>
          <w:sz w:val="21"/>
        </w:rPr>
        <w:t>Towards</w:t>
      </w:r>
      <w:r>
        <w:rPr>
          <w:rFonts w:ascii="Arial"/>
          <w:i/>
          <w:color w:val="231F20"/>
          <w:spacing w:val="-12"/>
          <w:w w:val="105"/>
          <w:sz w:val="21"/>
        </w:rPr>
        <w:t> </w:t>
      </w:r>
      <w:r>
        <w:rPr>
          <w:rFonts w:ascii="Arial"/>
          <w:i/>
          <w:color w:val="231F20"/>
          <w:w w:val="105"/>
          <w:sz w:val="21"/>
        </w:rPr>
        <w:t>a </w:t>
      </w:r>
      <w:r>
        <w:rPr>
          <w:rFonts w:ascii="Arial"/>
          <w:i/>
          <w:color w:val="231F20"/>
          <w:w w:val="105"/>
          <w:sz w:val="21"/>
        </w:rPr>
        <w:t>transnational</w:t>
      </w:r>
      <w:r>
        <w:rPr>
          <w:rFonts w:ascii="Arial"/>
          <w:i/>
          <w:color w:val="231F20"/>
          <w:spacing w:val="-20"/>
          <w:w w:val="105"/>
          <w:sz w:val="21"/>
        </w:rPr>
        <w:t> </w:t>
      </w:r>
      <w:r>
        <w:rPr>
          <w:rFonts w:ascii="Arial"/>
          <w:i/>
          <w:color w:val="231F20"/>
          <w:w w:val="105"/>
          <w:sz w:val="21"/>
        </w:rPr>
        <w:t>perspective</w:t>
      </w:r>
      <w:r>
        <w:rPr>
          <w:rFonts w:ascii="Arial"/>
          <w:i/>
          <w:color w:val="231F20"/>
          <w:spacing w:val="-20"/>
          <w:w w:val="105"/>
          <w:sz w:val="21"/>
        </w:rPr>
        <w:t> </w:t>
      </w:r>
      <w:r>
        <w:rPr>
          <w:rFonts w:ascii="Arial"/>
          <w:i/>
          <w:color w:val="231F20"/>
          <w:w w:val="105"/>
          <w:sz w:val="21"/>
        </w:rPr>
        <w:t>on</w:t>
      </w:r>
      <w:r>
        <w:rPr>
          <w:rFonts w:ascii="Arial"/>
          <w:i/>
          <w:color w:val="231F20"/>
          <w:spacing w:val="-20"/>
          <w:w w:val="105"/>
          <w:sz w:val="21"/>
        </w:rPr>
        <w:t> </w:t>
      </w:r>
      <w:r>
        <w:rPr>
          <w:rFonts w:ascii="Arial"/>
          <w:i/>
          <w:color w:val="231F20"/>
          <w:w w:val="105"/>
          <w:sz w:val="21"/>
        </w:rPr>
        <w:t>migration:</w:t>
      </w:r>
      <w:r>
        <w:rPr>
          <w:rFonts w:ascii="Arial"/>
          <w:i/>
          <w:color w:val="231F20"/>
          <w:spacing w:val="-20"/>
          <w:w w:val="105"/>
          <w:sz w:val="21"/>
        </w:rPr>
        <w:t> </w:t>
      </w:r>
      <w:r>
        <w:rPr>
          <w:rFonts w:ascii="Arial"/>
          <w:i/>
          <w:color w:val="231F20"/>
          <w:w w:val="105"/>
          <w:sz w:val="21"/>
        </w:rPr>
        <w:t>race,</w:t>
      </w:r>
      <w:r>
        <w:rPr>
          <w:rFonts w:ascii="Arial"/>
          <w:i/>
          <w:color w:val="231F20"/>
          <w:spacing w:val="-24"/>
          <w:w w:val="105"/>
          <w:sz w:val="21"/>
        </w:rPr>
        <w:t> </w:t>
      </w:r>
      <w:r>
        <w:rPr>
          <w:rFonts w:ascii="Arial"/>
          <w:i/>
          <w:color w:val="231F20"/>
          <w:w w:val="105"/>
          <w:sz w:val="21"/>
        </w:rPr>
        <w:t>class,</w:t>
      </w:r>
      <w:r>
        <w:rPr>
          <w:rFonts w:ascii="Arial"/>
          <w:i/>
          <w:color w:val="231F20"/>
          <w:spacing w:val="-24"/>
          <w:w w:val="105"/>
          <w:sz w:val="21"/>
        </w:rPr>
        <w:t> </w:t>
      </w:r>
      <w:r>
        <w:rPr>
          <w:rFonts w:ascii="Arial"/>
          <w:i/>
          <w:color w:val="231F20"/>
          <w:w w:val="105"/>
          <w:sz w:val="21"/>
        </w:rPr>
        <w:t>ethnicity,</w:t>
      </w:r>
      <w:r>
        <w:rPr>
          <w:rFonts w:ascii="Arial"/>
          <w:i/>
          <w:color w:val="231F20"/>
          <w:spacing w:val="-24"/>
          <w:w w:val="105"/>
          <w:sz w:val="21"/>
        </w:rPr>
        <w:t> </w:t>
      </w:r>
      <w:r>
        <w:rPr>
          <w:rFonts w:ascii="Arial"/>
          <w:i/>
          <w:color w:val="231F20"/>
          <w:w w:val="105"/>
          <w:sz w:val="21"/>
        </w:rPr>
        <w:t>and nationalism</w:t>
      </w:r>
      <w:r>
        <w:rPr>
          <w:rFonts w:ascii="Arial"/>
          <w:i/>
          <w:color w:val="231F20"/>
          <w:spacing w:val="-36"/>
          <w:w w:val="105"/>
          <w:sz w:val="21"/>
        </w:rPr>
        <w:t> </w:t>
      </w:r>
      <w:r>
        <w:rPr>
          <w:rFonts w:ascii="Arial"/>
          <w:i/>
          <w:color w:val="231F20"/>
          <w:w w:val="105"/>
          <w:sz w:val="21"/>
        </w:rPr>
        <w:t>reconsidered</w:t>
      </w:r>
      <w:r>
        <w:rPr>
          <w:color w:val="231F20"/>
          <w:w w:val="105"/>
          <w:sz w:val="21"/>
        </w:rPr>
        <w:t>,</w:t>
      </w:r>
      <w:r>
        <w:rPr>
          <w:color w:val="231F20"/>
          <w:spacing w:val="-37"/>
          <w:w w:val="105"/>
          <w:sz w:val="21"/>
        </w:rPr>
        <w:t> </w:t>
      </w:r>
      <w:r>
        <w:rPr>
          <w:color w:val="231F20"/>
          <w:w w:val="105"/>
          <w:sz w:val="21"/>
        </w:rPr>
        <w:t>New</w:t>
      </w:r>
      <w:r>
        <w:rPr>
          <w:color w:val="231F20"/>
          <w:spacing w:val="-38"/>
          <w:w w:val="105"/>
          <w:sz w:val="21"/>
        </w:rPr>
        <w:t> </w:t>
      </w:r>
      <w:r>
        <w:rPr>
          <w:color w:val="231F20"/>
          <w:spacing w:val="-6"/>
          <w:w w:val="105"/>
          <w:sz w:val="21"/>
        </w:rPr>
        <w:t>York:</w:t>
      </w:r>
      <w:r>
        <w:rPr>
          <w:color w:val="231F20"/>
          <w:spacing w:val="-38"/>
          <w:w w:val="105"/>
          <w:sz w:val="21"/>
        </w:rPr>
        <w:t> </w:t>
      </w:r>
      <w:r>
        <w:rPr>
          <w:color w:val="231F20"/>
          <w:w w:val="105"/>
          <w:sz w:val="21"/>
        </w:rPr>
        <w:t>Academy</w:t>
      </w:r>
      <w:r>
        <w:rPr>
          <w:color w:val="231F20"/>
          <w:spacing w:val="-34"/>
          <w:w w:val="105"/>
          <w:sz w:val="21"/>
        </w:rPr>
        <w:t> </w:t>
      </w:r>
      <w:r>
        <w:rPr>
          <w:color w:val="231F20"/>
          <w:w w:val="105"/>
          <w:sz w:val="21"/>
        </w:rPr>
        <w:t>of</w:t>
      </w:r>
      <w:r>
        <w:rPr>
          <w:color w:val="231F20"/>
          <w:spacing w:val="-31"/>
          <w:w w:val="105"/>
          <w:sz w:val="21"/>
        </w:rPr>
        <w:t> </w:t>
      </w:r>
      <w:r>
        <w:rPr>
          <w:color w:val="231F20"/>
          <w:w w:val="105"/>
          <w:sz w:val="21"/>
        </w:rPr>
        <w:t>Sciences.</w:t>
      </w:r>
    </w:p>
    <w:p>
      <w:pPr>
        <w:spacing w:line="259" w:lineRule="auto" w:before="0"/>
        <w:ind w:left="2461" w:right="1835" w:hanging="738"/>
        <w:jc w:val="both"/>
        <w:rPr>
          <w:sz w:val="21"/>
        </w:rPr>
      </w:pPr>
      <w:r>
        <w:rPr>
          <w:color w:val="231F20"/>
          <w:sz w:val="21"/>
        </w:rPr>
        <w:t>Smith, Robert, (2006), </w:t>
      </w:r>
      <w:r>
        <w:rPr>
          <w:rFonts w:ascii="Arial"/>
          <w:i/>
          <w:color w:val="231F20"/>
          <w:sz w:val="21"/>
        </w:rPr>
        <w:t>Mexican New </w:t>
      </w:r>
      <w:r>
        <w:rPr>
          <w:rFonts w:ascii="Arial"/>
          <w:i/>
          <w:color w:val="231F20"/>
          <w:spacing w:val="-4"/>
          <w:sz w:val="21"/>
        </w:rPr>
        <w:t>York: </w:t>
      </w:r>
      <w:r>
        <w:rPr>
          <w:rFonts w:ascii="Arial"/>
          <w:i/>
          <w:color w:val="231F20"/>
          <w:sz w:val="21"/>
        </w:rPr>
        <w:t>Transnational Lives Of New Im- </w:t>
      </w:r>
      <w:r>
        <w:rPr>
          <w:rFonts w:ascii="Arial"/>
          <w:i/>
          <w:color w:val="231F20"/>
          <w:sz w:val="21"/>
        </w:rPr>
        <w:t>migrants</w:t>
      </w:r>
      <w:r>
        <w:rPr>
          <w:color w:val="231F20"/>
          <w:sz w:val="21"/>
        </w:rPr>
        <w:t>, Berkeley: University of California </w:t>
      </w:r>
      <w:r>
        <w:rPr>
          <w:color w:val="231F20"/>
          <w:spacing w:val="-3"/>
          <w:sz w:val="21"/>
        </w:rPr>
        <w:t>Press.</w:t>
      </w:r>
    </w:p>
    <w:p>
      <w:pPr>
        <w:spacing w:line="259" w:lineRule="auto" w:before="0"/>
        <w:ind w:left="2461" w:right="1828" w:hanging="738"/>
        <w:jc w:val="both"/>
        <w:rPr>
          <w:sz w:val="21"/>
        </w:rPr>
      </w:pPr>
      <w:r>
        <w:rPr>
          <w:color w:val="231F20"/>
          <w:w w:val="105"/>
          <w:sz w:val="21"/>
        </w:rPr>
        <w:t>Valdés,</w:t>
      </w:r>
      <w:r>
        <w:rPr>
          <w:color w:val="231F20"/>
          <w:spacing w:val="-27"/>
          <w:w w:val="105"/>
          <w:sz w:val="21"/>
        </w:rPr>
        <w:t> </w:t>
      </w:r>
      <w:r>
        <w:rPr>
          <w:color w:val="231F20"/>
          <w:w w:val="105"/>
          <w:sz w:val="21"/>
        </w:rPr>
        <w:t>Guadalupe,</w:t>
      </w:r>
      <w:r>
        <w:rPr>
          <w:color w:val="231F20"/>
          <w:spacing w:val="-27"/>
          <w:w w:val="105"/>
          <w:sz w:val="21"/>
        </w:rPr>
        <w:t> </w:t>
      </w:r>
      <w:r>
        <w:rPr>
          <w:color w:val="231F20"/>
          <w:w w:val="105"/>
          <w:sz w:val="21"/>
        </w:rPr>
        <w:t>(1996),</w:t>
      </w:r>
      <w:r>
        <w:rPr>
          <w:color w:val="231F20"/>
          <w:spacing w:val="-27"/>
          <w:w w:val="105"/>
          <w:sz w:val="21"/>
        </w:rPr>
        <w:t> </w:t>
      </w:r>
      <w:r>
        <w:rPr>
          <w:rFonts w:ascii="Arial" w:hAnsi="Arial"/>
          <w:i/>
          <w:color w:val="231F20"/>
          <w:w w:val="105"/>
          <w:sz w:val="21"/>
        </w:rPr>
        <w:t>Con</w:t>
      </w:r>
      <w:r>
        <w:rPr>
          <w:rFonts w:ascii="Arial" w:hAnsi="Arial"/>
          <w:i/>
          <w:color w:val="231F20"/>
          <w:spacing w:val="-25"/>
          <w:w w:val="105"/>
          <w:sz w:val="21"/>
        </w:rPr>
        <w:t> </w:t>
      </w:r>
      <w:r>
        <w:rPr>
          <w:rFonts w:ascii="Arial" w:hAnsi="Arial"/>
          <w:i/>
          <w:color w:val="231F20"/>
          <w:w w:val="105"/>
          <w:sz w:val="21"/>
        </w:rPr>
        <w:t>respeto:</w:t>
      </w:r>
      <w:r>
        <w:rPr>
          <w:rFonts w:ascii="Arial" w:hAnsi="Arial"/>
          <w:i/>
          <w:color w:val="231F20"/>
          <w:spacing w:val="-25"/>
          <w:w w:val="105"/>
          <w:sz w:val="21"/>
        </w:rPr>
        <w:t> </w:t>
      </w:r>
      <w:r>
        <w:rPr>
          <w:rFonts w:ascii="Arial" w:hAnsi="Arial"/>
          <w:i/>
          <w:color w:val="231F20"/>
          <w:w w:val="105"/>
          <w:sz w:val="21"/>
        </w:rPr>
        <w:t>bridging</w:t>
      </w:r>
      <w:r>
        <w:rPr>
          <w:rFonts w:ascii="Arial" w:hAnsi="Arial"/>
          <w:i/>
          <w:color w:val="231F20"/>
          <w:spacing w:val="-25"/>
          <w:w w:val="105"/>
          <w:sz w:val="21"/>
        </w:rPr>
        <w:t> </w:t>
      </w:r>
      <w:r>
        <w:rPr>
          <w:rFonts w:ascii="Arial" w:hAnsi="Arial"/>
          <w:i/>
          <w:color w:val="231F20"/>
          <w:w w:val="105"/>
          <w:sz w:val="21"/>
        </w:rPr>
        <w:t>the</w:t>
      </w:r>
      <w:r>
        <w:rPr>
          <w:rFonts w:ascii="Arial" w:hAnsi="Arial"/>
          <w:i/>
          <w:color w:val="231F20"/>
          <w:spacing w:val="-25"/>
          <w:w w:val="105"/>
          <w:sz w:val="21"/>
        </w:rPr>
        <w:t> </w:t>
      </w:r>
      <w:r>
        <w:rPr>
          <w:rFonts w:ascii="Arial" w:hAnsi="Arial"/>
          <w:i/>
          <w:color w:val="231F20"/>
          <w:w w:val="105"/>
          <w:sz w:val="21"/>
        </w:rPr>
        <w:t>distances</w:t>
      </w:r>
      <w:r>
        <w:rPr>
          <w:rFonts w:ascii="Arial" w:hAnsi="Arial"/>
          <w:i/>
          <w:color w:val="231F20"/>
          <w:spacing w:val="-25"/>
          <w:w w:val="105"/>
          <w:sz w:val="21"/>
        </w:rPr>
        <w:t> </w:t>
      </w:r>
      <w:r>
        <w:rPr>
          <w:rFonts w:ascii="Arial" w:hAnsi="Arial"/>
          <w:i/>
          <w:color w:val="231F20"/>
          <w:w w:val="105"/>
          <w:sz w:val="21"/>
        </w:rPr>
        <w:t>between </w:t>
      </w:r>
      <w:r>
        <w:rPr>
          <w:rFonts w:ascii="Arial" w:hAnsi="Arial"/>
          <w:i/>
          <w:color w:val="231F20"/>
          <w:w w:val="105"/>
          <w:sz w:val="21"/>
        </w:rPr>
        <w:t>culturally diverse families and schools:</w:t>
      </w:r>
      <w:r>
        <w:rPr>
          <w:rFonts w:ascii="Arial" w:hAnsi="Arial"/>
          <w:i/>
          <w:color w:val="231F20"/>
          <w:spacing w:val="-43"/>
          <w:w w:val="105"/>
          <w:sz w:val="21"/>
        </w:rPr>
        <w:t> </w:t>
      </w:r>
      <w:r>
        <w:rPr>
          <w:rFonts w:ascii="Arial" w:hAnsi="Arial"/>
          <w:i/>
          <w:color w:val="231F20"/>
          <w:w w:val="105"/>
          <w:sz w:val="21"/>
        </w:rPr>
        <w:t>An ethnographic portrait</w:t>
      </w:r>
      <w:r>
        <w:rPr>
          <w:color w:val="231F20"/>
          <w:w w:val="105"/>
          <w:sz w:val="21"/>
        </w:rPr>
        <w:t>, New</w:t>
      </w:r>
      <w:r>
        <w:rPr>
          <w:color w:val="231F20"/>
          <w:spacing w:val="-35"/>
          <w:w w:val="105"/>
          <w:sz w:val="21"/>
        </w:rPr>
        <w:t> </w:t>
      </w:r>
      <w:r>
        <w:rPr>
          <w:color w:val="231F20"/>
          <w:w w:val="105"/>
          <w:sz w:val="21"/>
        </w:rPr>
        <w:t>York/London:</w:t>
      </w:r>
      <w:r>
        <w:rPr>
          <w:color w:val="231F20"/>
          <w:spacing w:val="-35"/>
          <w:w w:val="105"/>
          <w:sz w:val="21"/>
        </w:rPr>
        <w:t> </w:t>
      </w:r>
      <w:r>
        <w:rPr>
          <w:color w:val="231F20"/>
          <w:spacing w:val="-3"/>
          <w:w w:val="105"/>
          <w:sz w:val="21"/>
        </w:rPr>
        <w:t>Teachers</w:t>
      </w:r>
      <w:r>
        <w:rPr>
          <w:color w:val="231F20"/>
          <w:spacing w:val="-32"/>
          <w:w w:val="105"/>
          <w:sz w:val="21"/>
        </w:rPr>
        <w:t> </w:t>
      </w:r>
      <w:r>
        <w:rPr>
          <w:color w:val="231F20"/>
          <w:w w:val="105"/>
          <w:sz w:val="21"/>
        </w:rPr>
        <w:t>College.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tabs>
          <w:tab w:pos="2937" w:val="left" w:leader="none"/>
        </w:tabs>
        <w:spacing w:before="70"/>
        <w:ind w:left="1832" w:right="0" w:firstLine="0"/>
        <w:jc w:val="left"/>
        <w:rPr>
          <w:rFonts w:ascii="Calibri"/>
          <w:sz w:val="15"/>
        </w:rPr>
      </w:pPr>
      <w:r>
        <w:rPr/>
        <w:pict>
          <v:line style="position:absolute;mso-position-horizontal-relative:page;mso-position-vertical-relative:paragraph;z-index:-445960" from="131.551193pt,3.703715pt" to="131.551193pt,39.506114pt" stroked="true" strokeweight=".35pt" strokecolor="#231f20">
            <w10:wrap type="none"/>
          </v:line>
        </w:pict>
      </w:r>
      <w:r>
        <w:rPr/>
        <w:pict>
          <v:line style="position:absolute;mso-position-horizontal-relative:page;mso-position-vertical-relative:paragraph;z-index:-445936" from="15pt,39.505917pt" to="0pt,39.505917pt" stroked="true" strokeweight=".25pt" strokecolor="#000000">
            <w10:wrap type="none"/>
          </v:line>
        </w:pict>
      </w:r>
      <w:r>
        <w:rPr/>
        <w:pict>
          <v:line style="position:absolute;mso-position-horizontal-relative:page;mso-position-vertical-relative:paragraph;z-index:44272" from="508.890015pt,39.505917pt" to="523.890015pt,39.505917pt" stroked="true" strokeweight=".25pt" strokecolor="#000000">
            <w10:wrap type="none"/>
          </v:line>
        </w:pict>
      </w:r>
      <w:r>
        <w:rPr>
          <w:rFonts w:ascii="Arial"/>
          <w:color w:val="414042"/>
          <w:position w:val="-5"/>
          <w:sz w:val="20"/>
        </w:rPr>
        <w:t>376</w:t>
        <w:tab/>
      </w:r>
      <w:r>
        <w:rPr>
          <w:rFonts w:ascii="Calibri"/>
          <w:color w:val="6D6E71"/>
          <w:sz w:val="15"/>
        </w:rPr>
        <w:t>Martha  Sidury</w:t>
      </w:r>
      <w:r>
        <w:rPr>
          <w:rFonts w:ascii="Calibri"/>
          <w:color w:val="6D6E71"/>
          <w:spacing w:val="12"/>
          <w:sz w:val="15"/>
        </w:rPr>
        <w:t> </w:t>
      </w:r>
      <w:r>
        <w:rPr>
          <w:rFonts w:ascii="Calibri"/>
          <w:color w:val="6D6E71"/>
          <w:sz w:val="15"/>
        </w:rPr>
        <w:t>Christiansen</w:t>
      </w:r>
    </w:p>
    <w:p>
      <w:pPr>
        <w:spacing w:after="0"/>
        <w:jc w:val="left"/>
        <w:rPr>
          <w:rFonts w:ascii="Calibri"/>
          <w:sz w:val="15"/>
        </w:rPr>
        <w:sectPr>
          <w:headerReference w:type="default" r:id="rId374"/>
          <w:pgSz w:w="10480" w:h="14730"/>
          <w:pgMar w:header="0" w:footer="103" w:top="420" w:bottom="300" w:left="0" w:right="0"/>
        </w:sectPr>
      </w:pPr>
    </w:p>
    <w:p>
      <w:pPr>
        <w:pStyle w:val="BodyText"/>
        <w:rPr>
          <w:rFonts w:ascii="Calibri"/>
          <w:sz w:val="20"/>
        </w:rPr>
      </w:pPr>
      <w:r>
        <w:rPr/>
        <w:pict>
          <v:group style="position:absolute;margin-left:21pt;margin-top:20.999975pt;width:481.9pt;height:694.5pt;mso-position-horizontal-relative:page;mso-position-vertical-relative:page;z-index:-445888" coordorigin="420,420" coordsize="9638,13890">
            <v:rect style="position:absolute;left:420;top:420;width:9638;height:13890" filled="true" fillcolor="#77787b" stroked="false">
              <v:fill type="solid"/>
            </v:rect>
            <v:shape style="position:absolute;left:420;top:6577;width:9638;height:7733" type="#_x0000_t75" stroked="false">
              <v:imagedata r:id="rId366" o:title=""/>
            </v:shape>
            <w10:wrap type="none"/>
          </v:group>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5"/>
        </w:rPr>
      </w:pPr>
    </w:p>
    <w:p>
      <w:pPr>
        <w:pStyle w:val="Heading2"/>
        <w:spacing w:line="187" w:lineRule="auto" w:before="63"/>
        <w:ind w:left="2615" w:right="4772" w:firstLine="427"/>
      </w:pPr>
      <w:r>
        <w:rPr>
          <w:color w:val="FFFFFF"/>
          <w:spacing w:val="-3"/>
        </w:rPr>
        <w:t>LO</w:t>
      </w:r>
      <w:r>
        <w:rPr>
          <w:color w:val="FFFFFF"/>
          <w:spacing w:val="-30"/>
        </w:rPr>
        <w:t> </w:t>
      </w:r>
      <w:r>
        <w:rPr>
          <w:color w:val="FFFFFF"/>
        </w:rPr>
        <w:t>qUE</w:t>
      </w:r>
      <w:r>
        <w:rPr>
          <w:color w:val="FFFFFF"/>
          <w:spacing w:val="-30"/>
        </w:rPr>
        <w:t> </w:t>
      </w:r>
      <w:r>
        <w:rPr>
          <w:color w:val="FFFFFF"/>
        </w:rPr>
        <w:t>NO</w:t>
      </w:r>
      <w:r>
        <w:rPr>
          <w:color w:val="FFFFFF"/>
          <w:spacing w:val="-30"/>
        </w:rPr>
        <w:t> </w:t>
      </w:r>
      <w:r>
        <w:rPr>
          <w:color w:val="FFFFFF"/>
        </w:rPr>
        <w:t>SE</w:t>
      </w:r>
      <w:r>
        <w:rPr>
          <w:color w:val="FFFFFF"/>
          <w:spacing w:val="-30"/>
        </w:rPr>
        <w:t> </w:t>
      </w:r>
      <w:r>
        <w:rPr>
          <w:color w:val="FFFFFF"/>
        </w:rPr>
        <w:t>FUE</w:t>
      </w:r>
      <w:r>
        <w:rPr>
          <w:color w:val="FFFFFF"/>
          <w:spacing w:val="-30"/>
        </w:rPr>
        <w:t> </w:t>
      </w:r>
      <w:r>
        <w:rPr>
          <w:color w:val="FFFFFF"/>
        </w:rPr>
        <w:t>EN</w:t>
      </w:r>
      <w:r>
        <w:rPr>
          <w:color w:val="FFFFFF"/>
          <w:spacing w:val="-30"/>
        </w:rPr>
        <w:t> </w:t>
      </w:r>
      <w:r>
        <w:rPr>
          <w:color w:val="FFFFFF"/>
        </w:rPr>
        <w:t>EL </w:t>
      </w:r>
      <w:r>
        <w:rPr>
          <w:color w:val="FFFFFF"/>
          <w:w w:val="95"/>
        </w:rPr>
        <w:t>VELIz AzUL.</w:t>
      </w:r>
      <w:r>
        <w:rPr>
          <w:color w:val="FFFFFF"/>
          <w:spacing w:val="-57"/>
          <w:w w:val="95"/>
        </w:rPr>
        <w:t> </w:t>
      </w:r>
      <w:r>
        <w:rPr>
          <w:color w:val="FFFFFF"/>
          <w:spacing w:val="-3"/>
          <w:w w:val="95"/>
        </w:rPr>
        <w:t>RELAT</w:t>
      </w:r>
    </w:p>
    <w:p>
      <w:pPr>
        <w:spacing w:line="271" w:lineRule="exact" w:before="0"/>
        <w:ind w:left="2923" w:right="0" w:firstLine="0"/>
        <w:jc w:val="left"/>
        <w:rPr>
          <w:rFonts w:ascii="Lucida Sans Unicode"/>
          <w:sz w:val="24"/>
        </w:rPr>
      </w:pPr>
      <w:r>
        <w:rPr>
          <w:rFonts w:ascii="Lucida Sans Unicode"/>
          <w:color w:val="FFFFFF"/>
          <w:w w:val="95"/>
          <w:sz w:val="24"/>
        </w:rPr>
        <w:t>DE RAFAEL, UN MIftRANTE</w:t>
      </w:r>
    </w:p>
    <w:p>
      <w:pPr>
        <w:spacing w:line="328" w:lineRule="exact" w:before="0"/>
        <w:ind w:left="2068" w:right="2804" w:firstLine="0"/>
        <w:jc w:val="center"/>
        <w:rPr>
          <w:rFonts w:ascii="Lucida Sans Unicode"/>
          <w:sz w:val="24"/>
        </w:rPr>
      </w:pPr>
      <w:r>
        <w:rPr>
          <w:rFonts w:ascii="Lucida Sans Unicode"/>
          <w:color w:val="FFFFFF"/>
          <w:w w:val="95"/>
          <w:sz w:val="24"/>
        </w:rPr>
        <w:t>TONATI UENSE</w:t>
      </w:r>
    </w:p>
    <w:p>
      <w:pPr>
        <w:pStyle w:val="Heading4"/>
        <w:spacing w:before="110"/>
        <w:rPr>
          <w:sz w:val="18"/>
        </w:rPr>
      </w:pPr>
      <w:r>
        <w:rPr>
          <w:color w:val="FFFFFF"/>
          <w:w w:val="105"/>
        </w:rPr>
        <w:t>Alejandro Zarur Osorio</w:t>
      </w:r>
      <w:r>
        <w:rPr>
          <w:color w:val="FFFFFF"/>
          <w:w w:val="105"/>
          <w:sz w:val="18"/>
        </w:rPr>
        <w:t>*</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line="180" w:lineRule="exact" w:before="197"/>
        <w:ind w:left="2126" w:right="1768" w:firstLine="0"/>
        <w:jc w:val="left"/>
        <w:rPr>
          <w:rFonts w:ascii="Calibri" w:hAnsi="Calibri"/>
          <w:sz w:val="15"/>
        </w:rPr>
      </w:pPr>
      <w:r>
        <w:rPr>
          <w:rFonts w:ascii="Calibri" w:hAnsi="Calibri"/>
          <w:color w:val="FFFFFF"/>
          <w:w w:val="105"/>
          <w:sz w:val="15"/>
        </w:rPr>
        <w:t>*</w:t>
      </w:r>
      <w:r>
        <w:rPr>
          <w:rFonts w:ascii="Calibri" w:hAnsi="Calibri"/>
          <w:color w:val="FFFFFF"/>
          <w:spacing w:val="-9"/>
          <w:w w:val="105"/>
          <w:sz w:val="15"/>
        </w:rPr>
        <w:t> </w:t>
      </w:r>
      <w:r>
        <w:rPr>
          <w:rFonts w:ascii="Calibri" w:hAnsi="Calibri"/>
          <w:color w:val="FFFFFF"/>
          <w:w w:val="105"/>
          <w:sz w:val="15"/>
        </w:rPr>
        <w:t>Doctor</w:t>
      </w:r>
      <w:r>
        <w:rPr>
          <w:rFonts w:ascii="Calibri" w:hAnsi="Calibri"/>
          <w:color w:val="FFFFFF"/>
          <w:spacing w:val="-9"/>
          <w:w w:val="105"/>
          <w:sz w:val="15"/>
        </w:rPr>
        <w:t> </w:t>
      </w:r>
      <w:r>
        <w:rPr>
          <w:rFonts w:ascii="Calibri" w:hAnsi="Calibri"/>
          <w:color w:val="FFFFFF"/>
          <w:w w:val="105"/>
          <w:sz w:val="15"/>
        </w:rPr>
        <w:t>en</w:t>
      </w:r>
      <w:r>
        <w:rPr>
          <w:rFonts w:ascii="Calibri" w:hAnsi="Calibri"/>
          <w:color w:val="FFFFFF"/>
          <w:spacing w:val="-9"/>
          <w:w w:val="105"/>
          <w:sz w:val="15"/>
        </w:rPr>
        <w:t> </w:t>
      </w:r>
      <w:r>
        <w:rPr>
          <w:rFonts w:ascii="Calibri" w:hAnsi="Calibri"/>
          <w:color w:val="FFFFFF"/>
          <w:w w:val="105"/>
          <w:sz w:val="15"/>
        </w:rPr>
        <w:t>Sociología.</w:t>
      </w:r>
      <w:r>
        <w:rPr>
          <w:rFonts w:ascii="Calibri" w:hAnsi="Calibri"/>
          <w:color w:val="FFFFFF"/>
          <w:spacing w:val="-9"/>
          <w:w w:val="105"/>
          <w:sz w:val="15"/>
        </w:rPr>
        <w:t> </w:t>
      </w:r>
      <w:r>
        <w:rPr>
          <w:rFonts w:ascii="Calibri" w:hAnsi="Calibri"/>
          <w:color w:val="FFFFFF"/>
          <w:w w:val="105"/>
          <w:sz w:val="15"/>
        </w:rPr>
        <w:t>Profesor</w:t>
      </w:r>
      <w:r>
        <w:rPr>
          <w:rFonts w:ascii="Calibri" w:hAnsi="Calibri"/>
          <w:color w:val="FFFFFF"/>
          <w:spacing w:val="-9"/>
          <w:w w:val="105"/>
          <w:sz w:val="15"/>
        </w:rPr>
        <w:t> </w:t>
      </w:r>
      <w:r>
        <w:rPr>
          <w:rFonts w:ascii="Calibri" w:hAnsi="Calibri"/>
          <w:color w:val="FFFFFF"/>
          <w:w w:val="105"/>
          <w:sz w:val="15"/>
        </w:rPr>
        <w:t>investigador</w:t>
      </w:r>
      <w:r>
        <w:rPr>
          <w:rFonts w:ascii="Calibri" w:hAnsi="Calibri"/>
          <w:color w:val="FFFFFF"/>
          <w:spacing w:val="-9"/>
          <w:w w:val="105"/>
          <w:sz w:val="15"/>
        </w:rPr>
        <w:t> </w:t>
      </w:r>
      <w:r>
        <w:rPr>
          <w:rFonts w:ascii="Calibri" w:hAnsi="Calibri"/>
          <w:color w:val="FFFFFF"/>
          <w:w w:val="105"/>
          <w:sz w:val="15"/>
        </w:rPr>
        <w:t>en</w:t>
      </w:r>
      <w:r>
        <w:rPr>
          <w:rFonts w:ascii="Calibri" w:hAnsi="Calibri"/>
          <w:color w:val="FFFFFF"/>
          <w:spacing w:val="-9"/>
          <w:w w:val="105"/>
          <w:sz w:val="15"/>
        </w:rPr>
        <w:t> </w:t>
      </w:r>
      <w:r>
        <w:rPr>
          <w:rFonts w:ascii="Calibri" w:hAnsi="Calibri"/>
          <w:color w:val="FFFFFF"/>
          <w:w w:val="105"/>
          <w:sz w:val="15"/>
        </w:rPr>
        <w:t>el</w:t>
      </w:r>
      <w:r>
        <w:rPr>
          <w:rFonts w:ascii="Calibri" w:hAnsi="Calibri"/>
          <w:color w:val="FFFFFF"/>
          <w:spacing w:val="-9"/>
          <w:w w:val="105"/>
          <w:sz w:val="15"/>
        </w:rPr>
        <w:t> </w:t>
      </w:r>
      <w:r>
        <w:rPr>
          <w:rFonts w:ascii="Calibri" w:hAnsi="Calibri"/>
          <w:color w:val="FFFFFF"/>
          <w:w w:val="105"/>
          <w:sz w:val="15"/>
        </w:rPr>
        <w:t>Centro</w:t>
      </w:r>
      <w:r>
        <w:rPr>
          <w:rFonts w:ascii="Calibri" w:hAnsi="Calibri"/>
          <w:color w:val="FFFFFF"/>
          <w:spacing w:val="-9"/>
          <w:w w:val="105"/>
          <w:sz w:val="15"/>
        </w:rPr>
        <w:t> </w:t>
      </w:r>
      <w:r>
        <w:rPr>
          <w:rFonts w:ascii="Calibri" w:hAnsi="Calibri"/>
          <w:color w:val="FFFFFF"/>
          <w:w w:val="105"/>
          <w:sz w:val="15"/>
        </w:rPr>
        <w:t>de</w:t>
      </w:r>
      <w:r>
        <w:rPr>
          <w:rFonts w:ascii="Calibri" w:hAnsi="Calibri"/>
          <w:color w:val="FFFFFF"/>
          <w:spacing w:val="-9"/>
          <w:w w:val="105"/>
          <w:sz w:val="15"/>
        </w:rPr>
        <w:t> </w:t>
      </w:r>
      <w:r>
        <w:rPr>
          <w:rFonts w:ascii="Calibri" w:hAnsi="Calibri"/>
          <w:color w:val="FFFFFF"/>
          <w:w w:val="105"/>
          <w:sz w:val="15"/>
        </w:rPr>
        <w:t>Investigaciones</w:t>
      </w:r>
      <w:r>
        <w:rPr>
          <w:rFonts w:ascii="Calibri" w:hAnsi="Calibri"/>
          <w:color w:val="FFFFFF"/>
          <w:spacing w:val="-11"/>
          <w:w w:val="105"/>
          <w:sz w:val="15"/>
        </w:rPr>
        <w:t> </w:t>
      </w:r>
      <w:r>
        <w:rPr>
          <w:rFonts w:ascii="Calibri" w:hAnsi="Calibri"/>
          <w:color w:val="FFFFFF"/>
          <w:w w:val="105"/>
          <w:sz w:val="15"/>
        </w:rPr>
        <w:t>y</w:t>
      </w:r>
      <w:r>
        <w:rPr>
          <w:rFonts w:ascii="Calibri" w:hAnsi="Calibri"/>
          <w:color w:val="FFFFFF"/>
          <w:spacing w:val="-9"/>
          <w:w w:val="105"/>
          <w:sz w:val="15"/>
        </w:rPr>
        <w:t> </w:t>
      </w:r>
      <w:r>
        <w:rPr>
          <w:rFonts w:ascii="Calibri" w:hAnsi="Calibri"/>
          <w:color w:val="FFFFFF"/>
          <w:w w:val="105"/>
          <w:sz w:val="15"/>
        </w:rPr>
        <w:t>Estudios</w:t>
      </w:r>
      <w:r>
        <w:rPr>
          <w:rFonts w:ascii="Calibri" w:hAnsi="Calibri"/>
          <w:color w:val="FFFFFF"/>
          <w:spacing w:val="-9"/>
          <w:w w:val="105"/>
          <w:sz w:val="15"/>
        </w:rPr>
        <w:t> </w:t>
      </w:r>
      <w:r>
        <w:rPr>
          <w:rFonts w:ascii="Calibri" w:hAnsi="Calibri"/>
          <w:color w:val="FFFFFF"/>
          <w:w w:val="105"/>
          <w:sz w:val="15"/>
        </w:rPr>
        <w:t>en</w:t>
      </w:r>
      <w:r>
        <w:rPr>
          <w:rFonts w:ascii="Calibri" w:hAnsi="Calibri"/>
          <w:color w:val="FFFFFF"/>
          <w:spacing w:val="-9"/>
          <w:w w:val="105"/>
          <w:sz w:val="15"/>
        </w:rPr>
        <w:t> </w:t>
      </w:r>
      <w:r>
        <w:rPr>
          <w:rFonts w:ascii="Calibri" w:hAnsi="Calibri"/>
          <w:color w:val="FFFFFF"/>
          <w:w w:val="105"/>
          <w:sz w:val="15"/>
        </w:rPr>
        <w:t>Movilidades</w:t>
      </w:r>
      <w:r>
        <w:rPr>
          <w:rFonts w:ascii="Calibri" w:hAnsi="Calibri"/>
          <w:color w:val="FFFFFF"/>
          <w:spacing w:val="-11"/>
          <w:w w:val="105"/>
          <w:sz w:val="15"/>
        </w:rPr>
        <w:t> </w:t>
      </w:r>
      <w:r>
        <w:rPr>
          <w:rFonts w:ascii="Calibri" w:hAnsi="Calibri"/>
          <w:color w:val="FFFFFF"/>
          <w:w w:val="105"/>
          <w:sz w:val="15"/>
        </w:rPr>
        <w:t>y Migraciones</w:t>
      </w:r>
      <w:r>
        <w:rPr>
          <w:rFonts w:ascii="Calibri" w:hAnsi="Calibri"/>
          <w:color w:val="FFFFFF"/>
          <w:spacing w:val="-16"/>
          <w:w w:val="105"/>
          <w:sz w:val="15"/>
        </w:rPr>
        <w:t> </w:t>
      </w:r>
      <w:r>
        <w:rPr>
          <w:rFonts w:ascii="Calibri" w:hAnsi="Calibri"/>
          <w:color w:val="FFFFFF"/>
          <w:w w:val="105"/>
          <w:sz w:val="15"/>
        </w:rPr>
        <w:t>Internacionales</w:t>
      </w:r>
      <w:r>
        <w:rPr>
          <w:rFonts w:ascii="Calibri" w:hAnsi="Calibri"/>
          <w:color w:val="FFFFFF"/>
          <w:spacing w:val="-16"/>
          <w:w w:val="105"/>
          <w:sz w:val="15"/>
        </w:rPr>
        <w:t> </w:t>
      </w:r>
      <w:r>
        <w:rPr>
          <w:rFonts w:ascii="Calibri" w:hAnsi="Calibri"/>
          <w:color w:val="FFFFFF"/>
          <w:w w:val="105"/>
          <w:sz w:val="15"/>
        </w:rPr>
        <w:t>de</w:t>
      </w:r>
      <w:r>
        <w:rPr>
          <w:rFonts w:ascii="Calibri" w:hAnsi="Calibri"/>
          <w:color w:val="FFFFFF"/>
          <w:spacing w:val="-16"/>
          <w:w w:val="105"/>
          <w:sz w:val="15"/>
        </w:rPr>
        <w:t> </w:t>
      </w:r>
      <w:r>
        <w:rPr>
          <w:rFonts w:ascii="Calibri" w:hAnsi="Calibri"/>
          <w:color w:val="FFFFFF"/>
          <w:w w:val="105"/>
          <w:sz w:val="15"/>
        </w:rPr>
        <w:t>la</w:t>
      </w:r>
      <w:r>
        <w:rPr>
          <w:rFonts w:ascii="Calibri" w:hAnsi="Calibri"/>
          <w:color w:val="FFFFFF"/>
          <w:spacing w:val="-16"/>
          <w:w w:val="105"/>
          <w:sz w:val="15"/>
        </w:rPr>
        <w:t> </w:t>
      </w:r>
      <w:r>
        <w:rPr>
          <w:rFonts w:ascii="Calibri" w:hAnsi="Calibri"/>
          <w:color w:val="FFFFFF"/>
          <w:w w:val="105"/>
          <w:sz w:val="15"/>
        </w:rPr>
        <w:t>Universidad</w:t>
      </w:r>
      <w:r>
        <w:rPr>
          <w:rFonts w:ascii="Calibri" w:hAnsi="Calibri"/>
          <w:color w:val="FFFFFF"/>
          <w:spacing w:val="-16"/>
          <w:w w:val="105"/>
          <w:sz w:val="15"/>
        </w:rPr>
        <w:t> </w:t>
      </w:r>
      <w:r>
        <w:rPr>
          <w:rFonts w:ascii="Calibri" w:hAnsi="Calibri"/>
          <w:color w:val="FFFFFF"/>
          <w:w w:val="105"/>
          <w:sz w:val="15"/>
        </w:rPr>
        <w:t>Autónoma</w:t>
      </w:r>
      <w:r>
        <w:rPr>
          <w:rFonts w:ascii="Calibri" w:hAnsi="Calibri"/>
          <w:color w:val="FFFFFF"/>
          <w:spacing w:val="-16"/>
          <w:w w:val="105"/>
          <w:sz w:val="15"/>
        </w:rPr>
        <w:t> </w:t>
      </w:r>
      <w:r>
        <w:rPr>
          <w:rFonts w:ascii="Calibri" w:hAnsi="Calibri"/>
          <w:color w:val="FFFFFF"/>
          <w:w w:val="105"/>
          <w:sz w:val="15"/>
        </w:rPr>
        <w:t>del</w:t>
      </w:r>
      <w:r>
        <w:rPr>
          <w:rFonts w:ascii="Calibri" w:hAnsi="Calibri"/>
          <w:color w:val="FFFFFF"/>
          <w:spacing w:val="-16"/>
          <w:w w:val="105"/>
          <w:sz w:val="15"/>
        </w:rPr>
        <w:t> </w:t>
      </w:r>
      <w:r>
        <w:rPr>
          <w:rFonts w:ascii="Calibri" w:hAnsi="Calibri"/>
          <w:color w:val="FFFFFF"/>
          <w:w w:val="105"/>
          <w:sz w:val="15"/>
        </w:rPr>
        <w:t>Estado</w:t>
      </w:r>
      <w:r>
        <w:rPr>
          <w:rFonts w:ascii="Calibri" w:hAnsi="Calibri"/>
          <w:color w:val="FFFFFF"/>
          <w:spacing w:val="-16"/>
          <w:w w:val="105"/>
          <w:sz w:val="15"/>
        </w:rPr>
        <w:t> </w:t>
      </w:r>
      <w:r>
        <w:rPr>
          <w:rFonts w:ascii="Calibri" w:hAnsi="Calibri"/>
          <w:color w:val="FFFFFF"/>
          <w:w w:val="105"/>
          <w:sz w:val="15"/>
        </w:rPr>
        <w:t>de</w:t>
      </w:r>
      <w:r>
        <w:rPr>
          <w:rFonts w:ascii="Calibri" w:hAnsi="Calibri"/>
          <w:color w:val="FFFFFF"/>
          <w:spacing w:val="-16"/>
          <w:w w:val="105"/>
          <w:sz w:val="15"/>
        </w:rPr>
        <w:t> </w:t>
      </w:r>
      <w:r>
        <w:rPr>
          <w:rFonts w:ascii="Calibri" w:hAnsi="Calibri"/>
          <w:color w:val="FFFFFF"/>
          <w:w w:val="105"/>
          <w:sz w:val="15"/>
        </w:rPr>
        <w:t>México.</w:t>
      </w:r>
    </w:p>
    <w:p>
      <w:pPr>
        <w:spacing w:before="1"/>
        <w:ind w:left="2126" w:right="6753" w:firstLine="0"/>
        <w:jc w:val="left"/>
        <w:rPr>
          <w:rFonts w:ascii="Calibri"/>
          <w:i/>
          <w:sz w:val="15"/>
        </w:rPr>
      </w:pPr>
      <w:hyperlink r:id="rId377">
        <w:r>
          <w:rPr>
            <w:rFonts w:ascii="Calibri"/>
            <w:i/>
            <w:color w:val="FFFFFF"/>
            <w:sz w:val="15"/>
          </w:rPr>
          <w:t>alzarur@yahoo.com.mx</w:t>
        </w:r>
      </w:hyperlink>
    </w:p>
    <w:p>
      <w:pPr>
        <w:spacing w:after="0"/>
        <w:jc w:val="left"/>
        <w:rPr>
          <w:rFonts w:ascii="Calibri"/>
          <w:sz w:val="15"/>
        </w:rPr>
        <w:sectPr>
          <w:footerReference w:type="default" r:id="rId376"/>
          <w:pgSz w:w="10480" w:h="14730"/>
          <w:pgMar w:footer="223" w:header="0" w:top="420" w:bottom="420" w:left="0" w:right="0"/>
        </w:sectPr>
      </w:pPr>
    </w:p>
    <w:p>
      <w:pPr>
        <w:pStyle w:val="BodyText"/>
        <w:spacing w:before="4"/>
        <w:rPr>
          <w:rFonts w:ascii="Times New Roman"/>
          <w:sz w:val="17"/>
        </w:rPr>
      </w:pPr>
    </w:p>
    <w:p>
      <w:pPr>
        <w:spacing w:after="0"/>
        <w:rPr>
          <w:rFonts w:ascii="Times New Roman"/>
          <w:sz w:val="17"/>
        </w:rPr>
        <w:sectPr>
          <w:footerReference w:type="default" r:id="rId378"/>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2"/>
        </w:rPr>
      </w:pPr>
    </w:p>
    <w:p>
      <w:pPr>
        <w:spacing w:line="228" w:lineRule="exact" w:before="61"/>
        <w:ind w:left="4105" w:right="1721" w:firstLine="0"/>
        <w:jc w:val="both"/>
        <w:rPr>
          <w:rFonts w:ascii="Calibri" w:hAnsi="Calibri"/>
          <w:i/>
          <w:sz w:val="19"/>
        </w:rPr>
      </w:pPr>
      <w:r>
        <w:rPr>
          <w:rFonts w:ascii="Calibri" w:hAnsi="Calibri"/>
          <w:i/>
          <w:color w:val="231F20"/>
          <w:sz w:val="19"/>
        </w:rPr>
        <w:t>¿Cómo no experimentar, efectivamente, un sentimiento de </w:t>
      </w:r>
      <w:r>
        <w:rPr>
          <w:rFonts w:ascii="Calibri" w:hAnsi="Calibri"/>
          <w:i/>
          <w:color w:val="231F20"/>
          <w:sz w:val="19"/>
        </w:rPr>
        <w:t>inquietud en el momento de hacer públicas ciertas palabras privadas, confidencias recogidas en un vínculo de confianza que</w:t>
      </w:r>
      <w:r>
        <w:rPr>
          <w:rFonts w:ascii="Calibri" w:hAnsi="Calibri"/>
          <w:i/>
          <w:color w:val="231F20"/>
          <w:spacing w:val="-20"/>
          <w:sz w:val="19"/>
        </w:rPr>
        <w:t> </w:t>
      </w:r>
      <w:r>
        <w:rPr>
          <w:rFonts w:ascii="Calibri" w:hAnsi="Calibri"/>
          <w:i/>
          <w:color w:val="231F20"/>
          <w:sz w:val="19"/>
        </w:rPr>
        <w:t>sólo</w:t>
      </w:r>
      <w:r>
        <w:rPr>
          <w:rFonts w:ascii="Calibri" w:hAnsi="Calibri"/>
          <w:i/>
          <w:color w:val="231F20"/>
          <w:spacing w:val="-20"/>
          <w:sz w:val="19"/>
        </w:rPr>
        <w:t> </w:t>
      </w:r>
      <w:r>
        <w:rPr>
          <w:rFonts w:ascii="Calibri" w:hAnsi="Calibri"/>
          <w:i/>
          <w:color w:val="231F20"/>
          <w:sz w:val="19"/>
        </w:rPr>
        <w:t>puede</w:t>
      </w:r>
      <w:r>
        <w:rPr>
          <w:rFonts w:ascii="Calibri" w:hAnsi="Calibri"/>
          <w:i/>
          <w:color w:val="231F20"/>
          <w:spacing w:val="-20"/>
          <w:sz w:val="19"/>
        </w:rPr>
        <w:t> </w:t>
      </w:r>
      <w:r>
        <w:rPr>
          <w:rFonts w:ascii="Calibri" w:hAnsi="Calibri"/>
          <w:i/>
          <w:color w:val="231F20"/>
          <w:sz w:val="19"/>
        </w:rPr>
        <w:t>establecerse</w:t>
      </w:r>
      <w:r>
        <w:rPr>
          <w:rFonts w:ascii="Calibri" w:hAnsi="Calibri"/>
          <w:i/>
          <w:color w:val="231F20"/>
          <w:spacing w:val="-20"/>
          <w:sz w:val="19"/>
        </w:rPr>
        <w:t> </w:t>
      </w:r>
      <w:r>
        <w:rPr>
          <w:rFonts w:ascii="Calibri" w:hAnsi="Calibri"/>
          <w:i/>
          <w:color w:val="231F20"/>
          <w:sz w:val="19"/>
        </w:rPr>
        <w:t>en</w:t>
      </w:r>
      <w:r>
        <w:rPr>
          <w:rFonts w:ascii="Calibri" w:hAnsi="Calibri"/>
          <w:i/>
          <w:color w:val="231F20"/>
          <w:spacing w:val="-20"/>
          <w:sz w:val="19"/>
        </w:rPr>
        <w:t> </w:t>
      </w:r>
      <w:r>
        <w:rPr>
          <w:rFonts w:ascii="Calibri" w:hAnsi="Calibri"/>
          <w:i/>
          <w:color w:val="231F20"/>
          <w:sz w:val="19"/>
        </w:rPr>
        <w:t>la</w:t>
      </w:r>
      <w:r>
        <w:rPr>
          <w:rFonts w:ascii="Calibri" w:hAnsi="Calibri"/>
          <w:i/>
          <w:color w:val="231F20"/>
          <w:spacing w:val="-20"/>
          <w:sz w:val="19"/>
        </w:rPr>
        <w:t> </w:t>
      </w:r>
      <w:r>
        <w:rPr>
          <w:rFonts w:ascii="Calibri" w:hAnsi="Calibri"/>
          <w:i/>
          <w:color w:val="231F20"/>
          <w:sz w:val="19"/>
        </w:rPr>
        <w:t>relación</w:t>
      </w:r>
      <w:r>
        <w:rPr>
          <w:rFonts w:ascii="Calibri" w:hAnsi="Calibri"/>
          <w:i/>
          <w:color w:val="231F20"/>
          <w:spacing w:val="-20"/>
          <w:sz w:val="19"/>
        </w:rPr>
        <w:t> </w:t>
      </w:r>
      <w:r>
        <w:rPr>
          <w:rFonts w:ascii="Calibri" w:hAnsi="Calibri"/>
          <w:i/>
          <w:color w:val="231F20"/>
          <w:sz w:val="19"/>
        </w:rPr>
        <w:t>entre</w:t>
      </w:r>
      <w:r>
        <w:rPr>
          <w:rFonts w:ascii="Calibri" w:hAnsi="Calibri"/>
          <w:i/>
          <w:color w:val="231F20"/>
          <w:spacing w:val="-20"/>
          <w:sz w:val="19"/>
        </w:rPr>
        <w:t> </w:t>
      </w:r>
      <w:r>
        <w:rPr>
          <w:rFonts w:ascii="Calibri" w:hAnsi="Calibri"/>
          <w:i/>
          <w:color w:val="231F20"/>
          <w:sz w:val="19"/>
        </w:rPr>
        <w:t>dos</w:t>
      </w:r>
      <w:r>
        <w:rPr>
          <w:rFonts w:ascii="Calibri" w:hAnsi="Calibri"/>
          <w:i/>
          <w:color w:val="231F20"/>
          <w:spacing w:val="-20"/>
          <w:sz w:val="19"/>
        </w:rPr>
        <w:t> </w:t>
      </w:r>
      <w:r>
        <w:rPr>
          <w:rFonts w:ascii="Calibri" w:hAnsi="Calibri"/>
          <w:i/>
          <w:color w:val="231F20"/>
          <w:sz w:val="19"/>
        </w:rPr>
        <w:t>personas? […] ningún contrato está tan cargado de exigencias tácitas como un contrato de</w:t>
      </w:r>
      <w:r>
        <w:rPr>
          <w:rFonts w:ascii="Calibri" w:hAnsi="Calibri"/>
          <w:i/>
          <w:color w:val="231F20"/>
          <w:spacing w:val="1"/>
          <w:sz w:val="19"/>
        </w:rPr>
        <w:t> </w:t>
      </w:r>
      <w:r>
        <w:rPr>
          <w:rFonts w:ascii="Calibri" w:hAnsi="Calibri"/>
          <w:i/>
          <w:color w:val="231F20"/>
          <w:sz w:val="19"/>
        </w:rPr>
        <w:t>confianza.</w:t>
      </w:r>
    </w:p>
    <w:p>
      <w:pPr>
        <w:spacing w:before="115"/>
        <w:ind w:left="1516" w:right="1721" w:firstLine="0"/>
        <w:jc w:val="right"/>
        <w:rPr>
          <w:rFonts w:ascii="Calibri"/>
          <w:sz w:val="19"/>
        </w:rPr>
      </w:pPr>
      <w:r>
        <w:rPr>
          <w:rFonts w:ascii="Calibri"/>
          <w:color w:val="231F20"/>
          <w:sz w:val="19"/>
        </w:rPr>
        <w:t>Pierre Bourdieu</w:t>
      </w:r>
    </w:p>
    <w:p>
      <w:pPr>
        <w:pStyle w:val="BodyText"/>
        <w:spacing w:before="7"/>
        <w:rPr>
          <w:rFonts w:ascii="Calibri"/>
          <w:sz w:val="17"/>
        </w:rPr>
      </w:pPr>
    </w:p>
    <w:p>
      <w:pPr>
        <w:pStyle w:val="BodyText"/>
        <w:spacing w:line="261" w:lineRule="auto" w:before="61"/>
        <w:ind w:left="2900" w:right="1721"/>
        <w:jc w:val="both"/>
      </w:pPr>
      <w:r>
        <w:rPr/>
        <w:pict>
          <v:shape style="position:absolute;margin-left:97.553596pt;margin-top:16.163498pt;width:42.5pt;height:51pt;mso-position-horizontal-relative:page;mso-position-vertical-relative:paragraph;z-index:44320"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H</w:t>
                  </w:r>
                </w:p>
              </w:txbxContent>
            </v:textbox>
            <w10:wrap type="none"/>
          </v:shape>
        </w:pict>
      </w:r>
      <w:r>
        <w:rPr>
          <w:color w:val="231F20"/>
          <w:w w:val="105"/>
        </w:rPr>
        <w:t>istoria y memoria, oralidad y recuerdo, ruptura abrupta en la continuidad de una vida que por momentos es impulsada a reconstruir</w:t>
      </w:r>
      <w:r>
        <w:rPr>
          <w:color w:val="231F20"/>
          <w:spacing w:val="-13"/>
          <w:w w:val="105"/>
        </w:rPr>
        <w:t> </w:t>
      </w:r>
      <w:r>
        <w:rPr>
          <w:color w:val="231F20"/>
          <w:w w:val="105"/>
        </w:rPr>
        <w:t>su</w:t>
      </w:r>
      <w:r>
        <w:rPr>
          <w:color w:val="231F20"/>
          <w:spacing w:val="-13"/>
          <w:w w:val="105"/>
        </w:rPr>
        <w:t> </w:t>
      </w:r>
      <w:r>
        <w:rPr>
          <w:color w:val="231F20"/>
          <w:w w:val="105"/>
        </w:rPr>
        <w:t>historia.</w:t>
      </w:r>
      <w:r>
        <w:rPr>
          <w:color w:val="231F20"/>
          <w:spacing w:val="-18"/>
          <w:w w:val="105"/>
        </w:rPr>
        <w:t> </w:t>
      </w:r>
      <w:r>
        <w:rPr>
          <w:color w:val="231F20"/>
          <w:w w:val="105"/>
        </w:rPr>
        <w:t>Relato</w:t>
      </w:r>
      <w:r>
        <w:rPr>
          <w:color w:val="231F20"/>
          <w:spacing w:val="-13"/>
          <w:w w:val="105"/>
        </w:rPr>
        <w:t> </w:t>
      </w:r>
      <w:r>
        <w:rPr>
          <w:color w:val="231F20"/>
          <w:w w:val="105"/>
        </w:rPr>
        <w:t>hecho</w:t>
      </w:r>
      <w:r>
        <w:rPr>
          <w:color w:val="231F20"/>
          <w:spacing w:val="-13"/>
          <w:w w:val="105"/>
        </w:rPr>
        <w:t> </w:t>
      </w:r>
      <w:r>
        <w:rPr>
          <w:color w:val="231F20"/>
          <w:w w:val="105"/>
        </w:rPr>
        <w:t>de</w:t>
      </w:r>
      <w:r>
        <w:rPr>
          <w:color w:val="231F20"/>
          <w:spacing w:val="-13"/>
          <w:w w:val="105"/>
        </w:rPr>
        <w:t> </w:t>
      </w:r>
      <w:r>
        <w:rPr>
          <w:color w:val="231F20"/>
          <w:w w:val="105"/>
        </w:rPr>
        <w:t>voces,</w:t>
      </w:r>
      <w:r>
        <w:rPr>
          <w:color w:val="231F20"/>
          <w:spacing w:val="-18"/>
          <w:w w:val="105"/>
        </w:rPr>
        <w:t> </w:t>
      </w:r>
      <w:r>
        <w:rPr>
          <w:color w:val="231F20"/>
          <w:w w:val="105"/>
        </w:rPr>
        <w:t>gestos,</w:t>
      </w:r>
      <w:r>
        <w:rPr>
          <w:color w:val="231F20"/>
          <w:spacing w:val="-18"/>
          <w:w w:val="105"/>
        </w:rPr>
        <w:t> </w:t>
      </w:r>
      <w:r>
        <w:rPr>
          <w:color w:val="231F20"/>
          <w:w w:val="105"/>
        </w:rPr>
        <w:t>postu- ras,</w:t>
      </w:r>
      <w:r>
        <w:rPr>
          <w:color w:val="231F20"/>
          <w:spacing w:val="-19"/>
          <w:w w:val="105"/>
        </w:rPr>
        <w:t> </w:t>
      </w:r>
      <w:r>
        <w:rPr>
          <w:color w:val="231F20"/>
          <w:w w:val="105"/>
        </w:rPr>
        <w:t>ademanes,</w:t>
      </w:r>
      <w:r>
        <w:rPr>
          <w:color w:val="231F20"/>
          <w:spacing w:val="-19"/>
          <w:w w:val="105"/>
        </w:rPr>
        <w:t> </w:t>
      </w:r>
      <w:r>
        <w:rPr>
          <w:color w:val="231F20"/>
          <w:w w:val="105"/>
        </w:rPr>
        <w:t>pausas,</w:t>
      </w:r>
      <w:r>
        <w:rPr>
          <w:color w:val="231F20"/>
          <w:spacing w:val="-19"/>
          <w:w w:val="105"/>
        </w:rPr>
        <w:t> </w:t>
      </w:r>
      <w:r>
        <w:rPr>
          <w:color w:val="231F20"/>
          <w:w w:val="105"/>
        </w:rPr>
        <w:t>silencios,</w:t>
      </w:r>
      <w:r>
        <w:rPr>
          <w:color w:val="231F20"/>
          <w:spacing w:val="-19"/>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hacen</w:t>
      </w:r>
      <w:r>
        <w:rPr>
          <w:color w:val="231F20"/>
          <w:spacing w:val="-15"/>
          <w:w w:val="105"/>
        </w:rPr>
        <w:t> </w:t>
      </w:r>
      <w:r>
        <w:rPr>
          <w:color w:val="231F20"/>
          <w:w w:val="105"/>
        </w:rPr>
        <w:t>palabra.</w:t>
      </w:r>
      <w:r>
        <w:rPr>
          <w:color w:val="231F20"/>
          <w:spacing w:val="-19"/>
          <w:w w:val="105"/>
        </w:rPr>
        <w:t> </w:t>
      </w:r>
      <w:r>
        <w:rPr>
          <w:color w:val="231F20"/>
          <w:w w:val="105"/>
        </w:rPr>
        <w:t>Me- diante</w:t>
      </w:r>
      <w:r>
        <w:rPr>
          <w:color w:val="231F20"/>
          <w:spacing w:val="-19"/>
          <w:w w:val="105"/>
        </w:rPr>
        <w:t> </w:t>
      </w:r>
      <w:r>
        <w:rPr>
          <w:color w:val="231F20"/>
          <w:w w:val="105"/>
        </w:rPr>
        <w:t>el</w:t>
      </w:r>
      <w:r>
        <w:rPr>
          <w:color w:val="231F20"/>
          <w:spacing w:val="-19"/>
          <w:w w:val="105"/>
        </w:rPr>
        <w:t> </w:t>
      </w:r>
      <w:r>
        <w:rPr>
          <w:color w:val="231F20"/>
          <w:w w:val="105"/>
        </w:rPr>
        <w:t>diálogo</w:t>
      </w:r>
      <w:r>
        <w:rPr>
          <w:color w:val="231F20"/>
          <w:spacing w:val="-19"/>
          <w:w w:val="105"/>
        </w:rPr>
        <w:t> </w:t>
      </w:r>
      <w:r>
        <w:rPr>
          <w:color w:val="231F20"/>
          <w:w w:val="105"/>
        </w:rPr>
        <w:t>fluye</w:t>
      </w:r>
      <w:r>
        <w:rPr>
          <w:color w:val="231F20"/>
          <w:spacing w:val="-19"/>
          <w:w w:val="105"/>
        </w:rPr>
        <w:t> </w:t>
      </w:r>
      <w:r>
        <w:rPr>
          <w:color w:val="231F20"/>
          <w:w w:val="105"/>
        </w:rPr>
        <w:t>el</w:t>
      </w:r>
      <w:r>
        <w:rPr>
          <w:color w:val="231F20"/>
          <w:spacing w:val="-19"/>
          <w:w w:val="105"/>
        </w:rPr>
        <w:t> </w:t>
      </w:r>
      <w:r>
        <w:rPr>
          <w:color w:val="231F20"/>
          <w:w w:val="105"/>
        </w:rPr>
        <w:t>tiempo</w:t>
      </w:r>
      <w:r>
        <w:rPr>
          <w:color w:val="231F20"/>
          <w:spacing w:val="-19"/>
          <w:w w:val="105"/>
        </w:rPr>
        <w:t> </w:t>
      </w:r>
      <w:r>
        <w:rPr>
          <w:color w:val="231F20"/>
          <w:w w:val="105"/>
        </w:rPr>
        <w:t>pasado</w:t>
      </w:r>
      <w:r>
        <w:rPr>
          <w:color w:val="231F20"/>
          <w:spacing w:val="-19"/>
          <w:w w:val="105"/>
        </w:rPr>
        <w:t> </w:t>
      </w:r>
      <w:r>
        <w:rPr>
          <w:color w:val="231F20"/>
          <w:w w:val="105"/>
        </w:rPr>
        <w:t>y</w:t>
      </w:r>
      <w:r>
        <w:rPr>
          <w:color w:val="231F20"/>
          <w:spacing w:val="-19"/>
          <w:w w:val="105"/>
        </w:rPr>
        <w:t> </w:t>
      </w:r>
      <w:r>
        <w:rPr>
          <w:color w:val="231F20"/>
          <w:w w:val="105"/>
        </w:rPr>
        <w:t>se</w:t>
      </w:r>
      <w:r>
        <w:rPr>
          <w:color w:val="231F20"/>
          <w:spacing w:val="-19"/>
          <w:w w:val="105"/>
        </w:rPr>
        <w:t> </w:t>
      </w:r>
      <w:r>
        <w:rPr>
          <w:color w:val="231F20"/>
          <w:w w:val="105"/>
        </w:rPr>
        <w:t>reconstruye</w:t>
      </w:r>
      <w:r>
        <w:rPr>
          <w:color w:val="231F20"/>
          <w:spacing w:val="-19"/>
          <w:w w:val="105"/>
        </w:rPr>
        <w:t> </w:t>
      </w:r>
      <w:r>
        <w:rPr>
          <w:color w:val="231F20"/>
          <w:w w:val="105"/>
        </w:rPr>
        <w:t>para</w:t>
      </w:r>
    </w:p>
    <w:p>
      <w:pPr>
        <w:pStyle w:val="BodyText"/>
        <w:spacing w:line="261" w:lineRule="auto" w:before="1"/>
        <w:ind w:left="1837" w:right="1721"/>
        <w:jc w:val="both"/>
      </w:pPr>
      <w:r>
        <w:rPr>
          <w:color w:val="231F20"/>
        </w:rPr>
        <w:t>dar lugar a conocer, como plantea Bourdieu, “las sutilezas casi infinitas de las estrategias que despliegan los agentes sociales en la conducción co- rriente de su existencia” (1993:  527).</w:t>
      </w:r>
    </w:p>
    <w:p>
      <w:pPr>
        <w:pStyle w:val="BodyText"/>
        <w:spacing w:line="261" w:lineRule="auto" w:before="1"/>
        <w:ind w:left="1837" w:right="1721" w:firstLine="567"/>
        <w:jc w:val="both"/>
      </w:pPr>
      <w:r>
        <w:rPr>
          <w:color w:val="231F20"/>
          <w:w w:val="105"/>
        </w:rPr>
        <w:t>El</w:t>
      </w:r>
      <w:r>
        <w:rPr>
          <w:color w:val="231F20"/>
          <w:spacing w:val="-20"/>
          <w:w w:val="105"/>
        </w:rPr>
        <w:t> </w:t>
      </w:r>
      <w:r>
        <w:rPr>
          <w:color w:val="231F20"/>
          <w:w w:val="105"/>
        </w:rPr>
        <w:t>relato</w:t>
      </w:r>
      <w:r>
        <w:rPr>
          <w:color w:val="231F20"/>
          <w:spacing w:val="-20"/>
          <w:w w:val="105"/>
        </w:rPr>
        <w:t> </w:t>
      </w:r>
      <w:r>
        <w:rPr>
          <w:color w:val="231F20"/>
          <w:w w:val="105"/>
        </w:rPr>
        <w:t>de</w:t>
      </w:r>
      <w:r>
        <w:rPr>
          <w:color w:val="231F20"/>
          <w:spacing w:val="-20"/>
          <w:w w:val="105"/>
        </w:rPr>
        <w:t> </w:t>
      </w:r>
      <w:r>
        <w:rPr>
          <w:color w:val="231F20"/>
          <w:w w:val="105"/>
        </w:rPr>
        <w:t>vida</w:t>
      </w:r>
      <w:r>
        <w:rPr>
          <w:color w:val="231F20"/>
          <w:spacing w:val="-20"/>
          <w:w w:val="105"/>
        </w:rPr>
        <w:t> </w:t>
      </w:r>
      <w:r>
        <w:rPr>
          <w:color w:val="231F20"/>
          <w:w w:val="105"/>
        </w:rPr>
        <w:t>es</w:t>
      </w:r>
      <w:r>
        <w:rPr>
          <w:color w:val="231F20"/>
          <w:spacing w:val="-20"/>
          <w:w w:val="105"/>
        </w:rPr>
        <w:t> </w:t>
      </w:r>
      <w:r>
        <w:rPr>
          <w:color w:val="231F20"/>
          <w:w w:val="105"/>
        </w:rPr>
        <w:t>ocasión</w:t>
      </w:r>
      <w:r>
        <w:rPr>
          <w:color w:val="231F20"/>
          <w:spacing w:val="-20"/>
          <w:w w:val="105"/>
        </w:rPr>
        <w:t> </w:t>
      </w:r>
      <w:r>
        <w:rPr>
          <w:color w:val="231F20"/>
          <w:w w:val="105"/>
        </w:rPr>
        <w:t>para</w:t>
      </w:r>
      <w:r>
        <w:rPr>
          <w:color w:val="231F20"/>
          <w:spacing w:val="-20"/>
          <w:w w:val="105"/>
        </w:rPr>
        <w:t> </w:t>
      </w:r>
      <w:r>
        <w:rPr>
          <w:color w:val="231F20"/>
          <w:w w:val="105"/>
        </w:rPr>
        <w:t>comprender</w:t>
      </w:r>
      <w:r>
        <w:rPr>
          <w:color w:val="231F20"/>
          <w:spacing w:val="-20"/>
          <w:w w:val="105"/>
        </w:rPr>
        <w:t> </w:t>
      </w:r>
      <w:r>
        <w:rPr>
          <w:color w:val="231F20"/>
          <w:w w:val="105"/>
        </w:rPr>
        <w:t>una</w:t>
      </w:r>
      <w:r>
        <w:rPr>
          <w:color w:val="231F20"/>
          <w:spacing w:val="-20"/>
          <w:w w:val="105"/>
        </w:rPr>
        <w:t> </w:t>
      </w:r>
      <w:r>
        <w:rPr>
          <w:color w:val="231F20"/>
          <w:w w:val="105"/>
        </w:rPr>
        <w:t>o</w:t>
      </w:r>
      <w:r>
        <w:rPr>
          <w:color w:val="231F20"/>
          <w:spacing w:val="-20"/>
          <w:w w:val="105"/>
        </w:rPr>
        <w:t> </w:t>
      </w:r>
      <w:r>
        <w:rPr>
          <w:color w:val="231F20"/>
          <w:w w:val="105"/>
        </w:rPr>
        <w:t>más</w:t>
      </w:r>
      <w:r>
        <w:rPr>
          <w:color w:val="231F20"/>
          <w:spacing w:val="-20"/>
          <w:w w:val="105"/>
        </w:rPr>
        <w:t> </w:t>
      </w:r>
      <w:r>
        <w:rPr>
          <w:color w:val="231F20"/>
          <w:w w:val="105"/>
        </w:rPr>
        <w:t>facetas</w:t>
      </w:r>
      <w:r>
        <w:rPr>
          <w:color w:val="231F20"/>
          <w:spacing w:val="-20"/>
          <w:w w:val="105"/>
        </w:rPr>
        <w:t> </w:t>
      </w:r>
      <w:r>
        <w:rPr>
          <w:color w:val="231F20"/>
          <w:w w:val="105"/>
        </w:rPr>
        <w:t>de un campo de estudio, donde quien comparte su historia y quien invita  a que lo haga transitan por una vía que conduce al presente desde la memoria,</w:t>
      </w:r>
      <w:r>
        <w:rPr>
          <w:color w:val="231F20"/>
          <w:spacing w:val="-13"/>
          <w:w w:val="105"/>
        </w:rPr>
        <w:t> </w:t>
      </w:r>
      <w:r>
        <w:rPr>
          <w:color w:val="231F20"/>
          <w:w w:val="105"/>
        </w:rPr>
        <w:t>por</w:t>
      </w:r>
      <w:r>
        <w:rPr>
          <w:color w:val="231F20"/>
          <w:spacing w:val="-7"/>
          <w:w w:val="105"/>
        </w:rPr>
        <w:t> </w:t>
      </w:r>
      <w:r>
        <w:rPr>
          <w:color w:val="231F20"/>
          <w:w w:val="105"/>
        </w:rPr>
        <w:t>medio</w:t>
      </w:r>
      <w:r>
        <w:rPr>
          <w:color w:val="231F20"/>
          <w:spacing w:val="-7"/>
          <w:w w:val="105"/>
        </w:rPr>
        <w:t> </w:t>
      </w:r>
      <w:r>
        <w:rPr>
          <w:color w:val="231F20"/>
          <w:w w:val="105"/>
        </w:rPr>
        <w:t>de</w:t>
      </w:r>
      <w:r>
        <w:rPr>
          <w:color w:val="231F20"/>
          <w:spacing w:val="-7"/>
          <w:w w:val="105"/>
        </w:rPr>
        <w:t> </w:t>
      </w:r>
      <w:r>
        <w:rPr>
          <w:color w:val="231F20"/>
          <w:w w:val="105"/>
        </w:rPr>
        <w:t>“estudiar</w:t>
      </w:r>
      <w:r>
        <w:rPr>
          <w:color w:val="231F20"/>
          <w:spacing w:val="-7"/>
          <w:w w:val="105"/>
        </w:rPr>
        <w:t> </w:t>
      </w:r>
      <w:r>
        <w:rPr>
          <w:color w:val="231F20"/>
          <w:w w:val="105"/>
        </w:rPr>
        <w:t>intensamente</w:t>
      </w:r>
      <w:r>
        <w:rPr>
          <w:color w:val="231F20"/>
          <w:spacing w:val="-7"/>
          <w:w w:val="105"/>
        </w:rPr>
        <w:t> </w:t>
      </w:r>
      <w:r>
        <w:rPr>
          <w:color w:val="231F20"/>
          <w:w w:val="105"/>
        </w:rPr>
        <w:t>minúsculas</w:t>
      </w:r>
      <w:r>
        <w:rPr>
          <w:color w:val="231F20"/>
          <w:spacing w:val="-7"/>
          <w:w w:val="105"/>
        </w:rPr>
        <w:t> </w:t>
      </w:r>
      <w:r>
        <w:rPr>
          <w:color w:val="231F20"/>
          <w:w w:val="105"/>
        </w:rPr>
        <w:t>parcelas</w:t>
      </w:r>
      <w:r>
        <w:rPr>
          <w:color w:val="231F20"/>
          <w:spacing w:val="-7"/>
          <w:w w:val="105"/>
        </w:rPr>
        <w:t> </w:t>
      </w:r>
      <w:r>
        <w:rPr>
          <w:color w:val="231F20"/>
          <w:w w:val="105"/>
        </w:rPr>
        <w:t>del pasado”</w:t>
      </w:r>
      <w:r>
        <w:rPr>
          <w:color w:val="231F20"/>
          <w:spacing w:val="-16"/>
          <w:w w:val="105"/>
        </w:rPr>
        <w:t> </w:t>
      </w:r>
      <w:r>
        <w:rPr>
          <w:color w:val="231F20"/>
          <w:w w:val="105"/>
        </w:rPr>
        <w:t>(González,</w:t>
      </w:r>
      <w:r>
        <w:rPr>
          <w:color w:val="231F20"/>
          <w:spacing w:val="-21"/>
          <w:w w:val="105"/>
        </w:rPr>
        <w:t> </w:t>
      </w:r>
      <w:r>
        <w:rPr>
          <w:color w:val="231F20"/>
          <w:w w:val="105"/>
        </w:rPr>
        <w:t>2009:</w:t>
      </w:r>
      <w:r>
        <w:rPr>
          <w:color w:val="231F20"/>
          <w:spacing w:val="-16"/>
          <w:w w:val="105"/>
        </w:rPr>
        <w:t> </w:t>
      </w:r>
      <w:r>
        <w:rPr>
          <w:color w:val="231F20"/>
          <w:w w:val="105"/>
        </w:rPr>
        <w:t>60).</w:t>
      </w:r>
      <w:r>
        <w:rPr>
          <w:color w:val="231F20"/>
          <w:spacing w:val="-24"/>
          <w:w w:val="105"/>
        </w:rPr>
        <w:t> </w:t>
      </w:r>
      <w:r>
        <w:rPr>
          <w:color w:val="231F20"/>
          <w:w w:val="105"/>
        </w:rPr>
        <w:t>Así,</w:t>
      </w:r>
      <w:r>
        <w:rPr>
          <w:color w:val="231F20"/>
          <w:spacing w:val="-21"/>
          <w:w w:val="105"/>
        </w:rPr>
        <w:t> </w:t>
      </w:r>
      <w:r>
        <w:rPr>
          <w:color w:val="231F20"/>
          <w:w w:val="105"/>
        </w:rPr>
        <w:t>el</w:t>
      </w:r>
      <w:r>
        <w:rPr>
          <w:color w:val="231F20"/>
          <w:spacing w:val="-16"/>
          <w:w w:val="105"/>
        </w:rPr>
        <w:t> </w:t>
      </w:r>
      <w:r>
        <w:rPr>
          <w:color w:val="231F20"/>
          <w:w w:val="105"/>
        </w:rPr>
        <w:t>relato</w:t>
      </w:r>
      <w:r>
        <w:rPr>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oportunidad</w:t>
      </w:r>
      <w:r>
        <w:rPr>
          <w:color w:val="231F20"/>
          <w:spacing w:val="-16"/>
          <w:w w:val="105"/>
        </w:rPr>
        <w:t> </w:t>
      </w:r>
      <w:r>
        <w:rPr>
          <w:color w:val="231F20"/>
          <w:w w:val="105"/>
        </w:rPr>
        <w:t>para</w:t>
      </w:r>
      <w:r>
        <w:rPr>
          <w:color w:val="231F20"/>
          <w:spacing w:val="-16"/>
          <w:w w:val="105"/>
        </w:rPr>
        <w:t> </w:t>
      </w:r>
      <w:r>
        <w:rPr>
          <w:color w:val="231F20"/>
          <w:w w:val="105"/>
        </w:rPr>
        <w:t>cono- cer</w:t>
      </w:r>
      <w:r>
        <w:rPr>
          <w:color w:val="231F20"/>
          <w:spacing w:val="-26"/>
          <w:w w:val="105"/>
        </w:rPr>
        <w:t> </w:t>
      </w:r>
      <w:r>
        <w:rPr>
          <w:color w:val="231F20"/>
          <w:w w:val="105"/>
        </w:rPr>
        <w:t>lo</w:t>
      </w:r>
      <w:r>
        <w:rPr>
          <w:color w:val="231F20"/>
          <w:spacing w:val="-26"/>
          <w:w w:val="105"/>
        </w:rPr>
        <w:t> </w:t>
      </w:r>
      <w:r>
        <w:rPr>
          <w:color w:val="231F20"/>
          <w:w w:val="105"/>
        </w:rPr>
        <w:t>que</w:t>
      </w:r>
      <w:r>
        <w:rPr>
          <w:color w:val="231F20"/>
          <w:spacing w:val="-26"/>
          <w:w w:val="105"/>
        </w:rPr>
        <w:t> </w:t>
      </w:r>
      <w:r>
        <w:rPr>
          <w:color w:val="231F20"/>
          <w:w w:val="105"/>
        </w:rPr>
        <w:t>las</w:t>
      </w:r>
      <w:r>
        <w:rPr>
          <w:color w:val="231F20"/>
          <w:spacing w:val="-26"/>
          <w:w w:val="105"/>
        </w:rPr>
        <w:t> </w:t>
      </w:r>
      <w:r>
        <w:rPr>
          <w:color w:val="231F20"/>
          <w:w w:val="105"/>
        </w:rPr>
        <w:t>personas</w:t>
      </w:r>
      <w:r>
        <w:rPr>
          <w:color w:val="231F20"/>
          <w:spacing w:val="-26"/>
          <w:w w:val="105"/>
        </w:rPr>
        <w:t> </w:t>
      </w:r>
      <w:r>
        <w:rPr>
          <w:color w:val="231F20"/>
          <w:w w:val="105"/>
        </w:rPr>
        <w:t>sienten,</w:t>
      </w:r>
      <w:r>
        <w:rPr>
          <w:color w:val="231F20"/>
          <w:spacing w:val="-30"/>
          <w:w w:val="105"/>
        </w:rPr>
        <w:t> </w:t>
      </w:r>
      <w:r>
        <w:rPr>
          <w:color w:val="231F20"/>
          <w:w w:val="105"/>
        </w:rPr>
        <w:t>piensan</w:t>
      </w:r>
      <w:r>
        <w:rPr>
          <w:color w:val="231F20"/>
          <w:spacing w:val="-26"/>
          <w:w w:val="105"/>
        </w:rPr>
        <w:t> </w:t>
      </w:r>
      <w:r>
        <w:rPr>
          <w:color w:val="231F20"/>
          <w:w w:val="105"/>
        </w:rPr>
        <w:t>y</w:t>
      </w:r>
      <w:r>
        <w:rPr>
          <w:color w:val="231F20"/>
          <w:spacing w:val="-26"/>
          <w:w w:val="105"/>
        </w:rPr>
        <w:t> </w:t>
      </w:r>
      <w:r>
        <w:rPr>
          <w:color w:val="231F20"/>
          <w:w w:val="105"/>
        </w:rPr>
        <w:t>expresan</w:t>
      </w:r>
      <w:r>
        <w:rPr>
          <w:color w:val="231F20"/>
          <w:spacing w:val="-26"/>
          <w:w w:val="105"/>
        </w:rPr>
        <w:t> </w:t>
      </w:r>
      <w:r>
        <w:rPr>
          <w:color w:val="231F20"/>
          <w:w w:val="105"/>
        </w:rPr>
        <w:t>sobre</w:t>
      </w:r>
      <w:r>
        <w:rPr>
          <w:color w:val="231F20"/>
          <w:spacing w:val="-26"/>
          <w:w w:val="105"/>
        </w:rPr>
        <w:t> </w:t>
      </w:r>
      <w:r>
        <w:rPr>
          <w:color w:val="231F20"/>
          <w:w w:val="105"/>
        </w:rPr>
        <w:t>hechos</w:t>
      </w:r>
      <w:r>
        <w:rPr>
          <w:color w:val="231F20"/>
          <w:spacing w:val="-26"/>
          <w:w w:val="105"/>
        </w:rPr>
        <w:t> </w:t>
      </w:r>
      <w:r>
        <w:rPr>
          <w:color w:val="231F20"/>
          <w:w w:val="105"/>
        </w:rPr>
        <w:t>memo- rables,</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vivencia,</w:t>
      </w:r>
      <w:r>
        <w:rPr>
          <w:color w:val="231F20"/>
          <w:spacing w:val="-10"/>
          <w:w w:val="105"/>
        </w:rPr>
        <w:t> </w:t>
      </w:r>
      <w:r>
        <w:rPr>
          <w:color w:val="231F20"/>
          <w:w w:val="105"/>
        </w:rPr>
        <w:t>significan</w:t>
      </w:r>
      <w:r>
        <w:rPr>
          <w:color w:val="231F20"/>
          <w:spacing w:val="-5"/>
          <w:w w:val="105"/>
        </w:rPr>
        <w:t> </w:t>
      </w:r>
      <w:r>
        <w:rPr>
          <w:color w:val="231F20"/>
          <w:w w:val="105"/>
        </w:rPr>
        <w:t>tanto</w:t>
      </w:r>
      <w:r>
        <w:rPr>
          <w:color w:val="231F20"/>
          <w:spacing w:val="-5"/>
          <w:w w:val="105"/>
        </w:rPr>
        <w:t> </w:t>
      </w:r>
      <w:r>
        <w:rPr>
          <w:color w:val="231F20"/>
          <w:w w:val="105"/>
        </w:rPr>
        <w:t>que</w:t>
      </w:r>
      <w:r>
        <w:rPr>
          <w:color w:val="231F20"/>
          <w:spacing w:val="-5"/>
          <w:w w:val="105"/>
        </w:rPr>
        <w:t> </w:t>
      </w:r>
      <w:r>
        <w:rPr>
          <w:color w:val="231F20"/>
          <w:w w:val="105"/>
        </w:rPr>
        <w:t>mediante</w:t>
      </w:r>
      <w:r>
        <w:rPr>
          <w:color w:val="231F20"/>
          <w:spacing w:val="-5"/>
          <w:w w:val="105"/>
        </w:rPr>
        <w:t> </w:t>
      </w:r>
      <w:r>
        <w:rPr>
          <w:color w:val="231F20"/>
          <w:w w:val="105"/>
        </w:rPr>
        <w:t>los</w:t>
      </w:r>
      <w:r>
        <w:rPr>
          <w:color w:val="231F20"/>
          <w:spacing w:val="-5"/>
          <w:w w:val="105"/>
        </w:rPr>
        <w:t> </w:t>
      </w:r>
      <w:r>
        <w:rPr>
          <w:color w:val="231F20"/>
          <w:w w:val="105"/>
        </w:rPr>
        <w:t>recuerdos remontan el tiempo con la pretensión de alumbrar el pensamiento y la comprensión</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determinado</w:t>
      </w:r>
      <w:r>
        <w:rPr>
          <w:color w:val="231F20"/>
          <w:spacing w:val="-11"/>
          <w:w w:val="105"/>
        </w:rPr>
        <w:t> </w:t>
      </w:r>
      <w:r>
        <w:rPr>
          <w:color w:val="231F20"/>
          <w:w w:val="105"/>
        </w:rPr>
        <w:t>hecho</w:t>
      </w:r>
      <w:r>
        <w:rPr>
          <w:color w:val="231F20"/>
          <w:spacing w:val="-11"/>
          <w:w w:val="105"/>
        </w:rPr>
        <w:t> </w:t>
      </w:r>
      <w:r>
        <w:rPr>
          <w:color w:val="231F20"/>
          <w:w w:val="105"/>
        </w:rPr>
        <w:t>social,</w:t>
      </w:r>
      <w:r>
        <w:rPr>
          <w:color w:val="231F20"/>
          <w:spacing w:val="-17"/>
          <w:w w:val="105"/>
        </w:rPr>
        <w:t> </w:t>
      </w:r>
      <w:r>
        <w:rPr>
          <w:color w:val="231F20"/>
          <w:w w:val="105"/>
        </w:rPr>
        <w:t>a</w:t>
      </w:r>
      <w:r>
        <w:rPr>
          <w:color w:val="231F20"/>
          <w:spacing w:val="-11"/>
          <w:w w:val="105"/>
        </w:rPr>
        <w:t> </w:t>
      </w:r>
      <w:r>
        <w:rPr>
          <w:color w:val="231F20"/>
          <w:w w:val="105"/>
        </w:rPr>
        <w:t>partir</w:t>
      </w:r>
      <w:r>
        <w:rPr>
          <w:color w:val="231F20"/>
          <w:spacing w:val="-11"/>
          <w:w w:val="105"/>
        </w:rPr>
        <w:t> </w:t>
      </w:r>
      <w:r>
        <w:rPr>
          <w:color w:val="231F20"/>
          <w:w w:val="105"/>
        </w:rPr>
        <w:t>de</w:t>
      </w:r>
      <w:r>
        <w:rPr>
          <w:color w:val="231F20"/>
          <w:spacing w:val="-11"/>
          <w:w w:val="105"/>
        </w:rPr>
        <w:t> </w:t>
      </w:r>
      <w:r>
        <w:rPr>
          <w:color w:val="231F20"/>
          <w:w w:val="105"/>
        </w:rPr>
        <w:t>lo</w:t>
      </w:r>
      <w:r>
        <w:rPr>
          <w:color w:val="231F20"/>
          <w:spacing w:val="-11"/>
          <w:w w:val="105"/>
        </w:rPr>
        <w:t> </w:t>
      </w:r>
      <w:r>
        <w:rPr>
          <w:color w:val="231F20"/>
          <w:w w:val="105"/>
        </w:rPr>
        <w:t>acaecido</w:t>
      </w:r>
      <w:r>
        <w:rPr>
          <w:color w:val="231F20"/>
          <w:spacing w:val="-11"/>
          <w:w w:val="105"/>
        </w:rPr>
        <w:t> </w:t>
      </w:r>
      <w:r>
        <w:rPr>
          <w:color w:val="231F20"/>
          <w:w w:val="105"/>
        </w:rPr>
        <w:t>en circunstancias</w:t>
      </w:r>
      <w:r>
        <w:rPr>
          <w:color w:val="231F20"/>
          <w:spacing w:val="-38"/>
          <w:w w:val="105"/>
        </w:rPr>
        <w:t> </w:t>
      </w:r>
      <w:r>
        <w:rPr>
          <w:color w:val="231F20"/>
          <w:w w:val="105"/>
        </w:rPr>
        <w:t>y</w:t>
      </w:r>
      <w:r>
        <w:rPr>
          <w:color w:val="231F20"/>
          <w:spacing w:val="-38"/>
          <w:w w:val="105"/>
        </w:rPr>
        <w:t> </w:t>
      </w:r>
      <w:r>
        <w:rPr>
          <w:color w:val="231F20"/>
          <w:w w:val="105"/>
        </w:rPr>
        <w:t>lugares</w:t>
      </w:r>
      <w:r>
        <w:rPr>
          <w:color w:val="231F20"/>
          <w:spacing w:val="-38"/>
          <w:w w:val="105"/>
        </w:rPr>
        <w:t> </w:t>
      </w:r>
      <w:r>
        <w:rPr>
          <w:color w:val="231F20"/>
          <w:w w:val="105"/>
        </w:rPr>
        <w:t>determinados.</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p>
      <w:pPr>
        <w:pStyle w:val="BodyText"/>
        <w:spacing w:line="261" w:lineRule="auto" w:before="60"/>
        <w:ind w:left="1723" w:right="1834"/>
        <w:jc w:val="both"/>
      </w:pPr>
      <w:r>
        <w:rPr>
          <w:color w:val="231F20"/>
        </w:rPr>
        <w:t>Quien está interesado en comprender y quien abre su intimidad esta- blecen vínculos dialogantes a través de una historia vívida. Vínculos que cuanto más auténticos, más humanos, por lo que se alejan de las formas  y contenidos comúnmente asociados a la entrevista, a la entrevista </w:t>
      </w:r>
      <w:r>
        <w:rPr>
          <w:color w:val="231F20"/>
          <w:spacing w:val="-3"/>
        </w:rPr>
        <w:t>“co- </w:t>
      </w:r>
      <w:r>
        <w:rPr>
          <w:color w:val="231F20"/>
          <w:spacing w:val="-6"/>
        </w:rPr>
        <w:t>mún”. </w:t>
      </w:r>
      <w:r>
        <w:rPr>
          <w:color w:val="231F20"/>
        </w:rPr>
        <w:t>Afirma Bourdieu: </w:t>
      </w:r>
      <w:r>
        <w:rPr>
          <w:color w:val="231F20"/>
          <w:spacing w:val="-4"/>
        </w:rPr>
        <w:t>“a </w:t>
      </w:r>
      <w:r>
        <w:rPr>
          <w:color w:val="231F20"/>
        </w:rPr>
        <w:t>riesgo de ser chocante para los metodólogos rigurosos como para los hermeneutas inspirados, yo diría que la entrevis- ta puede considerarse como una forma de </w:t>
      </w:r>
      <w:r>
        <w:rPr>
          <w:rFonts w:ascii="Arial" w:hAnsi="Arial"/>
          <w:i/>
          <w:color w:val="231F20"/>
        </w:rPr>
        <w:t>ejercicio espiritual </w:t>
      </w:r>
      <w:r>
        <w:rPr>
          <w:color w:val="231F20"/>
        </w:rPr>
        <w:t>que apunta  a obtener, mediante </w:t>
      </w:r>
      <w:r>
        <w:rPr>
          <w:rFonts w:ascii="Arial" w:hAnsi="Arial"/>
          <w:i/>
          <w:color w:val="231F20"/>
        </w:rPr>
        <w:t>el olvido de sí mismo</w:t>
      </w:r>
      <w:r>
        <w:rPr>
          <w:color w:val="231F20"/>
        </w:rPr>
        <w:t>, una verdadera conversión de  la mirada que dirigimos a los otros en las circunstancias corrientes de la vida” (1993:</w:t>
      </w:r>
      <w:r>
        <w:rPr>
          <w:color w:val="231F20"/>
          <w:spacing w:val="33"/>
        </w:rPr>
        <w:t> </w:t>
      </w:r>
      <w:r>
        <w:rPr>
          <w:color w:val="231F20"/>
        </w:rPr>
        <w:t>533).</w:t>
      </w:r>
    </w:p>
    <w:p>
      <w:pPr>
        <w:pStyle w:val="BodyText"/>
        <w:spacing w:line="261" w:lineRule="auto" w:before="1"/>
        <w:ind w:left="1723" w:right="1834" w:firstLine="567"/>
        <w:jc w:val="both"/>
      </w:pPr>
      <w:r>
        <w:rPr>
          <w:color w:val="231F20"/>
          <w:w w:val="105"/>
        </w:rPr>
        <w:t>La</w:t>
      </w:r>
      <w:r>
        <w:rPr>
          <w:color w:val="231F20"/>
          <w:spacing w:val="-31"/>
          <w:w w:val="105"/>
        </w:rPr>
        <w:t> </w:t>
      </w:r>
      <w:r>
        <w:rPr>
          <w:color w:val="231F20"/>
          <w:w w:val="105"/>
        </w:rPr>
        <w:t>existencia</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w w:val="105"/>
        </w:rPr>
        <w:t>personas</w:t>
      </w:r>
      <w:r>
        <w:rPr>
          <w:color w:val="231F20"/>
          <w:spacing w:val="-31"/>
          <w:w w:val="105"/>
        </w:rPr>
        <w:t> </w:t>
      </w:r>
      <w:r>
        <w:rPr>
          <w:color w:val="231F20"/>
          <w:w w:val="105"/>
        </w:rPr>
        <w:t>no</w:t>
      </w:r>
      <w:r>
        <w:rPr>
          <w:color w:val="231F20"/>
          <w:spacing w:val="-31"/>
          <w:w w:val="105"/>
        </w:rPr>
        <w:t> </w:t>
      </w:r>
      <w:r>
        <w:rPr>
          <w:color w:val="231F20"/>
          <w:w w:val="105"/>
        </w:rPr>
        <w:t>transcurre</w:t>
      </w:r>
      <w:r>
        <w:rPr>
          <w:color w:val="231F20"/>
          <w:spacing w:val="-31"/>
          <w:w w:val="105"/>
        </w:rPr>
        <w:t> </w:t>
      </w:r>
      <w:r>
        <w:rPr>
          <w:color w:val="231F20"/>
          <w:w w:val="105"/>
        </w:rPr>
        <w:t>sin</w:t>
      </w:r>
      <w:r>
        <w:rPr>
          <w:color w:val="231F20"/>
          <w:spacing w:val="-31"/>
          <w:w w:val="105"/>
        </w:rPr>
        <w:t> </w:t>
      </w:r>
      <w:r>
        <w:rPr>
          <w:color w:val="231F20"/>
          <w:w w:val="105"/>
        </w:rPr>
        <w:t>el</w:t>
      </w:r>
      <w:r>
        <w:rPr>
          <w:color w:val="231F20"/>
          <w:spacing w:val="-31"/>
          <w:w w:val="105"/>
        </w:rPr>
        <w:t> </w:t>
      </w:r>
      <w:r>
        <w:rPr>
          <w:color w:val="231F20"/>
          <w:w w:val="105"/>
        </w:rPr>
        <w:t>contacto</w:t>
      </w:r>
      <w:r>
        <w:rPr>
          <w:color w:val="231F20"/>
          <w:spacing w:val="-31"/>
          <w:w w:val="105"/>
        </w:rPr>
        <w:t> </w:t>
      </w:r>
      <w:r>
        <w:rPr>
          <w:color w:val="231F20"/>
          <w:w w:val="105"/>
        </w:rPr>
        <w:t>con</w:t>
      </w:r>
      <w:r>
        <w:rPr>
          <w:color w:val="231F20"/>
          <w:spacing w:val="-31"/>
          <w:w w:val="105"/>
        </w:rPr>
        <w:t> </w:t>
      </w:r>
      <w:r>
        <w:rPr>
          <w:color w:val="231F20"/>
          <w:w w:val="105"/>
        </w:rPr>
        <w:t>otras vidas,</w:t>
      </w:r>
      <w:r>
        <w:rPr>
          <w:color w:val="231F20"/>
          <w:spacing w:val="-27"/>
          <w:w w:val="105"/>
        </w:rPr>
        <w:t> </w:t>
      </w:r>
      <w:r>
        <w:rPr>
          <w:color w:val="231F20"/>
          <w:w w:val="105"/>
        </w:rPr>
        <w:t>y</w:t>
      </w:r>
      <w:r>
        <w:rPr>
          <w:color w:val="231F20"/>
          <w:spacing w:val="-21"/>
          <w:w w:val="105"/>
        </w:rPr>
        <w:t> </w:t>
      </w:r>
      <w:r>
        <w:rPr>
          <w:color w:val="231F20"/>
          <w:w w:val="105"/>
        </w:rPr>
        <w:t>los</w:t>
      </w:r>
      <w:r>
        <w:rPr>
          <w:color w:val="231F20"/>
          <w:spacing w:val="-21"/>
          <w:w w:val="105"/>
        </w:rPr>
        <w:t> </w:t>
      </w:r>
      <w:r>
        <w:rPr>
          <w:color w:val="231F20"/>
          <w:w w:val="105"/>
        </w:rPr>
        <w:t>recuerdos</w:t>
      </w:r>
      <w:r>
        <w:rPr>
          <w:color w:val="231F20"/>
          <w:spacing w:val="-21"/>
          <w:w w:val="105"/>
        </w:rPr>
        <w:t> </w:t>
      </w:r>
      <w:r>
        <w:rPr>
          <w:color w:val="231F20"/>
          <w:w w:val="105"/>
        </w:rPr>
        <w:t>que</w:t>
      </w:r>
      <w:r>
        <w:rPr>
          <w:color w:val="231F20"/>
          <w:spacing w:val="-21"/>
          <w:w w:val="105"/>
        </w:rPr>
        <w:t> </w:t>
      </w:r>
      <w:r>
        <w:rPr>
          <w:color w:val="231F20"/>
          <w:w w:val="105"/>
        </w:rPr>
        <w:t>de</w:t>
      </w:r>
      <w:r>
        <w:rPr>
          <w:color w:val="231F20"/>
          <w:spacing w:val="-21"/>
          <w:w w:val="105"/>
        </w:rPr>
        <w:t> </w:t>
      </w:r>
      <w:r>
        <w:rPr>
          <w:color w:val="231F20"/>
          <w:w w:val="105"/>
        </w:rPr>
        <w:t>ésta</w:t>
      </w:r>
      <w:r>
        <w:rPr>
          <w:color w:val="231F20"/>
          <w:spacing w:val="-21"/>
          <w:w w:val="105"/>
        </w:rPr>
        <w:t> </w:t>
      </w:r>
      <w:r>
        <w:rPr>
          <w:color w:val="231F20"/>
          <w:w w:val="105"/>
        </w:rPr>
        <w:t>se</w:t>
      </w:r>
      <w:r>
        <w:rPr>
          <w:color w:val="231F20"/>
          <w:spacing w:val="-21"/>
          <w:w w:val="105"/>
        </w:rPr>
        <w:t> </w:t>
      </w:r>
      <w:r>
        <w:rPr>
          <w:color w:val="231F20"/>
          <w:w w:val="105"/>
        </w:rPr>
        <w:t>deslizan</w:t>
      </w:r>
      <w:r>
        <w:rPr>
          <w:color w:val="231F20"/>
          <w:spacing w:val="-21"/>
          <w:w w:val="105"/>
        </w:rPr>
        <w:t> </w:t>
      </w:r>
      <w:r>
        <w:rPr>
          <w:color w:val="231F20"/>
          <w:w w:val="105"/>
        </w:rPr>
        <w:t>en</w:t>
      </w:r>
      <w:r>
        <w:rPr>
          <w:color w:val="231F20"/>
          <w:spacing w:val="-21"/>
          <w:w w:val="105"/>
        </w:rPr>
        <w:t> </w:t>
      </w:r>
      <w:r>
        <w:rPr>
          <w:color w:val="231F20"/>
          <w:w w:val="105"/>
        </w:rPr>
        <w:t>un</w:t>
      </w:r>
      <w:r>
        <w:rPr>
          <w:color w:val="231F20"/>
          <w:spacing w:val="-21"/>
          <w:w w:val="105"/>
        </w:rPr>
        <w:t> </w:t>
      </w:r>
      <w:r>
        <w:rPr>
          <w:color w:val="231F20"/>
          <w:w w:val="105"/>
        </w:rPr>
        <w:t>relato</w:t>
      </w:r>
      <w:r>
        <w:rPr>
          <w:color w:val="231F20"/>
          <w:spacing w:val="-21"/>
          <w:w w:val="105"/>
        </w:rPr>
        <w:t> </w:t>
      </w:r>
      <w:r>
        <w:rPr>
          <w:color w:val="231F20"/>
          <w:w w:val="105"/>
        </w:rPr>
        <w:t>son</w:t>
      </w:r>
      <w:r>
        <w:rPr>
          <w:color w:val="231F20"/>
          <w:spacing w:val="-21"/>
          <w:w w:val="105"/>
        </w:rPr>
        <w:t> </w:t>
      </w:r>
      <w:r>
        <w:rPr>
          <w:color w:val="231F20"/>
          <w:w w:val="105"/>
        </w:rPr>
        <w:t>matizados por</w:t>
      </w:r>
      <w:r>
        <w:rPr>
          <w:color w:val="231F20"/>
          <w:spacing w:val="-10"/>
          <w:w w:val="105"/>
        </w:rPr>
        <w:t> </w:t>
      </w:r>
      <w:r>
        <w:rPr>
          <w:color w:val="231F20"/>
          <w:w w:val="105"/>
        </w:rPr>
        <w:t>el</w:t>
      </w:r>
      <w:r>
        <w:rPr>
          <w:color w:val="231F20"/>
          <w:spacing w:val="-10"/>
          <w:w w:val="105"/>
        </w:rPr>
        <w:t> </w:t>
      </w:r>
      <w:r>
        <w:rPr>
          <w:color w:val="231F20"/>
          <w:w w:val="105"/>
        </w:rPr>
        <w:t>interés</w:t>
      </w:r>
      <w:r>
        <w:rPr>
          <w:color w:val="231F20"/>
          <w:spacing w:val="-10"/>
          <w:w w:val="105"/>
        </w:rPr>
        <w:t> </w:t>
      </w:r>
      <w:r>
        <w:rPr>
          <w:color w:val="231F20"/>
          <w:w w:val="105"/>
        </w:rPr>
        <w:t>de</w:t>
      </w:r>
      <w:r>
        <w:rPr>
          <w:color w:val="231F20"/>
          <w:spacing w:val="-10"/>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quiere</w:t>
      </w:r>
      <w:r>
        <w:rPr>
          <w:color w:val="231F20"/>
          <w:spacing w:val="-10"/>
          <w:w w:val="105"/>
        </w:rPr>
        <w:t> </w:t>
      </w:r>
      <w:r>
        <w:rPr>
          <w:color w:val="231F20"/>
          <w:w w:val="105"/>
        </w:rPr>
        <w:t>decir,</w:t>
      </w:r>
      <w:r>
        <w:rPr>
          <w:color w:val="231F20"/>
          <w:spacing w:val="-15"/>
          <w:w w:val="105"/>
        </w:rPr>
        <w:t> </w:t>
      </w:r>
      <w:r>
        <w:rPr>
          <w:color w:val="231F20"/>
          <w:w w:val="105"/>
        </w:rPr>
        <w:t>compartir,</w:t>
      </w:r>
      <w:r>
        <w:rPr>
          <w:color w:val="231F20"/>
          <w:spacing w:val="-15"/>
          <w:w w:val="105"/>
        </w:rPr>
        <w:t> </w:t>
      </w:r>
      <w:r>
        <w:rPr>
          <w:color w:val="231F20"/>
          <w:w w:val="105"/>
        </w:rPr>
        <w:t>evocar,</w:t>
      </w:r>
      <w:r>
        <w:rPr>
          <w:color w:val="231F20"/>
          <w:spacing w:val="-15"/>
          <w:w w:val="105"/>
        </w:rPr>
        <w:t> </w:t>
      </w:r>
      <w:r>
        <w:rPr>
          <w:color w:val="231F20"/>
          <w:w w:val="105"/>
        </w:rPr>
        <w:t>revivir,</w:t>
      </w:r>
      <w:r>
        <w:rPr>
          <w:color w:val="231F20"/>
          <w:spacing w:val="-15"/>
          <w:w w:val="105"/>
        </w:rPr>
        <w:t> </w:t>
      </w:r>
      <w:r>
        <w:rPr>
          <w:color w:val="231F20"/>
          <w:w w:val="105"/>
        </w:rPr>
        <w:t>olvidar o</w:t>
      </w:r>
      <w:r>
        <w:rPr>
          <w:color w:val="231F20"/>
          <w:spacing w:val="-11"/>
          <w:w w:val="105"/>
        </w:rPr>
        <w:t> </w:t>
      </w:r>
      <w:r>
        <w:rPr>
          <w:color w:val="231F20"/>
          <w:w w:val="105"/>
        </w:rPr>
        <w:t>ignorar.</w:t>
      </w:r>
      <w:r>
        <w:rPr>
          <w:color w:val="231F20"/>
          <w:spacing w:val="-16"/>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narración</w:t>
      </w:r>
      <w:r>
        <w:rPr>
          <w:color w:val="231F20"/>
          <w:spacing w:val="-11"/>
          <w:w w:val="105"/>
        </w:rPr>
        <w:t> </w:t>
      </w:r>
      <w:r>
        <w:rPr>
          <w:color w:val="231F20"/>
          <w:w w:val="105"/>
        </w:rPr>
        <w:t>de</w:t>
      </w:r>
      <w:r>
        <w:rPr>
          <w:color w:val="231F20"/>
          <w:spacing w:val="-11"/>
          <w:w w:val="105"/>
        </w:rPr>
        <w:t> </w:t>
      </w:r>
      <w:r>
        <w:rPr>
          <w:color w:val="231F20"/>
          <w:w w:val="105"/>
        </w:rPr>
        <w:t>su</w:t>
      </w:r>
      <w:r>
        <w:rPr>
          <w:color w:val="231F20"/>
          <w:spacing w:val="-11"/>
          <w:w w:val="105"/>
        </w:rPr>
        <w:t> </w:t>
      </w:r>
      <w:r>
        <w:rPr>
          <w:color w:val="231F20"/>
          <w:w w:val="105"/>
        </w:rPr>
        <w:t>historia,</w:t>
      </w:r>
      <w:r>
        <w:rPr>
          <w:color w:val="231F20"/>
          <w:spacing w:val="-16"/>
          <w:w w:val="105"/>
        </w:rPr>
        <w:t> </w:t>
      </w:r>
      <w:r>
        <w:rPr>
          <w:color w:val="231F20"/>
          <w:w w:val="105"/>
        </w:rPr>
        <w:t>la</w:t>
      </w:r>
      <w:r>
        <w:rPr>
          <w:color w:val="231F20"/>
          <w:spacing w:val="-11"/>
          <w:w w:val="105"/>
        </w:rPr>
        <w:t> </w:t>
      </w:r>
      <w:r>
        <w:rPr>
          <w:color w:val="231F20"/>
          <w:w w:val="105"/>
        </w:rPr>
        <w:t>persona</w:t>
      </w:r>
      <w:r>
        <w:rPr>
          <w:color w:val="231F20"/>
          <w:spacing w:val="-11"/>
          <w:w w:val="105"/>
        </w:rPr>
        <w:t> </w:t>
      </w:r>
      <w:r>
        <w:rPr>
          <w:color w:val="231F20"/>
          <w:w w:val="105"/>
        </w:rPr>
        <w:t>se</w:t>
      </w:r>
      <w:r>
        <w:rPr>
          <w:color w:val="231F20"/>
          <w:spacing w:val="-11"/>
          <w:w w:val="105"/>
        </w:rPr>
        <w:t> </w:t>
      </w:r>
      <w:r>
        <w:rPr>
          <w:color w:val="231F20"/>
          <w:w w:val="105"/>
        </w:rPr>
        <w:t>reencuentra</w:t>
      </w:r>
      <w:r>
        <w:rPr>
          <w:color w:val="231F20"/>
          <w:spacing w:val="-11"/>
          <w:w w:val="105"/>
        </w:rPr>
        <w:t> </w:t>
      </w:r>
      <w:r>
        <w:rPr>
          <w:color w:val="231F20"/>
          <w:w w:val="105"/>
        </w:rPr>
        <w:t>y</w:t>
      </w:r>
      <w:r>
        <w:rPr>
          <w:color w:val="231F20"/>
          <w:spacing w:val="-11"/>
          <w:w w:val="105"/>
        </w:rPr>
        <w:t> </w:t>
      </w:r>
      <w:r>
        <w:rPr>
          <w:color w:val="231F20"/>
          <w:w w:val="105"/>
        </w:rPr>
        <w:t>pri- vilegia</w:t>
      </w:r>
      <w:r>
        <w:rPr>
          <w:color w:val="231F20"/>
          <w:spacing w:val="-14"/>
          <w:w w:val="105"/>
        </w:rPr>
        <w:t> </w:t>
      </w:r>
      <w:r>
        <w:rPr>
          <w:color w:val="231F20"/>
          <w:w w:val="105"/>
        </w:rPr>
        <w:t>los</w:t>
      </w:r>
      <w:r>
        <w:rPr>
          <w:color w:val="231F20"/>
          <w:spacing w:val="-14"/>
          <w:w w:val="105"/>
        </w:rPr>
        <w:t> </w:t>
      </w:r>
      <w:r>
        <w:rPr>
          <w:color w:val="231F20"/>
          <w:w w:val="105"/>
        </w:rPr>
        <w:t>aspectos</w:t>
      </w:r>
      <w:r>
        <w:rPr>
          <w:color w:val="231F20"/>
          <w:spacing w:val="-14"/>
          <w:w w:val="105"/>
        </w:rPr>
        <w:t> </w:t>
      </w:r>
      <w:r>
        <w:rPr>
          <w:color w:val="231F20"/>
          <w:w w:val="105"/>
        </w:rPr>
        <w:t>que</w:t>
      </w:r>
      <w:r>
        <w:rPr>
          <w:color w:val="231F20"/>
          <w:spacing w:val="-14"/>
          <w:w w:val="105"/>
        </w:rPr>
        <w:t> </w:t>
      </w:r>
      <w:r>
        <w:rPr>
          <w:color w:val="231F20"/>
          <w:w w:val="105"/>
        </w:rPr>
        <w:t>quiere</w:t>
      </w:r>
      <w:r>
        <w:rPr>
          <w:color w:val="231F20"/>
          <w:spacing w:val="-14"/>
          <w:w w:val="105"/>
        </w:rPr>
        <w:t> </w:t>
      </w:r>
      <w:r>
        <w:rPr>
          <w:color w:val="231F20"/>
          <w:w w:val="105"/>
        </w:rPr>
        <w:t>recordar</w:t>
      </w:r>
      <w:r>
        <w:rPr>
          <w:color w:val="231F20"/>
          <w:spacing w:val="-14"/>
          <w:w w:val="105"/>
        </w:rPr>
        <w:t> </w:t>
      </w:r>
      <w:r>
        <w:rPr>
          <w:color w:val="231F20"/>
          <w:spacing w:val="-4"/>
          <w:w w:val="105"/>
        </w:rPr>
        <w:t>y,</w:t>
      </w:r>
      <w:r>
        <w:rPr>
          <w:color w:val="231F20"/>
          <w:spacing w:val="-21"/>
          <w:w w:val="105"/>
        </w:rPr>
        <w:t> </w:t>
      </w:r>
      <w:r>
        <w:rPr>
          <w:color w:val="231F20"/>
          <w:w w:val="105"/>
        </w:rPr>
        <w:t>también,</w:t>
      </w:r>
      <w:r>
        <w:rPr>
          <w:color w:val="231F20"/>
          <w:spacing w:val="-21"/>
          <w:w w:val="105"/>
        </w:rPr>
        <w:t> </w:t>
      </w:r>
      <w:r>
        <w:rPr>
          <w:color w:val="231F20"/>
          <w:w w:val="105"/>
        </w:rPr>
        <w:t>por</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quiere</w:t>
      </w:r>
      <w:r>
        <w:rPr>
          <w:color w:val="231F20"/>
          <w:spacing w:val="-14"/>
          <w:w w:val="105"/>
        </w:rPr>
        <w:t> </w:t>
      </w:r>
      <w:r>
        <w:rPr>
          <w:color w:val="231F20"/>
          <w:w w:val="105"/>
        </w:rPr>
        <w:t>ser recordada.</w:t>
      </w:r>
      <w:r>
        <w:rPr>
          <w:color w:val="231F20"/>
          <w:spacing w:val="-17"/>
          <w:w w:val="105"/>
        </w:rPr>
        <w:t> </w:t>
      </w:r>
      <w:r>
        <w:rPr>
          <w:color w:val="231F20"/>
          <w:w w:val="105"/>
        </w:rPr>
        <w:t>Una</w:t>
      </w:r>
      <w:r>
        <w:rPr>
          <w:color w:val="231F20"/>
          <w:spacing w:val="-12"/>
          <w:w w:val="105"/>
        </w:rPr>
        <w:t> </w:t>
      </w:r>
      <w:r>
        <w:rPr>
          <w:color w:val="231F20"/>
          <w:w w:val="105"/>
        </w:rPr>
        <w:t>vida</w:t>
      </w:r>
      <w:r>
        <w:rPr>
          <w:color w:val="231F20"/>
          <w:spacing w:val="-12"/>
          <w:w w:val="105"/>
        </w:rPr>
        <w:t> </w:t>
      </w:r>
      <w:r>
        <w:rPr>
          <w:color w:val="231F20"/>
          <w:w w:val="105"/>
        </w:rPr>
        <w:t>traída</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memoria</w:t>
      </w:r>
      <w:r>
        <w:rPr>
          <w:color w:val="231F20"/>
          <w:spacing w:val="-12"/>
          <w:w w:val="105"/>
        </w:rPr>
        <w:t> </w:t>
      </w:r>
      <w:r>
        <w:rPr>
          <w:color w:val="231F20"/>
          <w:w w:val="105"/>
        </w:rPr>
        <w:t>escapa</w:t>
      </w:r>
      <w:r>
        <w:rPr>
          <w:color w:val="231F20"/>
          <w:spacing w:val="-12"/>
          <w:w w:val="105"/>
        </w:rPr>
        <w:t> </w:t>
      </w:r>
      <w:r>
        <w:rPr>
          <w:color w:val="231F20"/>
          <w:w w:val="105"/>
        </w:rPr>
        <w:t>del</w:t>
      </w:r>
      <w:r>
        <w:rPr>
          <w:color w:val="231F20"/>
          <w:spacing w:val="-12"/>
          <w:w w:val="105"/>
        </w:rPr>
        <w:t> </w:t>
      </w:r>
      <w:r>
        <w:rPr>
          <w:color w:val="231F20"/>
          <w:w w:val="105"/>
        </w:rPr>
        <w:t>olvido,</w:t>
      </w:r>
      <w:r>
        <w:rPr>
          <w:color w:val="231F20"/>
          <w:spacing w:val="-17"/>
          <w:w w:val="105"/>
        </w:rPr>
        <w:t> </w:t>
      </w:r>
      <w:r>
        <w:rPr>
          <w:color w:val="231F20"/>
          <w:w w:val="105"/>
        </w:rPr>
        <w:t>se</w:t>
      </w:r>
      <w:r>
        <w:rPr>
          <w:color w:val="231F20"/>
          <w:spacing w:val="-12"/>
          <w:w w:val="105"/>
        </w:rPr>
        <w:t> </w:t>
      </w:r>
      <w:r>
        <w:rPr>
          <w:color w:val="231F20"/>
          <w:w w:val="105"/>
        </w:rPr>
        <w:t>enfoca</w:t>
      </w:r>
      <w:r>
        <w:rPr>
          <w:color w:val="231F20"/>
          <w:spacing w:val="-12"/>
          <w:w w:val="105"/>
        </w:rPr>
        <w:t> </w:t>
      </w:r>
      <w:r>
        <w:rPr>
          <w:color w:val="231F20"/>
          <w:w w:val="105"/>
        </w:rPr>
        <w:t>en su</w:t>
      </w:r>
      <w:r>
        <w:rPr>
          <w:color w:val="231F20"/>
          <w:spacing w:val="-15"/>
          <w:w w:val="105"/>
        </w:rPr>
        <w:t> </w:t>
      </w:r>
      <w:r>
        <w:rPr>
          <w:color w:val="231F20"/>
          <w:w w:val="105"/>
        </w:rPr>
        <w:t>porvenir</w:t>
      </w:r>
      <w:r>
        <w:rPr>
          <w:color w:val="231F20"/>
          <w:spacing w:val="-15"/>
          <w:w w:val="105"/>
        </w:rPr>
        <w:t> </w:t>
      </w:r>
      <w:r>
        <w:rPr>
          <w:color w:val="231F20"/>
          <w:w w:val="105"/>
        </w:rPr>
        <w:t>y</w:t>
      </w:r>
      <w:r>
        <w:rPr>
          <w:color w:val="231F20"/>
          <w:spacing w:val="-15"/>
          <w:w w:val="105"/>
        </w:rPr>
        <w:t> </w:t>
      </w:r>
      <w:r>
        <w:rPr>
          <w:color w:val="231F20"/>
          <w:w w:val="105"/>
        </w:rPr>
        <w:t>se</w:t>
      </w:r>
      <w:r>
        <w:rPr>
          <w:color w:val="231F20"/>
          <w:spacing w:val="-15"/>
          <w:w w:val="105"/>
        </w:rPr>
        <w:t> </w:t>
      </w:r>
      <w:r>
        <w:rPr>
          <w:color w:val="231F20"/>
          <w:w w:val="105"/>
        </w:rPr>
        <w:t>interesa</w:t>
      </w:r>
      <w:r>
        <w:rPr>
          <w:color w:val="231F20"/>
          <w:spacing w:val="-15"/>
          <w:w w:val="105"/>
        </w:rPr>
        <w:t> </w:t>
      </w:r>
      <w:r>
        <w:rPr>
          <w:color w:val="231F20"/>
          <w:w w:val="105"/>
        </w:rPr>
        <w:t>por</w:t>
      </w:r>
      <w:r>
        <w:rPr>
          <w:color w:val="231F20"/>
          <w:spacing w:val="-15"/>
          <w:w w:val="105"/>
        </w:rPr>
        <w:t> </w:t>
      </w:r>
      <w:r>
        <w:rPr>
          <w:color w:val="231F20"/>
          <w:w w:val="105"/>
        </w:rPr>
        <w:t>su</w:t>
      </w:r>
      <w:r>
        <w:rPr>
          <w:color w:val="231F20"/>
          <w:spacing w:val="-15"/>
          <w:w w:val="105"/>
        </w:rPr>
        <w:t> </w:t>
      </w:r>
      <w:r>
        <w:rPr>
          <w:color w:val="231F20"/>
          <w:w w:val="105"/>
        </w:rPr>
        <w:t>destino;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origen</w:t>
      </w:r>
      <w:r>
        <w:rPr>
          <w:color w:val="231F20"/>
          <w:spacing w:val="-15"/>
          <w:w w:val="105"/>
        </w:rPr>
        <w:t> </w:t>
      </w:r>
      <w:r>
        <w:rPr>
          <w:color w:val="231F20"/>
          <w:w w:val="105"/>
        </w:rPr>
        <w:t>está</w:t>
      </w:r>
      <w:r>
        <w:rPr>
          <w:color w:val="231F20"/>
          <w:spacing w:val="-15"/>
          <w:w w:val="105"/>
        </w:rPr>
        <w:t> </w:t>
      </w:r>
      <w:r>
        <w:rPr>
          <w:color w:val="231F20"/>
          <w:w w:val="105"/>
        </w:rPr>
        <w:t>la</w:t>
      </w:r>
      <w:r>
        <w:rPr>
          <w:color w:val="231F20"/>
          <w:spacing w:val="-15"/>
          <w:w w:val="105"/>
        </w:rPr>
        <w:t> </w:t>
      </w:r>
      <w:r>
        <w:rPr>
          <w:color w:val="231F20"/>
          <w:w w:val="105"/>
        </w:rPr>
        <w:t>búsqueda,</w:t>
      </w:r>
      <w:r>
        <w:rPr>
          <w:color w:val="231F20"/>
          <w:spacing w:val="-21"/>
          <w:w w:val="105"/>
        </w:rPr>
        <w:t> </w:t>
      </w:r>
      <w:r>
        <w:rPr>
          <w:color w:val="231F20"/>
          <w:w w:val="105"/>
        </w:rPr>
        <w:t>la elección</w:t>
      </w:r>
      <w:r>
        <w:rPr>
          <w:color w:val="231F20"/>
          <w:spacing w:val="-40"/>
          <w:w w:val="105"/>
        </w:rPr>
        <w:t> </w:t>
      </w:r>
      <w:r>
        <w:rPr>
          <w:color w:val="231F20"/>
          <w:w w:val="105"/>
        </w:rPr>
        <w:t>y</w:t>
      </w:r>
      <w:r>
        <w:rPr>
          <w:color w:val="231F20"/>
          <w:spacing w:val="-40"/>
          <w:w w:val="105"/>
        </w:rPr>
        <w:t> </w:t>
      </w:r>
      <w:r>
        <w:rPr>
          <w:color w:val="231F20"/>
          <w:w w:val="105"/>
        </w:rPr>
        <w:t>las</w:t>
      </w:r>
      <w:r>
        <w:rPr>
          <w:color w:val="231F20"/>
          <w:spacing w:val="-40"/>
          <w:w w:val="105"/>
        </w:rPr>
        <w:t> </w:t>
      </w:r>
      <w:r>
        <w:rPr>
          <w:color w:val="231F20"/>
          <w:w w:val="105"/>
        </w:rPr>
        <w:t>respuestas.</w:t>
      </w:r>
    </w:p>
    <w:p>
      <w:pPr>
        <w:pStyle w:val="BodyText"/>
        <w:spacing w:line="261" w:lineRule="auto" w:before="1"/>
        <w:ind w:left="1723" w:right="1828" w:firstLine="567"/>
        <w:jc w:val="both"/>
      </w:pPr>
      <w:r>
        <w:rPr>
          <w:color w:val="231F20"/>
          <w:w w:val="105"/>
        </w:rPr>
        <w:t>La</w:t>
      </w:r>
      <w:r>
        <w:rPr>
          <w:color w:val="231F20"/>
          <w:spacing w:val="-9"/>
          <w:w w:val="105"/>
        </w:rPr>
        <w:t> </w:t>
      </w:r>
      <w:r>
        <w:rPr>
          <w:color w:val="231F20"/>
          <w:w w:val="105"/>
        </w:rPr>
        <w:t>historia</w:t>
      </w:r>
      <w:r>
        <w:rPr>
          <w:color w:val="231F20"/>
          <w:spacing w:val="-9"/>
          <w:w w:val="105"/>
        </w:rPr>
        <w:t> </w:t>
      </w:r>
      <w:r>
        <w:rPr>
          <w:color w:val="231F20"/>
          <w:w w:val="105"/>
        </w:rPr>
        <w:t>es</w:t>
      </w:r>
      <w:r>
        <w:rPr>
          <w:color w:val="231F20"/>
          <w:spacing w:val="-9"/>
          <w:w w:val="105"/>
        </w:rPr>
        <w:t> </w:t>
      </w:r>
      <w:r>
        <w:rPr>
          <w:color w:val="231F20"/>
          <w:w w:val="105"/>
        </w:rPr>
        <w:t>el</w:t>
      </w:r>
      <w:r>
        <w:rPr>
          <w:color w:val="231F20"/>
          <w:spacing w:val="-9"/>
          <w:w w:val="105"/>
        </w:rPr>
        <w:t> </w:t>
      </w:r>
      <w:r>
        <w:rPr>
          <w:color w:val="231F20"/>
          <w:w w:val="105"/>
        </w:rPr>
        <w:t>reino</w:t>
      </w:r>
      <w:r>
        <w:rPr>
          <w:color w:val="231F20"/>
          <w:spacing w:val="-9"/>
          <w:w w:val="105"/>
        </w:rPr>
        <w:t> </w:t>
      </w:r>
      <w:r>
        <w:rPr>
          <w:color w:val="231F20"/>
          <w:w w:val="105"/>
        </w:rPr>
        <w:t>de</w:t>
      </w:r>
      <w:r>
        <w:rPr>
          <w:color w:val="231F20"/>
          <w:spacing w:val="-9"/>
          <w:w w:val="105"/>
        </w:rPr>
        <w:t> </w:t>
      </w:r>
      <w:r>
        <w:rPr>
          <w:color w:val="231F20"/>
          <w:w w:val="105"/>
        </w:rPr>
        <w:t>lo</w:t>
      </w:r>
      <w:r>
        <w:rPr>
          <w:color w:val="231F20"/>
          <w:spacing w:val="-9"/>
          <w:w w:val="105"/>
        </w:rPr>
        <w:t> </w:t>
      </w:r>
      <w:r>
        <w:rPr>
          <w:color w:val="231F20"/>
          <w:w w:val="105"/>
        </w:rPr>
        <w:t>particular,</w:t>
      </w:r>
      <w:r>
        <w:rPr>
          <w:color w:val="231F20"/>
          <w:spacing w:val="-15"/>
          <w:w w:val="105"/>
        </w:rPr>
        <w:t> </w:t>
      </w:r>
      <w:r>
        <w:rPr>
          <w:color w:val="231F20"/>
          <w:w w:val="105"/>
        </w:rPr>
        <w:t>ha</w:t>
      </w:r>
      <w:r>
        <w:rPr>
          <w:color w:val="231F20"/>
          <w:spacing w:val="-9"/>
          <w:w w:val="105"/>
        </w:rPr>
        <w:t> </w:t>
      </w:r>
      <w:r>
        <w:rPr>
          <w:color w:val="231F20"/>
          <w:w w:val="105"/>
        </w:rPr>
        <w:t>dicho</w:t>
      </w:r>
      <w:r>
        <w:rPr>
          <w:color w:val="231F20"/>
          <w:spacing w:val="-9"/>
          <w:w w:val="105"/>
        </w:rPr>
        <w:t> </w:t>
      </w:r>
      <w:r>
        <w:rPr>
          <w:color w:val="231F20"/>
          <w:w w:val="105"/>
        </w:rPr>
        <w:t>Octavio</w:t>
      </w:r>
      <w:r>
        <w:rPr>
          <w:color w:val="231F20"/>
          <w:spacing w:val="-9"/>
          <w:w w:val="105"/>
        </w:rPr>
        <w:t> </w:t>
      </w:r>
      <w:r>
        <w:rPr>
          <w:color w:val="231F20"/>
          <w:spacing w:val="-5"/>
          <w:w w:val="105"/>
        </w:rPr>
        <w:t>Paz</w:t>
      </w:r>
      <w:r>
        <w:rPr>
          <w:color w:val="231F20"/>
          <w:spacing w:val="-9"/>
          <w:w w:val="105"/>
        </w:rPr>
        <w:t> </w:t>
      </w:r>
      <w:r>
        <w:rPr>
          <w:color w:val="231F20"/>
          <w:w w:val="105"/>
        </w:rPr>
        <w:t>(2011: 55),</w:t>
      </w:r>
      <w:r>
        <w:rPr>
          <w:color w:val="231F20"/>
          <w:spacing w:val="-17"/>
          <w:w w:val="105"/>
        </w:rPr>
        <w:t> </w:t>
      </w:r>
      <w:r>
        <w:rPr>
          <w:color w:val="231F20"/>
          <w:w w:val="105"/>
        </w:rPr>
        <w:t>y</w:t>
      </w:r>
      <w:r>
        <w:rPr>
          <w:color w:val="231F20"/>
          <w:spacing w:val="-11"/>
          <w:w w:val="105"/>
        </w:rPr>
        <w:t> </w:t>
      </w:r>
      <w:r>
        <w:rPr>
          <w:color w:val="231F20"/>
          <w:w w:val="105"/>
        </w:rPr>
        <w:t>como</w:t>
      </w:r>
      <w:r>
        <w:rPr>
          <w:color w:val="231F20"/>
          <w:spacing w:val="-11"/>
          <w:w w:val="105"/>
        </w:rPr>
        <w:t> </w:t>
      </w:r>
      <w:r>
        <w:rPr>
          <w:color w:val="231F20"/>
          <w:w w:val="105"/>
        </w:rPr>
        <w:t>tal,</w:t>
      </w:r>
      <w:r>
        <w:rPr>
          <w:color w:val="231F20"/>
          <w:spacing w:val="-17"/>
          <w:w w:val="105"/>
        </w:rPr>
        <w:t> </w:t>
      </w:r>
      <w:r>
        <w:rPr>
          <w:color w:val="231F20"/>
          <w:w w:val="105"/>
        </w:rPr>
        <w:t>el</w:t>
      </w:r>
      <w:r>
        <w:rPr>
          <w:color w:val="231F20"/>
          <w:spacing w:val="-11"/>
          <w:w w:val="105"/>
        </w:rPr>
        <w:t> </w:t>
      </w:r>
      <w:r>
        <w:rPr>
          <w:color w:val="231F20"/>
          <w:w w:val="105"/>
        </w:rPr>
        <w:t>relato</w:t>
      </w:r>
      <w:r>
        <w:rPr>
          <w:color w:val="231F20"/>
          <w:spacing w:val="-11"/>
          <w:w w:val="105"/>
        </w:rPr>
        <w:t> </w:t>
      </w:r>
      <w:r>
        <w:rPr>
          <w:color w:val="231F20"/>
          <w:w w:val="105"/>
        </w:rPr>
        <w:t>es</w:t>
      </w:r>
      <w:r>
        <w:rPr>
          <w:color w:val="231F20"/>
          <w:spacing w:val="-11"/>
          <w:w w:val="105"/>
        </w:rPr>
        <w:t> </w:t>
      </w:r>
      <w:r>
        <w:rPr>
          <w:color w:val="231F20"/>
          <w:w w:val="105"/>
        </w:rPr>
        <w:t>una</w:t>
      </w:r>
      <w:r>
        <w:rPr>
          <w:color w:val="231F20"/>
          <w:spacing w:val="-11"/>
          <w:w w:val="105"/>
        </w:rPr>
        <w:t> </w:t>
      </w:r>
      <w:r>
        <w:rPr>
          <w:color w:val="231F20"/>
          <w:w w:val="105"/>
        </w:rPr>
        <w:t>manera</w:t>
      </w:r>
      <w:r>
        <w:rPr>
          <w:color w:val="231F20"/>
          <w:spacing w:val="-11"/>
          <w:w w:val="105"/>
        </w:rPr>
        <w:t> </w:t>
      </w:r>
      <w:r>
        <w:rPr>
          <w:color w:val="231F20"/>
          <w:w w:val="105"/>
        </w:rPr>
        <w:t>de</w:t>
      </w:r>
      <w:r>
        <w:rPr>
          <w:color w:val="231F20"/>
          <w:spacing w:val="-11"/>
          <w:w w:val="105"/>
        </w:rPr>
        <w:t> </w:t>
      </w:r>
      <w:r>
        <w:rPr>
          <w:color w:val="231F20"/>
          <w:w w:val="105"/>
        </w:rPr>
        <w:t>decir,</w:t>
      </w:r>
      <w:r>
        <w:rPr>
          <w:color w:val="231F20"/>
          <w:spacing w:val="-17"/>
          <w:w w:val="105"/>
        </w:rPr>
        <w:t> </w:t>
      </w:r>
      <w:r>
        <w:rPr>
          <w:color w:val="231F20"/>
          <w:w w:val="105"/>
        </w:rPr>
        <w:t>de</w:t>
      </w:r>
      <w:r>
        <w:rPr>
          <w:color w:val="231F20"/>
          <w:spacing w:val="-11"/>
          <w:w w:val="105"/>
        </w:rPr>
        <w:t> </w:t>
      </w:r>
      <w:r>
        <w:rPr>
          <w:color w:val="231F20"/>
          <w:w w:val="105"/>
        </w:rPr>
        <w:t>oír</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oírse.</w:t>
      </w:r>
      <w:r>
        <w:rPr>
          <w:color w:val="231F20"/>
          <w:spacing w:val="-17"/>
          <w:w w:val="105"/>
        </w:rPr>
        <w:t> </w:t>
      </w:r>
      <w:r>
        <w:rPr>
          <w:color w:val="231F20"/>
          <w:w w:val="105"/>
        </w:rPr>
        <w:t>Quien narra</w:t>
      </w:r>
      <w:r>
        <w:rPr>
          <w:color w:val="231F20"/>
          <w:spacing w:val="-17"/>
          <w:w w:val="105"/>
        </w:rPr>
        <w:t> </w:t>
      </w:r>
      <w:r>
        <w:rPr>
          <w:color w:val="231F20"/>
          <w:w w:val="105"/>
        </w:rPr>
        <w:t>no</w:t>
      </w:r>
      <w:r>
        <w:rPr>
          <w:color w:val="231F20"/>
          <w:spacing w:val="-17"/>
          <w:w w:val="105"/>
        </w:rPr>
        <w:t> </w:t>
      </w:r>
      <w:r>
        <w:rPr>
          <w:color w:val="231F20"/>
          <w:w w:val="105"/>
        </w:rPr>
        <w:t>rehace</w:t>
      </w:r>
      <w:r>
        <w:rPr>
          <w:color w:val="231F20"/>
          <w:spacing w:val="-17"/>
          <w:w w:val="105"/>
        </w:rPr>
        <w:t> </w:t>
      </w:r>
      <w:r>
        <w:rPr>
          <w:color w:val="231F20"/>
          <w:w w:val="105"/>
        </w:rPr>
        <w:t>su</w:t>
      </w:r>
      <w:r>
        <w:rPr>
          <w:color w:val="231F20"/>
          <w:spacing w:val="-17"/>
          <w:w w:val="105"/>
        </w:rPr>
        <w:t> </w:t>
      </w:r>
      <w:r>
        <w:rPr>
          <w:color w:val="231F20"/>
          <w:w w:val="105"/>
        </w:rPr>
        <w:t>vida</w:t>
      </w:r>
      <w:r>
        <w:rPr>
          <w:color w:val="231F20"/>
          <w:spacing w:val="-17"/>
          <w:w w:val="105"/>
        </w:rPr>
        <w:t> </w:t>
      </w:r>
      <w:r>
        <w:rPr>
          <w:color w:val="231F20"/>
          <w:w w:val="105"/>
        </w:rPr>
        <w:t>para</w:t>
      </w:r>
      <w:r>
        <w:rPr>
          <w:color w:val="231F20"/>
          <w:spacing w:val="-17"/>
          <w:w w:val="105"/>
        </w:rPr>
        <w:t> </w:t>
      </w:r>
      <w:r>
        <w:rPr>
          <w:color w:val="231F20"/>
          <w:w w:val="105"/>
        </w:rPr>
        <w:t>pulir</w:t>
      </w:r>
      <w:r>
        <w:rPr>
          <w:color w:val="231F20"/>
          <w:spacing w:val="-17"/>
          <w:w w:val="105"/>
        </w:rPr>
        <w:t> </w:t>
      </w:r>
      <w:r>
        <w:rPr>
          <w:color w:val="231F20"/>
          <w:w w:val="105"/>
        </w:rPr>
        <w:t>las</w:t>
      </w:r>
      <w:r>
        <w:rPr>
          <w:color w:val="231F20"/>
          <w:spacing w:val="-17"/>
          <w:w w:val="105"/>
        </w:rPr>
        <w:t> </w:t>
      </w:r>
      <w:r>
        <w:rPr>
          <w:color w:val="231F20"/>
          <w:w w:val="105"/>
        </w:rPr>
        <w:t>contradicciones</w:t>
      </w:r>
      <w:r>
        <w:rPr>
          <w:color w:val="231F20"/>
          <w:spacing w:val="-17"/>
          <w:w w:val="105"/>
        </w:rPr>
        <w:t> </w:t>
      </w:r>
      <w:r>
        <w:rPr>
          <w:color w:val="231F20"/>
          <w:w w:val="105"/>
        </w:rPr>
        <w:t>hasta</w:t>
      </w:r>
      <w:r>
        <w:rPr>
          <w:color w:val="231F20"/>
          <w:spacing w:val="-17"/>
          <w:w w:val="105"/>
        </w:rPr>
        <w:t> </w:t>
      </w:r>
      <w:r>
        <w:rPr>
          <w:color w:val="231F20"/>
          <w:w w:val="105"/>
        </w:rPr>
        <w:t>que</w:t>
      </w:r>
      <w:r>
        <w:rPr>
          <w:color w:val="231F20"/>
          <w:spacing w:val="-17"/>
          <w:w w:val="105"/>
        </w:rPr>
        <w:t> </w:t>
      </w:r>
      <w:r>
        <w:rPr>
          <w:color w:val="231F20"/>
          <w:w w:val="105"/>
        </w:rPr>
        <w:t>desapa- rezcan,</w:t>
      </w:r>
      <w:r>
        <w:rPr>
          <w:color w:val="231F20"/>
          <w:spacing w:val="-20"/>
          <w:w w:val="105"/>
        </w:rPr>
        <w:t> </w:t>
      </w:r>
      <w:r>
        <w:rPr>
          <w:color w:val="231F20"/>
          <w:w w:val="105"/>
        </w:rPr>
        <w:t>y</w:t>
      </w:r>
      <w:r>
        <w:rPr>
          <w:color w:val="231F20"/>
          <w:spacing w:val="-14"/>
          <w:w w:val="105"/>
        </w:rPr>
        <w:t> </w:t>
      </w:r>
      <w:r>
        <w:rPr>
          <w:color w:val="231F20"/>
          <w:w w:val="105"/>
        </w:rPr>
        <w:t>quien</w:t>
      </w:r>
      <w:r>
        <w:rPr>
          <w:color w:val="231F20"/>
          <w:spacing w:val="-14"/>
          <w:w w:val="105"/>
        </w:rPr>
        <w:t> </w:t>
      </w:r>
      <w:r>
        <w:rPr>
          <w:color w:val="231F20"/>
          <w:w w:val="105"/>
        </w:rPr>
        <w:t>dialoga</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relato</w:t>
      </w:r>
      <w:r>
        <w:rPr>
          <w:color w:val="231F20"/>
          <w:spacing w:val="-14"/>
          <w:w w:val="105"/>
        </w:rPr>
        <w:t> </w:t>
      </w:r>
      <w:r>
        <w:rPr>
          <w:color w:val="231F20"/>
          <w:w w:val="105"/>
        </w:rPr>
        <w:t>no</w:t>
      </w:r>
      <w:r>
        <w:rPr>
          <w:color w:val="231F20"/>
          <w:spacing w:val="-14"/>
          <w:w w:val="105"/>
        </w:rPr>
        <w:t> </w:t>
      </w:r>
      <w:r>
        <w:rPr>
          <w:color w:val="231F20"/>
          <w:w w:val="105"/>
        </w:rPr>
        <w:t>lo</w:t>
      </w:r>
      <w:r>
        <w:rPr>
          <w:color w:val="231F20"/>
          <w:spacing w:val="-14"/>
          <w:w w:val="105"/>
        </w:rPr>
        <w:t> </w:t>
      </w:r>
      <w:r>
        <w:rPr>
          <w:color w:val="231F20"/>
          <w:w w:val="105"/>
        </w:rPr>
        <w:t>hace</w:t>
      </w:r>
      <w:r>
        <w:rPr>
          <w:color w:val="231F20"/>
          <w:spacing w:val="-14"/>
          <w:w w:val="105"/>
        </w:rPr>
        <w:t> </w:t>
      </w:r>
      <w:r>
        <w:rPr>
          <w:color w:val="231F20"/>
          <w:w w:val="105"/>
        </w:rPr>
        <w:t>despojado</w:t>
      </w:r>
      <w:r>
        <w:rPr>
          <w:color w:val="231F20"/>
          <w:spacing w:val="-14"/>
          <w:w w:val="105"/>
        </w:rPr>
        <w:t> </w:t>
      </w:r>
      <w:r>
        <w:rPr>
          <w:color w:val="231F20"/>
          <w:w w:val="105"/>
        </w:rPr>
        <w:t>de</w:t>
      </w:r>
      <w:r>
        <w:rPr>
          <w:color w:val="231F20"/>
          <w:spacing w:val="-14"/>
          <w:w w:val="105"/>
        </w:rPr>
        <w:t> </w:t>
      </w:r>
      <w:r>
        <w:rPr>
          <w:color w:val="231F20"/>
          <w:w w:val="105"/>
        </w:rPr>
        <w:t>intereses</w:t>
      </w:r>
      <w:r>
        <w:rPr>
          <w:color w:val="231F20"/>
          <w:spacing w:val="-14"/>
          <w:w w:val="105"/>
        </w:rPr>
        <w:t> </w:t>
      </w:r>
      <w:r>
        <w:rPr>
          <w:color w:val="231F20"/>
          <w:w w:val="105"/>
        </w:rPr>
        <w:t>y posturas,</w:t>
      </w:r>
      <w:r>
        <w:rPr>
          <w:color w:val="231F20"/>
          <w:spacing w:val="-24"/>
          <w:w w:val="105"/>
        </w:rPr>
        <w:t> </w:t>
      </w:r>
      <w:r>
        <w:rPr>
          <w:color w:val="231F20"/>
          <w:w w:val="105"/>
        </w:rPr>
        <w:t>para</w:t>
      </w:r>
      <w:r>
        <w:rPr>
          <w:color w:val="231F20"/>
          <w:spacing w:val="-21"/>
          <w:w w:val="105"/>
        </w:rPr>
        <w:t> </w:t>
      </w:r>
      <w:r>
        <w:rPr>
          <w:color w:val="231F20"/>
          <w:w w:val="105"/>
        </w:rPr>
        <w:t>ambos</w:t>
      </w:r>
      <w:r>
        <w:rPr>
          <w:color w:val="231F20"/>
          <w:spacing w:val="-21"/>
          <w:w w:val="105"/>
        </w:rPr>
        <w:t> </w:t>
      </w:r>
      <w:r>
        <w:rPr>
          <w:color w:val="231F20"/>
          <w:w w:val="105"/>
        </w:rPr>
        <w:t>hay</w:t>
      </w:r>
      <w:r>
        <w:rPr>
          <w:color w:val="231F20"/>
          <w:spacing w:val="-21"/>
          <w:w w:val="105"/>
        </w:rPr>
        <w:t> </w:t>
      </w:r>
      <w:r>
        <w:rPr>
          <w:color w:val="231F20"/>
          <w:w w:val="105"/>
        </w:rPr>
        <w:t>un</w:t>
      </w:r>
      <w:r>
        <w:rPr>
          <w:color w:val="231F20"/>
          <w:spacing w:val="-21"/>
          <w:w w:val="105"/>
        </w:rPr>
        <w:t> </w:t>
      </w:r>
      <w:r>
        <w:rPr>
          <w:color w:val="231F20"/>
          <w:w w:val="105"/>
        </w:rPr>
        <w:t>tiempo</w:t>
      </w:r>
      <w:r>
        <w:rPr>
          <w:color w:val="231F20"/>
          <w:spacing w:val="-21"/>
          <w:w w:val="105"/>
        </w:rPr>
        <w:t> </w:t>
      </w:r>
      <w:r>
        <w:rPr>
          <w:color w:val="231F20"/>
          <w:w w:val="105"/>
        </w:rPr>
        <w:t>y</w:t>
      </w:r>
      <w:r>
        <w:rPr>
          <w:color w:val="231F20"/>
          <w:spacing w:val="-21"/>
          <w:w w:val="105"/>
        </w:rPr>
        <w:t> </w:t>
      </w:r>
      <w:r>
        <w:rPr>
          <w:color w:val="231F20"/>
          <w:w w:val="105"/>
        </w:rPr>
        <w:t>unas</w:t>
      </w:r>
      <w:r>
        <w:rPr>
          <w:color w:val="231F20"/>
          <w:spacing w:val="-21"/>
          <w:w w:val="105"/>
        </w:rPr>
        <w:t> </w:t>
      </w:r>
      <w:r>
        <w:rPr>
          <w:color w:val="231F20"/>
          <w:w w:val="105"/>
        </w:rPr>
        <w:t>circunstancias</w:t>
      </w:r>
      <w:r>
        <w:rPr>
          <w:color w:val="231F20"/>
          <w:spacing w:val="-21"/>
          <w:w w:val="105"/>
        </w:rPr>
        <w:t> </w:t>
      </w:r>
      <w:r>
        <w:rPr>
          <w:color w:val="231F20"/>
          <w:w w:val="105"/>
        </w:rPr>
        <w:t>significativas. El</w:t>
      </w:r>
      <w:r>
        <w:rPr>
          <w:color w:val="231F20"/>
          <w:spacing w:val="-16"/>
          <w:w w:val="105"/>
        </w:rPr>
        <w:t> </w:t>
      </w:r>
      <w:r>
        <w:rPr>
          <w:color w:val="231F20"/>
          <w:w w:val="105"/>
        </w:rPr>
        <w:t>“encargado</w:t>
      </w:r>
      <w:r>
        <w:rPr>
          <w:color w:val="231F20"/>
          <w:spacing w:val="-16"/>
          <w:w w:val="105"/>
        </w:rPr>
        <w:t> </w:t>
      </w:r>
      <w:r>
        <w:rPr>
          <w:color w:val="231F20"/>
          <w:w w:val="105"/>
        </w:rPr>
        <w:t>de</w:t>
      </w:r>
      <w:r>
        <w:rPr>
          <w:color w:val="231F20"/>
          <w:spacing w:val="-16"/>
          <w:w w:val="105"/>
        </w:rPr>
        <w:t> </w:t>
      </w:r>
      <w:r>
        <w:rPr>
          <w:color w:val="231F20"/>
          <w:w w:val="105"/>
        </w:rPr>
        <w:t>traer</w:t>
      </w:r>
      <w:r>
        <w:rPr>
          <w:color w:val="231F20"/>
          <w:spacing w:val="-16"/>
          <w:w w:val="105"/>
        </w:rPr>
        <w:t> </w:t>
      </w:r>
      <w:r>
        <w:rPr>
          <w:color w:val="231F20"/>
          <w:w w:val="105"/>
        </w:rPr>
        <w:t>al</w:t>
      </w:r>
      <w:r>
        <w:rPr>
          <w:color w:val="231F20"/>
          <w:spacing w:val="-16"/>
          <w:w w:val="105"/>
        </w:rPr>
        <w:t> </w:t>
      </w:r>
      <w:r>
        <w:rPr>
          <w:color w:val="231F20"/>
          <w:w w:val="105"/>
        </w:rPr>
        <w:t>presente</w:t>
      </w:r>
      <w:r>
        <w:rPr>
          <w:color w:val="231F20"/>
          <w:spacing w:val="-16"/>
          <w:w w:val="105"/>
        </w:rPr>
        <w:t> </w:t>
      </w:r>
      <w:r>
        <w:rPr>
          <w:color w:val="231F20"/>
          <w:w w:val="105"/>
        </w:rPr>
        <w:t>las</w:t>
      </w:r>
      <w:r>
        <w:rPr>
          <w:color w:val="231F20"/>
          <w:spacing w:val="-16"/>
          <w:w w:val="105"/>
        </w:rPr>
        <w:t> </w:t>
      </w:r>
      <w:r>
        <w:rPr>
          <w:color w:val="231F20"/>
          <w:w w:val="105"/>
        </w:rPr>
        <w:t>acciones</w:t>
      </w:r>
      <w:r>
        <w:rPr>
          <w:color w:val="231F20"/>
          <w:spacing w:val="-16"/>
          <w:w w:val="105"/>
        </w:rPr>
        <w:t> </w:t>
      </w:r>
      <w:r>
        <w:rPr>
          <w:color w:val="231F20"/>
          <w:w w:val="105"/>
        </w:rPr>
        <w:t>pretéritas</w:t>
      </w:r>
      <w:r>
        <w:rPr>
          <w:color w:val="231F20"/>
          <w:spacing w:val="-16"/>
          <w:w w:val="105"/>
        </w:rPr>
        <w:t> </w:t>
      </w:r>
      <w:r>
        <w:rPr>
          <w:color w:val="231F20"/>
          <w:w w:val="115"/>
        </w:rPr>
        <w:t>[…]</w:t>
      </w:r>
      <w:r>
        <w:rPr>
          <w:color w:val="231F20"/>
          <w:spacing w:val="-22"/>
          <w:w w:val="115"/>
        </w:rPr>
        <w:t> </w:t>
      </w:r>
      <w:r>
        <w:rPr>
          <w:color w:val="231F20"/>
          <w:w w:val="105"/>
        </w:rPr>
        <w:t>nunca</w:t>
      </w:r>
      <w:r>
        <w:rPr>
          <w:color w:val="231F20"/>
          <w:spacing w:val="-16"/>
          <w:w w:val="105"/>
        </w:rPr>
        <w:t> </w:t>
      </w:r>
      <w:r>
        <w:rPr>
          <w:color w:val="231F20"/>
          <w:w w:val="105"/>
        </w:rPr>
        <w:t>ofre- ce</w:t>
      </w:r>
      <w:r>
        <w:rPr>
          <w:color w:val="231F20"/>
          <w:spacing w:val="-23"/>
          <w:w w:val="105"/>
        </w:rPr>
        <w:t> </w:t>
      </w:r>
      <w:r>
        <w:rPr>
          <w:color w:val="231F20"/>
          <w:w w:val="105"/>
        </w:rPr>
        <w:t>tales</w:t>
      </w:r>
      <w:r>
        <w:rPr>
          <w:color w:val="231F20"/>
          <w:spacing w:val="-23"/>
          <w:w w:val="105"/>
        </w:rPr>
        <w:t> </w:t>
      </w:r>
      <w:r>
        <w:rPr>
          <w:color w:val="231F20"/>
          <w:w w:val="105"/>
        </w:rPr>
        <w:t>acciones</w:t>
      </w:r>
      <w:r>
        <w:rPr>
          <w:color w:val="231F20"/>
          <w:spacing w:val="-23"/>
          <w:w w:val="105"/>
        </w:rPr>
        <w:t> </w:t>
      </w:r>
      <w:r>
        <w:rPr>
          <w:color w:val="231F20"/>
          <w:w w:val="105"/>
        </w:rPr>
        <w:t>limpias</w:t>
      </w:r>
      <w:r>
        <w:rPr>
          <w:color w:val="231F20"/>
          <w:spacing w:val="-23"/>
          <w:w w:val="105"/>
        </w:rPr>
        <w:t> </w:t>
      </w:r>
      <w:r>
        <w:rPr>
          <w:color w:val="231F20"/>
          <w:w w:val="105"/>
        </w:rPr>
        <w:t>de</w:t>
      </w:r>
      <w:r>
        <w:rPr>
          <w:color w:val="231F20"/>
          <w:spacing w:val="-23"/>
          <w:w w:val="105"/>
        </w:rPr>
        <w:t> </w:t>
      </w:r>
      <w:r>
        <w:rPr>
          <w:color w:val="231F20"/>
          <w:w w:val="105"/>
        </w:rPr>
        <w:t>su</w:t>
      </w:r>
      <w:r>
        <w:rPr>
          <w:color w:val="231F20"/>
          <w:spacing w:val="-23"/>
          <w:w w:val="105"/>
        </w:rPr>
        <w:t> </w:t>
      </w:r>
      <w:r>
        <w:rPr>
          <w:color w:val="231F20"/>
          <w:w w:val="105"/>
        </w:rPr>
        <w:t>polvo</w:t>
      </w:r>
      <w:r>
        <w:rPr>
          <w:color w:val="231F20"/>
          <w:spacing w:val="-23"/>
          <w:w w:val="105"/>
        </w:rPr>
        <w:t> </w:t>
      </w:r>
      <w:r>
        <w:rPr>
          <w:color w:val="231F20"/>
          <w:w w:val="105"/>
        </w:rPr>
        <w:t>y</w:t>
      </w:r>
      <w:r>
        <w:rPr>
          <w:color w:val="231F20"/>
          <w:spacing w:val="-23"/>
          <w:w w:val="105"/>
        </w:rPr>
        <w:t> </w:t>
      </w:r>
      <w:r>
        <w:rPr>
          <w:color w:val="231F20"/>
          <w:w w:val="105"/>
        </w:rPr>
        <w:t>paja.</w:t>
      </w:r>
      <w:r>
        <w:rPr>
          <w:color w:val="231F20"/>
          <w:spacing w:val="-29"/>
          <w:w w:val="105"/>
        </w:rPr>
        <w:t> </w:t>
      </w:r>
      <w:r>
        <w:rPr>
          <w:color w:val="231F20"/>
          <w:w w:val="105"/>
        </w:rPr>
        <w:t>La</w:t>
      </w:r>
      <w:r>
        <w:rPr>
          <w:color w:val="231F20"/>
          <w:spacing w:val="-23"/>
          <w:w w:val="105"/>
        </w:rPr>
        <w:t> </w:t>
      </w:r>
      <w:r>
        <w:rPr>
          <w:color w:val="231F20"/>
          <w:w w:val="105"/>
        </w:rPr>
        <w:t>historia,</w:t>
      </w:r>
      <w:r>
        <w:rPr>
          <w:color w:val="231F20"/>
          <w:spacing w:val="-29"/>
          <w:w w:val="105"/>
        </w:rPr>
        <w:t> </w:t>
      </w:r>
      <w:r>
        <w:rPr>
          <w:color w:val="231F20"/>
          <w:w w:val="105"/>
        </w:rPr>
        <w:t>como</w:t>
      </w:r>
      <w:r>
        <w:rPr>
          <w:color w:val="231F20"/>
          <w:spacing w:val="-23"/>
          <w:w w:val="105"/>
        </w:rPr>
        <w:t> </w:t>
      </w:r>
      <w:r>
        <w:rPr>
          <w:color w:val="231F20"/>
          <w:w w:val="105"/>
        </w:rPr>
        <w:t>se</w:t>
      </w:r>
      <w:r>
        <w:rPr>
          <w:color w:val="231F20"/>
          <w:spacing w:val="-23"/>
          <w:w w:val="105"/>
        </w:rPr>
        <w:t> </w:t>
      </w:r>
      <w:r>
        <w:rPr>
          <w:color w:val="231F20"/>
          <w:w w:val="105"/>
        </w:rPr>
        <w:t>ha</w:t>
      </w:r>
      <w:r>
        <w:rPr>
          <w:color w:val="231F20"/>
          <w:spacing w:val="-23"/>
          <w:w w:val="105"/>
        </w:rPr>
        <w:t> </w:t>
      </w:r>
      <w:r>
        <w:rPr>
          <w:color w:val="231F20"/>
          <w:w w:val="105"/>
        </w:rPr>
        <w:t>dicho multitud</w:t>
      </w:r>
      <w:r>
        <w:rPr>
          <w:color w:val="231F20"/>
          <w:spacing w:val="-18"/>
          <w:w w:val="105"/>
        </w:rPr>
        <w:t> </w:t>
      </w:r>
      <w:r>
        <w:rPr>
          <w:color w:val="231F20"/>
          <w:w w:val="105"/>
        </w:rPr>
        <w:t>de</w:t>
      </w:r>
      <w:r>
        <w:rPr>
          <w:color w:val="231F20"/>
          <w:spacing w:val="-18"/>
          <w:w w:val="105"/>
        </w:rPr>
        <w:t> </w:t>
      </w:r>
      <w:r>
        <w:rPr>
          <w:color w:val="231F20"/>
          <w:w w:val="105"/>
        </w:rPr>
        <w:t>veces,</w:t>
      </w:r>
      <w:r>
        <w:rPr>
          <w:color w:val="231F20"/>
          <w:spacing w:val="-23"/>
          <w:w w:val="105"/>
        </w:rPr>
        <w:t> </w:t>
      </w:r>
      <w:r>
        <w:rPr>
          <w:color w:val="231F20"/>
          <w:w w:val="105"/>
        </w:rPr>
        <w:t>es</w:t>
      </w:r>
      <w:r>
        <w:rPr>
          <w:color w:val="231F20"/>
          <w:spacing w:val="-18"/>
          <w:w w:val="105"/>
        </w:rPr>
        <w:t> </w:t>
      </w:r>
      <w:r>
        <w:rPr>
          <w:color w:val="231F20"/>
          <w:w w:val="105"/>
        </w:rPr>
        <w:t>inseparable</w:t>
      </w:r>
      <w:r>
        <w:rPr>
          <w:color w:val="231F20"/>
          <w:spacing w:val="-18"/>
          <w:w w:val="105"/>
        </w:rPr>
        <w:t> </w:t>
      </w:r>
      <w:r>
        <w:rPr>
          <w:color w:val="231F20"/>
          <w:w w:val="105"/>
        </w:rPr>
        <w:t>del</w:t>
      </w:r>
      <w:r>
        <w:rPr>
          <w:color w:val="231F20"/>
          <w:spacing w:val="-18"/>
          <w:w w:val="105"/>
        </w:rPr>
        <w:t> </w:t>
      </w:r>
      <w:r>
        <w:rPr>
          <w:color w:val="231F20"/>
          <w:w w:val="105"/>
        </w:rPr>
        <w:t>historiador”</w:t>
      </w:r>
      <w:r>
        <w:rPr>
          <w:color w:val="231F20"/>
          <w:spacing w:val="-18"/>
          <w:w w:val="105"/>
        </w:rPr>
        <w:t> </w:t>
      </w:r>
      <w:r>
        <w:rPr>
          <w:color w:val="231F20"/>
          <w:w w:val="105"/>
        </w:rPr>
        <w:t>(González,</w:t>
      </w:r>
      <w:r>
        <w:rPr>
          <w:color w:val="231F20"/>
          <w:spacing w:val="-23"/>
          <w:w w:val="105"/>
        </w:rPr>
        <w:t> </w:t>
      </w:r>
      <w:r>
        <w:rPr>
          <w:color w:val="231F20"/>
          <w:w w:val="105"/>
        </w:rPr>
        <w:t>2009:</w:t>
      </w:r>
      <w:r>
        <w:rPr>
          <w:color w:val="231F20"/>
          <w:spacing w:val="-18"/>
          <w:w w:val="105"/>
        </w:rPr>
        <w:t> </w:t>
      </w:r>
      <w:r>
        <w:rPr>
          <w:color w:val="231F20"/>
          <w:w w:val="105"/>
        </w:rPr>
        <w:t>59).</w:t>
      </w:r>
    </w:p>
    <w:p>
      <w:pPr>
        <w:pStyle w:val="BodyText"/>
        <w:spacing w:line="261" w:lineRule="auto" w:before="1"/>
        <w:ind w:left="1723" w:right="1828" w:firstLine="567"/>
        <w:jc w:val="both"/>
      </w:pPr>
      <w:r>
        <w:rPr>
          <w:color w:val="231F20"/>
          <w:spacing w:val="-6"/>
          <w:w w:val="105"/>
        </w:rPr>
        <w:t>Por</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contar</w:t>
      </w:r>
      <w:r>
        <w:rPr>
          <w:color w:val="231F20"/>
          <w:spacing w:val="-12"/>
          <w:w w:val="105"/>
        </w:rPr>
        <w:t> </w:t>
      </w:r>
      <w:r>
        <w:rPr>
          <w:color w:val="231F20"/>
          <w:w w:val="105"/>
        </w:rPr>
        <w:t>lo</w:t>
      </w:r>
      <w:r>
        <w:rPr>
          <w:color w:val="231F20"/>
          <w:spacing w:val="-12"/>
          <w:w w:val="105"/>
        </w:rPr>
        <w:t> </w:t>
      </w:r>
      <w:r>
        <w:rPr>
          <w:color w:val="231F20"/>
          <w:w w:val="105"/>
        </w:rPr>
        <w:t>vivido</w:t>
      </w:r>
      <w:r>
        <w:rPr>
          <w:color w:val="231F20"/>
          <w:spacing w:val="-12"/>
          <w:w w:val="105"/>
        </w:rPr>
        <w:t> </w:t>
      </w:r>
      <w:r>
        <w:rPr>
          <w:color w:val="231F20"/>
          <w:w w:val="105"/>
        </w:rPr>
        <w:t>en</w:t>
      </w:r>
      <w:r>
        <w:rPr>
          <w:color w:val="231F20"/>
          <w:spacing w:val="-12"/>
          <w:w w:val="105"/>
        </w:rPr>
        <w:t> </w:t>
      </w:r>
      <w:r>
        <w:rPr>
          <w:color w:val="231F20"/>
          <w:w w:val="105"/>
        </w:rPr>
        <w:t>primera</w:t>
      </w:r>
      <w:r>
        <w:rPr>
          <w:color w:val="231F20"/>
          <w:spacing w:val="-12"/>
          <w:w w:val="105"/>
        </w:rPr>
        <w:t> </w:t>
      </w:r>
      <w:r>
        <w:rPr>
          <w:color w:val="231F20"/>
          <w:w w:val="105"/>
        </w:rPr>
        <w:t>persona</w:t>
      </w:r>
      <w:r>
        <w:rPr>
          <w:color w:val="231F20"/>
          <w:spacing w:val="-12"/>
          <w:w w:val="105"/>
        </w:rPr>
        <w:t> </w:t>
      </w:r>
      <w:r>
        <w:rPr>
          <w:color w:val="231F20"/>
          <w:w w:val="105"/>
        </w:rPr>
        <w:t>y</w:t>
      </w:r>
      <w:r>
        <w:rPr>
          <w:color w:val="231F20"/>
          <w:spacing w:val="-12"/>
          <w:w w:val="105"/>
        </w:rPr>
        <w:t> </w:t>
      </w:r>
      <w:r>
        <w:rPr>
          <w:color w:val="231F20"/>
          <w:w w:val="105"/>
        </w:rPr>
        <w:t>hacer</w:t>
      </w:r>
      <w:r>
        <w:rPr>
          <w:color w:val="231F20"/>
          <w:spacing w:val="-12"/>
          <w:w w:val="105"/>
        </w:rPr>
        <w:t> </w:t>
      </w:r>
      <w:r>
        <w:rPr>
          <w:color w:val="231F20"/>
          <w:w w:val="105"/>
        </w:rPr>
        <w:t>regresar</w:t>
      </w:r>
      <w:r>
        <w:rPr>
          <w:color w:val="231F20"/>
          <w:spacing w:val="-12"/>
          <w:w w:val="105"/>
        </w:rPr>
        <w:t> </w:t>
      </w:r>
      <w:r>
        <w:rPr>
          <w:color w:val="231F20"/>
          <w:w w:val="105"/>
        </w:rPr>
        <w:t>del pasado —a través de la voz y de las imágenes— vivencias que colindan entre</w:t>
      </w:r>
      <w:r>
        <w:rPr>
          <w:color w:val="231F20"/>
          <w:spacing w:val="-10"/>
          <w:w w:val="105"/>
        </w:rPr>
        <w:t> </w:t>
      </w:r>
      <w:r>
        <w:rPr>
          <w:color w:val="231F20"/>
          <w:w w:val="105"/>
        </w:rPr>
        <w:t>el</w:t>
      </w:r>
      <w:r>
        <w:rPr>
          <w:color w:val="231F20"/>
          <w:spacing w:val="-10"/>
          <w:w w:val="105"/>
        </w:rPr>
        <w:t> </w:t>
      </w:r>
      <w:r>
        <w:rPr>
          <w:color w:val="231F20"/>
          <w:w w:val="105"/>
        </w:rPr>
        <w:t>gozo</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renuncia,</w:t>
      </w:r>
      <w:r>
        <w:rPr>
          <w:color w:val="231F20"/>
          <w:spacing w:val="-16"/>
          <w:w w:val="105"/>
        </w:rPr>
        <w:t> </w:t>
      </w:r>
      <w:r>
        <w:rPr>
          <w:color w:val="231F20"/>
          <w:w w:val="105"/>
        </w:rPr>
        <w:t>entre</w:t>
      </w:r>
      <w:r>
        <w:rPr>
          <w:color w:val="231F20"/>
          <w:spacing w:val="-10"/>
          <w:w w:val="105"/>
        </w:rPr>
        <w:t> </w:t>
      </w:r>
      <w:r>
        <w:rPr>
          <w:color w:val="231F20"/>
          <w:w w:val="105"/>
        </w:rPr>
        <w:t>la</w:t>
      </w:r>
      <w:r>
        <w:rPr>
          <w:color w:val="231F20"/>
          <w:spacing w:val="-10"/>
          <w:w w:val="105"/>
        </w:rPr>
        <w:t> </w:t>
      </w:r>
      <w:r>
        <w:rPr>
          <w:color w:val="231F20"/>
          <w:w w:val="105"/>
        </w:rPr>
        <w:t>duda</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certeza,</w:t>
      </w:r>
      <w:r>
        <w:rPr>
          <w:color w:val="231F20"/>
          <w:spacing w:val="-16"/>
          <w:w w:val="105"/>
        </w:rPr>
        <w:t> </w:t>
      </w:r>
      <w:r>
        <w:rPr>
          <w:color w:val="231F20"/>
          <w:w w:val="105"/>
        </w:rPr>
        <w:t>entre</w:t>
      </w:r>
      <w:r>
        <w:rPr>
          <w:color w:val="231F20"/>
          <w:spacing w:val="-10"/>
          <w:w w:val="105"/>
        </w:rPr>
        <w:t> </w:t>
      </w:r>
      <w:r>
        <w:rPr>
          <w:color w:val="231F20"/>
          <w:w w:val="105"/>
        </w:rPr>
        <w:t>el</w:t>
      </w:r>
      <w:r>
        <w:rPr>
          <w:color w:val="231F20"/>
          <w:spacing w:val="-10"/>
          <w:w w:val="105"/>
        </w:rPr>
        <w:t> </w:t>
      </w:r>
      <w:r>
        <w:rPr>
          <w:color w:val="231F20"/>
          <w:w w:val="105"/>
        </w:rPr>
        <w:t>deseo</w:t>
      </w:r>
      <w:r>
        <w:rPr>
          <w:color w:val="231F20"/>
          <w:spacing w:val="-10"/>
          <w:w w:val="105"/>
        </w:rPr>
        <w:t> </w:t>
      </w:r>
      <w:r>
        <w:rPr>
          <w:color w:val="231F20"/>
          <w:w w:val="105"/>
        </w:rPr>
        <w:t>y</w:t>
      </w:r>
      <w:r>
        <w:rPr>
          <w:color w:val="231F20"/>
          <w:spacing w:val="-10"/>
          <w:w w:val="105"/>
        </w:rPr>
        <w:t> </w:t>
      </w:r>
      <w:r>
        <w:rPr>
          <w:color w:val="231F20"/>
          <w:w w:val="105"/>
        </w:rPr>
        <w:t>la celebración,</w:t>
      </w:r>
      <w:r>
        <w:rPr>
          <w:color w:val="231F20"/>
          <w:spacing w:val="-20"/>
          <w:w w:val="105"/>
        </w:rPr>
        <w:t> </w:t>
      </w:r>
      <w:r>
        <w:rPr>
          <w:color w:val="231F20"/>
          <w:w w:val="105"/>
        </w:rPr>
        <w:t>son</w:t>
      </w:r>
      <w:r>
        <w:rPr>
          <w:color w:val="231F20"/>
          <w:spacing w:val="-14"/>
          <w:w w:val="105"/>
        </w:rPr>
        <w:t> </w:t>
      </w:r>
      <w:r>
        <w:rPr>
          <w:color w:val="231F20"/>
          <w:w w:val="105"/>
        </w:rPr>
        <w:t>virtudes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historia</w:t>
      </w:r>
      <w:r>
        <w:rPr>
          <w:color w:val="231F20"/>
          <w:spacing w:val="-14"/>
          <w:w w:val="105"/>
        </w:rPr>
        <w:t> </w:t>
      </w:r>
      <w:r>
        <w:rPr>
          <w:color w:val="231F20"/>
          <w:w w:val="105"/>
        </w:rPr>
        <w:t>de</w:t>
      </w:r>
      <w:r>
        <w:rPr>
          <w:color w:val="231F20"/>
          <w:spacing w:val="-14"/>
          <w:w w:val="105"/>
        </w:rPr>
        <w:t> </w:t>
      </w:r>
      <w:r>
        <w:rPr>
          <w:color w:val="231F20"/>
          <w:w w:val="105"/>
        </w:rPr>
        <w:t>vida;</w:t>
      </w:r>
      <w:r>
        <w:rPr>
          <w:color w:val="231F20"/>
          <w:spacing w:val="-14"/>
          <w:w w:val="105"/>
        </w:rPr>
        <w:t> </w:t>
      </w:r>
      <w:r>
        <w:rPr>
          <w:color w:val="231F20"/>
          <w:w w:val="105"/>
        </w:rPr>
        <w:t>que,</w:t>
      </w:r>
      <w:r>
        <w:rPr>
          <w:color w:val="231F20"/>
          <w:spacing w:val="-20"/>
          <w:w w:val="105"/>
        </w:rPr>
        <w:t> </w:t>
      </w:r>
      <w:r>
        <w:rPr>
          <w:color w:val="231F20"/>
          <w:w w:val="105"/>
        </w:rPr>
        <w:t>como</w:t>
      </w:r>
      <w:r>
        <w:rPr>
          <w:color w:val="231F20"/>
          <w:spacing w:val="-14"/>
          <w:w w:val="105"/>
        </w:rPr>
        <w:t> </w:t>
      </w:r>
      <w:r>
        <w:rPr>
          <w:color w:val="231F20"/>
          <w:w w:val="105"/>
        </w:rPr>
        <w:t>escribe</w:t>
      </w:r>
      <w:r>
        <w:rPr>
          <w:color w:val="231F20"/>
          <w:spacing w:val="-14"/>
          <w:w w:val="105"/>
        </w:rPr>
        <w:t> </w:t>
      </w:r>
      <w:r>
        <w:rPr>
          <w:color w:val="231F20"/>
          <w:spacing w:val="-3"/>
          <w:w w:val="105"/>
        </w:rPr>
        <w:t>Ferra- </w:t>
      </w:r>
      <w:r>
        <w:rPr>
          <w:color w:val="231F20"/>
          <w:w w:val="105"/>
        </w:rPr>
        <w:t>rotti, “puede ser vista </w:t>
      </w:r>
      <w:r>
        <w:rPr>
          <w:color w:val="231F20"/>
          <w:w w:val="115"/>
        </w:rPr>
        <w:t>[…] </w:t>
      </w:r>
      <w:r>
        <w:rPr>
          <w:color w:val="231F20"/>
          <w:w w:val="105"/>
        </w:rPr>
        <w:t>como una contribución esencial a la memoria histórica, a la inteligencia del contexto” (2007: 28). Y es que el rescate de la experiencia social pasa por el cúmulo de impresiones, recuerdos, testimonios, ideas, modos y decisiones vitales de quienes son parte de una</w:t>
      </w:r>
      <w:r>
        <w:rPr>
          <w:color w:val="231F20"/>
          <w:spacing w:val="-18"/>
          <w:w w:val="105"/>
        </w:rPr>
        <w:t> </w:t>
      </w:r>
      <w:r>
        <w:rPr>
          <w:color w:val="231F20"/>
          <w:w w:val="105"/>
        </w:rPr>
        <w:t>experiencia</w:t>
      </w:r>
      <w:r>
        <w:rPr>
          <w:color w:val="231F20"/>
          <w:spacing w:val="-18"/>
          <w:w w:val="105"/>
        </w:rPr>
        <w:t> </w:t>
      </w:r>
      <w:r>
        <w:rPr>
          <w:color w:val="231F20"/>
          <w:w w:val="105"/>
        </w:rPr>
        <w:t>(como</w:t>
      </w:r>
      <w:r>
        <w:rPr>
          <w:color w:val="231F20"/>
          <w:spacing w:val="-18"/>
          <w:w w:val="105"/>
        </w:rPr>
        <w:t> </w:t>
      </w:r>
      <w:r>
        <w:rPr>
          <w:color w:val="231F20"/>
          <w:w w:val="105"/>
        </w:rPr>
        <w:t>la</w:t>
      </w:r>
      <w:r>
        <w:rPr>
          <w:color w:val="231F20"/>
          <w:spacing w:val="-18"/>
          <w:w w:val="105"/>
        </w:rPr>
        <w:t> </w:t>
      </w:r>
      <w:r>
        <w:rPr>
          <w:color w:val="231F20"/>
          <w:w w:val="105"/>
        </w:rPr>
        <w:t>migración</w:t>
      </w:r>
      <w:r>
        <w:rPr>
          <w:color w:val="231F20"/>
          <w:spacing w:val="-18"/>
          <w:w w:val="105"/>
        </w:rPr>
        <w:t> </w:t>
      </w:r>
      <w:r>
        <w:rPr>
          <w:color w:val="231F20"/>
          <w:w w:val="105"/>
        </w:rPr>
        <w:t>internacional),</w:t>
      </w:r>
      <w:r>
        <w:rPr>
          <w:color w:val="231F20"/>
          <w:spacing w:val="-23"/>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que</w:t>
      </w:r>
      <w:r>
        <w:rPr>
          <w:color w:val="231F20"/>
          <w:spacing w:val="-18"/>
          <w:w w:val="105"/>
        </w:rPr>
        <w:t> </w:t>
      </w:r>
      <w:r>
        <w:rPr>
          <w:color w:val="231F20"/>
          <w:w w:val="105"/>
        </w:rPr>
        <w:t>resultan</w:t>
      </w:r>
      <w:r>
        <w:rPr>
          <w:color w:val="231F20"/>
          <w:spacing w:val="-18"/>
          <w:w w:val="105"/>
        </w:rPr>
        <w:t> </w:t>
      </w:r>
      <w:r>
        <w:rPr>
          <w:color w:val="231F20"/>
          <w:w w:val="105"/>
        </w:rPr>
        <w:t>tan importantes</w:t>
      </w:r>
      <w:r>
        <w:rPr>
          <w:color w:val="231F20"/>
          <w:spacing w:val="-25"/>
          <w:w w:val="105"/>
        </w:rPr>
        <w:t> </w:t>
      </w:r>
      <w:r>
        <w:rPr>
          <w:color w:val="231F20"/>
          <w:w w:val="105"/>
        </w:rPr>
        <w:t>los</w:t>
      </w:r>
      <w:r>
        <w:rPr>
          <w:color w:val="231F20"/>
          <w:spacing w:val="-25"/>
          <w:w w:val="105"/>
        </w:rPr>
        <w:t> </w:t>
      </w:r>
      <w:r>
        <w:rPr>
          <w:color w:val="231F20"/>
          <w:w w:val="105"/>
        </w:rPr>
        <w:t>memoriosos,</w:t>
      </w:r>
      <w:r>
        <w:rPr>
          <w:color w:val="231F20"/>
          <w:spacing w:val="-30"/>
          <w:w w:val="105"/>
        </w:rPr>
        <w:t> </w:t>
      </w:r>
      <w:r>
        <w:rPr>
          <w:color w:val="231F20"/>
          <w:w w:val="105"/>
        </w:rPr>
        <w:t>como</w:t>
      </w:r>
      <w:r>
        <w:rPr>
          <w:color w:val="231F20"/>
          <w:spacing w:val="-25"/>
          <w:w w:val="105"/>
        </w:rPr>
        <w:t> </w:t>
      </w:r>
      <w:r>
        <w:rPr>
          <w:color w:val="231F20"/>
          <w:w w:val="105"/>
        </w:rPr>
        <w:t>las</w:t>
      </w:r>
      <w:r>
        <w:rPr>
          <w:color w:val="231F20"/>
          <w:spacing w:val="-25"/>
          <w:w w:val="105"/>
        </w:rPr>
        <w:t> </w:t>
      </w:r>
      <w:r>
        <w:rPr>
          <w:color w:val="231F20"/>
          <w:w w:val="105"/>
        </w:rPr>
        <w:t>relaciones</w:t>
      </w:r>
      <w:r>
        <w:rPr>
          <w:color w:val="231F20"/>
          <w:spacing w:val="-25"/>
          <w:w w:val="105"/>
        </w:rPr>
        <w:t> </w:t>
      </w:r>
      <w:r>
        <w:rPr>
          <w:color w:val="231F20"/>
          <w:w w:val="105"/>
        </w:rPr>
        <w:t>sociales</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que</w:t>
      </w:r>
      <w:r>
        <w:rPr>
          <w:color w:val="231F20"/>
          <w:spacing w:val="-25"/>
          <w:w w:val="105"/>
        </w:rPr>
        <w:t> </w:t>
      </w:r>
      <w:r>
        <w:rPr>
          <w:color w:val="231F20"/>
          <w:w w:val="105"/>
        </w:rPr>
        <w:t>son y</w:t>
      </w:r>
      <w:r>
        <w:rPr>
          <w:color w:val="231F20"/>
          <w:spacing w:val="-13"/>
          <w:w w:val="105"/>
        </w:rPr>
        <w:t> </w:t>
      </w:r>
      <w:r>
        <w:rPr>
          <w:color w:val="231F20"/>
          <w:w w:val="105"/>
        </w:rPr>
        <w:t>han</w:t>
      </w:r>
      <w:r>
        <w:rPr>
          <w:color w:val="231F20"/>
          <w:spacing w:val="-13"/>
          <w:w w:val="105"/>
        </w:rPr>
        <w:t> </w:t>
      </w:r>
      <w:r>
        <w:rPr>
          <w:color w:val="231F20"/>
          <w:w w:val="105"/>
        </w:rPr>
        <w:t>sido</w:t>
      </w:r>
      <w:r>
        <w:rPr>
          <w:color w:val="231F20"/>
          <w:spacing w:val="-13"/>
          <w:w w:val="105"/>
        </w:rPr>
        <w:t> </w:t>
      </w:r>
      <w:r>
        <w:rPr>
          <w:color w:val="231F20"/>
          <w:w w:val="105"/>
        </w:rPr>
        <w:t>parte</w:t>
      </w:r>
      <w:r>
        <w:rPr>
          <w:color w:val="231F20"/>
          <w:spacing w:val="-13"/>
          <w:w w:val="105"/>
        </w:rPr>
        <w:t> </w:t>
      </w:r>
      <w:r>
        <w:rPr>
          <w:color w:val="231F20"/>
          <w:w w:val="105"/>
        </w:rPr>
        <w:t>tanto</w:t>
      </w:r>
      <w:r>
        <w:rPr>
          <w:color w:val="231F20"/>
          <w:spacing w:val="-13"/>
          <w:w w:val="105"/>
        </w:rPr>
        <w:t> </w:t>
      </w:r>
      <w:r>
        <w:rPr>
          <w:color w:val="231F20"/>
          <w:w w:val="105"/>
        </w:rPr>
        <w:t>las</w:t>
      </w:r>
      <w:r>
        <w:rPr>
          <w:color w:val="231F20"/>
          <w:spacing w:val="-13"/>
          <w:w w:val="105"/>
        </w:rPr>
        <w:t> </w:t>
      </w:r>
      <w:r>
        <w:rPr>
          <w:color w:val="231F20"/>
          <w:w w:val="105"/>
        </w:rPr>
        <w:t>personas</w:t>
      </w:r>
      <w:r>
        <w:rPr>
          <w:color w:val="231F20"/>
          <w:spacing w:val="-13"/>
          <w:w w:val="105"/>
        </w:rPr>
        <w:t> </w:t>
      </w:r>
      <w:r>
        <w:rPr>
          <w:color w:val="231F20"/>
          <w:w w:val="105"/>
        </w:rPr>
        <w:t>que</w:t>
      </w:r>
      <w:r>
        <w:rPr>
          <w:color w:val="231F20"/>
          <w:spacing w:val="-13"/>
          <w:w w:val="105"/>
        </w:rPr>
        <w:t> </w:t>
      </w:r>
      <w:r>
        <w:rPr>
          <w:color w:val="231F20"/>
          <w:w w:val="105"/>
        </w:rPr>
        <w:t>emigran</w:t>
      </w:r>
      <w:r>
        <w:rPr>
          <w:color w:val="231F20"/>
          <w:spacing w:val="-13"/>
          <w:w w:val="105"/>
        </w:rPr>
        <w:t> </w:t>
      </w:r>
      <w:r>
        <w:rPr>
          <w:color w:val="231F20"/>
          <w:w w:val="105"/>
        </w:rPr>
        <w:t>como</w:t>
      </w:r>
      <w:r>
        <w:rPr>
          <w:color w:val="231F20"/>
          <w:spacing w:val="-13"/>
          <w:w w:val="105"/>
        </w:rPr>
        <w:t> </w:t>
      </w:r>
      <w:r>
        <w:rPr>
          <w:color w:val="231F20"/>
          <w:w w:val="105"/>
        </w:rPr>
        <w:t>las</w:t>
      </w:r>
      <w:r>
        <w:rPr>
          <w:color w:val="231F20"/>
          <w:spacing w:val="-13"/>
          <w:w w:val="105"/>
        </w:rPr>
        <w:t> </w:t>
      </w:r>
      <w:r>
        <w:rPr>
          <w:color w:val="231F20"/>
          <w:w w:val="105"/>
        </w:rPr>
        <w:t>que</w:t>
      </w:r>
      <w:r>
        <w:rPr>
          <w:color w:val="231F20"/>
          <w:spacing w:val="-13"/>
          <w:w w:val="105"/>
        </w:rPr>
        <w:t> </w:t>
      </w:r>
      <w:r>
        <w:rPr>
          <w:color w:val="231F20"/>
          <w:w w:val="105"/>
        </w:rPr>
        <w:t>permane- cen en el lugar de</w:t>
      </w:r>
      <w:r>
        <w:rPr>
          <w:color w:val="231F20"/>
          <w:spacing w:val="-23"/>
          <w:w w:val="105"/>
        </w:rPr>
        <w:t> </w:t>
      </w:r>
      <w:r>
        <w:rPr>
          <w:color w:val="231F20"/>
          <w:w w:val="105"/>
        </w:rPr>
        <w:t>origen.</w:t>
      </w:r>
    </w:p>
    <w:p>
      <w:pPr>
        <w:pStyle w:val="BodyText"/>
        <w:spacing w:line="261" w:lineRule="auto" w:before="1"/>
        <w:ind w:left="1723" w:right="1829" w:firstLine="567"/>
        <w:jc w:val="both"/>
      </w:pPr>
      <w:r>
        <w:rPr>
          <w:color w:val="231F20"/>
          <w:w w:val="105"/>
        </w:rPr>
        <w:t>Las</w:t>
      </w:r>
      <w:r>
        <w:rPr>
          <w:color w:val="231F20"/>
          <w:spacing w:val="-11"/>
          <w:w w:val="105"/>
        </w:rPr>
        <w:t> </w:t>
      </w:r>
      <w:r>
        <w:rPr>
          <w:color w:val="231F20"/>
          <w:w w:val="105"/>
        </w:rPr>
        <w:t>historias</w:t>
      </w:r>
      <w:r>
        <w:rPr>
          <w:color w:val="231F20"/>
          <w:spacing w:val="-11"/>
          <w:w w:val="105"/>
        </w:rPr>
        <w:t> </w:t>
      </w:r>
      <w:r>
        <w:rPr>
          <w:color w:val="231F20"/>
          <w:w w:val="105"/>
        </w:rPr>
        <w:t>de</w:t>
      </w:r>
      <w:r>
        <w:rPr>
          <w:color w:val="231F20"/>
          <w:spacing w:val="-11"/>
          <w:w w:val="105"/>
        </w:rPr>
        <w:t> </w:t>
      </w:r>
      <w:r>
        <w:rPr>
          <w:color w:val="231F20"/>
          <w:w w:val="105"/>
        </w:rPr>
        <w:t>vida</w:t>
      </w:r>
      <w:r>
        <w:rPr>
          <w:color w:val="231F20"/>
          <w:spacing w:val="-11"/>
          <w:w w:val="105"/>
        </w:rPr>
        <w:t> </w:t>
      </w:r>
      <w:r>
        <w:rPr>
          <w:color w:val="231F20"/>
          <w:w w:val="105"/>
        </w:rPr>
        <w:t>gozan</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particularidad</w:t>
      </w:r>
      <w:r>
        <w:rPr>
          <w:color w:val="231F20"/>
          <w:spacing w:val="-11"/>
          <w:w w:val="105"/>
        </w:rPr>
        <w:t> </w:t>
      </w:r>
      <w:r>
        <w:rPr>
          <w:color w:val="231F20"/>
          <w:w w:val="105"/>
        </w:rPr>
        <w:t>genitiva:</w:t>
      </w:r>
      <w:r>
        <w:rPr>
          <w:color w:val="231F20"/>
          <w:spacing w:val="-11"/>
          <w:w w:val="105"/>
        </w:rPr>
        <w:t> </w:t>
      </w:r>
      <w:r>
        <w:rPr>
          <w:color w:val="231F20"/>
          <w:w w:val="105"/>
        </w:rPr>
        <w:t>ayudan a romper con las formas fijas en que se entienden los fenómenos so- ciales </w:t>
      </w:r>
      <w:r>
        <w:rPr>
          <w:color w:val="231F20"/>
          <w:spacing w:val="-4"/>
          <w:w w:val="105"/>
        </w:rPr>
        <w:t>y, </w:t>
      </w:r>
      <w:r>
        <w:rPr>
          <w:color w:val="231F20"/>
          <w:w w:val="105"/>
        </w:rPr>
        <w:t>particularmente, el concepto abstracto de migrante (represen- tado —reemplazado— en una cifra) carente de diferencias, y donde una noción,</w:t>
      </w:r>
      <w:r>
        <w:rPr>
          <w:color w:val="231F20"/>
          <w:spacing w:val="-19"/>
          <w:w w:val="105"/>
        </w:rPr>
        <w:t> </w:t>
      </w:r>
      <w:r>
        <w:rPr>
          <w:color w:val="231F20"/>
          <w:w w:val="105"/>
        </w:rPr>
        <w:t>pretendidamente</w:t>
      </w:r>
      <w:r>
        <w:rPr>
          <w:color w:val="231F20"/>
          <w:spacing w:val="-14"/>
          <w:w w:val="105"/>
        </w:rPr>
        <w:t> </w:t>
      </w:r>
      <w:r>
        <w:rPr>
          <w:color w:val="231F20"/>
          <w:w w:val="105"/>
        </w:rPr>
        <w:t>general,</w:t>
      </w:r>
      <w:r>
        <w:rPr>
          <w:color w:val="231F20"/>
          <w:spacing w:val="-19"/>
          <w:w w:val="105"/>
        </w:rPr>
        <w:t> </w:t>
      </w:r>
      <w:r>
        <w:rPr>
          <w:color w:val="231F20"/>
          <w:w w:val="105"/>
        </w:rPr>
        <w:t>niega</w:t>
      </w:r>
      <w:r>
        <w:rPr>
          <w:color w:val="231F20"/>
          <w:spacing w:val="-14"/>
          <w:w w:val="105"/>
        </w:rPr>
        <w:t> </w:t>
      </w:r>
      <w:r>
        <w:rPr>
          <w:color w:val="231F20"/>
          <w:w w:val="105"/>
        </w:rPr>
        <w:t>las</w:t>
      </w:r>
      <w:r>
        <w:rPr>
          <w:color w:val="231F20"/>
          <w:spacing w:val="-14"/>
          <w:w w:val="105"/>
        </w:rPr>
        <w:t> </w:t>
      </w:r>
      <w:r>
        <w:rPr>
          <w:color w:val="231F20"/>
          <w:w w:val="105"/>
        </w:rPr>
        <w:t>particularidades,</w:t>
      </w:r>
      <w:r>
        <w:rPr>
          <w:color w:val="231F20"/>
          <w:spacing w:val="-19"/>
          <w:w w:val="105"/>
        </w:rPr>
        <w:t> </w:t>
      </w:r>
      <w:r>
        <w:rPr>
          <w:color w:val="231F20"/>
          <w:w w:val="105"/>
        </w:rPr>
        <w:t>los</w:t>
      </w:r>
      <w:r>
        <w:rPr>
          <w:color w:val="231F20"/>
          <w:spacing w:val="-14"/>
          <w:w w:val="105"/>
        </w:rPr>
        <w:t> </w:t>
      </w:r>
      <w:r>
        <w:rPr>
          <w:color w:val="231F20"/>
          <w:w w:val="105"/>
        </w:rPr>
        <w:t>rasgos,</w:t>
      </w:r>
    </w:p>
    <w:p>
      <w:pPr>
        <w:pStyle w:val="BodyText"/>
        <w:rPr>
          <w:sz w:val="20"/>
        </w:rPr>
      </w:pPr>
    </w:p>
    <w:p>
      <w:pPr>
        <w:pStyle w:val="BodyText"/>
        <w:spacing w:before="9"/>
        <w:rPr>
          <w:sz w:val="27"/>
        </w:rPr>
      </w:pPr>
    </w:p>
    <w:p>
      <w:pPr>
        <w:tabs>
          <w:tab w:pos="2937" w:val="left" w:leader="none"/>
        </w:tabs>
        <w:spacing w:before="73"/>
        <w:ind w:left="1832" w:right="0" w:firstLine="0"/>
        <w:jc w:val="left"/>
        <w:rPr>
          <w:rFonts w:ascii="Calibri"/>
          <w:sz w:val="8"/>
        </w:rPr>
      </w:pPr>
      <w:r>
        <w:rPr/>
        <w:pict>
          <v:line style="position:absolute;mso-position-horizontal-relative:page;mso-position-vertical-relative:paragraph;z-index:-445840" from="131.551193pt,3.853715pt" to="131.551193pt,39.656114pt" stroked="true" strokeweight=".35pt" strokecolor="#231f20">
            <w10:wrap type="none"/>
          </v:line>
        </w:pict>
      </w:r>
      <w:r>
        <w:rPr/>
        <w:pict>
          <v:line style="position:absolute;mso-position-horizontal-relative:page;mso-position-vertical-relative:paragraph;z-index:-445816" from="15pt,39.655914pt" to="0pt,39.655914pt" stroked="true" strokeweight=".25pt" strokecolor="#000000">
            <w10:wrap type="none"/>
          </v:line>
        </w:pict>
      </w:r>
      <w:r>
        <w:rPr/>
        <w:pict>
          <v:line style="position:absolute;mso-position-horizontal-relative:page;mso-position-vertical-relative:paragraph;z-index:44392" from="508.890015pt,39.655914pt" to="523.890015pt,39.655914pt" stroked="true" strokeweight=".25pt" strokecolor="#000000">
            <w10:wrap type="none"/>
          </v:line>
        </w:pict>
      </w:r>
      <w:r>
        <w:rPr>
          <w:rFonts w:ascii="Arial"/>
          <w:color w:val="414042"/>
          <w:position w:val="-5"/>
          <w:sz w:val="20"/>
        </w:rPr>
        <w:t>380</w:t>
        <w:tab/>
      </w:r>
      <w:r>
        <w:rPr>
          <w:rFonts w:ascii="Calibri"/>
          <w:color w:val="6D6E71"/>
          <w:sz w:val="15"/>
        </w:rPr>
        <w:t>Alejandro  Zarur Osorio</w:t>
      </w:r>
      <w:r>
        <w:rPr>
          <w:rFonts w:ascii="Calibri"/>
          <w:color w:val="6D6E71"/>
          <w:position w:val="5"/>
          <w:sz w:val="8"/>
        </w:rPr>
        <w:t>1</w:t>
      </w:r>
    </w:p>
    <w:p>
      <w:pPr>
        <w:spacing w:after="0"/>
        <w:jc w:val="left"/>
        <w:rPr>
          <w:rFonts w:ascii="Calibri"/>
          <w:sz w:val="8"/>
        </w:rPr>
        <w:sectPr>
          <w:footerReference w:type="default" r:id="rId379"/>
          <w:pgSz w:w="10480" w:h="14730"/>
          <w:pgMar w:footer="103" w:header="0" w:top="42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2023" w:right="0" w:firstLine="0"/>
        <w:jc w:val="left"/>
        <w:rPr>
          <w:rFonts w:ascii="Arial"/>
          <w:sz w:val="20"/>
        </w:rPr>
      </w:pPr>
      <w:r>
        <w:rPr/>
        <w:pict>
          <v:line style="position:absolute;mso-position-horizontal-relative:page;mso-position-vertical-relative:paragraph;z-index:-445768" from="405.061005pt,-18.554295pt" to="405.061005pt,16.311579pt" stroked="true" strokeweight=".35pt" strokecolor="#231f20">
            <w10:wrap type="none"/>
          </v:line>
        </w:pict>
      </w:r>
      <w:r>
        <w:rPr/>
        <w:pict>
          <v:line style="position:absolute;mso-position-horizontal-relative:page;mso-position-vertical-relative:paragraph;z-index:44440" from="15pt,-18.554522pt" to="0pt,-18.554522pt" stroked="true" strokeweight=".25pt" strokecolor="#000000">
            <w10:wrap type="none"/>
          </v:line>
        </w:pict>
      </w:r>
      <w:r>
        <w:rPr/>
        <w:pict>
          <v:line style="position:absolute;mso-position-horizontal-relative:page;mso-position-vertical-relative:paragraph;z-index:44464" from="508.890015pt,-18.554522pt" to="523.890015pt,-18.554522pt" stroked="true" strokeweight=".25pt" strokecolor="#000000">
            <w10:wrap type="none"/>
          </v:line>
        </w:pict>
      </w:r>
      <w:r>
        <w:rPr>
          <w:rFonts w:ascii="Lucida Sans Unicode"/>
          <w:color w:val="6D6E71"/>
          <w:sz w:val="14"/>
        </w:rPr>
        <w:t>LO</w:t>
      </w:r>
      <w:r>
        <w:rPr>
          <w:rFonts w:ascii="Lucida Sans Unicode"/>
          <w:color w:val="6D6E71"/>
          <w:spacing w:val="-29"/>
          <w:sz w:val="14"/>
        </w:rPr>
        <w:t> </w:t>
      </w:r>
      <w:r>
        <w:rPr>
          <w:rFonts w:ascii="Lucida Sans Unicode"/>
          <w:color w:val="6D6E71"/>
          <w:sz w:val="14"/>
        </w:rPr>
        <w:t>QUE</w:t>
      </w:r>
      <w:r>
        <w:rPr>
          <w:rFonts w:ascii="Lucida Sans Unicode"/>
          <w:color w:val="6D6E71"/>
          <w:spacing w:val="-29"/>
          <w:sz w:val="14"/>
        </w:rPr>
        <w:t> </w:t>
      </w:r>
      <w:r>
        <w:rPr>
          <w:rFonts w:ascii="Lucida Sans Unicode"/>
          <w:color w:val="6D6E71"/>
          <w:sz w:val="14"/>
        </w:rPr>
        <w:t>NO</w:t>
      </w:r>
      <w:r>
        <w:rPr>
          <w:rFonts w:ascii="Lucida Sans Unicode"/>
          <w:color w:val="6D6E71"/>
          <w:spacing w:val="-29"/>
          <w:sz w:val="14"/>
        </w:rPr>
        <w:t> </w:t>
      </w:r>
      <w:r>
        <w:rPr>
          <w:rFonts w:ascii="Lucida Sans Unicode"/>
          <w:color w:val="6D6E71"/>
          <w:sz w:val="14"/>
        </w:rPr>
        <w:t>SE</w:t>
      </w:r>
      <w:r>
        <w:rPr>
          <w:rFonts w:ascii="Lucida Sans Unicode"/>
          <w:color w:val="6D6E71"/>
          <w:spacing w:val="-29"/>
          <w:sz w:val="14"/>
        </w:rPr>
        <w:t> </w:t>
      </w:r>
      <w:r>
        <w:rPr>
          <w:rFonts w:ascii="Lucida Sans Unicode"/>
          <w:color w:val="6D6E71"/>
          <w:sz w:val="14"/>
        </w:rPr>
        <w:t>FUE</w:t>
      </w:r>
      <w:r>
        <w:rPr>
          <w:rFonts w:ascii="Lucida Sans Unicode"/>
          <w:color w:val="6D6E71"/>
          <w:spacing w:val="-29"/>
          <w:sz w:val="14"/>
        </w:rPr>
        <w:t> </w:t>
      </w:r>
      <w:r>
        <w:rPr>
          <w:rFonts w:ascii="Lucida Sans Unicode"/>
          <w:color w:val="6D6E71"/>
          <w:sz w:val="14"/>
        </w:rPr>
        <w:t>EN</w:t>
      </w:r>
      <w:r>
        <w:rPr>
          <w:rFonts w:ascii="Lucida Sans Unicode"/>
          <w:color w:val="6D6E71"/>
          <w:spacing w:val="-29"/>
          <w:sz w:val="14"/>
        </w:rPr>
        <w:t> </w:t>
      </w:r>
      <w:r>
        <w:rPr>
          <w:rFonts w:ascii="Lucida Sans Unicode"/>
          <w:color w:val="6D6E71"/>
          <w:sz w:val="14"/>
        </w:rPr>
        <w:t>EL</w:t>
      </w:r>
      <w:r>
        <w:rPr>
          <w:rFonts w:ascii="Lucida Sans Unicode"/>
          <w:color w:val="6D6E71"/>
          <w:spacing w:val="-29"/>
          <w:sz w:val="14"/>
        </w:rPr>
        <w:t> </w:t>
      </w:r>
      <w:r>
        <w:rPr>
          <w:rFonts w:ascii="Lucida Sans Unicode"/>
          <w:color w:val="6D6E71"/>
          <w:sz w:val="14"/>
        </w:rPr>
        <w:t>VELIZ</w:t>
      </w:r>
      <w:r>
        <w:rPr>
          <w:rFonts w:ascii="Lucida Sans Unicode"/>
          <w:color w:val="6D6E71"/>
          <w:spacing w:val="-29"/>
          <w:sz w:val="14"/>
        </w:rPr>
        <w:t> </w:t>
      </w:r>
      <w:r>
        <w:rPr>
          <w:rFonts w:ascii="Lucida Sans Unicode"/>
          <w:color w:val="6D6E71"/>
          <w:sz w:val="14"/>
        </w:rPr>
        <w:t>AZUL.</w:t>
      </w:r>
      <w:r>
        <w:rPr>
          <w:rFonts w:ascii="Lucida Sans Unicode"/>
          <w:color w:val="6D6E71"/>
          <w:spacing w:val="-29"/>
          <w:sz w:val="14"/>
        </w:rPr>
        <w:t> </w:t>
      </w:r>
      <w:r>
        <w:rPr>
          <w:rFonts w:ascii="Lucida Sans Unicode"/>
          <w:color w:val="6D6E71"/>
          <w:sz w:val="14"/>
        </w:rPr>
        <w:t>RELATO</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VIDA</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RAFAEL,</w:t>
      </w:r>
      <w:r>
        <w:rPr>
          <w:rFonts w:ascii="Lucida Sans Unicode"/>
          <w:color w:val="6D6E71"/>
          <w:spacing w:val="-29"/>
          <w:sz w:val="14"/>
        </w:rPr>
        <w:t> </w:t>
      </w:r>
      <w:r>
        <w:rPr>
          <w:rFonts w:ascii="Lucida Sans Unicode"/>
          <w:color w:val="6D6E71"/>
          <w:sz w:val="14"/>
        </w:rPr>
        <w:t>UN</w:t>
      </w:r>
      <w:r>
        <w:rPr>
          <w:rFonts w:ascii="Lucida Sans Unicode"/>
          <w:color w:val="6D6E71"/>
          <w:spacing w:val="-29"/>
          <w:sz w:val="14"/>
        </w:rPr>
        <w:t> </w:t>
      </w:r>
      <w:r>
        <w:rPr>
          <w:rFonts w:ascii="Lucida Sans Unicode"/>
          <w:color w:val="6D6E71"/>
          <w:sz w:val="14"/>
        </w:rPr>
        <w:t>MIGRANTE</w:t>
      </w:r>
      <w:r>
        <w:rPr>
          <w:rFonts w:ascii="Lucida Sans Unicode"/>
          <w:color w:val="6D6E71"/>
          <w:spacing w:val="-29"/>
          <w:sz w:val="14"/>
        </w:rPr>
        <w:t> </w:t>
      </w:r>
      <w:r>
        <w:rPr>
          <w:rFonts w:ascii="Lucida Sans Unicode"/>
          <w:color w:val="6D6E71"/>
          <w:sz w:val="14"/>
        </w:rPr>
        <w:t>TONATIQUENSE</w:t>
      </w:r>
      <w:r>
        <w:rPr>
          <w:rFonts w:ascii="Arial"/>
          <w:color w:val="414042"/>
          <w:position w:val="-3"/>
          <w:sz w:val="20"/>
        </w:rPr>
        <w:tab/>
        <w:t>381</w:t>
      </w:r>
    </w:p>
    <w:p>
      <w:pPr>
        <w:pStyle w:val="BodyText"/>
        <w:rPr>
          <w:rFonts w:ascii="Arial"/>
          <w:sz w:val="20"/>
        </w:rPr>
      </w:pPr>
    </w:p>
    <w:p>
      <w:pPr>
        <w:pStyle w:val="BodyText"/>
        <w:rPr>
          <w:rFonts w:ascii="Arial"/>
          <w:sz w:val="20"/>
        </w:rPr>
      </w:pPr>
    </w:p>
    <w:p>
      <w:pPr>
        <w:pStyle w:val="BodyText"/>
        <w:spacing w:line="261" w:lineRule="auto" w:before="137"/>
        <w:ind w:left="1837" w:right="1716"/>
        <w:jc w:val="both"/>
      </w:pPr>
      <w:r>
        <w:rPr>
          <w:color w:val="231F20"/>
          <w:w w:val="105"/>
        </w:rPr>
        <w:t>las</w:t>
      </w:r>
      <w:r>
        <w:rPr>
          <w:color w:val="231F20"/>
          <w:spacing w:val="-13"/>
          <w:w w:val="105"/>
        </w:rPr>
        <w:t> </w:t>
      </w:r>
      <w:r>
        <w:rPr>
          <w:color w:val="231F20"/>
          <w:w w:val="105"/>
        </w:rPr>
        <w:t>cualidades,</w:t>
      </w:r>
      <w:r>
        <w:rPr>
          <w:color w:val="231F20"/>
          <w:spacing w:val="-17"/>
          <w:w w:val="105"/>
        </w:rPr>
        <w:t> </w:t>
      </w:r>
      <w:r>
        <w:rPr>
          <w:color w:val="231F20"/>
          <w:w w:val="105"/>
        </w:rPr>
        <w:t>los</w:t>
      </w:r>
      <w:r>
        <w:rPr>
          <w:color w:val="231F20"/>
          <w:spacing w:val="-13"/>
          <w:w w:val="105"/>
        </w:rPr>
        <w:t> </w:t>
      </w:r>
      <w:r>
        <w:rPr>
          <w:color w:val="231F20"/>
          <w:w w:val="105"/>
        </w:rPr>
        <w:t>matices,</w:t>
      </w:r>
      <w:r>
        <w:rPr>
          <w:color w:val="231F20"/>
          <w:spacing w:val="-17"/>
          <w:w w:val="105"/>
        </w:rPr>
        <w:t> </w:t>
      </w:r>
      <w:r>
        <w:rPr>
          <w:color w:val="231F20"/>
          <w:w w:val="105"/>
        </w:rPr>
        <w:t>los</w:t>
      </w:r>
      <w:r>
        <w:rPr>
          <w:color w:val="231F20"/>
          <w:spacing w:val="-13"/>
          <w:w w:val="105"/>
        </w:rPr>
        <w:t> </w:t>
      </w:r>
      <w:r>
        <w:rPr>
          <w:color w:val="231F20"/>
          <w:w w:val="105"/>
        </w:rPr>
        <w:t>contrastes</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identidad</w:t>
      </w:r>
      <w:r>
        <w:rPr>
          <w:color w:val="231F20"/>
          <w:spacing w:val="-13"/>
          <w:w w:val="105"/>
        </w:rPr>
        <w:t> </w:t>
      </w:r>
      <w:r>
        <w:rPr>
          <w:color w:val="231F20"/>
          <w:w w:val="105"/>
        </w:rPr>
        <w:t>a</w:t>
      </w:r>
      <w:r>
        <w:rPr>
          <w:color w:val="231F20"/>
          <w:spacing w:val="-13"/>
          <w:w w:val="105"/>
        </w:rPr>
        <w:t> </w:t>
      </w:r>
      <w:r>
        <w:rPr>
          <w:color w:val="231F20"/>
          <w:w w:val="105"/>
        </w:rPr>
        <w:t>que</w:t>
      </w:r>
      <w:r>
        <w:rPr>
          <w:color w:val="231F20"/>
          <w:spacing w:val="-13"/>
          <w:w w:val="105"/>
        </w:rPr>
        <w:t> </w:t>
      </w:r>
      <w:r>
        <w:rPr>
          <w:color w:val="231F20"/>
          <w:w w:val="105"/>
        </w:rPr>
        <w:t>cada</w:t>
      </w:r>
      <w:r>
        <w:rPr>
          <w:color w:val="231F20"/>
          <w:spacing w:val="-13"/>
          <w:w w:val="105"/>
        </w:rPr>
        <w:t> </w:t>
      </w:r>
      <w:r>
        <w:rPr>
          <w:color w:val="231F20"/>
          <w:w w:val="105"/>
        </w:rPr>
        <w:t>vida da lugar. En la migración, la historia del migrante es inmanente a ésta, al mismo tiempo que distintiva, pero no aislada ni ajena por completo a las</w:t>
      </w:r>
      <w:r>
        <w:rPr>
          <w:color w:val="231F20"/>
          <w:spacing w:val="-13"/>
          <w:w w:val="105"/>
        </w:rPr>
        <w:t> </w:t>
      </w:r>
      <w:r>
        <w:rPr>
          <w:color w:val="231F20"/>
          <w:w w:val="105"/>
        </w:rPr>
        <w:t>otras</w:t>
      </w:r>
      <w:r>
        <w:rPr>
          <w:color w:val="231F20"/>
          <w:spacing w:val="-13"/>
          <w:w w:val="105"/>
        </w:rPr>
        <w:t> </w:t>
      </w:r>
      <w:r>
        <w:rPr>
          <w:color w:val="231F20"/>
          <w:w w:val="105"/>
        </w:rPr>
        <w:t>historias.</w:t>
      </w:r>
      <w:r>
        <w:rPr>
          <w:color w:val="231F20"/>
          <w:spacing w:val="-17"/>
          <w:w w:val="105"/>
        </w:rPr>
        <w:t> </w:t>
      </w:r>
      <w:r>
        <w:rPr>
          <w:color w:val="231F20"/>
          <w:w w:val="105"/>
        </w:rPr>
        <w:t>No</w:t>
      </w:r>
      <w:r>
        <w:rPr>
          <w:color w:val="231F20"/>
          <w:spacing w:val="-13"/>
          <w:w w:val="105"/>
        </w:rPr>
        <w:t> </w:t>
      </w:r>
      <w:r>
        <w:rPr>
          <w:color w:val="231F20"/>
          <w:w w:val="105"/>
        </w:rPr>
        <w:t>está</w:t>
      </w:r>
      <w:r>
        <w:rPr>
          <w:color w:val="231F20"/>
          <w:spacing w:val="-13"/>
          <w:w w:val="105"/>
        </w:rPr>
        <w:t> </w:t>
      </w:r>
      <w:r>
        <w:rPr>
          <w:color w:val="231F20"/>
          <w:w w:val="105"/>
        </w:rPr>
        <w:t>en</w:t>
      </w:r>
      <w:r>
        <w:rPr>
          <w:color w:val="231F20"/>
          <w:spacing w:val="-13"/>
          <w:w w:val="105"/>
        </w:rPr>
        <w:t> </w:t>
      </w:r>
      <w:r>
        <w:rPr>
          <w:color w:val="231F20"/>
          <w:w w:val="105"/>
        </w:rPr>
        <w:t>una</w:t>
      </w:r>
      <w:r>
        <w:rPr>
          <w:color w:val="231F20"/>
          <w:spacing w:val="-13"/>
          <w:w w:val="105"/>
        </w:rPr>
        <w:t> </w:t>
      </w:r>
      <w:r>
        <w:rPr>
          <w:color w:val="231F20"/>
          <w:w w:val="105"/>
        </w:rPr>
        <w:t>historia</w:t>
      </w:r>
      <w:r>
        <w:rPr>
          <w:color w:val="231F20"/>
          <w:spacing w:val="-13"/>
          <w:w w:val="105"/>
        </w:rPr>
        <w:t> </w:t>
      </w:r>
      <w:r>
        <w:rPr>
          <w:color w:val="231F20"/>
          <w:w w:val="105"/>
        </w:rPr>
        <w:t>concreta</w:t>
      </w:r>
      <w:r>
        <w:rPr>
          <w:color w:val="231F20"/>
          <w:spacing w:val="-13"/>
          <w:w w:val="105"/>
        </w:rPr>
        <w:t> </w:t>
      </w:r>
      <w:r>
        <w:rPr>
          <w:color w:val="231F20"/>
          <w:w w:val="105"/>
        </w:rPr>
        <w:t>la</w:t>
      </w:r>
      <w:r>
        <w:rPr>
          <w:color w:val="231F20"/>
          <w:spacing w:val="-13"/>
          <w:w w:val="105"/>
        </w:rPr>
        <w:t> </w:t>
      </w:r>
      <w:r>
        <w:rPr>
          <w:color w:val="231F20"/>
          <w:w w:val="105"/>
        </w:rPr>
        <w:t>explicación</w:t>
      </w:r>
      <w:r>
        <w:rPr>
          <w:color w:val="231F20"/>
          <w:spacing w:val="-13"/>
          <w:w w:val="105"/>
        </w:rPr>
        <w:t> </w:t>
      </w:r>
      <w:r>
        <w:rPr>
          <w:color w:val="231F20"/>
          <w:w w:val="105"/>
        </w:rPr>
        <w:t>(y</w:t>
      </w:r>
      <w:r>
        <w:rPr>
          <w:color w:val="231F20"/>
          <w:spacing w:val="-13"/>
          <w:w w:val="105"/>
        </w:rPr>
        <w:t> </w:t>
      </w:r>
      <w:r>
        <w:rPr>
          <w:color w:val="231F20"/>
          <w:w w:val="105"/>
        </w:rPr>
        <w:t>mu- cho menos la comprensión) de todo el fenómeno migratorio, pero sí su esencia.</w:t>
      </w:r>
      <w:r>
        <w:rPr>
          <w:color w:val="231F20"/>
          <w:spacing w:val="-15"/>
          <w:w w:val="105"/>
        </w:rPr>
        <w:t> </w:t>
      </w:r>
      <w:r>
        <w:rPr>
          <w:color w:val="231F20"/>
          <w:w w:val="105"/>
        </w:rPr>
        <w:t>Una</w:t>
      </w:r>
      <w:r>
        <w:rPr>
          <w:color w:val="231F20"/>
          <w:spacing w:val="-11"/>
          <w:w w:val="105"/>
        </w:rPr>
        <w:t> </w:t>
      </w:r>
      <w:r>
        <w:rPr>
          <w:color w:val="231F20"/>
          <w:w w:val="105"/>
        </w:rPr>
        <w:t>vida</w:t>
      </w:r>
      <w:r>
        <w:rPr>
          <w:color w:val="231F20"/>
          <w:spacing w:val="-11"/>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w w:val="105"/>
        </w:rPr>
        <w:t>vacía</w:t>
      </w:r>
      <w:r>
        <w:rPr>
          <w:color w:val="231F20"/>
          <w:spacing w:val="-11"/>
          <w:w w:val="105"/>
        </w:rPr>
        <w:t> </w:t>
      </w:r>
      <w:r>
        <w:rPr>
          <w:color w:val="231F20"/>
          <w:w w:val="105"/>
        </w:rPr>
        <w:t>en</w:t>
      </w:r>
      <w:r>
        <w:rPr>
          <w:color w:val="231F20"/>
          <w:spacing w:val="-11"/>
          <w:w w:val="105"/>
        </w:rPr>
        <w:t> </w:t>
      </w:r>
      <w:r>
        <w:rPr>
          <w:color w:val="231F20"/>
          <w:w w:val="105"/>
        </w:rPr>
        <w:t>una</w:t>
      </w:r>
      <w:r>
        <w:rPr>
          <w:color w:val="231F20"/>
          <w:spacing w:val="-11"/>
          <w:w w:val="105"/>
        </w:rPr>
        <w:t> </w:t>
      </w:r>
      <w:r>
        <w:rPr>
          <w:color w:val="231F20"/>
          <w:w w:val="105"/>
        </w:rPr>
        <w:t>cifra,</w:t>
      </w:r>
      <w:r>
        <w:rPr>
          <w:color w:val="231F20"/>
          <w:spacing w:val="-15"/>
          <w:w w:val="105"/>
        </w:rPr>
        <w:t> </w:t>
      </w:r>
      <w:r>
        <w:rPr>
          <w:color w:val="231F20"/>
          <w:w w:val="105"/>
        </w:rPr>
        <w:t>ni</w:t>
      </w:r>
      <w:r>
        <w:rPr>
          <w:color w:val="231F20"/>
          <w:spacing w:val="-11"/>
          <w:w w:val="105"/>
        </w:rPr>
        <w:t> </w:t>
      </w:r>
      <w:r>
        <w:rPr>
          <w:color w:val="231F20"/>
          <w:w w:val="105"/>
        </w:rPr>
        <w:t>queda</w:t>
      </w:r>
      <w:r>
        <w:rPr>
          <w:color w:val="231F20"/>
          <w:spacing w:val="-11"/>
          <w:w w:val="105"/>
        </w:rPr>
        <w:t> </w:t>
      </w:r>
      <w:r>
        <w:rPr>
          <w:color w:val="231F20"/>
          <w:w w:val="105"/>
        </w:rPr>
        <w:t>detenida</w:t>
      </w:r>
      <w:r>
        <w:rPr>
          <w:color w:val="231F20"/>
          <w:spacing w:val="-11"/>
          <w:w w:val="105"/>
        </w:rPr>
        <w:t> </w:t>
      </w:r>
      <w:r>
        <w:rPr>
          <w:color w:val="231F20"/>
          <w:w w:val="105"/>
        </w:rPr>
        <w:t>en</w:t>
      </w:r>
      <w:r>
        <w:rPr>
          <w:color w:val="231F20"/>
          <w:spacing w:val="-11"/>
          <w:w w:val="105"/>
        </w:rPr>
        <w:t> </w:t>
      </w:r>
      <w:r>
        <w:rPr>
          <w:color w:val="231F20"/>
          <w:w w:val="105"/>
        </w:rPr>
        <w:t>ella.</w:t>
      </w:r>
      <w:r>
        <w:rPr>
          <w:color w:val="231F20"/>
          <w:spacing w:val="-15"/>
          <w:w w:val="105"/>
        </w:rPr>
        <w:t> </w:t>
      </w:r>
      <w:r>
        <w:rPr>
          <w:color w:val="231F20"/>
          <w:w w:val="105"/>
        </w:rPr>
        <w:t>La complejidad</w:t>
      </w:r>
      <w:r>
        <w:rPr>
          <w:color w:val="231F20"/>
          <w:spacing w:val="-6"/>
          <w:w w:val="105"/>
        </w:rPr>
        <w:t> </w:t>
      </w:r>
      <w:r>
        <w:rPr>
          <w:color w:val="231F20"/>
          <w:w w:val="105"/>
        </w:rPr>
        <w:t>que</w:t>
      </w:r>
      <w:r>
        <w:rPr>
          <w:color w:val="231F20"/>
          <w:spacing w:val="-6"/>
          <w:w w:val="105"/>
        </w:rPr>
        <w:t> </w:t>
      </w:r>
      <w:r>
        <w:rPr>
          <w:color w:val="231F20"/>
          <w:w w:val="105"/>
        </w:rPr>
        <w:t>encierra</w:t>
      </w:r>
      <w:r>
        <w:rPr>
          <w:color w:val="231F20"/>
          <w:spacing w:val="-6"/>
          <w:w w:val="105"/>
        </w:rPr>
        <w:t> </w:t>
      </w:r>
      <w:r>
        <w:rPr>
          <w:color w:val="231F20"/>
          <w:w w:val="105"/>
        </w:rPr>
        <w:t>una</w:t>
      </w:r>
      <w:r>
        <w:rPr>
          <w:color w:val="231F20"/>
          <w:spacing w:val="-6"/>
          <w:w w:val="105"/>
        </w:rPr>
        <w:t> </w:t>
      </w:r>
      <w:r>
        <w:rPr>
          <w:color w:val="231F20"/>
          <w:w w:val="105"/>
        </w:rPr>
        <w:t>experiencia,</w:t>
      </w:r>
      <w:r>
        <w:rPr>
          <w:color w:val="231F20"/>
          <w:spacing w:val="-12"/>
          <w:w w:val="105"/>
        </w:rPr>
        <w:t> </w:t>
      </w:r>
      <w:r>
        <w:rPr>
          <w:color w:val="231F20"/>
          <w:w w:val="105"/>
        </w:rPr>
        <w:t>por</w:t>
      </w:r>
      <w:r>
        <w:rPr>
          <w:color w:val="231F20"/>
          <w:spacing w:val="-6"/>
          <w:w w:val="105"/>
        </w:rPr>
        <w:t> </w:t>
      </w:r>
      <w:r>
        <w:rPr>
          <w:color w:val="231F20"/>
          <w:w w:val="105"/>
        </w:rPr>
        <w:t>más</w:t>
      </w:r>
      <w:r>
        <w:rPr>
          <w:color w:val="231F20"/>
          <w:spacing w:val="-6"/>
          <w:w w:val="105"/>
        </w:rPr>
        <w:t> </w:t>
      </w:r>
      <w:r>
        <w:rPr>
          <w:color w:val="231F20"/>
          <w:w w:val="105"/>
        </w:rPr>
        <w:t>“común”</w:t>
      </w:r>
      <w:r>
        <w:rPr>
          <w:color w:val="231F20"/>
          <w:spacing w:val="-6"/>
          <w:w w:val="105"/>
        </w:rPr>
        <w:t> </w:t>
      </w:r>
      <w:r>
        <w:rPr>
          <w:color w:val="231F20"/>
          <w:w w:val="105"/>
        </w:rPr>
        <w:t>que</w:t>
      </w:r>
      <w:r>
        <w:rPr>
          <w:color w:val="231F20"/>
          <w:spacing w:val="-6"/>
          <w:w w:val="105"/>
        </w:rPr>
        <w:t> </w:t>
      </w:r>
      <w:r>
        <w:rPr>
          <w:color w:val="231F20"/>
          <w:w w:val="105"/>
        </w:rPr>
        <w:t>parez- ca,</w:t>
      </w:r>
      <w:r>
        <w:rPr>
          <w:color w:val="231F20"/>
          <w:spacing w:val="-32"/>
          <w:w w:val="105"/>
        </w:rPr>
        <w:t> </w:t>
      </w:r>
      <w:r>
        <w:rPr>
          <w:color w:val="231F20"/>
          <w:w w:val="105"/>
        </w:rPr>
        <w:t>no</w:t>
      </w:r>
      <w:r>
        <w:rPr>
          <w:color w:val="231F20"/>
          <w:spacing w:val="-27"/>
          <w:w w:val="105"/>
        </w:rPr>
        <w:t> </w:t>
      </w:r>
      <w:r>
        <w:rPr>
          <w:color w:val="231F20"/>
          <w:w w:val="105"/>
        </w:rPr>
        <w:t>cabe</w:t>
      </w:r>
      <w:r>
        <w:rPr>
          <w:color w:val="231F20"/>
          <w:spacing w:val="-27"/>
          <w:w w:val="105"/>
        </w:rPr>
        <w:t> </w:t>
      </w:r>
      <w:r>
        <w:rPr>
          <w:color w:val="231F20"/>
          <w:w w:val="105"/>
        </w:rPr>
        <w:t>y</w:t>
      </w:r>
      <w:r>
        <w:rPr>
          <w:color w:val="231F20"/>
          <w:spacing w:val="-27"/>
          <w:w w:val="105"/>
        </w:rPr>
        <w:t> </w:t>
      </w:r>
      <w:r>
        <w:rPr>
          <w:color w:val="231F20"/>
          <w:w w:val="105"/>
        </w:rPr>
        <w:t>hasta</w:t>
      </w:r>
      <w:r>
        <w:rPr>
          <w:color w:val="231F20"/>
          <w:spacing w:val="-28"/>
          <w:w w:val="105"/>
        </w:rPr>
        <w:t> </w:t>
      </w:r>
      <w:r>
        <w:rPr>
          <w:color w:val="231F20"/>
          <w:w w:val="105"/>
        </w:rPr>
        <w:t>se</w:t>
      </w:r>
      <w:r>
        <w:rPr>
          <w:color w:val="231F20"/>
          <w:spacing w:val="-27"/>
          <w:w w:val="105"/>
        </w:rPr>
        <w:t> </w:t>
      </w:r>
      <w:r>
        <w:rPr>
          <w:color w:val="231F20"/>
          <w:w w:val="105"/>
        </w:rPr>
        <w:t>escabulle</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definiciones</w:t>
      </w:r>
      <w:r>
        <w:rPr>
          <w:color w:val="231F20"/>
          <w:spacing w:val="-27"/>
          <w:w w:val="105"/>
        </w:rPr>
        <w:t> </w:t>
      </w:r>
      <w:r>
        <w:rPr>
          <w:color w:val="231F20"/>
          <w:w w:val="105"/>
        </w:rPr>
        <w:t>preconcebidas,</w:t>
      </w:r>
      <w:r>
        <w:rPr>
          <w:color w:val="231F20"/>
          <w:spacing w:val="-32"/>
          <w:w w:val="105"/>
        </w:rPr>
        <w:t> </w:t>
      </w:r>
      <w:r>
        <w:rPr>
          <w:color w:val="231F20"/>
          <w:w w:val="105"/>
        </w:rPr>
        <w:t>sobre todo</w:t>
      </w:r>
      <w:r>
        <w:rPr>
          <w:color w:val="231F20"/>
          <w:spacing w:val="-12"/>
          <w:w w:val="105"/>
        </w:rPr>
        <w:t> </w:t>
      </w:r>
      <w:r>
        <w:rPr>
          <w:color w:val="231F20"/>
          <w:w w:val="105"/>
        </w:rPr>
        <w:t>cuando</w:t>
      </w:r>
      <w:r>
        <w:rPr>
          <w:color w:val="231F20"/>
          <w:spacing w:val="-12"/>
          <w:w w:val="105"/>
        </w:rPr>
        <w:t> </w:t>
      </w:r>
      <w:r>
        <w:rPr>
          <w:color w:val="231F20"/>
          <w:w w:val="105"/>
        </w:rPr>
        <w:t>una</w:t>
      </w:r>
      <w:r>
        <w:rPr>
          <w:color w:val="231F20"/>
          <w:spacing w:val="-12"/>
          <w:w w:val="105"/>
        </w:rPr>
        <w:t> </w:t>
      </w:r>
      <w:r>
        <w:rPr>
          <w:color w:val="231F20"/>
          <w:w w:val="105"/>
        </w:rPr>
        <w:t>vida,</w:t>
      </w:r>
      <w:r>
        <w:rPr>
          <w:color w:val="231F20"/>
          <w:spacing w:val="-18"/>
          <w:w w:val="105"/>
        </w:rPr>
        <w:t> </w:t>
      </w:r>
      <w:r>
        <w:rPr>
          <w:color w:val="231F20"/>
          <w:w w:val="105"/>
        </w:rPr>
        <w:t>como</w:t>
      </w:r>
      <w:r>
        <w:rPr>
          <w:color w:val="231F20"/>
          <w:spacing w:val="-12"/>
          <w:w w:val="105"/>
        </w:rPr>
        <w:t> </w:t>
      </w:r>
      <w:r>
        <w:rPr>
          <w:color w:val="231F20"/>
          <w:w w:val="105"/>
        </w:rPr>
        <w:t>la</w:t>
      </w:r>
      <w:r>
        <w:rPr>
          <w:color w:val="231F20"/>
          <w:spacing w:val="-12"/>
          <w:w w:val="105"/>
        </w:rPr>
        <w:t> </w:t>
      </w:r>
      <w:r>
        <w:rPr>
          <w:color w:val="231F20"/>
          <w:w w:val="105"/>
        </w:rPr>
        <w:t>de</w:t>
      </w:r>
      <w:r>
        <w:rPr>
          <w:color w:val="231F20"/>
          <w:spacing w:val="-12"/>
          <w:w w:val="105"/>
        </w:rPr>
        <w:t> </w:t>
      </w:r>
      <w:r>
        <w:rPr>
          <w:color w:val="231F20"/>
          <w:w w:val="105"/>
        </w:rPr>
        <w:t>Rafael,</w:t>
      </w:r>
      <w:r>
        <w:rPr>
          <w:color w:val="231F20"/>
          <w:spacing w:val="-18"/>
          <w:w w:val="105"/>
        </w:rPr>
        <w:t> </w:t>
      </w:r>
      <w:r>
        <w:rPr>
          <w:color w:val="231F20"/>
          <w:w w:val="105"/>
        </w:rPr>
        <w:t>ha</w:t>
      </w:r>
      <w:r>
        <w:rPr>
          <w:color w:val="231F20"/>
          <w:spacing w:val="-12"/>
          <w:w w:val="105"/>
        </w:rPr>
        <w:t> </w:t>
      </w:r>
      <w:r>
        <w:rPr>
          <w:color w:val="231F20"/>
          <w:w w:val="105"/>
        </w:rPr>
        <w:t>coincidido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tiempo</w:t>
      </w:r>
      <w:r>
        <w:rPr>
          <w:color w:val="231F20"/>
          <w:spacing w:val="-12"/>
          <w:w w:val="105"/>
        </w:rPr>
        <w:t> </w:t>
      </w:r>
      <w:r>
        <w:rPr>
          <w:color w:val="231F20"/>
          <w:w w:val="105"/>
        </w:rPr>
        <w:t>con periodos concretos de la historia reciente de dos países vecinos, pero muy diferentes y distantes. La migración no se entiende mediante una suma de abstracciones y generalidades que, con fines demostrativos y explicativos, están asentadas en pretendidos rasgos comunes del des- plazamiento</w:t>
      </w:r>
      <w:r>
        <w:rPr>
          <w:color w:val="231F20"/>
          <w:spacing w:val="-21"/>
          <w:w w:val="105"/>
        </w:rPr>
        <w:t> </w:t>
      </w:r>
      <w:r>
        <w:rPr>
          <w:color w:val="231F20"/>
          <w:w w:val="105"/>
        </w:rPr>
        <w:t>de</w:t>
      </w:r>
      <w:r>
        <w:rPr>
          <w:color w:val="231F20"/>
          <w:spacing w:val="-21"/>
          <w:w w:val="105"/>
        </w:rPr>
        <w:t> </w:t>
      </w:r>
      <w:r>
        <w:rPr>
          <w:color w:val="231F20"/>
          <w:w w:val="105"/>
        </w:rPr>
        <w:t>seres</w:t>
      </w:r>
      <w:r>
        <w:rPr>
          <w:color w:val="231F20"/>
          <w:spacing w:val="-21"/>
          <w:w w:val="105"/>
        </w:rPr>
        <w:t> </w:t>
      </w:r>
      <w:r>
        <w:rPr>
          <w:color w:val="231F20"/>
          <w:w w:val="105"/>
        </w:rPr>
        <w:t>humanos</w:t>
      </w:r>
      <w:r>
        <w:rPr>
          <w:color w:val="231F20"/>
          <w:spacing w:val="-21"/>
          <w:w w:val="105"/>
        </w:rPr>
        <w:t> </w:t>
      </w:r>
      <w:r>
        <w:rPr>
          <w:color w:val="231F20"/>
          <w:w w:val="105"/>
        </w:rPr>
        <w:t>a</w:t>
      </w:r>
      <w:r>
        <w:rPr>
          <w:color w:val="231F20"/>
          <w:spacing w:val="-21"/>
          <w:w w:val="105"/>
        </w:rPr>
        <w:t> </w:t>
      </w:r>
      <w:r>
        <w:rPr>
          <w:color w:val="231F20"/>
          <w:w w:val="105"/>
        </w:rPr>
        <w:t>través</w:t>
      </w:r>
      <w:r>
        <w:rPr>
          <w:color w:val="231F20"/>
          <w:spacing w:val="-21"/>
          <w:w w:val="105"/>
        </w:rPr>
        <w:t> </w:t>
      </w:r>
      <w:r>
        <w:rPr>
          <w:color w:val="231F20"/>
          <w:w w:val="105"/>
        </w:rPr>
        <w:t>de</w:t>
      </w:r>
      <w:r>
        <w:rPr>
          <w:color w:val="231F20"/>
          <w:spacing w:val="-21"/>
          <w:w w:val="105"/>
        </w:rPr>
        <w:t> </w:t>
      </w:r>
      <w:r>
        <w:rPr>
          <w:color w:val="231F20"/>
          <w:w w:val="105"/>
        </w:rPr>
        <w:t>fronteras</w:t>
      </w:r>
      <w:r>
        <w:rPr>
          <w:color w:val="231F20"/>
          <w:spacing w:val="-21"/>
          <w:w w:val="105"/>
        </w:rPr>
        <w:t> </w:t>
      </w:r>
      <w:r>
        <w:rPr>
          <w:color w:val="231F20"/>
          <w:w w:val="105"/>
        </w:rPr>
        <w:t>y</w:t>
      </w:r>
      <w:r>
        <w:rPr>
          <w:color w:val="231F20"/>
          <w:spacing w:val="-21"/>
          <w:w w:val="105"/>
        </w:rPr>
        <w:t> </w:t>
      </w:r>
      <w:r>
        <w:rPr>
          <w:color w:val="231F20"/>
          <w:w w:val="105"/>
        </w:rPr>
        <w:t>territorios.</w:t>
      </w:r>
    </w:p>
    <w:p>
      <w:pPr>
        <w:pStyle w:val="BodyText"/>
        <w:spacing w:line="261" w:lineRule="auto" w:before="1"/>
        <w:ind w:left="1837" w:right="1721" w:firstLine="567"/>
        <w:jc w:val="both"/>
      </w:pPr>
      <w:r>
        <w:rPr>
          <w:color w:val="231F20"/>
          <w:w w:val="105"/>
        </w:rPr>
        <w:t>El</w:t>
      </w:r>
      <w:r>
        <w:rPr>
          <w:color w:val="231F20"/>
          <w:spacing w:val="-10"/>
          <w:w w:val="105"/>
        </w:rPr>
        <w:t> </w:t>
      </w:r>
      <w:r>
        <w:rPr>
          <w:color w:val="231F20"/>
          <w:w w:val="105"/>
        </w:rPr>
        <w:t>migrante</w:t>
      </w:r>
      <w:r>
        <w:rPr>
          <w:color w:val="231F20"/>
          <w:spacing w:val="-10"/>
          <w:w w:val="105"/>
        </w:rPr>
        <w:t> </w:t>
      </w:r>
      <w:r>
        <w:rPr>
          <w:color w:val="231F20"/>
          <w:w w:val="105"/>
        </w:rPr>
        <w:t>peregrina</w:t>
      </w:r>
      <w:r>
        <w:rPr>
          <w:color w:val="231F20"/>
          <w:spacing w:val="-10"/>
          <w:w w:val="105"/>
        </w:rPr>
        <w:t> </w:t>
      </w:r>
      <w:r>
        <w:rPr>
          <w:color w:val="231F20"/>
          <w:w w:val="105"/>
        </w:rPr>
        <w:t>por</w:t>
      </w:r>
      <w:r>
        <w:rPr>
          <w:color w:val="231F20"/>
          <w:spacing w:val="-10"/>
          <w:w w:val="105"/>
        </w:rPr>
        <w:t> </w:t>
      </w:r>
      <w:r>
        <w:rPr>
          <w:color w:val="231F20"/>
          <w:w w:val="105"/>
        </w:rPr>
        <w:t>sendas</w:t>
      </w:r>
      <w:r>
        <w:rPr>
          <w:color w:val="231F20"/>
          <w:spacing w:val="-10"/>
          <w:w w:val="105"/>
        </w:rPr>
        <w:t> </w:t>
      </w:r>
      <w:r>
        <w:rPr>
          <w:color w:val="231F20"/>
          <w:w w:val="105"/>
        </w:rPr>
        <w:t>ancestrales</w:t>
      </w:r>
      <w:r>
        <w:rPr>
          <w:color w:val="231F20"/>
          <w:spacing w:val="-10"/>
          <w:w w:val="105"/>
        </w:rPr>
        <w:t> </w:t>
      </w:r>
      <w:r>
        <w:rPr>
          <w:color w:val="231F20"/>
          <w:w w:val="105"/>
        </w:rPr>
        <w:t>o</w:t>
      </w:r>
      <w:r>
        <w:rPr>
          <w:color w:val="231F20"/>
          <w:spacing w:val="-10"/>
          <w:w w:val="105"/>
        </w:rPr>
        <w:t> </w:t>
      </w:r>
      <w:r>
        <w:rPr>
          <w:color w:val="231F20"/>
          <w:w w:val="105"/>
        </w:rPr>
        <w:t>desconocidas.</w:t>
      </w:r>
      <w:r>
        <w:rPr>
          <w:color w:val="231F20"/>
          <w:spacing w:val="-16"/>
          <w:w w:val="105"/>
        </w:rPr>
        <w:t> </w:t>
      </w:r>
      <w:r>
        <w:rPr>
          <w:color w:val="231F20"/>
          <w:w w:val="105"/>
        </w:rPr>
        <w:t>Di- rige sus pasos para hallar otra vida dentro de esta vida o para evitar la muerte.</w:t>
      </w:r>
      <w:r>
        <w:rPr>
          <w:color w:val="231F20"/>
          <w:spacing w:val="-19"/>
          <w:w w:val="105"/>
        </w:rPr>
        <w:t> </w:t>
      </w:r>
      <w:r>
        <w:rPr>
          <w:color w:val="231F20"/>
          <w:w w:val="105"/>
        </w:rPr>
        <w:t>Quien</w:t>
      </w:r>
      <w:r>
        <w:rPr>
          <w:color w:val="231F20"/>
          <w:spacing w:val="-14"/>
          <w:w w:val="105"/>
        </w:rPr>
        <w:t> </w:t>
      </w:r>
      <w:r>
        <w:rPr>
          <w:color w:val="231F20"/>
          <w:w w:val="105"/>
        </w:rPr>
        <w:t>migra</w:t>
      </w:r>
      <w:r>
        <w:rPr>
          <w:color w:val="231F20"/>
          <w:spacing w:val="-14"/>
          <w:w w:val="105"/>
        </w:rPr>
        <w:t> </w:t>
      </w:r>
      <w:r>
        <w:rPr>
          <w:color w:val="231F20"/>
          <w:w w:val="105"/>
        </w:rPr>
        <w:t>se</w:t>
      </w:r>
      <w:r>
        <w:rPr>
          <w:color w:val="231F20"/>
          <w:spacing w:val="-14"/>
          <w:w w:val="105"/>
        </w:rPr>
        <w:t> </w:t>
      </w:r>
      <w:r>
        <w:rPr>
          <w:color w:val="231F20"/>
          <w:w w:val="105"/>
        </w:rPr>
        <w:t>desplaza</w:t>
      </w:r>
      <w:r>
        <w:rPr>
          <w:color w:val="231F20"/>
          <w:spacing w:val="-14"/>
          <w:w w:val="105"/>
        </w:rPr>
        <w:t> </w:t>
      </w:r>
      <w:r>
        <w:rPr>
          <w:color w:val="231F20"/>
          <w:w w:val="105"/>
        </w:rPr>
        <w:t>por</w:t>
      </w:r>
      <w:r>
        <w:rPr>
          <w:color w:val="231F20"/>
          <w:spacing w:val="-14"/>
          <w:w w:val="105"/>
        </w:rPr>
        <w:t> </w:t>
      </w:r>
      <w:r>
        <w:rPr>
          <w:color w:val="231F20"/>
          <w:w w:val="105"/>
        </w:rPr>
        <w:t>razones</w:t>
      </w:r>
      <w:r>
        <w:rPr>
          <w:color w:val="231F20"/>
          <w:spacing w:val="-14"/>
          <w:w w:val="105"/>
        </w:rPr>
        <w:t> </w:t>
      </w:r>
      <w:r>
        <w:rPr>
          <w:color w:val="231F20"/>
          <w:w w:val="105"/>
        </w:rPr>
        <w:t>consabidas,</w:t>
      </w:r>
      <w:r>
        <w:rPr>
          <w:color w:val="231F20"/>
          <w:spacing w:val="-19"/>
          <w:w w:val="105"/>
        </w:rPr>
        <w:t> </w:t>
      </w:r>
      <w:r>
        <w:rPr>
          <w:color w:val="231F20"/>
          <w:w w:val="105"/>
        </w:rPr>
        <w:t>pero</w:t>
      </w:r>
      <w:r>
        <w:rPr>
          <w:color w:val="231F20"/>
          <w:spacing w:val="-14"/>
          <w:w w:val="105"/>
        </w:rPr>
        <w:t> </w:t>
      </w:r>
      <w:r>
        <w:rPr>
          <w:color w:val="231F20"/>
          <w:w w:val="105"/>
        </w:rPr>
        <w:t>también por</w:t>
      </w:r>
      <w:r>
        <w:rPr>
          <w:color w:val="231F20"/>
          <w:spacing w:val="-27"/>
          <w:w w:val="105"/>
        </w:rPr>
        <w:t> </w:t>
      </w:r>
      <w:r>
        <w:rPr>
          <w:color w:val="231F20"/>
          <w:w w:val="105"/>
        </w:rPr>
        <w:t>razones</w:t>
      </w:r>
      <w:r>
        <w:rPr>
          <w:color w:val="231F20"/>
          <w:spacing w:val="-27"/>
          <w:w w:val="105"/>
        </w:rPr>
        <w:t> </w:t>
      </w:r>
      <w:r>
        <w:rPr>
          <w:color w:val="231F20"/>
          <w:w w:val="105"/>
        </w:rPr>
        <w:t>íntimas:</w:t>
      </w:r>
      <w:r>
        <w:rPr>
          <w:color w:val="231F20"/>
          <w:spacing w:val="-27"/>
          <w:w w:val="105"/>
        </w:rPr>
        <w:t> </w:t>
      </w:r>
      <w:r>
        <w:rPr>
          <w:color w:val="231F20"/>
          <w:w w:val="105"/>
        </w:rPr>
        <w:t>abandona</w:t>
      </w:r>
      <w:r>
        <w:rPr>
          <w:color w:val="231F20"/>
          <w:spacing w:val="-27"/>
          <w:w w:val="105"/>
        </w:rPr>
        <w:t> </w:t>
      </w:r>
      <w:r>
        <w:rPr>
          <w:color w:val="231F20"/>
          <w:w w:val="105"/>
        </w:rPr>
        <w:t>su</w:t>
      </w:r>
      <w:r>
        <w:rPr>
          <w:color w:val="231F20"/>
          <w:spacing w:val="-27"/>
          <w:w w:val="105"/>
        </w:rPr>
        <w:t> </w:t>
      </w:r>
      <w:r>
        <w:rPr>
          <w:color w:val="231F20"/>
          <w:w w:val="105"/>
        </w:rPr>
        <w:t>lugar</w:t>
      </w:r>
      <w:r>
        <w:rPr>
          <w:color w:val="231F20"/>
          <w:spacing w:val="-27"/>
          <w:w w:val="105"/>
        </w:rPr>
        <w:t> </w:t>
      </w:r>
      <w:r>
        <w:rPr>
          <w:color w:val="231F20"/>
          <w:w w:val="105"/>
        </w:rPr>
        <w:t>habitual</w:t>
      </w:r>
      <w:r>
        <w:rPr>
          <w:color w:val="231F20"/>
          <w:spacing w:val="-27"/>
          <w:w w:val="105"/>
        </w:rPr>
        <w:t> </w:t>
      </w:r>
      <w:r>
        <w:rPr>
          <w:color w:val="231F20"/>
          <w:w w:val="105"/>
        </w:rPr>
        <w:t>de</w:t>
      </w:r>
      <w:r>
        <w:rPr>
          <w:color w:val="231F20"/>
          <w:spacing w:val="-27"/>
          <w:w w:val="105"/>
        </w:rPr>
        <w:t> </w:t>
      </w:r>
      <w:r>
        <w:rPr>
          <w:color w:val="231F20"/>
          <w:w w:val="105"/>
        </w:rPr>
        <w:t>residencia</w:t>
      </w:r>
      <w:r>
        <w:rPr>
          <w:color w:val="231F20"/>
          <w:spacing w:val="-27"/>
          <w:w w:val="105"/>
        </w:rPr>
        <w:t> </w:t>
      </w:r>
      <w:r>
        <w:rPr>
          <w:color w:val="231F20"/>
          <w:w w:val="105"/>
        </w:rPr>
        <w:t>y</w:t>
      </w:r>
      <w:r>
        <w:rPr>
          <w:color w:val="231F20"/>
          <w:spacing w:val="-27"/>
          <w:w w:val="105"/>
        </w:rPr>
        <w:t> </w:t>
      </w:r>
      <w:r>
        <w:rPr>
          <w:color w:val="231F20"/>
          <w:w w:val="105"/>
        </w:rPr>
        <w:t>se</w:t>
      </w:r>
      <w:r>
        <w:rPr>
          <w:color w:val="231F20"/>
          <w:spacing w:val="-27"/>
          <w:w w:val="105"/>
        </w:rPr>
        <w:t> </w:t>
      </w:r>
      <w:r>
        <w:rPr>
          <w:color w:val="231F20"/>
          <w:w w:val="105"/>
        </w:rPr>
        <w:t>trasla- da</w:t>
      </w:r>
      <w:r>
        <w:rPr>
          <w:color w:val="231F20"/>
          <w:spacing w:val="-24"/>
          <w:w w:val="105"/>
        </w:rPr>
        <w:t> </w:t>
      </w:r>
      <w:r>
        <w:rPr>
          <w:color w:val="231F20"/>
          <w:w w:val="105"/>
        </w:rPr>
        <w:t>a</w:t>
      </w:r>
      <w:r>
        <w:rPr>
          <w:color w:val="231F20"/>
          <w:spacing w:val="-24"/>
          <w:w w:val="105"/>
        </w:rPr>
        <w:t> </w:t>
      </w:r>
      <w:r>
        <w:rPr>
          <w:color w:val="231F20"/>
          <w:w w:val="105"/>
        </w:rPr>
        <w:t>otros</w:t>
      </w:r>
      <w:r>
        <w:rPr>
          <w:color w:val="231F20"/>
          <w:spacing w:val="-24"/>
          <w:w w:val="105"/>
        </w:rPr>
        <w:t> </w:t>
      </w:r>
      <w:r>
        <w:rPr>
          <w:color w:val="231F20"/>
          <w:w w:val="105"/>
        </w:rPr>
        <w:t>territorios</w:t>
      </w:r>
      <w:r>
        <w:rPr>
          <w:color w:val="231F20"/>
          <w:spacing w:val="-24"/>
          <w:w w:val="105"/>
        </w:rPr>
        <w:t> </w:t>
      </w:r>
      <w:r>
        <w:rPr>
          <w:color w:val="231F20"/>
          <w:w w:val="105"/>
        </w:rPr>
        <w:t>afrontando</w:t>
      </w:r>
      <w:r>
        <w:rPr>
          <w:color w:val="231F20"/>
          <w:spacing w:val="-24"/>
          <w:w w:val="105"/>
        </w:rPr>
        <w:t> </w:t>
      </w:r>
      <w:r>
        <w:rPr>
          <w:color w:val="231F20"/>
          <w:w w:val="105"/>
        </w:rPr>
        <w:t>experiencias</w:t>
      </w:r>
      <w:r>
        <w:rPr>
          <w:color w:val="231F20"/>
          <w:spacing w:val="-24"/>
          <w:w w:val="105"/>
        </w:rPr>
        <w:t> </w:t>
      </w:r>
      <w:r>
        <w:rPr>
          <w:color w:val="231F20"/>
          <w:w w:val="105"/>
        </w:rPr>
        <w:t>inabarcables</w:t>
      </w:r>
      <w:r>
        <w:rPr>
          <w:color w:val="231F20"/>
          <w:spacing w:val="-24"/>
          <w:w w:val="105"/>
        </w:rPr>
        <w:t> </w:t>
      </w:r>
      <w:r>
        <w:rPr>
          <w:color w:val="231F20"/>
          <w:w w:val="105"/>
        </w:rPr>
        <w:t>para</w:t>
      </w:r>
      <w:r>
        <w:rPr>
          <w:color w:val="231F20"/>
          <w:spacing w:val="-24"/>
          <w:w w:val="105"/>
        </w:rPr>
        <w:t> </w:t>
      </w:r>
      <w:r>
        <w:rPr>
          <w:color w:val="231F20"/>
          <w:w w:val="105"/>
        </w:rPr>
        <w:t>los</w:t>
      </w:r>
      <w:r>
        <w:rPr>
          <w:color w:val="231F20"/>
          <w:spacing w:val="-24"/>
          <w:w w:val="105"/>
        </w:rPr>
        <w:t> </w:t>
      </w:r>
      <w:r>
        <w:rPr>
          <w:color w:val="231F20"/>
          <w:w w:val="105"/>
        </w:rPr>
        <w:t>datos cuantitativos</w:t>
      </w:r>
      <w:r>
        <w:rPr>
          <w:color w:val="231F20"/>
          <w:spacing w:val="-25"/>
          <w:w w:val="105"/>
        </w:rPr>
        <w:t> </w:t>
      </w:r>
      <w:r>
        <w:rPr>
          <w:color w:val="231F20"/>
          <w:w w:val="105"/>
        </w:rPr>
        <w:t>en</w:t>
      </w:r>
      <w:r>
        <w:rPr>
          <w:color w:val="231F20"/>
          <w:spacing w:val="-25"/>
          <w:w w:val="105"/>
        </w:rPr>
        <w:t> </w:t>
      </w:r>
      <w:r>
        <w:rPr>
          <w:color w:val="231F20"/>
          <w:w w:val="105"/>
        </w:rPr>
        <w:t>que</w:t>
      </w:r>
      <w:r>
        <w:rPr>
          <w:color w:val="231F20"/>
          <w:spacing w:val="-25"/>
          <w:w w:val="105"/>
        </w:rPr>
        <w:t> </w:t>
      </w:r>
      <w:r>
        <w:rPr>
          <w:color w:val="231F20"/>
          <w:w w:val="105"/>
        </w:rPr>
        <w:t>su</w:t>
      </w:r>
      <w:r>
        <w:rPr>
          <w:color w:val="231F20"/>
          <w:spacing w:val="-25"/>
          <w:w w:val="105"/>
        </w:rPr>
        <w:t> </w:t>
      </w:r>
      <w:r>
        <w:rPr>
          <w:color w:val="231F20"/>
          <w:w w:val="105"/>
        </w:rPr>
        <w:t>vivencia</w:t>
      </w:r>
      <w:r>
        <w:rPr>
          <w:color w:val="231F20"/>
          <w:spacing w:val="-25"/>
          <w:w w:val="105"/>
        </w:rPr>
        <w:t> </w:t>
      </w:r>
      <w:r>
        <w:rPr>
          <w:color w:val="231F20"/>
          <w:w w:val="105"/>
        </w:rPr>
        <w:t>pretende</w:t>
      </w:r>
      <w:r>
        <w:rPr>
          <w:color w:val="231F20"/>
          <w:spacing w:val="-25"/>
          <w:w w:val="105"/>
        </w:rPr>
        <w:t> </w:t>
      </w:r>
      <w:r>
        <w:rPr>
          <w:color w:val="231F20"/>
          <w:w w:val="105"/>
        </w:rPr>
        <w:t>ser</w:t>
      </w:r>
      <w:r>
        <w:rPr>
          <w:color w:val="231F20"/>
          <w:spacing w:val="-25"/>
          <w:w w:val="105"/>
        </w:rPr>
        <w:t> </w:t>
      </w:r>
      <w:r>
        <w:rPr>
          <w:color w:val="231F20"/>
          <w:w w:val="105"/>
        </w:rPr>
        <w:t>arrinconada.</w:t>
      </w:r>
      <w:r>
        <w:rPr>
          <w:color w:val="231F20"/>
          <w:spacing w:val="-30"/>
          <w:w w:val="105"/>
        </w:rPr>
        <w:t> </w:t>
      </w:r>
      <w:r>
        <w:rPr>
          <w:color w:val="231F20"/>
          <w:w w:val="105"/>
        </w:rPr>
        <w:t>Ésta</w:t>
      </w:r>
      <w:r>
        <w:rPr>
          <w:color w:val="231F20"/>
          <w:spacing w:val="-25"/>
          <w:w w:val="105"/>
        </w:rPr>
        <w:t> </w:t>
      </w:r>
      <w:r>
        <w:rPr>
          <w:color w:val="231F20"/>
          <w:w w:val="105"/>
        </w:rPr>
        <w:t>da</w:t>
      </w:r>
      <w:r>
        <w:rPr>
          <w:color w:val="231F20"/>
          <w:spacing w:val="-25"/>
          <w:w w:val="105"/>
        </w:rPr>
        <w:t> </w:t>
      </w:r>
      <w:r>
        <w:rPr>
          <w:color w:val="231F20"/>
          <w:w w:val="105"/>
        </w:rPr>
        <w:t>origen a</w:t>
      </w:r>
      <w:r>
        <w:rPr>
          <w:color w:val="231F20"/>
          <w:spacing w:val="-15"/>
          <w:w w:val="105"/>
        </w:rPr>
        <w:t> </w:t>
      </w:r>
      <w:r>
        <w:rPr>
          <w:color w:val="231F20"/>
          <w:w w:val="105"/>
        </w:rPr>
        <w:t>una</w:t>
      </w:r>
      <w:r>
        <w:rPr>
          <w:color w:val="231F20"/>
          <w:spacing w:val="-15"/>
          <w:w w:val="105"/>
        </w:rPr>
        <w:t> </w:t>
      </w:r>
      <w:r>
        <w:rPr>
          <w:color w:val="231F20"/>
          <w:w w:val="105"/>
        </w:rPr>
        <w:t>forma</w:t>
      </w:r>
      <w:r>
        <w:rPr>
          <w:color w:val="231F20"/>
          <w:spacing w:val="-15"/>
          <w:w w:val="105"/>
        </w:rPr>
        <w:t> </w:t>
      </w:r>
      <w:r>
        <w:rPr>
          <w:color w:val="231F20"/>
          <w:w w:val="105"/>
        </w:rPr>
        <w:t>singular</w:t>
      </w:r>
      <w:r>
        <w:rPr>
          <w:color w:val="231F20"/>
          <w:spacing w:val="-15"/>
          <w:w w:val="105"/>
        </w:rPr>
        <w:t> </w:t>
      </w:r>
      <w:r>
        <w:rPr>
          <w:color w:val="231F20"/>
          <w:w w:val="105"/>
        </w:rPr>
        <w:t>de</w:t>
      </w:r>
      <w:r>
        <w:rPr>
          <w:color w:val="231F20"/>
          <w:spacing w:val="-15"/>
          <w:w w:val="105"/>
        </w:rPr>
        <w:t> </w:t>
      </w:r>
      <w:r>
        <w:rPr>
          <w:color w:val="231F20"/>
          <w:w w:val="105"/>
        </w:rPr>
        <w:t>ver</w:t>
      </w:r>
      <w:r>
        <w:rPr>
          <w:color w:val="231F20"/>
          <w:spacing w:val="-15"/>
          <w:w w:val="105"/>
        </w:rPr>
        <w:t> </w:t>
      </w:r>
      <w:r>
        <w:rPr>
          <w:color w:val="231F20"/>
          <w:w w:val="105"/>
        </w:rPr>
        <w:t>su</w:t>
      </w:r>
      <w:r>
        <w:rPr>
          <w:color w:val="231F20"/>
          <w:spacing w:val="-15"/>
          <w:w w:val="105"/>
        </w:rPr>
        <w:t> </w:t>
      </w:r>
      <w:r>
        <w:rPr>
          <w:color w:val="231F20"/>
          <w:w w:val="105"/>
        </w:rPr>
        <w:t>existencia</w:t>
      </w:r>
      <w:r>
        <w:rPr>
          <w:color w:val="231F20"/>
          <w:spacing w:val="-15"/>
          <w:w w:val="105"/>
        </w:rPr>
        <w:t> </w:t>
      </w:r>
      <w:r>
        <w:rPr>
          <w:color w:val="231F20"/>
          <w:w w:val="105"/>
        </w:rPr>
        <w:t>y</w:t>
      </w:r>
      <w:r>
        <w:rPr>
          <w:color w:val="231F20"/>
          <w:spacing w:val="-15"/>
          <w:w w:val="105"/>
        </w:rPr>
        <w:t> </w:t>
      </w:r>
      <w:r>
        <w:rPr>
          <w:color w:val="231F20"/>
          <w:w w:val="105"/>
        </w:rPr>
        <w:t>los</w:t>
      </w:r>
      <w:r>
        <w:rPr>
          <w:color w:val="231F20"/>
          <w:spacing w:val="-15"/>
          <w:w w:val="105"/>
        </w:rPr>
        <w:t> </w:t>
      </w:r>
      <w:r>
        <w:rPr>
          <w:color w:val="231F20"/>
          <w:w w:val="105"/>
        </w:rPr>
        <w:t>contextos</w:t>
      </w:r>
      <w:r>
        <w:rPr>
          <w:color w:val="231F20"/>
          <w:spacing w:val="-15"/>
          <w:w w:val="105"/>
        </w:rPr>
        <w:t> </w:t>
      </w:r>
      <w:r>
        <w:rPr>
          <w:color w:val="231F20"/>
          <w:w w:val="105"/>
        </w:rPr>
        <w:t>sociales</w:t>
      </w:r>
      <w:r>
        <w:rPr>
          <w:color w:val="231F20"/>
          <w:spacing w:val="-15"/>
          <w:w w:val="105"/>
        </w:rPr>
        <w:t> </w:t>
      </w:r>
      <w:r>
        <w:rPr>
          <w:color w:val="231F20"/>
          <w:w w:val="105"/>
        </w:rPr>
        <w:t>en</w:t>
      </w:r>
      <w:r>
        <w:rPr>
          <w:color w:val="231F20"/>
          <w:spacing w:val="-15"/>
          <w:w w:val="105"/>
        </w:rPr>
        <w:t> </w:t>
      </w:r>
      <w:r>
        <w:rPr>
          <w:color w:val="231F20"/>
          <w:w w:val="105"/>
        </w:rPr>
        <w:t>que la</w:t>
      </w:r>
      <w:r>
        <w:rPr>
          <w:color w:val="231F20"/>
          <w:spacing w:val="-39"/>
          <w:w w:val="105"/>
        </w:rPr>
        <w:t> </w:t>
      </w:r>
      <w:r>
        <w:rPr>
          <w:color w:val="231F20"/>
          <w:w w:val="105"/>
        </w:rPr>
        <w:t>experiencia</w:t>
      </w:r>
      <w:r>
        <w:rPr>
          <w:color w:val="231F20"/>
          <w:spacing w:val="-39"/>
          <w:w w:val="105"/>
        </w:rPr>
        <w:t> </w:t>
      </w:r>
      <w:r>
        <w:rPr>
          <w:color w:val="231F20"/>
          <w:w w:val="105"/>
        </w:rPr>
        <w:t>transcurre.</w:t>
      </w:r>
    </w:p>
    <w:p>
      <w:pPr>
        <w:pStyle w:val="BodyText"/>
        <w:spacing w:line="261" w:lineRule="auto" w:before="1"/>
        <w:ind w:left="1837" w:right="1719" w:firstLine="567"/>
        <w:jc w:val="both"/>
      </w:pPr>
      <w:r>
        <w:rPr>
          <w:color w:val="231F20"/>
          <w:w w:val="105"/>
        </w:rPr>
        <w:t>El</w:t>
      </w:r>
      <w:r>
        <w:rPr>
          <w:color w:val="231F20"/>
          <w:spacing w:val="-14"/>
          <w:w w:val="105"/>
        </w:rPr>
        <w:t> </w:t>
      </w:r>
      <w:r>
        <w:rPr>
          <w:color w:val="231F20"/>
          <w:w w:val="105"/>
        </w:rPr>
        <w:t>caso</w:t>
      </w:r>
      <w:r>
        <w:rPr>
          <w:color w:val="231F20"/>
          <w:spacing w:val="-14"/>
          <w:w w:val="105"/>
        </w:rPr>
        <w:t> </w:t>
      </w:r>
      <w:r>
        <w:rPr>
          <w:color w:val="231F20"/>
          <w:w w:val="105"/>
        </w:rPr>
        <w:t>de</w:t>
      </w:r>
      <w:r>
        <w:rPr>
          <w:color w:val="231F20"/>
          <w:spacing w:val="-14"/>
          <w:w w:val="105"/>
        </w:rPr>
        <w:t> </w:t>
      </w:r>
      <w:r>
        <w:rPr>
          <w:color w:val="231F20"/>
          <w:w w:val="105"/>
        </w:rPr>
        <w:t>Rafael</w:t>
      </w:r>
      <w:r>
        <w:rPr>
          <w:color w:val="231F20"/>
          <w:spacing w:val="-18"/>
          <w:w w:val="105"/>
        </w:rPr>
        <w:t> </w:t>
      </w:r>
      <w:r>
        <w:rPr>
          <w:color w:val="231F20"/>
          <w:w w:val="105"/>
        </w:rPr>
        <w:t>Arenas</w:t>
      </w:r>
      <w:r>
        <w:rPr>
          <w:color w:val="231F20"/>
          <w:spacing w:val="-14"/>
          <w:w w:val="105"/>
        </w:rPr>
        <w:t> </w:t>
      </w:r>
      <w:r>
        <w:rPr>
          <w:color w:val="231F20"/>
          <w:w w:val="105"/>
        </w:rPr>
        <w:t>(1928)</w:t>
      </w:r>
      <w:r>
        <w:rPr>
          <w:color w:val="231F20"/>
          <w:spacing w:val="-14"/>
          <w:w w:val="105"/>
        </w:rPr>
        <w:t> </w:t>
      </w:r>
      <w:r>
        <w:rPr>
          <w:color w:val="231F20"/>
          <w:w w:val="105"/>
        </w:rPr>
        <w:t>es</w:t>
      </w:r>
      <w:r>
        <w:rPr>
          <w:color w:val="231F20"/>
          <w:spacing w:val="-14"/>
          <w:w w:val="105"/>
        </w:rPr>
        <w:t> </w:t>
      </w:r>
      <w:r>
        <w:rPr>
          <w:color w:val="231F20"/>
          <w:w w:val="105"/>
        </w:rPr>
        <w:t>único</w:t>
      </w:r>
      <w:r>
        <w:rPr>
          <w:color w:val="231F20"/>
          <w:spacing w:val="-14"/>
          <w:w w:val="105"/>
        </w:rPr>
        <w:t> </w:t>
      </w:r>
      <w:r>
        <w:rPr>
          <w:color w:val="231F20"/>
          <w:w w:val="105"/>
        </w:rPr>
        <w:t>pero</w:t>
      </w:r>
      <w:r>
        <w:rPr>
          <w:color w:val="231F20"/>
          <w:spacing w:val="-14"/>
          <w:w w:val="105"/>
        </w:rPr>
        <w:t> </w:t>
      </w:r>
      <w:r>
        <w:rPr>
          <w:color w:val="231F20"/>
          <w:w w:val="105"/>
        </w:rPr>
        <w:t>no</w:t>
      </w:r>
      <w:r>
        <w:rPr>
          <w:color w:val="231F20"/>
          <w:spacing w:val="-14"/>
          <w:w w:val="105"/>
        </w:rPr>
        <w:t> </w:t>
      </w:r>
      <w:r>
        <w:rPr>
          <w:color w:val="231F20"/>
          <w:w w:val="105"/>
        </w:rPr>
        <w:t>aislado,</w:t>
      </w:r>
      <w:r>
        <w:rPr>
          <w:color w:val="231F20"/>
          <w:spacing w:val="-20"/>
          <w:w w:val="105"/>
        </w:rPr>
        <w:t> </w:t>
      </w:r>
      <w:r>
        <w:rPr>
          <w:color w:val="231F20"/>
          <w:w w:val="105"/>
        </w:rPr>
        <w:t>se</w:t>
      </w:r>
      <w:r>
        <w:rPr>
          <w:color w:val="231F20"/>
          <w:spacing w:val="-14"/>
          <w:w w:val="105"/>
        </w:rPr>
        <w:t> </w:t>
      </w:r>
      <w:r>
        <w:rPr>
          <w:color w:val="231F20"/>
          <w:w w:val="105"/>
        </w:rPr>
        <w:t>debe a las circunstancias que le dieron origen, al tiempo y lugares en </w:t>
      </w:r>
      <w:r>
        <w:rPr>
          <w:color w:val="231F20"/>
          <w:spacing w:val="2"/>
          <w:w w:val="105"/>
        </w:rPr>
        <w:t>que </w:t>
      </w:r>
      <w:r>
        <w:rPr>
          <w:color w:val="231F20"/>
          <w:w w:val="105"/>
        </w:rPr>
        <w:t>éstas han acaecido, es decir, a la vez establece una relación de</w:t>
      </w:r>
      <w:r>
        <w:rPr>
          <w:color w:val="231F20"/>
          <w:spacing w:val="-23"/>
          <w:w w:val="105"/>
        </w:rPr>
        <w:t> </w:t>
      </w:r>
      <w:r>
        <w:rPr>
          <w:color w:val="231F20"/>
          <w:w w:val="105"/>
        </w:rPr>
        <w:t>signifi- cado, particular y múltiple, en contextos donde su experiencia</w:t>
      </w:r>
      <w:r>
        <w:rPr>
          <w:color w:val="231F20"/>
          <w:spacing w:val="-36"/>
          <w:w w:val="105"/>
        </w:rPr>
        <w:t> </w:t>
      </w:r>
      <w:r>
        <w:rPr>
          <w:color w:val="231F20"/>
          <w:w w:val="105"/>
        </w:rPr>
        <w:t>adquiere un sentido singular, al mismo tiempo que se hace inteligible en otras y por otras experiencias. Es, como plantea Bourdieu, “caso particular de lo posible” y parte de “las particularidades de </w:t>
      </w:r>
      <w:r>
        <w:rPr>
          <w:rFonts w:ascii="Arial" w:hAnsi="Arial"/>
          <w:i/>
          <w:color w:val="231F20"/>
          <w:w w:val="105"/>
        </w:rPr>
        <w:t>historias colectivas </w:t>
      </w:r>
      <w:r>
        <w:rPr>
          <w:color w:val="231F20"/>
          <w:w w:val="105"/>
        </w:rPr>
        <w:t>dife- rentes” (1997:</w:t>
      </w:r>
      <w:r>
        <w:rPr>
          <w:color w:val="231F20"/>
          <w:spacing w:val="-18"/>
          <w:w w:val="105"/>
        </w:rPr>
        <w:t> </w:t>
      </w:r>
      <w:r>
        <w:rPr>
          <w:color w:val="231F20"/>
          <w:w w:val="105"/>
        </w:rPr>
        <w:t>12).</w:t>
      </w:r>
    </w:p>
    <w:p>
      <w:pPr>
        <w:pStyle w:val="BodyText"/>
        <w:rPr>
          <w:sz w:val="20"/>
        </w:rPr>
      </w:pPr>
    </w:p>
    <w:p>
      <w:pPr>
        <w:pStyle w:val="BodyText"/>
        <w:spacing w:before="7"/>
      </w:pPr>
    </w:p>
    <w:p>
      <w:pPr>
        <w:spacing w:line="254" w:lineRule="auto" w:before="1"/>
        <w:ind w:left="2971" w:right="1721" w:firstLine="0"/>
        <w:jc w:val="both"/>
        <w:rPr>
          <w:sz w:val="18"/>
        </w:rPr>
      </w:pPr>
      <w:r>
        <w:rPr>
          <w:color w:val="231F20"/>
          <w:w w:val="105"/>
          <w:sz w:val="18"/>
        </w:rPr>
        <w:t>La</w:t>
      </w:r>
      <w:r>
        <w:rPr>
          <w:color w:val="231F20"/>
          <w:spacing w:val="-20"/>
          <w:w w:val="105"/>
          <w:sz w:val="18"/>
        </w:rPr>
        <w:t> </w:t>
      </w:r>
      <w:r>
        <w:rPr>
          <w:color w:val="231F20"/>
          <w:w w:val="105"/>
          <w:sz w:val="18"/>
        </w:rPr>
        <w:t>historia</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vida</w:t>
      </w:r>
      <w:r>
        <w:rPr>
          <w:color w:val="231F20"/>
          <w:spacing w:val="-20"/>
          <w:w w:val="105"/>
          <w:sz w:val="18"/>
        </w:rPr>
        <w:t> </w:t>
      </w:r>
      <w:r>
        <w:rPr>
          <w:color w:val="231F20"/>
          <w:w w:val="105"/>
          <w:sz w:val="18"/>
        </w:rPr>
        <w:t>se</w:t>
      </w:r>
      <w:r>
        <w:rPr>
          <w:color w:val="231F20"/>
          <w:spacing w:val="-20"/>
          <w:w w:val="105"/>
          <w:sz w:val="18"/>
        </w:rPr>
        <w:t> </w:t>
      </w:r>
      <w:r>
        <w:rPr>
          <w:color w:val="231F20"/>
          <w:w w:val="105"/>
          <w:sz w:val="18"/>
        </w:rPr>
        <w:t>me</w:t>
      </w:r>
      <w:r>
        <w:rPr>
          <w:color w:val="231F20"/>
          <w:spacing w:val="-20"/>
          <w:w w:val="105"/>
          <w:sz w:val="18"/>
        </w:rPr>
        <w:t> </w:t>
      </w:r>
      <w:r>
        <w:rPr>
          <w:color w:val="231F20"/>
          <w:w w:val="105"/>
          <w:sz w:val="18"/>
        </w:rPr>
        <w:t>presenta</w:t>
      </w:r>
      <w:r>
        <w:rPr>
          <w:color w:val="231F20"/>
          <w:spacing w:val="-20"/>
          <w:w w:val="105"/>
          <w:sz w:val="18"/>
        </w:rPr>
        <w:t> </w:t>
      </w:r>
      <w:r>
        <w:rPr>
          <w:color w:val="231F20"/>
          <w:w w:val="105"/>
          <w:sz w:val="18"/>
        </w:rPr>
        <w:t>entonces</w:t>
      </w:r>
      <w:r>
        <w:rPr>
          <w:color w:val="231F20"/>
          <w:spacing w:val="-20"/>
          <w:w w:val="105"/>
          <w:sz w:val="18"/>
        </w:rPr>
        <w:t> </w:t>
      </w:r>
      <w:r>
        <w:rPr>
          <w:color w:val="231F20"/>
          <w:w w:val="105"/>
          <w:sz w:val="18"/>
        </w:rPr>
        <w:t>como</w:t>
      </w:r>
      <w:r>
        <w:rPr>
          <w:color w:val="231F20"/>
          <w:spacing w:val="-20"/>
          <w:w w:val="105"/>
          <w:sz w:val="18"/>
        </w:rPr>
        <w:t> </w:t>
      </w:r>
      <w:r>
        <w:rPr>
          <w:color w:val="231F20"/>
          <w:w w:val="105"/>
          <w:sz w:val="18"/>
        </w:rPr>
        <w:t>una</w:t>
      </w:r>
      <w:r>
        <w:rPr>
          <w:color w:val="231F20"/>
          <w:spacing w:val="-20"/>
          <w:w w:val="105"/>
          <w:sz w:val="18"/>
        </w:rPr>
        <w:t> </w:t>
      </w:r>
      <w:r>
        <w:rPr>
          <w:color w:val="231F20"/>
          <w:w w:val="105"/>
          <w:sz w:val="18"/>
        </w:rPr>
        <w:t>historia</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cons- tricciones que pesan sobre el individuo —un conjunto de condiciona- mientos más o menos determinantes—, y al mismo tiempo como un complejo de estrategias de liberación, que el individuo pone en juego aprovechando</w:t>
      </w:r>
      <w:r>
        <w:rPr>
          <w:color w:val="231F20"/>
          <w:spacing w:val="-36"/>
          <w:w w:val="105"/>
          <w:sz w:val="18"/>
        </w:rPr>
        <w:t> </w:t>
      </w:r>
      <w:r>
        <w:rPr>
          <w:color w:val="231F20"/>
          <w:w w:val="105"/>
          <w:sz w:val="18"/>
        </w:rPr>
        <w:t>las</w:t>
      </w:r>
      <w:r>
        <w:rPr>
          <w:color w:val="231F20"/>
          <w:spacing w:val="-36"/>
          <w:w w:val="105"/>
          <w:sz w:val="18"/>
        </w:rPr>
        <w:t> </w:t>
      </w:r>
      <w:r>
        <w:rPr>
          <w:color w:val="231F20"/>
          <w:w w:val="105"/>
          <w:sz w:val="18"/>
        </w:rPr>
        <w:t>‘buenas</w:t>
      </w:r>
      <w:r>
        <w:rPr>
          <w:color w:val="231F20"/>
          <w:spacing w:val="-36"/>
          <w:w w:val="105"/>
          <w:sz w:val="18"/>
        </w:rPr>
        <w:t> </w:t>
      </w:r>
      <w:r>
        <w:rPr>
          <w:color w:val="231F20"/>
          <w:w w:val="105"/>
          <w:sz w:val="18"/>
        </w:rPr>
        <w:t>ocasiones’,</w:t>
      </w:r>
      <w:r>
        <w:rPr>
          <w:color w:val="231F20"/>
          <w:spacing w:val="-38"/>
          <w:w w:val="105"/>
          <w:sz w:val="18"/>
        </w:rPr>
        <w:t> </w:t>
      </w:r>
      <w:r>
        <w:rPr>
          <w:color w:val="231F20"/>
          <w:w w:val="105"/>
          <w:sz w:val="18"/>
        </w:rPr>
        <w:t>los</w:t>
      </w:r>
      <w:r>
        <w:rPr>
          <w:color w:val="231F20"/>
          <w:spacing w:val="-36"/>
          <w:w w:val="105"/>
          <w:sz w:val="18"/>
        </w:rPr>
        <w:t> </w:t>
      </w:r>
      <w:r>
        <w:rPr>
          <w:color w:val="231F20"/>
          <w:w w:val="105"/>
          <w:sz w:val="18"/>
        </w:rPr>
        <w:t>atisbos</w:t>
      </w:r>
      <w:r>
        <w:rPr>
          <w:color w:val="231F20"/>
          <w:spacing w:val="-36"/>
          <w:w w:val="105"/>
          <w:sz w:val="18"/>
        </w:rPr>
        <w:t> </w:t>
      </w:r>
      <w:r>
        <w:rPr>
          <w:color w:val="231F20"/>
          <w:w w:val="105"/>
          <w:sz w:val="18"/>
        </w:rPr>
        <w:t>intersticiales</w:t>
      </w:r>
      <w:r>
        <w:rPr>
          <w:color w:val="231F20"/>
          <w:spacing w:val="-36"/>
          <w:w w:val="105"/>
          <w:sz w:val="18"/>
        </w:rPr>
        <w:t> </w:t>
      </w:r>
      <w:r>
        <w:rPr>
          <w:color w:val="231F20"/>
          <w:w w:val="105"/>
          <w:sz w:val="18"/>
        </w:rPr>
        <w:t>(Ferraro- tti, 2007:</w:t>
      </w:r>
      <w:r>
        <w:rPr>
          <w:color w:val="231F20"/>
          <w:spacing w:val="-32"/>
          <w:w w:val="105"/>
          <w:sz w:val="18"/>
        </w:rPr>
        <w:t> </w:t>
      </w:r>
      <w:r>
        <w:rPr>
          <w:color w:val="231F20"/>
          <w:w w:val="105"/>
          <w:sz w:val="18"/>
        </w:rPr>
        <w:t>28).</w:t>
      </w:r>
    </w:p>
    <w:p>
      <w:pPr>
        <w:pStyle w:val="BodyText"/>
        <w:rPr>
          <w:sz w:val="18"/>
        </w:rPr>
      </w:pPr>
    </w:p>
    <w:p>
      <w:pPr>
        <w:pStyle w:val="BodyText"/>
        <w:spacing w:before="5"/>
        <w:rPr>
          <w:sz w:val="26"/>
        </w:rPr>
      </w:pPr>
    </w:p>
    <w:p>
      <w:pPr>
        <w:pStyle w:val="BodyText"/>
        <w:spacing w:line="261" w:lineRule="auto"/>
        <w:ind w:left="1837" w:right="1715"/>
        <w:jc w:val="both"/>
      </w:pPr>
      <w:r>
        <w:rPr/>
        <w:pict>
          <v:line style="position:absolute;mso-position-horizontal-relative:page;mso-position-vertical-relative:paragraph;z-index:-445696" from="15pt,121.451385pt" to="0pt,121.451385pt" stroked="true" strokeweight=".25pt" strokecolor="#000000">
            <w10:wrap type="none"/>
          </v:line>
        </w:pict>
      </w:r>
      <w:r>
        <w:rPr/>
        <w:pict>
          <v:line style="position:absolute;mso-position-horizontal-relative:page;mso-position-vertical-relative:paragraph;z-index:44512" from="508.890015pt,121.451385pt" to="523.890015pt,121.451385pt" stroked="true" strokeweight=".25pt" strokecolor="#000000">
            <w10:wrap type="none"/>
          </v:line>
        </w:pict>
      </w:r>
      <w:r>
        <w:rPr>
          <w:color w:val="231F20"/>
          <w:w w:val="105"/>
        </w:rPr>
        <w:t>“La</w:t>
      </w:r>
      <w:r>
        <w:rPr>
          <w:color w:val="231F20"/>
          <w:spacing w:val="-35"/>
          <w:w w:val="105"/>
        </w:rPr>
        <w:t> </w:t>
      </w:r>
      <w:r>
        <w:rPr>
          <w:color w:val="231F20"/>
          <w:w w:val="105"/>
        </w:rPr>
        <w:t>historia</w:t>
      </w:r>
      <w:r>
        <w:rPr>
          <w:color w:val="231F20"/>
          <w:spacing w:val="-35"/>
          <w:w w:val="105"/>
        </w:rPr>
        <w:t> </w:t>
      </w:r>
      <w:r>
        <w:rPr>
          <w:color w:val="231F20"/>
          <w:w w:val="105"/>
        </w:rPr>
        <w:t>es</w:t>
      </w:r>
      <w:r>
        <w:rPr>
          <w:color w:val="231F20"/>
          <w:spacing w:val="-35"/>
          <w:w w:val="105"/>
        </w:rPr>
        <w:t> </w:t>
      </w:r>
      <w:r>
        <w:rPr>
          <w:color w:val="231F20"/>
          <w:w w:val="105"/>
        </w:rPr>
        <w:t>lo</w:t>
      </w:r>
      <w:r>
        <w:rPr>
          <w:color w:val="231F20"/>
          <w:spacing w:val="-35"/>
          <w:w w:val="105"/>
        </w:rPr>
        <w:t> </w:t>
      </w:r>
      <w:r>
        <w:rPr>
          <w:color w:val="231F20"/>
          <w:w w:val="105"/>
        </w:rPr>
        <w:t>que</w:t>
      </w:r>
      <w:r>
        <w:rPr>
          <w:color w:val="231F20"/>
          <w:spacing w:val="-35"/>
          <w:w w:val="105"/>
        </w:rPr>
        <w:t> </w:t>
      </w:r>
      <w:r>
        <w:rPr>
          <w:color w:val="231F20"/>
          <w:w w:val="105"/>
        </w:rPr>
        <w:t>nosotros</w:t>
      </w:r>
      <w:r>
        <w:rPr>
          <w:color w:val="231F20"/>
          <w:spacing w:val="-35"/>
          <w:w w:val="105"/>
        </w:rPr>
        <w:t> </w:t>
      </w:r>
      <w:r>
        <w:rPr>
          <w:color w:val="231F20"/>
          <w:spacing w:val="-3"/>
          <w:w w:val="105"/>
        </w:rPr>
        <w:t>hacemos”,</w:t>
      </w:r>
      <w:r>
        <w:rPr>
          <w:color w:val="231F20"/>
          <w:spacing w:val="-39"/>
          <w:w w:val="105"/>
        </w:rPr>
        <w:t> </w:t>
      </w:r>
      <w:r>
        <w:rPr>
          <w:color w:val="231F20"/>
          <w:w w:val="105"/>
        </w:rPr>
        <w:t>escribió</w:t>
      </w:r>
      <w:r>
        <w:rPr>
          <w:color w:val="231F20"/>
          <w:spacing w:val="-35"/>
          <w:w w:val="105"/>
        </w:rPr>
        <w:t> </w:t>
      </w:r>
      <w:r>
        <w:rPr>
          <w:color w:val="231F20"/>
          <w:w w:val="105"/>
        </w:rPr>
        <w:t>Octavio</w:t>
      </w:r>
      <w:r>
        <w:rPr>
          <w:color w:val="231F20"/>
          <w:spacing w:val="-35"/>
          <w:w w:val="105"/>
        </w:rPr>
        <w:t> </w:t>
      </w:r>
      <w:r>
        <w:rPr>
          <w:color w:val="231F20"/>
          <w:spacing w:val="-5"/>
          <w:w w:val="105"/>
        </w:rPr>
        <w:t>Paz</w:t>
      </w:r>
      <w:r>
        <w:rPr>
          <w:color w:val="231F20"/>
          <w:spacing w:val="-35"/>
          <w:w w:val="105"/>
        </w:rPr>
        <w:t> </w:t>
      </w:r>
      <w:r>
        <w:rPr>
          <w:color w:val="231F20"/>
          <w:w w:val="105"/>
        </w:rPr>
        <w:t>(2011:</w:t>
      </w:r>
      <w:r>
        <w:rPr>
          <w:color w:val="231F20"/>
          <w:spacing w:val="-35"/>
          <w:w w:val="105"/>
        </w:rPr>
        <w:t> </w:t>
      </w:r>
      <w:r>
        <w:rPr>
          <w:color w:val="231F20"/>
          <w:w w:val="105"/>
        </w:rPr>
        <w:t>218), y</w:t>
      </w:r>
      <w:r>
        <w:rPr>
          <w:color w:val="231F20"/>
          <w:spacing w:val="-19"/>
          <w:w w:val="105"/>
        </w:rPr>
        <w:t> </w:t>
      </w:r>
      <w:r>
        <w:rPr>
          <w:color w:val="231F20"/>
          <w:w w:val="105"/>
        </w:rPr>
        <w:t>la</w:t>
      </w:r>
      <w:r>
        <w:rPr>
          <w:color w:val="231F20"/>
          <w:spacing w:val="-19"/>
          <w:w w:val="105"/>
        </w:rPr>
        <w:t> </w:t>
      </w:r>
      <w:r>
        <w:rPr>
          <w:color w:val="231F20"/>
          <w:w w:val="105"/>
        </w:rPr>
        <w:t>vida</w:t>
      </w:r>
      <w:r>
        <w:rPr>
          <w:color w:val="231F20"/>
          <w:spacing w:val="-19"/>
          <w:w w:val="105"/>
        </w:rPr>
        <w:t> </w:t>
      </w:r>
      <w:r>
        <w:rPr>
          <w:color w:val="231F20"/>
          <w:w w:val="105"/>
        </w:rPr>
        <w:t>de</w:t>
      </w:r>
      <w:r>
        <w:rPr>
          <w:color w:val="231F20"/>
          <w:spacing w:val="-19"/>
          <w:w w:val="105"/>
        </w:rPr>
        <w:t> </w:t>
      </w:r>
      <w:r>
        <w:rPr>
          <w:color w:val="231F20"/>
          <w:w w:val="105"/>
        </w:rPr>
        <w:t>Rafael</w:t>
      </w:r>
      <w:r>
        <w:rPr>
          <w:color w:val="231F20"/>
          <w:spacing w:val="-22"/>
          <w:w w:val="105"/>
        </w:rPr>
        <w:t> </w:t>
      </w:r>
      <w:r>
        <w:rPr>
          <w:color w:val="231F20"/>
          <w:w w:val="105"/>
        </w:rPr>
        <w:t>Arenas</w:t>
      </w:r>
      <w:r>
        <w:rPr>
          <w:color w:val="231F20"/>
          <w:spacing w:val="-19"/>
          <w:w w:val="105"/>
        </w:rPr>
        <w:t> </w:t>
      </w:r>
      <w:r>
        <w:rPr>
          <w:color w:val="231F20"/>
          <w:w w:val="105"/>
        </w:rPr>
        <w:t>ha</w:t>
      </w:r>
      <w:r>
        <w:rPr>
          <w:color w:val="231F20"/>
          <w:spacing w:val="-19"/>
          <w:w w:val="105"/>
        </w:rPr>
        <w:t> </w:t>
      </w:r>
      <w:r>
        <w:rPr>
          <w:color w:val="231F20"/>
          <w:w w:val="105"/>
        </w:rPr>
        <w:t>hecho</w:t>
      </w:r>
      <w:r>
        <w:rPr>
          <w:color w:val="231F20"/>
          <w:spacing w:val="-19"/>
          <w:w w:val="105"/>
        </w:rPr>
        <w:t> </w:t>
      </w:r>
      <w:r>
        <w:rPr>
          <w:color w:val="231F20"/>
          <w:w w:val="105"/>
        </w:rPr>
        <w:t>parte</w:t>
      </w:r>
      <w:r>
        <w:rPr>
          <w:color w:val="231F20"/>
          <w:spacing w:val="-19"/>
          <w:w w:val="105"/>
        </w:rPr>
        <w:t> </w:t>
      </w:r>
      <w:r>
        <w:rPr>
          <w:color w:val="231F20"/>
          <w:w w:val="105"/>
        </w:rPr>
        <w:t>—y</w:t>
      </w:r>
      <w:r>
        <w:rPr>
          <w:color w:val="231F20"/>
          <w:spacing w:val="-19"/>
          <w:w w:val="105"/>
        </w:rPr>
        <w:t> </w:t>
      </w:r>
      <w:r>
        <w:rPr>
          <w:color w:val="231F20"/>
          <w:w w:val="105"/>
        </w:rPr>
        <w:t>es</w:t>
      </w:r>
      <w:r>
        <w:rPr>
          <w:color w:val="231F20"/>
          <w:spacing w:val="-19"/>
          <w:w w:val="105"/>
        </w:rPr>
        <w:t> </w:t>
      </w:r>
      <w:r>
        <w:rPr>
          <w:color w:val="231F20"/>
          <w:w w:val="105"/>
        </w:rPr>
        <w:t>parte—</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historia</w:t>
      </w:r>
      <w:r>
        <w:rPr>
          <w:color w:val="231F20"/>
          <w:spacing w:val="-19"/>
          <w:w w:val="105"/>
        </w:rPr>
        <w:t> </w:t>
      </w:r>
      <w:r>
        <w:rPr>
          <w:color w:val="231F20"/>
          <w:w w:val="105"/>
        </w:rPr>
        <w:t>de</w:t>
      </w:r>
      <w:r>
        <w:rPr>
          <w:color w:val="231F20"/>
          <w:spacing w:val="-19"/>
          <w:w w:val="105"/>
        </w:rPr>
        <w:t> </w:t>
      </w:r>
      <w:r>
        <w:rPr>
          <w:color w:val="231F20"/>
          <w:w w:val="105"/>
        </w:rPr>
        <w:t>la migración</w:t>
      </w:r>
      <w:r>
        <w:rPr>
          <w:color w:val="231F20"/>
          <w:spacing w:val="-17"/>
          <w:w w:val="105"/>
        </w:rPr>
        <w:t> </w:t>
      </w:r>
      <w:r>
        <w:rPr>
          <w:color w:val="231F20"/>
          <w:w w:val="105"/>
        </w:rPr>
        <w:t>de</w:t>
      </w:r>
      <w:r>
        <w:rPr>
          <w:color w:val="231F20"/>
          <w:spacing w:val="-17"/>
          <w:w w:val="105"/>
        </w:rPr>
        <w:t> </w:t>
      </w:r>
      <w:r>
        <w:rPr>
          <w:color w:val="231F20"/>
          <w:w w:val="105"/>
        </w:rPr>
        <w:t>tonatiquenses</w:t>
      </w:r>
      <w:r>
        <w:rPr>
          <w:color w:val="231F20"/>
          <w:spacing w:val="-17"/>
          <w:w w:val="105"/>
        </w:rPr>
        <w:t> </w:t>
      </w:r>
      <w:r>
        <w:rPr>
          <w:color w:val="231F20"/>
          <w:w w:val="105"/>
        </w:rPr>
        <w:t>a</w:t>
      </w:r>
      <w:r>
        <w:rPr>
          <w:color w:val="231F20"/>
          <w:spacing w:val="-17"/>
          <w:w w:val="105"/>
        </w:rPr>
        <w:t> </w:t>
      </w:r>
      <w:r>
        <w:rPr>
          <w:color w:val="231F20"/>
          <w:w w:val="105"/>
        </w:rPr>
        <w:t>Estados</w:t>
      </w:r>
      <w:r>
        <w:rPr>
          <w:color w:val="231F20"/>
          <w:spacing w:val="-17"/>
          <w:w w:val="105"/>
        </w:rPr>
        <w:t> </w:t>
      </w:r>
      <w:r>
        <w:rPr>
          <w:color w:val="231F20"/>
          <w:w w:val="105"/>
        </w:rPr>
        <w:t>Unidos.</w:t>
      </w:r>
      <w:r>
        <w:rPr>
          <w:color w:val="231F20"/>
          <w:spacing w:val="-23"/>
          <w:w w:val="105"/>
        </w:rPr>
        <w:t> </w:t>
      </w:r>
      <w:r>
        <w:rPr>
          <w:color w:val="231F20"/>
          <w:w w:val="105"/>
        </w:rPr>
        <w:t>Ésta</w:t>
      </w:r>
      <w:r>
        <w:rPr>
          <w:color w:val="231F20"/>
          <w:spacing w:val="-17"/>
          <w:w w:val="105"/>
        </w:rPr>
        <w:t> </w:t>
      </w:r>
      <w:r>
        <w:rPr>
          <w:color w:val="231F20"/>
          <w:w w:val="105"/>
        </w:rPr>
        <w:t>data</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primeros años de la década de los cuarenta, con la formalización del  </w:t>
      </w:r>
      <w:r>
        <w:rPr>
          <w:color w:val="231F20"/>
          <w:spacing w:val="13"/>
          <w:w w:val="105"/>
        </w:rPr>
        <w:t> </w:t>
      </w:r>
      <w:r>
        <w:rPr>
          <w:color w:val="231F20"/>
          <w:w w:val="105"/>
        </w:rPr>
        <w:t>programa</w:t>
      </w:r>
    </w:p>
    <w:p>
      <w:pPr>
        <w:spacing w:after="0" w:line="261" w:lineRule="auto"/>
        <w:jc w:val="both"/>
        <w:sectPr>
          <w:headerReference w:type="default" r:id="rId380"/>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7"/>
        </w:rPr>
      </w:pPr>
    </w:p>
    <w:p>
      <w:pPr>
        <w:pStyle w:val="BodyText"/>
        <w:spacing w:line="261" w:lineRule="auto" w:before="60"/>
        <w:ind w:left="1723" w:right="1828"/>
        <w:jc w:val="both"/>
      </w:pPr>
      <w:r>
        <w:rPr/>
        <w:pict>
          <v:line style="position:absolute;mso-position-horizontal-relative:page;mso-position-vertical-relative:paragraph;z-index:44560" from="15pt,-66.560524pt" to="0pt,-66.560524pt" stroked="true" strokeweight=".25pt" strokecolor="#000000">
            <w10:wrap type="none"/>
          </v:line>
        </w:pict>
      </w:r>
      <w:r>
        <w:rPr/>
        <w:pict>
          <v:line style="position:absolute;mso-position-horizontal-relative:page;mso-position-vertical-relative:paragraph;z-index:44584" from="508.890015pt,-66.560524pt" to="523.890015pt,-66.560524pt" stroked="true" strokeweight=".25pt" strokecolor="#000000">
            <w10:wrap type="none"/>
          </v:line>
        </w:pict>
      </w:r>
      <w:r>
        <w:rPr>
          <w:color w:val="231F20"/>
          <w:w w:val="105"/>
        </w:rPr>
        <w:t>de</w:t>
      </w:r>
      <w:r>
        <w:rPr>
          <w:color w:val="231F20"/>
          <w:spacing w:val="-25"/>
          <w:w w:val="105"/>
        </w:rPr>
        <w:t> </w:t>
      </w:r>
      <w:r>
        <w:rPr>
          <w:color w:val="231F20"/>
          <w:w w:val="105"/>
        </w:rPr>
        <w:t>trabajadores</w:t>
      </w:r>
      <w:r>
        <w:rPr>
          <w:color w:val="231F20"/>
          <w:spacing w:val="-25"/>
          <w:w w:val="105"/>
        </w:rPr>
        <w:t> </w:t>
      </w:r>
      <w:r>
        <w:rPr>
          <w:color w:val="231F20"/>
          <w:w w:val="105"/>
        </w:rPr>
        <w:t>mexicanos</w:t>
      </w:r>
      <w:r>
        <w:rPr>
          <w:color w:val="231F20"/>
          <w:spacing w:val="-25"/>
          <w:w w:val="105"/>
        </w:rPr>
        <w:t> </w:t>
      </w:r>
      <w:r>
        <w:rPr>
          <w:color w:val="231F20"/>
          <w:w w:val="105"/>
        </w:rPr>
        <w:t>temporales</w:t>
      </w:r>
      <w:r>
        <w:rPr>
          <w:color w:val="231F20"/>
          <w:spacing w:val="-25"/>
          <w:w w:val="105"/>
        </w:rPr>
        <w:t> </w:t>
      </w:r>
      <w:r>
        <w:rPr>
          <w:color w:val="231F20"/>
          <w:w w:val="105"/>
        </w:rPr>
        <w:t>en</w:t>
      </w:r>
      <w:r>
        <w:rPr>
          <w:color w:val="231F20"/>
          <w:spacing w:val="-25"/>
          <w:w w:val="105"/>
        </w:rPr>
        <w:t> </w:t>
      </w:r>
      <w:r>
        <w:rPr>
          <w:color w:val="231F20"/>
          <w:w w:val="105"/>
        </w:rPr>
        <w:t>Estados</w:t>
      </w:r>
      <w:r>
        <w:rPr>
          <w:color w:val="231F20"/>
          <w:spacing w:val="-25"/>
          <w:w w:val="105"/>
        </w:rPr>
        <w:t> </w:t>
      </w:r>
      <w:r>
        <w:rPr>
          <w:color w:val="231F20"/>
          <w:w w:val="105"/>
        </w:rPr>
        <w:t>Unidos,</w:t>
      </w:r>
      <w:r>
        <w:rPr>
          <w:color w:val="231F20"/>
          <w:spacing w:val="-29"/>
          <w:w w:val="105"/>
        </w:rPr>
        <w:t> </w:t>
      </w:r>
      <w:r>
        <w:rPr>
          <w:color w:val="231F20"/>
          <w:w w:val="105"/>
        </w:rPr>
        <w:t>comúnmente llamado</w:t>
      </w:r>
      <w:r>
        <w:rPr>
          <w:color w:val="231F20"/>
          <w:spacing w:val="-24"/>
          <w:w w:val="105"/>
        </w:rPr>
        <w:t> </w:t>
      </w:r>
      <w:r>
        <w:rPr>
          <w:rFonts w:ascii="Arial" w:hAnsi="Arial"/>
          <w:i/>
          <w:color w:val="231F20"/>
          <w:w w:val="105"/>
        </w:rPr>
        <w:t>programa</w:t>
      </w:r>
      <w:r>
        <w:rPr>
          <w:rFonts w:ascii="Arial" w:hAnsi="Arial"/>
          <w:i/>
          <w:color w:val="231F20"/>
          <w:spacing w:val="-26"/>
          <w:w w:val="105"/>
        </w:rPr>
        <w:t> </w:t>
      </w:r>
      <w:r>
        <w:rPr>
          <w:rFonts w:ascii="Arial" w:hAnsi="Arial"/>
          <w:i/>
          <w:color w:val="231F20"/>
          <w:w w:val="105"/>
        </w:rPr>
        <w:t>bracero</w:t>
      </w:r>
      <w:r>
        <w:rPr>
          <w:color w:val="231F20"/>
          <w:w w:val="105"/>
        </w:rPr>
        <w:t>,</w:t>
      </w:r>
      <w:r>
        <w:rPr>
          <w:color w:val="231F20"/>
          <w:spacing w:val="-28"/>
          <w:w w:val="105"/>
        </w:rPr>
        <w:t> </w:t>
      </w:r>
      <w:r>
        <w:rPr>
          <w:color w:val="231F20"/>
          <w:w w:val="105"/>
        </w:rPr>
        <w:t>cuando</w:t>
      </w:r>
      <w:r>
        <w:rPr>
          <w:color w:val="231F20"/>
          <w:spacing w:val="-24"/>
          <w:w w:val="105"/>
        </w:rPr>
        <w:t> </w:t>
      </w:r>
      <w:r>
        <w:rPr>
          <w:rFonts w:ascii="Arial" w:hAnsi="Arial"/>
          <w:i/>
          <w:color w:val="231F20"/>
          <w:w w:val="105"/>
        </w:rPr>
        <w:t>irse</w:t>
      </w:r>
      <w:r>
        <w:rPr>
          <w:rFonts w:ascii="Arial" w:hAnsi="Arial"/>
          <w:i/>
          <w:color w:val="231F20"/>
          <w:spacing w:val="-26"/>
          <w:w w:val="105"/>
        </w:rPr>
        <w:t> </w:t>
      </w:r>
      <w:r>
        <w:rPr>
          <w:rFonts w:ascii="Arial" w:hAnsi="Arial"/>
          <w:i/>
          <w:color w:val="231F20"/>
          <w:w w:val="105"/>
        </w:rPr>
        <w:t>al</w:t>
      </w:r>
      <w:r>
        <w:rPr>
          <w:rFonts w:ascii="Arial" w:hAnsi="Arial"/>
          <w:i/>
          <w:color w:val="231F20"/>
          <w:spacing w:val="-26"/>
          <w:w w:val="105"/>
        </w:rPr>
        <w:t> </w:t>
      </w:r>
      <w:r>
        <w:rPr>
          <w:rFonts w:ascii="Arial" w:hAnsi="Arial"/>
          <w:i/>
          <w:color w:val="231F20"/>
          <w:w w:val="105"/>
        </w:rPr>
        <w:t>norte</w:t>
      </w:r>
      <w:r>
        <w:rPr>
          <w:rFonts w:ascii="Arial" w:hAnsi="Arial"/>
          <w:i/>
          <w:color w:val="231F20"/>
          <w:spacing w:val="-26"/>
          <w:w w:val="105"/>
        </w:rPr>
        <w:t> </w:t>
      </w:r>
      <w:r>
        <w:rPr>
          <w:color w:val="231F20"/>
          <w:w w:val="105"/>
        </w:rPr>
        <w:t>se</w:t>
      </w:r>
      <w:r>
        <w:rPr>
          <w:color w:val="231F20"/>
          <w:spacing w:val="-24"/>
          <w:w w:val="105"/>
        </w:rPr>
        <w:t> </w:t>
      </w:r>
      <w:r>
        <w:rPr>
          <w:color w:val="231F20"/>
          <w:w w:val="105"/>
        </w:rPr>
        <w:t>convierte</w:t>
      </w:r>
      <w:r>
        <w:rPr>
          <w:color w:val="231F20"/>
          <w:spacing w:val="-24"/>
          <w:w w:val="105"/>
        </w:rPr>
        <w:t> </w:t>
      </w:r>
      <w:r>
        <w:rPr>
          <w:color w:val="231F20"/>
          <w:w w:val="105"/>
        </w:rPr>
        <w:t>en</w:t>
      </w:r>
      <w:r>
        <w:rPr>
          <w:color w:val="231F20"/>
          <w:spacing w:val="-24"/>
          <w:w w:val="105"/>
        </w:rPr>
        <w:t> </w:t>
      </w:r>
      <w:r>
        <w:rPr>
          <w:color w:val="231F20"/>
          <w:w w:val="105"/>
        </w:rPr>
        <w:t>una</w:t>
      </w:r>
      <w:r>
        <w:rPr>
          <w:color w:val="231F20"/>
          <w:spacing w:val="-24"/>
          <w:w w:val="105"/>
        </w:rPr>
        <w:t> </w:t>
      </w:r>
      <w:r>
        <w:rPr>
          <w:color w:val="231F20"/>
          <w:w w:val="105"/>
        </w:rPr>
        <w:t>alter- nativa</w:t>
      </w:r>
      <w:r>
        <w:rPr>
          <w:color w:val="231F20"/>
          <w:spacing w:val="-32"/>
          <w:w w:val="105"/>
        </w:rPr>
        <w:t> </w:t>
      </w:r>
      <w:r>
        <w:rPr>
          <w:color w:val="231F20"/>
          <w:w w:val="105"/>
        </w:rPr>
        <w:t>de</w:t>
      </w:r>
      <w:r>
        <w:rPr>
          <w:color w:val="231F20"/>
          <w:spacing w:val="-32"/>
          <w:w w:val="105"/>
        </w:rPr>
        <w:t> </w:t>
      </w:r>
      <w:r>
        <w:rPr>
          <w:color w:val="231F20"/>
          <w:w w:val="105"/>
        </w:rPr>
        <w:t>sobrevivencia.</w:t>
      </w:r>
      <w:r>
        <w:rPr>
          <w:color w:val="231F20"/>
          <w:spacing w:val="-37"/>
          <w:w w:val="105"/>
        </w:rPr>
        <w:t> </w:t>
      </w:r>
      <w:r>
        <w:rPr>
          <w:color w:val="231F20"/>
          <w:w w:val="105"/>
        </w:rPr>
        <w:t>Desde</w:t>
      </w:r>
      <w:r>
        <w:rPr>
          <w:color w:val="231F20"/>
          <w:spacing w:val="-32"/>
          <w:w w:val="105"/>
        </w:rPr>
        <w:t> </w:t>
      </w:r>
      <w:r>
        <w:rPr>
          <w:color w:val="231F20"/>
          <w:w w:val="105"/>
        </w:rPr>
        <w:t>entonces,</w:t>
      </w:r>
      <w:r>
        <w:rPr>
          <w:color w:val="231F20"/>
          <w:spacing w:val="-37"/>
          <w:w w:val="105"/>
        </w:rPr>
        <w:t> </w:t>
      </w:r>
      <w:r>
        <w:rPr>
          <w:color w:val="231F20"/>
          <w:w w:val="105"/>
        </w:rPr>
        <w:t>cientos</w:t>
      </w:r>
      <w:r>
        <w:rPr>
          <w:color w:val="231F20"/>
          <w:spacing w:val="-32"/>
          <w:w w:val="105"/>
        </w:rPr>
        <w:t> </w:t>
      </w:r>
      <w:r>
        <w:rPr>
          <w:color w:val="231F20"/>
          <w:w w:val="105"/>
        </w:rPr>
        <w:t>de</w:t>
      </w:r>
      <w:r>
        <w:rPr>
          <w:color w:val="231F20"/>
          <w:spacing w:val="-32"/>
          <w:w w:val="105"/>
        </w:rPr>
        <w:t> </w:t>
      </w:r>
      <w:r>
        <w:rPr>
          <w:color w:val="231F20"/>
          <w:w w:val="105"/>
        </w:rPr>
        <w:t>personas</w:t>
      </w:r>
      <w:r>
        <w:rPr>
          <w:color w:val="231F20"/>
          <w:spacing w:val="-32"/>
          <w:w w:val="105"/>
        </w:rPr>
        <w:t> </w:t>
      </w:r>
      <w:r>
        <w:rPr>
          <w:color w:val="231F20"/>
          <w:w w:val="105"/>
        </w:rPr>
        <w:t>originarias de</w:t>
      </w:r>
      <w:r>
        <w:rPr>
          <w:color w:val="231F20"/>
          <w:spacing w:val="-19"/>
          <w:w w:val="105"/>
        </w:rPr>
        <w:t> </w:t>
      </w:r>
      <w:r>
        <w:rPr>
          <w:color w:val="231F20"/>
          <w:spacing w:val="-3"/>
          <w:w w:val="105"/>
        </w:rPr>
        <w:t>Tonatico</w:t>
      </w:r>
      <w:r>
        <w:rPr>
          <w:color w:val="231F20"/>
          <w:spacing w:val="-15"/>
          <w:w w:val="105"/>
        </w:rPr>
        <w:t> </w:t>
      </w:r>
      <w:r>
        <w:rPr>
          <w:color w:val="231F20"/>
          <w:w w:val="105"/>
        </w:rPr>
        <w:t>han</w:t>
      </w:r>
      <w:r>
        <w:rPr>
          <w:color w:val="231F20"/>
          <w:spacing w:val="-15"/>
          <w:w w:val="105"/>
        </w:rPr>
        <w:t> </w:t>
      </w:r>
      <w:r>
        <w:rPr>
          <w:color w:val="231F20"/>
          <w:w w:val="105"/>
        </w:rPr>
        <w:t>iniciado</w:t>
      </w:r>
      <w:r>
        <w:rPr>
          <w:color w:val="231F20"/>
          <w:spacing w:val="-15"/>
          <w:w w:val="105"/>
        </w:rPr>
        <w:t> </w:t>
      </w:r>
      <w:r>
        <w:rPr>
          <w:color w:val="231F20"/>
          <w:w w:val="105"/>
        </w:rPr>
        <w:t>procesos</w:t>
      </w:r>
      <w:r>
        <w:rPr>
          <w:color w:val="231F20"/>
          <w:spacing w:val="-15"/>
          <w:w w:val="105"/>
        </w:rPr>
        <w:t> </w:t>
      </w:r>
      <w:r>
        <w:rPr>
          <w:color w:val="231F20"/>
          <w:w w:val="105"/>
        </w:rPr>
        <w:t>migratorios</w:t>
      </w:r>
      <w:r>
        <w:rPr>
          <w:color w:val="231F20"/>
          <w:spacing w:val="-15"/>
          <w:w w:val="105"/>
        </w:rPr>
        <w:t> </w:t>
      </w:r>
      <w:r>
        <w:rPr>
          <w:color w:val="231F20"/>
          <w:w w:val="105"/>
        </w:rPr>
        <w:t>temporales,</w:t>
      </w:r>
      <w:r>
        <w:rPr>
          <w:color w:val="231F20"/>
          <w:spacing w:val="-20"/>
          <w:w w:val="105"/>
        </w:rPr>
        <w:t> </w:t>
      </w:r>
      <w:r>
        <w:rPr>
          <w:color w:val="231F20"/>
          <w:w w:val="105"/>
        </w:rPr>
        <w:t>estacionales, cíclicos o permanentes, que en la actualidad conforman un complejo concierto</w:t>
      </w:r>
      <w:r>
        <w:rPr>
          <w:color w:val="231F20"/>
          <w:spacing w:val="-17"/>
          <w:w w:val="105"/>
        </w:rPr>
        <w:t> </w:t>
      </w:r>
      <w:r>
        <w:rPr>
          <w:color w:val="231F20"/>
          <w:w w:val="105"/>
        </w:rPr>
        <w:t>de</w:t>
      </w:r>
      <w:r>
        <w:rPr>
          <w:color w:val="231F20"/>
          <w:spacing w:val="-17"/>
          <w:w w:val="105"/>
        </w:rPr>
        <w:t> </w:t>
      </w:r>
      <w:r>
        <w:rPr>
          <w:color w:val="231F20"/>
          <w:w w:val="105"/>
        </w:rPr>
        <w:t>cientos</w:t>
      </w:r>
      <w:r>
        <w:rPr>
          <w:color w:val="231F20"/>
          <w:spacing w:val="-17"/>
          <w:w w:val="105"/>
        </w:rPr>
        <w:t> </w:t>
      </w:r>
      <w:r>
        <w:rPr>
          <w:color w:val="231F20"/>
          <w:w w:val="105"/>
        </w:rPr>
        <w:t>de</w:t>
      </w:r>
      <w:r>
        <w:rPr>
          <w:color w:val="231F20"/>
          <w:spacing w:val="-17"/>
          <w:w w:val="105"/>
        </w:rPr>
        <w:t> </w:t>
      </w:r>
      <w:r>
        <w:rPr>
          <w:color w:val="231F20"/>
          <w:w w:val="105"/>
        </w:rPr>
        <w:t>vidas</w:t>
      </w:r>
      <w:r>
        <w:rPr>
          <w:color w:val="231F20"/>
          <w:spacing w:val="-17"/>
          <w:w w:val="105"/>
        </w:rPr>
        <w:t> </w:t>
      </w:r>
      <w:r>
        <w:rPr>
          <w:color w:val="231F20"/>
          <w:w w:val="105"/>
        </w:rPr>
        <w:t>y</w:t>
      </w:r>
      <w:r>
        <w:rPr>
          <w:color w:val="231F20"/>
          <w:spacing w:val="-17"/>
          <w:w w:val="105"/>
        </w:rPr>
        <w:t> </w:t>
      </w:r>
      <w:r>
        <w:rPr>
          <w:color w:val="231F20"/>
          <w:w w:val="105"/>
        </w:rPr>
        <w:t>múltiples</w:t>
      </w:r>
      <w:r>
        <w:rPr>
          <w:color w:val="231F20"/>
          <w:spacing w:val="-17"/>
          <w:w w:val="105"/>
        </w:rPr>
        <w:t> </w:t>
      </w:r>
      <w:r>
        <w:rPr>
          <w:color w:val="231F20"/>
          <w:w w:val="105"/>
        </w:rPr>
        <w:t>redes</w:t>
      </w:r>
      <w:r>
        <w:rPr>
          <w:color w:val="231F20"/>
          <w:spacing w:val="-17"/>
          <w:w w:val="105"/>
        </w:rPr>
        <w:t> </w:t>
      </w:r>
      <w:r>
        <w:rPr>
          <w:color w:val="231F20"/>
          <w:w w:val="105"/>
        </w:rPr>
        <w:t>trasnacionales</w:t>
      </w:r>
      <w:r>
        <w:rPr>
          <w:color w:val="231F20"/>
          <w:spacing w:val="-17"/>
          <w:w w:val="105"/>
        </w:rPr>
        <w:t> </w:t>
      </w:r>
      <w:r>
        <w:rPr>
          <w:color w:val="231F20"/>
          <w:w w:val="105"/>
        </w:rPr>
        <w:t>que</w:t>
      </w:r>
      <w:r>
        <w:rPr>
          <w:color w:val="231F20"/>
          <w:spacing w:val="-17"/>
          <w:w w:val="105"/>
        </w:rPr>
        <w:t> </w:t>
      </w:r>
      <w:r>
        <w:rPr>
          <w:color w:val="231F20"/>
          <w:w w:val="105"/>
        </w:rPr>
        <w:t>trans- curren entre dos o tres —y en algunos casos cuatro— generaciones, en los</w:t>
      </w:r>
      <w:r>
        <w:rPr>
          <w:color w:val="231F20"/>
          <w:spacing w:val="-16"/>
          <w:w w:val="105"/>
        </w:rPr>
        <w:t> </w:t>
      </w:r>
      <w:r>
        <w:rPr>
          <w:color w:val="231F20"/>
          <w:w w:val="105"/>
        </w:rPr>
        <w:t>espacios</w:t>
      </w:r>
      <w:r>
        <w:rPr>
          <w:color w:val="231F20"/>
          <w:spacing w:val="-16"/>
          <w:w w:val="105"/>
        </w:rPr>
        <w:t> </w:t>
      </w:r>
      <w:r>
        <w:rPr>
          <w:color w:val="231F20"/>
          <w:w w:val="105"/>
        </w:rPr>
        <w:t>y</w:t>
      </w:r>
      <w:r>
        <w:rPr>
          <w:color w:val="231F20"/>
          <w:spacing w:val="-16"/>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actividades</w:t>
      </w:r>
      <w:r>
        <w:rPr>
          <w:color w:val="231F20"/>
          <w:spacing w:val="-16"/>
          <w:w w:val="105"/>
        </w:rPr>
        <w:t> </w:t>
      </w:r>
      <w:r>
        <w:rPr>
          <w:color w:val="231F20"/>
          <w:w w:val="105"/>
        </w:rPr>
        <w:t>públicas,</w:t>
      </w:r>
      <w:r>
        <w:rPr>
          <w:color w:val="231F20"/>
          <w:spacing w:val="-20"/>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vínculos</w:t>
      </w:r>
      <w:r>
        <w:rPr>
          <w:color w:val="231F20"/>
          <w:spacing w:val="-16"/>
          <w:w w:val="105"/>
        </w:rPr>
        <w:t> </w:t>
      </w:r>
      <w:r>
        <w:rPr>
          <w:color w:val="231F20"/>
          <w:w w:val="105"/>
        </w:rPr>
        <w:t>familiares</w:t>
      </w:r>
      <w:r>
        <w:rPr>
          <w:color w:val="231F20"/>
          <w:spacing w:val="-16"/>
          <w:w w:val="105"/>
        </w:rPr>
        <w:t> </w:t>
      </w:r>
      <w:r>
        <w:rPr>
          <w:color w:val="231F20"/>
          <w:w w:val="105"/>
        </w:rPr>
        <w:t>y</w:t>
      </w:r>
      <w:r>
        <w:rPr>
          <w:color w:val="231F20"/>
          <w:spacing w:val="-16"/>
          <w:w w:val="105"/>
        </w:rPr>
        <w:t> </w:t>
      </w:r>
      <w:r>
        <w:rPr>
          <w:color w:val="231F20"/>
          <w:w w:val="105"/>
        </w:rPr>
        <w:t>de paisanaje,</w:t>
      </w:r>
      <w:r>
        <w:rPr>
          <w:color w:val="231F20"/>
          <w:spacing w:val="-29"/>
          <w:w w:val="105"/>
        </w:rPr>
        <w:t> </w:t>
      </w:r>
      <w:r>
        <w:rPr>
          <w:color w:val="231F20"/>
          <w:w w:val="105"/>
        </w:rPr>
        <w:t>en</w:t>
      </w:r>
      <w:r>
        <w:rPr>
          <w:color w:val="231F20"/>
          <w:spacing w:val="-25"/>
          <w:w w:val="105"/>
        </w:rPr>
        <w:t> </w:t>
      </w:r>
      <w:r>
        <w:rPr>
          <w:color w:val="231F20"/>
          <w:w w:val="105"/>
        </w:rPr>
        <w:t>las</w:t>
      </w:r>
      <w:r>
        <w:rPr>
          <w:color w:val="231F20"/>
          <w:spacing w:val="-25"/>
          <w:w w:val="105"/>
        </w:rPr>
        <w:t> </w:t>
      </w:r>
      <w:r>
        <w:rPr>
          <w:color w:val="231F20"/>
          <w:w w:val="105"/>
        </w:rPr>
        <w:t>comunidades</w:t>
      </w:r>
      <w:r>
        <w:rPr>
          <w:color w:val="231F20"/>
          <w:spacing w:val="-25"/>
          <w:w w:val="105"/>
        </w:rPr>
        <w:t> </w:t>
      </w:r>
      <w:r>
        <w:rPr>
          <w:color w:val="231F20"/>
          <w:w w:val="105"/>
        </w:rPr>
        <w:t>virtuales</w:t>
      </w:r>
      <w:r>
        <w:rPr>
          <w:color w:val="231F20"/>
          <w:spacing w:val="-25"/>
          <w:w w:val="105"/>
        </w:rPr>
        <w:t> </w:t>
      </w:r>
      <w:r>
        <w:rPr>
          <w:color w:val="231F20"/>
          <w:w w:val="105"/>
        </w:rPr>
        <w:t>y</w:t>
      </w:r>
      <w:r>
        <w:rPr>
          <w:color w:val="231F20"/>
          <w:spacing w:val="-25"/>
          <w:w w:val="105"/>
        </w:rPr>
        <w:t> </w:t>
      </w:r>
      <w:r>
        <w:rPr>
          <w:color w:val="231F20"/>
          <w:w w:val="105"/>
        </w:rPr>
        <w:t>redes</w:t>
      </w:r>
      <w:r>
        <w:rPr>
          <w:color w:val="231F20"/>
          <w:spacing w:val="-25"/>
          <w:w w:val="105"/>
        </w:rPr>
        <w:t> </w:t>
      </w:r>
      <w:r>
        <w:rPr>
          <w:color w:val="231F20"/>
          <w:w w:val="105"/>
        </w:rPr>
        <w:t>electrónicas,</w:t>
      </w:r>
      <w:r>
        <w:rPr>
          <w:color w:val="231F20"/>
          <w:spacing w:val="-29"/>
          <w:w w:val="105"/>
        </w:rPr>
        <w:t> </w:t>
      </w:r>
      <w:r>
        <w:rPr>
          <w:color w:val="231F20"/>
          <w:w w:val="105"/>
        </w:rPr>
        <w:t>en</w:t>
      </w:r>
      <w:r>
        <w:rPr>
          <w:color w:val="231F20"/>
          <w:spacing w:val="-25"/>
          <w:w w:val="105"/>
        </w:rPr>
        <w:t> </w:t>
      </w:r>
      <w:r>
        <w:rPr>
          <w:color w:val="231F20"/>
          <w:w w:val="105"/>
        </w:rPr>
        <w:t>las</w:t>
      </w:r>
      <w:r>
        <w:rPr>
          <w:color w:val="231F20"/>
          <w:spacing w:val="-25"/>
          <w:w w:val="105"/>
        </w:rPr>
        <w:t> </w:t>
      </w:r>
      <w:r>
        <w:rPr>
          <w:color w:val="231F20"/>
          <w:w w:val="105"/>
        </w:rPr>
        <w:t>cele- braciones</w:t>
      </w:r>
      <w:r>
        <w:rPr>
          <w:color w:val="231F20"/>
          <w:spacing w:val="-18"/>
          <w:w w:val="105"/>
        </w:rPr>
        <w:t> </w:t>
      </w:r>
      <w:r>
        <w:rPr>
          <w:color w:val="231F20"/>
          <w:w w:val="105"/>
        </w:rPr>
        <w:t>y</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duelos</w:t>
      </w:r>
      <w:r>
        <w:rPr>
          <w:color w:val="231F20"/>
          <w:spacing w:val="-18"/>
          <w:w w:val="105"/>
        </w:rPr>
        <w:t> </w:t>
      </w:r>
      <w:r>
        <w:rPr>
          <w:color w:val="231F20"/>
          <w:w w:val="105"/>
        </w:rPr>
        <w:t>comunitarios.</w:t>
      </w:r>
    </w:p>
    <w:p>
      <w:pPr>
        <w:pStyle w:val="BodyText"/>
        <w:spacing w:line="261" w:lineRule="auto" w:before="1"/>
        <w:ind w:left="1723" w:right="1829" w:firstLine="567"/>
        <w:jc w:val="both"/>
      </w:pPr>
      <w:r>
        <w:rPr>
          <w:color w:val="231F20"/>
          <w:w w:val="105"/>
        </w:rPr>
        <w:t>En</w:t>
      </w:r>
      <w:r>
        <w:rPr>
          <w:color w:val="231F20"/>
          <w:spacing w:val="-29"/>
          <w:w w:val="105"/>
        </w:rPr>
        <w:t> </w:t>
      </w:r>
      <w:r>
        <w:rPr>
          <w:color w:val="231F20"/>
          <w:spacing w:val="-3"/>
          <w:w w:val="105"/>
        </w:rPr>
        <w:t>Tonatico</w:t>
      </w:r>
      <w:r>
        <w:rPr>
          <w:color w:val="231F20"/>
          <w:spacing w:val="-26"/>
          <w:w w:val="105"/>
        </w:rPr>
        <w:t> </w:t>
      </w:r>
      <w:r>
        <w:rPr>
          <w:color w:val="231F20"/>
          <w:w w:val="105"/>
        </w:rPr>
        <w:t>las</w:t>
      </w:r>
      <w:r>
        <w:rPr>
          <w:color w:val="231F20"/>
          <w:spacing w:val="-26"/>
          <w:w w:val="105"/>
        </w:rPr>
        <w:t> </w:t>
      </w:r>
      <w:r>
        <w:rPr>
          <w:color w:val="231F20"/>
          <w:w w:val="105"/>
        </w:rPr>
        <w:t>historias</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braceros</w:t>
      </w:r>
      <w:r>
        <w:rPr>
          <w:color w:val="231F20"/>
          <w:spacing w:val="-26"/>
          <w:w w:val="105"/>
        </w:rPr>
        <w:t> </w:t>
      </w:r>
      <w:r>
        <w:rPr>
          <w:color w:val="231F20"/>
          <w:w w:val="105"/>
        </w:rPr>
        <w:t>se</w:t>
      </w:r>
      <w:r>
        <w:rPr>
          <w:color w:val="231F20"/>
          <w:spacing w:val="-26"/>
          <w:w w:val="105"/>
        </w:rPr>
        <w:t> </w:t>
      </w:r>
      <w:r>
        <w:rPr>
          <w:color w:val="231F20"/>
          <w:w w:val="105"/>
        </w:rPr>
        <w:t>escuchan</w:t>
      </w:r>
      <w:r>
        <w:rPr>
          <w:color w:val="231F20"/>
          <w:spacing w:val="-26"/>
          <w:w w:val="105"/>
        </w:rPr>
        <w:t> </w:t>
      </w:r>
      <w:r>
        <w:rPr>
          <w:color w:val="231F20"/>
          <w:w w:val="105"/>
        </w:rPr>
        <w:t>contadas</w:t>
      </w:r>
      <w:r>
        <w:rPr>
          <w:color w:val="231F20"/>
          <w:spacing w:val="-26"/>
          <w:w w:val="105"/>
        </w:rPr>
        <w:t> </w:t>
      </w:r>
      <w:r>
        <w:rPr>
          <w:color w:val="231F20"/>
          <w:w w:val="105"/>
        </w:rPr>
        <w:t>aún por</w:t>
      </w:r>
      <w:r>
        <w:rPr>
          <w:color w:val="231F20"/>
          <w:spacing w:val="-38"/>
          <w:w w:val="105"/>
        </w:rPr>
        <w:t> </w:t>
      </w:r>
      <w:r>
        <w:rPr>
          <w:color w:val="231F20"/>
          <w:w w:val="105"/>
        </w:rPr>
        <w:t>ellos</w:t>
      </w:r>
      <w:r>
        <w:rPr>
          <w:color w:val="231F20"/>
          <w:spacing w:val="-38"/>
          <w:w w:val="105"/>
        </w:rPr>
        <w:t> </w:t>
      </w:r>
      <w:r>
        <w:rPr>
          <w:color w:val="231F20"/>
          <w:w w:val="105"/>
        </w:rPr>
        <w:t>mismos.</w:t>
      </w:r>
      <w:r>
        <w:rPr>
          <w:color w:val="231F20"/>
          <w:spacing w:val="-41"/>
          <w:w w:val="105"/>
        </w:rPr>
        <w:t> </w:t>
      </w:r>
      <w:r>
        <w:rPr>
          <w:color w:val="231F20"/>
          <w:w w:val="105"/>
        </w:rPr>
        <w:t>Los</w:t>
      </w:r>
      <w:r>
        <w:rPr>
          <w:color w:val="231F20"/>
          <w:spacing w:val="-38"/>
          <w:w w:val="105"/>
        </w:rPr>
        <w:t> </w:t>
      </w:r>
      <w:r>
        <w:rPr>
          <w:color w:val="231F20"/>
          <w:w w:val="105"/>
        </w:rPr>
        <w:t>recuerdos</w:t>
      </w:r>
      <w:r>
        <w:rPr>
          <w:color w:val="231F20"/>
          <w:spacing w:val="-38"/>
          <w:w w:val="105"/>
        </w:rPr>
        <w:t> </w:t>
      </w:r>
      <w:r>
        <w:rPr>
          <w:color w:val="231F20"/>
          <w:w w:val="105"/>
        </w:rPr>
        <w:t>se</w:t>
      </w:r>
      <w:r>
        <w:rPr>
          <w:color w:val="231F20"/>
          <w:spacing w:val="-38"/>
          <w:w w:val="105"/>
        </w:rPr>
        <w:t> </w:t>
      </w:r>
      <w:r>
        <w:rPr>
          <w:color w:val="231F20"/>
          <w:w w:val="105"/>
        </w:rPr>
        <w:t>engastan</w:t>
      </w:r>
      <w:r>
        <w:rPr>
          <w:color w:val="231F20"/>
          <w:spacing w:val="-38"/>
          <w:w w:val="105"/>
        </w:rPr>
        <w:t> </w:t>
      </w:r>
      <w:r>
        <w:rPr>
          <w:color w:val="231F20"/>
          <w:w w:val="105"/>
        </w:rPr>
        <w:t>en</w:t>
      </w:r>
      <w:r>
        <w:rPr>
          <w:color w:val="231F20"/>
          <w:spacing w:val="-38"/>
          <w:w w:val="105"/>
        </w:rPr>
        <w:t> </w:t>
      </w:r>
      <w:r>
        <w:rPr>
          <w:color w:val="231F20"/>
          <w:w w:val="105"/>
        </w:rPr>
        <w:t>el</w:t>
      </w:r>
      <w:r>
        <w:rPr>
          <w:color w:val="231F20"/>
          <w:spacing w:val="-38"/>
          <w:w w:val="105"/>
        </w:rPr>
        <w:t> </w:t>
      </w:r>
      <w:r>
        <w:rPr>
          <w:color w:val="231F20"/>
          <w:w w:val="105"/>
        </w:rPr>
        <w:t>presente.</w:t>
      </w:r>
      <w:r>
        <w:rPr>
          <w:color w:val="231F20"/>
          <w:spacing w:val="-41"/>
          <w:w w:val="105"/>
        </w:rPr>
        <w:t> </w:t>
      </w:r>
      <w:r>
        <w:rPr>
          <w:color w:val="231F20"/>
          <w:w w:val="105"/>
        </w:rPr>
        <w:t>Los</w:t>
      </w:r>
      <w:r>
        <w:rPr>
          <w:color w:val="231F20"/>
          <w:spacing w:val="-38"/>
          <w:w w:val="105"/>
        </w:rPr>
        <w:t> </w:t>
      </w:r>
      <w:r>
        <w:rPr>
          <w:color w:val="231F20"/>
          <w:w w:val="105"/>
        </w:rPr>
        <w:t>que</w:t>
      </w:r>
      <w:r>
        <w:rPr>
          <w:color w:val="231F20"/>
          <w:spacing w:val="-38"/>
          <w:w w:val="105"/>
        </w:rPr>
        <w:t> </w:t>
      </w:r>
      <w:r>
        <w:rPr>
          <w:color w:val="231F20"/>
          <w:w w:val="105"/>
        </w:rPr>
        <w:t>hicie- ron</w:t>
      </w:r>
      <w:r>
        <w:rPr>
          <w:color w:val="231F20"/>
          <w:spacing w:val="-16"/>
          <w:w w:val="105"/>
        </w:rPr>
        <w:t> </w:t>
      </w:r>
      <w:r>
        <w:rPr>
          <w:color w:val="231F20"/>
          <w:w w:val="105"/>
        </w:rPr>
        <w:t>camino</w:t>
      </w:r>
      <w:r>
        <w:rPr>
          <w:color w:val="231F20"/>
          <w:spacing w:val="-16"/>
          <w:w w:val="105"/>
        </w:rPr>
        <w:t> </w:t>
      </w:r>
      <w:r>
        <w:rPr>
          <w:color w:val="231F20"/>
          <w:w w:val="105"/>
        </w:rPr>
        <w:t>saben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angustia</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miedo</w:t>
      </w:r>
      <w:r>
        <w:rPr>
          <w:color w:val="231F20"/>
          <w:spacing w:val="-16"/>
          <w:w w:val="105"/>
        </w:rPr>
        <w:t> </w:t>
      </w:r>
      <w:r>
        <w:rPr>
          <w:color w:val="231F20"/>
          <w:w w:val="105"/>
        </w:rPr>
        <w:t>que</w:t>
      </w:r>
      <w:r>
        <w:rPr>
          <w:color w:val="231F20"/>
          <w:spacing w:val="-16"/>
          <w:w w:val="105"/>
        </w:rPr>
        <w:t> </w:t>
      </w:r>
      <w:r>
        <w:rPr>
          <w:color w:val="231F20"/>
          <w:w w:val="105"/>
        </w:rPr>
        <w:t>provoca</w:t>
      </w:r>
      <w:r>
        <w:rPr>
          <w:color w:val="231F20"/>
          <w:spacing w:val="-16"/>
          <w:w w:val="105"/>
        </w:rPr>
        <w:t> </w:t>
      </w:r>
      <w:r>
        <w:rPr>
          <w:color w:val="231F20"/>
          <w:w w:val="105"/>
        </w:rPr>
        <w:t>lo</w:t>
      </w:r>
      <w:r>
        <w:rPr>
          <w:color w:val="231F20"/>
          <w:spacing w:val="-16"/>
          <w:w w:val="105"/>
        </w:rPr>
        <w:t> </w:t>
      </w:r>
      <w:r>
        <w:rPr>
          <w:color w:val="231F20"/>
          <w:w w:val="105"/>
        </w:rPr>
        <w:t>desconocido, pero</w:t>
      </w:r>
      <w:r>
        <w:rPr>
          <w:color w:val="231F20"/>
          <w:spacing w:val="-16"/>
          <w:w w:val="105"/>
        </w:rPr>
        <w:t> </w:t>
      </w:r>
      <w:r>
        <w:rPr>
          <w:color w:val="231F20"/>
          <w:w w:val="105"/>
        </w:rPr>
        <w:t>también</w:t>
      </w:r>
      <w:r>
        <w:rPr>
          <w:color w:val="231F20"/>
          <w:spacing w:val="-16"/>
          <w:w w:val="105"/>
        </w:rPr>
        <w:t> </w:t>
      </w:r>
      <w:r>
        <w:rPr>
          <w:color w:val="231F20"/>
          <w:w w:val="105"/>
        </w:rPr>
        <w:t>del</w:t>
      </w:r>
      <w:r>
        <w:rPr>
          <w:color w:val="231F20"/>
          <w:spacing w:val="-16"/>
          <w:w w:val="105"/>
        </w:rPr>
        <w:t> </w:t>
      </w:r>
      <w:r>
        <w:rPr>
          <w:color w:val="231F20"/>
          <w:w w:val="105"/>
        </w:rPr>
        <w:t>alivio</w:t>
      </w:r>
      <w:r>
        <w:rPr>
          <w:color w:val="231F20"/>
          <w:spacing w:val="-16"/>
          <w:w w:val="105"/>
        </w:rPr>
        <w:t> </w:t>
      </w:r>
      <w:r>
        <w:rPr>
          <w:color w:val="231F20"/>
          <w:w w:val="105"/>
        </w:rPr>
        <w:t>que</w:t>
      </w:r>
      <w:r>
        <w:rPr>
          <w:color w:val="231F20"/>
          <w:spacing w:val="-16"/>
          <w:w w:val="105"/>
        </w:rPr>
        <w:t> </w:t>
      </w:r>
      <w:r>
        <w:rPr>
          <w:color w:val="231F20"/>
          <w:w w:val="105"/>
        </w:rPr>
        <w:t>significó</w:t>
      </w:r>
      <w:r>
        <w:rPr>
          <w:color w:val="231F20"/>
          <w:spacing w:val="-16"/>
          <w:w w:val="105"/>
        </w:rPr>
        <w:t> </w:t>
      </w:r>
      <w:r>
        <w:rPr>
          <w:color w:val="231F20"/>
          <w:w w:val="105"/>
        </w:rPr>
        <w:t>contar</w:t>
      </w:r>
      <w:r>
        <w:rPr>
          <w:color w:val="231F20"/>
          <w:spacing w:val="-16"/>
          <w:w w:val="105"/>
        </w:rPr>
        <w:t> </w:t>
      </w:r>
      <w:r>
        <w:rPr>
          <w:color w:val="231F20"/>
          <w:w w:val="105"/>
        </w:rPr>
        <w:t>con</w:t>
      </w:r>
      <w:r>
        <w:rPr>
          <w:color w:val="231F20"/>
          <w:spacing w:val="-16"/>
          <w:w w:val="105"/>
        </w:rPr>
        <w:t> </w:t>
      </w:r>
      <w:r>
        <w:rPr>
          <w:color w:val="231F20"/>
          <w:w w:val="105"/>
        </w:rPr>
        <w:t>una</w:t>
      </w:r>
      <w:r>
        <w:rPr>
          <w:color w:val="231F20"/>
          <w:spacing w:val="-16"/>
          <w:w w:val="105"/>
        </w:rPr>
        <w:t> </w:t>
      </w:r>
      <w:r>
        <w:rPr>
          <w:color w:val="231F20"/>
          <w:w w:val="105"/>
        </w:rPr>
        <w:t>salida</w:t>
      </w:r>
      <w:r>
        <w:rPr>
          <w:color w:val="231F20"/>
          <w:spacing w:val="-16"/>
          <w:w w:val="105"/>
        </w:rPr>
        <w:t> </w:t>
      </w:r>
      <w:r>
        <w:rPr>
          <w:color w:val="231F20"/>
          <w:w w:val="105"/>
        </w:rPr>
        <w:t>ante</w:t>
      </w:r>
      <w:r>
        <w:rPr>
          <w:color w:val="231F20"/>
          <w:spacing w:val="-16"/>
          <w:w w:val="105"/>
        </w:rPr>
        <w:t> </w:t>
      </w:r>
      <w:r>
        <w:rPr>
          <w:color w:val="231F20"/>
          <w:w w:val="105"/>
        </w:rPr>
        <w:t>el</w:t>
      </w:r>
      <w:r>
        <w:rPr>
          <w:color w:val="231F20"/>
          <w:spacing w:val="-16"/>
          <w:w w:val="105"/>
        </w:rPr>
        <w:t> </w:t>
      </w:r>
      <w:r>
        <w:rPr>
          <w:color w:val="231F20"/>
          <w:w w:val="105"/>
        </w:rPr>
        <w:t>terror</w:t>
      </w:r>
      <w:r>
        <w:rPr>
          <w:color w:val="231F20"/>
          <w:spacing w:val="-16"/>
          <w:w w:val="105"/>
        </w:rPr>
        <w:t> </w:t>
      </w:r>
      <w:r>
        <w:rPr>
          <w:color w:val="231F20"/>
          <w:w w:val="105"/>
        </w:rPr>
        <w:t>y la</w:t>
      </w:r>
      <w:r>
        <w:rPr>
          <w:color w:val="231F20"/>
          <w:spacing w:val="-12"/>
          <w:w w:val="105"/>
        </w:rPr>
        <w:t> </w:t>
      </w:r>
      <w:r>
        <w:rPr>
          <w:color w:val="231F20"/>
          <w:w w:val="105"/>
        </w:rPr>
        <w:t>desazón</w:t>
      </w:r>
      <w:r>
        <w:rPr>
          <w:color w:val="231F20"/>
          <w:spacing w:val="-12"/>
          <w:w w:val="105"/>
        </w:rPr>
        <w:t> </w:t>
      </w:r>
      <w:r>
        <w:rPr>
          <w:color w:val="231F20"/>
          <w:w w:val="105"/>
        </w:rPr>
        <w:t>que</w:t>
      </w:r>
      <w:r>
        <w:rPr>
          <w:color w:val="231F20"/>
          <w:spacing w:val="-12"/>
          <w:w w:val="105"/>
        </w:rPr>
        <w:t> </w:t>
      </w:r>
      <w:r>
        <w:rPr>
          <w:color w:val="231F20"/>
          <w:w w:val="105"/>
        </w:rPr>
        <w:t>producen</w:t>
      </w:r>
      <w:r>
        <w:rPr>
          <w:color w:val="231F20"/>
          <w:spacing w:val="-12"/>
          <w:w w:val="105"/>
        </w:rPr>
        <w:t> </w:t>
      </w:r>
      <w:r>
        <w:rPr>
          <w:color w:val="231F20"/>
          <w:w w:val="105"/>
        </w:rPr>
        <w:t>la</w:t>
      </w:r>
      <w:r>
        <w:rPr>
          <w:color w:val="231F20"/>
          <w:spacing w:val="-12"/>
          <w:w w:val="105"/>
        </w:rPr>
        <w:t> </w:t>
      </w:r>
      <w:r>
        <w:rPr>
          <w:color w:val="231F20"/>
          <w:w w:val="105"/>
        </w:rPr>
        <w:t>pobreza</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hambre.</w:t>
      </w:r>
      <w:r>
        <w:rPr>
          <w:color w:val="231F20"/>
          <w:spacing w:val="-18"/>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tiempo,</w:t>
      </w:r>
      <w:r>
        <w:rPr>
          <w:color w:val="231F20"/>
          <w:spacing w:val="-18"/>
          <w:w w:val="105"/>
        </w:rPr>
        <w:t> </w:t>
      </w:r>
      <w:r>
        <w:rPr>
          <w:color w:val="231F20"/>
          <w:w w:val="105"/>
        </w:rPr>
        <w:t>los</w:t>
      </w:r>
      <w:r>
        <w:rPr>
          <w:color w:val="231F20"/>
          <w:spacing w:val="-12"/>
          <w:w w:val="105"/>
        </w:rPr>
        <w:t> </w:t>
      </w:r>
      <w:r>
        <w:rPr>
          <w:color w:val="231F20"/>
          <w:w w:val="105"/>
        </w:rPr>
        <w:t>que migraron</w:t>
      </w:r>
      <w:r>
        <w:rPr>
          <w:color w:val="231F20"/>
          <w:spacing w:val="-16"/>
          <w:w w:val="105"/>
        </w:rPr>
        <w:t> </w:t>
      </w:r>
      <w:r>
        <w:rPr>
          <w:color w:val="231F20"/>
          <w:w w:val="105"/>
        </w:rPr>
        <w:t>y</w:t>
      </w:r>
      <w:r>
        <w:rPr>
          <w:color w:val="231F20"/>
          <w:spacing w:val="-16"/>
          <w:w w:val="105"/>
        </w:rPr>
        <w:t> </w:t>
      </w:r>
      <w:r>
        <w:rPr>
          <w:color w:val="231F20"/>
          <w:w w:val="105"/>
        </w:rPr>
        <w:t>los</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quedaron</w:t>
      </w:r>
      <w:r>
        <w:rPr>
          <w:color w:val="231F20"/>
          <w:spacing w:val="-16"/>
          <w:w w:val="105"/>
        </w:rPr>
        <w:t> </w:t>
      </w:r>
      <w:r>
        <w:rPr>
          <w:color w:val="231F20"/>
          <w:w w:val="105"/>
        </w:rPr>
        <w:t>aprendieron</w:t>
      </w:r>
      <w:r>
        <w:rPr>
          <w:color w:val="231F20"/>
          <w:spacing w:val="-16"/>
          <w:w w:val="105"/>
        </w:rPr>
        <w:t> </w:t>
      </w:r>
      <w:r>
        <w:rPr>
          <w:color w:val="231F20"/>
          <w:w w:val="105"/>
        </w:rPr>
        <w:t>—casi</w:t>
      </w:r>
      <w:r>
        <w:rPr>
          <w:color w:val="231F20"/>
          <w:spacing w:val="-16"/>
          <w:w w:val="105"/>
        </w:rPr>
        <w:t> </w:t>
      </w:r>
      <w:r>
        <w:rPr>
          <w:color w:val="231F20"/>
          <w:w w:val="105"/>
        </w:rPr>
        <w:t>todo—</w:t>
      </w:r>
      <w:r>
        <w:rPr>
          <w:color w:val="231F20"/>
          <w:spacing w:val="-16"/>
          <w:w w:val="105"/>
        </w:rPr>
        <w:t> </w:t>
      </w:r>
      <w:r>
        <w:rPr>
          <w:color w:val="231F20"/>
          <w:w w:val="105"/>
        </w:rPr>
        <w:t>sobre</w:t>
      </w:r>
      <w:r>
        <w:rPr>
          <w:color w:val="231F20"/>
          <w:spacing w:val="-16"/>
          <w:w w:val="105"/>
        </w:rPr>
        <w:t> </w:t>
      </w:r>
      <w:r>
        <w:rPr>
          <w:color w:val="231F20"/>
          <w:w w:val="105"/>
        </w:rPr>
        <w:t>las</w:t>
      </w:r>
      <w:r>
        <w:rPr>
          <w:color w:val="231F20"/>
          <w:spacing w:val="-16"/>
          <w:w w:val="105"/>
        </w:rPr>
        <w:t> </w:t>
      </w:r>
      <w:r>
        <w:rPr>
          <w:color w:val="231F20"/>
          <w:w w:val="105"/>
        </w:rPr>
        <w:t>rutas, los</w:t>
      </w:r>
      <w:r>
        <w:rPr>
          <w:color w:val="231F20"/>
          <w:spacing w:val="-21"/>
          <w:w w:val="105"/>
        </w:rPr>
        <w:t> </w:t>
      </w:r>
      <w:r>
        <w:rPr>
          <w:color w:val="231F20"/>
          <w:w w:val="105"/>
        </w:rPr>
        <w:t>tiempos,</w:t>
      </w:r>
      <w:r>
        <w:rPr>
          <w:color w:val="231F20"/>
          <w:spacing w:val="-26"/>
          <w:w w:val="105"/>
        </w:rPr>
        <w:t> </w:t>
      </w:r>
      <w:r>
        <w:rPr>
          <w:color w:val="231F20"/>
          <w:w w:val="105"/>
        </w:rPr>
        <w:t>los</w:t>
      </w:r>
      <w:r>
        <w:rPr>
          <w:color w:val="231F20"/>
          <w:spacing w:val="-21"/>
          <w:w w:val="105"/>
        </w:rPr>
        <w:t> </w:t>
      </w:r>
      <w:r>
        <w:rPr>
          <w:color w:val="231F20"/>
          <w:w w:val="105"/>
        </w:rPr>
        <w:t>costos,</w:t>
      </w:r>
      <w:r>
        <w:rPr>
          <w:color w:val="231F20"/>
          <w:spacing w:val="-26"/>
          <w:w w:val="105"/>
        </w:rPr>
        <w:t> </w:t>
      </w:r>
      <w:r>
        <w:rPr>
          <w:color w:val="231F20"/>
          <w:w w:val="105"/>
        </w:rPr>
        <w:t>las</w:t>
      </w:r>
      <w:r>
        <w:rPr>
          <w:color w:val="231F20"/>
          <w:spacing w:val="-21"/>
          <w:w w:val="105"/>
        </w:rPr>
        <w:t> </w:t>
      </w:r>
      <w:r>
        <w:rPr>
          <w:color w:val="231F20"/>
          <w:w w:val="105"/>
        </w:rPr>
        <w:t>oportunidades,</w:t>
      </w:r>
      <w:r>
        <w:rPr>
          <w:color w:val="231F20"/>
          <w:spacing w:val="-25"/>
          <w:w w:val="105"/>
        </w:rPr>
        <w:t> </w:t>
      </w:r>
      <w:r>
        <w:rPr>
          <w:color w:val="231F20"/>
          <w:w w:val="105"/>
        </w:rPr>
        <w:t>los</w:t>
      </w:r>
      <w:r>
        <w:rPr>
          <w:color w:val="231F20"/>
          <w:spacing w:val="-21"/>
          <w:w w:val="105"/>
        </w:rPr>
        <w:t> </w:t>
      </w:r>
      <w:r>
        <w:rPr>
          <w:color w:val="231F20"/>
          <w:w w:val="105"/>
        </w:rPr>
        <w:t>lugares,</w:t>
      </w:r>
      <w:r>
        <w:rPr>
          <w:color w:val="231F20"/>
          <w:spacing w:val="-25"/>
          <w:w w:val="105"/>
        </w:rPr>
        <w:t> </w:t>
      </w:r>
      <w:r>
        <w:rPr>
          <w:color w:val="231F20"/>
          <w:w w:val="105"/>
        </w:rPr>
        <w:t>los</w:t>
      </w:r>
      <w:r>
        <w:rPr>
          <w:color w:val="231F20"/>
          <w:spacing w:val="-21"/>
          <w:w w:val="105"/>
        </w:rPr>
        <w:t> </w:t>
      </w:r>
      <w:r>
        <w:rPr>
          <w:color w:val="231F20"/>
          <w:w w:val="105"/>
        </w:rPr>
        <w:t>ambientes,</w:t>
      </w:r>
      <w:r>
        <w:rPr>
          <w:color w:val="231F20"/>
          <w:spacing w:val="-25"/>
          <w:w w:val="105"/>
        </w:rPr>
        <w:t> </w:t>
      </w:r>
      <w:r>
        <w:rPr>
          <w:color w:val="231F20"/>
          <w:w w:val="105"/>
        </w:rPr>
        <w:t>los peligros,</w:t>
      </w:r>
      <w:r>
        <w:rPr>
          <w:color w:val="231F20"/>
          <w:spacing w:val="-12"/>
          <w:w w:val="105"/>
        </w:rPr>
        <w:t> </w:t>
      </w:r>
      <w:r>
        <w:rPr>
          <w:color w:val="231F20"/>
          <w:w w:val="105"/>
        </w:rPr>
        <w:t>los</w:t>
      </w:r>
      <w:r>
        <w:rPr>
          <w:color w:val="231F20"/>
          <w:spacing w:val="-5"/>
          <w:w w:val="105"/>
        </w:rPr>
        <w:t> </w:t>
      </w:r>
      <w:r>
        <w:rPr>
          <w:color w:val="231F20"/>
          <w:w w:val="105"/>
        </w:rPr>
        <w:t>medios</w:t>
      </w:r>
      <w:r>
        <w:rPr>
          <w:color w:val="231F20"/>
          <w:spacing w:val="-5"/>
          <w:w w:val="105"/>
        </w:rPr>
        <w:t> </w:t>
      </w:r>
      <w:r>
        <w:rPr>
          <w:color w:val="231F20"/>
          <w:w w:val="105"/>
        </w:rPr>
        <w:t>y</w:t>
      </w:r>
      <w:r>
        <w:rPr>
          <w:color w:val="231F20"/>
          <w:spacing w:val="-5"/>
          <w:w w:val="105"/>
        </w:rPr>
        <w:t> </w:t>
      </w:r>
      <w:r>
        <w:rPr>
          <w:color w:val="231F20"/>
          <w:w w:val="105"/>
        </w:rPr>
        <w:t>los</w:t>
      </w:r>
      <w:r>
        <w:rPr>
          <w:color w:val="231F20"/>
          <w:spacing w:val="-5"/>
          <w:w w:val="105"/>
        </w:rPr>
        <w:t> </w:t>
      </w:r>
      <w:r>
        <w:rPr>
          <w:color w:val="231F20"/>
          <w:w w:val="105"/>
        </w:rPr>
        <w:t>modos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migración,</w:t>
      </w:r>
      <w:r>
        <w:rPr>
          <w:color w:val="231F20"/>
          <w:spacing w:val="-12"/>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del</w:t>
      </w:r>
      <w:r>
        <w:rPr>
          <w:color w:val="231F20"/>
          <w:spacing w:val="-5"/>
          <w:w w:val="105"/>
        </w:rPr>
        <w:t> </w:t>
      </w:r>
      <w:r>
        <w:rPr>
          <w:color w:val="231F20"/>
          <w:w w:val="105"/>
        </w:rPr>
        <w:t>trabajo</w:t>
      </w:r>
      <w:r>
        <w:rPr>
          <w:color w:val="231F20"/>
          <w:spacing w:val="-5"/>
          <w:w w:val="105"/>
        </w:rPr>
        <w:t> </w:t>
      </w:r>
      <w:r>
        <w:rPr>
          <w:color w:val="231F20"/>
          <w:w w:val="105"/>
        </w:rPr>
        <w:t>y de</w:t>
      </w:r>
      <w:r>
        <w:rPr>
          <w:color w:val="231F20"/>
          <w:spacing w:val="-22"/>
          <w:w w:val="105"/>
        </w:rPr>
        <w:t> </w:t>
      </w:r>
      <w:r>
        <w:rPr>
          <w:color w:val="231F20"/>
          <w:w w:val="105"/>
        </w:rPr>
        <w:t>la</w:t>
      </w:r>
      <w:r>
        <w:rPr>
          <w:color w:val="231F20"/>
          <w:spacing w:val="-22"/>
          <w:w w:val="105"/>
        </w:rPr>
        <w:t> </w:t>
      </w:r>
      <w:r>
        <w:rPr>
          <w:color w:val="231F20"/>
          <w:w w:val="105"/>
        </w:rPr>
        <w:t>vida</w:t>
      </w:r>
      <w:r>
        <w:rPr>
          <w:color w:val="231F20"/>
          <w:spacing w:val="-22"/>
          <w:w w:val="105"/>
        </w:rPr>
        <w:t> </w:t>
      </w:r>
      <w:r>
        <w:rPr>
          <w:color w:val="231F20"/>
          <w:w w:val="105"/>
        </w:rPr>
        <w:t>en</w:t>
      </w:r>
      <w:r>
        <w:rPr>
          <w:color w:val="231F20"/>
          <w:spacing w:val="-22"/>
          <w:w w:val="105"/>
        </w:rPr>
        <w:t> </w:t>
      </w:r>
      <w:r>
        <w:rPr>
          <w:color w:val="231F20"/>
          <w:w w:val="105"/>
        </w:rPr>
        <w:t>Estados</w:t>
      </w:r>
      <w:r>
        <w:rPr>
          <w:color w:val="231F20"/>
          <w:spacing w:val="-22"/>
          <w:w w:val="105"/>
        </w:rPr>
        <w:t> </w:t>
      </w:r>
      <w:r>
        <w:rPr>
          <w:color w:val="231F20"/>
          <w:w w:val="105"/>
        </w:rPr>
        <w:t>Unidos.</w:t>
      </w:r>
      <w:r>
        <w:rPr>
          <w:color w:val="231F20"/>
          <w:spacing w:val="-28"/>
          <w:w w:val="105"/>
        </w:rPr>
        <w:t> </w:t>
      </w:r>
      <w:r>
        <w:rPr>
          <w:color w:val="231F20"/>
          <w:spacing w:val="-5"/>
          <w:w w:val="105"/>
        </w:rPr>
        <w:t>Pero,</w:t>
      </w:r>
      <w:r>
        <w:rPr>
          <w:color w:val="231F20"/>
          <w:spacing w:val="-28"/>
          <w:w w:val="105"/>
        </w:rPr>
        <w:t> </w:t>
      </w:r>
      <w:r>
        <w:rPr>
          <w:color w:val="231F20"/>
          <w:w w:val="105"/>
        </w:rPr>
        <w:t>también</w:t>
      </w:r>
      <w:r>
        <w:rPr>
          <w:color w:val="231F20"/>
          <w:spacing w:val="-22"/>
          <w:w w:val="105"/>
        </w:rPr>
        <w:t> </w:t>
      </w:r>
      <w:r>
        <w:rPr>
          <w:color w:val="231F20"/>
          <w:w w:val="105"/>
        </w:rPr>
        <w:t>saben</w:t>
      </w:r>
      <w:r>
        <w:rPr>
          <w:color w:val="231F20"/>
          <w:spacing w:val="-22"/>
          <w:w w:val="105"/>
        </w:rPr>
        <w:t> </w:t>
      </w:r>
      <w:r>
        <w:rPr>
          <w:color w:val="231F20"/>
          <w:w w:val="105"/>
        </w:rPr>
        <w:t>que</w:t>
      </w:r>
      <w:r>
        <w:rPr>
          <w:color w:val="231F20"/>
          <w:spacing w:val="-22"/>
          <w:w w:val="105"/>
        </w:rPr>
        <w:t> </w:t>
      </w:r>
      <w:r>
        <w:rPr>
          <w:color w:val="231F20"/>
          <w:w w:val="105"/>
        </w:rPr>
        <w:t>siguen</w:t>
      </w:r>
      <w:r>
        <w:rPr>
          <w:color w:val="231F20"/>
          <w:spacing w:val="-22"/>
          <w:w w:val="105"/>
        </w:rPr>
        <w:t> </w:t>
      </w:r>
      <w:r>
        <w:rPr>
          <w:color w:val="231F20"/>
          <w:w w:val="105"/>
        </w:rPr>
        <w:t>entre</w:t>
      </w:r>
      <w:r>
        <w:rPr>
          <w:color w:val="231F20"/>
          <w:spacing w:val="-22"/>
          <w:w w:val="105"/>
        </w:rPr>
        <w:t> </w:t>
      </w:r>
      <w:r>
        <w:rPr>
          <w:color w:val="231F20"/>
          <w:w w:val="105"/>
        </w:rPr>
        <w:t>ellos la</w:t>
      </w:r>
      <w:r>
        <w:rPr>
          <w:color w:val="231F20"/>
          <w:spacing w:val="-27"/>
          <w:w w:val="105"/>
        </w:rPr>
        <w:t> </w:t>
      </w:r>
      <w:r>
        <w:rPr>
          <w:color w:val="231F20"/>
          <w:w w:val="105"/>
        </w:rPr>
        <w:t>necesidad,</w:t>
      </w:r>
      <w:r>
        <w:rPr>
          <w:color w:val="231F20"/>
          <w:spacing w:val="-31"/>
          <w:w w:val="105"/>
        </w:rPr>
        <w:t> </w:t>
      </w:r>
      <w:r>
        <w:rPr>
          <w:color w:val="231F20"/>
          <w:w w:val="105"/>
        </w:rPr>
        <w:t>el</w:t>
      </w:r>
      <w:r>
        <w:rPr>
          <w:color w:val="231F20"/>
          <w:spacing w:val="-27"/>
          <w:w w:val="105"/>
        </w:rPr>
        <w:t> </w:t>
      </w:r>
      <w:r>
        <w:rPr>
          <w:color w:val="231F20"/>
          <w:w w:val="105"/>
        </w:rPr>
        <w:t>miedo,</w:t>
      </w:r>
      <w:r>
        <w:rPr>
          <w:color w:val="231F20"/>
          <w:spacing w:val="-31"/>
          <w:w w:val="105"/>
        </w:rPr>
        <w:t> </w:t>
      </w:r>
      <w:r>
        <w:rPr>
          <w:color w:val="231F20"/>
          <w:w w:val="105"/>
        </w:rPr>
        <w:t>los</w:t>
      </w:r>
      <w:r>
        <w:rPr>
          <w:color w:val="231F20"/>
          <w:spacing w:val="-27"/>
          <w:w w:val="105"/>
        </w:rPr>
        <w:t> </w:t>
      </w:r>
      <w:r>
        <w:rPr>
          <w:color w:val="231F20"/>
          <w:w w:val="105"/>
        </w:rPr>
        <w:t>dilemas,</w:t>
      </w:r>
      <w:r>
        <w:rPr>
          <w:color w:val="231F20"/>
          <w:spacing w:val="-31"/>
          <w:w w:val="105"/>
        </w:rPr>
        <w:t> </w:t>
      </w:r>
      <w:r>
        <w:rPr>
          <w:color w:val="231F20"/>
          <w:w w:val="105"/>
        </w:rPr>
        <w:t>los</w:t>
      </w:r>
      <w:r>
        <w:rPr>
          <w:color w:val="231F20"/>
          <w:spacing w:val="-27"/>
          <w:w w:val="105"/>
        </w:rPr>
        <w:t> </w:t>
      </w:r>
      <w:r>
        <w:rPr>
          <w:color w:val="231F20"/>
          <w:w w:val="105"/>
        </w:rPr>
        <w:t>anhelos,</w:t>
      </w:r>
      <w:r>
        <w:rPr>
          <w:color w:val="231F20"/>
          <w:spacing w:val="-31"/>
          <w:w w:val="105"/>
        </w:rPr>
        <w:t> </w:t>
      </w:r>
      <w:r>
        <w:rPr>
          <w:color w:val="231F20"/>
          <w:w w:val="105"/>
        </w:rPr>
        <w:t>los</w:t>
      </w:r>
      <w:r>
        <w:rPr>
          <w:color w:val="231F20"/>
          <w:spacing w:val="-27"/>
          <w:w w:val="105"/>
        </w:rPr>
        <w:t> </w:t>
      </w:r>
      <w:r>
        <w:rPr>
          <w:color w:val="231F20"/>
          <w:w w:val="105"/>
        </w:rPr>
        <w:t>casos</w:t>
      </w:r>
      <w:r>
        <w:rPr>
          <w:color w:val="231F20"/>
          <w:spacing w:val="-27"/>
          <w:w w:val="105"/>
        </w:rPr>
        <w:t> </w:t>
      </w:r>
      <w:r>
        <w:rPr>
          <w:color w:val="231F20"/>
          <w:w w:val="105"/>
        </w:rPr>
        <w:t>ejemplares,</w:t>
      </w:r>
      <w:r>
        <w:rPr>
          <w:color w:val="231F20"/>
          <w:spacing w:val="-31"/>
          <w:w w:val="105"/>
        </w:rPr>
        <w:t> </w:t>
      </w:r>
      <w:r>
        <w:rPr>
          <w:color w:val="231F20"/>
          <w:w w:val="105"/>
        </w:rPr>
        <w:t>los alientos</w:t>
      </w:r>
      <w:r>
        <w:rPr>
          <w:color w:val="231F20"/>
          <w:spacing w:val="-13"/>
          <w:w w:val="105"/>
        </w:rPr>
        <w:t> </w:t>
      </w:r>
      <w:r>
        <w:rPr>
          <w:color w:val="231F20"/>
          <w:w w:val="105"/>
        </w:rPr>
        <w:t>y</w:t>
      </w:r>
      <w:r>
        <w:rPr>
          <w:color w:val="231F20"/>
          <w:spacing w:val="-13"/>
          <w:w w:val="105"/>
        </w:rPr>
        <w:t> </w:t>
      </w:r>
      <w:r>
        <w:rPr>
          <w:color w:val="231F20"/>
          <w:w w:val="105"/>
        </w:rPr>
        <w:t>las</w:t>
      </w:r>
      <w:r>
        <w:rPr>
          <w:color w:val="231F20"/>
          <w:spacing w:val="-13"/>
          <w:w w:val="105"/>
        </w:rPr>
        <w:t> </w:t>
      </w:r>
      <w:r>
        <w:rPr>
          <w:color w:val="231F20"/>
          <w:w w:val="105"/>
        </w:rPr>
        <w:t>oportunidades</w:t>
      </w:r>
      <w:r>
        <w:rPr>
          <w:color w:val="231F20"/>
          <w:spacing w:val="-13"/>
          <w:w w:val="105"/>
        </w:rPr>
        <w:t> </w:t>
      </w:r>
      <w:r>
        <w:rPr>
          <w:color w:val="231F20"/>
          <w:w w:val="105"/>
        </w:rPr>
        <w:t>que</w:t>
      </w:r>
      <w:r>
        <w:rPr>
          <w:color w:val="231F20"/>
          <w:spacing w:val="-13"/>
          <w:w w:val="105"/>
        </w:rPr>
        <w:t> </w:t>
      </w:r>
      <w:r>
        <w:rPr>
          <w:color w:val="231F20"/>
          <w:w w:val="105"/>
        </w:rPr>
        <w:t>alimentan</w:t>
      </w:r>
      <w:r>
        <w:rPr>
          <w:color w:val="231F20"/>
          <w:spacing w:val="-13"/>
          <w:w w:val="105"/>
        </w:rPr>
        <w:t> </w:t>
      </w:r>
      <w:r>
        <w:rPr>
          <w:color w:val="231F20"/>
          <w:w w:val="105"/>
        </w:rPr>
        <w:t>la</w:t>
      </w:r>
      <w:r>
        <w:rPr>
          <w:color w:val="231F20"/>
          <w:spacing w:val="-13"/>
          <w:w w:val="105"/>
        </w:rPr>
        <w:t> </w:t>
      </w:r>
      <w:r>
        <w:rPr>
          <w:color w:val="231F20"/>
          <w:w w:val="105"/>
        </w:rPr>
        <w:t>migración.</w:t>
      </w:r>
    </w:p>
    <w:p>
      <w:pPr>
        <w:pStyle w:val="BodyText"/>
        <w:spacing w:line="261" w:lineRule="auto" w:before="1"/>
        <w:ind w:left="1723" w:right="1830" w:firstLine="567"/>
        <w:jc w:val="right"/>
      </w:pPr>
      <w:r>
        <w:rPr>
          <w:color w:val="231F20"/>
          <w:spacing w:val="-2"/>
          <w:w w:val="105"/>
        </w:rPr>
        <w:t>Con </w:t>
      </w:r>
      <w:r>
        <w:rPr>
          <w:color w:val="231F20"/>
          <w:w w:val="105"/>
        </w:rPr>
        <w:t>cientos de historias vividas, miles si se </w:t>
      </w:r>
      <w:r>
        <w:rPr>
          <w:color w:val="231F20"/>
          <w:spacing w:val="-2"/>
          <w:w w:val="105"/>
        </w:rPr>
        <w:t>consideran </w:t>
      </w:r>
      <w:r>
        <w:rPr>
          <w:color w:val="231F20"/>
          <w:w w:val="105"/>
        </w:rPr>
        <w:t>a</w:t>
      </w:r>
      <w:r>
        <w:rPr>
          <w:color w:val="231F20"/>
          <w:spacing w:val="-40"/>
          <w:w w:val="105"/>
        </w:rPr>
        <w:t> </w:t>
      </w:r>
      <w:r>
        <w:rPr>
          <w:color w:val="231F20"/>
          <w:w w:val="105"/>
        </w:rPr>
        <w:t>los</w:t>
      </w:r>
      <w:r>
        <w:rPr>
          <w:color w:val="231F20"/>
          <w:spacing w:val="-4"/>
          <w:w w:val="105"/>
        </w:rPr>
        <w:t> </w:t>
      </w:r>
      <w:r>
        <w:rPr>
          <w:color w:val="231F20"/>
          <w:w w:val="105"/>
        </w:rPr>
        <w:t>des-</w:t>
      </w:r>
      <w:r>
        <w:rPr>
          <w:color w:val="231F20"/>
          <w:w w:val="96"/>
        </w:rPr>
        <w:t> </w:t>
      </w:r>
      <w:r>
        <w:rPr>
          <w:color w:val="231F20"/>
          <w:w w:val="105"/>
        </w:rPr>
        <w:t>cendientes</w:t>
      </w:r>
      <w:r>
        <w:rPr>
          <w:color w:val="231F20"/>
          <w:spacing w:val="-16"/>
          <w:w w:val="105"/>
        </w:rPr>
        <w:t> </w:t>
      </w:r>
      <w:r>
        <w:rPr>
          <w:color w:val="231F20"/>
          <w:w w:val="105"/>
        </w:rPr>
        <w:t>nacidos</w:t>
      </w:r>
      <w:r>
        <w:rPr>
          <w:color w:val="231F20"/>
          <w:spacing w:val="-16"/>
          <w:w w:val="105"/>
        </w:rPr>
        <w:t> </w:t>
      </w:r>
      <w:r>
        <w:rPr>
          <w:color w:val="231F20"/>
          <w:w w:val="105"/>
        </w:rPr>
        <w:t>en</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21"/>
          <w:w w:val="105"/>
        </w:rPr>
        <w:t> </w:t>
      </w:r>
      <w:r>
        <w:rPr>
          <w:color w:val="231F20"/>
          <w:w w:val="105"/>
        </w:rPr>
        <w:t>en</w:t>
      </w:r>
      <w:r>
        <w:rPr>
          <w:color w:val="231F20"/>
          <w:spacing w:val="-20"/>
          <w:w w:val="105"/>
        </w:rPr>
        <w:t> </w:t>
      </w:r>
      <w:r>
        <w:rPr>
          <w:color w:val="231F20"/>
          <w:spacing w:val="-5"/>
          <w:w w:val="105"/>
        </w:rPr>
        <w:t>Tonatico</w:t>
      </w:r>
      <w:r>
        <w:rPr>
          <w:color w:val="231F20"/>
          <w:spacing w:val="-16"/>
          <w:w w:val="105"/>
        </w:rPr>
        <w:t> </w:t>
      </w:r>
      <w:r>
        <w:rPr>
          <w:color w:val="231F20"/>
          <w:w w:val="105"/>
        </w:rPr>
        <w:t>emigrar</w:t>
      </w:r>
      <w:r>
        <w:rPr>
          <w:color w:val="231F20"/>
          <w:spacing w:val="-16"/>
          <w:w w:val="105"/>
        </w:rPr>
        <w:t> </w:t>
      </w:r>
      <w:r>
        <w:rPr>
          <w:color w:val="231F20"/>
          <w:w w:val="105"/>
        </w:rPr>
        <w:t>no</w:t>
      </w:r>
      <w:r>
        <w:rPr>
          <w:color w:val="231F20"/>
          <w:spacing w:val="-16"/>
          <w:w w:val="105"/>
        </w:rPr>
        <w:t> </w:t>
      </w:r>
      <w:r>
        <w:rPr>
          <w:color w:val="231F20"/>
          <w:w w:val="105"/>
        </w:rPr>
        <w:t>es</w:t>
      </w:r>
      <w:r>
        <w:rPr>
          <w:color w:val="231F20"/>
          <w:spacing w:val="-16"/>
          <w:w w:val="105"/>
        </w:rPr>
        <w:t> </w:t>
      </w:r>
      <w:r>
        <w:rPr>
          <w:color w:val="231F20"/>
          <w:w w:val="105"/>
        </w:rPr>
        <w:t>nove-</w:t>
      </w:r>
      <w:r>
        <w:rPr>
          <w:color w:val="231F20"/>
          <w:w w:val="96"/>
        </w:rPr>
        <w:t> </w:t>
      </w:r>
      <w:r>
        <w:rPr>
          <w:color w:val="231F20"/>
          <w:w w:val="105"/>
        </w:rPr>
        <w:t>dad,</w:t>
      </w:r>
      <w:r>
        <w:rPr>
          <w:color w:val="231F20"/>
          <w:spacing w:val="-28"/>
          <w:w w:val="105"/>
        </w:rPr>
        <w:t> </w:t>
      </w:r>
      <w:r>
        <w:rPr>
          <w:color w:val="231F20"/>
          <w:w w:val="105"/>
        </w:rPr>
        <w:t>por</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cuando</w:t>
      </w:r>
      <w:r>
        <w:rPr>
          <w:color w:val="231F20"/>
          <w:spacing w:val="-24"/>
          <w:w w:val="105"/>
        </w:rPr>
        <w:t> </w:t>
      </w:r>
      <w:r>
        <w:rPr>
          <w:color w:val="231F20"/>
          <w:w w:val="105"/>
        </w:rPr>
        <w:t>alguien</w:t>
      </w:r>
      <w:r>
        <w:rPr>
          <w:color w:val="231F20"/>
          <w:spacing w:val="-24"/>
          <w:w w:val="105"/>
        </w:rPr>
        <w:t> </w:t>
      </w:r>
      <w:r>
        <w:rPr>
          <w:color w:val="231F20"/>
          <w:w w:val="105"/>
        </w:rPr>
        <w:t>encamina</w:t>
      </w:r>
      <w:r>
        <w:rPr>
          <w:color w:val="231F20"/>
          <w:spacing w:val="-24"/>
          <w:w w:val="105"/>
        </w:rPr>
        <w:t> </w:t>
      </w:r>
      <w:r>
        <w:rPr>
          <w:color w:val="231F20"/>
          <w:w w:val="105"/>
        </w:rPr>
        <w:t>sus</w:t>
      </w:r>
      <w:r>
        <w:rPr>
          <w:color w:val="231F20"/>
          <w:spacing w:val="-24"/>
          <w:w w:val="105"/>
        </w:rPr>
        <w:t> </w:t>
      </w:r>
      <w:r>
        <w:rPr>
          <w:color w:val="231F20"/>
          <w:w w:val="105"/>
        </w:rPr>
        <w:t>pasos</w:t>
      </w:r>
      <w:r>
        <w:rPr>
          <w:color w:val="231F20"/>
          <w:spacing w:val="-24"/>
          <w:w w:val="105"/>
        </w:rPr>
        <w:t> </w:t>
      </w:r>
      <w:r>
        <w:rPr>
          <w:color w:val="231F20"/>
          <w:w w:val="105"/>
        </w:rPr>
        <w:t>al</w:t>
      </w:r>
      <w:r>
        <w:rPr>
          <w:color w:val="231F20"/>
          <w:spacing w:val="-24"/>
          <w:w w:val="105"/>
        </w:rPr>
        <w:t> </w:t>
      </w:r>
      <w:r>
        <w:rPr>
          <w:color w:val="231F20"/>
          <w:spacing w:val="-2"/>
          <w:w w:val="105"/>
        </w:rPr>
        <w:t>norte,</w:t>
      </w:r>
      <w:r>
        <w:rPr>
          <w:color w:val="231F20"/>
          <w:spacing w:val="-28"/>
          <w:w w:val="105"/>
        </w:rPr>
        <w:t> </w:t>
      </w:r>
      <w:r>
        <w:rPr>
          <w:color w:val="231F20"/>
          <w:w w:val="105"/>
        </w:rPr>
        <w:t>o</w:t>
      </w:r>
      <w:r>
        <w:rPr>
          <w:color w:val="231F20"/>
          <w:spacing w:val="-24"/>
          <w:w w:val="105"/>
        </w:rPr>
        <w:t> </w:t>
      </w:r>
      <w:r>
        <w:rPr>
          <w:color w:val="231F20"/>
          <w:w w:val="105"/>
        </w:rPr>
        <w:t>al</w:t>
      </w:r>
      <w:r>
        <w:rPr>
          <w:color w:val="231F20"/>
          <w:spacing w:val="-24"/>
          <w:w w:val="105"/>
        </w:rPr>
        <w:t> </w:t>
      </w:r>
      <w:r>
        <w:rPr>
          <w:color w:val="231F20"/>
          <w:w w:val="105"/>
        </w:rPr>
        <w:t>sur</w:t>
      </w:r>
      <w:r>
        <w:rPr>
          <w:color w:val="231F20"/>
          <w:spacing w:val="-24"/>
          <w:w w:val="105"/>
        </w:rPr>
        <w:t> </w:t>
      </w:r>
      <w:r>
        <w:rPr>
          <w:color w:val="231F20"/>
          <w:w w:val="105"/>
        </w:rPr>
        <w:t>para</w:t>
      </w:r>
      <w:r>
        <w:rPr>
          <w:color w:val="231F20"/>
          <w:w w:val="96"/>
        </w:rPr>
        <w:t> </w:t>
      </w:r>
      <w:r>
        <w:rPr>
          <w:color w:val="231F20"/>
          <w:w w:val="105"/>
        </w:rPr>
        <w:t>cumplir</w:t>
      </w:r>
      <w:r>
        <w:rPr>
          <w:color w:val="231F20"/>
          <w:spacing w:val="-23"/>
          <w:w w:val="105"/>
        </w:rPr>
        <w:t> </w:t>
      </w:r>
      <w:r>
        <w:rPr>
          <w:color w:val="231F20"/>
          <w:w w:val="105"/>
        </w:rPr>
        <w:t>el</w:t>
      </w:r>
      <w:r>
        <w:rPr>
          <w:color w:val="231F20"/>
          <w:spacing w:val="-23"/>
          <w:w w:val="105"/>
        </w:rPr>
        <w:t> </w:t>
      </w:r>
      <w:r>
        <w:rPr>
          <w:color w:val="231F20"/>
          <w:w w:val="105"/>
        </w:rPr>
        <w:t>sueño</w:t>
      </w:r>
      <w:r>
        <w:rPr>
          <w:color w:val="231F20"/>
          <w:spacing w:val="-23"/>
          <w:w w:val="105"/>
        </w:rPr>
        <w:t> </w:t>
      </w:r>
      <w:r>
        <w:rPr>
          <w:color w:val="231F20"/>
          <w:w w:val="105"/>
        </w:rPr>
        <w:t>del</w:t>
      </w:r>
      <w:r>
        <w:rPr>
          <w:color w:val="231F20"/>
          <w:spacing w:val="-23"/>
          <w:w w:val="105"/>
        </w:rPr>
        <w:t> </w:t>
      </w:r>
      <w:r>
        <w:rPr>
          <w:color w:val="231F20"/>
          <w:spacing w:val="-3"/>
          <w:w w:val="105"/>
        </w:rPr>
        <w:t>retorno,</w:t>
      </w:r>
      <w:r>
        <w:rPr>
          <w:color w:val="231F20"/>
          <w:spacing w:val="-28"/>
          <w:w w:val="105"/>
        </w:rPr>
        <w:t> </w:t>
      </w:r>
      <w:r>
        <w:rPr>
          <w:color w:val="231F20"/>
          <w:w w:val="105"/>
        </w:rPr>
        <w:t>no</w:t>
      </w:r>
      <w:r>
        <w:rPr>
          <w:color w:val="231F20"/>
          <w:spacing w:val="-23"/>
          <w:w w:val="105"/>
        </w:rPr>
        <w:t> </w:t>
      </w:r>
      <w:r>
        <w:rPr>
          <w:color w:val="231F20"/>
          <w:w w:val="105"/>
        </w:rPr>
        <w:t>lo</w:t>
      </w:r>
      <w:r>
        <w:rPr>
          <w:color w:val="231F20"/>
          <w:spacing w:val="-23"/>
          <w:w w:val="105"/>
        </w:rPr>
        <w:t> </w:t>
      </w:r>
      <w:r>
        <w:rPr>
          <w:color w:val="231F20"/>
          <w:w w:val="105"/>
        </w:rPr>
        <w:t>hace</w:t>
      </w:r>
      <w:r>
        <w:rPr>
          <w:color w:val="231F20"/>
          <w:spacing w:val="-23"/>
          <w:w w:val="105"/>
        </w:rPr>
        <w:t> </w:t>
      </w:r>
      <w:r>
        <w:rPr>
          <w:color w:val="231F20"/>
          <w:spacing w:val="-3"/>
          <w:w w:val="105"/>
        </w:rPr>
        <w:t>sobre</w:t>
      </w:r>
      <w:r>
        <w:rPr>
          <w:color w:val="231F20"/>
          <w:spacing w:val="-23"/>
          <w:w w:val="105"/>
        </w:rPr>
        <w:t> </w:t>
      </w:r>
      <w:r>
        <w:rPr>
          <w:color w:val="231F20"/>
          <w:spacing w:val="-3"/>
          <w:w w:val="105"/>
        </w:rPr>
        <w:t>registros</w:t>
      </w:r>
      <w:r>
        <w:rPr>
          <w:color w:val="231F20"/>
          <w:spacing w:val="-23"/>
          <w:w w:val="105"/>
        </w:rPr>
        <w:t> </w:t>
      </w:r>
      <w:r>
        <w:rPr>
          <w:color w:val="231F20"/>
          <w:w w:val="105"/>
        </w:rPr>
        <w:t>ciegos.</w:t>
      </w:r>
      <w:r>
        <w:rPr>
          <w:color w:val="231F20"/>
          <w:spacing w:val="-28"/>
          <w:w w:val="105"/>
        </w:rPr>
        <w:t> </w:t>
      </w:r>
      <w:r>
        <w:rPr>
          <w:color w:val="231F20"/>
          <w:w w:val="105"/>
        </w:rPr>
        <w:t>En</w:t>
      </w:r>
      <w:r>
        <w:rPr>
          <w:color w:val="231F20"/>
          <w:spacing w:val="-23"/>
          <w:w w:val="105"/>
        </w:rPr>
        <w:t> </w:t>
      </w:r>
      <w:r>
        <w:rPr>
          <w:rFonts w:ascii="Arial" w:hAnsi="Arial"/>
          <w:i/>
          <w:color w:val="231F20"/>
          <w:w w:val="105"/>
        </w:rPr>
        <w:t>la</w:t>
      </w:r>
      <w:r>
        <w:rPr>
          <w:rFonts w:ascii="Arial" w:hAnsi="Arial"/>
          <w:i/>
          <w:color w:val="231F20"/>
          <w:spacing w:val="-25"/>
          <w:w w:val="105"/>
        </w:rPr>
        <w:t> </w:t>
      </w:r>
      <w:r>
        <w:rPr>
          <w:rFonts w:ascii="Arial" w:hAnsi="Arial"/>
          <w:i/>
          <w:color w:val="231F20"/>
          <w:spacing w:val="-2"/>
          <w:w w:val="105"/>
        </w:rPr>
        <w:t>tierra</w:t>
      </w:r>
      <w:r>
        <w:rPr>
          <w:rFonts w:ascii="Arial" w:hAnsi="Arial"/>
          <w:i/>
          <w:color w:val="231F20"/>
          <w:w w:val="96"/>
        </w:rPr>
        <w:t> </w:t>
      </w:r>
      <w:r>
        <w:rPr>
          <w:rFonts w:ascii="Arial" w:hAnsi="Arial"/>
          <w:i/>
          <w:color w:val="231F20"/>
          <w:w w:val="105"/>
        </w:rPr>
        <w:t>donde nace el sol </w:t>
      </w:r>
      <w:r>
        <w:rPr>
          <w:color w:val="231F20"/>
          <w:w w:val="105"/>
        </w:rPr>
        <w:t>los </w:t>
      </w:r>
      <w:r>
        <w:rPr>
          <w:color w:val="231F20"/>
          <w:spacing w:val="-3"/>
          <w:w w:val="105"/>
        </w:rPr>
        <w:t>proyectos migratorios </w:t>
      </w:r>
      <w:r>
        <w:rPr>
          <w:color w:val="231F20"/>
          <w:w w:val="105"/>
        </w:rPr>
        <w:t>no se</w:t>
      </w:r>
      <w:r>
        <w:rPr>
          <w:color w:val="231F20"/>
          <w:spacing w:val="-40"/>
          <w:w w:val="105"/>
        </w:rPr>
        <w:t> </w:t>
      </w:r>
      <w:r>
        <w:rPr>
          <w:color w:val="231F20"/>
          <w:spacing w:val="-2"/>
          <w:w w:val="105"/>
        </w:rPr>
        <w:t>trazan </w:t>
      </w:r>
      <w:r>
        <w:rPr>
          <w:color w:val="231F20"/>
          <w:spacing w:val="-3"/>
          <w:w w:val="105"/>
        </w:rPr>
        <w:t>sobre </w:t>
      </w:r>
      <w:r>
        <w:rPr>
          <w:color w:val="231F20"/>
          <w:w w:val="105"/>
        </w:rPr>
        <w:t>hojas</w:t>
      </w:r>
      <w:r>
        <w:rPr>
          <w:color w:val="231F20"/>
          <w:spacing w:val="-4"/>
          <w:w w:val="105"/>
        </w:rPr>
        <w:t> </w:t>
      </w:r>
      <w:r>
        <w:rPr>
          <w:color w:val="231F20"/>
          <w:w w:val="105"/>
        </w:rPr>
        <w:t>en</w:t>
      </w:r>
      <w:r>
        <w:rPr>
          <w:color w:val="231F20"/>
          <w:spacing w:val="-2"/>
          <w:w w:val="103"/>
        </w:rPr>
        <w:t> </w:t>
      </w:r>
      <w:r>
        <w:rPr>
          <w:color w:val="231F20"/>
          <w:w w:val="105"/>
        </w:rPr>
        <w:t>blanco,</w:t>
      </w:r>
      <w:r>
        <w:rPr>
          <w:color w:val="231F20"/>
          <w:spacing w:val="-23"/>
          <w:w w:val="105"/>
        </w:rPr>
        <w:t> </w:t>
      </w:r>
      <w:r>
        <w:rPr>
          <w:color w:val="231F20"/>
          <w:w w:val="105"/>
        </w:rPr>
        <w:t>éstos</w:t>
      </w:r>
      <w:r>
        <w:rPr>
          <w:color w:val="231F20"/>
          <w:spacing w:val="-19"/>
          <w:w w:val="105"/>
        </w:rPr>
        <w:t> </w:t>
      </w:r>
      <w:r>
        <w:rPr>
          <w:color w:val="231F20"/>
          <w:w w:val="105"/>
        </w:rPr>
        <w:t>siguen</w:t>
      </w:r>
      <w:r>
        <w:rPr>
          <w:color w:val="231F20"/>
          <w:spacing w:val="-19"/>
          <w:w w:val="105"/>
        </w:rPr>
        <w:t> </w:t>
      </w:r>
      <w:r>
        <w:rPr>
          <w:color w:val="231F20"/>
          <w:w w:val="105"/>
        </w:rPr>
        <w:t>visualizándose</w:t>
      </w:r>
      <w:r>
        <w:rPr>
          <w:color w:val="231F20"/>
          <w:spacing w:val="-19"/>
          <w:w w:val="105"/>
        </w:rPr>
        <w:t> </w:t>
      </w:r>
      <w:r>
        <w:rPr>
          <w:color w:val="231F20"/>
          <w:w w:val="105"/>
        </w:rPr>
        <w:t>todos</w:t>
      </w:r>
      <w:r>
        <w:rPr>
          <w:color w:val="231F20"/>
          <w:spacing w:val="-19"/>
          <w:w w:val="105"/>
        </w:rPr>
        <w:t> </w:t>
      </w:r>
      <w:r>
        <w:rPr>
          <w:color w:val="231F20"/>
          <w:w w:val="105"/>
        </w:rPr>
        <w:t>los</w:t>
      </w:r>
      <w:r>
        <w:rPr>
          <w:color w:val="231F20"/>
          <w:spacing w:val="-19"/>
          <w:w w:val="105"/>
        </w:rPr>
        <w:t> </w:t>
      </w:r>
      <w:r>
        <w:rPr>
          <w:color w:val="231F20"/>
          <w:w w:val="105"/>
        </w:rPr>
        <w:t>días.</w:t>
      </w:r>
      <w:r>
        <w:rPr>
          <w:color w:val="231F20"/>
          <w:spacing w:val="-26"/>
          <w:w w:val="105"/>
        </w:rPr>
        <w:t> </w:t>
      </w:r>
      <w:r>
        <w:rPr>
          <w:color w:val="231F20"/>
          <w:w w:val="105"/>
        </w:rPr>
        <w:t>Y</w:t>
      </w:r>
      <w:r>
        <w:rPr>
          <w:color w:val="231F20"/>
          <w:spacing w:val="-22"/>
          <w:w w:val="105"/>
        </w:rPr>
        <w:t> </w:t>
      </w:r>
      <w:r>
        <w:rPr>
          <w:color w:val="231F20"/>
          <w:w w:val="105"/>
        </w:rPr>
        <w:t>es</w:t>
      </w:r>
      <w:r>
        <w:rPr>
          <w:color w:val="231F20"/>
          <w:spacing w:val="-19"/>
          <w:w w:val="105"/>
        </w:rPr>
        <w:t> </w:t>
      </w:r>
      <w:r>
        <w:rPr>
          <w:color w:val="231F20"/>
          <w:w w:val="105"/>
        </w:rPr>
        <w:t>que</w:t>
      </w:r>
      <w:r>
        <w:rPr>
          <w:color w:val="231F20"/>
          <w:spacing w:val="-19"/>
          <w:w w:val="105"/>
        </w:rPr>
        <w:t> </w:t>
      </w:r>
      <w:r>
        <w:rPr>
          <w:color w:val="231F20"/>
          <w:w w:val="105"/>
        </w:rPr>
        <w:t>todavía</w:t>
      </w:r>
      <w:r>
        <w:rPr>
          <w:color w:val="231F20"/>
          <w:spacing w:val="-19"/>
          <w:w w:val="105"/>
        </w:rPr>
        <w:t> </w:t>
      </w:r>
      <w:r>
        <w:rPr>
          <w:color w:val="231F20"/>
          <w:spacing w:val="-2"/>
          <w:w w:val="105"/>
        </w:rPr>
        <w:t>hay</w:t>
      </w:r>
      <w:r>
        <w:rPr>
          <w:color w:val="231F20"/>
          <w:spacing w:val="-2"/>
          <w:w w:val="99"/>
        </w:rPr>
        <w:t> </w:t>
      </w:r>
      <w:r>
        <w:rPr>
          <w:color w:val="231F20"/>
          <w:w w:val="105"/>
        </w:rPr>
        <w:t>motivos</w:t>
      </w:r>
      <w:r>
        <w:rPr>
          <w:color w:val="231F20"/>
          <w:spacing w:val="-41"/>
          <w:w w:val="105"/>
        </w:rPr>
        <w:t> </w:t>
      </w:r>
      <w:r>
        <w:rPr>
          <w:color w:val="231F20"/>
          <w:w w:val="105"/>
        </w:rPr>
        <w:t>para</w:t>
      </w:r>
      <w:r>
        <w:rPr>
          <w:color w:val="231F20"/>
          <w:spacing w:val="-41"/>
          <w:w w:val="105"/>
        </w:rPr>
        <w:t> </w:t>
      </w:r>
      <w:r>
        <w:rPr>
          <w:color w:val="231F20"/>
          <w:spacing w:val="-4"/>
          <w:w w:val="105"/>
        </w:rPr>
        <w:t>emigrar.</w:t>
      </w:r>
      <w:r>
        <w:rPr>
          <w:color w:val="231F20"/>
          <w:spacing w:val="-44"/>
          <w:w w:val="105"/>
        </w:rPr>
        <w:t> </w:t>
      </w:r>
      <w:r>
        <w:rPr>
          <w:color w:val="231F20"/>
          <w:w w:val="105"/>
        </w:rPr>
        <w:t>Las</w:t>
      </w:r>
      <w:r>
        <w:rPr>
          <w:color w:val="231F20"/>
          <w:spacing w:val="-41"/>
          <w:w w:val="105"/>
        </w:rPr>
        <w:t> </w:t>
      </w:r>
      <w:r>
        <w:rPr>
          <w:color w:val="231F20"/>
          <w:w w:val="105"/>
        </w:rPr>
        <w:t>razones</w:t>
      </w:r>
      <w:r>
        <w:rPr>
          <w:color w:val="231F20"/>
          <w:spacing w:val="-41"/>
          <w:w w:val="105"/>
        </w:rPr>
        <w:t> </w:t>
      </w:r>
      <w:r>
        <w:rPr>
          <w:color w:val="231F20"/>
          <w:w w:val="105"/>
        </w:rPr>
        <w:t>económicas</w:t>
      </w:r>
      <w:r>
        <w:rPr>
          <w:color w:val="231F20"/>
          <w:spacing w:val="-41"/>
          <w:w w:val="105"/>
        </w:rPr>
        <w:t> </w:t>
      </w:r>
      <w:r>
        <w:rPr>
          <w:color w:val="231F20"/>
          <w:w w:val="105"/>
        </w:rPr>
        <w:t>para</w:t>
      </w:r>
      <w:r>
        <w:rPr>
          <w:color w:val="231F20"/>
          <w:spacing w:val="-41"/>
          <w:w w:val="105"/>
        </w:rPr>
        <w:t> </w:t>
      </w:r>
      <w:r>
        <w:rPr>
          <w:color w:val="231F20"/>
          <w:w w:val="105"/>
        </w:rPr>
        <w:t>hacerlo</w:t>
      </w:r>
      <w:r>
        <w:rPr>
          <w:color w:val="231F20"/>
          <w:spacing w:val="-41"/>
          <w:w w:val="105"/>
        </w:rPr>
        <w:t> </w:t>
      </w:r>
      <w:r>
        <w:rPr>
          <w:color w:val="231F20"/>
          <w:w w:val="105"/>
        </w:rPr>
        <w:t>están</w:t>
      </w:r>
      <w:r>
        <w:rPr>
          <w:color w:val="231F20"/>
          <w:spacing w:val="-41"/>
          <w:w w:val="105"/>
        </w:rPr>
        <w:t> </w:t>
      </w:r>
      <w:r>
        <w:rPr>
          <w:color w:val="231F20"/>
          <w:w w:val="105"/>
        </w:rPr>
        <w:t>tan</w:t>
      </w:r>
      <w:r>
        <w:rPr>
          <w:color w:val="231F20"/>
          <w:spacing w:val="-41"/>
          <w:w w:val="105"/>
        </w:rPr>
        <w:t> </w:t>
      </w:r>
      <w:r>
        <w:rPr>
          <w:color w:val="231F20"/>
          <w:spacing w:val="-3"/>
          <w:w w:val="105"/>
        </w:rPr>
        <w:t>pre-</w:t>
      </w:r>
      <w:r>
        <w:rPr>
          <w:color w:val="231F20"/>
          <w:w w:val="96"/>
        </w:rPr>
        <w:t> </w:t>
      </w:r>
      <w:r>
        <w:rPr>
          <w:color w:val="231F20"/>
          <w:w w:val="105"/>
        </w:rPr>
        <w:t>sentes</w:t>
      </w:r>
      <w:r>
        <w:rPr>
          <w:color w:val="231F20"/>
          <w:spacing w:val="-34"/>
          <w:w w:val="105"/>
        </w:rPr>
        <w:t> </w:t>
      </w:r>
      <w:r>
        <w:rPr>
          <w:color w:val="231F20"/>
          <w:w w:val="105"/>
        </w:rPr>
        <w:t>como</w:t>
      </w:r>
      <w:r>
        <w:rPr>
          <w:color w:val="231F20"/>
          <w:spacing w:val="-34"/>
          <w:w w:val="105"/>
        </w:rPr>
        <w:t> </w:t>
      </w:r>
      <w:r>
        <w:rPr>
          <w:color w:val="231F20"/>
          <w:w w:val="105"/>
        </w:rPr>
        <w:t>hace</w:t>
      </w:r>
      <w:r>
        <w:rPr>
          <w:color w:val="231F20"/>
          <w:spacing w:val="-34"/>
          <w:w w:val="105"/>
        </w:rPr>
        <w:t> </w:t>
      </w:r>
      <w:r>
        <w:rPr>
          <w:color w:val="231F20"/>
          <w:w w:val="105"/>
        </w:rPr>
        <w:t>siete</w:t>
      </w:r>
      <w:r>
        <w:rPr>
          <w:color w:val="231F20"/>
          <w:spacing w:val="-34"/>
          <w:w w:val="105"/>
        </w:rPr>
        <w:t> </w:t>
      </w:r>
      <w:r>
        <w:rPr>
          <w:color w:val="231F20"/>
          <w:w w:val="105"/>
        </w:rPr>
        <w:t>décadas,</w:t>
      </w:r>
      <w:r>
        <w:rPr>
          <w:color w:val="231F20"/>
          <w:spacing w:val="-37"/>
          <w:w w:val="105"/>
        </w:rPr>
        <w:t> </w:t>
      </w:r>
      <w:r>
        <w:rPr>
          <w:color w:val="231F20"/>
          <w:w w:val="105"/>
        </w:rPr>
        <w:t>lo</w:t>
      </w:r>
      <w:r>
        <w:rPr>
          <w:color w:val="231F20"/>
          <w:spacing w:val="-34"/>
          <w:w w:val="105"/>
        </w:rPr>
        <w:t> </w:t>
      </w:r>
      <w:r>
        <w:rPr>
          <w:color w:val="231F20"/>
          <w:w w:val="105"/>
        </w:rPr>
        <w:t>mismo</w:t>
      </w:r>
      <w:r>
        <w:rPr>
          <w:color w:val="231F20"/>
          <w:spacing w:val="-34"/>
          <w:w w:val="105"/>
        </w:rPr>
        <w:t> </w:t>
      </w:r>
      <w:r>
        <w:rPr>
          <w:color w:val="231F20"/>
          <w:w w:val="105"/>
        </w:rPr>
        <w:t>que</w:t>
      </w:r>
      <w:r>
        <w:rPr>
          <w:color w:val="231F20"/>
          <w:spacing w:val="-34"/>
          <w:w w:val="105"/>
        </w:rPr>
        <w:t> </w:t>
      </w:r>
      <w:r>
        <w:rPr>
          <w:color w:val="231F20"/>
          <w:w w:val="105"/>
        </w:rPr>
        <w:t>las</w:t>
      </w:r>
      <w:r>
        <w:rPr>
          <w:color w:val="231F20"/>
          <w:spacing w:val="-34"/>
          <w:w w:val="105"/>
        </w:rPr>
        <w:t> </w:t>
      </w:r>
      <w:r>
        <w:rPr>
          <w:color w:val="231F20"/>
          <w:w w:val="105"/>
        </w:rPr>
        <w:t>violencias</w:t>
      </w:r>
      <w:r>
        <w:rPr>
          <w:color w:val="231F20"/>
          <w:spacing w:val="-34"/>
          <w:w w:val="105"/>
        </w:rPr>
        <w:t> </w:t>
      </w:r>
      <w:r>
        <w:rPr>
          <w:color w:val="231F20"/>
          <w:w w:val="105"/>
        </w:rPr>
        <w:t>asociadas</w:t>
      </w:r>
      <w:r>
        <w:rPr>
          <w:color w:val="231F20"/>
          <w:spacing w:val="-34"/>
          <w:w w:val="105"/>
        </w:rPr>
        <w:t> </w:t>
      </w:r>
      <w:r>
        <w:rPr>
          <w:color w:val="231F20"/>
          <w:w w:val="105"/>
        </w:rPr>
        <w:t>a</w:t>
      </w:r>
      <w:r>
        <w:rPr>
          <w:color w:val="231F20"/>
          <w:w w:val="96"/>
        </w:rPr>
        <w:t> </w:t>
      </w:r>
      <w:r>
        <w:rPr>
          <w:color w:val="231F20"/>
          <w:w w:val="105"/>
        </w:rPr>
        <w:t>la</w:t>
      </w:r>
      <w:r>
        <w:rPr>
          <w:color w:val="231F20"/>
          <w:spacing w:val="-12"/>
          <w:w w:val="105"/>
        </w:rPr>
        <w:t> </w:t>
      </w:r>
      <w:r>
        <w:rPr>
          <w:color w:val="231F20"/>
          <w:spacing w:val="-3"/>
          <w:w w:val="105"/>
        </w:rPr>
        <w:t>pobreza</w:t>
      </w:r>
      <w:r>
        <w:rPr>
          <w:color w:val="231F20"/>
          <w:spacing w:val="-12"/>
          <w:w w:val="105"/>
        </w:rPr>
        <w:t> </w:t>
      </w:r>
      <w:r>
        <w:rPr>
          <w:color w:val="231F20"/>
          <w:w w:val="105"/>
        </w:rPr>
        <w:t>imperturbable,</w:t>
      </w:r>
      <w:r>
        <w:rPr>
          <w:color w:val="231F20"/>
          <w:spacing w:val="-17"/>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desigualdades</w:t>
      </w:r>
      <w:r>
        <w:rPr>
          <w:color w:val="231F20"/>
          <w:spacing w:val="-12"/>
          <w:w w:val="105"/>
        </w:rPr>
        <w:t> </w:t>
      </w:r>
      <w:r>
        <w:rPr>
          <w:color w:val="231F20"/>
          <w:w w:val="105"/>
        </w:rPr>
        <w:t>invulnerables,</w:t>
      </w:r>
      <w:r>
        <w:rPr>
          <w:color w:val="231F20"/>
          <w:spacing w:val="-17"/>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ciuda-</w:t>
      </w:r>
      <w:r>
        <w:rPr>
          <w:color w:val="231F20"/>
          <w:w w:val="96"/>
        </w:rPr>
        <w:t> </w:t>
      </w:r>
      <w:r>
        <w:rPr>
          <w:color w:val="231F20"/>
          <w:w w:val="105"/>
        </w:rPr>
        <w:t>danía</w:t>
      </w:r>
      <w:r>
        <w:rPr>
          <w:color w:val="231F20"/>
          <w:spacing w:val="-30"/>
          <w:w w:val="105"/>
        </w:rPr>
        <w:t> </w:t>
      </w:r>
      <w:r>
        <w:rPr>
          <w:color w:val="231F20"/>
          <w:w w:val="105"/>
        </w:rPr>
        <w:t>escatimada,</w:t>
      </w:r>
      <w:r>
        <w:rPr>
          <w:color w:val="231F20"/>
          <w:spacing w:val="-34"/>
          <w:w w:val="105"/>
        </w:rPr>
        <w:t> </w:t>
      </w:r>
      <w:r>
        <w:rPr>
          <w:color w:val="231F20"/>
          <w:w w:val="105"/>
        </w:rPr>
        <w:t>y</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spacing w:val="-3"/>
          <w:w w:val="105"/>
        </w:rPr>
        <w:t>incertidumbre</w:t>
      </w:r>
      <w:r>
        <w:rPr>
          <w:color w:val="231F20"/>
          <w:spacing w:val="-30"/>
          <w:w w:val="105"/>
        </w:rPr>
        <w:t> </w:t>
      </w:r>
      <w:r>
        <w:rPr>
          <w:color w:val="231F20"/>
          <w:w w:val="105"/>
        </w:rPr>
        <w:t>que</w:t>
      </w:r>
      <w:r>
        <w:rPr>
          <w:color w:val="231F20"/>
          <w:spacing w:val="-30"/>
          <w:w w:val="105"/>
        </w:rPr>
        <w:t> </w:t>
      </w:r>
      <w:r>
        <w:rPr>
          <w:color w:val="231F20"/>
          <w:w w:val="105"/>
        </w:rPr>
        <w:t>se</w:t>
      </w:r>
      <w:r>
        <w:rPr>
          <w:color w:val="231F20"/>
          <w:spacing w:val="-30"/>
          <w:w w:val="105"/>
        </w:rPr>
        <w:t> </w:t>
      </w:r>
      <w:r>
        <w:rPr>
          <w:color w:val="231F20"/>
          <w:w w:val="105"/>
        </w:rPr>
        <w:t>convierte</w:t>
      </w:r>
      <w:r>
        <w:rPr>
          <w:color w:val="231F20"/>
          <w:spacing w:val="-30"/>
          <w:w w:val="105"/>
        </w:rPr>
        <w:t> </w:t>
      </w:r>
      <w:r>
        <w:rPr>
          <w:color w:val="231F20"/>
          <w:w w:val="105"/>
        </w:rPr>
        <w:t>en</w:t>
      </w:r>
      <w:r>
        <w:rPr>
          <w:color w:val="231F20"/>
          <w:spacing w:val="-30"/>
          <w:w w:val="105"/>
        </w:rPr>
        <w:t> </w:t>
      </w:r>
      <w:r>
        <w:rPr>
          <w:color w:val="231F20"/>
          <w:spacing w:val="-3"/>
          <w:w w:val="105"/>
        </w:rPr>
        <w:t>desesperanza.</w:t>
      </w:r>
      <w:r>
        <w:rPr>
          <w:color w:val="231F20"/>
          <w:spacing w:val="-2"/>
          <w:w w:val="96"/>
        </w:rPr>
        <w:t> </w:t>
      </w:r>
      <w:r>
        <w:rPr>
          <w:color w:val="231F20"/>
          <w:w w:val="105"/>
        </w:rPr>
        <w:t>Los</w:t>
      </w:r>
      <w:r>
        <w:rPr>
          <w:color w:val="231F20"/>
          <w:spacing w:val="-27"/>
          <w:w w:val="105"/>
        </w:rPr>
        <w:t> </w:t>
      </w:r>
      <w:r>
        <w:rPr>
          <w:color w:val="231F20"/>
          <w:w w:val="105"/>
        </w:rPr>
        <w:t>habitantes</w:t>
      </w:r>
      <w:r>
        <w:rPr>
          <w:color w:val="231F20"/>
          <w:spacing w:val="-27"/>
          <w:w w:val="105"/>
        </w:rPr>
        <w:t> </w:t>
      </w:r>
      <w:r>
        <w:rPr>
          <w:color w:val="231F20"/>
          <w:w w:val="105"/>
        </w:rPr>
        <w:t>de</w:t>
      </w:r>
      <w:r>
        <w:rPr>
          <w:color w:val="231F20"/>
          <w:spacing w:val="-30"/>
          <w:w w:val="105"/>
        </w:rPr>
        <w:t> </w:t>
      </w:r>
      <w:r>
        <w:rPr>
          <w:color w:val="231F20"/>
          <w:spacing w:val="-3"/>
          <w:w w:val="105"/>
        </w:rPr>
        <w:t>Tonatico</w:t>
      </w:r>
      <w:r>
        <w:rPr>
          <w:color w:val="231F20"/>
          <w:spacing w:val="-27"/>
          <w:w w:val="105"/>
        </w:rPr>
        <w:t> </w:t>
      </w:r>
      <w:r>
        <w:rPr>
          <w:color w:val="231F20"/>
          <w:w w:val="105"/>
        </w:rPr>
        <w:t>y</w:t>
      </w:r>
      <w:r>
        <w:rPr>
          <w:color w:val="231F20"/>
          <w:spacing w:val="-27"/>
          <w:w w:val="105"/>
        </w:rPr>
        <w:t> </w:t>
      </w:r>
      <w:r>
        <w:rPr>
          <w:color w:val="231F20"/>
          <w:w w:val="105"/>
        </w:rPr>
        <w:t>los</w:t>
      </w:r>
      <w:r>
        <w:rPr>
          <w:color w:val="231F20"/>
          <w:spacing w:val="-27"/>
          <w:w w:val="105"/>
        </w:rPr>
        <w:t> </w:t>
      </w:r>
      <w:r>
        <w:rPr>
          <w:color w:val="231F20"/>
          <w:w w:val="105"/>
        </w:rPr>
        <w:t>tonatiqueneses</w:t>
      </w:r>
      <w:r>
        <w:rPr>
          <w:color w:val="231F20"/>
          <w:spacing w:val="-27"/>
          <w:w w:val="105"/>
        </w:rPr>
        <w:t> </w:t>
      </w:r>
      <w:r>
        <w:rPr>
          <w:color w:val="231F20"/>
          <w:w w:val="105"/>
        </w:rPr>
        <w:t>radicados</w:t>
      </w:r>
      <w:r>
        <w:rPr>
          <w:color w:val="231F20"/>
          <w:spacing w:val="-27"/>
          <w:w w:val="105"/>
        </w:rPr>
        <w:t> </w:t>
      </w:r>
      <w:r>
        <w:rPr>
          <w:color w:val="231F20"/>
          <w:w w:val="105"/>
        </w:rPr>
        <w:t>en</w:t>
      </w:r>
      <w:r>
        <w:rPr>
          <w:color w:val="231F20"/>
          <w:spacing w:val="-27"/>
          <w:w w:val="105"/>
        </w:rPr>
        <w:t> </w:t>
      </w:r>
      <w:r>
        <w:rPr>
          <w:color w:val="231F20"/>
          <w:w w:val="105"/>
        </w:rPr>
        <w:t>Esta-</w:t>
      </w:r>
    </w:p>
    <w:p>
      <w:pPr>
        <w:pStyle w:val="BodyText"/>
        <w:spacing w:line="261" w:lineRule="auto" w:before="1"/>
        <w:ind w:left="1723" w:right="1828"/>
        <w:jc w:val="both"/>
      </w:pPr>
      <w:r>
        <w:rPr>
          <w:color w:val="231F20"/>
          <w:w w:val="105"/>
        </w:rPr>
        <w:t>dos</w:t>
      </w:r>
      <w:r>
        <w:rPr>
          <w:color w:val="231F20"/>
          <w:spacing w:val="-20"/>
          <w:w w:val="105"/>
        </w:rPr>
        <w:t> </w:t>
      </w:r>
      <w:r>
        <w:rPr>
          <w:color w:val="231F20"/>
          <w:w w:val="105"/>
        </w:rPr>
        <w:t>Unidos</w:t>
      </w:r>
      <w:r>
        <w:rPr>
          <w:color w:val="231F20"/>
          <w:spacing w:val="-20"/>
          <w:w w:val="105"/>
        </w:rPr>
        <w:t> </w:t>
      </w:r>
      <w:r>
        <w:rPr>
          <w:color w:val="231F20"/>
          <w:w w:val="105"/>
        </w:rPr>
        <w:t>saben</w:t>
      </w:r>
      <w:r>
        <w:rPr>
          <w:color w:val="231F20"/>
          <w:spacing w:val="-20"/>
          <w:w w:val="105"/>
        </w:rPr>
        <w:t> </w:t>
      </w:r>
      <w:r>
        <w:rPr>
          <w:color w:val="231F20"/>
          <w:w w:val="105"/>
        </w:rPr>
        <w:t>que</w:t>
      </w:r>
      <w:r>
        <w:rPr>
          <w:color w:val="231F20"/>
          <w:spacing w:val="-20"/>
          <w:w w:val="105"/>
        </w:rPr>
        <w:t> </w:t>
      </w:r>
      <w:r>
        <w:rPr>
          <w:color w:val="231F20"/>
          <w:w w:val="105"/>
        </w:rPr>
        <w:t>con</w:t>
      </w:r>
      <w:r>
        <w:rPr>
          <w:color w:val="231F20"/>
          <w:spacing w:val="-20"/>
          <w:w w:val="105"/>
        </w:rPr>
        <w:t> </w:t>
      </w:r>
      <w:r>
        <w:rPr>
          <w:color w:val="231F20"/>
          <w:w w:val="105"/>
        </w:rPr>
        <w:t>la</w:t>
      </w:r>
      <w:r>
        <w:rPr>
          <w:color w:val="231F20"/>
          <w:spacing w:val="-20"/>
          <w:w w:val="105"/>
        </w:rPr>
        <w:t> </w:t>
      </w:r>
      <w:r>
        <w:rPr>
          <w:color w:val="231F20"/>
          <w:w w:val="105"/>
        </w:rPr>
        <w:t>violencia</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inseguridad</w:t>
      </w:r>
      <w:r>
        <w:rPr>
          <w:color w:val="231F20"/>
          <w:spacing w:val="-20"/>
          <w:w w:val="105"/>
        </w:rPr>
        <w:t> </w:t>
      </w:r>
      <w:r>
        <w:rPr>
          <w:color w:val="231F20"/>
          <w:w w:val="105"/>
        </w:rPr>
        <w:t>al</w:t>
      </w:r>
      <w:r>
        <w:rPr>
          <w:color w:val="231F20"/>
          <w:spacing w:val="-20"/>
          <w:w w:val="105"/>
        </w:rPr>
        <w:t> </w:t>
      </w:r>
      <w:r>
        <w:rPr>
          <w:color w:val="231F20"/>
          <w:w w:val="105"/>
        </w:rPr>
        <w:t>alza</w:t>
      </w:r>
      <w:r>
        <w:rPr>
          <w:color w:val="231F20"/>
          <w:spacing w:val="-20"/>
          <w:w w:val="105"/>
        </w:rPr>
        <w:t> </w:t>
      </w:r>
      <w:r>
        <w:rPr>
          <w:color w:val="231F20"/>
          <w:w w:val="105"/>
        </w:rPr>
        <w:t>en</w:t>
      </w:r>
      <w:r>
        <w:rPr>
          <w:color w:val="231F20"/>
          <w:spacing w:val="-20"/>
          <w:w w:val="105"/>
        </w:rPr>
        <w:t> </w:t>
      </w:r>
      <w:r>
        <w:rPr>
          <w:color w:val="231F20"/>
          <w:w w:val="105"/>
        </w:rPr>
        <w:t>México, y</w:t>
      </w:r>
      <w:r>
        <w:rPr>
          <w:color w:val="231F20"/>
          <w:spacing w:val="-36"/>
          <w:w w:val="105"/>
        </w:rPr>
        <w:t> </w:t>
      </w:r>
      <w:r>
        <w:rPr>
          <w:color w:val="231F20"/>
          <w:w w:val="105"/>
        </w:rPr>
        <w:t>con</w:t>
      </w:r>
      <w:r>
        <w:rPr>
          <w:color w:val="231F20"/>
          <w:spacing w:val="-36"/>
          <w:w w:val="105"/>
        </w:rPr>
        <w:t> </w:t>
      </w:r>
      <w:r>
        <w:rPr>
          <w:color w:val="231F20"/>
          <w:w w:val="105"/>
        </w:rPr>
        <w:t>las</w:t>
      </w:r>
      <w:r>
        <w:rPr>
          <w:color w:val="231F20"/>
          <w:spacing w:val="-36"/>
          <w:w w:val="105"/>
        </w:rPr>
        <w:t> </w:t>
      </w:r>
      <w:r>
        <w:rPr>
          <w:color w:val="231F20"/>
          <w:w w:val="105"/>
        </w:rPr>
        <w:t>medidas</w:t>
      </w:r>
      <w:r>
        <w:rPr>
          <w:color w:val="231F20"/>
          <w:spacing w:val="-36"/>
          <w:w w:val="105"/>
        </w:rPr>
        <w:t> </w:t>
      </w:r>
      <w:r>
        <w:rPr>
          <w:color w:val="231F20"/>
          <w:w w:val="105"/>
        </w:rPr>
        <w:t>antiinmigratorias</w:t>
      </w:r>
      <w:r>
        <w:rPr>
          <w:color w:val="231F20"/>
          <w:spacing w:val="-36"/>
          <w:w w:val="105"/>
        </w:rPr>
        <w:t> </w:t>
      </w:r>
      <w:r>
        <w:rPr>
          <w:color w:val="231F20"/>
          <w:w w:val="105"/>
        </w:rPr>
        <w:t>cada</w:t>
      </w:r>
      <w:r>
        <w:rPr>
          <w:color w:val="231F20"/>
          <w:spacing w:val="-36"/>
          <w:w w:val="105"/>
        </w:rPr>
        <w:t> </w:t>
      </w:r>
      <w:r>
        <w:rPr>
          <w:color w:val="231F20"/>
          <w:w w:val="105"/>
        </w:rPr>
        <w:t>vez</w:t>
      </w:r>
      <w:r>
        <w:rPr>
          <w:color w:val="231F20"/>
          <w:spacing w:val="-36"/>
          <w:w w:val="105"/>
        </w:rPr>
        <w:t> </w:t>
      </w:r>
      <w:r>
        <w:rPr>
          <w:color w:val="231F20"/>
          <w:w w:val="105"/>
        </w:rPr>
        <w:t>más</w:t>
      </w:r>
      <w:r>
        <w:rPr>
          <w:color w:val="231F20"/>
          <w:spacing w:val="-36"/>
          <w:w w:val="105"/>
        </w:rPr>
        <w:t> </w:t>
      </w:r>
      <w:r>
        <w:rPr>
          <w:color w:val="231F20"/>
          <w:w w:val="105"/>
        </w:rPr>
        <w:t>severas</w:t>
      </w:r>
      <w:r>
        <w:rPr>
          <w:color w:val="231F20"/>
          <w:spacing w:val="-36"/>
          <w:w w:val="105"/>
        </w:rPr>
        <w:t> </w:t>
      </w:r>
      <w:r>
        <w:rPr>
          <w:color w:val="231F20"/>
          <w:w w:val="105"/>
        </w:rPr>
        <w:t>en</w:t>
      </w:r>
      <w:r>
        <w:rPr>
          <w:color w:val="231F20"/>
          <w:spacing w:val="-36"/>
          <w:w w:val="105"/>
        </w:rPr>
        <w:t> </w:t>
      </w:r>
      <w:r>
        <w:rPr>
          <w:color w:val="231F20"/>
          <w:w w:val="105"/>
        </w:rPr>
        <w:t>Estados</w:t>
      </w:r>
      <w:r>
        <w:rPr>
          <w:color w:val="231F20"/>
          <w:spacing w:val="-36"/>
          <w:w w:val="105"/>
        </w:rPr>
        <w:t> </w:t>
      </w:r>
      <w:r>
        <w:rPr>
          <w:color w:val="231F20"/>
          <w:w w:val="105"/>
        </w:rPr>
        <w:t>Uni- dos,</w:t>
      </w:r>
      <w:r>
        <w:rPr>
          <w:color w:val="231F20"/>
          <w:spacing w:val="-22"/>
          <w:w w:val="105"/>
        </w:rPr>
        <w:t> </w:t>
      </w:r>
      <w:r>
        <w:rPr>
          <w:color w:val="231F20"/>
          <w:w w:val="105"/>
        </w:rPr>
        <w:t>la</w:t>
      </w:r>
      <w:r>
        <w:rPr>
          <w:color w:val="231F20"/>
          <w:spacing w:val="-17"/>
          <w:w w:val="105"/>
        </w:rPr>
        <w:t> </w:t>
      </w:r>
      <w:r>
        <w:rPr>
          <w:color w:val="231F20"/>
          <w:w w:val="105"/>
        </w:rPr>
        <w:t>época</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migraciones</w:t>
      </w:r>
      <w:r>
        <w:rPr>
          <w:color w:val="231F20"/>
          <w:spacing w:val="-17"/>
          <w:w w:val="105"/>
        </w:rPr>
        <w:t> </w:t>
      </w:r>
      <w:r>
        <w:rPr>
          <w:color w:val="231F20"/>
          <w:w w:val="105"/>
        </w:rPr>
        <w:t>con</w:t>
      </w:r>
      <w:r>
        <w:rPr>
          <w:color w:val="231F20"/>
          <w:spacing w:val="-17"/>
          <w:w w:val="105"/>
        </w:rPr>
        <w:t> </w:t>
      </w:r>
      <w:r>
        <w:rPr>
          <w:color w:val="231F20"/>
          <w:w w:val="105"/>
        </w:rPr>
        <w:t>fecha</w:t>
      </w:r>
      <w:r>
        <w:rPr>
          <w:color w:val="231F20"/>
          <w:spacing w:val="-17"/>
          <w:w w:val="105"/>
        </w:rPr>
        <w:t> </w:t>
      </w:r>
      <w:r>
        <w:rPr>
          <w:color w:val="231F20"/>
          <w:w w:val="105"/>
        </w:rPr>
        <w:t>de</w:t>
      </w:r>
      <w:r>
        <w:rPr>
          <w:color w:val="231F20"/>
          <w:spacing w:val="-17"/>
          <w:w w:val="105"/>
        </w:rPr>
        <w:t> </w:t>
      </w:r>
      <w:r>
        <w:rPr>
          <w:color w:val="231F20"/>
          <w:w w:val="105"/>
        </w:rPr>
        <w:t>caducidad</w:t>
      </w:r>
      <w:r>
        <w:rPr>
          <w:color w:val="231F20"/>
          <w:spacing w:val="-17"/>
          <w:w w:val="105"/>
        </w:rPr>
        <w:t> </w:t>
      </w:r>
      <w:r>
        <w:rPr>
          <w:color w:val="231F20"/>
          <w:w w:val="105"/>
        </w:rPr>
        <w:t>ha</w:t>
      </w:r>
      <w:r>
        <w:rPr>
          <w:color w:val="231F20"/>
          <w:spacing w:val="-17"/>
          <w:w w:val="105"/>
        </w:rPr>
        <w:t> </w:t>
      </w:r>
      <w:r>
        <w:rPr>
          <w:color w:val="231F20"/>
          <w:w w:val="105"/>
        </w:rPr>
        <w:t>quedado</w:t>
      </w:r>
      <w:r>
        <w:rPr>
          <w:color w:val="231F20"/>
          <w:spacing w:val="-17"/>
          <w:w w:val="105"/>
        </w:rPr>
        <w:t> </w:t>
      </w:r>
      <w:r>
        <w:rPr>
          <w:color w:val="231F20"/>
          <w:w w:val="105"/>
        </w:rPr>
        <w:t>le- jos;</w:t>
      </w:r>
      <w:r>
        <w:rPr>
          <w:color w:val="231F20"/>
          <w:spacing w:val="-11"/>
          <w:w w:val="105"/>
        </w:rPr>
        <w:t> </w:t>
      </w:r>
      <w:r>
        <w:rPr>
          <w:color w:val="231F20"/>
          <w:w w:val="105"/>
        </w:rPr>
        <w:t>por</w:t>
      </w:r>
      <w:r>
        <w:rPr>
          <w:color w:val="231F20"/>
          <w:spacing w:val="-11"/>
          <w:w w:val="105"/>
        </w:rPr>
        <w:t> </w:t>
      </w:r>
      <w:r>
        <w:rPr>
          <w:color w:val="231F20"/>
          <w:w w:val="105"/>
        </w:rPr>
        <w:t>ello,</w:t>
      </w:r>
      <w:r>
        <w:rPr>
          <w:color w:val="231F20"/>
          <w:spacing w:val="-17"/>
          <w:w w:val="105"/>
        </w:rPr>
        <w:t> </w:t>
      </w:r>
      <w:r>
        <w:rPr>
          <w:color w:val="231F20"/>
          <w:w w:val="105"/>
        </w:rPr>
        <w:t>los</w:t>
      </w:r>
      <w:r>
        <w:rPr>
          <w:color w:val="231F20"/>
          <w:spacing w:val="-11"/>
          <w:w w:val="105"/>
        </w:rPr>
        <w:t> </w:t>
      </w:r>
      <w:r>
        <w:rPr>
          <w:color w:val="231F20"/>
          <w:w w:val="105"/>
        </w:rPr>
        <w:t>vínculos</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terruño</w:t>
      </w:r>
      <w:r>
        <w:rPr>
          <w:color w:val="231F20"/>
          <w:spacing w:val="-11"/>
          <w:w w:val="105"/>
        </w:rPr>
        <w:t> </w:t>
      </w:r>
      <w:r>
        <w:rPr>
          <w:color w:val="231F20"/>
          <w:w w:val="105"/>
        </w:rPr>
        <w:t>se</w:t>
      </w:r>
      <w:r>
        <w:rPr>
          <w:color w:val="231F20"/>
          <w:spacing w:val="-11"/>
          <w:w w:val="105"/>
        </w:rPr>
        <w:t> </w:t>
      </w:r>
      <w:r>
        <w:rPr>
          <w:color w:val="231F20"/>
          <w:w w:val="105"/>
        </w:rPr>
        <w:t>han</w:t>
      </w:r>
      <w:r>
        <w:rPr>
          <w:color w:val="231F20"/>
          <w:spacing w:val="-11"/>
          <w:w w:val="105"/>
        </w:rPr>
        <w:t> </w:t>
      </w:r>
      <w:r>
        <w:rPr>
          <w:color w:val="231F20"/>
          <w:w w:val="105"/>
        </w:rPr>
        <w:t>modificado,</w:t>
      </w:r>
      <w:r>
        <w:rPr>
          <w:color w:val="231F20"/>
          <w:spacing w:val="-17"/>
          <w:w w:val="105"/>
        </w:rPr>
        <w:t> </w:t>
      </w:r>
      <w:r>
        <w:rPr>
          <w:color w:val="231F20"/>
          <w:w w:val="105"/>
        </w:rPr>
        <w:t>lo</w:t>
      </w:r>
      <w:r>
        <w:rPr>
          <w:color w:val="231F20"/>
          <w:spacing w:val="-11"/>
          <w:w w:val="105"/>
        </w:rPr>
        <w:t> </w:t>
      </w:r>
      <w:r>
        <w:rPr>
          <w:color w:val="231F20"/>
          <w:w w:val="105"/>
        </w:rPr>
        <w:t>mismo</w:t>
      </w:r>
      <w:r>
        <w:rPr>
          <w:color w:val="231F20"/>
          <w:spacing w:val="-11"/>
          <w:w w:val="105"/>
        </w:rPr>
        <w:t> </w:t>
      </w:r>
      <w:r>
        <w:rPr>
          <w:color w:val="231F20"/>
          <w:w w:val="105"/>
        </w:rPr>
        <w:t>que por el nacimiento de descendientes de tonatiquenses en Estados Uni- dos. </w:t>
      </w:r>
      <w:r>
        <w:rPr>
          <w:color w:val="231F20"/>
          <w:spacing w:val="-6"/>
          <w:w w:val="105"/>
        </w:rPr>
        <w:t>Por </w:t>
      </w:r>
      <w:r>
        <w:rPr>
          <w:color w:val="231F20"/>
          <w:w w:val="105"/>
        </w:rPr>
        <w:t>lo que las “raíces” se han estremecido, dividido o comienzan</w:t>
      </w:r>
      <w:r>
        <w:rPr>
          <w:color w:val="231F20"/>
          <w:spacing w:val="-19"/>
          <w:w w:val="105"/>
        </w:rPr>
        <w:t> </w:t>
      </w:r>
      <w:r>
        <w:rPr>
          <w:color w:val="231F20"/>
          <w:w w:val="105"/>
        </w:rPr>
        <w:t>a mudarse</w:t>
      </w:r>
      <w:r>
        <w:rPr>
          <w:color w:val="231F20"/>
          <w:spacing w:val="-25"/>
          <w:w w:val="105"/>
        </w:rPr>
        <w:t> </w:t>
      </w:r>
      <w:r>
        <w:rPr>
          <w:color w:val="231F20"/>
          <w:w w:val="105"/>
        </w:rPr>
        <w:t>al</w:t>
      </w:r>
      <w:r>
        <w:rPr>
          <w:color w:val="231F20"/>
          <w:spacing w:val="-25"/>
          <w:w w:val="105"/>
        </w:rPr>
        <w:t> </w:t>
      </w:r>
      <w:r>
        <w:rPr>
          <w:rFonts w:ascii="Arial" w:hAnsi="Arial"/>
          <w:i/>
          <w:color w:val="231F20"/>
          <w:w w:val="105"/>
        </w:rPr>
        <w:t>otro</w:t>
      </w:r>
      <w:r>
        <w:rPr>
          <w:rFonts w:ascii="Arial" w:hAnsi="Arial"/>
          <w:i/>
          <w:color w:val="231F20"/>
          <w:spacing w:val="-27"/>
          <w:w w:val="105"/>
        </w:rPr>
        <w:t> </w:t>
      </w:r>
      <w:r>
        <w:rPr>
          <w:rFonts w:ascii="Arial" w:hAnsi="Arial"/>
          <w:i/>
          <w:color w:val="231F20"/>
          <w:w w:val="105"/>
        </w:rPr>
        <w:t>lado</w:t>
      </w:r>
      <w:r>
        <w:rPr>
          <w:color w:val="231F20"/>
          <w:w w:val="105"/>
        </w:rPr>
        <w:t>.</w:t>
      </w:r>
      <w:r>
        <w:rPr>
          <w:color w:val="231F20"/>
          <w:spacing w:val="-30"/>
          <w:w w:val="105"/>
        </w:rPr>
        <w:t> </w:t>
      </w:r>
      <w:r>
        <w:rPr>
          <w:color w:val="231F20"/>
          <w:w w:val="105"/>
        </w:rPr>
        <w:t>Hoy</w:t>
      </w:r>
      <w:r>
        <w:rPr>
          <w:color w:val="231F20"/>
          <w:spacing w:val="-25"/>
          <w:w w:val="105"/>
        </w:rPr>
        <w:t> </w:t>
      </w:r>
      <w:r>
        <w:rPr>
          <w:color w:val="231F20"/>
          <w:w w:val="105"/>
        </w:rPr>
        <w:t>la</w:t>
      </w:r>
      <w:r>
        <w:rPr>
          <w:color w:val="231F20"/>
          <w:spacing w:val="-25"/>
          <w:w w:val="105"/>
        </w:rPr>
        <w:t> </w:t>
      </w:r>
      <w:r>
        <w:rPr>
          <w:color w:val="231F20"/>
          <w:w w:val="105"/>
        </w:rPr>
        <w:t>historia</w:t>
      </w:r>
      <w:r>
        <w:rPr>
          <w:color w:val="231F20"/>
          <w:spacing w:val="-25"/>
          <w:w w:val="105"/>
        </w:rPr>
        <w:t> </w:t>
      </w:r>
      <w:r>
        <w:rPr>
          <w:color w:val="231F20"/>
          <w:w w:val="105"/>
        </w:rPr>
        <w:t>de</w:t>
      </w:r>
      <w:r>
        <w:rPr>
          <w:color w:val="231F20"/>
          <w:spacing w:val="-29"/>
          <w:w w:val="105"/>
        </w:rPr>
        <w:t> </w:t>
      </w:r>
      <w:r>
        <w:rPr>
          <w:color w:val="231F20"/>
          <w:spacing w:val="-3"/>
          <w:w w:val="105"/>
        </w:rPr>
        <w:t>Tonatico</w:t>
      </w:r>
      <w:r>
        <w:rPr>
          <w:color w:val="231F20"/>
          <w:spacing w:val="-25"/>
          <w:w w:val="105"/>
        </w:rPr>
        <w:t> </w:t>
      </w:r>
      <w:r>
        <w:rPr>
          <w:color w:val="231F20"/>
          <w:w w:val="105"/>
        </w:rPr>
        <w:t>se</w:t>
      </w:r>
      <w:r>
        <w:rPr>
          <w:color w:val="231F20"/>
          <w:spacing w:val="-25"/>
          <w:w w:val="105"/>
        </w:rPr>
        <w:t> </w:t>
      </w:r>
      <w:r>
        <w:rPr>
          <w:color w:val="231F20"/>
          <w:w w:val="105"/>
        </w:rPr>
        <w:t>escribe</w:t>
      </w:r>
      <w:r>
        <w:rPr>
          <w:color w:val="231F20"/>
          <w:spacing w:val="-25"/>
          <w:w w:val="105"/>
        </w:rPr>
        <w:t> </w:t>
      </w:r>
      <w:r>
        <w:rPr>
          <w:color w:val="231F20"/>
          <w:w w:val="105"/>
        </w:rPr>
        <w:t>en</w:t>
      </w:r>
      <w:r>
        <w:rPr>
          <w:color w:val="231F20"/>
          <w:spacing w:val="-25"/>
          <w:w w:val="105"/>
        </w:rPr>
        <w:t> </w:t>
      </w:r>
      <w:r>
        <w:rPr>
          <w:color w:val="231F20"/>
          <w:w w:val="105"/>
        </w:rPr>
        <w:t>dos</w:t>
      </w:r>
      <w:r>
        <w:rPr>
          <w:color w:val="231F20"/>
          <w:spacing w:val="-25"/>
          <w:w w:val="105"/>
        </w:rPr>
        <w:t> </w:t>
      </w:r>
      <w:r>
        <w:rPr>
          <w:color w:val="231F20"/>
          <w:w w:val="105"/>
        </w:rPr>
        <w:t>países, en</w:t>
      </w:r>
      <w:r>
        <w:rPr>
          <w:color w:val="231F20"/>
          <w:spacing w:val="-26"/>
          <w:w w:val="105"/>
        </w:rPr>
        <w:t> </w:t>
      </w:r>
      <w:r>
        <w:rPr>
          <w:color w:val="231F20"/>
          <w:w w:val="105"/>
        </w:rPr>
        <w:t>dos</w:t>
      </w:r>
      <w:r>
        <w:rPr>
          <w:color w:val="231F20"/>
          <w:spacing w:val="-26"/>
          <w:w w:val="105"/>
        </w:rPr>
        <w:t> </w:t>
      </w:r>
      <w:r>
        <w:rPr>
          <w:color w:val="231F20"/>
          <w:w w:val="105"/>
        </w:rPr>
        <w:t>idiomas,</w:t>
      </w:r>
      <w:r>
        <w:rPr>
          <w:color w:val="231F20"/>
          <w:spacing w:val="-31"/>
          <w:w w:val="105"/>
        </w:rPr>
        <w:t> </w:t>
      </w:r>
      <w:r>
        <w:rPr>
          <w:color w:val="231F20"/>
          <w:w w:val="105"/>
        </w:rPr>
        <w:t>desde</w:t>
      </w:r>
      <w:r>
        <w:rPr>
          <w:color w:val="231F20"/>
          <w:spacing w:val="-26"/>
          <w:w w:val="105"/>
        </w:rPr>
        <w:t> </w:t>
      </w:r>
      <w:r>
        <w:rPr>
          <w:color w:val="231F20"/>
          <w:w w:val="105"/>
        </w:rPr>
        <w:t>dos</w:t>
      </w:r>
      <w:r>
        <w:rPr>
          <w:color w:val="231F20"/>
          <w:spacing w:val="-26"/>
          <w:w w:val="105"/>
        </w:rPr>
        <w:t> </w:t>
      </w:r>
      <w:r>
        <w:rPr>
          <w:color w:val="231F20"/>
          <w:w w:val="105"/>
        </w:rPr>
        <w:t>referentes</w:t>
      </w:r>
      <w:r>
        <w:rPr>
          <w:color w:val="231F20"/>
          <w:spacing w:val="-26"/>
          <w:w w:val="105"/>
        </w:rPr>
        <w:t> </w:t>
      </w:r>
      <w:r>
        <w:rPr>
          <w:color w:val="231F20"/>
          <w:w w:val="105"/>
        </w:rPr>
        <w:t>culturales</w:t>
      </w:r>
      <w:r>
        <w:rPr>
          <w:color w:val="231F20"/>
          <w:spacing w:val="-26"/>
          <w:w w:val="105"/>
        </w:rPr>
        <w:t> </w:t>
      </w:r>
      <w:r>
        <w:rPr>
          <w:color w:val="231F20"/>
          <w:w w:val="105"/>
        </w:rPr>
        <w:t>y</w:t>
      </w:r>
      <w:r>
        <w:rPr>
          <w:color w:val="231F20"/>
          <w:spacing w:val="-26"/>
          <w:w w:val="105"/>
        </w:rPr>
        <w:t> </w:t>
      </w:r>
      <w:r>
        <w:rPr>
          <w:color w:val="231F20"/>
          <w:w w:val="105"/>
        </w:rPr>
        <w:t>a</w:t>
      </w:r>
      <w:r>
        <w:rPr>
          <w:color w:val="231F20"/>
          <w:spacing w:val="-26"/>
          <w:w w:val="105"/>
        </w:rPr>
        <w:t> </w:t>
      </w:r>
      <w:r>
        <w:rPr>
          <w:color w:val="231F20"/>
          <w:w w:val="105"/>
        </w:rPr>
        <w:t>través</w:t>
      </w:r>
      <w:r>
        <w:rPr>
          <w:color w:val="231F20"/>
          <w:spacing w:val="-26"/>
          <w:w w:val="105"/>
        </w:rPr>
        <w:t> </w:t>
      </w:r>
      <w:r>
        <w:rPr>
          <w:color w:val="231F20"/>
          <w:w w:val="105"/>
        </w:rPr>
        <w:t>de</w:t>
      </w:r>
      <w:r>
        <w:rPr>
          <w:color w:val="231F20"/>
          <w:spacing w:val="-26"/>
          <w:w w:val="105"/>
        </w:rPr>
        <w:t> </w:t>
      </w:r>
      <w:r>
        <w:rPr>
          <w:color w:val="231F20"/>
          <w:w w:val="105"/>
        </w:rPr>
        <w:t>una</w:t>
      </w:r>
      <w:r>
        <w:rPr>
          <w:color w:val="231F20"/>
          <w:spacing w:val="-26"/>
          <w:w w:val="105"/>
        </w:rPr>
        <w:t> </w:t>
      </w:r>
      <w:r>
        <w:rPr>
          <w:color w:val="231F20"/>
          <w:w w:val="105"/>
        </w:rPr>
        <w:t>frontera que</w:t>
      </w:r>
      <w:r>
        <w:rPr>
          <w:color w:val="231F20"/>
          <w:spacing w:val="-18"/>
          <w:w w:val="105"/>
        </w:rPr>
        <w:t> </w:t>
      </w:r>
      <w:r>
        <w:rPr>
          <w:color w:val="231F20"/>
          <w:w w:val="105"/>
        </w:rPr>
        <w:t>para</w:t>
      </w:r>
      <w:r>
        <w:rPr>
          <w:color w:val="231F20"/>
          <w:spacing w:val="-18"/>
          <w:w w:val="105"/>
        </w:rPr>
        <w:t> </w:t>
      </w:r>
      <w:r>
        <w:rPr>
          <w:color w:val="231F20"/>
          <w:w w:val="105"/>
        </w:rPr>
        <w:t>unos</w:t>
      </w:r>
      <w:r>
        <w:rPr>
          <w:color w:val="231F20"/>
          <w:spacing w:val="-18"/>
          <w:w w:val="105"/>
        </w:rPr>
        <w:t> </w:t>
      </w:r>
      <w:r>
        <w:rPr>
          <w:color w:val="231F20"/>
          <w:w w:val="105"/>
        </w:rPr>
        <w:t>ya</w:t>
      </w:r>
      <w:r>
        <w:rPr>
          <w:color w:val="231F20"/>
          <w:spacing w:val="-18"/>
          <w:w w:val="105"/>
        </w:rPr>
        <w:t> </w:t>
      </w:r>
      <w:r>
        <w:rPr>
          <w:color w:val="231F20"/>
          <w:w w:val="105"/>
        </w:rPr>
        <w:t>no</w:t>
      </w:r>
      <w:r>
        <w:rPr>
          <w:color w:val="231F20"/>
          <w:spacing w:val="-18"/>
          <w:w w:val="105"/>
        </w:rPr>
        <w:t> </w:t>
      </w:r>
      <w:r>
        <w:rPr>
          <w:color w:val="231F20"/>
          <w:w w:val="105"/>
        </w:rPr>
        <w:t>existe,</w:t>
      </w:r>
      <w:r>
        <w:rPr>
          <w:color w:val="231F20"/>
          <w:spacing w:val="-23"/>
          <w:w w:val="105"/>
        </w:rPr>
        <w:t> </w:t>
      </w:r>
      <w:r>
        <w:rPr>
          <w:color w:val="231F20"/>
          <w:w w:val="105"/>
        </w:rPr>
        <w:t>mientras</w:t>
      </w:r>
      <w:r>
        <w:rPr>
          <w:color w:val="231F20"/>
          <w:spacing w:val="-18"/>
          <w:w w:val="105"/>
        </w:rPr>
        <w:t> </w:t>
      </w:r>
      <w:r>
        <w:rPr>
          <w:color w:val="231F20"/>
          <w:w w:val="105"/>
        </w:rPr>
        <w:t>que</w:t>
      </w:r>
      <w:r>
        <w:rPr>
          <w:color w:val="231F20"/>
          <w:spacing w:val="-18"/>
          <w:w w:val="105"/>
        </w:rPr>
        <w:t> </w:t>
      </w:r>
      <w:r>
        <w:rPr>
          <w:color w:val="231F20"/>
          <w:w w:val="105"/>
        </w:rPr>
        <w:t>para</w:t>
      </w:r>
      <w:r>
        <w:rPr>
          <w:color w:val="231F20"/>
          <w:spacing w:val="-18"/>
          <w:w w:val="105"/>
        </w:rPr>
        <w:t> </w:t>
      </w:r>
      <w:r>
        <w:rPr>
          <w:color w:val="231F20"/>
          <w:w w:val="105"/>
        </w:rPr>
        <w:t>otros</w:t>
      </w:r>
      <w:r>
        <w:rPr>
          <w:color w:val="231F20"/>
          <w:spacing w:val="-18"/>
          <w:w w:val="105"/>
        </w:rPr>
        <w:t> </w:t>
      </w:r>
      <w:r>
        <w:rPr>
          <w:color w:val="231F20"/>
          <w:w w:val="105"/>
        </w:rPr>
        <w:t>es</w:t>
      </w:r>
      <w:r>
        <w:rPr>
          <w:color w:val="231F20"/>
          <w:spacing w:val="-18"/>
          <w:w w:val="105"/>
        </w:rPr>
        <w:t> </w:t>
      </w:r>
      <w:r>
        <w:rPr>
          <w:color w:val="231F20"/>
          <w:w w:val="105"/>
        </w:rPr>
        <w:t>infranqueable.</w:t>
      </w:r>
    </w:p>
    <w:p>
      <w:pPr>
        <w:pStyle w:val="BodyText"/>
        <w:spacing w:line="261" w:lineRule="auto" w:before="1"/>
        <w:ind w:left="1723" w:right="1834" w:firstLine="567"/>
        <w:jc w:val="both"/>
      </w:pPr>
      <w:r>
        <w:rPr>
          <w:color w:val="231F20"/>
          <w:w w:val="105"/>
        </w:rPr>
        <w:t>Rafael Arenas nació en 1928 en Tonatico, Estado de México, por lo que tiene presente aquellos días de la primavera de 1944 cuando  la</w:t>
      </w:r>
    </w:p>
    <w:p>
      <w:pPr>
        <w:pStyle w:val="BodyText"/>
        <w:rPr>
          <w:sz w:val="20"/>
        </w:rPr>
      </w:pPr>
    </w:p>
    <w:p>
      <w:pPr>
        <w:pStyle w:val="BodyText"/>
        <w:spacing w:before="6"/>
        <w:rPr>
          <w:sz w:val="26"/>
        </w:rPr>
      </w:pPr>
    </w:p>
    <w:p>
      <w:pPr>
        <w:tabs>
          <w:tab w:pos="2937" w:val="left" w:leader="none"/>
        </w:tabs>
        <w:spacing w:before="73"/>
        <w:ind w:left="1832" w:right="0" w:firstLine="0"/>
        <w:jc w:val="left"/>
        <w:rPr>
          <w:rFonts w:ascii="Calibri"/>
          <w:sz w:val="8"/>
        </w:rPr>
      </w:pPr>
      <w:r>
        <w:rPr/>
        <w:pict>
          <v:line style="position:absolute;mso-position-horizontal-relative:page;mso-position-vertical-relative:paragraph;z-index:-445648" from="131.551193pt,3.853715pt" to="131.551193pt,39.656114pt" stroked="true" strokeweight=".35pt" strokecolor="#231f20">
            <w10:wrap type="none"/>
          </v:line>
        </w:pict>
      </w:r>
      <w:r>
        <w:rPr/>
        <w:pict>
          <v:line style="position:absolute;mso-position-horizontal-relative:page;mso-position-vertical-relative:paragraph;z-index:-445576" from="15pt,39.655914pt" to="0pt,39.655914pt" stroked="true" strokeweight=".25pt" strokecolor="#000000">
            <w10:wrap type="none"/>
          </v:line>
        </w:pict>
      </w:r>
      <w:r>
        <w:rPr/>
        <w:pict>
          <v:line style="position:absolute;mso-position-horizontal-relative:page;mso-position-vertical-relative:paragraph;z-index:44632" from="508.890015pt,39.655914pt" to="523.890015pt,39.655914pt" stroked="true" strokeweight=".25pt" strokecolor="#000000">
            <w10:wrap type="none"/>
          </v:line>
        </w:pict>
      </w:r>
      <w:r>
        <w:rPr>
          <w:rFonts w:ascii="Arial"/>
          <w:color w:val="414042"/>
          <w:position w:val="-5"/>
          <w:sz w:val="20"/>
        </w:rPr>
        <w:t>382</w:t>
        <w:tab/>
      </w:r>
      <w:r>
        <w:rPr>
          <w:rFonts w:ascii="Calibri"/>
          <w:color w:val="6D6E71"/>
          <w:sz w:val="15"/>
        </w:rPr>
        <w:t>Alejandro  Zarur Osorio</w:t>
      </w:r>
      <w:r>
        <w:rPr>
          <w:rFonts w:ascii="Calibri"/>
          <w:color w:val="6D6E71"/>
          <w:position w:val="5"/>
          <w:sz w:val="8"/>
        </w:rPr>
        <w:t>1</w:t>
      </w:r>
    </w:p>
    <w:p>
      <w:pPr>
        <w:spacing w:after="0"/>
        <w:jc w:val="left"/>
        <w:rPr>
          <w:rFonts w:ascii="Calibri"/>
          <w:sz w:val="8"/>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2023" w:right="0" w:firstLine="0"/>
        <w:jc w:val="left"/>
        <w:rPr>
          <w:rFonts w:ascii="Arial"/>
          <w:sz w:val="20"/>
        </w:rPr>
      </w:pPr>
      <w:r>
        <w:rPr/>
        <w:pict>
          <v:line style="position:absolute;mso-position-horizontal-relative:page;mso-position-vertical-relative:paragraph;z-index:-445528" from="405.061005pt,-18.554295pt" to="405.061005pt,16.311579pt" stroked="true" strokeweight=".35pt" strokecolor="#231f20">
            <w10:wrap type="none"/>
          </v:line>
        </w:pict>
      </w:r>
      <w:r>
        <w:rPr/>
        <w:pict>
          <v:line style="position:absolute;mso-position-horizontal-relative:page;mso-position-vertical-relative:paragraph;z-index:44680" from="15pt,-18.554522pt" to="0pt,-18.554522pt" stroked="true" strokeweight=".25pt" strokecolor="#000000">
            <w10:wrap type="none"/>
          </v:line>
        </w:pict>
      </w:r>
      <w:r>
        <w:rPr/>
        <w:pict>
          <v:line style="position:absolute;mso-position-horizontal-relative:page;mso-position-vertical-relative:paragraph;z-index:44704" from="508.890015pt,-18.554522pt" to="523.890015pt,-18.554522pt" stroked="true" strokeweight=".25pt" strokecolor="#000000">
            <w10:wrap type="none"/>
          </v:line>
        </w:pict>
      </w:r>
      <w:r>
        <w:rPr>
          <w:rFonts w:ascii="Lucida Sans Unicode"/>
          <w:color w:val="6D6E71"/>
          <w:sz w:val="14"/>
        </w:rPr>
        <w:t>LO</w:t>
      </w:r>
      <w:r>
        <w:rPr>
          <w:rFonts w:ascii="Lucida Sans Unicode"/>
          <w:color w:val="6D6E71"/>
          <w:spacing w:val="-29"/>
          <w:sz w:val="14"/>
        </w:rPr>
        <w:t> </w:t>
      </w:r>
      <w:r>
        <w:rPr>
          <w:rFonts w:ascii="Lucida Sans Unicode"/>
          <w:color w:val="6D6E71"/>
          <w:sz w:val="14"/>
        </w:rPr>
        <w:t>QUE</w:t>
      </w:r>
      <w:r>
        <w:rPr>
          <w:rFonts w:ascii="Lucida Sans Unicode"/>
          <w:color w:val="6D6E71"/>
          <w:spacing w:val="-29"/>
          <w:sz w:val="14"/>
        </w:rPr>
        <w:t> </w:t>
      </w:r>
      <w:r>
        <w:rPr>
          <w:rFonts w:ascii="Lucida Sans Unicode"/>
          <w:color w:val="6D6E71"/>
          <w:sz w:val="14"/>
        </w:rPr>
        <w:t>NO</w:t>
      </w:r>
      <w:r>
        <w:rPr>
          <w:rFonts w:ascii="Lucida Sans Unicode"/>
          <w:color w:val="6D6E71"/>
          <w:spacing w:val="-29"/>
          <w:sz w:val="14"/>
        </w:rPr>
        <w:t> </w:t>
      </w:r>
      <w:r>
        <w:rPr>
          <w:rFonts w:ascii="Lucida Sans Unicode"/>
          <w:color w:val="6D6E71"/>
          <w:sz w:val="14"/>
        </w:rPr>
        <w:t>SE</w:t>
      </w:r>
      <w:r>
        <w:rPr>
          <w:rFonts w:ascii="Lucida Sans Unicode"/>
          <w:color w:val="6D6E71"/>
          <w:spacing w:val="-29"/>
          <w:sz w:val="14"/>
        </w:rPr>
        <w:t> </w:t>
      </w:r>
      <w:r>
        <w:rPr>
          <w:rFonts w:ascii="Lucida Sans Unicode"/>
          <w:color w:val="6D6E71"/>
          <w:sz w:val="14"/>
        </w:rPr>
        <w:t>FUE</w:t>
      </w:r>
      <w:r>
        <w:rPr>
          <w:rFonts w:ascii="Lucida Sans Unicode"/>
          <w:color w:val="6D6E71"/>
          <w:spacing w:val="-29"/>
          <w:sz w:val="14"/>
        </w:rPr>
        <w:t> </w:t>
      </w:r>
      <w:r>
        <w:rPr>
          <w:rFonts w:ascii="Lucida Sans Unicode"/>
          <w:color w:val="6D6E71"/>
          <w:sz w:val="14"/>
        </w:rPr>
        <w:t>EN</w:t>
      </w:r>
      <w:r>
        <w:rPr>
          <w:rFonts w:ascii="Lucida Sans Unicode"/>
          <w:color w:val="6D6E71"/>
          <w:spacing w:val="-29"/>
          <w:sz w:val="14"/>
        </w:rPr>
        <w:t> </w:t>
      </w:r>
      <w:r>
        <w:rPr>
          <w:rFonts w:ascii="Lucida Sans Unicode"/>
          <w:color w:val="6D6E71"/>
          <w:sz w:val="14"/>
        </w:rPr>
        <w:t>EL</w:t>
      </w:r>
      <w:r>
        <w:rPr>
          <w:rFonts w:ascii="Lucida Sans Unicode"/>
          <w:color w:val="6D6E71"/>
          <w:spacing w:val="-29"/>
          <w:sz w:val="14"/>
        </w:rPr>
        <w:t> </w:t>
      </w:r>
      <w:r>
        <w:rPr>
          <w:rFonts w:ascii="Lucida Sans Unicode"/>
          <w:color w:val="6D6E71"/>
          <w:sz w:val="14"/>
        </w:rPr>
        <w:t>VELIZ</w:t>
      </w:r>
      <w:r>
        <w:rPr>
          <w:rFonts w:ascii="Lucida Sans Unicode"/>
          <w:color w:val="6D6E71"/>
          <w:spacing w:val="-29"/>
          <w:sz w:val="14"/>
        </w:rPr>
        <w:t> </w:t>
      </w:r>
      <w:r>
        <w:rPr>
          <w:rFonts w:ascii="Lucida Sans Unicode"/>
          <w:color w:val="6D6E71"/>
          <w:sz w:val="14"/>
        </w:rPr>
        <w:t>AZUL.</w:t>
      </w:r>
      <w:r>
        <w:rPr>
          <w:rFonts w:ascii="Lucida Sans Unicode"/>
          <w:color w:val="6D6E71"/>
          <w:spacing w:val="-29"/>
          <w:sz w:val="14"/>
        </w:rPr>
        <w:t> </w:t>
      </w:r>
      <w:r>
        <w:rPr>
          <w:rFonts w:ascii="Lucida Sans Unicode"/>
          <w:color w:val="6D6E71"/>
          <w:sz w:val="14"/>
        </w:rPr>
        <w:t>RELATO</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VIDA</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RAFAEL,</w:t>
      </w:r>
      <w:r>
        <w:rPr>
          <w:rFonts w:ascii="Lucida Sans Unicode"/>
          <w:color w:val="6D6E71"/>
          <w:spacing w:val="-29"/>
          <w:sz w:val="14"/>
        </w:rPr>
        <w:t> </w:t>
      </w:r>
      <w:r>
        <w:rPr>
          <w:rFonts w:ascii="Lucida Sans Unicode"/>
          <w:color w:val="6D6E71"/>
          <w:sz w:val="14"/>
        </w:rPr>
        <w:t>UN</w:t>
      </w:r>
      <w:r>
        <w:rPr>
          <w:rFonts w:ascii="Lucida Sans Unicode"/>
          <w:color w:val="6D6E71"/>
          <w:spacing w:val="-29"/>
          <w:sz w:val="14"/>
        </w:rPr>
        <w:t> </w:t>
      </w:r>
      <w:r>
        <w:rPr>
          <w:rFonts w:ascii="Lucida Sans Unicode"/>
          <w:color w:val="6D6E71"/>
          <w:sz w:val="14"/>
        </w:rPr>
        <w:t>MIGRANTE</w:t>
      </w:r>
      <w:r>
        <w:rPr>
          <w:rFonts w:ascii="Lucida Sans Unicode"/>
          <w:color w:val="6D6E71"/>
          <w:spacing w:val="-29"/>
          <w:sz w:val="14"/>
        </w:rPr>
        <w:t> </w:t>
      </w:r>
      <w:r>
        <w:rPr>
          <w:rFonts w:ascii="Lucida Sans Unicode"/>
          <w:color w:val="6D6E71"/>
          <w:sz w:val="14"/>
        </w:rPr>
        <w:t>TONATIQUENSE</w:t>
      </w:r>
      <w:r>
        <w:rPr>
          <w:rFonts w:ascii="Arial"/>
          <w:color w:val="414042"/>
          <w:position w:val="-3"/>
          <w:sz w:val="20"/>
        </w:rPr>
        <w:tab/>
        <w:t>383</w:t>
      </w:r>
    </w:p>
    <w:p>
      <w:pPr>
        <w:pStyle w:val="BodyText"/>
        <w:rPr>
          <w:rFonts w:ascii="Arial"/>
          <w:sz w:val="20"/>
        </w:rPr>
      </w:pPr>
    </w:p>
    <w:p>
      <w:pPr>
        <w:pStyle w:val="BodyText"/>
        <w:rPr>
          <w:rFonts w:ascii="Arial"/>
          <w:sz w:val="20"/>
        </w:rPr>
      </w:pPr>
    </w:p>
    <w:p>
      <w:pPr>
        <w:pStyle w:val="BodyText"/>
        <w:spacing w:line="261" w:lineRule="auto" w:before="137"/>
        <w:ind w:left="1837" w:right="1721"/>
        <w:jc w:val="both"/>
      </w:pPr>
      <w:r>
        <w:rPr>
          <w:color w:val="231F20"/>
          <w:w w:val="105"/>
        </w:rPr>
        <w:t>gente</w:t>
      </w:r>
      <w:r>
        <w:rPr>
          <w:color w:val="231F20"/>
          <w:spacing w:val="-9"/>
          <w:w w:val="105"/>
        </w:rPr>
        <w:t> </w:t>
      </w:r>
      <w:r>
        <w:rPr>
          <w:color w:val="231F20"/>
          <w:w w:val="105"/>
        </w:rPr>
        <w:t>comenzó</w:t>
      </w:r>
      <w:r>
        <w:rPr>
          <w:color w:val="231F20"/>
          <w:spacing w:val="-9"/>
          <w:w w:val="105"/>
        </w:rPr>
        <w:t> </w:t>
      </w:r>
      <w:r>
        <w:rPr>
          <w:color w:val="231F20"/>
          <w:w w:val="105"/>
        </w:rPr>
        <w:t>a</w:t>
      </w:r>
      <w:r>
        <w:rPr>
          <w:color w:val="231F20"/>
          <w:spacing w:val="-9"/>
          <w:w w:val="105"/>
        </w:rPr>
        <w:t> </w:t>
      </w:r>
      <w:r>
        <w:rPr>
          <w:color w:val="231F20"/>
          <w:w w:val="105"/>
        </w:rPr>
        <w:t>emigrar</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Estados</w:t>
      </w:r>
      <w:r>
        <w:rPr>
          <w:color w:val="231F20"/>
          <w:spacing w:val="-9"/>
          <w:w w:val="105"/>
        </w:rPr>
        <w:t> </w:t>
      </w:r>
      <w:r>
        <w:rPr>
          <w:color w:val="231F20"/>
          <w:w w:val="105"/>
        </w:rPr>
        <w:t>Unidos,</w:t>
      </w:r>
      <w:r>
        <w:rPr>
          <w:color w:val="231F20"/>
          <w:spacing w:val="-15"/>
          <w:w w:val="105"/>
        </w:rPr>
        <w:t> </w:t>
      </w:r>
      <w:r>
        <w:rPr>
          <w:color w:val="231F20"/>
          <w:w w:val="105"/>
        </w:rPr>
        <w:t>con</w:t>
      </w:r>
      <w:r>
        <w:rPr>
          <w:color w:val="231F20"/>
          <w:spacing w:val="-9"/>
          <w:w w:val="105"/>
        </w:rPr>
        <w:t> </w:t>
      </w:r>
      <w:r>
        <w:rPr>
          <w:color w:val="231F20"/>
          <w:w w:val="105"/>
        </w:rPr>
        <w:t>motivo</w:t>
      </w:r>
      <w:r>
        <w:rPr>
          <w:color w:val="231F20"/>
          <w:spacing w:val="-9"/>
          <w:w w:val="105"/>
        </w:rPr>
        <w:t> </w:t>
      </w:r>
      <w:r>
        <w:rPr>
          <w:color w:val="231F20"/>
          <w:w w:val="105"/>
        </w:rPr>
        <w:t>del</w:t>
      </w:r>
      <w:r>
        <w:rPr>
          <w:color w:val="231F20"/>
          <w:spacing w:val="-9"/>
          <w:w w:val="105"/>
        </w:rPr>
        <w:t> </w:t>
      </w:r>
      <w:r>
        <w:rPr>
          <w:color w:val="231F20"/>
          <w:w w:val="105"/>
        </w:rPr>
        <w:t>acuerdo entre</w:t>
      </w:r>
      <w:r>
        <w:rPr>
          <w:color w:val="231F20"/>
          <w:spacing w:val="-5"/>
          <w:w w:val="105"/>
        </w:rPr>
        <w:t> </w:t>
      </w:r>
      <w:r>
        <w:rPr>
          <w:color w:val="231F20"/>
          <w:w w:val="105"/>
        </w:rPr>
        <w:t>los</w:t>
      </w:r>
      <w:r>
        <w:rPr>
          <w:color w:val="231F20"/>
          <w:spacing w:val="-5"/>
          <w:w w:val="105"/>
        </w:rPr>
        <w:t> </w:t>
      </w:r>
      <w:r>
        <w:rPr>
          <w:color w:val="231F20"/>
          <w:w w:val="105"/>
        </w:rPr>
        <w:t>gobiernos</w:t>
      </w:r>
      <w:r>
        <w:rPr>
          <w:color w:val="231F20"/>
          <w:spacing w:val="-5"/>
          <w:w w:val="105"/>
        </w:rPr>
        <w:t> </w:t>
      </w:r>
      <w:r>
        <w:rPr>
          <w:color w:val="231F20"/>
          <w:w w:val="105"/>
        </w:rPr>
        <w:t>de</w:t>
      </w:r>
      <w:r>
        <w:rPr>
          <w:color w:val="231F20"/>
          <w:spacing w:val="-5"/>
          <w:w w:val="105"/>
        </w:rPr>
        <w:t> </w:t>
      </w:r>
      <w:r>
        <w:rPr>
          <w:color w:val="231F20"/>
          <w:w w:val="105"/>
        </w:rPr>
        <w:t>Estados</w:t>
      </w:r>
      <w:r>
        <w:rPr>
          <w:color w:val="231F20"/>
          <w:spacing w:val="-5"/>
          <w:w w:val="105"/>
        </w:rPr>
        <w:t> </w:t>
      </w:r>
      <w:r>
        <w:rPr>
          <w:color w:val="231F20"/>
          <w:w w:val="105"/>
        </w:rPr>
        <w:t>Unidos</w:t>
      </w:r>
      <w:r>
        <w:rPr>
          <w:color w:val="231F20"/>
          <w:spacing w:val="-5"/>
          <w:w w:val="105"/>
        </w:rPr>
        <w:t> </w:t>
      </w:r>
      <w:r>
        <w:rPr>
          <w:color w:val="231F20"/>
          <w:w w:val="105"/>
        </w:rPr>
        <w:t>y</w:t>
      </w:r>
      <w:r>
        <w:rPr>
          <w:color w:val="231F20"/>
          <w:spacing w:val="-5"/>
          <w:w w:val="105"/>
        </w:rPr>
        <w:t> </w:t>
      </w:r>
      <w:r>
        <w:rPr>
          <w:color w:val="231F20"/>
          <w:w w:val="105"/>
        </w:rPr>
        <w:t>México</w:t>
      </w:r>
      <w:r>
        <w:rPr>
          <w:color w:val="231F20"/>
          <w:spacing w:val="-5"/>
          <w:w w:val="105"/>
        </w:rPr>
        <w:t> </w:t>
      </w:r>
      <w:r>
        <w:rPr>
          <w:color w:val="231F20"/>
          <w:w w:val="105"/>
        </w:rPr>
        <w:t>que</w:t>
      </w:r>
      <w:r>
        <w:rPr>
          <w:color w:val="231F20"/>
          <w:spacing w:val="-5"/>
          <w:w w:val="105"/>
        </w:rPr>
        <w:t> </w:t>
      </w:r>
      <w:r>
        <w:rPr>
          <w:color w:val="231F20"/>
          <w:w w:val="105"/>
        </w:rPr>
        <w:t>permitía</w:t>
      </w:r>
      <w:r>
        <w:rPr>
          <w:color w:val="231F20"/>
          <w:spacing w:val="-5"/>
          <w:w w:val="105"/>
        </w:rPr>
        <w:t> </w:t>
      </w:r>
      <w:r>
        <w:rPr>
          <w:color w:val="231F20"/>
          <w:w w:val="105"/>
        </w:rPr>
        <w:t>a</w:t>
      </w:r>
      <w:r>
        <w:rPr>
          <w:color w:val="231F20"/>
          <w:spacing w:val="-5"/>
          <w:w w:val="105"/>
        </w:rPr>
        <w:t> </w:t>
      </w:r>
      <w:r>
        <w:rPr>
          <w:color w:val="231F20"/>
          <w:w w:val="105"/>
        </w:rPr>
        <w:t>trabaja- dores mexicanos entraran contratados temporalmente a territorio esta- dunidense</w:t>
      </w:r>
      <w:r>
        <w:rPr>
          <w:color w:val="231F20"/>
          <w:spacing w:val="-17"/>
          <w:w w:val="105"/>
        </w:rPr>
        <w:t> </w:t>
      </w:r>
      <w:r>
        <w:rPr>
          <w:color w:val="231F20"/>
          <w:w w:val="105"/>
        </w:rPr>
        <w:t>para</w:t>
      </w:r>
      <w:r>
        <w:rPr>
          <w:color w:val="231F20"/>
          <w:spacing w:val="-17"/>
          <w:w w:val="105"/>
        </w:rPr>
        <w:t> </w:t>
      </w:r>
      <w:r>
        <w:rPr>
          <w:color w:val="231F20"/>
          <w:w w:val="105"/>
        </w:rPr>
        <w:t>emplearse,</w:t>
      </w:r>
      <w:r>
        <w:rPr>
          <w:color w:val="231F20"/>
          <w:spacing w:val="-22"/>
          <w:w w:val="105"/>
        </w:rPr>
        <w:t> </w:t>
      </w:r>
      <w:r>
        <w:rPr>
          <w:color w:val="231F20"/>
          <w:w w:val="105"/>
        </w:rPr>
        <w:t>sobre</w:t>
      </w:r>
      <w:r>
        <w:rPr>
          <w:color w:val="231F20"/>
          <w:spacing w:val="-17"/>
          <w:w w:val="105"/>
        </w:rPr>
        <w:t> </w:t>
      </w:r>
      <w:r>
        <w:rPr>
          <w:color w:val="231F20"/>
          <w:w w:val="105"/>
        </w:rPr>
        <w:t>todo</w:t>
      </w:r>
      <w:r>
        <w:rPr>
          <w:color w:val="231F20"/>
          <w:spacing w:val="-17"/>
          <w:w w:val="105"/>
        </w:rPr>
        <w:t> </w:t>
      </w:r>
      <w:r>
        <w:rPr>
          <w:color w:val="231F20"/>
          <w:w w:val="105"/>
        </w:rPr>
        <w:t>en</w:t>
      </w:r>
      <w:r>
        <w:rPr>
          <w:color w:val="231F20"/>
          <w:spacing w:val="-17"/>
          <w:w w:val="105"/>
        </w:rPr>
        <w:t> </w:t>
      </w:r>
      <w:r>
        <w:rPr>
          <w:color w:val="231F20"/>
          <w:w w:val="105"/>
        </w:rPr>
        <w:t>labores</w:t>
      </w:r>
      <w:r>
        <w:rPr>
          <w:color w:val="231F20"/>
          <w:spacing w:val="-17"/>
          <w:w w:val="105"/>
        </w:rPr>
        <w:t> </w:t>
      </w:r>
      <w:r>
        <w:rPr>
          <w:color w:val="231F20"/>
          <w:w w:val="105"/>
        </w:rPr>
        <w:t>agrícolas</w:t>
      </w:r>
      <w:r>
        <w:rPr>
          <w:color w:val="231F20"/>
          <w:spacing w:val="-17"/>
          <w:w w:val="105"/>
        </w:rPr>
        <w:t> </w:t>
      </w:r>
      <w:r>
        <w:rPr>
          <w:color w:val="231F20"/>
          <w:w w:val="105"/>
        </w:rPr>
        <w:t>y</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cons- trucción</w:t>
      </w:r>
      <w:r>
        <w:rPr>
          <w:color w:val="231F20"/>
          <w:spacing w:val="-28"/>
          <w:w w:val="105"/>
        </w:rPr>
        <w:t> </w:t>
      </w:r>
      <w:r>
        <w:rPr>
          <w:color w:val="231F20"/>
          <w:w w:val="105"/>
        </w:rPr>
        <w:t>de</w:t>
      </w:r>
      <w:r>
        <w:rPr>
          <w:color w:val="231F20"/>
          <w:spacing w:val="-28"/>
          <w:w w:val="105"/>
        </w:rPr>
        <w:t> </w:t>
      </w:r>
      <w:r>
        <w:rPr>
          <w:color w:val="231F20"/>
          <w:w w:val="105"/>
        </w:rPr>
        <w:t>vías</w:t>
      </w:r>
      <w:r>
        <w:rPr>
          <w:color w:val="231F20"/>
          <w:spacing w:val="-28"/>
          <w:w w:val="105"/>
        </w:rPr>
        <w:t> </w:t>
      </w:r>
      <w:r>
        <w:rPr>
          <w:color w:val="231F20"/>
          <w:w w:val="105"/>
        </w:rPr>
        <w:t>férreas.</w:t>
      </w:r>
    </w:p>
    <w:p>
      <w:pPr>
        <w:pStyle w:val="BodyText"/>
        <w:spacing w:line="261" w:lineRule="auto" w:before="1"/>
        <w:ind w:left="1837" w:right="1715" w:firstLine="567"/>
        <w:jc w:val="right"/>
      </w:pPr>
      <w:r>
        <w:rPr>
          <w:color w:val="231F20"/>
          <w:w w:val="105"/>
        </w:rPr>
        <w:t>Luego,</w:t>
      </w:r>
      <w:r>
        <w:rPr>
          <w:color w:val="231F20"/>
          <w:spacing w:val="-20"/>
          <w:w w:val="105"/>
        </w:rPr>
        <w:t> </w:t>
      </w:r>
      <w:r>
        <w:rPr>
          <w:color w:val="231F20"/>
          <w:w w:val="105"/>
        </w:rPr>
        <w:t>en</w:t>
      </w:r>
      <w:r>
        <w:rPr>
          <w:color w:val="231F20"/>
          <w:spacing w:val="-14"/>
          <w:w w:val="105"/>
        </w:rPr>
        <w:t> </w:t>
      </w:r>
      <w:r>
        <w:rPr>
          <w:color w:val="231F20"/>
          <w:w w:val="105"/>
        </w:rPr>
        <w:t>1954,</w:t>
      </w:r>
      <w:r>
        <w:rPr>
          <w:color w:val="231F20"/>
          <w:spacing w:val="-20"/>
          <w:w w:val="105"/>
        </w:rPr>
        <w:t> </w:t>
      </w:r>
      <w:r>
        <w:rPr>
          <w:color w:val="231F20"/>
          <w:w w:val="105"/>
        </w:rPr>
        <w:t>él</w:t>
      </w:r>
      <w:r>
        <w:rPr>
          <w:color w:val="231F20"/>
          <w:spacing w:val="-14"/>
          <w:w w:val="105"/>
        </w:rPr>
        <w:t> </w:t>
      </w:r>
      <w:r>
        <w:rPr>
          <w:color w:val="231F20"/>
          <w:w w:val="105"/>
        </w:rPr>
        <w:t>emigró</w:t>
      </w:r>
      <w:r>
        <w:rPr>
          <w:color w:val="231F20"/>
          <w:spacing w:val="-14"/>
          <w:w w:val="105"/>
        </w:rPr>
        <w:t> </w:t>
      </w:r>
      <w:r>
        <w:rPr>
          <w:color w:val="231F20"/>
          <w:w w:val="105"/>
        </w:rPr>
        <w:t>y</w:t>
      </w:r>
      <w:r>
        <w:rPr>
          <w:color w:val="231F20"/>
          <w:spacing w:val="-14"/>
          <w:w w:val="105"/>
        </w:rPr>
        <w:t> </w:t>
      </w:r>
      <w:r>
        <w:rPr>
          <w:color w:val="231F20"/>
          <w:w w:val="105"/>
        </w:rPr>
        <w:t>comenzó</w:t>
      </w:r>
      <w:r>
        <w:rPr>
          <w:color w:val="231F20"/>
          <w:spacing w:val="-14"/>
          <w:w w:val="105"/>
        </w:rPr>
        <w:t> </w:t>
      </w:r>
      <w:r>
        <w:rPr>
          <w:color w:val="231F20"/>
          <w:w w:val="105"/>
        </w:rPr>
        <w:t>a</w:t>
      </w:r>
      <w:r>
        <w:rPr>
          <w:color w:val="231F20"/>
          <w:spacing w:val="-14"/>
          <w:w w:val="105"/>
        </w:rPr>
        <w:t> </w:t>
      </w:r>
      <w:r>
        <w:rPr>
          <w:color w:val="231F20"/>
          <w:w w:val="105"/>
        </w:rPr>
        <w:t>conocer</w:t>
      </w:r>
      <w:r>
        <w:rPr>
          <w:color w:val="231F20"/>
          <w:spacing w:val="-14"/>
          <w:w w:val="105"/>
        </w:rPr>
        <w:t> </w:t>
      </w:r>
      <w:r>
        <w:rPr>
          <w:color w:val="231F20"/>
          <w:w w:val="105"/>
        </w:rPr>
        <w:t>y</w:t>
      </w:r>
      <w:r>
        <w:rPr>
          <w:color w:val="231F20"/>
          <w:spacing w:val="-14"/>
          <w:w w:val="105"/>
        </w:rPr>
        <w:t> </w:t>
      </w:r>
      <w:r>
        <w:rPr>
          <w:color w:val="231F20"/>
          <w:w w:val="105"/>
        </w:rPr>
        <w:t>a</w:t>
      </w:r>
      <w:r>
        <w:rPr>
          <w:color w:val="231F20"/>
          <w:spacing w:val="-14"/>
          <w:w w:val="105"/>
        </w:rPr>
        <w:t> </w:t>
      </w:r>
      <w:r>
        <w:rPr>
          <w:color w:val="231F20"/>
          <w:w w:val="105"/>
        </w:rPr>
        <w:t>comprender</w:t>
      </w:r>
      <w:r>
        <w:rPr>
          <w:color w:val="231F20"/>
          <w:spacing w:val="-14"/>
          <w:w w:val="105"/>
        </w:rPr>
        <w:t> </w:t>
      </w:r>
      <w:r>
        <w:rPr>
          <w:color w:val="231F20"/>
          <w:w w:val="105"/>
        </w:rPr>
        <w:t>lo</w:t>
      </w:r>
      <w:r>
        <w:rPr>
          <w:color w:val="231F20"/>
          <w:w w:val="110"/>
        </w:rPr>
        <w:t> </w:t>
      </w:r>
      <w:r>
        <w:rPr>
          <w:color w:val="231F20"/>
          <w:w w:val="105"/>
        </w:rPr>
        <w:t>que</w:t>
      </w:r>
      <w:r>
        <w:rPr>
          <w:color w:val="231F20"/>
          <w:spacing w:val="-14"/>
          <w:w w:val="105"/>
        </w:rPr>
        <w:t> </w:t>
      </w:r>
      <w:r>
        <w:rPr>
          <w:color w:val="231F20"/>
          <w:w w:val="105"/>
        </w:rPr>
        <w:t>significaba</w:t>
      </w:r>
      <w:r>
        <w:rPr>
          <w:color w:val="231F20"/>
          <w:spacing w:val="-14"/>
          <w:w w:val="105"/>
        </w:rPr>
        <w:t> </w:t>
      </w:r>
      <w:r>
        <w:rPr>
          <w:color w:val="231F20"/>
          <w:w w:val="105"/>
        </w:rPr>
        <w:t>viajar</w:t>
      </w:r>
      <w:r>
        <w:rPr>
          <w:color w:val="231F20"/>
          <w:spacing w:val="-14"/>
          <w:w w:val="105"/>
        </w:rPr>
        <w:t> </w:t>
      </w:r>
      <w:r>
        <w:rPr>
          <w:color w:val="231F20"/>
          <w:w w:val="105"/>
        </w:rPr>
        <w:t>cientos</w:t>
      </w:r>
      <w:r>
        <w:rPr>
          <w:color w:val="231F20"/>
          <w:spacing w:val="-14"/>
          <w:w w:val="105"/>
        </w:rPr>
        <w:t> </w:t>
      </w:r>
      <w:r>
        <w:rPr>
          <w:color w:val="231F20"/>
          <w:w w:val="105"/>
        </w:rPr>
        <w:t>de</w:t>
      </w:r>
      <w:r>
        <w:rPr>
          <w:color w:val="231F20"/>
          <w:spacing w:val="-14"/>
          <w:w w:val="105"/>
        </w:rPr>
        <w:t> </w:t>
      </w:r>
      <w:r>
        <w:rPr>
          <w:color w:val="231F20"/>
          <w:w w:val="105"/>
        </w:rPr>
        <w:t>kilómetros</w:t>
      </w:r>
      <w:r>
        <w:rPr>
          <w:color w:val="231F20"/>
          <w:spacing w:val="-14"/>
          <w:w w:val="105"/>
        </w:rPr>
        <w:t> </w:t>
      </w:r>
      <w:r>
        <w:rPr>
          <w:color w:val="231F20"/>
          <w:w w:val="105"/>
        </w:rPr>
        <w:t>para</w:t>
      </w:r>
      <w:r>
        <w:rPr>
          <w:color w:val="231F20"/>
          <w:spacing w:val="-14"/>
          <w:w w:val="105"/>
        </w:rPr>
        <w:t> </w:t>
      </w:r>
      <w:r>
        <w:rPr>
          <w:color w:val="231F20"/>
          <w:w w:val="105"/>
        </w:rPr>
        <w:t>emplearse</w:t>
      </w:r>
      <w:r>
        <w:rPr>
          <w:color w:val="231F20"/>
          <w:spacing w:val="-14"/>
          <w:w w:val="105"/>
        </w:rPr>
        <w:t> </w:t>
      </w:r>
      <w:r>
        <w:rPr>
          <w:color w:val="231F20"/>
          <w:w w:val="105"/>
        </w:rPr>
        <w:t>en</w:t>
      </w:r>
      <w:r>
        <w:rPr>
          <w:color w:val="231F20"/>
          <w:spacing w:val="-14"/>
          <w:w w:val="105"/>
        </w:rPr>
        <w:t> </w:t>
      </w:r>
      <w:r>
        <w:rPr>
          <w:color w:val="231F20"/>
          <w:w w:val="105"/>
        </w:rPr>
        <w:t>un</w:t>
      </w:r>
      <w:r>
        <w:rPr>
          <w:color w:val="231F20"/>
          <w:spacing w:val="-14"/>
          <w:w w:val="105"/>
        </w:rPr>
        <w:t> </w:t>
      </w:r>
      <w:r>
        <w:rPr>
          <w:color w:val="231F20"/>
          <w:w w:val="105"/>
        </w:rPr>
        <w:t>medio</w:t>
      </w:r>
      <w:r>
        <w:rPr>
          <w:color w:val="231F20"/>
          <w:w w:val="108"/>
        </w:rPr>
        <w:t> </w:t>
      </w:r>
      <w:r>
        <w:rPr>
          <w:color w:val="231F20"/>
          <w:w w:val="105"/>
        </w:rPr>
        <w:t>desconocido, hostil y excluyente, pero,</w:t>
      </w:r>
      <w:r>
        <w:rPr>
          <w:color w:val="231F20"/>
          <w:spacing w:val="54"/>
          <w:w w:val="105"/>
        </w:rPr>
        <w:t> </w:t>
      </w:r>
      <w:r>
        <w:rPr>
          <w:color w:val="231F20"/>
          <w:w w:val="105"/>
        </w:rPr>
        <w:t>paradójicamente,</w:t>
      </w:r>
      <w:r>
        <w:rPr>
          <w:color w:val="231F20"/>
          <w:spacing w:val="19"/>
          <w:w w:val="105"/>
        </w:rPr>
        <w:t> </w:t>
      </w:r>
      <w:r>
        <w:rPr>
          <w:color w:val="231F20"/>
          <w:w w:val="105"/>
        </w:rPr>
        <w:t>prometedor.</w:t>
      </w:r>
      <w:r>
        <w:rPr>
          <w:color w:val="231F20"/>
          <w:w w:val="93"/>
        </w:rPr>
        <w:t> </w:t>
      </w:r>
      <w:r>
        <w:rPr>
          <w:color w:val="231F20"/>
          <w:w w:val="105"/>
        </w:rPr>
        <w:t>Supo,</w:t>
      </w:r>
      <w:r>
        <w:rPr>
          <w:color w:val="231F20"/>
          <w:spacing w:val="-17"/>
          <w:w w:val="105"/>
        </w:rPr>
        <w:t> </w:t>
      </w:r>
      <w:r>
        <w:rPr>
          <w:color w:val="231F20"/>
          <w:w w:val="105"/>
        </w:rPr>
        <w:t>como</w:t>
      </w:r>
      <w:r>
        <w:rPr>
          <w:color w:val="231F20"/>
          <w:spacing w:val="-13"/>
          <w:w w:val="105"/>
        </w:rPr>
        <w:t> </w:t>
      </w:r>
      <w:r>
        <w:rPr>
          <w:color w:val="231F20"/>
          <w:w w:val="105"/>
        </w:rPr>
        <w:t>los</w:t>
      </w:r>
      <w:r>
        <w:rPr>
          <w:color w:val="231F20"/>
          <w:spacing w:val="-13"/>
          <w:w w:val="105"/>
        </w:rPr>
        <w:t> </w:t>
      </w:r>
      <w:r>
        <w:rPr>
          <w:color w:val="231F20"/>
          <w:w w:val="105"/>
        </w:rPr>
        <w:t>otros</w:t>
      </w:r>
      <w:r>
        <w:rPr>
          <w:color w:val="231F20"/>
          <w:spacing w:val="-13"/>
          <w:w w:val="105"/>
        </w:rPr>
        <w:t> </w:t>
      </w:r>
      <w:r>
        <w:rPr>
          <w:color w:val="231F20"/>
          <w:w w:val="105"/>
        </w:rPr>
        <w:t>trabajadores,</w:t>
      </w:r>
      <w:r>
        <w:rPr>
          <w:color w:val="231F20"/>
          <w:spacing w:val="-17"/>
          <w:w w:val="105"/>
        </w:rPr>
        <w:t> </w:t>
      </w:r>
      <w:r>
        <w:rPr>
          <w:color w:val="231F20"/>
          <w:w w:val="105"/>
        </w:rPr>
        <w:t>que</w:t>
      </w:r>
      <w:r>
        <w:rPr>
          <w:color w:val="231F20"/>
          <w:spacing w:val="-13"/>
          <w:w w:val="105"/>
        </w:rPr>
        <w:t> </w:t>
      </w:r>
      <w:r>
        <w:rPr>
          <w:color w:val="231F20"/>
          <w:w w:val="105"/>
        </w:rPr>
        <w:t>era</w:t>
      </w:r>
      <w:r>
        <w:rPr>
          <w:color w:val="231F20"/>
          <w:spacing w:val="-13"/>
          <w:w w:val="105"/>
        </w:rPr>
        <w:t> </w:t>
      </w:r>
      <w:r>
        <w:rPr>
          <w:color w:val="231F20"/>
          <w:w w:val="105"/>
        </w:rPr>
        <w:t>una</w:t>
      </w:r>
      <w:r>
        <w:rPr>
          <w:color w:val="231F20"/>
          <w:spacing w:val="-13"/>
          <w:w w:val="105"/>
        </w:rPr>
        <w:t> </w:t>
      </w:r>
      <w:r>
        <w:rPr>
          <w:color w:val="231F20"/>
          <w:w w:val="105"/>
        </w:rPr>
        <w:t>experiencia</w:t>
      </w:r>
      <w:r>
        <w:rPr>
          <w:color w:val="231F20"/>
          <w:spacing w:val="-13"/>
          <w:w w:val="105"/>
        </w:rPr>
        <w:t> </w:t>
      </w:r>
      <w:r>
        <w:rPr>
          <w:color w:val="231F20"/>
          <w:w w:val="105"/>
        </w:rPr>
        <w:t>económica-</w:t>
      </w:r>
      <w:r>
        <w:rPr>
          <w:color w:val="231F20"/>
          <w:w w:val="96"/>
        </w:rPr>
        <w:t> </w:t>
      </w:r>
      <w:r>
        <w:rPr>
          <w:color w:val="231F20"/>
          <w:w w:val="105"/>
        </w:rPr>
        <w:t>mente rentable pero con elevados costos humanos.</w:t>
      </w:r>
      <w:r>
        <w:rPr>
          <w:color w:val="231F20"/>
          <w:spacing w:val="39"/>
          <w:w w:val="105"/>
        </w:rPr>
        <w:t> </w:t>
      </w:r>
      <w:r>
        <w:rPr>
          <w:color w:val="231F20"/>
          <w:spacing w:val="-3"/>
          <w:w w:val="105"/>
        </w:rPr>
        <w:t>También</w:t>
      </w:r>
      <w:r>
        <w:rPr>
          <w:color w:val="231F20"/>
          <w:spacing w:val="7"/>
          <w:w w:val="105"/>
        </w:rPr>
        <w:t> </w:t>
      </w:r>
      <w:r>
        <w:rPr>
          <w:color w:val="231F20"/>
          <w:w w:val="105"/>
        </w:rPr>
        <w:t>aprendió</w:t>
      </w:r>
      <w:r>
        <w:rPr>
          <w:color w:val="231F20"/>
          <w:w w:val="108"/>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formas</w:t>
      </w:r>
      <w:r>
        <w:rPr>
          <w:color w:val="231F20"/>
          <w:spacing w:val="-6"/>
          <w:w w:val="105"/>
        </w:rPr>
        <w:t> </w:t>
      </w:r>
      <w:r>
        <w:rPr>
          <w:color w:val="231F20"/>
          <w:w w:val="105"/>
        </w:rPr>
        <w:t>de</w:t>
      </w:r>
      <w:r>
        <w:rPr>
          <w:color w:val="231F20"/>
          <w:spacing w:val="-6"/>
          <w:w w:val="105"/>
        </w:rPr>
        <w:t> </w:t>
      </w:r>
      <w:r>
        <w:rPr>
          <w:color w:val="231F20"/>
          <w:w w:val="105"/>
        </w:rPr>
        <w:t>trabajo,</w:t>
      </w:r>
      <w:r>
        <w:rPr>
          <w:color w:val="231F20"/>
          <w:spacing w:val="-13"/>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implementos</w:t>
      </w:r>
      <w:r>
        <w:rPr>
          <w:color w:val="231F20"/>
          <w:spacing w:val="-6"/>
          <w:w w:val="105"/>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agroquímicos</w:t>
      </w:r>
      <w:r>
        <w:rPr>
          <w:color w:val="231F20"/>
          <w:spacing w:val="-6"/>
          <w:w w:val="105"/>
        </w:rPr>
        <w:t> </w:t>
      </w:r>
      <w:r>
        <w:rPr>
          <w:color w:val="231F20"/>
          <w:w w:val="105"/>
        </w:rPr>
        <w:t>que</w:t>
      </w:r>
      <w:r>
        <w:rPr>
          <w:color w:val="231F20"/>
          <w:w w:val="107"/>
        </w:rPr>
        <w:t> </w:t>
      </w:r>
      <w:r>
        <w:rPr>
          <w:color w:val="231F20"/>
          <w:w w:val="105"/>
        </w:rPr>
        <w:t>podrían mejorar el trabajo de sus tierras en </w:t>
      </w:r>
      <w:r>
        <w:rPr>
          <w:color w:val="231F20"/>
          <w:spacing w:val="-3"/>
          <w:w w:val="105"/>
        </w:rPr>
        <w:t>Tonatico, </w:t>
      </w:r>
      <w:r>
        <w:rPr>
          <w:color w:val="231F20"/>
          <w:w w:val="105"/>
        </w:rPr>
        <w:t>a las que</w:t>
      </w:r>
      <w:r>
        <w:rPr>
          <w:color w:val="231F20"/>
          <w:spacing w:val="-8"/>
          <w:w w:val="105"/>
        </w:rPr>
        <w:t> </w:t>
      </w:r>
      <w:r>
        <w:rPr>
          <w:color w:val="231F20"/>
          <w:w w:val="105"/>
        </w:rPr>
        <w:t>se dedi-</w:t>
      </w:r>
      <w:r>
        <w:rPr>
          <w:color w:val="231F20"/>
          <w:w w:val="96"/>
        </w:rPr>
        <w:t> </w:t>
      </w:r>
      <w:r>
        <w:rPr>
          <w:color w:val="231F20"/>
          <w:w w:val="105"/>
        </w:rPr>
        <w:t>caba</w:t>
      </w:r>
      <w:r>
        <w:rPr>
          <w:color w:val="231F20"/>
          <w:spacing w:val="-21"/>
          <w:w w:val="105"/>
        </w:rPr>
        <w:t> </w:t>
      </w:r>
      <w:r>
        <w:rPr>
          <w:color w:val="231F20"/>
          <w:w w:val="105"/>
        </w:rPr>
        <w:t>al</w:t>
      </w:r>
      <w:r>
        <w:rPr>
          <w:color w:val="231F20"/>
          <w:spacing w:val="-21"/>
          <w:w w:val="105"/>
        </w:rPr>
        <w:t> </w:t>
      </w:r>
      <w:r>
        <w:rPr>
          <w:color w:val="231F20"/>
          <w:w w:val="105"/>
        </w:rPr>
        <w:t>regresar</w:t>
      </w:r>
      <w:r>
        <w:rPr>
          <w:color w:val="231F20"/>
          <w:spacing w:val="-21"/>
          <w:w w:val="105"/>
        </w:rPr>
        <w:t> </w:t>
      </w:r>
      <w:r>
        <w:rPr>
          <w:color w:val="231F20"/>
          <w:w w:val="105"/>
        </w:rPr>
        <w:t>de</w:t>
      </w:r>
      <w:r>
        <w:rPr>
          <w:color w:val="231F20"/>
          <w:spacing w:val="-21"/>
          <w:w w:val="105"/>
        </w:rPr>
        <w:t> </w:t>
      </w:r>
      <w:r>
        <w:rPr>
          <w:color w:val="231F20"/>
          <w:w w:val="105"/>
        </w:rPr>
        <w:t>California</w:t>
      </w:r>
      <w:r>
        <w:rPr>
          <w:color w:val="231F20"/>
          <w:spacing w:val="-21"/>
          <w:w w:val="105"/>
        </w:rPr>
        <w:t> </w:t>
      </w:r>
      <w:r>
        <w:rPr>
          <w:color w:val="231F20"/>
          <w:w w:val="105"/>
        </w:rPr>
        <w:t>y</w:t>
      </w:r>
      <w:r>
        <w:rPr>
          <w:color w:val="231F20"/>
          <w:spacing w:val="-21"/>
          <w:w w:val="105"/>
        </w:rPr>
        <w:t> </w:t>
      </w:r>
      <w:r>
        <w:rPr>
          <w:color w:val="231F20"/>
          <w:w w:val="105"/>
        </w:rPr>
        <w:t>antes</w:t>
      </w:r>
      <w:r>
        <w:rPr>
          <w:color w:val="231F20"/>
          <w:spacing w:val="-21"/>
          <w:w w:val="105"/>
        </w:rPr>
        <w:t> </w:t>
      </w:r>
      <w:r>
        <w:rPr>
          <w:color w:val="231F20"/>
          <w:w w:val="105"/>
        </w:rPr>
        <w:t>de</w:t>
      </w:r>
      <w:r>
        <w:rPr>
          <w:color w:val="231F20"/>
          <w:spacing w:val="-21"/>
          <w:w w:val="105"/>
        </w:rPr>
        <w:t> </w:t>
      </w:r>
      <w:r>
        <w:rPr>
          <w:color w:val="231F20"/>
          <w:w w:val="105"/>
        </w:rPr>
        <w:t>enlistarse</w:t>
      </w:r>
      <w:r>
        <w:rPr>
          <w:color w:val="231F20"/>
          <w:spacing w:val="-21"/>
          <w:w w:val="105"/>
        </w:rPr>
        <w:t> </w:t>
      </w:r>
      <w:r>
        <w:rPr>
          <w:color w:val="231F20"/>
          <w:w w:val="105"/>
        </w:rPr>
        <w:t>para</w:t>
      </w:r>
      <w:r>
        <w:rPr>
          <w:color w:val="231F20"/>
          <w:spacing w:val="-21"/>
          <w:w w:val="105"/>
        </w:rPr>
        <w:t> </w:t>
      </w:r>
      <w:r>
        <w:rPr>
          <w:color w:val="231F20"/>
          <w:w w:val="105"/>
        </w:rPr>
        <w:t>volver</w:t>
      </w:r>
      <w:r>
        <w:rPr>
          <w:color w:val="231F20"/>
          <w:spacing w:val="-21"/>
          <w:w w:val="105"/>
        </w:rPr>
        <w:t> </w:t>
      </w:r>
      <w:r>
        <w:rPr>
          <w:color w:val="231F20"/>
          <w:w w:val="105"/>
        </w:rPr>
        <w:t>a</w:t>
      </w:r>
      <w:r>
        <w:rPr>
          <w:color w:val="231F20"/>
          <w:spacing w:val="-21"/>
          <w:w w:val="105"/>
        </w:rPr>
        <w:t> </w:t>
      </w:r>
      <w:r>
        <w:rPr>
          <w:color w:val="231F20"/>
          <w:w w:val="105"/>
        </w:rPr>
        <w:t>emigrar.</w:t>
      </w:r>
      <w:r>
        <w:rPr>
          <w:color w:val="231F20"/>
          <w:w w:val="93"/>
        </w:rPr>
        <w:t> </w:t>
      </w:r>
      <w:r>
        <w:rPr>
          <w:color w:val="231F20"/>
          <w:w w:val="105"/>
        </w:rPr>
        <w:t>A lo largo de su experiencia como bracero, conoció la  </w:t>
      </w:r>
      <w:r>
        <w:rPr>
          <w:color w:val="231F20"/>
          <w:spacing w:val="5"/>
          <w:w w:val="105"/>
        </w:rPr>
        <w:t> </w:t>
      </w:r>
      <w:r>
        <w:rPr>
          <w:color w:val="231F20"/>
          <w:w w:val="105"/>
        </w:rPr>
        <w:t>importan-</w:t>
      </w:r>
    </w:p>
    <w:p>
      <w:pPr>
        <w:pStyle w:val="BodyText"/>
        <w:spacing w:line="261" w:lineRule="auto"/>
        <w:ind w:left="1837" w:right="1714"/>
        <w:jc w:val="both"/>
      </w:pPr>
      <w:r>
        <w:rPr>
          <w:color w:val="231F20"/>
          <w:w w:val="105"/>
        </w:rPr>
        <w:t>cia de tener una identidad formal, de tener </w:t>
      </w:r>
      <w:r>
        <w:rPr>
          <w:rFonts w:ascii="Arial" w:hAnsi="Arial"/>
          <w:i/>
          <w:color w:val="231F20"/>
          <w:w w:val="105"/>
        </w:rPr>
        <w:t>papeles</w:t>
      </w:r>
      <w:r>
        <w:rPr>
          <w:color w:val="231F20"/>
          <w:w w:val="105"/>
        </w:rPr>
        <w:t>, de aparecer en las </w:t>
      </w:r>
      <w:r>
        <w:rPr>
          <w:rFonts w:ascii="Arial" w:hAnsi="Arial"/>
          <w:i/>
          <w:color w:val="231F20"/>
          <w:w w:val="105"/>
        </w:rPr>
        <w:t>listas </w:t>
      </w:r>
      <w:r>
        <w:rPr>
          <w:color w:val="231F20"/>
          <w:w w:val="105"/>
        </w:rPr>
        <w:t>y de ser </w:t>
      </w:r>
      <w:r>
        <w:rPr>
          <w:rFonts w:ascii="Arial" w:hAnsi="Arial"/>
          <w:i/>
          <w:color w:val="231F20"/>
          <w:w w:val="105"/>
        </w:rPr>
        <w:t>alguien </w:t>
      </w:r>
      <w:r>
        <w:rPr>
          <w:color w:val="231F20"/>
          <w:w w:val="105"/>
        </w:rPr>
        <w:t>ante un empleador o un agente de migración. </w:t>
      </w:r>
      <w:r>
        <w:rPr>
          <w:color w:val="231F20"/>
          <w:spacing w:val="-3"/>
          <w:w w:val="105"/>
        </w:rPr>
        <w:t>También</w:t>
      </w:r>
      <w:r>
        <w:rPr>
          <w:color w:val="231F20"/>
          <w:spacing w:val="-15"/>
          <w:w w:val="105"/>
        </w:rPr>
        <w:t> </w:t>
      </w:r>
      <w:r>
        <w:rPr>
          <w:color w:val="231F20"/>
          <w:w w:val="105"/>
        </w:rPr>
        <w:t>supo</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es</w:t>
      </w:r>
      <w:r>
        <w:rPr>
          <w:color w:val="231F20"/>
          <w:spacing w:val="-15"/>
          <w:w w:val="105"/>
        </w:rPr>
        <w:t> </w:t>
      </w:r>
      <w:r>
        <w:rPr>
          <w:rFonts w:ascii="Arial" w:hAnsi="Arial"/>
          <w:i/>
          <w:color w:val="231F20"/>
          <w:w w:val="105"/>
        </w:rPr>
        <w:t>desaparecer</w:t>
      </w:r>
      <w:r>
        <w:rPr>
          <w:color w:val="231F20"/>
          <w:w w:val="105"/>
        </w:rPr>
        <w:t>,</w:t>
      </w:r>
      <w:r>
        <w:rPr>
          <w:color w:val="231F20"/>
          <w:spacing w:val="-20"/>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es</w:t>
      </w:r>
      <w:r>
        <w:rPr>
          <w:color w:val="231F20"/>
          <w:spacing w:val="-15"/>
          <w:w w:val="105"/>
        </w:rPr>
        <w:t> </w:t>
      </w:r>
      <w:r>
        <w:rPr>
          <w:color w:val="231F20"/>
          <w:w w:val="105"/>
        </w:rPr>
        <w:t>quedar</w:t>
      </w:r>
      <w:r>
        <w:rPr>
          <w:color w:val="231F20"/>
          <w:spacing w:val="-15"/>
          <w:w w:val="105"/>
        </w:rPr>
        <w:t> </w:t>
      </w:r>
      <w:r>
        <w:rPr>
          <w:color w:val="231F20"/>
          <w:w w:val="105"/>
        </w:rPr>
        <w:t>(por</w:t>
      </w:r>
      <w:r>
        <w:rPr>
          <w:color w:val="231F20"/>
          <w:spacing w:val="-15"/>
          <w:w w:val="105"/>
        </w:rPr>
        <w:t> </w:t>
      </w:r>
      <w:r>
        <w:rPr>
          <w:color w:val="231F20"/>
          <w:w w:val="105"/>
        </w:rPr>
        <w:t>razones</w:t>
      </w:r>
      <w:r>
        <w:rPr>
          <w:color w:val="231F20"/>
          <w:spacing w:val="-15"/>
          <w:w w:val="105"/>
        </w:rPr>
        <w:t> </w:t>
      </w:r>
      <w:r>
        <w:rPr>
          <w:color w:val="231F20"/>
          <w:w w:val="105"/>
        </w:rPr>
        <w:t>que nunca</w:t>
      </w:r>
      <w:r>
        <w:rPr>
          <w:color w:val="231F20"/>
          <w:spacing w:val="-5"/>
          <w:w w:val="105"/>
        </w:rPr>
        <w:t> </w:t>
      </w:r>
      <w:r>
        <w:rPr>
          <w:color w:val="231F20"/>
          <w:w w:val="105"/>
        </w:rPr>
        <w:t>sabría)</w:t>
      </w:r>
      <w:r>
        <w:rPr>
          <w:color w:val="231F20"/>
          <w:spacing w:val="-5"/>
          <w:w w:val="105"/>
        </w:rPr>
        <w:t> </w:t>
      </w:r>
      <w:r>
        <w:rPr>
          <w:color w:val="231F20"/>
          <w:w w:val="105"/>
        </w:rPr>
        <w:t>marginado</w:t>
      </w:r>
      <w:r>
        <w:rPr>
          <w:color w:val="231F20"/>
          <w:spacing w:val="-5"/>
          <w:w w:val="105"/>
        </w:rPr>
        <w:t> </w:t>
      </w:r>
      <w:r>
        <w:rPr>
          <w:color w:val="231F20"/>
          <w:w w:val="105"/>
        </w:rPr>
        <w:t>del</w:t>
      </w:r>
      <w:r>
        <w:rPr>
          <w:color w:val="231F20"/>
          <w:spacing w:val="-5"/>
          <w:w w:val="105"/>
        </w:rPr>
        <w:t> </w:t>
      </w:r>
      <w:r>
        <w:rPr>
          <w:color w:val="231F20"/>
          <w:w w:val="105"/>
        </w:rPr>
        <w:t>proceso</w:t>
      </w:r>
      <w:r>
        <w:rPr>
          <w:color w:val="231F20"/>
          <w:spacing w:val="-5"/>
          <w:w w:val="105"/>
        </w:rPr>
        <w:t> </w:t>
      </w:r>
      <w:r>
        <w:rPr>
          <w:color w:val="231F20"/>
          <w:w w:val="105"/>
        </w:rPr>
        <w:t>de</w:t>
      </w:r>
      <w:r>
        <w:rPr>
          <w:color w:val="231F20"/>
          <w:spacing w:val="-5"/>
          <w:w w:val="105"/>
        </w:rPr>
        <w:t> </w:t>
      </w:r>
      <w:r>
        <w:rPr>
          <w:color w:val="231F20"/>
          <w:w w:val="105"/>
        </w:rPr>
        <w:t>contratación,</w:t>
      </w:r>
      <w:r>
        <w:rPr>
          <w:color w:val="231F20"/>
          <w:spacing w:val="-11"/>
          <w:w w:val="105"/>
        </w:rPr>
        <w:t> </w:t>
      </w:r>
      <w:r>
        <w:rPr>
          <w:color w:val="231F20"/>
          <w:w w:val="105"/>
        </w:rPr>
        <w:t>y</w:t>
      </w:r>
      <w:r>
        <w:rPr>
          <w:color w:val="231F20"/>
          <w:spacing w:val="-5"/>
          <w:w w:val="105"/>
        </w:rPr>
        <w:t> </w:t>
      </w:r>
      <w:r>
        <w:rPr>
          <w:color w:val="231F20"/>
          <w:w w:val="105"/>
        </w:rPr>
        <w:t>que</w:t>
      </w:r>
      <w:r>
        <w:rPr>
          <w:color w:val="231F20"/>
          <w:spacing w:val="-5"/>
          <w:w w:val="105"/>
        </w:rPr>
        <w:t> </w:t>
      </w:r>
      <w:r>
        <w:rPr>
          <w:color w:val="231F20"/>
          <w:w w:val="105"/>
        </w:rPr>
        <w:t>su</w:t>
      </w:r>
      <w:r>
        <w:rPr>
          <w:color w:val="231F20"/>
          <w:spacing w:val="-5"/>
          <w:w w:val="105"/>
        </w:rPr>
        <w:t> </w:t>
      </w:r>
      <w:r>
        <w:rPr>
          <w:color w:val="231F20"/>
          <w:w w:val="105"/>
        </w:rPr>
        <w:t>nombre no</w:t>
      </w:r>
      <w:r>
        <w:rPr>
          <w:color w:val="231F20"/>
          <w:spacing w:val="-8"/>
          <w:w w:val="105"/>
        </w:rPr>
        <w:t> </w:t>
      </w:r>
      <w:r>
        <w:rPr>
          <w:color w:val="231F20"/>
          <w:w w:val="105"/>
        </w:rPr>
        <w:t>volviera</w:t>
      </w:r>
      <w:r>
        <w:rPr>
          <w:color w:val="231F20"/>
          <w:spacing w:val="-8"/>
          <w:w w:val="105"/>
        </w:rPr>
        <w:t> </w:t>
      </w:r>
      <w:r>
        <w:rPr>
          <w:color w:val="231F20"/>
          <w:w w:val="105"/>
        </w:rPr>
        <w:t>a</w:t>
      </w:r>
      <w:r>
        <w:rPr>
          <w:color w:val="231F20"/>
          <w:spacing w:val="-8"/>
          <w:w w:val="105"/>
        </w:rPr>
        <w:t> </w:t>
      </w:r>
      <w:r>
        <w:rPr>
          <w:color w:val="231F20"/>
          <w:w w:val="105"/>
        </w:rPr>
        <w:t>estar</w:t>
      </w:r>
      <w:r>
        <w:rPr>
          <w:color w:val="231F20"/>
          <w:spacing w:val="-8"/>
          <w:w w:val="105"/>
        </w:rPr>
        <w:t> </w:t>
      </w:r>
      <w:r>
        <w:rPr>
          <w:color w:val="231F20"/>
          <w:w w:val="105"/>
        </w:rPr>
        <w:t>entre</w:t>
      </w:r>
      <w:r>
        <w:rPr>
          <w:color w:val="231F20"/>
          <w:spacing w:val="-8"/>
          <w:w w:val="105"/>
        </w:rPr>
        <w:t> </w:t>
      </w:r>
      <w:r>
        <w:rPr>
          <w:color w:val="231F20"/>
          <w:w w:val="105"/>
        </w:rPr>
        <w:t>los</w:t>
      </w:r>
      <w:r>
        <w:rPr>
          <w:color w:val="231F20"/>
          <w:spacing w:val="-8"/>
          <w:w w:val="105"/>
        </w:rPr>
        <w:t> </w:t>
      </w:r>
      <w:r>
        <w:rPr>
          <w:color w:val="231F20"/>
          <w:w w:val="105"/>
        </w:rPr>
        <w:t>de</w:t>
      </w:r>
      <w:r>
        <w:rPr>
          <w:color w:val="231F20"/>
          <w:spacing w:val="-8"/>
          <w:w w:val="105"/>
        </w:rPr>
        <w:t> </w:t>
      </w:r>
      <w:r>
        <w:rPr>
          <w:color w:val="231F20"/>
          <w:w w:val="105"/>
        </w:rPr>
        <w:t>miles</w:t>
      </w:r>
      <w:r>
        <w:rPr>
          <w:color w:val="231F20"/>
          <w:spacing w:val="-8"/>
          <w:w w:val="105"/>
        </w:rPr>
        <w:t> </w:t>
      </w:r>
      <w:r>
        <w:rPr>
          <w:color w:val="231F20"/>
          <w:w w:val="105"/>
        </w:rPr>
        <w:t>de</w:t>
      </w:r>
      <w:r>
        <w:rPr>
          <w:color w:val="231F20"/>
          <w:spacing w:val="-8"/>
          <w:w w:val="105"/>
        </w:rPr>
        <w:t> </w:t>
      </w:r>
      <w:r>
        <w:rPr>
          <w:color w:val="231F20"/>
          <w:w w:val="105"/>
        </w:rPr>
        <w:t>trabajadores</w:t>
      </w:r>
      <w:r>
        <w:rPr>
          <w:color w:val="231F20"/>
          <w:spacing w:val="-8"/>
          <w:w w:val="105"/>
        </w:rPr>
        <w:t> </w:t>
      </w:r>
      <w:r>
        <w:rPr>
          <w:color w:val="231F20"/>
          <w:w w:val="105"/>
        </w:rPr>
        <w:t>que</w:t>
      </w:r>
      <w:r>
        <w:rPr>
          <w:color w:val="231F20"/>
          <w:spacing w:val="-8"/>
          <w:w w:val="105"/>
        </w:rPr>
        <w:t> </w:t>
      </w:r>
      <w:r>
        <w:rPr>
          <w:color w:val="231F20"/>
          <w:w w:val="105"/>
        </w:rPr>
        <w:t>esperaban</w:t>
      </w:r>
      <w:r>
        <w:rPr>
          <w:color w:val="231F20"/>
          <w:spacing w:val="-8"/>
          <w:w w:val="105"/>
        </w:rPr>
        <w:t> </w:t>
      </w:r>
      <w:r>
        <w:rPr>
          <w:color w:val="231F20"/>
          <w:w w:val="105"/>
        </w:rPr>
        <w:t>en los</w:t>
      </w:r>
      <w:r>
        <w:rPr>
          <w:color w:val="231F20"/>
          <w:spacing w:val="-4"/>
          <w:w w:val="105"/>
        </w:rPr>
        <w:t> </w:t>
      </w:r>
      <w:r>
        <w:rPr>
          <w:color w:val="231F20"/>
          <w:w w:val="105"/>
        </w:rPr>
        <w:t>lugares</w:t>
      </w:r>
      <w:r>
        <w:rPr>
          <w:color w:val="231F20"/>
          <w:spacing w:val="-4"/>
          <w:w w:val="105"/>
        </w:rPr>
        <w:t> </w:t>
      </w:r>
      <w:r>
        <w:rPr>
          <w:color w:val="231F20"/>
          <w:w w:val="105"/>
        </w:rPr>
        <w:t>de</w:t>
      </w:r>
      <w:r>
        <w:rPr>
          <w:color w:val="231F20"/>
          <w:spacing w:val="-4"/>
          <w:w w:val="105"/>
        </w:rPr>
        <w:t> </w:t>
      </w:r>
      <w:r>
        <w:rPr>
          <w:rFonts w:ascii="Arial" w:hAnsi="Arial"/>
          <w:i/>
          <w:color w:val="231F20"/>
          <w:w w:val="105"/>
        </w:rPr>
        <w:t>enganche</w:t>
      </w:r>
      <w:r>
        <w:rPr>
          <w:color w:val="231F20"/>
          <w:w w:val="105"/>
        </w:rPr>
        <w:t>,</w:t>
      </w:r>
      <w:r>
        <w:rPr>
          <w:color w:val="231F20"/>
          <w:spacing w:val="-10"/>
          <w:w w:val="105"/>
        </w:rPr>
        <w:t> </w:t>
      </w:r>
      <w:r>
        <w:rPr>
          <w:color w:val="231F20"/>
          <w:w w:val="105"/>
        </w:rPr>
        <w:t>horas,</w:t>
      </w:r>
      <w:r>
        <w:rPr>
          <w:color w:val="231F20"/>
          <w:spacing w:val="-10"/>
          <w:w w:val="105"/>
        </w:rPr>
        <w:t> </w:t>
      </w:r>
      <w:r>
        <w:rPr>
          <w:color w:val="231F20"/>
          <w:w w:val="105"/>
        </w:rPr>
        <w:t>días</w:t>
      </w:r>
      <w:r>
        <w:rPr>
          <w:color w:val="231F20"/>
          <w:spacing w:val="-4"/>
          <w:w w:val="105"/>
        </w:rPr>
        <w:t> </w:t>
      </w:r>
      <w:r>
        <w:rPr>
          <w:color w:val="231F20"/>
          <w:w w:val="105"/>
        </w:rPr>
        <w:t>y</w:t>
      </w:r>
      <w:r>
        <w:rPr>
          <w:color w:val="231F20"/>
          <w:spacing w:val="-4"/>
          <w:w w:val="105"/>
        </w:rPr>
        <w:t> </w:t>
      </w:r>
      <w:r>
        <w:rPr>
          <w:color w:val="231F20"/>
          <w:w w:val="105"/>
        </w:rPr>
        <w:t>hasta</w:t>
      </w:r>
      <w:r>
        <w:rPr>
          <w:color w:val="231F20"/>
          <w:spacing w:val="-4"/>
          <w:w w:val="105"/>
        </w:rPr>
        <w:t> </w:t>
      </w:r>
      <w:r>
        <w:rPr>
          <w:color w:val="231F20"/>
          <w:w w:val="105"/>
        </w:rPr>
        <w:t>semanas</w:t>
      </w:r>
      <w:r>
        <w:rPr>
          <w:color w:val="231F20"/>
          <w:spacing w:val="-4"/>
          <w:w w:val="105"/>
        </w:rPr>
        <w:t> </w:t>
      </w:r>
      <w:r>
        <w:rPr>
          <w:color w:val="231F20"/>
          <w:w w:val="105"/>
        </w:rPr>
        <w:t>para</w:t>
      </w:r>
      <w:r>
        <w:rPr>
          <w:color w:val="231F20"/>
          <w:spacing w:val="-4"/>
          <w:w w:val="105"/>
        </w:rPr>
        <w:t> </w:t>
      </w:r>
      <w:r>
        <w:rPr>
          <w:color w:val="231F20"/>
          <w:w w:val="105"/>
        </w:rPr>
        <w:t>oír</w:t>
      </w:r>
      <w:r>
        <w:rPr>
          <w:color w:val="231F20"/>
          <w:spacing w:val="-4"/>
          <w:w w:val="105"/>
        </w:rPr>
        <w:t> </w:t>
      </w:r>
      <w:r>
        <w:rPr>
          <w:color w:val="231F20"/>
          <w:w w:val="105"/>
        </w:rPr>
        <w:t>su</w:t>
      </w:r>
      <w:r>
        <w:rPr>
          <w:color w:val="231F20"/>
          <w:spacing w:val="-4"/>
          <w:w w:val="105"/>
        </w:rPr>
        <w:t> </w:t>
      </w:r>
      <w:r>
        <w:rPr>
          <w:color w:val="231F20"/>
          <w:w w:val="105"/>
        </w:rPr>
        <w:t>nom- bre, personarse y así continuar su viaje al norte con la certidumbre de tener un empleo temporal en algún lugar del sur de Estados Unidos.  Su experiencia le permitió también ver cómo con el paso del tiempo muchos</w:t>
      </w:r>
      <w:r>
        <w:rPr>
          <w:color w:val="231F20"/>
          <w:spacing w:val="-28"/>
          <w:w w:val="105"/>
        </w:rPr>
        <w:t> </w:t>
      </w:r>
      <w:r>
        <w:rPr>
          <w:color w:val="231F20"/>
          <w:w w:val="105"/>
        </w:rPr>
        <w:t>desistían.</w:t>
      </w:r>
      <w:r>
        <w:rPr>
          <w:color w:val="231F20"/>
          <w:spacing w:val="-33"/>
          <w:w w:val="105"/>
        </w:rPr>
        <w:t> </w:t>
      </w:r>
      <w:r>
        <w:rPr>
          <w:color w:val="231F20"/>
          <w:w w:val="105"/>
        </w:rPr>
        <w:t>Con</w:t>
      </w:r>
      <w:r>
        <w:rPr>
          <w:color w:val="231F20"/>
          <w:spacing w:val="-28"/>
          <w:w w:val="105"/>
        </w:rPr>
        <w:t> </w:t>
      </w:r>
      <w:r>
        <w:rPr>
          <w:color w:val="231F20"/>
          <w:w w:val="105"/>
        </w:rPr>
        <w:t>la</w:t>
      </w:r>
      <w:r>
        <w:rPr>
          <w:color w:val="231F20"/>
          <w:spacing w:val="-28"/>
          <w:w w:val="105"/>
        </w:rPr>
        <w:t> </w:t>
      </w:r>
      <w:r>
        <w:rPr>
          <w:color w:val="231F20"/>
          <w:w w:val="105"/>
        </w:rPr>
        <w:t>paciencia</w:t>
      </w:r>
      <w:r>
        <w:rPr>
          <w:color w:val="231F20"/>
          <w:spacing w:val="-28"/>
          <w:w w:val="105"/>
        </w:rPr>
        <w:t> </w:t>
      </w:r>
      <w:r>
        <w:rPr>
          <w:color w:val="231F20"/>
          <w:w w:val="105"/>
        </w:rPr>
        <w:t>y</w:t>
      </w:r>
      <w:r>
        <w:rPr>
          <w:color w:val="231F20"/>
          <w:spacing w:val="-28"/>
          <w:w w:val="105"/>
        </w:rPr>
        <w:t> </w:t>
      </w:r>
      <w:r>
        <w:rPr>
          <w:color w:val="231F20"/>
          <w:w w:val="105"/>
        </w:rPr>
        <w:t>sus</w:t>
      </w:r>
      <w:r>
        <w:rPr>
          <w:color w:val="231F20"/>
          <w:spacing w:val="-28"/>
          <w:w w:val="105"/>
        </w:rPr>
        <w:t> </w:t>
      </w:r>
      <w:r>
        <w:rPr>
          <w:color w:val="231F20"/>
          <w:w w:val="105"/>
        </w:rPr>
        <w:t>recursos</w:t>
      </w:r>
      <w:r>
        <w:rPr>
          <w:color w:val="231F20"/>
          <w:spacing w:val="-28"/>
          <w:w w:val="105"/>
        </w:rPr>
        <w:t> </w:t>
      </w:r>
      <w:r>
        <w:rPr>
          <w:color w:val="231F20"/>
          <w:w w:val="105"/>
        </w:rPr>
        <w:t>agotados</w:t>
      </w:r>
      <w:r>
        <w:rPr>
          <w:color w:val="231F20"/>
          <w:spacing w:val="-28"/>
          <w:w w:val="105"/>
        </w:rPr>
        <w:t> </w:t>
      </w:r>
      <w:r>
        <w:rPr>
          <w:color w:val="231F20"/>
          <w:w w:val="105"/>
        </w:rPr>
        <w:t>las</w:t>
      </w:r>
      <w:r>
        <w:rPr>
          <w:color w:val="231F20"/>
          <w:spacing w:val="-28"/>
          <w:w w:val="105"/>
        </w:rPr>
        <w:t> </w:t>
      </w:r>
      <w:r>
        <w:rPr>
          <w:color w:val="231F20"/>
          <w:w w:val="105"/>
        </w:rPr>
        <w:t>personas retornaban</w:t>
      </w:r>
      <w:r>
        <w:rPr>
          <w:color w:val="231F20"/>
          <w:spacing w:val="-13"/>
          <w:w w:val="105"/>
        </w:rPr>
        <w:t> </w:t>
      </w:r>
      <w:r>
        <w:rPr>
          <w:color w:val="231F20"/>
          <w:w w:val="105"/>
        </w:rPr>
        <w:t>a</w:t>
      </w:r>
      <w:r>
        <w:rPr>
          <w:color w:val="231F20"/>
          <w:spacing w:val="-13"/>
          <w:w w:val="105"/>
        </w:rPr>
        <w:t> </w:t>
      </w:r>
      <w:r>
        <w:rPr>
          <w:color w:val="231F20"/>
          <w:w w:val="105"/>
        </w:rPr>
        <w:t>su</w:t>
      </w:r>
      <w:r>
        <w:rPr>
          <w:color w:val="231F20"/>
          <w:spacing w:val="-13"/>
          <w:w w:val="105"/>
        </w:rPr>
        <w:t> </w:t>
      </w:r>
      <w:r>
        <w:rPr>
          <w:color w:val="231F20"/>
          <w:w w:val="105"/>
        </w:rPr>
        <w:t>lugar</w:t>
      </w:r>
      <w:r>
        <w:rPr>
          <w:color w:val="231F20"/>
          <w:spacing w:val="-13"/>
          <w:w w:val="105"/>
        </w:rPr>
        <w:t> </w:t>
      </w:r>
      <w:r>
        <w:rPr>
          <w:color w:val="231F20"/>
          <w:w w:val="105"/>
        </w:rPr>
        <w:t>de</w:t>
      </w:r>
      <w:r>
        <w:rPr>
          <w:color w:val="231F20"/>
          <w:spacing w:val="-13"/>
          <w:w w:val="105"/>
        </w:rPr>
        <w:t> </w:t>
      </w:r>
      <w:r>
        <w:rPr>
          <w:color w:val="231F20"/>
          <w:w w:val="105"/>
        </w:rPr>
        <w:t>origen,</w:t>
      </w:r>
      <w:r>
        <w:rPr>
          <w:color w:val="231F20"/>
          <w:spacing w:val="-18"/>
          <w:w w:val="105"/>
        </w:rPr>
        <w:t> </w:t>
      </w:r>
      <w:r>
        <w:rPr>
          <w:color w:val="231F20"/>
          <w:w w:val="105"/>
        </w:rPr>
        <w:t>sin</w:t>
      </w:r>
      <w:r>
        <w:rPr>
          <w:color w:val="231F20"/>
          <w:spacing w:val="-13"/>
          <w:w w:val="105"/>
        </w:rPr>
        <w:t> </w:t>
      </w:r>
      <w:r>
        <w:rPr>
          <w:color w:val="231F20"/>
          <w:w w:val="105"/>
        </w:rPr>
        <w:t>dinero</w:t>
      </w:r>
      <w:r>
        <w:rPr>
          <w:color w:val="231F20"/>
          <w:spacing w:val="-13"/>
          <w:w w:val="105"/>
        </w:rPr>
        <w:t> </w:t>
      </w:r>
      <w:r>
        <w:rPr>
          <w:color w:val="231F20"/>
          <w:spacing w:val="-4"/>
          <w:w w:val="105"/>
        </w:rPr>
        <w:t>y,</w:t>
      </w:r>
      <w:r>
        <w:rPr>
          <w:color w:val="231F20"/>
          <w:spacing w:val="-18"/>
          <w:w w:val="105"/>
        </w:rPr>
        <w:t> </w:t>
      </w:r>
      <w:r>
        <w:rPr>
          <w:color w:val="231F20"/>
          <w:w w:val="105"/>
        </w:rPr>
        <w:t>en</w:t>
      </w:r>
      <w:r>
        <w:rPr>
          <w:color w:val="231F20"/>
          <w:spacing w:val="-13"/>
          <w:w w:val="105"/>
        </w:rPr>
        <w:t> </w:t>
      </w:r>
      <w:r>
        <w:rPr>
          <w:color w:val="231F20"/>
          <w:w w:val="105"/>
        </w:rPr>
        <w:t>muchos</w:t>
      </w:r>
      <w:r>
        <w:rPr>
          <w:color w:val="231F20"/>
          <w:spacing w:val="-13"/>
          <w:w w:val="105"/>
        </w:rPr>
        <w:t> </w:t>
      </w:r>
      <w:r>
        <w:rPr>
          <w:color w:val="231F20"/>
          <w:w w:val="105"/>
        </w:rPr>
        <w:t>casos,</w:t>
      </w:r>
      <w:r>
        <w:rPr>
          <w:color w:val="231F20"/>
          <w:spacing w:val="-18"/>
          <w:w w:val="105"/>
        </w:rPr>
        <w:t> </w:t>
      </w:r>
      <w:r>
        <w:rPr>
          <w:color w:val="231F20"/>
          <w:w w:val="105"/>
        </w:rPr>
        <w:t>con</w:t>
      </w:r>
      <w:r>
        <w:rPr>
          <w:color w:val="231F20"/>
          <w:spacing w:val="-13"/>
          <w:w w:val="105"/>
        </w:rPr>
        <w:t> </w:t>
      </w:r>
      <w:r>
        <w:rPr>
          <w:color w:val="231F20"/>
          <w:w w:val="105"/>
        </w:rPr>
        <w:t>más deudas por</w:t>
      </w:r>
      <w:r>
        <w:rPr>
          <w:color w:val="231F20"/>
          <w:spacing w:val="-4"/>
          <w:w w:val="105"/>
        </w:rPr>
        <w:t> </w:t>
      </w:r>
      <w:r>
        <w:rPr>
          <w:color w:val="231F20"/>
          <w:w w:val="105"/>
        </w:rPr>
        <w:t>pagar.</w:t>
      </w:r>
    </w:p>
    <w:p>
      <w:pPr>
        <w:pStyle w:val="BodyText"/>
        <w:spacing w:line="261" w:lineRule="auto" w:before="1"/>
        <w:ind w:left="1837" w:right="1715" w:firstLine="567"/>
        <w:jc w:val="both"/>
      </w:pPr>
      <w:r>
        <w:rPr>
          <w:color w:val="231F20"/>
          <w:w w:val="105"/>
        </w:rPr>
        <w:t>Así</w:t>
      </w:r>
      <w:r>
        <w:rPr>
          <w:color w:val="231F20"/>
          <w:spacing w:val="-25"/>
          <w:w w:val="105"/>
        </w:rPr>
        <w:t> </w:t>
      </w:r>
      <w:r>
        <w:rPr>
          <w:color w:val="231F20"/>
          <w:w w:val="105"/>
        </w:rPr>
        <w:t>le</w:t>
      </w:r>
      <w:r>
        <w:rPr>
          <w:color w:val="231F20"/>
          <w:spacing w:val="-25"/>
          <w:w w:val="105"/>
        </w:rPr>
        <w:t> </w:t>
      </w:r>
      <w:r>
        <w:rPr>
          <w:color w:val="231F20"/>
          <w:w w:val="105"/>
        </w:rPr>
        <w:t>pasó</w:t>
      </w:r>
      <w:r>
        <w:rPr>
          <w:color w:val="231F20"/>
          <w:spacing w:val="-25"/>
          <w:w w:val="105"/>
        </w:rPr>
        <w:t> </w:t>
      </w:r>
      <w:r>
        <w:rPr>
          <w:color w:val="231F20"/>
          <w:w w:val="105"/>
        </w:rPr>
        <w:t>a</w:t>
      </w:r>
      <w:r>
        <w:rPr>
          <w:color w:val="231F20"/>
          <w:spacing w:val="-25"/>
          <w:w w:val="105"/>
        </w:rPr>
        <w:t> </w:t>
      </w:r>
      <w:r>
        <w:rPr>
          <w:color w:val="231F20"/>
          <w:w w:val="105"/>
        </w:rPr>
        <w:t>Rafael</w:t>
      </w:r>
      <w:r>
        <w:rPr>
          <w:color w:val="231F20"/>
          <w:spacing w:val="-25"/>
          <w:w w:val="105"/>
        </w:rPr>
        <w:t> </w:t>
      </w:r>
      <w:r>
        <w:rPr>
          <w:color w:val="231F20"/>
          <w:w w:val="105"/>
        </w:rPr>
        <w:t>y</w:t>
      </w:r>
      <w:r>
        <w:rPr>
          <w:color w:val="231F20"/>
          <w:spacing w:val="-25"/>
          <w:w w:val="105"/>
        </w:rPr>
        <w:t> </w:t>
      </w:r>
      <w:r>
        <w:rPr>
          <w:color w:val="231F20"/>
          <w:w w:val="105"/>
        </w:rPr>
        <w:t>un</w:t>
      </w:r>
      <w:r>
        <w:rPr>
          <w:color w:val="231F20"/>
          <w:spacing w:val="-25"/>
          <w:w w:val="105"/>
        </w:rPr>
        <w:t> </w:t>
      </w:r>
      <w:r>
        <w:rPr>
          <w:color w:val="231F20"/>
          <w:w w:val="105"/>
        </w:rPr>
        <w:t>día</w:t>
      </w:r>
      <w:r>
        <w:rPr>
          <w:color w:val="231F20"/>
          <w:spacing w:val="-25"/>
          <w:w w:val="105"/>
        </w:rPr>
        <w:t> </w:t>
      </w:r>
      <w:r>
        <w:rPr>
          <w:color w:val="231F20"/>
          <w:w w:val="105"/>
        </w:rPr>
        <w:t>tuvo</w:t>
      </w:r>
      <w:r>
        <w:rPr>
          <w:color w:val="231F20"/>
          <w:spacing w:val="-25"/>
          <w:w w:val="105"/>
        </w:rPr>
        <w:t> </w:t>
      </w:r>
      <w:r>
        <w:rPr>
          <w:color w:val="231F20"/>
          <w:w w:val="105"/>
        </w:rPr>
        <w:t>que</w:t>
      </w:r>
      <w:r>
        <w:rPr>
          <w:color w:val="231F20"/>
          <w:spacing w:val="-25"/>
          <w:w w:val="105"/>
        </w:rPr>
        <w:t> </w:t>
      </w:r>
      <w:r>
        <w:rPr>
          <w:color w:val="231F20"/>
          <w:w w:val="105"/>
        </w:rPr>
        <w:t>regresar</w:t>
      </w:r>
      <w:r>
        <w:rPr>
          <w:color w:val="231F20"/>
          <w:spacing w:val="-25"/>
          <w:w w:val="105"/>
        </w:rPr>
        <w:t> </w:t>
      </w:r>
      <w:r>
        <w:rPr>
          <w:color w:val="231F20"/>
          <w:w w:val="105"/>
        </w:rPr>
        <w:t>para</w:t>
      </w:r>
      <w:r>
        <w:rPr>
          <w:color w:val="231F20"/>
          <w:spacing w:val="-25"/>
          <w:w w:val="105"/>
        </w:rPr>
        <w:t> </w:t>
      </w:r>
      <w:r>
        <w:rPr>
          <w:color w:val="231F20"/>
          <w:w w:val="105"/>
        </w:rPr>
        <w:t>continuar</w:t>
      </w:r>
      <w:r>
        <w:rPr>
          <w:color w:val="231F20"/>
          <w:spacing w:val="-25"/>
          <w:w w:val="105"/>
        </w:rPr>
        <w:t> </w:t>
      </w:r>
      <w:r>
        <w:rPr>
          <w:color w:val="231F20"/>
          <w:w w:val="105"/>
        </w:rPr>
        <w:t>traba- jando</w:t>
      </w:r>
      <w:r>
        <w:rPr>
          <w:color w:val="231F20"/>
          <w:spacing w:val="-4"/>
          <w:w w:val="105"/>
        </w:rPr>
        <w:t> </w:t>
      </w:r>
      <w:r>
        <w:rPr>
          <w:color w:val="231F20"/>
          <w:w w:val="105"/>
        </w:rPr>
        <w:t>sus</w:t>
      </w:r>
      <w:r>
        <w:rPr>
          <w:color w:val="231F20"/>
          <w:spacing w:val="-4"/>
          <w:w w:val="105"/>
        </w:rPr>
        <w:t> </w:t>
      </w:r>
      <w:r>
        <w:rPr>
          <w:color w:val="231F20"/>
          <w:w w:val="105"/>
        </w:rPr>
        <w:t>tierras</w:t>
      </w:r>
      <w:r>
        <w:rPr>
          <w:color w:val="231F20"/>
          <w:spacing w:val="-4"/>
          <w:w w:val="105"/>
        </w:rPr>
        <w:t> </w:t>
      </w:r>
      <w:r>
        <w:rPr>
          <w:color w:val="231F20"/>
          <w:w w:val="105"/>
        </w:rPr>
        <w:t>—en</w:t>
      </w:r>
      <w:r>
        <w:rPr>
          <w:color w:val="231F20"/>
          <w:spacing w:val="-4"/>
          <w:w w:val="105"/>
        </w:rPr>
        <w:t> </w:t>
      </w:r>
      <w:r>
        <w:rPr>
          <w:color w:val="231F20"/>
          <w:w w:val="105"/>
        </w:rPr>
        <w:t>las</w:t>
      </w:r>
      <w:r>
        <w:rPr>
          <w:color w:val="231F20"/>
          <w:spacing w:val="-4"/>
          <w:w w:val="105"/>
        </w:rPr>
        <w:t> </w:t>
      </w:r>
      <w:r>
        <w:rPr>
          <w:color w:val="231F20"/>
          <w:w w:val="105"/>
        </w:rPr>
        <w:t>que</w:t>
      </w:r>
      <w:r>
        <w:rPr>
          <w:color w:val="231F20"/>
          <w:spacing w:val="-4"/>
          <w:w w:val="105"/>
        </w:rPr>
        <w:t> </w:t>
      </w:r>
      <w:r>
        <w:rPr>
          <w:color w:val="231F20"/>
          <w:w w:val="105"/>
        </w:rPr>
        <w:t>puso</w:t>
      </w:r>
      <w:r>
        <w:rPr>
          <w:color w:val="231F20"/>
          <w:spacing w:val="-4"/>
          <w:w w:val="105"/>
        </w:rPr>
        <w:t> </w:t>
      </w:r>
      <w:r>
        <w:rPr>
          <w:color w:val="231F20"/>
          <w:w w:val="105"/>
        </w:rPr>
        <w:t>en</w:t>
      </w:r>
      <w:r>
        <w:rPr>
          <w:color w:val="231F20"/>
          <w:spacing w:val="-4"/>
          <w:w w:val="105"/>
        </w:rPr>
        <w:t> </w:t>
      </w:r>
      <w:r>
        <w:rPr>
          <w:color w:val="231F20"/>
          <w:w w:val="105"/>
        </w:rPr>
        <w:t>práctica</w:t>
      </w:r>
      <w:r>
        <w:rPr>
          <w:color w:val="231F20"/>
          <w:spacing w:val="-4"/>
          <w:w w:val="105"/>
        </w:rPr>
        <w:t> </w:t>
      </w:r>
      <w:r>
        <w:rPr>
          <w:color w:val="231F20"/>
          <w:w w:val="105"/>
        </w:rPr>
        <w:t>lo</w:t>
      </w:r>
      <w:r>
        <w:rPr>
          <w:color w:val="231F20"/>
          <w:spacing w:val="-4"/>
          <w:w w:val="105"/>
        </w:rPr>
        <w:t> </w:t>
      </w:r>
      <w:r>
        <w:rPr>
          <w:color w:val="231F20"/>
          <w:w w:val="105"/>
        </w:rPr>
        <w:t>aprendido</w:t>
      </w:r>
      <w:r>
        <w:rPr>
          <w:color w:val="231F20"/>
          <w:spacing w:val="-4"/>
          <w:w w:val="105"/>
        </w:rPr>
        <w:t> </w:t>
      </w:r>
      <w:r>
        <w:rPr>
          <w:color w:val="231F20"/>
          <w:w w:val="105"/>
        </w:rPr>
        <w:t>en</w:t>
      </w:r>
      <w:r>
        <w:rPr>
          <w:color w:val="231F20"/>
          <w:spacing w:val="-4"/>
          <w:w w:val="105"/>
        </w:rPr>
        <w:t> </w:t>
      </w:r>
      <w:r>
        <w:rPr>
          <w:color w:val="231F20"/>
          <w:w w:val="105"/>
        </w:rPr>
        <w:t>los</w:t>
      </w:r>
      <w:r>
        <w:rPr>
          <w:color w:val="231F20"/>
          <w:spacing w:val="-4"/>
          <w:w w:val="105"/>
        </w:rPr>
        <w:t> </w:t>
      </w:r>
      <w:r>
        <w:rPr>
          <w:color w:val="231F20"/>
          <w:w w:val="105"/>
        </w:rPr>
        <w:t>cam- pos de California— e iniciarse en una actividad que apenas conocía, el comercio, y en otra que no le desagradaba, la política. Años más</w:t>
      </w:r>
      <w:r>
        <w:rPr>
          <w:color w:val="231F20"/>
          <w:spacing w:val="-24"/>
          <w:w w:val="105"/>
        </w:rPr>
        <w:t> </w:t>
      </w:r>
      <w:r>
        <w:rPr>
          <w:color w:val="231F20"/>
          <w:w w:val="105"/>
        </w:rPr>
        <w:t>tarde, Rafael</w:t>
      </w:r>
      <w:r>
        <w:rPr>
          <w:color w:val="231F20"/>
          <w:spacing w:val="-26"/>
          <w:w w:val="105"/>
        </w:rPr>
        <w:t> </w:t>
      </w:r>
      <w:r>
        <w:rPr>
          <w:color w:val="231F20"/>
          <w:w w:val="105"/>
        </w:rPr>
        <w:t>regresó</w:t>
      </w:r>
      <w:r>
        <w:rPr>
          <w:color w:val="231F20"/>
          <w:spacing w:val="-26"/>
          <w:w w:val="105"/>
        </w:rPr>
        <w:t> </w:t>
      </w:r>
      <w:r>
        <w:rPr>
          <w:color w:val="231F20"/>
          <w:w w:val="105"/>
        </w:rPr>
        <w:t>a</w:t>
      </w:r>
      <w:r>
        <w:rPr>
          <w:color w:val="231F20"/>
          <w:spacing w:val="-26"/>
          <w:w w:val="105"/>
        </w:rPr>
        <w:t> </w:t>
      </w:r>
      <w:r>
        <w:rPr>
          <w:color w:val="231F20"/>
          <w:w w:val="105"/>
        </w:rPr>
        <w:t>territorio</w:t>
      </w:r>
      <w:r>
        <w:rPr>
          <w:color w:val="231F20"/>
          <w:spacing w:val="-26"/>
          <w:w w:val="105"/>
        </w:rPr>
        <w:t> </w:t>
      </w:r>
      <w:r>
        <w:rPr>
          <w:color w:val="231F20"/>
          <w:w w:val="105"/>
        </w:rPr>
        <w:t>estadunidense,</w:t>
      </w:r>
      <w:r>
        <w:rPr>
          <w:color w:val="231F20"/>
          <w:spacing w:val="-31"/>
          <w:w w:val="105"/>
        </w:rPr>
        <w:t> </w:t>
      </w:r>
      <w:r>
        <w:rPr>
          <w:color w:val="231F20"/>
          <w:w w:val="105"/>
        </w:rPr>
        <w:t>ahora,</w:t>
      </w:r>
      <w:r>
        <w:rPr>
          <w:color w:val="231F20"/>
          <w:spacing w:val="-31"/>
          <w:w w:val="105"/>
        </w:rPr>
        <w:t> </w:t>
      </w:r>
      <w:r>
        <w:rPr>
          <w:color w:val="231F20"/>
          <w:w w:val="105"/>
        </w:rPr>
        <w:t>él</w:t>
      </w:r>
      <w:r>
        <w:rPr>
          <w:color w:val="231F20"/>
          <w:spacing w:val="-26"/>
          <w:w w:val="105"/>
        </w:rPr>
        <w:t> </w:t>
      </w:r>
      <w:r>
        <w:rPr>
          <w:color w:val="231F20"/>
          <w:w w:val="105"/>
        </w:rPr>
        <w:t>se</w:t>
      </w:r>
      <w:r>
        <w:rPr>
          <w:color w:val="231F20"/>
          <w:spacing w:val="-26"/>
          <w:w w:val="105"/>
        </w:rPr>
        <w:t> </w:t>
      </w:r>
      <w:r>
        <w:rPr>
          <w:color w:val="231F20"/>
          <w:w w:val="105"/>
        </w:rPr>
        <w:t>unió</w:t>
      </w:r>
      <w:r>
        <w:rPr>
          <w:color w:val="231F20"/>
          <w:spacing w:val="-26"/>
          <w:w w:val="105"/>
        </w:rPr>
        <w:t> </w:t>
      </w:r>
      <w:r>
        <w:rPr>
          <w:color w:val="231F20"/>
          <w:w w:val="105"/>
        </w:rPr>
        <w:t>allá</w:t>
      </w:r>
      <w:r>
        <w:rPr>
          <w:color w:val="231F20"/>
          <w:spacing w:val="-26"/>
          <w:w w:val="105"/>
        </w:rPr>
        <w:t> </w:t>
      </w:r>
      <w:r>
        <w:rPr>
          <w:color w:val="231F20"/>
          <w:w w:val="105"/>
        </w:rPr>
        <w:t>a</w:t>
      </w:r>
      <w:r>
        <w:rPr>
          <w:color w:val="231F20"/>
          <w:spacing w:val="-26"/>
          <w:w w:val="105"/>
        </w:rPr>
        <w:t> </w:t>
      </w:r>
      <w:r>
        <w:rPr>
          <w:color w:val="231F20"/>
          <w:w w:val="105"/>
        </w:rPr>
        <w:t>sus</w:t>
      </w:r>
      <w:r>
        <w:rPr>
          <w:color w:val="231F20"/>
          <w:spacing w:val="-26"/>
          <w:w w:val="105"/>
        </w:rPr>
        <w:t> </w:t>
      </w:r>
      <w:r>
        <w:rPr>
          <w:color w:val="231F20"/>
          <w:w w:val="105"/>
        </w:rPr>
        <w:t>hijos y</w:t>
      </w:r>
      <w:r>
        <w:rPr>
          <w:color w:val="231F20"/>
          <w:spacing w:val="-18"/>
          <w:w w:val="105"/>
        </w:rPr>
        <w:t> </w:t>
      </w:r>
      <w:r>
        <w:rPr>
          <w:color w:val="231F20"/>
          <w:w w:val="105"/>
        </w:rPr>
        <w:t>volvió</w:t>
      </w:r>
      <w:r>
        <w:rPr>
          <w:color w:val="231F20"/>
          <w:spacing w:val="-18"/>
          <w:w w:val="105"/>
        </w:rPr>
        <w:t> </w:t>
      </w:r>
      <w:r>
        <w:rPr>
          <w:color w:val="231F20"/>
          <w:w w:val="105"/>
        </w:rPr>
        <w:t>a</w:t>
      </w:r>
      <w:r>
        <w:rPr>
          <w:color w:val="231F20"/>
          <w:spacing w:val="-18"/>
          <w:w w:val="105"/>
        </w:rPr>
        <w:t> </w:t>
      </w:r>
      <w:r>
        <w:rPr>
          <w:color w:val="231F20"/>
          <w:w w:val="105"/>
        </w:rPr>
        <w:t>trabajar</w:t>
      </w:r>
      <w:r>
        <w:rPr>
          <w:color w:val="231F20"/>
          <w:spacing w:val="-18"/>
          <w:w w:val="105"/>
        </w:rPr>
        <w:t> </w:t>
      </w:r>
      <w:r>
        <w:rPr>
          <w:color w:val="231F20"/>
          <w:w w:val="105"/>
        </w:rPr>
        <w:t>hasta</w:t>
      </w:r>
      <w:r>
        <w:rPr>
          <w:color w:val="231F20"/>
          <w:spacing w:val="-18"/>
          <w:w w:val="105"/>
        </w:rPr>
        <w:t> </w:t>
      </w:r>
      <w:r>
        <w:rPr>
          <w:color w:val="231F20"/>
          <w:w w:val="105"/>
        </w:rPr>
        <w:t>que</w:t>
      </w:r>
      <w:r>
        <w:rPr>
          <w:color w:val="231F20"/>
          <w:spacing w:val="-18"/>
          <w:w w:val="105"/>
        </w:rPr>
        <w:t> </w:t>
      </w:r>
      <w:r>
        <w:rPr>
          <w:color w:val="231F20"/>
          <w:w w:val="105"/>
        </w:rPr>
        <w:t>decidió</w:t>
      </w:r>
      <w:r>
        <w:rPr>
          <w:color w:val="231F20"/>
          <w:spacing w:val="-18"/>
          <w:w w:val="105"/>
        </w:rPr>
        <w:t> </w:t>
      </w:r>
      <w:r>
        <w:rPr>
          <w:color w:val="231F20"/>
          <w:w w:val="105"/>
        </w:rPr>
        <w:t>retirarse</w:t>
      </w:r>
      <w:r>
        <w:rPr>
          <w:color w:val="231F20"/>
          <w:spacing w:val="-18"/>
          <w:w w:val="105"/>
        </w:rPr>
        <w:t> </w:t>
      </w:r>
      <w:r>
        <w:rPr>
          <w:color w:val="231F20"/>
          <w:w w:val="105"/>
        </w:rPr>
        <w:t>y</w:t>
      </w:r>
      <w:r>
        <w:rPr>
          <w:color w:val="231F20"/>
          <w:spacing w:val="-18"/>
          <w:w w:val="105"/>
        </w:rPr>
        <w:t> </w:t>
      </w:r>
      <w:r>
        <w:rPr>
          <w:color w:val="231F20"/>
          <w:w w:val="105"/>
        </w:rPr>
        <w:t>optar</w:t>
      </w:r>
      <w:r>
        <w:rPr>
          <w:color w:val="231F20"/>
          <w:spacing w:val="-18"/>
          <w:w w:val="105"/>
        </w:rPr>
        <w:t> </w:t>
      </w:r>
      <w:r>
        <w:rPr>
          <w:color w:val="231F20"/>
          <w:w w:val="105"/>
        </w:rPr>
        <w:t>por</w:t>
      </w:r>
      <w:r>
        <w:rPr>
          <w:color w:val="231F20"/>
          <w:spacing w:val="-18"/>
          <w:w w:val="105"/>
        </w:rPr>
        <w:t> </w:t>
      </w:r>
      <w:r>
        <w:rPr>
          <w:color w:val="231F20"/>
          <w:w w:val="105"/>
        </w:rPr>
        <w:t>la</w:t>
      </w:r>
      <w:r>
        <w:rPr>
          <w:color w:val="231F20"/>
          <w:spacing w:val="-18"/>
          <w:w w:val="105"/>
        </w:rPr>
        <w:t> </w:t>
      </w:r>
      <w:r>
        <w:rPr>
          <w:color w:val="231F20"/>
          <w:w w:val="105"/>
        </w:rPr>
        <w:t>pensión</w:t>
      </w:r>
      <w:r>
        <w:rPr>
          <w:color w:val="231F20"/>
          <w:spacing w:val="-18"/>
          <w:w w:val="105"/>
        </w:rPr>
        <w:t> </w:t>
      </w:r>
      <w:r>
        <w:rPr>
          <w:color w:val="231F20"/>
          <w:w w:val="105"/>
        </w:rPr>
        <w:t>a</w:t>
      </w:r>
      <w:r>
        <w:rPr>
          <w:color w:val="231F20"/>
          <w:spacing w:val="-18"/>
          <w:w w:val="105"/>
        </w:rPr>
        <w:t> </w:t>
      </w:r>
      <w:r>
        <w:rPr>
          <w:color w:val="231F20"/>
          <w:w w:val="105"/>
        </w:rPr>
        <w:t>que tiene</w:t>
      </w:r>
      <w:r>
        <w:rPr>
          <w:color w:val="231F20"/>
          <w:spacing w:val="-10"/>
          <w:w w:val="105"/>
        </w:rPr>
        <w:t> </w:t>
      </w:r>
      <w:r>
        <w:rPr>
          <w:color w:val="231F20"/>
          <w:w w:val="105"/>
        </w:rPr>
        <w:t>derecho.</w:t>
      </w:r>
    </w:p>
    <w:p>
      <w:pPr>
        <w:pStyle w:val="BodyText"/>
        <w:spacing w:line="261" w:lineRule="auto" w:before="1"/>
        <w:ind w:left="1837" w:right="1716" w:firstLine="567"/>
        <w:jc w:val="both"/>
      </w:pPr>
      <w:r>
        <w:rPr/>
        <w:pict>
          <v:line style="position:absolute;mso-position-horizontal-relative:page;mso-position-vertical-relative:paragraph;z-index:-445456" from="15pt,196.010498pt" to="0pt,196.010498pt" stroked="true" strokeweight=".25pt" strokecolor="#000000">
            <w10:wrap type="none"/>
          </v:line>
        </w:pict>
      </w:r>
      <w:r>
        <w:rPr/>
        <w:pict>
          <v:line style="position:absolute;mso-position-horizontal-relative:page;mso-position-vertical-relative:paragraph;z-index:44752" from="508.890015pt,196.010498pt" to="523.890015pt,196.010498pt" stroked="true" strokeweight=".25pt" strokecolor="#000000">
            <w10:wrap type="none"/>
          </v:line>
        </w:pict>
      </w:r>
      <w:r>
        <w:rPr>
          <w:color w:val="231F20"/>
          <w:w w:val="105"/>
        </w:rPr>
        <w:t>En</w:t>
      </w:r>
      <w:r>
        <w:rPr>
          <w:color w:val="231F20"/>
          <w:spacing w:val="-23"/>
          <w:w w:val="105"/>
        </w:rPr>
        <w:t> </w:t>
      </w:r>
      <w:r>
        <w:rPr>
          <w:color w:val="231F20"/>
          <w:spacing w:val="-3"/>
          <w:w w:val="105"/>
        </w:rPr>
        <w:t>Tonatico</w:t>
      </w:r>
      <w:r>
        <w:rPr>
          <w:color w:val="231F20"/>
          <w:spacing w:val="-18"/>
          <w:w w:val="105"/>
        </w:rPr>
        <w:t> </w:t>
      </w:r>
      <w:r>
        <w:rPr>
          <w:color w:val="231F20"/>
          <w:w w:val="105"/>
        </w:rPr>
        <w:t>las</w:t>
      </w:r>
      <w:r>
        <w:rPr>
          <w:color w:val="231F20"/>
          <w:spacing w:val="-18"/>
          <w:w w:val="105"/>
        </w:rPr>
        <w:t> </w:t>
      </w:r>
      <w:r>
        <w:rPr>
          <w:color w:val="231F20"/>
          <w:w w:val="105"/>
        </w:rPr>
        <w:t>razones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emigración</w:t>
      </w:r>
      <w:r>
        <w:rPr>
          <w:color w:val="231F20"/>
          <w:spacing w:val="-18"/>
          <w:w w:val="105"/>
        </w:rPr>
        <w:t> </w:t>
      </w:r>
      <w:r>
        <w:rPr>
          <w:color w:val="231F20"/>
          <w:w w:val="105"/>
        </w:rPr>
        <w:t>no</w:t>
      </w:r>
      <w:r>
        <w:rPr>
          <w:color w:val="231F20"/>
          <w:spacing w:val="-18"/>
          <w:w w:val="105"/>
        </w:rPr>
        <w:t> </w:t>
      </w:r>
      <w:r>
        <w:rPr>
          <w:color w:val="231F20"/>
          <w:w w:val="105"/>
        </w:rPr>
        <w:t>han</w:t>
      </w:r>
      <w:r>
        <w:rPr>
          <w:color w:val="231F20"/>
          <w:spacing w:val="-18"/>
          <w:w w:val="105"/>
        </w:rPr>
        <w:t> </w:t>
      </w:r>
      <w:r>
        <w:rPr>
          <w:color w:val="231F20"/>
          <w:w w:val="105"/>
        </w:rPr>
        <w:t>cambiado</w:t>
      </w:r>
      <w:r>
        <w:rPr>
          <w:color w:val="231F20"/>
          <w:spacing w:val="-18"/>
          <w:w w:val="105"/>
        </w:rPr>
        <w:t> </w:t>
      </w:r>
      <w:r>
        <w:rPr>
          <w:color w:val="231F20"/>
          <w:w w:val="105"/>
        </w:rPr>
        <w:t>(pobre- za, falta de empleos, producción agrícola de subsistencia dependiente de</w:t>
      </w:r>
      <w:r>
        <w:rPr>
          <w:color w:val="231F20"/>
          <w:spacing w:val="-30"/>
          <w:w w:val="105"/>
        </w:rPr>
        <w:t> </w:t>
      </w:r>
      <w:r>
        <w:rPr>
          <w:color w:val="231F20"/>
          <w:w w:val="105"/>
        </w:rPr>
        <w:t>los</w:t>
      </w:r>
      <w:r>
        <w:rPr>
          <w:color w:val="231F20"/>
          <w:spacing w:val="-30"/>
          <w:w w:val="105"/>
        </w:rPr>
        <w:t> </w:t>
      </w:r>
      <w:r>
        <w:rPr>
          <w:color w:val="231F20"/>
          <w:w w:val="105"/>
        </w:rPr>
        <w:t>factores</w:t>
      </w:r>
      <w:r>
        <w:rPr>
          <w:color w:val="231F20"/>
          <w:spacing w:val="-30"/>
          <w:w w:val="105"/>
        </w:rPr>
        <w:t> </w:t>
      </w:r>
      <w:r>
        <w:rPr>
          <w:color w:val="231F20"/>
          <w:w w:val="105"/>
        </w:rPr>
        <w:t>climáticos).</w:t>
      </w:r>
      <w:r>
        <w:rPr>
          <w:color w:val="231F20"/>
          <w:spacing w:val="-34"/>
          <w:w w:val="105"/>
        </w:rPr>
        <w:t> </w:t>
      </w:r>
      <w:r>
        <w:rPr>
          <w:color w:val="231F20"/>
          <w:w w:val="105"/>
        </w:rPr>
        <w:t>No</w:t>
      </w:r>
      <w:r>
        <w:rPr>
          <w:color w:val="231F20"/>
          <w:spacing w:val="-30"/>
          <w:w w:val="105"/>
        </w:rPr>
        <w:t> </w:t>
      </w:r>
      <w:r>
        <w:rPr>
          <w:color w:val="231F20"/>
          <w:w w:val="105"/>
        </w:rPr>
        <w:t>así</w:t>
      </w:r>
      <w:r>
        <w:rPr>
          <w:color w:val="231F20"/>
          <w:spacing w:val="-30"/>
          <w:w w:val="105"/>
        </w:rPr>
        <w:t> </w:t>
      </w:r>
      <w:r>
        <w:rPr>
          <w:color w:val="231F20"/>
          <w:w w:val="105"/>
        </w:rPr>
        <w:t>las</w:t>
      </w:r>
      <w:r>
        <w:rPr>
          <w:color w:val="231F20"/>
          <w:spacing w:val="-30"/>
          <w:w w:val="105"/>
        </w:rPr>
        <w:t> </w:t>
      </w:r>
      <w:r>
        <w:rPr>
          <w:color w:val="231F20"/>
          <w:w w:val="105"/>
        </w:rPr>
        <w:t>estructuras</w:t>
      </w:r>
      <w:r>
        <w:rPr>
          <w:color w:val="231F20"/>
          <w:spacing w:val="-30"/>
          <w:w w:val="105"/>
        </w:rPr>
        <w:t> </w:t>
      </w:r>
      <w:r>
        <w:rPr>
          <w:color w:val="231F20"/>
          <w:w w:val="105"/>
        </w:rPr>
        <w:t>de</w:t>
      </w:r>
      <w:r>
        <w:rPr>
          <w:color w:val="231F20"/>
          <w:spacing w:val="-30"/>
          <w:w w:val="105"/>
        </w:rPr>
        <w:t> </w:t>
      </w:r>
      <w:r>
        <w:rPr>
          <w:color w:val="231F20"/>
          <w:w w:val="105"/>
        </w:rPr>
        <w:t>esa</w:t>
      </w:r>
      <w:r>
        <w:rPr>
          <w:color w:val="231F20"/>
          <w:spacing w:val="-30"/>
          <w:w w:val="105"/>
        </w:rPr>
        <w:t> </w:t>
      </w:r>
      <w:r>
        <w:rPr>
          <w:color w:val="231F20"/>
          <w:w w:val="105"/>
        </w:rPr>
        <w:t>emigración</w:t>
      </w:r>
      <w:r>
        <w:rPr>
          <w:color w:val="231F20"/>
          <w:spacing w:val="-30"/>
          <w:w w:val="105"/>
        </w:rPr>
        <w:t> </w:t>
      </w:r>
      <w:r>
        <w:rPr>
          <w:color w:val="231F20"/>
          <w:w w:val="105"/>
        </w:rPr>
        <w:t>que</w:t>
      </w:r>
      <w:r>
        <w:rPr>
          <w:color w:val="231F20"/>
          <w:spacing w:val="-30"/>
          <w:w w:val="105"/>
        </w:rPr>
        <w:t> </w:t>
      </w:r>
      <w:r>
        <w:rPr>
          <w:color w:val="231F20"/>
          <w:w w:val="105"/>
        </w:rPr>
        <w:t>sí se</w:t>
      </w:r>
      <w:r>
        <w:rPr>
          <w:color w:val="231F20"/>
          <w:spacing w:val="-25"/>
          <w:w w:val="105"/>
        </w:rPr>
        <w:t> </w:t>
      </w:r>
      <w:r>
        <w:rPr>
          <w:color w:val="231F20"/>
          <w:w w:val="105"/>
        </w:rPr>
        <w:t>han</w:t>
      </w:r>
      <w:r>
        <w:rPr>
          <w:color w:val="231F20"/>
          <w:spacing w:val="-25"/>
          <w:w w:val="105"/>
        </w:rPr>
        <w:t> </w:t>
      </w:r>
      <w:r>
        <w:rPr>
          <w:color w:val="231F20"/>
          <w:w w:val="105"/>
        </w:rPr>
        <w:t>contemporizado.</w:t>
      </w:r>
      <w:r>
        <w:rPr>
          <w:color w:val="231F20"/>
          <w:spacing w:val="-30"/>
          <w:w w:val="105"/>
        </w:rPr>
        <w:t> </w:t>
      </w:r>
      <w:r>
        <w:rPr>
          <w:color w:val="231F20"/>
          <w:w w:val="105"/>
        </w:rPr>
        <w:t>Sus</w:t>
      </w:r>
      <w:r>
        <w:rPr>
          <w:color w:val="231F20"/>
          <w:spacing w:val="-25"/>
          <w:w w:val="105"/>
        </w:rPr>
        <w:t> </w:t>
      </w:r>
      <w:r>
        <w:rPr>
          <w:color w:val="231F20"/>
          <w:w w:val="105"/>
        </w:rPr>
        <w:t>bases</w:t>
      </w:r>
      <w:r>
        <w:rPr>
          <w:color w:val="231F20"/>
          <w:spacing w:val="-25"/>
          <w:w w:val="105"/>
        </w:rPr>
        <w:t> </w:t>
      </w:r>
      <w:r>
        <w:rPr>
          <w:color w:val="231F20"/>
          <w:w w:val="105"/>
        </w:rPr>
        <w:t>tienen</w:t>
      </w:r>
      <w:r>
        <w:rPr>
          <w:color w:val="231F20"/>
          <w:spacing w:val="-25"/>
          <w:w w:val="105"/>
        </w:rPr>
        <w:t> </w:t>
      </w:r>
      <w:r>
        <w:rPr>
          <w:color w:val="231F20"/>
          <w:w w:val="105"/>
        </w:rPr>
        <w:t>origen</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programa</w:t>
      </w:r>
      <w:r>
        <w:rPr>
          <w:color w:val="231F20"/>
          <w:spacing w:val="-25"/>
          <w:w w:val="105"/>
        </w:rPr>
        <w:t> </w:t>
      </w:r>
      <w:r>
        <w:rPr>
          <w:color w:val="231F20"/>
          <w:w w:val="105"/>
        </w:rPr>
        <w:t>bracero, pero se han expandido como resultado de que muchos tonatiquenses han</w:t>
      </w:r>
      <w:r>
        <w:rPr>
          <w:color w:val="231F20"/>
          <w:spacing w:val="-13"/>
          <w:w w:val="105"/>
        </w:rPr>
        <w:t> </w:t>
      </w:r>
      <w:r>
        <w:rPr>
          <w:color w:val="231F20"/>
          <w:w w:val="105"/>
        </w:rPr>
        <w:t>obtenido</w:t>
      </w:r>
      <w:r>
        <w:rPr>
          <w:color w:val="231F20"/>
          <w:spacing w:val="-13"/>
          <w:w w:val="105"/>
        </w:rPr>
        <w:t> </w:t>
      </w:r>
      <w:r>
        <w:rPr>
          <w:color w:val="231F20"/>
          <w:w w:val="105"/>
        </w:rPr>
        <w:t>permiso</w:t>
      </w:r>
      <w:r>
        <w:rPr>
          <w:color w:val="231F20"/>
          <w:spacing w:val="-13"/>
          <w:w w:val="105"/>
        </w:rPr>
        <w:t> </w:t>
      </w:r>
      <w:r>
        <w:rPr>
          <w:color w:val="231F20"/>
          <w:w w:val="105"/>
        </w:rPr>
        <w:t>para</w:t>
      </w:r>
      <w:r>
        <w:rPr>
          <w:color w:val="231F20"/>
          <w:spacing w:val="-13"/>
          <w:w w:val="105"/>
        </w:rPr>
        <w:t> </w:t>
      </w:r>
      <w:r>
        <w:rPr>
          <w:color w:val="231F20"/>
          <w:w w:val="105"/>
        </w:rPr>
        <w:t>trabajar</w:t>
      </w:r>
      <w:r>
        <w:rPr>
          <w:color w:val="231F20"/>
          <w:spacing w:val="-13"/>
          <w:w w:val="105"/>
        </w:rPr>
        <w:t> </w:t>
      </w:r>
      <w:r>
        <w:rPr>
          <w:color w:val="231F20"/>
          <w:w w:val="105"/>
        </w:rPr>
        <w:t>y</w:t>
      </w:r>
      <w:r>
        <w:rPr>
          <w:color w:val="231F20"/>
          <w:spacing w:val="-13"/>
          <w:w w:val="105"/>
        </w:rPr>
        <w:t> </w:t>
      </w:r>
      <w:r>
        <w:rPr>
          <w:color w:val="231F20"/>
          <w:w w:val="105"/>
        </w:rPr>
        <w:t>residir</w:t>
      </w:r>
      <w:r>
        <w:rPr>
          <w:color w:val="231F20"/>
          <w:spacing w:val="-13"/>
          <w:w w:val="105"/>
        </w:rPr>
        <w:t> </w:t>
      </w:r>
      <w:r>
        <w:rPr>
          <w:color w:val="231F20"/>
          <w:w w:val="105"/>
        </w:rPr>
        <w:t>en</w:t>
      </w:r>
      <w:r>
        <w:rPr>
          <w:color w:val="231F20"/>
          <w:spacing w:val="-13"/>
          <w:w w:val="105"/>
        </w:rPr>
        <w:t> </w:t>
      </w:r>
      <w:r>
        <w:rPr>
          <w:color w:val="231F20"/>
          <w:w w:val="105"/>
        </w:rPr>
        <w:t>Estados</w:t>
      </w:r>
      <w:r>
        <w:rPr>
          <w:color w:val="231F20"/>
          <w:spacing w:val="-13"/>
          <w:w w:val="105"/>
        </w:rPr>
        <w:t> </w:t>
      </w:r>
      <w:r>
        <w:rPr>
          <w:color w:val="231F20"/>
          <w:w w:val="105"/>
        </w:rPr>
        <w:t>Unidos,</w:t>
      </w:r>
      <w:r>
        <w:rPr>
          <w:color w:val="231F20"/>
          <w:spacing w:val="-20"/>
          <w:w w:val="105"/>
        </w:rPr>
        <w:t> </w:t>
      </w:r>
      <w:r>
        <w:rPr>
          <w:color w:val="231F20"/>
          <w:w w:val="105"/>
        </w:rPr>
        <w:t>y</w:t>
      </w:r>
      <w:r>
        <w:rPr>
          <w:color w:val="231F20"/>
          <w:spacing w:val="-13"/>
          <w:w w:val="105"/>
        </w:rPr>
        <w:t> </w:t>
      </w:r>
      <w:r>
        <w:rPr>
          <w:color w:val="231F20"/>
          <w:w w:val="105"/>
        </w:rPr>
        <w:t>no</w:t>
      </w:r>
      <w:r>
        <w:rPr>
          <w:color w:val="231F20"/>
          <w:spacing w:val="-13"/>
          <w:w w:val="105"/>
        </w:rPr>
        <w:t> </w:t>
      </w:r>
      <w:r>
        <w:rPr>
          <w:color w:val="231F20"/>
          <w:w w:val="105"/>
        </w:rPr>
        <w:t>po- cos</w:t>
      </w:r>
      <w:r>
        <w:rPr>
          <w:color w:val="231F20"/>
          <w:spacing w:val="-25"/>
          <w:w w:val="105"/>
        </w:rPr>
        <w:t> </w:t>
      </w:r>
      <w:r>
        <w:rPr>
          <w:color w:val="231F20"/>
          <w:w w:val="105"/>
        </w:rPr>
        <w:t>han</w:t>
      </w:r>
      <w:r>
        <w:rPr>
          <w:color w:val="231F20"/>
          <w:spacing w:val="-25"/>
          <w:w w:val="105"/>
        </w:rPr>
        <w:t> </w:t>
      </w:r>
      <w:r>
        <w:rPr>
          <w:color w:val="231F20"/>
          <w:w w:val="105"/>
        </w:rPr>
        <w:t>optado</w:t>
      </w:r>
      <w:r>
        <w:rPr>
          <w:color w:val="231F20"/>
          <w:spacing w:val="-25"/>
          <w:w w:val="105"/>
        </w:rPr>
        <w:t> </w:t>
      </w:r>
      <w:r>
        <w:rPr>
          <w:color w:val="231F20"/>
          <w:w w:val="105"/>
        </w:rPr>
        <w:t>por</w:t>
      </w:r>
      <w:r>
        <w:rPr>
          <w:color w:val="231F20"/>
          <w:spacing w:val="-25"/>
          <w:w w:val="105"/>
        </w:rPr>
        <w:t> </w:t>
      </w:r>
      <w:r>
        <w:rPr>
          <w:color w:val="231F20"/>
          <w:w w:val="105"/>
        </w:rPr>
        <w:t>la</w:t>
      </w:r>
      <w:r>
        <w:rPr>
          <w:color w:val="231F20"/>
          <w:spacing w:val="-25"/>
          <w:w w:val="105"/>
        </w:rPr>
        <w:t> </w:t>
      </w:r>
      <w:r>
        <w:rPr>
          <w:color w:val="231F20"/>
          <w:w w:val="105"/>
        </w:rPr>
        <w:t>nacionalidad</w:t>
      </w:r>
      <w:r>
        <w:rPr>
          <w:color w:val="231F20"/>
          <w:spacing w:val="-25"/>
          <w:w w:val="105"/>
        </w:rPr>
        <w:t> </w:t>
      </w:r>
      <w:r>
        <w:rPr>
          <w:color w:val="231F20"/>
          <w:w w:val="105"/>
        </w:rPr>
        <w:t>estadunidense.</w:t>
      </w:r>
      <w:r>
        <w:rPr>
          <w:color w:val="231F20"/>
          <w:spacing w:val="-29"/>
          <w:w w:val="105"/>
        </w:rPr>
        <w:t> </w:t>
      </w:r>
      <w:r>
        <w:rPr>
          <w:color w:val="231F20"/>
          <w:spacing w:val="-4"/>
          <w:w w:val="105"/>
        </w:rPr>
        <w:t>Para</w:t>
      </w:r>
      <w:r>
        <w:rPr>
          <w:color w:val="231F20"/>
          <w:spacing w:val="-25"/>
          <w:w w:val="105"/>
        </w:rPr>
        <w:t> </w:t>
      </w:r>
      <w:r>
        <w:rPr>
          <w:color w:val="231F20"/>
          <w:w w:val="105"/>
        </w:rPr>
        <w:t>sus</w:t>
      </w:r>
      <w:r>
        <w:rPr>
          <w:color w:val="231F20"/>
          <w:spacing w:val="-25"/>
          <w:w w:val="105"/>
        </w:rPr>
        <w:t> </w:t>
      </w:r>
      <w:r>
        <w:rPr>
          <w:color w:val="231F20"/>
          <w:w w:val="105"/>
        </w:rPr>
        <w:t>descendien- tes</w:t>
      </w:r>
      <w:r>
        <w:rPr>
          <w:color w:val="231F20"/>
          <w:spacing w:val="-5"/>
          <w:w w:val="105"/>
        </w:rPr>
        <w:t> </w:t>
      </w:r>
      <w:r>
        <w:rPr>
          <w:color w:val="231F20"/>
          <w:w w:val="105"/>
        </w:rPr>
        <w:t>(los</w:t>
      </w:r>
      <w:r>
        <w:rPr>
          <w:color w:val="231F20"/>
          <w:spacing w:val="-5"/>
          <w:w w:val="105"/>
        </w:rPr>
        <w:t> </w:t>
      </w:r>
      <w:r>
        <w:rPr>
          <w:color w:val="231F20"/>
          <w:w w:val="105"/>
        </w:rPr>
        <w:t>nacidos</w:t>
      </w:r>
      <w:r>
        <w:rPr>
          <w:color w:val="231F20"/>
          <w:spacing w:val="-5"/>
          <w:w w:val="105"/>
        </w:rPr>
        <w:t> </w:t>
      </w:r>
      <w:r>
        <w:rPr>
          <w:color w:val="231F20"/>
          <w:w w:val="105"/>
        </w:rPr>
        <w:t>en</w:t>
      </w:r>
      <w:r>
        <w:rPr>
          <w:color w:val="231F20"/>
          <w:spacing w:val="-5"/>
          <w:w w:val="105"/>
        </w:rPr>
        <w:t> </w:t>
      </w:r>
      <w:r>
        <w:rPr>
          <w:color w:val="231F20"/>
          <w:w w:val="105"/>
        </w:rPr>
        <w:t>Estados</w:t>
      </w:r>
      <w:r>
        <w:rPr>
          <w:color w:val="231F20"/>
          <w:spacing w:val="-5"/>
          <w:w w:val="105"/>
        </w:rPr>
        <w:t> </w:t>
      </w:r>
      <w:r>
        <w:rPr>
          <w:color w:val="231F20"/>
          <w:w w:val="105"/>
        </w:rPr>
        <w:t>Unidos),</w:t>
      </w:r>
      <w:r>
        <w:rPr>
          <w:color w:val="231F20"/>
          <w:spacing w:val="-13"/>
          <w:w w:val="105"/>
        </w:rPr>
        <w:t> </w:t>
      </w:r>
      <w:r>
        <w:rPr>
          <w:color w:val="231F20"/>
          <w:spacing w:val="-3"/>
          <w:w w:val="105"/>
        </w:rPr>
        <w:t>Tonatico</w:t>
      </w:r>
      <w:r>
        <w:rPr>
          <w:color w:val="231F20"/>
          <w:spacing w:val="-5"/>
          <w:w w:val="105"/>
        </w:rPr>
        <w:t> </w:t>
      </w:r>
      <w:r>
        <w:rPr>
          <w:color w:val="231F20"/>
          <w:w w:val="105"/>
        </w:rPr>
        <w:t>es</w:t>
      </w:r>
      <w:r>
        <w:rPr>
          <w:color w:val="231F20"/>
          <w:spacing w:val="-5"/>
          <w:w w:val="105"/>
        </w:rPr>
        <w:t> </w:t>
      </w:r>
      <w:r>
        <w:rPr>
          <w:color w:val="231F20"/>
          <w:w w:val="105"/>
        </w:rPr>
        <w:t>raíz</w:t>
      </w:r>
      <w:r>
        <w:rPr>
          <w:color w:val="231F20"/>
          <w:spacing w:val="-5"/>
          <w:w w:val="105"/>
        </w:rPr>
        <w:t> </w:t>
      </w:r>
      <w:r>
        <w:rPr>
          <w:color w:val="231F20"/>
          <w:w w:val="105"/>
        </w:rPr>
        <w:t>y</w:t>
      </w:r>
      <w:r>
        <w:rPr>
          <w:color w:val="231F20"/>
          <w:spacing w:val="-5"/>
          <w:w w:val="105"/>
        </w:rPr>
        <w:t> </w:t>
      </w:r>
      <w:r>
        <w:rPr>
          <w:color w:val="231F20"/>
          <w:w w:val="105"/>
        </w:rPr>
        <w:t>referencia</w:t>
      </w:r>
      <w:r>
        <w:rPr>
          <w:color w:val="231F20"/>
          <w:spacing w:val="-5"/>
          <w:w w:val="105"/>
        </w:rPr>
        <w:t> </w:t>
      </w:r>
      <w:r>
        <w:rPr>
          <w:color w:val="231F20"/>
          <w:w w:val="105"/>
        </w:rPr>
        <w:t>—más o menos próxima, más o menos ajena—, pero no destino. Es descubri- miento y origen, pero no patria. Es afirmación y reafirmación, pero  </w:t>
      </w:r>
      <w:r>
        <w:rPr>
          <w:color w:val="231F20"/>
          <w:spacing w:val="48"/>
          <w:w w:val="105"/>
        </w:rPr>
        <w:t> </w:t>
      </w:r>
      <w:r>
        <w:rPr>
          <w:color w:val="231F20"/>
          <w:w w:val="105"/>
        </w:rPr>
        <w:t>no</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7"/>
        <w:jc w:val="both"/>
      </w:pPr>
      <w:r>
        <w:rPr/>
        <w:pict>
          <v:line style="position:absolute;mso-position-horizontal-relative:page;mso-position-vertical-relative:paragraph;z-index:44824" from="15pt,-71.68644pt" to="0pt,-71.68644pt" stroked="true" strokeweight=".25pt" strokecolor="#000000">
            <w10:wrap type="none"/>
          </v:line>
        </w:pict>
      </w:r>
      <w:r>
        <w:rPr/>
        <w:pict>
          <v:line style="position:absolute;mso-position-horizontal-relative:page;mso-position-vertical-relative:paragraph;z-index:44848" from="508.890015pt,-71.68644pt" to="523.890015pt,-71.68644pt" stroked="true" strokeweight=".25pt" strokecolor="#000000">
            <w10:wrap type="none"/>
          </v:line>
        </w:pict>
      </w:r>
      <w:r>
        <w:rPr>
          <w:color w:val="231F20"/>
          <w:w w:val="105"/>
        </w:rPr>
        <w:t>nostalgia.</w:t>
      </w:r>
      <w:r>
        <w:rPr>
          <w:color w:val="231F20"/>
          <w:spacing w:val="-24"/>
          <w:w w:val="105"/>
        </w:rPr>
        <w:t> </w:t>
      </w:r>
      <w:r>
        <w:rPr>
          <w:color w:val="231F20"/>
          <w:w w:val="105"/>
        </w:rPr>
        <w:t>Es</w:t>
      </w:r>
      <w:r>
        <w:rPr>
          <w:color w:val="231F20"/>
          <w:spacing w:val="-18"/>
          <w:w w:val="105"/>
        </w:rPr>
        <w:t> </w:t>
      </w:r>
      <w:r>
        <w:rPr>
          <w:color w:val="231F20"/>
          <w:w w:val="105"/>
        </w:rPr>
        <w:t>la</w:t>
      </w:r>
      <w:r>
        <w:rPr>
          <w:color w:val="231F20"/>
          <w:spacing w:val="-18"/>
          <w:w w:val="105"/>
        </w:rPr>
        <w:t> </w:t>
      </w:r>
      <w:r>
        <w:rPr>
          <w:color w:val="231F20"/>
          <w:w w:val="105"/>
        </w:rPr>
        <w:t>luz,</w:t>
      </w:r>
      <w:r>
        <w:rPr>
          <w:color w:val="231F20"/>
          <w:spacing w:val="-24"/>
          <w:w w:val="105"/>
        </w:rPr>
        <w:t> </w:t>
      </w:r>
      <w:r>
        <w:rPr>
          <w:color w:val="231F20"/>
          <w:w w:val="105"/>
        </w:rPr>
        <w:t>el</w:t>
      </w:r>
      <w:r>
        <w:rPr>
          <w:color w:val="231F20"/>
          <w:spacing w:val="-18"/>
          <w:w w:val="105"/>
        </w:rPr>
        <w:t> </w:t>
      </w:r>
      <w:r>
        <w:rPr>
          <w:color w:val="231F20"/>
          <w:w w:val="105"/>
        </w:rPr>
        <w:t>calor,</w:t>
      </w:r>
      <w:r>
        <w:rPr>
          <w:color w:val="231F20"/>
          <w:spacing w:val="-24"/>
          <w:w w:val="105"/>
        </w:rPr>
        <w:t> </w:t>
      </w:r>
      <w:r>
        <w:rPr>
          <w:color w:val="231F20"/>
          <w:w w:val="105"/>
        </w:rPr>
        <w:t>el</w:t>
      </w:r>
      <w:r>
        <w:rPr>
          <w:color w:val="231F20"/>
          <w:spacing w:val="-18"/>
          <w:w w:val="105"/>
        </w:rPr>
        <w:t> </w:t>
      </w:r>
      <w:r>
        <w:rPr>
          <w:color w:val="231F20"/>
          <w:w w:val="105"/>
        </w:rPr>
        <w:t>color,</w:t>
      </w:r>
      <w:r>
        <w:rPr>
          <w:color w:val="231F20"/>
          <w:spacing w:val="-24"/>
          <w:w w:val="105"/>
        </w:rPr>
        <w:t> </w:t>
      </w:r>
      <w:r>
        <w:rPr>
          <w:color w:val="231F20"/>
          <w:w w:val="105"/>
        </w:rPr>
        <w:t>el</w:t>
      </w:r>
      <w:r>
        <w:rPr>
          <w:color w:val="231F20"/>
          <w:spacing w:val="-18"/>
          <w:w w:val="105"/>
        </w:rPr>
        <w:t> </w:t>
      </w:r>
      <w:r>
        <w:rPr>
          <w:color w:val="231F20"/>
          <w:w w:val="105"/>
        </w:rPr>
        <w:t>sabor,</w:t>
      </w:r>
      <w:r>
        <w:rPr>
          <w:color w:val="231F20"/>
          <w:spacing w:val="-24"/>
          <w:w w:val="105"/>
        </w:rPr>
        <w:t> </w:t>
      </w:r>
      <w:r>
        <w:rPr>
          <w:color w:val="231F20"/>
          <w:w w:val="105"/>
        </w:rPr>
        <w:t>un</w:t>
      </w:r>
      <w:r>
        <w:rPr>
          <w:color w:val="231F20"/>
          <w:spacing w:val="-18"/>
          <w:w w:val="105"/>
        </w:rPr>
        <w:t> </w:t>
      </w:r>
      <w:r>
        <w:rPr>
          <w:color w:val="231F20"/>
          <w:w w:val="105"/>
        </w:rPr>
        <w:t>refugio,</w:t>
      </w:r>
      <w:r>
        <w:rPr>
          <w:color w:val="231F20"/>
          <w:spacing w:val="-24"/>
          <w:w w:val="105"/>
        </w:rPr>
        <w:t> </w:t>
      </w:r>
      <w:r>
        <w:rPr>
          <w:color w:val="231F20"/>
          <w:w w:val="105"/>
        </w:rPr>
        <w:t>la</w:t>
      </w:r>
      <w:r>
        <w:rPr>
          <w:color w:val="231F20"/>
          <w:spacing w:val="-18"/>
          <w:w w:val="105"/>
        </w:rPr>
        <w:t> </w:t>
      </w:r>
      <w:r>
        <w:rPr>
          <w:color w:val="231F20"/>
          <w:w w:val="105"/>
        </w:rPr>
        <w:t>utopía</w:t>
      </w:r>
      <w:r>
        <w:rPr>
          <w:color w:val="231F20"/>
          <w:spacing w:val="-18"/>
          <w:w w:val="105"/>
        </w:rPr>
        <w:t> </w:t>
      </w:r>
      <w:r>
        <w:rPr>
          <w:color w:val="231F20"/>
          <w:w w:val="105"/>
        </w:rPr>
        <w:t>del</w:t>
      </w:r>
      <w:r>
        <w:rPr>
          <w:color w:val="231F20"/>
          <w:spacing w:val="-18"/>
          <w:w w:val="105"/>
        </w:rPr>
        <w:t> </w:t>
      </w:r>
      <w:r>
        <w:rPr>
          <w:color w:val="231F20"/>
          <w:spacing w:val="-3"/>
          <w:w w:val="105"/>
        </w:rPr>
        <w:t>sur, </w:t>
      </w:r>
      <w:r>
        <w:rPr>
          <w:color w:val="231F20"/>
          <w:w w:val="105"/>
        </w:rPr>
        <w:t>y</w:t>
      </w:r>
      <w:r>
        <w:rPr>
          <w:color w:val="231F20"/>
          <w:spacing w:val="-26"/>
          <w:w w:val="105"/>
        </w:rPr>
        <w:t> </w:t>
      </w:r>
      <w:r>
        <w:rPr>
          <w:color w:val="231F20"/>
          <w:w w:val="105"/>
        </w:rPr>
        <w:t>por</w:t>
      </w:r>
      <w:r>
        <w:rPr>
          <w:color w:val="231F20"/>
          <w:spacing w:val="-26"/>
          <w:w w:val="105"/>
        </w:rPr>
        <w:t> </w:t>
      </w:r>
      <w:r>
        <w:rPr>
          <w:color w:val="231F20"/>
          <w:w w:val="105"/>
        </w:rPr>
        <w:t>eso,</w:t>
      </w:r>
      <w:r>
        <w:rPr>
          <w:color w:val="231F20"/>
          <w:spacing w:val="-31"/>
          <w:w w:val="105"/>
        </w:rPr>
        <w:t> </w:t>
      </w:r>
      <w:r>
        <w:rPr>
          <w:color w:val="231F20"/>
          <w:w w:val="105"/>
        </w:rPr>
        <w:t>nunca</w:t>
      </w:r>
      <w:r>
        <w:rPr>
          <w:color w:val="231F20"/>
          <w:spacing w:val="-26"/>
          <w:w w:val="105"/>
        </w:rPr>
        <w:t> </w:t>
      </w:r>
      <w:r>
        <w:rPr>
          <w:color w:val="231F20"/>
          <w:w w:val="105"/>
        </w:rPr>
        <w:t>es</w:t>
      </w:r>
      <w:r>
        <w:rPr>
          <w:color w:val="231F20"/>
          <w:spacing w:val="-26"/>
          <w:w w:val="105"/>
        </w:rPr>
        <w:t> </w:t>
      </w:r>
      <w:r>
        <w:rPr>
          <w:color w:val="231F20"/>
          <w:w w:val="105"/>
        </w:rPr>
        <w:t>afrenta.</w:t>
      </w:r>
      <w:r>
        <w:rPr>
          <w:color w:val="231F20"/>
          <w:spacing w:val="-31"/>
          <w:w w:val="105"/>
        </w:rPr>
        <w:t> </w:t>
      </w:r>
      <w:r>
        <w:rPr>
          <w:color w:val="231F20"/>
          <w:w w:val="105"/>
        </w:rPr>
        <w:t>La</w:t>
      </w:r>
      <w:r>
        <w:rPr>
          <w:color w:val="231F20"/>
          <w:spacing w:val="-26"/>
          <w:w w:val="105"/>
        </w:rPr>
        <w:t> </w:t>
      </w:r>
      <w:r>
        <w:rPr>
          <w:color w:val="231F20"/>
          <w:w w:val="105"/>
        </w:rPr>
        <w:t>valoración</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experiencia</w:t>
      </w:r>
      <w:r>
        <w:rPr>
          <w:color w:val="231F20"/>
          <w:spacing w:val="-26"/>
          <w:w w:val="105"/>
        </w:rPr>
        <w:t> </w:t>
      </w:r>
      <w:r>
        <w:rPr>
          <w:color w:val="231F20"/>
          <w:w w:val="105"/>
        </w:rPr>
        <w:t>migratoria</w:t>
      </w:r>
      <w:r>
        <w:rPr>
          <w:color w:val="231F20"/>
          <w:spacing w:val="-26"/>
          <w:w w:val="105"/>
        </w:rPr>
        <w:t> </w:t>
      </w:r>
      <w:r>
        <w:rPr>
          <w:color w:val="231F20"/>
          <w:w w:val="105"/>
        </w:rPr>
        <w:t>y</w:t>
      </w:r>
      <w:r>
        <w:rPr>
          <w:color w:val="231F20"/>
          <w:spacing w:val="-26"/>
          <w:w w:val="105"/>
        </w:rPr>
        <w:t> </w:t>
      </w:r>
      <w:r>
        <w:rPr>
          <w:color w:val="231F20"/>
          <w:w w:val="105"/>
        </w:rPr>
        <w:t>el lugar</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tiene</w:t>
      </w:r>
      <w:r>
        <w:rPr>
          <w:color w:val="231F20"/>
          <w:spacing w:val="-13"/>
          <w:w w:val="105"/>
        </w:rPr>
        <w:t> </w:t>
      </w:r>
      <w:r>
        <w:rPr>
          <w:color w:val="231F20"/>
          <w:w w:val="105"/>
        </w:rPr>
        <w:t>en</w:t>
      </w:r>
      <w:r>
        <w:rPr>
          <w:color w:val="231F20"/>
          <w:spacing w:val="-13"/>
          <w:w w:val="105"/>
        </w:rPr>
        <w:t> </w:t>
      </w:r>
      <w:r>
        <w:rPr>
          <w:color w:val="231F20"/>
          <w:w w:val="105"/>
        </w:rPr>
        <w:t>ésta,</w:t>
      </w:r>
      <w:r>
        <w:rPr>
          <w:color w:val="231F20"/>
          <w:spacing w:val="-19"/>
          <w:w w:val="105"/>
        </w:rPr>
        <w:t> </w:t>
      </w:r>
      <w:r>
        <w:rPr>
          <w:color w:val="231F20"/>
          <w:w w:val="105"/>
        </w:rPr>
        <w:t>va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mano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historia</w:t>
      </w:r>
      <w:r>
        <w:rPr>
          <w:color w:val="231F20"/>
          <w:spacing w:val="-13"/>
          <w:w w:val="105"/>
        </w:rPr>
        <w:t> </w:t>
      </w:r>
      <w:r>
        <w:rPr>
          <w:color w:val="231F20"/>
          <w:w w:val="105"/>
        </w:rPr>
        <w:t>y</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búsqueda, del sentido de pertenencia y el escrutinio en el tiempo, por lo que los vínculos</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origen</w:t>
      </w:r>
      <w:r>
        <w:rPr>
          <w:color w:val="231F20"/>
          <w:spacing w:val="-17"/>
          <w:w w:val="105"/>
        </w:rPr>
        <w:t> </w:t>
      </w:r>
      <w:r>
        <w:rPr>
          <w:color w:val="231F20"/>
          <w:w w:val="105"/>
        </w:rPr>
        <w:t>se</w:t>
      </w:r>
      <w:r>
        <w:rPr>
          <w:color w:val="231F20"/>
          <w:spacing w:val="-17"/>
          <w:w w:val="105"/>
        </w:rPr>
        <w:t> </w:t>
      </w:r>
      <w:r>
        <w:rPr>
          <w:color w:val="231F20"/>
          <w:w w:val="105"/>
        </w:rPr>
        <w:t>tejen</w:t>
      </w:r>
      <w:r>
        <w:rPr>
          <w:color w:val="231F20"/>
          <w:spacing w:val="-17"/>
          <w:w w:val="105"/>
        </w:rPr>
        <w:t> </w:t>
      </w:r>
      <w:r>
        <w:rPr>
          <w:color w:val="231F20"/>
          <w:w w:val="105"/>
        </w:rPr>
        <w:t>para</w:t>
      </w:r>
      <w:r>
        <w:rPr>
          <w:color w:val="231F20"/>
          <w:spacing w:val="-17"/>
          <w:w w:val="105"/>
        </w:rPr>
        <w:t> </w:t>
      </w:r>
      <w:r>
        <w:rPr>
          <w:color w:val="231F20"/>
          <w:w w:val="105"/>
        </w:rPr>
        <w:t>no</w:t>
      </w:r>
      <w:r>
        <w:rPr>
          <w:color w:val="231F20"/>
          <w:spacing w:val="-17"/>
          <w:w w:val="105"/>
        </w:rPr>
        <w:t> </w:t>
      </w:r>
      <w:r>
        <w:rPr>
          <w:color w:val="231F20"/>
          <w:w w:val="105"/>
        </w:rPr>
        <w:t>romperse,</w:t>
      </w:r>
      <w:r>
        <w:rPr>
          <w:color w:val="231F20"/>
          <w:spacing w:val="-22"/>
          <w:w w:val="105"/>
        </w:rPr>
        <w:t> </w:t>
      </w:r>
      <w:r>
        <w:rPr>
          <w:color w:val="231F20"/>
          <w:w w:val="105"/>
        </w:rPr>
        <w:t>se</w:t>
      </w:r>
      <w:r>
        <w:rPr>
          <w:color w:val="231F20"/>
          <w:spacing w:val="-17"/>
          <w:w w:val="105"/>
        </w:rPr>
        <w:t> </w:t>
      </w:r>
      <w:r>
        <w:rPr>
          <w:color w:val="231F20"/>
          <w:w w:val="105"/>
        </w:rPr>
        <w:t>rehacen,</w:t>
      </w:r>
      <w:r>
        <w:rPr>
          <w:color w:val="231F20"/>
          <w:spacing w:val="-22"/>
          <w:w w:val="105"/>
        </w:rPr>
        <w:t> </w:t>
      </w:r>
      <w:r>
        <w:rPr>
          <w:color w:val="231F20"/>
          <w:w w:val="105"/>
        </w:rPr>
        <w:t>se</w:t>
      </w:r>
      <w:r>
        <w:rPr>
          <w:color w:val="231F20"/>
          <w:spacing w:val="-17"/>
          <w:w w:val="105"/>
        </w:rPr>
        <w:t> </w:t>
      </w:r>
      <w:r>
        <w:rPr>
          <w:color w:val="231F20"/>
          <w:w w:val="105"/>
        </w:rPr>
        <w:t>vuelven territorios propios habitados por la</w:t>
      </w:r>
      <w:r>
        <w:rPr>
          <w:color w:val="231F20"/>
          <w:spacing w:val="-8"/>
          <w:w w:val="105"/>
        </w:rPr>
        <w:t> </w:t>
      </w:r>
      <w:r>
        <w:rPr>
          <w:color w:val="231F20"/>
          <w:w w:val="105"/>
        </w:rPr>
        <w:t>vida.</w:t>
      </w:r>
    </w:p>
    <w:p>
      <w:pPr>
        <w:pStyle w:val="BodyText"/>
        <w:spacing w:before="1"/>
        <w:ind w:left="2290"/>
      </w:pPr>
      <w:r>
        <w:rPr>
          <w:color w:val="231F20"/>
          <w:w w:val="105"/>
        </w:rPr>
        <w:t>El relato de Rafael es elocuente</w:t>
      </w:r>
      <w:r>
        <w:rPr>
          <w:color w:val="231F20"/>
          <w:w w:val="105"/>
          <w:position w:val="7"/>
          <w:sz w:val="12"/>
        </w:rPr>
        <w:t>1</w:t>
      </w:r>
      <w:r>
        <w:rPr>
          <w:color w:val="231F20"/>
          <w:w w:val="105"/>
        </w:rPr>
        <w:t>:</w:t>
      </w:r>
    </w:p>
    <w:p>
      <w:pPr>
        <w:pStyle w:val="BodyText"/>
        <w:spacing w:before="3"/>
        <w:rPr>
          <w:sz w:val="20"/>
        </w:rPr>
      </w:pPr>
    </w:p>
    <w:p>
      <w:pPr>
        <w:spacing w:line="249" w:lineRule="auto" w:before="0"/>
        <w:ind w:left="2857" w:right="1829" w:firstLine="0"/>
        <w:jc w:val="both"/>
        <w:rPr>
          <w:rFonts w:ascii="Arial" w:hAnsi="Arial"/>
          <w:i/>
          <w:sz w:val="18"/>
        </w:rPr>
      </w:pPr>
      <w:r>
        <w:rPr>
          <w:rFonts w:ascii="Arial" w:hAnsi="Arial"/>
          <w:i/>
          <w:color w:val="231F20"/>
          <w:w w:val="105"/>
          <w:sz w:val="18"/>
        </w:rPr>
        <w:t>Cuando</w:t>
      </w:r>
      <w:r>
        <w:rPr>
          <w:rFonts w:ascii="Arial" w:hAnsi="Arial"/>
          <w:i/>
          <w:color w:val="231F20"/>
          <w:spacing w:val="-4"/>
          <w:w w:val="105"/>
          <w:sz w:val="18"/>
        </w:rPr>
        <w:t> </w:t>
      </w:r>
      <w:r>
        <w:rPr>
          <w:rFonts w:ascii="Arial" w:hAnsi="Arial"/>
          <w:i/>
          <w:color w:val="231F20"/>
          <w:w w:val="105"/>
          <w:sz w:val="18"/>
        </w:rPr>
        <w:t>tenía</w:t>
      </w:r>
      <w:r>
        <w:rPr>
          <w:rFonts w:ascii="Arial" w:hAnsi="Arial"/>
          <w:i/>
          <w:color w:val="231F20"/>
          <w:spacing w:val="-4"/>
          <w:w w:val="105"/>
          <w:sz w:val="18"/>
        </w:rPr>
        <w:t> </w:t>
      </w:r>
      <w:r>
        <w:rPr>
          <w:rFonts w:ascii="Arial" w:hAnsi="Arial"/>
          <w:i/>
          <w:color w:val="231F20"/>
          <w:w w:val="105"/>
          <w:sz w:val="18"/>
        </w:rPr>
        <w:t>dieciocho</w:t>
      </w:r>
      <w:r>
        <w:rPr>
          <w:rFonts w:ascii="Arial" w:hAnsi="Arial"/>
          <w:i/>
          <w:color w:val="231F20"/>
          <w:spacing w:val="-4"/>
          <w:w w:val="105"/>
          <w:sz w:val="18"/>
        </w:rPr>
        <w:t> </w:t>
      </w:r>
      <w:r>
        <w:rPr>
          <w:rFonts w:ascii="Arial" w:hAnsi="Arial"/>
          <w:i/>
          <w:color w:val="231F20"/>
          <w:w w:val="105"/>
          <w:sz w:val="18"/>
        </w:rPr>
        <w:t>años</w:t>
      </w:r>
      <w:r>
        <w:rPr>
          <w:rFonts w:ascii="Arial" w:hAnsi="Arial"/>
          <w:i/>
          <w:color w:val="231F20"/>
          <w:spacing w:val="-4"/>
          <w:w w:val="105"/>
          <w:sz w:val="18"/>
        </w:rPr>
        <w:t> </w:t>
      </w:r>
      <w:r>
        <w:rPr>
          <w:rFonts w:ascii="Arial" w:hAnsi="Arial"/>
          <w:i/>
          <w:color w:val="231F20"/>
          <w:w w:val="105"/>
          <w:sz w:val="18"/>
        </w:rPr>
        <w:t>me</w:t>
      </w:r>
      <w:r>
        <w:rPr>
          <w:rFonts w:ascii="Arial" w:hAnsi="Arial"/>
          <w:i/>
          <w:color w:val="231F20"/>
          <w:spacing w:val="-4"/>
          <w:w w:val="105"/>
          <w:sz w:val="18"/>
        </w:rPr>
        <w:t> </w:t>
      </w:r>
      <w:r>
        <w:rPr>
          <w:rFonts w:ascii="Arial" w:hAnsi="Arial"/>
          <w:i/>
          <w:color w:val="231F20"/>
          <w:w w:val="105"/>
          <w:sz w:val="18"/>
        </w:rPr>
        <w:t>enteré</w:t>
      </w:r>
      <w:r>
        <w:rPr>
          <w:rFonts w:ascii="Arial" w:hAnsi="Arial"/>
          <w:i/>
          <w:color w:val="231F20"/>
          <w:spacing w:val="-4"/>
          <w:w w:val="105"/>
          <w:sz w:val="18"/>
        </w:rPr>
        <w:t> </w:t>
      </w:r>
      <w:r>
        <w:rPr>
          <w:rFonts w:ascii="Arial" w:hAnsi="Arial"/>
          <w:i/>
          <w:color w:val="231F20"/>
          <w:w w:val="105"/>
          <w:sz w:val="18"/>
        </w:rPr>
        <w:t>que</w:t>
      </w:r>
      <w:r>
        <w:rPr>
          <w:rFonts w:ascii="Arial" w:hAnsi="Arial"/>
          <w:i/>
          <w:color w:val="231F20"/>
          <w:spacing w:val="-4"/>
          <w:w w:val="105"/>
          <w:sz w:val="18"/>
        </w:rPr>
        <w:t> </w:t>
      </w:r>
      <w:r>
        <w:rPr>
          <w:rFonts w:ascii="Arial" w:hAnsi="Arial"/>
          <w:i/>
          <w:color w:val="231F20"/>
          <w:w w:val="105"/>
          <w:sz w:val="18"/>
        </w:rPr>
        <w:t>me</w:t>
      </w:r>
      <w:r>
        <w:rPr>
          <w:rFonts w:ascii="Arial" w:hAnsi="Arial"/>
          <w:i/>
          <w:color w:val="231F20"/>
          <w:spacing w:val="-4"/>
          <w:w w:val="105"/>
          <w:sz w:val="18"/>
        </w:rPr>
        <w:t> </w:t>
      </w:r>
      <w:r>
        <w:rPr>
          <w:rFonts w:ascii="Arial" w:hAnsi="Arial"/>
          <w:i/>
          <w:color w:val="231F20"/>
          <w:w w:val="105"/>
          <w:sz w:val="18"/>
        </w:rPr>
        <w:t>llamaba</w:t>
      </w:r>
      <w:r>
        <w:rPr>
          <w:rFonts w:ascii="Arial" w:hAnsi="Arial"/>
          <w:i/>
          <w:color w:val="231F20"/>
          <w:spacing w:val="-4"/>
          <w:w w:val="105"/>
          <w:sz w:val="18"/>
        </w:rPr>
        <w:t> </w:t>
      </w:r>
      <w:r>
        <w:rPr>
          <w:rFonts w:ascii="Arial" w:hAnsi="Arial"/>
          <w:i/>
          <w:color w:val="231F20"/>
          <w:w w:val="105"/>
          <w:sz w:val="18"/>
        </w:rPr>
        <w:t>Ignacio</w:t>
      </w:r>
      <w:r>
        <w:rPr>
          <w:rFonts w:ascii="Arial" w:hAnsi="Arial"/>
          <w:i/>
          <w:color w:val="231F20"/>
          <w:spacing w:val="-4"/>
          <w:w w:val="105"/>
          <w:sz w:val="18"/>
        </w:rPr>
        <w:t> </w:t>
      </w:r>
      <w:r>
        <w:rPr>
          <w:rFonts w:ascii="Arial" w:hAnsi="Arial"/>
          <w:i/>
          <w:color w:val="231F20"/>
          <w:w w:val="105"/>
          <w:sz w:val="18"/>
        </w:rPr>
        <w:t>y</w:t>
      </w:r>
      <w:r>
        <w:rPr>
          <w:rFonts w:ascii="Arial" w:hAnsi="Arial"/>
          <w:i/>
          <w:color w:val="231F20"/>
          <w:spacing w:val="-4"/>
          <w:w w:val="105"/>
          <w:sz w:val="18"/>
        </w:rPr>
        <w:t> </w:t>
      </w:r>
      <w:r>
        <w:rPr>
          <w:rFonts w:ascii="Arial" w:hAnsi="Arial"/>
          <w:i/>
          <w:color w:val="231F20"/>
          <w:w w:val="105"/>
          <w:sz w:val="18"/>
        </w:rPr>
        <w:t>no </w:t>
      </w:r>
      <w:r>
        <w:rPr>
          <w:rFonts w:ascii="Arial" w:hAnsi="Arial"/>
          <w:i/>
          <w:color w:val="231F20"/>
          <w:w w:val="105"/>
          <w:sz w:val="18"/>
        </w:rPr>
        <w:t>Rafael.</w:t>
      </w:r>
      <w:r>
        <w:rPr>
          <w:rFonts w:ascii="Arial" w:hAnsi="Arial"/>
          <w:i/>
          <w:color w:val="231F20"/>
          <w:spacing w:val="-27"/>
          <w:w w:val="105"/>
          <w:sz w:val="18"/>
        </w:rPr>
        <w:t> </w:t>
      </w:r>
      <w:r>
        <w:rPr>
          <w:rFonts w:ascii="Arial" w:hAnsi="Arial"/>
          <w:i/>
          <w:color w:val="231F20"/>
          <w:w w:val="105"/>
          <w:sz w:val="18"/>
        </w:rPr>
        <w:t>Algunos</w:t>
      </w:r>
      <w:r>
        <w:rPr>
          <w:rFonts w:ascii="Arial" w:hAnsi="Arial"/>
          <w:i/>
          <w:color w:val="231F20"/>
          <w:spacing w:val="-20"/>
          <w:w w:val="105"/>
          <w:sz w:val="18"/>
        </w:rPr>
        <w:t> </w:t>
      </w:r>
      <w:r>
        <w:rPr>
          <w:rFonts w:ascii="Arial" w:hAnsi="Arial"/>
          <w:i/>
          <w:color w:val="231F20"/>
          <w:w w:val="105"/>
          <w:sz w:val="18"/>
        </w:rPr>
        <w:t>papeles</w:t>
      </w:r>
      <w:r>
        <w:rPr>
          <w:rFonts w:ascii="Arial" w:hAnsi="Arial"/>
          <w:i/>
          <w:color w:val="231F20"/>
          <w:spacing w:val="-20"/>
          <w:w w:val="105"/>
          <w:sz w:val="18"/>
        </w:rPr>
        <w:t> </w:t>
      </w:r>
      <w:r>
        <w:rPr>
          <w:rFonts w:ascii="Arial" w:hAnsi="Arial"/>
          <w:i/>
          <w:color w:val="231F20"/>
          <w:w w:val="105"/>
          <w:sz w:val="18"/>
        </w:rPr>
        <w:t>míos</w:t>
      </w:r>
      <w:r>
        <w:rPr>
          <w:rFonts w:ascii="Arial" w:hAnsi="Arial"/>
          <w:i/>
          <w:color w:val="231F20"/>
          <w:spacing w:val="-20"/>
          <w:w w:val="105"/>
          <w:sz w:val="18"/>
        </w:rPr>
        <w:t> </w:t>
      </w:r>
      <w:r>
        <w:rPr>
          <w:rFonts w:ascii="Arial" w:hAnsi="Arial"/>
          <w:i/>
          <w:color w:val="231F20"/>
          <w:w w:val="105"/>
          <w:sz w:val="18"/>
        </w:rPr>
        <w:t>estaban</w:t>
      </w:r>
      <w:r>
        <w:rPr>
          <w:rFonts w:ascii="Arial" w:hAnsi="Arial"/>
          <w:i/>
          <w:color w:val="231F20"/>
          <w:spacing w:val="-20"/>
          <w:w w:val="105"/>
          <w:sz w:val="18"/>
        </w:rPr>
        <w:t> </w:t>
      </w:r>
      <w:r>
        <w:rPr>
          <w:rFonts w:ascii="Arial" w:hAnsi="Arial"/>
          <w:i/>
          <w:color w:val="231F20"/>
          <w:w w:val="105"/>
          <w:sz w:val="18"/>
        </w:rPr>
        <w:t>a</w:t>
      </w:r>
      <w:r>
        <w:rPr>
          <w:rFonts w:ascii="Arial" w:hAnsi="Arial"/>
          <w:i/>
          <w:color w:val="231F20"/>
          <w:spacing w:val="-20"/>
          <w:w w:val="105"/>
          <w:sz w:val="18"/>
        </w:rPr>
        <w:t> </w:t>
      </w:r>
      <w:r>
        <w:rPr>
          <w:rFonts w:ascii="Arial" w:hAnsi="Arial"/>
          <w:i/>
          <w:color w:val="231F20"/>
          <w:w w:val="105"/>
          <w:sz w:val="18"/>
        </w:rPr>
        <w:t>nombre</w:t>
      </w:r>
      <w:r>
        <w:rPr>
          <w:rFonts w:ascii="Arial" w:hAnsi="Arial"/>
          <w:i/>
          <w:color w:val="231F20"/>
          <w:spacing w:val="-20"/>
          <w:w w:val="105"/>
          <w:sz w:val="18"/>
        </w:rPr>
        <w:t> </w:t>
      </w:r>
      <w:r>
        <w:rPr>
          <w:rFonts w:ascii="Arial" w:hAnsi="Arial"/>
          <w:i/>
          <w:color w:val="231F20"/>
          <w:w w:val="105"/>
          <w:sz w:val="18"/>
        </w:rPr>
        <w:t>de</w:t>
      </w:r>
      <w:r>
        <w:rPr>
          <w:rFonts w:ascii="Arial" w:hAnsi="Arial"/>
          <w:i/>
          <w:color w:val="231F20"/>
          <w:spacing w:val="-20"/>
          <w:w w:val="105"/>
          <w:sz w:val="18"/>
        </w:rPr>
        <w:t> </w:t>
      </w:r>
      <w:r>
        <w:rPr>
          <w:rFonts w:ascii="Arial" w:hAnsi="Arial"/>
          <w:i/>
          <w:color w:val="231F20"/>
          <w:w w:val="105"/>
          <w:sz w:val="18"/>
        </w:rPr>
        <w:t>Ignacio,</w:t>
      </w:r>
      <w:r>
        <w:rPr>
          <w:rFonts w:ascii="Arial" w:hAnsi="Arial"/>
          <w:i/>
          <w:color w:val="231F20"/>
          <w:spacing w:val="-25"/>
          <w:w w:val="105"/>
          <w:sz w:val="18"/>
        </w:rPr>
        <w:t> </w:t>
      </w:r>
      <w:r>
        <w:rPr>
          <w:rFonts w:ascii="Arial" w:hAnsi="Arial"/>
          <w:i/>
          <w:color w:val="231F20"/>
          <w:w w:val="105"/>
          <w:sz w:val="18"/>
        </w:rPr>
        <w:t>pero</w:t>
      </w:r>
      <w:r>
        <w:rPr>
          <w:rFonts w:ascii="Arial" w:hAnsi="Arial"/>
          <w:i/>
          <w:color w:val="231F20"/>
          <w:spacing w:val="-20"/>
          <w:w w:val="105"/>
          <w:sz w:val="18"/>
        </w:rPr>
        <w:t> </w:t>
      </w:r>
      <w:r>
        <w:rPr>
          <w:rFonts w:ascii="Arial" w:hAnsi="Arial"/>
          <w:i/>
          <w:color w:val="231F20"/>
          <w:w w:val="105"/>
          <w:sz w:val="18"/>
        </w:rPr>
        <w:t>yo</w:t>
      </w:r>
      <w:r>
        <w:rPr>
          <w:rFonts w:ascii="Arial" w:hAnsi="Arial"/>
          <w:i/>
          <w:color w:val="231F20"/>
          <w:spacing w:val="-20"/>
          <w:w w:val="105"/>
          <w:sz w:val="18"/>
        </w:rPr>
        <w:t> </w:t>
      </w:r>
      <w:r>
        <w:rPr>
          <w:rFonts w:ascii="Arial" w:hAnsi="Arial"/>
          <w:i/>
          <w:color w:val="231F20"/>
          <w:w w:val="105"/>
          <w:sz w:val="18"/>
        </w:rPr>
        <w:t>no me había dado cuenta, ni mis papás me habían dicho nada. </w:t>
      </w:r>
      <w:r>
        <w:rPr>
          <w:rFonts w:ascii="Arial" w:hAnsi="Arial"/>
          <w:i/>
          <w:color w:val="231F20"/>
          <w:spacing w:val="-7"/>
          <w:w w:val="105"/>
          <w:sz w:val="18"/>
        </w:rPr>
        <w:t>Ya</w:t>
      </w:r>
      <w:r>
        <w:rPr>
          <w:rFonts w:ascii="Arial" w:hAnsi="Arial"/>
          <w:i/>
          <w:color w:val="231F20"/>
          <w:spacing w:val="-25"/>
          <w:w w:val="105"/>
          <w:sz w:val="18"/>
        </w:rPr>
        <w:t> </w:t>
      </w:r>
      <w:r>
        <w:rPr>
          <w:rFonts w:ascii="Arial" w:hAnsi="Arial"/>
          <w:i/>
          <w:color w:val="231F20"/>
          <w:w w:val="105"/>
          <w:sz w:val="18"/>
        </w:rPr>
        <w:t>luego mi</w:t>
      </w:r>
      <w:r>
        <w:rPr>
          <w:rFonts w:ascii="Arial" w:hAnsi="Arial"/>
          <w:i/>
          <w:color w:val="231F20"/>
          <w:spacing w:val="-14"/>
          <w:w w:val="105"/>
          <w:sz w:val="18"/>
        </w:rPr>
        <w:t> </w:t>
      </w:r>
      <w:r>
        <w:rPr>
          <w:rFonts w:ascii="Arial" w:hAnsi="Arial"/>
          <w:i/>
          <w:color w:val="231F20"/>
          <w:w w:val="105"/>
          <w:sz w:val="18"/>
        </w:rPr>
        <w:t>papá</w:t>
      </w:r>
      <w:r>
        <w:rPr>
          <w:rFonts w:ascii="Arial" w:hAnsi="Arial"/>
          <w:i/>
          <w:color w:val="231F20"/>
          <w:spacing w:val="-14"/>
          <w:w w:val="105"/>
          <w:sz w:val="18"/>
        </w:rPr>
        <w:t> </w:t>
      </w:r>
      <w:r>
        <w:rPr>
          <w:rFonts w:ascii="Arial" w:hAnsi="Arial"/>
          <w:i/>
          <w:color w:val="231F20"/>
          <w:w w:val="105"/>
          <w:sz w:val="18"/>
        </w:rPr>
        <w:t>me</w:t>
      </w:r>
      <w:r>
        <w:rPr>
          <w:rFonts w:ascii="Arial" w:hAnsi="Arial"/>
          <w:i/>
          <w:color w:val="231F20"/>
          <w:spacing w:val="-14"/>
          <w:w w:val="105"/>
          <w:sz w:val="18"/>
        </w:rPr>
        <w:t> </w:t>
      </w:r>
      <w:r>
        <w:rPr>
          <w:rFonts w:ascii="Arial" w:hAnsi="Arial"/>
          <w:i/>
          <w:color w:val="231F20"/>
          <w:w w:val="105"/>
          <w:sz w:val="18"/>
        </w:rPr>
        <w:t>dijo</w:t>
      </w:r>
      <w:r>
        <w:rPr>
          <w:rFonts w:ascii="Arial" w:hAnsi="Arial"/>
          <w:i/>
          <w:color w:val="231F20"/>
          <w:spacing w:val="-14"/>
          <w:w w:val="105"/>
          <w:sz w:val="18"/>
        </w:rPr>
        <w:t> </w:t>
      </w:r>
      <w:r>
        <w:rPr>
          <w:rFonts w:ascii="Arial" w:hAnsi="Arial"/>
          <w:i/>
          <w:color w:val="231F20"/>
          <w:w w:val="105"/>
          <w:sz w:val="18"/>
        </w:rPr>
        <w:t>que</w:t>
      </w:r>
      <w:r>
        <w:rPr>
          <w:rFonts w:ascii="Arial" w:hAnsi="Arial"/>
          <w:i/>
          <w:color w:val="231F20"/>
          <w:spacing w:val="-14"/>
          <w:w w:val="105"/>
          <w:sz w:val="18"/>
        </w:rPr>
        <w:t> </w:t>
      </w:r>
      <w:r>
        <w:rPr>
          <w:rFonts w:ascii="Arial" w:hAnsi="Arial"/>
          <w:i/>
          <w:color w:val="231F20"/>
          <w:w w:val="105"/>
          <w:sz w:val="18"/>
        </w:rPr>
        <w:t>cuando</w:t>
      </w:r>
      <w:r>
        <w:rPr>
          <w:rFonts w:ascii="Arial" w:hAnsi="Arial"/>
          <w:i/>
          <w:color w:val="231F20"/>
          <w:spacing w:val="-14"/>
          <w:w w:val="105"/>
          <w:sz w:val="18"/>
        </w:rPr>
        <w:t> </w:t>
      </w:r>
      <w:r>
        <w:rPr>
          <w:rFonts w:ascii="Arial" w:hAnsi="Arial"/>
          <w:i/>
          <w:color w:val="231F20"/>
          <w:w w:val="105"/>
          <w:sz w:val="18"/>
        </w:rPr>
        <w:t>me</w:t>
      </w:r>
      <w:r>
        <w:rPr>
          <w:rFonts w:ascii="Arial" w:hAnsi="Arial"/>
          <w:i/>
          <w:color w:val="231F20"/>
          <w:spacing w:val="-14"/>
          <w:w w:val="105"/>
          <w:sz w:val="18"/>
        </w:rPr>
        <w:t> </w:t>
      </w:r>
      <w:r>
        <w:rPr>
          <w:rFonts w:ascii="Arial" w:hAnsi="Arial"/>
          <w:i/>
          <w:color w:val="231F20"/>
          <w:w w:val="105"/>
          <w:sz w:val="18"/>
        </w:rPr>
        <w:t>registraron</w:t>
      </w:r>
      <w:r>
        <w:rPr>
          <w:rFonts w:ascii="Arial" w:hAnsi="Arial"/>
          <w:i/>
          <w:color w:val="231F20"/>
          <w:spacing w:val="-14"/>
          <w:w w:val="105"/>
          <w:sz w:val="18"/>
        </w:rPr>
        <w:t> </w:t>
      </w:r>
      <w:r>
        <w:rPr>
          <w:rFonts w:ascii="Arial" w:hAnsi="Arial"/>
          <w:i/>
          <w:color w:val="231F20"/>
          <w:w w:val="105"/>
          <w:sz w:val="18"/>
        </w:rPr>
        <w:t>me</w:t>
      </w:r>
      <w:r>
        <w:rPr>
          <w:rFonts w:ascii="Arial" w:hAnsi="Arial"/>
          <w:i/>
          <w:color w:val="231F20"/>
          <w:spacing w:val="-14"/>
          <w:w w:val="105"/>
          <w:sz w:val="18"/>
        </w:rPr>
        <w:t> </w:t>
      </w:r>
      <w:r>
        <w:rPr>
          <w:rFonts w:ascii="Arial" w:hAnsi="Arial"/>
          <w:i/>
          <w:color w:val="231F20"/>
          <w:w w:val="105"/>
          <w:sz w:val="18"/>
        </w:rPr>
        <w:t>habían</w:t>
      </w:r>
      <w:r>
        <w:rPr>
          <w:rFonts w:ascii="Arial" w:hAnsi="Arial"/>
          <w:i/>
          <w:color w:val="231F20"/>
          <w:spacing w:val="-14"/>
          <w:w w:val="105"/>
          <w:sz w:val="18"/>
        </w:rPr>
        <w:t> </w:t>
      </w:r>
      <w:r>
        <w:rPr>
          <w:rFonts w:ascii="Arial" w:hAnsi="Arial"/>
          <w:i/>
          <w:color w:val="231F20"/>
          <w:w w:val="105"/>
          <w:sz w:val="18"/>
        </w:rPr>
        <w:t>puesto</w:t>
      </w:r>
      <w:r>
        <w:rPr>
          <w:rFonts w:ascii="Arial" w:hAnsi="Arial"/>
          <w:i/>
          <w:color w:val="231F20"/>
          <w:spacing w:val="-14"/>
          <w:w w:val="105"/>
          <w:sz w:val="18"/>
        </w:rPr>
        <w:t> </w:t>
      </w:r>
      <w:r>
        <w:rPr>
          <w:rFonts w:ascii="Arial" w:hAnsi="Arial"/>
          <w:i/>
          <w:color w:val="231F20"/>
          <w:w w:val="105"/>
          <w:sz w:val="18"/>
        </w:rPr>
        <w:t>Ignacio, pero</w:t>
      </w:r>
      <w:r>
        <w:rPr>
          <w:rFonts w:ascii="Arial" w:hAnsi="Arial"/>
          <w:i/>
          <w:color w:val="231F20"/>
          <w:spacing w:val="-10"/>
          <w:w w:val="105"/>
          <w:sz w:val="18"/>
        </w:rPr>
        <w:t> </w:t>
      </w:r>
      <w:r>
        <w:rPr>
          <w:rFonts w:ascii="Arial" w:hAnsi="Arial"/>
          <w:i/>
          <w:color w:val="231F20"/>
          <w:w w:val="105"/>
          <w:sz w:val="18"/>
        </w:rPr>
        <w:t>que</w:t>
      </w:r>
      <w:r>
        <w:rPr>
          <w:rFonts w:ascii="Arial" w:hAnsi="Arial"/>
          <w:i/>
          <w:color w:val="231F20"/>
          <w:spacing w:val="-10"/>
          <w:w w:val="105"/>
          <w:sz w:val="18"/>
        </w:rPr>
        <w:t> </w:t>
      </w:r>
      <w:r>
        <w:rPr>
          <w:rFonts w:ascii="Arial" w:hAnsi="Arial"/>
          <w:i/>
          <w:color w:val="231F20"/>
          <w:w w:val="105"/>
          <w:sz w:val="18"/>
        </w:rPr>
        <w:t>cuando</w:t>
      </w:r>
      <w:r>
        <w:rPr>
          <w:rFonts w:ascii="Arial" w:hAnsi="Arial"/>
          <w:i/>
          <w:color w:val="231F20"/>
          <w:spacing w:val="-10"/>
          <w:w w:val="105"/>
          <w:sz w:val="18"/>
        </w:rPr>
        <w:t> </w:t>
      </w:r>
      <w:r>
        <w:rPr>
          <w:rFonts w:ascii="Arial" w:hAnsi="Arial"/>
          <w:i/>
          <w:color w:val="231F20"/>
          <w:w w:val="105"/>
          <w:sz w:val="18"/>
        </w:rPr>
        <w:t>me</w:t>
      </w:r>
      <w:r>
        <w:rPr>
          <w:rFonts w:ascii="Arial" w:hAnsi="Arial"/>
          <w:i/>
          <w:color w:val="231F20"/>
          <w:spacing w:val="-10"/>
          <w:w w:val="105"/>
          <w:sz w:val="18"/>
        </w:rPr>
        <w:t> </w:t>
      </w:r>
      <w:r>
        <w:rPr>
          <w:rFonts w:ascii="Arial" w:hAnsi="Arial"/>
          <w:i/>
          <w:color w:val="231F20"/>
          <w:w w:val="105"/>
          <w:sz w:val="18"/>
        </w:rPr>
        <w:t>llevaron</w:t>
      </w:r>
      <w:r>
        <w:rPr>
          <w:rFonts w:ascii="Arial" w:hAnsi="Arial"/>
          <w:i/>
          <w:color w:val="231F20"/>
          <w:spacing w:val="-10"/>
          <w:w w:val="105"/>
          <w:sz w:val="18"/>
        </w:rPr>
        <w:t> </w:t>
      </w:r>
      <w:r>
        <w:rPr>
          <w:rFonts w:ascii="Arial" w:hAnsi="Arial"/>
          <w:i/>
          <w:color w:val="231F20"/>
          <w:w w:val="105"/>
          <w:sz w:val="18"/>
        </w:rPr>
        <w:t>a</w:t>
      </w:r>
      <w:r>
        <w:rPr>
          <w:rFonts w:ascii="Arial" w:hAnsi="Arial"/>
          <w:i/>
          <w:color w:val="231F20"/>
          <w:spacing w:val="-10"/>
          <w:w w:val="105"/>
          <w:sz w:val="18"/>
        </w:rPr>
        <w:t> </w:t>
      </w:r>
      <w:r>
        <w:rPr>
          <w:rFonts w:ascii="Arial" w:hAnsi="Arial"/>
          <w:i/>
          <w:color w:val="231F20"/>
          <w:w w:val="105"/>
          <w:sz w:val="18"/>
        </w:rPr>
        <w:t>bautizar,</w:t>
      </w:r>
      <w:r>
        <w:rPr>
          <w:rFonts w:ascii="Arial" w:hAnsi="Arial"/>
          <w:i/>
          <w:color w:val="231F20"/>
          <w:spacing w:val="-15"/>
          <w:w w:val="105"/>
          <w:sz w:val="18"/>
        </w:rPr>
        <w:t> </w:t>
      </w:r>
      <w:r>
        <w:rPr>
          <w:rFonts w:ascii="Arial" w:hAnsi="Arial"/>
          <w:i/>
          <w:color w:val="231F20"/>
          <w:w w:val="105"/>
          <w:sz w:val="18"/>
        </w:rPr>
        <w:t>el</w:t>
      </w:r>
      <w:r>
        <w:rPr>
          <w:rFonts w:ascii="Arial" w:hAnsi="Arial"/>
          <w:i/>
          <w:color w:val="231F20"/>
          <w:spacing w:val="-10"/>
          <w:w w:val="105"/>
          <w:sz w:val="18"/>
        </w:rPr>
        <w:t> </w:t>
      </w:r>
      <w:r>
        <w:rPr>
          <w:rFonts w:ascii="Arial" w:hAnsi="Arial"/>
          <w:i/>
          <w:color w:val="231F20"/>
          <w:w w:val="105"/>
          <w:sz w:val="18"/>
        </w:rPr>
        <w:t>cura</w:t>
      </w:r>
      <w:r>
        <w:rPr>
          <w:rFonts w:ascii="Arial" w:hAnsi="Arial"/>
          <w:i/>
          <w:color w:val="231F20"/>
          <w:spacing w:val="-10"/>
          <w:w w:val="105"/>
          <w:sz w:val="18"/>
        </w:rPr>
        <w:t> </w:t>
      </w:r>
      <w:r>
        <w:rPr>
          <w:rFonts w:ascii="Arial" w:hAnsi="Arial"/>
          <w:i/>
          <w:color w:val="231F20"/>
          <w:w w:val="105"/>
          <w:sz w:val="18"/>
        </w:rPr>
        <w:t>dijo:</w:t>
      </w:r>
      <w:r>
        <w:rPr>
          <w:rFonts w:ascii="Arial" w:hAnsi="Arial"/>
          <w:i/>
          <w:color w:val="231F20"/>
          <w:spacing w:val="-10"/>
          <w:w w:val="105"/>
          <w:sz w:val="18"/>
        </w:rPr>
        <w:t> </w:t>
      </w:r>
      <w:r>
        <w:rPr>
          <w:rFonts w:ascii="Arial" w:hAnsi="Arial"/>
          <w:i/>
          <w:color w:val="231F20"/>
          <w:w w:val="105"/>
          <w:sz w:val="18"/>
        </w:rPr>
        <w:t>no,</w:t>
      </w:r>
      <w:r>
        <w:rPr>
          <w:rFonts w:ascii="Arial" w:hAnsi="Arial"/>
          <w:i/>
          <w:color w:val="231F20"/>
          <w:spacing w:val="-15"/>
          <w:w w:val="105"/>
          <w:sz w:val="18"/>
        </w:rPr>
        <w:t> </w:t>
      </w:r>
      <w:r>
        <w:rPr>
          <w:rFonts w:ascii="Arial" w:hAnsi="Arial"/>
          <w:i/>
          <w:color w:val="231F20"/>
          <w:w w:val="105"/>
          <w:sz w:val="18"/>
        </w:rPr>
        <w:t>no</w:t>
      </w:r>
      <w:r>
        <w:rPr>
          <w:rFonts w:ascii="Arial" w:hAnsi="Arial"/>
          <w:i/>
          <w:color w:val="231F20"/>
          <w:spacing w:val="-10"/>
          <w:w w:val="105"/>
          <w:sz w:val="18"/>
        </w:rPr>
        <w:t> </w:t>
      </w:r>
      <w:r>
        <w:rPr>
          <w:rFonts w:ascii="Arial" w:hAnsi="Arial"/>
          <w:i/>
          <w:color w:val="231F20"/>
          <w:w w:val="105"/>
          <w:sz w:val="18"/>
        </w:rPr>
        <w:t>se</w:t>
      </w:r>
      <w:r>
        <w:rPr>
          <w:rFonts w:ascii="Arial" w:hAnsi="Arial"/>
          <w:i/>
          <w:color w:val="231F20"/>
          <w:spacing w:val="-10"/>
          <w:w w:val="105"/>
          <w:sz w:val="18"/>
        </w:rPr>
        <w:t> </w:t>
      </w:r>
      <w:r>
        <w:rPr>
          <w:rFonts w:ascii="Arial" w:hAnsi="Arial"/>
          <w:i/>
          <w:color w:val="231F20"/>
          <w:w w:val="105"/>
          <w:sz w:val="18"/>
        </w:rPr>
        <w:t>llamará Ignacio,</w:t>
      </w:r>
      <w:r>
        <w:rPr>
          <w:rFonts w:ascii="Arial" w:hAnsi="Arial"/>
          <w:i/>
          <w:color w:val="231F20"/>
          <w:spacing w:val="-33"/>
          <w:w w:val="105"/>
          <w:sz w:val="18"/>
        </w:rPr>
        <w:t> </w:t>
      </w:r>
      <w:r>
        <w:rPr>
          <w:rFonts w:ascii="Arial" w:hAnsi="Arial"/>
          <w:i/>
          <w:color w:val="231F20"/>
          <w:w w:val="105"/>
          <w:sz w:val="18"/>
        </w:rPr>
        <w:t>le</w:t>
      </w:r>
      <w:r>
        <w:rPr>
          <w:rFonts w:ascii="Arial" w:hAnsi="Arial"/>
          <w:i/>
          <w:color w:val="231F20"/>
          <w:spacing w:val="-30"/>
          <w:w w:val="105"/>
          <w:sz w:val="18"/>
        </w:rPr>
        <w:t> </w:t>
      </w:r>
      <w:r>
        <w:rPr>
          <w:rFonts w:ascii="Arial" w:hAnsi="Arial"/>
          <w:i/>
          <w:color w:val="231F20"/>
          <w:w w:val="105"/>
          <w:sz w:val="18"/>
        </w:rPr>
        <w:t>vamos</w:t>
      </w:r>
      <w:r>
        <w:rPr>
          <w:rFonts w:ascii="Arial" w:hAnsi="Arial"/>
          <w:i/>
          <w:color w:val="231F20"/>
          <w:spacing w:val="-30"/>
          <w:w w:val="105"/>
          <w:sz w:val="18"/>
        </w:rPr>
        <w:t> </w:t>
      </w:r>
      <w:r>
        <w:rPr>
          <w:rFonts w:ascii="Arial" w:hAnsi="Arial"/>
          <w:i/>
          <w:color w:val="231F20"/>
          <w:w w:val="105"/>
          <w:sz w:val="18"/>
        </w:rPr>
        <w:t>a</w:t>
      </w:r>
      <w:r>
        <w:rPr>
          <w:rFonts w:ascii="Arial" w:hAnsi="Arial"/>
          <w:i/>
          <w:color w:val="231F20"/>
          <w:spacing w:val="-30"/>
          <w:w w:val="105"/>
          <w:sz w:val="18"/>
        </w:rPr>
        <w:t> </w:t>
      </w:r>
      <w:r>
        <w:rPr>
          <w:rFonts w:ascii="Arial" w:hAnsi="Arial"/>
          <w:i/>
          <w:color w:val="231F20"/>
          <w:w w:val="105"/>
          <w:sz w:val="18"/>
        </w:rPr>
        <w:t>poner</w:t>
      </w:r>
      <w:r>
        <w:rPr>
          <w:rFonts w:ascii="Arial" w:hAnsi="Arial"/>
          <w:i/>
          <w:color w:val="231F20"/>
          <w:spacing w:val="-30"/>
          <w:w w:val="105"/>
          <w:sz w:val="18"/>
        </w:rPr>
        <w:t> </w:t>
      </w:r>
      <w:r>
        <w:rPr>
          <w:rFonts w:ascii="Arial" w:hAnsi="Arial"/>
          <w:i/>
          <w:color w:val="231F20"/>
          <w:w w:val="105"/>
          <w:sz w:val="18"/>
        </w:rPr>
        <w:t>Rafael</w:t>
      </w:r>
      <w:r>
        <w:rPr>
          <w:rFonts w:ascii="Arial" w:hAnsi="Arial"/>
          <w:i/>
          <w:color w:val="231F20"/>
          <w:spacing w:val="-30"/>
          <w:w w:val="105"/>
          <w:sz w:val="18"/>
        </w:rPr>
        <w:t> </w:t>
      </w:r>
      <w:r>
        <w:rPr>
          <w:rFonts w:ascii="Arial" w:hAnsi="Arial"/>
          <w:i/>
          <w:color w:val="231F20"/>
          <w:w w:val="105"/>
          <w:sz w:val="18"/>
        </w:rPr>
        <w:t>Eduardo.</w:t>
      </w:r>
    </w:p>
    <w:p>
      <w:pPr>
        <w:spacing w:line="249" w:lineRule="auto" w:before="114"/>
        <w:ind w:left="2857" w:right="1830" w:firstLine="0"/>
        <w:jc w:val="both"/>
        <w:rPr>
          <w:rFonts w:ascii="Arial" w:hAnsi="Arial"/>
          <w:i/>
          <w:sz w:val="18"/>
        </w:rPr>
      </w:pPr>
      <w:r>
        <w:rPr>
          <w:rFonts w:ascii="Arial" w:hAnsi="Arial"/>
          <w:i/>
          <w:color w:val="231F20"/>
          <w:spacing w:val="-5"/>
          <w:w w:val="105"/>
          <w:sz w:val="18"/>
        </w:rPr>
        <w:t>Por</w:t>
      </w:r>
      <w:r>
        <w:rPr>
          <w:rFonts w:ascii="Arial" w:hAnsi="Arial"/>
          <w:i/>
          <w:color w:val="231F20"/>
          <w:spacing w:val="-13"/>
          <w:w w:val="105"/>
          <w:sz w:val="18"/>
        </w:rPr>
        <w:t> </w:t>
      </w:r>
      <w:r>
        <w:rPr>
          <w:rFonts w:ascii="Arial" w:hAnsi="Arial"/>
          <w:i/>
          <w:color w:val="231F20"/>
          <w:w w:val="105"/>
          <w:sz w:val="18"/>
        </w:rPr>
        <w:t>eso</w:t>
      </w:r>
      <w:r>
        <w:rPr>
          <w:rFonts w:ascii="Arial" w:hAnsi="Arial"/>
          <w:i/>
          <w:color w:val="231F20"/>
          <w:spacing w:val="-13"/>
          <w:w w:val="105"/>
          <w:sz w:val="18"/>
        </w:rPr>
        <w:t> </w:t>
      </w:r>
      <w:r>
        <w:rPr>
          <w:rFonts w:ascii="Arial" w:hAnsi="Arial"/>
          <w:i/>
          <w:color w:val="231F20"/>
          <w:w w:val="105"/>
          <w:sz w:val="18"/>
        </w:rPr>
        <w:t>cuando</w:t>
      </w:r>
      <w:r>
        <w:rPr>
          <w:rFonts w:ascii="Arial" w:hAnsi="Arial"/>
          <w:i/>
          <w:color w:val="231F20"/>
          <w:spacing w:val="-13"/>
          <w:w w:val="105"/>
          <w:sz w:val="18"/>
        </w:rPr>
        <w:t> </w:t>
      </w:r>
      <w:r>
        <w:rPr>
          <w:rFonts w:ascii="Arial" w:hAnsi="Arial"/>
          <w:i/>
          <w:color w:val="231F20"/>
          <w:w w:val="105"/>
          <w:sz w:val="18"/>
        </w:rPr>
        <w:t>me</w:t>
      </w:r>
      <w:r>
        <w:rPr>
          <w:rFonts w:ascii="Arial" w:hAnsi="Arial"/>
          <w:i/>
          <w:color w:val="231F20"/>
          <w:spacing w:val="-13"/>
          <w:w w:val="105"/>
          <w:sz w:val="18"/>
        </w:rPr>
        <w:t> </w:t>
      </w:r>
      <w:r>
        <w:rPr>
          <w:rFonts w:ascii="Arial" w:hAnsi="Arial"/>
          <w:i/>
          <w:color w:val="231F20"/>
          <w:w w:val="105"/>
          <w:sz w:val="18"/>
        </w:rPr>
        <w:t>fui</w:t>
      </w:r>
      <w:r>
        <w:rPr>
          <w:rFonts w:ascii="Arial" w:hAnsi="Arial"/>
          <w:i/>
          <w:color w:val="231F20"/>
          <w:spacing w:val="-13"/>
          <w:w w:val="105"/>
          <w:sz w:val="18"/>
        </w:rPr>
        <w:t> </w:t>
      </w:r>
      <w:r>
        <w:rPr>
          <w:rFonts w:ascii="Arial" w:hAnsi="Arial"/>
          <w:i/>
          <w:color w:val="231F20"/>
          <w:w w:val="105"/>
          <w:sz w:val="18"/>
        </w:rPr>
        <w:t>a</w:t>
      </w:r>
      <w:r>
        <w:rPr>
          <w:rFonts w:ascii="Arial" w:hAnsi="Arial"/>
          <w:i/>
          <w:color w:val="231F20"/>
          <w:spacing w:val="-13"/>
          <w:w w:val="105"/>
          <w:sz w:val="18"/>
        </w:rPr>
        <w:t> </w:t>
      </w:r>
      <w:r>
        <w:rPr>
          <w:rFonts w:ascii="Arial" w:hAnsi="Arial"/>
          <w:i/>
          <w:color w:val="231F20"/>
          <w:w w:val="105"/>
          <w:sz w:val="18"/>
        </w:rPr>
        <w:t>enlistar</w:t>
      </w:r>
      <w:r>
        <w:rPr>
          <w:rFonts w:ascii="Arial" w:hAnsi="Arial"/>
          <w:i/>
          <w:color w:val="231F20"/>
          <w:spacing w:val="-13"/>
          <w:w w:val="105"/>
          <w:sz w:val="18"/>
        </w:rPr>
        <w:t> </w:t>
      </w:r>
      <w:r>
        <w:rPr>
          <w:rFonts w:ascii="Arial" w:hAnsi="Arial"/>
          <w:i/>
          <w:color w:val="231F20"/>
          <w:w w:val="105"/>
          <w:sz w:val="18"/>
        </w:rPr>
        <w:t>a</w:t>
      </w:r>
      <w:r>
        <w:rPr>
          <w:rFonts w:ascii="Arial" w:hAnsi="Arial"/>
          <w:i/>
          <w:color w:val="231F20"/>
          <w:spacing w:val="-16"/>
          <w:w w:val="105"/>
          <w:sz w:val="18"/>
        </w:rPr>
        <w:t> </w:t>
      </w:r>
      <w:r>
        <w:rPr>
          <w:rFonts w:ascii="Arial" w:hAnsi="Arial"/>
          <w:i/>
          <w:color w:val="231F20"/>
          <w:spacing w:val="-3"/>
          <w:w w:val="105"/>
          <w:sz w:val="18"/>
        </w:rPr>
        <w:t>Toluca</w:t>
      </w:r>
      <w:r>
        <w:rPr>
          <w:rFonts w:ascii="Arial" w:hAnsi="Arial"/>
          <w:i/>
          <w:color w:val="231F20"/>
          <w:spacing w:val="-13"/>
          <w:w w:val="105"/>
          <w:sz w:val="18"/>
        </w:rPr>
        <w:t> </w:t>
      </w:r>
      <w:r>
        <w:rPr>
          <w:rFonts w:ascii="Arial" w:hAnsi="Arial"/>
          <w:i/>
          <w:color w:val="231F20"/>
          <w:w w:val="105"/>
          <w:sz w:val="18"/>
        </w:rPr>
        <w:t>para</w:t>
      </w:r>
      <w:r>
        <w:rPr>
          <w:rFonts w:ascii="Arial" w:hAnsi="Arial"/>
          <w:i/>
          <w:color w:val="231F20"/>
          <w:spacing w:val="-13"/>
          <w:w w:val="105"/>
          <w:sz w:val="18"/>
        </w:rPr>
        <w:t> </w:t>
      </w:r>
      <w:r>
        <w:rPr>
          <w:rFonts w:ascii="Arial" w:hAnsi="Arial"/>
          <w:i/>
          <w:color w:val="231F20"/>
          <w:w w:val="105"/>
          <w:sz w:val="18"/>
        </w:rPr>
        <w:t>poder</w:t>
      </w:r>
      <w:r>
        <w:rPr>
          <w:rFonts w:ascii="Arial" w:hAnsi="Arial"/>
          <w:i/>
          <w:color w:val="231F20"/>
          <w:spacing w:val="-13"/>
          <w:w w:val="105"/>
          <w:sz w:val="18"/>
        </w:rPr>
        <w:t> </w:t>
      </w:r>
      <w:r>
        <w:rPr>
          <w:rFonts w:ascii="Arial" w:hAnsi="Arial"/>
          <w:i/>
          <w:color w:val="231F20"/>
          <w:w w:val="105"/>
          <w:sz w:val="18"/>
        </w:rPr>
        <w:t>irme</w:t>
      </w:r>
      <w:r>
        <w:rPr>
          <w:rFonts w:ascii="Arial" w:hAnsi="Arial"/>
          <w:i/>
          <w:color w:val="231F20"/>
          <w:spacing w:val="-13"/>
          <w:w w:val="105"/>
          <w:sz w:val="18"/>
        </w:rPr>
        <w:t> </w:t>
      </w:r>
      <w:r>
        <w:rPr>
          <w:rFonts w:ascii="Arial" w:hAnsi="Arial"/>
          <w:i/>
          <w:color w:val="231F20"/>
          <w:w w:val="105"/>
          <w:sz w:val="18"/>
        </w:rPr>
        <w:t>como</w:t>
      </w:r>
      <w:r>
        <w:rPr>
          <w:rFonts w:ascii="Arial" w:hAnsi="Arial"/>
          <w:i/>
          <w:color w:val="231F20"/>
          <w:spacing w:val="-13"/>
          <w:w w:val="105"/>
          <w:sz w:val="18"/>
        </w:rPr>
        <w:t> </w:t>
      </w:r>
      <w:r>
        <w:rPr>
          <w:rFonts w:ascii="Arial" w:hAnsi="Arial"/>
          <w:i/>
          <w:color w:val="231F20"/>
          <w:w w:val="105"/>
          <w:sz w:val="18"/>
        </w:rPr>
        <w:t>brace- </w:t>
      </w:r>
      <w:r>
        <w:rPr>
          <w:rFonts w:ascii="Arial" w:hAnsi="Arial"/>
          <w:i/>
          <w:color w:val="231F20"/>
          <w:w w:val="105"/>
          <w:sz w:val="18"/>
        </w:rPr>
        <w:t>ro,</w:t>
      </w:r>
      <w:r>
        <w:rPr>
          <w:rFonts w:ascii="Arial" w:hAnsi="Arial"/>
          <w:i/>
          <w:color w:val="231F20"/>
          <w:spacing w:val="-18"/>
          <w:w w:val="105"/>
          <w:sz w:val="18"/>
        </w:rPr>
        <w:t> </w:t>
      </w:r>
      <w:r>
        <w:rPr>
          <w:rFonts w:ascii="Arial" w:hAnsi="Arial"/>
          <w:i/>
          <w:color w:val="231F20"/>
          <w:w w:val="105"/>
          <w:sz w:val="18"/>
        </w:rPr>
        <w:t>tuve</w:t>
      </w:r>
      <w:r>
        <w:rPr>
          <w:rFonts w:ascii="Arial" w:hAnsi="Arial"/>
          <w:i/>
          <w:color w:val="231F20"/>
          <w:spacing w:val="-14"/>
          <w:w w:val="105"/>
          <w:sz w:val="18"/>
        </w:rPr>
        <w:t> </w:t>
      </w:r>
      <w:r>
        <w:rPr>
          <w:rFonts w:ascii="Arial" w:hAnsi="Arial"/>
          <w:i/>
          <w:color w:val="231F20"/>
          <w:w w:val="105"/>
          <w:sz w:val="18"/>
        </w:rPr>
        <w:t>que</w:t>
      </w:r>
      <w:r>
        <w:rPr>
          <w:rFonts w:ascii="Arial" w:hAnsi="Arial"/>
          <w:i/>
          <w:color w:val="231F20"/>
          <w:spacing w:val="-14"/>
          <w:w w:val="105"/>
          <w:sz w:val="18"/>
        </w:rPr>
        <w:t> </w:t>
      </w:r>
      <w:r>
        <w:rPr>
          <w:rFonts w:ascii="Arial" w:hAnsi="Arial"/>
          <w:i/>
          <w:color w:val="231F20"/>
          <w:w w:val="105"/>
          <w:sz w:val="18"/>
        </w:rPr>
        <w:t>llevar</w:t>
      </w:r>
      <w:r>
        <w:rPr>
          <w:rFonts w:ascii="Arial" w:hAnsi="Arial"/>
          <w:i/>
          <w:color w:val="231F20"/>
          <w:spacing w:val="-14"/>
          <w:w w:val="105"/>
          <w:sz w:val="18"/>
        </w:rPr>
        <w:t> </w:t>
      </w:r>
      <w:r>
        <w:rPr>
          <w:rFonts w:ascii="Arial" w:hAnsi="Arial"/>
          <w:i/>
          <w:color w:val="231F20"/>
          <w:w w:val="105"/>
          <w:sz w:val="18"/>
        </w:rPr>
        <w:t>un</w:t>
      </w:r>
      <w:r>
        <w:rPr>
          <w:rFonts w:ascii="Arial" w:hAnsi="Arial"/>
          <w:i/>
          <w:color w:val="231F20"/>
          <w:spacing w:val="-14"/>
          <w:w w:val="105"/>
          <w:sz w:val="18"/>
        </w:rPr>
        <w:t> </w:t>
      </w:r>
      <w:r>
        <w:rPr>
          <w:rFonts w:ascii="Arial" w:hAnsi="Arial"/>
          <w:i/>
          <w:color w:val="231F20"/>
          <w:w w:val="105"/>
          <w:sz w:val="18"/>
        </w:rPr>
        <w:t>papel</w:t>
      </w:r>
      <w:r>
        <w:rPr>
          <w:rFonts w:ascii="Arial" w:hAnsi="Arial"/>
          <w:i/>
          <w:color w:val="231F20"/>
          <w:spacing w:val="-14"/>
          <w:w w:val="105"/>
          <w:sz w:val="18"/>
        </w:rPr>
        <w:t> </w:t>
      </w:r>
      <w:r>
        <w:rPr>
          <w:rFonts w:ascii="Arial" w:hAnsi="Arial"/>
          <w:i/>
          <w:color w:val="231F20"/>
          <w:w w:val="105"/>
          <w:sz w:val="18"/>
        </w:rPr>
        <w:t>—que</w:t>
      </w:r>
      <w:r>
        <w:rPr>
          <w:rFonts w:ascii="Arial" w:hAnsi="Arial"/>
          <w:i/>
          <w:color w:val="231F20"/>
          <w:spacing w:val="-14"/>
          <w:w w:val="105"/>
          <w:sz w:val="18"/>
        </w:rPr>
        <w:t> </w:t>
      </w:r>
      <w:r>
        <w:rPr>
          <w:rFonts w:ascii="Arial" w:hAnsi="Arial"/>
          <w:i/>
          <w:color w:val="231F20"/>
          <w:w w:val="105"/>
          <w:sz w:val="18"/>
        </w:rPr>
        <w:t>me</w:t>
      </w:r>
      <w:r>
        <w:rPr>
          <w:rFonts w:ascii="Arial" w:hAnsi="Arial"/>
          <w:i/>
          <w:color w:val="231F20"/>
          <w:spacing w:val="-14"/>
          <w:w w:val="105"/>
          <w:sz w:val="18"/>
        </w:rPr>
        <w:t> </w:t>
      </w:r>
      <w:r>
        <w:rPr>
          <w:rFonts w:ascii="Arial" w:hAnsi="Arial"/>
          <w:i/>
          <w:color w:val="231F20"/>
          <w:w w:val="105"/>
          <w:sz w:val="18"/>
        </w:rPr>
        <w:t>dieron</w:t>
      </w:r>
      <w:r>
        <w:rPr>
          <w:rFonts w:ascii="Arial" w:hAnsi="Arial"/>
          <w:i/>
          <w:color w:val="231F20"/>
          <w:spacing w:val="-14"/>
          <w:w w:val="105"/>
          <w:sz w:val="18"/>
        </w:rPr>
        <w:t> </w:t>
      </w:r>
      <w:r>
        <w:rPr>
          <w:rFonts w:ascii="Arial" w:hAnsi="Arial"/>
          <w:i/>
          <w:color w:val="231F20"/>
          <w:w w:val="105"/>
          <w:sz w:val="18"/>
        </w:rPr>
        <w:t>en</w:t>
      </w:r>
      <w:r>
        <w:rPr>
          <w:rFonts w:ascii="Arial" w:hAnsi="Arial"/>
          <w:i/>
          <w:color w:val="231F20"/>
          <w:spacing w:val="-14"/>
          <w:w w:val="105"/>
          <w:sz w:val="18"/>
        </w:rPr>
        <w:t> </w:t>
      </w:r>
      <w:r>
        <w:rPr>
          <w:rFonts w:ascii="Arial" w:hAnsi="Arial"/>
          <w:i/>
          <w:color w:val="231F20"/>
          <w:w w:val="105"/>
          <w:sz w:val="18"/>
        </w:rPr>
        <w:t>el</w:t>
      </w:r>
      <w:r>
        <w:rPr>
          <w:rFonts w:ascii="Arial" w:hAnsi="Arial"/>
          <w:i/>
          <w:color w:val="231F20"/>
          <w:spacing w:val="-14"/>
          <w:w w:val="105"/>
          <w:sz w:val="18"/>
        </w:rPr>
        <w:t> </w:t>
      </w:r>
      <w:r>
        <w:rPr>
          <w:rFonts w:ascii="Arial" w:hAnsi="Arial"/>
          <w:i/>
          <w:color w:val="231F20"/>
          <w:w w:val="105"/>
          <w:sz w:val="18"/>
        </w:rPr>
        <w:t>palacio</w:t>
      </w:r>
      <w:r>
        <w:rPr>
          <w:rFonts w:ascii="Arial" w:hAnsi="Arial"/>
          <w:i/>
          <w:color w:val="231F20"/>
          <w:spacing w:val="-14"/>
          <w:w w:val="105"/>
          <w:sz w:val="18"/>
        </w:rPr>
        <w:t> </w:t>
      </w:r>
      <w:r>
        <w:rPr>
          <w:rFonts w:ascii="Arial" w:hAnsi="Arial"/>
          <w:i/>
          <w:color w:val="231F20"/>
          <w:w w:val="105"/>
          <w:sz w:val="18"/>
        </w:rPr>
        <w:t>municipal</w:t>
      </w:r>
      <w:r>
        <w:rPr>
          <w:rFonts w:ascii="Arial" w:hAnsi="Arial"/>
          <w:i/>
          <w:color w:val="231F20"/>
          <w:spacing w:val="-14"/>
          <w:w w:val="105"/>
          <w:sz w:val="18"/>
        </w:rPr>
        <w:t> </w:t>
      </w:r>
      <w:r>
        <w:rPr>
          <w:rFonts w:ascii="Arial" w:hAnsi="Arial"/>
          <w:i/>
          <w:color w:val="231F20"/>
          <w:w w:val="105"/>
          <w:sz w:val="18"/>
        </w:rPr>
        <w:t>de Tonatico—,</w:t>
      </w:r>
      <w:r>
        <w:rPr>
          <w:rFonts w:ascii="Arial" w:hAnsi="Arial"/>
          <w:i/>
          <w:color w:val="231F20"/>
          <w:spacing w:val="-33"/>
          <w:w w:val="105"/>
          <w:sz w:val="18"/>
        </w:rPr>
        <w:t> </w:t>
      </w:r>
      <w:r>
        <w:rPr>
          <w:rFonts w:ascii="Arial" w:hAnsi="Arial"/>
          <w:i/>
          <w:color w:val="231F20"/>
          <w:w w:val="105"/>
          <w:sz w:val="18"/>
        </w:rPr>
        <w:t>en</w:t>
      </w:r>
      <w:r>
        <w:rPr>
          <w:rFonts w:ascii="Arial" w:hAnsi="Arial"/>
          <w:i/>
          <w:color w:val="231F20"/>
          <w:spacing w:val="-31"/>
          <w:w w:val="105"/>
          <w:sz w:val="18"/>
        </w:rPr>
        <w:t> </w:t>
      </w:r>
      <w:r>
        <w:rPr>
          <w:rFonts w:ascii="Arial" w:hAnsi="Arial"/>
          <w:i/>
          <w:color w:val="231F20"/>
          <w:w w:val="105"/>
          <w:sz w:val="18"/>
        </w:rPr>
        <w:t>el</w:t>
      </w:r>
      <w:r>
        <w:rPr>
          <w:rFonts w:ascii="Arial" w:hAnsi="Arial"/>
          <w:i/>
          <w:color w:val="231F20"/>
          <w:spacing w:val="-31"/>
          <w:w w:val="105"/>
          <w:sz w:val="18"/>
        </w:rPr>
        <w:t> </w:t>
      </w:r>
      <w:r>
        <w:rPr>
          <w:rFonts w:ascii="Arial" w:hAnsi="Arial"/>
          <w:i/>
          <w:color w:val="231F20"/>
          <w:w w:val="105"/>
          <w:sz w:val="18"/>
        </w:rPr>
        <w:t>que</w:t>
      </w:r>
      <w:r>
        <w:rPr>
          <w:rFonts w:ascii="Arial" w:hAnsi="Arial"/>
          <w:i/>
          <w:color w:val="231F20"/>
          <w:spacing w:val="-31"/>
          <w:w w:val="105"/>
          <w:sz w:val="18"/>
        </w:rPr>
        <w:t> </w:t>
      </w:r>
      <w:r>
        <w:rPr>
          <w:rFonts w:ascii="Arial" w:hAnsi="Arial"/>
          <w:i/>
          <w:color w:val="231F20"/>
          <w:w w:val="105"/>
          <w:sz w:val="18"/>
        </w:rPr>
        <w:t>decía</w:t>
      </w:r>
      <w:r>
        <w:rPr>
          <w:rFonts w:ascii="Arial" w:hAnsi="Arial"/>
          <w:i/>
          <w:color w:val="231F20"/>
          <w:spacing w:val="-31"/>
          <w:w w:val="105"/>
          <w:sz w:val="18"/>
        </w:rPr>
        <w:t> </w:t>
      </w:r>
      <w:r>
        <w:rPr>
          <w:rFonts w:ascii="Arial" w:hAnsi="Arial"/>
          <w:i/>
          <w:color w:val="231F20"/>
          <w:w w:val="105"/>
          <w:sz w:val="18"/>
        </w:rPr>
        <w:t>que</w:t>
      </w:r>
      <w:r>
        <w:rPr>
          <w:rFonts w:ascii="Arial" w:hAnsi="Arial"/>
          <w:i/>
          <w:color w:val="231F20"/>
          <w:spacing w:val="-31"/>
          <w:w w:val="105"/>
          <w:sz w:val="18"/>
        </w:rPr>
        <w:t> </w:t>
      </w:r>
      <w:r>
        <w:rPr>
          <w:rFonts w:ascii="Arial" w:hAnsi="Arial"/>
          <w:i/>
          <w:color w:val="231F20"/>
          <w:w w:val="105"/>
          <w:sz w:val="18"/>
        </w:rPr>
        <w:t>Ignacio</w:t>
      </w:r>
      <w:r>
        <w:rPr>
          <w:rFonts w:ascii="Arial" w:hAnsi="Arial"/>
          <w:i/>
          <w:color w:val="231F20"/>
          <w:spacing w:val="-31"/>
          <w:w w:val="105"/>
          <w:sz w:val="18"/>
        </w:rPr>
        <w:t> </w:t>
      </w:r>
      <w:r>
        <w:rPr>
          <w:rFonts w:ascii="Arial" w:hAnsi="Arial"/>
          <w:i/>
          <w:color w:val="231F20"/>
          <w:w w:val="105"/>
          <w:sz w:val="18"/>
        </w:rPr>
        <w:t>y</w:t>
      </w:r>
      <w:r>
        <w:rPr>
          <w:rFonts w:ascii="Arial" w:hAnsi="Arial"/>
          <w:i/>
          <w:color w:val="231F20"/>
          <w:spacing w:val="-31"/>
          <w:w w:val="105"/>
          <w:sz w:val="18"/>
        </w:rPr>
        <w:t> </w:t>
      </w:r>
      <w:r>
        <w:rPr>
          <w:rFonts w:ascii="Arial" w:hAnsi="Arial"/>
          <w:i/>
          <w:color w:val="231F20"/>
          <w:w w:val="105"/>
          <w:sz w:val="18"/>
        </w:rPr>
        <w:t>Rafael</w:t>
      </w:r>
      <w:r>
        <w:rPr>
          <w:rFonts w:ascii="Arial" w:hAnsi="Arial"/>
          <w:i/>
          <w:color w:val="231F20"/>
          <w:spacing w:val="-31"/>
          <w:w w:val="105"/>
          <w:sz w:val="18"/>
        </w:rPr>
        <w:t> </w:t>
      </w:r>
      <w:r>
        <w:rPr>
          <w:rFonts w:ascii="Arial" w:hAnsi="Arial"/>
          <w:i/>
          <w:color w:val="231F20"/>
          <w:w w:val="105"/>
          <w:sz w:val="18"/>
        </w:rPr>
        <w:t>era</w:t>
      </w:r>
      <w:r>
        <w:rPr>
          <w:rFonts w:ascii="Arial" w:hAnsi="Arial"/>
          <w:i/>
          <w:color w:val="231F20"/>
          <w:spacing w:val="-31"/>
          <w:w w:val="105"/>
          <w:sz w:val="18"/>
        </w:rPr>
        <w:t> </w:t>
      </w:r>
      <w:r>
        <w:rPr>
          <w:rFonts w:ascii="Arial" w:hAnsi="Arial"/>
          <w:i/>
          <w:color w:val="231F20"/>
          <w:w w:val="105"/>
          <w:sz w:val="18"/>
        </w:rPr>
        <w:t>la</w:t>
      </w:r>
      <w:r>
        <w:rPr>
          <w:rFonts w:ascii="Arial" w:hAnsi="Arial"/>
          <w:i/>
          <w:color w:val="231F20"/>
          <w:spacing w:val="-31"/>
          <w:w w:val="105"/>
          <w:sz w:val="18"/>
        </w:rPr>
        <w:t> </w:t>
      </w:r>
      <w:r>
        <w:rPr>
          <w:rFonts w:ascii="Arial" w:hAnsi="Arial"/>
          <w:i/>
          <w:color w:val="231F20"/>
          <w:w w:val="105"/>
          <w:sz w:val="18"/>
        </w:rPr>
        <w:t>misma</w:t>
      </w:r>
      <w:r>
        <w:rPr>
          <w:rFonts w:ascii="Arial" w:hAnsi="Arial"/>
          <w:i/>
          <w:color w:val="231F20"/>
          <w:spacing w:val="-31"/>
          <w:w w:val="105"/>
          <w:sz w:val="18"/>
        </w:rPr>
        <w:t> </w:t>
      </w:r>
      <w:r>
        <w:rPr>
          <w:rFonts w:ascii="Arial" w:hAnsi="Arial"/>
          <w:i/>
          <w:color w:val="231F20"/>
          <w:w w:val="105"/>
          <w:sz w:val="18"/>
        </w:rPr>
        <w:t>persona.</w:t>
      </w:r>
      <w:r>
        <w:rPr>
          <w:rFonts w:ascii="Arial" w:hAnsi="Arial"/>
          <w:i/>
          <w:color w:val="231F20"/>
          <w:spacing w:val="-35"/>
          <w:w w:val="105"/>
          <w:sz w:val="18"/>
        </w:rPr>
        <w:t> </w:t>
      </w:r>
      <w:r>
        <w:rPr>
          <w:rFonts w:ascii="Arial" w:hAnsi="Arial"/>
          <w:i/>
          <w:color w:val="231F20"/>
          <w:w w:val="105"/>
          <w:sz w:val="18"/>
        </w:rPr>
        <w:t>Y sí,</w:t>
      </w:r>
      <w:r>
        <w:rPr>
          <w:rFonts w:ascii="Arial" w:hAnsi="Arial"/>
          <w:i/>
          <w:color w:val="231F20"/>
          <w:spacing w:val="-28"/>
          <w:w w:val="105"/>
          <w:sz w:val="18"/>
        </w:rPr>
        <w:t> </w:t>
      </w:r>
      <w:r>
        <w:rPr>
          <w:rFonts w:ascii="Arial" w:hAnsi="Arial"/>
          <w:i/>
          <w:color w:val="231F20"/>
          <w:w w:val="105"/>
          <w:sz w:val="18"/>
        </w:rPr>
        <w:t>si</w:t>
      </w:r>
      <w:r>
        <w:rPr>
          <w:rFonts w:ascii="Arial" w:hAnsi="Arial"/>
          <w:i/>
          <w:color w:val="231F20"/>
          <w:spacing w:val="-25"/>
          <w:w w:val="105"/>
          <w:sz w:val="18"/>
        </w:rPr>
        <w:t> </w:t>
      </w:r>
      <w:r>
        <w:rPr>
          <w:rFonts w:ascii="Arial" w:hAnsi="Arial"/>
          <w:i/>
          <w:color w:val="231F20"/>
          <w:w w:val="105"/>
          <w:sz w:val="18"/>
        </w:rPr>
        <w:t>lo</w:t>
      </w:r>
      <w:r>
        <w:rPr>
          <w:rFonts w:ascii="Arial" w:hAnsi="Arial"/>
          <w:i/>
          <w:color w:val="231F20"/>
          <w:spacing w:val="-25"/>
          <w:w w:val="105"/>
          <w:sz w:val="18"/>
        </w:rPr>
        <w:t> </w:t>
      </w:r>
      <w:r>
        <w:rPr>
          <w:rFonts w:ascii="Arial" w:hAnsi="Arial"/>
          <w:i/>
          <w:color w:val="231F20"/>
          <w:w w:val="105"/>
          <w:sz w:val="18"/>
        </w:rPr>
        <w:t>aceptaron</w:t>
      </w:r>
      <w:r>
        <w:rPr>
          <w:rFonts w:ascii="Arial" w:hAnsi="Arial"/>
          <w:i/>
          <w:color w:val="231F20"/>
          <w:spacing w:val="-25"/>
          <w:w w:val="105"/>
          <w:sz w:val="18"/>
        </w:rPr>
        <w:t> </w:t>
      </w:r>
      <w:r>
        <w:rPr>
          <w:rFonts w:ascii="Arial" w:hAnsi="Arial"/>
          <w:i/>
          <w:color w:val="231F20"/>
          <w:w w:val="105"/>
          <w:sz w:val="18"/>
        </w:rPr>
        <w:t>y</w:t>
      </w:r>
      <w:r>
        <w:rPr>
          <w:rFonts w:ascii="Arial" w:hAnsi="Arial"/>
          <w:i/>
          <w:color w:val="231F20"/>
          <w:spacing w:val="-25"/>
          <w:w w:val="105"/>
          <w:sz w:val="18"/>
        </w:rPr>
        <w:t> </w:t>
      </w:r>
      <w:r>
        <w:rPr>
          <w:rFonts w:ascii="Arial" w:hAnsi="Arial"/>
          <w:i/>
          <w:color w:val="231F20"/>
          <w:w w:val="105"/>
          <w:sz w:val="18"/>
        </w:rPr>
        <w:t>me</w:t>
      </w:r>
      <w:r>
        <w:rPr>
          <w:rFonts w:ascii="Arial" w:hAnsi="Arial"/>
          <w:i/>
          <w:color w:val="231F20"/>
          <w:spacing w:val="-25"/>
          <w:w w:val="105"/>
          <w:sz w:val="18"/>
        </w:rPr>
        <w:t> </w:t>
      </w:r>
      <w:r>
        <w:rPr>
          <w:rFonts w:ascii="Arial" w:hAnsi="Arial"/>
          <w:i/>
          <w:color w:val="231F20"/>
          <w:w w:val="105"/>
          <w:sz w:val="18"/>
        </w:rPr>
        <w:t>apuntaron</w:t>
      </w:r>
      <w:r>
        <w:rPr>
          <w:rFonts w:ascii="Arial" w:hAnsi="Arial"/>
          <w:i/>
          <w:color w:val="231F20"/>
          <w:spacing w:val="-25"/>
          <w:w w:val="105"/>
          <w:sz w:val="18"/>
        </w:rPr>
        <w:t> </w:t>
      </w:r>
      <w:r>
        <w:rPr>
          <w:rFonts w:ascii="Arial" w:hAnsi="Arial"/>
          <w:i/>
          <w:color w:val="231F20"/>
          <w:w w:val="105"/>
          <w:sz w:val="18"/>
        </w:rPr>
        <w:t>como</w:t>
      </w:r>
      <w:r>
        <w:rPr>
          <w:rFonts w:ascii="Arial" w:hAnsi="Arial"/>
          <w:i/>
          <w:color w:val="231F20"/>
          <w:spacing w:val="-25"/>
          <w:w w:val="105"/>
          <w:sz w:val="18"/>
        </w:rPr>
        <w:t> </w:t>
      </w:r>
      <w:r>
        <w:rPr>
          <w:rFonts w:ascii="Arial" w:hAnsi="Arial"/>
          <w:i/>
          <w:color w:val="231F20"/>
          <w:w w:val="105"/>
          <w:sz w:val="18"/>
        </w:rPr>
        <w:t>Rafael.</w:t>
      </w:r>
      <w:r>
        <w:rPr>
          <w:rFonts w:ascii="Arial" w:hAnsi="Arial"/>
          <w:i/>
          <w:color w:val="231F20"/>
          <w:spacing w:val="-29"/>
          <w:w w:val="105"/>
          <w:sz w:val="18"/>
        </w:rPr>
        <w:t> </w:t>
      </w:r>
      <w:r>
        <w:rPr>
          <w:rFonts w:ascii="Arial" w:hAnsi="Arial"/>
          <w:i/>
          <w:color w:val="231F20"/>
          <w:w w:val="105"/>
          <w:sz w:val="18"/>
        </w:rPr>
        <w:t>Después</w:t>
      </w:r>
      <w:r>
        <w:rPr>
          <w:rFonts w:ascii="Arial" w:hAnsi="Arial"/>
          <w:i/>
          <w:color w:val="231F20"/>
          <w:spacing w:val="-25"/>
          <w:w w:val="105"/>
          <w:sz w:val="18"/>
        </w:rPr>
        <w:t> </w:t>
      </w:r>
      <w:r>
        <w:rPr>
          <w:rFonts w:ascii="Arial" w:hAnsi="Arial"/>
          <w:i/>
          <w:color w:val="231F20"/>
          <w:w w:val="105"/>
          <w:sz w:val="18"/>
        </w:rPr>
        <w:t>tuve</w:t>
      </w:r>
      <w:r>
        <w:rPr>
          <w:rFonts w:ascii="Arial" w:hAnsi="Arial"/>
          <w:i/>
          <w:color w:val="231F20"/>
          <w:spacing w:val="-25"/>
          <w:w w:val="105"/>
          <w:sz w:val="18"/>
        </w:rPr>
        <w:t> </w:t>
      </w:r>
      <w:r>
        <w:rPr>
          <w:rFonts w:ascii="Arial" w:hAnsi="Arial"/>
          <w:i/>
          <w:color w:val="231F20"/>
          <w:w w:val="105"/>
          <w:sz w:val="18"/>
        </w:rPr>
        <w:t>que</w:t>
      </w:r>
      <w:r>
        <w:rPr>
          <w:rFonts w:ascii="Arial" w:hAnsi="Arial"/>
          <w:i/>
          <w:color w:val="231F20"/>
          <w:spacing w:val="-25"/>
          <w:w w:val="105"/>
          <w:sz w:val="18"/>
        </w:rPr>
        <w:t> </w:t>
      </w:r>
      <w:r>
        <w:rPr>
          <w:rFonts w:ascii="Arial" w:hAnsi="Arial"/>
          <w:i/>
          <w:color w:val="231F20"/>
          <w:w w:val="105"/>
          <w:sz w:val="18"/>
        </w:rPr>
        <w:t>ir</w:t>
      </w:r>
      <w:r>
        <w:rPr>
          <w:rFonts w:ascii="Arial" w:hAnsi="Arial"/>
          <w:i/>
          <w:color w:val="231F20"/>
          <w:spacing w:val="-25"/>
          <w:w w:val="105"/>
          <w:sz w:val="18"/>
        </w:rPr>
        <w:t> </w:t>
      </w:r>
      <w:r>
        <w:rPr>
          <w:rFonts w:ascii="Arial" w:hAnsi="Arial"/>
          <w:i/>
          <w:color w:val="231F20"/>
          <w:w w:val="105"/>
          <w:sz w:val="18"/>
        </w:rPr>
        <w:t>con un</w:t>
      </w:r>
      <w:r>
        <w:rPr>
          <w:rFonts w:ascii="Arial" w:hAnsi="Arial"/>
          <w:i/>
          <w:color w:val="231F20"/>
          <w:spacing w:val="-17"/>
          <w:w w:val="105"/>
          <w:sz w:val="18"/>
        </w:rPr>
        <w:t> </w:t>
      </w:r>
      <w:r>
        <w:rPr>
          <w:rFonts w:ascii="Arial" w:hAnsi="Arial"/>
          <w:i/>
          <w:color w:val="231F20"/>
          <w:w w:val="105"/>
          <w:sz w:val="18"/>
        </w:rPr>
        <w:t>notario</w:t>
      </w:r>
      <w:r>
        <w:rPr>
          <w:rFonts w:ascii="Arial" w:hAnsi="Arial"/>
          <w:i/>
          <w:color w:val="231F20"/>
          <w:spacing w:val="-17"/>
          <w:w w:val="105"/>
          <w:sz w:val="18"/>
        </w:rPr>
        <w:t> </w:t>
      </w:r>
      <w:r>
        <w:rPr>
          <w:rFonts w:ascii="Arial" w:hAnsi="Arial"/>
          <w:i/>
          <w:color w:val="231F20"/>
          <w:w w:val="105"/>
          <w:sz w:val="18"/>
        </w:rPr>
        <w:t>para</w:t>
      </w:r>
      <w:r>
        <w:rPr>
          <w:rFonts w:ascii="Arial" w:hAnsi="Arial"/>
          <w:i/>
          <w:color w:val="231F20"/>
          <w:spacing w:val="-17"/>
          <w:w w:val="105"/>
          <w:sz w:val="18"/>
        </w:rPr>
        <w:t> </w:t>
      </w:r>
      <w:r>
        <w:rPr>
          <w:rFonts w:ascii="Arial" w:hAnsi="Arial"/>
          <w:i/>
          <w:color w:val="231F20"/>
          <w:w w:val="105"/>
          <w:sz w:val="18"/>
        </w:rPr>
        <w:t>poner</w:t>
      </w:r>
      <w:r>
        <w:rPr>
          <w:rFonts w:ascii="Arial" w:hAnsi="Arial"/>
          <w:i/>
          <w:color w:val="231F20"/>
          <w:spacing w:val="-17"/>
          <w:w w:val="105"/>
          <w:sz w:val="18"/>
        </w:rPr>
        <w:t> </w:t>
      </w:r>
      <w:r>
        <w:rPr>
          <w:rFonts w:ascii="Arial" w:hAnsi="Arial"/>
          <w:i/>
          <w:color w:val="231F20"/>
          <w:w w:val="105"/>
          <w:sz w:val="18"/>
        </w:rPr>
        <w:t>todos</w:t>
      </w:r>
      <w:r>
        <w:rPr>
          <w:rFonts w:ascii="Arial" w:hAnsi="Arial"/>
          <w:i/>
          <w:color w:val="231F20"/>
          <w:spacing w:val="-17"/>
          <w:w w:val="105"/>
          <w:sz w:val="18"/>
        </w:rPr>
        <w:t> </w:t>
      </w:r>
      <w:r>
        <w:rPr>
          <w:rFonts w:ascii="Arial" w:hAnsi="Arial"/>
          <w:i/>
          <w:color w:val="231F20"/>
          <w:w w:val="105"/>
          <w:sz w:val="18"/>
        </w:rPr>
        <w:t>mis</w:t>
      </w:r>
      <w:r>
        <w:rPr>
          <w:rFonts w:ascii="Arial" w:hAnsi="Arial"/>
          <w:i/>
          <w:color w:val="231F20"/>
          <w:spacing w:val="-17"/>
          <w:w w:val="105"/>
          <w:sz w:val="18"/>
        </w:rPr>
        <w:t> </w:t>
      </w:r>
      <w:r>
        <w:rPr>
          <w:rFonts w:ascii="Arial" w:hAnsi="Arial"/>
          <w:i/>
          <w:color w:val="231F20"/>
          <w:w w:val="105"/>
          <w:sz w:val="18"/>
        </w:rPr>
        <w:t>papeles</w:t>
      </w:r>
      <w:r>
        <w:rPr>
          <w:rFonts w:ascii="Arial" w:hAnsi="Arial"/>
          <w:i/>
          <w:color w:val="231F20"/>
          <w:spacing w:val="-17"/>
          <w:w w:val="105"/>
          <w:sz w:val="18"/>
        </w:rPr>
        <w:t> </w:t>
      </w:r>
      <w:r>
        <w:rPr>
          <w:rFonts w:ascii="Arial" w:hAnsi="Arial"/>
          <w:i/>
          <w:color w:val="231F20"/>
          <w:w w:val="105"/>
          <w:sz w:val="18"/>
        </w:rPr>
        <w:t>a</w:t>
      </w:r>
      <w:r>
        <w:rPr>
          <w:rFonts w:ascii="Arial" w:hAnsi="Arial"/>
          <w:i/>
          <w:color w:val="231F20"/>
          <w:spacing w:val="-17"/>
          <w:w w:val="105"/>
          <w:sz w:val="18"/>
        </w:rPr>
        <w:t> </w:t>
      </w:r>
      <w:r>
        <w:rPr>
          <w:rFonts w:ascii="Arial" w:hAnsi="Arial"/>
          <w:i/>
          <w:color w:val="231F20"/>
          <w:w w:val="105"/>
          <w:sz w:val="18"/>
        </w:rPr>
        <w:t>nombre</w:t>
      </w:r>
      <w:r>
        <w:rPr>
          <w:rFonts w:ascii="Arial" w:hAnsi="Arial"/>
          <w:i/>
          <w:color w:val="231F20"/>
          <w:spacing w:val="-17"/>
          <w:w w:val="105"/>
          <w:sz w:val="18"/>
        </w:rPr>
        <w:t> </w:t>
      </w:r>
      <w:r>
        <w:rPr>
          <w:rFonts w:ascii="Arial" w:hAnsi="Arial"/>
          <w:i/>
          <w:color w:val="231F20"/>
          <w:w w:val="105"/>
          <w:sz w:val="18"/>
        </w:rPr>
        <w:t>de</w:t>
      </w:r>
      <w:r>
        <w:rPr>
          <w:rFonts w:ascii="Arial" w:hAnsi="Arial"/>
          <w:i/>
          <w:color w:val="231F20"/>
          <w:spacing w:val="-17"/>
          <w:w w:val="105"/>
          <w:sz w:val="18"/>
        </w:rPr>
        <w:t> </w:t>
      </w:r>
      <w:r>
        <w:rPr>
          <w:rFonts w:ascii="Arial" w:hAnsi="Arial"/>
          <w:i/>
          <w:color w:val="231F20"/>
          <w:w w:val="105"/>
          <w:sz w:val="18"/>
        </w:rPr>
        <w:t>Rafael.</w:t>
      </w:r>
    </w:p>
    <w:p>
      <w:pPr>
        <w:spacing w:line="249" w:lineRule="auto" w:before="114"/>
        <w:ind w:left="2857" w:right="1829" w:firstLine="0"/>
        <w:jc w:val="both"/>
        <w:rPr>
          <w:rFonts w:ascii="Arial" w:hAnsi="Arial"/>
          <w:i/>
          <w:sz w:val="18"/>
        </w:rPr>
      </w:pPr>
      <w:r>
        <w:rPr>
          <w:rFonts w:ascii="Arial" w:hAnsi="Arial"/>
          <w:i/>
          <w:color w:val="231F20"/>
          <w:sz w:val="18"/>
        </w:rPr>
        <w:t>Nací en 1928, en Los Cerritos, un rancho que pertenecía a la Laguna, </w:t>
      </w:r>
      <w:r>
        <w:rPr>
          <w:rFonts w:ascii="Arial" w:hAnsi="Arial"/>
          <w:i/>
          <w:color w:val="231F20"/>
          <w:sz w:val="18"/>
        </w:rPr>
        <w:t>municipio de Tonatico. Mi padre fue Francisco Arenas y mi mamá Agus- tina Serrano. Soy el quinto de seis hermanos. En Los Cerritos viví hasta los seis años, cuando nos mudamos al rancho Salinas. Mi infancia fue triste porque en ese tiempo en el rancho no teníamos vías de comuni- cación, ni escuela, ni tiendas. Hasta 1950 abrieron una carretera y eso cambió mucho las cosas.</w:t>
      </w:r>
    </w:p>
    <w:p>
      <w:pPr>
        <w:spacing w:line="249" w:lineRule="auto" w:before="114"/>
        <w:ind w:left="2857" w:right="1829" w:firstLine="0"/>
        <w:jc w:val="both"/>
        <w:rPr>
          <w:rFonts w:ascii="Arial" w:hAnsi="Arial"/>
          <w:i/>
          <w:sz w:val="18"/>
        </w:rPr>
      </w:pPr>
      <w:r>
        <w:rPr>
          <w:rFonts w:ascii="Arial" w:hAnsi="Arial"/>
          <w:i/>
          <w:color w:val="231F20"/>
          <w:w w:val="105"/>
          <w:sz w:val="18"/>
        </w:rPr>
        <w:t>Mi</w:t>
      </w:r>
      <w:r>
        <w:rPr>
          <w:rFonts w:ascii="Arial" w:hAnsi="Arial"/>
          <w:i/>
          <w:color w:val="231F20"/>
          <w:spacing w:val="-19"/>
          <w:w w:val="105"/>
          <w:sz w:val="18"/>
        </w:rPr>
        <w:t> </w:t>
      </w:r>
      <w:r>
        <w:rPr>
          <w:rFonts w:ascii="Arial" w:hAnsi="Arial"/>
          <w:i/>
          <w:color w:val="231F20"/>
          <w:w w:val="105"/>
          <w:sz w:val="18"/>
        </w:rPr>
        <w:t>familia</w:t>
      </w:r>
      <w:r>
        <w:rPr>
          <w:rFonts w:ascii="Arial" w:hAnsi="Arial"/>
          <w:i/>
          <w:color w:val="231F20"/>
          <w:spacing w:val="-19"/>
          <w:w w:val="105"/>
          <w:sz w:val="18"/>
        </w:rPr>
        <w:t> </w:t>
      </w:r>
      <w:r>
        <w:rPr>
          <w:rFonts w:ascii="Arial" w:hAnsi="Arial"/>
          <w:i/>
          <w:color w:val="231F20"/>
          <w:w w:val="105"/>
          <w:sz w:val="18"/>
        </w:rPr>
        <w:t>siempre</w:t>
      </w:r>
      <w:r>
        <w:rPr>
          <w:rFonts w:ascii="Arial" w:hAnsi="Arial"/>
          <w:i/>
          <w:color w:val="231F20"/>
          <w:spacing w:val="-19"/>
          <w:w w:val="105"/>
          <w:sz w:val="18"/>
        </w:rPr>
        <w:t> </w:t>
      </w:r>
      <w:r>
        <w:rPr>
          <w:rFonts w:ascii="Arial" w:hAnsi="Arial"/>
          <w:i/>
          <w:color w:val="231F20"/>
          <w:w w:val="105"/>
          <w:sz w:val="18"/>
        </w:rPr>
        <w:t>trabajó</w:t>
      </w:r>
      <w:r>
        <w:rPr>
          <w:rFonts w:ascii="Arial" w:hAnsi="Arial"/>
          <w:i/>
          <w:color w:val="231F20"/>
          <w:spacing w:val="-19"/>
          <w:w w:val="105"/>
          <w:sz w:val="18"/>
        </w:rPr>
        <w:t> </w:t>
      </w:r>
      <w:r>
        <w:rPr>
          <w:rFonts w:ascii="Arial" w:hAnsi="Arial"/>
          <w:i/>
          <w:color w:val="231F20"/>
          <w:w w:val="105"/>
          <w:sz w:val="18"/>
        </w:rPr>
        <w:t>en</w:t>
      </w:r>
      <w:r>
        <w:rPr>
          <w:rFonts w:ascii="Arial" w:hAnsi="Arial"/>
          <w:i/>
          <w:color w:val="231F20"/>
          <w:spacing w:val="-19"/>
          <w:w w:val="105"/>
          <w:sz w:val="18"/>
        </w:rPr>
        <w:t> </w:t>
      </w:r>
      <w:r>
        <w:rPr>
          <w:rFonts w:ascii="Arial" w:hAnsi="Arial"/>
          <w:i/>
          <w:color w:val="231F20"/>
          <w:w w:val="105"/>
          <w:sz w:val="18"/>
        </w:rPr>
        <w:t>el</w:t>
      </w:r>
      <w:r>
        <w:rPr>
          <w:rFonts w:ascii="Arial" w:hAnsi="Arial"/>
          <w:i/>
          <w:color w:val="231F20"/>
          <w:spacing w:val="-19"/>
          <w:w w:val="105"/>
          <w:sz w:val="18"/>
        </w:rPr>
        <w:t> </w:t>
      </w:r>
      <w:r>
        <w:rPr>
          <w:rFonts w:ascii="Arial" w:hAnsi="Arial"/>
          <w:i/>
          <w:color w:val="231F20"/>
          <w:w w:val="105"/>
          <w:sz w:val="18"/>
        </w:rPr>
        <w:t>campo,</w:t>
      </w:r>
      <w:r>
        <w:rPr>
          <w:rFonts w:ascii="Arial" w:hAnsi="Arial"/>
          <w:i/>
          <w:color w:val="231F20"/>
          <w:spacing w:val="-22"/>
          <w:w w:val="105"/>
          <w:sz w:val="18"/>
        </w:rPr>
        <w:t> </w:t>
      </w:r>
      <w:r>
        <w:rPr>
          <w:rFonts w:ascii="Arial" w:hAnsi="Arial"/>
          <w:i/>
          <w:color w:val="231F20"/>
          <w:w w:val="105"/>
          <w:sz w:val="18"/>
        </w:rPr>
        <w:t>y</w:t>
      </w:r>
      <w:r>
        <w:rPr>
          <w:rFonts w:ascii="Arial" w:hAnsi="Arial"/>
          <w:i/>
          <w:color w:val="231F20"/>
          <w:spacing w:val="-19"/>
          <w:w w:val="105"/>
          <w:sz w:val="18"/>
        </w:rPr>
        <w:t> </w:t>
      </w:r>
      <w:r>
        <w:rPr>
          <w:rFonts w:ascii="Arial" w:hAnsi="Arial"/>
          <w:i/>
          <w:color w:val="231F20"/>
          <w:w w:val="105"/>
          <w:sz w:val="18"/>
        </w:rPr>
        <w:t>yo</w:t>
      </w:r>
      <w:r>
        <w:rPr>
          <w:rFonts w:ascii="Arial" w:hAnsi="Arial"/>
          <w:i/>
          <w:color w:val="231F20"/>
          <w:spacing w:val="-19"/>
          <w:w w:val="105"/>
          <w:sz w:val="18"/>
        </w:rPr>
        <w:t> </w:t>
      </w:r>
      <w:r>
        <w:rPr>
          <w:rFonts w:ascii="Arial" w:hAnsi="Arial"/>
          <w:i/>
          <w:color w:val="231F20"/>
          <w:w w:val="105"/>
          <w:sz w:val="18"/>
        </w:rPr>
        <w:t>a</w:t>
      </w:r>
      <w:r>
        <w:rPr>
          <w:rFonts w:ascii="Arial" w:hAnsi="Arial"/>
          <w:i/>
          <w:color w:val="231F20"/>
          <w:spacing w:val="-19"/>
          <w:w w:val="105"/>
          <w:sz w:val="18"/>
        </w:rPr>
        <w:t> </w:t>
      </w:r>
      <w:r>
        <w:rPr>
          <w:rFonts w:ascii="Arial" w:hAnsi="Arial"/>
          <w:i/>
          <w:color w:val="231F20"/>
          <w:w w:val="105"/>
          <w:sz w:val="18"/>
        </w:rPr>
        <w:t>los</w:t>
      </w:r>
      <w:r>
        <w:rPr>
          <w:rFonts w:ascii="Arial" w:hAnsi="Arial"/>
          <w:i/>
          <w:color w:val="231F20"/>
          <w:spacing w:val="-19"/>
          <w:w w:val="105"/>
          <w:sz w:val="18"/>
        </w:rPr>
        <w:t> </w:t>
      </w:r>
      <w:r>
        <w:rPr>
          <w:rFonts w:ascii="Arial" w:hAnsi="Arial"/>
          <w:i/>
          <w:color w:val="231F20"/>
          <w:w w:val="105"/>
          <w:sz w:val="18"/>
        </w:rPr>
        <w:t>diez</w:t>
      </w:r>
      <w:r>
        <w:rPr>
          <w:rFonts w:ascii="Arial" w:hAnsi="Arial"/>
          <w:i/>
          <w:color w:val="231F20"/>
          <w:spacing w:val="-19"/>
          <w:w w:val="105"/>
          <w:sz w:val="18"/>
        </w:rPr>
        <w:t> </w:t>
      </w:r>
      <w:r>
        <w:rPr>
          <w:rFonts w:ascii="Arial" w:hAnsi="Arial"/>
          <w:i/>
          <w:color w:val="231F20"/>
          <w:w w:val="105"/>
          <w:sz w:val="18"/>
        </w:rPr>
        <w:t>años</w:t>
      </w:r>
      <w:r>
        <w:rPr>
          <w:rFonts w:ascii="Arial" w:hAnsi="Arial"/>
          <w:i/>
          <w:color w:val="231F20"/>
          <w:spacing w:val="-19"/>
          <w:w w:val="105"/>
          <w:sz w:val="18"/>
        </w:rPr>
        <w:t> </w:t>
      </w:r>
      <w:r>
        <w:rPr>
          <w:rFonts w:ascii="Arial" w:hAnsi="Arial"/>
          <w:i/>
          <w:color w:val="231F20"/>
          <w:w w:val="105"/>
          <w:sz w:val="18"/>
        </w:rPr>
        <w:t>ya</w:t>
      </w:r>
      <w:r>
        <w:rPr>
          <w:rFonts w:ascii="Arial" w:hAnsi="Arial"/>
          <w:i/>
          <w:color w:val="231F20"/>
          <w:spacing w:val="-19"/>
          <w:w w:val="105"/>
          <w:sz w:val="18"/>
        </w:rPr>
        <w:t> </w:t>
      </w:r>
      <w:r>
        <w:rPr>
          <w:rFonts w:ascii="Arial" w:hAnsi="Arial"/>
          <w:i/>
          <w:color w:val="231F20"/>
          <w:w w:val="105"/>
          <w:sz w:val="18"/>
        </w:rPr>
        <w:t>ayudaba </w:t>
      </w:r>
      <w:r>
        <w:rPr>
          <w:rFonts w:ascii="Arial" w:hAnsi="Arial"/>
          <w:i/>
          <w:color w:val="231F20"/>
          <w:w w:val="105"/>
          <w:sz w:val="18"/>
        </w:rPr>
        <w:t>a</w:t>
      </w:r>
      <w:r>
        <w:rPr>
          <w:rFonts w:ascii="Arial" w:hAnsi="Arial"/>
          <w:i/>
          <w:color w:val="231F20"/>
          <w:spacing w:val="-17"/>
          <w:w w:val="105"/>
          <w:sz w:val="18"/>
        </w:rPr>
        <w:t> </w:t>
      </w:r>
      <w:r>
        <w:rPr>
          <w:rFonts w:ascii="Arial" w:hAnsi="Arial"/>
          <w:i/>
          <w:color w:val="231F20"/>
          <w:w w:val="105"/>
          <w:sz w:val="18"/>
        </w:rPr>
        <w:t>cultivar</w:t>
      </w:r>
      <w:r>
        <w:rPr>
          <w:rFonts w:ascii="Arial" w:hAnsi="Arial"/>
          <w:i/>
          <w:color w:val="231F20"/>
          <w:spacing w:val="-17"/>
          <w:w w:val="105"/>
          <w:sz w:val="18"/>
        </w:rPr>
        <w:t> </w:t>
      </w:r>
      <w:r>
        <w:rPr>
          <w:rFonts w:ascii="Arial" w:hAnsi="Arial"/>
          <w:i/>
          <w:color w:val="231F20"/>
          <w:w w:val="105"/>
          <w:sz w:val="18"/>
        </w:rPr>
        <w:t>la</w:t>
      </w:r>
      <w:r>
        <w:rPr>
          <w:rFonts w:ascii="Arial" w:hAnsi="Arial"/>
          <w:i/>
          <w:color w:val="231F20"/>
          <w:spacing w:val="-17"/>
          <w:w w:val="105"/>
          <w:sz w:val="18"/>
        </w:rPr>
        <w:t> </w:t>
      </w:r>
      <w:r>
        <w:rPr>
          <w:rFonts w:ascii="Arial" w:hAnsi="Arial"/>
          <w:i/>
          <w:color w:val="231F20"/>
          <w:w w:val="105"/>
          <w:sz w:val="18"/>
        </w:rPr>
        <w:t>tierra.</w:t>
      </w:r>
      <w:r>
        <w:rPr>
          <w:rFonts w:ascii="Arial" w:hAnsi="Arial"/>
          <w:i/>
          <w:color w:val="231F20"/>
          <w:spacing w:val="-21"/>
          <w:w w:val="105"/>
          <w:sz w:val="18"/>
        </w:rPr>
        <w:t> </w:t>
      </w:r>
      <w:r>
        <w:rPr>
          <w:rFonts w:ascii="Arial" w:hAnsi="Arial"/>
          <w:i/>
          <w:color w:val="231F20"/>
          <w:w w:val="105"/>
          <w:sz w:val="18"/>
        </w:rPr>
        <w:t>Cuando</w:t>
      </w:r>
      <w:r>
        <w:rPr>
          <w:rFonts w:ascii="Arial" w:hAnsi="Arial"/>
          <w:i/>
          <w:color w:val="231F20"/>
          <w:spacing w:val="-17"/>
          <w:w w:val="105"/>
          <w:sz w:val="18"/>
        </w:rPr>
        <w:t> </w:t>
      </w:r>
      <w:r>
        <w:rPr>
          <w:rFonts w:ascii="Arial" w:hAnsi="Arial"/>
          <w:i/>
          <w:color w:val="231F20"/>
          <w:w w:val="105"/>
          <w:sz w:val="18"/>
        </w:rPr>
        <w:t>tenía</w:t>
      </w:r>
      <w:r>
        <w:rPr>
          <w:rFonts w:ascii="Arial" w:hAnsi="Arial"/>
          <w:i/>
          <w:color w:val="231F20"/>
          <w:spacing w:val="-17"/>
          <w:w w:val="105"/>
          <w:sz w:val="18"/>
        </w:rPr>
        <w:t> </w:t>
      </w:r>
      <w:r>
        <w:rPr>
          <w:rFonts w:ascii="Arial" w:hAnsi="Arial"/>
          <w:i/>
          <w:color w:val="231F20"/>
          <w:w w:val="105"/>
          <w:sz w:val="18"/>
        </w:rPr>
        <w:t>doce</w:t>
      </w:r>
      <w:r>
        <w:rPr>
          <w:rFonts w:ascii="Arial" w:hAnsi="Arial"/>
          <w:i/>
          <w:color w:val="231F20"/>
          <w:spacing w:val="-17"/>
          <w:w w:val="105"/>
          <w:sz w:val="18"/>
        </w:rPr>
        <w:t> </w:t>
      </w:r>
      <w:r>
        <w:rPr>
          <w:rFonts w:ascii="Arial" w:hAnsi="Arial"/>
          <w:i/>
          <w:color w:val="231F20"/>
          <w:w w:val="105"/>
          <w:sz w:val="18"/>
        </w:rPr>
        <w:t>hice</w:t>
      </w:r>
      <w:r>
        <w:rPr>
          <w:rFonts w:ascii="Arial" w:hAnsi="Arial"/>
          <w:i/>
          <w:color w:val="231F20"/>
          <w:spacing w:val="-17"/>
          <w:w w:val="105"/>
          <w:sz w:val="18"/>
        </w:rPr>
        <w:t> </w:t>
      </w:r>
      <w:r>
        <w:rPr>
          <w:rFonts w:ascii="Arial" w:hAnsi="Arial"/>
          <w:i/>
          <w:color w:val="231F20"/>
          <w:w w:val="105"/>
          <w:sz w:val="18"/>
        </w:rPr>
        <w:t>mi</w:t>
      </w:r>
      <w:r>
        <w:rPr>
          <w:rFonts w:ascii="Arial" w:hAnsi="Arial"/>
          <w:i/>
          <w:color w:val="231F20"/>
          <w:spacing w:val="-17"/>
          <w:w w:val="105"/>
          <w:sz w:val="18"/>
        </w:rPr>
        <w:t> </w:t>
      </w:r>
      <w:r>
        <w:rPr>
          <w:rFonts w:ascii="Arial" w:hAnsi="Arial"/>
          <w:i/>
          <w:color w:val="231F20"/>
          <w:w w:val="105"/>
          <w:sz w:val="18"/>
        </w:rPr>
        <w:t>primera</w:t>
      </w:r>
      <w:r>
        <w:rPr>
          <w:rFonts w:ascii="Arial" w:hAnsi="Arial"/>
          <w:i/>
          <w:color w:val="231F20"/>
          <w:spacing w:val="-17"/>
          <w:w w:val="105"/>
          <w:sz w:val="18"/>
        </w:rPr>
        <w:t> </w:t>
      </w:r>
      <w:r>
        <w:rPr>
          <w:rFonts w:ascii="Arial" w:hAnsi="Arial"/>
          <w:i/>
          <w:color w:val="231F20"/>
          <w:w w:val="105"/>
          <w:sz w:val="18"/>
        </w:rPr>
        <w:t>siembra</w:t>
      </w:r>
      <w:r>
        <w:rPr>
          <w:rFonts w:ascii="Arial" w:hAnsi="Arial"/>
          <w:i/>
          <w:color w:val="231F20"/>
          <w:spacing w:val="-17"/>
          <w:w w:val="105"/>
          <w:sz w:val="18"/>
        </w:rPr>
        <w:t> </w:t>
      </w:r>
      <w:r>
        <w:rPr>
          <w:rFonts w:ascii="Arial" w:hAnsi="Arial"/>
          <w:i/>
          <w:color w:val="231F20"/>
          <w:w w:val="105"/>
          <w:sz w:val="18"/>
        </w:rPr>
        <w:t>de</w:t>
      </w:r>
      <w:r>
        <w:rPr>
          <w:rFonts w:ascii="Arial" w:hAnsi="Arial"/>
          <w:i/>
          <w:color w:val="231F20"/>
          <w:spacing w:val="-17"/>
          <w:w w:val="105"/>
          <w:sz w:val="18"/>
        </w:rPr>
        <w:t> </w:t>
      </w:r>
      <w:r>
        <w:rPr>
          <w:rFonts w:ascii="Arial" w:hAnsi="Arial"/>
          <w:i/>
          <w:color w:val="231F20"/>
          <w:w w:val="105"/>
          <w:sz w:val="18"/>
        </w:rPr>
        <w:t>maíz, fue</w:t>
      </w:r>
      <w:r>
        <w:rPr>
          <w:rFonts w:ascii="Arial" w:hAnsi="Arial"/>
          <w:i/>
          <w:color w:val="231F20"/>
          <w:spacing w:val="-21"/>
          <w:w w:val="105"/>
          <w:sz w:val="18"/>
        </w:rPr>
        <w:t> </w:t>
      </w:r>
      <w:r>
        <w:rPr>
          <w:rFonts w:ascii="Arial" w:hAnsi="Arial"/>
          <w:i/>
          <w:color w:val="231F20"/>
          <w:w w:val="105"/>
          <w:sz w:val="18"/>
        </w:rPr>
        <w:t>en</w:t>
      </w:r>
      <w:r>
        <w:rPr>
          <w:rFonts w:ascii="Arial" w:hAnsi="Arial"/>
          <w:i/>
          <w:color w:val="231F20"/>
          <w:spacing w:val="-21"/>
          <w:w w:val="105"/>
          <w:sz w:val="18"/>
        </w:rPr>
        <w:t> </w:t>
      </w:r>
      <w:r>
        <w:rPr>
          <w:rFonts w:ascii="Arial" w:hAnsi="Arial"/>
          <w:i/>
          <w:color w:val="231F20"/>
          <w:w w:val="105"/>
          <w:sz w:val="18"/>
        </w:rPr>
        <w:t>unos</w:t>
      </w:r>
      <w:r>
        <w:rPr>
          <w:rFonts w:ascii="Arial" w:hAnsi="Arial"/>
          <w:i/>
          <w:color w:val="231F20"/>
          <w:spacing w:val="-21"/>
          <w:w w:val="105"/>
          <w:sz w:val="18"/>
        </w:rPr>
        <w:t> </w:t>
      </w:r>
      <w:r>
        <w:rPr>
          <w:rFonts w:ascii="Arial" w:hAnsi="Arial"/>
          <w:i/>
          <w:color w:val="231F20"/>
          <w:w w:val="105"/>
          <w:sz w:val="18"/>
        </w:rPr>
        <w:t>terrenos</w:t>
      </w:r>
      <w:r>
        <w:rPr>
          <w:rFonts w:ascii="Arial" w:hAnsi="Arial"/>
          <w:i/>
          <w:color w:val="231F20"/>
          <w:spacing w:val="-21"/>
          <w:w w:val="105"/>
          <w:sz w:val="18"/>
        </w:rPr>
        <w:t> </w:t>
      </w:r>
      <w:r>
        <w:rPr>
          <w:rFonts w:ascii="Arial" w:hAnsi="Arial"/>
          <w:i/>
          <w:color w:val="231F20"/>
          <w:w w:val="105"/>
          <w:sz w:val="18"/>
        </w:rPr>
        <w:t>en</w:t>
      </w:r>
      <w:r>
        <w:rPr>
          <w:rFonts w:ascii="Arial" w:hAnsi="Arial"/>
          <w:i/>
          <w:color w:val="231F20"/>
          <w:spacing w:val="-21"/>
          <w:w w:val="105"/>
          <w:sz w:val="18"/>
        </w:rPr>
        <w:t> </w:t>
      </w:r>
      <w:r>
        <w:rPr>
          <w:rFonts w:ascii="Arial" w:hAnsi="Arial"/>
          <w:i/>
          <w:color w:val="231F20"/>
          <w:w w:val="105"/>
          <w:sz w:val="18"/>
        </w:rPr>
        <w:t>el</w:t>
      </w:r>
      <w:r>
        <w:rPr>
          <w:rFonts w:ascii="Arial" w:hAnsi="Arial"/>
          <w:i/>
          <w:color w:val="231F20"/>
          <w:spacing w:val="-21"/>
          <w:w w:val="105"/>
          <w:sz w:val="18"/>
        </w:rPr>
        <w:t> </w:t>
      </w:r>
      <w:r>
        <w:rPr>
          <w:rFonts w:ascii="Arial" w:hAnsi="Arial"/>
          <w:i/>
          <w:color w:val="231F20"/>
          <w:w w:val="105"/>
          <w:sz w:val="18"/>
        </w:rPr>
        <w:t>estado</w:t>
      </w:r>
      <w:r>
        <w:rPr>
          <w:rFonts w:ascii="Arial" w:hAnsi="Arial"/>
          <w:i/>
          <w:color w:val="231F20"/>
          <w:spacing w:val="-21"/>
          <w:w w:val="105"/>
          <w:sz w:val="18"/>
        </w:rPr>
        <w:t> </w:t>
      </w:r>
      <w:r>
        <w:rPr>
          <w:rFonts w:ascii="Arial" w:hAnsi="Arial"/>
          <w:i/>
          <w:color w:val="231F20"/>
          <w:w w:val="105"/>
          <w:sz w:val="18"/>
        </w:rPr>
        <w:t>de</w:t>
      </w:r>
      <w:r>
        <w:rPr>
          <w:rFonts w:ascii="Arial" w:hAnsi="Arial"/>
          <w:i/>
          <w:color w:val="231F20"/>
          <w:spacing w:val="-21"/>
          <w:w w:val="105"/>
          <w:sz w:val="18"/>
        </w:rPr>
        <w:t> </w:t>
      </w:r>
      <w:r>
        <w:rPr>
          <w:rFonts w:ascii="Arial" w:hAnsi="Arial"/>
          <w:i/>
          <w:color w:val="231F20"/>
          <w:w w:val="105"/>
          <w:sz w:val="18"/>
        </w:rPr>
        <w:t>Morelos,</w:t>
      </w:r>
      <w:r>
        <w:rPr>
          <w:rFonts w:ascii="Arial" w:hAnsi="Arial"/>
          <w:i/>
          <w:color w:val="231F20"/>
          <w:spacing w:val="-25"/>
          <w:w w:val="105"/>
          <w:sz w:val="18"/>
        </w:rPr>
        <w:t> </w:t>
      </w:r>
      <w:r>
        <w:rPr>
          <w:rFonts w:ascii="Arial" w:hAnsi="Arial"/>
          <w:i/>
          <w:color w:val="231F20"/>
          <w:w w:val="105"/>
          <w:sz w:val="18"/>
        </w:rPr>
        <w:t>esa</w:t>
      </w:r>
      <w:r>
        <w:rPr>
          <w:rFonts w:ascii="Arial" w:hAnsi="Arial"/>
          <w:i/>
          <w:color w:val="231F20"/>
          <w:spacing w:val="-21"/>
          <w:w w:val="105"/>
          <w:sz w:val="18"/>
        </w:rPr>
        <w:t> </w:t>
      </w:r>
      <w:r>
        <w:rPr>
          <w:rFonts w:ascii="Arial" w:hAnsi="Arial"/>
          <w:i/>
          <w:color w:val="231F20"/>
          <w:w w:val="105"/>
          <w:sz w:val="18"/>
        </w:rPr>
        <w:t>vez</w:t>
      </w:r>
      <w:r>
        <w:rPr>
          <w:rFonts w:ascii="Arial" w:hAnsi="Arial"/>
          <w:i/>
          <w:color w:val="231F20"/>
          <w:spacing w:val="-21"/>
          <w:w w:val="105"/>
          <w:sz w:val="18"/>
        </w:rPr>
        <w:t> </w:t>
      </w:r>
      <w:r>
        <w:rPr>
          <w:rFonts w:ascii="Arial" w:hAnsi="Arial"/>
          <w:i/>
          <w:color w:val="231F20"/>
          <w:w w:val="105"/>
          <w:sz w:val="18"/>
        </w:rPr>
        <w:t>fui</w:t>
      </w:r>
      <w:r>
        <w:rPr>
          <w:rFonts w:ascii="Arial" w:hAnsi="Arial"/>
          <w:i/>
          <w:color w:val="231F20"/>
          <w:spacing w:val="-21"/>
          <w:w w:val="105"/>
          <w:sz w:val="18"/>
        </w:rPr>
        <w:t> </w:t>
      </w:r>
      <w:r>
        <w:rPr>
          <w:rFonts w:ascii="Arial" w:hAnsi="Arial"/>
          <w:i/>
          <w:color w:val="231F20"/>
          <w:w w:val="105"/>
          <w:sz w:val="18"/>
        </w:rPr>
        <w:t>con</w:t>
      </w:r>
      <w:r>
        <w:rPr>
          <w:rFonts w:ascii="Arial" w:hAnsi="Arial"/>
          <w:i/>
          <w:color w:val="231F20"/>
          <w:spacing w:val="-21"/>
          <w:w w:val="105"/>
          <w:sz w:val="18"/>
        </w:rPr>
        <w:t> </w:t>
      </w:r>
      <w:r>
        <w:rPr>
          <w:rFonts w:ascii="Arial" w:hAnsi="Arial"/>
          <w:i/>
          <w:color w:val="231F20"/>
          <w:w w:val="105"/>
          <w:sz w:val="18"/>
        </w:rPr>
        <w:t>mi</w:t>
      </w:r>
      <w:r>
        <w:rPr>
          <w:rFonts w:ascii="Arial" w:hAnsi="Arial"/>
          <w:i/>
          <w:color w:val="231F20"/>
          <w:spacing w:val="-21"/>
          <w:w w:val="105"/>
          <w:sz w:val="18"/>
        </w:rPr>
        <w:t> </w:t>
      </w:r>
      <w:r>
        <w:rPr>
          <w:rFonts w:ascii="Arial" w:hAnsi="Arial"/>
          <w:i/>
          <w:color w:val="231F20"/>
          <w:w w:val="105"/>
          <w:sz w:val="18"/>
        </w:rPr>
        <w:t>herma- no</w:t>
      </w:r>
      <w:r>
        <w:rPr>
          <w:rFonts w:ascii="Arial" w:hAnsi="Arial"/>
          <w:i/>
          <w:color w:val="231F20"/>
          <w:spacing w:val="-30"/>
          <w:w w:val="105"/>
          <w:sz w:val="18"/>
        </w:rPr>
        <w:t> </w:t>
      </w:r>
      <w:r>
        <w:rPr>
          <w:rFonts w:ascii="Arial" w:hAnsi="Arial"/>
          <w:i/>
          <w:color w:val="231F20"/>
          <w:spacing w:val="-3"/>
          <w:w w:val="105"/>
          <w:sz w:val="18"/>
        </w:rPr>
        <w:t>Prócoro.</w:t>
      </w:r>
      <w:r>
        <w:rPr>
          <w:rFonts w:ascii="Arial" w:hAnsi="Arial"/>
          <w:i/>
          <w:color w:val="231F20"/>
          <w:spacing w:val="-34"/>
          <w:w w:val="105"/>
          <w:sz w:val="18"/>
        </w:rPr>
        <w:t> </w:t>
      </w:r>
      <w:r>
        <w:rPr>
          <w:rFonts w:ascii="Arial" w:hAnsi="Arial"/>
          <w:i/>
          <w:color w:val="231F20"/>
          <w:spacing w:val="-4"/>
          <w:w w:val="105"/>
          <w:sz w:val="18"/>
        </w:rPr>
        <w:t>Para</w:t>
      </w:r>
      <w:r>
        <w:rPr>
          <w:rFonts w:ascii="Arial" w:hAnsi="Arial"/>
          <w:i/>
          <w:color w:val="231F20"/>
          <w:spacing w:val="-30"/>
          <w:w w:val="105"/>
          <w:sz w:val="18"/>
        </w:rPr>
        <w:t> </w:t>
      </w:r>
      <w:r>
        <w:rPr>
          <w:rFonts w:ascii="Arial" w:hAnsi="Arial"/>
          <w:i/>
          <w:color w:val="231F20"/>
          <w:w w:val="105"/>
          <w:sz w:val="18"/>
        </w:rPr>
        <w:t>entonces</w:t>
      </w:r>
      <w:r>
        <w:rPr>
          <w:rFonts w:ascii="Arial" w:hAnsi="Arial"/>
          <w:i/>
          <w:color w:val="231F20"/>
          <w:spacing w:val="-30"/>
          <w:w w:val="105"/>
          <w:sz w:val="18"/>
        </w:rPr>
        <w:t> </w:t>
      </w:r>
      <w:r>
        <w:rPr>
          <w:rFonts w:ascii="Arial" w:hAnsi="Arial"/>
          <w:i/>
          <w:color w:val="231F20"/>
          <w:w w:val="105"/>
          <w:sz w:val="18"/>
        </w:rPr>
        <w:t>ya</w:t>
      </w:r>
      <w:r>
        <w:rPr>
          <w:rFonts w:ascii="Arial" w:hAnsi="Arial"/>
          <w:i/>
          <w:color w:val="231F20"/>
          <w:spacing w:val="-30"/>
          <w:w w:val="105"/>
          <w:sz w:val="18"/>
        </w:rPr>
        <w:t> </w:t>
      </w:r>
      <w:r>
        <w:rPr>
          <w:rFonts w:ascii="Arial" w:hAnsi="Arial"/>
          <w:i/>
          <w:color w:val="231F20"/>
          <w:w w:val="105"/>
          <w:sz w:val="18"/>
        </w:rPr>
        <w:t>varios</w:t>
      </w:r>
      <w:r>
        <w:rPr>
          <w:rFonts w:ascii="Arial" w:hAnsi="Arial"/>
          <w:i/>
          <w:color w:val="231F20"/>
          <w:spacing w:val="-30"/>
          <w:w w:val="105"/>
          <w:sz w:val="18"/>
        </w:rPr>
        <w:t> </w:t>
      </w:r>
      <w:r>
        <w:rPr>
          <w:rFonts w:ascii="Arial" w:hAnsi="Arial"/>
          <w:i/>
          <w:color w:val="231F20"/>
          <w:w w:val="105"/>
          <w:sz w:val="18"/>
        </w:rPr>
        <w:t>de</w:t>
      </w:r>
      <w:r>
        <w:rPr>
          <w:rFonts w:ascii="Arial" w:hAnsi="Arial"/>
          <w:i/>
          <w:color w:val="231F20"/>
          <w:spacing w:val="-30"/>
          <w:w w:val="105"/>
          <w:sz w:val="18"/>
        </w:rPr>
        <w:t> </w:t>
      </w:r>
      <w:r>
        <w:rPr>
          <w:rFonts w:ascii="Arial" w:hAnsi="Arial"/>
          <w:i/>
          <w:color w:val="231F20"/>
          <w:w w:val="105"/>
          <w:sz w:val="18"/>
        </w:rPr>
        <w:t>mis</w:t>
      </w:r>
      <w:r>
        <w:rPr>
          <w:rFonts w:ascii="Arial" w:hAnsi="Arial"/>
          <w:i/>
          <w:color w:val="231F20"/>
          <w:spacing w:val="-30"/>
          <w:w w:val="105"/>
          <w:sz w:val="18"/>
        </w:rPr>
        <w:t> </w:t>
      </w:r>
      <w:r>
        <w:rPr>
          <w:rFonts w:ascii="Arial" w:hAnsi="Arial"/>
          <w:i/>
          <w:color w:val="231F20"/>
          <w:w w:val="105"/>
          <w:sz w:val="18"/>
        </w:rPr>
        <w:t>hermanos</w:t>
      </w:r>
      <w:r>
        <w:rPr>
          <w:rFonts w:ascii="Arial" w:hAnsi="Arial"/>
          <w:i/>
          <w:color w:val="231F20"/>
          <w:spacing w:val="-30"/>
          <w:w w:val="105"/>
          <w:sz w:val="18"/>
        </w:rPr>
        <w:t> </w:t>
      </w:r>
      <w:r>
        <w:rPr>
          <w:rFonts w:ascii="Arial" w:hAnsi="Arial"/>
          <w:i/>
          <w:color w:val="231F20"/>
          <w:w w:val="105"/>
          <w:sz w:val="18"/>
        </w:rPr>
        <w:t>se</w:t>
      </w:r>
      <w:r>
        <w:rPr>
          <w:rFonts w:ascii="Arial" w:hAnsi="Arial"/>
          <w:i/>
          <w:color w:val="231F20"/>
          <w:spacing w:val="-30"/>
          <w:w w:val="105"/>
          <w:sz w:val="18"/>
        </w:rPr>
        <w:t> </w:t>
      </w:r>
      <w:r>
        <w:rPr>
          <w:rFonts w:ascii="Arial" w:hAnsi="Arial"/>
          <w:i/>
          <w:color w:val="231F20"/>
          <w:w w:val="105"/>
          <w:sz w:val="18"/>
        </w:rPr>
        <w:t>habían</w:t>
      </w:r>
      <w:r>
        <w:rPr>
          <w:rFonts w:ascii="Arial" w:hAnsi="Arial"/>
          <w:i/>
          <w:color w:val="231F20"/>
          <w:spacing w:val="-30"/>
          <w:w w:val="105"/>
          <w:sz w:val="18"/>
        </w:rPr>
        <w:t> </w:t>
      </w:r>
      <w:r>
        <w:rPr>
          <w:rFonts w:ascii="Arial" w:hAnsi="Arial"/>
          <w:i/>
          <w:color w:val="231F20"/>
          <w:w w:val="105"/>
          <w:sz w:val="18"/>
        </w:rPr>
        <w:t>ido</w:t>
      </w:r>
      <w:r>
        <w:rPr>
          <w:rFonts w:ascii="Arial" w:hAnsi="Arial"/>
          <w:i/>
          <w:color w:val="231F20"/>
          <w:spacing w:val="-30"/>
          <w:w w:val="105"/>
          <w:sz w:val="18"/>
        </w:rPr>
        <w:t> </w:t>
      </w:r>
      <w:r>
        <w:rPr>
          <w:rFonts w:ascii="Arial" w:hAnsi="Arial"/>
          <w:i/>
          <w:color w:val="231F20"/>
          <w:w w:val="105"/>
          <w:sz w:val="18"/>
        </w:rPr>
        <w:t>de</w:t>
      </w:r>
      <w:r>
        <w:rPr>
          <w:rFonts w:ascii="Arial" w:hAnsi="Arial"/>
          <w:i/>
          <w:color w:val="231F20"/>
          <w:spacing w:val="-30"/>
          <w:w w:val="105"/>
          <w:sz w:val="18"/>
        </w:rPr>
        <w:t> </w:t>
      </w:r>
      <w:r>
        <w:rPr>
          <w:rFonts w:ascii="Arial" w:hAnsi="Arial"/>
          <w:i/>
          <w:color w:val="231F20"/>
          <w:w w:val="105"/>
          <w:sz w:val="18"/>
        </w:rPr>
        <w:t>la casa.</w:t>
      </w:r>
      <w:r>
        <w:rPr>
          <w:rFonts w:ascii="Arial" w:hAnsi="Arial"/>
          <w:i/>
          <w:color w:val="231F20"/>
          <w:spacing w:val="-30"/>
          <w:w w:val="105"/>
          <w:sz w:val="18"/>
        </w:rPr>
        <w:t> </w:t>
      </w:r>
      <w:r>
        <w:rPr>
          <w:rFonts w:ascii="Arial" w:hAnsi="Arial"/>
          <w:i/>
          <w:color w:val="231F20"/>
          <w:w w:val="105"/>
          <w:sz w:val="18"/>
        </w:rPr>
        <w:t>Al</w:t>
      </w:r>
      <w:r>
        <w:rPr>
          <w:rFonts w:ascii="Arial" w:hAnsi="Arial"/>
          <w:i/>
          <w:color w:val="231F20"/>
          <w:spacing w:val="-23"/>
          <w:w w:val="105"/>
          <w:sz w:val="18"/>
        </w:rPr>
        <w:t> </w:t>
      </w:r>
      <w:r>
        <w:rPr>
          <w:rFonts w:ascii="Arial" w:hAnsi="Arial"/>
          <w:i/>
          <w:color w:val="231F20"/>
          <w:w w:val="105"/>
          <w:sz w:val="18"/>
        </w:rPr>
        <w:t>final</w:t>
      </w:r>
      <w:r>
        <w:rPr>
          <w:rFonts w:ascii="Arial" w:hAnsi="Arial"/>
          <w:i/>
          <w:color w:val="231F20"/>
          <w:spacing w:val="-23"/>
          <w:w w:val="105"/>
          <w:sz w:val="18"/>
        </w:rPr>
        <w:t> </w:t>
      </w:r>
      <w:r>
        <w:rPr>
          <w:rFonts w:ascii="Arial" w:hAnsi="Arial"/>
          <w:i/>
          <w:color w:val="231F20"/>
          <w:w w:val="105"/>
          <w:sz w:val="18"/>
        </w:rPr>
        <w:t>todos</w:t>
      </w:r>
      <w:r>
        <w:rPr>
          <w:rFonts w:ascii="Arial" w:hAnsi="Arial"/>
          <w:i/>
          <w:color w:val="231F20"/>
          <w:spacing w:val="-23"/>
          <w:w w:val="105"/>
          <w:sz w:val="18"/>
        </w:rPr>
        <w:t> </w:t>
      </w:r>
      <w:r>
        <w:rPr>
          <w:rFonts w:ascii="Arial" w:hAnsi="Arial"/>
          <w:i/>
          <w:color w:val="231F20"/>
          <w:w w:val="105"/>
          <w:sz w:val="18"/>
        </w:rPr>
        <w:t>se</w:t>
      </w:r>
      <w:r>
        <w:rPr>
          <w:rFonts w:ascii="Arial" w:hAnsi="Arial"/>
          <w:i/>
          <w:color w:val="231F20"/>
          <w:spacing w:val="-23"/>
          <w:w w:val="105"/>
          <w:sz w:val="18"/>
        </w:rPr>
        <w:t> </w:t>
      </w:r>
      <w:r>
        <w:rPr>
          <w:rFonts w:ascii="Arial" w:hAnsi="Arial"/>
          <w:i/>
          <w:color w:val="231F20"/>
          <w:w w:val="105"/>
          <w:sz w:val="18"/>
        </w:rPr>
        <w:t>fueron</w:t>
      </w:r>
      <w:r>
        <w:rPr>
          <w:rFonts w:ascii="Arial" w:hAnsi="Arial"/>
          <w:i/>
          <w:color w:val="231F20"/>
          <w:spacing w:val="-23"/>
          <w:w w:val="105"/>
          <w:sz w:val="18"/>
        </w:rPr>
        <w:t> </w:t>
      </w:r>
      <w:r>
        <w:rPr>
          <w:rFonts w:ascii="Arial" w:hAnsi="Arial"/>
          <w:i/>
          <w:color w:val="231F20"/>
          <w:w w:val="105"/>
          <w:sz w:val="18"/>
        </w:rPr>
        <w:t>a</w:t>
      </w:r>
      <w:r>
        <w:rPr>
          <w:rFonts w:ascii="Arial" w:hAnsi="Arial"/>
          <w:i/>
          <w:color w:val="231F20"/>
          <w:spacing w:val="-23"/>
          <w:w w:val="105"/>
          <w:sz w:val="18"/>
        </w:rPr>
        <w:t> </w:t>
      </w:r>
      <w:r>
        <w:rPr>
          <w:rFonts w:ascii="Arial" w:hAnsi="Arial"/>
          <w:i/>
          <w:color w:val="231F20"/>
          <w:w w:val="105"/>
          <w:sz w:val="18"/>
        </w:rPr>
        <w:t>vivir</w:t>
      </w:r>
      <w:r>
        <w:rPr>
          <w:rFonts w:ascii="Arial" w:hAnsi="Arial"/>
          <w:i/>
          <w:color w:val="231F20"/>
          <w:spacing w:val="-23"/>
          <w:w w:val="105"/>
          <w:sz w:val="18"/>
        </w:rPr>
        <w:t> </w:t>
      </w:r>
      <w:r>
        <w:rPr>
          <w:rFonts w:ascii="Arial" w:hAnsi="Arial"/>
          <w:i/>
          <w:color w:val="231F20"/>
          <w:w w:val="105"/>
          <w:sz w:val="18"/>
        </w:rPr>
        <w:t>a</w:t>
      </w:r>
      <w:r>
        <w:rPr>
          <w:rFonts w:ascii="Arial" w:hAnsi="Arial"/>
          <w:i/>
          <w:color w:val="231F20"/>
          <w:spacing w:val="-23"/>
          <w:w w:val="105"/>
          <w:sz w:val="18"/>
        </w:rPr>
        <w:t> </w:t>
      </w:r>
      <w:r>
        <w:rPr>
          <w:rFonts w:ascii="Arial" w:hAnsi="Arial"/>
          <w:i/>
          <w:color w:val="231F20"/>
          <w:w w:val="105"/>
          <w:sz w:val="18"/>
        </w:rPr>
        <w:t>otro</w:t>
      </w:r>
      <w:r>
        <w:rPr>
          <w:rFonts w:ascii="Arial" w:hAnsi="Arial"/>
          <w:i/>
          <w:color w:val="231F20"/>
          <w:spacing w:val="-23"/>
          <w:w w:val="105"/>
          <w:sz w:val="18"/>
        </w:rPr>
        <w:t> </w:t>
      </w:r>
      <w:r>
        <w:rPr>
          <w:rFonts w:ascii="Arial" w:hAnsi="Arial"/>
          <w:i/>
          <w:color w:val="231F20"/>
          <w:w w:val="105"/>
          <w:sz w:val="18"/>
        </w:rPr>
        <w:t>lado</w:t>
      </w:r>
      <w:r>
        <w:rPr>
          <w:rFonts w:ascii="Arial" w:hAnsi="Arial"/>
          <w:i/>
          <w:color w:val="231F20"/>
          <w:spacing w:val="-23"/>
          <w:w w:val="105"/>
          <w:sz w:val="18"/>
        </w:rPr>
        <w:t> </w:t>
      </w:r>
      <w:r>
        <w:rPr>
          <w:rFonts w:ascii="Arial" w:hAnsi="Arial"/>
          <w:i/>
          <w:color w:val="231F20"/>
          <w:w w:val="105"/>
          <w:sz w:val="18"/>
        </w:rPr>
        <w:t>y</w:t>
      </w:r>
      <w:r>
        <w:rPr>
          <w:rFonts w:ascii="Arial" w:hAnsi="Arial"/>
          <w:i/>
          <w:color w:val="231F20"/>
          <w:spacing w:val="-23"/>
          <w:w w:val="105"/>
          <w:sz w:val="18"/>
        </w:rPr>
        <w:t> </w:t>
      </w:r>
      <w:r>
        <w:rPr>
          <w:rFonts w:ascii="Arial" w:hAnsi="Arial"/>
          <w:i/>
          <w:color w:val="231F20"/>
          <w:w w:val="105"/>
          <w:sz w:val="18"/>
        </w:rPr>
        <w:t>sólo</w:t>
      </w:r>
      <w:r>
        <w:rPr>
          <w:rFonts w:ascii="Arial" w:hAnsi="Arial"/>
          <w:i/>
          <w:color w:val="231F20"/>
          <w:spacing w:val="-23"/>
          <w:w w:val="105"/>
          <w:sz w:val="18"/>
        </w:rPr>
        <w:t> </w:t>
      </w:r>
      <w:r>
        <w:rPr>
          <w:rFonts w:ascii="Arial" w:hAnsi="Arial"/>
          <w:i/>
          <w:color w:val="231F20"/>
          <w:w w:val="105"/>
          <w:sz w:val="18"/>
        </w:rPr>
        <w:t>yo</w:t>
      </w:r>
      <w:r>
        <w:rPr>
          <w:rFonts w:ascii="Arial" w:hAnsi="Arial"/>
          <w:i/>
          <w:color w:val="231F20"/>
          <w:spacing w:val="-23"/>
          <w:w w:val="105"/>
          <w:sz w:val="18"/>
        </w:rPr>
        <w:t> </w:t>
      </w:r>
      <w:r>
        <w:rPr>
          <w:rFonts w:ascii="Arial" w:hAnsi="Arial"/>
          <w:i/>
          <w:color w:val="231F20"/>
          <w:w w:val="105"/>
          <w:sz w:val="18"/>
        </w:rPr>
        <w:t>permanecí</w:t>
      </w:r>
      <w:r>
        <w:rPr>
          <w:rFonts w:ascii="Arial" w:hAnsi="Arial"/>
          <w:i/>
          <w:color w:val="231F20"/>
          <w:spacing w:val="-23"/>
          <w:w w:val="105"/>
          <w:sz w:val="18"/>
        </w:rPr>
        <w:t> </w:t>
      </w:r>
      <w:r>
        <w:rPr>
          <w:rFonts w:ascii="Arial" w:hAnsi="Arial"/>
          <w:i/>
          <w:color w:val="231F20"/>
          <w:w w:val="105"/>
          <w:sz w:val="18"/>
        </w:rPr>
        <w:t>junto a mis padres. Mi papá y yo seguimos trabajando en el ejido.</w:t>
      </w:r>
      <w:r>
        <w:rPr>
          <w:rFonts w:ascii="Arial" w:hAnsi="Arial"/>
          <w:i/>
          <w:color w:val="231F20"/>
          <w:spacing w:val="-36"/>
          <w:w w:val="105"/>
          <w:sz w:val="18"/>
        </w:rPr>
        <w:t> </w:t>
      </w:r>
      <w:r>
        <w:rPr>
          <w:rFonts w:ascii="Arial" w:hAnsi="Arial"/>
          <w:i/>
          <w:color w:val="231F20"/>
          <w:w w:val="105"/>
          <w:sz w:val="18"/>
        </w:rPr>
        <w:t>Sembrá- bamos</w:t>
      </w:r>
      <w:r>
        <w:rPr>
          <w:rFonts w:ascii="Arial" w:hAnsi="Arial"/>
          <w:i/>
          <w:color w:val="231F20"/>
          <w:spacing w:val="-15"/>
          <w:w w:val="105"/>
          <w:sz w:val="18"/>
        </w:rPr>
        <w:t> </w:t>
      </w:r>
      <w:r>
        <w:rPr>
          <w:rFonts w:ascii="Arial" w:hAnsi="Arial"/>
          <w:i/>
          <w:color w:val="231F20"/>
          <w:w w:val="105"/>
          <w:sz w:val="18"/>
        </w:rPr>
        <w:t>maíz,</w:t>
      </w:r>
      <w:r>
        <w:rPr>
          <w:rFonts w:ascii="Arial" w:hAnsi="Arial"/>
          <w:i/>
          <w:color w:val="231F20"/>
          <w:spacing w:val="-20"/>
          <w:w w:val="105"/>
          <w:sz w:val="18"/>
        </w:rPr>
        <w:t> </w:t>
      </w:r>
      <w:r>
        <w:rPr>
          <w:rFonts w:ascii="Arial" w:hAnsi="Arial"/>
          <w:i/>
          <w:color w:val="231F20"/>
          <w:w w:val="105"/>
          <w:sz w:val="18"/>
        </w:rPr>
        <w:t>frijol,</w:t>
      </w:r>
      <w:r>
        <w:rPr>
          <w:rFonts w:ascii="Arial" w:hAnsi="Arial"/>
          <w:i/>
          <w:color w:val="231F20"/>
          <w:spacing w:val="-20"/>
          <w:w w:val="105"/>
          <w:sz w:val="18"/>
        </w:rPr>
        <w:t> </w:t>
      </w:r>
      <w:r>
        <w:rPr>
          <w:rFonts w:ascii="Arial" w:hAnsi="Arial"/>
          <w:i/>
          <w:color w:val="231F20"/>
          <w:w w:val="105"/>
          <w:sz w:val="18"/>
        </w:rPr>
        <w:t>cacahuate.</w:t>
      </w:r>
      <w:r>
        <w:rPr>
          <w:rFonts w:ascii="Arial" w:hAnsi="Arial"/>
          <w:i/>
          <w:color w:val="231F20"/>
          <w:spacing w:val="-20"/>
          <w:w w:val="105"/>
          <w:sz w:val="18"/>
        </w:rPr>
        <w:t> </w:t>
      </w:r>
      <w:r>
        <w:rPr>
          <w:rFonts w:ascii="Arial" w:hAnsi="Arial"/>
          <w:i/>
          <w:color w:val="231F20"/>
          <w:w w:val="105"/>
          <w:sz w:val="18"/>
        </w:rPr>
        <w:t>Luego</w:t>
      </w:r>
      <w:r>
        <w:rPr>
          <w:rFonts w:ascii="Arial" w:hAnsi="Arial"/>
          <w:i/>
          <w:color w:val="231F20"/>
          <w:spacing w:val="-15"/>
          <w:w w:val="105"/>
          <w:sz w:val="18"/>
        </w:rPr>
        <w:t> </w:t>
      </w:r>
      <w:r>
        <w:rPr>
          <w:rFonts w:ascii="Arial" w:hAnsi="Arial"/>
          <w:i/>
          <w:color w:val="231F20"/>
          <w:w w:val="105"/>
          <w:sz w:val="18"/>
        </w:rPr>
        <w:t>de</w:t>
      </w:r>
      <w:r>
        <w:rPr>
          <w:rFonts w:ascii="Arial" w:hAnsi="Arial"/>
          <w:i/>
          <w:color w:val="231F20"/>
          <w:spacing w:val="-15"/>
          <w:w w:val="105"/>
          <w:sz w:val="18"/>
        </w:rPr>
        <w:t> </w:t>
      </w:r>
      <w:r>
        <w:rPr>
          <w:rFonts w:ascii="Arial" w:hAnsi="Arial"/>
          <w:i/>
          <w:color w:val="231F20"/>
          <w:w w:val="105"/>
          <w:sz w:val="18"/>
        </w:rPr>
        <w:t>años</w:t>
      </w:r>
      <w:r>
        <w:rPr>
          <w:rFonts w:ascii="Arial" w:hAnsi="Arial"/>
          <w:i/>
          <w:color w:val="231F20"/>
          <w:spacing w:val="-15"/>
          <w:w w:val="105"/>
          <w:sz w:val="18"/>
        </w:rPr>
        <w:t> </w:t>
      </w:r>
      <w:r>
        <w:rPr>
          <w:rFonts w:ascii="Arial" w:hAnsi="Arial"/>
          <w:i/>
          <w:color w:val="231F20"/>
          <w:w w:val="105"/>
          <w:sz w:val="18"/>
        </w:rPr>
        <w:t>todo</w:t>
      </w:r>
      <w:r>
        <w:rPr>
          <w:rFonts w:ascii="Arial" w:hAnsi="Arial"/>
          <w:i/>
          <w:color w:val="231F20"/>
          <w:spacing w:val="-15"/>
          <w:w w:val="105"/>
          <w:sz w:val="18"/>
        </w:rPr>
        <w:t> </w:t>
      </w:r>
      <w:r>
        <w:rPr>
          <w:rFonts w:ascii="Arial" w:hAnsi="Arial"/>
          <w:i/>
          <w:color w:val="231F20"/>
          <w:w w:val="105"/>
          <w:sz w:val="18"/>
        </w:rPr>
        <w:t>parecía</w:t>
      </w:r>
      <w:r>
        <w:rPr>
          <w:rFonts w:ascii="Arial" w:hAnsi="Arial"/>
          <w:i/>
          <w:color w:val="231F20"/>
          <w:spacing w:val="-15"/>
          <w:w w:val="105"/>
          <w:sz w:val="18"/>
        </w:rPr>
        <w:t> </w:t>
      </w:r>
      <w:r>
        <w:rPr>
          <w:rFonts w:ascii="Arial" w:hAnsi="Arial"/>
          <w:i/>
          <w:color w:val="231F20"/>
          <w:w w:val="105"/>
          <w:sz w:val="18"/>
        </w:rPr>
        <w:t>más</w:t>
      </w:r>
      <w:r>
        <w:rPr>
          <w:rFonts w:ascii="Arial" w:hAnsi="Arial"/>
          <w:i/>
          <w:color w:val="231F20"/>
          <w:spacing w:val="-15"/>
          <w:w w:val="105"/>
          <w:sz w:val="18"/>
        </w:rPr>
        <w:t> </w:t>
      </w:r>
      <w:r>
        <w:rPr>
          <w:rFonts w:ascii="Arial" w:hAnsi="Arial"/>
          <w:i/>
          <w:color w:val="231F20"/>
          <w:w w:val="105"/>
          <w:sz w:val="18"/>
        </w:rPr>
        <w:t>bonito, porque</w:t>
      </w:r>
      <w:r>
        <w:rPr>
          <w:rFonts w:ascii="Arial" w:hAnsi="Arial"/>
          <w:i/>
          <w:color w:val="231F20"/>
          <w:spacing w:val="-12"/>
          <w:w w:val="105"/>
          <w:sz w:val="18"/>
        </w:rPr>
        <w:t> </w:t>
      </w:r>
      <w:r>
        <w:rPr>
          <w:rFonts w:ascii="Arial" w:hAnsi="Arial"/>
          <w:i/>
          <w:color w:val="231F20"/>
          <w:w w:val="105"/>
          <w:sz w:val="18"/>
        </w:rPr>
        <w:t>pudimos</w:t>
      </w:r>
      <w:r>
        <w:rPr>
          <w:rFonts w:ascii="Arial" w:hAnsi="Arial"/>
          <w:i/>
          <w:color w:val="231F20"/>
          <w:spacing w:val="-12"/>
          <w:w w:val="105"/>
          <w:sz w:val="18"/>
        </w:rPr>
        <w:t> </w:t>
      </w:r>
      <w:r>
        <w:rPr>
          <w:rFonts w:ascii="Arial" w:hAnsi="Arial"/>
          <w:i/>
          <w:color w:val="231F20"/>
          <w:w w:val="105"/>
          <w:sz w:val="18"/>
        </w:rPr>
        <w:t>tener</w:t>
      </w:r>
      <w:r>
        <w:rPr>
          <w:rFonts w:ascii="Arial" w:hAnsi="Arial"/>
          <w:i/>
          <w:color w:val="231F20"/>
          <w:spacing w:val="-12"/>
          <w:w w:val="105"/>
          <w:sz w:val="18"/>
        </w:rPr>
        <w:t> </w:t>
      </w:r>
      <w:r>
        <w:rPr>
          <w:rFonts w:ascii="Arial" w:hAnsi="Arial"/>
          <w:i/>
          <w:color w:val="231F20"/>
          <w:w w:val="105"/>
          <w:sz w:val="18"/>
        </w:rPr>
        <w:t>algo</w:t>
      </w:r>
      <w:r>
        <w:rPr>
          <w:rFonts w:ascii="Arial" w:hAnsi="Arial"/>
          <w:i/>
          <w:color w:val="231F20"/>
          <w:spacing w:val="-12"/>
          <w:w w:val="105"/>
          <w:sz w:val="18"/>
        </w:rPr>
        <w:t> </w:t>
      </w:r>
      <w:r>
        <w:rPr>
          <w:rFonts w:ascii="Arial" w:hAnsi="Arial"/>
          <w:i/>
          <w:color w:val="231F20"/>
          <w:w w:val="105"/>
          <w:sz w:val="18"/>
        </w:rPr>
        <w:t>de</w:t>
      </w:r>
      <w:r>
        <w:rPr>
          <w:rFonts w:ascii="Arial" w:hAnsi="Arial"/>
          <w:i/>
          <w:color w:val="231F20"/>
          <w:spacing w:val="-12"/>
          <w:w w:val="105"/>
          <w:sz w:val="18"/>
        </w:rPr>
        <w:t> </w:t>
      </w:r>
      <w:r>
        <w:rPr>
          <w:rFonts w:ascii="Arial" w:hAnsi="Arial"/>
          <w:i/>
          <w:color w:val="231F20"/>
          <w:w w:val="105"/>
          <w:sz w:val="18"/>
        </w:rPr>
        <w:t>dinero</w:t>
      </w:r>
      <w:r>
        <w:rPr>
          <w:rFonts w:ascii="Arial" w:hAnsi="Arial"/>
          <w:i/>
          <w:color w:val="231F20"/>
          <w:spacing w:val="-12"/>
          <w:w w:val="105"/>
          <w:sz w:val="18"/>
        </w:rPr>
        <w:t> </w:t>
      </w:r>
      <w:r>
        <w:rPr>
          <w:rFonts w:ascii="Arial" w:hAnsi="Arial"/>
          <w:i/>
          <w:color w:val="231F20"/>
          <w:w w:val="105"/>
          <w:sz w:val="18"/>
        </w:rPr>
        <w:t>y</w:t>
      </w:r>
      <w:r>
        <w:rPr>
          <w:rFonts w:ascii="Arial" w:hAnsi="Arial"/>
          <w:i/>
          <w:color w:val="231F20"/>
          <w:spacing w:val="-12"/>
          <w:w w:val="105"/>
          <w:sz w:val="18"/>
        </w:rPr>
        <w:t> </w:t>
      </w:r>
      <w:r>
        <w:rPr>
          <w:rFonts w:ascii="Arial" w:hAnsi="Arial"/>
          <w:i/>
          <w:color w:val="231F20"/>
          <w:w w:val="105"/>
          <w:sz w:val="18"/>
        </w:rPr>
        <w:t>vivir</w:t>
      </w:r>
      <w:r>
        <w:rPr>
          <w:rFonts w:ascii="Arial" w:hAnsi="Arial"/>
          <w:i/>
          <w:color w:val="231F20"/>
          <w:spacing w:val="-12"/>
          <w:w w:val="105"/>
          <w:sz w:val="18"/>
        </w:rPr>
        <w:t> </w:t>
      </w:r>
      <w:r>
        <w:rPr>
          <w:rFonts w:ascii="Arial" w:hAnsi="Arial"/>
          <w:i/>
          <w:color w:val="231F20"/>
          <w:w w:val="105"/>
          <w:sz w:val="18"/>
        </w:rPr>
        <w:t>con</w:t>
      </w:r>
      <w:r>
        <w:rPr>
          <w:rFonts w:ascii="Arial" w:hAnsi="Arial"/>
          <w:i/>
          <w:color w:val="231F20"/>
          <w:spacing w:val="-12"/>
          <w:w w:val="105"/>
          <w:sz w:val="18"/>
        </w:rPr>
        <w:t> </w:t>
      </w:r>
      <w:r>
        <w:rPr>
          <w:rFonts w:ascii="Arial" w:hAnsi="Arial"/>
          <w:i/>
          <w:color w:val="231F20"/>
          <w:w w:val="105"/>
          <w:sz w:val="18"/>
        </w:rPr>
        <w:t>menos</w:t>
      </w:r>
      <w:r>
        <w:rPr>
          <w:rFonts w:ascii="Arial" w:hAnsi="Arial"/>
          <w:i/>
          <w:color w:val="231F20"/>
          <w:spacing w:val="-12"/>
          <w:w w:val="105"/>
          <w:sz w:val="18"/>
        </w:rPr>
        <w:t> </w:t>
      </w:r>
      <w:r>
        <w:rPr>
          <w:rFonts w:ascii="Arial" w:hAnsi="Arial"/>
          <w:i/>
          <w:color w:val="231F20"/>
          <w:w w:val="105"/>
          <w:sz w:val="18"/>
        </w:rPr>
        <w:t>apuros.</w:t>
      </w:r>
    </w:p>
    <w:p>
      <w:pPr>
        <w:spacing w:line="249" w:lineRule="auto" w:before="114"/>
        <w:ind w:left="2857" w:right="1834" w:firstLine="0"/>
        <w:jc w:val="both"/>
        <w:rPr>
          <w:rFonts w:ascii="Arial" w:hAnsi="Arial"/>
          <w:i/>
          <w:sz w:val="18"/>
        </w:rPr>
      </w:pPr>
      <w:r>
        <w:rPr>
          <w:rFonts w:ascii="Arial" w:hAnsi="Arial"/>
          <w:i/>
          <w:color w:val="231F20"/>
          <w:sz w:val="18"/>
        </w:rPr>
        <w:t>Lo primero que hice en el rancho fue cuidar a las vacas, los chivos y los </w:t>
      </w:r>
      <w:r>
        <w:rPr>
          <w:rFonts w:ascii="Arial" w:hAnsi="Arial"/>
          <w:i/>
          <w:color w:val="231F20"/>
          <w:sz w:val="18"/>
        </w:rPr>
        <w:t>borregos de mi papá. Entonces sólo tenía cinco o seis años. A los doce ya trabajaba con una yunta. Aprendí a hacerlo sólo viendo a mi papá y a mis</w:t>
      </w:r>
      <w:r>
        <w:rPr>
          <w:rFonts w:ascii="Arial" w:hAnsi="Arial"/>
          <w:i/>
          <w:color w:val="231F20"/>
          <w:spacing w:val="-9"/>
          <w:sz w:val="18"/>
        </w:rPr>
        <w:t> </w:t>
      </w:r>
      <w:r>
        <w:rPr>
          <w:rFonts w:ascii="Arial" w:hAnsi="Arial"/>
          <w:i/>
          <w:color w:val="231F20"/>
          <w:sz w:val="18"/>
        </w:rPr>
        <w:t>hermanos</w:t>
      </w:r>
      <w:r>
        <w:rPr>
          <w:rFonts w:ascii="Arial" w:hAnsi="Arial"/>
          <w:i/>
          <w:color w:val="231F20"/>
          <w:spacing w:val="-9"/>
          <w:sz w:val="18"/>
        </w:rPr>
        <w:t> </w:t>
      </w:r>
      <w:r>
        <w:rPr>
          <w:rFonts w:ascii="Arial" w:hAnsi="Arial"/>
          <w:i/>
          <w:color w:val="231F20"/>
          <w:sz w:val="18"/>
        </w:rPr>
        <w:t>mayores.</w:t>
      </w:r>
      <w:r>
        <w:rPr>
          <w:rFonts w:ascii="Arial" w:hAnsi="Arial"/>
          <w:i/>
          <w:color w:val="231F20"/>
          <w:spacing w:val="-18"/>
          <w:sz w:val="18"/>
        </w:rPr>
        <w:t> </w:t>
      </w:r>
      <w:r>
        <w:rPr>
          <w:rFonts w:ascii="Arial" w:hAnsi="Arial"/>
          <w:i/>
          <w:color w:val="231F20"/>
          <w:sz w:val="18"/>
        </w:rPr>
        <w:t>A</w:t>
      </w:r>
      <w:r>
        <w:rPr>
          <w:rFonts w:ascii="Arial" w:hAnsi="Arial"/>
          <w:i/>
          <w:color w:val="231F20"/>
          <w:spacing w:val="-12"/>
          <w:sz w:val="18"/>
        </w:rPr>
        <w:t> </w:t>
      </w:r>
      <w:r>
        <w:rPr>
          <w:rFonts w:ascii="Arial" w:hAnsi="Arial"/>
          <w:i/>
          <w:color w:val="231F20"/>
          <w:sz w:val="18"/>
        </w:rPr>
        <w:t>la</w:t>
      </w:r>
      <w:r>
        <w:rPr>
          <w:rFonts w:ascii="Arial" w:hAnsi="Arial"/>
          <w:i/>
          <w:color w:val="231F20"/>
          <w:spacing w:val="-9"/>
          <w:sz w:val="18"/>
        </w:rPr>
        <w:t> </w:t>
      </w:r>
      <w:r>
        <w:rPr>
          <w:rFonts w:ascii="Arial" w:hAnsi="Arial"/>
          <w:i/>
          <w:color w:val="231F20"/>
          <w:sz w:val="18"/>
        </w:rPr>
        <w:t>escuela</w:t>
      </w:r>
      <w:r>
        <w:rPr>
          <w:rFonts w:ascii="Arial" w:hAnsi="Arial"/>
          <w:i/>
          <w:color w:val="231F20"/>
          <w:spacing w:val="-9"/>
          <w:sz w:val="18"/>
        </w:rPr>
        <w:t> </w:t>
      </w:r>
      <w:r>
        <w:rPr>
          <w:rFonts w:ascii="Arial" w:hAnsi="Arial"/>
          <w:i/>
          <w:color w:val="231F20"/>
          <w:sz w:val="18"/>
        </w:rPr>
        <w:t>fui</w:t>
      </w:r>
      <w:r>
        <w:rPr>
          <w:rFonts w:ascii="Arial" w:hAnsi="Arial"/>
          <w:i/>
          <w:color w:val="231F20"/>
          <w:spacing w:val="-9"/>
          <w:sz w:val="18"/>
        </w:rPr>
        <w:t> </w:t>
      </w:r>
      <w:r>
        <w:rPr>
          <w:rFonts w:ascii="Arial" w:hAnsi="Arial"/>
          <w:i/>
          <w:color w:val="231F20"/>
          <w:sz w:val="18"/>
        </w:rPr>
        <w:t>hasta</w:t>
      </w:r>
      <w:r>
        <w:rPr>
          <w:rFonts w:ascii="Arial" w:hAnsi="Arial"/>
          <w:i/>
          <w:color w:val="231F20"/>
          <w:spacing w:val="-9"/>
          <w:sz w:val="18"/>
        </w:rPr>
        <w:t> </w:t>
      </w:r>
      <w:r>
        <w:rPr>
          <w:rFonts w:ascii="Arial" w:hAnsi="Arial"/>
          <w:i/>
          <w:color w:val="231F20"/>
          <w:sz w:val="18"/>
        </w:rPr>
        <w:t>que</w:t>
      </w:r>
      <w:r>
        <w:rPr>
          <w:rFonts w:ascii="Arial" w:hAnsi="Arial"/>
          <w:i/>
          <w:color w:val="231F20"/>
          <w:spacing w:val="-9"/>
          <w:sz w:val="18"/>
        </w:rPr>
        <w:t> </w:t>
      </w:r>
      <w:r>
        <w:rPr>
          <w:rFonts w:ascii="Arial" w:hAnsi="Arial"/>
          <w:i/>
          <w:color w:val="231F20"/>
          <w:sz w:val="18"/>
        </w:rPr>
        <w:t>tenía</w:t>
      </w:r>
      <w:r>
        <w:rPr>
          <w:rFonts w:ascii="Arial" w:hAnsi="Arial"/>
          <w:i/>
          <w:color w:val="231F20"/>
          <w:spacing w:val="-9"/>
          <w:sz w:val="18"/>
        </w:rPr>
        <w:t> </w:t>
      </w:r>
      <w:r>
        <w:rPr>
          <w:rFonts w:ascii="Arial" w:hAnsi="Arial"/>
          <w:i/>
          <w:color w:val="231F20"/>
          <w:sz w:val="18"/>
        </w:rPr>
        <w:t>diez,</w:t>
      </w:r>
      <w:r>
        <w:rPr>
          <w:rFonts w:ascii="Arial" w:hAnsi="Arial"/>
          <w:i/>
          <w:color w:val="231F20"/>
          <w:spacing w:val="-15"/>
          <w:sz w:val="18"/>
        </w:rPr>
        <w:t> </w:t>
      </w:r>
      <w:r>
        <w:rPr>
          <w:rFonts w:ascii="Arial" w:hAnsi="Arial"/>
          <w:i/>
          <w:color w:val="231F20"/>
          <w:sz w:val="18"/>
        </w:rPr>
        <w:t>cuando</w:t>
      </w:r>
      <w:r>
        <w:rPr>
          <w:rFonts w:ascii="Arial" w:hAnsi="Arial"/>
          <w:i/>
          <w:color w:val="231F20"/>
          <w:spacing w:val="-9"/>
          <w:sz w:val="18"/>
        </w:rPr>
        <w:t> </w:t>
      </w:r>
      <w:r>
        <w:rPr>
          <w:rFonts w:ascii="Arial" w:hAnsi="Arial"/>
          <w:i/>
          <w:color w:val="231F20"/>
          <w:sz w:val="18"/>
        </w:rPr>
        <w:t>nos fuimos a Salinas. Aprendí rápido a leer y escribir porque mis hermanos ya me habían enseñado algo, pero sólo estuve en la escuela dos años y medio. </w:t>
      </w:r>
      <w:r>
        <w:rPr>
          <w:rFonts w:ascii="Arial" w:hAnsi="Arial"/>
          <w:i/>
          <w:color w:val="231F20"/>
          <w:spacing w:val="-5"/>
          <w:sz w:val="18"/>
        </w:rPr>
        <w:t>Por </w:t>
      </w:r>
      <w:r>
        <w:rPr>
          <w:rFonts w:ascii="Arial" w:hAnsi="Arial"/>
          <w:i/>
          <w:color w:val="231F20"/>
          <w:sz w:val="18"/>
        </w:rPr>
        <w:t>eso digo que yo leo parejo y escribo parejo. Nada más que se entienda y</w:t>
      </w:r>
      <w:r>
        <w:rPr>
          <w:rFonts w:ascii="Arial" w:hAnsi="Arial"/>
          <w:i/>
          <w:color w:val="231F20"/>
          <w:spacing w:val="-8"/>
          <w:sz w:val="18"/>
        </w:rPr>
        <w:t> </w:t>
      </w:r>
      <w:r>
        <w:rPr>
          <w:rFonts w:ascii="Arial" w:hAnsi="Arial"/>
          <w:i/>
          <w:color w:val="231F20"/>
          <w:sz w:val="18"/>
        </w:rPr>
        <w:t>ya.</w:t>
      </w:r>
    </w:p>
    <w:p>
      <w:pPr>
        <w:spacing w:line="249" w:lineRule="auto" w:before="114"/>
        <w:ind w:left="2857" w:right="1834" w:firstLine="0"/>
        <w:jc w:val="both"/>
        <w:rPr>
          <w:rFonts w:ascii="Arial" w:hAnsi="Arial"/>
          <w:i/>
          <w:sz w:val="18"/>
        </w:rPr>
      </w:pPr>
      <w:r>
        <w:rPr>
          <w:rFonts w:ascii="Arial" w:hAnsi="Arial"/>
          <w:i/>
          <w:color w:val="231F20"/>
          <w:w w:val="105"/>
          <w:sz w:val="18"/>
        </w:rPr>
        <w:t>Si</w:t>
      </w:r>
      <w:r>
        <w:rPr>
          <w:rFonts w:ascii="Arial" w:hAnsi="Arial"/>
          <w:i/>
          <w:color w:val="231F20"/>
          <w:spacing w:val="-17"/>
          <w:w w:val="105"/>
          <w:sz w:val="18"/>
        </w:rPr>
        <w:t> </w:t>
      </w:r>
      <w:r>
        <w:rPr>
          <w:rFonts w:ascii="Arial" w:hAnsi="Arial"/>
          <w:i/>
          <w:color w:val="231F20"/>
          <w:w w:val="105"/>
          <w:sz w:val="18"/>
        </w:rPr>
        <w:t>dije</w:t>
      </w:r>
      <w:r>
        <w:rPr>
          <w:rFonts w:ascii="Arial" w:hAnsi="Arial"/>
          <w:i/>
          <w:color w:val="231F20"/>
          <w:spacing w:val="-17"/>
          <w:w w:val="105"/>
          <w:sz w:val="18"/>
        </w:rPr>
        <w:t> </w:t>
      </w:r>
      <w:r>
        <w:rPr>
          <w:rFonts w:ascii="Arial" w:hAnsi="Arial"/>
          <w:i/>
          <w:color w:val="231F20"/>
          <w:w w:val="105"/>
          <w:sz w:val="18"/>
        </w:rPr>
        <w:t>que</w:t>
      </w:r>
      <w:r>
        <w:rPr>
          <w:rFonts w:ascii="Arial" w:hAnsi="Arial"/>
          <w:i/>
          <w:color w:val="231F20"/>
          <w:spacing w:val="-17"/>
          <w:w w:val="105"/>
          <w:sz w:val="18"/>
        </w:rPr>
        <w:t> </w:t>
      </w:r>
      <w:r>
        <w:rPr>
          <w:rFonts w:ascii="Arial" w:hAnsi="Arial"/>
          <w:i/>
          <w:color w:val="231F20"/>
          <w:w w:val="105"/>
          <w:sz w:val="18"/>
        </w:rPr>
        <w:t>mi</w:t>
      </w:r>
      <w:r>
        <w:rPr>
          <w:rFonts w:ascii="Arial" w:hAnsi="Arial"/>
          <w:i/>
          <w:color w:val="231F20"/>
          <w:spacing w:val="-17"/>
          <w:w w:val="105"/>
          <w:sz w:val="18"/>
        </w:rPr>
        <w:t> </w:t>
      </w:r>
      <w:r>
        <w:rPr>
          <w:rFonts w:ascii="Arial" w:hAnsi="Arial"/>
          <w:i/>
          <w:color w:val="231F20"/>
          <w:w w:val="105"/>
          <w:sz w:val="18"/>
        </w:rPr>
        <w:t>infancia</w:t>
      </w:r>
      <w:r>
        <w:rPr>
          <w:rFonts w:ascii="Arial" w:hAnsi="Arial"/>
          <w:i/>
          <w:color w:val="231F20"/>
          <w:spacing w:val="-17"/>
          <w:w w:val="105"/>
          <w:sz w:val="18"/>
        </w:rPr>
        <w:t> </w:t>
      </w:r>
      <w:r>
        <w:rPr>
          <w:rFonts w:ascii="Arial" w:hAnsi="Arial"/>
          <w:i/>
          <w:color w:val="231F20"/>
          <w:w w:val="105"/>
          <w:sz w:val="18"/>
        </w:rPr>
        <w:t>fue</w:t>
      </w:r>
      <w:r>
        <w:rPr>
          <w:rFonts w:ascii="Arial" w:hAnsi="Arial"/>
          <w:i/>
          <w:color w:val="231F20"/>
          <w:spacing w:val="-17"/>
          <w:w w:val="105"/>
          <w:sz w:val="18"/>
        </w:rPr>
        <w:t> </w:t>
      </w:r>
      <w:r>
        <w:rPr>
          <w:rFonts w:ascii="Arial" w:hAnsi="Arial"/>
          <w:i/>
          <w:color w:val="231F20"/>
          <w:w w:val="105"/>
          <w:sz w:val="18"/>
        </w:rPr>
        <w:t>triste,</w:t>
      </w:r>
      <w:r>
        <w:rPr>
          <w:rFonts w:ascii="Arial" w:hAnsi="Arial"/>
          <w:i/>
          <w:color w:val="231F20"/>
          <w:spacing w:val="-21"/>
          <w:w w:val="105"/>
          <w:sz w:val="18"/>
        </w:rPr>
        <w:t> </w:t>
      </w:r>
      <w:r>
        <w:rPr>
          <w:rFonts w:ascii="Arial" w:hAnsi="Arial"/>
          <w:i/>
          <w:color w:val="231F20"/>
          <w:w w:val="105"/>
          <w:sz w:val="18"/>
        </w:rPr>
        <w:t>también</w:t>
      </w:r>
      <w:r>
        <w:rPr>
          <w:rFonts w:ascii="Arial" w:hAnsi="Arial"/>
          <w:i/>
          <w:color w:val="231F20"/>
          <w:spacing w:val="-17"/>
          <w:w w:val="105"/>
          <w:sz w:val="18"/>
        </w:rPr>
        <w:t> </w:t>
      </w:r>
      <w:r>
        <w:rPr>
          <w:rFonts w:ascii="Arial" w:hAnsi="Arial"/>
          <w:i/>
          <w:color w:val="231F20"/>
          <w:w w:val="105"/>
          <w:sz w:val="18"/>
        </w:rPr>
        <w:t>debo</w:t>
      </w:r>
      <w:r>
        <w:rPr>
          <w:rFonts w:ascii="Arial" w:hAnsi="Arial"/>
          <w:i/>
          <w:color w:val="231F20"/>
          <w:spacing w:val="-17"/>
          <w:w w:val="105"/>
          <w:sz w:val="18"/>
        </w:rPr>
        <w:t> </w:t>
      </w:r>
      <w:r>
        <w:rPr>
          <w:rFonts w:ascii="Arial" w:hAnsi="Arial"/>
          <w:i/>
          <w:color w:val="231F20"/>
          <w:w w:val="105"/>
          <w:sz w:val="18"/>
        </w:rPr>
        <w:t>decir</w:t>
      </w:r>
      <w:r>
        <w:rPr>
          <w:rFonts w:ascii="Arial" w:hAnsi="Arial"/>
          <w:i/>
          <w:color w:val="231F20"/>
          <w:spacing w:val="-17"/>
          <w:w w:val="105"/>
          <w:sz w:val="18"/>
        </w:rPr>
        <w:t> </w:t>
      </w:r>
      <w:r>
        <w:rPr>
          <w:rFonts w:ascii="Arial" w:hAnsi="Arial"/>
          <w:i/>
          <w:color w:val="231F20"/>
          <w:w w:val="105"/>
          <w:sz w:val="18"/>
        </w:rPr>
        <w:t>que</w:t>
      </w:r>
      <w:r>
        <w:rPr>
          <w:rFonts w:ascii="Arial" w:hAnsi="Arial"/>
          <w:i/>
          <w:color w:val="231F20"/>
          <w:spacing w:val="-17"/>
          <w:w w:val="105"/>
          <w:sz w:val="18"/>
        </w:rPr>
        <w:t> </w:t>
      </w:r>
      <w:r>
        <w:rPr>
          <w:rFonts w:ascii="Arial" w:hAnsi="Arial"/>
          <w:i/>
          <w:color w:val="231F20"/>
          <w:w w:val="105"/>
          <w:sz w:val="18"/>
        </w:rPr>
        <w:t>fue</w:t>
      </w:r>
      <w:r>
        <w:rPr>
          <w:rFonts w:ascii="Arial" w:hAnsi="Arial"/>
          <w:i/>
          <w:color w:val="231F20"/>
          <w:spacing w:val="-17"/>
          <w:w w:val="105"/>
          <w:sz w:val="18"/>
        </w:rPr>
        <w:t> </w:t>
      </w:r>
      <w:r>
        <w:rPr>
          <w:rFonts w:ascii="Arial" w:hAnsi="Arial"/>
          <w:i/>
          <w:color w:val="231F20"/>
          <w:w w:val="105"/>
          <w:sz w:val="18"/>
        </w:rPr>
        <w:t>bonita.</w:t>
      </w:r>
      <w:r>
        <w:rPr>
          <w:rFonts w:ascii="Arial" w:hAnsi="Arial"/>
          <w:i/>
          <w:color w:val="231F20"/>
          <w:spacing w:val="-21"/>
          <w:w w:val="105"/>
          <w:sz w:val="18"/>
        </w:rPr>
        <w:t> </w:t>
      </w:r>
      <w:r>
        <w:rPr>
          <w:rFonts w:ascii="Arial" w:hAnsi="Arial"/>
          <w:i/>
          <w:color w:val="231F20"/>
          <w:spacing w:val="-5"/>
          <w:w w:val="105"/>
          <w:sz w:val="18"/>
        </w:rPr>
        <w:t>Fue </w:t>
      </w:r>
      <w:r>
        <w:rPr>
          <w:rFonts w:ascii="Arial" w:hAnsi="Arial"/>
          <w:i/>
          <w:color w:val="231F20"/>
          <w:w w:val="105"/>
          <w:sz w:val="18"/>
        </w:rPr>
        <w:t>triste</w:t>
      </w:r>
      <w:r>
        <w:rPr>
          <w:rFonts w:ascii="Arial" w:hAnsi="Arial"/>
          <w:i/>
          <w:color w:val="231F20"/>
          <w:spacing w:val="-10"/>
          <w:w w:val="105"/>
          <w:sz w:val="18"/>
        </w:rPr>
        <w:t> </w:t>
      </w:r>
      <w:r>
        <w:rPr>
          <w:rFonts w:ascii="Arial" w:hAnsi="Arial"/>
          <w:i/>
          <w:color w:val="231F20"/>
          <w:spacing w:val="-2"/>
          <w:w w:val="105"/>
          <w:sz w:val="18"/>
        </w:rPr>
        <w:t>porque</w:t>
      </w:r>
      <w:r>
        <w:rPr>
          <w:rFonts w:ascii="Arial" w:hAnsi="Arial"/>
          <w:i/>
          <w:color w:val="231F20"/>
          <w:spacing w:val="-10"/>
          <w:w w:val="105"/>
          <w:sz w:val="18"/>
        </w:rPr>
        <w:t> </w:t>
      </w:r>
      <w:r>
        <w:rPr>
          <w:rFonts w:ascii="Arial" w:hAnsi="Arial"/>
          <w:i/>
          <w:color w:val="231F20"/>
          <w:w w:val="105"/>
          <w:sz w:val="18"/>
        </w:rPr>
        <w:t>no</w:t>
      </w:r>
      <w:r>
        <w:rPr>
          <w:rFonts w:ascii="Arial" w:hAnsi="Arial"/>
          <w:i/>
          <w:color w:val="231F20"/>
          <w:spacing w:val="-10"/>
          <w:w w:val="105"/>
          <w:sz w:val="18"/>
        </w:rPr>
        <w:t> </w:t>
      </w:r>
      <w:r>
        <w:rPr>
          <w:rFonts w:ascii="Arial" w:hAnsi="Arial"/>
          <w:i/>
          <w:color w:val="231F20"/>
          <w:w w:val="105"/>
          <w:sz w:val="18"/>
        </w:rPr>
        <w:t>había</w:t>
      </w:r>
      <w:r>
        <w:rPr>
          <w:rFonts w:ascii="Arial" w:hAnsi="Arial"/>
          <w:i/>
          <w:color w:val="231F20"/>
          <w:spacing w:val="-10"/>
          <w:w w:val="105"/>
          <w:sz w:val="18"/>
        </w:rPr>
        <w:t> </w:t>
      </w:r>
      <w:r>
        <w:rPr>
          <w:rFonts w:ascii="Arial" w:hAnsi="Arial"/>
          <w:i/>
          <w:color w:val="231F20"/>
          <w:w w:val="105"/>
          <w:sz w:val="18"/>
        </w:rPr>
        <w:t>caminos,</w:t>
      </w:r>
      <w:r>
        <w:rPr>
          <w:rFonts w:ascii="Arial" w:hAnsi="Arial"/>
          <w:i/>
          <w:color w:val="231F20"/>
          <w:spacing w:val="-14"/>
          <w:w w:val="105"/>
          <w:sz w:val="18"/>
        </w:rPr>
        <w:t> </w:t>
      </w:r>
      <w:r>
        <w:rPr>
          <w:rFonts w:ascii="Arial" w:hAnsi="Arial"/>
          <w:i/>
          <w:color w:val="231F20"/>
          <w:w w:val="105"/>
          <w:sz w:val="18"/>
        </w:rPr>
        <w:t>no</w:t>
      </w:r>
      <w:r>
        <w:rPr>
          <w:rFonts w:ascii="Arial" w:hAnsi="Arial"/>
          <w:i/>
          <w:color w:val="231F20"/>
          <w:spacing w:val="-10"/>
          <w:w w:val="105"/>
          <w:sz w:val="18"/>
        </w:rPr>
        <w:t> </w:t>
      </w:r>
      <w:r>
        <w:rPr>
          <w:rFonts w:ascii="Arial" w:hAnsi="Arial"/>
          <w:i/>
          <w:color w:val="231F20"/>
          <w:w w:val="105"/>
          <w:sz w:val="18"/>
        </w:rPr>
        <w:t>había</w:t>
      </w:r>
      <w:r>
        <w:rPr>
          <w:rFonts w:ascii="Arial" w:hAnsi="Arial"/>
          <w:i/>
          <w:color w:val="231F20"/>
          <w:spacing w:val="-10"/>
          <w:w w:val="105"/>
          <w:sz w:val="18"/>
        </w:rPr>
        <w:t> </w:t>
      </w:r>
      <w:r>
        <w:rPr>
          <w:rFonts w:ascii="Arial" w:hAnsi="Arial"/>
          <w:i/>
          <w:color w:val="231F20"/>
          <w:w w:val="105"/>
          <w:sz w:val="18"/>
        </w:rPr>
        <w:t>cómo</w:t>
      </w:r>
      <w:r>
        <w:rPr>
          <w:rFonts w:ascii="Arial" w:hAnsi="Arial"/>
          <w:i/>
          <w:color w:val="231F20"/>
          <w:spacing w:val="-10"/>
          <w:w w:val="105"/>
          <w:sz w:val="18"/>
        </w:rPr>
        <w:t> </w:t>
      </w:r>
      <w:r>
        <w:rPr>
          <w:rFonts w:ascii="Arial" w:hAnsi="Arial"/>
          <w:i/>
          <w:color w:val="231F20"/>
          <w:w w:val="105"/>
          <w:sz w:val="18"/>
        </w:rPr>
        <w:t>salir</w:t>
      </w:r>
      <w:r>
        <w:rPr>
          <w:rFonts w:ascii="Arial" w:hAnsi="Arial"/>
          <w:i/>
          <w:color w:val="231F20"/>
          <w:spacing w:val="-10"/>
          <w:w w:val="105"/>
          <w:sz w:val="18"/>
        </w:rPr>
        <w:t> </w:t>
      </w:r>
      <w:r>
        <w:rPr>
          <w:rFonts w:ascii="Arial" w:hAnsi="Arial"/>
          <w:i/>
          <w:color w:val="231F20"/>
          <w:w w:val="105"/>
          <w:sz w:val="18"/>
        </w:rPr>
        <w:t>del</w:t>
      </w:r>
      <w:r>
        <w:rPr>
          <w:rFonts w:ascii="Arial" w:hAnsi="Arial"/>
          <w:i/>
          <w:color w:val="231F20"/>
          <w:spacing w:val="-10"/>
          <w:w w:val="105"/>
          <w:sz w:val="18"/>
        </w:rPr>
        <w:t> </w:t>
      </w:r>
      <w:r>
        <w:rPr>
          <w:rFonts w:ascii="Arial" w:hAnsi="Arial"/>
          <w:i/>
          <w:color w:val="231F20"/>
          <w:spacing w:val="-3"/>
          <w:w w:val="105"/>
          <w:sz w:val="18"/>
        </w:rPr>
        <w:t>rancho.</w:t>
      </w:r>
      <w:r>
        <w:rPr>
          <w:rFonts w:ascii="Arial" w:hAnsi="Arial"/>
          <w:i/>
          <w:color w:val="231F20"/>
          <w:spacing w:val="-14"/>
          <w:w w:val="105"/>
          <w:sz w:val="18"/>
        </w:rPr>
        <w:t> </w:t>
      </w:r>
      <w:r>
        <w:rPr>
          <w:rFonts w:ascii="Arial" w:hAnsi="Arial"/>
          <w:i/>
          <w:color w:val="231F20"/>
          <w:w w:val="105"/>
          <w:sz w:val="18"/>
        </w:rPr>
        <w:t>Sólo</w:t>
      </w:r>
      <w:r>
        <w:rPr>
          <w:rFonts w:ascii="Arial" w:hAnsi="Arial"/>
          <w:i/>
          <w:color w:val="231F20"/>
          <w:spacing w:val="-10"/>
          <w:w w:val="105"/>
          <w:sz w:val="18"/>
        </w:rPr>
        <w:t> </w:t>
      </w:r>
      <w:r>
        <w:rPr>
          <w:rFonts w:ascii="Arial" w:hAnsi="Arial"/>
          <w:i/>
          <w:color w:val="231F20"/>
          <w:w w:val="105"/>
          <w:sz w:val="18"/>
        </w:rPr>
        <w:t>a caballo.</w:t>
      </w:r>
      <w:r>
        <w:rPr>
          <w:rFonts w:ascii="Arial" w:hAnsi="Arial"/>
          <w:i/>
          <w:color w:val="231F20"/>
          <w:spacing w:val="-32"/>
          <w:w w:val="105"/>
          <w:sz w:val="18"/>
        </w:rPr>
        <w:t> </w:t>
      </w:r>
      <w:r>
        <w:rPr>
          <w:rFonts w:ascii="Arial" w:hAnsi="Arial"/>
          <w:i/>
          <w:color w:val="231F20"/>
          <w:spacing w:val="-4"/>
          <w:w w:val="105"/>
          <w:sz w:val="18"/>
        </w:rPr>
        <w:t>¡Pobres</w:t>
      </w:r>
      <w:r>
        <w:rPr>
          <w:rFonts w:ascii="Arial" w:hAnsi="Arial"/>
          <w:i/>
          <w:color w:val="231F20"/>
          <w:spacing w:val="-29"/>
          <w:w w:val="105"/>
          <w:sz w:val="18"/>
        </w:rPr>
        <w:t> </w:t>
      </w:r>
      <w:r>
        <w:rPr>
          <w:rFonts w:ascii="Arial" w:hAnsi="Arial"/>
          <w:i/>
          <w:color w:val="231F20"/>
          <w:w w:val="105"/>
          <w:sz w:val="18"/>
        </w:rPr>
        <w:t>animales!</w:t>
      </w:r>
      <w:r>
        <w:rPr>
          <w:rFonts w:ascii="Arial" w:hAnsi="Arial"/>
          <w:i/>
          <w:color w:val="231F20"/>
          <w:spacing w:val="-29"/>
          <w:w w:val="105"/>
          <w:sz w:val="18"/>
        </w:rPr>
        <w:t> </w:t>
      </w:r>
      <w:r>
        <w:rPr>
          <w:rFonts w:ascii="Arial" w:hAnsi="Arial"/>
          <w:i/>
          <w:color w:val="231F20"/>
          <w:w w:val="105"/>
          <w:sz w:val="18"/>
        </w:rPr>
        <w:t>Cuando</w:t>
      </w:r>
      <w:r>
        <w:rPr>
          <w:rFonts w:ascii="Arial" w:hAnsi="Arial"/>
          <w:i/>
          <w:color w:val="231F20"/>
          <w:spacing w:val="-29"/>
          <w:w w:val="105"/>
          <w:sz w:val="18"/>
        </w:rPr>
        <w:t> </w:t>
      </w:r>
      <w:r>
        <w:rPr>
          <w:rFonts w:ascii="Arial" w:hAnsi="Arial"/>
          <w:i/>
          <w:color w:val="231F20"/>
          <w:w w:val="105"/>
          <w:sz w:val="18"/>
        </w:rPr>
        <w:t>tenía</w:t>
      </w:r>
      <w:r>
        <w:rPr>
          <w:rFonts w:ascii="Arial" w:hAnsi="Arial"/>
          <w:i/>
          <w:color w:val="231F20"/>
          <w:spacing w:val="-29"/>
          <w:w w:val="105"/>
          <w:sz w:val="18"/>
        </w:rPr>
        <w:t> </w:t>
      </w:r>
      <w:r>
        <w:rPr>
          <w:rFonts w:ascii="Arial" w:hAnsi="Arial"/>
          <w:i/>
          <w:color w:val="231F20"/>
          <w:w w:val="105"/>
          <w:sz w:val="18"/>
        </w:rPr>
        <w:t>diez</w:t>
      </w:r>
      <w:r>
        <w:rPr>
          <w:rFonts w:ascii="Arial" w:hAnsi="Arial"/>
          <w:i/>
          <w:color w:val="231F20"/>
          <w:spacing w:val="-29"/>
          <w:w w:val="105"/>
          <w:sz w:val="18"/>
        </w:rPr>
        <w:t> </w:t>
      </w:r>
      <w:r>
        <w:rPr>
          <w:rFonts w:ascii="Arial" w:hAnsi="Arial"/>
          <w:i/>
          <w:color w:val="231F20"/>
          <w:w w:val="105"/>
          <w:sz w:val="18"/>
        </w:rPr>
        <w:t>años</w:t>
      </w:r>
      <w:r>
        <w:rPr>
          <w:rFonts w:ascii="Arial" w:hAnsi="Arial"/>
          <w:i/>
          <w:color w:val="231F20"/>
          <w:spacing w:val="-29"/>
          <w:w w:val="105"/>
          <w:sz w:val="18"/>
        </w:rPr>
        <w:t> </w:t>
      </w:r>
      <w:r>
        <w:rPr>
          <w:rFonts w:ascii="Arial" w:hAnsi="Arial"/>
          <w:i/>
          <w:color w:val="231F20"/>
          <w:w w:val="105"/>
          <w:sz w:val="18"/>
        </w:rPr>
        <w:t>ya</w:t>
      </w:r>
      <w:r>
        <w:rPr>
          <w:rFonts w:ascii="Arial" w:hAnsi="Arial"/>
          <w:i/>
          <w:color w:val="231F20"/>
          <w:spacing w:val="-29"/>
          <w:w w:val="105"/>
          <w:sz w:val="18"/>
        </w:rPr>
        <w:t> </w:t>
      </w:r>
      <w:r>
        <w:rPr>
          <w:rFonts w:ascii="Arial" w:hAnsi="Arial"/>
          <w:i/>
          <w:color w:val="231F20"/>
          <w:w w:val="105"/>
          <w:sz w:val="18"/>
        </w:rPr>
        <w:t>acompañaba</w:t>
      </w:r>
      <w:r>
        <w:rPr>
          <w:rFonts w:ascii="Arial" w:hAnsi="Arial"/>
          <w:i/>
          <w:color w:val="231F20"/>
          <w:spacing w:val="-29"/>
          <w:w w:val="105"/>
          <w:sz w:val="18"/>
        </w:rPr>
        <w:t> </w:t>
      </w:r>
      <w:r>
        <w:rPr>
          <w:rFonts w:ascii="Arial" w:hAnsi="Arial"/>
          <w:i/>
          <w:color w:val="231F20"/>
          <w:w w:val="105"/>
          <w:sz w:val="18"/>
        </w:rPr>
        <w:t>a</w:t>
      </w:r>
      <w:r>
        <w:rPr>
          <w:rFonts w:ascii="Arial" w:hAnsi="Arial"/>
          <w:i/>
          <w:color w:val="231F20"/>
          <w:spacing w:val="-29"/>
          <w:w w:val="105"/>
          <w:sz w:val="18"/>
        </w:rPr>
        <w:t> </w:t>
      </w:r>
      <w:r>
        <w:rPr>
          <w:rFonts w:ascii="Arial" w:hAnsi="Arial"/>
          <w:i/>
          <w:color w:val="231F20"/>
          <w:w w:val="105"/>
          <w:sz w:val="18"/>
        </w:rPr>
        <w:t>mi</w:t>
      </w:r>
    </w:p>
    <w:p>
      <w:pPr>
        <w:pStyle w:val="BodyText"/>
        <w:spacing w:before="1"/>
        <w:rPr>
          <w:rFonts w:ascii="Arial"/>
          <w:i/>
          <w:sz w:val="19"/>
        </w:rPr>
      </w:pPr>
      <w:r>
        <w:rPr/>
        <w:pict>
          <v:line style="position:absolute;mso-position-horizontal-relative:page;mso-position-vertical-relative:paragraph;z-index:44776;mso-wrap-distance-left:0;mso-wrap-distance-right:0" from="86.1968pt,13.05789pt" to="199.5828pt,13.05789pt" stroked="true" strokeweight=".25pt" strokecolor="#231f20">
            <w10:wrap type="topAndBottom"/>
          </v:line>
        </w:pict>
      </w:r>
    </w:p>
    <w:p>
      <w:pPr>
        <w:spacing w:before="8"/>
        <w:ind w:left="1723" w:right="0" w:firstLine="0"/>
        <w:jc w:val="left"/>
        <w:rPr>
          <w:rFonts w:ascii="Calibri"/>
          <w:sz w:val="16"/>
        </w:rPr>
      </w:pPr>
      <w:r>
        <w:rPr>
          <w:rFonts w:ascii="Calibri"/>
          <w:color w:val="414042"/>
          <w:position w:val="5"/>
          <w:sz w:val="9"/>
        </w:rPr>
        <w:t>1  </w:t>
      </w:r>
      <w:r>
        <w:rPr>
          <w:rFonts w:ascii="Calibri"/>
          <w:color w:val="414042"/>
          <w:sz w:val="16"/>
        </w:rPr>
        <w:t>Las conversaciones con don Rafa transcurrieron en su casa de Tonatico entre marzo y junio de  2016</w:t>
      </w:r>
    </w:p>
    <w:p>
      <w:pPr>
        <w:pStyle w:val="BodyText"/>
        <w:rPr>
          <w:rFonts w:ascii="Calibri"/>
          <w:sz w:val="20"/>
        </w:rPr>
      </w:pPr>
    </w:p>
    <w:p>
      <w:pPr>
        <w:pStyle w:val="BodyText"/>
        <w:spacing w:before="7"/>
        <w:rPr>
          <w:rFonts w:ascii="Calibri"/>
          <w:sz w:val="27"/>
        </w:rPr>
      </w:pPr>
    </w:p>
    <w:p>
      <w:pPr>
        <w:tabs>
          <w:tab w:pos="2937" w:val="left" w:leader="none"/>
        </w:tabs>
        <w:spacing w:before="73"/>
        <w:ind w:left="1832" w:right="0" w:firstLine="0"/>
        <w:jc w:val="left"/>
        <w:rPr>
          <w:rFonts w:ascii="Calibri"/>
          <w:sz w:val="8"/>
        </w:rPr>
      </w:pPr>
      <w:r>
        <w:rPr/>
        <w:pict>
          <v:line style="position:absolute;mso-position-horizontal-relative:page;mso-position-vertical-relative:paragraph;z-index:-445384" from="131.551193pt,3.853715pt" to="131.551193pt,39.656114pt" stroked="true" strokeweight=".35pt" strokecolor="#231f20">
            <w10:wrap type="none"/>
          </v:line>
        </w:pict>
      </w:r>
      <w:r>
        <w:rPr/>
        <w:pict>
          <v:line style="position:absolute;mso-position-horizontal-relative:page;mso-position-vertical-relative:paragraph;z-index:-445312" from="15pt,39.655914pt" to="0pt,39.655914pt" stroked="true" strokeweight=".25pt" strokecolor="#000000">
            <w10:wrap type="none"/>
          </v:line>
        </w:pict>
      </w:r>
      <w:r>
        <w:rPr/>
        <w:pict>
          <v:line style="position:absolute;mso-position-horizontal-relative:page;mso-position-vertical-relative:paragraph;z-index:44896" from="508.890015pt,39.655914pt" to="523.890015pt,39.655914pt" stroked="true" strokeweight=".25pt" strokecolor="#000000">
            <w10:wrap type="none"/>
          </v:line>
        </w:pict>
      </w:r>
      <w:r>
        <w:rPr>
          <w:rFonts w:ascii="Arial"/>
          <w:color w:val="414042"/>
          <w:position w:val="-5"/>
          <w:sz w:val="20"/>
        </w:rPr>
        <w:t>384</w:t>
        <w:tab/>
      </w:r>
      <w:r>
        <w:rPr>
          <w:rFonts w:ascii="Calibri"/>
          <w:color w:val="6D6E71"/>
          <w:sz w:val="15"/>
        </w:rPr>
        <w:t>Alejandro  Zarur Osorio</w:t>
      </w:r>
      <w:r>
        <w:rPr>
          <w:rFonts w:ascii="Calibri"/>
          <w:color w:val="6D6E71"/>
          <w:position w:val="5"/>
          <w:sz w:val="8"/>
        </w:rPr>
        <w:t>1</w:t>
      </w:r>
    </w:p>
    <w:p>
      <w:pPr>
        <w:spacing w:after="0"/>
        <w:jc w:val="left"/>
        <w:rPr>
          <w:rFonts w:ascii="Calibri"/>
          <w:sz w:val="8"/>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2023" w:right="0" w:firstLine="0"/>
        <w:jc w:val="left"/>
        <w:rPr>
          <w:rFonts w:ascii="Arial"/>
          <w:sz w:val="20"/>
        </w:rPr>
      </w:pPr>
      <w:r>
        <w:rPr/>
        <w:pict>
          <v:line style="position:absolute;mso-position-horizontal-relative:page;mso-position-vertical-relative:paragraph;z-index:-445264" from="405.061005pt,-18.554295pt" to="405.061005pt,16.311579pt" stroked="true" strokeweight=".35pt" strokecolor="#231f20">
            <w10:wrap type="none"/>
          </v:line>
        </w:pict>
      </w:r>
      <w:r>
        <w:rPr/>
        <w:pict>
          <v:line style="position:absolute;mso-position-horizontal-relative:page;mso-position-vertical-relative:paragraph;z-index:44944" from="15pt,-18.554522pt" to="0pt,-18.554522pt" stroked="true" strokeweight=".25pt" strokecolor="#000000">
            <w10:wrap type="none"/>
          </v:line>
        </w:pict>
      </w:r>
      <w:r>
        <w:rPr/>
        <w:pict>
          <v:line style="position:absolute;mso-position-horizontal-relative:page;mso-position-vertical-relative:paragraph;z-index:44968" from="508.890015pt,-18.554522pt" to="523.890015pt,-18.554522pt" stroked="true" strokeweight=".25pt" strokecolor="#000000">
            <w10:wrap type="none"/>
          </v:line>
        </w:pict>
      </w:r>
      <w:r>
        <w:rPr>
          <w:rFonts w:ascii="Lucida Sans Unicode"/>
          <w:color w:val="6D6E71"/>
          <w:sz w:val="14"/>
        </w:rPr>
        <w:t>LO</w:t>
      </w:r>
      <w:r>
        <w:rPr>
          <w:rFonts w:ascii="Lucida Sans Unicode"/>
          <w:color w:val="6D6E71"/>
          <w:spacing w:val="-29"/>
          <w:sz w:val="14"/>
        </w:rPr>
        <w:t> </w:t>
      </w:r>
      <w:r>
        <w:rPr>
          <w:rFonts w:ascii="Lucida Sans Unicode"/>
          <w:color w:val="6D6E71"/>
          <w:sz w:val="14"/>
        </w:rPr>
        <w:t>QUE</w:t>
      </w:r>
      <w:r>
        <w:rPr>
          <w:rFonts w:ascii="Lucida Sans Unicode"/>
          <w:color w:val="6D6E71"/>
          <w:spacing w:val="-29"/>
          <w:sz w:val="14"/>
        </w:rPr>
        <w:t> </w:t>
      </w:r>
      <w:r>
        <w:rPr>
          <w:rFonts w:ascii="Lucida Sans Unicode"/>
          <w:color w:val="6D6E71"/>
          <w:sz w:val="14"/>
        </w:rPr>
        <w:t>NO</w:t>
      </w:r>
      <w:r>
        <w:rPr>
          <w:rFonts w:ascii="Lucida Sans Unicode"/>
          <w:color w:val="6D6E71"/>
          <w:spacing w:val="-29"/>
          <w:sz w:val="14"/>
        </w:rPr>
        <w:t> </w:t>
      </w:r>
      <w:r>
        <w:rPr>
          <w:rFonts w:ascii="Lucida Sans Unicode"/>
          <w:color w:val="6D6E71"/>
          <w:sz w:val="14"/>
        </w:rPr>
        <w:t>SE</w:t>
      </w:r>
      <w:r>
        <w:rPr>
          <w:rFonts w:ascii="Lucida Sans Unicode"/>
          <w:color w:val="6D6E71"/>
          <w:spacing w:val="-29"/>
          <w:sz w:val="14"/>
        </w:rPr>
        <w:t> </w:t>
      </w:r>
      <w:r>
        <w:rPr>
          <w:rFonts w:ascii="Lucida Sans Unicode"/>
          <w:color w:val="6D6E71"/>
          <w:sz w:val="14"/>
        </w:rPr>
        <w:t>FUE</w:t>
      </w:r>
      <w:r>
        <w:rPr>
          <w:rFonts w:ascii="Lucida Sans Unicode"/>
          <w:color w:val="6D6E71"/>
          <w:spacing w:val="-29"/>
          <w:sz w:val="14"/>
        </w:rPr>
        <w:t> </w:t>
      </w:r>
      <w:r>
        <w:rPr>
          <w:rFonts w:ascii="Lucida Sans Unicode"/>
          <w:color w:val="6D6E71"/>
          <w:sz w:val="14"/>
        </w:rPr>
        <w:t>EN</w:t>
      </w:r>
      <w:r>
        <w:rPr>
          <w:rFonts w:ascii="Lucida Sans Unicode"/>
          <w:color w:val="6D6E71"/>
          <w:spacing w:val="-29"/>
          <w:sz w:val="14"/>
        </w:rPr>
        <w:t> </w:t>
      </w:r>
      <w:r>
        <w:rPr>
          <w:rFonts w:ascii="Lucida Sans Unicode"/>
          <w:color w:val="6D6E71"/>
          <w:sz w:val="14"/>
        </w:rPr>
        <w:t>EL</w:t>
      </w:r>
      <w:r>
        <w:rPr>
          <w:rFonts w:ascii="Lucida Sans Unicode"/>
          <w:color w:val="6D6E71"/>
          <w:spacing w:val="-29"/>
          <w:sz w:val="14"/>
        </w:rPr>
        <w:t> </w:t>
      </w:r>
      <w:r>
        <w:rPr>
          <w:rFonts w:ascii="Lucida Sans Unicode"/>
          <w:color w:val="6D6E71"/>
          <w:sz w:val="14"/>
        </w:rPr>
        <w:t>VELIZ</w:t>
      </w:r>
      <w:r>
        <w:rPr>
          <w:rFonts w:ascii="Lucida Sans Unicode"/>
          <w:color w:val="6D6E71"/>
          <w:spacing w:val="-29"/>
          <w:sz w:val="14"/>
        </w:rPr>
        <w:t> </w:t>
      </w:r>
      <w:r>
        <w:rPr>
          <w:rFonts w:ascii="Lucida Sans Unicode"/>
          <w:color w:val="6D6E71"/>
          <w:sz w:val="14"/>
        </w:rPr>
        <w:t>AZUL.</w:t>
      </w:r>
      <w:r>
        <w:rPr>
          <w:rFonts w:ascii="Lucida Sans Unicode"/>
          <w:color w:val="6D6E71"/>
          <w:spacing w:val="-29"/>
          <w:sz w:val="14"/>
        </w:rPr>
        <w:t> </w:t>
      </w:r>
      <w:r>
        <w:rPr>
          <w:rFonts w:ascii="Lucida Sans Unicode"/>
          <w:color w:val="6D6E71"/>
          <w:sz w:val="14"/>
        </w:rPr>
        <w:t>RELATO</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VIDA</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RAFAEL,</w:t>
      </w:r>
      <w:r>
        <w:rPr>
          <w:rFonts w:ascii="Lucida Sans Unicode"/>
          <w:color w:val="6D6E71"/>
          <w:spacing w:val="-29"/>
          <w:sz w:val="14"/>
        </w:rPr>
        <w:t> </w:t>
      </w:r>
      <w:r>
        <w:rPr>
          <w:rFonts w:ascii="Lucida Sans Unicode"/>
          <w:color w:val="6D6E71"/>
          <w:sz w:val="14"/>
        </w:rPr>
        <w:t>UN</w:t>
      </w:r>
      <w:r>
        <w:rPr>
          <w:rFonts w:ascii="Lucida Sans Unicode"/>
          <w:color w:val="6D6E71"/>
          <w:spacing w:val="-29"/>
          <w:sz w:val="14"/>
        </w:rPr>
        <w:t> </w:t>
      </w:r>
      <w:r>
        <w:rPr>
          <w:rFonts w:ascii="Lucida Sans Unicode"/>
          <w:color w:val="6D6E71"/>
          <w:sz w:val="14"/>
        </w:rPr>
        <w:t>MIGRANTE</w:t>
      </w:r>
      <w:r>
        <w:rPr>
          <w:rFonts w:ascii="Lucida Sans Unicode"/>
          <w:color w:val="6D6E71"/>
          <w:spacing w:val="-29"/>
          <w:sz w:val="14"/>
        </w:rPr>
        <w:t> </w:t>
      </w:r>
      <w:r>
        <w:rPr>
          <w:rFonts w:ascii="Lucida Sans Unicode"/>
          <w:color w:val="6D6E71"/>
          <w:sz w:val="14"/>
        </w:rPr>
        <w:t>TONATIQUENSE</w:t>
      </w:r>
      <w:r>
        <w:rPr>
          <w:rFonts w:ascii="Arial"/>
          <w:color w:val="414042"/>
          <w:position w:val="-3"/>
          <w:sz w:val="20"/>
        </w:rPr>
        <w:tab/>
        <w:t>385</w:t>
      </w:r>
    </w:p>
    <w:p>
      <w:pPr>
        <w:pStyle w:val="BodyText"/>
        <w:rPr>
          <w:rFonts w:ascii="Arial"/>
          <w:sz w:val="18"/>
        </w:rPr>
      </w:pPr>
    </w:p>
    <w:p>
      <w:pPr>
        <w:pStyle w:val="BodyText"/>
        <w:rPr>
          <w:rFonts w:ascii="Arial"/>
          <w:sz w:val="18"/>
        </w:rPr>
      </w:pPr>
    </w:p>
    <w:p>
      <w:pPr>
        <w:pStyle w:val="BodyText"/>
        <w:spacing w:before="2"/>
        <w:rPr>
          <w:rFonts w:ascii="Arial"/>
          <w:sz w:val="19"/>
        </w:rPr>
      </w:pPr>
    </w:p>
    <w:p>
      <w:pPr>
        <w:spacing w:line="249" w:lineRule="auto" w:before="0"/>
        <w:ind w:left="2903" w:right="1721" w:firstLine="0"/>
        <w:jc w:val="both"/>
        <w:rPr>
          <w:rFonts w:ascii="Arial" w:hAnsi="Arial"/>
          <w:i/>
          <w:sz w:val="18"/>
        </w:rPr>
      </w:pPr>
      <w:r>
        <w:rPr>
          <w:rFonts w:ascii="Arial" w:hAnsi="Arial"/>
          <w:i/>
          <w:color w:val="231F20"/>
          <w:sz w:val="18"/>
        </w:rPr>
        <w:t>papá</w:t>
      </w:r>
      <w:r>
        <w:rPr>
          <w:rFonts w:ascii="Arial" w:hAnsi="Arial"/>
          <w:i/>
          <w:color w:val="231F20"/>
          <w:spacing w:val="-14"/>
          <w:sz w:val="18"/>
        </w:rPr>
        <w:t> </w:t>
      </w:r>
      <w:r>
        <w:rPr>
          <w:rFonts w:ascii="Arial" w:hAnsi="Arial"/>
          <w:i/>
          <w:color w:val="231F20"/>
          <w:sz w:val="18"/>
        </w:rPr>
        <w:t>que</w:t>
      </w:r>
      <w:r>
        <w:rPr>
          <w:rFonts w:ascii="Arial" w:hAnsi="Arial"/>
          <w:i/>
          <w:color w:val="231F20"/>
          <w:spacing w:val="-14"/>
          <w:sz w:val="18"/>
        </w:rPr>
        <w:t> </w:t>
      </w:r>
      <w:r>
        <w:rPr>
          <w:rFonts w:ascii="Arial" w:hAnsi="Arial"/>
          <w:i/>
          <w:color w:val="231F20"/>
          <w:sz w:val="18"/>
        </w:rPr>
        <w:t>cada</w:t>
      </w:r>
      <w:r>
        <w:rPr>
          <w:rFonts w:ascii="Arial" w:hAnsi="Arial"/>
          <w:i/>
          <w:color w:val="231F20"/>
          <w:spacing w:val="-14"/>
          <w:sz w:val="18"/>
        </w:rPr>
        <w:t> </w:t>
      </w:r>
      <w:r>
        <w:rPr>
          <w:rFonts w:ascii="Arial" w:hAnsi="Arial"/>
          <w:i/>
          <w:color w:val="231F20"/>
          <w:sz w:val="18"/>
        </w:rPr>
        <w:t>semana</w:t>
      </w:r>
      <w:r>
        <w:rPr>
          <w:rFonts w:ascii="Arial" w:hAnsi="Arial"/>
          <w:i/>
          <w:color w:val="231F20"/>
          <w:spacing w:val="-14"/>
          <w:sz w:val="18"/>
        </w:rPr>
        <w:t> </w:t>
      </w:r>
      <w:r>
        <w:rPr>
          <w:rFonts w:ascii="Arial" w:hAnsi="Arial"/>
          <w:i/>
          <w:color w:val="231F20"/>
          <w:sz w:val="18"/>
        </w:rPr>
        <w:t>llevaba</w:t>
      </w:r>
      <w:r>
        <w:rPr>
          <w:rFonts w:ascii="Arial" w:hAnsi="Arial"/>
          <w:i/>
          <w:color w:val="231F20"/>
          <w:spacing w:val="-14"/>
          <w:sz w:val="18"/>
        </w:rPr>
        <w:t> </w:t>
      </w:r>
      <w:r>
        <w:rPr>
          <w:rFonts w:ascii="Arial" w:hAnsi="Arial"/>
          <w:i/>
          <w:color w:val="231F20"/>
          <w:sz w:val="18"/>
        </w:rPr>
        <w:t>a</w:t>
      </w:r>
      <w:r>
        <w:rPr>
          <w:rFonts w:ascii="Arial" w:hAnsi="Arial"/>
          <w:i/>
          <w:color w:val="231F20"/>
          <w:spacing w:val="-18"/>
          <w:sz w:val="18"/>
        </w:rPr>
        <w:t> </w:t>
      </w:r>
      <w:r>
        <w:rPr>
          <w:rFonts w:ascii="Arial" w:hAnsi="Arial"/>
          <w:i/>
          <w:color w:val="231F20"/>
          <w:sz w:val="18"/>
        </w:rPr>
        <w:t>Villa</w:t>
      </w:r>
      <w:r>
        <w:rPr>
          <w:rFonts w:ascii="Arial" w:hAnsi="Arial"/>
          <w:i/>
          <w:color w:val="231F20"/>
          <w:spacing w:val="-14"/>
          <w:sz w:val="18"/>
        </w:rPr>
        <w:t> </w:t>
      </w:r>
      <w:r>
        <w:rPr>
          <w:rFonts w:ascii="Arial" w:hAnsi="Arial"/>
          <w:i/>
          <w:color w:val="231F20"/>
          <w:spacing w:val="-3"/>
          <w:sz w:val="18"/>
        </w:rPr>
        <w:t>Guerrero</w:t>
      </w:r>
      <w:r>
        <w:rPr>
          <w:rFonts w:ascii="Arial" w:hAnsi="Arial"/>
          <w:i/>
          <w:color w:val="231F20"/>
          <w:spacing w:val="-14"/>
          <w:sz w:val="18"/>
        </w:rPr>
        <w:t> </w:t>
      </w:r>
      <w:r>
        <w:rPr>
          <w:rFonts w:ascii="Arial" w:hAnsi="Arial"/>
          <w:i/>
          <w:color w:val="231F20"/>
          <w:spacing w:val="-3"/>
          <w:sz w:val="18"/>
        </w:rPr>
        <w:t>cuatro</w:t>
      </w:r>
      <w:r>
        <w:rPr>
          <w:rFonts w:ascii="Arial" w:hAnsi="Arial"/>
          <w:i/>
          <w:color w:val="231F20"/>
          <w:spacing w:val="-14"/>
          <w:sz w:val="18"/>
        </w:rPr>
        <w:t> </w:t>
      </w:r>
      <w:r>
        <w:rPr>
          <w:rFonts w:ascii="Arial" w:hAnsi="Arial"/>
          <w:i/>
          <w:color w:val="231F20"/>
          <w:sz w:val="18"/>
        </w:rPr>
        <w:t>o</w:t>
      </w:r>
      <w:r>
        <w:rPr>
          <w:rFonts w:ascii="Arial" w:hAnsi="Arial"/>
          <w:i/>
          <w:color w:val="231F20"/>
          <w:spacing w:val="-14"/>
          <w:sz w:val="18"/>
        </w:rPr>
        <w:t> </w:t>
      </w:r>
      <w:r>
        <w:rPr>
          <w:rFonts w:ascii="Arial" w:hAnsi="Arial"/>
          <w:i/>
          <w:color w:val="231F20"/>
          <w:sz w:val="18"/>
        </w:rPr>
        <w:t>cinco</w:t>
      </w:r>
      <w:r>
        <w:rPr>
          <w:rFonts w:ascii="Arial" w:hAnsi="Arial"/>
          <w:i/>
          <w:color w:val="231F20"/>
          <w:spacing w:val="-14"/>
          <w:sz w:val="18"/>
        </w:rPr>
        <w:t> </w:t>
      </w:r>
      <w:r>
        <w:rPr>
          <w:rFonts w:ascii="Arial" w:hAnsi="Arial"/>
          <w:i/>
          <w:color w:val="231F20"/>
          <w:sz w:val="18"/>
        </w:rPr>
        <w:t>caballos</w:t>
      </w:r>
      <w:r>
        <w:rPr>
          <w:rFonts w:ascii="Arial" w:hAnsi="Arial"/>
          <w:i/>
          <w:color w:val="231F20"/>
          <w:spacing w:val="-14"/>
          <w:sz w:val="18"/>
        </w:rPr>
        <w:t> </w:t>
      </w:r>
      <w:r>
        <w:rPr>
          <w:rFonts w:ascii="Arial" w:hAnsi="Arial"/>
          <w:i/>
          <w:color w:val="231F20"/>
          <w:spacing w:val="-3"/>
          <w:sz w:val="18"/>
        </w:rPr>
        <w:t>car- </w:t>
      </w:r>
      <w:r>
        <w:rPr>
          <w:rFonts w:ascii="Arial" w:hAnsi="Arial"/>
          <w:i/>
          <w:color w:val="231F20"/>
          <w:sz w:val="18"/>
        </w:rPr>
        <w:t>gados</w:t>
      </w:r>
      <w:r>
        <w:rPr>
          <w:rFonts w:ascii="Arial" w:hAnsi="Arial"/>
          <w:i/>
          <w:color w:val="231F20"/>
          <w:spacing w:val="-3"/>
          <w:sz w:val="18"/>
        </w:rPr>
        <w:t> </w:t>
      </w:r>
      <w:r>
        <w:rPr>
          <w:rFonts w:ascii="Arial" w:hAnsi="Arial"/>
          <w:i/>
          <w:color w:val="231F20"/>
          <w:sz w:val="18"/>
        </w:rPr>
        <w:t>de</w:t>
      </w:r>
      <w:r>
        <w:rPr>
          <w:rFonts w:ascii="Arial" w:hAnsi="Arial"/>
          <w:i/>
          <w:color w:val="231F20"/>
          <w:spacing w:val="-4"/>
          <w:sz w:val="18"/>
        </w:rPr>
        <w:t> </w:t>
      </w:r>
      <w:r>
        <w:rPr>
          <w:rFonts w:ascii="Arial" w:hAnsi="Arial"/>
          <w:i/>
          <w:color w:val="231F20"/>
          <w:sz w:val="18"/>
        </w:rPr>
        <w:t>costales</w:t>
      </w:r>
      <w:r>
        <w:rPr>
          <w:rFonts w:ascii="Arial" w:hAnsi="Arial"/>
          <w:i/>
          <w:color w:val="231F20"/>
          <w:spacing w:val="-3"/>
          <w:sz w:val="18"/>
        </w:rPr>
        <w:t> </w:t>
      </w:r>
      <w:r>
        <w:rPr>
          <w:rFonts w:ascii="Arial" w:hAnsi="Arial"/>
          <w:i/>
          <w:color w:val="231F20"/>
          <w:sz w:val="18"/>
        </w:rPr>
        <w:t>de</w:t>
      </w:r>
      <w:r>
        <w:rPr>
          <w:rFonts w:ascii="Arial" w:hAnsi="Arial"/>
          <w:i/>
          <w:color w:val="231F20"/>
          <w:spacing w:val="-3"/>
          <w:sz w:val="18"/>
        </w:rPr>
        <w:t> </w:t>
      </w:r>
      <w:r>
        <w:rPr>
          <w:rFonts w:ascii="Arial" w:hAnsi="Arial"/>
          <w:i/>
          <w:color w:val="231F20"/>
          <w:sz w:val="18"/>
        </w:rPr>
        <w:t>maíz.</w:t>
      </w:r>
      <w:r>
        <w:rPr>
          <w:rFonts w:ascii="Arial" w:hAnsi="Arial"/>
          <w:i/>
          <w:color w:val="231F20"/>
          <w:spacing w:val="-9"/>
          <w:sz w:val="18"/>
        </w:rPr>
        <w:t> </w:t>
      </w:r>
      <w:r>
        <w:rPr>
          <w:rFonts w:ascii="Arial" w:hAnsi="Arial"/>
          <w:i/>
          <w:color w:val="231F20"/>
          <w:spacing w:val="-5"/>
          <w:sz w:val="18"/>
        </w:rPr>
        <w:t>Para</w:t>
      </w:r>
      <w:r>
        <w:rPr>
          <w:rFonts w:ascii="Arial" w:hAnsi="Arial"/>
          <w:i/>
          <w:color w:val="231F20"/>
          <w:spacing w:val="-3"/>
          <w:sz w:val="18"/>
        </w:rPr>
        <w:t> </w:t>
      </w:r>
      <w:r>
        <w:rPr>
          <w:rFonts w:ascii="Arial" w:hAnsi="Arial"/>
          <w:i/>
          <w:color w:val="231F20"/>
          <w:sz w:val="18"/>
        </w:rPr>
        <w:t>allá</w:t>
      </w:r>
      <w:r>
        <w:rPr>
          <w:rFonts w:ascii="Arial" w:hAnsi="Arial"/>
          <w:i/>
          <w:color w:val="231F20"/>
          <w:spacing w:val="-4"/>
          <w:sz w:val="18"/>
        </w:rPr>
        <w:t> </w:t>
      </w:r>
      <w:r>
        <w:rPr>
          <w:rFonts w:ascii="Arial" w:hAnsi="Arial"/>
          <w:i/>
          <w:color w:val="231F20"/>
          <w:sz w:val="18"/>
        </w:rPr>
        <w:t>sólo</w:t>
      </w:r>
      <w:r>
        <w:rPr>
          <w:rFonts w:ascii="Arial" w:hAnsi="Arial"/>
          <w:i/>
          <w:color w:val="231F20"/>
          <w:spacing w:val="-3"/>
          <w:sz w:val="18"/>
        </w:rPr>
        <w:t> </w:t>
      </w:r>
      <w:r>
        <w:rPr>
          <w:rFonts w:ascii="Arial" w:hAnsi="Arial"/>
          <w:i/>
          <w:color w:val="231F20"/>
          <w:sz w:val="18"/>
        </w:rPr>
        <w:t>había</w:t>
      </w:r>
      <w:r>
        <w:rPr>
          <w:rFonts w:ascii="Arial" w:hAnsi="Arial"/>
          <w:i/>
          <w:color w:val="231F20"/>
          <w:spacing w:val="-4"/>
          <w:sz w:val="18"/>
        </w:rPr>
        <w:t> </w:t>
      </w:r>
      <w:r>
        <w:rPr>
          <w:rFonts w:ascii="Arial" w:hAnsi="Arial"/>
          <w:i/>
          <w:color w:val="231F20"/>
          <w:sz w:val="18"/>
        </w:rPr>
        <w:t>una</w:t>
      </w:r>
      <w:r>
        <w:rPr>
          <w:rFonts w:ascii="Arial" w:hAnsi="Arial"/>
          <w:i/>
          <w:color w:val="231F20"/>
          <w:spacing w:val="-4"/>
          <w:sz w:val="18"/>
        </w:rPr>
        <w:t> </w:t>
      </w:r>
      <w:r>
        <w:rPr>
          <w:rFonts w:ascii="Arial" w:hAnsi="Arial"/>
          <w:i/>
          <w:color w:val="231F20"/>
          <w:sz w:val="18"/>
        </w:rPr>
        <w:t>brecha.</w:t>
      </w:r>
      <w:r>
        <w:rPr>
          <w:rFonts w:ascii="Arial" w:hAnsi="Arial"/>
          <w:i/>
          <w:color w:val="231F20"/>
          <w:spacing w:val="-9"/>
          <w:sz w:val="18"/>
        </w:rPr>
        <w:t> </w:t>
      </w:r>
      <w:r>
        <w:rPr>
          <w:rFonts w:ascii="Arial" w:hAnsi="Arial"/>
          <w:i/>
          <w:color w:val="231F20"/>
          <w:spacing w:val="-3"/>
          <w:sz w:val="18"/>
        </w:rPr>
        <w:t>Lo</w:t>
      </w:r>
      <w:r>
        <w:rPr>
          <w:rFonts w:ascii="Arial" w:hAnsi="Arial"/>
          <w:i/>
          <w:color w:val="231F20"/>
          <w:spacing w:val="-4"/>
          <w:sz w:val="18"/>
        </w:rPr>
        <w:t> </w:t>
      </w:r>
      <w:r>
        <w:rPr>
          <w:rFonts w:ascii="Arial" w:hAnsi="Arial"/>
          <w:i/>
          <w:color w:val="231F20"/>
          <w:sz w:val="18"/>
        </w:rPr>
        <w:t>único</w:t>
      </w:r>
      <w:r>
        <w:rPr>
          <w:rFonts w:ascii="Arial" w:hAnsi="Arial"/>
          <w:i/>
          <w:color w:val="231F20"/>
          <w:spacing w:val="-4"/>
          <w:sz w:val="18"/>
        </w:rPr>
        <w:t> </w:t>
      </w:r>
      <w:r>
        <w:rPr>
          <w:rFonts w:ascii="Arial" w:hAnsi="Arial"/>
          <w:i/>
          <w:color w:val="231F20"/>
          <w:spacing w:val="-2"/>
          <w:sz w:val="18"/>
        </w:rPr>
        <w:t>que </w:t>
      </w:r>
      <w:r>
        <w:rPr>
          <w:rFonts w:ascii="Arial" w:hAnsi="Arial"/>
          <w:i/>
          <w:color w:val="231F20"/>
          <w:sz w:val="18"/>
        </w:rPr>
        <w:t>pasaba</w:t>
      </w:r>
      <w:r>
        <w:rPr>
          <w:rFonts w:ascii="Arial" w:hAnsi="Arial"/>
          <w:i/>
          <w:color w:val="231F20"/>
          <w:spacing w:val="-14"/>
          <w:sz w:val="18"/>
        </w:rPr>
        <w:t> </w:t>
      </w:r>
      <w:r>
        <w:rPr>
          <w:rFonts w:ascii="Arial" w:hAnsi="Arial"/>
          <w:i/>
          <w:color w:val="231F20"/>
          <w:sz w:val="18"/>
        </w:rPr>
        <w:t>por</w:t>
      </w:r>
      <w:r>
        <w:rPr>
          <w:rFonts w:ascii="Arial" w:hAnsi="Arial"/>
          <w:i/>
          <w:color w:val="231F20"/>
          <w:spacing w:val="-14"/>
          <w:sz w:val="18"/>
        </w:rPr>
        <w:t> </w:t>
      </w:r>
      <w:r>
        <w:rPr>
          <w:rFonts w:ascii="Arial" w:hAnsi="Arial"/>
          <w:i/>
          <w:color w:val="231F20"/>
          <w:sz w:val="18"/>
        </w:rPr>
        <w:t>ahí,</w:t>
      </w:r>
      <w:r>
        <w:rPr>
          <w:rFonts w:ascii="Arial" w:hAnsi="Arial"/>
          <w:i/>
          <w:color w:val="231F20"/>
          <w:spacing w:val="-19"/>
          <w:sz w:val="18"/>
        </w:rPr>
        <w:t> </w:t>
      </w:r>
      <w:r>
        <w:rPr>
          <w:rFonts w:ascii="Arial" w:hAnsi="Arial"/>
          <w:i/>
          <w:color w:val="231F20"/>
          <w:sz w:val="18"/>
        </w:rPr>
        <w:t>además</w:t>
      </w:r>
      <w:r>
        <w:rPr>
          <w:rFonts w:ascii="Arial" w:hAnsi="Arial"/>
          <w:i/>
          <w:color w:val="231F20"/>
          <w:spacing w:val="-14"/>
          <w:sz w:val="18"/>
        </w:rPr>
        <w:t> </w:t>
      </w:r>
      <w:r>
        <w:rPr>
          <w:rFonts w:ascii="Arial" w:hAnsi="Arial"/>
          <w:i/>
          <w:color w:val="231F20"/>
          <w:sz w:val="18"/>
        </w:rPr>
        <w:t>de</w:t>
      </w:r>
      <w:r>
        <w:rPr>
          <w:rFonts w:ascii="Arial" w:hAnsi="Arial"/>
          <w:i/>
          <w:color w:val="231F20"/>
          <w:spacing w:val="-14"/>
          <w:sz w:val="18"/>
        </w:rPr>
        <w:t> </w:t>
      </w:r>
      <w:r>
        <w:rPr>
          <w:rFonts w:ascii="Arial" w:hAnsi="Arial"/>
          <w:i/>
          <w:color w:val="231F20"/>
          <w:sz w:val="18"/>
        </w:rPr>
        <w:t>los</w:t>
      </w:r>
      <w:r>
        <w:rPr>
          <w:rFonts w:ascii="Arial" w:hAnsi="Arial"/>
          <w:i/>
          <w:color w:val="231F20"/>
          <w:spacing w:val="-14"/>
          <w:sz w:val="18"/>
        </w:rPr>
        <w:t> </w:t>
      </w:r>
      <w:r>
        <w:rPr>
          <w:rFonts w:ascii="Arial" w:hAnsi="Arial"/>
          <w:i/>
          <w:color w:val="231F20"/>
          <w:sz w:val="18"/>
        </w:rPr>
        <w:t>animales</w:t>
      </w:r>
      <w:r>
        <w:rPr>
          <w:rFonts w:ascii="Arial" w:hAnsi="Arial"/>
          <w:i/>
          <w:color w:val="231F20"/>
          <w:spacing w:val="-14"/>
          <w:sz w:val="18"/>
        </w:rPr>
        <w:t> </w:t>
      </w:r>
      <w:r>
        <w:rPr>
          <w:rFonts w:ascii="Arial" w:hAnsi="Arial"/>
          <w:i/>
          <w:color w:val="231F20"/>
          <w:sz w:val="18"/>
        </w:rPr>
        <w:t>y</w:t>
      </w:r>
      <w:r>
        <w:rPr>
          <w:rFonts w:ascii="Arial" w:hAnsi="Arial"/>
          <w:i/>
          <w:color w:val="231F20"/>
          <w:spacing w:val="-14"/>
          <w:sz w:val="18"/>
        </w:rPr>
        <w:t> </w:t>
      </w:r>
      <w:r>
        <w:rPr>
          <w:rFonts w:ascii="Arial" w:hAnsi="Arial"/>
          <w:i/>
          <w:color w:val="231F20"/>
          <w:sz w:val="18"/>
        </w:rPr>
        <w:t>las</w:t>
      </w:r>
      <w:r>
        <w:rPr>
          <w:rFonts w:ascii="Arial" w:hAnsi="Arial"/>
          <w:i/>
          <w:color w:val="231F20"/>
          <w:spacing w:val="-14"/>
          <w:sz w:val="18"/>
        </w:rPr>
        <w:t> </w:t>
      </w:r>
      <w:r>
        <w:rPr>
          <w:rFonts w:ascii="Arial" w:hAnsi="Arial"/>
          <w:i/>
          <w:color w:val="231F20"/>
          <w:sz w:val="18"/>
        </w:rPr>
        <w:t>personas,</w:t>
      </w:r>
      <w:r>
        <w:rPr>
          <w:rFonts w:ascii="Arial" w:hAnsi="Arial"/>
          <w:i/>
          <w:color w:val="231F20"/>
          <w:spacing w:val="-19"/>
          <w:sz w:val="18"/>
        </w:rPr>
        <w:t> </w:t>
      </w:r>
      <w:r>
        <w:rPr>
          <w:rFonts w:ascii="Arial" w:hAnsi="Arial"/>
          <w:i/>
          <w:color w:val="231F20"/>
          <w:sz w:val="18"/>
        </w:rPr>
        <w:t>eran</w:t>
      </w:r>
      <w:r>
        <w:rPr>
          <w:rFonts w:ascii="Arial" w:hAnsi="Arial"/>
          <w:i/>
          <w:color w:val="231F20"/>
          <w:spacing w:val="-14"/>
          <w:sz w:val="18"/>
        </w:rPr>
        <w:t> </w:t>
      </w:r>
      <w:r>
        <w:rPr>
          <w:rFonts w:ascii="Arial" w:hAnsi="Arial"/>
          <w:i/>
          <w:color w:val="231F20"/>
          <w:sz w:val="18"/>
        </w:rPr>
        <w:t>los</w:t>
      </w:r>
      <w:r>
        <w:rPr>
          <w:rFonts w:ascii="Arial" w:hAnsi="Arial"/>
          <w:i/>
          <w:color w:val="231F20"/>
          <w:spacing w:val="-14"/>
          <w:sz w:val="18"/>
        </w:rPr>
        <w:t> </w:t>
      </w:r>
      <w:r>
        <w:rPr>
          <w:rFonts w:ascii="Arial" w:hAnsi="Arial"/>
          <w:i/>
          <w:color w:val="231F20"/>
          <w:sz w:val="18"/>
        </w:rPr>
        <w:t>camiones de</w:t>
      </w:r>
      <w:r>
        <w:rPr>
          <w:rFonts w:ascii="Arial" w:hAnsi="Arial"/>
          <w:i/>
          <w:color w:val="231F20"/>
          <w:spacing w:val="-12"/>
          <w:sz w:val="18"/>
        </w:rPr>
        <w:t> </w:t>
      </w:r>
      <w:r>
        <w:rPr>
          <w:rFonts w:ascii="Arial" w:hAnsi="Arial"/>
          <w:i/>
          <w:color w:val="231F20"/>
          <w:sz w:val="18"/>
        </w:rPr>
        <w:t>volteo,</w:t>
      </w:r>
      <w:r>
        <w:rPr>
          <w:rFonts w:ascii="Arial" w:hAnsi="Arial"/>
          <w:i/>
          <w:color w:val="231F20"/>
          <w:spacing w:val="-17"/>
          <w:sz w:val="18"/>
        </w:rPr>
        <w:t> </w:t>
      </w:r>
      <w:r>
        <w:rPr>
          <w:rFonts w:ascii="Arial" w:hAnsi="Arial"/>
          <w:i/>
          <w:color w:val="231F20"/>
          <w:sz w:val="18"/>
        </w:rPr>
        <w:t>y</w:t>
      </w:r>
      <w:r>
        <w:rPr>
          <w:rFonts w:ascii="Arial" w:hAnsi="Arial"/>
          <w:i/>
          <w:color w:val="231F20"/>
          <w:spacing w:val="-12"/>
          <w:sz w:val="18"/>
        </w:rPr>
        <w:t> </w:t>
      </w:r>
      <w:r>
        <w:rPr>
          <w:rFonts w:ascii="Arial" w:hAnsi="Arial"/>
          <w:i/>
          <w:color w:val="231F20"/>
          <w:sz w:val="18"/>
        </w:rPr>
        <w:t>con</w:t>
      </w:r>
      <w:r>
        <w:rPr>
          <w:rFonts w:ascii="Arial" w:hAnsi="Arial"/>
          <w:i/>
          <w:color w:val="231F20"/>
          <w:spacing w:val="-12"/>
          <w:sz w:val="18"/>
        </w:rPr>
        <w:t> </w:t>
      </w:r>
      <w:r>
        <w:rPr>
          <w:rFonts w:ascii="Arial" w:hAnsi="Arial"/>
          <w:i/>
          <w:color w:val="231F20"/>
          <w:sz w:val="18"/>
        </w:rPr>
        <w:t>muchos</w:t>
      </w:r>
      <w:r>
        <w:rPr>
          <w:rFonts w:ascii="Arial" w:hAnsi="Arial"/>
          <w:i/>
          <w:color w:val="231F20"/>
          <w:spacing w:val="-12"/>
          <w:sz w:val="18"/>
        </w:rPr>
        <w:t> </w:t>
      </w:r>
      <w:r>
        <w:rPr>
          <w:rFonts w:ascii="Arial" w:hAnsi="Arial"/>
          <w:i/>
          <w:color w:val="231F20"/>
          <w:spacing w:val="-2"/>
          <w:sz w:val="18"/>
        </w:rPr>
        <w:t>trabajos,</w:t>
      </w:r>
      <w:r>
        <w:rPr>
          <w:rFonts w:ascii="Arial" w:hAnsi="Arial"/>
          <w:i/>
          <w:color w:val="231F20"/>
          <w:spacing w:val="-17"/>
          <w:sz w:val="18"/>
        </w:rPr>
        <w:t> </w:t>
      </w:r>
      <w:r>
        <w:rPr>
          <w:rFonts w:ascii="Arial" w:hAnsi="Arial"/>
          <w:i/>
          <w:color w:val="231F20"/>
          <w:sz w:val="18"/>
        </w:rPr>
        <w:t>el</w:t>
      </w:r>
      <w:r>
        <w:rPr>
          <w:rFonts w:ascii="Arial" w:hAnsi="Arial"/>
          <w:i/>
          <w:color w:val="231F20"/>
          <w:spacing w:val="-12"/>
          <w:sz w:val="18"/>
        </w:rPr>
        <w:t> </w:t>
      </w:r>
      <w:r>
        <w:rPr>
          <w:rFonts w:ascii="Arial" w:hAnsi="Arial"/>
          <w:i/>
          <w:color w:val="231F20"/>
          <w:sz w:val="18"/>
        </w:rPr>
        <w:t>chofer</w:t>
      </w:r>
      <w:r>
        <w:rPr>
          <w:rFonts w:ascii="Arial" w:hAnsi="Arial"/>
          <w:i/>
          <w:color w:val="231F20"/>
          <w:spacing w:val="-12"/>
          <w:sz w:val="18"/>
        </w:rPr>
        <w:t> </w:t>
      </w:r>
      <w:r>
        <w:rPr>
          <w:rFonts w:ascii="Arial" w:hAnsi="Arial"/>
          <w:i/>
          <w:color w:val="231F20"/>
          <w:sz w:val="18"/>
        </w:rPr>
        <w:t>siempre</w:t>
      </w:r>
      <w:r>
        <w:rPr>
          <w:rFonts w:ascii="Arial" w:hAnsi="Arial"/>
          <w:i/>
          <w:color w:val="231F20"/>
          <w:spacing w:val="-12"/>
          <w:sz w:val="18"/>
        </w:rPr>
        <w:t> </w:t>
      </w:r>
      <w:r>
        <w:rPr>
          <w:rFonts w:ascii="Arial" w:hAnsi="Arial"/>
          <w:i/>
          <w:color w:val="231F20"/>
          <w:sz w:val="18"/>
        </w:rPr>
        <w:t>tenía</w:t>
      </w:r>
      <w:r>
        <w:rPr>
          <w:rFonts w:ascii="Arial" w:hAnsi="Arial"/>
          <w:i/>
          <w:color w:val="231F20"/>
          <w:spacing w:val="-12"/>
          <w:sz w:val="18"/>
        </w:rPr>
        <w:t> </w:t>
      </w:r>
      <w:r>
        <w:rPr>
          <w:rFonts w:ascii="Arial" w:hAnsi="Arial"/>
          <w:i/>
          <w:color w:val="231F20"/>
          <w:sz w:val="18"/>
        </w:rPr>
        <w:t>que</w:t>
      </w:r>
      <w:r>
        <w:rPr>
          <w:rFonts w:ascii="Arial" w:hAnsi="Arial"/>
          <w:i/>
          <w:color w:val="231F20"/>
          <w:spacing w:val="-12"/>
          <w:sz w:val="18"/>
        </w:rPr>
        <w:t> </w:t>
      </w:r>
      <w:r>
        <w:rPr>
          <w:rFonts w:ascii="Arial" w:hAnsi="Arial"/>
          <w:i/>
          <w:color w:val="231F20"/>
          <w:sz w:val="18"/>
        </w:rPr>
        <w:t>llevar</w:t>
      </w:r>
      <w:r>
        <w:rPr>
          <w:rFonts w:ascii="Arial" w:hAnsi="Arial"/>
          <w:i/>
          <w:color w:val="231F20"/>
          <w:spacing w:val="-12"/>
          <w:sz w:val="18"/>
        </w:rPr>
        <w:t> </w:t>
      </w:r>
      <w:r>
        <w:rPr>
          <w:rFonts w:ascii="Arial" w:hAnsi="Arial"/>
          <w:i/>
          <w:color w:val="231F20"/>
          <w:sz w:val="18"/>
        </w:rPr>
        <w:t>un</w:t>
      </w:r>
      <w:r>
        <w:rPr>
          <w:rFonts w:ascii="Arial" w:hAnsi="Arial"/>
          <w:i/>
          <w:color w:val="231F20"/>
          <w:spacing w:val="-12"/>
          <w:sz w:val="18"/>
        </w:rPr>
        <w:t> </w:t>
      </w:r>
      <w:r>
        <w:rPr>
          <w:rFonts w:ascii="Arial" w:hAnsi="Arial"/>
          <w:i/>
          <w:color w:val="231F20"/>
          <w:sz w:val="18"/>
        </w:rPr>
        <w:t>ma- </w:t>
      </w:r>
      <w:r>
        <w:rPr>
          <w:rFonts w:ascii="Arial" w:hAnsi="Arial"/>
          <w:i/>
          <w:color w:val="231F20"/>
          <w:spacing w:val="-3"/>
          <w:sz w:val="18"/>
        </w:rPr>
        <w:t>chetero, </w:t>
      </w:r>
      <w:r>
        <w:rPr>
          <w:rFonts w:ascii="Arial" w:hAnsi="Arial"/>
          <w:i/>
          <w:color w:val="231F20"/>
          <w:sz w:val="18"/>
        </w:rPr>
        <w:t>que cada </w:t>
      </w:r>
      <w:r>
        <w:rPr>
          <w:rFonts w:ascii="Arial" w:hAnsi="Arial"/>
          <w:i/>
          <w:color w:val="231F20"/>
          <w:spacing w:val="-3"/>
          <w:sz w:val="18"/>
        </w:rPr>
        <w:t>rato </w:t>
      </w:r>
      <w:r>
        <w:rPr>
          <w:rFonts w:ascii="Arial" w:hAnsi="Arial"/>
          <w:i/>
          <w:color w:val="231F20"/>
          <w:sz w:val="18"/>
        </w:rPr>
        <w:t>se bajaba a poner troncos </w:t>
      </w:r>
      <w:r>
        <w:rPr>
          <w:rFonts w:ascii="Arial" w:hAnsi="Arial"/>
          <w:i/>
          <w:color w:val="231F20"/>
          <w:spacing w:val="-3"/>
          <w:sz w:val="18"/>
        </w:rPr>
        <w:t>atrás </w:t>
      </w:r>
      <w:r>
        <w:rPr>
          <w:rFonts w:ascii="Arial" w:hAnsi="Arial"/>
          <w:i/>
          <w:color w:val="231F20"/>
          <w:sz w:val="18"/>
        </w:rPr>
        <w:t>de las llantas para que</w:t>
      </w:r>
      <w:r>
        <w:rPr>
          <w:rFonts w:ascii="Arial" w:hAnsi="Arial"/>
          <w:i/>
          <w:color w:val="231F20"/>
          <w:spacing w:val="-5"/>
          <w:sz w:val="18"/>
        </w:rPr>
        <w:t> </w:t>
      </w:r>
      <w:r>
        <w:rPr>
          <w:rFonts w:ascii="Arial" w:hAnsi="Arial"/>
          <w:i/>
          <w:color w:val="231F20"/>
          <w:sz w:val="18"/>
        </w:rPr>
        <w:t>el</w:t>
      </w:r>
      <w:r>
        <w:rPr>
          <w:rFonts w:ascii="Arial" w:hAnsi="Arial"/>
          <w:i/>
          <w:color w:val="231F20"/>
          <w:spacing w:val="-5"/>
          <w:sz w:val="18"/>
        </w:rPr>
        <w:t> </w:t>
      </w:r>
      <w:r>
        <w:rPr>
          <w:rFonts w:ascii="Arial" w:hAnsi="Arial"/>
          <w:i/>
          <w:color w:val="231F20"/>
          <w:sz w:val="18"/>
        </w:rPr>
        <w:t>camión</w:t>
      </w:r>
      <w:r>
        <w:rPr>
          <w:rFonts w:ascii="Arial" w:hAnsi="Arial"/>
          <w:i/>
          <w:color w:val="231F20"/>
          <w:spacing w:val="-5"/>
          <w:sz w:val="18"/>
        </w:rPr>
        <w:t> </w:t>
      </w:r>
      <w:r>
        <w:rPr>
          <w:rFonts w:ascii="Arial" w:hAnsi="Arial"/>
          <w:i/>
          <w:color w:val="231F20"/>
          <w:sz w:val="18"/>
        </w:rPr>
        <w:t>pudiera</w:t>
      </w:r>
      <w:r>
        <w:rPr>
          <w:rFonts w:ascii="Arial" w:hAnsi="Arial"/>
          <w:i/>
          <w:color w:val="231F20"/>
          <w:spacing w:val="-5"/>
          <w:sz w:val="18"/>
        </w:rPr>
        <w:t> </w:t>
      </w:r>
      <w:r>
        <w:rPr>
          <w:rFonts w:ascii="Arial" w:hAnsi="Arial"/>
          <w:i/>
          <w:color w:val="231F20"/>
          <w:sz w:val="18"/>
        </w:rPr>
        <w:t>avanzar</w:t>
      </w:r>
      <w:r>
        <w:rPr>
          <w:rFonts w:ascii="Arial" w:hAnsi="Arial"/>
          <w:i/>
          <w:color w:val="231F20"/>
          <w:spacing w:val="-5"/>
          <w:sz w:val="18"/>
        </w:rPr>
        <w:t> </w:t>
      </w:r>
      <w:r>
        <w:rPr>
          <w:rFonts w:ascii="Arial" w:hAnsi="Arial"/>
          <w:i/>
          <w:color w:val="231F20"/>
          <w:sz w:val="18"/>
        </w:rPr>
        <w:t>y</w:t>
      </w:r>
      <w:r>
        <w:rPr>
          <w:rFonts w:ascii="Arial" w:hAnsi="Arial"/>
          <w:i/>
          <w:color w:val="231F20"/>
          <w:spacing w:val="-5"/>
          <w:sz w:val="18"/>
        </w:rPr>
        <w:t> </w:t>
      </w:r>
      <w:r>
        <w:rPr>
          <w:rFonts w:ascii="Arial" w:hAnsi="Arial"/>
          <w:i/>
          <w:color w:val="231F20"/>
          <w:sz w:val="18"/>
        </w:rPr>
        <w:t>para</w:t>
      </w:r>
      <w:r>
        <w:rPr>
          <w:rFonts w:ascii="Arial" w:hAnsi="Arial"/>
          <w:i/>
          <w:color w:val="231F20"/>
          <w:spacing w:val="-5"/>
          <w:sz w:val="18"/>
        </w:rPr>
        <w:t> </w:t>
      </w:r>
      <w:r>
        <w:rPr>
          <w:rFonts w:ascii="Arial" w:hAnsi="Arial"/>
          <w:i/>
          <w:color w:val="231F20"/>
          <w:sz w:val="18"/>
        </w:rPr>
        <w:t>que</w:t>
      </w:r>
      <w:r>
        <w:rPr>
          <w:rFonts w:ascii="Arial" w:hAnsi="Arial"/>
          <w:i/>
          <w:color w:val="231F20"/>
          <w:spacing w:val="-5"/>
          <w:sz w:val="18"/>
        </w:rPr>
        <w:t> </w:t>
      </w:r>
      <w:r>
        <w:rPr>
          <w:rFonts w:ascii="Arial" w:hAnsi="Arial"/>
          <w:i/>
          <w:color w:val="231F20"/>
          <w:sz w:val="18"/>
        </w:rPr>
        <w:t>no</w:t>
      </w:r>
      <w:r>
        <w:rPr>
          <w:rFonts w:ascii="Arial" w:hAnsi="Arial"/>
          <w:i/>
          <w:color w:val="231F20"/>
          <w:spacing w:val="-5"/>
          <w:sz w:val="18"/>
        </w:rPr>
        <w:t> </w:t>
      </w:r>
      <w:r>
        <w:rPr>
          <w:rFonts w:ascii="Arial" w:hAnsi="Arial"/>
          <w:i/>
          <w:color w:val="231F20"/>
          <w:sz w:val="18"/>
        </w:rPr>
        <w:t>se</w:t>
      </w:r>
      <w:r>
        <w:rPr>
          <w:rFonts w:ascii="Arial" w:hAnsi="Arial"/>
          <w:i/>
          <w:color w:val="231F20"/>
          <w:spacing w:val="-5"/>
          <w:sz w:val="18"/>
        </w:rPr>
        <w:t> </w:t>
      </w:r>
      <w:r>
        <w:rPr>
          <w:rFonts w:ascii="Arial" w:hAnsi="Arial"/>
          <w:i/>
          <w:color w:val="231F20"/>
          <w:spacing w:val="-3"/>
          <w:sz w:val="18"/>
        </w:rPr>
        <w:t>desbarrancara.</w:t>
      </w:r>
    </w:p>
    <w:p>
      <w:pPr>
        <w:spacing w:line="249" w:lineRule="auto" w:before="114"/>
        <w:ind w:left="2903" w:right="1715" w:firstLine="0"/>
        <w:jc w:val="both"/>
        <w:rPr>
          <w:rFonts w:ascii="Arial" w:hAnsi="Arial"/>
          <w:i/>
          <w:sz w:val="18"/>
        </w:rPr>
      </w:pPr>
      <w:r>
        <w:rPr>
          <w:rFonts w:ascii="Arial" w:hAnsi="Arial"/>
          <w:i/>
          <w:color w:val="231F20"/>
          <w:sz w:val="18"/>
        </w:rPr>
        <w:t>En esa época sólo comíamos pan una vez a la semana. Mi mamá hacía </w:t>
      </w:r>
      <w:r>
        <w:rPr>
          <w:rFonts w:ascii="Arial" w:hAnsi="Arial"/>
          <w:i/>
          <w:color w:val="231F20"/>
          <w:sz w:val="18"/>
        </w:rPr>
        <w:t>quesos</w:t>
      </w:r>
      <w:r>
        <w:rPr>
          <w:rFonts w:ascii="Arial" w:hAnsi="Arial"/>
          <w:i/>
          <w:color w:val="231F20"/>
          <w:spacing w:val="-8"/>
          <w:sz w:val="18"/>
        </w:rPr>
        <w:t> </w:t>
      </w:r>
      <w:r>
        <w:rPr>
          <w:rFonts w:ascii="Arial" w:hAnsi="Arial"/>
          <w:i/>
          <w:color w:val="231F20"/>
          <w:sz w:val="18"/>
        </w:rPr>
        <w:t>y</w:t>
      </w:r>
      <w:r>
        <w:rPr>
          <w:rFonts w:ascii="Arial" w:hAnsi="Arial"/>
          <w:i/>
          <w:color w:val="231F20"/>
          <w:spacing w:val="-8"/>
          <w:sz w:val="18"/>
        </w:rPr>
        <w:t> </w:t>
      </w:r>
      <w:r>
        <w:rPr>
          <w:rFonts w:ascii="Arial" w:hAnsi="Arial"/>
          <w:i/>
          <w:color w:val="231F20"/>
          <w:sz w:val="18"/>
        </w:rPr>
        <w:t>se</w:t>
      </w:r>
      <w:r>
        <w:rPr>
          <w:rFonts w:ascii="Arial" w:hAnsi="Arial"/>
          <w:i/>
          <w:color w:val="231F20"/>
          <w:spacing w:val="-8"/>
          <w:sz w:val="18"/>
        </w:rPr>
        <w:t> </w:t>
      </w:r>
      <w:r>
        <w:rPr>
          <w:rFonts w:ascii="Arial" w:hAnsi="Arial"/>
          <w:i/>
          <w:color w:val="231F20"/>
          <w:sz w:val="18"/>
        </w:rPr>
        <w:t>los</w:t>
      </w:r>
      <w:r>
        <w:rPr>
          <w:rFonts w:ascii="Arial" w:hAnsi="Arial"/>
          <w:i/>
          <w:color w:val="231F20"/>
          <w:spacing w:val="-8"/>
          <w:sz w:val="18"/>
        </w:rPr>
        <w:t> </w:t>
      </w:r>
      <w:r>
        <w:rPr>
          <w:rFonts w:ascii="Arial" w:hAnsi="Arial"/>
          <w:i/>
          <w:color w:val="231F20"/>
          <w:sz w:val="18"/>
        </w:rPr>
        <w:t>daba</w:t>
      </w:r>
      <w:r>
        <w:rPr>
          <w:rFonts w:ascii="Arial" w:hAnsi="Arial"/>
          <w:i/>
          <w:color w:val="231F20"/>
          <w:spacing w:val="-8"/>
          <w:sz w:val="18"/>
        </w:rPr>
        <w:t> </w:t>
      </w:r>
      <w:r>
        <w:rPr>
          <w:rFonts w:ascii="Arial" w:hAnsi="Arial"/>
          <w:i/>
          <w:color w:val="231F20"/>
          <w:sz w:val="18"/>
        </w:rPr>
        <w:t>a</w:t>
      </w:r>
      <w:r>
        <w:rPr>
          <w:rFonts w:ascii="Arial" w:hAnsi="Arial"/>
          <w:i/>
          <w:color w:val="231F20"/>
          <w:spacing w:val="-8"/>
          <w:sz w:val="18"/>
        </w:rPr>
        <w:t> </w:t>
      </w:r>
      <w:r>
        <w:rPr>
          <w:rFonts w:ascii="Arial" w:hAnsi="Arial"/>
          <w:i/>
          <w:color w:val="231F20"/>
          <w:sz w:val="18"/>
        </w:rPr>
        <w:t>una</w:t>
      </w:r>
      <w:r>
        <w:rPr>
          <w:rFonts w:ascii="Arial" w:hAnsi="Arial"/>
          <w:i/>
          <w:color w:val="231F20"/>
          <w:spacing w:val="-8"/>
          <w:sz w:val="18"/>
        </w:rPr>
        <w:t> </w:t>
      </w:r>
      <w:r>
        <w:rPr>
          <w:rFonts w:ascii="Arial" w:hAnsi="Arial"/>
          <w:i/>
          <w:color w:val="231F20"/>
          <w:sz w:val="18"/>
        </w:rPr>
        <w:t>señora</w:t>
      </w:r>
      <w:r>
        <w:rPr>
          <w:rFonts w:ascii="Arial" w:hAnsi="Arial"/>
          <w:i/>
          <w:color w:val="231F20"/>
          <w:spacing w:val="-8"/>
          <w:sz w:val="18"/>
        </w:rPr>
        <w:t> </w:t>
      </w:r>
      <w:r>
        <w:rPr>
          <w:rFonts w:ascii="Arial" w:hAnsi="Arial"/>
          <w:i/>
          <w:color w:val="231F20"/>
          <w:sz w:val="18"/>
        </w:rPr>
        <w:t>para</w:t>
      </w:r>
      <w:r>
        <w:rPr>
          <w:rFonts w:ascii="Arial" w:hAnsi="Arial"/>
          <w:i/>
          <w:color w:val="231F20"/>
          <w:spacing w:val="-8"/>
          <w:sz w:val="18"/>
        </w:rPr>
        <w:t> </w:t>
      </w:r>
      <w:r>
        <w:rPr>
          <w:rFonts w:ascii="Arial" w:hAnsi="Arial"/>
          <w:i/>
          <w:color w:val="231F20"/>
          <w:sz w:val="18"/>
        </w:rPr>
        <w:t>que</w:t>
      </w:r>
      <w:r>
        <w:rPr>
          <w:rFonts w:ascii="Arial" w:hAnsi="Arial"/>
          <w:i/>
          <w:color w:val="231F20"/>
          <w:spacing w:val="-8"/>
          <w:sz w:val="18"/>
        </w:rPr>
        <w:t> </w:t>
      </w:r>
      <w:r>
        <w:rPr>
          <w:rFonts w:ascii="Arial" w:hAnsi="Arial"/>
          <w:i/>
          <w:color w:val="231F20"/>
          <w:sz w:val="18"/>
        </w:rPr>
        <w:t>se</w:t>
      </w:r>
      <w:r>
        <w:rPr>
          <w:rFonts w:ascii="Arial" w:hAnsi="Arial"/>
          <w:i/>
          <w:color w:val="231F20"/>
          <w:spacing w:val="-8"/>
          <w:sz w:val="18"/>
        </w:rPr>
        <w:t> </w:t>
      </w:r>
      <w:r>
        <w:rPr>
          <w:rFonts w:ascii="Arial" w:hAnsi="Arial"/>
          <w:i/>
          <w:color w:val="231F20"/>
          <w:sz w:val="18"/>
        </w:rPr>
        <w:t>los</w:t>
      </w:r>
      <w:r>
        <w:rPr>
          <w:rFonts w:ascii="Arial" w:hAnsi="Arial"/>
          <w:i/>
          <w:color w:val="231F20"/>
          <w:spacing w:val="-8"/>
          <w:sz w:val="18"/>
        </w:rPr>
        <w:t> </w:t>
      </w:r>
      <w:r>
        <w:rPr>
          <w:rFonts w:ascii="Arial" w:hAnsi="Arial"/>
          <w:i/>
          <w:color w:val="231F20"/>
          <w:sz w:val="18"/>
        </w:rPr>
        <w:t>llevara</w:t>
      </w:r>
      <w:r>
        <w:rPr>
          <w:rFonts w:ascii="Arial" w:hAnsi="Arial"/>
          <w:i/>
          <w:color w:val="231F20"/>
          <w:spacing w:val="-8"/>
          <w:sz w:val="18"/>
        </w:rPr>
        <w:t> </w:t>
      </w:r>
      <w:r>
        <w:rPr>
          <w:rFonts w:ascii="Arial" w:hAnsi="Arial"/>
          <w:i/>
          <w:color w:val="231F20"/>
          <w:sz w:val="18"/>
        </w:rPr>
        <w:t>a</w:t>
      </w:r>
      <w:r>
        <w:rPr>
          <w:rFonts w:ascii="Arial" w:hAnsi="Arial"/>
          <w:i/>
          <w:color w:val="231F20"/>
          <w:spacing w:val="-8"/>
          <w:sz w:val="18"/>
        </w:rPr>
        <w:t> </w:t>
      </w:r>
      <w:r>
        <w:rPr>
          <w:rFonts w:ascii="Arial" w:hAnsi="Arial"/>
          <w:i/>
          <w:color w:val="231F20"/>
          <w:sz w:val="18"/>
        </w:rPr>
        <w:t>vender</w:t>
      </w:r>
      <w:r>
        <w:rPr>
          <w:rFonts w:ascii="Arial" w:hAnsi="Arial"/>
          <w:i/>
          <w:color w:val="231F20"/>
          <w:spacing w:val="-8"/>
          <w:sz w:val="18"/>
        </w:rPr>
        <w:t> </w:t>
      </w:r>
      <w:r>
        <w:rPr>
          <w:rFonts w:ascii="Arial" w:hAnsi="Arial"/>
          <w:i/>
          <w:color w:val="231F20"/>
          <w:sz w:val="18"/>
        </w:rPr>
        <w:t>a</w:t>
      </w:r>
      <w:r>
        <w:rPr>
          <w:rFonts w:ascii="Arial" w:hAnsi="Arial"/>
          <w:i/>
          <w:color w:val="231F20"/>
          <w:spacing w:val="-8"/>
          <w:sz w:val="18"/>
        </w:rPr>
        <w:t> </w:t>
      </w:r>
      <w:r>
        <w:rPr>
          <w:rFonts w:ascii="Arial" w:hAnsi="Arial"/>
          <w:i/>
          <w:color w:val="231F20"/>
          <w:sz w:val="18"/>
        </w:rPr>
        <w:t>Ixta- pan de la Sal. La señora salía con un burro cargado con varias canastas, vendía y luego regresaba a la casa de mis papás con pan. Me acuerdo que cuando veníamos a </w:t>
      </w:r>
      <w:r>
        <w:rPr>
          <w:rFonts w:ascii="Arial" w:hAnsi="Arial"/>
          <w:i/>
          <w:color w:val="231F20"/>
          <w:spacing w:val="-3"/>
          <w:sz w:val="18"/>
        </w:rPr>
        <w:t>Tonatico </w:t>
      </w:r>
      <w:r>
        <w:rPr>
          <w:rFonts w:ascii="Arial" w:hAnsi="Arial"/>
          <w:i/>
          <w:color w:val="231F20"/>
          <w:sz w:val="18"/>
        </w:rPr>
        <w:t>nos comíamos una torta de queso con chiles en vinagre. No había aquí quien vendiera frutas o tortillas. Los úni- cos refrescos que se conseguían eran unas aguas azucaradas que hacía un señor de Ixtapan. Recuerdo que cuando la gente iba al mercado de Ixtapan lo que hacían era trueque. Unos llevaban limas o chilacayotes, y otros guajes, naranjas y cebollas, o lo que diera la tierra en cada tempo- rada.</w:t>
      </w:r>
      <w:r>
        <w:rPr>
          <w:rFonts w:ascii="Arial" w:hAnsi="Arial"/>
          <w:i/>
          <w:color w:val="231F20"/>
          <w:spacing w:val="-12"/>
          <w:sz w:val="18"/>
        </w:rPr>
        <w:t> </w:t>
      </w:r>
      <w:r>
        <w:rPr>
          <w:rFonts w:ascii="Arial" w:hAnsi="Arial"/>
          <w:i/>
          <w:color w:val="231F20"/>
          <w:sz w:val="18"/>
        </w:rPr>
        <w:t>Eso</w:t>
      </w:r>
      <w:r>
        <w:rPr>
          <w:rFonts w:ascii="Arial" w:hAnsi="Arial"/>
          <w:i/>
          <w:color w:val="231F20"/>
          <w:spacing w:val="-6"/>
          <w:sz w:val="18"/>
        </w:rPr>
        <w:t> </w:t>
      </w:r>
      <w:r>
        <w:rPr>
          <w:rFonts w:ascii="Arial" w:hAnsi="Arial"/>
          <w:i/>
          <w:color w:val="231F20"/>
          <w:sz w:val="18"/>
        </w:rPr>
        <w:t>lo</w:t>
      </w:r>
      <w:r>
        <w:rPr>
          <w:rFonts w:ascii="Arial" w:hAnsi="Arial"/>
          <w:i/>
          <w:color w:val="231F20"/>
          <w:spacing w:val="-6"/>
          <w:sz w:val="18"/>
        </w:rPr>
        <w:t> </w:t>
      </w:r>
      <w:r>
        <w:rPr>
          <w:rFonts w:ascii="Arial" w:hAnsi="Arial"/>
          <w:i/>
          <w:color w:val="231F20"/>
          <w:sz w:val="18"/>
        </w:rPr>
        <w:t>vi</w:t>
      </w:r>
      <w:r>
        <w:rPr>
          <w:rFonts w:ascii="Arial" w:hAnsi="Arial"/>
          <w:i/>
          <w:color w:val="231F20"/>
          <w:spacing w:val="-6"/>
          <w:sz w:val="18"/>
        </w:rPr>
        <w:t> </w:t>
      </w:r>
      <w:r>
        <w:rPr>
          <w:rFonts w:ascii="Arial" w:hAnsi="Arial"/>
          <w:i/>
          <w:color w:val="231F20"/>
          <w:sz w:val="18"/>
        </w:rPr>
        <w:t>en</w:t>
      </w:r>
      <w:r>
        <w:rPr>
          <w:rFonts w:ascii="Arial" w:hAnsi="Arial"/>
          <w:i/>
          <w:color w:val="231F20"/>
          <w:spacing w:val="-6"/>
          <w:sz w:val="18"/>
        </w:rPr>
        <w:t> </w:t>
      </w:r>
      <w:r>
        <w:rPr>
          <w:rFonts w:ascii="Arial" w:hAnsi="Arial"/>
          <w:i/>
          <w:color w:val="231F20"/>
          <w:sz w:val="18"/>
        </w:rPr>
        <w:t>los</w:t>
      </w:r>
      <w:r>
        <w:rPr>
          <w:rFonts w:ascii="Arial" w:hAnsi="Arial"/>
          <w:i/>
          <w:color w:val="231F20"/>
          <w:spacing w:val="-6"/>
          <w:sz w:val="18"/>
        </w:rPr>
        <w:t> </w:t>
      </w:r>
      <w:r>
        <w:rPr>
          <w:rFonts w:ascii="Arial" w:hAnsi="Arial"/>
          <w:i/>
          <w:color w:val="231F20"/>
          <w:sz w:val="18"/>
        </w:rPr>
        <w:t>años</w:t>
      </w:r>
      <w:r>
        <w:rPr>
          <w:rFonts w:ascii="Arial" w:hAnsi="Arial"/>
          <w:i/>
          <w:color w:val="231F20"/>
          <w:spacing w:val="-6"/>
          <w:sz w:val="18"/>
        </w:rPr>
        <w:t> </w:t>
      </w:r>
      <w:r>
        <w:rPr>
          <w:rFonts w:ascii="Arial" w:hAnsi="Arial"/>
          <w:i/>
          <w:color w:val="231F20"/>
          <w:sz w:val="18"/>
        </w:rPr>
        <w:t>cincuenta</w:t>
      </w:r>
      <w:r>
        <w:rPr>
          <w:rFonts w:ascii="Arial" w:hAnsi="Arial"/>
          <w:i/>
          <w:color w:val="231F20"/>
          <w:spacing w:val="-6"/>
          <w:sz w:val="18"/>
        </w:rPr>
        <w:t> </w:t>
      </w:r>
      <w:r>
        <w:rPr>
          <w:rFonts w:ascii="Arial" w:hAnsi="Arial"/>
          <w:i/>
          <w:color w:val="231F20"/>
          <w:sz w:val="18"/>
        </w:rPr>
        <w:t>y</w:t>
      </w:r>
      <w:r>
        <w:rPr>
          <w:rFonts w:ascii="Arial" w:hAnsi="Arial"/>
          <w:i/>
          <w:color w:val="231F20"/>
          <w:spacing w:val="-6"/>
          <w:sz w:val="18"/>
        </w:rPr>
        <w:t> </w:t>
      </w:r>
      <w:r>
        <w:rPr>
          <w:rFonts w:ascii="Arial" w:hAnsi="Arial"/>
          <w:i/>
          <w:color w:val="231F20"/>
          <w:sz w:val="18"/>
        </w:rPr>
        <w:t>tal</w:t>
      </w:r>
      <w:r>
        <w:rPr>
          <w:rFonts w:ascii="Arial" w:hAnsi="Arial"/>
          <w:i/>
          <w:color w:val="231F20"/>
          <w:spacing w:val="-6"/>
          <w:sz w:val="18"/>
        </w:rPr>
        <w:t> </w:t>
      </w:r>
      <w:r>
        <w:rPr>
          <w:rFonts w:ascii="Arial" w:hAnsi="Arial"/>
          <w:i/>
          <w:color w:val="231F20"/>
          <w:sz w:val="18"/>
        </w:rPr>
        <w:t>vez</w:t>
      </w:r>
      <w:r>
        <w:rPr>
          <w:rFonts w:ascii="Arial" w:hAnsi="Arial"/>
          <w:i/>
          <w:color w:val="231F20"/>
          <w:spacing w:val="-6"/>
          <w:sz w:val="18"/>
        </w:rPr>
        <w:t> </w:t>
      </w:r>
      <w:r>
        <w:rPr>
          <w:rFonts w:ascii="Arial" w:hAnsi="Arial"/>
          <w:i/>
          <w:color w:val="231F20"/>
          <w:sz w:val="18"/>
        </w:rPr>
        <w:t>hasta</w:t>
      </w:r>
      <w:r>
        <w:rPr>
          <w:rFonts w:ascii="Arial" w:hAnsi="Arial"/>
          <w:i/>
          <w:color w:val="231F20"/>
          <w:spacing w:val="-6"/>
          <w:sz w:val="18"/>
        </w:rPr>
        <w:t> </w:t>
      </w:r>
      <w:r>
        <w:rPr>
          <w:rFonts w:ascii="Arial" w:hAnsi="Arial"/>
          <w:i/>
          <w:color w:val="231F20"/>
          <w:sz w:val="18"/>
        </w:rPr>
        <w:t>en</w:t>
      </w:r>
      <w:r>
        <w:rPr>
          <w:rFonts w:ascii="Arial" w:hAnsi="Arial"/>
          <w:i/>
          <w:color w:val="231F20"/>
          <w:spacing w:val="-6"/>
          <w:sz w:val="18"/>
        </w:rPr>
        <w:t> </w:t>
      </w:r>
      <w:r>
        <w:rPr>
          <w:rFonts w:ascii="Arial" w:hAnsi="Arial"/>
          <w:i/>
          <w:color w:val="231F20"/>
          <w:sz w:val="18"/>
        </w:rPr>
        <w:t>los</w:t>
      </w:r>
      <w:r>
        <w:rPr>
          <w:rFonts w:ascii="Arial" w:hAnsi="Arial"/>
          <w:i/>
          <w:color w:val="231F20"/>
          <w:spacing w:val="-6"/>
          <w:sz w:val="18"/>
        </w:rPr>
        <w:t> </w:t>
      </w:r>
      <w:r>
        <w:rPr>
          <w:rFonts w:ascii="Arial" w:hAnsi="Arial"/>
          <w:i/>
          <w:color w:val="231F20"/>
          <w:sz w:val="18"/>
        </w:rPr>
        <w:t>sesenta.</w:t>
      </w:r>
    </w:p>
    <w:p>
      <w:pPr>
        <w:spacing w:line="249" w:lineRule="auto" w:before="114"/>
        <w:ind w:left="2903" w:right="1721" w:firstLine="0"/>
        <w:jc w:val="both"/>
        <w:rPr>
          <w:rFonts w:ascii="Arial" w:hAnsi="Arial"/>
          <w:i/>
          <w:sz w:val="18"/>
        </w:rPr>
      </w:pPr>
      <w:r>
        <w:rPr>
          <w:rFonts w:ascii="Arial" w:hAnsi="Arial"/>
          <w:i/>
          <w:color w:val="231F20"/>
          <w:w w:val="105"/>
          <w:sz w:val="18"/>
        </w:rPr>
        <w:t>A</w:t>
      </w:r>
      <w:r>
        <w:rPr>
          <w:rFonts w:ascii="Arial" w:hAnsi="Arial"/>
          <w:i/>
          <w:color w:val="231F20"/>
          <w:spacing w:val="-21"/>
          <w:w w:val="105"/>
          <w:sz w:val="18"/>
        </w:rPr>
        <w:t> </w:t>
      </w:r>
      <w:r>
        <w:rPr>
          <w:rFonts w:ascii="Arial" w:hAnsi="Arial"/>
          <w:i/>
          <w:color w:val="231F20"/>
          <w:spacing w:val="-3"/>
          <w:w w:val="105"/>
          <w:sz w:val="18"/>
        </w:rPr>
        <w:t>Tonatico</w:t>
      </w:r>
      <w:r>
        <w:rPr>
          <w:rFonts w:ascii="Arial" w:hAnsi="Arial"/>
          <w:i/>
          <w:color w:val="231F20"/>
          <w:spacing w:val="-16"/>
          <w:w w:val="105"/>
          <w:sz w:val="18"/>
        </w:rPr>
        <w:t> </w:t>
      </w:r>
      <w:r>
        <w:rPr>
          <w:rFonts w:ascii="Arial" w:hAnsi="Arial"/>
          <w:i/>
          <w:color w:val="231F20"/>
          <w:w w:val="105"/>
          <w:sz w:val="18"/>
        </w:rPr>
        <w:t>nos</w:t>
      </w:r>
      <w:r>
        <w:rPr>
          <w:rFonts w:ascii="Arial" w:hAnsi="Arial"/>
          <w:i/>
          <w:color w:val="231F20"/>
          <w:spacing w:val="-16"/>
          <w:w w:val="105"/>
          <w:sz w:val="18"/>
        </w:rPr>
        <w:t> </w:t>
      </w:r>
      <w:r>
        <w:rPr>
          <w:rFonts w:ascii="Arial" w:hAnsi="Arial"/>
          <w:i/>
          <w:color w:val="231F20"/>
          <w:w w:val="105"/>
          <w:sz w:val="18"/>
        </w:rPr>
        <w:t>vinimos</w:t>
      </w:r>
      <w:r>
        <w:rPr>
          <w:rFonts w:ascii="Arial" w:hAnsi="Arial"/>
          <w:i/>
          <w:color w:val="231F20"/>
          <w:spacing w:val="-16"/>
          <w:w w:val="105"/>
          <w:sz w:val="18"/>
        </w:rPr>
        <w:t> </w:t>
      </w:r>
      <w:r>
        <w:rPr>
          <w:rFonts w:ascii="Arial" w:hAnsi="Arial"/>
          <w:i/>
          <w:color w:val="231F20"/>
          <w:w w:val="105"/>
          <w:sz w:val="18"/>
        </w:rPr>
        <w:t>en</w:t>
      </w:r>
      <w:r>
        <w:rPr>
          <w:rFonts w:ascii="Arial" w:hAnsi="Arial"/>
          <w:i/>
          <w:color w:val="231F20"/>
          <w:spacing w:val="-16"/>
          <w:w w:val="105"/>
          <w:sz w:val="18"/>
        </w:rPr>
        <w:t> </w:t>
      </w:r>
      <w:r>
        <w:rPr>
          <w:rFonts w:ascii="Arial" w:hAnsi="Arial"/>
          <w:i/>
          <w:color w:val="231F20"/>
          <w:w w:val="105"/>
          <w:sz w:val="18"/>
        </w:rPr>
        <w:t>1947.</w:t>
      </w:r>
      <w:r>
        <w:rPr>
          <w:rFonts w:ascii="Arial" w:hAnsi="Arial"/>
          <w:i/>
          <w:color w:val="231F20"/>
          <w:spacing w:val="-20"/>
          <w:w w:val="105"/>
          <w:sz w:val="18"/>
        </w:rPr>
        <w:t> </w:t>
      </w:r>
      <w:r>
        <w:rPr>
          <w:rFonts w:ascii="Arial" w:hAnsi="Arial"/>
          <w:i/>
          <w:color w:val="231F20"/>
          <w:w w:val="105"/>
          <w:sz w:val="18"/>
        </w:rPr>
        <w:t>Llegamos</w:t>
      </w:r>
      <w:r>
        <w:rPr>
          <w:rFonts w:ascii="Arial" w:hAnsi="Arial"/>
          <w:i/>
          <w:color w:val="231F20"/>
          <w:spacing w:val="-16"/>
          <w:w w:val="105"/>
          <w:sz w:val="18"/>
        </w:rPr>
        <w:t> </w:t>
      </w:r>
      <w:r>
        <w:rPr>
          <w:rFonts w:ascii="Arial" w:hAnsi="Arial"/>
          <w:i/>
          <w:color w:val="231F20"/>
          <w:w w:val="105"/>
          <w:sz w:val="18"/>
        </w:rPr>
        <w:t>a</w:t>
      </w:r>
      <w:r>
        <w:rPr>
          <w:rFonts w:ascii="Arial" w:hAnsi="Arial"/>
          <w:i/>
          <w:color w:val="231F20"/>
          <w:spacing w:val="-16"/>
          <w:w w:val="105"/>
          <w:sz w:val="18"/>
        </w:rPr>
        <w:t> </w:t>
      </w:r>
      <w:r>
        <w:rPr>
          <w:rFonts w:ascii="Arial" w:hAnsi="Arial"/>
          <w:i/>
          <w:color w:val="231F20"/>
          <w:w w:val="105"/>
          <w:sz w:val="18"/>
        </w:rPr>
        <w:t>esta</w:t>
      </w:r>
      <w:r>
        <w:rPr>
          <w:rFonts w:ascii="Arial" w:hAnsi="Arial"/>
          <w:i/>
          <w:color w:val="231F20"/>
          <w:spacing w:val="-16"/>
          <w:w w:val="105"/>
          <w:sz w:val="18"/>
        </w:rPr>
        <w:t> </w:t>
      </w:r>
      <w:r>
        <w:rPr>
          <w:rFonts w:ascii="Arial" w:hAnsi="Arial"/>
          <w:i/>
          <w:color w:val="231F20"/>
          <w:w w:val="105"/>
          <w:sz w:val="18"/>
        </w:rPr>
        <w:t>casa.</w:t>
      </w:r>
      <w:r>
        <w:rPr>
          <w:rFonts w:ascii="Arial" w:hAnsi="Arial"/>
          <w:i/>
          <w:color w:val="231F20"/>
          <w:spacing w:val="-20"/>
          <w:w w:val="105"/>
          <w:sz w:val="18"/>
        </w:rPr>
        <w:t> </w:t>
      </w:r>
      <w:r>
        <w:rPr>
          <w:rFonts w:ascii="Arial" w:hAnsi="Arial"/>
          <w:i/>
          <w:color w:val="231F20"/>
          <w:w w:val="105"/>
          <w:sz w:val="18"/>
        </w:rPr>
        <w:t>Mis</w:t>
      </w:r>
      <w:r>
        <w:rPr>
          <w:rFonts w:ascii="Arial" w:hAnsi="Arial"/>
          <w:i/>
          <w:color w:val="231F20"/>
          <w:spacing w:val="-16"/>
          <w:w w:val="105"/>
          <w:sz w:val="18"/>
        </w:rPr>
        <w:t> </w:t>
      </w:r>
      <w:r>
        <w:rPr>
          <w:rFonts w:ascii="Arial" w:hAnsi="Arial"/>
          <w:i/>
          <w:color w:val="231F20"/>
          <w:w w:val="105"/>
          <w:sz w:val="18"/>
        </w:rPr>
        <w:t>papás</w:t>
      </w:r>
      <w:r>
        <w:rPr>
          <w:rFonts w:ascii="Arial" w:hAnsi="Arial"/>
          <w:i/>
          <w:color w:val="231F20"/>
          <w:spacing w:val="-16"/>
          <w:w w:val="105"/>
          <w:sz w:val="18"/>
        </w:rPr>
        <w:t> </w:t>
      </w:r>
      <w:r>
        <w:rPr>
          <w:rFonts w:ascii="Arial" w:hAnsi="Arial"/>
          <w:i/>
          <w:color w:val="231F20"/>
          <w:w w:val="105"/>
          <w:sz w:val="18"/>
        </w:rPr>
        <w:t>estu- </w:t>
      </w:r>
      <w:r>
        <w:rPr>
          <w:rFonts w:ascii="Arial" w:hAnsi="Arial"/>
          <w:i/>
          <w:color w:val="231F20"/>
          <w:w w:val="105"/>
          <w:sz w:val="18"/>
        </w:rPr>
        <w:t>vieron</w:t>
      </w:r>
      <w:r>
        <w:rPr>
          <w:rFonts w:ascii="Arial" w:hAnsi="Arial"/>
          <w:i/>
          <w:color w:val="231F20"/>
          <w:spacing w:val="-9"/>
          <w:w w:val="105"/>
          <w:sz w:val="18"/>
        </w:rPr>
        <w:t> </w:t>
      </w:r>
      <w:r>
        <w:rPr>
          <w:rFonts w:ascii="Arial" w:hAnsi="Arial"/>
          <w:i/>
          <w:color w:val="231F20"/>
          <w:w w:val="105"/>
          <w:sz w:val="18"/>
        </w:rPr>
        <w:t>conmigo</w:t>
      </w:r>
      <w:r>
        <w:rPr>
          <w:rFonts w:ascii="Arial" w:hAnsi="Arial"/>
          <w:i/>
          <w:color w:val="231F20"/>
          <w:spacing w:val="-9"/>
          <w:w w:val="105"/>
          <w:sz w:val="18"/>
        </w:rPr>
        <w:t> </w:t>
      </w:r>
      <w:r>
        <w:rPr>
          <w:rFonts w:ascii="Arial" w:hAnsi="Arial"/>
          <w:i/>
          <w:color w:val="231F20"/>
          <w:w w:val="105"/>
          <w:sz w:val="18"/>
        </w:rPr>
        <w:t>todo</w:t>
      </w:r>
      <w:r>
        <w:rPr>
          <w:rFonts w:ascii="Arial" w:hAnsi="Arial"/>
          <w:i/>
          <w:color w:val="231F20"/>
          <w:spacing w:val="-9"/>
          <w:w w:val="105"/>
          <w:sz w:val="18"/>
        </w:rPr>
        <w:t> </w:t>
      </w:r>
      <w:r>
        <w:rPr>
          <w:rFonts w:ascii="Arial" w:hAnsi="Arial"/>
          <w:i/>
          <w:color w:val="231F20"/>
          <w:w w:val="105"/>
          <w:sz w:val="18"/>
        </w:rPr>
        <w:t>el</w:t>
      </w:r>
      <w:r>
        <w:rPr>
          <w:rFonts w:ascii="Arial" w:hAnsi="Arial"/>
          <w:i/>
          <w:color w:val="231F20"/>
          <w:spacing w:val="-9"/>
          <w:w w:val="105"/>
          <w:sz w:val="18"/>
        </w:rPr>
        <w:t> </w:t>
      </w:r>
      <w:r>
        <w:rPr>
          <w:rFonts w:ascii="Arial" w:hAnsi="Arial"/>
          <w:i/>
          <w:color w:val="231F20"/>
          <w:w w:val="105"/>
          <w:sz w:val="18"/>
        </w:rPr>
        <w:t>tiempo.</w:t>
      </w:r>
      <w:r>
        <w:rPr>
          <w:rFonts w:ascii="Arial" w:hAnsi="Arial"/>
          <w:i/>
          <w:color w:val="231F20"/>
          <w:spacing w:val="-14"/>
          <w:w w:val="105"/>
          <w:sz w:val="18"/>
        </w:rPr>
        <w:t> </w:t>
      </w:r>
      <w:r>
        <w:rPr>
          <w:rFonts w:ascii="Arial" w:hAnsi="Arial"/>
          <w:i/>
          <w:color w:val="231F20"/>
          <w:w w:val="105"/>
          <w:sz w:val="18"/>
        </w:rPr>
        <w:t>Mi</w:t>
      </w:r>
      <w:r>
        <w:rPr>
          <w:rFonts w:ascii="Arial" w:hAnsi="Arial"/>
          <w:i/>
          <w:color w:val="231F20"/>
          <w:spacing w:val="-9"/>
          <w:w w:val="105"/>
          <w:sz w:val="18"/>
        </w:rPr>
        <w:t> </w:t>
      </w:r>
      <w:r>
        <w:rPr>
          <w:rFonts w:ascii="Arial" w:hAnsi="Arial"/>
          <w:i/>
          <w:color w:val="231F20"/>
          <w:w w:val="105"/>
          <w:sz w:val="18"/>
        </w:rPr>
        <w:t>papá</w:t>
      </w:r>
      <w:r>
        <w:rPr>
          <w:rFonts w:ascii="Arial" w:hAnsi="Arial"/>
          <w:i/>
          <w:color w:val="231F20"/>
          <w:spacing w:val="-9"/>
          <w:w w:val="105"/>
          <w:sz w:val="18"/>
        </w:rPr>
        <w:t> </w:t>
      </w:r>
      <w:r>
        <w:rPr>
          <w:rFonts w:ascii="Arial" w:hAnsi="Arial"/>
          <w:i/>
          <w:color w:val="231F20"/>
          <w:w w:val="105"/>
          <w:sz w:val="18"/>
        </w:rPr>
        <w:t>murió</w:t>
      </w:r>
      <w:r>
        <w:rPr>
          <w:rFonts w:ascii="Arial" w:hAnsi="Arial"/>
          <w:i/>
          <w:color w:val="231F20"/>
          <w:spacing w:val="-9"/>
          <w:w w:val="105"/>
          <w:sz w:val="18"/>
        </w:rPr>
        <w:t> </w:t>
      </w:r>
      <w:r>
        <w:rPr>
          <w:rFonts w:ascii="Arial" w:hAnsi="Arial"/>
          <w:i/>
          <w:color w:val="231F20"/>
          <w:w w:val="105"/>
          <w:sz w:val="18"/>
        </w:rPr>
        <w:t>en</w:t>
      </w:r>
      <w:r>
        <w:rPr>
          <w:rFonts w:ascii="Arial" w:hAnsi="Arial"/>
          <w:i/>
          <w:color w:val="231F20"/>
          <w:spacing w:val="-9"/>
          <w:w w:val="105"/>
          <w:sz w:val="18"/>
        </w:rPr>
        <w:t> </w:t>
      </w:r>
      <w:r>
        <w:rPr>
          <w:rFonts w:ascii="Arial" w:hAnsi="Arial"/>
          <w:i/>
          <w:color w:val="231F20"/>
          <w:w w:val="105"/>
          <w:sz w:val="18"/>
        </w:rPr>
        <w:t>1979,</w:t>
      </w:r>
      <w:r>
        <w:rPr>
          <w:rFonts w:ascii="Arial" w:hAnsi="Arial"/>
          <w:i/>
          <w:color w:val="231F20"/>
          <w:spacing w:val="-14"/>
          <w:w w:val="105"/>
          <w:sz w:val="18"/>
        </w:rPr>
        <w:t> </w:t>
      </w:r>
      <w:r>
        <w:rPr>
          <w:rFonts w:ascii="Arial" w:hAnsi="Arial"/>
          <w:i/>
          <w:color w:val="231F20"/>
          <w:w w:val="105"/>
          <w:sz w:val="18"/>
        </w:rPr>
        <w:t>tenía</w:t>
      </w:r>
      <w:r>
        <w:rPr>
          <w:rFonts w:ascii="Arial" w:hAnsi="Arial"/>
          <w:i/>
          <w:color w:val="231F20"/>
          <w:spacing w:val="-9"/>
          <w:w w:val="105"/>
          <w:sz w:val="18"/>
        </w:rPr>
        <w:t> </w:t>
      </w:r>
      <w:r>
        <w:rPr>
          <w:rFonts w:ascii="Arial" w:hAnsi="Arial"/>
          <w:i/>
          <w:color w:val="231F20"/>
          <w:w w:val="105"/>
          <w:sz w:val="18"/>
        </w:rPr>
        <w:t>noventa</w:t>
      </w:r>
      <w:r>
        <w:rPr>
          <w:rFonts w:ascii="Arial" w:hAnsi="Arial"/>
          <w:i/>
          <w:color w:val="231F20"/>
          <w:spacing w:val="-9"/>
          <w:w w:val="105"/>
          <w:sz w:val="18"/>
        </w:rPr>
        <w:t> </w:t>
      </w:r>
      <w:r>
        <w:rPr>
          <w:rFonts w:ascii="Arial" w:hAnsi="Arial"/>
          <w:i/>
          <w:color w:val="231F20"/>
          <w:w w:val="105"/>
          <w:sz w:val="18"/>
        </w:rPr>
        <w:t>y cinco</w:t>
      </w:r>
      <w:r>
        <w:rPr>
          <w:rFonts w:ascii="Arial" w:hAnsi="Arial"/>
          <w:i/>
          <w:color w:val="231F20"/>
          <w:spacing w:val="-9"/>
          <w:w w:val="105"/>
          <w:sz w:val="18"/>
        </w:rPr>
        <w:t> </w:t>
      </w:r>
      <w:r>
        <w:rPr>
          <w:rFonts w:ascii="Arial" w:hAnsi="Arial"/>
          <w:i/>
          <w:color w:val="231F20"/>
          <w:w w:val="105"/>
          <w:sz w:val="18"/>
        </w:rPr>
        <w:t>años,</w:t>
      </w:r>
      <w:r>
        <w:rPr>
          <w:rFonts w:ascii="Arial" w:hAnsi="Arial"/>
          <w:i/>
          <w:color w:val="231F20"/>
          <w:spacing w:val="-13"/>
          <w:w w:val="105"/>
          <w:sz w:val="18"/>
        </w:rPr>
        <w:t> </w:t>
      </w:r>
      <w:r>
        <w:rPr>
          <w:rFonts w:ascii="Arial" w:hAnsi="Arial"/>
          <w:i/>
          <w:color w:val="231F20"/>
          <w:w w:val="105"/>
          <w:sz w:val="18"/>
        </w:rPr>
        <w:t>y</w:t>
      </w:r>
      <w:r>
        <w:rPr>
          <w:rFonts w:ascii="Arial" w:hAnsi="Arial"/>
          <w:i/>
          <w:color w:val="231F20"/>
          <w:spacing w:val="-9"/>
          <w:w w:val="105"/>
          <w:sz w:val="18"/>
        </w:rPr>
        <w:t> </w:t>
      </w:r>
      <w:r>
        <w:rPr>
          <w:rFonts w:ascii="Arial" w:hAnsi="Arial"/>
          <w:i/>
          <w:color w:val="231F20"/>
          <w:w w:val="105"/>
          <w:sz w:val="18"/>
        </w:rPr>
        <w:t>mi</w:t>
      </w:r>
      <w:r>
        <w:rPr>
          <w:rFonts w:ascii="Arial" w:hAnsi="Arial"/>
          <w:i/>
          <w:color w:val="231F20"/>
          <w:spacing w:val="-9"/>
          <w:w w:val="105"/>
          <w:sz w:val="18"/>
        </w:rPr>
        <w:t> </w:t>
      </w:r>
      <w:r>
        <w:rPr>
          <w:rFonts w:ascii="Arial" w:hAnsi="Arial"/>
          <w:i/>
          <w:color w:val="231F20"/>
          <w:w w:val="105"/>
          <w:sz w:val="18"/>
        </w:rPr>
        <w:t>mamá</w:t>
      </w:r>
      <w:r>
        <w:rPr>
          <w:rFonts w:ascii="Arial" w:hAnsi="Arial"/>
          <w:i/>
          <w:color w:val="231F20"/>
          <w:spacing w:val="-9"/>
          <w:w w:val="105"/>
          <w:sz w:val="18"/>
        </w:rPr>
        <w:t> </w:t>
      </w:r>
      <w:r>
        <w:rPr>
          <w:rFonts w:ascii="Arial" w:hAnsi="Arial"/>
          <w:i/>
          <w:color w:val="231F20"/>
          <w:w w:val="105"/>
          <w:sz w:val="18"/>
        </w:rPr>
        <w:t>murió</w:t>
      </w:r>
      <w:r>
        <w:rPr>
          <w:rFonts w:ascii="Arial" w:hAnsi="Arial"/>
          <w:i/>
          <w:color w:val="231F20"/>
          <w:spacing w:val="-9"/>
          <w:w w:val="105"/>
          <w:sz w:val="18"/>
        </w:rPr>
        <w:t> </w:t>
      </w:r>
      <w:r>
        <w:rPr>
          <w:rFonts w:ascii="Arial" w:hAnsi="Arial"/>
          <w:i/>
          <w:color w:val="231F20"/>
          <w:w w:val="105"/>
          <w:sz w:val="18"/>
        </w:rPr>
        <w:t>diez</w:t>
      </w:r>
      <w:r>
        <w:rPr>
          <w:rFonts w:ascii="Arial" w:hAnsi="Arial"/>
          <w:i/>
          <w:color w:val="231F20"/>
          <w:spacing w:val="-9"/>
          <w:w w:val="105"/>
          <w:sz w:val="18"/>
        </w:rPr>
        <w:t> </w:t>
      </w:r>
      <w:r>
        <w:rPr>
          <w:rFonts w:ascii="Arial" w:hAnsi="Arial"/>
          <w:i/>
          <w:color w:val="231F20"/>
          <w:w w:val="105"/>
          <w:sz w:val="18"/>
        </w:rPr>
        <w:t>años</w:t>
      </w:r>
      <w:r>
        <w:rPr>
          <w:rFonts w:ascii="Arial" w:hAnsi="Arial"/>
          <w:i/>
          <w:color w:val="231F20"/>
          <w:spacing w:val="-9"/>
          <w:w w:val="105"/>
          <w:sz w:val="18"/>
        </w:rPr>
        <w:t> </w:t>
      </w:r>
      <w:r>
        <w:rPr>
          <w:rFonts w:ascii="Arial" w:hAnsi="Arial"/>
          <w:i/>
          <w:color w:val="231F20"/>
          <w:w w:val="105"/>
          <w:sz w:val="18"/>
        </w:rPr>
        <w:t>después</w:t>
      </w:r>
      <w:r>
        <w:rPr>
          <w:rFonts w:ascii="Arial" w:hAnsi="Arial"/>
          <w:i/>
          <w:color w:val="231F20"/>
          <w:spacing w:val="-9"/>
          <w:w w:val="105"/>
          <w:sz w:val="18"/>
        </w:rPr>
        <w:t> </w:t>
      </w:r>
      <w:r>
        <w:rPr>
          <w:rFonts w:ascii="Arial" w:hAnsi="Arial"/>
          <w:i/>
          <w:color w:val="231F20"/>
          <w:w w:val="105"/>
          <w:sz w:val="18"/>
        </w:rPr>
        <w:t>a</w:t>
      </w:r>
      <w:r>
        <w:rPr>
          <w:rFonts w:ascii="Arial" w:hAnsi="Arial"/>
          <w:i/>
          <w:color w:val="231F20"/>
          <w:spacing w:val="-9"/>
          <w:w w:val="105"/>
          <w:sz w:val="18"/>
        </w:rPr>
        <w:t> </w:t>
      </w:r>
      <w:r>
        <w:rPr>
          <w:rFonts w:ascii="Arial" w:hAnsi="Arial"/>
          <w:i/>
          <w:color w:val="231F20"/>
          <w:w w:val="105"/>
          <w:sz w:val="18"/>
        </w:rPr>
        <w:t>los</w:t>
      </w:r>
      <w:r>
        <w:rPr>
          <w:rFonts w:ascii="Arial" w:hAnsi="Arial"/>
          <w:i/>
          <w:color w:val="231F20"/>
          <w:spacing w:val="-9"/>
          <w:w w:val="105"/>
          <w:sz w:val="18"/>
        </w:rPr>
        <w:t> </w:t>
      </w:r>
      <w:r>
        <w:rPr>
          <w:rFonts w:ascii="Arial" w:hAnsi="Arial"/>
          <w:i/>
          <w:color w:val="231F20"/>
          <w:w w:val="105"/>
          <w:sz w:val="18"/>
        </w:rPr>
        <w:t>ciento</w:t>
      </w:r>
      <w:r>
        <w:rPr>
          <w:rFonts w:ascii="Arial" w:hAnsi="Arial"/>
          <w:i/>
          <w:color w:val="231F20"/>
          <w:spacing w:val="-9"/>
          <w:w w:val="105"/>
          <w:sz w:val="18"/>
        </w:rPr>
        <w:t> </w:t>
      </w:r>
      <w:r>
        <w:rPr>
          <w:rFonts w:ascii="Arial" w:hAnsi="Arial"/>
          <w:i/>
          <w:color w:val="231F20"/>
          <w:w w:val="105"/>
          <w:sz w:val="18"/>
        </w:rPr>
        <w:t>uno.</w:t>
      </w:r>
      <w:r>
        <w:rPr>
          <w:rFonts w:ascii="Arial" w:hAnsi="Arial"/>
          <w:i/>
          <w:color w:val="231F20"/>
          <w:spacing w:val="-17"/>
          <w:w w:val="105"/>
          <w:sz w:val="18"/>
        </w:rPr>
        <w:t> </w:t>
      </w:r>
      <w:r>
        <w:rPr>
          <w:rFonts w:ascii="Arial" w:hAnsi="Arial"/>
          <w:i/>
          <w:color w:val="231F20"/>
          <w:spacing w:val="-7"/>
          <w:w w:val="105"/>
          <w:sz w:val="18"/>
        </w:rPr>
        <w:t>Yo</w:t>
      </w:r>
      <w:r>
        <w:rPr>
          <w:rFonts w:ascii="Arial" w:hAnsi="Arial"/>
          <w:i/>
          <w:color w:val="231F20"/>
          <w:spacing w:val="-9"/>
          <w:w w:val="105"/>
          <w:sz w:val="18"/>
        </w:rPr>
        <w:t> </w:t>
      </w:r>
      <w:r>
        <w:rPr>
          <w:rFonts w:ascii="Arial" w:hAnsi="Arial"/>
          <w:i/>
          <w:color w:val="231F20"/>
          <w:w w:val="105"/>
          <w:sz w:val="18"/>
        </w:rPr>
        <w:t>vi por</w:t>
      </w:r>
      <w:r>
        <w:rPr>
          <w:rFonts w:ascii="Arial" w:hAnsi="Arial"/>
          <w:i/>
          <w:color w:val="231F20"/>
          <w:spacing w:val="-16"/>
          <w:w w:val="105"/>
          <w:sz w:val="18"/>
        </w:rPr>
        <w:t> </w:t>
      </w:r>
      <w:r>
        <w:rPr>
          <w:rFonts w:ascii="Arial" w:hAnsi="Arial"/>
          <w:i/>
          <w:color w:val="231F20"/>
          <w:w w:val="105"/>
          <w:sz w:val="18"/>
        </w:rPr>
        <w:t>ellos</w:t>
      </w:r>
      <w:r>
        <w:rPr>
          <w:rFonts w:ascii="Arial" w:hAnsi="Arial"/>
          <w:i/>
          <w:color w:val="231F20"/>
          <w:spacing w:val="-16"/>
          <w:w w:val="105"/>
          <w:sz w:val="18"/>
        </w:rPr>
        <w:t> </w:t>
      </w:r>
      <w:r>
        <w:rPr>
          <w:rFonts w:ascii="Arial" w:hAnsi="Arial"/>
          <w:i/>
          <w:color w:val="231F20"/>
          <w:w w:val="105"/>
          <w:sz w:val="18"/>
        </w:rPr>
        <w:t>hasta</w:t>
      </w:r>
      <w:r>
        <w:rPr>
          <w:rFonts w:ascii="Arial" w:hAnsi="Arial"/>
          <w:i/>
          <w:color w:val="231F20"/>
          <w:spacing w:val="-16"/>
          <w:w w:val="105"/>
          <w:sz w:val="18"/>
        </w:rPr>
        <w:t> </w:t>
      </w:r>
      <w:r>
        <w:rPr>
          <w:rFonts w:ascii="Arial" w:hAnsi="Arial"/>
          <w:i/>
          <w:color w:val="231F20"/>
          <w:w w:val="105"/>
          <w:sz w:val="18"/>
        </w:rPr>
        <w:t>su</w:t>
      </w:r>
      <w:r>
        <w:rPr>
          <w:rFonts w:ascii="Arial" w:hAnsi="Arial"/>
          <w:i/>
          <w:color w:val="231F20"/>
          <w:spacing w:val="-16"/>
          <w:w w:val="105"/>
          <w:sz w:val="18"/>
        </w:rPr>
        <w:t> </w:t>
      </w:r>
      <w:r>
        <w:rPr>
          <w:rFonts w:ascii="Arial" w:hAnsi="Arial"/>
          <w:i/>
          <w:color w:val="231F20"/>
          <w:w w:val="105"/>
          <w:sz w:val="18"/>
        </w:rPr>
        <w:t>último</w:t>
      </w:r>
      <w:r>
        <w:rPr>
          <w:rFonts w:ascii="Arial" w:hAnsi="Arial"/>
          <w:i/>
          <w:color w:val="231F20"/>
          <w:spacing w:val="-16"/>
          <w:w w:val="105"/>
          <w:sz w:val="18"/>
        </w:rPr>
        <w:t> </w:t>
      </w:r>
      <w:r>
        <w:rPr>
          <w:rFonts w:ascii="Arial" w:hAnsi="Arial"/>
          <w:i/>
          <w:color w:val="231F20"/>
          <w:w w:val="105"/>
          <w:sz w:val="18"/>
        </w:rPr>
        <w:t>día,</w:t>
      </w:r>
      <w:r>
        <w:rPr>
          <w:rFonts w:ascii="Arial" w:hAnsi="Arial"/>
          <w:i/>
          <w:color w:val="231F20"/>
          <w:spacing w:val="-19"/>
          <w:w w:val="105"/>
          <w:sz w:val="18"/>
        </w:rPr>
        <w:t> </w:t>
      </w:r>
      <w:r>
        <w:rPr>
          <w:rFonts w:ascii="Arial" w:hAnsi="Arial"/>
          <w:i/>
          <w:color w:val="231F20"/>
          <w:w w:val="105"/>
          <w:sz w:val="18"/>
        </w:rPr>
        <w:t>y</w:t>
      </w:r>
      <w:r>
        <w:rPr>
          <w:rFonts w:ascii="Arial" w:hAnsi="Arial"/>
          <w:i/>
          <w:color w:val="231F20"/>
          <w:spacing w:val="-16"/>
          <w:w w:val="105"/>
          <w:sz w:val="18"/>
        </w:rPr>
        <w:t> </w:t>
      </w:r>
      <w:r>
        <w:rPr>
          <w:rFonts w:ascii="Arial" w:hAnsi="Arial"/>
          <w:i/>
          <w:color w:val="231F20"/>
          <w:w w:val="105"/>
          <w:sz w:val="18"/>
        </w:rPr>
        <w:t>las</w:t>
      </w:r>
      <w:r>
        <w:rPr>
          <w:rFonts w:ascii="Arial" w:hAnsi="Arial"/>
          <w:i/>
          <w:color w:val="231F20"/>
          <w:spacing w:val="-16"/>
          <w:w w:val="105"/>
          <w:sz w:val="18"/>
        </w:rPr>
        <w:t> </w:t>
      </w:r>
      <w:r>
        <w:rPr>
          <w:rFonts w:ascii="Arial" w:hAnsi="Arial"/>
          <w:i/>
          <w:color w:val="231F20"/>
          <w:w w:val="105"/>
          <w:sz w:val="18"/>
        </w:rPr>
        <w:t>tierras</w:t>
      </w:r>
      <w:r>
        <w:rPr>
          <w:rFonts w:ascii="Arial" w:hAnsi="Arial"/>
          <w:i/>
          <w:color w:val="231F20"/>
          <w:spacing w:val="-16"/>
          <w:w w:val="105"/>
          <w:sz w:val="18"/>
        </w:rPr>
        <w:t> </w:t>
      </w:r>
      <w:r>
        <w:rPr>
          <w:rFonts w:ascii="Arial" w:hAnsi="Arial"/>
          <w:i/>
          <w:color w:val="231F20"/>
          <w:w w:val="105"/>
          <w:sz w:val="18"/>
        </w:rPr>
        <w:t>que</w:t>
      </w:r>
      <w:r>
        <w:rPr>
          <w:rFonts w:ascii="Arial" w:hAnsi="Arial"/>
          <w:i/>
          <w:color w:val="231F20"/>
          <w:spacing w:val="-16"/>
          <w:w w:val="105"/>
          <w:sz w:val="18"/>
        </w:rPr>
        <w:t> </w:t>
      </w:r>
      <w:r>
        <w:rPr>
          <w:rFonts w:ascii="Arial" w:hAnsi="Arial"/>
          <w:i/>
          <w:color w:val="231F20"/>
          <w:w w:val="105"/>
          <w:sz w:val="18"/>
        </w:rPr>
        <w:t>trabajé</w:t>
      </w:r>
      <w:r>
        <w:rPr>
          <w:rFonts w:ascii="Arial" w:hAnsi="Arial"/>
          <w:i/>
          <w:color w:val="231F20"/>
          <w:spacing w:val="-16"/>
          <w:w w:val="105"/>
          <w:sz w:val="18"/>
        </w:rPr>
        <w:t> </w:t>
      </w:r>
      <w:r>
        <w:rPr>
          <w:rFonts w:ascii="Arial" w:hAnsi="Arial"/>
          <w:i/>
          <w:color w:val="231F20"/>
          <w:w w:val="105"/>
          <w:sz w:val="18"/>
        </w:rPr>
        <w:t>con</w:t>
      </w:r>
      <w:r>
        <w:rPr>
          <w:rFonts w:ascii="Arial" w:hAnsi="Arial"/>
          <w:i/>
          <w:color w:val="231F20"/>
          <w:spacing w:val="-16"/>
          <w:w w:val="105"/>
          <w:sz w:val="18"/>
        </w:rPr>
        <w:t> </w:t>
      </w:r>
      <w:r>
        <w:rPr>
          <w:rFonts w:ascii="Arial" w:hAnsi="Arial"/>
          <w:i/>
          <w:color w:val="231F20"/>
          <w:w w:val="105"/>
          <w:sz w:val="18"/>
        </w:rPr>
        <w:t>mi</w:t>
      </w:r>
      <w:r>
        <w:rPr>
          <w:rFonts w:ascii="Arial" w:hAnsi="Arial"/>
          <w:i/>
          <w:color w:val="231F20"/>
          <w:spacing w:val="-16"/>
          <w:w w:val="105"/>
          <w:sz w:val="18"/>
        </w:rPr>
        <w:t> </w:t>
      </w:r>
      <w:r>
        <w:rPr>
          <w:rFonts w:ascii="Arial" w:hAnsi="Arial"/>
          <w:i/>
          <w:color w:val="231F20"/>
          <w:w w:val="105"/>
          <w:sz w:val="18"/>
        </w:rPr>
        <w:t>papá</w:t>
      </w:r>
      <w:r>
        <w:rPr>
          <w:rFonts w:ascii="Arial" w:hAnsi="Arial"/>
          <w:i/>
          <w:color w:val="231F20"/>
          <w:spacing w:val="-16"/>
          <w:w w:val="105"/>
          <w:sz w:val="18"/>
        </w:rPr>
        <w:t> </w:t>
      </w:r>
      <w:r>
        <w:rPr>
          <w:rFonts w:ascii="Arial" w:hAnsi="Arial"/>
          <w:i/>
          <w:color w:val="231F20"/>
          <w:w w:val="105"/>
          <w:sz w:val="18"/>
        </w:rPr>
        <w:t>—que pertenecen</w:t>
      </w:r>
      <w:r>
        <w:rPr>
          <w:rFonts w:ascii="Arial" w:hAnsi="Arial"/>
          <w:i/>
          <w:color w:val="231F20"/>
          <w:spacing w:val="-18"/>
          <w:w w:val="105"/>
          <w:sz w:val="18"/>
        </w:rPr>
        <w:t> </w:t>
      </w:r>
      <w:r>
        <w:rPr>
          <w:rFonts w:ascii="Arial" w:hAnsi="Arial"/>
          <w:i/>
          <w:color w:val="231F20"/>
          <w:w w:val="105"/>
          <w:sz w:val="18"/>
        </w:rPr>
        <w:t>al</w:t>
      </w:r>
      <w:r>
        <w:rPr>
          <w:rFonts w:ascii="Arial" w:hAnsi="Arial"/>
          <w:i/>
          <w:color w:val="231F20"/>
          <w:spacing w:val="-18"/>
          <w:w w:val="105"/>
          <w:sz w:val="18"/>
        </w:rPr>
        <w:t> </w:t>
      </w:r>
      <w:r>
        <w:rPr>
          <w:rFonts w:ascii="Arial" w:hAnsi="Arial"/>
          <w:i/>
          <w:color w:val="231F20"/>
          <w:w w:val="105"/>
          <w:sz w:val="18"/>
        </w:rPr>
        <w:t>ejido</w:t>
      </w:r>
      <w:r>
        <w:rPr>
          <w:rFonts w:ascii="Arial" w:hAnsi="Arial"/>
          <w:i/>
          <w:color w:val="231F20"/>
          <w:spacing w:val="-18"/>
          <w:w w:val="105"/>
          <w:sz w:val="18"/>
        </w:rPr>
        <w:t> </w:t>
      </w:r>
      <w:r>
        <w:rPr>
          <w:rFonts w:ascii="Arial" w:hAnsi="Arial"/>
          <w:i/>
          <w:color w:val="231F20"/>
          <w:w w:val="105"/>
          <w:sz w:val="18"/>
        </w:rPr>
        <w:t>del</w:t>
      </w:r>
      <w:r>
        <w:rPr>
          <w:rFonts w:ascii="Arial" w:hAnsi="Arial"/>
          <w:i/>
          <w:color w:val="231F20"/>
          <w:spacing w:val="-21"/>
          <w:w w:val="105"/>
          <w:sz w:val="18"/>
        </w:rPr>
        <w:t> </w:t>
      </w:r>
      <w:r>
        <w:rPr>
          <w:rFonts w:ascii="Arial" w:hAnsi="Arial"/>
          <w:i/>
          <w:color w:val="231F20"/>
          <w:spacing w:val="-3"/>
          <w:w w:val="105"/>
          <w:sz w:val="18"/>
        </w:rPr>
        <w:t>Terrero—</w:t>
      </w:r>
      <w:r>
        <w:rPr>
          <w:rFonts w:ascii="Arial" w:hAnsi="Arial"/>
          <w:i/>
          <w:color w:val="231F20"/>
          <w:spacing w:val="-18"/>
          <w:w w:val="105"/>
          <w:sz w:val="18"/>
        </w:rPr>
        <w:t> </w:t>
      </w:r>
      <w:r>
        <w:rPr>
          <w:rFonts w:ascii="Arial" w:hAnsi="Arial"/>
          <w:i/>
          <w:color w:val="231F20"/>
          <w:w w:val="105"/>
          <w:sz w:val="18"/>
        </w:rPr>
        <w:t>son</w:t>
      </w:r>
      <w:r>
        <w:rPr>
          <w:rFonts w:ascii="Arial" w:hAnsi="Arial"/>
          <w:i/>
          <w:color w:val="231F20"/>
          <w:spacing w:val="-18"/>
          <w:w w:val="105"/>
          <w:sz w:val="18"/>
        </w:rPr>
        <w:t> </w:t>
      </w:r>
      <w:r>
        <w:rPr>
          <w:rFonts w:ascii="Arial" w:hAnsi="Arial"/>
          <w:i/>
          <w:color w:val="231F20"/>
          <w:w w:val="105"/>
          <w:sz w:val="18"/>
        </w:rPr>
        <w:t>las</w:t>
      </w:r>
      <w:r>
        <w:rPr>
          <w:rFonts w:ascii="Arial" w:hAnsi="Arial"/>
          <w:i/>
          <w:color w:val="231F20"/>
          <w:spacing w:val="-18"/>
          <w:w w:val="105"/>
          <w:sz w:val="18"/>
        </w:rPr>
        <w:t> </w:t>
      </w:r>
      <w:r>
        <w:rPr>
          <w:rFonts w:ascii="Arial" w:hAnsi="Arial"/>
          <w:i/>
          <w:color w:val="231F20"/>
          <w:w w:val="105"/>
          <w:sz w:val="18"/>
        </w:rPr>
        <w:t>mismas</w:t>
      </w:r>
      <w:r>
        <w:rPr>
          <w:rFonts w:ascii="Arial" w:hAnsi="Arial"/>
          <w:i/>
          <w:color w:val="231F20"/>
          <w:spacing w:val="-18"/>
          <w:w w:val="105"/>
          <w:sz w:val="18"/>
        </w:rPr>
        <w:t> </w:t>
      </w:r>
      <w:r>
        <w:rPr>
          <w:rFonts w:ascii="Arial" w:hAnsi="Arial"/>
          <w:i/>
          <w:color w:val="231F20"/>
          <w:w w:val="105"/>
          <w:sz w:val="18"/>
        </w:rPr>
        <w:t>que</w:t>
      </w:r>
      <w:r>
        <w:rPr>
          <w:rFonts w:ascii="Arial" w:hAnsi="Arial"/>
          <w:i/>
          <w:color w:val="231F20"/>
          <w:spacing w:val="-18"/>
          <w:w w:val="105"/>
          <w:sz w:val="18"/>
        </w:rPr>
        <w:t> </w:t>
      </w:r>
      <w:r>
        <w:rPr>
          <w:rFonts w:ascii="Arial" w:hAnsi="Arial"/>
          <w:i/>
          <w:color w:val="231F20"/>
          <w:w w:val="105"/>
          <w:sz w:val="18"/>
        </w:rPr>
        <w:t>yo</w:t>
      </w:r>
      <w:r>
        <w:rPr>
          <w:rFonts w:ascii="Arial" w:hAnsi="Arial"/>
          <w:i/>
          <w:color w:val="231F20"/>
          <w:spacing w:val="-18"/>
          <w:w w:val="105"/>
          <w:sz w:val="18"/>
        </w:rPr>
        <w:t> </w:t>
      </w:r>
      <w:r>
        <w:rPr>
          <w:rFonts w:ascii="Arial" w:hAnsi="Arial"/>
          <w:i/>
          <w:color w:val="231F20"/>
          <w:w w:val="105"/>
          <w:sz w:val="18"/>
        </w:rPr>
        <w:t>trabajo</w:t>
      </w:r>
      <w:r>
        <w:rPr>
          <w:rFonts w:ascii="Arial" w:hAnsi="Arial"/>
          <w:i/>
          <w:color w:val="231F20"/>
          <w:spacing w:val="-18"/>
          <w:w w:val="105"/>
          <w:sz w:val="18"/>
        </w:rPr>
        <w:t> </w:t>
      </w:r>
      <w:r>
        <w:rPr>
          <w:rFonts w:ascii="Arial" w:hAnsi="Arial"/>
          <w:i/>
          <w:color w:val="231F20"/>
          <w:w w:val="105"/>
          <w:sz w:val="18"/>
        </w:rPr>
        <w:t>hasta</w:t>
      </w:r>
      <w:r>
        <w:rPr>
          <w:rFonts w:ascii="Arial" w:hAnsi="Arial"/>
          <w:i/>
          <w:color w:val="231F20"/>
          <w:spacing w:val="-18"/>
          <w:w w:val="105"/>
          <w:sz w:val="18"/>
        </w:rPr>
        <w:t> </w:t>
      </w:r>
      <w:r>
        <w:rPr>
          <w:rFonts w:ascii="Arial" w:hAnsi="Arial"/>
          <w:i/>
          <w:color w:val="231F20"/>
          <w:w w:val="105"/>
          <w:sz w:val="18"/>
        </w:rPr>
        <w:t>el día</w:t>
      </w:r>
      <w:r>
        <w:rPr>
          <w:rFonts w:ascii="Arial" w:hAnsi="Arial"/>
          <w:i/>
          <w:color w:val="231F20"/>
          <w:spacing w:val="-18"/>
          <w:w w:val="105"/>
          <w:sz w:val="18"/>
        </w:rPr>
        <w:t> </w:t>
      </w:r>
      <w:r>
        <w:rPr>
          <w:rFonts w:ascii="Arial" w:hAnsi="Arial"/>
          <w:i/>
          <w:color w:val="231F20"/>
          <w:w w:val="105"/>
          <w:sz w:val="18"/>
        </w:rPr>
        <w:t>de</w:t>
      </w:r>
      <w:r>
        <w:rPr>
          <w:rFonts w:ascii="Arial" w:hAnsi="Arial"/>
          <w:i/>
          <w:color w:val="231F20"/>
          <w:spacing w:val="-18"/>
          <w:w w:val="105"/>
          <w:sz w:val="18"/>
        </w:rPr>
        <w:t> </w:t>
      </w:r>
      <w:r>
        <w:rPr>
          <w:rFonts w:ascii="Arial" w:hAnsi="Arial"/>
          <w:i/>
          <w:color w:val="231F20"/>
          <w:w w:val="105"/>
          <w:sz w:val="18"/>
        </w:rPr>
        <w:t>hoy.</w:t>
      </w:r>
      <w:r>
        <w:rPr>
          <w:rFonts w:ascii="Arial" w:hAnsi="Arial"/>
          <w:i/>
          <w:color w:val="231F20"/>
          <w:spacing w:val="-22"/>
          <w:w w:val="105"/>
          <w:sz w:val="18"/>
        </w:rPr>
        <w:t> </w:t>
      </w:r>
      <w:r>
        <w:rPr>
          <w:rFonts w:ascii="Arial" w:hAnsi="Arial"/>
          <w:i/>
          <w:color w:val="231F20"/>
          <w:w w:val="105"/>
          <w:sz w:val="18"/>
        </w:rPr>
        <w:t>Cuando</w:t>
      </w:r>
      <w:r>
        <w:rPr>
          <w:rFonts w:ascii="Arial" w:hAnsi="Arial"/>
          <w:i/>
          <w:color w:val="231F20"/>
          <w:spacing w:val="-18"/>
          <w:w w:val="105"/>
          <w:sz w:val="18"/>
        </w:rPr>
        <w:t> </w:t>
      </w:r>
      <w:r>
        <w:rPr>
          <w:rFonts w:ascii="Arial" w:hAnsi="Arial"/>
          <w:i/>
          <w:color w:val="231F20"/>
          <w:w w:val="105"/>
          <w:sz w:val="18"/>
        </w:rPr>
        <w:t>trabajábamos</w:t>
      </w:r>
      <w:r>
        <w:rPr>
          <w:rFonts w:ascii="Arial" w:hAnsi="Arial"/>
          <w:i/>
          <w:color w:val="231F20"/>
          <w:spacing w:val="-18"/>
          <w:w w:val="105"/>
          <w:sz w:val="18"/>
        </w:rPr>
        <w:t> </w:t>
      </w:r>
      <w:r>
        <w:rPr>
          <w:rFonts w:ascii="Arial" w:hAnsi="Arial"/>
          <w:i/>
          <w:color w:val="231F20"/>
          <w:w w:val="105"/>
          <w:sz w:val="18"/>
        </w:rPr>
        <w:t>todos,</w:t>
      </w:r>
      <w:r>
        <w:rPr>
          <w:rFonts w:ascii="Arial" w:hAnsi="Arial"/>
          <w:i/>
          <w:color w:val="231F20"/>
          <w:spacing w:val="-22"/>
          <w:w w:val="105"/>
          <w:sz w:val="18"/>
        </w:rPr>
        <w:t> </w:t>
      </w:r>
      <w:r>
        <w:rPr>
          <w:rFonts w:ascii="Arial" w:hAnsi="Arial"/>
          <w:i/>
          <w:color w:val="231F20"/>
          <w:w w:val="105"/>
          <w:sz w:val="18"/>
        </w:rPr>
        <w:t>cada</w:t>
      </w:r>
      <w:r>
        <w:rPr>
          <w:rFonts w:ascii="Arial" w:hAnsi="Arial"/>
          <w:i/>
          <w:color w:val="231F20"/>
          <w:spacing w:val="-18"/>
          <w:w w:val="105"/>
          <w:sz w:val="18"/>
        </w:rPr>
        <w:t> </w:t>
      </w:r>
      <w:r>
        <w:rPr>
          <w:rFonts w:ascii="Arial" w:hAnsi="Arial"/>
          <w:i/>
          <w:color w:val="231F20"/>
          <w:w w:val="105"/>
          <w:sz w:val="18"/>
        </w:rPr>
        <w:t>año</w:t>
      </w:r>
      <w:r>
        <w:rPr>
          <w:rFonts w:ascii="Arial" w:hAnsi="Arial"/>
          <w:i/>
          <w:color w:val="231F20"/>
          <w:spacing w:val="-18"/>
          <w:w w:val="105"/>
          <w:sz w:val="18"/>
        </w:rPr>
        <w:t> </w:t>
      </w:r>
      <w:r>
        <w:rPr>
          <w:rFonts w:ascii="Arial" w:hAnsi="Arial"/>
          <w:i/>
          <w:color w:val="231F20"/>
          <w:w w:val="105"/>
          <w:sz w:val="18"/>
        </w:rPr>
        <w:t>abríamos</w:t>
      </w:r>
      <w:r>
        <w:rPr>
          <w:rFonts w:ascii="Arial" w:hAnsi="Arial"/>
          <w:i/>
          <w:color w:val="231F20"/>
          <w:spacing w:val="-18"/>
          <w:w w:val="105"/>
          <w:sz w:val="18"/>
        </w:rPr>
        <w:t> </w:t>
      </w:r>
      <w:r>
        <w:rPr>
          <w:rFonts w:ascii="Arial" w:hAnsi="Arial"/>
          <w:i/>
          <w:color w:val="231F20"/>
          <w:w w:val="105"/>
          <w:sz w:val="18"/>
        </w:rPr>
        <w:t>una</w:t>
      </w:r>
      <w:r>
        <w:rPr>
          <w:rFonts w:ascii="Arial" w:hAnsi="Arial"/>
          <w:i/>
          <w:color w:val="231F20"/>
          <w:spacing w:val="-18"/>
          <w:w w:val="105"/>
          <w:sz w:val="18"/>
        </w:rPr>
        <w:t> </w:t>
      </w:r>
      <w:r>
        <w:rPr>
          <w:rFonts w:ascii="Arial" w:hAnsi="Arial"/>
          <w:i/>
          <w:color w:val="231F20"/>
          <w:w w:val="105"/>
          <w:sz w:val="18"/>
        </w:rPr>
        <w:t>hectá- rea</w:t>
      </w:r>
      <w:r>
        <w:rPr>
          <w:rFonts w:ascii="Arial" w:hAnsi="Arial"/>
          <w:i/>
          <w:color w:val="231F20"/>
          <w:spacing w:val="-28"/>
          <w:w w:val="105"/>
          <w:sz w:val="18"/>
        </w:rPr>
        <w:t> </w:t>
      </w:r>
      <w:r>
        <w:rPr>
          <w:rFonts w:ascii="Arial" w:hAnsi="Arial"/>
          <w:i/>
          <w:color w:val="231F20"/>
          <w:w w:val="105"/>
          <w:sz w:val="18"/>
        </w:rPr>
        <w:t>o</w:t>
      </w:r>
      <w:r>
        <w:rPr>
          <w:rFonts w:ascii="Arial" w:hAnsi="Arial"/>
          <w:i/>
          <w:color w:val="231F20"/>
          <w:spacing w:val="-28"/>
          <w:w w:val="105"/>
          <w:sz w:val="18"/>
        </w:rPr>
        <w:t> </w:t>
      </w:r>
      <w:r>
        <w:rPr>
          <w:rFonts w:ascii="Arial" w:hAnsi="Arial"/>
          <w:i/>
          <w:color w:val="231F20"/>
          <w:w w:val="105"/>
          <w:sz w:val="18"/>
        </w:rPr>
        <w:t>media</w:t>
      </w:r>
      <w:r>
        <w:rPr>
          <w:rFonts w:ascii="Arial" w:hAnsi="Arial"/>
          <w:i/>
          <w:color w:val="231F20"/>
          <w:spacing w:val="-28"/>
          <w:w w:val="105"/>
          <w:sz w:val="18"/>
        </w:rPr>
        <w:t> </w:t>
      </w:r>
      <w:r>
        <w:rPr>
          <w:rFonts w:ascii="Arial" w:hAnsi="Arial"/>
          <w:i/>
          <w:color w:val="231F20"/>
          <w:w w:val="105"/>
          <w:sz w:val="18"/>
        </w:rPr>
        <w:t>hectárea</w:t>
      </w:r>
      <w:r>
        <w:rPr>
          <w:rFonts w:ascii="Arial" w:hAnsi="Arial"/>
          <w:i/>
          <w:color w:val="231F20"/>
          <w:spacing w:val="-28"/>
          <w:w w:val="105"/>
          <w:sz w:val="18"/>
        </w:rPr>
        <w:t> </w:t>
      </w:r>
      <w:r>
        <w:rPr>
          <w:rFonts w:ascii="Arial" w:hAnsi="Arial"/>
          <w:i/>
          <w:color w:val="231F20"/>
          <w:w w:val="105"/>
          <w:sz w:val="18"/>
        </w:rPr>
        <w:t>para</w:t>
      </w:r>
      <w:r>
        <w:rPr>
          <w:rFonts w:ascii="Arial" w:hAnsi="Arial"/>
          <w:i/>
          <w:color w:val="231F20"/>
          <w:spacing w:val="-28"/>
          <w:w w:val="105"/>
          <w:sz w:val="18"/>
        </w:rPr>
        <w:t> </w:t>
      </w:r>
      <w:r>
        <w:rPr>
          <w:rFonts w:ascii="Arial" w:hAnsi="Arial"/>
          <w:i/>
          <w:color w:val="231F20"/>
          <w:w w:val="105"/>
          <w:sz w:val="18"/>
        </w:rPr>
        <w:t>cultivarla.</w:t>
      </w:r>
      <w:r>
        <w:rPr>
          <w:rFonts w:ascii="Arial" w:hAnsi="Arial"/>
          <w:i/>
          <w:color w:val="231F20"/>
          <w:spacing w:val="-32"/>
          <w:w w:val="105"/>
          <w:sz w:val="18"/>
        </w:rPr>
        <w:t> </w:t>
      </w:r>
      <w:r>
        <w:rPr>
          <w:rFonts w:ascii="Arial" w:hAnsi="Arial"/>
          <w:i/>
          <w:color w:val="231F20"/>
          <w:w w:val="105"/>
          <w:sz w:val="18"/>
        </w:rPr>
        <w:t>Llegamos</w:t>
      </w:r>
      <w:r>
        <w:rPr>
          <w:rFonts w:ascii="Arial" w:hAnsi="Arial"/>
          <w:i/>
          <w:color w:val="231F20"/>
          <w:spacing w:val="-28"/>
          <w:w w:val="105"/>
          <w:sz w:val="18"/>
        </w:rPr>
        <w:t> </w:t>
      </w:r>
      <w:r>
        <w:rPr>
          <w:rFonts w:ascii="Arial" w:hAnsi="Arial"/>
          <w:i/>
          <w:color w:val="231F20"/>
          <w:w w:val="105"/>
          <w:sz w:val="18"/>
        </w:rPr>
        <w:t>a</w:t>
      </w:r>
      <w:r>
        <w:rPr>
          <w:rFonts w:ascii="Arial" w:hAnsi="Arial"/>
          <w:i/>
          <w:color w:val="231F20"/>
          <w:spacing w:val="-28"/>
          <w:w w:val="105"/>
          <w:sz w:val="18"/>
        </w:rPr>
        <w:t> </w:t>
      </w:r>
      <w:r>
        <w:rPr>
          <w:rFonts w:ascii="Arial" w:hAnsi="Arial"/>
          <w:i/>
          <w:color w:val="231F20"/>
          <w:w w:val="105"/>
          <w:sz w:val="18"/>
        </w:rPr>
        <w:t>cultivar</w:t>
      </w:r>
      <w:r>
        <w:rPr>
          <w:rFonts w:ascii="Arial" w:hAnsi="Arial"/>
          <w:i/>
          <w:color w:val="231F20"/>
          <w:spacing w:val="-28"/>
          <w:w w:val="105"/>
          <w:sz w:val="18"/>
        </w:rPr>
        <w:t> </w:t>
      </w:r>
      <w:r>
        <w:rPr>
          <w:rFonts w:ascii="Arial" w:hAnsi="Arial"/>
          <w:i/>
          <w:color w:val="231F20"/>
          <w:w w:val="105"/>
          <w:sz w:val="18"/>
        </w:rPr>
        <w:t>diez</w:t>
      </w:r>
      <w:r>
        <w:rPr>
          <w:rFonts w:ascii="Arial" w:hAnsi="Arial"/>
          <w:i/>
          <w:color w:val="231F20"/>
          <w:spacing w:val="-28"/>
          <w:w w:val="105"/>
          <w:sz w:val="18"/>
        </w:rPr>
        <w:t> </w:t>
      </w:r>
      <w:r>
        <w:rPr>
          <w:rFonts w:ascii="Arial" w:hAnsi="Arial"/>
          <w:i/>
          <w:color w:val="231F20"/>
          <w:w w:val="105"/>
          <w:sz w:val="18"/>
        </w:rPr>
        <w:t>hectáreas.</w:t>
      </w:r>
    </w:p>
    <w:p>
      <w:pPr>
        <w:spacing w:line="249" w:lineRule="auto" w:before="114"/>
        <w:ind w:left="2903" w:right="1716" w:firstLine="0"/>
        <w:jc w:val="both"/>
        <w:rPr>
          <w:rFonts w:ascii="Arial" w:hAnsi="Arial"/>
          <w:i/>
          <w:sz w:val="18"/>
        </w:rPr>
      </w:pPr>
      <w:r>
        <w:rPr>
          <w:rFonts w:ascii="Arial" w:hAnsi="Arial"/>
          <w:i/>
          <w:color w:val="231F20"/>
          <w:sz w:val="18"/>
        </w:rPr>
        <w:t>En 1953 me casé y en 1954 fue de mucha lluvia, y las milpas no dieron  </w:t>
      </w:r>
      <w:r>
        <w:rPr>
          <w:rFonts w:ascii="Arial" w:hAnsi="Arial"/>
          <w:i/>
          <w:color w:val="231F20"/>
          <w:sz w:val="18"/>
        </w:rPr>
        <w:t>lo que necesitábamos para vivir. Así que ese año me fui de bracero a Es- tados Unidos. Duré seis años yendo a California. La primera vez llegué a Stockton y las otras a Santa Ana y a Anaheim en el Condado de Orange. Cada año pasaba allá ocho meses trabando en el campo. No era fácil, entonces en esa parte de Estados Unidos casi nadie hablaba español. Cuando íbamos a comprar algo a una tienda, pagábamos con un billete grande para que no nos dijeran algo que no podíamos entender, recibía- mos el cambio, dábamos la media vuelta y</w:t>
      </w:r>
      <w:r>
        <w:rPr>
          <w:rFonts w:ascii="Arial" w:hAnsi="Arial"/>
          <w:i/>
          <w:color w:val="231F20"/>
          <w:spacing w:val="27"/>
          <w:sz w:val="18"/>
        </w:rPr>
        <w:t> </w:t>
      </w:r>
      <w:r>
        <w:rPr>
          <w:rFonts w:ascii="Arial" w:hAnsi="Arial"/>
          <w:i/>
          <w:color w:val="231F20"/>
          <w:sz w:val="18"/>
        </w:rPr>
        <w:t>ya.</w:t>
      </w:r>
    </w:p>
    <w:p>
      <w:pPr>
        <w:spacing w:line="249" w:lineRule="auto" w:before="114"/>
        <w:ind w:left="2903" w:right="1721" w:firstLine="0"/>
        <w:jc w:val="both"/>
        <w:rPr>
          <w:rFonts w:ascii="Arial" w:hAnsi="Arial"/>
          <w:i/>
          <w:sz w:val="18"/>
        </w:rPr>
      </w:pPr>
      <w:r>
        <w:rPr>
          <w:rFonts w:ascii="Arial" w:hAnsi="Arial"/>
          <w:i/>
          <w:color w:val="231F20"/>
          <w:w w:val="105"/>
          <w:sz w:val="18"/>
        </w:rPr>
        <w:t>La</w:t>
      </w:r>
      <w:r>
        <w:rPr>
          <w:rFonts w:ascii="Arial" w:hAnsi="Arial"/>
          <w:i/>
          <w:color w:val="231F20"/>
          <w:spacing w:val="-12"/>
          <w:w w:val="105"/>
          <w:sz w:val="18"/>
        </w:rPr>
        <w:t> </w:t>
      </w:r>
      <w:r>
        <w:rPr>
          <w:rFonts w:ascii="Arial" w:hAnsi="Arial"/>
          <w:i/>
          <w:color w:val="231F20"/>
          <w:w w:val="105"/>
          <w:sz w:val="18"/>
        </w:rPr>
        <w:t>primera</w:t>
      </w:r>
      <w:r>
        <w:rPr>
          <w:rFonts w:ascii="Arial" w:hAnsi="Arial"/>
          <w:i/>
          <w:color w:val="231F20"/>
          <w:spacing w:val="-12"/>
          <w:w w:val="105"/>
          <w:sz w:val="18"/>
        </w:rPr>
        <w:t> </w:t>
      </w:r>
      <w:r>
        <w:rPr>
          <w:rFonts w:ascii="Arial" w:hAnsi="Arial"/>
          <w:i/>
          <w:color w:val="231F20"/>
          <w:w w:val="105"/>
          <w:sz w:val="18"/>
        </w:rPr>
        <w:t>vez</w:t>
      </w:r>
      <w:r>
        <w:rPr>
          <w:rFonts w:ascii="Arial" w:hAnsi="Arial"/>
          <w:i/>
          <w:color w:val="231F20"/>
          <w:spacing w:val="-12"/>
          <w:w w:val="105"/>
          <w:sz w:val="18"/>
        </w:rPr>
        <w:t> </w:t>
      </w:r>
      <w:r>
        <w:rPr>
          <w:rFonts w:ascii="Arial" w:hAnsi="Arial"/>
          <w:i/>
          <w:color w:val="231F20"/>
          <w:w w:val="105"/>
          <w:sz w:val="18"/>
        </w:rPr>
        <w:t>que</w:t>
      </w:r>
      <w:r>
        <w:rPr>
          <w:rFonts w:ascii="Arial" w:hAnsi="Arial"/>
          <w:i/>
          <w:color w:val="231F20"/>
          <w:spacing w:val="-12"/>
          <w:w w:val="105"/>
          <w:sz w:val="18"/>
        </w:rPr>
        <w:t> </w:t>
      </w:r>
      <w:r>
        <w:rPr>
          <w:rFonts w:ascii="Arial" w:hAnsi="Arial"/>
          <w:i/>
          <w:color w:val="231F20"/>
          <w:w w:val="105"/>
          <w:sz w:val="18"/>
        </w:rPr>
        <w:t>me</w:t>
      </w:r>
      <w:r>
        <w:rPr>
          <w:rFonts w:ascii="Arial" w:hAnsi="Arial"/>
          <w:i/>
          <w:color w:val="231F20"/>
          <w:spacing w:val="-12"/>
          <w:w w:val="105"/>
          <w:sz w:val="18"/>
        </w:rPr>
        <w:t> </w:t>
      </w:r>
      <w:r>
        <w:rPr>
          <w:rFonts w:ascii="Arial" w:hAnsi="Arial"/>
          <w:i/>
          <w:color w:val="231F20"/>
          <w:w w:val="105"/>
          <w:sz w:val="18"/>
        </w:rPr>
        <w:t>fui</w:t>
      </w:r>
      <w:r>
        <w:rPr>
          <w:rFonts w:ascii="Arial" w:hAnsi="Arial"/>
          <w:i/>
          <w:color w:val="231F20"/>
          <w:spacing w:val="-12"/>
          <w:w w:val="105"/>
          <w:sz w:val="18"/>
        </w:rPr>
        <w:t> </w:t>
      </w:r>
      <w:r>
        <w:rPr>
          <w:rFonts w:ascii="Arial" w:hAnsi="Arial"/>
          <w:i/>
          <w:color w:val="231F20"/>
          <w:w w:val="105"/>
          <w:sz w:val="18"/>
        </w:rPr>
        <w:t>a</w:t>
      </w:r>
      <w:r>
        <w:rPr>
          <w:rFonts w:ascii="Arial" w:hAnsi="Arial"/>
          <w:i/>
          <w:color w:val="231F20"/>
          <w:spacing w:val="-12"/>
          <w:w w:val="105"/>
          <w:sz w:val="18"/>
        </w:rPr>
        <w:t> </w:t>
      </w:r>
      <w:r>
        <w:rPr>
          <w:rFonts w:ascii="Arial" w:hAnsi="Arial"/>
          <w:i/>
          <w:color w:val="231F20"/>
          <w:w w:val="105"/>
          <w:sz w:val="18"/>
        </w:rPr>
        <w:t>Estados</w:t>
      </w:r>
      <w:r>
        <w:rPr>
          <w:rFonts w:ascii="Arial" w:hAnsi="Arial"/>
          <w:i/>
          <w:color w:val="231F20"/>
          <w:spacing w:val="-12"/>
          <w:w w:val="105"/>
          <w:sz w:val="18"/>
        </w:rPr>
        <w:t> </w:t>
      </w:r>
      <w:r>
        <w:rPr>
          <w:rFonts w:ascii="Arial" w:hAnsi="Arial"/>
          <w:i/>
          <w:color w:val="231F20"/>
          <w:w w:val="105"/>
          <w:sz w:val="18"/>
        </w:rPr>
        <w:t>Unidos</w:t>
      </w:r>
      <w:r>
        <w:rPr>
          <w:rFonts w:ascii="Arial" w:hAnsi="Arial"/>
          <w:i/>
          <w:color w:val="231F20"/>
          <w:spacing w:val="-12"/>
          <w:w w:val="105"/>
          <w:sz w:val="18"/>
        </w:rPr>
        <w:t> </w:t>
      </w:r>
      <w:r>
        <w:rPr>
          <w:rFonts w:ascii="Arial" w:hAnsi="Arial"/>
          <w:i/>
          <w:color w:val="231F20"/>
          <w:w w:val="105"/>
          <w:sz w:val="18"/>
        </w:rPr>
        <w:t>iba</w:t>
      </w:r>
      <w:r>
        <w:rPr>
          <w:rFonts w:ascii="Arial" w:hAnsi="Arial"/>
          <w:i/>
          <w:color w:val="231F20"/>
          <w:spacing w:val="-12"/>
          <w:w w:val="105"/>
          <w:sz w:val="18"/>
        </w:rPr>
        <w:t> </w:t>
      </w:r>
      <w:r>
        <w:rPr>
          <w:rFonts w:ascii="Arial" w:hAnsi="Arial"/>
          <w:i/>
          <w:color w:val="231F20"/>
          <w:w w:val="105"/>
          <w:sz w:val="18"/>
        </w:rPr>
        <w:t>con</w:t>
      </w:r>
      <w:r>
        <w:rPr>
          <w:rFonts w:ascii="Arial" w:hAnsi="Arial"/>
          <w:i/>
          <w:color w:val="231F20"/>
          <w:spacing w:val="-12"/>
          <w:w w:val="105"/>
          <w:sz w:val="18"/>
        </w:rPr>
        <w:t> </w:t>
      </w:r>
      <w:r>
        <w:rPr>
          <w:rFonts w:ascii="Arial" w:hAnsi="Arial"/>
          <w:i/>
          <w:color w:val="231F20"/>
          <w:w w:val="105"/>
          <w:sz w:val="18"/>
        </w:rPr>
        <w:t>uno</w:t>
      </w:r>
      <w:r>
        <w:rPr>
          <w:rFonts w:ascii="Arial" w:hAnsi="Arial"/>
          <w:i/>
          <w:color w:val="231F20"/>
          <w:spacing w:val="-12"/>
          <w:w w:val="105"/>
          <w:sz w:val="18"/>
        </w:rPr>
        <w:t> </w:t>
      </w:r>
      <w:r>
        <w:rPr>
          <w:rFonts w:ascii="Arial" w:hAnsi="Arial"/>
          <w:i/>
          <w:color w:val="231F20"/>
          <w:w w:val="105"/>
          <w:sz w:val="18"/>
        </w:rPr>
        <w:t>de</w:t>
      </w:r>
      <w:r>
        <w:rPr>
          <w:rFonts w:ascii="Arial" w:hAnsi="Arial"/>
          <w:i/>
          <w:color w:val="231F20"/>
          <w:spacing w:val="-12"/>
          <w:w w:val="105"/>
          <w:sz w:val="18"/>
        </w:rPr>
        <w:t> </w:t>
      </w:r>
      <w:r>
        <w:rPr>
          <w:rFonts w:ascii="Arial" w:hAnsi="Arial"/>
          <w:i/>
          <w:color w:val="231F20"/>
          <w:w w:val="105"/>
          <w:sz w:val="18"/>
        </w:rPr>
        <w:t>mis</w:t>
      </w:r>
      <w:r>
        <w:rPr>
          <w:rFonts w:ascii="Arial" w:hAnsi="Arial"/>
          <w:i/>
          <w:color w:val="231F20"/>
          <w:spacing w:val="-12"/>
          <w:w w:val="105"/>
          <w:sz w:val="18"/>
        </w:rPr>
        <w:t> </w:t>
      </w:r>
      <w:r>
        <w:rPr>
          <w:rFonts w:ascii="Arial" w:hAnsi="Arial"/>
          <w:i/>
          <w:color w:val="231F20"/>
          <w:w w:val="105"/>
          <w:sz w:val="18"/>
        </w:rPr>
        <w:t>herma- </w:t>
      </w:r>
      <w:r>
        <w:rPr>
          <w:rFonts w:ascii="Arial" w:hAnsi="Arial"/>
          <w:i/>
          <w:color w:val="231F20"/>
          <w:w w:val="105"/>
          <w:sz w:val="18"/>
        </w:rPr>
        <w:t>nos</w:t>
      </w:r>
      <w:r>
        <w:rPr>
          <w:rFonts w:ascii="Arial" w:hAnsi="Arial"/>
          <w:i/>
          <w:color w:val="231F20"/>
          <w:spacing w:val="-20"/>
          <w:w w:val="105"/>
          <w:sz w:val="18"/>
        </w:rPr>
        <w:t> </w:t>
      </w:r>
      <w:r>
        <w:rPr>
          <w:rFonts w:ascii="Arial" w:hAnsi="Arial"/>
          <w:i/>
          <w:color w:val="231F20"/>
          <w:w w:val="105"/>
          <w:sz w:val="18"/>
        </w:rPr>
        <w:t>mayores</w:t>
      </w:r>
      <w:r>
        <w:rPr>
          <w:rFonts w:ascii="Arial" w:hAnsi="Arial"/>
          <w:i/>
          <w:color w:val="231F20"/>
          <w:spacing w:val="-20"/>
          <w:w w:val="105"/>
          <w:sz w:val="18"/>
        </w:rPr>
        <w:t> </w:t>
      </w:r>
      <w:r>
        <w:rPr>
          <w:rFonts w:ascii="Arial" w:hAnsi="Arial"/>
          <w:i/>
          <w:color w:val="231F20"/>
          <w:w w:val="105"/>
          <w:sz w:val="18"/>
        </w:rPr>
        <w:t>y</w:t>
      </w:r>
      <w:r>
        <w:rPr>
          <w:rFonts w:ascii="Arial" w:hAnsi="Arial"/>
          <w:i/>
          <w:color w:val="231F20"/>
          <w:spacing w:val="-20"/>
          <w:w w:val="105"/>
          <w:sz w:val="18"/>
        </w:rPr>
        <w:t> </w:t>
      </w:r>
      <w:r>
        <w:rPr>
          <w:rFonts w:ascii="Arial" w:hAnsi="Arial"/>
          <w:i/>
          <w:color w:val="231F20"/>
          <w:w w:val="105"/>
          <w:sz w:val="18"/>
        </w:rPr>
        <w:t>otras</w:t>
      </w:r>
      <w:r>
        <w:rPr>
          <w:rFonts w:ascii="Arial" w:hAnsi="Arial"/>
          <w:i/>
          <w:color w:val="231F20"/>
          <w:spacing w:val="-20"/>
          <w:w w:val="105"/>
          <w:sz w:val="18"/>
        </w:rPr>
        <w:t> </w:t>
      </w:r>
      <w:r>
        <w:rPr>
          <w:rFonts w:ascii="Arial" w:hAnsi="Arial"/>
          <w:i/>
          <w:color w:val="231F20"/>
          <w:w w:val="105"/>
          <w:sz w:val="18"/>
        </w:rPr>
        <w:t>personas</w:t>
      </w:r>
      <w:r>
        <w:rPr>
          <w:rFonts w:ascii="Arial" w:hAnsi="Arial"/>
          <w:i/>
          <w:color w:val="231F20"/>
          <w:spacing w:val="-20"/>
          <w:w w:val="105"/>
          <w:sz w:val="18"/>
        </w:rPr>
        <w:t> </w:t>
      </w:r>
      <w:r>
        <w:rPr>
          <w:rFonts w:ascii="Arial" w:hAnsi="Arial"/>
          <w:i/>
          <w:color w:val="231F20"/>
          <w:w w:val="105"/>
          <w:sz w:val="18"/>
        </w:rPr>
        <w:t>de</w:t>
      </w:r>
      <w:r>
        <w:rPr>
          <w:rFonts w:ascii="Arial" w:hAnsi="Arial"/>
          <w:i/>
          <w:color w:val="231F20"/>
          <w:spacing w:val="-22"/>
          <w:w w:val="105"/>
          <w:sz w:val="18"/>
        </w:rPr>
        <w:t> </w:t>
      </w:r>
      <w:r>
        <w:rPr>
          <w:rFonts w:ascii="Arial" w:hAnsi="Arial"/>
          <w:i/>
          <w:color w:val="231F20"/>
          <w:spacing w:val="-3"/>
          <w:w w:val="105"/>
          <w:sz w:val="18"/>
        </w:rPr>
        <w:t>Tonatico.</w:t>
      </w:r>
      <w:r>
        <w:rPr>
          <w:rFonts w:ascii="Arial" w:hAnsi="Arial"/>
          <w:i/>
          <w:color w:val="231F20"/>
          <w:spacing w:val="-23"/>
          <w:w w:val="105"/>
          <w:sz w:val="18"/>
        </w:rPr>
        <w:t> </w:t>
      </w:r>
      <w:r>
        <w:rPr>
          <w:rFonts w:ascii="Arial" w:hAnsi="Arial"/>
          <w:i/>
          <w:color w:val="231F20"/>
          <w:w w:val="105"/>
          <w:sz w:val="18"/>
        </w:rPr>
        <w:t>Esa</w:t>
      </w:r>
      <w:r>
        <w:rPr>
          <w:rFonts w:ascii="Arial" w:hAnsi="Arial"/>
          <w:i/>
          <w:color w:val="231F20"/>
          <w:spacing w:val="-20"/>
          <w:w w:val="105"/>
          <w:sz w:val="18"/>
        </w:rPr>
        <w:t> </w:t>
      </w:r>
      <w:r>
        <w:rPr>
          <w:rFonts w:ascii="Arial" w:hAnsi="Arial"/>
          <w:i/>
          <w:color w:val="231F20"/>
          <w:w w:val="105"/>
          <w:sz w:val="18"/>
        </w:rPr>
        <w:t>vez</w:t>
      </w:r>
      <w:r>
        <w:rPr>
          <w:rFonts w:ascii="Arial" w:hAnsi="Arial"/>
          <w:i/>
          <w:color w:val="231F20"/>
          <w:spacing w:val="-20"/>
          <w:w w:val="105"/>
          <w:sz w:val="18"/>
        </w:rPr>
        <w:t> </w:t>
      </w:r>
      <w:r>
        <w:rPr>
          <w:rFonts w:ascii="Arial" w:hAnsi="Arial"/>
          <w:i/>
          <w:color w:val="231F20"/>
          <w:w w:val="105"/>
          <w:sz w:val="18"/>
        </w:rPr>
        <w:t>íbamos</w:t>
      </w:r>
      <w:r>
        <w:rPr>
          <w:rFonts w:ascii="Arial" w:hAnsi="Arial"/>
          <w:i/>
          <w:color w:val="231F20"/>
          <w:spacing w:val="-20"/>
          <w:w w:val="105"/>
          <w:sz w:val="18"/>
        </w:rPr>
        <w:t> </w:t>
      </w:r>
      <w:r>
        <w:rPr>
          <w:rFonts w:ascii="Arial" w:hAnsi="Arial"/>
          <w:i/>
          <w:color w:val="231F20"/>
          <w:w w:val="105"/>
          <w:sz w:val="18"/>
        </w:rPr>
        <w:t>como</w:t>
      </w:r>
      <w:r>
        <w:rPr>
          <w:rFonts w:ascii="Arial" w:hAnsi="Arial"/>
          <w:i/>
          <w:color w:val="231F20"/>
          <w:spacing w:val="-20"/>
          <w:w w:val="105"/>
          <w:sz w:val="18"/>
        </w:rPr>
        <w:t> </w:t>
      </w:r>
      <w:r>
        <w:rPr>
          <w:rFonts w:ascii="Arial" w:hAnsi="Arial"/>
          <w:i/>
          <w:color w:val="231F20"/>
          <w:w w:val="105"/>
          <w:sz w:val="18"/>
        </w:rPr>
        <w:t>veinte de</w:t>
      </w:r>
      <w:r>
        <w:rPr>
          <w:rFonts w:ascii="Arial" w:hAnsi="Arial"/>
          <w:i/>
          <w:color w:val="231F20"/>
          <w:spacing w:val="-26"/>
          <w:w w:val="105"/>
          <w:sz w:val="18"/>
        </w:rPr>
        <w:t> </w:t>
      </w:r>
      <w:r>
        <w:rPr>
          <w:rFonts w:ascii="Arial" w:hAnsi="Arial"/>
          <w:i/>
          <w:color w:val="231F20"/>
          <w:w w:val="105"/>
          <w:sz w:val="18"/>
        </w:rPr>
        <w:t>aquí</w:t>
      </w:r>
      <w:r>
        <w:rPr>
          <w:rFonts w:ascii="Arial" w:hAnsi="Arial"/>
          <w:i/>
          <w:color w:val="231F20"/>
          <w:spacing w:val="-26"/>
          <w:w w:val="105"/>
          <w:sz w:val="18"/>
        </w:rPr>
        <w:t> </w:t>
      </w:r>
      <w:r>
        <w:rPr>
          <w:rFonts w:ascii="Arial" w:hAnsi="Arial"/>
          <w:i/>
          <w:color w:val="231F20"/>
          <w:w w:val="105"/>
          <w:sz w:val="18"/>
        </w:rPr>
        <w:t>del</w:t>
      </w:r>
      <w:r>
        <w:rPr>
          <w:rFonts w:ascii="Arial" w:hAnsi="Arial"/>
          <w:i/>
          <w:color w:val="231F20"/>
          <w:spacing w:val="-26"/>
          <w:w w:val="105"/>
          <w:sz w:val="18"/>
        </w:rPr>
        <w:t> </w:t>
      </w:r>
      <w:r>
        <w:rPr>
          <w:rFonts w:ascii="Arial" w:hAnsi="Arial"/>
          <w:i/>
          <w:color w:val="231F20"/>
          <w:w w:val="105"/>
          <w:sz w:val="18"/>
        </w:rPr>
        <w:t>pueblo.</w:t>
      </w:r>
      <w:r>
        <w:rPr>
          <w:rFonts w:ascii="Arial" w:hAnsi="Arial"/>
          <w:i/>
          <w:color w:val="231F20"/>
          <w:spacing w:val="-30"/>
          <w:w w:val="105"/>
          <w:sz w:val="18"/>
        </w:rPr>
        <w:t> </w:t>
      </w:r>
      <w:r>
        <w:rPr>
          <w:rFonts w:ascii="Arial" w:hAnsi="Arial"/>
          <w:i/>
          <w:color w:val="231F20"/>
          <w:w w:val="105"/>
          <w:sz w:val="18"/>
        </w:rPr>
        <w:t>Me</w:t>
      </w:r>
      <w:r>
        <w:rPr>
          <w:rFonts w:ascii="Arial" w:hAnsi="Arial"/>
          <w:i/>
          <w:color w:val="231F20"/>
          <w:spacing w:val="-26"/>
          <w:w w:val="105"/>
          <w:sz w:val="18"/>
        </w:rPr>
        <w:t> </w:t>
      </w:r>
      <w:r>
        <w:rPr>
          <w:rFonts w:ascii="Arial" w:hAnsi="Arial"/>
          <w:i/>
          <w:color w:val="231F20"/>
          <w:w w:val="105"/>
          <w:sz w:val="18"/>
        </w:rPr>
        <w:t>acuerdo</w:t>
      </w:r>
      <w:r>
        <w:rPr>
          <w:rFonts w:ascii="Arial" w:hAnsi="Arial"/>
          <w:i/>
          <w:color w:val="231F20"/>
          <w:spacing w:val="-26"/>
          <w:w w:val="105"/>
          <w:sz w:val="18"/>
        </w:rPr>
        <w:t> </w:t>
      </w:r>
      <w:r>
        <w:rPr>
          <w:rFonts w:ascii="Arial" w:hAnsi="Arial"/>
          <w:i/>
          <w:color w:val="231F20"/>
          <w:w w:val="105"/>
          <w:sz w:val="18"/>
        </w:rPr>
        <w:t>que</w:t>
      </w:r>
      <w:r>
        <w:rPr>
          <w:rFonts w:ascii="Arial" w:hAnsi="Arial"/>
          <w:i/>
          <w:color w:val="231F20"/>
          <w:spacing w:val="-26"/>
          <w:w w:val="105"/>
          <w:sz w:val="18"/>
        </w:rPr>
        <w:t> </w:t>
      </w:r>
      <w:r>
        <w:rPr>
          <w:rFonts w:ascii="Arial" w:hAnsi="Arial"/>
          <w:i/>
          <w:color w:val="231F20"/>
          <w:w w:val="105"/>
          <w:sz w:val="18"/>
        </w:rPr>
        <w:t>en</w:t>
      </w:r>
      <w:r>
        <w:rPr>
          <w:rFonts w:ascii="Arial" w:hAnsi="Arial"/>
          <w:i/>
          <w:color w:val="231F20"/>
          <w:spacing w:val="-26"/>
          <w:w w:val="105"/>
          <w:sz w:val="18"/>
        </w:rPr>
        <w:t> </w:t>
      </w:r>
      <w:r>
        <w:rPr>
          <w:rFonts w:ascii="Arial" w:hAnsi="Arial"/>
          <w:i/>
          <w:color w:val="231F20"/>
          <w:w w:val="105"/>
          <w:sz w:val="18"/>
        </w:rPr>
        <w:t>Santa</w:t>
      </w:r>
      <w:r>
        <w:rPr>
          <w:rFonts w:ascii="Arial" w:hAnsi="Arial"/>
          <w:i/>
          <w:color w:val="231F20"/>
          <w:spacing w:val="-28"/>
          <w:w w:val="105"/>
          <w:sz w:val="18"/>
        </w:rPr>
        <w:t> </w:t>
      </w:r>
      <w:r>
        <w:rPr>
          <w:rFonts w:ascii="Arial" w:hAnsi="Arial"/>
          <w:i/>
          <w:color w:val="231F20"/>
          <w:w w:val="105"/>
          <w:sz w:val="18"/>
        </w:rPr>
        <w:t>Ana,</w:t>
      </w:r>
      <w:r>
        <w:rPr>
          <w:rFonts w:ascii="Arial" w:hAnsi="Arial"/>
          <w:i/>
          <w:color w:val="231F20"/>
          <w:spacing w:val="-30"/>
          <w:w w:val="105"/>
          <w:sz w:val="18"/>
        </w:rPr>
        <w:t> </w:t>
      </w:r>
      <w:r>
        <w:rPr>
          <w:rFonts w:ascii="Arial" w:hAnsi="Arial"/>
          <w:i/>
          <w:color w:val="231F20"/>
          <w:w w:val="105"/>
          <w:sz w:val="18"/>
        </w:rPr>
        <w:t>California,</w:t>
      </w:r>
      <w:r>
        <w:rPr>
          <w:rFonts w:ascii="Arial" w:hAnsi="Arial"/>
          <w:i/>
          <w:color w:val="231F20"/>
          <w:spacing w:val="-30"/>
          <w:w w:val="105"/>
          <w:sz w:val="18"/>
        </w:rPr>
        <w:t> </w:t>
      </w:r>
      <w:r>
        <w:rPr>
          <w:rFonts w:ascii="Arial" w:hAnsi="Arial"/>
          <w:i/>
          <w:color w:val="231F20"/>
          <w:w w:val="105"/>
          <w:sz w:val="18"/>
        </w:rPr>
        <w:t>vimos</w:t>
      </w:r>
      <w:r>
        <w:rPr>
          <w:rFonts w:ascii="Arial" w:hAnsi="Arial"/>
          <w:i/>
          <w:color w:val="231F20"/>
          <w:spacing w:val="-26"/>
          <w:w w:val="105"/>
          <w:sz w:val="18"/>
        </w:rPr>
        <w:t> </w:t>
      </w:r>
      <w:r>
        <w:rPr>
          <w:rFonts w:ascii="Arial" w:hAnsi="Arial"/>
          <w:i/>
          <w:color w:val="231F20"/>
          <w:w w:val="105"/>
          <w:sz w:val="18"/>
        </w:rPr>
        <w:t>en</w:t>
      </w:r>
      <w:r>
        <w:rPr>
          <w:rFonts w:ascii="Arial" w:hAnsi="Arial"/>
          <w:i/>
          <w:color w:val="231F20"/>
          <w:spacing w:val="-26"/>
          <w:w w:val="105"/>
          <w:sz w:val="18"/>
        </w:rPr>
        <w:t> </w:t>
      </w:r>
      <w:r>
        <w:rPr>
          <w:rFonts w:ascii="Arial" w:hAnsi="Arial"/>
          <w:i/>
          <w:color w:val="231F20"/>
          <w:w w:val="105"/>
          <w:sz w:val="18"/>
        </w:rPr>
        <w:t>la televisión</w:t>
      </w:r>
      <w:r>
        <w:rPr>
          <w:rFonts w:ascii="Arial" w:hAnsi="Arial"/>
          <w:i/>
          <w:color w:val="231F20"/>
          <w:spacing w:val="-27"/>
          <w:w w:val="105"/>
          <w:sz w:val="18"/>
        </w:rPr>
        <w:t> </w:t>
      </w:r>
      <w:r>
        <w:rPr>
          <w:rFonts w:ascii="Arial" w:hAnsi="Arial"/>
          <w:i/>
          <w:color w:val="231F20"/>
          <w:w w:val="105"/>
          <w:sz w:val="18"/>
        </w:rPr>
        <w:t>una</w:t>
      </w:r>
      <w:r>
        <w:rPr>
          <w:rFonts w:ascii="Arial" w:hAnsi="Arial"/>
          <w:i/>
          <w:color w:val="231F20"/>
          <w:spacing w:val="-27"/>
          <w:w w:val="105"/>
          <w:sz w:val="18"/>
        </w:rPr>
        <w:t> </w:t>
      </w:r>
      <w:r>
        <w:rPr>
          <w:rFonts w:ascii="Arial" w:hAnsi="Arial"/>
          <w:i/>
          <w:color w:val="231F20"/>
          <w:w w:val="105"/>
          <w:sz w:val="18"/>
        </w:rPr>
        <w:t>película</w:t>
      </w:r>
      <w:r>
        <w:rPr>
          <w:rFonts w:ascii="Arial" w:hAnsi="Arial"/>
          <w:i/>
          <w:color w:val="231F20"/>
          <w:spacing w:val="-27"/>
          <w:w w:val="105"/>
          <w:sz w:val="18"/>
        </w:rPr>
        <w:t> </w:t>
      </w:r>
      <w:r>
        <w:rPr>
          <w:rFonts w:ascii="Arial" w:hAnsi="Arial"/>
          <w:i/>
          <w:color w:val="231F20"/>
          <w:w w:val="105"/>
          <w:sz w:val="18"/>
        </w:rPr>
        <w:t>a</w:t>
      </w:r>
      <w:r>
        <w:rPr>
          <w:rFonts w:ascii="Arial" w:hAnsi="Arial"/>
          <w:i/>
          <w:color w:val="231F20"/>
          <w:spacing w:val="-27"/>
          <w:w w:val="105"/>
          <w:sz w:val="18"/>
        </w:rPr>
        <w:t> </w:t>
      </w:r>
      <w:r>
        <w:rPr>
          <w:rFonts w:ascii="Arial" w:hAnsi="Arial"/>
          <w:i/>
          <w:color w:val="231F20"/>
          <w:w w:val="105"/>
          <w:sz w:val="18"/>
        </w:rPr>
        <w:t>color,</w:t>
      </w:r>
      <w:r>
        <w:rPr>
          <w:rFonts w:ascii="Arial" w:hAnsi="Arial"/>
          <w:i/>
          <w:color w:val="231F20"/>
          <w:spacing w:val="-31"/>
          <w:w w:val="105"/>
          <w:sz w:val="18"/>
        </w:rPr>
        <w:t> </w:t>
      </w:r>
      <w:r>
        <w:rPr>
          <w:rFonts w:ascii="Arial" w:hAnsi="Arial"/>
          <w:i/>
          <w:color w:val="231F20"/>
          <w:w w:val="105"/>
          <w:sz w:val="18"/>
        </w:rPr>
        <w:t>y</w:t>
      </w:r>
      <w:r>
        <w:rPr>
          <w:rFonts w:ascii="Arial" w:hAnsi="Arial"/>
          <w:i/>
          <w:color w:val="231F20"/>
          <w:spacing w:val="-27"/>
          <w:w w:val="105"/>
          <w:sz w:val="18"/>
        </w:rPr>
        <w:t> </w:t>
      </w:r>
      <w:r>
        <w:rPr>
          <w:rFonts w:ascii="Arial" w:hAnsi="Arial"/>
          <w:i/>
          <w:color w:val="231F20"/>
          <w:w w:val="105"/>
          <w:sz w:val="18"/>
        </w:rPr>
        <w:t>todos</w:t>
      </w:r>
      <w:r>
        <w:rPr>
          <w:rFonts w:ascii="Arial" w:hAnsi="Arial"/>
          <w:i/>
          <w:color w:val="231F20"/>
          <w:spacing w:val="-27"/>
          <w:w w:val="105"/>
          <w:sz w:val="18"/>
        </w:rPr>
        <w:t> </w:t>
      </w:r>
      <w:r>
        <w:rPr>
          <w:rFonts w:ascii="Arial" w:hAnsi="Arial"/>
          <w:i/>
          <w:color w:val="231F20"/>
          <w:w w:val="105"/>
          <w:sz w:val="18"/>
        </w:rPr>
        <w:t>nos</w:t>
      </w:r>
      <w:r>
        <w:rPr>
          <w:rFonts w:ascii="Arial" w:hAnsi="Arial"/>
          <w:i/>
          <w:color w:val="231F20"/>
          <w:spacing w:val="-27"/>
          <w:w w:val="105"/>
          <w:sz w:val="18"/>
        </w:rPr>
        <w:t> </w:t>
      </w:r>
      <w:r>
        <w:rPr>
          <w:rFonts w:ascii="Arial" w:hAnsi="Arial"/>
          <w:i/>
          <w:color w:val="231F20"/>
          <w:w w:val="105"/>
          <w:sz w:val="18"/>
        </w:rPr>
        <w:t>quedamos</w:t>
      </w:r>
      <w:r>
        <w:rPr>
          <w:rFonts w:ascii="Arial" w:hAnsi="Arial"/>
          <w:i/>
          <w:color w:val="231F20"/>
          <w:spacing w:val="-27"/>
          <w:w w:val="105"/>
          <w:sz w:val="18"/>
        </w:rPr>
        <w:t> </w:t>
      </w:r>
      <w:r>
        <w:rPr>
          <w:rFonts w:ascii="Arial" w:hAnsi="Arial"/>
          <w:i/>
          <w:color w:val="231F20"/>
          <w:w w:val="105"/>
          <w:sz w:val="18"/>
        </w:rPr>
        <w:t>sorprendidos.</w:t>
      </w:r>
      <w:r>
        <w:rPr>
          <w:rFonts w:ascii="Arial" w:hAnsi="Arial"/>
          <w:i/>
          <w:color w:val="231F20"/>
          <w:spacing w:val="-33"/>
          <w:w w:val="105"/>
          <w:sz w:val="18"/>
        </w:rPr>
        <w:t> </w:t>
      </w:r>
      <w:r>
        <w:rPr>
          <w:rFonts w:ascii="Arial" w:hAnsi="Arial"/>
          <w:i/>
          <w:color w:val="231F20"/>
          <w:w w:val="105"/>
          <w:sz w:val="18"/>
        </w:rPr>
        <w:t>Aquí sólo</w:t>
      </w:r>
      <w:r>
        <w:rPr>
          <w:rFonts w:ascii="Arial" w:hAnsi="Arial"/>
          <w:i/>
          <w:color w:val="231F20"/>
          <w:spacing w:val="-22"/>
          <w:w w:val="105"/>
          <w:sz w:val="18"/>
        </w:rPr>
        <w:t> </w:t>
      </w:r>
      <w:r>
        <w:rPr>
          <w:rFonts w:ascii="Arial" w:hAnsi="Arial"/>
          <w:i/>
          <w:color w:val="231F20"/>
          <w:w w:val="105"/>
          <w:sz w:val="18"/>
        </w:rPr>
        <w:t>habíamos</w:t>
      </w:r>
      <w:r>
        <w:rPr>
          <w:rFonts w:ascii="Arial" w:hAnsi="Arial"/>
          <w:i/>
          <w:color w:val="231F20"/>
          <w:spacing w:val="-22"/>
          <w:w w:val="105"/>
          <w:sz w:val="18"/>
        </w:rPr>
        <w:t> </w:t>
      </w:r>
      <w:r>
        <w:rPr>
          <w:rFonts w:ascii="Arial" w:hAnsi="Arial"/>
          <w:i/>
          <w:color w:val="231F20"/>
          <w:w w:val="105"/>
          <w:sz w:val="18"/>
        </w:rPr>
        <w:t>visto</w:t>
      </w:r>
      <w:r>
        <w:rPr>
          <w:rFonts w:ascii="Arial" w:hAnsi="Arial"/>
          <w:i/>
          <w:color w:val="231F20"/>
          <w:spacing w:val="-22"/>
          <w:w w:val="105"/>
          <w:sz w:val="18"/>
        </w:rPr>
        <w:t> </w:t>
      </w:r>
      <w:r>
        <w:rPr>
          <w:rFonts w:ascii="Arial" w:hAnsi="Arial"/>
          <w:i/>
          <w:color w:val="231F20"/>
          <w:w w:val="105"/>
          <w:sz w:val="18"/>
        </w:rPr>
        <w:t>películas</w:t>
      </w:r>
      <w:r>
        <w:rPr>
          <w:rFonts w:ascii="Arial" w:hAnsi="Arial"/>
          <w:i/>
          <w:color w:val="231F20"/>
          <w:spacing w:val="-22"/>
          <w:w w:val="105"/>
          <w:sz w:val="18"/>
        </w:rPr>
        <w:t> </w:t>
      </w:r>
      <w:r>
        <w:rPr>
          <w:rFonts w:ascii="Arial" w:hAnsi="Arial"/>
          <w:i/>
          <w:color w:val="231F20"/>
          <w:w w:val="105"/>
          <w:sz w:val="18"/>
        </w:rPr>
        <w:t>en</w:t>
      </w:r>
      <w:r>
        <w:rPr>
          <w:rFonts w:ascii="Arial" w:hAnsi="Arial"/>
          <w:i/>
          <w:color w:val="231F20"/>
          <w:spacing w:val="-22"/>
          <w:w w:val="105"/>
          <w:sz w:val="18"/>
        </w:rPr>
        <w:t> </w:t>
      </w:r>
      <w:r>
        <w:rPr>
          <w:rFonts w:ascii="Arial" w:hAnsi="Arial"/>
          <w:i/>
          <w:color w:val="231F20"/>
          <w:w w:val="105"/>
          <w:sz w:val="18"/>
        </w:rPr>
        <w:t>blanco</w:t>
      </w:r>
      <w:r>
        <w:rPr>
          <w:rFonts w:ascii="Arial" w:hAnsi="Arial"/>
          <w:i/>
          <w:color w:val="231F20"/>
          <w:spacing w:val="-22"/>
          <w:w w:val="105"/>
          <w:sz w:val="18"/>
        </w:rPr>
        <w:t> </w:t>
      </w:r>
      <w:r>
        <w:rPr>
          <w:rFonts w:ascii="Arial" w:hAnsi="Arial"/>
          <w:i/>
          <w:color w:val="231F20"/>
          <w:w w:val="105"/>
          <w:sz w:val="18"/>
        </w:rPr>
        <w:t>y</w:t>
      </w:r>
      <w:r>
        <w:rPr>
          <w:rFonts w:ascii="Arial" w:hAnsi="Arial"/>
          <w:i/>
          <w:color w:val="231F20"/>
          <w:spacing w:val="-22"/>
          <w:w w:val="105"/>
          <w:sz w:val="18"/>
        </w:rPr>
        <w:t> </w:t>
      </w:r>
      <w:r>
        <w:rPr>
          <w:rFonts w:ascii="Arial" w:hAnsi="Arial"/>
          <w:i/>
          <w:color w:val="231F20"/>
          <w:w w:val="105"/>
          <w:sz w:val="18"/>
        </w:rPr>
        <w:t>negro.</w:t>
      </w:r>
    </w:p>
    <w:p>
      <w:pPr>
        <w:spacing w:line="249" w:lineRule="auto" w:before="114"/>
        <w:ind w:left="2903" w:right="1716" w:firstLine="0"/>
        <w:jc w:val="both"/>
        <w:rPr>
          <w:rFonts w:ascii="Arial" w:hAnsi="Arial"/>
          <w:i/>
          <w:sz w:val="18"/>
        </w:rPr>
      </w:pPr>
      <w:r>
        <w:rPr>
          <w:rFonts w:ascii="Arial" w:hAnsi="Arial"/>
          <w:i/>
          <w:color w:val="231F20"/>
          <w:w w:val="105"/>
          <w:sz w:val="18"/>
        </w:rPr>
        <w:t>Aquella</w:t>
      </w:r>
      <w:r>
        <w:rPr>
          <w:rFonts w:ascii="Arial" w:hAnsi="Arial"/>
          <w:i/>
          <w:color w:val="231F20"/>
          <w:spacing w:val="-5"/>
          <w:w w:val="105"/>
          <w:sz w:val="18"/>
        </w:rPr>
        <w:t> </w:t>
      </w:r>
      <w:r>
        <w:rPr>
          <w:rFonts w:ascii="Arial" w:hAnsi="Arial"/>
          <w:i/>
          <w:color w:val="231F20"/>
          <w:w w:val="105"/>
          <w:sz w:val="18"/>
        </w:rPr>
        <w:t>fue</w:t>
      </w:r>
      <w:r>
        <w:rPr>
          <w:rFonts w:ascii="Arial" w:hAnsi="Arial"/>
          <w:i/>
          <w:color w:val="231F20"/>
          <w:spacing w:val="-5"/>
          <w:w w:val="105"/>
          <w:sz w:val="18"/>
        </w:rPr>
        <w:t> </w:t>
      </w:r>
      <w:r>
        <w:rPr>
          <w:rFonts w:ascii="Arial" w:hAnsi="Arial"/>
          <w:i/>
          <w:color w:val="231F20"/>
          <w:w w:val="105"/>
          <w:sz w:val="18"/>
        </w:rPr>
        <w:t>una</w:t>
      </w:r>
      <w:r>
        <w:rPr>
          <w:rFonts w:ascii="Arial" w:hAnsi="Arial"/>
          <w:i/>
          <w:color w:val="231F20"/>
          <w:spacing w:val="-5"/>
          <w:w w:val="105"/>
          <w:sz w:val="18"/>
        </w:rPr>
        <w:t> </w:t>
      </w:r>
      <w:r>
        <w:rPr>
          <w:rFonts w:ascii="Arial" w:hAnsi="Arial"/>
          <w:i/>
          <w:color w:val="231F20"/>
          <w:w w:val="105"/>
          <w:sz w:val="18"/>
        </w:rPr>
        <w:t>época</w:t>
      </w:r>
      <w:r>
        <w:rPr>
          <w:rFonts w:ascii="Arial" w:hAnsi="Arial"/>
          <w:i/>
          <w:color w:val="231F20"/>
          <w:spacing w:val="-5"/>
          <w:w w:val="105"/>
          <w:sz w:val="18"/>
        </w:rPr>
        <w:t> </w:t>
      </w:r>
      <w:r>
        <w:rPr>
          <w:rFonts w:ascii="Arial" w:hAnsi="Arial"/>
          <w:i/>
          <w:color w:val="231F20"/>
          <w:w w:val="105"/>
          <w:sz w:val="18"/>
        </w:rPr>
        <w:t>dura,</w:t>
      </w:r>
      <w:r>
        <w:rPr>
          <w:rFonts w:ascii="Arial" w:hAnsi="Arial"/>
          <w:i/>
          <w:color w:val="231F20"/>
          <w:spacing w:val="-9"/>
          <w:w w:val="105"/>
          <w:sz w:val="18"/>
        </w:rPr>
        <w:t> </w:t>
      </w:r>
      <w:r>
        <w:rPr>
          <w:rFonts w:ascii="Arial" w:hAnsi="Arial"/>
          <w:i/>
          <w:color w:val="231F20"/>
          <w:w w:val="105"/>
          <w:sz w:val="18"/>
        </w:rPr>
        <w:t>pero</w:t>
      </w:r>
      <w:r>
        <w:rPr>
          <w:rFonts w:ascii="Arial" w:hAnsi="Arial"/>
          <w:i/>
          <w:color w:val="231F20"/>
          <w:spacing w:val="-5"/>
          <w:w w:val="105"/>
          <w:sz w:val="18"/>
        </w:rPr>
        <w:t> </w:t>
      </w:r>
      <w:r>
        <w:rPr>
          <w:rFonts w:ascii="Arial" w:hAnsi="Arial"/>
          <w:i/>
          <w:color w:val="231F20"/>
          <w:w w:val="105"/>
          <w:sz w:val="18"/>
        </w:rPr>
        <w:t>mi</w:t>
      </w:r>
      <w:r>
        <w:rPr>
          <w:rFonts w:ascii="Arial" w:hAnsi="Arial"/>
          <w:i/>
          <w:color w:val="231F20"/>
          <w:spacing w:val="-5"/>
          <w:w w:val="105"/>
          <w:sz w:val="18"/>
        </w:rPr>
        <w:t> </w:t>
      </w:r>
      <w:r>
        <w:rPr>
          <w:rFonts w:ascii="Arial" w:hAnsi="Arial"/>
          <w:i/>
          <w:color w:val="231F20"/>
          <w:w w:val="105"/>
          <w:sz w:val="18"/>
        </w:rPr>
        <w:t>historia</w:t>
      </w:r>
      <w:r>
        <w:rPr>
          <w:rFonts w:ascii="Arial" w:hAnsi="Arial"/>
          <w:i/>
          <w:color w:val="231F20"/>
          <w:spacing w:val="-5"/>
          <w:w w:val="105"/>
          <w:sz w:val="18"/>
        </w:rPr>
        <w:t> </w:t>
      </w:r>
      <w:r>
        <w:rPr>
          <w:rFonts w:ascii="Arial" w:hAnsi="Arial"/>
          <w:i/>
          <w:color w:val="231F20"/>
          <w:w w:val="105"/>
          <w:sz w:val="18"/>
        </w:rPr>
        <w:t>no</w:t>
      </w:r>
      <w:r>
        <w:rPr>
          <w:rFonts w:ascii="Arial" w:hAnsi="Arial"/>
          <w:i/>
          <w:color w:val="231F20"/>
          <w:spacing w:val="-5"/>
          <w:w w:val="105"/>
          <w:sz w:val="18"/>
        </w:rPr>
        <w:t> </w:t>
      </w:r>
      <w:r>
        <w:rPr>
          <w:rFonts w:ascii="Arial" w:hAnsi="Arial"/>
          <w:i/>
          <w:color w:val="231F20"/>
          <w:w w:val="105"/>
          <w:sz w:val="18"/>
        </w:rPr>
        <w:t>es</w:t>
      </w:r>
      <w:r>
        <w:rPr>
          <w:rFonts w:ascii="Arial" w:hAnsi="Arial"/>
          <w:i/>
          <w:color w:val="231F20"/>
          <w:spacing w:val="-5"/>
          <w:w w:val="105"/>
          <w:sz w:val="18"/>
        </w:rPr>
        <w:t> </w:t>
      </w:r>
      <w:r>
        <w:rPr>
          <w:rFonts w:ascii="Arial" w:hAnsi="Arial"/>
          <w:i/>
          <w:color w:val="231F20"/>
          <w:w w:val="105"/>
          <w:sz w:val="18"/>
        </w:rPr>
        <w:t>triste,</w:t>
      </w:r>
      <w:r>
        <w:rPr>
          <w:rFonts w:ascii="Arial" w:hAnsi="Arial"/>
          <w:i/>
          <w:color w:val="231F20"/>
          <w:spacing w:val="-9"/>
          <w:w w:val="105"/>
          <w:sz w:val="18"/>
        </w:rPr>
        <w:t> </w:t>
      </w:r>
      <w:r>
        <w:rPr>
          <w:rFonts w:ascii="Arial" w:hAnsi="Arial"/>
          <w:i/>
          <w:color w:val="231F20"/>
          <w:w w:val="105"/>
          <w:sz w:val="18"/>
        </w:rPr>
        <w:t>procuré</w:t>
      </w:r>
      <w:r>
        <w:rPr>
          <w:rFonts w:ascii="Arial" w:hAnsi="Arial"/>
          <w:i/>
          <w:color w:val="231F20"/>
          <w:spacing w:val="-5"/>
          <w:w w:val="105"/>
          <w:sz w:val="18"/>
        </w:rPr>
        <w:t> </w:t>
      </w:r>
      <w:r>
        <w:rPr>
          <w:rFonts w:ascii="Arial" w:hAnsi="Arial"/>
          <w:i/>
          <w:color w:val="231F20"/>
          <w:w w:val="105"/>
          <w:sz w:val="18"/>
        </w:rPr>
        <w:t>estar </w:t>
      </w:r>
      <w:r>
        <w:rPr>
          <w:rFonts w:ascii="Arial" w:hAnsi="Arial"/>
          <w:i/>
          <w:color w:val="231F20"/>
          <w:w w:val="105"/>
          <w:sz w:val="18"/>
        </w:rPr>
        <w:t>todo el tiempo alegre. Me fue bien. Los patrones siempre me trataron bien. </w:t>
      </w:r>
      <w:r>
        <w:rPr>
          <w:rFonts w:ascii="Arial" w:hAnsi="Arial"/>
          <w:i/>
          <w:color w:val="231F20"/>
          <w:spacing w:val="-7"/>
          <w:w w:val="105"/>
          <w:sz w:val="18"/>
        </w:rPr>
        <w:t>Yo </w:t>
      </w:r>
      <w:r>
        <w:rPr>
          <w:rFonts w:ascii="Arial" w:hAnsi="Arial"/>
          <w:i/>
          <w:color w:val="231F20"/>
          <w:w w:val="105"/>
          <w:sz w:val="18"/>
        </w:rPr>
        <w:t>creo que por el trabajo que hacía, y que lo hacía bien. Era el último</w:t>
      </w:r>
      <w:r>
        <w:rPr>
          <w:rFonts w:ascii="Arial" w:hAnsi="Arial"/>
          <w:i/>
          <w:color w:val="231F20"/>
          <w:spacing w:val="-6"/>
          <w:w w:val="105"/>
          <w:sz w:val="18"/>
        </w:rPr>
        <w:t> </w:t>
      </w:r>
      <w:r>
        <w:rPr>
          <w:rFonts w:ascii="Arial" w:hAnsi="Arial"/>
          <w:i/>
          <w:color w:val="231F20"/>
          <w:w w:val="105"/>
          <w:sz w:val="18"/>
        </w:rPr>
        <w:t>en</w:t>
      </w:r>
      <w:r>
        <w:rPr>
          <w:rFonts w:ascii="Arial" w:hAnsi="Arial"/>
          <w:i/>
          <w:color w:val="231F20"/>
          <w:spacing w:val="-6"/>
          <w:w w:val="105"/>
          <w:sz w:val="18"/>
        </w:rPr>
        <w:t> </w:t>
      </w:r>
      <w:r>
        <w:rPr>
          <w:rFonts w:ascii="Arial" w:hAnsi="Arial"/>
          <w:i/>
          <w:color w:val="231F20"/>
          <w:w w:val="105"/>
          <w:sz w:val="18"/>
        </w:rPr>
        <w:t>salir</w:t>
      </w:r>
      <w:r>
        <w:rPr>
          <w:rFonts w:ascii="Arial" w:hAnsi="Arial"/>
          <w:i/>
          <w:color w:val="231F20"/>
          <w:spacing w:val="-6"/>
          <w:w w:val="105"/>
          <w:sz w:val="18"/>
        </w:rPr>
        <w:t> </w:t>
      </w:r>
      <w:r>
        <w:rPr>
          <w:rFonts w:ascii="Arial" w:hAnsi="Arial"/>
          <w:i/>
          <w:color w:val="231F20"/>
          <w:w w:val="105"/>
          <w:sz w:val="18"/>
        </w:rPr>
        <w:t>de</w:t>
      </w:r>
      <w:r>
        <w:rPr>
          <w:rFonts w:ascii="Arial" w:hAnsi="Arial"/>
          <w:i/>
          <w:color w:val="231F20"/>
          <w:spacing w:val="-6"/>
          <w:w w:val="105"/>
          <w:sz w:val="18"/>
        </w:rPr>
        <w:t> </w:t>
      </w:r>
      <w:r>
        <w:rPr>
          <w:rFonts w:ascii="Arial" w:hAnsi="Arial"/>
          <w:i/>
          <w:color w:val="231F20"/>
          <w:w w:val="105"/>
          <w:sz w:val="18"/>
        </w:rPr>
        <w:t>mi</w:t>
      </w:r>
      <w:r>
        <w:rPr>
          <w:rFonts w:ascii="Arial" w:hAnsi="Arial"/>
          <w:i/>
          <w:color w:val="231F20"/>
          <w:spacing w:val="-6"/>
          <w:w w:val="105"/>
          <w:sz w:val="18"/>
        </w:rPr>
        <w:t> </w:t>
      </w:r>
      <w:r>
        <w:rPr>
          <w:rFonts w:ascii="Arial" w:hAnsi="Arial"/>
          <w:i/>
          <w:color w:val="231F20"/>
          <w:w w:val="105"/>
          <w:sz w:val="18"/>
        </w:rPr>
        <w:t>trabajo,</w:t>
      </w:r>
      <w:r>
        <w:rPr>
          <w:rFonts w:ascii="Arial" w:hAnsi="Arial"/>
          <w:i/>
          <w:color w:val="231F20"/>
          <w:spacing w:val="-11"/>
          <w:w w:val="105"/>
          <w:sz w:val="18"/>
        </w:rPr>
        <w:t> </w:t>
      </w:r>
      <w:r>
        <w:rPr>
          <w:rFonts w:ascii="Arial" w:hAnsi="Arial"/>
          <w:i/>
          <w:color w:val="231F20"/>
          <w:w w:val="105"/>
          <w:sz w:val="18"/>
        </w:rPr>
        <w:t>y</w:t>
      </w:r>
      <w:r>
        <w:rPr>
          <w:rFonts w:ascii="Arial" w:hAnsi="Arial"/>
          <w:i/>
          <w:color w:val="231F20"/>
          <w:spacing w:val="-6"/>
          <w:w w:val="105"/>
          <w:sz w:val="18"/>
        </w:rPr>
        <w:t> </w:t>
      </w:r>
      <w:r>
        <w:rPr>
          <w:rFonts w:ascii="Arial" w:hAnsi="Arial"/>
          <w:i/>
          <w:color w:val="231F20"/>
          <w:w w:val="105"/>
          <w:sz w:val="18"/>
        </w:rPr>
        <w:t>el</w:t>
      </w:r>
      <w:r>
        <w:rPr>
          <w:rFonts w:ascii="Arial" w:hAnsi="Arial"/>
          <w:i/>
          <w:color w:val="231F20"/>
          <w:spacing w:val="-6"/>
          <w:w w:val="105"/>
          <w:sz w:val="18"/>
        </w:rPr>
        <w:t> </w:t>
      </w:r>
      <w:r>
        <w:rPr>
          <w:rFonts w:ascii="Arial" w:hAnsi="Arial"/>
          <w:i/>
          <w:color w:val="231F20"/>
          <w:w w:val="105"/>
          <w:sz w:val="18"/>
        </w:rPr>
        <w:t>último</w:t>
      </w:r>
      <w:r>
        <w:rPr>
          <w:rFonts w:ascii="Arial" w:hAnsi="Arial"/>
          <w:i/>
          <w:color w:val="231F20"/>
          <w:spacing w:val="-6"/>
          <w:w w:val="105"/>
          <w:sz w:val="18"/>
        </w:rPr>
        <w:t> </w:t>
      </w:r>
      <w:r>
        <w:rPr>
          <w:rFonts w:ascii="Arial" w:hAnsi="Arial"/>
          <w:i/>
          <w:color w:val="231F20"/>
          <w:w w:val="105"/>
          <w:sz w:val="18"/>
        </w:rPr>
        <w:t>en</w:t>
      </w:r>
      <w:r>
        <w:rPr>
          <w:rFonts w:ascii="Arial" w:hAnsi="Arial"/>
          <w:i/>
          <w:color w:val="231F20"/>
          <w:spacing w:val="-6"/>
          <w:w w:val="105"/>
          <w:sz w:val="18"/>
        </w:rPr>
        <w:t> </w:t>
      </w:r>
      <w:r>
        <w:rPr>
          <w:rFonts w:ascii="Arial" w:hAnsi="Arial"/>
          <w:i/>
          <w:color w:val="231F20"/>
          <w:w w:val="105"/>
          <w:sz w:val="18"/>
        </w:rPr>
        <w:t>venirme</w:t>
      </w:r>
      <w:r>
        <w:rPr>
          <w:rFonts w:ascii="Arial" w:hAnsi="Arial"/>
          <w:i/>
          <w:color w:val="231F20"/>
          <w:spacing w:val="-6"/>
          <w:w w:val="105"/>
          <w:sz w:val="18"/>
        </w:rPr>
        <w:t> </w:t>
      </w:r>
      <w:r>
        <w:rPr>
          <w:rFonts w:ascii="Arial" w:hAnsi="Arial"/>
          <w:i/>
          <w:color w:val="231F20"/>
          <w:w w:val="105"/>
          <w:sz w:val="18"/>
        </w:rPr>
        <w:t>a</w:t>
      </w:r>
      <w:r>
        <w:rPr>
          <w:rFonts w:ascii="Arial" w:hAnsi="Arial"/>
          <w:i/>
          <w:color w:val="231F20"/>
          <w:spacing w:val="-6"/>
          <w:w w:val="105"/>
          <w:sz w:val="18"/>
        </w:rPr>
        <w:t> </w:t>
      </w:r>
      <w:r>
        <w:rPr>
          <w:rFonts w:ascii="Arial" w:hAnsi="Arial"/>
          <w:i/>
          <w:color w:val="231F20"/>
          <w:w w:val="105"/>
          <w:sz w:val="18"/>
        </w:rPr>
        <w:t>México</w:t>
      </w:r>
      <w:r>
        <w:rPr>
          <w:rFonts w:ascii="Arial" w:hAnsi="Arial"/>
          <w:i/>
          <w:color w:val="231F20"/>
          <w:spacing w:val="-6"/>
          <w:w w:val="105"/>
          <w:sz w:val="18"/>
        </w:rPr>
        <w:t> </w:t>
      </w:r>
      <w:r>
        <w:rPr>
          <w:rFonts w:ascii="Arial" w:hAnsi="Arial"/>
          <w:i/>
          <w:color w:val="231F20"/>
          <w:w w:val="105"/>
          <w:sz w:val="18"/>
        </w:rPr>
        <w:t>al</w:t>
      </w:r>
      <w:r>
        <w:rPr>
          <w:rFonts w:ascii="Arial" w:hAnsi="Arial"/>
          <w:i/>
          <w:color w:val="231F20"/>
          <w:spacing w:val="-6"/>
          <w:w w:val="105"/>
          <w:sz w:val="18"/>
        </w:rPr>
        <w:t> </w:t>
      </w:r>
      <w:r>
        <w:rPr>
          <w:rFonts w:ascii="Arial" w:hAnsi="Arial"/>
          <w:i/>
          <w:color w:val="231F20"/>
          <w:w w:val="105"/>
          <w:sz w:val="18"/>
        </w:rPr>
        <w:t>final</w:t>
      </w:r>
      <w:r>
        <w:rPr>
          <w:rFonts w:ascii="Arial" w:hAnsi="Arial"/>
          <w:i/>
          <w:color w:val="231F20"/>
          <w:spacing w:val="-6"/>
          <w:w w:val="105"/>
          <w:sz w:val="18"/>
        </w:rPr>
        <w:t> </w:t>
      </w:r>
      <w:r>
        <w:rPr>
          <w:rFonts w:ascii="Arial" w:hAnsi="Arial"/>
          <w:i/>
          <w:color w:val="231F20"/>
          <w:w w:val="105"/>
          <w:sz w:val="18"/>
        </w:rPr>
        <w:t>de la</w:t>
      </w:r>
      <w:r>
        <w:rPr>
          <w:rFonts w:ascii="Arial" w:hAnsi="Arial"/>
          <w:i/>
          <w:color w:val="231F20"/>
          <w:spacing w:val="-15"/>
          <w:w w:val="105"/>
          <w:sz w:val="18"/>
        </w:rPr>
        <w:t> </w:t>
      </w:r>
      <w:r>
        <w:rPr>
          <w:rFonts w:ascii="Arial" w:hAnsi="Arial"/>
          <w:i/>
          <w:color w:val="231F20"/>
          <w:w w:val="105"/>
          <w:sz w:val="18"/>
        </w:rPr>
        <w:t>temporada.</w:t>
      </w:r>
      <w:r>
        <w:rPr>
          <w:rFonts w:ascii="Arial" w:hAnsi="Arial"/>
          <w:i/>
          <w:color w:val="231F20"/>
          <w:spacing w:val="-19"/>
          <w:w w:val="105"/>
          <w:sz w:val="18"/>
        </w:rPr>
        <w:t> </w:t>
      </w:r>
      <w:r>
        <w:rPr>
          <w:rFonts w:ascii="Arial" w:hAnsi="Arial"/>
          <w:i/>
          <w:color w:val="231F20"/>
          <w:w w:val="105"/>
          <w:sz w:val="18"/>
        </w:rPr>
        <w:t>En</w:t>
      </w:r>
      <w:r>
        <w:rPr>
          <w:rFonts w:ascii="Arial" w:hAnsi="Arial"/>
          <w:i/>
          <w:color w:val="231F20"/>
          <w:spacing w:val="-15"/>
          <w:w w:val="105"/>
          <w:sz w:val="18"/>
        </w:rPr>
        <w:t> </w:t>
      </w:r>
      <w:r>
        <w:rPr>
          <w:rFonts w:ascii="Arial" w:hAnsi="Arial"/>
          <w:i/>
          <w:color w:val="231F20"/>
          <w:w w:val="105"/>
          <w:sz w:val="18"/>
        </w:rPr>
        <w:t>California</w:t>
      </w:r>
      <w:r>
        <w:rPr>
          <w:rFonts w:ascii="Arial" w:hAnsi="Arial"/>
          <w:i/>
          <w:color w:val="231F20"/>
          <w:spacing w:val="-15"/>
          <w:w w:val="105"/>
          <w:sz w:val="18"/>
        </w:rPr>
        <w:t> </w:t>
      </w:r>
      <w:r>
        <w:rPr>
          <w:rFonts w:ascii="Arial" w:hAnsi="Arial"/>
          <w:i/>
          <w:color w:val="231F20"/>
          <w:w w:val="105"/>
          <w:sz w:val="18"/>
        </w:rPr>
        <w:t>estuve</w:t>
      </w:r>
      <w:r>
        <w:rPr>
          <w:rFonts w:ascii="Arial" w:hAnsi="Arial"/>
          <w:i/>
          <w:color w:val="231F20"/>
          <w:spacing w:val="-15"/>
          <w:w w:val="105"/>
          <w:sz w:val="18"/>
        </w:rPr>
        <w:t> </w:t>
      </w:r>
      <w:r>
        <w:rPr>
          <w:rFonts w:ascii="Arial" w:hAnsi="Arial"/>
          <w:i/>
          <w:color w:val="231F20"/>
          <w:w w:val="105"/>
          <w:sz w:val="18"/>
        </w:rPr>
        <w:t>cuatro</w:t>
      </w:r>
      <w:r>
        <w:rPr>
          <w:rFonts w:ascii="Arial" w:hAnsi="Arial"/>
          <w:i/>
          <w:color w:val="231F20"/>
          <w:spacing w:val="-15"/>
          <w:w w:val="105"/>
          <w:sz w:val="18"/>
        </w:rPr>
        <w:t> </w:t>
      </w:r>
      <w:r>
        <w:rPr>
          <w:rFonts w:ascii="Arial" w:hAnsi="Arial"/>
          <w:i/>
          <w:color w:val="231F20"/>
          <w:w w:val="105"/>
          <w:sz w:val="18"/>
        </w:rPr>
        <w:t>años</w:t>
      </w:r>
      <w:r>
        <w:rPr>
          <w:rFonts w:ascii="Arial" w:hAnsi="Arial"/>
          <w:i/>
          <w:color w:val="231F20"/>
          <w:spacing w:val="-15"/>
          <w:w w:val="105"/>
          <w:sz w:val="18"/>
        </w:rPr>
        <w:t> </w:t>
      </w:r>
      <w:r>
        <w:rPr>
          <w:rFonts w:ascii="Arial" w:hAnsi="Arial"/>
          <w:i/>
          <w:color w:val="231F20"/>
          <w:w w:val="105"/>
          <w:sz w:val="18"/>
        </w:rPr>
        <w:t>con</w:t>
      </w:r>
      <w:r>
        <w:rPr>
          <w:rFonts w:ascii="Arial" w:hAnsi="Arial"/>
          <w:i/>
          <w:color w:val="231F20"/>
          <w:spacing w:val="-15"/>
          <w:w w:val="105"/>
          <w:sz w:val="18"/>
        </w:rPr>
        <w:t> </w:t>
      </w:r>
      <w:r>
        <w:rPr>
          <w:rFonts w:ascii="Arial" w:hAnsi="Arial"/>
          <w:i/>
          <w:color w:val="231F20"/>
          <w:w w:val="105"/>
          <w:sz w:val="18"/>
        </w:rPr>
        <w:t>el</w:t>
      </w:r>
      <w:r>
        <w:rPr>
          <w:rFonts w:ascii="Arial" w:hAnsi="Arial"/>
          <w:i/>
          <w:color w:val="231F20"/>
          <w:spacing w:val="-15"/>
          <w:w w:val="105"/>
          <w:sz w:val="18"/>
        </w:rPr>
        <w:t> </w:t>
      </w:r>
      <w:r>
        <w:rPr>
          <w:rFonts w:ascii="Arial" w:hAnsi="Arial"/>
          <w:i/>
          <w:color w:val="231F20"/>
          <w:w w:val="105"/>
          <w:sz w:val="18"/>
        </w:rPr>
        <w:t>mismo</w:t>
      </w:r>
      <w:r>
        <w:rPr>
          <w:rFonts w:ascii="Arial" w:hAnsi="Arial"/>
          <w:i/>
          <w:color w:val="231F20"/>
          <w:spacing w:val="-15"/>
          <w:w w:val="105"/>
          <w:sz w:val="18"/>
        </w:rPr>
        <w:t> </w:t>
      </w:r>
      <w:r>
        <w:rPr>
          <w:rFonts w:ascii="Arial" w:hAnsi="Arial"/>
          <w:i/>
          <w:color w:val="231F20"/>
          <w:w w:val="105"/>
          <w:sz w:val="18"/>
        </w:rPr>
        <w:t>patrón,</w:t>
      </w:r>
      <w:r>
        <w:rPr>
          <w:rFonts w:ascii="Arial" w:hAnsi="Arial"/>
          <w:i/>
          <w:color w:val="231F20"/>
          <w:spacing w:val="-19"/>
          <w:w w:val="105"/>
          <w:sz w:val="18"/>
        </w:rPr>
        <w:t> </w:t>
      </w:r>
      <w:r>
        <w:rPr>
          <w:rFonts w:ascii="Arial" w:hAnsi="Arial"/>
          <w:i/>
          <w:color w:val="231F20"/>
          <w:w w:val="105"/>
          <w:sz w:val="18"/>
        </w:rPr>
        <w:t>un japonés,</w:t>
      </w:r>
      <w:r>
        <w:rPr>
          <w:rFonts w:ascii="Arial" w:hAnsi="Arial"/>
          <w:i/>
          <w:color w:val="231F20"/>
          <w:spacing w:val="-32"/>
          <w:w w:val="105"/>
          <w:sz w:val="18"/>
        </w:rPr>
        <w:t> </w:t>
      </w:r>
      <w:r>
        <w:rPr>
          <w:rFonts w:ascii="Arial" w:hAnsi="Arial"/>
          <w:i/>
          <w:color w:val="231F20"/>
          <w:w w:val="105"/>
          <w:sz w:val="18"/>
        </w:rPr>
        <w:t>él</w:t>
      </w:r>
      <w:r>
        <w:rPr>
          <w:rFonts w:ascii="Arial" w:hAnsi="Arial"/>
          <w:i/>
          <w:color w:val="231F20"/>
          <w:spacing w:val="-28"/>
          <w:w w:val="105"/>
          <w:sz w:val="18"/>
        </w:rPr>
        <w:t> </w:t>
      </w:r>
      <w:r>
        <w:rPr>
          <w:rFonts w:ascii="Arial" w:hAnsi="Arial"/>
          <w:i/>
          <w:color w:val="231F20"/>
          <w:w w:val="105"/>
          <w:sz w:val="18"/>
        </w:rPr>
        <w:t>me</w:t>
      </w:r>
      <w:r>
        <w:rPr>
          <w:rFonts w:ascii="Arial" w:hAnsi="Arial"/>
          <w:i/>
          <w:color w:val="231F20"/>
          <w:spacing w:val="-28"/>
          <w:w w:val="105"/>
          <w:sz w:val="18"/>
        </w:rPr>
        <w:t> </w:t>
      </w:r>
      <w:r>
        <w:rPr>
          <w:rFonts w:ascii="Arial" w:hAnsi="Arial"/>
          <w:i/>
          <w:color w:val="231F20"/>
          <w:w w:val="105"/>
          <w:sz w:val="18"/>
        </w:rPr>
        <w:t>daba</w:t>
      </w:r>
      <w:r>
        <w:rPr>
          <w:rFonts w:ascii="Arial" w:hAnsi="Arial"/>
          <w:i/>
          <w:color w:val="231F20"/>
          <w:spacing w:val="-28"/>
          <w:w w:val="105"/>
          <w:sz w:val="18"/>
        </w:rPr>
        <w:t> </w:t>
      </w:r>
      <w:r>
        <w:rPr>
          <w:rFonts w:ascii="Arial" w:hAnsi="Arial"/>
          <w:i/>
          <w:color w:val="231F20"/>
          <w:w w:val="105"/>
          <w:sz w:val="18"/>
        </w:rPr>
        <w:t>una</w:t>
      </w:r>
      <w:r>
        <w:rPr>
          <w:rFonts w:ascii="Arial" w:hAnsi="Arial"/>
          <w:i/>
          <w:color w:val="231F20"/>
          <w:spacing w:val="-28"/>
          <w:w w:val="105"/>
          <w:sz w:val="18"/>
        </w:rPr>
        <w:t> </w:t>
      </w:r>
      <w:r>
        <w:rPr>
          <w:rFonts w:ascii="Arial" w:hAnsi="Arial"/>
          <w:i/>
          <w:color w:val="231F20"/>
          <w:w w:val="105"/>
          <w:sz w:val="18"/>
        </w:rPr>
        <w:t>carta</w:t>
      </w:r>
      <w:r>
        <w:rPr>
          <w:rFonts w:ascii="Arial" w:hAnsi="Arial"/>
          <w:i/>
          <w:color w:val="231F20"/>
          <w:spacing w:val="-28"/>
          <w:w w:val="105"/>
          <w:sz w:val="18"/>
        </w:rPr>
        <w:t> </w:t>
      </w:r>
      <w:r>
        <w:rPr>
          <w:rFonts w:ascii="Arial" w:hAnsi="Arial"/>
          <w:i/>
          <w:color w:val="231F20"/>
          <w:w w:val="105"/>
          <w:sz w:val="18"/>
        </w:rPr>
        <w:t>y</w:t>
      </w:r>
      <w:r>
        <w:rPr>
          <w:rFonts w:ascii="Arial" w:hAnsi="Arial"/>
          <w:i/>
          <w:color w:val="231F20"/>
          <w:spacing w:val="-28"/>
          <w:w w:val="105"/>
          <w:sz w:val="18"/>
        </w:rPr>
        <w:t> </w:t>
      </w:r>
      <w:r>
        <w:rPr>
          <w:rFonts w:ascii="Arial" w:hAnsi="Arial"/>
          <w:i/>
          <w:color w:val="231F20"/>
          <w:w w:val="105"/>
          <w:sz w:val="18"/>
        </w:rPr>
        <w:t>así</w:t>
      </w:r>
      <w:r>
        <w:rPr>
          <w:rFonts w:ascii="Arial" w:hAnsi="Arial"/>
          <w:i/>
          <w:color w:val="231F20"/>
          <w:spacing w:val="-28"/>
          <w:w w:val="105"/>
          <w:sz w:val="18"/>
        </w:rPr>
        <w:t> </w:t>
      </w:r>
      <w:r>
        <w:rPr>
          <w:rFonts w:ascii="Arial" w:hAnsi="Arial"/>
          <w:i/>
          <w:color w:val="231F20"/>
          <w:w w:val="105"/>
          <w:sz w:val="18"/>
        </w:rPr>
        <w:t>no</w:t>
      </w:r>
      <w:r>
        <w:rPr>
          <w:rFonts w:ascii="Arial" w:hAnsi="Arial"/>
          <w:i/>
          <w:color w:val="231F20"/>
          <w:spacing w:val="-28"/>
          <w:w w:val="105"/>
          <w:sz w:val="18"/>
        </w:rPr>
        <w:t> </w:t>
      </w:r>
      <w:r>
        <w:rPr>
          <w:rFonts w:ascii="Arial" w:hAnsi="Arial"/>
          <w:i/>
          <w:color w:val="231F20"/>
          <w:w w:val="105"/>
          <w:sz w:val="18"/>
        </w:rPr>
        <w:t>tenía</w:t>
      </w:r>
      <w:r>
        <w:rPr>
          <w:rFonts w:ascii="Arial" w:hAnsi="Arial"/>
          <w:i/>
          <w:color w:val="231F20"/>
          <w:spacing w:val="-28"/>
          <w:w w:val="105"/>
          <w:sz w:val="18"/>
        </w:rPr>
        <w:t> </w:t>
      </w:r>
      <w:r>
        <w:rPr>
          <w:rFonts w:ascii="Arial" w:hAnsi="Arial"/>
          <w:i/>
          <w:color w:val="231F20"/>
          <w:w w:val="105"/>
          <w:sz w:val="18"/>
        </w:rPr>
        <w:t>problemas</w:t>
      </w:r>
      <w:r>
        <w:rPr>
          <w:rFonts w:ascii="Arial" w:hAnsi="Arial"/>
          <w:i/>
          <w:color w:val="231F20"/>
          <w:spacing w:val="-28"/>
          <w:w w:val="105"/>
          <w:sz w:val="18"/>
        </w:rPr>
        <w:t> </w:t>
      </w:r>
      <w:r>
        <w:rPr>
          <w:rFonts w:ascii="Arial" w:hAnsi="Arial"/>
          <w:i/>
          <w:color w:val="231F20"/>
          <w:w w:val="105"/>
          <w:sz w:val="18"/>
        </w:rPr>
        <w:t>para</w:t>
      </w:r>
      <w:r>
        <w:rPr>
          <w:rFonts w:ascii="Arial" w:hAnsi="Arial"/>
          <w:i/>
          <w:color w:val="231F20"/>
          <w:spacing w:val="-28"/>
          <w:w w:val="105"/>
          <w:sz w:val="18"/>
        </w:rPr>
        <w:t> </w:t>
      </w:r>
      <w:r>
        <w:rPr>
          <w:rFonts w:ascii="Arial" w:hAnsi="Arial"/>
          <w:i/>
          <w:color w:val="231F20"/>
          <w:spacing w:val="-3"/>
          <w:w w:val="105"/>
          <w:sz w:val="18"/>
        </w:rPr>
        <w:t>regresar.</w:t>
      </w:r>
      <w:r>
        <w:rPr>
          <w:rFonts w:ascii="Arial" w:hAnsi="Arial"/>
          <w:i/>
          <w:color w:val="231F20"/>
          <w:spacing w:val="-33"/>
          <w:w w:val="105"/>
          <w:sz w:val="18"/>
        </w:rPr>
        <w:t> </w:t>
      </w:r>
      <w:r>
        <w:rPr>
          <w:rFonts w:ascii="Arial" w:hAnsi="Arial"/>
          <w:i/>
          <w:color w:val="231F20"/>
          <w:w w:val="105"/>
          <w:sz w:val="18"/>
        </w:rPr>
        <w:t>Ahí trabaja</w:t>
      </w:r>
      <w:r>
        <w:rPr>
          <w:rFonts w:ascii="Arial" w:hAnsi="Arial"/>
          <w:i/>
          <w:color w:val="231F20"/>
          <w:spacing w:val="-40"/>
          <w:w w:val="105"/>
          <w:sz w:val="18"/>
        </w:rPr>
        <w:t> </w:t>
      </w:r>
      <w:r>
        <w:rPr>
          <w:rFonts w:ascii="Arial" w:hAnsi="Arial"/>
          <w:i/>
          <w:color w:val="231F20"/>
          <w:w w:val="105"/>
          <w:sz w:val="18"/>
        </w:rPr>
        <w:t>junto</w:t>
      </w:r>
      <w:r>
        <w:rPr>
          <w:rFonts w:ascii="Arial" w:hAnsi="Arial"/>
          <w:i/>
          <w:color w:val="231F20"/>
          <w:spacing w:val="-40"/>
          <w:w w:val="105"/>
          <w:sz w:val="18"/>
        </w:rPr>
        <w:t> </w:t>
      </w:r>
      <w:r>
        <w:rPr>
          <w:rFonts w:ascii="Arial" w:hAnsi="Arial"/>
          <w:i/>
          <w:color w:val="231F20"/>
          <w:w w:val="105"/>
          <w:sz w:val="18"/>
        </w:rPr>
        <w:t>a</w:t>
      </w:r>
      <w:r>
        <w:rPr>
          <w:rFonts w:ascii="Arial" w:hAnsi="Arial"/>
          <w:i/>
          <w:color w:val="231F20"/>
          <w:spacing w:val="-40"/>
          <w:w w:val="105"/>
          <w:sz w:val="18"/>
        </w:rPr>
        <w:t> </w:t>
      </w:r>
      <w:r>
        <w:rPr>
          <w:rFonts w:ascii="Arial" w:hAnsi="Arial"/>
          <w:i/>
          <w:color w:val="231F20"/>
          <w:w w:val="105"/>
          <w:sz w:val="18"/>
        </w:rPr>
        <w:t>personas</w:t>
      </w:r>
      <w:r>
        <w:rPr>
          <w:rFonts w:ascii="Arial" w:hAnsi="Arial"/>
          <w:i/>
          <w:color w:val="231F20"/>
          <w:spacing w:val="-40"/>
          <w:w w:val="105"/>
          <w:sz w:val="18"/>
        </w:rPr>
        <w:t> </w:t>
      </w:r>
      <w:r>
        <w:rPr>
          <w:rFonts w:ascii="Arial" w:hAnsi="Arial"/>
          <w:i/>
          <w:color w:val="231F20"/>
          <w:w w:val="105"/>
          <w:sz w:val="18"/>
        </w:rPr>
        <w:t>que</w:t>
      </w:r>
      <w:r>
        <w:rPr>
          <w:rFonts w:ascii="Arial" w:hAnsi="Arial"/>
          <w:i/>
          <w:color w:val="231F20"/>
          <w:spacing w:val="-40"/>
          <w:w w:val="105"/>
          <w:sz w:val="18"/>
        </w:rPr>
        <w:t> </w:t>
      </w:r>
      <w:r>
        <w:rPr>
          <w:rFonts w:ascii="Arial" w:hAnsi="Arial"/>
          <w:i/>
          <w:color w:val="231F20"/>
          <w:w w:val="105"/>
          <w:sz w:val="18"/>
        </w:rPr>
        <w:t>en</w:t>
      </w:r>
      <w:r>
        <w:rPr>
          <w:rFonts w:ascii="Arial" w:hAnsi="Arial"/>
          <w:i/>
          <w:color w:val="231F20"/>
          <w:spacing w:val="-40"/>
          <w:w w:val="105"/>
          <w:sz w:val="18"/>
        </w:rPr>
        <w:t> </w:t>
      </w:r>
      <w:r>
        <w:rPr>
          <w:rFonts w:ascii="Arial" w:hAnsi="Arial"/>
          <w:i/>
          <w:color w:val="231F20"/>
          <w:w w:val="105"/>
          <w:sz w:val="18"/>
        </w:rPr>
        <w:t>su</w:t>
      </w:r>
      <w:r>
        <w:rPr>
          <w:rFonts w:ascii="Arial" w:hAnsi="Arial"/>
          <w:i/>
          <w:color w:val="231F20"/>
          <w:spacing w:val="-40"/>
          <w:w w:val="105"/>
          <w:sz w:val="18"/>
        </w:rPr>
        <w:t> </w:t>
      </w:r>
      <w:r>
        <w:rPr>
          <w:rFonts w:ascii="Arial" w:hAnsi="Arial"/>
          <w:i/>
          <w:color w:val="231F20"/>
          <w:w w:val="105"/>
          <w:sz w:val="18"/>
        </w:rPr>
        <w:t>mayoría</w:t>
      </w:r>
      <w:r>
        <w:rPr>
          <w:rFonts w:ascii="Arial" w:hAnsi="Arial"/>
          <w:i/>
          <w:color w:val="231F20"/>
          <w:spacing w:val="-40"/>
          <w:w w:val="105"/>
          <w:sz w:val="18"/>
        </w:rPr>
        <w:t> </w:t>
      </w:r>
      <w:r>
        <w:rPr>
          <w:rFonts w:ascii="Arial" w:hAnsi="Arial"/>
          <w:i/>
          <w:color w:val="231F20"/>
          <w:w w:val="105"/>
          <w:sz w:val="18"/>
        </w:rPr>
        <w:t>eran</w:t>
      </w:r>
      <w:r>
        <w:rPr>
          <w:rFonts w:ascii="Arial" w:hAnsi="Arial"/>
          <w:i/>
          <w:color w:val="231F20"/>
          <w:spacing w:val="-40"/>
          <w:w w:val="105"/>
          <w:sz w:val="18"/>
        </w:rPr>
        <w:t> </w:t>
      </w:r>
      <w:r>
        <w:rPr>
          <w:rFonts w:ascii="Arial" w:hAnsi="Arial"/>
          <w:i/>
          <w:color w:val="231F20"/>
          <w:w w:val="105"/>
          <w:sz w:val="18"/>
        </w:rPr>
        <w:t>de</w:t>
      </w:r>
      <w:r>
        <w:rPr>
          <w:rFonts w:ascii="Arial" w:hAnsi="Arial"/>
          <w:i/>
          <w:color w:val="231F20"/>
          <w:spacing w:val="-41"/>
          <w:w w:val="105"/>
          <w:sz w:val="18"/>
        </w:rPr>
        <w:t> </w:t>
      </w:r>
      <w:r>
        <w:rPr>
          <w:rFonts w:ascii="Arial" w:hAnsi="Arial"/>
          <w:i/>
          <w:color w:val="231F20"/>
          <w:w w:val="105"/>
          <w:sz w:val="18"/>
        </w:rPr>
        <w:t>Jalisco</w:t>
      </w:r>
      <w:r>
        <w:rPr>
          <w:rFonts w:ascii="Arial" w:hAnsi="Arial"/>
          <w:i/>
          <w:color w:val="231F20"/>
          <w:spacing w:val="-40"/>
          <w:w w:val="105"/>
          <w:sz w:val="18"/>
        </w:rPr>
        <w:t> </w:t>
      </w:r>
      <w:r>
        <w:rPr>
          <w:rFonts w:ascii="Arial" w:hAnsi="Arial"/>
          <w:i/>
          <w:color w:val="231F20"/>
          <w:w w:val="105"/>
          <w:sz w:val="18"/>
        </w:rPr>
        <w:t>y</w:t>
      </w:r>
      <w:r>
        <w:rPr>
          <w:rFonts w:ascii="Arial" w:hAnsi="Arial"/>
          <w:i/>
          <w:color w:val="231F20"/>
          <w:spacing w:val="-40"/>
          <w:w w:val="105"/>
          <w:sz w:val="18"/>
        </w:rPr>
        <w:t> </w:t>
      </w:r>
      <w:r>
        <w:rPr>
          <w:rFonts w:ascii="Arial" w:hAnsi="Arial"/>
          <w:i/>
          <w:color w:val="231F20"/>
          <w:w w:val="105"/>
          <w:sz w:val="18"/>
        </w:rPr>
        <w:t>de</w:t>
      </w:r>
      <w:r>
        <w:rPr>
          <w:rFonts w:ascii="Arial" w:hAnsi="Arial"/>
          <w:i/>
          <w:color w:val="231F20"/>
          <w:spacing w:val="-40"/>
          <w:w w:val="105"/>
          <w:sz w:val="18"/>
        </w:rPr>
        <w:t> </w:t>
      </w:r>
      <w:r>
        <w:rPr>
          <w:rFonts w:ascii="Arial" w:hAnsi="Arial"/>
          <w:i/>
          <w:color w:val="231F20"/>
          <w:w w:val="105"/>
          <w:sz w:val="18"/>
        </w:rPr>
        <w:t>Zacatecas.</w:t>
      </w:r>
    </w:p>
    <w:p>
      <w:pPr>
        <w:spacing w:line="249" w:lineRule="auto" w:before="114"/>
        <w:ind w:left="2903" w:right="1721" w:firstLine="0"/>
        <w:jc w:val="both"/>
        <w:rPr>
          <w:rFonts w:ascii="Arial" w:hAnsi="Arial"/>
          <w:i/>
          <w:sz w:val="18"/>
        </w:rPr>
      </w:pPr>
      <w:r>
        <w:rPr/>
        <w:pict>
          <v:line style="position:absolute;mso-position-horizontal-relative:page;mso-position-vertical-relative:paragraph;z-index:-445192" from="15pt,108.74379pt" to="0pt,108.74379pt" stroked="true" strokeweight=".25pt" strokecolor="#000000">
            <w10:wrap type="none"/>
          </v:line>
        </w:pict>
      </w:r>
      <w:r>
        <w:rPr/>
        <w:pict>
          <v:line style="position:absolute;mso-position-horizontal-relative:page;mso-position-vertical-relative:paragraph;z-index:45016" from="508.890015pt,108.74379pt" to="523.890015pt,108.74379pt" stroked="true" strokeweight=".25pt" strokecolor="#000000">
            <w10:wrap type="none"/>
          </v:line>
        </w:pict>
      </w:r>
      <w:r>
        <w:rPr>
          <w:rFonts w:ascii="Arial" w:hAnsi="Arial"/>
          <w:i/>
          <w:color w:val="231F20"/>
          <w:spacing w:val="-4"/>
          <w:sz w:val="18"/>
        </w:rPr>
        <w:t>Para</w:t>
      </w:r>
      <w:r>
        <w:rPr>
          <w:rFonts w:ascii="Arial" w:hAnsi="Arial"/>
          <w:i/>
          <w:color w:val="231F20"/>
          <w:spacing w:val="-10"/>
          <w:sz w:val="18"/>
        </w:rPr>
        <w:t> </w:t>
      </w:r>
      <w:r>
        <w:rPr>
          <w:rFonts w:ascii="Arial" w:hAnsi="Arial"/>
          <w:i/>
          <w:color w:val="231F20"/>
          <w:sz w:val="18"/>
        </w:rPr>
        <w:t>mí</w:t>
      </w:r>
      <w:r>
        <w:rPr>
          <w:rFonts w:ascii="Arial" w:hAnsi="Arial"/>
          <w:i/>
          <w:color w:val="231F20"/>
          <w:spacing w:val="-10"/>
          <w:sz w:val="18"/>
        </w:rPr>
        <w:t> </w:t>
      </w:r>
      <w:r>
        <w:rPr>
          <w:rFonts w:ascii="Arial" w:hAnsi="Arial"/>
          <w:i/>
          <w:color w:val="231F20"/>
          <w:sz w:val="18"/>
        </w:rPr>
        <w:t>ser</w:t>
      </w:r>
      <w:r>
        <w:rPr>
          <w:rFonts w:ascii="Arial" w:hAnsi="Arial"/>
          <w:i/>
          <w:color w:val="231F20"/>
          <w:spacing w:val="-10"/>
          <w:sz w:val="18"/>
        </w:rPr>
        <w:t> </w:t>
      </w:r>
      <w:r>
        <w:rPr>
          <w:rFonts w:ascii="Arial" w:hAnsi="Arial"/>
          <w:i/>
          <w:color w:val="231F20"/>
          <w:sz w:val="18"/>
        </w:rPr>
        <w:t>bracero</w:t>
      </w:r>
      <w:r>
        <w:rPr>
          <w:rFonts w:ascii="Arial" w:hAnsi="Arial"/>
          <w:i/>
          <w:color w:val="231F20"/>
          <w:spacing w:val="-10"/>
          <w:sz w:val="18"/>
        </w:rPr>
        <w:t> </w:t>
      </w:r>
      <w:r>
        <w:rPr>
          <w:rFonts w:ascii="Arial" w:hAnsi="Arial"/>
          <w:i/>
          <w:color w:val="231F20"/>
          <w:sz w:val="18"/>
        </w:rPr>
        <w:t>fue</w:t>
      </w:r>
      <w:r>
        <w:rPr>
          <w:rFonts w:ascii="Arial" w:hAnsi="Arial"/>
          <w:i/>
          <w:color w:val="231F20"/>
          <w:spacing w:val="-10"/>
          <w:sz w:val="18"/>
        </w:rPr>
        <w:t> </w:t>
      </w:r>
      <w:r>
        <w:rPr>
          <w:rFonts w:ascii="Arial" w:hAnsi="Arial"/>
          <w:i/>
          <w:color w:val="231F20"/>
          <w:sz w:val="18"/>
        </w:rPr>
        <w:t>duro</w:t>
      </w:r>
      <w:r>
        <w:rPr>
          <w:rFonts w:ascii="Arial" w:hAnsi="Arial"/>
          <w:i/>
          <w:color w:val="231F20"/>
          <w:spacing w:val="-10"/>
          <w:sz w:val="18"/>
        </w:rPr>
        <w:t> </w:t>
      </w:r>
      <w:r>
        <w:rPr>
          <w:rFonts w:ascii="Arial" w:hAnsi="Arial"/>
          <w:i/>
          <w:color w:val="231F20"/>
          <w:sz w:val="18"/>
        </w:rPr>
        <w:t>—como</w:t>
      </w:r>
      <w:r>
        <w:rPr>
          <w:rFonts w:ascii="Arial" w:hAnsi="Arial"/>
          <w:i/>
          <w:color w:val="231F20"/>
          <w:spacing w:val="-10"/>
          <w:sz w:val="18"/>
        </w:rPr>
        <w:t> </w:t>
      </w:r>
      <w:r>
        <w:rPr>
          <w:rFonts w:ascii="Arial" w:hAnsi="Arial"/>
          <w:i/>
          <w:color w:val="231F20"/>
          <w:sz w:val="18"/>
        </w:rPr>
        <w:t>para</w:t>
      </w:r>
      <w:r>
        <w:rPr>
          <w:rFonts w:ascii="Arial" w:hAnsi="Arial"/>
          <w:i/>
          <w:color w:val="231F20"/>
          <w:spacing w:val="-10"/>
          <w:sz w:val="18"/>
        </w:rPr>
        <w:t> </w:t>
      </w:r>
      <w:r>
        <w:rPr>
          <w:rFonts w:ascii="Arial" w:hAnsi="Arial"/>
          <w:i/>
          <w:color w:val="231F20"/>
          <w:sz w:val="18"/>
        </w:rPr>
        <w:t>todos—,</w:t>
      </w:r>
      <w:r>
        <w:rPr>
          <w:rFonts w:ascii="Arial" w:hAnsi="Arial"/>
          <w:i/>
          <w:color w:val="231F20"/>
          <w:spacing w:val="-16"/>
          <w:sz w:val="18"/>
        </w:rPr>
        <w:t> </w:t>
      </w:r>
      <w:r>
        <w:rPr>
          <w:rFonts w:ascii="Arial" w:hAnsi="Arial"/>
          <w:i/>
          <w:color w:val="231F20"/>
          <w:sz w:val="18"/>
        </w:rPr>
        <w:t>pero</w:t>
      </w:r>
      <w:r>
        <w:rPr>
          <w:rFonts w:ascii="Arial" w:hAnsi="Arial"/>
          <w:i/>
          <w:color w:val="231F20"/>
          <w:spacing w:val="-10"/>
          <w:sz w:val="18"/>
        </w:rPr>
        <w:t> </w:t>
      </w:r>
      <w:r>
        <w:rPr>
          <w:rFonts w:ascii="Arial" w:hAnsi="Arial"/>
          <w:i/>
          <w:color w:val="231F20"/>
          <w:sz w:val="18"/>
        </w:rPr>
        <w:t>también</w:t>
      </w:r>
      <w:r>
        <w:rPr>
          <w:rFonts w:ascii="Arial" w:hAnsi="Arial"/>
          <w:i/>
          <w:color w:val="231F20"/>
          <w:spacing w:val="-10"/>
          <w:sz w:val="18"/>
        </w:rPr>
        <w:t> </w:t>
      </w:r>
      <w:r>
        <w:rPr>
          <w:rFonts w:ascii="Arial" w:hAnsi="Arial"/>
          <w:i/>
          <w:color w:val="231F20"/>
          <w:sz w:val="18"/>
        </w:rPr>
        <w:t>una</w:t>
      </w:r>
      <w:r>
        <w:rPr>
          <w:rFonts w:ascii="Arial" w:hAnsi="Arial"/>
          <w:i/>
          <w:color w:val="231F20"/>
          <w:spacing w:val="-10"/>
          <w:sz w:val="18"/>
        </w:rPr>
        <w:t> </w:t>
      </w:r>
      <w:r>
        <w:rPr>
          <w:rFonts w:ascii="Arial" w:hAnsi="Arial"/>
          <w:i/>
          <w:color w:val="231F20"/>
          <w:sz w:val="18"/>
        </w:rPr>
        <w:t>cosa </w:t>
      </w:r>
      <w:r>
        <w:rPr>
          <w:rFonts w:ascii="Arial" w:hAnsi="Arial"/>
          <w:i/>
          <w:color w:val="231F20"/>
          <w:sz w:val="18"/>
        </w:rPr>
        <w:t>bonita, porque conocí diferentes trabajos, diferentes personas. Y estan- do allá no extrañaba el campo, porque trabajaba en el campo. Lo que </w:t>
      </w:r>
      <w:r>
        <w:rPr>
          <w:rFonts w:ascii="Arial" w:hAnsi="Arial"/>
          <w:i/>
          <w:color w:val="231F20"/>
          <w:spacing w:val="44"/>
          <w:sz w:val="18"/>
        </w:rPr>
        <w:t> </w:t>
      </w:r>
      <w:r>
        <w:rPr>
          <w:rFonts w:ascii="Arial" w:hAnsi="Arial"/>
          <w:i/>
          <w:color w:val="231F20"/>
          <w:sz w:val="18"/>
        </w:rPr>
        <w:t>sí</w:t>
      </w:r>
    </w:p>
    <w:p>
      <w:pPr>
        <w:spacing w:after="0" w:line="249" w:lineRule="auto"/>
        <w:jc w:val="both"/>
        <w:rPr>
          <w:rFonts w:ascii="Arial" w:hAnsi="Arial"/>
          <w:sz w:val="18"/>
        </w:rPr>
        <w:sectPr>
          <w:pgSz w:w="10480" w:h="14730"/>
          <w:pgMar w:header="0" w:footer="103" w:top="300" w:bottom="300" w:left="0" w:right="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11"/>
        <w:rPr>
          <w:rFonts w:ascii="Arial"/>
          <w:i/>
          <w:sz w:val="28"/>
        </w:rPr>
      </w:pPr>
    </w:p>
    <w:p>
      <w:pPr>
        <w:spacing w:line="249" w:lineRule="auto" w:before="63"/>
        <w:ind w:left="2857" w:right="1829" w:firstLine="0"/>
        <w:jc w:val="both"/>
        <w:rPr>
          <w:rFonts w:ascii="Arial" w:hAnsi="Arial"/>
          <w:i/>
          <w:sz w:val="18"/>
        </w:rPr>
      </w:pPr>
      <w:r>
        <w:rPr/>
        <w:pict>
          <v:line style="position:absolute;mso-position-horizontal-relative:page;mso-position-vertical-relative:paragraph;z-index:45064" from="15pt,-68.274239pt" to="0pt,-68.274239pt" stroked="true" strokeweight=".25pt" strokecolor="#000000">
            <w10:wrap type="none"/>
          </v:line>
        </w:pict>
      </w:r>
      <w:r>
        <w:rPr/>
        <w:pict>
          <v:line style="position:absolute;mso-position-horizontal-relative:page;mso-position-vertical-relative:paragraph;z-index:45088" from="508.890015pt,-68.274239pt" to="523.890015pt,-68.274239pt" stroked="true" strokeweight=".25pt" strokecolor="#000000">
            <w10:wrap type="none"/>
          </v:line>
        </w:pict>
      </w:r>
      <w:r>
        <w:rPr>
          <w:rFonts w:ascii="Arial" w:hAnsi="Arial"/>
          <w:i/>
          <w:color w:val="231F20"/>
          <w:sz w:val="18"/>
        </w:rPr>
        <w:t>es que allá hace mucho frio o mucho calor, y había que trabajar fuerte. </w:t>
      </w:r>
      <w:r>
        <w:rPr>
          <w:rFonts w:ascii="Arial" w:hAnsi="Arial"/>
          <w:i/>
          <w:color w:val="231F20"/>
          <w:sz w:val="18"/>
        </w:rPr>
        <w:t>Había</w:t>
      </w:r>
      <w:r>
        <w:rPr>
          <w:rFonts w:ascii="Arial" w:hAnsi="Arial"/>
          <w:i/>
          <w:color w:val="231F20"/>
          <w:spacing w:val="-3"/>
          <w:sz w:val="18"/>
        </w:rPr>
        <w:t> </w:t>
      </w:r>
      <w:r>
        <w:rPr>
          <w:rFonts w:ascii="Arial" w:hAnsi="Arial"/>
          <w:i/>
          <w:color w:val="231F20"/>
          <w:sz w:val="18"/>
        </w:rPr>
        <w:t>que</w:t>
      </w:r>
      <w:r>
        <w:rPr>
          <w:rFonts w:ascii="Arial" w:hAnsi="Arial"/>
          <w:i/>
          <w:color w:val="231F20"/>
          <w:spacing w:val="-3"/>
          <w:sz w:val="18"/>
        </w:rPr>
        <w:t> </w:t>
      </w:r>
      <w:r>
        <w:rPr>
          <w:rFonts w:ascii="Arial" w:hAnsi="Arial"/>
          <w:i/>
          <w:color w:val="231F20"/>
          <w:sz w:val="18"/>
        </w:rPr>
        <w:t>aguantar.</w:t>
      </w:r>
      <w:r>
        <w:rPr>
          <w:rFonts w:ascii="Arial" w:hAnsi="Arial"/>
          <w:i/>
          <w:color w:val="231F20"/>
          <w:spacing w:val="-11"/>
          <w:sz w:val="18"/>
        </w:rPr>
        <w:t> </w:t>
      </w:r>
      <w:r>
        <w:rPr>
          <w:rFonts w:ascii="Arial" w:hAnsi="Arial"/>
          <w:i/>
          <w:color w:val="231F20"/>
          <w:sz w:val="18"/>
        </w:rPr>
        <w:t>De</w:t>
      </w:r>
      <w:r>
        <w:rPr>
          <w:rFonts w:ascii="Arial" w:hAnsi="Arial"/>
          <w:i/>
          <w:color w:val="231F20"/>
          <w:spacing w:val="-3"/>
          <w:sz w:val="18"/>
        </w:rPr>
        <w:t> </w:t>
      </w:r>
      <w:r>
        <w:rPr>
          <w:rFonts w:ascii="Arial" w:hAnsi="Arial"/>
          <w:i/>
          <w:color w:val="231F20"/>
          <w:sz w:val="18"/>
        </w:rPr>
        <w:t>todo</w:t>
      </w:r>
      <w:r>
        <w:rPr>
          <w:rFonts w:ascii="Arial" w:hAnsi="Arial"/>
          <w:i/>
          <w:color w:val="231F20"/>
          <w:spacing w:val="-3"/>
          <w:sz w:val="18"/>
        </w:rPr>
        <w:t> </w:t>
      </w:r>
      <w:r>
        <w:rPr>
          <w:rFonts w:ascii="Arial" w:hAnsi="Arial"/>
          <w:i/>
          <w:color w:val="231F20"/>
          <w:sz w:val="18"/>
        </w:rPr>
        <w:t>eso</w:t>
      </w:r>
      <w:r>
        <w:rPr>
          <w:rFonts w:ascii="Arial" w:hAnsi="Arial"/>
          <w:i/>
          <w:color w:val="231F20"/>
          <w:spacing w:val="-3"/>
          <w:sz w:val="18"/>
        </w:rPr>
        <w:t> </w:t>
      </w:r>
      <w:r>
        <w:rPr>
          <w:rFonts w:ascii="Arial" w:hAnsi="Arial"/>
          <w:i/>
          <w:color w:val="231F20"/>
          <w:sz w:val="18"/>
        </w:rPr>
        <w:t>se</w:t>
      </w:r>
      <w:r>
        <w:rPr>
          <w:rFonts w:ascii="Arial" w:hAnsi="Arial"/>
          <w:i/>
          <w:color w:val="231F20"/>
          <w:spacing w:val="-3"/>
          <w:sz w:val="18"/>
        </w:rPr>
        <w:t> </w:t>
      </w:r>
      <w:r>
        <w:rPr>
          <w:rFonts w:ascii="Arial" w:hAnsi="Arial"/>
          <w:i/>
          <w:color w:val="231F20"/>
          <w:sz w:val="18"/>
        </w:rPr>
        <w:t>sabía</w:t>
      </w:r>
      <w:r>
        <w:rPr>
          <w:rFonts w:ascii="Arial" w:hAnsi="Arial"/>
          <w:i/>
          <w:color w:val="231F20"/>
          <w:spacing w:val="-3"/>
          <w:sz w:val="18"/>
        </w:rPr>
        <w:t> </w:t>
      </w:r>
      <w:r>
        <w:rPr>
          <w:rFonts w:ascii="Arial" w:hAnsi="Arial"/>
          <w:i/>
          <w:color w:val="231F20"/>
          <w:sz w:val="18"/>
        </w:rPr>
        <w:t>un</w:t>
      </w:r>
      <w:r>
        <w:rPr>
          <w:rFonts w:ascii="Arial" w:hAnsi="Arial"/>
          <w:i/>
          <w:color w:val="231F20"/>
          <w:spacing w:val="-3"/>
          <w:sz w:val="18"/>
        </w:rPr>
        <w:t> </w:t>
      </w:r>
      <w:r>
        <w:rPr>
          <w:rFonts w:ascii="Arial" w:hAnsi="Arial"/>
          <w:i/>
          <w:color w:val="231F20"/>
          <w:sz w:val="18"/>
        </w:rPr>
        <w:t>poco</w:t>
      </w:r>
      <w:r>
        <w:rPr>
          <w:rFonts w:ascii="Arial" w:hAnsi="Arial"/>
          <w:i/>
          <w:color w:val="231F20"/>
          <w:spacing w:val="-3"/>
          <w:sz w:val="18"/>
        </w:rPr>
        <w:t> </w:t>
      </w:r>
      <w:r>
        <w:rPr>
          <w:rFonts w:ascii="Arial" w:hAnsi="Arial"/>
          <w:i/>
          <w:color w:val="231F20"/>
          <w:sz w:val="18"/>
        </w:rPr>
        <w:t>por</w:t>
      </w:r>
      <w:r>
        <w:rPr>
          <w:rFonts w:ascii="Arial" w:hAnsi="Arial"/>
          <w:i/>
          <w:color w:val="231F20"/>
          <w:spacing w:val="-3"/>
          <w:sz w:val="18"/>
        </w:rPr>
        <w:t> </w:t>
      </w:r>
      <w:r>
        <w:rPr>
          <w:rFonts w:ascii="Arial" w:hAnsi="Arial"/>
          <w:i/>
          <w:color w:val="231F20"/>
          <w:sz w:val="18"/>
        </w:rPr>
        <w:t>los</w:t>
      </w:r>
      <w:r>
        <w:rPr>
          <w:rFonts w:ascii="Arial" w:hAnsi="Arial"/>
          <w:i/>
          <w:color w:val="231F20"/>
          <w:spacing w:val="-3"/>
          <w:sz w:val="18"/>
        </w:rPr>
        <w:t> </w:t>
      </w:r>
      <w:r>
        <w:rPr>
          <w:rFonts w:ascii="Arial" w:hAnsi="Arial"/>
          <w:i/>
          <w:color w:val="231F20"/>
          <w:sz w:val="18"/>
        </w:rPr>
        <w:t>que</w:t>
      </w:r>
      <w:r>
        <w:rPr>
          <w:rFonts w:ascii="Arial" w:hAnsi="Arial"/>
          <w:i/>
          <w:color w:val="231F20"/>
          <w:spacing w:val="-3"/>
          <w:sz w:val="18"/>
        </w:rPr>
        <w:t> </w:t>
      </w:r>
      <w:r>
        <w:rPr>
          <w:rFonts w:ascii="Arial" w:hAnsi="Arial"/>
          <w:i/>
          <w:color w:val="231F20"/>
          <w:sz w:val="18"/>
        </w:rPr>
        <w:t>se</w:t>
      </w:r>
      <w:r>
        <w:rPr>
          <w:rFonts w:ascii="Arial" w:hAnsi="Arial"/>
          <w:i/>
          <w:color w:val="231F20"/>
          <w:spacing w:val="-3"/>
          <w:sz w:val="18"/>
        </w:rPr>
        <w:t> </w:t>
      </w:r>
      <w:r>
        <w:rPr>
          <w:rFonts w:ascii="Arial" w:hAnsi="Arial"/>
          <w:i/>
          <w:color w:val="231F20"/>
          <w:sz w:val="18"/>
        </w:rPr>
        <w:t>fueron antes, como Mariano Benítez, uno los primeros tonatiquenses que yo recuerdo que se fue Estados</w:t>
      </w:r>
      <w:r>
        <w:rPr>
          <w:rFonts w:ascii="Arial" w:hAnsi="Arial"/>
          <w:i/>
          <w:color w:val="231F20"/>
          <w:spacing w:val="14"/>
          <w:sz w:val="18"/>
        </w:rPr>
        <w:t> </w:t>
      </w:r>
      <w:r>
        <w:rPr>
          <w:rFonts w:ascii="Arial" w:hAnsi="Arial"/>
          <w:i/>
          <w:color w:val="231F20"/>
          <w:sz w:val="18"/>
        </w:rPr>
        <w:t>Unidos.</w:t>
      </w:r>
    </w:p>
    <w:p>
      <w:pPr>
        <w:spacing w:line="249" w:lineRule="auto" w:before="114"/>
        <w:ind w:left="2857" w:right="1831" w:firstLine="0"/>
        <w:jc w:val="both"/>
        <w:rPr>
          <w:rFonts w:ascii="Arial" w:hAnsi="Arial"/>
          <w:i/>
          <w:sz w:val="18"/>
        </w:rPr>
      </w:pPr>
      <w:r>
        <w:rPr>
          <w:rFonts w:ascii="Arial" w:hAnsi="Arial"/>
          <w:i/>
          <w:color w:val="231F20"/>
          <w:sz w:val="18"/>
        </w:rPr>
        <w:t>Cuando me tocó irme de bracero, me acuerdo que salíamos de </w:t>
      </w:r>
      <w:r>
        <w:rPr>
          <w:rFonts w:ascii="Arial" w:hAnsi="Arial"/>
          <w:i/>
          <w:color w:val="231F20"/>
          <w:spacing w:val="-4"/>
          <w:sz w:val="18"/>
        </w:rPr>
        <w:t>Tonatico </w:t>
      </w:r>
      <w:r>
        <w:rPr>
          <w:rFonts w:ascii="Arial" w:hAnsi="Arial"/>
          <w:i/>
          <w:color w:val="231F20"/>
          <w:sz w:val="18"/>
        </w:rPr>
        <w:t>a</w:t>
      </w:r>
      <w:r>
        <w:rPr>
          <w:rFonts w:ascii="Arial" w:hAnsi="Arial"/>
          <w:i/>
          <w:color w:val="231F20"/>
          <w:spacing w:val="-10"/>
          <w:sz w:val="18"/>
        </w:rPr>
        <w:t> </w:t>
      </w:r>
      <w:r>
        <w:rPr>
          <w:rFonts w:ascii="Arial" w:hAnsi="Arial"/>
          <w:i/>
          <w:color w:val="231F20"/>
          <w:sz w:val="18"/>
        </w:rPr>
        <w:t>la</w:t>
      </w:r>
      <w:r>
        <w:rPr>
          <w:rFonts w:ascii="Arial" w:hAnsi="Arial"/>
          <w:i/>
          <w:color w:val="231F20"/>
          <w:spacing w:val="-10"/>
          <w:sz w:val="18"/>
        </w:rPr>
        <w:t> </w:t>
      </w:r>
      <w:r>
        <w:rPr>
          <w:rFonts w:ascii="Arial" w:hAnsi="Arial"/>
          <w:i/>
          <w:color w:val="231F20"/>
          <w:sz w:val="18"/>
        </w:rPr>
        <w:t>Ciudad</w:t>
      </w:r>
      <w:r>
        <w:rPr>
          <w:rFonts w:ascii="Arial" w:hAnsi="Arial"/>
          <w:i/>
          <w:color w:val="231F20"/>
          <w:spacing w:val="-10"/>
          <w:sz w:val="18"/>
        </w:rPr>
        <w:t> </w:t>
      </w:r>
      <w:r>
        <w:rPr>
          <w:rFonts w:ascii="Arial" w:hAnsi="Arial"/>
          <w:i/>
          <w:color w:val="231F20"/>
          <w:sz w:val="18"/>
        </w:rPr>
        <w:t>de</w:t>
      </w:r>
      <w:r>
        <w:rPr>
          <w:rFonts w:ascii="Arial" w:hAnsi="Arial"/>
          <w:i/>
          <w:color w:val="231F20"/>
          <w:spacing w:val="-10"/>
          <w:sz w:val="18"/>
        </w:rPr>
        <w:t> </w:t>
      </w:r>
      <w:r>
        <w:rPr>
          <w:rFonts w:ascii="Arial" w:hAnsi="Arial"/>
          <w:i/>
          <w:color w:val="231F20"/>
          <w:sz w:val="18"/>
        </w:rPr>
        <w:t>México,</w:t>
      </w:r>
      <w:r>
        <w:rPr>
          <w:rFonts w:ascii="Arial" w:hAnsi="Arial"/>
          <w:i/>
          <w:color w:val="231F20"/>
          <w:spacing w:val="-16"/>
          <w:sz w:val="18"/>
        </w:rPr>
        <w:t> </w:t>
      </w:r>
      <w:r>
        <w:rPr>
          <w:rFonts w:ascii="Arial" w:hAnsi="Arial"/>
          <w:i/>
          <w:color w:val="231F20"/>
          <w:sz w:val="18"/>
        </w:rPr>
        <w:t>en</w:t>
      </w:r>
      <w:r>
        <w:rPr>
          <w:rFonts w:ascii="Arial" w:hAnsi="Arial"/>
          <w:i/>
          <w:color w:val="231F20"/>
          <w:spacing w:val="-10"/>
          <w:sz w:val="18"/>
        </w:rPr>
        <w:t> </w:t>
      </w:r>
      <w:r>
        <w:rPr>
          <w:rFonts w:ascii="Arial" w:hAnsi="Arial"/>
          <w:i/>
          <w:color w:val="231F20"/>
          <w:sz w:val="18"/>
        </w:rPr>
        <w:t>unos</w:t>
      </w:r>
      <w:r>
        <w:rPr>
          <w:rFonts w:ascii="Arial" w:hAnsi="Arial"/>
          <w:i/>
          <w:color w:val="231F20"/>
          <w:spacing w:val="-10"/>
          <w:sz w:val="18"/>
        </w:rPr>
        <w:t> </w:t>
      </w:r>
      <w:r>
        <w:rPr>
          <w:rFonts w:ascii="Arial" w:hAnsi="Arial"/>
          <w:i/>
          <w:color w:val="231F20"/>
          <w:sz w:val="18"/>
        </w:rPr>
        <w:t>autobuses</w:t>
      </w:r>
      <w:r>
        <w:rPr>
          <w:rFonts w:ascii="Arial" w:hAnsi="Arial"/>
          <w:i/>
          <w:color w:val="231F20"/>
          <w:spacing w:val="-10"/>
          <w:sz w:val="18"/>
        </w:rPr>
        <w:t> </w:t>
      </w:r>
      <w:r>
        <w:rPr>
          <w:rFonts w:ascii="Arial" w:hAnsi="Arial"/>
          <w:i/>
          <w:color w:val="231F20"/>
          <w:sz w:val="18"/>
        </w:rPr>
        <w:t>verdes,</w:t>
      </w:r>
      <w:r>
        <w:rPr>
          <w:rFonts w:ascii="Arial" w:hAnsi="Arial"/>
          <w:i/>
          <w:color w:val="231F20"/>
          <w:spacing w:val="-16"/>
          <w:sz w:val="18"/>
        </w:rPr>
        <w:t> </w:t>
      </w:r>
      <w:r>
        <w:rPr>
          <w:rFonts w:ascii="Arial" w:hAnsi="Arial"/>
          <w:i/>
          <w:color w:val="231F20"/>
          <w:sz w:val="18"/>
        </w:rPr>
        <w:t>de</w:t>
      </w:r>
      <w:r>
        <w:rPr>
          <w:rFonts w:ascii="Arial" w:hAnsi="Arial"/>
          <w:i/>
          <w:color w:val="231F20"/>
          <w:spacing w:val="-10"/>
          <w:sz w:val="18"/>
        </w:rPr>
        <w:t> </w:t>
      </w:r>
      <w:r>
        <w:rPr>
          <w:rFonts w:ascii="Arial" w:hAnsi="Arial"/>
          <w:i/>
          <w:color w:val="231F20"/>
          <w:sz w:val="18"/>
        </w:rPr>
        <w:t>esos</w:t>
      </w:r>
      <w:r>
        <w:rPr>
          <w:rFonts w:ascii="Arial" w:hAnsi="Arial"/>
          <w:i/>
          <w:color w:val="231F20"/>
          <w:spacing w:val="-10"/>
          <w:sz w:val="18"/>
        </w:rPr>
        <w:t> </w:t>
      </w:r>
      <w:r>
        <w:rPr>
          <w:rFonts w:ascii="Arial" w:hAnsi="Arial"/>
          <w:i/>
          <w:color w:val="231F20"/>
          <w:sz w:val="18"/>
        </w:rPr>
        <w:t>que</w:t>
      </w:r>
      <w:r>
        <w:rPr>
          <w:rFonts w:ascii="Arial" w:hAnsi="Arial"/>
          <w:i/>
          <w:color w:val="231F20"/>
          <w:spacing w:val="-10"/>
          <w:sz w:val="18"/>
        </w:rPr>
        <w:t> </w:t>
      </w:r>
      <w:r>
        <w:rPr>
          <w:rFonts w:ascii="Arial" w:hAnsi="Arial"/>
          <w:i/>
          <w:color w:val="231F20"/>
          <w:sz w:val="18"/>
        </w:rPr>
        <w:t>les</w:t>
      </w:r>
      <w:r>
        <w:rPr>
          <w:rFonts w:ascii="Arial" w:hAnsi="Arial"/>
          <w:i/>
          <w:color w:val="231F20"/>
          <w:spacing w:val="-10"/>
          <w:sz w:val="18"/>
        </w:rPr>
        <w:t> </w:t>
      </w:r>
      <w:r>
        <w:rPr>
          <w:rFonts w:ascii="Arial" w:hAnsi="Arial"/>
          <w:i/>
          <w:color w:val="231F20"/>
          <w:sz w:val="18"/>
        </w:rPr>
        <w:t>decía- mos</w:t>
      </w:r>
      <w:r>
        <w:rPr>
          <w:rFonts w:ascii="Arial" w:hAnsi="Arial"/>
          <w:i/>
          <w:color w:val="231F20"/>
          <w:spacing w:val="-7"/>
          <w:sz w:val="18"/>
        </w:rPr>
        <w:t> </w:t>
      </w:r>
      <w:r>
        <w:rPr>
          <w:rFonts w:ascii="Arial" w:hAnsi="Arial"/>
          <w:i/>
          <w:color w:val="231F20"/>
          <w:spacing w:val="-4"/>
          <w:sz w:val="18"/>
        </w:rPr>
        <w:t>“guajoloteros”,</w:t>
      </w:r>
      <w:r>
        <w:rPr>
          <w:rFonts w:ascii="Arial" w:hAnsi="Arial"/>
          <w:i/>
          <w:color w:val="231F20"/>
          <w:spacing w:val="-13"/>
          <w:sz w:val="18"/>
        </w:rPr>
        <w:t> </w:t>
      </w:r>
      <w:r>
        <w:rPr>
          <w:rFonts w:ascii="Arial" w:hAnsi="Arial"/>
          <w:i/>
          <w:color w:val="231F20"/>
          <w:sz w:val="18"/>
        </w:rPr>
        <w:t>y</w:t>
      </w:r>
      <w:r>
        <w:rPr>
          <w:rFonts w:ascii="Arial" w:hAnsi="Arial"/>
          <w:i/>
          <w:color w:val="231F20"/>
          <w:spacing w:val="-7"/>
          <w:sz w:val="18"/>
        </w:rPr>
        <w:t> </w:t>
      </w:r>
      <w:r>
        <w:rPr>
          <w:rFonts w:ascii="Arial" w:hAnsi="Arial"/>
          <w:i/>
          <w:color w:val="231F20"/>
          <w:sz w:val="18"/>
        </w:rPr>
        <w:t>de</w:t>
      </w:r>
      <w:r>
        <w:rPr>
          <w:rFonts w:ascii="Arial" w:hAnsi="Arial"/>
          <w:i/>
          <w:color w:val="231F20"/>
          <w:spacing w:val="-7"/>
          <w:sz w:val="18"/>
        </w:rPr>
        <w:t> </w:t>
      </w:r>
      <w:r>
        <w:rPr>
          <w:rFonts w:ascii="Arial" w:hAnsi="Arial"/>
          <w:i/>
          <w:color w:val="231F20"/>
          <w:sz w:val="18"/>
        </w:rPr>
        <w:t>ahí</w:t>
      </w:r>
      <w:r>
        <w:rPr>
          <w:rFonts w:ascii="Arial" w:hAnsi="Arial"/>
          <w:i/>
          <w:color w:val="231F20"/>
          <w:spacing w:val="-7"/>
          <w:sz w:val="18"/>
        </w:rPr>
        <w:t> </w:t>
      </w:r>
      <w:r>
        <w:rPr>
          <w:rFonts w:ascii="Arial" w:hAnsi="Arial"/>
          <w:i/>
          <w:color w:val="231F20"/>
          <w:sz w:val="18"/>
        </w:rPr>
        <w:t>a</w:t>
      </w:r>
      <w:r>
        <w:rPr>
          <w:rFonts w:ascii="Arial" w:hAnsi="Arial"/>
          <w:i/>
          <w:color w:val="231F20"/>
          <w:spacing w:val="-7"/>
          <w:sz w:val="18"/>
        </w:rPr>
        <w:t> </w:t>
      </w:r>
      <w:r>
        <w:rPr>
          <w:rFonts w:ascii="Arial" w:hAnsi="Arial"/>
          <w:i/>
          <w:color w:val="231F20"/>
          <w:sz w:val="18"/>
        </w:rPr>
        <w:t>Empalme,</w:t>
      </w:r>
      <w:r>
        <w:rPr>
          <w:rFonts w:ascii="Arial" w:hAnsi="Arial"/>
          <w:i/>
          <w:color w:val="231F20"/>
          <w:spacing w:val="-13"/>
          <w:sz w:val="18"/>
        </w:rPr>
        <w:t> </w:t>
      </w:r>
      <w:r>
        <w:rPr>
          <w:rFonts w:ascii="Arial" w:hAnsi="Arial"/>
          <w:i/>
          <w:color w:val="231F20"/>
          <w:sz w:val="18"/>
        </w:rPr>
        <w:t>Sonora.</w:t>
      </w:r>
      <w:r>
        <w:rPr>
          <w:rFonts w:ascii="Arial" w:hAnsi="Arial"/>
          <w:i/>
          <w:color w:val="231F20"/>
          <w:spacing w:val="-13"/>
          <w:sz w:val="18"/>
        </w:rPr>
        <w:t> </w:t>
      </w:r>
      <w:r>
        <w:rPr>
          <w:rFonts w:ascii="Arial" w:hAnsi="Arial"/>
          <w:i/>
          <w:color w:val="231F20"/>
          <w:sz w:val="18"/>
        </w:rPr>
        <w:t>Sólo</w:t>
      </w:r>
      <w:r>
        <w:rPr>
          <w:rFonts w:ascii="Arial" w:hAnsi="Arial"/>
          <w:i/>
          <w:color w:val="231F20"/>
          <w:spacing w:val="-7"/>
          <w:sz w:val="18"/>
        </w:rPr>
        <w:t> </w:t>
      </w:r>
      <w:r>
        <w:rPr>
          <w:rFonts w:ascii="Arial" w:hAnsi="Arial"/>
          <w:i/>
          <w:color w:val="231F20"/>
          <w:sz w:val="18"/>
        </w:rPr>
        <w:t>una</w:t>
      </w:r>
      <w:r>
        <w:rPr>
          <w:rFonts w:ascii="Arial" w:hAnsi="Arial"/>
          <w:i/>
          <w:color w:val="231F20"/>
          <w:spacing w:val="-7"/>
          <w:sz w:val="18"/>
        </w:rPr>
        <w:t> </w:t>
      </w:r>
      <w:r>
        <w:rPr>
          <w:rFonts w:ascii="Arial" w:hAnsi="Arial"/>
          <w:i/>
          <w:color w:val="231F20"/>
          <w:sz w:val="18"/>
        </w:rPr>
        <w:t>vez</w:t>
      </w:r>
      <w:r>
        <w:rPr>
          <w:rFonts w:ascii="Arial" w:hAnsi="Arial"/>
          <w:i/>
          <w:color w:val="231F20"/>
          <w:spacing w:val="-7"/>
          <w:sz w:val="18"/>
        </w:rPr>
        <w:t> </w:t>
      </w:r>
      <w:r>
        <w:rPr>
          <w:rFonts w:ascii="Arial" w:hAnsi="Arial"/>
          <w:i/>
          <w:color w:val="231F20"/>
          <w:sz w:val="18"/>
        </w:rPr>
        <w:t>me</w:t>
      </w:r>
      <w:r>
        <w:rPr>
          <w:rFonts w:ascii="Arial" w:hAnsi="Arial"/>
          <w:i/>
          <w:color w:val="231F20"/>
          <w:spacing w:val="-7"/>
          <w:sz w:val="18"/>
        </w:rPr>
        <w:t> </w:t>
      </w:r>
      <w:r>
        <w:rPr>
          <w:rFonts w:ascii="Arial" w:hAnsi="Arial"/>
          <w:i/>
          <w:color w:val="231F20"/>
          <w:sz w:val="18"/>
        </w:rPr>
        <w:t>contra- té</w:t>
      </w:r>
      <w:r>
        <w:rPr>
          <w:rFonts w:ascii="Arial" w:hAnsi="Arial"/>
          <w:i/>
          <w:color w:val="231F20"/>
          <w:spacing w:val="-13"/>
          <w:sz w:val="18"/>
        </w:rPr>
        <w:t> </w:t>
      </w:r>
      <w:r>
        <w:rPr>
          <w:rFonts w:ascii="Arial" w:hAnsi="Arial"/>
          <w:i/>
          <w:color w:val="231F20"/>
          <w:sz w:val="18"/>
        </w:rPr>
        <w:t>en</w:t>
      </w:r>
      <w:r>
        <w:rPr>
          <w:rFonts w:ascii="Arial" w:hAnsi="Arial"/>
          <w:i/>
          <w:color w:val="231F20"/>
          <w:spacing w:val="-13"/>
          <w:sz w:val="18"/>
        </w:rPr>
        <w:t> </w:t>
      </w:r>
      <w:r>
        <w:rPr>
          <w:rFonts w:ascii="Arial" w:hAnsi="Arial"/>
          <w:i/>
          <w:color w:val="231F20"/>
          <w:sz w:val="18"/>
        </w:rPr>
        <w:t>Irapuato.</w:t>
      </w:r>
      <w:r>
        <w:rPr>
          <w:rFonts w:ascii="Arial" w:hAnsi="Arial"/>
          <w:i/>
          <w:color w:val="231F20"/>
          <w:spacing w:val="-19"/>
          <w:sz w:val="18"/>
        </w:rPr>
        <w:t> </w:t>
      </w:r>
      <w:r>
        <w:rPr>
          <w:rFonts w:ascii="Arial" w:hAnsi="Arial"/>
          <w:i/>
          <w:color w:val="231F20"/>
          <w:sz w:val="18"/>
        </w:rPr>
        <w:t>Luego</w:t>
      </w:r>
      <w:r>
        <w:rPr>
          <w:rFonts w:ascii="Arial" w:hAnsi="Arial"/>
          <w:i/>
          <w:color w:val="231F20"/>
          <w:spacing w:val="-13"/>
          <w:sz w:val="18"/>
        </w:rPr>
        <w:t> </w:t>
      </w:r>
      <w:r>
        <w:rPr>
          <w:rFonts w:ascii="Arial" w:hAnsi="Arial"/>
          <w:i/>
          <w:color w:val="231F20"/>
          <w:sz w:val="18"/>
        </w:rPr>
        <w:t>viajábamos</w:t>
      </w:r>
      <w:r>
        <w:rPr>
          <w:rFonts w:ascii="Arial" w:hAnsi="Arial"/>
          <w:i/>
          <w:color w:val="231F20"/>
          <w:spacing w:val="-13"/>
          <w:sz w:val="18"/>
        </w:rPr>
        <w:t> </w:t>
      </w:r>
      <w:r>
        <w:rPr>
          <w:rFonts w:ascii="Arial" w:hAnsi="Arial"/>
          <w:i/>
          <w:color w:val="231F20"/>
          <w:sz w:val="18"/>
        </w:rPr>
        <w:t>a</w:t>
      </w:r>
      <w:r>
        <w:rPr>
          <w:rFonts w:ascii="Arial" w:hAnsi="Arial"/>
          <w:i/>
          <w:color w:val="231F20"/>
          <w:spacing w:val="-13"/>
          <w:sz w:val="18"/>
        </w:rPr>
        <w:t> </w:t>
      </w:r>
      <w:r>
        <w:rPr>
          <w:rFonts w:ascii="Arial" w:hAnsi="Arial"/>
          <w:i/>
          <w:color w:val="231F20"/>
          <w:sz w:val="18"/>
        </w:rPr>
        <w:t>Mexicali,</w:t>
      </w:r>
      <w:r>
        <w:rPr>
          <w:rFonts w:ascii="Arial" w:hAnsi="Arial"/>
          <w:i/>
          <w:color w:val="231F20"/>
          <w:spacing w:val="-19"/>
          <w:sz w:val="18"/>
        </w:rPr>
        <w:t> </w:t>
      </w:r>
      <w:r>
        <w:rPr>
          <w:rFonts w:ascii="Arial" w:hAnsi="Arial"/>
          <w:i/>
          <w:color w:val="231F20"/>
          <w:sz w:val="18"/>
        </w:rPr>
        <w:t>y</w:t>
      </w:r>
      <w:r>
        <w:rPr>
          <w:rFonts w:ascii="Arial" w:hAnsi="Arial"/>
          <w:i/>
          <w:color w:val="231F20"/>
          <w:spacing w:val="-13"/>
          <w:sz w:val="18"/>
        </w:rPr>
        <w:t> </w:t>
      </w:r>
      <w:r>
        <w:rPr>
          <w:rFonts w:ascii="Arial" w:hAnsi="Arial"/>
          <w:i/>
          <w:color w:val="231F20"/>
          <w:sz w:val="18"/>
        </w:rPr>
        <w:t>de</w:t>
      </w:r>
      <w:r>
        <w:rPr>
          <w:rFonts w:ascii="Arial" w:hAnsi="Arial"/>
          <w:i/>
          <w:color w:val="231F20"/>
          <w:spacing w:val="-13"/>
          <w:sz w:val="18"/>
        </w:rPr>
        <w:t> </w:t>
      </w:r>
      <w:r>
        <w:rPr>
          <w:rFonts w:ascii="Arial" w:hAnsi="Arial"/>
          <w:i/>
          <w:color w:val="231F20"/>
          <w:sz w:val="18"/>
        </w:rPr>
        <w:t>ahí</w:t>
      </w:r>
      <w:r>
        <w:rPr>
          <w:rFonts w:ascii="Arial" w:hAnsi="Arial"/>
          <w:i/>
          <w:color w:val="231F20"/>
          <w:spacing w:val="-13"/>
          <w:sz w:val="18"/>
        </w:rPr>
        <w:t> </w:t>
      </w:r>
      <w:r>
        <w:rPr>
          <w:rFonts w:ascii="Arial" w:hAnsi="Arial"/>
          <w:i/>
          <w:color w:val="231F20"/>
          <w:sz w:val="18"/>
        </w:rPr>
        <w:t>ya</w:t>
      </w:r>
      <w:r>
        <w:rPr>
          <w:rFonts w:ascii="Arial" w:hAnsi="Arial"/>
          <w:i/>
          <w:color w:val="231F20"/>
          <w:spacing w:val="-13"/>
          <w:sz w:val="18"/>
        </w:rPr>
        <w:t> </w:t>
      </w:r>
      <w:r>
        <w:rPr>
          <w:rFonts w:ascii="Arial" w:hAnsi="Arial"/>
          <w:i/>
          <w:color w:val="231F20"/>
          <w:sz w:val="18"/>
        </w:rPr>
        <w:t>pasábamos.</w:t>
      </w:r>
      <w:r>
        <w:rPr>
          <w:rFonts w:ascii="Arial" w:hAnsi="Arial"/>
          <w:i/>
          <w:color w:val="231F20"/>
          <w:spacing w:val="-19"/>
          <w:sz w:val="18"/>
        </w:rPr>
        <w:t> </w:t>
      </w:r>
      <w:r>
        <w:rPr>
          <w:rFonts w:ascii="Arial" w:hAnsi="Arial"/>
          <w:i/>
          <w:color w:val="231F20"/>
          <w:spacing w:val="-5"/>
          <w:sz w:val="18"/>
        </w:rPr>
        <w:t>Pero </w:t>
      </w:r>
      <w:r>
        <w:rPr>
          <w:rFonts w:ascii="Arial" w:hAnsi="Arial"/>
          <w:i/>
          <w:color w:val="231F20"/>
          <w:sz w:val="18"/>
        </w:rPr>
        <w:t>una vez nos mandaron de Empalme a Mexicali en tren, ¡pero en un tren de carga!, que no tenía dónde sentarnos, sólo había unas tablas, no lle- vábamos</w:t>
      </w:r>
      <w:r>
        <w:rPr>
          <w:rFonts w:ascii="Arial" w:hAnsi="Arial"/>
          <w:i/>
          <w:color w:val="231F20"/>
          <w:spacing w:val="-12"/>
          <w:sz w:val="18"/>
        </w:rPr>
        <w:t> </w:t>
      </w:r>
      <w:r>
        <w:rPr>
          <w:rFonts w:ascii="Arial" w:hAnsi="Arial"/>
          <w:i/>
          <w:color w:val="231F20"/>
          <w:sz w:val="18"/>
        </w:rPr>
        <w:t>agua,</w:t>
      </w:r>
      <w:r>
        <w:rPr>
          <w:rFonts w:ascii="Arial" w:hAnsi="Arial"/>
          <w:i/>
          <w:color w:val="231F20"/>
          <w:spacing w:val="-17"/>
          <w:sz w:val="18"/>
        </w:rPr>
        <w:t> </w:t>
      </w:r>
      <w:r>
        <w:rPr>
          <w:rFonts w:ascii="Arial" w:hAnsi="Arial"/>
          <w:i/>
          <w:color w:val="231F20"/>
          <w:sz w:val="18"/>
        </w:rPr>
        <w:t>y</w:t>
      </w:r>
      <w:r>
        <w:rPr>
          <w:rFonts w:ascii="Arial" w:hAnsi="Arial"/>
          <w:i/>
          <w:color w:val="231F20"/>
          <w:spacing w:val="-12"/>
          <w:sz w:val="18"/>
        </w:rPr>
        <w:t> </w:t>
      </w:r>
      <w:r>
        <w:rPr>
          <w:rFonts w:ascii="Arial" w:hAnsi="Arial"/>
          <w:i/>
          <w:color w:val="231F20"/>
          <w:sz w:val="18"/>
        </w:rPr>
        <w:t>así</w:t>
      </w:r>
      <w:r>
        <w:rPr>
          <w:rFonts w:ascii="Arial" w:hAnsi="Arial"/>
          <w:i/>
          <w:color w:val="231F20"/>
          <w:spacing w:val="-12"/>
          <w:sz w:val="18"/>
        </w:rPr>
        <w:t> </w:t>
      </w:r>
      <w:r>
        <w:rPr>
          <w:rFonts w:ascii="Arial" w:hAnsi="Arial"/>
          <w:i/>
          <w:color w:val="231F20"/>
          <w:sz w:val="18"/>
        </w:rPr>
        <w:t>cruzamos</w:t>
      </w:r>
      <w:r>
        <w:rPr>
          <w:rFonts w:ascii="Arial" w:hAnsi="Arial"/>
          <w:i/>
          <w:color w:val="231F20"/>
          <w:spacing w:val="-12"/>
          <w:sz w:val="18"/>
        </w:rPr>
        <w:t> </w:t>
      </w:r>
      <w:r>
        <w:rPr>
          <w:rFonts w:ascii="Arial" w:hAnsi="Arial"/>
          <w:i/>
          <w:color w:val="231F20"/>
          <w:sz w:val="18"/>
        </w:rPr>
        <w:t>ese</w:t>
      </w:r>
      <w:r>
        <w:rPr>
          <w:rFonts w:ascii="Arial" w:hAnsi="Arial"/>
          <w:i/>
          <w:color w:val="231F20"/>
          <w:spacing w:val="-12"/>
          <w:sz w:val="18"/>
        </w:rPr>
        <w:t> </w:t>
      </w:r>
      <w:r>
        <w:rPr>
          <w:rFonts w:ascii="Arial" w:hAnsi="Arial"/>
          <w:i/>
          <w:color w:val="231F20"/>
          <w:sz w:val="18"/>
        </w:rPr>
        <w:t>desierto.</w:t>
      </w:r>
      <w:r>
        <w:rPr>
          <w:rFonts w:ascii="Arial" w:hAnsi="Arial"/>
          <w:i/>
          <w:color w:val="231F20"/>
          <w:spacing w:val="-17"/>
          <w:sz w:val="18"/>
        </w:rPr>
        <w:t> </w:t>
      </w:r>
      <w:r>
        <w:rPr>
          <w:rFonts w:ascii="Arial" w:hAnsi="Arial"/>
          <w:i/>
          <w:color w:val="231F20"/>
          <w:sz w:val="18"/>
        </w:rPr>
        <w:t>Cuando</w:t>
      </w:r>
      <w:r>
        <w:rPr>
          <w:rFonts w:ascii="Arial" w:hAnsi="Arial"/>
          <w:i/>
          <w:color w:val="231F20"/>
          <w:spacing w:val="-12"/>
          <w:sz w:val="18"/>
        </w:rPr>
        <w:t> </w:t>
      </w:r>
      <w:r>
        <w:rPr>
          <w:rFonts w:ascii="Arial" w:hAnsi="Arial"/>
          <w:i/>
          <w:color w:val="231F20"/>
          <w:sz w:val="18"/>
        </w:rPr>
        <w:t>llegábamos</w:t>
      </w:r>
      <w:r>
        <w:rPr>
          <w:rFonts w:ascii="Arial" w:hAnsi="Arial"/>
          <w:i/>
          <w:color w:val="231F20"/>
          <w:spacing w:val="-12"/>
          <w:sz w:val="18"/>
        </w:rPr>
        <w:t> </w:t>
      </w:r>
      <w:r>
        <w:rPr>
          <w:rFonts w:ascii="Arial" w:hAnsi="Arial"/>
          <w:i/>
          <w:color w:val="231F20"/>
          <w:sz w:val="18"/>
        </w:rPr>
        <w:t>a</w:t>
      </w:r>
      <w:r>
        <w:rPr>
          <w:rFonts w:ascii="Arial" w:hAnsi="Arial"/>
          <w:i/>
          <w:color w:val="231F20"/>
          <w:spacing w:val="-12"/>
          <w:sz w:val="18"/>
        </w:rPr>
        <w:t> </w:t>
      </w:r>
      <w:r>
        <w:rPr>
          <w:rFonts w:ascii="Arial" w:hAnsi="Arial"/>
          <w:i/>
          <w:color w:val="231F20"/>
          <w:sz w:val="18"/>
        </w:rPr>
        <w:t>los</w:t>
      </w:r>
      <w:r>
        <w:rPr>
          <w:rFonts w:ascii="Arial" w:hAnsi="Arial"/>
          <w:i/>
          <w:color w:val="231F20"/>
          <w:spacing w:val="-12"/>
          <w:sz w:val="18"/>
        </w:rPr>
        <w:t> </w:t>
      </w:r>
      <w:r>
        <w:rPr>
          <w:rFonts w:ascii="Arial" w:hAnsi="Arial"/>
          <w:i/>
          <w:color w:val="231F20"/>
          <w:sz w:val="18"/>
        </w:rPr>
        <w:t>lu- gares donde el tren paraba, ahí nos daban agua. Íbamos desesperados, metíamos</w:t>
      </w:r>
      <w:r>
        <w:rPr>
          <w:rFonts w:ascii="Arial" w:hAnsi="Arial"/>
          <w:i/>
          <w:color w:val="231F20"/>
          <w:spacing w:val="-6"/>
          <w:sz w:val="18"/>
        </w:rPr>
        <w:t> </w:t>
      </w:r>
      <w:r>
        <w:rPr>
          <w:rFonts w:ascii="Arial" w:hAnsi="Arial"/>
          <w:i/>
          <w:color w:val="231F20"/>
          <w:sz w:val="18"/>
        </w:rPr>
        <w:t>la</w:t>
      </w:r>
      <w:r>
        <w:rPr>
          <w:rFonts w:ascii="Arial" w:hAnsi="Arial"/>
          <w:i/>
          <w:color w:val="231F20"/>
          <w:spacing w:val="-6"/>
          <w:sz w:val="18"/>
        </w:rPr>
        <w:t> </w:t>
      </w:r>
      <w:r>
        <w:rPr>
          <w:rFonts w:ascii="Arial" w:hAnsi="Arial"/>
          <w:i/>
          <w:color w:val="231F20"/>
          <w:sz w:val="18"/>
        </w:rPr>
        <w:t>cabeza</w:t>
      </w:r>
      <w:r>
        <w:rPr>
          <w:rFonts w:ascii="Arial" w:hAnsi="Arial"/>
          <w:i/>
          <w:color w:val="231F20"/>
          <w:spacing w:val="-6"/>
          <w:sz w:val="18"/>
        </w:rPr>
        <w:t> </w:t>
      </w:r>
      <w:r>
        <w:rPr>
          <w:rFonts w:ascii="Arial" w:hAnsi="Arial"/>
          <w:i/>
          <w:color w:val="231F20"/>
          <w:sz w:val="18"/>
        </w:rPr>
        <w:t>en</w:t>
      </w:r>
      <w:r>
        <w:rPr>
          <w:rFonts w:ascii="Arial" w:hAnsi="Arial"/>
          <w:i/>
          <w:color w:val="231F20"/>
          <w:spacing w:val="-6"/>
          <w:sz w:val="18"/>
        </w:rPr>
        <w:t> </w:t>
      </w:r>
      <w:r>
        <w:rPr>
          <w:rFonts w:ascii="Arial" w:hAnsi="Arial"/>
          <w:i/>
          <w:color w:val="231F20"/>
          <w:sz w:val="18"/>
        </w:rPr>
        <w:t>los</w:t>
      </w:r>
      <w:r>
        <w:rPr>
          <w:rFonts w:ascii="Arial" w:hAnsi="Arial"/>
          <w:i/>
          <w:color w:val="231F20"/>
          <w:spacing w:val="-6"/>
          <w:sz w:val="18"/>
        </w:rPr>
        <w:t> </w:t>
      </w:r>
      <w:r>
        <w:rPr>
          <w:rFonts w:ascii="Arial" w:hAnsi="Arial"/>
          <w:i/>
          <w:color w:val="231F20"/>
          <w:sz w:val="18"/>
        </w:rPr>
        <w:t>baldes,</w:t>
      </w:r>
      <w:r>
        <w:rPr>
          <w:rFonts w:ascii="Arial" w:hAnsi="Arial"/>
          <w:i/>
          <w:color w:val="231F20"/>
          <w:spacing w:val="-12"/>
          <w:sz w:val="18"/>
        </w:rPr>
        <w:t> </w:t>
      </w:r>
      <w:r>
        <w:rPr>
          <w:rFonts w:ascii="Arial" w:hAnsi="Arial"/>
          <w:i/>
          <w:color w:val="231F20"/>
          <w:sz w:val="18"/>
        </w:rPr>
        <w:t>nos</w:t>
      </w:r>
      <w:r>
        <w:rPr>
          <w:rFonts w:ascii="Arial" w:hAnsi="Arial"/>
          <w:i/>
          <w:color w:val="231F20"/>
          <w:spacing w:val="-6"/>
          <w:sz w:val="18"/>
        </w:rPr>
        <w:t> </w:t>
      </w:r>
      <w:r>
        <w:rPr>
          <w:rFonts w:ascii="Arial" w:hAnsi="Arial"/>
          <w:i/>
          <w:color w:val="231F20"/>
          <w:sz w:val="18"/>
        </w:rPr>
        <w:t>echábamos</w:t>
      </w:r>
      <w:r>
        <w:rPr>
          <w:rFonts w:ascii="Arial" w:hAnsi="Arial"/>
          <w:i/>
          <w:color w:val="231F20"/>
          <w:spacing w:val="-6"/>
          <w:sz w:val="18"/>
        </w:rPr>
        <w:t> </w:t>
      </w:r>
      <w:r>
        <w:rPr>
          <w:rFonts w:ascii="Arial" w:hAnsi="Arial"/>
          <w:i/>
          <w:color w:val="231F20"/>
          <w:sz w:val="18"/>
        </w:rPr>
        <w:t>el</w:t>
      </w:r>
      <w:r>
        <w:rPr>
          <w:rFonts w:ascii="Arial" w:hAnsi="Arial"/>
          <w:i/>
          <w:color w:val="231F20"/>
          <w:spacing w:val="-6"/>
          <w:sz w:val="18"/>
        </w:rPr>
        <w:t> </w:t>
      </w:r>
      <w:r>
        <w:rPr>
          <w:rFonts w:ascii="Arial" w:hAnsi="Arial"/>
          <w:i/>
          <w:color w:val="231F20"/>
          <w:sz w:val="18"/>
        </w:rPr>
        <w:t>agua</w:t>
      </w:r>
      <w:r>
        <w:rPr>
          <w:rFonts w:ascii="Arial" w:hAnsi="Arial"/>
          <w:i/>
          <w:color w:val="231F20"/>
          <w:spacing w:val="-6"/>
          <w:sz w:val="18"/>
        </w:rPr>
        <w:t> </w:t>
      </w:r>
      <w:r>
        <w:rPr>
          <w:rFonts w:ascii="Arial" w:hAnsi="Arial"/>
          <w:i/>
          <w:color w:val="231F20"/>
          <w:sz w:val="18"/>
        </w:rPr>
        <w:t>en</w:t>
      </w:r>
      <w:r>
        <w:rPr>
          <w:rFonts w:ascii="Arial" w:hAnsi="Arial"/>
          <w:i/>
          <w:color w:val="231F20"/>
          <w:spacing w:val="-6"/>
          <w:sz w:val="18"/>
        </w:rPr>
        <w:t> </w:t>
      </w:r>
      <w:r>
        <w:rPr>
          <w:rFonts w:ascii="Arial" w:hAnsi="Arial"/>
          <w:i/>
          <w:color w:val="231F20"/>
          <w:sz w:val="18"/>
        </w:rPr>
        <w:t>la</w:t>
      </w:r>
      <w:r>
        <w:rPr>
          <w:rFonts w:ascii="Arial" w:hAnsi="Arial"/>
          <w:i/>
          <w:color w:val="231F20"/>
          <w:spacing w:val="-6"/>
          <w:sz w:val="18"/>
        </w:rPr>
        <w:t> </w:t>
      </w:r>
      <w:r>
        <w:rPr>
          <w:rFonts w:ascii="Arial" w:hAnsi="Arial"/>
          <w:i/>
          <w:color w:val="231F20"/>
          <w:sz w:val="18"/>
        </w:rPr>
        <w:t>cara.</w:t>
      </w:r>
    </w:p>
    <w:p>
      <w:pPr>
        <w:spacing w:line="249" w:lineRule="auto" w:before="114"/>
        <w:ind w:left="2857" w:right="1836" w:firstLine="0"/>
        <w:jc w:val="both"/>
        <w:rPr>
          <w:rFonts w:ascii="Arial" w:hAnsi="Arial"/>
          <w:i/>
          <w:sz w:val="18"/>
        </w:rPr>
      </w:pPr>
      <w:r>
        <w:rPr>
          <w:rFonts w:ascii="Arial" w:hAnsi="Arial"/>
          <w:i/>
          <w:color w:val="231F20"/>
          <w:spacing w:val="-5"/>
          <w:w w:val="105"/>
          <w:sz w:val="18"/>
        </w:rPr>
        <w:t>Por</w:t>
      </w:r>
      <w:r>
        <w:rPr>
          <w:rFonts w:ascii="Arial" w:hAnsi="Arial"/>
          <w:i/>
          <w:color w:val="231F20"/>
          <w:spacing w:val="-6"/>
          <w:w w:val="105"/>
          <w:sz w:val="18"/>
        </w:rPr>
        <w:t> </w:t>
      </w:r>
      <w:r>
        <w:rPr>
          <w:rFonts w:ascii="Arial" w:hAnsi="Arial"/>
          <w:i/>
          <w:color w:val="231F20"/>
          <w:w w:val="105"/>
          <w:sz w:val="18"/>
        </w:rPr>
        <w:t>eso</w:t>
      </w:r>
      <w:r>
        <w:rPr>
          <w:rFonts w:ascii="Arial" w:hAnsi="Arial"/>
          <w:i/>
          <w:color w:val="231F20"/>
          <w:spacing w:val="-6"/>
          <w:w w:val="105"/>
          <w:sz w:val="18"/>
        </w:rPr>
        <w:t> </w:t>
      </w:r>
      <w:r>
        <w:rPr>
          <w:rFonts w:ascii="Arial" w:hAnsi="Arial"/>
          <w:i/>
          <w:color w:val="231F20"/>
          <w:w w:val="105"/>
          <w:sz w:val="18"/>
        </w:rPr>
        <w:t>ahora</w:t>
      </w:r>
      <w:r>
        <w:rPr>
          <w:rFonts w:ascii="Arial" w:hAnsi="Arial"/>
          <w:i/>
          <w:color w:val="231F20"/>
          <w:spacing w:val="-6"/>
          <w:w w:val="105"/>
          <w:sz w:val="18"/>
        </w:rPr>
        <w:t> </w:t>
      </w:r>
      <w:r>
        <w:rPr>
          <w:rFonts w:ascii="Arial" w:hAnsi="Arial"/>
          <w:i/>
          <w:color w:val="231F20"/>
          <w:w w:val="105"/>
          <w:sz w:val="18"/>
        </w:rPr>
        <w:t>comprendo</w:t>
      </w:r>
      <w:r>
        <w:rPr>
          <w:rFonts w:ascii="Arial" w:hAnsi="Arial"/>
          <w:i/>
          <w:color w:val="231F20"/>
          <w:spacing w:val="-6"/>
          <w:w w:val="105"/>
          <w:sz w:val="18"/>
        </w:rPr>
        <w:t> </w:t>
      </w:r>
      <w:r>
        <w:rPr>
          <w:rFonts w:ascii="Arial" w:hAnsi="Arial"/>
          <w:i/>
          <w:color w:val="231F20"/>
          <w:w w:val="105"/>
          <w:sz w:val="18"/>
        </w:rPr>
        <w:t>a</w:t>
      </w:r>
      <w:r>
        <w:rPr>
          <w:rFonts w:ascii="Arial" w:hAnsi="Arial"/>
          <w:i/>
          <w:color w:val="231F20"/>
          <w:spacing w:val="-6"/>
          <w:w w:val="105"/>
          <w:sz w:val="18"/>
        </w:rPr>
        <w:t> </w:t>
      </w:r>
      <w:r>
        <w:rPr>
          <w:rFonts w:ascii="Arial" w:hAnsi="Arial"/>
          <w:i/>
          <w:color w:val="231F20"/>
          <w:w w:val="105"/>
          <w:sz w:val="18"/>
        </w:rPr>
        <w:t>la</w:t>
      </w:r>
      <w:r>
        <w:rPr>
          <w:rFonts w:ascii="Arial" w:hAnsi="Arial"/>
          <w:i/>
          <w:color w:val="231F20"/>
          <w:spacing w:val="-6"/>
          <w:w w:val="105"/>
          <w:sz w:val="18"/>
        </w:rPr>
        <w:t> </w:t>
      </w:r>
      <w:r>
        <w:rPr>
          <w:rFonts w:ascii="Arial" w:hAnsi="Arial"/>
          <w:i/>
          <w:color w:val="231F20"/>
          <w:w w:val="105"/>
          <w:sz w:val="18"/>
        </w:rPr>
        <w:t>pobre</w:t>
      </w:r>
      <w:r>
        <w:rPr>
          <w:rFonts w:ascii="Arial" w:hAnsi="Arial"/>
          <w:i/>
          <w:color w:val="231F20"/>
          <w:spacing w:val="-6"/>
          <w:w w:val="105"/>
          <w:sz w:val="18"/>
        </w:rPr>
        <w:t> </w:t>
      </w:r>
      <w:r>
        <w:rPr>
          <w:rFonts w:ascii="Arial" w:hAnsi="Arial"/>
          <w:i/>
          <w:color w:val="231F20"/>
          <w:w w:val="105"/>
          <w:sz w:val="18"/>
        </w:rPr>
        <w:t>gente</w:t>
      </w:r>
      <w:r>
        <w:rPr>
          <w:rFonts w:ascii="Arial" w:hAnsi="Arial"/>
          <w:i/>
          <w:color w:val="231F20"/>
          <w:spacing w:val="-6"/>
          <w:w w:val="105"/>
          <w:sz w:val="18"/>
        </w:rPr>
        <w:t> </w:t>
      </w:r>
      <w:r>
        <w:rPr>
          <w:rFonts w:ascii="Arial" w:hAnsi="Arial"/>
          <w:i/>
          <w:color w:val="231F20"/>
          <w:w w:val="105"/>
          <w:sz w:val="18"/>
        </w:rPr>
        <w:t>que</w:t>
      </w:r>
      <w:r>
        <w:rPr>
          <w:rFonts w:ascii="Arial" w:hAnsi="Arial"/>
          <w:i/>
          <w:color w:val="231F20"/>
          <w:spacing w:val="-6"/>
          <w:w w:val="105"/>
          <w:sz w:val="18"/>
        </w:rPr>
        <w:t> </w:t>
      </w:r>
      <w:r>
        <w:rPr>
          <w:rFonts w:ascii="Arial" w:hAnsi="Arial"/>
          <w:i/>
          <w:color w:val="231F20"/>
          <w:w w:val="105"/>
          <w:sz w:val="18"/>
        </w:rPr>
        <w:t>tiene</w:t>
      </w:r>
      <w:r>
        <w:rPr>
          <w:rFonts w:ascii="Arial" w:hAnsi="Arial"/>
          <w:i/>
          <w:color w:val="231F20"/>
          <w:spacing w:val="-6"/>
          <w:w w:val="105"/>
          <w:sz w:val="18"/>
        </w:rPr>
        <w:t> </w:t>
      </w:r>
      <w:r>
        <w:rPr>
          <w:rFonts w:ascii="Arial" w:hAnsi="Arial"/>
          <w:i/>
          <w:color w:val="231F20"/>
          <w:w w:val="105"/>
          <w:sz w:val="18"/>
        </w:rPr>
        <w:t>que</w:t>
      </w:r>
      <w:r>
        <w:rPr>
          <w:rFonts w:ascii="Arial" w:hAnsi="Arial"/>
          <w:i/>
          <w:color w:val="231F20"/>
          <w:spacing w:val="-6"/>
          <w:w w:val="105"/>
          <w:sz w:val="18"/>
        </w:rPr>
        <w:t> </w:t>
      </w:r>
      <w:r>
        <w:rPr>
          <w:rFonts w:ascii="Arial" w:hAnsi="Arial"/>
          <w:i/>
          <w:color w:val="231F20"/>
          <w:w w:val="105"/>
          <w:sz w:val="18"/>
        </w:rPr>
        <w:t>caminar</w:t>
      </w:r>
      <w:r>
        <w:rPr>
          <w:rFonts w:ascii="Arial" w:hAnsi="Arial"/>
          <w:i/>
          <w:color w:val="231F20"/>
          <w:spacing w:val="-6"/>
          <w:w w:val="105"/>
          <w:sz w:val="18"/>
        </w:rPr>
        <w:t> </w:t>
      </w:r>
      <w:r>
        <w:rPr>
          <w:rFonts w:ascii="Arial" w:hAnsi="Arial"/>
          <w:i/>
          <w:color w:val="231F20"/>
          <w:w w:val="105"/>
          <w:sz w:val="18"/>
        </w:rPr>
        <w:t>por </w:t>
      </w:r>
      <w:r>
        <w:rPr>
          <w:rFonts w:ascii="Arial" w:hAnsi="Arial"/>
          <w:i/>
          <w:color w:val="231F20"/>
          <w:w w:val="105"/>
          <w:sz w:val="18"/>
        </w:rPr>
        <w:t>el</w:t>
      </w:r>
      <w:r>
        <w:rPr>
          <w:rFonts w:ascii="Arial" w:hAnsi="Arial"/>
          <w:i/>
          <w:color w:val="231F20"/>
          <w:spacing w:val="-32"/>
          <w:w w:val="105"/>
          <w:sz w:val="18"/>
        </w:rPr>
        <w:t> </w:t>
      </w:r>
      <w:r>
        <w:rPr>
          <w:rFonts w:ascii="Arial" w:hAnsi="Arial"/>
          <w:i/>
          <w:color w:val="231F20"/>
          <w:w w:val="105"/>
          <w:sz w:val="18"/>
        </w:rPr>
        <w:t>desierto</w:t>
      </w:r>
      <w:r>
        <w:rPr>
          <w:rFonts w:ascii="Arial" w:hAnsi="Arial"/>
          <w:i/>
          <w:color w:val="231F20"/>
          <w:spacing w:val="-32"/>
          <w:w w:val="105"/>
          <w:sz w:val="18"/>
        </w:rPr>
        <w:t> </w:t>
      </w:r>
      <w:r>
        <w:rPr>
          <w:rFonts w:ascii="Arial" w:hAnsi="Arial"/>
          <w:i/>
          <w:color w:val="231F20"/>
          <w:w w:val="105"/>
          <w:sz w:val="18"/>
        </w:rPr>
        <w:t>para</w:t>
      </w:r>
      <w:r>
        <w:rPr>
          <w:rFonts w:ascii="Arial" w:hAnsi="Arial"/>
          <w:i/>
          <w:color w:val="231F20"/>
          <w:spacing w:val="-32"/>
          <w:w w:val="105"/>
          <w:sz w:val="18"/>
        </w:rPr>
        <w:t> </w:t>
      </w:r>
      <w:r>
        <w:rPr>
          <w:rFonts w:ascii="Arial" w:hAnsi="Arial"/>
          <w:i/>
          <w:color w:val="231F20"/>
          <w:w w:val="105"/>
          <w:sz w:val="18"/>
        </w:rPr>
        <w:t>llegar</w:t>
      </w:r>
      <w:r>
        <w:rPr>
          <w:rFonts w:ascii="Arial" w:hAnsi="Arial"/>
          <w:i/>
          <w:color w:val="231F20"/>
          <w:spacing w:val="-32"/>
          <w:w w:val="105"/>
          <w:sz w:val="18"/>
        </w:rPr>
        <w:t> </w:t>
      </w:r>
      <w:r>
        <w:rPr>
          <w:rFonts w:ascii="Arial" w:hAnsi="Arial"/>
          <w:i/>
          <w:color w:val="231F20"/>
          <w:w w:val="105"/>
          <w:sz w:val="18"/>
        </w:rPr>
        <w:t>a</w:t>
      </w:r>
      <w:r>
        <w:rPr>
          <w:rFonts w:ascii="Arial" w:hAnsi="Arial"/>
          <w:i/>
          <w:color w:val="231F20"/>
          <w:spacing w:val="-32"/>
          <w:w w:val="105"/>
          <w:sz w:val="18"/>
        </w:rPr>
        <w:t> </w:t>
      </w:r>
      <w:r>
        <w:rPr>
          <w:rFonts w:ascii="Arial" w:hAnsi="Arial"/>
          <w:i/>
          <w:color w:val="231F20"/>
          <w:w w:val="105"/>
          <w:sz w:val="18"/>
        </w:rPr>
        <w:t>Estados</w:t>
      </w:r>
      <w:r>
        <w:rPr>
          <w:rFonts w:ascii="Arial" w:hAnsi="Arial"/>
          <w:i/>
          <w:color w:val="231F20"/>
          <w:spacing w:val="-32"/>
          <w:w w:val="105"/>
          <w:sz w:val="18"/>
        </w:rPr>
        <w:t> </w:t>
      </w:r>
      <w:r>
        <w:rPr>
          <w:rFonts w:ascii="Arial" w:hAnsi="Arial"/>
          <w:i/>
          <w:color w:val="231F20"/>
          <w:w w:val="105"/>
          <w:sz w:val="18"/>
        </w:rPr>
        <w:t>Unidos.</w:t>
      </w:r>
      <w:r>
        <w:rPr>
          <w:rFonts w:ascii="Arial" w:hAnsi="Arial"/>
          <w:i/>
          <w:color w:val="231F20"/>
          <w:spacing w:val="-35"/>
          <w:w w:val="105"/>
          <w:sz w:val="18"/>
        </w:rPr>
        <w:t> </w:t>
      </w:r>
      <w:r>
        <w:rPr>
          <w:rFonts w:ascii="Arial" w:hAnsi="Arial"/>
          <w:i/>
          <w:color w:val="231F20"/>
          <w:w w:val="105"/>
          <w:sz w:val="18"/>
        </w:rPr>
        <w:t>Sufren</w:t>
      </w:r>
      <w:r>
        <w:rPr>
          <w:rFonts w:ascii="Arial" w:hAnsi="Arial"/>
          <w:i/>
          <w:color w:val="231F20"/>
          <w:spacing w:val="-32"/>
          <w:w w:val="105"/>
          <w:sz w:val="18"/>
        </w:rPr>
        <w:t> </w:t>
      </w:r>
      <w:r>
        <w:rPr>
          <w:rFonts w:ascii="Arial" w:hAnsi="Arial"/>
          <w:i/>
          <w:color w:val="231F20"/>
          <w:w w:val="105"/>
          <w:sz w:val="18"/>
        </w:rPr>
        <w:t>mucho.</w:t>
      </w:r>
      <w:r>
        <w:rPr>
          <w:rFonts w:ascii="Arial" w:hAnsi="Arial"/>
          <w:i/>
          <w:color w:val="231F20"/>
          <w:spacing w:val="-37"/>
          <w:w w:val="105"/>
          <w:sz w:val="18"/>
        </w:rPr>
        <w:t> </w:t>
      </w:r>
      <w:r>
        <w:rPr>
          <w:rFonts w:ascii="Arial" w:hAnsi="Arial"/>
          <w:i/>
          <w:color w:val="231F20"/>
          <w:w w:val="105"/>
          <w:sz w:val="18"/>
        </w:rPr>
        <w:t>Y</w:t>
      </w:r>
      <w:r>
        <w:rPr>
          <w:rFonts w:ascii="Arial" w:hAnsi="Arial"/>
          <w:i/>
          <w:color w:val="231F20"/>
          <w:spacing w:val="-34"/>
          <w:w w:val="105"/>
          <w:sz w:val="18"/>
        </w:rPr>
        <w:t> </w:t>
      </w:r>
      <w:r>
        <w:rPr>
          <w:rFonts w:ascii="Arial" w:hAnsi="Arial"/>
          <w:i/>
          <w:color w:val="231F20"/>
          <w:w w:val="105"/>
          <w:sz w:val="18"/>
        </w:rPr>
        <w:t>es</w:t>
      </w:r>
      <w:r>
        <w:rPr>
          <w:rFonts w:ascii="Arial" w:hAnsi="Arial"/>
          <w:i/>
          <w:color w:val="231F20"/>
          <w:spacing w:val="-32"/>
          <w:w w:val="105"/>
          <w:sz w:val="18"/>
        </w:rPr>
        <w:t> </w:t>
      </w:r>
      <w:r>
        <w:rPr>
          <w:rFonts w:ascii="Arial" w:hAnsi="Arial"/>
          <w:i/>
          <w:color w:val="231F20"/>
          <w:w w:val="105"/>
          <w:sz w:val="18"/>
        </w:rPr>
        <w:t>que</w:t>
      </w:r>
      <w:r>
        <w:rPr>
          <w:rFonts w:ascii="Arial" w:hAnsi="Arial"/>
          <w:i/>
          <w:color w:val="231F20"/>
          <w:spacing w:val="-32"/>
          <w:w w:val="105"/>
          <w:sz w:val="18"/>
        </w:rPr>
        <w:t> </w:t>
      </w:r>
      <w:r>
        <w:rPr>
          <w:rFonts w:ascii="Arial" w:hAnsi="Arial"/>
          <w:i/>
          <w:color w:val="231F20"/>
          <w:w w:val="105"/>
          <w:sz w:val="18"/>
        </w:rPr>
        <w:t>en</w:t>
      </w:r>
      <w:r>
        <w:rPr>
          <w:rFonts w:ascii="Arial" w:hAnsi="Arial"/>
          <w:i/>
          <w:color w:val="231F20"/>
          <w:spacing w:val="-32"/>
          <w:w w:val="105"/>
          <w:sz w:val="18"/>
        </w:rPr>
        <w:t> </w:t>
      </w:r>
      <w:r>
        <w:rPr>
          <w:rFonts w:ascii="Arial" w:hAnsi="Arial"/>
          <w:i/>
          <w:color w:val="231F20"/>
          <w:w w:val="105"/>
          <w:sz w:val="18"/>
        </w:rPr>
        <w:t>esos caminos</w:t>
      </w:r>
      <w:r>
        <w:rPr>
          <w:rFonts w:ascii="Arial" w:hAnsi="Arial"/>
          <w:i/>
          <w:color w:val="231F20"/>
          <w:spacing w:val="-14"/>
          <w:w w:val="105"/>
          <w:sz w:val="18"/>
        </w:rPr>
        <w:t> </w:t>
      </w:r>
      <w:r>
        <w:rPr>
          <w:rFonts w:ascii="Arial" w:hAnsi="Arial"/>
          <w:i/>
          <w:color w:val="231F20"/>
          <w:w w:val="105"/>
          <w:sz w:val="18"/>
        </w:rPr>
        <w:t>se</w:t>
      </w:r>
      <w:r>
        <w:rPr>
          <w:rFonts w:ascii="Arial" w:hAnsi="Arial"/>
          <w:i/>
          <w:color w:val="231F20"/>
          <w:spacing w:val="-14"/>
          <w:w w:val="105"/>
          <w:sz w:val="18"/>
        </w:rPr>
        <w:t> </w:t>
      </w:r>
      <w:r>
        <w:rPr>
          <w:rFonts w:ascii="Arial" w:hAnsi="Arial"/>
          <w:i/>
          <w:color w:val="231F20"/>
          <w:w w:val="105"/>
          <w:sz w:val="18"/>
        </w:rPr>
        <w:t>sufre</w:t>
      </w:r>
      <w:r>
        <w:rPr>
          <w:rFonts w:ascii="Arial" w:hAnsi="Arial"/>
          <w:i/>
          <w:color w:val="231F20"/>
          <w:spacing w:val="-14"/>
          <w:w w:val="105"/>
          <w:sz w:val="18"/>
        </w:rPr>
        <w:t> </w:t>
      </w:r>
      <w:r>
        <w:rPr>
          <w:rFonts w:ascii="Arial" w:hAnsi="Arial"/>
          <w:i/>
          <w:color w:val="231F20"/>
          <w:w w:val="105"/>
          <w:sz w:val="18"/>
        </w:rPr>
        <w:t>mucho.</w:t>
      </w:r>
      <w:r>
        <w:rPr>
          <w:rFonts w:ascii="Arial" w:hAnsi="Arial"/>
          <w:i/>
          <w:color w:val="231F20"/>
          <w:spacing w:val="-19"/>
          <w:w w:val="105"/>
          <w:sz w:val="18"/>
        </w:rPr>
        <w:t> </w:t>
      </w:r>
      <w:r>
        <w:rPr>
          <w:rFonts w:ascii="Arial" w:hAnsi="Arial"/>
          <w:i/>
          <w:color w:val="231F20"/>
          <w:w w:val="105"/>
          <w:sz w:val="18"/>
        </w:rPr>
        <w:t>Una</w:t>
      </w:r>
      <w:r>
        <w:rPr>
          <w:rFonts w:ascii="Arial" w:hAnsi="Arial"/>
          <w:i/>
          <w:color w:val="231F20"/>
          <w:spacing w:val="-14"/>
          <w:w w:val="105"/>
          <w:sz w:val="18"/>
        </w:rPr>
        <w:t> </w:t>
      </w:r>
      <w:r>
        <w:rPr>
          <w:rFonts w:ascii="Arial" w:hAnsi="Arial"/>
          <w:i/>
          <w:color w:val="231F20"/>
          <w:w w:val="105"/>
          <w:sz w:val="18"/>
        </w:rPr>
        <w:t>vez</w:t>
      </w:r>
      <w:r>
        <w:rPr>
          <w:rFonts w:ascii="Arial" w:hAnsi="Arial"/>
          <w:i/>
          <w:color w:val="231F20"/>
          <w:spacing w:val="-14"/>
          <w:w w:val="105"/>
          <w:sz w:val="18"/>
        </w:rPr>
        <w:t> </w:t>
      </w:r>
      <w:r>
        <w:rPr>
          <w:rFonts w:ascii="Arial" w:hAnsi="Arial"/>
          <w:i/>
          <w:color w:val="231F20"/>
          <w:w w:val="105"/>
          <w:sz w:val="18"/>
        </w:rPr>
        <w:t>vi</w:t>
      </w:r>
      <w:r>
        <w:rPr>
          <w:rFonts w:ascii="Arial" w:hAnsi="Arial"/>
          <w:i/>
          <w:color w:val="231F20"/>
          <w:spacing w:val="-14"/>
          <w:w w:val="105"/>
          <w:sz w:val="18"/>
        </w:rPr>
        <w:t> </w:t>
      </w:r>
      <w:r>
        <w:rPr>
          <w:rFonts w:ascii="Arial" w:hAnsi="Arial"/>
          <w:i/>
          <w:color w:val="231F20"/>
          <w:w w:val="105"/>
          <w:sz w:val="18"/>
        </w:rPr>
        <w:t>como</w:t>
      </w:r>
      <w:r>
        <w:rPr>
          <w:rFonts w:ascii="Arial" w:hAnsi="Arial"/>
          <w:i/>
          <w:color w:val="231F20"/>
          <w:spacing w:val="-14"/>
          <w:w w:val="105"/>
          <w:sz w:val="18"/>
        </w:rPr>
        <w:t> </w:t>
      </w:r>
      <w:r>
        <w:rPr>
          <w:rFonts w:ascii="Arial" w:hAnsi="Arial"/>
          <w:i/>
          <w:color w:val="231F20"/>
          <w:w w:val="105"/>
          <w:sz w:val="18"/>
        </w:rPr>
        <w:t>todos</w:t>
      </w:r>
      <w:r>
        <w:rPr>
          <w:rFonts w:ascii="Arial" w:hAnsi="Arial"/>
          <w:i/>
          <w:color w:val="231F20"/>
          <w:spacing w:val="-14"/>
          <w:w w:val="105"/>
          <w:sz w:val="18"/>
        </w:rPr>
        <w:t> </w:t>
      </w:r>
      <w:r>
        <w:rPr>
          <w:rFonts w:ascii="Arial" w:hAnsi="Arial"/>
          <w:i/>
          <w:color w:val="231F20"/>
          <w:w w:val="105"/>
          <w:sz w:val="18"/>
        </w:rPr>
        <w:t>los</w:t>
      </w:r>
      <w:r>
        <w:rPr>
          <w:rFonts w:ascii="Arial" w:hAnsi="Arial"/>
          <w:i/>
          <w:color w:val="231F20"/>
          <w:spacing w:val="-14"/>
          <w:w w:val="105"/>
          <w:sz w:val="18"/>
        </w:rPr>
        <w:t> </w:t>
      </w:r>
      <w:r>
        <w:rPr>
          <w:rFonts w:ascii="Arial" w:hAnsi="Arial"/>
          <w:i/>
          <w:color w:val="231F20"/>
          <w:w w:val="105"/>
          <w:sz w:val="18"/>
        </w:rPr>
        <w:t>que</w:t>
      </w:r>
      <w:r>
        <w:rPr>
          <w:rFonts w:ascii="Arial" w:hAnsi="Arial"/>
          <w:i/>
          <w:color w:val="231F20"/>
          <w:spacing w:val="-14"/>
          <w:w w:val="105"/>
          <w:sz w:val="18"/>
        </w:rPr>
        <w:t> </w:t>
      </w:r>
      <w:r>
        <w:rPr>
          <w:rFonts w:ascii="Arial" w:hAnsi="Arial"/>
          <w:i/>
          <w:color w:val="231F20"/>
          <w:w w:val="105"/>
          <w:sz w:val="18"/>
        </w:rPr>
        <w:t>íbamos,</w:t>
      </w:r>
      <w:r>
        <w:rPr>
          <w:rFonts w:ascii="Arial" w:hAnsi="Arial"/>
          <w:i/>
          <w:color w:val="231F20"/>
          <w:spacing w:val="-19"/>
          <w:w w:val="105"/>
          <w:sz w:val="18"/>
        </w:rPr>
        <w:t> </w:t>
      </w:r>
      <w:r>
        <w:rPr>
          <w:rFonts w:ascii="Arial" w:hAnsi="Arial"/>
          <w:i/>
          <w:color w:val="231F20"/>
          <w:w w:val="105"/>
          <w:sz w:val="18"/>
        </w:rPr>
        <w:t>y</w:t>
      </w:r>
      <w:r>
        <w:rPr>
          <w:rFonts w:ascii="Arial" w:hAnsi="Arial"/>
          <w:i/>
          <w:color w:val="231F20"/>
          <w:spacing w:val="-14"/>
          <w:w w:val="105"/>
          <w:sz w:val="18"/>
        </w:rPr>
        <w:t> </w:t>
      </w:r>
      <w:r>
        <w:rPr>
          <w:rFonts w:ascii="Arial" w:hAnsi="Arial"/>
          <w:i/>
          <w:color w:val="231F20"/>
          <w:w w:val="105"/>
          <w:sz w:val="18"/>
        </w:rPr>
        <w:t>que no</w:t>
      </w:r>
      <w:r>
        <w:rPr>
          <w:rFonts w:ascii="Arial" w:hAnsi="Arial"/>
          <w:i/>
          <w:color w:val="231F20"/>
          <w:spacing w:val="-14"/>
          <w:w w:val="105"/>
          <w:sz w:val="18"/>
        </w:rPr>
        <w:t> </w:t>
      </w:r>
      <w:r>
        <w:rPr>
          <w:rFonts w:ascii="Arial" w:hAnsi="Arial"/>
          <w:i/>
          <w:color w:val="231F20"/>
          <w:w w:val="105"/>
          <w:sz w:val="18"/>
        </w:rPr>
        <w:t>nos</w:t>
      </w:r>
      <w:r>
        <w:rPr>
          <w:rFonts w:ascii="Arial" w:hAnsi="Arial"/>
          <w:i/>
          <w:color w:val="231F20"/>
          <w:spacing w:val="-14"/>
          <w:w w:val="105"/>
          <w:sz w:val="18"/>
        </w:rPr>
        <w:t> </w:t>
      </w:r>
      <w:r>
        <w:rPr>
          <w:rFonts w:ascii="Arial" w:hAnsi="Arial"/>
          <w:i/>
          <w:color w:val="231F20"/>
          <w:w w:val="105"/>
          <w:sz w:val="18"/>
        </w:rPr>
        <w:t>conocíamos,</w:t>
      </w:r>
      <w:r>
        <w:rPr>
          <w:rFonts w:ascii="Arial" w:hAnsi="Arial"/>
          <w:i/>
          <w:color w:val="231F20"/>
          <w:spacing w:val="-18"/>
          <w:w w:val="105"/>
          <w:sz w:val="18"/>
        </w:rPr>
        <w:t> </w:t>
      </w:r>
      <w:r>
        <w:rPr>
          <w:rFonts w:ascii="Arial" w:hAnsi="Arial"/>
          <w:i/>
          <w:color w:val="231F20"/>
          <w:w w:val="105"/>
          <w:sz w:val="18"/>
        </w:rPr>
        <w:t>funcionábamos</w:t>
      </w:r>
      <w:r>
        <w:rPr>
          <w:rFonts w:ascii="Arial" w:hAnsi="Arial"/>
          <w:i/>
          <w:color w:val="231F20"/>
          <w:spacing w:val="-14"/>
          <w:w w:val="105"/>
          <w:sz w:val="18"/>
        </w:rPr>
        <w:t> </w:t>
      </w:r>
      <w:r>
        <w:rPr>
          <w:rFonts w:ascii="Arial" w:hAnsi="Arial"/>
          <w:i/>
          <w:color w:val="231F20"/>
          <w:w w:val="105"/>
          <w:sz w:val="18"/>
        </w:rPr>
        <w:t>como</w:t>
      </w:r>
      <w:r>
        <w:rPr>
          <w:rFonts w:ascii="Arial" w:hAnsi="Arial"/>
          <w:i/>
          <w:color w:val="231F20"/>
          <w:spacing w:val="-14"/>
          <w:w w:val="105"/>
          <w:sz w:val="18"/>
        </w:rPr>
        <w:t> </w:t>
      </w:r>
      <w:r>
        <w:rPr>
          <w:rFonts w:ascii="Arial" w:hAnsi="Arial"/>
          <w:i/>
          <w:color w:val="231F20"/>
          <w:w w:val="105"/>
          <w:sz w:val="18"/>
        </w:rPr>
        <w:t>una</w:t>
      </w:r>
      <w:r>
        <w:rPr>
          <w:rFonts w:ascii="Arial" w:hAnsi="Arial"/>
          <w:i/>
          <w:color w:val="231F20"/>
          <w:spacing w:val="-14"/>
          <w:w w:val="105"/>
          <w:sz w:val="18"/>
        </w:rPr>
        <w:t> </w:t>
      </w:r>
      <w:r>
        <w:rPr>
          <w:rFonts w:ascii="Arial" w:hAnsi="Arial"/>
          <w:i/>
          <w:color w:val="231F20"/>
          <w:w w:val="105"/>
          <w:sz w:val="18"/>
        </w:rPr>
        <w:t>familia,</w:t>
      </w:r>
      <w:r>
        <w:rPr>
          <w:rFonts w:ascii="Arial" w:hAnsi="Arial"/>
          <w:i/>
          <w:color w:val="231F20"/>
          <w:spacing w:val="-18"/>
          <w:w w:val="105"/>
          <w:sz w:val="18"/>
        </w:rPr>
        <w:t> </w:t>
      </w:r>
      <w:r>
        <w:rPr>
          <w:rFonts w:ascii="Arial" w:hAnsi="Arial"/>
          <w:i/>
          <w:color w:val="231F20"/>
          <w:w w:val="105"/>
          <w:sz w:val="18"/>
        </w:rPr>
        <w:t>sólo</w:t>
      </w:r>
      <w:r>
        <w:rPr>
          <w:rFonts w:ascii="Arial" w:hAnsi="Arial"/>
          <w:i/>
          <w:color w:val="231F20"/>
          <w:spacing w:val="-14"/>
          <w:w w:val="105"/>
          <w:sz w:val="18"/>
        </w:rPr>
        <w:t> </w:t>
      </w:r>
      <w:r>
        <w:rPr>
          <w:rFonts w:ascii="Arial" w:hAnsi="Arial"/>
          <w:i/>
          <w:color w:val="231F20"/>
          <w:w w:val="105"/>
          <w:sz w:val="18"/>
        </w:rPr>
        <w:t>así</w:t>
      </w:r>
      <w:r>
        <w:rPr>
          <w:rFonts w:ascii="Arial" w:hAnsi="Arial"/>
          <w:i/>
          <w:color w:val="231F20"/>
          <w:spacing w:val="-14"/>
          <w:w w:val="105"/>
          <w:sz w:val="18"/>
        </w:rPr>
        <w:t> </w:t>
      </w:r>
      <w:r>
        <w:rPr>
          <w:rFonts w:ascii="Arial" w:hAnsi="Arial"/>
          <w:i/>
          <w:color w:val="231F20"/>
          <w:w w:val="105"/>
          <w:sz w:val="18"/>
        </w:rPr>
        <w:t>podría- mos</w:t>
      </w:r>
      <w:r>
        <w:rPr>
          <w:rFonts w:ascii="Arial" w:hAnsi="Arial"/>
          <w:i/>
          <w:color w:val="231F20"/>
          <w:spacing w:val="-8"/>
          <w:w w:val="105"/>
          <w:sz w:val="18"/>
        </w:rPr>
        <w:t> </w:t>
      </w:r>
      <w:r>
        <w:rPr>
          <w:rFonts w:ascii="Arial" w:hAnsi="Arial"/>
          <w:i/>
          <w:color w:val="231F20"/>
          <w:w w:val="105"/>
          <w:sz w:val="18"/>
        </w:rPr>
        <w:t>sobrevivir</w:t>
      </w:r>
      <w:r>
        <w:rPr>
          <w:rFonts w:ascii="Arial" w:hAnsi="Arial"/>
          <w:i/>
          <w:color w:val="231F20"/>
          <w:spacing w:val="-8"/>
          <w:w w:val="105"/>
          <w:sz w:val="18"/>
        </w:rPr>
        <w:t> </w:t>
      </w:r>
      <w:r>
        <w:rPr>
          <w:rFonts w:ascii="Arial" w:hAnsi="Arial"/>
          <w:i/>
          <w:color w:val="231F20"/>
          <w:w w:val="105"/>
          <w:sz w:val="18"/>
        </w:rPr>
        <w:t>y</w:t>
      </w:r>
      <w:r>
        <w:rPr>
          <w:rFonts w:ascii="Arial" w:hAnsi="Arial"/>
          <w:i/>
          <w:color w:val="231F20"/>
          <w:spacing w:val="-8"/>
          <w:w w:val="105"/>
          <w:sz w:val="18"/>
        </w:rPr>
        <w:t> </w:t>
      </w:r>
      <w:r>
        <w:rPr>
          <w:rFonts w:ascii="Arial" w:hAnsi="Arial"/>
          <w:i/>
          <w:color w:val="231F20"/>
          <w:w w:val="105"/>
          <w:sz w:val="18"/>
        </w:rPr>
        <w:t>hacer</w:t>
      </w:r>
      <w:r>
        <w:rPr>
          <w:rFonts w:ascii="Arial" w:hAnsi="Arial"/>
          <w:i/>
          <w:color w:val="231F20"/>
          <w:spacing w:val="-8"/>
          <w:w w:val="105"/>
          <w:sz w:val="18"/>
        </w:rPr>
        <w:t> </w:t>
      </w:r>
      <w:r>
        <w:rPr>
          <w:rFonts w:ascii="Arial" w:hAnsi="Arial"/>
          <w:i/>
          <w:color w:val="231F20"/>
          <w:w w:val="105"/>
          <w:sz w:val="18"/>
        </w:rPr>
        <w:t>frente</w:t>
      </w:r>
      <w:r>
        <w:rPr>
          <w:rFonts w:ascii="Arial" w:hAnsi="Arial"/>
          <w:i/>
          <w:color w:val="231F20"/>
          <w:spacing w:val="-8"/>
          <w:w w:val="105"/>
          <w:sz w:val="18"/>
        </w:rPr>
        <w:t> </w:t>
      </w:r>
      <w:r>
        <w:rPr>
          <w:rFonts w:ascii="Arial" w:hAnsi="Arial"/>
          <w:i/>
          <w:color w:val="231F20"/>
          <w:w w:val="105"/>
          <w:sz w:val="18"/>
        </w:rPr>
        <w:t>a</w:t>
      </w:r>
      <w:r>
        <w:rPr>
          <w:rFonts w:ascii="Arial" w:hAnsi="Arial"/>
          <w:i/>
          <w:color w:val="231F20"/>
          <w:spacing w:val="-8"/>
          <w:w w:val="105"/>
          <w:sz w:val="18"/>
        </w:rPr>
        <w:t> </w:t>
      </w:r>
      <w:r>
        <w:rPr>
          <w:rFonts w:ascii="Arial" w:hAnsi="Arial"/>
          <w:i/>
          <w:color w:val="231F20"/>
          <w:w w:val="105"/>
          <w:sz w:val="18"/>
        </w:rPr>
        <w:t>los</w:t>
      </w:r>
      <w:r>
        <w:rPr>
          <w:rFonts w:ascii="Arial" w:hAnsi="Arial"/>
          <w:i/>
          <w:color w:val="231F20"/>
          <w:spacing w:val="-8"/>
          <w:w w:val="105"/>
          <w:sz w:val="18"/>
        </w:rPr>
        <w:t> </w:t>
      </w:r>
      <w:r>
        <w:rPr>
          <w:rFonts w:ascii="Arial" w:hAnsi="Arial"/>
          <w:i/>
          <w:color w:val="231F20"/>
          <w:w w:val="105"/>
          <w:sz w:val="18"/>
        </w:rPr>
        <w:t>coyotes</w:t>
      </w:r>
      <w:r>
        <w:rPr>
          <w:rFonts w:ascii="Arial" w:hAnsi="Arial"/>
          <w:i/>
          <w:color w:val="231F20"/>
          <w:spacing w:val="-8"/>
          <w:w w:val="105"/>
          <w:sz w:val="18"/>
        </w:rPr>
        <w:t> </w:t>
      </w:r>
      <w:r>
        <w:rPr>
          <w:rFonts w:ascii="Arial" w:hAnsi="Arial"/>
          <w:i/>
          <w:color w:val="231F20"/>
          <w:w w:val="105"/>
          <w:sz w:val="18"/>
        </w:rPr>
        <w:t>y</w:t>
      </w:r>
      <w:r>
        <w:rPr>
          <w:rFonts w:ascii="Arial" w:hAnsi="Arial"/>
          <w:i/>
          <w:color w:val="231F20"/>
          <w:spacing w:val="-8"/>
          <w:w w:val="105"/>
          <w:sz w:val="18"/>
        </w:rPr>
        <w:t> </w:t>
      </w:r>
      <w:r>
        <w:rPr>
          <w:rFonts w:ascii="Arial" w:hAnsi="Arial"/>
          <w:i/>
          <w:color w:val="231F20"/>
          <w:w w:val="105"/>
          <w:sz w:val="18"/>
        </w:rPr>
        <w:t>a</w:t>
      </w:r>
      <w:r>
        <w:rPr>
          <w:rFonts w:ascii="Arial" w:hAnsi="Arial"/>
          <w:i/>
          <w:color w:val="231F20"/>
          <w:spacing w:val="-8"/>
          <w:w w:val="105"/>
          <w:sz w:val="18"/>
        </w:rPr>
        <w:t> </w:t>
      </w:r>
      <w:r>
        <w:rPr>
          <w:rFonts w:ascii="Arial" w:hAnsi="Arial"/>
          <w:i/>
          <w:color w:val="231F20"/>
          <w:w w:val="105"/>
          <w:sz w:val="18"/>
        </w:rPr>
        <w:t>los</w:t>
      </w:r>
      <w:r>
        <w:rPr>
          <w:rFonts w:ascii="Arial" w:hAnsi="Arial"/>
          <w:i/>
          <w:color w:val="231F20"/>
          <w:spacing w:val="-8"/>
          <w:w w:val="105"/>
          <w:sz w:val="18"/>
        </w:rPr>
        <w:t> </w:t>
      </w:r>
      <w:r>
        <w:rPr>
          <w:rFonts w:ascii="Arial" w:hAnsi="Arial"/>
          <w:i/>
          <w:color w:val="231F20"/>
          <w:w w:val="105"/>
          <w:sz w:val="18"/>
        </w:rPr>
        <w:t>peligros.</w:t>
      </w:r>
      <w:r>
        <w:rPr>
          <w:rFonts w:ascii="Arial" w:hAnsi="Arial"/>
          <w:i/>
          <w:color w:val="231F20"/>
          <w:spacing w:val="-12"/>
          <w:w w:val="105"/>
          <w:sz w:val="18"/>
        </w:rPr>
        <w:t> </w:t>
      </w:r>
      <w:r>
        <w:rPr>
          <w:rFonts w:ascii="Arial" w:hAnsi="Arial"/>
          <w:i/>
          <w:color w:val="231F20"/>
          <w:w w:val="105"/>
          <w:sz w:val="18"/>
        </w:rPr>
        <w:t>Luego</w:t>
      </w:r>
      <w:r>
        <w:rPr>
          <w:rFonts w:ascii="Arial" w:hAnsi="Arial"/>
          <w:i/>
          <w:color w:val="231F20"/>
          <w:spacing w:val="-8"/>
          <w:w w:val="105"/>
          <w:sz w:val="18"/>
        </w:rPr>
        <w:t> </w:t>
      </w:r>
      <w:r>
        <w:rPr>
          <w:rFonts w:ascii="Arial" w:hAnsi="Arial"/>
          <w:i/>
          <w:color w:val="231F20"/>
          <w:w w:val="105"/>
          <w:sz w:val="18"/>
        </w:rPr>
        <w:t>allá cada</w:t>
      </w:r>
      <w:r>
        <w:rPr>
          <w:rFonts w:ascii="Arial" w:hAnsi="Arial"/>
          <w:i/>
          <w:color w:val="231F20"/>
          <w:spacing w:val="-22"/>
          <w:w w:val="105"/>
          <w:sz w:val="18"/>
        </w:rPr>
        <w:t> </w:t>
      </w:r>
      <w:r>
        <w:rPr>
          <w:rFonts w:ascii="Arial" w:hAnsi="Arial"/>
          <w:i/>
          <w:color w:val="231F20"/>
          <w:w w:val="105"/>
          <w:sz w:val="18"/>
        </w:rPr>
        <w:t>quien</w:t>
      </w:r>
      <w:r>
        <w:rPr>
          <w:rFonts w:ascii="Arial" w:hAnsi="Arial"/>
          <w:i/>
          <w:color w:val="231F20"/>
          <w:spacing w:val="-22"/>
          <w:w w:val="105"/>
          <w:sz w:val="18"/>
        </w:rPr>
        <w:t> </w:t>
      </w:r>
      <w:r>
        <w:rPr>
          <w:rFonts w:ascii="Arial" w:hAnsi="Arial"/>
          <w:i/>
          <w:color w:val="231F20"/>
          <w:w w:val="105"/>
          <w:sz w:val="18"/>
        </w:rPr>
        <w:t>se</w:t>
      </w:r>
      <w:r>
        <w:rPr>
          <w:rFonts w:ascii="Arial" w:hAnsi="Arial"/>
          <w:i/>
          <w:color w:val="231F20"/>
          <w:spacing w:val="-22"/>
          <w:w w:val="105"/>
          <w:sz w:val="18"/>
        </w:rPr>
        <w:t> </w:t>
      </w:r>
      <w:r>
        <w:rPr>
          <w:rFonts w:ascii="Arial" w:hAnsi="Arial"/>
          <w:i/>
          <w:color w:val="231F20"/>
          <w:w w:val="105"/>
          <w:sz w:val="18"/>
        </w:rPr>
        <w:t>iba</w:t>
      </w:r>
      <w:r>
        <w:rPr>
          <w:rFonts w:ascii="Arial" w:hAnsi="Arial"/>
          <w:i/>
          <w:color w:val="231F20"/>
          <w:spacing w:val="-22"/>
          <w:w w:val="105"/>
          <w:sz w:val="18"/>
        </w:rPr>
        <w:t> </w:t>
      </w:r>
      <w:r>
        <w:rPr>
          <w:rFonts w:ascii="Arial" w:hAnsi="Arial"/>
          <w:i/>
          <w:color w:val="231F20"/>
          <w:w w:val="105"/>
          <w:sz w:val="18"/>
        </w:rPr>
        <w:t>a</w:t>
      </w:r>
      <w:r>
        <w:rPr>
          <w:rFonts w:ascii="Arial" w:hAnsi="Arial"/>
          <w:i/>
          <w:color w:val="231F20"/>
          <w:spacing w:val="-22"/>
          <w:w w:val="105"/>
          <w:sz w:val="18"/>
        </w:rPr>
        <w:t> </w:t>
      </w:r>
      <w:r>
        <w:rPr>
          <w:rFonts w:ascii="Arial" w:hAnsi="Arial"/>
          <w:i/>
          <w:color w:val="231F20"/>
          <w:w w:val="105"/>
          <w:sz w:val="18"/>
        </w:rPr>
        <w:t>su</w:t>
      </w:r>
      <w:r>
        <w:rPr>
          <w:rFonts w:ascii="Arial" w:hAnsi="Arial"/>
          <w:i/>
          <w:color w:val="231F20"/>
          <w:spacing w:val="-22"/>
          <w:w w:val="105"/>
          <w:sz w:val="18"/>
        </w:rPr>
        <w:t> </w:t>
      </w:r>
      <w:r>
        <w:rPr>
          <w:rFonts w:ascii="Arial" w:hAnsi="Arial"/>
          <w:i/>
          <w:color w:val="231F20"/>
          <w:w w:val="105"/>
          <w:sz w:val="18"/>
        </w:rPr>
        <w:t>destino.</w:t>
      </w:r>
      <w:r>
        <w:rPr>
          <w:rFonts w:ascii="Arial" w:hAnsi="Arial"/>
          <w:i/>
          <w:color w:val="231F20"/>
          <w:spacing w:val="-26"/>
          <w:w w:val="105"/>
          <w:sz w:val="18"/>
        </w:rPr>
        <w:t> </w:t>
      </w:r>
      <w:r>
        <w:rPr>
          <w:rFonts w:ascii="Arial" w:hAnsi="Arial"/>
          <w:i/>
          <w:color w:val="231F20"/>
          <w:spacing w:val="-4"/>
          <w:w w:val="105"/>
          <w:sz w:val="18"/>
        </w:rPr>
        <w:t>Pero</w:t>
      </w:r>
      <w:r>
        <w:rPr>
          <w:rFonts w:ascii="Arial" w:hAnsi="Arial"/>
          <w:i/>
          <w:color w:val="231F20"/>
          <w:spacing w:val="-22"/>
          <w:w w:val="105"/>
          <w:sz w:val="18"/>
        </w:rPr>
        <w:t> </w:t>
      </w:r>
      <w:r>
        <w:rPr>
          <w:rFonts w:ascii="Arial" w:hAnsi="Arial"/>
          <w:i/>
          <w:color w:val="231F20"/>
          <w:w w:val="105"/>
          <w:sz w:val="18"/>
        </w:rPr>
        <w:t>sólo</w:t>
      </w:r>
      <w:r>
        <w:rPr>
          <w:rFonts w:ascii="Arial" w:hAnsi="Arial"/>
          <w:i/>
          <w:color w:val="231F20"/>
          <w:spacing w:val="-22"/>
          <w:w w:val="105"/>
          <w:sz w:val="18"/>
        </w:rPr>
        <w:t> </w:t>
      </w:r>
      <w:r>
        <w:rPr>
          <w:rFonts w:ascii="Arial" w:hAnsi="Arial"/>
          <w:i/>
          <w:color w:val="231F20"/>
          <w:w w:val="105"/>
          <w:sz w:val="18"/>
        </w:rPr>
        <w:t>así</w:t>
      </w:r>
      <w:r>
        <w:rPr>
          <w:rFonts w:ascii="Arial" w:hAnsi="Arial"/>
          <w:i/>
          <w:color w:val="231F20"/>
          <w:spacing w:val="-22"/>
          <w:w w:val="105"/>
          <w:sz w:val="18"/>
        </w:rPr>
        <w:t> </w:t>
      </w:r>
      <w:r>
        <w:rPr>
          <w:rFonts w:ascii="Arial" w:hAnsi="Arial"/>
          <w:i/>
          <w:color w:val="231F20"/>
          <w:w w:val="105"/>
          <w:sz w:val="18"/>
        </w:rPr>
        <w:t>nos</w:t>
      </w:r>
      <w:r>
        <w:rPr>
          <w:rFonts w:ascii="Arial" w:hAnsi="Arial"/>
          <w:i/>
          <w:color w:val="231F20"/>
          <w:spacing w:val="-22"/>
          <w:w w:val="105"/>
          <w:sz w:val="18"/>
        </w:rPr>
        <w:t> </w:t>
      </w:r>
      <w:r>
        <w:rPr>
          <w:rFonts w:ascii="Arial" w:hAnsi="Arial"/>
          <w:i/>
          <w:color w:val="231F20"/>
          <w:w w:val="105"/>
          <w:sz w:val="18"/>
        </w:rPr>
        <w:t>defendimos.</w:t>
      </w:r>
      <w:r>
        <w:rPr>
          <w:rFonts w:ascii="Arial" w:hAnsi="Arial"/>
          <w:i/>
          <w:color w:val="231F20"/>
          <w:spacing w:val="-26"/>
          <w:w w:val="105"/>
          <w:sz w:val="18"/>
        </w:rPr>
        <w:t> </w:t>
      </w:r>
      <w:r>
        <w:rPr>
          <w:rFonts w:ascii="Arial" w:hAnsi="Arial"/>
          <w:i/>
          <w:color w:val="231F20"/>
          <w:w w:val="105"/>
          <w:sz w:val="18"/>
        </w:rPr>
        <w:t>Las</w:t>
      </w:r>
      <w:r>
        <w:rPr>
          <w:rFonts w:ascii="Arial" w:hAnsi="Arial"/>
          <w:i/>
          <w:color w:val="231F20"/>
          <w:spacing w:val="-22"/>
          <w:w w:val="105"/>
          <w:sz w:val="18"/>
        </w:rPr>
        <w:t> </w:t>
      </w:r>
      <w:r>
        <w:rPr>
          <w:rFonts w:ascii="Arial" w:hAnsi="Arial"/>
          <w:i/>
          <w:color w:val="231F20"/>
          <w:w w:val="105"/>
          <w:sz w:val="18"/>
        </w:rPr>
        <w:t>muje- res</w:t>
      </w:r>
      <w:r>
        <w:rPr>
          <w:rFonts w:ascii="Arial" w:hAnsi="Arial"/>
          <w:i/>
          <w:color w:val="231F20"/>
          <w:spacing w:val="-26"/>
          <w:w w:val="105"/>
          <w:sz w:val="18"/>
        </w:rPr>
        <w:t> </w:t>
      </w:r>
      <w:r>
        <w:rPr>
          <w:rFonts w:ascii="Arial" w:hAnsi="Arial"/>
          <w:i/>
          <w:color w:val="231F20"/>
          <w:w w:val="105"/>
          <w:sz w:val="18"/>
        </w:rPr>
        <w:t>sufren</w:t>
      </w:r>
      <w:r>
        <w:rPr>
          <w:rFonts w:ascii="Arial" w:hAnsi="Arial"/>
          <w:i/>
          <w:color w:val="231F20"/>
          <w:spacing w:val="-26"/>
          <w:w w:val="105"/>
          <w:sz w:val="18"/>
        </w:rPr>
        <w:t> </w:t>
      </w:r>
      <w:r>
        <w:rPr>
          <w:rFonts w:ascii="Arial" w:hAnsi="Arial"/>
          <w:i/>
          <w:color w:val="231F20"/>
          <w:w w:val="105"/>
          <w:sz w:val="18"/>
        </w:rPr>
        <w:t>más,</w:t>
      </w:r>
      <w:r>
        <w:rPr>
          <w:rFonts w:ascii="Arial" w:hAnsi="Arial"/>
          <w:i/>
          <w:color w:val="231F20"/>
          <w:spacing w:val="-30"/>
          <w:w w:val="105"/>
          <w:sz w:val="18"/>
        </w:rPr>
        <w:t> </w:t>
      </w:r>
      <w:r>
        <w:rPr>
          <w:rFonts w:ascii="Arial" w:hAnsi="Arial"/>
          <w:i/>
          <w:color w:val="231F20"/>
          <w:w w:val="105"/>
          <w:sz w:val="18"/>
        </w:rPr>
        <w:t>pero</w:t>
      </w:r>
      <w:r>
        <w:rPr>
          <w:rFonts w:ascii="Arial" w:hAnsi="Arial"/>
          <w:i/>
          <w:color w:val="231F20"/>
          <w:spacing w:val="-26"/>
          <w:w w:val="105"/>
          <w:sz w:val="18"/>
        </w:rPr>
        <w:t> </w:t>
      </w:r>
      <w:r>
        <w:rPr>
          <w:rFonts w:ascii="Arial" w:hAnsi="Arial"/>
          <w:i/>
          <w:color w:val="231F20"/>
          <w:w w:val="105"/>
          <w:sz w:val="18"/>
        </w:rPr>
        <w:t>esa</w:t>
      </w:r>
      <w:r>
        <w:rPr>
          <w:rFonts w:ascii="Arial" w:hAnsi="Arial"/>
          <w:i/>
          <w:color w:val="231F20"/>
          <w:spacing w:val="-26"/>
          <w:w w:val="105"/>
          <w:sz w:val="18"/>
        </w:rPr>
        <w:t> </w:t>
      </w:r>
      <w:r>
        <w:rPr>
          <w:rFonts w:ascii="Arial" w:hAnsi="Arial"/>
          <w:i/>
          <w:color w:val="231F20"/>
          <w:w w:val="105"/>
          <w:sz w:val="18"/>
        </w:rPr>
        <w:t>vez</w:t>
      </w:r>
      <w:r>
        <w:rPr>
          <w:rFonts w:ascii="Arial" w:hAnsi="Arial"/>
          <w:i/>
          <w:color w:val="231F20"/>
          <w:spacing w:val="-26"/>
          <w:w w:val="105"/>
          <w:sz w:val="18"/>
        </w:rPr>
        <w:t> </w:t>
      </w:r>
      <w:r>
        <w:rPr>
          <w:rFonts w:ascii="Arial" w:hAnsi="Arial"/>
          <w:i/>
          <w:color w:val="231F20"/>
          <w:w w:val="105"/>
          <w:sz w:val="18"/>
        </w:rPr>
        <w:t>las</w:t>
      </w:r>
      <w:r>
        <w:rPr>
          <w:rFonts w:ascii="Arial" w:hAnsi="Arial"/>
          <w:i/>
          <w:color w:val="231F20"/>
          <w:spacing w:val="-26"/>
          <w:w w:val="105"/>
          <w:sz w:val="18"/>
        </w:rPr>
        <w:t> </w:t>
      </w:r>
      <w:r>
        <w:rPr>
          <w:rFonts w:ascii="Arial" w:hAnsi="Arial"/>
          <w:i/>
          <w:color w:val="231F20"/>
          <w:w w:val="105"/>
          <w:sz w:val="18"/>
        </w:rPr>
        <w:t>pudimos</w:t>
      </w:r>
      <w:r>
        <w:rPr>
          <w:rFonts w:ascii="Arial" w:hAnsi="Arial"/>
          <w:i/>
          <w:color w:val="231F20"/>
          <w:spacing w:val="-26"/>
          <w:w w:val="105"/>
          <w:sz w:val="18"/>
        </w:rPr>
        <w:t> </w:t>
      </w:r>
      <w:r>
        <w:rPr>
          <w:rFonts w:ascii="Arial" w:hAnsi="Arial"/>
          <w:i/>
          <w:color w:val="231F20"/>
          <w:w w:val="105"/>
          <w:sz w:val="18"/>
        </w:rPr>
        <w:t>proteger.</w:t>
      </w:r>
    </w:p>
    <w:p>
      <w:pPr>
        <w:spacing w:line="249" w:lineRule="auto" w:before="114"/>
        <w:ind w:left="2857" w:right="1829" w:firstLine="0"/>
        <w:jc w:val="both"/>
        <w:rPr>
          <w:rFonts w:ascii="Arial" w:hAnsi="Arial"/>
          <w:i/>
          <w:sz w:val="18"/>
        </w:rPr>
      </w:pPr>
      <w:r>
        <w:rPr>
          <w:rFonts w:ascii="Arial" w:hAnsi="Arial"/>
          <w:i/>
          <w:color w:val="231F20"/>
          <w:w w:val="105"/>
          <w:sz w:val="18"/>
        </w:rPr>
        <w:t>Mi</w:t>
      </w:r>
      <w:r>
        <w:rPr>
          <w:rFonts w:ascii="Arial" w:hAnsi="Arial"/>
          <w:i/>
          <w:color w:val="231F20"/>
          <w:spacing w:val="-11"/>
          <w:w w:val="105"/>
          <w:sz w:val="18"/>
        </w:rPr>
        <w:t> </w:t>
      </w:r>
      <w:r>
        <w:rPr>
          <w:rFonts w:ascii="Arial" w:hAnsi="Arial"/>
          <w:i/>
          <w:color w:val="231F20"/>
          <w:w w:val="105"/>
          <w:sz w:val="18"/>
        </w:rPr>
        <w:t>experiencia</w:t>
      </w:r>
      <w:r>
        <w:rPr>
          <w:rFonts w:ascii="Arial" w:hAnsi="Arial"/>
          <w:i/>
          <w:color w:val="231F20"/>
          <w:spacing w:val="-11"/>
          <w:w w:val="105"/>
          <w:sz w:val="18"/>
        </w:rPr>
        <w:t> </w:t>
      </w:r>
      <w:r>
        <w:rPr>
          <w:rFonts w:ascii="Arial" w:hAnsi="Arial"/>
          <w:i/>
          <w:color w:val="231F20"/>
          <w:w w:val="105"/>
          <w:sz w:val="18"/>
        </w:rPr>
        <w:t>en</w:t>
      </w:r>
      <w:r>
        <w:rPr>
          <w:rFonts w:ascii="Arial" w:hAnsi="Arial"/>
          <w:i/>
          <w:color w:val="231F20"/>
          <w:spacing w:val="-11"/>
          <w:w w:val="105"/>
          <w:sz w:val="18"/>
        </w:rPr>
        <w:t> </w:t>
      </w:r>
      <w:r>
        <w:rPr>
          <w:rFonts w:ascii="Arial" w:hAnsi="Arial"/>
          <w:i/>
          <w:color w:val="231F20"/>
          <w:w w:val="105"/>
          <w:sz w:val="18"/>
        </w:rPr>
        <w:t>Estados</w:t>
      </w:r>
      <w:r>
        <w:rPr>
          <w:rFonts w:ascii="Arial" w:hAnsi="Arial"/>
          <w:i/>
          <w:color w:val="231F20"/>
          <w:spacing w:val="-11"/>
          <w:w w:val="105"/>
          <w:sz w:val="18"/>
        </w:rPr>
        <w:t> </w:t>
      </w:r>
      <w:r>
        <w:rPr>
          <w:rFonts w:ascii="Arial" w:hAnsi="Arial"/>
          <w:i/>
          <w:color w:val="231F20"/>
          <w:w w:val="105"/>
          <w:sz w:val="18"/>
        </w:rPr>
        <w:t>Unidos</w:t>
      </w:r>
      <w:r>
        <w:rPr>
          <w:rFonts w:ascii="Arial" w:hAnsi="Arial"/>
          <w:i/>
          <w:color w:val="231F20"/>
          <w:spacing w:val="-11"/>
          <w:w w:val="105"/>
          <w:sz w:val="18"/>
        </w:rPr>
        <w:t> </w:t>
      </w:r>
      <w:r>
        <w:rPr>
          <w:rFonts w:ascii="Arial" w:hAnsi="Arial"/>
          <w:i/>
          <w:color w:val="231F20"/>
          <w:w w:val="105"/>
          <w:sz w:val="18"/>
        </w:rPr>
        <w:t>fue</w:t>
      </w:r>
      <w:r>
        <w:rPr>
          <w:rFonts w:ascii="Arial" w:hAnsi="Arial"/>
          <w:i/>
          <w:color w:val="231F20"/>
          <w:spacing w:val="-11"/>
          <w:w w:val="105"/>
          <w:sz w:val="18"/>
        </w:rPr>
        <w:t> </w:t>
      </w:r>
      <w:r>
        <w:rPr>
          <w:rFonts w:ascii="Arial" w:hAnsi="Arial"/>
          <w:i/>
          <w:color w:val="231F20"/>
          <w:w w:val="105"/>
          <w:sz w:val="18"/>
        </w:rPr>
        <w:t>buena,</w:t>
      </w:r>
      <w:r>
        <w:rPr>
          <w:rFonts w:ascii="Arial" w:hAnsi="Arial"/>
          <w:i/>
          <w:color w:val="231F20"/>
          <w:spacing w:val="-16"/>
          <w:w w:val="105"/>
          <w:sz w:val="18"/>
        </w:rPr>
        <w:t> </w:t>
      </w:r>
      <w:r>
        <w:rPr>
          <w:rFonts w:ascii="Arial" w:hAnsi="Arial"/>
          <w:i/>
          <w:color w:val="231F20"/>
          <w:w w:val="105"/>
          <w:sz w:val="18"/>
        </w:rPr>
        <w:t>sólo</w:t>
      </w:r>
      <w:r>
        <w:rPr>
          <w:rFonts w:ascii="Arial" w:hAnsi="Arial"/>
          <w:i/>
          <w:color w:val="231F20"/>
          <w:spacing w:val="-11"/>
          <w:w w:val="105"/>
          <w:sz w:val="18"/>
        </w:rPr>
        <w:t> </w:t>
      </w:r>
      <w:r>
        <w:rPr>
          <w:rFonts w:ascii="Arial" w:hAnsi="Arial"/>
          <w:i/>
          <w:color w:val="231F20"/>
          <w:w w:val="105"/>
          <w:sz w:val="18"/>
        </w:rPr>
        <w:t>que,</w:t>
      </w:r>
      <w:r>
        <w:rPr>
          <w:rFonts w:ascii="Arial" w:hAnsi="Arial"/>
          <w:i/>
          <w:color w:val="231F20"/>
          <w:spacing w:val="-16"/>
          <w:w w:val="105"/>
          <w:sz w:val="18"/>
        </w:rPr>
        <w:t> </w:t>
      </w:r>
      <w:r>
        <w:rPr>
          <w:rFonts w:ascii="Arial" w:hAnsi="Arial"/>
          <w:i/>
          <w:color w:val="231F20"/>
          <w:w w:val="105"/>
          <w:sz w:val="18"/>
        </w:rPr>
        <w:t>en</w:t>
      </w:r>
      <w:r>
        <w:rPr>
          <w:rFonts w:ascii="Arial" w:hAnsi="Arial"/>
          <w:i/>
          <w:color w:val="231F20"/>
          <w:spacing w:val="-11"/>
          <w:w w:val="105"/>
          <w:sz w:val="18"/>
        </w:rPr>
        <w:t> </w:t>
      </w:r>
      <w:r>
        <w:rPr>
          <w:rFonts w:ascii="Arial" w:hAnsi="Arial"/>
          <w:i/>
          <w:color w:val="231F20"/>
          <w:w w:val="105"/>
          <w:sz w:val="18"/>
        </w:rPr>
        <w:t>la</w:t>
      </w:r>
      <w:r>
        <w:rPr>
          <w:rFonts w:ascii="Arial" w:hAnsi="Arial"/>
          <w:i/>
          <w:color w:val="231F20"/>
          <w:spacing w:val="-11"/>
          <w:w w:val="105"/>
          <w:sz w:val="18"/>
        </w:rPr>
        <w:t> </w:t>
      </w:r>
      <w:r>
        <w:rPr>
          <w:rFonts w:ascii="Arial" w:hAnsi="Arial"/>
          <w:i/>
          <w:color w:val="231F20"/>
          <w:w w:val="105"/>
          <w:sz w:val="18"/>
        </w:rPr>
        <w:t>época</w:t>
      </w:r>
      <w:r>
        <w:rPr>
          <w:rFonts w:ascii="Arial" w:hAnsi="Arial"/>
          <w:i/>
          <w:color w:val="231F20"/>
          <w:spacing w:val="-11"/>
          <w:w w:val="105"/>
          <w:sz w:val="18"/>
        </w:rPr>
        <w:t> </w:t>
      </w:r>
      <w:r>
        <w:rPr>
          <w:rFonts w:ascii="Arial" w:hAnsi="Arial"/>
          <w:i/>
          <w:color w:val="231F20"/>
          <w:w w:val="105"/>
          <w:sz w:val="18"/>
        </w:rPr>
        <w:t>de </w:t>
      </w:r>
      <w:r>
        <w:rPr>
          <w:rFonts w:ascii="Arial" w:hAnsi="Arial"/>
          <w:i/>
          <w:color w:val="231F20"/>
          <w:w w:val="105"/>
          <w:sz w:val="18"/>
        </w:rPr>
        <w:t>los braceros, hubo un año que muchos de </w:t>
      </w:r>
      <w:r>
        <w:rPr>
          <w:rFonts w:ascii="Arial" w:hAnsi="Arial"/>
          <w:i/>
          <w:color w:val="231F20"/>
          <w:spacing w:val="-3"/>
          <w:w w:val="105"/>
          <w:sz w:val="18"/>
        </w:rPr>
        <w:t>Tonatico </w:t>
      </w:r>
      <w:r>
        <w:rPr>
          <w:rFonts w:ascii="Arial" w:hAnsi="Arial"/>
          <w:i/>
          <w:color w:val="231F20"/>
          <w:w w:val="105"/>
          <w:sz w:val="18"/>
        </w:rPr>
        <w:t>no salimos en la lista</w:t>
      </w:r>
      <w:r>
        <w:rPr>
          <w:rFonts w:ascii="Arial" w:hAnsi="Arial"/>
          <w:i/>
          <w:color w:val="231F20"/>
          <w:spacing w:val="-23"/>
          <w:w w:val="105"/>
          <w:sz w:val="18"/>
        </w:rPr>
        <w:t> </w:t>
      </w:r>
      <w:r>
        <w:rPr>
          <w:rFonts w:ascii="Arial" w:hAnsi="Arial"/>
          <w:i/>
          <w:color w:val="231F20"/>
          <w:w w:val="105"/>
          <w:sz w:val="18"/>
        </w:rPr>
        <w:t>y</w:t>
      </w:r>
      <w:r>
        <w:rPr>
          <w:rFonts w:ascii="Arial" w:hAnsi="Arial"/>
          <w:i/>
          <w:color w:val="231F20"/>
          <w:spacing w:val="-23"/>
          <w:w w:val="105"/>
          <w:sz w:val="18"/>
        </w:rPr>
        <w:t> </w:t>
      </w:r>
      <w:r>
        <w:rPr>
          <w:rFonts w:ascii="Arial" w:hAnsi="Arial"/>
          <w:i/>
          <w:color w:val="231F20"/>
          <w:w w:val="105"/>
          <w:sz w:val="18"/>
        </w:rPr>
        <w:t>no</w:t>
      </w:r>
      <w:r>
        <w:rPr>
          <w:rFonts w:ascii="Arial" w:hAnsi="Arial"/>
          <w:i/>
          <w:color w:val="231F20"/>
          <w:spacing w:val="-23"/>
          <w:w w:val="105"/>
          <w:sz w:val="18"/>
        </w:rPr>
        <w:t> </w:t>
      </w:r>
      <w:r>
        <w:rPr>
          <w:rFonts w:ascii="Arial" w:hAnsi="Arial"/>
          <w:i/>
          <w:color w:val="231F20"/>
          <w:w w:val="105"/>
          <w:sz w:val="18"/>
        </w:rPr>
        <w:t>pudimos</w:t>
      </w:r>
      <w:r>
        <w:rPr>
          <w:rFonts w:ascii="Arial" w:hAnsi="Arial"/>
          <w:i/>
          <w:color w:val="231F20"/>
          <w:spacing w:val="-23"/>
          <w:w w:val="105"/>
          <w:sz w:val="18"/>
        </w:rPr>
        <w:t> </w:t>
      </w:r>
      <w:r>
        <w:rPr>
          <w:rFonts w:ascii="Arial" w:hAnsi="Arial"/>
          <w:i/>
          <w:color w:val="231F20"/>
          <w:w w:val="105"/>
          <w:sz w:val="18"/>
        </w:rPr>
        <w:t>pasar,</w:t>
      </w:r>
      <w:r>
        <w:rPr>
          <w:rFonts w:ascii="Arial" w:hAnsi="Arial"/>
          <w:i/>
          <w:color w:val="231F20"/>
          <w:spacing w:val="-27"/>
          <w:w w:val="105"/>
          <w:sz w:val="18"/>
        </w:rPr>
        <w:t> </w:t>
      </w:r>
      <w:r>
        <w:rPr>
          <w:rFonts w:ascii="Arial" w:hAnsi="Arial"/>
          <w:i/>
          <w:color w:val="231F20"/>
          <w:w w:val="105"/>
          <w:sz w:val="18"/>
        </w:rPr>
        <w:t>tuvimos</w:t>
      </w:r>
      <w:r>
        <w:rPr>
          <w:rFonts w:ascii="Arial" w:hAnsi="Arial"/>
          <w:i/>
          <w:color w:val="231F20"/>
          <w:spacing w:val="-23"/>
          <w:w w:val="105"/>
          <w:sz w:val="18"/>
        </w:rPr>
        <w:t> </w:t>
      </w:r>
      <w:r>
        <w:rPr>
          <w:rFonts w:ascii="Arial" w:hAnsi="Arial"/>
          <w:i/>
          <w:color w:val="231F20"/>
          <w:w w:val="105"/>
          <w:sz w:val="18"/>
        </w:rPr>
        <w:t>que</w:t>
      </w:r>
      <w:r>
        <w:rPr>
          <w:rFonts w:ascii="Arial" w:hAnsi="Arial"/>
          <w:i/>
          <w:color w:val="231F20"/>
          <w:spacing w:val="-23"/>
          <w:w w:val="105"/>
          <w:sz w:val="18"/>
        </w:rPr>
        <w:t> </w:t>
      </w:r>
      <w:r>
        <w:rPr>
          <w:rFonts w:ascii="Arial" w:hAnsi="Arial"/>
          <w:i/>
          <w:color w:val="231F20"/>
          <w:w w:val="105"/>
          <w:sz w:val="18"/>
        </w:rPr>
        <w:t>regresarnos.</w:t>
      </w:r>
      <w:r>
        <w:rPr>
          <w:rFonts w:ascii="Arial" w:hAnsi="Arial"/>
          <w:i/>
          <w:color w:val="231F20"/>
          <w:spacing w:val="-29"/>
          <w:w w:val="105"/>
          <w:sz w:val="18"/>
        </w:rPr>
        <w:t> </w:t>
      </w:r>
      <w:r>
        <w:rPr>
          <w:rFonts w:ascii="Arial" w:hAnsi="Arial"/>
          <w:i/>
          <w:color w:val="231F20"/>
          <w:w w:val="105"/>
          <w:sz w:val="18"/>
        </w:rPr>
        <w:t>Ahora</w:t>
      </w:r>
      <w:r>
        <w:rPr>
          <w:rFonts w:ascii="Arial" w:hAnsi="Arial"/>
          <w:i/>
          <w:color w:val="231F20"/>
          <w:spacing w:val="-23"/>
          <w:w w:val="105"/>
          <w:sz w:val="18"/>
        </w:rPr>
        <w:t> </w:t>
      </w:r>
      <w:r>
        <w:rPr>
          <w:rFonts w:ascii="Arial" w:hAnsi="Arial"/>
          <w:i/>
          <w:color w:val="231F20"/>
          <w:w w:val="105"/>
          <w:sz w:val="18"/>
        </w:rPr>
        <w:t>ya</w:t>
      </w:r>
      <w:r>
        <w:rPr>
          <w:rFonts w:ascii="Arial" w:hAnsi="Arial"/>
          <w:i/>
          <w:color w:val="231F20"/>
          <w:spacing w:val="-23"/>
          <w:w w:val="105"/>
          <w:sz w:val="18"/>
        </w:rPr>
        <w:t> </w:t>
      </w:r>
      <w:r>
        <w:rPr>
          <w:rFonts w:ascii="Arial" w:hAnsi="Arial"/>
          <w:i/>
          <w:color w:val="231F20"/>
          <w:w w:val="105"/>
          <w:sz w:val="18"/>
        </w:rPr>
        <w:t>uno</w:t>
      </w:r>
      <w:r>
        <w:rPr>
          <w:rFonts w:ascii="Arial" w:hAnsi="Arial"/>
          <w:i/>
          <w:color w:val="231F20"/>
          <w:spacing w:val="-23"/>
          <w:w w:val="105"/>
          <w:sz w:val="18"/>
        </w:rPr>
        <w:t> </w:t>
      </w:r>
      <w:r>
        <w:rPr>
          <w:rFonts w:ascii="Arial" w:hAnsi="Arial"/>
          <w:i/>
          <w:color w:val="231F20"/>
          <w:w w:val="105"/>
          <w:sz w:val="18"/>
        </w:rPr>
        <w:t>ve</w:t>
      </w:r>
      <w:r>
        <w:rPr>
          <w:rFonts w:ascii="Arial" w:hAnsi="Arial"/>
          <w:i/>
          <w:color w:val="231F20"/>
          <w:spacing w:val="-23"/>
          <w:w w:val="105"/>
          <w:sz w:val="18"/>
        </w:rPr>
        <w:t> </w:t>
      </w:r>
      <w:r>
        <w:rPr>
          <w:rFonts w:ascii="Arial" w:hAnsi="Arial"/>
          <w:i/>
          <w:color w:val="231F20"/>
          <w:w w:val="105"/>
          <w:sz w:val="18"/>
        </w:rPr>
        <w:t>eso como aventuras, aventuras bonitas, pero cuando lo estás viviendo</w:t>
      </w:r>
      <w:r>
        <w:rPr>
          <w:rFonts w:ascii="Arial" w:hAnsi="Arial"/>
          <w:i/>
          <w:color w:val="231F20"/>
          <w:spacing w:val="-18"/>
          <w:w w:val="105"/>
          <w:sz w:val="18"/>
        </w:rPr>
        <w:t> </w:t>
      </w:r>
      <w:r>
        <w:rPr>
          <w:rFonts w:ascii="Arial" w:hAnsi="Arial"/>
          <w:i/>
          <w:color w:val="231F20"/>
          <w:w w:val="105"/>
          <w:sz w:val="18"/>
        </w:rPr>
        <w:t>es duro.</w:t>
      </w:r>
      <w:r>
        <w:rPr>
          <w:rFonts w:ascii="Arial" w:hAnsi="Arial"/>
          <w:i/>
          <w:color w:val="231F20"/>
          <w:spacing w:val="-15"/>
          <w:w w:val="105"/>
          <w:sz w:val="18"/>
        </w:rPr>
        <w:t> </w:t>
      </w:r>
      <w:r>
        <w:rPr>
          <w:rFonts w:ascii="Arial" w:hAnsi="Arial"/>
          <w:i/>
          <w:color w:val="231F20"/>
          <w:w w:val="105"/>
          <w:sz w:val="18"/>
        </w:rPr>
        <w:t>Como</w:t>
      </w:r>
      <w:r>
        <w:rPr>
          <w:rFonts w:ascii="Arial" w:hAnsi="Arial"/>
          <w:i/>
          <w:color w:val="231F20"/>
          <w:spacing w:val="-10"/>
          <w:w w:val="105"/>
          <w:sz w:val="18"/>
        </w:rPr>
        <w:t> </w:t>
      </w:r>
      <w:r>
        <w:rPr>
          <w:rFonts w:ascii="Arial" w:hAnsi="Arial"/>
          <w:i/>
          <w:color w:val="231F20"/>
          <w:w w:val="105"/>
          <w:sz w:val="18"/>
        </w:rPr>
        <w:t>cuando</w:t>
      </w:r>
      <w:r>
        <w:rPr>
          <w:rFonts w:ascii="Arial" w:hAnsi="Arial"/>
          <w:i/>
          <w:color w:val="231F20"/>
          <w:spacing w:val="-10"/>
          <w:w w:val="105"/>
          <w:sz w:val="18"/>
        </w:rPr>
        <w:t> </w:t>
      </w:r>
      <w:r>
        <w:rPr>
          <w:rFonts w:ascii="Arial" w:hAnsi="Arial"/>
          <w:i/>
          <w:color w:val="231F20"/>
          <w:w w:val="105"/>
          <w:sz w:val="18"/>
        </w:rPr>
        <w:t>me</w:t>
      </w:r>
      <w:r>
        <w:rPr>
          <w:rFonts w:ascii="Arial" w:hAnsi="Arial"/>
          <w:i/>
          <w:color w:val="231F20"/>
          <w:spacing w:val="-10"/>
          <w:w w:val="105"/>
          <w:sz w:val="18"/>
        </w:rPr>
        <w:t> </w:t>
      </w:r>
      <w:r>
        <w:rPr>
          <w:rFonts w:ascii="Arial" w:hAnsi="Arial"/>
          <w:i/>
          <w:color w:val="231F20"/>
          <w:w w:val="105"/>
          <w:sz w:val="18"/>
        </w:rPr>
        <w:t>regresé</w:t>
      </w:r>
      <w:r>
        <w:rPr>
          <w:rFonts w:ascii="Arial" w:hAnsi="Arial"/>
          <w:i/>
          <w:color w:val="231F20"/>
          <w:spacing w:val="-10"/>
          <w:w w:val="105"/>
          <w:sz w:val="18"/>
        </w:rPr>
        <w:t> </w:t>
      </w:r>
      <w:r>
        <w:rPr>
          <w:rFonts w:ascii="Arial" w:hAnsi="Arial"/>
          <w:i/>
          <w:color w:val="231F20"/>
          <w:w w:val="105"/>
          <w:sz w:val="18"/>
        </w:rPr>
        <w:t>de</w:t>
      </w:r>
      <w:r>
        <w:rPr>
          <w:rFonts w:ascii="Arial" w:hAnsi="Arial"/>
          <w:i/>
          <w:color w:val="231F20"/>
          <w:spacing w:val="-10"/>
          <w:w w:val="105"/>
          <w:sz w:val="18"/>
        </w:rPr>
        <w:t> </w:t>
      </w:r>
      <w:r>
        <w:rPr>
          <w:rFonts w:ascii="Arial" w:hAnsi="Arial"/>
          <w:i/>
          <w:color w:val="231F20"/>
          <w:w w:val="105"/>
          <w:sz w:val="18"/>
        </w:rPr>
        <w:t>Mexicali</w:t>
      </w:r>
      <w:r>
        <w:rPr>
          <w:rFonts w:ascii="Arial" w:hAnsi="Arial"/>
          <w:i/>
          <w:color w:val="231F20"/>
          <w:spacing w:val="-10"/>
          <w:w w:val="105"/>
          <w:sz w:val="18"/>
        </w:rPr>
        <w:t> </w:t>
      </w:r>
      <w:r>
        <w:rPr>
          <w:rFonts w:ascii="Arial" w:hAnsi="Arial"/>
          <w:i/>
          <w:color w:val="231F20"/>
          <w:w w:val="105"/>
          <w:sz w:val="18"/>
        </w:rPr>
        <w:t>al</w:t>
      </w:r>
      <w:r>
        <w:rPr>
          <w:rFonts w:ascii="Arial" w:hAnsi="Arial"/>
          <w:i/>
          <w:color w:val="231F20"/>
          <w:spacing w:val="-10"/>
          <w:w w:val="105"/>
          <w:sz w:val="18"/>
        </w:rPr>
        <w:t> </w:t>
      </w:r>
      <w:r>
        <w:rPr>
          <w:rFonts w:ascii="Arial" w:hAnsi="Arial"/>
          <w:i/>
          <w:color w:val="231F20"/>
          <w:w w:val="105"/>
          <w:sz w:val="18"/>
        </w:rPr>
        <w:t>Distrito</w:t>
      </w:r>
      <w:r>
        <w:rPr>
          <w:rFonts w:ascii="Arial" w:hAnsi="Arial"/>
          <w:i/>
          <w:color w:val="231F20"/>
          <w:spacing w:val="-10"/>
          <w:w w:val="105"/>
          <w:sz w:val="18"/>
        </w:rPr>
        <w:t> </w:t>
      </w:r>
      <w:r>
        <w:rPr>
          <w:rFonts w:ascii="Arial" w:hAnsi="Arial"/>
          <w:i/>
          <w:color w:val="231F20"/>
          <w:w w:val="105"/>
          <w:sz w:val="18"/>
        </w:rPr>
        <w:t>Federal</w:t>
      </w:r>
      <w:r>
        <w:rPr>
          <w:rFonts w:ascii="Arial" w:hAnsi="Arial"/>
          <w:i/>
          <w:color w:val="231F20"/>
          <w:spacing w:val="-10"/>
          <w:w w:val="105"/>
          <w:sz w:val="18"/>
        </w:rPr>
        <w:t> </w:t>
      </w:r>
      <w:r>
        <w:rPr>
          <w:rFonts w:ascii="Arial" w:hAnsi="Arial"/>
          <w:i/>
          <w:color w:val="231F20"/>
          <w:w w:val="105"/>
          <w:sz w:val="18"/>
        </w:rPr>
        <w:t>en</w:t>
      </w:r>
      <w:r>
        <w:rPr>
          <w:rFonts w:ascii="Arial" w:hAnsi="Arial"/>
          <w:i/>
          <w:color w:val="231F20"/>
          <w:spacing w:val="-10"/>
          <w:w w:val="105"/>
          <w:sz w:val="18"/>
        </w:rPr>
        <w:t> </w:t>
      </w:r>
      <w:r>
        <w:rPr>
          <w:rFonts w:ascii="Arial" w:hAnsi="Arial"/>
          <w:i/>
          <w:color w:val="231F20"/>
          <w:w w:val="105"/>
          <w:sz w:val="18"/>
        </w:rPr>
        <w:t>tren,</w:t>
      </w:r>
    </w:p>
    <w:p>
      <w:pPr>
        <w:spacing w:before="1"/>
        <w:ind w:left="2857" w:right="0" w:firstLine="0"/>
        <w:jc w:val="both"/>
        <w:rPr>
          <w:rFonts w:ascii="Arial" w:hAnsi="Arial"/>
          <w:i/>
          <w:sz w:val="18"/>
        </w:rPr>
      </w:pPr>
      <w:r>
        <w:rPr>
          <w:rFonts w:ascii="Arial" w:hAnsi="Arial"/>
          <w:i/>
          <w:color w:val="231F20"/>
          <w:sz w:val="18"/>
        </w:rPr>
        <w:t>¡cinco días de viaje!</w:t>
      </w:r>
    </w:p>
    <w:p>
      <w:pPr>
        <w:spacing w:line="249" w:lineRule="auto" w:before="122"/>
        <w:ind w:left="2857" w:right="1830" w:firstLine="57"/>
        <w:jc w:val="both"/>
        <w:rPr>
          <w:rFonts w:ascii="Arial" w:hAnsi="Arial"/>
          <w:i/>
          <w:sz w:val="18"/>
        </w:rPr>
      </w:pPr>
      <w:r>
        <w:rPr>
          <w:rFonts w:ascii="Arial" w:hAnsi="Arial"/>
          <w:i/>
          <w:color w:val="231F20"/>
          <w:w w:val="105"/>
          <w:sz w:val="18"/>
        </w:rPr>
        <w:t>Recuerdo</w:t>
      </w:r>
      <w:r>
        <w:rPr>
          <w:rFonts w:ascii="Arial" w:hAnsi="Arial"/>
          <w:i/>
          <w:color w:val="231F20"/>
          <w:spacing w:val="-9"/>
          <w:w w:val="105"/>
          <w:sz w:val="18"/>
        </w:rPr>
        <w:t> </w:t>
      </w:r>
      <w:r>
        <w:rPr>
          <w:rFonts w:ascii="Arial" w:hAnsi="Arial"/>
          <w:i/>
          <w:color w:val="231F20"/>
          <w:w w:val="105"/>
          <w:sz w:val="18"/>
        </w:rPr>
        <w:t>también</w:t>
      </w:r>
      <w:r>
        <w:rPr>
          <w:rFonts w:ascii="Arial" w:hAnsi="Arial"/>
          <w:i/>
          <w:color w:val="231F20"/>
          <w:spacing w:val="-9"/>
          <w:w w:val="105"/>
          <w:sz w:val="18"/>
        </w:rPr>
        <w:t> </w:t>
      </w:r>
      <w:r>
        <w:rPr>
          <w:rFonts w:ascii="Arial" w:hAnsi="Arial"/>
          <w:i/>
          <w:color w:val="231F20"/>
          <w:w w:val="105"/>
          <w:sz w:val="18"/>
        </w:rPr>
        <w:t>una</w:t>
      </w:r>
      <w:r>
        <w:rPr>
          <w:rFonts w:ascii="Arial" w:hAnsi="Arial"/>
          <w:i/>
          <w:color w:val="231F20"/>
          <w:spacing w:val="-9"/>
          <w:w w:val="105"/>
          <w:sz w:val="18"/>
        </w:rPr>
        <w:t> </w:t>
      </w:r>
      <w:r>
        <w:rPr>
          <w:rFonts w:ascii="Arial" w:hAnsi="Arial"/>
          <w:i/>
          <w:color w:val="231F20"/>
          <w:w w:val="105"/>
          <w:sz w:val="18"/>
        </w:rPr>
        <w:t>vez</w:t>
      </w:r>
      <w:r>
        <w:rPr>
          <w:rFonts w:ascii="Arial" w:hAnsi="Arial"/>
          <w:i/>
          <w:color w:val="231F20"/>
          <w:spacing w:val="-9"/>
          <w:w w:val="105"/>
          <w:sz w:val="18"/>
        </w:rPr>
        <w:t> </w:t>
      </w:r>
      <w:r>
        <w:rPr>
          <w:rFonts w:ascii="Arial" w:hAnsi="Arial"/>
          <w:i/>
          <w:color w:val="231F20"/>
          <w:w w:val="105"/>
          <w:sz w:val="18"/>
        </w:rPr>
        <w:t>que</w:t>
      </w:r>
      <w:r>
        <w:rPr>
          <w:rFonts w:ascii="Arial" w:hAnsi="Arial"/>
          <w:i/>
          <w:color w:val="231F20"/>
          <w:spacing w:val="-9"/>
          <w:w w:val="105"/>
          <w:sz w:val="18"/>
        </w:rPr>
        <w:t> </w:t>
      </w:r>
      <w:r>
        <w:rPr>
          <w:rFonts w:ascii="Arial" w:hAnsi="Arial"/>
          <w:i/>
          <w:color w:val="231F20"/>
          <w:w w:val="105"/>
          <w:sz w:val="18"/>
        </w:rPr>
        <w:t>llegué</w:t>
      </w:r>
      <w:r>
        <w:rPr>
          <w:rFonts w:ascii="Arial" w:hAnsi="Arial"/>
          <w:i/>
          <w:color w:val="231F20"/>
          <w:spacing w:val="-9"/>
          <w:w w:val="105"/>
          <w:sz w:val="18"/>
        </w:rPr>
        <w:t> </w:t>
      </w:r>
      <w:r>
        <w:rPr>
          <w:rFonts w:ascii="Arial" w:hAnsi="Arial"/>
          <w:i/>
          <w:color w:val="231F20"/>
          <w:w w:val="105"/>
          <w:sz w:val="18"/>
        </w:rPr>
        <w:t>a</w:t>
      </w:r>
      <w:r>
        <w:rPr>
          <w:rFonts w:ascii="Arial" w:hAnsi="Arial"/>
          <w:i/>
          <w:color w:val="231F20"/>
          <w:spacing w:val="-9"/>
          <w:w w:val="105"/>
          <w:sz w:val="18"/>
        </w:rPr>
        <w:t> </w:t>
      </w:r>
      <w:r>
        <w:rPr>
          <w:rFonts w:ascii="Arial" w:hAnsi="Arial"/>
          <w:i/>
          <w:color w:val="231F20"/>
          <w:w w:val="105"/>
          <w:sz w:val="18"/>
        </w:rPr>
        <w:t>Empalme,</w:t>
      </w:r>
      <w:r>
        <w:rPr>
          <w:rFonts w:ascii="Arial" w:hAnsi="Arial"/>
          <w:i/>
          <w:color w:val="231F20"/>
          <w:spacing w:val="-13"/>
          <w:w w:val="105"/>
          <w:sz w:val="18"/>
        </w:rPr>
        <w:t> </w:t>
      </w:r>
      <w:r>
        <w:rPr>
          <w:rFonts w:ascii="Arial" w:hAnsi="Arial"/>
          <w:i/>
          <w:color w:val="231F20"/>
          <w:w w:val="105"/>
          <w:sz w:val="18"/>
        </w:rPr>
        <w:t>iba</w:t>
      </w:r>
      <w:r>
        <w:rPr>
          <w:rFonts w:ascii="Arial" w:hAnsi="Arial"/>
          <w:i/>
          <w:color w:val="231F20"/>
          <w:spacing w:val="-9"/>
          <w:w w:val="105"/>
          <w:sz w:val="18"/>
        </w:rPr>
        <w:t> </w:t>
      </w:r>
      <w:r>
        <w:rPr>
          <w:rFonts w:ascii="Arial" w:hAnsi="Arial"/>
          <w:i/>
          <w:color w:val="231F20"/>
          <w:w w:val="105"/>
          <w:sz w:val="18"/>
        </w:rPr>
        <w:t>enfermo,</w:t>
      </w:r>
      <w:r>
        <w:rPr>
          <w:rFonts w:ascii="Arial" w:hAnsi="Arial"/>
          <w:i/>
          <w:color w:val="231F20"/>
          <w:spacing w:val="-13"/>
          <w:w w:val="105"/>
          <w:sz w:val="18"/>
        </w:rPr>
        <w:t> </w:t>
      </w:r>
      <w:r>
        <w:rPr>
          <w:rFonts w:ascii="Arial" w:hAnsi="Arial"/>
          <w:i/>
          <w:color w:val="231F20"/>
          <w:w w:val="105"/>
          <w:sz w:val="18"/>
        </w:rPr>
        <w:t>tenía </w:t>
      </w:r>
      <w:r>
        <w:rPr>
          <w:rFonts w:ascii="Arial" w:hAnsi="Arial"/>
          <w:i/>
          <w:color w:val="231F20"/>
          <w:w w:val="105"/>
          <w:sz w:val="18"/>
        </w:rPr>
        <w:t>una</w:t>
      </w:r>
      <w:r>
        <w:rPr>
          <w:rFonts w:ascii="Arial" w:hAnsi="Arial"/>
          <w:i/>
          <w:color w:val="231F20"/>
          <w:spacing w:val="-11"/>
          <w:w w:val="105"/>
          <w:sz w:val="18"/>
        </w:rPr>
        <w:t> </w:t>
      </w:r>
      <w:r>
        <w:rPr>
          <w:rFonts w:ascii="Arial" w:hAnsi="Arial"/>
          <w:i/>
          <w:color w:val="231F20"/>
          <w:w w:val="105"/>
          <w:sz w:val="18"/>
        </w:rPr>
        <w:t>fiebre</w:t>
      </w:r>
      <w:r>
        <w:rPr>
          <w:rFonts w:ascii="Arial" w:hAnsi="Arial"/>
          <w:i/>
          <w:color w:val="231F20"/>
          <w:spacing w:val="-11"/>
          <w:w w:val="105"/>
          <w:sz w:val="18"/>
        </w:rPr>
        <w:t> </w:t>
      </w:r>
      <w:r>
        <w:rPr>
          <w:rFonts w:ascii="Arial" w:hAnsi="Arial"/>
          <w:i/>
          <w:color w:val="231F20"/>
          <w:w w:val="105"/>
          <w:sz w:val="18"/>
        </w:rPr>
        <w:t>muy</w:t>
      </w:r>
      <w:r>
        <w:rPr>
          <w:rFonts w:ascii="Arial" w:hAnsi="Arial"/>
          <w:i/>
          <w:color w:val="231F20"/>
          <w:spacing w:val="-11"/>
          <w:w w:val="105"/>
          <w:sz w:val="18"/>
        </w:rPr>
        <w:t> </w:t>
      </w:r>
      <w:r>
        <w:rPr>
          <w:rFonts w:ascii="Arial" w:hAnsi="Arial"/>
          <w:i/>
          <w:color w:val="231F20"/>
          <w:w w:val="105"/>
          <w:sz w:val="18"/>
        </w:rPr>
        <w:t>fuerte</w:t>
      </w:r>
      <w:r>
        <w:rPr>
          <w:rFonts w:ascii="Arial" w:hAnsi="Arial"/>
          <w:i/>
          <w:color w:val="231F20"/>
          <w:spacing w:val="-11"/>
          <w:w w:val="105"/>
          <w:sz w:val="18"/>
        </w:rPr>
        <w:t> </w:t>
      </w:r>
      <w:r>
        <w:rPr>
          <w:rFonts w:ascii="Arial" w:hAnsi="Arial"/>
          <w:i/>
          <w:color w:val="231F20"/>
          <w:w w:val="105"/>
          <w:sz w:val="18"/>
        </w:rPr>
        <w:t>y</w:t>
      </w:r>
      <w:r>
        <w:rPr>
          <w:rFonts w:ascii="Arial" w:hAnsi="Arial"/>
          <w:i/>
          <w:color w:val="231F20"/>
          <w:spacing w:val="-11"/>
          <w:w w:val="105"/>
          <w:sz w:val="18"/>
        </w:rPr>
        <w:t> </w:t>
      </w:r>
      <w:r>
        <w:rPr>
          <w:rFonts w:ascii="Arial" w:hAnsi="Arial"/>
          <w:i/>
          <w:color w:val="231F20"/>
          <w:w w:val="105"/>
          <w:sz w:val="18"/>
        </w:rPr>
        <w:t>me</w:t>
      </w:r>
      <w:r>
        <w:rPr>
          <w:rFonts w:ascii="Arial" w:hAnsi="Arial"/>
          <w:i/>
          <w:color w:val="231F20"/>
          <w:spacing w:val="-11"/>
          <w:w w:val="105"/>
          <w:sz w:val="18"/>
        </w:rPr>
        <w:t> </w:t>
      </w:r>
      <w:r>
        <w:rPr>
          <w:rFonts w:ascii="Arial" w:hAnsi="Arial"/>
          <w:i/>
          <w:color w:val="231F20"/>
          <w:w w:val="105"/>
          <w:sz w:val="18"/>
        </w:rPr>
        <w:t>fui</w:t>
      </w:r>
      <w:r>
        <w:rPr>
          <w:rFonts w:ascii="Arial" w:hAnsi="Arial"/>
          <w:i/>
          <w:color w:val="231F20"/>
          <w:spacing w:val="-11"/>
          <w:w w:val="105"/>
          <w:sz w:val="18"/>
        </w:rPr>
        <w:t> </w:t>
      </w:r>
      <w:r>
        <w:rPr>
          <w:rFonts w:ascii="Arial" w:hAnsi="Arial"/>
          <w:i/>
          <w:color w:val="231F20"/>
          <w:w w:val="105"/>
          <w:sz w:val="18"/>
        </w:rPr>
        <w:t>a</w:t>
      </w:r>
      <w:r>
        <w:rPr>
          <w:rFonts w:ascii="Arial" w:hAnsi="Arial"/>
          <w:i/>
          <w:color w:val="231F20"/>
          <w:spacing w:val="-11"/>
          <w:w w:val="105"/>
          <w:sz w:val="18"/>
        </w:rPr>
        <w:t> </w:t>
      </w:r>
      <w:r>
        <w:rPr>
          <w:rFonts w:ascii="Arial" w:hAnsi="Arial"/>
          <w:i/>
          <w:color w:val="231F20"/>
          <w:w w:val="105"/>
          <w:sz w:val="18"/>
        </w:rPr>
        <w:t>una</w:t>
      </w:r>
      <w:r>
        <w:rPr>
          <w:rFonts w:ascii="Arial" w:hAnsi="Arial"/>
          <w:i/>
          <w:color w:val="231F20"/>
          <w:spacing w:val="-11"/>
          <w:w w:val="105"/>
          <w:sz w:val="18"/>
        </w:rPr>
        <w:t> </w:t>
      </w:r>
      <w:r>
        <w:rPr>
          <w:rFonts w:ascii="Arial" w:hAnsi="Arial"/>
          <w:i/>
          <w:color w:val="231F20"/>
          <w:w w:val="105"/>
          <w:sz w:val="18"/>
        </w:rPr>
        <w:t>farmacia.</w:t>
      </w:r>
      <w:r>
        <w:rPr>
          <w:rFonts w:ascii="Arial" w:hAnsi="Arial"/>
          <w:i/>
          <w:color w:val="231F20"/>
          <w:spacing w:val="-17"/>
          <w:w w:val="105"/>
          <w:sz w:val="18"/>
        </w:rPr>
        <w:t> </w:t>
      </w:r>
      <w:r>
        <w:rPr>
          <w:rFonts w:ascii="Arial" w:hAnsi="Arial"/>
          <w:i/>
          <w:color w:val="231F20"/>
          <w:w w:val="105"/>
          <w:sz w:val="18"/>
        </w:rPr>
        <w:t>Ahí</w:t>
      </w:r>
      <w:r>
        <w:rPr>
          <w:rFonts w:ascii="Arial" w:hAnsi="Arial"/>
          <w:i/>
          <w:color w:val="231F20"/>
          <w:spacing w:val="-11"/>
          <w:w w:val="105"/>
          <w:sz w:val="18"/>
        </w:rPr>
        <w:t> </w:t>
      </w:r>
      <w:r>
        <w:rPr>
          <w:rFonts w:ascii="Arial" w:hAnsi="Arial"/>
          <w:i/>
          <w:color w:val="231F20"/>
          <w:w w:val="105"/>
          <w:sz w:val="18"/>
        </w:rPr>
        <w:t>había</w:t>
      </w:r>
      <w:r>
        <w:rPr>
          <w:rFonts w:ascii="Arial" w:hAnsi="Arial"/>
          <w:i/>
          <w:color w:val="231F20"/>
          <w:spacing w:val="-11"/>
          <w:w w:val="105"/>
          <w:sz w:val="18"/>
        </w:rPr>
        <w:t> </w:t>
      </w:r>
      <w:r>
        <w:rPr>
          <w:rFonts w:ascii="Arial" w:hAnsi="Arial"/>
          <w:i/>
          <w:color w:val="231F20"/>
          <w:w w:val="105"/>
          <w:sz w:val="18"/>
        </w:rPr>
        <w:t>un</w:t>
      </w:r>
      <w:r>
        <w:rPr>
          <w:rFonts w:ascii="Arial" w:hAnsi="Arial"/>
          <w:i/>
          <w:color w:val="231F20"/>
          <w:spacing w:val="-11"/>
          <w:w w:val="105"/>
          <w:sz w:val="18"/>
        </w:rPr>
        <w:t> </w:t>
      </w:r>
      <w:r>
        <w:rPr>
          <w:rFonts w:ascii="Arial" w:hAnsi="Arial"/>
          <w:i/>
          <w:color w:val="231F20"/>
          <w:w w:val="105"/>
          <w:sz w:val="18"/>
        </w:rPr>
        <w:t>doctor</w:t>
      </w:r>
      <w:r>
        <w:rPr>
          <w:rFonts w:ascii="Arial" w:hAnsi="Arial"/>
          <w:i/>
          <w:color w:val="231F20"/>
          <w:spacing w:val="-11"/>
          <w:w w:val="105"/>
          <w:sz w:val="18"/>
        </w:rPr>
        <w:t> </w:t>
      </w:r>
      <w:r>
        <w:rPr>
          <w:rFonts w:ascii="Arial" w:hAnsi="Arial"/>
          <w:i/>
          <w:color w:val="231F20"/>
          <w:w w:val="105"/>
          <w:sz w:val="18"/>
        </w:rPr>
        <w:t>que me</w:t>
      </w:r>
      <w:r>
        <w:rPr>
          <w:rFonts w:ascii="Arial" w:hAnsi="Arial"/>
          <w:i/>
          <w:color w:val="231F20"/>
          <w:spacing w:val="-18"/>
          <w:w w:val="105"/>
          <w:sz w:val="18"/>
        </w:rPr>
        <w:t> </w:t>
      </w:r>
      <w:r>
        <w:rPr>
          <w:rFonts w:ascii="Arial" w:hAnsi="Arial"/>
          <w:i/>
          <w:color w:val="231F20"/>
          <w:w w:val="105"/>
          <w:sz w:val="18"/>
        </w:rPr>
        <w:t>dijo:</w:t>
      </w:r>
      <w:r>
        <w:rPr>
          <w:rFonts w:ascii="Arial" w:hAnsi="Arial"/>
          <w:i/>
          <w:color w:val="231F20"/>
          <w:spacing w:val="-18"/>
          <w:w w:val="105"/>
          <w:sz w:val="18"/>
        </w:rPr>
        <w:t> </w:t>
      </w:r>
      <w:r>
        <w:rPr>
          <w:rFonts w:ascii="Arial" w:hAnsi="Arial"/>
          <w:i/>
          <w:color w:val="231F20"/>
          <w:w w:val="105"/>
          <w:sz w:val="18"/>
        </w:rPr>
        <w:t>mira,</w:t>
      </w:r>
      <w:r>
        <w:rPr>
          <w:rFonts w:ascii="Arial" w:hAnsi="Arial"/>
          <w:i/>
          <w:color w:val="231F20"/>
          <w:spacing w:val="-22"/>
          <w:w w:val="105"/>
          <w:sz w:val="18"/>
        </w:rPr>
        <w:t> </w:t>
      </w:r>
      <w:r>
        <w:rPr>
          <w:rFonts w:ascii="Arial" w:hAnsi="Arial"/>
          <w:i/>
          <w:color w:val="231F20"/>
          <w:w w:val="105"/>
          <w:sz w:val="18"/>
        </w:rPr>
        <w:t>te</w:t>
      </w:r>
      <w:r>
        <w:rPr>
          <w:rFonts w:ascii="Arial" w:hAnsi="Arial"/>
          <w:i/>
          <w:color w:val="231F20"/>
          <w:spacing w:val="-18"/>
          <w:w w:val="105"/>
          <w:sz w:val="18"/>
        </w:rPr>
        <w:t> </w:t>
      </w:r>
      <w:r>
        <w:rPr>
          <w:rFonts w:ascii="Arial" w:hAnsi="Arial"/>
          <w:i/>
          <w:color w:val="231F20"/>
          <w:w w:val="105"/>
          <w:sz w:val="18"/>
        </w:rPr>
        <w:t>voy</w:t>
      </w:r>
      <w:r>
        <w:rPr>
          <w:rFonts w:ascii="Arial" w:hAnsi="Arial"/>
          <w:i/>
          <w:color w:val="231F20"/>
          <w:spacing w:val="-18"/>
          <w:w w:val="105"/>
          <w:sz w:val="18"/>
        </w:rPr>
        <w:t> </w:t>
      </w:r>
      <w:r>
        <w:rPr>
          <w:rFonts w:ascii="Arial" w:hAnsi="Arial"/>
          <w:i/>
          <w:color w:val="231F20"/>
          <w:w w:val="105"/>
          <w:sz w:val="18"/>
        </w:rPr>
        <w:t>a</w:t>
      </w:r>
      <w:r>
        <w:rPr>
          <w:rFonts w:ascii="Arial" w:hAnsi="Arial"/>
          <w:i/>
          <w:color w:val="231F20"/>
          <w:spacing w:val="-18"/>
          <w:w w:val="105"/>
          <w:sz w:val="18"/>
        </w:rPr>
        <w:t> </w:t>
      </w:r>
      <w:r>
        <w:rPr>
          <w:rFonts w:ascii="Arial" w:hAnsi="Arial"/>
          <w:i/>
          <w:color w:val="231F20"/>
          <w:w w:val="105"/>
          <w:sz w:val="18"/>
        </w:rPr>
        <w:t>inyectar</w:t>
      </w:r>
      <w:r>
        <w:rPr>
          <w:rFonts w:ascii="Arial" w:hAnsi="Arial"/>
          <w:i/>
          <w:color w:val="231F20"/>
          <w:spacing w:val="-18"/>
          <w:w w:val="105"/>
          <w:sz w:val="18"/>
        </w:rPr>
        <w:t> </w:t>
      </w:r>
      <w:r>
        <w:rPr>
          <w:rFonts w:ascii="Arial" w:hAnsi="Arial"/>
          <w:i/>
          <w:color w:val="231F20"/>
          <w:w w:val="105"/>
          <w:sz w:val="18"/>
        </w:rPr>
        <w:t>para</w:t>
      </w:r>
      <w:r>
        <w:rPr>
          <w:rFonts w:ascii="Arial" w:hAnsi="Arial"/>
          <w:i/>
          <w:color w:val="231F20"/>
          <w:spacing w:val="-18"/>
          <w:w w:val="105"/>
          <w:sz w:val="18"/>
        </w:rPr>
        <w:t> </w:t>
      </w:r>
      <w:r>
        <w:rPr>
          <w:rFonts w:ascii="Arial" w:hAnsi="Arial"/>
          <w:i/>
          <w:color w:val="231F20"/>
          <w:w w:val="105"/>
          <w:sz w:val="18"/>
        </w:rPr>
        <w:t>que</w:t>
      </w:r>
      <w:r>
        <w:rPr>
          <w:rFonts w:ascii="Arial" w:hAnsi="Arial"/>
          <w:i/>
          <w:color w:val="231F20"/>
          <w:spacing w:val="-18"/>
          <w:w w:val="105"/>
          <w:sz w:val="18"/>
        </w:rPr>
        <w:t> </w:t>
      </w:r>
      <w:r>
        <w:rPr>
          <w:rFonts w:ascii="Arial" w:hAnsi="Arial"/>
          <w:i/>
          <w:color w:val="231F20"/>
          <w:w w:val="105"/>
          <w:sz w:val="18"/>
        </w:rPr>
        <w:t>te</w:t>
      </w:r>
      <w:r>
        <w:rPr>
          <w:rFonts w:ascii="Arial" w:hAnsi="Arial"/>
          <w:i/>
          <w:color w:val="231F20"/>
          <w:spacing w:val="-18"/>
          <w:w w:val="105"/>
          <w:sz w:val="18"/>
        </w:rPr>
        <w:t> </w:t>
      </w:r>
      <w:r>
        <w:rPr>
          <w:rFonts w:ascii="Arial" w:hAnsi="Arial"/>
          <w:i/>
          <w:color w:val="231F20"/>
          <w:w w:val="105"/>
          <w:sz w:val="18"/>
        </w:rPr>
        <w:t>compongas</w:t>
      </w:r>
      <w:r>
        <w:rPr>
          <w:rFonts w:ascii="Arial" w:hAnsi="Arial"/>
          <w:i/>
          <w:color w:val="231F20"/>
          <w:spacing w:val="-18"/>
          <w:w w:val="105"/>
          <w:sz w:val="18"/>
        </w:rPr>
        <w:t> </w:t>
      </w:r>
      <w:r>
        <w:rPr>
          <w:rFonts w:ascii="Arial" w:hAnsi="Arial"/>
          <w:i/>
          <w:color w:val="231F20"/>
          <w:w w:val="105"/>
          <w:sz w:val="18"/>
        </w:rPr>
        <w:t>rápido.</w:t>
      </w:r>
      <w:r>
        <w:rPr>
          <w:rFonts w:ascii="Arial" w:hAnsi="Arial"/>
          <w:i/>
          <w:color w:val="231F20"/>
          <w:spacing w:val="-22"/>
          <w:w w:val="105"/>
          <w:sz w:val="18"/>
        </w:rPr>
        <w:t> </w:t>
      </w:r>
      <w:r>
        <w:rPr>
          <w:rFonts w:ascii="Arial" w:hAnsi="Arial"/>
          <w:i/>
          <w:color w:val="231F20"/>
          <w:w w:val="105"/>
          <w:sz w:val="18"/>
        </w:rPr>
        <w:t>Sin</w:t>
      </w:r>
      <w:r>
        <w:rPr>
          <w:rFonts w:ascii="Arial" w:hAnsi="Arial"/>
          <w:i/>
          <w:color w:val="231F20"/>
          <w:spacing w:val="-18"/>
          <w:w w:val="105"/>
          <w:sz w:val="18"/>
        </w:rPr>
        <w:t> </w:t>
      </w:r>
      <w:r>
        <w:rPr>
          <w:rFonts w:ascii="Arial" w:hAnsi="Arial"/>
          <w:i/>
          <w:color w:val="231F20"/>
          <w:w w:val="105"/>
          <w:sz w:val="18"/>
        </w:rPr>
        <w:t>más,</w:t>
      </w:r>
    </w:p>
    <w:p>
      <w:pPr>
        <w:spacing w:line="249" w:lineRule="auto" w:before="1"/>
        <w:ind w:left="2857" w:right="1834" w:firstLine="0"/>
        <w:jc w:val="both"/>
        <w:rPr>
          <w:rFonts w:ascii="Arial" w:hAnsi="Arial"/>
          <w:i/>
          <w:sz w:val="18"/>
        </w:rPr>
      </w:pPr>
      <w:r>
        <w:rPr>
          <w:rFonts w:ascii="Arial" w:hAnsi="Arial"/>
          <w:i/>
          <w:color w:val="231F20"/>
          <w:w w:val="105"/>
          <w:sz w:val="18"/>
        </w:rPr>
        <w:t>¡y</w:t>
      </w:r>
      <w:r>
        <w:rPr>
          <w:rFonts w:ascii="Arial" w:hAnsi="Arial"/>
          <w:i/>
          <w:color w:val="231F20"/>
          <w:spacing w:val="-18"/>
          <w:w w:val="105"/>
          <w:sz w:val="18"/>
        </w:rPr>
        <w:t> </w:t>
      </w:r>
      <w:r>
        <w:rPr>
          <w:rFonts w:ascii="Arial" w:hAnsi="Arial"/>
          <w:i/>
          <w:color w:val="231F20"/>
          <w:w w:val="105"/>
          <w:sz w:val="18"/>
        </w:rPr>
        <w:t>yo</w:t>
      </w:r>
      <w:r>
        <w:rPr>
          <w:rFonts w:ascii="Arial" w:hAnsi="Arial"/>
          <w:i/>
          <w:color w:val="231F20"/>
          <w:spacing w:val="-18"/>
          <w:w w:val="105"/>
          <w:sz w:val="18"/>
        </w:rPr>
        <w:t> </w:t>
      </w:r>
      <w:r>
        <w:rPr>
          <w:rFonts w:ascii="Arial" w:hAnsi="Arial"/>
          <w:i/>
          <w:color w:val="231F20"/>
          <w:w w:val="105"/>
          <w:sz w:val="18"/>
        </w:rPr>
        <w:t>con</w:t>
      </w:r>
      <w:r>
        <w:rPr>
          <w:rFonts w:ascii="Arial" w:hAnsi="Arial"/>
          <w:i/>
          <w:color w:val="231F20"/>
          <w:spacing w:val="-18"/>
          <w:w w:val="105"/>
          <w:sz w:val="18"/>
        </w:rPr>
        <w:t> </w:t>
      </w:r>
      <w:r>
        <w:rPr>
          <w:rFonts w:ascii="Arial" w:hAnsi="Arial"/>
          <w:i/>
          <w:color w:val="231F20"/>
          <w:w w:val="105"/>
          <w:sz w:val="18"/>
        </w:rPr>
        <w:t>el</w:t>
      </w:r>
      <w:r>
        <w:rPr>
          <w:rFonts w:ascii="Arial" w:hAnsi="Arial"/>
          <w:i/>
          <w:color w:val="231F20"/>
          <w:spacing w:val="-18"/>
          <w:w w:val="105"/>
          <w:sz w:val="18"/>
        </w:rPr>
        <w:t> </w:t>
      </w:r>
      <w:r>
        <w:rPr>
          <w:rFonts w:ascii="Arial" w:hAnsi="Arial"/>
          <w:i/>
          <w:color w:val="231F20"/>
          <w:w w:val="105"/>
          <w:sz w:val="18"/>
        </w:rPr>
        <w:t>pantalón</w:t>
      </w:r>
      <w:r>
        <w:rPr>
          <w:rFonts w:ascii="Arial" w:hAnsi="Arial"/>
          <w:i/>
          <w:color w:val="231F20"/>
          <w:spacing w:val="-18"/>
          <w:w w:val="105"/>
          <w:sz w:val="18"/>
        </w:rPr>
        <w:t> </w:t>
      </w:r>
      <w:r>
        <w:rPr>
          <w:rFonts w:ascii="Arial" w:hAnsi="Arial"/>
          <w:i/>
          <w:color w:val="231F20"/>
          <w:w w:val="105"/>
          <w:sz w:val="18"/>
        </w:rPr>
        <w:t>puesto!,</w:t>
      </w:r>
      <w:r>
        <w:rPr>
          <w:rFonts w:ascii="Arial" w:hAnsi="Arial"/>
          <w:i/>
          <w:color w:val="231F20"/>
          <w:spacing w:val="-23"/>
          <w:w w:val="105"/>
          <w:sz w:val="18"/>
        </w:rPr>
        <w:t> </w:t>
      </w:r>
      <w:r>
        <w:rPr>
          <w:rFonts w:ascii="Arial" w:hAnsi="Arial"/>
          <w:i/>
          <w:color w:val="231F20"/>
          <w:w w:val="105"/>
          <w:sz w:val="18"/>
        </w:rPr>
        <w:t>me</w:t>
      </w:r>
      <w:r>
        <w:rPr>
          <w:rFonts w:ascii="Arial" w:hAnsi="Arial"/>
          <w:i/>
          <w:color w:val="231F20"/>
          <w:spacing w:val="-18"/>
          <w:w w:val="105"/>
          <w:sz w:val="18"/>
        </w:rPr>
        <w:t> </w:t>
      </w:r>
      <w:r>
        <w:rPr>
          <w:rFonts w:ascii="Arial" w:hAnsi="Arial"/>
          <w:i/>
          <w:color w:val="231F20"/>
          <w:w w:val="105"/>
          <w:sz w:val="18"/>
        </w:rPr>
        <w:t>inyectó.</w:t>
      </w:r>
      <w:r>
        <w:rPr>
          <w:rFonts w:ascii="Arial" w:hAnsi="Arial"/>
          <w:i/>
          <w:color w:val="231F20"/>
          <w:spacing w:val="-23"/>
          <w:w w:val="105"/>
          <w:sz w:val="18"/>
        </w:rPr>
        <w:t> </w:t>
      </w:r>
      <w:r>
        <w:rPr>
          <w:rFonts w:ascii="Arial" w:hAnsi="Arial"/>
          <w:i/>
          <w:color w:val="231F20"/>
          <w:w w:val="105"/>
          <w:sz w:val="18"/>
        </w:rPr>
        <w:t>Me</w:t>
      </w:r>
      <w:r>
        <w:rPr>
          <w:rFonts w:ascii="Arial" w:hAnsi="Arial"/>
          <w:i/>
          <w:color w:val="231F20"/>
          <w:spacing w:val="-18"/>
          <w:w w:val="105"/>
          <w:sz w:val="18"/>
        </w:rPr>
        <w:t> </w:t>
      </w:r>
      <w:r>
        <w:rPr>
          <w:rFonts w:ascii="Arial" w:hAnsi="Arial"/>
          <w:i/>
          <w:color w:val="231F20"/>
          <w:w w:val="105"/>
          <w:sz w:val="18"/>
        </w:rPr>
        <w:t>fui</w:t>
      </w:r>
      <w:r>
        <w:rPr>
          <w:rFonts w:ascii="Arial" w:hAnsi="Arial"/>
          <w:i/>
          <w:color w:val="231F20"/>
          <w:spacing w:val="-18"/>
          <w:w w:val="105"/>
          <w:sz w:val="18"/>
        </w:rPr>
        <w:t> </w:t>
      </w:r>
      <w:r>
        <w:rPr>
          <w:rFonts w:ascii="Arial" w:hAnsi="Arial"/>
          <w:i/>
          <w:color w:val="231F20"/>
          <w:w w:val="105"/>
          <w:sz w:val="18"/>
        </w:rPr>
        <w:t>a</w:t>
      </w:r>
      <w:r>
        <w:rPr>
          <w:rFonts w:ascii="Arial" w:hAnsi="Arial"/>
          <w:i/>
          <w:color w:val="231F20"/>
          <w:spacing w:val="-18"/>
          <w:w w:val="105"/>
          <w:sz w:val="18"/>
        </w:rPr>
        <w:t> </w:t>
      </w:r>
      <w:r>
        <w:rPr>
          <w:rFonts w:ascii="Arial" w:hAnsi="Arial"/>
          <w:i/>
          <w:color w:val="231F20"/>
          <w:w w:val="105"/>
          <w:sz w:val="18"/>
        </w:rPr>
        <w:t>donde</w:t>
      </w:r>
      <w:r>
        <w:rPr>
          <w:rFonts w:ascii="Arial" w:hAnsi="Arial"/>
          <w:i/>
          <w:color w:val="231F20"/>
          <w:spacing w:val="-18"/>
          <w:w w:val="105"/>
          <w:sz w:val="18"/>
        </w:rPr>
        <w:t> </w:t>
      </w:r>
      <w:r>
        <w:rPr>
          <w:rFonts w:ascii="Arial" w:hAnsi="Arial"/>
          <w:i/>
          <w:color w:val="231F20"/>
          <w:w w:val="105"/>
          <w:sz w:val="18"/>
        </w:rPr>
        <w:t>me</w:t>
      </w:r>
      <w:r>
        <w:rPr>
          <w:rFonts w:ascii="Arial" w:hAnsi="Arial"/>
          <w:i/>
          <w:color w:val="231F20"/>
          <w:spacing w:val="-18"/>
          <w:w w:val="105"/>
          <w:sz w:val="18"/>
        </w:rPr>
        <w:t> </w:t>
      </w:r>
      <w:r>
        <w:rPr>
          <w:rFonts w:ascii="Arial" w:hAnsi="Arial"/>
          <w:i/>
          <w:color w:val="231F20"/>
          <w:w w:val="105"/>
          <w:sz w:val="18"/>
        </w:rPr>
        <w:t>quedé</w:t>
      </w:r>
      <w:r>
        <w:rPr>
          <w:rFonts w:ascii="Arial" w:hAnsi="Arial"/>
          <w:i/>
          <w:color w:val="231F20"/>
          <w:spacing w:val="-18"/>
          <w:w w:val="105"/>
          <w:sz w:val="18"/>
        </w:rPr>
        <w:t> </w:t>
      </w:r>
      <w:r>
        <w:rPr>
          <w:rFonts w:ascii="Arial" w:hAnsi="Arial"/>
          <w:i/>
          <w:color w:val="231F20"/>
          <w:w w:val="105"/>
          <w:sz w:val="18"/>
        </w:rPr>
        <w:t>esa </w:t>
      </w:r>
      <w:r>
        <w:rPr>
          <w:rFonts w:ascii="Arial" w:hAnsi="Arial"/>
          <w:i/>
          <w:color w:val="231F20"/>
          <w:w w:val="105"/>
          <w:sz w:val="18"/>
        </w:rPr>
        <w:t>noche y no tardé en dormirme. Después de un tiempo desperté y ya no</w:t>
      </w:r>
      <w:r>
        <w:rPr>
          <w:rFonts w:ascii="Arial" w:hAnsi="Arial"/>
          <w:i/>
          <w:color w:val="231F20"/>
          <w:spacing w:val="-8"/>
          <w:w w:val="105"/>
          <w:sz w:val="18"/>
        </w:rPr>
        <w:t> </w:t>
      </w:r>
      <w:r>
        <w:rPr>
          <w:rFonts w:ascii="Arial" w:hAnsi="Arial"/>
          <w:i/>
          <w:color w:val="231F20"/>
          <w:w w:val="105"/>
          <w:sz w:val="18"/>
        </w:rPr>
        <w:t>tenía</w:t>
      </w:r>
      <w:r>
        <w:rPr>
          <w:rFonts w:ascii="Arial" w:hAnsi="Arial"/>
          <w:i/>
          <w:color w:val="231F20"/>
          <w:spacing w:val="-8"/>
          <w:w w:val="105"/>
          <w:sz w:val="18"/>
        </w:rPr>
        <w:t> </w:t>
      </w:r>
      <w:r>
        <w:rPr>
          <w:rFonts w:ascii="Arial" w:hAnsi="Arial"/>
          <w:i/>
          <w:color w:val="231F20"/>
          <w:w w:val="105"/>
          <w:sz w:val="18"/>
        </w:rPr>
        <w:t>fiebre,</w:t>
      </w:r>
      <w:r>
        <w:rPr>
          <w:rFonts w:ascii="Arial" w:hAnsi="Arial"/>
          <w:i/>
          <w:color w:val="231F20"/>
          <w:spacing w:val="-14"/>
          <w:w w:val="105"/>
          <w:sz w:val="18"/>
        </w:rPr>
        <w:t> </w:t>
      </w:r>
      <w:r>
        <w:rPr>
          <w:rFonts w:ascii="Arial" w:hAnsi="Arial"/>
          <w:i/>
          <w:color w:val="231F20"/>
          <w:w w:val="105"/>
          <w:sz w:val="18"/>
        </w:rPr>
        <w:t>¡pero</w:t>
      </w:r>
      <w:r>
        <w:rPr>
          <w:rFonts w:ascii="Arial" w:hAnsi="Arial"/>
          <w:i/>
          <w:color w:val="231F20"/>
          <w:spacing w:val="-8"/>
          <w:w w:val="105"/>
          <w:sz w:val="18"/>
        </w:rPr>
        <w:t> </w:t>
      </w:r>
      <w:r>
        <w:rPr>
          <w:rFonts w:ascii="Arial" w:hAnsi="Arial"/>
          <w:i/>
          <w:color w:val="231F20"/>
          <w:w w:val="105"/>
          <w:sz w:val="18"/>
        </w:rPr>
        <w:t>tenía</w:t>
      </w:r>
      <w:r>
        <w:rPr>
          <w:rFonts w:ascii="Arial" w:hAnsi="Arial"/>
          <w:i/>
          <w:color w:val="231F20"/>
          <w:spacing w:val="-8"/>
          <w:w w:val="105"/>
          <w:sz w:val="18"/>
        </w:rPr>
        <w:t> </w:t>
      </w:r>
      <w:r>
        <w:rPr>
          <w:rFonts w:ascii="Arial" w:hAnsi="Arial"/>
          <w:i/>
          <w:color w:val="231F20"/>
          <w:w w:val="105"/>
          <w:sz w:val="18"/>
        </w:rPr>
        <w:t>la</w:t>
      </w:r>
      <w:r>
        <w:rPr>
          <w:rFonts w:ascii="Arial" w:hAnsi="Arial"/>
          <w:i/>
          <w:color w:val="231F20"/>
          <w:spacing w:val="-8"/>
          <w:w w:val="105"/>
          <w:sz w:val="18"/>
        </w:rPr>
        <w:t> </w:t>
      </w:r>
      <w:r>
        <w:rPr>
          <w:rFonts w:ascii="Arial" w:hAnsi="Arial"/>
          <w:i/>
          <w:color w:val="231F20"/>
          <w:w w:val="105"/>
          <w:sz w:val="18"/>
        </w:rPr>
        <w:t>pierna</w:t>
      </w:r>
      <w:r>
        <w:rPr>
          <w:rFonts w:ascii="Arial" w:hAnsi="Arial"/>
          <w:i/>
          <w:color w:val="231F20"/>
          <w:spacing w:val="-8"/>
          <w:w w:val="105"/>
          <w:sz w:val="18"/>
        </w:rPr>
        <w:t> </w:t>
      </w:r>
      <w:r>
        <w:rPr>
          <w:rFonts w:ascii="Arial" w:hAnsi="Arial"/>
          <w:i/>
          <w:color w:val="231F20"/>
          <w:w w:val="105"/>
          <w:sz w:val="18"/>
        </w:rPr>
        <w:t>tiesa!</w:t>
      </w:r>
      <w:r>
        <w:rPr>
          <w:rFonts w:ascii="Arial" w:hAnsi="Arial"/>
          <w:i/>
          <w:color w:val="231F20"/>
          <w:spacing w:val="-8"/>
          <w:w w:val="105"/>
          <w:sz w:val="18"/>
        </w:rPr>
        <w:t> </w:t>
      </w:r>
      <w:r>
        <w:rPr>
          <w:rFonts w:ascii="Arial" w:hAnsi="Arial"/>
          <w:i/>
          <w:color w:val="231F20"/>
          <w:w w:val="105"/>
          <w:sz w:val="18"/>
        </w:rPr>
        <w:t>Me</w:t>
      </w:r>
      <w:r>
        <w:rPr>
          <w:rFonts w:ascii="Arial" w:hAnsi="Arial"/>
          <w:i/>
          <w:color w:val="231F20"/>
          <w:spacing w:val="-8"/>
          <w:w w:val="105"/>
          <w:sz w:val="18"/>
        </w:rPr>
        <w:t> </w:t>
      </w:r>
      <w:r>
        <w:rPr>
          <w:rFonts w:ascii="Arial" w:hAnsi="Arial"/>
          <w:i/>
          <w:color w:val="231F20"/>
          <w:w w:val="105"/>
          <w:sz w:val="18"/>
        </w:rPr>
        <w:t>preocupé</w:t>
      </w:r>
      <w:r>
        <w:rPr>
          <w:rFonts w:ascii="Arial" w:hAnsi="Arial"/>
          <w:i/>
          <w:color w:val="231F20"/>
          <w:spacing w:val="-8"/>
          <w:w w:val="105"/>
          <w:sz w:val="18"/>
        </w:rPr>
        <w:t> </w:t>
      </w:r>
      <w:r>
        <w:rPr>
          <w:rFonts w:ascii="Arial" w:hAnsi="Arial"/>
          <w:i/>
          <w:color w:val="231F20"/>
          <w:w w:val="105"/>
          <w:sz w:val="18"/>
        </w:rPr>
        <w:t>mucho,</w:t>
      </w:r>
      <w:r>
        <w:rPr>
          <w:rFonts w:ascii="Arial" w:hAnsi="Arial"/>
          <w:i/>
          <w:color w:val="231F20"/>
          <w:spacing w:val="-14"/>
          <w:w w:val="105"/>
          <w:sz w:val="18"/>
        </w:rPr>
        <w:t> </w:t>
      </w:r>
      <w:r>
        <w:rPr>
          <w:rFonts w:ascii="Arial" w:hAnsi="Arial"/>
          <w:i/>
          <w:color w:val="231F20"/>
          <w:w w:val="105"/>
          <w:sz w:val="18"/>
        </w:rPr>
        <w:t>dije:</w:t>
      </w:r>
      <w:r>
        <w:rPr>
          <w:rFonts w:ascii="Arial" w:hAnsi="Arial"/>
          <w:i/>
          <w:color w:val="231F20"/>
          <w:spacing w:val="-8"/>
          <w:w w:val="105"/>
          <w:sz w:val="18"/>
        </w:rPr>
        <w:t> </w:t>
      </w:r>
      <w:r>
        <w:rPr>
          <w:rFonts w:ascii="Arial" w:hAnsi="Arial"/>
          <w:i/>
          <w:color w:val="231F20"/>
          <w:w w:val="105"/>
          <w:sz w:val="18"/>
        </w:rPr>
        <w:t>y ahora,</w:t>
      </w:r>
      <w:r>
        <w:rPr>
          <w:rFonts w:ascii="Arial" w:hAnsi="Arial"/>
          <w:i/>
          <w:color w:val="231F20"/>
          <w:spacing w:val="-17"/>
          <w:w w:val="105"/>
          <w:sz w:val="18"/>
        </w:rPr>
        <w:t> </w:t>
      </w:r>
      <w:r>
        <w:rPr>
          <w:rFonts w:ascii="Arial" w:hAnsi="Arial"/>
          <w:i/>
          <w:color w:val="231F20"/>
          <w:w w:val="105"/>
          <w:sz w:val="18"/>
        </w:rPr>
        <w:t>cómo</w:t>
      </w:r>
      <w:r>
        <w:rPr>
          <w:rFonts w:ascii="Arial" w:hAnsi="Arial"/>
          <w:i/>
          <w:color w:val="231F20"/>
          <w:spacing w:val="-14"/>
          <w:w w:val="105"/>
          <w:sz w:val="18"/>
        </w:rPr>
        <w:t> </w:t>
      </w:r>
      <w:r>
        <w:rPr>
          <w:rFonts w:ascii="Arial" w:hAnsi="Arial"/>
          <w:i/>
          <w:color w:val="231F20"/>
          <w:w w:val="105"/>
          <w:sz w:val="18"/>
        </w:rPr>
        <w:t>voy</w:t>
      </w:r>
      <w:r>
        <w:rPr>
          <w:rFonts w:ascii="Arial" w:hAnsi="Arial"/>
          <w:i/>
          <w:color w:val="231F20"/>
          <w:spacing w:val="-14"/>
          <w:w w:val="105"/>
          <w:sz w:val="18"/>
        </w:rPr>
        <w:t> </w:t>
      </w:r>
      <w:r>
        <w:rPr>
          <w:rFonts w:ascii="Arial" w:hAnsi="Arial"/>
          <w:i/>
          <w:color w:val="231F20"/>
          <w:w w:val="105"/>
          <w:sz w:val="18"/>
        </w:rPr>
        <w:t>a</w:t>
      </w:r>
      <w:r>
        <w:rPr>
          <w:rFonts w:ascii="Arial" w:hAnsi="Arial"/>
          <w:i/>
          <w:color w:val="231F20"/>
          <w:spacing w:val="-14"/>
          <w:w w:val="105"/>
          <w:sz w:val="18"/>
        </w:rPr>
        <w:t> </w:t>
      </w:r>
      <w:r>
        <w:rPr>
          <w:rFonts w:ascii="Arial" w:hAnsi="Arial"/>
          <w:i/>
          <w:color w:val="231F20"/>
          <w:w w:val="105"/>
          <w:sz w:val="18"/>
        </w:rPr>
        <w:t>seguir.</w:t>
      </w:r>
      <w:r>
        <w:rPr>
          <w:rFonts w:ascii="Arial" w:hAnsi="Arial"/>
          <w:i/>
          <w:color w:val="231F20"/>
          <w:spacing w:val="-17"/>
          <w:w w:val="105"/>
          <w:sz w:val="18"/>
        </w:rPr>
        <w:t> </w:t>
      </w:r>
      <w:r>
        <w:rPr>
          <w:rFonts w:ascii="Arial" w:hAnsi="Arial"/>
          <w:i/>
          <w:color w:val="231F20"/>
          <w:spacing w:val="-4"/>
          <w:w w:val="105"/>
          <w:sz w:val="18"/>
        </w:rPr>
        <w:t>Pero</w:t>
      </w:r>
      <w:r>
        <w:rPr>
          <w:rFonts w:ascii="Arial" w:hAnsi="Arial"/>
          <w:i/>
          <w:color w:val="231F20"/>
          <w:spacing w:val="-14"/>
          <w:w w:val="105"/>
          <w:sz w:val="18"/>
        </w:rPr>
        <w:t> </w:t>
      </w:r>
      <w:r>
        <w:rPr>
          <w:rFonts w:ascii="Arial" w:hAnsi="Arial"/>
          <w:i/>
          <w:color w:val="231F20"/>
          <w:w w:val="105"/>
          <w:sz w:val="18"/>
        </w:rPr>
        <w:t>me</w:t>
      </w:r>
      <w:r>
        <w:rPr>
          <w:rFonts w:ascii="Arial" w:hAnsi="Arial"/>
          <w:i/>
          <w:color w:val="231F20"/>
          <w:spacing w:val="-14"/>
          <w:w w:val="105"/>
          <w:sz w:val="18"/>
        </w:rPr>
        <w:t> </w:t>
      </w:r>
      <w:r>
        <w:rPr>
          <w:rFonts w:ascii="Arial" w:hAnsi="Arial"/>
          <w:i/>
          <w:color w:val="231F20"/>
          <w:w w:val="105"/>
          <w:sz w:val="18"/>
        </w:rPr>
        <w:t>volvió</w:t>
      </w:r>
      <w:r>
        <w:rPr>
          <w:rFonts w:ascii="Arial" w:hAnsi="Arial"/>
          <w:i/>
          <w:color w:val="231F20"/>
          <w:spacing w:val="-14"/>
          <w:w w:val="105"/>
          <w:sz w:val="18"/>
        </w:rPr>
        <w:t> </w:t>
      </w:r>
      <w:r>
        <w:rPr>
          <w:rFonts w:ascii="Arial" w:hAnsi="Arial"/>
          <w:i/>
          <w:color w:val="231F20"/>
          <w:w w:val="105"/>
          <w:sz w:val="18"/>
        </w:rPr>
        <w:t>a</w:t>
      </w:r>
      <w:r>
        <w:rPr>
          <w:rFonts w:ascii="Arial" w:hAnsi="Arial"/>
          <w:i/>
          <w:color w:val="231F20"/>
          <w:spacing w:val="-14"/>
          <w:w w:val="105"/>
          <w:sz w:val="18"/>
        </w:rPr>
        <w:t> </w:t>
      </w:r>
      <w:r>
        <w:rPr>
          <w:rFonts w:ascii="Arial" w:hAnsi="Arial"/>
          <w:i/>
          <w:color w:val="231F20"/>
          <w:w w:val="105"/>
          <w:sz w:val="18"/>
        </w:rPr>
        <w:t>vencer</w:t>
      </w:r>
      <w:r>
        <w:rPr>
          <w:rFonts w:ascii="Arial" w:hAnsi="Arial"/>
          <w:i/>
          <w:color w:val="231F20"/>
          <w:spacing w:val="-14"/>
          <w:w w:val="105"/>
          <w:sz w:val="18"/>
        </w:rPr>
        <w:t> </w:t>
      </w:r>
      <w:r>
        <w:rPr>
          <w:rFonts w:ascii="Arial" w:hAnsi="Arial"/>
          <w:i/>
          <w:color w:val="231F20"/>
          <w:w w:val="105"/>
          <w:sz w:val="18"/>
        </w:rPr>
        <w:t>el</w:t>
      </w:r>
      <w:r>
        <w:rPr>
          <w:rFonts w:ascii="Arial" w:hAnsi="Arial"/>
          <w:i/>
          <w:color w:val="231F20"/>
          <w:spacing w:val="-14"/>
          <w:w w:val="105"/>
          <w:sz w:val="18"/>
        </w:rPr>
        <w:t> </w:t>
      </w:r>
      <w:r>
        <w:rPr>
          <w:rFonts w:ascii="Arial" w:hAnsi="Arial"/>
          <w:i/>
          <w:color w:val="231F20"/>
          <w:w w:val="105"/>
          <w:sz w:val="18"/>
        </w:rPr>
        <w:t>sueño.</w:t>
      </w:r>
      <w:r>
        <w:rPr>
          <w:rFonts w:ascii="Arial" w:hAnsi="Arial"/>
          <w:i/>
          <w:color w:val="231F20"/>
          <w:spacing w:val="-20"/>
          <w:w w:val="105"/>
          <w:sz w:val="18"/>
        </w:rPr>
        <w:t> </w:t>
      </w:r>
      <w:r>
        <w:rPr>
          <w:rFonts w:ascii="Arial" w:hAnsi="Arial"/>
          <w:i/>
          <w:color w:val="231F20"/>
          <w:w w:val="105"/>
          <w:sz w:val="18"/>
        </w:rPr>
        <w:t>Al</w:t>
      </w:r>
      <w:r>
        <w:rPr>
          <w:rFonts w:ascii="Arial" w:hAnsi="Arial"/>
          <w:i/>
          <w:color w:val="231F20"/>
          <w:spacing w:val="-14"/>
          <w:w w:val="105"/>
          <w:sz w:val="18"/>
        </w:rPr>
        <w:t> </w:t>
      </w:r>
      <w:r>
        <w:rPr>
          <w:rFonts w:ascii="Arial" w:hAnsi="Arial"/>
          <w:i/>
          <w:color w:val="231F20"/>
          <w:w w:val="105"/>
          <w:sz w:val="18"/>
        </w:rPr>
        <w:t>otro</w:t>
      </w:r>
      <w:r>
        <w:rPr>
          <w:rFonts w:ascii="Arial" w:hAnsi="Arial"/>
          <w:i/>
          <w:color w:val="231F20"/>
          <w:spacing w:val="-14"/>
          <w:w w:val="105"/>
          <w:sz w:val="18"/>
        </w:rPr>
        <w:t> </w:t>
      </w:r>
      <w:r>
        <w:rPr>
          <w:rFonts w:ascii="Arial" w:hAnsi="Arial"/>
          <w:i/>
          <w:color w:val="231F20"/>
          <w:w w:val="105"/>
          <w:sz w:val="18"/>
        </w:rPr>
        <w:t>día desperté y tenía temor de cómo estaría, pero ya no tenía fiebre ni la pierna</w:t>
      </w:r>
      <w:r>
        <w:rPr>
          <w:rFonts w:ascii="Arial" w:hAnsi="Arial"/>
          <w:i/>
          <w:color w:val="231F20"/>
          <w:spacing w:val="-20"/>
          <w:w w:val="105"/>
          <w:sz w:val="18"/>
        </w:rPr>
        <w:t> </w:t>
      </w:r>
      <w:r>
        <w:rPr>
          <w:rFonts w:ascii="Arial" w:hAnsi="Arial"/>
          <w:i/>
          <w:color w:val="231F20"/>
          <w:w w:val="105"/>
          <w:sz w:val="18"/>
        </w:rPr>
        <w:t>tiesa.</w:t>
      </w:r>
      <w:r>
        <w:rPr>
          <w:rFonts w:ascii="Arial" w:hAnsi="Arial"/>
          <w:i/>
          <w:color w:val="231F20"/>
          <w:spacing w:val="-24"/>
          <w:w w:val="105"/>
          <w:sz w:val="18"/>
        </w:rPr>
        <w:t> </w:t>
      </w:r>
      <w:r>
        <w:rPr>
          <w:rFonts w:ascii="Arial" w:hAnsi="Arial"/>
          <w:i/>
          <w:color w:val="231F20"/>
          <w:spacing w:val="-5"/>
          <w:w w:val="105"/>
          <w:sz w:val="18"/>
        </w:rPr>
        <w:t>Por</w:t>
      </w:r>
      <w:r>
        <w:rPr>
          <w:rFonts w:ascii="Arial" w:hAnsi="Arial"/>
          <w:i/>
          <w:color w:val="231F20"/>
          <w:spacing w:val="-20"/>
          <w:w w:val="105"/>
          <w:sz w:val="18"/>
        </w:rPr>
        <w:t> </w:t>
      </w:r>
      <w:r>
        <w:rPr>
          <w:rFonts w:ascii="Arial" w:hAnsi="Arial"/>
          <w:i/>
          <w:color w:val="231F20"/>
          <w:w w:val="105"/>
          <w:sz w:val="18"/>
        </w:rPr>
        <w:t>eso</w:t>
      </w:r>
      <w:r>
        <w:rPr>
          <w:rFonts w:ascii="Arial" w:hAnsi="Arial"/>
          <w:i/>
          <w:color w:val="231F20"/>
          <w:spacing w:val="-20"/>
          <w:w w:val="105"/>
          <w:sz w:val="18"/>
        </w:rPr>
        <w:t> </w:t>
      </w:r>
      <w:r>
        <w:rPr>
          <w:rFonts w:ascii="Arial" w:hAnsi="Arial"/>
          <w:i/>
          <w:color w:val="231F20"/>
          <w:w w:val="105"/>
          <w:sz w:val="18"/>
        </w:rPr>
        <w:t>digo</w:t>
      </w:r>
      <w:r>
        <w:rPr>
          <w:rFonts w:ascii="Arial" w:hAnsi="Arial"/>
          <w:i/>
          <w:color w:val="231F20"/>
          <w:spacing w:val="-20"/>
          <w:w w:val="105"/>
          <w:sz w:val="18"/>
        </w:rPr>
        <w:t> </w:t>
      </w:r>
      <w:r>
        <w:rPr>
          <w:rFonts w:ascii="Arial" w:hAnsi="Arial"/>
          <w:i/>
          <w:color w:val="231F20"/>
          <w:w w:val="105"/>
          <w:sz w:val="18"/>
        </w:rPr>
        <w:t>que</w:t>
      </w:r>
      <w:r>
        <w:rPr>
          <w:rFonts w:ascii="Arial" w:hAnsi="Arial"/>
          <w:i/>
          <w:color w:val="231F20"/>
          <w:spacing w:val="-20"/>
          <w:w w:val="105"/>
          <w:sz w:val="18"/>
        </w:rPr>
        <w:t> </w:t>
      </w:r>
      <w:r>
        <w:rPr>
          <w:rFonts w:ascii="Arial" w:hAnsi="Arial"/>
          <w:i/>
          <w:color w:val="231F20"/>
          <w:w w:val="105"/>
          <w:sz w:val="18"/>
        </w:rPr>
        <w:t>se</w:t>
      </w:r>
      <w:r>
        <w:rPr>
          <w:rFonts w:ascii="Arial" w:hAnsi="Arial"/>
          <w:i/>
          <w:color w:val="231F20"/>
          <w:spacing w:val="-20"/>
          <w:w w:val="105"/>
          <w:sz w:val="18"/>
        </w:rPr>
        <w:t> </w:t>
      </w:r>
      <w:r>
        <w:rPr>
          <w:rFonts w:ascii="Arial" w:hAnsi="Arial"/>
          <w:i/>
          <w:color w:val="231F20"/>
          <w:w w:val="105"/>
          <w:sz w:val="18"/>
        </w:rPr>
        <w:t>sufre</w:t>
      </w:r>
      <w:r>
        <w:rPr>
          <w:rFonts w:ascii="Arial" w:hAnsi="Arial"/>
          <w:i/>
          <w:color w:val="231F20"/>
          <w:spacing w:val="-20"/>
          <w:w w:val="105"/>
          <w:sz w:val="18"/>
        </w:rPr>
        <w:t> </w:t>
      </w:r>
      <w:r>
        <w:rPr>
          <w:rFonts w:ascii="Arial" w:hAnsi="Arial"/>
          <w:i/>
          <w:color w:val="231F20"/>
          <w:w w:val="105"/>
          <w:sz w:val="18"/>
        </w:rPr>
        <w:t>mucho.</w:t>
      </w:r>
    </w:p>
    <w:p>
      <w:pPr>
        <w:spacing w:line="249" w:lineRule="auto" w:before="114"/>
        <w:ind w:left="2857" w:right="1834" w:firstLine="0"/>
        <w:jc w:val="both"/>
        <w:rPr>
          <w:rFonts w:ascii="Arial" w:hAnsi="Arial"/>
          <w:i/>
          <w:sz w:val="18"/>
        </w:rPr>
      </w:pPr>
      <w:r>
        <w:rPr>
          <w:rFonts w:ascii="Arial" w:hAnsi="Arial"/>
          <w:i/>
          <w:color w:val="231F20"/>
          <w:spacing w:val="-3"/>
          <w:sz w:val="18"/>
        </w:rPr>
        <w:t>También </w:t>
      </w:r>
      <w:r>
        <w:rPr>
          <w:rFonts w:ascii="Arial" w:hAnsi="Arial"/>
          <w:i/>
          <w:color w:val="231F20"/>
          <w:sz w:val="18"/>
        </w:rPr>
        <w:t>era difícil cuando te tocaba esperar mucho para saber si es- </w:t>
      </w:r>
      <w:r>
        <w:rPr>
          <w:rFonts w:ascii="Arial" w:hAnsi="Arial"/>
          <w:i/>
          <w:color w:val="231F20"/>
          <w:sz w:val="18"/>
        </w:rPr>
        <w:t>tabas o no en las listas. Una vez me regresé de Irapuato, no salía y no salía en las listas. Otra vez aguanté ahí veinte días, pero al final me en- listé. Ese día, estábamos ahí como tres mil personas, todos esperando  a ser llamados... y nada. </w:t>
      </w:r>
      <w:r>
        <w:rPr>
          <w:rFonts w:ascii="Arial" w:hAnsi="Arial"/>
          <w:i/>
          <w:color w:val="231F20"/>
          <w:spacing w:val="-4"/>
          <w:sz w:val="18"/>
        </w:rPr>
        <w:t>Pero </w:t>
      </w:r>
      <w:r>
        <w:rPr>
          <w:rFonts w:ascii="Arial" w:hAnsi="Arial"/>
          <w:i/>
          <w:color w:val="231F20"/>
          <w:sz w:val="18"/>
        </w:rPr>
        <w:t>ya en la tarde, de repente, gritaron:</w:t>
      </w:r>
      <w:r>
        <w:rPr>
          <w:rFonts w:ascii="Arial" w:hAnsi="Arial"/>
          <w:i/>
          <w:color w:val="231F20"/>
          <w:spacing w:val="30"/>
          <w:sz w:val="18"/>
        </w:rPr>
        <w:t> </w:t>
      </w:r>
      <w:r>
        <w:rPr>
          <w:rFonts w:ascii="Arial" w:hAnsi="Arial"/>
          <w:i/>
          <w:color w:val="231F20"/>
          <w:sz w:val="18"/>
        </w:rPr>
        <w:t>ahora</w:t>
      </w:r>
    </w:p>
    <w:p>
      <w:pPr>
        <w:spacing w:line="249" w:lineRule="auto" w:before="1"/>
        <w:ind w:left="2857" w:right="1835" w:firstLine="0"/>
        <w:jc w:val="both"/>
        <w:rPr>
          <w:rFonts w:ascii="Arial" w:hAnsi="Arial"/>
          <w:i/>
          <w:sz w:val="18"/>
        </w:rPr>
      </w:pPr>
      <w:r>
        <w:rPr>
          <w:rFonts w:ascii="Arial" w:hAnsi="Arial"/>
          <w:i/>
          <w:color w:val="231F20"/>
          <w:w w:val="105"/>
          <w:sz w:val="18"/>
        </w:rPr>
        <w:t>¡que pasen todos! Bueno, cuando dijeron eso, hasta los que estaban </w:t>
      </w:r>
      <w:r>
        <w:rPr>
          <w:rFonts w:ascii="Arial" w:hAnsi="Arial"/>
          <w:i/>
          <w:color w:val="231F20"/>
          <w:w w:val="105"/>
          <w:sz w:val="18"/>
        </w:rPr>
        <w:t>vendiendo</w:t>
      </w:r>
      <w:r>
        <w:rPr>
          <w:rFonts w:ascii="Arial" w:hAnsi="Arial"/>
          <w:i/>
          <w:color w:val="231F20"/>
          <w:spacing w:val="-9"/>
          <w:w w:val="105"/>
          <w:sz w:val="18"/>
        </w:rPr>
        <w:t> </w:t>
      </w:r>
      <w:r>
        <w:rPr>
          <w:rFonts w:ascii="Arial" w:hAnsi="Arial"/>
          <w:i/>
          <w:color w:val="231F20"/>
          <w:w w:val="105"/>
          <w:sz w:val="18"/>
        </w:rPr>
        <w:t>frutas,</w:t>
      </w:r>
      <w:r>
        <w:rPr>
          <w:rFonts w:ascii="Arial" w:hAnsi="Arial"/>
          <w:i/>
          <w:color w:val="231F20"/>
          <w:spacing w:val="-13"/>
          <w:w w:val="105"/>
          <w:sz w:val="18"/>
        </w:rPr>
        <w:t> </w:t>
      </w:r>
      <w:r>
        <w:rPr>
          <w:rFonts w:ascii="Arial" w:hAnsi="Arial"/>
          <w:i/>
          <w:color w:val="231F20"/>
          <w:w w:val="105"/>
          <w:sz w:val="18"/>
        </w:rPr>
        <w:t>dulces,</w:t>
      </w:r>
      <w:r>
        <w:rPr>
          <w:rFonts w:ascii="Arial" w:hAnsi="Arial"/>
          <w:i/>
          <w:color w:val="231F20"/>
          <w:spacing w:val="-13"/>
          <w:w w:val="105"/>
          <w:sz w:val="18"/>
        </w:rPr>
        <w:t> </w:t>
      </w:r>
      <w:r>
        <w:rPr>
          <w:rFonts w:ascii="Arial" w:hAnsi="Arial"/>
          <w:i/>
          <w:color w:val="231F20"/>
          <w:w w:val="105"/>
          <w:sz w:val="18"/>
        </w:rPr>
        <w:t>y</w:t>
      </w:r>
      <w:r>
        <w:rPr>
          <w:rFonts w:ascii="Arial" w:hAnsi="Arial"/>
          <w:i/>
          <w:color w:val="231F20"/>
          <w:spacing w:val="-9"/>
          <w:w w:val="105"/>
          <w:sz w:val="18"/>
        </w:rPr>
        <w:t> </w:t>
      </w:r>
      <w:r>
        <w:rPr>
          <w:rFonts w:ascii="Arial" w:hAnsi="Arial"/>
          <w:i/>
          <w:color w:val="231F20"/>
          <w:w w:val="105"/>
          <w:sz w:val="18"/>
        </w:rPr>
        <w:t>todo</w:t>
      </w:r>
      <w:r>
        <w:rPr>
          <w:rFonts w:ascii="Arial" w:hAnsi="Arial"/>
          <w:i/>
          <w:color w:val="231F20"/>
          <w:spacing w:val="-9"/>
          <w:w w:val="105"/>
          <w:sz w:val="18"/>
        </w:rPr>
        <w:t> </w:t>
      </w:r>
      <w:r>
        <w:rPr>
          <w:rFonts w:ascii="Arial" w:hAnsi="Arial"/>
          <w:i/>
          <w:color w:val="231F20"/>
          <w:w w:val="105"/>
          <w:sz w:val="18"/>
        </w:rPr>
        <w:t>lo</w:t>
      </w:r>
      <w:r>
        <w:rPr>
          <w:rFonts w:ascii="Arial" w:hAnsi="Arial"/>
          <w:i/>
          <w:color w:val="231F20"/>
          <w:spacing w:val="-9"/>
          <w:w w:val="105"/>
          <w:sz w:val="18"/>
        </w:rPr>
        <w:t> </w:t>
      </w:r>
      <w:r>
        <w:rPr>
          <w:rFonts w:ascii="Arial" w:hAnsi="Arial"/>
          <w:i/>
          <w:color w:val="231F20"/>
          <w:w w:val="105"/>
          <w:sz w:val="18"/>
        </w:rPr>
        <w:t>que</w:t>
      </w:r>
      <w:r>
        <w:rPr>
          <w:rFonts w:ascii="Arial" w:hAnsi="Arial"/>
          <w:i/>
          <w:color w:val="231F20"/>
          <w:spacing w:val="-9"/>
          <w:w w:val="105"/>
          <w:sz w:val="18"/>
        </w:rPr>
        <w:t> </w:t>
      </w:r>
      <w:r>
        <w:rPr>
          <w:rFonts w:ascii="Arial" w:hAnsi="Arial"/>
          <w:i/>
          <w:color w:val="231F20"/>
          <w:w w:val="105"/>
          <w:sz w:val="18"/>
        </w:rPr>
        <w:t>vendían</w:t>
      </w:r>
      <w:r>
        <w:rPr>
          <w:rFonts w:ascii="Arial" w:hAnsi="Arial"/>
          <w:i/>
          <w:color w:val="231F20"/>
          <w:spacing w:val="-9"/>
          <w:w w:val="105"/>
          <w:sz w:val="18"/>
        </w:rPr>
        <w:t> </w:t>
      </w:r>
      <w:r>
        <w:rPr>
          <w:rFonts w:ascii="Arial" w:hAnsi="Arial"/>
          <w:i/>
          <w:color w:val="231F20"/>
          <w:w w:val="105"/>
          <w:sz w:val="18"/>
        </w:rPr>
        <w:t>por</w:t>
      </w:r>
      <w:r>
        <w:rPr>
          <w:rFonts w:ascii="Arial" w:hAnsi="Arial"/>
          <w:i/>
          <w:color w:val="231F20"/>
          <w:spacing w:val="-9"/>
          <w:w w:val="105"/>
          <w:sz w:val="18"/>
        </w:rPr>
        <w:t> </w:t>
      </w:r>
      <w:r>
        <w:rPr>
          <w:rFonts w:ascii="Arial" w:hAnsi="Arial"/>
          <w:i/>
          <w:color w:val="231F20"/>
          <w:w w:val="105"/>
          <w:sz w:val="18"/>
        </w:rPr>
        <w:t>ahí,</w:t>
      </w:r>
      <w:r>
        <w:rPr>
          <w:rFonts w:ascii="Arial" w:hAnsi="Arial"/>
          <w:i/>
          <w:color w:val="231F20"/>
          <w:spacing w:val="-13"/>
          <w:w w:val="105"/>
          <w:sz w:val="18"/>
        </w:rPr>
        <w:t> </w:t>
      </w:r>
      <w:r>
        <w:rPr>
          <w:rFonts w:ascii="Arial" w:hAnsi="Arial"/>
          <w:i/>
          <w:color w:val="231F20"/>
          <w:w w:val="105"/>
          <w:sz w:val="18"/>
        </w:rPr>
        <w:t>corrieron</w:t>
      </w:r>
      <w:r>
        <w:rPr>
          <w:rFonts w:ascii="Arial" w:hAnsi="Arial"/>
          <w:i/>
          <w:color w:val="231F20"/>
          <w:spacing w:val="-9"/>
          <w:w w:val="105"/>
          <w:sz w:val="18"/>
        </w:rPr>
        <w:t> </w:t>
      </w:r>
      <w:r>
        <w:rPr>
          <w:rFonts w:ascii="Arial" w:hAnsi="Arial"/>
          <w:i/>
          <w:color w:val="231F20"/>
          <w:w w:val="105"/>
          <w:sz w:val="18"/>
        </w:rPr>
        <w:t>para enlistarse</w:t>
      </w:r>
      <w:r>
        <w:rPr>
          <w:rFonts w:ascii="Arial" w:hAnsi="Arial"/>
          <w:i/>
          <w:color w:val="231F20"/>
          <w:spacing w:val="-16"/>
          <w:w w:val="105"/>
          <w:sz w:val="18"/>
        </w:rPr>
        <w:t> </w:t>
      </w:r>
      <w:r>
        <w:rPr>
          <w:rFonts w:ascii="Arial" w:hAnsi="Arial"/>
          <w:i/>
          <w:color w:val="231F20"/>
          <w:w w:val="105"/>
          <w:sz w:val="18"/>
        </w:rPr>
        <w:t>y</w:t>
      </w:r>
      <w:r>
        <w:rPr>
          <w:rFonts w:ascii="Arial" w:hAnsi="Arial"/>
          <w:i/>
          <w:color w:val="231F20"/>
          <w:spacing w:val="-16"/>
          <w:w w:val="105"/>
          <w:sz w:val="18"/>
        </w:rPr>
        <w:t> </w:t>
      </w:r>
      <w:r>
        <w:rPr>
          <w:rFonts w:ascii="Arial" w:hAnsi="Arial"/>
          <w:i/>
          <w:color w:val="231F20"/>
          <w:w w:val="105"/>
          <w:sz w:val="18"/>
        </w:rPr>
        <w:t>dejaron</w:t>
      </w:r>
      <w:r>
        <w:rPr>
          <w:rFonts w:ascii="Arial" w:hAnsi="Arial"/>
          <w:i/>
          <w:color w:val="231F20"/>
          <w:spacing w:val="-16"/>
          <w:w w:val="105"/>
          <w:sz w:val="18"/>
        </w:rPr>
        <w:t> </w:t>
      </w:r>
      <w:r>
        <w:rPr>
          <w:rFonts w:ascii="Arial" w:hAnsi="Arial"/>
          <w:i/>
          <w:color w:val="231F20"/>
          <w:w w:val="105"/>
          <w:sz w:val="18"/>
        </w:rPr>
        <w:t>todo</w:t>
      </w:r>
      <w:r>
        <w:rPr>
          <w:rFonts w:ascii="Arial" w:hAnsi="Arial"/>
          <w:i/>
          <w:color w:val="231F20"/>
          <w:spacing w:val="-16"/>
          <w:w w:val="105"/>
          <w:sz w:val="18"/>
        </w:rPr>
        <w:t> </w:t>
      </w:r>
      <w:r>
        <w:rPr>
          <w:rFonts w:ascii="Arial" w:hAnsi="Arial"/>
          <w:i/>
          <w:color w:val="231F20"/>
          <w:w w:val="105"/>
          <w:sz w:val="18"/>
        </w:rPr>
        <w:t>botado.</w:t>
      </w:r>
    </w:p>
    <w:p>
      <w:pPr>
        <w:spacing w:line="249" w:lineRule="auto" w:before="114"/>
        <w:ind w:left="2857" w:right="1829" w:firstLine="0"/>
        <w:jc w:val="both"/>
        <w:rPr>
          <w:rFonts w:ascii="Arial" w:hAnsi="Arial"/>
          <w:i/>
          <w:sz w:val="18"/>
        </w:rPr>
      </w:pPr>
      <w:r>
        <w:rPr>
          <w:rFonts w:ascii="Arial" w:hAnsi="Arial"/>
          <w:i/>
          <w:color w:val="231F20"/>
          <w:sz w:val="18"/>
        </w:rPr>
        <w:t>En</w:t>
      </w:r>
      <w:r>
        <w:rPr>
          <w:rFonts w:ascii="Arial" w:hAnsi="Arial"/>
          <w:i/>
          <w:color w:val="231F20"/>
          <w:spacing w:val="-4"/>
          <w:sz w:val="18"/>
        </w:rPr>
        <w:t> </w:t>
      </w:r>
      <w:r>
        <w:rPr>
          <w:rFonts w:ascii="Arial" w:hAnsi="Arial"/>
          <w:i/>
          <w:color w:val="231F20"/>
          <w:sz w:val="18"/>
        </w:rPr>
        <w:t>esa</w:t>
      </w:r>
      <w:r>
        <w:rPr>
          <w:rFonts w:ascii="Arial" w:hAnsi="Arial"/>
          <w:i/>
          <w:color w:val="231F20"/>
          <w:spacing w:val="-4"/>
          <w:sz w:val="18"/>
        </w:rPr>
        <w:t> </w:t>
      </w:r>
      <w:r>
        <w:rPr>
          <w:rFonts w:ascii="Arial" w:hAnsi="Arial"/>
          <w:i/>
          <w:color w:val="231F20"/>
          <w:sz w:val="18"/>
        </w:rPr>
        <w:t>época</w:t>
      </w:r>
      <w:r>
        <w:rPr>
          <w:rFonts w:ascii="Arial" w:hAnsi="Arial"/>
          <w:i/>
          <w:color w:val="231F20"/>
          <w:spacing w:val="-4"/>
          <w:sz w:val="18"/>
        </w:rPr>
        <w:t> </w:t>
      </w:r>
      <w:r>
        <w:rPr>
          <w:rFonts w:ascii="Arial" w:hAnsi="Arial"/>
          <w:i/>
          <w:color w:val="231F20"/>
          <w:sz w:val="18"/>
        </w:rPr>
        <w:t>unos</w:t>
      </w:r>
      <w:r>
        <w:rPr>
          <w:rFonts w:ascii="Arial" w:hAnsi="Arial"/>
          <w:i/>
          <w:color w:val="231F20"/>
          <w:spacing w:val="-4"/>
          <w:sz w:val="18"/>
        </w:rPr>
        <w:t> </w:t>
      </w:r>
      <w:r>
        <w:rPr>
          <w:rFonts w:ascii="Arial" w:hAnsi="Arial"/>
          <w:i/>
          <w:color w:val="231F20"/>
          <w:sz w:val="18"/>
        </w:rPr>
        <w:t>sufrían</w:t>
      </w:r>
      <w:r>
        <w:rPr>
          <w:rFonts w:ascii="Arial" w:hAnsi="Arial"/>
          <w:i/>
          <w:color w:val="231F20"/>
          <w:spacing w:val="-4"/>
          <w:sz w:val="18"/>
        </w:rPr>
        <w:t> </w:t>
      </w:r>
      <w:r>
        <w:rPr>
          <w:rFonts w:ascii="Arial" w:hAnsi="Arial"/>
          <w:i/>
          <w:color w:val="231F20"/>
          <w:sz w:val="18"/>
        </w:rPr>
        <w:t>más</w:t>
      </w:r>
      <w:r>
        <w:rPr>
          <w:rFonts w:ascii="Arial" w:hAnsi="Arial"/>
          <w:i/>
          <w:color w:val="231F20"/>
          <w:spacing w:val="-4"/>
          <w:sz w:val="18"/>
        </w:rPr>
        <w:t> </w:t>
      </w:r>
      <w:r>
        <w:rPr>
          <w:rFonts w:ascii="Arial" w:hAnsi="Arial"/>
          <w:i/>
          <w:color w:val="231F20"/>
          <w:sz w:val="18"/>
        </w:rPr>
        <w:t>que</w:t>
      </w:r>
      <w:r>
        <w:rPr>
          <w:rFonts w:ascii="Arial" w:hAnsi="Arial"/>
          <w:i/>
          <w:color w:val="231F20"/>
          <w:spacing w:val="-4"/>
          <w:sz w:val="18"/>
        </w:rPr>
        <w:t> </w:t>
      </w:r>
      <w:r>
        <w:rPr>
          <w:rFonts w:ascii="Arial" w:hAnsi="Arial"/>
          <w:i/>
          <w:color w:val="231F20"/>
          <w:sz w:val="18"/>
        </w:rPr>
        <w:t>otros</w:t>
      </w:r>
      <w:r>
        <w:rPr>
          <w:rFonts w:ascii="Arial" w:hAnsi="Arial"/>
          <w:i/>
          <w:color w:val="231F20"/>
          <w:spacing w:val="-4"/>
          <w:sz w:val="18"/>
        </w:rPr>
        <w:t> </w:t>
      </w:r>
      <w:r>
        <w:rPr>
          <w:rFonts w:ascii="Arial" w:hAnsi="Arial"/>
          <w:i/>
          <w:color w:val="231F20"/>
          <w:sz w:val="18"/>
        </w:rPr>
        <w:t>y</w:t>
      </w:r>
      <w:r>
        <w:rPr>
          <w:rFonts w:ascii="Arial" w:hAnsi="Arial"/>
          <w:i/>
          <w:color w:val="231F20"/>
          <w:spacing w:val="-4"/>
          <w:sz w:val="18"/>
        </w:rPr>
        <w:t> </w:t>
      </w:r>
      <w:r>
        <w:rPr>
          <w:rFonts w:ascii="Arial" w:hAnsi="Arial"/>
          <w:i/>
          <w:color w:val="231F20"/>
          <w:sz w:val="18"/>
        </w:rPr>
        <w:t>muchos</w:t>
      </w:r>
      <w:r>
        <w:rPr>
          <w:rFonts w:ascii="Arial" w:hAnsi="Arial"/>
          <w:i/>
          <w:color w:val="231F20"/>
          <w:spacing w:val="-4"/>
          <w:sz w:val="18"/>
        </w:rPr>
        <w:t> </w:t>
      </w:r>
      <w:r>
        <w:rPr>
          <w:rFonts w:ascii="Arial" w:hAnsi="Arial"/>
          <w:i/>
          <w:color w:val="231F20"/>
          <w:sz w:val="18"/>
        </w:rPr>
        <w:t>no</w:t>
      </w:r>
      <w:r>
        <w:rPr>
          <w:rFonts w:ascii="Arial" w:hAnsi="Arial"/>
          <w:i/>
          <w:color w:val="231F20"/>
          <w:spacing w:val="-4"/>
          <w:sz w:val="18"/>
        </w:rPr>
        <w:t> </w:t>
      </w:r>
      <w:r>
        <w:rPr>
          <w:rFonts w:ascii="Arial" w:hAnsi="Arial"/>
          <w:i/>
          <w:color w:val="231F20"/>
          <w:sz w:val="18"/>
        </w:rPr>
        <w:t>regresaron.</w:t>
      </w:r>
      <w:r>
        <w:rPr>
          <w:rFonts w:ascii="Arial" w:hAnsi="Arial"/>
          <w:i/>
          <w:color w:val="231F20"/>
          <w:spacing w:val="-9"/>
          <w:sz w:val="18"/>
        </w:rPr>
        <w:t> </w:t>
      </w:r>
      <w:r>
        <w:rPr>
          <w:rFonts w:ascii="Arial" w:hAnsi="Arial"/>
          <w:i/>
          <w:color w:val="231F20"/>
          <w:sz w:val="18"/>
        </w:rPr>
        <w:t>Con- </w:t>
      </w:r>
      <w:r>
        <w:rPr>
          <w:rFonts w:ascii="Arial" w:hAnsi="Arial"/>
          <w:i/>
          <w:color w:val="231F20"/>
          <w:sz w:val="18"/>
        </w:rPr>
        <w:t>taban que de ese tren que iba a la frontera mucha gente se aventaba, porque corrían el rumor de que no los llevaban a trabajar al campo, sino que los llevaban a la guerra; y asustados, algunos preferían aventarse del</w:t>
      </w:r>
      <w:r>
        <w:rPr>
          <w:rFonts w:ascii="Arial" w:hAnsi="Arial"/>
          <w:i/>
          <w:color w:val="231F20"/>
          <w:spacing w:val="20"/>
          <w:sz w:val="18"/>
        </w:rPr>
        <w:t> </w:t>
      </w:r>
      <w:r>
        <w:rPr>
          <w:rFonts w:ascii="Arial" w:hAnsi="Arial"/>
          <w:i/>
          <w:color w:val="231F20"/>
          <w:sz w:val="18"/>
        </w:rPr>
        <w:t>tren</w:t>
      </w:r>
      <w:r>
        <w:rPr>
          <w:rFonts w:ascii="Arial" w:hAnsi="Arial"/>
          <w:i/>
          <w:color w:val="231F20"/>
          <w:spacing w:val="20"/>
          <w:sz w:val="18"/>
        </w:rPr>
        <w:t> </w:t>
      </w:r>
      <w:r>
        <w:rPr>
          <w:rFonts w:ascii="Arial" w:hAnsi="Arial"/>
          <w:i/>
          <w:color w:val="231F20"/>
          <w:sz w:val="18"/>
        </w:rPr>
        <w:t>en</w:t>
      </w:r>
      <w:r>
        <w:rPr>
          <w:rFonts w:ascii="Arial" w:hAnsi="Arial"/>
          <w:i/>
          <w:color w:val="231F20"/>
          <w:spacing w:val="20"/>
          <w:sz w:val="18"/>
        </w:rPr>
        <w:t> </w:t>
      </w:r>
      <w:r>
        <w:rPr>
          <w:rFonts w:ascii="Arial" w:hAnsi="Arial"/>
          <w:i/>
          <w:color w:val="231F20"/>
          <w:sz w:val="18"/>
        </w:rPr>
        <w:t>movimiento</w:t>
      </w:r>
      <w:r>
        <w:rPr>
          <w:rFonts w:ascii="Arial" w:hAnsi="Arial"/>
          <w:i/>
          <w:color w:val="231F20"/>
          <w:spacing w:val="20"/>
          <w:sz w:val="18"/>
        </w:rPr>
        <w:t> </w:t>
      </w:r>
      <w:r>
        <w:rPr>
          <w:rFonts w:ascii="Arial" w:hAnsi="Arial"/>
          <w:i/>
          <w:color w:val="231F20"/>
          <w:sz w:val="18"/>
        </w:rPr>
        <w:t>que</w:t>
      </w:r>
      <w:r>
        <w:rPr>
          <w:rFonts w:ascii="Arial" w:hAnsi="Arial"/>
          <w:i/>
          <w:color w:val="231F20"/>
          <w:spacing w:val="20"/>
          <w:sz w:val="18"/>
        </w:rPr>
        <w:t> </w:t>
      </w:r>
      <w:r>
        <w:rPr>
          <w:rFonts w:ascii="Arial" w:hAnsi="Arial"/>
          <w:i/>
          <w:color w:val="231F20"/>
          <w:sz w:val="18"/>
        </w:rPr>
        <w:t>seguir</w:t>
      </w:r>
      <w:r>
        <w:rPr>
          <w:rFonts w:ascii="Arial" w:hAnsi="Arial"/>
          <w:i/>
          <w:color w:val="231F20"/>
          <w:spacing w:val="20"/>
          <w:sz w:val="18"/>
        </w:rPr>
        <w:t> </w:t>
      </w:r>
      <w:r>
        <w:rPr>
          <w:rFonts w:ascii="Arial" w:hAnsi="Arial"/>
          <w:i/>
          <w:color w:val="231F20"/>
          <w:sz w:val="18"/>
        </w:rPr>
        <w:t>para</w:t>
      </w:r>
      <w:r>
        <w:rPr>
          <w:rFonts w:ascii="Arial" w:hAnsi="Arial"/>
          <w:i/>
          <w:color w:val="231F20"/>
          <w:spacing w:val="20"/>
          <w:sz w:val="18"/>
        </w:rPr>
        <w:t> </w:t>
      </w:r>
      <w:r>
        <w:rPr>
          <w:rFonts w:ascii="Arial" w:hAnsi="Arial"/>
          <w:i/>
          <w:color w:val="231F20"/>
          <w:sz w:val="18"/>
        </w:rPr>
        <w:t>averiguar</w:t>
      </w:r>
      <w:r>
        <w:rPr>
          <w:rFonts w:ascii="Arial" w:hAnsi="Arial"/>
          <w:i/>
          <w:color w:val="231F20"/>
          <w:spacing w:val="20"/>
          <w:sz w:val="18"/>
        </w:rPr>
        <w:t> </w:t>
      </w:r>
      <w:r>
        <w:rPr>
          <w:rFonts w:ascii="Arial" w:hAnsi="Arial"/>
          <w:i/>
          <w:color w:val="231F20"/>
          <w:sz w:val="18"/>
        </w:rPr>
        <w:t>a</w:t>
      </w:r>
      <w:r>
        <w:rPr>
          <w:rFonts w:ascii="Arial" w:hAnsi="Arial"/>
          <w:i/>
          <w:color w:val="231F20"/>
          <w:spacing w:val="20"/>
          <w:sz w:val="18"/>
        </w:rPr>
        <w:t> </w:t>
      </w:r>
      <w:r>
        <w:rPr>
          <w:rFonts w:ascii="Arial" w:hAnsi="Arial"/>
          <w:i/>
          <w:color w:val="231F20"/>
          <w:sz w:val="18"/>
        </w:rPr>
        <w:t>dónde</w:t>
      </w:r>
      <w:r>
        <w:rPr>
          <w:rFonts w:ascii="Arial" w:hAnsi="Arial"/>
          <w:i/>
          <w:color w:val="231F20"/>
          <w:spacing w:val="20"/>
          <w:sz w:val="18"/>
        </w:rPr>
        <w:t> </w:t>
      </w:r>
      <w:r>
        <w:rPr>
          <w:rFonts w:ascii="Arial" w:hAnsi="Arial"/>
          <w:i/>
          <w:color w:val="231F20"/>
          <w:sz w:val="18"/>
        </w:rPr>
        <w:t>iba</w:t>
      </w:r>
      <w:r>
        <w:rPr>
          <w:rFonts w:ascii="Arial" w:hAnsi="Arial"/>
          <w:i/>
          <w:color w:val="231F20"/>
          <w:spacing w:val="20"/>
          <w:sz w:val="18"/>
        </w:rPr>
        <w:t> </w:t>
      </w:r>
      <w:r>
        <w:rPr>
          <w:rFonts w:ascii="Arial" w:hAnsi="Arial"/>
          <w:i/>
          <w:color w:val="231F20"/>
          <w:sz w:val="18"/>
        </w:rPr>
        <w:t>a</w:t>
      </w:r>
      <w:r>
        <w:rPr>
          <w:rFonts w:ascii="Arial" w:hAnsi="Arial"/>
          <w:i/>
          <w:color w:val="231F20"/>
          <w:spacing w:val="20"/>
          <w:sz w:val="18"/>
        </w:rPr>
        <w:t> </w:t>
      </w:r>
      <w:r>
        <w:rPr>
          <w:rFonts w:ascii="Arial" w:hAnsi="Arial"/>
          <w:i/>
          <w:color w:val="231F20"/>
          <w:sz w:val="18"/>
        </w:rPr>
        <w:t>parar</w:t>
      </w:r>
    </w:p>
    <w:p>
      <w:pPr>
        <w:pStyle w:val="BodyText"/>
        <w:rPr>
          <w:rFonts w:ascii="Arial"/>
          <w:i/>
          <w:sz w:val="20"/>
        </w:rPr>
      </w:pPr>
    </w:p>
    <w:p>
      <w:pPr>
        <w:pStyle w:val="BodyText"/>
        <w:rPr>
          <w:rFonts w:ascii="Arial"/>
          <w:i/>
          <w:sz w:val="20"/>
        </w:rPr>
      </w:pPr>
    </w:p>
    <w:p>
      <w:pPr>
        <w:pStyle w:val="BodyText"/>
        <w:spacing w:before="3"/>
        <w:rPr>
          <w:rFonts w:ascii="Arial"/>
          <w:i/>
          <w:sz w:val="20"/>
        </w:rPr>
      </w:pPr>
    </w:p>
    <w:p>
      <w:pPr>
        <w:tabs>
          <w:tab w:pos="2937" w:val="left" w:leader="none"/>
        </w:tabs>
        <w:spacing w:before="0"/>
        <w:ind w:left="1832" w:right="0" w:firstLine="0"/>
        <w:jc w:val="left"/>
        <w:rPr>
          <w:rFonts w:ascii="Calibri"/>
          <w:sz w:val="8"/>
        </w:rPr>
      </w:pPr>
      <w:r>
        <w:rPr/>
        <w:pict>
          <v:line style="position:absolute;mso-position-horizontal-relative:page;mso-position-vertical-relative:paragraph;z-index:-445144" from="131.551193pt,.203715pt" to="131.551193pt,36.006114pt" stroked="true" strokeweight=".35pt" strokecolor="#231f20">
            <w10:wrap type="none"/>
          </v:line>
        </w:pict>
      </w:r>
      <w:r>
        <w:rPr/>
        <w:pict>
          <v:line style="position:absolute;mso-position-horizontal-relative:page;mso-position-vertical-relative:paragraph;z-index:-445072" from="15pt,36.005917pt" to="0pt,36.005917pt" stroked="true" strokeweight=".25pt" strokecolor="#000000">
            <w10:wrap type="none"/>
          </v:line>
        </w:pict>
      </w:r>
      <w:r>
        <w:rPr/>
        <w:pict>
          <v:line style="position:absolute;mso-position-horizontal-relative:page;mso-position-vertical-relative:paragraph;z-index:45136" from="508.890015pt,36.005917pt" to="523.890015pt,36.005917pt" stroked="true" strokeweight=".25pt" strokecolor="#000000">
            <w10:wrap type="none"/>
          </v:line>
        </w:pict>
      </w:r>
      <w:r>
        <w:rPr>
          <w:rFonts w:ascii="Arial"/>
          <w:color w:val="414042"/>
          <w:position w:val="-5"/>
          <w:sz w:val="20"/>
        </w:rPr>
        <w:t>386</w:t>
        <w:tab/>
      </w:r>
      <w:r>
        <w:rPr>
          <w:rFonts w:ascii="Calibri"/>
          <w:color w:val="6D6E71"/>
          <w:sz w:val="15"/>
        </w:rPr>
        <w:t>Alejandro  Zarur Osorio</w:t>
      </w:r>
      <w:r>
        <w:rPr>
          <w:rFonts w:ascii="Calibri"/>
          <w:color w:val="6D6E71"/>
          <w:position w:val="5"/>
          <w:sz w:val="8"/>
        </w:rPr>
        <w:t>1</w:t>
      </w:r>
    </w:p>
    <w:p>
      <w:pPr>
        <w:spacing w:after="0"/>
        <w:jc w:val="left"/>
        <w:rPr>
          <w:rFonts w:ascii="Calibri"/>
          <w:sz w:val="8"/>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2023" w:right="0" w:firstLine="0"/>
        <w:jc w:val="left"/>
        <w:rPr>
          <w:rFonts w:ascii="Arial"/>
          <w:sz w:val="20"/>
        </w:rPr>
      </w:pPr>
      <w:r>
        <w:rPr/>
        <w:pict>
          <v:line style="position:absolute;mso-position-horizontal-relative:page;mso-position-vertical-relative:paragraph;z-index:-445024" from="405.061005pt,-18.554295pt" to="405.061005pt,16.311579pt" stroked="true" strokeweight=".35pt" strokecolor="#231f20">
            <w10:wrap type="none"/>
          </v:line>
        </w:pict>
      </w:r>
      <w:r>
        <w:rPr/>
        <w:pict>
          <v:line style="position:absolute;mso-position-horizontal-relative:page;mso-position-vertical-relative:paragraph;z-index:45184" from="15pt,-18.554522pt" to="0pt,-18.554522pt" stroked="true" strokeweight=".25pt" strokecolor="#000000">
            <w10:wrap type="none"/>
          </v:line>
        </w:pict>
      </w:r>
      <w:r>
        <w:rPr/>
        <w:pict>
          <v:line style="position:absolute;mso-position-horizontal-relative:page;mso-position-vertical-relative:paragraph;z-index:45208" from="508.890015pt,-18.554522pt" to="523.890015pt,-18.554522pt" stroked="true" strokeweight=".25pt" strokecolor="#000000">
            <w10:wrap type="none"/>
          </v:line>
        </w:pict>
      </w:r>
      <w:r>
        <w:rPr>
          <w:rFonts w:ascii="Lucida Sans Unicode"/>
          <w:color w:val="6D6E71"/>
          <w:sz w:val="14"/>
        </w:rPr>
        <w:t>LO</w:t>
      </w:r>
      <w:r>
        <w:rPr>
          <w:rFonts w:ascii="Lucida Sans Unicode"/>
          <w:color w:val="6D6E71"/>
          <w:spacing w:val="-29"/>
          <w:sz w:val="14"/>
        </w:rPr>
        <w:t> </w:t>
      </w:r>
      <w:r>
        <w:rPr>
          <w:rFonts w:ascii="Lucida Sans Unicode"/>
          <w:color w:val="6D6E71"/>
          <w:sz w:val="14"/>
        </w:rPr>
        <w:t>QUE</w:t>
      </w:r>
      <w:r>
        <w:rPr>
          <w:rFonts w:ascii="Lucida Sans Unicode"/>
          <w:color w:val="6D6E71"/>
          <w:spacing w:val="-29"/>
          <w:sz w:val="14"/>
        </w:rPr>
        <w:t> </w:t>
      </w:r>
      <w:r>
        <w:rPr>
          <w:rFonts w:ascii="Lucida Sans Unicode"/>
          <w:color w:val="6D6E71"/>
          <w:sz w:val="14"/>
        </w:rPr>
        <w:t>NO</w:t>
      </w:r>
      <w:r>
        <w:rPr>
          <w:rFonts w:ascii="Lucida Sans Unicode"/>
          <w:color w:val="6D6E71"/>
          <w:spacing w:val="-29"/>
          <w:sz w:val="14"/>
        </w:rPr>
        <w:t> </w:t>
      </w:r>
      <w:r>
        <w:rPr>
          <w:rFonts w:ascii="Lucida Sans Unicode"/>
          <w:color w:val="6D6E71"/>
          <w:sz w:val="14"/>
        </w:rPr>
        <w:t>SE</w:t>
      </w:r>
      <w:r>
        <w:rPr>
          <w:rFonts w:ascii="Lucida Sans Unicode"/>
          <w:color w:val="6D6E71"/>
          <w:spacing w:val="-29"/>
          <w:sz w:val="14"/>
        </w:rPr>
        <w:t> </w:t>
      </w:r>
      <w:r>
        <w:rPr>
          <w:rFonts w:ascii="Lucida Sans Unicode"/>
          <w:color w:val="6D6E71"/>
          <w:sz w:val="14"/>
        </w:rPr>
        <w:t>FUE</w:t>
      </w:r>
      <w:r>
        <w:rPr>
          <w:rFonts w:ascii="Lucida Sans Unicode"/>
          <w:color w:val="6D6E71"/>
          <w:spacing w:val="-29"/>
          <w:sz w:val="14"/>
        </w:rPr>
        <w:t> </w:t>
      </w:r>
      <w:r>
        <w:rPr>
          <w:rFonts w:ascii="Lucida Sans Unicode"/>
          <w:color w:val="6D6E71"/>
          <w:sz w:val="14"/>
        </w:rPr>
        <w:t>EN</w:t>
      </w:r>
      <w:r>
        <w:rPr>
          <w:rFonts w:ascii="Lucida Sans Unicode"/>
          <w:color w:val="6D6E71"/>
          <w:spacing w:val="-29"/>
          <w:sz w:val="14"/>
        </w:rPr>
        <w:t> </w:t>
      </w:r>
      <w:r>
        <w:rPr>
          <w:rFonts w:ascii="Lucida Sans Unicode"/>
          <w:color w:val="6D6E71"/>
          <w:sz w:val="14"/>
        </w:rPr>
        <w:t>EL</w:t>
      </w:r>
      <w:r>
        <w:rPr>
          <w:rFonts w:ascii="Lucida Sans Unicode"/>
          <w:color w:val="6D6E71"/>
          <w:spacing w:val="-29"/>
          <w:sz w:val="14"/>
        </w:rPr>
        <w:t> </w:t>
      </w:r>
      <w:r>
        <w:rPr>
          <w:rFonts w:ascii="Lucida Sans Unicode"/>
          <w:color w:val="6D6E71"/>
          <w:sz w:val="14"/>
        </w:rPr>
        <w:t>VELIZ</w:t>
      </w:r>
      <w:r>
        <w:rPr>
          <w:rFonts w:ascii="Lucida Sans Unicode"/>
          <w:color w:val="6D6E71"/>
          <w:spacing w:val="-29"/>
          <w:sz w:val="14"/>
        </w:rPr>
        <w:t> </w:t>
      </w:r>
      <w:r>
        <w:rPr>
          <w:rFonts w:ascii="Lucida Sans Unicode"/>
          <w:color w:val="6D6E71"/>
          <w:sz w:val="14"/>
        </w:rPr>
        <w:t>AZUL.</w:t>
      </w:r>
      <w:r>
        <w:rPr>
          <w:rFonts w:ascii="Lucida Sans Unicode"/>
          <w:color w:val="6D6E71"/>
          <w:spacing w:val="-29"/>
          <w:sz w:val="14"/>
        </w:rPr>
        <w:t> </w:t>
      </w:r>
      <w:r>
        <w:rPr>
          <w:rFonts w:ascii="Lucida Sans Unicode"/>
          <w:color w:val="6D6E71"/>
          <w:sz w:val="14"/>
        </w:rPr>
        <w:t>RELATO</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VIDA</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RAFAEL,</w:t>
      </w:r>
      <w:r>
        <w:rPr>
          <w:rFonts w:ascii="Lucida Sans Unicode"/>
          <w:color w:val="6D6E71"/>
          <w:spacing w:val="-29"/>
          <w:sz w:val="14"/>
        </w:rPr>
        <w:t> </w:t>
      </w:r>
      <w:r>
        <w:rPr>
          <w:rFonts w:ascii="Lucida Sans Unicode"/>
          <w:color w:val="6D6E71"/>
          <w:sz w:val="14"/>
        </w:rPr>
        <w:t>UN</w:t>
      </w:r>
      <w:r>
        <w:rPr>
          <w:rFonts w:ascii="Lucida Sans Unicode"/>
          <w:color w:val="6D6E71"/>
          <w:spacing w:val="-29"/>
          <w:sz w:val="14"/>
        </w:rPr>
        <w:t> </w:t>
      </w:r>
      <w:r>
        <w:rPr>
          <w:rFonts w:ascii="Lucida Sans Unicode"/>
          <w:color w:val="6D6E71"/>
          <w:sz w:val="14"/>
        </w:rPr>
        <w:t>MIGRANTE</w:t>
      </w:r>
      <w:r>
        <w:rPr>
          <w:rFonts w:ascii="Lucida Sans Unicode"/>
          <w:color w:val="6D6E71"/>
          <w:spacing w:val="-29"/>
          <w:sz w:val="14"/>
        </w:rPr>
        <w:t> </w:t>
      </w:r>
      <w:r>
        <w:rPr>
          <w:rFonts w:ascii="Lucida Sans Unicode"/>
          <w:color w:val="6D6E71"/>
          <w:sz w:val="14"/>
        </w:rPr>
        <w:t>TONATIQUENSE</w:t>
      </w:r>
      <w:r>
        <w:rPr>
          <w:rFonts w:ascii="Arial"/>
          <w:color w:val="414042"/>
          <w:position w:val="-3"/>
          <w:sz w:val="20"/>
        </w:rPr>
        <w:tab/>
        <w:t>387</w:t>
      </w:r>
    </w:p>
    <w:p>
      <w:pPr>
        <w:pStyle w:val="BodyText"/>
        <w:rPr>
          <w:rFonts w:ascii="Arial"/>
          <w:sz w:val="18"/>
        </w:rPr>
      </w:pPr>
    </w:p>
    <w:p>
      <w:pPr>
        <w:pStyle w:val="BodyText"/>
        <w:rPr>
          <w:rFonts w:ascii="Arial"/>
          <w:sz w:val="18"/>
        </w:rPr>
      </w:pPr>
    </w:p>
    <w:p>
      <w:pPr>
        <w:pStyle w:val="BodyText"/>
        <w:spacing w:before="2"/>
        <w:rPr>
          <w:rFonts w:ascii="Arial"/>
          <w:sz w:val="19"/>
        </w:rPr>
      </w:pPr>
    </w:p>
    <w:p>
      <w:pPr>
        <w:spacing w:line="249" w:lineRule="auto" w:before="0"/>
        <w:ind w:left="2971" w:right="1717" w:firstLine="0"/>
        <w:jc w:val="both"/>
        <w:rPr>
          <w:rFonts w:ascii="Arial" w:hAnsi="Arial"/>
          <w:i/>
          <w:sz w:val="18"/>
        </w:rPr>
      </w:pPr>
      <w:r>
        <w:rPr>
          <w:rFonts w:ascii="Arial" w:hAnsi="Arial"/>
          <w:i/>
          <w:color w:val="231F20"/>
          <w:sz w:val="18"/>
        </w:rPr>
        <w:t>el tren. </w:t>
      </w:r>
      <w:r>
        <w:rPr>
          <w:rFonts w:ascii="Arial" w:hAnsi="Arial"/>
          <w:i/>
          <w:color w:val="231F20"/>
          <w:spacing w:val="-3"/>
          <w:sz w:val="18"/>
        </w:rPr>
        <w:t>¡Pobre </w:t>
      </w:r>
      <w:r>
        <w:rPr>
          <w:rFonts w:ascii="Arial" w:hAnsi="Arial"/>
          <w:i/>
          <w:color w:val="231F20"/>
          <w:sz w:val="18"/>
        </w:rPr>
        <w:t>gente! Si quedaba viva luego de tirarse del tren ¿qué le </w:t>
      </w:r>
      <w:r>
        <w:rPr>
          <w:rFonts w:ascii="Arial" w:hAnsi="Arial"/>
          <w:i/>
          <w:color w:val="231F20"/>
          <w:sz w:val="18"/>
        </w:rPr>
        <w:t>esperaba en el desierto?, ¿quién los iba a ayudar?, y todo por un rumor que</w:t>
      </w:r>
      <w:r>
        <w:rPr>
          <w:rFonts w:ascii="Arial" w:hAnsi="Arial"/>
          <w:i/>
          <w:color w:val="231F20"/>
          <w:spacing w:val="-5"/>
          <w:sz w:val="18"/>
        </w:rPr>
        <w:t> </w:t>
      </w:r>
      <w:r>
        <w:rPr>
          <w:rFonts w:ascii="Arial" w:hAnsi="Arial"/>
          <w:i/>
          <w:color w:val="231F20"/>
          <w:sz w:val="18"/>
        </w:rPr>
        <w:t>soltaban</w:t>
      </w:r>
      <w:r>
        <w:rPr>
          <w:rFonts w:ascii="Arial" w:hAnsi="Arial"/>
          <w:i/>
          <w:color w:val="231F20"/>
          <w:spacing w:val="-5"/>
          <w:sz w:val="18"/>
        </w:rPr>
        <w:t> </w:t>
      </w:r>
      <w:r>
        <w:rPr>
          <w:rFonts w:ascii="Arial" w:hAnsi="Arial"/>
          <w:i/>
          <w:color w:val="231F20"/>
          <w:sz w:val="18"/>
        </w:rPr>
        <w:t>así</w:t>
      </w:r>
      <w:r>
        <w:rPr>
          <w:rFonts w:ascii="Arial" w:hAnsi="Arial"/>
          <w:i/>
          <w:color w:val="231F20"/>
          <w:spacing w:val="-5"/>
          <w:sz w:val="18"/>
        </w:rPr>
        <w:t> </w:t>
      </w:r>
      <w:r>
        <w:rPr>
          <w:rFonts w:ascii="Arial" w:hAnsi="Arial"/>
          <w:i/>
          <w:color w:val="231F20"/>
          <w:sz w:val="18"/>
        </w:rPr>
        <w:t>nomás.</w:t>
      </w:r>
      <w:r>
        <w:rPr>
          <w:rFonts w:ascii="Arial" w:hAnsi="Arial"/>
          <w:i/>
          <w:color w:val="231F20"/>
          <w:spacing w:val="-12"/>
          <w:sz w:val="18"/>
        </w:rPr>
        <w:t> </w:t>
      </w:r>
      <w:r>
        <w:rPr>
          <w:rFonts w:ascii="Arial" w:hAnsi="Arial"/>
          <w:i/>
          <w:color w:val="231F20"/>
          <w:sz w:val="18"/>
        </w:rPr>
        <w:t>Otros</w:t>
      </w:r>
      <w:r>
        <w:rPr>
          <w:rFonts w:ascii="Arial" w:hAnsi="Arial"/>
          <w:i/>
          <w:color w:val="231F20"/>
          <w:spacing w:val="-5"/>
          <w:sz w:val="18"/>
        </w:rPr>
        <w:t> </w:t>
      </w:r>
      <w:r>
        <w:rPr>
          <w:rFonts w:ascii="Arial" w:hAnsi="Arial"/>
          <w:i/>
          <w:color w:val="231F20"/>
          <w:sz w:val="18"/>
        </w:rPr>
        <w:t>se</w:t>
      </w:r>
      <w:r>
        <w:rPr>
          <w:rFonts w:ascii="Arial" w:hAnsi="Arial"/>
          <w:i/>
          <w:color w:val="231F20"/>
          <w:spacing w:val="-5"/>
          <w:sz w:val="18"/>
        </w:rPr>
        <w:t> </w:t>
      </w:r>
      <w:r>
        <w:rPr>
          <w:rFonts w:ascii="Arial" w:hAnsi="Arial"/>
          <w:i/>
          <w:color w:val="231F20"/>
          <w:sz w:val="18"/>
        </w:rPr>
        <w:t>regresaban</w:t>
      </w:r>
      <w:r>
        <w:rPr>
          <w:rFonts w:ascii="Arial" w:hAnsi="Arial"/>
          <w:i/>
          <w:color w:val="231F20"/>
          <w:spacing w:val="-5"/>
          <w:sz w:val="18"/>
        </w:rPr>
        <w:t> </w:t>
      </w:r>
      <w:r>
        <w:rPr>
          <w:rFonts w:ascii="Arial" w:hAnsi="Arial"/>
          <w:i/>
          <w:color w:val="231F20"/>
          <w:sz w:val="18"/>
        </w:rPr>
        <w:t>a</w:t>
      </w:r>
      <w:r>
        <w:rPr>
          <w:rFonts w:ascii="Arial" w:hAnsi="Arial"/>
          <w:i/>
          <w:color w:val="231F20"/>
          <w:spacing w:val="-5"/>
          <w:sz w:val="18"/>
        </w:rPr>
        <w:t> </w:t>
      </w:r>
      <w:r>
        <w:rPr>
          <w:rFonts w:ascii="Arial" w:hAnsi="Arial"/>
          <w:i/>
          <w:color w:val="231F20"/>
          <w:sz w:val="18"/>
        </w:rPr>
        <w:t>la</w:t>
      </w:r>
      <w:r>
        <w:rPr>
          <w:rFonts w:ascii="Arial" w:hAnsi="Arial"/>
          <w:i/>
          <w:color w:val="231F20"/>
          <w:spacing w:val="-5"/>
          <w:sz w:val="18"/>
        </w:rPr>
        <w:t> </w:t>
      </w:r>
      <w:r>
        <w:rPr>
          <w:rFonts w:ascii="Arial" w:hAnsi="Arial"/>
          <w:i/>
          <w:color w:val="231F20"/>
          <w:sz w:val="18"/>
        </w:rPr>
        <w:t>semana</w:t>
      </w:r>
      <w:r>
        <w:rPr>
          <w:rFonts w:ascii="Arial" w:hAnsi="Arial"/>
          <w:i/>
          <w:color w:val="231F20"/>
          <w:spacing w:val="-5"/>
          <w:sz w:val="18"/>
        </w:rPr>
        <w:t> </w:t>
      </w:r>
      <w:r>
        <w:rPr>
          <w:rFonts w:ascii="Arial" w:hAnsi="Arial"/>
          <w:i/>
          <w:color w:val="231F20"/>
          <w:sz w:val="18"/>
        </w:rPr>
        <w:t>o</w:t>
      </w:r>
      <w:r>
        <w:rPr>
          <w:rFonts w:ascii="Arial" w:hAnsi="Arial"/>
          <w:i/>
          <w:color w:val="231F20"/>
          <w:spacing w:val="-5"/>
          <w:sz w:val="18"/>
        </w:rPr>
        <w:t> </w:t>
      </w:r>
      <w:r>
        <w:rPr>
          <w:rFonts w:ascii="Arial" w:hAnsi="Arial"/>
          <w:i/>
          <w:color w:val="231F20"/>
          <w:sz w:val="18"/>
        </w:rPr>
        <w:t>a</w:t>
      </w:r>
      <w:r>
        <w:rPr>
          <w:rFonts w:ascii="Arial" w:hAnsi="Arial"/>
          <w:i/>
          <w:color w:val="231F20"/>
          <w:spacing w:val="-5"/>
          <w:sz w:val="18"/>
        </w:rPr>
        <w:t> </w:t>
      </w:r>
      <w:r>
        <w:rPr>
          <w:rFonts w:ascii="Arial" w:hAnsi="Arial"/>
          <w:i/>
          <w:color w:val="231F20"/>
          <w:sz w:val="18"/>
        </w:rPr>
        <w:t>los</w:t>
      </w:r>
      <w:r>
        <w:rPr>
          <w:rFonts w:ascii="Arial" w:hAnsi="Arial"/>
          <w:i/>
          <w:color w:val="231F20"/>
          <w:spacing w:val="-5"/>
          <w:sz w:val="18"/>
        </w:rPr>
        <w:t> </w:t>
      </w:r>
      <w:r>
        <w:rPr>
          <w:rFonts w:ascii="Arial" w:hAnsi="Arial"/>
          <w:i/>
          <w:color w:val="231F20"/>
          <w:sz w:val="18"/>
        </w:rPr>
        <w:t>quince días porque había unos maloras que les preguntaban: ¿eres casado? Y si</w:t>
      </w:r>
      <w:r>
        <w:rPr>
          <w:rFonts w:ascii="Arial" w:hAnsi="Arial"/>
          <w:i/>
          <w:color w:val="231F20"/>
          <w:spacing w:val="-11"/>
          <w:sz w:val="18"/>
        </w:rPr>
        <w:t> </w:t>
      </w:r>
      <w:r>
        <w:rPr>
          <w:rFonts w:ascii="Arial" w:hAnsi="Arial"/>
          <w:i/>
          <w:color w:val="231F20"/>
          <w:sz w:val="18"/>
        </w:rPr>
        <w:t>respondían</w:t>
      </w:r>
      <w:r>
        <w:rPr>
          <w:rFonts w:ascii="Arial" w:hAnsi="Arial"/>
          <w:i/>
          <w:color w:val="231F20"/>
          <w:spacing w:val="-11"/>
          <w:sz w:val="18"/>
        </w:rPr>
        <w:t> </w:t>
      </w:r>
      <w:r>
        <w:rPr>
          <w:rFonts w:ascii="Arial" w:hAnsi="Arial"/>
          <w:i/>
          <w:color w:val="231F20"/>
          <w:sz w:val="18"/>
        </w:rPr>
        <w:t>que</w:t>
      </w:r>
      <w:r>
        <w:rPr>
          <w:rFonts w:ascii="Arial" w:hAnsi="Arial"/>
          <w:i/>
          <w:color w:val="231F20"/>
          <w:spacing w:val="-11"/>
          <w:sz w:val="18"/>
        </w:rPr>
        <w:t> </w:t>
      </w:r>
      <w:r>
        <w:rPr>
          <w:rFonts w:ascii="Arial" w:hAnsi="Arial"/>
          <w:i/>
          <w:color w:val="231F20"/>
          <w:sz w:val="18"/>
        </w:rPr>
        <w:t>sí,</w:t>
      </w:r>
      <w:r>
        <w:rPr>
          <w:rFonts w:ascii="Arial" w:hAnsi="Arial"/>
          <w:i/>
          <w:color w:val="231F20"/>
          <w:spacing w:val="-16"/>
          <w:sz w:val="18"/>
        </w:rPr>
        <w:t> </w:t>
      </w:r>
      <w:r>
        <w:rPr>
          <w:rFonts w:ascii="Arial" w:hAnsi="Arial"/>
          <w:i/>
          <w:color w:val="231F20"/>
          <w:sz w:val="18"/>
        </w:rPr>
        <w:t>les</w:t>
      </w:r>
      <w:r>
        <w:rPr>
          <w:rFonts w:ascii="Arial" w:hAnsi="Arial"/>
          <w:i/>
          <w:color w:val="231F20"/>
          <w:spacing w:val="-11"/>
          <w:sz w:val="18"/>
        </w:rPr>
        <w:t> </w:t>
      </w:r>
      <w:r>
        <w:rPr>
          <w:rFonts w:ascii="Arial" w:hAnsi="Arial"/>
          <w:i/>
          <w:color w:val="231F20"/>
          <w:sz w:val="18"/>
        </w:rPr>
        <w:t>decían:</w:t>
      </w:r>
      <w:r>
        <w:rPr>
          <w:rFonts w:ascii="Arial" w:hAnsi="Arial"/>
          <w:i/>
          <w:color w:val="231F20"/>
          <w:spacing w:val="-11"/>
          <w:sz w:val="18"/>
        </w:rPr>
        <w:t> </w:t>
      </w:r>
      <w:r>
        <w:rPr>
          <w:rFonts w:ascii="Arial" w:hAnsi="Arial"/>
          <w:i/>
          <w:color w:val="231F20"/>
          <w:sz w:val="18"/>
        </w:rPr>
        <w:t>¡cómo</w:t>
      </w:r>
      <w:r>
        <w:rPr>
          <w:rFonts w:ascii="Arial" w:hAnsi="Arial"/>
          <w:i/>
          <w:color w:val="231F20"/>
          <w:spacing w:val="-11"/>
          <w:sz w:val="18"/>
        </w:rPr>
        <w:t> </w:t>
      </w:r>
      <w:r>
        <w:rPr>
          <w:rFonts w:ascii="Arial" w:hAnsi="Arial"/>
          <w:i/>
          <w:color w:val="231F20"/>
          <w:sz w:val="18"/>
        </w:rPr>
        <w:t>eres</w:t>
      </w:r>
      <w:r>
        <w:rPr>
          <w:rFonts w:ascii="Arial" w:hAnsi="Arial"/>
          <w:i/>
          <w:color w:val="231F20"/>
          <w:spacing w:val="-11"/>
          <w:sz w:val="18"/>
        </w:rPr>
        <w:t> </w:t>
      </w:r>
      <w:r>
        <w:rPr>
          <w:rFonts w:ascii="Arial" w:hAnsi="Arial"/>
          <w:i/>
          <w:color w:val="231F20"/>
          <w:sz w:val="18"/>
        </w:rPr>
        <w:t>tarugo!</w:t>
      </w:r>
      <w:r>
        <w:rPr>
          <w:rFonts w:ascii="Arial" w:hAnsi="Arial"/>
          <w:i/>
          <w:color w:val="231F20"/>
          <w:spacing w:val="-11"/>
          <w:sz w:val="18"/>
        </w:rPr>
        <w:t> </w:t>
      </w:r>
      <w:r>
        <w:rPr>
          <w:rFonts w:ascii="Arial" w:hAnsi="Arial"/>
          <w:i/>
          <w:color w:val="231F20"/>
          <w:sz w:val="18"/>
        </w:rPr>
        <w:t>¿Dejaste</w:t>
      </w:r>
      <w:r>
        <w:rPr>
          <w:rFonts w:ascii="Arial" w:hAnsi="Arial"/>
          <w:i/>
          <w:color w:val="231F20"/>
          <w:spacing w:val="-11"/>
          <w:sz w:val="18"/>
        </w:rPr>
        <w:t> </w:t>
      </w:r>
      <w:r>
        <w:rPr>
          <w:rFonts w:ascii="Arial" w:hAnsi="Arial"/>
          <w:i/>
          <w:color w:val="231F20"/>
          <w:sz w:val="18"/>
        </w:rPr>
        <w:t>a</w:t>
      </w:r>
      <w:r>
        <w:rPr>
          <w:rFonts w:ascii="Arial" w:hAnsi="Arial"/>
          <w:i/>
          <w:color w:val="231F20"/>
          <w:spacing w:val="-11"/>
          <w:sz w:val="18"/>
        </w:rPr>
        <w:t> </w:t>
      </w:r>
      <w:r>
        <w:rPr>
          <w:rFonts w:ascii="Arial" w:hAnsi="Arial"/>
          <w:i/>
          <w:color w:val="231F20"/>
          <w:sz w:val="18"/>
        </w:rPr>
        <w:t>tu</w:t>
      </w:r>
      <w:r>
        <w:rPr>
          <w:rFonts w:ascii="Arial" w:hAnsi="Arial"/>
          <w:i/>
          <w:color w:val="231F20"/>
          <w:spacing w:val="-11"/>
          <w:sz w:val="18"/>
        </w:rPr>
        <w:t> </w:t>
      </w:r>
      <w:r>
        <w:rPr>
          <w:rFonts w:ascii="Arial" w:hAnsi="Arial"/>
          <w:i/>
          <w:color w:val="231F20"/>
          <w:sz w:val="18"/>
        </w:rPr>
        <w:t>esposa allá?, ¿qué no sabes que cuando tú andas por acá ella se busca otro?   Y había unos que no aguantaban y se regresaban; pero todo por esos canijos. </w:t>
      </w:r>
      <w:r>
        <w:rPr>
          <w:rFonts w:ascii="Arial" w:hAnsi="Arial"/>
          <w:i/>
          <w:color w:val="231F20"/>
          <w:spacing w:val="-3"/>
          <w:sz w:val="18"/>
        </w:rPr>
        <w:t>También </w:t>
      </w:r>
      <w:r>
        <w:rPr>
          <w:rFonts w:ascii="Arial" w:hAnsi="Arial"/>
          <w:i/>
          <w:color w:val="231F20"/>
          <w:sz w:val="18"/>
        </w:rPr>
        <w:t>estaban los que no aguantaban en el trabajo, y es que así como decían lo que te acabo de contar, también decían que el capa- taz siempre nos vigilaba, y que una vez que ya estabas en el surco, si te detenías o te enderezabas te corría luego luego. ¡Y había gente que por el miedo no se enderezaba ni se detenía! </w:t>
      </w:r>
      <w:r>
        <w:rPr>
          <w:rFonts w:ascii="Arial" w:hAnsi="Arial"/>
          <w:i/>
          <w:color w:val="231F20"/>
          <w:spacing w:val="-8"/>
          <w:sz w:val="18"/>
        </w:rPr>
        <w:t>Y, </w:t>
      </w:r>
      <w:r>
        <w:rPr>
          <w:rFonts w:ascii="Arial" w:hAnsi="Arial"/>
          <w:i/>
          <w:color w:val="231F20"/>
          <w:sz w:val="18"/>
        </w:rPr>
        <w:t>claro, no aguantaban. Así como eso, pasaban muchas cosas. No era</w:t>
      </w:r>
      <w:r>
        <w:rPr>
          <w:rFonts w:ascii="Arial" w:hAnsi="Arial"/>
          <w:i/>
          <w:color w:val="231F20"/>
          <w:spacing w:val="-29"/>
          <w:sz w:val="18"/>
        </w:rPr>
        <w:t> </w:t>
      </w:r>
      <w:r>
        <w:rPr>
          <w:rFonts w:ascii="Arial" w:hAnsi="Arial"/>
          <w:i/>
          <w:color w:val="231F20"/>
          <w:sz w:val="18"/>
        </w:rPr>
        <w:t>fácil.</w:t>
      </w:r>
    </w:p>
    <w:p>
      <w:pPr>
        <w:spacing w:line="249" w:lineRule="auto" w:before="114"/>
        <w:ind w:left="2971" w:right="1721" w:firstLine="0"/>
        <w:jc w:val="both"/>
        <w:rPr>
          <w:rFonts w:ascii="Arial" w:hAnsi="Arial"/>
          <w:i/>
          <w:sz w:val="18"/>
        </w:rPr>
      </w:pPr>
      <w:r>
        <w:rPr>
          <w:rFonts w:ascii="Arial" w:hAnsi="Arial"/>
          <w:i/>
          <w:color w:val="231F20"/>
          <w:sz w:val="18"/>
        </w:rPr>
        <w:t>En 1961 llegué hasta Empalme, estuve ahí tres meses y nunca apareció </w:t>
      </w:r>
      <w:r>
        <w:rPr>
          <w:rFonts w:ascii="Arial" w:hAnsi="Arial"/>
          <w:i/>
          <w:color w:val="231F20"/>
          <w:sz w:val="18"/>
        </w:rPr>
        <w:t>mi nombre en las listas, así que me regresé, ya eran los últimos días de mayo. Esa vez íbamos como treinta de aquí de Tonatico y muchos nos regresamos. No teníamos dinero y pasaban y pasaban los días, y noso- tros no salíamos en las listas. Por eso desde ese año y hasta 1984 me quedé aquí trabajando mis  tierras.</w:t>
      </w:r>
    </w:p>
    <w:p>
      <w:pPr>
        <w:spacing w:line="249" w:lineRule="auto" w:before="114"/>
        <w:ind w:left="2971" w:right="1721" w:firstLine="0"/>
        <w:jc w:val="both"/>
        <w:rPr>
          <w:rFonts w:ascii="Arial" w:hAnsi="Arial"/>
          <w:i/>
          <w:sz w:val="18"/>
        </w:rPr>
      </w:pPr>
      <w:r>
        <w:rPr>
          <w:rFonts w:ascii="Arial" w:hAnsi="Arial"/>
          <w:i/>
          <w:color w:val="231F20"/>
          <w:sz w:val="18"/>
        </w:rPr>
        <w:t>Durante este tiempo trabajé en el campo y también me dediqué a ven- </w:t>
      </w:r>
      <w:r>
        <w:rPr>
          <w:rFonts w:ascii="Arial" w:hAnsi="Arial"/>
          <w:i/>
          <w:color w:val="231F20"/>
          <w:sz w:val="18"/>
        </w:rPr>
        <w:t>der zapato y quexquemetl, que lo tejían personas aquí en </w:t>
      </w:r>
      <w:r>
        <w:rPr>
          <w:rFonts w:ascii="Arial" w:hAnsi="Arial"/>
          <w:i/>
          <w:color w:val="231F20"/>
          <w:spacing w:val="-3"/>
          <w:sz w:val="18"/>
        </w:rPr>
        <w:t>Tonatico </w:t>
      </w:r>
      <w:r>
        <w:rPr>
          <w:rFonts w:ascii="Arial" w:hAnsi="Arial"/>
          <w:i/>
          <w:color w:val="231F20"/>
          <w:sz w:val="18"/>
        </w:rPr>
        <w:t>y luego lo llevaba a vender a Chiconcuac, Estado de México.</w:t>
      </w:r>
      <w:r>
        <w:rPr>
          <w:rFonts w:ascii="Arial" w:hAnsi="Arial"/>
          <w:i/>
          <w:color w:val="231F20"/>
          <w:spacing w:val="-35"/>
          <w:sz w:val="18"/>
        </w:rPr>
        <w:t> </w:t>
      </w:r>
      <w:r>
        <w:rPr>
          <w:rFonts w:ascii="Arial" w:hAnsi="Arial"/>
          <w:i/>
          <w:color w:val="231F20"/>
          <w:sz w:val="18"/>
        </w:rPr>
        <w:t>Vendía entre cien y doscientas piezas cada semana. Con la hechura del quexquemetl yo le daba aquí trabajo a mucha gente. Estuve yendo para allá todos los martes como por siete años, entre 1975 y 1982. Los domingos y lunes vendía calzado en las plazas de Ixtapan y de </w:t>
      </w:r>
      <w:r>
        <w:rPr>
          <w:rFonts w:ascii="Arial" w:hAnsi="Arial"/>
          <w:i/>
          <w:color w:val="231F20"/>
          <w:spacing w:val="-3"/>
          <w:sz w:val="18"/>
        </w:rPr>
        <w:t>Tonatico, </w:t>
      </w:r>
      <w:r>
        <w:rPr>
          <w:rFonts w:ascii="Arial" w:hAnsi="Arial"/>
          <w:i/>
          <w:color w:val="231F20"/>
          <w:sz w:val="18"/>
        </w:rPr>
        <w:t>y entre semana aquí</w:t>
      </w:r>
      <w:r>
        <w:rPr>
          <w:rFonts w:ascii="Arial" w:hAnsi="Arial"/>
          <w:i/>
          <w:color w:val="231F20"/>
          <w:spacing w:val="-5"/>
          <w:sz w:val="18"/>
        </w:rPr>
        <w:t> </w:t>
      </w:r>
      <w:r>
        <w:rPr>
          <w:rFonts w:ascii="Arial" w:hAnsi="Arial"/>
          <w:i/>
          <w:color w:val="231F20"/>
          <w:sz w:val="18"/>
        </w:rPr>
        <w:t>en</w:t>
      </w:r>
      <w:r>
        <w:rPr>
          <w:rFonts w:ascii="Arial" w:hAnsi="Arial"/>
          <w:i/>
          <w:color w:val="231F20"/>
          <w:spacing w:val="-5"/>
          <w:sz w:val="18"/>
        </w:rPr>
        <w:t> </w:t>
      </w:r>
      <w:r>
        <w:rPr>
          <w:rFonts w:ascii="Arial" w:hAnsi="Arial"/>
          <w:i/>
          <w:color w:val="231F20"/>
          <w:sz w:val="18"/>
        </w:rPr>
        <w:t>la</w:t>
      </w:r>
      <w:r>
        <w:rPr>
          <w:rFonts w:ascii="Arial" w:hAnsi="Arial"/>
          <w:i/>
          <w:color w:val="231F20"/>
          <w:spacing w:val="-5"/>
          <w:sz w:val="18"/>
        </w:rPr>
        <w:t> </w:t>
      </w:r>
      <w:r>
        <w:rPr>
          <w:rFonts w:ascii="Arial" w:hAnsi="Arial"/>
          <w:i/>
          <w:color w:val="231F20"/>
          <w:sz w:val="18"/>
        </w:rPr>
        <w:t>casa.</w:t>
      </w:r>
      <w:r>
        <w:rPr>
          <w:rFonts w:ascii="Arial" w:hAnsi="Arial"/>
          <w:i/>
          <w:color w:val="231F20"/>
          <w:spacing w:val="-11"/>
          <w:sz w:val="18"/>
        </w:rPr>
        <w:t> </w:t>
      </w:r>
      <w:r>
        <w:rPr>
          <w:rFonts w:ascii="Arial" w:hAnsi="Arial"/>
          <w:i/>
          <w:color w:val="231F20"/>
          <w:sz w:val="18"/>
        </w:rPr>
        <w:t>La</w:t>
      </w:r>
      <w:r>
        <w:rPr>
          <w:rFonts w:ascii="Arial" w:hAnsi="Arial"/>
          <w:i/>
          <w:color w:val="231F20"/>
          <w:spacing w:val="-5"/>
          <w:sz w:val="18"/>
        </w:rPr>
        <w:t> </w:t>
      </w:r>
      <w:r>
        <w:rPr>
          <w:rFonts w:ascii="Arial" w:hAnsi="Arial"/>
          <w:i/>
          <w:color w:val="231F20"/>
          <w:sz w:val="18"/>
        </w:rPr>
        <w:t>gente</w:t>
      </w:r>
      <w:r>
        <w:rPr>
          <w:rFonts w:ascii="Arial" w:hAnsi="Arial"/>
          <w:i/>
          <w:color w:val="231F20"/>
          <w:spacing w:val="-5"/>
          <w:sz w:val="18"/>
        </w:rPr>
        <w:t> </w:t>
      </w:r>
      <w:r>
        <w:rPr>
          <w:rFonts w:ascii="Arial" w:hAnsi="Arial"/>
          <w:i/>
          <w:color w:val="231F20"/>
          <w:sz w:val="18"/>
        </w:rPr>
        <w:t>ya</w:t>
      </w:r>
      <w:r>
        <w:rPr>
          <w:rFonts w:ascii="Arial" w:hAnsi="Arial"/>
          <w:i/>
          <w:color w:val="231F20"/>
          <w:spacing w:val="-5"/>
          <w:sz w:val="18"/>
        </w:rPr>
        <w:t> </w:t>
      </w:r>
      <w:r>
        <w:rPr>
          <w:rFonts w:ascii="Arial" w:hAnsi="Arial"/>
          <w:i/>
          <w:color w:val="231F20"/>
          <w:sz w:val="18"/>
        </w:rPr>
        <w:t>sabía</w:t>
      </w:r>
      <w:r>
        <w:rPr>
          <w:rFonts w:ascii="Arial" w:hAnsi="Arial"/>
          <w:i/>
          <w:color w:val="231F20"/>
          <w:spacing w:val="-5"/>
          <w:sz w:val="18"/>
        </w:rPr>
        <w:t> </w:t>
      </w:r>
      <w:r>
        <w:rPr>
          <w:rFonts w:ascii="Arial" w:hAnsi="Arial"/>
          <w:i/>
          <w:color w:val="231F20"/>
          <w:sz w:val="18"/>
        </w:rPr>
        <w:t>y</w:t>
      </w:r>
      <w:r>
        <w:rPr>
          <w:rFonts w:ascii="Arial" w:hAnsi="Arial"/>
          <w:i/>
          <w:color w:val="231F20"/>
          <w:spacing w:val="-5"/>
          <w:sz w:val="18"/>
        </w:rPr>
        <w:t> </w:t>
      </w:r>
      <w:r>
        <w:rPr>
          <w:rFonts w:ascii="Arial" w:hAnsi="Arial"/>
          <w:i/>
          <w:color w:val="231F20"/>
          <w:sz w:val="18"/>
        </w:rPr>
        <w:t>venían</w:t>
      </w:r>
      <w:r>
        <w:rPr>
          <w:rFonts w:ascii="Arial" w:hAnsi="Arial"/>
          <w:i/>
          <w:color w:val="231F20"/>
          <w:spacing w:val="-5"/>
          <w:sz w:val="18"/>
        </w:rPr>
        <w:t> </w:t>
      </w:r>
      <w:r>
        <w:rPr>
          <w:rFonts w:ascii="Arial" w:hAnsi="Arial"/>
          <w:i/>
          <w:color w:val="231F20"/>
          <w:sz w:val="18"/>
        </w:rPr>
        <w:t>si</w:t>
      </w:r>
      <w:r>
        <w:rPr>
          <w:rFonts w:ascii="Arial" w:hAnsi="Arial"/>
          <w:i/>
          <w:color w:val="231F20"/>
          <w:spacing w:val="-5"/>
          <w:sz w:val="18"/>
        </w:rPr>
        <w:t> </w:t>
      </w:r>
      <w:r>
        <w:rPr>
          <w:rFonts w:ascii="Arial" w:hAnsi="Arial"/>
          <w:i/>
          <w:color w:val="231F20"/>
          <w:sz w:val="18"/>
        </w:rPr>
        <w:t>necesitaban</w:t>
      </w:r>
      <w:r>
        <w:rPr>
          <w:rFonts w:ascii="Arial" w:hAnsi="Arial"/>
          <w:i/>
          <w:color w:val="231F20"/>
          <w:spacing w:val="-5"/>
          <w:sz w:val="18"/>
        </w:rPr>
        <w:t> </w:t>
      </w:r>
      <w:r>
        <w:rPr>
          <w:rFonts w:ascii="Arial" w:hAnsi="Arial"/>
          <w:i/>
          <w:color w:val="231F20"/>
          <w:sz w:val="18"/>
        </w:rPr>
        <w:t>algo.</w:t>
      </w:r>
    </w:p>
    <w:p>
      <w:pPr>
        <w:spacing w:line="249" w:lineRule="auto" w:before="114"/>
        <w:ind w:left="2971" w:right="1715" w:firstLine="0"/>
        <w:jc w:val="both"/>
        <w:rPr>
          <w:rFonts w:ascii="Arial" w:hAnsi="Arial"/>
          <w:i/>
          <w:sz w:val="18"/>
        </w:rPr>
      </w:pPr>
      <w:r>
        <w:rPr>
          <w:rFonts w:ascii="Arial" w:hAnsi="Arial"/>
          <w:i/>
          <w:color w:val="231F20"/>
          <w:sz w:val="18"/>
        </w:rPr>
        <w:t>Cuando empecé con el negocio del calzado me fui a León, Guanajuato, </w:t>
      </w:r>
      <w:r>
        <w:rPr>
          <w:rFonts w:ascii="Arial" w:hAnsi="Arial"/>
          <w:i/>
          <w:color w:val="231F20"/>
          <w:sz w:val="18"/>
        </w:rPr>
        <w:t>a la fábrica 3 Hermanos, de ahí me traía en autobús las cajas que po- día. Cuando ya me estaba yendo bien, hablé con uno de los dueños, el señor Manuel Padilla, y él me dijo que escogiera los pares que quería traerme. </w:t>
      </w:r>
      <w:r>
        <w:rPr>
          <w:rFonts w:ascii="Arial" w:hAnsi="Arial"/>
          <w:i/>
          <w:color w:val="231F20"/>
          <w:spacing w:val="-7"/>
          <w:sz w:val="18"/>
        </w:rPr>
        <w:t>Yo </w:t>
      </w:r>
      <w:r>
        <w:rPr>
          <w:rFonts w:ascii="Arial" w:hAnsi="Arial"/>
          <w:i/>
          <w:color w:val="231F20"/>
          <w:sz w:val="18"/>
        </w:rPr>
        <w:t>calculé los que podía pagar con el dinero que llevaba, pero me</w:t>
      </w:r>
      <w:r>
        <w:rPr>
          <w:rFonts w:ascii="Arial" w:hAnsi="Arial"/>
          <w:i/>
          <w:color w:val="231F20"/>
          <w:spacing w:val="-6"/>
          <w:sz w:val="18"/>
        </w:rPr>
        <w:t> </w:t>
      </w:r>
      <w:r>
        <w:rPr>
          <w:rFonts w:ascii="Arial" w:hAnsi="Arial"/>
          <w:i/>
          <w:color w:val="231F20"/>
          <w:sz w:val="18"/>
        </w:rPr>
        <w:t>pasé</w:t>
      </w:r>
      <w:r>
        <w:rPr>
          <w:rFonts w:ascii="Arial" w:hAnsi="Arial"/>
          <w:i/>
          <w:color w:val="231F20"/>
          <w:spacing w:val="-6"/>
          <w:sz w:val="18"/>
        </w:rPr>
        <w:t> </w:t>
      </w:r>
      <w:r>
        <w:rPr>
          <w:rFonts w:ascii="Arial" w:hAnsi="Arial"/>
          <w:i/>
          <w:color w:val="231F20"/>
          <w:sz w:val="18"/>
        </w:rPr>
        <w:t>con</w:t>
      </w:r>
      <w:r>
        <w:rPr>
          <w:rFonts w:ascii="Arial" w:hAnsi="Arial"/>
          <w:i/>
          <w:color w:val="231F20"/>
          <w:spacing w:val="-6"/>
          <w:sz w:val="18"/>
        </w:rPr>
        <w:t> </w:t>
      </w:r>
      <w:r>
        <w:rPr>
          <w:rFonts w:ascii="Arial" w:hAnsi="Arial"/>
          <w:i/>
          <w:color w:val="231F20"/>
          <w:sz w:val="18"/>
        </w:rPr>
        <w:t>mil</w:t>
      </w:r>
      <w:r>
        <w:rPr>
          <w:rFonts w:ascii="Arial" w:hAnsi="Arial"/>
          <w:i/>
          <w:color w:val="231F20"/>
          <w:spacing w:val="-6"/>
          <w:sz w:val="18"/>
        </w:rPr>
        <w:t> </w:t>
      </w:r>
      <w:r>
        <w:rPr>
          <w:rFonts w:ascii="Arial" w:hAnsi="Arial"/>
          <w:i/>
          <w:color w:val="231F20"/>
          <w:sz w:val="18"/>
        </w:rPr>
        <w:t>pesos</w:t>
      </w:r>
      <w:r>
        <w:rPr>
          <w:rFonts w:ascii="Arial" w:hAnsi="Arial"/>
          <w:i/>
          <w:color w:val="231F20"/>
          <w:spacing w:val="-6"/>
          <w:sz w:val="18"/>
        </w:rPr>
        <w:t> </w:t>
      </w:r>
      <w:r>
        <w:rPr>
          <w:rFonts w:ascii="Arial" w:hAnsi="Arial"/>
          <w:i/>
          <w:color w:val="231F20"/>
          <w:sz w:val="18"/>
        </w:rPr>
        <w:t>—en</w:t>
      </w:r>
      <w:r>
        <w:rPr>
          <w:rFonts w:ascii="Arial" w:hAnsi="Arial"/>
          <w:i/>
          <w:color w:val="231F20"/>
          <w:spacing w:val="-6"/>
          <w:sz w:val="18"/>
        </w:rPr>
        <w:t> </w:t>
      </w:r>
      <w:r>
        <w:rPr>
          <w:rFonts w:ascii="Arial" w:hAnsi="Arial"/>
          <w:i/>
          <w:color w:val="231F20"/>
          <w:sz w:val="18"/>
        </w:rPr>
        <w:t>aquel</w:t>
      </w:r>
      <w:r>
        <w:rPr>
          <w:rFonts w:ascii="Arial" w:hAnsi="Arial"/>
          <w:i/>
          <w:color w:val="231F20"/>
          <w:spacing w:val="-6"/>
          <w:sz w:val="18"/>
        </w:rPr>
        <w:t> </w:t>
      </w:r>
      <w:r>
        <w:rPr>
          <w:rFonts w:ascii="Arial" w:hAnsi="Arial"/>
          <w:i/>
          <w:color w:val="231F20"/>
          <w:sz w:val="18"/>
        </w:rPr>
        <w:t>tiempo</w:t>
      </w:r>
      <w:r>
        <w:rPr>
          <w:rFonts w:ascii="Arial" w:hAnsi="Arial"/>
          <w:i/>
          <w:color w:val="231F20"/>
          <w:spacing w:val="-6"/>
          <w:sz w:val="18"/>
        </w:rPr>
        <w:t> </w:t>
      </w:r>
      <w:r>
        <w:rPr>
          <w:rFonts w:ascii="Arial" w:hAnsi="Arial"/>
          <w:i/>
          <w:color w:val="231F20"/>
          <w:sz w:val="18"/>
        </w:rPr>
        <w:t>era</w:t>
      </w:r>
      <w:r>
        <w:rPr>
          <w:rFonts w:ascii="Arial" w:hAnsi="Arial"/>
          <w:i/>
          <w:color w:val="231F20"/>
          <w:spacing w:val="-6"/>
          <w:sz w:val="18"/>
        </w:rPr>
        <w:t> </w:t>
      </w:r>
      <w:r>
        <w:rPr>
          <w:rFonts w:ascii="Arial" w:hAnsi="Arial"/>
          <w:i/>
          <w:color w:val="231F20"/>
          <w:sz w:val="18"/>
        </w:rPr>
        <w:t>mucho</w:t>
      </w:r>
      <w:r>
        <w:rPr>
          <w:rFonts w:ascii="Arial" w:hAnsi="Arial"/>
          <w:i/>
          <w:color w:val="231F20"/>
          <w:spacing w:val="-6"/>
          <w:sz w:val="18"/>
        </w:rPr>
        <w:t> </w:t>
      </w:r>
      <w:r>
        <w:rPr>
          <w:rFonts w:ascii="Arial" w:hAnsi="Arial"/>
          <w:i/>
          <w:color w:val="231F20"/>
          <w:sz w:val="18"/>
        </w:rPr>
        <w:t>dinero—,</w:t>
      </w:r>
      <w:r>
        <w:rPr>
          <w:rFonts w:ascii="Arial" w:hAnsi="Arial"/>
          <w:i/>
          <w:color w:val="231F20"/>
          <w:spacing w:val="-12"/>
          <w:sz w:val="18"/>
        </w:rPr>
        <w:t> </w:t>
      </w:r>
      <w:r>
        <w:rPr>
          <w:rFonts w:ascii="Arial" w:hAnsi="Arial"/>
          <w:i/>
          <w:color w:val="231F20"/>
          <w:sz w:val="18"/>
        </w:rPr>
        <w:t>y</w:t>
      </w:r>
      <w:r>
        <w:rPr>
          <w:rFonts w:ascii="Arial" w:hAnsi="Arial"/>
          <w:i/>
          <w:color w:val="231F20"/>
          <w:spacing w:val="-6"/>
          <w:sz w:val="18"/>
        </w:rPr>
        <w:t> </w:t>
      </w:r>
      <w:r>
        <w:rPr>
          <w:rFonts w:ascii="Arial" w:hAnsi="Arial"/>
          <w:i/>
          <w:color w:val="231F20"/>
          <w:sz w:val="18"/>
        </w:rPr>
        <w:t>me</w:t>
      </w:r>
      <w:r>
        <w:rPr>
          <w:rFonts w:ascii="Arial" w:hAnsi="Arial"/>
          <w:i/>
          <w:color w:val="231F20"/>
          <w:spacing w:val="-6"/>
          <w:sz w:val="18"/>
        </w:rPr>
        <w:t> </w:t>
      </w:r>
      <w:r>
        <w:rPr>
          <w:rFonts w:ascii="Arial" w:hAnsi="Arial"/>
          <w:i/>
          <w:color w:val="231F20"/>
          <w:sz w:val="18"/>
        </w:rPr>
        <w:t>dijo: llévatelos. Llévate todo lo que escogiste. </w:t>
      </w:r>
      <w:r>
        <w:rPr>
          <w:rFonts w:ascii="Arial" w:hAnsi="Arial"/>
          <w:i/>
          <w:color w:val="231F20"/>
          <w:spacing w:val="-9"/>
          <w:sz w:val="18"/>
        </w:rPr>
        <w:t>Te </w:t>
      </w:r>
      <w:r>
        <w:rPr>
          <w:rFonts w:ascii="Arial" w:hAnsi="Arial"/>
          <w:i/>
          <w:color w:val="231F20"/>
          <w:sz w:val="18"/>
        </w:rPr>
        <w:t>doy crédito por esos mil pesos</w:t>
      </w:r>
      <w:r>
        <w:rPr>
          <w:rFonts w:ascii="Arial" w:hAnsi="Arial"/>
          <w:i/>
          <w:color w:val="231F20"/>
          <w:spacing w:val="-9"/>
          <w:sz w:val="18"/>
        </w:rPr>
        <w:t> </w:t>
      </w:r>
      <w:r>
        <w:rPr>
          <w:rFonts w:ascii="Arial" w:hAnsi="Arial"/>
          <w:i/>
          <w:color w:val="231F20"/>
          <w:sz w:val="18"/>
        </w:rPr>
        <w:t>y</w:t>
      </w:r>
      <w:r>
        <w:rPr>
          <w:rFonts w:ascii="Arial" w:hAnsi="Arial"/>
          <w:i/>
          <w:color w:val="231F20"/>
          <w:spacing w:val="-9"/>
          <w:sz w:val="18"/>
        </w:rPr>
        <w:t> </w:t>
      </w:r>
      <w:r>
        <w:rPr>
          <w:rFonts w:ascii="Arial" w:hAnsi="Arial"/>
          <w:i/>
          <w:color w:val="231F20"/>
          <w:sz w:val="18"/>
        </w:rPr>
        <w:t>cuando</w:t>
      </w:r>
      <w:r>
        <w:rPr>
          <w:rFonts w:ascii="Arial" w:hAnsi="Arial"/>
          <w:i/>
          <w:color w:val="231F20"/>
          <w:spacing w:val="-9"/>
          <w:sz w:val="18"/>
        </w:rPr>
        <w:t> </w:t>
      </w:r>
      <w:r>
        <w:rPr>
          <w:rFonts w:ascii="Arial" w:hAnsi="Arial"/>
          <w:i/>
          <w:color w:val="231F20"/>
          <w:sz w:val="18"/>
        </w:rPr>
        <w:t>tengas</w:t>
      </w:r>
      <w:r>
        <w:rPr>
          <w:rFonts w:ascii="Arial" w:hAnsi="Arial"/>
          <w:i/>
          <w:color w:val="231F20"/>
          <w:spacing w:val="-9"/>
          <w:sz w:val="18"/>
        </w:rPr>
        <w:t> </w:t>
      </w:r>
      <w:r>
        <w:rPr>
          <w:rFonts w:ascii="Arial" w:hAnsi="Arial"/>
          <w:i/>
          <w:color w:val="231F20"/>
          <w:sz w:val="18"/>
        </w:rPr>
        <w:t>para</w:t>
      </w:r>
      <w:r>
        <w:rPr>
          <w:rFonts w:ascii="Arial" w:hAnsi="Arial"/>
          <w:i/>
          <w:color w:val="231F20"/>
          <w:spacing w:val="-9"/>
          <w:sz w:val="18"/>
        </w:rPr>
        <w:t> </w:t>
      </w:r>
      <w:r>
        <w:rPr>
          <w:rFonts w:ascii="Arial" w:hAnsi="Arial"/>
          <w:i/>
          <w:color w:val="231F20"/>
          <w:sz w:val="18"/>
        </w:rPr>
        <w:t>pagarlos</w:t>
      </w:r>
      <w:r>
        <w:rPr>
          <w:rFonts w:ascii="Arial" w:hAnsi="Arial"/>
          <w:i/>
          <w:color w:val="231F20"/>
          <w:spacing w:val="-9"/>
          <w:sz w:val="18"/>
        </w:rPr>
        <w:t> </w:t>
      </w:r>
      <w:r>
        <w:rPr>
          <w:rFonts w:ascii="Arial" w:hAnsi="Arial"/>
          <w:i/>
          <w:color w:val="231F20"/>
          <w:sz w:val="18"/>
        </w:rPr>
        <w:t>no</w:t>
      </w:r>
      <w:r>
        <w:rPr>
          <w:rFonts w:ascii="Arial" w:hAnsi="Arial"/>
          <w:i/>
          <w:color w:val="231F20"/>
          <w:spacing w:val="-9"/>
          <w:sz w:val="18"/>
        </w:rPr>
        <w:t> </w:t>
      </w:r>
      <w:r>
        <w:rPr>
          <w:rFonts w:ascii="Arial" w:hAnsi="Arial"/>
          <w:i/>
          <w:color w:val="231F20"/>
          <w:sz w:val="18"/>
        </w:rPr>
        <w:t>tienes</w:t>
      </w:r>
      <w:r>
        <w:rPr>
          <w:rFonts w:ascii="Arial" w:hAnsi="Arial"/>
          <w:i/>
          <w:color w:val="231F20"/>
          <w:spacing w:val="-9"/>
          <w:sz w:val="18"/>
        </w:rPr>
        <w:t> </w:t>
      </w:r>
      <w:r>
        <w:rPr>
          <w:rFonts w:ascii="Arial" w:hAnsi="Arial"/>
          <w:i/>
          <w:color w:val="231F20"/>
          <w:sz w:val="18"/>
        </w:rPr>
        <w:t>que</w:t>
      </w:r>
      <w:r>
        <w:rPr>
          <w:rFonts w:ascii="Arial" w:hAnsi="Arial"/>
          <w:i/>
          <w:color w:val="231F20"/>
          <w:spacing w:val="-9"/>
          <w:sz w:val="18"/>
        </w:rPr>
        <w:t> </w:t>
      </w:r>
      <w:r>
        <w:rPr>
          <w:rFonts w:ascii="Arial" w:hAnsi="Arial"/>
          <w:i/>
          <w:color w:val="231F20"/>
          <w:sz w:val="18"/>
        </w:rPr>
        <w:t>venir</w:t>
      </w:r>
      <w:r>
        <w:rPr>
          <w:rFonts w:ascii="Arial" w:hAnsi="Arial"/>
          <w:i/>
          <w:color w:val="231F20"/>
          <w:spacing w:val="-9"/>
          <w:sz w:val="18"/>
        </w:rPr>
        <w:t> </w:t>
      </w:r>
      <w:r>
        <w:rPr>
          <w:rFonts w:ascii="Arial" w:hAnsi="Arial"/>
          <w:i/>
          <w:color w:val="231F20"/>
          <w:sz w:val="18"/>
        </w:rPr>
        <w:t>hasta</w:t>
      </w:r>
      <w:r>
        <w:rPr>
          <w:rFonts w:ascii="Arial" w:hAnsi="Arial"/>
          <w:i/>
          <w:color w:val="231F20"/>
          <w:spacing w:val="-9"/>
          <w:sz w:val="18"/>
        </w:rPr>
        <w:t> </w:t>
      </w:r>
      <w:r>
        <w:rPr>
          <w:rFonts w:ascii="Arial" w:hAnsi="Arial"/>
          <w:i/>
          <w:color w:val="231F20"/>
          <w:sz w:val="18"/>
        </w:rPr>
        <w:t>acá.</w:t>
      </w:r>
      <w:r>
        <w:rPr>
          <w:rFonts w:ascii="Arial" w:hAnsi="Arial"/>
          <w:i/>
          <w:color w:val="231F20"/>
          <w:spacing w:val="-14"/>
          <w:sz w:val="18"/>
        </w:rPr>
        <w:t> </w:t>
      </w:r>
      <w:r>
        <w:rPr>
          <w:rFonts w:ascii="Arial" w:hAnsi="Arial"/>
          <w:i/>
          <w:color w:val="231F20"/>
          <w:spacing w:val="-3"/>
          <w:sz w:val="18"/>
        </w:rPr>
        <w:t>Pue- </w:t>
      </w:r>
      <w:r>
        <w:rPr>
          <w:rFonts w:ascii="Arial" w:hAnsi="Arial"/>
          <w:i/>
          <w:color w:val="231F20"/>
          <w:sz w:val="18"/>
        </w:rPr>
        <w:t>des pagarlos en cualquiera de las sucursales que tenemos en la Ciudad de México. </w:t>
      </w:r>
      <w:r>
        <w:rPr>
          <w:rFonts w:ascii="Arial" w:hAnsi="Arial"/>
          <w:i/>
          <w:color w:val="231F20"/>
          <w:spacing w:val="-3"/>
          <w:sz w:val="18"/>
        </w:rPr>
        <w:t>Tenemos </w:t>
      </w:r>
      <w:r>
        <w:rPr>
          <w:rFonts w:ascii="Arial" w:hAnsi="Arial"/>
          <w:i/>
          <w:color w:val="231F20"/>
          <w:sz w:val="18"/>
        </w:rPr>
        <w:t>una en Boturini, otra en Aztecas y otra en la calle de</w:t>
      </w:r>
      <w:r>
        <w:rPr>
          <w:rFonts w:ascii="Arial" w:hAnsi="Arial"/>
          <w:i/>
          <w:color w:val="231F20"/>
          <w:spacing w:val="-5"/>
          <w:sz w:val="18"/>
        </w:rPr>
        <w:t> </w:t>
      </w:r>
      <w:r>
        <w:rPr>
          <w:rFonts w:ascii="Arial" w:hAnsi="Arial"/>
          <w:i/>
          <w:color w:val="231F20"/>
          <w:sz w:val="18"/>
        </w:rPr>
        <w:t>Granaditas.</w:t>
      </w:r>
      <w:r>
        <w:rPr>
          <w:rFonts w:ascii="Arial" w:hAnsi="Arial"/>
          <w:i/>
          <w:color w:val="231F20"/>
          <w:spacing w:val="-16"/>
          <w:sz w:val="18"/>
        </w:rPr>
        <w:t> </w:t>
      </w:r>
      <w:r>
        <w:rPr>
          <w:rFonts w:ascii="Arial" w:hAnsi="Arial"/>
          <w:i/>
          <w:color w:val="231F20"/>
          <w:sz w:val="18"/>
        </w:rPr>
        <w:t>Y</w:t>
      </w:r>
      <w:r>
        <w:rPr>
          <w:rFonts w:ascii="Arial" w:hAnsi="Arial"/>
          <w:i/>
          <w:color w:val="231F20"/>
          <w:spacing w:val="-9"/>
          <w:sz w:val="18"/>
        </w:rPr>
        <w:t> </w:t>
      </w:r>
      <w:r>
        <w:rPr>
          <w:rFonts w:ascii="Arial" w:hAnsi="Arial"/>
          <w:i/>
          <w:color w:val="231F20"/>
          <w:sz w:val="18"/>
        </w:rPr>
        <w:t>sí,</w:t>
      </w:r>
      <w:r>
        <w:rPr>
          <w:rFonts w:ascii="Arial" w:hAnsi="Arial"/>
          <w:i/>
          <w:color w:val="231F20"/>
          <w:spacing w:val="-10"/>
          <w:sz w:val="18"/>
        </w:rPr>
        <w:t> </w:t>
      </w:r>
      <w:r>
        <w:rPr>
          <w:rFonts w:ascii="Arial" w:hAnsi="Arial"/>
          <w:i/>
          <w:color w:val="231F20"/>
          <w:sz w:val="18"/>
        </w:rPr>
        <w:t>fui</w:t>
      </w:r>
      <w:r>
        <w:rPr>
          <w:rFonts w:ascii="Arial" w:hAnsi="Arial"/>
          <w:i/>
          <w:color w:val="231F20"/>
          <w:spacing w:val="-5"/>
          <w:sz w:val="18"/>
        </w:rPr>
        <w:t> </w:t>
      </w:r>
      <w:r>
        <w:rPr>
          <w:rFonts w:ascii="Arial" w:hAnsi="Arial"/>
          <w:i/>
          <w:color w:val="231F20"/>
          <w:sz w:val="18"/>
        </w:rPr>
        <w:t>a</w:t>
      </w:r>
      <w:r>
        <w:rPr>
          <w:rFonts w:ascii="Arial" w:hAnsi="Arial"/>
          <w:i/>
          <w:color w:val="231F20"/>
          <w:spacing w:val="-5"/>
          <w:sz w:val="18"/>
        </w:rPr>
        <w:t> </w:t>
      </w:r>
      <w:r>
        <w:rPr>
          <w:rFonts w:ascii="Arial" w:hAnsi="Arial"/>
          <w:i/>
          <w:color w:val="231F20"/>
          <w:sz w:val="18"/>
        </w:rPr>
        <w:t>México</w:t>
      </w:r>
      <w:r>
        <w:rPr>
          <w:rFonts w:ascii="Arial" w:hAnsi="Arial"/>
          <w:i/>
          <w:color w:val="231F20"/>
          <w:spacing w:val="-5"/>
          <w:sz w:val="18"/>
        </w:rPr>
        <w:t> </w:t>
      </w:r>
      <w:r>
        <w:rPr>
          <w:rFonts w:ascii="Arial" w:hAnsi="Arial"/>
          <w:i/>
          <w:color w:val="231F20"/>
          <w:sz w:val="18"/>
        </w:rPr>
        <w:t>a</w:t>
      </w:r>
      <w:r>
        <w:rPr>
          <w:rFonts w:ascii="Arial" w:hAnsi="Arial"/>
          <w:i/>
          <w:color w:val="231F20"/>
          <w:spacing w:val="-5"/>
          <w:sz w:val="18"/>
        </w:rPr>
        <w:t> </w:t>
      </w:r>
      <w:r>
        <w:rPr>
          <w:rFonts w:ascii="Arial" w:hAnsi="Arial"/>
          <w:i/>
          <w:color w:val="231F20"/>
          <w:sz w:val="18"/>
        </w:rPr>
        <w:t>pagar.</w:t>
      </w:r>
      <w:r>
        <w:rPr>
          <w:rFonts w:ascii="Arial" w:hAnsi="Arial"/>
          <w:i/>
          <w:color w:val="231F20"/>
          <w:spacing w:val="-16"/>
          <w:sz w:val="18"/>
        </w:rPr>
        <w:t> </w:t>
      </w:r>
      <w:r>
        <w:rPr>
          <w:rFonts w:ascii="Arial" w:hAnsi="Arial"/>
          <w:i/>
          <w:color w:val="231F20"/>
          <w:spacing w:val="-7"/>
          <w:sz w:val="18"/>
        </w:rPr>
        <w:t>Yo</w:t>
      </w:r>
      <w:r>
        <w:rPr>
          <w:rFonts w:ascii="Arial" w:hAnsi="Arial"/>
          <w:i/>
          <w:color w:val="231F20"/>
          <w:spacing w:val="-5"/>
          <w:sz w:val="18"/>
        </w:rPr>
        <w:t> </w:t>
      </w:r>
      <w:r>
        <w:rPr>
          <w:rFonts w:ascii="Arial" w:hAnsi="Arial"/>
          <w:i/>
          <w:color w:val="231F20"/>
          <w:sz w:val="18"/>
        </w:rPr>
        <w:t>tenía</w:t>
      </w:r>
      <w:r>
        <w:rPr>
          <w:rFonts w:ascii="Arial" w:hAnsi="Arial"/>
          <w:i/>
          <w:color w:val="231F20"/>
          <w:spacing w:val="-5"/>
          <w:sz w:val="18"/>
        </w:rPr>
        <w:t> </w:t>
      </w:r>
      <w:r>
        <w:rPr>
          <w:rFonts w:ascii="Arial" w:hAnsi="Arial"/>
          <w:i/>
          <w:color w:val="231F20"/>
          <w:sz w:val="18"/>
        </w:rPr>
        <w:t>buen</w:t>
      </w:r>
      <w:r>
        <w:rPr>
          <w:rFonts w:ascii="Arial" w:hAnsi="Arial"/>
          <w:i/>
          <w:color w:val="231F20"/>
          <w:spacing w:val="-5"/>
          <w:sz w:val="18"/>
        </w:rPr>
        <w:t> </w:t>
      </w:r>
      <w:r>
        <w:rPr>
          <w:rFonts w:ascii="Arial" w:hAnsi="Arial"/>
          <w:i/>
          <w:color w:val="231F20"/>
          <w:sz w:val="18"/>
        </w:rPr>
        <w:t>crédito</w:t>
      </w:r>
      <w:r>
        <w:rPr>
          <w:rFonts w:ascii="Arial" w:hAnsi="Arial"/>
          <w:i/>
          <w:color w:val="231F20"/>
          <w:spacing w:val="-5"/>
          <w:sz w:val="18"/>
        </w:rPr>
        <w:t> </w:t>
      </w:r>
      <w:r>
        <w:rPr>
          <w:rFonts w:ascii="Arial" w:hAnsi="Arial"/>
          <w:i/>
          <w:color w:val="231F20"/>
          <w:sz w:val="18"/>
        </w:rPr>
        <w:t>con</w:t>
      </w:r>
      <w:r>
        <w:rPr>
          <w:rFonts w:ascii="Arial" w:hAnsi="Arial"/>
          <w:i/>
          <w:color w:val="231F20"/>
          <w:spacing w:val="-5"/>
          <w:sz w:val="18"/>
        </w:rPr>
        <w:t> </w:t>
      </w:r>
      <w:r>
        <w:rPr>
          <w:rFonts w:ascii="Arial" w:hAnsi="Arial"/>
          <w:i/>
          <w:color w:val="231F20"/>
          <w:sz w:val="18"/>
        </w:rPr>
        <w:t>ellos.</w:t>
      </w:r>
    </w:p>
    <w:p>
      <w:pPr>
        <w:spacing w:line="249" w:lineRule="auto" w:before="114"/>
        <w:ind w:left="2971" w:right="1721" w:firstLine="0"/>
        <w:jc w:val="both"/>
        <w:rPr>
          <w:rFonts w:ascii="Arial" w:hAnsi="Arial"/>
          <w:i/>
          <w:sz w:val="18"/>
        </w:rPr>
      </w:pPr>
      <w:r>
        <w:rPr>
          <w:rFonts w:ascii="Arial" w:hAnsi="Arial"/>
          <w:i/>
          <w:color w:val="231F20"/>
          <w:sz w:val="18"/>
        </w:rPr>
        <w:t>Cuando</w:t>
      </w:r>
      <w:r>
        <w:rPr>
          <w:rFonts w:ascii="Arial" w:hAnsi="Arial"/>
          <w:i/>
          <w:color w:val="231F20"/>
          <w:spacing w:val="-7"/>
          <w:sz w:val="18"/>
        </w:rPr>
        <w:t> </w:t>
      </w:r>
      <w:r>
        <w:rPr>
          <w:rFonts w:ascii="Arial" w:hAnsi="Arial"/>
          <w:i/>
          <w:color w:val="231F20"/>
          <w:sz w:val="18"/>
        </w:rPr>
        <w:t>decidí</w:t>
      </w:r>
      <w:r>
        <w:rPr>
          <w:rFonts w:ascii="Arial" w:hAnsi="Arial"/>
          <w:i/>
          <w:color w:val="231F20"/>
          <w:spacing w:val="-7"/>
          <w:sz w:val="18"/>
        </w:rPr>
        <w:t> </w:t>
      </w:r>
      <w:r>
        <w:rPr>
          <w:rFonts w:ascii="Arial" w:hAnsi="Arial"/>
          <w:i/>
          <w:color w:val="231F20"/>
          <w:sz w:val="18"/>
        </w:rPr>
        <w:t>regresar</w:t>
      </w:r>
      <w:r>
        <w:rPr>
          <w:rFonts w:ascii="Arial" w:hAnsi="Arial"/>
          <w:i/>
          <w:color w:val="231F20"/>
          <w:spacing w:val="-7"/>
          <w:sz w:val="18"/>
        </w:rPr>
        <w:t> </w:t>
      </w:r>
      <w:r>
        <w:rPr>
          <w:rFonts w:ascii="Arial" w:hAnsi="Arial"/>
          <w:i/>
          <w:color w:val="231F20"/>
          <w:sz w:val="18"/>
        </w:rPr>
        <w:t>a</w:t>
      </w:r>
      <w:r>
        <w:rPr>
          <w:rFonts w:ascii="Arial" w:hAnsi="Arial"/>
          <w:i/>
          <w:color w:val="231F20"/>
          <w:spacing w:val="-7"/>
          <w:sz w:val="18"/>
        </w:rPr>
        <w:t> </w:t>
      </w:r>
      <w:r>
        <w:rPr>
          <w:rFonts w:ascii="Arial" w:hAnsi="Arial"/>
          <w:i/>
          <w:color w:val="231F20"/>
          <w:sz w:val="18"/>
        </w:rPr>
        <w:t>Estados</w:t>
      </w:r>
      <w:r>
        <w:rPr>
          <w:rFonts w:ascii="Arial" w:hAnsi="Arial"/>
          <w:i/>
          <w:color w:val="231F20"/>
          <w:spacing w:val="-7"/>
          <w:sz w:val="18"/>
        </w:rPr>
        <w:t> </w:t>
      </w:r>
      <w:r>
        <w:rPr>
          <w:rFonts w:ascii="Arial" w:hAnsi="Arial"/>
          <w:i/>
          <w:color w:val="231F20"/>
          <w:sz w:val="18"/>
        </w:rPr>
        <w:t>Unidos,</w:t>
      </w:r>
      <w:r>
        <w:rPr>
          <w:rFonts w:ascii="Arial" w:hAnsi="Arial"/>
          <w:i/>
          <w:color w:val="231F20"/>
          <w:spacing w:val="-14"/>
          <w:sz w:val="18"/>
        </w:rPr>
        <w:t> </w:t>
      </w:r>
      <w:r>
        <w:rPr>
          <w:rFonts w:ascii="Arial" w:hAnsi="Arial"/>
          <w:i/>
          <w:color w:val="231F20"/>
          <w:sz w:val="18"/>
        </w:rPr>
        <w:t>le</w:t>
      </w:r>
      <w:r>
        <w:rPr>
          <w:rFonts w:ascii="Arial" w:hAnsi="Arial"/>
          <w:i/>
          <w:color w:val="231F20"/>
          <w:spacing w:val="-7"/>
          <w:sz w:val="18"/>
        </w:rPr>
        <w:t> </w:t>
      </w:r>
      <w:r>
        <w:rPr>
          <w:rFonts w:ascii="Arial" w:hAnsi="Arial"/>
          <w:i/>
          <w:color w:val="231F20"/>
          <w:sz w:val="18"/>
        </w:rPr>
        <w:t>avisé</w:t>
      </w:r>
      <w:r>
        <w:rPr>
          <w:rFonts w:ascii="Arial" w:hAnsi="Arial"/>
          <w:i/>
          <w:color w:val="231F20"/>
          <w:spacing w:val="-7"/>
          <w:sz w:val="18"/>
        </w:rPr>
        <w:t> </w:t>
      </w:r>
      <w:r>
        <w:rPr>
          <w:rFonts w:ascii="Arial" w:hAnsi="Arial"/>
          <w:i/>
          <w:color w:val="231F20"/>
          <w:sz w:val="18"/>
        </w:rPr>
        <w:t>a</w:t>
      </w:r>
      <w:r>
        <w:rPr>
          <w:rFonts w:ascii="Arial" w:hAnsi="Arial"/>
          <w:i/>
          <w:color w:val="231F20"/>
          <w:spacing w:val="-7"/>
          <w:sz w:val="18"/>
        </w:rPr>
        <w:t> </w:t>
      </w:r>
      <w:r>
        <w:rPr>
          <w:rFonts w:ascii="Arial" w:hAnsi="Arial"/>
          <w:i/>
          <w:color w:val="231F20"/>
          <w:sz w:val="18"/>
        </w:rPr>
        <w:t>Padilla</w:t>
      </w:r>
      <w:r>
        <w:rPr>
          <w:rFonts w:ascii="Arial" w:hAnsi="Arial"/>
          <w:i/>
          <w:color w:val="231F20"/>
          <w:spacing w:val="-7"/>
          <w:sz w:val="18"/>
        </w:rPr>
        <w:t> </w:t>
      </w:r>
      <w:r>
        <w:rPr>
          <w:rFonts w:ascii="Arial" w:hAnsi="Arial"/>
          <w:i/>
          <w:color w:val="231F20"/>
          <w:sz w:val="18"/>
        </w:rPr>
        <w:t>que</w:t>
      </w:r>
      <w:r>
        <w:rPr>
          <w:rFonts w:ascii="Arial" w:hAnsi="Arial"/>
          <w:i/>
          <w:color w:val="231F20"/>
          <w:spacing w:val="-7"/>
          <w:sz w:val="18"/>
        </w:rPr>
        <w:t> </w:t>
      </w:r>
      <w:r>
        <w:rPr>
          <w:rFonts w:ascii="Arial" w:hAnsi="Arial"/>
          <w:i/>
          <w:color w:val="231F20"/>
          <w:sz w:val="18"/>
        </w:rPr>
        <w:t>me</w:t>
      </w:r>
      <w:r>
        <w:rPr>
          <w:rFonts w:ascii="Arial" w:hAnsi="Arial"/>
          <w:i/>
          <w:color w:val="231F20"/>
          <w:spacing w:val="-7"/>
          <w:sz w:val="18"/>
        </w:rPr>
        <w:t> </w:t>
      </w:r>
      <w:r>
        <w:rPr>
          <w:rFonts w:ascii="Arial" w:hAnsi="Arial"/>
          <w:i/>
          <w:color w:val="231F20"/>
          <w:sz w:val="18"/>
        </w:rPr>
        <w:t>iba</w:t>
      </w:r>
      <w:r>
        <w:rPr>
          <w:rFonts w:ascii="Arial" w:hAnsi="Arial"/>
          <w:i/>
          <w:color w:val="231F20"/>
          <w:spacing w:val="-7"/>
          <w:sz w:val="18"/>
        </w:rPr>
        <w:t> </w:t>
      </w:r>
      <w:r>
        <w:rPr>
          <w:rFonts w:ascii="Arial" w:hAnsi="Arial"/>
          <w:i/>
          <w:color w:val="231F20"/>
          <w:sz w:val="18"/>
        </w:rPr>
        <w:t>y </w:t>
      </w:r>
      <w:r>
        <w:rPr>
          <w:rFonts w:ascii="Arial" w:hAnsi="Arial"/>
          <w:i/>
          <w:color w:val="231F20"/>
          <w:sz w:val="18"/>
        </w:rPr>
        <w:t>que por un tiempo ya no volvería a comprar zapato, y me dijo, bueno, si un día quieres regresar, ya sabes que aquí estamos y que con nosotros tienes</w:t>
      </w:r>
      <w:r>
        <w:rPr>
          <w:rFonts w:ascii="Arial" w:hAnsi="Arial"/>
          <w:i/>
          <w:color w:val="231F20"/>
          <w:spacing w:val="27"/>
          <w:sz w:val="18"/>
        </w:rPr>
        <w:t> </w:t>
      </w:r>
      <w:r>
        <w:rPr>
          <w:rFonts w:ascii="Arial" w:hAnsi="Arial"/>
          <w:i/>
          <w:color w:val="231F20"/>
          <w:sz w:val="18"/>
        </w:rPr>
        <w:t>crédito.</w:t>
      </w:r>
    </w:p>
    <w:p>
      <w:pPr>
        <w:spacing w:line="249" w:lineRule="auto" w:before="114"/>
        <w:ind w:left="2971" w:right="1716" w:firstLine="0"/>
        <w:jc w:val="both"/>
        <w:rPr>
          <w:rFonts w:ascii="Arial" w:hAnsi="Arial"/>
          <w:i/>
          <w:sz w:val="18"/>
        </w:rPr>
      </w:pPr>
      <w:r>
        <w:rPr/>
        <w:pict>
          <v:line style="position:absolute;mso-position-horizontal-relative:page;mso-position-vertical-relative:paragraph;z-index:-444952" from="15pt,146.813797pt" to="0pt,146.813797pt" stroked="true" strokeweight=".25pt" strokecolor="#000000">
            <w10:wrap type="none"/>
          </v:line>
        </w:pict>
      </w:r>
      <w:r>
        <w:rPr/>
        <w:pict>
          <v:line style="position:absolute;mso-position-horizontal-relative:page;mso-position-vertical-relative:paragraph;z-index:45256" from="508.890015pt,146.813797pt" to="523.890015pt,146.813797pt" stroked="true" strokeweight=".25pt" strokecolor="#000000">
            <w10:wrap type="none"/>
          </v:line>
        </w:pict>
      </w:r>
      <w:r>
        <w:rPr>
          <w:rFonts w:ascii="Arial" w:hAnsi="Arial"/>
          <w:i/>
          <w:color w:val="231F20"/>
          <w:spacing w:val="-3"/>
          <w:w w:val="105"/>
          <w:sz w:val="18"/>
        </w:rPr>
        <w:t>También </w:t>
      </w:r>
      <w:r>
        <w:rPr>
          <w:rFonts w:ascii="Arial" w:hAnsi="Arial"/>
          <w:i/>
          <w:color w:val="231F20"/>
          <w:w w:val="105"/>
          <w:sz w:val="18"/>
        </w:rPr>
        <w:t>fui regidor dos veces. En 1969-1970 fui tercer regidor, y los </w:t>
      </w:r>
      <w:r>
        <w:rPr>
          <w:rFonts w:ascii="Arial" w:hAnsi="Arial"/>
          <w:i/>
          <w:color w:val="231F20"/>
          <w:w w:val="105"/>
          <w:sz w:val="18"/>
        </w:rPr>
        <w:t>martes</w:t>
      </w:r>
      <w:r>
        <w:rPr>
          <w:rFonts w:ascii="Arial" w:hAnsi="Arial"/>
          <w:i/>
          <w:color w:val="231F20"/>
          <w:spacing w:val="-11"/>
          <w:w w:val="105"/>
          <w:sz w:val="18"/>
        </w:rPr>
        <w:t> </w:t>
      </w:r>
      <w:r>
        <w:rPr>
          <w:rFonts w:ascii="Arial" w:hAnsi="Arial"/>
          <w:i/>
          <w:color w:val="231F20"/>
          <w:w w:val="105"/>
          <w:sz w:val="18"/>
        </w:rPr>
        <w:t>fungía</w:t>
      </w:r>
      <w:r>
        <w:rPr>
          <w:rFonts w:ascii="Arial" w:hAnsi="Arial"/>
          <w:i/>
          <w:color w:val="231F20"/>
          <w:spacing w:val="-11"/>
          <w:w w:val="105"/>
          <w:sz w:val="18"/>
        </w:rPr>
        <w:t> </w:t>
      </w:r>
      <w:r>
        <w:rPr>
          <w:rFonts w:ascii="Arial" w:hAnsi="Arial"/>
          <w:i/>
          <w:color w:val="231F20"/>
          <w:w w:val="105"/>
          <w:sz w:val="18"/>
        </w:rPr>
        <w:t>como</w:t>
      </w:r>
      <w:r>
        <w:rPr>
          <w:rFonts w:ascii="Arial" w:hAnsi="Arial"/>
          <w:i/>
          <w:color w:val="231F20"/>
          <w:spacing w:val="-11"/>
          <w:w w:val="105"/>
          <w:sz w:val="18"/>
        </w:rPr>
        <w:t> </w:t>
      </w:r>
      <w:r>
        <w:rPr>
          <w:rFonts w:ascii="Arial" w:hAnsi="Arial"/>
          <w:i/>
          <w:color w:val="231F20"/>
          <w:w w:val="105"/>
          <w:sz w:val="18"/>
        </w:rPr>
        <w:t>presidente</w:t>
      </w:r>
      <w:r>
        <w:rPr>
          <w:rFonts w:ascii="Arial" w:hAnsi="Arial"/>
          <w:i/>
          <w:color w:val="231F20"/>
          <w:spacing w:val="-11"/>
          <w:w w:val="105"/>
          <w:sz w:val="18"/>
        </w:rPr>
        <w:t> </w:t>
      </w:r>
      <w:r>
        <w:rPr>
          <w:rFonts w:ascii="Arial" w:hAnsi="Arial"/>
          <w:i/>
          <w:color w:val="231F20"/>
          <w:w w:val="105"/>
          <w:sz w:val="18"/>
        </w:rPr>
        <w:t>municipal,</w:t>
      </w:r>
      <w:r>
        <w:rPr>
          <w:rFonts w:ascii="Arial" w:hAnsi="Arial"/>
          <w:i/>
          <w:color w:val="231F20"/>
          <w:spacing w:val="-17"/>
          <w:w w:val="105"/>
          <w:sz w:val="18"/>
        </w:rPr>
        <w:t> </w:t>
      </w:r>
      <w:r>
        <w:rPr>
          <w:rFonts w:ascii="Arial" w:hAnsi="Arial"/>
          <w:i/>
          <w:color w:val="231F20"/>
          <w:w w:val="105"/>
          <w:sz w:val="18"/>
        </w:rPr>
        <w:t>porque</w:t>
      </w:r>
      <w:r>
        <w:rPr>
          <w:rFonts w:ascii="Arial" w:hAnsi="Arial"/>
          <w:i/>
          <w:color w:val="231F20"/>
          <w:spacing w:val="-11"/>
          <w:w w:val="105"/>
          <w:sz w:val="18"/>
        </w:rPr>
        <w:t> </w:t>
      </w:r>
      <w:r>
        <w:rPr>
          <w:rFonts w:ascii="Arial" w:hAnsi="Arial"/>
          <w:i/>
          <w:color w:val="231F20"/>
          <w:w w:val="105"/>
          <w:sz w:val="18"/>
        </w:rPr>
        <w:t>el</w:t>
      </w:r>
      <w:r>
        <w:rPr>
          <w:rFonts w:ascii="Arial" w:hAnsi="Arial"/>
          <w:i/>
          <w:color w:val="231F20"/>
          <w:spacing w:val="-11"/>
          <w:w w:val="105"/>
          <w:sz w:val="18"/>
        </w:rPr>
        <w:t> </w:t>
      </w:r>
      <w:r>
        <w:rPr>
          <w:rFonts w:ascii="Arial" w:hAnsi="Arial"/>
          <w:i/>
          <w:color w:val="231F20"/>
          <w:w w:val="105"/>
          <w:sz w:val="18"/>
        </w:rPr>
        <w:t>que</w:t>
      </w:r>
      <w:r>
        <w:rPr>
          <w:rFonts w:ascii="Arial" w:hAnsi="Arial"/>
          <w:i/>
          <w:color w:val="231F20"/>
          <w:spacing w:val="-11"/>
          <w:w w:val="105"/>
          <w:sz w:val="18"/>
        </w:rPr>
        <w:t> </w:t>
      </w:r>
      <w:r>
        <w:rPr>
          <w:rFonts w:ascii="Arial" w:hAnsi="Arial"/>
          <w:i/>
          <w:color w:val="231F20"/>
          <w:w w:val="105"/>
          <w:sz w:val="18"/>
        </w:rPr>
        <w:t>era</w:t>
      </w:r>
      <w:r>
        <w:rPr>
          <w:rFonts w:ascii="Arial" w:hAnsi="Arial"/>
          <w:i/>
          <w:color w:val="231F20"/>
          <w:spacing w:val="-11"/>
          <w:w w:val="105"/>
          <w:sz w:val="18"/>
        </w:rPr>
        <w:t> </w:t>
      </w:r>
      <w:r>
        <w:rPr>
          <w:rFonts w:ascii="Arial" w:hAnsi="Arial"/>
          <w:i/>
          <w:color w:val="231F20"/>
          <w:w w:val="105"/>
          <w:sz w:val="18"/>
        </w:rPr>
        <w:t>presiden- te,</w:t>
      </w:r>
      <w:r>
        <w:rPr>
          <w:rFonts w:ascii="Arial" w:hAnsi="Arial"/>
          <w:i/>
          <w:color w:val="231F20"/>
          <w:spacing w:val="-19"/>
          <w:w w:val="105"/>
          <w:sz w:val="18"/>
        </w:rPr>
        <w:t> </w:t>
      </w:r>
      <w:r>
        <w:rPr>
          <w:rFonts w:ascii="Arial" w:hAnsi="Arial"/>
          <w:i/>
          <w:color w:val="231F20"/>
          <w:w w:val="105"/>
          <w:sz w:val="18"/>
        </w:rPr>
        <w:t>un</w:t>
      </w:r>
      <w:r>
        <w:rPr>
          <w:rFonts w:ascii="Arial" w:hAnsi="Arial"/>
          <w:i/>
          <w:color w:val="231F20"/>
          <w:spacing w:val="-15"/>
          <w:w w:val="105"/>
          <w:sz w:val="18"/>
        </w:rPr>
        <w:t> </w:t>
      </w:r>
      <w:r>
        <w:rPr>
          <w:rFonts w:ascii="Arial" w:hAnsi="Arial"/>
          <w:i/>
          <w:color w:val="231F20"/>
          <w:w w:val="105"/>
          <w:sz w:val="18"/>
        </w:rPr>
        <w:t>profesor,</w:t>
      </w:r>
      <w:r>
        <w:rPr>
          <w:rFonts w:ascii="Arial" w:hAnsi="Arial"/>
          <w:i/>
          <w:color w:val="231F20"/>
          <w:spacing w:val="-19"/>
          <w:w w:val="105"/>
          <w:sz w:val="18"/>
        </w:rPr>
        <w:t> </w:t>
      </w:r>
      <w:r>
        <w:rPr>
          <w:rFonts w:ascii="Arial" w:hAnsi="Arial"/>
          <w:i/>
          <w:color w:val="231F20"/>
          <w:w w:val="105"/>
          <w:sz w:val="18"/>
        </w:rPr>
        <w:t>se</w:t>
      </w:r>
      <w:r>
        <w:rPr>
          <w:rFonts w:ascii="Arial" w:hAnsi="Arial"/>
          <w:i/>
          <w:color w:val="231F20"/>
          <w:spacing w:val="-15"/>
          <w:w w:val="105"/>
          <w:sz w:val="18"/>
        </w:rPr>
        <w:t> </w:t>
      </w:r>
      <w:r>
        <w:rPr>
          <w:rFonts w:ascii="Arial" w:hAnsi="Arial"/>
          <w:i/>
          <w:color w:val="231F20"/>
          <w:w w:val="105"/>
          <w:sz w:val="18"/>
        </w:rPr>
        <w:t>iba</w:t>
      </w:r>
      <w:r>
        <w:rPr>
          <w:rFonts w:ascii="Arial" w:hAnsi="Arial"/>
          <w:i/>
          <w:color w:val="231F20"/>
          <w:spacing w:val="-15"/>
          <w:w w:val="105"/>
          <w:sz w:val="18"/>
        </w:rPr>
        <w:t> </w:t>
      </w:r>
      <w:r>
        <w:rPr>
          <w:rFonts w:ascii="Arial" w:hAnsi="Arial"/>
          <w:i/>
          <w:color w:val="231F20"/>
          <w:w w:val="105"/>
          <w:sz w:val="18"/>
        </w:rPr>
        <w:t>los</w:t>
      </w:r>
      <w:r>
        <w:rPr>
          <w:rFonts w:ascii="Arial" w:hAnsi="Arial"/>
          <w:i/>
          <w:color w:val="231F20"/>
          <w:spacing w:val="-15"/>
          <w:w w:val="105"/>
          <w:sz w:val="18"/>
        </w:rPr>
        <w:t> </w:t>
      </w:r>
      <w:r>
        <w:rPr>
          <w:rFonts w:ascii="Arial" w:hAnsi="Arial"/>
          <w:i/>
          <w:color w:val="231F20"/>
          <w:w w:val="105"/>
          <w:sz w:val="18"/>
        </w:rPr>
        <w:t>martes</w:t>
      </w:r>
      <w:r>
        <w:rPr>
          <w:rFonts w:ascii="Arial" w:hAnsi="Arial"/>
          <w:i/>
          <w:color w:val="231F20"/>
          <w:spacing w:val="-15"/>
          <w:w w:val="105"/>
          <w:sz w:val="18"/>
        </w:rPr>
        <w:t> </w:t>
      </w:r>
      <w:r>
        <w:rPr>
          <w:rFonts w:ascii="Arial" w:hAnsi="Arial"/>
          <w:i/>
          <w:color w:val="231F20"/>
          <w:w w:val="105"/>
          <w:sz w:val="18"/>
        </w:rPr>
        <w:t>a</w:t>
      </w:r>
      <w:r>
        <w:rPr>
          <w:rFonts w:ascii="Arial" w:hAnsi="Arial"/>
          <w:i/>
          <w:color w:val="231F20"/>
          <w:spacing w:val="-18"/>
          <w:w w:val="105"/>
          <w:sz w:val="18"/>
        </w:rPr>
        <w:t> </w:t>
      </w:r>
      <w:r>
        <w:rPr>
          <w:rFonts w:ascii="Arial" w:hAnsi="Arial"/>
          <w:i/>
          <w:color w:val="231F20"/>
          <w:spacing w:val="-3"/>
          <w:w w:val="105"/>
          <w:sz w:val="18"/>
        </w:rPr>
        <w:t>Toluca</w:t>
      </w:r>
      <w:r>
        <w:rPr>
          <w:rFonts w:ascii="Arial" w:hAnsi="Arial"/>
          <w:i/>
          <w:color w:val="231F20"/>
          <w:spacing w:val="-15"/>
          <w:w w:val="105"/>
          <w:sz w:val="18"/>
        </w:rPr>
        <w:t> </w:t>
      </w:r>
      <w:r>
        <w:rPr>
          <w:rFonts w:ascii="Arial" w:hAnsi="Arial"/>
          <w:i/>
          <w:color w:val="231F20"/>
          <w:w w:val="105"/>
          <w:sz w:val="18"/>
        </w:rPr>
        <w:t>a</w:t>
      </w:r>
      <w:r>
        <w:rPr>
          <w:rFonts w:ascii="Arial" w:hAnsi="Arial"/>
          <w:i/>
          <w:color w:val="231F20"/>
          <w:spacing w:val="-15"/>
          <w:w w:val="105"/>
          <w:sz w:val="18"/>
        </w:rPr>
        <w:t> </w:t>
      </w:r>
      <w:r>
        <w:rPr>
          <w:rFonts w:ascii="Arial" w:hAnsi="Arial"/>
          <w:i/>
          <w:color w:val="231F20"/>
          <w:w w:val="105"/>
          <w:sz w:val="18"/>
        </w:rPr>
        <w:t>tomar</w:t>
      </w:r>
      <w:r>
        <w:rPr>
          <w:rFonts w:ascii="Arial" w:hAnsi="Arial"/>
          <w:i/>
          <w:color w:val="231F20"/>
          <w:spacing w:val="-15"/>
          <w:w w:val="105"/>
          <w:sz w:val="18"/>
        </w:rPr>
        <w:t> </w:t>
      </w:r>
      <w:r>
        <w:rPr>
          <w:rFonts w:ascii="Arial" w:hAnsi="Arial"/>
          <w:i/>
          <w:color w:val="231F20"/>
          <w:w w:val="105"/>
          <w:sz w:val="18"/>
        </w:rPr>
        <w:t>un</w:t>
      </w:r>
      <w:r>
        <w:rPr>
          <w:rFonts w:ascii="Arial" w:hAnsi="Arial"/>
          <w:i/>
          <w:color w:val="231F20"/>
          <w:spacing w:val="-15"/>
          <w:w w:val="105"/>
          <w:sz w:val="18"/>
        </w:rPr>
        <w:t> </w:t>
      </w:r>
      <w:r>
        <w:rPr>
          <w:rFonts w:ascii="Arial" w:hAnsi="Arial"/>
          <w:i/>
          <w:color w:val="231F20"/>
          <w:w w:val="105"/>
          <w:sz w:val="18"/>
        </w:rPr>
        <w:t>curso,</w:t>
      </w:r>
      <w:r>
        <w:rPr>
          <w:rFonts w:ascii="Arial" w:hAnsi="Arial"/>
          <w:i/>
          <w:color w:val="231F20"/>
          <w:spacing w:val="-19"/>
          <w:w w:val="105"/>
          <w:sz w:val="18"/>
        </w:rPr>
        <w:t> </w:t>
      </w:r>
      <w:r>
        <w:rPr>
          <w:rFonts w:ascii="Arial" w:hAnsi="Arial"/>
          <w:i/>
          <w:color w:val="231F20"/>
          <w:w w:val="105"/>
          <w:sz w:val="18"/>
        </w:rPr>
        <w:t>y</w:t>
      </w:r>
      <w:r>
        <w:rPr>
          <w:rFonts w:ascii="Arial" w:hAnsi="Arial"/>
          <w:i/>
          <w:color w:val="231F20"/>
          <w:spacing w:val="-15"/>
          <w:w w:val="105"/>
          <w:sz w:val="18"/>
        </w:rPr>
        <w:t> </w:t>
      </w:r>
      <w:r>
        <w:rPr>
          <w:rFonts w:ascii="Arial" w:hAnsi="Arial"/>
          <w:i/>
          <w:color w:val="231F20"/>
          <w:w w:val="105"/>
          <w:sz w:val="18"/>
        </w:rPr>
        <w:t>me</w:t>
      </w:r>
      <w:r>
        <w:rPr>
          <w:rFonts w:ascii="Arial" w:hAnsi="Arial"/>
          <w:i/>
          <w:color w:val="231F20"/>
          <w:spacing w:val="-15"/>
          <w:w w:val="105"/>
          <w:sz w:val="18"/>
        </w:rPr>
        <w:t> </w:t>
      </w:r>
      <w:r>
        <w:rPr>
          <w:rFonts w:ascii="Arial" w:hAnsi="Arial"/>
          <w:i/>
          <w:color w:val="231F20"/>
          <w:w w:val="105"/>
          <w:sz w:val="18"/>
        </w:rPr>
        <w:t>decía que</w:t>
      </w:r>
      <w:r>
        <w:rPr>
          <w:rFonts w:ascii="Arial" w:hAnsi="Arial"/>
          <w:i/>
          <w:color w:val="231F20"/>
          <w:spacing w:val="-17"/>
          <w:w w:val="105"/>
          <w:sz w:val="18"/>
        </w:rPr>
        <w:t> </w:t>
      </w:r>
      <w:r>
        <w:rPr>
          <w:rFonts w:ascii="Arial" w:hAnsi="Arial"/>
          <w:i/>
          <w:color w:val="231F20"/>
          <w:w w:val="105"/>
          <w:sz w:val="18"/>
        </w:rPr>
        <w:t>me</w:t>
      </w:r>
      <w:r>
        <w:rPr>
          <w:rFonts w:ascii="Arial" w:hAnsi="Arial"/>
          <w:i/>
          <w:color w:val="231F20"/>
          <w:spacing w:val="-17"/>
          <w:w w:val="105"/>
          <w:sz w:val="18"/>
        </w:rPr>
        <w:t> </w:t>
      </w:r>
      <w:r>
        <w:rPr>
          <w:rFonts w:ascii="Arial" w:hAnsi="Arial"/>
          <w:i/>
          <w:color w:val="231F20"/>
          <w:w w:val="105"/>
          <w:sz w:val="18"/>
        </w:rPr>
        <w:t>dejaba</w:t>
      </w:r>
      <w:r>
        <w:rPr>
          <w:rFonts w:ascii="Arial" w:hAnsi="Arial"/>
          <w:i/>
          <w:color w:val="231F20"/>
          <w:spacing w:val="-17"/>
          <w:w w:val="105"/>
          <w:sz w:val="18"/>
        </w:rPr>
        <w:t> </w:t>
      </w:r>
      <w:r>
        <w:rPr>
          <w:rFonts w:ascii="Arial" w:hAnsi="Arial"/>
          <w:i/>
          <w:color w:val="231F20"/>
          <w:w w:val="105"/>
          <w:sz w:val="18"/>
        </w:rPr>
        <w:t>de</w:t>
      </w:r>
      <w:r>
        <w:rPr>
          <w:rFonts w:ascii="Arial" w:hAnsi="Arial"/>
          <w:i/>
          <w:color w:val="231F20"/>
          <w:spacing w:val="-17"/>
          <w:w w:val="105"/>
          <w:sz w:val="18"/>
        </w:rPr>
        <w:t> </w:t>
      </w:r>
      <w:r>
        <w:rPr>
          <w:rFonts w:ascii="Arial" w:hAnsi="Arial"/>
          <w:i/>
          <w:color w:val="231F20"/>
          <w:w w:val="105"/>
          <w:sz w:val="18"/>
        </w:rPr>
        <w:t>encargado.</w:t>
      </w:r>
      <w:r>
        <w:rPr>
          <w:rFonts w:ascii="Arial" w:hAnsi="Arial"/>
          <w:i/>
          <w:color w:val="231F20"/>
          <w:spacing w:val="-21"/>
          <w:w w:val="105"/>
          <w:sz w:val="18"/>
        </w:rPr>
        <w:t> </w:t>
      </w:r>
      <w:r>
        <w:rPr>
          <w:rFonts w:ascii="Arial" w:hAnsi="Arial"/>
          <w:i/>
          <w:color w:val="231F20"/>
          <w:w w:val="105"/>
          <w:sz w:val="18"/>
        </w:rPr>
        <w:t>En</w:t>
      </w:r>
      <w:r>
        <w:rPr>
          <w:rFonts w:ascii="Arial" w:hAnsi="Arial"/>
          <w:i/>
          <w:color w:val="231F20"/>
          <w:spacing w:val="-17"/>
          <w:w w:val="105"/>
          <w:sz w:val="18"/>
        </w:rPr>
        <w:t> </w:t>
      </w:r>
      <w:r>
        <w:rPr>
          <w:rFonts w:ascii="Arial" w:hAnsi="Arial"/>
          <w:i/>
          <w:color w:val="231F20"/>
          <w:w w:val="105"/>
          <w:sz w:val="18"/>
        </w:rPr>
        <w:t>ese</w:t>
      </w:r>
      <w:r>
        <w:rPr>
          <w:rFonts w:ascii="Arial" w:hAnsi="Arial"/>
          <w:i/>
          <w:color w:val="231F20"/>
          <w:spacing w:val="-17"/>
          <w:w w:val="105"/>
          <w:sz w:val="18"/>
        </w:rPr>
        <w:t> </w:t>
      </w:r>
      <w:r>
        <w:rPr>
          <w:rFonts w:ascii="Arial" w:hAnsi="Arial"/>
          <w:i/>
          <w:color w:val="231F20"/>
          <w:w w:val="105"/>
          <w:sz w:val="18"/>
        </w:rPr>
        <w:t>tiempo</w:t>
      </w:r>
      <w:r>
        <w:rPr>
          <w:rFonts w:ascii="Arial" w:hAnsi="Arial"/>
          <w:i/>
          <w:color w:val="231F20"/>
          <w:spacing w:val="-17"/>
          <w:w w:val="105"/>
          <w:sz w:val="18"/>
        </w:rPr>
        <w:t> </w:t>
      </w:r>
      <w:r>
        <w:rPr>
          <w:rFonts w:ascii="Arial" w:hAnsi="Arial"/>
          <w:i/>
          <w:color w:val="231F20"/>
          <w:w w:val="105"/>
          <w:sz w:val="18"/>
        </w:rPr>
        <w:t>tiramos</w:t>
      </w:r>
      <w:r>
        <w:rPr>
          <w:rFonts w:ascii="Arial" w:hAnsi="Arial"/>
          <w:i/>
          <w:color w:val="231F20"/>
          <w:spacing w:val="-17"/>
          <w:w w:val="105"/>
          <w:sz w:val="18"/>
        </w:rPr>
        <w:t> </w:t>
      </w:r>
      <w:r>
        <w:rPr>
          <w:rFonts w:ascii="Arial" w:hAnsi="Arial"/>
          <w:i/>
          <w:color w:val="231F20"/>
          <w:w w:val="105"/>
          <w:sz w:val="18"/>
        </w:rPr>
        <w:t>el</w:t>
      </w:r>
      <w:r>
        <w:rPr>
          <w:rFonts w:ascii="Arial" w:hAnsi="Arial"/>
          <w:i/>
          <w:color w:val="231F20"/>
          <w:spacing w:val="-17"/>
          <w:w w:val="105"/>
          <w:sz w:val="18"/>
        </w:rPr>
        <w:t> </w:t>
      </w:r>
      <w:r>
        <w:rPr>
          <w:rFonts w:ascii="Arial" w:hAnsi="Arial"/>
          <w:i/>
          <w:color w:val="231F20"/>
          <w:w w:val="105"/>
          <w:sz w:val="18"/>
        </w:rPr>
        <w:t>palacio</w:t>
      </w:r>
      <w:r>
        <w:rPr>
          <w:rFonts w:ascii="Arial" w:hAnsi="Arial"/>
          <w:i/>
          <w:color w:val="231F20"/>
          <w:spacing w:val="-17"/>
          <w:w w:val="105"/>
          <w:sz w:val="18"/>
        </w:rPr>
        <w:t> </w:t>
      </w:r>
      <w:r>
        <w:rPr>
          <w:rFonts w:ascii="Arial" w:hAnsi="Arial"/>
          <w:i/>
          <w:color w:val="231F20"/>
          <w:w w:val="105"/>
          <w:sz w:val="18"/>
        </w:rPr>
        <w:t>munici- pal</w:t>
      </w:r>
      <w:r>
        <w:rPr>
          <w:rFonts w:ascii="Arial" w:hAnsi="Arial"/>
          <w:i/>
          <w:color w:val="231F20"/>
          <w:spacing w:val="-26"/>
          <w:w w:val="105"/>
          <w:sz w:val="18"/>
        </w:rPr>
        <w:t> </w:t>
      </w:r>
      <w:r>
        <w:rPr>
          <w:rFonts w:ascii="Arial" w:hAnsi="Arial"/>
          <w:i/>
          <w:color w:val="231F20"/>
          <w:w w:val="105"/>
          <w:sz w:val="18"/>
        </w:rPr>
        <w:t>antiguo,</w:t>
      </w:r>
      <w:r>
        <w:rPr>
          <w:rFonts w:ascii="Arial" w:hAnsi="Arial"/>
          <w:i/>
          <w:color w:val="231F20"/>
          <w:spacing w:val="-30"/>
          <w:w w:val="105"/>
          <w:sz w:val="18"/>
        </w:rPr>
        <w:t> </w:t>
      </w:r>
      <w:r>
        <w:rPr>
          <w:rFonts w:ascii="Arial" w:hAnsi="Arial"/>
          <w:i/>
          <w:color w:val="231F20"/>
          <w:w w:val="105"/>
          <w:sz w:val="18"/>
        </w:rPr>
        <w:t>que</w:t>
      </w:r>
      <w:r>
        <w:rPr>
          <w:rFonts w:ascii="Arial" w:hAnsi="Arial"/>
          <w:i/>
          <w:color w:val="231F20"/>
          <w:spacing w:val="-26"/>
          <w:w w:val="105"/>
          <w:sz w:val="18"/>
        </w:rPr>
        <w:t> </w:t>
      </w:r>
      <w:r>
        <w:rPr>
          <w:rFonts w:ascii="Arial" w:hAnsi="Arial"/>
          <w:i/>
          <w:color w:val="231F20"/>
          <w:w w:val="105"/>
          <w:sz w:val="18"/>
        </w:rPr>
        <w:t>era</w:t>
      </w:r>
      <w:r>
        <w:rPr>
          <w:rFonts w:ascii="Arial" w:hAnsi="Arial"/>
          <w:i/>
          <w:color w:val="231F20"/>
          <w:spacing w:val="-26"/>
          <w:w w:val="105"/>
          <w:sz w:val="18"/>
        </w:rPr>
        <w:t> </w:t>
      </w:r>
      <w:r>
        <w:rPr>
          <w:rFonts w:ascii="Arial" w:hAnsi="Arial"/>
          <w:i/>
          <w:color w:val="231F20"/>
          <w:w w:val="105"/>
          <w:sz w:val="18"/>
        </w:rPr>
        <w:t>de</w:t>
      </w:r>
      <w:r>
        <w:rPr>
          <w:rFonts w:ascii="Arial" w:hAnsi="Arial"/>
          <w:i/>
          <w:color w:val="231F20"/>
          <w:spacing w:val="-26"/>
          <w:w w:val="105"/>
          <w:sz w:val="18"/>
        </w:rPr>
        <w:t> </w:t>
      </w:r>
      <w:r>
        <w:rPr>
          <w:rFonts w:ascii="Arial" w:hAnsi="Arial"/>
          <w:i/>
          <w:color w:val="231F20"/>
          <w:w w:val="105"/>
          <w:sz w:val="18"/>
        </w:rPr>
        <w:t>adobe</w:t>
      </w:r>
      <w:r>
        <w:rPr>
          <w:rFonts w:ascii="Arial" w:hAnsi="Arial"/>
          <w:i/>
          <w:color w:val="231F20"/>
          <w:spacing w:val="-26"/>
          <w:w w:val="105"/>
          <w:sz w:val="18"/>
        </w:rPr>
        <w:t> </w:t>
      </w:r>
      <w:r>
        <w:rPr>
          <w:rFonts w:ascii="Arial" w:hAnsi="Arial"/>
          <w:i/>
          <w:color w:val="231F20"/>
          <w:w w:val="105"/>
          <w:sz w:val="18"/>
        </w:rPr>
        <w:t>y</w:t>
      </w:r>
      <w:r>
        <w:rPr>
          <w:rFonts w:ascii="Arial" w:hAnsi="Arial"/>
          <w:i/>
          <w:color w:val="231F20"/>
          <w:spacing w:val="-26"/>
          <w:w w:val="105"/>
          <w:sz w:val="18"/>
        </w:rPr>
        <w:t> </w:t>
      </w:r>
      <w:r>
        <w:rPr>
          <w:rFonts w:ascii="Arial" w:hAnsi="Arial"/>
          <w:i/>
          <w:color w:val="231F20"/>
          <w:w w:val="105"/>
          <w:sz w:val="18"/>
        </w:rPr>
        <w:t>ya</w:t>
      </w:r>
      <w:r>
        <w:rPr>
          <w:rFonts w:ascii="Arial" w:hAnsi="Arial"/>
          <w:i/>
          <w:color w:val="231F20"/>
          <w:spacing w:val="-26"/>
          <w:w w:val="105"/>
          <w:sz w:val="18"/>
        </w:rPr>
        <w:t> </w:t>
      </w:r>
      <w:r>
        <w:rPr>
          <w:rFonts w:ascii="Arial" w:hAnsi="Arial"/>
          <w:i/>
          <w:color w:val="231F20"/>
          <w:w w:val="105"/>
          <w:sz w:val="18"/>
        </w:rPr>
        <w:t>estaba</w:t>
      </w:r>
      <w:r>
        <w:rPr>
          <w:rFonts w:ascii="Arial" w:hAnsi="Arial"/>
          <w:i/>
          <w:color w:val="231F20"/>
          <w:spacing w:val="-26"/>
          <w:w w:val="105"/>
          <w:sz w:val="18"/>
        </w:rPr>
        <w:t> </w:t>
      </w:r>
      <w:r>
        <w:rPr>
          <w:rFonts w:ascii="Arial" w:hAnsi="Arial"/>
          <w:i/>
          <w:color w:val="231F20"/>
          <w:w w:val="105"/>
          <w:sz w:val="18"/>
        </w:rPr>
        <w:t>en</w:t>
      </w:r>
      <w:r>
        <w:rPr>
          <w:rFonts w:ascii="Arial" w:hAnsi="Arial"/>
          <w:i/>
          <w:color w:val="231F20"/>
          <w:spacing w:val="-26"/>
          <w:w w:val="105"/>
          <w:sz w:val="18"/>
        </w:rPr>
        <w:t> </w:t>
      </w:r>
      <w:r>
        <w:rPr>
          <w:rFonts w:ascii="Arial" w:hAnsi="Arial"/>
          <w:i/>
          <w:color w:val="231F20"/>
          <w:w w:val="105"/>
          <w:sz w:val="18"/>
        </w:rPr>
        <w:t>malas</w:t>
      </w:r>
      <w:r>
        <w:rPr>
          <w:rFonts w:ascii="Arial" w:hAnsi="Arial"/>
          <w:i/>
          <w:color w:val="231F20"/>
          <w:spacing w:val="-26"/>
          <w:w w:val="105"/>
          <w:sz w:val="18"/>
        </w:rPr>
        <w:t> </w:t>
      </w:r>
      <w:r>
        <w:rPr>
          <w:rFonts w:ascii="Arial" w:hAnsi="Arial"/>
          <w:i/>
          <w:color w:val="231F20"/>
          <w:w w:val="105"/>
          <w:sz w:val="18"/>
        </w:rPr>
        <w:t>condiciones,</w:t>
      </w:r>
      <w:r>
        <w:rPr>
          <w:rFonts w:ascii="Arial" w:hAnsi="Arial"/>
          <w:i/>
          <w:color w:val="231F20"/>
          <w:spacing w:val="-30"/>
          <w:w w:val="105"/>
          <w:sz w:val="18"/>
        </w:rPr>
        <w:t> </w:t>
      </w:r>
      <w:r>
        <w:rPr>
          <w:rFonts w:ascii="Arial" w:hAnsi="Arial"/>
          <w:i/>
          <w:color w:val="231F20"/>
          <w:w w:val="105"/>
          <w:sz w:val="18"/>
        </w:rPr>
        <w:t>así</w:t>
      </w:r>
      <w:r>
        <w:rPr>
          <w:rFonts w:ascii="Arial" w:hAnsi="Arial"/>
          <w:i/>
          <w:color w:val="231F20"/>
          <w:spacing w:val="-26"/>
          <w:w w:val="105"/>
          <w:sz w:val="18"/>
        </w:rPr>
        <w:t> </w:t>
      </w:r>
      <w:r>
        <w:rPr>
          <w:rFonts w:ascii="Arial" w:hAnsi="Arial"/>
          <w:i/>
          <w:color w:val="231F20"/>
          <w:w w:val="105"/>
          <w:sz w:val="18"/>
        </w:rPr>
        <w:t>que hicimos</w:t>
      </w:r>
      <w:r>
        <w:rPr>
          <w:rFonts w:ascii="Arial" w:hAnsi="Arial"/>
          <w:i/>
          <w:color w:val="231F20"/>
          <w:spacing w:val="-19"/>
          <w:w w:val="105"/>
          <w:sz w:val="18"/>
        </w:rPr>
        <w:t> </w:t>
      </w:r>
      <w:r>
        <w:rPr>
          <w:rFonts w:ascii="Arial" w:hAnsi="Arial"/>
          <w:i/>
          <w:color w:val="231F20"/>
          <w:w w:val="105"/>
          <w:sz w:val="18"/>
        </w:rPr>
        <w:t>el</w:t>
      </w:r>
      <w:r>
        <w:rPr>
          <w:rFonts w:ascii="Arial" w:hAnsi="Arial"/>
          <w:i/>
          <w:color w:val="231F20"/>
          <w:spacing w:val="-19"/>
          <w:w w:val="105"/>
          <w:sz w:val="18"/>
        </w:rPr>
        <w:t> </w:t>
      </w:r>
      <w:r>
        <w:rPr>
          <w:rFonts w:ascii="Arial" w:hAnsi="Arial"/>
          <w:i/>
          <w:color w:val="231F20"/>
          <w:w w:val="105"/>
          <w:sz w:val="18"/>
        </w:rPr>
        <w:t>nuevo</w:t>
      </w:r>
      <w:r>
        <w:rPr>
          <w:rFonts w:ascii="Arial" w:hAnsi="Arial"/>
          <w:i/>
          <w:color w:val="231F20"/>
          <w:spacing w:val="-19"/>
          <w:w w:val="105"/>
          <w:sz w:val="18"/>
        </w:rPr>
        <w:t> </w:t>
      </w:r>
      <w:r>
        <w:rPr>
          <w:rFonts w:ascii="Arial" w:hAnsi="Arial"/>
          <w:i/>
          <w:color w:val="231F20"/>
          <w:w w:val="105"/>
          <w:sz w:val="18"/>
        </w:rPr>
        <w:t>y</w:t>
      </w:r>
      <w:r>
        <w:rPr>
          <w:rFonts w:ascii="Arial" w:hAnsi="Arial"/>
          <w:i/>
          <w:color w:val="231F20"/>
          <w:spacing w:val="-19"/>
          <w:w w:val="105"/>
          <w:sz w:val="18"/>
        </w:rPr>
        <w:t> </w:t>
      </w:r>
      <w:r>
        <w:rPr>
          <w:rFonts w:ascii="Arial" w:hAnsi="Arial"/>
          <w:i/>
          <w:color w:val="231F20"/>
          <w:w w:val="105"/>
          <w:sz w:val="18"/>
        </w:rPr>
        <w:t>construimos</w:t>
      </w:r>
      <w:r>
        <w:rPr>
          <w:rFonts w:ascii="Arial" w:hAnsi="Arial"/>
          <w:i/>
          <w:color w:val="231F20"/>
          <w:spacing w:val="-19"/>
          <w:w w:val="105"/>
          <w:sz w:val="18"/>
        </w:rPr>
        <w:t> </w:t>
      </w:r>
      <w:r>
        <w:rPr>
          <w:rFonts w:ascii="Arial" w:hAnsi="Arial"/>
          <w:i/>
          <w:color w:val="231F20"/>
          <w:w w:val="105"/>
          <w:sz w:val="18"/>
        </w:rPr>
        <w:t>la</w:t>
      </w:r>
      <w:r>
        <w:rPr>
          <w:rFonts w:ascii="Arial" w:hAnsi="Arial"/>
          <w:i/>
          <w:color w:val="231F20"/>
          <w:spacing w:val="-19"/>
          <w:w w:val="105"/>
          <w:sz w:val="18"/>
        </w:rPr>
        <w:t> </w:t>
      </w:r>
      <w:r>
        <w:rPr>
          <w:rFonts w:ascii="Arial" w:hAnsi="Arial"/>
          <w:i/>
          <w:color w:val="231F20"/>
          <w:w w:val="105"/>
          <w:sz w:val="18"/>
        </w:rPr>
        <w:t>plazuela.</w:t>
      </w:r>
      <w:r>
        <w:rPr>
          <w:rFonts w:ascii="Arial" w:hAnsi="Arial"/>
          <w:i/>
          <w:color w:val="231F20"/>
          <w:spacing w:val="-22"/>
          <w:w w:val="105"/>
          <w:sz w:val="18"/>
        </w:rPr>
        <w:t> </w:t>
      </w:r>
      <w:r>
        <w:rPr>
          <w:rFonts w:ascii="Arial" w:hAnsi="Arial"/>
          <w:i/>
          <w:color w:val="231F20"/>
          <w:w w:val="105"/>
          <w:sz w:val="18"/>
        </w:rPr>
        <w:t>En</w:t>
      </w:r>
      <w:r>
        <w:rPr>
          <w:rFonts w:ascii="Arial" w:hAnsi="Arial"/>
          <w:i/>
          <w:color w:val="231F20"/>
          <w:spacing w:val="-19"/>
          <w:w w:val="105"/>
          <w:sz w:val="18"/>
        </w:rPr>
        <w:t> </w:t>
      </w:r>
      <w:r>
        <w:rPr>
          <w:rFonts w:ascii="Arial" w:hAnsi="Arial"/>
          <w:i/>
          <w:color w:val="231F20"/>
          <w:w w:val="105"/>
          <w:sz w:val="18"/>
        </w:rPr>
        <w:t>1979</w:t>
      </w:r>
      <w:r>
        <w:rPr>
          <w:rFonts w:ascii="Arial" w:hAnsi="Arial"/>
          <w:i/>
          <w:color w:val="231F20"/>
          <w:spacing w:val="-19"/>
          <w:w w:val="105"/>
          <w:sz w:val="18"/>
        </w:rPr>
        <w:t> </w:t>
      </w:r>
      <w:r>
        <w:rPr>
          <w:rFonts w:ascii="Arial" w:hAnsi="Arial"/>
          <w:i/>
          <w:color w:val="231F20"/>
          <w:w w:val="105"/>
          <w:sz w:val="18"/>
        </w:rPr>
        <w:t>volví</w:t>
      </w:r>
      <w:r>
        <w:rPr>
          <w:rFonts w:ascii="Arial" w:hAnsi="Arial"/>
          <w:i/>
          <w:color w:val="231F20"/>
          <w:spacing w:val="-19"/>
          <w:w w:val="105"/>
          <w:sz w:val="18"/>
        </w:rPr>
        <w:t> </w:t>
      </w:r>
      <w:r>
        <w:rPr>
          <w:rFonts w:ascii="Arial" w:hAnsi="Arial"/>
          <w:i/>
          <w:color w:val="231F20"/>
          <w:w w:val="105"/>
          <w:sz w:val="18"/>
        </w:rPr>
        <w:t>a</w:t>
      </w:r>
      <w:r>
        <w:rPr>
          <w:rFonts w:ascii="Arial" w:hAnsi="Arial"/>
          <w:i/>
          <w:color w:val="231F20"/>
          <w:spacing w:val="-19"/>
          <w:w w:val="105"/>
          <w:sz w:val="18"/>
        </w:rPr>
        <w:t> </w:t>
      </w:r>
      <w:r>
        <w:rPr>
          <w:rFonts w:ascii="Arial" w:hAnsi="Arial"/>
          <w:i/>
          <w:color w:val="231F20"/>
          <w:w w:val="105"/>
          <w:sz w:val="18"/>
        </w:rPr>
        <w:t>ser</w:t>
      </w:r>
      <w:r>
        <w:rPr>
          <w:rFonts w:ascii="Arial" w:hAnsi="Arial"/>
          <w:i/>
          <w:color w:val="231F20"/>
          <w:spacing w:val="-19"/>
          <w:w w:val="105"/>
          <w:sz w:val="18"/>
        </w:rPr>
        <w:t> </w:t>
      </w:r>
      <w:r>
        <w:rPr>
          <w:rFonts w:ascii="Arial" w:hAnsi="Arial"/>
          <w:i/>
          <w:color w:val="231F20"/>
          <w:w w:val="105"/>
          <w:sz w:val="18"/>
        </w:rPr>
        <w:t>regidor,</w:t>
      </w:r>
    </w:p>
    <w:p>
      <w:pPr>
        <w:spacing w:after="0" w:line="249" w:lineRule="auto"/>
        <w:jc w:val="both"/>
        <w:rPr>
          <w:rFonts w:ascii="Arial" w:hAnsi="Arial"/>
          <w:sz w:val="18"/>
        </w:rPr>
        <w:sectPr>
          <w:pgSz w:w="10480" w:h="14730"/>
          <w:pgMar w:header="0" w:footer="103" w:top="300" w:bottom="300" w:left="0" w:right="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11"/>
        <w:rPr>
          <w:rFonts w:ascii="Arial"/>
          <w:i/>
          <w:sz w:val="28"/>
        </w:rPr>
      </w:pPr>
    </w:p>
    <w:p>
      <w:pPr>
        <w:spacing w:line="249" w:lineRule="auto" w:before="63"/>
        <w:ind w:left="2815" w:right="1822" w:firstLine="0"/>
        <w:jc w:val="both"/>
        <w:rPr>
          <w:rFonts w:ascii="Arial" w:hAnsi="Arial"/>
          <w:i/>
          <w:sz w:val="18"/>
        </w:rPr>
      </w:pPr>
      <w:r>
        <w:rPr/>
        <w:pict>
          <v:line style="position:absolute;mso-position-horizontal-relative:page;mso-position-vertical-relative:paragraph;z-index:45304" from="15pt,-68.274239pt" to="0pt,-68.274239pt" stroked="true" strokeweight=".25pt" strokecolor="#000000">
            <w10:wrap type="none"/>
          </v:line>
        </w:pict>
      </w:r>
      <w:r>
        <w:rPr/>
        <w:pict>
          <v:line style="position:absolute;mso-position-horizontal-relative:page;mso-position-vertical-relative:paragraph;z-index:45328" from="508.890015pt,-68.274239pt" to="523.890015pt,-68.274239pt" stroked="true" strokeweight=".25pt" strokecolor="#000000">
            <w10:wrap type="none"/>
          </v:line>
        </w:pict>
      </w:r>
      <w:r>
        <w:rPr>
          <w:rFonts w:ascii="Arial" w:hAnsi="Arial"/>
          <w:i/>
          <w:color w:val="231F20"/>
          <w:w w:val="105"/>
          <w:sz w:val="18"/>
        </w:rPr>
        <w:t>me tocó encargarme de las obras de la cabecera municipal y de doce </w:t>
      </w:r>
      <w:r>
        <w:rPr>
          <w:rFonts w:ascii="Arial" w:hAnsi="Arial"/>
          <w:i/>
          <w:color w:val="231F20"/>
          <w:w w:val="105"/>
          <w:sz w:val="18"/>
        </w:rPr>
        <w:t>comunidades.</w:t>
      </w:r>
    </w:p>
    <w:p>
      <w:pPr>
        <w:spacing w:line="249" w:lineRule="auto" w:before="114"/>
        <w:ind w:left="2815" w:right="1820" w:firstLine="0"/>
        <w:jc w:val="both"/>
        <w:rPr>
          <w:rFonts w:ascii="Arial" w:hAnsi="Arial"/>
          <w:i/>
          <w:sz w:val="18"/>
        </w:rPr>
      </w:pPr>
      <w:r>
        <w:rPr>
          <w:rFonts w:ascii="Arial" w:hAnsi="Arial"/>
          <w:i/>
          <w:color w:val="231F20"/>
          <w:spacing w:val="-5"/>
          <w:w w:val="105"/>
          <w:sz w:val="18"/>
        </w:rPr>
        <w:t>Por</w:t>
      </w:r>
      <w:r>
        <w:rPr>
          <w:rFonts w:ascii="Arial" w:hAnsi="Arial"/>
          <w:i/>
          <w:color w:val="231F20"/>
          <w:spacing w:val="-16"/>
          <w:w w:val="105"/>
          <w:sz w:val="18"/>
        </w:rPr>
        <w:t> </w:t>
      </w:r>
      <w:r>
        <w:rPr>
          <w:rFonts w:ascii="Arial" w:hAnsi="Arial"/>
          <w:i/>
          <w:color w:val="231F20"/>
          <w:w w:val="105"/>
          <w:sz w:val="18"/>
        </w:rPr>
        <w:t>esos</w:t>
      </w:r>
      <w:r>
        <w:rPr>
          <w:rFonts w:ascii="Arial" w:hAnsi="Arial"/>
          <w:i/>
          <w:color w:val="231F20"/>
          <w:spacing w:val="-16"/>
          <w:w w:val="105"/>
          <w:sz w:val="18"/>
        </w:rPr>
        <w:t> </w:t>
      </w:r>
      <w:r>
        <w:rPr>
          <w:rFonts w:ascii="Arial" w:hAnsi="Arial"/>
          <w:i/>
          <w:color w:val="231F20"/>
          <w:w w:val="105"/>
          <w:sz w:val="18"/>
        </w:rPr>
        <w:t>años</w:t>
      </w:r>
      <w:r>
        <w:rPr>
          <w:rFonts w:ascii="Arial" w:hAnsi="Arial"/>
          <w:i/>
          <w:color w:val="231F20"/>
          <w:spacing w:val="-16"/>
          <w:w w:val="105"/>
          <w:sz w:val="18"/>
        </w:rPr>
        <w:t> </w:t>
      </w:r>
      <w:r>
        <w:rPr>
          <w:rFonts w:ascii="Arial" w:hAnsi="Arial"/>
          <w:i/>
          <w:color w:val="231F20"/>
          <w:w w:val="105"/>
          <w:sz w:val="18"/>
        </w:rPr>
        <w:t>mis</w:t>
      </w:r>
      <w:r>
        <w:rPr>
          <w:rFonts w:ascii="Arial" w:hAnsi="Arial"/>
          <w:i/>
          <w:color w:val="231F20"/>
          <w:spacing w:val="-16"/>
          <w:w w:val="105"/>
          <w:sz w:val="18"/>
        </w:rPr>
        <w:t> </w:t>
      </w:r>
      <w:r>
        <w:rPr>
          <w:rFonts w:ascii="Arial" w:hAnsi="Arial"/>
          <w:i/>
          <w:color w:val="231F20"/>
          <w:w w:val="105"/>
          <w:sz w:val="18"/>
        </w:rPr>
        <w:t>hijos</w:t>
      </w:r>
      <w:r>
        <w:rPr>
          <w:rFonts w:ascii="Arial" w:hAnsi="Arial"/>
          <w:i/>
          <w:color w:val="231F20"/>
          <w:spacing w:val="-16"/>
          <w:w w:val="105"/>
          <w:sz w:val="18"/>
        </w:rPr>
        <w:t> </w:t>
      </w:r>
      <w:r>
        <w:rPr>
          <w:rFonts w:ascii="Arial" w:hAnsi="Arial"/>
          <w:i/>
          <w:color w:val="231F20"/>
          <w:w w:val="105"/>
          <w:sz w:val="18"/>
        </w:rPr>
        <w:t>emigraron.</w:t>
      </w:r>
      <w:r>
        <w:rPr>
          <w:rFonts w:ascii="Arial" w:hAnsi="Arial"/>
          <w:i/>
          <w:color w:val="231F20"/>
          <w:spacing w:val="-20"/>
          <w:w w:val="105"/>
          <w:sz w:val="18"/>
        </w:rPr>
        <w:t> </w:t>
      </w:r>
      <w:r>
        <w:rPr>
          <w:rFonts w:ascii="Arial" w:hAnsi="Arial"/>
          <w:i/>
          <w:color w:val="231F20"/>
          <w:w w:val="105"/>
          <w:sz w:val="18"/>
        </w:rPr>
        <w:t>Ellos</w:t>
      </w:r>
      <w:r>
        <w:rPr>
          <w:rFonts w:ascii="Arial" w:hAnsi="Arial"/>
          <w:i/>
          <w:color w:val="231F20"/>
          <w:spacing w:val="-16"/>
          <w:w w:val="105"/>
          <w:sz w:val="18"/>
        </w:rPr>
        <w:t> </w:t>
      </w:r>
      <w:r>
        <w:rPr>
          <w:rFonts w:ascii="Arial" w:hAnsi="Arial"/>
          <w:i/>
          <w:color w:val="231F20"/>
          <w:w w:val="105"/>
          <w:sz w:val="18"/>
        </w:rPr>
        <w:t>se</w:t>
      </w:r>
      <w:r>
        <w:rPr>
          <w:rFonts w:ascii="Arial" w:hAnsi="Arial"/>
          <w:i/>
          <w:color w:val="231F20"/>
          <w:spacing w:val="-16"/>
          <w:w w:val="105"/>
          <w:sz w:val="18"/>
        </w:rPr>
        <w:t> </w:t>
      </w:r>
      <w:r>
        <w:rPr>
          <w:rFonts w:ascii="Arial" w:hAnsi="Arial"/>
          <w:i/>
          <w:color w:val="231F20"/>
          <w:w w:val="105"/>
          <w:sz w:val="18"/>
        </w:rPr>
        <w:t>fueron</w:t>
      </w:r>
      <w:r>
        <w:rPr>
          <w:rFonts w:ascii="Arial" w:hAnsi="Arial"/>
          <w:i/>
          <w:color w:val="231F20"/>
          <w:spacing w:val="-16"/>
          <w:w w:val="105"/>
          <w:sz w:val="18"/>
        </w:rPr>
        <w:t> </w:t>
      </w:r>
      <w:r>
        <w:rPr>
          <w:rFonts w:ascii="Arial" w:hAnsi="Arial"/>
          <w:i/>
          <w:color w:val="231F20"/>
          <w:w w:val="105"/>
          <w:sz w:val="18"/>
        </w:rPr>
        <w:t>a</w:t>
      </w:r>
      <w:r>
        <w:rPr>
          <w:rFonts w:ascii="Arial" w:hAnsi="Arial"/>
          <w:i/>
          <w:color w:val="231F20"/>
          <w:spacing w:val="-16"/>
          <w:w w:val="105"/>
          <w:sz w:val="18"/>
        </w:rPr>
        <w:t> </w:t>
      </w:r>
      <w:r>
        <w:rPr>
          <w:rFonts w:ascii="Arial" w:hAnsi="Arial"/>
          <w:i/>
          <w:color w:val="231F20"/>
          <w:w w:val="105"/>
          <w:sz w:val="18"/>
        </w:rPr>
        <w:t>Chicago</w:t>
      </w:r>
      <w:r>
        <w:rPr>
          <w:rFonts w:ascii="Arial" w:hAnsi="Arial"/>
          <w:i/>
          <w:color w:val="231F20"/>
          <w:spacing w:val="-16"/>
          <w:w w:val="105"/>
          <w:sz w:val="18"/>
        </w:rPr>
        <w:t> </w:t>
      </w:r>
      <w:r>
        <w:rPr>
          <w:rFonts w:ascii="Arial" w:hAnsi="Arial"/>
          <w:i/>
          <w:color w:val="231F20"/>
          <w:w w:val="105"/>
          <w:sz w:val="18"/>
        </w:rPr>
        <w:t>antes</w:t>
      </w:r>
      <w:r>
        <w:rPr>
          <w:rFonts w:ascii="Arial" w:hAnsi="Arial"/>
          <w:i/>
          <w:color w:val="231F20"/>
          <w:spacing w:val="-16"/>
          <w:w w:val="105"/>
          <w:sz w:val="18"/>
        </w:rPr>
        <w:t> </w:t>
      </w:r>
      <w:r>
        <w:rPr>
          <w:rFonts w:ascii="Arial" w:hAnsi="Arial"/>
          <w:i/>
          <w:color w:val="231F20"/>
          <w:w w:val="105"/>
          <w:sz w:val="18"/>
        </w:rPr>
        <w:t>que </w:t>
      </w:r>
      <w:r>
        <w:rPr>
          <w:rFonts w:ascii="Arial" w:hAnsi="Arial"/>
          <w:i/>
          <w:color w:val="231F20"/>
          <w:w w:val="105"/>
          <w:sz w:val="18"/>
        </w:rPr>
        <w:t>yo. Mi experiencia sí les sirvió y lo que les dije antes de irse fue:</w:t>
      </w:r>
      <w:r>
        <w:rPr>
          <w:rFonts w:ascii="Arial" w:hAnsi="Arial"/>
          <w:i/>
          <w:color w:val="231F20"/>
          <w:spacing w:val="-22"/>
          <w:w w:val="105"/>
          <w:sz w:val="18"/>
        </w:rPr>
        <w:t> </w:t>
      </w:r>
      <w:r>
        <w:rPr>
          <w:rFonts w:ascii="Arial" w:hAnsi="Arial"/>
          <w:i/>
          <w:color w:val="231F20"/>
          <w:w w:val="105"/>
          <w:sz w:val="18"/>
        </w:rPr>
        <w:t>tener cuidado</w:t>
      </w:r>
      <w:r>
        <w:rPr>
          <w:rFonts w:ascii="Arial" w:hAnsi="Arial"/>
          <w:i/>
          <w:color w:val="231F20"/>
          <w:spacing w:val="-7"/>
          <w:w w:val="105"/>
          <w:sz w:val="18"/>
        </w:rPr>
        <w:t> </w:t>
      </w:r>
      <w:r>
        <w:rPr>
          <w:rFonts w:ascii="Arial" w:hAnsi="Arial"/>
          <w:i/>
          <w:color w:val="231F20"/>
          <w:w w:val="105"/>
          <w:sz w:val="18"/>
        </w:rPr>
        <w:t>de</w:t>
      </w:r>
      <w:r>
        <w:rPr>
          <w:rFonts w:ascii="Arial" w:hAnsi="Arial"/>
          <w:i/>
          <w:color w:val="231F20"/>
          <w:spacing w:val="-7"/>
          <w:w w:val="105"/>
          <w:sz w:val="18"/>
        </w:rPr>
        <w:t> </w:t>
      </w:r>
      <w:r>
        <w:rPr>
          <w:rFonts w:ascii="Arial" w:hAnsi="Arial"/>
          <w:i/>
          <w:color w:val="231F20"/>
          <w:w w:val="105"/>
          <w:sz w:val="18"/>
        </w:rPr>
        <w:t>su</w:t>
      </w:r>
      <w:r>
        <w:rPr>
          <w:rFonts w:ascii="Arial" w:hAnsi="Arial"/>
          <w:i/>
          <w:color w:val="231F20"/>
          <w:spacing w:val="-7"/>
          <w:w w:val="105"/>
          <w:sz w:val="18"/>
        </w:rPr>
        <w:t> </w:t>
      </w:r>
      <w:r>
        <w:rPr>
          <w:rFonts w:ascii="Arial" w:hAnsi="Arial"/>
          <w:i/>
          <w:color w:val="231F20"/>
          <w:w w:val="105"/>
          <w:sz w:val="18"/>
        </w:rPr>
        <w:t>trabajo,</w:t>
      </w:r>
      <w:r>
        <w:rPr>
          <w:rFonts w:ascii="Arial" w:hAnsi="Arial"/>
          <w:i/>
          <w:color w:val="231F20"/>
          <w:spacing w:val="-12"/>
          <w:w w:val="105"/>
          <w:sz w:val="18"/>
        </w:rPr>
        <w:t> </w:t>
      </w:r>
      <w:r>
        <w:rPr>
          <w:rFonts w:ascii="Arial" w:hAnsi="Arial"/>
          <w:i/>
          <w:color w:val="231F20"/>
          <w:w w:val="105"/>
          <w:sz w:val="18"/>
        </w:rPr>
        <w:t>cuidar</w:t>
      </w:r>
      <w:r>
        <w:rPr>
          <w:rFonts w:ascii="Arial" w:hAnsi="Arial"/>
          <w:i/>
          <w:color w:val="231F20"/>
          <w:spacing w:val="-7"/>
          <w:w w:val="105"/>
          <w:sz w:val="18"/>
        </w:rPr>
        <w:t> </w:t>
      </w:r>
      <w:r>
        <w:rPr>
          <w:rFonts w:ascii="Arial" w:hAnsi="Arial"/>
          <w:i/>
          <w:color w:val="231F20"/>
          <w:w w:val="105"/>
          <w:sz w:val="18"/>
        </w:rPr>
        <w:t>el</w:t>
      </w:r>
      <w:r>
        <w:rPr>
          <w:rFonts w:ascii="Arial" w:hAnsi="Arial"/>
          <w:i/>
          <w:color w:val="231F20"/>
          <w:spacing w:val="-7"/>
          <w:w w:val="105"/>
          <w:sz w:val="18"/>
        </w:rPr>
        <w:t> </w:t>
      </w:r>
      <w:r>
        <w:rPr>
          <w:rFonts w:ascii="Arial" w:hAnsi="Arial"/>
          <w:i/>
          <w:color w:val="231F20"/>
          <w:w w:val="105"/>
          <w:sz w:val="18"/>
        </w:rPr>
        <w:t>dinero</w:t>
      </w:r>
      <w:r>
        <w:rPr>
          <w:rFonts w:ascii="Arial" w:hAnsi="Arial"/>
          <w:i/>
          <w:color w:val="231F20"/>
          <w:spacing w:val="-7"/>
          <w:w w:val="105"/>
          <w:sz w:val="18"/>
        </w:rPr>
        <w:t> </w:t>
      </w:r>
      <w:r>
        <w:rPr>
          <w:rFonts w:ascii="Arial" w:hAnsi="Arial"/>
          <w:i/>
          <w:color w:val="231F20"/>
          <w:w w:val="105"/>
          <w:sz w:val="18"/>
        </w:rPr>
        <w:t>que</w:t>
      </w:r>
      <w:r>
        <w:rPr>
          <w:rFonts w:ascii="Arial" w:hAnsi="Arial"/>
          <w:i/>
          <w:color w:val="231F20"/>
          <w:spacing w:val="-7"/>
          <w:w w:val="105"/>
          <w:sz w:val="18"/>
        </w:rPr>
        <w:t> </w:t>
      </w:r>
      <w:r>
        <w:rPr>
          <w:rFonts w:ascii="Arial" w:hAnsi="Arial"/>
          <w:i/>
          <w:color w:val="231F20"/>
          <w:w w:val="105"/>
          <w:sz w:val="18"/>
        </w:rPr>
        <w:t>ganan,</w:t>
      </w:r>
      <w:r>
        <w:rPr>
          <w:rFonts w:ascii="Arial" w:hAnsi="Arial"/>
          <w:i/>
          <w:color w:val="231F20"/>
          <w:spacing w:val="-12"/>
          <w:w w:val="105"/>
          <w:sz w:val="18"/>
        </w:rPr>
        <w:t> </w:t>
      </w:r>
      <w:r>
        <w:rPr>
          <w:rFonts w:ascii="Arial" w:hAnsi="Arial"/>
          <w:i/>
          <w:color w:val="231F20"/>
          <w:w w:val="105"/>
          <w:sz w:val="18"/>
        </w:rPr>
        <w:t>no</w:t>
      </w:r>
      <w:r>
        <w:rPr>
          <w:rFonts w:ascii="Arial" w:hAnsi="Arial"/>
          <w:i/>
          <w:color w:val="231F20"/>
          <w:spacing w:val="-7"/>
          <w:w w:val="105"/>
          <w:sz w:val="18"/>
        </w:rPr>
        <w:t> </w:t>
      </w:r>
      <w:r>
        <w:rPr>
          <w:rFonts w:ascii="Arial" w:hAnsi="Arial"/>
          <w:i/>
          <w:color w:val="231F20"/>
          <w:w w:val="105"/>
          <w:sz w:val="18"/>
        </w:rPr>
        <w:t>tirarlo</w:t>
      </w:r>
      <w:r>
        <w:rPr>
          <w:rFonts w:ascii="Arial" w:hAnsi="Arial"/>
          <w:i/>
          <w:color w:val="231F20"/>
          <w:spacing w:val="-7"/>
          <w:w w:val="105"/>
          <w:sz w:val="18"/>
        </w:rPr>
        <w:t> </w:t>
      </w:r>
      <w:r>
        <w:rPr>
          <w:rFonts w:ascii="Arial" w:hAnsi="Arial"/>
          <w:i/>
          <w:color w:val="231F20"/>
          <w:w w:val="105"/>
          <w:sz w:val="18"/>
        </w:rPr>
        <w:t>a</w:t>
      </w:r>
      <w:r>
        <w:rPr>
          <w:rFonts w:ascii="Arial" w:hAnsi="Arial"/>
          <w:i/>
          <w:color w:val="231F20"/>
          <w:spacing w:val="-7"/>
          <w:w w:val="105"/>
          <w:sz w:val="18"/>
        </w:rPr>
        <w:t> </w:t>
      </w:r>
      <w:r>
        <w:rPr>
          <w:rFonts w:ascii="Arial" w:hAnsi="Arial"/>
          <w:i/>
          <w:color w:val="231F20"/>
          <w:w w:val="105"/>
          <w:sz w:val="18"/>
        </w:rPr>
        <w:t>la</w:t>
      </w:r>
      <w:r>
        <w:rPr>
          <w:rFonts w:ascii="Arial" w:hAnsi="Arial"/>
          <w:i/>
          <w:color w:val="231F20"/>
          <w:spacing w:val="-7"/>
          <w:w w:val="105"/>
          <w:sz w:val="18"/>
        </w:rPr>
        <w:t> </w:t>
      </w:r>
      <w:r>
        <w:rPr>
          <w:rFonts w:ascii="Arial" w:hAnsi="Arial"/>
          <w:i/>
          <w:color w:val="231F20"/>
          <w:w w:val="105"/>
          <w:sz w:val="18"/>
        </w:rPr>
        <w:t>calle</w:t>
      </w:r>
      <w:r>
        <w:rPr>
          <w:rFonts w:ascii="Arial" w:hAnsi="Arial"/>
          <w:i/>
          <w:color w:val="231F20"/>
          <w:spacing w:val="-7"/>
          <w:w w:val="105"/>
          <w:sz w:val="18"/>
        </w:rPr>
        <w:t> </w:t>
      </w:r>
      <w:r>
        <w:rPr>
          <w:rFonts w:ascii="Arial" w:hAnsi="Arial"/>
          <w:i/>
          <w:color w:val="231F20"/>
          <w:w w:val="105"/>
          <w:sz w:val="18"/>
        </w:rPr>
        <w:t>y salir</w:t>
      </w:r>
      <w:r>
        <w:rPr>
          <w:rFonts w:ascii="Arial" w:hAnsi="Arial"/>
          <w:i/>
          <w:color w:val="231F20"/>
          <w:spacing w:val="-23"/>
          <w:w w:val="105"/>
          <w:sz w:val="18"/>
        </w:rPr>
        <w:t> </w:t>
      </w:r>
      <w:r>
        <w:rPr>
          <w:rFonts w:ascii="Arial" w:hAnsi="Arial"/>
          <w:i/>
          <w:color w:val="231F20"/>
          <w:w w:val="105"/>
          <w:sz w:val="18"/>
        </w:rPr>
        <w:t>adelante</w:t>
      </w:r>
      <w:r>
        <w:rPr>
          <w:rFonts w:ascii="Arial" w:hAnsi="Arial"/>
          <w:i/>
          <w:color w:val="231F20"/>
          <w:spacing w:val="-23"/>
          <w:w w:val="105"/>
          <w:sz w:val="18"/>
        </w:rPr>
        <w:t> </w:t>
      </w:r>
      <w:r>
        <w:rPr>
          <w:rFonts w:ascii="Arial" w:hAnsi="Arial"/>
          <w:i/>
          <w:color w:val="231F20"/>
          <w:w w:val="105"/>
          <w:sz w:val="18"/>
        </w:rPr>
        <w:t>por</w:t>
      </w:r>
      <w:r>
        <w:rPr>
          <w:rFonts w:ascii="Arial" w:hAnsi="Arial"/>
          <w:i/>
          <w:color w:val="231F20"/>
          <w:spacing w:val="-23"/>
          <w:w w:val="105"/>
          <w:sz w:val="18"/>
        </w:rPr>
        <w:t> </w:t>
      </w:r>
      <w:r>
        <w:rPr>
          <w:rFonts w:ascii="Arial" w:hAnsi="Arial"/>
          <w:i/>
          <w:color w:val="231F20"/>
          <w:w w:val="105"/>
          <w:sz w:val="18"/>
        </w:rPr>
        <w:t>ellos</w:t>
      </w:r>
      <w:r>
        <w:rPr>
          <w:rFonts w:ascii="Arial" w:hAnsi="Arial"/>
          <w:i/>
          <w:color w:val="231F20"/>
          <w:spacing w:val="-23"/>
          <w:w w:val="105"/>
          <w:sz w:val="18"/>
        </w:rPr>
        <w:t> </w:t>
      </w:r>
      <w:r>
        <w:rPr>
          <w:rFonts w:ascii="Arial" w:hAnsi="Arial"/>
          <w:i/>
          <w:color w:val="231F20"/>
          <w:w w:val="105"/>
          <w:sz w:val="18"/>
        </w:rPr>
        <w:t>mismos.</w:t>
      </w:r>
    </w:p>
    <w:p>
      <w:pPr>
        <w:spacing w:line="249" w:lineRule="auto" w:before="114"/>
        <w:ind w:left="2815" w:right="1817" w:firstLine="0"/>
        <w:jc w:val="both"/>
        <w:rPr>
          <w:rFonts w:ascii="Arial" w:hAnsi="Arial"/>
          <w:i/>
          <w:sz w:val="18"/>
        </w:rPr>
      </w:pPr>
      <w:r>
        <w:rPr>
          <w:rFonts w:ascii="Arial" w:hAnsi="Arial"/>
          <w:i/>
          <w:color w:val="231F20"/>
          <w:w w:val="105"/>
          <w:sz w:val="18"/>
        </w:rPr>
        <w:t>Después,</w:t>
      </w:r>
      <w:r>
        <w:rPr>
          <w:rFonts w:ascii="Arial" w:hAnsi="Arial"/>
          <w:i/>
          <w:color w:val="231F20"/>
          <w:spacing w:val="-13"/>
          <w:w w:val="105"/>
          <w:sz w:val="18"/>
        </w:rPr>
        <w:t> </w:t>
      </w:r>
      <w:r>
        <w:rPr>
          <w:rFonts w:ascii="Arial" w:hAnsi="Arial"/>
          <w:i/>
          <w:color w:val="231F20"/>
          <w:w w:val="105"/>
          <w:sz w:val="18"/>
        </w:rPr>
        <w:t>cuando</w:t>
      </w:r>
      <w:r>
        <w:rPr>
          <w:rFonts w:ascii="Arial" w:hAnsi="Arial"/>
          <w:i/>
          <w:color w:val="231F20"/>
          <w:spacing w:val="-9"/>
          <w:w w:val="105"/>
          <w:sz w:val="18"/>
        </w:rPr>
        <w:t> </w:t>
      </w:r>
      <w:r>
        <w:rPr>
          <w:rFonts w:ascii="Arial" w:hAnsi="Arial"/>
          <w:i/>
          <w:color w:val="231F20"/>
          <w:w w:val="105"/>
          <w:sz w:val="18"/>
        </w:rPr>
        <w:t>yo</w:t>
      </w:r>
      <w:r>
        <w:rPr>
          <w:rFonts w:ascii="Arial" w:hAnsi="Arial"/>
          <w:i/>
          <w:color w:val="231F20"/>
          <w:spacing w:val="-9"/>
          <w:w w:val="105"/>
          <w:sz w:val="18"/>
        </w:rPr>
        <w:t> </w:t>
      </w:r>
      <w:r>
        <w:rPr>
          <w:rFonts w:ascii="Arial" w:hAnsi="Arial"/>
          <w:i/>
          <w:color w:val="231F20"/>
          <w:w w:val="105"/>
          <w:sz w:val="18"/>
        </w:rPr>
        <w:t>me</w:t>
      </w:r>
      <w:r>
        <w:rPr>
          <w:rFonts w:ascii="Arial" w:hAnsi="Arial"/>
          <w:i/>
          <w:color w:val="231F20"/>
          <w:spacing w:val="-9"/>
          <w:w w:val="105"/>
          <w:sz w:val="18"/>
        </w:rPr>
        <w:t> </w:t>
      </w:r>
      <w:r>
        <w:rPr>
          <w:rFonts w:ascii="Arial" w:hAnsi="Arial"/>
          <w:i/>
          <w:color w:val="231F20"/>
          <w:w w:val="105"/>
          <w:sz w:val="18"/>
        </w:rPr>
        <w:t>fui</w:t>
      </w:r>
      <w:r>
        <w:rPr>
          <w:rFonts w:ascii="Arial" w:hAnsi="Arial"/>
          <w:i/>
          <w:color w:val="231F20"/>
          <w:spacing w:val="-9"/>
          <w:w w:val="105"/>
          <w:sz w:val="18"/>
        </w:rPr>
        <w:t> </w:t>
      </w:r>
      <w:r>
        <w:rPr>
          <w:rFonts w:ascii="Arial" w:hAnsi="Arial"/>
          <w:i/>
          <w:color w:val="231F20"/>
          <w:w w:val="105"/>
          <w:sz w:val="18"/>
        </w:rPr>
        <w:t>a</w:t>
      </w:r>
      <w:r>
        <w:rPr>
          <w:rFonts w:ascii="Arial" w:hAnsi="Arial"/>
          <w:i/>
          <w:color w:val="231F20"/>
          <w:spacing w:val="-9"/>
          <w:w w:val="105"/>
          <w:sz w:val="18"/>
        </w:rPr>
        <w:t> </w:t>
      </w:r>
      <w:r>
        <w:rPr>
          <w:rFonts w:ascii="Arial" w:hAnsi="Arial"/>
          <w:i/>
          <w:color w:val="231F20"/>
          <w:w w:val="105"/>
          <w:sz w:val="18"/>
        </w:rPr>
        <w:t>Chicago,</w:t>
      </w:r>
      <w:r>
        <w:rPr>
          <w:rFonts w:ascii="Arial" w:hAnsi="Arial"/>
          <w:i/>
          <w:color w:val="231F20"/>
          <w:spacing w:val="-13"/>
          <w:w w:val="105"/>
          <w:sz w:val="18"/>
        </w:rPr>
        <w:t> </w:t>
      </w:r>
      <w:r>
        <w:rPr>
          <w:rFonts w:ascii="Arial" w:hAnsi="Arial"/>
          <w:i/>
          <w:color w:val="231F20"/>
          <w:w w:val="105"/>
          <w:sz w:val="18"/>
        </w:rPr>
        <w:t>lo</w:t>
      </w:r>
      <w:r>
        <w:rPr>
          <w:rFonts w:ascii="Arial" w:hAnsi="Arial"/>
          <w:i/>
          <w:color w:val="231F20"/>
          <w:spacing w:val="-9"/>
          <w:w w:val="105"/>
          <w:sz w:val="18"/>
        </w:rPr>
        <w:t> </w:t>
      </w:r>
      <w:r>
        <w:rPr>
          <w:rFonts w:ascii="Arial" w:hAnsi="Arial"/>
          <w:i/>
          <w:color w:val="231F20"/>
          <w:w w:val="105"/>
          <w:sz w:val="18"/>
        </w:rPr>
        <w:t>hice</w:t>
      </w:r>
      <w:r>
        <w:rPr>
          <w:rFonts w:ascii="Arial" w:hAnsi="Arial"/>
          <w:i/>
          <w:color w:val="231F20"/>
          <w:spacing w:val="-9"/>
          <w:w w:val="105"/>
          <w:sz w:val="18"/>
        </w:rPr>
        <w:t> </w:t>
      </w:r>
      <w:r>
        <w:rPr>
          <w:rFonts w:ascii="Arial" w:hAnsi="Arial"/>
          <w:i/>
          <w:color w:val="231F20"/>
          <w:spacing w:val="-2"/>
          <w:w w:val="105"/>
          <w:sz w:val="18"/>
        </w:rPr>
        <w:t>porque</w:t>
      </w:r>
      <w:r>
        <w:rPr>
          <w:rFonts w:ascii="Arial" w:hAnsi="Arial"/>
          <w:i/>
          <w:color w:val="231F20"/>
          <w:spacing w:val="-9"/>
          <w:w w:val="105"/>
          <w:sz w:val="18"/>
        </w:rPr>
        <w:t> </w:t>
      </w:r>
      <w:r>
        <w:rPr>
          <w:rFonts w:ascii="Arial" w:hAnsi="Arial"/>
          <w:i/>
          <w:color w:val="231F20"/>
          <w:w w:val="105"/>
          <w:sz w:val="18"/>
        </w:rPr>
        <w:t>me</w:t>
      </w:r>
      <w:r>
        <w:rPr>
          <w:rFonts w:ascii="Arial" w:hAnsi="Arial"/>
          <w:i/>
          <w:color w:val="231F20"/>
          <w:spacing w:val="-9"/>
          <w:w w:val="105"/>
          <w:sz w:val="18"/>
        </w:rPr>
        <w:t> </w:t>
      </w:r>
      <w:r>
        <w:rPr>
          <w:rFonts w:ascii="Arial" w:hAnsi="Arial"/>
          <w:i/>
          <w:color w:val="231F20"/>
          <w:w w:val="105"/>
          <w:sz w:val="18"/>
        </w:rPr>
        <w:t>dijeron:</w:t>
      </w:r>
      <w:r>
        <w:rPr>
          <w:rFonts w:ascii="Arial" w:hAnsi="Arial"/>
          <w:i/>
          <w:color w:val="231F20"/>
          <w:spacing w:val="-9"/>
          <w:w w:val="105"/>
          <w:sz w:val="18"/>
        </w:rPr>
        <w:t> </w:t>
      </w:r>
      <w:r>
        <w:rPr>
          <w:rFonts w:ascii="Arial" w:hAnsi="Arial"/>
          <w:i/>
          <w:color w:val="231F20"/>
          <w:w w:val="105"/>
          <w:sz w:val="18"/>
        </w:rPr>
        <w:t>papá </w:t>
      </w:r>
      <w:r>
        <w:rPr>
          <w:rFonts w:ascii="Arial" w:hAnsi="Arial"/>
          <w:i/>
          <w:color w:val="231F20"/>
          <w:w w:val="105"/>
          <w:sz w:val="18"/>
        </w:rPr>
        <w:t>vengase</w:t>
      </w:r>
      <w:r>
        <w:rPr>
          <w:rFonts w:ascii="Arial" w:hAnsi="Arial"/>
          <w:i/>
          <w:color w:val="231F20"/>
          <w:spacing w:val="-21"/>
          <w:w w:val="105"/>
          <w:sz w:val="18"/>
        </w:rPr>
        <w:t> </w:t>
      </w:r>
      <w:r>
        <w:rPr>
          <w:rFonts w:ascii="Arial" w:hAnsi="Arial"/>
          <w:i/>
          <w:color w:val="231F20"/>
          <w:w w:val="105"/>
          <w:sz w:val="18"/>
        </w:rPr>
        <w:t>usted</w:t>
      </w:r>
      <w:r>
        <w:rPr>
          <w:rFonts w:ascii="Arial" w:hAnsi="Arial"/>
          <w:i/>
          <w:color w:val="231F20"/>
          <w:spacing w:val="-21"/>
          <w:w w:val="105"/>
          <w:sz w:val="18"/>
        </w:rPr>
        <w:t> </w:t>
      </w:r>
      <w:r>
        <w:rPr>
          <w:rFonts w:ascii="Arial" w:hAnsi="Arial"/>
          <w:i/>
          <w:color w:val="231F20"/>
          <w:w w:val="105"/>
          <w:sz w:val="18"/>
        </w:rPr>
        <w:t>a</w:t>
      </w:r>
      <w:r>
        <w:rPr>
          <w:rFonts w:ascii="Arial" w:hAnsi="Arial"/>
          <w:i/>
          <w:color w:val="231F20"/>
          <w:spacing w:val="-21"/>
          <w:w w:val="105"/>
          <w:sz w:val="18"/>
        </w:rPr>
        <w:t> </w:t>
      </w:r>
      <w:r>
        <w:rPr>
          <w:rFonts w:ascii="Arial" w:hAnsi="Arial"/>
          <w:i/>
          <w:color w:val="231F20"/>
          <w:w w:val="105"/>
          <w:sz w:val="18"/>
        </w:rPr>
        <w:t>los</w:t>
      </w:r>
      <w:r>
        <w:rPr>
          <w:rFonts w:ascii="Arial" w:hAnsi="Arial"/>
          <w:i/>
          <w:color w:val="231F20"/>
          <w:spacing w:val="-21"/>
          <w:w w:val="105"/>
          <w:sz w:val="18"/>
        </w:rPr>
        <w:t> </w:t>
      </w:r>
      <w:r>
        <w:rPr>
          <w:rFonts w:ascii="Arial" w:hAnsi="Arial"/>
          <w:i/>
          <w:color w:val="231F20"/>
          <w:w w:val="105"/>
          <w:sz w:val="18"/>
        </w:rPr>
        <w:t>Estados</w:t>
      </w:r>
      <w:r>
        <w:rPr>
          <w:rFonts w:ascii="Arial" w:hAnsi="Arial"/>
          <w:i/>
          <w:color w:val="231F20"/>
          <w:spacing w:val="-21"/>
          <w:w w:val="105"/>
          <w:sz w:val="18"/>
        </w:rPr>
        <w:t> </w:t>
      </w:r>
      <w:r>
        <w:rPr>
          <w:rFonts w:ascii="Arial" w:hAnsi="Arial"/>
          <w:i/>
          <w:color w:val="231F20"/>
          <w:w w:val="105"/>
          <w:sz w:val="18"/>
        </w:rPr>
        <w:t>Unidos,</w:t>
      </w:r>
      <w:r>
        <w:rPr>
          <w:rFonts w:ascii="Arial" w:hAnsi="Arial"/>
          <w:i/>
          <w:color w:val="231F20"/>
          <w:spacing w:val="-23"/>
          <w:w w:val="105"/>
          <w:sz w:val="18"/>
        </w:rPr>
        <w:t> </w:t>
      </w:r>
      <w:r>
        <w:rPr>
          <w:rFonts w:ascii="Arial" w:hAnsi="Arial"/>
          <w:i/>
          <w:color w:val="231F20"/>
          <w:w w:val="105"/>
          <w:sz w:val="18"/>
        </w:rPr>
        <w:t>que</w:t>
      </w:r>
      <w:r>
        <w:rPr>
          <w:rFonts w:ascii="Arial" w:hAnsi="Arial"/>
          <w:i/>
          <w:color w:val="231F20"/>
          <w:spacing w:val="-21"/>
          <w:w w:val="105"/>
          <w:sz w:val="18"/>
        </w:rPr>
        <w:t> </w:t>
      </w:r>
      <w:r>
        <w:rPr>
          <w:rFonts w:ascii="Arial" w:hAnsi="Arial"/>
          <w:i/>
          <w:color w:val="231F20"/>
          <w:w w:val="105"/>
          <w:sz w:val="18"/>
        </w:rPr>
        <w:t>acá</w:t>
      </w:r>
      <w:r>
        <w:rPr>
          <w:rFonts w:ascii="Arial" w:hAnsi="Arial"/>
          <w:i/>
          <w:color w:val="231F20"/>
          <w:spacing w:val="-21"/>
          <w:w w:val="105"/>
          <w:sz w:val="18"/>
        </w:rPr>
        <w:t> </w:t>
      </w:r>
      <w:r>
        <w:rPr>
          <w:rFonts w:ascii="Arial" w:hAnsi="Arial"/>
          <w:i/>
          <w:color w:val="231F20"/>
          <w:w w:val="105"/>
          <w:sz w:val="18"/>
        </w:rPr>
        <w:t>lo</w:t>
      </w:r>
      <w:r>
        <w:rPr>
          <w:rFonts w:ascii="Arial" w:hAnsi="Arial"/>
          <w:i/>
          <w:color w:val="231F20"/>
          <w:spacing w:val="-21"/>
          <w:w w:val="105"/>
          <w:sz w:val="18"/>
        </w:rPr>
        <w:t> </w:t>
      </w:r>
      <w:r>
        <w:rPr>
          <w:rFonts w:ascii="Arial" w:hAnsi="Arial"/>
          <w:i/>
          <w:color w:val="231F20"/>
          <w:w w:val="105"/>
          <w:sz w:val="18"/>
        </w:rPr>
        <w:t>vamos</w:t>
      </w:r>
      <w:r>
        <w:rPr>
          <w:rFonts w:ascii="Arial" w:hAnsi="Arial"/>
          <w:i/>
          <w:color w:val="231F20"/>
          <w:spacing w:val="-21"/>
          <w:w w:val="105"/>
          <w:sz w:val="18"/>
        </w:rPr>
        <w:t> </w:t>
      </w:r>
      <w:r>
        <w:rPr>
          <w:rFonts w:ascii="Arial" w:hAnsi="Arial"/>
          <w:i/>
          <w:color w:val="231F20"/>
          <w:w w:val="105"/>
          <w:sz w:val="18"/>
        </w:rPr>
        <w:t>a</w:t>
      </w:r>
      <w:r>
        <w:rPr>
          <w:rFonts w:ascii="Arial" w:hAnsi="Arial"/>
          <w:i/>
          <w:color w:val="231F20"/>
          <w:spacing w:val="-21"/>
          <w:w w:val="105"/>
          <w:sz w:val="18"/>
        </w:rPr>
        <w:t> </w:t>
      </w:r>
      <w:r>
        <w:rPr>
          <w:rFonts w:ascii="Arial" w:hAnsi="Arial"/>
          <w:i/>
          <w:color w:val="231F20"/>
          <w:spacing w:val="-3"/>
          <w:w w:val="105"/>
          <w:sz w:val="18"/>
        </w:rPr>
        <w:t>ayudar.</w:t>
      </w:r>
      <w:r>
        <w:rPr>
          <w:rFonts w:ascii="Arial" w:hAnsi="Arial"/>
          <w:i/>
          <w:color w:val="231F20"/>
          <w:spacing w:val="-23"/>
          <w:w w:val="105"/>
          <w:sz w:val="18"/>
        </w:rPr>
        <w:t> </w:t>
      </w:r>
      <w:r>
        <w:rPr>
          <w:rFonts w:ascii="Arial" w:hAnsi="Arial"/>
          <w:i/>
          <w:color w:val="231F20"/>
          <w:w w:val="105"/>
          <w:sz w:val="18"/>
        </w:rPr>
        <w:t>En</w:t>
      </w:r>
      <w:r>
        <w:rPr>
          <w:rFonts w:ascii="Arial" w:hAnsi="Arial"/>
          <w:i/>
          <w:color w:val="231F20"/>
          <w:spacing w:val="-21"/>
          <w:w w:val="105"/>
          <w:sz w:val="18"/>
        </w:rPr>
        <w:t> </w:t>
      </w:r>
      <w:r>
        <w:rPr>
          <w:rFonts w:ascii="Arial" w:hAnsi="Arial"/>
          <w:i/>
          <w:color w:val="231F20"/>
          <w:spacing w:val="-2"/>
          <w:w w:val="105"/>
          <w:sz w:val="18"/>
        </w:rPr>
        <w:t>ese </w:t>
      </w:r>
      <w:r>
        <w:rPr>
          <w:rFonts w:ascii="Arial" w:hAnsi="Arial"/>
          <w:i/>
          <w:color w:val="231F20"/>
          <w:w w:val="105"/>
          <w:sz w:val="18"/>
        </w:rPr>
        <w:t>momento</w:t>
      </w:r>
      <w:r>
        <w:rPr>
          <w:rFonts w:ascii="Arial" w:hAnsi="Arial"/>
          <w:i/>
          <w:color w:val="231F20"/>
          <w:spacing w:val="-33"/>
          <w:w w:val="105"/>
          <w:sz w:val="18"/>
        </w:rPr>
        <w:t> </w:t>
      </w:r>
      <w:r>
        <w:rPr>
          <w:rFonts w:ascii="Arial" w:hAnsi="Arial"/>
          <w:i/>
          <w:color w:val="231F20"/>
          <w:w w:val="105"/>
          <w:sz w:val="18"/>
        </w:rPr>
        <w:t>yo</w:t>
      </w:r>
      <w:r>
        <w:rPr>
          <w:rFonts w:ascii="Arial" w:hAnsi="Arial"/>
          <w:i/>
          <w:color w:val="231F20"/>
          <w:spacing w:val="-33"/>
          <w:w w:val="105"/>
          <w:sz w:val="18"/>
        </w:rPr>
        <w:t> </w:t>
      </w:r>
      <w:r>
        <w:rPr>
          <w:rFonts w:ascii="Arial" w:hAnsi="Arial"/>
          <w:i/>
          <w:color w:val="231F20"/>
          <w:w w:val="105"/>
          <w:sz w:val="18"/>
        </w:rPr>
        <w:t>no</w:t>
      </w:r>
      <w:r>
        <w:rPr>
          <w:rFonts w:ascii="Arial" w:hAnsi="Arial"/>
          <w:i/>
          <w:color w:val="231F20"/>
          <w:spacing w:val="-33"/>
          <w:w w:val="105"/>
          <w:sz w:val="18"/>
        </w:rPr>
        <w:t> </w:t>
      </w:r>
      <w:r>
        <w:rPr>
          <w:rFonts w:ascii="Arial" w:hAnsi="Arial"/>
          <w:i/>
          <w:color w:val="231F20"/>
          <w:w w:val="105"/>
          <w:sz w:val="18"/>
        </w:rPr>
        <w:t>tenía</w:t>
      </w:r>
      <w:r>
        <w:rPr>
          <w:rFonts w:ascii="Arial" w:hAnsi="Arial"/>
          <w:i/>
          <w:color w:val="231F20"/>
          <w:spacing w:val="-33"/>
          <w:w w:val="105"/>
          <w:sz w:val="18"/>
        </w:rPr>
        <w:t> </w:t>
      </w:r>
      <w:r>
        <w:rPr>
          <w:rFonts w:ascii="Arial" w:hAnsi="Arial"/>
          <w:i/>
          <w:color w:val="231F20"/>
          <w:w w:val="105"/>
          <w:sz w:val="18"/>
        </w:rPr>
        <w:t>una</w:t>
      </w:r>
      <w:r>
        <w:rPr>
          <w:rFonts w:ascii="Arial" w:hAnsi="Arial"/>
          <w:i/>
          <w:color w:val="231F20"/>
          <w:spacing w:val="-33"/>
          <w:w w:val="105"/>
          <w:sz w:val="18"/>
        </w:rPr>
        <w:t> </w:t>
      </w:r>
      <w:r>
        <w:rPr>
          <w:rFonts w:ascii="Arial" w:hAnsi="Arial"/>
          <w:i/>
          <w:color w:val="231F20"/>
          <w:w w:val="105"/>
          <w:sz w:val="18"/>
        </w:rPr>
        <w:t>razón</w:t>
      </w:r>
      <w:r>
        <w:rPr>
          <w:rFonts w:ascii="Arial" w:hAnsi="Arial"/>
          <w:i/>
          <w:color w:val="231F20"/>
          <w:spacing w:val="-33"/>
          <w:w w:val="105"/>
          <w:sz w:val="18"/>
        </w:rPr>
        <w:t> </w:t>
      </w:r>
      <w:r>
        <w:rPr>
          <w:rFonts w:ascii="Arial" w:hAnsi="Arial"/>
          <w:i/>
          <w:color w:val="231F20"/>
          <w:w w:val="105"/>
          <w:sz w:val="18"/>
        </w:rPr>
        <w:t>particular</w:t>
      </w:r>
      <w:r>
        <w:rPr>
          <w:rFonts w:ascii="Arial" w:hAnsi="Arial"/>
          <w:i/>
          <w:color w:val="231F20"/>
          <w:spacing w:val="-33"/>
          <w:w w:val="105"/>
          <w:sz w:val="18"/>
        </w:rPr>
        <w:t> </w:t>
      </w:r>
      <w:r>
        <w:rPr>
          <w:rFonts w:ascii="Arial" w:hAnsi="Arial"/>
          <w:i/>
          <w:color w:val="231F20"/>
          <w:w w:val="105"/>
          <w:sz w:val="18"/>
        </w:rPr>
        <w:t>para</w:t>
      </w:r>
      <w:r>
        <w:rPr>
          <w:rFonts w:ascii="Arial" w:hAnsi="Arial"/>
          <w:i/>
          <w:color w:val="231F20"/>
          <w:spacing w:val="-33"/>
          <w:w w:val="105"/>
          <w:sz w:val="18"/>
        </w:rPr>
        <w:t> </w:t>
      </w:r>
      <w:r>
        <w:rPr>
          <w:rFonts w:ascii="Arial" w:hAnsi="Arial"/>
          <w:i/>
          <w:color w:val="231F20"/>
          <w:w w:val="105"/>
          <w:sz w:val="18"/>
        </w:rPr>
        <w:t>irme,</w:t>
      </w:r>
      <w:r>
        <w:rPr>
          <w:rFonts w:ascii="Arial" w:hAnsi="Arial"/>
          <w:i/>
          <w:color w:val="231F20"/>
          <w:spacing w:val="-35"/>
          <w:w w:val="105"/>
          <w:sz w:val="18"/>
        </w:rPr>
        <w:t> </w:t>
      </w:r>
      <w:r>
        <w:rPr>
          <w:rFonts w:ascii="Arial" w:hAnsi="Arial"/>
          <w:i/>
          <w:color w:val="231F20"/>
          <w:w w:val="105"/>
          <w:sz w:val="18"/>
        </w:rPr>
        <w:t>pero</w:t>
      </w:r>
      <w:r>
        <w:rPr>
          <w:rFonts w:ascii="Arial" w:hAnsi="Arial"/>
          <w:i/>
          <w:color w:val="231F20"/>
          <w:spacing w:val="-33"/>
          <w:w w:val="105"/>
          <w:sz w:val="18"/>
        </w:rPr>
        <w:t> </w:t>
      </w:r>
      <w:r>
        <w:rPr>
          <w:rFonts w:ascii="Arial" w:hAnsi="Arial"/>
          <w:i/>
          <w:color w:val="231F20"/>
          <w:w w:val="105"/>
          <w:sz w:val="18"/>
        </w:rPr>
        <w:t>ellos</w:t>
      </w:r>
      <w:r>
        <w:rPr>
          <w:rFonts w:ascii="Arial" w:hAnsi="Arial"/>
          <w:i/>
          <w:color w:val="231F20"/>
          <w:spacing w:val="-33"/>
          <w:w w:val="105"/>
          <w:sz w:val="18"/>
        </w:rPr>
        <w:t> </w:t>
      </w:r>
      <w:r>
        <w:rPr>
          <w:rFonts w:ascii="Arial" w:hAnsi="Arial"/>
          <w:i/>
          <w:color w:val="231F20"/>
          <w:spacing w:val="-3"/>
          <w:w w:val="105"/>
          <w:sz w:val="18"/>
        </w:rPr>
        <w:t>insistieron. </w:t>
      </w:r>
      <w:r>
        <w:rPr>
          <w:rFonts w:ascii="Arial" w:hAnsi="Arial"/>
          <w:i/>
          <w:color w:val="231F20"/>
          <w:w w:val="105"/>
          <w:sz w:val="18"/>
        </w:rPr>
        <w:t>Así</w:t>
      </w:r>
      <w:r>
        <w:rPr>
          <w:rFonts w:ascii="Arial" w:hAnsi="Arial"/>
          <w:i/>
          <w:color w:val="231F20"/>
          <w:spacing w:val="-32"/>
          <w:w w:val="105"/>
          <w:sz w:val="18"/>
        </w:rPr>
        <w:t> </w:t>
      </w:r>
      <w:r>
        <w:rPr>
          <w:rFonts w:ascii="Arial" w:hAnsi="Arial"/>
          <w:i/>
          <w:color w:val="231F20"/>
          <w:w w:val="105"/>
          <w:sz w:val="18"/>
        </w:rPr>
        <w:t>que</w:t>
      </w:r>
      <w:r>
        <w:rPr>
          <w:rFonts w:ascii="Arial" w:hAnsi="Arial"/>
          <w:i/>
          <w:color w:val="231F20"/>
          <w:spacing w:val="-32"/>
          <w:w w:val="105"/>
          <w:sz w:val="18"/>
        </w:rPr>
        <w:t> </w:t>
      </w:r>
      <w:r>
        <w:rPr>
          <w:rFonts w:ascii="Arial" w:hAnsi="Arial"/>
          <w:i/>
          <w:color w:val="231F20"/>
          <w:w w:val="105"/>
          <w:sz w:val="18"/>
        </w:rPr>
        <w:t>en</w:t>
      </w:r>
      <w:r>
        <w:rPr>
          <w:rFonts w:ascii="Arial" w:hAnsi="Arial"/>
          <w:i/>
          <w:color w:val="231F20"/>
          <w:spacing w:val="-32"/>
          <w:w w:val="105"/>
          <w:sz w:val="18"/>
        </w:rPr>
        <w:t> </w:t>
      </w:r>
      <w:r>
        <w:rPr>
          <w:rFonts w:ascii="Arial" w:hAnsi="Arial"/>
          <w:i/>
          <w:color w:val="231F20"/>
          <w:w w:val="105"/>
          <w:sz w:val="18"/>
        </w:rPr>
        <w:t>1984</w:t>
      </w:r>
      <w:r>
        <w:rPr>
          <w:rFonts w:ascii="Arial" w:hAnsi="Arial"/>
          <w:i/>
          <w:color w:val="231F20"/>
          <w:spacing w:val="-32"/>
          <w:w w:val="105"/>
          <w:sz w:val="18"/>
        </w:rPr>
        <w:t> </w:t>
      </w:r>
      <w:r>
        <w:rPr>
          <w:rFonts w:ascii="Arial" w:hAnsi="Arial"/>
          <w:i/>
          <w:color w:val="231F20"/>
          <w:spacing w:val="-3"/>
          <w:w w:val="105"/>
          <w:sz w:val="18"/>
        </w:rPr>
        <w:t>regresé</w:t>
      </w:r>
      <w:r>
        <w:rPr>
          <w:rFonts w:ascii="Arial" w:hAnsi="Arial"/>
          <w:i/>
          <w:color w:val="231F20"/>
          <w:spacing w:val="-32"/>
          <w:w w:val="105"/>
          <w:sz w:val="18"/>
        </w:rPr>
        <w:t> </w:t>
      </w:r>
      <w:r>
        <w:rPr>
          <w:rFonts w:ascii="Arial" w:hAnsi="Arial"/>
          <w:i/>
          <w:color w:val="231F20"/>
          <w:w w:val="105"/>
          <w:sz w:val="18"/>
        </w:rPr>
        <w:t>a</w:t>
      </w:r>
      <w:r>
        <w:rPr>
          <w:rFonts w:ascii="Arial" w:hAnsi="Arial"/>
          <w:i/>
          <w:color w:val="231F20"/>
          <w:spacing w:val="-32"/>
          <w:w w:val="105"/>
          <w:sz w:val="18"/>
        </w:rPr>
        <w:t> </w:t>
      </w:r>
      <w:r>
        <w:rPr>
          <w:rFonts w:ascii="Arial" w:hAnsi="Arial"/>
          <w:i/>
          <w:color w:val="231F20"/>
          <w:w w:val="105"/>
          <w:sz w:val="18"/>
        </w:rPr>
        <w:t>Estados</w:t>
      </w:r>
      <w:r>
        <w:rPr>
          <w:rFonts w:ascii="Arial" w:hAnsi="Arial"/>
          <w:i/>
          <w:color w:val="231F20"/>
          <w:spacing w:val="-32"/>
          <w:w w:val="105"/>
          <w:sz w:val="18"/>
        </w:rPr>
        <w:t> </w:t>
      </w:r>
      <w:r>
        <w:rPr>
          <w:rFonts w:ascii="Arial" w:hAnsi="Arial"/>
          <w:i/>
          <w:color w:val="231F20"/>
          <w:w w:val="105"/>
          <w:sz w:val="18"/>
        </w:rPr>
        <w:t>Unidos</w:t>
      </w:r>
      <w:r>
        <w:rPr>
          <w:rFonts w:ascii="Arial" w:hAnsi="Arial"/>
          <w:i/>
          <w:color w:val="231F20"/>
          <w:spacing w:val="-32"/>
          <w:w w:val="105"/>
          <w:sz w:val="18"/>
        </w:rPr>
        <w:t> </w:t>
      </w:r>
      <w:r>
        <w:rPr>
          <w:rFonts w:ascii="Arial" w:hAnsi="Arial"/>
          <w:i/>
          <w:color w:val="231F20"/>
          <w:w w:val="105"/>
          <w:sz w:val="18"/>
        </w:rPr>
        <w:t>—en</w:t>
      </w:r>
      <w:r>
        <w:rPr>
          <w:rFonts w:ascii="Arial" w:hAnsi="Arial"/>
          <w:i/>
          <w:color w:val="231F20"/>
          <w:spacing w:val="-32"/>
          <w:w w:val="105"/>
          <w:sz w:val="18"/>
        </w:rPr>
        <w:t> </w:t>
      </w:r>
      <w:r>
        <w:rPr>
          <w:rFonts w:ascii="Arial" w:hAnsi="Arial"/>
          <w:i/>
          <w:color w:val="231F20"/>
          <w:w w:val="105"/>
          <w:sz w:val="18"/>
        </w:rPr>
        <w:t>esa</w:t>
      </w:r>
      <w:r>
        <w:rPr>
          <w:rFonts w:ascii="Arial" w:hAnsi="Arial"/>
          <w:i/>
          <w:color w:val="231F20"/>
          <w:spacing w:val="-32"/>
          <w:w w:val="105"/>
          <w:sz w:val="18"/>
        </w:rPr>
        <w:t> </w:t>
      </w:r>
      <w:r>
        <w:rPr>
          <w:rFonts w:ascii="Arial" w:hAnsi="Arial"/>
          <w:i/>
          <w:color w:val="231F20"/>
          <w:w w:val="105"/>
          <w:sz w:val="18"/>
        </w:rPr>
        <w:t>ocasión</w:t>
      </w:r>
      <w:r>
        <w:rPr>
          <w:rFonts w:ascii="Arial" w:hAnsi="Arial"/>
          <w:i/>
          <w:color w:val="231F20"/>
          <w:spacing w:val="-32"/>
          <w:w w:val="105"/>
          <w:sz w:val="18"/>
        </w:rPr>
        <w:t> </w:t>
      </w:r>
      <w:r>
        <w:rPr>
          <w:rFonts w:ascii="Arial" w:hAnsi="Arial"/>
          <w:i/>
          <w:color w:val="231F20"/>
          <w:w w:val="105"/>
          <w:sz w:val="18"/>
        </w:rPr>
        <w:t>me</w:t>
      </w:r>
      <w:r>
        <w:rPr>
          <w:rFonts w:ascii="Arial" w:hAnsi="Arial"/>
          <w:i/>
          <w:color w:val="231F20"/>
          <w:spacing w:val="-32"/>
          <w:w w:val="105"/>
          <w:sz w:val="18"/>
        </w:rPr>
        <w:t> </w:t>
      </w:r>
      <w:r>
        <w:rPr>
          <w:rFonts w:ascii="Arial" w:hAnsi="Arial"/>
          <w:i/>
          <w:color w:val="231F20"/>
          <w:w w:val="105"/>
          <w:sz w:val="18"/>
        </w:rPr>
        <w:t>fui</w:t>
      </w:r>
      <w:r>
        <w:rPr>
          <w:rFonts w:ascii="Arial" w:hAnsi="Arial"/>
          <w:i/>
          <w:color w:val="231F20"/>
          <w:spacing w:val="-32"/>
          <w:w w:val="105"/>
          <w:sz w:val="18"/>
        </w:rPr>
        <w:t> </w:t>
      </w:r>
      <w:r>
        <w:rPr>
          <w:rFonts w:ascii="Arial" w:hAnsi="Arial"/>
          <w:i/>
          <w:color w:val="231F20"/>
          <w:w w:val="105"/>
          <w:sz w:val="18"/>
        </w:rPr>
        <w:t>con</w:t>
      </w:r>
      <w:r>
        <w:rPr>
          <w:rFonts w:ascii="Arial" w:hAnsi="Arial"/>
          <w:i/>
          <w:color w:val="231F20"/>
          <w:spacing w:val="-32"/>
          <w:w w:val="105"/>
          <w:sz w:val="18"/>
        </w:rPr>
        <w:t> </w:t>
      </w:r>
      <w:r>
        <w:rPr>
          <w:rFonts w:ascii="Arial" w:hAnsi="Arial"/>
          <w:i/>
          <w:color w:val="231F20"/>
          <w:w w:val="105"/>
          <w:sz w:val="18"/>
        </w:rPr>
        <w:t>mi esposa</w:t>
      </w:r>
      <w:r>
        <w:rPr>
          <w:rFonts w:ascii="Arial" w:hAnsi="Arial"/>
          <w:i/>
          <w:color w:val="231F20"/>
          <w:spacing w:val="-14"/>
          <w:w w:val="105"/>
          <w:sz w:val="18"/>
        </w:rPr>
        <w:t> </w:t>
      </w:r>
      <w:r>
        <w:rPr>
          <w:rFonts w:ascii="Arial" w:hAnsi="Arial"/>
          <w:i/>
          <w:color w:val="231F20"/>
          <w:w w:val="105"/>
          <w:sz w:val="18"/>
        </w:rPr>
        <w:t>y</w:t>
      </w:r>
      <w:r>
        <w:rPr>
          <w:rFonts w:ascii="Arial" w:hAnsi="Arial"/>
          <w:i/>
          <w:color w:val="231F20"/>
          <w:spacing w:val="-14"/>
          <w:w w:val="105"/>
          <w:sz w:val="18"/>
        </w:rPr>
        <w:t> </w:t>
      </w:r>
      <w:r>
        <w:rPr>
          <w:rFonts w:ascii="Arial" w:hAnsi="Arial"/>
          <w:i/>
          <w:color w:val="231F20"/>
          <w:w w:val="105"/>
          <w:sz w:val="18"/>
        </w:rPr>
        <w:t>mi</w:t>
      </w:r>
      <w:r>
        <w:rPr>
          <w:rFonts w:ascii="Arial" w:hAnsi="Arial"/>
          <w:i/>
          <w:color w:val="231F20"/>
          <w:spacing w:val="-14"/>
          <w:w w:val="105"/>
          <w:sz w:val="18"/>
        </w:rPr>
        <w:t> </w:t>
      </w:r>
      <w:r>
        <w:rPr>
          <w:rFonts w:ascii="Arial" w:hAnsi="Arial"/>
          <w:i/>
          <w:color w:val="231F20"/>
          <w:w w:val="105"/>
          <w:sz w:val="18"/>
        </w:rPr>
        <w:t>hija</w:t>
      </w:r>
      <w:r>
        <w:rPr>
          <w:rFonts w:ascii="Arial" w:hAnsi="Arial"/>
          <w:i/>
          <w:color w:val="231F20"/>
          <w:spacing w:val="-14"/>
          <w:w w:val="105"/>
          <w:sz w:val="18"/>
        </w:rPr>
        <w:t> </w:t>
      </w:r>
      <w:r>
        <w:rPr>
          <w:rFonts w:ascii="Arial" w:hAnsi="Arial"/>
          <w:i/>
          <w:color w:val="231F20"/>
          <w:w w:val="105"/>
          <w:sz w:val="18"/>
        </w:rPr>
        <w:t>Nidelvia—</w:t>
      </w:r>
      <w:r>
        <w:rPr>
          <w:rFonts w:ascii="Arial" w:hAnsi="Arial"/>
          <w:i/>
          <w:color w:val="231F20"/>
          <w:spacing w:val="-14"/>
          <w:w w:val="105"/>
          <w:sz w:val="18"/>
        </w:rPr>
        <w:t> </w:t>
      </w:r>
      <w:r>
        <w:rPr>
          <w:rFonts w:ascii="Arial" w:hAnsi="Arial"/>
          <w:i/>
          <w:color w:val="231F20"/>
          <w:w w:val="105"/>
          <w:sz w:val="18"/>
        </w:rPr>
        <w:t>y</w:t>
      </w:r>
      <w:r>
        <w:rPr>
          <w:rFonts w:ascii="Arial" w:hAnsi="Arial"/>
          <w:i/>
          <w:color w:val="231F20"/>
          <w:spacing w:val="-14"/>
          <w:w w:val="105"/>
          <w:sz w:val="18"/>
        </w:rPr>
        <w:t> </w:t>
      </w:r>
      <w:r>
        <w:rPr>
          <w:rFonts w:ascii="Arial" w:hAnsi="Arial"/>
          <w:i/>
          <w:color w:val="231F20"/>
          <w:w w:val="105"/>
          <w:sz w:val="18"/>
        </w:rPr>
        <w:t>en</w:t>
      </w:r>
      <w:r>
        <w:rPr>
          <w:rFonts w:ascii="Arial" w:hAnsi="Arial"/>
          <w:i/>
          <w:color w:val="231F20"/>
          <w:spacing w:val="-14"/>
          <w:w w:val="105"/>
          <w:sz w:val="18"/>
        </w:rPr>
        <w:t> </w:t>
      </w:r>
      <w:r>
        <w:rPr>
          <w:rFonts w:ascii="Arial" w:hAnsi="Arial"/>
          <w:i/>
          <w:color w:val="231F20"/>
          <w:w w:val="105"/>
          <w:sz w:val="18"/>
        </w:rPr>
        <w:t>1985</w:t>
      </w:r>
      <w:r>
        <w:rPr>
          <w:rFonts w:ascii="Arial" w:hAnsi="Arial"/>
          <w:i/>
          <w:color w:val="231F20"/>
          <w:spacing w:val="-14"/>
          <w:w w:val="105"/>
          <w:sz w:val="18"/>
        </w:rPr>
        <w:t> </w:t>
      </w:r>
      <w:r>
        <w:rPr>
          <w:rFonts w:ascii="Arial" w:hAnsi="Arial"/>
          <w:i/>
          <w:color w:val="231F20"/>
          <w:w w:val="105"/>
          <w:sz w:val="18"/>
        </w:rPr>
        <w:t>hubo</w:t>
      </w:r>
      <w:r>
        <w:rPr>
          <w:rFonts w:ascii="Arial" w:hAnsi="Arial"/>
          <w:i/>
          <w:color w:val="231F20"/>
          <w:spacing w:val="-14"/>
          <w:w w:val="105"/>
          <w:sz w:val="18"/>
        </w:rPr>
        <w:t> </w:t>
      </w:r>
      <w:r>
        <w:rPr>
          <w:rFonts w:ascii="Arial" w:hAnsi="Arial"/>
          <w:i/>
          <w:color w:val="231F20"/>
          <w:w w:val="105"/>
          <w:sz w:val="18"/>
        </w:rPr>
        <w:t>modo</w:t>
      </w:r>
      <w:r>
        <w:rPr>
          <w:rFonts w:ascii="Arial" w:hAnsi="Arial"/>
          <w:i/>
          <w:color w:val="231F20"/>
          <w:spacing w:val="-14"/>
          <w:w w:val="105"/>
          <w:sz w:val="18"/>
        </w:rPr>
        <w:t> </w:t>
      </w:r>
      <w:r>
        <w:rPr>
          <w:rFonts w:ascii="Arial" w:hAnsi="Arial"/>
          <w:i/>
          <w:color w:val="231F20"/>
          <w:w w:val="105"/>
          <w:sz w:val="18"/>
        </w:rPr>
        <w:t>de</w:t>
      </w:r>
      <w:r>
        <w:rPr>
          <w:rFonts w:ascii="Arial" w:hAnsi="Arial"/>
          <w:i/>
          <w:color w:val="231F20"/>
          <w:spacing w:val="-14"/>
          <w:w w:val="105"/>
          <w:sz w:val="18"/>
        </w:rPr>
        <w:t> </w:t>
      </w:r>
      <w:r>
        <w:rPr>
          <w:rFonts w:ascii="Arial" w:hAnsi="Arial"/>
          <w:i/>
          <w:color w:val="231F20"/>
          <w:w w:val="105"/>
          <w:sz w:val="18"/>
        </w:rPr>
        <w:t>quedarme</w:t>
      </w:r>
      <w:r>
        <w:rPr>
          <w:rFonts w:ascii="Arial" w:hAnsi="Arial"/>
          <w:i/>
          <w:color w:val="231F20"/>
          <w:spacing w:val="-14"/>
          <w:w w:val="105"/>
          <w:sz w:val="18"/>
        </w:rPr>
        <w:t> </w:t>
      </w:r>
      <w:r>
        <w:rPr>
          <w:rFonts w:ascii="Arial" w:hAnsi="Arial"/>
          <w:i/>
          <w:color w:val="231F20"/>
          <w:w w:val="105"/>
          <w:sz w:val="18"/>
        </w:rPr>
        <w:t>a</w:t>
      </w:r>
      <w:r>
        <w:rPr>
          <w:rFonts w:ascii="Arial" w:hAnsi="Arial"/>
          <w:i/>
          <w:color w:val="231F20"/>
          <w:spacing w:val="-14"/>
          <w:w w:val="105"/>
          <w:sz w:val="18"/>
        </w:rPr>
        <w:t> </w:t>
      </w:r>
      <w:r>
        <w:rPr>
          <w:rFonts w:ascii="Arial" w:hAnsi="Arial"/>
          <w:i/>
          <w:color w:val="231F20"/>
          <w:spacing w:val="-2"/>
          <w:w w:val="105"/>
          <w:sz w:val="18"/>
        </w:rPr>
        <w:t>traba- </w:t>
      </w:r>
      <w:r>
        <w:rPr>
          <w:rFonts w:ascii="Arial" w:hAnsi="Arial"/>
          <w:i/>
          <w:color w:val="231F20"/>
          <w:spacing w:val="-4"/>
          <w:w w:val="105"/>
          <w:sz w:val="18"/>
        </w:rPr>
        <w:t>jar.</w:t>
      </w:r>
      <w:r>
        <w:rPr>
          <w:rFonts w:ascii="Arial" w:hAnsi="Arial"/>
          <w:i/>
          <w:color w:val="231F20"/>
          <w:spacing w:val="-33"/>
          <w:w w:val="105"/>
          <w:sz w:val="18"/>
        </w:rPr>
        <w:t> </w:t>
      </w:r>
      <w:r>
        <w:rPr>
          <w:rFonts w:ascii="Arial" w:hAnsi="Arial"/>
          <w:i/>
          <w:color w:val="231F20"/>
          <w:w w:val="105"/>
          <w:sz w:val="18"/>
        </w:rPr>
        <w:t>Ese</w:t>
      </w:r>
      <w:r>
        <w:rPr>
          <w:rFonts w:ascii="Arial" w:hAnsi="Arial"/>
          <w:i/>
          <w:color w:val="231F20"/>
          <w:spacing w:val="-30"/>
          <w:w w:val="105"/>
          <w:sz w:val="18"/>
        </w:rPr>
        <w:t> </w:t>
      </w:r>
      <w:r>
        <w:rPr>
          <w:rFonts w:ascii="Arial" w:hAnsi="Arial"/>
          <w:i/>
          <w:color w:val="231F20"/>
          <w:w w:val="105"/>
          <w:sz w:val="18"/>
        </w:rPr>
        <w:t>año</w:t>
      </w:r>
      <w:r>
        <w:rPr>
          <w:rFonts w:ascii="Arial" w:hAnsi="Arial"/>
          <w:i/>
          <w:color w:val="231F20"/>
          <w:spacing w:val="-30"/>
          <w:w w:val="105"/>
          <w:sz w:val="18"/>
        </w:rPr>
        <w:t> </w:t>
      </w:r>
      <w:r>
        <w:rPr>
          <w:rFonts w:ascii="Arial" w:hAnsi="Arial"/>
          <w:i/>
          <w:color w:val="231F20"/>
          <w:w w:val="105"/>
          <w:sz w:val="18"/>
        </w:rPr>
        <w:t>estuve</w:t>
      </w:r>
      <w:r>
        <w:rPr>
          <w:rFonts w:ascii="Arial" w:hAnsi="Arial"/>
          <w:i/>
          <w:color w:val="231F20"/>
          <w:spacing w:val="-30"/>
          <w:w w:val="105"/>
          <w:sz w:val="18"/>
        </w:rPr>
        <w:t> </w:t>
      </w:r>
      <w:r>
        <w:rPr>
          <w:rFonts w:ascii="Arial" w:hAnsi="Arial"/>
          <w:i/>
          <w:color w:val="231F20"/>
          <w:w w:val="105"/>
          <w:sz w:val="18"/>
        </w:rPr>
        <w:t>allá</w:t>
      </w:r>
      <w:r>
        <w:rPr>
          <w:rFonts w:ascii="Arial" w:hAnsi="Arial"/>
          <w:i/>
          <w:color w:val="231F20"/>
          <w:spacing w:val="-30"/>
          <w:w w:val="105"/>
          <w:sz w:val="18"/>
        </w:rPr>
        <w:t> </w:t>
      </w:r>
      <w:r>
        <w:rPr>
          <w:rFonts w:ascii="Arial" w:hAnsi="Arial"/>
          <w:i/>
          <w:color w:val="231F20"/>
          <w:w w:val="105"/>
          <w:sz w:val="18"/>
        </w:rPr>
        <w:t>seis</w:t>
      </w:r>
      <w:r>
        <w:rPr>
          <w:rFonts w:ascii="Arial" w:hAnsi="Arial"/>
          <w:i/>
          <w:color w:val="231F20"/>
          <w:spacing w:val="-30"/>
          <w:w w:val="105"/>
          <w:sz w:val="18"/>
        </w:rPr>
        <w:t> </w:t>
      </w:r>
      <w:r>
        <w:rPr>
          <w:rFonts w:ascii="Arial" w:hAnsi="Arial"/>
          <w:i/>
          <w:color w:val="231F20"/>
          <w:w w:val="105"/>
          <w:sz w:val="18"/>
        </w:rPr>
        <w:t>meses</w:t>
      </w:r>
      <w:r>
        <w:rPr>
          <w:rFonts w:ascii="Arial" w:hAnsi="Arial"/>
          <w:i/>
          <w:color w:val="231F20"/>
          <w:spacing w:val="-30"/>
          <w:w w:val="105"/>
          <w:sz w:val="18"/>
        </w:rPr>
        <w:t> </w:t>
      </w:r>
      <w:r>
        <w:rPr>
          <w:rFonts w:ascii="Arial" w:hAnsi="Arial"/>
          <w:i/>
          <w:color w:val="231F20"/>
          <w:w w:val="105"/>
          <w:sz w:val="18"/>
        </w:rPr>
        <w:t>trabajando</w:t>
      </w:r>
      <w:r>
        <w:rPr>
          <w:rFonts w:ascii="Arial" w:hAnsi="Arial"/>
          <w:i/>
          <w:color w:val="231F20"/>
          <w:spacing w:val="-30"/>
          <w:w w:val="105"/>
          <w:sz w:val="18"/>
        </w:rPr>
        <w:t> </w:t>
      </w:r>
      <w:r>
        <w:rPr>
          <w:rFonts w:ascii="Arial" w:hAnsi="Arial"/>
          <w:i/>
          <w:color w:val="231F20"/>
          <w:w w:val="105"/>
          <w:sz w:val="18"/>
        </w:rPr>
        <w:t>en</w:t>
      </w:r>
      <w:r>
        <w:rPr>
          <w:rFonts w:ascii="Arial" w:hAnsi="Arial"/>
          <w:i/>
          <w:color w:val="231F20"/>
          <w:spacing w:val="-30"/>
          <w:w w:val="105"/>
          <w:sz w:val="18"/>
        </w:rPr>
        <w:t> </w:t>
      </w:r>
      <w:r>
        <w:rPr>
          <w:rFonts w:ascii="Arial" w:hAnsi="Arial"/>
          <w:i/>
          <w:color w:val="231F20"/>
          <w:w w:val="105"/>
          <w:sz w:val="18"/>
        </w:rPr>
        <w:t>las</w:t>
      </w:r>
      <w:r>
        <w:rPr>
          <w:rFonts w:ascii="Arial" w:hAnsi="Arial"/>
          <w:i/>
          <w:color w:val="231F20"/>
          <w:spacing w:val="-30"/>
          <w:w w:val="105"/>
          <w:sz w:val="18"/>
        </w:rPr>
        <w:t> </w:t>
      </w:r>
      <w:r>
        <w:rPr>
          <w:rFonts w:ascii="Arial" w:hAnsi="Arial"/>
          <w:i/>
          <w:color w:val="231F20"/>
          <w:spacing w:val="-2"/>
          <w:w w:val="105"/>
          <w:sz w:val="18"/>
        </w:rPr>
        <w:t>yardas</w:t>
      </w:r>
      <w:r>
        <w:rPr>
          <w:rFonts w:ascii="Arial" w:hAnsi="Arial"/>
          <w:i/>
          <w:color w:val="231F20"/>
          <w:spacing w:val="-30"/>
          <w:w w:val="105"/>
          <w:sz w:val="18"/>
        </w:rPr>
        <w:t> </w:t>
      </w:r>
      <w:r>
        <w:rPr>
          <w:rFonts w:ascii="Arial" w:hAnsi="Arial"/>
          <w:i/>
          <w:color w:val="231F20"/>
          <w:w w:val="105"/>
          <w:sz w:val="18"/>
        </w:rPr>
        <w:t>(jardines).</w:t>
      </w:r>
      <w:r>
        <w:rPr>
          <w:rFonts w:ascii="Arial" w:hAnsi="Arial"/>
          <w:i/>
          <w:color w:val="231F20"/>
          <w:spacing w:val="-33"/>
          <w:w w:val="105"/>
          <w:sz w:val="18"/>
        </w:rPr>
        <w:t> </w:t>
      </w:r>
      <w:r>
        <w:rPr>
          <w:rFonts w:ascii="Arial" w:hAnsi="Arial"/>
          <w:i/>
          <w:color w:val="231F20"/>
          <w:w w:val="105"/>
          <w:sz w:val="18"/>
        </w:rPr>
        <w:t>Mi </w:t>
      </w:r>
      <w:r>
        <w:rPr>
          <w:rFonts w:ascii="Arial" w:hAnsi="Arial"/>
          <w:i/>
          <w:color w:val="231F20"/>
          <w:spacing w:val="-2"/>
          <w:w w:val="105"/>
          <w:sz w:val="18"/>
        </w:rPr>
        <w:t>propósito</w:t>
      </w:r>
      <w:r>
        <w:rPr>
          <w:rFonts w:ascii="Arial" w:hAnsi="Arial"/>
          <w:i/>
          <w:color w:val="231F20"/>
          <w:spacing w:val="-36"/>
          <w:w w:val="105"/>
          <w:sz w:val="18"/>
        </w:rPr>
        <w:t> </w:t>
      </w:r>
      <w:r>
        <w:rPr>
          <w:rFonts w:ascii="Arial" w:hAnsi="Arial"/>
          <w:i/>
          <w:color w:val="231F20"/>
          <w:spacing w:val="-2"/>
          <w:w w:val="105"/>
          <w:sz w:val="18"/>
        </w:rPr>
        <w:t>era</w:t>
      </w:r>
      <w:r>
        <w:rPr>
          <w:rFonts w:ascii="Arial" w:hAnsi="Arial"/>
          <w:i/>
          <w:color w:val="231F20"/>
          <w:spacing w:val="-36"/>
          <w:w w:val="105"/>
          <w:sz w:val="18"/>
        </w:rPr>
        <w:t> </w:t>
      </w:r>
      <w:r>
        <w:rPr>
          <w:rFonts w:ascii="Arial" w:hAnsi="Arial"/>
          <w:i/>
          <w:color w:val="231F20"/>
          <w:w w:val="105"/>
          <w:sz w:val="18"/>
        </w:rPr>
        <w:t>hacer</w:t>
      </w:r>
      <w:r>
        <w:rPr>
          <w:rFonts w:ascii="Arial" w:hAnsi="Arial"/>
          <w:i/>
          <w:color w:val="231F20"/>
          <w:spacing w:val="-36"/>
          <w:w w:val="105"/>
          <w:sz w:val="18"/>
        </w:rPr>
        <w:t> </w:t>
      </w:r>
      <w:r>
        <w:rPr>
          <w:rFonts w:ascii="Arial" w:hAnsi="Arial"/>
          <w:i/>
          <w:color w:val="231F20"/>
          <w:w w:val="105"/>
          <w:sz w:val="18"/>
        </w:rPr>
        <w:t>la</w:t>
      </w:r>
      <w:r>
        <w:rPr>
          <w:rFonts w:ascii="Arial" w:hAnsi="Arial"/>
          <w:i/>
          <w:color w:val="231F20"/>
          <w:spacing w:val="-36"/>
          <w:w w:val="105"/>
          <w:sz w:val="18"/>
        </w:rPr>
        <w:t> </w:t>
      </w:r>
      <w:r>
        <w:rPr>
          <w:rFonts w:ascii="Arial" w:hAnsi="Arial"/>
          <w:i/>
          <w:color w:val="231F20"/>
          <w:w w:val="105"/>
          <w:sz w:val="18"/>
        </w:rPr>
        <w:t>lucha</w:t>
      </w:r>
      <w:r>
        <w:rPr>
          <w:rFonts w:ascii="Arial" w:hAnsi="Arial"/>
          <w:i/>
          <w:color w:val="231F20"/>
          <w:spacing w:val="-36"/>
          <w:w w:val="105"/>
          <w:sz w:val="18"/>
        </w:rPr>
        <w:t> </w:t>
      </w:r>
      <w:r>
        <w:rPr>
          <w:rFonts w:ascii="Arial" w:hAnsi="Arial"/>
          <w:i/>
          <w:color w:val="231F20"/>
          <w:w w:val="105"/>
          <w:sz w:val="18"/>
        </w:rPr>
        <w:t>por</w:t>
      </w:r>
      <w:r>
        <w:rPr>
          <w:rFonts w:ascii="Arial" w:hAnsi="Arial"/>
          <w:i/>
          <w:color w:val="231F20"/>
          <w:spacing w:val="-36"/>
          <w:w w:val="105"/>
          <w:sz w:val="18"/>
        </w:rPr>
        <w:t> </w:t>
      </w:r>
      <w:r>
        <w:rPr>
          <w:rFonts w:ascii="Arial" w:hAnsi="Arial"/>
          <w:i/>
          <w:color w:val="231F20"/>
          <w:w w:val="105"/>
          <w:sz w:val="18"/>
        </w:rPr>
        <w:t>tener</w:t>
      </w:r>
      <w:r>
        <w:rPr>
          <w:rFonts w:ascii="Arial" w:hAnsi="Arial"/>
          <w:i/>
          <w:color w:val="231F20"/>
          <w:spacing w:val="-36"/>
          <w:w w:val="105"/>
          <w:sz w:val="18"/>
        </w:rPr>
        <w:t> </w:t>
      </w:r>
      <w:r>
        <w:rPr>
          <w:rFonts w:ascii="Arial" w:hAnsi="Arial"/>
          <w:i/>
          <w:color w:val="231F20"/>
          <w:w w:val="105"/>
          <w:sz w:val="18"/>
        </w:rPr>
        <w:t>papeles.</w:t>
      </w:r>
      <w:r>
        <w:rPr>
          <w:rFonts w:ascii="Arial" w:hAnsi="Arial"/>
          <w:i/>
          <w:color w:val="231F20"/>
          <w:spacing w:val="-38"/>
          <w:w w:val="105"/>
          <w:sz w:val="18"/>
        </w:rPr>
        <w:t> </w:t>
      </w:r>
      <w:r>
        <w:rPr>
          <w:rFonts w:ascii="Arial" w:hAnsi="Arial"/>
          <w:i/>
          <w:color w:val="231F20"/>
          <w:w w:val="105"/>
          <w:sz w:val="18"/>
        </w:rPr>
        <w:t>Mis</w:t>
      </w:r>
      <w:r>
        <w:rPr>
          <w:rFonts w:ascii="Arial" w:hAnsi="Arial"/>
          <w:i/>
          <w:color w:val="231F20"/>
          <w:spacing w:val="-36"/>
          <w:w w:val="105"/>
          <w:sz w:val="18"/>
        </w:rPr>
        <w:t> </w:t>
      </w:r>
      <w:r>
        <w:rPr>
          <w:rFonts w:ascii="Arial" w:hAnsi="Arial"/>
          <w:i/>
          <w:color w:val="231F20"/>
          <w:w w:val="105"/>
          <w:sz w:val="18"/>
        </w:rPr>
        <w:t>hijos</w:t>
      </w:r>
      <w:r>
        <w:rPr>
          <w:rFonts w:ascii="Arial" w:hAnsi="Arial"/>
          <w:i/>
          <w:color w:val="231F20"/>
          <w:spacing w:val="-36"/>
          <w:w w:val="105"/>
          <w:sz w:val="18"/>
        </w:rPr>
        <w:t> </w:t>
      </w:r>
      <w:r>
        <w:rPr>
          <w:rFonts w:ascii="Arial" w:hAnsi="Arial"/>
          <w:i/>
          <w:color w:val="231F20"/>
          <w:w w:val="105"/>
          <w:sz w:val="18"/>
        </w:rPr>
        <w:t>—salvo</w:t>
      </w:r>
      <w:r>
        <w:rPr>
          <w:rFonts w:ascii="Arial" w:hAnsi="Arial"/>
          <w:i/>
          <w:color w:val="231F20"/>
          <w:spacing w:val="-36"/>
          <w:w w:val="105"/>
          <w:sz w:val="18"/>
        </w:rPr>
        <w:t> </w:t>
      </w:r>
      <w:r>
        <w:rPr>
          <w:rFonts w:ascii="Arial" w:hAnsi="Arial"/>
          <w:i/>
          <w:color w:val="231F20"/>
          <w:spacing w:val="-2"/>
          <w:w w:val="105"/>
          <w:sz w:val="18"/>
        </w:rPr>
        <w:t>Celia—</w:t>
      </w:r>
      <w:r>
        <w:rPr>
          <w:rFonts w:ascii="Arial" w:hAnsi="Arial"/>
          <w:i/>
          <w:color w:val="231F20"/>
          <w:spacing w:val="-36"/>
          <w:w w:val="105"/>
          <w:sz w:val="18"/>
        </w:rPr>
        <w:t> </w:t>
      </w:r>
      <w:r>
        <w:rPr>
          <w:rFonts w:ascii="Arial" w:hAnsi="Arial"/>
          <w:i/>
          <w:color w:val="231F20"/>
          <w:w w:val="105"/>
          <w:sz w:val="18"/>
        </w:rPr>
        <w:t>ya se</w:t>
      </w:r>
      <w:r>
        <w:rPr>
          <w:rFonts w:ascii="Arial" w:hAnsi="Arial"/>
          <w:i/>
          <w:color w:val="231F20"/>
          <w:spacing w:val="-26"/>
          <w:w w:val="105"/>
          <w:sz w:val="18"/>
        </w:rPr>
        <w:t> </w:t>
      </w:r>
      <w:r>
        <w:rPr>
          <w:rFonts w:ascii="Arial" w:hAnsi="Arial"/>
          <w:i/>
          <w:color w:val="231F20"/>
          <w:w w:val="105"/>
          <w:sz w:val="18"/>
        </w:rPr>
        <w:t>habían</w:t>
      </w:r>
      <w:r>
        <w:rPr>
          <w:rFonts w:ascii="Arial" w:hAnsi="Arial"/>
          <w:i/>
          <w:color w:val="231F20"/>
          <w:spacing w:val="-26"/>
          <w:w w:val="105"/>
          <w:sz w:val="18"/>
        </w:rPr>
        <w:t> </w:t>
      </w:r>
      <w:r>
        <w:rPr>
          <w:rFonts w:ascii="Arial" w:hAnsi="Arial"/>
          <w:i/>
          <w:color w:val="231F20"/>
          <w:w w:val="105"/>
          <w:sz w:val="18"/>
        </w:rPr>
        <w:t>ido</w:t>
      </w:r>
      <w:r>
        <w:rPr>
          <w:rFonts w:ascii="Arial" w:hAnsi="Arial"/>
          <w:i/>
          <w:color w:val="231F20"/>
          <w:spacing w:val="-26"/>
          <w:w w:val="105"/>
          <w:sz w:val="18"/>
        </w:rPr>
        <w:t> </w:t>
      </w:r>
      <w:r>
        <w:rPr>
          <w:rFonts w:ascii="Arial" w:hAnsi="Arial"/>
          <w:i/>
          <w:color w:val="231F20"/>
          <w:w w:val="105"/>
          <w:sz w:val="18"/>
        </w:rPr>
        <w:t>todos.</w:t>
      </w:r>
      <w:r>
        <w:rPr>
          <w:rFonts w:ascii="Arial" w:hAnsi="Arial"/>
          <w:i/>
          <w:color w:val="231F20"/>
          <w:spacing w:val="-29"/>
          <w:w w:val="105"/>
          <w:sz w:val="18"/>
        </w:rPr>
        <w:t> </w:t>
      </w:r>
      <w:r>
        <w:rPr>
          <w:rFonts w:ascii="Arial" w:hAnsi="Arial"/>
          <w:i/>
          <w:color w:val="231F20"/>
          <w:spacing w:val="-6"/>
          <w:w w:val="105"/>
          <w:sz w:val="18"/>
        </w:rPr>
        <w:t>Por</w:t>
      </w:r>
      <w:r>
        <w:rPr>
          <w:rFonts w:ascii="Arial" w:hAnsi="Arial"/>
          <w:i/>
          <w:color w:val="231F20"/>
          <w:spacing w:val="-26"/>
          <w:w w:val="105"/>
          <w:sz w:val="18"/>
        </w:rPr>
        <w:t> </w:t>
      </w:r>
      <w:r>
        <w:rPr>
          <w:rFonts w:ascii="Arial" w:hAnsi="Arial"/>
          <w:i/>
          <w:color w:val="231F20"/>
          <w:w w:val="105"/>
          <w:sz w:val="18"/>
        </w:rPr>
        <w:t>esa</w:t>
      </w:r>
      <w:r>
        <w:rPr>
          <w:rFonts w:ascii="Arial" w:hAnsi="Arial"/>
          <w:i/>
          <w:color w:val="231F20"/>
          <w:spacing w:val="-26"/>
          <w:w w:val="105"/>
          <w:sz w:val="18"/>
        </w:rPr>
        <w:t> </w:t>
      </w:r>
      <w:r>
        <w:rPr>
          <w:rFonts w:ascii="Arial" w:hAnsi="Arial"/>
          <w:i/>
          <w:color w:val="231F20"/>
          <w:w w:val="105"/>
          <w:sz w:val="18"/>
        </w:rPr>
        <w:t>razón</w:t>
      </w:r>
      <w:r>
        <w:rPr>
          <w:rFonts w:ascii="Arial" w:hAnsi="Arial"/>
          <w:i/>
          <w:color w:val="231F20"/>
          <w:spacing w:val="-26"/>
          <w:w w:val="105"/>
          <w:sz w:val="18"/>
        </w:rPr>
        <w:t> </w:t>
      </w:r>
      <w:r>
        <w:rPr>
          <w:rFonts w:ascii="Arial" w:hAnsi="Arial"/>
          <w:i/>
          <w:color w:val="231F20"/>
          <w:w w:val="105"/>
          <w:sz w:val="18"/>
        </w:rPr>
        <w:t>elegí</w:t>
      </w:r>
      <w:r>
        <w:rPr>
          <w:rFonts w:ascii="Arial" w:hAnsi="Arial"/>
          <w:i/>
          <w:color w:val="231F20"/>
          <w:spacing w:val="-26"/>
          <w:w w:val="105"/>
          <w:sz w:val="18"/>
        </w:rPr>
        <w:t> </w:t>
      </w:r>
      <w:r>
        <w:rPr>
          <w:rFonts w:ascii="Arial" w:hAnsi="Arial"/>
          <w:i/>
          <w:color w:val="231F20"/>
          <w:w w:val="105"/>
          <w:sz w:val="18"/>
        </w:rPr>
        <w:t>Chicago.</w:t>
      </w:r>
      <w:r>
        <w:rPr>
          <w:rFonts w:ascii="Arial" w:hAnsi="Arial"/>
          <w:i/>
          <w:color w:val="231F20"/>
          <w:spacing w:val="-29"/>
          <w:w w:val="105"/>
          <w:sz w:val="18"/>
        </w:rPr>
        <w:t> </w:t>
      </w:r>
      <w:r>
        <w:rPr>
          <w:rFonts w:ascii="Arial" w:hAnsi="Arial"/>
          <w:i/>
          <w:color w:val="231F20"/>
          <w:w w:val="105"/>
          <w:sz w:val="18"/>
        </w:rPr>
        <w:t>En</w:t>
      </w:r>
      <w:r>
        <w:rPr>
          <w:rFonts w:ascii="Arial" w:hAnsi="Arial"/>
          <w:i/>
          <w:color w:val="231F20"/>
          <w:spacing w:val="-26"/>
          <w:w w:val="105"/>
          <w:sz w:val="18"/>
        </w:rPr>
        <w:t> </w:t>
      </w:r>
      <w:r>
        <w:rPr>
          <w:rFonts w:ascii="Arial" w:hAnsi="Arial"/>
          <w:i/>
          <w:color w:val="231F20"/>
          <w:w w:val="105"/>
          <w:sz w:val="18"/>
        </w:rPr>
        <w:t>1986</w:t>
      </w:r>
      <w:r>
        <w:rPr>
          <w:rFonts w:ascii="Arial" w:hAnsi="Arial"/>
          <w:i/>
          <w:color w:val="231F20"/>
          <w:spacing w:val="-26"/>
          <w:w w:val="105"/>
          <w:sz w:val="18"/>
        </w:rPr>
        <w:t> </w:t>
      </w:r>
      <w:r>
        <w:rPr>
          <w:rFonts w:ascii="Arial" w:hAnsi="Arial"/>
          <w:i/>
          <w:color w:val="231F20"/>
          <w:w w:val="105"/>
          <w:sz w:val="18"/>
        </w:rPr>
        <w:t>me</w:t>
      </w:r>
      <w:r>
        <w:rPr>
          <w:rFonts w:ascii="Arial" w:hAnsi="Arial"/>
          <w:i/>
          <w:color w:val="231F20"/>
          <w:spacing w:val="-26"/>
          <w:w w:val="105"/>
          <w:sz w:val="18"/>
        </w:rPr>
        <w:t> </w:t>
      </w:r>
      <w:r>
        <w:rPr>
          <w:rFonts w:ascii="Arial" w:hAnsi="Arial"/>
          <w:i/>
          <w:color w:val="231F20"/>
          <w:w w:val="105"/>
          <w:sz w:val="18"/>
        </w:rPr>
        <w:t>tocó</w:t>
      </w:r>
      <w:r>
        <w:rPr>
          <w:rFonts w:ascii="Arial" w:hAnsi="Arial"/>
          <w:i/>
          <w:color w:val="231F20"/>
          <w:spacing w:val="-26"/>
          <w:w w:val="105"/>
          <w:sz w:val="18"/>
        </w:rPr>
        <w:t> </w:t>
      </w:r>
      <w:r>
        <w:rPr>
          <w:rFonts w:ascii="Arial" w:hAnsi="Arial"/>
          <w:i/>
          <w:color w:val="231F20"/>
          <w:w w:val="105"/>
          <w:sz w:val="18"/>
        </w:rPr>
        <w:t>allá</w:t>
      </w:r>
      <w:r>
        <w:rPr>
          <w:rFonts w:ascii="Arial" w:hAnsi="Arial"/>
          <w:i/>
          <w:color w:val="231F20"/>
          <w:spacing w:val="-26"/>
          <w:w w:val="105"/>
          <w:sz w:val="18"/>
        </w:rPr>
        <w:t> </w:t>
      </w:r>
      <w:r>
        <w:rPr>
          <w:rFonts w:ascii="Arial" w:hAnsi="Arial"/>
          <w:i/>
          <w:color w:val="231F20"/>
          <w:w w:val="105"/>
          <w:sz w:val="18"/>
        </w:rPr>
        <w:t>la amnistía</w:t>
      </w:r>
      <w:r>
        <w:rPr>
          <w:rFonts w:ascii="Arial" w:hAnsi="Arial"/>
          <w:i/>
          <w:color w:val="231F20"/>
          <w:spacing w:val="-34"/>
          <w:w w:val="105"/>
          <w:sz w:val="18"/>
        </w:rPr>
        <w:t> </w:t>
      </w:r>
      <w:r>
        <w:rPr>
          <w:rFonts w:ascii="Arial" w:hAnsi="Arial"/>
          <w:i/>
          <w:color w:val="231F20"/>
          <w:spacing w:val="-3"/>
          <w:w w:val="105"/>
          <w:sz w:val="18"/>
        </w:rPr>
        <w:t>(Immigration</w:t>
      </w:r>
      <w:r>
        <w:rPr>
          <w:rFonts w:ascii="Arial" w:hAnsi="Arial"/>
          <w:i/>
          <w:color w:val="231F20"/>
          <w:spacing w:val="-34"/>
          <w:w w:val="105"/>
          <w:sz w:val="18"/>
        </w:rPr>
        <w:t> </w:t>
      </w:r>
      <w:r>
        <w:rPr>
          <w:rFonts w:ascii="Arial" w:hAnsi="Arial"/>
          <w:i/>
          <w:color w:val="231F20"/>
          <w:spacing w:val="-2"/>
          <w:w w:val="105"/>
          <w:sz w:val="18"/>
        </w:rPr>
        <w:t>Reform</w:t>
      </w:r>
      <w:r>
        <w:rPr>
          <w:rFonts w:ascii="Arial" w:hAnsi="Arial"/>
          <w:i/>
          <w:color w:val="231F20"/>
          <w:spacing w:val="-34"/>
          <w:w w:val="105"/>
          <w:sz w:val="18"/>
        </w:rPr>
        <w:t> </w:t>
      </w:r>
      <w:r>
        <w:rPr>
          <w:rFonts w:ascii="Arial" w:hAnsi="Arial"/>
          <w:i/>
          <w:color w:val="231F20"/>
          <w:w w:val="105"/>
          <w:sz w:val="18"/>
        </w:rPr>
        <w:t>and</w:t>
      </w:r>
      <w:r>
        <w:rPr>
          <w:rFonts w:ascii="Arial" w:hAnsi="Arial"/>
          <w:i/>
          <w:color w:val="231F20"/>
          <w:spacing w:val="-34"/>
          <w:w w:val="105"/>
          <w:sz w:val="18"/>
        </w:rPr>
        <w:t> </w:t>
      </w:r>
      <w:r>
        <w:rPr>
          <w:rFonts w:ascii="Arial" w:hAnsi="Arial"/>
          <w:i/>
          <w:color w:val="231F20"/>
          <w:spacing w:val="-3"/>
          <w:w w:val="105"/>
          <w:sz w:val="18"/>
        </w:rPr>
        <w:t>Control</w:t>
      </w:r>
      <w:r>
        <w:rPr>
          <w:rFonts w:ascii="Arial" w:hAnsi="Arial"/>
          <w:i/>
          <w:color w:val="231F20"/>
          <w:spacing w:val="-35"/>
          <w:w w:val="105"/>
          <w:sz w:val="18"/>
        </w:rPr>
        <w:t> </w:t>
      </w:r>
      <w:r>
        <w:rPr>
          <w:rFonts w:ascii="Arial" w:hAnsi="Arial"/>
          <w:i/>
          <w:color w:val="231F20"/>
          <w:w w:val="105"/>
          <w:sz w:val="18"/>
        </w:rPr>
        <w:t>Act</w:t>
      </w:r>
      <w:r>
        <w:rPr>
          <w:rFonts w:ascii="Arial" w:hAnsi="Arial"/>
          <w:i/>
          <w:color w:val="231F20"/>
          <w:spacing w:val="-34"/>
          <w:w w:val="105"/>
          <w:sz w:val="18"/>
        </w:rPr>
        <w:t> </w:t>
      </w:r>
      <w:r>
        <w:rPr>
          <w:rFonts w:ascii="Arial" w:hAnsi="Arial"/>
          <w:i/>
          <w:color w:val="231F20"/>
          <w:w w:val="105"/>
          <w:sz w:val="18"/>
        </w:rPr>
        <w:t>—</w:t>
      </w:r>
      <w:r>
        <w:rPr>
          <w:rFonts w:ascii="Arial" w:hAnsi="Arial"/>
          <w:i/>
          <w:color w:val="231F20"/>
          <w:w w:val="105"/>
          <w:sz w:val="16"/>
        </w:rPr>
        <w:t>IRCA</w:t>
      </w:r>
      <w:r>
        <w:rPr>
          <w:rFonts w:ascii="Arial" w:hAnsi="Arial"/>
          <w:i/>
          <w:color w:val="231F20"/>
          <w:w w:val="105"/>
          <w:sz w:val="18"/>
        </w:rPr>
        <w:t>—),</w:t>
      </w:r>
      <w:r>
        <w:rPr>
          <w:rFonts w:ascii="Arial" w:hAnsi="Arial"/>
          <w:i/>
          <w:color w:val="231F20"/>
          <w:spacing w:val="-36"/>
          <w:w w:val="105"/>
          <w:sz w:val="18"/>
        </w:rPr>
        <w:t> </w:t>
      </w:r>
      <w:r>
        <w:rPr>
          <w:rFonts w:ascii="Arial" w:hAnsi="Arial"/>
          <w:i/>
          <w:color w:val="231F20"/>
          <w:w w:val="105"/>
          <w:sz w:val="18"/>
        </w:rPr>
        <w:t>y</w:t>
      </w:r>
      <w:r>
        <w:rPr>
          <w:rFonts w:ascii="Arial" w:hAnsi="Arial"/>
          <w:i/>
          <w:color w:val="231F20"/>
          <w:spacing w:val="-34"/>
          <w:w w:val="105"/>
          <w:sz w:val="18"/>
        </w:rPr>
        <w:t> </w:t>
      </w:r>
      <w:r>
        <w:rPr>
          <w:rFonts w:ascii="Arial" w:hAnsi="Arial"/>
          <w:i/>
          <w:color w:val="231F20"/>
          <w:w w:val="105"/>
          <w:sz w:val="18"/>
        </w:rPr>
        <w:t>apliqué.</w:t>
      </w:r>
      <w:r>
        <w:rPr>
          <w:rFonts w:ascii="Arial" w:hAnsi="Arial"/>
          <w:i/>
          <w:color w:val="231F20"/>
          <w:spacing w:val="-36"/>
          <w:w w:val="105"/>
          <w:sz w:val="18"/>
        </w:rPr>
        <w:t> </w:t>
      </w:r>
      <w:r>
        <w:rPr>
          <w:rFonts w:ascii="Arial" w:hAnsi="Arial"/>
          <w:i/>
          <w:color w:val="231F20"/>
          <w:spacing w:val="-3"/>
          <w:w w:val="105"/>
          <w:sz w:val="18"/>
        </w:rPr>
        <w:t>Luego </w:t>
      </w:r>
      <w:r>
        <w:rPr>
          <w:rFonts w:ascii="Arial" w:hAnsi="Arial"/>
          <w:i/>
          <w:color w:val="231F20"/>
          <w:w w:val="105"/>
          <w:sz w:val="18"/>
        </w:rPr>
        <w:t>de</w:t>
      </w:r>
      <w:r>
        <w:rPr>
          <w:rFonts w:ascii="Arial" w:hAnsi="Arial"/>
          <w:i/>
          <w:color w:val="231F20"/>
          <w:spacing w:val="-7"/>
          <w:w w:val="105"/>
          <w:sz w:val="18"/>
        </w:rPr>
        <w:t> </w:t>
      </w:r>
      <w:r>
        <w:rPr>
          <w:rFonts w:ascii="Arial" w:hAnsi="Arial"/>
          <w:i/>
          <w:color w:val="231F20"/>
          <w:w w:val="105"/>
          <w:sz w:val="18"/>
        </w:rPr>
        <w:t>un</w:t>
      </w:r>
      <w:r>
        <w:rPr>
          <w:rFonts w:ascii="Arial" w:hAnsi="Arial"/>
          <w:i/>
          <w:color w:val="231F20"/>
          <w:spacing w:val="-7"/>
          <w:w w:val="105"/>
          <w:sz w:val="18"/>
        </w:rPr>
        <w:t> </w:t>
      </w:r>
      <w:r>
        <w:rPr>
          <w:rFonts w:ascii="Arial" w:hAnsi="Arial"/>
          <w:i/>
          <w:color w:val="231F20"/>
          <w:w w:val="105"/>
          <w:sz w:val="18"/>
        </w:rPr>
        <w:t>tiempo</w:t>
      </w:r>
      <w:r>
        <w:rPr>
          <w:rFonts w:ascii="Arial" w:hAnsi="Arial"/>
          <w:i/>
          <w:color w:val="231F20"/>
          <w:spacing w:val="-7"/>
          <w:w w:val="105"/>
          <w:sz w:val="18"/>
        </w:rPr>
        <w:t> </w:t>
      </w:r>
      <w:r>
        <w:rPr>
          <w:rFonts w:ascii="Arial" w:hAnsi="Arial"/>
          <w:i/>
          <w:color w:val="231F20"/>
          <w:w w:val="105"/>
          <w:sz w:val="18"/>
        </w:rPr>
        <w:t>durante</w:t>
      </w:r>
      <w:r>
        <w:rPr>
          <w:rFonts w:ascii="Arial" w:hAnsi="Arial"/>
          <w:i/>
          <w:color w:val="231F20"/>
          <w:spacing w:val="-7"/>
          <w:w w:val="105"/>
          <w:sz w:val="18"/>
        </w:rPr>
        <w:t> </w:t>
      </w:r>
      <w:r>
        <w:rPr>
          <w:rFonts w:ascii="Arial" w:hAnsi="Arial"/>
          <w:i/>
          <w:color w:val="231F20"/>
          <w:w w:val="105"/>
          <w:sz w:val="18"/>
        </w:rPr>
        <w:t>el</w:t>
      </w:r>
      <w:r>
        <w:rPr>
          <w:rFonts w:ascii="Arial" w:hAnsi="Arial"/>
          <w:i/>
          <w:color w:val="231F20"/>
          <w:spacing w:val="-7"/>
          <w:w w:val="105"/>
          <w:sz w:val="18"/>
        </w:rPr>
        <w:t> </w:t>
      </w:r>
      <w:r>
        <w:rPr>
          <w:rFonts w:ascii="Arial" w:hAnsi="Arial"/>
          <w:i/>
          <w:color w:val="231F20"/>
          <w:w w:val="105"/>
          <w:sz w:val="18"/>
        </w:rPr>
        <w:t>cual</w:t>
      </w:r>
      <w:r>
        <w:rPr>
          <w:rFonts w:ascii="Arial" w:hAnsi="Arial"/>
          <w:i/>
          <w:color w:val="231F20"/>
          <w:spacing w:val="-7"/>
          <w:w w:val="105"/>
          <w:sz w:val="18"/>
        </w:rPr>
        <w:t> </w:t>
      </w:r>
      <w:r>
        <w:rPr>
          <w:rFonts w:ascii="Arial" w:hAnsi="Arial"/>
          <w:i/>
          <w:color w:val="231F20"/>
          <w:w w:val="105"/>
          <w:sz w:val="18"/>
        </w:rPr>
        <w:t>tuve</w:t>
      </w:r>
      <w:r>
        <w:rPr>
          <w:rFonts w:ascii="Arial" w:hAnsi="Arial"/>
          <w:i/>
          <w:color w:val="231F20"/>
          <w:spacing w:val="-7"/>
          <w:w w:val="105"/>
          <w:sz w:val="18"/>
        </w:rPr>
        <w:t> </w:t>
      </w:r>
      <w:r>
        <w:rPr>
          <w:rFonts w:ascii="Arial" w:hAnsi="Arial"/>
          <w:i/>
          <w:color w:val="231F20"/>
          <w:w w:val="105"/>
          <w:sz w:val="18"/>
        </w:rPr>
        <w:t>que</w:t>
      </w:r>
      <w:r>
        <w:rPr>
          <w:rFonts w:ascii="Arial" w:hAnsi="Arial"/>
          <w:i/>
          <w:color w:val="231F20"/>
          <w:spacing w:val="-7"/>
          <w:w w:val="105"/>
          <w:sz w:val="18"/>
        </w:rPr>
        <w:t> </w:t>
      </w:r>
      <w:r>
        <w:rPr>
          <w:rFonts w:ascii="Arial" w:hAnsi="Arial"/>
          <w:i/>
          <w:color w:val="231F20"/>
          <w:w w:val="105"/>
          <w:sz w:val="18"/>
        </w:rPr>
        <w:t>quedarme</w:t>
      </w:r>
      <w:r>
        <w:rPr>
          <w:rFonts w:ascii="Arial" w:hAnsi="Arial"/>
          <w:i/>
          <w:color w:val="231F20"/>
          <w:spacing w:val="-7"/>
          <w:w w:val="105"/>
          <w:sz w:val="18"/>
        </w:rPr>
        <w:t> </w:t>
      </w:r>
      <w:r>
        <w:rPr>
          <w:rFonts w:ascii="Arial" w:hAnsi="Arial"/>
          <w:i/>
          <w:color w:val="231F20"/>
          <w:w w:val="105"/>
          <w:sz w:val="18"/>
        </w:rPr>
        <w:t>allá,</w:t>
      </w:r>
      <w:r>
        <w:rPr>
          <w:rFonts w:ascii="Arial" w:hAnsi="Arial"/>
          <w:i/>
          <w:color w:val="231F20"/>
          <w:spacing w:val="-11"/>
          <w:w w:val="105"/>
          <w:sz w:val="18"/>
        </w:rPr>
        <w:t> </w:t>
      </w:r>
      <w:r>
        <w:rPr>
          <w:rFonts w:ascii="Arial" w:hAnsi="Arial"/>
          <w:i/>
          <w:color w:val="231F20"/>
          <w:w w:val="105"/>
          <w:sz w:val="18"/>
        </w:rPr>
        <w:t>me</w:t>
      </w:r>
      <w:r>
        <w:rPr>
          <w:rFonts w:ascii="Arial" w:hAnsi="Arial"/>
          <w:i/>
          <w:color w:val="231F20"/>
          <w:spacing w:val="-7"/>
          <w:w w:val="105"/>
          <w:sz w:val="18"/>
        </w:rPr>
        <w:t> </w:t>
      </w:r>
      <w:r>
        <w:rPr>
          <w:rFonts w:ascii="Arial" w:hAnsi="Arial"/>
          <w:i/>
          <w:color w:val="231F20"/>
          <w:spacing w:val="-3"/>
          <w:w w:val="105"/>
          <w:sz w:val="18"/>
        </w:rPr>
        <w:t>respondieron </w:t>
      </w:r>
      <w:r>
        <w:rPr>
          <w:rFonts w:ascii="Arial" w:hAnsi="Arial"/>
          <w:i/>
          <w:color w:val="231F20"/>
          <w:w w:val="105"/>
          <w:sz w:val="18"/>
        </w:rPr>
        <w:t>favorablemente</w:t>
      </w:r>
      <w:r>
        <w:rPr>
          <w:rFonts w:ascii="Arial" w:hAnsi="Arial"/>
          <w:i/>
          <w:color w:val="231F20"/>
          <w:spacing w:val="-37"/>
          <w:w w:val="105"/>
          <w:sz w:val="18"/>
        </w:rPr>
        <w:t> </w:t>
      </w:r>
      <w:r>
        <w:rPr>
          <w:rFonts w:ascii="Arial" w:hAnsi="Arial"/>
          <w:i/>
          <w:color w:val="231F20"/>
          <w:w w:val="105"/>
          <w:sz w:val="18"/>
        </w:rPr>
        <w:t>y</w:t>
      </w:r>
      <w:r>
        <w:rPr>
          <w:rFonts w:ascii="Arial" w:hAnsi="Arial"/>
          <w:i/>
          <w:color w:val="231F20"/>
          <w:spacing w:val="-37"/>
          <w:w w:val="105"/>
          <w:sz w:val="18"/>
        </w:rPr>
        <w:t> </w:t>
      </w:r>
      <w:r>
        <w:rPr>
          <w:rFonts w:ascii="Arial" w:hAnsi="Arial"/>
          <w:i/>
          <w:color w:val="231F20"/>
          <w:w w:val="105"/>
          <w:sz w:val="18"/>
        </w:rPr>
        <w:t>arreglé</w:t>
      </w:r>
      <w:r>
        <w:rPr>
          <w:rFonts w:ascii="Arial" w:hAnsi="Arial"/>
          <w:i/>
          <w:color w:val="231F20"/>
          <w:spacing w:val="-37"/>
          <w:w w:val="105"/>
          <w:sz w:val="18"/>
        </w:rPr>
        <w:t> </w:t>
      </w:r>
      <w:r>
        <w:rPr>
          <w:rFonts w:ascii="Arial" w:hAnsi="Arial"/>
          <w:i/>
          <w:color w:val="231F20"/>
          <w:w w:val="105"/>
          <w:sz w:val="18"/>
        </w:rPr>
        <w:t>mis</w:t>
      </w:r>
      <w:r>
        <w:rPr>
          <w:rFonts w:ascii="Arial" w:hAnsi="Arial"/>
          <w:i/>
          <w:color w:val="231F20"/>
          <w:spacing w:val="-37"/>
          <w:w w:val="105"/>
          <w:sz w:val="18"/>
        </w:rPr>
        <w:t> </w:t>
      </w:r>
      <w:r>
        <w:rPr>
          <w:rFonts w:ascii="Arial" w:hAnsi="Arial"/>
          <w:i/>
          <w:color w:val="231F20"/>
          <w:w w:val="105"/>
          <w:sz w:val="18"/>
        </w:rPr>
        <w:t>papeles,</w:t>
      </w:r>
      <w:r>
        <w:rPr>
          <w:rFonts w:ascii="Arial" w:hAnsi="Arial"/>
          <w:i/>
          <w:color w:val="231F20"/>
          <w:spacing w:val="-39"/>
          <w:w w:val="105"/>
          <w:sz w:val="18"/>
        </w:rPr>
        <w:t> </w:t>
      </w:r>
      <w:r>
        <w:rPr>
          <w:rFonts w:ascii="Arial" w:hAnsi="Arial"/>
          <w:i/>
          <w:color w:val="231F20"/>
          <w:w w:val="105"/>
          <w:sz w:val="18"/>
        </w:rPr>
        <w:t>y</w:t>
      </w:r>
      <w:r>
        <w:rPr>
          <w:rFonts w:ascii="Arial" w:hAnsi="Arial"/>
          <w:i/>
          <w:color w:val="231F20"/>
          <w:spacing w:val="-37"/>
          <w:w w:val="105"/>
          <w:sz w:val="18"/>
        </w:rPr>
        <w:t> </w:t>
      </w:r>
      <w:r>
        <w:rPr>
          <w:rFonts w:ascii="Arial" w:hAnsi="Arial"/>
          <w:i/>
          <w:color w:val="231F20"/>
          <w:w w:val="105"/>
          <w:sz w:val="18"/>
        </w:rPr>
        <w:t>con</w:t>
      </w:r>
      <w:r>
        <w:rPr>
          <w:rFonts w:ascii="Arial" w:hAnsi="Arial"/>
          <w:i/>
          <w:color w:val="231F20"/>
          <w:spacing w:val="-37"/>
          <w:w w:val="105"/>
          <w:sz w:val="18"/>
        </w:rPr>
        <w:t> </w:t>
      </w:r>
      <w:r>
        <w:rPr>
          <w:rFonts w:ascii="Arial" w:hAnsi="Arial"/>
          <w:i/>
          <w:color w:val="231F20"/>
          <w:w w:val="105"/>
          <w:sz w:val="18"/>
        </w:rPr>
        <w:t>éstos</w:t>
      </w:r>
      <w:r>
        <w:rPr>
          <w:rFonts w:ascii="Arial" w:hAnsi="Arial"/>
          <w:i/>
          <w:color w:val="231F20"/>
          <w:spacing w:val="-37"/>
          <w:w w:val="105"/>
          <w:sz w:val="18"/>
        </w:rPr>
        <w:t> </w:t>
      </w:r>
      <w:r>
        <w:rPr>
          <w:rFonts w:ascii="Arial" w:hAnsi="Arial"/>
          <w:i/>
          <w:color w:val="231F20"/>
          <w:w w:val="105"/>
          <w:sz w:val="18"/>
        </w:rPr>
        <w:t>regularicé</w:t>
      </w:r>
      <w:r>
        <w:rPr>
          <w:rFonts w:ascii="Arial" w:hAnsi="Arial"/>
          <w:i/>
          <w:color w:val="231F20"/>
          <w:spacing w:val="-37"/>
          <w:w w:val="105"/>
          <w:sz w:val="18"/>
        </w:rPr>
        <w:t> </w:t>
      </w:r>
      <w:r>
        <w:rPr>
          <w:rFonts w:ascii="Arial" w:hAnsi="Arial"/>
          <w:i/>
          <w:color w:val="231F20"/>
          <w:w w:val="105"/>
          <w:sz w:val="18"/>
        </w:rPr>
        <w:t>los</w:t>
      </w:r>
      <w:r>
        <w:rPr>
          <w:rFonts w:ascii="Arial" w:hAnsi="Arial"/>
          <w:i/>
          <w:color w:val="231F20"/>
          <w:spacing w:val="-37"/>
          <w:w w:val="105"/>
          <w:sz w:val="18"/>
        </w:rPr>
        <w:t> </w:t>
      </w:r>
      <w:r>
        <w:rPr>
          <w:rFonts w:ascii="Arial" w:hAnsi="Arial"/>
          <w:i/>
          <w:color w:val="231F20"/>
          <w:w w:val="105"/>
          <w:sz w:val="18"/>
        </w:rPr>
        <w:t>de</w:t>
      </w:r>
      <w:r>
        <w:rPr>
          <w:rFonts w:ascii="Arial" w:hAnsi="Arial"/>
          <w:i/>
          <w:color w:val="231F20"/>
          <w:spacing w:val="-37"/>
          <w:w w:val="105"/>
          <w:sz w:val="18"/>
        </w:rPr>
        <w:t> </w:t>
      </w:r>
      <w:r>
        <w:rPr>
          <w:rFonts w:ascii="Arial" w:hAnsi="Arial"/>
          <w:i/>
          <w:color w:val="231F20"/>
          <w:w w:val="105"/>
          <w:sz w:val="18"/>
        </w:rPr>
        <w:t>dos</w:t>
      </w:r>
      <w:r>
        <w:rPr>
          <w:rFonts w:ascii="Arial" w:hAnsi="Arial"/>
          <w:i/>
          <w:color w:val="231F20"/>
          <w:spacing w:val="-37"/>
          <w:w w:val="105"/>
          <w:sz w:val="18"/>
        </w:rPr>
        <w:t> </w:t>
      </w:r>
      <w:r>
        <w:rPr>
          <w:rFonts w:ascii="Arial" w:hAnsi="Arial"/>
          <w:i/>
          <w:color w:val="231F20"/>
          <w:w w:val="105"/>
          <w:sz w:val="18"/>
        </w:rPr>
        <w:t>de mis</w:t>
      </w:r>
      <w:r>
        <w:rPr>
          <w:rFonts w:ascii="Arial" w:hAnsi="Arial"/>
          <w:i/>
          <w:color w:val="231F20"/>
          <w:spacing w:val="-31"/>
          <w:w w:val="105"/>
          <w:sz w:val="18"/>
        </w:rPr>
        <w:t> </w:t>
      </w:r>
      <w:r>
        <w:rPr>
          <w:rFonts w:ascii="Arial" w:hAnsi="Arial"/>
          <w:i/>
          <w:color w:val="231F20"/>
          <w:w w:val="105"/>
          <w:sz w:val="18"/>
        </w:rPr>
        <w:t>hijos</w:t>
      </w:r>
      <w:r>
        <w:rPr>
          <w:rFonts w:ascii="Arial" w:hAnsi="Arial"/>
          <w:i/>
          <w:color w:val="231F20"/>
          <w:spacing w:val="-31"/>
          <w:w w:val="105"/>
          <w:sz w:val="18"/>
        </w:rPr>
        <w:t> </w:t>
      </w:r>
      <w:r>
        <w:rPr>
          <w:rFonts w:ascii="Arial" w:hAnsi="Arial"/>
          <w:i/>
          <w:color w:val="231F20"/>
          <w:w w:val="105"/>
          <w:sz w:val="18"/>
        </w:rPr>
        <w:t>que</w:t>
      </w:r>
      <w:r>
        <w:rPr>
          <w:rFonts w:ascii="Arial" w:hAnsi="Arial"/>
          <w:i/>
          <w:color w:val="231F20"/>
          <w:spacing w:val="-31"/>
          <w:w w:val="105"/>
          <w:sz w:val="18"/>
        </w:rPr>
        <w:t> </w:t>
      </w:r>
      <w:r>
        <w:rPr>
          <w:rFonts w:ascii="Arial" w:hAnsi="Arial"/>
          <w:i/>
          <w:color w:val="231F20"/>
          <w:w w:val="105"/>
          <w:sz w:val="18"/>
        </w:rPr>
        <w:t>ya</w:t>
      </w:r>
      <w:r>
        <w:rPr>
          <w:rFonts w:ascii="Arial" w:hAnsi="Arial"/>
          <w:i/>
          <w:color w:val="231F20"/>
          <w:spacing w:val="-31"/>
          <w:w w:val="105"/>
          <w:sz w:val="18"/>
        </w:rPr>
        <w:t> </w:t>
      </w:r>
      <w:r>
        <w:rPr>
          <w:rFonts w:ascii="Arial" w:hAnsi="Arial"/>
          <w:i/>
          <w:color w:val="231F20"/>
          <w:w w:val="105"/>
          <w:sz w:val="18"/>
        </w:rPr>
        <w:t>estaban</w:t>
      </w:r>
      <w:r>
        <w:rPr>
          <w:rFonts w:ascii="Arial" w:hAnsi="Arial"/>
          <w:i/>
          <w:color w:val="231F20"/>
          <w:spacing w:val="-31"/>
          <w:w w:val="105"/>
          <w:sz w:val="18"/>
        </w:rPr>
        <w:t> </w:t>
      </w:r>
      <w:r>
        <w:rPr>
          <w:rFonts w:ascii="Arial" w:hAnsi="Arial"/>
          <w:i/>
          <w:color w:val="231F20"/>
          <w:w w:val="105"/>
          <w:sz w:val="18"/>
        </w:rPr>
        <w:t>allá</w:t>
      </w:r>
      <w:r>
        <w:rPr>
          <w:rFonts w:ascii="Arial" w:hAnsi="Arial"/>
          <w:i/>
          <w:color w:val="231F20"/>
          <w:spacing w:val="-31"/>
          <w:w w:val="105"/>
          <w:sz w:val="18"/>
        </w:rPr>
        <w:t> </w:t>
      </w:r>
      <w:r>
        <w:rPr>
          <w:rFonts w:ascii="Arial" w:hAnsi="Arial"/>
          <w:i/>
          <w:color w:val="231F20"/>
          <w:w w:val="105"/>
          <w:sz w:val="18"/>
        </w:rPr>
        <w:t>y</w:t>
      </w:r>
      <w:r>
        <w:rPr>
          <w:rFonts w:ascii="Arial" w:hAnsi="Arial"/>
          <w:i/>
          <w:color w:val="231F20"/>
          <w:spacing w:val="-31"/>
          <w:w w:val="105"/>
          <w:sz w:val="18"/>
        </w:rPr>
        <w:t> </w:t>
      </w:r>
      <w:r>
        <w:rPr>
          <w:rFonts w:ascii="Arial" w:hAnsi="Arial"/>
          <w:i/>
          <w:color w:val="231F20"/>
          <w:w w:val="105"/>
          <w:sz w:val="18"/>
        </w:rPr>
        <w:t>no</w:t>
      </w:r>
      <w:r>
        <w:rPr>
          <w:rFonts w:ascii="Arial" w:hAnsi="Arial"/>
          <w:i/>
          <w:color w:val="231F20"/>
          <w:spacing w:val="-31"/>
          <w:w w:val="105"/>
          <w:sz w:val="18"/>
        </w:rPr>
        <w:t> </w:t>
      </w:r>
      <w:r>
        <w:rPr>
          <w:rFonts w:ascii="Arial" w:hAnsi="Arial"/>
          <w:i/>
          <w:color w:val="231F20"/>
          <w:w w:val="105"/>
          <w:sz w:val="18"/>
        </w:rPr>
        <w:t>habían</w:t>
      </w:r>
      <w:r>
        <w:rPr>
          <w:rFonts w:ascii="Arial" w:hAnsi="Arial"/>
          <w:i/>
          <w:color w:val="231F20"/>
          <w:spacing w:val="-31"/>
          <w:w w:val="105"/>
          <w:sz w:val="18"/>
        </w:rPr>
        <w:t> </w:t>
      </w:r>
      <w:r>
        <w:rPr>
          <w:rFonts w:ascii="Arial" w:hAnsi="Arial"/>
          <w:i/>
          <w:color w:val="231F20"/>
          <w:w w:val="105"/>
          <w:sz w:val="18"/>
        </w:rPr>
        <w:t>podido</w:t>
      </w:r>
      <w:r>
        <w:rPr>
          <w:rFonts w:ascii="Arial" w:hAnsi="Arial"/>
          <w:i/>
          <w:color w:val="231F20"/>
          <w:spacing w:val="-31"/>
          <w:w w:val="105"/>
          <w:sz w:val="18"/>
        </w:rPr>
        <w:t> </w:t>
      </w:r>
      <w:r>
        <w:rPr>
          <w:rFonts w:ascii="Arial" w:hAnsi="Arial"/>
          <w:i/>
          <w:color w:val="231F20"/>
          <w:w w:val="105"/>
          <w:sz w:val="18"/>
        </w:rPr>
        <w:t>arreglarse.</w:t>
      </w:r>
      <w:r>
        <w:rPr>
          <w:rFonts w:ascii="Arial" w:hAnsi="Arial"/>
          <w:i/>
          <w:color w:val="231F20"/>
          <w:spacing w:val="-36"/>
          <w:w w:val="105"/>
          <w:sz w:val="18"/>
        </w:rPr>
        <w:t> </w:t>
      </w:r>
      <w:r>
        <w:rPr>
          <w:rFonts w:ascii="Arial" w:hAnsi="Arial"/>
          <w:i/>
          <w:color w:val="231F20"/>
          <w:w w:val="105"/>
          <w:sz w:val="18"/>
        </w:rPr>
        <w:t>Así</w:t>
      </w:r>
      <w:r>
        <w:rPr>
          <w:rFonts w:ascii="Arial" w:hAnsi="Arial"/>
          <w:i/>
          <w:color w:val="231F20"/>
          <w:spacing w:val="-31"/>
          <w:w w:val="105"/>
          <w:sz w:val="18"/>
        </w:rPr>
        <w:t> </w:t>
      </w:r>
      <w:r>
        <w:rPr>
          <w:rFonts w:ascii="Arial" w:hAnsi="Arial"/>
          <w:i/>
          <w:color w:val="231F20"/>
          <w:w w:val="105"/>
          <w:sz w:val="18"/>
        </w:rPr>
        <w:t>que</w:t>
      </w:r>
      <w:r>
        <w:rPr>
          <w:rFonts w:ascii="Arial" w:hAnsi="Arial"/>
          <w:i/>
          <w:color w:val="231F20"/>
          <w:spacing w:val="-31"/>
          <w:w w:val="105"/>
          <w:sz w:val="18"/>
        </w:rPr>
        <w:t> </w:t>
      </w:r>
      <w:r>
        <w:rPr>
          <w:rFonts w:ascii="Arial" w:hAnsi="Arial"/>
          <w:i/>
          <w:color w:val="231F20"/>
          <w:w w:val="105"/>
          <w:sz w:val="18"/>
        </w:rPr>
        <w:t>el</w:t>
      </w:r>
      <w:r>
        <w:rPr>
          <w:rFonts w:ascii="Arial" w:hAnsi="Arial"/>
          <w:i/>
          <w:color w:val="231F20"/>
          <w:spacing w:val="-31"/>
          <w:w w:val="105"/>
          <w:sz w:val="18"/>
        </w:rPr>
        <w:t> </w:t>
      </w:r>
      <w:r>
        <w:rPr>
          <w:rFonts w:ascii="Arial" w:hAnsi="Arial"/>
          <w:i/>
          <w:color w:val="231F20"/>
          <w:w w:val="105"/>
          <w:sz w:val="18"/>
        </w:rPr>
        <w:t>pri- mer</w:t>
      </w:r>
      <w:r>
        <w:rPr>
          <w:rFonts w:ascii="Arial" w:hAnsi="Arial"/>
          <w:i/>
          <w:color w:val="231F20"/>
          <w:spacing w:val="-35"/>
          <w:w w:val="105"/>
          <w:sz w:val="18"/>
        </w:rPr>
        <w:t> </w:t>
      </w:r>
      <w:r>
        <w:rPr>
          <w:rFonts w:ascii="Arial" w:hAnsi="Arial"/>
          <w:i/>
          <w:color w:val="231F20"/>
          <w:w w:val="105"/>
          <w:sz w:val="18"/>
        </w:rPr>
        <w:t>año</w:t>
      </w:r>
      <w:r>
        <w:rPr>
          <w:rFonts w:ascii="Arial" w:hAnsi="Arial"/>
          <w:i/>
          <w:color w:val="231F20"/>
          <w:spacing w:val="-35"/>
          <w:w w:val="105"/>
          <w:sz w:val="18"/>
        </w:rPr>
        <w:t> </w:t>
      </w:r>
      <w:r>
        <w:rPr>
          <w:rFonts w:ascii="Arial" w:hAnsi="Arial"/>
          <w:i/>
          <w:color w:val="231F20"/>
          <w:w w:val="105"/>
          <w:sz w:val="18"/>
        </w:rPr>
        <w:t>fui</w:t>
      </w:r>
      <w:r>
        <w:rPr>
          <w:rFonts w:ascii="Arial" w:hAnsi="Arial"/>
          <w:i/>
          <w:color w:val="231F20"/>
          <w:spacing w:val="-35"/>
          <w:w w:val="105"/>
          <w:sz w:val="18"/>
        </w:rPr>
        <w:t> </w:t>
      </w:r>
      <w:r>
        <w:rPr>
          <w:rFonts w:ascii="Arial" w:hAnsi="Arial"/>
          <w:i/>
          <w:color w:val="231F20"/>
          <w:w w:val="105"/>
          <w:sz w:val="18"/>
        </w:rPr>
        <w:t>sólo</w:t>
      </w:r>
      <w:r>
        <w:rPr>
          <w:rFonts w:ascii="Arial" w:hAnsi="Arial"/>
          <w:i/>
          <w:color w:val="231F20"/>
          <w:spacing w:val="-35"/>
          <w:w w:val="105"/>
          <w:sz w:val="18"/>
        </w:rPr>
        <w:t> </w:t>
      </w:r>
      <w:r>
        <w:rPr>
          <w:rFonts w:ascii="Arial" w:hAnsi="Arial"/>
          <w:i/>
          <w:color w:val="231F20"/>
          <w:w w:val="105"/>
          <w:sz w:val="18"/>
        </w:rPr>
        <w:t>a</w:t>
      </w:r>
      <w:r>
        <w:rPr>
          <w:rFonts w:ascii="Arial" w:hAnsi="Arial"/>
          <w:i/>
          <w:color w:val="231F20"/>
          <w:spacing w:val="-35"/>
          <w:w w:val="105"/>
          <w:sz w:val="18"/>
        </w:rPr>
        <w:t> </w:t>
      </w:r>
      <w:r>
        <w:rPr>
          <w:rFonts w:ascii="Arial" w:hAnsi="Arial"/>
          <w:i/>
          <w:color w:val="231F20"/>
          <w:w w:val="105"/>
          <w:sz w:val="18"/>
        </w:rPr>
        <w:t>visitarlos</w:t>
      </w:r>
      <w:r>
        <w:rPr>
          <w:rFonts w:ascii="Arial" w:hAnsi="Arial"/>
          <w:i/>
          <w:color w:val="231F20"/>
          <w:spacing w:val="-35"/>
          <w:w w:val="105"/>
          <w:sz w:val="18"/>
        </w:rPr>
        <w:t> </w:t>
      </w:r>
      <w:r>
        <w:rPr>
          <w:rFonts w:ascii="Arial" w:hAnsi="Arial"/>
          <w:i/>
          <w:color w:val="231F20"/>
          <w:w w:val="105"/>
          <w:sz w:val="18"/>
        </w:rPr>
        <w:t>y</w:t>
      </w:r>
      <w:r>
        <w:rPr>
          <w:rFonts w:ascii="Arial" w:hAnsi="Arial"/>
          <w:i/>
          <w:color w:val="231F20"/>
          <w:spacing w:val="-35"/>
          <w:w w:val="105"/>
          <w:sz w:val="18"/>
        </w:rPr>
        <w:t> </w:t>
      </w:r>
      <w:r>
        <w:rPr>
          <w:rFonts w:ascii="Arial" w:hAnsi="Arial"/>
          <w:i/>
          <w:color w:val="231F20"/>
          <w:w w:val="105"/>
          <w:sz w:val="18"/>
        </w:rPr>
        <w:t>a</w:t>
      </w:r>
      <w:r>
        <w:rPr>
          <w:rFonts w:ascii="Arial" w:hAnsi="Arial"/>
          <w:i/>
          <w:color w:val="231F20"/>
          <w:spacing w:val="-35"/>
          <w:w w:val="105"/>
          <w:sz w:val="18"/>
        </w:rPr>
        <w:t> </w:t>
      </w:r>
      <w:r>
        <w:rPr>
          <w:rFonts w:ascii="Arial" w:hAnsi="Arial"/>
          <w:i/>
          <w:color w:val="231F20"/>
          <w:spacing w:val="-3"/>
          <w:w w:val="105"/>
          <w:sz w:val="18"/>
        </w:rPr>
        <w:t>conocer.</w:t>
      </w:r>
      <w:r>
        <w:rPr>
          <w:rFonts w:ascii="Arial" w:hAnsi="Arial"/>
          <w:i/>
          <w:color w:val="231F20"/>
          <w:spacing w:val="-39"/>
          <w:w w:val="105"/>
          <w:sz w:val="18"/>
        </w:rPr>
        <w:t> </w:t>
      </w:r>
      <w:r>
        <w:rPr>
          <w:rFonts w:ascii="Arial" w:hAnsi="Arial"/>
          <w:i/>
          <w:color w:val="231F20"/>
          <w:spacing w:val="-3"/>
          <w:w w:val="105"/>
          <w:sz w:val="18"/>
        </w:rPr>
        <w:t>Volví</w:t>
      </w:r>
      <w:r>
        <w:rPr>
          <w:rFonts w:ascii="Arial" w:hAnsi="Arial"/>
          <w:i/>
          <w:color w:val="231F20"/>
          <w:spacing w:val="-35"/>
          <w:w w:val="105"/>
          <w:sz w:val="18"/>
        </w:rPr>
        <w:t> </w:t>
      </w:r>
      <w:r>
        <w:rPr>
          <w:rFonts w:ascii="Arial" w:hAnsi="Arial"/>
          <w:i/>
          <w:color w:val="231F20"/>
          <w:w w:val="105"/>
          <w:sz w:val="18"/>
        </w:rPr>
        <w:t>al</w:t>
      </w:r>
      <w:r>
        <w:rPr>
          <w:rFonts w:ascii="Arial" w:hAnsi="Arial"/>
          <w:i/>
          <w:color w:val="231F20"/>
          <w:spacing w:val="-35"/>
          <w:w w:val="105"/>
          <w:sz w:val="18"/>
        </w:rPr>
        <w:t> </w:t>
      </w:r>
      <w:r>
        <w:rPr>
          <w:rFonts w:ascii="Arial" w:hAnsi="Arial"/>
          <w:i/>
          <w:color w:val="231F20"/>
          <w:w w:val="105"/>
          <w:sz w:val="18"/>
        </w:rPr>
        <w:t>siguiente</w:t>
      </w:r>
      <w:r>
        <w:rPr>
          <w:rFonts w:ascii="Arial" w:hAnsi="Arial"/>
          <w:i/>
          <w:color w:val="231F20"/>
          <w:spacing w:val="-35"/>
          <w:w w:val="105"/>
          <w:sz w:val="18"/>
        </w:rPr>
        <w:t> </w:t>
      </w:r>
      <w:r>
        <w:rPr>
          <w:rFonts w:ascii="Arial" w:hAnsi="Arial"/>
          <w:i/>
          <w:color w:val="231F20"/>
          <w:w w:val="105"/>
          <w:sz w:val="18"/>
        </w:rPr>
        <w:t>año</w:t>
      </w:r>
      <w:r>
        <w:rPr>
          <w:rFonts w:ascii="Arial" w:hAnsi="Arial"/>
          <w:i/>
          <w:color w:val="231F20"/>
          <w:spacing w:val="-35"/>
          <w:w w:val="105"/>
          <w:sz w:val="18"/>
        </w:rPr>
        <w:t> </w:t>
      </w:r>
      <w:r>
        <w:rPr>
          <w:rFonts w:ascii="Arial" w:hAnsi="Arial"/>
          <w:i/>
          <w:color w:val="231F20"/>
          <w:w w:val="105"/>
          <w:sz w:val="18"/>
        </w:rPr>
        <w:t>y</w:t>
      </w:r>
      <w:r>
        <w:rPr>
          <w:rFonts w:ascii="Arial" w:hAnsi="Arial"/>
          <w:i/>
          <w:color w:val="231F20"/>
          <w:spacing w:val="-35"/>
          <w:w w:val="105"/>
          <w:sz w:val="18"/>
        </w:rPr>
        <w:t> </w:t>
      </w:r>
      <w:r>
        <w:rPr>
          <w:rFonts w:ascii="Arial" w:hAnsi="Arial"/>
          <w:i/>
          <w:color w:val="231F20"/>
          <w:w w:val="105"/>
          <w:sz w:val="18"/>
        </w:rPr>
        <w:t>entonces</w:t>
      </w:r>
      <w:r>
        <w:rPr>
          <w:rFonts w:ascii="Arial" w:hAnsi="Arial"/>
          <w:i/>
          <w:color w:val="231F20"/>
          <w:spacing w:val="-35"/>
          <w:w w:val="105"/>
          <w:sz w:val="18"/>
        </w:rPr>
        <w:t> </w:t>
      </w:r>
      <w:r>
        <w:rPr>
          <w:rFonts w:ascii="Arial" w:hAnsi="Arial"/>
          <w:i/>
          <w:color w:val="231F20"/>
          <w:w w:val="105"/>
          <w:sz w:val="18"/>
        </w:rPr>
        <w:t>sí trabajé.</w:t>
      </w:r>
      <w:r>
        <w:rPr>
          <w:rFonts w:ascii="Arial" w:hAnsi="Arial"/>
          <w:i/>
          <w:color w:val="231F20"/>
          <w:spacing w:val="-39"/>
          <w:w w:val="105"/>
          <w:sz w:val="18"/>
        </w:rPr>
        <w:t> </w:t>
      </w:r>
      <w:r>
        <w:rPr>
          <w:rFonts w:ascii="Arial" w:hAnsi="Arial"/>
          <w:i/>
          <w:color w:val="231F20"/>
          <w:w w:val="105"/>
          <w:sz w:val="18"/>
        </w:rPr>
        <w:t>Así</w:t>
      </w:r>
      <w:r>
        <w:rPr>
          <w:rFonts w:ascii="Arial" w:hAnsi="Arial"/>
          <w:i/>
          <w:color w:val="231F20"/>
          <w:spacing w:val="-35"/>
          <w:w w:val="105"/>
          <w:sz w:val="18"/>
        </w:rPr>
        <w:t> </w:t>
      </w:r>
      <w:r>
        <w:rPr>
          <w:rFonts w:ascii="Arial" w:hAnsi="Arial"/>
          <w:i/>
          <w:color w:val="231F20"/>
          <w:w w:val="105"/>
          <w:sz w:val="18"/>
        </w:rPr>
        <w:t>fue</w:t>
      </w:r>
      <w:r>
        <w:rPr>
          <w:rFonts w:ascii="Arial" w:hAnsi="Arial"/>
          <w:i/>
          <w:color w:val="231F20"/>
          <w:spacing w:val="-35"/>
          <w:w w:val="105"/>
          <w:sz w:val="18"/>
        </w:rPr>
        <w:t> </w:t>
      </w:r>
      <w:r>
        <w:rPr>
          <w:rFonts w:ascii="Arial" w:hAnsi="Arial"/>
          <w:i/>
          <w:color w:val="231F20"/>
          <w:w w:val="105"/>
          <w:sz w:val="18"/>
        </w:rPr>
        <w:t>hasta</w:t>
      </w:r>
      <w:r>
        <w:rPr>
          <w:rFonts w:ascii="Arial" w:hAnsi="Arial"/>
          <w:i/>
          <w:color w:val="231F20"/>
          <w:spacing w:val="-35"/>
          <w:w w:val="105"/>
          <w:sz w:val="18"/>
        </w:rPr>
        <w:t> </w:t>
      </w:r>
      <w:r>
        <w:rPr>
          <w:rFonts w:ascii="Arial" w:hAnsi="Arial"/>
          <w:i/>
          <w:color w:val="231F20"/>
          <w:w w:val="105"/>
          <w:sz w:val="18"/>
        </w:rPr>
        <w:t>que</w:t>
      </w:r>
      <w:r>
        <w:rPr>
          <w:rFonts w:ascii="Arial" w:hAnsi="Arial"/>
          <w:i/>
          <w:color w:val="231F20"/>
          <w:spacing w:val="-35"/>
          <w:w w:val="105"/>
          <w:sz w:val="18"/>
        </w:rPr>
        <w:t> </w:t>
      </w:r>
      <w:r>
        <w:rPr>
          <w:rFonts w:ascii="Arial" w:hAnsi="Arial"/>
          <w:i/>
          <w:color w:val="231F20"/>
          <w:w w:val="105"/>
          <w:sz w:val="18"/>
        </w:rPr>
        <w:t>cumplí</w:t>
      </w:r>
      <w:r>
        <w:rPr>
          <w:rFonts w:ascii="Arial" w:hAnsi="Arial"/>
          <w:i/>
          <w:color w:val="231F20"/>
          <w:spacing w:val="-35"/>
          <w:w w:val="105"/>
          <w:sz w:val="18"/>
        </w:rPr>
        <w:t> </w:t>
      </w:r>
      <w:r>
        <w:rPr>
          <w:rFonts w:ascii="Arial" w:hAnsi="Arial"/>
          <w:i/>
          <w:color w:val="231F20"/>
          <w:w w:val="105"/>
          <w:sz w:val="18"/>
        </w:rPr>
        <w:t>ochenta</w:t>
      </w:r>
      <w:r>
        <w:rPr>
          <w:rFonts w:ascii="Arial" w:hAnsi="Arial"/>
          <w:i/>
          <w:color w:val="231F20"/>
          <w:spacing w:val="-35"/>
          <w:w w:val="105"/>
          <w:sz w:val="18"/>
        </w:rPr>
        <w:t> </w:t>
      </w:r>
      <w:r>
        <w:rPr>
          <w:rFonts w:ascii="Arial" w:hAnsi="Arial"/>
          <w:i/>
          <w:color w:val="231F20"/>
          <w:w w:val="105"/>
          <w:sz w:val="18"/>
        </w:rPr>
        <w:t>y</w:t>
      </w:r>
      <w:r>
        <w:rPr>
          <w:rFonts w:ascii="Arial" w:hAnsi="Arial"/>
          <w:i/>
          <w:color w:val="231F20"/>
          <w:spacing w:val="-35"/>
          <w:w w:val="105"/>
          <w:sz w:val="18"/>
        </w:rPr>
        <w:t> </w:t>
      </w:r>
      <w:r>
        <w:rPr>
          <w:rFonts w:ascii="Arial" w:hAnsi="Arial"/>
          <w:i/>
          <w:color w:val="231F20"/>
          <w:w w:val="105"/>
          <w:sz w:val="18"/>
        </w:rPr>
        <w:t>cinco</w:t>
      </w:r>
      <w:r>
        <w:rPr>
          <w:rFonts w:ascii="Arial" w:hAnsi="Arial"/>
          <w:i/>
          <w:color w:val="231F20"/>
          <w:spacing w:val="-35"/>
          <w:w w:val="105"/>
          <w:sz w:val="18"/>
        </w:rPr>
        <w:t> </w:t>
      </w:r>
      <w:r>
        <w:rPr>
          <w:rFonts w:ascii="Arial" w:hAnsi="Arial"/>
          <w:i/>
          <w:color w:val="231F20"/>
          <w:w w:val="105"/>
          <w:sz w:val="18"/>
        </w:rPr>
        <w:t>años.</w:t>
      </w:r>
    </w:p>
    <w:p>
      <w:pPr>
        <w:spacing w:line="249" w:lineRule="auto" w:before="114"/>
        <w:ind w:left="2815" w:right="1814" w:firstLine="0"/>
        <w:jc w:val="both"/>
        <w:rPr>
          <w:rFonts w:ascii="Arial" w:hAnsi="Arial"/>
          <w:i/>
          <w:sz w:val="18"/>
        </w:rPr>
      </w:pPr>
      <w:r>
        <w:rPr>
          <w:rFonts w:ascii="Arial" w:hAnsi="Arial"/>
          <w:i/>
          <w:color w:val="231F20"/>
          <w:sz w:val="18"/>
        </w:rPr>
        <w:t>Cuando fui la primera vez a Waukegan, en 1984, ya había allá unas cin- </w:t>
      </w:r>
      <w:r>
        <w:rPr>
          <w:rFonts w:ascii="Arial" w:hAnsi="Arial"/>
          <w:i/>
          <w:color w:val="231F20"/>
          <w:sz w:val="18"/>
        </w:rPr>
        <w:t>cuenta personas de Tonatico. El último de mis hijos que se fue para allá, se fue en 1985. Pero de 1990 en adelante fue que comenzó a llegar mucha gente de Tonatico. Los que ya estábamos allá nos enterábamos cómo iban llegando. Luego luego se pasaba la voz de quién o quiénes habían llegado a Waukegan.</w:t>
      </w:r>
    </w:p>
    <w:p>
      <w:pPr>
        <w:spacing w:line="249" w:lineRule="auto" w:before="114"/>
        <w:ind w:left="2815" w:right="1818" w:firstLine="0"/>
        <w:jc w:val="both"/>
        <w:rPr>
          <w:rFonts w:ascii="Arial" w:hAnsi="Arial"/>
          <w:i/>
          <w:sz w:val="18"/>
        </w:rPr>
      </w:pPr>
      <w:r>
        <w:rPr>
          <w:rFonts w:ascii="Arial" w:hAnsi="Arial"/>
          <w:i/>
          <w:color w:val="231F20"/>
          <w:spacing w:val="-3"/>
          <w:sz w:val="18"/>
        </w:rPr>
        <w:t>Cada </w:t>
      </w:r>
      <w:r>
        <w:rPr>
          <w:rFonts w:ascii="Arial" w:hAnsi="Arial"/>
          <w:i/>
          <w:color w:val="231F20"/>
          <w:sz w:val="18"/>
        </w:rPr>
        <w:t>año </w:t>
      </w:r>
      <w:r>
        <w:rPr>
          <w:rFonts w:ascii="Arial" w:hAnsi="Arial"/>
          <w:i/>
          <w:color w:val="231F20"/>
          <w:spacing w:val="-3"/>
          <w:sz w:val="18"/>
        </w:rPr>
        <w:t>regresaba </w:t>
      </w:r>
      <w:r>
        <w:rPr>
          <w:rFonts w:ascii="Arial" w:hAnsi="Arial"/>
          <w:i/>
          <w:color w:val="231F20"/>
          <w:sz w:val="18"/>
        </w:rPr>
        <w:t>a </w:t>
      </w:r>
      <w:r>
        <w:rPr>
          <w:rFonts w:ascii="Arial" w:hAnsi="Arial"/>
          <w:i/>
          <w:color w:val="231F20"/>
          <w:spacing w:val="-5"/>
          <w:sz w:val="18"/>
        </w:rPr>
        <w:t>Tonatico </w:t>
      </w:r>
      <w:r>
        <w:rPr>
          <w:rFonts w:ascii="Arial" w:hAnsi="Arial"/>
          <w:i/>
          <w:color w:val="231F20"/>
          <w:sz w:val="18"/>
        </w:rPr>
        <w:t>y retomaba el trabajo en mis tierras. Claro </w:t>
      </w:r>
      <w:r>
        <w:rPr>
          <w:rFonts w:ascii="Arial" w:hAnsi="Arial"/>
          <w:i/>
          <w:color w:val="231F20"/>
          <w:sz w:val="18"/>
        </w:rPr>
        <w:t>que</w:t>
      </w:r>
      <w:r>
        <w:rPr>
          <w:rFonts w:ascii="Arial" w:hAnsi="Arial"/>
          <w:i/>
          <w:color w:val="231F20"/>
          <w:spacing w:val="-9"/>
          <w:sz w:val="18"/>
        </w:rPr>
        <w:t> </w:t>
      </w:r>
      <w:r>
        <w:rPr>
          <w:rFonts w:ascii="Arial" w:hAnsi="Arial"/>
          <w:i/>
          <w:color w:val="231F20"/>
          <w:sz w:val="18"/>
        </w:rPr>
        <w:t>fue</w:t>
      </w:r>
      <w:r>
        <w:rPr>
          <w:rFonts w:ascii="Arial" w:hAnsi="Arial"/>
          <w:i/>
          <w:color w:val="231F20"/>
          <w:spacing w:val="-9"/>
          <w:sz w:val="18"/>
        </w:rPr>
        <w:t> </w:t>
      </w:r>
      <w:r>
        <w:rPr>
          <w:rFonts w:ascii="Arial" w:hAnsi="Arial"/>
          <w:i/>
          <w:color w:val="231F20"/>
          <w:spacing w:val="-2"/>
          <w:sz w:val="18"/>
        </w:rPr>
        <w:t>diferente</w:t>
      </w:r>
      <w:r>
        <w:rPr>
          <w:rFonts w:ascii="Arial" w:hAnsi="Arial"/>
          <w:i/>
          <w:color w:val="231F20"/>
          <w:spacing w:val="-9"/>
          <w:sz w:val="18"/>
        </w:rPr>
        <w:t> </w:t>
      </w:r>
      <w:r>
        <w:rPr>
          <w:rFonts w:ascii="Arial" w:hAnsi="Arial"/>
          <w:i/>
          <w:color w:val="231F20"/>
          <w:sz w:val="18"/>
        </w:rPr>
        <w:t>trabajar</w:t>
      </w:r>
      <w:r>
        <w:rPr>
          <w:rFonts w:ascii="Arial" w:hAnsi="Arial"/>
          <w:i/>
          <w:color w:val="231F20"/>
          <w:spacing w:val="-9"/>
          <w:sz w:val="18"/>
        </w:rPr>
        <w:t> </w:t>
      </w:r>
      <w:r>
        <w:rPr>
          <w:rFonts w:ascii="Arial" w:hAnsi="Arial"/>
          <w:i/>
          <w:color w:val="231F20"/>
          <w:sz w:val="18"/>
        </w:rPr>
        <w:t>en</w:t>
      </w:r>
      <w:r>
        <w:rPr>
          <w:rFonts w:ascii="Arial" w:hAnsi="Arial"/>
          <w:i/>
          <w:color w:val="231F20"/>
          <w:spacing w:val="-9"/>
          <w:sz w:val="18"/>
        </w:rPr>
        <w:t> </w:t>
      </w:r>
      <w:r>
        <w:rPr>
          <w:rFonts w:ascii="Arial" w:hAnsi="Arial"/>
          <w:i/>
          <w:color w:val="231F20"/>
          <w:sz w:val="18"/>
        </w:rPr>
        <w:t>Illinois.</w:t>
      </w:r>
      <w:r>
        <w:rPr>
          <w:rFonts w:ascii="Arial" w:hAnsi="Arial"/>
          <w:i/>
          <w:color w:val="231F20"/>
          <w:spacing w:val="-15"/>
          <w:sz w:val="18"/>
        </w:rPr>
        <w:t> </w:t>
      </w:r>
      <w:r>
        <w:rPr>
          <w:rFonts w:ascii="Arial" w:hAnsi="Arial"/>
          <w:i/>
          <w:color w:val="231F20"/>
          <w:sz w:val="18"/>
        </w:rPr>
        <w:t>En</w:t>
      </w:r>
      <w:r>
        <w:rPr>
          <w:rFonts w:ascii="Arial" w:hAnsi="Arial"/>
          <w:i/>
          <w:color w:val="231F20"/>
          <w:spacing w:val="-9"/>
          <w:sz w:val="18"/>
        </w:rPr>
        <w:t> </w:t>
      </w:r>
      <w:r>
        <w:rPr>
          <w:rFonts w:ascii="Arial" w:hAnsi="Arial"/>
          <w:i/>
          <w:color w:val="231F20"/>
          <w:spacing w:val="-3"/>
          <w:sz w:val="18"/>
        </w:rPr>
        <w:t>California</w:t>
      </w:r>
      <w:r>
        <w:rPr>
          <w:rFonts w:ascii="Arial" w:hAnsi="Arial"/>
          <w:i/>
          <w:color w:val="231F20"/>
          <w:spacing w:val="-9"/>
          <w:sz w:val="18"/>
        </w:rPr>
        <w:t> </w:t>
      </w:r>
      <w:r>
        <w:rPr>
          <w:rFonts w:ascii="Arial" w:hAnsi="Arial"/>
          <w:i/>
          <w:color w:val="231F20"/>
          <w:sz w:val="18"/>
        </w:rPr>
        <w:t>mi</w:t>
      </w:r>
      <w:r>
        <w:rPr>
          <w:rFonts w:ascii="Arial" w:hAnsi="Arial"/>
          <w:i/>
          <w:color w:val="231F20"/>
          <w:spacing w:val="-9"/>
          <w:sz w:val="18"/>
        </w:rPr>
        <w:t> </w:t>
      </w:r>
      <w:r>
        <w:rPr>
          <w:rFonts w:ascii="Arial" w:hAnsi="Arial"/>
          <w:i/>
          <w:color w:val="231F20"/>
          <w:sz w:val="18"/>
        </w:rPr>
        <w:t>trabajo</w:t>
      </w:r>
      <w:r>
        <w:rPr>
          <w:rFonts w:ascii="Arial" w:hAnsi="Arial"/>
          <w:i/>
          <w:color w:val="231F20"/>
          <w:spacing w:val="-9"/>
          <w:sz w:val="18"/>
        </w:rPr>
        <w:t> </w:t>
      </w:r>
      <w:r>
        <w:rPr>
          <w:rFonts w:ascii="Arial" w:hAnsi="Arial"/>
          <w:i/>
          <w:color w:val="231F20"/>
          <w:spacing w:val="-2"/>
          <w:sz w:val="18"/>
        </w:rPr>
        <w:t>era</w:t>
      </w:r>
      <w:r>
        <w:rPr>
          <w:rFonts w:ascii="Arial" w:hAnsi="Arial"/>
          <w:i/>
          <w:color w:val="231F20"/>
          <w:spacing w:val="-9"/>
          <w:sz w:val="18"/>
        </w:rPr>
        <w:t> </w:t>
      </w:r>
      <w:r>
        <w:rPr>
          <w:rFonts w:ascii="Arial" w:hAnsi="Arial"/>
          <w:i/>
          <w:color w:val="231F20"/>
          <w:sz w:val="18"/>
        </w:rPr>
        <w:t>en</w:t>
      </w:r>
      <w:r>
        <w:rPr>
          <w:rFonts w:ascii="Arial" w:hAnsi="Arial"/>
          <w:i/>
          <w:color w:val="231F20"/>
          <w:spacing w:val="-9"/>
          <w:sz w:val="18"/>
        </w:rPr>
        <w:t> </w:t>
      </w:r>
      <w:r>
        <w:rPr>
          <w:rFonts w:ascii="Arial" w:hAnsi="Arial"/>
          <w:i/>
          <w:color w:val="231F20"/>
          <w:sz w:val="18"/>
        </w:rPr>
        <w:t>el</w:t>
      </w:r>
      <w:r>
        <w:rPr>
          <w:rFonts w:ascii="Arial" w:hAnsi="Arial"/>
          <w:i/>
          <w:color w:val="231F20"/>
          <w:spacing w:val="-9"/>
          <w:sz w:val="18"/>
        </w:rPr>
        <w:t> </w:t>
      </w:r>
      <w:r>
        <w:rPr>
          <w:rFonts w:ascii="Arial" w:hAnsi="Arial"/>
          <w:i/>
          <w:color w:val="231F20"/>
          <w:sz w:val="18"/>
        </w:rPr>
        <w:t>cam- </w:t>
      </w:r>
      <w:r>
        <w:rPr>
          <w:rFonts w:ascii="Arial" w:hAnsi="Arial"/>
          <w:i/>
          <w:color w:val="231F20"/>
          <w:spacing w:val="-2"/>
          <w:sz w:val="18"/>
        </w:rPr>
        <w:t>po,</w:t>
      </w:r>
      <w:r>
        <w:rPr>
          <w:rFonts w:ascii="Arial" w:hAnsi="Arial"/>
          <w:i/>
          <w:color w:val="231F20"/>
          <w:spacing w:val="-16"/>
          <w:sz w:val="18"/>
        </w:rPr>
        <w:t> </w:t>
      </w:r>
      <w:r>
        <w:rPr>
          <w:rFonts w:ascii="Arial" w:hAnsi="Arial"/>
          <w:i/>
          <w:color w:val="231F20"/>
          <w:sz w:val="18"/>
        </w:rPr>
        <w:t>en</w:t>
      </w:r>
      <w:r>
        <w:rPr>
          <w:rFonts w:ascii="Arial" w:hAnsi="Arial"/>
          <w:i/>
          <w:color w:val="231F20"/>
          <w:spacing w:val="-10"/>
          <w:sz w:val="18"/>
        </w:rPr>
        <w:t> </w:t>
      </w:r>
      <w:r>
        <w:rPr>
          <w:rFonts w:ascii="Arial" w:hAnsi="Arial"/>
          <w:i/>
          <w:color w:val="231F20"/>
          <w:sz w:val="18"/>
        </w:rPr>
        <w:t>el</w:t>
      </w:r>
      <w:r>
        <w:rPr>
          <w:rFonts w:ascii="Arial" w:hAnsi="Arial"/>
          <w:i/>
          <w:color w:val="231F20"/>
          <w:spacing w:val="-10"/>
          <w:sz w:val="18"/>
        </w:rPr>
        <w:t> </w:t>
      </w:r>
      <w:r>
        <w:rPr>
          <w:rFonts w:ascii="Arial" w:hAnsi="Arial"/>
          <w:i/>
          <w:color w:val="231F20"/>
          <w:spacing w:val="-3"/>
          <w:sz w:val="18"/>
        </w:rPr>
        <w:t>surco,</w:t>
      </w:r>
      <w:r>
        <w:rPr>
          <w:rFonts w:ascii="Arial" w:hAnsi="Arial"/>
          <w:i/>
          <w:color w:val="231F20"/>
          <w:spacing w:val="-16"/>
          <w:sz w:val="18"/>
        </w:rPr>
        <w:t> </w:t>
      </w:r>
      <w:r>
        <w:rPr>
          <w:rFonts w:ascii="Arial" w:hAnsi="Arial"/>
          <w:i/>
          <w:color w:val="231F20"/>
          <w:sz w:val="18"/>
        </w:rPr>
        <w:t>a</w:t>
      </w:r>
      <w:r>
        <w:rPr>
          <w:rFonts w:ascii="Arial" w:hAnsi="Arial"/>
          <w:i/>
          <w:color w:val="231F20"/>
          <w:spacing w:val="-10"/>
          <w:sz w:val="18"/>
        </w:rPr>
        <w:t> </w:t>
      </w:r>
      <w:r>
        <w:rPr>
          <w:rFonts w:ascii="Arial" w:hAnsi="Arial"/>
          <w:i/>
          <w:color w:val="231F20"/>
          <w:sz w:val="18"/>
        </w:rPr>
        <w:t>cielo</w:t>
      </w:r>
      <w:r>
        <w:rPr>
          <w:rFonts w:ascii="Arial" w:hAnsi="Arial"/>
          <w:i/>
          <w:color w:val="231F20"/>
          <w:spacing w:val="-10"/>
          <w:sz w:val="18"/>
        </w:rPr>
        <w:t> </w:t>
      </w:r>
      <w:r>
        <w:rPr>
          <w:rFonts w:ascii="Arial" w:hAnsi="Arial"/>
          <w:i/>
          <w:color w:val="231F20"/>
          <w:sz w:val="18"/>
        </w:rPr>
        <w:t>abierto</w:t>
      </w:r>
      <w:r>
        <w:rPr>
          <w:rFonts w:ascii="Arial" w:hAnsi="Arial"/>
          <w:i/>
          <w:color w:val="231F20"/>
          <w:spacing w:val="-10"/>
          <w:sz w:val="18"/>
        </w:rPr>
        <w:t> </w:t>
      </w:r>
      <w:r>
        <w:rPr>
          <w:rFonts w:ascii="Arial" w:hAnsi="Arial"/>
          <w:i/>
          <w:color w:val="231F20"/>
          <w:sz w:val="18"/>
        </w:rPr>
        <w:t>y</w:t>
      </w:r>
      <w:r>
        <w:rPr>
          <w:rFonts w:ascii="Arial" w:hAnsi="Arial"/>
          <w:i/>
          <w:color w:val="231F20"/>
          <w:spacing w:val="-10"/>
          <w:sz w:val="18"/>
        </w:rPr>
        <w:t> </w:t>
      </w:r>
      <w:r>
        <w:rPr>
          <w:rFonts w:ascii="Arial" w:hAnsi="Arial"/>
          <w:i/>
          <w:color w:val="231F20"/>
          <w:sz w:val="18"/>
        </w:rPr>
        <w:t>vivía</w:t>
      </w:r>
      <w:r>
        <w:rPr>
          <w:rFonts w:ascii="Arial" w:hAnsi="Arial"/>
          <w:i/>
          <w:color w:val="231F20"/>
          <w:spacing w:val="-10"/>
          <w:sz w:val="18"/>
        </w:rPr>
        <w:t> </w:t>
      </w:r>
      <w:r>
        <w:rPr>
          <w:rFonts w:ascii="Arial" w:hAnsi="Arial"/>
          <w:i/>
          <w:color w:val="231F20"/>
          <w:sz w:val="18"/>
        </w:rPr>
        <w:t>con</w:t>
      </w:r>
      <w:r>
        <w:rPr>
          <w:rFonts w:ascii="Arial" w:hAnsi="Arial"/>
          <w:i/>
          <w:color w:val="231F20"/>
          <w:spacing w:val="-10"/>
          <w:sz w:val="18"/>
        </w:rPr>
        <w:t> </w:t>
      </w:r>
      <w:r>
        <w:rPr>
          <w:rFonts w:ascii="Arial" w:hAnsi="Arial"/>
          <w:i/>
          <w:color w:val="231F20"/>
          <w:sz w:val="18"/>
        </w:rPr>
        <w:t>desconocidos.</w:t>
      </w:r>
      <w:r>
        <w:rPr>
          <w:rFonts w:ascii="Arial" w:hAnsi="Arial"/>
          <w:i/>
          <w:color w:val="231F20"/>
          <w:spacing w:val="-16"/>
          <w:sz w:val="18"/>
        </w:rPr>
        <w:t> </w:t>
      </w:r>
      <w:r>
        <w:rPr>
          <w:rFonts w:ascii="Arial" w:hAnsi="Arial"/>
          <w:i/>
          <w:color w:val="231F20"/>
          <w:sz w:val="18"/>
        </w:rPr>
        <w:t>En</w:t>
      </w:r>
      <w:r>
        <w:rPr>
          <w:rFonts w:ascii="Arial" w:hAnsi="Arial"/>
          <w:i/>
          <w:color w:val="231F20"/>
          <w:spacing w:val="-10"/>
          <w:sz w:val="18"/>
        </w:rPr>
        <w:t> </w:t>
      </w:r>
      <w:r>
        <w:rPr>
          <w:rFonts w:ascii="Arial" w:hAnsi="Arial"/>
          <w:i/>
          <w:color w:val="231F20"/>
          <w:sz w:val="18"/>
        </w:rPr>
        <w:t>Chicago</w:t>
      </w:r>
      <w:r>
        <w:rPr>
          <w:rFonts w:ascii="Arial" w:hAnsi="Arial"/>
          <w:i/>
          <w:color w:val="231F20"/>
          <w:spacing w:val="-10"/>
          <w:sz w:val="18"/>
        </w:rPr>
        <w:t> </w:t>
      </w:r>
      <w:r>
        <w:rPr>
          <w:rFonts w:ascii="Arial" w:hAnsi="Arial"/>
          <w:i/>
          <w:color w:val="231F20"/>
          <w:spacing w:val="-2"/>
          <w:sz w:val="18"/>
        </w:rPr>
        <w:t>traba- </w:t>
      </w:r>
      <w:r>
        <w:rPr>
          <w:rFonts w:ascii="Arial" w:hAnsi="Arial"/>
          <w:i/>
          <w:color w:val="231F20"/>
          <w:sz w:val="18"/>
        </w:rPr>
        <w:t>jaba</w:t>
      </w:r>
      <w:r>
        <w:rPr>
          <w:rFonts w:ascii="Arial" w:hAnsi="Arial"/>
          <w:i/>
          <w:color w:val="231F20"/>
          <w:spacing w:val="-12"/>
          <w:sz w:val="18"/>
        </w:rPr>
        <w:t> </w:t>
      </w:r>
      <w:r>
        <w:rPr>
          <w:rFonts w:ascii="Arial" w:hAnsi="Arial"/>
          <w:i/>
          <w:color w:val="231F20"/>
          <w:sz w:val="18"/>
        </w:rPr>
        <w:t>en</w:t>
      </w:r>
      <w:r>
        <w:rPr>
          <w:rFonts w:ascii="Arial" w:hAnsi="Arial"/>
          <w:i/>
          <w:color w:val="231F20"/>
          <w:spacing w:val="-12"/>
          <w:sz w:val="18"/>
        </w:rPr>
        <w:t> </w:t>
      </w:r>
      <w:r>
        <w:rPr>
          <w:rFonts w:ascii="Arial" w:hAnsi="Arial"/>
          <w:i/>
          <w:color w:val="231F20"/>
          <w:sz w:val="18"/>
        </w:rPr>
        <w:t>casas</w:t>
      </w:r>
      <w:r>
        <w:rPr>
          <w:rFonts w:ascii="Arial" w:hAnsi="Arial"/>
          <w:i/>
          <w:color w:val="231F20"/>
          <w:spacing w:val="-12"/>
          <w:sz w:val="18"/>
        </w:rPr>
        <w:t> </w:t>
      </w:r>
      <w:r>
        <w:rPr>
          <w:rFonts w:ascii="Arial" w:hAnsi="Arial"/>
          <w:i/>
          <w:color w:val="231F20"/>
          <w:sz w:val="18"/>
        </w:rPr>
        <w:t>de</w:t>
      </w:r>
      <w:r>
        <w:rPr>
          <w:rFonts w:ascii="Arial" w:hAnsi="Arial"/>
          <w:i/>
          <w:color w:val="231F20"/>
          <w:spacing w:val="-12"/>
          <w:sz w:val="18"/>
        </w:rPr>
        <w:t> </w:t>
      </w:r>
      <w:r>
        <w:rPr>
          <w:rFonts w:ascii="Arial" w:hAnsi="Arial"/>
          <w:i/>
          <w:color w:val="231F20"/>
          <w:sz w:val="18"/>
        </w:rPr>
        <w:t>los</w:t>
      </w:r>
      <w:r>
        <w:rPr>
          <w:rFonts w:ascii="Arial" w:hAnsi="Arial"/>
          <w:i/>
          <w:color w:val="231F20"/>
          <w:spacing w:val="-12"/>
          <w:sz w:val="18"/>
        </w:rPr>
        <w:t> </w:t>
      </w:r>
      <w:r>
        <w:rPr>
          <w:rFonts w:ascii="Arial" w:hAnsi="Arial"/>
          <w:i/>
          <w:color w:val="231F20"/>
          <w:sz w:val="18"/>
        </w:rPr>
        <w:t>suburbios,</w:t>
      </w:r>
      <w:r>
        <w:rPr>
          <w:rFonts w:ascii="Arial" w:hAnsi="Arial"/>
          <w:i/>
          <w:color w:val="231F20"/>
          <w:spacing w:val="-18"/>
          <w:sz w:val="18"/>
        </w:rPr>
        <w:t> </w:t>
      </w:r>
      <w:r>
        <w:rPr>
          <w:rFonts w:ascii="Arial" w:hAnsi="Arial"/>
          <w:i/>
          <w:color w:val="231F20"/>
          <w:sz w:val="18"/>
        </w:rPr>
        <w:t>no</w:t>
      </w:r>
      <w:r>
        <w:rPr>
          <w:rFonts w:ascii="Arial" w:hAnsi="Arial"/>
          <w:i/>
          <w:color w:val="231F20"/>
          <w:spacing w:val="-12"/>
          <w:sz w:val="18"/>
        </w:rPr>
        <w:t> </w:t>
      </w:r>
      <w:r>
        <w:rPr>
          <w:rFonts w:ascii="Arial" w:hAnsi="Arial"/>
          <w:i/>
          <w:color w:val="231F20"/>
          <w:spacing w:val="-2"/>
          <w:sz w:val="18"/>
        </w:rPr>
        <w:t>era</w:t>
      </w:r>
      <w:r>
        <w:rPr>
          <w:rFonts w:ascii="Arial" w:hAnsi="Arial"/>
          <w:i/>
          <w:color w:val="231F20"/>
          <w:spacing w:val="-12"/>
          <w:sz w:val="18"/>
        </w:rPr>
        <w:t> </w:t>
      </w:r>
      <w:r>
        <w:rPr>
          <w:rFonts w:ascii="Arial" w:hAnsi="Arial"/>
          <w:i/>
          <w:color w:val="231F20"/>
          <w:sz w:val="18"/>
        </w:rPr>
        <w:t>el</w:t>
      </w:r>
      <w:r>
        <w:rPr>
          <w:rFonts w:ascii="Arial" w:hAnsi="Arial"/>
          <w:i/>
          <w:color w:val="231F20"/>
          <w:spacing w:val="-12"/>
          <w:sz w:val="18"/>
        </w:rPr>
        <w:t> </w:t>
      </w:r>
      <w:r>
        <w:rPr>
          <w:rFonts w:ascii="Arial" w:hAnsi="Arial"/>
          <w:i/>
          <w:color w:val="231F20"/>
          <w:sz w:val="18"/>
        </w:rPr>
        <w:t>campo</w:t>
      </w:r>
      <w:r>
        <w:rPr>
          <w:rFonts w:ascii="Arial" w:hAnsi="Arial"/>
          <w:i/>
          <w:color w:val="231F20"/>
          <w:spacing w:val="-12"/>
          <w:sz w:val="18"/>
        </w:rPr>
        <w:t> </w:t>
      </w:r>
      <w:r>
        <w:rPr>
          <w:rFonts w:ascii="Arial" w:hAnsi="Arial"/>
          <w:i/>
          <w:color w:val="231F20"/>
          <w:sz w:val="18"/>
        </w:rPr>
        <w:t>sino</w:t>
      </w:r>
      <w:r>
        <w:rPr>
          <w:rFonts w:ascii="Arial" w:hAnsi="Arial"/>
          <w:i/>
          <w:color w:val="231F20"/>
          <w:spacing w:val="-12"/>
          <w:sz w:val="18"/>
        </w:rPr>
        <w:t> </w:t>
      </w:r>
      <w:r>
        <w:rPr>
          <w:rFonts w:ascii="Arial" w:hAnsi="Arial"/>
          <w:i/>
          <w:color w:val="231F20"/>
          <w:sz w:val="18"/>
        </w:rPr>
        <w:t>la</w:t>
      </w:r>
      <w:r>
        <w:rPr>
          <w:rFonts w:ascii="Arial" w:hAnsi="Arial"/>
          <w:i/>
          <w:color w:val="231F20"/>
          <w:spacing w:val="-12"/>
          <w:sz w:val="18"/>
        </w:rPr>
        <w:t> </w:t>
      </w:r>
      <w:r>
        <w:rPr>
          <w:rFonts w:ascii="Arial" w:hAnsi="Arial"/>
          <w:i/>
          <w:color w:val="231F20"/>
          <w:sz w:val="18"/>
        </w:rPr>
        <w:t>ciudad,</w:t>
      </w:r>
      <w:r>
        <w:rPr>
          <w:rFonts w:ascii="Arial" w:hAnsi="Arial"/>
          <w:i/>
          <w:color w:val="231F20"/>
          <w:spacing w:val="-18"/>
          <w:sz w:val="18"/>
        </w:rPr>
        <w:t> </w:t>
      </w:r>
      <w:r>
        <w:rPr>
          <w:rFonts w:ascii="Arial" w:hAnsi="Arial"/>
          <w:i/>
          <w:color w:val="231F20"/>
          <w:sz w:val="18"/>
        </w:rPr>
        <w:t>en</w:t>
      </w:r>
      <w:r>
        <w:rPr>
          <w:rFonts w:ascii="Arial" w:hAnsi="Arial"/>
          <w:i/>
          <w:color w:val="231F20"/>
          <w:spacing w:val="-12"/>
          <w:sz w:val="18"/>
        </w:rPr>
        <w:t> </w:t>
      </w:r>
      <w:r>
        <w:rPr>
          <w:rFonts w:ascii="Arial" w:hAnsi="Arial"/>
          <w:i/>
          <w:color w:val="231F20"/>
          <w:spacing w:val="-3"/>
          <w:sz w:val="18"/>
        </w:rPr>
        <w:t>terrenos </w:t>
      </w:r>
      <w:r>
        <w:rPr>
          <w:rFonts w:ascii="Arial" w:hAnsi="Arial"/>
          <w:i/>
          <w:color w:val="231F20"/>
          <w:sz w:val="18"/>
        </w:rPr>
        <w:t>más pequeños, y </w:t>
      </w:r>
      <w:r>
        <w:rPr>
          <w:rFonts w:ascii="Arial" w:hAnsi="Arial"/>
          <w:i/>
          <w:color w:val="231F20"/>
          <w:spacing w:val="-3"/>
          <w:sz w:val="18"/>
        </w:rPr>
        <w:t>regresaba </w:t>
      </w:r>
      <w:r>
        <w:rPr>
          <w:rFonts w:ascii="Arial" w:hAnsi="Arial"/>
          <w:i/>
          <w:color w:val="231F20"/>
          <w:sz w:val="18"/>
        </w:rPr>
        <w:t>a descansar a la casa de mi hija. En</w:t>
      </w:r>
      <w:r>
        <w:rPr>
          <w:rFonts w:ascii="Arial" w:hAnsi="Arial"/>
          <w:i/>
          <w:color w:val="231F20"/>
          <w:spacing w:val="-25"/>
          <w:sz w:val="18"/>
        </w:rPr>
        <w:t> </w:t>
      </w:r>
      <w:r>
        <w:rPr>
          <w:rFonts w:ascii="Arial" w:hAnsi="Arial"/>
          <w:i/>
          <w:color w:val="231F20"/>
          <w:sz w:val="18"/>
        </w:rPr>
        <w:t>Chicago como en </w:t>
      </w:r>
      <w:r>
        <w:rPr>
          <w:rFonts w:ascii="Arial" w:hAnsi="Arial"/>
          <w:i/>
          <w:color w:val="231F20"/>
          <w:spacing w:val="-3"/>
          <w:sz w:val="18"/>
        </w:rPr>
        <w:t>California </w:t>
      </w:r>
      <w:r>
        <w:rPr>
          <w:rFonts w:ascii="Arial" w:hAnsi="Arial"/>
          <w:i/>
          <w:color w:val="231F20"/>
          <w:sz w:val="18"/>
        </w:rPr>
        <w:t>el trabajo </w:t>
      </w:r>
      <w:r>
        <w:rPr>
          <w:rFonts w:ascii="Arial" w:hAnsi="Arial"/>
          <w:i/>
          <w:color w:val="231F20"/>
          <w:spacing w:val="-2"/>
          <w:sz w:val="18"/>
        </w:rPr>
        <w:t>era </w:t>
      </w:r>
      <w:r>
        <w:rPr>
          <w:rFonts w:ascii="Arial" w:hAnsi="Arial"/>
          <w:i/>
          <w:color w:val="231F20"/>
          <w:sz w:val="18"/>
        </w:rPr>
        <w:t>temporal. En Chicago llega el frío y el trabajo</w:t>
      </w:r>
      <w:r>
        <w:rPr>
          <w:rFonts w:ascii="Arial" w:hAnsi="Arial"/>
          <w:i/>
          <w:color w:val="231F20"/>
          <w:spacing w:val="-7"/>
          <w:sz w:val="18"/>
        </w:rPr>
        <w:t> </w:t>
      </w:r>
      <w:r>
        <w:rPr>
          <w:rFonts w:ascii="Arial" w:hAnsi="Arial"/>
          <w:i/>
          <w:color w:val="231F20"/>
          <w:sz w:val="18"/>
        </w:rPr>
        <w:t>como</w:t>
      </w:r>
      <w:r>
        <w:rPr>
          <w:rFonts w:ascii="Arial" w:hAnsi="Arial"/>
          <w:i/>
          <w:color w:val="231F20"/>
          <w:spacing w:val="-7"/>
          <w:sz w:val="18"/>
        </w:rPr>
        <w:t> </w:t>
      </w:r>
      <w:r>
        <w:rPr>
          <w:rFonts w:ascii="Arial" w:hAnsi="Arial"/>
          <w:i/>
          <w:color w:val="231F20"/>
          <w:sz w:val="18"/>
        </w:rPr>
        <w:t>el</w:t>
      </w:r>
      <w:r>
        <w:rPr>
          <w:rFonts w:ascii="Arial" w:hAnsi="Arial"/>
          <w:i/>
          <w:color w:val="231F20"/>
          <w:spacing w:val="-7"/>
          <w:sz w:val="18"/>
        </w:rPr>
        <w:t> </w:t>
      </w:r>
      <w:r>
        <w:rPr>
          <w:rFonts w:ascii="Arial" w:hAnsi="Arial"/>
          <w:i/>
          <w:color w:val="231F20"/>
          <w:sz w:val="18"/>
        </w:rPr>
        <w:t>que</w:t>
      </w:r>
      <w:r>
        <w:rPr>
          <w:rFonts w:ascii="Arial" w:hAnsi="Arial"/>
          <w:i/>
          <w:color w:val="231F20"/>
          <w:spacing w:val="-7"/>
          <w:sz w:val="18"/>
        </w:rPr>
        <w:t> </w:t>
      </w:r>
      <w:r>
        <w:rPr>
          <w:rFonts w:ascii="Arial" w:hAnsi="Arial"/>
          <w:i/>
          <w:color w:val="231F20"/>
          <w:sz w:val="18"/>
        </w:rPr>
        <w:t>yo</w:t>
      </w:r>
      <w:r>
        <w:rPr>
          <w:rFonts w:ascii="Arial" w:hAnsi="Arial"/>
          <w:i/>
          <w:color w:val="231F20"/>
          <w:spacing w:val="-7"/>
          <w:sz w:val="18"/>
        </w:rPr>
        <w:t> </w:t>
      </w:r>
      <w:r>
        <w:rPr>
          <w:rFonts w:ascii="Arial" w:hAnsi="Arial"/>
          <w:i/>
          <w:color w:val="231F20"/>
          <w:sz w:val="18"/>
        </w:rPr>
        <w:t>hacía</w:t>
      </w:r>
      <w:r>
        <w:rPr>
          <w:rFonts w:ascii="Arial" w:hAnsi="Arial"/>
          <w:i/>
          <w:color w:val="231F20"/>
          <w:spacing w:val="-7"/>
          <w:sz w:val="18"/>
        </w:rPr>
        <w:t> </w:t>
      </w:r>
      <w:r>
        <w:rPr>
          <w:rFonts w:ascii="Arial" w:hAnsi="Arial"/>
          <w:i/>
          <w:color w:val="231F20"/>
          <w:sz w:val="18"/>
        </w:rPr>
        <w:t>se</w:t>
      </w:r>
      <w:r>
        <w:rPr>
          <w:rFonts w:ascii="Arial" w:hAnsi="Arial"/>
          <w:i/>
          <w:color w:val="231F20"/>
          <w:spacing w:val="-7"/>
          <w:sz w:val="18"/>
        </w:rPr>
        <w:t> </w:t>
      </w:r>
      <w:r>
        <w:rPr>
          <w:rFonts w:ascii="Arial" w:hAnsi="Arial"/>
          <w:i/>
          <w:color w:val="231F20"/>
          <w:sz w:val="18"/>
        </w:rPr>
        <w:t>acaba.</w:t>
      </w:r>
      <w:r>
        <w:rPr>
          <w:rFonts w:ascii="Arial" w:hAnsi="Arial"/>
          <w:i/>
          <w:color w:val="231F20"/>
          <w:spacing w:val="-13"/>
          <w:sz w:val="18"/>
        </w:rPr>
        <w:t> </w:t>
      </w:r>
      <w:r>
        <w:rPr>
          <w:rFonts w:ascii="Arial" w:hAnsi="Arial"/>
          <w:i/>
          <w:color w:val="231F20"/>
          <w:spacing w:val="-6"/>
          <w:sz w:val="18"/>
        </w:rPr>
        <w:t>Pero</w:t>
      </w:r>
      <w:r>
        <w:rPr>
          <w:rFonts w:ascii="Arial" w:hAnsi="Arial"/>
          <w:i/>
          <w:color w:val="231F20"/>
          <w:spacing w:val="-7"/>
          <w:sz w:val="18"/>
        </w:rPr>
        <w:t> </w:t>
      </w:r>
      <w:r>
        <w:rPr>
          <w:rFonts w:ascii="Arial" w:hAnsi="Arial"/>
          <w:i/>
          <w:color w:val="231F20"/>
          <w:sz w:val="18"/>
        </w:rPr>
        <w:t>para</w:t>
      </w:r>
      <w:r>
        <w:rPr>
          <w:rFonts w:ascii="Arial" w:hAnsi="Arial"/>
          <w:i/>
          <w:color w:val="231F20"/>
          <w:spacing w:val="-7"/>
          <w:sz w:val="18"/>
        </w:rPr>
        <w:t> </w:t>
      </w:r>
      <w:r>
        <w:rPr>
          <w:rFonts w:ascii="Arial" w:hAnsi="Arial"/>
          <w:i/>
          <w:color w:val="231F20"/>
          <w:sz w:val="18"/>
        </w:rPr>
        <w:t>mí</w:t>
      </w:r>
      <w:r>
        <w:rPr>
          <w:rFonts w:ascii="Arial" w:hAnsi="Arial"/>
          <w:i/>
          <w:color w:val="231F20"/>
          <w:spacing w:val="-7"/>
          <w:sz w:val="18"/>
        </w:rPr>
        <w:t> </w:t>
      </w:r>
      <w:r>
        <w:rPr>
          <w:rFonts w:ascii="Arial" w:hAnsi="Arial"/>
          <w:i/>
          <w:color w:val="231F20"/>
          <w:sz w:val="18"/>
        </w:rPr>
        <w:t>eso</w:t>
      </w:r>
      <w:r>
        <w:rPr>
          <w:rFonts w:ascii="Arial" w:hAnsi="Arial"/>
          <w:i/>
          <w:color w:val="231F20"/>
          <w:spacing w:val="-7"/>
          <w:sz w:val="18"/>
        </w:rPr>
        <w:t> </w:t>
      </w:r>
      <w:r>
        <w:rPr>
          <w:rFonts w:ascii="Arial" w:hAnsi="Arial"/>
          <w:i/>
          <w:color w:val="231F20"/>
          <w:sz w:val="18"/>
        </w:rPr>
        <w:t>no</w:t>
      </w:r>
      <w:r>
        <w:rPr>
          <w:rFonts w:ascii="Arial" w:hAnsi="Arial"/>
          <w:i/>
          <w:color w:val="231F20"/>
          <w:spacing w:val="-7"/>
          <w:sz w:val="18"/>
        </w:rPr>
        <w:t> </w:t>
      </w:r>
      <w:r>
        <w:rPr>
          <w:rFonts w:ascii="Arial" w:hAnsi="Arial"/>
          <w:i/>
          <w:color w:val="231F20"/>
          <w:sz w:val="18"/>
        </w:rPr>
        <w:t>fue</w:t>
      </w:r>
      <w:r>
        <w:rPr>
          <w:rFonts w:ascii="Arial" w:hAnsi="Arial"/>
          <w:i/>
          <w:color w:val="231F20"/>
          <w:spacing w:val="-7"/>
          <w:sz w:val="18"/>
        </w:rPr>
        <w:t> </w:t>
      </w:r>
      <w:r>
        <w:rPr>
          <w:rFonts w:ascii="Arial" w:hAnsi="Arial"/>
          <w:i/>
          <w:color w:val="231F20"/>
          <w:spacing w:val="-3"/>
          <w:sz w:val="18"/>
        </w:rPr>
        <w:t>problema. Lo</w:t>
      </w:r>
      <w:r>
        <w:rPr>
          <w:rFonts w:ascii="Arial" w:hAnsi="Arial"/>
          <w:i/>
          <w:color w:val="231F20"/>
          <w:spacing w:val="-6"/>
          <w:sz w:val="18"/>
        </w:rPr>
        <w:t> </w:t>
      </w:r>
      <w:r>
        <w:rPr>
          <w:rFonts w:ascii="Arial" w:hAnsi="Arial"/>
          <w:i/>
          <w:color w:val="231F20"/>
          <w:sz w:val="18"/>
        </w:rPr>
        <w:t>que</w:t>
      </w:r>
      <w:r>
        <w:rPr>
          <w:rFonts w:ascii="Arial" w:hAnsi="Arial"/>
          <w:i/>
          <w:color w:val="231F20"/>
          <w:spacing w:val="-6"/>
          <w:sz w:val="18"/>
        </w:rPr>
        <w:t> </w:t>
      </w:r>
      <w:r>
        <w:rPr>
          <w:rFonts w:ascii="Arial" w:hAnsi="Arial"/>
          <w:i/>
          <w:color w:val="231F20"/>
          <w:sz w:val="18"/>
        </w:rPr>
        <w:t>yo</w:t>
      </w:r>
      <w:r>
        <w:rPr>
          <w:rFonts w:ascii="Arial" w:hAnsi="Arial"/>
          <w:i/>
          <w:color w:val="231F20"/>
          <w:spacing w:val="-6"/>
          <w:sz w:val="18"/>
        </w:rPr>
        <w:t> </w:t>
      </w:r>
      <w:r>
        <w:rPr>
          <w:rFonts w:ascii="Arial" w:hAnsi="Arial"/>
          <w:i/>
          <w:color w:val="231F20"/>
          <w:sz w:val="18"/>
        </w:rPr>
        <w:t>quería</w:t>
      </w:r>
      <w:r>
        <w:rPr>
          <w:rFonts w:ascii="Arial" w:hAnsi="Arial"/>
          <w:i/>
          <w:color w:val="231F20"/>
          <w:spacing w:val="-6"/>
          <w:sz w:val="18"/>
        </w:rPr>
        <w:t> </w:t>
      </w:r>
      <w:r>
        <w:rPr>
          <w:rFonts w:ascii="Arial" w:hAnsi="Arial"/>
          <w:i/>
          <w:color w:val="231F20"/>
          <w:spacing w:val="-2"/>
          <w:sz w:val="18"/>
        </w:rPr>
        <w:t>era</w:t>
      </w:r>
      <w:r>
        <w:rPr>
          <w:rFonts w:ascii="Arial" w:hAnsi="Arial"/>
          <w:i/>
          <w:color w:val="231F20"/>
          <w:spacing w:val="-6"/>
          <w:sz w:val="18"/>
        </w:rPr>
        <w:t> </w:t>
      </w:r>
      <w:r>
        <w:rPr>
          <w:rFonts w:ascii="Arial" w:hAnsi="Arial"/>
          <w:i/>
          <w:color w:val="231F20"/>
          <w:sz w:val="18"/>
        </w:rPr>
        <w:t>ir</w:t>
      </w:r>
      <w:r>
        <w:rPr>
          <w:rFonts w:ascii="Arial" w:hAnsi="Arial"/>
          <w:i/>
          <w:color w:val="231F20"/>
          <w:spacing w:val="-6"/>
          <w:sz w:val="18"/>
        </w:rPr>
        <w:t> </w:t>
      </w:r>
      <w:r>
        <w:rPr>
          <w:rFonts w:ascii="Arial" w:hAnsi="Arial"/>
          <w:i/>
          <w:color w:val="231F20"/>
          <w:sz w:val="18"/>
        </w:rPr>
        <w:t>y</w:t>
      </w:r>
      <w:r>
        <w:rPr>
          <w:rFonts w:ascii="Arial" w:hAnsi="Arial"/>
          <w:i/>
          <w:color w:val="231F20"/>
          <w:spacing w:val="-6"/>
          <w:sz w:val="18"/>
        </w:rPr>
        <w:t> </w:t>
      </w:r>
      <w:r>
        <w:rPr>
          <w:rFonts w:ascii="Arial" w:hAnsi="Arial"/>
          <w:i/>
          <w:color w:val="231F20"/>
          <w:spacing w:val="-3"/>
          <w:sz w:val="18"/>
        </w:rPr>
        <w:t>venir,</w:t>
      </w:r>
      <w:r>
        <w:rPr>
          <w:rFonts w:ascii="Arial" w:hAnsi="Arial"/>
          <w:i/>
          <w:color w:val="231F20"/>
          <w:spacing w:val="-12"/>
          <w:sz w:val="18"/>
        </w:rPr>
        <w:t> </w:t>
      </w:r>
      <w:r>
        <w:rPr>
          <w:rFonts w:ascii="Arial" w:hAnsi="Arial"/>
          <w:i/>
          <w:color w:val="231F20"/>
          <w:sz w:val="18"/>
        </w:rPr>
        <w:t>y</w:t>
      </w:r>
      <w:r>
        <w:rPr>
          <w:rFonts w:ascii="Arial" w:hAnsi="Arial"/>
          <w:i/>
          <w:color w:val="231F20"/>
          <w:spacing w:val="-6"/>
          <w:sz w:val="18"/>
        </w:rPr>
        <w:t> </w:t>
      </w:r>
      <w:r>
        <w:rPr>
          <w:rFonts w:ascii="Arial" w:hAnsi="Arial"/>
          <w:i/>
          <w:color w:val="231F20"/>
          <w:sz w:val="18"/>
        </w:rPr>
        <w:t>no</w:t>
      </w:r>
      <w:r>
        <w:rPr>
          <w:rFonts w:ascii="Arial" w:hAnsi="Arial"/>
          <w:i/>
          <w:color w:val="231F20"/>
          <w:spacing w:val="-6"/>
          <w:sz w:val="18"/>
        </w:rPr>
        <w:t> </w:t>
      </w:r>
      <w:r>
        <w:rPr>
          <w:rFonts w:ascii="Arial" w:hAnsi="Arial"/>
          <w:i/>
          <w:color w:val="231F20"/>
          <w:sz w:val="18"/>
        </w:rPr>
        <w:t>descuidar</w:t>
      </w:r>
      <w:r>
        <w:rPr>
          <w:rFonts w:ascii="Arial" w:hAnsi="Arial"/>
          <w:i/>
          <w:color w:val="231F20"/>
          <w:spacing w:val="-6"/>
          <w:sz w:val="18"/>
        </w:rPr>
        <w:t> </w:t>
      </w:r>
      <w:r>
        <w:rPr>
          <w:rFonts w:ascii="Arial" w:hAnsi="Arial"/>
          <w:i/>
          <w:color w:val="231F20"/>
          <w:sz w:val="18"/>
        </w:rPr>
        <w:t>mis</w:t>
      </w:r>
      <w:r>
        <w:rPr>
          <w:rFonts w:ascii="Arial" w:hAnsi="Arial"/>
          <w:i/>
          <w:color w:val="231F20"/>
          <w:spacing w:val="-6"/>
          <w:sz w:val="18"/>
        </w:rPr>
        <w:t> </w:t>
      </w:r>
      <w:r>
        <w:rPr>
          <w:rFonts w:ascii="Arial" w:hAnsi="Arial"/>
          <w:i/>
          <w:color w:val="231F20"/>
          <w:sz w:val="18"/>
        </w:rPr>
        <w:t>tierras</w:t>
      </w:r>
      <w:r>
        <w:rPr>
          <w:rFonts w:ascii="Arial" w:hAnsi="Arial"/>
          <w:i/>
          <w:color w:val="231F20"/>
          <w:spacing w:val="-6"/>
          <w:sz w:val="18"/>
        </w:rPr>
        <w:t> </w:t>
      </w:r>
      <w:r>
        <w:rPr>
          <w:rFonts w:ascii="Arial" w:hAnsi="Arial"/>
          <w:i/>
          <w:color w:val="231F20"/>
          <w:sz w:val="18"/>
        </w:rPr>
        <w:t>en</w:t>
      </w:r>
      <w:r>
        <w:rPr>
          <w:rFonts w:ascii="Arial" w:hAnsi="Arial"/>
          <w:i/>
          <w:color w:val="231F20"/>
          <w:spacing w:val="-10"/>
          <w:sz w:val="18"/>
        </w:rPr>
        <w:t> </w:t>
      </w:r>
      <w:r>
        <w:rPr>
          <w:rFonts w:ascii="Arial" w:hAnsi="Arial"/>
          <w:i/>
          <w:color w:val="231F20"/>
          <w:spacing w:val="-5"/>
          <w:sz w:val="18"/>
        </w:rPr>
        <w:t>Tonatico.</w:t>
      </w:r>
    </w:p>
    <w:p>
      <w:pPr>
        <w:spacing w:line="249" w:lineRule="auto" w:before="114"/>
        <w:ind w:left="2815" w:right="1820" w:firstLine="0"/>
        <w:jc w:val="both"/>
        <w:rPr>
          <w:rFonts w:ascii="Arial" w:hAnsi="Arial"/>
          <w:i/>
          <w:sz w:val="18"/>
        </w:rPr>
      </w:pPr>
      <w:r>
        <w:rPr>
          <w:rFonts w:ascii="Arial" w:hAnsi="Arial"/>
          <w:i/>
          <w:color w:val="231F20"/>
          <w:w w:val="105"/>
          <w:sz w:val="18"/>
        </w:rPr>
        <w:t>Lo</w:t>
      </w:r>
      <w:r>
        <w:rPr>
          <w:rFonts w:ascii="Arial" w:hAnsi="Arial"/>
          <w:i/>
          <w:color w:val="231F20"/>
          <w:spacing w:val="-22"/>
          <w:w w:val="105"/>
          <w:sz w:val="18"/>
        </w:rPr>
        <w:t> </w:t>
      </w:r>
      <w:r>
        <w:rPr>
          <w:rFonts w:ascii="Arial" w:hAnsi="Arial"/>
          <w:i/>
          <w:color w:val="231F20"/>
          <w:w w:val="105"/>
          <w:sz w:val="18"/>
        </w:rPr>
        <w:t>que</w:t>
      </w:r>
      <w:r>
        <w:rPr>
          <w:rFonts w:ascii="Arial" w:hAnsi="Arial"/>
          <w:i/>
          <w:color w:val="231F20"/>
          <w:spacing w:val="-22"/>
          <w:w w:val="105"/>
          <w:sz w:val="18"/>
        </w:rPr>
        <w:t> </w:t>
      </w:r>
      <w:r>
        <w:rPr>
          <w:rFonts w:ascii="Arial" w:hAnsi="Arial"/>
          <w:i/>
          <w:color w:val="231F20"/>
          <w:w w:val="105"/>
          <w:sz w:val="18"/>
        </w:rPr>
        <w:t>aprendí</w:t>
      </w:r>
      <w:r>
        <w:rPr>
          <w:rFonts w:ascii="Arial" w:hAnsi="Arial"/>
          <w:i/>
          <w:color w:val="231F20"/>
          <w:spacing w:val="-22"/>
          <w:w w:val="105"/>
          <w:sz w:val="18"/>
        </w:rPr>
        <w:t> </w:t>
      </w:r>
      <w:r>
        <w:rPr>
          <w:rFonts w:ascii="Arial" w:hAnsi="Arial"/>
          <w:i/>
          <w:color w:val="231F20"/>
          <w:w w:val="105"/>
          <w:sz w:val="18"/>
        </w:rPr>
        <w:t>en</w:t>
      </w:r>
      <w:r>
        <w:rPr>
          <w:rFonts w:ascii="Arial" w:hAnsi="Arial"/>
          <w:i/>
          <w:color w:val="231F20"/>
          <w:spacing w:val="-22"/>
          <w:w w:val="105"/>
          <w:sz w:val="18"/>
        </w:rPr>
        <w:t> </w:t>
      </w:r>
      <w:r>
        <w:rPr>
          <w:rFonts w:ascii="Arial" w:hAnsi="Arial"/>
          <w:i/>
          <w:color w:val="231F20"/>
          <w:w w:val="105"/>
          <w:sz w:val="18"/>
        </w:rPr>
        <w:t>mi</w:t>
      </w:r>
      <w:r>
        <w:rPr>
          <w:rFonts w:ascii="Arial" w:hAnsi="Arial"/>
          <w:i/>
          <w:color w:val="231F20"/>
          <w:spacing w:val="-22"/>
          <w:w w:val="105"/>
          <w:sz w:val="18"/>
        </w:rPr>
        <w:t> </w:t>
      </w:r>
      <w:r>
        <w:rPr>
          <w:rFonts w:ascii="Arial" w:hAnsi="Arial"/>
          <w:i/>
          <w:color w:val="231F20"/>
          <w:w w:val="105"/>
          <w:sz w:val="18"/>
        </w:rPr>
        <w:t>trabajo</w:t>
      </w:r>
      <w:r>
        <w:rPr>
          <w:rFonts w:ascii="Arial" w:hAnsi="Arial"/>
          <w:i/>
          <w:color w:val="231F20"/>
          <w:spacing w:val="-22"/>
          <w:w w:val="105"/>
          <w:sz w:val="18"/>
        </w:rPr>
        <w:t> </w:t>
      </w:r>
      <w:r>
        <w:rPr>
          <w:rFonts w:ascii="Arial" w:hAnsi="Arial"/>
          <w:i/>
          <w:color w:val="231F20"/>
          <w:w w:val="105"/>
          <w:sz w:val="18"/>
        </w:rPr>
        <w:t>en</w:t>
      </w:r>
      <w:r>
        <w:rPr>
          <w:rFonts w:ascii="Arial" w:hAnsi="Arial"/>
          <w:i/>
          <w:color w:val="231F20"/>
          <w:spacing w:val="-22"/>
          <w:w w:val="105"/>
          <w:sz w:val="18"/>
        </w:rPr>
        <w:t> </w:t>
      </w:r>
      <w:r>
        <w:rPr>
          <w:rFonts w:ascii="Arial" w:hAnsi="Arial"/>
          <w:i/>
          <w:color w:val="231F20"/>
          <w:w w:val="105"/>
          <w:sz w:val="18"/>
        </w:rPr>
        <w:t>Estados</w:t>
      </w:r>
      <w:r>
        <w:rPr>
          <w:rFonts w:ascii="Arial" w:hAnsi="Arial"/>
          <w:i/>
          <w:color w:val="231F20"/>
          <w:spacing w:val="-22"/>
          <w:w w:val="105"/>
          <w:sz w:val="18"/>
        </w:rPr>
        <w:t> </w:t>
      </w:r>
      <w:r>
        <w:rPr>
          <w:rFonts w:ascii="Arial" w:hAnsi="Arial"/>
          <w:i/>
          <w:color w:val="231F20"/>
          <w:w w:val="105"/>
          <w:sz w:val="18"/>
        </w:rPr>
        <w:t>Unidos</w:t>
      </w:r>
      <w:r>
        <w:rPr>
          <w:rFonts w:ascii="Arial" w:hAnsi="Arial"/>
          <w:i/>
          <w:color w:val="231F20"/>
          <w:spacing w:val="-22"/>
          <w:w w:val="105"/>
          <w:sz w:val="18"/>
        </w:rPr>
        <w:t> </w:t>
      </w:r>
      <w:r>
        <w:rPr>
          <w:rFonts w:ascii="Arial" w:hAnsi="Arial"/>
          <w:i/>
          <w:color w:val="231F20"/>
          <w:w w:val="105"/>
          <w:sz w:val="18"/>
        </w:rPr>
        <w:t>sí</w:t>
      </w:r>
      <w:r>
        <w:rPr>
          <w:rFonts w:ascii="Arial" w:hAnsi="Arial"/>
          <w:i/>
          <w:color w:val="231F20"/>
          <w:spacing w:val="-22"/>
          <w:w w:val="105"/>
          <w:sz w:val="18"/>
        </w:rPr>
        <w:t> </w:t>
      </w:r>
      <w:r>
        <w:rPr>
          <w:rFonts w:ascii="Arial" w:hAnsi="Arial"/>
          <w:i/>
          <w:color w:val="231F20"/>
          <w:w w:val="105"/>
          <w:sz w:val="18"/>
        </w:rPr>
        <w:t>lo</w:t>
      </w:r>
      <w:r>
        <w:rPr>
          <w:rFonts w:ascii="Arial" w:hAnsi="Arial"/>
          <w:i/>
          <w:color w:val="231F20"/>
          <w:spacing w:val="-22"/>
          <w:w w:val="105"/>
          <w:sz w:val="18"/>
        </w:rPr>
        <w:t> </w:t>
      </w:r>
      <w:r>
        <w:rPr>
          <w:rFonts w:ascii="Arial" w:hAnsi="Arial"/>
          <w:i/>
          <w:color w:val="231F20"/>
          <w:w w:val="105"/>
          <w:sz w:val="18"/>
        </w:rPr>
        <w:t>apliqué</w:t>
      </w:r>
      <w:r>
        <w:rPr>
          <w:rFonts w:ascii="Arial" w:hAnsi="Arial"/>
          <w:i/>
          <w:color w:val="231F20"/>
          <w:spacing w:val="-22"/>
          <w:w w:val="105"/>
          <w:sz w:val="18"/>
        </w:rPr>
        <w:t> </w:t>
      </w:r>
      <w:r>
        <w:rPr>
          <w:rFonts w:ascii="Arial" w:hAnsi="Arial"/>
          <w:i/>
          <w:color w:val="231F20"/>
          <w:w w:val="105"/>
          <w:sz w:val="18"/>
        </w:rPr>
        <w:t>acá,</w:t>
      </w:r>
      <w:r>
        <w:rPr>
          <w:rFonts w:ascii="Arial" w:hAnsi="Arial"/>
          <w:i/>
          <w:color w:val="231F20"/>
          <w:spacing w:val="-26"/>
          <w:w w:val="105"/>
          <w:sz w:val="18"/>
        </w:rPr>
        <w:t> </w:t>
      </w:r>
      <w:r>
        <w:rPr>
          <w:rFonts w:ascii="Arial" w:hAnsi="Arial"/>
          <w:i/>
          <w:color w:val="231F20"/>
          <w:w w:val="105"/>
          <w:sz w:val="18"/>
        </w:rPr>
        <w:t>sobre- </w:t>
      </w:r>
      <w:r>
        <w:rPr>
          <w:rFonts w:ascii="Arial" w:hAnsi="Arial"/>
          <w:i/>
          <w:color w:val="231F20"/>
          <w:w w:val="105"/>
          <w:sz w:val="18"/>
        </w:rPr>
        <w:t>todo</w:t>
      </w:r>
      <w:r>
        <w:rPr>
          <w:rFonts w:ascii="Arial" w:hAnsi="Arial"/>
          <w:i/>
          <w:color w:val="231F20"/>
          <w:spacing w:val="-13"/>
          <w:w w:val="105"/>
          <w:sz w:val="18"/>
        </w:rPr>
        <w:t> </w:t>
      </w:r>
      <w:r>
        <w:rPr>
          <w:rFonts w:ascii="Arial" w:hAnsi="Arial"/>
          <w:i/>
          <w:color w:val="231F20"/>
          <w:w w:val="105"/>
          <w:sz w:val="18"/>
        </w:rPr>
        <w:t>en</w:t>
      </w:r>
      <w:r>
        <w:rPr>
          <w:rFonts w:ascii="Arial" w:hAnsi="Arial"/>
          <w:i/>
          <w:color w:val="231F20"/>
          <w:spacing w:val="-13"/>
          <w:w w:val="105"/>
          <w:sz w:val="18"/>
        </w:rPr>
        <w:t> </w:t>
      </w:r>
      <w:r>
        <w:rPr>
          <w:rFonts w:ascii="Arial" w:hAnsi="Arial"/>
          <w:i/>
          <w:color w:val="231F20"/>
          <w:w w:val="105"/>
          <w:sz w:val="18"/>
        </w:rPr>
        <w:t>el</w:t>
      </w:r>
      <w:r>
        <w:rPr>
          <w:rFonts w:ascii="Arial" w:hAnsi="Arial"/>
          <w:i/>
          <w:color w:val="231F20"/>
          <w:spacing w:val="-13"/>
          <w:w w:val="105"/>
          <w:sz w:val="18"/>
        </w:rPr>
        <w:t> </w:t>
      </w:r>
      <w:r>
        <w:rPr>
          <w:rFonts w:ascii="Arial" w:hAnsi="Arial"/>
          <w:i/>
          <w:color w:val="231F20"/>
          <w:w w:val="105"/>
          <w:sz w:val="18"/>
        </w:rPr>
        <w:t>cultivo</w:t>
      </w:r>
      <w:r>
        <w:rPr>
          <w:rFonts w:ascii="Arial" w:hAnsi="Arial"/>
          <w:i/>
          <w:color w:val="231F20"/>
          <w:spacing w:val="-13"/>
          <w:w w:val="105"/>
          <w:sz w:val="18"/>
        </w:rPr>
        <w:t> </w:t>
      </w:r>
      <w:r>
        <w:rPr>
          <w:rFonts w:ascii="Arial" w:hAnsi="Arial"/>
          <w:i/>
          <w:color w:val="231F20"/>
          <w:w w:val="105"/>
          <w:sz w:val="18"/>
        </w:rPr>
        <w:t>de</w:t>
      </w:r>
      <w:r>
        <w:rPr>
          <w:rFonts w:ascii="Arial" w:hAnsi="Arial"/>
          <w:i/>
          <w:color w:val="231F20"/>
          <w:spacing w:val="-13"/>
          <w:w w:val="105"/>
          <w:sz w:val="18"/>
        </w:rPr>
        <w:t> </w:t>
      </w:r>
      <w:r>
        <w:rPr>
          <w:rFonts w:ascii="Arial" w:hAnsi="Arial"/>
          <w:i/>
          <w:color w:val="231F20"/>
          <w:w w:val="105"/>
          <w:sz w:val="18"/>
        </w:rPr>
        <w:t>verduras,</w:t>
      </w:r>
      <w:r>
        <w:rPr>
          <w:rFonts w:ascii="Arial" w:hAnsi="Arial"/>
          <w:i/>
          <w:color w:val="231F20"/>
          <w:spacing w:val="-17"/>
          <w:w w:val="105"/>
          <w:sz w:val="18"/>
        </w:rPr>
        <w:t> </w:t>
      </w:r>
      <w:r>
        <w:rPr>
          <w:rFonts w:ascii="Arial" w:hAnsi="Arial"/>
          <w:i/>
          <w:color w:val="231F20"/>
          <w:w w:val="105"/>
          <w:sz w:val="18"/>
        </w:rPr>
        <w:t>y</w:t>
      </w:r>
      <w:r>
        <w:rPr>
          <w:rFonts w:ascii="Arial" w:hAnsi="Arial"/>
          <w:i/>
          <w:color w:val="231F20"/>
          <w:spacing w:val="-13"/>
          <w:w w:val="105"/>
          <w:sz w:val="18"/>
        </w:rPr>
        <w:t> </w:t>
      </w:r>
      <w:r>
        <w:rPr>
          <w:rFonts w:ascii="Arial" w:hAnsi="Arial"/>
          <w:i/>
          <w:color w:val="231F20"/>
          <w:w w:val="105"/>
          <w:sz w:val="18"/>
        </w:rPr>
        <w:t>así</w:t>
      </w:r>
      <w:r>
        <w:rPr>
          <w:rFonts w:ascii="Arial" w:hAnsi="Arial"/>
          <w:i/>
          <w:color w:val="231F20"/>
          <w:spacing w:val="-13"/>
          <w:w w:val="105"/>
          <w:sz w:val="18"/>
        </w:rPr>
        <w:t> </w:t>
      </w:r>
      <w:r>
        <w:rPr>
          <w:rFonts w:ascii="Arial" w:hAnsi="Arial"/>
          <w:i/>
          <w:color w:val="231F20"/>
          <w:w w:val="105"/>
          <w:sz w:val="18"/>
        </w:rPr>
        <w:t>mejoré</w:t>
      </w:r>
      <w:r>
        <w:rPr>
          <w:rFonts w:ascii="Arial" w:hAnsi="Arial"/>
          <w:i/>
          <w:color w:val="231F20"/>
          <w:spacing w:val="-13"/>
          <w:w w:val="105"/>
          <w:sz w:val="18"/>
        </w:rPr>
        <w:t> </w:t>
      </w:r>
      <w:r>
        <w:rPr>
          <w:rFonts w:ascii="Arial" w:hAnsi="Arial"/>
          <w:i/>
          <w:color w:val="231F20"/>
          <w:w w:val="105"/>
          <w:sz w:val="18"/>
        </w:rPr>
        <w:t>mi</w:t>
      </w:r>
      <w:r>
        <w:rPr>
          <w:rFonts w:ascii="Arial" w:hAnsi="Arial"/>
          <w:i/>
          <w:color w:val="231F20"/>
          <w:spacing w:val="-13"/>
          <w:w w:val="105"/>
          <w:sz w:val="18"/>
        </w:rPr>
        <w:t> </w:t>
      </w:r>
      <w:r>
        <w:rPr>
          <w:rFonts w:ascii="Arial" w:hAnsi="Arial"/>
          <w:i/>
          <w:color w:val="231F20"/>
          <w:w w:val="105"/>
          <w:sz w:val="18"/>
        </w:rPr>
        <w:t>producción.</w:t>
      </w:r>
      <w:r>
        <w:rPr>
          <w:rFonts w:ascii="Arial" w:hAnsi="Arial"/>
          <w:i/>
          <w:color w:val="231F20"/>
          <w:spacing w:val="-17"/>
          <w:w w:val="105"/>
          <w:sz w:val="18"/>
        </w:rPr>
        <w:t> </w:t>
      </w:r>
      <w:r>
        <w:rPr>
          <w:rFonts w:ascii="Arial" w:hAnsi="Arial"/>
          <w:i/>
          <w:color w:val="231F20"/>
          <w:w w:val="105"/>
          <w:sz w:val="18"/>
        </w:rPr>
        <w:t>La</w:t>
      </w:r>
      <w:r>
        <w:rPr>
          <w:rFonts w:ascii="Arial" w:hAnsi="Arial"/>
          <w:i/>
          <w:color w:val="231F20"/>
          <w:spacing w:val="-13"/>
          <w:w w:val="105"/>
          <w:sz w:val="18"/>
        </w:rPr>
        <w:t> </w:t>
      </w:r>
      <w:r>
        <w:rPr>
          <w:rFonts w:ascii="Arial" w:hAnsi="Arial"/>
          <w:i/>
          <w:color w:val="231F20"/>
          <w:w w:val="105"/>
          <w:sz w:val="18"/>
        </w:rPr>
        <w:t>experien- cia</w:t>
      </w:r>
      <w:r>
        <w:rPr>
          <w:rFonts w:ascii="Arial" w:hAnsi="Arial"/>
          <w:i/>
          <w:color w:val="231F20"/>
          <w:spacing w:val="-20"/>
          <w:w w:val="105"/>
          <w:sz w:val="18"/>
        </w:rPr>
        <w:t> </w:t>
      </w:r>
      <w:r>
        <w:rPr>
          <w:rFonts w:ascii="Arial" w:hAnsi="Arial"/>
          <w:i/>
          <w:color w:val="231F20"/>
          <w:w w:val="105"/>
          <w:sz w:val="18"/>
        </w:rPr>
        <w:t>en</w:t>
      </w:r>
      <w:r>
        <w:rPr>
          <w:rFonts w:ascii="Arial" w:hAnsi="Arial"/>
          <w:i/>
          <w:color w:val="231F20"/>
          <w:spacing w:val="-20"/>
          <w:w w:val="105"/>
          <w:sz w:val="18"/>
        </w:rPr>
        <w:t> </w:t>
      </w:r>
      <w:r>
        <w:rPr>
          <w:rFonts w:ascii="Arial" w:hAnsi="Arial"/>
          <w:i/>
          <w:color w:val="231F20"/>
          <w:w w:val="105"/>
          <w:sz w:val="18"/>
        </w:rPr>
        <w:t>Chicago</w:t>
      </w:r>
      <w:r>
        <w:rPr>
          <w:rFonts w:ascii="Arial" w:hAnsi="Arial"/>
          <w:i/>
          <w:color w:val="231F20"/>
          <w:spacing w:val="-20"/>
          <w:w w:val="105"/>
          <w:sz w:val="18"/>
        </w:rPr>
        <w:t> </w:t>
      </w:r>
      <w:r>
        <w:rPr>
          <w:rFonts w:ascii="Arial" w:hAnsi="Arial"/>
          <w:i/>
          <w:color w:val="231F20"/>
          <w:w w:val="105"/>
          <w:sz w:val="18"/>
        </w:rPr>
        <w:t>fue</w:t>
      </w:r>
      <w:r>
        <w:rPr>
          <w:rFonts w:ascii="Arial" w:hAnsi="Arial"/>
          <w:i/>
          <w:color w:val="231F20"/>
          <w:spacing w:val="-20"/>
          <w:w w:val="105"/>
          <w:sz w:val="18"/>
        </w:rPr>
        <w:t> </w:t>
      </w:r>
      <w:r>
        <w:rPr>
          <w:rFonts w:ascii="Arial" w:hAnsi="Arial"/>
          <w:i/>
          <w:color w:val="231F20"/>
          <w:w w:val="105"/>
          <w:sz w:val="18"/>
        </w:rPr>
        <w:t>diferente,</w:t>
      </w:r>
      <w:r>
        <w:rPr>
          <w:rFonts w:ascii="Arial" w:hAnsi="Arial"/>
          <w:i/>
          <w:color w:val="231F20"/>
          <w:spacing w:val="-24"/>
          <w:w w:val="105"/>
          <w:sz w:val="18"/>
        </w:rPr>
        <w:t> </w:t>
      </w:r>
      <w:r>
        <w:rPr>
          <w:rFonts w:ascii="Arial" w:hAnsi="Arial"/>
          <w:i/>
          <w:color w:val="231F20"/>
          <w:w w:val="105"/>
          <w:sz w:val="18"/>
        </w:rPr>
        <w:t>pero</w:t>
      </w:r>
      <w:r>
        <w:rPr>
          <w:rFonts w:ascii="Arial" w:hAnsi="Arial"/>
          <w:i/>
          <w:color w:val="231F20"/>
          <w:spacing w:val="-20"/>
          <w:w w:val="105"/>
          <w:sz w:val="18"/>
        </w:rPr>
        <w:t> </w:t>
      </w:r>
      <w:r>
        <w:rPr>
          <w:rFonts w:ascii="Arial" w:hAnsi="Arial"/>
          <w:i/>
          <w:color w:val="231F20"/>
          <w:w w:val="105"/>
          <w:sz w:val="18"/>
        </w:rPr>
        <w:t>aprendí</w:t>
      </w:r>
      <w:r>
        <w:rPr>
          <w:rFonts w:ascii="Arial" w:hAnsi="Arial"/>
          <w:i/>
          <w:color w:val="231F20"/>
          <w:spacing w:val="-20"/>
          <w:w w:val="105"/>
          <w:sz w:val="18"/>
        </w:rPr>
        <w:t> </w:t>
      </w:r>
      <w:r>
        <w:rPr>
          <w:rFonts w:ascii="Arial" w:hAnsi="Arial"/>
          <w:i/>
          <w:color w:val="231F20"/>
          <w:w w:val="105"/>
          <w:sz w:val="18"/>
        </w:rPr>
        <w:t>a</w:t>
      </w:r>
      <w:r>
        <w:rPr>
          <w:rFonts w:ascii="Arial" w:hAnsi="Arial"/>
          <w:i/>
          <w:color w:val="231F20"/>
          <w:spacing w:val="-20"/>
          <w:w w:val="105"/>
          <w:sz w:val="18"/>
        </w:rPr>
        <w:t> </w:t>
      </w:r>
      <w:r>
        <w:rPr>
          <w:rFonts w:ascii="Arial" w:hAnsi="Arial"/>
          <w:i/>
          <w:color w:val="231F20"/>
          <w:w w:val="105"/>
          <w:sz w:val="18"/>
        </w:rPr>
        <w:t>trabajar</w:t>
      </w:r>
      <w:r>
        <w:rPr>
          <w:rFonts w:ascii="Arial" w:hAnsi="Arial"/>
          <w:i/>
          <w:color w:val="231F20"/>
          <w:spacing w:val="-20"/>
          <w:w w:val="105"/>
          <w:sz w:val="18"/>
        </w:rPr>
        <w:t> </w:t>
      </w:r>
      <w:r>
        <w:rPr>
          <w:rFonts w:ascii="Arial" w:hAnsi="Arial"/>
          <w:i/>
          <w:color w:val="231F20"/>
          <w:w w:val="105"/>
          <w:sz w:val="18"/>
        </w:rPr>
        <w:t>jardines,</w:t>
      </w:r>
      <w:r>
        <w:rPr>
          <w:rFonts w:ascii="Arial" w:hAnsi="Arial"/>
          <w:i/>
          <w:color w:val="231F20"/>
          <w:spacing w:val="-24"/>
          <w:w w:val="105"/>
          <w:sz w:val="18"/>
        </w:rPr>
        <w:t> </w:t>
      </w:r>
      <w:r>
        <w:rPr>
          <w:rFonts w:ascii="Arial" w:hAnsi="Arial"/>
          <w:i/>
          <w:color w:val="231F20"/>
          <w:w w:val="105"/>
          <w:sz w:val="18"/>
        </w:rPr>
        <w:t>a</w:t>
      </w:r>
      <w:r>
        <w:rPr>
          <w:rFonts w:ascii="Arial" w:hAnsi="Arial"/>
          <w:i/>
          <w:color w:val="231F20"/>
          <w:spacing w:val="-20"/>
          <w:w w:val="105"/>
          <w:sz w:val="18"/>
        </w:rPr>
        <w:t> </w:t>
      </w:r>
      <w:r>
        <w:rPr>
          <w:rFonts w:ascii="Arial" w:hAnsi="Arial"/>
          <w:i/>
          <w:color w:val="231F20"/>
          <w:w w:val="105"/>
          <w:sz w:val="18"/>
        </w:rPr>
        <w:t>sembrar y</w:t>
      </w:r>
      <w:r>
        <w:rPr>
          <w:rFonts w:ascii="Arial" w:hAnsi="Arial"/>
          <w:i/>
          <w:color w:val="231F20"/>
          <w:spacing w:val="-13"/>
          <w:w w:val="105"/>
          <w:sz w:val="18"/>
        </w:rPr>
        <w:t> </w:t>
      </w:r>
      <w:r>
        <w:rPr>
          <w:rFonts w:ascii="Arial" w:hAnsi="Arial"/>
          <w:i/>
          <w:color w:val="231F20"/>
          <w:w w:val="105"/>
          <w:sz w:val="18"/>
        </w:rPr>
        <w:t>a</w:t>
      </w:r>
      <w:r>
        <w:rPr>
          <w:rFonts w:ascii="Arial" w:hAnsi="Arial"/>
          <w:i/>
          <w:color w:val="231F20"/>
          <w:spacing w:val="-13"/>
          <w:w w:val="105"/>
          <w:sz w:val="18"/>
        </w:rPr>
        <w:t> </w:t>
      </w:r>
      <w:r>
        <w:rPr>
          <w:rFonts w:ascii="Arial" w:hAnsi="Arial"/>
          <w:i/>
          <w:color w:val="231F20"/>
          <w:w w:val="105"/>
          <w:sz w:val="18"/>
        </w:rPr>
        <w:t>cuidar</w:t>
      </w:r>
      <w:r>
        <w:rPr>
          <w:rFonts w:ascii="Arial" w:hAnsi="Arial"/>
          <w:i/>
          <w:color w:val="231F20"/>
          <w:spacing w:val="-13"/>
          <w:w w:val="105"/>
          <w:sz w:val="18"/>
        </w:rPr>
        <w:t> </w:t>
      </w:r>
      <w:r>
        <w:rPr>
          <w:rFonts w:ascii="Arial" w:hAnsi="Arial"/>
          <w:i/>
          <w:color w:val="231F20"/>
          <w:w w:val="105"/>
          <w:sz w:val="18"/>
        </w:rPr>
        <w:t>flores</w:t>
      </w:r>
      <w:r>
        <w:rPr>
          <w:rFonts w:ascii="Arial" w:hAnsi="Arial"/>
          <w:i/>
          <w:color w:val="231F20"/>
          <w:spacing w:val="-13"/>
          <w:w w:val="105"/>
          <w:sz w:val="18"/>
        </w:rPr>
        <w:t> </w:t>
      </w:r>
      <w:r>
        <w:rPr>
          <w:rFonts w:ascii="Arial" w:hAnsi="Arial"/>
          <w:i/>
          <w:color w:val="231F20"/>
          <w:w w:val="105"/>
          <w:sz w:val="18"/>
        </w:rPr>
        <w:t>y</w:t>
      </w:r>
      <w:r>
        <w:rPr>
          <w:rFonts w:ascii="Arial" w:hAnsi="Arial"/>
          <w:i/>
          <w:color w:val="231F20"/>
          <w:spacing w:val="-13"/>
          <w:w w:val="105"/>
          <w:sz w:val="18"/>
        </w:rPr>
        <w:t> </w:t>
      </w:r>
      <w:r>
        <w:rPr>
          <w:rFonts w:ascii="Arial" w:hAnsi="Arial"/>
          <w:i/>
          <w:color w:val="231F20"/>
          <w:w w:val="105"/>
          <w:sz w:val="18"/>
        </w:rPr>
        <w:t>árboles.</w:t>
      </w:r>
      <w:r>
        <w:rPr>
          <w:rFonts w:ascii="Arial" w:hAnsi="Arial"/>
          <w:i/>
          <w:color w:val="231F20"/>
          <w:spacing w:val="-20"/>
          <w:w w:val="105"/>
          <w:sz w:val="18"/>
        </w:rPr>
        <w:t> </w:t>
      </w:r>
      <w:r>
        <w:rPr>
          <w:rFonts w:ascii="Arial" w:hAnsi="Arial"/>
          <w:i/>
          <w:color w:val="231F20"/>
          <w:w w:val="105"/>
          <w:sz w:val="18"/>
        </w:rPr>
        <w:t>Ahora</w:t>
      </w:r>
      <w:r>
        <w:rPr>
          <w:rFonts w:ascii="Arial" w:hAnsi="Arial"/>
          <w:i/>
          <w:color w:val="231F20"/>
          <w:spacing w:val="-13"/>
          <w:w w:val="105"/>
          <w:sz w:val="18"/>
        </w:rPr>
        <w:t> </w:t>
      </w:r>
      <w:r>
        <w:rPr>
          <w:rFonts w:ascii="Arial" w:hAnsi="Arial"/>
          <w:i/>
          <w:color w:val="231F20"/>
          <w:w w:val="105"/>
          <w:sz w:val="18"/>
        </w:rPr>
        <w:t>puedo</w:t>
      </w:r>
      <w:r>
        <w:rPr>
          <w:rFonts w:ascii="Arial" w:hAnsi="Arial"/>
          <w:i/>
          <w:color w:val="231F20"/>
          <w:spacing w:val="-13"/>
          <w:w w:val="105"/>
          <w:sz w:val="18"/>
        </w:rPr>
        <w:t> </w:t>
      </w:r>
      <w:r>
        <w:rPr>
          <w:rFonts w:ascii="Arial" w:hAnsi="Arial"/>
          <w:i/>
          <w:color w:val="231F20"/>
          <w:w w:val="105"/>
          <w:sz w:val="18"/>
        </w:rPr>
        <w:t>hacer</w:t>
      </w:r>
      <w:r>
        <w:rPr>
          <w:rFonts w:ascii="Arial" w:hAnsi="Arial"/>
          <w:i/>
          <w:color w:val="231F20"/>
          <w:spacing w:val="-13"/>
          <w:w w:val="105"/>
          <w:sz w:val="18"/>
        </w:rPr>
        <w:t> </w:t>
      </w:r>
      <w:r>
        <w:rPr>
          <w:rFonts w:ascii="Arial" w:hAnsi="Arial"/>
          <w:i/>
          <w:color w:val="231F20"/>
          <w:w w:val="105"/>
          <w:sz w:val="18"/>
        </w:rPr>
        <w:t>eso</w:t>
      </w:r>
      <w:r>
        <w:rPr>
          <w:rFonts w:ascii="Arial" w:hAnsi="Arial"/>
          <w:i/>
          <w:color w:val="231F20"/>
          <w:spacing w:val="-13"/>
          <w:w w:val="105"/>
          <w:sz w:val="18"/>
        </w:rPr>
        <w:t> </w:t>
      </w:r>
      <w:r>
        <w:rPr>
          <w:rFonts w:ascii="Arial" w:hAnsi="Arial"/>
          <w:i/>
          <w:color w:val="231F20"/>
          <w:w w:val="105"/>
          <w:sz w:val="18"/>
        </w:rPr>
        <w:t>aquí</w:t>
      </w:r>
      <w:r>
        <w:rPr>
          <w:rFonts w:ascii="Arial" w:hAnsi="Arial"/>
          <w:i/>
          <w:color w:val="231F20"/>
          <w:spacing w:val="-13"/>
          <w:w w:val="105"/>
          <w:sz w:val="18"/>
        </w:rPr>
        <w:t> </w:t>
      </w:r>
      <w:r>
        <w:rPr>
          <w:rFonts w:ascii="Arial" w:hAnsi="Arial"/>
          <w:i/>
          <w:color w:val="231F20"/>
          <w:w w:val="105"/>
          <w:sz w:val="18"/>
        </w:rPr>
        <w:t>en</w:t>
      </w:r>
      <w:r>
        <w:rPr>
          <w:rFonts w:ascii="Arial" w:hAnsi="Arial"/>
          <w:i/>
          <w:color w:val="231F20"/>
          <w:spacing w:val="-13"/>
          <w:w w:val="105"/>
          <w:sz w:val="18"/>
        </w:rPr>
        <w:t> </w:t>
      </w:r>
      <w:r>
        <w:rPr>
          <w:rFonts w:ascii="Arial" w:hAnsi="Arial"/>
          <w:i/>
          <w:color w:val="231F20"/>
          <w:w w:val="105"/>
          <w:sz w:val="18"/>
        </w:rPr>
        <w:t>mi</w:t>
      </w:r>
      <w:r>
        <w:rPr>
          <w:rFonts w:ascii="Arial" w:hAnsi="Arial"/>
          <w:i/>
          <w:color w:val="231F20"/>
          <w:spacing w:val="-13"/>
          <w:w w:val="105"/>
          <w:sz w:val="18"/>
        </w:rPr>
        <w:t> </w:t>
      </w:r>
      <w:r>
        <w:rPr>
          <w:rFonts w:ascii="Arial" w:hAnsi="Arial"/>
          <w:i/>
          <w:color w:val="231F20"/>
          <w:w w:val="105"/>
          <w:sz w:val="18"/>
        </w:rPr>
        <w:t>casa</w:t>
      </w:r>
      <w:r>
        <w:rPr>
          <w:rFonts w:ascii="Arial" w:hAnsi="Arial"/>
          <w:i/>
          <w:color w:val="231F20"/>
          <w:spacing w:val="-13"/>
          <w:w w:val="105"/>
          <w:sz w:val="18"/>
        </w:rPr>
        <w:t> </w:t>
      </w:r>
      <w:r>
        <w:rPr>
          <w:rFonts w:ascii="Arial" w:hAnsi="Arial"/>
          <w:i/>
          <w:color w:val="231F20"/>
          <w:w w:val="105"/>
          <w:sz w:val="18"/>
        </w:rPr>
        <w:t>o</w:t>
      </w:r>
      <w:r>
        <w:rPr>
          <w:rFonts w:ascii="Arial" w:hAnsi="Arial"/>
          <w:i/>
          <w:color w:val="231F20"/>
          <w:spacing w:val="-13"/>
          <w:w w:val="105"/>
          <w:sz w:val="18"/>
        </w:rPr>
        <w:t> </w:t>
      </w:r>
      <w:r>
        <w:rPr>
          <w:rFonts w:ascii="Arial" w:hAnsi="Arial"/>
          <w:i/>
          <w:color w:val="231F20"/>
          <w:w w:val="105"/>
          <w:sz w:val="18"/>
        </w:rPr>
        <w:t>en cualquier otra parte. Cuando me iba para Estados Unidos mi principal preocupación</w:t>
      </w:r>
      <w:r>
        <w:rPr>
          <w:rFonts w:ascii="Arial" w:hAnsi="Arial"/>
          <w:i/>
          <w:color w:val="231F20"/>
          <w:spacing w:val="-13"/>
          <w:w w:val="105"/>
          <w:sz w:val="18"/>
        </w:rPr>
        <w:t> </w:t>
      </w:r>
      <w:r>
        <w:rPr>
          <w:rFonts w:ascii="Arial" w:hAnsi="Arial"/>
          <w:i/>
          <w:color w:val="231F20"/>
          <w:w w:val="105"/>
          <w:sz w:val="18"/>
        </w:rPr>
        <w:t>era</w:t>
      </w:r>
      <w:r>
        <w:rPr>
          <w:rFonts w:ascii="Arial" w:hAnsi="Arial"/>
          <w:i/>
          <w:color w:val="231F20"/>
          <w:spacing w:val="-13"/>
          <w:w w:val="105"/>
          <w:sz w:val="18"/>
        </w:rPr>
        <w:t> </w:t>
      </w:r>
      <w:r>
        <w:rPr>
          <w:rFonts w:ascii="Arial" w:hAnsi="Arial"/>
          <w:i/>
          <w:color w:val="231F20"/>
          <w:w w:val="105"/>
          <w:sz w:val="18"/>
        </w:rPr>
        <w:t>mi</w:t>
      </w:r>
      <w:r>
        <w:rPr>
          <w:rFonts w:ascii="Arial" w:hAnsi="Arial"/>
          <w:i/>
          <w:color w:val="231F20"/>
          <w:spacing w:val="-13"/>
          <w:w w:val="105"/>
          <w:sz w:val="18"/>
        </w:rPr>
        <w:t> </w:t>
      </w:r>
      <w:r>
        <w:rPr>
          <w:rFonts w:ascii="Arial" w:hAnsi="Arial"/>
          <w:i/>
          <w:color w:val="231F20"/>
          <w:w w:val="105"/>
          <w:sz w:val="18"/>
        </w:rPr>
        <w:t>trabajo</w:t>
      </w:r>
      <w:r>
        <w:rPr>
          <w:rFonts w:ascii="Arial" w:hAnsi="Arial"/>
          <w:i/>
          <w:color w:val="231F20"/>
          <w:spacing w:val="-13"/>
          <w:w w:val="105"/>
          <w:sz w:val="18"/>
        </w:rPr>
        <w:t> </w:t>
      </w:r>
      <w:r>
        <w:rPr>
          <w:rFonts w:ascii="Arial" w:hAnsi="Arial"/>
          <w:i/>
          <w:color w:val="231F20"/>
          <w:w w:val="105"/>
          <w:sz w:val="18"/>
        </w:rPr>
        <w:t>allá,</w:t>
      </w:r>
      <w:r>
        <w:rPr>
          <w:rFonts w:ascii="Arial" w:hAnsi="Arial"/>
          <w:i/>
          <w:color w:val="231F20"/>
          <w:spacing w:val="-18"/>
          <w:w w:val="105"/>
          <w:sz w:val="18"/>
        </w:rPr>
        <w:t> </w:t>
      </w:r>
      <w:r>
        <w:rPr>
          <w:rFonts w:ascii="Arial" w:hAnsi="Arial"/>
          <w:i/>
          <w:color w:val="231F20"/>
          <w:w w:val="105"/>
          <w:sz w:val="18"/>
        </w:rPr>
        <w:t>pero</w:t>
      </w:r>
      <w:r>
        <w:rPr>
          <w:rFonts w:ascii="Arial" w:hAnsi="Arial"/>
          <w:i/>
          <w:color w:val="231F20"/>
          <w:spacing w:val="-13"/>
          <w:w w:val="105"/>
          <w:sz w:val="18"/>
        </w:rPr>
        <w:t> </w:t>
      </w:r>
      <w:r>
        <w:rPr>
          <w:rFonts w:ascii="Arial" w:hAnsi="Arial"/>
          <w:i/>
          <w:color w:val="231F20"/>
          <w:w w:val="105"/>
          <w:sz w:val="18"/>
        </w:rPr>
        <w:t>también</w:t>
      </w:r>
      <w:r>
        <w:rPr>
          <w:rFonts w:ascii="Arial" w:hAnsi="Arial"/>
          <w:i/>
          <w:color w:val="231F20"/>
          <w:spacing w:val="-13"/>
          <w:w w:val="105"/>
          <w:sz w:val="18"/>
        </w:rPr>
        <w:t> </w:t>
      </w:r>
      <w:r>
        <w:rPr>
          <w:rFonts w:ascii="Arial" w:hAnsi="Arial"/>
          <w:i/>
          <w:color w:val="231F20"/>
          <w:w w:val="105"/>
          <w:sz w:val="18"/>
        </w:rPr>
        <w:t>lo</w:t>
      </w:r>
      <w:r>
        <w:rPr>
          <w:rFonts w:ascii="Arial" w:hAnsi="Arial"/>
          <w:i/>
          <w:color w:val="231F20"/>
          <w:spacing w:val="-13"/>
          <w:w w:val="105"/>
          <w:sz w:val="18"/>
        </w:rPr>
        <w:t> </w:t>
      </w:r>
      <w:r>
        <w:rPr>
          <w:rFonts w:ascii="Arial" w:hAnsi="Arial"/>
          <w:i/>
          <w:color w:val="231F20"/>
          <w:w w:val="105"/>
          <w:sz w:val="18"/>
        </w:rPr>
        <w:t>que</w:t>
      </w:r>
      <w:r>
        <w:rPr>
          <w:rFonts w:ascii="Arial" w:hAnsi="Arial"/>
          <w:i/>
          <w:color w:val="231F20"/>
          <w:spacing w:val="-13"/>
          <w:w w:val="105"/>
          <w:sz w:val="18"/>
        </w:rPr>
        <w:t> </w:t>
      </w:r>
      <w:r>
        <w:rPr>
          <w:rFonts w:ascii="Arial" w:hAnsi="Arial"/>
          <w:i/>
          <w:color w:val="231F20"/>
          <w:w w:val="105"/>
          <w:sz w:val="18"/>
        </w:rPr>
        <w:t>dejaba</w:t>
      </w:r>
      <w:r>
        <w:rPr>
          <w:rFonts w:ascii="Arial" w:hAnsi="Arial"/>
          <w:i/>
          <w:color w:val="231F20"/>
          <w:spacing w:val="-13"/>
          <w:w w:val="105"/>
          <w:sz w:val="18"/>
        </w:rPr>
        <w:t> </w:t>
      </w:r>
      <w:r>
        <w:rPr>
          <w:rFonts w:ascii="Arial" w:hAnsi="Arial"/>
          <w:i/>
          <w:color w:val="231F20"/>
          <w:w w:val="105"/>
          <w:sz w:val="18"/>
        </w:rPr>
        <w:t>acá</w:t>
      </w:r>
      <w:r>
        <w:rPr>
          <w:rFonts w:ascii="Arial" w:hAnsi="Arial"/>
          <w:i/>
          <w:color w:val="231F20"/>
          <w:spacing w:val="-13"/>
          <w:w w:val="105"/>
          <w:sz w:val="18"/>
        </w:rPr>
        <w:t> </w:t>
      </w:r>
      <w:r>
        <w:rPr>
          <w:rFonts w:ascii="Arial" w:hAnsi="Arial"/>
          <w:i/>
          <w:color w:val="231F20"/>
          <w:w w:val="105"/>
          <w:sz w:val="18"/>
        </w:rPr>
        <w:t>aban- donado,</w:t>
      </w:r>
      <w:r>
        <w:rPr>
          <w:rFonts w:ascii="Arial" w:hAnsi="Arial"/>
          <w:i/>
          <w:color w:val="231F20"/>
          <w:spacing w:val="-30"/>
          <w:w w:val="105"/>
          <w:sz w:val="18"/>
        </w:rPr>
        <w:t> </w:t>
      </w:r>
      <w:r>
        <w:rPr>
          <w:rFonts w:ascii="Arial" w:hAnsi="Arial"/>
          <w:i/>
          <w:color w:val="231F20"/>
          <w:w w:val="105"/>
          <w:sz w:val="18"/>
        </w:rPr>
        <w:t>lo</w:t>
      </w:r>
      <w:r>
        <w:rPr>
          <w:rFonts w:ascii="Arial" w:hAnsi="Arial"/>
          <w:i/>
          <w:color w:val="231F20"/>
          <w:spacing w:val="-26"/>
          <w:w w:val="105"/>
          <w:sz w:val="18"/>
        </w:rPr>
        <w:t> </w:t>
      </w:r>
      <w:r>
        <w:rPr>
          <w:rFonts w:ascii="Arial" w:hAnsi="Arial"/>
          <w:i/>
          <w:color w:val="231F20"/>
          <w:w w:val="105"/>
          <w:sz w:val="18"/>
        </w:rPr>
        <w:t>que</w:t>
      </w:r>
      <w:r>
        <w:rPr>
          <w:rFonts w:ascii="Arial" w:hAnsi="Arial"/>
          <w:i/>
          <w:color w:val="231F20"/>
          <w:spacing w:val="-26"/>
          <w:w w:val="105"/>
          <w:sz w:val="18"/>
        </w:rPr>
        <w:t> </w:t>
      </w:r>
      <w:r>
        <w:rPr>
          <w:rFonts w:ascii="Arial" w:hAnsi="Arial"/>
          <w:i/>
          <w:color w:val="231F20"/>
          <w:w w:val="105"/>
          <w:sz w:val="18"/>
        </w:rPr>
        <w:t>dejaba</w:t>
      </w:r>
      <w:r>
        <w:rPr>
          <w:rFonts w:ascii="Arial" w:hAnsi="Arial"/>
          <w:i/>
          <w:color w:val="231F20"/>
          <w:spacing w:val="-26"/>
          <w:w w:val="105"/>
          <w:sz w:val="18"/>
        </w:rPr>
        <w:t> </w:t>
      </w:r>
      <w:r>
        <w:rPr>
          <w:rFonts w:ascii="Arial" w:hAnsi="Arial"/>
          <w:i/>
          <w:color w:val="231F20"/>
          <w:w w:val="105"/>
          <w:sz w:val="18"/>
        </w:rPr>
        <w:t>de</w:t>
      </w:r>
      <w:r>
        <w:rPr>
          <w:rFonts w:ascii="Arial" w:hAnsi="Arial"/>
          <w:i/>
          <w:color w:val="231F20"/>
          <w:spacing w:val="-26"/>
          <w:w w:val="105"/>
          <w:sz w:val="18"/>
        </w:rPr>
        <w:t> </w:t>
      </w:r>
      <w:r>
        <w:rPr>
          <w:rFonts w:ascii="Arial" w:hAnsi="Arial"/>
          <w:i/>
          <w:color w:val="231F20"/>
          <w:w w:val="105"/>
          <w:sz w:val="18"/>
        </w:rPr>
        <w:t>hacer</w:t>
      </w:r>
      <w:r>
        <w:rPr>
          <w:rFonts w:ascii="Arial" w:hAnsi="Arial"/>
          <w:i/>
          <w:color w:val="231F20"/>
          <w:spacing w:val="-26"/>
          <w:w w:val="105"/>
          <w:sz w:val="18"/>
        </w:rPr>
        <w:t> </w:t>
      </w:r>
      <w:r>
        <w:rPr>
          <w:rFonts w:ascii="Arial" w:hAnsi="Arial"/>
          <w:i/>
          <w:color w:val="231F20"/>
          <w:w w:val="105"/>
          <w:sz w:val="18"/>
        </w:rPr>
        <w:t>aquí.</w:t>
      </w:r>
      <w:r>
        <w:rPr>
          <w:rFonts w:ascii="Arial" w:hAnsi="Arial"/>
          <w:i/>
          <w:color w:val="231F20"/>
          <w:spacing w:val="-33"/>
          <w:w w:val="105"/>
          <w:sz w:val="18"/>
        </w:rPr>
        <w:t> </w:t>
      </w:r>
      <w:r>
        <w:rPr>
          <w:rFonts w:ascii="Arial" w:hAnsi="Arial"/>
          <w:i/>
          <w:color w:val="231F20"/>
          <w:w w:val="105"/>
          <w:sz w:val="18"/>
        </w:rPr>
        <w:t>Y</w:t>
      </w:r>
      <w:r>
        <w:rPr>
          <w:rFonts w:ascii="Arial" w:hAnsi="Arial"/>
          <w:i/>
          <w:color w:val="231F20"/>
          <w:spacing w:val="-29"/>
          <w:w w:val="105"/>
          <w:sz w:val="18"/>
        </w:rPr>
        <w:t> </w:t>
      </w:r>
      <w:r>
        <w:rPr>
          <w:rFonts w:ascii="Arial" w:hAnsi="Arial"/>
          <w:i/>
          <w:color w:val="231F20"/>
          <w:w w:val="105"/>
          <w:sz w:val="18"/>
        </w:rPr>
        <w:t>es</w:t>
      </w:r>
      <w:r>
        <w:rPr>
          <w:rFonts w:ascii="Arial" w:hAnsi="Arial"/>
          <w:i/>
          <w:color w:val="231F20"/>
          <w:spacing w:val="-26"/>
          <w:w w:val="105"/>
          <w:sz w:val="18"/>
        </w:rPr>
        <w:t> </w:t>
      </w:r>
      <w:r>
        <w:rPr>
          <w:rFonts w:ascii="Arial" w:hAnsi="Arial"/>
          <w:i/>
          <w:color w:val="231F20"/>
          <w:w w:val="105"/>
          <w:sz w:val="18"/>
        </w:rPr>
        <w:t>que</w:t>
      </w:r>
      <w:r>
        <w:rPr>
          <w:rFonts w:ascii="Arial" w:hAnsi="Arial"/>
          <w:i/>
          <w:color w:val="231F20"/>
          <w:spacing w:val="-26"/>
          <w:w w:val="105"/>
          <w:sz w:val="18"/>
        </w:rPr>
        <w:t> </w:t>
      </w:r>
      <w:r>
        <w:rPr>
          <w:rFonts w:ascii="Arial" w:hAnsi="Arial"/>
          <w:i/>
          <w:color w:val="231F20"/>
          <w:w w:val="105"/>
          <w:sz w:val="18"/>
        </w:rPr>
        <w:t>uno</w:t>
      </w:r>
      <w:r>
        <w:rPr>
          <w:rFonts w:ascii="Arial" w:hAnsi="Arial"/>
          <w:i/>
          <w:color w:val="231F20"/>
          <w:spacing w:val="-26"/>
          <w:w w:val="105"/>
          <w:sz w:val="18"/>
        </w:rPr>
        <w:t> </w:t>
      </w:r>
      <w:r>
        <w:rPr>
          <w:rFonts w:ascii="Arial" w:hAnsi="Arial"/>
          <w:i/>
          <w:color w:val="231F20"/>
          <w:w w:val="105"/>
          <w:sz w:val="18"/>
        </w:rPr>
        <w:t>está</w:t>
      </w:r>
      <w:r>
        <w:rPr>
          <w:rFonts w:ascii="Arial" w:hAnsi="Arial"/>
          <w:i/>
          <w:color w:val="231F20"/>
          <w:spacing w:val="-26"/>
          <w:w w:val="105"/>
          <w:sz w:val="18"/>
        </w:rPr>
        <w:t> </w:t>
      </w:r>
      <w:r>
        <w:rPr>
          <w:rFonts w:ascii="Arial" w:hAnsi="Arial"/>
          <w:i/>
          <w:color w:val="231F20"/>
          <w:w w:val="105"/>
          <w:sz w:val="18"/>
        </w:rPr>
        <w:t>allá</w:t>
      </w:r>
      <w:r>
        <w:rPr>
          <w:rFonts w:ascii="Arial" w:hAnsi="Arial"/>
          <w:i/>
          <w:color w:val="231F20"/>
          <w:spacing w:val="-26"/>
          <w:w w:val="105"/>
          <w:sz w:val="18"/>
        </w:rPr>
        <w:t> </w:t>
      </w:r>
      <w:r>
        <w:rPr>
          <w:rFonts w:ascii="Arial" w:hAnsi="Arial"/>
          <w:i/>
          <w:color w:val="231F20"/>
          <w:w w:val="105"/>
          <w:sz w:val="18"/>
        </w:rPr>
        <w:t>y</w:t>
      </w:r>
      <w:r>
        <w:rPr>
          <w:rFonts w:ascii="Arial" w:hAnsi="Arial"/>
          <w:i/>
          <w:color w:val="231F20"/>
          <w:spacing w:val="-26"/>
          <w:w w:val="105"/>
          <w:sz w:val="18"/>
        </w:rPr>
        <w:t> </w:t>
      </w:r>
      <w:r>
        <w:rPr>
          <w:rFonts w:ascii="Arial" w:hAnsi="Arial"/>
          <w:i/>
          <w:color w:val="231F20"/>
          <w:w w:val="105"/>
          <w:sz w:val="18"/>
        </w:rPr>
        <w:t>nomás</w:t>
      </w:r>
      <w:r>
        <w:rPr>
          <w:rFonts w:ascii="Arial" w:hAnsi="Arial"/>
          <w:i/>
          <w:color w:val="231F20"/>
          <w:spacing w:val="-26"/>
          <w:w w:val="105"/>
          <w:sz w:val="18"/>
        </w:rPr>
        <w:t> </w:t>
      </w:r>
      <w:r>
        <w:rPr>
          <w:rFonts w:ascii="Arial" w:hAnsi="Arial"/>
          <w:i/>
          <w:color w:val="231F20"/>
          <w:w w:val="105"/>
          <w:sz w:val="18"/>
        </w:rPr>
        <w:t>está pensando en eso. El trabajo allá es bueno, pero uno siempre deja de hacer</w:t>
      </w:r>
      <w:r>
        <w:rPr>
          <w:rFonts w:ascii="Arial" w:hAnsi="Arial"/>
          <w:i/>
          <w:color w:val="231F20"/>
          <w:spacing w:val="-26"/>
          <w:w w:val="105"/>
          <w:sz w:val="18"/>
        </w:rPr>
        <w:t> </w:t>
      </w:r>
      <w:r>
        <w:rPr>
          <w:rFonts w:ascii="Arial" w:hAnsi="Arial"/>
          <w:i/>
          <w:color w:val="231F20"/>
          <w:w w:val="105"/>
          <w:sz w:val="18"/>
        </w:rPr>
        <w:t>cosas</w:t>
      </w:r>
      <w:r>
        <w:rPr>
          <w:rFonts w:ascii="Arial" w:hAnsi="Arial"/>
          <w:i/>
          <w:color w:val="231F20"/>
          <w:spacing w:val="-26"/>
          <w:w w:val="105"/>
          <w:sz w:val="18"/>
        </w:rPr>
        <w:t> </w:t>
      </w:r>
      <w:r>
        <w:rPr>
          <w:rFonts w:ascii="Arial" w:hAnsi="Arial"/>
          <w:i/>
          <w:color w:val="231F20"/>
          <w:w w:val="105"/>
          <w:sz w:val="18"/>
        </w:rPr>
        <w:t>aquí</w:t>
      </w:r>
      <w:r>
        <w:rPr>
          <w:rFonts w:ascii="Arial" w:hAnsi="Arial"/>
          <w:i/>
          <w:color w:val="231F20"/>
          <w:spacing w:val="-26"/>
          <w:w w:val="105"/>
          <w:sz w:val="18"/>
        </w:rPr>
        <w:t> </w:t>
      </w:r>
      <w:r>
        <w:rPr>
          <w:rFonts w:ascii="Arial" w:hAnsi="Arial"/>
          <w:i/>
          <w:color w:val="231F20"/>
          <w:w w:val="105"/>
          <w:sz w:val="18"/>
        </w:rPr>
        <w:t>por</w:t>
      </w:r>
      <w:r>
        <w:rPr>
          <w:rFonts w:ascii="Arial" w:hAnsi="Arial"/>
          <w:i/>
          <w:color w:val="231F20"/>
          <w:spacing w:val="-26"/>
          <w:w w:val="105"/>
          <w:sz w:val="18"/>
        </w:rPr>
        <w:t> </w:t>
      </w:r>
      <w:r>
        <w:rPr>
          <w:rFonts w:ascii="Arial" w:hAnsi="Arial"/>
          <w:i/>
          <w:color w:val="231F20"/>
          <w:w w:val="105"/>
          <w:sz w:val="18"/>
        </w:rPr>
        <w:t>estar</w:t>
      </w:r>
      <w:r>
        <w:rPr>
          <w:rFonts w:ascii="Arial" w:hAnsi="Arial"/>
          <w:i/>
          <w:color w:val="231F20"/>
          <w:spacing w:val="-26"/>
          <w:w w:val="105"/>
          <w:sz w:val="18"/>
        </w:rPr>
        <w:t> </w:t>
      </w:r>
      <w:r>
        <w:rPr>
          <w:rFonts w:ascii="Arial" w:hAnsi="Arial"/>
          <w:i/>
          <w:color w:val="231F20"/>
          <w:w w:val="105"/>
          <w:sz w:val="18"/>
        </w:rPr>
        <w:t>lejos</w:t>
      </w:r>
      <w:r>
        <w:rPr>
          <w:rFonts w:ascii="Arial" w:hAnsi="Arial"/>
          <w:i/>
          <w:color w:val="231F20"/>
          <w:spacing w:val="-26"/>
          <w:w w:val="105"/>
          <w:sz w:val="18"/>
        </w:rPr>
        <w:t> </w:t>
      </w:r>
      <w:r>
        <w:rPr>
          <w:rFonts w:ascii="Arial" w:hAnsi="Arial"/>
          <w:i/>
          <w:color w:val="231F20"/>
          <w:w w:val="105"/>
          <w:sz w:val="18"/>
        </w:rPr>
        <w:t>y</w:t>
      </w:r>
      <w:r>
        <w:rPr>
          <w:rFonts w:ascii="Arial" w:hAnsi="Arial"/>
          <w:i/>
          <w:color w:val="231F20"/>
          <w:spacing w:val="-26"/>
          <w:w w:val="105"/>
          <w:sz w:val="18"/>
        </w:rPr>
        <w:t> </w:t>
      </w:r>
      <w:r>
        <w:rPr>
          <w:rFonts w:ascii="Arial" w:hAnsi="Arial"/>
          <w:i/>
          <w:color w:val="231F20"/>
          <w:w w:val="105"/>
          <w:sz w:val="18"/>
        </w:rPr>
        <w:t>siempre</w:t>
      </w:r>
      <w:r>
        <w:rPr>
          <w:rFonts w:ascii="Arial" w:hAnsi="Arial"/>
          <w:i/>
          <w:color w:val="231F20"/>
          <w:spacing w:val="-26"/>
          <w:w w:val="105"/>
          <w:sz w:val="18"/>
        </w:rPr>
        <w:t> </w:t>
      </w:r>
      <w:r>
        <w:rPr>
          <w:rFonts w:ascii="Arial" w:hAnsi="Arial"/>
          <w:i/>
          <w:color w:val="231F20"/>
          <w:w w:val="105"/>
          <w:sz w:val="18"/>
        </w:rPr>
        <w:t>estás</w:t>
      </w:r>
      <w:r>
        <w:rPr>
          <w:rFonts w:ascii="Arial" w:hAnsi="Arial"/>
          <w:i/>
          <w:color w:val="231F20"/>
          <w:spacing w:val="-26"/>
          <w:w w:val="105"/>
          <w:sz w:val="18"/>
        </w:rPr>
        <w:t> </w:t>
      </w:r>
      <w:r>
        <w:rPr>
          <w:rFonts w:ascii="Arial" w:hAnsi="Arial"/>
          <w:i/>
          <w:color w:val="231F20"/>
          <w:w w:val="105"/>
          <w:sz w:val="18"/>
        </w:rPr>
        <w:t>pensando</w:t>
      </w:r>
      <w:r>
        <w:rPr>
          <w:rFonts w:ascii="Arial" w:hAnsi="Arial"/>
          <w:i/>
          <w:color w:val="231F20"/>
          <w:spacing w:val="-26"/>
          <w:w w:val="105"/>
          <w:sz w:val="18"/>
        </w:rPr>
        <w:t> </w:t>
      </w:r>
      <w:r>
        <w:rPr>
          <w:rFonts w:ascii="Arial" w:hAnsi="Arial"/>
          <w:i/>
          <w:color w:val="231F20"/>
          <w:w w:val="105"/>
          <w:sz w:val="18"/>
        </w:rPr>
        <w:t>en</w:t>
      </w:r>
      <w:r>
        <w:rPr>
          <w:rFonts w:ascii="Arial" w:hAnsi="Arial"/>
          <w:i/>
          <w:color w:val="231F20"/>
          <w:spacing w:val="-26"/>
          <w:w w:val="105"/>
          <w:sz w:val="18"/>
        </w:rPr>
        <w:t> </w:t>
      </w:r>
      <w:r>
        <w:rPr>
          <w:rFonts w:ascii="Arial" w:hAnsi="Arial"/>
          <w:i/>
          <w:color w:val="231F20"/>
          <w:w w:val="105"/>
          <w:sz w:val="18"/>
        </w:rPr>
        <w:t>eso.</w:t>
      </w:r>
    </w:p>
    <w:p>
      <w:pPr>
        <w:spacing w:line="249" w:lineRule="auto" w:before="114"/>
        <w:ind w:left="2815" w:right="1814" w:firstLine="0"/>
        <w:jc w:val="both"/>
        <w:rPr>
          <w:rFonts w:ascii="Arial" w:hAnsi="Arial"/>
          <w:i/>
          <w:sz w:val="18"/>
        </w:rPr>
      </w:pPr>
      <w:r>
        <w:rPr>
          <w:rFonts w:ascii="Arial" w:hAnsi="Arial"/>
          <w:i/>
          <w:color w:val="231F20"/>
          <w:w w:val="105"/>
          <w:sz w:val="18"/>
        </w:rPr>
        <w:t>Las</w:t>
      </w:r>
      <w:r>
        <w:rPr>
          <w:rFonts w:ascii="Arial" w:hAnsi="Arial"/>
          <w:i/>
          <w:color w:val="231F20"/>
          <w:spacing w:val="-10"/>
          <w:w w:val="105"/>
          <w:sz w:val="18"/>
        </w:rPr>
        <w:t> </w:t>
      </w:r>
      <w:r>
        <w:rPr>
          <w:rFonts w:ascii="Arial" w:hAnsi="Arial"/>
          <w:i/>
          <w:color w:val="231F20"/>
          <w:w w:val="105"/>
          <w:sz w:val="18"/>
        </w:rPr>
        <w:t>primeras</w:t>
      </w:r>
      <w:r>
        <w:rPr>
          <w:rFonts w:ascii="Arial" w:hAnsi="Arial"/>
          <w:i/>
          <w:color w:val="231F20"/>
          <w:spacing w:val="-10"/>
          <w:w w:val="105"/>
          <w:sz w:val="18"/>
        </w:rPr>
        <w:t> </w:t>
      </w:r>
      <w:r>
        <w:rPr>
          <w:rFonts w:ascii="Arial" w:hAnsi="Arial"/>
          <w:i/>
          <w:color w:val="231F20"/>
          <w:w w:val="105"/>
          <w:sz w:val="18"/>
        </w:rPr>
        <w:t>veces</w:t>
      </w:r>
      <w:r>
        <w:rPr>
          <w:rFonts w:ascii="Arial" w:hAnsi="Arial"/>
          <w:i/>
          <w:color w:val="231F20"/>
          <w:spacing w:val="-10"/>
          <w:w w:val="105"/>
          <w:sz w:val="18"/>
        </w:rPr>
        <w:t> </w:t>
      </w:r>
      <w:r>
        <w:rPr>
          <w:rFonts w:ascii="Arial" w:hAnsi="Arial"/>
          <w:i/>
          <w:color w:val="231F20"/>
          <w:w w:val="105"/>
          <w:sz w:val="18"/>
        </w:rPr>
        <w:t>que</w:t>
      </w:r>
      <w:r>
        <w:rPr>
          <w:rFonts w:ascii="Arial" w:hAnsi="Arial"/>
          <w:i/>
          <w:color w:val="231F20"/>
          <w:spacing w:val="-10"/>
          <w:w w:val="105"/>
          <w:sz w:val="18"/>
        </w:rPr>
        <w:t> </w:t>
      </w:r>
      <w:r>
        <w:rPr>
          <w:rFonts w:ascii="Arial" w:hAnsi="Arial"/>
          <w:i/>
          <w:color w:val="231F20"/>
          <w:w w:val="105"/>
          <w:sz w:val="18"/>
        </w:rPr>
        <w:t>me</w:t>
      </w:r>
      <w:r>
        <w:rPr>
          <w:rFonts w:ascii="Arial" w:hAnsi="Arial"/>
          <w:i/>
          <w:color w:val="231F20"/>
          <w:spacing w:val="-10"/>
          <w:w w:val="105"/>
          <w:sz w:val="18"/>
        </w:rPr>
        <w:t> </w:t>
      </w:r>
      <w:r>
        <w:rPr>
          <w:rFonts w:ascii="Arial" w:hAnsi="Arial"/>
          <w:i/>
          <w:color w:val="231F20"/>
          <w:w w:val="105"/>
          <w:sz w:val="18"/>
        </w:rPr>
        <w:t>fui</w:t>
      </w:r>
      <w:r>
        <w:rPr>
          <w:rFonts w:ascii="Arial" w:hAnsi="Arial"/>
          <w:i/>
          <w:color w:val="231F20"/>
          <w:spacing w:val="-10"/>
          <w:w w:val="105"/>
          <w:sz w:val="18"/>
        </w:rPr>
        <w:t> </w:t>
      </w:r>
      <w:r>
        <w:rPr>
          <w:rFonts w:ascii="Arial" w:hAnsi="Arial"/>
          <w:i/>
          <w:color w:val="231F20"/>
          <w:w w:val="105"/>
          <w:sz w:val="18"/>
        </w:rPr>
        <w:t>como</w:t>
      </w:r>
      <w:r>
        <w:rPr>
          <w:rFonts w:ascii="Arial" w:hAnsi="Arial"/>
          <w:i/>
          <w:color w:val="231F20"/>
          <w:spacing w:val="-10"/>
          <w:w w:val="105"/>
          <w:sz w:val="18"/>
        </w:rPr>
        <w:t> </w:t>
      </w:r>
      <w:r>
        <w:rPr>
          <w:rFonts w:ascii="Arial" w:hAnsi="Arial"/>
          <w:i/>
          <w:color w:val="231F20"/>
          <w:w w:val="105"/>
          <w:sz w:val="18"/>
        </w:rPr>
        <w:t>bracero,</w:t>
      </w:r>
      <w:r>
        <w:rPr>
          <w:rFonts w:ascii="Arial" w:hAnsi="Arial"/>
          <w:i/>
          <w:color w:val="231F20"/>
          <w:spacing w:val="-14"/>
          <w:w w:val="105"/>
          <w:sz w:val="18"/>
        </w:rPr>
        <w:t> </w:t>
      </w:r>
      <w:r>
        <w:rPr>
          <w:rFonts w:ascii="Arial" w:hAnsi="Arial"/>
          <w:i/>
          <w:color w:val="231F20"/>
          <w:w w:val="105"/>
          <w:sz w:val="18"/>
        </w:rPr>
        <w:t>acá</w:t>
      </w:r>
      <w:r>
        <w:rPr>
          <w:rFonts w:ascii="Arial" w:hAnsi="Arial"/>
          <w:i/>
          <w:color w:val="231F20"/>
          <w:spacing w:val="-10"/>
          <w:w w:val="105"/>
          <w:sz w:val="18"/>
        </w:rPr>
        <w:t> </w:t>
      </w:r>
      <w:r>
        <w:rPr>
          <w:rFonts w:ascii="Arial" w:hAnsi="Arial"/>
          <w:i/>
          <w:color w:val="231F20"/>
          <w:w w:val="105"/>
          <w:sz w:val="18"/>
        </w:rPr>
        <w:t>tenía</w:t>
      </w:r>
      <w:r>
        <w:rPr>
          <w:rFonts w:ascii="Arial" w:hAnsi="Arial"/>
          <w:i/>
          <w:color w:val="231F20"/>
          <w:spacing w:val="-10"/>
          <w:w w:val="105"/>
          <w:sz w:val="18"/>
        </w:rPr>
        <w:t> </w:t>
      </w:r>
      <w:r>
        <w:rPr>
          <w:rFonts w:ascii="Arial" w:hAnsi="Arial"/>
          <w:i/>
          <w:color w:val="231F20"/>
          <w:w w:val="105"/>
          <w:sz w:val="18"/>
        </w:rPr>
        <w:t>tierras</w:t>
      </w:r>
      <w:r>
        <w:rPr>
          <w:rFonts w:ascii="Arial" w:hAnsi="Arial"/>
          <w:i/>
          <w:color w:val="231F20"/>
          <w:spacing w:val="-10"/>
          <w:w w:val="105"/>
          <w:sz w:val="18"/>
        </w:rPr>
        <w:t> </w:t>
      </w:r>
      <w:r>
        <w:rPr>
          <w:rFonts w:ascii="Arial" w:hAnsi="Arial"/>
          <w:i/>
          <w:color w:val="231F20"/>
          <w:w w:val="105"/>
          <w:sz w:val="18"/>
        </w:rPr>
        <w:t>de</w:t>
      </w:r>
      <w:r>
        <w:rPr>
          <w:rFonts w:ascii="Arial" w:hAnsi="Arial"/>
          <w:i/>
          <w:color w:val="231F20"/>
          <w:spacing w:val="-10"/>
          <w:w w:val="105"/>
          <w:sz w:val="18"/>
        </w:rPr>
        <w:t> </w:t>
      </w:r>
      <w:r>
        <w:rPr>
          <w:rFonts w:ascii="Arial" w:hAnsi="Arial"/>
          <w:i/>
          <w:color w:val="231F20"/>
          <w:w w:val="105"/>
          <w:sz w:val="18"/>
        </w:rPr>
        <w:t>culti- </w:t>
      </w:r>
      <w:r>
        <w:rPr>
          <w:rFonts w:ascii="Arial" w:hAnsi="Arial"/>
          <w:i/>
          <w:color w:val="231F20"/>
          <w:w w:val="105"/>
          <w:sz w:val="18"/>
        </w:rPr>
        <w:t>vo</w:t>
      </w:r>
      <w:r>
        <w:rPr>
          <w:rFonts w:ascii="Arial" w:hAnsi="Arial"/>
          <w:i/>
          <w:color w:val="231F20"/>
          <w:spacing w:val="-15"/>
          <w:w w:val="105"/>
          <w:sz w:val="18"/>
        </w:rPr>
        <w:t> </w:t>
      </w:r>
      <w:r>
        <w:rPr>
          <w:rFonts w:ascii="Arial" w:hAnsi="Arial"/>
          <w:i/>
          <w:color w:val="231F20"/>
          <w:w w:val="105"/>
          <w:sz w:val="18"/>
        </w:rPr>
        <w:t>y</w:t>
      </w:r>
      <w:r>
        <w:rPr>
          <w:rFonts w:ascii="Arial" w:hAnsi="Arial"/>
          <w:i/>
          <w:color w:val="231F20"/>
          <w:spacing w:val="-15"/>
          <w:w w:val="105"/>
          <w:sz w:val="18"/>
        </w:rPr>
        <w:t> </w:t>
      </w:r>
      <w:r>
        <w:rPr>
          <w:rFonts w:ascii="Arial" w:hAnsi="Arial"/>
          <w:i/>
          <w:color w:val="231F20"/>
          <w:w w:val="105"/>
          <w:sz w:val="18"/>
        </w:rPr>
        <w:t>animales;</w:t>
      </w:r>
      <w:r>
        <w:rPr>
          <w:rFonts w:ascii="Arial" w:hAnsi="Arial"/>
          <w:i/>
          <w:color w:val="231F20"/>
          <w:spacing w:val="-15"/>
          <w:w w:val="105"/>
          <w:sz w:val="18"/>
        </w:rPr>
        <w:t> </w:t>
      </w:r>
      <w:r>
        <w:rPr>
          <w:rFonts w:ascii="Arial" w:hAnsi="Arial"/>
          <w:i/>
          <w:color w:val="231F20"/>
          <w:w w:val="105"/>
          <w:sz w:val="18"/>
        </w:rPr>
        <w:t>pero</w:t>
      </w:r>
      <w:r>
        <w:rPr>
          <w:rFonts w:ascii="Arial" w:hAnsi="Arial"/>
          <w:i/>
          <w:color w:val="231F20"/>
          <w:spacing w:val="-15"/>
          <w:w w:val="105"/>
          <w:sz w:val="18"/>
        </w:rPr>
        <w:t> </w:t>
      </w:r>
      <w:r>
        <w:rPr>
          <w:rFonts w:ascii="Arial" w:hAnsi="Arial"/>
          <w:i/>
          <w:color w:val="231F20"/>
          <w:w w:val="105"/>
          <w:sz w:val="18"/>
        </w:rPr>
        <w:t>cuando</w:t>
      </w:r>
      <w:r>
        <w:rPr>
          <w:rFonts w:ascii="Arial" w:hAnsi="Arial"/>
          <w:i/>
          <w:color w:val="231F20"/>
          <w:spacing w:val="-15"/>
          <w:w w:val="105"/>
          <w:sz w:val="18"/>
        </w:rPr>
        <w:t> </w:t>
      </w:r>
      <w:r>
        <w:rPr>
          <w:rFonts w:ascii="Arial" w:hAnsi="Arial"/>
          <w:i/>
          <w:color w:val="231F20"/>
          <w:w w:val="105"/>
          <w:sz w:val="18"/>
        </w:rPr>
        <w:t>regresaba</w:t>
      </w:r>
      <w:r>
        <w:rPr>
          <w:rFonts w:ascii="Arial" w:hAnsi="Arial"/>
          <w:i/>
          <w:color w:val="231F20"/>
          <w:spacing w:val="-15"/>
          <w:w w:val="105"/>
          <w:sz w:val="18"/>
        </w:rPr>
        <w:t> </w:t>
      </w:r>
      <w:r>
        <w:rPr>
          <w:rFonts w:ascii="Arial" w:hAnsi="Arial"/>
          <w:i/>
          <w:color w:val="231F20"/>
          <w:w w:val="105"/>
          <w:sz w:val="18"/>
        </w:rPr>
        <w:t>siempre</w:t>
      </w:r>
      <w:r>
        <w:rPr>
          <w:rFonts w:ascii="Arial" w:hAnsi="Arial"/>
          <w:i/>
          <w:color w:val="231F20"/>
          <w:spacing w:val="-15"/>
          <w:w w:val="105"/>
          <w:sz w:val="18"/>
        </w:rPr>
        <w:t> </w:t>
      </w:r>
      <w:r>
        <w:rPr>
          <w:rFonts w:ascii="Arial" w:hAnsi="Arial"/>
          <w:i/>
          <w:color w:val="231F20"/>
          <w:w w:val="105"/>
          <w:sz w:val="18"/>
        </w:rPr>
        <w:t>me</w:t>
      </w:r>
      <w:r>
        <w:rPr>
          <w:rFonts w:ascii="Arial" w:hAnsi="Arial"/>
          <w:i/>
          <w:color w:val="231F20"/>
          <w:spacing w:val="-15"/>
          <w:w w:val="105"/>
          <w:sz w:val="18"/>
        </w:rPr>
        <w:t> </w:t>
      </w:r>
      <w:r>
        <w:rPr>
          <w:rFonts w:ascii="Arial" w:hAnsi="Arial"/>
          <w:i/>
          <w:color w:val="231F20"/>
          <w:w w:val="105"/>
          <w:sz w:val="18"/>
        </w:rPr>
        <w:t>encontraba</w:t>
      </w:r>
      <w:r>
        <w:rPr>
          <w:rFonts w:ascii="Arial" w:hAnsi="Arial"/>
          <w:i/>
          <w:color w:val="231F20"/>
          <w:spacing w:val="-15"/>
          <w:w w:val="105"/>
          <w:sz w:val="18"/>
        </w:rPr>
        <w:t> </w:t>
      </w:r>
      <w:r>
        <w:rPr>
          <w:rFonts w:ascii="Arial" w:hAnsi="Arial"/>
          <w:i/>
          <w:color w:val="231F20"/>
          <w:w w:val="105"/>
          <w:sz w:val="18"/>
        </w:rPr>
        <w:t>con</w:t>
      </w:r>
      <w:r>
        <w:rPr>
          <w:rFonts w:ascii="Arial" w:hAnsi="Arial"/>
          <w:i/>
          <w:color w:val="231F20"/>
          <w:spacing w:val="-15"/>
          <w:w w:val="105"/>
          <w:sz w:val="18"/>
        </w:rPr>
        <w:t> </w:t>
      </w:r>
      <w:r>
        <w:rPr>
          <w:rFonts w:ascii="Arial" w:hAnsi="Arial"/>
          <w:i/>
          <w:color w:val="231F20"/>
          <w:w w:val="105"/>
          <w:sz w:val="18"/>
        </w:rPr>
        <w:t>que faltaba algo, o ya no estaban uno o dos animales, y por eso opté por venderlos.</w:t>
      </w:r>
      <w:r>
        <w:rPr>
          <w:rFonts w:ascii="Arial" w:hAnsi="Arial"/>
          <w:i/>
          <w:color w:val="231F20"/>
          <w:spacing w:val="-16"/>
          <w:w w:val="105"/>
          <w:sz w:val="18"/>
        </w:rPr>
        <w:t> </w:t>
      </w:r>
      <w:r>
        <w:rPr>
          <w:rFonts w:ascii="Arial" w:hAnsi="Arial"/>
          <w:i/>
          <w:color w:val="231F20"/>
          <w:w w:val="105"/>
          <w:sz w:val="18"/>
        </w:rPr>
        <w:t>Llegué</w:t>
      </w:r>
      <w:r>
        <w:rPr>
          <w:rFonts w:ascii="Arial" w:hAnsi="Arial"/>
          <w:i/>
          <w:color w:val="231F20"/>
          <w:spacing w:val="-13"/>
          <w:w w:val="105"/>
          <w:sz w:val="18"/>
        </w:rPr>
        <w:t> </w:t>
      </w:r>
      <w:r>
        <w:rPr>
          <w:rFonts w:ascii="Arial" w:hAnsi="Arial"/>
          <w:i/>
          <w:color w:val="231F20"/>
          <w:w w:val="105"/>
          <w:sz w:val="18"/>
        </w:rPr>
        <w:t>a</w:t>
      </w:r>
      <w:r>
        <w:rPr>
          <w:rFonts w:ascii="Arial" w:hAnsi="Arial"/>
          <w:i/>
          <w:color w:val="231F20"/>
          <w:spacing w:val="-13"/>
          <w:w w:val="105"/>
          <w:sz w:val="18"/>
        </w:rPr>
        <w:t> </w:t>
      </w:r>
      <w:r>
        <w:rPr>
          <w:rFonts w:ascii="Arial" w:hAnsi="Arial"/>
          <w:i/>
          <w:color w:val="231F20"/>
          <w:w w:val="105"/>
          <w:sz w:val="18"/>
        </w:rPr>
        <w:t>tener</w:t>
      </w:r>
      <w:r>
        <w:rPr>
          <w:rFonts w:ascii="Arial" w:hAnsi="Arial"/>
          <w:i/>
          <w:color w:val="231F20"/>
          <w:spacing w:val="-13"/>
          <w:w w:val="105"/>
          <w:sz w:val="18"/>
        </w:rPr>
        <w:t> </w:t>
      </w:r>
      <w:r>
        <w:rPr>
          <w:rFonts w:ascii="Arial" w:hAnsi="Arial"/>
          <w:i/>
          <w:color w:val="231F20"/>
          <w:w w:val="105"/>
          <w:sz w:val="18"/>
        </w:rPr>
        <w:t>caballos,</w:t>
      </w:r>
      <w:r>
        <w:rPr>
          <w:rFonts w:ascii="Arial" w:hAnsi="Arial"/>
          <w:i/>
          <w:color w:val="231F20"/>
          <w:spacing w:val="-16"/>
          <w:w w:val="105"/>
          <w:sz w:val="18"/>
        </w:rPr>
        <w:t> </w:t>
      </w:r>
      <w:r>
        <w:rPr>
          <w:rFonts w:ascii="Arial" w:hAnsi="Arial"/>
          <w:i/>
          <w:color w:val="231F20"/>
          <w:w w:val="105"/>
          <w:sz w:val="18"/>
        </w:rPr>
        <w:t>vacas</w:t>
      </w:r>
      <w:r>
        <w:rPr>
          <w:rFonts w:ascii="Arial" w:hAnsi="Arial"/>
          <w:i/>
          <w:color w:val="231F20"/>
          <w:spacing w:val="-13"/>
          <w:w w:val="105"/>
          <w:sz w:val="18"/>
        </w:rPr>
        <w:t> </w:t>
      </w:r>
      <w:r>
        <w:rPr>
          <w:rFonts w:ascii="Arial" w:hAnsi="Arial"/>
          <w:i/>
          <w:color w:val="231F20"/>
          <w:w w:val="105"/>
          <w:sz w:val="18"/>
        </w:rPr>
        <w:t>y</w:t>
      </w:r>
      <w:r>
        <w:rPr>
          <w:rFonts w:ascii="Arial" w:hAnsi="Arial"/>
          <w:i/>
          <w:color w:val="231F20"/>
          <w:spacing w:val="-13"/>
          <w:w w:val="105"/>
          <w:sz w:val="18"/>
        </w:rPr>
        <w:t> </w:t>
      </w:r>
      <w:r>
        <w:rPr>
          <w:rFonts w:ascii="Arial" w:hAnsi="Arial"/>
          <w:i/>
          <w:color w:val="231F20"/>
          <w:w w:val="105"/>
          <w:sz w:val="18"/>
        </w:rPr>
        <w:t>yuntas</w:t>
      </w:r>
      <w:r>
        <w:rPr>
          <w:rFonts w:ascii="Arial" w:hAnsi="Arial"/>
          <w:i/>
          <w:color w:val="231F20"/>
          <w:spacing w:val="-13"/>
          <w:w w:val="105"/>
          <w:sz w:val="18"/>
        </w:rPr>
        <w:t> </w:t>
      </w:r>
      <w:r>
        <w:rPr>
          <w:rFonts w:ascii="Arial" w:hAnsi="Arial"/>
          <w:i/>
          <w:color w:val="231F20"/>
          <w:w w:val="105"/>
          <w:sz w:val="18"/>
        </w:rPr>
        <w:t>de</w:t>
      </w:r>
      <w:r>
        <w:rPr>
          <w:rFonts w:ascii="Arial" w:hAnsi="Arial"/>
          <w:i/>
          <w:color w:val="231F20"/>
          <w:spacing w:val="-13"/>
          <w:w w:val="105"/>
          <w:sz w:val="18"/>
        </w:rPr>
        <w:t> </w:t>
      </w:r>
      <w:r>
        <w:rPr>
          <w:rFonts w:ascii="Arial" w:hAnsi="Arial"/>
          <w:i/>
          <w:color w:val="231F20"/>
          <w:w w:val="105"/>
          <w:sz w:val="18"/>
        </w:rPr>
        <w:t>bueyes.</w:t>
      </w:r>
      <w:r>
        <w:rPr>
          <w:rFonts w:ascii="Arial" w:hAnsi="Arial"/>
          <w:i/>
          <w:color w:val="231F20"/>
          <w:spacing w:val="-16"/>
          <w:w w:val="105"/>
          <w:sz w:val="18"/>
        </w:rPr>
        <w:t> </w:t>
      </w:r>
      <w:r>
        <w:rPr>
          <w:rFonts w:ascii="Arial" w:hAnsi="Arial"/>
          <w:i/>
          <w:color w:val="231F20"/>
          <w:spacing w:val="-4"/>
          <w:w w:val="105"/>
          <w:sz w:val="18"/>
        </w:rPr>
        <w:t>Pero</w:t>
      </w:r>
      <w:r>
        <w:rPr>
          <w:rFonts w:ascii="Arial" w:hAnsi="Arial"/>
          <w:i/>
          <w:color w:val="231F20"/>
          <w:spacing w:val="-13"/>
          <w:w w:val="105"/>
          <w:sz w:val="18"/>
        </w:rPr>
        <w:t> </w:t>
      </w:r>
      <w:r>
        <w:rPr>
          <w:rFonts w:ascii="Arial" w:hAnsi="Arial"/>
          <w:i/>
          <w:color w:val="231F20"/>
          <w:w w:val="105"/>
          <w:sz w:val="18"/>
        </w:rPr>
        <w:t>tra- bajando</w:t>
      </w:r>
      <w:r>
        <w:rPr>
          <w:rFonts w:ascii="Arial" w:hAnsi="Arial"/>
          <w:i/>
          <w:color w:val="231F20"/>
          <w:spacing w:val="-19"/>
          <w:w w:val="105"/>
          <w:sz w:val="18"/>
        </w:rPr>
        <w:t> </w:t>
      </w:r>
      <w:r>
        <w:rPr>
          <w:rFonts w:ascii="Arial" w:hAnsi="Arial"/>
          <w:i/>
          <w:color w:val="231F20"/>
          <w:w w:val="105"/>
          <w:sz w:val="18"/>
        </w:rPr>
        <w:t>lejos</w:t>
      </w:r>
      <w:r>
        <w:rPr>
          <w:rFonts w:ascii="Arial" w:hAnsi="Arial"/>
          <w:i/>
          <w:color w:val="231F20"/>
          <w:spacing w:val="-19"/>
          <w:w w:val="105"/>
          <w:sz w:val="18"/>
        </w:rPr>
        <w:t> </w:t>
      </w:r>
      <w:r>
        <w:rPr>
          <w:rFonts w:ascii="Arial" w:hAnsi="Arial"/>
          <w:i/>
          <w:color w:val="231F20"/>
          <w:w w:val="105"/>
          <w:sz w:val="18"/>
        </w:rPr>
        <w:t>no</w:t>
      </w:r>
      <w:r>
        <w:rPr>
          <w:rFonts w:ascii="Arial" w:hAnsi="Arial"/>
          <w:i/>
          <w:color w:val="231F20"/>
          <w:spacing w:val="-19"/>
          <w:w w:val="105"/>
          <w:sz w:val="18"/>
        </w:rPr>
        <w:t> </w:t>
      </w:r>
      <w:r>
        <w:rPr>
          <w:rFonts w:ascii="Arial" w:hAnsi="Arial"/>
          <w:i/>
          <w:color w:val="231F20"/>
          <w:w w:val="105"/>
          <w:sz w:val="18"/>
        </w:rPr>
        <w:t>puedes</w:t>
      </w:r>
      <w:r>
        <w:rPr>
          <w:rFonts w:ascii="Arial" w:hAnsi="Arial"/>
          <w:i/>
          <w:color w:val="231F20"/>
          <w:spacing w:val="-19"/>
          <w:w w:val="105"/>
          <w:sz w:val="18"/>
        </w:rPr>
        <w:t> </w:t>
      </w:r>
      <w:r>
        <w:rPr>
          <w:rFonts w:ascii="Arial" w:hAnsi="Arial"/>
          <w:i/>
          <w:color w:val="231F20"/>
          <w:w w:val="105"/>
          <w:sz w:val="18"/>
        </w:rPr>
        <w:t>estar</w:t>
      </w:r>
      <w:r>
        <w:rPr>
          <w:rFonts w:ascii="Arial" w:hAnsi="Arial"/>
          <w:i/>
          <w:color w:val="231F20"/>
          <w:spacing w:val="-19"/>
          <w:w w:val="105"/>
          <w:sz w:val="18"/>
        </w:rPr>
        <w:t> </w:t>
      </w:r>
      <w:r>
        <w:rPr>
          <w:rFonts w:ascii="Arial" w:hAnsi="Arial"/>
          <w:i/>
          <w:color w:val="231F20"/>
          <w:w w:val="105"/>
          <w:sz w:val="18"/>
        </w:rPr>
        <w:t>al</w:t>
      </w:r>
      <w:r>
        <w:rPr>
          <w:rFonts w:ascii="Arial" w:hAnsi="Arial"/>
          <w:i/>
          <w:color w:val="231F20"/>
          <w:spacing w:val="-19"/>
          <w:w w:val="105"/>
          <w:sz w:val="18"/>
        </w:rPr>
        <w:t> </w:t>
      </w:r>
      <w:r>
        <w:rPr>
          <w:rFonts w:ascii="Arial" w:hAnsi="Arial"/>
          <w:i/>
          <w:color w:val="231F20"/>
          <w:w w:val="105"/>
          <w:sz w:val="18"/>
        </w:rPr>
        <w:t>pendiente</w:t>
      </w:r>
      <w:r>
        <w:rPr>
          <w:rFonts w:ascii="Arial" w:hAnsi="Arial"/>
          <w:i/>
          <w:color w:val="231F20"/>
          <w:spacing w:val="-19"/>
          <w:w w:val="105"/>
          <w:sz w:val="18"/>
        </w:rPr>
        <w:t> </w:t>
      </w:r>
      <w:r>
        <w:rPr>
          <w:rFonts w:ascii="Arial" w:hAnsi="Arial"/>
          <w:i/>
          <w:color w:val="231F20"/>
          <w:w w:val="105"/>
          <w:sz w:val="18"/>
        </w:rPr>
        <w:t>de</w:t>
      </w:r>
      <w:r>
        <w:rPr>
          <w:rFonts w:ascii="Arial" w:hAnsi="Arial"/>
          <w:i/>
          <w:color w:val="231F20"/>
          <w:spacing w:val="-19"/>
          <w:w w:val="105"/>
          <w:sz w:val="18"/>
        </w:rPr>
        <w:t> </w:t>
      </w:r>
      <w:r>
        <w:rPr>
          <w:rFonts w:ascii="Arial" w:hAnsi="Arial"/>
          <w:i/>
          <w:color w:val="231F20"/>
          <w:w w:val="105"/>
          <w:sz w:val="18"/>
        </w:rPr>
        <w:t>todo</w:t>
      </w:r>
      <w:r>
        <w:rPr>
          <w:rFonts w:ascii="Arial" w:hAnsi="Arial"/>
          <w:i/>
          <w:color w:val="231F20"/>
          <w:spacing w:val="-19"/>
          <w:w w:val="105"/>
          <w:sz w:val="18"/>
        </w:rPr>
        <w:t> </w:t>
      </w:r>
      <w:r>
        <w:rPr>
          <w:rFonts w:ascii="Arial" w:hAnsi="Arial"/>
          <w:i/>
          <w:color w:val="231F20"/>
          <w:w w:val="105"/>
          <w:sz w:val="18"/>
        </w:rPr>
        <w:t>y</w:t>
      </w:r>
      <w:r>
        <w:rPr>
          <w:rFonts w:ascii="Arial" w:hAnsi="Arial"/>
          <w:i/>
          <w:color w:val="231F20"/>
          <w:spacing w:val="-19"/>
          <w:w w:val="105"/>
          <w:sz w:val="18"/>
        </w:rPr>
        <w:t> </w:t>
      </w:r>
      <w:r>
        <w:rPr>
          <w:rFonts w:ascii="Arial" w:hAnsi="Arial"/>
          <w:i/>
          <w:color w:val="231F20"/>
          <w:w w:val="105"/>
          <w:sz w:val="18"/>
        </w:rPr>
        <w:t>siempre</w:t>
      </w:r>
      <w:r>
        <w:rPr>
          <w:rFonts w:ascii="Arial" w:hAnsi="Arial"/>
          <w:i/>
          <w:color w:val="231F20"/>
          <w:spacing w:val="-19"/>
          <w:w w:val="105"/>
          <w:sz w:val="18"/>
        </w:rPr>
        <w:t> </w:t>
      </w:r>
      <w:r>
        <w:rPr>
          <w:rFonts w:ascii="Arial" w:hAnsi="Arial"/>
          <w:i/>
          <w:color w:val="231F20"/>
          <w:w w:val="105"/>
          <w:sz w:val="18"/>
        </w:rPr>
        <w:t>hay</w:t>
      </w:r>
      <w:r>
        <w:rPr>
          <w:rFonts w:ascii="Arial" w:hAnsi="Arial"/>
          <w:i/>
          <w:color w:val="231F20"/>
          <w:spacing w:val="-19"/>
          <w:w w:val="105"/>
          <w:sz w:val="18"/>
        </w:rPr>
        <w:t> </w:t>
      </w:r>
      <w:r>
        <w:rPr>
          <w:rFonts w:ascii="Arial" w:hAnsi="Arial"/>
          <w:i/>
          <w:color w:val="231F20"/>
          <w:w w:val="105"/>
          <w:sz w:val="18"/>
        </w:rPr>
        <w:t>fallas.</w:t>
      </w:r>
    </w:p>
    <w:p>
      <w:pPr>
        <w:pStyle w:val="BodyText"/>
        <w:rPr>
          <w:rFonts w:ascii="Arial"/>
          <w:i/>
          <w:sz w:val="20"/>
        </w:rPr>
      </w:pPr>
    </w:p>
    <w:p>
      <w:pPr>
        <w:pStyle w:val="BodyText"/>
        <w:rPr>
          <w:rFonts w:ascii="Arial"/>
          <w:i/>
          <w:sz w:val="20"/>
        </w:rPr>
      </w:pPr>
    </w:p>
    <w:p>
      <w:pPr>
        <w:pStyle w:val="BodyText"/>
        <w:spacing w:before="3"/>
        <w:rPr>
          <w:rFonts w:ascii="Arial"/>
          <w:i/>
          <w:sz w:val="20"/>
        </w:rPr>
      </w:pPr>
    </w:p>
    <w:p>
      <w:pPr>
        <w:tabs>
          <w:tab w:pos="2937" w:val="left" w:leader="none"/>
        </w:tabs>
        <w:spacing w:before="1"/>
        <w:ind w:left="1832" w:right="0" w:firstLine="0"/>
        <w:jc w:val="left"/>
        <w:rPr>
          <w:rFonts w:ascii="Calibri"/>
          <w:sz w:val="8"/>
        </w:rPr>
      </w:pPr>
      <w:r>
        <w:rPr/>
        <w:pict>
          <v:line style="position:absolute;mso-position-horizontal-relative:page;mso-position-vertical-relative:paragraph;z-index:-444904" from="131.551193pt,.253715pt" to="131.551193pt,36.056114pt" stroked="true" strokeweight=".35pt" strokecolor="#231f20">
            <w10:wrap type="none"/>
          </v:line>
        </w:pict>
      </w:r>
      <w:r>
        <w:rPr/>
        <w:pict>
          <v:line style="position:absolute;mso-position-horizontal-relative:page;mso-position-vertical-relative:paragraph;z-index:-444832" from="15pt,36.055916pt" to="0pt,36.055916pt" stroked="true" strokeweight=".25pt" strokecolor="#000000">
            <w10:wrap type="none"/>
          </v:line>
        </w:pict>
      </w:r>
      <w:r>
        <w:rPr/>
        <w:pict>
          <v:line style="position:absolute;mso-position-horizontal-relative:page;mso-position-vertical-relative:paragraph;z-index:45376" from="508.890015pt,36.055916pt" to="523.890015pt,36.055916pt" stroked="true" strokeweight=".25pt" strokecolor="#000000">
            <w10:wrap type="none"/>
          </v:line>
        </w:pict>
      </w:r>
      <w:r>
        <w:rPr>
          <w:rFonts w:ascii="Arial"/>
          <w:color w:val="414042"/>
          <w:position w:val="-5"/>
          <w:sz w:val="20"/>
        </w:rPr>
        <w:t>388</w:t>
        <w:tab/>
      </w:r>
      <w:r>
        <w:rPr>
          <w:rFonts w:ascii="Calibri"/>
          <w:color w:val="6D6E71"/>
          <w:sz w:val="15"/>
        </w:rPr>
        <w:t>Alejandro  Zarur Osorio</w:t>
      </w:r>
      <w:r>
        <w:rPr>
          <w:rFonts w:ascii="Calibri"/>
          <w:color w:val="6D6E71"/>
          <w:position w:val="5"/>
          <w:sz w:val="8"/>
        </w:rPr>
        <w:t>1</w:t>
      </w:r>
    </w:p>
    <w:p>
      <w:pPr>
        <w:spacing w:after="0"/>
        <w:jc w:val="left"/>
        <w:rPr>
          <w:rFonts w:ascii="Calibri"/>
          <w:sz w:val="8"/>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2023" w:right="0" w:firstLine="0"/>
        <w:jc w:val="left"/>
        <w:rPr>
          <w:rFonts w:ascii="Arial"/>
          <w:sz w:val="20"/>
        </w:rPr>
      </w:pPr>
      <w:r>
        <w:rPr/>
        <w:pict>
          <v:line style="position:absolute;mso-position-horizontal-relative:page;mso-position-vertical-relative:paragraph;z-index:-444784" from="405.061005pt,-18.554295pt" to="405.061005pt,16.311579pt" stroked="true" strokeweight=".35pt" strokecolor="#231f20">
            <w10:wrap type="none"/>
          </v:line>
        </w:pict>
      </w:r>
      <w:r>
        <w:rPr/>
        <w:pict>
          <v:line style="position:absolute;mso-position-horizontal-relative:page;mso-position-vertical-relative:paragraph;z-index:45424" from="15pt,-18.554522pt" to="0pt,-18.554522pt" stroked="true" strokeweight=".25pt" strokecolor="#000000">
            <w10:wrap type="none"/>
          </v:line>
        </w:pict>
      </w:r>
      <w:r>
        <w:rPr/>
        <w:pict>
          <v:line style="position:absolute;mso-position-horizontal-relative:page;mso-position-vertical-relative:paragraph;z-index:45448" from="508.890015pt,-18.554522pt" to="523.890015pt,-18.554522pt" stroked="true" strokeweight=".25pt" strokecolor="#000000">
            <w10:wrap type="none"/>
          </v:line>
        </w:pict>
      </w:r>
      <w:r>
        <w:rPr>
          <w:rFonts w:ascii="Lucida Sans Unicode"/>
          <w:color w:val="6D6E71"/>
          <w:sz w:val="14"/>
        </w:rPr>
        <w:t>LO</w:t>
      </w:r>
      <w:r>
        <w:rPr>
          <w:rFonts w:ascii="Lucida Sans Unicode"/>
          <w:color w:val="6D6E71"/>
          <w:spacing w:val="-29"/>
          <w:sz w:val="14"/>
        </w:rPr>
        <w:t> </w:t>
      </w:r>
      <w:r>
        <w:rPr>
          <w:rFonts w:ascii="Lucida Sans Unicode"/>
          <w:color w:val="6D6E71"/>
          <w:sz w:val="14"/>
        </w:rPr>
        <w:t>QUE</w:t>
      </w:r>
      <w:r>
        <w:rPr>
          <w:rFonts w:ascii="Lucida Sans Unicode"/>
          <w:color w:val="6D6E71"/>
          <w:spacing w:val="-29"/>
          <w:sz w:val="14"/>
        </w:rPr>
        <w:t> </w:t>
      </w:r>
      <w:r>
        <w:rPr>
          <w:rFonts w:ascii="Lucida Sans Unicode"/>
          <w:color w:val="6D6E71"/>
          <w:sz w:val="14"/>
        </w:rPr>
        <w:t>NO</w:t>
      </w:r>
      <w:r>
        <w:rPr>
          <w:rFonts w:ascii="Lucida Sans Unicode"/>
          <w:color w:val="6D6E71"/>
          <w:spacing w:val="-29"/>
          <w:sz w:val="14"/>
        </w:rPr>
        <w:t> </w:t>
      </w:r>
      <w:r>
        <w:rPr>
          <w:rFonts w:ascii="Lucida Sans Unicode"/>
          <w:color w:val="6D6E71"/>
          <w:sz w:val="14"/>
        </w:rPr>
        <w:t>SE</w:t>
      </w:r>
      <w:r>
        <w:rPr>
          <w:rFonts w:ascii="Lucida Sans Unicode"/>
          <w:color w:val="6D6E71"/>
          <w:spacing w:val="-29"/>
          <w:sz w:val="14"/>
        </w:rPr>
        <w:t> </w:t>
      </w:r>
      <w:r>
        <w:rPr>
          <w:rFonts w:ascii="Lucida Sans Unicode"/>
          <w:color w:val="6D6E71"/>
          <w:sz w:val="14"/>
        </w:rPr>
        <w:t>FUE</w:t>
      </w:r>
      <w:r>
        <w:rPr>
          <w:rFonts w:ascii="Lucida Sans Unicode"/>
          <w:color w:val="6D6E71"/>
          <w:spacing w:val="-29"/>
          <w:sz w:val="14"/>
        </w:rPr>
        <w:t> </w:t>
      </w:r>
      <w:r>
        <w:rPr>
          <w:rFonts w:ascii="Lucida Sans Unicode"/>
          <w:color w:val="6D6E71"/>
          <w:sz w:val="14"/>
        </w:rPr>
        <w:t>EN</w:t>
      </w:r>
      <w:r>
        <w:rPr>
          <w:rFonts w:ascii="Lucida Sans Unicode"/>
          <w:color w:val="6D6E71"/>
          <w:spacing w:val="-29"/>
          <w:sz w:val="14"/>
        </w:rPr>
        <w:t> </w:t>
      </w:r>
      <w:r>
        <w:rPr>
          <w:rFonts w:ascii="Lucida Sans Unicode"/>
          <w:color w:val="6D6E71"/>
          <w:sz w:val="14"/>
        </w:rPr>
        <w:t>EL</w:t>
      </w:r>
      <w:r>
        <w:rPr>
          <w:rFonts w:ascii="Lucida Sans Unicode"/>
          <w:color w:val="6D6E71"/>
          <w:spacing w:val="-29"/>
          <w:sz w:val="14"/>
        </w:rPr>
        <w:t> </w:t>
      </w:r>
      <w:r>
        <w:rPr>
          <w:rFonts w:ascii="Lucida Sans Unicode"/>
          <w:color w:val="6D6E71"/>
          <w:sz w:val="14"/>
        </w:rPr>
        <w:t>VELIZ</w:t>
      </w:r>
      <w:r>
        <w:rPr>
          <w:rFonts w:ascii="Lucida Sans Unicode"/>
          <w:color w:val="6D6E71"/>
          <w:spacing w:val="-29"/>
          <w:sz w:val="14"/>
        </w:rPr>
        <w:t> </w:t>
      </w:r>
      <w:r>
        <w:rPr>
          <w:rFonts w:ascii="Lucida Sans Unicode"/>
          <w:color w:val="6D6E71"/>
          <w:sz w:val="14"/>
        </w:rPr>
        <w:t>AZUL.</w:t>
      </w:r>
      <w:r>
        <w:rPr>
          <w:rFonts w:ascii="Lucida Sans Unicode"/>
          <w:color w:val="6D6E71"/>
          <w:spacing w:val="-29"/>
          <w:sz w:val="14"/>
        </w:rPr>
        <w:t> </w:t>
      </w:r>
      <w:r>
        <w:rPr>
          <w:rFonts w:ascii="Lucida Sans Unicode"/>
          <w:color w:val="6D6E71"/>
          <w:sz w:val="14"/>
        </w:rPr>
        <w:t>RELATO</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VIDA</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RAFAEL,</w:t>
      </w:r>
      <w:r>
        <w:rPr>
          <w:rFonts w:ascii="Lucida Sans Unicode"/>
          <w:color w:val="6D6E71"/>
          <w:spacing w:val="-29"/>
          <w:sz w:val="14"/>
        </w:rPr>
        <w:t> </w:t>
      </w:r>
      <w:r>
        <w:rPr>
          <w:rFonts w:ascii="Lucida Sans Unicode"/>
          <w:color w:val="6D6E71"/>
          <w:sz w:val="14"/>
        </w:rPr>
        <w:t>UN</w:t>
      </w:r>
      <w:r>
        <w:rPr>
          <w:rFonts w:ascii="Lucida Sans Unicode"/>
          <w:color w:val="6D6E71"/>
          <w:spacing w:val="-29"/>
          <w:sz w:val="14"/>
        </w:rPr>
        <w:t> </w:t>
      </w:r>
      <w:r>
        <w:rPr>
          <w:rFonts w:ascii="Lucida Sans Unicode"/>
          <w:color w:val="6D6E71"/>
          <w:sz w:val="14"/>
        </w:rPr>
        <w:t>MIGRANTE</w:t>
      </w:r>
      <w:r>
        <w:rPr>
          <w:rFonts w:ascii="Lucida Sans Unicode"/>
          <w:color w:val="6D6E71"/>
          <w:spacing w:val="-29"/>
          <w:sz w:val="14"/>
        </w:rPr>
        <w:t> </w:t>
      </w:r>
      <w:r>
        <w:rPr>
          <w:rFonts w:ascii="Lucida Sans Unicode"/>
          <w:color w:val="6D6E71"/>
          <w:sz w:val="14"/>
        </w:rPr>
        <w:t>TONATIQUENSE</w:t>
      </w:r>
      <w:r>
        <w:rPr>
          <w:rFonts w:ascii="Arial"/>
          <w:color w:val="414042"/>
          <w:position w:val="-3"/>
          <w:sz w:val="20"/>
        </w:rPr>
        <w:tab/>
        <w:t>389</w:t>
      </w:r>
    </w:p>
    <w:p>
      <w:pPr>
        <w:pStyle w:val="BodyText"/>
        <w:rPr>
          <w:rFonts w:ascii="Arial"/>
          <w:sz w:val="18"/>
        </w:rPr>
      </w:pPr>
    </w:p>
    <w:p>
      <w:pPr>
        <w:pStyle w:val="BodyText"/>
        <w:rPr>
          <w:rFonts w:ascii="Arial"/>
          <w:sz w:val="18"/>
        </w:rPr>
      </w:pPr>
    </w:p>
    <w:p>
      <w:pPr>
        <w:pStyle w:val="BodyText"/>
        <w:spacing w:before="2"/>
        <w:rPr>
          <w:rFonts w:ascii="Arial"/>
          <w:sz w:val="19"/>
        </w:rPr>
      </w:pPr>
    </w:p>
    <w:p>
      <w:pPr>
        <w:spacing w:line="249" w:lineRule="auto" w:before="0"/>
        <w:ind w:left="2971" w:right="1716" w:firstLine="0"/>
        <w:jc w:val="both"/>
        <w:rPr>
          <w:rFonts w:ascii="Arial" w:hAnsi="Arial"/>
          <w:i/>
          <w:sz w:val="18"/>
        </w:rPr>
      </w:pPr>
      <w:r>
        <w:rPr>
          <w:rFonts w:ascii="Arial" w:hAnsi="Arial"/>
          <w:i/>
          <w:color w:val="231F20"/>
          <w:w w:val="105"/>
          <w:sz w:val="18"/>
        </w:rPr>
        <w:t>Pienso</w:t>
      </w:r>
      <w:r>
        <w:rPr>
          <w:rFonts w:ascii="Arial" w:hAnsi="Arial"/>
          <w:i/>
          <w:color w:val="231F20"/>
          <w:spacing w:val="-5"/>
          <w:w w:val="105"/>
          <w:sz w:val="18"/>
        </w:rPr>
        <w:t> </w:t>
      </w:r>
      <w:r>
        <w:rPr>
          <w:rFonts w:ascii="Arial" w:hAnsi="Arial"/>
          <w:i/>
          <w:color w:val="231F20"/>
          <w:w w:val="105"/>
          <w:sz w:val="18"/>
        </w:rPr>
        <w:t>que</w:t>
      </w:r>
      <w:r>
        <w:rPr>
          <w:rFonts w:ascii="Arial" w:hAnsi="Arial"/>
          <w:i/>
          <w:color w:val="231F20"/>
          <w:spacing w:val="-5"/>
          <w:w w:val="105"/>
          <w:sz w:val="18"/>
        </w:rPr>
        <w:t> </w:t>
      </w:r>
      <w:r>
        <w:rPr>
          <w:rFonts w:ascii="Arial" w:hAnsi="Arial"/>
          <w:i/>
          <w:color w:val="231F20"/>
          <w:w w:val="105"/>
          <w:sz w:val="18"/>
        </w:rPr>
        <w:t>si</w:t>
      </w:r>
      <w:r>
        <w:rPr>
          <w:rFonts w:ascii="Arial" w:hAnsi="Arial"/>
          <w:i/>
          <w:color w:val="231F20"/>
          <w:spacing w:val="-5"/>
          <w:w w:val="105"/>
          <w:sz w:val="18"/>
        </w:rPr>
        <w:t> </w:t>
      </w:r>
      <w:r>
        <w:rPr>
          <w:rFonts w:ascii="Arial" w:hAnsi="Arial"/>
          <w:i/>
          <w:color w:val="231F20"/>
          <w:w w:val="105"/>
          <w:sz w:val="18"/>
        </w:rPr>
        <w:t>no</w:t>
      </w:r>
      <w:r>
        <w:rPr>
          <w:rFonts w:ascii="Arial" w:hAnsi="Arial"/>
          <w:i/>
          <w:color w:val="231F20"/>
          <w:spacing w:val="-5"/>
          <w:w w:val="105"/>
          <w:sz w:val="18"/>
        </w:rPr>
        <w:t> </w:t>
      </w:r>
      <w:r>
        <w:rPr>
          <w:rFonts w:ascii="Arial" w:hAnsi="Arial"/>
          <w:i/>
          <w:color w:val="231F20"/>
          <w:w w:val="105"/>
          <w:sz w:val="18"/>
        </w:rPr>
        <w:t>me</w:t>
      </w:r>
      <w:r>
        <w:rPr>
          <w:rFonts w:ascii="Arial" w:hAnsi="Arial"/>
          <w:i/>
          <w:color w:val="231F20"/>
          <w:spacing w:val="-5"/>
          <w:w w:val="105"/>
          <w:sz w:val="18"/>
        </w:rPr>
        <w:t> </w:t>
      </w:r>
      <w:r>
        <w:rPr>
          <w:rFonts w:ascii="Arial" w:hAnsi="Arial"/>
          <w:i/>
          <w:color w:val="231F20"/>
          <w:w w:val="105"/>
          <w:sz w:val="18"/>
        </w:rPr>
        <w:t>hubiera</w:t>
      </w:r>
      <w:r>
        <w:rPr>
          <w:rFonts w:ascii="Arial" w:hAnsi="Arial"/>
          <w:i/>
          <w:color w:val="231F20"/>
          <w:spacing w:val="-5"/>
          <w:w w:val="105"/>
          <w:sz w:val="18"/>
        </w:rPr>
        <w:t> </w:t>
      </w:r>
      <w:r>
        <w:rPr>
          <w:rFonts w:ascii="Arial" w:hAnsi="Arial"/>
          <w:i/>
          <w:color w:val="231F20"/>
          <w:w w:val="105"/>
          <w:sz w:val="18"/>
        </w:rPr>
        <w:t>ido</w:t>
      </w:r>
      <w:r>
        <w:rPr>
          <w:rFonts w:ascii="Arial" w:hAnsi="Arial"/>
          <w:i/>
          <w:color w:val="231F20"/>
          <w:spacing w:val="-5"/>
          <w:w w:val="105"/>
          <w:sz w:val="18"/>
        </w:rPr>
        <w:t> </w:t>
      </w:r>
      <w:r>
        <w:rPr>
          <w:rFonts w:ascii="Arial" w:hAnsi="Arial"/>
          <w:i/>
          <w:color w:val="231F20"/>
          <w:w w:val="105"/>
          <w:sz w:val="18"/>
        </w:rPr>
        <w:t>a</w:t>
      </w:r>
      <w:r>
        <w:rPr>
          <w:rFonts w:ascii="Arial" w:hAnsi="Arial"/>
          <w:i/>
          <w:color w:val="231F20"/>
          <w:spacing w:val="-5"/>
          <w:w w:val="105"/>
          <w:sz w:val="18"/>
        </w:rPr>
        <w:t> </w:t>
      </w:r>
      <w:r>
        <w:rPr>
          <w:rFonts w:ascii="Arial" w:hAnsi="Arial"/>
          <w:i/>
          <w:color w:val="231F20"/>
          <w:w w:val="105"/>
          <w:sz w:val="18"/>
        </w:rPr>
        <w:t>Estados</w:t>
      </w:r>
      <w:r>
        <w:rPr>
          <w:rFonts w:ascii="Arial" w:hAnsi="Arial"/>
          <w:i/>
          <w:color w:val="231F20"/>
          <w:spacing w:val="-5"/>
          <w:w w:val="105"/>
          <w:sz w:val="18"/>
        </w:rPr>
        <w:t> </w:t>
      </w:r>
      <w:r>
        <w:rPr>
          <w:rFonts w:ascii="Arial" w:hAnsi="Arial"/>
          <w:i/>
          <w:color w:val="231F20"/>
          <w:w w:val="105"/>
          <w:sz w:val="18"/>
        </w:rPr>
        <w:t>Unidos,</w:t>
      </w:r>
      <w:r>
        <w:rPr>
          <w:rFonts w:ascii="Arial" w:hAnsi="Arial"/>
          <w:i/>
          <w:color w:val="231F20"/>
          <w:spacing w:val="-10"/>
          <w:w w:val="105"/>
          <w:sz w:val="18"/>
        </w:rPr>
        <w:t> </w:t>
      </w:r>
      <w:r>
        <w:rPr>
          <w:rFonts w:ascii="Arial" w:hAnsi="Arial"/>
          <w:i/>
          <w:color w:val="231F20"/>
          <w:w w:val="105"/>
          <w:sz w:val="18"/>
        </w:rPr>
        <w:t>yo</w:t>
      </w:r>
      <w:r>
        <w:rPr>
          <w:rFonts w:ascii="Arial" w:hAnsi="Arial"/>
          <w:i/>
          <w:color w:val="231F20"/>
          <w:spacing w:val="-5"/>
          <w:w w:val="105"/>
          <w:sz w:val="18"/>
        </w:rPr>
        <w:t> </w:t>
      </w:r>
      <w:r>
        <w:rPr>
          <w:rFonts w:ascii="Arial" w:hAnsi="Arial"/>
          <w:i/>
          <w:color w:val="231F20"/>
          <w:w w:val="105"/>
          <w:sz w:val="18"/>
        </w:rPr>
        <w:t>habría</w:t>
      </w:r>
      <w:r>
        <w:rPr>
          <w:rFonts w:ascii="Arial" w:hAnsi="Arial"/>
          <w:i/>
          <w:color w:val="231F20"/>
          <w:spacing w:val="-5"/>
          <w:w w:val="105"/>
          <w:sz w:val="18"/>
        </w:rPr>
        <w:t> </w:t>
      </w:r>
      <w:r>
        <w:rPr>
          <w:rFonts w:ascii="Arial" w:hAnsi="Arial"/>
          <w:i/>
          <w:color w:val="231F20"/>
          <w:w w:val="105"/>
          <w:sz w:val="18"/>
        </w:rPr>
        <w:t>seguido </w:t>
      </w:r>
      <w:r>
        <w:rPr>
          <w:rFonts w:ascii="Arial" w:hAnsi="Arial"/>
          <w:i/>
          <w:color w:val="231F20"/>
          <w:w w:val="105"/>
          <w:sz w:val="18"/>
        </w:rPr>
        <w:t>con lo que hacía acá, con lo que me sostenía, y con lo que he hecho siempre: trabajar en el campo. </w:t>
      </w:r>
      <w:r>
        <w:rPr>
          <w:rFonts w:ascii="Arial" w:hAnsi="Arial"/>
          <w:i/>
          <w:color w:val="231F20"/>
          <w:spacing w:val="-4"/>
          <w:w w:val="105"/>
          <w:sz w:val="18"/>
        </w:rPr>
        <w:t>Pero </w:t>
      </w:r>
      <w:r>
        <w:rPr>
          <w:rFonts w:ascii="Arial" w:hAnsi="Arial"/>
          <w:i/>
          <w:color w:val="231F20"/>
          <w:w w:val="105"/>
          <w:sz w:val="18"/>
        </w:rPr>
        <w:t>si no me hubiera ido a trabajar al norte</w:t>
      </w:r>
      <w:r>
        <w:rPr>
          <w:rFonts w:ascii="Arial" w:hAnsi="Arial"/>
          <w:i/>
          <w:color w:val="231F20"/>
          <w:spacing w:val="-4"/>
          <w:w w:val="105"/>
          <w:sz w:val="18"/>
        </w:rPr>
        <w:t> </w:t>
      </w:r>
      <w:r>
        <w:rPr>
          <w:rFonts w:ascii="Arial" w:hAnsi="Arial"/>
          <w:i/>
          <w:color w:val="231F20"/>
          <w:w w:val="105"/>
          <w:sz w:val="18"/>
        </w:rPr>
        <w:t>no</w:t>
      </w:r>
      <w:r>
        <w:rPr>
          <w:rFonts w:ascii="Arial" w:hAnsi="Arial"/>
          <w:i/>
          <w:color w:val="231F20"/>
          <w:spacing w:val="-4"/>
          <w:w w:val="105"/>
          <w:sz w:val="18"/>
        </w:rPr>
        <w:t> </w:t>
      </w:r>
      <w:r>
        <w:rPr>
          <w:rFonts w:ascii="Arial" w:hAnsi="Arial"/>
          <w:i/>
          <w:color w:val="231F20"/>
          <w:w w:val="105"/>
          <w:sz w:val="18"/>
        </w:rPr>
        <w:t>habría</w:t>
      </w:r>
      <w:r>
        <w:rPr>
          <w:rFonts w:ascii="Arial" w:hAnsi="Arial"/>
          <w:i/>
          <w:color w:val="231F20"/>
          <w:spacing w:val="-4"/>
          <w:w w:val="105"/>
          <w:sz w:val="18"/>
        </w:rPr>
        <w:t> </w:t>
      </w:r>
      <w:r>
        <w:rPr>
          <w:rFonts w:ascii="Arial" w:hAnsi="Arial"/>
          <w:i/>
          <w:color w:val="231F20"/>
          <w:w w:val="105"/>
          <w:sz w:val="18"/>
        </w:rPr>
        <w:t>logrado</w:t>
      </w:r>
      <w:r>
        <w:rPr>
          <w:rFonts w:ascii="Arial" w:hAnsi="Arial"/>
          <w:i/>
          <w:color w:val="231F20"/>
          <w:spacing w:val="-4"/>
          <w:w w:val="105"/>
          <w:sz w:val="18"/>
        </w:rPr>
        <w:t> </w:t>
      </w:r>
      <w:r>
        <w:rPr>
          <w:rFonts w:ascii="Arial" w:hAnsi="Arial"/>
          <w:i/>
          <w:color w:val="231F20"/>
          <w:w w:val="105"/>
          <w:sz w:val="18"/>
        </w:rPr>
        <w:t>algunos</w:t>
      </w:r>
      <w:r>
        <w:rPr>
          <w:rFonts w:ascii="Arial" w:hAnsi="Arial"/>
          <w:i/>
          <w:color w:val="231F20"/>
          <w:spacing w:val="-4"/>
          <w:w w:val="105"/>
          <w:sz w:val="18"/>
        </w:rPr>
        <w:t> </w:t>
      </w:r>
      <w:r>
        <w:rPr>
          <w:rFonts w:ascii="Arial" w:hAnsi="Arial"/>
          <w:i/>
          <w:color w:val="231F20"/>
          <w:w w:val="105"/>
          <w:sz w:val="18"/>
        </w:rPr>
        <w:t>objetivos</w:t>
      </w:r>
      <w:r>
        <w:rPr>
          <w:rFonts w:ascii="Arial" w:hAnsi="Arial"/>
          <w:i/>
          <w:color w:val="231F20"/>
          <w:spacing w:val="-4"/>
          <w:w w:val="105"/>
          <w:sz w:val="18"/>
        </w:rPr>
        <w:t> </w:t>
      </w:r>
      <w:r>
        <w:rPr>
          <w:rFonts w:ascii="Arial" w:hAnsi="Arial"/>
          <w:i/>
          <w:color w:val="231F20"/>
          <w:w w:val="105"/>
          <w:sz w:val="18"/>
        </w:rPr>
        <w:t>y</w:t>
      </w:r>
      <w:r>
        <w:rPr>
          <w:rFonts w:ascii="Arial" w:hAnsi="Arial"/>
          <w:i/>
          <w:color w:val="231F20"/>
          <w:spacing w:val="-4"/>
          <w:w w:val="105"/>
          <w:sz w:val="18"/>
        </w:rPr>
        <w:t> </w:t>
      </w:r>
      <w:r>
        <w:rPr>
          <w:rFonts w:ascii="Arial" w:hAnsi="Arial"/>
          <w:i/>
          <w:color w:val="231F20"/>
          <w:w w:val="105"/>
          <w:sz w:val="18"/>
        </w:rPr>
        <w:t>habría</w:t>
      </w:r>
      <w:r>
        <w:rPr>
          <w:rFonts w:ascii="Arial" w:hAnsi="Arial"/>
          <w:i/>
          <w:color w:val="231F20"/>
          <w:spacing w:val="-4"/>
          <w:w w:val="105"/>
          <w:sz w:val="18"/>
        </w:rPr>
        <w:t> </w:t>
      </w:r>
      <w:r>
        <w:rPr>
          <w:rFonts w:ascii="Arial" w:hAnsi="Arial"/>
          <w:i/>
          <w:color w:val="231F20"/>
          <w:w w:val="105"/>
          <w:sz w:val="18"/>
        </w:rPr>
        <w:t>dejado</w:t>
      </w:r>
      <w:r>
        <w:rPr>
          <w:rFonts w:ascii="Arial" w:hAnsi="Arial"/>
          <w:i/>
          <w:color w:val="231F20"/>
          <w:spacing w:val="-4"/>
          <w:w w:val="105"/>
          <w:sz w:val="18"/>
        </w:rPr>
        <w:t> </w:t>
      </w:r>
      <w:r>
        <w:rPr>
          <w:rFonts w:ascii="Arial" w:hAnsi="Arial"/>
          <w:i/>
          <w:color w:val="231F20"/>
          <w:w w:val="105"/>
          <w:sz w:val="18"/>
        </w:rPr>
        <w:t>de</w:t>
      </w:r>
      <w:r>
        <w:rPr>
          <w:rFonts w:ascii="Arial" w:hAnsi="Arial"/>
          <w:i/>
          <w:color w:val="231F20"/>
          <w:spacing w:val="-4"/>
          <w:w w:val="105"/>
          <w:sz w:val="18"/>
        </w:rPr>
        <w:t> </w:t>
      </w:r>
      <w:r>
        <w:rPr>
          <w:rFonts w:ascii="Arial" w:hAnsi="Arial"/>
          <w:i/>
          <w:color w:val="231F20"/>
          <w:w w:val="105"/>
          <w:sz w:val="18"/>
        </w:rPr>
        <w:t>conocer muchas</w:t>
      </w:r>
      <w:r>
        <w:rPr>
          <w:rFonts w:ascii="Arial" w:hAnsi="Arial"/>
          <w:i/>
          <w:color w:val="231F20"/>
          <w:spacing w:val="-27"/>
          <w:w w:val="105"/>
          <w:sz w:val="18"/>
        </w:rPr>
        <w:t> </w:t>
      </w:r>
      <w:r>
        <w:rPr>
          <w:rFonts w:ascii="Arial" w:hAnsi="Arial"/>
          <w:i/>
          <w:color w:val="231F20"/>
          <w:w w:val="105"/>
          <w:sz w:val="18"/>
        </w:rPr>
        <w:t>cosas.</w:t>
      </w:r>
      <w:r>
        <w:rPr>
          <w:rFonts w:ascii="Arial" w:hAnsi="Arial"/>
          <w:i/>
          <w:color w:val="231F20"/>
          <w:spacing w:val="-30"/>
          <w:w w:val="105"/>
          <w:sz w:val="18"/>
        </w:rPr>
        <w:t> </w:t>
      </w:r>
      <w:r>
        <w:rPr>
          <w:rFonts w:ascii="Arial" w:hAnsi="Arial"/>
          <w:i/>
          <w:color w:val="231F20"/>
          <w:w w:val="105"/>
          <w:sz w:val="18"/>
        </w:rPr>
        <w:t>Lo</w:t>
      </w:r>
      <w:r>
        <w:rPr>
          <w:rFonts w:ascii="Arial" w:hAnsi="Arial"/>
          <w:i/>
          <w:color w:val="231F20"/>
          <w:spacing w:val="-27"/>
          <w:w w:val="105"/>
          <w:sz w:val="18"/>
        </w:rPr>
        <w:t> </w:t>
      </w:r>
      <w:r>
        <w:rPr>
          <w:rFonts w:ascii="Arial" w:hAnsi="Arial"/>
          <w:i/>
          <w:color w:val="231F20"/>
          <w:w w:val="105"/>
          <w:sz w:val="18"/>
        </w:rPr>
        <w:t>que</w:t>
      </w:r>
      <w:r>
        <w:rPr>
          <w:rFonts w:ascii="Arial" w:hAnsi="Arial"/>
          <w:i/>
          <w:color w:val="231F20"/>
          <w:spacing w:val="-27"/>
          <w:w w:val="105"/>
          <w:sz w:val="18"/>
        </w:rPr>
        <w:t> </w:t>
      </w:r>
      <w:r>
        <w:rPr>
          <w:rFonts w:ascii="Arial" w:hAnsi="Arial"/>
          <w:i/>
          <w:color w:val="231F20"/>
          <w:w w:val="105"/>
          <w:sz w:val="18"/>
        </w:rPr>
        <w:t>aprendí</w:t>
      </w:r>
      <w:r>
        <w:rPr>
          <w:rFonts w:ascii="Arial" w:hAnsi="Arial"/>
          <w:i/>
          <w:color w:val="231F20"/>
          <w:spacing w:val="-27"/>
          <w:w w:val="105"/>
          <w:sz w:val="18"/>
        </w:rPr>
        <w:t> </w:t>
      </w:r>
      <w:r>
        <w:rPr>
          <w:rFonts w:ascii="Arial" w:hAnsi="Arial"/>
          <w:i/>
          <w:color w:val="231F20"/>
          <w:w w:val="105"/>
          <w:sz w:val="18"/>
        </w:rPr>
        <w:t>allá</w:t>
      </w:r>
      <w:r>
        <w:rPr>
          <w:rFonts w:ascii="Arial" w:hAnsi="Arial"/>
          <w:i/>
          <w:color w:val="231F20"/>
          <w:spacing w:val="-27"/>
          <w:w w:val="105"/>
          <w:sz w:val="18"/>
        </w:rPr>
        <w:t> </w:t>
      </w:r>
      <w:r>
        <w:rPr>
          <w:rFonts w:ascii="Arial" w:hAnsi="Arial"/>
          <w:i/>
          <w:color w:val="231F20"/>
          <w:w w:val="105"/>
          <w:sz w:val="18"/>
        </w:rPr>
        <w:t>no</w:t>
      </w:r>
      <w:r>
        <w:rPr>
          <w:rFonts w:ascii="Arial" w:hAnsi="Arial"/>
          <w:i/>
          <w:color w:val="231F20"/>
          <w:spacing w:val="-27"/>
          <w:w w:val="105"/>
          <w:sz w:val="18"/>
        </w:rPr>
        <w:t> </w:t>
      </w:r>
      <w:r>
        <w:rPr>
          <w:rFonts w:ascii="Arial" w:hAnsi="Arial"/>
          <w:i/>
          <w:color w:val="231F20"/>
          <w:w w:val="105"/>
          <w:sz w:val="18"/>
        </w:rPr>
        <w:t>lo</w:t>
      </w:r>
      <w:r>
        <w:rPr>
          <w:rFonts w:ascii="Arial" w:hAnsi="Arial"/>
          <w:i/>
          <w:color w:val="231F20"/>
          <w:spacing w:val="-27"/>
          <w:w w:val="105"/>
          <w:sz w:val="18"/>
        </w:rPr>
        <w:t> </w:t>
      </w:r>
      <w:r>
        <w:rPr>
          <w:rFonts w:ascii="Arial" w:hAnsi="Arial"/>
          <w:i/>
          <w:color w:val="231F20"/>
          <w:w w:val="105"/>
          <w:sz w:val="18"/>
        </w:rPr>
        <w:t>sabía,</w:t>
      </w:r>
      <w:r>
        <w:rPr>
          <w:rFonts w:ascii="Arial" w:hAnsi="Arial"/>
          <w:i/>
          <w:color w:val="231F20"/>
          <w:spacing w:val="-30"/>
          <w:w w:val="105"/>
          <w:sz w:val="18"/>
        </w:rPr>
        <w:t> </w:t>
      </w:r>
      <w:r>
        <w:rPr>
          <w:rFonts w:ascii="Arial" w:hAnsi="Arial"/>
          <w:i/>
          <w:color w:val="231F20"/>
          <w:w w:val="105"/>
          <w:sz w:val="18"/>
        </w:rPr>
        <w:t>pero</w:t>
      </w:r>
      <w:r>
        <w:rPr>
          <w:rFonts w:ascii="Arial" w:hAnsi="Arial"/>
          <w:i/>
          <w:color w:val="231F20"/>
          <w:spacing w:val="-27"/>
          <w:w w:val="105"/>
          <w:sz w:val="18"/>
        </w:rPr>
        <w:t> </w:t>
      </w:r>
      <w:r>
        <w:rPr>
          <w:rFonts w:ascii="Arial" w:hAnsi="Arial"/>
          <w:i/>
          <w:color w:val="231F20"/>
          <w:w w:val="105"/>
          <w:sz w:val="18"/>
        </w:rPr>
        <w:t>sí</w:t>
      </w:r>
      <w:r>
        <w:rPr>
          <w:rFonts w:ascii="Arial" w:hAnsi="Arial"/>
          <w:i/>
          <w:color w:val="231F20"/>
          <w:spacing w:val="-27"/>
          <w:w w:val="105"/>
          <w:sz w:val="18"/>
        </w:rPr>
        <w:t> </w:t>
      </w:r>
      <w:r>
        <w:rPr>
          <w:rFonts w:ascii="Arial" w:hAnsi="Arial"/>
          <w:i/>
          <w:color w:val="231F20"/>
          <w:w w:val="105"/>
          <w:sz w:val="18"/>
        </w:rPr>
        <w:t>me</w:t>
      </w:r>
      <w:r>
        <w:rPr>
          <w:rFonts w:ascii="Arial" w:hAnsi="Arial"/>
          <w:i/>
          <w:color w:val="231F20"/>
          <w:spacing w:val="-27"/>
          <w:w w:val="105"/>
          <w:sz w:val="18"/>
        </w:rPr>
        <w:t> </w:t>
      </w:r>
      <w:r>
        <w:rPr>
          <w:rFonts w:ascii="Arial" w:hAnsi="Arial"/>
          <w:i/>
          <w:color w:val="231F20"/>
          <w:w w:val="105"/>
          <w:sz w:val="18"/>
        </w:rPr>
        <w:t>daba</w:t>
      </w:r>
      <w:r>
        <w:rPr>
          <w:rFonts w:ascii="Arial" w:hAnsi="Arial"/>
          <w:i/>
          <w:color w:val="231F20"/>
          <w:spacing w:val="-27"/>
          <w:w w:val="105"/>
          <w:sz w:val="18"/>
        </w:rPr>
        <w:t> </w:t>
      </w:r>
      <w:r>
        <w:rPr>
          <w:rFonts w:ascii="Arial" w:hAnsi="Arial"/>
          <w:i/>
          <w:color w:val="231F20"/>
          <w:w w:val="105"/>
          <w:sz w:val="18"/>
        </w:rPr>
        <w:t>una</w:t>
      </w:r>
      <w:r>
        <w:rPr>
          <w:rFonts w:ascii="Arial" w:hAnsi="Arial"/>
          <w:i/>
          <w:color w:val="231F20"/>
          <w:spacing w:val="-27"/>
          <w:w w:val="105"/>
          <w:sz w:val="18"/>
        </w:rPr>
        <w:t> </w:t>
      </w:r>
      <w:r>
        <w:rPr>
          <w:rFonts w:ascii="Arial" w:hAnsi="Arial"/>
          <w:i/>
          <w:color w:val="231F20"/>
          <w:w w:val="105"/>
          <w:sz w:val="18"/>
        </w:rPr>
        <w:t>idea por</w:t>
      </w:r>
      <w:r>
        <w:rPr>
          <w:rFonts w:ascii="Arial" w:hAnsi="Arial"/>
          <w:i/>
          <w:color w:val="231F20"/>
          <w:spacing w:val="-14"/>
          <w:w w:val="105"/>
          <w:sz w:val="18"/>
        </w:rPr>
        <w:t> </w:t>
      </w:r>
      <w:r>
        <w:rPr>
          <w:rFonts w:ascii="Arial" w:hAnsi="Arial"/>
          <w:i/>
          <w:color w:val="231F20"/>
          <w:w w:val="105"/>
          <w:sz w:val="18"/>
        </w:rPr>
        <w:t>lo</w:t>
      </w:r>
      <w:r>
        <w:rPr>
          <w:rFonts w:ascii="Arial" w:hAnsi="Arial"/>
          <w:i/>
          <w:color w:val="231F20"/>
          <w:spacing w:val="-14"/>
          <w:w w:val="105"/>
          <w:sz w:val="18"/>
        </w:rPr>
        <w:t> </w:t>
      </w:r>
      <w:r>
        <w:rPr>
          <w:rFonts w:ascii="Arial" w:hAnsi="Arial"/>
          <w:i/>
          <w:color w:val="231F20"/>
          <w:w w:val="105"/>
          <w:sz w:val="18"/>
        </w:rPr>
        <w:t>que</w:t>
      </w:r>
      <w:r>
        <w:rPr>
          <w:rFonts w:ascii="Arial" w:hAnsi="Arial"/>
          <w:i/>
          <w:color w:val="231F20"/>
          <w:spacing w:val="-14"/>
          <w:w w:val="105"/>
          <w:sz w:val="18"/>
        </w:rPr>
        <w:t> </w:t>
      </w:r>
      <w:r>
        <w:rPr>
          <w:rFonts w:ascii="Arial" w:hAnsi="Arial"/>
          <w:i/>
          <w:color w:val="231F20"/>
          <w:w w:val="105"/>
          <w:sz w:val="18"/>
        </w:rPr>
        <w:t>decía</w:t>
      </w:r>
      <w:r>
        <w:rPr>
          <w:rFonts w:ascii="Arial" w:hAnsi="Arial"/>
          <w:i/>
          <w:color w:val="231F20"/>
          <w:spacing w:val="-14"/>
          <w:w w:val="105"/>
          <w:sz w:val="18"/>
        </w:rPr>
        <w:t> </w:t>
      </w:r>
      <w:r>
        <w:rPr>
          <w:rFonts w:ascii="Arial" w:hAnsi="Arial"/>
          <w:i/>
          <w:color w:val="231F20"/>
          <w:w w:val="105"/>
          <w:sz w:val="18"/>
        </w:rPr>
        <w:t>la</w:t>
      </w:r>
      <w:r>
        <w:rPr>
          <w:rFonts w:ascii="Arial" w:hAnsi="Arial"/>
          <w:i/>
          <w:color w:val="231F20"/>
          <w:spacing w:val="-14"/>
          <w:w w:val="105"/>
          <w:sz w:val="18"/>
        </w:rPr>
        <w:t> </w:t>
      </w:r>
      <w:r>
        <w:rPr>
          <w:rFonts w:ascii="Arial" w:hAnsi="Arial"/>
          <w:i/>
          <w:color w:val="231F20"/>
          <w:w w:val="105"/>
          <w:sz w:val="18"/>
        </w:rPr>
        <w:t>gente</w:t>
      </w:r>
      <w:r>
        <w:rPr>
          <w:rFonts w:ascii="Arial" w:hAnsi="Arial"/>
          <w:i/>
          <w:color w:val="231F20"/>
          <w:spacing w:val="-14"/>
          <w:w w:val="105"/>
          <w:sz w:val="18"/>
        </w:rPr>
        <w:t> </w:t>
      </w:r>
      <w:r>
        <w:rPr>
          <w:rFonts w:ascii="Arial" w:hAnsi="Arial"/>
          <w:i/>
          <w:color w:val="231F20"/>
          <w:w w:val="105"/>
          <w:sz w:val="18"/>
        </w:rPr>
        <w:t>que</w:t>
      </w:r>
      <w:r>
        <w:rPr>
          <w:rFonts w:ascii="Arial" w:hAnsi="Arial"/>
          <w:i/>
          <w:color w:val="231F20"/>
          <w:spacing w:val="-14"/>
          <w:w w:val="105"/>
          <w:sz w:val="18"/>
        </w:rPr>
        <w:t> </w:t>
      </w:r>
      <w:r>
        <w:rPr>
          <w:rFonts w:ascii="Arial" w:hAnsi="Arial"/>
          <w:i/>
          <w:color w:val="231F20"/>
          <w:w w:val="105"/>
          <w:sz w:val="18"/>
        </w:rPr>
        <w:t>iba</w:t>
      </w:r>
      <w:r>
        <w:rPr>
          <w:rFonts w:ascii="Arial" w:hAnsi="Arial"/>
          <w:i/>
          <w:color w:val="231F20"/>
          <w:spacing w:val="-14"/>
          <w:w w:val="105"/>
          <w:sz w:val="18"/>
        </w:rPr>
        <w:t> </w:t>
      </w:r>
      <w:r>
        <w:rPr>
          <w:rFonts w:ascii="Arial" w:hAnsi="Arial"/>
          <w:i/>
          <w:color w:val="231F20"/>
          <w:w w:val="105"/>
          <w:sz w:val="18"/>
        </w:rPr>
        <w:t>y</w:t>
      </w:r>
      <w:r>
        <w:rPr>
          <w:rFonts w:ascii="Arial" w:hAnsi="Arial"/>
          <w:i/>
          <w:color w:val="231F20"/>
          <w:spacing w:val="-14"/>
          <w:w w:val="105"/>
          <w:sz w:val="18"/>
        </w:rPr>
        <w:t> </w:t>
      </w:r>
      <w:r>
        <w:rPr>
          <w:rFonts w:ascii="Arial" w:hAnsi="Arial"/>
          <w:i/>
          <w:color w:val="231F20"/>
          <w:w w:val="105"/>
          <w:sz w:val="18"/>
        </w:rPr>
        <w:t>regresaba.</w:t>
      </w:r>
      <w:r>
        <w:rPr>
          <w:rFonts w:ascii="Arial" w:hAnsi="Arial"/>
          <w:i/>
          <w:color w:val="231F20"/>
          <w:spacing w:val="-19"/>
          <w:w w:val="105"/>
          <w:sz w:val="18"/>
        </w:rPr>
        <w:t> </w:t>
      </w:r>
      <w:r>
        <w:rPr>
          <w:rFonts w:ascii="Arial" w:hAnsi="Arial"/>
          <w:i/>
          <w:color w:val="231F20"/>
          <w:w w:val="105"/>
          <w:sz w:val="18"/>
        </w:rPr>
        <w:t>Cuando</w:t>
      </w:r>
      <w:r>
        <w:rPr>
          <w:rFonts w:ascii="Arial" w:hAnsi="Arial"/>
          <w:i/>
          <w:color w:val="231F20"/>
          <w:spacing w:val="-14"/>
          <w:w w:val="105"/>
          <w:sz w:val="18"/>
        </w:rPr>
        <w:t> </w:t>
      </w:r>
      <w:r>
        <w:rPr>
          <w:rFonts w:ascii="Arial" w:hAnsi="Arial"/>
          <w:i/>
          <w:color w:val="231F20"/>
          <w:w w:val="105"/>
          <w:sz w:val="18"/>
        </w:rPr>
        <w:t>fui,</w:t>
      </w:r>
      <w:r>
        <w:rPr>
          <w:rFonts w:ascii="Arial" w:hAnsi="Arial"/>
          <w:i/>
          <w:color w:val="231F20"/>
          <w:spacing w:val="-19"/>
          <w:w w:val="105"/>
          <w:sz w:val="18"/>
        </w:rPr>
        <w:t> </w:t>
      </w:r>
      <w:r>
        <w:rPr>
          <w:rFonts w:ascii="Arial" w:hAnsi="Arial"/>
          <w:i/>
          <w:color w:val="231F20"/>
          <w:w w:val="105"/>
          <w:sz w:val="18"/>
        </w:rPr>
        <w:t>vi</w:t>
      </w:r>
      <w:r>
        <w:rPr>
          <w:rFonts w:ascii="Arial" w:hAnsi="Arial"/>
          <w:i/>
          <w:color w:val="231F20"/>
          <w:spacing w:val="-14"/>
          <w:w w:val="105"/>
          <w:sz w:val="18"/>
        </w:rPr>
        <w:t> </w:t>
      </w:r>
      <w:r>
        <w:rPr>
          <w:rFonts w:ascii="Arial" w:hAnsi="Arial"/>
          <w:i/>
          <w:color w:val="231F20"/>
          <w:w w:val="105"/>
          <w:sz w:val="18"/>
        </w:rPr>
        <w:t>cosas</w:t>
      </w:r>
      <w:r>
        <w:rPr>
          <w:rFonts w:ascii="Arial" w:hAnsi="Arial"/>
          <w:i/>
          <w:color w:val="231F20"/>
          <w:spacing w:val="-14"/>
          <w:w w:val="105"/>
          <w:sz w:val="18"/>
        </w:rPr>
        <w:t> </w:t>
      </w:r>
      <w:r>
        <w:rPr>
          <w:rFonts w:ascii="Arial" w:hAnsi="Arial"/>
          <w:i/>
          <w:color w:val="231F20"/>
          <w:w w:val="105"/>
          <w:sz w:val="18"/>
        </w:rPr>
        <w:t>que aquí</w:t>
      </w:r>
      <w:r>
        <w:rPr>
          <w:rFonts w:ascii="Arial" w:hAnsi="Arial"/>
          <w:i/>
          <w:color w:val="231F20"/>
          <w:spacing w:val="-27"/>
          <w:w w:val="105"/>
          <w:sz w:val="18"/>
        </w:rPr>
        <w:t> </w:t>
      </w:r>
      <w:r>
        <w:rPr>
          <w:rFonts w:ascii="Arial" w:hAnsi="Arial"/>
          <w:i/>
          <w:color w:val="231F20"/>
          <w:w w:val="105"/>
          <w:sz w:val="18"/>
        </w:rPr>
        <w:t>todavía</w:t>
      </w:r>
      <w:r>
        <w:rPr>
          <w:rFonts w:ascii="Arial" w:hAnsi="Arial"/>
          <w:i/>
          <w:color w:val="231F20"/>
          <w:spacing w:val="-27"/>
          <w:w w:val="105"/>
          <w:sz w:val="18"/>
        </w:rPr>
        <w:t> </w:t>
      </w:r>
      <w:r>
        <w:rPr>
          <w:rFonts w:ascii="Arial" w:hAnsi="Arial"/>
          <w:i/>
          <w:color w:val="231F20"/>
          <w:w w:val="105"/>
          <w:sz w:val="18"/>
        </w:rPr>
        <w:t>no</w:t>
      </w:r>
      <w:r>
        <w:rPr>
          <w:rFonts w:ascii="Arial" w:hAnsi="Arial"/>
          <w:i/>
          <w:color w:val="231F20"/>
          <w:spacing w:val="-27"/>
          <w:w w:val="105"/>
          <w:sz w:val="18"/>
        </w:rPr>
        <w:t> </w:t>
      </w:r>
      <w:r>
        <w:rPr>
          <w:rFonts w:ascii="Arial" w:hAnsi="Arial"/>
          <w:i/>
          <w:color w:val="231F20"/>
          <w:w w:val="105"/>
          <w:sz w:val="18"/>
        </w:rPr>
        <w:t>teníamos</w:t>
      </w:r>
      <w:r>
        <w:rPr>
          <w:rFonts w:ascii="Arial" w:hAnsi="Arial"/>
          <w:i/>
          <w:color w:val="231F20"/>
          <w:spacing w:val="-27"/>
          <w:w w:val="105"/>
          <w:sz w:val="18"/>
        </w:rPr>
        <w:t> </w:t>
      </w:r>
      <w:r>
        <w:rPr>
          <w:rFonts w:ascii="Arial" w:hAnsi="Arial"/>
          <w:i/>
          <w:color w:val="231F20"/>
          <w:w w:val="105"/>
          <w:sz w:val="18"/>
        </w:rPr>
        <w:t>en</w:t>
      </w:r>
      <w:r>
        <w:rPr>
          <w:rFonts w:ascii="Arial" w:hAnsi="Arial"/>
          <w:i/>
          <w:color w:val="231F20"/>
          <w:spacing w:val="-27"/>
          <w:w w:val="105"/>
          <w:sz w:val="18"/>
        </w:rPr>
        <w:t> </w:t>
      </w:r>
      <w:r>
        <w:rPr>
          <w:rFonts w:ascii="Arial" w:hAnsi="Arial"/>
          <w:i/>
          <w:color w:val="231F20"/>
          <w:w w:val="105"/>
          <w:sz w:val="18"/>
        </w:rPr>
        <w:t>la</w:t>
      </w:r>
      <w:r>
        <w:rPr>
          <w:rFonts w:ascii="Arial" w:hAnsi="Arial"/>
          <w:i/>
          <w:color w:val="231F20"/>
          <w:spacing w:val="-27"/>
          <w:w w:val="105"/>
          <w:sz w:val="18"/>
        </w:rPr>
        <w:t> </w:t>
      </w:r>
      <w:r>
        <w:rPr>
          <w:rFonts w:ascii="Arial" w:hAnsi="Arial"/>
          <w:i/>
          <w:color w:val="231F20"/>
          <w:w w:val="105"/>
          <w:sz w:val="18"/>
        </w:rPr>
        <w:t>agricultura</w:t>
      </w:r>
      <w:r>
        <w:rPr>
          <w:rFonts w:ascii="Arial" w:hAnsi="Arial"/>
          <w:i/>
          <w:color w:val="231F20"/>
          <w:spacing w:val="-27"/>
          <w:w w:val="105"/>
          <w:sz w:val="18"/>
        </w:rPr>
        <w:t> </w:t>
      </w:r>
      <w:r>
        <w:rPr>
          <w:rFonts w:ascii="Arial" w:hAnsi="Arial"/>
          <w:i/>
          <w:color w:val="231F20"/>
          <w:w w:val="105"/>
          <w:sz w:val="18"/>
        </w:rPr>
        <w:t>y</w:t>
      </w:r>
      <w:r>
        <w:rPr>
          <w:rFonts w:ascii="Arial" w:hAnsi="Arial"/>
          <w:i/>
          <w:color w:val="231F20"/>
          <w:spacing w:val="-27"/>
          <w:w w:val="105"/>
          <w:sz w:val="18"/>
        </w:rPr>
        <w:t> </w:t>
      </w:r>
      <w:r>
        <w:rPr>
          <w:rFonts w:ascii="Arial" w:hAnsi="Arial"/>
          <w:i/>
          <w:color w:val="231F20"/>
          <w:w w:val="105"/>
          <w:sz w:val="18"/>
        </w:rPr>
        <w:t>en</w:t>
      </w:r>
      <w:r>
        <w:rPr>
          <w:rFonts w:ascii="Arial" w:hAnsi="Arial"/>
          <w:i/>
          <w:color w:val="231F20"/>
          <w:spacing w:val="-27"/>
          <w:w w:val="105"/>
          <w:sz w:val="18"/>
        </w:rPr>
        <w:t> </w:t>
      </w:r>
      <w:r>
        <w:rPr>
          <w:rFonts w:ascii="Arial" w:hAnsi="Arial"/>
          <w:i/>
          <w:color w:val="231F20"/>
          <w:w w:val="105"/>
          <w:sz w:val="18"/>
        </w:rPr>
        <w:t>el</w:t>
      </w:r>
      <w:r>
        <w:rPr>
          <w:rFonts w:ascii="Arial" w:hAnsi="Arial"/>
          <w:i/>
          <w:color w:val="231F20"/>
          <w:spacing w:val="-27"/>
          <w:w w:val="105"/>
          <w:sz w:val="18"/>
        </w:rPr>
        <w:t> </w:t>
      </w:r>
      <w:r>
        <w:rPr>
          <w:rFonts w:ascii="Arial" w:hAnsi="Arial"/>
          <w:i/>
          <w:color w:val="231F20"/>
          <w:w w:val="105"/>
          <w:sz w:val="18"/>
        </w:rPr>
        <w:t>cuidado</w:t>
      </w:r>
      <w:r>
        <w:rPr>
          <w:rFonts w:ascii="Arial" w:hAnsi="Arial"/>
          <w:i/>
          <w:color w:val="231F20"/>
          <w:spacing w:val="-27"/>
          <w:w w:val="105"/>
          <w:sz w:val="18"/>
        </w:rPr>
        <w:t> </w:t>
      </w:r>
      <w:r>
        <w:rPr>
          <w:rFonts w:ascii="Arial" w:hAnsi="Arial"/>
          <w:i/>
          <w:color w:val="231F20"/>
          <w:w w:val="105"/>
          <w:sz w:val="18"/>
        </w:rPr>
        <w:t>de</w:t>
      </w:r>
      <w:r>
        <w:rPr>
          <w:rFonts w:ascii="Arial" w:hAnsi="Arial"/>
          <w:i/>
          <w:color w:val="231F20"/>
          <w:spacing w:val="-27"/>
          <w:w w:val="105"/>
          <w:sz w:val="18"/>
        </w:rPr>
        <w:t> </w:t>
      </w:r>
      <w:r>
        <w:rPr>
          <w:rFonts w:ascii="Arial" w:hAnsi="Arial"/>
          <w:i/>
          <w:color w:val="231F20"/>
          <w:w w:val="105"/>
          <w:sz w:val="18"/>
        </w:rPr>
        <w:t>las</w:t>
      </w:r>
      <w:r>
        <w:rPr>
          <w:rFonts w:ascii="Arial" w:hAnsi="Arial"/>
          <w:i/>
          <w:color w:val="231F20"/>
          <w:spacing w:val="-27"/>
          <w:w w:val="105"/>
          <w:sz w:val="18"/>
        </w:rPr>
        <w:t> </w:t>
      </w:r>
      <w:r>
        <w:rPr>
          <w:rFonts w:ascii="Arial" w:hAnsi="Arial"/>
          <w:i/>
          <w:color w:val="231F20"/>
          <w:w w:val="105"/>
          <w:sz w:val="18"/>
        </w:rPr>
        <w:t>plantas. </w:t>
      </w:r>
      <w:r>
        <w:rPr>
          <w:rFonts w:ascii="Arial" w:hAnsi="Arial"/>
          <w:i/>
          <w:color w:val="231F20"/>
          <w:spacing w:val="-5"/>
          <w:w w:val="105"/>
          <w:sz w:val="18"/>
        </w:rPr>
        <w:t>Por</w:t>
      </w:r>
      <w:r>
        <w:rPr>
          <w:rFonts w:ascii="Arial" w:hAnsi="Arial"/>
          <w:i/>
          <w:color w:val="231F20"/>
          <w:spacing w:val="-19"/>
          <w:w w:val="105"/>
          <w:sz w:val="18"/>
        </w:rPr>
        <w:t> </w:t>
      </w:r>
      <w:r>
        <w:rPr>
          <w:rFonts w:ascii="Arial" w:hAnsi="Arial"/>
          <w:i/>
          <w:color w:val="231F20"/>
          <w:w w:val="105"/>
          <w:sz w:val="18"/>
        </w:rPr>
        <w:t>eso,</w:t>
      </w:r>
      <w:r>
        <w:rPr>
          <w:rFonts w:ascii="Arial" w:hAnsi="Arial"/>
          <w:i/>
          <w:color w:val="231F20"/>
          <w:spacing w:val="-22"/>
          <w:w w:val="105"/>
          <w:sz w:val="18"/>
        </w:rPr>
        <w:t> </w:t>
      </w:r>
      <w:r>
        <w:rPr>
          <w:rFonts w:ascii="Arial" w:hAnsi="Arial"/>
          <w:i/>
          <w:color w:val="231F20"/>
          <w:w w:val="105"/>
          <w:sz w:val="18"/>
        </w:rPr>
        <w:t>cuando</w:t>
      </w:r>
      <w:r>
        <w:rPr>
          <w:rFonts w:ascii="Arial" w:hAnsi="Arial"/>
          <w:i/>
          <w:color w:val="231F20"/>
          <w:spacing w:val="-19"/>
          <w:w w:val="105"/>
          <w:sz w:val="18"/>
        </w:rPr>
        <w:t> </w:t>
      </w:r>
      <w:r>
        <w:rPr>
          <w:rFonts w:ascii="Arial" w:hAnsi="Arial"/>
          <w:i/>
          <w:color w:val="231F20"/>
          <w:w w:val="105"/>
          <w:sz w:val="18"/>
        </w:rPr>
        <w:t>llegaron</w:t>
      </w:r>
      <w:r>
        <w:rPr>
          <w:rFonts w:ascii="Arial" w:hAnsi="Arial"/>
          <w:i/>
          <w:color w:val="231F20"/>
          <w:spacing w:val="-19"/>
          <w:w w:val="105"/>
          <w:sz w:val="18"/>
        </w:rPr>
        <w:t> </w:t>
      </w:r>
      <w:r>
        <w:rPr>
          <w:rFonts w:ascii="Arial" w:hAnsi="Arial"/>
          <w:i/>
          <w:color w:val="231F20"/>
          <w:w w:val="105"/>
          <w:sz w:val="18"/>
        </w:rPr>
        <w:t>a</w:t>
      </w:r>
      <w:r>
        <w:rPr>
          <w:rFonts w:ascii="Arial" w:hAnsi="Arial"/>
          <w:i/>
          <w:color w:val="231F20"/>
          <w:spacing w:val="-19"/>
          <w:w w:val="105"/>
          <w:sz w:val="18"/>
        </w:rPr>
        <w:t> </w:t>
      </w:r>
      <w:r>
        <w:rPr>
          <w:rFonts w:ascii="Arial" w:hAnsi="Arial"/>
          <w:i/>
          <w:color w:val="231F20"/>
          <w:w w:val="105"/>
          <w:sz w:val="18"/>
        </w:rPr>
        <w:t>México</w:t>
      </w:r>
      <w:r>
        <w:rPr>
          <w:rFonts w:ascii="Arial" w:hAnsi="Arial"/>
          <w:i/>
          <w:color w:val="231F20"/>
          <w:spacing w:val="-19"/>
          <w:w w:val="105"/>
          <w:sz w:val="18"/>
        </w:rPr>
        <w:t> </w:t>
      </w:r>
      <w:r>
        <w:rPr>
          <w:rFonts w:ascii="Arial" w:hAnsi="Arial"/>
          <w:i/>
          <w:color w:val="231F20"/>
          <w:w w:val="105"/>
          <w:sz w:val="18"/>
        </w:rPr>
        <w:t>los</w:t>
      </w:r>
      <w:r>
        <w:rPr>
          <w:rFonts w:ascii="Arial" w:hAnsi="Arial"/>
          <w:i/>
          <w:color w:val="231F20"/>
          <w:spacing w:val="-19"/>
          <w:w w:val="105"/>
          <w:sz w:val="18"/>
        </w:rPr>
        <w:t> </w:t>
      </w:r>
      <w:r>
        <w:rPr>
          <w:rFonts w:ascii="Arial" w:hAnsi="Arial"/>
          <w:i/>
          <w:color w:val="231F20"/>
          <w:w w:val="105"/>
          <w:sz w:val="18"/>
        </w:rPr>
        <w:t>herbicidas</w:t>
      </w:r>
      <w:r>
        <w:rPr>
          <w:rFonts w:ascii="Arial" w:hAnsi="Arial"/>
          <w:i/>
          <w:color w:val="231F20"/>
          <w:spacing w:val="-19"/>
          <w:w w:val="105"/>
          <w:sz w:val="18"/>
        </w:rPr>
        <w:t> </w:t>
      </w:r>
      <w:r>
        <w:rPr>
          <w:rFonts w:ascii="Arial" w:hAnsi="Arial"/>
          <w:i/>
          <w:color w:val="231F20"/>
          <w:w w:val="105"/>
          <w:sz w:val="18"/>
        </w:rPr>
        <w:t>y</w:t>
      </w:r>
      <w:r>
        <w:rPr>
          <w:rFonts w:ascii="Arial" w:hAnsi="Arial"/>
          <w:i/>
          <w:color w:val="231F20"/>
          <w:spacing w:val="-19"/>
          <w:w w:val="105"/>
          <w:sz w:val="18"/>
        </w:rPr>
        <w:t> </w:t>
      </w:r>
      <w:r>
        <w:rPr>
          <w:rFonts w:ascii="Arial" w:hAnsi="Arial"/>
          <w:i/>
          <w:color w:val="231F20"/>
          <w:w w:val="105"/>
          <w:sz w:val="18"/>
        </w:rPr>
        <w:t>los</w:t>
      </w:r>
      <w:r>
        <w:rPr>
          <w:rFonts w:ascii="Arial" w:hAnsi="Arial"/>
          <w:i/>
          <w:color w:val="231F20"/>
          <w:spacing w:val="-19"/>
          <w:w w:val="105"/>
          <w:sz w:val="18"/>
        </w:rPr>
        <w:t> </w:t>
      </w:r>
      <w:r>
        <w:rPr>
          <w:rFonts w:ascii="Arial" w:hAnsi="Arial"/>
          <w:i/>
          <w:color w:val="231F20"/>
          <w:w w:val="105"/>
          <w:sz w:val="18"/>
        </w:rPr>
        <w:t>fungicidas,</w:t>
      </w:r>
      <w:r>
        <w:rPr>
          <w:rFonts w:ascii="Arial" w:hAnsi="Arial"/>
          <w:i/>
          <w:color w:val="231F20"/>
          <w:spacing w:val="-22"/>
          <w:w w:val="105"/>
          <w:sz w:val="18"/>
        </w:rPr>
        <w:t> </w:t>
      </w:r>
      <w:r>
        <w:rPr>
          <w:rFonts w:ascii="Arial" w:hAnsi="Arial"/>
          <w:i/>
          <w:color w:val="231F20"/>
          <w:w w:val="105"/>
          <w:sz w:val="18"/>
        </w:rPr>
        <w:t>yo</w:t>
      </w:r>
      <w:r>
        <w:rPr>
          <w:rFonts w:ascii="Arial" w:hAnsi="Arial"/>
          <w:i/>
          <w:color w:val="231F20"/>
          <w:spacing w:val="-19"/>
          <w:w w:val="105"/>
          <w:sz w:val="18"/>
        </w:rPr>
        <w:t> </w:t>
      </w:r>
      <w:r>
        <w:rPr>
          <w:rFonts w:ascii="Arial" w:hAnsi="Arial"/>
          <w:i/>
          <w:color w:val="231F20"/>
          <w:w w:val="105"/>
          <w:sz w:val="18"/>
        </w:rPr>
        <w:t>ya sabía</w:t>
      </w:r>
      <w:r>
        <w:rPr>
          <w:rFonts w:ascii="Arial" w:hAnsi="Arial"/>
          <w:i/>
          <w:color w:val="231F20"/>
          <w:spacing w:val="-28"/>
          <w:w w:val="105"/>
          <w:sz w:val="18"/>
        </w:rPr>
        <w:t> </w:t>
      </w:r>
      <w:r>
        <w:rPr>
          <w:rFonts w:ascii="Arial" w:hAnsi="Arial"/>
          <w:i/>
          <w:color w:val="231F20"/>
          <w:w w:val="105"/>
          <w:sz w:val="18"/>
        </w:rPr>
        <w:t>cómo</w:t>
      </w:r>
      <w:r>
        <w:rPr>
          <w:rFonts w:ascii="Arial" w:hAnsi="Arial"/>
          <w:i/>
          <w:color w:val="231F20"/>
          <w:spacing w:val="-28"/>
          <w:w w:val="105"/>
          <w:sz w:val="18"/>
        </w:rPr>
        <w:t> </w:t>
      </w:r>
      <w:r>
        <w:rPr>
          <w:rFonts w:ascii="Arial" w:hAnsi="Arial"/>
          <w:i/>
          <w:color w:val="231F20"/>
          <w:w w:val="105"/>
          <w:sz w:val="18"/>
        </w:rPr>
        <w:t>manejar</w:t>
      </w:r>
      <w:r>
        <w:rPr>
          <w:rFonts w:ascii="Arial" w:hAnsi="Arial"/>
          <w:i/>
          <w:color w:val="231F20"/>
          <w:spacing w:val="-28"/>
          <w:w w:val="105"/>
          <w:sz w:val="18"/>
        </w:rPr>
        <w:t> </w:t>
      </w:r>
      <w:r>
        <w:rPr>
          <w:rFonts w:ascii="Arial" w:hAnsi="Arial"/>
          <w:i/>
          <w:color w:val="231F20"/>
          <w:w w:val="105"/>
          <w:sz w:val="18"/>
        </w:rPr>
        <w:t>esos</w:t>
      </w:r>
      <w:r>
        <w:rPr>
          <w:rFonts w:ascii="Arial" w:hAnsi="Arial"/>
          <w:i/>
          <w:color w:val="231F20"/>
          <w:spacing w:val="-28"/>
          <w:w w:val="105"/>
          <w:sz w:val="18"/>
        </w:rPr>
        <w:t> </w:t>
      </w:r>
      <w:r>
        <w:rPr>
          <w:rFonts w:ascii="Arial" w:hAnsi="Arial"/>
          <w:i/>
          <w:color w:val="231F20"/>
          <w:w w:val="105"/>
          <w:sz w:val="18"/>
        </w:rPr>
        <w:t>productos.</w:t>
      </w:r>
      <w:r>
        <w:rPr>
          <w:rFonts w:ascii="Arial" w:hAnsi="Arial"/>
          <w:i/>
          <w:color w:val="231F20"/>
          <w:spacing w:val="-32"/>
          <w:w w:val="105"/>
          <w:sz w:val="18"/>
        </w:rPr>
        <w:t> </w:t>
      </w:r>
      <w:r>
        <w:rPr>
          <w:rFonts w:ascii="Arial" w:hAnsi="Arial"/>
          <w:i/>
          <w:color w:val="231F20"/>
          <w:w w:val="105"/>
          <w:sz w:val="18"/>
        </w:rPr>
        <w:t>No</w:t>
      </w:r>
      <w:r>
        <w:rPr>
          <w:rFonts w:ascii="Arial" w:hAnsi="Arial"/>
          <w:i/>
          <w:color w:val="231F20"/>
          <w:spacing w:val="-28"/>
          <w:w w:val="105"/>
          <w:sz w:val="18"/>
        </w:rPr>
        <w:t> </w:t>
      </w:r>
      <w:r>
        <w:rPr>
          <w:rFonts w:ascii="Arial" w:hAnsi="Arial"/>
          <w:i/>
          <w:color w:val="231F20"/>
          <w:w w:val="105"/>
          <w:sz w:val="18"/>
        </w:rPr>
        <w:t>fue</w:t>
      </w:r>
      <w:r>
        <w:rPr>
          <w:rFonts w:ascii="Arial" w:hAnsi="Arial"/>
          <w:i/>
          <w:color w:val="231F20"/>
          <w:spacing w:val="-28"/>
          <w:w w:val="105"/>
          <w:sz w:val="18"/>
        </w:rPr>
        <w:t> </w:t>
      </w:r>
      <w:r>
        <w:rPr>
          <w:rFonts w:ascii="Arial" w:hAnsi="Arial"/>
          <w:i/>
          <w:color w:val="231F20"/>
          <w:w w:val="105"/>
          <w:sz w:val="18"/>
        </w:rPr>
        <w:t>algo</w:t>
      </w:r>
      <w:r>
        <w:rPr>
          <w:rFonts w:ascii="Arial" w:hAnsi="Arial"/>
          <w:i/>
          <w:color w:val="231F20"/>
          <w:spacing w:val="-28"/>
          <w:w w:val="105"/>
          <w:sz w:val="18"/>
        </w:rPr>
        <w:t> </w:t>
      </w:r>
      <w:r>
        <w:rPr>
          <w:rFonts w:ascii="Arial" w:hAnsi="Arial"/>
          <w:i/>
          <w:color w:val="231F20"/>
          <w:w w:val="105"/>
          <w:sz w:val="18"/>
        </w:rPr>
        <w:t>completamente</w:t>
      </w:r>
      <w:r>
        <w:rPr>
          <w:rFonts w:ascii="Arial" w:hAnsi="Arial"/>
          <w:i/>
          <w:color w:val="231F20"/>
          <w:spacing w:val="-28"/>
          <w:w w:val="105"/>
          <w:sz w:val="18"/>
        </w:rPr>
        <w:t> </w:t>
      </w:r>
      <w:r>
        <w:rPr>
          <w:rFonts w:ascii="Arial" w:hAnsi="Arial"/>
          <w:i/>
          <w:color w:val="231F20"/>
          <w:w w:val="105"/>
          <w:sz w:val="18"/>
        </w:rPr>
        <w:t>nuevo para</w:t>
      </w:r>
      <w:r>
        <w:rPr>
          <w:rFonts w:ascii="Arial" w:hAnsi="Arial"/>
          <w:i/>
          <w:color w:val="231F20"/>
          <w:spacing w:val="-10"/>
          <w:w w:val="105"/>
          <w:sz w:val="18"/>
        </w:rPr>
        <w:t> </w:t>
      </w:r>
      <w:r>
        <w:rPr>
          <w:rFonts w:ascii="Arial" w:hAnsi="Arial"/>
          <w:i/>
          <w:color w:val="231F20"/>
          <w:w w:val="105"/>
          <w:sz w:val="18"/>
        </w:rPr>
        <w:t>mí,</w:t>
      </w:r>
      <w:r>
        <w:rPr>
          <w:rFonts w:ascii="Arial" w:hAnsi="Arial"/>
          <w:i/>
          <w:color w:val="231F20"/>
          <w:spacing w:val="-14"/>
          <w:w w:val="105"/>
          <w:sz w:val="18"/>
        </w:rPr>
        <w:t> </w:t>
      </w:r>
      <w:r>
        <w:rPr>
          <w:rFonts w:ascii="Arial" w:hAnsi="Arial"/>
          <w:i/>
          <w:color w:val="231F20"/>
          <w:w w:val="105"/>
          <w:sz w:val="18"/>
        </w:rPr>
        <w:t>pero</w:t>
      </w:r>
      <w:r>
        <w:rPr>
          <w:rFonts w:ascii="Arial" w:hAnsi="Arial"/>
          <w:i/>
          <w:color w:val="231F20"/>
          <w:spacing w:val="-10"/>
          <w:w w:val="105"/>
          <w:sz w:val="18"/>
        </w:rPr>
        <w:t> </w:t>
      </w:r>
      <w:r>
        <w:rPr>
          <w:rFonts w:ascii="Arial" w:hAnsi="Arial"/>
          <w:i/>
          <w:color w:val="231F20"/>
          <w:w w:val="105"/>
          <w:sz w:val="18"/>
        </w:rPr>
        <w:t>sí</w:t>
      </w:r>
      <w:r>
        <w:rPr>
          <w:rFonts w:ascii="Arial" w:hAnsi="Arial"/>
          <w:i/>
          <w:color w:val="231F20"/>
          <w:spacing w:val="-10"/>
          <w:w w:val="105"/>
          <w:sz w:val="18"/>
        </w:rPr>
        <w:t> </w:t>
      </w:r>
      <w:r>
        <w:rPr>
          <w:rFonts w:ascii="Arial" w:hAnsi="Arial"/>
          <w:i/>
          <w:color w:val="231F20"/>
          <w:w w:val="105"/>
          <w:sz w:val="18"/>
        </w:rPr>
        <w:t>para</w:t>
      </w:r>
      <w:r>
        <w:rPr>
          <w:rFonts w:ascii="Arial" w:hAnsi="Arial"/>
          <w:i/>
          <w:color w:val="231F20"/>
          <w:spacing w:val="-10"/>
          <w:w w:val="105"/>
          <w:sz w:val="18"/>
        </w:rPr>
        <w:t> </w:t>
      </w:r>
      <w:r>
        <w:rPr>
          <w:rFonts w:ascii="Arial" w:hAnsi="Arial"/>
          <w:i/>
          <w:color w:val="231F20"/>
          <w:w w:val="105"/>
          <w:sz w:val="18"/>
        </w:rPr>
        <w:t>los</w:t>
      </w:r>
      <w:r>
        <w:rPr>
          <w:rFonts w:ascii="Arial" w:hAnsi="Arial"/>
          <w:i/>
          <w:color w:val="231F20"/>
          <w:spacing w:val="-10"/>
          <w:w w:val="105"/>
          <w:sz w:val="18"/>
        </w:rPr>
        <w:t> </w:t>
      </w:r>
      <w:r>
        <w:rPr>
          <w:rFonts w:ascii="Arial" w:hAnsi="Arial"/>
          <w:i/>
          <w:color w:val="231F20"/>
          <w:w w:val="105"/>
          <w:sz w:val="18"/>
        </w:rPr>
        <w:t>que</w:t>
      </w:r>
      <w:r>
        <w:rPr>
          <w:rFonts w:ascii="Arial" w:hAnsi="Arial"/>
          <w:i/>
          <w:color w:val="231F20"/>
          <w:spacing w:val="-10"/>
          <w:w w:val="105"/>
          <w:sz w:val="18"/>
        </w:rPr>
        <w:t> </w:t>
      </w:r>
      <w:r>
        <w:rPr>
          <w:rFonts w:ascii="Arial" w:hAnsi="Arial"/>
          <w:i/>
          <w:color w:val="231F20"/>
          <w:w w:val="105"/>
          <w:sz w:val="18"/>
        </w:rPr>
        <w:t>no</w:t>
      </w:r>
      <w:r>
        <w:rPr>
          <w:rFonts w:ascii="Arial" w:hAnsi="Arial"/>
          <w:i/>
          <w:color w:val="231F20"/>
          <w:spacing w:val="-10"/>
          <w:w w:val="105"/>
          <w:sz w:val="18"/>
        </w:rPr>
        <w:t> </w:t>
      </w:r>
      <w:r>
        <w:rPr>
          <w:rFonts w:ascii="Arial" w:hAnsi="Arial"/>
          <w:i/>
          <w:color w:val="231F20"/>
          <w:w w:val="105"/>
          <w:sz w:val="18"/>
        </w:rPr>
        <w:t>se</w:t>
      </w:r>
      <w:r>
        <w:rPr>
          <w:rFonts w:ascii="Arial" w:hAnsi="Arial"/>
          <w:i/>
          <w:color w:val="231F20"/>
          <w:spacing w:val="-10"/>
          <w:w w:val="105"/>
          <w:sz w:val="18"/>
        </w:rPr>
        <w:t> </w:t>
      </w:r>
      <w:r>
        <w:rPr>
          <w:rFonts w:ascii="Arial" w:hAnsi="Arial"/>
          <w:i/>
          <w:color w:val="231F20"/>
          <w:w w:val="105"/>
          <w:sz w:val="18"/>
        </w:rPr>
        <w:t>habían</w:t>
      </w:r>
      <w:r>
        <w:rPr>
          <w:rFonts w:ascii="Arial" w:hAnsi="Arial"/>
          <w:i/>
          <w:color w:val="231F20"/>
          <w:spacing w:val="-10"/>
          <w:w w:val="105"/>
          <w:sz w:val="18"/>
        </w:rPr>
        <w:t> </w:t>
      </w:r>
      <w:r>
        <w:rPr>
          <w:rFonts w:ascii="Arial" w:hAnsi="Arial"/>
          <w:i/>
          <w:color w:val="231F20"/>
          <w:w w:val="105"/>
          <w:sz w:val="18"/>
        </w:rPr>
        <w:t>ido</w:t>
      </w:r>
      <w:r>
        <w:rPr>
          <w:rFonts w:ascii="Arial" w:hAnsi="Arial"/>
          <w:i/>
          <w:color w:val="231F20"/>
          <w:spacing w:val="-10"/>
          <w:w w:val="105"/>
          <w:sz w:val="18"/>
        </w:rPr>
        <w:t> </w:t>
      </w:r>
      <w:r>
        <w:rPr>
          <w:rFonts w:ascii="Arial" w:hAnsi="Arial"/>
          <w:i/>
          <w:color w:val="231F20"/>
          <w:w w:val="105"/>
          <w:sz w:val="18"/>
        </w:rPr>
        <w:t>de</w:t>
      </w:r>
      <w:r>
        <w:rPr>
          <w:rFonts w:ascii="Arial" w:hAnsi="Arial"/>
          <w:i/>
          <w:color w:val="231F20"/>
          <w:spacing w:val="-10"/>
          <w:w w:val="105"/>
          <w:sz w:val="18"/>
        </w:rPr>
        <w:t> </w:t>
      </w:r>
      <w:r>
        <w:rPr>
          <w:rFonts w:ascii="Arial" w:hAnsi="Arial"/>
          <w:i/>
          <w:color w:val="231F20"/>
          <w:w w:val="105"/>
          <w:sz w:val="18"/>
        </w:rPr>
        <w:t>braceros.</w:t>
      </w:r>
      <w:r>
        <w:rPr>
          <w:rFonts w:ascii="Arial" w:hAnsi="Arial"/>
          <w:i/>
          <w:color w:val="231F20"/>
          <w:spacing w:val="-18"/>
          <w:w w:val="105"/>
          <w:sz w:val="18"/>
        </w:rPr>
        <w:t> </w:t>
      </w:r>
      <w:r>
        <w:rPr>
          <w:rFonts w:ascii="Arial" w:hAnsi="Arial"/>
          <w:i/>
          <w:color w:val="231F20"/>
          <w:w w:val="105"/>
          <w:sz w:val="18"/>
        </w:rPr>
        <w:t>Y</w:t>
      </w:r>
      <w:r>
        <w:rPr>
          <w:rFonts w:ascii="Arial" w:hAnsi="Arial"/>
          <w:i/>
          <w:color w:val="231F20"/>
          <w:spacing w:val="-13"/>
          <w:w w:val="105"/>
          <w:sz w:val="18"/>
        </w:rPr>
        <w:t> </w:t>
      </w:r>
      <w:r>
        <w:rPr>
          <w:rFonts w:ascii="Arial" w:hAnsi="Arial"/>
          <w:i/>
          <w:color w:val="231F20"/>
          <w:w w:val="105"/>
          <w:sz w:val="18"/>
        </w:rPr>
        <w:t>ahora</w:t>
      </w:r>
      <w:r>
        <w:rPr>
          <w:rFonts w:ascii="Arial" w:hAnsi="Arial"/>
          <w:i/>
          <w:color w:val="231F20"/>
          <w:spacing w:val="-10"/>
          <w:w w:val="105"/>
          <w:sz w:val="18"/>
        </w:rPr>
        <w:t> </w:t>
      </w:r>
      <w:r>
        <w:rPr>
          <w:rFonts w:ascii="Arial" w:hAnsi="Arial"/>
          <w:i/>
          <w:color w:val="231F20"/>
          <w:w w:val="105"/>
          <w:sz w:val="18"/>
        </w:rPr>
        <w:t>ya toda</w:t>
      </w:r>
      <w:r>
        <w:rPr>
          <w:rFonts w:ascii="Arial" w:hAnsi="Arial"/>
          <w:i/>
          <w:color w:val="231F20"/>
          <w:spacing w:val="-17"/>
          <w:w w:val="105"/>
          <w:sz w:val="18"/>
        </w:rPr>
        <w:t> </w:t>
      </w:r>
      <w:r>
        <w:rPr>
          <w:rFonts w:ascii="Arial" w:hAnsi="Arial"/>
          <w:i/>
          <w:color w:val="231F20"/>
          <w:w w:val="105"/>
          <w:sz w:val="18"/>
        </w:rPr>
        <w:t>la</w:t>
      </w:r>
      <w:r>
        <w:rPr>
          <w:rFonts w:ascii="Arial" w:hAnsi="Arial"/>
          <w:i/>
          <w:color w:val="231F20"/>
          <w:spacing w:val="-17"/>
          <w:w w:val="105"/>
          <w:sz w:val="18"/>
        </w:rPr>
        <w:t> </w:t>
      </w:r>
      <w:r>
        <w:rPr>
          <w:rFonts w:ascii="Arial" w:hAnsi="Arial"/>
          <w:i/>
          <w:color w:val="231F20"/>
          <w:w w:val="105"/>
          <w:sz w:val="18"/>
        </w:rPr>
        <w:t>gente</w:t>
      </w:r>
      <w:r>
        <w:rPr>
          <w:rFonts w:ascii="Arial" w:hAnsi="Arial"/>
          <w:i/>
          <w:color w:val="231F20"/>
          <w:spacing w:val="-17"/>
          <w:w w:val="105"/>
          <w:sz w:val="18"/>
        </w:rPr>
        <w:t> </w:t>
      </w:r>
      <w:r>
        <w:rPr>
          <w:rFonts w:ascii="Arial" w:hAnsi="Arial"/>
          <w:i/>
          <w:color w:val="231F20"/>
          <w:w w:val="105"/>
          <w:sz w:val="18"/>
        </w:rPr>
        <w:t>sabe</w:t>
      </w:r>
      <w:r>
        <w:rPr>
          <w:rFonts w:ascii="Arial" w:hAnsi="Arial"/>
          <w:i/>
          <w:color w:val="231F20"/>
          <w:spacing w:val="-17"/>
          <w:w w:val="105"/>
          <w:sz w:val="18"/>
        </w:rPr>
        <w:t> </w:t>
      </w:r>
      <w:r>
        <w:rPr>
          <w:rFonts w:ascii="Arial" w:hAnsi="Arial"/>
          <w:i/>
          <w:color w:val="231F20"/>
          <w:w w:val="105"/>
          <w:sz w:val="18"/>
        </w:rPr>
        <w:t>usarlos,</w:t>
      </w:r>
      <w:r>
        <w:rPr>
          <w:rFonts w:ascii="Arial" w:hAnsi="Arial"/>
          <w:i/>
          <w:color w:val="231F20"/>
          <w:spacing w:val="-22"/>
          <w:w w:val="105"/>
          <w:sz w:val="18"/>
        </w:rPr>
        <w:t> </w:t>
      </w:r>
      <w:r>
        <w:rPr>
          <w:rFonts w:ascii="Arial" w:hAnsi="Arial"/>
          <w:i/>
          <w:color w:val="231F20"/>
          <w:w w:val="105"/>
          <w:sz w:val="18"/>
        </w:rPr>
        <w:t>pero</w:t>
      </w:r>
      <w:r>
        <w:rPr>
          <w:rFonts w:ascii="Arial" w:hAnsi="Arial"/>
          <w:i/>
          <w:color w:val="231F20"/>
          <w:spacing w:val="-17"/>
          <w:w w:val="105"/>
          <w:sz w:val="18"/>
        </w:rPr>
        <w:t> </w:t>
      </w:r>
      <w:r>
        <w:rPr>
          <w:rFonts w:ascii="Arial" w:hAnsi="Arial"/>
          <w:i/>
          <w:color w:val="231F20"/>
          <w:w w:val="105"/>
          <w:sz w:val="18"/>
        </w:rPr>
        <w:t>en</w:t>
      </w:r>
      <w:r>
        <w:rPr>
          <w:rFonts w:ascii="Arial" w:hAnsi="Arial"/>
          <w:i/>
          <w:color w:val="231F20"/>
          <w:spacing w:val="-17"/>
          <w:w w:val="105"/>
          <w:sz w:val="18"/>
        </w:rPr>
        <w:t> </w:t>
      </w:r>
      <w:r>
        <w:rPr>
          <w:rFonts w:ascii="Arial" w:hAnsi="Arial"/>
          <w:i/>
          <w:color w:val="231F20"/>
          <w:w w:val="105"/>
          <w:sz w:val="18"/>
        </w:rPr>
        <w:t>aquella</w:t>
      </w:r>
      <w:r>
        <w:rPr>
          <w:rFonts w:ascii="Arial" w:hAnsi="Arial"/>
          <w:i/>
          <w:color w:val="231F20"/>
          <w:spacing w:val="-17"/>
          <w:w w:val="105"/>
          <w:sz w:val="18"/>
        </w:rPr>
        <w:t> </w:t>
      </w:r>
      <w:r>
        <w:rPr>
          <w:rFonts w:ascii="Arial" w:hAnsi="Arial"/>
          <w:i/>
          <w:color w:val="231F20"/>
          <w:w w:val="105"/>
          <w:sz w:val="18"/>
        </w:rPr>
        <w:t>época</w:t>
      </w:r>
      <w:r>
        <w:rPr>
          <w:rFonts w:ascii="Arial" w:hAnsi="Arial"/>
          <w:i/>
          <w:color w:val="231F20"/>
          <w:spacing w:val="-17"/>
          <w:w w:val="105"/>
          <w:sz w:val="18"/>
        </w:rPr>
        <w:t> </w:t>
      </w:r>
      <w:r>
        <w:rPr>
          <w:rFonts w:ascii="Arial" w:hAnsi="Arial"/>
          <w:i/>
          <w:color w:val="231F20"/>
          <w:w w:val="105"/>
          <w:sz w:val="18"/>
        </w:rPr>
        <w:t>no.</w:t>
      </w:r>
    </w:p>
    <w:p>
      <w:pPr>
        <w:spacing w:line="249" w:lineRule="auto" w:before="114"/>
        <w:ind w:left="2971" w:right="1718" w:firstLine="0"/>
        <w:jc w:val="both"/>
        <w:rPr>
          <w:rFonts w:ascii="Arial" w:hAnsi="Arial"/>
          <w:i/>
          <w:sz w:val="18"/>
        </w:rPr>
      </w:pPr>
      <w:r>
        <w:rPr>
          <w:rFonts w:ascii="Arial" w:hAnsi="Arial"/>
          <w:i/>
          <w:color w:val="231F20"/>
          <w:w w:val="105"/>
          <w:sz w:val="18"/>
        </w:rPr>
        <w:t>El</w:t>
      </w:r>
      <w:r>
        <w:rPr>
          <w:rFonts w:ascii="Arial" w:hAnsi="Arial"/>
          <w:i/>
          <w:color w:val="231F20"/>
          <w:spacing w:val="-18"/>
          <w:w w:val="105"/>
          <w:sz w:val="18"/>
        </w:rPr>
        <w:t> </w:t>
      </w:r>
      <w:r>
        <w:rPr>
          <w:rFonts w:ascii="Arial" w:hAnsi="Arial"/>
          <w:i/>
          <w:color w:val="231F20"/>
          <w:w w:val="105"/>
          <w:sz w:val="18"/>
        </w:rPr>
        <w:t>que</w:t>
      </w:r>
      <w:r>
        <w:rPr>
          <w:rFonts w:ascii="Arial" w:hAnsi="Arial"/>
          <w:i/>
          <w:color w:val="231F20"/>
          <w:spacing w:val="-18"/>
          <w:w w:val="105"/>
          <w:sz w:val="18"/>
        </w:rPr>
        <w:t> </w:t>
      </w:r>
      <w:r>
        <w:rPr>
          <w:rFonts w:ascii="Arial" w:hAnsi="Arial"/>
          <w:i/>
          <w:color w:val="231F20"/>
          <w:w w:val="105"/>
          <w:sz w:val="18"/>
        </w:rPr>
        <w:t>se</w:t>
      </w:r>
      <w:r>
        <w:rPr>
          <w:rFonts w:ascii="Arial" w:hAnsi="Arial"/>
          <w:i/>
          <w:color w:val="231F20"/>
          <w:spacing w:val="-18"/>
          <w:w w:val="105"/>
          <w:sz w:val="18"/>
        </w:rPr>
        <w:t> </w:t>
      </w:r>
      <w:r>
        <w:rPr>
          <w:rFonts w:ascii="Arial" w:hAnsi="Arial"/>
          <w:i/>
          <w:color w:val="231F20"/>
          <w:w w:val="105"/>
          <w:sz w:val="18"/>
        </w:rPr>
        <w:t>fue</w:t>
      </w:r>
      <w:r>
        <w:rPr>
          <w:rFonts w:ascii="Arial" w:hAnsi="Arial"/>
          <w:i/>
          <w:color w:val="231F20"/>
          <w:spacing w:val="-18"/>
          <w:w w:val="105"/>
          <w:sz w:val="18"/>
        </w:rPr>
        <w:t> </w:t>
      </w:r>
      <w:r>
        <w:rPr>
          <w:rFonts w:ascii="Arial" w:hAnsi="Arial"/>
          <w:i/>
          <w:color w:val="231F20"/>
          <w:w w:val="105"/>
          <w:sz w:val="18"/>
        </w:rPr>
        <w:t>de</w:t>
      </w:r>
      <w:r>
        <w:rPr>
          <w:rFonts w:ascii="Arial" w:hAnsi="Arial"/>
          <w:i/>
          <w:color w:val="231F20"/>
          <w:spacing w:val="-18"/>
          <w:w w:val="105"/>
          <w:sz w:val="18"/>
        </w:rPr>
        <w:t> </w:t>
      </w:r>
      <w:r>
        <w:rPr>
          <w:rFonts w:ascii="Arial" w:hAnsi="Arial"/>
          <w:i/>
          <w:color w:val="231F20"/>
          <w:w w:val="105"/>
          <w:sz w:val="18"/>
        </w:rPr>
        <w:t>bracero</w:t>
      </w:r>
      <w:r>
        <w:rPr>
          <w:rFonts w:ascii="Arial" w:hAnsi="Arial"/>
          <w:i/>
          <w:color w:val="231F20"/>
          <w:spacing w:val="-18"/>
          <w:w w:val="105"/>
          <w:sz w:val="18"/>
        </w:rPr>
        <w:t> </w:t>
      </w:r>
      <w:r>
        <w:rPr>
          <w:rFonts w:ascii="Arial" w:hAnsi="Arial"/>
          <w:i/>
          <w:color w:val="231F20"/>
          <w:w w:val="105"/>
          <w:sz w:val="18"/>
        </w:rPr>
        <w:t>sufrió</w:t>
      </w:r>
      <w:r>
        <w:rPr>
          <w:rFonts w:ascii="Arial" w:hAnsi="Arial"/>
          <w:i/>
          <w:color w:val="231F20"/>
          <w:spacing w:val="-18"/>
          <w:w w:val="105"/>
          <w:sz w:val="18"/>
        </w:rPr>
        <w:t> </w:t>
      </w:r>
      <w:r>
        <w:rPr>
          <w:rFonts w:ascii="Arial" w:hAnsi="Arial"/>
          <w:i/>
          <w:color w:val="231F20"/>
          <w:w w:val="105"/>
          <w:sz w:val="18"/>
        </w:rPr>
        <w:t>mucho.</w:t>
      </w:r>
      <w:r>
        <w:rPr>
          <w:rFonts w:ascii="Arial" w:hAnsi="Arial"/>
          <w:i/>
          <w:color w:val="231F20"/>
          <w:spacing w:val="-22"/>
          <w:w w:val="105"/>
          <w:sz w:val="18"/>
        </w:rPr>
        <w:t> </w:t>
      </w:r>
      <w:r>
        <w:rPr>
          <w:rFonts w:ascii="Arial" w:hAnsi="Arial"/>
          <w:i/>
          <w:color w:val="231F20"/>
          <w:spacing w:val="-5"/>
          <w:w w:val="105"/>
          <w:sz w:val="18"/>
        </w:rPr>
        <w:t>Por</w:t>
      </w:r>
      <w:r>
        <w:rPr>
          <w:rFonts w:ascii="Arial" w:hAnsi="Arial"/>
          <w:i/>
          <w:color w:val="231F20"/>
          <w:spacing w:val="-18"/>
          <w:w w:val="105"/>
          <w:sz w:val="18"/>
        </w:rPr>
        <w:t> </w:t>
      </w:r>
      <w:r>
        <w:rPr>
          <w:rFonts w:ascii="Arial" w:hAnsi="Arial"/>
          <w:i/>
          <w:color w:val="231F20"/>
          <w:w w:val="105"/>
          <w:sz w:val="18"/>
        </w:rPr>
        <w:t>eso</w:t>
      </w:r>
      <w:r>
        <w:rPr>
          <w:rFonts w:ascii="Arial" w:hAnsi="Arial"/>
          <w:i/>
          <w:color w:val="231F20"/>
          <w:spacing w:val="-18"/>
          <w:w w:val="105"/>
          <w:sz w:val="18"/>
        </w:rPr>
        <w:t> </w:t>
      </w:r>
      <w:r>
        <w:rPr>
          <w:rFonts w:ascii="Arial" w:hAnsi="Arial"/>
          <w:i/>
          <w:color w:val="231F20"/>
          <w:w w:val="105"/>
          <w:sz w:val="18"/>
        </w:rPr>
        <w:t>cuando</w:t>
      </w:r>
      <w:r>
        <w:rPr>
          <w:rFonts w:ascii="Arial" w:hAnsi="Arial"/>
          <w:i/>
          <w:color w:val="231F20"/>
          <w:spacing w:val="-18"/>
          <w:w w:val="105"/>
          <w:sz w:val="18"/>
        </w:rPr>
        <w:t> </w:t>
      </w:r>
      <w:r>
        <w:rPr>
          <w:rFonts w:ascii="Arial" w:hAnsi="Arial"/>
          <w:i/>
          <w:color w:val="231F20"/>
          <w:w w:val="105"/>
          <w:sz w:val="18"/>
        </w:rPr>
        <w:t>me</w:t>
      </w:r>
      <w:r>
        <w:rPr>
          <w:rFonts w:ascii="Arial" w:hAnsi="Arial"/>
          <w:i/>
          <w:color w:val="231F20"/>
          <w:spacing w:val="-18"/>
          <w:w w:val="105"/>
          <w:sz w:val="18"/>
        </w:rPr>
        <w:t> </w:t>
      </w:r>
      <w:r>
        <w:rPr>
          <w:rFonts w:ascii="Arial" w:hAnsi="Arial"/>
          <w:i/>
          <w:color w:val="231F20"/>
          <w:w w:val="105"/>
          <w:sz w:val="18"/>
        </w:rPr>
        <w:t>fui</w:t>
      </w:r>
      <w:r>
        <w:rPr>
          <w:rFonts w:ascii="Arial" w:hAnsi="Arial"/>
          <w:i/>
          <w:color w:val="231F20"/>
          <w:spacing w:val="-18"/>
          <w:w w:val="105"/>
          <w:sz w:val="18"/>
        </w:rPr>
        <w:t> </w:t>
      </w:r>
      <w:r>
        <w:rPr>
          <w:rFonts w:ascii="Arial" w:hAnsi="Arial"/>
          <w:i/>
          <w:color w:val="231F20"/>
          <w:w w:val="105"/>
          <w:sz w:val="18"/>
        </w:rPr>
        <w:t>a</w:t>
      </w:r>
      <w:r>
        <w:rPr>
          <w:rFonts w:ascii="Arial" w:hAnsi="Arial"/>
          <w:i/>
          <w:color w:val="231F20"/>
          <w:spacing w:val="-18"/>
          <w:w w:val="105"/>
          <w:sz w:val="18"/>
        </w:rPr>
        <w:t> </w:t>
      </w:r>
      <w:r>
        <w:rPr>
          <w:rFonts w:ascii="Arial" w:hAnsi="Arial"/>
          <w:i/>
          <w:color w:val="231F20"/>
          <w:w w:val="105"/>
          <w:sz w:val="18"/>
        </w:rPr>
        <w:t>trabajar </w:t>
      </w:r>
      <w:r>
        <w:rPr>
          <w:rFonts w:ascii="Arial" w:hAnsi="Arial"/>
          <w:i/>
          <w:color w:val="231F20"/>
          <w:w w:val="105"/>
          <w:sz w:val="18"/>
        </w:rPr>
        <w:t>en</w:t>
      </w:r>
      <w:r>
        <w:rPr>
          <w:rFonts w:ascii="Arial" w:hAnsi="Arial"/>
          <w:i/>
          <w:color w:val="231F20"/>
          <w:spacing w:val="-19"/>
          <w:w w:val="105"/>
          <w:sz w:val="18"/>
        </w:rPr>
        <w:t> </w:t>
      </w:r>
      <w:r>
        <w:rPr>
          <w:rFonts w:ascii="Arial" w:hAnsi="Arial"/>
          <w:i/>
          <w:color w:val="231F20"/>
          <w:w w:val="105"/>
          <w:sz w:val="18"/>
        </w:rPr>
        <w:t>las</w:t>
      </w:r>
      <w:r>
        <w:rPr>
          <w:rFonts w:ascii="Arial" w:hAnsi="Arial"/>
          <w:i/>
          <w:color w:val="231F20"/>
          <w:spacing w:val="-19"/>
          <w:w w:val="105"/>
          <w:sz w:val="18"/>
        </w:rPr>
        <w:t> </w:t>
      </w:r>
      <w:r>
        <w:rPr>
          <w:rFonts w:ascii="Arial" w:hAnsi="Arial"/>
          <w:i/>
          <w:color w:val="231F20"/>
          <w:w w:val="105"/>
          <w:sz w:val="18"/>
        </w:rPr>
        <w:t>yardas</w:t>
      </w:r>
      <w:r>
        <w:rPr>
          <w:rFonts w:ascii="Arial" w:hAnsi="Arial"/>
          <w:i/>
          <w:color w:val="231F20"/>
          <w:spacing w:val="-19"/>
          <w:w w:val="105"/>
          <w:sz w:val="18"/>
        </w:rPr>
        <w:t> </w:t>
      </w:r>
      <w:r>
        <w:rPr>
          <w:rFonts w:ascii="Arial" w:hAnsi="Arial"/>
          <w:i/>
          <w:color w:val="231F20"/>
          <w:w w:val="105"/>
          <w:sz w:val="18"/>
        </w:rPr>
        <w:t>ya</w:t>
      </w:r>
      <w:r>
        <w:rPr>
          <w:rFonts w:ascii="Arial" w:hAnsi="Arial"/>
          <w:i/>
          <w:color w:val="231F20"/>
          <w:spacing w:val="-19"/>
          <w:w w:val="105"/>
          <w:sz w:val="18"/>
        </w:rPr>
        <w:t> </w:t>
      </w:r>
      <w:r>
        <w:rPr>
          <w:rFonts w:ascii="Arial" w:hAnsi="Arial"/>
          <w:i/>
          <w:color w:val="231F20"/>
          <w:w w:val="105"/>
          <w:sz w:val="18"/>
        </w:rPr>
        <w:t>no</w:t>
      </w:r>
      <w:r>
        <w:rPr>
          <w:rFonts w:ascii="Arial" w:hAnsi="Arial"/>
          <w:i/>
          <w:color w:val="231F20"/>
          <w:spacing w:val="-19"/>
          <w:w w:val="105"/>
          <w:sz w:val="18"/>
        </w:rPr>
        <w:t> </w:t>
      </w:r>
      <w:r>
        <w:rPr>
          <w:rFonts w:ascii="Arial" w:hAnsi="Arial"/>
          <w:i/>
          <w:color w:val="231F20"/>
          <w:w w:val="105"/>
          <w:sz w:val="18"/>
        </w:rPr>
        <w:t>se</w:t>
      </w:r>
      <w:r>
        <w:rPr>
          <w:rFonts w:ascii="Arial" w:hAnsi="Arial"/>
          <w:i/>
          <w:color w:val="231F20"/>
          <w:spacing w:val="-19"/>
          <w:w w:val="105"/>
          <w:sz w:val="18"/>
        </w:rPr>
        <w:t> </w:t>
      </w:r>
      <w:r>
        <w:rPr>
          <w:rFonts w:ascii="Arial" w:hAnsi="Arial"/>
          <w:i/>
          <w:color w:val="231F20"/>
          <w:w w:val="105"/>
          <w:sz w:val="18"/>
        </w:rPr>
        <w:t>me</w:t>
      </w:r>
      <w:r>
        <w:rPr>
          <w:rFonts w:ascii="Arial" w:hAnsi="Arial"/>
          <w:i/>
          <w:color w:val="231F20"/>
          <w:spacing w:val="-19"/>
          <w:w w:val="105"/>
          <w:sz w:val="18"/>
        </w:rPr>
        <w:t> </w:t>
      </w:r>
      <w:r>
        <w:rPr>
          <w:rFonts w:ascii="Arial" w:hAnsi="Arial"/>
          <w:i/>
          <w:color w:val="231F20"/>
          <w:w w:val="105"/>
          <w:sz w:val="18"/>
        </w:rPr>
        <w:t>hizo</w:t>
      </w:r>
      <w:r>
        <w:rPr>
          <w:rFonts w:ascii="Arial" w:hAnsi="Arial"/>
          <w:i/>
          <w:color w:val="231F20"/>
          <w:spacing w:val="-19"/>
          <w:w w:val="105"/>
          <w:sz w:val="18"/>
        </w:rPr>
        <w:t> </w:t>
      </w:r>
      <w:r>
        <w:rPr>
          <w:rFonts w:ascii="Arial" w:hAnsi="Arial"/>
          <w:i/>
          <w:color w:val="231F20"/>
          <w:w w:val="105"/>
          <w:sz w:val="18"/>
        </w:rPr>
        <w:t>pesado.</w:t>
      </w:r>
      <w:r>
        <w:rPr>
          <w:rFonts w:ascii="Arial" w:hAnsi="Arial"/>
          <w:i/>
          <w:color w:val="231F20"/>
          <w:spacing w:val="-23"/>
          <w:w w:val="105"/>
          <w:sz w:val="18"/>
        </w:rPr>
        <w:t> </w:t>
      </w:r>
      <w:r>
        <w:rPr>
          <w:rFonts w:ascii="Arial" w:hAnsi="Arial"/>
          <w:i/>
          <w:color w:val="231F20"/>
          <w:w w:val="105"/>
          <w:sz w:val="18"/>
        </w:rPr>
        <w:t>Los</w:t>
      </w:r>
      <w:r>
        <w:rPr>
          <w:rFonts w:ascii="Arial" w:hAnsi="Arial"/>
          <w:i/>
          <w:color w:val="231F20"/>
          <w:spacing w:val="-19"/>
          <w:w w:val="105"/>
          <w:sz w:val="18"/>
        </w:rPr>
        <w:t> </w:t>
      </w:r>
      <w:r>
        <w:rPr>
          <w:rFonts w:ascii="Arial" w:hAnsi="Arial"/>
          <w:i/>
          <w:color w:val="231F20"/>
          <w:w w:val="105"/>
          <w:sz w:val="18"/>
        </w:rPr>
        <w:t>últimos</w:t>
      </w:r>
      <w:r>
        <w:rPr>
          <w:rFonts w:ascii="Arial" w:hAnsi="Arial"/>
          <w:i/>
          <w:color w:val="231F20"/>
          <w:spacing w:val="-19"/>
          <w:w w:val="105"/>
          <w:sz w:val="18"/>
        </w:rPr>
        <w:t> </w:t>
      </w:r>
      <w:r>
        <w:rPr>
          <w:rFonts w:ascii="Arial" w:hAnsi="Arial"/>
          <w:i/>
          <w:color w:val="231F20"/>
          <w:w w:val="105"/>
          <w:sz w:val="18"/>
        </w:rPr>
        <w:t>años</w:t>
      </w:r>
      <w:r>
        <w:rPr>
          <w:rFonts w:ascii="Arial" w:hAnsi="Arial"/>
          <w:i/>
          <w:color w:val="231F20"/>
          <w:spacing w:val="-19"/>
          <w:w w:val="105"/>
          <w:sz w:val="18"/>
        </w:rPr>
        <w:t> </w:t>
      </w:r>
      <w:r>
        <w:rPr>
          <w:rFonts w:ascii="Arial" w:hAnsi="Arial"/>
          <w:i/>
          <w:color w:val="231F20"/>
          <w:w w:val="105"/>
          <w:sz w:val="18"/>
        </w:rPr>
        <w:t>que</w:t>
      </w:r>
      <w:r>
        <w:rPr>
          <w:rFonts w:ascii="Arial" w:hAnsi="Arial"/>
          <w:i/>
          <w:color w:val="231F20"/>
          <w:spacing w:val="-19"/>
          <w:w w:val="105"/>
          <w:sz w:val="18"/>
        </w:rPr>
        <w:t> </w:t>
      </w:r>
      <w:r>
        <w:rPr>
          <w:rFonts w:ascii="Arial" w:hAnsi="Arial"/>
          <w:i/>
          <w:color w:val="231F20"/>
          <w:w w:val="105"/>
          <w:sz w:val="18"/>
        </w:rPr>
        <w:t>estuve</w:t>
      </w:r>
      <w:r>
        <w:rPr>
          <w:rFonts w:ascii="Arial" w:hAnsi="Arial"/>
          <w:i/>
          <w:color w:val="231F20"/>
          <w:spacing w:val="-19"/>
          <w:w w:val="105"/>
          <w:sz w:val="18"/>
        </w:rPr>
        <w:t> </w:t>
      </w:r>
      <w:r>
        <w:rPr>
          <w:rFonts w:ascii="Arial" w:hAnsi="Arial"/>
          <w:i/>
          <w:color w:val="231F20"/>
          <w:w w:val="105"/>
          <w:sz w:val="18"/>
        </w:rPr>
        <w:t>en Estados</w:t>
      </w:r>
      <w:r>
        <w:rPr>
          <w:rFonts w:ascii="Arial" w:hAnsi="Arial"/>
          <w:i/>
          <w:color w:val="231F20"/>
          <w:spacing w:val="-13"/>
          <w:w w:val="105"/>
          <w:sz w:val="18"/>
        </w:rPr>
        <w:t> </w:t>
      </w:r>
      <w:r>
        <w:rPr>
          <w:rFonts w:ascii="Arial" w:hAnsi="Arial"/>
          <w:i/>
          <w:color w:val="231F20"/>
          <w:w w:val="105"/>
          <w:sz w:val="18"/>
        </w:rPr>
        <w:t>Unidos</w:t>
      </w:r>
      <w:r>
        <w:rPr>
          <w:rFonts w:ascii="Arial" w:hAnsi="Arial"/>
          <w:i/>
          <w:color w:val="231F20"/>
          <w:spacing w:val="-13"/>
          <w:w w:val="105"/>
          <w:sz w:val="18"/>
        </w:rPr>
        <w:t> </w:t>
      </w:r>
      <w:r>
        <w:rPr>
          <w:rFonts w:ascii="Arial" w:hAnsi="Arial"/>
          <w:i/>
          <w:color w:val="231F20"/>
          <w:w w:val="105"/>
          <w:sz w:val="18"/>
        </w:rPr>
        <w:t>mis</w:t>
      </w:r>
      <w:r>
        <w:rPr>
          <w:rFonts w:ascii="Arial" w:hAnsi="Arial"/>
          <w:i/>
          <w:color w:val="231F20"/>
          <w:spacing w:val="-13"/>
          <w:w w:val="105"/>
          <w:sz w:val="18"/>
        </w:rPr>
        <w:t> </w:t>
      </w:r>
      <w:r>
        <w:rPr>
          <w:rFonts w:ascii="Arial" w:hAnsi="Arial"/>
          <w:i/>
          <w:color w:val="231F20"/>
          <w:w w:val="105"/>
          <w:sz w:val="18"/>
        </w:rPr>
        <w:t>hijos</w:t>
      </w:r>
      <w:r>
        <w:rPr>
          <w:rFonts w:ascii="Arial" w:hAnsi="Arial"/>
          <w:i/>
          <w:color w:val="231F20"/>
          <w:spacing w:val="-13"/>
          <w:w w:val="105"/>
          <w:sz w:val="18"/>
        </w:rPr>
        <w:t> </w:t>
      </w:r>
      <w:r>
        <w:rPr>
          <w:rFonts w:ascii="Arial" w:hAnsi="Arial"/>
          <w:i/>
          <w:color w:val="231F20"/>
          <w:w w:val="105"/>
          <w:sz w:val="18"/>
        </w:rPr>
        <w:t>me</w:t>
      </w:r>
      <w:r>
        <w:rPr>
          <w:rFonts w:ascii="Arial" w:hAnsi="Arial"/>
          <w:i/>
          <w:color w:val="231F20"/>
          <w:spacing w:val="-13"/>
          <w:w w:val="105"/>
          <w:sz w:val="18"/>
        </w:rPr>
        <w:t> </w:t>
      </w:r>
      <w:r>
        <w:rPr>
          <w:rFonts w:ascii="Arial" w:hAnsi="Arial"/>
          <w:i/>
          <w:color w:val="231F20"/>
          <w:w w:val="105"/>
          <w:sz w:val="18"/>
        </w:rPr>
        <w:t>decían:</w:t>
      </w:r>
      <w:r>
        <w:rPr>
          <w:rFonts w:ascii="Arial" w:hAnsi="Arial"/>
          <w:i/>
          <w:color w:val="231F20"/>
          <w:spacing w:val="-13"/>
          <w:w w:val="105"/>
          <w:sz w:val="18"/>
        </w:rPr>
        <w:t> </w:t>
      </w:r>
      <w:r>
        <w:rPr>
          <w:rFonts w:ascii="Arial" w:hAnsi="Arial"/>
          <w:i/>
          <w:color w:val="231F20"/>
          <w:w w:val="105"/>
          <w:sz w:val="18"/>
        </w:rPr>
        <w:t>papá</w:t>
      </w:r>
      <w:r>
        <w:rPr>
          <w:rFonts w:ascii="Arial" w:hAnsi="Arial"/>
          <w:i/>
          <w:color w:val="231F20"/>
          <w:spacing w:val="-13"/>
          <w:w w:val="105"/>
          <w:sz w:val="18"/>
        </w:rPr>
        <w:t> </w:t>
      </w:r>
      <w:r>
        <w:rPr>
          <w:rFonts w:ascii="Arial" w:hAnsi="Arial"/>
          <w:i/>
          <w:color w:val="231F20"/>
          <w:w w:val="105"/>
          <w:sz w:val="18"/>
        </w:rPr>
        <w:t>ya</w:t>
      </w:r>
      <w:r>
        <w:rPr>
          <w:rFonts w:ascii="Arial" w:hAnsi="Arial"/>
          <w:i/>
          <w:color w:val="231F20"/>
          <w:spacing w:val="-13"/>
          <w:w w:val="105"/>
          <w:sz w:val="18"/>
        </w:rPr>
        <w:t> </w:t>
      </w:r>
      <w:r>
        <w:rPr>
          <w:rFonts w:ascii="Arial" w:hAnsi="Arial"/>
          <w:i/>
          <w:color w:val="231F20"/>
          <w:w w:val="105"/>
          <w:sz w:val="18"/>
        </w:rPr>
        <w:t>no</w:t>
      </w:r>
      <w:r>
        <w:rPr>
          <w:rFonts w:ascii="Arial" w:hAnsi="Arial"/>
          <w:i/>
          <w:color w:val="231F20"/>
          <w:spacing w:val="-13"/>
          <w:w w:val="105"/>
          <w:sz w:val="18"/>
        </w:rPr>
        <w:t> </w:t>
      </w:r>
      <w:r>
        <w:rPr>
          <w:rFonts w:ascii="Arial" w:hAnsi="Arial"/>
          <w:i/>
          <w:color w:val="231F20"/>
          <w:w w:val="105"/>
          <w:sz w:val="18"/>
        </w:rPr>
        <w:t>trabaje,</w:t>
      </w:r>
      <w:r>
        <w:rPr>
          <w:rFonts w:ascii="Arial" w:hAnsi="Arial"/>
          <w:i/>
          <w:color w:val="231F20"/>
          <w:spacing w:val="-17"/>
          <w:w w:val="105"/>
          <w:sz w:val="18"/>
        </w:rPr>
        <w:t> </w:t>
      </w:r>
      <w:r>
        <w:rPr>
          <w:rFonts w:ascii="Arial" w:hAnsi="Arial"/>
          <w:i/>
          <w:color w:val="231F20"/>
          <w:w w:val="105"/>
          <w:sz w:val="18"/>
        </w:rPr>
        <w:t>y</w:t>
      </w:r>
      <w:r>
        <w:rPr>
          <w:rFonts w:ascii="Arial" w:hAnsi="Arial"/>
          <w:i/>
          <w:color w:val="231F20"/>
          <w:spacing w:val="-13"/>
          <w:w w:val="105"/>
          <w:sz w:val="18"/>
        </w:rPr>
        <w:t> </w:t>
      </w:r>
      <w:r>
        <w:rPr>
          <w:rFonts w:ascii="Arial" w:hAnsi="Arial"/>
          <w:i/>
          <w:color w:val="231F20"/>
          <w:w w:val="105"/>
          <w:sz w:val="18"/>
        </w:rPr>
        <w:t>siempre</w:t>
      </w:r>
      <w:r>
        <w:rPr>
          <w:rFonts w:ascii="Arial" w:hAnsi="Arial"/>
          <w:i/>
          <w:color w:val="231F20"/>
          <w:spacing w:val="-13"/>
          <w:w w:val="105"/>
          <w:sz w:val="18"/>
        </w:rPr>
        <w:t> </w:t>
      </w:r>
      <w:r>
        <w:rPr>
          <w:rFonts w:ascii="Arial" w:hAnsi="Arial"/>
          <w:i/>
          <w:color w:val="231F20"/>
          <w:w w:val="105"/>
          <w:sz w:val="18"/>
        </w:rPr>
        <w:t>les respondía:</w:t>
      </w:r>
      <w:r>
        <w:rPr>
          <w:rFonts w:ascii="Arial" w:hAnsi="Arial"/>
          <w:i/>
          <w:color w:val="231F20"/>
          <w:spacing w:val="-31"/>
          <w:w w:val="105"/>
          <w:sz w:val="18"/>
        </w:rPr>
        <w:t> </w:t>
      </w:r>
      <w:r>
        <w:rPr>
          <w:rFonts w:ascii="Arial" w:hAnsi="Arial"/>
          <w:i/>
          <w:color w:val="231F20"/>
          <w:w w:val="105"/>
          <w:sz w:val="18"/>
        </w:rPr>
        <w:t>¿trabajo?</w:t>
      </w:r>
      <w:r>
        <w:rPr>
          <w:rFonts w:ascii="Arial" w:hAnsi="Arial"/>
          <w:i/>
          <w:color w:val="231F20"/>
          <w:spacing w:val="-31"/>
          <w:w w:val="105"/>
          <w:sz w:val="18"/>
        </w:rPr>
        <w:t> </w:t>
      </w:r>
      <w:r>
        <w:rPr>
          <w:rFonts w:ascii="Arial" w:hAnsi="Arial"/>
          <w:i/>
          <w:color w:val="231F20"/>
          <w:w w:val="105"/>
          <w:sz w:val="18"/>
        </w:rPr>
        <w:t>¡No!</w:t>
      </w:r>
      <w:r>
        <w:rPr>
          <w:rFonts w:ascii="Arial" w:hAnsi="Arial"/>
          <w:i/>
          <w:color w:val="231F20"/>
          <w:spacing w:val="-31"/>
          <w:w w:val="105"/>
          <w:sz w:val="18"/>
        </w:rPr>
        <w:t> </w:t>
      </w:r>
      <w:r>
        <w:rPr>
          <w:rFonts w:ascii="Arial" w:hAnsi="Arial"/>
          <w:i/>
          <w:color w:val="231F20"/>
          <w:w w:val="105"/>
          <w:sz w:val="18"/>
        </w:rPr>
        <w:t>Si</w:t>
      </w:r>
      <w:r>
        <w:rPr>
          <w:rFonts w:ascii="Arial" w:hAnsi="Arial"/>
          <w:i/>
          <w:color w:val="231F20"/>
          <w:spacing w:val="-31"/>
          <w:w w:val="105"/>
          <w:sz w:val="18"/>
        </w:rPr>
        <w:t> </w:t>
      </w:r>
      <w:r>
        <w:rPr>
          <w:rFonts w:ascii="Arial" w:hAnsi="Arial"/>
          <w:i/>
          <w:color w:val="231F20"/>
          <w:w w:val="105"/>
          <w:sz w:val="18"/>
        </w:rPr>
        <w:t>para</w:t>
      </w:r>
      <w:r>
        <w:rPr>
          <w:rFonts w:ascii="Arial" w:hAnsi="Arial"/>
          <w:i/>
          <w:color w:val="231F20"/>
          <w:spacing w:val="-31"/>
          <w:w w:val="105"/>
          <w:sz w:val="18"/>
        </w:rPr>
        <w:t> </w:t>
      </w:r>
      <w:r>
        <w:rPr>
          <w:rFonts w:ascii="Arial" w:hAnsi="Arial"/>
          <w:i/>
          <w:color w:val="231F20"/>
          <w:w w:val="105"/>
          <w:sz w:val="18"/>
        </w:rPr>
        <w:t>mí</w:t>
      </w:r>
      <w:r>
        <w:rPr>
          <w:rFonts w:ascii="Arial" w:hAnsi="Arial"/>
          <w:i/>
          <w:color w:val="231F20"/>
          <w:spacing w:val="-31"/>
          <w:w w:val="105"/>
          <w:sz w:val="18"/>
        </w:rPr>
        <w:t> </w:t>
      </w:r>
      <w:r>
        <w:rPr>
          <w:rFonts w:ascii="Arial" w:hAnsi="Arial"/>
          <w:i/>
          <w:color w:val="231F20"/>
          <w:w w:val="105"/>
          <w:sz w:val="18"/>
        </w:rPr>
        <w:t>cuidar</w:t>
      </w:r>
      <w:r>
        <w:rPr>
          <w:rFonts w:ascii="Arial" w:hAnsi="Arial"/>
          <w:i/>
          <w:color w:val="231F20"/>
          <w:spacing w:val="-31"/>
          <w:w w:val="105"/>
          <w:sz w:val="18"/>
        </w:rPr>
        <w:t> </w:t>
      </w:r>
      <w:r>
        <w:rPr>
          <w:rFonts w:ascii="Arial" w:hAnsi="Arial"/>
          <w:i/>
          <w:color w:val="231F20"/>
          <w:w w:val="105"/>
          <w:sz w:val="18"/>
        </w:rPr>
        <w:t>un</w:t>
      </w:r>
      <w:r>
        <w:rPr>
          <w:rFonts w:ascii="Arial" w:hAnsi="Arial"/>
          <w:i/>
          <w:color w:val="231F20"/>
          <w:spacing w:val="-31"/>
          <w:w w:val="105"/>
          <w:sz w:val="18"/>
        </w:rPr>
        <w:t> </w:t>
      </w:r>
      <w:r>
        <w:rPr>
          <w:rFonts w:ascii="Arial" w:hAnsi="Arial"/>
          <w:i/>
          <w:color w:val="231F20"/>
          <w:w w:val="105"/>
          <w:sz w:val="18"/>
        </w:rPr>
        <w:t>jardín</w:t>
      </w:r>
      <w:r>
        <w:rPr>
          <w:rFonts w:ascii="Arial" w:hAnsi="Arial"/>
          <w:i/>
          <w:color w:val="231F20"/>
          <w:spacing w:val="-31"/>
          <w:w w:val="105"/>
          <w:sz w:val="18"/>
        </w:rPr>
        <w:t> </w:t>
      </w:r>
      <w:r>
        <w:rPr>
          <w:rFonts w:ascii="Arial" w:hAnsi="Arial"/>
          <w:i/>
          <w:color w:val="231F20"/>
          <w:w w:val="105"/>
          <w:sz w:val="18"/>
        </w:rPr>
        <w:t>es</w:t>
      </w:r>
      <w:r>
        <w:rPr>
          <w:rFonts w:ascii="Arial" w:hAnsi="Arial"/>
          <w:i/>
          <w:color w:val="231F20"/>
          <w:spacing w:val="-31"/>
          <w:w w:val="105"/>
          <w:sz w:val="18"/>
        </w:rPr>
        <w:t> </w:t>
      </w:r>
      <w:r>
        <w:rPr>
          <w:rFonts w:ascii="Arial" w:hAnsi="Arial"/>
          <w:i/>
          <w:color w:val="231F20"/>
          <w:w w:val="105"/>
          <w:sz w:val="18"/>
        </w:rPr>
        <w:t>una</w:t>
      </w:r>
      <w:r>
        <w:rPr>
          <w:rFonts w:ascii="Arial" w:hAnsi="Arial"/>
          <w:i/>
          <w:color w:val="231F20"/>
          <w:spacing w:val="-31"/>
          <w:w w:val="105"/>
          <w:sz w:val="18"/>
        </w:rPr>
        <w:t> </w:t>
      </w:r>
      <w:r>
        <w:rPr>
          <w:rFonts w:ascii="Arial" w:hAnsi="Arial"/>
          <w:i/>
          <w:color w:val="231F20"/>
          <w:w w:val="105"/>
          <w:sz w:val="18"/>
        </w:rPr>
        <w:t>distracción</w:t>
      </w:r>
      <w:r>
        <w:rPr>
          <w:rFonts w:ascii="Arial" w:hAnsi="Arial"/>
          <w:i/>
          <w:color w:val="231F20"/>
          <w:spacing w:val="-31"/>
          <w:w w:val="105"/>
          <w:sz w:val="18"/>
        </w:rPr>
        <w:t> </w:t>
      </w:r>
      <w:r>
        <w:rPr>
          <w:rFonts w:ascii="Arial" w:hAnsi="Arial"/>
          <w:i/>
          <w:color w:val="231F20"/>
          <w:w w:val="105"/>
          <w:sz w:val="18"/>
        </w:rPr>
        <w:t>y lo</w:t>
      </w:r>
      <w:r>
        <w:rPr>
          <w:rFonts w:ascii="Arial" w:hAnsi="Arial"/>
          <w:i/>
          <w:color w:val="231F20"/>
          <w:spacing w:val="-21"/>
          <w:w w:val="105"/>
          <w:sz w:val="18"/>
        </w:rPr>
        <w:t> </w:t>
      </w:r>
      <w:r>
        <w:rPr>
          <w:rFonts w:ascii="Arial" w:hAnsi="Arial"/>
          <w:i/>
          <w:color w:val="231F20"/>
          <w:w w:val="105"/>
          <w:sz w:val="18"/>
        </w:rPr>
        <w:t>disfruto.</w:t>
      </w:r>
      <w:r>
        <w:rPr>
          <w:rFonts w:ascii="Arial" w:hAnsi="Arial"/>
          <w:i/>
          <w:color w:val="231F20"/>
          <w:spacing w:val="-28"/>
          <w:w w:val="105"/>
          <w:sz w:val="18"/>
        </w:rPr>
        <w:t> </w:t>
      </w:r>
      <w:r>
        <w:rPr>
          <w:rFonts w:ascii="Arial" w:hAnsi="Arial"/>
          <w:i/>
          <w:color w:val="231F20"/>
          <w:w w:val="105"/>
          <w:sz w:val="18"/>
        </w:rPr>
        <w:t>Y</w:t>
      </w:r>
      <w:r>
        <w:rPr>
          <w:rFonts w:ascii="Arial" w:hAnsi="Arial"/>
          <w:i/>
          <w:color w:val="231F20"/>
          <w:spacing w:val="-24"/>
          <w:w w:val="105"/>
          <w:sz w:val="18"/>
        </w:rPr>
        <w:t> </w:t>
      </w:r>
      <w:r>
        <w:rPr>
          <w:rFonts w:ascii="Arial" w:hAnsi="Arial"/>
          <w:i/>
          <w:color w:val="231F20"/>
          <w:w w:val="105"/>
          <w:sz w:val="18"/>
        </w:rPr>
        <w:t>sí,</w:t>
      </w:r>
      <w:r>
        <w:rPr>
          <w:rFonts w:ascii="Arial" w:hAnsi="Arial"/>
          <w:i/>
          <w:color w:val="231F20"/>
          <w:spacing w:val="-25"/>
          <w:w w:val="105"/>
          <w:sz w:val="18"/>
        </w:rPr>
        <w:t> </w:t>
      </w:r>
      <w:r>
        <w:rPr>
          <w:rFonts w:ascii="Arial" w:hAnsi="Arial"/>
          <w:i/>
          <w:color w:val="231F20"/>
          <w:w w:val="105"/>
          <w:sz w:val="18"/>
        </w:rPr>
        <w:t>así</w:t>
      </w:r>
      <w:r>
        <w:rPr>
          <w:rFonts w:ascii="Arial" w:hAnsi="Arial"/>
          <w:i/>
          <w:color w:val="231F20"/>
          <w:spacing w:val="-21"/>
          <w:w w:val="105"/>
          <w:sz w:val="18"/>
        </w:rPr>
        <w:t> </w:t>
      </w:r>
      <w:r>
        <w:rPr>
          <w:rFonts w:ascii="Arial" w:hAnsi="Arial"/>
          <w:i/>
          <w:color w:val="231F20"/>
          <w:w w:val="105"/>
          <w:sz w:val="18"/>
        </w:rPr>
        <w:t>era,</w:t>
      </w:r>
      <w:r>
        <w:rPr>
          <w:rFonts w:ascii="Arial" w:hAnsi="Arial"/>
          <w:i/>
          <w:color w:val="231F20"/>
          <w:spacing w:val="-25"/>
          <w:w w:val="105"/>
          <w:sz w:val="18"/>
        </w:rPr>
        <w:t> </w:t>
      </w:r>
      <w:r>
        <w:rPr>
          <w:rFonts w:ascii="Arial" w:hAnsi="Arial"/>
          <w:i/>
          <w:color w:val="231F20"/>
          <w:w w:val="105"/>
          <w:sz w:val="18"/>
        </w:rPr>
        <w:t>yo</w:t>
      </w:r>
      <w:r>
        <w:rPr>
          <w:rFonts w:ascii="Arial" w:hAnsi="Arial"/>
          <w:i/>
          <w:color w:val="231F20"/>
          <w:spacing w:val="-21"/>
          <w:w w:val="105"/>
          <w:sz w:val="18"/>
        </w:rPr>
        <w:t> </w:t>
      </w:r>
      <w:r>
        <w:rPr>
          <w:rFonts w:ascii="Arial" w:hAnsi="Arial"/>
          <w:i/>
          <w:color w:val="231F20"/>
          <w:w w:val="105"/>
          <w:sz w:val="18"/>
        </w:rPr>
        <w:t>disfrutaba</w:t>
      </w:r>
      <w:r>
        <w:rPr>
          <w:rFonts w:ascii="Arial" w:hAnsi="Arial"/>
          <w:i/>
          <w:color w:val="231F20"/>
          <w:spacing w:val="-21"/>
          <w:w w:val="105"/>
          <w:sz w:val="18"/>
        </w:rPr>
        <w:t> </w:t>
      </w:r>
      <w:r>
        <w:rPr>
          <w:rFonts w:ascii="Arial" w:hAnsi="Arial"/>
          <w:i/>
          <w:color w:val="231F20"/>
          <w:w w:val="105"/>
          <w:sz w:val="18"/>
        </w:rPr>
        <w:t>mucho</w:t>
      </w:r>
      <w:r>
        <w:rPr>
          <w:rFonts w:ascii="Arial" w:hAnsi="Arial"/>
          <w:i/>
          <w:color w:val="231F20"/>
          <w:spacing w:val="-21"/>
          <w:w w:val="105"/>
          <w:sz w:val="18"/>
        </w:rPr>
        <w:t> </w:t>
      </w:r>
      <w:r>
        <w:rPr>
          <w:rFonts w:ascii="Arial" w:hAnsi="Arial"/>
          <w:i/>
          <w:color w:val="231F20"/>
          <w:w w:val="105"/>
          <w:sz w:val="18"/>
        </w:rPr>
        <w:t>de</w:t>
      </w:r>
      <w:r>
        <w:rPr>
          <w:rFonts w:ascii="Arial" w:hAnsi="Arial"/>
          <w:i/>
          <w:color w:val="231F20"/>
          <w:spacing w:val="-21"/>
          <w:w w:val="105"/>
          <w:sz w:val="18"/>
        </w:rPr>
        <w:t> </w:t>
      </w:r>
      <w:r>
        <w:rPr>
          <w:rFonts w:ascii="Arial" w:hAnsi="Arial"/>
          <w:i/>
          <w:color w:val="231F20"/>
          <w:w w:val="105"/>
          <w:sz w:val="18"/>
        </w:rPr>
        <w:t>cuidar</w:t>
      </w:r>
      <w:r>
        <w:rPr>
          <w:rFonts w:ascii="Arial" w:hAnsi="Arial"/>
          <w:i/>
          <w:color w:val="231F20"/>
          <w:spacing w:val="-21"/>
          <w:w w:val="105"/>
          <w:sz w:val="18"/>
        </w:rPr>
        <w:t> </w:t>
      </w:r>
      <w:r>
        <w:rPr>
          <w:rFonts w:ascii="Arial" w:hAnsi="Arial"/>
          <w:i/>
          <w:color w:val="231F20"/>
          <w:w w:val="105"/>
          <w:sz w:val="18"/>
        </w:rPr>
        <w:t>el</w:t>
      </w:r>
      <w:r>
        <w:rPr>
          <w:rFonts w:ascii="Arial" w:hAnsi="Arial"/>
          <w:i/>
          <w:color w:val="231F20"/>
          <w:spacing w:val="-21"/>
          <w:w w:val="105"/>
          <w:sz w:val="18"/>
        </w:rPr>
        <w:t> </w:t>
      </w:r>
      <w:r>
        <w:rPr>
          <w:rFonts w:ascii="Arial" w:hAnsi="Arial"/>
          <w:i/>
          <w:color w:val="231F20"/>
          <w:w w:val="105"/>
          <w:sz w:val="18"/>
        </w:rPr>
        <w:t>jardín</w:t>
      </w:r>
      <w:r>
        <w:rPr>
          <w:rFonts w:ascii="Arial" w:hAnsi="Arial"/>
          <w:i/>
          <w:color w:val="231F20"/>
          <w:spacing w:val="-21"/>
          <w:w w:val="105"/>
          <w:sz w:val="18"/>
        </w:rPr>
        <w:t> </w:t>
      </w:r>
      <w:r>
        <w:rPr>
          <w:rFonts w:ascii="Arial" w:hAnsi="Arial"/>
          <w:i/>
          <w:color w:val="231F20"/>
          <w:w w:val="105"/>
          <w:sz w:val="18"/>
        </w:rPr>
        <w:t>de</w:t>
      </w:r>
      <w:r>
        <w:rPr>
          <w:rFonts w:ascii="Arial" w:hAnsi="Arial"/>
          <w:i/>
          <w:color w:val="231F20"/>
          <w:spacing w:val="-21"/>
          <w:w w:val="105"/>
          <w:sz w:val="18"/>
        </w:rPr>
        <w:t> </w:t>
      </w:r>
      <w:r>
        <w:rPr>
          <w:rFonts w:ascii="Arial" w:hAnsi="Arial"/>
          <w:i/>
          <w:color w:val="231F20"/>
          <w:w w:val="105"/>
          <w:sz w:val="18"/>
        </w:rPr>
        <w:t>Mary.</w:t>
      </w:r>
    </w:p>
    <w:p>
      <w:pPr>
        <w:spacing w:line="249" w:lineRule="auto" w:before="114"/>
        <w:ind w:left="2971" w:right="1717" w:firstLine="0"/>
        <w:jc w:val="both"/>
        <w:rPr>
          <w:rFonts w:ascii="Arial" w:hAnsi="Arial"/>
          <w:i/>
          <w:sz w:val="18"/>
        </w:rPr>
      </w:pPr>
      <w:r>
        <w:rPr>
          <w:rFonts w:ascii="Arial" w:hAnsi="Arial"/>
          <w:i/>
          <w:color w:val="231F20"/>
          <w:sz w:val="18"/>
        </w:rPr>
        <w:t>Me retiré de trabajar cuando cumplí ochenta y cinco años. Mi último tra- </w:t>
      </w:r>
      <w:r>
        <w:rPr>
          <w:rFonts w:ascii="Arial" w:hAnsi="Arial"/>
          <w:i/>
          <w:color w:val="231F20"/>
          <w:sz w:val="18"/>
        </w:rPr>
        <w:t>bajo fue en el jardín de una casa muy grande en Winnetka. Su dueña se llama</w:t>
      </w:r>
      <w:r>
        <w:rPr>
          <w:rFonts w:ascii="Arial" w:hAnsi="Arial"/>
          <w:i/>
          <w:color w:val="231F20"/>
          <w:spacing w:val="-10"/>
          <w:sz w:val="18"/>
        </w:rPr>
        <w:t> </w:t>
      </w:r>
      <w:r>
        <w:rPr>
          <w:rFonts w:ascii="Arial" w:hAnsi="Arial"/>
          <w:i/>
          <w:color w:val="231F20"/>
          <w:sz w:val="18"/>
        </w:rPr>
        <w:t>Rosa</w:t>
      </w:r>
      <w:r>
        <w:rPr>
          <w:rFonts w:ascii="Arial" w:hAnsi="Arial"/>
          <w:i/>
          <w:color w:val="231F20"/>
          <w:spacing w:val="-10"/>
          <w:sz w:val="18"/>
        </w:rPr>
        <w:t> </w:t>
      </w:r>
      <w:r>
        <w:rPr>
          <w:rFonts w:ascii="Arial" w:hAnsi="Arial"/>
          <w:i/>
          <w:color w:val="231F20"/>
          <w:sz w:val="18"/>
        </w:rPr>
        <w:t>Mary</w:t>
      </w:r>
      <w:r>
        <w:rPr>
          <w:rFonts w:ascii="Arial" w:hAnsi="Arial"/>
          <w:i/>
          <w:color w:val="231F20"/>
          <w:spacing w:val="-10"/>
          <w:sz w:val="18"/>
        </w:rPr>
        <w:t> </w:t>
      </w:r>
      <w:r>
        <w:rPr>
          <w:rFonts w:ascii="Arial" w:hAnsi="Arial"/>
          <w:i/>
          <w:color w:val="231F20"/>
          <w:sz w:val="18"/>
        </w:rPr>
        <w:t>Grogen.</w:t>
      </w:r>
      <w:r>
        <w:rPr>
          <w:rFonts w:ascii="Arial" w:hAnsi="Arial"/>
          <w:i/>
          <w:color w:val="231F20"/>
          <w:spacing w:val="-20"/>
          <w:sz w:val="18"/>
        </w:rPr>
        <w:t> </w:t>
      </w:r>
      <w:r>
        <w:rPr>
          <w:rFonts w:ascii="Arial" w:hAnsi="Arial"/>
          <w:i/>
          <w:color w:val="231F20"/>
          <w:sz w:val="18"/>
        </w:rPr>
        <w:t>Y</w:t>
      </w:r>
      <w:r>
        <w:rPr>
          <w:rFonts w:ascii="Arial" w:hAnsi="Arial"/>
          <w:i/>
          <w:color w:val="231F20"/>
          <w:spacing w:val="-15"/>
          <w:sz w:val="18"/>
        </w:rPr>
        <w:t> </w:t>
      </w:r>
      <w:r>
        <w:rPr>
          <w:rFonts w:ascii="Arial" w:hAnsi="Arial"/>
          <w:i/>
          <w:color w:val="231F20"/>
          <w:sz w:val="18"/>
        </w:rPr>
        <w:t>ahora,</w:t>
      </w:r>
      <w:r>
        <w:rPr>
          <w:rFonts w:ascii="Arial" w:hAnsi="Arial"/>
          <w:i/>
          <w:color w:val="231F20"/>
          <w:spacing w:val="-16"/>
          <w:sz w:val="18"/>
        </w:rPr>
        <w:t> </w:t>
      </w:r>
      <w:r>
        <w:rPr>
          <w:rFonts w:ascii="Arial" w:hAnsi="Arial"/>
          <w:i/>
          <w:color w:val="231F20"/>
          <w:sz w:val="18"/>
        </w:rPr>
        <w:t>cada</w:t>
      </w:r>
      <w:r>
        <w:rPr>
          <w:rFonts w:ascii="Arial" w:hAnsi="Arial"/>
          <w:i/>
          <w:color w:val="231F20"/>
          <w:spacing w:val="-10"/>
          <w:sz w:val="18"/>
        </w:rPr>
        <w:t> </w:t>
      </w:r>
      <w:r>
        <w:rPr>
          <w:rFonts w:ascii="Arial" w:hAnsi="Arial"/>
          <w:i/>
          <w:color w:val="231F20"/>
          <w:sz w:val="18"/>
        </w:rPr>
        <w:t>año,</w:t>
      </w:r>
      <w:r>
        <w:rPr>
          <w:rFonts w:ascii="Arial" w:hAnsi="Arial"/>
          <w:i/>
          <w:color w:val="231F20"/>
          <w:spacing w:val="-16"/>
          <w:sz w:val="18"/>
        </w:rPr>
        <w:t> </w:t>
      </w:r>
      <w:r>
        <w:rPr>
          <w:rFonts w:ascii="Arial" w:hAnsi="Arial"/>
          <w:i/>
          <w:color w:val="231F20"/>
          <w:sz w:val="18"/>
        </w:rPr>
        <w:t>cuando</w:t>
      </w:r>
      <w:r>
        <w:rPr>
          <w:rFonts w:ascii="Arial" w:hAnsi="Arial"/>
          <w:i/>
          <w:color w:val="231F20"/>
          <w:spacing w:val="-10"/>
          <w:sz w:val="18"/>
        </w:rPr>
        <w:t> </w:t>
      </w:r>
      <w:r>
        <w:rPr>
          <w:rFonts w:ascii="Arial" w:hAnsi="Arial"/>
          <w:i/>
          <w:color w:val="231F20"/>
          <w:sz w:val="18"/>
        </w:rPr>
        <w:t>estoy</w:t>
      </w:r>
      <w:r>
        <w:rPr>
          <w:rFonts w:ascii="Arial" w:hAnsi="Arial"/>
          <w:i/>
          <w:color w:val="231F20"/>
          <w:spacing w:val="-10"/>
          <w:sz w:val="18"/>
        </w:rPr>
        <w:t> </w:t>
      </w:r>
      <w:r>
        <w:rPr>
          <w:rFonts w:ascii="Arial" w:hAnsi="Arial"/>
          <w:i/>
          <w:color w:val="231F20"/>
          <w:sz w:val="18"/>
        </w:rPr>
        <w:t>en</w:t>
      </w:r>
      <w:r>
        <w:rPr>
          <w:rFonts w:ascii="Arial" w:hAnsi="Arial"/>
          <w:i/>
          <w:color w:val="231F20"/>
          <w:spacing w:val="-12"/>
          <w:sz w:val="18"/>
        </w:rPr>
        <w:t> </w:t>
      </w:r>
      <w:r>
        <w:rPr>
          <w:rFonts w:ascii="Arial" w:hAnsi="Arial"/>
          <w:i/>
          <w:color w:val="231F20"/>
          <w:sz w:val="18"/>
        </w:rPr>
        <w:t>Waukegan y en Zion voy a visitarla. Y es bonito regresar. Salí bien en el trabajo y quedé bien con ella. Cuando voy a su casa me recibe con mucho gusto. No se olvida que yo cuidé su jardín durante catorce</w:t>
      </w:r>
      <w:r>
        <w:rPr>
          <w:rFonts w:ascii="Arial" w:hAnsi="Arial"/>
          <w:i/>
          <w:color w:val="231F20"/>
          <w:spacing w:val="47"/>
          <w:sz w:val="18"/>
        </w:rPr>
        <w:t> </w:t>
      </w:r>
      <w:r>
        <w:rPr>
          <w:rFonts w:ascii="Arial" w:hAnsi="Arial"/>
          <w:i/>
          <w:color w:val="231F20"/>
          <w:sz w:val="18"/>
        </w:rPr>
        <w:t>años.</w:t>
      </w:r>
    </w:p>
    <w:p>
      <w:pPr>
        <w:spacing w:line="249" w:lineRule="auto" w:before="114"/>
        <w:ind w:left="2971" w:right="1716" w:firstLine="0"/>
        <w:jc w:val="both"/>
        <w:rPr>
          <w:rFonts w:ascii="Arial" w:hAnsi="Arial"/>
          <w:i/>
          <w:sz w:val="18"/>
        </w:rPr>
      </w:pPr>
      <w:r>
        <w:rPr>
          <w:rFonts w:ascii="Arial" w:hAnsi="Arial"/>
          <w:i/>
          <w:color w:val="231F20"/>
          <w:sz w:val="18"/>
        </w:rPr>
        <w:t>A este trabajo, que duraba los seis meses que no hace frío en la región </w:t>
      </w:r>
      <w:r>
        <w:rPr>
          <w:rFonts w:ascii="Arial" w:hAnsi="Arial"/>
          <w:i/>
          <w:color w:val="231F20"/>
          <w:sz w:val="18"/>
        </w:rPr>
        <w:t>de Chicago, me transportaba en tren. De Zion a Winnetka. De lunes a viernes, todas las mañanas tomaba el tren de las seis, y a las siete ya estaba en mi trabajo. Salía a las cuatro y tomaba el tren de las cuatro y media para regresar a la casa de mi hija. Los fines de semana también estaba ocupado: en el jardín de su casa, cultivaba jitomate, pepino,</w:t>
      </w:r>
      <w:r>
        <w:rPr>
          <w:rFonts w:ascii="Arial" w:hAnsi="Arial"/>
          <w:i/>
          <w:color w:val="231F20"/>
          <w:spacing w:val="-22"/>
          <w:sz w:val="18"/>
        </w:rPr>
        <w:t> </w:t>
      </w:r>
      <w:r>
        <w:rPr>
          <w:rFonts w:ascii="Arial" w:hAnsi="Arial"/>
          <w:i/>
          <w:color w:val="231F20"/>
          <w:sz w:val="18"/>
        </w:rPr>
        <w:t>chile y</w:t>
      </w:r>
      <w:r>
        <w:rPr>
          <w:rFonts w:ascii="Arial" w:hAnsi="Arial"/>
          <w:i/>
          <w:color w:val="231F20"/>
          <w:spacing w:val="-7"/>
          <w:sz w:val="18"/>
        </w:rPr>
        <w:t> </w:t>
      </w:r>
      <w:r>
        <w:rPr>
          <w:rFonts w:ascii="Arial" w:hAnsi="Arial"/>
          <w:i/>
          <w:color w:val="231F20"/>
          <w:sz w:val="18"/>
        </w:rPr>
        <w:t>cebolla.</w:t>
      </w:r>
      <w:r>
        <w:rPr>
          <w:rFonts w:ascii="Arial" w:hAnsi="Arial"/>
          <w:i/>
          <w:color w:val="231F20"/>
          <w:spacing w:val="-14"/>
          <w:sz w:val="18"/>
        </w:rPr>
        <w:t> </w:t>
      </w:r>
      <w:r>
        <w:rPr>
          <w:rFonts w:ascii="Arial" w:hAnsi="Arial"/>
          <w:i/>
          <w:color w:val="231F20"/>
          <w:sz w:val="18"/>
        </w:rPr>
        <w:t>Luego</w:t>
      </w:r>
      <w:r>
        <w:rPr>
          <w:rFonts w:ascii="Arial" w:hAnsi="Arial"/>
          <w:i/>
          <w:color w:val="231F20"/>
          <w:spacing w:val="-7"/>
          <w:sz w:val="18"/>
        </w:rPr>
        <w:t> </w:t>
      </w:r>
      <w:r>
        <w:rPr>
          <w:rFonts w:ascii="Arial" w:hAnsi="Arial"/>
          <w:i/>
          <w:color w:val="231F20"/>
          <w:sz w:val="18"/>
        </w:rPr>
        <w:t>visitaba</w:t>
      </w:r>
      <w:r>
        <w:rPr>
          <w:rFonts w:ascii="Arial" w:hAnsi="Arial"/>
          <w:i/>
          <w:color w:val="231F20"/>
          <w:spacing w:val="-7"/>
          <w:sz w:val="18"/>
        </w:rPr>
        <w:t> </w:t>
      </w:r>
      <w:r>
        <w:rPr>
          <w:rFonts w:ascii="Arial" w:hAnsi="Arial"/>
          <w:i/>
          <w:color w:val="231F20"/>
          <w:sz w:val="18"/>
        </w:rPr>
        <w:t>a</w:t>
      </w:r>
      <w:r>
        <w:rPr>
          <w:rFonts w:ascii="Arial" w:hAnsi="Arial"/>
          <w:i/>
          <w:color w:val="231F20"/>
          <w:spacing w:val="-7"/>
          <w:sz w:val="18"/>
        </w:rPr>
        <w:t> </w:t>
      </w:r>
      <w:r>
        <w:rPr>
          <w:rFonts w:ascii="Arial" w:hAnsi="Arial"/>
          <w:i/>
          <w:color w:val="231F20"/>
          <w:sz w:val="18"/>
        </w:rPr>
        <w:t>mis</w:t>
      </w:r>
      <w:r>
        <w:rPr>
          <w:rFonts w:ascii="Arial" w:hAnsi="Arial"/>
          <w:i/>
          <w:color w:val="231F20"/>
          <w:spacing w:val="-7"/>
          <w:sz w:val="18"/>
        </w:rPr>
        <w:t> </w:t>
      </w:r>
      <w:r>
        <w:rPr>
          <w:rFonts w:ascii="Arial" w:hAnsi="Arial"/>
          <w:i/>
          <w:color w:val="231F20"/>
          <w:sz w:val="18"/>
        </w:rPr>
        <w:t>otros</w:t>
      </w:r>
      <w:r>
        <w:rPr>
          <w:rFonts w:ascii="Arial" w:hAnsi="Arial"/>
          <w:i/>
          <w:color w:val="231F20"/>
          <w:spacing w:val="-7"/>
          <w:sz w:val="18"/>
        </w:rPr>
        <w:t> </w:t>
      </w:r>
      <w:r>
        <w:rPr>
          <w:rFonts w:ascii="Arial" w:hAnsi="Arial"/>
          <w:i/>
          <w:color w:val="231F20"/>
          <w:sz w:val="18"/>
        </w:rPr>
        <w:t>hijos</w:t>
      </w:r>
      <w:r>
        <w:rPr>
          <w:rFonts w:ascii="Arial" w:hAnsi="Arial"/>
          <w:i/>
          <w:color w:val="231F20"/>
          <w:spacing w:val="-7"/>
          <w:sz w:val="18"/>
        </w:rPr>
        <w:t> </w:t>
      </w:r>
      <w:r>
        <w:rPr>
          <w:rFonts w:ascii="Arial" w:hAnsi="Arial"/>
          <w:i/>
          <w:color w:val="231F20"/>
          <w:sz w:val="18"/>
        </w:rPr>
        <w:t>y</w:t>
      </w:r>
      <w:r>
        <w:rPr>
          <w:rFonts w:ascii="Arial" w:hAnsi="Arial"/>
          <w:i/>
          <w:color w:val="231F20"/>
          <w:spacing w:val="-7"/>
          <w:sz w:val="18"/>
        </w:rPr>
        <w:t> </w:t>
      </w:r>
      <w:r>
        <w:rPr>
          <w:rFonts w:ascii="Arial" w:hAnsi="Arial"/>
          <w:i/>
          <w:color w:val="231F20"/>
          <w:sz w:val="18"/>
        </w:rPr>
        <w:t>nos</w:t>
      </w:r>
      <w:r>
        <w:rPr>
          <w:rFonts w:ascii="Arial" w:hAnsi="Arial"/>
          <w:i/>
          <w:color w:val="231F20"/>
          <w:spacing w:val="-7"/>
          <w:sz w:val="18"/>
        </w:rPr>
        <w:t> </w:t>
      </w:r>
      <w:r>
        <w:rPr>
          <w:rFonts w:ascii="Arial" w:hAnsi="Arial"/>
          <w:i/>
          <w:color w:val="231F20"/>
          <w:sz w:val="18"/>
        </w:rPr>
        <w:t>íbamos</w:t>
      </w:r>
      <w:r>
        <w:rPr>
          <w:rFonts w:ascii="Arial" w:hAnsi="Arial"/>
          <w:i/>
          <w:color w:val="231F20"/>
          <w:spacing w:val="-7"/>
          <w:sz w:val="18"/>
        </w:rPr>
        <w:t> </w:t>
      </w:r>
      <w:r>
        <w:rPr>
          <w:rFonts w:ascii="Arial" w:hAnsi="Arial"/>
          <w:i/>
          <w:color w:val="231F20"/>
          <w:sz w:val="18"/>
        </w:rPr>
        <w:t>a</w:t>
      </w:r>
      <w:r>
        <w:rPr>
          <w:rFonts w:ascii="Arial" w:hAnsi="Arial"/>
          <w:i/>
          <w:color w:val="231F20"/>
          <w:spacing w:val="-7"/>
          <w:sz w:val="18"/>
        </w:rPr>
        <w:t> </w:t>
      </w:r>
      <w:r>
        <w:rPr>
          <w:rFonts w:ascii="Arial" w:hAnsi="Arial"/>
          <w:i/>
          <w:color w:val="231F20"/>
          <w:sz w:val="18"/>
        </w:rPr>
        <w:t>ver</w:t>
      </w:r>
      <w:r>
        <w:rPr>
          <w:rFonts w:ascii="Arial" w:hAnsi="Arial"/>
          <w:i/>
          <w:color w:val="231F20"/>
          <w:spacing w:val="-7"/>
          <w:sz w:val="18"/>
        </w:rPr>
        <w:t> </w:t>
      </w:r>
      <w:r>
        <w:rPr>
          <w:rFonts w:ascii="Arial" w:hAnsi="Arial"/>
          <w:i/>
          <w:color w:val="231F20"/>
          <w:sz w:val="18"/>
        </w:rPr>
        <w:t>el</w:t>
      </w:r>
      <w:r>
        <w:rPr>
          <w:rFonts w:ascii="Arial" w:hAnsi="Arial"/>
          <w:i/>
          <w:color w:val="231F20"/>
          <w:spacing w:val="-7"/>
          <w:sz w:val="18"/>
        </w:rPr>
        <w:t> </w:t>
      </w:r>
      <w:r>
        <w:rPr>
          <w:rFonts w:ascii="Arial" w:hAnsi="Arial"/>
          <w:i/>
          <w:color w:val="231F20"/>
          <w:sz w:val="18"/>
        </w:rPr>
        <w:t>futbol.</w:t>
      </w:r>
      <w:r>
        <w:rPr>
          <w:rFonts w:ascii="Arial" w:hAnsi="Arial"/>
          <w:i/>
          <w:color w:val="231F20"/>
          <w:spacing w:val="-14"/>
          <w:sz w:val="18"/>
        </w:rPr>
        <w:t> </w:t>
      </w:r>
      <w:r>
        <w:rPr>
          <w:rFonts w:ascii="Arial" w:hAnsi="Arial"/>
          <w:i/>
          <w:color w:val="231F20"/>
          <w:sz w:val="18"/>
        </w:rPr>
        <w:t>En Waukegan hay una liga y ahí juega un equipo de puros tonatiquenses, así que nos íbamos a verlos</w:t>
      </w:r>
      <w:r>
        <w:rPr>
          <w:rFonts w:ascii="Arial" w:hAnsi="Arial"/>
          <w:i/>
          <w:color w:val="231F20"/>
          <w:spacing w:val="-14"/>
          <w:sz w:val="18"/>
        </w:rPr>
        <w:t> </w:t>
      </w:r>
      <w:r>
        <w:rPr>
          <w:rFonts w:ascii="Arial" w:hAnsi="Arial"/>
          <w:i/>
          <w:color w:val="231F20"/>
          <w:sz w:val="18"/>
        </w:rPr>
        <w:t>jugar.</w:t>
      </w:r>
    </w:p>
    <w:p>
      <w:pPr>
        <w:spacing w:line="249" w:lineRule="auto" w:before="114"/>
        <w:ind w:left="2971" w:right="1717" w:firstLine="0"/>
        <w:jc w:val="both"/>
        <w:rPr>
          <w:rFonts w:ascii="Arial" w:hAnsi="Arial"/>
          <w:i/>
          <w:sz w:val="18"/>
        </w:rPr>
      </w:pPr>
      <w:r>
        <w:rPr>
          <w:rFonts w:ascii="Arial" w:hAnsi="Arial"/>
          <w:i/>
          <w:color w:val="231F20"/>
          <w:sz w:val="18"/>
        </w:rPr>
        <w:t>Desde que llegué a Waukegan trabajé en jardinería, comencé en una </w:t>
      </w:r>
      <w:r>
        <w:rPr>
          <w:rFonts w:ascii="Arial" w:hAnsi="Arial"/>
          <w:i/>
          <w:color w:val="231F20"/>
          <w:sz w:val="18"/>
        </w:rPr>
        <w:t>compañía que quebró, luego participé en la creación de otra cuando     la primera se vino abajo porque murió el dueño y sus hijos no supieron cuidarla. Nos estábamos quedando sin trabajo y allá no vale que traba- jes uno o dos días a la semana, son muchos los gastos y si no tienes un trabajo</w:t>
      </w:r>
      <w:r>
        <w:rPr>
          <w:rFonts w:ascii="Arial" w:hAnsi="Arial"/>
          <w:i/>
          <w:color w:val="231F20"/>
          <w:spacing w:val="-3"/>
          <w:sz w:val="18"/>
        </w:rPr>
        <w:t> </w:t>
      </w:r>
      <w:r>
        <w:rPr>
          <w:rFonts w:ascii="Arial" w:hAnsi="Arial"/>
          <w:i/>
          <w:color w:val="231F20"/>
          <w:sz w:val="18"/>
        </w:rPr>
        <w:t>de</w:t>
      </w:r>
      <w:r>
        <w:rPr>
          <w:rFonts w:ascii="Arial" w:hAnsi="Arial"/>
          <w:i/>
          <w:color w:val="231F20"/>
          <w:spacing w:val="-3"/>
          <w:sz w:val="18"/>
        </w:rPr>
        <w:t> </w:t>
      </w:r>
      <w:r>
        <w:rPr>
          <w:rFonts w:ascii="Arial" w:hAnsi="Arial"/>
          <w:i/>
          <w:color w:val="231F20"/>
          <w:sz w:val="18"/>
        </w:rPr>
        <w:t>toda</w:t>
      </w:r>
      <w:r>
        <w:rPr>
          <w:rFonts w:ascii="Arial" w:hAnsi="Arial"/>
          <w:i/>
          <w:color w:val="231F20"/>
          <w:spacing w:val="-3"/>
          <w:sz w:val="18"/>
        </w:rPr>
        <w:t> </w:t>
      </w:r>
      <w:r>
        <w:rPr>
          <w:rFonts w:ascii="Arial" w:hAnsi="Arial"/>
          <w:i/>
          <w:color w:val="231F20"/>
          <w:sz w:val="18"/>
        </w:rPr>
        <w:t>la</w:t>
      </w:r>
      <w:r>
        <w:rPr>
          <w:rFonts w:ascii="Arial" w:hAnsi="Arial"/>
          <w:i/>
          <w:color w:val="231F20"/>
          <w:spacing w:val="-3"/>
          <w:sz w:val="18"/>
        </w:rPr>
        <w:t> </w:t>
      </w:r>
      <w:r>
        <w:rPr>
          <w:rFonts w:ascii="Arial" w:hAnsi="Arial"/>
          <w:i/>
          <w:color w:val="231F20"/>
          <w:sz w:val="18"/>
        </w:rPr>
        <w:t>semana</w:t>
      </w:r>
      <w:r>
        <w:rPr>
          <w:rFonts w:ascii="Arial" w:hAnsi="Arial"/>
          <w:i/>
          <w:color w:val="231F20"/>
          <w:spacing w:val="-3"/>
          <w:sz w:val="18"/>
        </w:rPr>
        <w:t> </w:t>
      </w:r>
      <w:r>
        <w:rPr>
          <w:rFonts w:ascii="Arial" w:hAnsi="Arial"/>
          <w:i/>
          <w:color w:val="231F20"/>
          <w:sz w:val="18"/>
        </w:rPr>
        <w:t>no</w:t>
      </w:r>
      <w:r>
        <w:rPr>
          <w:rFonts w:ascii="Arial" w:hAnsi="Arial"/>
          <w:i/>
          <w:color w:val="231F20"/>
          <w:spacing w:val="-3"/>
          <w:sz w:val="18"/>
        </w:rPr>
        <w:t> </w:t>
      </w:r>
      <w:r>
        <w:rPr>
          <w:rFonts w:ascii="Arial" w:hAnsi="Arial"/>
          <w:i/>
          <w:color w:val="231F20"/>
          <w:sz w:val="18"/>
        </w:rPr>
        <w:t>estás</w:t>
      </w:r>
      <w:r>
        <w:rPr>
          <w:rFonts w:ascii="Arial" w:hAnsi="Arial"/>
          <w:i/>
          <w:color w:val="231F20"/>
          <w:spacing w:val="-3"/>
          <w:sz w:val="18"/>
        </w:rPr>
        <w:t> </w:t>
      </w:r>
      <w:r>
        <w:rPr>
          <w:rFonts w:ascii="Arial" w:hAnsi="Arial"/>
          <w:i/>
          <w:color w:val="231F20"/>
          <w:sz w:val="18"/>
        </w:rPr>
        <w:t>bien.</w:t>
      </w:r>
      <w:r>
        <w:rPr>
          <w:rFonts w:ascii="Arial" w:hAnsi="Arial"/>
          <w:i/>
          <w:color w:val="231F20"/>
          <w:spacing w:val="-14"/>
          <w:sz w:val="18"/>
        </w:rPr>
        <w:t> </w:t>
      </w:r>
      <w:r>
        <w:rPr>
          <w:rFonts w:ascii="Arial" w:hAnsi="Arial"/>
          <w:i/>
          <w:color w:val="231F20"/>
          <w:sz w:val="18"/>
        </w:rPr>
        <w:t>Allá</w:t>
      </w:r>
      <w:r>
        <w:rPr>
          <w:rFonts w:ascii="Arial" w:hAnsi="Arial"/>
          <w:i/>
          <w:color w:val="231F20"/>
          <w:spacing w:val="-3"/>
          <w:sz w:val="18"/>
        </w:rPr>
        <w:t> </w:t>
      </w:r>
      <w:r>
        <w:rPr>
          <w:rFonts w:ascii="Arial" w:hAnsi="Arial"/>
          <w:i/>
          <w:color w:val="231F20"/>
          <w:sz w:val="18"/>
        </w:rPr>
        <w:t>todo</w:t>
      </w:r>
      <w:r>
        <w:rPr>
          <w:rFonts w:ascii="Arial" w:hAnsi="Arial"/>
          <w:i/>
          <w:color w:val="231F20"/>
          <w:spacing w:val="-3"/>
          <w:sz w:val="18"/>
        </w:rPr>
        <w:t> </w:t>
      </w:r>
      <w:r>
        <w:rPr>
          <w:rFonts w:ascii="Arial" w:hAnsi="Arial"/>
          <w:i/>
          <w:color w:val="231F20"/>
          <w:sz w:val="18"/>
        </w:rPr>
        <w:t>es</w:t>
      </w:r>
      <w:r>
        <w:rPr>
          <w:rFonts w:ascii="Arial" w:hAnsi="Arial"/>
          <w:i/>
          <w:color w:val="231F20"/>
          <w:spacing w:val="-3"/>
          <w:sz w:val="18"/>
        </w:rPr>
        <w:t> </w:t>
      </w:r>
      <w:r>
        <w:rPr>
          <w:rFonts w:ascii="Arial" w:hAnsi="Arial"/>
          <w:i/>
          <w:color w:val="231F20"/>
          <w:sz w:val="18"/>
        </w:rPr>
        <w:t>caro,</w:t>
      </w:r>
      <w:r>
        <w:rPr>
          <w:rFonts w:ascii="Arial" w:hAnsi="Arial"/>
          <w:i/>
          <w:color w:val="231F20"/>
          <w:spacing w:val="-10"/>
          <w:sz w:val="18"/>
        </w:rPr>
        <w:t> </w:t>
      </w:r>
      <w:r>
        <w:rPr>
          <w:rFonts w:ascii="Arial" w:hAnsi="Arial"/>
          <w:i/>
          <w:color w:val="231F20"/>
          <w:sz w:val="18"/>
        </w:rPr>
        <w:t>y</w:t>
      </w:r>
      <w:r>
        <w:rPr>
          <w:rFonts w:ascii="Arial" w:hAnsi="Arial"/>
          <w:i/>
          <w:color w:val="231F20"/>
          <w:spacing w:val="-3"/>
          <w:sz w:val="18"/>
        </w:rPr>
        <w:t> </w:t>
      </w:r>
      <w:r>
        <w:rPr>
          <w:rFonts w:ascii="Arial" w:hAnsi="Arial"/>
          <w:i/>
          <w:color w:val="231F20"/>
          <w:sz w:val="18"/>
        </w:rPr>
        <w:t>además</w:t>
      </w:r>
      <w:r>
        <w:rPr>
          <w:rFonts w:ascii="Arial" w:hAnsi="Arial"/>
          <w:i/>
          <w:color w:val="231F20"/>
          <w:spacing w:val="-3"/>
          <w:sz w:val="18"/>
        </w:rPr>
        <w:t> </w:t>
      </w:r>
      <w:r>
        <w:rPr>
          <w:rFonts w:ascii="Arial" w:hAnsi="Arial"/>
          <w:i/>
          <w:color w:val="231F20"/>
          <w:sz w:val="18"/>
        </w:rPr>
        <w:t>tie- nes que guardar dinero para mandar a la casa. Acá también hay necesi- dades y cosas que hacer. Lo bueno fue que la nueva compañía</w:t>
      </w:r>
      <w:r>
        <w:rPr>
          <w:rFonts w:ascii="Arial" w:hAnsi="Arial"/>
          <w:i/>
          <w:color w:val="231F20"/>
          <w:spacing w:val="-34"/>
          <w:sz w:val="18"/>
        </w:rPr>
        <w:t> </w:t>
      </w:r>
      <w:r>
        <w:rPr>
          <w:rFonts w:ascii="Arial" w:hAnsi="Arial"/>
          <w:i/>
          <w:color w:val="231F20"/>
          <w:sz w:val="18"/>
        </w:rPr>
        <w:t>funcionó bien, el primer año empezamos con diez casas y al tercer año ya traía- mos cien. Mi consejo para los otros trabajadores siempre fue que no anduviéramos con prisas y que hiciéramos el trabajo bien. Así, siempre tuve trabajo y no perdí el tiempo. Casi nunca falté a trabajar. Me gusta trabajar, por eso me sentía mal si sabía que había trabajo y yo no</w:t>
      </w:r>
      <w:r>
        <w:rPr>
          <w:rFonts w:ascii="Arial" w:hAnsi="Arial"/>
          <w:i/>
          <w:color w:val="231F20"/>
          <w:spacing w:val="9"/>
          <w:sz w:val="18"/>
        </w:rPr>
        <w:t> </w:t>
      </w:r>
      <w:r>
        <w:rPr>
          <w:rFonts w:ascii="Arial" w:hAnsi="Arial"/>
          <w:i/>
          <w:color w:val="231F20"/>
          <w:sz w:val="18"/>
        </w:rPr>
        <w:t>iba.</w:t>
      </w:r>
    </w:p>
    <w:p>
      <w:pPr>
        <w:spacing w:line="249" w:lineRule="auto" w:before="114"/>
        <w:ind w:left="2971" w:right="1717" w:firstLine="0"/>
        <w:jc w:val="both"/>
        <w:rPr>
          <w:rFonts w:ascii="Arial" w:hAnsi="Arial"/>
          <w:i/>
          <w:sz w:val="18"/>
        </w:rPr>
      </w:pPr>
      <w:r>
        <w:rPr/>
        <w:pict>
          <v:line style="position:absolute;mso-position-horizontal-relative:page;mso-position-vertical-relative:paragraph;z-index:-444712" from="15pt,125.213791pt" to="0pt,125.213791pt" stroked="true" strokeweight=".25pt" strokecolor="#000000">
            <w10:wrap type="none"/>
          </v:line>
        </w:pict>
      </w:r>
      <w:r>
        <w:rPr/>
        <w:pict>
          <v:line style="position:absolute;mso-position-horizontal-relative:page;mso-position-vertical-relative:paragraph;z-index:45496" from="508.890015pt,125.213791pt" to="523.890015pt,125.213791pt" stroked="true" strokeweight=".25pt" strokecolor="#000000">
            <w10:wrap type="none"/>
          </v:line>
        </w:pict>
      </w:r>
      <w:r>
        <w:rPr>
          <w:rFonts w:ascii="Arial" w:hAnsi="Arial"/>
          <w:i/>
          <w:color w:val="231F20"/>
          <w:w w:val="105"/>
          <w:sz w:val="18"/>
        </w:rPr>
        <w:t>Eso</w:t>
      </w:r>
      <w:r>
        <w:rPr>
          <w:rFonts w:ascii="Arial" w:hAnsi="Arial"/>
          <w:i/>
          <w:color w:val="231F20"/>
          <w:spacing w:val="-21"/>
          <w:w w:val="105"/>
          <w:sz w:val="18"/>
        </w:rPr>
        <w:t> </w:t>
      </w:r>
      <w:r>
        <w:rPr>
          <w:rFonts w:ascii="Arial" w:hAnsi="Arial"/>
          <w:i/>
          <w:color w:val="231F20"/>
          <w:w w:val="105"/>
          <w:sz w:val="18"/>
        </w:rPr>
        <w:t>para</w:t>
      </w:r>
      <w:r>
        <w:rPr>
          <w:rFonts w:ascii="Arial" w:hAnsi="Arial"/>
          <w:i/>
          <w:color w:val="231F20"/>
          <w:spacing w:val="-21"/>
          <w:w w:val="105"/>
          <w:sz w:val="18"/>
        </w:rPr>
        <w:t> </w:t>
      </w:r>
      <w:r>
        <w:rPr>
          <w:rFonts w:ascii="Arial" w:hAnsi="Arial"/>
          <w:i/>
          <w:color w:val="231F20"/>
          <w:w w:val="105"/>
          <w:sz w:val="18"/>
        </w:rPr>
        <w:t>mí</w:t>
      </w:r>
      <w:r>
        <w:rPr>
          <w:rFonts w:ascii="Arial" w:hAnsi="Arial"/>
          <w:i/>
          <w:color w:val="231F20"/>
          <w:spacing w:val="-21"/>
          <w:w w:val="105"/>
          <w:sz w:val="18"/>
        </w:rPr>
        <w:t> </w:t>
      </w:r>
      <w:r>
        <w:rPr>
          <w:rFonts w:ascii="Arial" w:hAnsi="Arial"/>
          <w:i/>
          <w:color w:val="231F20"/>
          <w:w w:val="105"/>
          <w:sz w:val="18"/>
        </w:rPr>
        <w:t>dio</w:t>
      </w:r>
      <w:r>
        <w:rPr>
          <w:rFonts w:ascii="Arial" w:hAnsi="Arial"/>
          <w:i/>
          <w:color w:val="231F20"/>
          <w:spacing w:val="-21"/>
          <w:w w:val="105"/>
          <w:sz w:val="18"/>
        </w:rPr>
        <w:t> </w:t>
      </w:r>
      <w:r>
        <w:rPr>
          <w:rFonts w:ascii="Arial" w:hAnsi="Arial"/>
          <w:i/>
          <w:color w:val="231F20"/>
          <w:w w:val="105"/>
          <w:sz w:val="18"/>
        </w:rPr>
        <w:t>frutos.</w:t>
      </w:r>
      <w:r>
        <w:rPr>
          <w:rFonts w:ascii="Arial" w:hAnsi="Arial"/>
          <w:i/>
          <w:color w:val="231F20"/>
          <w:spacing w:val="-25"/>
          <w:w w:val="105"/>
          <w:sz w:val="18"/>
        </w:rPr>
        <w:t> </w:t>
      </w:r>
      <w:r>
        <w:rPr>
          <w:rFonts w:ascii="Arial" w:hAnsi="Arial"/>
          <w:i/>
          <w:color w:val="231F20"/>
          <w:w w:val="105"/>
          <w:sz w:val="18"/>
        </w:rPr>
        <w:t>Desde</w:t>
      </w:r>
      <w:r>
        <w:rPr>
          <w:rFonts w:ascii="Arial" w:hAnsi="Arial"/>
          <w:i/>
          <w:color w:val="231F20"/>
          <w:spacing w:val="-21"/>
          <w:w w:val="105"/>
          <w:sz w:val="18"/>
        </w:rPr>
        <w:t> </w:t>
      </w:r>
      <w:r>
        <w:rPr>
          <w:rFonts w:ascii="Arial" w:hAnsi="Arial"/>
          <w:i/>
          <w:color w:val="231F20"/>
          <w:w w:val="105"/>
          <w:sz w:val="18"/>
        </w:rPr>
        <w:t>que</w:t>
      </w:r>
      <w:r>
        <w:rPr>
          <w:rFonts w:ascii="Arial" w:hAnsi="Arial"/>
          <w:i/>
          <w:color w:val="231F20"/>
          <w:spacing w:val="-21"/>
          <w:w w:val="105"/>
          <w:sz w:val="18"/>
        </w:rPr>
        <w:t> </w:t>
      </w:r>
      <w:r>
        <w:rPr>
          <w:rFonts w:ascii="Arial" w:hAnsi="Arial"/>
          <w:i/>
          <w:color w:val="231F20"/>
          <w:w w:val="105"/>
          <w:sz w:val="18"/>
        </w:rPr>
        <w:t>trabajaba</w:t>
      </w:r>
      <w:r>
        <w:rPr>
          <w:rFonts w:ascii="Arial" w:hAnsi="Arial"/>
          <w:i/>
          <w:color w:val="231F20"/>
          <w:spacing w:val="-21"/>
          <w:w w:val="105"/>
          <w:sz w:val="18"/>
        </w:rPr>
        <w:t> </w:t>
      </w:r>
      <w:r>
        <w:rPr>
          <w:rFonts w:ascii="Arial" w:hAnsi="Arial"/>
          <w:i/>
          <w:color w:val="231F20"/>
          <w:w w:val="105"/>
          <w:sz w:val="18"/>
        </w:rPr>
        <w:t>en</w:t>
      </w:r>
      <w:r>
        <w:rPr>
          <w:rFonts w:ascii="Arial" w:hAnsi="Arial"/>
          <w:i/>
          <w:color w:val="231F20"/>
          <w:spacing w:val="-21"/>
          <w:w w:val="105"/>
          <w:sz w:val="18"/>
        </w:rPr>
        <w:t> </w:t>
      </w:r>
      <w:r>
        <w:rPr>
          <w:rFonts w:ascii="Arial" w:hAnsi="Arial"/>
          <w:i/>
          <w:color w:val="231F20"/>
          <w:w w:val="105"/>
          <w:sz w:val="18"/>
        </w:rPr>
        <w:t>la</w:t>
      </w:r>
      <w:r>
        <w:rPr>
          <w:rFonts w:ascii="Arial" w:hAnsi="Arial"/>
          <w:i/>
          <w:color w:val="231F20"/>
          <w:spacing w:val="-21"/>
          <w:w w:val="105"/>
          <w:sz w:val="18"/>
        </w:rPr>
        <w:t> </w:t>
      </w:r>
      <w:r>
        <w:rPr>
          <w:rFonts w:ascii="Arial" w:hAnsi="Arial"/>
          <w:i/>
          <w:color w:val="231F20"/>
          <w:w w:val="105"/>
          <w:sz w:val="18"/>
        </w:rPr>
        <w:t>compañía</w:t>
      </w:r>
      <w:r>
        <w:rPr>
          <w:rFonts w:ascii="Arial" w:hAnsi="Arial"/>
          <w:i/>
          <w:color w:val="231F20"/>
          <w:spacing w:val="-21"/>
          <w:w w:val="105"/>
          <w:sz w:val="18"/>
        </w:rPr>
        <w:t> </w:t>
      </w:r>
      <w:r>
        <w:rPr>
          <w:rFonts w:ascii="Arial" w:hAnsi="Arial"/>
          <w:i/>
          <w:color w:val="231F20"/>
          <w:w w:val="105"/>
          <w:sz w:val="18"/>
        </w:rPr>
        <w:t>del</w:t>
      </w:r>
      <w:r>
        <w:rPr>
          <w:rFonts w:ascii="Arial" w:hAnsi="Arial"/>
          <w:i/>
          <w:color w:val="231F20"/>
          <w:spacing w:val="-21"/>
          <w:w w:val="105"/>
          <w:sz w:val="18"/>
        </w:rPr>
        <w:t> </w:t>
      </w:r>
      <w:r>
        <w:rPr>
          <w:rFonts w:ascii="Arial" w:hAnsi="Arial"/>
          <w:i/>
          <w:color w:val="231F20"/>
          <w:w w:val="105"/>
          <w:sz w:val="18"/>
        </w:rPr>
        <w:t>difunto, </w:t>
      </w:r>
      <w:r>
        <w:rPr>
          <w:rFonts w:ascii="Arial" w:hAnsi="Arial"/>
          <w:i/>
          <w:color w:val="231F20"/>
          <w:w w:val="105"/>
          <w:sz w:val="18"/>
        </w:rPr>
        <w:t>él</w:t>
      </w:r>
      <w:r>
        <w:rPr>
          <w:rFonts w:ascii="Arial" w:hAnsi="Arial"/>
          <w:i/>
          <w:color w:val="231F20"/>
          <w:spacing w:val="-25"/>
          <w:w w:val="105"/>
          <w:sz w:val="18"/>
        </w:rPr>
        <w:t> </w:t>
      </w:r>
      <w:r>
        <w:rPr>
          <w:rFonts w:ascii="Arial" w:hAnsi="Arial"/>
          <w:i/>
          <w:color w:val="231F20"/>
          <w:w w:val="105"/>
          <w:sz w:val="18"/>
        </w:rPr>
        <w:t>siempre</w:t>
      </w:r>
      <w:r>
        <w:rPr>
          <w:rFonts w:ascii="Arial" w:hAnsi="Arial"/>
          <w:i/>
          <w:color w:val="231F20"/>
          <w:spacing w:val="-25"/>
          <w:w w:val="105"/>
          <w:sz w:val="18"/>
        </w:rPr>
        <w:t> </w:t>
      </w:r>
      <w:r>
        <w:rPr>
          <w:rFonts w:ascii="Arial" w:hAnsi="Arial"/>
          <w:i/>
          <w:color w:val="231F20"/>
          <w:w w:val="105"/>
          <w:sz w:val="18"/>
        </w:rPr>
        <w:t>me</w:t>
      </w:r>
      <w:r>
        <w:rPr>
          <w:rFonts w:ascii="Arial" w:hAnsi="Arial"/>
          <w:i/>
          <w:color w:val="231F20"/>
          <w:spacing w:val="-25"/>
          <w:w w:val="105"/>
          <w:sz w:val="18"/>
        </w:rPr>
        <w:t> </w:t>
      </w:r>
      <w:r>
        <w:rPr>
          <w:rFonts w:ascii="Arial" w:hAnsi="Arial"/>
          <w:i/>
          <w:color w:val="231F20"/>
          <w:w w:val="105"/>
          <w:sz w:val="18"/>
        </w:rPr>
        <w:t>mandaba</w:t>
      </w:r>
      <w:r>
        <w:rPr>
          <w:rFonts w:ascii="Arial" w:hAnsi="Arial"/>
          <w:i/>
          <w:color w:val="231F20"/>
          <w:spacing w:val="-25"/>
          <w:w w:val="105"/>
          <w:sz w:val="18"/>
        </w:rPr>
        <w:t> </w:t>
      </w:r>
      <w:r>
        <w:rPr>
          <w:rFonts w:ascii="Arial" w:hAnsi="Arial"/>
          <w:i/>
          <w:color w:val="231F20"/>
          <w:w w:val="105"/>
          <w:sz w:val="18"/>
        </w:rPr>
        <w:t>a</w:t>
      </w:r>
      <w:r>
        <w:rPr>
          <w:rFonts w:ascii="Arial" w:hAnsi="Arial"/>
          <w:i/>
          <w:color w:val="231F20"/>
          <w:spacing w:val="-25"/>
          <w:w w:val="105"/>
          <w:sz w:val="18"/>
        </w:rPr>
        <w:t> </w:t>
      </w:r>
      <w:r>
        <w:rPr>
          <w:rFonts w:ascii="Arial" w:hAnsi="Arial"/>
          <w:i/>
          <w:color w:val="231F20"/>
          <w:w w:val="105"/>
          <w:sz w:val="18"/>
        </w:rPr>
        <w:t>la</w:t>
      </w:r>
      <w:r>
        <w:rPr>
          <w:rFonts w:ascii="Arial" w:hAnsi="Arial"/>
          <w:i/>
          <w:color w:val="231F20"/>
          <w:spacing w:val="-25"/>
          <w:w w:val="105"/>
          <w:sz w:val="18"/>
        </w:rPr>
        <w:t> </w:t>
      </w:r>
      <w:r>
        <w:rPr>
          <w:rFonts w:ascii="Arial" w:hAnsi="Arial"/>
          <w:i/>
          <w:color w:val="231F20"/>
          <w:w w:val="105"/>
          <w:sz w:val="18"/>
        </w:rPr>
        <w:t>casa</w:t>
      </w:r>
      <w:r>
        <w:rPr>
          <w:rFonts w:ascii="Arial" w:hAnsi="Arial"/>
          <w:i/>
          <w:color w:val="231F20"/>
          <w:spacing w:val="-25"/>
          <w:w w:val="105"/>
          <w:sz w:val="18"/>
        </w:rPr>
        <w:t> </w:t>
      </w:r>
      <w:r>
        <w:rPr>
          <w:rFonts w:ascii="Arial" w:hAnsi="Arial"/>
          <w:i/>
          <w:color w:val="231F20"/>
          <w:w w:val="105"/>
          <w:sz w:val="18"/>
        </w:rPr>
        <w:t>de</w:t>
      </w:r>
      <w:r>
        <w:rPr>
          <w:rFonts w:ascii="Arial" w:hAnsi="Arial"/>
          <w:i/>
          <w:color w:val="231F20"/>
          <w:spacing w:val="-25"/>
          <w:w w:val="105"/>
          <w:sz w:val="18"/>
        </w:rPr>
        <w:t> </w:t>
      </w:r>
      <w:r>
        <w:rPr>
          <w:rFonts w:ascii="Arial" w:hAnsi="Arial"/>
          <w:i/>
          <w:color w:val="231F20"/>
          <w:w w:val="105"/>
          <w:sz w:val="18"/>
        </w:rPr>
        <w:t>Mary,</w:t>
      </w:r>
      <w:r>
        <w:rPr>
          <w:rFonts w:ascii="Arial" w:hAnsi="Arial"/>
          <w:i/>
          <w:color w:val="231F20"/>
          <w:spacing w:val="-29"/>
          <w:w w:val="105"/>
          <w:sz w:val="18"/>
        </w:rPr>
        <w:t> </w:t>
      </w:r>
      <w:r>
        <w:rPr>
          <w:rFonts w:ascii="Arial" w:hAnsi="Arial"/>
          <w:i/>
          <w:color w:val="231F20"/>
          <w:w w:val="105"/>
          <w:sz w:val="18"/>
        </w:rPr>
        <w:t>hasta</w:t>
      </w:r>
      <w:r>
        <w:rPr>
          <w:rFonts w:ascii="Arial" w:hAnsi="Arial"/>
          <w:i/>
          <w:color w:val="231F20"/>
          <w:spacing w:val="-25"/>
          <w:w w:val="105"/>
          <w:sz w:val="18"/>
        </w:rPr>
        <w:t> </w:t>
      </w:r>
      <w:r>
        <w:rPr>
          <w:rFonts w:ascii="Arial" w:hAnsi="Arial"/>
          <w:i/>
          <w:color w:val="231F20"/>
          <w:w w:val="105"/>
          <w:sz w:val="18"/>
        </w:rPr>
        <w:t>que</w:t>
      </w:r>
      <w:r>
        <w:rPr>
          <w:rFonts w:ascii="Arial" w:hAnsi="Arial"/>
          <w:i/>
          <w:color w:val="231F20"/>
          <w:spacing w:val="-25"/>
          <w:w w:val="105"/>
          <w:sz w:val="18"/>
        </w:rPr>
        <w:t> </w:t>
      </w:r>
      <w:r>
        <w:rPr>
          <w:rFonts w:ascii="Arial" w:hAnsi="Arial"/>
          <w:i/>
          <w:color w:val="231F20"/>
          <w:w w:val="105"/>
          <w:sz w:val="18"/>
        </w:rPr>
        <w:t>un</w:t>
      </w:r>
      <w:r>
        <w:rPr>
          <w:rFonts w:ascii="Arial" w:hAnsi="Arial"/>
          <w:i/>
          <w:color w:val="231F20"/>
          <w:spacing w:val="-25"/>
          <w:w w:val="105"/>
          <w:sz w:val="18"/>
        </w:rPr>
        <w:t> </w:t>
      </w:r>
      <w:r>
        <w:rPr>
          <w:rFonts w:ascii="Arial" w:hAnsi="Arial"/>
          <w:i/>
          <w:color w:val="231F20"/>
          <w:w w:val="105"/>
          <w:sz w:val="18"/>
        </w:rPr>
        <w:t>día</w:t>
      </w:r>
      <w:r>
        <w:rPr>
          <w:rFonts w:ascii="Arial" w:hAnsi="Arial"/>
          <w:i/>
          <w:color w:val="231F20"/>
          <w:spacing w:val="-25"/>
          <w:w w:val="105"/>
          <w:sz w:val="18"/>
        </w:rPr>
        <w:t> </w:t>
      </w:r>
      <w:r>
        <w:rPr>
          <w:rFonts w:ascii="Arial" w:hAnsi="Arial"/>
          <w:i/>
          <w:color w:val="231F20"/>
          <w:w w:val="105"/>
          <w:sz w:val="18"/>
        </w:rPr>
        <w:t>ella</w:t>
      </w:r>
      <w:r>
        <w:rPr>
          <w:rFonts w:ascii="Arial" w:hAnsi="Arial"/>
          <w:i/>
          <w:color w:val="231F20"/>
          <w:spacing w:val="-25"/>
          <w:w w:val="105"/>
          <w:sz w:val="18"/>
        </w:rPr>
        <w:t> </w:t>
      </w:r>
      <w:r>
        <w:rPr>
          <w:rFonts w:ascii="Arial" w:hAnsi="Arial"/>
          <w:i/>
          <w:color w:val="231F20"/>
          <w:w w:val="105"/>
          <w:sz w:val="18"/>
        </w:rPr>
        <w:t>me</w:t>
      </w:r>
      <w:r>
        <w:rPr>
          <w:rFonts w:ascii="Arial" w:hAnsi="Arial"/>
          <w:i/>
          <w:color w:val="231F20"/>
          <w:spacing w:val="-25"/>
          <w:w w:val="105"/>
          <w:sz w:val="18"/>
        </w:rPr>
        <w:t> </w:t>
      </w:r>
      <w:r>
        <w:rPr>
          <w:rFonts w:ascii="Arial" w:hAnsi="Arial"/>
          <w:i/>
          <w:color w:val="231F20"/>
          <w:w w:val="105"/>
          <w:sz w:val="18"/>
        </w:rPr>
        <w:t>dijo: Rafa,</w:t>
      </w:r>
      <w:r>
        <w:rPr>
          <w:rFonts w:ascii="Arial" w:hAnsi="Arial"/>
          <w:i/>
          <w:color w:val="231F20"/>
          <w:spacing w:val="-23"/>
          <w:w w:val="105"/>
          <w:sz w:val="18"/>
        </w:rPr>
        <w:t> </w:t>
      </w:r>
      <w:r>
        <w:rPr>
          <w:rFonts w:ascii="Arial" w:hAnsi="Arial"/>
          <w:i/>
          <w:color w:val="231F20"/>
          <w:w w:val="105"/>
          <w:sz w:val="18"/>
        </w:rPr>
        <w:t>quédese</w:t>
      </w:r>
      <w:r>
        <w:rPr>
          <w:rFonts w:ascii="Arial" w:hAnsi="Arial"/>
          <w:i/>
          <w:color w:val="231F20"/>
          <w:spacing w:val="-20"/>
          <w:w w:val="105"/>
          <w:sz w:val="18"/>
        </w:rPr>
        <w:t> </w:t>
      </w:r>
      <w:r>
        <w:rPr>
          <w:rFonts w:ascii="Arial" w:hAnsi="Arial"/>
          <w:i/>
          <w:color w:val="231F20"/>
          <w:w w:val="105"/>
          <w:sz w:val="18"/>
        </w:rPr>
        <w:t>aquí,</w:t>
      </w:r>
      <w:r>
        <w:rPr>
          <w:rFonts w:ascii="Arial" w:hAnsi="Arial"/>
          <w:i/>
          <w:color w:val="231F20"/>
          <w:spacing w:val="-23"/>
          <w:w w:val="105"/>
          <w:sz w:val="18"/>
        </w:rPr>
        <w:t> </w:t>
      </w:r>
      <w:r>
        <w:rPr>
          <w:rFonts w:ascii="Arial" w:hAnsi="Arial"/>
          <w:i/>
          <w:color w:val="231F20"/>
          <w:w w:val="105"/>
          <w:sz w:val="18"/>
        </w:rPr>
        <w:t>hágase</w:t>
      </w:r>
      <w:r>
        <w:rPr>
          <w:rFonts w:ascii="Arial" w:hAnsi="Arial"/>
          <w:i/>
          <w:color w:val="231F20"/>
          <w:spacing w:val="-20"/>
          <w:w w:val="105"/>
          <w:sz w:val="18"/>
        </w:rPr>
        <w:t> </w:t>
      </w:r>
      <w:r>
        <w:rPr>
          <w:rFonts w:ascii="Arial" w:hAnsi="Arial"/>
          <w:i/>
          <w:color w:val="231F20"/>
          <w:w w:val="105"/>
          <w:sz w:val="18"/>
        </w:rPr>
        <w:t>cargo</w:t>
      </w:r>
      <w:r>
        <w:rPr>
          <w:rFonts w:ascii="Arial" w:hAnsi="Arial"/>
          <w:i/>
          <w:color w:val="231F20"/>
          <w:spacing w:val="-20"/>
          <w:w w:val="105"/>
          <w:sz w:val="18"/>
        </w:rPr>
        <w:t> </w:t>
      </w:r>
      <w:r>
        <w:rPr>
          <w:rFonts w:ascii="Arial" w:hAnsi="Arial"/>
          <w:i/>
          <w:color w:val="231F20"/>
          <w:w w:val="105"/>
          <w:sz w:val="18"/>
        </w:rPr>
        <w:t>usted</w:t>
      </w:r>
      <w:r>
        <w:rPr>
          <w:rFonts w:ascii="Arial" w:hAnsi="Arial"/>
          <w:i/>
          <w:color w:val="231F20"/>
          <w:spacing w:val="-20"/>
          <w:w w:val="105"/>
          <w:sz w:val="18"/>
        </w:rPr>
        <w:t> </w:t>
      </w:r>
      <w:r>
        <w:rPr>
          <w:rFonts w:ascii="Arial" w:hAnsi="Arial"/>
          <w:i/>
          <w:color w:val="231F20"/>
          <w:w w:val="105"/>
          <w:sz w:val="18"/>
        </w:rPr>
        <w:t>de</w:t>
      </w:r>
      <w:r>
        <w:rPr>
          <w:rFonts w:ascii="Arial" w:hAnsi="Arial"/>
          <w:i/>
          <w:color w:val="231F20"/>
          <w:spacing w:val="-20"/>
          <w:w w:val="105"/>
          <w:sz w:val="18"/>
        </w:rPr>
        <w:t> </w:t>
      </w:r>
      <w:r>
        <w:rPr>
          <w:rFonts w:ascii="Arial" w:hAnsi="Arial"/>
          <w:i/>
          <w:color w:val="231F20"/>
          <w:w w:val="105"/>
          <w:sz w:val="18"/>
        </w:rPr>
        <w:t>mi</w:t>
      </w:r>
      <w:r>
        <w:rPr>
          <w:rFonts w:ascii="Arial" w:hAnsi="Arial"/>
          <w:i/>
          <w:color w:val="231F20"/>
          <w:spacing w:val="-20"/>
          <w:w w:val="105"/>
          <w:sz w:val="18"/>
        </w:rPr>
        <w:t> </w:t>
      </w:r>
      <w:r>
        <w:rPr>
          <w:rFonts w:ascii="Arial" w:hAnsi="Arial"/>
          <w:i/>
          <w:color w:val="231F20"/>
          <w:w w:val="105"/>
          <w:sz w:val="18"/>
        </w:rPr>
        <w:t>jardín.</w:t>
      </w:r>
      <w:r>
        <w:rPr>
          <w:rFonts w:ascii="Arial" w:hAnsi="Arial"/>
          <w:i/>
          <w:color w:val="231F20"/>
          <w:spacing w:val="-25"/>
          <w:w w:val="105"/>
          <w:sz w:val="18"/>
        </w:rPr>
        <w:t> </w:t>
      </w:r>
      <w:r>
        <w:rPr>
          <w:rFonts w:ascii="Arial" w:hAnsi="Arial"/>
          <w:i/>
          <w:color w:val="231F20"/>
          <w:w w:val="105"/>
          <w:sz w:val="18"/>
        </w:rPr>
        <w:t>Y</w:t>
      </w:r>
      <w:r>
        <w:rPr>
          <w:rFonts w:ascii="Arial" w:hAnsi="Arial"/>
          <w:i/>
          <w:color w:val="231F20"/>
          <w:spacing w:val="-22"/>
          <w:w w:val="105"/>
          <w:sz w:val="18"/>
        </w:rPr>
        <w:t> </w:t>
      </w:r>
      <w:r>
        <w:rPr>
          <w:rFonts w:ascii="Arial" w:hAnsi="Arial"/>
          <w:i/>
          <w:color w:val="231F20"/>
          <w:w w:val="105"/>
          <w:sz w:val="18"/>
        </w:rPr>
        <w:t>así</w:t>
      </w:r>
      <w:r>
        <w:rPr>
          <w:rFonts w:ascii="Arial" w:hAnsi="Arial"/>
          <w:i/>
          <w:color w:val="231F20"/>
          <w:spacing w:val="-20"/>
          <w:w w:val="105"/>
          <w:sz w:val="18"/>
        </w:rPr>
        <w:t> </w:t>
      </w:r>
      <w:r>
        <w:rPr>
          <w:rFonts w:ascii="Arial" w:hAnsi="Arial"/>
          <w:i/>
          <w:color w:val="231F20"/>
          <w:w w:val="105"/>
          <w:sz w:val="18"/>
        </w:rPr>
        <w:t>fue.</w:t>
      </w:r>
      <w:r>
        <w:rPr>
          <w:rFonts w:ascii="Arial" w:hAnsi="Arial"/>
          <w:i/>
          <w:color w:val="231F20"/>
          <w:spacing w:val="-25"/>
          <w:w w:val="105"/>
          <w:sz w:val="18"/>
        </w:rPr>
        <w:t> </w:t>
      </w:r>
      <w:r>
        <w:rPr>
          <w:rFonts w:ascii="Arial" w:hAnsi="Arial"/>
          <w:i/>
          <w:color w:val="231F20"/>
          <w:spacing w:val="-3"/>
          <w:w w:val="105"/>
          <w:sz w:val="18"/>
        </w:rPr>
        <w:t>Trabajé </w:t>
      </w:r>
      <w:r>
        <w:rPr>
          <w:rFonts w:ascii="Arial" w:hAnsi="Arial"/>
          <w:i/>
          <w:color w:val="231F20"/>
          <w:w w:val="105"/>
          <w:sz w:val="18"/>
        </w:rPr>
        <w:t>sólo</w:t>
      </w:r>
      <w:r>
        <w:rPr>
          <w:rFonts w:ascii="Arial" w:hAnsi="Arial"/>
          <w:i/>
          <w:color w:val="231F20"/>
          <w:spacing w:val="-28"/>
          <w:w w:val="105"/>
          <w:sz w:val="18"/>
        </w:rPr>
        <w:t> </w:t>
      </w:r>
      <w:r>
        <w:rPr>
          <w:rFonts w:ascii="Arial" w:hAnsi="Arial"/>
          <w:i/>
          <w:color w:val="231F20"/>
          <w:w w:val="105"/>
          <w:sz w:val="18"/>
        </w:rPr>
        <w:t>con</w:t>
      </w:r>
      <w:r>
        <w:rPr>
          <w:rFonts w:ascii="Arial" w:hAnsi="Arial"/>
          <w:i/>
          <w:color w:val="231F20"/>
          <w:spacing w:val="-28"/>
          <w:w w:val="105"/>
          <w:sz w:val="18"/>
        </w:rPr>
        <w:t> </w:t>
      </w:r>
      <w:r>
        <w:rPr>
          <w:rFonts w:ascii="Arial" w:hAnsi="Arial"/>
          <w:i/>
          <w:color w:val="231F20"/>
          <w:w w:val="105"/>
          <w:sz w:val="18"/>
        </w:rPr>
        <w:t>ella</w:t>
      </w:r>
      <w:r>
        <w:rPr>
          <w:rFonts w:ascii="Arial" w:hAnsi="Arial"/>
          <w:i/>
          <w:color w:val="231F20"/>
          <w:spacing w:val="-28"/>
          <w:w w:val="105"/>
          <w:sz w:val="18"/>
        </w:rPr>
        <w:t> </w:t>
      </w:r>
      <w:r>
        <w:rPr>
          <w:rFonts w:ascii="Arial" w:hAnsi="Arial"/>
          <w:i/>
          <w:color w:val="231F20"/>
          <w:w w:val="105"/>
          <w:sz w:val="18"/>
        </w:rPr>
        <w:t>once</w:t>
      </w:r>
      <w:r>
        <w:rPr>
          <w:rFonts w:ascii="Arial" w:hAnsi="Arial"/>
          <w:i/>
          <w:color w:val="231F20"/>
          <w:spacing w:val="-28"/>
          <w:w w:val="105"/>
          <w:sz w:val="18"/>
        </w:rPr>
        <w:t> </w:t>
      </w:r>
      <w:r>
        <w:rPr>
          <w:rFonts w:ascii="Arial" w:hAnsi="Arial"/>
          <w:i/>
          <w:color w:val="231F20"/>
          <w:w w:val="105"/>
          <w:sz w:val="18"/>
        </w:rPr>
        <w:t>años</w:t>
      </w:r>
      <w:r>
        <w:rPr>
          <w:rFonts w:ascii="Arial" w:hAnsi="Arial"/>
          <w:i/>
          <w:color w:val="231F20"/>
          <w:spacing w:val="-28"/>
          <w:w w:val="105"/>
          <w:sz w:val="18"/>
        </w:rPr>
        <w:t> </w:t>
      </w:r>
      <w:r>
        <w:rPr>
          <w:rFonts w:ascii="Arial" w:hAnsi="Arial"/>
          <w:i/>
          <w:color w:val="231F20"/>
          <w:w w:val="105"/>
          <w:sz w:val="18"/>
        </w:rPr>
        <w:t>—antes</w:t>
      </w:r>
      <w:r>
        <w:rPr>
          <w:rFonts w:ascii="Arial" w:hAnsi="Arial"/>
          <w:i/>
          <w:color w:val="231F20"/>
          <w:spacing w:val="-28"/>
          <w:w w:val="105"/>
          <w:sz w:val="18"/>
        </w:rPr>
        <w:t> </w:t>
      </w:r>
      <w:r>
        <w:rPr>
          <w:rFonts w:ascii="Arial" w:hAnsi="Arial"/>
          <w:i/>
          <w:color w:val="231F20"/>
          <w:w w:val="105"/>
          <w:sz w:val="18"/>
        </w:rPr>
        <w:t>ya</w:t>
      </w:r>
      <w:r>
        <w:rPr>
          <w:rFonts w:ascii="Arial" w:hAnsi="Arial"/>
          <w:i/>
          <w:color w:val="231F20"/>
          <w:spacing w:val="-28"/>
          <w:w w:val="105"/>
          <w:sz w:val="18"/>
        </w:rPr>
        <w:t> </w:t>
      </w:r>
      <w:r>
        <w:rPr>
          <w:rFonts w:ascii="Arial" w:hAnsi="Arial"/>
          <w:i/>
          <w:color w:val="231F20"/>
          <w:w w:val="105"/>
          <w:sz w:val="18"/>
        </w:rPr>
        <w:t>había</w:t>
      </w:r>
      <w:r>
        <w:rPr>
          <w:rFonts w:ascii="Arial" w:hAnsi="Arial"/>
          <w:i/>
          <w:color w:val="231F20"/>
          <w:spacing w:val="-28"/>
          <w:w w:val="105"/>
          <w:sz w:val="18"/>
        </w:rPr>
        <w:t> </w:t>
      </w:r>
      <w:r>
        <w:rPr>
          <w:rFonts w:ascii="Arial" w:hAnsi="Arial"/>
          <w:i/>
          <w:color w:val="231F20"/>
          <w:w w:val="105"/>
          <w:sz w:val="18"/>
        </w:rPr>
        <w:t>trabajado</w:t>
      </w:r>
      <w:r>
        <w:rPr>
          <w:rFonts w:ascii="Arial" w:hAnsi="Arial"/>
          <w:i/>
          <w:color w:val="231F20"/>
          <w:spacing w:val="-28"/>
          <w:w w:val="105"/>
          <w:sz w:val="18"/>
        </w:rPr>
        <w:t> </w:t>
      </w:r>
      <w:r>
        <w:rPr>
          <w:rFonts w:ascii="Arial" w:hAnsi="Arial"/>
          <w:i/>
          <w:color w:val="231F20"/>
          <w:w w:val="105"/>
          <w:sz w:val="18"/>
        </w:rPr>
        <w:t>tres</w:t>
      </w:r>
      <w:r>
        <w:rPr>
          <w:rFonts w:ascii="Arial" w:hAnsi="Arial"/>
          <w:i/>
          <w:color w:val="231F20"/>
          <w:spacing w:val="-28"/>
          <w:w w:val="105"/>
          <w:sz w:val="18"/>
        </w:rPr>
        <w:t> </w:t>
      </w:r>
      <w:r>
        <w:rPr>
          <w:rFonts w:ascii="Arial" w:hAnsi="Arial"/>
          <w:i/>
          <w:color w:val="231F20"/>
          <w:w w:val="105"/>
          <w:sz w:val="18"/>
        </w:rPr>
        <w:t>como</w:t>
      </w:r>
      <w:r>
        <w:rPr>
          <w:rFonts w:ascii="Arial" w:hAnsi="Arial"/>
          <w:i/>
          <w:color w:val="231F20"/>
          <w:spacing w:val="-28"/>
          <w:w w:val="105"/>
          <w:sz w:val="18"/>
        </w:rPr>
        <w:t> </w:t>
      </w:r>
      <w:r>
        <w:rPr>
          <w:rFonts w:ascii="Arial" w:hAnsi="Arial"/>
          <w:i/>
          <w:color w:val="231F20"/>
          <w:w w:val="105"/>
          <w:sz w:val="18"/>
        </w:rPr>
        <w:t>parte</w:t>
      </w:r>
      <w:r>
        <w:rPr>
          <w:rFonts w:ascii="Arial" w:hAnsi="Arial"/>
          <w:i/>
          <w:color w:val="231F20"/>
          <w:spacing w:val="-28"/>
          <w:w w:val="105"/>
          <w:sz w:val="18"/>
        </w:rPr>
        <w:t> </w:t>
      </w:r>
      <w:r>
        <w:rPr>
          <w:rFonts w:ascii="Arial" w:hAnsi="Arial"/>
          <w:i/>
          <w:color w:val="231F20"/>
          <w:w w:val="105"/>
          <w:sz w:val="18"/>
        </w:rPr>
        <w:t>de</w:t>
      </w:r>
      <w:r>
        <w:rPr>
          <w:rFonts w:ascii="Arial" w:hAnsi="Arial"/>
          <w:i/>
          <w:color w:val="231F20"/>
          <w:spacing w:val="-28"/>
          <w:w w:val="105"/>
          <w:sz w:val="18"/>
        </w:rPr>
        <w:t> </w:t>
      </w:r>
      <w:r>
        <w:rPr>
          <w:rFonts w:ascii="Arial" w:hAnsi="Arial"/>
          <w:i/>
          <w:color w:val="231F20"/>
          <w:w w:val="105"/>
          <w:sz w:val="18"/>
        </w:rPr>
        <w:t>la</w:t>
      </w:r>
    </w:p>
    <w:p>
      <w:pPr>
        <w:spacing w:after="0" w:line="249" w:lineRule="auto"/>
        <w:jc w:val="both"/>
        <w:rPr>
          <w:rFonts w:ascii="Arial" w:hAnsi="Arial"/>
          <w:sz w:val="18"/>
        </w:rPr>
        <w:sectPr>
          <w:pgSz w:w="10480" w:h="14730"/>
          <w:pgMar w:header="0" w:footer="103" w:top="300" w:bottom="300" w:left="0" w:right="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7"/>
        <w:rPr>
          <w:rFonts w:ascii="Arial"/>
          <w:i/>
          <w:sz w:val="18"/>
        </w:rPr>
      </w:pPr>
    </w:p>
    <w:p>
      <w:pPr>
        <w:spacing w:line="249" w:lineRule="auto" w:before="63"/>
        <w:ind w:left="2857" w:right="1829" w:firstLine="0"/>
        <w:jc w:val="both"/>
        <w:rPr>
          <w:rFonts w:ascii="Arial" w:hAnsi="Arial"/>
          <w:i/>
          <w:sz w:val="18"/>
        </w:rPr>
      </w:pPr>
      <w:r>
        <w:rPr/>
        <w:pict>
          <v:line style="position:absolute;mso-position-horizontal-relative:page;mso-position-vertical-relative:paragraph;z-index:45544" from="15pt,-62.321476pt" to="0pt,-62.321476pt" stroked="true" strokeweight=".25pt" strokecolor="#000000">
            <w10:wrap type="none"/>
          </v:line>
        </w:pict>
      </w:r>
      <w:r>
        <w:rPr/>
        <w:pict>
          <v:line style="position:absolute;mso-position-horizontal-relative:page;mso-position-vertical-relative:paragraph;z-index:45568" from="508.890015pt,-62.321476pt" to="523.890015pt,-62.321476pt" stroked="true" strokeweight=".25pt" strokecolor="#000000">
            <w10:wrap type="none"/>
          </v:line>
        </w:pict>
      </w:r>
      <w:r>
        <w:rPr>
          <w:rFonts w:ascii="Arial" w:hAnsi="Arial"/>
          <w:i/>
          <w:color w:val="231F20"/>
          <w:sz w:val="18"/>
        </w:rPr>
        <w:t>compañía,</w:t>
      </w:r>
      <w:r>
        <w:rPr>
          <w:rFonts w:ascii="Arial" w:hAnsi="Arial"/>
          <w:i/>
          <w:color w:val="231F20"/>
          <w:spacing w:val="-17"/>
          <w:sz w:val="18"/>
        </w:rPr>
        <w:t> </w:t>
      </w:r>
      <w:r>
        <w:rPr>
          <w:rFonts w:ascii="Arial" w:hAnsi="Arial"/>
          <w:i/>
          <w:color w:val="231F20"/>
          <w:sz w:val="18"/>
        </w:rPr>
        <w:t>así</w:t>
      </w:r>
      <w:r>
        <w:rPr>
          <w:rFonts w:ascii="Arial" w:hAnsi="Arial"/>
          <w:i/>
          <w:color w:val="231F20"/>
          <w:spacing w:val="-12"/>
          <w:sz w:val="18"/>
        </w:rPr>
        <w:t> </w:t>
      </w:r>
      <w:r>
        <w:rPr>
          <w:rFonts w:ascii="Arial" w:hAnsi="Arial"/>
          <w:i/>
          <w:color w:val="231F20"/>
          <w:sz w:val="18"/>
        </w:rPr>
        <w:t>que</w:t>
      </w:r>
      <w:r>
        <w:rPr>
          <w:rFonts w:ascii="Arial" w:hAnsi="Arial"/>
          <w:i/>
          <w:color w:val="231F20"/>
          <w:spacing w:val="-12"/>
          <w:sz w:val="18"/>
        </w:rPr>
        <w:t> </w:t>
      </w:r>
      <w:r>
        <w:rPr>
          <w:rFonts w:ascii="Arial" w:hAnsi="Arial"/>
          <w:i/>
          <w:color w:val="231F20"/>
          <w:sz w:val="18"/>
        </w:rPr>
        <w:t>sumé</w:t>
      </w:r>
      <w:r>
        <w:rPr>
          <w:rFonts w:ascii="Arial" w:hAnsi="Arial"/>
          <w:i/>
          <w:color w:val="231F20"/>
          <w:spacing w:val="-12"/>
          <w:sz w:val="18"/>
        </w:rPr>
        <w:t> </w:t>
      </w:r>
      <w:r>
        <w:rPr>
          <w:rFonts w:ascii="Arial" w:hAnsi="Arial"/>
          <w:i/>
          <w:color w:val="231F20"/>
          <w:sz w:val="18"/>
        </w:rPr>
        <w:t>catorce</w:t>
      </w:r>
      <w:r>
        <w:rPr>
          <w:rFonts w:ascii="Arial" w:hAnsi="Arial"/>
          <w:i/>
          <w:color w:val="231F20"/>
          <w:spacing w:val="-12"/>
          <w:sz w:val="18"/>
        </w:rPr>
        <w:t> </w:t>
      </w:r>
      <w:r>
        <w:rPr>
          <w:rFonts w:ascii="Arial" w:hAnsi="Arial"/>
          <w:i/>
          <w:color w:val="231F20"/>
          <w:sz w:val="18"/>
        </w:rPr>
        <w:t>cuidando</w:t>
      </w:r>
      <w:r>
        <w:rPr>
          <w:rFonts w:ascii="Arial" w:hAnsi="Arial"/>
          <w:i/>
          <w:color w:val="231F20"/>
          <w:spacing w:val="-12"/>
          <w:sz w:val="18"/>
        </w:rPr>
        <w:t> </w:t>
      </w:r>
      <w:r>
        <w:rPr>
          <w:rFonts w:ascii="Arial" w:hAnsi="Arial"/>
          <w:i/>
          <w:color w:val="231F20"/>
          <w:sz w:val="18"/>
        </w:rPr>
        <w:t>su</w:t>
      </w:r>
      <w:r>
        <w:rPr>
          <w:rFonts w:ascii="Arial" w:hAnsi="Arial"/>
          <w:i/>
          <w:color w:val="231F20"/>
          <w:spacing w:val="-12"/>
          <w:sz w:val="18"/>
        </w:rPr>
        <w:t> </w:t>
      </w:r>
      <w:r>
        <w:rPr>
          <w:rFonts w:ascii="Arial" w:hAnsi="Arial"/>
          <w:i/>
          <w:color w:val="231F20"/>
          <w:sz w:val="18"/>
        </w:rPr>
        <w:t>jardín—.</w:t>
      </w:r>
      <w:r>
        <w:rPr>
          <w:rFonts w:ascii="Arial" w:hAnsi="Arial"/>
          <w:i/>
          <w:color w:val="231F20"/>
          <w:spacing w:val="-17"/>
          <w:sz w:val="18"/>
        </w:rPr>
        <w:t> </w:t>
      </w:r>
      <w:r>
        <w:rPr>
          <w:rFonts w:ascii="Arial" w:hAnsi="Arial"/>
          <w:i/>
          <w:color w:val="231F20"/>
          <w:sz w:val="18"/>
        </w:rPr>
        <w:t>Como</w:t>
      </w:r>
      <w:r>
        <w:rPr>
          <w:rFonts w:ascii="Arial" w:hAnsi="Arial"/>
          <w:i/>
          <w:color w:val="231F20"/>
          <w:spacing w:val="-12"/>
          <w:sz w:val="18"/>
        </w:rPr>
        <w:t> </w:t>
      </w:r>
      <w:r>
        <w:rPr>
          <w:rFonts w:ascii="Arial" w:hAnsi="Arial"/>
          <w:i/>
          <w:color w:val="231F20"/>
          <w:sz w:val="18"/>
        </w:rPr>
        <w:t>siempre</w:t>
      </w:r>
      <w:r>
        <w:rPr>
          <w:rFonts w:ascii="Arial" w:hAnsi="Arial"/>
          <w:i/>
          <w:color w:val="231F20"/>
          <w:spacing w:val="-12"/>
          <w:sz w:val="18"/>
        </w:rPr>
        <w:t> </w:t>
      </w:r>
      <w:r>
        <w:rPr>
          <w:rFonts w:ascii="Arial" w:hAnsi="Arial"/>
          <w:i/>
          <w:color w:val="231F20"/>
          <w:sz w:val="18"/>
        </w:rPr>
        <w:t>ha- </w:t>
      </w:r>
      <w:r>
        <w:rPr>
          <w:rFonts w:ascii="Arial" w:hAnsi="Arial"/>
          <w:i/>
          <w:color w:val="231F20"/>
          <w:sz w:val="18"/>
        </w:rPr>
        <w:t>bía pensado en regresarme a </w:t>
      </w:r>
      <w:r>
        <w:rPr>
          <w:rFonts w:ascii="Arial" w:hAnsi="Arial"/>
          <w:i/>
          <w:color w:val="231F20"/>
          <w:spacing w:val="-3"/>
          <w:sz w:val="18"/>
        </w:rPr>
        <w:t>Tonatico </w:t>
      </w:r>
      <w:r>
        <w:rPr>
          <w:rFonts w:ascii="Arial" w:hAnsi="Arial"/>
          <w:i/>
          <w:color w:val="231F20"/>
          <w:sz w:val="18"/>
        </w:rPr>
        <w:t>una vez que me jubilara, cuando cumplí ochenta y cinco años le dije a Mary, que ese sería el último año que trabajaría en su casa. Cuando le avisé me respondió: ¡pero Rafa, usted está bien, todavía puede seguir trabajando! </w:t>
      </w:r>
      <w:r>
        <w:rPr>
          <w:rFonts w:ascii="Arial" w:hAnsi="Arial"/>
          <w:i/>
          <w:color w:val="231F20"/>
          <w:spacing w:val="-4"/>
          <w:sz w:val="18"/>
        </w:rPr>
        <w:t>Pero </w:t>
      </w:r>
      <w:r>
        <w:rPr>
          <w:rFonts w:ascii="Arial" w:hAnsi="Arial"/>
          <w:i/>
          <w:color w:val="231F20"/>
          <w:sz w:val="18"/>
        </w:rPr>
        <w:t>yo ya había to- mado la</w:t>
      </w:r>
      <w:r>
        <w:rPr>
          <w:rFonts w:ascii="Arial" w:hAnsi="Arial"/>
          <w:i/>
          <w:color w:val="231F20"/>
          <w:spacing w:val="35"/>
          <w:sz w:val="18"/>
        </w:rPr>
        <w:t> </w:t>
      </w:r>
      <w:r>
        <w:rPr>
          <w:rFonts w:ascii="Arial" w:hAnsi="Arial"/>
          <w:i/>
          <w:color w:val="231F20"/>
          <w:sz w:val="18"/>
        </w:rPr>
        <w:t>decisión.</w:t>
      </w:r>
    </w:p>
    <w:p>
      <w:pPr>
        <w:spacing w:line="249" w:lineRule="auto" w:before="114"/>
        <w:ind w:left="2857" w:right="1834" w:firstLine="0"/>
        <w:jc w:val="both"/>
        <w:rPr>
          <w:rFonts w:ascii="Arial" w:hAnsi="Arial"/>
          <w:i/>
          <w:sz w:val="18"/>
        </w:rPr>
      </w:pPr>
      <w:r>
        <w:rPr>
          <w:rFonts w:ascii="Arial" w:hAnsi="Arial"/>
          <w:i/>
          <w:color w:val="231F20"/>
          <w:sz w:val="18"/>
        </w:rPr>
        <w:t>Cuando me preguntó: ¿y ahora quién va a hacer el trabajo? Le comenté </w:t>
      </w:r>
      <w:r>
        <w:rPr>
          <w:rFonts w:ascii="Arial" w:hAnsi="Arial"/>
          <w:i/>
          <w:color w:val="231F20"/>
          <w:sz w:val="18"/>
        </w:rPr>
        <w:t>que no se preocupara, que yo ya había entrenado a una persona para que se quedara en mi lugar. Y sí, yo ya le había enseñado a un mucha- cho que había visto que trabajaba bien y que era responsable. </w:t>
      </w:r>
      <w:r>
        <w:rPr>
          <w:rFonts w:ascii="Arial" w:hAnsi="Arial"/>
          <w:i/>
          <w:color w:val="231F20"/>
          <w:spacing w:val="-5"/>
          <w:sz w:val="18"/>
        </w:rPr>
        <w:t>Toda </w:t>
      </w:r>
      <w:r>
        <w:rPr>
          <w:rFonts w:ascii="Arial" w:hAnsi="Arial"/>
          <w:i/>
          <w:color w:val="231F20"/>
          <w:sz w:val="18"/>
        </w:rPr>
        <w:t>una temporada</w:t>
      </w:r>
      <w:r>
        <w:rPr>
          <w:rFonts w:ascii="Arial" w:hAnsi="Arial"/>
          <w:i/>
          <w:color w:val="231F20"/>
          <w:spacing w:val="-5"/>
          <w:sz w:val="18"/>
        </w:rPr>
        <w:t> </w:t>
      </w:r>
      <w:r>
        <w:rPr>
          <w:rFonts w:ascii="Arial" w:hAnsi="Arial"/>
          <w:i/>
          <w:color w:val="231F20"/>
          <w:sz w:val="18"/>
        </w:rPr>
        <w:t>lo</w:t>
      </w:r>
      <w:r>
        <w:rPr>
          <w:rFonts w:ascii="Arial" w:hAnsi="Arial"/>
          <w:i/>
          <w:color w:val="231F20"/>
          <w:spacing w:val="-5"/>
          <w:sz w:val="18"/>
        </w:rPr>
        <w:t> </w:t>
      </w:r>
      <w:r>
        <w:rPr>
          <w:rFonts w:ascii="Arial" w:hAnsi="Arial"/>
          <w:i/>
          <w:color w:val="231F20"/>
          <w:sz w:val="18"/>
        </w:rPr>
        <w:t>llevé</w:t>
      </w:r>
      <w:r>
        <w:rPr>
          <w:rFonts w:ascii="Arial" w:hAnsi="Arial"/>
          <w:i/>
          <w:color w:val="231F20"/>
          <w:spacing w:val="-5"/>
          <w:sz w:val="18"/>
        </w:rPr>
        <w:t> </w:t>
      </w:r>
      <w:r>
        <w:rPr>
          <w:rFonts w:ascii="Arial" w:hAnsi="Arial"/>
          <w:i/>
          <w:color w:val="231F20"/>
          <w:sz w:val="18"/>
        </w:rPr>
        <w:t>conmigo</w:t>
      </w:r>
      <w:r>
        <w:rPr>
          <w:rFonts w:ascii="Arial" w:hAnsi="Arial"/>
          <w:i/>
          <w:color w:val="231F20"/>
          <w:spacing w:val="-5"/>
          <w:sz w:val="18"/>
        </w:rPr>
        <w:t> </w:t>
      </w:r>
      <w:r>
        <w:rPr>
          <w:rFonts w:ascii="Arial" w:hAnsi="Arial"/>
          <w:i/>
          <w:color w:val="231F20"/>
          <w:sz w:val="18"/>
        </w:rPr>
        <w:t>dos</w:t>
      </w:r>
      <w:r>
        <w:rPr>
          <w:rFonts w:ascii="Arial" w:hAnsi="Arial"/>
          <w:i/>
          <w:color w:val="231F20"/>
          <w:spacing w:val="-5"/>
          <w:sz w:val="18"/>
        </w:rPr>
        <w:t> </w:t>
      </w:r>
      <w:r>
        <w:rPr>
          <w:rFonts w:ascii="Arial" w:hAnsi="Arial"/>
          <w:i/>
          <w:color w:val="231F20"/>
          <w:sz w:val="18"/>
        </w:rPr>
        <w:t>días</w:t>
      </w:r>
      <w:r>
        <w:rPr>
          <w:rFonts w:ascii="Arial" w:hAnsi="Arial"/>
          <w:i/>
          <w:color w:val="231F20"/>
          <w:spacing w:val="-5"/>
          <w:sz w:val="18"/>
        </w:rPr>
        <w:t> </w:t>
      </w:r>
      <w:r>
        <w:rPr>
          <w:rFonts w:ascii="Arial" w:hAnsi="Arial"/>
          <w:i/>
          <w:color w:val="231F20"/>
          <w:sz w:val="18"/>
        </w:rPr>
        <w:t>a</w:t>
      </w:r>
      <w:r>
        <w:rPr>
          <w:rFonts w:ascii="Arial" w:hAnsi="Arial"/>
          <w:i/>
          <w:color w:val="231F20"/>
          <w:spacing w:val="-5"/>
          <w:sz w:val="18"/>
        </w:rPr>
        <w:t> </w:t>
      </w:r>
      <w:r>
        <w:rPr>
          <w:rFonts w:ascii="Arial" w:hAnsi="Arial"/>
          <w:i/>
          <w:color w:val="231F20"/>
          <w:sz w:val="18"/>
        </w:rPr>
        <w:t>la</w:t>
      </w:r>
      <w:r>
        <w:rPr>
          <w:rFonts w:ascii="Arial" w:hAnsi="Arial"/>
          <w:i/>
          <w:color w:val="231F20"/>
          <w:spacing w:val="-5"/>
          <w:sz w:val="18"/>
        </w:rPr>
        <w:t> </w:t>
      </w:r>
      <w:r>
        <w:rPr>
          <w:rFonts w:ascii="Arial" w:hAnsi="Arial"/>
          <w:i/>
          <w:color w:val="231F20"/>
          <w:sz w:val="18"/>
        </w:rPr>
        <w:t>semana</w:t>
      </w:r>
      <w:r>
        <w:rPr>
          <w:rFonts w:ascii="Arial" w:hAnsi="Arial"/>
          <w:i/>
          <w:color w:val="231F20"/>
          <w:spacing w:val="-5"/>
          <w:sz w:val="18"/>
        </w:rPr>
        <w:t> </w:t>
      </w:r>
      <w:r>
        <w:rPr>
          <w:rFonts w:ascii="Arial" w:hAnsi="Arial"/>
          <w:i/>
          <w:color w:val="231F20"/>
          <w:sz w:val="18"/>
        </w:rPr>
        <w:t>y</w:t>
      </w:r>
      <w:r>
        <w:rPr>
          <w:rFonts w:ascii="Arial" w:hAnsi="Arial"/>
          <w:i/>
          <w:color w:val="231F20"/>
          <w:spacing w:val="-5"/>
          <w:sz w:val="18"/>
        </w:rPr>
        <w:t> </w:t>
      </w:r>
      <w:r>
        <w:rPr>
          <w:rFonts w:ascii="Arial" w:hAnsi="Arial"/>
          <w:i/>
          <w:color w:val="231F20"/>
          <w:sz w:val="18"/>
        </w:rPr>
        <w:t>así</w:t>
      </w:r>
      <w:r>
        <w:rPr>
          <w:rFonts w:ascii="Arial" w:hAnsi="Arial"/>
          <w:i/>
          <w:color w:val="231F20"/>
          <w:spacing w:val="-5"/>
          <w:sz w:val="18"/>
        </w:rPr>
        <w:t> </w:t>
      </w:r>
      <w:r>
        <w:rPr>
          <w:rFonts w:ascii="Arial" w:hAnsi="Arial"/>
          <w:i/>
          <w:color w:val="231F20"/>
          <w:sz w:val="18"/>
        </w:rPr>
        <w:t>aprendió,</w:t>
      </w:r>
      <w:r>
        <w:rPr>
          <w:rFonts w:ascii="Arial" w:hAnsi="Arial"/>
          <w:i/>
          <w:color w:val="231F20"/>
          <w:spacing w:val="-13"/>
          <w:sz w:val="18"/>
        </w:rPr>
        <w:t> </w:t>
      </w:r>
      <w:r>
        <w:rPr>
          <w:rFonts w:ascii="Arial" w:hAnsi="Arial"/>
          <w:i/>
          <w:color w:val="231F20"/>
          <w:sz w:val="18"/>
        </w:rPr>
        <w:t>y</w:t>
      </w:r>
      <w:r>
        <w:rPr>
          <w:rFonts w:ascii="Arial" w:hAnsi="Arial"/>
          <w:i/>
          <w:color w:val="231F20"/>
          <w:spacing w:val="-5"/>
          <w:sz w:val="18"/>
        </w:rPr>
        <w:t> </w:t>
      </w:r>
      <w:r>
        <w:rPr>
          <w:rFonts w:ascii="Arial" w:hAnsi="Arial"/>
          <w:i/>
          <w:color w:val="231F20"/>
          <w:sz w:val="18"/>
        </w:rPr>
        <w:t>ahora él</w:t>
      </w:r>
      <w:r>
        <w:rPr>
          <w:rFonts w:ascii="Arial" w:hAnsi="Arial"/>
          <w:i/>
          <w:color w:val="231F20"/>
          <w:spacing w:val="-10"/>
          <w:sz w:val="18"/>
        </w:rPr>
        <w:t> </w:t>
      </w:r>
      <w:r>
        <w:rPr>
          <w:rFonts w:ascii="Arial" w:hAnsi="Arial"/>
          <w:i/>
          <w:color w:val="231F20"/>
          <w:sz w:val="18"/>
        </w:rPr>
        <w:t>está</w:t>
      </w:r>
      <w:r>
        <w:rPr>
          <w:rFonts w:ascii="Arial" w:hAnsi="Arial"/>
          <w:i/>
          <w:color w:val="231F20"/>
          <w:spacing w:val="-10"/>
          <w:sz w:val="18"/>
        </w:rPr>
        <w:t> </w:t>
      </w:r>
      <w:r>
        <w:rPr>
          <w:rFonts w:ascii="Arial" w:hAnsi="Arial"/>
          <w:i/>
          <w:color w:val="231F20"/>
          <w:sz w:val="18"/>
        </w:rPr>
        <w:t>en</w:t>
      </w:r>
      <w:r>
        <w:rPr>
          <w:rFonts w:ascii="Arial" w:hAnsi="Arial"/>
          <w:i/>
          <w:color w:val="231F20"/>
          <w:spacing w:val="-10"/>
          <w:sz w:val="18"/>
        </w:rPr>
        <w:t> </w:t>
      </w:r>
      <w:r>
        <w:rPr>
          <w:rFonts w:ascii="Arial" w:hAnsi="Arial"/>
          <w:i/>
          <w:color w:val="231F20"/>
          <w:sz w:val="18"/>
        </w:rPr>
        <w:t>mi</w:t>
      </w:r>
      <w:r>
        <w:rPr>
          <w:rFonts w:ascii="Arial" w:hAnsi="Arial"/>
          <w:i/>
          <w:color w:val="231F20"/>
          <w:spacing w:val="-10"/>
          <w:sz w:val="18"/>
        </w:rPr>
        <w:t> </w:t>
      </w:r>
      <w:r>
        <w:rPr>
          <w:rFonts w:ascii="Arial" w:hAnsi="Arial"/>
          <w:i/>
          <w:color w:val="231F20"/>
          <w:sz w:val="18"/>
        </w:rPr>
        <w:t>lugar.</w:t>
      </w:r>
      <w:r>
        <w:rPr>
          <w:rFonts w:ascii="Arial" w:hAnsi="Arial"/>
          <w:i/>
          <w:color w:val="231F20"/>
          <w:spacing w:val="-17"/>
          <w:sz w:val="18"/>
        </w:rPr>
        <w:t> </w:t>
      </w:r>
      <w:r>
        <w:rPr>
          <w:rFonts w:ascii="Arial" w:hAnsi="Arial"/>
          <w:i/>
          <w:color w:val="231F20"/>
          <w:sz w:val="18"/>
        </w:rPr>
        <w:t>Es</w:t>
      </w:r>
      <w:r>
        <w:rPr>
          <w:rFonts w:ascii="Arial" w:hAnsi="Arial"/>
          <w:i/>
          <w:color w:val="231F20"/>
          <w:spacing w:val="-10"/>
          <w:sz w:val="18"/>
        </w:rPr>
        <w:t> </w:t>
      </w:r>
      <w:r>
        <w:rPr>
          <w:rFonts w:ascii="Arial" w:hAnsi="Arial"/>
          <w:i/>
          <w:color w:val="231F20"/>
          <w:sz w:val="18"/>
        </w:rPr>
        <w:t>un</w:t>
      </w:r>
      <w:r>
        <w:rPr>
          <w:rFonts w:ascii="Arial" w:hAnsi="Arial"/>
          <w:i/>
          <w:color w:val="231F20"/>
          <w:spacing w:val="-10"/>
          <w:sz w:val="18"/>
        </w:rPr>
        <w:t> </w:t>
      </w:r>
      <w:r>
        <w:rPr>
          <w:rFonts w:ascii="Arial" w:hAnsi="Arial"/>
          <w:i/>
          <w:color w:val="231F20"/>
          <w:sz w:val="18"/>
        </w:rPr>
        <w:t>muchacho</w:t>
      </w:r>
      <w:r>
        <w:rPr>
          <w:rFonts w:ascii="Arial" w:hAnsi="Arial"/>
          <w:i/>
          <w:color w:val="231F20"/>
          <w:spacing w:val="-10"/>
          <w:sz w:val="18"/>
        </w:rPr>
        <w:t> </w:t>
      </w:r>
      <w:r>
        <w:rPr>
          <w:rFonts w:ascii="Arial" w:hAnsi="Arial"/>
          <w:i/>
          <w:color w:val="231F20"/>
          <w:sz w:val="18"/>
        </w:rPr>
        <w:t>de</w:t>
      </w:r>
      <w:r>
        <w:rPr>
          <w:rFonts w:ascii="Arial" w:hAnsi="Arial"/>
          <w:i/>
          <w:color w:val="231F20"/>
          <w:spacing w:val="-10"/>
          <w:sz w:val="18"/>
        </w:rPr>
        <w:t> </w:t>
      </w:r>
      <w:r>
        <w:rPr>
          <w:rFonts w:ascii="Arial" w:hAnsi="Arial"/>
          <w:i/>
          <w:color w:val="231F20"/>
          <w:sz w:val="18"/>
        </w:rPr>
        <w:t>aquí</w:t>
      </w:r>
      <w:r>
        <w:rPr>
          <w:rFonts w:ascii="Arial" w:hAnsi="Arial"/>
          <w:i/>
          <w:color w:val="231F20"/>
          <w:spacing w:val="-10"/>
          <w:sz w:val="18"/>
        </w:rPr>
        <w:t> </w:t>
      </w:r>
      <w:r>
        <w:rPr>
          <w:rFonts w:ascii="Arial" w:hAnsi="Arial"/>
          <w:i/>
          <w:color w:val="231F20"/>
          <w:sz w:val="18"/>
        </w:rPr>
        <w:t>cerca,</w:t>
      </w:r>
      <w:r>
        <w:rPr>
          <w:rFonts w:ascii="Arial" w:hAnsi="Arial"/>
          <w:i/>
          <w:color w:val="231F20"/>
          <w:spacing w:val="-17"/>
          <w:sz w:val="18"/>
        </w:rPr>
        <w:t> </w:t>
      </w:r>
      <w:r>
        <w:rPr>
          <w:rFonts w:ascii="Arial" w:hAnsi="Arial"/>
          <w:i/>
          <w:color w:val="231F20"/>
          <w:sz w:val="18"/>
        </w:rPr>
        <w:t>de</w:t>
      </w:r>
      <w:r>
        <w:rPr>
          <w:rFonts w:ascii="Arial" w:hAnsi="Arial"/>
          <w:i/>
          <w:color w:val="231F20"/>
          <w:spacing w:val="-10"/>
          <w:sz w:val="18"/>
        </w:rPr>
        <w:t> </w:t>
      </w:r>
      <w:r>
        <w:rPr>
          <w:rFonts w:ascii="Arial" w:hAnsi="Arial"/>
          <w:i/>
          <w:color w:val="231F20"/>
          <w:sz w:val="18"/>
        </w:rPr>
        <w:t>San</w:t>
      </w:r>
      <w:r>
        <w:rPr>
          <w:rFonts w:ascii="Arial" w:hAnsi="Arial"/>
          <w:i/>
          <w:color w:val="231F20"/>
          <w:spacing w:val="-14"/>
          <w:sz w:val="18"/>
        </w:rPr>
        <w:t> </w:t>
      </w:r>
      <w:r>
        <w:rPr>
          <w:rFonts w:ascii="Arial" w:hAnsi="Arial"/>
          <w:i/>
          <w:color w:val="231F20"/>
          <w:sz w:val="18"/>
        </w:rPr>
        <w:t>Alejo,</w:t>
      </w:r>
      <w:r>
        <w:rPr>
          <w:rFonts w:ascii="Arial" w:hAnsi="Arial"/>
          <w:i/>
          <w:color w:val="231F20"/>
          <w:spacing w:val="-17"/>
          <w:sz w:val="18"/>
        </w:rPr>
        <w:t> </w:t>
      </w:r>
      <w:r>
        <w:rPr>
          <w:rFonts w:ascii="Arial" w:hAnsi="Arial"/>
          <w:i/>
          <w:color w:val="231F20"/>
          <w:sz w:val="18"/>
        </w:rPr>
        <w:t>se</w:t>
      </w:r>
      <w:r>
        <w:rPr>
          <w:rFonts w:ascii="Arial" w:hAnsi="Arial"/>
          <w:i/>
          <w:color w:val="231F20"/>
          <w:spacing w:val="-10"/>
          <w:sz w:val="18"/>
        </w:rPr>
        <w:t> </w:t>
      </w:r>
      <w:r>
        <w:rPr>
          <w:rFonts w:ascii="Arial" w:hAnsi="Arial"/>
          <w:i/>
          <w:color w:val="231F20"/>
          <w:sz w:val="18"/>
        </w:rPr>
        <w:t>llama Rutilio. De todas formas me siguen hablando cuando pasa algo en el jardín,</w:t>
      </w:r>
      <w:r>
        <w:rPr>
          <w:rFonts w:ascii="Arial" w:hAnsi="Arial"/>
          <w:i/>
          <w:color w:val="231F20"/>
          <w:spacing w:val="-10"/>
          <w:sz w:val="18"/>
        </w:rPr>
        <w:t> </w:t>
      </w:r>
      <w:r>
        <w:rPr>
          <w:rFonts w:ascii="Arial" w:hAnsi="Arial"/>
          <w:i/>
          <w:color w:val="231F20"/>
          <w:sz w:val="18"/>
        </w:rPr>
        <w:t>y</w:t>
      </w:r>
      <w:r>
        <w:rPr>
          <w:rFonts w:ascii="Arial" w:hAnsi="Arial"/>
          <w:i/>
          <w:color w:val="231F20"/>
          <w:spacing w:val="-3"/>
          <w:sz w:val="18"/>
        </w:rPr>
        <w:t> </w:t>
      </w:r>
      <w:r>
        <w:rPr>
          <w:rFonts w:ascii="Arial" w:hAnsi="Arial"/>
          <w:i/>
          <w:color w:val="231F20"/>
          <w:sz w:val="18"/>
        </w:rPr>
        <w:t>si</w:t>
      </w:r>
      <w:r>
        <w:rPr>
          <w:rFonts w:ascii="Arial" w:hAnsi="Arial"/>
          <w:i/>
          <w:color w:val="231F20"/>
          <w:spacing w:val="-3"/>
          <w:sz w:val="18"/>
        </w:rPr>
        <w:t> </w:t>
      </w:r>
      <w:r>
        <w:rPr>
          <w:rFonts w:ascii="Arial" w:hAnsi="Arial"/>
          <w:i/>
          <w:color w:val="231F20"/>
          <w:sz w:val="18"/>
        </w:rPr>
        <w:t>no,</w:t>
      </w:r>
      <w:r>
        <w:rPr>
          <w:rFonts w:ascii="Arial" w:hAnsi="Arial"/>
          <w:i/>
          <w:color w:val="231F20"/>
          <w:spacing w:val="-10"/>
          <w:sz w:val="18"/>
        </w:rPr>
        <w:t> </w:t>
      </w:r>
      <w:r>
        <w:rPr>
          <w:rFonts w:ascii="Arial" w:hAnsi="Arial"/>
          <w:i/>
          <w:color w:val="231F20"/>
          <w:sz w:val="18"/>
        </w:rPr>
        <w:t>cuando</w:t>
      </w:r>
      <w:r>
        <w:rPr>
          <w:rFonts w:ascii="Arial" w:hAnsi="Arial"/>
          <w:i/>
          <w:color w:val="231F20"/>
          <w:spacing w:val="-3"/>
          <w:sz w:val="18"/>
        </w:rPr>
        <w:t> </w:t>
      </w:r>
      <w:r>
        <w:rPr>
          <w:rFonts w:ascii="Arial" w:hAnsi="Arial"/>
          <w:i/>
          <w:color w:val="231F20"/>
          <w:sz w:val="18"/>
        </w:rPr>
        <w:t>estoy</w:t>
      </w:r>
      <w:r>
        <w:rPr>
          <w:rFonts w:ascii="Arial" w:hAnsi="Arial"/>
          <w:i/>
          <w:color w:val="231F20"/>
          <w:spacing w:val="-3"/>
          <w:sz w:val="18"/>
        </w:rPr>
        <w:t> </w:t>
      </w:r>
      <w:r>
        <w:rPr>
          <w:rFonts w:ascii="Arial" w:hAnsi="Arial"/>
          <w:i/>
          <w:color w:val="231F20"/>
          <w:sz w:val="18"/>
        </w:rPr>
        <w:t>en</w:t>
      </w:r>
      <w:r>
        <w:rPr>
          <w:rFonts w:ascii="Arial" w:hAnsi="Arial"/>
          <w:i/>
          <w:color w:val="231F20"/>
          <w:spacing w:val="-3"/>
          <w:sz w:val="18"/>
        </w:rPr>
        <w:t> </w:t>
      </w:r>
      <w:r>
        <w:rPr>
          <w:rFonts w:ascii="Arial" w:hAnsi="Arial"/>
          <w:i/>
          <w:color w:val="231F20"/>
          <w:sz w:val="18"/>
        </w:rPr>
        <w:t>Chicago,</w:t>
      </w:r>
      <w:r>
        <w:rPr>
          <w:rFonts w:ascii="Arial" w:hAnsi="Arial"/>
          <w:i/>
          <w:color w:val="231F20"/>
          <w:spacing w:val="-10"/>
          <w:sz w:val="18"/>
        </w:rPr>
        <w:t> </w:t>
      </w:r>
      <w:r>
        <w:rPr>
          <w:rFonts w:ascii="Arial" w:hAnsi="Arial"/>
          <w:i/>
          <w:color w:val="231F20"/>
          <w:sz w:val="18"/>
        </w:rPr>
        <w:t>voy</w:t>
      </w:r>
      <w:r>
        <w:rPr>
          <w:rFonts w:ascii="Arial" w:hAnsi="Arial"/>
          <w:i/>
          <w:color w:val="231F20"/>
          <w:spacing w:val="-3"/>
          <w:sz w:val="18"/>
        </w:rPr>
        <w:t> </w:t>
      </w:r>
      <w:r>
        <w:rPr>
          <w:rFonts w:ascii="Arial" w:hAnsi="Arial"/>
          <w:i/>
          <w:color w:val="231F20"/>
          <w:sz w:val="18"/>
        </w:rPr>
        <w:t>a</w:t>
      </w:r>
      <w:r>
        <w:rPr>
          <w:rFonts w:ascii="Arial" w:hAnsi="Arial"/>
          <w:i/>
          <w:color w:val="231F20"/>
          <w:spacing w:val="-3"/>
          <w:sz w:val="18"/>
        </w:rPr>
        <w:t> </w:t>
      </w:r>
      <w:r>
        <w:rPr>
          <w:rFonts w:ascii="Arial" w:hAnsi="Arial"/>
          <w:i/>
          <w:color w:val="231F20"/>
          <w:sz w:val="18"/>
        </w:rPr>
        <w:t>visitarlos</w:t>
      </w:r>
      <w:r>
        <w:rPr>
          <w:rFonts w:ascii="Arial" w:hAnsi="Arial"/>
          <w:i/>
          <w:color w:val="231F20"/>
          <w:spacing w:val="-3"/>
          <w:sz w:val="18"/>
        </w:rPr>
        <w:t> </w:t>
      </w:r>
      <w:r>
        <w:rPr>
          <w:rFonts w:ascii="Arial" w:hAnsi="Arial"/>
          <w:i/>
          <w:color w:val="231F20"/>
          <w:sz w:val="18"/>
        </w:rPr>
        <w:t>y</w:t>
      </w:r>
      <w:r>
        <w:rPr>
          <w:rFonts w:ascii="Arial" w:hAnsi="Arial"/>
          <w:i/>
          <w:color w:val="231F20"/>
          <w:spacing w:val="-3"/>
          <w:sz w:val="18"/>
        </w:rPr>
        <w:t> </w:t>
      </w:r>
      <w:r>
        <w:rPr>
          <w:rFonts w:ascii="Arial" w:hAnsi="Arial"/>
          <w:i/>
          <w:color w:val="231F20"/>
          <w:sz w:val="18"/>
        </w:rPr>
        <w:t>me</w:t>
      </w:r>
      <w:r>
        <w:rPr>
          <w:rFonts w:ascii="Arial" w:hAnsi="Arial"/>
          <w:i/>
          <w:color w:val="231F20"/>
          <w:spacing w:val="-3"/>
          <w:sz w:val="18"/>
        </w:rPr>
        <w:t> </w:t>
      </w:r>
      <w:r>
        <w:rPr>
          <w:rFonts w:ascii="Arial" w:hAnsi="Arial"/>
          <w:i/>
          <w:color w:val="231F20"/>
          <w:sz w:val="18"/>
        </w:rPr>
        <w:t>dicen</w:t>
      </w:r>
      <w:r>
        <w:rPr>
          <w:rFonts w:ascii="Arial" w:hAnsi="Arial"/>
          <w:i/>
          <w:color w:val="231F20"/>
          <w:spacing w:val="-3"/>
          <w:sz w:val="18"/>
        </w:rPr>
        <w:t> </w:t>
      </w:r>
      <w:r>
        <w:rPr>
          <w:rFonts w:ascii="Arial" w:hAnsi="Arial"/>
          <w:i/>
          <w:color w:val="231F20"/>
          <w:sz w:val="18"/>
        </w:rPr>
        <w:t>si</w:t>
      </w:r>
      <w:r>
        <w:rPr>
          <w:rFonts w:ascii="Arial" w:hAnsi="Arial"/>
          <w:i/>
          <w:color w:val="231F20"/>
          <w:spacing w:val="-3"/>
          <w:sz w:val="18"/>
        </w:rPr>
        <w:t> </w:t>
      </w:r>
      <w:r>
        <w:rPr>
          <w:rFonts w:ascii="Arial" w:hAnsi="Arial"/>
          <w:i/>
          <w:color w:val="231F20"/>
          <w:sz w:val="18"/>
        </w:rPr>
        <w:t>en algo puedo ayudarles. Nuestra relación es muy </w:t>
      </w:r>
      <w:r>
        <w:rPr>
          <w:rFonts w:ascii="Arial" w:hAnsi="Arial"/>
          <w:i/>
          <w:color w:val="231F20"/>
          <w:spacing w:val="3"/>
          <w:sz w:val="18"/>
        </w:rPr>
        <w:t> </w:t>
      </w:r>
      <w:r>
        <w:rPr>
          <w:rFonts w:ascii="Arial" w:hAnsi="Arial"/>
          <w:i/>
          <w:color w:val="231F20"/>
          <w:sz w:val="18"/>
        </w:rPr>
        <w:t>buena.</w:t>
      </w:r>
    </w:p>
    <w:p>
      <w:pPr>
        <w:spacing w:line="249" w:lineRule="auto" w:before="114"/>
        <w:ind w:left="2857" w:right="1834" w:firstLine="0"/>
        <w:jc w:val="both"/>
        <w:rPr>
          <w:rFonts w:ascii="Arial" w:hAnsi="Arial"/>
          <w:i/>
          <w:sz w:val="18"/>
        </w:rPr>
      </w:pPr>
      <w:r>
        <w:rPr>
          <w:rFonts w:ascii="Arial" w:hAnsi="Arial"/>
          <w:i/>
          <w:color w:val="231F20"/>
          <w:w w:val="105"/>
          <w:sz w:val="18"/>
        </w:rPr>
        <w:t>Cuando</w:t>
      </w:r>
      <w:r>
        <w:rPr>
          <w:rFonts w:ascii="Arial" w:hAnsi="Arial"/>
          <w:i/>
          <w:color w:val="231F20"/>
          <w:spacing w:val="-18"/>
          <w:w w:val="105"/>
          <w:sz w:val="18"/>
        </w:rPr>
        <w:t> </w:t>
      </w:r>
      <w:r>
        <w:rPr>
          <w:rFonts w:ascii="Arial" w:hAnsi="Arial"/>
          <w:i/>
          <w:color w:val="231F20"/>
          <w:w w:val="105"/>
          <w:sz w:val="18"/>
        </w:rPr>
        <w:t>cumplí</w:t>
      </w:r>
      <w:r>
        <w:rPr>
          <w:rFonts w:ascii="Arial" w:hAnsi="Arial"/>
          <w:i/>
          <w:color w:val="231F20"/>
          <w:spacing w:val="-18"/>
          <w:w w:val="105"/>
          <w:sz w:val="18"/>
        </w:rPr>
        <w:t> </w:t>
      </w:r>
      <w:r>
        <w:rPr>
          <w:rFonts w:ascii="Arial" w:hAnsi="Arial"/>
          <w:i/>
          <w:color w:val="231F20"/>
          <w:w w:val="105"/>
          <w:sz w:val="18"/>
        </w:rPr>
        <w:t>cincuenta</w:t>
      </w:r>
      <w:r>
        <w:rPr>
          <w:rFonts w:ascii="Arial" w:hAnsi="Arial"/>
          <w:i/>
          <w:color w:val="231F20"/>
          <w:spacing w:val="-18"/>
          <w:w w:val="105"/>
          <w:sz w:val="18"/>
        </w:rPr>
        <w:t> </w:t>
      </w:r>
      <w:r>
        <w:rPr>
          <w:rFonts w:ascii="Arial" w:hAnsi="Arial"/>
          <w:i/>
          <w:color w:val="231F20"/>
          <w:w w:val="105"/>
          <w:sz w:val="18"/>
        </w:rPr>
        <w:t>años</w:t>
      </w:r>
      <w:r>
        <w:rPr>
          <w:rFonts w:ascii="Arial" w:hAnsi="Arial"/>
          <w:i/>
          <w:color w:val="231F20"/>
          <w:spacing w:val="-18"/>
          <w:w w:val="105"/>
          <w:sz w:val="18"/>
        </w:rPr>
        <w:t> </w:t>
      </w:r>
      <w:r>
        <w:rPr>
          <w:rFonts w:ascii="Arial" w:hAnsi="Arial"/>
          <w:i/>
          <w:color w:val="231F20"/>
          <w:w w:val="105"/>
          <w:sz w:val="18"/>
        </w:rPr>
        <w:t>de</w:t>
      </w:r>
      <w:r>
        <w:rPr>
          <w:rFonts w:ascii="Arial" w:hAnsi="Arial"/>
          <w:i/>
          <w:color w:val="231F20"/>
          <w:spacing w:val="-18"/>
          <w:w w:val="105"/>
          <w:sz w:val="18"/>
        </w:rPr>
        <w:t> </w:t>
      </w:r>
      <w:r>
        <w:rPr>
          <w:rFonts w:ascii="Arial" w:hAnsi="Arial"/>
          <w:i/>
          <w:color w:val="231F20"/>
          <w:w w:val="105"/>
          <w:sz w:val="18"/>
        </w:rPr>
        <w:t>casado,</w:t>
      </w:r>
      <w:r>
        <w:rPr>
          <w:rFonts w:ascii="Arial" w:hAnsi="Arial"/>
          <w:i/>
          <w:color w:val="231F20"/>
          <w:spacing w:val="-21"/>
          <w:w w:val="105"/>
          <w:sz w:val="18"/>
        </w:rPr>
        <w:t> </w:t>
      </w:r>
      <w:r>
        <w:rPr>
          <w:rFonts w:ascii="Arial" w:hAnsi="Arial"/>
          <w:i/>
          <w:color w:val="231F20"/>
          <w:w w:val="105"/>
          <w:sz w:val="18"/>
        </w:rPr>
        <w:t>Mary</w:t>
      </w:r>
      <w:r>
        <w:rPr>
          <w:rFonts w:ascii="Arial" w:hAnsi="Arial"/>
          <w:i/>
          <w:color w:val="231F20"/>
          <w:spacing w:val="-18"/>
          <w:w w:val="105"/>
          <w:sz w:val="18"/>
        </w:rPr>
        <w:t> </w:t>
      </w:r>
      <w:r>
        <w:rPr>
          <w:rFonts w:ascii="Arial" w:hAnsi="Arial"/>
          <w:i/>
          <w:color w:val="231F20"/>
          <w:w w:val="105"/>
          <w:sz w:val="18"/>
        </w:rPr>
        <w:t>fue</w:t>
      </w:r>
      <w:r>
        <w:rPr>
          <w:rFonts w:ascii="Arial" w:hAnsi="Arial"/>
          <w:i/>
          <w:color w:val="231F20"/>
          <w:spacing w:val="-18"/>
          <w:w w:val="105"/>
          <w:sz w:val="18"/>
        </w:rPr>
        <w:t> </w:t>
      </w:r>
      <w:r>
        <w:rPr>
          <w:rFonts w:ascii="Arial" w:hAnsi="Arial"/>
          <w:i/>
          <w:color w:val="231F20"/>
          <w:w w:val="105"/>
          <w:sz w:val="18"/>
        </w:rPr>
        <w:t>a</w:t>
      </w:r>
      <w:r>
        <w:rPr>
          <w:rFonts w:ascii="Arial" w:hAnsi="Arial"/>
          <w:i/>
          <w:color w:val="231F20"/>
          <w:spacing w:val="-18"/>
          <w:w w:val="105"/>
          <w:sz w:val="18"/>
        </w:rPr>
        <w:t> </w:t>
      </w:r>
      <w:r>
        <w:rPr>
          <w:rFonts w:ascii="Arial" w:hAnsi="Arial"/>
          <w:i/>
          <w:color w:val="231F20"/>
          <w:w w:val="105"/>
          <w:sz w:val="18"/>
        </w:rPr>
        <w:t>la</w:t>
      </w:r>
      <w:r>
        <w:rPr>
          <w:rFonts w:ascii="Arial" w:hAnsi="Arial"/>
          <w:i/>
          <w:color w:val="231F20"/>
          <w:spacing w:val="-18"/>
          <w:w w:val="105"/>
          <w:sz w:val="18"/>
        </w:rPr>
        <w:t> </w:t>
      </w:r>
      <w:r>
        <w:rPr>
          <w:rFonts w:ascii="Arial" w:hAnsi="Arial"/>
          <w:i/>
          <w:color w:val="231F20"/>
          <w:w w:val="105"/>
          <w:sz w:val="18"/>
        </w:rPr>
        <w:t>fiesta</w:t>
      </w:r>
      <w:r>
        <w:rPr>
          <w:rFonts w:ascii="Arial" w:hAnsi="Arial"/>
          <w:i/>
          <w:color w:val="231F20"/>
          <w:spacing w:val="-18"/>
          <w:w w:val="105"/>
          <w:sz w:val="18"/>
        </w:rPr>
        <w:t> </w:t>
      </w:r>
      <w:r>
        <w:rPr>
          <w:rFonts w:ascii="Arial" w:hAnsi="Arial"/>
          <w:i/>
          <w:color w:val="231F20"/>
          <w:w w:val="105"/>
          <w:sz w:val="18"/>
        </w:rPr>
        <w:t>que</w:t>
      </w:r>
      <w:r>
        <w:rPr>
          <w:rFonts w:ascii="Arial" w:hAnsi="Arial"/>
          <w:i/>
          <w:color w:val="231F20"/>
          <w:spacing w:val="-18"/>
          <w:w w:val="105"/>
          <w:sz w:val="18"/>
        </w:rPr>
        <w:t> </w:t>
      </w:r>
      <w:r>
        <w:rPr>
          <w:rFonts w:ascii="Arial" w:hAnsi="Arial"/>
          <w:i/>
          <w:color w:val="231F20"/>
          <w:w w:val="105"/>
          <w:sz w:val="18"/>
        </w:rPr>
        <w:t>hici- </w:t>
      </w:r>
      <w:r>
        <w:rPr>
          <w:rFonts w:ascii="Arial" w:hAnsi="Arial"/>
          <w:i/>
          <w:color w:val="231F20"/>
          <w:w w:val="105"/>
          <w:sz w:val="18"/>
        </w:rPr>
        <w:t>mos</w:t>
      </w:r>
      <w:r>
        <w:rPr>
          <w:rFonts w:ascii="Arial" w:hAnsi="Arial"/>
          <w:i/>
          <w:color w:val="231F20"/>
          <w:spacing w:val="-23"/>
          <w:w w:val="105"/>
          <w:sz w:val="18"/>
        </w:rPr>
        <w:t> </w:t>
      </w:r>
      <w:r>
        <w:rPr>
          <w:rFonts w:ascii="Arial" w:hAnsi="Arial"/>
          <w:i/>
          <w:color w:val="231F20"/>
          <w:w w:val="105"/>
          <w:sz w:val="18"/>
        </w:rPr>
        <w:t>en</w:t>
      </w:r>
      <w:r>
        <w:rPr>
          <w:rFonts w:ascii="Arial" w:hAnsi="Arial"/>
          <w:i/>
          <w:color w:val="231F20"/>
          <w:spacing w:val="-24"/>
          <w:w w:val="105"/>
          <w:sz w:val="18"/>
        </w:rPr>
        <w:t> </w:t>
      </w:r>
      <w:r>
        <w:rPr>
          <w:rFonts w:ascii="Arial" w:hAnsi="Arial"/>
          <w:i/>
          <w:color w:val="231F20"/>
          <w:w w:val="105"/>
          <w:sz w:val="18"/>
        </w:rPr>
        <w:t>Waukegan;</w:t>
      </w:r>
      <w:r>
        <w:rPr>
          <w:rFonts w:ascii="Arial" w:hAnsi="Arial"/>
          <w:i/>
          <w:color w:val="231F20"/>
          <w:spacing w:val="-23"/>
          <w:w w:val="105"/>
          <w:sz w:val="18"/>
        </w:rPr>
        <w:t> </w:t>
      </w:r>
      <w:r>
        <w:rPr>
          <w:rFonts w:ascii="Arial" w:hAnsi="Arial"/>
          <w:i/>
          <w:color w:val="231F20"/>
          <w:w w:val="105"/>
          <w:sz w:val="18"/>
        </w:rPr>
        <w:t>ella</w:t>
      </w:r>
      <w:r>
        <w:rPr>
          <w:rFonts w:ascii="Arial" w:hAnsi="Arial"/>
          <w:i/>
          <w:color w:val="231F20"/>
          <w:spacing w:val="-23"/>
          <w:w w:val="105"/>
          <w:sz w:val="18"/>
        </w:rPr>
        <w:t> </w:t>
      </w:r>
      <w:r>
        <w:rPr>
          <w:rFonts w:ascii="Arial" w:hAnsi="Arial"/>
          <w:i/>
          <w:color w:val="231F20"/>
          <w:w w:val="105"/>
          <w:sz w:val="18"/>
        </w:rPr>
        <w:t>fue</w:t>
      </w:r>
      <w:r>
        <w:rPr>
          <w:rFonts w:ascii="Arial" w:hAnsi="Arial"/>
          <w:i/>
          <w:color w:val="231F20"/>
          <w:spacing w:val="-23"/>
          <w:w w:val="105"/>
          <w:sz w:val="18"/>
        </w:rPr>
        <w:t> </w:t>
      </w:r>
      <w:r>
        <w:rPr>
          <w:rFonts w:ascii="Arial" w:hAnsi="Arial"/>
          <w:i/>
          <w:color w:val="231F20"/>
          <w:w w:val="105"/>
          <w:sz w:val="18"/>
        </w:rPr>
        <w:t>la</w:t>
      </w:r>
      <w:r>
        <w:rPr>
          <w:rFonts w:ascii="Arial" w:hAnsi="Arial"/>
          <w:i/>
          <w:color w:val="231F20"/>
          <w:spacing w:val="-23"/>
          <w:w w:val="105"/>
          <w:sz w:val="18"/>
        </w:rPr>
        <w:t> </w:t>
      </w:r>
      <w:r>
        <w:rPr>
          <w:rFonts w:ascii="Arial" w:hAnsi="Arial"/>
          <w:i/>
          <w:color w:val="231F20"/>
          <w:w w:val="105"/>
          <w:sz w:val="18"/>
        </w:rPr>
        <w:t>única</w:t>
      </w:r>
      <w:r>
        <w:rPr>
          <w:rFonts w:ascii="Arial" w:hAnsi="Arial"/>
          <w:i/>
          <w:color w:val="231F20"/>
          <w:spacing w:val="-23"/>
          <w:w w:val="105"/>
          <w:sz w:val="18"/>
        </w:rPr>
        <w:t> </w:t>
      </w:r>
      <w:r>
        <w:rPr>
          <w:rFonts w:ascii="Arial" w:hAnsi="Arial"/>
          <w:i/>
          <w:color w:val="231F20"/>
          <w:w w:val="105"/>
          <w:sz w:val="18"/>
        </w:rPr>
        <w:t>persona</w:t>
      </w:r>
      <w:r>
        <w:rPr>
          <w:rFonts w:ascii="Arial" w:hAnsi="Arial"/>
          <w:i/>
          <w:color w:val="231F20"/>
          <w:spacing w:val="-23"/>
          <w:w w:val="105"/>
          <w:sz w:val="18"/>
        </w:rPr>
        <w:t> </w:t>
      </w:r>
      <w:r>
        <w:rPr>
          <w:rFonts w:ascii="Arial" w:hAnsi="Arial"/>
          <w:i/>
          <w:color w:val="231F20"/>
          <w:w w:val="105"/>
          <w:sz w:val="18"/>
        </w:rPr>
        <w:t>que</w:t>
      </w:r>
      <w:r>
        <w:rPr>
          <w:rFonts w:ascii="Arial" w:hAnsi="Arial"/>
          <w:i/>
          <w:color w:val="231F20"/>
          <w:spacing w:val="-23"/>
          <w:w w:val="105"/>
          <w:sz w:val="18"/>
        </w:rPr>
        <w:t> </w:t>
      </w:r>
      <w:r>
        <w:rPr>
          <w:rFonts w:ascii="Arial" w:hAnsi="Arial"/>
          <w:i/>
          <w:color w:val="231F20"/>
          <w:w w:val="105"/>
          <w:sz w:val="18"/>
        </w:rPr>
        <w:t>no</w:t>
      </w:r>
      <w:r>
        <w:rPr>
          <w:rFonts w:ascii="Arial" w:hAnsi="Arial"/>
          <w:i/>
          <w:color w:val="231F20"/>
          <w:spacing w:val="-23"/>
          <w:w w:val="105"/>
          <w:sz w:val="18"/>
        </w:rPr>
        <w:t> </w:t>
      </w:r>
      <w:r>
        <w:rPr>
          <w:rFonts w:ascii="Arial" w:hAnsi="Arial"/>
          <w:i/>
          <w:color w:val="231F20"/>
          <w:w w:val="105"/>
          <w:sz w:val="18"/>
        </w:rPr>
        <w:t>era</w:t>
      </w:r>
      <w:r>
        <w:rPr>
          <w:rFonts w:ascii="Arial" w:hAnsi="Arial"/>
          <w:i/>
          <w:color w:val="231F20"/>
          <w:spacing w:val="-23"/>
          <w:w w:val="105"/>
          <w:sz w:val="18"/>
        </w:rPr>
        <w:t> </w:t>
      </w:r>
      <w:r>
        <w:rPr>
          <w:rFonts w:ascii="Arial" w:hAnsi="Arial"/>
          <w:i/>
          <w:color w:val="231F20"/>
          <w:w w:val="105"/>
          <w:sz w:val="18"/>
        </w:rPr>
        <w:t>de</w:t>
      </w:r>
      <w:r>
        <w:rPr>
          <w:rFonts w:ascii="Arial" w:hAnsi="Arial"/>
          <w:i/>
          <w:color w:val="231F20"/>
          <w:spacing w:val="-23"/>
          <w:w w:val="105"/>
          <w:sz w:val="18"/>
        </w:rPr>
        <w:t> </w:t>
      </w:r>
      <w:r>
        <w:rPr>
          <w:rFonts w:ascii="Arial" w:hAnsi="Arial"/>
          <w:i/>
          <w:color w:val="231F20"/>
          <w:w w:val="105"/>
          <w:sz w:val="18"/>
        </w:rPr>
        <w:t>la</w:t>
      </w:r>
      <w:r>
        <w:rPr>
          <w:rFonts w:ascii="Arial" w:hAnsi="Arial"/>
          <w:i/>
          <w:color w:val="231F20"/>
          <w:spacing w:val="-23"/>
          <w:w w:val="105"/>
          <w:sz w:val="18"/>
        </w:rPr>
        <w:t> </w:t>
      </w:r>
      <w:r>
        <w:rPr>
          <w:rFonts w:ascii="Arial" w:hAnsi="Arial"/>
          <w:i/>
          <w:color w:val="231F20"/>
          <w:w w:val="105"/>
          <w:sz w:val="18"/>
        </w:rPr>
        <w:t>familia,</w:t>
      </w:r>
      <w:r>
        <w:rPr>
          <w:rFonts w:ascii="Arial" w:hAnsi="Arial"/>
          <w:i/>
          <w:color w:val="231F20"/>
          <w:spacing w:val="-27"/>
          <w:w w:val="105"/>
          <w:sz w:val="18"/>
        </w:rPr>
        <w:t> </w:t>
      </w:r>
      <w:r>
        <w:rPr>
          <w:rFonts w:ascii="Arial" w:hAnsi="Arial"/>
          <w:i/>
          <w:color w:val="231F20"/>
          <w:w w:val="105"/>
          <w:sz w:val="18"/>
        </w:rPr>
        <w:t>los otros</w:t>
      </w:r>
      <w:r>
        <w:rPr>
          <w:rFonts w:ascii="Arial" w:hAnsi="Arial"/>
          <w:i/>
          <w:color w:val="231F20"/>
          <w:spacing w:val="-7"/>
          <w:w w:val="105"/>
          <w:sz w:val="18"/>
        </w:rPr>
        <w:t> </w:t>
      </w:r>
      <w:r>
        <w:rPr>
          <w:rFonts w:ascii="Arial" w:hAnsi="Arial"/>
          <w:i/>
          <w:color w:val="231F20"/>
          <w:w w:val="105"/>
          <w:sz w:val="18"/>
        </w:rPr>
        <w:t>ciento</w:t>
      </w:r>
      <w:r>
        <w:rPr>
          <w:rFonts w:ascii="Arial" w:hAnsi="Arial"/>
          <w:i/>
          <w:color w:val="231F20"/>
          <w:spacing w:val="-7"/>
          <w:w w:val="105"/>
          <w:sz w:val="18"/>
        </w:rPr>
        <w:t> </w:t>
      </w:r>
      <w:r>
        <w:rPr>
          <w:rFonts w:ascii="Arial" w:hAnsi="Arial"/>
          <w:i/>
          <w:color w:val="231F20"/>
          <w:w w:val="105"/>
          <w:sz w:val="18"/>
        </w:rPr>
        <w:t>veinticinco</w:t>
      </w:r>
      <w:r>
        <w:rPr>
          <w:rFonts w:ascii="Arial" w:hAnsi="Arial"/>
          <w:i/>
          <w:color w:val="231F20"/>
          <w:spacing w:val="-7"/>
          <w:w w:val="105"/>
          <w:sz w:val="18"/>
        </w:rPr>
        <w:t> </w:t>
      </w:r>
      <w:r>
        <w:rPr>
          <w:rFonts w:ascii="Arial" w:hAnsi="Arial"/>
          <w:i/>
          <w:color w:val="231F20"/>
          <w:w w:val="105"/>
          <w:sz w:val="18"/>
        </w:rPr>
        <w:t>sí.</w:t>
      </w:r>
      <w:r>
        <w:rPr>
          <w:rFonts w:ascii="Arial" w:hAnsi="Arial"/>
          <w:i/>
          <w:color w:val="231F20"/>
          <w:spacing w:val="-15"/>
          <w:w w:val="105"/>
          <w:sz w:val="18"/>
        </w:rPr>
        <w:t> </w:t>
      </w:r>
      <w:r>
        <w:rPr>
          <w:rFonts w:ascii="Arial" w:hAnsi="Arial"/>
          <w:i/>
          <w:color w:val="231F20"/>
          <w:w w:val="105"/>
          <w:sz w:val="18"/>
        </w:rPr>
        <w:t>Y</w:t>
      </w:r>
      <w:r>
        <w:rPr>
          <w:rFonts w:ascii="Arial" w:hAnsi="Arial"/>
          <w:i/>
          <w:color w:val="231F20"/>
          <w:spacing w:val="-11"/>
          <w:w w:val="105"/>
          <w:sz w:val="18"/>
        </w:rPr>
        <w:t> </w:t>
      </w:r>
      <w:r>
        <w:rPr>
          <w:rFonts w:ascii="Arial" w:hAnsi="Arial"/>
          <w:i/>
          <w:color w:val="231F20"/>
          <w:w w:val="105"/>
          <w:sz w:val="18"/>
        </w:rPr>
        <w:t>cuando</w:t>
      </w:r>
      <w:r>
        <w:rPr>
          <w:rFonts w:ascii="Arial" w:hAnsi="Arial"/>
          <w:i/>
          <w:color w:val="231F20"/>
          <w:spacing w:val="-7"/>
          <w:w w:val="105"/>
          <w:sz w:val="18"/>
        </w:rPr>
        <w:t> </w:t>
      </w:r>
      <w:r>
        <w:rPr>
          <w:rFonts w:ascii="Arial" w:hAnsi="Arial"/>
          <w:i/>
          <w:color w:val="231F20"/>
          <w:w w:val="105"/>
          <w:sz w:val="18"/>
        </w:rPr>
        <w:t>una</w:t>
      </w:r>
      <w:r>
        <w:rPr>
          <w:rFonts w:ascii="Arial" w:hAnsi="Arial"/>
          <w:i/>
          <w:color w:val="231F20"/>
          <w:spacing w:val="-7"/>
          <w:w w:val="105"/>
          <w:sz w:val="18"/>
        </w:rPr>
        <w:t> </w:t>
      </w:r>
      <w:r>
        <w:rPr>
          <w:rFonts w:ascii="Arial" w:hAnsi="Arial"/>
          <w:i/>
          <w:color w:val="231F20"/>
          <w:w w:val="105"/>
          <w:sz w:val="18"/>
        </w:rPr>
        <w:t>de</w:t>
      </w:r>
      <w:r>
        <w:rPr>
          <w:rFonts w:ascii="Arial" w:hAnsi="Arial"/>
          <w:i/>
          <w:color w:val="231F20"/>
          <w:spacing w:val="-7"/>
          <w:w w:val="105"/>
          <w:sz w:val="18"/>
        </w:rPr>
        <w:t> </w:t>
      </w:r>
      <w:r>
        <w:rPr>
          <w:rFonts w:ascii="Arial" w:hAnsi="Arial"/>
          <w:i/>
          <w:color w:val="231F20"/>
          <w:w w:val="105"/>
          <w:sz w:val="18"/>
        </w:rPr>
        <w:t>mis</w:t>
      </w:r>
      <w:r>
        <w:rPr>
          <w:rFonts w:ascii="Arial" w:hAnsi="Arial"/>
          <w:i/>
          <w:color w:val="231F20"/>
          <w:spacing w:val="-7"/>
          <w:w w:val="105"/>
          <w:sz w:val="18"/>
        </w:rPr>
        <w:t> </w:t>
      </w:r>
      <w:r>
        <w:rPr>
          <w:rFonts w:ascii="Arial" w:hAnsi="Arial"/>
          <w:i/>
          <w:color w:val="231F20"/>
          <w:w w:val="105"/>
          <w:sz w:val="18"/>
        </w:rPr>
        <w:t>nietas</w:t>
      </w:r>
      <w:r>
        <w:rPr>
          <w:rFonts w:ascii="Arial" w:hAnsi="Arial"/>
          <w:i/>
          <w:color w:val="231F20"/>
          <w:spacing w:val="-7"/>
          <w:w w:val="105"/>
          <w:sz w:val="18"/>
        </w:rPr>
        <w:t> </w:t>
      </w:r>
      <w:r>
        <w:rPr>
          <w:rFonts w:ascii="Arial" w:hAnsi="Arial"/>
          <w:i/>
          <w:color w:val="231F20"/>
          <w:w w:val="105"/>
          <w:sz w:val="18"/>
        </w:rPr>
        <w:t>cumplió</w:t>
      </w:r>
      <w:r>
        <w:rPr>
          <w:rFonts w:ascii="Arial" w:hAnsi="Arial"/>
          <w:i/>
          <w:color w:val="231F20"/>
          <w:spacing w:val="-7"/>
          <w:w w:val="105"/>
          <w:sz w:val="18"/>
        </w:rPr>
        <w:t> </w:t>
      </w:r>
      <w:r>
        <w:rPr>
          <w:rFonts w:ascii="Arial" w:hAnsi="Arial"/>
          <w:i/>
          <w:color w:val="231F20"/>
          <w:w w:val="105"/>
          <w:sz w:val="18"/>
        </w:rPr>
        <w:t>quince años</w:t>
      </w:r>
      <w:r>
        <w:rPr>
          <w:rFonts w:ascii="Arial" w:hAnsi="Arial"/>
          <w:i/>
          <w:color w:val="231F20"/>
          <w:spacing w:val="-20"/>
          <w:w w:val="105"/>
          <w:sz w:val="18"/>
        </w:rPr>
        <w:t> </w:t>
      </w:r>
      <w:r>
        <w:rPr>
          <w:rFonts w:ascii="Arial" w:hAnsi="Arial"/>
          <w:i/>
          <w:color w:val="231F20"/>
          <w:w w:val="105"/>
          <w:sz w:val="18"/>
        </w:rPr>
        <w:t>también</w:t>
      </w:r>
      <w:r>
        <w:rPr>
          <w:rFonts w:ascii="Arial" w:hAnsi="Arial"/>
          <w:i/>
          <w:color w:val="231F20"/>
          <w:spacing w:val="-20"/>
          <w:w w:val="105"/>
          <w:sz w:val="18"/>
        </w:rPr>
        <w:t> </w:t>
      </w:r>
      <w:r>
        <w:rPr>
          <w:rFonts w:ascii="Arial" w:hAnsi="Arial"/>
          <w:i/>
          <w:color w:val="231F20"/>
          <w:w w:val="105"/>
          <w:sz w:val="18"/>
        </w:rPr>
        <w:t>la</w:t>
      </w:r>
      <w:r>
        <w:rPr>
          <w:rFonts w:ascii="Arial" w:hAnsi="Arial"/>
          <w:i/>
          <w:color w:val="231F20"/>
          <w:spacing w:val="-20"/>
          <w:w w:val="105"/>
          <w:sz w:val="18"/>
        </w:rPr>
        <w:t> </w:t>
      </w:r>
      <w:r>
        <w:rPr>
          <w:rFonts w:ascii="Arial" w:hAnsi="Arial"/>
          <w:i/>
          <w:color w:val="231F20"/>
          <w:w w:val="105"/>
          <w:sz w:val="18"/>
        </w:rPr>
        <w:t>invité.</w:t>
      </w:r>
      <w:r>
        <w:rPr>
          <w:rFonts w:ascii="Arial" w:hAnsi="Arial"/>
          <w:i/>
          <w:color w:val="231F20"/>
          <w:spacing w:val="-24"/>
          <w:w w:val="105"/>
          <w:sz w:val="18"/>
        </w:rPr>
        <w:t> </w:t>
      </w:r>
      <w:r>
        <w:rPr>
          <w:rFonts w:ascii="Arial" w:hAnsi="Arial"/>
          <w:i/>
          <w:color w:val="231F20"/>
          <w:w w:val="105"/>
          <w:sz w:val="18"/>
        </w:rPr>
        <w:t>Esa</w:t>
      </w:r>
      <w:r>
        <w:rPr>
          <w:rFonts w:ascii="Arial" w:hAnsi="Arial"/>
          <w:i/>
          <w:color w:val="231F20"/>
          <w:spacing w:val="-20"/>
          <w:w w:val="105"/>
          <w:sz w:val="18"/>
        </w:rPr>
        <w:t> </w:t>
      </w:r>
      <w:r>
        <w:rPr>
          <w:rFonts w:ascii="Arial" w:hAnsi="Arial"/>
          <w:i/>
          <w:color w:val="231F20"/>
          <w:w w:val="105"/>
          <w:sz w:val="18"/>
        </w:rPr>
        <w:t>ocasión</w:t>
      </w:r>
      <w:r>
        <w:rPr>
          <w:rFonts w:ascii="Arial" w:hAnsi="Arial"/>
          <w:i/>
          <w:color w:val="231F20"/>
          <w:spacing w:val="-20"/>
          <w:w w:val="105"/>
          <w:sz w:val="18"/>
        </w:rPr>
        <w:t> </w:t>
      </w:r>
      <w:r>
        <w:rPr>
          <w:rFonts w:ascii="Arial" w:hAnsi="Arial"/>
          <w:i/>
          <w:color w:val="231F20"/>
          <w:w w:val="105"/>
          <w:sz w:val="18"/>
        </w:rPr>
        <w:t>me</w:t>
      </w:r>
      <w:r>
        <w:rPr>
          <w:rFonts w:ascii="Arial" w:hAnsi="Arial"/>
          <w:i/>
          <w:color w:val="231F20"/>
          <w:spacing w:val="-20"/>
          <w:w w:val="105"/>
          <w:sz w:val="18"/>
        </w:rPr>
        <w:t> </w:t>
      </w:r>
      <w:r>
        <w:rPr>
          <w:rFonts w:ascii="Arial" w:hAnsi="Arial"/>
          <w:i/>
          <w:color w:val="231F20"/>
          <w:w w:val="105"/>
          <w:sz w:val="18"/>
        </w:rPr>
        <w:t>dijo:</w:t>
      </w:r>
      <w:r>
        <w:rPr>
          <w:rFonts w:ascii="Arial" w:hAnsi="Arial"/>
          <w:i/>
          <w:color w:val="231F20"/>
          <w:spacing w:val="-20"/>
          <w:w w:val="105"/>
          <w:sz w:val="18"/>
        </w:rPr>
        <w:t> </w:t>
      </w:r>
      <w:r>
        <w:rPr>
          <w:rFonts w:ascii="Arial" w:hAnsi="Arial"/>
          <w:i/>
          <w:color w:val="231F20"/>
          <w:w w:val="105"/>
          <w:sz w:val="18"/>
        </w:rPr>
        <w:t>sí</w:t>
      </w:r>
      <w:r>
        <w:rPr>
          <w:rFonts w:ascii="Arial" w:hAnsi="Arial"/>
          <w:i/>
          <w:color w:val="231F20"/>
          <w:spacing w:val="-20"/>
          <w:w w:val="105"/>
          <w:sz w:val="18"/>
        </w:rPr>
        <w:t> </w:t>
      </w:r>
      <w:r>
        <w:rPr>
          <w:rFonts w:ascii="Arial" w:hAnsi="Arial"/>
          <w:i/>
          <w:color w:val="231F20"/>
          <w:w w:val="105"/>
          <w:sz w:val="18"/>
        </w:rPr>
        <w:t>Rafa,</w:t>
      </w:r>
      <w:r>
        <w:rPr>
          <w:rFonts w:ascii="Arial" w:hAnsi="Arial"/>
          <w:i/>
          <w:color w:val="231F20"/>
          <w:spacing w:val="-24"/>
          <w:w w:val="105"/>
          <w:sz w:val="18"/>
        </w:rPr>
        <w:t> </w:t>
      </w:r>
      <w:r>
        <w:rPr>
          <w:rFonts w:ascii="Arial" w:hAnsi="Arial"/>
          <w:i/>
          <w:color w:val="231F20"/>
          <w:w w:val="105"/>
          <w:sz w:val="18"/>
        </w:rPr>
        <w:t>¡quiero</w:t>
      </w:r>
      <w:r>
        <w:rPr>
          <w:rFonts w:ascii="Arial" w:hAnsi="Arial"/>
          <w:i/>
          <w:color w:val="231F20"/>
          <w:spacing w:val="-20"/>
          <w:w w:val="105"/>
          <w:sz w:val="18"/>
        </w:rPr>
        <w:t> </w:t>
      </w:r>
      <w:r>
        <w:rPr>
          <w:rFonts w:ascii="Arial" w:hAnsi="Arial"/>
          <w:i/>
          <w:color w:val="231F20"/>
          <w:w w:val="105"/>
          <w:sz w:val="18"/>
        </w:rPr>
        <w:t>ver</w:t>
      </w:r>
      <w:r>
        <w:rPr>
          <w:rFonts w:ascii="Arial" w:hAnsi="Arial"/>
          <w:i/>
          <w:color w:val="231F20"/>
          <w:spacing w:val="-20"/>
          <w:w w:val="105"/>
          <w:sz w:val="18"/>
        </w:rPr>
        <w:t> </w:t>
      </w:r>
      <w:r>
        <w:rPr>
          <w:rFonts w:ascii="Arial" w:hAnsi="Arial"/>
          <w:i/>
          <w:color w:val="231F20"/>
          <w:w w:val="105"/>
          <w:sz w:val="18"/>
        </w:rPr>
        <w:t>la</w:t>
      </w:r>
      <w:r>
        <w:rPr>
          <w:rFonts w:ascii="Arial" w:hAnsi="Arial"/>
          <w:i/>
          <w:color w:val="231F20"/>
          <w:spacing w:val="-20"/>
          <w:w w:val="105"/>
          <w:sz w:val="18"/>
        </w:rPr>
        <w:t> </w:t>
      </w:r>
      <w:r>
        <w:rPr>
          <w:rFonts w:ascii="Arial" w:hAnsi="Arial"/>
          <w:i/>
          <w:color w:val="231F20"/>
          <w:w w:val="105"/>
          <w:sz w:val="18"/>
        </w:rPr>
        <w:t>fiesta de</w:t>
      </w:r>
      <w:r>
        <w:rPr>
          <w:rFonts w:ascii="Arial" w:hAnsi="Arial"/>
          <w:i/>
          <w:color w:val="231F20"/>
          <w:spacing w:val="-33"/>
          <w:w w:val="105"/>
          <w:sz w:val="18"/>
        </w:rPr>
        <w:t> </w:t>
      </w:r>
      <w:r>
        <w:rPr>
          <w:rFonts w:ascii="Arial" w:hAnsi="Arial"/>
          <w:i/>
          <w:color w:val="231F20"/>
          <w:w w:val="105"/>
          <w:sz w:val="18"/>
        </w:rPr>
        <w:t>una</w:t>
      </w:r>
      <w:r>
        <w:rPr>
          <w:rFonts w:ascii="Arial" w:hAnsi="Arial"/>
          <w:i/>
          <w:color w:val="231F20"/>
          <w:spacing w:val="-33"/>
          <w:w w:val="105"/>
          <w:sz w:val="18"/>
        </w:rPr>
        <w:t> </w:t>
      </w:r>
      <w:r>
        <w:rPr>
          <w:rFonts w:ascii="Arial" w:hAnsi="Arial"/>
          <w:i/>
          <w:color w:val="231F20"/>
          <w:w w:val="105"/>
          <w:sz w:val="18"/>
        </w:rPr>
        <w:t>quinceañera</w:t>
      </w:r>
      <w:r>
        <w:rPr>
          <w:rFonts w:ascii="Arial" w:hAnsi="Arial"/>
          <w:i/>
          <w:color w:val="231F20"/>
          <w:spacing w:val="-33"/>
          <w:w w:val="105"/>
          <w:sz w:val="18"/>
        </w:rPr>
        <w:t> </w:t>
      </w:r>
      <w:r>
        <w:rPr>
          <w:rFonts w:ascii="Arial" w:hAnsi="Arial"/>
          <w:i/>
          <w:color w:val="231F20"/>
          <w:w w:val="105"/>
          <w:sz w:val="18"/>
        </w:rPr>
        <w:t>mexicana!</w:t>
      </w:r>
    </w:p>
    <w:p>
      <w:pPr>
        <w:spacing w:line="249" w:lineRule="auto" w:before="114"/>
        <w:ind w:left="2857" w:right="1829" w:firstLine="0"/>
        <w:jc w:val="both"/>
        <w:rPr>
          <w:rFonts w:ascii="Arial" w:hAnsi="Arial"/>
          <w:i/>
          <w:sz w:val="18"/>
        </w:rPr>
      </w:pPr>
      <w:r>
        <w:rPr>
          <w:rFonts w:ascii="Arial" w:hAnsi="Arial"/>
          <w:i/>
          <w:color w:val="231F20"/>
          <w:w w:val="105"/>
          <w:sz w:val="18"/>
        </w:rPr>
        <w:t>Mis</w:t>
      </w:r>
      <w:r>
        <w:rPr>
          <w:rFonts w:ascii="Arial" w:hAnsi="Arial"/>
          <w:i/>
          <w:color w:val="231F20"/>
          <w:spacing w:val="-27"/>
          <w:w w:val="105"/>
          <w:sz w:val="18"/>
        </w:rPr>
        <w:t> </w:t>
      </w:r>
      <w:r>
        <w:rPr>
          <w:rFonts w:ascii="Arial" w:hAnsi="Arial"/>
          <w:i/>
          <w:color w:val="231F20"/>
          <w:w w:val="105"/>
          <w:sz w:val="18"/>
        </w:rPr>
        <w:t>hijos</w:t>
      </w:r>
      <w:r>
        <w:rPr>
          <w:rFonts w:ascii="Arial" w:hAnsi="Arial"/>
          <w:i/>
          <w:color w:val="231F20"/>
          <w:spacing w:val="-27"/>
          <w:w w:val="105"/>
          <w:sz w:val="18"/>
        </w:rPr>
        <w:t> </w:t>
      </w:r>
      <w:r>
        <w:rPr>
          <w:rFonts w:ascii="Arial" w:hAnsi="Arial"/>
          <w:i/>
          <w:color w:val="231F20"/>
          <w:w w:val="105"/>
          <w:sz w:val="18"/>
        </w:rPr>
        <w:t>se</w:t>
      </w:r>
      <w:r>
        <w:rPr>
          <w:rFonts w:ascii="Arial" w:hAnsi="Arial"/>
          <w:i/>
          <w:color w:val="231F20"/>
          <w:spacing w:val="-27"/>
          <w:w w:val="105"/>
          <w:sz w:val="18"/>
        </w:rPr>
        <w:t> </w:t>
      </w:r>
      <w:r>
        <w:rPr>
          <w:rFonts w:ascii="Arial" w:hAnsi="Arial"/>
          <w:i/>
          <w:color w:val="231F20"/>
          <w:w w:val="105"/>
          <w:sz w:val="18"/>
        </w:rPr>
        <w:t>fueron</w:t>
      </w:r>
      <w:r>
        <w:rPr>
          <w:rFonts w:ascii="Arial" w:hAnsi="Arial"/>
          <w:i/>
          <w:color w:val="231F20"/>
          <w:spacing w:val="-27"/>
          <w:w w:val="105"/>
          <w:sz w:val="18"/>
        </w:rPr>
        <w:t> </w:t>
      </w:r>
      <w:r>
        <w:rPr>
          <w:rFonts w:ascii="Arial" w:hAnsi="Arial"/>
          <w:i/>
          <w:color w:val="231F20"/>
          <w:w w:val="105"/>
          <w:sz w:val="18"/>
        </w:rPr>
        <w:t>a</w:t>
      </w:r>
      <w:r>
        <w:rPr>
          <w:rFonts w:ascii="Arial" w:hAnsi="Arial"/>
          <w:i/>
          <w:color w:val="231F20"/>
          <w:spacing w:val="-27"/>
          <w:w w:val="105"/>
          <w:sz w:val="18"/>
        </w:rPr>
        <w:t> </w:t>
      </w:r>
      <w:r>
        <w:rPr>
          <w:rFonts w:ascii="Arial" w:hAnsi="Arial"/>
          <w:i/>
          <w:color w:val="231F20"/>
          <w:w w:val="105"/>
          <w:sz w:val="18"/>
        </w:rPr>
        <w:t>Chicago</w:t>
      </w:r>
      <w:r>
        <w:rPr>
          <w:rFonts w:ascii="Arial" w:hAnsi="Arial"/>
          <w:i/>
          <w:color w:val="231F20"/>
          <w:spacing w:val="-27"/>
          <w:w w:val="105"/>
          <w:sz w:val="18"/>
        </w:rPr>
        <w:t> </w:t>
      </w:r>
      <w:r>
        <w:rPr>
          <w:rFonts w:ascii="Arial" w:hAnsi="Arial"/>
          <w:i/>
          <w:color w:val="231F20"/>
          <w:w w:val="105"/>
          <w:sz w:val="18"/>
        </w:rPr>
        <w:t>porque</w:t>
      </w:r>
      <w:r>
        <w:rPr>
          <w:rFonts w:ascii="Arial" w:hAnsi="Arial"/>
          <w:i/>
          <w:color w:val="231F20"/>
          <w:spacing w:val="-27"/>
          <w:w w:val="105"/>
          <w:sz w:val="18"/>
        </w:rPr>
        <w:t> </w:t>
      </w:r>
      <w:r>
        <w:rPr>
          <w:rFonts w:ascii="Arial" w:hAnsi="Arial"/>
          <w:i/>
          <w:color w:val="231F20"/>
          <w:w w:val="105"/>
          <w:sz w:val="18"/>
        </w:rPr>
        <w:t>ya</w:t>
      </w:r>
      <w:r>
        <w:rPr>
          <w:rFonts w:ascii="Arial" w:hAnsi="Arial"/>
          <w:i/>
          <w:color w:val="231F20"/>
          <w:spacing w:val="-27"/>
          <w:w w:val="105"/>
          <w:sz w:val="18"/>
        </w:rPr>
        <w:t> </w:t>
      </w:r>
      <w:r>
        <w:rPr>
          <w:rFonts w:ascii="Arial" w:hAnsi="Arial"/>
          <w:i/>
          <w:color w:val="231F20"/>
          <w:w w:val="105"/>
          <w:sz w:val="18"/>
        </w:rPr>
        <w:t>había</w:t>
      </w:r>
      <w:r>
        <w:rPr>
          <w:rFonts w:ascii="Arial" w:hAnsi="Arial"/>
          <w:i/>
          <w:color w:val="231F20"/>
          <w:spacing w:val="-27"/>
          <w:w w:val="105"/>
          <w:sz w:val="18"/>
        </w:rPr>
        <w:t> </w:t>
      </w:r>
      <w:r>
        <w:rPr>
          <w:rFonts w:ascii="Arial" w:hAnsi="Arial"/>
          <w:i/>
          <w:color w:val="231F20"/>
          <w:w w:val="105"/>
          <w:sz w:val="18"/>
        </w:rPr>
        <w:t>gente</w:t>
      </w:r>
      <w:r>
        <w:rPr>
          <w:rFonts w:ascii="Arial" w:hAnsi="Arial"/>
          <w:i/>
          <w:color w:val="231F20"/>
          <w:spacing w:val="-27"/>
          <w:w w:val="105"/>
          <w:sz w:val="18"/>
        </w:rPr>
        <w:t> </w:t>
      </w:r>
      <w:r>
        <w:rPr>
          <w:rFonts w:ascii="Arial" w:hAnsi="Arial"/>
          <w:i/>
          <w:color w:val="231F20"/>
          <w:w w:val="105"/>
          <w:sz w:val="18"/>
        </w:rPr>
        <w:t>de</w:t>
      </w:r>
      <w:r>
        <w:rPr>
          <w:rFonts w:ascii="Arial" w:hAnsi="Arial"/>
          <w:i/>
          <w:color w:val="231F20"/>
          <w:spacing w:val="-29"/>
          <w:w w:val="105"/>
          <w:sz w:val="18"/>
        </w:rPr>
        <w:t> </w:t>
      </w:r>
      <w:r>
        <w:rPr>
          <w:rFonts w:ascii="Arial" w:hAnsi="Arial"/>
          <w:i/>
          <w:color w:val="231F20"/>
          <w:spacing w:val="-3"/>
          <w:w w:val="105"/>
          <w:sz w:val="18"/>
        </w:rPr>
        <w:t>Tonatico</w:t>
      </w:r>
      <w:r>
        <w:rPr>
          <w:rFonts w:ascii="Arial" w:hAnsi="Arial"/>
          <w:i/>
          <w:color w:val="231F20"/>
          <w:spacing w:val="-27"/>
          <w:w w:val="105"/>
          <w:sz w:val="18"/>
        </w:rPr>
        <w:t> </w:t>
      </w:r>
      <w:r>
        <w:rPr>
          <w:rFonts w:ascii="Arial" w:hAnsi="Arial"/>
          <w:i/>
          <w:color w:val="231F20"/>
          <w:w w:val="105"/>
          <w:sz w:val="18"/>
        </w:rPr>
        <w:t>allá.</w:t>
      </w:r>
      <w:r>
        <w:rPr>
          <w:rFonts w:ascii="Arial" w:hAnsi="Arial"/>
          <w:i/>
          <w:color w:val="231F20"/>
          <w:spacing w:val="-30"/>
          <w:w w:val="105"/>
          <w:sz w:val="18"/>
        </w:rPr>
        <w:t> </w:t>
      </w:r>
      <w:r>
        <w:rPr>
          <w:rFonts w:ascii="Arial" w:hAnsi="Arial"/>
          <w:i/>
          <w:color w:val="231F20"/>
          <w:w w:val="105"/>
          <w:sz w:val="18"/>
        </w:rPr>
        <w:t>Se </w:t>
      </w:r>
      <w:r>
        <w:rPr>
          <w:rFonts w:ascii="Arial" w:hAnsi="Arial"/>
          <w:i/>
          <w:color w:val="231F20"/>
          <w:w w:val="105"/>
          <w:sz w:val="18"/>
        </w:rPr>
        <w:t>fueron</w:t>
      </w:r>
      <w:r>
        <w:rPr>
          <w:rFonts w:ascii="Arial" w:hAnsi="Arial"/>
          <w:i/>
          <w:color w:val="231F20"/>
          <w:spacing w:val="-5"/>
          <w:w w:val="105"/>
          <w:sz w:val="18"/>
        </w:rPr>
        <w:t> </w:t>
      </w:r>
      <w:r>
        <w:rPr>
          <w:rFonts w:ascii="Arial" w:hAnsi="Arial"/>
          <w:i/>
          <w:color w:val="231F20"/>
          <w:w w:val="105"/>
          <w:sz w:val="18"/>
        </w:rPr>
        <w:t>muy</w:t>
      </w:r>
      <w:r>
        <w:rPr>
          <w:rFonts w:ascii="Arial" w:hAnsi="Arial"/>
          <w:i/>
          <w:color w:val="231F20"/>
          <w:spacing w:val="-5"/>
          <w:w w:val="105"/>
          <w:sz w:val="18"/>
        </w:rPr>
        <w:t> </w:t>
      </w:r>
      <w:r>
        <w:rPr>
          <w:rFonts w:ascii="Arial" w:hAnsi="Arial"/>
          <w:i/>
          <w:color w:val="231F20"/>
          <w:w w:val="105"/>
          <w:sz w:val="18"/>
        </w:rPr>
        <w:t>chicos,</w:t>
      </w:r>
      <w:r>
        <w:rPr>
          <w:rFonts w:ascii="Arial" w:hAnsi="Arial"/>
          <w:i/>
          <w:color w:val="231F20"/>
          <w:spacing w:val="-9"/>
          <w:w w:val="105"/>
          <w:sz w:val="18"/>
        </w:rPr>
        <w:t> </w:t>
      </w:r>
      <w:r>
        <w:rPr>
          <w:rFonts w:ascii="Arial" w:hAnsi="Arial"/>
          <w:i/>
          <w:color w:val="231F20"/>
          <w:w w:val="105"/>
          <w:sz w:val="18"/>
        </w:rPr>
        <w:t>ni</w:t>
      </w:r>
      <w:r>
        <w:rPr>
          <w:rFonts w:ascii="Arial" w:hAnsi="Arial"/>
          <w:i/>
          <w:color w:val="231F20"/>
          <w:spacing w:val="-5"/>
          <w:w w:val="105"/>
          <w:sz w:val="18"/>
        </w:rPr>
        <w:t> </w:t>
      </w:r>
      <w:r>
        <w:rPr>
          <w:rFonts w:ascii="Arial" w:hAnsi="Arial"/>
          <w:i/>
          <w:color w:val="231F20"/>
          <w:w w:val="105"/>
          <w:sz w:val="18"/>
        </w:rPr>
        <w:t>uno</w:t>
      </w:r>
      <w:r>
        <w:rPr>
          <w:rFonts w:ascii="Arial" w:hAnsi="Arial"/>
          <w:i/>
          <w:color w:val="231F20"/>
          <w:spacing w:val="-5"/>
          <w:w w:val="105"/>
          <w:sz w:val="18"/>
        </w:rPr>
        <w:t> </w:t>
      </w:r>
      <w:r>
        <w:rPr>
          <w:rFonts w:ascii="Arial" w:hAnsi="Arial"/>
          <w:i/>
          <w:color w:val="231F20"/>
          <w:w w:val="105"/>
          <w:sz w:val="18"/>
        </w:rPr>
        <w:t>había</w:t>
      </w:r>
      <w:r>
        <w:rPr>
          <w:rFonts w:ascii="Arial" w:hAnsi="Arial"/>
          <w:i/>
          <w:color w:val="231F20"/>
          <w:spacing w:val="-5"/>
          <w:w w:val="105"/>
          <w:sz w:val="18"/>
        </w:rPr>
        <w:t> </w:t>
      </w:r>
      <w:r>
        <w:rPr>
          <w:rFonts w:ascii="Arial" w:hAnsi="Arial"/>
          <w:i/>
          <w:color w:val="231F20"/>
          <w:w w:val="105"/>
          <w:sz w:val="18"/>
        </w:rPr>
        <w:t>cumplido</w:t>
      </w:r>
      <w:r>
        <w:rPr>
          <w:rFonts w:ascii="Arial" w:hAnsi="Arial"/>
          <w:i/>
          <w:color w:val="231F20"/>
          <w:spacing w:val="-5"/>
          <w:w w:val="105"/>
          <w:sz w:val="18"/>
        </w:rPr>
        <w:t> </w:t>
      </w:r>
      <w:r>
        <w:rPr>
          <w:rFonts w:ascii="Arial" w:hAnsi="Arial"/>
          <w:i/>
          <w:color w:val="231F20"/>
          <w:w w:val="105"/>
          <w:sz w:val="18"/>
        </w:rPr>
        <w:t>los</w:t>
      </w:r>
      <w:r>
        <w:rPr>
          <w:rFonts w:ascii="Arial" w:hAnsi="Arial"/>
          <w:i/>
          <w:color w:val="231F20"/>
          <w:spacing w:val="-5"/>
          <w:w w:val="105"/>
          <w:sz w:val="18"/>
        </w:rPr>
        <w:t> </w:t>
      </w:r>
      <w:r>
        <w:rPr>
          <w:rFonts w:ascii="Arial" w:hAnsi="Arial"/>
          <w:i/>
          <w:color w:val="231F20"/>
          <w:w w:val="105"/>
          <w:sz w:val="18"/>
        </w:rPr>
        <w:t>dieciocho.</w:t>
      </w:r>
      <w:r>
        <w:rPr>
          <w:rFonts w:ascii="Arial" w:hAnsi="Arial"/>
          <w:i/>
          <w:color w:val="231F20"/>
          <w:spacing w:val="-9"/>
          <w:w w:val="105"/>
          <w:sz w:val="18"/>
        </w:rPr>
        <w:t> </w:t>
      </w:r>
      <w:r>
        <w:rPr>
          <w:rFonts w:ascii="Arial" w:hAnsi="Arial"/>
          <w:i/>
          <w:color w:val="231F20"/>
          <w:w w:val="105"/>
          <w:sz w:val="18"/>
        </w:rPr>
        <w:t>Los</w:t>
      </w:r>
      <w:r>
        <w:rPr>
          <w:rFonts w:ascii="Arial" w:hAnsi="Arial"/>
          <w:i/>
          <w:color w:val="231F20"/>
          <w:spacing w:val="-5"/>
          <w:w w:val="105"/>
          <w:sz w:val="18"/>
        </w:rPr>
        <w:t> </w:t>
      </w:r>
      <w:r>
        <w:rPr>
          <w:rFonts w:ascii="Arial" w:hAnsi="Arial"/>
          <w:i/>
          <w:color w:val="231F20"/>
          <w:w w:val="105"/>
          <w:sz w:val="18"/>
        </w:rPr>
        <w:t>primeros se fueron en 1975. Un día, no me lo esperaba, Jaime me dijo: papá, qué</w:t>
      </w:r>
      <w:r>
        <w:rPr>
          <w:rFonts w:ascii="Arial" w:hAnsi="Arial"/>
          <w:i/>
          <w:color w:val="231F20"/>
          <w:spacing w:val="-12"/>
          <w:w w:val="105"/>
          <w:sz w:val="18"/>
        </w:rPr>
        <w:t> </w:t>
      </w:r>
      <w:r>
        <w:rPr>
          <w:rFonts w:ascii="Arial" w:hAnsi="Arial"/>
          <w:i/>
          <w:color w:val="231F20"/>
          <w:w w:val="105"/>
          <w:sz w:val="18"/>
        </w:rPr>
        <w:t>le</w:t>
      </w:r>
      <w:r>
        <w:rPr>
          <w:rFonts w:ascii="Arial" w:hAnsi="Arial"/>
          <w:i/>
          <w:color w:val="231F20"/>
          <w:spacing w:val="-12"/>
          <w:w w:val="105"/>
          <w:sz w:val="18"/>
        </w:rPr>
        <w:t> </w:t>
      </w:r>
      <w:r>
        <w:rPr>
          <w:rFonts w:ascii="Arial" w:hAnsi="Arial"/>
          <w:i/>
          <w:color w:val="231F20"/>
          <w:w w:val="105"/>
          <w:sz w:val="18"/>
        </w:rPr>
        <w:t>parecería</w:t>
      </w:r>
      <w:r>
        <w:rPr>
          <w:rFonts w:ascii="Arial" w:hAnsi="Arial"/>
          <w:i/>
          <w:color w:val="231F20"/>
          <w:spacing w:val="-12"/>
          <w:w w:val="105"/>
          <w:sz w:val="18"/>
        </w:rPr>
        <w:t> </w:t>
      </w:r>
      <w:r>
        <w:rPr>
          <w:rFonts w:ascii="Arial" w:hAnsi="Arial"/>
          <w:i/>
          <w:color w:val="231F20"/>
          <w:w w:val="105"/>
          <w:sz w:val="18"/>
        </w:rPr>
        <w:t>que</w:t>
      </w:r>
      <w:r>
        <w:rPr>
          <w:rFonts w:ascii="Arial" w:hAnsi="Arial"/>
          <w:i/>
          <w:color w:val="231F20"/>
          <w:spacing w:val="-12"/>
          <w:w w:val="105"/>
          <w:sz w:val="18"/>
        </w:rPr>
        <w:t> </w:t>
      </w:r>
      <w:r>
        <w:rPr>
          <w:rFonts w:ascii="Arial" w:hAnsi="Arial"/>
          <w:i/>
          <w:color w:val="231F20"/>
          <w:w w:val="105"/>
          <w:sz w:val="18"/>
        </w:rPr>
        <w:t>Cecilia</w:t>
      </w:r>
      <w:r>
        <w:rPr>
          <w:rFonts w:ascii="Arial" w:hAnsi="Arial"/>
          <w:i/>
          <w:color w:val="231F20"/>
          <w:spacing w:val="-12"/>
          <w:w w:val="105"/>
          <w:sz w:val="18"/>
        </w:rPr>
        <w:t> </w:t>
      </w:r>
      <w:r>
        <w:rPr>
          <w:rFonts w:ascii="Arial" w:hAnsi="Arial"/>
          <w:i/>
          <w:color w:val="231F20"/>
          <w:w w:val="105"/>
          <w:sz w:val="18"/>
        </w:rPr>
        <w:t>y</w:t>
      </w:r>
      <w:r>
        <w:rPr>
          <w:rFonts w:ascii="Arial" w:hAnsi="Arial"/>
          <w:i/>
          <w:color w:val="231F20"/>
          <w:spacing w:val="-12"/>
          <w:w w:val="105"/>
          <w:sz w:val="18"/>
        </w:rPr>
        <w:t> </w:t>
      </w:r>
      <w:r>
        <w:rPr>
          <w:rFonts w:ascii="Arial" w:hAnsi="Arial"/>
          <w:i/>
          <w:color w:val="231F20"/>
          <w:w w:val="105"/>
          <w:sz w:val="18"/>
        </w:rPr>
        <w:t>yo</w:t>
      </w:r>
      <w:r>
        <w:rPr>
          <w:rFonts w:ascii="Arial" w:hAnsi="Arial"/>
          <w:i/>
          <w:color w:val="231F20"/>
          <w:spacing w:val="-12"/>
          <w:w w:val="105"/>
          <w:sz w:val="18"/>
        </w:rPr>
        <w:t> </w:t>
      </w:r>
      <w:r>
        <w:rPr>
          <w:rFonts w:ascii="Arial" w:hAnsi="Arial"/>
          <w:i/>
          <w:color w:val="231F20"/>
          <w:w w:val="105"/>
          <w:sz w:val="18"/>
        </w:rPr>
        <w:t>nos</w:t>
      </w:r>
      <w:r>
        <w:rPr>
          <w:rFonts w:ascii="Arial" w:hAnsi="Arial"/>
          <w:i/>
          <w:color w:val="231F20"/>
          <w:spacing w:val="-12"/>
          <w:w w:val="105"/>
          <w:sz w:val="18"/>
        </w:rPr>
        <w:t> </w:t>
      </w:r>
      <w:r>
        <w:rPr>
          <w:rFonts w:ascii="Arial" w:hAnsi="Arial"/>
          <w:i/>
          <w:color w:val="231F20"/>
          <w:w w:val="105"/>
          <w:sz w:val="18"/>
        </w:rPr>
        <w:t>fuéramos</w:t>
      </w:r>
      <w:r>
        <w:rPr>
          <w:rFonts w:ascii="Arial" w:hAnsi="Arial"/>
          <w:i/>
          <w:color w:val="231F20"/>
          <w:spacing w:val="-12"/>
          <w:w w:val="105"/>
          <w:sz w:val="18"/>
        </w:rPr>
        <w:t> </w:t>
      </w:r>
      <w:r>
        <w:rPr>
          <w:rFonts w:ascii="Arial" w:hAnsi="Arial"/>
          <w:i/>
          <w:color w:val="231F20"/>
          <w:w w:val="105"/>
          <w:sz w:val="18"/>
        </w:rPr>
        <w:t>a</w:t>
      </w:r>
      <w:r>
        <w:rPr>
          <w:rFonts w:ascii="Arial" w:hAnsi="Arial"/>
          <w:i/>
          <w:color w:val="231F20"/>
          <w:spacing w:val="-12"/>
          <w:w w:val="105"/>
          <w:sz w:val="18"/>
        </w:rPr>
        <w:t> </w:t>
      </w:r>
      <w:r>
        <w:rPr>
          <w:rFonts w:ascii="Arial" w:hAnsi="Arial"/>
          <w:i/>
          <w:color w:val="231F20"/>
          <w:w w:val="105"/>
          <w:sz w:val="18"/>
        </w:rPr>
        <w:t>Estados</w:t>
      </w:r>
      <w:r>
        <w:rPr>
          <w:rFonts w:ascii="Arial" w:hAnsi="Arial"/>
          <w:i/>
          <w:color w:val="231F20"/>
          <w:spacing w:val="-12"/>
          <w:w w:val="105"/>
          <w:sz w:val="18"/>
        </w:rPr>
        <w:t> </w:t>
      </w:r>
      <w:r>
        <w:rPr>
          <w:rFonts w:ascii="Arial" w:hAnsi="Arial"/>
          <w:i/>
          <w:color w:val="231F20"/>
          <w:w w:val="105"/>
          <w:sz w:val="18"/>
        </w:rPr>
        <w:t>Unidos</w:t>
      </w:r>
      <w:r>
        <w:rPr>
          <w:rFonts w:ascii="Arial" w:hAnsi="Arial"/>
          <w:i/>
          <w:color w:val="231F20"/>
          <w:spacing w:val="-12"/>
          <w:w w:val="105"/>
          <w:sz w:val="18"/>
        </w:rPr>
        <w:t> </w:t>
      </w:r>
      <w:r>
        <w:rPr>
          <w:rFonts w:ascii="Arial" w:hAnsi="Arial"/>
          <w:i/>
          <w:color w:val="231F20"/>
          <w:w w:val="105"/>
          <w:sz w:val="18"/>
        </w:rPr>
        <w:t>para trabajar</w:t>
      </w:r>
      <w:r>
        <w:rPr>
          <w:rFonts w:ascii="Arial" w:hAnsi="Arial"/>
          <w:i/>
          <w:color w:val="231F20"/>
          <w:spacing w:val="-14"/>
          <w:w w:val="105"/>
          <w:sz w:val="18"/>
        </w:rPr>
        <w:t> </w:t>
      </w:r>
      <w:r>
        <w:rPr>
          <w:rFonts w:ascii="Arial" w:hAnsi="Arial"/>
          <w:i/>
          <w:color w:val="231F20"/>
          <w:w w:val="105"/>
          <w:sz w:val="18"/>
        </w:rPr>
        <w:t>allá</w:t>
      </w:r>
      <w:r>
        <w:rPr>
          <w:rFonts w:ascii="Arial" w:hAnsi="Arial"/>
          <w:i/>
          <w:color w:val="231F20"/>
          <w:spacing w:val="-14"/>
          <w:w w:val="105"/>
          <w:sz w:val="18"/>
        </w:rPr>
        <w:t> </w:t>
      </w:r>
      <w:r>
        <w:rPr>
          <w:rFonts w:ascii="Arial" w:hAnsi="Arial"/>
          <w:i/>
          <w:color w:val="231F20"/>
          <w:w w:val="105"/>
          <w:sz w:val="18"/>
        </w:rPr>
        <w:t>y</w:t>
      </w:r>
      <w:r>
        <w:rPr>
          <w:rFonts w:ascii="Arial" w:hAnsi="Arial"/>
          <w:i/>
          <w:color w:val="231F20"/>
          <w:spacing w:val="-14"/>
          <w:w w:val="105"/>
          <w:sz w:val="18"/>
        </w:rPr>
        <w:t> </w:t>
      </w:r>
      <w:r>
        <w:rPr>
          <w:rFonts w:ascii="Arial" w:hAnsi="Arial"/>
          <w:i/>
          <w:color w:val="231F20"/>
          <w:w w:val="105"/>
          <w:sz w:val="18"/>
        </w:rPr>
        <w:t>ayudarlo.</w:t>
      </w:r>
      <w:r>
        <w:rPr>
          <w:rFonts w:ascii="Arial" w:hAnsi="Arial"/>
          <w:i/>
          <w:color w:val="231F20"/>
          <w:spacing w:val="-18"/>
          <w:w w:val="105"/>
          <w:sz w:val="18"/>
        </w:rPr>
        <w:t> </w:t>
      </w:r>
      <w:r>
        <w:rPr>
          <w:rFonts w:ascii="Arial" w:hAnsi="Arial"/>
          <w:i/>
          <w:color w:val="231F20"/>
          <w:w w:val="105"/>
          <w:sz w:val="18"/>
        </w:rPr>
        <w:t>Me</w:t>
      </w:r>
      <w:r>
        <w:rPr>
          <w:rFonts w:ascii="Arial" w:hAnsi="Arial"/>
          <w:i/>
          <w:color w:val="231F20"/>
          <w:spacing w:val="-14"/>
          <w:w w:val="105"/>
          <w:sz w:val="18"/>
        </w:rPr>
        <w:t> </w:t>
      </w:r>
      <w:r>
        <w:rPr>
          <w:rFonts w:ascii="Arial" w:hAnsi="Arial"/>
          <w:i/>
          <w:color w:val="231F20"/>
          <w:w w:val="105"/>
          <w:sz w:val="18"/>
        </w:rPr>
        <w:t>le</w:t>
      </w:r>
      <w:r>
        <w:rPr>
          <w:rFonts w:ascii="Arial" w:hAnsi="Arial"/>
          <w:i/>
          <w:color w:val="231F20"/>
          <w:spacing w:val="-14"/>
          <w:w w:val="105"/>
          <w:sz w:val="18"/>
        </w:rPr>
        <w:t> </w:t>
      </w:r>
      <w:r>
        <w:rPr>
          <w:rFonts w:ascii="Arial" w:hAnsi="Arial"/>
          <w:i/>
          <w:color w:val="231F20"/>
          <w:w w:val="105"/>
          <w:sz w:val="18"/>
        </w:rPr>
        <w:t>quedé</w:t>
      </w:r>
      <w:r>
        <w:rPr>
          <w:rFonts w:ascii="Arial" w:hAnsi="Arial"/>
          <w:i/>
          <w:color w:val="231F20"/>
          <w:spacing w:val="-14"/>
          <w:w w:val="105"/>
          <w:sz w:val="18"/>
        </w:rPr>
        <w:t> </w:t>
      </w:r>
      <w:r>
        <w:rPr>
          <w:rFonts w:ascii="Arial" w:hAnsi="Arial"/>
          <w:i/>
          <w:color w:val="231F20"/>
          <w:w w:val="105"/>
          <w:sz w:val="18"/>
        </w:rPr>
        <w:t>viendo</w:t>
      </w:r>
      <w:r>
        <w:rPr>
          <w:rFonts w:ascii="Arial" w:hAnsi="Arial"/>
          <w:i/>
          <w:color w:val="231F20"/>
          <w:spacing w:val="-14"/>
          <w:w w:val="105"/>
          <w:sz w:val="18"/>
        </w:rPr>
        <w:t> </w:t>
      </w:r>
      <w:r>
        <w:rPr>
          <w:rFonts w:ascii="Arial" w:hAnsi="Arial"/>
          <w:i/>
          <w:color w:val="231F20"/>
          <w:w w:val="105"/>
          <w:sz w:val="18"/>
        </w:rPr>
        <w:t>y</w:t>
      </w:r>
      <w:r>
        <w:rPr>
          <w:rFonts w:ascii="Arial" w:hAnsi="Arial"/>
          <w:i/>
          <w:color w:val="231F20"/>
          <w:spacing w:val="-14"/>
          <w:w w:val="105"/>
          <w:sz w:val="18"/>
        </w:rPr>
        <w:t> </w:t>
      </w:r>
      <w:r>
        <w:rPr>
          <w:rFonts w:ascii="Arial" w:hAnsi="Arial"/>
          <w:i/>
          <w:color w:val="231F20"/>
          <w:w w:val="105"/>
          <w:sz w:val="18"/>
        </w:rPr>
        <w:t>le</w:t>
      </w:r>
      <w:r>
        <w:rPr>
          <w:rFonts w:ascii="Arial" w:hAnsi="Arial"/>
          <w:i/>
          <w:color w:val="231F20"/>
          <w:spacing w:val="-14"/>
          <w:w w:val="105"/>
          <w:sz w:val="18"/>
        </w:rPr>
        <w:t> </w:t>
      </w:r>
      <w:r>
        <w:rPr>
          <w:rFonts w:ascii="Arial" w:hAnsi="Arial"/>
          <w:i/>
          <w:color w:val="231F20"/>
          <w:w w:val="105"/>
          <w:sz w:val="18"/>
        </w:rPr>
        <w:t>dije:</w:t>
      </w:r>
      <w:r>
        <w:rPr>
          <w:rFonts w:ascii="Arial" w:hAnsi="Arial"/>
          <w:i/>
          <w:color w:val="231F20"/>
          <w:spacing w:val="-14"/>
          <w:w w:val="105"/>
          <w:sz w:val="18"/>
        </w:rPr>
        <w:t> </w:t>
      </w:r>
      <w:r>
        <w:rPr>
          <w:rFonts w:ascii="Arial" w:hAnsi="Arial"/>
          <w:i/>
          <w:color w:val="231F20"/>
          <w:w w:val="105"/>
          <w:sz w:val="18"/>
        </w:rPr>
        <w:t>¿sabes</w:t>
      </w:r>
      <w:r>
        <w:rPr>
          <w:rFonts w:ascii="Arial" w:hAnsi="Arial"/>
          <w:i/>
          <w:color w:val="231F20"/>
          <w:spacing w:val="-14"/>
          <w:w w:val="105"/>
          <w:sz w:val="18"/>
        </w:rPr>
        <w:t> </w:t>
      </w:r>
      <w:r>
        <w:rPr>
          <w:rFonts w:ascii="Arial" w:hAnsi="Arial"/>
          <w:i/>
          <w:color w:val="231F20"/>
          <w:w w:val="105"/>
          <w:sz w:val="18"/>
        </w:rPr>
        <w:t>qué</w:t>
      </w:r>
      <w:r>
        <w:rPr>
          <w:rFonts w:ascii="Arial" w:hAnsi="Arial"/>
          <w:i/>
          <w:color w:val="231F20"/>
          <w:spacing w:val="-14"/>
          <w:w w:val="105"/>
          <w:sz w:val="18"/>
        </w:rPr>
        <w:t> </w:t>
      </w:r>
      <w:r>
        <w:rPr>
          <w:rFonts w:ascii="Arial" w:hAnsi="Arial"/>
          <w:i/>
          <w:color w:val="231F20"/>
          <w:w w:val="105"/>
          <w:sz w:val="18"/>
        </w:rPr>
        <w:t>te</w:t>
      </w:r>
      <w:r>
        <w:rPr>
          <w:rFonts w:ascii="Arial" w:hAnsi="Arial"/>
          <w:i/>
          <w:color w:val="231F20"/>
          <w:spacing w:val="-14"/>
          <w:w w:val="105"/>
          <w:sz w:val="18"/>
        </w:rPr>
        <w:t> </w:t>
      </w:r>
      <w:r>
        <w:rPr>
          <w:rFonts w:ascii="Arial" w:hAnsi="Arial"/>
          <w:i/>
          <w:color w:val="231F20"/>
          <w:w w:val="105"/>
          <w:sz w:val="18"/>
        </w:rPr>
        <w:t>es- pera?</w:t>
      </w:r>
      <w:r>
        <w:rPr>
          <w:rFonts w:ascii="Arial" w:hAnsi="Arial"/>
          <w:i/>
          <w:color w:val="231F20"/>
          <w:spacing w:val="-12"/>
          <w:w w:val="105"/>
          <w:sz w:val="18"/>
        </w:rPr>
        <w:t> </w:t>
      </w:r>
      <w:r>
        <w:rPr>
          <w:rFonts w:ascii="Arial" w:hAnsi="Arial"/>
          <w:i/>
          <w:color w:val="231F20"/>
          <w:spacing w:val="-6"/>
          <w:w w:val="105"/>
          <w:sz w:val="18"/>
        </w:rPr>
        <w:t>¡Te</w:t>
      </w:r>
      <w:r>
        <w:rPr>
          <w:rFonts w:ascii="Arial" w:hAnsi="Arial"/>
          <w:i/>
          <w:color w:val="231F20"/>
          <w:spacing w:val="-12"/>
          <w:w w:val="105"/>
          <w:sz w:val="18"/>
        </w:rPr>
        <w:t> </w:t>
      </w:r>
      <w:r>
        <w:rPr>
          <w:rFonts w:ascii="Arial" w:hAnsi="Arial"/>
          <w:i/>
          <w:color w:val="231F20"/>
          <w:w w:val="105"/>
          <w:sz w:val="18"/>
        </w:rPr>
        <w:t>espera</w:t>
      </w:r>
      <w:r>
        <w:rPr>
          <w:rFonts w:ascii="Arial" w:hAnsi="Arial"/>
          <w:i/>
          <w:color w:val="231F20"/>
          <w:spacing w:val="-12"/>
          <w:w w:val="105"/>
          <w:sz w:val="18"/>
        </w:rPr>
        <w:t> </w:t>
      </w:r>
      <w:r>
        <w:rPr>
          <w:rFonts w:ascii="Arial" w:hAnsi="Arial"/>
          <w:i/>
          <w:color w:val="231F20"/>
          <w:w w:val="105"/>
          <w:sz w:val="18"/>
        </w:rPr>
        <w:t>un</w:t>
      </w:r>
      <w:r>
        <w:rPr>
          <w:rFonts w:ascii="Arial" w:hAnsi="Arial"/>
          <w:i/>
          <w:color w:val="231F20"/>
          <w:spacing w:val="-12"/>
          <w:w w:val="105"/>
          <w:sz w:val="18"/>
        </w:rPr>
        <w:t> </w:t>
      </w:r>
      <w:r>
        <w:rPr>
          <w:rFonts w:ascii="Arial" w:hAnsi="Arial"/>
          <w:i/>
          <w:color w:val="231F20"/>
          <w:w w:val="105"/>
          <w:sz w:val="18"/>
        </w:rPr>
        <w:t>azadón!</w:t>
      </w:r>
      <w:r>
        <w:rPr>
          <w:rFonts w:ascii="Arial" w:hAnsi="Arial"/>
          <w:i/>
          <w:color w:val="231F20"/>
          <w:spacing w:val="-12"/>
          <w:w w:val="105"/>
          <w:sz w:val="18"/>
        </w:rPr>
        <w:t> </w:t>
      </w:r>
      <w:r>
        <w:rPr>
          <w:rFonts w:ascii="Arial" w:hAnsi="Arial"/>
          <w:i/>
          <w:color w:val="231F20"/>
          <w:w w:val="105"/>
          <w:sz w:val="18"/>
        </w:rPr>
        <w:t>Me</w:t>
      </w:r>
      <w:r>
        <w:rPr>
          <w:rFonts w:ascii="Arial" w:hAnsi="Arial"/>
          <w:i/>
          <w:color w:val="231F20"/>
          <w:spacing w:val="-12"/>
          <w:w w:val="105"/>
          <w:sz w:val="18"/>
        </w:rPr>
        <w:t> </w:t>
      </w:r>
      <w:r>
        <w:rPr>
          <w:rFonts w:ascii="Arial" w:hAnsi="Arial"/>
          <w:i/>
          <w:color w:val="231F20"/>
          <w:w w:val="105"/>
          <w:sz w:val="18"/>
        </w:rPr>
        <w:t>siguieron</w:t>
      </w:r>
      <w:r>
        <w:rPr>
          <w:rFonts w:ascii="Arial" w:hAnsi="Arial"/>
          <w:i/>
          <w:color w:val="231F20"/>
          <w:spacing w:val="-12"/>
          <w:w w:val="105"/>
          <w:sz w:val="18"/>
        </w:rPr>
        <w:t> </w:t>
      </w:r>
      <w:r>
        <w:rPr>
          <w:rFonts w:ascii="Arial" w:hAnsi="Arial"/>
          <w:i/>
          <w:color w:val="231F20"/>
          <w:w w:val="105"/>
          <w:sz w:val="18"/>
        </w:rPr>
        <w:t>diciendo</w:t>
      </w:r>
      <w:r>
        <w:rPr>
          <w:rFonts w:ascii="Arial" w:hAnsi="Arial"/>
          <w:i/>
          <w:color w:val="231F20"/>
          <w:spacing w:val="-12"/>
          <w:w w:val="105"/>
          <w:sz w:val="18"/>
        </w:rPr>
        <w:t> </w:t>
      </w:r>
      <w:r>
        <w:rPr>
          <w:rFonts w:ascii="Arial" w:hAnsi="Arial"/>
          <w:i/>
          <w:color w:val="231F20"/>
          <w:w w:val="105"/>
          <w:sz w:val="18"/>
        </w:rPr>
        <w:t>sus</w:t>
      </w:r>
      <w:r>
        <w:rPr>
          <w:rFonts w:ascii="Arial" w:hAnsi="Arial"/>
          <w:i/>
          <w:color w:val="231F20"/>
          <w:spacing w:val="-12"/>
          <w:w w:val="105"/>
          <w:sz w:val="18"/>
        </w:rPr>
        <w:t> </w:t>
      </w:r>
      <w:r>
        <w:rPr>
          <w:rFonts w:ascii="Arial" w:hAnsi="Arial"/>
          <w:i/>
          <w:color w:val="231F20"/>
          <w:w w:val="105"/>
          <w:sz w:val="18"/>
        </w:rPr>
        <w:t>planes,</w:t>
      </w:r>
      <w:r>
        <w:rPr>
          <w:rFonts w:ascii="Arial" w:hAnsi="Arial"/>
          <w:i/>
          <w:color w:val="231F20"/>
          <w:spacing w:val="-17"/>
          <w:w w:val="105"/>
          <w:sz w:val="18"/>
        </w:rPr>
        <w:t> </w:t>
      </w:r>
      <w:r>
        <w:rPr>
          <w:rFonts w:ascii="Arial" w:hAnsi="Arial"/>
          <w:i/>
          <w:color w:val="231F20"/>
          <w:w w:val="105"/>
          <w:sz w:val="18"/>
        </w:rPr>
        <w:t>al</w:t>
      </w:r>
      <w:r>
        <w:rPr>
          <w:rFonts w:ascii="Arial" w:hAnsi="Arial"/>
          <w:i/>
          <w:color w:val="231F20"/>
          <w:spacing w:val="-12"/>
          <w:w w:val="105"/>
          <w:sz w:val="18"/>
        </w:rPr>
        <w:t> </w:t>
      </w:r>
      <w:r>
        <w:rPr>
          <w:rFonts w:ascii="Arial" w:hAnsi="Arial"/>
          <w:i/>
          <w:color w:val="231F20"/>
          <w:w w:val="105"/>
          <w:sz w:val="18"/>
        </w:rPr>
        <w:t>final me</w:t>
      </w:r>
      <w:r>
        <w:rPr>
          <w:rFonts w:ascii="Arial" w:hAnsi="Arial"/>
          <w:i/>
          <w:color w:val="231F20"/>
          <w:spacing w:val="-4"/>
          <w:w w:val="105"/>
          <w:sz w:val="18"/>
        </w:rPr>
        <w:t> </w:t>
      </w:r>
      <w:r>
        <w:rPr>
          <w:rFonts w:ascii="Arial" w:hAnsi="Arial"/>
          <w:i/>
          <w:color w:val="231F20"/>
          <w:w w:val="105"/>
          <w:sz w:val="18"/>
        </w:rPr>
        <w:t>convencieron</w:t>
      </w:r>
      <w:r>
        <w:rPr>
          <w:rFonts w:ascii="Arial" w:hAnsi="Arial"/>
          <w:i/>
          <w:color w:val="231F20"/>
          <w:spacing w:val="-4"/>
          <w:w w:val="105"/>
          <w:sz w:val="18"/>
        </w:rPr>
        <w:t> </w:t>
      </w:r>
      <w:r>
        <w:rPr>
          <w:rFonts w:ascii="Arial" w:hAnsi="Arial"/>
          <w:i/>
          <w:color w:val="231F20"/>
          <w:w w:val="105"/>
          <w:sz w:val="18"/>
        </w:rPr>
        <w:t>y</w:t>
      </w:r>
      <w:r>
        <w:rPr>
          <w:rFonts w:ascii="Arial" w:hAnsi="Arial"/>
          <w:i/>
          <w:color w:val="231F20"/>
          <w:spacing w:val="-4"/>
          <w:w w:val="105"/>
          <w:sz w:val="18"/>
        </w:rPr>
        <w:t> </w:t>
      </w:r>
      <w:r>
        <w:rPr>
          <w:rFonts w:ascii="Arial" w:hAnsi="Arial"/>
          <w:i/>
          <w:color w:val="231F20"/>
          <w:w w:val="105"/>
          <w:sz w:val="18"/>
        </w:rPr>
        <w:t>les</w:t>
      </w:r>
      <w:r>
        <w:rPr>
          <w:rFonts w:ascii="Arial" w:hAnsi="Arial"/>
          <w:i/>
          <w:color w:val="231F20"/>
          <w:spacing w:val="-4"/>
          <w:w w:val="105"/>
          <w:sz w:val="18"/>
        </w:rPr>
        <w:t> </w:t>
      </w:r>
      <w:r>
        <w:rPr>
          <w:rFonts w:ascii="Arial" w:hAnsi="Arial"/>
          <w:i/>
          <w:color w:val="231F20"/>
          <w:w w:val="105"/>
          <w:sz w:val="18"/>
        </w:rPr>
        <w:t>di</w:t>
      </w:r>
      <w:r>
        <w:rPr>
          <w:rFonts w:ascii="Arial" w:hAnsi="Arial"/>
          <w:i/>
          <w:color w:val="231F20"/>
          <w:spacing w:val="-4"/>
          <w:w w:val="105"/>
          <w:sz w:val="18"/>
        </w:rPr>
        <w:t> </w:t>
      </w:r>
      <w:r>
        <w:rPr>
          <w:rFonts w:ascii="Arial" w:hAnsi="Arial"/>
          <w:i/>
          <w:color w:val="231F20"/>
          <w:w w:val="105"/>
          <w:sz w:val="18"/>
        </w:rPr>
        <w:t>el</w:t>
      </w:r>
      <w:r>
        <w:rPr>
          <w:rFonts w:ascii="Arial" w:hAnsi="Arial"/>
          <w:i/>
          <w:color w:val="231F20"/>
          <w:spacing w:val="-4"/>
          <w:w w:val="105"/>
          <w:sz w:val="18"/>
        </w:rPr>
        <w:t> </w:t>
      </w:r>
      <w:r>
        <w:rPr>
          <w:rFonts w:ascii="Arial" w:hAnsi="Arial"/>
          <w:i/>
          <w:color w:val="231F20"/>
          <w:w w:val="105"/>
          <w:sz w:val="18"/>
        </w:rPr>
        <w:t>dinero</w:t>
      </w:r>
      <w:r>
        <w:rPr>
          <w:rFonts w:ascii="Arial" w:hAnsi="Arial"/>
          <w:i/>
          <w:color w:val="231F20"/>
          <w:spacing w:val="-4"/>
          <w:w w:val="105"/>
          <w:sz w:val="18"/>
        </w:rPr>
        <w:t> </w:t>
      </w:r>
      <w:r>
        <w:rPr>
          <w:rFonts w:ascii="Arial" w:hAnsi="Arial"/>
          <w:i/>
          <w:color w:val="231F20"/>
          <w:w w:val="105"/>
          <w:sz w:val="18"/>
        </w:rPr>
        <w:t>que</w:t>
      </w:r>
      <w:r>
        <w:rPr>
          <w:rFonts w:ascii="Arial" w:hAnsi="Arial"/>
          <w:i/>
          <w:color w:val="231F20"/>
          <w:spacing w:val="-4"/>
          <w:w w:val="105"/>
          <w:sz w:val="18"/>
        </w:rPr>
        <w:t> </w:t>
      </w:r>
      <w:r>
        <w:rPr>
          <w:rFonts w:ascii="Arial" w:hAnsi="Arial"/>
          <w:i/>
          <w:color w:val="231F20"/>
          <w:w w:val="105"/>
          <w:sz w:val="18"/>
        </w:rPr>
        <w:t>necesitaban.</w:t>
      </w:r>
      <w:r>
        <w:rPr>
          <w:rFonts w:ascii="Arial" w:hAnsi="Arial"/>
          <w:i/>
          <w:color w:val="231F20"/>
          <w:spacing w:val="-8"/>
          <w:w w:val="105"/>
          <w:sz w:val="18"/>
        </w:rPr>
        <w:t> </w:t>
      </w:r>
      <w:r>
        <w:rPr>
          <w:rFonts w:ascii="Arial" w:hAnsi="Arial"/>
          <w:i/>
          <w:color w:val="231F20"/>
          <w:w w:val="105"/>
          <w:sz w:val="18"/>
        </w:rPr>
        <w:t>Ellos</w:t>
      </w:r>
      <w:r>
        <w:rPr>
          <w:rFonts w:ascii="Arial" w:hAnsi="Arial"/>
          <w:i/>
          <w:color w:val="231F20"/>
          <w:spacing w:val="-4"/>
          <w:w w:val="105"/>
          <w:sz w:val="18"/>
        </w:rPr>
        <w:t> </w:t>
      </w:r>
      <w:r>
        <w:rPr>
          <w:rFonts w:ascii="Arial" w:hAnsi="Arial"/>
          <w:i/>
          <w:color w:val="231F20"/>
          <w:w w:val="105"/>
          <w:sz w:val="18"/>
        </w:rPr>
        <w:t>insistían</w:t>
      </w:r>
      <w:r>
        <w:rPr>
          <w:rFonts w:ascii="Arial" w:hAnsi="Arial"/>
          <w:i/>
          <w:color w:val="231F20"/>
          <w:spacing w:val="-4"/>
          <w:w w:val="105"/>
          <w:sz w:val="18"/>
        </w:rPr>
        <w:t> </w:t>
      </w:r>
      <w:r>
        <w:rPr>
          <w:rFonts w:ascii="Arial" w:hAnsi="Arial"/>
          <w:i/>
          <w:color w:val="231F20"/>
          <w:w w:val="105"/>
          <w:sz w:val="18"/>
        </w:rPr>
        <w:t>en que</w:t>
      </w:r>
      <w:r>
        <w:rPr>
          <w:rFonts w:ascii="Arial" w:hAnsi="Arial"/>
          <w:i/>
          <w:color w:val="231F20"/>
          <w:spacing w:val="-24"/>
          <w:w w:val="105"/>
          <w:sz w:val="18"/>
        </w:rPr>
        <w:t> </w:t>
      </w:r>
      <w:r>
        <w:rPr>
          <w:rFonts w:ascii="Arial" w:hAnsi="Arial"/>
          <w:i/>
          <w:color w:val="231F20"/>
          <w:w w:val="105"/>
          <w:sz w:val="18"/>
        </w:rPr>
        <w:t>se</w:t>
      </w:r>
      <w:r>
        <w:rPr>
          <w:rFonts w:ascii="Arial" w:hAnsi="Arial"/>
          <w:i/>
          <w:color w:val="231F20"/>
          <w:spacing w:val="-24"/>
          <w:w w:val="105"/>
          <w:sz w:val="18"/>
        </w:rPr>
        <w:t> </w:t>
      </w:r>
      <w:r>
        <w:rPr>
          <w:rFonts w:ascii="Arial" w:hAnsi="Arial"/>
          <w:i/>
          <w:color w:val="231F20"/>
          <w:w w:val="105"/>
          <w:sz w:val="18"/>
        </w:rPr>
        <w:t>irían</w:t>
      </w:r>
      <w:r>
        <w:rPr>
          <w:rFonts w:ascii="Arial" w:hAnsi="Arial"/>
          <w:i/>
          <w:color w:val="231F20"/>
          <w:spacing w:val="-24"/>
          <w:w w:val="105"/>
          <w:sz w:val="18"/>
        </w:rPr>
        <w:t> </w:t>
      </w:r>
      <w:r>
        <w:rPr>
          <w:rFonts w:ascii="Arial" w:hAnsi="Arial"/>
          <w:i/>
          <w:color w:val="231F20"/>
          <w:w w:val="105"/>
          <w:sz w:val="18"/>
        </w:rPr>
        <w:t>a</w:t>
      </w:r>
      <w:r>
        <w:rPr>
          <w:rFonts w:ascii="Arial" w:hAnsi="Arial"/>
          <w:i/>
          <w:color w:val="231F20"/>
          <w:spacing w:val="-24"/>
          <w:w w:val="105"/>
          <w:sz w:val="18"/>
        </w:rPr>
        <w:t> </w:t>
      </w:r>
      <w:r>
        <w:rPr>
          <w:rFonts w:ascii="Arial" w:hAnsi="Arial"/>
          <w:i/>
          <w:color w:val="231F20"/>
          <w:w w:val="105"/>
          <w:sz w:val="18"/>
        </w:rPr>
        <w:t>trabajar</w:t>
      </w:r>
      <w:r>
        <w:rPr>
          <w:rFonts w:ascii="Arial" w:hAnsi="Arial"/>
          <w:i/>
          <w:color w:val="231F20"/>
          <w:spacing w:val="-24"/>
          <w:w w:val="105"/>
          <w:sz w:val="18"/>
        </w:rPr>
        <w:t> </w:t>
      </w:r>
      <w:r>
        <w:rPr>
          <w:rFonts w:ascii="Arial" w:hAnsi="Arial"/>
          <w:i/>
          <w:color w:val="231F20"/>
          <w:w w:val="105"/>
          <w:sz w:val="18"/>
        </w:rPr>
        <w:t>para</w:t>
      </w:r>
      <w:r>
        <w:rPr>
          <w:rFonts w:ascii="Arial" w:hAnsi="Arial"/>
          <w:i/>
          <w:color w:val="231F20"/>
          <w:spacing w:val="-24"/>
          <w:w w:val="105"/>
          <w:sz w:val="18"/>
        </w:rPr>
        <w:t> </w:t>
      </w:r>
      <w:r>
        <w:rPr>
          <w:rFonts w:ascii="Arial" w:hAnsi="Arial"/>
          <w:i/>
          <w:color w:val="231F20"/>
          <w:w w:val="105"/>
          <w:sz w:val="18"/>
        </w:rPr>
        <w:t>ayudarme,</w:t>
      </w:r>
      <w:r>
        <w:rPr>
          <w:rFonts w:ascii="Arial" w:hAnsi="Arial"/>
          <w:i/>
          <w:color w:val="231F20"/>
          <w:spacing w:val="-29"/>
          <w:w w:val="105"/>
          <w:sz w:val="18"/>
        </w:rPr>
        <w:t> </w:t>
      </w:r>
      <w:r>
        <w:rPr>
          <w:rFonts w:ascii="Arial" w:hAnsi="Arial"/>
          <w:i/>
          <w:color w:val="231F20"/>
          <w:w w:val="105"/>
          <w:sz w:val="18"/>
        </w:rPr>
        <w:t>pero</w:t>
      </w:r>
      <w:r>
        <w:rPr>
          <w:rFonts w:ascii="Arial" w:hAnsi="Arial"/>
          <w:i/>
          <w:color w:val="231F20"/>
          <w:spacing w:val="-24"/>
          <w:w w:val="105"/>
          <w:sz w:val="18"/>
        </w:rPr>
        <w:t> </w:t>
      </w:r>
      <w:r>
        <w:rPr>
          <w:rFonts w:ascii="Arial" w:hAnsi="Arial"/>
          <w:i/>
          <w:color w:val="231F20"/>
          <w:w w:val="105"/>
          <w:sz w:val="18"/>
        </w:rPr>
        <w:t>yo</w:t>
      </w:r>
      <w:r>
        <w:rPr>
          <w:rFonts w:ascii="Arial" w:hAnsi="Arial"/>
          <w:i/>
          <w:color w:val="231F20"/>
          <w:spacing w:val="-24"/>
          <w:w w:val="105"/>
          <w:sz w:val="18"/>
        </w:rPr>
        <w:t> </w:t>
      </w:r>
      <w:r>
        <w:rPr>
          <w:rFonts w:ascii="Arial" w:hAnsi="Arial"/>
          <w:i/>
          <w:color w:val="231F20"/>
          <w:w w:val="105"/>
          <w:sz w:val="18"/>
        </w:rPr>
        <w:t>les</w:t>
      </w:r>
      <w:r>
        <w:rPr>
          <w:rFonts w:ascii="Arial" w:hAnsi="Arial"/>
          <w:i/>
          <w:color w:val="231F20"/>
          <w:spacing w:val="-24"/>
          <w:w w:val="105"/>
          <w:sz w:val="18"/>
        </w:rPr>
        <w:t> </w:t>
      </w:r>
      <w:r>
        <w:rPr>
          <w:rFonts w:ascii="Arial" w:hAnsi="Arial"/>
          <w:i/>
          <w:color w:val="231F20"/>
          <w:w w:val="105"/>
          <w:sz w:val="18"/>
        </w:rPr>
        <w:t>dije:</w:t>
      </w:r>
      <w:r>
        <w:rPr>
          <w:rFonts w:ascii="Arial" w:hAnsi="Arial"/>
          <w:i/>
          <w:color w:val="231F20"/>
          <w:spacing w:val="-24"/>
          <w:w w:val="105"/>
          <w:sz w:val="18"/>
        </w:rPr>
        <w:t> </w:t>
      </w:r>
      <w:r>
        <w:rPr>
          <w:rFonts w:ascii="Arial" w:hAnsi="Arial"/>
          <w:i/>
          <w:color w:val="231F20"/>
          <w:w w:val="105"/>
          <w:sz w:val="18"/>
        </w:rPr>
        <w:t>no</w:t>
      </w:r>
      <w:r>
        <w:rPr>
          <w:rFonts w:ascii="Arial" w:hAnsi="Arial"/>
          <w:i/>
          <w:color w:val="231F20"/>
          <w:spacing w:val="-24"/>
          <w:w w:val="105"/>
          <w:sz w:val="18"/>
        </w:rPr>
        <w:t> </w:t>
      </w:r>
      <w:r>
        <w:rPr>
          <w:rFonts w:ascii="Arial" w:hAnsi="Arial"/>
          <w:i/>
          <w:color w:val="231F20"/>
          <w:w w:val="105"/>
          <w:sz w:val="18"/>
        </w:rPr>
        <w:t>quiero</w:t>
      </w:r>
      <w:r>
        <w:rPr>
          <w:rFonts w:ascii="Arial" w:hAnsi="Arial"/>
          <w:i/>
          <w:color w:val="231F20"/>
          <w:spacing w:val="-24"/>
          <w:w w:val="105"/>
          <w:sz w:val="18"/>
        </w:rPr>
        <w:t> </w:t>
      </w:r>
      <w:r>
        <w:rPr>
          <w:rFonts w:ascii="Arial" w:hAnsi="Arial"/>
          <w:i/>
          <w:color w:val="231F20"/>
          <w:w w:val="105"/>
          <w:sz w:val="18"/>
        </w:rPr>
        <w:t>que</w:t>
      </w:r>
      <w:r>
        <w:rPr>
          <w:rFonts w:ascii="Arial" w:hAnsi="Arial"/>
          <w:i/>
          <w:color w:val="231F20"/>
          <w:spacing w:val="-24"/>
          <w:w w:val="105"/>
          <w:sz w:val="18"/>
        </w:rPr>
        <w:t> </w:t>
      </w:r>
      <w:r>
        <w:rPr>
          <w:rFonts w:ascii="Arial" w:hAnsi="Arial"/>
          <w:i/>
          <w:color w:val="231F20"/>
          <w:w w:val="105"/>
          <w:sz w:val="18"/>
        </w:rPr>
        <w:t>me ayuden,</w:t>
      </w:r>
      <w:r>
        <w:rPr>
          <w:rFonts w:ascii="Arial" w:hAnsi="Arial"/>
          <w:i/>
          <w:color w:val="231F20"/>
          <w:spacing w:val="-24"/>
          <w:w w:val="105"/>
          <w:sz w:val="18"/>
        </w:rPr>
        <w:t> </w:t>
      </w:r>
      <w:r>
        <w:rPr>
          <w:rFonts w:ascii="Arial" w:hAnsi="Arial"/>
          <w:i/>
          <w:color w:val="231F20"/>
          <w:w w:val="105"/>
          <w:sz w:val="18"/>
        </w:rPr>
        <w:t>lo</w:t>
      </w:r>
      <w:r>
        <w:rPr>
          <w:rFonts w:ascii="Arial" w:hAnsi="Arial"/>
          <w:i/>
          <w:color w:val="231F20"/>
          <w:spacing w:val="-20"/>
          <w:w w:val="105"/>
          <w:sz w:val="18"/>
        </w:rPr>
        <w:t> </w:t>
      </w:r>
      <w:r>
        <w:rPr>
          <w:rFonts w:ascii="Arial" w:hAnsi="Arial"/>
          <w:i/>
          <w:color w:val="231F20"/>
          <w:w w:val="105"/>
          <w:sz w:val="18"/>
        </w:rPr>
        <w:t>que</w:t>
      </w:r>
      <w:r>
        <w:rPr>
          <w:rFonts w:ascii="Arial" w:hAnsi="Arial"/>
          <w:i/>
          <w:color w:val="231F20"/>
          <w:spacing w:val="-20"/>
          <w:w w:val="105"/>
          <w:sz w:val="18"/>
        </w:rPr>
        <w:t> </w:t>
      </w:r>
      <w:r>
        <w:rPr>
          <w:rFonts w:ascii="Arial" w:hAnsi="Arial"/>
          <w:i/>
          <w:color w:val="231F20"/>
          <w:w w:val="105"/>
          <w:sz w:val="18"/>
        </w:rPr>
        <w:t>quiero</w:t>
      </w:r>
      <w:r>
        <w:rPr>
          <w:rFonts w:ascii="Arial" w:hAnsi="Arial"/>
          <w:i/>
          <w:color w:val="231F20"/>
          <w:spacing w:val="-20"/>
          <w:w w:val="105"/>
          <w:sz w:val="18"/>
        </w:rPr>
        <w:t> </w:t>
      </w:r>
      <w:r>
        <w:rPr>
          <w:rFonts w:ascii="Arial" w:hAnsi="Arial"/>
          <w:i/>
          <w:color w:val="231F20"/>
          <w:w w:val="105"/>
          <w:sz w:val="18"/>
        </w:rPr>
        <w:t>es</w:t>
      </w:r>
      <w:r>
        <w:rPr>
          <w:rFonts w:ascii="Arial" w:hAnsi="Arial"/>
          <w:i/>
          <w:color w:val="231F20"/>
          <w:spacing w:val="-20"/>
          <w:w w:val="105"/>
          <w:sz w:val="18"/>
        </w:rPr>
        <w:t> </w:t>
      </w:r>
      <w:r>
        <w:rPr>
          <w:rFonts w:ascii="Arial" w:hAnsi="Arial"/>
          <w:i/>
          <w:color w:val="231F20"/>
          <w:w w:val="105"/>
          <w:sz w:val="18"/>
        </w:rPr>
        <w:t>que</w:t>
      </w:r>
      <w:r>
        <w:rPr>
          <w:rFonts w:ascii="Arial" w:hAnsi="Arial"/>
          <w:i/>
          <w:color w:val="231F20"/>
          <w:spacing w:val="-20"/>
          <w:w w:val="105"/>
          <w:sz w:val="18"/>
        </w:rPr>
        <w:t> </w:t>
      </w:r>
      <w:r>
        <w:rPr>
          <w:rFonts w:ascii="Arial" w:hAnsi="Arial"/>
          <w:i/>
          <w:color w:val="231F20"/>
          <w:w w:val="105"/>
          <w:sz w:val="18"/>
        </w:rPr>
        <w:t>ustedes</w:t>
      </w:r>
      <w:r>
        <w:rPr>
          <w:rFonts w:ascii="Arial" w:hAnsi="Arial"/>
          <w:i/>
          <w:color w:val="231F20"/>
          <w:spacing w:val="-20"/>
          <w:w w:val="105"/>
          <w:sz w:val="18"/>
        </w:rPr>
        <w:t> </w:t>
      </w:r>
      <w:r>
        <w:rPr>
          <w:rFonts w:ascii="Arial" w:hAnsi="Arial"/>
          <w:i/>
          <w:color w:val="231F20"/>
          <w:w w:val="105"/>
          <w:sz w:val="18"/>
        </w:rPr>
        <w:t>salgan</w:t>
      </w:r>
      <w:r>
        <w:rPr>
          <w:rFonts w:ascii="Arial" w:hAnsi="Arial"/>
          <w:i/>
          <w:color w:val="231F20"/>
          <w:spacing w:val="-20"/>
          <w:w w:val="105"/>
          <w:sz w:val="18"/>
        </w:rPr>
        <w:t> </w:t>
      </w:r>
      <w:r>
        <w:rPr>
          <w:rFonts w:ascii="Arial" w:hAnsi="Arial"/>
          <w:i/>
          <w:color w:val="231F20"/>
          <w:w w:val="105"/>
          <w:sz w:val="18"/>
        </w:rPr>
        <w:t>adelante.</w:t>
      </w:r>
    </w:p>
    <w:p>
      <w:pPr>
        <w:spacing w:line="249" w:lineRule="auto" w:before="114"/>
        <w:ind w:left="2857" w:right="1829" w:firstLine="0"/>
        <w:jc w:val="both"/>
        <w:rPr>
          <w:rFonts w:ascii="Arial" w:hAnsi="Arial"/>
          <w:i/>
          <w:sz w:val="18"/>
        </w:rPr>
      </w:pPr>
      <w:r>
        <w:rPr>
          <w:rFonts w:ascii="Arial" w:hAnsi="Arial"/>
          <w:i/>
          <w:color w:val="231F20"/>
          <w:sz w:val="18"/>
        </w:rPr>
        <w:t>En el fondo yo no quería que se fueran. </w:t>
      </w:r>
      <w:r>
        <w:rPr>
          <w:rFonts w:ascii="Arial" w:hAnsi="Arial"/>
          <w:i/>
          <w:color w:val="231F20"/>
          <w:spacing w:val="-7"/>
          <w:sz w:val="18"/>
        </w:rPr>
        <w:t>Yo </w:t>
      </w:r>
      <w:r>
        <w:rPr>
          <w:rFonts w:ascii="Arial" w:hAnsi="Arial"/>
          <w:i/>
          <w:color w:val="231F20"/>
          <w:sz w:val="18"/>
        </w:rPr>
        <w:t>ya sabía que era lejos, que </w:t>
      </w:r>
      <w:r>
        <w:rPr>
          <w:rFonts w:ascii="Arial" w:hAnsi="Arial"/>
          <w:i/>
          <w:color w:val="231F20"/>
          <w:sz w:val="18"/>
        </w:rPr>
        <w:t>hay</w:t>
      </w:r>
      <w:r>
        <w:rPr>
          <w:rFonts w:ascii="Arial" w:hAnsi="Arial"/>
          <w:i/>
          <w:color w:val="231F20"/>
          <w:spacing w:val="-4"/>
          <w:sz w:val="18"/>
        </w:rPr>
        <w:t> </w:t>
      </w:r>
      <w:r>
        <w:rPr>
          <w:rFonts w:ascii="Arial" w:hAnsi="Arial"/>
          <w:i/>
          <w:color w:val="231F20"/>
          <w:sz w:val="18"/>
        </w:rPr>
        <w:t>muchos</w:t>
      </w:r>
      <w:r>
        <w:rPr>
          <w:rFonts w:ascii="Arial" w:hAnsi="Arial"/>
          <w:i/>
          <w:color w:val="231F20"/>
          <w:spacing w:val="-4"/>
          <w:sz w:val="18"/>
        </w:rPr>
        <w:t> </w:t>
      </w:r>
      <w:r>
        <w:rPr>
          <w:rFonts w:ascii="Arial" w:hAnsi="Arial"/>
          <w:i/>
          <w:color w:val="231F20"/>
          <w:sz w:val="18"/>
        </w:rPr>
        <w:t>peligros</w:t>
      </w:r>
      <w:r>
        <w:rPr>
          <w:rFonts w:ascii="Arial" w:hAnsi="Arial"/>
          <w:i/>
          <w:color w:val="231F20"/>
          <w:spacing w:val="-4"/>
          <w:sz w:val="18"/>
        </w:rPr>
        <w:t> </w:t>
      </w:r>
      <w:r>
        <w:rPr>
          <w:rFonts w:ascii="Arial" w:hAnsi="Arial"/>
          <w:i/>
          <w:color w:val="231F20"/>
          <w:sz w:val="18"/>
        </w:rPr>
        <w:t>en</w:t>
      </w:r>
      <w:r>
        <w:rPr>
          <w:rFonts w:ascii="Arial" w:hAnsi="Arial"/>
          <w:i/>
          <w:color w:val="231F20"/>
          <w:spacing w:val="-4"/>
          <w:sz w:val="18"/>
        </w:rPr>
        <w:t> </w:t>
      </w:r>
      <w:r>
        <w:rPr>
          <w:rFonts w:ascii="Arial" w:hAnsi="Arial"/>
          <w:i/>
          <w:color w:val="231F20"/>
          <w:sz w:val="18"/>
        </w:rPr>
        <w:t>el</w:t>
      </w:r>
      <w:r>
        <w:rPr>
          <w:rFonts w:ascii="Arial" w:hAnsi="Arial"/>
          <w:i/>
          <w:color w:val="231F20"/>
          <w:spacing w:val="-4"/>
          <w:sz w:val="18"/>
        </w:rPr>
        <w:t> </w:t>
      </w:r>
      <w:r>
        <w:rPr>
          <w:rFonts w:ascii="Arial" w:hAnsi="Arial"/>
          <w:i/>
          <w:color w:val="231F20"/>
          <w:sz w:val="18"/>
        </w:rPr>
        <w:t>camino</w:t>
      </w:r>
      <w:r>
        <w:rPr>
          <w:rFonts w:ascii="Arial" w:hAnsi="Arial"/>
          <w:i/>
          <w:color w:val="231F20"/>
          <w:spacing w:val="-4"/>
          <w:sz w:val="18"/>
        </w:rPr>
        <w:t> </w:t>
      </w:r>
      <w:r>
        <w:rPr>
          <w:rFonts w:ascii="Arial" w:hAnsi="Arial"/>
          <w:i/>
          <w:color w:val="231F20"/>
          <w:sz w:val="18"/>
        </w:rPr>
        <w:t>y</w:t>
      </w:r>
      <w:r>
        <w:rPr>
          <w:rFonts w:ascii="Arial" w:hAnsi="Arial"/>
          <w:i/>
          <w:color w:val="231F20"/>
          <w:spacing w:val="-4"/>
          <w:sz w:val="18"/>
        </w:rPr>
        <w:t> </w:t>
      </w:r>
      <w:r>
        <w:rPr>
          <w:rFonts w:ascii="Arial" w:hAnsi="Arial"/>
          <w:i/>
          <w:color w:val="231F20"/>
          <w:sz w:val="18"/>
        </w:rPr>
        <w:t>en</w:t>
      </w:r>
      <w:r>
        <w:rPr>
          <w:rFonts w:ascii="Arial" w:hAnsi="Arial"/>
          <w:i/>
          <w:color w:val="231F20"/>
          <w:spacing w:val="-4"/>
          <w:sz w:val="18"/>
        </w:rPr>
        <w:t> </w:t>
      </w:r>
      <w:r>
        <w:rPr>
          <w:rFonts w:ascii="Arial" w:hAnsi="Arial"/>
          <w:i/>
          <w:color w:val="231F20"/>
          <w:sz w:val="18"/>
        </w:rPr>
        <w:t>la</w:t>
      </w:r>
      <w:r>
        <w:rPr>
          <w:rFonts w:ascii="Arial" w:hAnsi="Arial"/>
          <w:i/>
          <w:color w:val="231F20"/>
          <w:spacing w:val="-4"/>
          <w:sz w:val="18"/>
        </w:rPr>
        <w:t> </w:t>
      </w:r>
      <w:r>
        <w:rPr>
          <w:rFonts w:ascii="Arial" w:hAnsi="Arial"/>
          <w:i/>
          <w:color w:val="231F20"/>
          <w:sz w:val="18"/>
        </w:rPr>
        <w:t>frontera.</w:t>
      </w:r>
      <w:r>
        <w:rPr>
          <w:rFonts w:ascii="Arial" w:hAnsi="Arial"/>
          <w:i/>
          <w:color w:val="231F20"/>
          <w:spacing w:val="-11"/>
          <w:sz w:val="18"/>
        </w:rPr>
        <w:t> </w:t>
      </w:r>
      <w:r>
        <w:rPr>
          <w:rFonts w:ascii="Arial" w:hAnsi="Arial"/>
          <w:i/>
          <w:color w:val="231F20"/>
          <w:spacing w:val="-4"/>
          <w:sz w:val="18"/>
        </w:rPr>
        <w:t>Pero </w:t>
      </w:r>
      <w:r>
        <w:rPr>
          <w:rFonts w:ascii="Arial" w:hAnsi="Arial"/>
          <w:i/>
          <w:color w:val="231F20"/>
          <w:sz w:val="18"/>
        </w:rPr>
        <w:t>se</w:t>
      </w:r>
      <w:r>
        <w:rPr>
          <w:rFonts w:ascii="Arial" w:hAnsi="Arial"/>
          <w:i/>
          <w:color w:val="231F20"/>
          <w:spacing w:val="-4"/>
          <w:sz w:val="18"/>
        </w:rPr>
        <w:t> </w:t>
      </w:r>
      <w:r>
        <w:rPr>
          <w:rFonts w:ascii="Arial" w:hAnsi="Arial"/>
          <w:i/>
          <w:color w:val="231F20"/>
          <w:sz w:val="18"/>
        </w:rPr>
        <w:t>fueron,</w:t>
      </w:r>
      <w:r>
        <w:rPr>
          <w:rFonts w:ascii="Arial" w:hAnsi="Arial"/>
          <w:i/>
          <w:color w:val="231F20"/>
          <w:spacing w:val="-11"/>
          <w:sz w:val="18"/>
        </w:rPr>
        <w:t> </w:t>
      </w:r>
      <w:r>
        <w:rPr>
          <w:rFonts w:ascii="Arial" w:hAnsi="Arial"/>
          <w:i/>
          <w:color w:val="231F20"/>
          <w:sz w:val="18"/>
        </w:rPr>
        <w:t>y</w:t>
      </w:r>
      <w:r>
        <w:rPr>
          <w:rFonts w:ascii="Arial" w:hAnsi="Arial"/>
          <w:i/>
          <w:color w:val="231F20"/>
          <w:spacing w:val="-4"/>
          <w:sz w:val="18"/>
        </w:rPr>
        <w:t> </w:t>
      </w:r>
      <w:r>
        <w:rPr>
          <w:rFonts w:ascii="Arial" w:hAnsi="Arial"/>
          <w:i/>
          <w:color w:val="231F20"/>
          <w:sz w:val="18"/>
        </w:rPr>
        <w:t>todo salió bien. Luego ya Rafael quería irse, no me convencía, y aunque me esforcé, sólo pude detenerlo un tiempo, después ya no fue posible. Un día llegó y me dijo: ahora sí me voy. </w:t>
      </w:r>
      <w:r>
        <w:rPr>
          <w:rFonts w:ascii="Arial" w:hAnsi="Arial"/>
          <w:i/>
          <w:color w:val="231F20"/>
          <w:spacing w:val="-7"/>
          <w:sz w:val="18"/>
        </w:rPr>
        <w:t>Ya </w:t>
      </w:r>
      <w:r>
        <w:rPr>
          <w:rFonts w:ascii="Arial" w:hAnsi="Arial"/>
          <w:i/>
          <w:color w:val="231F20"/>
          <w:sz w:val="18"/>
        </w:rPr>
        <w:t>conseguí prestado el dinero que necesito.</w:t>
      </w:r>
      <w:r>
        <w:rPr>
          <w:rFonts w:ascii="Arial" w:hAnsi="Arial"/>
          <w:i/>
          <w:color w:val="231F20"/>
          <w:spacing w:val="-20"/>
          <w:sz w:val="18"/>
        </w:rPr>
        <w:t> </w:t>
      </w:r>
      <w:r>
        <w:rPr>
          <w:rFonts w:ascii="Arial" w:hAnsi="Arial"/>
          <w:i/>
          <w:color w:val="231F20"/>
          <w:spacing w:val="-7"/>
          <w:sz w:val="18"/>
        </w:rPr>
        <w:t>Yo</w:t>
      </w:r>
      <w:r>
        <w:rPr>
          <w:rFonts w:ascii="Arial" w:hAnsi="Arial"/>
          <w:i/>
          <w:color w:val="231F20"/>
          <w:spacing w:val="-9"/>
          <w:sz w:val="18"/>
        </w:rPr>
        <w:t> </w:t>
      </w:r>
      <w:r>
        <w:rPr>
          <w:rFonts w:ascii="Arial" w:hAnsi="Arial"/>
          <w:i/>
          <w:color w:val="231F20"/>
          <w:sz w:val="18"/>
        </w:rPr>
        <w:t>le</w:t>
      </w:r>
      <w:r>
        <w:rPr>
          <w:rFonts w:ascii="Arial" w:hAnsi="Arial"/>
          <w:i/>
          <w:color w:val="231F20"/>
          <w:spacing w:val="-9"/>
          <w:sz w:val="18"/>
        </w:rPr>
        <w:t> </w:t>
      </w:r>
      <w:r>
        <w:rPr>
          <w:rFonts w:ascii="Arial" w:hAnsi="Arial"/>
          <w:i/>
          <w:color w:val="231F20"/>
          <w:sz w:val="18"/>
        </w:rPr>
        <w:t>dije:</w:t>
      </w:r>
      <w:r>
        <w:rPr>
          <w:rFonts w:ascii="Arial" w:hAnsi="Arial"/>
          <w:i/>
          <w:color w:val="231F20"/>
          <w:spacing w:val="-9"/>
          <w:sz w:val="18"/>
        </w:rPr>
        <w:t> </w:t>
      </w:r>
      <w:r>
        <w:rPr>
          <w:rFonts w:ascii="Arial" w:hAnsi="Arial"/>
          <w:i/>
          <w:color w:val="231F20"/>
          <w:sz w:val="18"/>
        </w:rPr>
        <w:t>anda</w:t>
      </w:r>
      <w:r>
        <w:rPr>
          <w:rFonts w:ascii="Arial" w:hAnsi="Arial"/>
          <w:i/>
          <w:color w:val="231F20"/>
          <w:spacing w:val="-9"/>
          <w:sz w:val="18"/>
        </w:rPr>
        <w:t> </w:t>
      </w:r>
      <w:r>
        <w:rPr>
          <w:rFonts w:ascii="Arial" w:hAnsi="Arial"/>
          <w:i/>
          <w:color w:val="231F20"/>
          <w:sz w:val="18"/>
        </w:rPr>
        <w:t>y</w:t>
      </w:r>
      <w:r>
        <w:rPr>
          <w:rFonts w:ascii="Arial" w:hAnsi="Arial"/>
          <w:i/>
          <w:color w:val="231F20"/>
          <w:spacing w:val="-9"/>
          <w:sz w:val="18"/>
        </w:rPr>
        <w:t> </w:t>
      </w:r>
      <w:r>
        <w:rPr>
          <w:rFonts w:ascii="Arial" w:hAnsi="Arial"/>
          <w:i/>
          <w:color w:val="231F20"/>
          <w:sz w:val="18"/>
        </w:rPr>
        <w:t>regresa</w:t>
      </w:r>
      <w:r>
        <w:rPr>
          <w:rFonts w:ascii="Arial" w:hAnsi="Arial"/>
          <w:i/>
          <w:color w:val="231F20"/>
          <w:spacing w:val="-9"/>
          <w:sz w:val="18"/>
        </w:rPr>
        <w:t> </w:t>
      </w:r>
      <w:r>
        <w:rPr>
          <w:rFonts w:ascii="Arial" w:hAnsi="Arial"/>
          <w:i/>
          <w:color w:val="231F20"/>
          <w:sz w:val="18"/>
        </w:rPr>
        <w:t>el</w:t>
      </w:r>
      <w:r>
        <w:rPr>
          <w:rFonts w:ascii="Arial" w:hAnsi="Arial"/>
          <w:i/>
          <w:color w:val="231F20"/>
          <w:spacing w:val="-9"/>
          <w:sz w:val="18"/>
        </w:rPr>
        <w:t> </w:t>
      </w:r>
      <w:r>
        <w:rPr>
          <w:rFonts w:ascii="Arial" w:hAnsi="Arial"/>
          <w:i/>
          <w:color w:val="231F20"/>
          <w:sz w:val="18"/>
        </w:rPr>
        <w:t>dinero.</w:t>
      </w:r>
      <w:r>
        <w:rPr>
          <w:rFonts w:ascii="Arial" w:hAnsi="Arial"/>
          <w:i/>
          <w:color w:val="231F20"/>
          <w:spacing w:val="-20"/>
          <w:sz w:val="18"/>
        </w:rPr>
        <w:t> </w:t>
      </w:r>
      <w:r>
        <w:rPr>
          <w:rFonts w:ascii="Arial" w:hAnsi="Arial"/>
          <w:i/>
          <w:color w:val="231F20"/>
          <w:spacing w:val="-7"/>
          <w:sz w:val="18"/>
        </w:rPr>
        <w:t>Yo</w:t>
      </w:r>
      <w:r>
        <w:rPr>
          <w:rFonts w:ascii="Arial" w:hAnsi="Arial"/>
          <w:i/>
          <w:color w:val="231F20"/>
          <w:spacing w:val="-9"/>
          <w:sz w:val="18"/>
        </w:rPr>
        <w:t> </w:t>
      </w:r>
      <w:r>
        <w:rPr>
          <w:rFonts w:ascii="Arial" w:hAnsi="Arial"/>
          <w:i/>
          <w:color w:val="231F20"/>
          <w:sz w:val="18"/>
        </w:rPr>
        <w:t>te</w:t>
      </w:r>
      <w:r>
        <w:rPr>
          <w:rFonts w:ascii="Arial" w:hAnsi="Arial"/>
          <w:i/>
          <w:color w:val="231F20"/>
          <w:spacing w:val="-9"/>
          <w:sz w:val="18"/>
        </w:rPr>
        <w:t> </w:t>
      </w:r>
      <w:r>
        <w:rPr>
          <w:rFonts w:ascii="Arial" w:hAnsi="Arial"/>
          <w:i/>
          <w:color w:val="231F20"/>
          <w:sz w:val="18"/>
        </w:rPr>
        <w:t>lo</w:t>
      </w:r>
      <w:r>
        <w:rPr>
          <w:rFonts w:ascii="Arial" w:hAnsi="Arial"/>
          <w:i/>
          <w:color w:val="231F20"/>
          <w:spacing w:val="-9"/>
          <w:sz w:val="18"/>
        </w:rPr>
        <w:t> </w:t>
      </w:r>
      <w:r>
        <w:rPr>
          <w:rFonts w:ascii="Arial" w:hAnsi="Arial"/>
          <w:i/>
          <w:color w:val="231F20"/>
          <w:sz w:val="18"/>
        </w:rPr>
        <w:t>voy</w:t>
      </w:r>
      <w:r>
        <w:rPr>
          <w:rFonts w:ascii="Arial" w:hAnsi="Arial"/>
          <w:i/>
          <w:color w:val="231F20"/>
          <w:spacing w:val="-9"/>
          <w:sz w:val="18"/>
        </w:rPr>
        <w:t> </w:t>
      </w:r>
      <w:r>
        <w:rPr>
          <w:rFonts w:ascii="Arial" w:hAnsi="Arial"/>
          <w:i/>
          <w:color w:val="231F20"/>
          <w:sz w:val="18"/>
        </w:rPr>
        <w:t>a</w:t>
      </w:r>
      <w:r>
        <w:rPr>
          <w:rFonts w:ascii="Arial" w:hAnsi="Arial"/>
          <w:i/>
          <w:color w:val="231F20"/>
          <w:spacing w:val="-9"/>
          <w:sz w:val="18"/>
        </w:rPr>
        <w:t> </w:t>
      </w:r>
      <w:r>
        <w:rPr>
          <w:rFonts w:ascii="Arial" w:hAnsi="Arial"/>
          <w:i/>
          <w:color w:val="231F20"/>
          <w:sz w:val="18"/>
        </w:rPr>
        <w:t>dar.</w:t>
      </w:r>
      <w:r>
        <w:rPr>
          <w:rFonts w:ascii="Arial" w:hAnsi="Arial"/>
          <w:i/>
          <w:color w:val="231F20"/>
          <w:spacing w:val="-20"/>
          <w:sz w:val="18"/>
        </w:rPr>
        <w:t> </w:t>
      </w:r>
      <w:r>
        <w:rPr>
          <w:rFonts w:ascii="Arial" w:hAnsi="Arial"/>
          <w:i/>
          <w:color w:val="231F20"/>
          <w:sz w:val="18"/>
        </w:rPr>
        <w:t>Y</w:t>
      </w:r>
      <w:r>
        <w:rPr>
          <w:rFonts w:ascii="Arial" w:hAnsi="Arial"/>
          <w:i/>
          <w:color w:val="231F20"/>
          <w:spacing w:val="-15"/>
          <w:sz w:val="18"/>
        </w:rPr>
        <w:t> </w:t>
      </w:r>
      <w:r>
        <w:rPr>
          <w:rFonts w:ascii="Arial" w:hAnsi="Arial"/>
          <w:i/>
          <w:color w:val="231F20"/>
          <w:sz w:val="18"/>
        </w:rPr>
        <w:t>se</w:t>
      </w:r>
      <w:r>
        <w:rPr>
          <w:rFonts w:ascii="Arial" w:hAnsi="Arial"/>
          <w:i/>
          <w:color w:val="231F20"/>
          <w:spacing w:val="-9"/>
          <w:sz w:val="18"/>
        </w:rPr>
        <w:t> </w:t>
      </w:r>
      <w:r>
        <w:rPr>
          <w:rFonts w:ascii="Arial" w:hAnsi="Arial"/>
          <w:i/>
          <w:color w:val="231F20"/>
          <w:sz w:val="18"/>
        </w:rPr>
        <w:t>fue…</w:t>
      </w:r>
    </w:p>
    <w:p>
      <w:pPr>
        <w:spacing w:line="249" w:lineRule="auto" w:before="114"/>
        <w:ind w:left="2857" w:right="1835" w:firstLine="0"/>
        <w:jc w:val="both"/>
        <w:rPr>
          <w:rFonts w:ascii="Arial" w:hAnsi="Arial"/>
          <w:i/>
          <w:sz w:val="18"/>
        </w:rPr>
      </w:pPr>
      <w:r>
        <w:rPr>
          <w:rFonts w:ascii="Arial" w:hAnsi="Arial"/>
          <w:i/>
          <w:color w:val="231F20"/>
          <w:spacing w:val="-5"/>
          <w:sz w:val="18"/>
        </w:rPr>
        <w:t>Por</w:t>
      </w:r>
      <w:r>
        <w:rPr>
          <w:rFonts w:ascii="Arial" w:hAnsi="Arial"/>
          <w:i/>
          <w:color w:val="231F20"/>
          <w:spacing w:val="-4"/>
          <w:sz w:val="18"/>
        </w:rPr>
        <w:t> </w:t>
      </w:r>
      <w:r>
        <w:rPr>
          <w:rFonts w:ascii="Arial" w:hAnsi="Arial"/>
          <w:i/>
          <w:color w:val="231F20"/>
          <w:sz w:val="18"/>
        </w:rPr>
        <w:t>lo</w:t>
      </w:r>
      <w:r>
        <w:rPr>
          <w:rFonts w:ascii="Arial" w:hAnsi="Arial"/>
          <w:i/>
          <w:color w:val="231F20"/>
          <w:spacing w:val="-4"/>
          <w:sz w:val="18"/>
        </w:rPr>
        <w:t> </w:t>
      </w:r>
      <w:r>
        <w:rPr>
          <w:rFonts w:ascii="Arial" w:hAnsi="Arial"/>
          <w:i/>
          <w:color w:val="231F20"/>
          <w:sz w:val="18"/>
        </w:rPr>
        <w:t>que</w:t>
      </w:r>
      <w:r>
        <w:rPr>
          <w:rFonts w:ascii="Arial" w:hAnsi="Arial"/>
          <w:i/>
          <w:color w:val="231F20"/>
          <w:spacing w:val="-4"/>
          <w:sz w:val="18"/>
        </w:rPr>
        <w:t> </w:t>
      </w:r>
      <w:r>
        <w:rPr>
          <w:rFonts w:ascii="Arial" w:hAnsi="Arial"/>
          <w:i/>
          <w:color w:val="231F20"/>
          <w:sz w:val="18"/>
        </w:rPr>
        <w:t>yo</w:t>
      </w:r>
      <w:r>
        <w:rPr>
          <w:rFonts w:ascii="Arial" w:hAnsi="Arial"/>
          <w:i/>
          <w:color w:val="231F20"/>
          <w:spacing w:val="-4"/>
          <w:sz w:val="18"/>
        </w:rPr>
        <w:t> </w:t>
      </w:r>
      <w:r>
        <w:rPr>
          <w:rFonts w:ascii="Arial" w:hAnsi="Arial"/>
          <w:i/>
          <w:color w:val="231F20"/>
          <w:sz w:val="18"/>
        </w:rPr>
        <w:t>había</w:t>
      </w:r>
      <w:r>
        <w:rPr>
          <w:rFonts w:ascii="Arial" w:hAnsi="Arial"/>
          <w:i/>
          <w:color w:val="231F20"/>
          <w:spacing w:val="-4"/>
          <w:sz w:val="18"/>
        </w:rPr>
        <w:t> </w:t>
      </w:r>
      <w:r>
        <w:rPr>
          <w:rFonts w:ascii="Arial" w:hAnsi="Arial"/>
          <w:i/>
          <w:color w:val="231F20"/>
          <w:sz w:val="18"/>
        </w:rPr>
        <w:t>visto</w:t>
      </w:r>
      <w:r>
        <w:rPr>
          <w:rFonts w:ascii="Arial" w:hAnsi="Arial"/>
          <w:i/>
          <w:color w:val="231F20"/>
          <w:spacing w:val="-4"/>
          <w:sz w:val="18"/>
        </w:rPr>
        <w:t> </w:t>
      </w:r>
      <w:r>
        <w:rPr>
          <w:rFonts w:ascii="Arial" w:hAnsi="Arial"/>
          <w:i/>
          <w:color w:val="231F20"/>
          <w:sz w:val="18"/>
        </w:rPr>
        <w:t>cuando</w:t>
      </w:r>
      <w:r>
        <w:rPr>
          <w:rFonts w:ascii="Arial" w:hAnsi="Arial"/>
          <w:i/>
          <w:color w:val="231F20"/>
          <w:spacing w:val="-4"/>
          <w:sz w:val="18"/>
        </w:rPr>
        <w:t> </w:t>
      </w:r>
      <w:r>
        <w:rPr>
          <w:rFonts w:ascii="Arial" w:hAnsi="Arial"/>
          <w:i/>
          <w:color w:val="231F20"/>
          <w:sz w:val="18"/>
        </w:rPr>
        <w:t>andaba</w:t>
      </w:r>
      <w:r>
        <w:rPr>
          <w:rFonts w:ascii="Arial" w:hAnsi="Arial"/>
          <w:i/>
          <w:color w:val="231F20"/>
          <w:spacing w:val="-4"/>
          <w:sz w:val="18"/>
        </w:rPr>
        <w:t> </w:t>
      </w:r>
      <w:r>
        <w:rPr>
          <w:rFonts w:ascii="Arial" w:hAnsi="Arial"/>
          <w:i/>
          <w:color w:val="231F20"/>
          <w:sz w:val="18"/>
        </w:rPr>
        <w:t>de</w:t>
      </w:r>
      <w:r>
        <w:rPr>
          <w:rFonts w:ascii="Arial" w:hAnsi="Arial"/>
          <w:i/>
          <w:color w:val="231F20"/>
          <w:spacing w:val="-4"/>
          <w:sz w:val="18"/>
        </w:rPr>
        <w:t> </w:t>
      </w:r>
      <w:r>
        <w:rPr>
          <w:rFonts w:ascii="Arial" w:hAnsi="Arial"/>
          <w:i/>
          <w:color w:val="231F20"/>
          <w:sz w:val="18"/>
        </w:rPr>
        <w:t>bracero</w:t>
      </w:r>
      <w:r>
        <w:rPr>
          <w:rFonts w:ascii="Arial" w:hAnsi="Arial"/>
          <w:i/>
          <w:color w:val="231F20"/>
          <w:spacing w:val="-4"/>
          <w:sz w:val="18"/>
        </w:rPr>
        <w:t> </w:t>
      </w:r>
      <w:r>
        <w:rPr>
          <w:rFonts w:ascii="Arial" w:hAnsi="Arial"/>
          <w:i/>
          <w:color w:val="231F20"/>
          <w:sz w:val="18"/>
        </w:rPr>
        <w:t>por</w:t>
      </w:r>
      <w:r>
        <w:rPr>
          <w:rFonts w:ascii="Arial" w:hAnsi="Arial"/>
          <w:i/>
          <w:color w:val="231F20"/>
          <w:spacing w:val="-4"/>
          <w:sz w:val="18"/>
        </w:rPr>
        <w:t> </w:t>
      </w:r>
      <w:r>
        <w:rPr>
          <w:rFonts w:ascii="Arial" w:hAnsi="Arial"/>
          <w:i/>
          <w:color w:val="231F20"/>
          <w:sz w:val="18"/>
        </w:rPr>
        <w:t>allá,</w:t>
      </w:r>
      <w:r>
        <w:rPr>
          <w:rFonts w:ascii="Arial" w:hAnsi="Arial"/>
          <w:i/>
          <w:color w:val="231F20"/>
          <w:spacing w:val="-11"/>
          <w:sz w:val="18"/>
        </w:rPr>
        <w:t> </w:t>
      </w:r>
      <w:r>
        <w:rPr>
          <w:rFonts w:ascii="Arial" w:hAnsi="Arial"/>
          <w:i/>
          <w:color w:val="231F20"/>
          <w:sz w:val="18"/>
        </w:rPr>
        <w:t>sólo</w:t>
      </w:r>
      <w:r>
        <w:rPr>
          <w:rFonts w:ascii="Arial" w:hAnsi="Arial"/>
          <w:i/>
          <w:color w:val="231F20"/>
          <w:spacing w:val="-4"/>
          <w:sz w:val="18"/>
        </w:rPr>
        <w:t> </w:t>
      </w:r>
      <w:r>
        <w:rPr>
          <w:rFonts w:ascii="Arial" w:hAnsi="Arial"/>
          <w:i/>
          <w:color w:val="231F20"/>
          <w:sz w:val="18"/>
        </w:rPr>
        <w:t>les</w:t>
      </w:r>
      <w:r>
        <w:rPr>
          <w:rFonts w:ascii="Arial" w:hAnsi="Arial"/>
          <w:i/>
          <w:color w:val="231F20"/>
          <w:spacing w:val="-4"/>
          <w:sz w:val="18"/>
        </w:rPr>
        <w:t> </w:t>
      </w:r>
      <w:r>
        <w:rPr>
          <w:rFonts w:ascii="Arial" w:hAnsi="Arial"/>
          <w:i/>
          <w:color w:val="231F20"/>
          <w:sz w:val="18"/>
        </w:rPr>
        <w:t>de- </w:t>
      </w:r>
      <w:r>
        <w:rPr>
          <w:rFonts w:ascii="Arial" w:hAnsi="Arial"/>
          <w:i/>
          <w:color w:val="231F20"/>
          <w:sz w:val="18"/>
        </w:rPr>
        <w:t>cía:</w:t>
      </w:r>
      <w:r>
        <w:rPr>
          <w:rFonts w:ascii="Arial" w:hAnsi="Arial"/>
          <w:i/>
          <w:color w:val="231F20"/>
          <w:spacing w:val="-3"/>
          <w:sz w:val="18"/>
        </w:rPr>
        <w:t> </w:t>
      </w:r>
      <w:r>
        <w:rPr>
          <w:rFonts w:ascii="Arial" w:hAnsi="Arial"/>
          <w:i/>
          <w:color w:val="231F20"/>
          <w:sz w:val="18"/>
        </w:rPr>
        <w:t>váyanse</w:t>
      </w:r>
      <w:r>
        <w:rPr>
          <w:rFonts w:ascii="Arial" w:hAnsi="Arial"/>
          <w:i/>
          <w:color w:val="231F20"/>
          <w:spacing w:val="-3"/>
          <w:sz w:val="18"/>
        </w:rPr>
        <w:t> </w:t>
      </w:r>
      <w:r>
        <w:rPr>
          <w:rFonts w:ascii="Arial" w:hAnsi="Arial"/>
          <w:i/>
          <w:color w:val="231F20"/>
          <w:sz w:val="18"/>
        </w:rPr>
        <w:t>con</w:t>
      </w:r>
      <w:r>
        <w:rPr>
          <w:rFonts w:ascii="Arial" w:hAnsi="Arial"/>
          <w:i/>
          <w:color w:val="231F20"/>
          <w:spacing w:val="-3"/>
          <w:sz w:val="18"/>
        </w:rPr>
        <w:t> </w:t>
      </w:r>
      <w:r>
        <w:rPr>
          <w:rFonts w:ascii="Arial" w:hAnsi="Arial"/>
          <w:i/>
          <w:color w:val="231F20"/>
          <w:sz w:val="18"/>
        </w:rPr>
        <w:t>mucho</w:t>
      </w:r>
      <w:r>
        <w:rPr>
          <w:rFonts w:ascii="Arial" w:hAnsi="Arial"/>
          <w:i/>
          <w:color w:val="231F20"/>
          <w:spacing w:val="-3"/>
          <w:sz w:val="18"/>
        </w:rPr>
        <w:t> </w:t>
      </w:r>
      <w:r>
        <w:rPr>
          <w:rFonts w:ascii="Arial" w:hAnsi="Arial"/>
          <w:i/>
          <w:color w:val="231F20"/>
          <w:sz w:val="18"/>
        </w:rPr>
        <w:t>cuidado,</w:t>
      </w:r>
      <w:r>
        <w:rPr>
          <w:rFonts w:ascii="Arial" w:hAnsi="Arial"/>
          <w:i/>
          <w:color w:val="231F20"/>
          <w:spacing w:val="-10"/>
          <w:sz w:val="18"/>
        </w:rPr>
        <w:t> </w:t>
      </w:r>
      <w:r>
        <w:rPr>
          <w:rFonts w:ascii="Arial" w:hAnsi="Arial"/>
          <w:i/>
          <w:color w:val="231F20"/>
          <w:sz w:val="18"/>
        </w:rPr>
        <w:t>trabajen</w:t>
      </w:r>
      <w:r>
        <w:rPr>
          <w:rFonts w:ascii="Arial" w:hAnsi="Arial"/>
          <w:i/>
          <w:color w:val="231F20"/>
          <w:spacing w:val="-3"/>
          <w:sz w:val="18"/>
        </w:rPr>
        <w:t> </w:t>
      </w:r>
      <w:r>
        <w:rPr>
          <w:rFonts w:ascii="Arial" w:hAnsi="Arial"/>
          <w:i/>
          <w:color w:val="231F20"/>
          <w:sz w:val="18"/>
        </w:rPr>
        <w:t>para</w:t>
      </w:r>
      <w:r>
        <w:rPr>
          <w:rFonts w:ascii="Arial" w:hAnsi="Arial"/>
          <w:i/>
          <w:color w:val="231F20"/>
          <w:spacing w:val="-3"/>
          <w:sz w:val="18"/>
        </w:rPr>
        <w:t> </w:t>
      </w:r>
      <w:r>
        <w:rPr>
          <w:rFonts w:ascii="Arial" w:hAnsi="Arial"/>
          <w:i/>
          <w:color w:val="231F20"/>
          <w:sz w:val="18"/>
        </w:rPr>
        <w:t>ustedes,</w:t>
      </w:r>
      <w:r>
        <w:rPr>
          <w:rFonts w:ascii="Arial" w:hAnsi="Arial"/>
          <w:i/>
          <w:color w:val="231F20"/>
          <w:spacing w:val="-10"/>
          <w:sz w:val="18"/>
        </w:rPr>
        <w:t> </w:t>
      </w:r>
      <w:r>
        <w:rPr>
          <w:rFonts w:ascii="Arial" w:hAnsi="Arial"/>
          <w:i/>
          <w:color w:val="231F20"/>
          <w:sz w:val="18"/>
        </w:rPr>
        <w:t>para</w:t>
      </w:r>
      <w:r>
        <w:rPr>
          <w:rFonts w:ascii="Arial" w:hAnsi="Arial"/>
          <w:i/>
          <w:color w:val="231F20"/>
          <w:spacing w:val="-3"/>
          <w:sz w:val="18"/>
        </w:rPr>
        <w:t> </w:t>
      </w:r>
      <w:r>
        <w:rPr>
          <w:rFonts w:ascii="Arial" w:hAnsi="Arial"/>
          <w:i/>
          <w:color w:val="231F20"/>
          <w:sz w:val="18"/>
        </w:rPr>
        <w:t>su</w:t>
      </w:r>
      <w:r>
        <w:rPr>
          <w:rFonts w:ascii="Arial" w:hAnsi="Arial"/>
          <w:i/>
          <w:color w:val="231F20"/>
          <w:spacing w:val="-3"/>
          <w:sz w:val="18"/>
        </w:rPr>
        <w:t> </w:t>
      </w:r>
      <w:r>
        <w:rPr>
          <w:rFonts w:ascii="Arial" w:hAnsi="Arial"/>
          <w:i/>
          <w:color w:val="231F20"/>
          <w:sz w:val="18"/>
        </w:rPr>
        <w:t>futuro</w:t>
      </w:r>
      <w:r>
        <w:rPr>
          <w:rFonts w:ascii="Arial" w:hAnsi="Arial"/>
          <w:i/>
          <w:color w:val="231F20"/>
          <w:spacing w:val="-3"/>
          <w:sz w:val="18"/>
        </w:rPr>
        <w:t> </w:t>
      </w:r>
      <w:r>
        <w:rPr>
          <w:rFonts w:ascii="Arial" w:hAnsi="Arial"/>
          <w:i/>
          <w:color w:val="231F20"/>
          <w:sz w:val="18"/>
        </w:rPr>
        <w:t>y no</w:t>
      </w:r>
      <w:r>
        <w:rPr>
          <w:rFonts w:ascii="Arial" w:hAnsi="Arial"/>
          <w:i/>
          <w:color w:val="231F20"/>
          <w:spacing w:val="-9"/>
          <w:sz w:val="18"/>
        </w:rPr>
        <w:t> </w:t>
      </w:r>
      <w:r>
        <w:rPr>
          <w:rFonts w:ascii="Arial" w:hAnsi="Arial"/>
          <w:i/>
          <w:color w:val="231F20"/>
          <w:sz w:val="18"/>
        </w:rPr>
        <w:t>se</w:t>
      </w:r>
      <w:r>
        <w:rPr>
          <w:rFonts w:ascii="Arial" w:hAnsi="Arial"/>
          <w:i/>
          <w:color w:val="231F20"/>
          <w:spacing w:val="-9"/>
          <w:sz w:val="18"/>
        </w:rPr>
        <w:t> </w:t>
      </w:r>
      <w:r>
        <w:rPr>
          <w:rFonts w:ascii="Arial" w:hAnsi="Arial"/>
          <w:i/>
          <w:color w:val="231F20"/>
          <w:sz w:val="18"/>
        </w:rPr>
        <w:t>preocupen</w:t>
      </w:r>
      <w:r>
        <w:rPr>
          <w:rFonts w:ascii="Arial" w:hAnsi="Arial"/>
          <w:i/>
          <w:color w:val="231F20"/>
          <w:spacing w:val="-9"/>
          <w:sz w:val="18"/>
        </w:rPr>
        <w:t> </w:t>
      </w:r>
      <w:r>
        <w:rPr>
          <w:rFonts w:ascii="Arial" w:hAnsi="Arial"/>
          <w:i/>
          <w:color w:val="231F20"/>
          <w:sz w:val="18"/>
        </w:rPr>
        <w:t>que</w:t>
      </w:r>
      <w:r>
        <w:rPr>
          <w:rFonts w:ascii="Arial" w:hAnsi="Arial"/>
          <w:i/>
          <w:color w:val="231F20"/>
          <w:spacing w:val="-9"/>
          <w:sz w:val="18"/>
        </w:rPr>
        <w:t> </w:t>
      </w:r>
      <w:r>
        <w:rPr>
          <w:rFonts w:ascii="Arial" w:hAnsi="Arial"/>
          <w:i/>
          <w:color w:val="231F20"/>
          <w:sz w:val="18"/>
        </w:rPr>
        <w:t>aquí</w:t>
      </w:r>
      <w:r>
        <w:rPr>
          <w:rFonts w:ascii="Arial" w:hAnsi="Arial"/>
          <w:i/>
          <w:color w:val="231F20"/>
          <w:spacing w:val="-9"/>
          <w:sz w:val="18"/>
        </w:rPr>
        <w:t> </w:t>
      </w:r>
      <w:r>
        <w:rPr>
          <w:rFonts w:ascii="Arial" w:hAnsi="Arial"/>
          <w:i/>
          <w:color w:val="231F20"/>
          <w:sz w:val="18"/>
        </w:rPr>
        <w:t>ya</w:t>
      </w:r>
      <w:r>
        <w:rPr>
          <w:rFonts w:ascii="Arial" w:hAnsi="Arial"/>
          <w:i/>
          <w:color w:val="231F20"/>
          <w:spacing w:val="-9"/>
          <w:sz w:val="18"/>
        </w:rPr>
        <w:t> </w:t>
      </w:r>
      <w:r>
        <w:rPr>
          <w:rFonts w:ascii="Arial" w:hAnsi="Arial"/>
          <w:i/>
          <w:color w:val="231F20"/>
          <w:sz w:val="18"/>
        </w:rPr>
        <w:t>veré</w:t>
      </w:r>
      <w:r>
        <w:rPr>
          <w:rFonts w:ascii="Arial" w:hAnsi="Arial"/>
          <w:i/>
          <w:color w:val="231F20"/>
          <w:spacing w:val="-9"/>
          <w:sz w:val="18"/>
        </w:rPr>
        <w:t> </w:t>
      </w:r>
      <w:r>
        <w:rPr>
          <w:rFonts w:ascii="Arial" w:hAnsi="Arial"/>
          <w:i/>
          <w:color w:val="231F20"/>
          <w:sz w:val="18"/>
        </w:rPr>
        <w:t>cómo</w:t>
      </w:r>
      <w:r>
        <w:rPr>
          <w:rFonts w:ascii="Arial" w:hAnsi="Arial"/>
          <w:i/>
          <w:color w:val="231F20"/>
          <w:spacing w:val="-9"/>
          <w:sz w:val="18"/>
        </w:rPr>
        <w:t> </w:t>
      </w:r>
      <w:r>
        <w:rPr>
          <w:rFonts w:ascii="Arial" w:hAnsi="Arial"/>
          <w:i/>
          <w:color w:val="231F20"/>
          <w:sz w:val="18"/>
        </w:rPr>
        <w:t>me</w:t>
      </w:r>
      <w:r>
        <w:rPr>
          <w:rFonts w:ascii="Arial" w:hAnsi="Arial"/>
          <w:i/>
          <w:color w:val="231F20"/>
          <w:spacing w:val="-9"/>
          <w:sz w:val="18"/>
        </w:rPr>
        <w:t> </w:t>
      </w:r>
      <w:r>
        <w:rPr>
          <w:rFonts w:ascii="Arial" w:hAnsi="Arial"/>
          <w:i/>
          <w:color w:val="231F20"/>
          <w:sz w:val="18"/>
        </w:rPr>
        <w:t>las</w:t>
      </w:r>
      <w:r>
        <w:rPr>
          <w:rFonts w:ascii="Arial" w:hAnsi="Arial"/>
          <w:i/>
          <w:color w:val="231F20"/>
          <w:spacing w:val="-9"/>
          <w:sz w:val="18"/>
        </w:rPr>
        <w:t> </w:t>
      </w:r>
      <w:r>
        <w:rPr>
          <w:rFonts w:ascii="Arial" w:hAnsi="Arial"/>
          <w:i/>
          <w:color w:val="231F20"/>
          <w:sz w:val="18"/>
        </w:rPr>
        <w:t>arreglo.</w:t>
      </w:r>
      <w:r>
        <w:rPr>
          <w:rFonts w:ascii="Arial" w:hAnsi="Arial"/>
          <w:i/>
          <w:color w:val="231F20"/>
          <w:spacing w:val="-20"/>
          <w:sz w:val="18"/>
        </w:rPr>
        <w:t> </w:t>
      </w:r>
      <w:r>
        <w:rPr>
          <w:rFonts w:ascii="Arial" w:hAnsi="Arial"/>
          <w:i/>
          <w:color w:val="231F20"/>
          <w:sz w:val="18"/>
        </w:rPr>
        <w:t>Y</w:t>
      </w:r>
      <w:r>
        <w:rPr>
          <w:rFonts w:ascii="Arial" w:hAnsi="Arial"/>
          <w:i/>
          <w:color w:val="231F20"/>
          <w:spacing w:val="-14"/>
          <w:sz w:val="18"/>
        </w:rPr>
        <w:t> </w:t>
      </w:r>
      <w:r>
        <w:rPr>
          <w:rFonts w:ascii="Arial" w:hAnsi="Arial"/>
          <w:i/>
          <w:color w:val="231F20"/>
          <w:sz w:val="18"/>
        </w:rPr>
        <w:t>sí.</w:t>
      </w:r>
      <w:r>
        <w:rPr>
          <w:rFonts w:ascii="Arial" w:hAnsi="Arial"/>
          <w:i/>
          <w:color w:val="231F20"/>
          <w:spacing w:val="-19"/>
          <w:sz w:val="18"/>
        </w:rPr>
        <w:t> </w:t>
      </w:r>
      <w:r>
        <w:rPr>
          <w:rFonts w:ascii="Arial" w:hAnsi="Arial"/>
          <w:i/>
          <w:color w:val="231F20"/>
          <w:sz w:val="18"/>
        </w:rPr>
        <w:t>Acá</w:t>
      </w:r>
      <w:r>
        <w:rPr>
          <w:rFonts w:ascii="Arial" w:hAnsi="Arial"/>
          <w:i/>
          <w:color w:val="231F20"/>
          <w:spacing w:val="-9"/>
          <w:sz w:val="18"/>
        </w:rPr>
        <w:t> </w:t>
      </w:r>
      <w:r>
        <w:rPr>
          <w:rFonts w:ascii="Arial" w:hAnsi="Arial"/>
          <w:i/>
          <w:color w:val="231F20"/>
          <w:sz w:val="18"/>
        </w:rPr>
        <w:t>yo</w:t>
      </w:r>
      <w:r>
        <w:rPr>
          <w:rFonts w:ascii="Arial" w:hAnsi="Arial"/>
          <w:i/>
          <w:color w:val="231F20"/>
          <w:spacing w:val="-9"/>
          <w:sz w:val="18"/>
        </w:rPr>
        <w:t> </w:t>
      </w:r>
      <w:r>
        <w:rPr>
          <w:rFonts w:ascii="Arial" w:hAnsi="Arial"/>
          <w:i/>
          <w:color w:val="231F20"/>
          <w:sz w:val="18"/>
        </w:rPr>
        <w:t>tenía forma de vivir: sembraba cebolla, jitomates, </w:t>
      </w:r>
      <w:r>
        <w:rPr>
          <w:rFonts w:ascii="Arial" w:hAnsi="Arial"/>
          <w:i/>
          <w:color w:val="231F20"/>
          <w:spacing w:val="9"/>
          <w:sz w:val="18"/>
        </w:rPr>
        <w:t> </w:t>
      </w:r>
      <w:r>
        <w:rPr>
          <w:rFonts w:ascii="Arial" w:hAnsi="Arial"/>
          <w:i/>
          <w:color w:val="231F20"/>
          <w:sz w:val="18"/>
        </w:rPr>
        <w:t>chiles.</w:t>
      </w:r>
    </w:p>
    <w:p>
      <w:pPr>
        <w:spacing w:line="249" w:lineRule="auto" w:before="114"/>
        <w:ind w:left="2857" w:right="1834" w:firstLine="0"/>
        <w:jc w:val="both"/>
        <w:rPr>
          <w:rFonts w:ascii="Arial" w:hAnsi="Arial"/>
          <w:i/>
          <w:sz w:val="18"/>
        </w:rPr>
      </w:pPr>
      <w:r>
        <w:rPr>
          <w:rFonts w:ascii="Arial" w:hAnsi="Arial"/>
          <w:i/>
          <w:color w:val="231F20"/>
          <w:sz w:val="18"/>
        </w:rPr>
        <w:t>Cuando los hijos se van no es fácil sobrellevar la experiencia. </w:t>
      </w:r>
      <w:r>
        <w:rPr>
          <w:rFonts w:ascii="Arial" w:hAnsi="Arial"/>
          <w:i/>
          <w:color w:val="231F20"/>
          <w:spacing w:val="-4"/>
          <w:sz w:val="18"/>
        </w:rPr>
        <w:t>Pero </w:t>
      </w:r>
      <w:r>
        <w:rPr>
          <w:rFonts w:ascii="Arial" w:hAnsi="Arial"/>
          <w:i/>
          <w:color w:val="231F20"/>
          <w:sz w:val="18"/>
        </w:rPr>
        <w:t>tam- </w:t>
      </w:r>
      <w:r>
        <w:rPr>
          <w:rFonts w:ascii="Arial" w:hAnsi="Arial"/>
          <w:i/>
          <w:color w:val="231F20"/>
          <w:sz w:val="18"/>
        </w:rPr>
        <w:t>poco me voy a quejar. Ellos han salido adelante, yo también, y seguiré trabajando en el campo. Seguiré haciendo lo que siempre mis manos han hecho con la tierra. Seguiré sembrando y cosechando. Lo hice allá y lo hago acá. </w:t>
      </w:r>
      <w:r>
        <w:rPr>
          <w:rFonts w:ascii="Arial" w:hAnsi="Arial"/>
          <w:i/>
          <w:color w:val="231F20"/>
          <w:spacing w:val="-7"/>
          <w:sz w:val="18"/>
        </w:rPr>
        <w:t>Yo </w:t>
      </w:r>
      <w:r>
        <w:rPr>
          <w:rFonts w:ascii="Arial" w:hAnsi="Arial"/>
          <w:i/>
          <w:color w:val="231F20"/>
          <w:sz w:val="18"/>
        </w:rPr>
        <w:t>emigré primero y luego mis hijos fueron mi apoyo en Estados</w:t>
      </w:r>
      <w:r>
        <w:rPr>
          <w:rFonts w:ascii="Arial" w:hAnsi="Arial"/>
          <w:i/>
          <w:color w:val="231F20"/>
          <w:spacing w:val="-6"/>
          <w:sz w:val="18"/>
        </w:rPr>
        <w:t> </w:t>
      </w:r>
      <w:r>
        <w:rPr>
          <w:rFonts w:ascii="Arial" w:hAnsi="Arial"/>
          <w:i/>
          <w:color w:val="231F20"/>
          <w:sz w:val="18"/>
        </w:rPr>
        <w:t>Unidos</w:t>
      </w:r>
    </w:p>
    <w:p>
      <w:pPr>
        <w:spacing w:line="249" w:lineRule="auto" w:before="114"/>
        <w:ind w:left="2857" w:right="1835" w:firstLine="0"/>
        <w:jc w:val="both"/>
        <w:rPr>
          <w:rFonts w:ascii="Arial" w:hAnsi="Arial"/>
          <w:i/>
          <w:sz w:val="18"/>
        </w:rPr>
      </w:pPr>
      <w:r>
        <w:rPr>
          <w:rFonts w:ascii="Arial" w:hAnsi="Arial"/>
          <w:i/>
          <w:color w:val="231F20"/>
          <w:spacing w:val="-5"/>
          <w:w w:val="105"/>
          <w:sz w:val="18"/>
        </w:rPr>
        <w:t>Por </w:t>
      </w:r>
      <w:r>
        <w:rPr>
          <w:rFonts w:ascii="Arial" w:hAnsi="Arial"/>
          <w:i/>
          <w:color w:val="231F20"/>
          <w:w w:val="105"/>
          <w:sz w:val="18"/>
        </w:rPr>
        <w:t>todo lo que vivimos, creo que emigrar fue una experiencia boni- </w:t>
      </w:r>
      <w:r>
        <w:rPr>
          <w:rFonts w:ascii="Arial" w:hAnsi="Arial"/>
          <w:i/>
          <w:color w:val="231F20"/>
          <w:w w:val="105"/>
          <w:sz w:val="18"/>
        </w:rPr>
        <w:t>ta, porque conocimos y aprendimos, y mis hijos van consiguiendo lo que</w:t>
      </w:r>
      <w:r>
        <w:rPr>
          <w:rFonts w:ascii="Arial" w:hAnsi="Arial"/>
          <w:i/>
          <w:color w:val="231F20"/>
          <w:spacing w:val="-23"/>
          <w:w w:val="105"/>
          <w:sz w:val="18"/>
        </w:rPr>
        <w:t> </w:t>
      </w:r>
      <w:r>
        <w:rPr>
          <w:rFonts w:ascii="Arial" w:hAnsi="Arial"/>
          <w:i/>
          <w:color w:val="231F20"/>
          <w:w w:val="105"/>
          <w:sz w:val="18"/>
        </w:rPr>
        <w:t>se</w:t>
      </w:r>
      <w:r>
        <w:rPr>
          <w:rFonts w:ascii="Arial" w:hAnsi="Arial"/>
          <w:i/>
          <w:color w:val="231F20"/>
          <w:spacing w:val="-23"/>
          <w:w w:val="105"/>
          <w:sz w:val="18"/>
        </w:rPr>
        <w:t> </w:t>
      </w:r>
      <w:r>
        <w:rPr>
          <w:rFonts w:ascii="Arial" w:hAnsi="Arial"/>
          <w:i/>
          <w:color w:val="231F20"/>
          <w:w w:val="105"/>
          <w:sz w:val="18"/>
        </w:rPr>
        <w:t>propusieron.</w:t>
      </w:r>
      <w:r>
        <w:rPr>
          <w:rFonts w:ascii="Arial" w:hAnsi="Arial"/>
          <w:i/>
          <w:color w:val="231F20"/>
          <w:spacing w:val="-27"/>
          <w:w w:val="105"/>
          <w:sz w:val="18"/>
        </w:rPr>
        <w:t> </w:t>
      </w:r>
      <w:r>
        <w:rPr>
          <w:rFonts w:ascii="Arial" w:hAnsi="Arial"/>
          <w:i/>
          <w:color w:val="231F20"/>
          <w:spacing w:val="-4"/>
          <w:w w:val="105"/>
          <w:sz w:val="18"/>
        </w:rPr>
        <w:t>Pero</w:t>
      </w:r>
      <w:r>
        <w:rPr>
          <w:rFonts w:ascii="Arial" w:hAnsi="Arial"/>
          <w:i/>
          <w:color w:val="231F20"/>
          <w:spacing w:val="-23"/>
          <w:w w:val="105"/>
          <w:sz w:val="18"/>
        </w:rPr>
        <w:t> </w:t>
      </w:r>
      <w:r>
        <w:rPr>
          <w:rFonts w:ascii="Arial" w:hAnsi="Arial"/>
          <w:i/>
          <w:color w:val="231F20"/>
          <w:w w:val="105"/>
          <w:sz w:val="18"/>
        </w:rPr>
        <w:t>también</w:t>
      </w:r>
      <w:r>
        <w:rPr>
          <w:rFonts w:ascii="Arial" w:hAnsi="Arial"/>
          <w:i/>
          <w:color w:val="231F20"/>
          <w:spacing w:val="-23"/>
          <w:w w:val="105"/>
          <w:sz w:val="18"/>
        </w:rPr>
        <w:t> </w:t>
      </w:r>
      <w:r>
        <w:rPr>
          <w:rFonts w:ascii="Arial" w:hAnsi="Arial"/>
          <w:i/>
          <w:color w:val="231F20"/>
          <w:w w:val="105"/>
          <w:sz w:val="18"/>
        </w:rPr>
        <w:t>pasan</w:t>
      </w:r>
      <w:r>
        <w:rPr>
          <w:rFonts w:ascii="Arial" w:hAnsi="Arial"/>
          <w:i/>
          <w:color w:val="231F20"/>
          <w:spacing w:val="-23"/>
          <w:w w:val="105"/>
          <w:sz w:val="18"/>
        </w:rPr>
        <w:t> </w:t>
      </w:r>
      <w:r>
        <w:rPr>
          <w:rFonts w:ascii="Arial" w:hAnsi="Arial"/>
          <w:i/>
          <w:color w:val="231F20"/>
          <w:w w:val="105"/>
          <w:sz w:val="18"/>
        </w:rPr>
        <w:t>cosas</w:t>
      </w:r>
      <w:r>
        <w:rPr>
          <w:rFonts w:ascii="Arial" w:hAnsi="Arial"/>
          <w:i/>
          <w:color w:val="231F20"/>
          <w:spacing w:val="-23"/>
          <w:w w:val="105"/>
          <w:sz w:val="18"/>
        </w:rPr>
        <w:t> </w:t>
      </w:r>
      <w:r>
        <w:rPr>
          <w:rFonts w:ascii="Arial" w:hAnsi="Arial"/>
          <w:i/>
          <w:color w:val="231F20"/>
          <w:w w:val="105"/>
          <w:sz w:val="18"/>
        </w:rPr>
        <w:t>que</w:t>
      </w:r>
      <w:r>
        <w:rPr>
          <w:rFonts w:ascii="Arial" w:hAnsi="Arial"/>
          <w:i/>
          <w:color w:val="231F20"/>
          <w:spacing w:val="-23"/>
          <w:w w:val="105"/>
          <w:sz w:val="18"/>
        </w:rPr>
        <w:t> </w:t>
      </w:r>
      <w:r>
        <w:rPr>
          <w:rFonts w:ascii="Arial" w:hAnsi="Arial"/>
          <w:i/>
          <w:color w:val="231F20"/>
          <w:w w:val="105"/>
          <w:sz w:val="18"/>
        </w:rPr>
        <w:t>uno</w:t>
      </w:r>
      <w:r>
        <w:rPr>
          <w:rFonts w:ascii="Arial" w:hAnsi="Arial"/>
          <w:i/>
          <w:color w:val="231F20"/>
          <w:spacing w:val="-23"/>
          <w:w w:val="105"/>
          <w:sz w:val="18"/>
        </w:rPr>
        <w:t> </w:t>
      </w:r>
      <w:r>
        <w:rPr>
          <w:rFonts w:ascii="Arial" w:hAnsi="Arial"/>
          <w:i/>
          <w:color w:val="231F20"/>
          <w:w w:val="105"/>
          <w:sz w:val="18"/>
        </w:rPr>
        <w:t>no</w:t>
      </w:r>
      <w:r>
        <w:rPr>
          <w:rFonts w:ascii="Arial" w:hAnsi="Arial"/>
          <w:i/>
          <w:color w:val="231F20"/>
          <w:spacing w:val="-23"/>
          <w:w w:val="105"/>
          <w:sz w:val="18"/>
        </w:rPr>
        <w:t> </w:t>
      </w:r>
      <w:r>
        <w:rPr>
          <w:rFonts w:ascii="Arial" w:hAnsi="Arial"/>
          <w:i/>
          <w:color w:val="231F20"/>
          <w:w w:val="105"/>
          <w:sz w:val="18"/>
        </w:rPr>
        <w:t>quisiera</w:t>
      </w:r>
      <w:r>
        <w:rPr>
          <w:rFonts w:ascii="Arial" w:hAnsi="Arial"/>
          <w:i/>
          <w:color w:val="231F20"/>
          <w:spacing w:val="-23"/>
          <w:w w:val="105"/>
          <w:sz w:val="18"/>
        </w:rPr>
        <w:t> </w:t>
      </w:r>
      <w:r>
        <w:rPr>
          <w:rFonts w:ascii="Arial" w:hAnsi="Arial"/>
          <w:i/>
          <w:color w:val="231F20"/>
          <w:w w:val="105"/>
          <w:sz w:val="18"/>
        </w:rPr>
        <w:t>que</w:t>
      </w:r>
    </w:p>
    <w:p>
      <w:pPr>
        <w:pStyle w:val="BodyText"/>
        <w:rPr>
          <w:rFonts w:ascii="Arial"/>
          <w:i/>
          <w:sz w:val="20"/>
        </w:rPr>
      </w:pPr>
    </w:p>
    <w:p>
      <w:pPr>
        <w:pStyle w:val="BodyText"/>
        <w:rPr>
          <w:rFonts w:ascii="Arial"/>
          <w:i/>
          <w:sz w:val="20"/>
        </w:rPr>
      </w:pPr>
    </w:p>
    <w:p>
      <w:pPr>
        <w:pStyle w:val="BodyText"/>
        <w:spacing w:before="9"/>
        <w:rPr>
          <w:rFonts w:ascii="Arial"/>
          <w:i/>
          <w:sz w:val="20"/>
        </w:rPr>
      </w:pPr>
    </w:p>
    <w:p>
      <w:pPr>
        <w:tabs>
          <w:tab w:pos="2937" w:val="left" w:leader="none"/>
        </w:tabs>
        <w:spacing w:before="0"/>
        <w:ind w:left="1832" w:right="0" w:firstLine="0"/>
        <w:jc w:val="left"/>
        <w:rPr>
          <w:rFonts w:ascii="Calibri"/>
          <w:sz w:val="8"/>
        </w:rPr>
      </w:pPr>
      <w:r>
        <w:rPr/>
        <w:pict>
          <v:line style="position:absolute;mso-position-horizontal-relative:page;mso-position-vertical-relative:paragraph;z-index:-444664" from="131.551193pt,.203715pt" to="131.551193pt,36.006114pt" stroked="true" strokeweight=".35pt" strokecolor="#231f20">
            <w10:wrap type="none"/>
          </v:line>
        </w:pict>
      </w:r>
      <w:r>
        <w:rPr/>
        <w:pict>
          <v:line style="position:absolute;mso-position-horizontal-relative:page;mso-position-vertical-relative:paragraph;z-index:-444592" from="15pt,36.005917pt" to="0pt,36.005917pt" stroked="true" strokeweight=".25pt" strokecolor="#000000">
            <w10:wrap type="none"/>
          </v:line>
        </w:pict>
      </w:r>
      <w:r>
        <w:rPr/>
        <w:pict>
          <v:line style="position:absolute;mso-position-horizontal-relative:page;mso-position-vertical-relative:paragraph;z-index:45616" from="508.890015pt,36.005917pt" to="523.890015pt,36.005917pt" stroked="true" strokeweight=".25pt" strokecolor="#000000">
            <w10:wrap type="none"/>
          </v:line>
        </w:pict>
      </w:r>
      <w:r>
        <w:rPr>
          <w:rFonts w:ascii="Arial"/>
          <w:color w:val="414042"/>
          <w:position w:val="-5"/>
          <w:sz w:val="20"/>
        </w:rPr>
        <w:t>390</w:t>
        <w:tab/>
      </w:r>
      <w:r>
        <w:rPr>
          <w:rFonts w:ascii="Calibri"/>
          <w:color w:val="6D6E71"/>
          <w:sz w:val="15"/>
        </w:rPr>
        <w:t>Alejandro  Zarur Osorio</w:t>
      </w:r>
      <w:r>
        <w:rPr>
          <w:rFonts w:ascii="Calibri"/>
          <w:color w:val="6D6E71"/>
          <w:position w:val="5"/>
          <w:sz w:val="8"/>
        </w:rPr>
        <w:t>1</w:t>
      </w:r>
    </w:p>
    <w:p>
      <w:pPr>
        <w:spacing w:after="0"/>
        <w:jc w:val="left"/>
        <w:rPr>
          <w:rFonts w:ascii="Calibri"/>
          <w:sz w:val="8"/>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2023" w:right="0" w:firstLine="0"/>
        <w:jc w:val="left"/>
        <w:rPr>
          <w:rFonts w:ascii="Arial"/>
          <w:sz w:val="20"/>
        </w:rPr>
      </w:pPr>
      <w:r>
        <w:rPr/>
        <w:pict>
          <v:line style="position:absolute;mso-position-horizontal-relative:page;mso-position-vertical-relative:paragraph;z-index:-444544" from="405.061005pt,-18.554295pt" to="405.061005pt,16.311579pt" stroked="true" strokeweight=".35pt" strokecolor="#231f20">
            <w10:wrap type="none"/>
          </v:line>
        </w:pict>
      </w:r>
      <w:r>
        <w:rPr/>
        <w:pict>
          <v:line style="position:absolute;mso-position-horizontal-relative:page;mso-position-vertical-relative:paragraph;z-index:45664" from="15pt,-18.554522pt" to="0pt,-18.554522pt" stroked="true" strokeweight=".25pt" strokecolor="#000000">
            <w10:wrap type="none"/>
          </v:line>
        </w:pict>
      </w:r>
      <w:r>
        <w:rPr/>
        <w:pict>
          <v:line style="position:absolute;mso-position-horizontal-relative:page;mso-position-vertical-relative:paragraph;z-index:45688" from="508.890015pt,-18.554522pt" to="523.890015pt,-18.554522pt" stroked="true" strokeweight=".25pt" strokecolor="#000000">
            <w10:wrap type="none"/>
          </v:line>
        </w:pict>
      </w:r>
      <w:r>
        <w:rPr>
          <w:rFonts w:ascii="Lucida Sans Unicode"/>
          <w:color w:val="6D6E71"/>
          <w:sz w:val="14"/>
        </w:rPr>
        <w:t>LO</w:t>
      </w:r>
      <w:r>
        <w:rPr>
          <w:rFonts w:ascii="Lucida Sans Unicode"/>
          <w:color w:val="6D6E71"/>
          <w:spacing w:val="-29"/>
          <w:sz w:val="14"/>
        </w:rPr>
        <w:t> </w:t>
      </w:r>
      <w:r>
        <w:rPr>
          <w:rFonts w:ascii="Lucida Sans Unicode"/>
          <w:color w:val="6D6E71"/>
          <w:sz w:val="14"/>
        </w:rPr>
        <w:t>QUE</w:t>
      </w:r>
      <w:r>
        <w:rPr>
          <w:rFonts w:ascii="Lucida Sans Unicode"/>
          <w:color w:val="6D6E71"/>
          <w:spacing w:val="-29"/>
          <w:sz w:val="14"/>
        </w:rPr>
        <w:t> </w:t>
      </w:r>
      <w:r>
        <w:rPr>
          <w:rFonts w:ascii="Lucida Sans Unicode"/>
          <w:color w:val="6D6E71"/>
          <w:sz w:val="14"/>
        </w:rPr>
        <w:t>NO</w:t>
      </w:r>
      <w:r>
        <w:rPr>
          <w:rFonts w:ascii="Lucida Sans Unicode"/>
          <w:color w:val="6D6E71"/>
          <w:spacing w:val="-29"/>
          <w:sz w:val="14"/>
        </w:rPr>
        <w:t> </w:t>
      </w:r>
      <w:r>
        <w:rPr>
          <w:rFonts w:ascii="Lucida Sans Unicode"/>
          <w:color w:val="6D6E71"/>
          <w:sz w:val="14"/>
        </w:rPr>
        <w:t>SE</w:t>
      </w:r>
      <w:r>
        <w:rPr>
          <w:rFonts w:ascii="Lucida Sans Unicode"/>
          <w:color w:val="6D6E71"/>
          <w:spacing w:val="-29"/>
          <w:sz w:val="14"/>
        </w:rPr>
        <w:t> </w:t>
      </w:r>
      <w:r>
        <w:rPr>
          <w:rFonts w:ascii="Lucida Sans Unicode"/>
          <w:color w:val="6D6E71"/>
          <w:sz w:val="14"/>
        </w:rPr>
        <w:t>FUE</w:t>
      </w:r>
      <w:r>
        <w:rPr>
          <w:rFonts w:ascii="Lucida Sans Unicode"/>
          <w:color w:val="6D6E71"/>
          <w:spacing w:val="-29"/>
          <w:sz w:val="14"/>
        </w:rPr>
        <w:t> </w:t>
      </w:r>
      <w:r>
        <w:rPr>
          <w:rFonts w:ascii="Lucida Sans Unicode"/>
          <w:color w:val="6D6E71"/>
          <w:sz w:val="14"/>
        </w:rPr>
        <w:t>EN</w:t>
      </w:r>
      <w:r>
        <w:rPr>
          <w:rFonts w:ascii="Lucida Sans Unicode"/>
          <w:color w:val="6D6E71"/>
          <w:spacing w:val="-29"/>
          <w:sz w:val="14"/>
        </w:rPr>
        <w:t> </w:t>
      </w:r>
      <w:r>
        <w:rPr>
          <w:rFonts w:ascii="Lucida Sans Unicode"/>
          <w:color w:val="6D6E71"/>
          <w:sz w:val="14"/>
        </w:rPr>
        <w:t>EL</w:t>
      </w:r>
      <w:r>
        <w:rPr>
          <w:rFonts w:ascii="Lucida Sans Unicode"/>
          <w:color w:val="6D6E71"/>
          <w:spacing w:val="-29"/>
          <w:sz w:val="14"/>
        </w:rPr>
        <w:t> </w:t>
      </w:r>
      <w:r>
        <w:rPr>
          <w:rFonts w:ascii="Lucida Sans Unicode"/>
          <w:color w:val="6D6E71"/>
          <w:sz w:val="14"/>
        </w:rPr>
        <w:t>VELIZ</w:t>
      </w:r>
      <w:r>
        <w:rPr>
          <w:rFonts w:ascii="Lucida Sans Unicode"/>
          <w:color w:val="6D6E71"/>
          <w:spacing w:val="-29"/>
          <w:sz w:val="14"/>
        </w:rPr>
        <w:t> </w:t>
      </w:r>
      <w:r>
        <w:rPr>
          <w:rFonts w:ascii="Lucida Sans Unicode"/>
          <w:color w:val="6D6E71"/>
          <w:sz w:val="14"/>
        </w:rPr>
        <w:t>AZUL.</w:t>
      </w:r>
      <w:r>
        <w:rPr>
          <w:rFonts w:ascii="Lucida Sans Unicode"/>
          <w:color w:val="6D6E71"/>
          <w:spacing w:val="-29"/>
          <w:sz w:val="14"/>
        </w:rPr>
        <w:t> </w:t>
      </w:r>
      <w:r>
        <w:rPr>
          <w:rFonts w:ascii="Lucida Sans Unicode"/>
          <w:color w:val="6D6E71"/>
          <w:sz w:val="14"/>
        </w:rPr>
        <w:t>RELATO</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VIDA</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RAFAEL,</w:t>
      </w:r>
      <w:r>
        <w:rPr>
          <w:rFonts w:ascii="Lucida Sans Unicode"/>
          <w:color w:val="6D6E71"/>
          <w:spacing w:val="-29"/>
          <w:sz w:val="14"/>
        </w:rPr>
        <w:t> </w:t>
      </w:r>
      <w:r>
        <w:rPr>
          <w:rFonts w:ascii="Lucida Sans Unicode"/>
          <w:color w:val="6D6E71"/>
          <w:sz w:val="14"/>
        </w:rPr>
        <w:t>UN</w:t>
      </w:r>
      <w:r>
        <w:rPr>
          <w:rFonts w:ascii="Lucida Sans Unicode"/>
          <w:color w:val="6D6E71"/>
          <w:spacing w:val="-29"/>
          <w:sz w:val="14"/>
        </w:rPr>
        <w:t> </w:t>
      </w:r>
      <w:r>
        <w:rPr>
          <w:rFonts w:ascii="Lucida Sans Unicode"/>
          <w:color w:val="6D6E71"/>
          <w:sz w:val="14"/>
        </w:rPr>
        <w:t>MIGRANTE</w:t>
      </w:r>
      <w:r>
        <w:rPr>
          <w:rFonts w:ascii="Lucida Sans Unicode"/>
          <w:color w:val="6D6E71"/>
          <w:spacing w:val="-29"/>
          <w:sz w:val="14"/>
        </w:rPr>
        <w:t> </w:t>
      </w:r>
      <w:r>
        <w:rPr>
          <w:rFonts w:ascii="Lucida Sans Unicode"/>
          <w:color w:val="6D6E71"/>
          <w:sz w:val="14"/>
        </w:rPr>
        <w:t>TONATIQUENSE</w:t>
      </w:r>
      <w:r>
        <w:rPr>
          <w:rFonts w:ascii="Arial"/>
          <w:color w:val="414042"/>
          <w:position w:val="-3"/>
          <w:sz w:val="20"/>
        </w:rPr>
        <w:tab/>
        <w:t>391</w:t>
      </w:r>
    </w:p>
    <w:p>
      <w:pPr>
        <w:pStyle w:val="BodyText"/>
        <w:rPr>
          <w:rFonts w:ascii="Arial"/>
          <w:sz w:val="18"/>
        </w:rPr>
      </w:pPr>
    </w:p>
    <w:p>
      <w:pPr>
        <w:pStyle w:val="BodyText"/>
        <w:rPr>
          <w:rFonts w:ascii="Arial"/>
          <w:sz w:val="18"/>
        </w:rPr>
      </w:pPr>
    </w:p>
    <w:p>
      <w:pPr>
        <w:pStyle w:val="BodyText"/>
        <w:spacing w:before="2"/>
        <w:rPr>
          <w:rFonts w:ascii="Arial"/>
          <w:sz w:val="19"/>
        </w:rPr>
      </w:pPr>
    </w:p>
    <w:p>
      <w:pPr>
        <w:spacing w:line="249" w:lineRule="auto" w:before="0"/>
        <w:ind w:left="2971" w:right="1721" w:firstLine="0"/>
        <w:jc w:val="both"/>
        <w:rPr>
          <w:rFonts w:ascii="Arial" w:hAnsi="Arial"/>
          <w:i/>
          <w:sz w:val="18"/>
        </w:rPr>
      </w:pPr>
      <w:r>
        <w:rPr>
          <w:rFonts w:ascii="Arial" w:hAnsi="Arial"/>
          <w:i/>
          <w:color w:val="231F20"/>
          <w:sz w:val="18"/>
        </w:rPr>
        <w:t>pasaran, pero desgraciadamente pasan. De mis siete hijos, seis están </w:t>
      </w:r>
      <w:r>
        <w:rPr>
          <w:rFonts w:ascii="Arial" w:hAnsi="Arial"/>
          <w:i/>
          <w:color w:val="231F20"/>
          <w:sz w:val="18"/>
        </w:rPr>
        <w:t>vivos.</w:t>
      </w:r>
      <w:r>
        <w:rPr>
          <w:rFonts w:ascii="Arial" w:hAnsi="Arial"/>
          <w:i/>
          <w:color w:val="231F20"/>
          <w:spacing w:val="-12"/>
          <w:sz w:val="18"/>
        </w:rPr>
        <w:t> </w:t>
      </w:r>
      <w:r>
        <w:rPr>
          <w:rFonts w:ascii="Arial" w:hAnsi="Arial"/>
          <w:i/>
          <w:color w:val="231F20"/>
          <w:sz w:val="18"/>
        </w:rPr>
        <w:t>Una</w:t>
      </w:r>
      <w:r>
        <w:rPr>
          <w:rFonts w:ascii="Arial" w:hAnsi="Arial"/>
          <w:i/>
          <w:color w:val="231F20"/>
          <w:spacing w:val="-6"/>
          <w:sz w:val="18"/>
        </w:rPr>
        <w:t> </w:t>
      </w:r>
      <w:r>
        <w:rPr>
          <w:rFonts w:ascii="Arial" w:hAnsi="Arial"/>
          <w:i/>
          <w:color w:val="231F20"/>
          <w:sz w:val="18"/>
        </w:rPr>
        <w:t>radica</w:t>
      </w:r>
      <w:r>
        <w:rPr>
          <w:rFonts w:ascii="Arial" w:hAnsi="Arial"/>
          <w:i/>
          <w:color w:val="231F20"/>
          <w:spacing w:val="-6"/>
          <w:sz w:val="18"/>
        </w:rPr>
        <w:t> </w:t>
      </w:r>
      <w:r>
        <w:rPr>
          <w:rFonts w:ascii="Arial" w:hAnsi="Arial"/>
          <w:i/>
          <w:color w:val="231F20"/>
          <w:sz w:val="18"/>
        </w:rPr>
        <w:t>en</w:t>
      </w:r>
      <w:r>
        <w:rPr>
          <w:rFonts w:ascii="Arial" w:hAnsi="Arial"/>
          <w:i/>
          <w:color w:val="231F20"/>
          <w:spacing w:val="-10"/>
          <w:sz w:val="18"/>
        </w:rPr>
        <w:t> </w:t>
      </w:r>
      <w:r>
        <w:rPr>
          <w:rFonts w:ascii="Arial" w:hAnsi="Arial"/>
          <w:i/>
          <w:color w:val="231F20"/>
          <w:spacing w:val="-3"/>
          <w:sz w:val="18"/>
        </w:rPr>
        <w:t>Tonatico,</w:t>
      </w:r>
      <w:r>
        <w:rPr>
          <w:rFonts w:ascii="Arial" w:hAnsi="Arial"/>
          <w:i/>
          <w:color w:val="231F20"/>
          <w:spacing w:val="-12"/>
          <w:sz w:val="18"/>
        </w:rPr>
        <w:t> </w:t>
      </w:r>
      <w:r>
        <w:rPr>
          <w:rFonts w:ascii="Arial" w:hAnsi="Arial"/>
          <w:i/>
          <w:color w:val="231F20"/>
          <w:sz w:val="18"/>
        </w:rPr>
        <w:t>dos</w:t>
      </w:r>
      <w:r>
        <w:rPr>
          <w:rFonts w:ascii="Arial" w:hAnsi="Arial"/>
          <w:i/>
          <w:color w:val="231F20"/>
          <w:spacing w:val="-6"/>
          <w:sz w:val="18"/>
        </w:rPr>
        <w:t> </w:t>
      </w:r>
      <w:r>
        <w:rPr>
          <w:rFonts w:ascii="Arial" w:hAnsi="Arial"/>
          <w:i/>
          <w:color w:val="231F20"/>
          <w:sz w:val="18"/>
        </w:rPr>
        <w:t>en</w:t>
      </w:r>
      <w:r>
        <w:rPr>
          <w:rFonts w:ascii="Arial" w:hAnsi="Arial"/>
          <w:i/>
          <w:color w:val="231F20"/>
          <w:spacing w:val="-6"/>
          <w:sz w:val="18"/>
        </w:rPr>
        <w:t> </w:t>
      </w:r>
      <w:r>
        <w:rPr>
          <w:rFonts w:ascii="Arial" w:hAnsi="Arial"/>
          <w:i/>
          <w:color w:val="231F20"/>
          <w:sz w:val="18"/>
        </w:rPr>
        <w:t>Zion,</w:t>
      </w:r>
      <w:r>
        <w:rPr>
          <w:rFonts w:ascii="Arial" w:hAnsi="Arial"/>
          <w:i/>
          <w:color w:val="231F20"/>
          <w:spacing w:val="-12"/>
          <w:sz w:val="18"/>
        </w:rPr>
        <w:t> </w:t>
      </w:r>
      <w:r>
        <w:rPr>
          <w:rFonts w:ascii="Arial" w:hAnsi="Arial"/>
          <w:i/>
          <w:color w:val="231F20"/>
          <w:sz w:val="18"/>
        </w:rPr>
        <w:t>Illinois,</w:t>
      </w:r>
      <w:r>
        <w:rPr>
          <w:rFonts w:ascii="Arial" w:hAnsi="Arial"/>
          <w:i/>
          <w:color w:val="231F20"/>
          <w:spacing w:val="-12"/>
          <w:sz w:val="18"/>
        </w:rPr>
        <w:t> </w:t>
      </w:r>
      <w:r>
        <w:rPr>
          <w:rFonts w:ascii="Arial" w:hAnsi="Arial"/>
          <w:i/>
          <w:color w:val="231F20"/>
          <w:sz w:val="18"/>
        </w:rPr>
        <w:t>dos</w:t>
      </w:r>
      <w:r>
        <w:rPr>
          <w:rFonts w:ascii="Arial" w:hAnsi="Arial"/>
          <w:i/>
          <w:color w:val="231F20"/>
          <w:spacing w:val="-6"/>
          <w:sz w:val="18"/>
        </w:rPr>
        <w:t> </w:t>
      </w:r>
      <w:r>
        <w:rPr>
          <w:rFonts w:ascii="Arial" w:hAnsi="Arial"/>
          <w:i/>
          <w:color w:val="231F20"/>
          <w:sz w:val="18"/>
        </w:rPr>
        <w:t>en</w:t>
      </w:r>
      <w:r>
        <w:rPr>
          <w:rFonts w:ascii="Arial" w:hAnsi="Arial"/>
          <w:i/>
          <w:color w:val="231F20"/>
          <w:spacing w:val="-8"/>
          <w:sz w:val="18"/>
        </w:rPr>
        <w:t> </w:t>
      </w:r>
      <w:r>
        <w:rPr>
          <w:rFonts w:ascii="Arial" w:hAnsi="Arial"/>
          <w:i/>
          <w:color w:val="231F20"/>
          <w:sz w:val="18"/>
        </w:rPr>
        <w:t>Waukegan,</w:t>
      </w:r>
      <w:r>
        <w:rPr>
          <w:rFonts w:ascii="Arial" w:hAnsi="Arial"/>
          <w:i/>
          <w:color w:val="231F20"/>
          <w:spacing w:val="-12"/>
          <w:sz w:val="18"/>
        </w:rPr>
        <w:t> </w:t>
      </w:r>
      <w:r>
        <w:rPr>
          <w:rFonts w:ascii="Arial" w:hAnsi="Arial"/>
          <w:i/>
          <w:color w:val="231F20"/>
          <w:sz w:val="18"/>
        </w:rPr>
        <w:t>Illi- nois, y una en Houston, </w:t>
      </w:r>
      <w:r>
        <w:rPr>
          <w:rFonts w:ascii="Arial" w:hAnsi="Arial"/>
          <w:i/>
          <w:color w:val="231F20"/>
          <w:spacing w:val="-4"/>
          <w:sz w:val="18"/>
        </w:rPr>
        <w:t>Texas. </w:t>
      </w:r>
      <w:r>
        <w:rPr>
          <w:rFonts w:ascii="Arial" w:hAnsi="Arial"/>
          <w:i/>
          <w:color w:val="231F20"/>
          <w:sz w:val="18"/>
        </w:rPr>
        <w:t>Jaime murió en Houston, pero lo trajimos para enterrarlo aquí en</w:t>
      </w:r>
      <w:r>
        <w:rPr>
          <w:rFonts w:ascii="Arial" w:hAnsi="Arial"/>
          <w:i/>
          <w:color w:val="231F20"/>
          <w:spacing w:val="31"/>
          <w:sz w:val="18"/>
        </w:rPr>
        <w:t> </w:t>
      </w:r>
      <w:r>
        <w:rPr>
          <w:rFonts w:ascii="Arial" w:hAnsi="Arial"/>
          <w:i/>
          <w:color w:val="231F20"/>
          <w:spacing w:val="-3"/>
          <w:sz w:val="18"/>
        </w:rPr>
        <w:t>Tonatico.</w:t>
      </w:r>
    </w:p>
    <w:p>
      <w:pPr>
        <w:spacing w:line="249" w:lineRule="auto" w:before="114"/>
        <w:ind w:left="2971" w:right="1716" w:firstLine="0"/>
        <w:jc w:val="both"/>
        <w:rPr>
          <w:rFonts w:ascii="Arial" w:hAnsi="Arial"/>
          <w:i/>
          <w:sz w:val="18"/>
        </w:rPr>
      </w:pPr>
      <w:r>
        <w:rPr>
          <w:rFonts w:ascii="Arial" w:hAnsi="Arial"/>
          <w:i/>
          <w:color w:val="231F20"/>
          <w:w w:val="105"/>
          <w:sz w:val="18"/>
        </w:rPr>
        <w:t>Mi hijo murió muy joven, tenía 42 años. Cuando le diagnosticaron el </w:t>
      </w:r>
      <w:r>
        <w:rPr>
          <w:rFonts w:ascii="Arial" w:hAnsi="Arial"/>
          <w:i/>
          <w:color w:val="231F20"/>
          <w:w w:val="105"/>
          <w:sz w:val="18"/>
        </w:rPr>
        <w:t>cáncer,</w:t>
      </w:r>
      <w:r>
        <w:rPr>
          <w:rFonts w:ascii="Arial" w:hAnsi="Arial"/>
          <w:i/>
          <w:color w:val="231F20"/>
          <w:spacing w:val="-21"/>
          <w:w w:val="105"/>
          <w:sz w:val="18"/>
        </w:rPr>
        <w:t> </w:t>
      </w:r>
      <w:r>
        <w:rPr>
          <w:rFonts w:ascii="Arial" w:hAnsi="Arial"/>
          <w:i/>
          <w:color w:val="231F20"/>
          <w:w w:val="105"/>
          <w:sz w:val="18"/>
        </w:rPr>
        <w:t>manejó</w:t>
      </w:r>
      <w:r>
        <w:rPr>
          <w:rFonts w:ascii="Arial" w:hAnsi="Arial"/>
          <w:i/>
          <w:color w:val="231F20"/>
          <w:spacing w:val="-18"/>
          <w:w w:val="105"/>
          <w:sz w:val="18"/>
        </w:rPr>
        <w:t> </w:t>
      </w:r>
      <w:r>
        <w:rPr>
          <w:rFonts w:ascii="Arial" w:hAnsi="Arial"/>
          <w:i/>
          <w:color w:val="231F20"/>
          <w:w w:val="105"/>
          <w:sz w:val="18"/>
        </w:rPr>
        <w:t>de</w:t>
      </w:r>
      <w:r>
        <w:rPr>
          <w:rFonts w:ascii="Arial" w:hAnsi="Arial"/>
          <w:i/>
          <w:color w:val="231F20"/>
          <w:spacing w:val="-18"/>
          <w:w w:val="105"/>
          <w:sz w:val="18"/>
        </w:rPr>
        <w:t> </w:t>
      </w:r>
      <w:r>
        <w:rPr>
          <w:rFonts w:ascii="Arial" w:hAnsi="Arial"/>
          <w:i/>
          <w:color w:val="231F20"/>
          <w:w w:val="105"/>
          <w:sz w:val="18"/>
        </w:rPr>
        <w:t>Houston</w:t>
      </w:r>
      <w:r>
        <w:rPr>
          <w:rFonts w:ascii="Arial" w:hAnsi="Arial"/>
          <w:i/>
          <w:color w:val="231F20"/>
          <w:spacing w:val="-18"/>
          <w:w w:val="105"/>
          <w:sz w:val="18"/>
        </w:rPr>
        <w:t> </w:t>
      </w:r>
      <w:r>
        <w:rPr>
          <w:rFonts w:ascii="Arial" w:hAnsi="Arial"/>
          <w:i/>
          <w:color w:val="231F20"/>
          <w:w w:val="105"/>
          <w:sz w:val="18"/>
        </w:rPr>
        <w:t>a</w:t>
      </w:r>
      <w:r>
        <w:rPr>
          <w:rFonts w:ascii="Arial" w:hAnsi="Arial"/>
          <w:i/>
          <w:color w:val="231F20"/>
          <w:spacing w:val="-19"/>
          <w:w w:val="105"/>
          <w:sz w:val="18"/>
        </w:rPr>
        <w:t> </w:t>
      </w:r>
      <w:r>
        <w:rPr>
          <w:rFonts w:ascii="Arial" w:hAnsi="Arial"/>
          <w:i/>
          <w:color w:val="231F20"/>
          <w:w w:val="105"/>
          <w:sz w:val="18"/>
        </w:rPr>
        <w:t>Waukegan</w:t>
      </w:r>
      <w:r>
        <w:rPr>
          <w:rFonts w:ascii="Arial" w:hAnsi="Arial"/>
          <w:i/>
          <w:color w:val="231F20"/>
          <w:spacing w:val="-18"/>
          <w:w w:val="105"/>
          <w:sz w:val="18"/>
        </w:rPr>
        <w:t> </w:t>
      </w:r>
      <w:r>
        <w:rPr>
          <w:rFonts w:ascii="Arial" w:hAnsi="Arial"/>
          <w:i/>
          <w:color w:val="231F20"/>
          <w:w w:val="105"/>
          <w:sz w:val="18"/>
        </w:rPr>
        <w:t>para</w:t>
      </w:r>
      <w:r>
        <w:rPr>
          <w:rFonts w:ascii="Arial" w:hAnsi="Arial"/>
          <w:i/>
          <w:color w:val="231F20"/>
          <w:spacing w:val="-18"/>
          <w:w w:val="105"/>
          <w:sz w:val="18"/>
        </w:rPr>
        <w:t> </w:t>
      </w:r>
      <w:r>
        <w:rPr>
          <w:rFonts w:ascii="Arial" w:hAnsi="Arial"/>
          <w:i/>
          <w:color w:val="231F20"/>
          <w:w w:val="105"/>
          <w:sz w:val="18"/>
        </w:rPr>
        <w:t>despedirse</w:t>
      </w:r>
      <w:r>
        <w:rPr>
          <w:rFonts w:ascii="Arial" w:hAnsi="Arial"/>
          <w:i/>
          <w:color w:val="231F20"/>
          <w:spacing w:val="-18"/>
          <w:w w:val="105"/>
          <w:sz w:val="18"/>
        </w:rPr>
        <w:t> </w:t>
      </w:r>
      <w:r>
        <w:rPr>
          <w:rFonts w:ascii="Arial" w:hAnsi="Arial"/>
          <w:i/>
          <w:color w:val="231F20"/>
          <w:w w:val="105"/>
          <w:sz w:val="18"/>
        </w:rPr>
        <w:t>de</w:t>
      </w:r>
      <w:r>
        <w:rPr>
          <w:rFonts w:ascii="Arial" w:hAnsi="Arial"/>
          <w:i/>
          <w:color w:val="231F20"/>
          <w:spacing w:val="-18"/>
          <w:w w:val="105"/>
          <w:sz w:val="18"/>
        </w:rPr>
        <w:t> </w:t>
      </w:r>
      <w:r>
        <w:rPr>
          <w:rFonts w:ascii="Arial" w:hAnsi="Arial"/>
          <w:i/>
          <w:color w:val="231F20"/>
          <w:w w:val="105"/>
          <w:sz w:val="18"/>
        </w:rPr>
        <w:t>todos</w:t>
      </w:r>
      <w:r>
        <w:rPr>
          <w:rFonts w:ascii="Arial" w:hAnsi="Arial"/>
          <w:i/>
          <w:color w:val="231F20"/>
          <w:spacing w:val="-18"/>
          <w:w w:val="105"/>
          <w:sz w:val="18"/>
        </w:rPr>
        <w:t> </w:t>
      </w:r>
      <w:r>
        <w:rPr>
          <w:rFonts w:ascii="Arial" w:hAnsi="Arial"/>
          <w:i/>
          <w:color w:val="231F20"/>
          <w:w w:val="105"/>
          <w:sz w:val="18"/>
        </w:rPr>
        <w:t>sus familiares</w:t>
      </w:r>
      <w:r>
        <w:rPr>
          <w:rFonts w:ascii="Arial" w:hAnsi="Arial"/>
          <w:i/>
          <w:color w:val="231F20"/>
          <w:spacing w:val="-22"/>
          <w:w w:val="105"/>
          <w:sz w:val="18"/>
        </w:rPr>
        <w:t> </w:t>
      </w:r>
      <w:r>
        <w:rPr>
          <w:rFonts w:ascii="Arial" w:hAnsi="Arial"/>
          <w:i/>
          <w:color w:val="231F20"/>
          <w:w w:val="105"/>
          <w:sz w:val="18"/>
        </w:rPr>
        <w:t>y</w:t>
      </w:r>
      <w:r>
        <w:rPr>
          <w:rFonts w:ascii="Arial" w:hAnsi="Arial"/>
          <w:i/>
          <w:color w:val="231F20"/>
          <w:spacing w:val="-22"/>
          <w:w w:val="105"/>
          <w:sz w:val="18"/>
        </w:rPr>
        <w:t> </w:t>
      </w:r>
      <w:r>
        <w:rPr>
          <w:rFonts w:ascii="Arial" w:hAnsi="Arial"/>
          <w:i/>
          <w:color w:val="231F20"/>
          <w:w w:val="105"/>
          <w:sz w:val="18"/>
        </w:rPr>
        <w:t>amigos.</w:t>
      </w:r>
      <w:r>
        <w:rPr>
          <w:rFonts w:ascii="Arial" w:hAnsi="Arial"/>
          <w:i/>
          <w:color w:val="231F20"/>
          <w:spacing w:val="-26"/>
          <w:w w:val="105"/>
          <w:sz w:val="18"/>
        </w:rPr>
        <w:t> </w:t>
      </w:r>
      <w:r>
        <w:rPr>
          <w:rFonts w:ascii="Arial" w:hAnsi="Arial"/>
          <w:i/>
          <w:color w:val="231F20"/>
          <w:w w:val="105"/>
          <w:sz w:val="18"/>
        </w:rPr>
        <w:t>Luego</w:t>
      </w:r>
      <w:r>
        <w:rPr>
          <w:rFonts w:ascii="Arial" w:hAnsi="Arial"/>
          <w:i/>
          <w:color w:val="231F20"/>
          <w:spacing w:val="-22"/>
          <w:w w:val="105"/>
          <w:sz w:val="18"/>
        </w:rPr>
        <w:t> </w:t>
      </w:r>
      <w:r>
        <w:rPr>
          <w:rFonts w:ascii="Arial" w:hAnsi="Arial"/>
          <w:i/>
          <w:color w:val="231F20"/>
          <w:w w:val="105"/>
          <w:sz w:val="18"/>
        </w:rPr>
        <w:t>entró</w:t>
      </w:r>
      <w:r>
        <w:rPr>
          <w:rFonts w:ascii="Arial" w:hAnsi="Arial"/>
          <w:i/>
          <w:color w:val="231F20"/>
          <w:spacing w:val="-22"/>
          <w:w w:val="105"/>
          <w:sz w:val="18"/>
        </w:rPr>
        <w:t> </w:t>
      </w:r>
      <w:r>
        <w:rPr>
          <w:rFonts w:ascii="Arial" w:hAnsi="Arial"/>
          <w:i/>
          <w:color w:val="231F20"/>
          <w:w w:val="105"/>
          <w:sz w:val="18"/>
        </w:rPr>
        <w:t>al</w:t>
      </w:r>
      <w:r>
        <w:rPr>
          <w:rFonts w:ascii="Arial" w:hAnsi="Arial"/>
          <w:i/>
          <w:color w:val="231F20"/>
          <w:spacing w:val="-22"/>
          <w:w w:val="105"/>
          <w:sz w:val="18"/>
        </w:rPr>
        <w:t> </w:t>
      </w:r>
      <w:r>
        <w:rPr>
          <w:rFonts w:ascii="Arial" w:hAnsi="Arial"/>
          <w:i/>
          <w:color w:val="231F20"/>
          <w:w w:val="105"/>
          <w:sz w:val="18"/>
        </w:rPr>
        <w:t>hospital,</w:t>
      </w:r>
      <w:r>
        <w:rPr>
          <w:rFonts w:ascii="Arial" w:hAnsi="Arial"/>
          <w:i/>
          <w:color w:val="231F20"/>
          <w:spacing w:val="-26"/>
          <w:w w:val="105"/>
          <w:sz w:val="18"/>
        </w:rPr>
        <w:t> </w:t>
      </w:r>
      <w:r>
        <w:rPr>
          <w:rFonts w:ascii="Arial" w:hAnsi="Arial"/>
          <w:i/>
          <w:color w:val="231F20"/>
          <w:w w:val="105"/>
          <w:sz w:val="18"/>
        </w:rPr>
        <w:t>pero</w:t>
      </w:r>
      <w:r>
        <w:rPr>
          <w:rFonts w:ascii="Arial" w:hAnsi="Arial"/>
          <w:i/>
          <w:color w:val="231F20"/>
          <w:spacing w:val="-22"/>
          <w:w w:val="105"/>
          <w:sz w:val="18"/>
        </w:rPr>
        <w:t> </w:t>
      </w:r>
      <w:r>
        <w:rPr>
          <w:rFonts w:ascii="Arial" w:hAnsi="Arial"/>
          <w:i/>
          <w:color w:val="231F20"/>
          <w:w w:val="105"/>
          <w:sz w:val="18"/>
        </w:rPr>
        <w:t>un</w:t>
      </w:r>
      <w:r>
        <w:rPr>
          <w:rFonts w:ascii="Arial" w:hAnsi="Arial"/>
          <w:i/>
          <w:color w:val="231F20"/>
          <w:spacing w:val="-22"/>
          <w:w w:val="105"/>
          <w:sz w:val="18"/>
        </w:rPr>
        <w:t> </w:t>
      </w:r>
      <w:r>
        <w:rPr>
          <w:rFonts w:ascii="Arial" w:hAnsi="Arial"/>
          <w:i/>
          <w:color w:val="231F20"/>
          <w:w w:val="105"/>
          <w:sz w:val="18"/>
        </w:rPr>
        <w:t>día</w:t>
      </w:r>
      <w:r>
        <w:rPr>
          <w:rFonts w:ascii="Arial" w:hAnsi="Arial"/>
          <w:i/>
          <w:color w:val="231F20"/>
          <w:spacing w:val="-22"/>
          <w:w w:val="105"/>
          <w:sz w:val="18"/>
        </w:rPr>
        <w:t> </w:t>
      </w:r>
      <w:r>
        <w:rPr>
          <w:rFonts w:ascii="Arial" w:hAnsi="Arial"/>
          <w:i/>
          <w:color w:val="231F20"/>
          <w:w w:val="105"/>
          <w:sz w:val="18"/>
        </w:rPr>
        <w:t>nos</w:t>
      </w:r>
      <w:r>
        <w:rPr>
          <w:rFonts w:ascii="Arial" w:hAnsi="Arial"/>
          <w:i/>
          <w:color w:val="231F20"/>
          <w:spacing w:val="-22"/>
          <w:w w:val="105"/>
          <w:sz w:val="18"/>
        </w:rPr>
        <w:t> </w:t>
      </w:r>
      <w:r>
        <w:rPr>
          <w:rFonts w:ascii="Arial" w:hAnsi="Arial"/>
          <w:i/>
          <w:color w:val="231F20"/>
          <w:w w:val="105"/>
          <w:sz w:val="18"/>
        </w:rPr>
        <w:t>dijeron</w:t>
      </w:r>
      <w:r>
        <w:rPr>
          <w:rFonts w:ascii="Arial" w:hAnsi="Arial"/>
          <w:i/>
          <w:color w:val="231F20"/>
          <w:spacing w:val="-22"/>
          <w:w w:val="105"/>
          <w:sz w:val="18"/>
        </w:rPr>
        <w:t> </w:t>
      </w:r>
      <w:r>
        <w:rPr>
          <w:rFonts w:ascii="Arial" w:hAnsi="Arial"/>
          <w:i/>
          <w:color w:val="231F20"/>
          <w:w w:val="105"/>
          <w:sz w:val="18"/>
        </w:rPr>
        <w:t>que ya</w:t>
      </w:r>
      <w:r>
        <w:rPr>
          <w:rFonts w:ascii="Arial" w:hAnsi="Arial"/>
          <w:i/>
          <w:color w:val="231F20"/>
          <w:spacing w:val="-10"/>
          <w:w w:val="105"/>
          <w:sz w:val="18"/>
        </w:rPr>
        <w:t> </w:t>
      </w:r>
      <w:r>
        <w:rPr>
          <w:rFonts w:ascii="Arial" w:hAnsi="Arial"/>
          <w:i/>
          <w:color w:val="231F20"/>
          <w:w w:val="105"/>
          <w:sz w:val="18"/>
        </w:rPr>
        <w:t>le</w:t>
      </w:r>
      <w:r>
        <w:rPr>
          <w:rFonts w:ascii="Arial" w:hAnsi="Arial"/>
          <w:i/>
          <w:color w:val="231F20"/>
          <w:spacing w:val="-10"/>
          <w:w w:val="105"/>
          <w:sz w:val="18"/>
        </w:rPr>
        <w:t> </w:t>
      </w:r>
      <w:r>
        <w:rPr>
          <w:rFonts w:ascii="Arial" w:hAnsi="Arial"/>
          <w:i/>
          <w:color w:val="231F20"/>
          <w:w w:val="105"/>
          <w:sz w:val="18"/>
        </w:rPr>
        <w:t>habían</w:t>
      </w:r>
      <w:r>
        <w:rPr>
          <w:rFonts w:ascii="Arial" w:hAnsi="Arial"/>
          <w:i/>
          <w:color w:val="231F20"/>
          <w:spacing w:val="-10"/>
          <w:w w:val="105"/>
          <w:sz w:val="18"/>
        </w:rPr>
        <w:t> </w:t>
      </w:r>
      <w:r>
        <w:rPr>
          <w:rFonts w:ascii="Arial" w:hAnsi="Arial"/>
          <w:i/>
          <w:color w:val="231F20"/>
          <w:w w:val="105"/>
          <w:sz w:val="18"/>
        </w:rPr>
        <w:t>hecho</w:t>
      </w:r>
      <w:r>
        <w:rPr>
          <w:rFonts w:ascii="Arial" w:hAnsi="Arial"/>
          <w:i/>
          <w:color w:val="231F20"/>
          <w:spacing w:val="-10"/>
          <w:w w:val="105"/>
          <w:sz w:val="18"/>
        </w:rPr>
        <w:t> </w:t>
      </w:r>
      <w:r>
        <w:rPr>
          <w:rFonts w:ascii="Arial" w:hAnsi="Arial"/>
          <w:i/>
          <w:color w:val="231F20"/>
          <w:w w:val="105"/>
          <w:sz w:val="18"/>
        </w:rPr>
        <w:t>todo</w:t>
      </w:r>
      <w:r>
        <w:rPr>
          <w:rFonts w:ascii="Arial" w:hAnsi="Arial"/>
          <w:i/>
          <w:color w:val="231F20"/>
          <w:spacing w:val="-10"/>
          <w:w w:val="105"/>
          <w:sz w:val="18"/>
        </w:rPr>
        <w:t> </w:t>
      </w:r>
      <w:r>
        <w:rPr>
          <w:rFonts w:ascii="Arial" w:hAnsi="Arial"/>
          <w:i/>
          <w:color w:val="231F20"/>
          <w:w w:val="105"/>
          <w:sz w:val="18"/>
        </w:rPr>
        <w:t>lo</w:t>
      </w:r>
      <w:r>
        <w:rPr>
          <w:rFonts w:ascii="Arial" w:hAnsi="Arial"/>
          <w:i/>
          <w:color w:val="231F20"/>
          <w:spacing w:val="-10"/>
          <w:w w:val="105"/>
          <w:sz w:val="18"/>
        </w:rPr>
        <w:t> </w:t>
      </w:r>
      <w:r>
        <w:rPr>
          <w:rFonts w:ascii="Arial" w:hAnsi="Arial"/>
          <w:i/>
          <w:color w:val="231F20"/>
          <w:w w:val="105"/>
          <w:sz w:val="18"/>
        </w:rPr>
        <w:t>que</w:t>
      </w:r>
      <w:r>
        <w:rPr>
          <w:rFonts w:ascii="Arial" w:hAnsi="Arial"/>
          <w:i/>
          <w:color w:val="231F20"/>
          <w:spacing w:val="-10"/>
          <w:w w:val="105"/>
          <w:sz w:val="18"/>
        </w:rPr>
        <w:t> </w:t>
      </w:r>
      <w:r>
        <w:rPr>
          <w:rFonts w:ascii="Arial" w:hAnsi="Arial"/>
          <w:i/>
          <w:color w:val="231F20"/>
          <w:w w:val="105"/>
          <w:sz w:val="18"/>
        </w:rPr>
        <w:t>le</w:t>
      </w:r>
      <w:r>
        <w:rPr>
          <w:rFonts w:ascii="Arial" w:hAnsi="Arial"/>
          <w:i/>
          <w:color w:val="231F20"/>
          <w:spacing w:val="-10"/>
          <w:w w:val="105"/>
          <w:sz w:val="18"/>
        </w:rPr>
        <w:t> </w:t>
      </w:r>
      <w:r>
        <w:rPr>
          <w:rFonts w:ascii="Arial" w:hAnsi="Arial"/>
          <w:i/>
          <w:color w:val="231F20"/>
          <w:w w:val="105"/>
          <w:sz w:val="18"/>
        </w:rPr>
        <w:t>podían</w:t>
      </w:r>
      <w:r>
        <w:rPr>
          <w:rFonts w:ascii="Arial" w:hAnsi="Arial"/>
          <w:i/>
          <w:color w:val="231F20"/>
          <w:spacing w:val="-10"/>
          <w:w w:val="105"/>
          <w:sz w:val="18"/>
        </w:rPr>
        <w:t> </w:t>
      </w:r>
      <w:r>
        <w:rPr>
          <w:rFonts w:ascii="Arial" w:hAnsi="Arial"/>
          <w:i/>
          <w:color w:val="231F20"/>
          <w:w w:val="105"/>
          <w:sz w:val="18"/>
        </w:rPr>
        <w:t>hacer,</w:t>
      </w:r>
      <w:r>
        <w:rPr>
          <w:rFonts w:ascii="Arial" w:hAnsi="Arial"/>
          <w:i/>
          <w:color w:val="231F20"/>
          <w:spacing w:val="-15"/>
          <w:w w:val="105"/>
          <w:sz w:val="18"/>
        </w:rPr>
        <w:t> </w:t>
      </w:r>
      <w:r>
        <w:rPr>
          <w:rFonts w:ascii="Arial" w:hAnsi="Arial"/>
          <w:i/>
          <w:color w:val="231F20"/>
          <w:w w:val="105"/>
          <w:sz w:val="18"/>
        </w:rPr>
        <w:t>y</w:t>
      </w:r>
      <w:r>
        <w:rPr>
          <w:rFonts w:ascii="Arial" w:hAnsi="Arial"/>
          <w:i/>
          <w:color w:val="231F20"/>
          <w:spacing w:val="-10"/>
          <w:w w:val="105"/>
          <w:sz w:val="18"/>
        </w:rPr>
        <w:t> </w:t>
      </w:r>
      <w:r>
        <w:rPr>
          <w:rFonts w:ascii="Arial" w:hAnsi="Arial"/>
          <w:i/>
          <w:color w:val="231F20"/>
          <w:w w:val="105"/>
          <w:sz w:val="18"/>
        </w:rPr>
        <w:t>que</w:t>
      </w:r>
      <w:r>
        <w:rPr>
          <w:rFonts w:ascii="Arial" w:hAnsi="Arial"/>
          <w:i/>
          <w:color w:val="231F20"/>
          <w:spacing w:val="-10"/>
          <w:w w:val="105"/>
          <w:sz w:val="18"/>
        </w:rPr>
        <w:t> </w:t>
      </w:r>
      <w:r>
        <w:rPr>
          <w:rFonts w:ascii="Arial" w:hAnsi="Arial"/>
          <w:i/>
          <w:color w:val="231F20"/>
          <w:w w:val="105"/>
          <w:sz w:val="18"/>
        </w:rPr>
        <w:t>lo</w:t>
      </w:r>
      <w:r>
        <w:rPr>
          <w:rFonts w:ascii="Arial" w:hAnsi="Arial"/>
          <w:i/>
          <w:color w:val="231F20"/>
          <w:spacing w:val="-10"/>
          <w:w w:val="105"/>
          <w:sz w:val="18"/>
        </w:rPr>
        <w:t> </w:t>
      </w:r>
      <w:r>
        <w:rPr>
          <w:rFonts w:ascii="Arial" w:hAnsi="Arial"/>
          <w:i/>
          <w:color w:val="231F20"/>
          <w:w w:val="105"/>
          <w:sz w:val="18"/>
        </w:rPr>
        <w:t>mejor</w:t>
      </w:r>
      <w:r>
        <w:rPr>
          <w:rFonts w:ascii="Arial" w:hAnsi="Arial"/>
          <w:i/>
          <w:color w:val="231F20"/>
          <w:spacing w:val="-10"/>
          <w:w w:val="105"/>
          <w:sz w:val="18"/>
        </w:rPr>
        <w:t> </w:t>
      </w:r>
      <w:r>
        <w:rPr>
          <w:rFonts w:ascii="Arial" w:hAnsi="Arial"/>
          <w:i/>
          <w:color w:val="231F20"/>
          <w:w w:val="105"/>
          <w:sz w:val="18"/>
        </w:rPr>
        <w:t>era</w:t>
      </w:r>
      <w:r>
        <w:rPr>
          <w:rFonts w:ascii="Arial" w:hAnsi="Arial"/>
          <w:i/>
          <w:color w:val="231F20"/>
          <w:spacing w:val="-10"/>
          <w:w w:val="105"/>
          <w:sz w:val="18"/>
        </w:rPr>
        <w:t> </w:t>
      </w:r>
      <w:r>
        <w:rPr>
          <w:rFonts w:ascii="Arial" w:hAnsi="Arial"/>
          <w:i/>
          <w:color w:val="231F20"/>
          <w:w w:val="105"/>
          <w:sz w:val="18"/>
        </w:rPr>
        <w:t>que estuviera</w:t>
      </w:r>
      <w:r>
        <w:rPr>
          <w:rFonts w:ascii="Arial" w:hAnsi="Arial"/>
          <w:i/>
          <w:color w:val="231F20"/>
          <w:spacing w:val="-26"/>
          <w:w w:val="105"/>
          <w:sz w:val="18"/>
        </w:rPr>
        <w:t> </w:t>
      </w:r>
      <w:r>
        <w:rPr>
          <w:rFonts w:ascii="Arial" w:hAnsi="Arial"/>
          <w:i/>
          <w:color w:val="231F20"/>
          <w:w w:val="105"/>
          <w:sz w:val="18"/>
        </w:rPr>
        <w:t>con</w:t>
      </w:r>
      <w:r>
        <w:rPr>
          <w:rFonts w:ascii="Arial" w:hAnsi="Arial"/>
          <w:i/>
          <w:color w:val="231F20"/>
          <w:spacing w:val="-26"/>
          <w:w w:val="105"/>
          <w:sz w:val="18"/>
        </w:rPr>
        <w:t> </w:t>
      </w:r>
      <w:r>
        <w:rPr>
          <w:rFonts w:ascii="Arial" w:hAnsi="Arial"/>
          <w:i/>
          <w:color w:val="231F20"/>
          <w:w w:val="105"/>
          <w:sz w:val="18"/>
        </w:rPr>
        <w:t>nosotros</w:t>
      </w:r>
      <w:r>
        <w:rPr>
          <w:rFonts w:ascii="Arial" w:hAnsi="Arial"/>
          <w:i/>
          <w:color w:val="231F20"/>
          <w:spacing w:val="-26"/>
          <w:w w:val="105"/>
          <w:sz w:val="18"/>
        </w:rPr>
        <w:t> </w:t>
      </w:r>
      <w:r>
        <w:rPr>
          <w:rFonts w:ascii="Arial" w:hAnsi="Arial"/>
          <w:i/>
          <w:color w:val="231F20"/>
          <w:w w:val="105"/>
          <w:sz w:val="18"/>
        </w:rPr>
        <w:t>en</w:t>
      </w:r>
      <w:r>
        <w:rPr>
          <w:rFonts w:ascii="Arial" w:hAnsi="Arial"/>
          <w:i/>
          <w:color w:val="231F20"/>
          <w:spacing w:val="-26"/>
          <w:w w:val="105"/>
          <w:sz w:val="18"/>
        </w:rPr>
        <w:t> </w:t>
      </w:r>
      <w:r>
        <w:rPr>
          <w:rFonts w:ascii="Arial" w:hAnsi="Arial"/>
          <w:i/>
          <w:color w:val="231F20"/>
          <w:w w:val="105"/>
          <w:sz w:val="18"/>
        </w:rPr>
        <w:t>casa.</w:t>
      </w:r>
      <w:r>
        <w:rPr>
          <w:rFonts w:ascii="Arial" w:hAnsi="Arial"/>
          <w:i/>
          <w:color w:val="231F20"/>
          <w:spacing w:val="-30"/>
          <w:w w:val="105"/>
          <w:sz w:val="18"/>
        </w:rPr>
        <w:t> </w:t>
      </w:r>
      <w:r>
        <w:rPr>
          <w:rFonts w:ascii="Arial" w:hAnsi="Arial"/>
          <w:i/>
          <w:color w:val="231F20"/>
          <w:w w:val="105"/>
          <w:sz w:val="18"/>
        </w:rPr>
        <w:t>Luego</w:t>
      </w:r>
      <w:r>
        <w:rPr>
          <w:rFonts w:ascii="Arial" w:hAnsi="Arial"/>
          <w:i/>
          <w:color w:val="231F20"/>
          <w:spacing w:val="-26"/>
          <w:w w:val="105"/>
          <w:sz w:val="18"/>
        </w:rPr>
        <w:t> </w:t>
      </w:r>
      <w:r>
        <w:rPr>
          <w:rFonts w:ascii="Arial" w:hAnsi="Arial"/>
          <w:i/>
          <w:color w:val="231F20"/>
          <w:w w:val="105"/>
          <w:sz w:val="18"/>
        </w:rPr>
        <w:t>de</w:t>
      </w:r>
      <w:r>
        <w:rPr>
          <w:rFonts w:ascii="Arial" w:hAnsi="Arial"/>
          <w:i/>
          <w:color w:val="231F20"/>
          <w:spacing w:val="-26"/>
          <w:w w:val="105"/>
          <w:sz w:val="18"/>
        </w:rPr>
        <w:t> </w:t>
      </w:r>
      <w:r>
        <w:rPr>
          <w:rFonts w:ascii="Arial" w:hAnsi="Arial"/>
          <w:i/>
          <w:color w:val="231F20"/>
          <w:w w:val="105"/>
          <w:sz w:val="18"/>
        </w:rPr>
        <w:t>tres</w:t>
      </w:r>
      <w:r>
        <w:rPr>
          <w:rFonts w:ascii="Arial" w:hAnsi="Arial"/>
          <w:i/>
          <w:color w:val="231F20"/>
          <w:spacing w:val="-26"/>
          <w:w w:val="105"/>
          <w:sz w:val="18"/>
        </w:rPr>
        <w:t> </w:t>
      </w:r>
      <w:r>
        <w:rPr>
          <w:rFonts w:ascii="Arial" w:hAnsi="Arial"/>
          <w:i/>
          <w:color w:val="231F20"/>
          <w:w w:val="105"/>
          <w:sz w:val="18"/>
        </w:rPr>
        <w:t>meses</w:t>
      </w:r>
      <w:r>
        <w:rPr>
          <w:rFonts w:ascii="Arial" w:hAnsi="Arial"/>
          <w:i/>
          <w:color w:val="231F20"/>
          <w:spacing w:val="-26"/>
          <w:w w:val="105"/>
          <w:sz w:val="18"/>
        </w:rPr>
        <w:t> </w:t>
      </w:r>
      <w:r>
        <w:rPr>
          <w:rFonts w:ascii="Arial" w:hAnsi="Arial"/>
          <w:i/>
          <w:color w:val="231F20"/>
          <w:w w:val="105"/>
          <w:sz w:val="18"/>
        </w:rPr>
        <w:t>y</w:t>
      </w:r>
      <w:r>
        <w:rPr>
          <w:rFonts w:ascii="Arial" w:hAnsi="Arial"/>
          <w:i/>
          <w:color w:val="231F20"/>
          <w:spacing w:val="-26"/>
          <w:w w:val="105"/>
          <w:sz w:val="18"/>
        </w:rPr>
        <w:t> </w:t>
      </w:r>
      <w:r>
        <w:rPr>
          <w:rFonts w:ascii="Arial" w:hAnsi="Arial"/>
          <w:i/>
          <w:color w:val="231F20"/>
          <w:w w:val="105"/>
          <w:sz w:val="18"/>
        </w:rPr>
        <w:t>muchos</w:t>
      </w:r>
      <w:r>
        <w:rPr>
          <w:rFonts w:ascii="Arial" w:hAnsi="Arial"/>
          <w:i/>
          <w:color w:val="231F20"/>
          <w:spacing w:val="-26"/>
          <w:w w:val="105"/>
          <w:sz w:val="18"/>
        </w:rPr>
        <w:t> </w:t>
      </w:r>
      <w:r>
        <w:rPr>
          <w:rFonts w:ascii="Arial" w:hAnsi="Arial"/>
          <w:i/>
          <w:color w:val="231F20"/>
          <w:w w:val="105"/>
          <w:sz w:val="18"/>
        </w:rPr>
        <w:t>dolores, una</w:t>
      </w:r>
      <w:r>
        <w:rPr>
          <w:rFonts w:ascii="Arial" w:hAnsi="Arial"/>
          <w:i/>
          <w:color w:val="231F20"/>
          <w:spacing w:val="-10"/>
          <w:w w:val="105"/>
          <w:sz w:val="18"/>
        </w:rPr>
        <w:t> </w:t>
      </w:r>
      <w:r>
        <w:rPr>
          <w:rFonts w:ascii="Arial" w:hAnsi="Arial"/>
          <w:i/>
          <w:color w:val="231F20"/>
          <w:w w:val="105"/>
          <w:sz w:val="18"/>
        </w:rPr>
        <w:t>tarde</w:t>
      </w:r>
      <w:r>
        <w:rPr>
          <w:rFonts w:ascii="Arial" w:hAnsi="Arial"/>
          <w:i/>
          <w:color w:val="231F20"/>
          <w:spacing w:val="-10"/>
          <w:w w:val="105"/>
          <w:sz w:val="18"/>
        </w:rPr>
        <w:t> </w:t>
      </w:r>
      <w:r>
        <w:rPr>
          <w:rFonts w:ascii="Arial" w:hAnsi="Arial"/>
          <w:i/>
          <w:color w:val="231F20"/>
          <w:w w:val="105"/>
          <w:sz w:val="18"/>
        </w:rPr>
        <w:t>estábamos</w:t>
      </w:r>
      <w:r>
        <w:rPr>
          <w:rFonts w:ascii="Arial" w:hAnsi="Arial"/>
          <w:i/>
          <w:color w:val="231F20"/>
          <w:spacing w:val="-10"/>
          <w:w w:val="105"/>
          <w:sz w:val="18"/>
        </w:rPr>
        <w:t> </w:t>
      </w:r>
      <w:r>
        <w:rPr>
          <w:rFonts w:ascii="Arial" w:hAnsi="Arial"/>
          <w:i/>
          <w:color w:val="231F20"/>
          <w:w w:val="105"/>
          <w:sz w:val="18"/>
        </w:rPr>
        <w:t>su</w:t>
      </w:r>
      <w:r>
        <w:rPr>
          <w:rFonts w:ascii="Arial" w:hAnsi="Arial"/>
          <w:i/>
          <w:color w:val="231F20"/>
          <w:spacing w:val="-10"/>
          <w:w w:val="105"/>
          <w:sz w:val="18"/>
        </w:rPr>
        <w:t> </w:t>
      </w:r>
      <w:r>
        <w:rPr>
          <w:rFonts w:ascii="Arial" w:hAnsi="Arial"/>
          <w:i/>
          <w:color w:val="231F20"/>
          <w:w w:val="105"/>
          <w:sz w:val="18"/>
        </w:rPr>
        <w:t>esposa,</w:t>
      </w:r>
      <w:r>
        <w:rPr>
          <w:rFonts w:ascii="Arial" w:hAnsi="Arial"/>
          <w:i/>
          <w:color w:val="231F20"/>
          <w:spacing w:val="-14"/>
          <w:w w:val="105"/>
          <w:sz w:val="18"/>
        </w:rPr>
        <w:t> </w:t>
      </w:r>
      <w:r>
        <w:rPr>
          <w:rFonts w:ascii="Arial" w:hAnsi="Arial"/>
          <w:i/>
          <w:color w:val="231F20"/>
          <w:w w:val="105"/>
          <w:sz w:val="18"/>
        </w:rPr>
        <w:t>su</w:t>
      </w:r>
      <w:r>
        <w:rPr>
          <w:rFonts w:ascii="Arial" w:hAnsi="Arial"/>
          <w:i/>
          <w:color w:val="231F20"/>
          <w:spacing w:val="-10"/>
          <w:w w:val="105"/>
          <w:sz w:val="18"/>
        </w:rPr>
        <w:t> </w:t>
      </w:r>
      <w:r>
        <w:rPr>
          <w:rFonts w:ascii="Arial" w:hAnsi="Arial"/>
          <w:i/>
          <w:color w:val="231F20"/>
          <w:w w:val="105"/>
          <w:sz w:val="18"/>
        </w:rPr>
        <w:t>mamá</w:t>
      </w:r>
      <w:r>
        <w:rPr>
          <w:rFonts w:ascii="Arial" w:hAnsi="Arial"/>
          <w:i/>
          <w:color w:val="231F20"/>
          <w:spacing w:val="-10"/>
          <w:w w:val="105"/>
          <w:sz w:val="18"/>
        </w:rPr>
        <w:t> </w:t>
      </w:r>
      <w:r>
        <w:rPr>
          <w:rFonts w:ascii="Arial" w:hAnsi="Arial"/>
          <w:i/>
          <w:color w:val="231F20"/>
          <w:w w:val="105"/>
          <w:sz w:val="18"/>
        </w:rPr>
        <w:t>y</w:t>
      </w:r>
      <w:r>
        <w:rPr>
          <w:rFonts w:ascii="Arial" w:hAnsi="Arial"/>
          <w:i/>
          <w:color w:val="231F20"/>
          <w:spacing w:val="-10"/>
          <w:w w:val="105"/>
          <w:sz w:val="18"/>
        </w:rPr>
        <w:t> </w:t>
      </w:r>
      <w:r>
        <w:rPr>
          <w:rFonts w:ascii="Arial" w:hAnsi="Arial"/>
          <w:i/>
          <w:color w:val="231F20"/>
          <w:w w:val="105"/>
          <w:sz w:val="18"/>
        </w:rPr>
        <w:t>yo</w:t>
      </w:r>
      <w:r>
        <w:rPr>
          <w:rFonts w:ascii="Arial" w:hAnsi="Arial"/>
          <w:i/>
          <w:color w:val="231F20"/>
          <w:spacing w:val="-10"/>
          <w:w w:val="105"/>
          <w:sz w:val="18"/>
        </w:rPr>
        <w:t> </w:t>
      </w:r>
      <w:r>
        <w:rPr>
          <w:rFonts w:ascii="Arial" w:hAnsi="Arial"/>
          <w:i/>
          <w:color w:val="231F20"/>
          <w:w w:val="105"/>
          <w:sz w:val="18"/>
        </w:rPr>
        <w:t>platicando</w:t>
      </w:r>
      <w:r>
        <w:rPr>
          <w:rFonts w:ascii="Arial" w:hAnsi="Arial"/>
          <w:i/>
          <w:color w:val="231F20"/>
          <w:spacing w:val="-10"/>
          <w:w w:val="105"/>
          <w:sz w:val="18"/>
        </w:rPr>
        <w:t> </w:t>
      </w:r>
      <w:r>
        <w:rPr>
          <w:rFonts w:ascii="Arial" w:hAnsi="Arial"/>
          <w:i/>
          <w:color w:val="231F20"/>
          <w:w w:val="105"/>
          <w:sz w:val="18"/>
        </w:rPr>
        <w:t>con</w:t>
      </w:r>
      <w:r>
        <w:rPr>
          <w:rFonts w:ascii="Arial" w:hAnsi="Arial"/>
          <w:i/>
          <w:color w:val="231F20"/>
          <w:spacing w:val="-10"/>
          <w:w w:val="105"/>
          <w:sz w:val="18"/>
        </w:rPr>
        <w:t> </w:t>
      </w:r>
      <w:r>
        <w:rPr>
          <w:rFonts w:ascii="Arial" w:hAnsi="Arial"/>
          <w:i/>
          <w:color w:val="231F20"/>
          <w:w w:val="105"/>
          <w:sz w:val="18"/>
        </w:rPr>
        <w:t>él</w:t>
      </w:r>
      <w:r>
        <w:rPr>
          <w:rFonts w:ascii="Arial" w:hAnsi="Arial"/>
          <w:i/>
          <w:color w:val="231F20"/>
          <w:spacing w:val="-10"/>
          <w:w w:val="105"/>
          <w:sz w:val="18"/>
        </w:rPr>
        <w:t> </w:t>
      </w:r>
      <w:r>
        <w:rPr>
          <w:rFonts w:ascii="Arial" w:hAnsi="Arial"/>
          <w:i/>
          <w:color w:val="231F20"/>
          <w:w w:val="105"/>
          <w:sz w:val="18"/>
        </w:rPr>
        <w:t>en</w:t>
      </w:r>
      <w:r>
        <w:rPr>
          <w:rFonts w:ascii="Arial" w:hAnsi="Arial"/>
          <w:i/>
          <w:color w:val="231F20"/>
          <w:spacing w:val="-10"/>
          <w:w w:val="105"/>
          <w:sz w:val="18"/>
        </w:rPr>
        <w:t> </w:t>
      </w:r>
      <w:r>
        <w:rPr>
          <w:rFonts w:ascii="Arial" w:hAnsi="Arial"/>
          <w:i/>
          <w:color w:val="231F20"/>
          <w:w w:val="105"/>
          <w:sz w:val="18"/>
        </w:rPr>
        <w:t>la sala</w:t>
      </w:r>
      <w:r>
        <w:rPr>
          <w:rFonts w:ascii="Arial" w:hAnsi="Arial"/>
          <w:i/>
          <w:color w:val="231F20"/>
          <w:spacing w:val="-16"/>
          <w:w w:val="105"/>
          <w:sz w:val="18"/>
        </w:rPr>
        <w:t> </w:t>
      </w:r>
      <w:r>
        <w:rPr>
          <w:rFonts w:ascii="Arial" w:hAnsi="Arial"/>
          <w:i/>
          <w:color w:val="231F20"/>
          <w:w w:val="105"/>
          <w:sz w:val="18"/>
        </w:rPr>
        <w:t>de</w:t>
      </w:r>
      <w:r>
        <w:rPr>
          <w:rFonts w:ascii="Arial" w:hAnsi="Arial"/>
          <w:i/>
          <w:color w:val="231F20"/>
          <w:spacing w:val="-16"/>
          <w:w w:val="105"/>
          <w:sz w:val="18"/>
        </w:rPr>
        <w:t> </w:t>
      </w:r>
      <w:r>
        <w:rPr>
          <w:rFonts w:ascii="Arial" w:hAnsi="Arial"/>
          <w:i/>
          <w:color w:val="231F20"/>
          <w:w w:val="105"/>
          <w:sz w:val="18"/>
        </w:rPr>
        <w:t>su</w:t>
      </w:r>
      <w:r>
        <w:rPr>
          <w:rFonts w:ascii="Arial" w:hAnsi="Arial"/>
          <w:i/>
          <w:color w:val="231F20"/>
          <w:spacing w:val="-16"/>
          <w:w w:val="105"/>
          <w:sz w:val="18"/>
        </w:rPr>
        <w:t> </w:t>
      </w:r>
      <w:r>
        <w:rPr>
          <w:rFonts w:ascii="Arial" w:hAnsi="Arial"/>
          <w:i/>
          <w:color w:val="231F20"/>
          <w:w w:val="105"/>
          <w:sz w:val="18"/>
        </w:rPr>
        <w:t>casa,</w:t>
      </w:r>
      <w:r>
        <w:rPr>
          <w:rFonts w:ascii="Arial" w:hAnsi="Arial"/>
          <w:i/>
          <w:color w:val="231F20"/>
          <w:spacing w:val="-20"/>
          <w:w w:val="105"/>
          <w:sz w:val="18"/>
        </w:rPr>
        <w:t> </w:t>
      </w:r>
      <w:r>
        <w:rPr>
          <w:rFonts w:ascii="Arial" w:hAnsi="Arial"/>
          <w:i/>
          <w:color w:val="231F20"/>
          <w:w w:val="105"/>
          <w:sz w:val="18"/>
        </w:rPr>
        <w:t>en</w:t>
      </w:r>
      <w:r>
        <w:rPr>
          <w:rFonts w:ascii="Arial" w:hAnsi="Arial"/>
          <w:i/>
          <w:color w:val="231F20"/>
          <w:spacing w:val="-16"/>
          <w:w w:val="105"/>
          <w:sz w:val="18"/>
        </w:rPr>
        <w:t> </w:t>
      </w:r>
      <w:r>
        <w:rPr>
          <w:rFonts w:ascii="Arial" w:hAnsi="Arial"/>
          <w:i/>
          <w:color w:val="231F20"/>
          <w:w w:val="105"/>
          <w:sz w:val="18"/>
        </w:rPr>
        <w:t>Houston.</w:t>
      </w:r>
      <w:r>
        <w:rPr>
          <w:rFonts w:ascii="Arial" w:hAnsi="Arial"/>
          <w:i/>
          <w:color w:val="231F20"/>
          <w:spacing w:val="-20"/>
          <w:w w:val="105"/>
          <w:sz w:val="18"/>
        </w:rPr>
        <w:t> </w:t>
      </w:r>
      <w:r>
        <w:rPr>
          <w:rFonts w:ascii="Arial" w:hAnsi="Arial"/>
          <w:i/>
          <w:color w:val="231F20"/>
          <w:w w:val="105"/>
          <w:sz w:val="18"/>
        </w:rPr>
        <w:t>Pidió</w:t>
      </w:r>
      <w:r>
        <w:rPr>
          <w:rFonts w:ascii="Arial" w:hAnsi="Arial"/>
          <w:i/>
          <w:color w:val="231F20"/>
          <w:spacing w:val="-16"/>
          <w:w w:val="105"/>
          <w:sz w:val="18"/>
        </w:rPr>
        <w:t> </w:t>
      </w:r>
      <w:r>
        <w:rPr>
          <w:rFonts w:ascii="Arial" w:hAnsi="Arial"/>
          <w:i/>
          <w:color w:val="231F20"/>
          <w:w w:val="105"/>
          <w:sz w:val="18"/>
        </w:rPr>
        <w:t>un</w:t>
      </w:r>
      <w:r>
        <w:rPr>
          <w:rFonts w:ascii="Arial" w:hAnsi="Arial"/>
          <w:i/>
          <w:color w:val="231F20"/>
          <w:spacing w:val="-16"/>
          <w:w w:val="105"/>
          <w:sz w:val="18"/>
        </w:rPr>
        <w:t> </w:t>
      </w:r>
      <w:r>
        <w:rPr>
          <w:rFonts w:ascii="Arial" w:hAnsi="Arial"/>
          <w:i/>
          <w:color w:val="231F20"/>
          <w:w w:val="105"/>
          <w:sz w:val="18"/>
        </w:rPr>
        <w:t>vasito</w:t>
      </w:r>
      <w:r>
        <w:rPr>
          <w:rFonts w:ascii="Arial" w:hAnsi="Arial"/>
          <w:i/>
          <w:color w:val="231F20"/>
          <w:spacing w:val="-16"/>
          <w:w w:val="105"/>
          <w:sz w:val="18"/>
        </w:rPr>
        <w:t> </w:t>
      </w:r>
      <w:r>
        <w:rPr>
          <w:rFonts w:ascii="Arial" w:hAnsi="Arial"/>
          <w:i/>
          <w:color w:val="231F20"/>
          <w:w w:val="105"/>
          <w:sz w:val="18"/>
        </w:rPr>
        <w:t>con</w:t>
      </w:r>
      <w:r>
        <w:rPr>
          <w:rFonts w:ascii="Arial" w:hAnsi="Arial"/>
          <w:i/>
          <w:color w:val="231F20"/>
          <w:spacing w:val="-16"/>
          <w:w w:val="105"/>
          <w:sz w:val="18"/>
        </w:rPr>
        <w:t> </w:t>
      </w:r>
      <w:r>
        <w:rPr>
          <w:rFonts w:ascii="Arial" w:hAnsi="Arial"/>
          <w:i/>
          <w:color w:val="231F20"/>
          <w:w w:val="105"/>
          <w:sz w:val="18"/>
        </w:rPr>
        <w:t>agua,</w:t>
      </w:r>
      <w:r>
        <w:rPr>
          <w:rFonts w:ascii="Arial" w:hAnsi="Arial"/>
          <w:i/>
          <w:color w:val="231F20"/>
          <w:spacing w:val="-20"/>
          <w:w w:val="105"/>
          <w:sz w:val="18"/>
        </w:rPr>
        <w:t> </w:t>
      </w:r>
      <w:r>
        <w:rPr>
          <w:rFonts w:ascii="Arial" w:hAnsi="Arial"/>
          <w:i/>
          <w:color w:val="231F20"/>
          <w:w w:val="105"/>
          <w:sz w:val="18"/>
        </w:rPr>
        <w:t>se</w:t>
      </w:r>
      <w:r>
        <w:rPr>
          <w:rFonts w:ascii="Arial" w:hAnsi="Arial"/>
          <w:i/>
          <w:color w:val="231F20"/>
          <w:spacing w:val="-16"/>
          <w:w w:val="105"/>
          <w:sz w:val="18"/>
        </w:rPr>
        <w:t> </w:t>
      </w:r>
      <w:r>
        <w:rPr>
          <w:rFonts w:ascii="Arial" w:hAnsi="Arial"/>
          <w:i/>
          <w:color w:val="231F20"/>
          <w:w w:val="105"/>
          <w:sz w:val="18"/>
        </w:rPr>
        <w:t>recargó</w:t>
      </w:r>
      <w:r>
        <w:rPr>
          <w:rFonts w:ascii="Arial" w:hAnsi="Arial"/>
          <w:i/>
          <w:color w:val="231F20"/>
          <w:spacing w:val="-16"/>
          <w:w w:val="105"/>
          <w:sz w:val="18"/>
        </w:rPr>
        <w:t> </w:t>
      </w:r>
      <w:r>
        <w:rPr>
          <w:rFonts w:ascii="Arial" w:hAnsi="Arial"/>
          <w:i/>
          <w:color w:val="231F20"/>
          <w:w w:val="105"/>
          <w:sz w:val="18"/>
        </w:rPr>
        <w:t>en</w:t>
      </w:r>
      <w:r>
        <w:rPr>
          <w:rFonts w:ascii="Arial" w:hAnsi="Arial"/>
          <w:i/>
          <w:color w:val="231F20"/>
          <w:spacing w:val="-16"/>
          <w:w w:val="105"/>
          <w:sz w:val="18"/>
        </w:rPr>
        <w:t> </w:t>
      </w:r>
      <w:r>
        <w:rPr>
          <w:rFonts w:ascii="Arial" w:hAnsi="Arial"/>
          <w:i/>
          <w:color w:val="231F20"/>
          <w:w w:val="105"/>
          <w:sz w:val="18"/>
        </w:rPr>
        <w:t>el hombro</w:t>
      </w:r>
      <w:r>
        <w:rPr>
          <w:rFonts w:ascii="Arial" w:hAnsi="Arial"/>
          <w:i/>
          <w:color w:val="231F20"/>
          <w:spacing w:val="-6"/>
          <w:w w:val="105"/>
          <w:sz w:val="18"/>
        </w:rPr>
        <w:t> </w:t>
      </w:r>
      <w:r>
        <w:rPr>
          <w:rFonts w:ascii="Arial" w:hAnsi="Arial"/>
          <w:i/>
          <w:color w:val="231F20"/>
          <w:w w:val="105"/>
          <w:sz w:val="18"/>
        </w:rPr>
        <w:t>de</w:t>
      </w:r>
      <w:r>
        <w:rPr>
          <w:rFonts w:ascii="Arial" w:hAnsi="Arial"/>
          <w:i/>
          <w:color w:val="231F20"/>
          <w:spacing w:val="-6"/>
          <w:w w:val="105"/>
          <w:sz w:val="18"/>
        </w:rPr>
        <w:t> </w:t>
      </w:r>
      <w:r>
        <w:rPr>
          <w:rFonts w:ascii="Arial" w:hAnsi="Arial"/>
          <w:i/>
          <w:color w:val="231F20"/>
          <w:w w:val="105"/>
          <w:sz w:val="18"/>
        </w:rPr>
        <w:t>su</w:t>
      </w:r>
      <w:r>
        <w:rPr>
          <w:rFonts w:ascii="Arial" w:hAnsi="Arial"/>
          <w:i/>
          <w:color w:val="231F20"/>
          <w:spacing w:val="-6"/>
          <w:w w:val="105"/>
          <w:sz w:val="18"/>
        </w:rPr>
        <w:t> </w:t>
      </w:r>
      <w:r>
        <w:rPr>
          <w:rFonts w:ascii="Arial" w:hAnsi="Arial"/>
          <w:i/>
          <w:color w:val="231F20"/>
          <w:w w:val="105"/>
          <w:sz w:val="18"/>
        </w:rPr>
        <w:t>esposa</w:t>
      </w:r>
      <w:r>
        <w:rPr>
          <w:rFonts w:ascii="Arial" w:hAnsi="Arial"/>
          <w:i/>
          <w:color w:val="231F20"/>
          <w:spacing w:val="-6"/>
          <w:w w:val="105"/>
          <w:sz w:val="18"/>
        </w:rPr>
        <w:t> </w:t>
      </w:r>
      <w:r>
        <w:rPr>
          <w:rFonts w:ascii="Arial" w:hAnsi="Arial"/>
          <w:i/>
          <w:color w:val="231F20"/>
          <w:w w:val="105"/>
          <w:sz w:val="18"/>
        </w:rPr>
        <w:t>y</w:t>
      </w:r>
      <w:r>
        <w:rPr>
          <w:rFonts w:ascii="Arial" w:hAnsi="Arial"/>
          <w:i/>
          <w:color w:val="231F20"/>
          <w:spacing w:val="-6"/>
          <w:w w:val="105"/>
          <w:sz w:val="18"/>
        </w:rPr>
        <w:t> </w:t>
      </w:r>
      <w:r>
        <w:rPr>
          <w:rFonts w:ascii="Arial" w:hAnsi="Arial"/>
          <w:i/>
          <w:color w:val="231F20"/>
          <w:w w:val="105"/>
          <w:sz w:val="18"/>
        </w:rPr>
        <w:t>así</w:t>
      </w:r>
      <w:r>
        <w:rPr>
          <w:rFonts w:ascii="Arial" w:hAnsi="Arial"/>
          <w:i/>
          <w:color w:val="231F20"/>
          <w:spacing w:val="-6"/>
          <w:w w:val="105"/>
          <w:sz w:val="18"/>
        </w:rPr>
        <w:t> </w:t>
      </w:r>
      <w:r>
        <w:rPr>
          <w:rFonts w:ascii="Arial" w:hAnsi="Arial"/>
          <w:i/>
          <w:color w:val="231F20"/>
          <w:w w:val="105"/>
          <w:sz w:val="18"/>
        </w:rPr>
        <w:t>murió.</w:t>
      </w:r>
      <w:r>
        <w:rPr>
          <w:rFonts w:ascii="Arial" w:hAnsi="Arial"/>
          <w:i/>
          <w:color w:val="231F20"/>
          <w:spacing w:val="-10"/>
          <w:w w:val="105"/>
          <w:sz w:val="18"/>
        </w:rPr>
        <w:t> </w:t>
      </w:r>
      <w:r>
        <w:rPr>
          <w:rFonts w:ascii="Arial" w:hAnsi="Arial"/>
          <w:i/>
          <w:color w:val="231F20"/>
          <w:w w:val="105"/>
          <w:sz w:val="18"/>
        </w:rPr>
        <w:t>Cuando</w:t>
      </w:r>
      <w:r>
        <w:rPr>
          <w:rFonts w:ascii="Arial" w:hAnsi="Arial"/>
          <w:i/>
          <w:color w:val="231F20"/>
          <w:spacing w:val="-6"/>
          <w:w w:val="105"/>
          <w:sz w:val="18"/>
        </w:rPr>
        <w:t> </w:t>
      </w:r>
      <w:r>
        <w:rPr>
          <w:rFonts w:ascii="Arial" w:hAnsi="Arial"/>
          <w:i/>
          <w:color w:val="231F20"/>
          <w:w w:val="105"/>
          <w:sz w:val="18"/>
        </w:rPr>
        <w:t>él</w:t>
      </w:r>
      <w:r>
        <w:rPr>
          <w:rFonts w:ascii="Arial" w:hAnsi="Arial"/>
          <w:i/>
          <w:color w:val="231F20"/>
          <w:spacing w:val="-6"/>
          <w:w w:val="105"/>
          <w:sz w:val="18"/>
        </w:rPr>
        <w:t> </w:t>
      </w:r>
      <w:r>
        <w:rPr>
          <w:rFonts w:ascii="Arial" w:hAnsi="Arial"/>
          <w:i/>
          <w:color w:val="231F20"/>
          <w:w w:val="105"/>
          <w:sz w:val="18"/>
        </w:rPr>
        <w:t>estaba</w:t>
      </w:r>
      <w:r>
        <w:rPr>
          <w:rFonts w:ascii="Arial" w:hAnsi="Arial"/>
          <w:i/>
          <w:color w:val="231F20"/>
          <w:spacing w:val="-6"/>
          <w:w w:val="105"/>
          <w:sz w:val="18"/>
        </w:rPr>
        <w:t> </w:t>
      </w:r>
      <w:r>
        <w:rPr>
          <w:rFonts w:ascii="Arial" w:hAnsi="Arial"/>
          <w:i/>
          <w:color w:val="231F20"/>
          <w:w w:val="105"/>
          <w:sz w:val="18"/>
        </w:rPr>
        <w:t>muy</w:t>
      </w:r>
      <w:r>
        <w:rPr>
          <w:rFonts w:ascii="Arial" w:hAnsi="Arial"/>
          <w:i/>
          <w:color w:val="231F20"/>
          <w:spacing w:val="-6"/>
          <w:w w:val="105"/>
          <w:sz w:val="18"/>
        </w:rPr>
        <w:t> </w:t>
      </w:r>
      <w:r>
        <w:rPr>
          <w:rFonts w:ascii="Arial" w:hAnsi="Arial"/>
          <w:i/>
          <w:color w:val="231F20"/>
          <w:w w:val="105"/>
          <w:sz w:val="18"/>
        </w:rPr>
        <w:t>enfermo,</w:t>
      </w:r>
      <w:r>
        <w:rPr>
          <w:rFonts w:ascii="Arial" w:hAnsi="Arial"/>
          <w:i/>
          <w:color w:val="231F20"/>
          <w:spacing w:val="-10"/>
          <w:w w:val="105"/>
          <w:sz w:val="18"/>
        </w:rPr>
        <w:t> </w:t>
      </w:r>
      <w:r>
        <w:rPr>
          <w:rFonts w:ascii="Arial" w:hAnsi="Arial"/>
          <w:i/>
          <w:color w:val="231F20"/>
          <w:w w:val="105"/>
          <w:sz w:val="18"/>
        </w:rPr>
        <w:t>un día</w:t>
      </w:r>
      <w:r>
        <w:rPr>
          <w:rFonts w:ascii="Arial" w:hAnsi="Arial"/>
          <w:i/>
          <w:color w:val="231F20"/>
          <w:spacing w:val="-9"/>
          <w:w w:val="105"/>
          <w:sz w:val="18"/>
        </w:rPr>
        <w:t> </w:t>
      </w:r>
      <w:r>
        <w:rPr>
          <w:rFonts w:ascii="Arial" w:hAnsi="Arial"/>
          <w:i/>
          <w:color w:val="231F20"/>
          <w:w w:val="105"/>
          <w:sz w:val="18"/>
        </w:rPr>
        <w:t>me</w:t>
      </w:r>
      <w:r>
        <w:rPr>
          <w:rFonts w:ascii="Arial" w:hAnsi="Arial"/>
          <w:i/>
          <w:color w:val="231F20"/>
          <w:spacing w:val="-9"/>
          <w:w w:val="105"/>
          <w:sz w:val="18"/>
        </w:rPr>
        <w:t> </w:t>
      </w:r>
      <w:r>
        <w:rPr>
          <w:rFonts w:ascii="Arial" w:hAnsi="Arial"/>
          <w:i/>
          <w:color w:val="231F20"/>
          <w:w w:val="105"/>
          <w:sz w:val="18"/>
        </w:rPr>
        <w:t>dijo</w:t>
      </w:r>
      <w:r>
        <w:rPr>
          <w:rFonts w:ascii="Arial" w:hAnsi="Arial"/>
          <w:i/>
          <w:color w:val="231F20"/>
          <w:spacing w:val="-9"/>
          <w:w w:val="105"/>
          <w:sz w:val="18"/>
        </w:rPr>
        <w:t> </w:t>
      </w:r>
      <w:r>
        <w:rPr>
          <w:rFonts w:ascii="Arial" w:hAnsi="Arial"/>
          <w:i/>
          <w:color w:val="231F20"/>
          <w:w w:val="105"/>
          <w:sz w:val="18"/>
        </w:rPr>
        <w:t>que</w:t>
      </w:r>
      <w:r>
        <w:rPr>
          <w:rFonts w:ascii="Arial" w:hAnsi="Arial"/>
          <w:i/>
          <w:color w:val="231F20"/>
          <w:spacing w:val="-9"/>
          <w:w w:val="105"/>
          <w:sz w:val="18"/>
        </w:rPr>
        <w:t> </w:t>
      </w:r>
      <w:r>
        <w:rPr>
          <w:rFonts w:ascii="Arial" w:hAnsi="Arial"/>
          <w:i/>
          <w:color w:val="231F20"/>
          <w:w w:val="105"/>
          <w:sz w:val="18"/>
        </w:rPr>
        <w:t>quería</w:t>
      </w:r>
      <w:r>
        <w:rPr>
          <w:rFonts w:ascii="Arial" w:hAnsi="Arial"/>
          <w:i/>
          <w:color w:val="231F20"/>
          <w:spacing w:val="-9"/>
          <w:w w:val="105"/>
          <w:sz w:val="18"/>
        </w:rPr>
        <w:t> </w:t>
      </w:r>
      <w:r>
        <w:rPr>
          <w:rFonts w:ascii="Arial" w:hAnsi="Arial"/>
          <w:i/>
          <w:color w:val="231F20"/>
          <w:w w:val="105"/>
          <w:sz w:val="18"/>
        </w:rPr>
        <w:t>que</w:t>
      </w:r>
      <w:r>
        <w:rPr>
          <w:rFonts w:ascii="Arial" w:hAnsi="Arial"/>
          <w:i/>
          <w:color w:val="231F20"/>
          <w:spacing w:val="-9"/>
          <w:w w:val="105"/>
          <w:sz w:val="18"/>
        </w:rPr>
        <w:t> </w:t>
      </w:r>
      <w:r>
        <w:rPr>
          <w:rFonts w:ascii="Arial" w:hAnsi="Arial"/>
          <w:i/>
          <w:color w:val="231F20"/>
          <w:w w:val="105"/>
          <w:sz w:val="18"/>
        </w:rPr>
        <w:t>lo</w:t>
      </w:r>
      <w:r>
        <w:rPr>
          <w:rFonts w:ascii="Arial" w:hAnsi="Arial"/>
          <w:i/>
          <w:color w:val="231F20"/>
          <w:spacing w:val="-9"/>
          <w:w w:val="105"/>
          <w:sz w:val="18"/>
        </w:rPr>
        <w:t> </w:t>
      </w:r>
      <w:r>
        <w:rPr>
          <w:rFonts w:ascii="Arial" w:hAnsi="Arial"/>
          <w:i/>
          <w:color w:val="231F20"/>
          <w:w w:val="105"/>
          <w:sz w:val="18"/>
        </w:rPr>
        <w:t>enterráramos</w:t>
      </w:r>
      <w:r>
        <w:rPr>
          <w:rFonts w:ascii="Arial" w:hAnsi="Arial"/>
          <w:i/>
          <w:color w:val="231F20"/>
          <w:spacing w:val="-9"/>
          <w:w w:val="105"/>
          <w:sz w:val="18"/>
        </w:rPr>
        <w:t> </w:t>
      </w:r>
      <w:r>
        <w:rPr>
          <w:rFonts w:ascii="Arial" w:hAnsi="Arial"/>
          <w:i/>
          <w:color w:val="231F20"/>
          <w:w w:val="105"/>
          <w:sz w:val="18"/>
        </w:rPr>
        <w:t>en</w:t>
      </w:r>
      <w:r>
        <w:rPr>
          <w:rFonts w:ascii="Arial" w:hAnsi="Arial"/>
          <w:i/>
          <w:color w:val="231F20"/>
          <w:spacing w:val="-9"/>
          <w:w w:val="105"/>
          <w:sz w:val="18"/>
        </w:rPr>
        <w:t> </w:t>
      </w:r>
      <w:r>
        <w:rPr>
          <w:rFonts w:ascii="Arial" w:hAnsi="Arial"/>
          <w:i/>
          <w:color w:val="231F20"/>
          <w:w w:val="105"/>
          <w:sz w:val="18"/>
        </w:rPr>
        <w:t>la</w:t>
      </w:r>
      <w:r>
        <w:rPr>
          <w:rFonts w:ascii="Arial" w:hAnsi="Arial"/>
          <w:i/>
          <w:color w:val="231F20"/>
          <w:spacing w:val="-9"/>
          <w:w w:val="105"/>
          <w:sz w:val="18"/>
        </w:rPr>
        <w:t> </w:t>
      </w:r>
      <w:r>
        <w:rPr>
          <w:rFonts w:ascii="Arial" w:hAnsi="Arial"/>
          <w:i/>
          <w:color w:val="231F20"/>
          <w:w w:val="105"/>
          <w:sz w:val="18"/>
        </w:rPr>
        <w:t>misma</w:t>
      </w:r>
      <w:r>
        <w:rPr>
          <w:rFonts w:ascii="Arial" w:hAnsi="Arial"/>
          <w:i/>
          <w:color w:val="231F20"/>
          <w:spacing w:val="-9"/>
          <w:w w:val="105"/>
          <w:sz w:val="18"/>
        </w:rPr>
        <w:t> </w:t>
      </w:r>
      <w:r>
        <w:rPr>
          <w:rFonts w:ascii="Arial" w:hAnsi="Arial"/>
          <w:i/>
          <w:color w:val="231F20"/>
          <w:w w:val="105"/>
          <w:sz w:val="18"/>
        </w:rPr>
        <w:t>tumba</w:t>
      </w:r>
      <w:r>
        <w:rPr>
          <w:rFonts w:ascii="Arial" w:hAnsi="Arial"/>
          <w:i/>
          <w:color w:val="231F20"/>
          <w:spacing w:val="-9"/>
          <w:w w:val="105"/>
          <w:sz w:val="18"/>
        </w:rPr>
        <w:t> </w:t>
      </w:r>
      <w:r>
        <w:rPr>
          <w:rFonts w:ascii="Arial" w:hAnsi="Arial"/>
          <w:i/>
          <w:color w:val="231F20"/>
          <w:w w:val="105"/>
          <w:sz w:val="18"/>
        </w:rPr>
        <w:t>de</w:t>
      </w:r>
      <w:r>
        <w:rPr>
          <w:rFonts w:ascii="Arial" w:hAnsi="Arial"/>
          <w:i/>
          <w:color w:val="231F20"/>
          <w:spacing w:val="-9"/>
          <w:w w:val="105"/>
          <w:sz w:val="18"/>
        </w:rPr>
        <w:t> </w:t>
      </w:r>
      <w:r>
        <w:rPr>
          <w:rFonts w:ascii="Arial" w:hAnsi="Arial"/>
          <w:i/>
          <w:color w:val="231F20"/>
          <w:w w:val="105"/>
          <w:sz w:val="18"/>
        </w:rPr>
        <w:t>sus abuelitos</w:t>
      </w:r>
      <w:r>
        <w:rPr>
          <w:rFonts w:ascii="Arial" w:hAnsi="Arial"/>
          <w:i/>
          <w:color w:val="231F20"/>
          <w:spacing w:val="-25"/>
          <w:w w:val="105"/>
          <w:sz w:val="18"/>
        </w:rPr>
        <w:t> </w:t>
      </w:r>
      <w:r>
        <w:rPr>
          <w:rFonts w:ascii="Arial" w:hAnsi="Arial"/>
          <w:i/>
          <w:color w:val="231F20"/>
          <w:w w:val="105"/>
          <w:sz w:val="18"/>
        </w:rPr>
        <w:t>(de</w:t>
      </w:r>
      <w:r>
        <w:rPr>
          <w:rFonts w:ascii="Arial" w:hAnsi="Arial"/>
          <w:i/>
          <w:color w:val="231F20"/>
          <w:spacing w:val="-25"/>
          <w:w w:val="105"/>
          <w:sz w:val="18"/>
        </w:rPr>
        <w:t> </w:t>
      </w:r>
      <w:r>
        <w:rPr>
          <w:rFonts w:ascii="Arial" w:hAnsi="Arial"/>
          <w:i/>
          <w:color w:val="231F20"/>
          <w:w w:val="105"/>
          <w:sz w:val="18"/>
        </w:rPr>
        <w:t>mis</w:t>
      </w:r>
      <w:r>
        <w:rPr>
          <w:rFonts w:ascii="Arial" w:hAnsi="Arial"/>
          <w:i/>
          <w:color w:val="231F20"/>
          <w:spacing w:val="-25"/>
          <w:w w:val="105"/>
          <w:sz w:val="18"/>
        </w:rPr>
        <w:t> </w:t>
      </w:r>
      <w:r>
        <w:rPr>
          <w:rFonts w:ascii="Arial" w:hAnsi="Arial"/>
          <w:i/>
          <w:color w:val="231F20"/>
          <w:w w:val="105"/>
          <w:sz w:val="18"/>
        </w:rPr>
        <w:t>papás).</w:t>
      </w:r>
      <w:r>
        <w:rPr>
          <w:rFonts w:ascii="Arial" w:hAnsi="Arial"/>
          <w:i/>
          <w:color w:val="231F20"/>
          <w:spacing w:val="-31"/>
          <w:w w:val="105"/>
          <w:sz w:val="18"/>
        </w:rPr>
        <w:t> </w:t>
      </w:r>
      <w:r>
        <w:rPr>
          <w:rFonts w:ascii="Arial" w:hAnsi="Arial"/>
          <w:i/>
          <w:color w:val="231F20"/>
          <w:w w:val="105"/>
          <w:sz w:val="18"/>
        </w:rPr>
        <w:t>Y</w:t>
      </w:r>
      <w:r>
        <w:rPr>
          <w:rFonts w:ascii="Arial" w:hAnsi="Arial"/>
          <w:i/>
          <w:color w:val="231F20"/>
          <w:spacing w:val="-28"/>
          <w:w w:val="105"/>
          <w:sz w:val="18"/>
        </w:rPr>
        <w:t> </w:t>
      </w:r>
      <w:r>
        <w:rPr>
          <w:rFonts w:ascii="Arial" w:hAnsi="Arial"/>
          <w:i/>
          <w:color w:val="231F20"/>
          <w:w w:val="105"/>
          <w:sz w:val="18"/>
        </w:rPr>
        <w:t>así</w:t>
      </w:r>
      <w:r>
        <w:rPr>
          <w:rFonts w:ascii="Arial" w:hAnsi="Arial"/>
          <w:i/>
          <w:color w:val="231F20"/>
          <w:spacing w:val="-25"/>
          <w:w w:val="105"/>
          <w:sz w:val="18"/>
        </w:rPr>
        <w:t> </w:t>
      </w:r>
      <w:r>
        <w:rPr>
          <w:rFonts w:ascii="Arial" w:hAnsi="Arial"/>
          <w:i/>
          <w:color w:val="231F20"/>
          <w:w w:val="105"/>
          <w:sz w:val="18"/>
        </w:rPr>
        <w:t>fue.</w:t>
      </w:r>
      <w:r>
        <w:rPr>
          <w:rFonts w:ascii="Arial" w:hAnsi="Arial"/>
          <w:i/>
          <w:color w:val="231F20"/>
          <w:spacing w:val="-29"/>
          <w:w w:val="105"/>
          <w:sz w:val="18"/>
        </w:rPr>
        <w:t> </w:t>
      </w:r>
      <w:r>
        <w:rPr>
          <w:rFonts w:ascii="Arial" w:hAnsi="Arial"/>
          <w:i/>
          <w:color w:val="231F20"/>
          <w:w w:val="105"/>
          <w:sz w:val="18"/>
        </w:rPr>
        <w:t>Lo</w:t>
      </w:r>
      <w:r>
        <w:rPr>
          <w:rFonts w:ascii="Arial" w:hAnsi="Arial"/>
          <w:i/>
          <w:color w:val="231F20"/>
          <w:spacing w:val="-25"/>
          <w:w w:val="105"/>
          <w:sz w:val="18"/>
        </w:rPr>
        <w:t> </w:t>
      </w:r>
      <w:r>
        <w:rPr>
          <w:rFonts w:ascii="Arial" w:hAnsi="Arial"/>
          <w:i/>
          <w:color w:val="231F20"/>
          <w:w w:val="105"/>
          <w:sz w:val="18"/>
        </w:rPr>
        <w:t>trajimos</w:t>
      </w:r>
      <w:r>
        <w:rPr>
          <w:rFonts w:ascii="Arial" w:hAnsi="Arial"/>
          <w:i/>
          <w:color w:val="231F20"/>
          <w:spacing w:val="-25"/>
          <w:w w:val="105"/>
          <w:sz w:val="18"/>
        </w:rPr>
        <w:t> </w:t>
      </w:r>
      <w:r>
        <w:rPr>
          <w:rFonts w:ascii="Arial" w:hAnsi="Arial"/>
          <w:i/>
          <w:color w:val="231F20"/>
          <w:w w:val="105"/>
          <w:sz w:val="18"/>
        </w:rPr>
        <w:t>a</w:t>
      </w:r>
      <w:r>
        <w:rPr>
          <w:rFonts w:ascii="Arial" w:hAnsi="Arial"/>
          <w:i/>
          <w:color w:val="231F20"/>
          <w:spacing w:val="-28"/>
          <w:w w:val="105"/>
          <w:sz w:val="18"/>
        </w:rPr>
        <w:t> </w:t>
      </w:r>
      <w:r>
        <w:rPr>
          <w:rFonts w:ascii="Arial" w:hAnsi="Arial"/>
          <w:i/>
          <w:color w:val="231F20"/>
          <w:spacing w:val="-3"/>
          <w:w w:val="105"/>
          <w:sz w:val="18"/>
        </w:rPr>
        <w:t>Tonatico</w:t>
      </w:r>
      <w:r>
        <w:rPr>
          <w:rFonts w:ascii="Arial" w:hAnsi="Arial"/>
          <w:i/>
          <w:color w:val="231F20"/>
          <w:spacing w:val="-25"/>
          <w:w w:val="105"/>
          <w:sz w:val="18"/>
        </w:rPr>
        <w:t> </w:t>
      </w:r>
      <w:r>
        <w:rPr>
          <w:rFonts w:ascii="Arial" w:hAnsi="Arial"/>
          <w:i/>
          <w:color w:val="231F20"/>
          <w:w w:val="105"/>
          <w:sz w:val="18"/>
        </w:rPr>
        <w:t>y</w:t>
      </w:r>
      <w:r>
        <w:rPr>
          <w:rFonts w:ascii="Arial" w:hAnsi="Arial"/>
          <w:i/>
          <w:color w:val="231F20"/>
          <w:spacing w:val="-25"/>
          <w:w w:val="105"/>
          <w:sz w:val="18"/>
        </w:rPr>
        <w:t> </w:t>
      </w:r>
      <w:r>
        <w:rPr>
          <w:rFonts w:ascii="Arial" w:hAnsi="Arial"/>
          <w:i/>
          <w:color w:val="231F20"/>
          <w:w w:val="105"/>
          <w:sz w:val="18"/>
        </w:rPr>
        <w:t>está</w:t>
      </w:r>
      <w:r>
        <w:rPr>
          <w:rFonts w:ascii="Arial" w:hAnsi="Arial"/>
          <w:i/>
          <w:color w:val="231F20"/>
          <w:spacing w:val="-25"/>
          <w:w w:val="105"/>
          <w:sz w:val="18"/>
        </w:rPr>
        <w:t> </w:t>
      </w:r>
      <w:r>
        <w:rPr>
          <w:rFonts w:ascii="Arial" w:hAnsi="Arial"/>
          <w:i/>
          <w:color w:val="231F20"/>
          <w:w w:val="105"/>
          <w:sz w:val="18"/>
        </w:rPr>
        <w:t>enterra- do aquí, como él</w:t>
      </w:r>
      <w:r>
        <w:rPr>
          <w:rFonts w:ascii="Arial" w:hAnsi="Arial"/>
          <w:i/>
          <w:color w:val="231F20"/>
          <w:spacing w:val="-30"/>
          <w:w w:val="105"/>
          <w:sz w:val="18"/>
        </w:rPr>
        <w:t> </w:t>
      </w:r>
      <w:r>
        <w:rPr>
          <w:rFonts w:ascii="Arial" w:hAnsi="Arial"/>
          <w:i/>
          <w:color w:val="231F20"/>
          <w:w w:val="105"/>
          <w:sz w:val="18"/>
        </w:rPr>
        <w:t>pidió.</w:t>
      </w:r>
    </w:p>
    <w:p>
      <w:pPr>
        <w:spacing w:line="249" w:lineRule="auto" w:before="114"/>
        <w:ind w:left="2971" w:right="1716" w:firstLine="0"/>
        <w:jc w:val="both"/>
        <w:rPr>
          <w:rFonts w:ascii="Arial" w:hAnsi="Arial"/>
          <w:i/>
          <w:sz w:val="18"/>
        </w:rPr>
      </w:pPr>
      <w:r>
        <w:rPr>
          <w:rFonts w:ascii="Arial" w:hAnsi="Arial"/>
          <w:i/>
          <w:color w:val="231F20"/>
          <w:w w:val="105"/>
          <w:sz w:val="18"/>
        </w:rPr>
        <w:t>Estoy tranquilo porque pude estar con él y porque la familia no se ha </w:t>
      </w:r>
      <w:r>
        <w:rPr>
          <w:rFonts w:ascii="Arial" w:hAnsi="Arial"/>
          <w:i/>
          <w:color w:val="231F20"/>
          <w:w w:val="105"/>
          <w:sz w:val="18"/>
        </w:rPr>
        <w:t>roto.</w:t>
      </w:r>
      <w:r>
        <w:rPr>
          <w:rFonts w:ascii="Arial" w:hAnsi="Arial"/>
          <w:i/>
          <w:color w:val="231F20"/>
          <w:spacing w:val="-28"/>
          <w:w w:val="105"/>
          <w:sz w:val="18"/>
        </w:rPr>
        <w:t> </w:t>
      </w:r>
      <w:r>
        <w:rPr>
          <w:rFonts w:ascii="Arial" w:hAnsi="Arial"/>
          <w:i/>
          <w:color w:val="231F20"/>
          <w:w w:val="105"/>
          <w:sz w:val="18"/>
        </w:rPr>
        <w:t>Me</w:t>
      </w:r>
      <w:r>
        <w:rPr>
          <w:rFonts w:ascii="Arial" w:hAnsi="Arial"/>
          <w:i/>
          <w:color w:val="231F20"/>
          <w:spacing w:val="-24"/>
          <w:w w:val="105"/>
          <w:sz w:val="18"/>
        </w:rPr>
        <w:t> </w:t>
      </w:r>
      <w:r>
        <w:rPr>
          <w:rFonts w:ascii="Arial" w:hAnsi="Arial"/>
          <w:i/>
          <w:color w:val="231F20"/>
          <w:w w:val="105"/>
          <w:sz w:val="18"/>
        </w:rPr>
        <w:t>tranquiliza</w:t>
      </w:r>
      <w:r>
        <w:rPr>
          <w:rFonts w:ascii="Arial" w:hAnsi="Arial"/>
          <w:i/>
          <w:color w:val="231F20"/>
          <w:spacing w:val="-24"/>
          <w:w w:val="105"/>
          <w:sz w:val="18"/>
        </w:rPr>
        <w:t> </w:t>
      </w:r>
      <w:r>
        <w:rPr>
          <w:rFonts w:ascii="Arial" w:hAnsi="Arial"/>
          <w:i/>
          <w:color w:val="231F20"/>
          <w:w w:val="105"/>
          <w:sz w:val="18"/>
        </w:rPr>
        <w:t>que</w:t>
      </w:r>
      <w:r>
        <w:rPr>
          <w:rFonts w:ascii="Arial" w:hAnsi="Arial"/>
          <w:i/>
          <w:color w:val="231F20"/>
          <w:spacing w:val="-24"/>
          <w:w w:val="105"/>
          <w:sz w:val="18"/>
        </w:rPr>
        <w:t> </w:t>
      </w:r>
      <w:r>
        <w:rPr>
          <w:rFonts w:ascii="Arial" w:hAnsi="Arial"/>
          <w:i/>
          <w:color w:val="231F20"/>
          <w:w w:val="105"/>
          <w:sz w:val="18"/>
        </w:rPr>
        <w:t>puedo</w:t>
      </w:r>
      <w:r>
        <w:rPr>
          <w:rFonts w:ascii="Arial" w:hAnsi="Arial"/>
          <w:i/>
          <w:color w:val="231F20"/>
          <w:spacing w:val="-24"/>
          <w:w w:val="105"/>
          <w:sz w:val="18"/>
        </w:rPr>
        <w:t> </w:t>
      </w:r>
      <w:r>
        <w:rPr>
          <w:rFonts w:ascii="Arial" w:hAnsi="Arial"/>
          <w:i/>
          <w:color w:val="231F20"/>
          <w:w w:val="105"/>
          <w:sz w:val="18"/>
        </w:rPr>
        <w:t>entrar</w:t>
      </w:r>
      <w:r>
        <w:rPr>
          <w:rFonts w:ascii="Arial" w:hAnsi="Arial"/>
          <w:i/>
          <w:color w:val="231F20"/>
          <w:spacing w:val="-24"/>
          <w:w w:val="105"/>
          <w:sz w:val="18"/>
        </w:rPr>
        <w:t> </w:t>
      </w:r>
      <w:r>
        <w:rPr>
          <w:rFonts w:ascii="Arial" w:hAnsi="Arial"/>
          <w:i/>
          <w:color w:val="231F20"/>
          <w:w w:val="105"/>
          <w:sz w:val="18"/>
        </w:rPr>
        <w:t>y</w:t>
      </w:r>
      <w:r>
        <w:rPr>
          <w:rFonts w:ascii="Arial" w:hAnsi="Arial"/>
          <w:i/>
          <w:color w:val="231F20"/>
          <w:spacing w:val="-24"/>
          <w:w w:val="105"/>
          <w:sz w:val="18"/>
        </w:rPr>
        <w:t> </w:t>
      </w:r>
      <w:r>
        <w:rPr>
          <w:rFonts w:ascii="Arial" w:hAnsi="Arial"/>
          <w:i/>
          <w:color w:val="231F20"/>
          <w:w w:val="105"/>
          <w:sz w:val="18"/>
        </w:rPr>
        <w:t>salir</w:t>
      </w:r>
      <w:r>
        <w:rPr>
          <w:rFonts w:ascii="Arial" w:hAnsi="Arial"/>
          <w:i/>
          <w:color w:val="231F20"/>
          <w:spacing w:val="-24"/>
          <w:w w:val="105"/>
          <w:sz w:val="18"/>
        </w:rPr>
        <w:t> </w:t>
      </w:r>
      <w:r>
        <w:rPr>
          <w:rFonts w:ascii="Arial" w:hAnsi="Arial"/>
          <w:i/>
          <w:color w:val="231F20"/>
          <w:w w:val="105"/>
          <w:sz w:val="18"/>
        </w:rPr>
        <w:t>de</w:t>
      </w:r>
      <w:r>
        <w:rPr>
          <w:rFonts w:ascii="Arial" w:hAnsi="Arial"/>
          <w:i/>
          <w:color w:val="231F20"/>
          <w:spacing w:val="-24"/>
          <w:w w:val="105"/>
          <w:sz w:val="18"/>
        </w:rPr>
        <w:t> </w:t>
      </w:r>
      <w:r>
        <w:rPr>
          <w:rFonts w:ascii="Arial" w:hAnsi="Arial"/>
          <w:i/>
          <w:color w:val="231F20"/>
          <w:w w:val="105"/>
          <w:sz w:val="18"/>
        </w:rPr>
        <w:t>Estados</w:t>
      </w:r>
      <w:r>
        <w:rPr>
          <w:rFonts w:ascii="Arial" w:hAnsi="Arial"/>
          <w:i/>
          <w:color w:val="231F20"/>
          <w:spacing w:val="-24"/>
          <w:w w:val="105"/>
          <w:sz w:val="18"/>
        </w:rPr>
        <w:t> </w:t>
      </w:r>
      <w:r>
        <w:rPr>
          <w:rFonts w:ascii="Arial" w:hAnsi="Arial"/>
          <w:i/>
          <w:color w:val="231F20"/>
          <w:w w:val="105"/>
          <w:sz w:val="18"/>
        </w:rPr>
        <w:t>Unidos</w:t>
      </w:r>
      <w:r>
        <w:rPr>
          <w:rFonts w:ascii="Arial" w:hAnsi="Arial"/>
          <w:i/>
          <w:color w:val="231F20"/>
          <w:spacing w:val="-24"/>
          <w:w w:val="105"/>
          <w:sz w:val="18"/>
        </w:rPr>
        <w:t> </w:t>
      </w:r>
      <w:r>
        <w:rPr>
          <w:rFonts w:ascii="Arial" w:hAnsi="Arial"/>
          <w:i/>
          <w:color w:val="231F20"/>
          <w:w w:val="105"/>
          <w:sz w:val="18"/>
        </w:rPr>
        <w:t>sin</w:t>
      </w:r>
      <w:r>
        <w:rPr>
          <w:rFonts w:ascii="Arial" w:hAnsi="Arial"/>
          <w:i/>
          <w:color w:val="231F20"/>
          <w:spacing w:val="-24"/>
          <w:w w:val="105"/>
          <w:sz w:val="18"/>
        </w:rPr>
        <w:t> </w:t>
      </w:r>
      <w:r>
        <w:rPr>
          <w:rFonts w:ascii="Arial" w:hAnsi="Arial"/>
          <w:i/>
          <w:color w:val="231F20"/>
          <w:w w:val="105"/>
          <w:sz w:val="18"/>
        </w:rPr>
        <w:t>tener problemas. Puedo vivir acá o puedo vivir allá, para mi es perfecto no tener</w:t>
      </w:r>
      <w:r>
        <w:rPr>
          <w:rFonts w:ascii="Arial" w:hAnsi="Arial"/>
          <w:i/>
          <w:color w:val="231F20"/>
          <w:spacing w:val="-11"/>
          <w:w w:val="105"/>
          <w:sz w:val="18"/>
        </w:rPr>
        <w:t> </w:t>
      </w:r>
      <w:r>
        <w:rPr>
          <w:rFonts w:ascii="Arial" w:hAnsi="Arial"/>
          <w:i/>
          <w:color w:val="231F20"/>
          <w:w w:val="105"/>
          <w:sz w:val="18"/>
        </w:rPr>
        <w:t>problemas</w:t>
      </w:r>
      <w:r>
        <w:rPr>
          <w:rFonts w:ascii="Arial" w:hAnsi="Arial"/>
          <w:i/>
          <w:color w:val="231F20"/>
          <w:spacing w:val="-11"/>
          <w:w w:val="105"/>
          <w:sz w:val="18"/>
        </w:rPr>
        <w:t> </w:t>
      </w:r>
      <w:r>
        <w:rPr>
          <w:rFonts w:ascii="Arial" w:hAnsi="Arial"/>
          <w:i/>
          <w:color w:val="231F20"/>
          <w:w w:val="105"/>
          <w:sz w:val="18"/>
        </w:rPr>
        <w:t>para</w:t>
      </w:r>
      <w:r>
        <w:rPr>
          <w:rFonts w:ascii="Arial" w:hAnsi="Arial"/>
          <w:i/>
          <w:color w:val="231F20"/>
          <w:spacing w:val="-11"/>
          <w:w w:val="105"/>
          <w:sz w:val="18"/>
        </w:rPr>
        <w:t> </w:t>
      </w:r>
      <w:r>
        <w:rPr>
          <w:rFonts w:ascii="Arial" w:hAnsi="Arial"/>
          <w:i/>
          <w:color w:val="231F20"/>
          <w:w w:val="105"/>
          <w:sz w:val="18"/>
        </w:rPr>
        <w:t>estar</w:t>
      </w:r>
      <w:r>
        <w:rPr>
          <w:rFonts w:ascii="Arial" w:hAnsi="Arial"/>
          <w:i/>
          <w:color w:val="231F20"/>
          <w:spacing w:val="-11"/>
          <w:w w:val="105"/>
          <w:sz w:val="18"/>
        </w:rPr>
        <w:t> </w:t>
      </w:r>
      <w:r>
        <w:rPr>
          <w:rFonts w:ascii="Arial" w:hAnsi="Arial"/>
          <w:i/>
          <w:color w:val="231F20"/>
          <w:w w:val="105"/>
          <w:sz w:val="18"/>
        </w:rPr>
        <w:t>en</w:t>
      </w:r>
      <w:r>
        <w:rPr>
          <w:rFonts w:ascii="Arial" w:hAnsi="Arial"/>
          <w:i/>
          <w:color w:val="231F20"/>
          <w:spacing w:val="-11"/>
          <w:w w:val="105"/>
          <w:sz w:val="18"/>
        </w:rPr>
        <w:t> </w:t>
      </w:r>
      <w:r>
        <w:rPr>
          <w:rFonts w:ascii="Arial" w:hAnsi="Arial"/>
          <w:i/>
          <w:color w:val="231F20"/>
          <w:w w:val="105"/>
          <w:sz w:val="18"/>
        </w:rPr>
        <w:t>un</w:t>
      </w:r>
      <w:r>
        <w:rPr>
          <w:rFonts w:ascii="Arial" w:hAnsi="Arial"/>
          <w:i/>
          <w:color w:val="231F20"/>
          <w:spacing w:val="-11"/>
          <w:w w:val="105"/>
          <w:sz w:val="18"/>
        </w:rPr>
        <w:t> </w:t>
      </w:r>
      <w:r>
        <w:rPr>
          <w:rFonts w:ascii="Arial" w:hAnsi="Arial"/>
          <w:i/>
          <w:color w:val="231F20"/>
          <w:w w:val="105"/>
          <w:sz w:val="18"/>
        </w:rPr>
        <w:t>lado</w:t>
      </w:r>
      <w:r>
        <w:rPr>
          <w:rFonts w:ascii="Arial" w:hAnsi="Arial"/>
          <w:i/>
          <w:color w:val="231F20"/>
          <w:spacing w:val="-11"/>
          <w:w w:val="105"/>
          <w:sz w:val="18"/>
        </w:rPr>
        <w:t> </w:t>
      </w:r>
      <w:r>
        <w:rPr>
          <w:rFonts w:ascii="Arial" w:hAnsi="Arial"/>
          <w:i/>
          <w:color w:val="231F20"/>
          <w:w w:val="105"/>
          <w:sz w:val="18"/>
        </w:rPr>
        <w:t>o</w:t>
      </w:r>
      <w:r>
        <w:rPr>
          <w:rFonts w:ascii="Arial" w:hAnsi="Arial"/>
          <w:i/>
          <w:color w:val="231F20"/>
          <w:spacing w:val="-11"/>
          <w:w w:val="105"/>
          <w:sz w:val="18"/>
        </w:rPr>
        <w:t> </w:t>
      </w:r>
      <w:r>
        <w:rPr>
          <w:rFonts w:ascii="Arial" w:hAnsi="Arial"/>
          <w:i/>
          <w:color w:val="231F20"/>
          <w:w w:val="105"/>
          <w:sz w:val="18"/>
        </w:rPr>
        <w:t>en</w:t>
      </w:r>
      <w:r>
        <w:rPr>
          <w:rFonts w:ascii="Arial" w:hAnsi="Arial"/>
          <w:i/>
          <w:color w:val="231F20"/>
          <w:spacing w:val="-11"/>
          <w:w w:val="105"/>
          <w:sz w:val="18"/>
        </w:rPr>
        <w:t> </w:t>
      </w:r>
      <w:r>
        <w:rPr>
          <w:rFonts w:ascii="Arial" w:hAnsi="Arial"/>
          <w:i/>
          <w:color w:val="231F20"/>
          <w:w w:val="105"/>
          <w:sz w:val="18"/>
        </w:rPr>
        <w:t>otro.</w:t>
      </w:r>
      <w:r>
        <w:rPr>
          <w:rFonts w:ascii="Arial" w:hAnsi="Arial"/>
          <w:i/>
          <w:color w:val="231F20"/>
          <w:spacing w:val="-16"/>
          <w:w w:val="105"/>
          <w:sz w:val="18"/>
        </w:rPr>
        <w:t> </w:t>
      </w:r>
      <w:r>
        <w:rPr>
          <w:rFonts w:ascii="Arial" w:hAnsi="Arial"/>
          <w:i/>
          <w:color w:val="231F20"/>
          <w:spacing w:val="-5"/>
          <w:w w:val="105"/>
          <w:sz w:val="18"/>
        </w:rPr>
        <w:t>Por</w:t>
      </w:r>
      <w:r>
        <w:rPr>
          <w:rFonts w:ascii="Arial" w:hAnsi="Arial"/>
          <w:i/>
          <w:color w:val="231F20"/>
          <w:spacing w:val="-11"/>
          <w:w w:val="105"/>
          <w:sz w:val="18"/>
        </w:rPr>
        <w:t> </w:t>
      </w:r>
      <w:r>
        <w:rPr>
          <w:rFonts w:ascii="Arial" w:hAnsi="Arial"/>
          <w:i/>
          <w:color w:val="231F20"/>
          <w:w w:val="105"/>
          <w:sz w:val="18"/>
        </w:rPr>
        <w:t>eso</w:t>
      </w:r>
      <w:r>
        <w:rPr>
          <w:rFonts w:ascii="Arial" w:hAnsi="Arial"/>
          <w:i/>
          <w:color w:val="231F20"/>
          <w:spacing w:val="-11"/>
          <w:w w:val="105"/>
          <w:sz w:val="18"/>
        </w:rPr>
        <w:t> </w:t>
      </w:r>
      <w:r>
        <w:rPr>
          <w:rFonts w:ascii="Arial" w:hAnsi="Arial"/>
          <w:i/>
          <w:color w:val="231F20"/>
          <w:w w:val="105"/>
          <w:sz w:val="18"/>
        </w:rPr>
        <w:t>siento</w:t>
      </w:r>
      <w:r>
        <w:rPr>
          <w:rFonts w:ascii="Arial" w:hAnsi="Arial"/>
          <w:i/>
          <w:color w:val="231F20"/>
          <w:spacing w:val="-11"/>
          <w:w w:val="105"/>
          <w:sz w:val="18"/>
        </w:rPr>
        <w:t> </w:t>
      </w:r>
      <w:r>
        <w:rPr>
          <w:rFonts w:ascii="Arial" w:hAnsi="Arial"/>
          <w:i/>
          <w:color w:val="231F20"/>
          <w:w w:val="105"/>
          <w:sz w:val="18"/>
        </w:rPr>
        <w:t>que</w:t>
      </w:r>
      <w:r>
        <w:rPr>
          <w:rFonts w:ascii="Arial" w:hAnsi="Arial"/>
          <w:i/>
          <w:color w:val="231F20"/>
          <w:spacing w:val="-11"/>
          <w:w w:val="105"/>
          <w:sz w:val="18"/>
        </w:rPr>
        <w:t> </w:t>
      </w:r>
      <w:r>
        <w:rPr>
          <w:rFonts w:ascii="Arial" w:hAnsi="Arial"/>
          <w:i/>
          <w:color w:val="231F20"/>
          <w:w w:val="105"/>
          <w:sz w:val="18"/>
        </w:rPr>
        <w:t>no hay</w:t>
      </w:r>
      <w:r>
        <w:rPr>
          <w:rFonts w:ascii="Arial" w:hAnsi="Arial"/>
          <w:i/>
          <w:color w:val="231F20"/>
          <w:spacing w:val="-22"/>
          <w:w w:val="105"/>
          <w:sz w:val="18"/>
        </w:rPr>
        <w:t> </w:t>
      </w:r>
      <w:r>
        <w:rPr>
          <w:rFonts w:ascii="Arial" w:hAnsi="Arial"/>
          <w:i/>
          <w:color w:val="231F20"/>
          <w:w w:val="105"/>
          <w:sz w:val="18"/>
        </w:rPr>
        <w:t>separación</w:t>
      </w:r>
      <w:r>
        <w:rPr>
          <w:rFonts w:ascii="Arial" w:hAnsi="Arial"/>
          <w:i/>
          <w:color w:val="231F20"/>
          <w:spacing w:val="-22"/>
          <w:w w:val="105"/>
          <w:sz w:val="18"/>
        </w:rPr>
        <w:t> </w:t>
      </w:r>
      <w:r>
        <w:rPr>
          <w:rFonts w:ascii="Arial" w:hAnsi="Arial"/>
          <w:i/>
          <w:color w:val="231F20"/>
          <w:w w:val="105"/>
          <w:sz w:val="18"/>
        </w:rPr>
        <w:t>de</w:t>
      </w:r>
      <w:r>
        <w:rPr>
          <w:rFonts w:ascii="Arial" w:hAnsi="Arial"/>
          <w:i/>
          <w:color w:val="231F20"/>
          <w:spacing w:val="-22"/>
          <w:w w:val="105"/>
          <w:sz w:val="18"/>
        </w:rPr>
        <w:t> </w:t>
      </w:r>
      <w:r>
        <w:rPr>
          <w:rFonts w:ascii="Arial" w:hAnsi="Arial"/>
          <w:i/>
          <w:color w:val="231F20"/>
          <w:w w:val="105"/>
          <w:sz w:val="18"/>
        </w:rPr>
        <w:t>la</w:t>
      </w:r>
      <w:r>
        <w:rPr>
          <w:rFonts w:ascii="Arial" w:hAnsi="Arial"/>
          <w:i/>
          <w:color w:val="231F20"/>
          <w:spacing w:val="-22"/>
          <w:w w:val="105"/>
          <w:sz w:val="18"/>
        </w:rPr>
        <w:t> </w:t>
      </w:r>
      <w:r>
        <w:rPr>
          <w:rFonts w:ascii="Arial" w:hAnsi="Arial"/>
          <w:i/>
          <w:color w:val="231F20"/>
          <w:w w:val="105"/>
          <w:sz w:val="18"/>
        </w:rPr>
        <w:t>familia,</w:t>
      </w:r>
      <w:r>
        <w:rPr>
          <w:rFonts w:ascii="Arial" w:hAnsi="Arial"/>
          <w:i/>
          <w:color w:val="231F20"/>
          <w:spacing w:val="-26"/>
          <w:w w:val="105"/>
          <w:sz w:val="18"/>
        </w:rPr>
        <w:t> </w:t>
      </w:r>
      <w:r>
        <w:rPr>
          <w:rFonts w:ascii="Arial" w:hAnsi="Arial"/>
          <w:i/>
          <w:color w:val="231F20"/>
          <w:w w:val="105"/>
          <w:sz w:val="18"/>
        </w:rPr>
        <w:t>no</w:t>
      </w:r>
      <w:r>
        <w:rPr>
          <w:rFonts w:ascii="Arial" w:hAnsi="Arial"/>
          <w:i/>
          <w:color w:val="231F20"/>
          <w:spacing w:val="-22"/>
          <w:w w:val="105"/>
          <w:sz w:val="18"/>
        </w:rPr>
        <w:t> </w:t>
      </w:r>
      <w:r>
        <w:rPr>
          <w:rFonts w:ascii="Arial" w:hAnsi="Arial"/>
          <w:i/>
          <w:color w:val="231F20"/>
          <w:w w:val="105"/>
          <w:sz w:val="18"/>
        </w:rPr>
        <w:t>hay.</w:t>
      </w:r>
      <w:r>
        <w:rPr>
          <w:rFonts w:ascii="Arial" w:hAnsi="Arial"/>
          <w:i/>
          <w:color w:val="231F20"/>
          <w:spacing w:val="-26"/>
          <w:w w:val="105"/>
          <w:sz w:val="18"/>
        </w:rPr>
        <w:t> </w:t>
      </w:r>
      <w:r>
        <w:rPr>
          <w:rFonts w:ascii="Arial" w:hAnsi="Arial"/>
          <w:i/>
          <w:color w:val="231F20"/>
          <w:w w:val="105"/>
          <w:sz w:val="18"/>
        </w:rPr>
        <w:t>Hay</w:t>
      </w:r>
      <w:r>
        <w:rPr>
          <w:rFonts w:ascii="Arial" w:hAnsi="Arial"/>
          <w:i/>
          <w:color w:val="231F20"/>
          <w:spacing w:val="-22"/>
          <w:w w:val="105"/>
          <w:sz w:val="18"/>
        </w:rPr>
        <w:t> </w:t>
      </w:r>
      <w:r>
        <w:rPr>
          <w:rFonts w:ascii="Arial" w:hAnsi="Arial"/>
          <w:i/>
          <w:color w:val="231F20"/>
          <w:w w:val="105"/>
          <w:sz w:val="18"/>
        </w:rPr>
        <w:t>distancia,</w:t>
      </w:r>
      <w:r>
        <w:rPr>
          <w:rFonts w:ascii="Arial" w:hAnsi="Arial"/>
          <w:i/>
          <w:color w:val="231F20"/>
          <w:spacing w:val="-26"/>
          <w:w w:val="105"/>
          <w:sz w:val="18"/>
        </w:rPr>
        <w:t> </w:t>
      </w:r>
      <w:r>
        <w:rPr>
          <w:rFonts w:ascii="Arial" w:hAnsi="Arial"/>
          <w:i/>
          <w:color w:val="231F20"/>
          <w:w w:val="105"/>
          <w:sz w:val="18"/>
        </w:rPr>
        <w:t>pero</w:t>
      </w:r>
      <w:r>
        <w:rPr>
          <w:rFonts w:ascii="Arial" w:hAnsi="Arial"/>
          <w:i/>
          <w:color w:val="231F20"/>
          <w:spacing w:val="-22"/>
          <w:w w:val="105"/>
          <w:sz w:val="18"/>
        </w:rPr>
        <w:t> </w:t>
      </w:r>
      <w:r>
        <w:rPr>
          <w:rFonts w:ascii="Arial" w:hAnsi="Arial"/>
          <w:i/>
          <w:color w:val="231F20"/>
          <w:w w:val="105"/>
          <w:sz w:val="18"/>
        </w:rPr>
        <w:t>no</w:t>
      </w:r>
      <w:r>
        <w:rPr>
          <w:rFonts w:ascii="Arial" w:hAnsi="Arial"/>
          <w:i/>
          <w:color w:val="231F20"/>
          <w:spacing w:val="-22"/>
          <w:w w:val="105"/>
          <w:sz w:val="18"/>
        </w:rPr>
        <w:t> </w:t>
      </w:r>
      <w:r>
        <w:rPr>
          <w:rFonts w:ascii="Arial" w:hAnsi="Arial"/>
          <w:i/>
          <w:color w:val="231F20"/>
          <w:w w:val="105"/>
          <w:sz w:val="18"/>
        </w:rPr>
        <w:t>separación. Así</w:t>
      </w:r>
      <w:r>
        <w:rPr>
          <w:rFonts w:ascii="Arial" w:hAnsi="Arial"/>
          <w:i/>
          <w:color w:val="231F20"/>
          <w:spacing w:val="-11"/>
          <w:w w:val="105"/>
          <w:sz w:val="18"/>
        </w:rPr>
        <w:t> </w:t>
      </w:r>
      <w:r>
        <w:rPr>
          <w:rFonts w:ascii="Arial" w:hAnsi="Arial"/>
          <w:i/>
          <w:color w:val="231F20"/>
          <w:w w:val="105"/>
          <w:sz w:val="18"/>
        </w:rPr>
        <w:t>todo</w:t>
      </w:r>
      <w:r>
        <w:rPr>
          <w:rFonts w:ascii="Arial" w:hAnsi="Arial"/>
          <w:i/>
          <w:color w:val="231F20"/>
          <w:spacing w:val="-11"/>
          <w:w w:val="105"/>
          <w:sz w:val="18"/>
        </w:rPr>
        <w:t> </w:t>
      </w:r>
      <w:r>
        <w:rPr>
          <w:rFonts w:ascii="Arial" w:hAnsi="Arial"/>
          <w:i/>
          <w:color w:val="231F20"/>
          <w:w w:val="105"/>
          <w:sz w:val="18"/>
        </w:rPr>
        <w:t>camina</w:t>
      </w:r>
      <w:r>
        <w:rPr>
          <w:rFonts w:ascii="Arial" w:hAnsi="Arial"/>
          <w:i/>
          <w:color w:val="231F20"/>
          <w:spacing w:val="-11"/>
          <w:w w:val="105"/>
          <w:sz w:val="18"/>
        </w:rPr>
        <w:t> </w:t>
      </w:r>
      <w:r>
        <w:rPr>
          <w:rFonts w:ascii="Arial" w:hAnsi="Arial"/>
          <w:i/>
          <w:color w:val="231F20"/>
          <w:w w:val="105"/>
          <w:sz w:val="18"/>
        </w:rPr>
        <w:t>perfectamente</w:t>
      </w:r>
      <w:r>
        <w:rPr>
          <w:rFonts w:ascii="Arial" w:hAnsi="Arial"/>
          <w:i/>
          <w:color w:val="231F20"/>
          <w:spacing w:val="-11"/>
          <w:w w:val="105"/>
          <w:sz w:val="18"/>
        </w:rPr>
        <w:t> </w:t>
      </w:r>
      <w:r>
        <w:rPr>
          <w:rFonts w:ascii="Arial" w:hAnsi="Arial"/>
          <w:i/>
          <w:color w:val="231F20"/>
          <w:w w:val="105"/>
          <w:sz w:val="18"/>
        </w:rPr>
        <w:t>bien.</w:t>
      </w:r>
      <w:r>
        <w:rPr>
          <w:rFonts w:ascii="Arial" w:hAnsi="Arial"/>
          <w:i/>
          <w:color w:val="231F20"/>
          <w:spacing w:val="-15"/>
          <w:w w:val="105"/>
          <w:sz w:val="18"/>
        </w:rPr>
        <w:t> </w:t>
      </w:r>
      <w:r>
        <w:rPr>
          <w:rFonts w:ascii="Arial" w:hAnsi="Arial"/>
          <w:i/>
          <w:color w:val="231F20"/>
          <w:spacing w:val="-4"/>
          <w:w w:val="105"/>
          <w:sz w:val="18"/>
        </w:rPr>
        <w:t>Para</w:t>
      </w:r>
      <w:r>
        <w:rPr>
          <w:rFonts w:ascii="Arial" w:hAnsi="Arial"/>
          <w:i/>
          <w:color w:val="231F20"/>
          <w:spacing w:val="-11"/>
          <w:w w:val="105"/>
          <w:sz w:val="18"/>
        </w:rPr>
        <w:t> </w:t>
      </w:r>
      <w:r>
        <w:rPr>
          <w:rFonts w:ascii="Arial" w:hAnsi="Arial"/>
          <w:i/>
          <w:color w:val="231F20"/>
          <w:w w:val="105"/>
          <w:sz w:val="18"/>
        </w:rPr>
        <w:t>mis</w:t>
      </w:r>
      <w:r>
        <w:rPr>
          <w:rFonts w:ascii="Arial" w:hAnsi="Arial"/>
          <w:i/>
          <w:color w:val="231F20"/>
          <w:spacing w:val="-11"/>
          <w:w w:val="105"/>
          <w:sz w:val="18"/>
        </w:rPr>
        <w:t> </w:t>
      </w:r>
      <w:r>
        <w:rPr>
          <w:rFonts w:ascii="Arial" w:hAnsi="Arial"/>
          <w:i/>
          <w:color w:val="231F20"/>
          <w:w w:val="105"/>
          <w:sz w:val="18"/>
        </w:rPr>
        <w:t>hijos</w:t>
      </w:r>
      <w:r>
        <w:rPr>
          <w:rFonts w:ascii="Arial" w:hAnsi="Arial"/>
          <w:i/>
          <w:color w:val="231F20"/>
          <w:spacing w:val="-11"/>
          <w:w w:val="105"/>
          <w:sz w:val="18"/>
        </w:rPr>
        <w:t> </w:t>
      </w:r>
      <w:r>
        <w:rPr>
          <w:rFonts w:ascii="Arial" w:hAnsi="Arial"/>
          <w:i/>
          <w:color w:val="231F20"/>
          <w:w w:val="105"/>
          <w:sz w:val="18"/>
        </w:rPr>
        <w:t>es</w:t>
      </w:r>
      <w:r>
        <w:rPr>
          <w:rFonts w:ascii="Arial" w:hAnsi="Arial"/>
          <w:i/>
          <w:color w:val="231F20"/>
          <w:spacing w:val="-11"/>
          <w:w w:val="105"/>
          <w:sz w:val="18"/>
        </w:rPr>
        <w:t> </w:t>
      </w:r>
      <w:r>
        <w:rPr>
          <w:rFonts w:ascii="Arial" w:hAnsi="Arial"/>
          <w:i/>
          <w:color w:val="231F20"/>
          <w:w w:val="105"/>
          <w:sz w:val="18"/>
        </w:rPr>
        <w:t>mejor</w:t>
      </w:r>
      <w:r>
        <w:rPr>
          <w:rFonts w:ascii="Arial" w:hAnsi="Arial"/>
          <w:i/>
          <w:color w:val="231F20"/>
          <w:spacing w:val="-11"/>
          <w:w w:val="105"/>
          <w:sz w:val="18"/>
        </w:rPr>
        <w:t> </w:t>
      </w:r>
      <w:r>
        <w:rPr>
          <w:rFonts w:ascii="Arial" w:hAnsi="Arial"/>
          <w:i/>
          <w:color w:val="231F20"/>
          <w:w w:val="105"/>
          <w:sz w:val="18"/>
        </w:rPr>
        <w:t>estar</w:t>
      </w:r>
      <w:r>
        <w:rPr>
          <w:rFonts w:ascii="Arial" w:hAnsi="Arial"/>
          <w:i/>
          <w:color w:val="231F20"/>
          <w:spacing w:val="-11"/>
          <w:w w:val="105"/>
          <w:sz w:val="18"/>
        </w:rPr>
        <w:t> </w:t>
      </w:r>
      <w:r>
        <w:rPr>
          <w:rFonts w:ascii="Arial" w:hAnsi="Arial"/>
          <w:i/>
          <w:color w:val="231F20"/>
          <w:w w:val="105"/>
          <w:sz w:val="18"/>
        </w:rPr>
        <w:t>allá y</w:t>
      </w:r>
      <w:r>
        <w:rPr>
          <w:rFonts w:ascii="Arial" w:hAnsi="Arial"/>
          <w:i/>
          <w:color w:val="231F20"/>
          <w:spacing w:val="-14"/>
          <w:w w:val="105"/>
          <w:sz w:val="18"/>
        </w:rPr>
        <w:t> </w:t>
      </w:r>
      <w:r>
        <w:rPr>
          <w:rFonts w:ascii="Arial" w:hAnsi="Arial"/>
          <w:i/>
          <w:color w:val="231F20"/>
          <w:w w:val="105"/>
          <w:sz w:val="18"/>
        </w:rPr>
        <w:t>eso</w:t>
      </w:r>
      <w:r>
        <w:rPr>
          <w:rFonts w:ascii="Arial" w:hAnsi="Arial"/>
          <w:i/>
          <w:color w:val="231F20"/>
          <w:spacing w:val="-14"/>
          <w:w w:val="105"/>
          <w:sz w:val="18"/>
        </w:rPr>
        <w:t> </w:t>
      </w:r>
      <w:r>
        <w:rPr>
          <w:rFonts w:ascii="Arial" w:hAnsi="Arial"/>
          <w:i/>
          <w:color w:val="231F20"/>
          <w:w w:val="105"/>
          <w:sz w:val="18"/>
        </w:rPr>
        <w:t>está</w:t>
      </w:r>
      <w:r>
        <w:rPr>
          <w:rFonts w:ascii="Arial" w:hAnsi="Arial"/>
          <w:i/>
          <w:color w:val="231F20"/>
          <w:spacing w:val="-14"/>
          <w:w w:val="105"/>
          <w:sz w:val="18"/>
        </w:rPr>
        <w:t> </w:t>
      </w:r>
      <w:r>
        <w:rPr>
          <w:rFonts w:ascii="Arial" w:hAnsi="Arial"/>
          <w:i/>
          <w:color w:val="231F20"/>
          <w:w w:val="105"/>
          <w:sz w:val="18"/>
        </w:rPr>
        <w:t>bien.</w:t>
      </w:r>
      <w:r>
        <w:rPr>
          <w:rFonts w:ascii="Arial" w:hAnsi="Arial"/>
          <w:i/>
          <w:color w:val="231F20"/>
          <w:spacing w:val="-19"/>
          <w:w w:val="105"/>
          <w:sz w:val="18"/>
        </w:rPr>
        <w:t> </w:t>
      </w:r>
      <w:r>
        <w:rPr>
          <w:rFonts w:ascii="Arial" w:hAnsi="Arial"/>
          <w:i/>
          <w:color w:val="231F20"/>
          <w:w w:val="105"/>
          <w:sz w:val="18"/>
        </w:rPr>
        <w:t>Que</w:t>
      </w:r>
      <w:r>
        <w:rPr>
          <w:rFonts w:ascii="Arial" w:hAnsi="Arial"/>
          <w:i/>
          <w:color w:val="231F20"/>
          <w:spacing w:val="-14"/>
          <w:w w:val="105"/>
          <w:sz w:val="18"/>
        </w:rPr>
        <w:t> </w:t>
      </w:r>
      <w:r>
        <w:rPr>
          <w:rFonts w:ascii="Arial" w:hAnsi="Arial"/>
          <w:i/>
          <w:color w:val="231F20"/>
          <w:w w:val="105"/>
          <w:sz w:val="18"/>
        </w:rPr>
        <w:t>ellos</w:t>
      </w:r>
      <w:r>
        <w:rPr>
          <w:rFonts w:ascii="Arial" w:hAnsi="Arial"/>
          <w:i/>
          <w:color w:val="231F20"/>
          <w:spacing w:val="-14"/>
          <w:w w:val="105"/>
          <w:sz w:val="18"/>
        </w:rPr>
        <w:t> </w:t>
      </w:r>
      <w:r>
        <w:rPr>
          <w:rFonts w:ascii="Arial" w:hAnsi="Arial"/>
          <w:i/>
          <w:color w:val="231F20"/>
          <w:w w:val="105"/>
          <w:sz w:val="18"/>
        </w:rPr>
        <w:t>regresen</w:t>
      </w:r>
      <w:r>
        <w:rPr>
          <w:rFonts w:ascii="Arial" w:hAnsi="Arial"/>
          <w:i/>
          <w:color w:val="231F20"/>
          <w:spacing w:val="-14"/>
          <w:w w:val="105"/>
          <w:sz w:val="18"/>
        </w:rPr>
        <w:t> </w:t>
      </w:r>
      <w:r>
        <w:rPr>
          <w:rFonts w:ascii="Arial" w:hAnsi="Arial"/>
          <w:i/>
          <w:color w:val="231F20"/>
          <w:w w:val="105"/>
          <w:sz w:val="18"/>
        </w:rPr>
        <w:t>lo</w:t>
      </w:r>
      <w:r>
        <w:rPr>
          <w:rFonts w:ascii="Arial" w:hAnsi="Arial"/>
          <w:i/>
          <w:color w:val="231F20"/>
          <w:spacing w:val="-14"/>
          <w:w w:val="105"/>
          <w:sz w:val="18"/>
        </w:rPr>
        <w:t> </w:t>
      </w:r>
      <w:r>
        <w:rPr>
          <w:rFonts w:ascii="Arial" w:hAnsi="Arial"/>
          <w:i/>
          <w:color w:val="231F20"/>
          <w:w w:val="105"/>
          <w:sz w:val="18"/>
        </w:rPr>
        <w:t>veo</w:t>
      </w:r>
      <w:r>
        <w:rPr>
          <w:rFonts w:ascii="Arial" w:hAnsi="Arial"/>
          <w:i/>
          <w:color w:val="231F20"/>
          <w:spacing w:val="-14"/>
          <w:w w:val="105"/>
          <w:sz w:val="18"/>
        </w:rPr>
        <w:t> </w:t>
      </w:r>
      <w:r>
        <w:rPr>
          <w:rFonts w:ascii="Arial" w:hAnsi="Arial"/>
          <w:i/>
          <w:color w:val="231F20"/>
          <w:w w:val="105"/>
          <w:sz w:val="18"/>
        </w:rPr>
        <w:t>difícil,</w:t>
      </w:r>
      <w:r>
        <w:rPr>
          <w:rFonts w:ascii="Arial" w:hAnsi="Arial"/>
          <w:i/>
          <w:color w:val="231F20"/>
          <w:spacing w:val="-19"/>
          <w:w w:val="105"/>
          <w:sz w:val="18"/>
        </w:rPr>
        <w:t> </w:t>
      </w:r>
      <w:r>
        <w:rPr>
          <w:rFonts w:ascii="Arial" w:hAnsi="Arial"/>
          <w:i/>
          <w:color w:val="231F20"/>
          <w:w w:val="105"/>
          <w:sz w:val="18"/>
        </w:rPr>
        <w:t>ellos</w:t>
      </w:r>
      <w:r>
        <w:rPr>
          <w:rFonts w:ascii="Arial" w:hAnsi="Arial"/>
          <w:i/>
          <w:color w:val="231F20"/>
          <w:spacing w:val="-14"/>
          <w:w w:val="105"/>
          <w:sz w:val="18"/>
        </w:rPr>
        <w:t> </w:t>
      </w:r>
      <w:r>
        <w:rPr>
          <w:rFonts w:ascii="Arial" w:hAnsi="Arial"/>
          <w:i/>
          <w:color w:val="231F20"/>
          <w:w w:val="105"/>
          <w:sz w:val="18"/>
        </w:rPr>
        <w:t>ya</w:t>
      </w:r>
      <w:r>
        <w:rPr>
          <w:rFonts w:ascii="Arial" w:hAnsi="Arial"/>
          <w:i/>
          <w:color w:val="231F20"/>
          <w:spacing w:val="-14"/>
          <w:w w:val="105"/>
          <w:sz w:val="18"/>
        </w:rPr>
        <w:t> </w:t>
      </w:r>
      <w:r>
        <w:rPr>
          <w:rFonts w:ascii="Arial" w:hAnsi="Arial"/>
          <w:i/>
          <w:color w:val="231F20"/>
          <w:w w:val="105"/>
          <w:sz w:val="18"/>
        </w:rPr>
        <w:t>tienen</w:t>
      </w:r>
      <w:r>
        <w:rPr>
          <w:rFonts w:ascii="Arial" w:hAnsi="Arial"/>
          <w:i/>
          <w:color w:val="231F20"/>
          <w:spacing w:val="-14"/>
          <w:w w:val="105"/>
          <w:sz w:val="18"/>
        </w:rPr>
        <w:t> </w:t>
      </w:r>
      <w:r>
        <w:rPr>
          <w:rFonts w:ascii="Arial" w:hAnsi="Arial"/>
          <w:i/>
          <w:color w:val="231F20"/>
          <w:w w:val="105"/>
          <w:sz w:val="18"/>
        </w:rPr>
        <w:t>su</w:t>
      </w:r>
      <w:r>
        <w:rPr>
          <w:rFonts w:ascii="Arial" w:hAnsi="Arial"/>
          <w:i/>
          <w:color w:val="231F20"/>
          <w:spacing w:val="-14"/>
          <w:w w:val="105"/>
          <w:sz w:val="18"/>
        </w:rPr>
        <w:t> </w:t>
      </w:r>
      <w:r>
        <w:rPr>
          <w:rFonts w:ascii="Arial" w:hAnsi="Arial"/>
          <w:i/>
          <w:color w:val="231F20"/>
          <w:w w:val="105"/>
          <w:sz w:val="18"/>
        </w:rPr>
        <w:t>vida allá,</w:t>
      </w:r>
      <w:r>
        <w:rPr>
          <w:rFonts w:ascii="Arial" w:hAnsi="Arial"/>
          <w:i/>
          <w:color w:val="231F20"/>
          <w:spacing w:val="-25"/>
          <w:w w:val="105"/>
          <w:sz w:val="18"/>
        </w:rPr>
        <w:t> </w:t>
      </w:r>
      <w:r>
        <w:rPr>
          <w:rFonts w:ascii="Arial" w:hAnsi="Arial"/>
          <w:i/>
          <w:color w:val="231F20"/>
          <w:w w:val="105"/>
          <w:sz w:val="18"/>
        </w:rPr>
        <w:t>sus</w:t>
      </w:r>
      <w:r>
        <w:rPr>
          <w:rFonts w:ascii="Arial" w:hAnsi="Arial"/>
          <w:i/>
          <w:color w:val="231F20"/>
          <w:spacing w:val="-22"/>
          <w:w w:val="105"/>
          <w:sz w:val="18"/>
        </w:rPr>
        <w:t> </w:t>
      </w:r>
      <w:r>
        <w:rPr>
          <w:rFonts w:ascii="Arial" w:hAnsi="Arial"/>
          <w:i/>
          <w:color w:val="231F20"/>
          <w:w w:val="105"/>
          <w:sz w:val="18"/>
        </w:rPr>
        <w:t>familias,</w:t>
      </w:r>
      <w:r>
        <w:rPr>
          <w:rFonts w:ascii="Arial" w:hAnsi="Arial"/>
          <w:i/>
          <w:color w:val="231F20"/>
          <w:spacing w:val="-25"/>
          <w:w w:val="105"/>
          <w:sz w:val="18"/>
        </w:rPr>
        <w:t> </w:t>
      </w:r>
      <w:r>
        <w:rPr>
          <w:rFonts w:ascii="Arial" w:hAnsi="Arial"/>
          <w:i/>
          <w:color w:val="231F20"/>
          <w:w w:val="105"/>
          <w:sz w:val="18"/>
        </w:rPr>
        <w:t>sus</w:t>
      </w:r>
      <w:r>
        <w:rPr>
          <w:rFonts w:ascii="Arial" w:hAnsi="Arial"/>
          <w:i/>
          <w:color w:val="231F20"/>
          <w:spacing w:val="-22"/>
          <w:w w:val="105"/>
          <w:sz w:val="18"/>
        </w:rPr>
        <w:t> </w:t>
      </w:r>
      <w:r>
        <w:rPr>
          <w:rFonts w:ascii="Arial" w:hAnsi="Arial"/>
          <w:i/>
          <w:color w:val="231F20"/>
          <w:w w:val="105"/>
          <w:sz w:val="18"/>
        </w:rPr>
        <w:t>casas,</w:t>
      </w:r>
      <w:r>
        <w:rPr>
          <w:rFonts w:ascii="Arial" w:hAnsi="Arial"/>
          <w:i/>
          <w:color w:val="231F20"/>
          <w:spacing w:val="-25"/>
          <w:w w:val="105"/>
          <w:sz w:val="18"/>
        </w:rPr>
        <w:t> </w:t>
      </w:r>
      <w:r>
        <w:rPr>
          <w:rFonts w:ascii="Arial" w:hAnsi="Arial"/>
          <w:i/>
          <w:color w:val="231F20"/>
          <w:w w:val="105"/>
          <w:sz w:val="18"/>
        </w:rPr>
        <w:t>sus</w:t>
      </w:r>
      <w:r>
        <w:rPr>
          <w:rFonts w:ascii="Arial" w:hAnsi="Arial"/>
          <w:i/>
          <w:color w:val="231F20"/>
          <w:spacing w:val="-22"/>
          <w:w w:val="105"/>
          <w:sz w:val="18"/>
        </w:rPr>
        <w:t> </w:t>
      </w:r>
      <w:r>
        <w:rPr>
          <w:rFonts w:ascii="Arial" w:hAnsi="Arial"/>
          <w:i/>
          <w:color w:val="231F20"/>
          <w:w w:val="105"/>
          <w:sz w:val="18"/>
        </w:rPr>
        <w:t>trabajos.</w:t>
      </w:r>
      <w:r>
        <w:rPr>
          <w:rFonts w:ascii="Arial" w:hAnsi="Arial"/>
          <w:i/>
          <w:color w:val="231F20"/>
          <w:spacing w:val="-25"/>
          <w:w w:val="105"/>
          <w:sz w:val="18"/>
        </w:rPr>
        <w:t> </w:t>
      </w:r>
      <w:r>
        <w:rPr>
          <w:rFonts w:ascii="Arial" w:hAnsi="Arial"/>
          <w:i/>
          <w:color w:val="231F20"/>
          <w:w w:val="105"/>
          <w:sz w:val="18"/>
        </w:rPr>
        <w:t>Se</w:t>
      </w:r>
      <w:r>
        <w:rPr>
          <w:rFonts w:ascii="Arial" w:hAnsi="Arial"/>
          <w:i/>
          <w:color w:val="231F20"/>
          <w:spacing w:val="-22"/>
          <w:w w:val="105"/>
          <w:sz w:val="18"/>
        </w:rPr>
        <w:t> </w:t>
      </w:r>
      <w:r>
        <w:rPr>
          <w:rFonts w:ascii="Arial" w:hAnsi="Arial"/>
          <w:i/>
          <w:color w:val="231F20"/>
          <w:w w:val="105"/>
          <w:sz w:val="18"/>
        </w:rPr>
        <w:t>fueron</w:t>
      </w:r>
      <w:r>
        <w:rPr>
          <w:rFonts w:ascii="Arial" w:hAnsi="Arial"/>
          <w:i/>
          <w:color w:val="231F20"/>
          <w:spacing w:val="-22"/>
          <w:w w:val="105"/>
          <w:sz w:val="18"/>
        </w:rPr>
        <w:t> </w:t>
      </w:r>
      <w:r>
        <w:rPr>
          <w:rFonts w:ascii="Arial" w:hAnsi="Arial"/>
          <w:i/>
          <w:color w:val="231F20"/>
          <w:w w:val="105"/>
          <w:sz w:val="18"/>
        </w:rPr>
        <w:t>muy</w:t>
      </w:r>
      <w:r>
        <w:rPr>
          <w:rFonts w:ascii="Arial" w:hAnsi="Arial"/>
          <w:i/>
          <w:color w:val="231F20"/>
          <w:spacing w:val="-22"/>
          <w:w w:val="105"/>
          <w:sz w:val="18"/>
        </w:rPr>
        <w:t> </w:t>
      </w:r>
      <w:r>
        <w:rPr>
          <w:rFonts w:ascii="Arial" w:hAnsi="Arial"/>
          <w:i/>
          <w:color w:val="231F20"/>
          <w:w w:val="105"/>
          <w:sz w:val="18"/>
        </w:rPr>
        <w:t>chicos</w:t>
      </w:r>
      <w:r>
        <w:rPr>
          <w:rFonts w:ascii="Arial" w:hAnsi="Arial"/>
          <w:i/>
          <w:color w:val="231F20"/>
          <w:spacing w:val="-22"/>
          <w:w w:val="105"/>
          <w:sz w:val="18"/>
        </w:rPr>
        <w:t> </w:t>
      </w:r>
      <w:r>
        <w:rPr>
          <w:rFonts w:ascii="Arial" w:hAnsi="Arial"/>
          <w:i/>
          <w:color w:val="231F20"/>
          <w:w w:val="105"/>
          <w:sz w:val="18"/>
        </w:rPr>
        <w:t>y</w:t>
      </w:r>
      <w:r>
        <w:rPr>
          <w:rFonts w:ascii="Arial" w:hAnsi="Arial"/>
          <w:i/>
          <w:color w:val="231F20"/>
          <w:spacing w:val="-22"/>
          <w:w w:val="105"/>
          <w:sz w:val="18"/>
        </w:rPr>
        <w:t> </w:t>
      </w:r>
      <w:r>
        <w:rPr>
          <w:rFonts w:ascii="Arial" w:hAnsi="Arial"/>
          <w:i/>
          <w:color w:val="231F20"/>
          <w:w w:val="105"/>
          <w:sz w:val="18"/>
        </w:rPr>
        <w:t>cuan- do se jubilen no sé si puedan o quieran regresar. </w:t>
      </w:r>
      <w:r>
        <w:rPr>
          <w:rFonts w:ascii="Arial" w:hAnsi="Arial"/>
          <w:i/>
          <w:color w:val="231F20"/>
          <w:spacing w:val="-3"/>
          <w:w w:val="105"/>
          <w:sz w:val="18"/>
        </w:rPr>
        <w:t>Tampoco </w:t>
      </w:r>
      <w:r>
        <w:rPr>
          <w:rFonts w:ascii="Arial" w:hAnsi="Arial"/>
          <w:i/>
          <w:color w:val="231F20"/>
          <w:w w:val="105"/>
          <w:sz w:val="18"/>
        </w:rPr>
        <w:t>tengo un sentimiento</w:t>
      </w:r>
      <w:r>
        <w:rPr>
          <w:rFonts w:ascii="Arial" w:hAnsi="Arial"/>
          <w:i/>
          <w:color w:val="231F20"/>
          <w:spacing w:val="-19"/>
          <w:w w:val="105"/>
          <w:sz w:val="18"/>
        </w:rPr>
        <w:t> </w:t>
      </w:r>
      <w:r>
        <w:rPr>
          <w:rFonts w:ascii="Arial" w:hAnsi="Arial"/>
          <w:i/>
          <w:color w:val="231F20"/>
          <w:w w:val="105"/>
          <w:sz w:val="18"/>
        </w:rPr>
        <w:t>particular</w:t>
      </w:r>
      <w:r>
        <w:rPr>
          <w:rFonts w:ascii="Arial" w:hAnsi="Arial"/>
          <w:i/>
          <w:color w:val="231F20"/>
          <w:spacing w:val="-19"/>
          <w:w w:val="105"/>
          <w:sz w:val="18"/>
        </w:rPr>
        <w:t> </w:t>
      </w:r>
      <w:r>
        <w:rPr>
          <w:rFonts w:ascii="Arial" w:hAnsi="Arial"/>
          <w:i/>
          <w:color w:val="231F20"/>
          <w:w w:val="105"/>
          <w:sz w:val="18"/>
        </w:rPr>
        <w:t>porque</w:t>
      </w:r>
      <w:r>
        <w:rPr>
          <w:rFonts w:ascii="Arial" w:hAnsi="Arial"/>
          <w:i/>
          <w:color w:val="231F20"/>
          <w:spacing w:val="-19"/>
          <w:w w:val="105"/>
          <w:sz w:val="18"/>
        </w:rPr>
        <w:t> </w:t>
      </w:r>
      <w:r>
        <w:rPr>
          <w:rFonts w:ascii="Arial" w:hAnsi="Arial"/>
          <w:i/>
          <w:color w:val="231F20"/>
          <w:w w:val="105"/>
          <w:sz w:val="18"/>
        </w:rPr>
        <w:t>ellos</w:t>
      </w:r>
      <w:r>
        <w:rPr>
          <w:rFonts w:ascii="Arial" w:hAnsi="Arial"/>
          <w:i/>
          <w:color w:val="231F20"/>
          <w:spacing w:val="-19"/>
          <w:w w:val="105"/>
          <w:sz w:val="18"/>
        </w:rPr>
        <w:t> </w:t>
      </w:r>
      <w:r>
        <w:rPr>
          <w:rFonts w:ascii="Arial" w:hAnsi="Arial"/>
          <w:i/>
          <w:color w:val="231F20"/>
          <w:w w:val="105"/>
          <w:sz w:val="18"/>
        </w:rPr>
        <w:t>vuelvan</w:t>
      </w:r>
      <w:r>
        <w:rPr>
          <w:rFonts w:ascii="Arial" w:hAnsi="Arial"/>
          <w:i/>
          <w:color w:val="231F20"/>
          <w:spacing w:val="-19"/>
          <w:w w:val="105"/>
          <w:sz w:val="18"/>
        </w:rPr>
        <w:t> </w:t>
      </w:r>
      <w:r>
        <w:rPr>
          <w:rFonts w:ascii="Arial" w:hAnsi="Arial"/>
          <w:i/>
          <w:color w:val="231F20"/>
          <w:w w:val="105"/>
          <w:sz w:val="18"/>
        </w:rPr>
        <w:t>a</w:t>
      </w:r>
      <w:r>
        <w:rPr>
          <w:rFonts w:ascii="Arial" w:hAnsi="Arial"/>
          <w:i/>
          <w:color w:val="231F20"/>
          <w:spacing w:val="-19"/>
          <w:w w:val="105"/>
          <w:sz w:val="18"/>
        </w:rPr>
        <w:t> </w:t>
      </w:r>
      <w:r>
        <w:rPr>
          <w:rFonts w:ascii="Arial" w:hAnsi="Arial"/>
          <w:i/>
          <w:color w:val="231F20"/>
          <w:w w:val="105"/>
          <w:sz w:val="18"/>
        </w:rPr>
        <w:t>vivir</w:t>
      </w:r>
      <w:r>
        <w:rPr>
          <w:rFonts w:ascii="Arial" w:hAnsi="Arial"/>
          <w:i/>
          <w:color w:val="231F20"/>
          <w:spacing w:val="-19"/>
          <w:w w:val="105"/>
          <w:sz w:val="18"/>
        </w:rPr>
        <w:t> </w:t>
      </w:r>
      <w:r>
        <w:rPr>
          <w:rFonts w:ascii="Arial" w:hAnsi="Arial"/>
          <w:i/>
          <w:color w:val="231F20"/>
          <w:w w:val="105"/>
          <w:sz w:val="18"/>
        </w:rPr>
        <w:t>en</w:t>
      </w:r>
      <w:r>
        <w:rPr>
          <w:rFonts w:ascii="Arial" w:hAnsi="Arial"/>
          <w:i/>
          <w:color w:val="231F20"/>
          <w:spacing w:val="-22"/>
          <w:w w:val="105"/>
          <w:sz w:val="18"/>
        </w:rPr>
        <w:t> </w:t>
      </w:r>
      <w:r>
        <w:rPr>
          <w:rFonts w:ascii="Arial" w:hAnsi="Arial"/>
          <w:i/>
          <w:color w:val="231F20"/>
          <w:spacing w:val="-3"/>
          <w:w w:val="105"/>
          <w:sz w:val="18"/>
        </w:rPr>
        <w:t>Tonatico.</w:t>
      </w:r>
      <w:r>
        <w:rPr>
          <w:rFonts w:ascii="Arial" w:hAnsi="Arial"/>
          <w:i/>
          <w:color w:val="231F20"/>
          <w:spacing w:val="-25"/>
          <w:w w:val="105"/>
          <w:sz w:val="18"/>
        </w:rPr>
        <w:t> </w:t>
      </w:r>
      <w:r>
        <w:rPr>
          <w:rFonts w:ascii="Arial" w:hAnsi="Arial"/>
          <w:i/>
          <w:color w:val="231F20"/>
          <w:spacing w:val="-7"/>
          <w:w w:val="105"/>
          <w:sz w:val="18"/>
        </w:rPr>
        <w:t>Yo</w:t>
      </w:r>
      <w:r>
        <w:rPr>
          <w:rFonts w:ascii="Arial" w:hAnsi="Arial"/>
          <w:i/>
          <w:color w:val="231F20"/>
          <w:spacing w:val="-19"/>
          <w:w w:val="105"/>
          <w:sz w:val="18"/>
        </w:rPr>
        <w:t> </w:t>
      </w:r>
      <w:r>
        <w:rPr>
          <w:rFonts w:ascii="Arial" w:hAnsi="Arial"/>
          <w:i/>
          <w:color w:val="231F20"/>
          <w:w w:val="105"/>
          <w:sz w:val="18"/>
        </w:rPr>
        <w:t>estoy tranquilo si ellos están bien en Estados Unidos y si mi hija Celia está bien aquí. Ahora mi esposa y yo los visitamos. Cada año vamos</w:t>
      </w:r>
      <w:r>
        <w:rPr>
          <w:rFonts w:ascii="Arial" w:hAnsi="Arial"/>
          <w:i/>
          <w:color w:val="231F20"/>
          <w:spacing w:val="-23"/>
          <w:w w:val="105"/>
          <w:sz w:val="18"/>
        </w:rPr>
        <w:t> </w:t>
      </w:r>
      <w:r>
        <w:rPr>
          <w:rFonts w:ascii="Arial" w:hAnsi="Arial"/>
          <w:i/>
          <w:color w:val="231F20"/>
          <w:w w:val="105"/>
          <w:sz w:val="18"/>
        </w:rPr>
        <w:t>para allá.</w:t>
      </w:r>
      <w:r>
        <w:rPr>
          <w:rFonts w:ascii="Arial" w:hAnsi="Arial"/>
          <w:i/>
          <w:color w:val="231F20"/>
          <w:spacing w:val="-36"/>
          <w:w w:val="105"/>
          <w:sz w:val="18"/>
        </w:rPr>
        <w:t> </w:t>
      </w:r>
      <w:r>
        <w:rPr>
          <w:rFonts w:ascii="Arial" w:hAnsi="Arial"/>
          <w:i/>
          <w:color w:val="231F20"/>
          <w:w w:val="105"/>
          <w:sz w:val="18"/>
        </w:rPr>
        <w:t>A</w:t>
      </w:r>
      <w:r>
        <w:rPr>
          <w:rFonts w:ascii="Arial" w:hAnsi="Arial"/>
          <w:i/>
          <w:color w:val="231F20"/>
          <w:spacing w:val="-34"/>
          <w:w w:val="105"/>
          <w:sz w:val="18"/>
        </w:rPr>
        <w:t> </w:t>
      </w:r>
      <w:r>
        <w:rPr>
          <w:rFonts w:ascii="Arial" w:hAnsi="Arial"/>
          <w:i/>
          <w:color w:val="231F20"/>
          <w:w w:val="105"/>
          <w:sz w:val="18"/>
        </w:rPr>
        <w:t>Waukegan</w:t>
      </w:r>
      <w:r>
        <w:rPr>
          <w:rFonts w:ascii="Arial" w:hAnsi="Arial"/>
          <w:i/>
          <w:color w:val="231F20"/>
          <w:spacing w:val="-32"/>
          <w:w w:val="105"/>
          <w:sz w:val="18"/>
        </w:rPr>
        <w:t> </w:t>
      </w:r>
      <w:r>
        <w:rPr>
          <w:rFonts w:ascii="Arial" w:hAnsi="Arial"/>
          <w:i/>
          <w:color w:val="231F20"/>
          <w:w w:val="105"/>
          <w:sz w:val="18"/>
        </w:rPr>
        <w:t>en</w:t>
      </w:r>
      <w:r>
        <w:rPr>
          <w:rFonts w:ascii="Arial" w:hAnsi="Arial"/>
          <w:i/>
          <w:color w:val="231F20"/>
          <w:spacing w:val="-32"/>
          <w:w w:val="105"/>
          <w:sz w:val="18"/>
        </w:rPr>
        <w:t> </w:t>
      </w:r>
      <w:r>
        <w:rPr>
          <w:rFonts w:ascii="Arial" w:hAnsi="Arial"/>
          <w:i/>
          <w:color w:val="231F20"/>
          <w:w w:val="105"/>
          <w:sz w:val="18"/>
        </w:rPr>
        <w:t>avión</w:t>
      </w:r>
      <w:r>
        <w:rPr>
          <w:rFonts w:ascii="Arial" w:hAnsi="Arial"/>
          <w:i/>
          <w:color w:val="231F20"/>
          <w:spacing w:val="-32"/>
          <w:w w:val="105"/>
          <w:sz w:val="18"/>
        </w:rPr>
        <w:t> </w:t>
      </w:r>
      <w:r>
        <w:rPr>
          <w:rFonts w:ascii="Arial" w:hAnsi="Arial"/>
          <w:i/>
          <w:color w:val="231F20"/>
          <w:w w:val="105"/>
          <w:sz w:val="18"/>
        </w:rPr>
        <w:t>y</w:t>
      </w:r>
      <w:r>
        <w:rPr>
          <w:rFonts w:ascii="Arial" w:hAnsi="Arial"/>
          <w:i/>
          <w:color w:val="231F20"/>
          <w:spacing w:val="-32"/>
          <w:w w:val="105"/>
          <w:sz w:val="18"/>
        </w:rPr>
        <w:t> </w:t>
      </w:r>
      <w:r>
        <w:rPr>
          <w:rFonts w:ascii="Arial" w:hAnsi="Arial"/>
          <w:i/>
          <w:color w:val="231F20"/>
          <w:w w:val="105"/>
          <w:sz w:val="18"/>
        </w:rPr>
        <w:t>a</w:t>
      </w:r>
      <w:r>
        <w:rPr>
          <w:rFonts w:ascii="Arial" w:hAnsi="Arial"/>
          <w:i/>
          <w:color w:val="231F20"/>
          <w:spacing w:val="-32"/>
          <w:w w:val="105"/>
          <w:sz w:val="18"/>
        </w:rPr>
        <w:t> </w:t>
      </w:r>
      <w:r>
        <w:rPr>
          <w:rFonts w:ascii="Arial" w:hAnsi="Arial"/>
          <w:i/>
          <w:color w:val="231F20"/>
          <w:w w:val="105"/>
          <w:sz w:val="18"/>
        </w:rPr>
        <w:t>Houston,</w:t>
      </w:r>
      <w:r>
        <w:rPr>
          <w:rFonts w:ascii="Arial" w:hAnsi="Arial"/>
          <w:i/>
          <w:color w:val="231F20"/>
          <w:spacing w:val="-34"/>
          <w:w w:val="105"/>
          <w:sz w:val="18"/>
        </w:rPr>
        <w:t> </w:t>
      </w:r>
      <w:r>
        <w:rPr>
          <w:rFonts w:ascii="Arial" w:hAnsi="Arial"/>
          <w:i/>
          <w:color w:val="231F20"/>
          <w:w w:val="105"/>
          <w:sz w:val="18"/>
        </w:rPr>
        <w:t>para</w:t>
      </w:r>
      <w:r>
        <w:rPr>
          <w:rFonts w:ascii="Arial" w:hAnsi="Arial"/>
          <w:i/>
          <w:color w:val="231F20"/>
          <w:spacing w:val="-32"/>
          <w:w w:val="105"/>
          <w:sz w:val="18"/>
        </w:rPr>
        <w:t> </w:t>
      </w:r>
      <w:r>
        <w:rPr>
          <w:rFonts w:ascii="Arial" w:hAnsi="Arial"/>
          <w:i/>
          <w:color w:val="231F20"/>
          <w:w w:val="105"/>
          <w:sz w:val="18"/>
        </w:rPr>
        <w:t>ver</w:t>
      </w:r>
      <w:r>
        <w:rPr>
          <w:rFonts w:ascii="Arial" w:hAnsi="Arial"/>
          <w:i/>
          <w:color w:val="231F20"/>
          <w:spacing w:val="-32"/>
          <w:w w:val="105"/>
          <w:sz w:val="18"/>
        </w:rPr>
        <w:t> </w:t>
      </w:r>
      <w:r>
        <w:rPr>
          <w:rFonts w:ascii="Arial" w:hAnsi="Arial"/>
          <w:i/>
          <w:color w:val="231F20"/>
          <w:w w:val="105"/>
          <w:sz w:val="18"/>
        </w:rPr>
        <w:t>a</w:t>
      </w:r>
      <w:r>
        <w:rPr>
          <w:rFonts w:ascii="Arial" w:hAnsi="Arial"/>
          <w:i/>
          <w:color w:val="231F20"/>
          <w:spacing w:val="-32"/>
          <w:w w:val="105"/>
          <w:sz w:val="18"/>
        </w:rPr>
        <w:t> </w:t>
      </w:r>
      <w:r>
        <w:rPr>
          <w:rFonts w:ascii="Arial" w:hAnsi="Arial"/>
          <w:i/>
          <w:color w:val="231F20"/>
          <w:w w:val="105"/>
          <w:sz w:val="18"/>
        </w:rPr>
        <w:t>María</w:t>
      </w:r>
      <w:r>
        <w:rPr>
          <w:rFonts w:ascii="Arial" w:hAnsi="Arial"/>
          <w:i/>
          <w:color w:val="231F20"/>
          <w:spacing w:val="-32"/>
          <w:w w:val="105"/>
          <w:sz w:val="18"/>
        </w:rPr>
        <w:t> </w:t>
      </w:r>
      <w:r>
        <w:rPr>
          <w:rFonts w:ascii="Arial" w:hAnsi="Arial"/>
          <w:i/>
          <w:color w:val="231F20"/>
          <w:w w:val="105"/>
          <w:sz w:val="18"/>
        </w:rPr>
        <w:t>Magdalena,</w:t>
      </w:r>
      <w:r>
        <w:rPr>
          <w:rFonts w:ascii="Arial" w:hAnsi="Arial"/>
          <w:i/>
          <w:color w:val="231F20"/>
          <w:spacing w:val="-34"/>
          <w:w w:val="105"/>
          <w:sz w:val="18"/>
        </w:rPr>
        <w:t> </w:t>
      </w:r>
      <w:r>
        <w:rPr>
          <w:rFonts w:ascii="Arial" w:hAnsi="Arial"/>
          <w:i/>
          <w:color w:val="231F20"/>
          <w:w w:val="105"/>
          <w:sz w:val="18"/>
        </w:rPr>
        <w:t>nos vamos</w:t>
      </w:r>
      <w:r>
        <w:rPr>
          <w:rFonts w:ascii="Arial" w:hAnsi="Arial"/>
          <w:i/>
          <w:color w:val="231F20"/>
          <w:spacing w:val="-19"/>
          <w:w w:val="105"/>
          <w:sz w:val="18"/>
        </w:rPr>
        <w:t> </w:t>
      </w:r>
      <w:r>
        <w:rPr>
          <w:rFonts w:ascii="Arial" w:hAnsi="Arial"/>
          <w:i/>
          <w:color w:val="231F20"/>
          <w:w w:val="105"/>
          <w:sz w:val="18"/>
        </w:rPr>
        <w:t>desde</w:t>
      </w:r>
      <w:r>
        <w:rPr>
          <w:rFonts w:ascii="Arial" w:hAnsi="Arial"/>
          <w:i/>
          <w:color w:val="231F20"/>
          <w:spacing w:val="-22"/>
          <w:w w:val="105"/>
          <w:sz w:val="18"/>
        </w:rPr>
        <w:t> </w:t>
      </w:r>
      <w:r>
        <w:rPr>
          <w:rFonts w:ascii="Arial" w:hAnsi="Arial"/>
          <w:i/>
          <w:color w:val="231F20"/>
          <w:spacing w:val="-3"/>
          <w:w w:val="105"/>
          <w:sz w:val="18"/>
        </w:rPr>
        <w:t>Toluca</w:t>
      </w:r>
      <w:r>
        <w:rPr>
          <w:rFonts w:ascii="Arial" w:hAnsi="Arial"/>
          <w:i/>
          <w:color w:val="231F20"/>
          <w:spacing w:val="-19"/>
          <w:w w:val="105"/>
          <w:sz w:val="18"/>
        </w:rPr>
        <w:t> </w:t>
      </w:r>
      <w:r>
        <w:rPr>
          <w:rFonts w:ascii="Arial" w:hAnsi="Arial"/>
          <w:i/>
          <w:color w:val="231F20"/>
          <w:w w:val="105"/>
          <w:sz w:val="18"/>
        </w:rPr>
        <w:t>en</w:t>
      </w:r>
      <w:r>
        <w:rPr>
          <w:rFonts w:ascii="Arial" w:hAnsi="Arial"/>
          <w:i/>
          <w:color w:val="231F20"/>
          <w:spacing w:val="-19"/>
          <w:w w:val="105"/>
          <w:sz w:val="18"/>
        </w:rPr>
        <w:t> </w:t>
      </w:r>
      <w:r>
        <w:rPr>
          <w:rFonts w:ascii="Arial" w:hAnsi="Arial"/>
          <w:i/>
          <w:color w:val="231F20"/>
          <w:w w:val="105"/>
          <w:sz w:val="18"/>
        </w:rPr>
        <w:t>autobús.</w:t>
      </w:r>
      <w:r>
        <w:rPr>
          <w:rFonts w:ascii="Arial" w:hAnsi="Arial"/>
          <w:i/>
          <w:color w:val="231F20"/>
          <w:spacing w:val="-23"/>
          <w:w w:val="105"/>
          <w:sz w:val="18"/>
        </w:rPr>
        <w:t> </w:t>
      </w:r>
      <w:r>
        <w:rPr>
          <w:rFonts w:ascii="Arial" w:hAnsi="Arial"/>
          <w:i/>
          <w:color w:val="231F20"/>
          <w:w w:val="105"/>
          <w:sz w:val="18"/>
        </w:rPr>
        <w:t>Pienso</w:t>
      </w:r>
      <w:r>
        <w:rPr>
          <w:rFonts w:ascii="Arial" w:hAnsi="Arial"/>
          <w:i/>
          <w:color w:val="231F20"/>
          <w:spacing w:val="-19"/>
          <w:w w:val="105"/>
          <w:sz w:val="18"/>
        </w:rPr>
        <w:t> </w:t>
      </w:r>
      <w:r>
        <w:rPr>
          <w:rFonts w:ascii="Arial" w:hAnsi="Arial"/>
          <w:i/>
          <w:color w:val="231F20"/>
          <w:w w:val="105"/>
          <w:sz w:val="18"/>
        </w:rPr>
        <w:t>que</w:t>
      </w:r>
      <w:r>
        <w:rPr>
          <w:rFonts w:ascii="Arial" w:hAnsi="Arial"/>
          <w:i/>
          <w:color w:val="231F20"/>
          <w:spacing w:val="-19"/>
          <w:w w:val="105"/>
          <w:sz w:val="18"/>
        </w:rPr>
        <w:t> </w:t>
      </w:r>
      <w:r>
        <w:rPr>
          <w:rFonts w:ascii="Arial" w:hAnsi="Arial"/>
          <w:i/>
          <w:color w:val="231F20"/>
          <w:w w:val="105"/>
          <w:sz w:val="18"/>
        </w:rPr>
        <w:t>cuando</w:t>
      </w:r>
      <w:r>
        <w:rPr>
          <w:rFonts w:ascii="Arial" w:hAnsi="Arial"/>
          <w:i/>
          <w:color w:val="231F20"/>
          <w:spacing w:val="-19"/>
          <w:w w:val="105"/>
          <w:sz w:val="18"/>
        </w:rPr>
        <w:t> </w:t>
      </w:r>
      <w:r>
        <w:rPr>
          <w:rFonts w:ascii="Arial" w:hAnsi="Arial"/>
          <w:i/>
          <w:color w:val="231F20"/>
          <w:w w:val="105"/>
          <w:sz w:val="18"/>
        </w:rPr>
        <w:t>mis</w:t>
      </w:r>
      <w:r>
        <w:rPr>
          <w:rFonts w:ascii="Arial" w:hAnsi="Arial"/>
          <w:i/>
          <w:color w:val="231F20"/>
          <w:spacing w:val="-19"/>
          <w:w w:val="105"/>
          <w:sz w:val="18"/>
        </w:rPr>
        <w:t> </w:t>
      </w:r>
      <w:r>
        <w:rPr>
          <w:rFonts w:ascii="Arial" w:hAnsi="Arial"/>
          <w:i/>
          <w:color w:val="231F20"/>
          <w:w w:val="105"/>
          <w:sz w:val="18"/>
        </w:rPr>
        <w:t>hijos</w:t>
      </w:r>
      <w:r>
        <w:rPr>
          <w:rFonts w:ascii="Arial" w:hAnsi="Arial"/>
          <w:i/>
          <w:color w:val="231F20"/>
          <w:spacing w:val="-19"/>
          <w:w w:val="105"/>
          <w:sz w:val="18"/>
        </w:rPr>
        <w:t> </w:t>
      </w:r>
      <w:r>
        <w:rPr>
          <w:rFonts w:ascii="Arial" w:hAnsi="Arial"/>
          <w:i/>
          <w:color w:val="231F20"/>
          <w:w w:val="105"/>
          <w:sz w:val="18"/>
        </w:rPr>
        <w:t>vienen</w:t>
      </w:r>
      <w:r>
        <w:rPr>
          <w:rFonts w:ascii="Arial" w:hAnsi="Arial"/>
          <w:i/>
          <w:color w:val="231F20"/>
          <w:spacing w:val="-19"/>
          <w:w w:val="105"/>
          <w:sz w:val="18"/>
        </w:rPr>
        <w:t> </w:t>
      </w:r>
      <w:r>
        <w:rPr>
          <w:rFonts w:ascii="Arial" w:hAnsi="Arial"/>
          <w:i/>
          <w:color w:val="231F20"/>
          <w:w w:val="105"/>
          <w:sz w:val="18"/>
        </w:rPr>
        <w:t>a </w:t>
      </w:r>
      <w:r>
        <w:rPr>
          <w:rFonts w:ascii="Arial" w:hAnsi="Arial"/>
          <w:i/>
          <w:color w:val="231F20"/>
          <w:spacing w:val="-3"/>
          <w:w w:val="105"/>
          <w:sz w:val="18"/>
        </w:rPr>
        <w:t>Tonatico,</w:t>
      </w:r>
      <w:r>
        <w:rPr>
          <w:rFonts w:ascii="Arial" w:hAnsi="Arial"/>
          <w:i/>
          <w:color w:val="231F20"/>
          <w:spacing w:val="-16"/>
          <w:w w:val="105"/>
          <w:sz w:val="18"/>
        </w:rPr>
        <w:t> </w:t>
      </w:r>
      <w:r>
        <w:rPr>
          <w:rFonts w:ascii="Arial" w:hAnsi="Arial"/>
          <w:i/>
          <w:color w:val="231F20"/>
          <w:w w:val="105"/>
          <w:sz w:val="18"/>
        </w:rPr>
        <w:t>lo</w:t>
      </w:r>
      <w:r>
        <w:rPr>
          <w:rFonts w:ascii="Arial" w:hAnsi="Arial"/>
          <w:i/>
          <w:color w:val="231F20"/>
          <w:spacing w:val="-12"/>
          <w:w w:val="105"/>
          <w:sz w:val="18"/>
        </w:rPr>
        <w:t> </w:t>
      </w:r>
      <w:r>
        <w:rPr>
          <w:rFonts w:ascii="Arial" w:hAnsi="Arial"/>
          <w:i/>
          <w:color w:val="231F20"/>
          <w:w w:val="105"/>
          <w:sz w:val="18"/>
        </w:rPr>
        <w:t>hacen</w:t>
      </w:r>
      <w:r>
        <w:rPr>
          <w:rFonts w:ascii="Arial" w:hAnsi="Arial"/>
          <w:i/>
          <w:color w:val="231F20"/>
          <w:spacing w:val="-12"/>
          <w:w w:val="105"/>
          <w:sz w:val="18"/>
        </w:rPr>
        <w:t> </w:t>
      </w:r>
      <w:r>
        <w:rPr>
          <w:rFonts w:ascii="Arial" w:hAnsi="Arial"/>
          <w:i/>
          <w:color w:val="231F20"/>
          <w:w w:val="105"/>
          <w:sz w:val="18"/>
        </w:rPr>
        <w:t>también</w:t>
      </w:r>
      <w:r>
        <w:rPr>
          <w:rFonts w:ascii="Arial" w:hAnsi="Arial"/>
          <w:i/>
          <w:color w:val="231F20"/>
          <w:spacing w:val="-12"/>
          <w:w w:val="105"/>
          <w:sz w:val="18"/>
        </w:rPr>
        <w:t> </w:t>
      </w:r>
      <w:r>
        <w:rPr>
          <w:rFonts w:ascii="Arial" w:hAnsi="Arial"/>
          <w:i/>
          <w:color w:val="231F20"/>
          <w:w w:val="105"/>
          <w:sz w:val="18"/>
        </w:rPr>
        <w:t>con</w:t>
      </w:r>
      <w:r>
        <w:rPr>
          <w:rFonts w:ascii="Arial" w:hAnsi="Arial"/>
          <w:i/>
          <w:color w:val="231F20"/>
          <w:spacing w:val="-12"/>
          <w:w w:val="105"/>
          <w:sz w:val="18"/>
        </w:rPr>
        <w:t> </w:t>
      </w:r>
      <w:r>
        <w:rPr>
          <w:rFonts w:ascii="Arial" w:hAnsi="Arial"/>
          <w:i/>
          <w:color w:val="231F20"/>
          <w:w w:val="105"/>
          <w:sz w:val="18"/>
        </w:rPr>
        <w:t>el</w:t>
      </w:r>
      <w:r>
        <w:rPr>
          <w:rFonts w:ascii="Arial" w:hAnsi="Arial"/>
          <w:i/>
          <w:color w:val="231F20"/>
          <w:spacing w:val="-12"/>
          <w:w w:val="105"/>
          <w:sz w:val="18"/>
        </w:rPr>
        <w:t> </w:t>
      </w:r>
      <w:r>
        <w:rPr>
          <w:rFonts w:ascii="Arial" w:hAnsi="Arial"/>
          <w:i/>
          <w:color w:val="231F20"/>
          <w:w w:val="105"/>
          <w:sz w:val="18"/>
        </w:rPr>
        <w:t>fin</w:t>
      </w:r>
      <w:r>
        <w:rPr>
          <w:rFonts w:ascii="Arial" w:hAnsi="Arial"/>
          <w:i/>
          <w:color w:val="231F20"/>
          <w:spacing w:val="-12"/>
          <w:w w:val="105"/>
          <w:sz w:val="18"/>
        </w:rPr>
        <w:t> </w:t>
      </w:r>
      <w:r>
        <w:rPr>
          <w:rFonts w:ascii="Arial" w:hAnsi="Arial"/>
          <w:i/>
          <w:color w:val="231F20"/>
          <w:w w:val="105"/>
          <w:sz w:val="18"/>
        </w:rPr>
        <w:t>de</w:t>
      </w:r>
      <w:r>
        <w:rPr>
          <w:rFonts w:ascii="Arial" w:hAnsi="Arial"/>
          <w:i/>
          <w:color w:val="231F20"/>
          <w:spacing w:val="-12"/>
          <w:w w:val="105"/>
          <w:sz w:val="18"/>
        </w:rPr>
        <w:t> </w:t>
      </w:r>
      <w:r>
        <w:rPr>
          <w:rFonts w:ascii="Arial" w:hAnsi="Arial"/>
          <w:i/>
          <w:color w:val="231F20"/>
          <w:w w:val="105"/>
          <w:sz w:val="18"/>
        </w:rPr>
        <w:t>que</w:t>
      </w:r>
      <w:r>
        <w:rPr>
          <w:rFonts w:ascii="Arial" w:hAnsi="Arial"/>
          <w:i/>
          <w:color w:val="231F20"/>
          <w:spacing w:val="-12"/>
          <w:w w:val="105"/>
          <w:sz w:val="18"/>
        </w:rPr>
        <w:t> </w:t>
      </w:r>
      <w:r>
        <w:rPr>
          <w:rFonts w:ascii="Arial" w:hAnsi="Arial"/>
          <w:i/>
          <w:color w:val="231F20"/>
          <w:w w:val="105"/>
          <w:sz w:val="18"/>
        </w:rPr>
        <w:t>mis</w:t>
      </w:r>
      <w:r>
        <w:rPr>
          <w:rFonts w:ascii="Arial" w:hAnsi="Arial"/>
          <w:i/>
          <w:color w:val="231F20"/>
          <w:spacing w:val="-12"/>
          <w:w w:val="105"/>
          <w:sz w:val="18"/>
        </w:rPr>
        <w:t> </w:t>
      </w:r>
      <w:r>
        <w:rPr>
          <w:rFonts w:ascii="Arial" w:hAnsi="Arial"/>
          <w:i/>
          <w:color w:val="231F20"/>
          <w:w w:val="105"/>
          <w:sz w:val="18"/>
        </w:rPr>
        <w:t>nietos</w:t>
      </w:r>
      <w:r>
        <w:rPr>
          <w:rFonts w:ascii="Arial" w:hAnsi="Arial"/>
          <w:i/>
          <w:color w:val="231F20"/>
          <w:spacing w:val="-12"/>
          <w:w w:val="105"/>
          <w:sz w:val="18"/>
        </w:rPr>
        <w:t> </w:t>
      </w:r>
      <w:r>
        <w:rPr>
          <w:rFonts w:ascii="Arial" w:hAnsi="Arial"/>
          <w:i/>
          <w:color w:val="231F20"/>
          <w:w w:val="105"/>
          <w:sz w:val="18"/>
        </w:rPr>
        <w:t>que</w:t>
      </w:r>
      <w:r>
        <w:rPr>
          <w:rFonts w:ascii="Arial" w:hAnsi="Arial"/>
          <w:i/>
          <w:color w:val="231F20"/>
          <w:spacing w:val="-12"/>
          <w:w w:val="105"/>
          <w:sz w:val="18"/>
        </w:rPr>
        <w:t> </w:t>
      </w:r>
      <w:r>
        <w:rPr>
          <w:rFonts w:ascii="Arial" w:hAnsi="Arial"/>
          <w:i/>
          <w:color w:val="231F20"/>
          <w:w w:val="105"/>
          <w:sz w:val="18"/>
        </w:rPr>
        <w:t>han</w:t>
      </w:r>
      <w:r>
        <w:rPr>
          <w:rFonts w:ascii="Arial" w:hAnsi="Arial"/>
          <w:i/>
          <w:color w:val="231F20"/>
          <w:spacing w:val="-12"/>
          <w:w w:val="105"/>
          <w:sz w:val="18"/>
        </w:rPr>
        <w:t> </w:t>
      </w:r>
      <w:r>
        <w:rPr>
          <w:rFonts w:ascii="Arial" w:hAnsi="Arial"/>
          <w:i/>
          <w:color w:val="231F20"/>
          <w:w w:val="105"/>
          <w:sz w:val="18"/>
        </w:rPr>
        <w:t>nacido </w:t>
      </w:r>
      <w:r>
        <w:rPr>
          <w:rFonts w:ascii="Arial" w:hAnsi="Arial"/>
          <w:i/>
          <w:color w:val="231F20"/>
          <w:sz w:val="18"/>
        </w:rPr>
        <w:t>en</w:t>
      </w:r>
      <w:r>
        <w:rPr>
          <w:rFonts w:ascii="Arial" w:hAnsi="Arial"/>
          <w:i/>
          <w:color w:val="231F20"/>
          <w:spacing w:val="-10"/>
          <w:sz w:val="18"/>
        </w:rPr>
        <w:t> </w:t>
      </w:r>
      <w:r>
        <w:rPr>
          <w:rFonts w:ascii="Arial" w:hAnsi="Arial"/>
          <w:i/>
          <w:color w:val="231F20"/>
          <w:sz w:val="18"/>
        </w:rPr>
        <w:t>Estados</w:t>
      </w:r>
      <w:r>
        <w:rPr>
          <w:rFonts w:ascii="Arial" w:hAnsi="Arial"/>
          <w:i/>
          <w:color w:val="231F20"/>
          <w:spacing w:val="-10"/>
          <w:sz w:val="18"/>
        </w:rPr>
        <w:t> </w:t>
      </w:r>
      <w:r>
        <w:rPr>
          <w:rFonts w:ascii="Arial" w:hAnsi="Arial"/>
          <w:i/>
          <w:color w:val="231F20"/>
          <w:sz w:val="18"/>
        </w:rPr>
        <w:t>Unidos</w:t>
      </w:r>
      <w:r>
        <w:rPr>
          <w:rFonts w:ascii="Arial" w:hAnsi="Arial"/>
          <w:i/>
          <w:color w:val="231F20"/>
          <w:spacing w:val="-10"/>
          <w:sz w:val="18"/>
        </w:rPr>
        <w:t> </w:t>
      </w:r>
      <w:r>
        <w:rPr>
          <w:rFonts w:ascii="Arial" w:hAnsi="Arial"/>
          <w:i/>
          <w:color w:val="231F20"/>
          <w:sz w:val="18"/>
        </w:rPr>
        <w:t>conozcan</w:t>
      </w:r>
      <w:r>
        <w:rPr>
          <w:rFonts w:ascii="Arial" w:hAnsi="Arial"/>
          <w:i/>
          <w:color w:val="231F20"/>
          <w:spacing w:val="-10"/>
          <w:sz w:val="18"/>
        </w:rPr>
        <w:t> </w:t>
      </w:r>
      <w:r>
        <w:rPr>
          <w:rFonts w:ascii="Arial" w:hAnsi="Arial"/>
          <w:i/>
          <w:color w:val="231F20"/>
          <w:sz w:val="18"/>
        </w:rPr>
        <w:t>sus</w:t>
      </w:r>
      <w:r>
        <w:rPr>
          <w:rFonts w:ascii="Arial" w:hAnsi="Arial"/>
          <w:i/>
          <w:color w:val="231F20"/>
          <w:spacing w:val="-10"/>
          <w:sz w:val="18"/>
        </w:rPr>
        <w:t> </w:t>
      </w:r>
      <w:r>
        <w:rPr>
          <w:rFonts w:ascii="Arial" w:hAnsi="Arial"/>
          <w:i/>
          <w:color w:val="231F20"/>
          <w:sz w:val="18"/>
        </w:rPr>
        <w:t>raíces.</w:t>
      </w:r>
    </w:p>
    <w:p>
      <w:pPr>
        <w:spacing w:line="249" w:lineRule="auto" w:before="114"/>
        <w:ind w:left="2971" w:right="1721" w:firstLine="0"/>
        <w:jc w:val="both"/>
        <w:rPr>
          <w:rFonts w:ascii="Arial" w:hAnsi="Arial"/>
          <w:i/>
          <w:sz w:val="18"/>
        </w:rPr>
      </w:pPr>
      <w:r>
        <w:rPr>
          <w:rFonts w:ascii="Arial" w:hAnsi="Arial"/>
          <w:i/>
          <w:color w:val="231F20"/>
          <w:w w:val="105"/>
          <w:sz w:val="18"/>
        </w:rPr>
        <w:t>Hoy</w:t>
      </w:r>
      <w:r>
        <w:rPr>
          <w:rFonts w:ascii="Arial" w:hAnsi="Arial"/>
          <w:i/>
          <w:color w:val="231F20"/>
          <w:spacing w:val="-14"/>
          <w:w w:val="105"/>
          <w:sz w:val="18"/>
        </w:rPr>
        <w:t> </w:t>
      </w:r>
      <w:r>
        <w:rPr>
          <w:rFonts w:ascii="Arial" w:hAnsi="Arial"/>
          <w:i/>
          <w:color w:val="231F20"/>
          <w:w w:val="105"/>
          <w:sz w:val="18"/>
        </w:rPr>
        <w:t>mi</w:t>
      </w:r>
      <w:r>
        <w:rPr>
          <w:rFonts w:ascii="Arial" w:hAnsi="Arial"/>
          <w:i/>
          <w:color w:val="231F20"/>
          <w:spacing w:val="-14"/>
          <w:w w:val="105"/>
          <w:sz w:val="18"/>
        </w:rPr>
        <w:t> </w:t>
      </w:r>
      <w:r>
        <w:rPr>
          <w:rFonts w:ascii="Arial" w:hAnsi="Arial"/>
          <w:i/>
          <w:color w:val="231F20"/>
          <w:w w:val="105"/>
          <w:sz w:val="18"/>
        </w:rPr>
        <w:t>orgullo</w:t>
      </w:r>
      <w:r>
        <w:rPr>
          <w:rFonts w:ascii="Arial" w:hAnsi="Arial"/>
          <w:i/>
          <w:color w:val="231F20"/>
          <w:spacing w:val="-14"/>
          <w:w w:val="105"/>
          <w:sz w:val="18"/>
        </w:rPr>
        <w:t> </w:t>
      </w:r>
      <w:r>
        <w:rPr>
          <w:rFonts w:ascii="Arial" w:hAnsi="Arial"/>
          <w:i/>
          <w:color w:val="231F20"/>
          <w:w w:val="105"/>
          <w:sz w:val="18"/>
        </w:rPr>
        <w:t>es</w:t>
      </w:r>
      <w:r>
        <w:rPr>
          <w:rFonts w:ascii="Arial" w:hAnsi="Arial"/>
          <w:i/>
          <w:color w:val="231F20"/>
          <w:spacing w:val="-14"/>
          <w:w w:val="105"/>
          <w:sz w:val="18"/>
        </w:rPr>
        <w:t> </w:t>
      </w:r>
      <w:r>
        <w:rPr>
          <w:rFonts w:ascii="Arial" w:hAnsi="Arial"/>
          <w:i/>
          <w:color w:val="231F20"/>
          <w:w w:val="105"/>
          <w:sz w:val="18"/>
        </w:rPr>
        <w:t>que</w:t>
      </w:r>
      <w:r>
        <w:rPr>
          <w:rFonts w:ascii="Arial" w:hAnsi="Arial"/>
          <w:i/>
          <w:color w:val="231F20"/>
          <w:spacing w:val="-14"/>
          <w:w w:val="105"/>
          <w:sz w:val="18"/>
        </w:rPr>
        <w:t> </w:t>
      </w:r>
      <w:r>
        <w:rPr>
          <w:rFonts w:ascii="Arial" w:hAnsi="Arial"/>
          <w:i/>
          <w:color w:val="231F20"/>
          <w:w w:val="105"/>
          <w:sz w:val="18"/>
        </w:rPr>
        <w:t>mis</w:t>
      </w:r>
      <w:r>
        <w:rPr>
          <w:rFonts w:ascii="Arial" w:hAnsi="Arial"/>
          <w:i/>
          <w:color w:val="231F20"/>
          <w:spacing w:val="-14"/>
          <w:w w:val="105"/>
          <w:sz w:val="18"/>
        </w:rPr>
        <w:t> </w:t>
      </w:r>
      <w:r>
        <w:rPr>
          <w:rFonts w:ascii="Arial" w:hAnsi="Arial"/>
          <w:i/>
          <w:color w:val="231F20"/>
          <w:w w:val="105"/>
          <w:sz w:val="18"/>
        </w:rPr>
        <w:t>hijos</w:t>
      </w:r>
      <w:r>
        <w:rPr>
          <w:rFonts w:ascii="Arial" w:hAnsi="Arial"/>
          <w:i/>
          <w:color w:val="231F20"/>
          <w:spacing w:val="-14"/>
          <w:w w:val="105"/>
          <w:sz w:val="18"/>
        </w:rPr>
        <w:t> </w:t>
      </w:r>
      <w:r>
        <w:rPr>
          <w:rFonts w:ascii="Arial" w:hAnsi="Arial"/>
          <w:i/>
          <w:color w:val="231F20"/>
          <w:w w:val="105"/>
          <w:sz w:val="18"/>
        </w:rPr>
        <w:t>están</w:t>
      </w:r>
      <w:r>
        <w:rPr>
          <w:rFonts w:ascii="Arial" w:hAnsi="Arial"/>
          <w:i/>
          <w:color w:val="231F20"/>
          <w:spacing w:val="-14"/>
          <w:w w:val="105"/>
          <w:sz w:val="18"/>
        </w:rPr>
        <w:t> </w:t>
      </w:r>
      <w:r>
        <w:rPr>
          <w:rFonts w:ascii="Arial" w:hAnsi="Arial"/>
          <w:i/>
          <w:color w:val="231F20"/>
          <w:w w:val="105"/>
          <w:sz w:val="18"/>
        </w:rPr>
        <w:t>bien,</w:t>
      </w:r>
      <w:r>
        <w:rPr>
          <w:rFonts w:ascii="Arial" w:hAnsi="Arial"/>
          <w:i/>
          <w:color w:val="231F20"/>
          <w:spacing w:val="-18"/>
          <w:w w:val="105"/>
          <w:sz w:val="18"/>
        </w:rPr>
        <w:t> </w:t>
      </w:r>
      <w:r>
        <w:rPr>
          <w:rFonts w:ascii="Arial" w:hAnsi="Arial"/>
          <w:i/>
          <w:color w:val="231F20"/>
          <w:w w:val="105"/>
          <w:sz w:val="18"/>
        </w:rPr>
        <w:t>que</w:t>
      </w:r>
      <w:r>
        <w:rPr>
          <w:rFonts w:ascii="Arial" w:hAnsi="Arial"/>
          <w:i/>
          <w:color w:val="231F20"/>
          <w:spacing w:val="-14"/>
          <w:w w:val="105"/>
          <w:sz w:val="18"/>
        </w:rPr>
        <w:t> </w:t>
      </w:r>
      <w:r>
        <w:rPr>
          <w:rFonts w:ascii="Arial" w:hAnsi="Arial"/>
          <w:i/>
          <w:color w:val="231F20"/>
          <w:w w:val="105"/>
          <w:sz w:val="18"/>
        </w:rPr>
        <w:t>yo</w:t>
      </w:r>
      <w:r>
        <w:rPr>
          <w:rFonts w:ascii="Arial" w:hAnsi="Arial"/>
          <w:i/>
          <w:color w:val="231F20"/>
          <w:spacing w:val="-14"/>
          <w:w w:val="105"/>
          <w:sz w:val="18"/>
        </w:rPr>
        <w:t> </w:t>
      </w:r>
      <w:r>
        <w:rPr>
          <w:rFonts w:ascii="Arial" w:hAnsi="Arial"/>
          <w:i/>
          <w:color w:val="231F20"/>
          <w:w w:val="105"/>
          <w:sz w:val="18"/>
        </w:rPr>
        <w:t>estoy</w:t>
      </w:r>
      <w:r>
        <w:rPr>
          <w:rFonts w:ascii="Arial" w:hAnsi="Arial"/>
          <w:i/>
          <w:color w:val="231F20"/>
          <w:spacing w:val="-14"/>
          <w:w w:val="105"/>
          <w:sz w:val="18"/>
        </w:rPr>
        <w:t> </w:t>
      </w:r>
      <w:r>
        <w:rPr>
          <w:rFonts w:ascii="Arial" w:hAnsi="Arial"/>
          <w:i/>
          <w:color w:val="231F20"/>
          <w:w w:val="105"/>
          <w:sz w:val="18"/>
        </w:rPr>
        <w:t>y</w:t>
      </w:r>
      <w:r>
        <w:rPr>
          <w:rFonts w:ascii="Arial" w:hAnsi="Arial"/>
          <w:i/>
          <w:color w:val="231F20"/>
          <w:spacing w:val="-14"/>
          <w:w w:val="105"/>
          <w:sz w:val="18"/>
        </w:rPr>
        <w:t> </w:t>
      </w:r>
      <w:r>
        <w:rPr>
          <w:rFonts w:ascii="Arial" w:hAnsi="Arial"/>
          <w:i/>
          <w:color w:val="231F20"/>
          <w:w w:val="105"/>
          <w:sz w:val="18"/>
        </w:rPr>
        <w:t>convivo</w:t>
      </w:r>
      <w:r>
        <w:rPr>
          <w:rFonts w:ascii="Arial" w:hAnsi="Arial"/>
          <w:i/>
          <w:color w:val="231F20"/>
          <w:spacing w:val="-14"/>
          <w:w w:val="105"/>
          <w:sz w:val="18"/>
        </w:rPr>
        <w:t> </w:t>
      </w:r>
      <w:r>
        <w:rPr>
          <w:rFonts w:ascii="Arial" w:hAnsi="Arial"/>
          <w:i/>
          <w:color w:val="231F20"/>
          <w:w w:val="105"/>
          <w:sz w:val="18"/>
        </w:rPr>
        <w:t>bien </w:t>
      </w:r>
      <w:r>
        <w:rPr>
          <w:rFonts w:ascii="Arial" w:hAnsi="Arial"/>
          <w:i/>
          <w:color w:val="231F20"/>
          <w:w w:val="105"/>
          <w:sz w:val="18"/>
        </w:rPr>
        <w:t>con</w:t>
      </w:r>
      <w:r>
        <w:rPr>
          <w:rFonts w:ascii="Arial" w:hAnsi="Arial"/>
          <w:i/>
          <w:color w:val="231F20"/>
          <w:spacing w:val="-12"/>
          <w:w w:val="105"/>
          <w:sz w:val="18"/>
        </w:rPr>
        <w:t> </w:t>
      </w:r>
      <w:r>
        <w:rPr>
          <w:rFonts w:ascii="Arial" w:hAnsi="Arial"/>
          <w:i/>
          <w:color w:val="231F20"/>
          <w:w w:val="105"/>
          <w:sz w:val="18"/>
        </w:rPr>
        <w:t>ellos.</w:t>
      </w:r>
      <w:r>
        <w:rPr>
          <w:rFonts w:ascii="Arial" w:hAnsi="Arial"/>
          <w:i/>
          <w:color w:val="231F20"/>
          <w:spacing w:val="-16"/>
          <w:w w:val="105"/>
          <w:sz w:val="18"/>
        </w:rPr>
        <w:t> </w:t>
      </w:r>
      <w:r>
        <w:rPr>
          <w:rFonts w:ascii="Arial" w:hAnsi="Arial"/>
          <w:i/>
          <w:color w:val="231F20"/>
          <w:w w:val="105"/>
          <w:sz w:val="18"/>
        </w:rPr>
        <w:t>Nos</w:t>
      </w:r>
      <w:r>
        <w:rPr>
          <w:rFonts w:ascii="Arial" w:hAnsi="Arial"/>
          <w:i/>
          <w:color w:val="231F20"/>
          <w:spacing w:val="-12"/>
          <w:w w:val="105"/>
          <w:sz w:val="18"/>
        </w:rPr>
        <w:t> </w:t>
      </w:r>
      <w:r>
        <w:rPr>
          <w:rFonts w:ascii="Arial" w:hAnsi="Arial"/>
          <w:i/>
          <w:color w:val="231F20"/>
          <w:w w:val="105"/>
          <w:sz w:val="18"/>
        </w:rPr>
        <w:t>seguimos</w:t>
      </w:r>
      <w:r>
        <w:rPr>
          <w:rFonts w:ascii="Arial" w:hAnsi="Arial"/>
          <w:i/>
          <w:color w:val="231F20"/>
          <w:spacing w:val="-12"/>
          <w:w w:val="105"/>
          <w:sz w:val="18"/>
        </w:rPr>
        <w:t> </w:t>
      </w:r>
      <w:r>
        <w:rPr>
          <w:rFonts w:ascii="Arial" w:hAnsi="Arial"/>
          <w:i/>
          <w:color w:val="231F20"/>
          <w:w w:val="105"/>
          <w:sz w:val="18"/>
        </w:rPr>
        <w:t>ayudando</w:t>
      </w:r>
      <w:r>
        <w:rPr>
          <w:rFonts w:ascii="Arial" w:hAnsi="Arial"/>
          <w:i/>
          <w:color w:val="231F20"/>
          <w:spacing w:val="-12"/>
          <w:w w:val="105"/>
          <w:sz w:val="18"/>
        </w:rPr>
        <w:t> </w:t>
      </w:r>
      <w:r>
        <w:rPr>
          <w:rFonts w:ascii="Arial" w:hAnsi="Arial"/>
          <w:i/>
          <w:color w:val="231F20"/>
          <w:w w:val="105"/>
          <w:sz w:val="18"/>
        </w:rPr>
        <w:t>unos</w:t>
      </w:r>
      <w:r>
        <w:rPr>
          <w:rFonts w:ascii="Arial" w:hAnsi="Arial"/>
          <w:i/>
          <w:color w:val="231F20"/>
          <w:spacing w:val="-12"/>
          <w:w w:val="105"/>
          <w:sz w:val="18"/>
        </w:rPr>
        <w:t> </w:t>
      </w:r>
      <w:r>
        <w:rPr>
          <w:rFonts w:ascii="Arial" w:hAnsi="Arial"/>
          <w:i/>
          <w:color w:val="231F20"/>
          <w:w w:val="105"/>
          <w:sz w:val="18"/>
        </w:rPr>
        <w:t>a</w:t>
      </w:r>
      <w:r>
        <w:rPr>
          <w:rFonts w:ascii="Arial" w:hAnsi="Arial"/>
          <w:i/>
          <w:color w:val="231F20"/>
          <w:spacing w:val="-12"/>
          <w:w w:val="105"/>
          <w:sz w:val="18"/>
        </w:rPr>
        <w:t> </w:t>
      </w:r>
      <w:r>
        <w:rPr>
          <w:rFonts w:ascii="Arial" w:hAnsi="Arial"/>
          <w:i/>
          <w:color w:val="231F20"/>
          <w:w w:val="105"/>
          <w:sz w:val="18"/>
        </w:rPr>
        <w:t>otros.</w:t>
      </w:r>
      <w:r>
        <w:rPr>
          <w:rFonts w:ascii="Arial" w:hAnsi="Arial"/>
          <w:i/>
          <w:color w:val="231F20"/>
          <w:spacing w:val="-18"/>
          <w:w w:val="105"/>
          <w:sz w:val="18"/>
        </w:rPr>
        <w:t> </w:t>
      </w:r>
      <w:r>
        <w:rPr>
          <w:rFonts w:ascii="Arial" w:hAnsi="Arial"/>
          <w:i/>
          <w:color w:val="231F20"/>
          <w:w w:val="105"/>
          <w:sz w:val="18"/>
        </w:rPr>
        <w:t>Ahora</w:t>
      </w:r>
      <w:r>
        <w:rPr>
          <w:rFonts w:ascii="Arial" w:hAnsi="Arial"/>
          <w:i/>
          <w:color w:val="231F20"/>
          <w:spacing w:val="-12"/>
          <w:w w:val="105"/>
          <w:sz w:val="18"/>
        </w:rPr>
        <w:t> </w:t>
      </w:r>
      <w:r>
        <w:rPr>
          <w:rFonts w:ascii="Arial" w:hAnsi="Arial"/>
          <w:i/>
          <w:color w:val="231F20"/>
          <w:w w:val="105"/>
          <w:sz w:val="18"/>
        </w:rPr>
        <w:t>soy</w:t>
      </w:r>
      <w:r>
        <w:rPr>
          <w:rFonts w:ascii="Arial" w:hAnsi="Arial"/>
          <w:i/>
          <w:color w:val="231F20"/>
          <w:spacing w:val="-12"/>
          <w:w w:val="105"/>
          <w:sz w:val="18"/>
        </w:rPr>
        <w:t> </w:t>
      </w:r>
      <w:r>
        <w:rPr>
          <w:rFonts w:ascii="Arial" w:hAnsi="Arial"/>
          <w:i/>
          <w:color w:val="231F20"/>
          <w:w w:val="105"/>
          <w:sz w:val="18"/>
        </w:rPr>
        <w:t>ciudadano de</w:t>
      </w:r>
      <w:r>
        <w:rPr>
          <w:rFonts w:ascii="Arial" w:hAnsi="Arial"/>
          <w:i/>
          <w:color w:val="231F20"/>
          <w:spacing w:val="-34"/>
          <w:w w:val="105"/>
          <w:sz w:val="18"/>
        </w:rPr>
        <w:t> </w:t>
      </w:r>
      <w:r>
        <w:rPr>
          <w:rFonts w:ascii="Arial" w:hAnsi="Arial"/>
          <w:i/>
          <w:color w:val="231F20"/>
          <w:w w:val="105"/>
          <w:sz w:val="18"/>
        </w:rPr>
        <w:t>Estados</w:t>
      </w:r>
      <w:r>
        <w:rPr>
          <w:rFonts w:ascii="Arial" w:hAnsi="Arial"/>
          <w:i/>
          <w:color w:val="231F20"/>
          <w:spacing w:val="-34"/>
          <w:w w:val="105"/>
          <w:sz w:val="18"/>
        </w:rPr>
        <w:t> </w:t>
      </w:r>
      <w:r>
        <w:rPr>
          <w:rFonts w:ascii="Arial" w:hAnsi="Arial"/>
          <w:i/>
          <w:color w:val="231F20"/>
          <w:w w:val="105"/>
          <w:sz w:val="18"/>
        </w:rPr>
        <w:t>Unidos,</w:t>
      </w:r>
      <w:r>
        <w:rPr>
          <w:rFonts w:ascii="Arial" w:hAnsi="Arial"/>
          <w:i/>
          <w:color w:val="231F20"/>
          <w:spacing w:val="-36"/>
          <w:w w:val="105"/>
          <w:sz w:val="18"/>
        </w:rPr>
        <w:t> </w:t>
      </w:r>
      <w:r>
        <w:rPr>
          <w:rFonts w:ascii="Arial" w:hAnsi="Arial"/>
          <w:i/>
          <w:color w:val="231F20"/>
          <w:w w:val="105"/>
          <w:sz w:val="18"/>
        </w:rPr>
        <w:t>puedo</w:t>
      </w:r>
      <w:r>
        <w:rPr>
          <w:rFonts w:ascii="Arial" w:hAnsi="Arial"/>
          <w:i/>
          <w:color w:val="231F20"/>
          <w:spacing w:val="-34"/>
          <w:w w:val="105"/>
          <w:sz w:val="18"/>
        </w:rPr>
        <w:t> </w:t>
      </w:r>
      <w:r>
        <w:rPr>
          <w:rFonts w:ascii="Arial" w:hAnsi="Arial"/>
          <w:i/>
          <w:color w:val="231F20"/>
          <w:w w:val="105"/>
          <w:sz w:val="18"/>
        </w:rPr>
        <w:t>estar</w:t>
      </w:r>
      <w:r>
        <w:rPr>
          <w:rFonts w:ascii="Arial" w:hAnsi="Arial"/>
          <w:i/>
          <w:color w:val="231F20"/>
          <w:spacing w:val="-34"/>
          <w:w w:val="105"/>
          <w:sz w:val="18"/>
        </w:rPr>
        <w:t> </w:t>
      </w:r>
      <w:r>
        <w:rPr>
          <w:rFonts w:ascii="Arial" w:hAnsi="Arial"/>
          <w:i/>
          <w:color w:val="231F20"/>
          <w:w w:val="105"/>
          <w:sz w:val="18"/>
        </w:rPr>
        <w:t>ahí,</w:t>
      </w:r>
      <w:r>
        <w:rPr>
          <w:rFonts w:ascii="Arial" w:hAnsi="Arial"/>
          <w:i/>
          <w:color w:val="231F20"/>
          <w:spacing w:val="-36"/>
          <w:w w:val="105"/>
          <w:sz w:val="18"/>
        </w:rPr>
        <w:t> </w:t>
      </w:r>
      <w:r>
        <w:rPr>
          <w:rFonts w:ascii="Arial" w:hAnsi="Arial"/>
          <w:i/>
          <w:color w:val="231F20"/>
          <w:w w:val="105"/>
          <w:sz w:val="18"/>
        </w:rPr>
        <w:t>salir</w:t>
      </w:r>
      <w:r>
        <w:rPr>
          <w:rFonts w:ascii="Arial" w:hAnsi="Arial"/>
          <w:i/>
          <w:color w:val="231F20"/>
          <w:spacing w:val="-34"/>
          <w:w w:val="105"/>
          <w:sz w:val="18"/>
        </w:rPr>
        <w:t> </w:t>
      </w:r>
      <w:r>
        <w:rPr>
          <w:rFonts w:ascii="Arial" w:hAnsi="Arial"/>
          <w:i/>
          <w:color w:val="231F20"/>
          <w:w w:val="105"/>
          <w:sz w:val="18"/>
        </w:rPr>
        <w:t>y</w:t>
      </w:r>
      <w:r>
        <w:rPr>
          <w:rFonts w:ascii="Arial" w:hAnsi="Arial"/>
          <w:i/>
          <w:color w:val="231F20"/>
          <w:spacing w:val="-34"/>
          <w:w w:val="105"/>
          <w:sz w:val="18"/>
        </w:rPr>
        <w:t> </w:t>
      </w:r>
      <w:r>
        <w:rPr>
          <w:rFonts w:ascii="Arial" w:hAnsi="Arial"/>
          <w:i/>
          <w:color w:val="231F20"/>
          <w:w w:val="105"/>
          <w:sz w:val="18"/>
        </w:rPr>
        <w:t>regresar</w:t>
      </w:r>
      <w:r>
        <w:rPr>
          <w:rFonts w:ascii="Arial" w:hAnsi="Arial"/>
          <w:i/>
          <w:color w:val="231F20"/>
          <w:spacing w:val="-34"/>
          <w:w w:val="105"/>
          <w:sz w:val="18"/>
        </w:rPr>
        <w:t> </w:t>
      </w:r>
      <w:r>
        <w:rPr>
          <w:rFonts w:ascii="Arial" w:hAnsi="Arial"/>
          <w:i/>
          <w:color w:val="231F20"/>
          <w:w w:val="105"/>
          <w:sz w:val="18"/>
        </w:rPr>
        <w:t>sin</w:t>
      </w:r>
      <w:r>
        <w:rPr>
          <w:rFonts w:ascii="Arial" w:hAnsi="Arial"/>
          <w:i/>
          <w:color w:val="231F20"/>
          <w:spacing w:val="-34"/>
          <w:w w:val="105"/>
          <w:sz w:val="18"/>
        </w:rPr>
        <w:t> </w:t>
      </w:r>
      <w:r>
        <w:rPr>
          <w:rFonts w:ascii="Arial" w:hAnsi="Arial"/>
          <w:i/>
          <w:color w:val="231F20"/>
          <w:w w:val="105"/>
          <w:sz w:val="18"/>
        </w:rPr>
        <w:t>problemas.</w:t>
      </w:r>
      <w:r>
        <w:rPr>
          <w:rFonts w:ascii="Arial" w:hAnsi="Arial"/>
          <w:i/>
          <w:color w:val="231F20"/>
          <w:spacing w:val="-39"/>
          <w:w w:val="105"/>
          <w:sz w:val="18"/>
        </w:rPr>
        <w:t> </w:t>
      </w:r>
      <w:r>
        <w:rPr>
          <w:rFonts w:ascii="Arial" w:hAnsi="Arial"/>
          <w:i/>
          <w:color w:val="231F20"/>
          <w:spacing w:val="-5"/>
          <w:w w:val="105"/>
          <w:sz w:val="18"/>
        </w:rPr>
        <w:t>Tomé </w:t>
      </w:r>
      <w:r>
        <w:rPr>
          <w:rFonts w:ascii="Arial" w:hAnsi="Arial"/>
          <w:i/>
          <w:color w:val="231F20"/>
          <w:w w:val="105"/>
          <w:sz w:val="18"/>
        </w:rPr>
        <w:t>mi</w:t>
      </w:r>
      <w:r>
        <w:rPr>
          <w:rFonts w:ascii="Arial" w:hAnsi="Arial"/>
          <w:i/>
          <w:color w:val="231F20"/>
          <w:spacing w:val="-4"/>
          <w:w w:val="105"/>
          <w:sz w:val="18"/>
        </w:rPr>
        <w:t> </w:t>
      </w:r>
      <w:r>
        <w:rPr>
          <w:rFonts w:ascii="Arial" w:hAnsi="Arial"/>
          <w:i/>
          <w:color w:val="231F20"/>
          <w:w w:val="105"/>
          <w:sz w:val="18"/>
        </w:rPr>
        <w:t>curso</w:t>
      </w:r>
      <w:r>
        <w:rPr>
          <w:rFonts w:ascii="Arial" w:hAnsi="Arial"/>
          <w:i/>
          <w:color w:val="231F20"/>
          <w:spacing w:val="-4"/>
          <w:w w:val="105"/>
          <w:sz w:val="18"/>
        </w:rPr>
        <w:t> </w:t>
      </w:r>
      <w:r>
        <w:rPr>
          <w:rFonts w:ascii="Arial" w:hAnsi="Arial"/>
          <w:i/>
          <w:color w:val="231F20"/>
          <w:w w:val="105"/>
          <w:sz w:val="18"/>
        </w:rPr>
        <w:t>de</w:t>
      </w:r>
      <w:r>
        <w:rPr>
          <w:rFonts w:ascii="Arial" w:hAnsi="Arial"/>
          <w:i/>
          <w:color w:val="231F20"/>
          <w:spacing w:val="-4"/>
          <w:w w:val="105"/>
          <w:sz w:val="18"/>
        </w:rPr>
        <w:t> </w:t>
      </w:r>
      <w:r>
        <w:rPr>
          <w:rFonts w:ascii="Arial" w:hAnsi="Arial"/>
          <w:i/>
          <w:color w:val="231F20"/>
          <w:w w:val="105"/>
          <w:sz w:val="18"/>
        </w:rPr>
        <w:t>ciudadanía</w:t>
      </w:r>
      <w:r>
        <w:rPr>
          <w:rFonts w:ascii="Arial" w:hAnsi="Arial"/>
          <w:i/>
          <w:color w:val="231F20"/>
          <w:spacing w:val="-4"/>
          <w:w w:val="105"/>
          <w:sz w:val="18"/>
        </w:rPr>
        <w:t> </w:t>
      </w:r>
      <w:r>
        <w:rPr>
          <w:rFonts w:ascii="Arial" w:hAnsi="Arial"/>
          <w:i/>
          <w:color w:val="231F20"/>
          <w:w w:val="105"/>
          <w:sz w:val="18"/>
        </w:rPr>
        <w:t>en</w:t>
      </w:r>
      <w:r>
        <w:rPr>
          <w:rFonts w:ascii="Arial" w:hAnsi="Arial"/>
          <w:i/>
          <w:color w:val="231F20"/>
          <w:spacing w:val="-4"/>
          <w:w w:val="105"/>
          <w:sz w:val="18"/>
        </w:rPr>
        <w:t> </w:t>
      </w:r>
      <w:r>
        <w:rPr>
          <w:rFonts w:ascii="Arial" w:hAnsi="Arial"/>
          <w:i/>
          <w:color w:val="231F20"/>
          <w:w w:val="105"/>
          <w:sz w:val="18"/>
        </w:rPr>
        <w:t>la</w:t>
      </w:r>
      <w:r>
        <w:rPr>
          <w:rFonts w:ascii="Arial" w:hAnsi="Arial"/>
          <w:i/>
          <w:color w:val="231F20"/>
          <w:spacing w:val="-4"/>
          <w:w w:val="105"/>
          <w:sz w:val="18"/>
        </w:rPr>
        <w:t> </w:t>
      </w:r>
      <w:r>
        <w:rPr>
          <w:rFonts w:ascii="Arial" w:hAnsi="Arial"/>
          <w:i/>
          <w:color w:val="231F20"/>
          <w:w w:val="105"/>
          <w:sz w:val="18"/>
        </w:rPr>
        <w:t>biblioteca</w:t>
      </w:r>
      <w:r>
        <w:rPr>
          <w:rFonts w:ascii="Arial" w:hAnsi="Arial"/>
          <w:i/>
          <w:color w:val="231F20"/>
          <w:spacing w:val="-4"/>
          <w:w w:val="105"/>
          <w:sz w:val="18"/>
        </w:rPr>
        <w:t> </w:t>
      </w:r>
      <w:r>
        <w:rPr>
          <w:rFonts w:ascii="Arial" w:hAnsi="Arial"/>
          <w:i/>
          <w:color w:val="231F20"/>
          <w:w w:val="105"/>
          <w:sz w:val="18"/>
        </w:rPr>
        <w:t>pública</w:t>
      </w:r>
      <w:r>
        <w:rPr>
          <w:rFonts w:ascii="Arial" w:hAnsi="Arial"/>
          <w:i/>
          <w:color w:val="231F20"/>
          <w:spacing w:val="-4"/>
          <w:w w:val="105"/>
          <w:sz w:val="18"/>
        </w:rPr>
        <w:t> </w:t>
      </w:r>
      <w:r>
        <w:rPr>
          <w:rFonts w:ascii="Arial" w:hAnsi="Arial"/>
          <w:i/>
          <w:color w:val="231F20"/>
          <w:w w:val="105"/>
          <w:sz w:val="18"/>
        </w:rPr>
        <w:t>de</w:t>
      </w:r>
      <w:r>
        <w:rPr>
          <w:rFonts w:ascii="Arial" w:hAnsi="Arial"/>
          <w:i/>
          <w:color w:val="231F20"/>
          <w:spacing w:val="-5"/>
          <w:w w:val="105"/>
          <w:sz w:val="18"/>
        </w:rPr>
        <w:t> </w:t>
      </w:r>
      <w:r>
        <w:rPr>
          <w:rFonts w:ascii="Arial" w:hAnsi="Arial"/>
          <w:i/>
          <w:color w:val="231F20"/>
          <w:w w:val="105"/>
          <w:sz w:val="18"/>
        </w:rPr>
        <w:t>Waukegan,</w:t>
      </w:r>
      <w:r>
        <w:rPr>
          <w:rFonts w:ascii="Arial" w:hAnsi="Arial"/>
          <w:i/>
          <w:color w:val="231F20"/>
          <w:spacing w:val="-8"/>
          <w:w w:val="105"/>
          <w:sz w:val="18"/>
        </w:rPr>
        <w:t> </w:t>
      </w:r>
      <w:r>
        <w:rPr>
          <w:rFonts w:ascii="Arial" w:hAnsi="Arial"/>
          <w:i/>
          <w:color w:val="231F20"/>
          <w:w w:val="105"/>
          <w:sz w:val="18"/>
        </w:rPr>
        <w:t>ahí</w:t>
      </w:r>
      <w:r>
        <w:rPr>
          <w:rFonts w:ascii="Arial" w:hAnsi="Arial"/>
          <w:i/>
          <w:color w:val="231F20"/>
          <w:spacing w:val="-4"/>
          <w:w w:val="105"/>
          <w:sz w:val="18"/>
        </w:rPr>
        <w:t> </w:t>
      </w:r>
      <w:r>
        <w:rPr>
          <w:rFonts w:ascii="Arial" w:hAnsi="Arial"/>
          <w:i/>
          <w:color w:val="231F20"/>
          <w:w w:val="105"/>
          <w:sz w:val="18"/>
        </w:rPr>
        <w:t>me prepararon</w:t>
      </w:r>
      <w:r>
        <w:rPr>
          <w:rFonts w:ascii="Arial" w:hAnsi="Arial"/>
          <w:i/>
          <w:color w:val="231F20"/>
          <w:spacing w:val="-15"/>
          <w:w w:val="105"/>
          <w:sz w:val="18"/>
        </w:rPr>
        <w:t> </w:t>
      </w:r>
      <w:r>
        <w:rPr>
          <w:rFonts w:ascii="Arial" w:hAnsi="Arial"/>
          <w:i/>
          <w:color w:val="231F20"/>
          <w:w w:val="105"/>
          <w:sz w:val="18"/>
        </w:rPr>
        <w:t>durante</w:t>
      </w:r>
      <w:r>
        <w:rPr>
          <w:rFonts w:ascii="Arial" w:hAnsi="Arial"/>
          <w:i/>
          <w:color w:val="231F20"/>
          <w:spacing w:val="-15"/>
          <w:w w:val="105"/>
          <w:sz w:val="18"/>
        </w:rPr>
        <w:t> </w:t>
      </w:r>
      <w:r>
        <w:rPr>
          <w:rFonts w:ascii="Arial" w:hAnsi="Arial"/>
          <w:i/>
          <w:color w:val="231F20"/>
          <w:w w:val="105"/>
          <w:sz w:val="18"/>
        </w:rPr>
        <w:t>tres</w:t>
      </w:r>
      <w:r>
        <w:rPr>
          <w:rFonts w:ascii="Arial" w:hAnsi="Arial"/>
          <w:i/>
          <w:color w:val="231F20"/>
          <w:spacing w:val="-15"/>
          <w:w w:val="105"/>
          <w:sz w:val="18"/>
        </w:rPr>
        <w:t> </w:t>
      </w:r>
      <w:r>
        <w:rPr>
          <w:rFonts w:ascii="Arial" w:hAnsi="Arial"/>
          <w:i/>
          <w:color w:val="231F20"/>
          <w:w w:val="105"/>
          <w:sz w:val="18"/>
        </w:rPr>
        <w:t>meses</w:t>
      </w:r>
      <w:r>
        <w:rPr>
          <w:rFonts w:ascii="Arial" w:hAnsi="Arial"/>
          <w:i/>
          <w:color w:val="231F20"/>
          <w:spacing w:val="-15"/>
          <w:w w:val="105"/>
          <w:sz w:val="18"/>
        </w:rPr>
        <w:t> </w:t>
      </w:r>
      <w:r>
        <w:rPr>
          <w:rFonts w:ascii="Arial" w:hAnsi="Arial"/>
          <w:i/>
          <w:color w:val="231F20"/>
          <w:w w:val="105"/>
          <w:sz w:val="18"/>
        </w:rPr>
        <w:t>para</w:t>
      </w:r>
      <w:r>
        <w:rPr>
          <w:rFonts w:ascii="Arial" w:hAnsi="Arial"/>
          <w:i/>
          <w:color w:val="231F20"/>
          <w:spacing w:val="-15"/>
          <w:w w:val="105"/>
          <w:sz w:val="18"/>
        </w:rPr>
        <w:t> </w:t>
      </w:r>
      <w:r>
        <w:rPr>
          <w:rFonts w:ascii="Arial" w:hAnsi="Arial"/>
          <w:i/>
          <w:color w:val="231F20"/>
          <w:w w:val="105"/>
          <w:sz w:val="18"/>
        </w:rPr>
        <w:t>presentar</w:t>
      </w:r>
      <w:r>
        <w:rPr>
          <w:rFonts w:ascii="Arial" w:hAnsi="Arial"/>
          <w:i/>
          <w:color w:val="231F20"/>
          <w:spacing w:val="-15"/>
          <w:w w:val="105"/>
          <w:sz w:val="18"/>
        </w:rPr>
        <w:t> </w:t>
      </w:r>
      <w:r>
        <w:rPr>
          <w:rFonts w:ascii="Arial" w:hAnsi="Arial"/>
          <w:i/>
          <w:color w:val="231F20"/>
          <w:w w:val="105"/>
          <w:sz w:val="18"/>
        </w:rPr>
        <w:t>un</w:t>
      </w:r>
      <w:r>
        <w:rPr>
          <w:rFonts w:ascii="Arial" w:hAnsi="Arial"/>
          <w:i/>
          <w:color w:val="231F20"/>
          <w:spacing w:val="-15"/>
          <w:w w:val="105"/>
          <w:sz w:val="18"/>
        </w:rPr>
        <w:t> </w:t>
      </w:r>
      <w:r>
        <w:rPr>
          <w:rFonts w:ascii="Arial" w:hAnsi="Arial"/>
          <w:i/>
          <w:color w:val="231F20"/>
          <w:w w:val="105"/>
          <w:sz w:val="18"/>
        </w:rPr>
        <w:t>examen</w:t>
      </w:r>
      <w:r>
        <w:rPr>
          <w:rFonts w:ascii="Arial" w:hAnsi="Arial"/>
          <w:i/>
          <w:color w:val="231F20"/>
          <w:spacing w:val="-15"/>
          <w:w w:val="105"/>
          <w:sz w:val="18"/>
        </w:rPr>
        <w:t> </w:t>
      </w:r>
      <w:r>
        <w:rPr>
          <w:rFonts w:ascii="Arial" w:hAnsi="Arial"/>
          <w:i/>
          <w:color w:val="231F20"/>
          <w:w w:val="105"/>
          <w:sz w:val="18"/>
        </w:rPr>
        <w:t>de</w:t>
      </w:r>
      <w:r>
        <w:rPr>
          <w:rFonts w:ascii="Arial" w:hAnsi="Arial"/>
          <w:i/>
          <w:color w:val="231F20"/>
          <w:spacing w:val="-15"/>
          <w:w w:val="105"/>
          <w:sz w:val="18"/>
        </w:rPr>
        <w:t> </w:t>
      </w:r>
      <w:r>
        <w:rPr>
          <w:rFonts w:ascii="Arial" w:hAnsi="Arial"/>
          <w:i/>
          <w:color w:val="231F20"/>
          <w:w w:val="105"/>
          <w:sz w:val="18"/>
        </w:rPr>
        <w:t>cien</w:t>
      </w:r>
      <w:r>
        <w:rPr>
          <w:rFonts w:ascii="Arial" w:hAnsi="Arial"/>
          <w:i/>
          <w:color w:val="231F20"/>
          <w:spacing w:val="-15"/>
          <w:w w:val="105"/>
          <w:sz w:val="18"/>
        </w:rPr>
        <w:t> </w:t>
      </w:r>
      <w:r>
        <w:rPr>
          <w:rFonts w:ascii="Arial" w:hAnsi="Arial"/>
          <w:i/>
          <w:color w:val="231F20"/>
          <w:w w:val="105"/>
          <w:sz w:val="18"/>
        </w:rPr>
        <w:t>pre- guntas que es obligatorio, y el examen lo hice en Chicago, el día que lo</w:t>
      </w:r>
      <w:r>
        <w:rPr>
          <w:rFonts w:ascii="Arial" w:hAnsi="Arial"/>
          <w:i/>
          <w:color w:val="231F20"/>
          <w:spacing w:val="-8"/>
          <w:w w:val="105"/>
          <w:sz w:val="18"/>
        </w:rPr>
        <w:t> </w:t>
      </w:r>
      <w:r>
        <w:rPr>
          <w:rFonts w:ascii="Arial" w:hAnsi="Arial"/>
          <w:i/>
          <w:color w:val="231F20"/>
          <w:w w:val="105"/>
          <w:sz w:val="18"/>
        </w:rPr>
        <w:t>presenté</w:t>
      </w:r>
      <w:r>
        <w:rPr>
          <w:rFonts w:ascii="Arial" w:hAnsi="Arial"/>
          <w:i/>
          <w:color w:val="231F20"/>
          <w:spacing w:val="-8"/>
          <w:w w:val="105"/>
          <w:sz w:val="18"/>
        </w:rPr>
        <w:t> </w:t>
      </w:r>
      <w:r>
        <w:rPr>
          <w:rFonts w:ascii="Arial" w:hAnsi="Arial"/>
          <w:i/>
          <w:color w:val="231F20"/>
          <w:w w:val="105"/>
          <w:sz w:val="18"/>
        </w:rPr>
        <w:t>me</w:t>
      </w:r>
      <w:r>
        <w:rPr>
          <w:rFonts w:ascii="Arial" w:hAnsi="Arial"/>
          <w:i/>
          <w:color w:val="231F20"/>
          <w:spacing w:val="-8"/>
          <w:w w:val="105"/>
          <w:sz w:val="18"/>
        </w:rPr>
        <w:t> </w:t>
      </w:r>
      <w:r>
        <w:rPr>
          <w:rFonts w:ascii="Arial" w:hAnsi="Arial"/>
          <w:i/>
          <w:color w:val="231F20"/>
          <w:w w:val="105"/>
          <w:sz w:val="18"/>
        </w:rPr>
        <w:t>acompañó</w:t>
      </w:r>
      <w:r>
        <w:rPr>
          <w:rFonts w:ascii="Arial" w:hAnsi="Arial"/>
          <w:i/>
          <w:color w:val="231F20"/>
          <w:spacing w:val="-8"/>
          <w:w w:val="105"/>
          <w:sz w:val="18"/>
        </w:rPr>
        <w:t> </w:t>
      </w:r>
      <w:r>
        <w:rPr>
          <w:rFonts w:ascii="Arial" w:hAnsi="Arial"/>
          <w:i/>
          <w:color w:val="231F20"/>
          <w:w w:val="105"/>
          <w:sz w:val="18"/>
        </w:rPr>
        <w:t>mi</w:t>
      </w:r>
      <w:r>
        <w:rPr>
          <w:rFonts w:ascii="Arial" w:hAnsi="Arial"/>
          <w:i/>
          <w:color w:val="231F20"/>
          <w:spacing w:val="-8"/>
          <w:w w:val="105"/>
          <w:sz w:val="18"/>
        </w:rPr>
        <w:t> </w:t>
      </w:r>
      <w:r>
        <w:rPr>
          <w:rFonts w:ascii="Arial" w:hAnsi="Arial"/>
          <w:i/>
          <w:color w:val="231F20"/>
          <w:w w:val="105"/>
          <w:sz w:val="18"/>
        </w:rPr>
        <w:t>hijo</w:t>
      </w:r>
      <w:r>
        <w:rPr>
          <w:rFonts w:ascii="Arial" w:hAnsi="Arial"/>
          <w:i/>
          <w:color w:val="231F20"/>
          <w:spacing w:val="-8"/>
          <w:w w:val="105"/>
          <w:sz w:val="18"/>
        </w:rPr>
        <w:t> </w:t>
      </w:r>
      <w:r>
        <w:rPr>
          <w:rFonts w:ascii="Arial" w:hAnsi="Arial"/>
          <w:i/>
          <w:color w:val="231F20"/>
          <w:w w:val="105"/>
          <w:sz w:val="18"/>
        </w:rPr>
        <w:t>Luis.</w:t>
      </w:r>
      <w:r>
        <w:rPr>
          <w:rFonts w:ascii="Arial" w:hAnsi="Arial"/>
          <w:i/>
          <w:color w:val="231F20"/>
          <w:spacing w:val="-12"/>
          <w:w w:val="105"/>
          <w:sz w:val="18"/>
        </w:rPr>
        <w:t> </w:t>
      </w:r>
      <w:r>
        <w:rPr>
          <w:rFonts w:ascii="Arial" w:hAnsi="Arial"/>
          <w:i/>
          <w:color w:val="231F20"/>
          <w:w w:val="105"/>
          <w:sz w:val="18"/>
        </w:rPr>
        <w:t>Después</w:t>
      </w:r>
      <w:r>
        <w:rPr>
          <w:rFonts w:ascii="Arial" w:hAnsi="Arial"/>
          <w:i/>
          <w:color w:val="231F20"/>
          <w:spacing w:val="-8"/>
          <w:w w:val="105"/>
          <w:sz w:val="18"/>
        </w:rPr>
        <w:t> </w:t>
      </w:r>
      <w:r>
        <w:rPr>
          <w:rFonts w:ascii="Arial" w:hAnsi="Arial"/>
          <w:i/>
          <w:color w:val="231F20"/>
          <w:w w:val="105"/>
          <w:sz w:val="18"/>
        </w:rPr>
        <w:t>hice</w:t>
      </w:r>
      <w:r>
        <w:rPr>
          <w:rFonts w:ascii="Arial" w:hAnsi="Arial"/>
          <w:i/>
          <w:color w:val="231F20"/>
          <w:spacing w:val="-8"/>
          <w:w w:val="105"/>
          <w:sz w:val="18"/>
        </w:rPr>
        <w:t> </w:t>
      </w:r>
      <w:r>
        <w:rPr>
          <w:rFonts w:ascii="Arial" w:hAnsi="Arial"/>
          <w:i/>
          <w:color w:val="231F20"/>
          <w:w w:val="105"/>
          <w:sz w:val="18"/>
        </w:rPr>
        <w:t>el</w:t>
      </w:r>
      <w:r>
        <w:rPr>
          <w:rFonts w:ascii="Arial" w:hAnsi="Arial"/>
          <w:i/>
          <w:color w:val="231F20"/>
          <w:spacing w:val="-8"/>
          <w:w w:val="105"/>
          <w:sz w:val="18"/>
        </w:rPr>
        <w:t> </w:t>
      </w:r>
      <w:r>
        <w:rPr>
          <w:rFonts w:ascii="Arial" w:hAnsi="Arial"/>
          <w:i/>
          <w:color w:val="231F20"/>
          <w:w w:val="105"/>
          <w:sz w:val="18"/>
        </w:rPr>
        <w:t>juramento</w:t>
      </w:r>
      <w:r>
        <w:rPr>
          <w:rFonts w:ascii="Arial" w:hAnsi="Arial"/>
          <w:i/>
          <w:color w:val="231F20"/>
          <w:spacing w:val="-8"/>
          <w:w w:val="105"/>
          <w:sz w:val="18"/>
        </w:rPr>
        <w:t> </w:t>
      </w:r>
      <w:r>
        <w:rPr>
          <w:rFonts w:ascii="Arial" w:hAnsi="Arial"/>
          <w:i/>
          <w:color w:val="231F20"/>
          <w:w w:val="105"/>
          <w:sz w:val="18"/>
        </w:rPr>
        <w:t>y</w:t>
      </w:r>
      <w:r>
        <w:rPr>
          <w:rFonts w:ascii="Arial" w:hAnsi="Arial"/>
          <w:i/>
          <w:color w:val="231F20"/>
          <w:spacing w:val="-8"/>
          <w:w w:val="105"/>
          <w:sz w:val="18"/>
        </w:rPr>
        <w:t> </w:t>
      </w:r>
      <w:r>
        <w:rPr>
          <w:rFonts w:ascii="Arial" w:hAnsi="Arial"/>
          <w:i/>
          <w:color w:val="231F20"/>
          <w:w w:val="105"/>
          <w:sz w:val="18"/>
        </w:rPr>
        <w:t>al finalizar</w:t>
      </w:r>
      <w:r>
        <w:rPr>
          <w:rFonts w:ascii="Arial" w:hAnsi="Arial"/>
          <w:i/>
          <w:color w:val="231F20"/>
          <w:spacing w:val="-7"/>
          <w:w w:val="105"/>
          <w:sz w:val="18"/>
        </w:rPr>
        <w:t> </w:t>
      </w:r>
      <w:r>
        <w:rPr>
          <w:rFonts w:ascii="Arial" w:hAnsi="Arial"/>
          <w:i/>
          <w:color w:val="231F20"/>
          <w:w w:val="105"/>
          <w:sz w:val="18"/>
        </w:rPr>
        <w:t>la</w:t>
      </w:r>
      <w:r>
        <w:rPr>
          <w:rFonts w:ascii="Arial" w:hAnsi="Arial"/>
          <w:i/>
          <w:color w:val="231F20"/>
          <w:spacing w:val="-7"/>
          <w:w w:val="105"/>
          <w:sz w:val="18"/>
        </w:rPr>
        <w:t> </w:t>
      </w:r>
      <w:r>
        <w:rPr>
          <w:rFonts w:ascii="Arial" w:hAnsi="Arial"/>
          <w:i/>
          <w:color w:val="231F20"/>
          <w:w w:val="105"/>
          <w:sz w:val="18"/>
        </w:rPr>
        <w:t>ceremonia</w:t>
      </w:r>
      <w:r>
        <w:rPr>
          <w:rFonts w:ascii="Arial" w:hAnsi="Arial"/>
          <w:i/>
          <w:color w:val="231F20"/>
          <w:spacing w:val="-7"/>
          <w:w w:val="105"/>
          <w:sz w:val="18"/>
        </w:rPr>
        <w:t> </w:t>
      </w:r>
      <w:r>
        <w:rPr>
          <w:rFonts w:ascii="Arial" w:hAnsi="Arial"/>
          <w:i/>
          <w:color w:val="231F20"/>
          <w:w w:val="105"/>
          <w:sz w:val="18"/>
        </w:rPr>
        <w:t>me</w:t>
      </w:r>
      <w:r>
        <w:rPr>
          <w:rFonts w:ascii="Arial" w:hAnsi="Arial"/>
          <w:i/>
          <w:color w:val="231F20"/>
          <w:spacing w:val="-7"/>
          <w:w w:val="105"/>
          <w:sz w:val="18"/>
        </w:rPr>
        <w:t> </w:t>
      </w:r>
      <w:r>
        <w:rPr>
          <w:rFonts w:ascii="Arial" w:hAnsi="Arial"/>
          <w:i/>
          <w:color w:val="231F20"/>
          <w:w w:val="105"/>
          <w:sz w:val="18"/>
        </w:rPr>
        <w:t>dieron</w:t>
      </w:r>
      <w:r>
        <w:rPr>
          <w:rFonts w:ascii="Arial" w:hAnsi="Arial"/>
          <w:i/>
          <w:color w:val="231F20"/>
          <w:spacing w:val="-7"/>
          <w:w w:val="105"/>
          <w:sz w:val="18"/>
        </w:rPr>
        <w:t> </w:t>
      </w:r>
      <w:r>
        <w:rPr>
          <w:rFonts w:ascii="Arial" w:hAnsi="Arial"/>
          <w:i/>
          <w:color w:val="231F20"/>
          <w:w w:val="105"/>
          <w:sz w:val="18"/>
        </w:rPr>
        <w:t>un</w:t>
      </w:r>
      <w:r>
        <w:rPr>
          <w:rFonts w:ascii="Arial" w:hAnsi="Arial"/>
          <w:i/>
          <w:color w:val="231F20"/>
          <w:spacing w:val="-7"/>
          <w:w w:val="105"/>
          <w:sz w:val="18"/>
        </w:rPr>
        <w:t> </w:t>
      </w:r>
      <w:r>
        <w:rPr>
          <w:rFonts w:ascii="Arial" w:hAnsi="Arial"/>
          <w:i/>
          <w:color w:val="231F20"/>
          <w:w w:val="105"/>
          <w:sz w:val="18"/>
        </w:rPr>
        <w:t>papel</w:t>
      </w:r>
      <w:r>
        <w:rPr>
          <w:rFonts w:ascii="Arial" w:hAnsi="Arial"/>
          <w:i/>
          <w:color w:val="231F20"/>
          <w:spacing w:val="-7"/>
          <w:w w:val="105"/>
          <w:sz w:val="18"/>
        </w:rPr>
        <w:t> </w:t>
      </w:r>
      <w:r>
        <w:rPr>
          <w:rFonts w:ascii="Arial" w:hAnsi="Arial"/>
          <w:i/>
          <w:color w:val="231F20"/>
          <w:w w:val="105"/>
          <w:sz w:val="18"/>
        </w:rPr>
        <w:t>con</w:t>
      </w:r>
      <w:r>
        <w:rPr>
          <w:rFonts w:ascii="Arial" w:hAnsi="Arial"/>
          <w:i/>
          <w:color w:val="231F20"/>
          <w:spacing w:val="-7"/>
          <w:w w:val="105"/>
          <w:sz w:val="18"/>
        </w:rPr>
        <w:t> </w:t>
      </w:r>
      <w:r>
        <w:rPr>
          <w:rFonts w:ascii="Arial" w:hAnsi="Arial"/>
          <w:i/>
          <w:color w:val="231F20"/>
          <w:w w:val="105"/>
          <w:sz w:val="18"/>
        </w:rPr>
        <w:t>el</w:t>
      </w:r>
      <w:r>
        <w:rPr>
          <w:rFonts w:ascii="Arial" w:hAnsi="Arial"/>
          <w:i/>
          <w:color w:val="231F20"/>
          <w:spacing w:val="-7"/>
          <w:w w:val="105"/>
          <w:sz w:val="18"/>
        </w:rPr>
        <w:t> </w:t>
      </w:r>
      <w:r>
        <w:rPr>
          <w:rFonts w:ascii="Arial" w:hAnsi="Arial"/>
          <w:i/>
          <w:color w:val="231F20"/>
          <w:w w:val="105"/>
          <w:sz w:val="18"/>
        </w:rPr>
        <w:t>que</w:t>
      </w:r>
      <w:r>
        <w:rPr>
          <w:rFonts w:ascii="Arial" w:hAnsi="Arial"/>
          <w:i/>
          <w:color w:val="231F20"/>
          <w:spacing w:val="-7"/>
          <w:w w:val="105"/>
          <w:sz w:val="18"/>
        </w:rPr>
        <w:t> </w:t>
      </w:r>
      <w:r>
        <w:rPr>
          <w:rFonts w:ascii="Arial" w:hAnsi="Arial"/>
          <w:i/>
          <w:color w:val="231F20"/>
          <w:w w:val="105"/>
          <w:sz w:val="18"/>
        </w:rPr>
        <w:t>ya</w:t>
      </w:r>
      <w:r>
        <w:rPr>
          <w:rFonts w:ascii="Arial" w:hAnsi="Arial"/>
          <w:i/>
          <w:color w:val="231F20"/>
          <w:spacing w:val="-7"/>
          <w:w w:val="105"/>
          <w:sz w:val="18"/>
        </w:rPr>
        <w:t> </w:t>
      </w:r>
      <w:r>
        <w:rPr>
          <w:rFonts w:ascii="Arial" w:hAnsi="Arial"/>
          <w:i/>
          <w:color w:val="231F20"/>
          <w:w w:val="105"/>
          <w:sz w:val="18"/>
        </w:rPr>
        <w:t>podía</w:t>
      </w:r>
      <w:r>
        <w:rPr>
          <w:rFonts w:ascii="Arial" w:hAnsi="Arial"/>
          <w:i/>
          <w:color w:val="231F20"/>
          <w:spacing w:val="-7"/>
          <w:w w:val="105"/>
          <w:sz w:val="18"/>
        </w:rPr>
        <w:t> </w:t>
      </w:r>
      <w:r>
        <w:rPr>
          <w:rFonts w:ascii="Arial" w:hAnsi="Arial"/>
          <w:i/>
          <w:color w:val="231F20"/>
          <w:w w:val="105"/>
          <w:sz w:val="18"/>
        </w:rPr>
        <w:t>tramitar mi</w:t>
      </w:r>
      <w:r>
        <w:rPr>
          <w:rFonts w:ascii="Arial" w:hAnsi="Arial"/>
          <w:i/>
          <w:color w:val="231F20"/>
          <w:spacing w:val="-20"/>
          <w:w w:val="105"/>
          <w:sz w:val="18"/>
        </w:rPr>
        <w:t> </w:t>
      </w:r>
      <w:r>
        <w:rPr>
          <w:rFonts w:ascii="Arial" w:hAnsi="Arial"/>
          <w:i/>
          <w:color w:val="231F20"/>
          <w:w w:val="105"/>
          <w:sz w:val="18"/>
        </w:rPr>
        <w:t>pasaporte</w:t>
      </w:r>
      <w:r>
        <w:rPr>
          <w:rFonts w:ascii="Arial" w:hAnsi="Arial"/>
          <w:i/>
          <w:color w:val="231F20"/>
          <w:spacing w:val="-20"/>
          <w:w w:val="105"/>
          <w:sz w:val="18"/>
        </w:rPr>
        <w:t> </w:t>
      </w:r>
      <w:r>
        <w:rPr>
          <w:rFonts w:ascii="Arial" w:hAnsi="Arial"/>
          <w:i/>
          <w:color w:val="231F20"/>
          <w:w w:val="105"/>
          <w:sz w:val="18"/>
        </w:rPr>
        <w:t>como</w:t>
      </w:r>
      <w:r>
        <w:rPr>
          <w:rFonts w:ascii="Arial" w:hAnsi="Arial"/>
          <w:i/>
          <w:color w:val="231F20"/>
          <w:spacing w:val="-20"/>
          <w:w w:val="105"/>
          <w:sz w:val="18"/>
        </w:rPr>
        <w:t> </w:t>
      </w:r>
      <w:r>
        <w:rPr>
          <w:rFonts w:ascii="Arial" w:hAnsi="Arial"/>
          <w:i/>
          <w:color w:val="231F20"/>
          <w:w w:val="105"/>
          <w:sz w:val="18"/>
        </w:rPr>
        <w:t>ciudadano</w:t>
      </w:r>
      <w:r>
        <w:rPr>
          <w:rFonts w:ascii="Arial" w:hAnsi="Arial"/>
          <w:i/>
          <w:color w:val="231F20"/>
          <w:spacing w:val="-20"/>
          <w:w w:val="105"/>
          <w:sz w:val="18"/>
        </w:rPr>
        <w:t> </w:t>
      </w:r>
      <w:r>
        <w:rPr>
          <w:rFonts w:ascii="Arial" w:hAnsi="Arial"/>
          <w:i/>
          <w:color w:val="231F20"/>
          <w:w w:val="105"/>
          <w:sz w:val="18"/>
        </w:rPr>
        <w:t>de</w:t>
      </w:r>
      <w:r>
        <w:rPr>
          <w:rFonts w:ascii="Arial" w:hAnsi="Arial"/>
          <w:i/>
          <w:color w:val="231F20"/>
          <w:spacing w:val="-20"/>
          <w:w w:val="105"/>
          <w:sz w:val="18"/>
        </w:rPr>
        <w:t> </w:t>
      </w:r>
      <w:r>
        <w:rPr>
          <w:rFonts w:ascii="Arial" w:hAnsi="Arial"/>
          <w:i/>
          <w:color w:val="231F20"/>
          <w:w w:val="105"/>
          <w:sz w:val="18"/>
        </w:rPr>
        <w:t>Estados</w:t>
      </w:r>
      <w:r>
        <w:rPr>
          <w:rFonts w:ascii="Arial" w:hAnsi="Arial"/>
          <w:i/>
          <w:color w:val="231F20"/>
          <w:spacing w:val="-20"/>
          <w:w w:val="105"/>
          <w:sz w:val="18"/>
        </w:rPr>
        <w:t> </w:t>
      </w:r>
      <w:r>
        <w:rPr>
          <w:rFonts w:ascii="Arial" w:hAnsi="Arial"/>
          <w:i/>
          <w:color w:val="231F20"/>
          <w:w w:val="105"/>
          <w:sz w:val="18"/>
        </w:rPr>
        <w:t>Unidos</w:t>
      </w:r>
      <w:r>
        <w:rPr>
          <w:rFonts w:ascii="Arial" w:hAnsi="Arial"/>
          <w:i/>
          <w:color w:val="231F20"/>
          <w:spacing w:val="-20"/>
          <w:w w:val="105"/>
          <w:sz w:val="18"/>
        </w:rPr>
        <w:t> </w:t>
      </w:r>
      <w:r>
        <w:rPr>
          <w:rFonts w:ascii="Arial" w:hAnsi="Arial"/>
          <w:i/>
          <w:color w:val="231F20"/>
          <w:w w:val="105"/>
          <w:sz w:val="18"/>
        </w:rPr>
        <w:t>y</w:t>
      </w:r>
      <w:r>
        <w:rPr>
          <w:rFonts w:ascii="Arial" w:hAnsi="Arial"/>
          <w:i/>
          <w:color w:val="231F20"/>
          <w:spacing w:val="-20"/>
          <w:w w:val="105"/>
          <w:sz w:val="18"/>
        </w:rPr>
        <w:t> </w:t>
      </w:r>
      <w:r>
        <w:rPr>
          <w:rFonts w:ascii="Arial" w:hAnsi="Arial"/>
          <w:i/>
          <w:color w:val="231F20"/>
          <w:w w:val="105"/>
          <w:sz w:val="18"/>
        </w:rPr>
        <w:t>así</w:t>
      </w:r>
      <w:r>
        <w:rPr>
          <w:rFonts w:ascii="Arial" w:hAnsi="Arial"/>
          <w:i/>
          <w:color w:val="231F20"/>
          <w:spacing w:val="-20"/>
          <w:w w:val="105"/>
          <w:sz w:val="18"/>
        </w:rPr>
        <w:t> </w:t>
      </w:r>
      <w:r>
        <w:rPr>
          <w:rFonts w:ascii="Arial" w:hAnsi="Arial"/>
          <w:i/>
          <w:color w:val="231F20"/>
          <w:w w:val="105"/>
          <w:sz w:val="18"/>
        </w:rPr>
        <w:t>lo</w:t>
      </w:r>
      <w:r>
        <w:rPr>
          <w:rFonts w:ascii="Arial" w:hAnsi="Arial"/>
          <w:i/>
          <w:color w:val="231F20"/>
          <w:spacing w:val="-20"/>
          <w:w w:val="105"/>
          <w:sz w:val="18"/>
        </w:rPr>
        <w:t> </w:t>
      </w:r>
      <w:r>
        <w:rPr>
          <w:rFonts w:ascii="Arial" w:hAnsi="Arial"/>
          <w:i/>
          <w:color w:val="231F20"/>
          <w:w w:val="105"/>
          <w:sz w:val="18"/>
        </w:rPr>
        <w:t>hice.</w:t>
      </w:r>
    </w:p>
    <w:p>
      <w:pPr>
        <w:spacing w:line="249" w:lineRule="auto" w:before="114"/>
        <w:ind w:left="2971" w:right="1715" w:firstLine="0"/>
        <w:jc w:val="both"/>
        <w:rPr>
          <w:rFonts w:ascii="Arial" w:hAnsi="Arial"/>
          <w:i/>
          <w:sz w:val="18"/>
        </w:rPr>
      </w:pPr>
      <w:r>
        <w:rPr/>
        <w:pict>
          <v:line style="position:absolute;mso-position-horizontal-relative:page;mso-position-vertical-relative:paragraph;z-index:-444472" from="15pt,174.083786pt" to="0pt,174.083786pt" stroked="true" strokeweight=".25pt" strokecolor="#000000">
            <w10:wrap type="none"/>
          </v:line>
        </w:pict>
      </w:r>
      <w:r>
        <w:rPr/>
        <w:pict>
          <v:line style="position:absolute;mso-position-horizontal-relative:page;mso-position-vertical-relative:paragraph;z-index:45736" from="508.890015pt,174.083786pt" to="523.890015pt,174.083786pt" stroked="true" strokeweight=".25pt" strokecolor="#000000">
            <w10:wrap type="none"/>
          </v:line>
        </w:pict>
      </w:r>
      <w:r>
        <w:rPr>
          <w:rFonts w:ascii="Arial" w:hAnsi="Arial"/>
          <w:i/>
          <w:color w:val="231F20"/>
          <w:w w:val="105"/>
          <w:sz w:val="18"/>
        </w:rPr>
        <w:t>Con</w:t>
      </w:r>
      <w:r>
        <w:rPr>
          <w:rFonts w:ascii="Arial" w:hAnsi="Arial"/>
          <w:i/>
          <w:color w:val="231F20"/>
          <w:spacing w:val="-8"/>
          <w:w w:val="105"/>
          <w:sz w:val="18"/>
        </w:rPr>
        <w:t> </w:t>
      </w:r>
      <w:r>
        <w:rPr>
          <w:rFonts w:ascii="Arial" w:hAnsi="Arial"/>
          <w:i/>
          <w:color w:val="231F20"/>
          <w:w w:val="105"/>
          <w:sz w:val="18"/>
        </w:rPr>
        <w:t>mis</w:t>
      </w:r>
      <w:r>
        <w:rPr>
          <w:rFonts w:ascii="Arial" w:hAnsi="Arial"/>
          <w:i/>
          <w:color w:val="231F20"/>
          <w:spacing w:val="-8"/>
          <w:w w:val="105"/>
          <w:sz w:val="18"/>
        </w:rPr>
        <w:t> </w:t>
      </w:r>
      <w:r>
        <w:rPr>
          <w:rFonts w:ascii="Arial" w:hAnsi="Arial"/>
          <w:i/>
          <w:color w:val="231F20"/>
          <w:w w:val="105"/>
          <w:sz w:val="18"/>
        </w:rPr>
        <w:t>hijos,</w:t>
      </w:r>
      <w:r>
        <w:rPr>
          <w:rFonts w:ascii="Arial" w:hAnsi="Arial"/>
          <w:i/>
          <w:color w:val="231F20"/>
          <w:spacing w:val="-12"/>
          <w:w w:val="105"/>
          <w:sz w:val="18"/>
        </w:rPr>
        <w:t> </w:t>
      </w:r>
      <w:r>
        <w:rPr>
          <w:rFonts w:ascii="Arial" w:hAnsi="Arial"/>
          <w:i/>
          <w:color w:val="231F20"/>
          <w:w w:val="105"/>
          <w:sz w:val="18"/>
        </w:rPr>
        <w:t>nietos,</w:t>
      </w:r>
      <w:r>
        <w:rPr>
          <w:rFonts w:ascii="Arial" w:hAnsi="Arial"/>
          <w:i/>
          <w:color w:val="231F20"/>
          <w:spacing w:val="-12"/>
          <w:w w:val="105"/>
          <w:sz w:val="18"/>
        </w:rPr>
        <w:t> </w:t>
      </w:r>
      <w:r>
        <w:rPr>
          <w:rFonts w:ascii="Arial" w:hAnsi="Arial"/>
          <w:i/>
          <w:color w:val="231F20"/>
          <w:w w:val="105"/>
          <w:sz w:val="18"/>
        </w:rPr>
        <w:t>bisnietos</w:t>
      </w:r>
      <w:r>
        <w:rPr>
          <w:rFonts w:ascii="Arial" w:hAnsi="Arial"/>
          <w:i/>
          <w:color w:val="231F20"/>
          <w:spacing w:val="-8"/>
          <w:w w:val="105"/>
          <w:sz w:val="18"/>
        </w:rPr>
        <w:t> </w:t>
      </w:r>
      <w:r>
        <w:rPr>
          <w:rFonts w:ascii="Arial" w:hAnsi="Arial"/>
          <w:i/>
          <w:color w:val="231F20"/>
          <w:w w:val="105"/>
          <w:sz w:val="18"/>
        </w:rPr>
        <w:t>y</w:t>
      </w:r>
      <w:r>
        <w:rPr>
          <w:rFonts w:ascii="Arial" w:hAnsi="Arial"/>
          <w:i/>
          <w:color w:val="231F20"/>
          <w:spacing w:val="-8"/>
          <w:w w:val="105"/>
          <w:sz w:val="18"/>
        </w:rPr>
        <w:t> </w:t>
      </w:r>
      <w:r>
        <w:rPr>
          <w:rFonts w:ascii="Arial" w:hAnsi="Arial"/>
          <w:i/>
          <w:color w:val="231F20"/>
          <w:w w:val="105"/>
          <w:sz w:val="18"/>
        </w:rPr>
        <w:t>una</w:t>
      </w:r>
      <w:r>
        <w:rPr>
          <w:rFonts w:ascii="Arial" w:hAnsi="Arial"/>
          <w:i/>
          <w:color w:val="231F20"/>
          <w:spacing w:val="-8"/>
          <w:w w:val="105"/>
          <w:sz w:val="18"/>
        </w:rPr>
        <w:t> </w:t>
      </w:r>
      <w:r>
        <w:rPr>
          <w:rFonts w:ascii="Arial" w:hAnsi="Arial"/>
          <w:i/>
          <w:color w:val="231F20"/>
          <w:w w:val="105"/>
          <w:sz w:val="18"/>
        </w:rPr>
        <w:t>tataranieta</w:t>
      </w:r>
      <w:r>
        <w:rPr>
          <w:rFonts w:ascii="Arial" w:hAnsi="Arial"/>
          <w:i/>
          <w:color w:val="231F20"/>
          <w:spacing w:val="-8"/>
          <w:w w:val="105"/>
          <w:sz w:val="18"/>
        </w:rPr>
        <w:t> </w:t>
      </w:r>
      <w:r>
        <w:rPr>
          <w:rFonts w:ascii="Arial" w:hAnsi="Arial"/>
          <w:i/>
          <w:color w:val="231F20"/>
          <w:w w:val="105"/>
          <w:sz w:val="18"/>
        </w:rPr>
        <w:t>las</w:t>
      </w:r>
      <w:r>
        <w:rPr>
          <w:rFonts w:ascii="Arial" w:hAnsi="Arial"/>
          <w:i/>
          <w:color w:val="231F20"/>
          <w:spacing w:val="-8"/>
          <w:w w:val="105"/>
          <w:sz w:val="18"/>
        </w:rPr>
        <w:t> </w:t>
      </w:r>
      <w:r>
        <w:rPr>
          <w:rFonts w:ascii="Arial" w:hAnsi="Arial"/>
          <w:i/>
          <w:color w:val="231F20"/>
          <w:w w:val="105"/>
          <w:sz w:val="18"/>
        </w:rPr>
        <w:t>cosas</w:t>
      </w:r>
      <w:r>
        <w:rPr>
          <w:rFonts w:ascii="Arial" w:hAnsi="Arial"/>
          <w:i/>
          <w:color w:val="231F20"/>
          <w:spacing w:val="-8"/>
          <w:w w:val="105"/>
          <w:sz w:val="18"/>
        </w:rPr>
        <w:t> </w:t>
      </w:r>
      <w:r>
        <w:rPr>
          <w:rFonts w:ascii="Arial" w:hAnsi="Arial"/>
          <w:i/>
          <w:color w:val="231F20"/>
          <w:w w:val="105"/>
          <w:sz w:val="18"/>
        </w:rPr>
        <w:t>están</w:t>
      </w:r>
      <w:r>
        <w:rPr>
          <w:rFonts w:ascii="Arial" w:hAnsi="Arial"/>
          <w:i/>
          <w:color w:val="231F20"/>
          <w:spacing w:val="-8"/>
          <w:w w:val="105"/>
          <w:sz w:val="18"/>
        </w:rPr>
        <w:t> </w:t>
      </w:r>
      <w:r>
        <w:rPr>
          <w:rFonts w:ascii="Arial" w:hAnsi="Arial"/>
          <w:i/>
          <w:color w:val="231F20"/>
          <w:w w:val="105"/>
          <w:sz w:val="18"/>
        </w:rPr>
        <w:t>bien. </w:t>
      </w:r>
      <w:r>
        <w:rPr>
          <w:rFonts w:ascii="Arial" w:hAnsi="Arial"/>
          <w:i/>
          <w:color w:val="231F20"/>
          <w:w w:val="105"/>
          <w:sz w:val="18"/>
        </w:rPr>
        <w:t>Las</w:t>
      </w:r>
      <w:r>
        <w:rPr>
          <w:rFonts w:ascii="Arial" w:hAnsi="Arial"/>
          <w:i/>
          <w:color w:val="231F20"/>
          <w:spacing w:val="-18"/>
          <w:w w:val="105"/>
          <w:sz w:val="18"/>
        </w:rPr>
        <w:t> </w:t>
      </w:r>
      <w:r>
        <w:rPr>
          <w:rFonts w:ascii="Arial" w:hAnsi="Arial"/>
          <w:i/>
          <w:color w:val="231F20"/>
          <w:w w:val="105"/>
          <w:sz w:val="18"/>
        </w:rPr>
        <w:t>experiencias</w:t>
      </w:r>
      <w:r>
        <w:rPr>
          <w:rFonts w:ascii="Arial" w:hAnsi="Arial"/>
          <w:i/>
          <w:color w:val="231F20"/>
          <w:spacing w:val="-18"/>
          <w:w w:val="105"/>
          <w:sz w:val="18"/>
        </w:rPr>
        <w:t> </w:t>
      </w:r>
      <w:r>
        <w:rPr>
          <w:rFonts w:ascii="Arial" w:hAnsi="Arial"/>
          <w:i/>
          <w:color w:val="231F20"/>
          <w:w w:val="105"/>
          <w:sz w:val="18"/>
        </w:rPr>
        <w:t>que</w:t>
      </w:r>
      <w:r>
        <w:rPr>
          <w:rFonts w:ascii="Arial" w:hAnsi="Arial"/>
          <w:i/>
          <w:color w:val="231F20"/>
          <w:spacing w:val="-18"/>
          <w:w w:val="105"/>
          <w:sz w:val="18"/>
        </w:rPr>
        <w:t> </w:t>
      </w:r>
      <w:r>
        <w:rPr>
          <w:rFonts w:ascii="Arial" w:hAnsi="Arial"/>
          <w:i/>
          <w:color w:val="231F20"/>
          <w:w w:val="105"/>
          <w:sz w:val="18"/>
        </w:rPr>
        <w:t>hemos</w:t>
      </w:r>
      <w:r>
        <w:rPr>
          <w:rFonts w:ascii="Arial" w:hAnsi="Arial"/>
          <w:i/>
          <w:color w:val="231F20"/>
          <w:spacing w:val="-18"/>
          <w:w w:val="105"/>
          <w:sz w:val="18"/>
        </w:rPr>
        <w:t> </w:t>
      </w:r>
      <w:r>
        <w:rPr>
          <w:rFonts w:ascii="Arial" w:hAnsi="Arial"/>
          <w:i/>
          <w:color w:val="231F20"/>
          <w:w w:val="105"/>
          <w:sz w:val="18"/>
        </w:rPr>
        <w:t>vivido,</w:t>
      </w:r>
      <w:r>
        <w:rPr>
          <w:rFonts w:ascii="Arial" w:hAnsi="Arial"/>
          <w:i/>
          <w:color w:val="231F20"/>
          <w:spacing w:val="-22"/>
          <w:w w:val="105"/>
          <w:sz w:val="18"/>
        </w:rPr>
        <w:t> </w:t>
      </w:r>
      <w:r>
        <w:rPr>
          <w:rFonts w:ascii="Arial" w:hAnsi="Arial"/>
          <w:i/>
          <w:color w:val="231F20"/>
          <w:w w:val="105"/>
          <w:sz w:val="18"/>
        </w:rPr>
        <w:t>como</w:t>
      </w:r>
      <w:r>
        <w:rPr>
          <w:rFonts w:ascii="Arial" w:hAnsi="Arial"/>
          <w:i/>
          <w:color w:val="231F20"/>
          <w:spacing w:val="-18"/>
          <w:w w:val="105"/>
          <w:sz w:val="18"/>
        </w:rPr>
        <w:t> </w:t>
      </w:r>
      <w:r>
        <w:rPr>
          <w:rFonts w:ascii="Arial" w:hAnsi="Arial"/>
          <w:i/>
          <w:color w:val="231F20"/>
          <w:w w:val="105"/>
          <w:sz w:val="18"/>
        </w:rPr>
        <w:t>lo</w:t>
      </w:r>
      <w:r>
        <w:rPr>
          <w:rFonts w:ascii="Arial" w:hAnsi="Arial"/>
          <w:i/>
          <w:color w:val="231F20"/>
          <w:spacing w:val="-18"/>
          <w:w w:val="105"/>
          <w:sz w:val="18"/>
        </w:rPr>
        <w:t> </w:t>
      </w:r>
      <w:r>
        <w:rPr>
          <w:rFonts w:ascii="Arial" w:hAnsi="Arial"/>
          <w:i/>
          <w:color w:val="231F20"/>
          <w:w w:val="105"/>
          <w:sz w:val="18"/>
        </w:rPr>
        <w:t>que</w:t>
      </w:r>
      <w:r>
        <w:rPr>
          <w:rFonts w:ascii="Arial" w:hAnsi="Arial"/>
          <w:i/>
          <w:color w:val="231F20"/>
          <w:spacing w:val="-18"/>
          <w:w w:val="105"/>
          <w:sz w:val="18"/>
        </w:rPr>
        <w:t> </w:t>
      </w:r>
      <w:r>
        <w:rPr>
          <w:rFonts w:ascii="Arial" w:hAnsi="Arial"/>
          <w:i/>
          <w:color w:val="231F20"/>
          <w:w w:val="105"/>
          <w:sz w:val="18"/>
        </w:rPr>
        <w:t>ocurrió</w:t>
      </w:r>
      <w:r>
        <w:rPr>
          <w:rFonts w:ascii="Arial" w:hAnsi="Arial"/>
          <w:i/>
          <w:color w:val="231F20"/>
          <w:spacing w:val="-18"/>
          <w:w w:val="105"/>
          <w:sz w:val="18"/>
        </w:rPr>
        <w:t> </w:t>
      </w:r>
      <w:r>
        <w:rPr>
          <w:rFonts w:ascii="Arial" w:hAnsi="Arial"/>
          <w:i/>
          <w:color w:val="231F20"/>
          <w:w w:val="105"/>
          <w:sz w:val="18"/>
        </w:rPr>
        <w:t>con</w:t>
      </w:r>
      <w:r>
        <w:rPr>
          <w:rFonts w:ascii="Arial" w:hAnsi="Arial"/>
          <w:i/>
          <w:color w:val="231F20"/>
          <w:spacing w:val="-18"/>
          <w:w w:val="105"/>
          <w:sz w:val="18"/>
        </w:rPr>
        <w:t> </w:t>
      </w:r>
      <w:r>
        <w:rPr>
          <w:rFonts w:ascii="Arial" w:hAnsi="Arial"/>
          <w:i/>
          <w:color w:val="231F20"/>
          <w:w w:val="105"/>
          <w:sz w:val="18"/>
        </w:rPr>
        <w:t>mi</w:t>
      </w:r>
      <w:r>
        <w:rPr>
          <w:rFonts w:ascii="Arial" w:hAnsi="Arial"/>
          <w:i/>
          <w:color w:val="231F20"/>
          <w:spacing w:val="-18"/>
          <w:w w:val="105"/>
          <w:sz w:val="18"/>
        </w:rPr>
        <w:t> </w:t>
      </w:r>
      <w:r>
        <w:rPr>
          <w:rFonts w:ascii="Arial" w:hAnsi="Arial"/>
          <w:i/>
          <w:color w:val="231F20"/>
          <w:w w:val="105"/>
          <w:sz w:val="18"/>
        </w:rPr>
        <w:t>hijo</w:t>
      </w:r>
      <w:r>
        <w:rPr>
          <w:rFonts w:ascii="Arial" w:hAnsi="Arial"/>
          <w:i/>
          <w:color w:val="231F20"/>
          <w:spacing w:val="-18"/>
          <w:w w:val="105"/>
          <w:sz w:val="18"/>
        </w:rPr>
        <w:t> </w:t>
      </w:r>
      <w:r>
        <w:rPr>
          <w:rFonts w:ascii="Arial" w:hAnsi="Arial"/>
          <w:i/>
          <w:color w:val="231F20"/>
          <w:w w:val="105"/>
          <w:sz w:val="18"/>
        </w:rPr>
        <w:t>y</w:t>
      </w:r>
      <w:r>
        <w:rPr>
          <w:rFonts w:ascii="Arial" w:hAnsi="Arial"/>
          <w:i/>
          <w:color w:val="231F20"/>
          <w:spacing w:val="-18"/>
          <w:w w:val="105"/>
          <w:sz w:val="18"/>
        </w:rPr>
        <w:t> </w:t>
      </w:r>
      <w:r>
        <w:rPr>
          <w:rFonts w:ascii="Arial" w:hAnsi="Arial"/>
          <w:i/>
          <w:color w:val="231F20"/>
          <w:w w:val="105"/>
          <w:sz w:val="18"/>
        </w:rPr>
        <w:t>el accidente</w:t>
      </w:r>
      <w:r>
        <w:rPr>
          <w:rFonts w:ascii="Arial" w:hAnsi="Arial"/>
          <w:i/>
          <w:color w:val="231F20"/>
          <w:spacing w:val="-11"/>
          <w:w w:val="105"/>
          <w:sz w:val="18"/>
        </w:rPr>
        <w:t> </w:t>
      </w:r>
      <w:r>
        <w:rPr>
          <w:rFonts w:ascii="Arial" w:hAnsi="Arial"/>
          <w:i/>
          <w:color w:val="231F20"/>
          <w:w w:val="105"/>
          <w:sz w:val="18"/>
        </w:rPr>
        <w:t>de</w:t>
      </w:r>
      <w:r>
        <w:rPr>
          <w:rFonts w:ascii="Arial" w:hAnsi="Arial"/>
          <w:i/>
          <w:color w:val="231F20"/>
          <w:spacing w:val="-11"/>
          <w:w w:val="105"/>
          <w:sz w:val="18"/>
        </w:rPr>
        <w:t> </w:t>
      </w:r>
      <w:r>
        <w:rPr>
          <w:rFonts w:ascii="Arial" w:hAnsi="Arial"/>
          <w:i/>
          <w:color w:val="231F20"/>
          <w:w w:val="105"/>
          <w:sz w:val="18"/>
        </w:rPr>
        <w:t>mi</w:t>
      </w:r>
      <w:r>
        <w:rPr>
          <w:rFonts w:ascii="Arial" w:hAnsi="Arial"/>
          <w:i/>
          <w:color w:val="231F20"/>
          <w:spacing w:val="-11"/>
          <w:w w:val="105"/>
          <w:sz w:val="18"/>
        </w:rPr>
        <w:t> </w:t>
      </w:r>
      <w:r>
        <w:rPr>
          <w:rFonts w:ascii="Arial" w:hAnsi="Arial"/>
          <w:i/>
          <w:color w:val="231F20"/>
          <w:w w:val="105"/>
          <w:sz w:val="18"/>
        </w:rPr>
        <w:t>hija,</w:t>
      </w:r>
      <w:r>
        <w:rPr>
          <w:rFonts w:ascii="Arial" w:hAnsi="Arial"/>
          <w:i/>
          <w:color w:val="231F20"/>
          <w:spacing w:val="-15"/>
          <w:w w:val="105"/>
          <w:sz w:val="18"/>
        </w:rPr>
        <w:t> </w:t>
      </w:r>
      <w:r>
        <w:rPr>
          <w:rFonts w:ascii="Arial" w:hAnsi="Arial"/>
          <w:i/>
          <w:color w:val="231F20"/>
          <w:w w:val="105"/>
          <w:sz w:val="18"/>
        </w:rPr>
        <w:t>nos</w:t>
      </w:r>
      <w:r>
        <w:rPr>
          <w:rFonts w:ascii="Arial" w:hAnsi="Arial"/>
          <w:i/>
          <w:color w:val="231F20"/>
          <w:spacing w:val="-11"/>
          <w:w w:val="105"/>
          <w:sz w:val="18"/>
        </w:rPr>
        <w:t> </w:t>
      </w:r>
      <w:r>
        <w:rPr>
          <w:rFonts w:ascii="Arial" w:hAnsi="Arial"/>
          <w:i/>
          <w:color w:val="231F20"/>
          <w:w w:val="105"/>
          <w:sz w:val="18"/>
        </w:rPr>
        <w:t>han</w:t>
      </w:r>
      <w:r>
        <w:rPr>
          <w:rFonts w:ascii="Arial" w:hAnsi="Arial"/>
          <w:i/>
          <w:color w:val="231F20"/>
          <w:spacing w:val="-11"/>
          <w:w w:val="105"/>
          <w:sz w:val="18"/>
        </w:rPr>
        <w:t> </w:t>
      </w:r>
      <w:r>
        <w:rPr>
          <w:rFonts w:ascii="Arial" w:hAnsi="Arial"/>
          <w:i/>
          <w:color w:val="231F20"/>
          <w:w w:val="105"/>
          <w:sz w:val="18"/>
        </w:rPr>
        <w:t>unido.</w:t>
      </w:r>
      <w:r>
        <w:rPr>
          <w:rFonts w:ascii="Arial" w:hAnsi="Arial"/>
          <w:i/>
          <w:color w:val="231F20"/>
          <w:spacing w:val="-15"/>
          <w:w w:val="105"/>
          <w:sz w:val="18"/>
        </w:rPr>
        <w:t> </w:t>
      </w:r>
      <w:r>
        <w:rPr>
          <w:rFonts w:ascii="Arial" w:hAnsi="Arial"/>
          <w:i/>
          <w:color w:val="231F20"/>
          <w:w w:val="105"/>
          <w:sz w:val="18"/>
        </w:rPr>
        <w:t>Siempre</w:t>
      </w:r>
      <w:r>
        <w:rPr>
          <w:rFonts w:ascii="Arial" w:hAnsi="Arial"/>
          <w:i/>
          <w:color w:val="231F20"/>
          <w:spacing w:val="-11"/>
          <w:w w:val="105"/>
          <w:sz w:val="18"/>
        </w:rPr>
        <w:t> </w:t>
      </w:r>
      <w:r>
        <w:rPr>
          <w:rFonts w:ascii="Arial" w:hAnsi="Arial"/>
          <w:i/>
          <w:color w:val="231F20"/>
          <w:w w:val="105"/>
          <w:sz w:val="18"/>
        </w:rPr>
        <w:t>he</w:t>
      </w:r>
      <w:r>
        <w:rPr>
          <w:rFonts w:ascii="Arial" w:hAnsi="Arial"/>
          <w:i/>
          <w:color w:val="231F20"/>
          <w:spacing w:val="-11"/>
          <w:w w:val="105"/>
          <w:sz w:val="18"/>
        </w:rPr>
        <w:t> </w:t>
      </w:r>
      <w:r>
        <w:rPr>
          <w:rFonts w:ascii="Arial" w:hAnsi="Arial"/>
          <w:i/>
          <w:color w:val="231F20"/>
          <w:w w:val="105"/>
          <w:sz w:val="18"/>
        </w:rPr>
        <w:t>pensado</w:t>
      </w:r>
      <w:r>
        <w:rPr>
          <w:rFonts w:ascii="Arial" w:hAnsi="Arial"/>
          <w:i/>
          <w:color w:val="231F20"/>
          <w:spacing w:val="-11"/>
          <w:w w:val="105"/>
          <w:sz w:val="18"/>
        </w:rPr>
        <w:t> </w:t>
      </w:r>
      <w:r>
        <w:rPr>
          <w:rFonts w:ascii="Arial" w:hAnsi="Arial"/>
          <w:i/>
          <w:color w:val="231F20"/>
          <w:w w:val="105"/>
          <w:sz w:val="18"/>
        </w:rPr>
        <w:t>que</w:t>
      </w:r>
      <w:r>
        <w:rPr>
          <w:rFonts w:ascii="Arial" w:hAnsi="Arial"/>
          <w:i/>
          <w:color w:val="231F20"/>
          <w:spacing w:val="-11"/>
          <w:w w:val="105"/>
          <w:sz w:val="18"/>
        </w:rPr>
        <w:t> </w:t>
      </w:r>
      <w:r>
        <w:rPr>
          <w:rFonts w:ascii="Arial" w:hAnsi="Arial"/>
          <w:i/>
          <w:color w:val="231F20"/>
          <w:w w:val="105"/>
          <w:sz w:val="18"/>
        </w:rPr>
        <w:t>hay</w:t>
      </w:r>
      <w:r>
        <w:rPr>
          <w:rFonts w:ascii="Arial" w:hAnsi="Arial"/>
          <w:i/>
          <w:color w:val="231F20"/>
          <w:spacing w:val="-11"/>
          <w:w w:val="105"/>
          <w:sz w:val="18"/>
        </w:rPr>
        <w:t> </w:t>
      </w:r>
      <w:r>
        <w:rPr>
          <w:rFonts w:ascii="Arial" w:hAnsi="Arial"/>
          <w:i/>
          <w:color w:val="231F20"/>
          <w:w w:val="105"/>
          <w:sz w:val="18"/>
        </w:rPr>
        <w:t>que hacer</w:t>
      </w:r>
      <w:r>
        <w:rPr>
          <w:rFonts w:ascii="Arial" w:hAnsi="Arial"/>
          <w:i/>
          <w:color w:val="231F20"/>
          <w:spacing w:val="-4"/>
          <w:w w:val="105"/>
          <w:sz w:val="18"/>
        </w:rPr>
        <w:t> </w:t>
      </w:r>
      <w:r>
        <w:rPr>
          <w:rFonts w:ascii="Arial" w:hAnsi="Arial"/>
          <w:i/>
          <w:color w:val="231F20"/>
          <w:w w:val="105"/>
          <w:sz w:val="18"/>
        </w:rPr>
        <w:t>lo</w:t>
      </w:r>
      <w:r>
        <w:rPr>
          <w:rFonts w:ascii="Arial" w:hAnsi="Arial"/>
          <w:i/>
          <w:color w:val="231F20"/>
          <w:spacing w:val="-4"/>
          <w:w w:val="105"/>
          <w:sz w:val="18"/>
        </w:rPr>
        <w:t> </w:t>
      </w:r>
      <w:r>
        <w:rPr>
          <w:rFonts w:ascii="Arial" w:hAnsi="Arial"/>
          <w:i/>
          <w:color w:val="231F20"/>
          <w:w w:val="105"/>
          <w:sz w:val="18"/>
        </w:rPr>
        <w:t>que</w:t>
      </w:r>
      <w:r>
        <w:rPr>
          <w:rFonts w:ascii="Arial" w:hAnsi="Arial"/>
          <w:i/>
          <w:color w:val="231F20"/>
          <w:spacing w:val="-4"/>
          <w:w w:val="105"/>
          <w:sz w:val="18"/>
        </w:rPr>
        <w:t> </w:t>
      </w:r>
      <w:r>
        <w:rPr>
          <w:rFonts w:ascii="Arial" w:hAnsi="Arial"/>
          <w:i/>
          <w:color w:val="231F20"/>
          <w:w w:val="105"/>
          <w:sz w:val="18"/>
        </w:rPr>
        <w:t>se</w:t>
      </w:r>
      <w:r>
        <w:rPr>
          <w:rFonts w:ascii="Arial" w:hAnsi="Arial"/>
          <w:i/>
          <w:color w:val="231F20"/>
          <w:spacing w:val="-4"/>
          <w:w w:val="105"/>
          <w:sz w:val="18"/>
        </w:rPr>
        <w:t> </w:t>
      </w:r>
      <w:r>
        <w:rPr>
          <w:rFonts w:ascii="Arial" w:hAnsi="Arial"/>
          <w:i/>
          <w:color w:val="231F20"/>
          <w:w w:val="105"/>
          <w:sz w:val="18"/>
        </w:rPr>
        <w:t>pueda</w:t>
      </w:r>
      <w:r>
        <w:rPr>
          <w:rFonts w:ascii="Arial" w:hAnsi="Arial"/>
          <w:i/>
          <w:color w:val="231F20"/>
          <w:spacing w:val="-4"/>
          <w:w w:val="105"/>
          <w:sz w:val="18"/>
        </w:rPr>
        <w:t> </w:t>
      </w:r>
      <w:r>
        <w:rPr>
          <w:rFonts w:ascii="Arial" w:hAnsi="Arial"/>
          <w:i/>
          <w:color w:val="231F20"/>
          <w:w w:val="105"/>
          <w:sz w:val="18"/>
        </w:rPr>
        <w:t>hacer</w:t>
      </w:r>
      <w:r>
        <w:rPr>
          <w:rFonts w:ascii="Arial" w:hAnsi="Arial"/>
          <w:i/>
          <w:color w:val="231F20"/>
          <w:spacing w:val="-4"/>
          <w:w w:val="105"/>
          <w:sz w:val="18"/>
        </w:rPr>
        <w:t> </w:t>
      </w:r>
      <w:r>
        <w:rPr>
          <w:rFonts w:ascii="Arial" w:hAnsi="Arial"/>
          <w:i/>
          <w:color w:val="231F20"/>
          <w:w w:val="105"/>
          <w:sz w:val="18"/>
        </w:rPr>
        <w:t>y</w:t>
      </w:r>
      <w:r>
        <w:rPr>
          <w:rFonts w:ascii="Arial" w:hAnsi="Arial"/>
          <w:i/>
          <w:color w:val="231F20"/>
          <w:spacing w:val="-4"/>
          <w:w w:val="105"/>
          <w:sz w:val="18"/>
        </w:rPr>
        <w:t> </w:t>
      </w:r>
      <w:r>
        <w:rPr>
          <w:rFonts w:ascii="Arial" w:hAnsi="Arial"/>
          <w:i/>
          <w:color w:val="231F20"/>
          <w:w w:val="105"/>
          <w:sz w:val="18"/>
        </w:rPr>
        <w:t>desear</w:t>
      </w:r>
      <w:r>
        <w:rPr>
          <w:rFonts w:ascii="Arial" w:hAnsi="Arial"/>
          <w:i/>
          <w:color w:val="231F20"/>
          <w:spacing w:val="-4"/>
          <w:w w:val="105"/>
          <w:sz w:val="18"/>
        </w:rPr>
        <w:t> </w:t>
      </w:r>
      <w:r>
        <w:rPr>
          <w:rFonts w:ascii="Arial" w:hAnsi="Arial"/>
          <w:i/>
          <w:color w:val="231F20"/>
          <w:w w:val="105"/>
          <w:sz w:val="18"/>
        </w:rPr>
        <w:t>que</w:t>
      </w:r>
      <w:r>
        <w:rPr>
          <w:rFonts w:ascii="Arial" w:hAnsi="Arial"/>
          <w:i/>
          <w:color w:val="231F20"/>
          <w:spacing w:val="-4"/>
          <w:w w:val="105"/>
          <w:sz w:val="18"/>
        </w:rPr>
        <w:t> </w:t>
      </w:r>
      <w:r>
        <w:rPr>
          <w:rFonts w:ascii="Arial" w:hAnsi="Arial"/>
          <w:i/>
          <w:color w:val="231F20"/>
          <w:w w:val="105"/>
          <w:sz w:val="18"/>
        </w:rPr>
        <w:t>todo</w:t>
      </w:r>
      <w:r>
        <w:rPr>
          <w:rFonts w:ascii="Arial" w:hAnsi="Arial"/>
          <w:i/>
          <w:color w:val="231F20"/>
          <w:spacing w:val="-4"/>
          <w:w w:val="105"/>
          <w:sz w:val="18"/>
        </w:rPr>
        <w:t> </w:t>
      </w:r>
      <w:r>
        <w:rPr>
          <w:rFonts w:ascii="Arial" w:hAnsi="Arial"/>
          <w:i/>
          <w:color w:val="231F20"/>
          <w:w w:val="105"/>
          <w:sz w:val="18"/>
        </w:rPr>
        <w:t>salga</w:t>
      </w:r>
      <w:r>
        <w:rPr>
          <w:rFonts w:ascii="Arial" w:hAnsi="Arial"/>
          <w:i/>
          <w:color w:val="231F20"/>
          <w:spacing w:val="-4"/>
          <w:w w:val="105"/>
          <w:sz w:val="18"/>
        </w:rPr>
        <w:t> </w:t>
      </w:r>
      <w:r>
        <w:rPr>
          <w:rFonts w:ascii="Arial" w:hAnsi="Arial"/>
          <w:i/>
          <w:color w:val="231F20"/>
          <w:w w:val="105"/>
          <w:sz w:val="18"/>
        </w:rPr>
        <w:t>bien.</w:t>
      </w:r>
      <w:r>
        <w:rPr>
          <w:rFonts w:ascii="Arial" w:hAnsi="Arial"/>
          <w:i/>
          <w:color w:val="231F20"/>
          <w:spacing w:val="-9"/>
          <w:w w:val="105"/>
          <w:sz w:val="18"/>
        </w:rPr>
        <w:t> </w:t>
      </w:r>
      <w:r>
        <w:rPr>
          <w:rFonts w:ascii="Arial" w:hAnsi="Arial"/>
          <w:i/>
          <w:color w:val="231F20"/>
          <w:w w:val="105"/>
          <w:sz w:val="18"/>
        </w:rPr>
        <w:t>Hablamos por</w:t>
      </w:r>
      <w:r>
        <w:rPr>
          <w:rFonts w:ascii="Arial" w:hAnsi="Arial"/>
          <w:i/>
          <w:color w:val="231F20"/>
          <w:spacing w:val="-14"/>
          <w:w w:val="105"/>
          <w:sz w:val="18"/>
        </w:rPr>
        <w:t> </w:t>
      </w:r>
      <w:r>
        <w:rPr>
          <w:rFonts w:ascii="Arial" w:hAnsi="Arial"/>
          <w:i/>
          <w:color w:val="231F20"/>
          <w:w w:val="105"/>
          <w:sz w:val="18"/>
        </w:rPr>
        <w:t>teléfono</w:t>
      </w:r>
      <w:r>
        <w:rPr>
          <w:rFonts w:ascii="Arial" w:hAnsi="Arial"/>
          <w:i/>
          <w:color w:val="231F20"/>
          <w:spacing w:val="-14"/>
          <w:w w:val="105"/>
          <w:sz w:val="18"/>
        </w:rPr>
        <w:t> </w:t>
      </w:r>
      <w:r>
        <w:rPr>
          <w:rFonts w:ascii="Arial" w:hAnsi="Arial"/>
          <w:i/>
          <w:color w:val="231F20"/>
          <w:w w:val="105"/>
          <w:sz w:val="18"/>
        </w:rPr>
        <w:t>todos</w:t>
      </w:r>
      <w:r>
        <w:rPr>
          <w:rFonts w:ascii="Arial" w:hAnsi="Arial"/>
          <w:i/>
          <w:color w:val="231F20"/>
          <w:spacing w:val="-14"/>
          <w:w w:val="105"/>
          <w:sz w:val="18"/>
        </w:rPr>
        <w:t> </w:t>
      </w:r>
      <w:r>
        <w:rPr>
          <w:rFonts w:ascii="Arial" w:hAnsi="Arial"/>
          <w:i/>
          <w:color w:val="231F20"/>
          <w:w w:val="105"/>
          <w:sz w:val="18"/>
        </w:rPr>
        <w:t>los</w:t>
      </w:r>
      <w:r>
        <w:rPr>
          <w:rFonts w:ascii="Arial" w:hAnsi="Arial"/>
          <w:i/>
          <w:color w:val="231F20"/>
          <w:spacing w:val="-14"/>
          <w:w w:val="105"/>
          <w:sz w:val="18"/>
        </w:rPr>
        <w:t> </w:t>
      </w:r>
      <w:r>
        <w:rPr>
          <w:rFonts w:ascii="Arial" w:hAnsi="Arial"/>
          <w:i/>
          <w:color w:val="231F20"/>
          <w:w w:val="105"/>
          <w:sz w:val="18"/>
        </w:rPr>
        <w:t>días,</w:t>
      </w:r>
      <w:r>
        <w:rPr>
          <w:rFonts w:ascii="Arial" w:hAnsi="Arial"/>
          <w:i/>
          <w:color w:val="231F20"/>
          <w:spacing w:val="-18"/>
          <w:w w:val="105"/>
          <w:sz w:val="18"/>
        </w:rPr>
        <w:t> </w:t>
      </w:r>
      <w:r>
        <w:rPr>
          <w:rFonts w:ascii="Arial" w:hAnsi="Arial"/>
          <w:i/>
          <w:color w:val="231F20"/>
          <w:w w:val="105"/>
          <w:sz w:val="18"/>
        </w:rPr>
        <w:t>siempre</w:t>
      </w:r>
      <w:r>
        <w:rPr>
          <w:rFonts w:ascii="Arial" w:hAnsi="Arial"/>
          <w:i/>
          <w:color w:val="231F20"/>
          <w:spacing w:val="-14"/>
          <w:w w:val="105"/>
          <w:sz w:val="18"/>
        </w:rPr>
        <w:t> </w:t>
      </w:r>
      <w:r>
        <w:rPr>
          <w:rFonts w:ascii="Arial" w:hAnsi="Arial"/>
          <w:i/>
          <w:color w:val="231F20"/>
          <w:w w:val="105"/>
          <w:sz w:val="18"/>
        </w:rPr>
        <w:t>estamos</w:t>
      </w:r>
      <w:r>
        <w:rPr>
          <w:rFonts w:ascii="Arial" w:hAnsi="Arial"/>
          <w:i/>
          <w:color w:val="231F20"/>
          <w:spacing w:val="-14"/>
          <w:w w:val="105"/>
          <w:sz w:val="18"/>
        </w:rPr>
        <w:t> </w:t>
      </w:r>
      <w:r>
        <w:rPr>
          <w:rFonts w:ascii="Arial" w:hAnsi="Arial"/>
          <w:i/>
          <w:color w:val="231F20"/>
          <w:w w:val="105"/>
          <w:sz w:val="18"/>
        </w:rPr>
        <w:t>en</w:t>
      </w:r>
      <w:r>
        <w:rPr>
          <w:rFonts w:ascii="Arial" w:hAnsi="Arial"/>
          <w:i/>
          <w:color w:val="231F20"/>
          <w:spacing w:val="-14"/>
          <w:w w:val="105"/>
          <w:sz w:val="18"/>
        </w:rPr>
        <w:t> </w:t>
      </w:r>
      <w:r>
        <w:rPr>
          <w:rFonts w:ascii="Arial" w:hAnsi="Arial"/>
          <w:i/>
          <w:color w:val="231F20"/>
          <w:w w:val="105"/>
          <w:sz w:val="18"/>
        </w:rPr>
        <w:t>comunicación.</w:t>
      </w:r>
      <w:r>
        <w:rPr>
          <w:rFonts w:ascii="Arial" w:hAnsi="Arial"/>
          <w:i/>
          <w:color w:val="231F20"/>
          <w:spacing w:val="-18"/>
          <w:w w:val="105"/>
          <w:sz w:val="18"/>
        </w:rPr>
        <w:t> </w:t>
      </w:r>
      <w:r>
        <w:rPr>
          <w:rFonts w:ascii="Arial" w:hAnsi="Arial"/>
          <w:i/>
          <w:color w:val="231F20"/>
          <w:w w:val="105"/>
          <w:sz w:val="18"/>
        </w:rPr>
        <w:t>El</w:t>
      </w:r>
      <w:r>
        <w:rPr>
          <w:rFonts w:ascii="Arial" w:hAnsi="Arial"/>
          <w:i/>
          <w:color w:val="231F20"/>
          <w:spacing w:val="-14"/>
          <w:w w:val="105"/>
          <w:sz w:val="18"/>
        </w:rPr>
        <w:t> </w:t>
      </w:r>
      <w:r>
        <w:rPr>
          <w:rFonts w:ascii="Arial" w:hAnsi="Arial"/>
          <w:i/>
          <w:color w:val="231F20"/>
          <w:w w:val="105"/>
          <w:sz w:val="18"/>
        </w:rPr>
        <w:t>telé- fono</w:t>
      </w:r>
      <w:r>
        <w:rPr>
          <w:rFonts w:ascii="Arial" w:hAnsi="Arial"/>
          <w:i/>
          <w:color w:val="231F20"/>
          <w:spacing w:val="-10"/>
          <w:w w:val="105"/>
          <w:sz w:val="18"/>
        </w:rPr>
        <w:t> </w:t>
      </w:r>
      <w:r>
        <w:rPr>
          <w:rFonts w:ascii="Arial" w:hAnsi="Arial"/>
          <w:i/>
          <w:color w:val="231F20"/>
          <w:w w:val="105"/>
          <w:sz w:val="18"/>
        </w:rPr>
        <w:t>que</w:t>
      </w:r>
      <w:r>
        <w:rPr>
          <w:rFonts w:ascii="Arial" w:hAnsi="Arial"/>
          <w:i/>
          <w:color w:val="231F20"/>
          <w:spacing w:val="-10"/>
          <w:w w:val="105"/>
          <w:sz w:val="18"/>
        </w:rPr>
        <w:t> </w:t>
      </w:r>
      <w:r>
        <w:rPr>
          <w:rFonts w:ascii="Arial" w:hAnsi="Arial"/>
          <w:i/>
          <w:color w:val="231F20"/>
          <w:w w:val="105"/>
          <w:sz w:val="18"/>
        </w:rPr>
        <w:t>ando</w:t>
      </w:r>
      <w:r>
        <w:rPr>
          <w:rFonts w:ascii="Arial" w:hAnsi="Arial"/>
          <w:i/>
          <w:color w:val="231F20"/>
          <w:spacing w:val="-10"/>
          <w:w w:val="105"/>
          <w:sz w:val="18"/>
        </w:rPr>
        <w:t> </w:t>
      </w:r>
      <w:r>
        <w:rPr>
          <w:rFonts w:ascii="Arial" w:hAnsi="Arial"/>
          <w:i/>
          <w:color w:val="231F20"/>
          <w:w w:val="105"/>
          <w:sz w:val="18"/>
        </w:rPr>
        <w:t>cargando</w:t>
      </w:r>
      <w:r>
        <w:rPr>
          <w:rFonts w:ascii="Arial" w:hAnsi="Arial"/>
          <w:i/>
          <w:color w:val="231F20"/>
          <w:spacing w:val="-10"/>
          <w:w w:val="105"/>
          <w:sz w:val="18"/>
        </w:rPr>
        <w:t> </w:t>
      </w:r>
      <w:r>
        <w:rPr>
          <w:rFonts w:ascii="Arial" w:hAnsi="Arial"/>
          <w:i/>
          <w:color w:val="231F20"/>
          <w:w w:val="105"/>
          <w:sz w:val="18"/>
        </w:rPr>
        <w:t>todo</w:t>
      </w:r>
      <w:r>
        <w:rPr>
          <w:rFonts w:ascii="Arial" w:hAnsi="Arial"/>
          <w:i/>
          <w:color w:val="231F20"/>
          <w:spacing w:val="-10"/>
          <w:w w:val="105"/>
          <w:sz w:val="18"/>
        </w:rPr>
        <w:t> </w:t>
      </w:r>
      <w:r>
        <w:rPr>
          <w:rFonts w:ascii="Arial" w:hAnsi="Arial"/>
          <w:i/>
          <w:color w:val="231F20"/>
          <w:w w:val="105"/>
          <w:sz w:val="18"/>
        </w:rPr>
        <w:t>el</w:t>
      </w:r>
      <w:r>
        <w:rPr>
          <w:rFonts w:ascii="Arial" w:hAnsi="Arial"/>
          <w:i/>
          <w:color w:val="231F20"/>
          <w:spacing w:val="-10"/>
          <w:w w:val="105"/>
          <w:sz w:val="18"/>
        </w:rPr>
        <w:t> </w:t>
      </w:r>
      <w:r>
        <w:rPr>
          <w:rFonts w:ascii="Arial" w:hAnsi="Arial"/>
          <w:i/>
          <w:color w:val="231F20"/>
          <w:w w:val="105"/>
          <w:sz w:val="18"/>
        </w:rPr>
        <w:t>tiempo</w:t>
      </w:r>
      <w:r>
        <w:rPr>
          <w:rFonts w:ascii="Arial" w:hAnsi="Arial"/>
          <w:i/>
          <w:color w:val="231F20"/>
          <w:spacing w:val="-10"/>
          <w:w w:val="105"/>
          <w:sz w:val="18"/>
        </w:rPr>
        <w:t> </w:t>
      </w:r>
      <w:r>
        <w:rPr>
          <w:rFonts w:ascii="Arial" w:hAnsi="Arial"/>
          <w:i/>
          <w:color w:val="231F20"/>
          <w:w w:val="105"/>
          <w:sz w:val="18"/>
        </w:rPr>
        <w:t>mis</w:t>
      </w:r>
      <w:r>
        <w:rPr>
          <w:rFonts w:ascii="Arial" w:hAnsi="Arial"/>
          <w:i/>
          <w:color w:val="231F20"/>
          <w:spacing w:val="-10"/>
          <w:w w:val="105"/>
          <w:sz w:val="18"/>
        </w:rPr>
        <w:t> </w:t>
      </w:r>
      <w:r>
        <w:rPr>
          <w:rFonts w:ascii="Arial" w:hAnsi="Arial"/>
          <w:i/>
          <w:color w:val="231F20"/>
          <w:w w:val="105"/>
          <w:sz w:val="18"/>
        </w:rPr>
        <w:t>hijos</w:t>
      </w:r>
      <w:r>
        <w:rPr>
          <w:rFonts w:ascii="Arial" w:hAnsi="Arial"/>
          <w:i/>
          <w:color w:val="231F20"/>
          <w:spacing w:val="-10"/>
          <w:w w:val="105"/>
          <w:sz w:val="18"/>
        </w:rPr>
        <w:t> </w:t>
      </w:r>
      <w:r>
        <w:rPr>
          <w:rFonts w:ascii="Arial" w:hAnsi="Arial"/>
          <w:i/>
          <w:color w:val="231F20"/>
          <w:w w:val="105"/>
          <w:sz w:val="18"/>
        </w:rPr>
        <w:t>me</w:t>
      </w:r>
      <w:r>
        <w:rPr>
          <w:rFonts w:ascii="Arial" w:hAnsi="Arial"/>
          <w:i/>
          <w:color w:val="231F20"/>
          <w:spacing w:val="-10"/>
          <w:w w:val="105"/>
          <w:sz w:val="18"/>
        </w:rPr>
        <w:t> </w:t>
      </w:r>
      <w:r>
        <w:rPr>
          <w:rFonts w:ascii="Arial" w:hAnsi="Arial"/>
          <w:i/>
          <w:color w:val="231F20"/>
          <w:w w:val="105"/>
          <w:sz w:val="18"/>
        </w:rPr>
        <w:t>lo</w:t>
      </w:r>
      <w:r>
        <w:rPr>
          <w:rFonts w:ascii="Arial" w:hAnsi="Arial"/>
          <w:i/>
          <w:color w:val="231F20"/>
          <w:spacing w:val="-10"/>
          <w:w w:val="105"/>
          <w:sz w:val="18"/>
        </w:rPr>
        <w:t> </w:t>
      </w:r>
      <w:r>
        <w:rPr>
          <w:rFonts w:ascii="Arial" w:hAnsi="Arial"/>
          <w:i/>
          <w:color w:val="231F20"/>
          <w:w w:val="105"/>
          <w:sz w:val="18"/>
        </w:rPr>
        <w:t>dieron.</w:t>
      </w:r>
      <w:r>
        <w:rPr>
          <w:rFonts w:ascii="Arial" w:hAnsi="Arial"/>
          <w:i/>
          <w:color w:val="231F20"/>
          <w:spacing w:val="-19"/>
          <w:w w:val="105"/>
          <w:sz w:val="18"/>
        </w:rPr>
        <w:t> </w:t>
      </w:r>
      <w:r>
        <w:rPr>
          <w:rFonts w:ascii="Arial" w:hAnsi="Arial"/>
          <w:i/>
          <w:color w:val="231F20"/>
          <w:w w:val="105"/>
          <w:sz w:val="18"/>
        </w:rPr>
        <w:t>Así</w:t>
      </w:r>
      <w:r>
        <w:rPr>
          <w:rFonts w:ascii="Arial" w:hAnsi="Arial"/>
          <w:i/>
          <w:color w:val="231F20"/>
          <w:spacing w:val="-10"/>
          <w:w w:val="105"/>
          <w:sz w:val="18"/>
        </w:rPr>
        <w:t> </w:t>
      </w:r>
      <w:r>
        <w:rPr>
          <w:rFonts w:ascii="Arial" w:hAnsi="Arial"/>
          <w:i/>
          <w:color w:val="231F20"/>
          <w:w w:val="105"/>
          <w:sz w:val="18"/>
        </w:rPr>
        <w:t>que estamos tranquilos. Luego me hablan para preguntarme por algo</w:t>
      </w:r>
      <w:r>
        <w:rPr>
          <w:rFonts w:ascii="Arial" w:hAnsi="Arial"/>
          <w:i/>
          <w:color w:val="231F20"/>
          <w:spacing w:val="-32"/>
          <w:w w:val="105"/>
          <w:sz w:val="18"/>
        </w:rPr>
        <w:t> </w:t>
      </w:r>
      <w:r>
        <w:rPr>
          <w:rFonts w:ascii="Arial" w:hAnsi="Arial"/>
          <w:i/>
          <w:color w:val="231F20"/>
          <w:w w:val="105"/>
          <w:sz w:val="18"/>
        </w:rPr>
        <w:t>que pasó</w:t>
      </w:r>
      <w:r>
        <w:rPr>
          <w:rFonts w:ascii="Arial" w:hAnsi="Arial"/>
          <w:i/>
          <w:color w:val="231F20"/>
          <w:spacing w:val="-13"/>
          <w:w w:val="105"/>
          <w:sz w:val="18"/>
        </w:rPr>
        <w:t> </w:t>
      </w:r>
      <w:r>
        <w:rPr>
          <w:rFonts w:ascii="Arial" w:hAnsi="Arial"/>
          <w:i/>
          <w:color w:val="231F20"/>
          <w:w w:val="105"/>
          <w:sz w:val="18"/>
        </w:rPr>
        <w:t>en</w:t>
      </w:r>
      <w:r>
        <w:rPr>
          <w:rFonts w:ascii="Arial" w:hAnsi="Arial"/>
          <w:i/>
          <w:color w:val="231F20"/>
          <w:spacing w:val="-15"/>
          <w:w w:val="105"/>
          <w:sz w:val="18"/>
        </w:rPr>
        <w:t> </w:t>
      </w:r>
      <w:r>
        <w:rPr>
          <w:rFonts w:ascii="Arial" w:hAnsi="Arial"/>
          <w:i/>
          <w:color w:val="231F20"/>
          <w:spacing w:val="-3"/>
          <w:w w:val="105"/>
          <w:sz w:val="18"/>
        </w:rPr>
        <w:t>Tonatico</w:t>
      </w:r>
      <w:r>
        <w:rPr>
          <w:rFonts w:ascii="Arial" w:hAnsi="Arial"/>
          <w:i/>
          <w:color w:val="231F20"/>
          <w:spacing w:val="-13"/>
          <w:w w:val="105"/>
          <w:sz w:val="18"/>
        </w:rPr>
        <w:t> </w:t>
      </w:r>
      <w:r>
        <w:rPr>
          <w:rFonts w:ascii="Arial" w:hAnsi="Arial"/>
          <w:i/>
          <w:color w:val="231F20"/>
          <w:w w:val="105"/>
          <w:sz w:val="18"/>
        </w:rPr>
        <w:t>y</w:t>
      </w:r>
      <w:r>
        <w:rPr>
          <w:rFonts w:ascii="Arial" w:hAnsi="Arial"/>
          <w:i/>
          <w:color w:val="231F20"/>
          <w:spacing w:val="-13"/>
          <w:w w:val="105"/>
          <w:sz w:val="18"/>
        </w:rPr>
        <w:t> </w:t>
      </w:r>
      <w:r>
        <w:rPr>
          <w:rFonts w:ascii="Arial" w:hAnsi="Arial"/>
          <w:i/>
          <w:color w:val="231F20"/>
          <w:w w:val="105"/>
          <w:sz w:val="18"/>
        </w:rPr>
        <w:t>muchas</w:t>
      </w:r>
      <w:r>
        <w:rPr>
          <w:rFonts w:ascii="Arial" w:hAnsi="Arial"/>
          <w:i/>
          <w:color w:val="231F20"/>
          <w:spacing w:val="-13"/>
          <w:w w:val="105"/>
          <w:sz w:val="18"/>
        </w:rPr>
        <w:t> </w:t>
      </w:r>
      <w:r>
        <w:rPr>
          <w:rFonts w:ascii="Arial" w:hAnsi="Arial"/>
          <w:i/>
          <w:color w:val="231F20"/>
          <w:w w:val="105"/>
          <w:sz w:val="18"/>
        </w:rPr>
        <w:t>veces</w:t>
      </w:r>
      <w:r>
        <w:rPr>
          <w:rFonts w:ascii="Arial" w:hAnsi="Arial"/>
          <w:i/>
          <w:color w:val="231F20"/>
          <w:spacing w:val="-13"/>
          <w:w w:val="105"/>
          <w:sz w:val="18"/>
        </w:rPr>
        <w:t> </w:t>
      </w:r>
      <w:r>
        <w:rPr>
          <w:rFonts w:ascii="Arial" w:hAnsi="Arial"/>
          <w:i/>
          <w:color w:val="231F20"/>
          <w:w w:val="105"/>
          <w:sz w:val="18"/>
        </w:rPr>
        <w:t>no</w:t>
      </w:r>
      <w:r>
        <w:rPr>
          <w:rFonts w:ascii="Arial" w:hAnsi="Arial"/>
          <w:i/>
          <w:color w:val="231F20"/>
          <w:spacing w:val="-13"/>
          <w:w w:val="105"/>
          <w:sz w:val="18"/>
        </w:rPr>
        <w:t> </w:t>
      </w:r>
      <w:r>
        <w:rPr>
          <w:rFonts w:ascii="Arial" w:hAnsi="Arial"/>
          <w:i/>
          <w:color w:val="231F20"/>
          <w:w w:val="105"/>
          <w:sz w:val="18"/>
        </w:rPr>
        <w:t>estoy</w:t>
      </w:r>
      <w:r>
        <w:rPr>
          <w:rFonts w:ascii="Arial" w:hAnsi="Arial"/>
          <w:i/>
          <w:color w:val="231F20"/>
          <w:spacing w:val="-13"/>
          <w:w w:val="105"/>
          <w:sz w:val="18"/>
        </w:rPr>
        <w:t> </w:t>
      </w:r>
      <w:r>
        <w:rPr>
          <w:rFonts w:ascii="Arial" w:hAnsi="Arial"/>
          <w:i/>
          <w:color w:val="231F20"/>
          <w:w w:val="105"/>
          <w:sz w:val="18"/>
        </w:rPr>
        <w:t>enterado.</w:t>
      </w:r>
      <w:r>
        <w:rPr>
          <w:rFonts w:ascii="Arial" w:hAnsi="Arial"/>
          <w:i/>
          <w:color w:val="231F20"/>
          <w:spacing w:val="-16"/>
          <w:w w:val="105"/>
          <w:sz w:val="18"/>
        </w:rPr>
        <w:t> </w:t>
      </w:r>
      <w:r>
        <w:rPr>
          <w:rFonts w:ascii="Arial" w:hAnsi="Arial"/>
          <w:i/>
          <w:color w:val="231F20"/>
          <w:w w:val="105"/>
          <w:sz w:val="18"/>
        </w:rPr>
        <w:t>¡Ellos</w:t>
      </w:r>
      <w:r>
        <w:rPr>
          <w:rFonts w:ascii="Arial" w:hAnsi="Arial"/>
          <w:i/>
          <w:color w:val="231F20"/>
          <w:spacing w:val="-13"/>
          <w:w w:val="105"/>
          <w:sz w:val="18"/>
        </w:rPr>
        <w:t> </w:t>
      </w:r>
      <w:r>
        <w:rPr>
          <w:rFonts w:ascii="Arial" w:hAnsi="Arial"/>
          <w:i/>
          <w:color w:val="231F20"/>
          <w:w w:val="105"/>
          <w:sz w:val="18"/>
        </w:rPr>
        <w:t>se</w:t>
      </w:r>
      <w:r>
        <w:rPr>
          <w:rFonts w:ascii="Arial" w:hAnsi="Arial"/>
          <w:i/>
          <w:color w:val="231F20"/>
          <w:spacing w:val="-13"/>
          <w:w w:val="105"/>
          <w:sz w:val="18"/>
        </w:rPr>
        <w:t> </w:t>
      </w:r>
      <w:r>
        <w:rPr>
          <w:rFonts w:ascii="Arial" w:hAnsi="Arial"/>
          <w:i/>
          <w:color w:val="231F20"/>
          <w:w w:val="105"/>
          <w:sz w:val="18"/>
        </w:rPr>
        <w:t>enteran por</w:t>
      </w:r>
      <w:r>
        <w:rPr>
          <w:rFonts w:ascii="Arial" w:hAnsi="Arial"/>
          <w:i/>
          <w:color w:val="231F20"/>
          <w:spacing w:val="-4"/>
          <w:w w:val="105"/>
          <w:sz w:val="18"/>
        </w:rPr>
        <w:t> </w:t>
      </w:r>
      <w:r>
        <w:rPr>
          <w:rFonts w:ascii="Arial" w:hAnsi="Arial"/>
          <w:i/>
          <w:color w:val="231F20"/>
          <w:w w:val="105"/>
          <w:sz w:val="18"/>
        </w:rPr>
        <w:t>el</w:t>
      </w:r>
      <w:r>
        <w:rPr>
          <w:rFonts w:ascii="Arial" w:hAnsi="Arial"/>
          <w:i/>
          <w:color w:val="231F20"/>
          <w:spacing w:val="-4"/>
          <w:w w:val="105"/>
          <w:sz w:val="18"/>
        </w:rPr>
        <w:t> </w:t>
      </w:r>
      <w:r>
        <w:rPr>
          <w:rFonts w:ascii="Arial" w:hAnsi="Arial"/>
          <w:i/>
          <w:color w:val="231F20"/>
          <w:w w:val="105"/>
          <w:sz w:val="18"/>
        </w:rPr>
        <w:t>internet</w:t>
      </w:r>
      <w:r>
        <w:rPr>
          <w:rFonts w:ascii="Arial" w:hAnsi="Arial"/>
          <w:i/>
          <w:color w:val="231F20"/>
          <w:spacing w:val="-4"/>
          <w:w w:val="105"/>
          <w:sz w:val="18"/>
        </w:rPr>
        <w:t> </w:t>
      </w:r>
      <w:r>
        <w:rPr>
          <w:rFonts w:ascii="Arial" w:hAnsi="Arial"/>
          <w:i/>
          <w:color w:val="231F20"/>
          <w:w w:val="105"/>
          <w:sz w:val="18"/>
        </w:rPr>
        <w:t>más</w:t>
      </w:r>
      <w:r>
        <w:rPr>
          <w:rFonts w:ascii="Arial" w:hAnsi="Arial"/>
          <w:i/>
          <w:color w:val="231F20"/>
          <w:spacing w:val="-4"/>
          <w:w w:val="105"/>
          <w:sz w:val="18"/>
        </w:rPr>
        <w:t> </w:t>
      </w:r>
      <w:r>
        <w:rPr>
          <w:rFonts w:ascii="Arial" w:hAnsi="Arial"/>
          <w:i/>
          <w:color w:val="231F20"/>
          <w:w w:val="105"/>
          <w:sz w:val="18"/>
        </w:rPr>
        <w:t>rápido</w:t>
      </w:r>
      <w:r>
        <w:rPr>
          <w:rFonts w:ascii="Arial" w:hAnsi="Arial"/>
          <w:i/>
          <w:color w:val="231F20"/>
          <w:spacing w:val="-4"/>
          <w:w w:val="105"/>
          <w:sz w:val="18"/>
        </w:rPr>
        <w:t> </w:t>
      </w:r>
      <w:r>
        <w:rPr>
          <w:rFonts w:ascii="Arial" w:hAnsi="Arial"/>
          <w:i/>
          <w:color w:val="231F20"/>
          <w:w w:val="105"/>
          <w:sz w:val="18"/>
        </w:rPr>
        <w:t>que</w:t>
      </w:r>
      <w:r>
        <w:rPr>
          <w:rFonts w:ascii="Arial" w:hAnsi="Arial"/>
          <w:i/>
          <w:color w:val="231F20"/>
          <w:spacing w:val="-4"/>
          <w:w w:val="105"/>
          <w:sz w:val="18"/>
        </w:rPr>
        <w:t> </w:t>
      </w:r>
      <w:r>
        <w:rPr>
          <w:rFonts w:ascii="Arial" w:hAnsi="Arial"/>
          <w:i/>
          <w:color w:val="231F20"/>
          <w:w w:val="105"/>
          <w:sz w:val="18"/>
        </w:rPr>
        <w:t>yo</w:t>
      </w:r>
      <w:r>
        <w:rPr>
          <w:rFonts w:ascii="Arial" w:hAnsi="Arial"/>
          <w:i/>
          <w:color w:val="231F20"/>
          <w:spacing w:val="-4"/>
          <w:w w:val="105"/>
          <w:sz w:val="18"/>
        </w:rPr>
        <w:t> </w:t>
      </w:r>
      <w:r>
        <w:rPr>
          <w:rFonts w:ascii="Arial" w:hAnsi="Arial"/>
          <w:i/>
          <w:color w:val="231F20"/>
          <w:w w:val="105"/>
          <w:sz w:val="18"/>
        </w:rPr>
        <w:t>de</w:t>
      </w:r>
      <w:r>
        <w:rPr>
          <w:rFonts w:ascii="Arial" w:hAnsi="Arial"/>
          <w:i/>
          <w:color w:val="231F20"/>
          <w:spacing w:val="-4"/>
          <w:w w:val="105"/>
          <w:sz w:val="18"/>
        </w:rPr>
        <w:t> </w:t>
      </w:r>
      <w:r>
        <w:rPr>
          <w:rFonts w:ascii="Arial" w:hAnsi="Arial"/>
          <w:i/>
          <w:color w:val="231F20"/>
          <w:w w:val="105"/>
          <w:sz w:val="18"/>
        </w:rPr>
        <w:t>lo</w:t>
      </w:r>
      <w:r>
        <w:rPr>
          <w:rFonts w:ascii="Arial" w:hAnsi="Arial"/>
          <w:i/>
          <w:color w:val="231F20"/>
          <w:spacing w:val="-4"/>
          <w:w w:val="105"/>
          <w:sz w:val="18"/>
        </w:rPr>
        <w:t> </w:t>
      </w:r>
      <w:r>
        <w:rPr>
          <w:rFonts w:ascii="Arial" w:hAnsi="Arial"/>
          <w:i/>
          <w:color w:val="231F20"/>
          <w:w w:val="105"/>
          <w:sz w:val="18"/>
        </w:rPr>
        <w:t>que</w:t>
      </w:r>
      <w:r>
        <w:rPr>
          <w:rFonts w:ascii="Arial" w:hAnsi="Arial"/>
          <w:i/>
          <w:color w:val="231F20"/>
          <w:spacing w:val="-4"/>
          <w:w w:val="105"/>
          <w:sz w:val="18"/>
        </w:rPr>
        <w:t> </w:t>
      </w:r>
      <w:r>
        <w:rPr>
          <w:rFonts w:ascii="Arial" w:hAnsi="Arial"/>
          <w:i/>
          <w:color w:val="231F20"/>
          <w:w w:val="105"/>
          <w:sz w:val="18"/>
        </w:rPr>
        <w:t>pasa</w:t>
      </w:r>
      <w:r>
        <w:rPr>
          <w:rFonts w:ascii="Arial" w:hAnsi="Arial"/>
          <w:i/>
          <w:color w:val="231F20"/>
          <w:spacing w:val="-4"/>
          <w:w w:val="105"/>
          <w:sz w:val="18"/>
        </w:rPr>
        <w:t> </w:t>
      </w:r>
      <w:r>
        <w:rPr>
          <w:rFonts w:ascii="Arial" w:hAnsi="Arial"/>
          <w:i/>
          <w:color w:val="231F20"/>
          <w:w w:val="105"/>
          <w:sz w:val="18"/>
        </w:rPr>
        <w:t>aquí!</w:t>
      </w:r>
      <w:r>
        <w:rPr>
          <w:rFonts w:ascii="Arial" w:hAnsi="Arial"/>
          <w:i/>
          <w:color w:val="231F20"/>
          <w:spacing w:val="-7"/>
          <w:w w:val="105"/>
          <w:sz w:val="18"/>
        </w:rPr>
        <w:t> Ya</w:t>
      </w:r>
      <w:r>
        <w:rPr>
          <w:rFonts w:ascii="Arial" w:hAnsi="Arial"/>
          <w:i/>
          <w:color w:val="231F20"/>
          <w:spacing w:val="-4"/>
          <w:w w:val="105"/>
          <w:sz w:val="18"/>
        </w:rPr>
        <w:t> </w:t>
      </w:r>
      <w:r>
        <w:rPr>
          <w:rFonts w:ascii="Arial" w:hAnsi="Arial"/>
          <w:i/>
          <w:color w:val="231F20"/>
          <w:w w:val="105"/>
          <w:sz w:val="18"/>
        </w:rPr>
        <w:t>no</w:t>
      </w:r>
      <w:r>
        <w:rPr>
          <w:rFonts w:ascii="Arial" w:hAnsi="Arial"/>
          <w:i/>
          <w:color w:val="231F20"/>
          <w:spacing w:val="-4"/>
          <w:w w:val="105"/>
          <w:sz w:val="18"/>
        </w:rPr>
        <w:t> </w:t>
      </w:r>
      <w:r>
        <w:rPr>
          <w:rFonts w:ascii="Arial" w:hAnsi="Arial"/>
          <w:i/>
          <w:color w:val="231F20"/>
          <w:w w:val="105"/>
          <w:sz w:val="18"/>
        </w:rPr>
        <w:t>es</w:t>
      </w:r>
      <w:r>
        <w:rPr>
          <w:rFonts w:ascii="Arial" w:hAnsi="Arial"/>
          <w:i/>
          <w:color w:val="231F20"/>
          <w:spacing w:val="-4"/>
          <w:w w:val="105"/>
          <w:sz w:val="18"/>
        </w:rPr>
        <w:t> </w:t>
      </w:r>
      <w:r>
        <w:rPr>
          <w:rFonts w:ascii="Arial" w:hAnsi="Arial"/>
          <w:i/>
          <w:color w:val="231F20"/>
          <w:w w:val="105"/>
          <w:sz w:val="18"/>
        </w:rPr>
        <w:t>como</w:t>
      </w:r>
    </w:p>
    <w:p>
      <w:pPr>
        <w:spacing w:after="0" w:line="249" w:lineRule="auto"/>
        <w:jc w:val="both"/>
        <w:rPr>
          <w:rFonts w:ascii="Arial" w:hAnsi="Arial"/>
          <w:sz w:val="18"/>
        </w:rPr>
        <w:sectPr>
          <w:pgSz w:w="10480" w:h="14730"/>
          <w:pgMar w:header="0" w:footer="103" w:top="300" w:bottom="300" w:left="0" w:right="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11"/>
        <w:rPr>
          <w:rFonts w:ascii="Arial"/>
          <w:i/>
          <w:sz w:val="28"/>
        </w:rPr>
      </w:pPr>
    </w:p>
    <w:p>
      <w:pPr>
        <w:spacing w:line="249" w:lineRule="auto" w:before="63"/>
        <w:ind w:left="2857" w:right="1835" w:firstLine="0"/>
        <w:jc w:val="both"/>
        <w:rPr>
          <w:rFonts w:ascii="Arial" w:hAnsi="Arial"/>
          <w:i/>
          <w:sz w:val="18"/>
        </w:rPr>
      </w:pPr>
      <w:r>
        <w:rPr/>
        <w:pict>
          <v:line style="position:absolute;mso-position-horizontal-relative:page;mso-position-vertical-relative:paragraph;z-index:45784" from="15pt,-68.274239pt" to="0pt,-68.274239pt" stroked="true" strokeweight=".25pt" strokecolor="#000000">
            <w10:wrap type="none"/>
          </v:line>
        </w:pict>
      </w:r>
      <w:r>
        <w:rPr/>
        <w:pict>
          <v:line style="position:absolute;mso-position-horizontal-relative:page;mso-position-vertical-relative:paragraph;z-index:45808" from="508.890015pt,-68.274239pt" to="523.890015pt,-68.274239pt" stroked="true" strokeweight=".25pt" strokecolor="#000000">
            <w10:wrap type="none"/>
          </v:line>
        </w:pict>
      </w:r>
      <w:r>
        <w:rPr>
          <w:rFonts w:ascii="Arial" w:hAnsi="Arial"/>
          <w:i/>
          <w:color w:val="231F20"/>
          <w:w w:val="105"/>
          <w:sz w:val="18"/>
        </w:rPr>
        <w:t>cuando</w:t>
      </w:r>
      <w:r>
        <w:rPr>
          <w:rFonts w:ascii="Arial" w:hAnsi="Arial"/>
          <w:i/>
          <w:color w:val="231F20"/>
          <w:spacing w:val="-23"/>
          <w:w w:val="105"/>
          <w:sz w:val="18"/>
        </w:rPr>
        <w:t> </w:t>
      </w:r>
      <w:r>
        <w:rPr>
          <w:rFonts w:ascii="Arial" w:hAnsi="Arial"/>
          <w:i/>
          <w:color w:val="231F20"/>
          <w:w w:val="105"/>
          <w:sz w:val="18"/>
        </w:rPr>
        <w:t>estuve</w:t>
      </w:r>
      <w:r>
        <w:rPr>
          <w:rFonts w:ascii="Arial" w:hAnsi="Arial"/>
          <w:i/>
          <w:color w:val="231F20"/>
          <w:spacing w:val="-23"/>
          <w:w w:val="105"/>
          <w:sz w:val="18"/>
        </w:rPr>
        <w:t> </w:t>
      </w:r>
      <w:r>
        <w:rPr>
          <w:rFonts w:ascii="Arial" w:hAnsi="Arial"/>
          <w:i/>
          <w:color w:val="231F20"/>
          <w:w w:val="105"/>
          <w:sz w:val="18"/>
        </w:rPr>
        <w:t>en</w:t>
      </w:r>
      <w:r>
        <w:rPr>
          <w:rFonts w:ascii="Arial" w:hAnsi="Arial"/>
          <w:i/>
          <w:color w:val="231F20"/>
          <w:spacing w:val="-23"/>
          <w:w w:val="105"/>
          <w:sz w:val="18"/>
        </w:rPr>
        <w:t> </w:t>
      </w:r>
      <w:r>
        <w:rPr>
          <w:rFonts w:ascii="Arial" w:hAnsi="Arial"/>
          <w:i/>
          <w:color w:val="231F20"/>
          <w:w w:val="105"/>
          <w:sz w:val="18"/>
        </w:rPr>
        <w:t>California</w:t>
      </w:r>
      <w:r>
        <w:rPr>
          <w:rFonts w:ascii="Arial" w:hAnsi="Arial"/>
          <w:i/>
          <w:color w:val="231F20"/>
          <w:spacing w:val="-23"/>
          <w:w w:val="105"/>
          <w:sz w:val="18"/>
        </w:rPr>
        <w:t> </w:t>
      </w:r>
      <w:r>
        <w:rPr>
          <w:rFonts w:ascii="Arial" w:hAnsi="Arial"/>
          <w:i/>
          <w:color w:val="231F20"/>
          <w:w w:val="105"/>
          <w:sz w:val="18"/>
        </w:rPr>
        <w:t>que</w:t>
      </w:r>
      <w:r>
        <w:rPr>
          <w:rFonts w:ascii="Arial" w:hAnsi="Arial"/>
          <w:i/>
          <w:color w:val="231F20"/>
          <w:spacing w:val="-23"/>
          <w:w w:val="105"/>
          <w:sz w:val="18"/>
        </w:rPr>
        <w:t> </w:t>
      </w:r>
      <w:r>
        <w:rPr>
          <w:rFonts w:ascii="Arial" w:hAnsi="Arial"/>
          <w:i/>
          <w:color w:val="231F20"/>
          <w:w w:val="105"/>
          <w:sz w:val="18"/>
        </w:rPr>
        <w:t>sólo</w:t>
      </w:r>
      <w:r>
        <w:rPr>
          <w:rFonts w:ascii="Arial" w:hAnsi="Arial"/>
          <w:i/>
          <w:color w:val="231F20"/>
          <w:spacing w:val="-23"/>
          <w:w w:val="105"/>
          <w:sz w:val="18"/>
        </w:rPr>
        <w:t> </w:t>
      </w:r>
      <w:r>
        <w:rPr>
          <w:rFonts w:ascii="Arial" w:hAnsi="Arial"/>
          <w:i/>
          <w:color w:val="231F20"/>
          <w:w w:val="105"/>
          <w:sz w:val="18"/>
        </w:rPr>
        <w:t>nos</w:t>
      </w:r>
      <w:r>
        <w:rPr>
          <w:rFonts w:ascii="Arial" w:hAnsi="Arial"/>
          <w:i/>
          <w:color w:val="231F20"/>
          <w:spacing w:val="-23"/>
          <w:w w:val="105"/>
          <w:sz w:val="18"/>
        </w:rPr>
        <w:t> </w:t>
      </w:r>
      <w:r>
        <w:rPr>
          <w:rFonts w:ascii="Arial" w:hAnsi="Arial"/>
          <w:i/>
          <w:color w:val="231F20"/>
          <w:w w:val="105"/>
          <w:sz w:val="18"/>
        </w:rPr>
        <w:t>comunicamos</w:t>
      </w:r>
      <w:r>
        <w:rPr>
          <w:rFonts w:ascii="Arial" w:hAnsi="Arial"/>
          <w:i/>
          <w:color w:val="231F20"/>
          <w:spacing w:val="-23"/>
          <w:w w:val="105"/>
          <w:sz w:val="18"/>
        </w:rPr>
        <w:t> </w:t>
      </w:r>
      <w:r>
        <w:rPr>
          <w:rFonts w:ascii="Arial" w:hAnsi="Arial"/>
          <w:i/>
          <w:color w:val="231F20"/>
          <w:w w:val="105"/>
          <w:sz w:val="18"/>
        </w:rPr>
        <w:t>por</w:t>
      </w:r>
      <w:r>
        <w:rPr>
          <w:rFonts w:ascii="Arial" w:hAnsi="Arial"/>
          <w:i/>
          <w:color w:val="231F20"/>
          <w:spacing w:val="-23"/>
          <w:w w:val="105"/>
          <w:sz w:val="18"/>
        </w:rPr>
        <w:t> </w:t>
      </w:r>
      <w:r>
        <w:rPr>
          <w:rFonts w:ascii="Arial" w:hAnsi="Arial"/>
          <w:i/>
          <w:color w:val="231F20"/>
          <w:w w:val="105"/>
          <w:sz w:val="18"/>
        </w:rPr>
        <w:t>carta.</w:t>
      </w:r>
      <w:r>
        <w:rPr>
          <w:rFonts w:ascii="Arial" w:hAnsi="Arial"/>
          <w:i/>
          <w:color w:val="231F20"/>
          <w:spacing w:val="-29"/>
          <w:w w:val="105"/>
          <w:sz w:val="18"/>
        </w:rPr>
        <w:t> </w:t>
      </w:r>
      <w:r>
        <w:rPr>
          <w:rFonts w:ascii="Arial" w:hAnsi="Arial"/>
          <w:i/>
          <w:color w:val="231F20"/>
          <w:spacing w:val="-5"/>
          <w:w w:val="105"/>
          <w:sz w:val="18"/>
        </w:rPr>
        <w:t>Tam- </w:t>
      </w:r>
      <w:r>
        <w:rPr>
          <w:rFonts w:ascii="Arial" w:hAnsi="Arial"/>
          <w:i/>
          <w:color w:val="231F20"/>
          <w:w w:val="105"/>
          <w:sz w:val="18"/>
        </w:rPr>
        <w:t>bién era</w:t>
      </w:r>
      <w:r>
        <w:rPr>
          <w:rFonts w:ascii="Arial" w:hAnsi="Arial"/>
          <w:i/>
          <w:color w:val="231F20"/>
          <w:spacing w:val="-16"/>
          <w:w w:val="105"/>
          <w:sz w:val="18"/>
        </w:rPr>
        <w:t> </w:t>
      </w:r>
      <w:r>
        <w:rPr>
          <w:rFonts w:ascii="Arial" w:hAnsi="Arial"/>
          <w:i/>
          <w:color w:val="231F20"/>
          <w:w w:val="105"/>
          <w:sz w:val="18"/>
        </w:rPr>
        <w:t>bonito.</w:t>
      </w:r>
    </w:p>
    <w:p>
      <w:pPr>
        <w:spacing w:line="249" w:lineRule="auto" w:before="114"/>
        <w:ind w:left="2857" w:right="1829" w:firstLine="0"/>
        <w:jc w:val="both"/>
        <w:rPr>
          <w:rFonts w:ascii="Arial" w:hAnsi="Arial"/>
          <w:i/>
          <w:sz w:val="18"/>
        </w:rPr>
      </w:pPr>
      <w:r>
        <w:rPr>
          <w:rFonts w:ascii="Arial" w:hAnsi="Arial"/>
          <w:i/>
          <w:color w:val="231F20"/>
          <w:spacing w:val="-4"/>
          <w:sz w:val="18"/>
        </w:rPr>
        <w:t>Pero</w:t>
      </w:r>
      <w:r>
        <w:rPr>
          <w:rFonts w:ascii="Arial" w:hAnsi="Arial"/>
          <w:i/>
          <w:color w:val="231F20"/>
          <w:spacing w:val="-12"/>
          <w:sz w:val="18"/>
        </w:rPr>
        <w:t> </w:t>
      </w:r>
      <w:r>
        <w:rPr>
          <w:rFonts w:ascii="Arial" w:hAnsi="Arial"/>
          <w:i/>
          <w:color w:val="231F20"/>
          <w:sz w:val="18"/>
        </w:rPr>
        <w:t>todas</w:t>
      </w:r>
      <w:r>
        <w:rPr>
          <w:rFonts w:ascii="Arial" w:hAnsi="Arial"/>
          <w:i/>
          <w:color w:val="231F20"/>
          <w:spacing w:val="-12"/>
          <w:sz w:val="18"/>
        </w:rPr>
        <w:t> </w:t>
      </w:r>
      <w:r>
        <w:rPr>
          <w:rFonts w:ascii="Arial" w:hAnsi="Arial"/>
          <w:i/>
          <w:color w:val="231F20"/>
          <w:sz w:val="18"/>
        </w:rPr>
        <w:t>esas</w:t>
      </w:r>
      <w:r>
        <w:rPr>
          <w:rFonts w:ascii="Arial" w:hAnsi="Arial"/>
          <w:i/>
          <w:color w:val="231F20"/>
          <w:spacing w:val="-12"/>
          <w:sz w:val="18"/>
        </w:rPr>
        <w:t> </w:t>
      </w:r>
      <w:r>
        <w:rPr>
          <w:rFonts w:ascii="Arial" w:hAnsi="Arial"/>
          <w:i/>
          <w:color w:val="231F20"/>
          <w:sz w:val="18"/>
        </w:rPr>
        <w:t>cartas</w:t>
      </w:r>
      <w:r>
        <w:rPr>
          <w:rFonts w:ascii="Arial" w:hAnsi="Arial"/>
          <w:i/>
          <w:color w:val="231F20"/>
          <w:spacing w:val="-12"/>
          <w:sz w:val="18"/>
        </w:rPr>
        <w:t> </w:t>
      </w:r>
      <w:r>
        <w:rPr>
          <w:rFonts w:ascii="Arial" w:hAnsi="Arial"/>
          <w:i/>
          <w:color w:val="231F20"/>
          <w:sz w:val="18"/>
        </w:rPr>
        <w:t>se</w:t>
      </w:r>
      <w:r>
        <w:rPr>
          <w:rFonts w:ascii="Arial" w:hAnsi="Arial"/>
          <w:i/>
          <w:color w:val="231F20"/>
          <w:spacing w:val="-12"/>
          <w:sz w:val="18"/>
        </w:rPr>
        <w:t> </w:t>
      </w:r>
      <w:r>
        <w:rPr>
          <w:rFonts w:ascii="Arial" w:hAnsi="Arial"/>
          <w:i/>
          <w:color w:val="231F20"/>
          <w:sz w:val="18"/>
        </w:rPr>
        <w:t>perdieron.</w:t>
      </w:r>
      <w:r>
        <w:rPr>
          <w:rFonts w:ascii="Arial" w:hAnsi="Arial"/>
          <w:i/>
          <w:color w:val="231F20"/>
          <w:spacing w:val="-17"/>
          <w:sz w:val="18"/>
        </w:rPr>
        <w:t> </w:t>
      </w:r>
      <w:r>
        <w:rPr>
          <w:rFonts w:ascii="Arial" w:hAnsi="Arial"/>
          <w:i/>
          <w:color w:val="231F20"/>
          <w:sz w:val="18"/>
        </w:rPr>
        <w:t>Las</w:t>
      </w:r>
      <w:r>
        <w:rPr>
          <w:rFonts w:ascii="Arial" w:hAnsi="Arial"/>
          <w:i/>
          <w:color w:val="231F20"/>
          <w:spacing w:val="-12"/>
          <w:sz w:val="18"/>
        </w:rPr>
        <w:t> </w:t>
      </w:r>
      <w:r>
        <w:rPr>
          <w:rFonts w:ascii="Arial" w:hAnsi="Arial"/>
          <w:i/>
          <w:color w:val="231F20"/>
          <w:sz w:val="18"/>
        </w:rPr>
        <w:t>tenía</w:t>
      </w:r>
      <w:r>
        <w:rPr>
          <w:rFonts w:ascii="Arial" w:hAnsi="Arial"/>
          <w:i/>
          <w:color w:val="231F20"/>
          <w:spacing w:val="-12"/>
          <w:sz w:val="18"/>
        </w:rPr>
        <w:t> </w:t>
      </w:r>
      <w:r>
        <w:rPr>
          <w:rFonts w:ascii="Arial" w:hAnsi="Arial"/>
          <w:i/>
          <w:color w:val="231F20"/>
          <w:sz w:val="18"/>
        </w:rPr>
        <w:t>en</w:t>
      </w:r>
      <w:r>
        <w:rPr>
          <w:rFonts w:ascii="Arial" w:hAnsi="Arial"/>
          <w:i/>
          <w:color w:val="231F20"/>
          <w:spacing w:val="-12"/>
          <w:sz w:val="18"/>
        </w:rPr>
        <w:t> </w:t>
      </w:r>
      <w:r>
        <w:rPr>
          <w:rFonts w:ascii="Arial" w:hAnsi="Arial"/>
          <w:i/>
          <w:color w:val="231F20"/>
          <w:sz w:val="18"/>
        </w:rPr>
        <w:t>un</w:t>
      </w:r>
      <w:r>
        <w:rPr>
          <w:rFonts w:ascii="Arial" w:hAnsi="Arial"/>
          <w:i/>
          <w:color w:val="231F20"/>
          <w:spacing w:val="-12"/>
          <w:sz w:val="18"/>
        </w:rPr>
        <w:t> </w:t>
      </w:r>
      <w:r>
        <w:rPr>
          <w:rFonts w:ascii="Arial" w:hAnsi="Arial"/>
          <w:i/>
          <w:color w:val="231F20"/>
          <w:sz w:val="18"/>
        </w:rPr>
        <w:t>beliz</w:t>
      </w:r>
      <w:r>
        <w:rPr>
          <w:rFonts w:ascii="Arial" w:hAnsi="Arial"/>
          <w:i/>
          <w:color w:val="231F20"/>
          <w:spacing w:val="-12"/>
          <w:sz w:val="18"/>
        </w:rPr>
        <w:t> </w:t>
      </w:r>
      <w:r>
        <w:rPr>
          <w:rFonts w:ascii="Arial" w:hAnsi="Arial"/>
          <w:i/>
          <w:color w:val="231F20"/>
          <w:sz w:val="18"/>
        </w:rPr>
        <w:t>azul</w:t>
      </w:r>
      <w:r>
        <w:rPr>
          <w:rFonts w:ascii="Arial" w:hAnsi="Arial"/>
          <w:i/>
          <w:color w:val="231F20"/>
          <w:spacing w:val="-12"/>
          <w:sz w:val="18"/>
        </w:rPr>
        <w:t> </w:t>
      </w:r>
      <w:r>
        <w:rPr>
          <w:rFonts w:ascii="Arial" w:hAnsi="Arial"/>
          <w:i/>
          <w:color w:val="231F20"/>
          <w:sz w:val="18"/>
        </w:rPr>
        <w:t>que</w:t>
      </w:r>
      <w:r>
        <w:rPr>
          <w:rFonts w:ascii="Arial" w:hAnsi="Arial"/>
          <w:i/>
          <w:color w:val="231F20"/>
          <w:spacing w:val="-12"/>
          <w:sz w:val="18"/>
        </w:rPr>
        <w:t> </w:t>
      </w:r>
      <w:r>
        <w:rPr>
          <w:rFonts w:ascii="Arial" w:hAnsi="Arial"/>
          <w:i/>
          <w:color w:val="231F20"/>
          <w:sz w:val="18"/>
        </w:rPr>
        <w:t>me</w:t>
      </w:r>
      <w:r>
        <w:rPr>
          <w:rFonts w:ascii="Arial" w:hAnsi="Arial"/>
          <w:i/>
          <w:color w:val="231F20"/>
          <w:spacing w:val="-12"/>
          <w:sz w:val="18"/>
        </w:rPr>
        <w:t> </w:t>
      </w:r>
      <w:r>
        <w:rPr>
          <w:rFonts w:ascii="Arial" w:hAnsi="Arial"/>
          <w:i/>
          <w:color w:val="231F20"/>
          <w:sz w:val="18"/>
        </w:rPr>
        <w:t>ro- </w:t>
      </w:r>
      <w:r>
        <w:rPr>
          <w:rFonts w:ascii="Arial" w:hAnsi="Arial"/>
          <w:i/>
          <w:color w:val="231F20"/>
          <w:sz w:val="18"/>
        </w:rPr>
        <w:t>baron mientras estuve allá. Me dio coraje, sentimiento de pérdida. Con ese beliz se fueron todos mis papeles, fotografías, cartas, escrituras y muchas cositas que tenía. Esa fue una mala experiencia. Me da</w:t>
      </w:r>
      <w:r>
        <w:rPr>
          <w:rFonts w:ascii="Arial" w:hAnsi="Arial"/>
          <w:i/>
          <w:color w:val="231F20"/>
          <w:spacing w:val="-15"/>
          <w:sz w:val="18"/>
        </w:rPr>
        <w:t> </w:t>
      </w:r>
      <w:r>
        <w:rPr>
          <w:rFonts w:ascii="Arial" w:hAnsi="Arial"/>
          <w:i/>
          <w:color w:val="231F20"/>
          <w:sz w:val="18"/>
        </w:rPr>
        <w:t>tristeza, ahí estaba mucho de mi vida, pero qué hace uno en esos casos… Afor- tunadamente una de mis hijas conservó mi mica de cuando fui bracero. </w:t>
      </w:r>
      <w:r>
        <w:rPr>
          <w:rFonts w:ascii="Arial" w:hAnsi="Arial"/>
          <w:i/>
          <w:color w:val="231F20"/>
          <w:spacing w:val="-4"/>
          <w:sz w:val="18"/>
        </w:rPr>
        <w:t>Pero </w:t>
      </w:r>
      <w:r>
        <w:rPr>
          <w:rFonts w:ascii="Arial" w:hAnsi="Arial"/>
          <w:i/>
          <w:color w:val="231F20"/>
          <w:sz w:val="18"/>
        </w:rPr>
        <w:t>de lo que tenía en el beliz ya no recuperé nada y eso sí me</w:t>
      </w:r>
      <w:r>
        <w:rPr>
          <w:rFonts w:ascii="Arial" w:hAnsi="Arial"/>
          <w:i/>
          <w:color w:val="231F20"/>
          <w:spacing w:val="36"/>
          <w:sz w:val="18"/>
        </w:rPr>
        <w:t> </w:t>
      </w:r>
      <w:r>
        <w:rPr>
          <w:rFonts w:ascii="Arial" w:hAnsi="Arial"/>
          <w:i/>
          <w:color w:val="231F20"/>
          <w:sz w:val="18"/>
        </w:rPr>
        <w:t>duele.</w:t>
      </w:r>
    </w:p>
    <w:p>
      <w:pPr>
        <w:pStyle w:val="BodyText"/>
        <w:spacing w:before="8"/>
        <w:rPr>
          <w:rFonts w:ascii="Arial"/>
          <w:i/>
          <w:sz w:val="24"/>
        </w:rPr>
      </w:pPr>
    </w:p>
    <w:p>
      <w:pPr>
        <w:spacing w:line="249" w:lineRule="auto" w:before="0"/>
        <w:ind w:left="2857" w:right="1834" w:firstLine="0"/>
        <w:jc w:val="both"/>
        <w:rPr>
          <w:rFonts w:ascii="Arial" w:hAnsi="Arial"/>
          <w:i/>
          <w:sz w:val="18"/>
        </w:rPr>
      </w:pPr>
      <w:r>
        <w:rPr>
          <w:rFonts w:ascii="Arial" w:hAnsi="Arial"/>
          <w:i/>
          <w:color w:val="231F20"/>
          <w:w w:val="105"/>
          <w:sz w:val="18"/>
        </w:rPr>
        <w:t>Después</w:t>
      </w:r>
      <w:r>
        <w:rPr>
          <w:rFonts w:ascii="Arial" w:hAnsi="Arial"/>
          <w:i/>
          <w:color w:val="231F20"/>
          <w:spacing w:val="-26"/>
          <w:w w:val="105"/>
          <w:sz w:val="18"/>
        </w:rPr>
        <w:t> </w:t>
      </w:r>
      <w:r>
        <w:rPr>
          <w:rFonts w:ascii="Arial" w:hAnsi="Arial"/>
          <w:i/>
          <w:color w:val="231F20"/>
          <w:w w:val="105"/>
          <w:sz w:val="18"/>
        </w:rPr>
        <w:t>de</w:t>
      </w:r>
      <w:r>
        <w:rPr>
          <w:rFonts w:ascii="Arial" w:hAnsi="Arial"/>
          <w:i/>
          <w:color w:val="231F20"/>
          <w:spacing w:val="-26"/>
          <w:w w:val="105"/>
          <w:sz w:val="18"/>
        </w:rPr>
        <w:t> </w:t>
      </w:r>
      <w:r>
        <w:rPr>
          <w:rFonts w:ascii="Arial" w:hAnsi="Arial"/>
          <w:i/>
          <w:color w:val="231F20"/>
          <w:w w:val="105"/>
          <w:sz w:val="18"/>
        </w:rPr>
        <w:t>todo,</w:t>
      </w:r>
      <w:r>
        <w:rPr>
          <w:rFonts w:ascii="Arial" w:hAnsi="Arial"/>
          <w:i/>
          <w:color w:val="231F20"/>
          <w:spacing w:val="-29"/>
          <w:w w:val="105"/>
          <w:sz w:val="18"/>
        </w:rPr>
        <w:t> </w:t>
      </w:r>
      <w:r>
        <w:rPr>
          <w:rFonts w:ascii="Arial" w:hAnsi="Arial"/>
          <w:i/>
          <w:color w:val="231F20"/>
          <w:w w:val="105"/>
          <w:sz w:val="18"/>
        </w:rPr>
        <w:t>la</w:t>
      </w:r>
      <w:r>
        <w:rPr>
          <w:rFonts w:ascii="Arial" w:hAnsi="Arial"/>
          <w:i/>
          <w:color w:val="231F20"/>
          <w:spacing w:val="-26"/>
          <w:w w:val="105"/>
          <w:sz w:val="18"/>
        </w:rPr>
        <w:t> </w:t>
      </w:r>
      <w:r>
        <w:rPr>
          <w:rFonts w:ascii="Arial" w:hAnsi="Arial"/>
          <w:i/>
          <w:color w:val="231F20"/>
          <w:w w:val="105"/>
          <w:sz w:val="18"/>
        </w:rPr>
        <w:t>época</w:t>
      </w:r>
      <w:r>
        <w:rPr>
          <w:rFonts w:ascii="Arial" w:hAnsi="Arial"/>
          <w:i/>
          <w:color w:val="231F20"/>
          <w:spacing w:val="-26"/>
          <w:w w:val="105"/>
          <w:sz w:val="18"/>
        </w:rPr>
        <w:t> </w:t>
      </w:r>
      <w:r>
        <w:rPr>
          <w:rFonts w:ascii="Arial" w:hAnsi="Arial"/>
          <w:i/>
          <w:color w:val="231F20"/>
          <w:w w:val="105"/>
          <w:sz w:val="18"/>
        </w:rPr>
        <w:t>más</w:t>
      </w:r>
      <w:r>
        <w:rPr>
          <w:rFonts w:ascii="Arial" w:hAnsi="Arial"/>
          <w:i/>
          <w:color w:val="231F20"/>
          <w:spacing w:val="-26"/>
          <w:w w:val="105"/>
          <w:sz w:val="18"/>
        </w:rPr>
        <w:t> </w:t>
      </w:r>
      <w:r>
        <w:rPr>
          <w:rFonts w:ascii="Arial" w:hAnsi="Arial"/>
          <w:i/>
          <w:color w:val="231F20"/>
          <w:w w:val="105"/>
          <w:sz w:val="18"/>
        </w:rPr>
        <w:t>feliz</w:t>
      </w:r>
      <w:r>
        <w:rPr>
          <w:rFonts w:ascii="Arial" w:hAnsi="Arial"/>
          <w:i/>
          <w:color w:val="231F20"/>
          <w:spacing w:val="-26"/>
          <w:w w:val="105"/>
          <w:sz w:val="18"/>
        </w:rPr>
        <w:t> </w:t>
      </w:r>
      <w:r>
        <w:rPr>
          <w:rFonts w:ascii="Arial" w:hAnsi="Arial"/>
          <w:i/>
          <w:color w:val="231F20"/>
          <w:w w:val="105"/>
          <w:sz w:val="18"/>
        </w:rPr>
        <w:t>es</w:t>
      </w:r>
      <w:r>
        <w:rPr>
          <w:rFonts w:ascii="Arial" w:hAnsi="Arial"/>
          <w:i/>
          <w:color w:val="231F20"/>
          <w:spacing w:val="-26"/>
          <w:w w:val="105"/>
          <w:sz w:val="18"/>
        </w:rPr>
        <w:t> </w:t>
      </w:r>
      <w:r>
        <w:rPr>
          <w:rFonts w:ascii="Arial" w:hAnsi="Arial"/>
          <w:i/>
          <w:color w:val="231F20"/>
          <w:w w:val="105"/>
          <w:sz w:val="18"/>
        </w:rPr>
        <w:t>esta.</w:t>
      </w:r>
      <w:r>
        <w:rPr>
          <w:rFonts w:ascii="Arial" w:hAnsi="Arial"/>
          <w:i/>
          <w:color w:val="231F20"/>
          <w:spacing w:val="-33"/>
          <w:w w:val="105"/>
          <w:sz w:val="18"/>
        </w:rPr>
        <w:t> </w:t>
      </w:r>
      <w:r>
        <w:rPr>
          <w:rFonts w:ascii="Arial" w:hAnsi="Arial"/>
          <w:i/>
          <w:color w:val="231F20"/>
          <w:spacing w:val="-3"/>
          <w:w w:val="105"/>
          <w:sz w:val="18"/>
        </w:rPr>
        <w:t>Trabajo</w:t>
      </w:r>
      <w:r>
        <w:rPr>
          <w:rFonts w:ascii="Arial" w:hAnsi="Arial"/>
          <w:i/>
          <w:color w:val="231F20"/>
          <w:spacing w:val="-26"/>
          <w:w w:val="105"/>
          <w:sz w:val="18"/>
        </w:rPr>
        <w:t> </w:t>
      </w:r>
      <w:r>
        <w:rPr>
          <w:rFonts w:ascii="Arial" w:hAnsi="Arial"/>
          <w:i/>
          <w:color w:val="231F20"/>
          <w:w w:val="105"/>
          <w:sz w:val="18"/>
        </w:rPr>
        <w:t>menos,</w:t>
      </w:r>
      <w:r>
        <w:rPr>
          <w:rFonts w:ascii="Arial" w:hAnsi="Arial"/>
          <w:i/>
          <w:color w:val="231F20"/>
          <w:spacing w:val="-29"/>
          <w:w w:val="105"/>
          <w:sz w:val="18"/>
        </w:rPr>
        <w:t> </w:t>
      </w:r>
      <w:r>
        <w:rPr>
          <w:rFonts w:ascii="Arial" w:hAnsi="Arial"/>
          <w:i/>
          <w:color w:val="231F20"/>
          <w:w w:val="105"/>
          <w:sz w:val="18"/>
        </w:rPr>
        <w:t>estoy</w:t>
      </w:r>
      <w:r>
        <w:rPr>
          <w:rFonts w:ascii="Arial" w:hAnsi="Arial"/>
          <w:i/>
          <w:color w:val="231F20"/>
          <w:spacing w:val="-26"/>
          <w:w w:val="105"/>
          <w:sz w:val="18"/>
        </w:rPr>
        <w:t> </w:t>
      </w:r>
      <w:r>
        <w:rPr>
          <w:rFonts w:ascii="Arial" w:hAnsi="Arial"/>
          <w:i/>
          <w:color w:val="231F20"/>
          <w:w w:val="105"/>
          <w:sz w:val="18"/>
        </w:rPr>
        <w:t>en</w:t>
      </w:r>
      <w:r>
        <w:rPr>
          <w:rFonts w:ascii="Arial" w:hAnsi="Arial"/>
          <w:i/>
          <w:color w:val="231F20"/>
          <w:spacing w:val="-26"/>
          <w:w w:val="105"/>
          <w:sz w:val="18"/>
        </w:rPr>
        <w:t> </w:t>
      </w:r>
      <w:r>
        <w:rPr>
          <w:rFonts w:ascii="Arial" w:hAnsi="Arial"/>
          <w:i/>
          <w:color w:val="231F20"/>
          <w:w w:val="105"/>
          <w:sz w:val="18"/>
        </w:rPr>
        <w:t>mi </w:t>
      </w:r>
      <w:r>
        <w:rPr>
          <w:rFonts w:ascii="Arial" w:hAnsi="Arial"/>
          <w:i/>
          <w:color w:val="231F20"/>
          <w:w w:val="105"/>
          <w:sz w:val="18"/>
        </w:rPr>
        <w:t>casa</w:t>
      </w:r>
      <w:r>
        <w:rPr>
          <w:rFonts w:ascii="Arial" w:hAnsi="Arial"/>
          <w:i/>
          <w:color w:val="231F20"/>
          <w:spacing w:val="-14"/>
          <w:w w:val="105"/>
          <w:sz w:val="18"/>
        </w:rPr>
        <w:t> </w:t>
      </w:r>
      <w:r>
        <w:rPr>
          <w:rFonts w:ascii="Arial" w:hAnsi="Arial"/>
          <w:i/>
          <w:color w:val="231F20"/>
          <w:w w:val="105"/>
          <w:sz w:val="18"/>
        </w:rPr>
        <w:t>con</w:t>
      </w:r>
      <w:r>
        <w:rPr>
          <w:rFonts w:ascii="Arial" w:hAnsi="Arial"/>
          <w:i/>
          <w:color w:val="231F20"/>
          <w:spacing w:val="-14"/>
          <w:w w:val="105"/>
          <w:sz w:val="18"/>
        </w:rPr>
        <w:t> </w:t>
      </w:r>
      <w:r>
        <w:rPr>
          <w:rFonts w:ascii="Arial" w:hAnsi="Arial"/>
          <w:i/>
          <w:color w:val="231F20"/>
          <w:w w:val="105"/>
          <w:sz w:val="18"/>
        </w:rPr>
        <w:t>Isabel,</w:t>
      </w:r>
      <w:r>
        <w:rPr>
          <w:rFonts w:ascii="Arial" w:hAnsi="Arial"/>
          <w:i/>
          <w:color w:val="231F20"/>
          <w:spacing w:val="-19"/>
          <w:w w:val="105"/>
          <w:sz w:val="18"/>
        </w:rPr>
        <w:t> </w:t>
      </w:r>
      <w:r>
        <w:rPr>
          <w:rFonts w:ascii="Arial" w:hAnsi="Arial"/>
          <w:i/>
          <w:color w:val="231F20"/>
          <w:w w:val="105"/>
          <w:sz w:val="18"/>
        </w:rPr>
        <w:t>mi</w:t>
      </w:r>
      <w:r>
        <w:rPr>
          <w:rFonts w:ascii="Arial" w:hAnsi="Arial"/>
          <w:i/>
          <w:color w:val="231F20"/>
          <w:spacing w:val="-14"/>
          <w:w w:val="105"/>
          <w:sz w:val="18"/>
        </w:rPr>
        <w:t> </w:t>
      </w:r>
      <w:r>
        <w:rPr>
          <w:rFonts w:ascii="Arial" w:hAnsi="Arial"/>
          <w:i/>
          <w:color w:val="231F20"/>
          <w:w w:val="105"/>
          <w:sz w:val="18"/>
        </w:rPr>
        <w:t>esposa,</w:t>
      </w:r>
      <w:r>
        <w:rPr>
          <w:rFonts w:ascii="Arial" w:hAnsi="Arial"/>
          <w:i/>
          <w:color w:val="231F20"/>
          <w:spacing w:val="-19"/>
          <w:w w:val="105"/>
          <w:sz w:val="18"/>
        </w:rPr>
        <w:t> </w:t>
      </w:r>
      <w:r>
        <w:rPr>
          <w:rFonts w:ascii="Arial" w:hAnsi="Arial"/>
          <w:i/>
          <w:color w:val="231F20"/>
          <w:w w:val="105"/>
          <w:sz w:val="18"/>
        </w:rPr>
        <w:t>y</w:t>
      </w:r>
      <w:r>
        <w:rPr>
          <w:rFonts w:ascii="Arial" w:hAnsi="Arial"/>
          <w:i/>
          <w:color w:val="231F20"/>
          <w:spacing w:val="-14"/>
          <w:w w:val="105"/>
          <w:sz w:val="18"/>
        </w:rPr>
        <w:t> </w:t>
      </w:r>
      <w:r>
        <w:rPr>
          <w:rFonts w:ascii="Arial" w:hAnsi="Arial"/>
          <w:i/>
          <w:color w:val="231F20"/>
          <w:w w:val="105"/>
          <w:sz w:val="18"/>
        </w:rPr>
        <w:t>contento</w:t>
      </w:r>
      <w:r>
        <w:rPr>
          <w:rFonts w:ascii="Arial" w:hAnsi="Arial"/>
          <w:i/>
          <w:color w:val="231F20"/>
          <w:spacing w:val="-14"/>
          <w:w w:val="105"/>
          <w:sz w:val="18"/>
        </w:rPr>
        <w:t> </w:t>
      </w:r>
      <w:r>
        <w:rPr>
          <w:rFonts w:ascii="Arial" w:hAnsi="Arial"/>
          <w:i/>
          <w:color w:val="231F20"/>
          <w:w w:val="105"/>
          <w:sz w:val="18"/>
        </w:rPr>
        <w:t>porque</w:t>
      </w:r>
      <w:r>
        <w:rPr>
          <w:rFonts w:ascii="Arial" w:hAnsi="Arial"/>
          <w:i/>
          <w:color w:val="231F20"/>
          <w:spacing w:val="-14"/>
          <w:w w:val="105"/>
          <w:sz w:val="18"/>
        </w:rPr>
        <w:t> </w:t>
      </w:r>
      <w:r>
        <w:rPr>
          <w:rFonts w:ascii="Arial" w:hAnsi="Arial"/>
          <w:i/>
          <w:color w:val="231F20"/>
          <w:w w:val="105"/>
          <w:sz w:val="18"/>
        </w:rPr>
        <w:t>mis</w:t>
      </w:r>
      <w:r>
        <w:rPr>
          <w:rFonts w:ascii="Arial" w:hAnsi="Arial"/>
          <w:i/>
          <w:color w:val="231F20"/>
          <w:spacing w:val="-14"/>
          <w:w w:val="105"/>
          <w:sz w:val="18"/>
        </w:rPr>
        <w:t> </w:t>
      </w:r>
      <w:r>
        <w:rPr>
          <w:rFonts w:ascii="Arial" w:hAnsi="Arial"/>
          <w:i/>
          <w:color w:val="231F20"/>
          <w:w w:val="105"/>
          <w:sz w:val="18"/>
        </w:rPr>
        <w:t>hijos</w:t>
      </w:r>
      <w:r>
        <w:rPr>
          <w:rFonts w:ascii="Arial" w:hAnsi="Arial"/>
          <w:i/>
          <w:color w:val="231F20"/>
          <w:spacing w:val="-14"/>
          <w:w w:val="105"/>
          <w:sz w:val="18"/>
        </w:rPr>
        <w:t> </w:t>
      </w:r>
      <w:r>
        <w:rPr>
          <w:rFonts w:ascii="Arial" w:hAnsi="Arial"/>
          <w:i/>
          <w:color w:val="231F20"/>
          <w:w w:val="105"/>
          <w:sz w:val="18"/>
        </w:rPr>
        <w:t>están</w:t>
      </w:r>
      <w:r>
        <w:rPr>
          <w:rFonts w:ascii="Arial" w:hAnsi="Arial"/>
          <w:i/>
          <w:color w:val="231F20"/>
          <w:spacing w:val="-14"/>
          <w:w w:val="105"/>
          <w:sz w:val="18"/>
        </w:rPr>
        <w:t> </w:t>
      </w:r>
      <w:r>
        <w:rPr>
          <w:rFonts w:ascii="Arial" w:hAnsi="Arial"/>
          <w:i/>
          <w:color w:val="231F20"/>
          <w:w w:val="105"/>
          <w:sz w:val="18"/>
        </w:rPr>
        <w:t>bien.</w:t>
      </w:r>
      <w:r>
        <w:rPr>
          <w:rFonts w:ascii="Arial" w:hAnsi="Arial"/>
          <w:i/>
          <w:color w:val="231F20"/>
          <w:spacing w:val="-19"/>
          <w:w w:val="105"/>
          <w:sz w:val="18"/>
        </w:rPr>
        <w:t> </w:t>
      </w:r>
      <w:r>
        <w:rPr>
          <w:rFonts w:ascii="Arial" w:hAnsi="Arial"/>
          <w:i/>
          <w:color w:val="231F20"/>
          <w:w w:val="105"/>
          <w:sz w:val="18"/>
        </w:rPr>
        <w:t>No he</w:t>
      </w:r>
      <w:r>
        <w:rPr>
          <w:rFonts w:ascii="Arial" w:hAnsi="Arial"/>
          <w:i/>
          <w:color w:val="231F20"/>
          <w:spacing w:val="-17"/>
          <w:w w:val="105"/>
          <w:sz w:val="18"/>
        </w:rPr>
        <w:t> </w:t>
      </w:r>
      <w:r>
        <w:rPr>
          <w:rFonts w:ascii="Arial" w:hAnsi="Arial"/>
          <w:i/>
          <w:color w:val="231F20"/>
          <w:w w:val="105"/>
          <w:sz w:val="18"/>
        </w:rPr>
        <w:t>dejado</w:t>
      </w:r>
      <w:r>
        <w:rPr>
          <w:rFonts w:ascii="Arial" w:hAnsi="Arial"/>
          <w:i/>
          <w:color w:val="231F20"/>
          <w:spacing w:val="-17"/>
          <w:w w:val="105"/>
          <w:sz w:val="18"/>
        </w:rPr>
        <w:t> </w:t>
      </w:r>
      <w:r>
        <w:rPr>
          <w:rFonts w:ascii="Arial" w:hAnsi="Arial"/>
          <w:i/>
          <w:color w:val="231F20"/>
          <w:w w:val="105"/>
          <w:sz w:val="18"/>
        </w:rPr>
        <w:t>de</w:t>
      </w:r>
      <w:r>
        <w:rPr>
          <w:rFonts w:ascii="Arial" w:hAnsi="Arial"/>
          <w:i/>
          <w:color w:val="231F20"/>
          <w:spacing w:val="-17"/>
          <w:w w:val="105"/>
          <w:sz w:val="18"/>
        </w:rPr>
        <w:t> </w:t>
      </w:r>
      <w:r>
        <w:rPr>
          <w:rFonts w:ascii="Arial" w:hAnsi="Arial"/>
          <w:i/>
          <w:color w:val="231F20"/>
          <w:w w:val="105"/>
          <w:sz w:val="18"/>
        </w:rPr>
        <w:t>trabajar</w:t>
      </w:r>
      <w:r>
        <w:rPr>
          <w:rFonts w:ascii="Arial" w:hAnsi="Arial"/>
          <w:i/>
          <w:color w:val="231F20"/>
          <w:spacing w:val="-17"/>
          <w:w w:val="105"/>
          <w:sz w:val="18"/>
        </w:rPr>
        <w:t> </w:t>
      </w:r>
      <w:r>
        <w:rPr>
          <w:rFonts w:ascii="Arial" w:hAnsi="Arial"/>
          <w:i/>
          <w:color w:val="231F20"/>
          <w:w w:val="105"/>
          <w:sz w:val="18"/>
        </w:rPr>
        <w:t>el</w:t>
      </w:r>
      <w:r>
        <w:rPr>
          <w:rFonts w:ascii="Arial" w:hAnsi="Arial"/>
          <w:i/>
          <w:color w:val="231F20"/>
          <w:spacing w:val="-17"/>
          <w:w w:val="105"/>
          <w:sz w:val="18"/>
        </w:rPr>
        <w:t> </w:t>
      </w:r>
      <w:r>
        <w:rPr>
          <w:rFonts w:ascii="Arial" w:hAnsi="Arial"/>
          <w:i/>
          <w:color w:val="231F20"/>
          <w:w w:val="105"/>
          <w:sz w:val="18"/>
        </w:rPr>
        <w:t>campo,</w:t>
      </w:r>
      <w:r>
        <w:rPr>
          <w:rFonts w:ascii="Arial" w:hAnsi="Arial"/>
          <w:i/>
          <w:color w:val="231F20"/>
          <w:spacing w:val="-21"/>
          <w:w w:val="105"/>
          <w:sz w:val="18"/>
        </w:rPr>
        <w:t> </w:t>
      </w:r>
      <w:r>
        <w:rPr>
          <w:rFonts w:ascii="Arial" w:hAnsi="Arial"/>
          <w:i/>
          <w:color w:val="231F20"/>
          <w:w w:val="105"/>
          <w:sz w:val="18"/>
        </w:rPr>
        <w:t>así</w:t>
      </w:r>
      <w:r>
        <w:rPr>
          <w:rFonts w:ascii="Arial" w:hAnsi="Arial"/>
          <w:i/>
          <w:color w:val="231F20"/>
          <w:spacing w:val="-17"/>
          <w:w w:val="105"/>
          <w:sz w:val="18"/>
        </w:rPr>
        <w:t> </w:t>
      </w:r>
      <w:r>
        <w:rPr>
          <w:rFonts w:ascii="Arial" w:hAnsi="Arial"/>
          <w:i/>
          <w:color w:val="231F20"/>
          <w:w w:val="105"/>
          <w:sz w:val="18"/>
        </w:rPr>
        <w:t>me</w:t>
      </w:r>
      <w:r>
        <w:rPr>
          <w:rFonts w:ascii="Arial" w:hAnsi="Arial"/>
          <w:i/>
          <w:color w:val="231F20"/>
          <w:spacing w:val="-17"/>
          <w:w w:val="105"/>
          <w:sz w:val="18"/>
        </w:rPr>
        <w:t> </w:t>
      </w:r>
      <w:r>
        <w:rPr>
          <w:rFonts w:ascii="Arial" w:hAnsi="Arial"/>
          <w:i/>
          <w:color w:val="231F20"/>
          <w:w w:val="105"/>
          <w:sz w:val="18"/>
        </w:rPr>
        <w:t>criaron</w:t>
      </w:r>
      <w:r>
        <w:rPr>
          <w:rFonts w:ascii="Arial" w:hAnsi="Arial"/>
          <w:i/>
          <w:color w:val="231F20"/>
          <w:spacing w:val="-17"/>
          <w:w w:val="105"/>
          <w:sz w:val="18"/>
        </w:rPr>
        <w:t> </w:t>
      </w:r>
      <w:r>
        <w:rPr>
          <w:rFonts w:ascii="Arial" w:hAnsi="Arial"/>
          <w:i/>
          <w:color w:val="231F20"/>
          <w:w w:val="105"/>
          <w:sz w:val="18"/>
        </w:rPr>
        <w:t>y</w:t>
      </w:r>
      <w:r>
        <w:rPr>
          <w:rFonts w:ascii="Arial" w:hAnsi="Arial"/>
          <w:i/>
          <w:color w:val="231F20"/>
          <w:spacing w:val="-17"/>
          <w:w w:val="105"/>
          <w:sz w:val="18"/>
        </w:rPr>
        <w:t> </w:t>
      </w:r>
      <w:r>
        <w:rPr>
          <w:rFonts w:ascii="Arial" w:hAnsi="Arial"/>
          <w:i/>
          <w:color w:val="231F20"/>
          <w:w w:val="105"/>
          <w:sz w:val="18"/>
        </w:rPr>
        <w:t>así</w:t>
      </w:r>
      <w:r>
        <w:rPr>
          <w:rFonts w:ascii="Arial" w:hAnsi="Arial"/>
          <w:i/>
          <w:color w:val="231F20"/>
          <w:spacing w:val="-17"/>
          <w:w w:val="105"/>
          <w:sz w:val="18"/>
        </w:rPr>
        <w:t> </w:t>
      </w:r>
      <w:r>
        <w:rPr>
          <w:rFonts w:ascii="Arial" w:hAnsi="Arial"/>
          <w:i/>
          <w:color w:val="231F20"/>
          <w:w w:val="105"/>
          <w:sz w:val="18"/>
        </w:rPr>
        <w:t>sigo.</w:t>
      </w:r>
      <w:r>
        <w:rPr>
          <w:rFonts w:ascii="Arial" w:hAnsi="Arial"/>
          <w:i/>
          <w:color w:val="231F20"/>
          <w:spacing w:val="-24"/>
          <w:w w:val="105"/>
          <w:sz w:val="18"/>
        </w:rPr>
        <w:t> </w:t>
      </w:r>
      <w:r>
        <w:rPr>
          <w:rFonts w:ascii="Arial" w:hAnsi="Arial"/>
          <w:i/>
          <w:color w:val="231F20"/>
          <w:w w:val="105"/>
          <w:sz w:val="18"/>
        </w:rPr>
        <w:t>Ahora</w:t>
      </w:r>
      <w:r>
        <w:rPr>
          <w:rFonts w:ascii="Arial" w:hAnsi="Arial"/>
          <w:i/>
          <w:color w:val="231F20"/>
          <w:spacing w:val="-17"/>
          <w:w w:val="105"/>
          <w:sz w:val="18"/>
        </w:rPr>
        <w:t> </w:t>
      </w:r>
      <w:r>
        <w:rPr>
          <w:rFonts w:ascii="Arial" w:hAnsi="Arial"/>
          <w:i/>
          <w:color w:val="231F20"/>
          <w:w w:val="105"/>
          <w:sz w:val="18"/>
        </w:rPr>
        <w:t>trabajo cuatro</w:t>
      </w:r>
      <w:r>
        <w:rPr>
          <w:rFonts w:ascii="Arial" w:hAnsi="Arial"/>
          <w:i/>
          <w:color w:val="231F20"/>
          <w:spacing w:val="-22"/>
          <w:w w:val="105"/>
          <w:sz w:val="18"/>
        </w:rPr>
        <w:t> </w:t>
      </w:r>
      <w:r>
        <w:rPr>
          <w:rFonts w:ascii="Arial" w:hAnsi="Arial"/>
          <w:i/>
          <w:color w:val="231F20"/>
          <w:w w:val="105"/>
          <w:sz w:val="18"/>
        </w:rPr>
        <w:t>o</w:t>
      </w:r>
      <w:r>
        <w:rPr>
          <w:rFonts w:ascii="Arial" w:hAnsi="Arial"/>
          <w:i/>
          <w:color w:val="231F20"/>
          <w:spacing w:val="-22"/>
          <w:w w:val="105"/>
          <w:sz w:val="18"/>
        </w:rPr>
        <w:t> </w:t>
      </w:r>
      <w:r>
        <w:rPr>
          <w:rFonts w:ascii="Arial" w:hAnsi="Arial"/>
          <w:i/>
          <w:color w:val="231F20"/>
          <w:w w:val="105"/>
          <w:sz w:val="18"/>
        </w:rPr>
        <w:t>cinco</w:t>
      </w:r>
      <w:r>
        <w:rPr>
          <w:rFonts w:ascii="Arial" w:hAnsi="Arial"/>
          <w:i/>
          <w:color w:val="231F20"/>
          <w:spacing w:val="-22"/>
          <w:w w:val="105"/>
          <w:sz w:val="18"/>
        </w:rPr>
        <w:t> </w:t>
      </w:r>
      <w:r>
        <w:rPr>
          <w:rFonts w:ascii="Arial" w:hAnsi="Arial"/>
          <w:i/>
          <w:color w:val="231F20"/>
          <w:w w:val="105"/>
          <w:sz w:val="18"/>
        </w:rPr>
        <w:t>horas</w:t>
      </w:r>
      <w:r>
        <w:rPr>
          <w:rFonts w:ascii="Arial" w:hAnsi="Arial"/>
          <w:i/>
          <w:color w:val="231F20"/>
          <w:spacing w:val="-22"/>
          <w:w w:val="105"/>
          <w:sz w:val="18"/>
        </w:rPr>
        <w:t> </w:t>
      </w:r>
      <w:r>
        <w:rPr>
          <w:rFonts w:ascii="Arial" w:hAnsi="Arial"/>
          <w:i/>
          <w:color w:val="231F20"/>
          <w:w w:val="105"/>
          <w:sz w:val="18"/>
        </w:rPr>
        <w:t>diarias</w:t>
      </w:r>
      <w:r>
        <w:rPr>
          <w:rFonts w:ascii="Arial" w:hAnsi="Arial"/>
          <w:i/>
          <w:color w:val="231F20"/>
          <w:spacing w:val="-22"/>
          <w:w w:val="105"/>
          <w:sz w:val="18"/>
        </w:rPr>
        <w:t> </w:t>
      </w:r>
      <w:r>
        <w:rPr>
          <w:rFonts w:ascii="Arial" w:hAnsi="Arial"/>
          <w:i/>
          <w:color w:val="231F20"/>
          <w:w w:val="105"/>
          <w:sz w:val="18"/>
        </w:rPr>
        <w:t>y</w:t>
      </w:r>
      <w:r>
        <w:rPr>
          <w:rFonts w:ascii="Arial" w:hAnsi="Arial"/>
          <w:i/>
          <w:color w:val="231F20"/>
          <w:spacing w:val="-22"/>
          <w:w w:val="105"/>
          <w:sz w:val="18"/>
        </w:rPr>
        <w:t> </w:t>
      </w:r>
      <w:r>
        <w:rPr>
          <w:rFonts w:ascii="Arial" w:hAnsi="Arial"/>
          <w:i/>
          <w:color w:val="231F20"/>
          <w:w w:val="105"/>
          <w:sz w:val="18"/>
        </w:rPr>
        <w:t>me</w:t>
      </w:r>
      <w:r>
        <w:rPr>
          <w:rFonts w:ascii="Arial" w:hAnsi="Arial"/>
          <w:i/>
          <w:color w:val="231F20"/>
          <w:spacing w:val="-22"/>
          <w:w w:val="105"/>
          <w:sz w:val="18"/>
        </w:rPr>
        <w:t> </w:t>
      </w:r>
      <w:r>
        <w:rPr>
          <w:rFonts w:ascii="Arial" w:hAnsi="Arial"/>
          <w:i/>
          <w:color w:val="231F20"/>
          <w:w w:val="105"/>
          <w:sz w:val="18"/>
        </w:rPr>
        <w:t>gusta,</w:t>
      </w:r>
      <w:r>
        <w:rPr>
          <w:rFonts w:ascii="Arial" w:hAnsi="Arial"/>
          <w:i/>
          <w:color w:val="231F20"/>
          <w:spacing w:val="-26"/>
          <w:w w:val="105"/>
          <w:sz w:val="18"/>
        </w:rPr>
        <w:t> </w:t>
      </w:r>
      <w:r>
        <w:rPr>
          <w:rFonts w:ascii="Arial" w:hAnsi="Arial"/>
          <w:i/>
          <w:color w:val="231F20"/>
          <w:w w:val="105"/>
          <w:sz w:val="18"/>
        </w:rPr>
        <w:t>porque</w:t>
      </w:r>
      <w:r>
        <w:rPr>
          <w:rFonts w:ascii="Arial" w:hAnsi="Arial"/>
          <w:i/>
          <w:color w:val="231F20"/>
          <w:spacing w:val="-22"/>
          <w:w w:val="105"/>
          <w:sz w:val="18"/>
        </w:rPr>
        <w:t> </w:t>
      </w:r>
      <w:r>
        <w:rPr>
          <w:rFonts w:ascii="Arial" w:hAnsi="Arial"/>
          <w:i/>
          <w:color w:val="231F20"/>
          <w:w w:val="105"/>
          <w:sz w:val="18"/>
        </w:rPr>
        <w:t>yo</w:t>
      </w:r>
      <w:r>
        <w:rPr>
          <w:rFonts w:ascii="Arial" w:hAnsi="Arial"/>
          <w:i/>
          <w:color w:val="231F20"/>
          <w:spacing w:val="-22"/>
          <w:w w:val="105"/>
          <w:sz w:val="18"/>
        </w:rPr>
        <w:t> </w:t>
      </w:r>
      <w:r>
        <w:rPr>
          <w:rFonts w:ascii="Arial" w:hAnsi="Arial"/>
          <w:i/>
          <w:color w:val="231F20"/>
          <w:w w:val="105"/>
          <w:sz w:val="18"/>
        </w:rPr>
        <w:t>soy</w:t>
      </w:r>
      <w:r>
        <w:rPr>
          <w:rFonts w:ascii="Arial" w:hAnsi="Arial"/>
          <w:i/>
          <w:color w:val="231F20"/>
          <w:spacing w:val="-22"/>
          <w:w w:val="105"/>
          <w:sz w:val="18"/>
        </w:rPr>
        <w:t> </w:t>
      </w:r>
      <w:r>
        <w:rPr>
          <w:rFonts w:ascii="Arial" w:hAnsi="Arial"/>
          <w:i/>
          <w:color w:val="231F20"/>
          <w:w w:val="105"/>
          <w:sz w:val="18"/>
        </w:rPr>
        <w:t>de</w:t>
      </w:r>
      <w:r>
        <w:rPr>
          <w:rFonts w:ascii="Arial" w:hAnsi="Arial"/>
          <w:i/>
          <w:color w:val="231F20"/>
          <w:spacing w:val="-22"/>
          <w:w w:val="105"/>
          <w:sz w:val="18"/>
        </w:rPr>
        <w:t> </w:t>
      </w:r>
      <w:r>
        <w:rPr>
          <w:rFonts w:ascii="Arial" w:hAnsi="Arial"/>
          <w:i/>
          <w:color w:val="231F20"/>
          <w:w w:val="105"/>
          <w:sz w:val="18"/>
        </w:rPr>
        <w:t>campo.</w:t>
      </w:r>
      <w:r>
        <w:rPr>
          <w:rFonts w:ascii="Arial" w:hAnsi="Arial"/>
          <w:i/>
          <w:color w:val="231F20"/>
          <w:spacing w:val="-26"/>
          <w:w w:val="105"/>
          <w:sz w:val="18"/>
        </w:rPr>
        <w:t> </w:t>
      </w:r>
      <w:r>
        <w:rPr>
          <w:rFonts w:ascii="Arial" w:hAnsi="Arial"/>
          <w:i/>
          <w:color w:val="231F20"/>
          <w:w w:val="105"/>
          <w:sz w:val="18"/>
        </w:rPr>
        <w:t>Hasta hoy</w:t>
      </w:r>
      <w:r>
        <w:rPr>
          <w:rFonts w:ascii="Arial" w:hAnsi="Arial"/>
          <w:i/>
          <w:color w:val="231F20"/>
          <w:spacing w:val="-15"/>
          <w:w w:val="105"/>
          <w:sz w:val="18"/>
        </w:rPr>
        <w:t> </w:t>
      </w:r>
      <w:r>
        <w:rPr>
          <w:rFonts w:ascii="Arial" w:hAnsi="Arial"/>
          <w:i/>
          <w:color w:val="231F20"/>
          <w:w w:val="105"/>
          <w:sz w:val="18"/>
        </w:rPr>
        <w:t>sigo</w:t>
      </w:r>
      <w:r>
        <w:rPr>
          <w:rFonts w:ascii="Arial" w:hAnsi="Arial"/>
          <w:i/>
          <w:color w:val="231F20"/>
          <w:spacing w:val="-15"/>
          <w:w w:val="105"/>
          <w:sz w:val="18"/>
        </w:rPr>
        <w:t> </w:t>
      </w:r>
      <w:r>
        <w:rPr>
          <w:rFonts w:ascii="Arial" w:hAnsi="Arial"/>
          <w:i/>
          <w:color w:val="231F20"/>
          <w:w w:val="105"/>
          <w:sz w:val="18"/>
        </w:rPr>
        <w:t>el</w:t>
      </w:r>
      <w:r>
        <w:rPr>
          <w:rFonts w:ascii="Arial" w:hAnsi="Arial"/>
          <w:i/>
          <w:color w:val="231F20"/>
          <w:spacing w:val="-15"/>
          <w:w w:val="105"/>
          <w:sz w:val="18"/>
        </w:rPr>
        <w:t> </w:t>
      </w:r>
      <w:r>
        <w:rPr>
          <w:rFonts w:ascii="Arial" w:hAnsi="Arial"/>
          <w:i/>
          <w:color w:val="231F20"/>
          <w:w w:val="105"/>
          <w:sz w:val="18"/>
        </w:rPr>
        <w:t>mismo</w:t>
      </w:r>
      <w:r>
        <w:rPr>
          <w:rFonts w:ascii="Arial" w:hAnsi="Arial"/>
          <w:i/>
          <w:color w:val="231F20"/>
          <w:spacing w:val="-15"/>
          <w:w w:val="105"/>
          <w:sz w:val="18"/>
        </w:rPr>
        <w:t> </w:t>
      </w:r>
      <w:r>
        <w:rPr>
          <w:rFonts w:ascii="Arial" w:hAnsi="Arial"/>
          <w:i/>
          <w:color w:val="231F20"/>
          <w:w w:val="105"/>
          <w:sz w:val="18"/>
        </w:rPr>
        <w:t>trayecto,</w:t>
      </w:r>
      <w:r>
        <w:rPr>
          <w:rFonts w:ascii="Arial" w:hAnsi="Arial"/>
          <w:i/>
          <w:color w:val="231F20"/>
          <w:spacing w:val="-19"/>
          <w:w w:val="105"/>
          <w:sz w:val="18"/>
        </w:rPr>
        <w:t> </w:t>
      </w:r>
      <w:r>
        <w:rPr>
          <w:rFonts w:ascii="Arial" w:hAnsi="Arial"/>
          <w:i/>
          <w:color w:val="231F20"/>
          <w:w w:val="105"/>
          <w:sz w:val="18"/>
        </w:rPr>
        <w:t>lo</w:t>
      </w:r>
      <w:r>
        <w:rPr>
          <w:rFonts w:ascii="Arial" w:hAnsi="Arial"/>
          <w:i/>
          <w:color w:val="231F20"/>
          <w:spacing w:val="-15"/>
          <w:w w:val="105"/>
          <w:sz w:val="18"/>
        </w:rPr>
        <w:t> </w:t>
      </w:r>
      <w:r>
        <w:rPr>
          <w:rFonts w:ascii="Arial" w:hAnsi="Arial"/>
          <w:i/>
          <w:color w:val="231F20"/>
          <w:w w:val="105"/>
          <w:sz w:val="18"/>
        </w:rPr>
        <w:t>que</w:t>
      </w:r>
      <w:r>
        <w:rPr>
          <w:rFonts w:ascii="Arial" w:hAnsi="Arial"/>
          <w:i/>
          <w:color w:val="231F20"/>
          <w:spacing w:val="-15"/>
          <w:w w:val="105"/>
          <w:sz w:val="18"/>
        </w:rPr>
        <w:t> </w:t>
      </w:r>
      <w:r>
        <w:rPr>
          <w:rFonts w:ascii="Arial" w:hAnsi="Arial"/>
          <w:i/>
          <w:color w:val="231F20"/>
          <w:w w:val="105"/>
          <w:sz w:val="18"/>
        </w:rPr>
        <w:t>me</w:t>
      </w:r>
      <w:r>
        <w:rPr>
          <w:rFonts w:ascii="Arial" w:hAnsi="Arial"/>
          <w:i/>
          <w:color w:val="231F20"/>
          <w:spacing w:val="-15"/>
          <w:w w:val="105"/>
          <w:sz w:val="18"/>
        </w:rPr>
        <w:t> </w:t>
      </w:r>
      <w:r>
        <w:rPr>
          <w:rFonts w:ascii="Arial" w:hAnsi="Arial"/>
          <w:i/>
          <w:color w:val="231F20"/>
          <w:w w:val="105"/>
          <w:sz w:val="18"/>
        </w:rPr>
        <w:t>enseñó</w:t>
      </w:r>
      <w:r>
        <w:rPr>
          <w:rFonts w:ascii="Arial" w:hAnsi="Arial"/>
          <w:i/>
          <w:color w:val="231F20"/>
          <w:spacing w:val="-15"/>
          <w:w w:val="105"/>
          <w:sz w:val="18"/>
        </w:rPr>
        <w:t> </w:t>
      </w:r>
      <w:r>
        <w:rPr>
          <w:rFonts w:ascii="Arial" w:hAnsi="Arial"/>
          <w:i/>
          <w:color w:val="231F20"/>
          <w:w w:val="105"/>
          <w:sz w:val="18"/>
        </w:rPr>
        <w:t>mi</w:t>
      </w:r>
      <w:r>
        <w:rPr>
          <w:rFonts w:ascii="Arial" w:hAnsi="Arial"/>
          <w:i/>
          <w:color w:val="231F20"/>
          <w:spacing w:val="-15"/>
          <w:w w:val="105"/>
          <w:sz w:val="18"/>
        </w:rPr>
        <w:t> </w:t>
      </w:r>
      <w:r>
        <w:rPr>
          <w:rFonts w:ascii="Arial" w:hAnsi="Arial"/>
          <w:i/>
          <w:color w:val="231F20"/>
          <w:w w:val="105"/>
          <w:sz w:val="18"/>
        </w:rPr>
        <w:t>papá</w:t>
      </w:r>
      <w:r>
        <w:rPr>
          <w:rFonts w:ascii="Arial" w:hAnsi="Arial"/>
          <w:i/>
          <w:color w:val="231F20"/>
          <w:spacing w:val="-15"/>
          <w:w w:val="105"/>
          <w:sz w:val="18"/>
        </w:rPr>
        <w:t> </w:t>
      </w:r>
      <w:r>
        <w:rPr>
          <w:rFonts w:ascii="Arial" w:hAnsi="Arial"/>
          <w:i/>
          <w:color w:val="231F20"/>
          <w:w w:val="105"/>
          <w:sz w:val="18"/>
        </w:rPr>
        <w:t>y</w:t>
      </w:r>
      <w:r>
        <w:rPr>
          <w:rFonts w:ascii="Arial" w:hAnsi="Arial"/>
          <w:i/>
          <w:color w:val="231F20"/>
          <w:spacing w:val="-15"/>
          <w:w w:val="105"/>
          <w:sz w:val="18"/>
        </w:rPr>
        <w:t> </w:t>
      </w:r>
      <w:r>
        <w:rPr>
          <w:rFonts w:ascii="Arial" w:hAnsi="Arial"/>
          <w:i/>
          <w:color w:val="231F20"/>
          <w:w w:val="105"/>
          <w:sz w:val="18"/>
        </w:rPr>
        <w:t>lo</w:t>
      </w:r>
      <w:r>
        <w:rPr>
          <w:rFonts w:ascii="Arial" w:hAnsi="Arial"/>
          <w:i/>
          <w:color w:val="231F20"/>
          <w:spacing w:val="-15"/>
          <w:w w:val="105"/>
          <w:sz w:val="18"/>
        </w:rPr>
        <w:t> </w:t>
      </w:r>
      <w:r>
        <w:rPr>
          <w:rFonts w:ascii="Arial" w:hAnsi="Arial"/>
          <w:i/>
          <w:color w:val="231F20"/>
          <w:w w:val="105"/>
          <w:sz w:val="18"/>
        </w:rPr>
        <w:t>que</w:t>
      </w:r>
      <w:r>
        <w:rPr>
          <w:rFonts w:ascii="Arial" w:hAnsi="Arial"/>
          <w:i/>
          <w:color w:val="231F20"/>
          <w:spacing w:val="-15"/>
          <w:w w:val="105"/>
          <w:sz w:val="18"/>
        </w:rPr>
        <w:t> </w:t>
      </w:r>
      <w:r>
        <w:rPr>
          <w:rFonts w:ascii="Arial" w:hAnsi="Arial"/>
          <w:i/>
          <w:color w:val="231F20"/>
          <w:w w:val="105"/>
          <w:sz w:val="18"/>
        </w:rPr>
        <w:t>aprendí trabajando.</w:t>
      </w:r>
      <w:r>
        <w:rPr>
          <w:rFonts w:ascii="Arial" w:hAnsi="Arial"/>
          <w:i/>
          <w:color w:val="231F20"/>
          <w:spacing w:val="-32"/>
          <w:w w:val="105"/>
          <w:sz w:val="18"/>
        </w:rPr>
        <w:t> </w:t>
      </w:r>
      <w:r>
        <w:rPr>
          <w:rFonts w:ascii="Arial" w:hAnsi="Arial"/>
          <w:i/>
          <w:color w:val="231F20"/>
          <w:spacing w:val="-3"/>
          <w:w w:val="105"/>
          <w:sz w:val="18"/>
        </w:rPr>
        <w:t>Todavía</w:t>
      </w:r>
      <w:r>
        <w:rPr>
          <w:rFonts w:ascii="Arial" w:hAnsi="Arial"/>
          <w:i/>
          <w:color w:val="231F20"/>
          <w:spacing w:val="-26"/>
          <w:w w:val="105"/>
          <w:sz w:val="18"/>
        </w:rPr>
        <w:t> </w:t>
      </w:r>
      <w:r>
        <w:rPr>
          <w:rFonts w:ascii="Arial" w:hAnsi="Arial"/>
          <w:i/>
          <w:color w:val="231F20"/>
          <w:w w:val="105"/>
          <w:sz w:val="18"/>
        </w:rPr>
        <w:t>trabajo</w:t>
      </w:r>
      <w:r>
        <w:rPr>
          <w:rFonts w:ascii="Arial" w:hAnsi="Arial"/>
          <w:i/>
          <w:color w:val="231F20"/>
          <w:spacing w:val="-26"/>
          <w:w w:val="105"/>
          <w:sz w:val="18"/>
        </w:rPr>
        <w:t> </w:t>
      </w:r>
      <w:r>
        <w:rPr>
          <w:rFonts w:ascii="Arial" w:hAnsi="Arial"/>
          <w:i/>
          <w:color w:val="231F20"/>
          <w:w w:val="105"/>
          <w:sz w:val="18"/>
        </w:rPr>
        <w:t>todos</w:t>
      </w:r>
      <w:r>
        <w:rPr>
          <w:rFonts w:ascii="Arial" w:hAnsi="Arial"/>
          <w:i/>
          <w:color w:val="231F20"/>
          <w:spacing w:val="-26"/>
          <w:w w:val="105"/>
          <w:sz w:val="18"/>
        </w:rPr>
        <w:t> </w:t>
      </w:r>
      <w:r>
        <w:rPr>
          <w:rFonts w:ascii="Arial" w:hAnsi="Arial"/>
          <w:i/>
          <w:color w:val="231F20"/>
          <w:w w:val="105"/>
          <w:sz w:val="18"/>
        </w:rPr>
        <w:t>los</w:t>
      </w:r>
      <w:r>
        <w:rPr>
          <w:rFonts w:ascii="Arial" w:hAnsi="Arial"/>
          <w:i/>
          <w:color w:val="231F20"/>
          <w:spacing w:val="-26"/>
          <w:w w:val="105"/>
          <w:sz w:val="18"/>
        </w:rPr>
        <w:t> </w:t>
      </w:r>
      <w:r>
        <w:rPr>
          <w:rFonts w:ascii="Arial" w:hAnsi="Arial"/>
          <w:i/>
          <w:color w:val="231F20"/>
          <w:w w:val="105"/>
          <w:sz w:val="18"/>
        </w:rPr>
        <w:t>días</w:t>
      </w:r>
      <w:r>
        <w:rPr>
          <w:rFonts w:ascii="Arial" w:hAnsi="Arial"/>
          <w:i/>
          <w:color w:val="231F20"/>
          <w:spacing w:val="-26"/>
          <w:w w:val="105"/>
          <w:sz w:val="18"/>
        </w:rPr>
        <w:t> </w:t>
      </w:r>
      <w:r>
        <w:rPr>
          <w:rFonts w:ascii="Arial" w:hAnsi="Arial"/>
          <w:i/>
          <w:color w:val="231F20"/>
          <w:w w:val="105"/>
          <w:sz w:val="18"/>
        </w:rPr>
        <w:t>y</w:t>
      </w:r>
      <w:r>
        <w:rPr>
          <w:rFonts w:ascii="Arial" w:hAnsi="Arial"/>
          <w:i/>
          <w:color w:val="231F20"/>
          <w:spacing w:val="-26"/>
          <w:w w:val="105"/>
          <w:sz w:val="18"/>
        </w:rPr>
        <w:t> </w:t>
      </w:r>
      <w:r>
        <w:rPr>
          <w:rFonts w:ascii="Arial" w:hAnsi="Arial"/>
          <w:i/>
          <w:color w:val="231F20"/>
          <w:w w:val="105"/>
          <w:sz w:val="18"/>
        </w:rPr>
        <w:t>estoy</w:t>
      </w:r>
      <w:r>
        <w:rPr>
          <w:rFonts w:ascii="Arial" w:hAnsi="Arial"/>
          <w:i/>
          <w:color w:val="231F20"/>
          <w:spacing w:val="-26"/>
          <w:w w:val="105"/>
          <w:sz w:val="18"/>
        </w:rPr>
        <w:t> </w:t>
      </w:r>
      <w:r>
        <w:rPr>
          <w:rFonts w:ascii="Arial" w:hAnsi="Arial"/>
          <w:i/>
          <w:color w:val="231F20"/>
          <w:w w:val="105"/>
          <w:sz w:val="18"/>
        </w:rPr>
        <w:t>feliz.</w:t>
      </w:r>
    </w:p>
    <w:p>
      <w:pPr>
        <w:pStyle w:val="BodyText"/>
        <w:rPr>
          <w:rFonts w:ascii="Arial"/>
          <w:i/>
          <w:sz w:val="18"/>
        </w:rPr>
      </w:pPr>
    </w:p>
    <w:p>
      <w:pPr>
        <w:pStyle w:val="BodyText"/>
        <w:spacing w:before="1"/>
        <w:rPr>
          <w:rFonts w:ascii="Arial"/>
          <w:i/>
          <w:sz w:val="26"/>
        </w:rPr>
      </w:pPr>
    </w:p>
    <w:p>
      <w:pPr>
        <w:pStyle w:val="BodyText"/>
        <w:spacing w:line="261" w:lineRule="auto"/>
        <w:ind w:left="1723" w:right="1830"/>
        <w:jc w:val="both"/>
      </w:pPr>
      <w:r>
        <w:rPr>
          <w:color w:val="231F20"/>
          <w:w w:val="105"/>
        </w:rPr>
        <w:t>La</w:t>
      </w:r>
      <w:r>
        <w:rPr>
          <w:color w:val="231F20"/>
          <w:spacing w:val="-27"/>
          <w:w w:val="105"/>
        </w:rPr>
        <w:t> </w:t>
      </w:r>
      <w:r>
        <w:rPr>
          <w:color w:val="231F20"/>
          <w:w w:val="105"/>
        </w:rPr>
        <w:t>historia</w:t>
      </w:r>
      <w:r>
        <w:rPr>
          <w:color w:val="231F20"/>
          <w:spacing w:val="-27"/>
          <w:w w:val="105"/>
        </w:rPr>
        <w:t> </w:t>
      </w:r>
      <w:r>
        <w:rPr>
          <w:color w:val="231F20"/>
          <w:w w:val="105"/>
        </w:rPr>
        <w:t>de</w:t>
      </w:r>
      <w:r>
        <w:rPr>
          <w:color w:val="231F20"/>
          <w:spacing w:val="-26"/>
          <w:w w:val="105"/>
        </w:rPr>
        <w:t> </w:t>
      </w:r>
      <w:r>
        <w:rPr>
          <w:color w:val="231F20"/>
          <w:spacing w:val="-2"/>
          <w:w w:val="105"/>
        </w:rPr>
        <w:t>Rafael</w:t>
      </w:r>
      <w:r>
        <w:rPr>
          <w:color w:val="231F20"/>
          <w:spacing w:val="-27"/>
          <w:w w:val="105"/>
        </w:rPr>
        <w:t> </w:t>
      </w:r>
      <w:r>
        <w:rPr>
          <w:color w:val="231F20"/>
          <w:w w:val="105"/>
        </w:rPr>
        <w:t>se</w:t>
      </w:r>
      <w:r>
        <w:rPr>
          <w:color w:val="231F20"/>
          <w:spacing w:val="-27"/>
          <w:w w:val="105"/>
        </w:rPr>
        <w:t> </w:t>
      </w:r>
      <w:r>
        <w:rPr>
          <w:color w:val="231F20"/>
          <w:w w:val="105"/>
        </w:rPr>
        <w:t>conecta</w:t>
      </w:r>
      <w:r>
        <w:rPr>
          <w:color w:val="231F20"/>
          <w:spacing w:val="-27"/>
          <w:w w:val="105"/>
        </w:rPr>
        <w:t> </w:t>
      </w:r>
      <w:r>
        <w:rPr>
          <w:color w:val="231F20"/>
          <w:w w:val="105"/>
        </w:rPr>
        <w:t>con</w:t>
      </w:r>
      <w:r>
        <w:rPr>
          <w:color w:val="231F20"/>
          <w:spacing w:val="-27"/>
          <w:w w:val="105"/>
        </w:rPr>
        <w:t> </w:t>
      </w:r>
      <w:r>
        <w:rPr>
          <w:color w:val="231F20"/>
          <w:w w:val="105"/>
        </w:rPr>
        <w:t>sus</w:t>
      </w:r>
      <w:r>
        <w:rPr>
          <w:color w:val="231F20"/>
          <w:spacing w:val="-27"/>
          <w:w w:val="105"/>
        </w:rPr>
        <w:t> </w:t>
      </w:r>
      <w:r>
        <w:rPr>
          <w:color w:val="231F20"/>
          <w:w w:val="105"/>
        </w:rPr>
        <w:t>ideas</w:t>
      </w:r>
      <w:r>
        <w:rPr>
          <w:color w:val="231F20"/>
          <w:spacing w:val="-27"/>
          <w:w w:val="105"/>
        </w:rPr>
        <w:t> </w:t>
      </w:r>
      <w:r>
        <w:rPr>
          <w:color w:val="231F20"/>
          <w:w w:val="105"/>
        </w:rPr>
        <w:t>y</w:t>
      </w:r>
      <w:r>
        <w:rPr>
          <w:color w:val="231F20"/>
          <w:spacing w:val="-27"/>
          <w:w w:val="105"/>
        </w:rPr>
        <w:t> </w:t>
      </w:r>
      <w:r>
        <w:rPr>
          <w:color w:val="231F20"/>
          <w:spacing w:val="-3"/>
          <w:w w:val="105"/>
        </w:rPr>
        <w:t>certidumbres</w:t>
      </w:r>
      <w:r>
        <w:rPr>
          <w:color w:val="231F20"/>
          <w:spacing w:val="-26"/>
          <w:w w:val="105"/>
        </w:rPr>
        <w:t> </w:t>
      </w:r>
      <w:r>
        <w:rPr>
          <w:color w:val="231F20"/>
          <w:w w:val="105"/>
        </w:rPr>
        <w:t>de</w:t>
      </w:r>
      <w:r>
        <w:rPr>
          <w:color w:val="231F20"/>
          <w:spacing w:val="-27"/>
          <w:w w:val="105"/>
        </w:rPr>
        <w:t> </w:t>
      </w:r>
      <w:r>
        <w:rPr>
          <w:color w:val="231F20"/>
          <w:w w:val="105"/>
        </w:rPr>
        <w:t>lo</w:t>
      </w:r>
      <w:r>
        <w:rPr>
          <w:color w:val="231F20"/>
          <w:spacing w:val="-27"/>
          <w:w w:val="105"/>
        </w:rPr>
        <w:t> </w:t>
      </w:r>
      <w:r>
        <w:rPr>
          <w:color w:val="231F20"/>
          <w:w w:val="105"/>
        </w:rPr>
        <w:t>que</w:t>
      </w:r>
      <w:r>
        <w:rPr>
          <w:color w:val="231F20"/>
          <w:spacing w:val="-27"/>
          <w:w w:val="105"/>
        </w:rPr>
        <w:t> </w:t>
      </w:r>
      <w:r>
        <w:rPr>
          <w:color w:val="231F20"/>
          <w:w w:val="105"/>
        </w:rPr>
        <w:t>es la</w:t>
      </w:r>
      <w:r>
        <w:rPr>
          <w:color w:val="231F20"/>
          <w:spacing w:val="-9"/>
          <w:w w:val="105"/>
        </w:rPr>
        <w:t> </w:t>
      </w:r>
      <w:r>
        <w:rPr>
          <w:color w:val="231F20"/>
          <w:w w:val="105"/>
        </w:rPr>
        <w:t>experiencia</w:t>
      </w:r>
      <w:r>
        <w:rPr>
          <w:color w:val="231F20"/>
          <w:spacing w:val="-9"/>
          <w:w w:val="105"/>
        </w:rPr>
        <w:t> </w:t>
      </w:r>
      <w:r>
        <w:rPr>
          <w:color w:val="231F20"/>
          <w:spacing w:val="-3"/>
          <w:w w:val="105"/>
        </w:rPr>
        <w:t>migratoria,</w:t>
      </w:r>
      <w:r>
        <w:rPr>
          <w:color w:val="231F20"/>
          <w:spacing w:val="-15"/>
          <w:w w:val="105"/>
        </w:rPr>
        <w:t> </w:t>
      </w:r>
      <w:r>
        <w:rPr>
          <w:color w:val="231F20"/>
          <w:w w:val="105"/>
        </w:rPr>
        <w:t>de</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sucede</w:t>
      </w:r>
      <w:r>
        <w:rPr>
          <w:color w:val="231F20"/>
          <w:spacing w:val="-9"/>
          <w:w w:val="105"/>
        </w:rPr>
        <w:t> </w:t>
      </w:r>
      <w:r>
        <w:rPr>
          <w:color w:val="231F20"/>
          <w:w w:val="105"/>
        </w:rPr>
        <w:t>en</w:t>
      </w:r>
      <w:r>
        <w:rPr>
          <w:color w:val="231F20"/>
          <w:spacing w:val="-9"/>
          <w:w w:val="105"/>
        </w:rPr>
        <w:t> </w:t>
      </w:r>
      <w:r>
        <w:rPr>
          <w:color w:val="231F20"/>
          <w:w w:val="105"/>
        </w:rPr>
        <w:t>ella</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15"/>
          <w:w w:val="105"/>
        </w:rPr>
        <w:t> </w:t>
      </w:r>
      <w:r>
        <w:rPr>
          <w:color w:val="231F20"/>
          <w:w w:val="105"/>
        </w:rPr>
        <w:t>desde</w:t>
      </w:r>
      <w:r>
        <w:rPr>
          <w:color w:val="231F20"/>
          <w:spacing w:val="-9"/>
          <w:w w:val="105"/>
        </w:rPr>
        <w:t> </w:t>
      </w:r>
      <w:r>
        <w:rPr>
          <w:color w:val="231F20"/>
          <w:w w:val="105"/>
        </w:rPr>
        <w:t>su punto</w:t>
      </w:r>
      <w:r>
        <w:rPr>
          <w:color w:val="231F20"/>
          <w:spacing w:val="-26"/>
          <w:w w:val="105"/>
        </w:rPr>
        <w:t> </w:t>
      </w:r>
      <w:r>
        <w:rPr>
          <w:color w:val="231F20"/>
          <w:w w:val="105"/>
        </w:rPr>
        <w:t>de</w:t>
      </w:r>
      <w:r>
        <w:rPr>
          <w:color w:val="231F20"/>
          <w:spacing w:val="-26"/>
          <w:w w:val="105"/>
        </w:rPr>
        <w:t> </w:t>
      </w:r>
      <w:r>
        <w:rPr>
          <w:color w:val="231F20"/>
          <w:w w:val="105"/>
        </w:rPr>
        <w:t>vista,</w:t>
      </w:r>
      <w:r>
        <w:rPr>
          <w:color w:val="231F20"/>
          <w:spacing w:val="-30"/>
          <w:w w:val="105"/>
        </w:rPr>
        <w:t> </w:t>
      </w:r>
      <w:r>
        <w:rPr>
          <w:color w:val="231F20"/>
          <w:w w:val="105"/>
        </w:rPr>
        <w:t>debería</w:t>
      </w:r>
      <w:r>
        <w:rPr>
          <w:color w:val="231F20"/>
          <w:spacing w:val="-26"/>
          <w:w w:val="105"/>
        </w:rPr>
        <w:t> </w:t>
      </w:r>
      <w:r>
        <w:rPr>
          <w:color w:val="231F20"/>
          <w:w w:val="105"/>
        </w:rPr>
        <w:t>ser</w:t>
      </w:r>
      <w:r>
        <w:rPr>
          <w:color w:val="231F20"/>
          <w:spacing w:val="-26"/>
          <w:w w:val="105"/>
        </w:rPr>
        <w:t> </w:t>
      </w:r>
      <w:r>
        <w:rPr>
          <w:color w:val="231F20"/>
          <w:w w:val="105"/>
        </w:rPr>
        <w:t>u</w:t>
      </w:r>
      <w:r>
        <w:rPr>
          <w:color w:val="231F20"/>
          <w:spacing w:val="-26"/>
          <w:w w:val="105"/>
        </w:rPr>
        <w:t> </w:t>
      </w:r>
      <w:r>
        <w:rPr>
          <w:color w:val="231F20"/>
          <w:w w:val="105"/>
        </w:rPr>
        <w:t>ocurrir</w:t>
      </w:r>
      <w:r>
        <w:rPr>
          <w:color w:val="231F20"/>
          <w:spacing w:val="-26"/>
          <w:w w:val="105"/>
        </w:rPr>
        <w:t> </w:t>
      </w:r>
      <w:r>
        <w:rPr>
          <w:color w:val="231F20"/>
          <w:w w:val="105"/>
        </w:rPr>
        <w:t>en</w:t>
      </w:r>
      <w:r>
        <w:rPr>
          <w:color w:val="231F20"/>
          <w:spacing w:val="-26"/>
          <w:w w:val="105"/>
        </w:rPr>
        <w:t> </w:t>
      </w:r>
      <w:r>
        <w:rPr>
          <w:color w:val="231F20"/>
          <w:w w:val="105"/>
        </w:rPr>
        <w:t>ésta.</w:t>
      </w:r>
      <w:r>
        <w:rPr>
          <w:color w:val="231F20"/>
          <w:spacing w:val="-30"/>
          <w:w w:val="105"/>
        </w:rPr>
        <w:t> </w:t>
      </w:r>
      <w:r>
        <w:rPr>
          <w:color w:val="231F20"/>
          <w:w w:val="105"/>
        </w:rPr>
        <w:t>Su</w:t>
      </w:r>
      <w:r>
        <w:rPr>
          <w:color w:val="231F20"/>
          <w:spacing w:val="-26"/>
          <w:w w:val="105"/>
        </w:rPr>
        <w:t> </w:t>
      </w:r>
      <w:r>
        <w:rPr>
          <w:color w:val="231F20"/>
          <w:spacing w:val="-3"/>
          <w:w w:val="105"/>
        </w:rPr>
        <w:t>relato</w:t>
      </w:r>
      <w:r>
        <w:rPr>
          <w:color w:val="231F20"/>
          <w:spacing w:val="-26"/>
          <w:w w:val="105"/>
        </w:rPr>
        <w:t> </w:t>
      </w:r>
      <w:r>
        <w:rPr>
          <w:color w:val="231F20"/>
          <w:spacing w:val="-3"/>
          <w:w w:val="105"/>
        </w:rPr>
        <w:t>revela</w:t>
      </w:r>
      <w:r>
        <w:rPr>
          <w:color w:val="231F20"/>
          <w:spacing w:val="-26"/>
          <w:w w:val="105"/>
        </w:rPr>
        <w:t> </w:t>
      </w:r>
      <w:r>
        <w:rPr>
          <w:color w:val="231F20"/>
          <w:w w:val="105"/>
        </w:rPr>
        <w:t>los</w:t>
      </w:r>
      <w:r>
        <w:rPr>
          <w:color w:val="231F20"/>
          <w:spacing w:val="-26"/>
          <w:w w:val="105"/>
        </w:rPr>
        <w:t> </w:t>
      </w:r>
      <w:r>
        <w:rPr>
          <w:color w:val="231F20"/>
          <w:spacing w:val="-3"/>
          <w:w w:val="105"/>
        </w:rPr>
        <w:t>recorridos </w:t>
      </w:r>
      <w:r>
        <w:rPr>
          <w:color w:val="231F20"/>
          <w:w w:val="105"/>
        </w:rPr>
        <w:t>y los cambios sociales que implica buscar y </w:t>
      </w:r>
      <w:r>
        <w:rPr>
          <w:color w:val="231F20"/>
          <w:spacing w:val="-3"/>
          <w:w w:val="105"/>
        </w:rPr>
        <w:t>ejercer </w:t>
      </w:r>
      <w:r>
        <w:rPr>
          <w:color w:val="231F20"/>
          <w:w w:val="105"/>
        </w:rPr>
        <w:t>un empleo en </w:t>
      </w:r>
      <w:r>
        <w:rPr>
          <w:color w:val="231F20"/>
          <w:spacing w:val="-3"/>
          <w:w w:val="105"/>
        </w:rPr>
        <w:t>otro </w:t>
      </w:r>
      <w:r>
        <w:rPr>
          <w:color w:val="231F20"/>
          <w:w w:val="105"/>
        </w:rPr>
        <w:t>país —así sea de </w:t>
      </w:r>
      <w:r>
        <w:rPr>
          <w:color w:val="231F20"/>
          <w:spacing w:val="-2"/>
          <w:w w:val="105"/>
        </w:rPr>
        <w:t>manera </w:t>
      </w:r>
      <w:r>
        <w:rPr>
          <w:color w:val="231F20"/>
          <w:w w:val="105"/>
        </w:rPr>
        <w:t>temporal, cíclica y con </w:t>
      </w:r>
      <w:r>
        <w:rPr>
          <w:color w:val="231F20"/>
          <w:spacing w:val="-3"/>
          <w:w w:val="105"/>
        </w:rPr>
        <w:t>retornos programados, </w:t>
      </w:r>
      <w:r>
        <w:rPr>
          <w:color w:val="231F20"/>
          <w:w w:val="105"/>
        </w:rPr>
        <w:t>como</w:t>
      </w:r>
      <w:r>
        <w:rPr>
          <w:color w:val="231F20"/>
          <w:spacing w:val="-23"/>
          <w:w w:val="105"/>
        </w:rPr>
        <w:t> </w:t>
      </w:r>
      <w:r>
        <w:rPr>
          <w:color w:val="231F20"/>
          <w:w w:val="105"/>
        </w:rPr>
        <w:t>ocurrió</w:t>
      </w:r>
      <w:r>
        <w:rPr>
          <w:color w:val="231F20"/>
          <w:spacing w:val="-23"/>
          <w:w w:val="105"/>
        </w:rPr>
        <w:t> </w:t>
      </w:r>
      <w:r>
        <w:rPr>
          <w:color w:val="231F20"/>
          <w:w w:val="105"/>
        </w:rPr>
        <w:t>con</w:t>
      </w:r>
      <w:r>
        <w:rPr>
          <w:color w:val="231F20"/>
          <w:spacing w:val="-23"/>
          <w:w w:val="105"/>
        </w:rPr>
        <w:t> </w:t>
      </w:r>
      <w:r>
        <w:rPr>
          <w:color w:val="231F20"/>
          <w:w w:val="105"/>
        </w:rPr>
        <w:t>muchos</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spacing w:val="-3"/>
          <w:w w:val="105"/>
        </w:rPr>
        <w:t>braceros—.</w:t>
      </w:r>
      <w:r>
        <w:rPr>
          <w:color w:val="231F20"/>
          <w:spacing w:val="-27"/>
          <w:w w:val="105"/>
        </w:rPr>
        <w:t> </w:t>
      </w:r>
      <w:r>
        <w:rPr>
          <w:color w:val="231F20"/>
          <w:w w:val="105"/>
        </w:rPr>
        <w:t>Esta</w:t>
      </w:r>
      <w:r>
        <w:rPr>
          <w:color w:val="231F20"/>
          <w:spacing w:val="-23"/>
          <w:w w:val="105"/>
        </w:rPr>
        <w:t> </w:t>
      </w:r>
      <w:r>
        <w:rPr>
          <w:color w:val="231F20"/>
          <w:w w:val="105"/>
        </w:rPr>
        <w:t>experiencia</w:t>
      </w:r>
      <w:r>
        <w:rPr>
          <w:color w:val="231F20"/>
          <w:spacing w:val="-23"/>
          <w:w w:val="105"/>
        </w:rPr>
        <w:t> </w:t>
      </w:r>
      <w:r>
        <w:rPr>
          <w:color w:val="231F20"/>
          <w:spacing w:val="-3"/>
          <w:w w:val="105"/>
        </w:rPr>
        <w:t>abre</w:t>
      </w:r>
      <w:r>
        <w:rPr>
          <w:color w:val="231F20"/>
          <w:spacing w:val="-23"/>
          <w:w w:val="105"/>
        </w:rPr>
        <w:t> </w:t>
      </w:r>
      <w:r>
        <w:rPr>
          <w:color w:val="231F20"/>
          <w:w w:val="105"/>
        </w:rPr>
        <w:t>paso</w:t>
      </w:r>
      <w:r>
        <w:rPr>
          <w:color w:val="231F20"/>
          <w:spacing w:val="-23"/>
          <w:w w:val="105"/>
        </w:rPr>
        <w:t> </w:t>
      </w:r>
      <w:r>
        <w:rPr>
          <w:color w:val="231F20"/>
          <w:w w:val="105"/>
        </w:rPr>
        <w:t>a la</w:t>
      </w:r>
      <w:r>
        <w:rPr>
          <w:color w:val="231F20"/>
          <w:spacing w:val="-14"/>
          <w:w w:val="105"/>
        </w:rPr>
        <w:t> </w:t>
      </w:r>
      <w:r>
        <w:rPr>
          <w:color w:val="231F20"/>
          <w:spacing w:val="-3"/>
          <w:w w:val="105"/>
        </w:rPr>
        <w:t>comprensión</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cambios</w:t>
      </w:r>
      <w:r>
        <w:rPr>
          <w:color w:val="231F20"/>
          <w:spacing w:val="-14"/>
          <w:w w:val="105"/>
        </w:rPr>
        <w:t> </w:t>
      </w:r>
      <w:r>
        <w:rPr>
          <w:color w:val="231F20"/>
          <w:w w:val="105"/>
        </w:rPr>
        <w:t>y</w:t>
      </w:r>
      <w:r>
        <w:rPr>
          <w:color w:val="231F20"/>
          <w:spacing w:val="-14"/>
          <w:w w:val="105"/>
        </w:rPr>
        <w:t> </w:t>
      </w:r>
      <w:r>
        <w:rPr>
          <w:color w:val="231F20"/>
          <w:spacing w:val="-3"/>
          <w:w w:val="105"/>
        </w:rPr>
        <w:t>reacomodos</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migración</w:t>
      </w:r>
      <w:r>
        <w:rPr>
          <w:color w:val="231F20"/>
          <w:spacing w:val="-14"/>
          <w:w w:val="105"/>
        </w:rPr>
        <w:t> </w:t>
      </w:r>
      <w:r>
        <w:rPr>
          <w:color w:val="231F20"/>
          <w:w w:val="105"/>
        </w:rPr>
        <w:t>causa</w:t>
      </w:r>
      <w:r>
        <w:rPr>
          <w:color w:val="231F20"/>
          <w:spacing w:val="-14"/>
          <w:w w:val="105"/>
        </w:rPr>
        <w:t> </w:t>
      </w:r>
      <w:r>
        <w:rPr>
          <w:color w:val="231F20"/>
          <w:w w:val="105"/>
        </w:rPr>
        <w:t>en distintos</w:t>
      </w:r>
      <w:r>
        <w:rPr>
          <w:color w:val="231F20"/>
          <w:spacing w:val="-14"/>
          <w:w w:val="105"/>
        </w:rPr>
        <w:t> </w:t>
      </w:r>
      <w:r>
        <w:rPr>
          <w:color w:val="231F20"/>
          <w:w w:val="105"/>
        </w:rPr>
        <w:t>campos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vida</w:t>
      </w:r>
      <w:r>
        <w:rPr>
          <w:color w:val="231F20"/>
          <w:spacing w:val="-14"/>
          <w:w w:val="105"/>
        </w:rPr>
        <w:t> </w:t>
      </w:r>
      <w:r>
        <w:rPr>
          <w:color w:val="231F20"/>
          <w:w w:val="105"/>
        </w:rPr>
        <w:t>social,</w:t>
      </w:r>
      <w:r>
        <w:rPr>
          <w:color w:val="231F20"/>
          <w:spacing w:val="-19"/>
          <w:w w:val="105"/>
        </w:rPr>
        <w:t> </w:t>
      </w:r>
      <w:r>
        <w:rPr>
          <w:color w:val="231F20"/>
          <w:w w:val="105"/>
        </w:rPr>
        <w:t>tanto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lugar</w:t>
      </w:r>
      <w:r>
        <w:rPr>
          <w:color w:val="231F20"/>
          <w:spacing w:val="-14"/>
          <w:w w:val="105"/>
        </w:rPr>
        <w:t> </w:t>
      </w:r>
      <w:r>
        <w:rPr>
          <w:color w:val="231F20"/>
          <w:w w:val="105"/>
        </w:rPr>
        <w:t>de</w:t>
      </w:r>
      <w:r>
        <w:rPr>
          <w:color w:val="231F20"/>
          <w:spacing w:val="-14"/>
          <w:w w:val="105"/>
        </w:rPr>
        <w:t> </w:t>
      </w:r>
      <w:r>
        <w:rPr>
          <w:color w:val="231F20"/>
          <w:w w:val="105"/>
        </w:rPr>
        <w:t>origen</w:t>
      </w:r>
      <w:r>
        <w:rPr>
          <w:color w:val="231F20"/>
          <w:spacing w:val="-14"/>
          <w:w w:val="105"/>
        </w:rPr>
        <w:t> </w:t>
      </w:r>
      <w:r>
        <w:rPr>
          <w:color w:val="231F20"/>
          <w:w w:val="105"/>
        </w:rPr>
        <w:t>como</w:t>
      </w:r>
      <w:r>
        <w:rPr>
          <w:color w:val="231F20"/>
          <w:spacing w:val="-14"/>
          <w:w w:val="105"/>
        </w:rPr>
        <w:t> </w:t>
      </w:r>
      <w:r>
        <w:rPr>
          <w:color w:val="231F20"/>
          <w:w w:val="105"/>
        </w:rPr>
        <w:t>en</w:t>
      </w:r>
      <w:r>
        <w:rPr>
          <w:color w:val="231F20"/>
          <w:spacing w:val="-14"/>
          <w:w w:val="105"/>
        </w:rPr>
        <w:t> </w:t>
      </w:r>
      <w:r>
        <w:rPr>
          <w:color w:val="231F20"/>
          <w:w w:val="105"/>
        </w:rPr>
        <w:t>el destino,</w:t>
      </w:r>
      <w:r>
        <w:rPr>
          <w:color w:val="231F20"/>
          <w:spacing w:val="-29"/>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peso</w:t>
      </w:r>
      <w:r>
        <w:rPr>
          <w:color w:val="231F20"/>
          <w:spacing w:val="-25"/>
          <w:w w:val="105"/>
        </w:rPr>
        <w:t> </w:t>
      </w:r>
      <w:r>
        <w:rPr>
          <w:color w:val="231F20"/>
          <w:w w:val="105"/>
        </w:rPr>
        <w:t>histórico</w:t>
      </w:r>
      <w:r>
        <w:rPr>
          <w:color w:val="231F20"/>
          <w:spacing w:val="-25"/>
          <w:w w:val="105"/>
        </w:rPr>
        <w:t> </w:t>
      </w:r>
      <w:r>
        <w:rPr>
          <w:color w:val="231F20"/>
          <w:w w:val="105"/>
        </w:rPr>
        <w:t>que</w:t>
      </w:r>
      <w:r>
        <w:rPr>
          <w:color w:val="231F20"/>
          <w:spacing w:val="-25"/>
          <w:w w:val="105"/>
        </w:rPr>
        <w:t> </w:t>
      </w:r>
      <w:r>
        <w:rPr>
          <w:color w:val="231F20"/>
          <w:w w:val="105"/>
        </w:rPr>
        <w:t>las</w:t>
      </w:r>
      <w:r>
        <w:rPr>
          <w:color w:val="231F20"/>
          <w:spacing w:val="-25"/>
          <w:w w:val="105"/>
        </w:rPr>
        <w:t> </w:t>
      </w:r>
      <w:r>
        <w:rPr>
          <w:color w:val="231F20"/>
          <w:w w:val="105"/>
        </w:rPr>
        <w:t>vidas</w:t>
      </w:r>
      <w:r>
        <w:rPr>
          <w:color w:val="231F20"/>
          <w:spacing w:val="-25"/>
          <w:w w:val="105"/>
        </w:rPr>
        <w:t> </w:t>
      </w:r>
      <w:r>
        <w:rPr>
          <w:color w:val="231F20"/>
          <w:spacing w:val="-3"/>
          <w:w w:val="105"/>
        </w:rPr>
        <w:t>singulares</w:t>
      </w:r>
      <w:r>
        <w:rPr>
          <w:color w:val="231F20"/>
          <w:spacing w:val="-25"/>
          <w:w w:val="105"/>
        </w:rPr>
        <w:t> </w:t>
      </w:r>
      <w:r>
        <w:rPr>
          <w:color w:val="231F20"/>
          <w:w w:val="105"/>
        </w:rPr>
        <w:t>tienen</w:t>
      </w:r>
      <w:r>
        <w:rPr>
          <w:color w:val="231F20"/>
          <w:spacing w:val="-25"/>
          <w:w w:val="105"/>
        </w:rPr>
        <w:t> </w:t>
      </w:r>
      <w:r>
        <w:rPr>
          <w:color w:val="231F20"/>
          <w:w w:val="105"/>
        </w:rPr>
        <w:t>en</w:t>
      </w:r>
      <w:r>
        <w:rPr>
          <w:color w:val="231F20"/>
          <w:spacing w:val="-25"/>
          <w:w w:val="105"/>
        </w:rPr>
        <w:t> </w:t>
      </w:r>
      <w:r>
        <w:rPr>
          <w:color w:val="231F20"/>
          <w:spacing w:val="-2"/>
          <w:w w:val="105"/>
        </w:rPr>
        <w:t>estos.</w:t>
      </w:r>
    </w:p>
    <w:p>
      <w:pPr>
        <w:pStyle w:val="BodyText"/>
        <w:spacing w:line="261" w:lineRule="auto" w:before="1"/>
        <w:ind w:left="1723" w:right="1834" w:firstLine="567"/>
        <w:jc w:val="both"/>
      </w:pPr>
      <w:r>
        <w:rPr>
          <w:color w:val="231F20"/>
          <w:w w:val="105"/>
        </w:rPr>
        <w:t>A</w:t>
      </w:r>
      <w:r>
        <w:rPr>
          <w:color w:val="231F20"/>
          <w:spacing w:val="-24"/>
          <w:w w:val="105"/>
        </w:rPr>
        <w:t> </w:t>
      </w:r>
      <w:r>
        <w:rPr>
          <w:color w:val="231F20"/>
          <w:w w:val="105"/>
        </w:rPr>
        <w:t>los</w:t>
      </w:r>
      <w:r>
        <w:rPr>
          <w:color w:val="231F20"/>
          <w:spacing w:val="-21"/>
          <w:w w:val="105"/>
        </w:rPr>
        <w:t> </w:t>
      </w:r>
      <w:r>
        <w:rPr>
          <w:color w:val="231F20"/>
          <w:w w:val="105"/>
        </w:rPr>
        <w:t>braceros</w:t>
      </w:r>
      <w:r>
        <w:rPr>
          <w:color w:val="231F20"/>
          <w:spacing w:val="-21"/>
          <w:w w:val="105"/>
        </w:rPr>
        <w:t> </w:t>
      </w:r>
      <w:r>
        <w:rPr>
          <w:color w:val="231F20"/>
          <w:w w:val="105"/>
        </w:rPr>
        <w:t>les</w:t>
      </w:r>
      <w:r>
        <w:rPr>
          <w:color w:val="231F20"/>
          <w:spacing w:val="-21"/>
          <w:w w:val="105"/>
        </w:rPr>
        <w:t> </w:t>
      </w:r>
      <w:r>
        <w:rPr>
          <w:color w:val="231F20"/>
          <w:w w:val="105"/>
        </w:rPr>
        <w:t>supuso</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campos</w:t>
      </w:r>
      <w:r>
        <w:rPr>
          <w:color w:val="231F20"/>
          <w:spacing w:val="-21"/>
          <w:w w:val="105"/>
        </w:rPr>
        <w:t> </w:t>
      </w:r>
      <w:r>
        <w:rPr>
          <w:color w:val="231F20"/>
          <w:w w:val="105"/>
        </w:rPr>
        <w:t>y</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barracones</w:t>
      </w:r>
      <w:r>
        <w:rPr>
          <w:color w:val="231F20"/>
          <w:spacing w:val="-21"/>
          <w:w w:val="105"/>
        </w:rPr>
        <w:t> </w:t>
      </w:r>
      <w:r>
        <w:rPr>
          <w:color w:val="231F20"/>
          <w:w w:val="105"/>
        </w:rPr>
        <w:t>don- de</w:t>
      </w:r>
      <w:r>
        <w:rPr>
          <w:color w:val="231F20"/>
          <w:spacing w:val="-21"/>
          <w:w w:val="105"/>
        </w:rPr>
        <w:t> </w:t>
      </w:r>
      <w:r>
        <w:rPr>
          <w:color w:val="231F20"/>
          <w:w w:val="105"/>
        </w:rPr>
        <w:t>regularmente</w:t>
      </w:r>
      <w:r>
        <w:rPr>
          <w:color w:val="231F20"/>
          <w:spacing w:val="-21"/>
          <w:w w:val="105"/>
        </w:rPr>
        <w:t> </w:t>
      </w:r>
      <w:r>
        <w:rPr>
          <w:color w:val="231F20"/>
          <w:w w:val="105"/>
        </w:rPr>
        <w:t>eran</w:t>
      </w:r>
      <w:r>
        <w:rPr>
          <w:color w:val="231F20"/>
          <w:spacing w:val="-21"/>
          <w:w w:val="105"/>
        </w:rPr>
        <w:t> </w:t>
      </w:r>
      <w:r>
        <w:rPr>
          <w:color w:val="231F20"/>
          <w:w w:val="105"/>
        </w:rPr>
        <w:t>albergados—</w:t>
      </w:r>
      <w:r>
        <w:rPr>
          <w:color w:val="231F20"/>
          <w:spacing w:val="-21"/>
          <w:w w:val="105"/>
        </w:rPr>
        <w:t> </w:t>
      </w:r>
      <w:r>
        <w:rPr>
          <w:color w:val="231F20"/>
          <w:w w:val="105"/>
        </w:rPr>
        <w:t>afrontar</w:t>
      </w:r>
      <w:r>
        <w:rPr>
          <w:color w:val="231F20"/>
          <w:spacing w:val="-21"/>
          <w:w w:val="105"/>
        </w:rPr>
        <w:t> </w:t>
      </w:r>
      <w:r>
        <w:rPr>
          <w:color w:val="231F20"/>
          <w:w w:val="105"/>
        </w:rPr>
        <w:t>y</w:t>
      </w:r>
      <w:r>
        <w:rPr>
          <w:color w:val="231F20"/>
          <w:spacing w:val="-21"/>
          <w:w w:val="105"/>
        </w:rPr>
        <w:t> </w:t>
      </w:r>
      <w:r>
        <w:rPr>
          <w:color w:val="231F20"/>
          <w:w w:val="105"/>
        </w:rPr>
        <w:t>conocer</w:t>
      </w:r>
      <w:r>
        <w:rPr>
          <w:color w:val="231F20"/>
          <w:spacing w:val="-21"/>
          <w:w w:val="105"/>
        </w:rPr>
        <w:t> </w:t>
      </w:r>
      <w:r>
        <w:rPr>
          <w:color w:val="231F20"/>
          <w:w w:val="105"/>
        </w:rPr>
        <w:t>nuevas</w:t>
      </w:r>
      <w:r>
        <w:rPr>
          <w:color w:val="231F20"/>
          <w:spacing w:val="-21"/>
          <w:w w:val="105"/>
        </w:rPr>
        <w:t> </w:t>
      </w:r>
      <w:r>
        <w:rPr>
          <w:color w:val="231F20"/>
          <w:w w:val="105"/>
        </w:rPr>
        <w:t>formas,</w:t>
      </w:r>
      <w:r>
        <w:rPr>
          <w:color w:val="231F20"/>
          <w:spacing w:val="-26"/>
          <w:w w:val="105"/>
        </w:rPr>
        <w:t> </w:t>
      </w:r>
      <w:r>
        <w:rPr>
          <w:color w:val="231F20"/>
          <w:w w:val="105"/>
        </w:rPr>
        <w:t>re- glas, medios, habilidades y jornadas de trabajo; además de otra</w:t>
      </w:r>
      <w:r>
        <w:rPr>
          <w:color w:val="231F20"/>
          <w:spacing w:val="-33"/>
          <w:w w:val="105"/>
        </w:rPr>
        <w:t> </w:t>
      </w:r>
      <w:r>
        <w:rPr>
          <w:color w:val="231F20"/>
          <w:w w:val="105"/>
        </w:rPr>
        <w:t>noción del salario (calculado por horas y en otra moneda), del tiempo y de la distancia; así como aprender lo que suponía vivir con desconocidos</w:t>
      </w:r>
      <w:r>
        <w:rPr>
          <w:color w:val="231F20"/>
          <w:spacing w:val="-28"/>
          <w:w w:val="105"/>
        </w:rPr>
        <w:t> </w:t>
      </w:r>
      <w:r>
        <w:rPr>
          <w:color w:val="231F20"/>
          <w:w w:val="105"/>
        </w:rPr>
        <w:t>(ya no</w:t>
      </w:r>
      <w:r>
        <w:rPr>
          <w:color w:val="231F20"/>
          <w:spacing w:val="-16"/>
          <w:w w:val="105"/>
        </w:rPr>
        <w:t> </w:t>
      </w:r>
      <w:r>
        <w:rPr>
          <w:color w:val="231F20"/>
          <w:w w:val="105"/>
        </w:rPr>
        <w:t>en</w:t>
      </w:r>
      <w:r>
        <w:rPr>
          <w:color w:val="231F20"/>
          <w:spacing w:val="-16"/>
          <w:w w:val="105"/>
        </w:rPr>
        <w:t> </w:t>
      </w:r>
      <w:r>
        <w:rPr>
          <w:color w:val="231F20"/>
          <w:w w:val="105"/>
        </w:rPr>
        <w:t>familia</w:t>
      </w:r>
      <w:r>
        <w:rPr>
          <w:color w:val="231F20"/>
          <w:spacing w:val="-16"/>
          <w:w w:val="105"/>
        </w:rPr>
        <w:t> </w:t>
      </w:r>
      <w:r>
        <w:rPr>
          <w:color w:val="231F20"/>
          <w:w w:val="105"/>
        </w:rPr>
        <w:t>y</w:t>
      </w:r>
      <w:r>
        <w:rPr>
          <w:color w:val="231F20"/>
          <w:spacing w:val="-16"/>
          <w:w w:val="105"/>
        </w:rPr>
        <w:t> </w:t>
      </w:r>
      <w:r>
        <w:rPr>
          <w:color w:val="231F20"/>
          <w:w w:val="105"/>
        </w:rPr>
        <w:t>con</w:t>
      </w:r>
      <w:r>
        <w:rPr>
          <w:color w:val="231F20"/>
          <w:spacing w:val="-16"/>
          <w:w w:val="105"/>
        </w:rPr>
        <w:t> </w:t>
      </w:r>
      <w:r>
        <w:rPr>
          <w:color w:val="231F20"/>
          <w:w w:val="105"/>
        </w:rPr>
        <w:t>paisanos),</w:t>
      </w:r>
      <w:r>
        <w:rPr>
          <w:color w:val="231F20"/>
          <w:spacing w:val="-21"/>
          <w:w w:val="105"/>
        </w:rPr>
        <w:t> </w:t>
      </w:r>
      <w:r>
        <w:rPr>
          <w:color w:val="231F20"/>
          <w:w w:val="105"/>
        </w:rPr>
        <w:t>que</w:t>
      </w:r>
      <w:r>
        <w:rPr>
          <w:color w:val="231F20"/>
          <w:spacing w:val="-16"/>
          <w:w w:val="105"/>
        </w:rPr>
        <w:t> </w:t>
      </w:r>
      <w:r>
        <w:rPr>
          <w:color w:val="231F20"/>
          <w:w w:val="105"/>
        </w:rPr>
        <w:t>aunque</w:t>
      </w:r>
      <w:r>
        <w:rPr>
          <w:color w:val="231F20"/>
          <w:spacing w:val="-16"/>
          <w:w w:val="105"/>
        </w:rPr>
        <w:t> </w:t>
      </w:r>
      <w:r>
        <w:rPr>
          <w:color w:val="231F20"/>
          <w:w w:val="105"/>
        </w:rPr>
        <w:t>mexicanos,</w:t>
      </w:r>
      <w:r>
        <w:rPr>
          <w:color w:val="231F20"/>
          <w:spacing w:val="-21"/>
          <w:w w:val="105"/>
        </w:rPr>
        <w:t> </w:t>
      </w:r>
      <w:r>
        <w:rPr>
          <w:color w:val="231F20"/>
          <w:w w:val="105"/>
        </w:rPr>
        <w:t>la</w:t>
      </w:r>
      <w:r>
        <w:rPr>
          <w:color w:val="231F20"/>
          <w:spacing w:val="-16"/>
          <w:w w:val="105"/>
        </w:rPr>
        <w:t> </w:t>
      </w:r>
      <w:r>
        <w:rPr>
          <w:color w:val="231F20"/>
          <w:w w:val="105"/>
        </w:rPr>
        <w:t>mayoría,</w:t>
      </w:r>
      <w:r>
        <w:rPr>
          <w:color w:val="231F20"/>
          <w:spacing w:val="-21"/>
          <w:w w:val="105"/>
        </w:rPr>
        <w:t> </w:t>
      </w:r>
      <w:r>
        <w:rPr>
          <w:color w:val="231F20"/>
          <w:w w:val="105"/>
        </w:rPr>
        <w:t>tenían distintas</w:t>
      </w:r>
      <w:r>
        <w:rPr>
          <w:color w:val="231F20"/>
          <w:spacing w:val="-12"/>
          <w:w w:val="105"/>
        </w:rPr>
        <w:t> </w:t>
      </w:r>
      <w:r>
        <w:rPr>
          <w:color w:val="231F20"/>
          <w:w w:val="105"/>
        </w:rPr>
        <w:t>costumbres,</w:t>
      </w:r>
      <w:r>
        <w:rPr>
          <w:color w:val="231F20"/>
          <w:spacing w:val="-17"/>
          <w:w w:val="105"/>
        </w:rPr>
        <w:t> </w:t>
      </w:r>
      <w:r>
        <w:rPr>
          <w:color w:val="231F20"/>
          <w:w w:val="105"/>
        </w:rPr>
        <w:t>habilidades,</w:t>
      </w:r>
      <w:r>
        <w:rPr>
          <w:color w:val="231F20"/>
          <w:spacing w:val="-17"/>
          <w:w w:val="105"/>
        </w:rPr>
        <w:t> </w:t>
      </w:r>
      <w:r>
        <w:rPr>
          <w:color w:val="231F20"/>
          <w:w w:val="105"/>
        </w:rPr>
        <w:t>dialectos</w:t>
      </w:r>
      <w:r>
        <w:rPr>
          <w:color w:val="231F20"/>
          <w:spacing w:val="-12"/>
          <w:w w:val="105"/>
        </w:rPr>
        <w:t> </w:t>
      </w:r>
      <w:r>
        <w:rPr>
          <w:color w:val="231F20"/>
          <w:w w:val="105"/>
        </w:rPr>
        <w:t>y</w:t>
      </w:r>
      <w:r>
        <w:rPr>
          <w:color w:val="231F20"/>
          <w:spacing w:val="-12"/>
          <w:w w:val="105"/>
        </w:rPr>
        <w:t> </w:t>
      </w:r>
      <w:r>
        <w:rPr>
          <w:color w:val="231F20"/>
          <w:w w:val="105"/>
        </w:rPr>
        <w:t>conocimientos</w:t>
      </w:r>
      <w:r>
        <w:rPr>
          <w:color w:val="231F20"/>
          <w:spacing w:val="-12"/>
          <w:w w:val="105"/>
        </w:rPr>
        <w:t> </w:t>
      </w:r>
      <w:r>
        <w:rPr>
          <w:color w:val="231F20"/>
          <w:w w:val="105"/>
        </w:rPr>
        <w:t>previos</w:t>
      </w:r>
      <w:r>
        <w:rPr>
          <w:color w:val="231F20"/>
          <w:spacing w:val="-12"/>
          <w:w w:val="105"/>
        </w:rPr>
        <w:t> </w:t>
      </w:r>
      <w:r>
        <w:rPr>
          <w:color w:val="231F20"/>
          <w:w w:val="105"/>
        </w:rPr>
        <w:t>del trabajo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campo.</w:t>
      </w:r>
      <w:r>
        <w:rPr>
          <w:color w:val="231F20"/>
          <w:spacing w:val="-24"/>
          <w:w w:val="105"/>
        </w:rPr>
        <w:t> </w:t>
      </w:r>
      <w:r>
        <w:rPr>
          <w:color w:val="231F20"/>
          <w:w w:val="105"/>
        </w:rPr>
        <w:t>Quienes</w:t>
      </w:r>
      <w:r>
        <w:rPr>
          <w:color w:val="231F20"/>
          <w:spacing w:val="-19"/>
          <w:w w:val="105"/>
        </w:rPr>
        <w:t> </w:t>
      </w:r>
      <w:r>
        <w:rPr>
          <w:color w:val="231F20"/>
          <w:w w:val="105"/>
        </w:rPr>
        <w:t>se</w:t>
      </w:r>
      <w:r>
        <w:rPr>
          <w:color w:val="231F20"/>
          <w:spacing w:val="-19"/>
          <w:w w:val="105"/>
        </w:rPr>
        <w:t> </w:t>
      </w:r>
      <w:r>
        <w:rPr>
          <w:color w:val="231F20"/>
          <w:w w:val="105"/>
        </w:rPr>
        <w:t>empleaban</w:t>
      </w:r>
      <w:r>
        <w:rPr>
          <w:color w:val="231F20"/>
          <w:spacing w:val="-19"/>
          <w:w w:val="105"/>
        </w:rPr>
        <w:t> </w:t>
      </w:r>
      <w:r>
        <w:rPr>
          <w:color w:val="231F20"/>
          <w:w w:val="105"/>
        </w:rPr>
        <w:t>en</w:t>
      </w:r>
      <w:r>
        <w:rPr>
          <w:color w:val="231F20"/>
          <w:spacing w:val="-19"/>
          <w:w w:val="105"/>
        </w:rPr>
        <w:t> </w:t>
      </w:r>
      <w:r>
        <w:rPr>
          <w:color w:val="231F20"/>
          <w:w w:val="105"/>
        </w:rPr>
        <w:t>fábricas</w:t>
      </w:r>
      <w:r>
        <w:rPr>
          <w:color w:val="231F20"/>
          <w:spacing w:val="-19"/>
          <w:w w:val="105"/>
        </w:rPr>
        <w:t> </w:t>
      </w:r>
      <w:r>
        <w:rPr>
          <w:color w:val="231F20"/>
          <w:w w:val="105"/>
        </w:rPr>
        <w:t>o</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construc- ción</w:t>
      </w:r>
      <w:r>
        <w:rPr>
          <w:color w:val="231F20"/>
          <w:spacing w:val="-4"/>
          <w:w w:val="105"/>
        </w:rPr>
        <w:t> </w:t>
      </w:r>
      <w:r>
        <w:rPr>
          <w:color w:val="231F20"/>
          <w:w w:val="105"/>
        </w:rPr>
        <w:t>de</w:t>
      </w:r>
      <w:r>
        <w:rPr>
          <w:color w:val="231F20"/>
          <w:spacing w:val="-4"/>
          <w:w w:val="105"/>
        </w:rPr>
        <w:t> </w:t>
      </w:r>
      <w:r>
        <w:rPr>
          <w:color w:val="231F20"/>
          <w:w w:val="105"/>
        </w:rPr>
        <w:t>vías</w:t>
      </w:r>
      <w:r>
        <w:rPr>
          <w:color w:val="231F20"/>
          <w:spacing w:val="-4"/>
          <w:w w:val="105"/>
        </w:rPr>
        <w:t> </w:t>
      </w:r>
      <w:r>
        <w:rPr>
          <w:color w:val="231F20"/>
          <w:w w:val="105"/>
        </w:rPr>
        <w:t>férreas,</w:t>
      </w:r>
      <w:r>
        <w:rPr>
          <w:color w:val="231F20"/>
          <w:spacing w:val="-10"/>
          <w:w w:val="105"/>
        </w:rPr>
        <w:t> </w:t>
      </w:r>
      <w:r>
        <w:rPr>
          <w:color w:val="231F20"/>
          <w:w w:val="105"/>
        </w:rPr>
        <w:t>prácticamente</w:t>
      </w:r>
      <w:r>
        <w:rPr>
          <w:color w:val="231F20"/>
          <w:spacing w:val="-4"/>
          <w:w w:val="105"/>
        </w:rPr>
        <w:t> </w:t>
      </w:r>
      <w:r>
        <w:rPr>
          <w:color w:val="231F20"/>
          <w:w w:val="105"/>
        </w:rPr>
        <w:t>tenían</w:t>
      </w:r>
      <w:r>
        <w:rPr>
          <w:color w:val="231F20"/>
          <w:spacing w:val="-4"/>
          <w:w w:val="105"/>
        </w:rPr>
        <w:t> </w:t>
      </w:r>
      <w:r>
        <w:rPr>
          <w:color w:val="231F20"/>
          <w:w w:val="105"/>
        </w:rPr>
        <w:t>que</w:t>
      </w:r>
      <w:r>
        <w:rPr>
          <w:color w:val="231F20"/>
          <w:spacing w:val="-4"/>
          <w:w w:val="105"/>
        </w:rPr>
        <w:t> </w:t>
      </w:r>
      <w:r>
        <w:rPr>
          <w:color w:val="231F20"/>
          <w:w w:val="105"/>
        </w:rPr>
        <w:t>aprender</w:t>
      </w:r>
      <w:r>
        <w:rPr>
          <w:color w:val="231F20"/>
          <w:spacing w:val="-4"/>
          <w:w w:val="105"/>
        </w:rPr>
        <w:t> </w:t>
      </w:r>
      <w:r>
        <w:rPr>
          <w:color w:val="231F20"/>
          <w:w w:val="105"/>
        </w:rPr>
        <w:t>todo</w:t>
      </w:r>
      <w:r>
        <w:rPr>
          <w:color w:val="231F20"/>
          <w:spacing w:val="-4"/>
          <w:w w:val="105"/>
        </w:rPr>
        <w:t> </w:t>
      </w:r>
      <w:r>
        <w:rPr>
          <w:color w:val="231F20"/>
          <w:w w:val="105"/>
        </w:rPr>
        <w:t>lo</w:t>
      </w:r>
      <w:r>
        <w:rPr>
          <w:color w:val="231F20"/>
          <w:spacing w:val="-4"/>
          <w:w w:val="105"/>
        </w:rPr>
        <w:t> </w:t>
      </w:r>
      <w:r>
        <w:rPr>
          <w:color w:val="231F20"/>
          <w:w w:val="105"/>
        </w:rPr>
        <w:t>concer- niente</w:t>
      </w:r>
      <w:r>
        <w:rPr>
          <w:color w:val="231F20"/>
          <w:spacing w:val="-21"/>
          <w:w w:val="105"/>
        </w:rPr>
        <w:t> </w:t>
      </w:r>
      <w:r>
        <w:rPr>
          <w:color w:val="231F20"/>
          <w:w w:val="105"/>
        </w:rPr>
        <w:t>a</w:t>
      </w:r>
      <w:r>
        <w:rPr>
          <w:color w:val="231F20"/>
          <w:spacing w:val="-21"/>
          <w:w w:val="105"/>
        </w:rPr>
        <w:t> </w:t>
      </w:r>
      <w:r>
        <w:rPr>
          <w:color w:val="231F20"/>
          <w:w w:val="105"/>
        </w:rPr>
        <w:t>su</w:t>
      </w:r>
      <w:r>
        <w:rPr>
          <w:color w:val="231F20"/>
          <w:spacing w:val="-21"/>
          <w:w w:val="105"/>
        </w:rPr>
        <w:t> </w:t>
      </w:r>
      <w:r>
        <w:rPr>
          <w:color w:val="231F20"/>
          <w:w w:val="105"/>
        </w:rPr>
        <w:t>nueva</w:t>
      </w:r>
      <w:r>
        <w:rPr>
          <w:color w:val="231F20"/>
          <w:spacing w:val="-21"/>
          <w:w w:val="105"/>
        </w:rPr>
        <w:t> </w:t>
      </w:r>
      <w:r>
        <w:rPr>
          <w:color w:val="231F20"/>
          <w:w w:val="105"/>
        </w:rPr>
        <w:t>ocupación.</w:t>
      </w:r>
    </w:p>
    <w:p>
      <w:pPr>
        <w:pStyle w:val="BodyText"/>
        <w:spacing w:line="261" w:lineRule="auto" w:before="1"/>
        <w:ind w:left="1723" w:right="1834" w:firstLine="567"/>
        <w:jc w:val="both"/>
      </w:pPr>
      <w:r>
        <w:rPr>
          <w:color w:val="231F20"/>
          <w:w w:val="105"/>
        </w:rPr>
        <w:t>El</w:t>
      </w:r>
      <w:r>
        <w:rPr>
          <w:color w:val="231F20"/>
          <w:spacing w:val="-21"/>
          <w:w w:val="105"/>
        </w:rPr>
        <w:t> </w:t>
      </w:r>
      <w:r>
        <w:rPr>
          <w:color w:val="231F20"/>
          <w:w w:val="105"/>
        </w:rPr>
        <w:t>relato</w:t>
      </w:r>
      <w:r>
        <w:rPr>
          <w:color w:val="231F20"/>
          <w:spacing w:val="-21"/>
          <w:w w:val="105"/>
        </w:rPr>
        <w:t> </w:t>
      </w:r>
      <w:r>
        <w:rPr>
          <w:color w:val="231F20"/>
          <w:w w:val="105"/>
        </w:rPr>
        <w:t>de</w:t>
      </w:r>
      <w:r>
        <w:rPr>
          <w:color w:val="231F20"/>
          <w:spacing w:val="-21"/>
          <w:w w:val="105"/>
        </w:rPr>
        <w:t> </w:t>
      </w:r>
      <w:r>
        <w:rPr>
          <w:color w:val="231F20"/>
          <w:w w:val="105"/>
        </w:rPr>
        <w:t>Rafael</w:t>
      </w:r>
      <w:r>
        <w:rPr>
          <w:color w:val="231F20"/>
          <w:spacing w:val="-21"/>
          <w:w w:val="105"/>
        </w:rPr>
        <w:t> </w:t>
      </w:r>
      <w:r>
        <w:rPr>
          <w:color w:val="231F20"/>
          <w:w w:val="105"/>
        </w:rPr>
        <w:t>nos</w:t>
      </w:r>
      <w:r>
        <w:rPr>
          <w:color w:val="231F20"/>
          <w:spacing w:val="-21"/>
          <w:w w:val="105"/>
        </w:rPr>
        <w:t> </w:t>
      </w:r>
      <w:r>
        <w:rPr>
          <w:color w:val="231F20"/>
          <w:w w:val="105"/>
        </w:rPr>
        <w:t>ayuda</w:t>
      </w:r>
      <w:r>
        <w:rPr>
          <w:color w:val="231F20"/>
          <w:spacing w:val="-21"/>
          <w:w w:val="105"/>
        </w:rPr>
        <w:t> </w:t>
      </w:r>
      <w:r>
        <w:rPr>
          <w:color w:val="231F20"/>
          <w:w w:val="105"/>
        </w:rPr>
        <w:t>a</w:t>
      </w:r>
      <w:r>
        <w:rPr>
          <w:color w:val="231F20"/>
          <w:spacing w:val="-21"/>
          <w:w w:val="105"/>
        </w:rPr>
        <w:t> </w:t>
      </w:r>
      <w:r>
        <w:rPr>
          <w:color w:val="231F20"/>
          <w:w w:val="105"/>
        </w:rPr>
        <w:t>comprender</w:t>
      </w:r>
      <w:r>
        <w:rPr>
          <w:color w:val="231F20"/>
          <w:spacing w:val="-21"/>
          <w:w w:val="105"/>
        </w:rPr>
        <w:t> </w:t>
      </w:r>
      <w:r>
        <w:rPr>
          <w:color w:val="231F20"/>
          <w:w w:val="105"/>
        </w:rPr>
        <w:t>el</w:t>
      </w:r>
      <w:r>
        <w:rPr>
          <w:color w:val="231F20"/>
          <w:spacing w:val="-21"/>
          <w:w w:val="105"/>
        </w:rPr>
        <w:t> </w:t>
      </w:r>
      <w:r>
        <w:rPr>
          <w:color w:val="231F20"/>
          <w:w w:val="105"/>
        </w:rPr>
        <w:t>por</w:t>
      </w:r>
      <w:r>
        <w:rPr>
          <w:color w:val="231F20"/>
          <w:spacing w:val="-21"/>
          <w:w w:val="105"/>
        </w:rPr>
        <w:t> </w:t>
      </w:r>
      <w:r>
        <w:rPr>
          <w:color w:val="231F20"/>
          <w:w w:val="105"/>
        </w:rPr>
        <w:t>qué</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cómo</w:t>
      </w:r>
      <w:r>
        <w:rPr>
          <w:color w:val="231F20"/>
          <w:spacing w:val="-21"/>
          <w:w w:val="105"/>
        </w:rPr>
        <w:t> </w:t>
      </w:r>
      <w:r>
        <w:rPr>
          <w:color w:val="231F20"/>
          <w:w w:val="105"/>
        </w:rPr>
        <w:t>de una</w:t>
      </w:r>
      <w:r>
        <w:rPr>
          <w:color w:val="231F20"/>
          <w:spacing w:val="-23"/>
          <w:w w:val="105"/>
        </w:rPr>
        <w:t> </w:t>
      </w:r>
      <w:r>
        <w:rPr>
          <w:color w:val="231F20"/>
          <w:w w:val="105"/>
        </w:rPr>
        <w:t>andadura</w:t>
      </w:r>
      <w:r>
        <w:rPr>
          <w:color w:val="231F20"/>
          <w:spacing w:val="-23"/>
          <w:w w:val="105"/>
        </w:rPr>
        <w:t> </w:t>
      </w:r>
      <w:r>
        <w:rPr>
          <w:color w:val="231F20"/>
          <w:w w:val="105"/>
        </w:rPr>
        <w:t>que,</w:t>
      </w:r>
      <w:r>
        <w:rPr>
          <w:color w:val="231F20"/>
          <w:spacing w:val="-28"/>
          <w:w w:val="105"/>
        </w:rPr>
        <w:t> </w:t>
      </w:r>
      <w:r>
        <w:rPr>
          <w:color w:val="231F20"/>
          <w:w w:val="105"/>
        </w:rPr>
        <w:t>desde</w:t>
      </w:r>
      <w:r>
        <w:rPr>
          <w:color w:val="231F20"/>
          <w:spacing w:val="-23"/>
          <w:w w:val="105"/>
        </w:rPr>
        <w:t> </w:t>
      </w:r>
      <w:r>
        <w:rPr>
          <w:color w:val="231F20"/>
          <w:w w:val="105"/>
        </w:rPr>
        <w:t>mediados</w:t>
      </w:r>
      <w:r>
        <w:rPr>
          <w:color w:val="231F20"/>
          <w:spacing w:val="-23"/>
          <w:w w:val="105"/>
        </w:rPr>
        <w:t> </w:t>
      </w:r>
      <w:r>
        <w:rPr>
          <w:color w:val="231F20"/>
          <w:w w:val="105"/>
        </w:rPr>
        <w:t>del</w:t>
      </w:r>
      <w:r>
        <w:rPr>
          <w:color w:val="231F20"/>
          <w:spacing w:val="-23"/>
          <w:w w:val="105"/>
        </w:rPr>
        <w:t> </w:t>
      </w:r>
      <w:r>
        <w:rPr>
          <w:color w:val="231F20"/>
          <w:w w:val="105"/>
        </w:rPr>
        <w:t>siglo</w:t>
      </w:r>
      <w:r>
        <w:rPr>
          <w:color w:val="231F20"/>
          <w:spacing w:val="-23"/>
          <w:w w:val="105"/>
        </w:rPr>
        <w:t> </w:t>
      </w:r>
      <w:r>
        <w:rPr>
          <w:color w:val="231F20"/>
          <w:w w:val="105"/>
          <w:sz w:val="17"/>
        </w:rPr>
        <w:t>XX</w:t>
      </w:r>
      <w:r>
        <w:rPr>
          <w:color w:val="231F20"/>
          <w:w w:val="105"/>
        </w:rPr>
        <w:t>,</w:t>
      </w:r>
      <w:r>
        <w:rPr>
          <w:color w:val="231F20"/>
          <w:spacing w:val="-28"/>
          <w:w w:val="105"/>
        </w:rPr>
        <w:t> </w:t>
      </w:r>
      <w:r>
        <w:rPr>
          <w:color w:val="231F20"/>
          <w:w w:val="105"/>
        </w:rPr>
        <w:t>miles</w:t>
      </w:r>
      <w:r>
        <w:rPr>
          <w:color w:val="231F20"/>
          <w:spacing w:val="-23"/>
          <w:w w:val="105"/>
        </w:rPr>
        <w:t> </w:t>
      </w:r>
      <w:r>
        <w:rPr>
          <w:color w:val="231F20"/>
          <w:w w:val="105"/>
        </w:rPr>
        <w:t>de</w:t>
      </w:r>
      <w:r>
        <w:rPr>
          <w:color w:val="231F20"/>
          <w:spacing w:val="-23"/>
          <w:w w:val="105"/>
        </w:rPr>
        <w:t> </w:t>
      </w:r>
      <w:r>
        <w:rPr>
          <w:color w:val="231F20"/>
          <w:w w:val="105"/>
        </w:rPr>
        <w:t>mexicanos</w:t>
      </w:r>
      <w:r>
        <w:rPr>
          <w:color w:val="231F20"/>
          <w:spacing w:val="-23"/>
          <w:w w:val="105"/>
        </w:rPr>
        <w:t> </w:t>
      </w:r>
      <w:r>
        <w:rPr>
          <w:color w:val="231F20"/>
          <w:w w:val="105"/>
        </w:rPr>
        <w:t>han hecho</w:t>
      </w:r>
      <w:r>
        <w:rPr>
          <w:color w:val="231F20"/>
          <w:spacing w:val="-31"/>
          <w:w w:val="105"/>
        </w:rPr>
        <w:t> </w:t>
      </w:r>
      <w:r>
        <w:rPr>
          <w:color w:val="231F20"/>
          <w:w w:val="105"/>
        </w:rPr>
        <w:t>con</w:t>
      </w:r>
      <w:r>
        <w:rPr>
          <w:color w:val="231F20"/>
          <w:spacing w:val="-31"/>
          <w:w w:val="105"/>
        </w:rPr>
        <w:t> </w:t>
      </w:r>
      <w:r>
        <w:rPr>
          <w:color w:val="231F20"/>
          <w:w w:val="105"/>
        </w:rPr>
        <w:t>sus</w:t>
      </w:r>
      <w:r>
        <w:rPr>
          <w:color w:val="231F20"/>
          <w:spacing w:val="-31"/>
          <w:w w:val="105"/>
        </w:rPr>
        <w:t> </w:t>
      </w:r>
      <w:r>
        <w:rPr>
          <w:color w:val="231F20"/>
          <w:w w:val="105"/>
        </w:rPr>
        <w:t>recursos,</w:t>
      </w:r>
      <w:r>
        <w:rPr>
          <w:color w:val="231F20"/>
          <w:spacing w:val="-35"/>
          <w:w w:val="105"/>
        </w:rPr>
        <w:t> </w:t>
      </w:r>
      <w:r>
        <w:rPr>
          <w:color w:val="231F20"/>
          <w:w w:val="105"/>
        </w:rPr>
        <w:t>con</w:t>
      </w:r>
      <w:r>
        <w:rPr>
          <w:color w:val="231F20"/>
          <w:spacing w:val="-31"/>
          <w:w w:val="105"/>
        </w:rPr>
        <w:t> </w:t>
      </w:r>
      <w:r>
        <w:rPr>
          <w:color w:val="231F20"/>
          <w:w w:val="105"/>
        </w:rPr>
        <w:t>sus</w:t>
      </w:r>
      <w:r>
        <w:rPr>
          <w:color w:val="231F20"/>
          <w:spacing w:val="-31"/>
          <w:w w:val="105"/>
        </w:rPr>
        <w:t> </w:t>
      </w:r>
      <w:r>
        <w:rPr>
          <w:color w:val="231F20"/>
          <w:w w:val="105"/>
        </w:rPr>
        <w:t>conocimientos</w:t>
      </w:r>
      <w:r>
        <w:rPr>
          <w:color w:val="231F20"/>
          <w:spacing w:val="-31"/>
          <w:w w:val="105"/>
        </w:rPr>
        <w:t> </w:t>
      </w:r>
      <w:r>
        <w:rPr>
          <w:color w:val="231F20"/>
          <w:w w:val="105"/>
        </w:rPr>
        <w:t>y</w:t>
      </w:r>
      <w:r>
        <w:rPr>
          <w:color w:val="231F20"/>
          <w:spacing w:val="-31"/>
          <w:w w:val="105"/>
        </w:rPr>
        <w:t> </w:t>
      </w:r>
      <w:r>
        <w:rPr>
          <w:color w:val="231F20"/>
          <w:w w:val="105"/>
        </w:rPr>
        <w:t>habilidades,</w:t>
      </w:r>
      <w:r>
        <w:rPr>
          <w:color w:val="231F20"/>
          <w:spacing w:val="-35"/>
          <w:w w:val="105"/>
        </w:rPr>
        <w:t> </w:t>
      </w:r>
      <w:r>
        <w:rPr>
          <w:color w:val="231F20"/>
          <w:w w:val="105"/>
        </w:rPr>
        <w:t>con</w:t>
      </w:r>
      <w:r>
        <w:rPr>
          <w:color w:val="231F20"/>
          <w:spacing w:val="-31"/>
          <w:w w:val="105"/>
        </w:rPr>
        <w:t> </w:t>
      </w:r>
      <w:r>
        <w:rPr>
          <w:color w:val="231F20"/>
          <w:w w:val="105"/>
        </w:rPr>
        <w:t>sus</w:t>
      </w:r>
      <w:r>
        <w:rPr>
          <w:color w:val="231F20"/>
          <w:spacing w:val="-31"/>
          <w:w w:val="105"/>
        </w:rPr>
        <w:t> </w:t>
      </w:r>
      <w:r>
        <w:rPr>
          <w:color w:val="231F20"/>
          <w:w w:val="105"/>
        </w:rPr>
        <w:t>es- fuerzos</w:t>
      </w:r>
      <w:r>
        <w:rPr>
          <w:color w:val="231F20"/>
          <w:spacing w:val="-26"/>
          <w:w w:val="105"/>
        </w:rPr>
        <w:t> </w:t>
      </w:r>
      <w:r>
        <w:rPr>
          <w:color w:val="231F20"/>
          <w:w w:val="105"/>
        </w:rPr>
        <w:t>y</w:t>
      </w:r>
      <w:r>
        <w:rPr>
          <w:color w:val="231F20"/>
          <w:spacing w:val="-26"/>
          <w:w w:val="105"/>
        </w:rPr>
        <w:t> </w:t>
      </w:r>
      <w:r>
        <w:rPr>
          <w:color w:val="231F20"/>
          <w:w w:val="105"/>
        </w:rPr>
        <w:t>sacrificios,</w:t>
      </w:r>
      <w:r>
        <w:rPr>
          <w:color w:val="231F20"/>
          <w:spacing w:val="-30"/>
          <w:w w:val="105"/>
        </w:rPr>
        <w:t> </w:t>
      </w:r>
      <w:r>
        <w:rPr>
          <w:color w:val="231F20"/>
          <w:w w:val="105"/>
        </w:rPr>
        <w:t>y</w:t>
      </w:r>
      <w:r>
        <w:rPr>
          <w:color w:val="231F20"/>
          <w:spacing w:val="-26"/>
          <w:w w:val="105"/>
        </w:rPr>
        <w:t> </w:t>
      </w:r>
      <w:r>
        <w:rPr>
          <w:color w:val="231F20"/>
          <w:w w:val="105"/>
        </w:rPr>
        <w:t>hasta</w:t>
      </w:r>
      <w:r>
        <w:rPr>
          <w:color w:val="231F20"/>
          <w:spacing w:val="-26"/>
          <w:w w:val="105"/>
        </w:rPr>
        <w:t> </w:t>
      </w:r>
      <w:r>
        <w:rPr>
          <w:color w:val="231F20"/>
          <w:w w:val="105"/>
        </w:rPr>
        <w:t>dando</w:t>
      </w:r>
      <w:r>
        <w:rPr>
          <w:color w:val="231F20"/>
          <w:spacing w:val="-26"/>
          <w:w w:val="105"/>
        </w:rPr>
        <w:t> </w:t>
      </w:r>
      <w:r>
        <w:rPr>
          <w:color w:val="231F20"/>
          <w:w w:val="105"/>
        </w:rPr>
        <w:t>su</w:t>
      </w:r>
      <w:r>
        <w:rPr>
          <w:color w:val="231F20"/>
          <w:spacing w:val="-26"/>
          <w:w w:val="105"/>
        </w:rPr>
        <w:t> </w:t>
      </w:r>
      <w:r>
        <w:rPr>
          <w:color w:val="231F20"/>
          <w:w w:val="105"/>
        </w:rPr>
        <w:t>vida</w:t>
      </w:r>
      <w:r>
        <w:rPr>
          <w:color w:val="231F20"/>
          <w:spacing w:val="-26"/>
          <w:w w:val="105"/>
        </w:rPr>
        <w:t> </w:t>
      </w:r>
      <w:r>
        <w:rPr>
          <w:color w:val="231F20"/>
          <w:w w:val="105"/>
        </w:rPr>
        <w:t>para</w:t>
      </w:r>
      <w:r>
        <w:rPr>
          <w:color w:val="231F20"/>
          <w:spacing w:val="-26"/>
          <w:w w:val="105"/>
        </w:rPr>
        <w:t> </w:t>
      </w:r>
      <w:r>
        <w:rPr>
          <w:color w:val="231F20"/>
          <w:w w:val="105"/>
        </w:rPr>
        <w:t>sortear</w:t>
      </w:r>
      <w:r>
        <w:rPr>
          <w:color w:val="231F20"/>
          <w:spacing w:val="-26"/>
          <w:w w:val="105"/>
        </w:rPr>
        <w:t> </w:t>
      </w:r>
      <w:r>
        <w:rPr>
          <w:color w:val="231F20"/>
          <w:w w:val="105"/>
        </w:rPr>
        <w:t>los</w:t>
      </w:r>
      <w:r>
        <w:rPr>
          <w:color w:val="231F20"/>
          <w:spacing w:val="-26"/>
          <w:w w:val="105"/>
        </w:rPr>
        <w:t> </w:t>
      </w:r>
      <w:r>
        <w:rPr>
          <w:color w:val="231F20"/>
          <w:w w:val="105"/>
        </w:rPr>
        <w:t>abismos</w:t>
      </w:r>
      <w:r>
        <w:rPr>
          <w:color w:val="231F20"/>
          <w:spacing w:val="-26"/>
          <w:w w:val="105"/>
        </w:rPr>
        <w:t> </w:t>
      </w:r>
      <w:r>
        <w:rPr>
          <w:color w:val="231F20"/>
          <w:w w:val="105"/>
        </w:rPr>
        <w:t>a</w:t>
      </w:r>
      <w:r>
        <w:rPr>
          <w:color w:val="231F20"/>
          <w:spacing w:val="-26"/>
          <w:w w:val="105"/>
        </w:rPr>
        <w:t> </w:t>
      </w:r>
      <w:r>
        <w:rPr>
          <w:color w:val="231F20"/>
          <w:w w:val="105"/>
        </w:rPr>
        <w:t>que la</w:t>
      </w:r>
      <w:r>
        <w:rPr>
          <w:color w:val="231F20"/>
          <w:spacing w:val="-20"/>
          <w:w w:val="105"/>
        </w:rPr>
        <w:t> </w:t>
      </w:r>
      <w:r>
        <w:rPr>
          <w:color w:val="231F20"/>
          <w:w w:val="105"/>
        </w:rPr>
        <w:t>pobreza</w:t>
      </w:r>
      <w:r>
        <w:rPr>
          <w:color w:val="231F20"/>
          <w:spacing w:val="-20"/>
          <w:w w:val="105"/>
        </w:rPr>
        <w:t> </w:t>
      </w:r>
      <w:r>
        <w:rPr>
          <w:color w:val="231F20"/>
          <w:w w:val="105"/>
        </w:rPr>
        <w:t>conduce</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pobres</w:t>
      </w:r>
      <w:r>
        <w:rPr>
          <w:color w:val="231F20"/>
          <w:spacing w:val="-20"/>
          <w:w w:val="105"/>
        </w:rPr>
        <w:t> </w:t>
      </w:r>
      <w:r>
        <w:rPr>
          <w:color w:val="231F20"/>
          <w:w w:val="105"/>
        </w:rPr>
        <w:t>de</w:t>
      </w:r>
      <w:r>
        <w:rPr>
          <w:color w:val="231F20"/>
          <w:spacing w:val="-20"/>
          <w:w w:val="105"/>
        </w:rPr>
        <w:t> </w:t>
      </w:r>
      <w:r>
        <w:rPr>
          <w:color w:val="231F20"/>
          <w:w w:val="105"/>
        </w:rPr>
        <w:t>un</w:t>
      </w:r>
      <w:r>
        <w:rPr>
          <w:color w:val="231F20"/>
          <w:spacing w:val="-20"/>
          <w:w w:val="105"/>
        </w:rPr>
        <w:t> </w:t>
      </w:r>
      <w:r>
        <w:rPr>
          <w:color w:val="231F20"/>
          <w:w w:val="105"/>
        </w:rPr>
        <w:t>país</w:t>
      </w:r>
      <w:r>
        <w:rPr>
          <w:color w:val="231F20"/>
          <w:spacing w:val="-20"/>
          <w:w w:val="105"/>
        </w:rPr>
        <w:t> </w:t>
      </w:r>
      <w:r>
        <w:rPr>
          <w:color w:val="231F20"/>
          <w:w w:val="105"/>
        </w:rPr>
        <w:t>empobrecido.</w:t>
      </w:r>
      <w:r>
        <w:rPr>
          <w:color w:val="231F20"/>
          <w:spacing w:val="-26"/>
          <w:w w:val="105"/>
        </w:rPr>
        <w:t> </w:t>
      </w:r>
      <w:r>
        <w:rPr>
          <w:color w:val="231F20"/>
          <w:w w:val="105"/>
        </w:rPr>
        <w:t>Rafael</w:t>
      </w:r>
      <w:r>
        <w:rPr>
          <w:color w:val="231F20"/>
          <w:spacing w:val="-20"/>
          <w:w w:val="105"/>
        </w:rPr>
        <w:t> </w:t>
      </w:r>
      <w:r>
        <w:rPr>
          <w:color w:val="231F20"/>
          <w:w w:val="105"/>
        </w:rPr>
        <w:t>fue</w:t>
      </w:r>
      <w:r>
        <w:rPr>
          <w:color w:val="231F20"/>
          <w:spacing w:val="-20"/>
          <w:w w:val="105"/>
        </w:rPr>
        <w:t> </w:t>
      </w:r>
      <w:r>
        <w:rPr>
          <w:color w:val="231F20"/>
          <w:w w:val="105"/>
        </w:rPr>
        <w:t>par- te</w:t>
      </w:r>
      <w:r>
        <w:rPr>
          <w:color w:val="231F20"/>
          <w:spacing w:val="-14"/>
          <w:w w:val="105"/>
        </w:rPr>
        <w:t> </w:t>
      </w:r>
      <w:r>
        <w:rPr>
          <w:color w:val="231F20"/>
          <w:w w:val="105"/>
        </w:rPr>
        <w:t>y</w:t>
      </w:r>
      <w:r>
        <w:rPr>
          <w:color w:val="231F20"/>
          <w:spacing w:val="-14"/>
          <w:w w:val="105"/>
        </w:rPr>
        <w:t> </w:t>
      </w:r>
      <w:r>
        <w:rPr>
          <w:color w:val="231F20"/>
          <w:w w:val="105"/>
        </w:rPr>
        <w:t>testigo</w:t>
      </w:r>
      <w:r>
        <w:rPr>
          <w:color w:val="231F20"/>
          <w:spacing w:val="-14"/>
          <w:w w:val="105"/>
        </w:rPr>
        <w:t> </w:t>
      </w:r>
      <w:r>
        <w:rPr>
          <w:color w:val="231F20"/>
          <w:w w:val="105"/>
        </w:rPr>
        <w:t>de</w:t>
      </w:r>
      <w:r>
        <w:rPr>
          <w:color w:val="231F20"/>
          <w:spacing w:val="-14"/>
          <w:w w:val="105"/>
        </w:rPr>
        <w:t> </w:t>
      </w:r>
      <w:r>
        <w:rPr>
          <w:color w:val="231F20"/>
          <w:w w:val="105"/>
        </w:rPr>
        <w:t>cómo</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conformaron</w:t>
      </w:r>
      <w:r>
        <w:rPr>
          <w:color w:val="231F20"/>
          <w:spacing w:val="-14"/>
          <w:w w:val="105"/>
        </w:rPr>
        <w:t> </w:t>
      </w:r>
      <w:r>
        <w:rPr>
          <w:color w:val="231F20"/>
          <w:w w:val="105"/>
        </w:rPr>
        <w:t>una</w:t>
      </w:r>
      <w:r>
        <w:rPr>
          <w:color w:val="231F20"/>
          <w:spacing w:val="-14"/>
          <w:w w:val="105"/>
        </w:rPr>
        <w:t> </w:t>
      </w:r>
      <w:r>
        <w:rPr>
          <w:color w:val="231F20"/>
          <w:w w:val="105"/>
        </w:rPr>
        <w:t>estructura</w:t>
      </w:r>
      <w:r>
        <w:rPr>
          <w:color w:val="231F20"/>
          <w:spacing w:val="-14"/>
          <w:w w:val="105"/>
        </w:rPr>
        <w:t> </w:t>
      </w:r>
      <w:r>
        <w:rPr>
          <w:color w:val="231F20"/>
          <w:w w:val="105"/>
        </w:rPr>
        <w:t>de</w:t>
      </w:r>
      <w:r>
        <w:rPr>
          <w:color w:val="231F20"/>
          <w:spacing w:val="-14"/>
          <w:w w:val="105"/>
        </w:rPr>
        <w:t> </w:t>
      </w:r>
      <w:r>
        <w:rPr>
          <w:color w:val="231F20"/>
          <w:w w:val="105"/>
        </w:rPr>
        <w:t>apoyo a</w:t>
      </w:r>
      <w:r>
        <w:rPr>
          <w:color w:val="231F20"/>
          <w:spacing w:val="-9"/>
          <w:w w:val="105"/>
        </w:rPr>
        <w:t> </w:t>
      </w:r>
      <w:r>
        <w:rPr>
          <w:color w:val="231F20"/>
          <w:w w:val="105"/>
        </w:rPr>
        <w:t>la</w:t>
      </w:r>
      <w:r>
        <w:rPr>
          <w:color w:val="231F20"/>
          <w:spacing w:val="-9"/>
          <w:w w:val="105"/>
        </w:rPr>
        <w:t> </w:t>
      </w:r>
      <w:r>
        <w:rPr>
          <w:color w:val="231F20"/>
          <w:w w:val="105"/>
        </w:rPr>
        <w:t>economía</w:t>
      </w:r>
      <w:r>
        <w:rPr>
          <w:color w:val="231F20"/>
          <w:spacing w:val="-9"/>
          <w:w w:val="105"/>
        </w:rPr>
        <w:t> </w:t>
      </w:r>
      <w:r>
        <w:rPr>
          <w:color w:val="231F20"/>
          <w:w w:val="105"/>
        </w:rPr>
        <w:t>y</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población</w:t>
      </w:r>
      <w:r>
        <w:rPr>
          <w:color w:val="231F20"/>
          <w:spacing w:val="-9"/>
          <w:w w:val="105"/>
        </w:rPr>
        <w:t> </w:t>
      </w:r>
      <w:r>
        <w:rPr>
          <w:color w:val="231F20"/>
          <w:w w:val="105"/>
        </w:rPr>
        <w:t>de</w:t>
      </w:r>
      <w:r>
        <w:rPr>
          <w:color w:val="231F20"/>
          <w:spacing w:val="-9"/>
          <w:w w:val="105"/>
        </w:rPr>
        <w:t> </w:t>
      </w:r>
      <w:r>
        <w:rPr>
          <w:color w:val="231F20"/>
          <w:w w:val="105"/>
        </w:rPr>
        <w:t>dos</w:t>
      </w:r>
      <w:r>
        <w:rPr>
          <w:color w:val="231F20"/>
          <w:spacing w:val="-9"/>
          <w:w w:val="105"/>
        </w:rPr>
        <w:t> </w:t>
      </w:r>
      <w:r>
        <w:rPr>
          <w:color w:val="231F20"/>
          <w:w w:val="105"/>
        </w:rPr>
        <w:t>estados</w:t>
      </w:r>
      <w:r>
        <w:rPr>
          <w:color w:val="231F20"/>
          <w:spacing w:val="-9"/>
          <w:w w:val="105"/>
        </w:rPr>
        <w:t> </w:t>
      </w:r>
      <w:r>
        <w:rPr>
          <w:color w:val="231F20"/>
          <w:w w:val="105"/>
        </w:rPr>
        <w:t>nacionales</w:t>
      </w:r>
      <w:r>
        <w:rPr>
          <w:color w:val="231F20"/>
          <w:spacing w:val="-9"/>
          <w:w w:val="105"/>
        </w:rPr>
        <w:t> </w:t>
      </w:r>
      <w:r>
        <w:rPr>
          <w:color w:val="231F20"/>
          <w:w w:val="105"/>
        </w:rPr>
        <w:t>en</w:t>
      </w:r>
      <w:r>
        <w:rPr>
          <w:color w:val="231F20"/>
          <w:spacing w:val="-9"/>
          <w:w w:val="105"/>
        </w:rPr>
        <w:t> </w:t>
      </w:r>
      <w:r>
        <w:rPr>
          <w:color w:val="231F20"/>
          <w:w w:val="105"/>
        </w:rPr>
        <w:t>problemas</w:t>
      </w:r>
    </w:p>
    <w:p>
      <w:pPr>
        <w:pStyle w:val="BodyText"/>
        <w:rPr>
          <w:sz w:val="20"/>
        </w:rPr>
      </w:pPr>
    </w:p>
    <w:p>
      <w:pPr>
        <w:pStyle w:val="BodyText"/>
        <w:rPr>
          <w:sz w:val="20"/>
        </w:rPr>
      </w:pPr>
    </w:p>
    <w:p>
      <w:pPr>
        <w:pStyle w:val="BodyText"/>
        <w:spacing w:before="7"/>
        <w:rPr>
          <w:sz w:val="27"/>
        </w:rPr>
      </w:pPr>
    </w:p>
    <w:p>
      <w:pPr>
        <w:tabs>
          <w:tab w:pos="2937" w:val="left" w:leader="none"/>
        </w:tabs>
        <w:spacing w:before="74"/>
        <w:ind w:left="1832" w:right="0" w:firstLine="0"/>
        <w:jc w:val="left"/>
        <w:rPr>
          <w:rFonts w:ascii="Calibri"/>
          <w:sz w:val="8"/>
        </w:rPr>
      </w:pPr>
      <w:r>
        <w:rPr/>
        <w:pict>
          <v:line style="position:absolute;mso-position-horizontal-relative:page;mso-position-vertical-relative:paragraph;z-index:-444424" from="131.551193pt,3.903715pt" to="131.551193pt,39.706114pt" stroked="true" strokeweight=".35pt" strokecolor="#231f20">
            <w10:wrap type="none"/>
          </v:line>
        </w:pict>
      </w:r>
      <w:r>
        <w:rPr/>
        <w:pict>
          <v:line style="position:absolute;mso-position-horizontal-relative:page;mso-position-vertical-relative:paragraph;z-index:-444352" from="15pt,39.705914pt" to="0pt,39.705914pt" stroked="true" strokeweight=".25pt" strokecolor="#000000">
            <w10:wrap type="none"/>
          </v:line>
        </w:pict>
      </w:r>
      <w:r>
        <w:rPr/>
        <w:pict>
          <v:line style="position:absolute;mso-position-horizontal-relative:page;mso-position-vertical-relative:paragraph;z-index:45856" from="508.890015pt,39.705914pt" to="523.890015pt,39.705914pt" stroked="true" strokeweight=".25pt" strokecolor="#000000">
            <w10:wrap type="none"/>
          </v:line>
        </w:pict>
      </w:r>
      <w:r>
        <w:rPr>
          <w:rFonts w:ascii="Arial"/>
          <w:color w:val="414042"/>
          <w:position w:val="-5"/>
          <w:sz w:val="20"/>
        </w:rPr>
        <w:t>392</w:t>
        <w:tab/>
      </w:r>
      <w:r>
        <w:rPr>
          <w:rFonts w:ascii="Calibri"/>
          <w:color w:val="6D6E71"/>
          <w:sz w:val="15"/>
        </w:rPr>
        <w:t>Alejandro  Zarur Osorio</w:t>
      </w:r>
      <w:r>
        <w:rPr>
          <w:rFonts w:ascii="Calibri"/>
          <w:color w:val="6D6E71"/>
          <w:position w:val="5"/>
          <w:sz w:val="8"/>
        </w:rPr>
        <w:t>1</w:t>
      </w:r>
    </w:p>
    <w:p>
      <w:pPr>
        <w:spacing w:after="0"/>
        <w:jc w:val="left"/>
        <w:rPr>
          <w:rFonts w:ascii="Calibri"/>
          <w:sz w:val="8"/>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2023" w:right="0" w:firstLine="0"/>
        <w:jc w:val="left"/>
        <w:rPr>
          <w:rFonts w:ascii="Arial"/>
          <w:sz w:val="20"/>
        </w:rPr>
      </w:pPr>
      <w:r>
        <w:rPr/>
        <w:pict>
          <v:line style="position:absolute;mso-position-horizontal-relative:page;mso-position-vertical-relative:paragraph;z-index:-444304" from="405.061005pt,-18.554295pt" to="405.061005pt,16.311579pt" stroked="true" strokeweight=".35pt" strokecolor="#231f20">
            <w10:wrap type="none"/>
          </v:line>
        </w:pict>
      </w:r>
      <w:r>
        <w:rPr/>
        <w:pict>
          <v:line style="position:absolute;mso-position-horizontal-relative:page;mso-position-vertical-relative:paragraph;z-index:45904" from="15pt,-18.554522pt" to="0pt,-18.554522pt" stroked="true" strokeweight=".25pt" strokecolor="#000000">
            <w10:wrap type="none"/>
          </v:line>
        </w:pict>
      </w:r>
      <w:r>
        <w:rPr/>
        <w:pict>
          <v:line style="position:absolute;mso-position-horizontal-relative:page;mso-position-vertical-relative:paragraph;z-index:45928" from="508.890015pt,-18.554522pt" to="523.890015pt,-18.554522pt" stroked="true" strokeweight=".25pt" strokecolor="#000000">
            <w10:wrap type="none"/>
          </v:line>
        </w:pict>
      </w:r>
      <w:r>
        <w:rPr>
          <w:rFonts w:ascii="Lucida Sans Unicode"/>
          <w:color w:val="6D6E71"/>
          <w:sz w:val="14"/>
        </w:rPr>
        <w:t>LO</w:t>
      </w:r>
      <w:r>
        <w:rPr>
          <w:rFonts w:ascii="Lucida Sans Unicode"/>
          <w:color w:val="6D6E71"/>
          <w:spacing w:val="-29"/>
          <w:sz w:val="14"/>
        </w:rPr>
        <w:t> </w:t>
      </w:r>
      <w:r>
        <w:rPr>
          <w:rFonts w:ascii="Lucida Sans Unicode"/>
          <w:color w:val="6D6E71"/>
          <w:sz w:val="14"/>
        </w:rPr>
        <w:t>QUE</w:t>
      </w:r>
      <w:r>
        <w:rPr>
          <w:rFonts w:ascii="Lucida Sans Unicode"/>
          <w:color w:val="6D6E71"/>
          <w:spacing w:val="-29"/>
          <w:sz w:val="14"/>
        </w:rPr>
        <w:t> </w:t>
      </w:r>
      <w:r>
        <w:rPr>
          <w:rFonts w:ascii="Lucida Sans Unicode"/>
          <w:color w:val="6D6E71"/>
          <w:sz w:val="14"/>
        </w:rPr>
        <w:t>NO</w:t>
      </w:r>
      <w:r>
        <w:rPr>
          <w:rFonts w:ascii="Lucida Sans Unicode"/>
          <w:color w:val="6D6E71"/>
          <w:spacing w:val="-29"/>
          <w:sz w:val="14"/>
        </w:rPr>
        <w:t> </w:t>
      </w:r>
      <w:r>
        <w:rPr>
          <w:rFonts w:ascii="Lucida Sans Unicode"/>
          <w:color w:val="6D6E71"/>
          <w:sz w:val="14"/>
        </w:rPr>
        <w:t>SE</w:t>
      </w:r>
      <w:r>
        <w:rPr>
          <w:rFonts w:ascii="Lucida Sans Unicode"/>
          <w:color w:val="6D6E71"/>
          <w:spacing w:val="-29"/>
          <w:sz w:val="14"/>
        </w:rPr>
        <w:t> </w:t>
      </w:r>
      <w:r>
        <w:rPr>
          <w:rFonts w:ascii="Lucida Sans Unicode"/>
          <w:color w:val="6D6E71"/>
          <w:sz w:val="14"/>
        </w:rPr>
        <w:t>FUE</w:t>
      </w:r>
      <w:r>
        <w:rPr>
          <w:rFonts w:ascii="Lucida Sans Unicode"/>
          <w:color w:val="6D6E71"/>
          <w:spacing w:val="-29"/>
          <w:sz w:val="14"/>
        </w:rPr>
        <w:t> </w:t>
      </w:r>
      <w:r>
        <w:rPr>
          <w:rFonts w:ascii="Lucida Sans Unicode"/>
          <w:color w:val="6D6E71"/>
          <w:sz w:val="14"/>
        </w:rPr>
        <w:t>EN</w:t>
      </w:r>
      <w:r>
        <w:rPr>
          <w:rFonts w:ascii="Lucida Sans Unicode"/>
          <w:color w:val="6D6E71"/>
          <w:spacing w:val="-29"/>
          <w:sz w:val="14"/>
        </w:rPr>
        <w:t> </w:t>
      </w:r>
      <w:r>
        <w:rPr>
          <w:rFonts w:ascii="Lucida Sans Unicode"/>
          <w:color w:val="6D6E71"/>
          <w:sz w:val="14"/>
        </w:rPr>
        <w:t>EL</w:t>
      </w:r>
      <w:r>
        <w:rPr>
          <w:rFonts w:ascii="Lucida Sans Unicode"/>
          <w:color w:val="6D6E71"/>
          <w:spacing w:val="-29"/>
          <w:sz w:val="14"/>
        </w:rPr>
        <w:t> </w:t>
      </w:r>
      <w:r>
        <w:rPr>
          <w:rFonts w:ascii="Lucida Sans Unicode"/>
          <w:color w:val="6D6E71"/>
          <w:sz w:val="14"/>
        </w:rPr>
        <w:t>VELIZ</w:t>
      </w:r>
      <w:r>
        <w:rPr>
          <w:rFonts w:ascii="Lucida Sans Unicode"/>
          <w:color w:val="6D6E71"/>
          <w:spacing w:val="-29"/>
          <w:sz w:val="14"/>
        </w:rPr>
        <w:t> </w:t>
      </w:r>
      <w:r>
        <w:rPr>
          <w:rFonts w:ascii="Lucida Sans Unicode"/>
          <w:color w:val="6D6E71"/>
          <w:sz w:val="14"/>
        </w:rPr>
        <w:t>AZUL.</w:t>
      </w:r>
      <w:r>
        <w:rPr>
          <w:rFonts w:ascii="Lucida Sans Unicode"/>
          <w:color w:val="6D6E71"/>
          <w:spacing w:val="-29"/>
          <w:sz w:val="14"/>
        </w:rPr>
        <w:t> </w:t>
      </w:r>
      <w:r>
        <w:rPr>
          <w:rFonts w:ascii="Lucida Sans Unicode"/>
          <w:color w:val="6D6E71"/>
          <w:sz w:val="14"/>
        </w:rPr>
        <w:t>RELATO</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VIDA</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RAFAEL,</w:t>
      </w:r>
      <w:r>
        <w:rPr>
          <w:rFonts w:ascii="Lucida Sans Unicode"/>
          <w:color w:val="6D6E71"/>
          <w:spacing w:val="-29"/>
          <w:sz w:val="14"/>
        </w:rPr>
        <w:t> </w:t>
      </w:r>
      <w:r>
        <w:rPr>
          <w:rFonts w:ascii="Lucida Sans Unicode"/>
          <w:color w:val="6D6E71"/>
          <w:sz w:val="14"/>
        </w:rPr>
        <w:t>UN</w:t>
      </w:r>
      <w:r>
        <w:rPr>
          <w:rFonts w:ascii="Lucida Sans Unicode"/>
          <w:color w:val="6D6E71"/>
          <w:spacing w:val="-29"/>
          <w:sz w:val="14"/>
        </w:rPr>
        <w:t> </w:t>
      </w:r>
      <w:r>
        <w:rPr>
          <w:rFonts w:ascii="Lucida Sans Unicode"/>
          <w:color w:val="6D6E71"/>
          <w:sz w:val="14"/>
        </w:rPr>
        <w:t>MIGRANTE</w:t>
      </w:r>
      <w:r>
        <w:rPr>
          <w:rFonts w:ascii="Lucida Sans Unicode"/>
          <w:color w:val="6D6E71"/>
          <w:spacing w:val="-29"/>
          <w:sz w:val="14"/>
        </w:rPr>
        <w:t> </w:t>
      </w:r>
      <w:r>
        <w:rPr>
          <w:rFonts w:ascii="Lucida Sans Unicode"/>
          <w:color w:val="6D6E71"/>
          <w:sz w:val="14"/>
        </w:rPr>
        <w:t>TONATIQUENSE</w:t>
      </w:r>
      <w:r>
        <w:rPr>
          <w:rFonts w:ascii="Arial"/>
          <w:color w:val="414042"/>
          <w:position w:val="-3"/>
          <w:sz w:val="20"/>
        </w:rPr>
        <w:tab/>
        <w:t>393</w:t>
      </w:r>
    </w:p>
    <w:p>
      <w:pPr>
        <w:pStyle w:val="BodyText"/>
        <w:rPr>
          <w:rFonts w:ascii="Arial"/>
          <w:sz w:val="20"/>
        </w:rPr>
      </w:pPr>
    </w:p>
    <w:p>
      <w:pPr>
        <w:pStyle w:val="BodyText"/>
        <w:rPr>
          <w:rFonts w:ascii="Arial"/>
          <w:sz w:val="20"/>
        </w:rPr>
      </w:pPr>
    </w:p>
    <w:p>
      <w:pPr>
        <w:pStyle w:val="BodyText"/>
        <w:spacing w:line="261" w:lineRule="auto" w:before="179"/>
        <w:ind w:left="1837" w:right="1722"/>
        <w:jc w:val="both"/>
      </w:pPr>
      <w:r>
        <w:rPr>
          <w:color w:val="231F20"/>
          <w:w w:val="105"/>
        </w:rPr>
        <w:t>(uno</w:t>
      </w:r>
      <w:r>
        <w:rPr>
          <w:color w:val="231F20"/>
          <w:spacing w:val="-4"/>
          <w:w w:val="105"/>
        </w:rPr>
        <w:t> </w:t>
      </w:r>
      <w:r>
        <w:rPr>
          <w:color w:val="231F20"/>
          <w:w w:val="105"/>
        </w:rPr>
        <w:t>por</w:t>
      </w:r>
      <w:r>
        <w:rPr>
          <w:color w:val="231F20"/>
          <w:spacing w:val="-4"/>
          <w:w w:val="105"/>
        </w:rPr>
        <w:t> </w:t>
      </w:r>
      <w:r>
        <w:rPr>
          <w:color w:val="231F20"/>
          <w:w w:val="105"/>
        </w:rPr>
        <w:t>imperialista</w:t>
      </w:r>
      <w:r>
        <w:rPr>
          <w:color w:val="231F20"/>
          <w:spacing w:val="-4"/>
          <w:w w:val="105"/>
        </w:rPr>
        <w:t> </w:t>
      </w:r>
      <w:r>
        <w:rPr>
          <w:color w:val="231F20"/>
          <w:w w:val="105"/>
        </w:rPr>
        <w:t>y</w:t>
      </w:r>
      <w:r>
        <w:rPr>
          <w:color w:val="231F20"/>
          <w:spacing w:val="-4"/>
          <w:w w:val="105"/>
        </w:rPr>
        <w:t> </w:t>
      </w:r>
      <w:r>
        <w:rPr>
          <w:color w:val="231F20"/>
          <w:w w:val="105"/>
        </w:rPr>
        <w:t>otro</w:t>
      </w:r>
      <w:r>
        <w:rPr>
          <w:color w:val="231F20"/>
          <w:spacing w:val="-4"/>
          <w:w w:val="105"/>
        </w:rPr>
        <w:t> </w:t>
      </w:r>
      <w:r>
        <w:rPr>
          <w:color w:val="231F20"/>
          <w:w w:val="105"/>
        </w:rPr>
        <w:t>por</w:t>
      </w:r>
      <w:r>
        <w:rPr>
          <w:color w:val="231F20"/>
          <w:spacing w:val="-4"/>
          <w:w w:val="105"/>
        </w:rPr>
        <w:t> </w:t>
      </w:r>
      <w:r>
        <w:rPr>
          <w:color w:val="231F20"/>
          <w:w w:val="105"/>
        </w:rPr>
        <w:t>incapaz).</w:t>
      </w:r>
      <w:r>
        <w:rPr>
          <w:color w:val="231F20"/>
          <w:spacing w:val="-9"/>
          <w:w w:val="105"/>
        </w:rPr>
        <w:t> </w:t>
      </w:r>
      <w:r>
        <w:rPr>
          <w:color w:val="231F20"/>
          <w:w w:val="105"/>
        </w:rPr>
        <w:t>Rafael</w:t>
      </w:r>
      <w:r>
        <w:rPr>
          <w:color w:val="231F20"/>
          <w:spacing w:val="-4"/>
          <w:w w:val="105"/>
        </w:rPr>
        <w:t> </w:t>
      </w:r>
      <w:r>
        <w:rPr>
          <w:color w:val="231F20"/>
          <w:w w:val="105"/>
        </w:rPr>
        <w:t>es</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personas</w:t>
      </w:r>
      <w:r>
        <w:rPr>
          <w:color w:val="231F20"/>
          <w:spacing w:val="-4"/>
          <w:w w:val="105"/>
        </w:rPr>
        <w:t> </w:t>
      </w:r>
      <w:r>
        <w:rPr>
          <w:color w:val="231F20"/>
          <w:w w:val="105"/>
        </w:rPr>
        <w:t>que hicieron</w:t>
      </w:r>
      <w:r>
        <w:rPr>
          <w:color w:val="231F20"/>
          <w:spacing w:val="-15"/>
          <w:w w:val="105"/>
        </w:rPr>
        <w:t> </w:t>
      </w:r>
      <w:r>
        <w:rPr>
          <w:color w:val="231F20"/>
          <w:w w:val="105"/>
        </w:rPr>
        <w:t>camino</w:t>
      </w:r>
      <w:r>
        <w:rPr>
          <w:color w:val="231F20"/>
          <w:spacing w:val="-15"/>
          <w:w w:val="105"/>
        </w:rPr>
        <w:t> </w:t>
      </w:r>
      <w:r>
        <w:rPr>
          <w:color w:val="231F20"/>
          <w:w w:val="105"/>
        </w:rPr>
        <w:t>para</w:t>
      </w:r>
      <w:r>
        <w:rPr>
          <w:color w:val="231F20"/>
          <w:spacing w:val="-15"/>
          <w:w w:val="105"/>
        </w:rPr>
        <w:t> </w:t>
      </w:r>
      <w:r>
        <w:rPr>
          <w:color w:val="231F20"/>
          <w:w w:val="105"/>
        </w:rPr>
        <w:t>su</w:t>
      </w:r>
      <w:r>
        <w:rPr>
          <w:color w:val="231F20"/>
          <w:spacing w:val="-15"/>
          <w:w w:val="105"/>
        </w:rPr>
        <w:t> </w:t>
      </w:r>
      <w:r>
        <w:rPr>
          <w:color w:val="231F20"/>
          <w:w w:val="105"/>
        </w:rPr>
        <w:t>generación</w:t>
      </w:r>
      <w:r>
        <w:rPr>
          <w:color w:val="231F20"/>
          <w:spacing w:val="-15"/>
          <w:w w:val="105"/>
        </w:rPr>
        <w:t> </w:t>
      </w:r>
      <w:r>
        <w:rPr>
          <w:color w:val="231F20"/>
          <w:w w:val="105"/>
        </w:rPr>
        <w:t>y</w:t>
      </w:r>
      <w:r>
        <w:rPr>
          <w:color w:val="231F20"/>
          <w:spacing w:val="-15"/>
          <w:w w:val="105"/>
        </w:rPr>
        <w:t> </w:t>
      </w:r>
      <w:r>
        <w:rPr>
          <w:color w:val="231F20"/>
          <w:w w:val="105"/>
        </w:rPr>
        <w:t>para</w:t>
      </w:r>
      <w:r>
        <w:rPr>
          <w:color w:val="231F20"/>
          <w:spacing w:val="-15"/>
          <w:w w:val="105"/>
        </w:rPr>
        <w:t> </w:t>
      </w:r>
      <w:r>
        <w:rPr>
          <w:color w:val="231F20"/>
          <w:w w:val="105"/>
        </w:rPr>
        <w:t>las</w:t>
      </w:r>
      <w:r>
        <w:rPr>
          <w:color w:val="231F20"/>
          <w:spacing w:val="-15"/>
          <w:w w:val="105"/>
        </w:rPr>
        <w:t> </w:t>
      </w:r>
      <w:r>
        <w:rPr>
          <w:color w:val="231F20"/>
          <w:w w:val="105"/>
        </w:rPr>
        <w:t>que</w:t>
      </w:r>
      <w:r>
        <w:rPr>
          <w:color w:val="231F20"/>
          <w:spacing w:val="-15"/>
          <w:w w:val="105"/>
        </w:rPr>
        <w:t> </w:t>
      </w:r>
      <w:r>
        <w:rPr>
          <w:color w:val="231F20"/>
          <w:w w:val="105"/>
        </w:rPr>
        <w:t>le</w:t>
      </w:r>
      <w:r>
        <w:rPr>
          <w:color w:val="231F20"/>
          <w:spacing w:val="-15"/>
          <w:w w:val="105"/>
        </w:rPr>
        <w:t> </w:t>
      </w:r>
      <w:r>
        <w:rPr>
          <w:color w:val="231F20"/>
          <w:w w:val="105"/>
        </w:rPr>
        <w:t>siguieron,</w:t>
      </w:r>
      <w:r>
        <w:rPr>
          <w:color w:val="231F20"/>
          <w:spacing w:val="-20"/>
          <w:w w:val="105"/>
        </w:rPr>
        <w:t> </w:t>
      </w:r>
      <w:r>
        <w:rPr>
          <w:color w:val="231F20"/>
          <w:w w:val="105"/>
        </w:rPr>
        <w:t>es</w:t>
      </w:r>
      <w:r>
        <w:rPr>
          <w:color w:val="231F20"/>
          <w:spacing w:val="-15"/>
          <w:w w:val="105"/>
        </w:rPr>
        <w:t> </w:t>
      </w:r>
      <w:r>
        <w:rPr>
          <w:color w:val="231F20"/>
          <w:w w:val="105"/>
        </w:rPr>
        <w:t>de</w:t>
      </w:r>
      <w:r>
        <w:rPr>
          <w:color w:val="231F20"/>
          <w:spacing w:val="-15"/>
          <w:w w:val="105"/>
        </w:rPr>
        <w:t> </w:t>
      </w:r>
      <w:r>
        <w:rPr>
          <w:color w:val="231F20"/>
          <w:w w:val="105"/>
        </w:rPr>
        <w:t>los que</w:t>
      </w:r>
      <w:r>
        <w:rPr>
          <w:color w:val="231F20"/>
          <w:spacing w:val="-27"/>
          <w:w w:val="105"/>
        </w:rPr>
        <w:t> </w:t>
      </w:r>
      <w:r>
        <w:rPr>
          <w:color w:val="231F20"/>
          <w:w w:val="105"/>
        </w:rPr>
        <w:t>contribuyeron</w:t>
      </w:r>
      <w:r>
        <w:rPr>
          <w:color w:val="231F20"/>
          <w:spacing w:val="-27"/>
          <w:w w:val="105"/>
        </w:rPr>
        <w:t> </w:t>
      </w:r>
      <w:r>
        <w:rPr>
          <w:color w:val="231F20"/>
          <w:w w:val="105"/>
        </w:rPr>
        <w:t>a</w:t>
      </w:r>
      <w:r>
        <w:rPr>
          <w:color w:val="231F20"/>
          <w:spacing w:val="-27"/>
          <w:w w:val="105"/>
        </w:rPr>
        <w:t> </w:t>
      </w:r>
      <w:r>
        <w:rPr>
          <w:color w:val="231F20"/>
          <w:w w:val="105"/>
        </w:rPr>
        <w:t>crear</w:t>
      </w:r>
      <w:r>
        <w:rPr>
          <w:color w:val="231F20"/>
          <w:spacing w:val="-27"/>
          <w:w w:val="105"/>
        </w:rPr>
        <w:t> </w:t>
      </w:r>
      <w:r>
        <w:rPr>
          <w:color w:val="231F20"/>
          <w:w w:val="105"/>
        </w:rPr>
        <w:t>redes</w:t>
      </w:r>
      <w:r>
        <w:rPr>
          <w:color w:val="231F20"/>
          <w:spacing w:val="-27"/>
          <w:w w:val="105"/>
        </w:rPr>
        <w:t> </w:t>
      </w:r>
      <w:r>
        <w:rPr>
          <w:color w:val="231F20"/>
          <w:w w:val="105"/>
        </w:rPr>
        <w:t>sociales</w:t>
      </w:r>
      <w:r>
        <w:rPr>
          <w:color w:val="231F20"/>
          <w:spacing w:val="-27"/>
          <w:w w:val="105"/>
        </w:rPr>
        <w:t> </w:t>
      </w:r>
      <w:r>
        <w:rPr>
          <w:color w:val="231F20"/>
          <w:w w:val="105"/>
        </w:rPr>
        <w:t>de</w:t>
      </w:r>
      <w:r>
        <w:rPr>
          <w:color w:val="231F20"/>
          <w:spacing w:val="-27"/>
          <w:w w:val="105"/>
        </w:rPr>
        <w:t> </w:t>
      </w:r>
      <w:r>
        <w:rPr>
          <w:color w:val="231F20"/>
          <w:w w:val="105"/>
        </w:rPr>
        <w:t>apoyo</w:t>
      </w:r>
      <w:r>
        <w:rPr>
          <w:color w:val="231F20"/>
          <w:spacing w:val="-27"/>
          <w:w w:val="105"/>
        </w:rPr>
        <w:t> </w:t>
      </w:r>
      <w:r>
        <w:rPr>
          <w:color w:val="231F20"/>
          <w:w w:val="105"/>
        </w:rPr>
        <w:t>y</w:t>
      </w:r>
      <w:r>
        <w:rPr>
          <w:color w:val="231F20"/>
          <w:spacing w:val="-27"/>
          <w:w w:val="105"/>
        </w:rPr>
        <w:t> </w:t>
      </w:r>
      <w:r>
        <w:rPr>
          <w:color w:val="231F20"/>
          <w:w w:val="105"/>
        </w:rPr>
        <w:t>esquemas</w:t>
      </w:r>
      <w:r>
        <w:rPr>
          <w:color w:val="231F20"/>
          <w:spacing w:val="-27"/>
          <w:w w:val="105"/>
        </w:rPr>
        <w:t> </w:t>
      </w:r>
      <w:r>
        <w:rPr>
          <w:color w:val="231F20"/>
          <w:w w:val="105"/>
        </w:rPr>
        <w:t>solidarios</w:t>
      </w:r>
    </w:p>
    <w:p>
      <w:pPr>
        <w:pStyle w:val="BodyText"/>
        <w:spacing w:line="261" w:lineRule="auto" w:before="1"/>
        <w:ind w:left="1837" w:right="1721"/>
        <w:jc w:val="both"/>
      </w:pPr>
      <w:r>
        <w:rPr>
          <w:color w:val="231F20"/>
        </w:rPr>
        <w:t>—permanentes o circunstanciales— que tienen como base la necesidad y  la información, el trabajo y el proyecto de vida, las nuevas generaciones y las nuevas posiciones sociales, los </w:t>
      </w:r>
      <w:r>
        <w:rPr>
          <w:rFonts w:ascii="Arial" w:hAnsi="Arial"/>
          <w:i/>
          <w:color w:val="231F20"/>
        </w:rPr>
        <w:t>papeles </w:t>
      </w:r>
      <w:r>
        <w:rPr>
          <w:color w:val="231F20"/>
        </w:rPr>
        <w:t>y las oportunidades, los terri- torios y las nacionalidades, los derechos y la </w:t>
      </w:r>
      <w:r>
        <w:rPr>
          <w:color w:val="231F20"/>
          <w:spacing w:val="35"/>
        </w:rPr>
        <w:t> </w:t>
      </w:r>
      <w:r>
        <w:rPr>
          <w:color w:val="231F20"/>
        </w:rPr>
        <w:t>ciudadanía.</w:t>
      </w:r>
    </w:p>
    <w:p>
      <w:pPr>
        <w:pStyle w:val="BodyText"/>
        <w:rPr>
          <w:sz w:val="20"/>
        </w:rPr>
      </w:pPr>
    </w:p>
    <w:p>
      <w:pPr>
        <w:pStyle w:val="BodyText"/>
        <w:spacing w:before="7"/>
      </w:pPr>
    </w:p>
    <w:p>
      <w:pPr>
        <w:spacing w:line="254" w:lineRule="auto" w:before="0"/>
        <w:ind w:left="2971" w:right="1716" w:firstLine="0"/>
        <w:jc w:val="both"/>
        <w:rPr>
          <w:sz w:val="18"/>
        </w:rPr>
      </w:pPr>
      <w:r>
        <w:rPr>
          <w:color w:val="231F20"/>
          <w:sz w:val="18"/>
        </w:rPr>
        <w:t>Dentro de esta red de relaciones se forjan y se experimentan múltiples prácticas transnacionales que podrían ser definidas como iniciativas, experiencias cotidianas, formaciones organizativas y comunitarias que tienden a normalizar el flujo entre un ir y venir, entre un allá y un aquí, entre un espacio tiempo en continua reconfiguración (Baez, Bencomo    y Zimmerman, 2007:</w:t>
      </w:r>
      <w:r>
        <w:rPr>
          <w:color w:val="231F20"/>
          <w:spacing w:val="32"/>
          <w:sz w:val="18"/>
        </w:rPr>
        <w:t> </w:t>
      </w:r>
      <w:r>
        <w:rPr>
          <w:color w:val="231F20"/>
          <w:sz w:val="18"/>
        </w:rPr>
        <w:t>16).</w:t>
      </w:r>
    </w:p>
    <w:p>
      <w:pPr>
        <w:pStyle w:val="BodyText"/>
        <w:rPr>
          <w:sz w:val="18"/>
        </w:rPr>
      </w:pPr>
    </w:p>
    <w:p>
      <w:pPr>
        <w:pStyle w:val="BodyText"/>
        <w:spacing w:before="5"/>
        <w:rPr>
          <w:sz w:val="26"/>
        </w:rPr>
      </w:pPr>
    </w:p>
    <w:p>
      <w:pPr>
        <w:pStyle w:val="BodyText"/>
        <w:spacing w:line="261" w:lineRule="auto"/>
        <w:ind w:left="1837" w:right="1715"/>
        <w:jc w:val="both"/>
      </w:pPr>
      <w:r>
        <w:rPr>
          <w:color w:val="231F20"/>
          <w:w w:val="105"/>
        </w:rPr>
        <w:t>La</w:t>
      </w:r>
      <w:r>
        <w:rPr>
          <w:color w:val="231F20"/>
          <w:spacing w:val="-14"/>
          <w:w w:val="105"/>
        </w:rPr>
        <w:t> </w:t>
      </w:r>
      <w:r>
        <w:rPr>
          <w:color w:val="231F20"/>
          <w:w w:val="105"/>
        </w:rPr>
        <w:t>historia</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migrantes</w:t>
      </w:r>
      <w:r>
        <w:rPr>
          <w:color w:val="231F20"/>
          <w:spacing w:val="-14"/>
          <w:w w:val="105"/>
        </w:rPr>
        <w:t> </w:t>
      </w:r>
      <w:r>
        <w:rPr>
          <w:color w:val="231F20"/>
          <w:w w:val="105"/>
        </w:rPr>
        <w:t>permite</w:t>
      </w:r>
      <w:r>
        <w:rPr>
          <w:color w:val="231F20"/>
          <w:spacing w:val="-14"/>
          <w:w w:val="105"/>
        </w:rPr>
        <w:t> </w:t>
      </w:r>
      <w:r>
        <w:rPr>
          <w:color w:val="231F20"/>
          <w:w w:val="105"/>
        </w:rPr>
        <w:t>comprender</w:t>
      </w:r>
      <w:r>
        <w:rPr>
          <w:color w:val="231F20"/>
          <w:spacing w:val="-14"/>
          <w:w w:val="105"/>
        </w:rPr>
        <w:t> </w:t>
      </w:r>
      <w:r>
        <w:rPr>
          <w:color w:val="231F20"/>
          <w:w w:val="105"/>
        </w:rPr>
        <w:t>la</w:t>
      </w:r>
      <w:r>
        <w:rPr>
          <w:color w:val="231F20"/>
          <w:spacing w:val="-14"/>
          <w:w w:val="105"/>
        </w:rPr>
        <w:t> </w:t>
      </w:r>
      <w:r>
        <w:rPr>
          <w:color w:val="231F20"/>
          <w:w w:val="105"/>
        </w:rPr>
        <w:t>formación</w:t>
      </w:r>
      <w:r>
        <w:rPr>
          <w:color w:val="231F20"/>
          <w:spacing w:val="-14"/>
          <w:w w:val="105"/>
        </w:rPr>
        <w:t> </w:t>
      </w:r>
      <w:r>
        <w:rPr>
          <w:color w:val="231F20"/>
          <w:w w:val="105"/>
        </w:rPr>
        <w:t>de</w:t>
      </w:r>
      <w:r>
        <w:rPr>
          <w:color w:val="231F20"/>
          <w:spacing w:val="-14"/>
          <w:w w:val="105"/>
        </w:rPr>
        <w:t> </w:t>
      </w:r>
      <w:r>
        <w:rPr>
          <w:color w:val="231F20"/>
          <w:w w:val="105"/>
        </w:rPr>
        <w:t>redes</w:t>
      </w:r>
      <w:r>
        <w:rPr>
          <w:color w:val="231F20"/>
          <w:spacing w:val="-14"/>
          <w:w w:val="105"/>
        </w:rPr>
        <w:t> </w:t>
      </w:r>
      <w:r>
        <w:rPr>
          <w:color w:val="231F20"/>
          <w:w w:val="105"/>
        </w:rPr>
        <w:t>y estructuras</w:t>
      </w:r>
      <w:r>
        <w:rPr>
          <w:color w:val="231F20"/>
          <w:spacing w:val="-25"/>
          <w:w w:val="105"/>
        </w:rPr>
        <w:t> </w:t>
      </w:r>
      <w:r>
        <w:rPr>
          <w:color w:val="231F20"/>
          <w:w w:val="105"/>
        </w:rPr>
        <w:t>sociales,</w:t>
      </w:r>
      <w:r>
        <w:rPr>
          <w:color w:val="231F20"/>
          <w:spacing w:val="-29"/>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que</w:t>
      </w:r>
      <w:r>
        <w:rPr>
          <w:color w:val="231F20"/>
          <w:spacing w:val="-25"/>
          <w:w w:val="105"/>
        </w:rPr>
        <w:t> </w:t>
      </w:r>
      <w:r>
        <w:rPr>
          <w:color w:val="231F20"/>
          <w:w w:val="105"/>
        </w:rPr>
        <w:t>son</w:t>
      </w:r>
      <w:r>
        <w:rPr>
          <w:color w:val="231F20"/>
          <w:spacing w:val="-25"/>
          <w:w w:val="105"/>
        </w:rPr>
        <w:t> </w:t>
      </w:r>
      <w:r>
        <w:rPr>
          <w:color w:val="231F20"/>
          <w:w w:val="105"/>
        </w:rPr>
        <w:t>—conscientemente</w:t>
      </w:r>
      <w:r>
        <w:rPr>
          <w:color w:val="231F20"/>
          <w:spacing w:val="-25"/>
          <w:w w:val="105"/>
        </w:rPr>
        <w:t> </w:t>
      </w:r>
      <w:r>
        <w:rPr>
          <w:color w:val="231F20"/>
          <w:w w:val="105"/>
        </w:rPr>
        <w:t>o</w:t>
      </w:r>
      <w:r>
        <w:rPr>
          <w:color w:val="231F20"/>
          <w:spacing w:val="-25"/>
          <w:w w:val="105"/>
        </w:rPr>
        <w:t> </w:t>
      </w:r>
      <w:r>
        <w:rPr>
          <w:color w:val="231F20"/>
          <w:w w:val="105"/>
        </w:rPr>
        <w:t>no—</w:t>
      </w:r>
      <w:r>
        <w:rPr>
          <w:color w:val="231F20"/>
          <w:spacing w:val="-25"/>
          <w:w w:val="105"/>
        </w:rPr>
        <w:t> </w:t>
      </w:r>
      <w:r>
        <w:rPr>
          <w:color w:val="231F20"/>
          <w:w w:val="105"/>
        </w:rPr>
        <w:t>parte;</w:t>
      </w:r>
      <w:r>
        <w:rPr>
          <w:color w:val="231F20"/>
          <w:spacing w:val="-25"/>
          <w:w w:val="105"/>
        </w:rPr>
        <w:t> </w:t>
      </w:r>
      <w:r>
        <w:rPr>
          <w:color w:val="231F20"/>
          <w:w w:val="105"/>
        </w:rPr>
        <w:t>permi- te comprender la importancia de una trayectoria migratoria particular o la</w:t>
      </w:r>
      <w:r>
        <w:rPr>
          <w:color w:val="231F20"/>
          <w:spacing w:val="-19"/>
          <w:w w:val="105"/>
        </w:rPr>
        <w:t> </w:t>
      </w:r>
      <w:r>
        <w:rPr>
          <w:color w:val="231F20"/>
          <w:w w:val="105"/>
        </w:rPr>
        <w:t>de</w:t>
      </w:r>
      <w:r>
        <w:rPr>
          <w:color w:val="231F20"/>
          <w:spacing w:val="-19"/>
          <w:w w:val="105"/>
        </w:rPr>
        <w:t> </w:t>
      </w:r>
      <w:r>
        <w:rPr>
          <w:color w:val="231F20"/>
          <w:w w:val="105"/>
        </w:rPr>
        <w:t>una</w:t>
      </w:r>
      <w:r>
        <w:rPr>
          <w:color w:val="231F20"/>
          <w:spacing w:val="-19"/>
          <w:w w:val="105"/>
        </w:rPr>
        <w:t> </w:t>
      </w:r>
      <w:r>
        <w:rPr>
          <w:color w:val="231F20"/>
          <w:w w:val="105"/>
        </w:rPr>
        <w:t>comunidad</w:t>
      </w:r>
      <w:r>
        <w:rPr>
          <w:color w:val="231F20"/>
          <w:spacing w:val="-19"/>
          <w:w w:val="105"/>
        </w:rPr>
        <w:t> </w:t>
      </w:r>
      <w:r>
        <w:rPr>
          <w:color w:val="231F20"/>
          <w:w w:val="105"/>
        </w:rPr>
        <w:t>que</w:t>
      </w:r>
      <w:r>
        <w:rPr>
          <w:color w:val="231F20"/>
          <w:spacing w:val="-19"/>
          <w:w w:val="105"/>
        </w:rPr>
        <w:t> </w:t>
      </w:r>
      <w:r>
        <w:rPr>
          <w:color w:val="231F20"/>
          <w:w w:val="105"/>
        </w:rPr>
        <w:t>históricamente</w:t>
      </w:r>
      <w:r>
        <w:rPr>
          <w:color w:val="231F20"/>
          <w:spacing w:val="-19"/>
          <w:w w:val="105"/>
        </w:rPr>
        <w:t> </w:t>
      </w:r>
      <w:r>
        <w:rPr>
          <w:color w:val="231F20"/>
          <w:w w:val="105"/>
        </w:rPr>
        <w:t>ha</w:t>
      </w:r>
      <w:r>
        <w:rPr>
          <w:color w:val="231F20"/>
          <w:spacing w:val="-19"/>
          <w:w w:val="105"/>
        </w:rPr>
        <w:t> </w:t>
      </w:r>
      <w:r>
        <w:rPr>
          <w:color w:val="231F20"/>
          <w:w w:val="105"/>
        </w:rPr>
        <w:t>asumido</w:t>
      </w:r>
      <w:r>
        <w:rPr>
          <w:color w:val="231F20"/>
          <w:spacing w:val="-19"/>
          <w:w w:val="105"/>
        </w:rPr>
        <w:t> </w:t>
      </w:r>
      <w:r>
        <w:rPr>
          <w:color w:val="231F20"/>
          <w:w w:val="105"/>
        </w:rPr>
        <w:t>que</w:t>
      </w:r>
      <w:r>
        <w:rPr>
          <w:color w:val="231F20"/>
          <w:spacing w:val="-19"/>
          <w:w w:val="105"/>
        </w:rPr>
        <w:t> </w:t>
      </w:r>
      <w:r>
        <w:rPr>
          <w:color w:val="231F20"/>
          <w:w w:val="105"/>
        </w:rPr>
        <w:t>emigrar</w:t>
      </w:r>
      <w:r>
        <w:rPr>
          <w:color w:val="231F20"/>
          <w:spacing w:val="-19"/>
          <w:w w:val="105"/>
        </w:rPr>
        <w:t> </w:t>
      </w:r>
      <w:r>
        <w:rPr>
          <w:color w:val="231F20"/>
          <w:w w:val="105"/>
        </w:rPr>
        <w:t>es</w:t>
      </w:r>
      <w:r>
        <w:rPr>
          <w:color w:val="231F20"/>
          <w:spacing w:val="-19"/>
          <w:w w:val="105"/>
        </w:rPr>
        <w:t> </w:t>
      </w:r>
      <w:r>
        <w:rPr>
          <w:color w:val="231F20"/>
          <w:w w:val="105"/>
        </w:rPr>
        <w:t>una opción</w:t>
      </w:r>
      <w:r>
        <w:rPr>
          <w:color w:val="231F20"/>
          <w:spacing w:val="-13"/>
          <w:w w:val="105"/>
        </w:rPr>
        <w:t> </w:t>
      </w:r>
      <w:r>
        <w:rPr>
          <w:color w:val="231F20"/>
          <w:w w:val="105"/>
        </w:rPr>
        <w:t>de</w:t>
      </w:r>
      <w:r>
        <w:rPr>
          <w:color w:val="231F20"/>
          <w:spacing w:val="-13"/>
          <w:w w:val="105"/>
        </w:rPr>
        <w:t> </w:t>
      </w:r>
      <w:r>
        <w:rPr>
          <w:color w:val="231F20"/>
          <w:w w:val="105"/>
        </w:rPr>
        <w:t>vida</w:t>
      </w:r>
      <w:r>
        <w:rPr>
          <w:color w:val="231F20"/>
          <w:spacing w:val="-13"/>
          <w:w w:val="105"/>
        </w:rPr>
        <w:t> </w:t>
      </w:r>
      <w:r>
        <w:rPr>
          <w:color w:val="231F20"/>
          <w:w w:val="105"/>
        </w:rPr>
        <w:t>tan</w:t>
      </w:r>
      <w:r>
        <w:rPr>
          <w:color w:val="231F20"/>
          <w:spacing w:val="-13"/>
          <w:w w:val="105"/>
        </w:rPr>
        <w:t> </w:t>
      </w:r>
      <w:r>
        <w:rPr>
          <w:color w:val="231F20"/>
          <w:w w:val="105"/>
        </w:rPr>
        <w:t>válida</w:t>
      </w:r>
      <w:r>
        <w:rPr>
          <w:color w:val="231F20"/>
          <w:spacing w:val="-13"/>
          <w:w w:val="105"/>
        </w:rPr>
        <w:t> </w:t>
      </w:r>
      <w:r>
        <w:rPr>
          <w:color w:val="231F20"/>
          <w:w w:val="105"/>
        </w:rPr>
        <w:t>como</w:t>
      </w:r>
      <w:r>
        <w:rPr>
          <w:color w:val="231F20"/>
          <w:spacing w:val="-13"/>
          <w:w w:val="105"/>
        </w:rPr>
        <w:t> </w:t>
      </w:r>
      <w:r>
        <w:rPr>
          <w:color w:val="231F20"/>
          <w:w w:val="105"/>
        </w:rPr>
        <w:t>permanecer</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lugar</w:t>
      </w:r>
      <w:r>
        <w:rPr>
          <w:color w:val="231F20"/>
          <w:spacing w:val="-13"/>
          <w:w w:val="105"/>
        </w:rPr>
        <w:t> </w:t>
      </w:r>
      <w:r>
        <w:rPr>
          <w:color w:val="231F20"/>
          <w:w w:val="105"/>
        </w:rPr>
        <w:t>de</w:t>
      </w:r>
      <w:r>
        <w:rPr>
          <w:color w:val="231F20"/>
          <w:spacing w:val="-13"/>
          <w:w w:val="105"/>
        </w:rPr>
        <w:t> </w:t>
      </w:r>
      <w:r>
        <w:rPr>
          <w:color w:val="231F20"/>
          <w:w w:val="105"/>
        </w:rPr>
        <w:t>origen;</w:t>
      </w:r>
      <w:r>
        <w:rPr>
          <w:color w:val="231F20"/>
          <w:spacing w:val="-13"/>
          <w:w w:val="105"/>
        </w:rPr>
        <w:t> </w:t>
      </w:r>
      <w:r>
        <w:rPr>
          <w:color w:val="231F20"/>
          <w:w w:val="105"/>
        </w:rPr>
        <w:t>permi- te</w:t>
      </w:r>
      <w:r>
        <w:rPr>
          <w:color w:val="231F20"/>
          <w:spacing w:val="-18"/>
          <w:w w:val="105"/>
        </w:rPr>
        <w:t> </w:t>
      </w:r>
      <w:r>
        <w:rPr>
          <w:color w:val="231F20"/>
          <w:w w:val="105"/>
        </w:rPr>
        <w:t>comprender</w:t>
      </w:r>
      <w:r>
        <w:rPr>
          <w:color w:val="231F20"/>
          <w:spacing w:val="-18"/>
          <w:w w:val="105"/>
        </w:rPr>
        <w:t> </w:t>
      </w:r>
      <w:r>
        <w:rPr>
          <w:color w:val="231F20"/>
          <w:w w:val="105"/>
        </w:rPr>
        <w:t>cómo</w:t>
      </w:r>
      <w:r>
        <w:rPr>
          <w:color w:val="231F20"/>
          <w:spacing w:val="-18"/>
          <w:w w:val="105"/>
        </w:rPr>
        <w:t> </w:t>
      </w:r>
      <w:r>
        <w:rPr>
          <w:color w:val="231F20"/>
          <w:w w:val="105"/>
        </w:rPr>
        <w:t>se</w:t>
      </w:r>
      <w:r>
        <w:rPr>
          <w:color w:val="231F20"/>
          <w:spacing w:val="-18"/>
          <w:w w:val="105"/>
        </w:rPr>
        <w:t> </w:t>
      </w:r>
      <w:r>
        <w:rPr>
          <w:color w:val="231F20"/>
          <w:w w:val="105"/>
        </w:rPr>
        <w:t>crean</w:t>
      </w:r>
      <w:r>
        <w:rPr>
          <w:color w:val="231F20"/>
          <w:spacing w:val="-18"/>
          <w:w w:val="105"/>
        </w:rPr>
        <w:t> </w:t>
      </w:r>
      <w:r>
        <w:rPr>
          <w:color w:val="231F20"/>
          <w:w w:val="105"/>
        </w:rPr>
        <w:t>desde</w:t>
      </w:r>
      <w:r>
        <w:rPr>
          <w:color w:val="231F20"/>
          <w:spacing w:val="-18"/>
          <w:w w:val="105"/>
        </w:rPr>
        <w:t> </w:t>
      </w:r>
      <w:r>
        <w:rPr>
          <w:color w:val="231F20"/>
          <w:w w:val="105"/>
        </w:rPr>
        <w:t>abajo</w:t>
      </w:r>
      <w:r>
        <w:rPr>
          <w:color w:val="231F20"/>
          <w:spacing w:val="-18"/>
          <w:w w:val="105"/>
        </w:rPr>
        <w:t> </w:t>
      </w:r>
      <w:r>
        <w:rPr>
          <w:color w:val="231F20"/>
          <w:w w:val="105"/>
        </w:rPr>
        <w:t>espacios</w:t>
      </w:r>
      <w:r>
        <w:rPr>
          <w:color w:val="231F20"/>
          <w:spacing w:val="-18"/>
          <w:w w:val="105"/>
        </w:rPr>
        <w:t> </w:t>
      </w:r>
      <w:r>
        <w:rPr>
          <w:color w:val="231F20"/>
          <w:w w:val="105"/>
        </w:rPr>
        <w:t>sociales</w:t>
      </w:r>
      <w:r>
        <w:rPr>
          <w:color w:val="231F20"/>
          <w:spacing w:val="-18"/>
          <w:w w:val="105"/>
        </w:rPr>
        <w:t> </w:t>
      </w:r>
      <w:r>
        <w:rPr>
          <w:color w:val="231F20"/>
          <w:w w:val="105"/>
        </w:rPr>
        <w:t>a</w:t>
      </w:r>
      <w:r>
        <w:rPr>
          <w:color w:val="231F20"/>
          <w:spacing w:val="-18"/>
          <w:w w:val="105"/>
        </w:rPr>
        <w:t> </w:t>
      </w:r>
      <w:r>
        <w:rPr>
          <w:color w:val="231F20"/>
          <w:w w:val="105"/>
        </w:rPr>
        <w:t>través</w:t>
      </w:r>
      <w:r>
        <w:rPr>
          <w:color w:val="231F20"/>
          <w:spacing w:val="-18"/>
          <w:w w:val="105"/>
        </w:rPr>
        <w:t> </w:t>
      </w:r>
      <w:r>
        <w:rPr>
          <w:color w:val="231F20"/>
          <w:w w:val="105"/>
        </w:rPr>
        <w:t>de fronteras, y cómo gracias a éstos cobra sentido </w:t>
      </w:r>
      <w:r>
        <w:rPr>
          <w:color w:val="231F20"/>
          <w:spacing w:val="-4"/>
          <w:w w:val="105"/>
        </w:rPr>
        <w:t>ir, </w:t>
      </w:r>
      <w:r>
        <w:rPr>
          <w:color w:val="231F20"/>
          <w:spacing w:val="-3"/>
          <w:w w:val="105"/>
        </w:rPr>
        <w:t>regresar, </w:t>
      </w:r>
      <w:r>
        <w:rPr>
          <w:color w:val="231F20"/>
          <w:w w:val="105"/>
        </w:rPr>
        <w:t>lo nuevo,</w:t>
      </w:r>
      <w:r>
        <w:rPr>
          <w:color w:val="231F20"/>
          <w:spacing w:val="-27"/>
          <w:w w:val="105"/>
        </w:rPr>
        <w:t> </w:t>
      </w:r>
      <w:r>
        <w:rPr>
          <w:color w:val="231F20"/>
          <w:w w:val="105"/>
        </w:rPr>
        <w:t>lo otro,</w:t>
      </w:r>
      <w:r>
        <w:rPr>
          <w:color w:val="231F20"/>
          <w:spacing w:val="-21"/>
          <w:w w:val="105"/>
        </w:rPr>
        <w:t> </w:t>
      </w:r>
      <w:r>
        <w:rPr>
          <w:color w:val="231F20"/>
          <w:w w:val="105"/>
        </w:rPr>
        <w:t>los</w:t>
      </w:r>
      <w:r>
        <w:rPr>
          <w:color w:val="231F20"/>
          <w:spacing w:val="-17"/>
          <w:w w:val="105"/>
        </w:rPr>
        <w:t> </w:t>
      </w:r>
      <w:r>
        <w:rPr>
          <w:color w:val="231F20"/>
          <w:w w:val="105"/>
        </w:rPr>
        <w:t>trayectos,</w:t>
      </w:r>
      <w:r>
        <w:rPr>
          <w:color w:val="231F20"/>
          <w:spacing w:val="-21"/>
          <w:w w:val="105"/>
        </w:rPr>
        <w:t> </w:t>
      </w:r>
      <w:r>
        <w:rPr>
          <w:color w:val="231F20"/>
          <w:w w:val="105"/>
        </w:rPr>
        <w:t>los</w:t>
      </w:r>
      <w:r>
        <w:rPr>
          <w:color w:val="231F20"/>
          <w:spacing w:val="-17"/>
          <w:w w:val="105"/>
        </w:rPr>
        <w:t> </w:t>
      </w:r>
      <w:r>
        <w:rPr>
          <w:color w:val="231F20"/>
          <w:w w:val="105"/>
        </w:rPr>
        <w:t>cambios,</w:t>
      </w:r>
      <w:r>
        <w:rPr>
          <w:color w:val="231F20"/>
          <w:spacing w:val="-21"/>
          <w:w w:val="105"/>
        </w:rPr>
        <w:t> </w:t>
      </w:r>
      <w:r>
        <w:rPr>
          <w:color w:val="231F20"/>
          <w:w w:val="105"/>
        </w:rPr>
        <w:t>las</w:t>
      </w:r>
      <w:r>
        <w:rPr>
          <w:color w:val="231F20"/>
          <w:spacing w:val="-17"/>
          <w:w w:val="105"/>
        </w:rPr>
        <w:t> </w:t>
      </w:r>
      <w:r>
        <w:rPr>
          <w:color w:val="231F20"/>
          <w:w w:val="105"/>
        </w:rPr>
        <w:t>diferencias,</w:t>
      </w:r>
      <w:r>
        <w:rPr>
          <w:color w:val="231F20"/>
          <w:spacing w:val="-21"/>
          <w:w w:val="105"/>
        </w:rPr>
        <w:t> </w:t>
      </w:r>
      <w:r>
        <w:rPr>
          <w:color w:val="231F20"/>
          <w:w w:val="105"/>
        </w:rPr>
        <w:t>los</w:t>
      </w:r>
      <w:r>
        <w:rPr>
          <w:color w:val="231F20"/>
          <w:spacing w:val="-17"/>
          <w:w w:val="105"/>
        </w:rPr>
        <w:t> </w:t>
      </w:r>
      <w:r>
        <w:rPr>
          <w:color w:val="231F20"/>
          <w:w w:val="105"/>
        </w:rPr>
        <w:t>orígenes,</w:t>
      </w:r>
      <w:r>
        <w:rPr>
          <w:color w:val="231F20"/>
          <w:spacing w:val="-21"/>
          <w:w w:val="105"/>
        </w:rPr>
        <w:t> </w:t>
      </w:r>
      <w:r>
        <w:rPr>
          <w:color w:val="231F20"/>
          <w:w w:val="105"/>
        </w:rPr>
        <w:t>las</w:t>
      </w:r>
      <w:r>
        <w:rPr>
          <w:color w:val="231F20"/>
          <w:spacing w:val="-17"/>
          <w:w w:val="105"/>
        </w:rPr>
        <w:t> </w:t>
      </w:r>
      <w:r>
        <w:rPr>
          <w:color w:val="231F20"/>
          <w:w w:val="105"/>
        </w:rPr>
        <w:t>descen- </w:t>
      </w:r>
      <w:r>
        <w:rPr>
          <w:color w:val="231F20"/>
        </w:rPr>
        <w:t>dencias,</w:t>
      </w:r>
      <w:r>
        <w:rPr>
          <w:color w:val="231F20"/>
          <w:spacing w:val="-19"/>
        </w:rPr>
        <w:t> </w:t>
      </w:r>
      <w:r>
        <w:rPr>
          <w:color w:val="231F20"/>
        </w:rPr>
        <w:t>las</w:t>
      </w:r>
      <w:r>
        <w:rPr>
          <w:color w:val="231F20"/>
          <w:spacing w:val="-12"/>
        </w:rPr>
        <w:t> </w:t>
      </w:r>
      <w:r>
        <w:rPr>
          <w:color w:val="231F20"/>
        </w:rPr>
        <w:t>lenguas,</w:t>
      </w:r>
      <w:r>
        <w:rPr>
          <w:color w:val="231F20"/>
          <w:spacing w:val="-19"/>
        </w:rPr>
        <w:t> </w:t>
      </w:r>
      <w:r>
        <w:rPr>
          <w:color w:val="231F20"/>
        </w:rPr>
        <w:t>las</w:t>
      </w:r>
      <w:r>
        <w:rPr>
          <w:color w:val="231F20"/>
          <w:spacing w:val="-12"/>
        </w:rPr>
        <w:t> </w:t>
      </w:r>
      <w:r>
        <w:rPr>
          <w:color w:val="231F20"/>
        </w:rPr>
        <w:t>culturas,</w:t>
      </w:r>
      <w:r>
        <w:rPr>
          <w:color w:val="231F20"/>
          <w:spacing w:val="-19"/>
        </w:rPr>
        <w:t> </w:t>
      </w:r>
      <w:r>
        <w:rPr>
          <w:color w:val="231F20"/>
        </w:rPr>
        <w:t>las</w:t>
      </w:r>
      <w:r>
        <w:rPr>
          <w:color w:val="231F20"/>
          <w:spacing w:val="-12"/>
        </w:rPr>
        <w:t> </w:t>
      </w:r>
      <w:r>
        <w:rPr>
          <w:color w:val="231F20"/>
        </w:rPr>
        <w:t>ausencias,</w:t>
      </w:r>
      <w:r>
        <w:rPr>
          <w:color w:val="231F20"/>
          <w:spacing w:val="-19"/>
        </w:rPr>
        <w:t> </w:t>
      </w:r>
      <w:r>
        <w:rPr>
          <w:color w:val="231F20"/>
        </w:rPr>
        <w:t>las</w:t>
      </w:r>
      <w:r>
        <w:rPr>
          <w:color w:val="231F20"/>
          <w:spacing w:val="-12"/>
        </w:rPr>
        <w:t> </w:t>
      </w:r>
      <w:r>
        <w:rPr>
          <w:color w:val="231F20"/>
        </w:rPr>
        <w:t>rupturas,</w:t>
      </w:r>
      <w:r>
        <w:rPr>
          <w:color w:val="231F20"/>
          <w:spacing w:val="-19"/>
        </w:rPr>
        <w:t> </w:t>
      </w:r>
      <w:r>
        <w:rPr>
          <w:color w:val="231F20"/>
        </w:rPr>
        <w:t>los</w:t>
      </w:r>
      <w:r>
        <w:rPr>
          <w:color w:val="231F20"/>
          <w:spacing w:val="-12"/>
        </w:rPr>
        <w:t> </w:t>
      </w:r>
      <w:r>
        <w:rPr>
          <w:color w:val="231F20"/>
        </w:rPr>
        <w:t>reencuen- </w:t>
      </w:r>
      <w:r>
        <w:rPr>
          <w:color w:val="231F20"/>
          <w:w w:val="105"/>
        </w:rPr>
        <w:t>tros,</w:t>
      </w:r>
      <w:r>
        <w:rPr>
          <w:color w:val="231F20"/>
          <w:spacing w:val="-12"/>
          <w:w w:val="105"/>
        </w:rPr>
        <w:t> </w:t>
      </w:r>
      <w:r>
        <w:rPr>
          <w:color w:val="231F20"/>
          <w:w w:val="105"/>
        </w:rPr>
        <w:t>los</w:t>
      </w:r>
      <w:r>
        <w:rPr>
          <w:color w:val="231F20"/>
          <w:spacing w:val="-8"/>
          <w:w w:val="105"/>
        </w:rPr>
        <w:t> </w:t>
      </w:r>
      <w:r>
        <w:rPr>
          <w:color w:val="231F20"/>
          <w:w w:val="105"/>
        </w:rPr>
        <w:t>vacíos,</w:t>
      </w:r>
      <w:r>
        <w:rPr>
          <w:color w:val="231F20"/>
          <w:spacing w:val="-12"/>
          <w:w w:val="105"/>
        </w:rPr>
        <w:t> </w:t>
      </w:r>
      <w:r>
        <w:rPr>
          <w:color w:val="231F20"/>
          <w:w w:val="105"/>
        </w:rPr>
        <w:t>los</w:t>
      </w:r>
      <w:r>
        <w:rPr>
          <w:color w:val="231F20"/>
          <w:spacing w:val="-8"/>
          <w:w w:val="105"/>
        </w:rPr>
        <w:t> </w:t>
      </w:r>
      <w:r>
        <w:rPr>
          <w:color w:val="231F20"/>
          <w:w w:val="105"/>
        </w:rPr>
        <w:t>terruños,</w:t>
      </w:r>
      <w:r>
        <w:rPr>
          <w:color w:val="231F20"/>
          <w:spacing w:val="-12"/>
          <w:w w:val="105"/>
        </w:rPr>
        <w:t> </w:t>
      </w:r>
      <w:r>
        <w:rPr>
          <w:color w:val="231F20"/>
          <w:w w:val="105"/>
        </w:rPr>
        <w:t>las</w:t>
      </w:r>
      <w:r>
        <w:rPr>
          <w:color w:val="231F20"/>
          <w:spacing w:val="-8"/>
          <w:w w:val="105"/>
        </w:rPr>
        <w:t> </w:t>
      </w:r>
      <w:r>
        <w:rPr>
          <w:color w:val="231F20"/>
          <w:w w:val="105"/>
        </w:rPr>
        <w:t>pérdidas,</w:t>
      </w:r>
      <w:r>
        <w:rPr>
          <w:color w:val="231F20"/>
          <w:spacing w:val="-12"/>
          <w:w w:val="105"/>
        </w:rPr>
        <w:t> </w:t>
      </w:r>
      <w:r>
        <w:rPr>
          <w:color w:val="231F20"/>
          <w:w w:val="105"/>
        </w:rPr>
        <w:t>los</w:t>
      </w:r>
      <w:r>
        <w:rPr>
          <w:color w:val="231F20"/>
          <w:spacing w:val="-8"/>
          <w:w w:val="105"/>
        </w:rPr>
        <w:t> </w:t>
      </w:r>
      <w:r>
        <w:rPr>
          <w:color w:val="231F20"/>
          <w:w w:val="105"/>
        </w:rPr>
        <w:t>extravíos,</w:t>
      </w:r>
      <w:r>
        <w:rPr>
          <w:color w:val="231F20"/>
          <w:spacing w:val="-12"/>
          <w:w w:val="105"/>
        </w:rPr>
        <w:t> </w:t>
      </w:r>
      <w:r>
        <w:rPr>
          <w:color w:val="231F20"/>
          <w:w w:val="105"/>
        </w:rPr>
        <w:t>los</w:t>
      </w:r>
      <w:r>
        <w:rPr>
          <w:color w:val="231F20"/>
          <w:spacing w:val="-8"/>
          <w:w w:val="105"/>
        </w:rPr>
        <w:t> </w:t>
      </w:r>
      <w:r>
        <w:rPr>
          <w:color w:val="231F20"/>
          <w:w w:val="105"/>
        </w:rPr>
        <w:t>desenlaces. Como</w:t>
      </w:r>
      <w:r>
        <w:rPr>
          <w:color w:val="231F20"/>
          <w:spacing w:val="-20"/>
          <w:w w:val="105"/>
        </w:rPr>
        <w:t> </w:t>
      </w:r>
      <w:r>
        <w:rPr>
          <w:color w:val="231F20"/>
          <w:w w:val="105"/>
        </w:rPr>
        <w:t>escribe</w:t>
      </w:r>
      <w:r>
        <w:rPr>
          <w:color w:val="231F20"/>
          <w:spacing w:val="-21"/>
          <w:w w:val="105"/>
        </w:rPr>
        <w:t> </w:t>
      </w:r>
      <w:r>
        <w:rPr>
          <w:color w:val="231F20"/>
          <w:w w:val="105"/>
        </w:rPr>
        <w:t>Wilfredo</w:t>
      </w:r>
      <w:r>
        <w:rPr>
          <w:color w:val="231F20"/>
          <w:spacing w:val="-20"/>
          <w:w w:val="105"/>
        </w:rPr>
        <w:t> </w:t>
      </w:r>
      <w:r>
        <w:rPr>
          <w:color w:val="231F20"/>
          <w:w w:val="105"/>
        </w:rPr>
        <w:t>Lozano,</w:t>
      </w:r>
      <w:r>
        <w:rPr>
          <w:color w:val="231F20"/>
          <w:spacing w:val="-24"/>
          <w:w w:val="105"/>
        </w:rPr>
        <w:t> </w:t>
      </w:r>
      <w:r>
        <w:rPr>
          <w:color w:val="231F20"/>
          <w:w w:val="105"/>
        </w:rPr>
        <w:t>son</w:t>
      </w:r>
      <w:r>
        <w:rPr>
          <w:color w:val="231F20"/>
          <w:spacing w:val="-20"/>
          <w:w w:val="105"/>
        </w:rPr>
        <w:t> </w:t>
      </w:r>
      <w:r>
        <w:rPr>
          <w:color w:val="231F20"/>
          <w:w w:val="105"/>
        </w:rPr>
        <w:t>los</w:t>
      </w:r>
      <w:r>
        <w:rPr>
          <w:color w:val="231F20"/>
          <w:spacing w:val="-20"/>
          <w:w w:val="105"/>
        </w:rPr>
        <w:t> </w:t>
      </w:r>
      <w:r>
        <w:rPr>
          <w:color w:val="231F20"/>
          <w:w w:val="105"/>
        </w:rPr>
        <w:t>migrantes:</w:t>
      </w:r>
    </w:p>
    <w:p>
      <w:pPr>
        <w:pStyle w:val="BodyText"/>
        <w:rPr>
          <w:sz w:val="20"/>
        </w:rPr>
      </w:pPr>
    </w:p>
    <w:p>
      <w:pPr>
        <w:pStyle w:val="BodyText"/>
        <w:spacing w:before="7"/>
      </w:pPr>
    </w:p>
    <w:p>
      <w:pPr>
        <w:spacing w:line="254" w:lineRule="auto" w:before="0"/>
        <w:ind w:left="2971" w:right="1716" w:firstLine="0"/>
        <w:jc w:val="both"/>
        <w:rPr>
          <w:sz w:val="18"/>
        </w:rPr>
      </w:pPr>
      <w:r>
        <w:rPr>
          <w:color w:val="231F20"/>
          <w:w w:val="105"/>
          <w:sz w:val="18"/>
        </w:rPr>
        <w:t>los de abajo, protagonistas del proceso globalizador, que sin embar- go</w:t>
      </w:r>
      <w:r>
        <w:rPr>
          <w:color w:val="231F20"/>
          <w:spacing w:val="-4"/>
          <w:w w:val="105"/>
          <w:sz w:val="18"/>
        </w:rPr>
        <w:t> </w:t>
      </w:r>
      <w:r>
        <w:rPr>
          <w:color w:val="231F20"/>
          <w:w w:val="105"/>
          <w:sz w:val="18"/>
        </w:rPr>
        <w:t>no</w:t>
      </w:r>
      <w:r>
        <w:rPr>
          <w:color w:val="231F20"/>
          <w:spacing w:val="-4"/>
          <w:w w:val="105"/>
          <w:sz w:val="18"/>
        </w:rPr>
        <w:t> </w:t>
      </w:r>
      <w:r>
        <w:rPr>
          <w:color w:val="231F20"/>
          <w:w w:val="105"/>
          <w:sz w:val="18"/>
        </w:rPr>
        <w:t>poseen</w:t>
      </w:r>
      <w:r>
        <w:rPr>
          <w:color w:val="231F20"/>
          <w:spacing w:val="-4"/>
          <w:w w:val="105"/>
          <w:sz w:val="18"/>
        </w:rPr>
        <w:t> </w:t>
      </w:r>
      <w:r>
        <w:rPr>
          <w:color w:val="231F20"/>
          <w:w w:val="105"/>
          <w:sz w:val="18"/>
        </w:rPr>
        <w:t>un</w:t>
      </w:r>
      <w:r>
        <w:rPr>
          <w:color w:val="231F20"/>
          <w:spacing w:val="-4"/>
          <w:w w:val="105"/>
          <w:sz w:val="18"/>
        </w:rPr>
        <w:t> </w:t>
      </w:r>
      <w:r>
        <w:rPr>
          <w:color w:val="231F20"/>
          <w:w w:val="105"/>
          <w:sz w:val="18"/>
        </w:rPr>
        <w:t>poder</w:t>
      </w:r>
      <w:r>
        <w:rPr>
          <w:color w:val="231F20"/>
          <w:spacing w:val="-4"/>
          <w:w w:val="105"/>
          <w:sz w:val="18"/>
        </w:rPr>
        <w:t> </w:t>
      </w:r>
      <w:r>
        <w:rPr>
          <w:color w:val="231F20"/>
          <w:w w:val="105"/>
          <w:sz w:val="18"/>
        </w:rPr>
        <w:t>correlativo</w:t>
      </w:r>
      <w:r>
        <w:rPr>
          <w:color w:val="231F20"/>
          <w:spacing w:val="-4"/>
          <w:w w:val="105"/>
          <w:sz w:val="18"/>
        </w:rPr>
        <w:t> </w:t>
      </w:r>
      <w:r>
        <w:rPr>
          <w:color w:val="231F20"/>
          <w:w w:val="105"/>
          <w:sz w:val="18"/>
        </w:rPr>
        <w:t>a</w:t>
      </w:r>
      <w:r>
        <w:rPr>
          <w:color w:val="231F20"/>
          <w:spacing w:val="-4"/>
          <w:w w:val="105"/>
          <w:sz w:val="18"/>
        </w:rPr>
        <w:t> </w:t>
      </w:r>
      <w:r>
        <w:rPr>
          <w:color w:val="231F20"/>
          <w:w w:val="105"/>
          <w:sz w:val="18"/>
        </w:rPr>
        <w:t>la</w:t>
      </w:r>
      <w:r>
        <w:rPr>
          <w:color w:val="231F20"/>
          <w:spacing w:val="-4"/>
          <w:w w:val="105"/>
          <w:sz w:val="18"/>
        </w:rPr>
        <w:t> </w:t>
      </w:r>
      <w:r>
        <w:rPr>
          <w:color w:val="231F20"/>
          <w:w w:val="105"/>
          <w:sz w:val="18"/>
        </w:rPr>
        <w:t>importancia</w:t>
      </w:r>
      <w:r>
        <w:rPr>
          <w:color w:val="231F20"/>
          <w:spacing w:val="-4"/>
          <w:w w:val="105"/>
          <w:sz w:val="18"/>
        </w:rPr>
        <w:t> </w:t>
      </w:r>
      <w:r>
        <w:rPr>
          <w:color w:val="231F20"/>
          <w:w w:val="105"/>
          <w:sz w:val="18"/>
        </w:rPr>
        <w:t>y</w:t>
      </w:r>
      <w:r>
        <w:rPr>
          <w:color w:val="231F20"/>
          <w:spacing w:val="-4"/>
          <w:w w:val="105"/>
          <w:sz w:val="18"/>
        </w:rPr>
        <w:t> </w:t>
      </w:r>
      <w:r>
        <w:rPr>
          <w:color w:val="231F20"/>
          <w:w w:val="105"/>
          <w:sz w:val="18"/>
        </w:rPr>
        <w:t>dimensión</w:t>
      </w:r>
      <w:r>
        <w:rPr>
          <w:color w:val="231F20"/>
          <w:spacing w:val="-4"/>
          <w:w w:val="105"/>
          <w:sz w:val="18"/>
        </w:rPr>
        <w:t> </w:t>
      </w:r>
      <w:r>
        <w:rPr>
          <w:color w:val="231F20"/>
          <w:w w:val="105"/>
          <w:sz w:val="18"/>
        </w:rPr>
        <w:t>de</w:t>
      </w:r>
      <w:r>
        <w:rPr>
          <w:color w:val="231F20"/>
          <w:spacing w:val="-4"/>
          <w:w w:val="105"/>
          <w:sz w:val="18"/>
        </w:rPr>
        <w:t> </w:t>
      </w:r>
      <w:r>
        <w:rPr>
          <w:color w:val="231F20"/>
          <w:w w:val="105"/>
          <w:sz w:val="18"/>
        </w:rPr>
        <w:t>su campo de accionar colectivo </w:t>
      </w:r>
      <w:r>
        <w:rPr>
          <w:color w:val="231F20"/>
          <w:w w:val="115"/>
          <w:sz w:val="18"/>
        </w:rPr>
        <w:t>[…] </w:t>
      </w:r>
      <w:r>
        <w:rPr>
          <w:color w:val="231F20"/>
          <w:w w:val="105"/>
          <w:sz w:val="18"/>
        </w:rPr>
        <w:t>hablamos de los migrantes interna- cionales,</w:t>
      </w:r>
      <w:r>
        <w:rPr>
          <w:color w:val="231F20"/>
          <w:spacing w:val="-15"/>
          <w:w w:val="105"/>
          <w:sz w:val="18"/>
        </w:rPr>
        <w:t> </w:t>
      </w:r>
      <w:r>
        <w:rPr>
          <w:color w:val="231F20"/>
          <w:w w:val="105"/>
          <w:sz w:val="18"/>
        </w:rPr>
        <w:t>pero</w:t>
      </w:r>
      <w:r>
        <w:rPr>
          <w:color w:val="231F20"/>
          <w:spacing w:val="-10"/>
          <w:w w:val="105"/>
          <w:sz w:val="18"/>
        </w:rPr>
        <w:t> </w:t>
      </w:r>
      <w:r>
        <w:rPr>
          <w:color w:val="231F20"/>
          <w:w w:val="105"/>
          <w:sz w:val="18"/>
        </w:rPr>
        <w:t>no</w:t>
      </w:r>
      <w:r>
        <w:rPr>
          <w:color w:val="231F20"/>
          <w:spacing w:val="-10"/>
          <w:w w:val="105"/>
          <w:sz w:val="18"/>
        </w:rPr>
        <w:t> </w:t>
      </w:r>
      <w:r>
        <w:rPr>
          <w:color w:val="231F20"/>
          <w:w w:val="105"/>
          <w:sz w:val="18"/>
        </w:rPr>
        <w:t>vistos</w:t>
      </w:r>
      <w:r>
        <w:rPr>
          <w:color w:val="231F20"/>
          <w:spacing w:val="-10"/>
          <w:w w:val="105"/>
          <w:sz w:val="18"/>
        </w:rPr>
        <w:t> </w:t>
      </w:r>
      <w:r>
        <w:rPr>
          <w:color w:val="231F20"/>
          <w:w w:val="105"/>
          <w:sz w:val="18"/>
        </w:rPr>
        <w:t>como</w:t>
      </w:r>
      <w:r>
        <w:rPr>
          <w:color w:val="231F20"/>
          <w:spacing w:val="-10"/>
          <w:w w:val="105"/>
          <w:sz w:val="18"/>
        </w:rPr>
        <w:t> </w:t>
      </w:r>
      <w:r>
        <w:rPr>
          <w:color w:val="231F20"/>
          <w:w w:val="105"/>
          <w:sz w:val="18"/>
        </w:rPr>
        <w:t>simples</w:t>
      </w:r>
      <w:r>
        <w:rPr>
          <w:color w:val="231F20"/>
          <w:spacing w:val="-10"/>
          <w:w w:val="105"/>
          <w:sz w:val="18"/>
        </w:rPr>
        <w:t> </w:t>
      </w:r>
      <w:r>
        <w:rPr>
          <w:color w:val="231F20"/>
          <w:w w:val="105"/>
          <w:sz w:val="18"/>
        </w:rPr>
        <w:t>agentes</w:t>
      </w:r>
      <w:r>
        <w:rPr>
          <w:color w:val="231F20"/>
          <w:spacing w:val="-10"/>
          <w:w w:val="105"/>
          <w:sz w:val="18"/>
        </w:rPr>
        <w:t> </w:t>
      </w:r>
      <w:r>
        <w:rPr>
          <w:color w:val="231F20"/>
          <w:w w:val="105"/>
          <w:sz w:val="18"/>
        </w:rPr>
        <w:t>del</w:t>
      </w:r>
      <w:r>
        <w:rPr>
          <w:color w:val="231F20"/>
          <w:spacing w:val="-10"/>
          <w:w w:val="105"/>
          <w:sz w:val="18"/>
        </w:rPr>
        <w:t> </w:t>
      </w:r>
      <w:r>
        <w:rPr>
          <w:color w:val="231F20"/>
          <w:w w:val="105"/>
          <w:sz w:val="18"/>
        </w:rPr>
        <w:t>proceso</w:t>
      </w:r>
      <w:r>
        <w:rPr>
          <w:color w:val="231F20"/>
          <w:spacing w:val="-10"/>
          <w:w w:val="105"/>
          <w:sz w:val="18"/>
        </w:rPr>
        <w:t> </w:t>
      </w:r>
      <w:r>
        <w:rPr>
          <w:color w:val="231F20"/>
          <w:w w:val="105"/>
          <w:sz w:val="18"/>
        </w:rPr>
        <w:t>migratorio, sino como protagonistas de verdaderas comunidades construidas en los</w:t>
      </w:r>
      <w:r>
        <w:rPr>
          <w:color w:val="231F20"/>
          <w:spacing w:val="-6"/>
          <w:w w:val="105"/>
          <w:sz w:val="18"/>
        </w:rPr>
        <w:t> </w:t>
      </w:r>
      <w:r>
        <w:rPr>
          <w:color w:val="231F20"/>
          <w:w w:val="105"/>
          <w:sz w:val="18"/>
        </w:rPr>
        <w:t>intersticios</w:t>
      </w:r>
      <w:r>
        <w:rPr>
          <w:color w:val="231F20"/>
          <w:spacing w:val="-6"/>
          <w:w w:val="105"/>
          <w:sz w:val="18"/>
        </w:rPr>
        <w:t> </w:t>
      </w:r>
      <w:r>
        <w:rPr>
          <w:color w:val="231F20"/>
          <w:w w:val="105"/>
          <w:sz w:val="18"/>
        </w:rPr>
        <w:t>de</w:t>
      </w:r>
      <w:r>
        <w:rPr>
          <w:color w:val="231F20"/>
          <w:spacing w:val="-6"/>
          <w:w w:val="105"/>
          <w:sz w:val="18"/>
        </w:rPr>
        <w:t> </w:t>
      </w:r>
      <w:r>
        <w:rPr>
          <w:color w:val="231F20"/>
          <w:w w:val="105"/>
          <w:sz w:val="18"/>
        </w:rPr>
        <w:t>los</w:t>
      </w:r>
      <w:r>
        <w:rPr>
          <w:color w:val="231F20"/>
          <w:spacing w:val="-6"/>
          <w:w w:val="105"/>
          <w:sz w:val="18"/>
        </w:rPr>
        <w:t> </w:t>
      </w:r>
      <w:r>
        <w:rPr>
          <w:color w:val="231F20"/>
          <w:w w:val="105"/>
          <w:sz w:val="18"/>
        </w:rPr>
        <w:t>estados</w:t>
      </w:r>
      <w:r>
        <w:rPr>
          <w:color w:val="231F20"/>
          <w:spacing w:val="-6"/>
          <w:w w:val="105"/>
          <w:sz w:val="18"/>
        </w:rPr>
        <w:t> </w:t>
      </w:r>
      <w:r>
        <w:rPr>
          <w:color w:val="231F20"/>
          <w:w w:val="105"/>
          <w:sz w:val="18"/>
        </w:rPr>
        <w:t>de</w:t>
      </w:r>
      <w:r>
        <w:rPr>
          <w:color w:val="231F20"/>
          <w:spacing w:val="-6"/>
          <w:w w:val="105"/>
          <w:sz w:val="18"/>
        </w:rPr>
        <w:t> </w:t>
      </w:r>
      <w:r>
        <w:rPr>
          <w:color w:val="231F20"/>
          <w:w w:val="105"/>
          <w:sz w:val="18"/>
        </w:rPr>
        <w:t>donde</w:t>
      </w:r>
      <w:r>
        <w:rPr>
          <w:color w:val="231F20"/>
          <w:spacing w:val="-6"/>
          <w:w w:val="105"/>
          <w:sz w:val="18"/>
        </w:rPr>
        <w:t> </w:t>
      </w:r>
      <w:r>
        <w:rPr>
          <w:color w:val="231F20"/>
          <w:w w:val="105"/>
          <w:sz w:val="18"/>
        </w:rPr>
        <w:t>proceden</w:t>
      </w:r>
      <w:r>
        <w:rPr>
          <w:color w:val="231F20"/>
          <w:spacing w:val="-6"/>
          <w:w w:val="105"/>
          <w:sz w:val="18"/>
        </w:rPr>
        <w:t> </w:t>
      </w:r>
      <w:r>
        <w:rPr>
          <w:color w:val="231F20"/>
          <w:w w:val="105"/>
          <w:sz w:val="18"/>
        </w:rPr>
        <w:t>y</w:t>
      </w:r>
      <w:r>
        <w:rPr>
          <w:color w:val="231F20"/>
          <w:spacing w:val="-6"/>
          <w:w w:val="105"/>
          <w:sz w:val="18"/>
        </w:rPr>
        <w:t> </w:t>
      </w:r>
      <w:r>
        <w:rPr>
          <w:color w:val="231F20"/>
          <w:w w:val="105"/>
          <w:sz w:val="18"/>
        </w:rPr>
        <w:t>de</w:t>
      </w:r>
      <w:r>
        <w:rPr>
          <w:color w:val="231F20"/>
          <w:spacing w:val="-6"/>
          <w:w w:val="105"/>
          <w:sz w:val="18"/>
        </w:rPr>
        <w:t> </w:t>
      </w:r>
      <w:r>
        <w:rPr>
          <w:color w:val="231F20"/>
          <w:w w:val="105"/>
          <w:sz w:val="18"/>
        </w:rPr>
        <w:t>los</w:t>
      </w:r>
      <w:r>
        <w:rPr>
          <w:color w:val="231F20"/>
          <w:spacing w:val="-6"/>
          <w:w w:val="105"/>
          <w:sz w:val="18"/>
        </w:rPr>
        <w:t> </w:t>
      </w:r>
      <w:r>
        <w:rPr>
          <w:color w:val="231F20"/>
          <w:w w:val="105"/>
          <w:sz w:val="18"/>
        </w:rPr>
        <w:t>que</w:t>
      </w:r>
      <w:r>
        <w:rPr>
          <w:color w:val="231F20"/>
          <w:spacing w:val="-6"/>
          <w:w w:val="105"/>
          <w:sz w:val="18"/>
        </w:rPr>
        <w:t> </w:t>
      </w:r>
      <w:r>
        <w:rPr>
          <w:color w:val="231F20"/>
          <w:w w:val="105"/>
          <w:sz w:val="18"/>
        </w:rPr>
        <w:t>los</w:t>
      </w:r>
      <w:r>
        <w:rPr>
          <w:color w:val="231F20"/>
          <w:spacing w:val="-6"/>
          <w:w w:val="105"/>
          <w:sz w:val="18"/>
        </w:rPr>
        <w:t> </w:t>
      </w:r>
      <w:r>
        <w:rPr>
          <w:color w:val="231F20"/>
          <w:w w:val="105"/>
          <w:sz w:val="18"/>
        </w:rPr>
        <w:t>alo- jan</w:t>
      </w:r>
      <w:r>
        <w:rPr>
          <w:color w:val="231F20"/>
          <w:spacing w:val="-33"/>
          <w:w w:val="105"/>
          <w:sz w:val="18"/>
        </w:rPr>
        <w:t> </w:t>
      </w:r>
      <w:r>
        <w:rPr>
          <w:color w:val="231F20"/>
          <w:w w:val="105"/>
          <w:sz w:val="18"/>
        </w:rPr>
        <w:t>(Portes,</w:t>
      </w:r>
      <w:r>
        <w:rPr>
          <w:color w:val="231F20"/>
          <w:spacing w:val="-35"/>
          <w:w w:val="105"/>
          <w:sz w:val="18"/>
        </w:rPr>
        <w:t> </w:t>
      </w:r>
      <w:r>
        <w:rPr>
          <w:color w:val="231F20"/>
          <w:w w:val="105"/>
          <w:sz w:val="18"/>
        </w:rPr>
        <w:t>Guarniz,</w:t>
      </w:r>
      <w:r>
        <w:rPr>
          <w:color w:val="231F20"/>
          <w:spacing w:val="-35"/>
          <w:w w:val="105"/>
          <w:sz w:val="18"/>
        </w:rPr>
        <w:t> </w:t>
      </w:r>
      <w:r>
        <w:rPr>
          <w:color w:val="231F20"/>
          <w:w w:val="105"/>
          <w:sz w:val="18"/>
        </w:rPr>
        <w:t>Landlot,</w:t>
      </w:r>
      <w:r>
        <w:rPr>
          <w:color w:val="231F20"/>
          <w:spacing w:val="-35"/>
          <w:w w:val="105"/>
          <w:sz w:val="18"/>
        </w:rPr>
        <w:t> </w:t>
      </w:r>
      <w:r>
        <w:rPr>
          <w:color w:val="231F20"/>
          <w:w w:val="105"/>
          <w:sz w:val="18"/>
        </w:rPr>
        <w:t>2003:</w:t>
      </w:r>
      <w:r>
        <w:rPr>
          <w:color w:val="231F20"/>
          <w:spacing w:val="-33"/>
          <w:w w:val="105"/>
          <w:sz w:val="18"/>
        </w:rPr>
        <w:t> </w:t>
      </w:r>
      <w:r>
        <w:rPr>
          <w:color w:val="231F20"/>
          <w:w w:val="105"/>
          <w:sz w:val="18"/>
        </w:rPr>
        <w:t>7).</w:t>
      </w:r>
    </w:p>
    <w:p>
      <w:pPr>
        <w:pStyle w:val="BodyText"/>
        <w:spacing w:before="5"/>
      </w:pPr>
    </w:p>
    <w:p>
      <w:pPr>
        <w:pStyle w:val="BodyText"/>
        <w:spacing w:line="261" w:lineRule="auto"/>
        <w:ind w:left="1837" w:right="1716"/>
        <w:jc w:val="both"/>
      </w:pPr>
      <w:r>
        <w:rPr/>
        <w:pict>
          <v:line style="position:absolute;mso-position-horizontal-relative:page;mso-position-vertical-relative:paragraph;z-index:-444232" from="15pt,164.047195pt" to="0pt,164.047195pt" stroked="true" strokeweight=".25pt" strokecolor="#000000">
            <w10:wrap type="none"/>
          </v:line>
        </w:pict>
      </w:r>
      <w:r>
        <w:rPr/>
        <w:pict>
          <v:line style="position:absolute;mso-position-horizontal-relative:page;mso-position-vertical-relative:paragraph;z-index:45976" from="508.890015pt,164.047195pt" to="523.890015pt,164.047195pt" stroked="true" strokeweight=".25pt" strokecolor="#000000">
            <w10:wrap type="none"/>
          </v:line>
        </w:pict>
      </w:r>
      <w:r>
        <w:rPr>
          <w:color w:val="231F20"/>
        </w:rPr>
        <w:t>Hay que tener </w:t>
      </w:r>
      <w:r>
        <w:rPr>
          <w:color w:val="231F20"/>
          <w:spacing w:val="-3"/>
        </w:rPr>
        <w:t>presente </w:t>
      </w:r>
      <w:r>
        <w:rPr>
          <w:color w:val="231F20"/>
        </w:rPr>
        <w:t>que en el </w:t>
      </w:r>
      <w:r>
        <w:rPr>
          <w:color w:val="231F20"/>
          <w:spacing w:val="-3"/>
        </w:rPr>
        <w:t>relato </w:t>
      </w:r>
      <w:r>
        <w:rPr>
          <w:color w:val="231F20"/>
        </w:rPr>
        <w:t>destaca la singularidad, la origi- nalidad, la memoria y la lucidez, y que éstas no dependen de las forma- lidades investigativas, sino de la historia y las rupturas que vienen de lo </w:t>
      </w:r>
      <w:r>
        <w:rPr>
          <w:color w:val="231F20"/>
          <w:spacing w:val="-3"/>
        </w:rPr>
        <w:t>particular, </w:t>
      </w:r>
      <w:r>
        <w:rPr>
          <w:color w:val="231F20"/>
        </w:rPr>
        <w:t>de lo único y de lo finito, y que tienen un lugar en lo común, en lo colectivo y en lo socialmente trascendente. </w:t>
      </w:r>
      <w:r>
        <w:rPr>
          <w:color w:val="231F20"/>
          <w:spacing w:val="-3"/>
        </w:rPr>
        <w:t>Cabe recordar </w:t>
      </w:r>
      <w:r>
        <w:rPr>
          <w:color w:val="231F20"/>
        </w:rPr>
        <w:t>también </w:t>
      </w:r>
      <w:r>
        <w:rPr>
          <w:color w:val="231F20"/>
          <w:spacing w:val="-2"/>
        </w:rPr>
        <w:t>que </w:t>
      </w:r>
      <w:r>
        <w:rPr>
          <w:color w:val="231F20"/>
        </w:rPr>
        <w:t>la migración internacional se forma como experiencia colectiva, histórica, en</w:t>
      </w:r>
      <w:r>
        <w:rPr>
          <w:color w:val="231F20"/>
          <w:spacing w:val="34"/>
        </w:rPr>
        <w:t> </w:t>
      </w:r>
      <w:r>
        <w:rPr>
          <w:color w:val="231F20"/>
        </w:rPr>
        <w:t>la</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casos</w:t>
      </w:r>
      <w:r>
        <w:rPr>
          <w:color w:val="231F20"/>
          <w:spacing w:val="34"/>
        </w:rPr>
        <w:t> </w:t>
      </w:r>
      <w:r>
        <w:rPr>
          <w:color w:val="231F20"/>
        </w:rPr>
        <w:t>tienen</w:t>
      </w:r>
      <w:r>
        <w:rPr>
          <w:color w:val="231F20"/>
          <w:spacing w:val="34"/>
        </w:rPr>
        <w:t> </w:t>
      </w:r>
      <w:r>
        <w:rPr>
          <w:color w:val="231F20"/>
        </w:rPr>
        <w:t>autonomía,</w:t>
      </w:r>
      <w:r>
        <w:rPr>
          <w:color w:val="231F20"/>
          <w:spacing w:val="26"/>
        </w:rPr>
        <w:t> </w:t>
      </w:r>
      <w:r>
        <w:rPr>
          <w:color w:val="231F20"/>
        </w:rPr>
        <w:t>singularidad</w:t>
      </w:r>
      <w:r>
        <w:rPr>
          <w:color w:val="231F20"/>
          <w:spacing w:val="34"/>
        </w:rPr>
        <w:t> </w:t>
      </w:r>
      <w:r>
        <w:rPr>
          <w:color w:val="231F20"/>
        </w:rPr>
        <w:t>e</w:t>
      </w:r>
      <w:r>
        <w:rPr>
          <w:color w:val="231F20"/>
          <w:spacing w:val="34"/>
        </w:rPr>
        <w:t> </w:t>
      </w:r>
      <w:r>
        <w:rPr>
          <w:color w:val="231F20"/>
        </w:rPr>
        <w:t>identidad.</w:t>
      </w:r>
      <w:r>
        <w:rPr>
          <w:color w:val="231F20"/>
          <w:spacing w:val="26"/>
        </w:rPr>
        <w:t> </w:t>
      </w:r>
      <w:r>
        <w:rPr>
          <w:color w:val="231F20"/>
          <w:spacing w:val="-6"/>
        </w:rPr>
        <w:t>“…si</w:t>
      </w:r>
      <w:r>
        <w:rPr>
          <w:color w:val="231F20"/>
          <w:spacing w:val="34"/>
        </w:rPr>
        <w:t> </w:t>
      </w:r>
      <w:r>
        <w:rPr>
          <w:color w:val="231F20"/>
        </w:rPr>
        <w:t>es</w:t>
      </w:r>
    </w:p>
    <w:p>
      <w:pPr>
        <w:spacing w:after="0" w:line="261" w:lineRule="auto"/>
        <w:jc w:val="both"/>
        <w:sectPr>
          <w:pgSz w:w="10480" w:h="14730"/>
          <w:pgMar w:header="0" w:footer="103" w:top="300" w:bottom="3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6" w:right="1829"/>
        <w:jc w:val="right"/>
      </w:pPr>
      <w:r>
        <w:rPr/>
        <w:pict>
          <v:line style="position:absolute;mso-position-horizontal-relative:page;mso-position-vertical-relative:paragraph;z-index:46024" from="15pt,-71.68644pt" to="0pt,-71.68644pt" stroked="true" strokeweight=".25pt" strokecolor="#000000">
            <w10:wrap type="none"/>
          </v:line>
        </w:pict>
      </w:r>
      <w:r>
        <w:rPr/>
        <w:pict>
          <v:line style="position:absolute;mso-position-horizontal-relative:page;mso-position-vertical-relative:paragraph;z-index:46048" from="508.890015pt,-71.68644pt" to="523.890015pt,-71.68644pt" stroked="true" strokeweight=".25pt" strokecolor="#000000">
            <w10:wrap type="none"/>
          </v:line>
        </w:pict>
      </w:r>
      <w:r>
        <w:rPr>
          <w:color w:val="231F20"/>
          <w:w w:val="105"/>
        </w:rPr>
        <w:t>normal</w:t>
      </w:r>
      <w:r>
        <w:rPr>
          <w:color w:val="231F20"/>
          <w:spacing w:val="-18"/>
          <w:w w:val="105"/>
        </w:rPr>
        <w:t> </w:t>
      </w:r>
      <w:r>
        <w:rPr>
          <w:color w:val="231F20"/>
          <w:w w:val="105"/>
        </w:rPr>
        <w:t>que</w:t>
      </w:r>
      <w:r>
        <w:rPr>
          <w:color w:val="231F20"/>
          <w:spacing w:val="-18"/>
          <w:w w:val="105"/>
        </w:rPr>
        <w:t> </w:t>
      </w:r>
      <w:r>
        <w:rPr>
          <w:color w:val="231F20"/>
          <w:w w:val="105"/>
        </w:rPr>
        <w:t>las</w:t>
      </w:r>
      <w:r>
        <w:rPr>
          <w:color w:val="231F20"/>
          <w:spacing w:val="-18"/>
          <w:w w:val="105"/>
        </w:rPr>
        <w:t> </w:t>
      </w:r>
      <w:r>
        <w:rPr>
          <w:color w:val="231F20"/>
          <w:w w:val="105"/>
        </w:rPr>
        <w:t>estadísticas</w:t>
      </w:r>
      <w:r>
        <w:rPr>
          <w:color w:val="231F20"/>
          <w:spacing w:val="-18"/>
          <w:w w:val="105"/>
        </w:rPr>
        <w:t> </w:t>
      </w:r>
      <w:r>
        <w:rPr>
          <w:color w:val="231F20"/>
          <w:w w:val="105"/>
        </w:rPr>
        <w:t>omitan</w:t>
      </w:r>
      <w:r>
        <w:rPr>
          <w:color w:val="231F20"/>
          <w:spacing w:val="-18"/>
          <w:w w:val="105"/>
        </w:rPr>
        <w:t> </w:t>
      </w:r>
      <w:r>
        <w:rPr>
          <w:color w:val="231F20"/>
          <w:w w:val="105"/>
        </w:rPr>
        <w:t>la</w:t>
      </w:r>
      <w:r>
        <w:rPr>
          <w:color w:val="231F20"/>
          <w:spacing w:val="-18"/>
          <w:w w:val="105"/>
        </w:rPr>
        <w:t> </w:t>
      </w:r>
      <w:r>
        <w:rPr>
          <w:color w:val="231F20"/>
          <w:w w:val="105"/>
        </w:rPr>
        <w:t>descripción</w:t>
      </w:r>
      <w:r>
        <w:rPr>
          <w:color w:val="231F20"/>
          <w:spacing w:val="-18"/>
          <w:w w:val="105"/>
        </w:rPr>
        <w:t> </w:t>
      </w:r>
      <w:r>
        <w:rPr>
          <w:color w:val="231F20"/>
          <w:w w:val="105"/>
        </w:rPr>
        <w:t>cualitativa</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fenó-</w:t>
      </w:r>
      <w:r>
        <w:rPr>
          <w:color w:val="231F20"/>
          <w:w w:val="96"/>
        </w:rPr>
        <w:t> </w:t>
      </w:r>
      <w:r>
        <w:rPr>
          <w:color w:val="231F20"/>
          <w:w w:val="105"/>
        </w:rPr>
        <w:t>menos,</w:t>
      </w:r>
      <w:r>
        <w:rPr>
          <w:color w:val="231F20"/>
          <w:spacing w:val="-29"/>
          <w:w w:val="105"/>
        </w:rPr>
        <w:t> </w:t>
      </w:r>
      <w:r>
        <w:rPr>
          <w:color w:val="231F20"/>
          <w:w w:val="105"/>
        </w:rPr>
        <w:t>no</w:t>
      </w:r>
      <w:r>
        <w:rPr>
          <w:color w:val="231F20"/>
          <w:spacing w:val="-24"/>
          <w:w w:val="105"/>
        </w:rPr>
        <w:t> </w:t>
      </w:r>
      <w:r>
        <w:rPr>
          <w:color w:val="231F20"/>
          <w:w w:val="105"/>
        </w:rPr>
        <w:t>lo</w:t>
      </w:r>
      <w:r>
        <w:rPr>
          <w:color w:val="231F20"/>
          <w:spacing w:val="-24"/>
          <w:w w:val="105"/>
        </w:rPr>
        <w:t> </w:t>
      </w:r>
      <w:r>
        <w:rPr>
          <w:color w:val="231F20"/>
          <w:w w:val="105"/>
        </w:rPr>
        <w:t>es</w:t>
      </w:r>
      <w:r>
        <w:rPr>
          <w:color w:val="231F20"/>
          <w:spacing w:val="-24"/>
          <w:w w:val="105"/>
        </w:rPr>
        <w:t> </w:t>
      </w:r>
      <w:r>
        <w:rPr>
          <w:color w:val="231F20"/>
          <w:w w:val="105"/>
        </w:rPr>
        <w:t>que</w:t>
      </w:r>
      <w:r>
        <w:rPr>
          <w:color w:val="231F20"/>
          <w:spacing w:val="-24"/>
          <w:w w:val="105"/>
        </w:rPr>
        <w:t> </w:t>
      </w:r>
      <w:r>
        <w:rPr>
          <w:color w:val="231F20"/>
          <w:spacing w:val="-3"/>
          <w:w w:val="105"/>
        </w:rPr>
        <w:t>nuestros</w:t>
      </w:r>
      <w:r>
        <w:rPr>
          <w:color w:val="231F20"/>
          <w:spacing w:val="-24"/>
          <w:w w:val="105"/>
        </w:rPr>
        <w:t> </w:t>
      </w:r>
      <w:r>
        <w:rPr>
          <w:color w:val="231F20"/>
          <w:w w:val="105"/>
        </w:rPr>
        <w:t>sociólogos</w:t>
      </w:r>
      <w:r>
        <w:rPr>
          <w:color w:val="231F20"/>
          <w:spacing w:val="-24"/>
          <w:w w:val="105"/>
        </w:rPr>
        <w:t> </w:t>
      </w:r>
      <w:r>
        <w:rPr>
          <w:color w:val="231F20"/>
          <w:w w:val="105"/>
        </w:rPr>
        <w:t>no</w:t>
      </w:r>
      <w:r>
        <w:rPr>
          <w:color w:val="231F20"/>
          <w:spacing w:val="-24"/>
          <w:w w:val="105"/>
        </w:rPr>
        <w:t> </w:t>
      </w:r>
      <w:r>
        <w:rPr>
          <w:color w:val="231F20"/>
          <w:w w:val="105"/>
        </w:rPr>
        <w:t>adviertan</w:t>
      </w:r>
      <w:r>
        <w:rPr>
          <w:color w:val="231F20"/>
          <w:spacing w:val="-24"/>
          <w:w w:val="105"/>
        </w:rPr>
        <w:t> </w:t>
      </w:r>
      <w:r>
        <w:rPr>
          <w:color w:val="231F20"/>
          <w:w w:val="105"/>
        </w:rPr>
        <w:t>que</w:t>
      </w:r>
      <w:r>
        <w:rPr>
          <w:color w:val="231F20"/>
          <w:spacing w:val="-24"/>
          <w:w w:val="105"/>
        </w:rPr>
        <w:t> </w:t>
      </w:r>
      <w:r>
        <w:rPr>
          <w:color w:val="231F20"/>
          <w:w w:val="105"/>
        </w:rPr>
        <w:t>detrás</w:t>
      </w:r>
      <w:r>
        <w:rPr>
          <w:color w:val="231F20"/>
          <w:spacing w:val="-24"/>
          <w:w w:val="105"/>
        </w:rPr>
        <w:t> </w:t>
      </w:r>
      <w:r>
        <w:rPr>
          <w:color w:val="231F20"/>
          <w:w w:val="105"/>
        </w:rPr>
        <w:t>de</w:t>
      </w:r>
      <w:r>
        <w:rPr>
          <w:color w:val="231F20"/>
          <w:spacing w:val="-24"/>
          <w:w w:val="105"/>
        </w:rPr>
        <w:t> </w:t>
      </w:r>
      <w:r>
        <w:rPr>
          <w:color w:val="231F20"/>
          <w:w w:val="105"/>
        </w:rPr>
        <w:t>esas</w:t>
      </w:r>
      <w:r>
        <w:rPr>
          <w:color w:val="231F20"/>
          <w:spacing w:val="-2"/>
          <w:w w:val="94"/>
        </w:rPr>
        <w:t> </w:t>
      </w:r>
      <w:r>
        <w:rPr>
          <w:color w:val="231F20"/>
          <w:w w:val="105"/>
        </w:rPr>
        <w:t>cifras</w:t>
      </w:r>
      <w:r>
        <w:rPr>
          <w:color w:val="231F20"/>
          <w:spacing w:val="-8"/>
          <w:w w:val="105"/>
        </w:rPr>
        <w:t> </w:t>
      </w:r>
      <w:r>
        <w:rPr>
          <w:color w:val="231F20"/>
          <w:w w:val="105"/>
        </w:rPr>
        <w:t>hay</w:t>
      </w:r>
      <w:r>
        <w:rPr>
          <w:color w:val="231F20"/>
          <w:spacing w:val="-8"/>
          <w:w w:val="105"/>
        </w:rPr>
        <w:t> </w:t>
      </w:r>
      <w:r>
        <w:rPr>
          <w:color w:val="231F20"/>
          <w:spacing w:val="-3"/>
          <w:w w:val="105"/>
        </w:rPr>
        <w:t>realidades</w:t>
      </w:r>
      <w:r>
        <w:rPr>
          <w:color w:val="231F20"/>
          <w:spacing w:val="-8"/>
          <w:w w:val="105"/>
        </w:rPr>
        <w:t> </w:t>
      </w:r>
      <w:r>
        <w:rPr>
          <w:color w:val="231F20"/>
          <w:w w:val="105"/>
        </w:rPr>
        <w:t>psíquicas,</w:t>
      </w:r>
      <w:r>
        <w:rPr>
          <w:color w:val="231F20"/>
          <w:spacing w:val="-12"/>
          <w:w w:val="105"/>
        </w:rPr>
        <w:t> </w:t>
      </w:r>
      <w:r>
        <w:rPr>
          <w:color w:val="231F20"/>
          <w:w w:val="105"/>
        </w:rPr>
        <w:t>históricas</w:t>
      </w:r>
      <w:r>
        <w:rPr>
          <w:color w:val="231F20"/>
          <w:spacing w:val="-8"/>
          <w:w w:val="105"/>
        </w:rPr>
        <w:t> </w:t>
      </w:r>
      <w:r>
        <w:rPr>
          <w:color w:val="231F20"/>
          <w:w w:val="105"/>
        </w:rPr>
        <w:t>y</w:t>
      </w:r>
      <w:r>
        <w:rPr>
          <w:color w:val="231F20"/>
          <w:spacing w:val="-8"/>
          <w:w w:val="105"/>
        </w:rPr>
        <w:t> </w:t>
      </w:r>
      <w:r>
        <w:rPr>
          <w:color w:val="231F20"/>
          <w:w w:val="105"/>
        </w:rPr>
        <w:t>culturales</w:t>
      </w:r>
      <w:r>
        <w:rPr>
          <w:color w:val="231F20"/>
          <w:spacing w:val="-8"/>
          <w:w w:val="105"/>
        </w:rPr>
        <w:t> </w:t>
      </w:r>
      <w:r>
        <w:rPr>
          <w:color w:val="231F20"/>
          <w:spacing w:val="-3"/>
          <w:w w:val="105"/>
        </w:rPr>
        <w:t>irreductibles</w:t>
      </w:r>
      <w:r>
        <w:rPr>
          <w:color w:val="231F20"/>
          <w:spacing w:val="-8"/>
          <w:w w:val="105"/>
        </w:rPr>
        <w:t> </w:t>
      </w:r>
      <w:r>
        <w:rPr>
          <w:color w:val="231F20"/>
          <w:w w:val="105"/>
        </w:rPr>
        <w:t>a</w:t>
      </w:r>
      <w:r>
        <w:rPr>
          <w:color w:val="231F20"/>
          <w:spacing w:val="-8"/>
          <w:w w:val="105"/>
        </w:rPr>
        <w:t> </w:t>
      </w:r>
      <w:r>
        <w:rPr>
          <w:color w:val="231F20"/>
          <w:spacing w:val="-2"/>
          <w:w w:val="105"/>
        </w:rPr>
        <w:t>las</w:t>
      </w:r>
      <w:r>
        <w:rPr>
          <w:color w:val="231F20"/>
          <w:spacing w:val="-2"/>
          <w:w w:val="95"/>
        </w:rPr>
        <w:t> </w:t>
      </w:r>
      <w:r>
        <w:rPr>
          <w:color w:val="231F20"/>
          <w:spacing w:val="-3"/>
          <w:w w:val="105"/>
        </w:rPr>
        <w:t>groseras</w:t>
      </w:r>
      <w:r>
        <w:rPr>
          <w:color w:val="231F20"/>
          <w:spacing w:val="-38"/>
          <w:w w:val="105"/>
        </w:rPr>
        <w:t> </w:t>
      </w:r>
      <w:r>
        <w:rPr>
          <w:color w:val="231F20"/>
          <w:w w:val="105"/>
        </w:rPr>
        <w:t>medidas</w:t>
      </w:r>
      <w:r>
        <w:rPr>
          <w:color w:val="231F20"/>
          <w:spacing w:val="-38"/>
          <w:w w:val="105"/>
        </w:rPr>
        <w:t> </w:t>
      </w:r>
      <w:r>
        <w:rPr>
          <w:color w:val="231F20"/>
          <w:w w:val="105"/>
        </w:rPr>
        <w:t>que,</w:t>
      </w:r>
      <w:r>
        <w:rPr>
          <w:color w:val="231F20"/>
          <w:spacing w:val="-41"/>
          <w:w w:val="105"/>
        </w:rPr>
        <w:t> </w:t>
      </w:r>
      <w:r>
        <w:rPr>
          <w:color w:val="231F20"/>
          <w:w w:val="105"/>
        </w:rPr>
        <w:t>por</w:t>
      </w:r>
      <w:r>
        <w:rPr>
          <w:color w:val="231F20"/>
          <w:spacing w:val="-38"/>
          <w:w w:val="105"/>
        </w:rPr>
        <w:t> </w:t>
      </w:r>
      <w:r>
        <w:rPr>
          <w:color w:val="231F20"/>
          <w:w w:val="105"/>
        </w:rPr>
        <w:t>fuerza,</w:t>
      </w:r>
      <w:r>
        <w:rPr>
          <w:color w:val="231F20"/>
          <w:spacing w:val="-41"/>
          <w:w w:val="105"/>
        </w:rPr>
        <w:t> </w:t>
      </w:r>
      <w:r>
        <w:rPr>
          <w:color w:val="231F20"/>
          <w:w w:val="105"/>
        </w:rPr>
        <w:t>debe</w:t>
      </w:r>
      <w:r>
        <w:rPr>
          <w:color w:val="231F20"/>
          <w:spacing w:val="-38"/>
          <w:w w:val="105"/>
        </w:rPr>
        <w:t> </w:t>
      </w:r>
      <w:r>
        <w:rPr>
          <w:color w:val="231F20"/>
          <w:w w:val="105"/>
        </w:rPr>
        <w:t>utilizar</w:t>
      </w:r>
      <w:r>
        <w:rPr>
          <w:color w:val="231F20"/>
          <w:spacing w:val="-38"/>
          <w:w w:val="105"/>
        </w:rPr>
        <w:t> </w:t>
      </w:r>
      <w:r>
        <w:rPr>
          <w:color w:val="231F20"/>
          <w:w w:val="105"/>
        </w:rPr>
        <w:t>el</w:t>
      </w:r>
      <w:r>
        <w:rPr>
          <w:color w:val="231F20"/>
          <w:spacing w:val="-38"/>
          <w:w w:val="105"/>
        </w:rPr>
        <w:t> </w:t>
      </w:r>
      <w:r>
        <w:rPr>
          <w:color w:val="231F20"/>
          <w:spacing w:val="-2"/>
          <w:w w:val="105"/>
        </w:rPr>
        <w:t>Censo”</w:t>
      </w:r>
      <w:r>
        <w:rPr>
          <w:color w:val="231F20"/>
          <w:spacing w:val="-38"/>
          <w:w w:val="105"/>
        </w:rPr>
        <w:t> </w:t>
      </w:r>
      <w:r>
        <w:rPr>
          <w:color w:val="231F20"/>
          <w:spacing w:val="-4"/>
          <w:w w:val="105"/>
        </w:rPr>
        <w:t>(Paz,</w:t>
      </w:r>
      <w:r>
        <w:rPr>
          <w:color w:val="231F20"/>
          <w:spacing w:val="-41"/>
          <w:w w:val="105"/>
        </w:rPr>
        <w:t> </w:t>
      </w:r>
      <w:r>
        <w:rPr>
          <w:color w:val="231F20"/>
          <w:w w:val="105"/>
        </w:rPr>
        <w:t>2004:</w:t>
      </w:r>
      <w:r>
        <w:rPr>
          <w:color w:val="231F20"/>
          <w:spacing w:val="-38"/>
          <w:w w:val="105"/>
        </w:rPr>
        <w:t> </w:t>
      </w:r>
      <w:r>
        <w:rPr>
          <w:color w:val="231F20"/>
          <w:w w:val="105"/>
        </w:rPr>
        <w:t>287).</w:t>
      </w:r>
      <w:r>
        <w:rPr>
          <w:color w:val="231F20"/>
          <w:spacing w:val="-2"/>
          <w:w w:val="100"/>
        </w:rPr>
        <w:t> </w:t>
      </w:r>
      <w:r>
        <w:rPr>
          <w:color w:val="231F20"/>
          <w:w w:val="105"/>
        </w:rPr>
        <w:t>Quien emigró y quien vio cumplido su ciclo —su proyecto—</w:t>
      </w:r>
      <w:r>
        <w:rPr>
          <w:color w:val="231F20"/>
          <w:spacing w:val="48"/>
          <w:w w:val="105"/>
        </w:rPr>
        <w:t> </w:t>
      </w:r>
      <w:r>
        <w:rPr>
          <w:color w:val="231F20"/>
          <w:w w:val="105"/>
        </w:rPr>
        <w:t>en</w:t>
      </w:r>
      <w:r>
        <w:rPr>
          <w:color w:val="231F20"/>
          <w:spacing w:val="16"/>
          <w:w w:val="105"/>
        </w:rPr>
        <w:t> </w:t>
      </w:r>
      <w:r>
        <w:rPr>
          <w:color w:val="231F20"/>
          <w:w w:val="105"/>
        </w:rPr>
        <w:t>el</w:t>
      </w:r>
      <w:r>
        <w:rPr>
          <w:color w:val="231F20"/>
          <w:w w:val="105"/>
        </w:rPr>
        <w:t> </w:t>
      </w:r>
      <w:r>
        <w:rPr>
          <w:color w:val="231F20"/>
          <w:w w:val="105"/>
        </w:rPr>
        <w:t>retorno</w:t>
      </w:r>
      <w:r>
        <w:rPr>
          <w:color w:val="231F20"/>
          <w:spacing w:val="-16"/>
          <w:w w:val="105"/>
        </w:rPr>
        <w:t> </w:t>
      </w:r>
      <w:r>
        <w:rPr>
          <w:color w:val="231F20"/>
          <w:w w:val="105"/>
        </w:rPr>
        <w:t>al</w:t>
      </w:r>
      <w:r>
        <w:rPr>
          <w:color w:val="231F20"/>
          <w:spacing w:val="-16"/>
          <w:w w:val="105"/>
        </w:rPr>
        <w:t> </w:t>
      </w:r>
      <w:r>
        <w:rPr>
          <w:color w:val="231F20"/>
          <w:w w:val="105"/>
        </w:rPr>
        <w:t>lugar</w:t>
      </w:r>
      <w:r>
        <w:rPr>
          <w:color w:val="231F20"/>
          <w:spacing w:val="-16"/>
          <w:w w:val="105"/>
        </w:rPr>
        <w:t> </w:t>
      </w:r>
      <w:r>
        <w:rPr>
          <w:color w:val="231F20"/>
          <w:w w:val="105"/>
        </w:rPr>
        <w:t>de</w:t>
      </w:r>
      <w:r>
        <w:rPr>
          <w:color w:val="231F20"/>
          <w:spacing w:val="-16"/>
          <w:w w:val="105"/>
        </w:rPr>
        <w:t> </w:t>
      </w:r>
      <w:r>
        <w:rPr>
          <w:color w:val="231F20"/>
          <w:w w:val="105"/>
        </w:rPr>
        <w:t>origen,</w:t>
      </w:r>
      <w:r>
        <w:rPr>
          <w:color w:val="231F20"/>
          <w:spacing w:val="-22"/>
          <w:w w:val="105"/>
        </w:rPr>
        <w:t> </w:t>
      </w:r>
      <w:r>
        <w:rPr>
          <w:color w:val="231F20"/>
          <w:w w:val="105"/>
        </w:rPr>
        <w:t>como</w:t>
      </w:r>
      <w:r>
        <w:rPr>
          <w:color w:val="231F20"/>
          <w:spacing w:val="-16"/>
          <w:w w:val="105"/>
        </w:rPr>
        <w:t> </w:t>
      </w:r>
      <w:r>
        <w:rPr>
          <w:color w:val="231F20"/>
          <w:w w:val="105"/>
        </w:rPr>
        <w:t>Rafael,</w:t>
      </w:r>
      <w:r>
        <w:rPr>
          <w:color w:val="231F20"/>
          <w:spacing w:val="-22"/>
          <w:w w:val="105"/>
        </w:rPr>
        <w:t> </w:t>
      </w:r>
      <w:r>
        <w:rPr>
          <w:color w:val="231F20"/>
          <w:w w:val="105"/>
        </w:rPr>
        <w:t>sabe</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vida</w:t>
      </w:r>
      <w:r>
        <w:rPr>
          <w:color w:val="231F20"/>
          <w:spacing w:val="-16"/>
          <w:w w:val="105"/>
        </w:rPr>
        <w:t> </w:t>
      </w:r>
      <w:r>
        <w:rPr>
          <w:color w:val="231F20"/>
          <w:w w:val="105"/>
        </w:rPr>
        <w:t>es</w:t>
      </w:r>
      <w:r>
        <w:rPr>
          <w:color w:val="231F20"/>
          <w:spacing w:val="-16"/>
          <w:w w:val="105"/>
        </w:rPr>
        <w:t> </w:t>
      </w:r>
      <w:r>
        <w:rPr>
          <w:color w:val="231F20"/>
          <w:w w:val="105"/>
        </w:rPr>
        <w:t>más</w:t>
      </w:r>
      <w:r>
        <w:rPr>
          <w:color w:val="231F20"/>
          <w:spacing w:val="-16"/>
          <w:w w:val="105"/>
        </w:rPr>
        <w:t> </w:t>
      </w:r>
      <w:r>
        <w:rPr>
          <w:color w:val="231F20"/>
          <w:w w:val="105"/>
        </w:rPr>
        <w:t>que</w:t>
      </w:r>
      <w:r>
        <w:rPr>
          <w:color w:val="231F20"/>
          <w:spacing w:val="-16"/>
          <w:w w:val="105"/>
        </w:rPr>
        <w:t> </w:t>
      </w:r>
      <w:r>
        <w:rPr>
          <w:color w:val="231F20"/>
          <w:w w:val="105"/>
        </w:rPr>
        <w:t>esa</w:t>
      </w:r>
      <w:r>
        <w:rPr>
          <w:color w:val="231F20"/>
          <w:w w:val="96"/>
        </w:rPr>
        <w:t> </w:t>
      </w:r>
      <w:r>
        <w:rPr>
          <w:color w:val="231F20"/>
          <w:w w:val="105"/>
        </w:rPr>
        <w:t>experiencia,</w:t>
      </w:r>
      <w:r>
        <w:rPr>
          <w:color w:val="231F20"/>
          <w:spacing w:val="-13"/>
          <w:w w:val="105"/>
        </w:rPr>
        <w:t> </w:t>
      </w:r>
      <w:r>
        <w:rPr>
          <w:color w:val="231F20"/>
          <w:w w:val="105"/>
        </w:rPr>
        <w:t>y</w:t>
      </w:r>
      <w:r>
        <w:rPr>
          <w:color w:val="231F20"/>
          <w:spacing w:val="-7"/>
          <w:w w:val="105"/>
        </w:rPr>
        <w:t> </w:t>
      </w:r>
      <w:r>
        <w:rPr>
          <w:color w:val="231F20"/>
          <w:w w:val="105"/>
        </w:rPr>
        <w:t>sabe</w:t>
      </w:r>
      <w:r>
        <w:rPr>
          <w:color w:val="231F20"/>
          <w:spacing w:val="-7"/>
          <w:w w:val="105"/>
        </w:rPr>
        <w:t> </w:t>
      </w:r>
      <w:r>
        <w:rPr>
          <w:color w:val="231F20"/>
          <w:w w:val="105"/>
        </w:rPr>
        <w:t>también</w:t>
      </w:r>
      <w:r>
        <w:rPr>
          <w:color w:val="231F20"/>
          <w:spacing w:val="-7"/>
          <w:w w:val="105"/>
        </w:rPr>
        <w:t> </w:t>
      </w:r>
      <w:r>
        <w:rPr>
          <w:color w:val="231F20"/>
          <w:w w:val="105"/>
        </w:rPr>
        <w:t>que</w:t>
      </w:r>
      <w:r>
        <w:rPr>
          <w:color w:val="231F20"/>
          <w:spacing w:val="-7"/>
          <w:w w:val="105"/>
        </w:rPr>
        <w:t> </w:t>
      </w:r>
      <w:r>
        <w:rPr>
          <w:color w:val="231F20"/>
          <w:w w:val="105"/>
        </w:rPr>
        <w:t>sin</w:t>
      </w:r>
      <w:r>
        <w:rPr>
          <w:color w:val="231F20"/>
          <w:spacing w:val="-7"/>
          <w:w w:val="105"/>
        </w:rPr>
        <w:t> </w:t>
      </w:r>
      <w:r>
        <w:rPr>
          <w:color w:val="231F20"/>
          <w:w w:val="105"/>
        </w:rPr>
        <w:t>ésta</w:t>
      </w:r>
      <w:r>
        <w:rPr>
          <w:color w:val="231F20"/>
          <w:spacing w:val="-7"/>
          <w:w w:val="105"/>
        </w:rPr>
        <w:t> </w:t>
      </w:r>
      <w:r>
        <w:rPr>
          <w:color w:val="231F20"/>
          <w:w w:val="105"/>
        </w:rPr>
        <w:t>su</w:t>
      </w:r>
      <w:r>
        <w:rPr>
          <w:color w:val="231F20"/>
          <w:spacing w:val="-7"/>
          <w:w w:val="105"/>
        </w:rPr>
        <w:t> </w:t>
      </w:r>
      <w:r>
        <w:rPr>
          <w:color w:val="231F20"/>
          <w:w w:val="105"/>
        </w:rPr>
        <w:t>vida</w:t>
      </w:r>
      <w:r>
        <w:rPr>
          <w:color w:val="231F20"/>
          <w:spacing w:val="-7"/>
          <w:w w:val="105"/>
        </w:rPr>
        <w:t> </w:t>
      </w:r>
      <w:r>
        <w:rPr>
          <w:color w:val="231F20"/>
          <w:w w:val="105"/>
        </w:rPr>
        <w:t>no</w:t>
      </w:r>
      <w:r>
        <w:rPr>
          <w:color w:val="231F20"/>
          <w:spacing w:val="-7"/>
          <w:w w:val="105"/>
        </w:rPr>
        <w:t> </w:t>
      </w:r>
      <w:r>
        <w:rPr>
          <w:color w:val="231F20"/>
          <w:w w:val="105"/>
        </w:rPr>
        <w:t>habría</w:t>
      </w:r>
      <w:r>
        <w:rPr>
          <w:color w:val="231F20"/>
          <w:spacing w:val="-7"/>
          <w:w w:val="105"/>
        </w:rPr>
        <w:t> </w:t>
      </w:r>
      <w:r>
        <w:rPr>
          <w:color w:val="231F20"/>
          <w:w w:val="105"/>
        </w:rPr>
        <w:t>sido</w:t>
      </w:r>
      <w:r>
        <w:rPr>
          <w:color w:val="231F20"/>
          <w:spacing w:val="-7"/>
          <w:w w:val="105"/>
        </w:rPr>
        <w:t> </w:t>
      </w:r>
      <w:r>
        <w:rPr>
          <w:color w:val="231F20"/>
          <w:w w:val="105"/>
        </w:rPr>
        <w:t>igual;</w:t>
      </w:r>
      <w:r>
        <w:rPr>
          <w:color w:val="231F20"/>
          <w:spacing w:val="-7"/>
          <w:w w:val="105"/>
        </w:rPr>
        <w:t> </w:t>
      </w:r>
      <w:r>
        <w:rPr>
          <w:color w:val="231F20"/>
          <w:w w:val="105"/>
        </w:rPr>
        <w:t>lo</w:t>
      </w:r>
      <w:r>
        <w:rPr>
          <w:color w:val="231F20"/>
          <w:w w:val="110"/>
        </w:rPr>
        <w:t> </w:t>
      </w:r>
      <w:r>
        <w:rPr>
          <w:color w:val="231F20"/>
          <w:w w:val="105"/>
        </w:rPr>
        <w:t>mismo pasa con quien participó del relato y se hizo parte de él,</w:t>
      </w:r>
      <w:r>
        <w:rPr>
          <w:color w:val="231F20"/>
          <w:spacing w:val="15"/>
          <w:w w:val="105"/>
        </w:rPr>
        <w:t> </w:t>
      </w:r>
      <w:r>
        <w:rPr>
          <w:color w:val="231F20"/>
          <w:w w:val="105"/>
        </w:rPr>
        <w:t>porque</w:t>
      </w:r>
    </w:p>
    <w:p>
      <w:pPr>
        <w:pStyle w:val="BodyText"/>
        <w:spacing w:before="1"/>
        <w:ind w:left="1723"/>
        <w:jc w:val="both"/>
      </w:pPr>
      <w:r>
        <w:rPr>
          <w:color w:val="231F20"/>
          <w:w w:val="105"/>
        </w:rPr>
        <w:t>inició, escucho, dialogó: su vida cambió. Plantea Bourdieu:</w:t>
      </w:r>
    </w:p>
    <w:p>
      <w:pPr>
        <w:pStyle w:val="BodyText"/>
        <w:rPr>
          <w:sz w:val="20"/>
        </w:rPr>
      </w:pPr>
    </w:p>
    <w:p>
      <w:pPr>
        <w:pStyle w:val="BodyText"/>
        <w:spacing w:before="6"/>
        <w:rPr>
          <w:sz w:val="23"/>
        </w:rPr>
      </w:pPr>
    </w:p>
    <w:p>
      <w:pPr>
        <w:spacing w:line="254" w:lineRule="auto" w:before="0"/>
        <w:ind w:left="2857" w:right="1829" w:firstLine="0"/>
        <w:jc w:val="both"/>
        <w:rPr>
          <w:sz w:val="18"/>
        </w:rPr>
      </w:pPr>
      <w:r>
        <w:rPr>
          <w:color w:val="231F20"/>
          <w:w w:val="105"/>
          <w:sz w:val="18"/>
        </w:rPr>
        <w:t>la</w:t>
      </w:r>
      <w:r>
        <w:rPr>
          <w:color w:val="231F20"/>
          <w:spacing w:val="-17"/>
          <w:w w:val="105"/>
          <w:sz w:val="18"/>
        </w:rPr>
        <w:t> </w:t>
      </w:r>
      <w:r>
        <w:rPr>
          <w:color w:val="231F20"/>
          <w:w w:val="105"/>
          <w:sz w:val="18"/>
        </w:rPr>
        <w:t>‘vida’</w:t>
      </w:r>
      <w:r>
        <w:rPr>
          <w:color w:val="231F20"/>
          <w:spacing w:val="-17"/>
          <w:w w:val="105"/>
          <w:sz w:val="18"/>
        </w:rPr>
        <w:t> </w:t>
      </w:r>
      <w:r>
        <w:rPr>
          <w:color w:val="231F20"/>
          <w:w w:val="105"/>
          <w:sz w:val="18"/>
        </w:rPr>
        <w:t>constituye</w:t>
      </w:r>
      <w:r>
        <w:rPr>
          <w:color w:val="231F20"/>
          <w:spacing w:val="-17"/>
          <w:w w:val="105"/>
          <w:sz w:val="18"/>
        </w:rPr>
        <w:t> </w:t>
      </w:r>
      <w:r>
        <w:rPr>
          <w:color w:val="231F20"/>
          <w:w w:val="105"/>
          <w:sz w:val="18"/>
        </w:rPr>
        <w:t>un</w:t>
      </w:r>
      <w:r>
        <w:rPr>
          <w:color w:val="231F20"/>
          <w:spacing w:val="-17"/>
          <w:w w:val="105"/>
          <w:sz w:val="18"/>
        </w:rPr>
        <w:t> </w:t>
      </w:r>
      <w:r>
        <w:rPr>
          <w:color w:val="231F20"/>
          <w:w w:val="105"/>
          <w:sz w:val="18"/>
        </w:rPr>
        <w:t>todo,</w:t>
      </w:r>
      <w:r>
        <w:rPr>
          <w:color w:val="231F20"/>
          <w:spacing w:val="-22"/>
          <w:w w:val="105"/>
          <w:sz w:val="18"/>
        </w:rPr>
        <w:t> </w:t>
      </w:r>
      <w:r>
        <w:rPr>
          <w:color w:val="231F20"/>
          <w:w w:val="105"/>
          <w:sz w:val="18"/>
        </w:rPr>
        <w:t>un</w:t>
      </w:r>
      <w:r>
        <w:rPr>
          <w:color w:val="231F20"/>
          <w:spacing w:val="-17"/>
          <w:w w:val="105"/>
          <w:sz w:val="18"/>
        </w:rPr>
        <w:t> </w:t>
      </w:r>
      <w:r>
        <w:rPr>
          <w:color w:val="231F20"/>
          <w:w w:val="105"/>
          <w:sz w:val="18"/>
        </w:rPr>
        <w:t>conjunto</w:t>
      </w:r>
      <w:r>
        <w:rPr>
          <w:color w:val="231F20"/>
          <w:spacing w:val="-17"/>
          <w:w w:val="105"/>
          <w:sz w:val="18"/>
        </w:rPr>
        <w:t> </w:t>
      </w:r>
      <w:r>
        <w:rPr>
          <w:color w:val="231F20"/>
          <w:w w:val="105"/>
          <w:sz w:val="18"/>
        </w:rPr>
        <w:t>coherente</w:t>
      </w:r>
      <w:r>
        <w:rPr>
          <w:color w:val="231F20"/>
          <w:spacing w:val="-17"/>
          <w:w w:val="105"/>
          <w:sz w:val="18"/>
        </w:rPr>
        <w:t> </w:t>
      </w:r>
      <w:r>
        <w:rPr>
          <w:color w:val="231F20"/>
          <w:w w:val="105"/>
          <w:sz w:val="18"/>
        </w:rPr>
        <w:t>y</w:t>
      </w:r>
      <w:r>
        <w:rPr>
          <w:color w:val="231F20"/>
          <w:spacing w:val="-17"/>
          <w:w w:val="105"/>
          <w:sz w:val="18"/>
        </w:rPr>
        <w:t> </w:t>
      </w:r>
      <w:r>
        <w:rPr>
          <w:color w:val="231F20"/>
          <w:w w:val="105"/>
          <w:sz w:val="18"/>
        </w:rPr>
        <w:t>orientado</w:t>
      </w:r>
      <w:r>
        <w:rPr>
          <w:color w:val="231F20"/>
          <w:spacing w:val="-17"/>
          <w:w w:val="105"/>
          <w:sz w:val="18"/>
        </w:rPr>
        <w:t> </w:t>
      </w:r>
      <w:r>
        <w:rPr>
          <w:color w:val="231F20"/>
          <w:w w:val="105"/>
          <w:sz w:val="18"/>
        </w:rPr>
        <w:t>que</w:t>
      </w:r>
      <w:r>
        <w:rPr>
          <w:color w:val="231F20"/>
          <w:spacing w:val="-17"/>
          <w:w w:val="105"/>
          <w:sz w:val="18"/>
        </w:rPr>
        <w:t> </w:t>
      </w:r>
      <w:r>
        <w:rPr>
          <w:color w:val="231F20"/>
          <w:w w:val="105"/>
          <w:sz w:val="18"/>
        </w:rPr>
        <w:t>pue- de y debe ser aprehendido como expresión unitaria de un ‘propósito’ subjetivo y objetivo, de un proyecto: la noción sartriana de ‘proyecto original’</w:t>
      </w:r>
      <w:r>
        <w:rPr>
          <w:color w:val="231F20"/>
          <w:spacing w:val="-8"/>
          <w:w w:val="105"/>
          <w:sz w:val="18"/>
        </w:rPr>
        <w:t> </w:t>
      </w:r>
      <w:r>
        <w:rPr>
          <w:color w:val="231F20"/>
          <w:w w:val="105"/>
          <w:sz w:val="18"/>
        </w:rPr>
        <w:t>no</w:t>
      </w:r>
      <w:r>
        <w:rPr>
          <w:color w:val="231F20"/>
          <w:spacing w:val="-8"/>
          <w:w w:val="105"/>
          <w:sz w:val="18"/>
        </w:rPr>
        <w:t> </w:t>
      </w:r>
      <w:r>
        <w:rPr>
          <w:color w:val="231F20"/>
          <w:w w:val="105"/>
          <w:sz w:val="18"/>
        </w:rPr>
        <w:t>hace</w:t>
      </w:r>
      <w:r>
        <w:rPr>
          <w:color w:val="231F20"/>
          <w:spacing w:val="-8"/>
          <w:w w:val="105"/>
          <w:sz w:val="18"/>
        </w:rPr>
        <w:t> </w:t>
      </w:r>
      <w:r>
        <w:rPr>
          <w:color w:val="231F20"/>
          <w:w w:val="105"/>
          <w:sz w:val="18"/>
        </w:rPr>
        <w:t>más</w:t>
      </w:r>
      <w:r>
        <w:rPr>
          <w:color w:val="231F20"/>
          <w:spacing w:val="-8"/>
          <w:w w:val="105"/>
          <w:sz w:val="18"/>
        </w:rPr>
        <w:t> </w:t>
      </w:r>
      <w:r>
        <w:rPr>
          <w:color w:val="231F20"/>
          <w:w w:val="105"/>
          <w:sz w:val="18"/>
        </w:rPr>
        <w:t>que</w:t>
      </w:r>
      <w:r>
        <w:rPr>
          <w:color w:val="231F20"/>
          <w:spacing w:val="-8"/>
          <w:w w:val="105"/>
          <w:sz w:val="18"/>
        </w:rPr>
        <w:t> </w:t>
      </w:r>
      <w:r>
        <w:rPr>
          <w:color w:val="231F20"/>
          <w:w w:val="105"/>
          <w:sz w:val="18"/>
        </w:rPr>
        <w:t>plantear</w:t>
      </w:r>
      <w:r>
        <w:rPr>
          <w:color w:val="231F20"/>
          <w:spacing w:val="-8"/>
          <w:w w:val="105"/>
          <w:sz w:val="18"/>
        </w:rPr>
        <w:t> </w:t>
      </w:r>
      <w:r>
        <w:rPr>
          <w:color w:val="231F20"/>
          <w:w w:val="105"/>
          <w:sz w:val="18"/>
        </w:rPr>
        <w:t>explícitamente</w:t>
      </w:r>
      <w:r>
        <w:rPr>
          <w:color w:val="231F20"/>
          <w:spacing w:val="-8"/>
          <w:w w:val="105"/>
          <w:sz w:val="18"/>
        </w:rPr>
        <w:t> </w:t>
      </w:r>
      <w:r>
        <w:rPr>
          <w:color w:val="231F20"/>
          <w:w w:val="105"/>
          <w:sz w:val="18"/>
        </w:rPr>
        <w:t>lo</w:t>
      </w:r>
      <w:r>
        <w:rPr>
          <w:color w:val="231F20"/>
          <w:spacing w:val="-8"/>
          <w:w w:val="105"/>
          <w:sz w:val="18"/>
        </w:rPr>
        <w:t> </w:t>
      </w:r>
      <w:r>
        <w:rPr>
          <w:color w:val="231F20"/>
          <w:w w:val="105"/>
          <w:sz w:val="18"/>
        </w:rPr>
        <w:t>que</w:t>
      </w:r>
      <w:r>
        <w:rPr>
          <w:color w:val="231F20"/>
          <w:spacing w:val="-8"/>
          <w:w w:val="105"/>
          <w:sz w:val="18"/>
        </w:rPr>
        <w:t> </w:t>
      </w:r>
      <w:r>
        <w:rPr>
          <w:color w:val="231F20"/>
          <w:w w:val="105"/>
          <w:sz w:val="18"/>
        </w:rPr>
        <w:t>está</w:t>
      </w:r>
      <w:r>
        <w:rPr>
          <w:color w:val="231F20"/>
          <w:spacing w:val="-8"/>
          <w:w w:val="105"/>
          <w:sz w:val="18"/>
        </w:rPr>
        <w:t> </w:t>
      </w:r>
      <w:r>
        <w:rPr>
          <w:color w:val="231F20"/>
          <w:w w:val="105"/>
          <w:sz w:val="18"/>
        </w:rPr>
        <w:t>implícito en</w:t>
      </w:r>
      <w:r>
        <w:rPr>
          <w:color w:val="231F20"/>
          <w:spacing w:val="-32"/>
          <w:w w:val="105"/>
          <w:sz w:val="18"/>
        </w:rPr>
        <w:t> </w:t>
      </w:r>
      <w:r>
        <w:rPr>
          <w:color w:val="231F20"/>
          <w:w w:val="105"/>
          <w:sz w:val="18"/>
        </w:rPr>
        <w:t>los</w:t>
      </w:r>
      <w:r>
        <w:rPr>
          <w:color w:val="231F20"/>
          <w:spacing w:val="-32"/>
          <w:w w:val="105"/>
          <w:sz w:val="18"/>
        </w:rPr>
        <w:t> </w:t>
      </w:r>
      <w:r>
        <w:rPr>
          <w:color w:val="231F20"/>
          <w:w w:val="105"/>
          <w:sz w:val="18"/>
        </w:rPr>
        <w:t>‘ya</w:t>
      </w:r>
      <w:r>
        <w:rPr>
          <w:color w:val="231F20"/>
          <w:spacing w:val="-32"/>
          <w:w w:val="105"/>
          <w:sz w:val="18"/>
        </w:rPr>
        <w:t> </w:t>
      </w:r>
      <w:r>
        <w:rPr>
          <w:color w:val="231F20"/>
          <w:w w:val="105"/>
          <w:sz w:val="18"/>
        </w:rPr>
        <w:t>entonces’,</w:t>
      </w:r>
      <w:r>
        <w:rPr>
          <w:color w:val="231F20"/>
          <w:spacing w:val="-34"/>
          <w:w w:val="105"/>
          <w:sz w:val="18"/>
        </w:rPr>
        <w:t> </w:t>
      </w:r>
      <w:r>
        <w:rPr>
          <w:color w:val="231F20"/>
          <w:w w:val="105"/>
          <w:sz w:val="18"/>
        </w:rPr>
        <w:t>‘desde</w:t>
      </w:r>
      <w:r>
        <w:rPr>
          <w:color w:val="231F20"/>
          <w:spacing w:val="-32"/>
          <w:w w:val="105"/>
          <w:sz w:val="18"/>
        </w:rPr>
        <w:t> </w:t>
      </w:r>
      <w:r>
        <w:rPr>
          <w:color w:val="231F20"/>
          <w:w w:val="105"/>
          <w:sz w:val="18"/>
        </w:rPr>
        <w:t>entonces’,</w:t>
      </w:r>
      <w:r>
        <w:rPr>
          <w:color w:val="231F20"/>
          <w:spacing w:val="-34"/>
          <w:w w:val="105"/>
          <w:sz w:val="18"/>
        </w:rPr>
        <w:t> </w:t>
      </w:r>
      <w:r>
        <w:rPr>
          <w:color w:val="231F20"/>
          <w:w w:val="105"/>
          <w:sz w:val="18"/>
        </w:rPr>
        <w:t>‘desde</w:t>
      </w:r>
      <w:r>
        <w:rPr>
          <w:color w:val="231F20"/>
          <w:spacing w:val="-32"/>
          <w:w w:val="105"/>
          <w:sz w:val="18"/>
        </w:rPr>
        <w:t> </w:t>
      </w:r>
      <w:r>
        <w:rPr>
          <w:color w:val="231F20"/>
          <w:w w:val="105"/>
          <w:sz w:val="18"/>
        </w:rPr>
        <w:t>su</w:t>
      </w:r>
      <w:r>
        <w:rPr>
          <w:color w:val="231F20"/>
          <w:spacing w:val="-32"/>
          <w:w w:val="105"/>
          <w:sz w:val="18"/>
        </w:rPr>
        <w:t> </w:t>
      </w:r>
      <w:r>
        <w:rPr>
          <w:color w:val="231F20"/>
          <w:w w:val="105"/>
          <w:sz w:val="18"/>
        </w:rPr>
        <w:t>más</w:t>
      </w:r>
      <w:r>
        <w:rPr>
          <w:color w:val="231F20"/>
          <w:spacing w:val="-32"/>
          <w:w w:val="105"/>
          <w:sz w:val="18"/>
        </w:rPr>
        <w:t> </w:t>
      </w:r>
      <w:r>
        <w:rPr>
          <w:color w:val="231F20"/>
          <w:w w:val="105"/>
          <w:sz w:val="18"/>
        </w:rPr>
        <w:t>tierna</w:t>
      </w:r>
      <w:r>
        <w:rPr>
          <w:color w:val="231F20"/>
          <w:spacing w:val="-32"/>
          <w:w w:val="105"/>
          <w:sz w:val="18"/>
        </w:rPr>
        <w:t> </w:t>
      </w:r>
      <w:r>
        <w:rPr>
          <w:color w:val="231F20"/>
          <w:spacing w:val="-3"/>
          <w:w w:val="105"/>
          <w:sz w:val="18"/>
        </w:rPr>
        <w:t>infancia’,</w:t>
      </w:r>
      <w:r>
        <w:rPr>
          <w:color w:val="231F20"/>
          <w:spacing w:val="-34"/>
          <w:w w:val="105"/>
          <w:sz w:val="18"/>
        </w:rPr>
        <w:t> </w:t>
      </w:r>
      <w:r>
        <w:rPr>
          <w:color w:val="231F20"/>
          <w:w w:val="105"/>
          <w:sz w:val="18"/>
        </w:rPr>
        <w:t>etc. de</w:t>
      </w:r>
      <w:r>
        <w:rPr>
          <w:color w:val="231F20"/>
          <w:spacing w:val="-16"/>
          <w:w w:val="105"/>
          <w:sz w:val="18"/>
        </w:rPr>
        <w:t> </w:t>
      </w:r>
      <w:r>
        <w:rPr>
          <w:color w:val="231F20"/>
          <w:w w:val="105"/>
          <w:sz w:val="18"/>
        </w:rPr>
        <w:t>las</w:t>
      </w:r>
      <w:r>
        <w:rPr>
          <w:color w:val="231F20"/>
          <w:spacing w:val="-16"/>
          <w:w w:val="105"/>
          <w:sz w:val="18"/>
        </w:rPr>
        <w:t> </w:t>
      </w:r>
      <w:r>
        <w:rPr>
          <w:color w:val="231F20"/>
          <w:w w:val="105"/>
          <w:sz w:val="18"/>
        </w:rPr>
        <w:t>biografías</w:t>
      </w:r>
      <w:r>
        <w:rPr>
          <w:color w:val="231F20"/>
          <w:spacing w:val="-16"/>
          <w:w w:val="105"/>
          <w:sz w:val="18"/>
        </w:rPr>
        <w:t> </w:t>
      </w:r>
      <w:r>
        <w:rPr>
          <w:color w:val="231F20"/>
          <w:w w:val="105"/>
          <w:sz w:val="18"/>
        </w:rPr>
        <w:t>corrientes,</w:t>
      </w:r>
      <w:r>
        <w:rPr>
          <w:color w:val="231F20"/>
          <w:spacing w:val="-20"/>
          <w:w w:val="105"/>
          <w:sz w:val="18"/>
        </w:rPr>
        <w:t> </w:t>
      </w:r>
      <w:r>
        <w:rPr>
          <w:color w:val="231F20"/>
          <w:w w:val="105"/>
          <w:sz w:val="18"/>
        </w:rPr>
        <w:t>o</w:t>
      </w:r>
      <w:r>
        <w:rPr>
          <w:color w:val="231F20"/>
          <w:spacing w:val="-16"/>
          <w:w w:val="105"/>
          <w:sz w:val="18"/>
        </w:rPr>
        <w:t> </w:t>
      </w:r>
      <w:r>
        <w:rPr>
          <w:color w:val="231F20"/>
          <w:w w:val="105"/>
          <w:sz w:val="18"/>
        </w:rPr>
        <w:t>en</w:t>
      </w:r>
      <w:r>
        <w:rPr>
          <w:color w:val="231F20"/>
          <w:spacing w:val="-16"/>
          <w:w w:val="105"/>
          <w:sz w:val="18"/>
        </w:rPr>
        <w:t> </w:t>
      </w:r>
      <w:r>
        <w:rPr>
          <w:color w:val="231F20"/>
          <w:w w:val="105"/>
          <w:sz w:val="18"/>
        </w:rPr>
        <w:t>los</w:t>
      </w:r>
      <w:r>
        <w:rPr>
          <w:color w:val="231F20"/>
          <w:spacing w:val="-16"/>
          <w:w w:val="105"/>
          <w:sz w:val="18"/>
        </w:rPr>
        <w:t> </w:t>
      </w:r>
      <w:r>
        <w:rPr>
          <w:color w:val="231F20"/>
          <w:w w:val="105"/>
          <w:sz w:val="18"/>
        </w:rPr>
        <w:t>‘siempre’</w:t>
      </w:r>
      <w:r>
        <w:rPr>
          <w:color w:val="231F20"/>
          <w:spacing w:val="-16"/>
          <w:w w:val="105"/>
          <w:sz w:val="18"/>
        </w:rPr>
        <w:t> </w:t>
      </w:r>
      <w:r>
        <w:rPr>
          <w:color w:val="231F20"/>
          <w:w w:val="105"/>
          <w:sz w:val="18"/>
        </w:rPr>
        <w:t>(‘siempre</w:t>
      </w:r>
      <w:r>
        <w:rPr>
          <w:color w:val="231F20"/>
          <w:spacing w:val="-16"/>
          <w:w w:val="105"/>
          <w:sz w:val="18"/>
        </w:rPr>
        <w:t> </w:t>
      </w:r>
      <w:r>
        <w:rPr>
          <w:color w:val="231F20"/>
          <w:w w:val="105"/>
          <w:sz w:val="18"/>
        </w:rPr>
        <w:t>me</w:t>
      </w:r>
      <w:r>
        <w:rPr>
          <w:color w:val="231F20"/>
          <w:spacing w:val="-16"/>
          <w:w w:val="105"/>
          <w:sz w:val="18"/>
        </w:rPr>
        <w:t> </w:t>
      </w:r>
      <w:r>
        <w:rPr>
          <w:color w:val="231F20"/>
          <w:w w:val="105"/>
          <w:sz w:val="18"/>
        </w:rPr>
        <w:t>ha</w:t>
      </w:r>
      <w:r>
        <w:rPr>
          <w:color w:val="231F20"/>
          <w:spacing w:val="-16"/>
          <w:w w:val="105"/>
          <w:sz w:val="18"/>
        </w:rPr>
        <w:t> </w:t>
      </w:r>
      <w:r>
        <w:rPr>
          <w:color w:val="231F20"/>
          <w:w w:val="105"/>
          <w:sz w:val="18"/>
        </w:rPr>
        <w:t>gustado la</w:t>
      </w:r>
      <w:r>
        <w:rPr>
          <w:color w:val="231F20"/>
          <w:spacing w:val="-21"/>
          <w:w w:val="105"/>
          <w:sz w:val="18"/>
        </w:rPr>
        <w:t> </w:t>
      </w:r>
      <w:r>
        <w:rPr>
          <w:color w:val="231F20"/>
          <w:w w:val="105"/>
          <w:sz w:val="18"/>
        </w:rPr>
        <w:t>música’)</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las</w:t>
      </w:r>
      <w:r>
        <w:rPr>
          <w:color w:val="231F20"/>
          <w:spacing w:val="-21"/>
          <w:w w:val="105"/>
          <w:sz w:val="18"/>
        </w:rPr>
        <w:t> </w:t>
      </w:r>
      <w:r>
        <w:rPr>
          <w:color w:val="231F20"/>
          <w:w w:val="105"/>
          <w:sz w:val="18"/>
        </w:rPr>
        <w:t>‘historias</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vida’</w:t>
      </w:r>
      <w:r>
        <w:rPr>
          <w:color w:val="231F20"/>
          <w:spacing w:val="-21"/>
          <w:w w:val="105"/>
          <w:sz w:val="18"/>
        </w:rPr>
        <w:t> </w:t>
      </w:r>
      <w:r>
        <w:rPr>
          <w:color w:val="231F20"/>
          <w:w w:val="105"/>
          <w:sz w:val="18"/>
        </w:rPr>
        <w:t>(Bourdieu,</w:t>
      </w:r>
      <w:r>
        <w:rPr>
          <w:color w:val="231F20"/>
          <w:spacing w:val="-25"/>
          <w:w w:val="105"/>
          <w:sz w:val="18"/>
        </w:rPr>
        <w:t> </w:t>
      </w:r>
      <w:r>
        <w:rPr>
          <w:color w:val="231F20"/>
          <w:w w:val="105"/>
          <w:sz w:val="18"/>
        </w:rPr>
        <w:t>1997:</w:t>
      </w:r>
      <w:r>
        <w:rPr>
          <w:color w:val="231F20"/>
          <w:spacing w:val="-21"/>
          <w:w w:val="105"/>
          <w:sz w:val="18"/>
        </w:rPr>
        <w:t> </w:t>
      </w:r>
      <w:r>
        <w:rPr>
          <w:color w:val="231F20"/>
          <w:w w:val="105"/>
          <w:sz w:val="18"/>
        </w:rPr>
        <w:t>74-75).</w:t>
      </w:r>
    </w:p>
    <w:p>
      <w:pPr>
        <w:pStyle w:val="BodyText"/>
        <w:rPr>
          <w:sz w:val="18"/>
        </w:rPr>
      </w:pPr>
    </w:p>
    <w:p>
      <w:pPr>
        <w:pStyle w:val="BodyText"/>
        <w:spacing w:before="5"/>
        <w:rPr>
          <w:sz w:val="26"/>
        </w:rPr>
      </w:pPr>
    </w:p>
    <w:p>
      <w:pPr>
        <w:pStyle w:val="BodyText"/>
        <w:spacing w:line="261" w:lineRule="auto"/>
        <w:ind w:left="1723" w:right="1834"/>
        <w:jc w:val="both"/>
      </w:pPr>
      <w:r>
        <w:rPr>
          <w:color w:val="231F20"/>
          <w:spacing w:val="-4"/>
          <w:w w:val="105"/>
        </w:rPr>
        <w:t>Para</w:t>
      </w:r>
      <w:r>
        <w:rPr>
          <w:color w:val="231F20"/>
          <w:spacing w:val="-25"/>
          <w:w w:val="105"/>
        </w:rPr>
        <w:t> </w:t>
      </w:r>
      <w:r>
        <w:rPr>
          <w:color w:val="231F20"/>
          <w:w w:val="105"/>
        </w:rPr>
        <w:t>Rafael</w:t>
      </w:r>
      <w:r>
        <w:rPr>
          <w:color w:val="231F20"/>
          <w:spacing w:val="-25"/>
          <w:w w:val="105"/>
        </w:rPr>
        <w:t> </w:t>
      </w:r>
      <w:r>
        <w:rPr>
          <w:color w:val="231F20"/>
          <w:w w:val="105"/>
        </w:rPr>
        <w:t>“las</w:t>
      </w:r>
      <w:r>
        <w:rPr>
          <w:color w:val="231F20"/>
          <w:spacing w:val="-25"/>
          <w:w w:val="105"/>
        </w:rPr>
        <w:t> </w:t>
      </w:r>
      <w:r>
        <w:rPr>
          <w:color w:val="231F20"/>
          <w:w w:val="105"/>
        </w:rPr>
        <w:t>cosas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vida</w:t>
      </w:r>
      <w:r>
        <w:rPr>
          <w:color w:val="231F20"/>
          <w:spacing w:val="-25"/>
          <w:w w:val="105"/>
        </w:rPr>
        <w:t> </w:t>
      </w:r>
      <w:r>
        <w:rPr>
          <w:color w:val="231F20"/>
          <w:w w:val="105"/>
        </w:rPr>
        <w:t>pasan</w:t>
      </w:r>
      <w:r>
        <w:rPr>
          <w:color w:val="231F20"/>
          <w:spacing w:val="-25"/>
          <w:w w:val="105"/>
        </w:rPr>
        <w:t> </w:t>
      </w:r>
      <w:r>
        <w:rPr>
          <w:color w:val="231F20"/>
          <w:w w:val="105"/>
        </w:rPr>
        <w:t>porque</w:t>
      </w:r>
      <w:r>
        <w:rPr>
          <w:color w:val="231F20"/>
          <w:spacing w:val="-25"/>
          <w:w w:val="105"/>
        </w:rPr>
        <w:t> </w:t>
      </w:r>
      <w:r>
        <w:rPr>
          <w:color w:val="231F20"/>
          <w:w w:val="105"/>
        </w:rPr>
        <w:t>tienen</w:t>
      </w:r>
      <w:r>
        <w:rPr>
          <w:color w:val="231F20"/>
          <w:spacing w:val="-25"/>
          <w:w w:val="105"/>
        </w:rPr>
        <w:t> </w:t>
      </w:r>
      <w:r>
        <w:rPr>
          <w:color w:val="231F20"/>
          <w:w w:val="105"/>
        </w:rPr>
        <w:t>que</w:t>
      </w:r>
      <w:r>
        <w:rPr>
          <w:color w:val="231F20"/>
          <w:spacing w:val="-25"/>
          <w:w w:val="105"/>
        </w:rPr>
        <w:t> </w:t>
      </w:r>
      <w:r>
        <w:rPr>
          <w:color w:val="231F20"/>
          <w:w w:val="105"/>
        </w:rPr>
        <w:t>pasar,</w:t>
      </w:r>
      <w:r>
        <w:rPr>
          <w:color w:val="231F20"/>
          <w:spacing w:val="-29"/>
          <w:w w:val="105"/>
        </w:rPr>
        <w:t> </w:t>
      </w:r>
      <w:r>
        <w:rPr>
          <w:color w:val="231F20"/>
          <w:w w:val="105"/>
        </w:rPr>
        <w:t>sólo</w:t>
      </w:r>
      <w:r>
        <w:rPr>
          <w:color w:val="231F20"/>
          <w:spacing w:val="-25"/>
          <w:w w:val="105"/>
        </w:rPr>
        <w:t> </w:t>
      </w:r>
      <w:r>
        <w:rPr>
          <w:color w:val="231F20"/>
          <w:w w:val="105"/>
        </w:rPr>
        <w:t>hay que esperar que salgan bien, porque si uno se lo propone, van a salir </w:t>
      </w:r>
      <w:r>
        <w:rPr>
          <w:color w:val="231F20"/>
          <w:spacing w:val="-5"/>
          <w:w w:val="105"/>
        </w:rPr>
        <w:t>bien”.</w:t>
      </w:r>
      <w:r>
        <w:rPr>
          <w:color w:val="231F20"/>
          <w:spacing w:val="-29"/>
          <w:w w:val="105"/>
        </w:rPr>
        <w:t> </w:t>
      </w:r>
      <w:r>
        <w:rPr>
          <w:color w:val="231F20"/>
          <w:w w:val="105"/>
        </w:rPr>
        <w:t>Y</w:t>
      </w:r>
      <w:r>
        <w:rPr>
          <w:color w:val="231F20"/>
          <w:spacing w:val="-24"/>
          <w:w w:val="105"/>
        </w:rPr>
        <w:t> </w:t>
      </w:r>
      <w:r>
        <w:rPr>
          <w:color w:val="231F20"/>
          <w:w w:val="105"/>
        </w:rPr>
        <w:t>sí,</w:t>
      </w:r>
      <w:r>
        <w:rPr>
          <w:color w:val="231F20"/>
          <w:spacing w:val="-26"/>
          <w:w w:val="105"/>
        </w:rPr>
        <w:t> </w:t>
      </w:r>
      <w:r>
        <w:rPr>
          <w:color w:val="231F20"/>
          <w:w w:val="105"/>
        </w:rPr>
        <w:t>su</w:t>
      </w:r>
      <w:r>
        <w:rPr>
          <w:color w:val="231F20"/>
          <w:spacing w:val="-21"/>
          <w:w w:val="105"/>
        </w:rPr>
        <w:t> </w:t>
      </w:r>
      <w:r>
        <w:rPr>
          <w:color w:val="231F20"/>
          <w:w w:val="105"/>
        </w:rPr>
        <w:t>vida,</w:t>
      </w:r>
      <w:r>
        <w:rPr>
          <w:color w:val="231F20"/>
          <w:spacing w:val="-26"/>
          <w:w w:val="105"/>
        </w:rPr>
        <w:t> </w:t>
      </w:r>
      <w:r>
        <w:rPr>
          <w:color w:val="231F20"/>
          <w:w w:val="105"/>
        </w:rPr>
        <w:t>la</w:t>
      </w:r>
      <w:r>
        <w:rPr>
          <w:color w:val="231F20"/>
          <w:spacing w:val="-21"/>
          <w:w w:val="105"/>
        </w:rPr>
        <w:t> </w:t>
      </w:r>
      <w:r>
        <w:rPr>
          <w:color w:val="231F20"/>
          <w:w w:val="105"/>
        </w:rPr>
        <w:t>de</w:t>
      </w:r>
      <w:r>
        <w:rPr>
          <w:color w:val="231F20"/>
          <w:spacing w:val="-21"/>
          <w:w w:val="105"/>
        </w:rPr>
        <w:t> </w:t>
      </w:r>
      <w:r>
        <w:rPr>
          <w:color w:val="231F20"/>
          <w:w w:val="105"/>
        </w:rPr>
        <w:t>sus</w:t>
      </w:r>
      <w:r>
        <w:rPr>
          <w:color w:val="231F20"/>
          <w:spacing w:val="-21"/>
          <w:w w:val="105"/>
        </w:rPr>
        <w:t> </w:t>
      </w:r>
      <w:r>
        <w:rPr>
          <w:color w:val="231F20"/>
          <w:w w:val="105"/>
        </w:rPr>
        <w:t>hermanos</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de</w:t>
      </w:r>
      <w:r>
        <w:rPr>
          <w:color w:val="231F20"/>
          <w:spacing w:val="-21"/>
          <w:w w:val="105"/>
        </w:rPr>
        <w:t> </w:t>
      </w:r>
      <w:r>
        <w:rPr>
          <w:color w:val="231F20"/>
          <w:w w:val="105"/>
        </w:rPr>
        <w:t>sus</w:t>
      </w:r>
      <w:r>
        <w:rPr>
          <w:color w:val="231F20"/>
          <w:spacing w:val="-21"/>
          <w:w w:val="105"/>
        </w:rPr>
        <w:t> </w:t>
      </w:r>
      <w:r>
        <w:rPr>
          <w:color w:val="231F20"/>
          <w:w w:val="105"/>
        </w:rPr>
        <w:t>padres</w:t>
      </w:r>
      <w:r>
        <w:rPr>
          <w:color w:val="231F20"/>
          <w:spacing w:val="-21"/>
          <w:w w:val="105"/>
        </w:rPr>
        <w:t> </w:t>
      </w:r>
      <w:r>
        <w:rPr>
          <w:color w:val="231F20"/>
          <w:w w:val="105"/>
        </w:rPr>
        <w:t>estaban</w:t>
      </w:r>
      <w:r>
        <w:rPr>
          <w:color w:val="231F20"/>
          <w:spacing w:val="-21"/>
          <w:w w:val="105"/>
        </w:rPr>
        <w:t> </w:t>
      </w:r>
      <w:r>
        <w:rPr>
          <w:color w:val="231F20"/>
          <w:w w:val="105"/>
        </w:rPr>
        <w:t>atrapa- das</w:t>
      </w:r>
      <w:r>
        <w:rPr>
          <w:color w:val="231F20"/>
          <w:spacing w:val="-16"/>
          <w:w w:val="105"/>
        </w:rPr>
        <w:t> </w:t>
      </w:r>
      <w:r>
        <w:rPr>
          <w:color w:val="231F20"/>
          <w:w w:val="105"/>
        </w:rPr>
        <w:t>en</w:t>
      </w:r>
      <w:r>
        <w:rPr>
          <w:color w:val="231F20"/>
          <w:spacing w:val="-16"/>
          <w:w w:val="105"/>
        </w:rPr>
        <w:t> </w:t>
      </w:r>
      <w:r>
        <w:rPr>
          <w:color w:val="231F20"/>
          <w:w w:val="105"/>
        </w:rPr>
        <w:t>un</w:t>
      </w:r>
      <w:r>
        <w:rPr>
          <w:color w:val="231F20"/>
          <w:spacing w:val="-16"/>
          <w:w w:val="105"/>
        </w:rPr>
        <w:t> </w:t>
      </w:r>
      <w:r>
        <w:rPr>
          <w:color w:val="231F20"/>
          <w:w w:val="105"/>
        </w:rPr>
        <w:t>rancho</w:t>
      </w:r>
      <w:r>
        <w:rPr>
          <w:color w:val="231F20"/>
          <w:spacing w:val="-16"/>
          <w:w w:val="105"/>
        </w:rPr>
        <w:t> </w:t>
      </w:r>
      <w:r>
        <w:rPr>
          <w:color w:val="231F20"/>
          <w:w w:val="105"/>
        </w:rPr>
        <w:t>del</w:t>
      </w:r>
      <w:r>
        <w:rPr>
          <w:color w:val="231F20"/>
          <w:spacing w:val="-16"/>
          <w:w w:val="105"/>
        </w:rPr>
        <w:t> </w:t>
      </w:r>
      <w:r>
        <w:rPr>
          <w:color w:val="231F20"/>
          <w:w w:val="105"/>
        </w:rPr>
        <w:t>que</w:t>
      </w:r>
      <w:r>
        <w:rPr>
          <w:color w:val="231F20"/>
          <w:spacing w:val="-16"/>
          <w:w w:val="105"/>
        </w:rPr>
        <w:t> </w:t>
      </w:r>
      <w:r>
        <w:rPr>
          <w:color w:val="231F20"/>
          <w:w w:val="105"/>
        </w:rPr>
        <w:t>lo</w:t>
      </w:r>
      <w:r>
        <w:rPr>
          <w:color w:val="231F20"/>
          <w:spacing w:val="-16"/>
          <w:w w:val="105"/>
        </w:rPr>
        <w:t> </w:t>
      </w:r>
      <w:r>
        <w:rPr>
          <w:color w:val="231F20"/>
          <w:w w:val="105"/>
        </w:rPr>
        <w:t>más</w:t>
      </w:r>
      <w:r>
        <w:rPr>
          <w:color w:val="231F20"/>
          <w:spacing w:val="-16"/>
          <w:w w:val="105"/>
        </w:rPr>
        <w:t> </w:t>
      </w:r>
      <w:r>
        <w:rPr>
          <w:color w:val="231F20"/>
          <w:w w:val="105"/>
        </w:rPr>
        <w:t>memorable</w:t>
      </w:r>
      <w:r>
        <w:rPr>
          <w:color w:val="231F20"/>
          <w:spacing w:val="-16"/>
          <w:w w:val="105"/>
        </w:rPr>
        <w:t> </w:t>
      </w:r>
      <w:r>
        <w:rPr>
          <w:color w:val="231F20"/>
          <w:w w:val="105"/>
        </w:rPr>
        <w:t>era</w:t>
      </w:r>
      <w:r>
        <w:rPr>
          <w:color w:val="231F20"/>
          <w:spacing w:val="-16"/>
          <w:w w:val="105"/>
        </w:rPr>
        <w:t> </w:t>
      </w:r>
      <w:r>
        <w:rPr>
          <w:color w:val="231F20"/>
          <w:w w:val="105"/>
        </w:rPr>
        <w:t>la</w:t>
      </w:r>
      <w:r>
        <w:rPr>
          <w:color w:val="231F20"/>
          <w:spacing w:val="-16"/>
          <w:w w:val="105"/>
        </w:rPr>
        <w:t> </w:t>
      </w:r>
      <w:r>
        <w:rPr>
          <w:color w:val="231F20"/>
          <w:w w:val="105"/>
        </w:rPr>
        <w:t>incomunicación.</w:t>
      </w:r>
      <w:r>
        <w:rPr>
          <w:color w:val="231F20"/>
          <w:spacing w:val="-21"/>
          <w:w w:val="105"/>
        </w:rPr>
        <w:t> </w:t>
      </w:r>
      <w:r>
        <w:rPr>
          <w:color w:val="231F20"/>
          <w:spacing w:val="-5"/>
          <w:w w:val="105"/>
        </w:rPr>
        <w:t>Pero </w:t>
      </w:r>
      <w:r>
        <w:rPr>
          <w:color w:val="231F20"/>
          <w:w w:val="105"/>
        </w:rPr>
        <w:t>cuando</w:t>
      </w:r>
      <w:r>
        <w:rPr>
          <w:color w:val="231F20"/>
          <w:spacing w:val="-12"/>
          <w:w w:val="105"/>
        </w:rPr>
        <w:t> </w:t>
      </w:r>
      <w:r>
        <w:rPr>
          <w:color w:val="231F20"/>
          <w:w w:val="105"/>
        </w:rPr>
        <w:t>decidieron</w:t>
      </w:r>
      <w:r>
        <w:rPr>
          <w:color w:val="231F20"/>
          <w:spacing w:val="-12"/>
          <w:w w:val="105"/>
        </w:rPr>
        <w:t> </w:t>
      </w:r>
      <w:r>
        <w:rPr>
          <w:color w:val="231F20"/>
          <w:w w:val="105"/>
        </w:rPr>
        <w:t>partir,</w:t>
      </w:r>
      <w:r>
        <w:rPr>
          <w:color w:val="231F20"/>
          <w:spacing w:val="-18"/>
          <w:w w:val="105"/>
        </w:rPr>
        <w:t> </w:t>
      </w:r>
      <w:r>
        <w:rPr>
          <w:color w:val="231F20"/>
          <w:w w:val="105"/>
        </w:rPr>
        <w:t>abrieron</w:t>
      </w:r>
      <w:r>
        <w:rPr>
          <w:color w:val="231F20"/>
          <w:spacing w:val="-12"/>
          <w:w w:val="105"/>
        </w:rPr>
        <w:t> </w:t>
      </w:r>
      <w:r>
        <w:rPr>
          <w:color w:val="231F20"/>
          <w:w w:val="105"/>
        </w:rPr>
        <w:t>caminos</w:t>
      </w:r>
      <w:r>
        <w:rPr>
          <w:color w:val="231F20"/>
          <w:spacing w:val="-12"/>
          <w:w w:val="105"/>
        </w:rPr>
        <w:t> </w:t>
      </w:r>
      <w:r>
        <w:rPr>
          <w:color w:val="231F20"/>
          <w:w w:val="105"/>
        </w:rPr>
        <w:t>y</w:t>
      </w:r>
      <w:r>
        <w:rPr>
          <w:color w:val="231F20"/>
          <w:spacing w:val="-12"/>
          <w:w w:val="105"/>
        </w:rPr>
        <w:t> </w:t>
      </w:r>
      <w:r>
        <w:rPr>
          <w:color w:val="231F20"/>
          <w:w w:val="105"/>
        </w:rPr>
        <w:t>rutas</w:t>
      </w:r>
      <w:r>
        <w:rPr>
          <w:color w:val="231F20"/>
          <w:spacing w:val="-12"/>
          <w:w w:val="105"/>
        </w:rPr>
        <w:t> </w:t>
      </w:r>
      <w:r>
        <w:rPr>
          <w:color w:val="231F20"/>
          <w:w w:val="105"/>
        </w:rPr>
        <w:t>que</w:t>
      </w:r>
      <w:r>
        <w:rPr>
          <w:color w:val="231F20"/>
          <w:spacing w:val="-12"/>
          <w:w w:val="105"/>
        </w:rPr>
        <w:t> </w:t>
      </w:r>
      <w:r>
        <w:rPr>
          <w:color w:val="231F20"/>
          <w:w w:val="105"/>
        </w:rPr>
        <w:t>olían</w:t>
      </w:r>
      <w:r>
        <w:rPr>
          <w:color w:val="231F20"/>
          <w:spacing w:val="-12"/>
          <w:w w:val="105"/>
        </w:rPr>
        <w:t> </w:t>
      </w:r>
      <w:r>
        <w:rPr>
          <w:color w:val="231F20"/>
          <w:w w:val="105"/>
        </w:rPr>
        <w:t>a</w:t>
      </w:r>
      <w:r>
        <w:rPr>
          <w:color w:val="231F20"/>
          <w:spacing w:val="-12"/>
          <w:w w:val="105"/>
        </w:rPr>
        <w:t> </w:t>
      </w:r>
      <w:r>
        <w:rPr>
          <w:color w:val="231F20"/>
          <w:w w:val="105"/>
        </w:rPr>
        <w:t>futuro.</w:t>
      </w:r>
      <w:r>
        <w:rPr>
          <w:color w:val="231F20"/>
          <w:spacing w:val="-23"/>
          <w:w w:val="105"/>
        </w:rPr>
        <w:t> </w:t>
      </w:r>
      <w:r>
        <w:rPr>
          <w:color w:val="231F20"/>
          <w:spacing w:val="-7"/>
          <w:w w:val="105"/>
        </w:rPr>
        <w:t>Tal </w:t>
      </w:r>
      <w:r>
        <w:rPr>
          <w:color w:val="231F20"/>
          <w:w w:val="105"/>
        </w:rPr>
        <w:t>vez</w:t>
      </w:r>
      <w:r>
        <w:rPr>
          <w:color w:val="231F20"/>
          <w:spacing w:val="-8"/>
          <w:w w:val="105"/>
        </w:rPr>
        <w:t> </w:t>
      </w:r>
      <w:r>
        <w:rPr>
          <w:color w:val="231F20"/>
          <w:w w:val="105"/>
        </w:rPr>
        <w:t>por</w:t>
      </w:r>
      <w:r>
        <w:rPr>
          <w:color w:val="231F20"/>
          <w:spacing w:val="-8"/>
          <w:w w:val="105"/>
        </w:rPr>
        <w:t> </w:t>
      </w:r>
      <w:r>
        <w:rPr>
          <w:color w:val="231F20"/>
          <w:w w:val="105"/>
        </w:rPr>
        <w:t>eso</w:t>
      </w:r>
      <w:r>
        <w:rPr>
          <w:color w:val="231F20"/>
          <w:spacing w:val="-8"/>
          <w:w w:val="105"/>
        </w:rPr>
        <w:t> </w:t>
      </w:r>
      <w:r>
        <w:rPr>
          <w:color w:val="231F20"/>
          <w:w w:val="105"/>
        </w:rPr>
        <w:t>su</w:t>
      </w:r>
      <w:r>
        <w:rPr>
          <w:color w:val="231F20"/>
          <w:spacing w:val="-8"/>
          <w:w w:val="105"/>
        </w:rPr>
        <w:t> </w:t>
      </w:r>
      <w:r>
        <w:rPr>
          <w:color w:val="231F20"/>
          <w:w w:val="105"/>
        </w:rPr>
        <w:t>visión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migración</w:t>
      </w:r>
      <w:r>
        <w:rPr>
          <w:color w:val="231F20"/>
          <w:spacing w:val="-8"/>
          <w:w w:val="105"/>
        </w:rPr>
        <w:t> </w:t>
      </w:r>
      <w:r>
        <w:rPr>
          <w:color w:val="231F20"/>
          <w:w w:val="105"/>
        </w:rPr>
        <w:t>no</w:t>
      </w:r>
      <w:r>
        <w:rPr>
          <w:color w:val="231F20"/>
          <w:spacing w:val="-8"/>
          <w:w w:val="105"/>
        </w:rPr>
        <w:t> </w:t>
      </w:r>
      <w:r>
        <w:rPr>
          <w:color w:val="231F20"/>
          <w:w w:val="105"/>
        </w:rPr>
        <w:t>es</w:t>
      </w:r>
      <w:r>
        <w:rPr>
          <w:color w:val="231F20"/>
          <w:spacing w:val="-8"/>
          <w:w w:val="105"/>
        </w:rPr>
        <w:t> </w:t>
      </w:r>
      <w:r>
        <w:rPr>
          <w:color w:val="231F20"/>
          <w:w w:val="105"/>
        </w:rPr>
        <w:t>de</w:t>
      </w:r>
      <w:r>
        <w:rPr>
          <w:color w:val="231F20"/>
          <w:spacing w:val="-8"/>
          <w:w w:val="105"/>
        </w:rPr>
        <w:t> </w:t>
      </w:r>
      <w:r>
        <w:rPr>
          <w:color w:val="231F20"/>
          <w:w w:val="105"/>
        </w:rPr>
        <w:t>ruptura,</w:t>
      </w:r>
      <w:r>
        <w:rPr>
          <w:color w:val="231F20"/>
          <w:spacing w:val="-13"/>
          <w:w w:val="105"/>
        </w:rPr>
        <w:t> </w:t>
      </w:r>
      <w:r>
        <w:rPr>
          <w:color w:val="231F20"/>
          <w:w w:val="105"/>
        </w:rPr>
        <w:t>no</w:t>
      </w:r>
      <w:r>
        <w:rPr>
          <w:color w:val="231F20"/>
          <w:spacing w:val="-8"/>
          <w:w w:val="105"/>
        </w:rPr>
        <w:t> </w:t>
      </w:r>
      <w:r>
        <w:rPr>
          <w:color w:val="231F20"/>
          <w:w w:val="105"/>
        </w:rPr>
        <w:t>es</w:t>
      </w:r>
      <w:r>
        <w:rPr>
          <w:color w:val="231F20"/>
          <w:spacing w:val="-8"/>
          <w:w w:val="105"/>
        </w:rPr>
        <w:t> </w:t>
      </w:r>
      <w:r>
        <w:rPr>
          <w:color w:val="231F20"/>
          <w:w w:val="105"/>
        </w:rPr>
        <w:t>de</w:t>
      </w:r>
      <w:r>
        <w:rPr>
          <w:color w:val="231F20"/>
          <w:spacing w:val="-8"/>
          <w:w w:val="105"/>
        </w:rPr>
        <w:t> </w:t>
      </w:r>
      <w:r>
        <w:rPr>
          <w:color w:val="231F20"/>
          <w:w w:val="105"/>
        </w:rPr>
        <w:t>separa- ción,</w:t>
      </w:r>
      <w:r>
        <w:rPr>
          <w:color w:val="231F20"/>
          <w:spacing w:val="-18"/>
          <w:w w:val="105"/>
        </w:rPr>
        <w:t> </w:t>
      </w:r>
      <w:r>
        <w:rPr>
          <w:color w:val="231F20"/>
          <w:w w:val="105"/>
        </w:rPr>
        <w:t>sino</w:t>
      </w:r>
      <w:r>
        <w:rPr>
          <w:color w:val="231F20"/>
          <w:spacing w:val="-13"/>
          <w:w w:val="105"/>
        </w:rPr>
        <w:t> </w:t>
      </w:r>
      <w:r>
        <w:rPr>
          <w:color w:val="231F20"/>
          <w:w w:val="105"/>
        </w:rPr>
        <w:t>de</w:t>
      </w:r>
      <w:r>
        <w:rPr>
          <w:color w:val="231F20"/>
          <w:spacing w:val="-13"/>
          <w:w w:val="105"/>
        </w:rPr>
        <w:t> </w:t>
      </w:r>
      <w:r>
        <w:rPr>
          <w:color w:val="231F20"/>
          <w:w w:val="105"/>
        </w:rPr>
        <w:t>búsqueda</w:t>
      </w:r>
      <w:r>
        <w:rPr>
          <w:color w:val="231F20"/>
          <w:spacing w:val="-13"/>
          <w:w w:val="105"/>
        </w:rPr>
        <w:t> </w:t>
      </w:r>
      <w:r>
        <w:rPr>
          <w:color w:val="231F20"/>
          <w:w w:val="105"/>
        </w:rPr>
        <w:t>de</w:t>
      </w:r>
      <w:r>
        <w:rPr>
          <w:color w:val="231F20"/>
          <w:spacing w:val="-13"/>
          <w:w w:val="105"/>
        </w:rPr>
        <w:t> </w:t>
      </w:r>
      <w:r>
        <w:rPr>
          <w:color w:val="231F20"/>
          <w:w w:val="105"/>
        </w:rPr>
        <w:t>caminos</w:t>
      </w:r>
      <w:r>
        <w:rPr>
          <w:color w:val="231F20"/>
          <w:spacing w:val="-13"/>
          <w:w w:val="105"/>
        </w:rPr>
        <w:t> </w:t>
      </w:r>
      <w:r>
        <w:rPr>
          <w:color w:val="231F20"/>
          <w:w w:val="105"/>
        </w:rPr>
        <w:t>sobre</w:t>
      </w:r>
      <w:r>
        <w:rPr>
          <w:color w:val="231F20"/>
          <w:spacing w:val="-13"/>
          <w:w w:val="105"/>
        </w:rPr>
        <w:t> </w:t>
      </w:r>
      <w:r>
        <w:rPr>
          <w:color w:val="231F20"/>
          <w:w w:val="105"/>
        </w:rPr>
        <w:t>los</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pueda</w:t>
      </w:r>
      <w:r>
        <w:rPr>
          <w:color w:val="231F20"/>
          <w:spacing w:val="-13"/>
          <w:w w:val="105"/>
        </w:rPr>
        <w:t> </w:t>
      </w:r>
      <w:r>
        <w:rPr>
          <w:color w:val="231F20"/>
          <w:w w:val="105"/>
        </w:rPr>
        <w:t>andar.</w:t>
      </w:r>
    </w:p>
    <w:p>
      <w:pPr>
        <w:pStyle w:val="BodyText"/>
        <w:spacing w:line="261" w:lineRule="auto" w:before="1"/>
        <w:ind w:left="1723" w:right="1834" w:firstLine="567"/>
        <w:jc w:val="both"/>
      </w:pPr>
      <w:r>
        <w:rPr>
          <w:color w:val="231F20"/>
        </w:rPr>
        <w:t>Quedaron atrás, en el origen, la razón de emigrar y el lugar de re- encuentro. La tierra que espera. El reloj y los itinerarios de Rafael han estado</w:t>
      </w:r>
      <w:r>
        <w:rPr>
          <w:color w:val="231F20"/>
          <w:spacing w:val="-4"/>
        </w:rPr>
        <w:t> </w:t>
      </w:r>
      <w:r>
        <w:rPr>
          <w:color w:val="231F20"/>
        </w:rPr>
        <w:t>marcados</w:t>
      </w:r>
      <w:r>
        <w:rPr>
          <w:color w:val="231F20"/>
          <w:spacing w:val="-4"/>
        </w:rPr>
        <w:t> </w:t>
      </w:r>
      <w:r>
        <w:rPr>
          <w:color w:val="231F20"/>
        </w:rPr>
        <w:t>toda</w:t>
      </w:r>
      <w:r>
        <w:rPr>
          <w:color w:val="231F20"/>
          <w:spacing w:val="-4"/>
        </w:rPr>
        <w:t> </w:t>
      </w:r>
      <w:r>
        <w:rPr>
          <w:color w:val="231F20"/>
        </w:rPr>
        <w:t>su</w:t>
      </w:r>
      <w:r>
        <w:rPr>
          <w:color w:val="231F20"/>
          <w:spacing w:val="-4"/>
        </w:rPr>
        <w:t> </w:t>
      </w:r>
      <w:r>
        <w:rPr>
          <w:color w:val="231F20"/>
        </w:rPr>
        <w:t>vida</w:t>
      </w:r>
      <w:r>
        <w:rPr>
          <w:color w:val="231F20"/>
          <w:spacing w:val="-4"/>
        </w:rPr>
        <w:t> </w:t>
      </w:r>
      <w:r>
        <w:rPr>
          <w:color w:val="231F20"/>
        </w:rPr>
        <w:t>por</w:t>
      </w:r>
      <w:r>
        <w:rPr>
          <w:color w:val="231F20"/>
          <w:spacing w:val="-4"/>
        </w:rPr>
        <w:t> </w:t>
      </w:r>
      <w:r>
        <w:rPr>
          <w:color w:val="231F20"/>
        </w:rPr>
        <w:t>las</w:t>
      </w:r>
      <w:r>
        <w:rPr>
          <w:color w:val="231F20"/>
          <w:spacing w:val="-4"/>
        </w:rPr>
        <w:t> </w:t>
      </w:r>
      <w:r>
        <w:rPr>
          <w:color w:val="231F20"/>
        </w:rPr>
        <w:t>estaciones</w:t>
      </w:r>
      <w:r>
        <w:rPr>
          <w:color w:val="231F20"/>
          <w:spacing w:val="-4"/>
        </w:rPr>
        <w:t> </w:t>
      </w:r>
      <w:r>
        <w:rPr>
          <w:color w:val="231F20"/>
        </w:rPr>
        <w:t>y</w:t>
      </w:r>
      <w:r>
        <w:rPr>
          <w:color w:val="231F20"/>
          <w:spacing w:val="-4"/>
        </w:rPr>
        <w:t> </w:t>
      </w:r>
      <w:r>
        <w:rPr>
          <w:color w:val="231F20"/>
        </w:rPr>
        <w:t>sus</w:t>
      </w:r>
      <w:r>
        <w:rPr>
          <w:color w:val="231F20"/>
          <w:spacing w:val="-4"/>
        </w:rPr>
        <w:t> </w:t>
      </w:r>
      <w:r>
        <w:rPr>
          <w:color w:val="231F20"/>
        </w:rPr>
        <w:t>efectos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cam- pos y en los ciclos vitales de las plantas. Ha creado un nido alrededor     de dos países —de dos mundos—, de la experiencia en el trabajo y de la experiencia junto a la tierra y sus frutos. Quizá él es uno de ellos, por eso el centro de su narración fue, junto con el trabajo, la naturalidad con que se ha acoplado a los cambios, a los tiempos y a las circunstancias en las que su experiencia migratoria y la de su familia han  </w:t>
      </w:r>
      <w:r>
        <w:rPr>
          <w:color w:val="231F20"/>
          <w:spacing w:val="34"/>
        </w:rPr>
        <w:t> </w:t>
      </w:r>
      <w:r>
        <w:rPr>
          <w:color w:val="231F20"/>
        </w:rPr>
        <w:t>transcurrido.</w:t>
      </w:r>
    </w:p>
    <w:p>
      <w:pPr>
        <w:pStyle w:val="BodyText"/>
        <w:spacing w:line="261" w:lineRule="auto" w:before="1"/>
        <w:ind w:left="1723" w:right="1834" w:firstLine="567"/>
        <w:jc w:val="both"/>
      </w:pPr>
      <w:r>
        <w:rPr>
          <w:color w:val="231F20"/>
          <w:w w:val="105"/>
        </w:rPr>
        <w:t>Hoy don Rafa trae siempre en la bolsa de su camisa un teléfono móvil, curiosamente de color azul, como el beliz robado, en el que se llevaron</w:t>
      </w:r>
      <w:r>
        <w:rPr>
          <w:color w:val="231F20"/>
          <w:spacing w:val="-27"/>
          <w:w w:val="105"/>
        </w:rPr>
        <w:t> </w:t>
      </w:r>
      <w:r>
        <w:rPr>
          <w:color w:val="231F20"/>
          <w:w w:val="105"/>
        </w:rPr>
        <w:t>objetos</w:t>
      </w:r>
      <w:r>
        <w:rPr>
          <w:color w:val="231F20"/>
          <w:spacing w:val="-27"/>
          <w:w w:val="105"/>
        </w:rPr>
        <w:t> </w:t>
      </w:r>
      <w:r>
        <w:rPr>
          <w:color w:val="231F20"/>
          <w:w w:val="105"/>
        </w:rPr>
        <w:t>ligados</w:t>
      </w:r>
      <w:r>
        <w:rPr>
          <w:color w:val="231F20"/>
          <w:spacing w:val="-27"/>
          <w:w w:val="105"/>
        </w:rPr>
        <w:t> </w:t>
      </w:r>
      <w:r>
        <w:rPr>
          <w:color w:val="231F20"/>
          <w:w w:val="105"/>
        </w:rPr>
        <w:t>a</w:t>
      </w:r>
      <w:r>
        <w:rPr>
          <w:color w:val="231F20"/>
          <w:spacing w:val="-27"/>
          <w:w w:val="105"/>
        </w:rPr>
        <w:t> </w:t>
      </w:r>
      <w:r>
        <w:rPr>
          <w:color w:val="231F20"/>
          <w:w w:val="105"/>
        </w:rPr>
        <w:t>sus</w:t>
      </w:r>
      <w:r>
        <w:rPr>
          <w:color w:val="231F20"/>
          <w:spacing w:val="-27"/>
          <w:w w:val="105"/>
        </w:rPr>
        <w:t> </w:t>
      </w:r>
      <w:r>
        <w:rPr>
          <w:color w:val="231F20"/>
          <w:w w:val="105"/>
        </w:rPr>
        <w:t>recuerdos</w:t>
      </w:r>
      <w:r>
        <w:rPr>
          <w:color w:val="231F20"/>
          <w:spacing w:val="-27"/>
          <w:w w:val="105"/>
        </w:rPr>
        <w:t> </w:t>
      </w:r>
      <w:r>
        <w:rPr>
          <w:color w:val="231F20"/>
          <w:w w:val="105"/>
        </w:rPr>
        <w:t>y</w:t>
      </w:r>
      <w:r>
        <w:rPr>
          <w:color w:val="231F20"/>
          <w:spacing w:val="-27"/>
          <w:w w:val="105"/>
        </w:rPr>
        <w:t> </w:t>
      </w:r>
      <w:r>
        <w:rPr>
          <w:color w:val="231F20"/>
          <w:w w:val="105"/>
        </w:rPr>
        <w:t>sentimientos.</w:t>
      </w:r>
      <w:r>
        <w:rPr>
          <w:color w:val="231F20"/>
          <w:spacing w:val="-32"/>
          <w:w w:val="105"/>
        </w:rPr>
        <w:t> </w:t>
      </w:r>
      <w:r>
        <w:rPr>
          <w:color w:val="231F20"/>
          <w:w w:val="105"/>
        </w:rPr>
        <w:t>Felizmente,</w:t>
      </w:r>
      <w:r>
        <w:rPr>
          <w:color w:val="231F20"/>
          <w:spacing w:val="-32"/>
          <w:w w:val="105"/>
        </w:rPr>
        <w:t> </w:t>
      </w:r>
      <w:r>
        <w:rPr>
          <w:color w:val="231F20"/>
          <w:w w:val="105"/>
        </w:rPr>
        <w:t>en</w:t>
      </w:r>
      <w:r>
        <w:rPr>
          <w:color w:val="231F20"/>
          <w:spacing w:val="-27"/>
          <w:w w:val="105"/>
        </w:rPr>
        <w:t> </w:t>
      </w:r>
      <w:r>
        <w:rPr>
          <w:color w:val="231F20"/>
          <w:w w:val="105"/>
        </w:rPr>
        <w:t>el beliz</w:t>
      </w:r>
      <w:r>
        <w:rPr>
          <w:color w:val="231F20"/>
          <w:spacing w:val="-21"/>
          <w:w w:val="105"/>
        </w:rPr>
        <w:t> </w:t>
      </w:r>
      <w:r>
        <w:rPr>
          <w:color w:val="231F20"/>
          <w:w w:val="105"/>
        </w:rPr>
        <w:t>no</w:t>
      </w:r>
      <w:r>
        <w:rPr>
          <w:color w:val="231F20"/>
          <w:spacing w:val="-21"/>
          <w:w w:val="105"/>
        </w:rPr>
        <w:t> </w:t>
      </w:r>
      <w:r>
        <w:rPr>
          <w:color w:val="231F20"/>
          <w:w w:val="105"/>
        </w:rPr>
        <w:t>se</w:t>
      </w:r>
      <w:r>
        <w:rPr>
          <w:color w:val="231F20"/>
          <w:spacing w:val="-21"/>
          <w:w w:val="105"/>
        </w:rPr>
        <w:t> </w:t>
      </w:r>
      <w:r>
        <w:rPr>
          <w:color w:val="231F20"/>
          <w:w w:val="105"/>
        </w:rPr>
        <w:t>fueron</w:t>
      </w:r>
      <w:r>
        <w:rPr>
          <w:color w:val="231F20"/>
          <w:spacing w:val="-21"/>
          <w:w w:val="105"/>
        </w:rPr>
        <w:t> </w:t>
      </w:r>
      <w:r>
        <w:rPr>
          <w:color w:val="231F20"/>
          <w:w w:val="105"/>
        </w:rPr>
        <w:t>ni</w:t>
      </w:r>
      <w:r>
        <w:rPr>
          <w:color w:val="231F20"/>
          <w:spacing w:val="-21"/>
          <w:w w:val="105"/>
        </w:rPr>
        <w:t> </w:t>
      </w:r>
      <w:r>
        <w:rPr>
          <w:color w:val="231F20"/>
          <w:w w:val="105"/>
        </w:rPr>
        <w:t>sus</w:t>
      </w:r>
      <w:r>
        <w:rPr>
          <w:color w:val="231F20"/>
          <w:spacing w:val="-21"/>
          <w:w w:val="105"/>
        </w:rPr>
        <w:t> </w:t>
      </w:r>
      <w:r>
        <w:rPr>
          <w:color w:val="231F20"/>
          <w:w w:val="105"/>
        </w:rPr>
        <w:t>recuerdos,</w:t>
      </w:r>
      <w:r>
        <w:rPr>
          <w:color w:val="231F20"/>
          <w:spacing w:val="-26"/>
          <w:w w:val="105"/>
        </w:rPr>
        <w:t> </w:t>
      </w:r>
      <w:r>
        <w:rPr>
          <w:color w:val="231F20"/>
          <w:w w:val="105"/>
        </w:rPr>
        <w:t>ni</w:t>
      </w:r>
      <w:r>
        <w:rPr>
          <w:color w:val="231F20"/>
          <w:spacing w:val="-21"/>
          <w:w w:val="105"/>
        </w:rPr>
        <w:t> </w:t>
      </w:r>
      <w:r>
        <w:rPr>
          <w:color w:val="231F20"/>
          <w:w w:val="105"/>
        </w:rPr>
        <w:t>sus</w:t>
      </w:r>
      <w:r>
        <w:rPr>
          <w:color w:val="231F20"/>
          <w:spacing w:val="-21"/>
          <w:w w:val="105"/>
        </w:rPr>
        <w:t> </w:t>
      </w:r>
      <w:r>
        <w:rPr>
          <w:color w:val="231F20"/>
          <w:w w:val="105"/>
        </w:rPr>
        <w:t>sentimientos,</w:t>
      </w:r>
      <w:r>
        <w:rPr>
          <w:color w:val="231F20"/>
          <w:spacing w:val="-26"/>
          <w:w w:val="105"/>
        </w:rPr>
        <w:t> </w:t>
      </w:r>
      <w:r>
        <w:rPr>
          <w:color w:val="231F20"/>
          <w:w w:val="105"/>
        </w:rPr>
        <w:t>ni</w:t>
      </w:r>
      <w:r>
        <w:rPr>
          <w:color w:val="231F20"/>
          <w:spacing w:val="-21"/>
          <w:w w:val="105"/>
        </w:rPr>
        <w:t> </w:t>
      </w:r>
      <w:r>
        <w:rPr>
          <w:color w:val="231F20"/>
          <w:w w:val="105"/>
        </w:rPr>
        <w:t>su</w:t>
      </w:r>
      <w:r>
        <w:rPr>
          <w:color w:val="231F20"/>
          <w:spacing w:val="-21"/>
          <w:w w:val="105"/>
        </w:rPr>
        <w:t> </w:t>
      </w:r>
      <w:r>
        <w:rPr>
          <w:color w:val="231F20"/>
          <w:w w:val="105"/>
        </w:rPr>
        <w:t>memoria,</w:t>
      </w:r>
      <w:r>
        <w:rPr>
          <w:color w:val="231F20"/>
          <w:spacing w:val="-26"/>
          <w:w w:val="105"/>
        </w:rPr>
        <w:t> </w:t>
      </w:r>
      <w:r>
        <w:rPr>
          <w:color w:val="231F20"/>
          <w:w w:val="105"/>
        </w:rPr>
        <w:t>ni su</w:t>
      </w:r>
      <w:r>
        <w:rPr>
          <w:color w:val="231F20"/>
          <w:spacing w:val="-13"/>
          <w:w w:val="105"/>
        </w:rPr>
        <w:t> </w:t>
      </w:r>
      <w:r>
        <w:rPr>
          <w:color w:val="231F20"/>
          <w:w w:val="105"/>
        </w:rPr>
        <w:t>historia,</w:t>
      </w:r>
      <w:r>
        <w:rPr>
          <w:color w:val="231F20"/>
          <w:spacing w:val="-19"/>
          <w:w w:val="105"/>
        </w:rPr>
        <w:t> </w:t>
      </w:r>
      <w:r>
        <w:rPr>
          <w:color w:val="231F20"/>
          <w:w w:val="105"/>
        </w:rPr>
        <w:t>ni</w:t>
      </w:r>
      <w:r>
        <w:rPr>
          <w:color w:val="231F20"/>
          <w:spacing w:val="-13"/>
          <w:w w:val="105"/>
        </w:rPr>
        <w:t> </w:t>
      </w:r>
      <w:r>
        <w:rPr>
          <w:color w:val="231F20"/>
          <w:w w:val="105"/>
        </w:rPr>
        <w:t>la</w:t>
      </w:r>
      <w:r>
        <w:rPr>
          <w:color w:val="231F20"/>
          <w:spacing w:val="-13"/>
          <w:w w:val="105"/>
        </w:rPr>
        <w:t> </w:t>
      </w:r>
      <w:r>
        <w:rPr>
          <w:color w:val="231F20"/>
          <w:w w:val="105"/>
        </w:rPr>
        <w:t>miel,</w:t>
      </w:r>
      <w:r>
        <w:rPr>
          <w:color w:val="231F20"/>
          <w:spacing w:val="-19"/>
          <w:w w:val="105"/>
        </w:rPr>
        <w:t> </w:t>
      </w:r>
      <w:r>
        <w:rPr>
          <w:color w:val="231F20"/>
          <w:w w:val="105"/>
        </w:rPr>
        <w:t>ni</w:t>
      </w:r>
      <w:r>
        <w:rPr>
          <w:color w:val="231F20"/>
          <w:spacing w:val="-13"/>
          <w:w w:val="105"/>
        </w:rPr>
        <w:t> </w:t>
      </w:r>
      <w:r>
        <w:rPr>
          <w:color w:val="231F20"/>
          <w:w w:val="105"/>
        </w:rPr>
        <w:t>la</w:t>
      </w:r>
      <w:r>
        <w:rPr>
          <w:color w:val="231F20"/>
          <w:spacing w:val="-13"/>
          <w:w w:val="105"/>
        </w:rPr>
        <w:t> </w:t>
      </w:r>
      <w:r>
        <w:rPr>
          <w:color w:val="231F20"/>
          <w:w w:val="105"/>
        </w:rPr>
        <w:t>savia</w:t>
      </w:r>
      <w:r>
        <w:rPr>
          <w:color w:val="231F20"/>
          <w:spacing w:val="-13"/>
          <w:w w:val="105"/>
        </w:rPr>
        <w:t> </w:t>
      </w:r>
      <w:r>
        <w:rPr>
          <w:color w:val="231F20"/>
          <w:w w:val="105"/>
        </w:rPr>
        <w:t>del</w:t>
      </w:r>
      <w:r>
        <w:rPr>
          <w:color w:val="231F20"/>
          <w:spacing w:val="-13"/>
          <w:w w:val="105"/>
        </w:rPr>
        <w:t> </w:t>
      </w:r>
      <w:r>
        <w:rPr>
          <w:color w:val="231F20"/>
          <w:w w:val="105"/>
        </w:rPr>
        <w:t>mapa</w:t>
      </w:r>
      <w:r>
        <w:rPr>
          <w:color w:val="231F20"/>
          <w:spacing w:val="-13"/>
          <w:w w:val="105"/>
        </w:rPr>
        <w:t> </w:t>
      </w:r>
      <w:r>
        <w:rPr>
          <w:color w:val="231F20"/>
          <w:w w:val="105"/>
        </w:rPr>
        <w:t>del</w:t>
      </w:r>
      <w:r>
        <w:rPr>
          <w:color w:val="231F20"/>
          <w:spacing w:val="-13"/>
          <w:w w:val="105"/>
        </w:rPr>
        <w:t> </w:t>
      </w:r>
      <w:r>
        <w:rPr>
          <w:color w:val="231F20"/>
          <w:w w:val="105"/>
        </w:rPr>
        <w:t>futuro</w:t>
      </w:r>
      <w:r>
        <w:rPr>
          <w:color w:val="231F20"/>
          <w:spacing w:val="-13"/>
          <w:w w:val="105"/>
        </w:rPr>
        <w:t> </w:t>
      </w:r>
      <w:r>
        <w:rPr>
          <w:color w:val="231F20"/>
          <w:w w:val="105"/>
        </w:rPr>
        <w:t>que</w:t>
      </w:r>
      <w:r>
        <w:rPr>
          <w:color w:val="231F20"/>
          <w:spacing w:val="-13"/>
          <w:w w:val="105"/>
        </w:rPr>
        <w:t> </w:t>
      </w:r>
      <w:r>
        <w:rPr>
          <w:color w:val="231F20"/>
          <w:w w:val="105"/>
        </w:rPr>
        <w:t>le</w:t>
      </w:r>
      <w:r>
        <w:rPr>
          <w:color w:val="231F20"/>
          <w:spacing w:val="-13"/>
          <w:w w:val="105"/>
        </w:rPr>
        <w:t> </w:t>
      </w:r>
      <w:r>
        <w:rPr>
          <w:color w:val="231F20"/>
          <w:w w:val="105"/>
        </w:rPr>
        <w:t>esperaba,</w:t>
      </w:r>
      <w:r>
        <w:rPr>
          <w:color w:val="231F20"/>
          <w:spacing w:val="-19"/>
          <w:w w:val="105"/>
        </w:rPr>
        <w:t> </w:t>
      </w:r>
      <w:r>
        <w:rPr>
          <w:color w:val="231F20"/>
          <w:w w:val="105"/>
        </w:rPr>
        <w:t>y</w:t>
      </w:r>
      <w:r>
        <w:rPr>
          <w:color w:val="231F20"/>
          <w:spacing w:val="-13"/>
          <w:w w:val="105"/>
        </w:rPr>
        <w:t> </w:t>
      </w:r>
      <w:r>
        <w:rPr>
          <w:color w:val="231F20"/>
          <w:w w:val="105"/>
        </w:rPr>
        <w:t>le espera,</w:t>
      </w:r>
      <w:r>
        <w:rPr>
          <w:color w:val="231F20"/>
          <w:spacing w:val="-32"/>
          <w:w w:val="105"/>
        </w:rPr>
        <w:t> </w:t>
      </w:r>
      <w:r>
        <w:rPr>
          <w:color w:val="231F20"/>
          <w:w w:val="105"/>
        </w:rPr>
        <w:t>para</w:t>
      </w:r>
      <w:r>
        <w:rPr>
          <w:color w:val="231F20"/>
          <w:spacing w:val="-29"/>
          <w:w w:val="105"/>
        </w:rPr>
        <w:t> </w:t>
      </w:r>
      <w:r>
        <w:rPr>
          <w:color w:val="231F20"/>
          <w:w w:val="105"/>
        </w:rPr>
        <w:t>ser</w:t>
      </w:r>
      <w:r>
        <w:rPr>
          <w:color w:val="231F20"/>
          <w:spacing w:val="-29"/>
          <w:w w:val="105"/>
        </w:rPr>
        <w:t> </w:t>
      </w:r>
      <w:r>
        <w:rPr>
          <w:color w:val="231F20"/>
          <w:w w:val="105"/>
        </w:rPr>
        <w:t>vivido.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tabs>
          <w:tab w:pos="2937" w:val="left" w:leader="none"/>
        </w:tabs>
        <w:spacing w:before="73"/>
        <w:ind w:left="1832" w:right="0" w:firstLine="0"/>
        <w:jc w:val="left"/>
        <w:rPr>
          <w:rFonts w:ascii="Calibri"/>
          <w:sz w:val="8"/>
        </w:rPr>
      </w:pPr>
      <w:r>
        <w:rPr/>
        <w:pict>
          <v:line style="position:absolute;mso-position-horizontal-relative:page;mso-position-vertical-relative:paragraph;z-index:-444184" from="131.551193pt,3.853715pt" to="131.551193pt,39.656114pt" stroked="true" strokeweight=".35pt" strokecolor="#231f20">
            <w10:wrap type="none"/>
          </v:line>
        </w:pict>
      </w:r>
      <w:r>
        <w:rPr/>
        <w:pict>
          <v:line style="position:absolute;mso-position-horizontal-relative:page;mso-position-vertical-relative:paragraph;z-index:-444112" from="15pt,39.655914pt" to="0pt,39.655914pt" stroked="true" strokeweight=".25pt" strokecolor="#000000">
            <w10:wrap type="none"/>
          </v:line>
        </w:pict>
      </w:r>
      <w:r>
        <w:rPr/>
        <w:pict>
          <v:line style="position:absolute;mso-position-horizontal-relative:page;mso-position-vertical-relative:paragraph;z-index:46096" from="508.890015pt,39.655914pt" to="523.890015pt,39.655914pt" stroked="true" strokeweight=".25pt" strokecolor="#000000">
            <w10:wrap type="none"/>
          </v:line>
        </w:pict>
      </w:r>
      <w:r>
        <w:rPr>
          <w:rFonts w:ascii="Arial"/>
          <w:color w:val="414042"/>
          <w:position w:val="-5"/>
          <w:sz w:val="20"/>
        </w:rPr>
        <w:t>394</w:t>
        <w:tab/>
      </w:r>
      <w:r>
        <w:rPr>
          <w:rFonts w:ascii="Calibri"/>
          <w:color w:val="6D6E71"/>
          <w:sz w:val="15"/>
        </w:rPr>
        <w:t>Alejandro  Zarur Osorio</w:t>
      </w:r>
      <w:r>
        <w:rPr>
          <w:rFonts w:ascii="Calibri"/>
          <w:color w:val="6D6E71"/>
          <w:position w:val="5"/>
          <w:sz w:val="8"/>
        </w:rPr>
        <w:t>1</w:t>
      </w:r>
    </w:p>
    <w:p>
      <w:pPr>
        <w:spacing w:after="0"/>
        <w:jc w:val="left"/>
        <w:rPr>
          <w:rFonts w:ascii="Calibri"/>
          <w:sz w:val="8"/>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tabs>
          <w:tab w:pos="8691" w:val="right" w:leader="none"/>
        </w:tabs>
        <w:spacing w:before="187"/>
        <w:ind w:left="2023" w:right="0" w:firstLine="0"/>
        <w:jc w:val="left"/>
        <w:rPr>
          <w:rFonts w:ascii="Arial"/>
          <w:sz w:val="20"/>
        </w:rPr>
      </w:pPr>
      <w:r>
        <w:rPr/>
        <w:pict>
          <v:line style="position:absolute;mso-position-horizontal-relative:page;mso-position-vertical-relative:paragraph;z-index:-444064" from="405.061005pt,-18.554295pt" to="405.061005pt,16.311579pt" stroked="true" strokeweight=".35pt" strokecolor="#231f20">
            <w10:wrap type="none"/>
          </v:line>
        </w:pict>
      </w:r>
      <w:r>
        <w:rPr/>
        <w:pict>
          <v:line style="position:absolute;mso-position-horizontal-relative:page;mso-position-vertical-relative:paragraph;z-index:46144" from="15pt,-18.554522pt" to="0pt,-18.554522pt" stroked="true" strokeweight=".25pt" strokecolor="#000000">
            <w10:wrap type="none"/>
          </v:line>
        </w:pict>
      </w:r>
      <w:r>
        <w:rPr/>
        <w:pict>
          <v:line style="position:absolute;mso-position-horizontal-relative:page;mso-position-vertical-relative:paragraph;z-index:46168" from="508.890015pt,-18.554522pt" to="523.890015pt,-18.554522pt" stroked="true" strokeweight=".25pt" strokecolor="#000000">
            <w10:wrap type="none"/>
          </v:line>
        </w:pict>
      </w:r>
      <w:r>
        <w:rPr>
          <w:rFonts w:ascii="Lucida Sans Unicode"/>
          <w:color w:val="6D6E71"/>
          <w:sz w:val="14"/>
        </w:rPr>
        <w:t>LO</w:t>
      </w:r>
      <w:r>
        <w:rPr>
          <w:rFonts w:ascii="Lucida Sans Unicode"/>
          <w:color w:val="6D6E71"/>
          <w:spacing w:val="-29"/>
          <w:sz w:val="14"/>
        </w:rPr>
        <w:t> </w:t>
      </w:r>
      <w:r>
        <w:rPr>
          <w:rFonts w:ascii="Lucida Sans Unicode"/>
          <w:color w:val="6D6E71"/>
          <w:sz w:val="14"/>
        </w:rPr>
        <w:t>QUE</w:t>
      </w:r>
      <w:r>
        <w:rPr>
          <w:rFonts w:ascii="Lucida Sans Unicode"/>
          <w:color w:val="6D6E71"/>
          <w:spacing w:val="-29"/>
          <w:sz w:val="14"/>
        </w:rPr>
        <w:t> </w:t>
      </w:r>
      <w:r>
        <w:rPr>
          <w:rFonts w:ascii="Lucida Sans Unicode"/>
          <w:color w:val="6D6E71"/>
          <w:sz w:val="14"/>
        </w:rPr>
        <w:t>NO</w:t>
      </w:r>
      <w:r>
        <w:rPr>
          <w:rFonts w:ascii="Lucida Sans Unicode"/>
          <w:color w:val="6D6E71"/>
          <w:spacing w:val="-29"/>
          <w:sz w:val="14"/>
        </w:rPr>
        <w:t> </w:t>
      </w:r>
      <w:r>
        <w:rPr>
          <w:rFonts w:ascii="Lucida Sans Unicode"/>
          <w:color w:val="6D6E71"/>
          <w:sz w:val="14"/>
        </w:rPr>
        <w:t>SE</w:t>
      </w:r>
      <w:r>
        <w:rPr>
          <w:rFonts w:ascii="Lucida Sans Unicode"/>
          <w:color w:val="6D6E71"/>
          <w:spacing w:val="-29"/>
          <w:sz w:val="14"/>
        </w:rPr>
        <w:t> </w:t>
      </w:r>
      <w:r>
        <w:rPr>
          <w:rFonts w:ascii="Lucida Sans Unicode"/>
          <w:color w:val="6D6E71"/>
          <w:sz w:val="14"/>
        </w:rPr>
        <w:t>FUE</w:t>
      </w:r>
      <w:r>
        <w:rPr>
          <w:rFonts w:ascii="Lucida Sans Unicode"/>
          <w:color w:val="6D6E71"/>
          <w:spacing w:val="-29"/>
          <w:sz w:val="14"/>
        </w:rPr>
        <w:t> </w:t>
      </w:r>
      <w:r>
        <w:rPr>
          <w:rFonts w:ascii="Lucida Sans Unicode"/>
          <w:color w:val="6D6E71"/>
          <w:sz w:val="14"/>
        </w:rPr>
        <w:t>EN</w:t>
      </w:r>
      <w:r>
        <w:rPr>
          <w:rFonts w:ascii="Lucida Sans Unicode"/>
          <w:color w:val="6D6E71"/>
          <w:spacing w:val="-29"/>
          <w:sz w:val="14"/>
        </w:rPr>
        <w:t> </w:t>
      </w:r>
      <w:r>
        <w:rPr>
          <w:rFonts w:ascii="Lucida Sans Unicode"/>
          <w:color w:val="6D6E71"/>
          <w:sz w:val="14"/>
        </w:rPr>
        <w:t>EL</w:t>
      </w:r>
      <w:r>
        <w:rPr>
          <w:rFonts w:ascii="Lucida Sans Unicode"/>
          <w:color w:val="6D6E71"/>
          <w:spacing w:val="-29"/>
          <w:sz w:val="14"/>
        </w:rPr>
        <w:t> </w:t>
      </w:r>
      <w:r>
        <w:rPr>
          <w:rFonts w:ascii="Lucida Sans Unicode"/>
          <w:color w:val="6D6E71"/>
          <w:sz w:val="14"/>
        </w:rPr>
        <w:t>VELIZ</w:t>
      </w:r>
      <w:r>
        <w:rPr>
          <w:rFonts w:ascii="Lucida Sans Unicode"/>
          <w:color w:val="6D6E71"/>
          <w:spacing w:val="-29"/>
          <w:sz w:val="14"/>
        </w:rPr>
        <w:t> </w:t>
      </w:r>
      <w:r>
        <w:rPr>
          <w:rFonts w:ascii="Lucida Sans Unicode"/>
          <w:color w:val="6D6E71"/>
          <w:sz w:val="14"/>
        </w:rPr>
        <w:t>AZUL.</w:t>
      </w:r>
      <w:r>
        <w:rPr>
          <w:rFonts w:ascii="Lucida Sans Unicode"/>
          <w:color w:val="6D6E71"/>
          <w:spacing w:val="-29"/>
          <w:sz w:val="14"/>
        </w:rPr>
        <w:t> </w:t>
      </w:r>
      <w:r>
        <w:rPr>
          <w:rFonts w:ascii="Lucida Sans Unicode"/>
          <w:color w:val="6D6E71"/>
          <w:sz w:val="14"/>
        </w:rPr>
        <w:t>RELATO</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VIDA</w:t>
      </w:r>
      <w:r>
        <w:rPr>
          <w:rFonts w:ascii="Lucida Sans Unicode"/>
          <w:color w:val="6D6E71"/>
          <w:spacing w:val="-29"/>
          <w:sz w:val="14"/>
        </w:rPr>
        <w:t> </w:t>
      </w:r>
      <w:r>
        <w:rPr>
          <w:rFonts w:ascii="Lucida Sans Unicode"/>
          <w:color w:val="6D6E71"/>
          <w:sz w:val="14"/>
        </w:rPr>
        <w:t>DE</w:t>
      </w:r>
      <w:r>
        <w:rPr>
          <w:rFonts w:ascii="Lucida Sans Unicode"/>
          <w:color w:val="6D6E71"/>
          <w:spacing w:val="-29"/>
          <w:sz w:val="14"/>
        </w:rPr>
        <w:t> </w:t>
      </w:r>
      <w:r>
        <w:rPr>
          <w:rFonts w:ascii="Lucida Sans Unicode"/>
          <w:color w:val="6D6E71"/>
          <w:sz w:val="14"/>
        </w:rPr>
        <w:t>RAFAEL,</w:t>
      </w:r>
      <w:r>
        <w:rPr>
          <w:rFonts w:ascii="Lucida Sans Unicode"/>
          <w:color w:val="6D6E71"/>
          <w:spacing w:val="-29"/>
          <w:sz w:val="14"/>
        </w:rPr>
        <w:t> </w:t>
      </w:r>
      <w:r>
        <w:rPr>
          <w:rFonts w:ascii="Lucida Sans Unicode"/>
          <w:color w:val="6D6E71"/>
          <w:sz w:val="14"/>
        </w:rPr>
        <w:t>UN</w:t>
      </w:r>
      <w:r>
        <w:rPr>
          <w:rFonts w:ascii="Lucida Sans Unicode"/>
          <w:color w:val="6D6E71"/>
          <w:spacing w:val="-29"/>
          <w:sz w:val="14"/>
        </w:rPr>
        <w:t> </w:t>
      </w:r>
      <w:r>
        <w:rPr>
          <w:rFonts w:ascii="Lucida Sans Unicode"/>
          <w:color w:val="6D6E71"/>
          <w:sz w:val="14"/>
        </w:rPr>
        <w:t>MIGRANTE</w:t>
      </w:r>
      <w:r>
        <w:rPr>
          <w:rFonts w:ascii="Lucida Sans Unicode"/>
          <w:color w:val="6D6E71"/>
          <w:spacing w:val="-29"/>
          <w:sz w:val="14"/>
        </w:rPr>
        <w:t> </w:t>
      </w:r>
      <w:r>
        <w:rPr>
          <w:rFonts w:ascii="Lucida Sans Unicode"/>
          <w:color w:val="6D6E71"/>
          <w:sz w:val="14"/>
        </w:rPr>
        <w:t>TONATIQUENSE</w:t>
      </w:r>
      <w:r>
        <w:rPr>
          <w:rFonts w:ascii="Arial"/>
          <w:color w:val="414042"/>
          <w:position w:val="-3"/>
          <w:sz w:val="20"/>
        </w:rPr>
        <w:tab/>
        <w:t>395</w:t>
      </w:r>
    </w:p>
    <w:p>
      <w:pPr>
        <w:pStyle w:val="BodyText"/>
        <w:rPr>
          <w:rFonts w:ascii="Arial"/>
          <w:sz w:val="22"/>
        </w:rPr>
      </w:pPr>
    </w:p>
    <w:p>
      <w:pPr>
        <w:pStyle w:val="BodyText"/>
        <w:rPr>
          <w:rFonts w:ascii="Arial"/>
          <w:sz w:val="22"/>
        </w:rPr>
      </w:pPr>
    </w:p>
    <w:p>
      <w:pPr>
        <w:spacing w:before="131"/>
        <w:ind w:left="1837" w:right="6753" w:firstLine="0"/>
        <w:jc w:val="left"/>
        <w:rPr>
          <w:rFonts w:ascii="Arial" w:hAnsi="Arial"/>
          <w:b/>
          <w:sz w:val="22"/>
        </w:rPr>
      </w:pPr>
      <w:r>
        <w:rPr>
          <w:rFonts w:ascii="Arial" w:hAnsi="Arial"/>
          <w:b/>
          <w:color w:val="231F20"/>
          <w:sz w:val="22"/>
        </w:rPr>
        <w:t>Bibliografía</w:t>
      </w:r>
    </w:p>
    <w:p>
      <w:pPr>
        <w:pStyle w:val="BodyText"/>
        <w:rPr>
          <w:rFonts w:ascii="Arial"/>
          <w:b/>
          <w:sz w:val="22"/>
        </w:rPr>
      </w:pPr>
    </w:p>
    <w:p>
      <w:pPr>
        <w:spacing w:line="259" w:lineRule="auto" w:before="160"/>
        <w:ind w:left="2574" w:right="1723" w:hanging="738"/>
        <w:jc w:val="both"/>
        <w:rPr>
          <w:sz w:val="21"/>
        </w:rPr>
      </w:pPr>
      <w:r>
        <w:rPr>
          <w:color w:val="231F20"/>
          <w:sz w:val="21"/>
        </w:rPr>
        <w:t>Baez,</w:t>
      </w:r>
      <w:r>
        <w:rPr>
          <w:color w:val="231F20"/>
          <w:spacing w:val="-13"/>
          <w:sz w:val="21"/>
        </w:rPr>
        <w:t> </w:t>
      </w:r>
      <w:r>
        <w:rPr>
          <w:color w:val="231F20"/>
          <w:sz w:val="21"/>
        </w:rPr>
        <w:t>Sonia,</w:t>
      </w:r>
      <w:r>
        <w:rPr>
          <w:color w:val="231F20"/>
          <w:spacing w:val="-18"/>
          <w:sz w:val="21"/>
        </w:rPr>
        <w:t> </w:t>
      </w:r>
      <w:r>
        <w:rPr>
          <w:color w:val="231F20"/>
          <w:spacing w:val="-3"/>
          <w:sz w:val="21"/>
        </w:rPr>
        <w:t>Bencomo,</w:t>
      </w:r>
      <w:r>
        <w:rPr>
          <w:color w:val="231F20"/>
          <w:spacing w:val="-22"/>
          <w:sz w:val="21"/>
        </w:rPr>
        <w:t> </w:t>
      </w:r>
      <w:r>
        <w:rPr>
          <w:color w:val="231F20"/>
          <w:spacing w:val="-3"/>
          <w:sz w:val="21"/>
        </w:rPr>
        <w:t>Anadeli</w:t>
      </w:r>
      <w:r>
        <w:rPr>
          <w:color w:val="231F20"/>
          <w:spacing w:val="-11"/>
          <w:sz w:val="21"/>
        </w:rPr>
        <w:t> </w:t>
      </w:r>
      <w:r>
        <w:rPr>
          <w:color w:val="231F20"/>
          <w:sz w:val="21"/>
        </w:rPr>
        <w:t>y</w:t>
      </w:r>
      <w:r>
        <w:rPr>
          <w:color w:val="231F20"/>
          <w:spacing w:val="-11"/>
          <w:sz w:val="21"/>
        </w:rPr>
        <w:t> </w:t>
      </w:r>
      <w:r>
        <w:rPr>
          <w:color w:val="231F20"/>
          <w:spacing w:val="-3"/>
          <w:sz w:val="21"/>
        </w:rPr>
        <w:t>Zimmerman,</w:t>
      </w:r>
      <w:r>
        <w:rPr>
          <w:color w:val="231F20"/>
          <w:spacing w:val="-18"/>
          <w:sz w:val="21"/>
        </w:rPr>
        <w:t> </w:t>
      </w:r>
      <w:r>
        <w:rPr>
          <w:color w:val="231F20"/>
          <w:spacing w:val="-3"/>
          <w:sz w:val="21"/>
        </w:rPr>
        <w:t>Marc</w:t>
      </w:r>
      <w:r>
        <w:rPr>
          <w:color w:val="231F20"/>
          <w:spacing w:val="-11"/>
          <w:sz w:val="21"/>
        </w:rPr>
        <w:t> </w:t>
      </w:r>
      <w:r>
        <w:rPr>
          <w:color w:val="231F20"/>
          <w:spacing w:val="-3"/>
          <w:sz w:val="21"/>
        </w:rPr>
        <w:t>(eds.),</w:t>
      </w:r>
      <w:r>
        <w:rPr>
          <w:color w:val="231F20"/>
          <w:spacing w:val="-18"/>
          <w:sz w:val="21"/>
        </w:rPr>
        <w:t> </w:t>
      </w:r>
      <w:r>
        <w:rPr>
          <w:color w:val="231F20"/>
          <w:spacing w:val="-3"/>
          <w:sz w:val="21"/>
        </w:rPr>
        <w:t>(2007),</w:t>
      </w:r>
      <w:r>
        <w:rPr>
          <w:color w:val="231F20"/>
          <w:spacing w:val="-18"/>
          <w:sz w:val="21"/>
        </w:rPr>
        <w:t> </w:t>
      </w:r>
      <w:r>
        <w:rPr>
          <w:rFonts w:ascii="Arial" w:hAnsi="Arial"/>
          <w:i/>
          <w:color w:val="231F20"/>
          <w:sz w:val="21"/>
        </w:rPr>
        <w:t>Ir</w:t>
      </w:r>
      <w:r>
        <w:rPr>
          <w:rFonts w:ascii="Arial" w:hAnsi="Arial"/>
          <w:i/>
          <w:color w:val="231F20"/>
          <w:spacing w:val="-13"/>
          <w:sz w:val="21"/>
        </w:rPr>
        <w:t> </w:t>
      </w:r>
      <w:r>
        <w:rPr>
          <w:rFonts w:ascii="Arial" w:hAnsi="Arial"/>
          <w:i/>
          <w:color w:val="231F20"/>
          <w:sz w:val="21"/>
        </w:rPr>
        <w:t>y</w:t>
      </w:r>
      <w:r>
        <w:rPr>
          <w:rFonts w:ascii="Arial" w:hAnsi="Arial"/>
          <w:i/>
          <w:color w:val="231F20"/>
          <w:spacing w:val="-13"/>
          <w:sz w:val="21"/>
        </w:rPr>
        <w:t> </w:t>
      </w:r>
      <w:r>
        <w:rPr>
          <w:rFonts w:ascii="Arial" w:hAnsi="Arial"/>
          <w:i/>
          <w:color w:val="231F20"/>
          <w:spacing w:val="-3"/>
          <w:sz w:val="21"/>
        </w:rPr>
        <w:t>venir: </w:t>
      </w:r>
      <w:r>
        <w:rPr>
          <w:rFonts w:ascii="Arial" w:hAnsi="Arial"/>
          <w:i/>
          <w:color w:val="231F20"/>
          <w:spacing w:val="-3"/>
          <w:sz w:val="21"/>
        </w:rPr>
        <w:t>procesos trasnacionales entre América Latina </w:t>
      </w:r>
      <w:r>
        <w:rPr>
          <w:rFonts w:ascii="Arial" w:hAnsi="Arial"/>
          <w:i/>
          <w:color w:val="231F20"/>
          <w:sz w:val="21"/>
        </w:rPr>
        <w:t>y el </w:t>
      </w:r>
      <w:r>
        <w:rPr>
          <w:rFonts w:ascii="Arial" w:hAnsi="Arial"/>
          <w:i/>
          <w:color w:val="231F20"/>
          <w:spacing w:val="-3"/>
          <w:sz w:val="21"/>
        </w:rPr>
        <w:t>norte</w:t>
      </w:r>
      <w:r>
        <w:rPr>
          <w:color w:val="231F20"/>
          <w:spacing w:val="-3"/>
          <w:sz w:val="21"/>
        </w:rPr>
        <w:t>, </w:t>
      </w:r>
      <w:r>
        <w:rPr>
          <w:color w:val="231F20"/>
          <w:spacing w:val="-4"/>
          <w:sz w:val="21"/>
        </w:rPr>
        <w:t>México: </w:t>
      </w:r>
      <w:r>
        <w:rPr>
          <w:color w:val="231F20"/>
          <w:sz w:val="21"/>
        </w:rPr>
        <w:t>Bravo y Allende</w:t>
      </w:r>
      <w:r>
        <w:rPr>
          <w:color w:val="231F20"/>
          <w:spacing w:val="42"/>
          <w:sz w:val="21"/>
        </w:rPr>
        <w:t> </w:t>
      </w:r>
      <w:r>
        <w:rPr>
          <w:color w:val="231F20"/>
          <w:sz w:val="21"/>
        </w:rPr>
        <w:t>Editores.</w:t>
      </w:r>
    </w:p>
    <w:p>
      <w:pPr>
        <w:spacing w:line="261" w:lineRule="auto" w:before="0"/>
        <w:ind w:left="2574" w:right="1715" w:hanging="738"/>
        <w:jc w:val="both"/>
        <w:rPr>
          <w:sz w:val="21"/>
        </w:rPr>
      </w:pPr>
      <w:r>
        <w:rPr>
          <w:color w:val="231F20"/>
          <w:w w:val="105"/>
          <w:sz w:val="21"/>
        </w:rPr>
        <w:t>Bourdieu,</w:t>
      </w:r>
      <w:r>
        <w:rPr>
          <w:color w:val="231F20"/>
          <w:spacing w:val="-24"/>
          <w:w w:val="105"/>
          <w:sz w:val="21"/>
        </w:rPr>
        <w:t> </w:t>
      </w:r>
      <w:r>
        <w:rPr>
          <w:color w:val="231F20"/>
          <w:w w:val="105"/>
          <w:sz w:val="21"/>
        </w:rPr>
        <w:t>Pierre,</w:t>
      </w:r>
      <w:r>
        <w:rPr>
          <w:color w:val="231F20"/>
          <w:spacing w:val="-24"/>
          <w:w w:val="105"/>
          <w:sz w:val="21"/>
        </w:rPr>
        <w:t> </w:t>
      </w:r>
      <w:r>
        <w:rPr>
          <w:color w:val="231F20"/>
          <w:w w:val="105"/>
          <w:sz w:val="21"/>
        </w:rPr>
        <w:t>(1997),</w:t>
      </w:r>
      <w:r>
        <w:rPr>
          <w:color w:val="231F20"/>
          <w:spacing w:val="-24"/>
          <w:w w:val="105"/>
          <w:sz w:val="21"/>
        </w:rPr>
        <w:t> </w:t>
      </w:r>
      <w:r>
        <w:rPr>
          <w:rFonts w:ascii="Arial" w:hAnsi="Arial"/>
          <w:i/>
          <w:color w:val="231F20"/>
          <w:w w:val="105"/>
          <w:sz w:val="21"/>
        </w:rPr>
        <w:t>Razones</w:t>
      </w:r>
      <w:r>
        <w:rPr>
          <w:rFonts w:ascii="Arial" w:hAnsi="Arial"/>
          <w:i/>
          <w:color w:val="231F20"/>
          <w:spacing w:val="-23"/>
          <w:w w:val="105"/>
          <w:sz w:val="21"/>
        </w:rPr>
        <w:t> </w:t>
      </w:r>
      <w:r>
        <w:rPr>
          <w:rFonts w:ascii="Arial" w:hAnsi="Arial"/>
          <w:i/>
          <w:color w:val="231F20"/>
          <w:w w:val="105"/>
          <w:sz w:val="21"/>
        </w:rPr>
        <w:t>prácticas.</w:t>
      </w:r>
      <w:r>
        <w:rPr>
          <w:rFonts w:ascii="Arial" w:hAnsi="Arial"/>
          <w:i/>
          <w:color w:val="231F20"/>
          <w:spacing w:val="-27"/>
          <w:w w:val="105"/>
          <w:sz w:val="21"/>
        </w:rPr>
        <w:t> </w:t>
      </w:r>
      <w:r>
        <w:rPr>
          <w:rFonts w:ascii="Arial" w:hAnsi="Arial"/>
          <w:i/>
          <w:color w:val="231F20"/>
          <w:w w:val="105"/>
          <w:sz w:val="21"/>
        </w:rPr>
        <w:t>Sobre</w:t>
      </w:r>
      <w:r>
        <w:rPr>
          <w:rFonts w:ascii="Arial" w:hAnsi="Arial"/>
          <w:i/>
          <w:color w:val="231F20"/>
          <w:spacing w:val="-23"/>
          <w:w w:val="105"/>
          <w:sz w:val="21"/>
        </w:rPr>
        <w:t> </w:t>
      </w:r>
      <w:r>
        <w:rPr>
          <w:rFonts w:ascii="Arial" w:hAnsi="Arial"/>
          <w:i/>
          <w:color w:val="231F20"/>
          <w:w w:val="105"/>
          <w:sz w:val="21"/>
        </w:rPr>
        <w:t>la</w:t>
      </w:r>
      <w:r>
        <w:rPr>
          <w:rFonts w:ascii="Arial" w:hAnsi="Arial"/>
          <w:i/>
          <w:color w:val="231F20"/>
          <w:spacing w:val="-23"/>
          <w:w w:val="105"/>
          <w:sz w:val="21"/>
        </w:rPr>
        <w:t> </w:t>
      </w:r>
      <w:r>
        <w:rPr>
          <w:rFonts w:ascii="Arial" w:hAnsi="Arial"/>
          <w:i/>
          <w:color w:val="231F20"/>
          <w:w w:val="105"/>
          <w:sz w:val="21"/>
        </w:rPr>
        <w:t>teoría</w:t>
      </w:r>
      <w:r>
        <w:rPr>
          <w:rFonts w:ascii="Arial" w:hAnsi="Arial"/>
          <w:i/>
          <w:color w:val="231F20"/>
          <w:spacing w:val="-23"/>
          <w:w w:val="105"/>
          <w:sz w:val="21"/>
        </w:rPr>
        <w:t> </w:t>
      </w:r>
      <w:r>
        <w:rPr>
          <w:rFonts w:ascii="Arial" w:hAnsi="Arial"/>
          <w:i/>
          <w:color w:val="231F20"/>
          <w:w w:val="105"/>
          <w:sz w:val="21"/>
        </w:rPr>
        <w:t>de</w:t>
      </w:r>
      <w:r>
        <w:rPr>
          <w:rFonts w:ascii="Arial" w:hAnsi="Arial"/>
          <w:i/>
          <w:color w:val="231F20"/>
          <w:spacing w:val="-23"/>
          <w:w w:val="105"/>
          <w:sz w:val="21"/>
        </w:rPr>
        <w:t> </w:t>
      </w:r>
      <w:r>
        <w:rPr>
          <w:rFonts w:ascii="Arial" w:hAnsi="Arial"/>
          <w:i/>
          <w:color w:val="231F20"/>
          <w:w w:val="105"/>
          <w:sz w:val="21"/>
        </w:rPr>
        <w:t>la</w:t>
      </w:r>
      <w:r>
        <w:rPr>
          <w:rFonts w:ascii="Arial" w:hAnsi="Arial"/>
          <w:i/>
          <w:color w:val="231F20"/>
          <w:spacing w:val="-23"/>
          <w:w w:val="105"/>
          <w:sz w:val="21"/>
        </w:rPr>
        <w:t> </w:t>
      </w:r>
      <w:r>
        <w:rPr>
          <w:rFonts w:ascii="Arial" w:hAnsi="Arial"/>
          <w:i/>
          <w:color w:val="231F20"/>
          <w:w w:val="105"/>
          <w:sz w:val="21"/>
        </w:rPr>
        <w:t>acción</w:t>
      </w:r>
      <w:r>
        <w:rPr>
          <w:color w:val="231F20"/>
          <w:w w:val="105"/>
          <w:sz w:val="21"/>
        </w:rPr>
        <w:t>, Madrid:</w:t>
      </w:r>
      <w:r>
        <w:rPr>
          <w:color w:val="231F20"/>
          <w:spacing w:val="-19"/>
          <w:w w:val="105"/>
          <w:sz w:val="21"/>
        </w:rPr>
        <w:t> </w:t>
      </w:r>
      <w:r>
        <w:rPr>
          <w:color w:val="231F20"/>
          <w:w w:val="105"/>
          <w:sz w:val="21"/>
        </w:rPr>
        <w:t>Anagrama.</w:t>
      </w:r>
    </w:p>
    <w:p>
      <w:pPr>
        <w:tabs>
          <w:tab w:pos="2677" w:val="left" w:leader="none"/>
        </w:tabs>
        <w:spacing w:line="239" w:lineRule="exact" w:before="0"/>
        <w:ind w:left="1837" w:right="0" w:firstLine="0"/>
        <w:jc w:val="left"/>
        <w:rPr>
          <w:sz w:val="21"/>
        </w:rPr>
      </w:pPr>
      <w:r>
        <w:rPr>
          <w:color w:val="231F20"/>
          <w:w w:val="94"/>
          <w:sz w:val="21"/>
          <w:u w:val="single" w:color="221E1F"/>
        </w:rPr>
        <w:t> </w:t>
      </w:r>
      <w:r>
        <w:rPr>
          <w:color w:val="231F20"/>
          <w:sz w:val="21"/>
          <w:u w:val="single" w:color="221E1F"/>
        </w:rPr>
        <w:tab/>
      </w:r>
      <w:r>
        <w:rPr>
          <w:color w:val="231F20"/>
          <w:spacing w:val="-4"/>
          <w:sz w:val="21"/>
        </w:rPr>
        <w:t> </w:t>
      </w:r>
      <w:r>
        <w:rPr>
          <w:color w:val="231F20"/>
          <w:sz w:val="21"/>
        </w:rPr>
        <w:t>(1999), </w:t>
      </w:r>
      <w:r>
        <w:rPr>
          <w:rFonts w:ascii="Arial" w:hAnsi="Arial"/>
          <w:i/>
          <w:color w:val="231F20"/>
          <w:sz w:val="21"/>
        </w:rPr>
        <w:t>La miseria del mundo</w:t>
      </w:r>
      <w:r>
        <w:rPr>
          <w:color w:val="231F20"/>
          <w:sz w:val="21"/>
        </w:rPr>
        <w:t>, México:</w:t>
      </w:r>
      <w:r>
        <w:rPr>
          <w:color w:val="231F20"/>
          <w:spacing w:val="17"/>
          <w:sz w:val="21"/>
        </w:rPr>
        <w:t> </w:t>
      </w:r>
      <w:r>
        <w:rPr>
          <w:color w:val="231F20"/>
          <w:sz w:val="17"/>
        </w:rPr>
        <w:t>FCE</w:t>
      </w:r>
      <w:r>
        <w:rPr>
          <w:color w:val="231F20"/>
          <w:sz w:val="21"/>
        </w:rPr>
        <w:t>.</w:t>
      </w:r>
    </w:p>
    <w:p>
      <w:pPr>
        <w:pStyle w:val="BodyText"/>
        <w:spacing w:line="259" w:lineRule="auto" w:before="18"/>
        <w:ind w:left="2574" w:right="1722" w:hanging="738"/>
        <w:jc w:val="both"/>
      </w:pPr>
      <w:r>
        <w:rPr>
          <w:color w:val="231F20"/>
          <w:w w:val="105"/>
        </w:rPr>
        <w:t>Ferrarotti,</w:t>
      </w:r>
      <w:r>
        <w:rPr>
          <w:color w:val="231F20"/>
          <w:spacing w:val="-26"/>
          <w:w w:val="105"/>
        </w:rPr>
        <w:t> </w:t>
      </w:r>
      <w:r>
        <w:rPr>
          <w:color w:val="231F20"/>
          <w:spacing w:val="-3"/>
          <w:w w:val="105"/>
        </w:rPr>
        <w:t>Franco,</w:t>
      </w:r>
      <w:r>
        <w:rPr>
          <w:color w:val="231F20"/>
          <w:spacing w:val="-26"/>
          <w:w w:val="105"/>
        </w:rPr>
        <w:t> </w:t>
      </w:r>
      <w:r>
        <w:rPr>
          <w:color w:val="231F20"/>
          <w:w w:val="105"/>
        </w:rPr>
        <w:t>(2007),</w:t>
      </w:r>
      <w:r>
        <w:rPr>
          <w:color w:val="231F20"/>
          <w:spacing w:val="-26"/>
          <w:w w:val="105"/>
        </w:rPr>
        <w:t> </w:t>
      </w:r>
      <w:r>
        <w:rPr>
          <w:color w:val="231F20"/>
          <w:w w:val="105"/>
        </w:rPr>
        <w:t>“La</w:t>
      </w:r>
      <w:r>
        <w:rPr>
          <w:color w:val="231F20"/>
          <w:spacing w:val="-22"/>
          <w:w w:val="105"/>
        </w:rPr>
        <w:t> </w:t>
      </w:r>
      <w:r>
        <w:rPr>
          <w:color w:val="231F20"/>
          <w:w w:val="105"/>
        </w:rPr>
        <w:t>historia</w:t>
      </w:r>
      <w:r>
        <w:rPr>
          <w:color w:val="231F20"/>
          <w:spacing w:val="-22"/>
          <w:w w:val="105"/>
        </w:rPr>
        <w:t> </w:t>
      </w:r>
      <w:r>
        <w:rPr>
          <w:color w:val="231F20"/>
          <w:w w:val="105"/>
        </w:rPr>
        <w:t>de</w:t>
      </w:r>
      <w:r>
        <w:rPr>
          <w:color w:val="231F20"/>
          <w:spacing w:val="-22"/>
          <w:w w:val="105"/>
        </w:rPr>
        <w:t> </w:t>
      </w:r>
      <w:r>
        <w:rPr>
          <w:color w:val="231F20"/>
          <w:w w:val="105"/>
        </w:rPr>
        <w:t>vida</w:t>
      </w:r>
      <w:r>
        <w:rPr>
          <w:color w:val="231F20"/>
          <w:spacing w:val="-22"/>
          <w:w w:val="105"/>
        </w:rPr>
        <w:t> </w:t>
      </w:r>
      <w:r>
        <w:rPr>
          <w:color w:val="231F20"/>
          <w:w w:val="105"/>
        </w:rPr>
        <w:t>como</w:t>
      </w:r>
      <w:r>
        <w:rPr>
          <w:color w:val="231F20"/>
          <w:spacing w:val="-22"/>
          <w:w w:val="105"/>
        </w:rPr>
        <w:t> </w:t>
      </w:r>
      <w:r>
        <w:rPr>
          <w:color w:val="231F20"/>
          <w:spacing w:val="-4"/>
          <w:w w:val="105"/>
        </w:rPr>
        <w:t>método”,</w:t>
      </w:r>
      <w:r>
        <w:rPr>
          <w:color w:val="231F20"/>
          <w:spacing w:val="-26"/>
          <w:w w:val="105"/>
        </w:rPr>
        <w:t> </w:t>
      </w:r>
      <w:r>
        <w:rPr>
          <w:rFonts w:ascii="Arial" w:hAnsi="Arial"/>
          <w:i/>
          <w:color w:val="231F20"/>
          <w:w w:val="105"/>
        </w:rPr>
        <w:t>Convergen- </w:t>
      </w:r>
      <w:r>
        <w:rPr>
          <w:rFonts w:ascii="Arial" w:hAnsi="Arial"/>
          <w:i/>
          <w:color w:val="231F20"/>
          <w:w w:val="105"/>
        </w:rPr>
        <w:t>cia</w:t>
      </w:r>
      <w:r>
        <w:rPr>
          <w:color w:val="231F20"/>
          <w:w w:val="105"/>
        </w:rPr>
        <w:t>,</w:t>
      </w:r>
      <w:r>
        <w:rPr>
          <w:color w:val="231F20"/>
          <w:spacing w:val="-30"/>
          <w:w w:val="105"/>
        </w:rPr>
        <w:t> </w:t>
      </w:r>
      <w:r>
        <w:rPr>
          <w:color w:val="231F20"/>
          <w:w w:val="105"/>
        </w:rPr>
        <w:t>núm.</w:t>
      </w:r>
      <w:r>
        <w:rPr>
          <w:color w:val="231F20"/>
          <w:spacing w:val="-30"/>
          <w:w w:val="105"/>
        </w:rPr>
        <w:t> </w:t>
      </w:r>
      <w:r>
        <w:rPr>
          <w:color w:val="231F20"/>
          <w:w w:val="105"/>
        </w:rPr>
        <w:t>44.</w:t>
      </w:r>
    </w:p>
    <w:p>
      <w:pPr>
        <w:spacing w:line="241" w:lineRule="exact" w:before="0"/>
        <w:ind w:left="1837" w:right="0" w:firstLine="0"/>
        <w:jc w:val="left"/>
        <w:rPr>
          <w:sz w:val="21"/>
        </w:rPr>
      </w:pPr>
      <w:r>
        <w:rPr>
          <w:color w:val="231F20"/>
          <w:sz w:val="21"/>
        </w:rPr>
        <w:t>González y González, Luis, (2009), </w:t>
      </w:r>
      <w:r>
        <w:rPr>
          <w:rFonts w:ascii="Arial" w:hAnsi="Arial"/>
          <w:i/>
          <w:color w:val="231F20"/>
          <w:sz w:val="21"/>
        </w:rPr>
        <w:t>El oficio de historiar</w:t>
      </w:r>
      <w:r>
        <w:rPr>
          <w:color w:val="231F20"/>
          <w:sz w:val="21"/>
        </w:rPr>
        <w:t>, Zamora,  México:</w:t>
      </w:r>
    </w:p>
    <w:p>
      <w:pPr>
        <w:spacing w:before="22"/>
        <w:ind w:left="2574" w:right="6753" w:firstLine="0"/>
        <w:jc w:val="left"/>
        <w:rPr>
          <w:sz w:val="21"/>
        </w:rPr>
      </w:pPr>
      <w:r>
        <w:rPr>
          <w:color w:val="231F20"/>
          <w:sz w:val="17"/>
        </w:rPr>
        <w:t>COLMICH</w:t>
      </w:r>
      <w:r>
        <w:rPr>
          <w:color w:val="231F20"/>
          <w:sz w:val="21"/>
        </w:rPr>
        <w:t>.</w:t>
      </w:r>
    </w:p>
    <w:p>
      <w:pPr>
        <w:spacing w:before="19"/>
        <w:ind w:left="1837" w:right="0" w:firstLine="0"/>
        <w:jc w:val="left"/>
        <w:rPr>
          <w:rFonts w:ascii="Arial" w:hAnsi="Arial"/>
          <w:i/>
          <w:sz w:val="21"/>
        </w:rPr>
      </w:pPr>
      <w:r>
        <w:rPr>
          <w:color w:val="231F20"/>
          <w:sz w:val="21"/>
        </w:rPr>
        <w:t>Levine, Elaine (ed.), (2008), </w:t>
      </w:r>
      <w:r>
        <w:rPr>
          <w:rFonts w:ascii="Arial" w:hAnsi="Arial"/>
          <w:i/>
          <w:color w:val="231F20"/>
          <w:sz w:val="21"/>
        </w:rPr>
        <w:t>La migración y los latinos en Estados Unidos.</w:t>
      </w:r>
    </w:p>
    <w:p>
      <w:pPr>
        <w:spacing w:before="18"/>
        <w:ind w:left="2574" w:right="0" w:firstLine="0"/>
        <w:jc w:val="left"/>
        <w:rPr>
          <w:sz w:val="21"/>
        </w:rPr>
      </w:pPr>
      <w:r>
        <w:rPr>
          <w:rFonts w:ascii="Arial" w:hAnsi="Arial"/>
          <w:i/>
          <w:color w:val="231F20"/>
          <w:sz w:val="21"/>
        </w:rPr>
        <w:t>Visiones y reflexiones</w:t>
      </w:r>
      <w:r>
        <w:rPr>
          <w:color w:val="231F20"/>
          <w:sz w:val="21"/>
        </w:rPr>
        <w:t>, México: </w:t>
      </w:r>
      <w:r>
        <w:rPr>
          <w:color w:val="231F20"/>
          <w:sz w:val="17"/>
        </w:rPr>
        <w:t>UNAM</w:t>
      </w:r>
      <w:r>
        <w:rPr>
          <w:color w:val="231F20"/>
          <w:sz w:val="21"/>
        </w:rPr>
        <w:t>/</w:t>
      </w:r>
      <w:r>
        <w:rPr>
          <w:color w:val="231F20"/>
          <w:sz w:val="17"/>
        </w:rPr>
        <w:t>CISAN</w:t>
      </w:r>
      <w:r>
        <w:rPr>
          <w:color w:val="231F20"/>
          <w:sz w:val="21"/>
        </w:rPr>
        <w:t>.</w:t>
      </w:r>
    </w:p>
    <w:p>
      <w:pPr>
        <w:spacing w:line="259" w:lineRule="auto" w:before="18"/>
        <w:ind w:left="1837" w:right="1716" w:firstLine="0"/>
        <w:jc w:val="left"/>
        <w:rPr>
          <w:rFonts w:ascii="Arial" w:hAnsi="Arial"/>
          <w:i/>
          <w:sz w:val="21"/>
        </w:rPr>
      </w:pPr>
      <w:r>
        <w:rPr>
          <w:color w:val="231F20"/>
          <w:w w:val="105"/>
          <w:sz w:val="21"/>
        </w:rPr>
        <w:t>Mills Wright, Charles, (1981), </w:t>
      </w:r>
      <w:r>
        <w:rPr>
          <w:rFonts w:ascii="Arial" w:hAnsi="Arial"/>
          <w:i/>
          <w:color w:val="231F20"/>
          <w:w w:val="105"/>
          <w:sz w:val="21"/>
        </w:rPr>
        <w:t>La imaginación sociológica</w:t>
      </w:r>
      <w:r>
        <w:rPr>
          <w:color w:val="231F20"/>
          <w:w w:val="105"/>
          <w:sz w:val="21"/>
        </w:rPr>
        <w:t>, México: </w:t>
      </w:r>
      <w:r>
        <w:rPr>
          <w:color w:val="231F20"/>
          <w:w w:val="105"/>
          <w:sz w:val="17"/>
        </w:rPr>
        <w:t>FCE</w:t>
      </w:r>
      <w:r>
        <w:rPr>
          <w:color w:val="231F20"/>
          <w:w w:val="105"/>
          <w:sz w:val="21"/>
        </w:rPr>
        <w:t>. </w:t>
      </w:r>
      <w:r>
        <w:rPr>
          <w:color w:val="231F20"/>
          <w:spacing w:val="-4"/>
          <w:w w:val="105"/>
          <w:sz w:val="21"/>
        </w:rPr>
        <w:t>Paz,</w:t>
      </w:r>
      <w:r>
        <w:rPr>
          <w:color w:val="231F20"/>
          <w:spacing w:val="-33"/>
          <w:w w:val="105"/>
          <w:sz w:val="21"/>
        </w:rPr>
        <w:t> </w:t>
      </w:r>
      <w:r>
        <w:rPr>
          <w:color w:val="231F20"/>
          <w:w w:val="105"/>
          <w:sz w:val="21"/>
        </w:rPr>
        <w:t>Octavio,</w:t>
      </w:r>
      <w:r>
        <w:rPr>
          <w:color w:val="231F20"/>
          <w:spacing w:val="-33"/>
          <w:w w:val="105"/>
          <w:sz w:val="21"/>
        </w:rPr>
        <w:t> </w:t>
      </w:r>
      <w:r>
        <w:rPr>
          <w:color w:val="231F20"/>
          <w:w w:val="105"/>
          <w:sz w:val="21"/>
        </w:rPr>
        <w:t>(2004),</w:t>
      </w:r>
      <w:r>
        <w:rPr>
          <w:color w:val="231F20"/>
          <w:spacing w:val="-33"/>
          <w:w w:val="105"/>
          <w:sz w:val="21"/>
        </w:rPr>
        <w:t> </w:t>
      </w:r>
      <w:r>
        <w:rPr>
          <w:rFonts w:ascii="Arial" w:hAnsi="Arial"/>
          <w:i/>
          <w:color w:val="231F20"/>
          <w:w w:val="105"/>
          <w:sz w:val="21"/>
        </w:rPr>
        <w:t>El</w:t>
      </w:r>
      <w:r>
        <w:rPr>
          <w:rFonts w:ascii="Arial" w:hAnsi="Arial"/>
          <w:i/>
          <w:color w:val="231F20"/>
          <w:spacing w:val="-32"/>
          <w:w w:val="105"/>
          <w:sz w:val="21"/>
        </w:rPr>
        <w:t> </w:t>
      </w:r>
      <w:r>
        <w:rPr>
          <w:rFonts w:ascii="Arial" w:hAnsi="Arial"/>
          <w:i/>
          <w:color w:val="231F20"/>
          <w:w w:val="105"/>
          <w:sz w:val="21"/>
        </w:rPr>
        <w:t>laberinto</w:t>
      </w:r>
      <w:r>
        <w:rPr>
          <w:rFonts w:ascii="Arial" w:hAnsi="Arial"/>
          <w:i/>
          <w:color w:val="231F20"/>
          <w:spacing w:val="-32"/>
          <w:w w:val="105"/>
          <w:sz w:val="21"/>
        </w:rPr>
        <w:t> </w:t>
      </w:r>
      <w:r>
        <w:rPr>
          <w:rFonts w:ascii="Arial" w:hAnsi="Arial"/>
          <w:i/>
          <w:color w:val="231F20"/>
          <w:w w:val="105"/>
          <w:sz w:val="21"/>
        </w:rPr>
        <w:t>de</w:t>
      </w:r>
      <w:r>
        <w:rPr>
          <w:rFonts w:ascii="Arial" w:hAnsi="Arial"/>
          <w:i/>
          <w:color w:val="231F20"/>
          <w:spacing w:val="-32"/>
          <w:w w:val="105"/>
          <w:sz w:val="21"/>
        </w:rPr>
        <w:t> </w:t>
      </w:r>
      <w:r>
        <w:rPr>
          <w:rFonts w:ascii="Arial" w:hAnsi="Arial"/>
          <w:i/>
          <w:color w:val="231F20"/>
          <w:w w:val="105"/>
          <w:sz w:val="21"/>
        </w:rPr>
        <w:t>la</w:t>
      </w:r>
      <w:r>
        <w:rPr>
          <w:rFonts w:ascii="Arial" w:hAnsi="Arial"/>
          <w:i/>
          <w:color w:val="231F20"/>
          <w:spacing w:val="-32"/>
          <w:w w:val="105"/>
          <w:sz w:val="21"/>
        </w:rPr>
        <w:t> </w:t>
      </w:r>
      <w:r>
        <w:rPr>
          <w:rFonts w:ascii="Arial" w:hAnsi="Arial"/>
          <w:i/>
          <w:color w:val="231F20"/>
          <w:w w:val="105"/>
          <w:sz w:val="21"/>
        </w:rPr>
        <w:t>soledad</w:t>
      </w:r>
      <w:r>
        <w:rPr>
          <w:color w:val="231F20"/>
          <w:w w:val="105"/>
          <w:sz w:val="21"/>
        </w:rPr>
        <w:t>,</w:t>
      </w:r>
      <w:r>
        <w:rPr>
          <w:color w:val="231F20"/>
          <w:spacing w:val="-33"/>
          <w:w w:val="105"/>
          <w:sz w:val="21"/>
        </w:rPr>
        <w:t> </w:t>
      </w:r>
      <w:r>
        <w:rPr>
          <w:rFonts w:ascii="Arial" w:hAnsi="Arial"/>
          <w:i/>
          <w:color w:val="231F20"/>
          <w:spacing w:val="-3"/>
          <w:w w:val="105"/>
          <w:sz w:val="21"/>
        </w:rPr>
        <w:t>Posdata,</w:t>
      </w:r>
      <w:r>
        <w:rPr>
          <w:rFonts w:ascii="Arial" w:hAnsi="Arial"/>
          <w:i/>
          <w:color w:val="231F20"/>
          <w:spacing w:val="-38"/>
          <w:w w:val="105"/>
          <w:sz w:val="21"/>
        </w:rPr>
        <w:t> </w:t>
      </w:r>
      <w:r>
        <w:rPr>
          <w:rFonts w:ascii="Arial" w:hAnsi="Arial"/>
          <w:i/>
          <w:color w:val="231F20"/>
          <w:w w:val="105"/>
          <w:sz w:val="21"/>
        </w:rPr>
        <w:t>Vuelta</w:t>
      </w:r>
      <w:r>
        <w:rPr>
          <w:rFonts w:ascii="Arial" w:hAnsi="Arial"/>
          <w:i/>
          <w:color w:val="231F20"/>
          <w:spacing w:val="-32"/>
          <w:w w:val="105"/>
          <w:sz w:val="21"/>
        </w:rPr>
        <w:t> </w:t>
      </w:r>
      <w:r>
        <w:rPr>
          <w:rFonts w:ascii="Arial" w:hAnsi="Arial"/>
          <w:i/>
          <w:color w:val="231F20"/>
          <w:w w:val="105"/>
          <w:sz w:val="21"/>
        </w:rPr>
        <w:t>al</w:t>
      </w:r>
      <w:r>
        <w:rPr>
          <w:rFonts w:ascii="Arial" w:hAnsi="Arial"/>
          <w:i/>
          <w:color w:val="231F20"/>
          <w:spacing w:val="-32"/>
          <w:w w:val="105"/>
          <w:sz w:val="21"/>
        </w:rPr>
        <w:t> </w:t>
      </w:r>
      <w:r>
        <w:rPr>
          <w:rFonts w:ascii="Arial" w:hAnsi="Arial"/>
          <w:i/>
          <w:color w:val="231F20"/>
          <w:w w:val="105"/>
          <w:sz w:val="21"/>
        </w:rPr>
        <w:t>laberin-</w:t>
      </w:r>
    </w:p>
    <w:p>
      <w:pPr>
        <w:spacing w:line="241" w:lineRule="exact" w:before="0"/>
        <w:ind w:left="2574" w:right="0" w:firstLine="0"/>
        <w:jc w:val="left"/>
        <w:rPr>
          <w:sz w:val="21"/>
        </w:rPr>
      </w:pPr>
      <w:r>
        <w:rPr>
          <w:rFonts w:ascii="Arial" w:hAnsi="Arial"/>
          <w:i/>
          <w:color w:val="231F20"/>
          <w:w w:val="105"/>
          <w:sz w:val="21"/>
        </w:rPr>
        <w:t>to de la soledad</w:t>
      </w:r>
      <w:r>
        <w:rPr>
          <w:color w:val="231F20"/>
          <w:w w:val="105"/>
          <w:sz w:val="21"/>
        </w:rPr>
        <w:t>, México: </w:t>
      </w:r>
      <w:r>
        <w:rPr>
          <w:color w:val="231F20"/>
          <w:w w:val="105"/>
          <w:sz w:val="17"/>
        </w:rPr>
        <w:t>FCE</w:t>
      </w:r>
      <w:r>
        <w:rPr>
          <w:color w:val="231F20"/>
          <w:w w:val="105"/>
          <w:sz w:val="21"/>
        </w:rPr>
        <w:t>.</w:t>
      </w:r>
    </w:p>
    <w:p>
      <w:pPr>
        <w:tabs>
          <w:tab w:pos="2677" w:val="left" w:leader="none"/>
        </w:tabs>
        <w:spacing w:line="261" w:lineRule="auto" w:before="18"/>
        <w:ind w:left="2574" w:right="1721" w:hanging="738"/>
        <w:jc w:val="both"/>
        <w:rPr>
          <w:sz w:val="21"/>
        </w:rPr>
      </w:pPr>
      <w:r>
        <w:rPr>
          <w:color w:val="231F20"/>
          <w:w w:val="94"/>
          <w:sz w:val="21"/>
          <w:u w:val="single" w:color="221E1F"/>
        </w:rPr>
        <w:t> </w:t>
      </w:r>
      <w:r>
        <w:rPr>
          <w:color w:val="231F20"/>
          <w:sz w:val="21"/>
          <w:u w:val="single" w:color="221E1F"/>
        </w:rPr>
        <w:tab/>
        <w:tab/>
      </w:r>
      <w:r>
        <w:rPr>
          <w:color w:val="231F20"/>
          <w:spacing w:val="3"/>
          <w:sz w:val="21"/>
        </w:rPr>
        <w:t> </w:t>
      </w:r>
      <w:r>
        <w:rPr>
          <w:color w:val="231F20"/>
          <w:sz w:val="21"/>
        </w:rPr>
        <w:t>(2011), </w:t>
      </w:r>
      <w:r>
        <w:rPr>
          <w:rFonts w:ascii="Arial" w:hAnsi="Arial"/>
          <w:i/>
          <w:color w:val="231F20"/>
          <w:spacing w:val="-6"/>
          <w:sz w:val="21"/>
        </w:rPr>
        <w:t>Por </w:t>
      </w:r>
      <w:r>
        <w:rPr>
          <w:rFonts w:ascii="Arial" w:hAnsi="Arial"/>
          <w:i/>
          <w:color w:val="231F20"/>
          <w:sz w:val="21"/>
        </w:rPr>
        <w:t>las sendas de la memoria, Prólogos a una</w:t>
      </w:r>
      <w:r>
        <w:rPr>
          <w:rFonts w:ascii="Arial" w:hAnsi="Arial"/>
          <w:i/>
          <w:color w:val="231F20"/>
          <w:spacing w:val="47"/>
          <w:sz w:val="21"/>
        </w:rPr>
        <w:t> </w:t>
      </w:r>
      <w:r>
        <w:rPr>
          <w:rFonts w:ascii="Arial" w:hAnsi="Arial"/>
          <w:i/>
          <w:color w:val="231F20"/>
          <w:sz w:val="21"/>
        </w:rPr>
        <w:t>obra</w:t>
      </w:r>
      <w:r>
        <w:rPr>
          <w:color w:val="231F20"/>
          <w:sz w:val="21"/>
        </w:rPr>
        <w:t>, Mé-</w:t>
      </w:r>
      <w:r>
        <w:rPr>
          <w:color w:val="231F20"/>
          <w:w w:val="96"/>
          <w:sz w:val="21"/>
        </w:rPr>
        <w:t> </w:t>
      </w:r>
      <w:r>
        <w:rPr>
          <w:color w:val="231F20"/>
          <w:sz w:val="21"/>
        </w:rPr>
        <w:t>xico:</w:t>
      </w:r>
      <w:r>
        <w:rPr>
          <w:color w:val="231F20"/>
          <w:spacing w:val="-12"/>
          <w:sz w:val="21"/>
        </w:rPr>
        <w:t> </w:t>
      </w:r>
      <w:r>
        <w:rPr>
          <w:color w:val="231F20"/>
          <w:sz w:val="17"/>
        </w:rPr>
        <w:t>FCE</w:t>
      </w:r>
      <w:r>
        <w:rPr>
          <w:color w:val="231F20"/>
          <w:sz w:val="21"/>
        </w:rPr>
        <w:t>.</w:t>
      </w:r>
    </w:p>
    <w:p>
      <w:pPr>
        <w:spacing w:line="259" w:lineRule="auto" w:before="0"/>
        <w:ind w:left="2574" w:right="1721" w:hanging="738"/>
        <w:jc w:val="both"/>
        <w:rPr>
          <w:sz w:val="21"/>
        </w:rPr>
      </w:pPr>
      <w:r>
        <w:rPr>
          <w:color w:val="231F20"/>
          <w:spacing w:val="-3"/>
          <w:sz w:val="21"/>
        </w:rPr>
        <w:t>Portes, </w:t>
      </w:r>
      <w:r>
        <w:rPr>
          <w:color w:val="231F20"/>
          <w:sz w:val="21"/>
        </w:rPr>
        <w:t>Alejandro y De Wind, Josh (coord.), (2006), </w:t>
      </w:r>
      <w:r>
        <w:rPr>
          <w:rFonts w:ascii="Arial" w:hAnsi="Arial"/>
          <w:i/>
          <w:color w:val="231F20"/>
          <w:sz w:val="21"/>
        </w:rPr>
        <w:t>Repensando las mi- </w:t>
      </w:r>
      <w:r>
        <w:rPr>
          <w:rFonts w:ascii="Arial" w:hAnsi="Arial"/>
          <w:i/>
          <w:color w:val="231F20"/>
          <w:sz w:val="21"/>
        </w:rPr>
        <w:t>graciones. Nuevas perspectivas teóricas y empíricas</w:t>
      </w:r>
      <w:r>
        <w:rPr>
          <w:color w:val="231F20"/>
          <w:sz w:val="21"/>
        </w:rPr>
        <w:t>, México:</w:t>
      </w:r>
      <w:r>
        <w:rPr>
          <w:color w:val="231F20"/>
          <w:spacing w:val="-22"/>
          <w:sz w:val="21"/>
        </w:rPr>
        <w:t> </w:t>
      </w:r>
      <w:r>
        <w:rPr>
          <w:color w:val="231F20"/>
          <w:sz w:val="17"/>
        </w:rPr>
        <w:t>UAZ</w:t>
      </w:r>
      <w:r>
        <w:rPr>
          <w:color w:val="231F20"/>
          <w:sz w:val="21"/>
        </w:rPr>
        <w:t>/ Miguel  Ángel</w:t>
      </w:r>
      <w:r>
        <w:rPr>
          <w:color w:val="231F20"/>
          <w:spacing w:val="20"/>
          <w:sz w:val="21"/>
        </w:rPr>
        <w:t> </w:t>
      </w:r>
      <w:r>
        <w:rPr>
          <w:color w:val="231F20"/>
          <w:spacing w:val="-3"/>
          <w:sz w:val="21"/>
        </w:rPr>
        <w:t>Porrúa.</w:t>
      </w:r>
    </w:p>
    <w:p>
      <w:pPr>
        <w:spacing w:line="259" w:lineRule="auto" w:before="0"/>
        <w:ind w:left="2574" w:right="1721" w:hanging="738"/>
        <w:jc w:val="both"/>
        <w:rPr>
          <w:sz w:val="21"/>
        </w:rPr>
      </w:pPr>
      <w:r>
        <w:rPr>
          <w:color w:val="231F20"/>
          <w:sz w:val="21"/>
        </w:rPr>
        <w:t>Portes, Alejandro, Guarnizo, Luis y Landolt, Patricia (coord.), (2003), </w:t>
      </w:r>
      <w:r>
        <w:rPr>
          <w:rFonts w:ascii="Arial" w:hAnsi="Arial"/>
          <w:i/>
          <w:color w:val="231F20"/>
          <w:sz w:val="21"/>
        </w:rPr>
        <w:t>La </w:t>
      </w:r>
      <w:r>
        <w:rPr>
          <w:rFonts w:ascii="Arial" w:hAnsi="Arial"/>
          <w:i/>
          <w:color w:val="231F20"/>
          <w:sz w:val="21"/>
        </w:rPr>
        <w:t>Globalización desde abajo: transnacionalismo inmigrante y desa- rrollo: la experiencia de Estados Unidos y América Latina</w:t>
      </w:r>
      <w:r>
        <w:rPr>
          <w:color w:val="231F20"/>
          <w:sz w:val="21"/>
        </w:rPr>
        <w:t>, México: </w:t>
      </w:r>
      <w:r>
        <w:rPr>
          <w:color w:val="231F20"/>
          <w:sz w:val="17"/>
        </w:rPr>
        <w:t>FLACSO</w:t>
      </w:r>
      <w:r>
        <w:rPr>
          <w:color w:val="231F20"/>
          <w:sz w:val="21"/>
        </w:rPr>
        <w:t>.</w:t>
      </w:r>
    </w:p>
    <w:p>
      <w:pPr>
        <w:spacing w:line="259" w:lineRule="auto" w:before="0"/>
        <w:ind w:left="2574" w:right="1722" w:hanging="738"/>
        <w:jc w:val="both"/>
        <w:rPr>
          <w:sz w:val="21"/>
        </w:rPr>
      </w:pPr>
      <w:r>
        <w:rPr>
          <w:color w:val="231F20"/>
          <w:sz w:val="21"/>
        </w:rPr>
        <w:t>Thomas, William y Znaniecki, Florian, (2006), </w:t>
      </w:r>
      <w:r>
        <w:rPr>
          <w:rFonts w:ascii="Arial" w:hAnsi="Arial"/>
          <w:i/>
          <w:color w:val="231F20"/>
          <w:sz w:val="21"/>
        </w:rPr>
        <w:t>El campesino polaco en Eu- </w:t>
      </w:r>
      <w:r>
        <w:rPr>
          <w:rFonts w:ascii="Arial" w:hAnsi="Arial"/>
          <w:i/>
          <w:color w:val="231F20"/>
          <w:sz w:val="21"/>
        </w:rPr>
        <w:t>ropa y en América</w:t>
      </w:r>
      <w:r>
        <w:rPr>
          <w:color w:val="231F20"/>
          <w:sz w:val="21"/>
        </w:rPr>
        <w:t>, Madrid: Centro de Investigaciones  Sociales.</w:t>
      </w:r>
    </w:p>
    <w:p>
      <w:pPr>
        <w:spacing w:after="0" w:line="259" w:lineRule="auto"/>
        <w:jc w:val="both"/>
        <w:rPr>
          <w:sz w:val="21"/>
        </w:rPr>
        <w:sectPr>
          <w:footerReference w:type="default" r:id="rId381"/>
          <w:pgSz w:w="10480" w:h="14730"/>
          <w:pgMar w:footer="223" w:header="0" w:top="300" w:bottom="420" w:left="0" w:right="0"/>
        </w:sectPr>
      </w:pPr>
    </w:p>
    <w:p>
      <w:pPr>
        <w:pStyle w:val="BodyText"/>
        <w:spacing w:before="4"/>
        <w:rPr>
          <w:rFonts w:ascii="Times New Roman"/>
          <w:sz w:val="17"/>
        </w:rPr>
      </w:pPr>
    </w:p>
    <w:p>
      <w:pPr>
        <w:spacing w:after="0"/>
        <w:rPr>
          <w:rFonts w:ascii="Times New Roman"/>
          <w:sz w:val="17"/>
        </w:rPr>
        <w:sectPr>
          <w:headerReference w:type="default" r:id="rId382"/>
          <w:footerReference w:type="default" r:id="rId383"/>
          <w:pgSz w:w="10480" w:h="14730"/>
          <w:pgMar w:header="0" w:footer="223" w:top="420" w:bottom="420" w:left="0" w:right="0"/>
        </w:sectPr>
      </w:pPr>
    </w:p>
    <w:p>
      <w:pPr>
        <w:pStyle w:val="BodyText"/>
        <w:rPr>
          <w:rFonts w:ascii="Times New Roman"/>
          <w:sz w:val="20"/>
        </w:rPr>
      </w:pPr>
      <w:r>
        <w:rPr/>
        <w:pict>
          <v:group style="position:absolute;margin-left:21pt;margin-top:20.999975pt;width:481.9pt;height:694.5pt;mso-position-horizontal-relative:page;mso-position-vertical-relative:page;z-index:-443992" coordorigin="420,420" coordsize="9638,13890">
            <v:rect style="position:absolute;left:420;top:420;width:9638;height:13890" filled="true" fillcolor="#77787b" stroked="false">
              <v:fill type="solid"/>
            </v:rect>
            <v:shape style="position:absolute;left:420;top:6577;width:9638;height:7733" type="#_x0000_t75" stroked="false">
              <v:imagedata r:id="rId366"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rPr>
      </w:pPr>
    </w:p>
    <w:p>
      <w:pPr>
        <w:pStyle w:val="Heading2"/>
        <w:tabs>
          <w:tab w:pos="5418" w:val="left" w:leader="none"/>
        </w:tabs>
        <w:spacing w:line="187" w:lineRule="auto" w:before="63"/>
        <w:ind w:left="2141" w:right="4769" w:firstLine="212"/>
      </w:pPr>
      <w:r>
        <w:rPr>
          <w:color w:val="FFFFFF"/>
        </w:rPr>
        <w:t>O</w:t>
      </w:r>
      <w:r>
        <w:rPr>
          <w:color w:val="FFFFFF"/>
          <w:spacing w:val="-42"/>
        </w:rPr>
        <w:t> </w:t>
      </w:r>
      <w:r>
        <w:rPr>
          <w:color w:val="FFFFFF"/>
        </w:rPr>
        <w:t>EMOCIONAL</w:t>
      </w:r>
      <w:r>
        <w:rPr>
          <w:color w:val="FFFFFF"/>
          <w:spacing w:val="-42"/>
        </w:rPr>
        <w:t> </w:t>
      </w:r>
      <w:r>
        <w:rPr>
          <w:color w:val="FFFFFF"/>
        </w:rPr>
        <w:t>EN</w:t>
      </w:r>
      <w:r>
        <w:rPr>
          <w:color w:val="FFFFFF"/>
          <w:spacing w:val="-42"/>
        </w:rPr>
        <w:t> </w:t>
      </w:r>
      <w:r>
        <w:rPr>
          <w:color w:val="FFFFFF"/>
        </w:rPr>
        <w:t>EL</w:t>
      </w:r>
      <w:r>
        <w:rPr>
          <w:color w:val="FFFFFF"/>
          <w:spacing w:val="-42"/>
        </w:rPr>
        <w:t> </w:t>
      </w:r>
      <w:r>
        <w:rPr>
          <w:color w:val="FFFFFF"/>
        </w:rPr>
        <w:t>V</w:t>
        <w:tab/>
      </w:r>
      <w:r>
        <w:rPr>
          <w:color w:val="FFFFFF"/>
          <w:w w:val="90"/>
        </w:rPr>
        <w:t>DE </w:t>
      </w:r>
      <w:r>
        <w:rPr>
          <w:color w:val="FFFFFF"/>
          <w:w w:val="95"/>
        </w:rPr>
        <w:t>OS</w:t>
      </w:r>
      <w:r>
        <w:rPr>
          <w:color w:val="FFFFFF"/>
          <w:spacing w:val="-49"/>
          <w:w w:val="95"/>
        </w:rPr>
        <w:t> </w:t>
      </w:r>
      <w:r>
        <w:rPr>
          <w:color w:val="FFFFFF"/>
          <w:w w:val="95"/>
        </w:rPr>
        <w:t>MIftRANTES</w:t>
      </w:r>
      <w:r>
        <w:rPr>
          <w:color w:val="FFFFFF"/>
          <w:spacing w:val="-49"/>
          <w:w w:val="95"/>
        </w:rPr>
        <w:t> </w:t>
      </w:r>
      <w:r>
        <w:rPr>
          <w:color w:val="FFFFFF"/>
          <w:w w:val="95"/>
        </w:rPr>
        <w:t>NO</w:t>
      </w:r>
      <w:r>
        <w:rPr>
          <w:color w:val="FFFFFF"/>
          <w:spacing w:val="-49"/>
          <w:w w:val="95"/>
        </w:rPr>
        <w:t> </w:t>
      </w:r>
      <w:r>
        <w:rPr>
          <w:color w:val="FFFFFF"/>
          <w:w w:val="95"/>
        </w:rPr>
        <w:t>AUT</w:t>
      </w:r>
    </w:p>
    <w:p>
      <w:pPr>
        <w:spacing w:line="187" w:lineRule="auto" w:before="0"/>
        <w:ind w:left="2755" w:right="5100" w:hanging="386"/>
        <w:jc w:val="left"/>
        <w:rPr>
          <w:rFonts w:ascii="Lucida Sans Unicode" w:hAnsi="Lucida Sans Unicode"/>
          <w:sz w:val="24"/>
        </w:rPr>
      </w:pPr>
      <w:r>
        <w:rPr>
          <w:rFonts w:ascii="Lucida Sans Unicode" w:hAnsi="Lucida Sans Unicode"/>
          <w:color w:val="FFFFFF"/>
          <w:w w:val="95"/>
          <w:sz w:val="24"/>
        </w:rPr>
        <w:t>DEL</w:t>
      </w:r>
      <w:r>
        <w:rPr>
          <w:rFonts w:ascii="Lucida Sans Unicode" w:hAnsi="Lucida Sans Unicode"/>
          <w:color w:val="FFFFFF"/>
          <w:spacing w:val="-39"/>
          <w:w w:val="95"/>
          <w:sz w:val="24"/>
        </w:rPr>
        <w:t> </w:t>
      </w:r>
      <w:r>
        <w:rPr>
          <w:rFonts w:ascii="Lucida Sans Unicode" w:hAnsi="Lucida Sans Unicode"/>
          <w:color w:val="FFFFFF"/>
          <w:w w:val="95"/>
          <w:sz w:val="24"/>
        </w:rPr>
        <w:t>NOROESTE</w:t>
      </w:r>
      <w:r>
        <w:rPr>
          <w:rFonts w:ascii="Lucida Sans Unicode" w:hAnsi="Lucida Sans Unicode"/>
          <w:color w:val="FFFFFF"/>
          <w:spacing w:val="-39"/>
          <w:w w:val="95"/>
          <w:sz w:val="24"/>
        </w:rPr>
        <w:t> </w:t>
      </w:r>
      <w:r>
        <w:rPr>
          <w:rFonts w:ascii="Lucida Sans Unicode" w:hAnsi="Lucida Sans Unicode"/>
          <w:color w:val="FFFFFF"/>
          <w:w w:val="95"/>
          <w:sz w:val="24"/>
        </w:rPr>
        <w:t>DEL</w:t>
      </w:r>
      <w:r>
        <w:rPr>
          <w:rFonts w:ascii="Lucida Sans Unicode" w:hAnsi="Lucida Sans Unicode"/>
          <w:color w:val="FFFFFF"/>
          <w:spacing w:val="-39"/>
          <w:w w:val="95"/>
          <w:sz w:val="24"/>
        </w:rPr>
        <w:t> </w:t>
      </w:r>
      <w:r>
        <w:rPr>
          <w:rFonts w:ascii="Lucida Sans Unicode" w:hAnsi="Lucida Sans Unicode"/>
          <w:color w:val="FFFFFF"/>
          <w:spacing w:val="-3"/>
          <w:w w:val="95"/>
          <w:sz w:val="24"/>
        </w:rPr>
        <w:t>ESTADO </w:t>
      </w:r>
      <w:r>
        <w:rPr>
          <w:rFonts w:ascii="Lucida Sans Unicode" w:hAnsi="Lucida Sans Unicode"/>
          <w:color w:val="FFFFFF"/>
          <w:w w:val="90"/>
          <w:sz w:val="24"/>
        </w:rPr>
        <w:t>MéXICO A</w:t>
      </w:r>
      <w:r>
        <w:rPr>
          <w:rFonts w:ascii="Lucida Sans Unicode" w:hAnsi="Lucida Sans Unicode"/>
          <w:color w:val="FFFFFF"/>
          <w:spacing w:val="-13"/>
          <w:w w:val="90"/>
          <w:sz w:val="24"/>
        </w:rPr>
        <w:t> </w:t>
      </w:r>
      <w:r>
        <w:rPr>
          <w:rFonts w:ascii="Lucida Sans Unicode" w:hAnsi="Lucida Sans Unicode"/>
          <w:color w:val="FFFFFF"/>
          <w:w w:val="90"/>
          <w:sz w:val="24"/>
        </w:rPr>
        <w:t>ESTADOS</w:t>
      </w:r>
    </w:p>
    <w:p>
      <w:pPr>
        <w:pStyle w:val="Heading4"/>
        <w:spacing w:before="104"/>
        <w:ind w:left="5706"/>
        <w:rPr>
          <w:sz w:val="18"/>
        </w:rPr>
      </w:pPr>
      <w:r>
        <w:rPr>
          <w:color w:val="FFFFFF"/>
          <w:w w:val="105"/>
        </w:rPr>
        <w:t>Fabiana Sánchez Plata</w:t>
      </w:r>
      <w:r>
        <w:rPr>
          <w:color w:val="FFFFFF"/>
          <w:w w:val="105"/>
          <w:sz w:val="18"/>
        </w:rPr>
        <w: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7"/>
        </w:rPr>
      </w:pPr>
    </w:p>
    <w:p>
      <w:pPr>
        <w:spacing w:line="182" w:lineRule="exact" w:before="70"/>
        <w:ind w:left="2126" w:right="6753" w:firstLine="0"/>
        <w:jc w:val="left"/>
        <w:rPr>
          <w:rFonts w:ascii="Calibri" w:hAnsi="Calibri"/>
          <w:sz w:val="15"/>
        </w:rPr>
      </w:pPr>
      <w:r>
        <w:rPr>
          <w:rFonts w:ascii="Calibri" w:hAnsi="Calibri"/>
          <w:color w:val="FFFFFF"/>
          <w:sz w:val="15"/>
        </w:rPr>
        <w:t>* Doctora en Sociología.</w:t>
      </w:r>
    </w:p>
    <w:p>
      <w:pPr>
        <w:spacing w:line="182" w:lineRule="exact" w:before="0"/>
        <w:ind w:left="2126" w:right="6753" w:firstLine="0"/>
        <w:jc w:val="left"/>
        <w:rPr>
          <w:rFonts w:ascii="Calibri"/>
          <w:i/>
          <w:sz w:val="15"/>
        </w:rPr>
      </w:pPr>
      <w:hyperlink r:id="rId384">
        <w:r>
          <w:rPr>
            <w:rFonts w:ascii="Calibri"/>
            <w:i/>
            <w:color w:val="FFFFFF"/>
            <w:sz w:val="15"/>
          </w:rPr>
          <w:t>fabysa26@yahoo.com</w:t>
        </w:r>
      </w:hyperlink>
    </w:p>
    <w:p>
      <w:pPr>
        <w:spacing w:after="0" w:line="182" w:lineRule="exact"/>
        <w:jc w:val="left"/>
        <w:rPr>
          <w:rFonts w:ascii="Calibri"/>
          <w:sz w:val="15"/>
        </w:rPr>
        <w:sectPr>
          <w:pgSz w:w="10480" w:h="14730"/>
          <w:pgMar w:header="0" w:footer="223" w:top="420" w:bottom="420" w:left="0" w:right="0"/>
        </w:sectPr>
      </w:pPr>
    </w:p>
    <w:p>
      <w:pPr>
        <w:pStyle w:val="BodyText"/>
        <w:spacing w:before="4"/>
        <w:rPr>
          <w:rFonts w:ascii="Times New Roman"/>
          <w:sz w:val="17"/>
        </w:rPr>
      </w:pPr>
    </w:p>
    <w:p>
      <w:pPr>
        <w:spacing w:after="0"/>
        <w:rPr>
          <w:rFonts w:ascii="Times New Roman"/>
          <w:sz w:val="17"/>
        </w:rPr>
        <w:sectPr>
          <w:footerReference w:type="default" r:id="rId385"/>
          <w:pgSz w:w="10480" w:h="14730"/>
          <w:pgMar w:footer="223" w:header="0"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spacing w:before="55"/>
        <w:ind w:left="1837" w:right="6753" w:firstLine="0"/>
        <w:jc w:val="left"/>
        <w:rPr>
          <w:rFonts w:ascii="Arial" w:hAnsi="Arial"/>
          <w:b/>
          <w:sz w:val="22"/>
        </w:rPr>
      </w:pPr>
      <w:r>
        <w:rPr>
          <w:rFonts w:ascii="Arial" w:hAnsi="Arial"/>
          <w:b/>
          <w:color w:val="231F20"/>
          <w:sz w:val="22"/>
        </w:rPr>
        <w:t>Introducción</w:t>
      </w:r>
    </w:p>
    <w:p>
      <w:pPr>
        <w:pStyle w:val="BodyText"/>
        <w:rPr>
          <w:rFonts w:ascii="Arial"/>
          <w:b/>
          <w:sz w:val="20"/>
        </w:rPr>
      </w:pPr>
    </w:p>
    <w:p>
      <w:pPr>
        <w:pStyle w:val="BodyText"/>
        <w:spacing w:before="2"/>
        <w:rPr>
          <w:rFonts w:ascii="Arial"/>
          <w:b/>
          <w:sz w:val="16"/>
        </w:rPr>
      </w:pPr>
    </w:p>
    <w:p>
      <w:pPr>
        <w:pStyle w:val="BodyText"/>
        <w:spacing w:line="261" w:lineRule="auto"/>
        <w:ind w:left="2900" w:right="1721"/>
        <w:jc w:val="both"/>
      </w:pPr>
      <w:r>
        <w:rPr/>
        <w:pict>
          <v:shape style="position:absolute;margin-left:103.218903pt;margin-top:13.11352pt;width:31.2pt;height:51pt;mso-position-horizontal-relative:page;mso-position-vertical-relative:paragraph;z-index:4621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n el marco de la migración no documentada a Estados Uni- dos,</w:t>
      </w:r>
      <w:r>
        <w:rPr>
          <w:color w:val="231F20"/>
          <w:spacing w:val="-11"/>
          <w:w w:val="105"/>
        </w:rPr>
        <w:t> </w:t>
      </w:r>
      <w:r>
        <w:rPr>
          <w:color w:val="231F20"/>
          <w:w w:val="105"/>
        </w:rPr>
        <w:t>el</w:t>
      </w:r>
      <w:r>
        <w:rPr>
          <w:color w:val="231F20"/>
          <w:spacing w:val="-5"/>
          <w:w w:val="105"/>
        </w:rPr>
        <w:t> </w:t>
      </w:r>
      <w:r>
        <w:rPr>
          <w:color w:val="231F20"/>
          <w:w w:val="105"/>
        </w:rPr>
        <w:t>estudio</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emociones</w:t>
      </w:r>
      <w:r>
        <w:rPr>
          <w:color w:val="231F20"/>
          <w:spacing w:val="-5"/>
          <w:w w:val="105"/>
        </w:rPr>
        <w:t> </w:t>
      </w:r>
      <w:r>
        <w:rPr>
          <w:color w:val="231F20"/>
          <w:w w:val="105"/>
        </w:rPr>
        <w:t>pone</w:t>
      </w:r>
      <w:r>
        <w:rPr>
          <w:color w:val="231F20"/>
          <w:spacing w:val="-5"/>
          <w:w w:val="105"/>
        </w:rPr>
        <w:t> </w:t>
      </w:r>
      <w:r>
        <w:rPr>
          <w:color w:val="231F20"/>
          <w:w w:val="105"/>
        </w:rPr>
        <w:t>en</w:t>
      </w:r>
      <w:r>
        <w:rPr>
          <w:color w:val="231F20"/>
          <w:spacing w:val="-5"/>
          <w:w w:val="105"/>
        </w:rPr>
        <w:t> </w:t>
      </w:r>
      <w:r>
        <w:rPr>
          <w:color w:val="231F20"/>
          <w:w w:val="105"/>
        </w:rPr>
        <w:t>entredicho</w:t>
      </w:r>
      <w:r>
        <w:rPr>
          <w:color w:val="231F20"/>
          <w:spacing w:val="-5"/>
          <w:w w:val="105"/>
        </w:rPr>
        <w:t> </w:t>
      </w:r>
      <w:r>
        <w:rPr>
          <w:color w:val="231F20"/>
          <w:w w:val="105"/>
        </w:rPr>
        <w:t>la</w:t>
      </w:r>
      <w:r>
        <w:rPr>
          <w:color w:val="231F20"/>
          <w:spacing w:val="-5"/>
          <w:w w:val="105"/>
        </w:rPr>
        <w:t> </w:t>
      </w:r>
      <w:r>
        <w:rPr>
          <w:color w:val="231F20"/>
          <w:w w:val="105"/>
        </w:rPr>
        <w:t>posi- ción objetivista, neutral o universal del método científico con respecto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subjetividad.</w:t>
      </w:r>
      <w:r>
        <w:rPr>
          <w:color w:val="231F20"/>
          <w:spacing w:val="-11"/>
          <w:w w:val="105"/>
        </w:rPr>
        <w:t> </w:t>
      </w:r>
      <w:r>
        <w:rPr>
          <w:color w:val="231F20"/>
          <w:w w:val="105"/>
        </w:rPr>
        <w:t>Lo</w:t>
      </w:r>
      <w:r>
        <w:rPr>
          <w:color w:val="231F20"/>
          <w:spacing w:val="-5"/>
          <w:w w:val="105"/>
        </w:rPr>
        <w:t> </w:t>
      </w:r>
      <w:r>
        <w:rPr>
          <w:color w:val="231F20"/>
          <w:w w:val="105"/>
        </w:rPr>
        <w:t>emocional</w:t>
      </w:r>
      <w:r>
        <w:rPr>
          <w:color w:val="231F20"/>
          <w:spacing w:val="-5"/>
          <w:w w:val="105"/>
        </w:rPr>
        <w:t> </w:t>
      </w:r>
      <w:r>
        <w:rPr>
          <w:color w:val="231F20"/>
          <w:w w:val="105"/>
        </w:rPr>
        <w:t>no</w:t>
      </w:r>
      <w:r>
        <w:rPr>
          <w:color w:val="231F20"/>
          <w:spacing w:val="-5"/>
          <w:w w:val="105"/>
        </w:rPr>
        <w:t> </w:t>
      </w:r>
      <w:r>
        <w:rPr>
          <w:color w:val="231F20"/>
          <w:w w:val="105"/>
        </w:rPr>
        <w:t>había</w:t>
      </w:r>
      <w:r>
        <w:rPr>
          <w:color w:val="231F20"/>
          <w:spacing w:val="-5"/>
          <w:w w:val="105"/>
        </w:rPr>
        <w:t> </w:t>
      </w:r>
      <w:r>
        <w:rPr>
          <w:color w:val="231F20"/>
          <w:w w:val="105"/>
        </w:rPr>
        <w:t>sido</w:t>
      </w:r>
      <w:r>
        <w:rPr>
          <w:color w:val="231F20"/>
          <w:spacing w:val="-5"/>
          <w:w w:val="105"/>
        </w:rPr>
        <w:t> </w:t>
      </w:r>
      <w:r>
        <w:rPr>
          <w:color w:val="231F20"/>
          <w:w w:val="105"/>
        </w:rPr>
        <w:t>punto de</w:t>
      </w:r>
      <w:r>
        <w:rPr>
          <w:color w:val="231F20"/>
          <w:spacing w:val="-17"/>
          <w:w w:val="105"/>
        </w:rPr>
        <w:t> </w:t>
      </w:r>
      <w:r>
        <w:rPr>
          <w:color w:val="231F20"/>
          <w:w w:val="105"/>
        </w:rPr>
        <w:t>interés</w:t>
      </w:r>
      <w:r>
        <w:rPr>
          <w:color w:val="231F20"/>
          <w:spacing w:val="-17"/>
          <w:w w:val="105"/>
        </w:rPr>
        <w:t> </w:t>
      </w:r>
      <w:r>
        <w:rPr>
          <w:color w:val="231F20"/>
          <w:w w:val="105"/>
        </w:rPr>
        <w:t>sino</w:t>
      </w:r>
      <w:r>
        <w:rPr>
          <w:color w:val="231F20"/>
          <w:spacing w:val="-17"/>
          <w:w w:val="105"/>
        </w:rPr>
        <w:t> </w:t>
      </w:r>
      <w:r>
        <w:rPr>
          <w:color w:val="231F20"/>
          <w:w w:val="105"/>
        </w:rPr>
        <w:t>como</w:t>
      </w:r>
      <w:r>
        <w:rPr>
          <w:color w:val="231F20"/>
          <w:spacing w:val="-17"/>
          <w:w w:val="105"/>
        </w:rPr>
        <w:t> </w:t>
      </w:r>
      <w:r>
        <w:rPr>
          <w:color w:val="231F20"/>
          <w:w w:val="105"/>
        </w:rPr>
        <w:t>efecto</w:t>
      </w:r>
      <w:r>
        <w:rPr>
          <w:color w:val="231F20"/>
          <w:spacing w:val="-17"/>
          <w:w w:val="105"/>
        </w:rPr>
        <w:t> </w:t>
      </w:r>
      <w:r>
        <w:rPr>
          <w:color w:val="231F20"/>
          <w:w w:val="105"/>
        </w:rPr>
        <w:t>colateral</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22"/>
          <w:w w:val="105"/>
        </w:rPr>
        <w:t> </w:t>
      </w:r>
      <w:r>
        <w:rPr>
          <w:color w:val="231F20"/>
          <w:w w:val="105"/>
        </w:rPr>
        <w:t>Esa</w:t>
      </w:r>
      <w:r>
        <w:rPr>
          <w:color w:val="231F20"/>
          <w:spacing w:val="-17"/>
          <w:w w:val="105"/>
        </w:rPr>
        <w:t> </w:t>
      </w:r>
      <w:r>
        <w:rPr>
          <w:color w:val="231F20"/>
          <w:w w:val="105"/>
        </w:rPr>
        <w:t>au-</w:t>
      </w:r>
    </w:p>
    <w:p>
      <w:pPr>
        <w:pStyle w:val="BodyText"/>
        <w:spacing w:line="261" w:lineRule="auto" w:before="1"/>
        <w:ind w:left="1837" w:right="1714"/>
        <w:jc w:val="both"/>
      </w:pPr>
      <w:r>
        <w:rPr>
          <w:color w:val="231F20"/>
          <w:w w:val="105"/>
        </w:rPr>
        <w:t>sencia</w:t>
      </w:r>
      <w:r>
        <w:rPr>
          <w:color w:val="231F20"/>
          <w:spacing w:val="-20"/>
          <w:w w:val="105"/>
        </w:rPr>
        <w:t> </w:t>
      </w:r>
      <w:r>
        <w:rPr>
          <w:color w:val="231F20"/>
          <w:w w:val="105"/>
        </w:rPr>
        <w:t>encuentra</w:t>
      </w:r>
      <w:r>
        <w:rPr>
          <w:color w:val="231F20"/>
          <w:spacing w:val="-20"/>
          <w:w w:val="105"/>
        </w:rPr>
        <w:t> </w:t>
      </w:r>
      <w:r>
        <w:rPr>
          <w:color w:val="231F20"/>
          <w:w w:val="105"/>
        </w:rPr>
        <w:t>su</w:t>
      </w:r>
      <w:r>
        <w:rPr>
          <w:color w:val="231F20"/>
          <w:spacing w:val="-20"/>
          <w:w w:val="105"/>
        </w:rPr>
        <w:t> </w:t>
      </w:r>
      <w:r>
        <w:rPr>
          <w:color w:val="231F20"/>
          <w:w w:val="105"/>
        </w:rPr>
        <w:t>explicación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sesgo</w:t>
      </w:r>
      <w:r>
        <w:rPr>
          <w:color w:val="231F20"/>
          <w:spacing w:val="-20"/>
          <w:w w:val="105"/>
        </w:rPr>
        <w:t> </w:t>
      </w:r>
      <w:r>
        <w:rPr>
          <w:color w:val="231F20"/>
          <w:w w:val="105"/>
        </w:rPr>
        <w:t>en</w:t>
      </w:r>
      <w:r>
        <w:rPr>
          <w:color w:val="231F20"/>
          <w:spacing w:val="-20"/>
          <w:w w:val="105"/>
        </w:rPr>
        <w:t> </w:t>
      </w:r>
      <w:r>
        <w:rPr>
          <w:color w:val="231F20"/>
          <w:w w:val="105"/>
        </w:rPr>
        <w:t>relación</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subjetividad, al</w:t>
      </w:r>
      <w:r>
        <w:rPr>
          <w:color w:val="231F20"/>
          <w:spacing w:val="-7"/>
          <w:w w:val="105"/>
        </w:rPr>
        <w:t> </w:t>
      </w:r>
      <w:r>
        <w:rPr>
          <w:color w:val="231F20"/>
          <w:w w:val="105"/>
        </w:rPr>
        <w:t>valor</w:t>
      </w:r>
      <w:r>
        <w:rPr>
          <w:color w:val="231F20"/>
          <w:spacing w:val="-7"/>
          <w:w w:val="105"/>
        </w:rPr>
        <w:t> </w:t>
      </w:r>
      <w:r>
        <w:rPr>
          <w:color w:val="231F20"/>
          <w:w w:val="105"/>
        </w:rPr>
        <w:t>subyugado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emociones</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vida</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personas</w:t>
      </w:r>
      <w:r>
        <w:rPr>
          <w:color w:val="231F20"/>
          <w:spacing w:val="-7"/>
          <w:w w:val="105"/>
        </w:rPr>
        <w:t> </w:t>
      </w:r>
      <w:r>
        <w:rPr>
          <w:color w:val="231F20"/>
          <w:w w:val="105"/>
        </w:rPr>
        <w:t>y</w:t>
      </w:r>
      <w:r>
        <w:rPr>
          <w:color w:val="231F20"/>
          <w:spacing w:val="-7"/>
          <w:w w:val="105"/>
        </w:rPr>
        <w:t> </w:t>
      </w:r>
      <w:r>
        <w:rPr>
          <w:color w:val="231F20"/>
          <w:w w:val="105"/>
        </w:rPr>
        <w:t>en</w:t>
      </w:r>
      <w:r>
        <w:rPr>
          <w:color w:val="231F20"/>
          <w:spacing w:val="-7"/>
          <w:w w:val="105"/>
        </w:rPr>
        <w:t> </w:t>
      </w:r>
      <w:r>
        <w:rPr>
          <w:color w:val="231F20"/>
          <w:w w:val="105"/>
        </w:rPr>
        <w:t>su esencia. Ir a las emociones implica intentar metodologías que permitan aproximarse</w:t>
      </w:r>
      <w:r>
        <w:rPr>
          <w:color w:val="231F20"/>
          <w:spacing w:val="-27"/>
          <w:w w:val="105"/>
        </w:rPr>
        <w:t> </w:t>
      </w:r>
      <w:r>
        <w:rPr>
          <w:color w:val="231F20"/>
          <w:w w:val="105"/>
        </w:rPr>
        <w:t>al</w:t>
      </w:r>
      <w:r>
        <w:rPr>
          <w:color w:val="231F20"/>
          <w:spacing w:val="-27"/>
          <w:w w:val="105"/>
        </w:rPr>
        <w:t> </w:t>
      </w:r>
      <w:r>
        <w:rPr>
          <w:color w:val="231F20"/>
          <w:w w:val="105"/>
        </w:rPr>
        <w:t>fluir</w:t>
      </w:r>
      <w:r>
        <w:rPr>
          <w:color w:val="231F20"/>
          <w:spacing w:val="5"/>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emociones</w:t>
      </w:r>
      <w:r>
        <w:rPr>
          <w:color w:val="231F20"/>
          <w:spacing w:val="-27"/>
          <w:w w:val="105"/>
        </w:rPr>
        <w:t> </w:t>
      </w:r>
      <w:r>
        <w:rPr>
          <w:color w:val="231F20"/>
          <w:w w:val="105"/>
        </w:rPr>
        <w:t>involucradas</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desenvolvimien- to</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relaciones</w:t>
      </w:r>
      <w:r>
        <w:rPr>
          <w:color w:val="231F20"/>
          <w:spacing w:val="-11"/>
          <w:w w:val="105"/>
        </w:rPr>
        <w:t> </w:t>
      </w:r>
      <w:r>
        <w:rPr>
          <w:color w:val="231F20"/>
          <w:w w:val="105"/>
        </w:rPr>
        <w:t>de</w:t>
      </w:r>
      <w:r>
        <w:rPr>
          <w:color w:val="231F20"/>
          <w:spacing w:val="-11"/>
          <w:w w:val="105"/>
        </w:rPr>
        <w:t> </w:t>
      </w:r>
      <w:r>
        <w:rPr>
          <w:color w:val="231F20"/>
          <w:w w:val="105"/>
        </w:rPr>
        <w:t>pareja</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ida</w:t>
      </w:r>
      <w:r>
        <w:rPr>
          <w:color w:val="231F20"/>
          <w:spacing w:val="-11"/>
          <w:w w:val="105"/>
        </w:rPr>
        <w:t> </w:t>
      </w:r>
      <w:r>
        <w:rPr>
          <w:color w:val="231F20"/>
          <w:w w:val="105"/>
        </w:rPr>
        <w:t>y</w:t>
      </w:r>
      <w:r>
        <w:rPr>
          <w:color w:val="231F20"/>
          <w:spacing w:val="-11"/>
          <w:w w:val="105"/>
        </w:rPr>
        <w:t> </w:t>
      </w:r>
      <w:r>
        <w:rPr>
          <w:color w:val="231F20"/>
          <w:w w:val="105"/>
        </w:rPr>
        <w:t>venida</w:t>
      </w:r>
      <w:r>
        <w:rPr>
          <w:color w:val="231F20"/>
          <w:spacing w:val="-11"/>
          <w:w w:val="105"/>
        </w:rPr>
        <w:t> </w:t>
      </w:r>
      <w:r>
        <w:rPr>
          <w:color w:val="231F20"/>
          <w:w w:val="105"/>
        </w:rPr>
        <w:t>a</w:t>
      </w:r>
      <w:r>
        <w:rPr>
          <w:color w:val="231F20"/>
          <w:spacing w:val="-11"/>
          <w:w w:val="105"/>
        </w:rPr>
        <w:t> </w:t>
      </w:r>
      <w:r>
        <w:rPr>
          <w:color w:val="231F20"/>
          <w:w w:val="105"/>
        </w:rPr>
        <w:t>Estados</w:t>
      </w:r>
      <w:r>
        <w:rPr>
          <w:color w:val="231F20"/>
          <w:spacing w:val="-11"/>
          <w:w w:val="105"/>
        </w:rPr>
        <w:t> </w:t>
      </w:r>
      <w:r>
        <w:rPr>
          <w:color w:val="231F20"/>
          <w:w w:val="105"/>
        </w:rPr>
        <w:t>Unidos.</w:t>
      </w:r>
      <w:r>
        <w:rPr>
          <w:color w:val="231F20"/>
          <w:spacing w:val="-16"/>
          <w:w w:val="105"/>
        </w:rPr>
        <w:t> </w:t>
      </w:r>
      <w:r>
        <w:rPr>
          <w:color w:val="231F20"/>
          <w:w w:val="105"/>
        </w:rPr>
        <w:t>Emo- ciones</w:t>
      </w:r>
      <w:r>
        <w:rPr>
          <w:color w:val="231F20"/>
          <w:spacing w:val="-7"/>
          <w:w w:val="105"/>
        </w:rPr>
        <w:t> </w:t>
      </w:r>
      <w:r>
        <w:rPr>
          <w:color w:val="231F20"/>
          <w:w w:val="105"/>
        </w:rPr>
        <w:t>como</w:t>
      </w:r>
      <w:r>
        <w:rPr>
          <w:color w:val="231F20"/>
          <w:spacing w:val="-7"/>
          <w:w w:val="105"/>
        </w:rPr>
        <w:t> </w:t>
      </w:r>
      <w:r>
        <w:rPr>
          <w:color w:val="231F20"/>
          <w:w w:val="105"/>
        </w:rPr>
        <w:t>la</w:t>
      </w:r>
      <w:r>
        <w:rPr>
          <w:color w:val="231F20"/>
          <w:spacing w:val="-7"/>
          <w:w w:val="105"/>
        </w:rPr>
        <w:t> </w:t>
      </w:r>
      <w:r>
        <w:rPr>
          <w:color w:val="231F20"/>
          <w:w w:val="105"/>
        </w:rPr>
        <w:t>alegría,</w:t>
      </w:r>
      <w:r>
        <w:rPr>
          <w:color w:val="231F20"/>
          <w:spacing w:val="-12"/>
          <w:w w:val="105"/>
        </w:rPr>
        <w:t> </w:t>
      </w:r>
      <w:r>
        <w:rPr>
          <w:color w:val="231F20"/>
          <w:w w:val="105"/>
        </w:rPr>
        <w:t>la</w:t>
      </w:r>
      <w:r>
        <w:rPr>
          <w:color w:val="231F20"/>
          <w:spacing w:val="-7"/>
          <w:w w:val="105"/>
        </w:rPr>
        <w:t> </w:t>
      </w:r>
      <w:r>
        <w:rPr>
          <w:color w:val="231F20"/>
          <w:w w:val="105"/>
        </w:rPr>
        <w:t>nostalgia</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dolor,</w:t>
      </w:r>
      <w:r>
        <w:rPr>
          <w:color w:val="231F20"/>
          <w:spacing w:val="-12"/>
          <w:w w:val="105"/>
        </w:rPr>
        <w:t> </w:t>
      </w:r>
      <w:r>
        <w:rPr>
          <w:color w:val="231F20"/>
          <w:w w:val="105"/>
        </w:rPr>
        <w:t>movilizan</w:t>
      </w:r>
      <w:r>
        <w:rPr>
          <w:color w:val="231F20"/>
          <w:spacing w:val="-7"/>
          <w:w w:val="105"/>
        </w:rPr>
        <w:t> </w:t>
      </w:r>
      <w:r>
        <w:rPr>
          <w:color w:val="231F20"/>
          <w:w w:val="105"/>
        </w:rPr>
        <w:t>y</w:t>
      </w:r>
      <w:r>
        <w:rPr>
          <w:color w:val="231F20"/>
          <w:spacing w:val="-7"/>
          <w:w w:val="105"/>
        </w:rPr>
        <w:t> </w:t>
      </w:r>
      <w:r>
        <w:rPr>
          <w:color w:val="231F20"/>
          <w:w w:val="105"/>
        </w:rPr>
        <w:t>dinamizan</w:t>
      </w:r>
      <w:r>
        <w:rPr>
          <w:color w:val="231F20"/>
          <w:spacing w:val="-7"/>
          <w:w w:val="105"/>
        </w:rPr>
        <w:t> </w:t>
      </w:r>
      <w:r>
        <w:rPr>
          <w:color w:val="231F20"/>
          <w:w w:val="105"/>
        </w:rPr>
        <w:t>las relaciones</w:t>
      </w:r>
      <w:r>
        <w:rPr>
          <w:color w:val="231F20"/>
          <w:spacing w:val="-8"/>
          <w:w w:val="105"/>
        </w:rPr>
        <w:t> </w:t>
      </w:r>
      <w:r>
        <w:rPr>
          <w:color w:val="231F20"/>
          <w:w w:val="105"/>
        </w:rPr>
        <w:t>de</w:t>
      </w:r>
      <w:r>
        <w:rPr>
          <w:color w:val="231F20"/>
          <w:spacing w:val="-8"/>
          <w:w w:val="105"/>
        </w:rPr>
        <w:t> </w:t>
      </w:r>
      <w:r>
        <w:rPr>
          <w:color w:val="231F20"/>
          <w:w w:val="105"/>
        </w:rPr>
        <w:t>doble</w:t>
      </w:r>
      <w:r>
        <w:rPr>
          <w:color w:val="231F20"/>
          <w:spacing w:val="-8"/>
          <w:w w:val="105"/>
        </w:rPr>
        <w:t> </w:t>
      </w:r>
      <w:r>
        <w:rPr>
          <w:color w:val="231F20"/>
          <w:w w:val="105"/>
        </w:rPr>
        <w:t>entrada:</w:t>
      </w:r>
      <w:r>
        <w:rPr>
          <w:color w:val="231F20"/>
          <w:spacing w:val="-8"/>
          <w:w w:val="105"/>
        </w:rPr>
        <w:t> </w:t>
      </w:r>
      <w:r>
        <w:rPr>
          <w:color w:val="231F20"/>
          <w:w w:val="105"/>
        </w:rPr>
        <w:t>las</w:t>
      </w:r>
      <w:r>
        <w:rPr>
          <w:color w:val="231F20"/>
          <w:spacing w:val="-8"/>
          <w:w w:val="105"/>
        </w:rPr>
        <w:t> </w:t>
      </w:r>
      <w:r>
        <w:rPr>
          <w:color w:val="231F20"/>
          <w:w w:val="105"/>
        </w:rPr>
        <w:t>del</w:t>
      </w:r>
      <w:r>
        <w:rPr>
          <w:color w:val="231F20"/>
          <w:spacing w:val="-8"/>
          <w:w w:val="105"/>
        </w:rPr>
        <w:t> </w:t>
      </w:r>
      <w:r>
        <w:rPr>
          <w:color w:val="231F20"/>
          <w:w w:val="105"/>
        </w:rPr>
        <w:t>investigador</w:t>
      </w:r>
      <w:r>
        <w:rPr>
          <w:color w:val="231F20"/>
          <w:spacing w:val="-8"/>
          <w:w w:val="105"/>
        </w:rPr>
        <w:t> </w:t>
      </w:r>
      <w:r>
        <w:rPr>
          <w:color w:val="231F20"/>
          <w:w w:val="105"/>
        </w:rPr>
        <w:t>y</w:t>
      </w:r>
      <w:r>
        <w:rPr>
          <w:color w:val="231F20"/>
          <w:spacing w:val="-8"/>
          <w:w w:val="105"/>
        </w:rPr>
        <w:t> </w:t>
      </w:r>
      <w:r>
        <w:rPr>
          <w:color w:val="231F20"/>
          <w:w w:val="105"/>
        </w:rPr>
        <w:t>las</w:t>
      </w:r>
      <w:r>
        <w:rPr>
          <w:color w:val="231F20"/>
          <w:spacing w:val="-8"/>
          <w:w w:val="105"/>
        </w:rPr>
        <w:t> </w:t>
      </w:r>
      <w:r>
        <w:rPr>
          <w:color w:val="231F20"/>
          <w:w w:val="105"/>
        </w:rPr>
        <w:t>del</w:t>
      </w:r>
      <w:r>
        <w:rPr>
          <w:color w:val="231F20"/>
          <w:spacing w:val="-8"/>
          <w:w w:val="105"/>
        </w:rPr>
        <w:t> </w:t>
      </w:r>
      <w:r>
        <w:rPr>
          <w:color w:val="231F20"/>
          <w:w w:val="105"/>
        </w:rPr>
        <w:t>sujeto</w:t>
      </w:r>
      <w:r>
        <w:rPr>
          <w:color w:val="231F20"/>
          <w:spacing w:val="-8"/>
          <w:w w:val="105"/>
        </w:rPr>
        <w:t> </w:t>
      </w:r>
      <w:r>
        <w:rPr>
          <w:color w:val="231F20"/>
          <w:w w:val="105"/>
        </w:rPr>
        <w:t>investi- gado</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personas</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lugares.</w:t>
      </w:r>
    </w:p>
    <w:p>
      <w:pPr>
        <w:pStyle w:val="BodyText"/>
        <w:spacing w:line="261" w:lineRule="auto" w:before="1"/>
        <w:ind w:left="1837" w:right="1720" w:firstLine="567"/>
        <w:jc w:val="both"/>
      </w:pPr>
      <w:r>
        <w:rPr>
          <w:color w:val="231F20"/>
          <w:w w:val="105"/>
        </w:rPr>
        <w:t>Proponemos mirar las idas y los regresos como eventos pertene- cientes a algo más grande: la migración. Los estudios de migración de retorno</w:t>
      </w:r>
      <w:r>
        <w:rPr>
          <w:color w:val="231F20"/>
          <w:spacing w:val="-12"/>
          <w:w w:val="105"/>
        </w:rPr>
        <w:t> </w:t>
      </w:r>
      <w:r>
        <w:rPr>
          <w:color w:val="231F20"/>
          <w:w w:val="105"/>
        </w:rPr>
        <w:t>existen</w:t>
      </w:r>
      <w:r>
        <w:rPr>
          <w:color w:val="231F20"/>
          <w:spacing w:val="-12"/>
          <w:w w:val="105"/>
        </w:rPr>
        <w:t> </w:t>
      </w:r>
      <w:r>
        <w:rPr>
          <w:color w:val="231F20"/>
          <w:w w:val="105"/>
        </w:rPr>
        <w:t>en</w:t>
      </w:r>
      <w:r>
        <w:rPr>
          <w:color w:val="231F20"/>
          <w:spacing w:val="-12"/>
          <w:w w:val="105"/>
        </w:rPr>
        <w:t> </w:t>
      </w:r>
      <w:r>
        <w:rPr>
          <w:color w:val="231F20"/>
          <w:w w:val="105"/>
        </w:rPr>
        <w:t>menor</w:t>
      </w:r>
      <w:r>
        <w:rPr>
          <w:color w:val="231F20"/>
          <w:spacing w:val="-12"/>
          <w:w w:val="105"/>
        </w:rPr>
        <w:t> </w:t>
      </w:r>
      <w:r>
        <w:rPr>
          <w:color w:val="231F20"/>
          <w:w w:val="105"/>
        </w:rPr>
        <w:t>número</w:t>
      </w:r>
      <w:r>
        <w:rPr>
          <w:color w:val="231F20"/>
          <w:spacing w:val="-12"/>
          <w:w w:val="105"/>
        </w:rPr>
        <w:t> </w:t>
      </w:r>
      <w:r>
        <w:rPr>
          <w:color w:val="231F20"/>
          <w:w w:val="105"/>
        </w:rPr>
        <w:t>y</w:t>
      </w:r>
      <w:r>
        <w:rPr>
          <w:color w:val="231F20"/>
          <w:spacing w:val="-12"/>
          <w:w w:val="105"/>
        </w:rPr>
        <w:t> </w:t>
      </w:r>
      <w:r>
        <w:rPr>
          <w:color w:val="231F20"/>
          <w:w w:val="105"/>
        </w:rPr>
        <w:t>por</w:t>
      </w:r>
      <w:r>
        <w:rPr>
          <w:color w:val="231F20"/>
          <w:spacing w:val="-12"/>
          <w:w w:val="105"/>
        </w:rPr>
        <w:t> </w:t>
      </w:r>
      <w:r>
        <w:rPr>
          <w:color w:val="231F20"/>
          <w:w w:val="105"/>
        </w:rPr>
        <w:t>lo</w:t>
      </w:r>
      <w:r>
        <w:rPr>
          <w:color w:val="231F20"/>
          <w:spacing w:val="-12"/>
          <w:w w:val="105"/>
        </w:rPr>
        <w:t> </w:t>
      </w:r>
      <w:r>
        <w:rPr>
          <w:color w:val="231F20"/>
          <w:w w:val="105"/>
        </w:rPr>
        <w:t>regular</w:t>
      </w:r>
      <w:r>
        <w:rPr>
          <w:color w:val="231F20"/>
          <w:spacing w:val="-12"/>
          <w:w w:val="105"/>
        </w:rPr>
        <w:t> </w:t>
      </w:r>
      <w:r>
        <w:rPr>
          <w:color w:val="231F20"/>
          <w:w w:val="105"/>
        </w:rPr>
        <w:t>cargados</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sistema- tización</w:t>
      </w:r>
      <w:r>
        <w:rPr>
          <w:color w:val="231F20"/>
          <w:spacing w:val="-8"/>
          <w:w w:val="105"/>
        </w:rPr>
        <w:t> </w:t>
      </w:r>
      <w:r>
        <w:rPr>
          <w:color w:val="231F20"/>
          <w:w w:val="105"/>
        </w:rPr>
        <w:t>empírica,</w:t>
      </w:r>
      <w:r>
        <w:rPr>
          <w:color w:val="231F20"/>
          <w:spacing w:val="-15"/>
          <w:w w:val="105"/>
        </w:rPr>
        <w:t> </w:t>
      </w:r>
      <w:r>
        <w:rPr>
          <w:color w:val="231F20"/>
          <w:w w:val="105"/>
        </w:rPr>
        <w:t>dejando</w:t>
      </w:r>
      <w:r>
        <w:rPr>
          <w:color w:val="231F20"/>
          <w:spacing w:val="-8"/>
          <w:w w:val="105"/>
        </w:rPr>
        <w:t> </w:t>
      </w:r>
      <w:r>
        <w:rPr>
          <w:color w:val="231F20"/>
          <w:w w:val="105"/>
        </w:rPr>
        <w:t>débil</w:t>
      </w:r>
      <w:r>
        <w:rPr>
          <w:color w:val="231F20"/>
          <w:spacing w:val="-8"/>
          <w:w w:val="105"/>
        </w:rPr>
        <w:t> </w:t>
      </w:r>
      <w:r>
        <w:rPr>
          <w:color w:val="231F20"/>
          <w:w w:val="105"/>
        </w:rPr>
        <w:t>el</w:t>
      </w:r>
      <w:r>
        <w:rPr>
          <w:color w:val="231F20"/>
          <w:spacing w:val="-8"/>
          <w:w w:val="105"/>
        </w:rPr>
        <w:t> </w:t>
      </w:r>
      <w:r>
        <w:rPr>
          <w:color w:val="231F20"/>
          <w:w w:val="105"/>
        </w:rPr>
        <w:t>conocimiento</w:t>
      </w:r>
      <w:r>
        <w:rPr>
          <w:color w:val="231F20"/>
          <w:spacing w:val="-8"/>
          <w:w w:val="105"/>
        </w:rPr>
        <w:t> </w:t>
      </w:r>
      <w:r>
        <w:rPr>
          <w:color w:val="231F20"/>
          <w:w w:val="105"/>
        </w:rPr>
        <w:t>teórico,</w:t>
      </w:r>
      <w:r>
        <w:rPr>
          <w:color w:val="231F20"/>
          <w:spacing w:val="-15"/>
          <w:w w:val="105"/>
        </w:rPr>
        <w:t> </w:t>
      </w:r>
      <w:r>
        <w:rPr>
          <w:color w:val="231F20"/>
          <w:w w:val="105"/>
        </w:rPr>
        <w:t>lo</w:t>
      </w:r>
      <w:r>
        <w:rPr>
          <w:color w:val="231F20"/>
          <w:spacing w:val="-8"/>
          <w:w w:val="105"/>
        </w:rPr>
        <w:t> </w:t>
      </w:r>
      <w:r>
        <w:rPr>
          <w:color w:val="231F20"/>
          <w:w w:val="105"/>
        </w:rPr>
        <w:t>cual</w:t>
      </w:r>
      <w:r>
        <w:rPr>
          <w:color w:val="231F20"/>
          <w:spacing w:val="-8"/>
          <w:w w:val="105"/>
        </w:rPr>
        <w:t> </w:t>
      </w:r>
      <w:r>
        <w:rPr>
          <w:color w:val="231F20"/>
          <w:w w:val="105"/>
        </w:rPr>
        <w:t>no</w:t>
      </w:r>
      <w:r>
        <w:rPr>
          <w:color w:val="231F20"/>
          <w:spacing w:val="-8"/>
          <w:w w:val="105"/>
        </w:rPr>
        <w:t> </w:t>
      </w:r>
      <w:r>
        <w:rPr>
          <w:color w:val="231F20"/>
          <w:w w:val="105"/>
        </w:rPr>
        <w:t>resta su</w:t>
      </w:r>
      <w:r>
        <w:rPr>
          <w:color w:val="231F20"/>
          <w:spacing w:val="-27"/>
          <w:w w:val="105"/>
        </w:rPr>
        <w:t> </w:t>
      </w:r>
      <w:r>
        <w:rPr>
          <w:color w:val="231F20"/>
          <w:w w:val="105"/>
        </w:rPr>
        <w:t>importancia</w:t>
      </w:r>
      <w:r>
        <w:rPr>
          <w:color w:val="231F20"/>
          <w:spacing w:val="-27"/>
          <w:w w:val="105"/>
        </w:rPr>
        <w:t> </w:t>
      </w:r>
      <w:r>
        <w:rPr>
          <w:color w:val="231F20"/>
          <w:w w:val="105"/>
        </w:rPr>
        <w:t>y</w:t>
      </w:r>
      <w:r>
        <w:rPr>
          <w:color w:val="231F20"/>
          <w:spacing w:val="-27"/>
          <w:w w:val="105"/>
        </w:rPr>
        <w:t> </w:t>
      </w:r>
      <w:r>
        <w:rPr>
          <w:color w:val="231F20"/>
          <w:w w:val="105"/>
        </w:rPr>
        <w:t>pertinencia</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academia.</w:t>
      </w:r>
      <w:r>
        <w:rPr>
          <w:color w:val="231F20"/>
          <w:spacing w:val="-32"/>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idas</w:t>
      </w:r>
      <w:r>
        <w:rPr>
          <w:color w:val="231F20"/>
          <w:spacing w:val="-27"/>
          <w:w w:val="105"/>
        </w:rPr>
        <w:t> </w:t>
      </w:r>
      <w:r>
        <w:rPr>
          <w:color w:val="231F20"/>
          <w:w w:val="105"/>
        </w:rPr>
        <w:t>se</w:t>
      </w:r>
      <w:r>
        <w:rPr>
          <w:color w:val="231F20"/>
          <w:spacing w:val="-27"/>
          <w:w w:val="105"/>
        </w:rPr>
        <w:t> </w:t>
      </w:r>
      <w:r>
        <w:rPr>
          <w:color w:val="231F20"/>
          <w:w w:val="105"/>
        </w:rPr>
        <w:t>han</w:t>
      </w:r>
      <w:r>
        <w:rPr>
          <w:color w:val="231F20"/>
          <w:spacing w:val="-27"/>
          <w:w w:val="105"/>
        </w:rPr>
        <w:t> </w:t>
      </w:r>
      <w:r>
        <w:rPr>
          <w:color w:val="231F20"/>
          <w:w w:val="105"/>
        </w:rPr>
        <w:t>estudiado sus</w:t>
      </w:r>
      <w:r>
        <w:rPr>
          <w:color w:val="231F20"/>
          <w:spacing w:val="-32"/>
          <w:w w:val="105"/>
        </w:rPr>
        <w:t> </w:t>
      </w:r>
      <w:r>
        <w:rPr>
          <w:color w:val="231F20"/>
          <w:w w:val="105"/>
        </w:rPr>
        <w:t>causas</w:t>
      </w:r>
      <w:r>
        <w:rPr>
          <w:color w:val="231F20"/>
          <w:spacing w:val="-32"/>
          <w:w w:val="105"/>
        </w:rPr>
        <w:t> </w:t>
      </w:r>
      <w:r>
        <w:rPr>
          <w:color w:val="231F20"/>
          <w:w w:val="105"/>
        </w:rPr>
        <w:t>y</w:t>
      </w:r>
      <w:r>
        <w:rPr>
          <w:color w:val="231F20"/>
          <w:spacing w:val="-32"/>
          <w:w w:val="105"/>
        </w:rPr>
        <w:t> </w:t>
      </w:r>
      <w:r>
        <w:rPr>
          <w:color w:val="231F20"/>
          <w:w w:val="105"/>
        </w:rPr>
        <w:t>consecuencias,</w:t>
      </w:r>
      <w:r>
        <w:rPr>
          <w:color w:val="231F20"/>
          <w:spacing w:val="-35"/>
          <w:w w:val="105"/>
        </w:rPr>
        <w:t> </w:t>
      </w:r>
      <w:r>
        <w:rPr>
          <w:color w:val="231F20"/>
          <w:w w:val="105"/>
        </w:rPr>
        <w:t>útil</w:t>
      </w:r>
      <w:r>
        <w:rPr>
          <w:color w:val="231F20"/>
          <w:spacing w:val="-32"/>
          <w:w w:val="105"/>
        </w:rPr>
        <w:t> </w:t>
      </w:r>
      <w:r>
        <w:rPr>
          <w:color w:val="231F20"/>
          <w:w w:val="105"/>
        </w:rPr>
        <w:t>sería</w:t>
      </w:r>
      <w:r>
        <w:rPr>
          <w:color w:val="231F20"/>
          <w:spacing w:val="-32"/>
          <w:w w:val="105"/>
        </w:rPr>
        <w:t> </w:t>
      </w:r>
      <w:r>
        <w:rPr>
          <w:color w:val="231F20"/>
          <w:w w:val="105"/>
        </w:rPr>
        <w:t>hacerlo</w:t>
      </w:r>
      <w:r>
        <w:rPr>
          <w:color w:val="231F20"/>
          <w:spacing w:val="-32"/>
          <w:w w:val="105"/>
        </w:rPr>
        <w:t> </w:t>
      </w:r>
      <w:r>
        <w:rPr>
          <w:color w:val="231F20"/>
          <w:w w:val="105"/>
        </w:rPr>
        <w:t>también</w:t>
      </w:r>
      <w:r>
        <w:rPr>
          <w:color w:val="231F20"/>
          <w:spacing w:val="-32"/>
          <w:w w:val="105"/>
        </w:rPr>
        <w:t> </w:t>
      </w:r>
      <w:r>
        <w:rPr>
          <w:color w:val="231F20"/>
          <w:w w:val="105"/>
        </w:rPr>
        <w:t>con</w:t>
      </w:r>
      <w:r>
        <w:rPr>
          <w:color w:val="231F20"/>
          <w:spacing w:val="-32"/>
          <w:w w:val="105"/>
        </w:rPr>
        <w:t> </w:t>
      </w:r>
      <w:r>
        <w:rPr>
          <w:color w:val="231F20"/>
          <w:w w:val="105"/>
        </w:rPr>
        <w:t>el</w:t>
      </w:r>
      <w:r>
        <w:rPr>
          <w:color w:val="231F20"/>
          <w:spacing w:val="-32"/>
          <w:w w:val="105"/>
        </w:rPr>
        <w:t> </w:t>
      </w:r>
      <w:r>
        <w:rPr>
          <w:color w:val="231F20"/>
          <w:w w:val="105"/>
        </w:rPr>
        <w:t>retorno</w:t>
      </w:r>
      <w:r>
        <w:rPr>
          <w:color w:val="231F20"/>
          <w:spacing w:val="-32"/>
          <w:w w:val="105"/>
        </w:rPr>
        <w:t> </w:t>
      </w:r>
      <w:r>
        <w:rPr>
          <w:color w:val="231F20"/>
          <w:w w:val="105"/>
        </w:rPr>
        <w:t>para seguir</w:t>
      </w:r>
      <w:r>
        <w:rPr>
          <w:color w:val="231F20"/>
          <w:spacing w:val="-9"/>
          <w:w w:val="105"/>
        </w:rPr>
        <w:t> </w:t>
      </w:r>
      <w:r>
        <w:rPr>
          <w:color w:val="231F20"/>
          <w:w w:val="105"/>
        </w:rPr>
        <w:t>ampliando</w:t>
      </w:r>
      <w:r>
        <w:rPr>
          <w:color w:val="231F20"/>
          <w:spacing w:val="-9"/>
          <w:w w:val="105"/>
        </w:rPr>
        <w:t> </w:t>
      </w:r>
      <w:r>
        <w:rPr>
          <w:color w:val="231F20"/>
          <w:w w:val="105"/>
        </w:rPr>
        <w:t>el</w:t>
      </w:r>
      <w:r>
        <w:rPr>
          <w:color w:val="231F20"/>
          <w:spacing w:val="-9"/>
          <w:w w:val="105"/>
        </w:rPr>
        <w:t> </w:t>
      </w:r>
      <w:r>
        <w:rPr>
          <w:color w:val="231F20"/>
          <w:w w:val="105"/>
        </w:rPr>
        <w:t>conocimiento</w:t>
      </w:r>
      <w:r>
        <w:rPr>
          <w:color w:val="231F20"/>
          <w:spacing w:val="-9"/>
          <w:w w:val="105"/>
        </w:rPr>
        <w:t> </w:t>
      </w:r>
      <w:r>
        <w:rPr>
          <w:color w:val="231F20"/>
          <w:w w:val="105"/>
        </w:rPr>
        <w:t>existente</w:t>
      </w:r>
      <w:r>
        <w:rPr>
          <w:color w:val="231F20"/>
          <w:spacing w:val="-9"/>
          <w:w w:val="105"/>
        </w:rPr>
        <w:t> </w:t>
      </w:r>
      <w:r>
        <w:rPr>
          <w:color w:val="231F20"/>
          <w:w w:val="105"/>
        </w:rPr>
        <w:t>sobre</w:t>
      </w:r>
      <w:r>
        <w:rPr>
          <w:color w:val="231F20"/>
          <w:spacing w:val="-9"/>
          <w:w w:val="105"/>
        </w:rPr>
        <w:t> </w:t>
      </w:r>
      <w:r>
        <w:rPr>
          <w:color w:val="231F20"/>
          <w:w w:val="105"/>
        </w:rPr>
        <w:t>este</w:t>
      </w:r>
      <w:r>
        <w:rPr>
          <w:color w:val="231F20"/>
          <w:spacing w:val="-9"/>
          <w:w w:val="105"/>
        </w:rPr>
        <w:t> </w:t>
      </w:r>
      <w:r>
        <w:rPr>
          <w:color w:val="231F20"/>
          <w:w w:val="105"/>
        </w:rPr>
        <w:t>fenómeno.</w:t>
      </w:r>
      <w:r>
        <w:rPr>
          <w:color w:val="231F20"/>
          <w:spacing w:val="-14"/>
          <w:w w:val="105"/>
        </w:rPr>
        <w:t> </w:t>
      </w:r>
      <w:r>
        <w:rPr>
          <w:color w:val="231F20"/>
          <w:w w:val="105"/>
        </w:rPr>
        <w:t>Ires</w:t>
      </w:r>
      <w:r>
        <w:rPr>
          <w:color w:val="231F20"/>
          <w:spacing w:val="-9"/>
          <w:w w:val="105"/>
        </w:rPr>
        <w:t> </w:t>
      </w:r>
      <w:r>
        <w:rPr>
          <w:color w:val="231F20"/>
          <w:w w:val="105"/>
        </w:rPr>
        <w:t>y venires</w:t>
      </w:r>
      <w:r>
        <w:rPr>
          <w:color w:val="231F20"/>
          <w:spacing w:val="-21"/>
          <w:w w:val="105"/>
        </w:rPr>
        <w:t> </w:t>
      </w:r>
      <w:r>
        <w:rPr>
          <w:color w:val="231F20"/>
          <w:w w:val="105"/>
        </w:rPr>
        <w:t>hablan</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pluralidad</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idas</w:t>
      </w:r>
      <w:r>
        <w:rPr>
          <w:color w:val="231F20"/>
          <w:spacing w:val="-21"/>
          <w:w w:val="105"/>
        </w:rPr>
        <w:t> </w:t>
      </w:r>
      <w:r>
        <w:rPr>
          <w:color w:val="231F20"/>
          <w:spacing w:val="-4"/>
          <w:w w:val="105"/>
        </w:rPr>
        <w:t>y,</w:t>
      </w:r>
      <w:r>
        <w:rPr>
          <w:color w:val="231F20"/>
          <w:spacing w:val="-25"/>
          <w:w w:val="105"/>
        </w:rPr>
        <w:t> </w:t>
      </w:r>
      <w:r>
        <w:rPr>
          <w:color w:val="231F20"/>
          <w:w w:val="105"/>
        </w:rPr>
        <w:t>consecuentemente,</w:t>
      </w:r>
      <w:r>
        <w:rPr>
          <w:color w:val="231F20"/>
          <w:spacing w:val="-25"/>
          <w:w w:val="105"/>
        </w:rPr>
        <w:t> </w:t>
      </w:r>
      <w:r>
        <w:rPr>
          <w:color w:val="231F20"/>
          <w:w w:val="105"/>
        </w:rPr>
        <w:t>de</w:t>
      </w:r>
      <w:r>
        <w:rPr>
          <w:color w:val="231F20"/>
          <w:spacing w:val="-21"/>
          <w:w w:val="105"/>
        </w:rPr>
        <w:t> </w:t>
      </w:r>
      <w:r>
        <w:rPr>
          <w:color w:val="231F20"/>
          <w:w w:val="105"/>
        </w:rPr>
        <w:t>veni- res</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ocurrencia</w:t>
      </w:r>
      <w:r>
        <w:rPr>
          <w:color w:val="231F20"/>
          <w:spacing w:val="-17"/>
          <w:w w:val="105"/>
        </w:rPr>
        <w:t> </w:t>
      </w:r>
      <w:r>
        <w:rPr>
          <w:color w:val="231F20"/>
          <w:w w:val="105"/>
        </w:rPr>
        <w:t>ideal.</w:t>
      </w:r>
      <w:r>
        <w:rPr>
          <w:color w:val="231F20"/>
          <w:spacing w:val="-22"/>
          <w:w w:val="105"/>
        </w:rPr>
        <w:t> </w:t>
      </w:r>
      <w:r>
        <w:rPr>
          <w:color w:val="231F20"/>
          <w:w w:val="105"/>
        </w:rPr>
        <w:t>La</w:t>
      </w:r>
      <w:r>
        <w:rPr>
          <w:color w:val="231F20"/>
          <w:spacing w:val="-17"/>
          <w:w w:val="105"/>
        </w:rPr>
        <w:t> </w:t>
      </w:r>
      <w:r>
        <w:rPr>
          <w:color w:val="231F20"/>
          <w:w w:val="105"/>
        </w:rPr>
        <w:t>pluralidad</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migraciones</w:t>
      </w:r>
      <w:r>
        <w:rPr>
          <w:color w:val="231F20"/>
          <w:spacing w:val="-17"/>
          <w:w w:val="105"/>
        </w:rPr>
        <w:t> </w:t>
      </w:r>
      <w:r>
        <w:rPr>
          <w:color w:val="231F20"/>
          <w:w w:val="105"/>
        </w:rPr>
        <w:t>obedece</w:t>
      </w:r>
      <w:r>
        <w:rPr>
          <w:color w:val="231F20"/>
          <w:spacing w:val="-17"/>
          <w:w w:val="105"/>
        </w:rPr>
        <w:t> </w:t>
      </w:r>
      <w:r>
        <w:rPr>
          <w:color w:val="231F20"/>
          <w:w w:val="105"/>
        </w:rPr>
        <w:t>a</w:t>
      </w:r>
      <w:r>
        <w:rPr>
          <w:color w:val="231F20"/>
          <w:spacing w:val="-17"/>
          <w:w w:val="105"/>
        </w:rPr>
        <w:t> </w:t>
      </w:r>
      <w:r>
        <w:rPr>
          <w:color w:val="231F20"/>
          <w:w w:val="105"/>
        </w:rPr>
        <w:t>la negación</w:t>
      </w:r>
      <w:r>
        <w:rPr>
          <w:color w:val="231F20"/>
          <w:spacing w:val="-10"/>
          <w:w w:val="105"/>
        </w:rPr>
        <w:t> </w:t>
      </w:r>
      <w:r>
        <w:rPr>
          <w:color w:val="231F20"/>
          <w:w w:val="105"/>
        </w:rPr>
        <w:t>de</w:t>
      </w:r>
      <w:r>
        <w:rPr>
          <w:color w:val="231F20"/>
          <w:spacing w:val="-10"/>
          <w:w w:val="105"/>
        </w:rPr>
        <w:t> </w:t>
      </w:r>
      <w:r>
        <w:rPr>
          <w:color w:val="231F20"/>
          <w:w w:val="105"/>
        </w:rPr>
        <w:t>ésta</w:t>
      </w:r>
      <w:r>
        <w:rPr>
          <w:color w:val="231F20"/>
          <w:spacing w:val="-10"/>
          <w:w w:val="105"/>
        </w:rPr>
        <w:t> </w:t>
      </w:r>
      <w:r>
        <w:rPr>
          <w:color w:val="231F20"/>
          <w:w w:val="105"/>
        </w:rPr>
        <w:t>como</w:t>
      </w:r>
      <w:r>
        <w:rPr>
          <w:color w:val="231F20"/>
          <w:spacing w:val="-10"/>
          <w:w w:val="105"/>
        </w:rPr>
        <w:t> </w:t>
      </w:r>
      <w:r>
        <w:rPr>
          <w:color w:val="231F20"/>
          <w:w w:val="105"/>
        </w:rPr>
        <w:t>acción</w:t>
      </w:r>
      <w:r>
        <w:rPr>
          <w:color w:val="231F20"/>
          <w:spacing w:val="-10"/>
          <w:w w:val="105"/>
        </w:rPr>
        <w:t> </w:t>
      </w:r>
      <w:r>
        <w:rPr>
          <w:color w:val="231F20"/>
          <w:w w:val="105"/>
        </w:rPr>
        <w:t>individual</w:t>
      </w:r>
      <w:r>
        <w:rPr>
          <w:color w:val="231F20"/>
          <w:spacing w:val="-10"/>
          <w:w w:val="105"/>
        </w:rPr>
        <w:t> </w:t>
      </w:r>
      <w:r>
        <w:rPr>
          <w:color w:val="231F20"/>
          <w:w w:val="105"/>
        </w:rPr>
        <w:t>y</w:t>
      </w:r>
      <w:r>
        <w:rPr>
          <w:color w:val="231F20"/>
          <w:spacing w:val="-10"/>
          <w:w w:val="105"/>
        </w:rPr>
        <w:t> </w:t>
      </w:r>
      <w:r>
        <w:rPr>
          <w:color w:val="231F20"/>
          <w:w w:val="105"/>
        </w:rPr>
        <w:t>a</w:t>
      </w:r>
      <w:r>
        <w:rPr>
          <w:color w:val="231F20"/>
          <w:spacing w:val="-10"/>
          <w:w w:val="105"/>
        </w:rPr>
        <w:t> </w:t>
      </w:r>
      <w:r>
        <w:rPr>
          <w:color w:val="231F20"/>
          <w:w w:val="105"/>
        </w:rPr>
        <w:t>su</w:t>
      </w:r>
      <w:r>
        <w:rPr>
          <w:color w:val="231F20"/>
          <w:spacing w:val="-10"/>
          <w:w w:val="105"/>
        </w:rPr>
        <w:t> </w:t>
      </w:r>
      <w:r>
        <w:rPr>
          <w:color w:val="231F20"/>
          <w:w w:val="105"/>
        </w:rPr>
        <w:t>aceptación</w:t>
      </w:r>
      <w:r>
        <w:rPr>
          <w:color w:val="231F20"/>
          <w:spacing w:val="-10"/>
          <w:w w:val="105"/>
        </w:rPr>
        <w:t> </w:t>
      </w:r>
      <w:r>
        <w:rPr>
          <w:color w:val="231F20"/>
          <w:w w:val="105"/>
        </w:rPr>
        <w:t>como</w:t>
      </w:r>
      <w:r>
        <w:rPr>
          <w:color w:val="231F20"/>
          <w:spacing w:val="-10"/>
          <w:w w:val="105"/>
        </w:rPr>
        <w:t> </w:t>
      </w:r>
      <w:r>
        <w:rPr>
          <w:color w:val="231F20"/>
          <w:w w:val="105"/>
        </w:rPr>
        <w:t>acción colectiva</w:t>
      </w:r>
      <w:r>
        <w:rPr>
          <w:color w:val="231F20"/>
          <w:spacing w:val="-8"/>
          <w:w w:val="105"/>
        </w:rPr>
        <w:t> </w:t>
      </w:r>
      <w:r>
        <w:rPr>
          <w:color w:val="231F20"/>
          <w:w w:val="105"/>
        </w:rPr>
        <w:t>y</w:t>
      </w:r>
      <w:r>
        <w:rPr>
          <w:color w:val="231F20"/>
          <w:spacing w:val="-8"/>
          <w:w w:val="105"/>
        </w:rPr>
        <w:t> </w:t>
      </w:r>
      <w:r>
        <w:rPr>
          <w:color w:val="231F20"/>
          <w:w w:val="105"/>
        </w:rPr>
        <w:t>repetitiva,</w:t>
      </w:r>
      <w:r>
        <w:rPr>
          <w:color w:val="231F20"/>
          <w:spacing w:val="-15"/>
          <w:w w:val="105"/>
        </w:rPr>
        <w:t> </w:t>
      </w:r>
      <w:r>
        <w:rPr>
          <w:color w:val="231F20"/>
          <w:w w:val="105"/>
        </w:rPr>
        <w:t>pues</w:t>
      </w:r>
      <w:r>
        <w:rPr>
          <w:color w:val="231F20"/>
          <w:spacing w:val="-8"/>
          <w:w w:val="105"/>
        </w:rPr>
        <w:t> </w:t>
      </w:r>
      <w:r>
        <w:rPr>
          <w:color w:val="231F20"/>
          <w:w w:val="105"/>
        </w:rPr>
        <w:t>es</w:t>
      </w:r>
      <w:r>
        <w:rPr>
          <w:color w:val="231F20"/>
          <w:spacing w:val="-8"/>
          <w:w w:val="105"/>
        </w:rPr>
        <w:t> </w:t>
      </w:r>
      <w:r>
        <w:rPr>
          <w:color w:val="231F20"/>
          <w:w w:val="105"/>
        </w:rPr>
        <w:t>el</w:t>
      </w:r>
      <w:r>
        <w:rPr>
          <w:color w:val="231F20"/>
          <w:spacing w:val="-8"/>
          <w:w w:val="105"/>
        </w:rPr>
        <w:t> </w:t>
      </w:r>
      <w:r>
        <w:rPr>
          <w:color w:val="231F20"/>
          <w:w w:val="105"/>
        </w:rPr>
        <w:t>individuo</w:t>
      </w:r>
      <w:r>
        <w:rPr>
          <w:color w:val="231F20"/>
          <w:spacing w:val="-8"/>
          <w:w w:val="105"/>
        </w:rPr>
        <w:t> </w:t>
      </w:r>
      <w:r>
        <w:rPr>
          <w:color w:val="231F20"/>
          <w:w w:val="105"/>
        </w:rPr>
        <w:t>quien</w:t>
      </w:r>
      <w:r>
        <w:rPr>
          <w:color w:val="231F20"/>
          <w:spacing w:val="-8"/>
          <w:w w:val="105"/>
        </w:rPr>
        <w:t> </w:t>
      </w:r>
      <w:r>
        <w:rPr>
          <w:color w:val="231F20"/>
          <w:w w:val="105"/>
        </w:rPr>
        <w:t>migra,</w:t>
      </w:r>
      <w:r>
        <w:rPr>
          <w:color w:val="231F20"/>
          <w:spacing w:val="-15"/>
          <w:w w:val="105"/>
        </w:rPr>
        <w:t> </w:t>
      </w:r>
      <w:r>
        <w:rPr>
          <w:color w:val="231F20"/>
          <w:w w:val="105"/>
        </w:rPr>
        <w:t>pero</w:t>
      </w:r>
      <w:r>
        <w:rPr>
          <w:color w:val="231F20"/>
          <w:spacing w:val="-8"/>
          <w:w w:val="105"/>
        </w:rPr>
        <w:t> </w:t>
      </w:r>
      <w:r>
        <w:rPr>
          <w:color w:val="231F20"/>
          <w:w w:val="105"/>
        </w:rPr>
        <w:t>detrás</w:t>
      </w:r>
      <w:r>
        <w:rPr>
          <w:color w:val="231F20"/>
          <w:spacing w:val="-8"/>
          <w:w w:val="105"/>
        </w:rPr>
        <w:t> </w:t>
      </w:r>
      <w:r>
        <w:rPr>
          <w:color w:val="231F20"/>
          <w:w w:val="105"/>
        </w:rPr>
        <w:t>de</w:t>
      </w:r>
      <w:r>
        <w:rPr>
          <w:color w:val="231F20"/>
          <w:spacing w:val="-8"/>
          <w:w w:val="105"/>
        </w:rPr>
        <w:t> </w:t>
      </w:r>
      <w:r>
        <w:rPr>
          <w:color w:val="231F20"/>
          <w:w w:val="105"/>
        </w:rPr>
        <w:t>él se</w:t>
      </w:r>
      <w:r>
        <w:rPr>
          <w:color w:val="231F20"/>
          <w:spacing w:val="-11"/>
          <w:w w:val="105"/>
        </w:rPr>
        <w:t> </w:t>
      </w:r>
      <w:r>
        <w:rPr>
          <w:color w:val="231F20"/>
          <w:w w:val="105"/>
        </w:rPr>
        <w:t>encuentra</w:t>
      </w:r>
      <w:r>
        <w:rPr>
          <w:color w:val="231F20"/>
          <w:spacing w:val="-11"/>
          <w:w w:val="105"/>
        </w:rPr>
        <w:t> </w:t>
      </w:r>
      <w:r>
        <w:rPr>
          <w:color w:val="231F20"/>
          <w:w w:val="105"/>
        </w:rPr>
        <w:t>todo</w:t>
      </w:r>
      <w:r>
        <w:rPr>
          <w:color w:val="231F20"/>
          <w:spacing w:val="-11"/>
          <w:w w:val="105"/>
        </w:rPr>
        <w:t> </w:t>
      </w:r>
      <w:r>
        <w:rPr>
          <w:color w:val="231F20"/>
          <w:w w:val="105"/>
        </w:rPr>
        <w:t>el</w:t>
      </w:r>
      <w:r>
        <w:rPr>
          <w:color w:val="231F20"/>
          <w:spacing w:val="-11"/>
          <w:w w:val="105"/>
        </w:rPr>
        <w:t> </w:t>
      </w:r>
      <w:r>
        <w:rPr>
          <w:color w:val="231F20"/>
          <w:w w:val="105"/>
        </w:rPr>
        <w:t>respaldo</w:t>
      </w:r>
      <w:r>
        <w:rPr>
          <w:color w:val="231F20"/>
          <w:spacing w:val="-11"/>
          <w:w w:val="105"/>
        </w:rPr>
        <w:t> </w:t>
      </w:r>
      <w:r>
        <w:rPr>
          <w:color w:val="231F20"/>
          <w:w w:val="105"/>
        </w:rPr>
        <w:t>familiar</w:t>
      </w:r>
    </w:p>
    <w:p>
      <w:pPr>
        <w:spacing w:after="0" w:line="261" w:lineRule="auto"/>
        <w:jc w:val="both"/>
        <w:sectPr>
          <w:pgSz w:w="10480" w:h="14730"/>
          <w:pgMar w:header="0" w:footer="223" w:top="42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BodyText"/>
        <w:spacing w:line="261" w:lineRule="auto" w:before="60"/>
        <w:ind w:left="1723" w:right="1834"/>
        <w:jc w:val="both"/>
      </w:pPr>
      <w:r>
        <w:rPr>
          <w:color w:val="231F20"/>
          <w:w w:val="105"/>
        </w:rPr>
        <w:t>Situar los «venires» de acuerdo al tiempo de duración de estancia en otro país y en los lugares de origen permite recuperar dos tipos de re- gresos</w:t>
      </w:r>
      <w:r>
        <w:rPr>
          <w:color w:val="231F20"/>
          <w:spacing w:val="-10"/>
          <w:w w:val="105"/>
        </w:rPr>
        <w:t> </w:t>
      </w:r>
      <w:r>
        <w:rPr>
          <w:color w:val="231F20"/>
          <w:w w:val="105"/>
        </w:rPr>
        <w:t>que</w:t>
      </w:r>
      <w:r>
        <w:rPr>
          <w:color w:val="231F20"/>
          <w:spacing w:val="-10"/>
          <w:w w:val="105"/>
        </w:rPr>
        <w:t> </w:t>
      </w:r>
      <w:r>
        <w:rPr>
          <w:color w:val="231F20"/>
          <w:w w:val="105"/>
        </w:rPr>
        <w:t>Bovenkert</w:t>
      </w:r>
      <w:r>
        <w:rPr>
          <w:color w:val="231F20"/>
          <w:spacing w:val="-10"/>
          <w:w w:val="105"/>
        </w:rPr>
        <w:t> </w:t>
      </w:r>
      <w:r>
        <w:rPr>
          <w:color w:val="231F20"/>
          <w:w w:val="105"/>
        </w:rPr>
        <w:t>(en</w:t>
      </w:r>
      <w:r>
        <w:rPr>
          <w:color w:val="231F20"/>
          <w:spacing w:val="-10"/>
          <w:w w:val="105"/>
        </w:rPr>
        <w:t> </w:t>
      </w:r>
      <w:r>
        <w:rPr>
          <w:color w:val="231F20"/>
          <w:w w:val="105"/>
        </w:rPr>
        <w:t>Castillo,</w:t>
      </w:r>
      <w:r>
        <w:rPr>
          <w:color w:val="231F20"/>
          <w:spacing w:val="-17"/>
          <w:w w:val="105"/>
        </w:rPr>
        <w:t> </w:t>
      </w:r>
      <w:r>
        <w:rPr>
          <w:color w:val="231F20"/>
          <w:w w:val="105"/>
        </w:rPr>
        <w:t>1997)</w:t>
      </w:r>
      <w:r>
        <w:rPr>
          <w:color w:val="231F20"/>
          <w:spacing w:val="-10"/>
          <w:w w:val="105"/>
        </w:rPr>
        <w:t> </w:t>
      </w:r>
      <w:r>
        <w:rPr>
          <w:color w:val="231F20"/>
          <w:w w:val="105"/>
        </w:rPr>
        <w:t>denomina</w:t>
      </w:r>
      <w:r>
        <w:rPr>
          <w:color w:val="231F20"/>
          <w:spacing w:val="-10"/>
          <w:w w:val="105"/>
        </w:rPr>
        <w:t> </w:t>
      </w:r>
      <w:r>
        <w:rPr>
          <w:color w:val="231F20"/>
          <w:w w:val="105"/>
        </w:rPr>
        <w:t>reemigración</w:t>
      </w:r>
      <w:r>
        <w:rPr>
          <w:color w:val="231F20"/>
          <w:spacing w:val="-10"/>
          <w:w w:val="105"/>
        </w:rPr>
        <w:t> </w:t>
      </w:r>
      <w:r>
        <w:rPr>
          <w:color w:val="231F20"/>
          <w:w w:val="105"/>
        </w:rPr>
        <w:t>y</w:t>
      </w:r>
      <w:r>
        <w:rPr>
          <w:color w:val="231F20"/>
          <w:spacing w:val="-10"/>
          <w:w w:val="105"/>
        </w:rPr>
        <w:t> </w:t>
      </w:r>
      <w:r>
        <w:rPr>
          <w:color w:val="231F20"/>
          <w:w w:val="105"/>
        </w:rPr>
        <w:t>emi- gración circular. El primer término sirve para nombrar el primer regre- so de una emigración al mismo destino, y el segundo para identificar a aquellos movimientos de ida y vuelta que involucran dos lugares y</w:t>
      </w:r>
      <w:r>
        <w:rPr>
          <w:color w:val="231F20"/>
          <w:spacing w:val="-23"/>
          <w:w w:val="105"/>
        </w:rPr>
        <w:t> </w:t>
      </w:r>
      <w:r>
        <w:rPr>
          <w:color w:val="231F20"/>
          <w:w w:val="105"/>
        </w:rPr>
        <w:t>más de un</w:t>
      </w:r>
      <w:r>
        <w:rPr>
          <w:color w:val="231F20"/>
          <w:spacing w:val="11"/>
          <w:w w:val="105"/>
        </w:rPr>
        <w:t> </w:t>
      </w:r>
      <w:r>
        <w:rPr>
          <w:color w:val="231F20"/>
          <w:w w:val="105"/>
        </w:rPr>
        <w:t>retorno.</w:t>
      </w:r>
    </w:p>
    <w:p>
      <w:pPr>
        <w:pStyle w:val="BodyText"/>
        <w:spacing w:line="261" w:lineRule="auto" w:before="1"/>
        <w:ind w:left="1723" w:right="1829" w:firstLine="567"/>
        <w:jc w:val="both"/>
      </w:pPr>
      <w:r>
        <w:rPr>
          <w:color w:val="231F20"/>
          <w:w w:val="105"/>
        </w:rPr>
        <w:t>Una</w:t>
      </w:r>
      <w:r>
        <w:rPr>
          <w:color w:val="231F20"/>
          <w:spacing w:val="-10"/>
          <w:w w:val="105"/>
        </w:rPr>
        <w:t> </w:t>
      </w:r>
      <w:r>
        <w:rPr>
          <w:color w:val="231F20"/>
          <w:w w:val="105"/>
        </w:rPr>
        <w:t>explicación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migración</w:t>
      </w:r>
      <w:r>
        <w:rPr>
          <w:color w:val="231F20"/>
          <w:spacing w:val="-10"/>
          <w:w w:val="105"/>
        </w:rPr>
        <w:t> </w:t>
      </w:r>
      <w:r>
        <w:rPr>
          <w:color w:val="231F20"/>
          <w:w w:val="105"/>
        </w:rPr>
        <w:t>de</w:t>
      </w:r>
      <w:r>
        <w:rPr>
          <w:color w:val="231F20"/>
          <w:spacing w:val="-10"/>
          <w:w w:val="105"/>
        </w:rPr>
        <w:t> </w:t>
      </w:r>
      <w:r>
        <w:rPr>
          <w:color w:val="231F20"/>
          <w:w w:val="105"/>
        </w:rPr>
        <w:t>retorno</w:t>
      </w:r>
      <w:r>
        <w:rPr>
          <w:color w:val="231F20"/>
          <w:spacing w:val="-10"/>
          <w:w w:val="105"/>
        </w:rPr>
        <w:t> </w:t>
      </w:r>
      <w:r>
        <w:rPr>
          <w:color w:val="231F20"/>
          <w:w w:val="105"/>
        </w:rPr>
        <w:t>viene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teoría</w:t>
      </w:r>
      <w:r>
        <w:rPr>
          <w:color w:val="231F20"/>
          <w:spacing w:val="-10"/>
          <w:w w:val="105"/>
        </w:rPr>
        <w:t> </w:t>
      </w:r>
      <w:r>
        <w:rPr>
          <w:color w:val="231F20"/>
          <w:w w:val="105"/>
        </w:rPr>
        <w:t>Neo- clásica</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w w:val="105"/>
        </w:rPr>
        <w:t>Nueva</w:t>
      </w:r>
      <w:r>
        <w:rPr>
          <w:color w:val="231F20"/>
          <w:spacing w:val="-29"/>
          <w:w w:val="105"/>
        </w:rPr>
        <w:t> </w:t>
      </w:r>
      <w:r>
        <w:rPr>
          <w:color w:val="231F20"/>
          <w:w w:val="105"/>
        </w:rPr>
        <w:t>Economía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Migración</w:t>
      </w:r>
      <w:r>
        <w:rPr>
          <w:color w:val="231F20"/>
          <w:spacing w:val="-29"/>
          <w:w w:val="105"/>
        </w:rPr>
        <w:t> </w:t>
      </w:r>
      <w:r>
        <w:rPr>
          <w:color w:val="231F20"/>
          <w:w w:val="105"/>
        </w:rPr>
        <w:t>Laboral.</w:t>
      </w:r>
      <w:r>
        <w:rPr>
          <w:color w:val="231F20"/>
          <w:spacing w:val="-34"/>
          <w:w w:val="105"/>
        </w:rPr>
        <w:t> </w:t>
      </w:r>
      <w:r>
        <w:rPr>
          <w:color w:val="231F20"/>
          <w:w w:val="105"/>
        </w:rPr>
        <w:t>La</w:t>
      </w:r>
      <w:r>
        <w:rPr>
          <w:color w:val="231F20"/>
          <w:spacing w:val="-29"/>
          <w:w w:val="105"/>
        </w:rPr>
        <w:t> </w:t>
      </w:r>
      <w:r>
        <w:rPr>
          <w:color w:val="231F20"/>
          <w:w w:val="105"/>
        </w:rPr>
        <w:t>primera</w:t>
      </w:r>
      <w:r>
        <w:rPr>
          <w:color w:val="231F20"/>
          <w:spacing w:val="-29"/>
          <w:w w:val="105"/>
        </w:rPr>
        <w:t> </w:t>
      </w:r>
      <w:r>
        <w:rPr>
          <w:color w:val="231F20"/>
          <w:w w:val="105"/>
        </w:rPr>
        <w:t>reasigna al hogar y al individuo su responsabilidad en la valoración negativa de la migración, es decir, el retorno es explicado como una consecuencia negativa de la migración. Si no se obtienen los beneficios “esperados” se</w:t>
      </w:r>
      <w:r>
        <w:rPr>
          <w:color w:val="231F20"/>
          <w:spacing w:val="-8"/>
          <w:w w:val="105"/>
        </w:rPr>
        <w:t> </w:t>
      </w:r>
      <w:r>
        <w:rPr>
          <w:color w:val="231F20"/>
          <w:w w:val="105"/>
        </w:rPr>
        <w:t>traduce</w:t>
      </w:r>
      <w:r>
        <w:rPr>
          <w:color w:val="231F20"/>
          <w:spacing w:val="-8"/>
          <w:w w:val="105"/>
        </w:rPr>
        <w:t> </w:t>
      </w:r>
      <w:r>
        <w:rPr>
          <w:color w:val="231F20"/>
          <w:w w:val="105"/>
        </w:rPr>
        <w:t>como</w:t>
      </w:r>
      <w:r>
        <w:rPr>
          <w:color w:val="231F20"/>
          <w:spacing w:val="-8"/>
          <w:w w:val="105"/>
        </w:rPr>
        <w:t> </w:t>
      </w:r>
      <w:r>
        <w:rPr>
          <w:color w:val="231F20"/>
          <w:w w:val="105"/>
        </w:rPr>
        <w:t>un</w:t>
      </w:r>
      <w:r>
        <w:rPr>
          <w:color w:val="231F20"/>
          <w:spacing w:val="-8"/>
          <w:w w:val="105"/>
        </w:rPr>
        <w:t> </w:t>
      </w:r>
      <w:r>
        <w:rPr>
          <w:color w:val="231F20"/>
          <w:w w:val="105"/>
        </w:rPr>
        <w:t>fracaso</w:t>
      </w:r>
      <w:r>
        <w:rPr>
          <w:color w:val="231F20"/>
          <w:spacing w:val="-8"/>
          <w:w w:val="105"/>
        </w:rPr>
        <w:t> </w:t>
      </w:r>
      <w:r>
        <w:rPr>
          <w:color w:val="231F20"/>
          <w:w w:val="105"/>
        </w:rPr>
        <w:t>y</w:t>
      </w:r>
      <w:r>
        <w:rPr>
          <w:color w:val="231F20"/>
          <w:spacing w:val="-8"/>
          <w:w w:val="105"/>
        </w:rPr>
        <w:t> </w:t>
      </w:r>
      <w:r>
        <w:rPr>
          <w:color w:val="231F20"/>
          <w:w w:val="105"/>
        </w:rPr>
        <w:t>por</w:t>
      </w:r>
      <w:r>
        <w:rPr>
          <w:color w:val="231F20"/>
          <w:spacing w:val="-8"/>
          <w:w w:val="105"/>
        </w:rPr>
        <w:t> </w:t>
      </w:r>
      <w:r>
        <w:rPr>
          <w:color w:val="231F20"/>
          <w:w w:val="105"/>
        </w:rPr>
        <w:t>consiguiente</w:t>
      </w:r>
      <w:r>
        <w:rPr>
          <w:color w:val="231F20"/>
          <w:spacing w:val="-8"/>
          <w:w w:val="105"/>
        </w:rPr>
        <w:t> </w:t>
      </w:r>
      <w:r>
        <w:rPr>
          <w:color w:val="231F20"/>
          <w:w w:val="105"/>
        </w:rPr>
        <w:t>en</w:t>
      </w:r>
      <w:r>
        <w:rPr>
          <w:color w:val="231F20"/>
          <w:spacing w:val="-8"/>
          <w:w w:val="105"/>
        </w:rPr>
        <w:t> </w:t>
      </w:r>
      <w:r>
        <w:rPr>
          <w:color w:val="231F20"/>
          <w:w w:val="105"/>
        </w:rPr>
        <w:t>un</w:t>
      </w:r>
      <w:r>
        <w:rPr>
          <w:color w:val="231F20"/>
          <w:spacing w:val="-8"/>
          <w:w w:val="105"/>
        </w:rPr>
        <w:t> </w:t>
      </w:r>
      <w:r>
        <w:rPr>
          <w:color w:val="231F20"/>
          <w:w w:val="105"/>
        </w:rPr>
        <w:t>retorno</w:t>
      </w:r>
      <w:r>
        <w:rPr>
          <w:color w:val="231F20"/>
          <w:spacing w:val="-8"/>
          <w:w w:val="105"/>
        </w:rPr>
        <w:t> </w:t>
      </w:r>
      <w:r>
        <w:rPr>
          <w:color w:val="231F20"/>
          <w:w w:val="105"/>
        </w:rPr>
        <w:t>necesario. </w:t>
      </w:r>
      <w:r>
        <w:rPr>
          <w:color w:val="231F20"/>
          <w:spacing w:val="-6"/>
          <w:w w:val="105"/>
        </w:rPr>
        <w:t>Por</w:t>
      </w:r>
      <w:r>
        <w:rPr>
          <w:color w:val="231F20"/>
          <w:spacing w:val="-17"/>
          <w:w w:val="105"/>
        </w:rPr>
        <w:t> </w:t>
      </w:r>
      <w:r>
        <w:rPr>
          <w:color w:val="231F20"/>
          <w:w w:val="105"/>
        </w:rPr>
        <w:t>otra</w:t>
      </w:r>
      <w:r>
        <w:rPr>
          <w:color w:val="231F20"/>
          <w:spacing w:val="-17"/>
          <w:w w:val="105"/>
        </w:rPr>
        <w:t> </w:t>
      </w:r>
      <w:r>
        <w:rPr>
          <w:color w:val="231F20"/>
          <w:w w:val="105"/>
        </w:rPr>
        <w:t>parte,</w:t>
      </w:r>
      <w:r>
        <w:rPr>
          <w:color w:val="231F20"/>
          <w:spacing w:val="-23"/>
          <w:w w:val="105"/>
        </w:rPr>
        <w:t> </w:t>
      </w:r>
      <w:r>
        <w:rPr>
          <w:color w:val="231F20"/>
          <w:w w:val="105"/>
        </w:rPr>
        <w:t>la</w:t>
      </w:r>
      <w:r>
        <w:rPr>
          <w:color w:val="231F20"/>
          <w:spacing w:val="-17"/>
          <w:w w:val="105"/>
        </w:rPr>
        <w:t> </w:t>
      </w:r>
      <w:r>
        <w:rPr>
          <w:color w:val="231F20"/>
          <w:w w:val="105"/>
        </w:rPr>
        <w:t>Nueva</w:t>
      </w:r>
      <w:r>
        <w:rPr>
          <w:color w:val="231F20"/>
          <w:spacing w:val="-17"/>
          <w:w w:val="105"/>
        </w:rPr>
        <w:t> </w:t>
      </w:r>
      <w:r>
        <w:rPr>
          <w:color w:val="231F20"/>
          <w:w w:val="105"/>
        </w:rPr>
        <w:t>Economía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Migración</w:t>
      </w:r>
      <w:r>
        <w:rPr>
          <w:color w:val="231F20"/>
          <w:spacing w:val="-17"/>
          <w:w w:val="105"/>
        </w:rPr>
        <w:t> </w:t>
      </w:r>
      <w:r>
        <w:rPr>
          <w:color w:val="231F20"/>
          <w:w w:val="105"/>
        </w:rPr>
        <w:t>Laboral,</w:t>
      </w:r>
      <w:r>
        <w:rPr>
          <w:color w:val="231F20"/>
          <w:spacing w:val="-23"/>
          <w:w w:val="105"/>
        </w:rPr>
        <w:t> </w:t>
      </w:r>
      <w:r>
        <w:rPr>
          <w:color w:val="231F20"/>
          <w:w w:val="105"/>
        </w:rPr>
        <w:t>como</w:t>
      </w:r>
      <w:r>
        <w:rPr>
          <w:color w:val="231F20"/>
          <w:spacing w:val="-17"/>
          <w:w w:val="105"/>
        </w:rPr>
        <w:t> </w:t>
      </w:r>
      <w:r>
        <w:rPr>
          <w:color w:val="231F20"/>
          <w:w w:val="105"/>
        </w:rPr>
        <w:t>perfec- 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teoría</w:t>
      </w:r>
      <w:r>
        <w:rPr>
          <w:color w:val="231F20"/>
          <w:spacing w:val="-18"/>
          <w:w w:val="105"/>
        </w:rPr>
        <w:t> </w:t>
      </w:r>
      <w:r>
        <w:rPr>
          <w:color w:val="231F20"/>
          <w:w w:val="105"/>
        </w:rPr>
        <w:t>Neoclásica,</w:t>
      </w:r>
      <w:r>
        <w:rPr>
          <w:color w:val="231F20"/>
          <w:spacing w:val="-23"/>
          <w:w w:val="105"/>
        </w:rPr>
        <w:t> </w:t>
      </w:r>
      <w:r>
        <w:rPr>
          <w:color w:val="231F20"/>
          <w:w w:val="105"/>
        </w:rPr>
        <w:t>sitúa</w:t>
      </w:r>
      <w:r>
        <w:rPr>
          <w:color w:val="231F20"/>
          <w:spacing w:val="-18"/>
          <w:w w:val="105"/>
        </w:rPr>
        <w:t> </w:t>
      </w:r>
      <w:r>
        <w:rPr>
          <w:color w:val="231F20"/>
          <w:w w:val="105"/>
        </w:rPr>
        <w:t>al</w:t>
      </w:r>
      <w:r>
        <w:rPr>
          <w:color w:val="231F20"/>
          <w:spacing w:val="-18"/>
          <w:w w:val="105"/>
        </w:rPr>
        <w:t> </w:t>
      </w:r>
      <w:r>
        <w:rPr>
          <w:color w:val="231F20"/>
          <w:w w:val="105"/>
        </w:rPr>
        <w:t>retorno</w:t>
      </w:r>
      <w:r>
        <w:rPr>
          <w:color w:val="231F20"/>
          <w:spacing w:val="-18"/>
          <w:w w:val="105"/>
        </w:rPr>
        <w:t> </w:t>
      </w:r>
      <w:r>
        <w:rPr>
          <w:color w:val="231F20"/>
          <w:w w:val="105"/>
        </w:rPr>
        <w:t>dentro</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consecuencias positivas,</w:t>
      </w:r>
      <w:r>
        <w:rPr>
          <w:color w:val="231F20"/>
          <w:spacing w:val="-12"/>
          <w:w w:val="105"/>
        </w:rPr>
        <w:t> </w:t>
      </w:r>
      <w:r>
        <w:rPr>
          <w:color w:val="231F20"/>
          <w:w w:val="105"/>
        </w:rPr>
        <w:t>después</w:t>
      </w:r>
      <w:r>
        <w:rPr>
          <w:color w:val="231F20"/>
          <w:spacing w:val="-7"/>
          <w:w w:val="105"/>
        </w:rPr>
        <w:t> </w:t>
      </w:r>
      <w:r>
        <w:rPr>
          <w:color w:val="231F20"/>
          <w:w w:val="105"/>
        </w:rPr>
        <w:t>de</w:t>
      </w:r>
      <w:r>
        <w:rPr>
          <w:color w:val="231F20"/>
          <w:spacing w:val="-7"/>
          <w:w w:val="105"/>
        </w:rPr>
        <w:t> </w:t>
      </w:r>
      <w:r>
        <w:rPr>
          <w:color w:val="231F20"/>
          <w:w w:val="105"/>
        </w:rPr>
        <w:t>cumplir</w:t>
      </w:r>
      <w:r>
        <w:rPr>
          <w:color w:val="231F20"/>
          <w:spacing w:val="-7"/>
          <w:w w:val="105"/>
        </w:rPr>
        <w:t> </w:t>
      </w:r>
      <w:r>
        <w:rPr>
          <w:color w:val="231F20"/>
          <w:w w:val="105"/>
        </w:rPr>
        <w:t>los</w:t>
      </w:r>
      <w:r>
        <w:rPr>
          <w:color w:val="231F20"/>
          <w:spacing w:val="-7"/>
          <w:w w:val="105"/>
        </w:rPr>
        <w:t> </w:t>
      </w:r>
      <w:r>
        <w:rPr>
          <w:color w:val="231F20"/>
          <w:w w:val="105"/>
        </w:rPr>
        <w:t>objetivos</w:t>
      </w:r>
      <w:r>
        <w:rPr>
          <w:color w:val="231F20"/>
          <w:spacing w:val="-7"/>
          <w:w w:val="105"/>
        </w:rPr>
        <w:t> </w:t>
      </w:r>
      <w:r>
        <w:rPr>
          <w:color w:val="231F20"/>
          <w:w w:val="105"/>
        </w:rPr>
        <w:t>trazados</w:t>
      </w:r>
      <w:r>
        <w:rPr>
          <w:color w:val="231F20"/>
          <w:spacing w:val="-7"/>
          <w:w w:val="105"/>
        </w:rPr>
        <w:t> </w:t>
      </w:r>
      <w:r>
        <w:rPr>
          <w:color w:val="231F20"/>
          <w:w w:val="105"/>
        </w:rPr>
        <w:t>en</w:t>
      </w:r>
      <w:r>
        <w:rPr>
          <w:color w:val="231F20"/>
          <w:spacing w:val="-7"/>
          <w:w w:val="105"/>
        </w:rPr>
        <w:t> </w:t>
      </w:r>
      <w:r>
        <w:rPr>
          <w:color w:val="231F20"/>
          <w:w w:val="105"/>
        </w:rPr>
        <w:t>lo</w:t>
      </w:r>
      <w:r>
        <w:rPr>
          <w:color w:val="231F20"/>
          <w:spacing w:val="-7"/>
          <w:w w:val="105"/>
        </w:rPr>
        <w:t> </w:t>
      </w:r>
      <w:r>
        <w:rPr>
          <w:color w:val="231F20"/>
          <w:w w:val="105"/>
        </w:rPr>
        <w:t>individual</w:t>
      </w:r>
      <w:r>
        <w:rPr>
          <w:color w:val="231F20"/>
          <w:spacing w:val="-7"/>
          <w:w w:val="105"/>
        </w:rPr>
        <w:t> </w:t>
      </w:r>
      <w:r>
        <w:rPr>
          <w:color w:val="231F20"/>
          <w:w w:val="105"/>
        </w:rPr>
        <w:t>y</w:t>
      </w:r>
      <w:r>
        <w:rPr>
          <w:color w:val="231F20"/>
          <w:spacing w:val="-7"/>
          <w:w w:val="105"/>
        </w:rPr>
        <w:t> </w:t>
      </w:r>
      <w:r>
        <w:rPr>
          <w:color w:val="231F20"/>
          <w:w w:val="105"/>
        </w:rPr>
        <w:t>lo familiar.</w:t>
      </w:r>
      <w:r>
        <w:rPr>
          <w:color w:val="231F20"/>
          <w:spacing w:val="-24"/>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realidad,</w:t>
      </w:r>
      <w:r>
        <w:rPr>
          <w:color w:val="231F20"/>
          <w:spacing w:val="-24"/>
          <w:w w:val="105"/>
        </w:rPr>
        <w:t> </w:t>
      </w:r>
      <w:r>
        <w:rPr>
          <w:color w:val="231F20"/>
          <w:w w:val="105"/>
        </w:rPr>
        <w:t>el</w:t>
      </w:r>
      <w:r>
        <w:rPr>
          <w:color w:val="231F20"/>
          <w:spacing w:val="22"/>
          <w:w w:val="105"/>
        </w:rPr>
        <w:t> </w:t>
      </w:r>
      <w:r>
        <w:rPr>
          <w:color w:val="231F20"/>
          <w:w w:val="105"/>
        </w:rPr>
        <w:t>retorno</w:t>
      </w:r>
      <w:r>
        <w:rPr>
          <w:color w:val="231F20"/>
          <w:spacing w:val="-19"/>
          <w:w w:val="105"/>
        </w:rPr>
        <w:t> </w:t>
      </w:r>
      <w:r>
        <w:rPr>
          <w:color w:val="231F20"/>
          <w:w w:val="105"/>
        </w:rPr>
        <w:t>se</w:t>
      </w:r>
      <w:r>
        <w:rPr>
          <w:color w:val="231F20"/>
          <w:spacing w:val="-19"/>
          <w:w w:val="105"/>
        </w:rPr>
        <w:t> </w:t>
      </w:r>
      <w:r>
        <w:rPr>
          <w:color w:val="231F20"/>
          <w:w w:val="105"/>
        </w:rPr>
        <w:t>narra</w:t>
      </w:r>
      <w:r>
        <w:rPr>
          <w:color w:val="231F20"/>
          <w:spacing w:val="-19"/>
          <w:w w:val="105"/>
        </w:rPr>
        <w:t> </w:t>
      </w:r>
      <w:r>
        <w:rPr>
          <w:color w:val="231F20"/>
          <w:w w:val="105"/>
        </w:rPr>
        <w:t>como</w:t>
      </w:r>
      <w:r>
        <w:rPr>
          <w:color w:val="231F20"/>
          <w:spacing w:val="-19"/>
          <w:w w:val="105"/>
        </w:rPr>
        <w:t> </w:t>
      </w:r>
      <w:r>
        <w:rPr>
          <w:color w:val="231F20"/>
          <w:w w:val="105"/>
        </w:rPr>
        <w:t>episodio</w:t>
      </w:r>
      <w:r>
        <w:rPr>
          <w:color w:val="231F20"/>
          <w:spacing w:val="-19"/>
          <w:w w:val="105"/>
        </w:rPr>
        <w:t> </w:t>
      </w:r>
      <w:r>
        <w:rPr>
          <w:color w:val="231F20"/>
          <w:w w:val="105"/>
        </w:rPr>
        <w:t>de</w:t>
      </w:r>
      <w:r>
        <w:rPr>
          <w:color w:val="231F20"/>
          <w:spacing w:val="-19"/>
          <w:w w:val="105"/>
        </w:rPr>
        <w:t> </w:t>
      </w:r>
      <w:r>
        <w:rPr>
          <w:color w:val="231F20"/>
          <w:w w:val="105"/>
        </w:rPr>
        <w:t>éxito</w:t>
      </w:r>
      <w:r>
        <w:rPr>
          <w:color w:val="231F20"/>
          <w:spacing w:val="-19"/>
          <w:w w:val="105"/>
        </w:rPr>
        <w:t> </w:t>
      </w:r>
      <w:r>
        <w:rPr>
          <w:color w:val="231F20"/>
          <w:w w:val="105"/>
        </w:rPr>
        <w:t>duran- te</w:t>
      </w:r>
      <w:r>
        <w:rPr>
          <w:color w:val="231F20"/>
          <w:spacing w:val="-10"/>
          <w:w w:val="105"/>
        </w:rPr>
        <w:t> </w:t>
      </w:r>
      <w:r>
        <w:rPr>
          <w:color w:val="231F20"/>
          <w:w w:val="105"/>
        </w:rPr>
        <w:t>la</w:t>
      </w:r>
      <w:r>
        <w:rPr>
          <w:color w:val="231F20"/>
          <w:spacing w:val="-10"/>
          <w:w w:val="105"/>
        </w:rPr>
        <w:t> </w:t>
      </w:r>
      <w:r>
        <w:rPr>
          <w:color w:val="231F20"/>
          <w:w w:val="105"/>
        </w:rPr>
        <w:t>vida</w:t>
      </w:r>
      <w:r>
        <w:rPr>
          <w:color w:val="231F20"/>
          <w:spacing w:val="-10"/>
          <w:w w:val="105"/>
        </w:rPr>
        <w:t> </w:t>
      </w:r>
      <w:r>
        <w:rPr>
          <w:color w:val="231F20"/>
          <w:w w:val="105"/>
        </w:rPr>
        <w:t>útil</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migrantes.</w:t>
      </w:r>
    </w:p>
    <w:p>
      <w:pPr>
        <w:pStyle w:val="BodyText"/>
        <w:spacing w:line="261" w:lineRule="auto" w:before="1"/>
        <w:ind w:left="1723" w:right="1834" w:firstLine="567"/>
        <w:jc w:val="both"/>
      </w:pPr>
      <w:r>
        <w:rPr>
          <w:color w:val="231F20"/>
          <w:w w:val="105"/>
        </w:rPr>
        <w:t>Esta</w:t>
      </w:r>
      <w:r>
        <w:rPr>
          <w:color w:val="231F20"/>
          <w:spacing w:val="-20"/>
          <w:w w:val="105"/>
        </w:rPr>
        <w:t> </w:t>
      </w:r>
      <w:r>
        <w:rPr>
          <w:color w:val="231F20"/>
          <w:w w:val="105"/>
        </w:rPr>
        <w:t>investigación</w:t>
      </w:r>
      <w:r>
        <w:rPr>
          <w:color w:val="231F20"/>
          <w:spacing w:val="-20"/>
          <w:w w:val="105"/>
        </w:rPr>
        <w:t> </w:t>
      </w:r>
      <w:r>
        <w:rPr>
          <w:color w:val="231F20"/>
          <w:w w:val="105"/>
        </w:rPr>
        <w:t>se</w:t>
      </w:r>
      <w:r>
        <w:rPr>
          <w:color w:val="231F20"/>
          <w:spacing w:val="-20"/>
          <w:w w:val="105"/>
        </w:rPr>
        <w:t> </w:t>
      </w:r>
      <w:r>
        <w:rPr>
          <w:color w:val="231F20"/>
          <w:w w:val="105"/>
        </w:rPr>
        <w:t>sitúa</w:t>
      </w:r>
      <w:r>
        <w:rPr>
          <w:color w:val="231F20"/>
          <w:spacing w:val="-20"/>
          <w:w w:val="105"/>
        </w:rPr>
        <w:t> </w:t>
      </w:r>
      <w:r>
        <w:rPr>
          <w:color w:val="231F20"/>
          <w:w w:val="105"/>
        </w:rPr>
        <w:t>en</w:t>
      </w:r>
      <w:r>
        <w:rPr>
          <w:color w:val="231F20"/>
          <w:spacing w:val="-20"/>
          <w:w w:val="105"/>
        </w:rPr>
        <w:t> </w:t>
      </w:r>
      <w:r>
        <w:rPr>
          <w:color w:val="231F20"/>
          <w:w w:val="105"/>
        </w:rPr>
        <w:t>dos</w:t>
      </w:r>
      <w:r>
        <w:rPr>
          <w:color w:val="231F20"/>
          <w:spacing w:val="-20"/>
          <w:w w:val="105"/>
        </w:rPr>
        <w:t> </w:t>
      </w:r>
      <w:r>
        <w:rPr>
          <w:color w:val="231F20"/>
          <w:w w:val="105"/>
        </w:rPr>
        <w:t>niveles:</w:t>
      </w:r>
      <w:r>
        <w:rPr>
          <w:color w:val="231F20"/>
          <w:spacing w:val="-20"/>
          <w:w w:val="105"/>
        </w:rPr>
        <w:t> </w:t>
      </w:r>
      <w:r>
        <w:rPr>
          <w:color w:val="231F20"/>
          <w:w w:val="105"/>
        </w:rPr>
        <w:t>el</w:t>
      </w:r>
      <w:r>
        <w:rPr>
          <w:color w:val="231F20"/>
          <w:spacing w:val="-20"/>
          <w:w w:val="105"/>
        </w:rPr>
        <w:t> </w:t>
      </w:r>
      <w:r>
        <w:rPr>
          <w:color w:val="231F20"/>
          <w:w w:val="105"/>
        </w:rPr>
        <w:t>abordaje</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“ires</w:t>
      </w:r>
      <w:r>
        <w:rPr>
          <w:color w:val="231F20"/>
          <w:spacing w:val="-20"/>
          <w:w w:val="105"/>
        </w:rPr>
        <w:t> </w:t>
      </w:r>
      <w:r>
        <w:rPr>
          <w:color w:val="231F20"/>
          <w:w w:val="105"/>
        </w:rPr>
        <w:t>y venires” dentro de una corriente teórica y la relacionalidad entre migra- ción</w:t>
      </w:r>
      <w:r>
        <w:rPr>
          <w:color w:val="231F20"/>
          <w:spacing w:val="-16"/>
          <w:w w:val="105"/>
        </w:rPr>
        <w:t> </w:t>
      </w:r>
      <w:r>
        <w:rPr>
          <w:color w:val="231F20"/>
          <w:w w:val="105"/>
        </w:rPr>
        <w:t>y</w:t>
      </w:r>
      <w:r>
        <w:rPr>
          <w:color w:val="231F20"/>
          <w:spacing w:val="-16"/>
          <w:w w:val="105"/>
        </w:rPr>
        <w:t> </w:t>
      </w:r>
      <w:r>
        <w:rPr>
          <w:color w:val="231F20"/>
          <w:w w:val="105"/>
        </w:rPr>
        <w:t>emociones.</w:t>
      </w:r>
      <w:r>
        <w:rPr>
          <w:color w:val="231F20"/>
          <w:spacing w:val="-21"/>
          <w:w w:val="105"/>
        </w:rPr>
        <w:t> </w:t>
      </w: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orden,</w:t>
      </w:r>
      <w:r>
        <w:rPr>
          <w:color w:val="231F20"/>
          <w:spacing w:val="-21"/>
          <w:w w:val="105"/>
        </w:rPr>
        <w:t> </w:t>
      </w:r>
      <w:r>
        <w:rPr>
          <w:color w:val="231F20"/>
          <w:w w:val="105"/>
        </w:rPr>
        <w:t>lo</w:t>
      </w:r>
      <w:r>
        <w:rPr>
          <w:color w:val="231F20"/>
          <w:spacing w:val="-16"/>
          <w:w w:val="105"/>
        </w:rPr>
        <w:t> </w:t>
      </w:r>
      <w:r>
        <w:rPr>
          <w:color w:val="231F20"/>
          <w:w w:val="105"/>
        </w:rPr>
        <w:t>emocional</w:t>
      </w:r>
      <w:r>
        <w:rPr>
          <w:color w:val="231F20"/>
          <w:spacing w:val="-16"/>
          <w:w w:val="105"/>
        </w:rPr>
        <w:t> </w:t>
      </w:r>
      <w:r>
        <w:rPr>
          <w:color w:val="231F20"/>
          <w:w w:val="105"/>
        </w:rPr>
        <w:t>aparece</w:t>
      </w:r>
      <w:r>
        <w:rPr>
          <w:color w:val="231F20"/>
          <w:spacing w:val="-16"/>
          <w:w w:val="105"/>
        </w:rPr>
        <w:t> </w:t>
      </w:r>
      <w:r>
        <w:rPr>
          <w:color w:val="231F20"/>
          <w:w w:val="105"/>
        </w:rPr>
        <w:t>como</w:t>
      </w:r>
      <w:r>
        <w:rPr>
          <w:color w:val="231F20"/>
          <w:spacing w:val="-16"/>
          <w:w w:val="105"/>
        </w:rPr>
        <w:t> </w:t>
      </w:r>
      <w:r>
        <w:rPr>
          <w:color w:val="231F20"/>
          <w:w w:val="105"/>
        </w:rPr>
        <w:t>eje</w:t>
      </w:r>
      <w:r>
        <w:rPr>
          <w:color w:val="231F20"/>
          <w:spacing w:val="-16"/>
          <w:w w:val="105"/>
        </w:rPr>
        <w:t> </w:t>
      </w:r>
      <w:r>
        <w:rPr>
          <w:color w:val="231F20"/>
          <w:w w:val="105"/>
        </w:rPr>
        <w:t>estruc- turador</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relaciones</w:t>
      </w:r>
      <w:r>
        <w:rPr>
          <w:color w:val="231F20"/>
          <w:spacing w:val="-23"/>
          <w:w w:val="105"/>
        </w:rPr>
        <w:t> </w:t>
      </w:r>
      <w:r>
        <w:rPr>
          <w:color w:val="231F20"/>
          <w:w w:val="105"/>
        </w:rPr>
        <w:t>humanas,</w:t>
      </w:r>
      <w:r>
        <w:rPr>
          <w:color w:val="231F20"/>
          <w:spacing w:val="-27"/>
          <w:w w:val="105"/>
        </w:rPr>
        <w:t> </w:t>
      </w:r>
      <w:r>
        <w:rPr>
          <w:color w:val="231F20"/>
          <w:w w:val="105"/>
        </w:rPr>
        <w:t>sociales</w:t>
      </w:r>
      <w:r>
        <w:rPr>
          <w:color w:val="231F20"/>
          <w:spacing w:val="-23"/>
          <w:w w:val="105"/>
        </w:rPr>
        <w:t> </w:t>
      </w:r>
      <w:r>
        <w:rPr>
          <w:color w:val="231F20"/>
          <w:w w:val="105"/>
        </w:rPr>
        <w:t>y</w:t>
      </w:r>
      <w:r>
        <w:rPr>
          <w:color w:val="231F20"/>
          <w:spacing w:val="-23"/>
          <w:w w:val="105"/>
        </w:rPr>
        <w:t> </w:t>
      </w:r>
      <w:r>
        <w:rPr>
          <w:color w:val="231F20"/>
          <w:w w:val="105"/>
        </w:rPr>
        <w:t>afectivas,</w:t>
      </w:r>
      <w:r>
        <w:rPr>
          <w:color w:val="231F20"/>
          <w:spacing w:val="-27"/>
          <w:w w:val="105"/>
        </w:rPr>
        <w:t> </w:t>
      </w:r>
      <w:r>
        <w:rPr>
          <w:color w:val="231F20"/>
          <w:w w:val="105"/>
        </w:rPr>
        <w:t>constituyéndose como pista para comprender la migración en su forma recurrente y sin causa</w:t>
      </w:r>
      <w:r>
        <w:rPr>
          <w:color w:val="231F20"/>
          <w:spacing w:val="-12"/>
          <w:w w:val="105"/>
        </w:rPr>
        <w:t> </w:t>
      </w:r>
      <w:r>
        <w:rPr>
          <w:color w:val="231F20"/>
          <w:w w:val="105"/>
        </w:rPr>
        <w:t>aparente,</w:t>
      </w:r>
      <w:r>
        <w:rPr>
          <w:color w:val="231F20"/>
          <w:spacing w:val="-17"/>
          <w:w w:val="105"/>
        </w:rPr>
        <w:t> </w:t>
      </w:r>
      <w:r>
        <w:rPr>
          <w:color w:val="231F20"/>
          <w:w w:val="105"/>
        </w:rPr>
        <w:t>al</w:t>
      </w:r>
      <w:r>
        <w:rPr>
          <w:color w:val="231F20"/>
          <w:spacing w:val="-12"/>
          <w:w w:val="105"/>
        </w:rPr>
        <w:t> </w:t>
      </w:r>
      <w:r>
        <w:rPr>
          <w:color w:val="231F20"/>
          <w:w w:val="105"/>
        </w:rPr>
        <w:t>ser</w:t>
      </w:r>
      <w:r>
        <w:rPr>
          <w:color w:val="231F20"/>
          <w:spacing w:val="-12"/>
          <w:w w:val="105"/>
        </w:rPr>
        <w:t> </w:t>
      </w:r>
      <w:r>
        <w:rPr>
          <w:color w:val="231F20"/>
          <w:w w:val="105"/>
        </w:rPr>
        <w:t>la</w:t>
      </w:r>
      <w:r>
        <w:rPr>
          <w:color w:val="231F20"/>
          <w:spacing w:val="-12"/>
          <w:w w:val="105"/>
        </w:rPr>
        <w:t> </w:t>
      </w:r>
      <w:r>
        <w:rPr>
          <w:color w:val="231F20"/>
          <w:w w:val="105"/>
        </w:rPr>
        <w:t>expresión</w:t>
      </w:r>
      <w:r>
        <w:rPr>
          <w:color w:val="231F20"/>
          <w:spacing w:val="-12"/>
          <w:w w:val="105"/>
        </w:rPr>
        <w:t> </w:t>
      </w:r>
      <w:r>
        <w:rPr>
          <w:color w:val="231F20"/>
          <w:w w:val="105"/>
        </w:rPr>
        <w:t>de</w:t>
      </w:r>
      <w:r>
        <w:rPr>
          <w:color w:val="231F20"/>
          <w:spacing w:val="-12"/>
          <w:w w:val="105"/>
        </w:rPr>
        <w:t> </w:t>
      </w:r>
      <w:r>
        <w:rPr>
          <w:color w:val="231F20"/>
          <w:w w:val="105"/>
        </w:rPr>
        <w:t>aquello</w:t>
      </w:r>
      <w:r>
        <w:rPr>
          <w:color w:val="231F20"/>
          <w:spacing w:val="-12"/>
          <w:w w:val="105"/>
        </w:rPr>
        <w:t> </w:t>
      </w:r>
      <w:r>
        <w:rPr>
          <w:color w:val="231F20"/>
          <w:w w:val="105"/>
        </w:rPr>
        <w:t>que</w:t>
      </w:r>
      <w:r>
        <w:rPr>
          <w:color w:val="231F20"/>
          <w:spacing w:val="-12"/>
          <w:w w:val="105"/>
        </w:rPr>
        <w:t> </w:t>
      </w:r>
      <w:r>
        <w:rPr>
          <w:color w:val="231F20"/>
          <w:w w:val="105"/>
        </w:rPr>
        <w:t>vuelve</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migración no</w:t>
      </w:r>
      <w:r>
        <w:rPr>
          <w:color w:val="231F20"/>
          <w:spacing w:val="-18"/>
          <w:w w:val="105"/>
        </w:rPr>
        <w:t> </w:t>
      </w:r>
      <w:r>
        <w:rPr>
          <w:color w:val="231F20"/>
          <w:w w:val="105"/>
        </w:rPr>
        <w:t>autorizada</w:t>
      </w:r>
      <w:r>
        <w:rPr>
          <w:color w:val="231F20"/>
          <w:spacing w:val="-18"/>
          <w:w w:val="105"/>
        </w:rPr>
        <w:t> </w:t>
      </w:r>
      <w:r>
        <w:rPr>
          <w:color w:val="231F20"/>
          <w:w w:val="105"/>
        </w:rPr>
        <w:t>a</w:t>
      </w:r>
      <w:r>
        <w:rPr>
          <w:color w:val="231F20"/>
          <w:spacing w:val="-18"/>
          <w:w w:val="105"/>
        </w:rPr>
        <w:t> </w:t>
      </w:r>
      <w:r>
        <w:rPr>
          <w:color w:val="231F20"/>
          <w:w w:val="105"/>
        </w:rPr>
        <w:t>Estados</w:t>
      </w:r>
      <w:r>
        <w:rPr>
          <w:color w:val="231F20"/>
          <w:spacing w:val="-18"/>
          <w:w w:val="105"/>
        </w:rPr>
        <w:t> </w:t>
      </w:r>
      <w:r>
        <w:rPr>
          <w:color w:val="231F20"/>
          <w:w w:val="105"/>
        </w:rPr>
        <w:t>Unidos</w:t>
      </w:r>
      <w:r>
        <w:rPr>
          <w:color w:val="231F20"/>
          <w:spacing w:val="-18"/>
          <w:w w:val="105"/>
        </w:rPr>
        <w:t> </w:t>
      </w:r>
      <w:r>
        <w:rPr>
          <w:color w:val="231F20"/>
          <w:w w:val="105"/>
        </w:rPr>
        <w:t>un</w:t>
      </w:r>
      <w:r>
        <w:rPr>
          <w:color w:val="231F20"/>
          <w:spacing w:val="-18"/>
          <w:w w:val="105"/>
        </w:rPr>
        <w:t> </w:t>
      </w:r>
      <w:r>
        <w:rPr>
          <w:color w:val="231F20"/>
          <w:w w:val="105"/>
        </w:rPr>
        <w:t>evento</w:t>
      </w:r>
      <w:r>
        <w:rPr>
          <w:color w:val="231F20"/>
          <w:spacing w:val="-18"/>
          <w:w w:val="105"/>
        </w:rPr>
        <w:t> </w:t>
      </w:r>
      <w:r>
        <w:rPr>
          <w:color w:val="231F20"/>
          <w:w w:val="105"/>
        </w:rPr>
        <w:t>perdurable.</w:t>
      </w:r>
    </w:p>
    <w:p>
      <w:pPr>
        <w:pStyle w:val="BodyText"/>
        <w:spacing w:line="261" w:lineRule="auto" w:before="1"/>
        <w:ind w:left="1723" w:right="1828" w:firstLine="567"/>
        <w:jc w:val="both"/>
      </w:pPr>
      <w:r>
        <w:rPr>
          <w:color w:val="231F20"/>
          <w:w w:val="105"/>
        </w:rPr>
        <w:t>Las vivencias emocionales son el medio a través del cual, estos hombres y mujeres comparten su sentir y perciben el contexto social. Dichas</w:t>
      </w:r>
      <w:r>
        <w:rPr>
          <w:color w:val="231F20"/>
          <w:spacing w:val="-34"/>
          <w:w w:val="105"/>
        </w:rPr>
        <w:t> </w:t>
      </w:r>
      <w:r>
        <w:rPr>
          <w:color w:val="231F20"/>
          <w:w w:val="105"/>
        </w:rPr>
        <w:t>vivencias</w:t>
      </w:r>
      <w:r>
        <w:rPr>
          <w:color w:val="231F20"/>
          <w:spacing w:val="-34"/>
          <w:w w:val="105"/>
        </w:rPr>
        <w:t> </w:t>
      </w:r>
      <w:r>
        <w:rPr>
          <w:color w:val="231F20"/>
          <w:w w:val="105"/>
        </w:rPr>
        <w:t>poseen</w:t>
      </w:r>
      <w:r>
        <w:rPr>
          <w:color w:val="231F20"/>
          <w:spacing w:val="-34"/>
          <w:w w:val="105"/>
        </w:rPr>
        <w:t> </w:t>
      </w:r>
      <w:r>
        <w:rPr>
          <w:color w:val="231F20"/>
          <w:w w:val="105"/>
        </w:rPr>
        <w:t>una</w:t>
      </w:r>
      <w:r>
        <w:rPr>
          <w:color w:val="231F20"/>
          <w:spacing w:val="-34"/>
          <w:w w:val="105"/>
        </w:rPr>
        <w:t> </w:t>
      </w:r>
      <w:r>
        <w:rPr>
          <w:color w:val="231F20"/>
          <w:w w:val="105"/>
        </w:rPr>
        <w:t>naturaleza</w:t>
      </w:r>
      <w:r>
        <w:rPr>
          <w:color w:val="231F20"/>
          <w:spacing w:val="-34"/>
          <w:w w:val="105"/>
        </w:rPr>
        <w:t> </w:t>
      </w:r>
      <w:r>
        <w:rPr>
          <w:color w:val="231F20"/>
          <w:w w:val="105"/>
        </w:rPr>
        <w:t>y</w:t>
      </w:r>
      <w:r>
        <w:rPr>
          <w:color w:val="231F20"/>
          <w:spacing w:val="-34"/>
          <w:w w:val="105"/>
        </w:rPr>
        <w:t> </w:t>
      </w:r>
      <w:r>
        <w:rPr>
          <w:color w:val="231F20"/>
          <w:w w:val="105"/>
        </w:rPr>
        <w:t>conllevan</w:t>
      </w:r>
      <w:r>
        <w:rPr>
          <w:color w:val="231F20"/>
          <w:spacing w:val="-34"/>
          <w:w w:val="105"/>
        </w:rPr>
        <w:t> </w:t>
      </w:r>
      <w:r>
        <w:rPr>
          <w:color w:val="231F20"/>
          <w:w w:val="105"/>
        </w:rPr>
        <w:t>una</w:t>
      </w:r>
      <w:r>
        <w:rPr>
          <w:color w:val="231F20"/>
          <w:spacing w:val="-34"/>
          <w:w w:val="105"/>
        </w:rPr>
        <w:t> </w:t>
      </w:r>
      <w:r>
        <w:rPr>
          <w:color w:val="231F20"/>
          <w:w w:val="105"/>
        </w:rPr>
        <w:t>intención</w:t>
      </w:r>
      <w:r>
        <w:rPr>
          <w:color w:val="231F20"/>
          <w:spacing w:val="-34"/>
          <w:w w:val="105"/>
        </w:rPr>
        <w:t> </w:t>
      </w:r>
      <w:r>
        <w:rPr>
          <w:color w:val="231F20"/>
          <w:w w:val="105"/>
        </w:rPr>
        <w:t>al</w:t>
      </w:r>
      <w:r>
        <w:rPr>
          <w:color w:val="231F20"/>
          <w:spacing w:val="-34"/>
          <w:w w:val="105"/>
        </w:rPr>
        <w:t> </w:t>
      </w:r>
      <w:r>
        <w:rPr>
          <w:color w:val="231F20"/>
          <w:w w:val="105"/>
        </w:rPr>
        <w:t>estar integradas en los procesos de interacción social. Se trata de</w:t>
      </w:r>
      <w:r>
        <w:rPr>
          <w:color w:val="231F20"/>
          <w:spacing w:val="-31"/>
          <w:w w:val="105"/>
        </w:rPr>
        <w:t> </w:t>
      </w:r>
      <w:r>
        <w:rPr>
          <w:color w:val="231F20"/>
          <w:w w:val="105"/>
        </w:rPr>
        <w:t>relaciones intrínsecas</w:t>
      </w:r>
      <w:r>
        <w:rPr>
          <w:color w:val="231F20"/>
          <w:spacing w:val="-14"/>
          <w:w w:val="105"/>
        </w:rPr>
        <w:t> </w:t>
      </w:r>
      <w:r>
        <w:rPr>
          <w:color w:val="231F20"/>
          <w:w w:val="105"/>
        </w:rPr>
        <w:t>al</w:t>
      </w:r>
      <w:r>
        <w:rPr>
          <w:color w:val="231F20"/>
          <w:spacing w:val="-14"/>
          <w:w w:val="105"/>
        </w:rPr>
        <w:t> </w:t>
      </w:r>
      <w:r>
        <w:rPr>
          <w:color w:val="231F20"/>
          <w:w w:val="105"/>
        </w:rPr>
        <w:t>ser</w:t>
      </w:r>
      <w:r>
        <w:rPr>
          <w:color w:val="231F20"/>
          <w:spacing w:val="-14"/>
          <w:w w:val="105"/>
        </w:rPr>
        <w:t> </w:t>
      </w:r>
      <w:r>
        <w:rPr>
          <w:color w:val="231F20"/>
          <w:w w:val="105"/>
        </w:rPr>
        <w:t>humano,</w:t>
      </w:r>
      <w:r>
        <w:rPr>
          <w:color w:val="231F20"/>
          <w:spacing w:val="-20"/>
          <w:w w:val="105"/>
        </w:rPr>
        <w:t> </w:t>
      </w:r>
      <w:r>
        <w:rPr>
          <w:color w:val="231F20"/>
          <w:w w:val="105"/>
        </w:rPr>
        <w:t>que</w:t>
      </w:r>
      <w:r>
        <w:rPr>
          <w:color w:val="231F20"/>
          <w:spacing w:val="-14"/>
          <w:w w:val="105"/>
        </w:rPr>
        <w:t> </w:t>
      </w:r>
      <w:r>
        <w:rPr>
          <w:color w:val="231F20"/>
          <w:w w:val="105"/>
        </w:rPr>
        <w:t>caminan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mano</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fenómeno</w:t>
      </w:r>
      <w:r>
        <w:rPr>
          <w:color w:val="231F20"/>
          <w:spacing w:val="-14"/>
          <w:w w:val="105"/>
        </w:rPr>
        <w:t> </w:t>
      </w:r>
      <w:r>
        <w:rPr>
          <w:color w:val="231F20"/>
          <w:w w:val="105"/>
        </w:rPr>
        <w:t>mi- gratorio.</w:t>
      </w:r>
      <w:r>
        <w:rPr>
          <w:color w:val="231F20"/>
          <w:spacing w:val="9"/>
          <w:w w:val="105"/>
        </w:rPr>
        <w:t> </w:t>
      </w:r>
      <w:r>
        <w:rPr>
          <w:color w:val="231F20"/>
          <w:w w:val="105"/>
        </w:rPr>
        <w:t>Paradójicamente,</w:t>
      </w:r>
      <w:r>
        <w:rPr>
          <w:color w:val="231F20"/>
          <w:spacing w:val="-27"/>
          <w:w w:val="105"/>
        </w:rPr>
        <w:t> </w:t>
      </w:r>
      <w:r>
        <w:rPr>
          <w:color w:val="231F20"/>
          <w:w w:val="105"/>
        </w:rPr>
        <w:t>estas</w:t>
      </w:r>
      <w:r>
        <w:rPr>
          <w:color w:val="231F20"/>
          <w:spacing w:val="-23"/>
          <w:w w:val="105"/>
        </w:rPr>
        <w:t> </w:t>
      </w:r>
      <w:r>
        <w:rPr>
          <w:color w:val="231F20"/>
          <w:w w:val="105"/>
        </w:rPr>
        <w:t>relaciones</w:t>
      </w:r>
      <w:r>
        <w:rPr>
          <w:color w:val="231F20"/>
          <w:spacing w:val="-23"/>
          <w:w w:val="105"/>
        </w:rPr>
        <w:t> </w:t>
      </w:r>
      <w:r>
        <w:rPr>
          <w:color w:val="231F20"/>
          <w:w w:val="105"/>
        </w:rPr>
        <w:t>que</w:t>
      </w:r>
      <w:r>
        <w:rPr>
          <w:color w:val="231F20"/>
          <w:spacing w:val="-23"/>
          <w:w w:val="105"/>
        </w:rPr>
        <w:t> </w:t>
      </w:r>
      <w:r>
        <w:rPr>
          <w:color w:val="231F20"/>
          <w:w w:val="105"/>
        </w:rPr>
        <w:t>son</w:t>
      </w:r>
      <w:r>
        <w:rPr>
          <w:color w:val="231F20"/>
          <w:spacing w:val="-23"/>
          <w:w w:val="105"/>
        </w:rPr>
        <w:t> </w:t>
      </w:r>
      <w:r>
        <w:rPr>
          <w:color w:val="231F20"/>
          <w:w w:val="105"/>
        </w:rPr>
        <w:t>las</w:t>
      </w:r>
      <w:r>
        <w:rPr>
          <w:color w:val="231F20"/>
          <w:spacing w:val="-23"/>
          <w:w w:val="105"/>
        </w:rPr>
        <w:t> </w:t>
      </w:r>
      <w:r>
        <w:rPr>
          <w:color w:val="231F20"/>
          <w:w w:val="105"/>
        </w:rPr>
        <w:t>más</w:t>
      </w:r>
      <w:r>
        <w:rPr>
          <w:color w:val="231F20"/>
          <w:spacing w:val="-23"/>
          <w:w w:val="105"/>
        </w:rPr>
        <w:t> </w:t>
      </w:r>
      <w:r>
        <w:rPr>
          <w:color w:val="231F20"/>
          <w:w w:val="105"/>
        </w:rPr>
        <w:t>presentes</w:t>
      </w:r>
      <w:r>
        <w:rPr>
          <w:color w:val="231F20"/>
          <w:spacing w:val="-23"/>
          <w:w w:val="105"/>
        </w:rPr>
        <w:t> </w:t>
      </w:r>
      <w:r>
        <w:rPr>
          <w:color w:val="231F20"/>
          <w:w w:val="105"/>
        </w:rPr>
        <w:t>y profundas</w:t>
      </w:r>
      <w:r>
        <w:rPr>
          <w:color w:val="231F20"/>
          <w:spacing w:val="-21"/>
          <w:w w:val="105"/>
        </w:rPr>
        <w:t> </w:t>
      </w:r>
      <w:r>
        <w:rPr>
          <w:color w:val="231F20"/>
          <w:w w:val="105"/>
        </w:rPr>
        <w:t>para</w:t>
      </w:r>
      <w:r>
        <w:rPr>
          <w:color w:val="231F20"/>
          <w:spacing w:val="-21"/>
          <w:w w:val="105"/>
        </w:rPr>
        <w:t> </w:t>
      </w:r>
      <w:r>
        <w:rPr>
          <w:color w:val="231F20"/>
          <w:w w:val="105"/>
        </w:rPr>
        <w:t>los</w:t>
      </w:r>
      <w:r>
        <w:rPr>
          <w:color w:val="231F20"/>
          <w:spacing w:val="-21"/>
          <w:w w:val="105"/>
        </w:rPr>
        <w:t> </w:t>
      </w:r>
      <w:r>
        <w:rPr>
          <w:color w:val="231F20"/>
          <w:w w:val="105"/>
        </w:rPr>
        <w:t>migrantes,</w:t>
      </w:r>
      <w:r>
        <w:rPr>
          <w:color w:val="231F20"/>
          <w:spacing w:val="-25"/>
          <w:w w:val="105"/>
        </w:rPr>
        <w:t> </w:t>
      </w:r>
      <w:r>
        <w:rPr>
          <w:color w:val="231F20"/>
          <w:w w:val="105"/>
        </w:rPr>
        <w:t>también</w:t>
      </w:r>
      <w:r>
        <w:rPr>
          <w:color w:val="231F20"/>
          <w:spacing w:val="-21"/>
          <w:w w:val="105"/>
        </w:rPr>
        <w:t> </w:t>
      </w:r>
      <w:r>
        <w:rPr>
          <w:color w:val="231F20"/>
          <w:w w:val="105"/>
        </w:rPr>
        <w:t>son</w:t>
      </w:r>
      <w:r>
        <w:rPr>
          <w:color w:val="231F20"/>
          <w:spacing w:val="-21"/>
          <w:w w:val="105"/>
        </w:rPr>
        <w:t> </w:t>
      </w:r>
      <w:r>
        <w:rPr>
          <w:color w:val="231F20"/>
          <w:w w:val="105"/>
        </w:rPr>
        <w:t>las</w:t>
      </w:r>
      <w:r>
        <w:rPr>
          <w:color w:val="231F20"/>
          <w:spacing w:val="-21"/>
          <w:w w:val="105"/>
        </w:rPr>
        <w:t> </w:t>
      </w:r>
      <w:r>
        <w:rPr>
          <w:color w:val="231F20"/>
          <w:w w:val="105"/>
        </w:rPr>
        <w:t>menos</w:t>
      </w:r>
      <w:r>
        <w:rPr>
          <w:color w:val="231F20"/>
          <w:spacing w:val="-21"/>
          <w:w w:val="105"/>
        </w:rPr>
        <w:t> </w:t>
      </w:r>
      <w:r>
        <w:rPr>
          <w:color w:val="231F20"/>
          <w:w w:val="105"/>
        </w:rPr>
        <w:t>reconocidas.</w:t>
      </w:r>
    </w:p>
    <w:p>
      <w:pPr>
        <w:pStyle w:val="BodyText"/>
        <w:spacing w:line="261" w:lineRule="auto" w:before="1"/>
        <w:ind w:left="1723" w:right="1828" w:firstLine="567"/>
        <w:jc w:val="both"/>
      </w:pPr>
      <w:r>
        <w:rPr>
          <w:color w:val="231F20"/>
          <w:w w:val="105"/>
        </w:rPr>
        <w:t>En</w:t>
      </w:r>
      <w:r>
        <w:rPr>
          <w:color w:val="231F20"/>
          <w:spacing w:val="-31"/>
          <w:w w:val="105"/>
        </w:rPr>
        <w:t> </w:t>
      </w:r>
      <w:r>
        <w:rPr>
          <w:color w:val="231F20"/>
          <w:w w:val="105"/>
        </w:rPr>
        <w:t>este</w:t>
      </w:r>
      <w:r>
        <w:rPr>
          <w:color w:val="231F20"/>
          <w:spacing w:val="-31"/>
          <w:w w:val="105"/>
        </w:rPr>
        <w:t> </w:t>
      </w:r>
      <w:r>
        <w:rPr>
          <w:color w:val="231F20"/>
          <w:w w:val="105"/>
        </w:rPr>
        <w:t>trabajo</w:t>
      </w:r>
      <w:r>
        <w:rPr>
          <w:color w:val="231F20"/>
          <w:spacing w:val="-31"/>
          <w:w w:val="105"/>
        </w:rPr>
        <w:t> </w:t>
      </w:r>
      <w:r>
        <w:rPr>
          <w:color w:val="231F20"/>
          <w:w w:val="105"/>
        </w:rPr>
        <w:t>se</w:t>
      </w:r>
      <w:r>
        <w:rPr>
          <w:color w:val="231F20"/>
          <w:spacing w:val="-31"/>
          <w:w w:val="105"/>
        </w:rPr>
        <w:t> </w:t>
      </w:r>
      <w:r>
        <w:rPr>
          <w:color w:val="231F20"/>
          <w:w w:val="105"/>
        </w:rPr>
        <w:t>observan</w:t>
      </w:r>
      <w:r>
        <w:rPr>
          <w:color w:val="231F20"/>
          <w:spacing w:val="-3"/>
          <w:w w:val="105"/>
        </w:rPr>
        <w:t> </w:t>
      </w:r>
      <w:r>
        <w:rPr>
          <w:color w:val="231F20"/>
          <w:w w:val="105"/>
        </w:rPr>
        <w:t>las</w:t>
      </w:r>
      <w:r>
        <w:rPr>
          <w:color w:val="231F20"/>
          <w:spacing w:val="-31"/>
          <w:w w:val="105"/>
        </w:rPr>
        <w:t> </w:t>
      </w:r>
      <w:r>
        <w:rPr>
          <w:color w:val="231F20"/>
          <w:w w:val="105"/>
        </w:rPr>
        <w:t>relaciones</w:t>
      </w:r>
      <w:r>
        <w:rPr>
          <w:color w:val="231F20"/>
          <w:spacing w:val="-31"/>
          <w:w w:val="105"/>
        </w:rPr>
        <w:t> </w:t>
      </w:r>
      <w:r>
        <w:rPr>
          <w:color w:val="231F20"/>
          <w:w w:val="105"/>
        </w:rPr>
        <w:t>emocionales</w:t>
      </w:r>
      <w:r>
        <w:rPr>
          <w:color w:val="231F20"/>
          <w:spacing w:val="-31"/>
          <w:w w:val="105"/>
        </w:rPr>
        <w:t> </w:t>
      </w:r>
      <w:r>
        <w:rPr>
          <w:color w:val="231F20"/>
          <w:w w:val="105"/>
        </w:rPr>
        <w:t>de</w:t>
      </w:r>
      <w:r>
        <w:rPr>
          <w:color w:val="231F20"/>
          <w:spacing w:val="-31"/>
          <w:w w:val="105"/>
        </w:rPr>
        <w:t> </w:t>
      </w:r>
      <w:r>
        <w:rPr>
          <w:color w:val="231F20"/>
          <w:w w:val="105"/>
        </w:rPr>
        <w:t>11</w:t>
      </w:r>
      <w:r>
        <w:rPr>
          <w:color w:val="231F20"/>
          <w:spacing w:val="-31"/>
          <w:w w:val="105"/>
        </w:rPr>
        <w:t> </w:t>
      </w:r>
      <w:r>
        <w:rPr>
          <w:color w:val="231F20"/>
          <w:w w:val="105"/>
        </w:rPr>
        <w:t>pare- jas</w:t>
      </w:r>
      <w:r>
        <w:rPr>
          <w:color w:val="231F20"/>
          <w:spacing w:val="-27"/>
          <w:w w:val="105"/>
        </w:rPr>
        <w:t> </w:t>
      </w:r>
      <w:r>
        <w:rPr>
          <w:color w:val="231F20"/>
          <w:w w:val="105"/>
        </w:rPr>
        <w:t>con</w:t>
      </w:r>
      <w:r>
        <w:rPr>
          <w:color w:val="231F20"/>
          <w:spacing w:val="-27"/>
          <w:w w:val="105"/>
        </w:rPr>
        <w:t> </w:t>
      </w:r>
      <w:r>
        <w:rPr>
          <w:color w:val="231F20"/>
          <w:w w:val="105"/>
        </w:rPr>
        <w:t>migración</w:t>
      </w:r>
      <w:r>
        <w:rPr>
          <w:color w:val="231F20"/>
          <w:spacing w:val="-27"/>
          <w:w w:val="105"/>
        </w:rPr>
        <w:t> </w:t>
      </w:r>
      <w:r>
        <w:rPr>
          <w:color w:val="231F20"/>
          <w:w w:val="105"/>
        </w:rPr>
        <w:t>masculina,</w:t>
      </w:r>
      <w:r>
        <w:rPr>
          <w:color w:val="231F20"/>
          <w:spacing w:val="-31"/>
          <w:w w:val="105"/>
        </w:rPr>
        <w:t> </w:t>
      </w:r>
      <w:r>
        <w:rPr>
          <w:color w:val="231F20"/>
          <w:w w:val="105"/>
        </w:rPr>
        <w:t>localizadas</w:t>
      </w:r>
      <w:r>
        <w:rPr>
          <w:color w:val="231F20"/>
          <w:spacing w:val="-27"/>
          <w:w w:val="105"/>
        </w:rPr>
        <w:t> </w:t>
      </w:r>
      <w:r>
        <w:rPr>
          <w:color w:val="231F20"/>
          <w:w w:val="105"/>
        </w:rPr>
        <w:t>en</w:t>
      </w:r>
      <w:r>
        <w:rPr>
          <w:color w:val="231F20"/>
          <w:spacing w:val="-27"/>
          <w:w w:val="105"/>
        </w:rPr>
        <w:t> </w:t>
      </w:r>
      <w:r>
        <w:rPr>
          <w:color w:val="231F20"/>
          <w:w w:val="105"/>
        </w:rPr>
        <w:t>las</w:t>
      </w:r>
      <w:r>
        <w:rPr>
          <w:color w:val="231F20"/>
          <w:spacing w:val="-27"/>
          <w:w w:val="105"/>
        </w:rPr>
        <w:t> </w:t>
      </w:r>
      <w:r>
        <w:rPr>
          <w:color w:val="231F20"/>
          <w:w w:val="105"/>
        </w:rPr>
        <w:t>localidades</w:t>
      </w:r>
      <w:r>
        <w:rPr>
          <w:color w:val="231F20"/>
          <w:spacing w:val="-27"/>
          <w:w w:val="105"/>
        </w:rPr>
        <w:t> </w:t>
      </w:r>
      <w:r>
        <w:rPr>
          <w:color w:val="231F20"/>
          <w:w w:val="105"/>
        </w:rPr>
        <w:t>de</w:t>
      </w:r>
      <w:r>
        <w:rPr>
          <w:color w:val="231F20"/>
          <w:spacing w:val="-29"/>
          <w:w w:val="105"/>
        </w:rPr>
        <w:t> </w:t>
      </w:r>
      <w:r>
        <w:rPr>
          <w:color w:val="231F20"/>
          <w:w w:val="105"/>
        </w:rPr>
        <w:t>Agostade- </w:t>
      </w:r>
      <w:r>
        <w:rPr>
          <w:color w:val="231F20"/>
          <w:spacing w:val="-3"/>
          <w:w w:val="105"/>
        </w:rPr>
        <w:t>ro,</w:t>
      </w:r>
      <w:r>
        <w:rPr>
          <w:color w:val="231F20"/>
          <w:spacing w:val="-24"/>
          <w:w w:val="105"/>
        </w:rPr>
        <w:t> </w:t>
      </w:r>
      <w:r>
        <w:rPr>
          <w:color w:val="231F20"/>
          <w:w w:val="105"/>
        </w:rPr>
        <w:t>La</w:t>
      </w:r>
      <w:r>
        <w:rPr>
          <w:color w:val="231F20"/>
          <w:spacing w:val="-20"/>
          <w:w w:val="105"/>
        </w:rPr>
        <w:t> </w:t>
      </w:r>
      <w:r>
        <w:rPr>
          <w:color w:val="231F20"/>
          <w:w w:val="105"/>
        </w:rPr>
        <w:t>Loma</w:t>
      </w:r>
      <w:r>
        <w:rPr>
          <w:color w:val="231F20"/>
          <w:spacing w:val="-20"/>
          <w:w w:val="105"/>
        </w:rPr>
        <w:t> </w:t>
      </w:r>
      <w:r>
        <w:rPr>
          <w:color w:val="231F20"/>
          <w:w w:val="105"/>
        </w:rPr>
        <w:t>y</w:t>
      </w:r>
      <w:r>
        <w:rPr>
          <w:color w:val="231F20"/>
          <w:spacing w:val="-20"/>
          <w:w w:val="105"/>
        </w:rPr>
        <w:t> </w:t>
      </w:r>
      <w:r>
        <w:rPr>
          <w:color w:val="231F20"/>
          <w:w w:val="105"/>
        </w:rPr>
        <w:t>Puentecillas</w:t>
      </w:r>
      <w:r>
        <w:rPr>
          <w:color w:val="231F20"/>
          <w:spacing w:val="-20"/>
          <w:w w:val="105"/>
        </w:rPr>
        <w:t> </w:t>
      </w:r>
      <w:r>
        <w:rPr>
          <w:color w:val="231F20"/>
          <w:w w:val="105"/>
        </w:rPr>
        <w:t>del</w:t>
      </w:r>
      <w:r>
        <w:rPr>
          <w:color w:val="231F20"/>
          <w:spacing w:val="-20"/>
          <w:w w:val="105"/>
        </w:rPr>
        <w:t> </w:t>
      </w:r>
      <w:r>
        <w:rPr>
          <w:color w:val="231F20"/>
          <w:w w:val="105"/>
        </w:rPr>
        <w:t>municipio</w:t>
      </w:r>
      <w:r>
        <w:rPr>
          <w:color w:val="231F20"/>
          <w:spacing w:val="-20"/>
          <w:w w:val="105"/>
        </w:rPr>
        <w:t> </w:t>
      </w:r>
      <w:r>
        <w:rPr>
          <w:color w:val="231F20"/>
          <w:w w:val="105"/>
        </w:rPr>
        <w:t>de</w:t>
      </w:r>
      <w:r>
        <w:rPr>
          <w:color w:val="231F20"/>
          <w:spacing w:val="-23"/>
          <w:w w:val="105"/>
        </w:rPr>
        <w:t> </w:t>
      </w:r>
      <w:r>
        <w:rPr>
          <w:color w:val="231F20"/>
          <w:w w:val="105"/>
        </w:rPr>
        <w:t>Acambay,</w:t>
      </w:r>
      <w:r>
        <w:rPr>
          <w:color w:val="231F20"/>
          <w:spacing w:val="-24"/>
          <w:w w:val="105"/>
        </w:rPr>
        <w:t> </w:t>
      </w:r>
      <w:r>
        <w:rPr>
          <w:color w:val="231F20"/>
          <w:w w:val="105"/>
        </w:rPr>
        <w:t>Estado</w:t>
      </w:r>
      <w:r>
        <w:rPr>
          <w:color w:val="231F20"/>
          <w:spacing w:val="-20"/>
          <w:w w:val="105"/>
        </w:rPr>
        <w:t> </w:t>
      </w:r>
      <w:r>
        <w:rPr>
          <w:color w:val="231F20"/>
          <w:w w:val="105"/>
        </w:rPr>
        <w:t>de</w:t>
      </w:r>
      <w:r>
        <w:rPr>
          <w:color w:val="231F20"/>
          <w:spacing w:val="-20"/>
          <w:w w:val="105"/>
        </w:rPr>
        <w:t> </w:t>
      </w:r>
      <w:r>
        <w:rPr>
          <w:color w:val="231F20"/>
          <w:w w:val="105"/>
        </w:rPr>
        <w:t>México, para dar cuenta de cómo lo emocional puede ser valorado en cuanto hecho que integra la compleja realidad durante la migración</w:t>
      </w:r>
      <w:r>
        <w:rPr>
          <w:color w:val="231F20"/>
          <w:spacing w:val="-38"/>
          <w:w w:val="105"/>
        </w:rPr>
        <w:t> </w:t>
      </w:r>
      <w:r>
        <w:rPr>
          <w:color w:val="231F20"/>
          <w:w w:val="105"/>
        </w:rPr>
        <w:t>masculina. En el texto también se da cuenta de que estas idas a Estados Unidos, particularmente</w:t>
      </w:r>
      <w:r>
        <w:rPr>
          <w:color w:val="231F20"/>
          <w:spacing w:val="-20"/>
          <w:w w:val="105"/>
        </w:rPr>
        <w:t> </w:t>
      </w:r>
      <w:r>
        <w:rPr>
          <w:color w:val="231F20"/>
          <w:w w:val="105"/>
        </w:rPr>
        <w:t>a</w:t>
      </w:r>
      <w:r>
        <w:rPr>
          <w:color w:val="231F20"/>
          <w:spacing w:val="-23"/>
          <w:w w:val="105"/>
        </w:rPr>
        <w:t> </w:t>
      </w:r>
      <w:r>
        <w:rPr>
          <w:color w:val="231F20"/>
          <w:spacing w:val="-4"/>
          <w:w w:val="105"/>
        </w:rPr>
        <w:t>Texas,</w:t>
      </w:r>
      <w:r>
        <w:rPr>
          <w:color w:val="231F20"/>
          <w:spacing w:val="-24"/>
          <w:w w:val="105"/>
        </w:rPr>
        <w:t> </w:t>
      </w:r>
      <w:r>
        <w:rPr>
          <w:color w:val="231F20"/>
          <w:w w:val="105"/>
        </w:rPr>
        <w:t>son</w:t>
      </w:r>
      <w:r>
        <w:rPr>
          <w:color w:val="231F20"/>
          <w:spacing w:val="-20"/>
          <w:w w:val="105"/>
        </w:rPr>
        <w:t> </w:t>
      </w:r>
      <w:r>
        <w:rPr>
          <w:color w:val="231F20"/>
          <w:w w:val="105"/>
        </w:rPr>
        <w:t>continuas,</w:t>
      </w:r>
      <w:r>
        <w:rPr>
          <w:color w:val="231F20"/>
          <w:spacing w:val="-24"/>
          <w:w w:val="105"/>
        </w:rPr>
        <w:t> </w:t>
      </w:r>
      <w:r>
        <w:rPr>
          <w:color w:val="231F20"/>
          <w:w w:val="105"/>
        </w:rPr>
        <w:t>variables</w:t>
      </w:r>
      <w:r>
        <w:rPr>
          <w:color w:val="231F20"/>
          <w:spacing w:val="-20"/>
          <w:w w:val="105"/>
        </w:rPr>
        <w:t> </w:t>
      </w:r>
      <w:r>
        <w:rPr>
          <w:color w:val="231F20"/>
          <w:w w:val="105"/>
        </w:rPr>
        <w:t>en</w:t>
      </w:r>
      <w:r>
        <w:rPr>
          <w:color w:val="231F20"/>
          <w:spacing w:val="-20"/>
          <w:w w:val="105"/>
        </w:rPr>
        <w:t> </w:t>
      </w:r>
      <w:r>
        <w:rPr>
          <w:color w:val="231F20"/>
          <w:w w:val="105"/>
        </w:rPr>
        <w:t>duración</w:t>
      </w:r>
      <w:r>
        <w:rPr>
          <w:color w:val="231F20"/>
          <w:spacing w:val="-20"/>
          <w:w w:val="105"/>
        </w:rPr>
        <w:t> </w:t>
      </w:r>
      <w:r>
        <w:rPr>
          <w:color w:val="231F20"/>
          <w:w w:val="105"/>
        </w:rPr>
        <w:t>y</w:t>
      </w:r>
      <w:r>
        <w:rPr>
          <w:color w:val="231F20"/>
          <w:spacing w:val="-20"/>
          <w:w w:val="105"/>
        </w:rPr>
        <w:t> </w:t>
      </w:r>
      <w:r>
        <w:rPr>
          <w:color w:val="231F20"/>
          <w:w w:val="105"/>
        </w:rPr>
        <w:t>no</w:t>
      </w:r>
      <w:r>
        <w:rPr>
          <w:color w:val="231F20"/>
          <w:spacing w:val="-20"/>
          <w:w w:val="105"/>
        </w:rPr>
        <w:t> </w:t>
      </w:r>
      <w:r>
        <w:rPr>
          <w:color w:val="231F20"/>
          <w:w w:val="105"/>
        </w:rPr>
        <w:t>nece- sariamente</w:t>
      </w:r>
      <w:r>
        <w:rPr>
          <w:color w:val="231F20"/>
          <w:spacing w:val="-20"/>
          <w:w w:val="105"/>
        </w:rPr>
        <w:t> </w:t>
      </w:r>
      <w:r>
        <w:rPr>
          <w:color w:val="231F20"/>
          <w:w w:val="105"/>
        </w:rPr>
        <w:t>al</w:t>
      </w:r>
      <w:r>
        <w:rPr>
          <w:color w:val="231F20"/>
          <w:spacing w:val="-20"/>
          <w:w w:val="105"/>
        </w:rPr>
        <w:t> </w:t>
      </w:r>
      <w:r>
        <w:rPr>
          <w:color w:val="231F20"/>
          <w:w w:val="105"/>
        </w:rPr>
        <w:t>mismo</w:t>
      </w:r>
      <w:r>
        <w:rPr>
          <w:color w:val="231F20"/>
          <w:spacing w:val="-20"/>
          <w:w w:val="105"/>
        </w:rPr>
        <w:t> </w:t>
      </w:r>
      <w:r>
        <w:rPr>
          <w:color w:val="231F20"/>
          <w:w w:val="105"/>
        </w:rPr>
        <w:t>destino</w:t>
      </w:r>
      <w:r>
        <w:rPr>
          <w:color w:val="231F20"/>
          <w:spacing w:val="-20"/>
          <w:w w:val="105"/>
        </w:rPr>
        <w:t> </w:t>
      </w:r>
      <w:r>
        <w:rPr>
          <w:color w:val="231F20"/>
          <w:w w:val="105"/>
        </w:rPr>
        <w:t>laboral</w:t>
      </w:r>
      <w:r>
        <w:rPr>
          <w:color w:val="231F20"/>
          <w:spacing w:val="-20"/>
          <w:w w:val="105"/>
        </w:rPr>
        <w:t> </w:t>
      </w:r>
      <w:r>
        <w:rPr>
          <w:color w:val="231F20"/>
          <w:w w:val="105"/>
        </w:rPr>
        <w:t>y</w:t>
      </w:r>
      <w:r>
        <w:rPr>
          <w:color w:val="231F20"/>
          <w:spacing w:val="-20"/>
          <w:w w:val="105"/>
        </w:rPr>
        <w:t> </w:t>
      </w:r>
      <w:r>
        <w:rPr>
          <w:color w:val="231F20"/>
          <w:w w:val="105"/>
        </w:rPr>
        <w:t>residencial.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43944" from="131.551193pt,.203715pt" to="131.551193pt,36.006114pt" stroked="true" strokeweight=".35pt" strokecolor="#231f20">
            <w10:wrap type="none"/>
          </v:line>
        </w:pict>
      </w:r>
      <w:r>
        <w:rPr/>
        <w:pict>
          <v:line style="position:absolute;mso-position-horizontal-relative:page;mso-position-vertical-relative:paragraph;z-index:-443920" from="15pt,36.005917pt" to="0pt,36.005917pt" stroked="true" strokeweight=".25pt" strokecolor="#000000">
            <w10:wrap type="none"/>
          </v:line>
        </w:pict>
      </w:r>
      <w:r>
        <w:rPr/>
        <w:pict>
          <v:line style="position:absolute;mso-position-horizontal-relative:page;mso-position-vertical-relative:paragraph;z-index:46288" from="508.890015pt,36.005917pt" to="523.890015pt,36.005917pt" stroked="true" strokeweight=".25pt" strokecolor="#000000">
            <w10:wrap type="none"/>
          </v:line>
        </w:pict>
      </w:r>
      <w:r>
        <w:rPr>
          <w:rFonts w:ascii="Arial" w:hAnsi="Arial"/>
          <w:color w:val="414042"/>
          <w:w w:val="105"/>
          <w:position w:val="-5"/>
          <w:sz w:val="20"/>
        </w:rPr>
        <w:t>400</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footerReference w:type="default" r:id="rId386"/>
          <w:pgSz w:w="10480" w:h="14730"/>
          <w:pgMar w:footer="103" w:header="0" w:top="42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headerReference w:type="default" r:id="rId387"/>
          <w:pgSz w:w="10480" w:h="14730"/>
          <w:pgMar w:header="0" w:footer="103" w:top="300" w:bottom="30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631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6336" from="15pt,-28.286539pt" to="0pt,-28.286539pt" stroked="true" strokeweight=".25pt" strokecolor="#000000">
            <w10:wrap type="none"/>
          </v:line>
        </w:pict>
      </w:r>
      <w:r>
        <w:rPr/>
        <w:pict>
          <v:line style="position:absolute;mso-position-horizontal-relative:page;mso-position-vertical-relative:paragraph;z-index:46360" from="508.890015pt,-28.286539pt" to="523.890015pt,-28.286539pt" stroked="true" strokeweight=".25pt" strokecolor="#000000">
            <w10:wrap type="none"/>
          </v:line>
        </w:pict>
      </w:r>
      <w:r>
        <w:rPr>
          <w:rFonts w:ascii="Arial"/>
          <w:color w:val="414042"/>
          <w:sz w:val="20"/>
        </w:rPr>
        <w:t>401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rPr>
          <w:rFonts w:ascii="Arial"/>
          <w:sz w:val="19"/>
        </w:rPr>
      </w:pPr>
    </w:p>
    <w:p>
      <w:pPr>
        <w:pStyle w:val="Heading3"/>
        <w:spacing w:before="55"/>
      </w:pPr>
      <w:r>
        <w:rPr>
          <w:color w:val="231F20"/>
        </w:rPr>
        <w:t>Lo emocional como campo de estudio</w:t>
      </w:r>
    </w:p>
    <w:p>
      <w:pPr>
        <w:pStyle w:val="BodyText"/>
        <w:rPr>
          <w:rFonts w:ascii="Arial"/>
          <w:b/>
          <w:sz w:val="22"/>
        </w:rPr>
      </w:pPr>
    </w:p>
    <w:p>
      <w:pPr>
        <w:pStyle w:val="BodyText"/>
        <w:spacing w:line="261" w:lineRule="auto" w:before="163"/>
        <w:ind w:left="1837" w:right="1721"/>
        <w:jc w:val="both"/>
      </w:pPr>
      <w:r>
        <w:rPr>
          <w:color w:val="231F20"/>
          <w:w w:val="105"/>
        </w:rPr>
        <w:t>En su etapa contemporánea, las emociones son campo de estudio de una pluralidad de disciplinas, que las reconocen como producto de</w:t>
      </w:r>
      <w:r>
        <w:rPr>
          <w:color w:val="231F20"/>
          <w:spacing w:val="-13"/>
          <w:w w:val="105"/>
        </w:rPr>
        <w:t> </w:t>
      </w:r>
      <w:r>
        <w:rPr>
          <w:color w:val="231F20"/>
          <w:w w:val="105"/>
        </w:rPr>
        <w:t>dos campos:</w:t>
      </w:r>
      <w:r>
        <w:rPr>
          <w:color w:val="231F20"/>
          <w:spacing w:val="-6"/>
          <w:w w:val="105"/>
        </w:rPr>
        <w:t> </w:t>
      </w:r>
      <w:r>
        <w:rPr>
          <w:color w:val="231F20"/>
          <w:w w:val="105"/>
        </w:rPr>
        <w:t>el</w:t>
      </w:r>
      <w:r>
        <w:rPr>
          <w:color w:val="231F20"/>
          <w:spacing w:val="-6"/>
          <w:w w:val="105"/>
        </w:rPr>
        <w:t> </w:t>
      </w:r>
      <w:r>
        <w:rPr>
          <w:color w:val="231F20"/>
          <w:w w:val="105"/>
        </w:rPr>
        <w:t>social</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subjetivo,</w:t>
      </w:r>
      <w:r>
        <w:rPr>
          <w:color w:val="231F20"/>
          <w:spacing w:val="-11"/>
          <w:w w:val="105"/>
        </w:rPr>
        <w:t> </w:t>
      </w:r>
      <w:r>
        <w:rPr>
          <w:color w:val="231F20"/>
          <w:w w:val="105"/>
        </w:rPr>
        <w:t>puesto</w:t>
      </w:r>
      <w:r>
        <w:rPr>
          <w:color w:val="231F20"/>
          <w:spacing w:val="-6"/>
          <w:w w:val="105"/>
        </w:rPr>
        <w:t> </w:t>
      </w:r>
      <w:r>
        <w:rPr>
          <w:color w:val="231F20"/>
          <w:w w:val="105"/>
        </w:rPr>
        <w:t>que</w:t>
      </w:r>
      <w:r>
        <w:rPr>
          <w:color w:val="231F20"/>
          <w:spacing w:val="-6"/>
          <w:w w:val="105"/>
        </w:rPr>
        <w:t> </w:t>
      </w:r>
      <w:r>
        <w:rPr>
          <w:color w:val="231F20"/>
          <w:w w:val="105"/>
        </w:rPr>
        <w:t>derivan</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procesos</w:t>
      </w:r>
      <w:r>
        <w:rPr>
          <w:color w:val="231F20"/>
          <w:spacing w:val="-6"/>
          <w:w w:val="105"/>
        </w:rPr>
        <w:t> </w:t>
      </w:r>
      <w:r>
        <w:rPr>
          <w:color w:val="231F20"/>
          <w:w w:val="105"/>
        </w:rPr>
        <w:t>so- ciales</w:t>
      </w:r>
      <w:r>
        <w:rPr>
          <w:color w:val="231F20"/>
          <w:spacing w:val="-18"/>
          <w:w w:val="105"/>
        </w:rPr>
        <w:t> </w:t>
      </w:r>
      <w:r>
        <w:rPr>
          <w:color w:val="231F20"/>
          <w:w w:val="105"/>
        </w:rPr>
        <w:t>y</w:t>
      </w:r>
      <w:r>
        <w:rPr>
          <w:color w:val="231F20"/>
          <w:spacing w:val="-18"/>
          <w:w w:val="105"/>
        </w:rPr>
        <w:t> </w:t>
      </w:r>
      <w:r>
        <w:rPr>
          <w:color w:val="231F20"/>
          <w:w w:val="105"/>
        </w:rPr>
        <w:t>se</w:t>
      </w:r>
      <w:r>
        <w:rPr>
          <w:color w:val="231F20"/>
          <w:spacing w:val="-18"/>
          <w:w w:val="105"/>
        </w:rPr>
        <w:t> </w:t>
      </w:r>
      <w:r>
        <w:rPr>
          <w:color w:val="231F20"/>
          <w:w w:val="105"/>
        </w:rPr>
        <w:t>ponen</w:t>
      </w:r>
      <w:r>
        <w:rPr>
          <w:color w:val="231F20"/>
          <w:spacing w:val="-18"/>
          <w:w w:val="105"/>
        </w:rPr>
        <w:t> </w:t>
      </w:r>
      <w:r>
        <w:rPr>
          <w:color w:val="231F20"/>
          <w:w w:val="105"/>
        </w:rPr>
        <w:t>en</w:t>
      </w:r>
      <w:r>
        <w:rPr>
          <w:color w:val="231F20"/>
          <w:spacing w:val="-18"/>
          <w:w w:val="105"/>
        </w:rPr>
        <w:t> </w:t>
      </w:r>
      <w:r>
        <w:rPr>
          <w:color w:val="231F20"/>
          <w:w w:val="105"/>
        </w:rPr>
        <w:t>práctica</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interacciones,</w:t>
      </w:r>
      <w:r>
        <w:rPr>
          <w:color w:val="231F20"/>
          <w:spacing w:val="-23"/>
          <w:w w:val="105"/>
        </w:rPr>
        <w:t> </w:t>
      </w:r>
      <w:r>
        <w:rPr>
          <w:color w:val="231F20"/>
          <w:w w:val="105"/>
        </w:rPr>
        <w:t>pero</w:t>
      </w:r>
      <w:r>
        <w:rPr>
          <w:color w:val="231F20"/>
          <w:spacing w:val="-18"/>
          <w:w w:val="105"/>
        </w:rPr>
        <w:t> </w:t>
      </w:r>
      <w:r>
        <w:rPr>
          <w:color w:val="231F20"/>
          <w:w w:val="105"/>
        </w:rPr>
        <w:t>se</w:t>
      </w:r>
      <w:r>
        <w:rPr>
          <w:color w:val="231F20"/>
          <w:spacing w:val="-18"/>
          <w:w w:val="105"/>
        </w:rPr>
        <w:t> </w:t>
      </w:r>
      <w:r>
        <w:rPr>
          <w:color w:val="231F20"/>
          <w:w w:val="105"/>
        </w:rPr>
        <w:t>recrean</w:t>
      </w:r>
      <w:r>
        <w:rPr>
          <w:color w:val="231F20"/>
          <w:spacing w:val="-18"/>
          <w:w w:val="105"/>
        </w:rPr>
        <w:t> </w:t>
      </w:r>
      <w:r>
        <w:rPr>
          <w:color w:val="231F20"/>
          <w:w w:val="105"/>
        </w:rPr>
        <w:t>en</w:t>
      </w:r>
      <w:r>
        <w:rPr>
          <w:color w:val="231F20"/>
          <w:spacing w:val="-18"/>
          <w:w w:val="105"/>
        </w:rPr>
        <w:t> </w:t>
      </w:r>
      <w:r>
        <w:rPr>
          <w:color w:val="231F20"/>
          <w:w w:val="105"/>
        </w:rPr>
        <w:t>los amplios contextos de intersubjetividad en un determinado espacio. Ha- cia</w:t>
      </w:r>
      <w:r>
        <w:rPr>
          <w:color w:val="231F20"/>
          <w:spacing w:val="-31"/>
          <w:w w:val="105"/>
        </w:rPr>
        <w:t> </w:t>
      </w:r>
      <w:r>
        <w:rPr>
          <w:color w:val="231F20"/>
          <w:w w:val="105"/>
        </w:rPr>
        <w:t>este</w:t>
      </w:r>
      <w:r>
        <w:rPr>
          <w:color w:val="231F20"/>
          <w:spacing w:val="-31"/>
          <w:w w:val="105"/>
        </w:rPr>
        <w:t> </w:t>
      </w:r>
      <w:r>
        <w:rPr>
          <w:color w:val="231F20"/>
          <w:w w:val="105"/>
        </w:rPr>
        <w:t>camino</w:t>
      </w:r>
      <w:r>
        <w:rPr>
          <w:color w:val="231F20"/>
          <w:spacing w:val="-31"/>
          <w:w w:val="105"/>
        </w:rPr>
        <w:t> </w:t>
      </w:r>
      <w:r>
        <w:rPr>
          <w:color w:val="231F20"/>
          <w:w w:val="105"/>
        </w:rPr>
        <w:t>encausaremos</w:t>
      </w:r>
      <w:r>
        <w:rPr>
          <w:color w:val="231F20"/>
          <w:spacing w:val="-31"/>
          <w:w w:val="105"/>
        </w:rPr>
        <w:t> </w:t>
      </w:r>
      <w:r>
        <w:rPr>
          <w:color w:val="231F20"/>
          <w:w w:val="105"/>
        </w:rPr>
        <w:t>nuestra</w:t>
      </w:r>
      <w:r>
        <w:rPr>
          <w:color w:val="231F20"/>
          <w:spacing w:val="-31"/>
          <w:w w:val="105"/>
        </w:rPr>
        <w:t> </w:t>
      </w:r>
      <w:r>
        <w:rPr>
          <w:color w:val="231F20"/>
          <w:w w:val="105"/>
        </w:rPr>
        <w:t>discusión</w:t>
      </w:r>
      <w:r>
        <w:rPr>
          <w:color w:val="231F20"/>
          <w:spacing w:val="-31"/>
          <w:w w:val="105"/>
        </w:rPr>
        <w:t> </w:t>
      </w:r>
      <w:r>
        <w:rPr>
          <w:color w:val="231F20"/>
          <w:w w:val="105"/>
        </w:rPr>
        <w:t>y</w:t>
      </w:r>
      <w:r>
        <w:rPr>
          <w:color w:val="231F20"/>
          <w:spacing w:val="-31"/>
          <w:w w:val="105"/>
        </w:rPr>
        <w:t> </w:t>
      </w:r>
      <w:r>
        <w:rPr>
          <w:color w:val="231F20"/>
          <w:w w:val="105"/>
        </w:rPr>
        <w:t>reflexión.</w:t>
      </w:r>
    </w:p>
    <w:p>
      <w:pPr>
        <w:pStyle w:val="BodyText"/>
        <w:spacing w:line="261" w:lineRule="auto" w:before="1"/>
        <w:ind w:left="1837" w:right="1720" w:firstLine="567"/>
        <w:jc w:val="both"/>
      </w:pPr>
      <w:r>
        <w:rPr>
          <w:color w:val="231F20"/>
          <w:w w:val="105"/>
        </w:rPr>
        <w:t>El</w:t>
      </w:r>
      <w:r>
        <w:rPr>
          <w:color w:val="231F20"/>
          <w:spacing w:val="-30"/>
          <w:w w:val="105"/>
        </w:rPr>
        <w:t> </w:t>
      </w:r>
      <w:r>
        <w:rPr>
          <w:color w:val="231F20"/>
          <w:w w:val="105"/>
        </w:rPr>
        <w:t>estudio</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emociones</w:t>
      </w:r>
      <w:r>
        <w:rPr>
          <w:color w:val="231F20"/>
          <w:spacing w:val="-30"/>
          <w:w w:val="105"/>
        </w:rPr>
        <w:t> </w:t>
      </w:r>
      <w:r>
        <w:rPr>
          <w:color w:val="231F20"/>
          <w:w w:val="105"/>
        </w:rPr>
        <w:t>no</w:t>
      </w:r>
      <w:r>
        <w:rPr>
          <w:color w:val="231F20"/>
          <w:spacing w:val="-30"/>
          <w:w w:val="105"/>
        </w:rPr>
        <w:t> </w:t>
      </w:r>
      <w:r>
        <w:rPr>
          <w:color w:val="231F20"/>
          <w:w w:val="105"/>
        </w:rPr>
        <w:t>es</w:t>
      </w:r>
      <w:r>
        <w:rPr>
          <w:color w:val="231F20"/>
          <w:spacing w:val="-30"/>
          <w:w w:val="105"/>
        </w:rPr>
        <w:t> </w:t>
      </w:r>
      <w:r>
        <w:rPr>
          <w:color w:val="231F20"/>
          <w:w w:val="105"/>
        </w:rPr>
        <w:t>novedad</w:t>
      </w:r>
      <w:r>
        <w:rPr>
          <w:color w:val="231F20"/>
          <w:spacing w:val="-30"/>
          <w:w w:val="105"/>
        </w:rPr>
        <w:t> </w:t>
      </w:r>
      <w:r>
        <w:rPr>
          <w:color w:val="231F20"/>
          <w:w w:val="105"/>
        </w:rPr>
        <w:t>para</w:t>
      </w:r>
      <w:r>
        <w:rPr>
          <w:color w:val="231F20"/>
          <w:spacing w:val="-30"/>
          <w:w w:val="105"/>
        </w:rPr>
        <w:t> </w:t>
      </w:r>
      <w:r>
        <w:rPr>
          <w:color w:val="231F20"/>
          <w:w w:val="105"/>
        </w:rPr>
        <w:t>las</w:t>
      </w:r>
      <w:r>
        <w:rPr>
          <w:color w:val="231F20"/>
          <w:spacing w:val="-30"/>
          <w:w w:val="105"/>
        </w:rPr>
        <w:t> </w:t>
      </w:r>
      <w:r>
        <w:rPr>
          <w:color w:val="231F20"/>
          <w:w w:val="105"/>
        </w:rPr>
        <w:t>Ciencias</w:t>
      </w:r>
      <w:r>
        <w:rPr>
          <w:color w:val="231F20"/>
          <w:spacing w:val="-30"/>
          <w:w w:val="105"/>
        </w:rPr>
        <w:t> </w:t>
      </w:r>
      <w:r>
        <w:rPr>
          <w:color w:val="231F20"/>
          <w:w w:val="105"/>
        </w:rPr>
        <w:t>Socia- les,</w:t>
      </w:r>
      <w:r>
        <w:rPr>
          <w:color w:val="231F20"/>
          <w:spacing w:val="-27"/>
          <w:w w:val="105"/>
        </w:rPr>
        <w:t> </w:t>
      </w:r>
      <w:r>
        <w:rPr>
          <w:color w:val="231F20"/>
          <w:w w:val="105"/>
        </w:rPr>
        <w:t>Marx,</w:t>
      </w:r>
      <w:r>
        <w:rPr>
          <w:color w:val="231F20"/>
          <w:spacing w:val="-27"/>
          <w:w w:val="105"/>
        </w:rPr>
        <w:t> </w:t>
      </w:r>
      <w:r>
        <w:rPr>
          <w:color w:val="231F20"/>
          <w:w w:val="105"/>
        </w:rPr>
        <w:t>Nietzsche,</w:t>
      </w:r>
      <w:r>
        <w:rPr>
          <w:color w:val="231F20"/>
          <w:spacing w:val="-27"/>
          <w:w w:val="105"/>
        </w:rPr>
        <w:t> </w:t>
      </w:r>
      <w:r>
        <w:rPr>
          <w:color w:val="231F20"/>
          <w:w w:val="105"/>
        </w:rPr>
        <w:t>Spinoza</w:t>
      </w:r>
      <w:r>
        <w:rPr>
          <w:color w:val="231F20"/>
          <w:spacing w:val="-22"/>
          <w:w w:val="105"/>
        </w:rPr>
        <w:t> </w:t>
      </w:r>
      <w:r>
        <w:rPr>
          <w:color w:val="231F20"/>
          <w:w w:val="105"/>
        </w:rPr>
        <w:t>y</w:t>
      </w:r>
      <w:r>
        <w:rPr>
          <w:color w:val="231F20"/>
          <w:spacing w:val="-22"/>
          <w:w w:val="105"/>
        </w:rPr>
        <w:t> </w:t>
      </w:r>
      <w:r>
        <w:rPr>
          <w:color w:val="231F20"/>
          <w:w w:val="105"/>
        </w:rPr>
        <w:t>otros</w:t>
      </w:r>
      <w:r>
        <w:rPr>
          <w:color w:val="231F20"/>
          <w:spacing w:val="-22"/>
          <w:w w:val="105"/>
        </w:rPr>
        <w:t> </w:t>
      </w:r>
      <w:r>
        <w:rPr>
          <w:color w:val="231F20"/>
          <w:w w:val="105"/>
        </w:rPr>
        <w:t>autores</w:t>
      </w:r>
      <w:r>
        <w:rPr>
          <w:color w:val="231F20"/>
          <w:spacing w:val="-22"/>
          <w:w w:val="105"/>
        </w:rPr>
        <w:t> </w:t>
      </w:r>
      <w:r>
        <w:rPr>
          <w:color w:val="231F20"/>
          <w:w w:val="105"/>
        </w:rPr>
        <w:t>clásicos,</w:t>
      </w:r>
      <w:r>
        <w:rPr>
          <w:color w:val="231F20"/>
          <w:spacing w:val="-27"/>
          <w:w w:val="105"/>
        </w:rPr>
        <w:t> </w:t>
      </w:r>
      <w:r>
        <w:rPr>
          <w:color w:val="231F20"/>
          <w:w w:val="105"/>
        </w:rPr>
        <w:t>situados</w:t>
      </w:r>
      <w:r>
        <w:rPr>
          <w:color w:val="231F20"/>
          <w:spacing w:val="-22"/>
          <w:w w:val="105"/>
        </w:rPr>
        <w:t> </w:t>
      </w:r>
      <w:r>
        <w:rPr>
          <w:color w:val="231F20"/>
          <w:w w:val="105"/>
        </w:rPr>
        <w:t>en</w:t>
      </w:r>
      <w:r>
        <w:rPr>
          <w:color w:val="231F20"/>
          <w:spacing w:val="-22"/>
          <w:w w:val="105"/>
        </w:rPr>
        <w:t> </w:t>
      </w:r>
      <w:r>
        <w:rPr>
          <w:color w:val="231F20"/>
          <w:w w:val="105"/>
        </w:rPr>
        <w:t>distin- tas</w:t>
      </w:r>
      <w:r>
        <w:rPr>
          <w:color w:val="231F20"/>
          <w:spacing w:val="-7"/>
          <w:w w:val="105"/>
        </w:rPr>
        <w:t> </w:t>
      </w:r>
      <w:r>
        <w:rPr>
          <w:color w:val="231F20"/>
          <w:w w:val="105"/>
        </w:rPr>
        <w:t>tradiciones</w:t>
      </w:r>
      <w:r>
        <w:rPr>
          <w:color w:val="231F20"/>
          <w:spacing w:val="-7"/>
          <w:w w:val="105"/>
        </w:rPr>
        <w:t> </w:t>
      </w:r>
      <w:r>
        <w:rPr>
          <w:color w:val="231F20"/>
          <w:w w:val="105"/>
        </w:rPr>
        <w:t>teóricas,</w:t>
      </w:r>
      <w:r>
        <w:rPr>
          <w:color w:val="231F20"/>
          <w:spacing w:val="-12"/>
          <w:w w:val="105"/>
        </w:rPr>
        <w:t> </w:t>
      </w:r>
      <w:r>
        <w:rPr>
          <w:color w:val="231F20"/>
          <w:w w:val="105"/>
        </w:rPr>
        <w:t>esbozaron</w:t>
      </w:r>
      <w:r>
        <w:rPr>
          <w:color w:val="231F20"/>
          <w:spacing w:val="-7"/>
          <w:w w:val="105"/>
        </w:rPr>
        <w:t> </w:t>
      </w:r>
      <w:r>
        <w:rPr>
          <w:color w:val="231F20"/>
          <w:w w:val="105"/>
        </w:rPr>
        <w:t>profundidad</w:t>
      </w:r>
      <w:r>
        <w:rPr>
          <w:color w:val="231F20"/>
          <w:spacing w:val="-7"/>
          <w:w w:val="105"/>
        </w:rPr>
        <w:t> </w:t>
      </w:r>
      <w:r>
        <w:rPr>
          <w:color w:val="231F20"/>
          <w:w w:val="105"/>
        </w:rPr>
        <w:t>lo</w:t>
      </w:r>
      <w:r>
        <w:rPr>
          <w:color w:val="231F20"/>
          <w:spacing w:val="-7"/>
          <w:w w:val="105"/>
        </w:rPr>
        <w:t> </w:t>
      </w:r>
      <w:r>
        <w:rPr>
          <w:color w:val="231F20"/>
          <w:w w:val="105"/>
        </w:rPr>
        <w:t>emocional.</w:t>
      </w:r>
      <w:r>
        <w:rPr>
          <w:color w:val="231F20"/>
          <w:spacing w:val="-12"/>
          <w:w w:val="105"/>
        </w:rPr>
        <w:t> </w:t>
      </w:r>
      <w:r>
        <w:rPr>
          <w:color w:val="231F20"/>
          <w:w w:val="105"/>
        </w:rPr>
        <w:t>Entre</w:t>
      </w:r>
      <w:r>
        <w:rPr>
          <w:color w:val="231F20"/>
          <w:spacing w:val="-7"/>
          <w:w w:val="105"/>
        </w:rPr>
        <w:t> </w:t>
      </w:r>
      <w:r>
        <w:rPr>
          <w:color w:val="231F20"/>
          <w:w w:val="105"/>
        </w:rPr>
        <w:t>sus textos se logra distinguir, por ejemplo, e</w:t>
      </w:r>
      <w:r>
        <w:rPr>
          <w:w w:val="105"/>
        </w:rPr>
        <w:t>l origen social y el toque bio- lógico al que atribuyen lo emocional, lo cual enriquece la discusión y permite tener opciones teóricas como punto de partida.</w:t>
      </w:r>
      <w:r>
        <w:rPr>
          <w:spacing w:val="-31"/>
          <w:w w:val="105"/>
        </w:rPr>
        <w:t> </w:t>
      </w:r>
      <w:r>
        <w:rPr>
          <w:w w:val="105"/>
        </w:rPr>
        <w:t>Marx reconoció su origen social aun cuando las asoció a la clase social, al sexo y a las actividades. </w:t>
      </w:r>
      <w:r>
        <w:rPr>
          <w:spacing w:val="-4"/>
          <w:w w:val="105"/>
        </w:rPr>
        <w:t>Para </w:t>
      </w:r>
      <w:r>
        <w:rPr>
          <w:w w:val="105"/>
        </w:rPr>
        <w:t>él las actividades productivas y no productivas</w:t>
      </w:r>
      <w:r>
        <w:rPr>
          <w:spacing w:val="-17"/>
          <w:w w:val="105"/>
        </w:rPr>
        <w:t> </w:t>
      </w:r>
      <w:r>
        <w:rPr>
          <w:w w:val="105"/>
        </w:rPr>
        <w:t>daban origen a las emociones, es decir, algunas clases</w:t>
      </w:r>
      <w:r>
        <w:rPr>
          <w:spacing w:val="-25"/>
          <w:w w:val="105"/>
        </w:rPr>
        <w:t> </w:t>
      </w:r>
      <w:r>
        <w:rPr>
          <w:w w:val="105"/>
        </w:rPr>
        <w:t>sociales experimenta- ban</w:t>
      </w:r>
      <w:r>
        <w:rPr>
          <w:spacing w:val="-8"/>
          <w:w w:val="105"/>
        </w:rPr>
        <w:t> </w:t>
      </w:r>
      <w:r>
        <w:rPr>
          <w:w w:val="105"/>
        </w:rPr>
        <w:t>más</w:t>
      </w:r>
      <w:r>
        <w:rPr>
          <w:spacing w:val="-8"/>
          <w:w w:val="105"/>
        </w:rPr>
        <w:t> </w:t>
      </w:r>
      <w:r>
        <w:rPr>
          <w:w w:val="105"/>
        </w:rPr>
        <w:t>emociones</w:t>
      </w:r>
      <w:r>
        <w:rPr>
          <w:spacing w:val="-8"/>
          <w:w w:val="105"/>
        </w:rPr>
        <w:t> </w:t>
      </w:r>
      <w:r>
        <w:rPr>
          <w:w w:val="105"/>
        </w:rPr>
        <w:t>que</w:t>
      </w:r>
      <w:r>
        <w:rPr>
          <w:spacing w:val="-8"/>
          <w:w w:val="105"/>
        </w:rPr>
        <w:t> </w:t>
      </w:r>
      <w:r>
        <w:rPr>
          <w:w w:val="105"/>
        </w:rPr>
        <w:t>otras.</w:t>
      </w:r>
      <w:r>
        <w:rPr>
          <w:spacing w:val="-13"/>
          <w:w w:val="105"/>
        </w:rPr>
        <w:t> </w:t>
      </w:r>
      <w:r>
        <w:rPr>
          <w:w w:val="105"/>
        </w:rPr>
        <w:t>Dicho</w:t>
      </w:r>
      <w:r>
        <w:rPr>
          <w:spacing w:val="-8"/>
          <w:w w:val="105"/>
        </w:rPr>
        <w:t> </w:t>
      </w:r>
      <w:r>
        <w:rPr>
          <w:w w:val="105"/>
        </w:rPr>
        <w:t>eso,</w:t>
      </w:r>
      <w:r>
        <w:rPr>
          <w:spacing w:val="-13"/>
          <w:w w:val="105"/>
        </w:rPr>
        <w:t> </w:t>
      </w:r>
      <w:r>
        <w:rPr>
          <w:w w:val="105"/>
        </w:rPr>
        <w:t>las</w:t>
      </w:r>
      <w:r>
        <w:rPr>
          <w:spacing w:val="-8"/>
          <w:w w:val="105"/>
        </w:rPr>
        <w:t> </w:t>
      </w:r>
      <w:r>
        <w:rPr>
          <w:w w:val="105"/>
        </w:rPr>
        <w:t>esferas</w:t>
      </w:r>
      <w:r>
        <w:rPr>
          <w:spacing w:val="-8"/>
          <w:w w:val="105"/>
        </w:rPr>
        <w:t> </w:t>
      </w:r>
      <w:r>
        <w:rPr>
          <w:w w:val="105"/>
        </w:rPr>
        <w:t>de</w:t>
      </w:r>
      <w:r>
        <w:rPr>
          <w:spacing w:val="-8"/>
          <w:w w:val="105"/>
        </w:rPr>
        <w:t> </w:t>
      </w:r>
      <w:r>
        <w:rPr>
          <w:w w:val="105"/>
        </w:rPr>
        <w:t>lo</w:t>
      </w:r>
      <w:r>
        <w:rPr>
          <w:spacing w:val="-8"/>
          <w:w w:val="105"/>
        </w:rPr>
        <w:t> </w:t>
      </w:r>
      <w:r>
        <w:rPr>
          <w:w w:val="105"/>
        </w:rPr>
        <w:t>productivo</w:t>
      </w:r>
      <w:r>
        <w:rPr>
          <w:spacing w:val="-8"/>
          <w:w w:val="105"/>
        </w:rPr>
        <w:t> </w:t>
      </w:r>
      <w:r>
        <w:rPr>
          <w:w w:val="105"/>
        </w:rPr>
        <w:t>y reproductivo</w:t>
      </w:r>
      <w:r>
        <w:rPr>
          <w:spacing w:val="-18"/>
          <w:w w:val="105"/>
        </w:rPr>
        <w:t> </w:t>
      </w:r>
      <w:r>
        <w:rPr>
          <w:w w:val="105"/>
        </w:rPr>
        <w:t>dividían</w:t>
      </w:r>
      <w:r>
        <w:rPr>
          <w:spacing w:val="-18"/>
          <w:w w:val="105"/>
        </w:rPr>
        <w:t> </w:t>
      </w:r>
      <w:r>
        <w:rPr>
          <w:w w:val="105"/>
        </w:rPr>
        <w:t>las</w:t>
      </w:r>
      <w:r>
        <w:rPr>
          <w:spacing w:val="-18"/>
          <w:w w:val="105"/>
        </w:rPr>
        <w:t> </w:t>
      </w:r>
      <w:r>
        <w:rPr>
          <w:w w:val="105"/>
        </w:rPr>
        <w:t>emociones</w:t>
      </w:r>
      <w:r>
        <w:rPr>
          <w:spacing w:val="-18"/>
          <w:w w:val="105"/>
        </w:rPr>
        <w:t> </w:t>
      </w:r>
      <w:r>
        <w:rPr>
          <w:w w:val="105"/>
        </w:rPr>
        <w:t>en</w:t>
      </w:r>
      <w:r>
        <w:rPr>
          <w:spacing w:val="-18"/>
          <w:w w:val="105"/>
        </w:rPr>
        <w:t> </w:t>
      </w:r>
      <w:r>
        <w:rPr>
          <w:w w:val="105"/>
        </w:rPr>
        <w:t>femeninas</w:t>
      </w:r>
      <w:r>
        <w:rPr>
          <w:spacing w:val="-18"/>
          <w:w w:val="105"/>
        </w:rPr>
        <w:t> </w:t>
      </w:r>
      <w:r>
        <w:rPr>
          <w:w w:val="105"/>
        </w:rPr>
        <w:t>y</w:t>
      </w:r>
      <w:r>
        <w:rPr>
          <w:spacing w:val="-18"/>
          <w:w w:val="105"/>
        </w:rPr>
        <w:t> </w:t>
      </w:r>
      <w:r>
        <w:rPr>
          <w:w w:val="105"/>
        </w:rPr>
        <w:t>masculinas.</w:t>
      </w:r>
      <w:r>
        <w:rPr>
          <w:spacing w:val="-23"/>
          <w:w w:val="105"/>
        </w:rPr>
        <w:t> </w:t>
      </w:r>
      <w:r>
        <w:rPr>
          <w:spacing w:val="-3"/>
          <w:w w:val="105"/>
        </w:rPr>
        <w:t>Postura </w:t>
      </w:r>
      <w:r>
        <w:rPr>
          <w:w w:val="105"/>
        </w:rPr>
        <w:t>fuertemente</w:t>
      </w:r>
      <w:r>
        <w:rPr>
          <w:spacing w:val="-14"/>
          <w:w w:val="105"/>
        </w:rPr>
        <w:t> </w:t>
      </w:r>
      <w:r>
        <w:rPr>
          <w:w w:val="105"/>
        </w:rPr>
        <w:t>cuestionada</w:t>
      </w:r>
      <w:r>
        <w:rPr>
          <w:spacing w:val="-14"/>
          <w:w w:val="105"/>
        </w:rPr>
        <w:t> </w:t>
      </w:r>
      <w:r>
        <w:rPr>
          <w:w w:val="105"/>
        </w:rPr>
        <w:t>por</w:t>
      </w:r>
      <w:r>
        <w:rPr>
          <w:spacing w:val="-14"/>
          <w:w w:val="105"/>
        </w:rPr>
        <w:t> </w:t>
      </w:r>
      <w:r>
        <w:rPr>
          <w:w w:val="105"/>
        </w:rPr>
        <w:t>los</w:t>
      </w:r>
      <w:r>
        <w:rPr>
          <w:spacing w:val="-14"/>
          <w:w w:val="105"/>
        </w:rPr>
        <w:t> </w:t>
      </w:r>
      <w:r>
        <w:rPr>
          <w:w w:val="105"/>
        </w:rPr>
        <w:t>estudios</w:t>
      </w:r>
      <w:r>
        <w:rPr>
          <w:spacing w:val="-14"/>
          <w:w w:val="105"/>
        </w:rPr>
        <w:t> </w:t>
      </w:r>
      <w:r>
        <w:rPr>
          <w:w w:val="105"/>
        </w:rPr>
        <w:t>feministas</w:t>
      </w:r>
      <w:r>
        <w:rPr>
          <w:spacing w:val="-14"/>
          <w:w w:val="105"/>
        </w:rPr>
        <w:t> </w:t>
      </w:r>
      <w:r>
        <w:rPr>
          <w:w w:val="105"/>
        </w:rPr>
        <w:t>en</w:t>
      </w:r>
      <w:r>
        <w:rPr>
          <w:spacing w:val="-14"/>
          <w:w w:val="105"/>
        </w:rPr>
        <w:t> </w:t>
      </w:r>
      <w:r>
        <w:rPr>
          <w:w w:val="105"/>
        </w:rPr>
        <w:t>la</w:t>
      </w:r>
      <w:r>
        <w:rPr>
          <w:spacing w:val="-14"/>
          <w:w w:val="105"/>
        </w:rPr>
        <w:t> </w:t>
      </w:r>
      <w:r>
        <w:rPr>
          <w:w w:val="105"/>
        </w:rPr>
        <w:t>década</w:t>
      </w:r>
      <w:r>
        <w:rPr>
          <w:spacing w:val="-14"/>
          <w:w w:val="105"/>
        </w:rPr>
        <w:t> </w:t>
      </w:r>
      <w:r>
        <w:rPr>
          <w:w w:val="105"/>
        </w:rPr>
        <w:t>de</w:t>
      </w:r>
      <w:r>
        <w:rPr>
          <w:spacing w:val="-14"/>
          <w:w w:val="105"/>
        </w:rPr>
        <w:t> </w:t>
      </w:r>
      <w:r>
        <w:rPr>
          <w:w w:val="105"/>
        </w:rPr>
        <w:t>los setentas.</w:t>
      </w:r>
      <w:r>
        <w:rPr>
          <w:spacing w:val="-9"/>
          <w:w w:val="105"/>
        </w:rPr>
        <w:t> </w:t>
      </w:r>
      <w:r>
        <w:rPr>
          <w:w w:val="105"/>
        </w:rPr>
        <w:t>El</w:t>
      </w:r>
      <w:r>
        <w:rPr>
          <w:spacing w:val="-5"/>
          <w:w w:val="105"/>
        </w:rPr>
        <w:t> </w:t>
      </w:r>
      <w:r>
        <w:rPr>
          <w:w w:val="105"/>
        </w:rPr>
        <w:t>marxismo</w:t>
      </w:r>
      <w:r>
        <w:rPr>
          <w:spacing w:val="-5"/>
          <w:w w:val="105"/>
        </w:rPr>
        <w:t> </w:t>
      </w:r>
      <w:r>
        <w:rPr>
          <w:w w:val="105"/>
        </w:rPr>
        <w:t>interpretó</w:t>
      </w:r>
      <w:r>
        <w:rPr>
          <w:spacing w:val="-5"/>
          <w:w w:val="105"/>
        </w:rPr>
        <w:t> </w:t>
      </w:r>
      <w:r>
        <w:rPr>
          <w:w w:val="105"/>
        </w:rPr>
        <w:t>a</w:t>
      </w:r>
      <w:r>
        <w:rPr>
          <w:spacing w:val="-5"/>
          <w:w w:val="105"/>
        </w:rPr>
        <w:t> </w:t>
      </w:r>
      <w:r>
        <w:rPr>
          <w:w w:val="105"/>
        </w:rPr>
        <w:t>los</w:t>
      </w:r>
      <w:r>
        <w:rPr>
          <w:spacing w:val="-5"/>
          <w:w w:val="105"/>
        </w:rPr>
        <w:t> </w:t>
      </w:r>
      <w:r>
        <w:rPr>
          <w:w w:val="105"/>
        </w:rPr>
        <w:t>procesos</w:t>
      </w:r>
      <w:r>
        <w:rPr>
          <w:spacing w:val="-5"/>
          <w:w w:val="105"/>
        </w:rPr>
        <w:t> </w:t>
      </w:r>
      <w:r>
        <w:rPr>
          <w:w w:val="105"/>
        </w:rPr>
        <w:t>emocionales</w:t>
      </w:r>
      <w:r>
        <w:rPr>
          <w:spacing w:val="-5"/>
          <w:w w:val="105"/>
        </w:rPr>
        <w:t> </w:t>
      </w:r>
      <w:r>
        <w:rPr>
          <w:w w:val="105"/>
        </w:rPr>
        <w:t>como</w:t>
      </w:r>
      <w:r>
        <w:rPr>
          <w:spacing w:val="-5"/>
          <w:w w:val="105"/>
        </w:rPr>
        <w:t> </w:t>
      </w:r>
      <w:r>
        <w:rPr>
          <w:w w:val="105"/>
        </w:rPr>
        <w:t>una extensión de las prácticas sexuadas, de la diferenciación de tareas y</w:t>
      </w:r>
      <w:r>
        <w:rPr>
          <w:spacing w:val="-19"/>
          <w:w w:val="105"/>
        </w:rPr>
        <w:t> </w:t>
      </w:r>
      <w:r>
        <w:rPr>
          <w:w w:val="105"/>
        </w:rPr>
        <w:t>la cultura</w:t>
      </w:r>
      <w:r>
        <w:rPr>
          <w:spacing w:val="-16"/>
          <w:w w:val="105"/>
        </w:rPr>
        <w:t> </w:t>
      </w:r>
      <w:r>
        <w:rPr>
          <w:w w:val="105"/>
        </w:rPr>
        <w:t>patriarcal.</w:t>
      </w:r>
      <w:r>
        <w:rPr>
          <w:spacing w:val="-21"/>
          <w:w w:val="105"/>
        </w:rPr>
        <w:t> </w:t>
      </w:r>
      <w:r>
        <w:rPr>
          <w:color w:val="231F20"/>
          <w:w w:val="105"/>
        </w:rPr>
        <w:t>En</w:t>
      </w:r>
      <w:r>
        <w:rPr>
          <w:color w:val="231F20"/>
          <w:spacing w:val="-16"/>
          <w:w w:val="105"/>
        </w:rPr>
        <w:t> </w:t>
      </w:r>
      <w:r>
        <w:rPr>
          <w:color w:val="231F20"/>
          <w:w w:val="105"/>
        </w:rPr>
        <w:t>otras</w:t>
      </w:r>
      <w:r>
        <w:rPr>
          <w:color w:val="231F20"/>
          <w:spacing w:val="-16"/>
          <w:w w:val="105"/>
        </w:rPr>
        <w:t> </w:t>
      </w:r>
      <w:r>
        <w:rPr>
          <w:color w:val="231F20"/>
          <w:w w:val="105"/>
        </w:rPr>
        <w:t>palabras,</w:t>
      </w:r>
      <w:r>
        <w:rPr>
          <w:color w:val="231F20"/>
          <w:spacing w:val="-21"/>
          <w:w w:val="105"/>
        </w:rPr>
        <w:t> </w:t>
      </w:r>
      <w:r>
        <w:rPr>
          <w:w w:val="105"/>
        </w:rPr>
        <w:t>mujeres</w:t>
      </w:r>
      <w:r>
        <w:rPr>
          <w:spacing w:val="-16"/>
          <w:w w:val="105"/>
        </w:rPr>
        <w:t> </w:t>
      </w:r>
      <w:r>
        <w:rPr>
          <w:w w:val="105"/>
        </w:rPr>
        <w:t>y</w:t>
      </w:r>
      <w:r>
        <w:rPr>
          <w:spacing w:val="-16"/>
          <w:w w:val="105"/>
        </w:rPr>
        <w:t> </w:t>
      </w:r>
      <w:r>
        <w:rPr>
          <w:w w:val="105"/>
        </w:rPr>
        <w:t>hombres,</w:t>
      </w:r>
      <w:r>
        <w:rPr>
          <w:spacing w:val="-21"/>
          <w:w w:val="105"/>
        </w:rPr>
        <w:t> </w:t>
      </w:r>
      <w:r>
        <w:rPr>
          <w:w w:val="105"/>
        </w:rPr>
        <w:t>sólo</w:t>
      </w:r>
      <w:r>
        <w:rPr>
          <w:spacing w:val="-16"/>
          <w:w w:val="105"/>
        </w:rPr>
        <w:t> </w:t>
      </w:r>
      <w:r>
        <w:rPr>
          <w:w w:val="105"/>
        </w:rPr>
        <w:t>podían</w:t>
      </w:r>
      <w:r>
        <w:rPr>
          <w:spacing w:val="-16"/>
          <w:w w:val="105"/>
        </w:rPr>
        <w:t> </w:t>
      </w:r>
      <w:r>
        <w:rPr>
          <w:w w:val="105"/>
        </w:rPr>
        <w:t>ex- perimentar aquellas emociones asociadas a la realización de sus roles de esposa y madre, padre y proveedor, el supuesto establecía que las mujeres</w:t>
      </w:r>
      <w:r>
        <w:rPr>
          <w:spacing w:val="-14"/>
          <w:w w:val="105"/>
        </w:rPr>
        <w:t> </w:t>
      </w:r>
      <w:r>
        <w:rPr>
          <w:w w:val="105"/>
        </w:rPr>
        <w:t>eran</w:t>
      </w:r>
      <w:r>
        <w:rPr>
          <w:spacing w:val="-14"/>
          <w:w w:val="105"/>
        </w:rPr>
        <w:t> </w:t>
      </w:r>
      <w:r>
        <w:rPr>
          <w:w w:val="105"/>
        </w:rPr>
        <w:t>más</w:t>
      </w:r>
      <w:r>
        <w:rPr>
          <w:spacing w:val="-14"/>
          <w:w w:val="105"/>
        </w:rPr>
        <w:t> </w:t>
      </w:r>
      <w:r>
        <w:rPr>
          <w:w w:val="105"/>
        </w:rPr>
        <w:t>emocionales</w:t>
      </w:r>
      <w:r>
        <w:rPr>
          <w:spacing w:val="-14"/>
          <w:w w:val="105"/>
        </w:rPr>
        <w:t> </w:t>
      </w:r>
      <w:r>
        <w:rPr>
          <w:w w:val="105"/>
        </w:rPr>
        <w:t>que</w:t>
      </w:r>
      <w:r>
        <w:rPr>
          <w:spacing w:val="-14"/>
          <w:w w:val="105"/>
        </w:rPr>
        <w:t> </w:t>
      </w:r>
      <w:r>
        <w:rPr>
          <w:w w:val="105"/>
        </w:rPr>
        <w:t>los</w:t>
      </w:r>
      <w:r>
        <w:rPr>
          <w:spacing w:val="-14"/>
          <w:w w:val="105"/>
        </w:rPr>
        <w:t> </w:t>
      </w:r>
      <w:r>
        <w:rPr>
          <w:w w:val="105"/>
        </w:rPr>
        <w:t>hombres.</w:t>
      </w:r>
      <w:r>
        <w:rPr>
          <w:spacing w:val="-19"/>
          <w:w w:val="105"/>
        </w:rPr>
        <w:t> </w:t>
      </w:r>
      <w:r>
        <w:rPr>
          <w:spacing w:val="-6"/>
          <w:w w:val="105"/>
        </w:rPr>
        <w:t>Por</w:t>
      </w:r>
      <w:r>
        <w:rPr>
          <w:spacing w:val="-14"/>
          <w:w w:val="105"/>
        </w:rPr>
        <w:t> </w:t>
      </w:r>
      <w:r>
        <w:rPr>
          <w:w w:val="105"/>
        </w:rPr>
        <w:t>todo</w:t>
      </w:r>
      <w:r>
        <w:rPr>
          <w:spacing w:val="-14"/>
          <w:w w:val="105"/>
        </w:rPr>
        <w:t> </w:t>
      </w:r>
      <w:r>
        <w:rPr>
          <w:w w:val="105"/>
        </w:rPr>
        <w:t>lo</w:t>
      </w:r>
      <w:r>
        <w:rPr>
          <w:spacing w:val="-14"/>
          <w:w w:val="105"/>
        </w:rPr>
        <w:t> </w:t>
      </w:r>
      <w:r>
        <w:rPr>
          <w:w w:val="105"/>
        </w:rPr>
        <w:t>anterior,</w:t>
      </w:r>
      <w:r>
        <w:rPr>
          <w:spacing w:val="-19"/>
          <w:w w:val="105"/>
        </w:rPr>
        <w:t> </w:t>
      </w:r>
      <w:r>
        <w:rPr>
          <w:w w:val="105"/>
        </w:rPr>
        <w:t>es importante destruir la relacionalidad de estas variables, rechazando la sexualización</w:t>
      </w:r>
      <w:r>
        <w:rPr>
          <w:spacing w:val="-27"/>
          <w:w w:val="105"/>
        </w:rPr>
        <w:t> </w:t>
      </w:r>
      <w:r>
        <w:rPr>
          <w:w w:val="105"/>
        </w:rPr>
        <w:t>de</w:t>
      </w:r>
      <w:r>
        <w:rPr>
          <w:spacing w:val="-27"/>
          <w:w w:val="105"/>
        </w:rPr>
        <w:t> </w:t>
      </w:r>
      <w:r>
        <w:rPr>
          <w:w w:val="105"/>
        </w:rPr>
        <w:t>las</w:t>
      </w:r>
      <w:r>
        <w:rPr>
          <w:spacing w:val="-27"/>
          <w:w w:val="105"/>
        </w:rPr>
        <w:t> </w:t>
      </w:r>
      <w:r>
        <w:rPr>
          <w:w w:val="105"/>
        </w:rPr>
        <w:t>emociones</w:t>
      </w:r>
      <w:r>
        <w:rPr>
          <w:spacing w:val="-27"/>
          <w:w w:val="105"/>
        </w:rPr>
        <w:t> </w:t>
      </w:r>
      <w:r>
        <w:rPr>
          <w:w w:val="105"/>
        </w:rPr>
        <w:t>y</w:t>
      </w:r>
      <w:r>
        <w:rPr>
          <w:spacing w:val="-27"/>
          <w:w w:val="105"/>
        </w:rPr>
        <w:t> </w:t>
      </w:r>
      <w:r>
        <w:rPr>
          <w:w w:val="105"/>
        </w:rPr>
        <w:t>aceptando</w:t>
      </w:r>
      <w:r>
        <w:rPr>
          <w:spacing w:val="-27"/>
          <w:w w:val="105"/>
        </w:rPr>
        <w:t> </w:t>
      </w:r>
      <w:r>
        <w:rPr>
          <w:w w:val="105"/>
        </w:rPr>
        <w:t>su</w:t>
      </w:r>
      <w:r>
        <w:rPr>
          <w:spacing w:val="-27"/>
          <w:w w:val="105"/>
        </w:rPr>
        <w:t> </w:t>
      </w:r>
      <w:r>
        <w:rPr>
          <w:w w:val="105"/>
        </w:rPr>
        <w:t>universalidad.</w:t>
      </w:r>
    </w:p>
    <w:p>
      <w:pPr>
        <w:pStyle w:val="BodyText"/>
        <w:spacing w:line="261" w:lineRule="auto" w:before="1"/>
        <w:ind w:left="1837" w:right="1715" w:firstLine="567"/>
        <w:jc w:val="both"/>
      </w:pPr>
      <w:r>
        <w:rPr>
          <w:color w:val="231F20"/>
          <w:w w:val="105"/>
        </w:rPr>
        <w:t>En este sentido las emociones se consolidan como objeto de es- tudio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época</w:t>
      </w:r>
      <w:r>
        <w:rPr>
          <w:color w:val="231F20"/>
          <w:spacing w:val="-7"/>
          <w:w w:val="105"/>
        </w:rPr>
        <w:t> </w:t>
      </w:r>
      <w:r>
        <w:rPr>
          <w:color w:val="231F20"/>
          <w:w w:val="105"/>
        </w:rPr>
        <w:t>contemporánea,</w:t>
      </w:r>
      <w:r>
        <w:rPr>
          <w:color w:val="231F20"/>
          <w:spacing w:val="-13"/>
          <w:w w:val="105"/>
        </w:rPr>
        <w:t> </w:t>
      </w:r>
      <w:r>
        <w:rPr>
          <w:color w:val="231F20"/>
          <w:w w:val="105"/>
        </w:rPr>
        <w:t>prueba</w:t>
      </w:r>
      <w:r>
        <w:rPr>
          <w:color w:val="231F20"/>
          <w:spacing w:val="-7"/>
          <w:w w:val="105"/>
        </w:rPr>
        <w:t> </w:t>
      </w:r>
      <w:r>
        <w:rPr>
          <w:color w:val="231F20"/>
          <w:w w:val="105"/>
        </w:rPr>
        <w:t>de</w:t>
      </w:r>
      <w:r>
        <w:rPr>
          <w:color w:val="231F20"/>
          <w:spacing w:val="-7"/>
          <w:w w:val="105"/>
        </w:rPr>
        <w:t> </w:t>
      </w:r>
      <w:r>
        <w:rPr>
          <w:color w:val="231F20"/>
          <w:w w:val="105"/>
        </w:rPr>
        <w:t>ello</w:t>
      </w:r>
      <w:r>
        <w:rPr>
          <w:color w:val="231F20"/>
          <w:spacing w:val="-7"/>
          <w:w w:val="105"/>
        </w:rPr>
        <w:t> </w:t>
      </w:r>
      <w:r>
        <w:rPr>
          <w:color w:val="231F20"/>
          <w:w w:val="105"/>
        </w:rPr>
        <w:t>es</w:t>
      </w:r>
      <w:r>
        <w:rPr>
          <w:color w:val="231F20"/>
          <w:spacing w:val="-7"/>
          <w:w w:val="105"/>
        </w:rPr>
        <w:t> </w:t>
      </w:r>
      <w:r>
        <w:rPr>
          <w:color w:val="231F20"/>
          <w:w w:val="105"/>
        </w:rPr>
        <w:t>una</w:t>
      </w:r>
      <w:r>
        <w:rPr>
          <w:color w:val="231F20"/>
          <w:spacing w:val="-7"/>
          <w:w w:val="105"/>
        </w:rPr>
        <w:t> </w:t>
      </w:r>
      <w:r>
        <w:rPr>
          <w:color w:val="231F20"/>
          <w:w w:val="105"/>
        </w:rPr>
        <w:t>conceptualiza- ción más consistente, inter y multidisciplinaria, con cierta tendencia</w:t>
      </w:r>
      <w:r>
        <w:rPr>
          <w:color w:val="231F20"/>
          <w:spacing w:val="-13"/>
          <w:w w:val="105"/>
        </w:rPr>
        <w:t> </w:t>
      </w:r>
      <w:r>
        <w:rPr>
          <w:color w:val="231F20"/>
          <w:w w:val="105"/>
        </w:rPr>
        <w:t>an- tropocéntrica</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relacionalidad</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vida</w:t>
      </w:r>
      <w:r>
        <w:rPr>
          <w:color w:val="231F20"/>
          <w:spacing w:val="-7"/>
          <w:w w:val="105"/>
        </w:rPr>
        <w:t> </w:t>
      </w:r>
      <w:r>
        <w:rPr>
          <w:color w:val="231F20"/>
          <w:w w:val="105"/>
        </w:rPr>
        <w:t>global</w:t>
      </w:r>
      <w:r>
        <w:rPr>
          <w:color w:val="231F20"/>
          <w:spacing w:val="-7"/>
          <w:w w:val="105"/>
        </w:rPr>
        <w:t> </w:t>
      </w:r>
      <w:r>
        <w:rPr>
          <w:color w:val="231F20"/>
          <w:w w:val="105"/>
        </w:rPr>
        <w:t>del</w:t>
      </w:r>
      <w:r>
        <w:rPr>
          <w:color w:val="231F20"/>
          <w:spacing w:val="-7"/>
          <w:w w:val="105"/>
        </w:rPr>
        <w:t> </w:t>
      </w:r>
      <w:r>
        <w:rPr>
          <w:color w:val="231F20"/>
          <w:w w:val="105"/>
        </w:rPr>
        <w:t>individuo.</w:t>
      </w:r>
      <w:r>
        <w:rPr>
          <w:color w:val="231F20"/>
          <w:spacing w:val="-13"/>
          <w:w w:val="105"/>
        </w:rPr>
        <w:t> </w:t>
      </w:r>
      <w:r>
        <w:rPr>
          <w:color w:val="231F20"/>
          <w:w w:val="105"/>
        </w:rPr>
        <w:t>De</w:t>
      </w:r>
      <w:r>
        <w:rPr>
          <w:color w:val="231F20"/>
          <w:spacing w:val="-7"/>
          <w:w w:val="105"/>
        </w:rPr>
        <w:t> </w:t>
      </w:r>
      <w:r>
        <w:rPr>
          <w:color w:val="231F20"/>
          <w:w w:val="105"/>
        </w:rPr>
        <w:t>esta etapa</w:t>
      </w:r>
      <w:r>
        <w:rPr>
          <w:color w:val="231F20"/>
          <w:spacing w:val="-33"/>
          <w:w w:val="105"/>
        </w:rPr>
        <w:t> </w:t>
      </w:r>
      <w:r>
        <w:rPr>
          <w:color w:val="231F20"/>
          <w:w w:val="105"/>
        </w:rPr>
        <w:t>sobresalen</w:t>
      </w:r>
      <w:r>
        <w:rPr>
          <w:color w:val="231F20"/>
          <w:spacing w:val="-33"/>
          <w:w w:val="105"/>
        </w:rPr>
        <w:t> </w:t>
      </w:r>
      <w:r>
        <w:rPr>
          <w:color w:val="231F20"/>
          <w:w w:val="105"/>
        </w:rPr>
        <w:t>los</w:t>
      </w:r>
      <w:r>
        <w:rPr>
          <w:color w:val="231F20"/>
          <w:spacing w:val="-33"/>
          <w:w w:val="105"/>
        </w:rPr>
        <w:t> </w:t>
      </w:r>
      <w:r>
        <w:rPr>
          <w:color w:val="231F20"/>
          <w:w w:val="105"/>
        </w:rPr>
        <w:t>trabajos</w:t>
      </w:r>
      <w:r>
        <w:rPr>
          <w:color w:val="231F20"/>
          <w:spacing w:val="-33"/>
          <w:w w:val="105"/>
        </w:rPr>
        <w:t> </w:t>
      </w:r>
      <w:r>
        <w:rPr>
          <w:color w:val="231F20"/>
          <w:w w:val="105"/>
        </w:rPr>
        <w:t>de</w:t>
      </w:r>
      <w:r>
        <w:rPr>
          <w:color w:val="231F20"/>
          <w:spacing w:val="-35"/>
          <w:w w:val="105"/>
        </w:rPr>
        <w:t> </w:t>
      </w:r>
      <w:r>
        <w:rPr>
          <w:color w:val="231F20"/>
          <w:spacing w:val="-4"/>
          <w:w w:val="105"/>
        </w:rPr>
        <w:t>Weber,</w:t>
      </w:r>
      <w:r>
        <w:rPr>
          <w:color w:val="231F20"/>
          <w:spacing w:val="-37"/>
          <w:w w:val="105"/>
        </w:rPr>
        <w:t> </w:t>
      </w:r>
      <w:r>
        <w:rPr>
          <w:color w:val="231F20"/>
          <w:w w:val="105"/>
        </w:rPr>
        <w:t>Simmel,</w:t>
      </w:r>
      <w:r>
        <w:rPr>
          <w:color w:val="231F20"/>
          <w:spacing w:val="-37"/>
          <w:w w:val="105"/>
        </w:rPr>
        <w:t> </w:t>
      </w:r>
      <w:r>
        <w:rPr>
          <w:w w:val="105"/>
        </w:rPr>
        <w:t>Ricoeur,</w:t>
      </w:r>
      <w:r>
        <w:rPr>
          <w:spacing w:val="-37"/>
          <w:w w:val="105"/>
        </w:rPr>
        <w:t> </w:t>
      </w:r>
      <w:r>
        <w:rPr>
          <w:w w:val="105"/>
        </w:rPr>
        <w:t>Durkeim,</w:t>
      </w:r>
      <w:r>
        <w:rPr>
          <w:spacing w:val="-37"/>
          <w:w w:val="105"/>
        </w:rPr>
        <w:t> </w:t>
      </w:r>
      <w:r>
        <w:rPr>
          <w:w w:val="105"/>
        </w:rPr>
        <w:t>David le Breton, Elster, </w:t>
      </w:r>
      <w:r>
        <w:rPr>
          <w:spacing w:val="-3"/>
          <w:w w:val="105"/>
        </w:rPr>
        <w:t>Kemper, </w:t>
      </w:r>
      <w:r>
        <w:rPr>
          <w:color w:val="231F20"/>
          <w:w w:val="105"/>
        </w:rPr>
        <w:t>dejando brillar disciplinas como la</w:t>
      </w:r>
      <w:r>
        <w:rPr>
          <w:color w:val="231F20"/>
          <w:spacing w:val="-38"/>
          <w:w w:val="105"/>
        </w:rPr>
        <w:t> </w:t>
      </w:r>
      <w:r>
        <w:rPr>
          <w:color w:val="231F20"/>
          <w:w w:val="105"/>
        </w:rPr>
        <w:t>sociología, la</w:t>
      </w:r>
      <w:r>
        <w:rPr>
          <w:color w:val="231F20"/>
          <w:spacing w:val="-7"/>
          <w:w w:val="105"/>
        </w:rPr>
        <w:t> </w:t>
      </w:r>
      <w:r>
        <w:rPr>
          <w:color w:val="231F20"/>
          <w:w w:val="105"/>
        </w:rPr>
        <w:t>filosofía,</w:t>
      </w:r>
      <w:r>
        <w:rPr>
          <w:color w:val="231F20"/>
          <w:spacing w:val="-13"/>
          <w:w w:val="105"/>
        </w:rPr>
        <w:t> </w:t>
      </w:r>
      <w:r>
        <w:rPr>
          <w:color w:val="231F20"/>
          <w:w w:val="105"/>
        </w:rPr>
        <w:t>la</w:t>
      </w:r>
      <w:r>
        <w:rPr>
          <w:color w:val="231F20"/>
          <w:spacing w:val="-7"/>
          <w:w w:val="105"/>
        </w:rPr>
        <w:t> </w:t>
      </w:r>
      <w:r>
        <w:rPr>
          <w:color w:val="231F20"/>
          <w:w w:val="105"/>
        </w:rPr>
        <w:t>antropología</w:t>
      </w:r>
      <w:r>
        <w:rPr>
          <w:color w:val="231F20"/>
          <w:spacing w:val="-7"/>
          <w:w w:val="105"/>
        </w:rPr>
        <w:t> </w:t>
      </w:r>
      <w:r>
        <w:rPr>
          <w:color w:val="231F20"/>
          <w:w w:val="105"/>
        </w:rPr>
        <w:t>del</w:t>
      </w:r>
      <w:r>
        <w:rPr>
          <w:color w:val="231F20"/>
          <w:spacing w:val="-7"/>
          <w:w w:val="105"/>
        </w:rPr>
        <w:t> </w:t>
      </w:r>
      <w:r>
        <w:rPr>
          <w:color w:val="231F20"/>
          <w:w w:val="105"/>
        </w:rPr>
        <w:t>cuerpo</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psicología.</w:t>
      </w:r>
    </w:p>
    <w:p>
      <w:pPr>
        <w:pStyle w:val="BodyText"/>
        <w:spacing w:line="261" w:lineRule="auto" w:before="1"/>
        <w:ind w:left="1837" w:right="1716" w:firstLine="567"/>
        <w:jc w:val="both"/>
      </w:pPr>
      <w:r>
        <w:rPr/>
        <w:pict>
          <v:line style="position:absolute;mso-position-horizontal-relative:page;mso-position-vertical-relative:paragraph;z-index:-443800" from="15pt,160.541992pt" to="0pt,160.541992pt" stroked="true" strokeweight=".25pt" strokecolor="#000000">
            <w10:wrap type="none"/>
          </v:line>
        </w:pict>
      </w:r>
      <w:r>
        <w:rPr/>
        <w:pict>
          <v:line style="position:absolute;mso-position-horizontal-relative:page;mso-position-vertical-relative:paragraph;z-index:46408" from="508.890015pt,160.541992pt" to="523.890015pt,160.541992pt" stroked="true" strokeweight=".25pt" strokecolor="#000000">
            <w10:wrap type="none"/>
          </v:line>
        </w:pict>
      </w:r>
      <w:r>
        <w:rPr>
          <w:color w:val="231F20"/>
          <w:w w:val="105"/>
        </w:rPr>
        <w:t>Los estudios contemporáneos definen las emociones como reac- ciones</w:t>
      </w:r>
      <w:r>
        <w:rPr>
          <w:color w:val="231F20"/>
          <w:spacing w:val="-5"/>
          <w:w w:val="105"/>
        </w:rPr>
        <w:t> </w:t>
      </w:r>
      <w:r>
        <w:rPr>
          <w:color w:val="231F20"/>
          <w:w w:val="105"/>
        </w:rPr>
        <w:t>que</w:t>
      </w:r>
      <w:r>
        <w:rPr>
          <w:color w:val="231F20"/>
          <w:spacing w:val="-5"/>
          <w:w w:val="105"/>
        </w:rPr>
        <w:t> </w:t>
      </w:r>
      <w:r>
        <w:rPr>
          <w:color w:val="231F20"/>
          <w:w w:val="105"/>
        </w:rPr>
        <w:t>involucran</w:t>
      </w:r>
      <w:r>
        <w:rPr>
          <w:color w:val="231F20"/>
          <w:spacing w:val="-5"/>
          <w:w w:val="105"/>
        </w:rPr>
        <w:t> </w:t>
      </w:r>
      <w:r>
        <w:rPr>
          <w:color w:val="231F20"/>
          <w:w w:val="105"/>
        </w:rPr>
        <w:t>el</w:t>
      </w:r>
      <w:r>
        <w:rPr>
          <w:color w:val="231F20"/>
          <w:spacing w:val="-5"/>
          <w:w w:val="105"/>
        </w:rPr>
        <w:t> </w:t>
      </w:r>
      <w:r>
        <w:rPr>
          <w:color w:val="231F20"/>
          <w:w w:val="105"/>
        </w:rPr>
        <w:t>cuerpo</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mente</w:t>
      </w:r>
      <w:r>
        <w:rPr>
          <w:color w:val="231F20"/>
          <w:spacing w:val="-5"/>
          <w:w w:val="105"/>
        </w:rPr>
        <w:t> </w:t>
      </w:r>
      <w:r>
        <w:rPr>
          <w:color w:val="231F20"/>
          <w:w w:val="105"/>
        </w:rPr>
        <w:t>para</w:t>
      </w:r>
      <w:r>
        <w:rPr>
          <w:color w:val="231F20"/>
          <w:spacing w:val="-5"/>
          <w:w w:val="105"/>
        </w:rPr>
        <w:t> </w:t>
      </w:r>
      <w:r>
        <w:rPr>
          <w:color w:val="231F20"/>
          <w:w w:val="105"/>
        </w:rPr>
        <w:t>producir</w:t>
      </w:r>
      <w:r>
        <w:rPr>
          <w:color w:val="231F20"/>
          <w:spacing w:val="-5"/>
          <w:w w:val="105"/>
        </w:rPr>
        <w:t> </w:t>
      </w:r>
      <w:r>
        <w:rPr>
          <w:color w:val="231F20"/>
          <w:w w:val="105"/>
        </w:rPr>
        <w:t>una</w:t>
      </w:r>
      <w:r>
        <w:rPr>
          <w:color w:val="231F20"/>
          <w:spacing w:val="-5"/>
          <w:w w:val="105"/>
        </w:rPr>
        <w:t> </w:t>
      </w:r>
      <w:r>
        <w:rPr>
          <w:color w:val="231F20"/>
          <w:w w:val="105"/>
        </w:rPr>
        <w:t>conducta, una acción o una idea. Las distintas disertaciones académicas al reco- nocerles valor científico las consideran base de la conducta humana y el espíritu de la acción social (Max </w:t>
      </w:r>
      <w:r>
        <w:rPr>
          <w:color w:val="231F20"/>
          <w:spacing w:val="-3"/>
          <w:w w:val="105"/>
        </w:rPr>
        <w:t>Weber); </w:t>
      </w:r>
      <w:r>
        <w:rPr>
          <w:color w:val="231F20"/>
          <w:w w:val="105"/>
        </w:rPr>
        <w:t>extensión de las </w:t>
      </w:r>
      <w:r>
        <w:rPr>
          <w:color w:val="231F20"/>
          <w:spacing w:val="-3"/>
          <w:w w:val="105"/>
        </w:rPr>
        <w:t>relaciones </w:t>
      </w:r>
      <w:r>
        <w:rPr>
          <w:color w:val="231F20"/>
          <w:w w:val="105"/>
        </w:rPr>
        <w:t>sociales,</w:t>
      </w:r>
      <w:r>
        <w:rPr>
          <w:color w:val="231F20"/>
          <w:spacing w:val="-33"/>
          <w:w w:val="105"/>
        </w:rPr>
        <w:t> </w:t>
      </w:r>
      <w:r>
        <w:rPr>
          <w:color w:val="231F20"/>
          <w:w w:val="105"/>
        </w:rPr>
        <w:t>aunque</w:t>
      </w:r>
      <w:r>
        <w:rPr>
          <w:color w:val="231F20"/>
          <w:spacing w:val="-30"/>
          <w:w w:val="105"/>
        </w:rPr>
        <w:t> </w:t>
      </w:r>
      <w:r>
        <w:rPr>
          <w:color w:val="231F20"/>
          <w:w w:val="105"/>
        </w:rPr>
        <w:t>su</w:t>
      </w:r>
      <w:r>
        <w:rPr>
          <w:color w:val="231F20"/>
          <w:spacing w:val="-30"/>
          <w:w w:val="105"/>
        </w:rPr>
        <w:t> </w:t>
      </w:r>
      <w:r>
        <w:rPr>
          <w:color w:val="231F20"/>
          <w:w w:val="105"/>
        </w:rPr>
        <w:t>experiencia</w:t>
      </w:r>
      <w:r>
        <w:rPr>
          <w:color w:val="231F20"/>
          <w:spacing w:val="-30"/>
          <w:w w:val="105"/>
        </w:rPr>
        <w:t> </w:t>
      </w:r>
      <w:r>
        <w:rPr>
          <w:color w:val="231F20"/>
          <w:w w:val="105"/>
        </w:rPr>
        <w:t>se</w:t>
      </w:r>
      <w:r>
        <w:rPr>
          <w:color w:val="231F20"/>
          <w:spacing w:val="-30"/>
          <w:w w:val="105"/>
        </w:rPr>
        <w:t> </w:t>
      </w:r>
      <w:r>
        <w:rPr>
          <w:color w:val="231F20"/>
          <w:spacing w:val="-3"/>
          <w:w w:val="105"/>
        </w:rPr>
        <w:t>reconoce</w:t>
      </w:r>
      <w:r>
        <w:rPr>
          <w:color w:val="231F20"/>
          <w:spacing w:val="-30"/>
          <w:w w:val="105"/>
        </w:rPr>
        <w:t> </w:t>
      </w:r>
      <w:r>
        <w:rPr>
          <w:color w:val="231F20"/>
          <w:w w:val="105"/>
        </w:rPr>
        <w:t>individual,</w:t>
      </w:r>
      <w:r>
        <w:rPr>
          <w:color w:val="231F20"/>
          <w:spacing w:val="-33"/>
          <w:w w:val="105"/>
        </w:rPr>
        <w:t> </w:t>
      </w:r>
      <w:r>
        <w:rPr>
          <w:color w:val="231F20"/>
          <w:w w:val="105"/>
        </w:rPr>
        <w:t>son</w:t>
      </w:r>
      <w:r>
        <w:rPr>
          <w:color w:val="231F20"/>
          <w:spacing w:val="-30"/>
          <w:w w:val="105"/>
        </w:rPr>
        <w:t> </w:t>
      </w:r>
      <w:r>
        <w:rPr>
          <w:color w:val="231F20"/>
          <w:w w:val="105"/>
        </w:rPr>
        <w:t>sociales</w:t>
      </w:r>
      <w:r>
        <w:rPr>
          <w:color w:val="231F20"/>
          <w:spacing w:val="-30"/>
          <w:w w:val="105"/>
        </w:rPr>
        <w:t> </w:t>
      </w:r>
      <w:r>
        <w:rPr>
          <w:color w:val="231F20"/>
          <w:w w:val="105"/>
        </w:rPr>
        <w:t>bajo influencia</w:t>
      </w:r>
      <w:r>
        <w:rPr>
          <w:color w:val="231F20"/>
          <w:spacing w:val="-27"/>
          <w:w w:val="105"/>
        </w:rPr>
        <w:t> </w:t>
      </w:r>
      <w:r>
        <w:rPr>
          <w:color w:val="231F20"/>
          <w:w w:val="105"/>
        </w:rPr>
        <w:t>del</w:t>
      </w:r>
      <w:r>
        <w:rPr>
          <w:color w:val="231F20"/>
          <w:spacing w:val="-27"/>
          <w:w w:val="105"/>
        </w:rPr>
        <w:t> </w:t>
      </w:r>
      <w:r>
        <w:rPr>
          <w:color w:val="231F20"/>
          <w:w w:val="105"/>
        </w:rPr>
        <w:t>entorno</w:t>
      </w:r>
      <w:r>
        <w:rPr>
          <w:color w:val="231F20"/>
          <w:spacing w:val="-27"/>
          <w:w w:val="105"/>
        </w:rPr>
        <w:t> </w:t>
      </w:r>
      <w:r>
        <w:rPr>
          <w:color w:val="231F20"/>
          <w:w w:val="105"/>
        </w:rPr>
        <w:t>social</w:t>
      </w:r>
      <w:r>
        <w:rPr>
          <w:color w:val="231F20"/>
          <w:spacing w:val="-27"/>
          <w:w w:val="105"/>
        </w:rPr>
        <w:t> </w:t>
      </w:r>
      <w:r>
        <w:rPr>
          <w:color w:val="231F20"/>
          <w:w w:val="105"/>
        </w:rPr>
        <w:t>(Durkheim);</w:t>
      </w:r>
      <w:r>
        <w:rPr>
          <w:color w:val="231F20"/>
          <w:spacing w:val="-27"/>
          <w:w w:val="105"/>
        </w:rPr>
        <w:t> </w:t>
      </w:r>
      <w:r>
        <w:rPr>
          <w:color w:val="231F20"/>
          <w:w w:val="105"/>
        </w:rPr>
        <w:t>componente</w:t>
      </w:r>
      <w:r>
        <w:rPr>
          <w:color w:val="231F20"/>
          <w:spacing w:val="-27"/>
          <w:w w:val="105"/>
        </w:rPr>
        <w:t> </w:t>
      </w:r>
      <w:r>
        <w:rPr>
          <w:color w:val="231F20"/>
          <w:w w:val="105"/>
        </w:rPr>
        <w:t>del</w:t>
      </w:r>
      <w:r>
        <w:rPr>
          <w:color w:val="231F20"/>
          <w:spacing w:val="-27"/>
          <w:w w:val="105"/>
        </w:rPr>
        <w:t> </w:t>
      </w:r>
      <w:r>
        <w:rPr>
          <w:color w:val="231F20"/>
          <w:w w:val="105"/>
        </w:rPr>
        <w:t>deseo</w:t>
      </w:r>
      <w:r>
        <w:rPr>
          <w:color w:val="231F20"/>
          <w:spacing w:val="-27"/>
          <w:w w:val="105"/>
        </w:rPr>
        <w:t> </w:t>
      </w:r>
      <w:r>
        <w:rPr>
          <w:color w:val="231F20"/>
          <w:w w:val="105"/>
        </w:rPr>
        <w:t>humano</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0"/>
        <w:jc w:val="both"/>
      </w:pPr>
      <w:r>
        <w:rPr/>
        <w:pict>
          <v:line style="position:absolute;mso-position-horizontal-relative:page;mso-position-vertical-relative:paragraph;z-index:46456" from="15pt,-71.68644pt" to="0pt,-71.68644pt" stroked="true" strokeweight=".25pt" strokecolor="#000000">
            <w10:wrap type="none"/>
          </v:line>
        </w:pict>
      </w:r>
      <w:r>
        <w:rPr/>
        <w:pict>
          <v:line style="position:absolute;mso-position-horizontal-relative:page;mso-position-vertical-relative:paragraph;z-index:46480" from="508.890015pt,-71.68644pt" to="523.890015pt,-71.68644pt" stroked="true" strokeweight=".25pt" strokecolor="#000000">
            <w10:wrap type="none"/>
          </v:line>
        </w:pict>
      </w:r>
      <w:r>
        <w:rPr>
          <w:color w:val="231F20"/>
        </w:rPr>
        <w:t>(la filosofía moral de </w:t>
      </w:r>
      <w:r>
        <w:rPr>
          <w:color w:val="231F20"/>
          <w:spacing w:val="-16"/>
        </w:rPr>
        <w:t>P. </w:t>
      </w:r>
      <w:r>
        <w:rPr>
          <w:color w:val="231F20"/>
        </w:rPr>
        <w:t>Ricoeur); como prácticas sociales cuya expresión responde al valor de modos de afiliación a un grupo, una sociedad o   como una forma de reconocerse y de poder interactuar, siendo las rela- ciones empíricas (las conversaciones diarias -a veces no reflexionadas-, los intercambios de miradas, el intercambio de gestos) y el cuerpo sus campos </w:t>
      </w:r>
      <w:r>
        <w:rPr>
          <w:color w:val="231F20"/>
          <w:spacing w:val="13"/>
        </w:rPr>
        <w:t> </w:t>
      </w:r>
      <w:r>
        <w:rPr>
          <w:color w:val="231F20"/>
        </w:rPr>
        <w:t>depositarios.</w:t>
      </w:r>
    </w:p>
    <w:p>
      <w:pPr>
        <w:pStyle w:val="BodyText"/>
        <w:spacing w:line="261" w:lineRule="auto" w:before="1"/>
        <w:ind w:left="1723" w:right="1834" w:firstLine="567"/>
        <w:jc w:val="both"/>
      </w:pPr>
      <w:r>
        <w:rPr>
          <w:color w:val="231F20"/>
          <w:w w:val="105"/>
        </w:rPr>
        <w:t>De una mirada humana e incluyente nos resulta la propuesta de la</w:t>
      </w:r>
      <w:r>
        <w:rPr>
          <w:color w:val="231F20"/>
          <w:spacing w:val="-7"/>
          <w:w w:val="105"/>
        </w:rPr>
        <w:t> </w:t>
      </w:r>
      <w:r>
        <w:rPr>
          <w:color w:val="231F20"/>
          <w:w w:val="105"/>
        </w:rPr>
        <w:t>perspectiva</w:t>
      </w:r>
      <w:r>
        <w:rPr>
          <w:color w:val="231F20"/>
          <w:spacing w:val="-7"/>
          <w:w w:val="105"/>
        </w:rPr>
        <w:t> </w:t>
      </w:r>
      <w:r>
        <w:rPr>
          <w:color w:val="231F20"/>
          <w:w w:val="105"/>
        </w:rPr>
        <w:t>de</w:t>
      </w:r>
      <w:r>
        <w:rPr>
          <w:color w:val="231F20"/>
          <w:spacing w:val="-7"/>
          <w:w w:val="105"/>
        </w:rPr>
        <w:t> </w:t>
      </w:r>
      <w:r>
        <w:rPr>
          <w:color w:val="231F20"/>
          <w:w w:val="105"/>
        </w:rPr>
        <w:t>género</w:t>
      </w:r>
      <w:r>
        <w:rPr>
          <w:color w:val="231F20"/>
          <w:spacing w:val="-7"/>
          <w:w w:val="105"/>
        </w:rPr>
        <w:t> </w:t>
      </w:r>
      <w:r>
        <w:rPr>
          <w:color w:val="231F20"/>
          <w:w w:val="105"/>
        </w:rPr>
        <w:t>dada</w:t>
      </w:r>
      <w:r>
        <w:rPr>
          <w:color w:val="231F20"/>
          <w:spacing w:val="-7"/>
          <w:w w:val="105"/>
        </w:rPr>
        <w:t> </w:t>
      </w:r>
      <w:r>
        <w:rPr>
          <w:color w:val="231F20"/>
          <w:w w:val="105"/>
        </w:rPr>
        <w:t>su</w:t>
      </w:r>
      <w:r>
        <w:rPr>
          <w:color w:val="231F20"/>
          <w:spacing w:val="-7"/>
          <w:w w:val="105"/>
        </w:rPr>
        <w:t> </w:t>
      </w:r>
      <w:r>
        <w:rPr>
          <w:color w:val="231F20"/>
          <w:w w:val="105"/>
        </w:rPr>
        <w:t>tendencia</w:t>
      </w:r>
      <w:r>
        <w:rPr>
          <w:color w:val="231F20"/>
          <w:spacing w:val="-7"/>
          <w:w w:val="105"/>
        </w:rPr>
        <w:t> </w:t>
      </w:r>
      <w:r>
        <w:rPr>
          <w:color w:val="231F20"/>
          <w:w w:val="105"/>
        </w:rPr>
        <w:t>a</w:t>
      </w:r>
      <w:r>
        <w:rPr>
          <w:color w:val="231F20"/>
          <w:spacing w:val="-7"/>
          <w:w w:val="105"/>
        </w:rPr>
        <w:t> </w:t>
      </w:r>
      <w:r>
        <w:rPr>
          <w:color w:val="231F20"/>
          <w:w w:val="105"/>
        </w:rPr>
        <w:t>reconocer</w:t>
      </w:r>
      <w:r>
        <w:rPr>
          <w:color w:val="231F20"/>
          <w:spacing w:val="-7"/>
          <w:w w:val="105"/>
        </w:rPr>
        <w:t> </w:t>
      </w:r>
      <w:r>
        <w:rPr>
          <w:color w:val="231F20"/>
          <w:w w:val="105"/>
        </w:rPr>
        <w:t>y</w:t>
      </w:r>
      <w:r>
        <w:rPr>
          <w:color w:val="231F20"/>
          <w:spacing w:val="-7"/>
          <w:w w:val="105"/>
        </w:rPr>
        <w:t> </w:t>
      </w:r>
      <w:r>
        <w:rPr>
          <w:color w:val="231F20"/>
          <w:w w:val="105"/>
        </w:rPr>
        <w:t>tomar</w:t>
      </w:r>
      <w:r>
        <w:rPr>
          <w:color w:val="231F20"/>
          <w:spacing w:val="-7"/>
          <w:w w:val="105"/>
        </w:rPr>
        <w:t> </w:t>
      </w:r>
      <w:r>
        <w:rPr>
          <w:color w:val="231F20"/>
          <w:w w:val="105"/>
        </w:rPr>
        <w:t>las</w:t>
      </w:r>
      <w:r>
        <w:rPr>
          <w:color w:val="231F20"/>
          <w:spacing w:val="-7"/>
          <w:w w:val="105"/>
        </w:rPr>
        <w:t> </w:t>
      </w:r>
      <w:r>
        <w:rPr>
          <w:color w:val="231F20"/>
          <w:w w:val="105"/>
        </w:rPr>
        <w:t>ex- periencias emocionales dentro de la integralidad del ser humano y de alcance</w:t>
      </w:r>
      <w:r>
        <w:rPr>
          <w:color w:val="231F20"/>
          <w:spacing w:val="-5"/>
          <w:w w:val="105"/>
        </w:rPr>
        <w:t> </w:t>
      </w:r>
      <w:r>
        <w:rPr>
          <w:color w:val="231F20"/>
          <w:w w:val="105"/>
        </w:rPr>
        <w:t>universal.</w:t>
      </w:r>
      <w:r>
        <w:rPr>
          <w:color w:val="231F20"/>
          <w:spacing w:val="-11"/>
          <w:w w:val="105"/>
        </w:rPr>
        <w:t> </w:t>
      </w:r>
      <w:r>
        <w:rPr>
          <w:color w:val="231F20"/>
          <w:w w:val="105"/>
        </w:rPr>
        <w:t>Poniendo</w:t>
      </w:r>
      <w:r>
        <w:rPr>
          <w:color w:val="231F20"/>
          <w:spacing w:val="-5"/>
          <w:w w:val="105"/>
        </w:rPr>
        <w:t> </w:t>
      </w:r>
      <w:r>
        <w:rPr>
          <w:color w:val="231F20"/>
          <w:w w:val="105"/>
        </w:rPr>
        <w:t>distancia</w:t>
      </w:r>
      <w:r>
        <w:rPr>
          <w:color w:val="231F20"/>
          <w:spacing w:val="-5"/>
          <w:w w:val="105"/>
        </w:rPr>
        <w:t> </w:t>
      </w:r>
      <w:r>
        <w:rPr>
          <w:color w:val="231F20"/>
          <w:w w:val="105"/>
        </w:rPr>
        <w:t>entre</w:t>
      </w:r>
      <w:r>
        <w:rPr>
          <w:color w:val="231F20"/>
          <w:spacing w:val="-5"/>
          <w:w w:val="105"/>
        </w:rPr>
        <w:t> </w:t>
      </w:r>
      <w:r>
        <w:rPr>
          <w:color w:val="231F20"/>
          <w:w w:val="105"/>
        </w:rPr>
        <w:t>aquello</w:t>
      </w:r>
      <w:r>
        <w:rPr>
          <w:color w:val="231F20"/>
          <w:spacing w:val="-5"/>
          <w:w w:val="105"/>
        </w:rPr>
        <w:t> </w:t>
      </w:r>
      <w:r>
        <w:rPr>
          <w:color w:val="231F20"/>
          <w:w w:val="105"/>
        </w:rPr>
        <w:t>que</w:t>
      </w:r>
      <w:r>
        <w:rPr>
          <w:color w:val="231F20"/>
          <w:spacing w:val="-5"/>
          <w:w w:val="105"/>
        </w:rPr>
        <w:t> </w:t>
      </w:r>
      <w:r>
        <w:rPr>
          <w:color w:val="231F20"/>
          <w:w w:val="105"/>
        </w:rPr>
        <w:t>limita</w:t>
      </w:r>
      <w:r>
        <w:rPr>
          <w:color w:val="231F20"/>
          <w:spacing w:val="-5"/>
          <w:w w:val="105"/>
        </w:rPr>
        <w:t> </w:t>
      </w:r>
      <w:r>
        <w:rPr>
          <w:color w:val="231F20"/>
          <w:w w:val="105"/>
        </w:rPr>
        <w:t>su</w:t>
      </w:r>
      <w:r>
        <w:rPr>
          <w:color w:val="231F20"/>
          <w:spacing w:val="-5"/>
          <w:w w:val="105"/>
        </w:rPr>
        <w:t> </w:t>
      </w:r>
      <w:r>
        <w:rPr>
          <w:color w:val="231F20"/>
          <w:w w:val="105"/>
        </w:rPr>
        <w:t>viven- cia y su expresión, acotándolo dentro de lo propio o inapropiado para hombres</w:t>
      </w:r>
      <w:r>
        <w:rPr>
          <w:color w:val="231F20"/>
          <w:spacing w:val="-21"/>
          <w:w w:val="105"/>
        </w:rPr>
        <w:t> </w:t>
      </w:r>
      <w:r>
        <w:rPr>
          <w:color w:val="231F20"/>
          <w:w w:val="105"/>
        </w:rPr>
        <w:t>y</w:t>
      </w:r>
      <w:r>
        <w:rPr>
          <w:color w:val="231F20"/>
          <w:spacing w:val="-21"/>
          <w:w w:val="105"/>
        </w:rPr>
        <w:t> </w:t>
      </w:r>
      <w:r>
        <w:rPr>
          <w:color w:val="231F20"/>
          <w:w w:val="105"/>
        </w:rPr>
        <w:t>mujeres.</w:t>
      </w:r>
      <w:r>
        <w:rPr>
          <w:color w:val="231F20"/>
          <w:spacing w:val="-25"/>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ha</w:t>
      </w:r>
      <w:r>
        <w:rPr>
          <w:color w:val="231F20"/>
          <w:spacing w:val="-21"/>
          <w:w w:val="105"/>
        </w:rPr>
        <w:t> </w:t>
      </w:r>
      <w:r>
        <w:rPr>
          <w:color w:val="231F20"/>
          <w:w w:val="105"/>
        </w:rPr>
        <w:t>habido</w:t>
      </w:r>
      <w:r>
        <w:rPr>
          <w:color w:val="231F20"/>
          <w:spacing w:val="-21"/>
          <w:w w:val="105"/>
        </w:rPr>
        <w:t> </w:t>
      </w:r>
      <w:r>
        <w:rPr>
          <w:color w:val="231F20"/>
          <w:w w:val="105"/>
        </w:rPr>
        <w:t>hasta</w:t>
      </w:r>
      <w:r>
        <w:rPr>
          <w:color w:val="231F20"/>
          <w:spacing w:val="-21"/>
          <w:w w:val="105"/>
        </w:rPr>
        <w:t> </w:t>
      </w:r>
      <w:r>
        <w:rPr>
          <w:color w:val="231F20"/>
          <w:w w:val="105"/>
        </w:rPr>
        <w:t>ahora,</w:t>
      </w:r>
      <w:r>
        <w:rPr>
          <w:color w:val="231F20"/>
          <w:spacing w:val="-25"/>
          <w:w w:val="105"/>
        </w:rPr>
        <w:t> </w:t>
      </w:r>
      <w:r>
        <w:rPr>
          <w:color w:val="231F20"/>
          <w:w w:val="105"/>
        </w:rPr>
        <w:t>según</w:t>
      </w:r>
      <w:r>
        <w:rPr>
          <w:color w:val="231F20"/>
          <w:spacing w:val="-21"/>
          <w:w w:val="105"/>
        </w:rPr>
        <w:t> </w:t>
      </w:r>
      <w:r>
        <w:rPr>
          <w:color w:val="231F20"/>
          <w:w w:val="105"/>
        </w:rPr>
        <w:t>esta</w:t>
      </w:r>
      <w:r>
        <w:rPr>
          <w:color w:val="231F20"/>
          <w:spacing w:val="-21"/>
          <w:w w:val="105"/>
        </w:rPr>
        <w:t> </w:t>
      </w:r>
      <w:r>
        <w:rPr>
          <w:color w:val="231F20"/>
          <w:w w:val="105"/>
        </w:rPr>
        <w:t>propuesta es la expresión de emociones masculinas y femeninas que permitían</w:t>
      </w:r>
      <w:r>
        <w:rPr>
          <w:color w:val="231F20"/>
          <w:spacing w:val="-37"/>
          <w:w w:val="105"/>
        </w:rPr>
        <w:t> </w:t>
      </w:r>
      <w:r>
        <w:rPr>
          <w:color w:val="231F20"/>
          <w:w w:val="105"/>
        </w:rPr>
        <w:t>el funcionamiento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vida</w:t>
      </w:r>
      <w:r>
        <w:rPr>
          <w:color w:val="231F20"/>
          <w:spacing w:val="-10"/>
          <w:w w:val="105"/>
        </w:rPr>
        <w:t> </w:t>
      </w:r>
      <w:r>
        <w:rPr>
          <w:color w:val="231F20"/>
          <w:w w:val="105"/>
        </w:rPr>
        <w:t>en</w:t>
      </w:r>
      <w:r>
        <w:rPr>
          <w:color w:val="231F20"/>
          <w:spacing w:val="-10"/>
          <w:w w:val="105"/>
        </w:rPr>
        <w:t> </w:t>
      </w:r>
      <w:r>
        <w:rPr>
          <w:color w:val="231F20"/>
          <w:w w:val="105"/>
        </w:rPr>
        <w:t>sociedad.</w:t>
      </w:r>
    </w:p>
    <w:p>
      <w:pPr>
        <w:pStyle w:val="BodyText"/>
        <w:spacing w:line="261" w:lineRule="auto" w:before="1"/>
        <w:ind w:left="1723" w:right="1835" w:firstLine="567"/>
        <w:jc w:val="both"/>
      </w:pPr>
      <w:r>
        <w:rPr>
          <w:spacing w:val="-3"/>
          <w:w w:val="105"/>
        </w:rPr>
        <w:t>Emociones</w:t>
      </w:r>
      <w:r>
        <w:rPr>
          <w:spacing w:val="-35"/>
          <w:w w:val="105"/>
        </w:rPr>
        <w:t> </w:t>
      </w:r>
      <w:r>
        <w:rPr>
          <w:spacing w:val="-3"/>
          <w:w w:val="105"/>
        </w:rPr>
        <w:t>asociadas</w:t>
      </w:r>
      <w:r>
        <w:rPr>
          <w:spacing w:val="-35"/>
          <w:w w:val="105"/>
        </w:rPr>
        <w:t> </w:t>
      </w:r>
      <w:r>
        <w:rPr>
          <w:w w:val="105"/>
        </w:rPr>
        <w:t>a</w:t>
      </w:r>
      <w:r>
        <w:rPr>
          <w:spacing w:val="-35"/>
          <w:w w:val="105"/>
        </w:rPr>
        <w:t> </w:t>
      </w:r>
      <w:r>
        <w:rPr>
          <w:w w:val="105"/>
        </w:rPr>
        <w:t>la</w:t>
      </w:r>
      <w:r>
        <w:rPr>
          <w:spacing w:val="-35"/>
          <w:w w:val="105"/>
        </w:rPr>
        <w:t> </w:t>
      </w:r>
      <w:r>
        <w:rPr>
          <w:spacing w:val="-3"/>
          <w:w w:val="105"/>
        </w:rPr>
        <w:t>valentía,</w:t>
      </w:r>
      <w:r>
        <w:rPr>
          <w:spacing w:val="-39"/>
          <w:w w:val="105"/>
        </w:rPr>
        <w:t> </w:t>
      </w:r>
      <w:r>
        <w:rPr>
          <w:w w:val="105"/>
        </w:rPr>
        <w:t>la</w:t>
      </w:r>
      <w:r>
        <w:rPr>
          <w:spacing w:val="-35"/>
          <w:w w:val="105"/>
        </w:rPr>
        <w:t> </w:t>
      </w:r>
      <w:r>
        <w:rPr>
          <w:spacing w:val="-3"/>
          <w:w w:val="105"/>
        </w:rPr>
        <w:t>confianza</w:t>
      </w:r>
      <w:r>
        <w:rPr>
          <w:spacing w:val="-35"/>
          <w:w w:val="105"/>
        </w:rPr>
        <w:t> </w:t>
      </w:r>
      <w:r>
        <w:rPr>
          <w:w w:val="105"/>
        </w:rPr>
        <w:t>en</w:t>
      </w:r>
      <w:r>
        <w:rPr>
          <w:spacing w:val="-35"/>
          <w:w w:val="105"/>
        </w:rPr>
        <w:t> </w:t>
      </w:r>
      <w:r>
        <w:rPr>
          <w:w w:val="105"/>
        </w:rPr>
        <w:t>sí</w:t>
      </w:r>
      <w:r>
        <w:rPr>
          <w:spacing w:val="-35"/>
          <w:w w:val="105"/>
        </w:rPr>
        <w:t> </w:t>
      </w:r>
      <w:r>
        <w:rPr>
          <w:spacing w:val="-3"/>
          <w:w w:val="105"/>
        </w:rPr>
        <w:t>mismo,</w:t>
      </w:r>
      <w:r>
        <w:rPr>
          <w:spacing w:val="-39"/>
          <w:w w:val="105"/>
        </w:rPr>
        <w:t> </w:t>
      </w:r>
      <w:r>
        <w:rPr>
          <w:w w:val="105"/>
        </w:rPr>
        <w:t>el</w:t>
      </w:r>
      <w:r>
        <w:rPr>
          <w:spacing w:val="-35"/>
          <w:w w:val="105"/>
        </w:rPr>
        <w:t> </w:t>
      </w:r>
      <w:r>
        <w:rPr>
          <w:spacing w:val="-4"/>
          <w:w w:val="105"/>
        </w:rPr>
        <w:t>coraje </w:t>
      </w:r>
      <w:r>
        <w:rPr>
          <w:w w:val="105"/>
        </w:rPr>
        <w:t>y la </w:t>
      </w:r>
      <w:r>
        <w:rPr>
          <w:spacing w:val="-3"/>
          <w:w w:val="105"/>
        </w:rPr>
        <w:t>fuerza interna </w:t>
      </w:r>
      <w:r>
        <w:rPr>
          <w:w w:val="105"/>
        </w:rPr>
        <w:t>son </w:t>
      </w:r>
      <w:r>
        <w:rPr>
          <w:spacing w:val="-3"/>
          <w:w w:val="105"/>
        </w:rPr>
        <w:t>evidentes </w:t>
      </w:r>
      <w:r>
        <w:rPr>
          <w:w w:val="105"/>
        </w:rPr>
        <w:t>en los </w:t>
      </w:r>
      <w:r>
        <w:rPr>
          <w:spacing w:val="-3"/>
          <w:w w:val="105"/>
        </w:rPr>
        <w:t>hombres, mientras sentimientos relacionados</w:t>
      </w:r>
      <w:r>
        <w:rPr>
          <w:spacing w:val="-12"/>
          <w:w w:val="105"/>
        </w:rPr>
        <w:t> </w:t>
      </w:r>
      <w:r>
        <w:rPr>
          <w:w w:val="105"/>
        </w:rPr>
        <w:t>con</w:t>
      </w:r>
      <w:r>
        <w:rPr>
          <w:spacing w:val="-12"/>
          <w:w w:val="105"/>
        </w:rPr>
        <w:t> </w:t>
      </w:r>
      <w:r>
        <w:rPr>
          <w:w w:val="105"/>
        </w:rPr>
        <w:t>la</w:t>
      </w:r>
      <w:r>
        <w:rPr>
          <w:spacing w:val="-12"/>
          <w:w w:val="105"/>
        </w:rPr>
        <w:t> </w:t>
      </w:r>
      <w:r>
        <w:rPr>
          <w:spacing w:val="-3"/>
          <w:w w:val="105"/>
        </w:rPr>
        <w:t>debilidad,</w:t>
      </w:r>
      <w:r>
        <w:rPr>
          <w:spacing w:val="-18"/>
          <w:w w:val="105"/>
        </w:rPr>
        <w:t> </w:t>
      </w:r>
      <w:r>
        <w:rPr>
          <w:w w:val="105"/>
        </w:rPr>
        <w:t>la</w:t>
      </w:r>
      <w:r>
        <w:rPr>
          <w:spacing w:val="-12"/>
          <w:w w:val="105"/>
        </w:rPr>
        <w:t> </w:t>
      </w:r>
      <w:r>
        <w:rPr>
          <w:spacing w:val="-3"/>
          <w:w w:val="105"/>
        </w:rPr>
        <w:t>emotividad,</w:t>
      </w:r>
      <w:r>
        <w:rPr>
          <w:spacing w:val="-18"/>
          <w:w w:val="105"/>
        </w:rPr>
        <w:t> </w:t>
      </w:r>
      <w:r>
        <w:rPr>
          <w:w w:val="105"/>
        </w:rPr>
        <w:t>la</w:t>
      </w:r>
      <w:r>
        <w:rPr>
          <w:spacing w:val="-12"/>
          <w:w w:val="105"/>
        </w:rPr>
        <w:t> </w:t>
      </w:r>
      <w:r>
        <w:rPr>
          <w:spacing w:val="-3"/>
          <w:w w:val="105"/>
        </w:rPr>
        <w:t>dulzura,</w:t>
      </w:r>
      <w:r>
        <w:rPr>
          <w:spacing w:val="-18"/>
          <w:w w:val="105"/>
        </w:rPr>
        <w:t> </w:t>
      </w:r>
      <w:r>
        <w:rPr>
          <w:w w:val="105"/>
        </w:rPr>
        <w:t>lo</w:t>
      </w:r>
      <w:r>
        <w:rPr>
          <w:spacing w:val="-12"/>
          <w:w w:val="105"/>
        </w:rPr>
        <w:t> </w:t>
      </w:r>
      <w:r>
        <w:rPr>
          <w:spacing w:val="-3"/>
          <w:w w:val="105"/>
        </w:rPr>
        <w:t>maternal</w:t>
      </w:r>
      <w:r>
        <w:rPr>
          <w:spacing w:val="-12"/>
          <w:w w:val="105"/>
        </w:rPr>
        <w:t> </w:t>
      </w:r>
      <w:r>
        <w:rPr>
          <w:w w:val="105"/>
        </w:rPr>
        <w:t>se</w:t>
      </w:r>
      <w:r>
        <w:rPr>
          <w:spacing w:val="-12"/>
          <w:w w:val="105"/>
        </w:rPr>
        <w:t> </w:t>
      </w:r>
      <w:r>
        <w:rPr>
          <w:spacing w:val="-3"/>
          <w:w w:val="105"/>
        </w:rPr>
        <w:t>re- conocen</w:t>
      </w:r>
      <w:r>
        <w:rPr>
          <w:spacing w:val="-12"/>
          <w:w w:val="105"/>
        </w:rPr>
        <w:t> </w:t>
      </w:r>
      <w:r>
        <w:rPr>
          <w:w w:val="105"/>
        </w:rPr>
        <w:t>en</w:t>
      </w:r>
      <w:r>
        <w:rPr>
          <w:spacing w:val="-12"/>
          <w:w w:val="105"/>
        </w:rPr>
        <w:t> </w:t>
      </w:r>
      <w:r>
        <w:rPr>
          <w:w w:val="105"/>
        </w:rPr>
        <w:t>las</w:t>
      </w:r>
      <w:r>
        <w:rPr>
          <w:spacing w:val="-12"/>
          <w:w w:val="105"/>
        </w:rPr>
        <w:t> </w:t>
      </w:r>
      <w:r>
        <w:rPr>
          <w:spacing w:val="-3"/>
          <w:w w:val="105"/>
        </w:rPr>
        <w:t>mujeres.</w:t>
      </w:r>
      <w:r>
        <w:rPr>
          <w:spacing w:val="-17"/>
          <w:w w:val="105"/>
        </w:rPr>
        <w:t> </w:t>
      </w:r>
      <w:r>
        <w:rPr>
          <w:w w:val="105"/>
        </w:rPr>
        <w:t>En</w:t>
      </w:r>
      <w:r>
        <w:rPr>
          <w:spacing w:val="-12"/>
          <w:w w:val="105"/>
        </w:rPr>
        <w:t> </w:t>
      </w:r>
      <w:r>
        <w:rPr>
          <w:w w:val="105"/>
        </w:rPr>
        <w:t>la</w:t>
      </w:r>
      <w:r>
        <w:rPr>
          <w:spacing w:val="-12"/>
          <w:w w:val="105"/>
        </w:rPr>
        <w:t> </w:t>
      </w:r>
      <w:r>
        <w:rPr>
          <w:spacing w:val="-3"/>
          <w:w w:val="105"/>
        </w:rPr>
        <w:t>práctica</w:t>
      </w:r>
      <w:r>
        <w:rPr>
          <w:spacing w:val="-12"/>
          <w:w w:val="105"/>
        </w:rPr>
        <w:t> </w:t>
      </w:r>
      <w:r>
        <w:rPr>
          <w:w w:val="105"/>
        </w:rPr>
        <w:t>la</w:t>
      </w:r>
      <w:r>
        <w:rPr>
          <w:spacing w:val="-12"/>
          <w:w w:val="105"/>
        </w:rPr>
        <w:t> </w:t>
      </w:r>
      <w:r>
        <w:rPr>
          <w:spacing w:val="-4"/>
          <w:w w:val="105"/>
        </w:rPr>
        <w:t>expresión</w:t>
      </w:r>
      <w:r>
        <w:rPr>
          <w:spacing w:val="-12"/>
          <w:w w:val="105"/>
        </w:rPr>
        <w:t> </w:t>
      </w:r>
      <w:r>
        <w:rPr>
          <w:w w:val="105"/>
        </w:rPr>
        <w:t>de</w:t>
      </w:r>
      <w:r>
        <w:rPr>
          <w:spacing w:val="-12"/>
          <w:w w:val="105"/>
        </w:rPr>
        <w:t> </w:t>
      </w:r>
      <w:r>
        <w:rPr>
          <w:w w:val="105"/>
        </w:rPr>
        <w:t>lo</w:t>
      </w:r>
      <w:r>
        <w:rPr>
          <w:spacing w:val="-12"/>
          <w:w w:val="105"/>
        </w:rPr>
        <w:t> </w:t>
      </w:r>
      <w:r>
        <w:rPr>
          <w:spacing w:val="-3"/>
          <w:w w:val="105"/>
        </w:rPr>
        <w:t>emocional</w:t>
      </w:r>
      <w:r>
        <w:rPr>
          <w:spacing w:val="-12"/>
          <w:w w:val="105"/>
        </w:rPr>
        <w:t> </w:t>
      </w:r>
      <w:r>
        <w:rPr>
          <w:spacing w:val="-3"/>
          <w:w w:val="105"/>
        </w:rPr>
        <w:t>pasa </w:t>
      </w:r>
      <w:r>
        <w:rPr>
          <w:w w:val="105"/>
        </w:rPr>
        <w:t>por</w:t>
      </w:r>
      <w:r>
        <w:rPr>
          <w:spacing w:val="-20"/>
          <w:w w:val="105"/>
        </w:rPr>
        <w:t> </w:t>
      </w:r>
      <w:r>
        <w:rPr>
          <w:w w:val="105"/>
        </w:rPr>
        <w:t>un</w:t>
      </w:r>
      <w:r>
        <w:rPr>
          <w:spacing w:val="-20"/>
          <w:w w:val="105"/>
        </w:rPr>
        <w:t> </w:t>
      </w:r>
      <w:r>
        <w:rPr>
          <w:spacing w:val="-3"/>
          <w:w w:val="105"/>
        </w:rPr>
        <w:t>conjunto</w:t>
      </w:r>
      <w:r>
        <w:rPr>
          <w:spacing w:val="-20"/>
          <w:w w:val="105"/>
        </w:rPr>
        <w:t> </w:t>
      </w:r>
      <w:r>
        <w:rPr>
          <w:w w:val="105"/>
        </w:rPr>
        <w:t>de</w:t>
      </w:r>
      <w:r>
        <w:rPr>
          <w:spacing w:val="-20"/>
          <w:w w:val="105"/>
        </w:rPr>
        <w:t> </w:t>
      </w:r>
      <w:r>
        <w:rPr>
          <w:spacing w:val="-3"/>
          <w:w w:val="105"/>
        </w:rPr>
        <w:t>ideas,</w:t>
      </w:r>
      <w:r>
        <w:rPr>
          <w:spacing w:val="-25"/>
          <w:w w:val="105"/>
        </w:rPr>
        <w:t> </w:t>
      </w:r>
      <w:r>
        <w:rPr>
          <w:spacing w:val="-3"/>
          <w:w w:val="105"/>
        </w:rPr>
        <w:t>discursos</w:t>
      </w:r>
      <w:r>
        <w:rPr>
          <w:spacing w:val="-20"/>
          <w:w w:val="105"/>
        </w:rPr>
        <w:t> </w:t>
      </w:r>
      <w:r>
        <w:rPr>
          <w:w w:val="105"/>
        </w:rPr>
        <w:t>y</w:t>
      </w:r>
      <w:r>
        <w:rPr>
          <w:spacing w:val="-20"/>
          <w:w w:val="105"/>
        </w:rPr>
        <w:t> </w:t>
      </w:r>
      <w:r>
        <w:rPr>
          <w:spacing w:val="-4"/>
          <w:w w:val="105"/>
        </w:rPr>
        <w:t>representaciones,</w:t>
      </w:r>
      <w:r>
        <w:rPr>
          <w:spacing w:val="-25"/>
          <w:w w:val="105"/>
        </w:rPr>
        <w:t> </w:t>
      </w:r>
      <w:r>
        <w:rPr>
          <w:spacing w:val="-3"/>
          <w:w w:val="105"/>
        </w:rPr>
        <w:t>dando</w:t>
      </w:r>
      <w:r>
        <w:rPr>
          <w:spacing w:val="-20"/>
          <w:w w:val="105"/>
        </w:rPr>
        <w:t> </w:t>
      </w:r>
      <w:r>
        <w:rPr>
          <w:spacing w:val="-3"/>
          <w:w w:val="105"/>
        </w:rPr>
        <w:t>lugar</w:t>
      </w:r>
      <w:r>
        <w:rPr>
          <w:spacing w:val="-20"/>
          <w:w w:val="105"/>
        </w:rPr>
        <w:t> </w:t>
      </w:r>
      <w:r>
        <w:rPr>
          <w:w w:val="105"/>
        </w:rPr>
        <w:t>a</w:t>
      </w:r>
      <w:r>
        <w:rPr>
          <w:spacing w:val="-20"/>
          <w:w w:val="105"/>
        </w:rPr>
        <w:t> </w:t>
      </w:r>
      <w:r>
        <w:rPr>
          <w:spacing w:val="-3"/>
          <w:w w:val="105"/>
        </w:rPr>
        <w:t>una sexualización</w:t>
      </w:r>
      <w:r>
        <w:rPr>
          <w:spacing w:val="-21"/>
          <w:w w:val="105"/>
        </w:rPr>
        <w:t> </w:t>
      </w:r>
      <w:r>
        <w:rPr>
          <w:w w:val="105"/>
        </w:rPr>
        <w:t>y</w:t>
      </w:r>
      <w:r>
        <w:rPr>
          <w:spacing w:val="-21"/>
          <w:w w:val="105"/>
        </w:rPr>
        <w:t> </w:t>
      </w:r>
      <w:r>
        <w:rPr>
          <w:w w:val="105"/>
        </w:rPr>
        <w:t>a</w:t>
      </w:r>
      <w:r>
        <w:rPr>
          <w:spacing w:val="-21"/>
          <w:w w:val="105"/>
        </w:rPr>
        <w:t> </w:t>
      </w:r>
      <w:r>
        <w:rPr>
          <w:w w:val="105"/>
        </w:rPr>
        <w:t>un</w:t>
      </w:r>
      <w:r>
        <w:rPr>
          <w:spacing w:val="-21"/>
          <w:w w:val="105"/>
        </w:rPr>
        <w:t> </w:t>
      </w:r>
      <w:r>
        <w:rPr>
          <w:spacing w:val="-3"/>
          <w:w w:val="105"/>
        </w:rPr>
        <w:t>estereotipo</w:t>
      </w:r>
      <w:r>
        <w:rPr>
          <w:spacing w:val="-21"/>
          <w:w w:val="105"/>
        </w:rPr>
        <w:t> </w:t>
      </w:r>
      <w:r>
        <w:rPr>
          <w:spacing w:val="-3"/>
          <w:w w:val="105"/>
        </w:rPr>
        <w:t>genérico</w:t>
      </w:r>
      <w:r>
        <w:rPr>
          <w:spacing w:val="-21"/>
          <w:w w:val="105"/>
        </w:rPr>
        <w:t> </w:t>
      </w:r>
      <w:r>
        <w:rPr>
          <w:w w:val="105"/>
        </w:rPr>
        <w:t>de</w:t>
      </w:r>
      <w:r>
        <w:rPr>
          <w:spacing w:val="-21"/>
          <w:w w:val="105"/>
        </w:rPr>
        <w:t> </w:t>
      </w:r>
      <w:r>
        <w:rPr>
          <w:spacing w:val="-3"/>
          <w:w w:val="105"/>
        </w:rPr>
        <w:t>sentimientos</w:t>
      </w:r>
      <w:r>
        <w:rPr>
          <w:spacing w:val="-21"/>
          <w:w w:val="105"/>
        </w:rPr>
        <w:t> </w:t>
      </w:r>
      <w:r>
        <w:rPr>
          <w:w w:val="105"/>
        </w:rPr>
        <w:t>y</w:t>
      </w:r>
      <w:r>
        <w:rPr>
          <w:spacing w:val="-21"/>
          <w:w w:val="105"/>
        </w:rPr>
        <w:t> </w:t>
      </w:r>
      <w:r>
        <w:rPr>
          <w:spacing w:val="-3"/>
          <w:w w:val="105"/>
        </w:rPr>
        <w:t>emociones.</w:t>
      </w:r>
    </w:p>
    <w:p>
      <w:pPr>
        <w:pStyle w:val="BodyText"/>
        <w:spacing w:line="261" w:lineRule="auto" w:before="1"/>
        <w:ind w:left="1723" w:right="1834" w:firstLine="567"/>
        <w:jc w:val="both"/>
      </w:pPr>
      <w:r>
        <w:rPr>
          <w:w w:val="105"/>
        </w:rPr>
        <w:t>En suma, las emociones son concebidas como instrumentos de dominación entre los sexos, pero también como ejes que estructuran sus relaciones, “lo que es </w:t>
      </w:r>
      <w:r>
        <w:rPr>
          <w:spacing w:val="-3"/>
          <w:w w:val="105"/>
        </w:rPr>
        <w:t>permitido”, </w:t>
      </w:r>
      <w:r>
        <w:rPr>
          <w:w w:val="105"/>
        </w:rPr>
        <w:t>aunque esto limite sus relaciones </w:t>
      </w:r>
      <w:r>
        <w:rPr>
          <w:spacing w:val="-4"/>
          <w:w w:val="105"/>
        </w:rPr>
        <w:t>y,</w:t>
      </w:r>
      <w:r>
        <w:rPr>
          <w:spacing w:val="-23"/>
          <w:w w:val="105"/>
        </w:rPr>
        <w:t> </w:t>
      </w:r>
      <w:r>
        <w:rPr>
          <w:w w:val="105"/>
        </w:rPr>
        <w:t>de</w:t>
      </w:r>
      <w:r>
        <w:rPr>
          <w:spacing w:val="-19"/>
          <w:w w:val="105"/>
        </w:rPr>
        <w:t> </w:t>
      </w:r>
      <w:r>
        <w:rPr>
          <w:w w:val="105"/>
        </w:rPr>
        <w:t>cierta</w:t>
      </w:r>
      <w:r>
        <w:rPr>
          <w:spacing w:val="-19"/>
          <w:w w:val="105"/>
        </w:rPr>
        <w:t> </w:t>
      </w:r>
      <w:r>
        <w:rPr>
          <w:w w:val="105"/>
        </w:rPr>
        <w:t>manera,</w:t>
      </w:r>
      <w:r>
        <w:rPr>
          <w:spacing w:val="-23"/>
          <w:w w:val="105"/>
        </w:rPr>
        <w:t> </w:t>
      </w:r>
      <w:r>
        <w:rPr>
          <w:w w:val="105"/>
        </w:rPr>
        <w:t>el</w:t>
      </w:r>
      <w:r>
        <w:rPr>
          <w:spacing w:val="-19"/>
          <w:w w:val="105"/>
        </w:rPr>
        <w:t> </w:t>
      </w:r>
      <w:r>
        <w:rPr>
          <w:w w:val="105"/>
        </w:rPr>
        <w:t>desempeño</w:t>
      </w:r>
      <w:r>
        <w:rPr>
          <w:spacing w:val="-19"/>
          <w:w w:val="105"/>
        </w:rPr>
        <w:t> </w:t>
      </w:r>
      <w:r>
        <w:rPr>
          <w:w w:val="105"/>
        </w:rPr>
        <w:t>de</w:t>
      </w:r>
      <w:r>
        <w:rPr>
          <w:spacing w:val="-19"/>
          <w:w w:val="105"/>
        </w:rPr>
        <w:t> </w:t>
      </w:r>
      <w:r>
        <w:rPr>
          <w:w w:val="105"/>
        </w:rPr>
        <w:t>las</w:t>
      </w:r>
      <w:r>
        <w:rPr>
          <w:spacing w:val="-19"/>
          <w:w w:val="105"/>
        </w:rPr>
        <w:t> </w:t>
      </w:r>
      <w:r>
        <w:rPr>
          <w:w w:val="105"/>
        </w:rPr>
        <w:t>actividades</w:t>
      </w:r>
      <w:r>
        <w:rPr>
          <w:spacing w:val="-19"/>
          <w:w w:val="105"/>
        </w:rPr>
        <w:t> </w:t>
      </w:r>
      <w:r>
        <w:rPr>
          <w:w w:val="105"/>
        </w:rPr>
        <w:t>cotidianas.</w:t>
      </w:r>
      <w:r>
        <w:rPr>
          <w:spacing w:val="-23"/>
          <w:w w:val="105"/>
        </w:rPr>
        <w:t> </w:t>
      </w:r>
      <w:r>
        <w:rPr>
          <w:w w:val="105"/>
        </w:rPr>
        <w:t>Con</w:t>
      </w:r>
      <w:r>
        <w:rPr>
          <w:spacing w:val="-19"/>
          <w:w w:val="105"/>
        </w:rPr>
        <w:t> </w:t>
      </w:r>
      <w:r>
        <w:rPr>
          <w:w w:val="105"/>
        </w:rPr>
        <w:t>es- tos argumentos podemos entender porque las emociones forman</w:t>
      </w:r>
      <w:r>
        <w:rPr>
          <w:spacing w:val="-20"/>
          <w:w w:val="105"/>
        </w:rPr>
        <w:t> </w:t>
      </w:r>
      <w:r>
        <w:rPr>
          <w:w w:val="105"/>
        </w:rPr>
        <w:t>parte de</w:t>
      </w:r>
      <w:r>
        <w:rPr>
          <w:spacing w:val="-20"/>
          <w:w w:val="105"/>
        </w:rPr>
        <w:t> </w:t>
      </w:r>
      <w:r>
        <w:rPr>
          <w:w w:val="105"/>
        </w:rPr>
        <w:t>las</w:t>
      </w:r>
      <w:r>
        <w:rPr>
          <w:spacing w:val="-20"/>
          <w:w w:val="105"/>
        </w:rPr>
        <w:t> </w:t>
      </w:r>
      <w:r>
        <w:rPr>
          <w:w w:val="105"/>
        </w:rPr>
        <w:t>principales</w:t>
      </w:r>
      <w:r>
        <w:rPr>
          <w:spacing w:val="-20"/>
          <w:w w:val="105"/>
        </w:rPr>
        <w:t> </w:t>
      </w:r>
      <w:r>
        <w:rPr>
          <w:w w:val="105"/>
        </w:rPr>
        <w:t>subestructuras</w:t>
      </w:r>
      <w:r>
        <w:rPr>
          <w:spacing w:val="-20"/>
          <w:w w:val="105"/>
        </w:rPr>
        <w:t> </w:t>
      </w:r>
      <w:r>
        <w:rPr>
          <w:w w:val="105"/>
        </w:rPr>
        <w:t>del</w:t>
      </w:r>
      <w:r>
        <w:rPr>
          <w:spacing w:val="-20"/>
          <w:w w:val="105"/>
        </w:rPr>
        <w:t> </w:t>
      </w:r>
      <w:r>
        <w:rPr>
          <w:w w:val="105"/>
        </w:rPr>
        <w:t>sistema</w:t>
      </w:r>
      <w:r>
        <w:rPr>
          <w:spacing w:val="-20"/>
          <w:w w:val="105"/>
        </w:rPr>
        <w:t> </w:t>
      </w:r>
      <w:r>
        <w:rPr>
          <w:w w:val="105"/>
        </w:rPr>
        <w:t>de</w:t>
      </w:r>
      <w:r>
        <w:rPr>
          <w:spacing w:val="-20"/>
          <w:w w:val="105"/>
        </w:rPr>
        <w:t> </w:t>
      </w:r>
      <w:r>
        <w:rPr>
          <w:w w:val="105"/>
        </w:rPr>
        <w:t>género,</w:t>
      </w:r>
      <w:r>
        <w:rPr>
          <w:spacing w:val="-25"/>
          <w:w w:val="105"/>
        </w:rPr>
        <w:t> </w:t>
      </w:r>
      <w:r>
        <w:rPr>
          <w:w w:val="105"/>
        </w:rPr>
        <w:t>mismas</w:t>
      </w:r>
      <w:r>
        <w:rPr>
          <w:spacing w:val="-20"/>
          <w:w w:val="105"/>
        </w:rPr>
        <w:t> </w:t>
      </w:r>
      <w:r>
        <w:rPr>
          <w:w w:val="105"/>
        </w:rPr>
        <w:t>que</w:t>
      </w:r>
      <w:r>
        <w:rPr>
          <w:spacing w:val="-20"/>
          <w:w w:val="105"/>
        </w:rPr>
        <w:t> </w:t>
      </w:r>
      <w:r>
        <w:rPr>
          <w:w w:val="105"/>
        </w:rPr>
        <w:t>ne- cesitan</w:t>
      </w:r>
      <w:r>
        <w:rPr>
          <w:spacing w:val="-7"/>
          <w:w w:val="105"/>
        </w:rPr>
        <w:t> </w:t>
      </w:r>
      <w:r>
        <w:rPr>
          <w:w w:val="105"/>
        </w:rPr>
        <w:t>ser</w:t>
      </w:r>
      <w:r>
        <w:rPr>
          <w:spacing w:val="-7"/>
          <w:w w:val="105"/>
        </w:rPr>
        <w:t> </w:t>
      </w:r>
      <w:r>
        <w:rPr>
          <w:w w:val="105"/>
        </w:rPr>
        <w:t>reorganizadas</w:t>
      </w:r>
      <w:r>
        <w:rPr>
          <w:spacing w:val="-7"/>
          <w:w w:val="105"/>
        </w:rPr>
        <w:t> </w:t>
      </w:r>
      <w:r>
        <w:rPr>
          <w:w w:val="105"/>
        </w:rPr>
        <w:t>y</w:t>
      </w:r>
      <w:r>
        <w:rPr>
          <w:spacing w:val="-7"/>
          <w:w w:val="105"/>
        </w:rPr>
        <w:t> </w:t>
      </w:r>
      <w:r>
        <w:rPr>
          <w:w w:val="105"/>
        </w:rPr>
        <w:t>defendidas</w:t>
      </w:r>
      <w:r>
        <w:rPr>
          <w:spacing w:val="-7"/>
          <w:w w:val="105"/>
        </w:rPr>
        <w:t> </w:t>
      </w:r>
      <w:r>
        <w:rPr>
          <w:w w:val="105"/>
        </w:rPr>
        <w:t>para</w:t>
      </w:r>
      <w:r>
        <w:rPr>
          <w:spacing w:val="-7"/>
          <w:w w:val="105"/>
        </w:rPr>
        <w:t> </w:t>
      </w:r>
      <w:r>
        <w:rPr>
          <w:w w:val="105"/>
        </w:rPr>
        <w:t>la</w:t>
      </w:r>
      <w:r>
        <w:rPr>
          <w:spacing w:val="-7"/>
          <w:w w:val="105"/>
        </w:rPr>
        <w:t> </w:t>
      </w:r>
      <w:r>
        <w:rPr>
          <w:w w:val="105"/>
        </w:rPr>
        <w:t>comprensión</w:t>
      </w:r>
      <w:r>
        <w:rPr>
          <w:spacing w:val="-7"/>
          <w:w w:val="105"/>
        </w:rPr>
        <w:t> </w:t>
      </w:r>
      <w:r>
        <w:rPr>
          <w:w w:val="105"/>
        </w:rPr>
        <w:t>integral</w:t>
      </w:r>
      <w:r>
        <w:rPr>
          <w:spacing w:val="-7"/>
          <w:w w:val="105"/>
        </w:rPr>
        <w:t> </w:t>
      </w:r>
      <w:r>
        <w:rPr>
          <w:w w:val="105"/>
        </w:rPr>
        <w:t>de otros</w:t>
      </w:r>
      <w:r>
        <w:rPr>
          <w:spacing w:val="-16"/>
          <w:w w:val="105"/>
        </w:rPr>
        <w:t> </w:t>
      </w:r>
      <w:r>
        <w:rPr>
          <w:w w:val="105"/>
        </w:rPr>
        <w:t>problemas</w:t>
      </w:r>
      <w:r>
        <w:rPr>
          <w:spacing w:val="-16"/>
          <w:w w:val="105"/>
        </w:rPr>
        <w:t> </w:t>
      </w:r>
      <w:r>
        <w:rPr>
          <w:w w:val="105"/>
        </w:rPr>
        <w:t>derivados</w:t>
      </w:r>
      <w:r>
        <w:rPr>
          <w:spacing w:val="-16"/>
          <w:w w:val="105"/>
        </w:rPr>
        <w:t> </w:t>
      </w:r>
      <w:r>
        <w:rPr>
          <w:w w:val="105"/>
        </w:rPr>
        <w:t>del</w:t>
      </w:r>
      <w:r>
        <w:rPr>
          <w:spacing w:val="-16"/>
          <w:w w:val="105"/>
        </w:rPr>
        <w:t> </w:t>
      </w:r>
      <w:r>
        <w:rPr>
          <w:w w:val="105"/>
        </w:rPr>
        <w:t>género</w:t>
      </w:r>
      <w:r>
        <w:rPr>
          <w:spacing w:val="-16"/>
          <w:w w:val="105"/>
        </w:rPr>
        <w:t> </w:t>
      </w:r>
      <w:r>
        <w:rPr>
          <w:w w:val="105"/>
        </w:rPr>
        <w:t>y</w:t>
      </w:r>
      <w:r>
        <w:rPr>
          <w:spacing w:val="-16"/>
          <w:w w:val="105"/>
        </w:rPr>
        <w:t> </w:t>
      </w:r>
      <w:r>
        <w:rPr>
          <w:w w:val="105"/>
        </w:rPr>
        <w:t>como</w:t>
      </w:r>
      <w:r>
        <w:rPr>
          <w:spacing w:val="-16"/>
          <w:w w:val="105"/>
        </w:rPr>
        <w:t> </w:t>
      </w:r>
      <w:r>
        <w:rPr>
          <w:w w:val="105"/>
        </w:rPr>
        <w:t>forma</w:t>
      </w:r>
      <w:r>
        <w:rPr>
          <w:spacing w:val="-16"/>
          <w:w w:val="105"/>
        </w:rPr>
        <w:t> </w:t>
      </w:r>
      <w:r>
        <w:rPr>
          <w:w w:val="105"/>
        </w:rPr>
        <w:t>de</w:t>
      </w:r>
      <w:r>
        <w:rPr>
          <w:spacing w:val="-16"/>
          <w:w w:val="105"/>
        </w:rPr>
        <w:t> </w:t>
      </w:r>
      <w:r>
        <w:rPr>
          <w:w w:val="105"/>
        </w:rPr>
        <w:t>cuestionamiento del ordenamiento desigual del mundo. Hablar de la organización de</w:t>
      </w:r>
      <w:r>
        <w:rPr>
          <w:spacing w:val="-25"/>
          <w:w w:val="105"/>
        </w:rPr>
        <w:t> </w:t>
      </w:r>
      <w:r>
        <w:rPr>
          <w:w w:val="105"/>
        </w:rPr>
        <w:t>las emociones</w:t>
      </w:r>
      <w:r>
        <w:rPr>
          <w:spacing w:val="-26"/>
          <w:w w:val="105"/>
        </w:rPr>
        <w:t> </w:t>
      </w:r>
      <w:r>
        <w:rPr>
          <w:w w:val="105"/>
        </w:rPr>
        <w:t>es</w:t>
      </w:r>
      <w:r>
        <w:rPr>
          <w:spacing w:val="-26"/>
          <w:w w:val="105"/>
        </w:rPr>
        <w:t> </w:t>
      </w:r>
      <w:r>
        <w:rPr>
          <w:w w:val="105"/>
        </w:rPr>
        <w:t>referirse</w:t>
      </w:r>
      <w:r>
        <w:rPr>
          <w:spacing w:val="-26"/>
          <w:w w:val="105"/>
        </w:rPr>
        <w:t> </w:t>
      </w:r>
      <w:r>
        <w:rPr>
          <w:w w:val="105"/>
        </w:rPr>
        <w:t>a</w:t>
      </w:r>
      <w:r>
        <w:rPr>
          <w:spacing w:val="-26"/>
          <w:w w:val="105"/>
        </w:rPr>
        <w:t> </w:t>
      </w:r>
      <w:r>
        <w:rPr>
          <w:w w:val="105"/>
        </w:rPr>
        <w:t>la</w:t>
      </w:r>
      <w:r>
        <w:rPr>
          <w:spacing w:val="-26"/>
          <w:w w:val="105"/>
        </w:rPr>
        <w:t> </w:t>
      </w:r>
      <w:r>
        <w:rPr>
          <w:w w:val="105"/>
        </w:rPr>
        <w:t>organización</w:t>
      </w:r>
      <w:r>
        <w:rPr>
          <w:spacing w:val="-26"/>
          <w:w w:val="105"/>
        </w:rPr>
        <w:t> </w:t>
      </w:r>
      <w:r>
        <w:rPr>
          <w:w w:val="105"/>
        </w:rPr>
        <w:t>de</w:t>
      </w:r>
      <w:r>
        <w:rPr>
          <w:spacing w:val="-26"/>
          <w:w w:val="105"/>
        </w:rPr>
        <w:t> </w:t>
      </w:r>
      <w:r>
        <w:rPr>
          <w:w w:val="105"/>
        </w:rPr>
        <w:t>los</w:t>
      </w:r>
      <w:r>
        <w:rPr>
          <w:spacing w:val="-26"/>
          <w:w w:val="105"/>
        </w:rPr>
        <w:t> </w:t>
      </w:r>
      <w:r>
        <w:rPr>
          <w:w w:val="105"/>
        </w:rPr>
        <w:t>sentimientos,</w:t>
      </w:r>
      <w:r>
        <w:rPr>
          <w:spacing w:val="-31"/>
          <w:w w:val="105"/>
        </w:rPr>
        <w:t> </w:t>
      </w:r>
      <w:r>
        <w:rPr>
          <w:w w:val="105"/>
        </w:rPr>
        <w:t>la</w:t>
      </w:r>
      <w:r>
        <w:rPr>
          <w:spacing w:val="-26"/>
          <w:w w:val="105"/>
        </w:rPr>
        <w:t> </w:t>
      </w:r>
      <w:r>
        <w:rPr>
          <w:w w:val="105"/>
        </w:rPr>
        <w:t>vida</w:t>
      </w:r>
      <w:r>
        <w:rPr>
          <w:spacing w:val="-26"/>
          <w:w w:val="105"/>
        </w:rPr>
        <w:t> </w:t>
      </w:r>
      <w:r>
        <w:rPr>
          <w:w w:val="105"/>
        </w:rPr>
        <w:t>afec- tiva,</w:t>
      </w:r>
      <w:r>
        <w:rPr>
          <w:spacing w:val="-24"/>
          <w:w w:val="105"/>
        </w:rPr>
        <w:t> </w:t>
      </w:r>
      <w:r>
        <w:rPr>
          <w:w w:val="105"/>
        </w:rPr>
        <w:t>la</w:t>
      </w:r>
      <w:r>
        <w:rPr>
          <w:spacing w:val="-19"/>
          <w:w w:val="105"/>
        </w:rPr>
        <w:t> </w:t>
      </w:r>
      <w:r>
        <w:rPr>
          <w:w w:val="105"/>
        </w:rPr>
        <w:t>sexualidad</w:t>
      </w:r>
      <w:r>
        <w:rPr>
          <w:spacing w:val="-19"/>
          <w:w w:val="105"/>
        </w:rPr>
        <w:t> </w:t>
      </w:r>
      <w:r>
        <w:rPr>
          <w:w w:val="105"/>
        </w:rPr>
        <w:t>y</w:t>
      </w:r>
      <w:r>
        <w:rPr>
          <w:spacing w:val="-19"/>
          <w:w w:val="105"/>
        </w:rPr>
        <w:t> </w:t>
      </w:r>
      <w:r>
        <w:rPr>
          <w:w w:val="105"/>
        </w:rPr>
        <w:t>el</w:t>
      </w:r>
      <w:r>
        <w:rPr>
          <w:spacing w:val="-19"/>
          <w:w w:val="105"/>
        </w:rPr>
        <w:t> </w:t>
      </w:r>
      <w:r>
        <w:rPr>
          <w:w w:val="105"/>
        </w:rPr>
        <w:t>cuerpo.</w:t>
      </w:r>
    </w:p>
    <w:p>
      <w:pPr>
        <w:pStyle w:val="BodyText"/>
        <w:spacing w:line="261" w:lineRule="auto" w:before="1"/>
        <w:ind w:left="1723" w:right="1828" w:firstLine="567"/>
        <w:jc w:val="both"/>
      </w:pPr>
      <w:r>
        <w:rPr>
          <w:color w:val="231F20"/>
          <w:w w:val="105"/>
        </w:rPr>
        <w:t>En otras palabras, para comprender la función de las emociones en las relaciones humanas, necesitamos verlas como resultado de una sociabilidad que ocurren en un lugar y tiempo determinado, y que co- rresponden al individuo en su complejidad. Es decir, las emociones tie- nen</w:t>
      </w:r>
      <w:r>
        <w:rPr>
          <w:color w:val="231F20"/>
          <w:spacing w:val="-5"/>
          <w:w w:val="105"/>
        </w:rPr>
        <w:t> </w:t>
      </w:r>
      <w:r>
        <w:rPr>
          <w:color w:val="231F20"/>
          <w:w w:val="105"/>
        </w:rPr>
        <w:t>cabida</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campo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vida</w:t>
      </w:r>
      <w:r>
        <w:rPr>
          <w:color w:val="231F20"/>
          <w:spacing w:val="-5"/>
          <w:w w:val="105"/>
        </w:rPr>
        <w:t> </w:t>
      </w:r>
      <w:r>
        <w:rPr>
          <w:color w:val="231F20"/>
          <w:w w:val="105"/>
        </w:rPr>
        <w:t>cotidiana,</w:t>
      </w:r>
      <w:r>
        <w:rPr>
          <w:color w:val="231F20"/>
          <w:spacing w:val="-11"/>
          <w:w w:val="105"/>
        </w:rPr>
        <w:t> </w:t>
      </w:r>
      <w:r>
        <w:rPr>
          <w:color w:val="231F20"/>
          <w:w w:val="105"/>
        </w:rPr>
        <w:t>ese</w:t>
      </w:r>
      <w:r>
        <w:rPr>
          <w:color w:val="231F20"/>
          <w:spacing w:val="-5"/>
          <w:w w:val="105"/>
        </w:rPr>
        <w:t> </w:t>
      </w:r>
      <w:r>
        <w:rPr>
          <w:color w:val="231F20"/>
          <w:w w:val="105"/>
        </w:rPr>
        <w:t>espacio</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puede ser asimilado por la organización territorial de las distintas sociedades, sino</w:t>
      </w:r>
      <w:r>
        <w:rPr>
          <w:color w:val="231F20"/>
          <w:spacing w:val="-16"/>
          <w:w w:val="105"/>
        </w:rPr>
        <w:t> </w:t>
      </w:r>
      <w:r>
        <w:rPr>
          <w:color w:val="231F20"/>
          <w:w w:val="105"/>
        </w:rPr>
        <w:t>aquel</w:t>
      </w:r>
      <w:r>
        <w:rPr>
          <w:color w:val="231F20"/>
          <w:spacing w:val="-16"/>
          <w:w w:val="105"/>
        </w:rPr>
        <w:t> </w:t>
      </w:r>
      <w:r>
        <w:rPr>
          <w:color w:val="231F20"/>
          <w:w w:val="105"/>
        </w:rPr>
        <w:t>que</w:t>
      </w:r>
      <w:r>
        <w:rPr>
          <w:color w:val="231F20"/>
          <w:spacing w:val="-16"/>
          <w:w w:val="105"/>
        </w:rPr>
        <w:t> </w:t>
      </w:r>
      <w:r>
        <w:rPr>
          <w:color w:val="231F20"/>
          <w:w w:val="105"/>
        </w:rPr>
        <w:t>es</w:t>
      </w:r>
      <w:r>
        <w:rPr>
          <w:color w:val="231F20"/>
          <w:spacing w:val="-16"/>
          <w:w w:val="105"/>
        </w:rPr>
        <w:t> </w:t>
      </w:r>
      <w:r>
        <w:rPr>
          <w:color w:val="231F20"/>
          <w:w w:val="105"/>
        </w:rPr>
        <w:t>llevado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radio</w:t>
      </w:r>
      <w:r>
        <w:rPr>
          <w:color w:val="231F20"/>
          <w:spacing w:val="-16"/>
          <w:w w:val="105"/>
        </w:rPr>
        <w:t> </w:t>
      </w:r>
      <w:r>
        <w:rPr>
          <w:color w:val="231F20"/>
          <w:w w:val="105"/>
        </w:rPr>
        <w:t>de</w:t>
      </w:r>
      <w:r>
        <w:rPr>
          <w:color w:val="231F20"/>
          <w:spacing w:val="-16"/>
          <w:w w:val="105"/>
        </w:rPr>
        <w:t> </w:t>
      </w:r>
      <w:r>
        <w:rPr>
          <w:color w:val="231F20"/>
          <w:w w:val="105"/>
        </w:rPr>
        <w:t>acción,</w:t>
      </w:r>
      <w:r>
        <w:rPr>
          <w:color w:val="231F20"/>
          <w:spacing w:val="-22"/>
          <w:w w:val="105"/>
        </w:rPr>
        <w:t> </w:t>
      </w:r>
      <w:r>
        <w:rPr>
          <w:color w:val="231F20"/>
          <w:w w:val="105"/>
        </w:rPr>
        <w:t>referencia,</w:t>
      </w:r>
      <w:r>
        <w:rPr>
          <w:color w:val="231F20"/>
          <w:spacing w:val="-22"/>
          <w:w w:val="105"/>
        </w:rPr>
        <w:t> </w:t>
      </w:r>
      <w:r>
        <w:rPr>
          <w:color w:val="231F20"/>
          <w:w w:val="105"/>
        </w:rPr>
        <w:t>sentido</w:t>
      </w:r>
      <w:r>
        <w:rPr>
          <w:color w:val="231F20"/>
          <w:spacing w:val="-16"/>
          <w:w w:val="105"/>
        </w:rPr>
        <w:t> </w:t>
      </w:r>
      <w:r>
        <w:rPr>
          <w:color w:val="231F20"/>
          <w:w w:val="105"/>
        </w:rPr>
        <w:t>y</w:t>
      </w:r>
      <w:r>
        <w:rPr>
          <w:color w:val="231F20"/>
          <w:spacing w:val="-16"/>
          <w:w w:val="105"/>
        </w:rPr>
        <w:t> </w:t>
      </w:r>
      <w:r>
        <w:rPr>
          <w:color w:val="231F20"/>
          <w:w w:val="105"/>
        </w:rPr>
        <w:t>per- tenencia del individuo: el espacio egocéntrico. Espacio ya identificado por la geografía feminista desde hace tiempo al problematizar las emo- ciones</w:t>
      </w:r>
      <w:r>
        <w:rPr>
          <w:color w:val="231F20"/>
          <w:spacing w:val="-17"/>
          <w:w w:val="105"/>
        </w:rPr>
        <w:t> </w:t>
      </w:r>
      <w:r>
        <w:rPr>
          <w:color w:val="231F20"/>
          <w:w w:val="105"/>
        </w:rPr>
        <w:t>partiendo</w:t>
      </w:r>
      <w:r>
        <w:rPr>
          <w:color w:val="231F20"/>
          <w:spacing w:val="-17"/>
          <w:w w:val="105"/>
        </w:rPr>
        <w:t> </w:t>
      </w:r>
      <w:r>
        <w:rPr>
          <w:color w:val="231F20"/>
          <w:w w:val="105"/>
        </w:rPr>
        <w:t>del</w:t>
      </w:r>
      <w:r>
        <w:rPr>
          <w:color w:val="231F20"/>
          <w:spacing w:val="-17"/>
          <w:w w:val="105"/>
        </w:rPr>
        <w:t> </w:t>
      </w:r>
      <w:r>
        <w:rPr>
          <w:color w:val="231F20"/>
          <w:w w:val="105"/>
        </w:rPr>
        <w:t>espacio</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cuerpo,</w:t>
      </w:r>
      <w:r>
        <w:rPr>
          <w:color w:val="231F20"/>
          <w:spacing w:val="-23"/>
          <w:w w:val="105"/>
        </w:rPr>
        <w:t> </w:t>
      </w:r>
      <w:r>
        <w:rPr>
          <w:color w:val="231F20"/>
          <w:w w:val="105"/>
        </w:rPr>
        <w:t>como</w:t>
      </w:r>
      <w:r>
        <w:rPr>
          <w:color w:val="231F20"/>
          <w:spacing w:val="-17"/>
          <w:w w:val="105"/>
        </w:rPr>
        <w:t> </w:t>
      </w:r>
      <w:r>
        <w:rPr>
          <w:color w:val="231F20"/>
          <w:w w:val="105"/>
        </w:rPr>
        <w:t>dimensiones</w:t>
      </w:r>
      <w:r>
        <w:rPr>
          <w:color w:val="231F20"/>
          <w:spacing w:val="-17"/>
          <w:w w:val="105"/>
        </w:rPr>
        <w:t> </w:t>
      </w:r>
      <w:r>
        <w:rPr>
          <w:color w:val="231F20"/>
          <w:w w:val="105"/>
        </w:rPr>
        <w:t>de</w:t>
      </w:r>
      <w:r>
        <w:rPr>
          <w:color w:val="231F20"/>
          <w:spacing w:val="-17"/>
          <w:w w:val="105"/>
        </w:rPr>
        <w:t> </w:t>
      </w:r>
      <w:r>
        <w:rPr>
          <w:color w:val="231F20"/>
          <w:w w:val="105"/>
        </w:rPr>
        <w:t>lo</w:t>
      </w:r>
      <w:r>
        <w:rPr>
          <w:color w:val="231F20"/>
          <w:spacing w:val="-17"/>
          <w:w w:val="105"/>
        </w:rPr>
        <w:t> </w:t>
      </w:r>
      <w:r>
        <w:rPr>
          <w:color w:val="231F20"/>
          <w:w w:val="105"/>
        </w:rPr>
        <w:t>social. En</w:t>
      </w:r>
      <w:r>
        <w:rPr>
          <w:color w:val="231F20"/>
          <w:spacing w:val="-15"/>
          <w:w w:val="105"/>
        </w:rPr>
        <w:t> </w:t>
      </w:r>
      <w:r>
        <w:rPr>
          <w:color w:val="231F20"/>
          <w:w w:val="105"/>
        </w:rPr>
        <w:t>este</w:t>
      </w:r>
      <w:r>
        <w:rPr>
          <w:color w:val="231F20"/>
          <w:spacing w:val="-15"/>
          <w:w w:val="105"/>
        </w:rPr>
        <w:t> </w:t>
      </w:r>
      <w:r>
        <w:rPr>
          <w:color w:val="231F20"/>
          <w:w w:val="105"/>
        </w:rPr>
        <w:t>sentido</w:t>
      </w:r>
      <w:r>
        <w:rPr>
          <w:color w:val="231F20"/>
          <w:spacing w:val="-15"/>
          <w:w w:val="105"/>
        </w:rPr>
        <w:t> </w:t>
      </w:r>
      <w:r>
        <w:rPr>
          <w:color w:val="231F20"/>
          <w:w w:val="105"/>
        </w:rPr>
        <w:t>el</w:t>
      </w:r>
      <w:r>
        <w:rPr>
          <w:color w:val="231F20"/>
          <w:spacing w:val="-15"/>
          <w:w w:val="105"/>
        </w:rPr>
        <w:t> </w:t>
      </w:r>
      <w:r>
        <w:rPr>
          <w:color w:val="231F20"/>
          <w:w w:val="105"/>
        </w:rPr>
        <w:t>individuo</w:t>
      </w:r>
      <w:r>
        <w:rPr>
          <w:color w:val="231F20"/>
          <w:spacing w:val="-15"/>
          <w:w w:val="105"/>
        </w:rPr>
        <w:t> </w:t>
      </w:r>
      <w:r>
        <w:rPr>
          <w:color w:val="231F20"/>
          <w:w w:val="105"/>
        </w:rPr>
        <w:t>sería</w:t>
      </w:r>
      <w:r>
        <w:rPr>
          <w:color w:val="231F20"/>
          <w:spacing w:val="-15"/>
          <w:w w:val="105"/>
        </w:rPr>
        <w:t> </w:t>
      </w:r>
      <w:r>
        <w:rPr>
          <w:color w:val="231F20"/>
          <w:w w:val="105"/>
        </w:rPr>
        <w:t>una</w:t>
      </w:r>
      <w:r>
        <w:rPr>
          <w:color w:val="231F20"/>
          <w:spacing w:val="-15"/>
          <w:w w:val="105"/>
        </w:rPr>
        <w:t> </w:t>
      </w:r>
      <w:r>
        <w:rPr>
          <w:color w:val="231F20"/>
          <w:w w:val="105"/>
        </w:rPr>
        <w:t>entidad</w:t>
      </w:r>
      <w:r>
        <w:rPr>
          <w:color w:val="231F20"/>
          <w:spacing w:val="-15"/>
          <w:w w:val="105"/>
        </w:rPr>
        <w:t> </w:t>
      </w:r>
      <w:r>
        <w:rPr>
          <w:color w:val="231F20"/>
          <w:w w:val="105"/>
        </w:rPr>
        <w:t>espacial</w:t>
      </w:r>
      <w:r>
        <w:rPr>
          <w:color w:val="231F20"/>
          <w:spacing w:val="-15"/>
          <w:w w:val="105"/>
        </w:rPr>
        <w:t> </w:t>
      </w:r>
      <w:r>
        <w:rPr>
          <w:color w:val="231F20"/>
          <w:w w:val="105"/>
        </w:rPr>
        <w:t>(Soja</w:t>
      </w:r>
      <w:r>
        <w:rPr>
          <w:color w:val="231F20"/>
          <w:spacing w:val="-15"/>
          <w:w w:val="105"/>
        </w:rPr>
        <w:t> </w:t>
      </w:r>
      <w:r>
        <w:rPr>
          <w:color w:val="231F20"/>
          <w:w w:val="105"/>
        </w:rPr>
        <w:t>en</w:t>
      </w:r>
      <w:r>
        <w:rPr>
          <w:color w:val="231F20"/>
          <w:spacing w:val="-19"/>
          <w:w w:val="105"/>
        </w:rPr>
        <w:t> </w:t>
      </w:r>
      <w:r>
        <w:rPr>
          <w:color w:val="231F20"/>
          <w:w w:val="105"/>
        </w:rPr>
        <w:t>Aguilar</w:t>
      </w:r>
      <w:r>
        <w:rPr>
          <w:color w:val="231F20"/>
          <w:spacing w:val="-15"/>
          <w:w w:val="105"/>
        </w:rPr>
        <w:t> </w:t>
      </w:r>
      <w:r>
        <w:rPr>
          <w:color w:val="231F20"/>
          <w:w w:val="105"/>
        </w:rPr>
        <w:t>y</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3752" from="131.551193pt,3.703715pt" to="131.551193pt,39.506114pt" stroked="true" strokeweight=".35pt" strokecolor="#231f20">
            <w10:wrap type="none"/>
          </v:line>
        </w:pict>
      </w:r>
      <w:r>
        <w:rPr/>
        <w:pict>
          <v:line style="position:absolute;mso-position-horizontal-relative:page;mso-position-vertical-relative:paragraph;z-index:-443680" from="15pt,39.505917pt" to="0pt,39.505917pt" stroked="true" strokeweight=".25pt" strokecolor="#000000">
            <w10:wrap type="none"/>
          </v:line>
        </w:pict>
      </w:r>
      <w:r>
        <w:rPr/>
        <w:pict>
          <v:line style="position:absolute;mso-position-horizontal-relative:page;mso-position-vertical-relative:paragraph;z-index:46528" from="508.890015pt,39.505917pt" to="523.890015pt,39.505917pt" stroked="true" strokeweight=".25pt" strokecolor="#000000">
            <w10:wrap type="none"/>
          </v:line>
        </w:pict>
      </w:r>
      <w:r>
        <w:rPr>
          <w:rFonts w:ascii="Arial" w:hAnsi="Arial"/>
          <w:color w:val="414042"/>
          <w:w w:val="105"/>
          <w:position w:val="-5"/>
          <w:sz w:val="20"/>
        </w:rPr>
        <w:t>402</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655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6576" from="15pt,-28.286539pt" to="0pt,-28.286539pt" stroked="true" strokeweight=".25pt" strokecolor="#000000">
            <w10:wrap type="none"/>
          </v:line>
        </w:pict>
      </w:r>
      <w:r>
        <w:rPr/>
        <w:pict>
          <v:line style="position:absolute;mso-position-horizontal-relative:page;mso-position-vertical-relative:paragraph;z-index:46600" from="508.890015pt,-28.286539pt" to="523.890015pt,-28.286539pt" stroked="true" strokeweight=".25pt" strokecolor="#000000">
            <w10:wrap type="none"/>
          </v:line>
        </w:pict>
      </w:r>
      <w:r>
        <w:rPr>
          <w:rFonts w:ascii="Arial"/>
          <w:color w:val="414042"/>
          <w:sz w:val="20"/>
        </w:rPr>
        <w:t>403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15"/>
        <w:jc w:val="both"/>
      </w:pPr>
      <w:r>
        <w:rPr>
          <w:color w:val="231F20"/>
          <w:w w:val="105"/>
        </w:rPr>
        <w:t>Soto,</w:t>
      </w:r>
      <w:r>
        <w:rPr>
          <w:color w:val="231F20"/>
          <w:spacing w:val="-23"/>
          <w:w w:val="105"/>
        </w:rPr>
        <w:t> </w:t>
      </w:r>
      <w:r>
        <w:rPr>
          <w:color w:val="231F20"/>
          <w:w w:val="105"/>
        </w:rPr>
        <w:t>2013)</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envuelve</w:t>
      </w:r>
      <w:r>
        <w:rPr>
          <w:color w:val="231F20"/>
          <w:spacing w:val="-19"/>
          <w:w w:val="105"/>
        </w:rPr>
        <w:t> </w:t>
      </w:r>
      <w:r>
        <w:rPr>
          <w:color w:val="231F20"/>
          <w:w w:val="105"/>
        </w:rPr>
        <w:t>en</w:t>
      </w:r>
      <w:r>
        <w:rPr>
          <w:color w:val="231F20"/>
          <w:spacing w:val="-19"/>
          <w:w w:val="105"/>
        </w:rPr>
        <w:t> </w:t>
      </w:r>
      <w:r>
        <w:rPr>
          <w:color w:val="231F20"/>
          <w:w w:val="105"/>
        </w:rPr>
        <w:t>complejas</w:t>
      </w:r>
      <w:r>
        <w:rPr>
          <w:color w:val="231F20"/>
          <w:spacing w:val="-19"/>
          <w:w w:val="105"/>
        </w:rPr>
        <w:t> </w:t>
      </w:r>
      <w:r>
        <w:rPr>
          <w:color w:val="231F20"/>
          <w:w w:val="105"/>
        </w:rPr>
        <w:t>relaciones</w:t>
      </w:r>
      <w:r>
        <w:rPr>
          <w:color w:val="231F20"/>
          <w:spacing w:val="-19"/>
          <w:w w:val="105"/>
        </w:rPr>
        <w:t> </w:t>
      </w:r>
      <w:r>
        <w:rPr>
          <w:color w:val="231F20"/>
          <w:w w:val="105"/>
        </w:rPr>
        <w:t>con</w:t>
      </w:r>
      <w:r>
        <w:rPr>
          <w:color w:val="231F20"/>
          <w:spacing w:val="-19"/>
          <w:w w:val="105"/>
        </w:rPr>
        <w:t> </w:t>
      </w:r>
      <w:r>
        <w:rPr>
          <w:color w:val="231F20"/>
          <w:w w:val="105"/>
        </w:rPr>
        <w:t>su</w:t>
      </w:r>
      <w:r>
        <w:rPr>
          <w:color w:val="231F20"/>
          <w:spacing w:val="-19"/>
          <w:w w:val="105"/>
        </w:rPr>
        <w:t> </w:t>
      </w:r>
      <w:r>
        <w:rPr>
          <w:color w:val="231F20"/>
          <w:w w:val="105"/>
        </w:rPr>
        <w:t>entorno.</w:t>
      </w:r>
      <w:r>
        <w:rPr>
          <w:color w:val="231F20"/>
          <w:spacing w:val="-23"/>
          <w:w w:val="105"/>
        </w:rPr>
        <w:t> </w:t>
      </w:r>
      <w:r>
        <w:rPr>
          <w:color w:val="231F20"/>
          <w:w w:val="105"/>
        </w:rPr>
        <w:t>En resumen,</w:t>
      </w:r>
      <w:r>
        <w:rPr>
          <w:color w:val="231F20"/>
          <w:spacing w:val="-16"/>
          <w:w w:val="105"/>
        </w:rPr>
        <w:t> </w:t>
      </w:r>
      <w:r>
        <w:rPr>
          <w:color w:val="231F20"/>
          <w:w w:val="105"/>
        </w:rPr>
        <w:t>el</w:t>
      </w:r>
      <w:r>
        <w:rPr>
          <w:color w:val="231F20"/>
          <w:spacing w:val="-11"/>
          <w:w w:val="105"/>
        </w:rPr>
        <w:t> </w:t>
      </w:r>
      <w:r>
        <w:rPr>
          <w:color w:val="231F20"/>
          <w:w w:val="105"/>
        </w:rPr>
        <w:t>cuerpo</w:t>
      </w:r>
      <w:r>
        <w:rPr>
          <w:color w:val="231F20"/>
          <w:spacing w:val="-11"/>
          <w:w w:val="105"/>
        </w:rPr>
        <w:t> </w:t>
      </w:r>
      <w:r>
        <w:rPr>
          <w:color w:val="231F20"/>
          <w:w w:val="105"/>
        </w:rPr>
        <w:t>sería</w:t>
      </w:r>
      <w:r>
        <w:rPr>
          <w:color w:val="231F20"/>
          <w:spacing w:val="-11"/>
          <w:w w:val="105"/>
        </w:rPr>
        <w:t> </w:t>
      </w:r>
      <w:r>
        <w:rPr>
          <w:color w:val="231F20"/>
          <w:w w:val="105"/>
        </w:rPr>
        <w:t>el</w:t>
      </w:r>
      <w:r>
        <w:rPr>
          <w:color w:val="231F20"/>
          <w:spacing w:val="-11"/>
          <w:w w:val="105"/>
        </w:rPr>
        <w:t> </w:t>
      </w:r>
      <w:r>
        <w:rPr>
          <w:color w:val="231F20"/>
          <w:w w:val="105"/>
        </w:rPr>
        <w:t>mejor</w:t>
      </w:r>
      <w:r>
        <w:rPr>
          <w:color w:val="231F20"/>
          <w:spacing w:val="-11"/>
          <w:w w:val="105"/>
        </w:rPr>
        <w:t> </w:t>
      </w:r>
      <w:r>
        <w:rPr>
          <w:color w:val="231F20"/>
          <w:w w:val="105"/>
        </w:rPr>
        <w:t>lugar</w:t>
      </w:r>
      <w:r>
        <w:rPr>
          <w:color w:val="231F20"/>
          <w:spacing w:val="-11"/>
          <w:w w:val="105"/>
        </w:rPr>
        <w:t> </w:t>
      </w:r>
      <w:r>
        <w:rPr>
          <w:color w:val="231F20"/>
          <w:w w:val="105"/>
        </w:rPr>
        <w:t>para</w:t>
      </w:r>
      <w:r>
        <w:rPr>
          <w:color w:val="231F20"/>
          <w:spacing w:val="-11"/>
          <w:w w:val="105"/>
        </w:rPr>
        <w:t> </w:t>
      </w:r>
      <w:r>
        <w:rPr>
          <w:color w:val="231F20"/>
          <w:w w:val="105"/>
        </w:rPr>
        <w:t>vivir</w:t>
      </w:r>
      <w:r>
        <w:rPr>
          <w:color w:val="231F20"/>
          <w:spacing w:val="-11"/>
          <w:w w:val="105"/>
        </w:rPr>
        <w:t> </w:t>
      </w:r>
      <w:r>
        <w:rPr>
          <w:color w:val="231F20"/>
          <w:w w:val="105"/>
        </w:rPr>
        <w:t>y</w:t>
      </w:r>
      <w:r>
        <w:rPr>
          <w:color w:val="231F20"/>
          <w:spacing w:val="-11"/>
          <w:w w:val="105"/>
        </w:rPr>
        <w:t> </w:t>
      </w:r>
      <w:r>
        <w:rPr>
          <w:color w:val="231F20"/>
          <w:w w:val="105"/>
        </w:rPr>
        <w:t>expresar</w:t>
      </w:r>
      <w:r>
        <w:rPr>
          <w:color w:val="231F20"/>
          <w:spacing w:val="-11"/>
          <w:w w:val="105"/>
        </w:rPr>
        <w:t> </w:t>
      </w:r>
      <w:r>
        <w:rPr>
          <w:color w:val="231F20"/>
          <w:w w:val="105"/>
        </w:rPr>
        <w:t>las</w:t>
      </w:r>
      <w:r>
        <w:rPr>
          <w:color w:val="231F20"/>
          <w:spacing w:val="-11"/>
          <w:w w:val="105"/>
        </w:rPr>
        <w:t> </w:t>
      </w:r>
      <w:r>
        <w:rPr>
          <w:color w:val="231F20"/>
          <w:w w:val="105"/>
        </w:rPr>
        <w:t>emocio- nes, entendiendo que éstas pasan a formar parte de la corporalidad, al presentarse</w:t>
      </w:r>
      <w:r>
        <w:rPr>
          <w:color w:val="231F20"/>
          <w:spacing w:val="-9"/>
          <w:w w:val="105"/>
        </w:rPr>
        <w:t> </w:t>
      </w:r>
      <w:r>
        <w:rPr>
          <w:color w:val="231F20"/>
          <w:w w:val="105"/>
        </w:rPr>
        <w:t>como</w:t>
      </w:r>
      <w:r>
        <w:rPr>
          <w:color w:val="231F20"/>
          <w:spacing w:val="-9"/>
          <w:w w:val="105"/>
        </w:rPr>
        <w:t> </w:t>
      </w:r>
      <w:r>
        <w:rPr>
          <w:color w:val="231F20"/>
          <w:w w:val="105"/>
        </w:rPr>
        <w:t>individualidades</w:t>
      </w:r>
      <w:r>
        <w:rPr>
          <w:color w:val="231F20"/>
          <w:spacing w:val="-9"/>
          <w:w w:val="105"/>
        </w:rPr>
        <w:t> </w:t>
      </w:r>
      <w:r>
        <w:rPr>
          <w:color w:val="231F20"/>
          <w:w w:val="105"/>
        </w:rPr>
        <w:t>y</w:t>
      </w:r>
      <w:r>
        <w:rPr>
          <w:color w:val="231F20"/>
          <w:spacing w:val="-9"/>
          <w:w w:val="105"/>
        </w:rPr>
        <w:t> </w:t>
      </w:r>
      <w:r>
        <w:rPr>
          <w:color w:val="231F20"/>
          <w:w w:val="105"/>
        </w:rPr>
        <w:t>como</w:t>
      </w:r>
      <w:r>
        <w:rPr>
          <w:color w:val="231F20"/>
          <w:spacing w:val="-9"/>
          <w:w w:val="105"/>
        </w:rPr>
        <w:t> </w:t>
      </w:r>
      <w:r>
        <w:rPr>
          <w:color w:val="231F20"/>
          <w:w w:val="105"/>
        </w:rPr>
        <w:t>producciones</w:t>
      </w:r>
      <w:r>
        <w:rPr>
          <w:color w:val="231F20"/>
          <w:spacing w:val="-9"/>
          <w:w w:val="105"/>
        </w:rPr>
        <w:t> </w:t>
      </w:r>
      <w:r>
        <w:rPr>
          <w:color w:val="231F20"/>
          <w:w w:val="105"/>
        </w:rPr>
        <w:t>sociales.</w:t>
      </w:r>
      <w:r>
        <w:rPr>
          <w:color w:val="231F20"/>
          <w:spacing w:val="-13"/>
          <w:w w:val="105"/>
        </w:rPr>
        <w:t> </w:t>
      </w:r>
      <w:r>
        <w:rPr>
          <w:color w:val="231F20"/>
          <w:w w:val="105"/>
        </w:rPr>
        <w:t>Res- petando su </w:t>
      </w:r>
      <w:r>
        <w:rPr>
          <w:w w:val="105"/>
        </w:rPr>
        <w:t>lugar individual</w:t>
      </w:r>
      <w:r>
        <w:rPr>
          <w:color w:val="231F20"/>
          <w:w w:val="105"/>
        </w:rPr>
        <w:t>, la función del cuerpo es la de contener los dispositivos</w:t>
      </w:r>
      <w:r>
        <w:rPr>
          <w:color w:val="231F20"/>
          <w:spacing w:val="-12"/>
          <w:w w:val="105"/>
        </w:rPr>
        <w:t> </w:t>
      </w:r>
      <w:r>
        <w:rPr>
          <w:color w:val="231F20"/>
          <w:w w:val="105"/>
        </w:rPr>
        <w:t>reguladores</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emociones</w:t>
      </w:r>
      <w:r>
        <w:rPr>
          <w:color w:val="231F20"/>
          <w:spacing w:val="-12"/>
          <w:w w:val="105"/>
        </w:rPr>
        <w:t> </w:t>
      </w:r>
      <w:r>
        <w:rPr>
          <w:color w:val="231F20"/>
          <w:w w:val="105"/>
        </w:rPr>
        <w:t>producidas</w:t>
      </w:r>
      <w:r>
        <w:rPr>
          <w:color w:val="231F20"/>
          <w:spacing w:val="-12"/>
          <w:w w:val="105"/>
        </w:rPr>
        <w:t> </w:t>
      </w:r>
      <w:r>
        <w:rPr>
          <w:color w:val="231F20"/>
          <w:w w:val="105"/>
        </w:rPr>
        <w:t>en</w:t>
      </w:r>
      <w:r>
        <w:rPr>
          <w:color w:val="231F20"/>
          <w:spacing w:val="-12"/>
          <w:w w:val="105"/>
        </w:rPr>
        <w:t> </w:t>
      </w:r>
      <w:r>
        <w:rPr>
          <w:color w:val="231F20"/>
          <w:w w:val="105"/>
        </w:rPr>
        <w:t>las</w:t>
      </w:r>
      <w:r>
        <w:rPr>
          <w:color w:val="231F20"/>
          <w:spacing w:val="-12"/>
          <w:w w:val="105"/>
        </w:rPr>
        <w:t> </w:t>
      </w:r>
      <w:r>
        <w:rPr>
          <w:color w:val="231F20"/>
          <w:w w:val="105"/>
        </w:rPr>
        <w:t>interaccio- nes</w:t>
      </w:r>
      <w:r>
        <w:rPr>
          <w:color w:val="231F20"/>
          <w:spacing w:val="-25"/>
          <w:w w:val="105"/>
        </w:rPr>
        <w:t> </w:t>
      </w:r>
      <w:r>
        <w:rPr>
          <w:color w:val="231F20"/>
          <w:w w:val="105"/>
        </w:rPr>
        <w:t>sociales</w:t>
      </w:r>
      <w:r>
        <w:rPr>
          <w:color w:val="231F20"/>
          <w:spacing w:val="-25"/>
          <w:w w:val="105"/>
        </w:rPr>
        <w:t> </w:t>
      </w:r>
      <w:r>
        <w:rPr>
          <w:color w:val="231F20"/>
          <w:w w:val="105"/>
        </w:rPr>
        <w:t>(Aguilar</w:t>
      </w:r>
      <w:r>
        <w:rPr>
          <w:color w:val="231F20"/>
          <w:spacing w:val="-25"/>
          <w:w w:val="105"/>
        </w:rPr>
        <w:t> </w:t>
      </w:r>
      <w:r>
        <w:rPr>
          <w:color w:val="231F20"/>
          <w:w w:val="105"/>
        </w:rPr>
        <w:t>y</w:t>
      </w:r>
      <w:r>
        <w:rPr>
          <w:color w:val="231F20"/>
          <w:spacing w:val="-25"/>
          <w:w w:val="105"/>
        </w:rPr>
        <w:t> </w:t>
      </w:r>
      <w:r>
        <w:rPr>
          <w:color w:val="231F20"/>
          <w:w w:val="105"/>
        </w:rPr>
        <w:t>Soto,</w:t>
      </w:r>
      <w:r>
        <w:rPr>
          <w:color w:val="231F20"/>
          <w:spacing w:val="-30"/>
          <w:w w:val="105"/>
        </w:rPr>
        <w:t> </w:t>
      </w:r>
      <w:r>
        <w:rPr>
          <w:color w:val="231F20"/>
          <w:w w:val="105"/>
        </w:rPr>
        <w:t>2013).</w:t>
      </w:r>
      <w:r>
        <w:rPr>
          <w:color w:val="231F20"/>
          <w:spacing w:val="-30"/>
          <w:w w:val="105"/>
        </w:rPr>
        <w:t> </w:t>
      </w:r>
      <w:r>
        <w:rPr>
          <w:color w:val="231F20"/>
          <w:spacing w:val="-6"/>
          <w:w w:val="105"/>
        </w:rPr>
        <w:t>Por</w:t>
      </w:r>
      <w:r>
        <w:rPr>
          <w:color w:val="231F20"/>
          <w:spacing w:val="-25"/>
          <w:w w:val="105"/>
        </w:rPr>
        <w:t> </w:t>
      </w:r>
      <w:r>
        <w:rPr>
          <w:color w:val="231F20"/>
          <w:w w:val="105"/>
        </w:rPr>
        <w:t>ello</w:t>
      </w:r>
      <w:r>
        <w:rPr>
          <w:color w:val="231F20"/>
          <w:spacing w:val="-25"/>
          <w:w w:val="105"/>
        </w:rPr>
        <w:t> </w:t>
      </w:r>
      <w:r>
        <w:rPr>
          <w:color w:val="231F20"/>
          <w:w w:val="105"/>
        </w:rPr>
        <w:t>es</w:t>
      </w:r>
      <w:r>
        <w:rPr>
          <w:color w:val="231F20"/>
          <w:spacing w:val="-25"/>
          <w:w w:val="105"/>
        </w:rPr>
        <w:t> </w:t>
      </w:r>
      <w:r>
        <w:rPr>
          <w:color w:val="231F20"/>
          <w:w w:val="105"/>
        </w:rPr>
        <w:t>posible</w:t>
      </w:r>
      <w:r>
        <w:rPr>
          <w:color w:val="231F20"/>
          <w:spacing w:val="-25"/>
          <w:w w:val="105"/>
        </w:rPr>
        <w:t> </w:t>
      </w:r>
      <w:r>
        <w:rPr>
          <w:color w:val="231F20"/>
          <w:w w:val="105"/>
        </w:rPr>
        <w:t>pensar</w:t>
      </w:r>
      <w:r>
        <w:rPr>
          <w:color w:val="231F20"/>
          <w:spacing w:val="-25"/>
          <w:w w:val="105"/>
        </w:rPr>
        <w:t> </w:t>
      </w:r>
      <w:r>
        <w:rPr>
          <w:color w:val="231F20"/>
          <w:w w:val="105"/>
        </w:rPr>
        <w:t>las</w:t>
      </w:r>
      <w:r>
        <w:rPr>
          <w:color w:val="231F20"/>
          <w:spacing w:val="-25"/>
          <w:w w:val="105"/>
        </w:rPr>
        <w:t> </w:t>
      </w:r>
      <w:r>
        <w:rPr>
          <w:color w:val="231F20"/>
          <w:w w:val="105"/>
        </w:rPr>
        <w:t>emocio- nes</w:t>
      </w:r>
      <w:r>
        <w:rPr>
          <w:color w:val="231F20"/>
          <w:spacing w:val="-9"/>
          <w:w w:val="105"/>
        </w:rPr>
        <w:t> </w:t>
      </w:r>
      <w:r>
        <w:rPr>
          <w:color w:val="231F20"/>
          <w:w w:val="105"/>
        </w:rPr>
        <w:t>como</w:t>
      </w:r>
      <w:r>
        <w:rPr>
          <w:color w:val="231F20"/>
          <w:spacing w:val="-9"/>
          <w:w w:val="105"/>
        </w:rPr>
        <w:t> </w:t>
      </w:r>
      <w:r>
        <w:rPr>
          <w:color w:val="231F20"/>
          <w:w w:val="105"/>
        </w:rPr>
        <w:t>hechos</w:t>
      </w:r>
      <w:r>
        <w:rPr>
          <w:color w:val="231F20"/>
          <w:spacing w:val="-9"/>
          <w:w w:val="105"/>
        </w:rPr>
        <w:t> </w:t>
      </w:r>
      <w:r>
        <w:rPr>
          <w:color w:val="231F20"/>
          <w:w w:val="105"/>
        </w:rPr>
        <w:t>geográficos,</w:t>
      </w:r>
      <w:r>
        <w:rPr>
          <w:color w:val="231F20"/>
          <w:spacing w:val="-14"/>
          <w:w w:val="105"/>
        </w:rPr>
        <w:t> </w:t>
      </w:r>
      <w:r>
        <w:rPr>
          <w:color w:val="231F20"/>
          <w:w w:val="105"/>
        </w:rPr>
        <w:t>eventos</w:t>
      </w:r>
      <w:r>
        <w:rPr>
          <w:color w:val="231F20"/>
          <w:spacing w:val="-9"/>
          <w:w w:val="105"/>
        </w:rPr>
        <w:t> </w:t>
      </w:r>
      <w:r>
        <w:rPr>
          <w:color w:val="231F20"/>
          <w:w w:val="105"/>
        </w:rPr>
        <w:t>que</w:t>
      </w:r>
      <w:r>
        <w:rPr>
          <w:color w:val="231F20"/>
          <w:spacing w:val="-9"/>
          <w:w w:val="105"/>
        </w:rPr>
        <w:t> </w:t>
      </w:r>
      <w:r>
        <w:rPr>
          <w:color w:val="231F20"/>
          <w:w w:val="105"/>
        </w:rPr>
        <w:t>emergen</w:t>
      </w:r>
      <w:r>
        <w:rPr>
          <w:color w:val="231F20"/>
          <w:spacing w:val="-9"/>
          <w:w w:val="105"/>
        </w:rPr>
        <w:t> </w:t>
      </w:r>
      <w:r>
        <w:rPr>
          <w:color w:val="231F20"/>
          <w:w w:val="105"/>
        </w:rPr>
        <w:t>de</w:t>
      </w:r>
      <w:r>
        <w:rPr>
          <w:color w:val="231F20"/>
          <w:spacing w:val="-9"/>
          <w:w w:val="105"/>
        </w:rPr>
        <w:t> </w:t>
      </w:r>
      <w:r>
        <w:rPr>
          <w:color w:val="231F20"/>
          <w:w w:val="105"/>
        </w:rPr>
        <w:t>una</w:t>
      </w:r>
      <w:r>
        <w:rPr>
          <w:color w:val="231F20"/>
          <w:spacing w:val="-9"/>
          <w:w w:val="105"/>
        </w:rPr>
        <w:t> </w:t>
      </w:r>
      <w:r>
        <w:rPr>
          <w:color w:val="231F20"/>
          <w:w w:val="105"/>
        </w:rPr>
        <w:t>situación</w:t>
      </w:r>
      <w:r>
        <w:rPr>
          <w:color w:val="231F20"/>
          <w:spacing w:val="-9"/>
          <w:w w:val="105"/>
        </w:rPr>
        <w:t> </w:t>
      </w:r>
      <w:r>
        <w:rPr>
          <w:color w:val="231F20"/>
          <w:w w:val="105"/>
        </w:rPr>
        <w:t>y un espacio, fortaleciendo la creencia de que </w:t>
      </w:r>
      <w:r>
        <w:rPr>
          <w:w w:val="105"/>
        </w:rPr>
        <w:t>l</w:t>
      </w:r>
      <w:r>
        <w:rPr>
          <w:color w:val="231F20"/>
          <w:w w:val="105"/>
        </w:rPr>
        <w:t>os procesos emocionales están</w:t>
      </w:r>
      <w:r>
        <w:rPr>
          <w:color w:val="231F20"/>
          <w:spacing w:val="-17"/>
          <w:w w:val="105"/>
        </w:rPr>
        <w:t> </w:t>
      </w:r>
      <w:r>
        <w:rPr>
          <w:color w:val="231F20"/>
          <w:w w:val="105"/>
        </w:rPr>
        <w:t>permeados</w:t>
      </w:r>
      <w:r>
        <w:rPr>
          <w:color w:val="231F20"/>
          <w:spacing w:val="-17"/>
          <w:w w:val="105"/>
        </w:rPr>
        <w:t> </w:t>
      </w:r>
      <w:r>
        <w:rPr>
          <w:color w:val="231F20"/>
          <w:w w:val="105"/>
        </w:rPr>
        <w:t>por</w:t>
      </w:r>
      <w:r>
        <w:rPr>
          <w:color w:val="231F20"/>
          <w:spacing w:val="-17"/>
          <w:w w:val="105"/>
        </w:rPr>
        <w:t> </w:t>
      </w:r>
      <w:r>
        <w:rPr>
          <w:color w:val="231F20"/>
          <w:w w:val="105"/>
        </w:rPr>
        <w:t>los</w:t>
      </w:r>
      <w:r>
        <w:rPr>
          <w:color w:val="231F20"/>
          <w:spacing w:val="-17"/>
          <w:w w:val="105"/>
        </w:rPr>
        <w:t> </w:t>
      </w:r>
      <w:r>
        <w:rPr>
          <w:color w:val="231F20"/>
          <w:w w:val="105"/>
        </w:rPr>
        <w:t>lugares</w:t>
      </w:r>
      <w:r>
        <w:rPr>
          <w:color w:val="231F20"/>
          <w:spacing w:val="-17"/>
          <w:w w:val="105"/>
        </w:rPr>
        <w:t> </w:t>
      </w:r>
      <w:r>
        <w:rPr>
          <w:color w:val="231F20"/>
          <w:w w:val="105"/>
        </w:rPr>
        <w:t>donde</w:t>
      </w:r>
      <w:r>
        <w:rPr>
          <w:color w:val="231F20"/>
          <w:spacing w:val="-17"/>
          <w:w w:val="105"/>
        </w:rPr>
        <w:t> </w:t>
      </w:r>
      <w:r>
        <w:rPr>
          <w:color w:val="231F20"/>
          <w:w w:val="105"/>
        </w:rPr>
        <w:t>habitan</w:t>
      </w:r>
      <w:r>
        <w:rPr>
          <w:color w:val="231F20"/>
          <w:spacing w:val="-17"/>
          <w:w w:val="105"/>
        </w:rPr>
        <w:t> </w:t>
      </w:r>
      <w:r>
        <w:rPr>
          <w:color w:val="231F20"/>
          <w:w w:val="105"/>
        </w:rPr>
        <w:t>las</w:t>
      </w:r>
      <w:r>
        <w:rPr>
          <w:color w:val="231F20"/>
          <w:spacing w:val="-17"/>
          <w:w w:val="105"/>
        </w:rPr>
        <w:t> </w:t>
      </w:r>
      <w:r>
        <w:rPr>
          <w:color w:val="231F20"/>
          <w:w w:val="105"/>
        </w:rPr>
        <w:t>personas</w:t>
      </w:r>
      <w:r>
        <w:rPr>
          <w:color w:val="231F20"/>
          <w:spacing w:val="-17"/>
          <w:w w:val="105"/>
        </w:rPr>
        <w:t> </w:t>
      </w:r>
      <w:r>
        <w:rPr>
          <w:color w:val="231F20"/>
          <w:spacing w:val="-4"/>
          <w:w w:val="105"/>
        </w:rPr>
        <w:t>y,</w:t>
      </w:r>
      <w:r>
        <w:rPr>
          <w:color w:val="231F20"/>
          <w:spacing w:val="-22"/>
          <w:w w:val="105"/>
        </w:rPr>
        <w:t> </w:t>
      </w:r>
      <w:r>
        <w:rPr>
          <w:color w:val="231F20"/>
          <w:w w:val="105"/>
        </w:rPr>
        <w:t>a</w:t>
      </w:r>
      <w:r>
        <w:rPr>
          <w:color w:val="231F20"/>
          <w:spacing w:val="-17"/>
          <w:w w:val="105"/>
        </w:rPr>
        <w:t> </w:t>
      </w:r>
      <w:r>
        <w:rPr>
          <w:color w:val="231F20"/>
          <w:w w:val="105"/>
        </w:rPr>
        <w:t>su</w:t>
      </w:r>
      <w:r>
        <w:rPr>
          <w:color w:val="231F20"/>
          <w:spacing w:val="-17"/>
          <w:w w:val="105"/>
        </w:rPr>
        <w:t> </w:t>
      </w:r>
      <w:r>
        <w:rPr>
          <w:color w:val="231F20"/>
          <w:w w:val="105"/>
        </w:rPr>
        <w:t>vez, donde descansan las relaciones sociales entre hombres y mujeres. De este nuevo enfoque surge la geografía de las emociones, teoría en la que</w:t>
      </w:r>
      <w:r>
        <w:rPr>
          <w:color w:val="231F20"/>
          <w:spacing w:val="-18"/>
          <w:w w:val="105"/>
        </w:rPr>
        <w:t> </w:t>
      </w:r>
      <w:r>
        <w:rPr>
          <w:color w:val="231F20"/>
          <w:w w:val="105"/>
        </w:rPr>
        <w:t>destacan</w:t>
      </w:r>
      <w:r>
        <w:rPr>
          <w:color w:val="231F20"/>
          <w:spacing w:val="-18"/>
          <w:w w:val="105"/>
        </w:rPr>
        <w:t> </w:t>
      </w:r>
      <w:r>
        <w:rPr>
          <w:color w:val="231F20"/>
          <w:w w:val="105"/>
        </w:rPr>
        <w:t>los</w:t>
      </w:r>
      <w:r>
        <w:rPr>
          <w:color w:val="231F20"/>
          <w:spacing w:val="-18"/>
          <w:w w:val="105"/>
        </w:rPr>
        <w:t> </w:t>
      </w:r>
      <w:r>
        <w:rPr>
          <w:color w:val="231F20"/>
          <w:w w:val="105"/>
        </w:rPr>
        <w:t>trabajos</w:t>
      </w:r>
      <w:r>
        <w:rPr>
          <w:color w:val="231F20"/>
          <w:spacing w:val="-18"/>
          <w:w w:val="105"/>
        </w:rPr>
        <w:t> </w:t>
      </w:r>
      <w:r>
        <w:rPr>
          <w:color w:val="231F20"/>
          <w:w w:val="105"/>
        </w:rPr>
        <w:t>de</w:t>
      </w:r>
      <w:r>
        <w:rPr>
          <w:color w:val="231F20"/>
          <w:spacing w:val="-20"/>
          <w:w w:val="105"/>
        </w:rPr>
        <w:t> </w:t>
      </w:r>
      <w:r>
        <w:rPr>
          <w:color w:val="231F20"/>
          <w:w w:val="105"/>
        </w:rPr>
        <w:t>Anderson</w:t>
      </w:r>
      <w:r>
        <w:rPr>
          <w:color w:val="231F20"/>
          <w:spacing w:val="-18"/>
          <w:w w:val="105"/>
        </w:rPr>
        <w:t> </w:t>
      </w:r>
      <w:r>
        <w:rPr>
          <w:color w:val="231F20"/>
          <w:w w:val="105"/>
        </w:rPr>
        <w:t>y</w:t>
      </w:r>
      <w:r>
        <w:rPr>
          <w:color w:val="231F20"/>
          <w:spacing w:val="-18"/>
          <w:w w:val="105"/>
        </w:rPr>
        <w:t> </w:t>
      </w:r>
      <w:r>
        <w:rPr>
          <w:color w:val="231F20"/>
          <w:w w:val="105"/>
        </w:rPr>
        <w:t>Smith</w:t>
      </w:r>
      <w:r>
        <w:rPr>
          <w:color w:val="231F20"/>
          <w:spacing w:val="-18"/>
          <w:w w:val="105"/>
        </w:rPr>
        <w:t> </w:t>
      </w:r>
      <w:r>
        <w:rPr>
          <w:color w:val="231F20"/>
          <w:w w:val="105"/>
        </w:rPr>
        <w:t>(2001),</w:t>
      </w:r>
      <w:r>
        <w:rPr>
          <w:color w:val="231F20"/>
          <w:spacing w:val="-23"/>
          <w:w w:val="105"/>
        </w:rPr>
        <w:t> </w:t>
      </w:r>
      <w:r>
        <w:rPr>
          <w:color w:val="231F20"/>
          <w:w w:val="105"/>
        </w:rPr>
        <w:t>Davidson</w:t>
      </w:r>
      <w:r>
        <w:rPr>
          <w:color w:val="231F20"/>
          <w:spacing w:val="-18"/>
          <w:w w:val="105"/>
        </w:rPr>
        <w:t> </w:t>
      </w:r>
      <w:r>
        <w:rPr>
          <w:color w:val="231F20"/>
          <w:w w:val="105"/>
        </w:rPr>
        <w:t>y</w:t>
      </w:r>
      <w:r>
        <w:rPr>
          <w:color w:val="231F20"/>
          <w:spacing w:val="-18"/>
          <w:w w:val="105"/>
        </w:rPr>
        <w:t> </w:t>
      </w:r>
      <w:r>
        <w:rPr>
          <w:color w:val="231F20"/>
          <w:w w:val="105"/>
        </w:rPr>
        <w:t>Monk (Davidson</w:t>
      </w:r>
      <w:r>
        <w:rPr>
          <w:color w:val="231F20"/>
          <w:spacing w:val="-31"/>
          <w:w w:val="105"/>
        </w:rPr>
        <w:t> </w:t>
      </w:r>
      <w:r>
        <w:rPr>
          <w:rFonts w:ascii="Arial" w:hAnsi="Arial"/>
          <w:i/>
          <w:color w:val="231F20"/>
          <w:w w:val="105"/>
        </w:rPr>
        <w:t>et</w:t>
      </w:r>
      <w:r>
        <w:rPr>
          <w:rFonts w:ascii="Arial" w:hAnsi="Arial"/>
          <w:i/>
          <w:color w:val="231F20"/>
          <w:spacing w:val="-34"/>
          <w:w w:val="105"/>
        </w:rPr>
        <w:t> </w:t>
      </w:r>
      <w:r>
        <w:rPr>
          <w:rFonts w:ascii="Arial" w:hAnsi="Arial"/>
          <w:i/>
          <w:color w:val="231F20"/>
          <w:w w:val="105"/>
        </w:rPr>
        <w:t>al.,</w:t>
      </w:r>
      <w:r>
        <w:rPr>
          <w:rFonts w:ascii="Arial" w:hAnsi="Arial"/>
          <w:i/>
          <w:color w:val="231F20"/>
          <w:spacing w:val="-37"/>
          <w:w w:val="105"/>
        </w:rPr>
        <w:t> </w:t>
      </w:r>
      <w:r>
        <w:rPr>
          <w:color w:val="231F20"/>
          <w:w w:val="105"/>
        </w:rPr>
        <w:t>2005)</w:t>
      </w:r>
      <w:r>
        <w:rPr>
          <w:color w:val="231F20"/>
          <w:spacing w:val="-31"/>
          <w:w w:val="105"/>
        </w:rPr>
        <w:t> </w:t>
      </w:r>
      <w:r>
        <w:rPr>
          <w:color w:val="231F20"/>
          <w:w w:val="105"/>
        </w:rPr>
        <w:t>y</w:t>
      </w:r>
      <w:r>
        <w:rPr>
          <w:color w:val="231F20"/>
          <w:spacing w:val="-31"/>
          <w:w w:val="105"/>
        </w:rPr>
        <w:t> </w:t>
      </w:r>
      <w:r>
        <w:rPr>
          <w:color w:val="231F20"/>
          <w:w w:val="105"/>
        </w:rPr>
        <w:t>Ramón</w:t>
      </w:r>
      <w:r>
        <w:rPr>
          <w:color w:val="231F20"/>
          <w:spacing w:val="-31"/>
          <w:w w:val="105"/>
        </w:rPr>
        <w:t> </w:t>
      </w:r>
      <w:r>
        <w:rPr>
          <w:color w:val="231F20"/>
          <w:w w:val="105"/>
        </w:rPr>
        <w:t>(1987).</w:t>
      </w:r>
    </w:p>
    <w:p>
      <w:pPr>
        <w:pStyle w:val="BodyText"/>
        <w:spacing w:line="261" w:lineRule="auto"/>
        <w:ind w:left="1837" w:right="1716" w:firstLine="567"/>
        <w:jc w:val="both"/>
      </w:pPr>
      <w:r>
        <w:rPr>
          <w:w w:val="105"/>
        </w:rPr>
        <w:t>En</w:t>
      </w:r>
      <w:r>
        <w:rPr>
          <w:spacing w:val="-7"/>
          <w:w w:val="105"/>
        </w:rPr>
        <w:t> </w:t>
      </w:r>
      <w:r>
        <w:rPr>
          <w:w w:val="105"/>
        </w:rPr>
        <w:t>el</w:t>
      </w:r>
      <w:r>
        <w:rPr>
          <w:spacing w:val="-7"/>
          <w:w w:val="105"/>
        </w:rPr>
        <w:t> </w:t>
      </w:r>
      <w:r>
        <w:rPr>
          <w:w w:val="105"/>
        </w:rPr>
        <w:t>caso</w:t>
      </w:r>
      <w:r>
        <w:rPr>
          <w:spacing w:val="-7"/>
          <w:w w:val="105"/>
        </w:rPr>
        <w:t> </w:t>
      </w:r>
      <w:r>
        <w:rPr>
          <w:w w:val="105"/>
        </w:rPr>
        <w:t>mexicano,</w:t>
      </w:r>
      <w:r>
        <w:rPr>
          <w:spacing w:val="-13"/>
          <w:w w:val="105"/>
        </w:rPr>
        <w:t> </w:t>
      </w:r>
      <w:r>
        <w:rPr>
          <w:w w:val="105"/>
        </w:rPr>
        <w:t>migración</w:t>
      </w:r>
      <w:r>
        <w:rPr>
          <w:spacing w:val="-7"/>
          <w:w w:val="105"/>
        </w:rPr>
        <w:t> </w:t>
      </w:r>
      <w:r>
        <w:rPr>
          <w:w w:val="105"/>
        </w:rPr>
        <w:t>y</w:t>
      </w:r>
      <w:r>
        <w:rPr>
          <w:spacing w:val="-7"/>
          <w:w w:val="105"/>
        </w:rPr>
        <w:t> </w:t>
      </w:r>
      <w:r>
        <w:rPr>
          <w:w w:val="105"/>
        </w:rPr>
        <w:t>emociones</w:t>
      </w:r>
      <w:r>
        <w:rPr>
          <w:spacing w:val="-7"/>
          <w:w w:val="105"/>
        </w:rPr>
        <w:t> </w:t>
      </w:r>
      <w:r>
        <w:rPr>
          <w:w w:val="105"/>
        </w:rPr>
        <w:t>formarían</w:t>
      </w:r>
      <w:r>
        <w:rPr>
          <w:spacing w:val="-7"/>
          <w:w w:val="105"/>
        </w:rPr>
        <w:t> </w:t>
      </w:r>
      <w:r>
        <w:rPr>
          <w:w w:val="105"/>
        </w:rPr>
        <w:t>una</w:t>
      </w:r>
      <w:r>
        <w:rPr>
          <w:spacing w:val="-7"/>
          <w:w w:val="105"/>
        </w:rPr>
        <w:t> </w:t>
      </w:r>
      <w:r>
        <w:rPr>
          <w:w w:val="105"/>
        </w:rPr>
        <w:t>cons- tante</w:t>
      </w:r>
      <w:r>
        <w:rPr>
          <w:spacing w:val="-22"/>
          <w:w w:val="105"/>
        </w:rPr>
        <w:t> </w:t>
      </w:r>
      <w:r>
        <w:rPr>
          <w:w w:val="105"/>
        </w:rPr>
        <w:t>en</w:t>
      </w:r>
      <w:r>
        <w:rPr>
          <w:spacing w:val="-22"/>
          <w:w w:val="105"/>
        </w:rPr>
        <w:t> </w:t>
      </w:r>
      <w:r>
        <w:rPr>
          <w:w w:val="105"/>
        </w:rPr>
        <w:t>los</w:t>
      </w:r>
      <w:r>
        <w:rPr>
          <w:spacing w:val="-22"/>
          <w:w w:val="105"/>
        </w:rPr>
        <w:t> </w:t>
      </w:r>
      <w:r>
        <w:rPr>
          <w:w w:val="105"/>
        </w:rPr>
        <w:t>estudios</w:t>
      </w:r>
      <w:r>
        <w:rPr>
          <w:spacing w:val="-22"/>
          <w:w w:val="105"/>
        </w:rPr>
        <w:t> </w:t>
      </w:r>
      <w:r>
        <w:rPr>
          <w:w w:val="105"/>
        </w:rPr>
        <w:t>migratorios,</w:t>
      </w:r>
      <w:r>
        <w:rPr>
          <w:spacing w:val="-28"/>
          <w:w w:val="105"/>
        </w:rPr>
        <w:t> </w:t>
      </w:r>
      <w:r>
        <w:rPr>
          <w:w w:val="105"/>
        </w:rPr>
        <w:t>aunque</w:t>
      </w:r>
      <w:r>
        <w:rPr>
          <w:spacing w:val="-22"/>
          <w:w w:val="105"/>
        </w:rPr>
        <w:t> </w:t>
      </w:r>
      <w:r>
        <w:rPr>
          <w:w w:val="105"/>
        </w:rPr>
        <w:t>sin</w:t>
      </w:r>
      <w:r>
        <w:rPr>
          <w:spacing w:val="-22"/>
          <w:w w:val="105"/>
        </w:rPr>
        <w:t> </w:t>
      </w:r>
      <w:r>
        <w:rPr>
          <w:w w:val="105"/>
        </w:rPr>
        <w:t>la</w:t>
      </w:r>
      <w:r>
        <w:rPr>
          <w:spacing w:val="-22"/>
          <w:w w:val="105"/>
        </w:rPr>
        <w:t> </w:t>
      </w:r>
      <w:r>
        <w:rPr>
          <w:w w:val="105"/>
        </w:rPr>
        <w:t>centralidad</w:t>
      </w:r>
      <w:r>
        <w:rPr>
          <w:spacing w:val="-22"/>
          <w:w w:val="105"/>
        </w:rPr>
        <w:t> </w:t>
      </w:r>
      <w:r>
        <w:rPr>
          <w:w w:val="105"/>
        </w:rPr>
        <w:t>que</w:t>
      </w:r>
      <w:r>
        <w:rPr>
          <w:spacing w:val="-22"/>
          <w:w w:val="105"/>
        </w:rPr>
        <w:t> </w:t>
      </w:r>
      <w:r>
        <w:rPr>
          <w:w w:val="105"/>
        </w:rPr>
        <w:t>merecen. Aún</w:t>
      </w:r>
      <w:r>
        <w:rPr>
          <w:spacing w:val="-28"/>
          <w:w w:val="105"/>
        </w:rPr>
        <w:t> </w:t>
      </w:r>
      <w:r>
        <w:rPr>
          <w:w w:val="105"/>
        </w:rPr>
        <w:t>más,</w:t>
      </w:r>
      <w:r>
        <w:rPr>
          <w:spacing w:val="-32"/>
          <w:w w:val="105"/>
        </w:rPr>
        <w:t> </w:t>
      </w:r>
      <w:r>
        <w:rPr>
          <w:w w:val="105"/>
        </w:rPr>
        <w:t>el</w:t>
      </w:r>
      <w:r>
        <w:rPr>
          <w:spacing w:val="5"/>
          <w:w w:val="105"/>
        </w:rPr>
        <w:t> </w:t>
      </w:r>
      <w:r>
        <w:rPr>
          <w:w w:val="105"/>
        </w:rPr>
        <w:t>asunto</w:t>
      </w:r>
      <w:r>
        <w:rPr>
          <w:spacing w:val="-28"/>
          <w:w w:val="105"/>
        </w:rPr>
        <w:t> </w:t>
      </w:r>
      <w:r>
        <w:rPr>
          <w:w w:val="105"/>
        </w:rPr>
        <w:t>emocional</w:t>
      </w:r>
      <w:r>
        <w:rPr>
          <w:spacing w:val="-28"/>
          <w:w w:val="105"/>
        </w:rPr>
        <w:t> </w:t>
      </w:r>
      <w:r>
        <w:rPr>
          <w:w w:val="105"/>
        </w:rPr>
        <w:t>de</w:t>
      </w:r>
      <w:r>
        <w:rPr>
          <w:spacing w:val="-28"/>
          <w:w w:val="105"/>
        </w:rPr>
        <w:t> </w:t>
      </w:r>
      <w:r>
        <w:rPr>
          <w:w w:val="105"/>
        </w:rPr>
        <w:t>los</w:t>
      </w:r>
      <w:r>
        <w:rPr>
          <w:spacing w:val="-28"/>
          <w:w w:val="105"/>
        </w:rPr>
        <w:t> </w:t>
      </w:r>
      <w:r>
        <w:rPr>
          <w:w w:val="105"/>
        </w:rPr>
        <w:t>migrantes</w:t>
      </w:r>
      <w:r>
        <w:rPr>
          <w:spacing w:val="-28"/>
          <w:w w:val="105"/>
        </w:rPr>
        <w:t> </w:t>
      </w:r>
      <w:r>
        <w:rPr>
          <w:w w:val="105"/>
        </w:rPr>
        <w:t>no</w:t>
      </w:r>
      <w:r>
        <w:rPr>
          <w:spacing w:val="-28"/>
          <w:w w:val="105"/>
        </w:rPr>
        <w:t> </w:t>
      </w:r>
      <w:r>
        <w:rPr>
          <w:w w:val="105"/>
        </w:rPr>
        <w:t>documentados</w:t>
      </w:r>
      <w:r>
        <w:rPr>
          <w:spacing w:val="-28"/>
          <w:w w:val="105"/>
        </w:rPr>
        <w:t> </w:t>
      </w:r>
      <w:r>
        <w:rPr>
          <w:w w:val="105"/>
        </w:rPr>
        <w:t>a</w:t>
      </w:r>
      <w:r>
        <w:rPr>
          <w:spacing w:val="-28"/>
          <w:w w:val="105"/>
        </w:rPr>
        <w:t> </w:t>
      </w:r>
      <w:r>
        <w:rPr>
          <w:w w:val="105"/>
        </w:rPr>
        <w:t>Esta- dos</w:t>
      </w:r>
      <w:r>
        <w:rPr>
          <w:spacing w:val="-23"/>
          <w:w w:val="105"/>
        </w:rPr>
        <w:t> </w:t>
      </w:r>
      <w:r>
        <w:rPr>
          <w:w w:val="105"/>
        </w:rPr>
        <w:t>Unidos</w:t>
      </w:r>
      <w:r>
        <w:rPr>
          <w:spacing w:val="-23"/>
          <w:w w:val="105"/>
        </w:rPr>
        <w:t> </w:t>
      </w:r>
      <w:r>
        <w:rPr>
          <w:w w:val="105"/>
        </w:rPr>
        <w:t>se</w:t>
      </w:r>
      <w:r>
        <w:rPr>
          <w:spacing w:val="-23"/>
          <w:w w:val="105"/>
        </w:rPr>
        <w:t> </w:t>
      </w:r>
      <w:r>
        <w:rPr>
          <w:w w:val="105"/>
        </w:rPr>
        <w:t>empezó</w:t>
      </w:r>
      <w:r>
        <w:rPr>
          <w:spacing w:val="-23"/>
          <w:w w:val="105"/>
        </w:rPr>
        <w:t> </w:t>
      </w:r>
      <w:r>
        <w:rPr>
          <w:w w:val="105"/>
        </w:rPr>
        <w:t>a</w:t>
      </w:r>
      <w:r>
        <w:rPr>
          <w:spacing w:val="-23"/>
          <w:w w:val="105"/>
        </w:rPr>
        <w:t> </w:t>
      </w:r>
      <w:r>
        <w:rPr>
          <w:w w:val="105"/>
        </w:rPr>
        <w:t>tratar</w:t>
      </w:r>
      <w:r>
        <w:rPr>
          <w:spacing w:val="-23"/>
          <w:w w:val="105"/>
        </w:rPr>
        <w:t> </w:t>
      </w:r>
      <w:r>
        <w:rPr>
          <w:w w:val="105"/>
        </w:rPr>
        <w:t>en</w:t>
      </w:r>
      <w:r>
        <w:rPr>
          <w:spacing w:val="-23"/>
          <w:w w:val="105"/>
        </w:rPr>
        <w:t> </w:t>
      </w:r>
      <w:r>
        <w:rPr>
          <w:w w:val="105"/>
        </w:rPr>
        <w:t>los</w:t>
      </w:r>
      <w:r>
        <w:rPr>
          <w:spacing w:val="-23"/>
          <w:w w:val="105"/>
        </w:rPr>
        <w:t> </w:t>
      </w:r>
      <w:r>
        <w:rPr>
          <w:w w:val="105"/>
        </w:rPr>
        <w:t>trabajos</w:t>
      </w:r>
      <w:r>
        <w:rPr>
          <w:spacing w:val="-23"/>
          <w:w w:val="105"/>
        </w:rPr>
        <w:t> </w:t>
      </w:r>
      <w:r>
        <w:rPr>
          <w:w w:val="105"/>
        </w:rPr>
        <w:t>de</w:t>
      </w:r>
      <w:r>
        <w:rPr>
          <w:spacing w:val="-23"/>
          <w:w w:val="105"/>
        </w:rPr>
        <w:t> </w:t>
      </w:r>
      <w:r>
        <w:rPr>
          <w:w w:val="105"/>
        </w:rPr>
        <w:t>López</w:t>
      </w:r>
      <w:r>
        <w:rPr>
          <w:spacing w:val="-23"/>
          <w:w w:val="105"/>
        </w:rPr>
        <w:t> </w:t>
      </w:r>
      <w:r>
        <w:rPr>
          <w:w w:val="105"/>
        </w:rPr>
        <w:t>(1986),</w:t>
      </w:r>
      <w:r>
        <w:rPr>
          <w:spacing w:val="-29"/>
          <w:w w:val="105"/>
        </w:rPr>
        <w:t> </w:t>
      </w:r>
      <w:r>
        <w:rPr>
          <w:w w:val="105"/>
        </w:rPr>
        <w:t>Mummert </w:t>
      </w:r>
      <w:r>
        <w:rPr>
          <w:spacing w:val="-3"/>
          <w:w w:val="105"/>
        </w:rPr>
        <w:t>(1988),</w:t>
      </w:r>
      <w:r>
        <w:rPr>
          <w:spacing w:val="-35"/>
          <w:w w:val="105"/>
        </w:rPr>
        <w:t> </w:t>
      </w:r>
      <w:r>
        <w:rPr>
          <w:spacing w:val="-5"/>
          <w:w w:val="105"/>
        </w:rPr>
        <w:t>Fagetti</w:t>
      </w:r>
      <w:r>
        <w:rPr>
          <w:spacing w:val="-31"/>
          <w:w w:val="105"/>
        </w:rPr>
        <w:t> </w:t>
      </w:r>
      <w:r>
        <w:rPr>
          <w:spacing w:val="-3"/>
          <w:w w:val="105"/>
        </w:rPr>
        <w:t>(2000),</w:t>
      </w:r>
      <w:r>
        <w:rPr>
          <w:spacing w:val="-37"/>
          <w:w w:val="105"/>
        </w:rPr>
        <w:t> </w:t>
      </w:r>
      <w:r>
        <w:rPr>
          <w:spacing w:val="-3"/>
          <w:w w:val="105"/>
        </w:rPr>
        <w:t>Ariza</w:t>
      </w:r>
      <w:r>
        <w:rPr>
          <w:spacing w:val="-31"/>
          <w:w w:val="105"/>
        </w:rPr>
        <w:t> </w:t>
      </w:r>
      <w:r>
        <w:rPr>
          <w:spacing w:val="-3"/>
          <w:w w:val="105"/>
        </w:rPr>
        <w:t>(2000),</w:t>
      </w:r>
      <w:r>
        <w:rPr>
          <w:spacing w:val="-35"/>
          <w:w w:val="105"/>
        </w:rPr>
        <w:t> </w:t>
      </w:r>
      <w:r>
        <w:rPr>
          <w:spacing w:val="-5"/>
          <w:w w:val="105"/>
        </w:rPr>
        <w:t>D’aubeterre</w:t>
      </w:r>
      <w:r>
        <w:rPr>
          <w:spacing w:val="-31"/>
          <w:w w:val="105"/>
        </w:rPr>
        <w:t> </w:t>
      </w:r>
      <w:r>
        <w:rPr>
          <w:spacing w:val="-3"/>
          <w:w w:val="105"/>
        </w:rPr>
        <w:t>(2000),</w:t>
      </w:r>
      <w:r>
        <w:rPr>
          <w:spacing w:val="-37"/>
          <w:w w:val="105"/>
        </w:rPr>
        <w:t> </w:t>
      </w:r>
      <w:r>
        <w:rPr>
          <w:spacing w:val="-3"/>
          <w:w w:val="105"/>
        </w:rPr>
        <w:t>Ariza</w:t>
      </w:r>
      <w:r>
        <w:rPr>
          <w:spacing w:val="-31"/>
          <w:w w:val="105"/>
        </w:rPr>
        <w:t> </w:t>
      </w:r>
      <w:r>
        <w:rPr>
          <w:w w:val="105"/>
        </w:rPr>
        <w:t>y</w:t>
      </w:r>
      <w:r>
        <w:rPr>
          <w:spacing w:val="-31"/>
          <w:w w:val="105"/>
        </w:rPr>
        <w:t> </w:t>
      </w:r>
      <w:r>
        <w:rPr>
          <w:spacing w:val="-5"/>
          <w:w w:val="105"/>
        </w:rPr>
        <w:t>D’aubeterre</w:t>
      </w:r>
    </w:p>
    <w:p>
      <w:pPr>
        <w:pStyle w:val="BodyText"/>
        <w:spacing w:line="261" w:lineRule="auto" w:before="1"/>
        <w:ind w:left="1837" w:right="1715"/>
        <w:jc w:val="both"/>
      </w:pPr>
      <w:r>
        <w:rPr>
          <w:w w:val="105"/>
        </w:rPr>
        <w:t>(2008),</w:t>
      </w:r>
      <w:r>
        <w:rPr>
          <w:spacing w:val="-13"/>
          <w:w w:val="105"/>
        </w:rPr>
        <w:t> </w:t>
      </w:r>
      <w:r>
        <w:rPr>
          <w:w w:val="105"/>
        </w:rPr>
        <w:t>Orellana</w:t>
      </w:r>
      <w:r>
        <w:rPr>
          <w:spacing w:val="-10"/>
          <w:w w:val="105"/>
        </w:rPr>
        <w:t> </w:t>
      </w:r>
      <w:r>
        <w:rPr>
          <w:w w:val="105"/>
        </w:rPr>
        <w:t>(2002)</w:t>
      </w:r>
      <w:r>
        <w:rPr>
          <w:spacing w:val="-10"/>
          <w:w w:val="105"/>
        </w:rPr>
        <w:t> </w:t>
      </w:r>
      <w:r>
        <w:rPr>
          <w:w w:val="105"/>
        </w:rPr>
        <w:t>y</w:t>
      </w:r>
      <w:r>
        <w:rPr>
          <w:spacing w:val="-10"/>
          <w:w w:val="105"/>
        </w:rPr>
        <w:t> </w:t>
      </w:r>
      <w:r>
        <w:rPr>
          <w:w w:val="105"/>
        </w:rPr>
        <w:t>Maier</w:t>
      </w:r>
      <w:r>
        <w:rPr>
          <w:spacing w:val="-10"/>
          <w:w w:val="105"/>
        </w:rPr>
        <w:t> </w:t>
      </w:r>
      <w:r>
        <w:rPr>
          <w:w w:val="105"/>
        </w:rPr>
        <w:t>(2006),</w:t>
      </w:r>
      <w:r>
        <w:rPr>
          <w:spacing w:val="-13"/>
          <w:w w:val="105"/>
        </w:rPr>
        <w:t> </w:t>
      </w:r>
      <w:r>
        <w:rPr>
          <w:w w:val="105"/>
        </w:rPr>
        <w:t>Sánchez</w:t>
      </w:r>
      <w:r>
        <w:rPr>
          <w:spacing w:val="-10"/>
          <w:w w:val="105"/>
        </w:rPr>
        <w:t> </w:t>
      </w:r>
      <w:r>
        <w:rPr>
          <w:w w:val="105"/>
        </w:rPr>
        <w:t>(2004),</w:t>
      </w:r>
      <w:r>
        <w:rPr>
          <w:spacing w:val="-13"/>
          <w:w w:val="105"/>
        </w:rPr>
        <w:t> </w:t>
      </w:r>
      <w:r>
        <w:rPr>
          <w:w w:val="105"/>
        </w:rPr>
        <w:t>Ramos</w:t>
      </w:r>
      <w:r>
        <w:rPr>
          <w:spacing w:val="-10"/>
          <w:w w:val="105"/>
        </w:rPr>
        <w:t> </w:t>
      </w:r>
      <w:r>
        <w:rPr>
          <w:w w:val="105"/>
        </w:rPr>
        <w:t>(2012), Sánchez</w:t>
      </w:r>
      <w:r>
        <w:rPr>
          <w:spacing w:val="-40"/>
          <w:w w:val="105"/>
        </w:rPr>
        <w:t> </w:t>
      </w:r>
      <w:r>
        <w:rPr>
          <w:w w:val="105"/>
        </w:rPr>
        <w:t>y</w:t>
      </w:r>
      <w:r>
        <w:rPr>
          <w:spacing w:val="-41"/>
          <w:w w:val="105"/>
        </w:rPr>
        <w:t> </w:t>
      </w:r>
      <w:r>
        <w:rPr>
          <w:w w:val="105"/>
        </w:rPr>
        <w:t>Vizcarra</w:t>
      </w:r>
      <w:r>
        <w:rPr>
          <w:spacing w:val="-40"/>
          <w:w w:val="105"/>
        </w:rPr>
        <w:t> </w:t>
      </w:r>
      <w:r>
        <w:rPr>
          <w:w w:val="105"/>
        </w:rPr>
        <w:t>(2009,</w:t>
      </w:r>
      <w:r>
        <w:rPr>
          <w:spacing w:val="-42"/>
          <w:w w:val="105"/>
        </w:rPr>
        <w:t> </w:t>
      </w:r>
      <w:r>
        <w:rPr>
          <w:w w:val="105"/>
        </w:rPr>
        <w:t>2012).</w:t>
      </w:r>
      <w:r>
        <w:rPr>
          <w:spacing w:val="-42"/>
          <w:w w:val="105"/>
        </w:rPr>
        <w:t> </w:t>
      </w:r>
      <w:r>
        <w:rPr>
          <w:w w:val="105"/>
        </w:rPr>
        <w:t>Cada</w:t>
      </w:r>
      <w:r>
        <w:rPr>
          <w:spacing w:val="-40"/>
          <w:w w:val="105"/>
        </w:rPr>
        <w:t> </w:t>
      </w:r>
      <w:r>
        <w:rPr>
          <w:w w:val="105"/>
        </w:rPr>
        <w:t>una</w:t>
      </w:r>
      <w:r>
        <w:rPr>
          <w:spacing w:val="-40"/>
          <w:w w:val="105"/>
        </w:rPr>
        <w:t> </w:t>
      </w:r>
      <w:r>
        <w:rPr>
          <w:w w:val="105"/>
        </w:rPr>
        <w:t>en</w:t>
      </w:r>
      <w:r>
        <w:rPr>
          <w:spacing w:val="-40"/>
          <w:w w:val="105"/>
        </w:rPr>
        <w:t> </w:t>
      </w:r>
      <w:r>
        <w:rPr>
          <w:w w:val="105"/>
        </w:rPr>
        <w:t>diferentes</w:t>
      </w:r>
      <w:r>
        <w:rPr>
          <w:spacing w:val="-40"/>
          <w:w w:val="105"/>
        </w:rPr>
        <w:t> </w:t>
      </w:r>
      <w:r>
        <w:rPr>
          <w:w w:val="105"/>
        </w:rPr>
        <w:t>esferas</w:t>
      </w:r>
      <w:r>
        <w:rPr>
          <w:spacing w:val="-40"/>
          <w:w w:val="105"/>
        </w:rPr>
        <w:t> </w:t>
      </w:r>
      <w:r>
        <w:rPr>
          <w:w w:val="105"/>
        </w:rPr>
        <w:t>geográfi- cas</w:t>
      </w:r>
      <w:r>
        <w:rPr>
          <w:spacing w:val="-36"/>
          <w:w w:val="105"/>
        </w:rPr>
        <w:t> </w:t>
      </w:r>
      <w:r>
        <w:rPr>
          <w:w w:val="105"/>
        </w:rPr>
        <w:t>de</w:t>
      </w:r>
      <w:r>
        <w:rPr>
          <w:spacing w:val="-36"/>
          <w:w w:val="105"/>
        </w:rPr>
        <w:t> </w:t>
      </w:r>
      <w:r>
        <w:rPr>
          <w:w w:val="105"/>
        </w:rPr>
        <w:t>observación</w:t>
      </w:r>
      <w:r>
        <w:rPr>
          <w:spacing w:val="-36"/>
          <w:w w:val="105"/>
        </w:rPr>
        <w:t> </w:t>
      </w:r>
      <w:r>
        <w:rPr>
          <w:w w:val="105"/>
        </w:rPr>
        <w:t>y</w:t>
      </w:r>
      <w:r>
        <w:rPr>
          <w:spacing w:val="-36"/>
          <w:w w:val="105"/>
        </w:rPr>
        <w:t> </w:t>
      </w:r>
      <w:r>
        <w:rPr>
          <w:w w:val="105"/>
        </w:rPr>
        <w:t>discusiones</w:t>
      </w:r>
      <w:r>
        <w:rPr>
          <w:spacing w:val="-36"/>
          <w:w w:val="105"/>
        </w:rPr>
        <w:t> </w:t>
      </w:r>
      <w:r>
        <w:rPr>
          <w:w w:val="105"/>
        </w:rPr>
        <w:t>epistémicas.</w:t>
      </w:r>
      <w:r>
        <w:rPr>
          <w:spacing w:val="-39"/>
          <w:w w:val="105"/>
        </w:rPr>
        <w:t> </w:t>
      </w:r>
      <w:r>
        <w:rPr>
          <w:w w:val="105"/>
        </w:rPr>
        <w:t>Los</w:t>
      </w:r>
      <w:r>
        <w:rPr>
          <w:spacing w:val="-36"/>
          <w:w w:val="105"/>
        </w:rPr>
        <w:t> </w:t>
      </w:r>
      <w:r>
        <w:rPr>
          <w:w w:val="105"/>
        </w:rPr>
        <w:t>temas</w:t>
      </w:r>
      <w:r>
        <w:rPr>
          <w:spacing w:val="-36"/>
          <w:w w:val="105"/>
        </w:rPr>
        <w:t> </w:t>
      </w:r>
      <w:r>
        <w:rPr>
          <w:w w:val="105"/>
        </w:rPr>
        <w:t>tratados</w:t>
      </w:r>
      <w:r>
        <w:rPr>
          <w:spacing w:val="-36"/>
          <w:w w:val="105"/>
        </w:rPr>
        <w:t> </w:t>
      </w:r>
      <w:r>
        <w:rPr>
          <w:w w:val="105"/>
        </w:rPr>
        <w:t>se</w:t>
      </w:r>
      <w:r>
        <w:rPr>
          <w:spacing w:val="-36"/>
          <w:w w:val="105"/>
        </w:rPr>
        <w:t> </w:t>
      </w:r>
      <w:r>
        <w:rPr>
          <w:w w:val="105"/>
        </w:rPr>
        <w:t>cier- nen</w:t>
      </w:r>
      <w:r>
        <w:rPr>
          <w:spacing w:val="-8"/>
          <w:w w:val="105"/>
        </w:rPr>
        <w:t> </w:t>
      </w:r>
      <w:r>
        <w:rPr>
          <w:w w:val="105"/>
        </w:rPr>
        <w:t>en</w:t>
      </w:r>
      <w:r>
        <w:rPr>
          <w:spacing w:val="-8"/>
          <w:w w:val="105"/>
        </w:rPr>
        <w:t> </w:t>
      </w:r>
      <w:r>
        <w:rPr>
          <w:w w:val="105"/>
        </w:rPr>
        <w:t>torno</w:t>
      </w:r>
      <w:r>
        <w:rPr>
          <w:spacing w:val="-8"/>
          <w:w w:val="105"/>
        </w:rPr>
        <w:t> </w:t>
      </w:r>
      <w:r>
        <w:rPr>
          <w:w w:val="105"/>
        </w:rPr>
        <w:t>a</w:t>
      </w:r>
      <w:r>
        <w:rPr>
          <w:spacing w:val="-8"/>
          <w:w w:val="105"/>
        </w:rPr>
        <w:t> </w:t>
      </w:r>
      <w:r>
        <w:rPr>
          <w:w w:val="105"/>
        </w:rPr>
        <w:t>las</w:t>
      </w:r>
      <w:r>
        <w:rPr>
          <w:spacing w:val="-8"/>
          <w:w w:val="105"/>
        </w:rPr>
        <w:t> </w:t>
      </w:r>
      <w:r>
        <w:rPr>
          <w:w w:val="105"/>
        </w:rPr>
        <w:t>vivencias</w:t>
      </w:r>
      <w:r>
        <w:rPr>
          <w:spacing w:val="-8"/>
          <w:w w:val="105"/>
        </w:rPr>
        <w:t> </w:t>
      </w:r>
      <w:r>
        <w:rPr>
          <w:w w:val="105"/>
        </w:rPr>
        <w:t>emocionales</w:t>
      </w:r>
      <w:r>
        <w:rPr>
          <w:spacing w:val="-8"/>
          <w:w w:val="105"/>
        </w:rPr>
        <w:t> </w:t>
      </w:r>
      <w:r>
        <w:rPr>
          <w:w w:val="105"/>
        </w:rPr>
        <w:t>a</w:t>
      </w:r>
      <w:r>
        <w:rPr>
          <w:spacing w:val="-8"/>
          <w:w w:val="105"/>
        </w:rPr>
        <w:t> </w:t>
      </w:r>
      <w:r>
        <w:rPr>
          <w:w w:val="105"/>
        </w:rPr>
        <w:t>manera</w:t>
      </w:r>
      <w:r>
        <w:rPr>
          <w:spacing w:val="-8"/>
          <w:w w:val="105"/>
        </w:rPr>
        <w:t> </w:t>
      </w:r>
      <w:r>
        <w:rPr>
          <w:w w:val="105"/>
        </w:rPr>
        <w:t>de</w:t>
      </w:r>
      <w:r>
        <w:rPr>
          <w:spacing w:val="-8"/>
          <w:w w:val="105"/>
        </w:rPr>
        <w:t> </w:t>
      </w:r>
      <w:r>
        <w:rPr>
          <w:w w:val="105"/>
        </w:rPr>
        <w:t>“malestares”:</w:t>
      </w:r>
      <w:r>
        <w:rPr>
          <w:spacing w:val="-8"/>
          <w:w w:val="105"/>
        </w:rPr>
        <w:t> </w:t>
      </w:r>
      <w:r>
        <w:rPr>
          <w:w w:val="105"/>
        </w:rPr>
        <w:t>los estados de soledad y ansiedad como sintomatología patológica en las mujeres; el sometimiento social y emocional al que quedan expuestas las</w:t>
      </w:r>
      <w:r>
        <w:rPr>
          <w:spacing w:val="-23"/>
          <w:w w:val="105"/>
        </w:rPr>
        <w:t> </w:t>
      </w:r>
      <w:r>
        <w:rPr>
          <w:w w:val="105"/>
        </w:rPr>
        <w:t>mujeres</w:t>
      </w:r>
      <w:r>
        <w:rPr>
          <w:spacing w:val="-23"/>
          <w:w w:val="105"/>
        </w:rPr>
        <w:t> </w:t>
      </w:r>
      <w:r>
        <w:rPr>
          <w:w w:val="105"/>
        </w:rPr>
        <w:t>de</w:t>
      </w:r>
      <w:r>
        <w:rPr>
          <w:spacing w:val="-23"/>
          <w:w w:val="105"/>
        </w:rPr>
        <w:t> </w:t>
      </w:r>
      <w:r>
        <w:rPr>
          <w:w w:val="105"/>
        </w:rPr>
        <w:t>hombres</w:t>
      </w:r>
      <w:r>
        <w:rPr>
          <w:spacing w:val="-23"/>
          <w:w w:val="105"/>
        </w:rPr>
        <w:t> </w:t>
      </w:r>
      <w:r>
        <w:rPr>
          <w:w w:val="105"/>
        </w:rPr>
        <w:t>migrantes;</w:t>
      </w:r>
      <w:r>
        <w:rPr>
          <w:spacing w:val="-23"/>
          <w:w w:val="105"/>
        </w:rPr>
        <w:t> </w:t>
      </w:r>
      <w:r>
        <w:rPr>
          <w:w w:val="105"/>
        </w:rPr>
        <w:t>las</w:t>
      </w:r>
      <w:r>
        <w:rPr>
          <w:spacing w:val="-23"/>
          <w:w w:val="105"/>
        </w:rPr>
        <w:t> </w:t>
      </w:r>
      <w:r>
        <w:rPr>
          <w:w w:val="105"/>
        </w:rPr>
        <w:t>incertidumbres</w:t>
      </w:r>
      <w:r>
        <w:rPr>
          <w:spacing w:val="-23"/>
          <w:w w:val="105"/>
        </w:rPr>
        <w:t> </w:t>
      </w:r>
      <w:r>
        <w:rPr>
          <w:w w:val="105"/>
        </w:rPr>
        <w:t>de</w:t>
      </w:r>
      <w:r>
        <w:rPr>
          <w:spacing w:val="-23"/>
          <w:w w:val="105"/>
        </w:rPr>
        <w:t> </w:t>
      </w:r>
      <w:r>
        <w:rPr>
          <w:w w:val="105"/>
        </w:rPr>
        <w:t>la</w:t>
      </w:r>
      <w:r>
        <w:rPr>
          <w:spacing w:val="-23"/>
          <w:w w:val="105"/>
        </w:rPr>
        <w:t> </w:t>
      </w:r>
      <w:r>
        <w:rPr>
          <w:w w:val="105"/>
        </w:rPr>
        <w:t>migración</w:t>
      </w:r>
      <w:r>
        <w:rPr>
          <w:spacing w:val="-23"/>
          <w:w w:val="105"/>
        </w:rPr>
        <w:t> </w:t>
      </w:r>
      <w:r>
        <w:rPr>
          <w:w w:val="105"/>
        </w:rPr>
        <w:t>vi- venciadas</w:t>
      </w:r>
      <w:r>
        <w:rPr>
          <w:spacing w:val="-32"/>
          <w:w w:val="105"/>
        </w:rPr>
        <w:t> </w:t>
      </w:r>
      <w:r>
        <w:rPr>
          <w:w w:val="105"/>
        </w:rPr>
        <w:t>como</w:t>
      </w:r>
      <w:r>
        <w:rPr>
          <w:spacing w:val="-32"/>
          <w:w w:val="105"/>
        </w:rPr>
        <w:t> </w:t>
      </w:r>
      <w:r>
        <w:rPr>
          <w:w w:val="105"/>
        </w:rPr>
        <w:t>negativas,</w:t>
      </w:r>
      <w:r>
        <w:rPr>
          <w:spacing w:val="-36"/>
          <w:w w:val="105"/>
        </w:rPr>
        <w:t> </w:t>
      </w:r>
      <w:r>
        <w:rPr>
          <w:w w:val="105"/>
        </w:rPr>
        <w:t>de</w:t>
      </w:r>
      <w:r>
        <w:rPr>
          <w:spacing w:val="-32"/>
          <w:w w:val="105"/>
        </w:rPr>
        <w:t> </w:t>
      </w:r>
      <w:r>
        <w:rPr>
          <w:w w:val="105"/>
        </w:rPr>
        <w:t>los</w:t>
      </w:r>
      <w:r>
        <w:rPr>
          <w:spacing w:val="-32"/>
          <w:w w:val="105"/>
        </w:rPr>
        <w:t> </w:t>
      </w:r>
      <w:r>
        <w:rPr>
          <w:w w:val="105"/>
        </w:rPr>
        <w:t>éxitos</w:t>
      </w:r>
      <w:r>
        <w:rPr>
          <w:spacing w:val="-32"/>
          <w:w w:val="105"/>
        </w:rPr>
        <w:t> </w:t>
      </w:r>
      <w:r>
        <w:rPr>
          <w:w w:val="105"/>
        </w:rPr>
        <w:t>o</w:t>
      </w:r>
      <w:r>
        <w:rPr>
          <w:spacing w:val="-32"/>
          <w:w w:val="105"/>
        </w:rPr>
        <w:t> </w:t>
      </w:r>
      <w:r>
        <w:rPr>
          <w:w w:val="105"/>
        </w:rPr>
        <w:t>fracasos</w:t>
      </w:r>
      <w:r>
        <w:rPr>
          <w:spacing w:val="-32"/>
          <w:w w:val="105"/>
        </w:rPr>
        <w:t> </w:t>
      </w:r>
      <w:r>
        <w:rPr>
          <w:w w:val="105"/>
        </w:rPr>
        <w:t>del</w:t>
      </w:r>
      <w:r>
        <w:rPr>
          <w:spacing w:val="-32"/>
          <w:w w:val="105"/>
        </w:rPr>
        <w:t> </w:t>
      </w:r>
      <w:r>
        <w:rPr>
          <w:w w:val="105"/>
        </w:rPr>
        <w:t>migrante</w:t>
      </w:r>
      <w:r>
        <w:rPr>
          <w:spacing w:val="-32"/>
          <w:w w:val="105"/>
        </w:rPr>
        <w:t> </w:t>
      </w:r>
      <w:r>
        <w:rPr>
          <w:w w:val="105"/>
        </w:rPr>
        <w:t>emisoras de</w:t>
      </w:r>
      <w:r>
        <w:rPr>
          <w:spacing w:val="-22"/>
          <w:w w:val="105"/>
        </w:rPr>
        <w:t> </w:t>
      </w:r>
      <w:r>
        <w:rPr>
          <w:w w:val="105"/>
        </w:rPr>
        <w:t>emociones,</w:t>
      </w:r>
      <w:r>
        <w:rPr>
          <w:spacing w:val="-28"/>
          <w:w w:val="105"/>
        </w:rPr>
        <w:t> </w:t>
      </w:r>
      <w:r>
        <w:rPr>
          <w:w w:val="105"/>
        </w:rPr>
        <w:t>de</w:t>
      </w:r>
      <w:r>
        <w:rPr>
          <w:spacing w:val="-22"/>
          <w:w w:val="105"/>
        </w:rPr>
        <w:t> </w:t>
      </w:r>
      <w:r>
        <w:rPr>
          <w:w w:val="105"/>
        </w:rPr>
        <w:t>las</w:t>
      </w:r>
      <w:r>
        <w:rPr>
          <w:spacing w:val="-22"/>
          <w:w w:val="105"/>
        </w:rPr>
        <w:t> </w:t>
      </w:r>
      <w:r>
        <w:rPr>
          <w:w w:val="105"/>
        </w:rPr>
        <w:t>relaciones</w:t>
      </w:r>
      <w:r>
        <w:rPr>
          <w:spacing w:val="-22"/>
          <w:w w:val="105"/>
        </w:rPr>
        <w:t> </w:t>
      </w:r>
      <w:r>
        <w:rPr>
          <w:w w:val="105"/>
        </w:rPr>
        <w:t>de</w:t>
      </w:r>
      <w:r>
        <w:rPr>
          <w:spacing w:val="-22"/>
          <w:w w:val="105"/>
        </w:rPr>
        <w:t> </w:t>
      </w:r>
      <w:r>
        <w:rPr>
          <w:w w:val="105"/>
        </w:rPr>
        <w:t>género</w:t>
      </w:r>
      <w:r>
        <w:rPr>
          <w:spacing w:val="-22"/>
          <w:w w:val="105"/>
        </w:rPr>
        <w:t> </w:t>
      </w:r>
      <w:r>
        <w:rPr>
          <w:w w:val="105"/>
        </w:rPr>
        <w:t>que</w:t>
      </w:r>
      <w:r>
        <w:rPr>
          <w:spacing w:val="-22"/>
          <w:w w:val="105"/>
        </w:rPr>
        <w:t> </w:t>
      </w:r>
      <w:r>
        <w:rPr>
          <w:w w:val="105"/>
        </w:rPr>
        <w:t>estructuran</w:t>
      </w:r>
      <w:r>
        <w:rPr>
          <w:spacing w:val="-22"/>
          <w:w w:val="105"/>
        </w:rPr>
        <w:t> </w:t>
      </w:r>
      <w:r>
        <w:rPr>
          <w:w w:val="105"/>
        </w:rPr>
        <w:t>lo</w:t>
      </w:r>
      <w:r>
        <w:rPr>
          <w:spacing w:val="-22"/>
          <w:w w:val="105"/>
        </w:rPr>
        <w:t> </w:t>
      </w:r>
      <w:r>
        <w:rPr>
          <w:w w:val="105"/>
        </w:rPr>
        <w:t>emocional, etcétera.</w:t>
      </w:r>
      <w:r>
        <w:rPr>
          <w:spacing w:val="-20"/>
          <w:w w:val="105"/>
        </w:rPr>
        <w:t> </w:t>
      </w:r>
      <w:r>
        <w:rPr>
          <w:spacing w:val="-5"/>
          <w:w w:val="105"/>
        </w:rPr>
        <w:t>Todos</w:t>
      </w:r>
      <w:r>
        <w:rPr>
          <w:spacing w:val="-11"/>
          <w:w w:val="105"/>
        </w:rPr>
        <w:t> </w:t>
      </w:r>
      <w:r>
        <w:rPr>
          <w:w w:val="105"/>
        </w:rPr>
        <w:t>estos</w:t>
      </w:r>
      <w:r>
        <w:rPr>
          <w:spacing w:val="-11"/>
          <w:w w:val="105"/>
        </w:rPr>
        <w:t> </w:t>
      </w:r>
      <w:r>
        <w:rPr>
          <w:w w:val="105"/>
        </w:rPr>
        <w:t>antecedentes</w:t>
      </w:r>
      <w:r>
        <w:rPr>
          <w:spacing w:val="-11"/>
          <w:w w:val="105"/>
        </w:rPr>
        <w:t> </w:t>
      </w:r>
      <w:r>
        <w:rPr>
          <w:w w:val="105"/>
        </w:rPr>
        <w:t>de</w:t>
      </w:r>
      <w:r>
        <w:rPr>
          <w:spacing w:val="-11"/>
          <w:w w:val="105"/>
        </w:rPr>
        <w:t> </w:t>
      </w:r>
      <w:r>
        <w:rPr>
          <w:w w:val="105"/>
        </w:rPr>
        <w:t>la</w:t>
      </w:r>
      <w:r>
        <w:rPr>
          <w:spacing w:val="-11"/>
          <w:w w:val="105"/>
        </w:rPr>
        <w:t> </w:t>
      </w:r>
      <w:r>
        <w:rPr>
          <w:w w:val="105"/>
        </w:rPr>
        <w:t>relación</w:t>
      </w:r>
      <w:r>
        <w:rPr>
          <w:spacing w:val="-11"/>
          <w:w w:val="105"/>
        </w:rPr>
        <w:t> </w:t>
      </w:r>
      <w:r>
        <w:rPr>
          <w:w w:val="105"/>
        </w:rPr>
        <w:t>migración-emociones sobresalen</w:t>
      </w:r>
      <w:r>
        <w:rPr>
          <w:spacing w:val="-13"/>
          <w:w w:val="105"/>
        </w:rPr>
        <w:t> </w:t>
      </w:r>
      <w:r>
        <w:rPr>
          <w:w w:val="105"/>
        </w:rPr>
        <w:t>por</w:t>
      </w:r>
      <w:r>
        <w:rPr>
          <w:spacing w:val="-13"/>
          <w:w w:val="105"/>
        </w:rPr>
        <w:t> </w:t>
      </w:r>
      <w:r>
        <w:rPr>
          <w:w w:val="105"/>
        </w:rPr>
        <w:t>su</w:t>
      </w:r>
      <w:r>
        <w:rPr>
          <w:spacing w:val="-13"/>
          <w:w w:val="105"/>
        </w:rPr>
        <w:t> </w:t>
      </w:r>
      <w:r>
        <w:rPr>
          <w:w w:val="105"/>
        </w:rPr>
        <w:t>aporte</w:t>
      </w:r>
      <w:r>
        <w:rPr>
          <w:spacing w:val="-13"/>
          <w:w w:val="105"/>
        </w:rPr>
        <w:t> </w:t>
      </w:r>
      <w:r>
        <w:rPr>
          <w:w w:val="105"/>
        </w:rPr>
        <w:t>metodológico</w:t>
      </w:r>
      <w:r>
        <w:rPr>
          <w:spacing w:val="-13"/>
          <w:w w:val="105"/>
        </w:rPr>
        <w:t> </w:t>
      </w:r>
      <w:r>
        <w:rPr>
          <w:w w:val="105"/>
        </w:rPr>
        <w:t>y</w:t>
      </w:r>
      <w:r>
        <w:rPr>
          <w:spacing w:val="-13"/>
          <w:w w:val="105"/>
        </w:rPr>
        <w:t> </w:t>
      </w:r>
      <w:r>
        <w:rPr>
          <w:w w:val="105"/>
        </w:rPr>
        <w:t>como</w:t>
      </w:r>
      <w:r>
        <w:rPr>
          <w:spacing w:val="-13"/>
          <w:w w:val="105"/>
        </w:rPr>
        <w:t> </w:t>
      </w:r>
      <w:r>
        <w:rPr>
          <w:w w:val="105"/>
        </w:rPr>
        <w:t>herramientas</w:t>
      </w:r>
      <w:r>
        <w:rPr>
          <w:spacing w:val="-13"/>
          <w:w w:val="105"/>
        </w:rPr>
        <w:t> </w:t>
      </w:r>
      <w:r>
        <w:rPr>
          <w:w w:val="105"/>
        </w:rPr>
        <w:t>de</w:t>
      </w:r>
      <w:r>
        <w:rPr>
          <w:spacing w:val="-13"/>
          <w:w w:val="105"/>
        </w:rPr>
        <w:t> </w:t>
      </w:r>
      <w:r>
        <w:rPr>
          <w:w w:val="105"/>
        </w:rPr>
        <w:t>análisis</w:t>
      </w:r>
    </w:p>
    <w:p>
      <w:pPr>
        <w:pStyle w:val="BodyText"/>
        <w:rPr>
          <w:sz w:val="20"/>
        </w:rPr>
      </w:pPr>
    </w:p>
    <w:p>
      <w:pPr>
        <w:pStyle w:val="BodyText"/>
        <w:spacing w:before="9"/>
        <w:rPr>
          <w:sz w:val="20"/>
        </w:rPr>
      </w:pPr>
    </w:p>
    <w:p>
      <w:pPr>
        <w:pStyle w:val="Heading3"/>
      </w:pPr>
      <w:r>
        <w:rPr>
          <w:color w:val="231F20"/>
        </w:rPr>
        <w:t>El contexto de las idas y regresos</w:t>
      </w:r>
    </w:p>
    <w:p>
      <w:pPr>
        <w:pStyle w:val="BodyText"/>
        <w:rPr>
          <w:rFonts w:ascii="Arial"/>
          <w:b/>
          <w:sz w:val="22"/>
        </w:rPr>
      </w:pPr>
    </w:p>
    <w:p>
      <w:pPr>
        <w:pStyle w:val="BodyText"/>
        <w:spacing w:line="261" w:lineRule="auto" w:before="163"/>
        <w:ind w:left="1516" w:right="1715"/>
        <w:jc w:val="right"/>
      </w:pPr>
      <w:r>
        <w:rPr/>
        <w:pict>
          <v:line style="position:absolute;mso-position-horizontal-relative:page;mso-position-vertical-relative:paragraph;z-index:-443560" from="15pt,184.431885pt" to="0pt,184.431885pt" stroked="true" strokeweight=".25pt" strokecolor="#000000">
            <w10:wrap type="none"/>
          </v:line>
        </w:pict>
      </w:r>
      <w:r>
        <w:rPr/>
        <w:pict>
          <v:line style="position:absolute;mso-position-horizontal-relative:page;mso-position-vertical-relative:paragraph;z-index:46648" from="508.890015pt,184.431885pt" to="523.890015pt,184.431885pt" stroked="true" strokeweight=".25pt" strokecolor="#000000">
            <w10:wrap type="none"/>
          </v:line>
        </w:pict>
      </w:r>
      <w:r>
        <w:rPr>
          <w:color w:val="231F20"/>
          <w:w w:val="105"/>
        </w:rPr>
        <w:t>La relación México y estado de </w:t>
      </w:r>
      <w:r>
        <w:rPr>
          <w:color w:val="231F20"/>
          <w:spacing w:val="-5"/>
          <w:w w:val="105"/>
        </w:rPr>
        <w:t>Texas </w:t>
      </w:r>
      <w:r>
        <w:rPr>
          <w:color w:val="231F20"/>
          <w:w w:val="105"/>
        </w:rPr>
        <w:t>(Estados Unidos) tiene</w:t>
      </w:r>
      <w:r>
        <w:rPr>
          <w:color w:val="231F20"/>
          <w:spacing w:val="-9"/>
          <w:w w:val="105"/>
        </w:rPr>
        <w:t> </w:t>
      </w:r>
      <w:r>
        <w:rPr>
          <w:color w:val="231F20"/>
          <w:w w:val="105"/>
        </w:rPr>
        <w:t>una</w:t>
      </w:r>
      <w:r>
        <w:rPr>
          <w:color w:val="231F20"/>
          <w:spacing w:val="-1"/>
          <w:w w:val="105"/>
        </w:rPr>
        <w:t> </w:t>
      </w:r>
      <w:r>
        <w:rPr>
          <w:color w:val="231F20"/>
          <w:w w:val="105"/>
        </w:rPr>
        <w:t>larga</w:t>
      </w:r>
      <w:r>
        <w:rPr>
          <w:color w:val="231F20"/>
          <w:w w:val="104"/>
        </w:rPr>
        <w:t> </w:t>
      </w:r>
      <w:r>
        <w:rPr>
          <w:color w:val="231F20"/>
          <w:w w:val="105"/>
        </w:rPr>
        <w:t>historia.</w:t>
      </w:r>
      <w:r>
        <w:rPr>
          <w:color w:val="231F20"/>
          <w:spacing w:val="-26"/>
          <w:w w:val="105"/>
        </w:rPr>
        <w:t> </w:t>
      </w:r>
      <w:r>
        <w:rPr>
          <w:color w:val="231F20"/>
          <w:w w:val="105"/>
        </w:rPr>
        <w:t>En</w:t>
      </w:r>
      <w:r>
        <w:rPr>
          <w:color w:val="231F20"/>
          <w:spacing w:val="17"/>
          <w:w w:val="105"/>
        </w:rPr>
        <w:t> </w:t>
      </w:r>
      <w:r>
        <w:rPr>
          <w:color w:val="231F20"/>
          <w:w w:val="105"/>
        </w:rPr>
        <w:t>su</w:t>
      </w:r>
      <w:r>
        <w:rPr>
          <w:color w:val="231F20"/>
          <w:spacing w:val="-22"/>
          <w:w w:val="105"/>
        </w:rPr>
        <w:t> </w:t>
      </w:r>
      <w:r>
        <w:rPr>
          <w:color w:val="231F20"/>
          <w:w w:val="105"/>
        </w:rPr>
        <w:t>etapa</w:t>
      </w:r>
      <w:r>
        <w:rPr>
          <w:color w:val="231F20"/>
          <w:spacing w:val="-22"/>
          <w:w w:val="105"/>
        </w:rPr>
        <w:t> </w:t>
      </w:r>
      <w:r>
        <w:rPr>
          <w:color w:val="231F20"/>
          <w:w w:val="105"/>
        </w:rPr>
        <w:t>contemporánea</w:t>
      </w:r>
      <w:r>
        <w:rPr>
          <w:color w:val="231F20"/>
          <w:spacing w:val="-22"/>
          <w:w w:val="105"/>
        </w:rPr>
        <w:t> </w:t>
      </w:r>
      <w:r>
        <w:rPr>
          <w:color w:val="231F20"/>
          <w:w w:val="105"/>
        </w:rPr>
        <w:t>fue</w:t>
      </w:r>
      <w:r>
        <w:rPr>
          <w:color w:val="231F20"/>
          <w:spacing w:val="-22"/>
          <w:w w:val="105"/>
        </w:rPr>
        <w:t> </w:t>
      </w:r>
      <w:r>
        <w:rPr>
          <w:color w:val="231F20"/>
          <w:w w:val="105"/>
        </w:rPr>
        <w:t>una</w:t>
      </w:r>
      <w:r>
        <w:rPr>
          <w:color w:val="231F20"/>
          <w:spacing w:val="-22"/>
          <w:w w:val="105"/>
        </w:rPr>
        <w:t> </w:t>
      </w:r>
      <w:r>
        <w:rPr>
          <w:color w:val="231F20"/>
          <w:w w:val="105"/>
        </w:rPr>
        <w:t>relación</w:t>
      </w:r>
      <w:r>
        <w:rPr>
          <w:color w:val="231F20"/>
          <w:spacing w:val="-22"/>
          <w:w w:val="105"/>
        </w:rPr>
        <w:t> </w:t>
      </w:r>
      <w:r>
        <w:rPr>
          <w:color w:val="231F20"/>
          <w:w w:val="105"/>
        </w:rPr>
        <w:t>especialmente</w:t>
      </w:r>
      <w:r>
        <w:rPr>
          <w:color w:val="231F20"/>
          <w:spacing w:val="-22"/>
          <w:w w:val="105"/>
        </w:rPr>
        <w:t> </w:t>
      </w:r>
      <w:r>
        <w:rPr>
          <w:color w:val="231F20"/>
          <w:w w:val="105"/>
        </w:rPr>
        <w:t>es-</w:t>
      </w:r>
      <w:r>
        <w:rPr>
          <w:color w:val="231F20"/>
          <w:w w:val="96"/>
        </w:rPr>
        <w:t> </w:t>
      </w:r>
      <w:r>
        <w:rPr>
          <w:color w:val="231F20"/>
          <w:w w:val="105"/>
        </w:rPr>
        <w:t>trecha</w:t>
      </w:r>
      <w:r>
        <w:rPr>
          <w:color w:val="231F20"/>
          <w:spacing w:val="-13"/>
          <w:w w:val="105"/>
        </w:rPr>
        <w:t> </w:t>
      </w:r>
      <w:r>
        <w:rPr>
          <w:color w:val="231F20"/>
          <w:w w:val="105"/>
        </w:rPr>
        <w:t>en</w:t>
      </w:r>
      <w:r>
        <w:rPr>
          <w:color w:val="231F20"/>
          <w:spacing w:val="-13"/>
          <w:w w:val="105"/>
        </w:rPr>
        <w:t> </w:t>
      </w:r>
      <w:r>
        <w:rPr>
          <w:color w:val="231F20"/>
          <w:w w:val="105"/>
        </w:rPr>
        <w:t>lo</w:t>
      </w:r>
      <w:r>
        <w:rPr>
          <w:color w:val="231F20"/>
          <w:spacing w:val="-13"/>
          <w:w w:val="105"/>
        </w:rPr>
        <w:t> </w:t>
      </w:r>
      <w:r>
        <w:rPr>
          <w:color w:val="231F20"/>
          <w:w w:val="105"/>
        </w:rPr>
        <w:t>laboral.</w:t>
      </w:r>
      <w:r>
        <w:rPr>
          <w:color w:val="231F20"/>
          <w:spacing w:val="-18"/>
          <w:w w:val="105"/>
        </w:rPr>
        <w:t> </w:t>
      </w:r>
      <w:r>
        <w:rPr>
          <w:color w:val="231F20"/>
          <w:w w:val="105"/>
        </w:rPr>
        <w:t>Los</w:t>
      </w:r>
      <w:r>
        <w:rPr>
          <w:color w:val="231F20"/>
          <w:spacing w:val="-13"/>
          <w:w w:val="105"/>
        </w:rPr>
        <w:t> </w:t>
      </w:r>
      <w:r>
        <w:rPr>
          <w:color w:val="231F20"/>
          <w:w w:val="105"/>
        </w:rPr>
        <w:t>estados</w:t>
      </w:r>
      <w:r>
        <w:rPr>
          <w:color w:val="231F20"/>
          <w:spacing w:val="-13"/>
          <w:w w:val="105"/>
        </w:rPr>
        <w:t> </w:t>
      </w:r>
      <w:r>
        <w:rPr>
          <w:color w:val="231F20"/>
          <w:w w:val="105"/>
        </w:rPr>
        <w:t>de</w:t>
      </w:r>
      <w:r>
        <w:rPr>
          <w:color w:val="231F20"/>
          <w:spacing w:val="-13"/>
          <w:w w:val="105"/>
        </w:rPr>
        <w:t> </w:t>
      </w:r>
      <w:r>
        <w:rPr>
          <w:color w:val="231F20"/>
          <w:w w:val="105"/>
        </w:rPr>
        <w:t>Nuevo</w:t>
      </w:r>
      <w:r>
        <w:rPr>
          <w:color w:val="231F20"/>
          <w:spacing w:val="-13"/>
          <w:w w:val="105"/>
        </w:rPr>
        <w:t> </w:t>
      </w:r>
      <w:r>
        <w:rPr>
          <w:color w:val="231F20"/>
          <w:w w:val="105"/>
        </w:rPr>
        <w:t>México,</w:t>
      </w:r>
      <w:r>
        <w:rPr>
          <w:color w:val="231F20"/>
          <w:spacing w:val="-21"/>
          <w:w w:val="105"/>
        </w:rPr>
        <w:t> </w:t>
      </w:r>
      <w:r>
        <w:rPr>
          <w:color w:val="231F20"/>
          <w:w w:val="105"/>
        </w:rPr>
        <w:t>Arizona,</w:t>
      </w:r>
      <w:r>
        <w:rPr>
          <w:color w:val="231F20"/>
          <w:spacing w:val="-21"/>
          <w:w w:val="105"/>
        </w:rPr>
        <w:t> </w:t>
      </w:r>
      <w:r>
        <w:rPr>
          <w:color w:val="231F20"/>
          <w:spacing w:val="-5"/>
          <w:w w:val="105"/>
        </w:rPr>
        <w:t>Texas</w:t>
      </w:r>
      <w:r>
        <w:rPr>
          <w:color w:val="231F20"/>
          <w:spacing w:val="-13"/>
          <w:w w:val="105"/>
        </w:rPr>
        <w:t> </w:t>
      </w:r>
      <w:r>
        <w:rPr>
          <w:color w:val="231F20"/>
          <w:w w:val="105"/>
        </w:rPr>
        <w:t>y</w:t>
      </w:r>
      <w:r>
        <w:rPr>
          <w:color w:val="231F20"/>
          <w:spacing w:val="-13"/>
          <w:w w:val="105"/>
        </w:rPr>
        <w:t> </w:t>
      </w:r>
      <w:r>
        <w:rPr>
          <w:color w:val="231F20"/>
          <w:w w:val="105"/>
        </w:rPr>
        <w:t>Ca-</w:t>
      </w:r>
      <w:r>
        <w:rPr>
          <w:color w:val="231F20"/>
          <w:w w:val="96"/>
        </w:rPr>
        <w:t> </w:t>
      </w:r>
      <w:r>
        <w:rPr>
          <w:color w:val="231F20"/>
          <w:w w:val="105"/>
        </w:rPr>
        <w:t>lifornia</w:t>
      </w:r>
      <w:r>
        <w:rPr>
          <w:color w:val="231F20"/>
          <w:spacing w:val="-6"/>
          <w:w w:val="105"/>
        </w:rPr>
        <w:t> </w:t>
      </w:r>
      <w:r>
        <w:rPr>
          <w:color w:val="231F20"/>
          <w:w w:val="105"/>
        </w:rPr>
        <w:t>hacen</w:t>
      </w:r>
      <w:r>
        <w:rPr>
          <w:color w:val="231F20"/>
          <w:spacing w:val="-6"/>
          <w:w w:val="105"/>
        </w:rPr>
        <w:t> </w:t>
      </w:r>
      <w:r>
        <w:rPr>
          <w:color w:val="231F20"/>
          <w:w w:val="105"/>
        </w:rPr>
        <w:t>frontera</w:t>
      </w:r>
      <w:r>
        <w:rPr>
          <w:color w:val="231F20"/>
          <w:spacing w:val="-6"/>
          <w:w w:val="105"/>
        </w:rPr>
        <w:t> </w:t>
      </w:r>
      <w:r>
        <w:rPr>
          <w:color w:val="231F20"/>
          <w:w w:val="105"/>
        </w:rPr>
        <w:t>con</w:t>
      </w:r>
      <w:r>
        <w:rPr>
          <w:color w:val="231F20"/>
          <w:spacing w:val="-6"/>
          <w:w w:val="105"/>
        </w:rPr>
        <w:t> </w:t>
      </w:r>
      <w:r>
        <w:rPr>
          <w:color w:val="231F20"/>
          <w:w w:val="105"/>
        </w:rPr>
        <w:t>México,</w:t>
      </w:r>
      <w:r>
        <w:rPr>
          <w:color w:val="231F20"/>
          <w:spacing w:val="-13"/>
          <w:w w:val="105"/>
        </w:rPr>
        <w:t> </w:t>
      </w:r>
      <w:r>
        <w:rPr>
          <w:color w:val="231F20"/>
          <w:w w:val="105"/>
        </w:rPr>
        <w:t>condición</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coloca</w:t>
      </w:r>
      <w:r>
        <w:rPr>
          <w:color w:val="231F20"/>
          <w:spacing w:val="-6"/>
          <w:w w:val="105"/>
        </w:rPr>
        <w:t> </w:t>
      </w:r>
      <w:r>
        <w:rPr>
          <w:color w:val="231F20"/>
          <w:w w:val="105"/>
        </w:rPr>
        <w:t>en</w:t>
      </w:r>
      <w:r>
        <w:rPr>
          <w:color w:val="231F20"/>
          <w:spacing w:val="-6"/>
          <w:w w:val="105"/>
        </w:rPr>
        <w:t> </w:t>
      </w:r>
      <w:r>
        <w:rPr>
          <w:color w:val="231F20"/>
          <w:w w:val="105"/>
        </w:rPr>
        <w:t>un</w:t>
      </w:r>
      <w:r>
        <w:rPr>
          <w:color w:val="231F20"/>
          <w:spacing w:val="-6"/>
          <w:w w:val="105"/>
        </w:rPr>
        <w:t> </w:t>
      </w:r>
      <w:r>
        <w:rPr>
          <w:color w:val="231F20"/>
          <w:w w:val="105"/>
        </w:rPr>
        <w:t>lugar</w:t>
      </w:r>
      <w:r>
        <w:rPr>
          <w:color w:val="231F20"/>
          <w:w w:val="105"/>
        </w:rPr>
        <w:t> </w:t>
      </w:r>
      <w:r>
        <w:rPr>
          <w:color w:val="231F20"/>
          <w:w w:val="105"/>
        </w:rPr>
        <w:t>importante</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historia</w:t>
      </w:r>
      <w:r>
        <w:rPr>
          <w:color w:val="231F20"/>
          <w:spacing w:val="-12"/>
          <w:w w:val="105"/>
        </w:rPr>
        <w:t> </w:t>
      </w:r>
      <w:r>
        <w:rPr>
          <w:color w:val="231F20"/>
          <w:w w:val="105"/>
        </w:rPr>
        <w:t>migratoria,</w:t>
      </w:r>
      <w:r>
        <w:rPr>
          <w:color w:val="231F20"/>
          <w:spacing w:val="-18"/>
          <w:w w:val="105"/>
        </w:rPr>
        <w:t> </w:t>
      </w:r>
      <w:r>
        <w:rPr>
          <w:color w:val="231F20"/>
          <w:w w:val="105"/>
        </w:rPr>
        <w:t>pues</w:t>
      </w:r>
      <w:r>
        <w:rPr>
          <w:color w:val="231F20"/>
          <w:spacing w:val="-12"/>
          <w:w w:val="105"/>
        </w:rPr>
        <w:t> </w:t>
      </w:r>
      <w:r>
        <w:rPr>
          <w:color w:val="231F20"/>
          <w:w w:val="105"/>
        </w:rPr>
        <w:t>en</w:t>
      </w:r>
      <w:r>
        <w:rPr>
          <w:color w:val="231F20"/>
          <w:spacing w:val="-12"/>
          <w:w w:val="105"/>
        </w:rPr>
        <w:t> </w:t>
      </w:r>
      <w:r>
        <w:rPr>
          <w:color w:val="231F20"/>
          <w:w w:val="105"/>
        </w:rPr>
        <w:t>ellos</w:t>
      </w:r>
      <w:r>
        <w:rPr>
          <w:color w:val="231F20"/>
          <w:spacing w:val="-12"/>
          <w:w w:val="105"/>
        </w:rPr>
        <w:t> </w:t>
      </w:r>
      <w:r>
        <w:rPr>
          <w:color w:val="231F20"/>
          <w:w w:val="105"/>
        </w:rPr>
        <w:t>está</w:t>
      </w:r>
      <w:r>
        <w:rPr>
          <w:color w:val="231F20"/>
          <w:spacing w:val="-12"/>
          <w:w w:val="105"/>
        </w:rPr>
        <w:t> </w:t>
      </w:r>
      <w:r>
        <w:rPr>
          <w:color w:val="231F20"/>
          <w:w w:val="105"/>
        </w:rPr>
        <w:t>la</w:t>
      </w:r>
      <w:r>
        <w:rPr>
          <w:color w:val="231F20"/>
          <w:spacing w:val="-12"/>
          <w:w w:val="105"/>
        </w:rPr>
        <w:t> </w:t>
      </w:r>
      <w:r>
        <w:rPr>
          <w:color w:val="231F20"/>
          <w:w w:val="105"/>
        </w:rPr>
        <w:t>mayor</w:t>
      </w:r>
      <w:r>
        <w:rPr>
          <w:color w:val="231F20"/>
          <w:spacing w:val="-12"/>
          <w:w w:val="105"/>
        </w:rPr>
        <w:t> </w:t>
      </w:r>
      <w:r>
        <w:rPr>
          <w:color w:val="231F20"/>
          <w:w w:val="105"/>
        </w:rPr>
        <w:t>parte</w:t>
      </w:r>
      <w:r>
        <w:rPr>
          <w:color w:val="231F20"/>
          <w:spacing w:val="-12"/>
          <w:w w:val="105"/>
        </w:rPr>
        <w:t> </w:t>
      </w:r>
      <w:r>
        <w:rPr>
          <w:color w:val="231F20"/>
          <w:w w:val="105"/>
        </w:rPr>
        <w:t>de</w:t>
      </w:r>
      <w:r>
        <w:rPr>
          <w:color w:val="231F20"/>
          <w:w w:val="108"/>
        </w:rPr>
        <w:t> </w:t>
      </w:r>
      <w:r>
        <w:rPr>
          <w:color w:val="231F20"/>
          <w:w w:val="105"/>
        </w:rPr>
        <w:t>población</w:t>
      </w:r>
      <w:r>
        <w:rPr>
          <w:color w:val="231F20"/>
          <w:spacing w:val="-19"/>
          <w:w w:val="105"/>
        </w:rPr>
        <w:t> </w:t>
      </w:r>
      <w:r>
        <w:rPr>
          <w:color w:val="231F20"/>
          <w:w w:val="105"/>
        </w:rPr>
        <w:t>nacida</w:t>
      </w:r>
      <w:r>
        <w:rPr>
          <w:color w:val="231F20"/>
          <w:spacing w:val="-19"/>
          <w:w w:val="105"/>
        </w:rPr>
        <w:t> </w:t>
      </w:r>
      <w:r>
        <w:rPr>
          <w:color w:val="231F20"/>
          <w:w w:val="105"/>
        </w:rPr>
        <w:t>en</w:t>
      </w:r>
      <w:r>
        <w:rPr>
          <w:color w:val="231F20"/>
          <w:spacing w:val="-19"/>
          <w:w w:val="105"/>
        </w:rPr>
        <w:t> </w:t>
      </w:r>
      <w:r>
        <w:rPr>
          <w:color w:val="231F20"/>
          <w:w w:val="105"/>
        </w:rPr>
        <w:t>México</w:t>
      </w:r>
      <w:r>
        <w:rPr>
          <w:color w:val="231F20"/>
          <w:spacing w:val="-19"/>
          <w:w w:val="105"/>
        </w:rPr>
        <w:t> </w:t>
      </w:r>
      <w:r>
        <w:rPr>
          <w:color w:val="231F20"/>
          <w:w w:val="105"/>
        </w:rPr>
        <w:t>en</w:t>
      </w:r>
      <w:r>
        <w:rPr>
          <w:color w:val="231F20"/>
          <w:spacing w:val="-19"/>
          <w:w w:val="105"/>
        </w:rPr>
        <w:t> </w:t>
      </w:r>
      <w:r>
        <w:rPr>
          <w:color w:val="231F20"/>
          <w:w w:val="105"/>
        </w:rPr>
        <w:t>calidad</w:t>
      </w:r>
      <w:r>
        <w:rPr>
          <w:color w:val="231F20"/>
          <w:spacing w:val="-19"/>
          <w:w w:val="105"/>
        </w:rPr>
        <w:t> </w:t>
      </w:r>
      <w:r>
        <w:rPr>
          <w:color w:val="231F20"/>
          <w:w w:val="105"/>
        </w:rPr>
        <w:t>de</w:t>
      </w:r>
      <w:r>
        <w:rPr>
          <w:color w:val="231F20"/>
          <w:spacing w:val="-19"/>
          <w:w w:val="105"/>
        </w:rPr>
        <w:t> </w:t>
      </w:r>
      <w:r>
        <w:rPr>
          <w:color w:val="231F20"/>
          <w:w w:val="105"/>
        </w:rPr>
        <w:t>residentes</w:t>
      </w:r>
      <w:r>
        <w:rPr>
          <w:color w:val="231F20"/>
          <w:spacing w:val="-19"/>
          <w:w w:val="105"/>
        </w:rPr>
        <w:t> </w:t>
      </w:r>
      <w:r>
        <w:rPr>
          <w:color w:val="231F20"/>
          <w:w w:val="105"/>
        </w:rPr>
        <w:t>e</w:t>
      </w:r>
      <w:r>
        <w:rPr>
          <w:color w:val="231F20"/>
          <w:spacing w:val="-19"/>
          <w:w w:val="105"/>
        </w:rPr>
        <w:t> </w:t>
      </w:r>
      <w:r>
        <w:rPr>
          <w:color w:val="231F20"/>
          <w:w w:val="105"/>
        </w:rPr>
        <w:t>indocumentados.</w:t>
      </w:r>
      <w:r>
        <w:rPr>
          <w:color w:val="231F20"/>
          <w:w w:val="104"/>
        </w:rPr>
        <w:t> </w:t>
      </w:r>
      <w:r>
        <w:rPr>
          <w:color w:val="231F20"/>
          <w:w w:val="105"/>
        </w:rPr>
        <w:t>Las parejas entrevistadas reúnen el estereotipo de</w:t>
      </w:r>
      <w:r>
        <w:rPr>
          <w:color w:val="231F20"/>
          <w:spacing w:val="20"/>
          <w:w w:val="105"/>
        </w:rPr>
        <w:t> </w:t>
      </w:r>
      <w:r>
        <w:rPr>
          <w:color w:val="231F20"/>
          <w:w w:val="105"/>
        </w:rPr>
        <w:t>la</w:t>
      </w:r>
      <w:r>
        <w:rPr>
          <w:color w:val="231F20"/>
          <w:spacing w:val="19"/>
          <w:w w:val="105"/>
        </w:rPr>
        <w:t> </w:t>
      </w:r>
      <w:r>
        <w:rPr>
          <w:color w:val="231F20"/>
          <w:w w:val="105"/>
        </w:rPr>
        <w:t>migración</w:t>
      </w:r>
      <w:r>
        <w:rPr>
          <w:color w:val="231F20"/>
          <w:w w:val="103"/>
        </w:rPr>
        <w:t> </w:t>
      </w:r>
      <w:r>
        <w:rPr>
          <w:color w:val="231F20"/>
          <w:w w:val="105"/>
        </w:rPr>
        <w:t>masculina:</w:t>
      </w:r>
      <w:r>
        <w:rPr>
          <w:color w:val="231F20"/>
          <w:spacing w:val="-18"/>
          <w:w w:val="105"/>
        </w:rPr>
        <w:t> </w:t>
      </w:r>
      <w:r>
        <w:rPr>
          <w:color w:val="231F20"/>
          <w:w w:val="105"/>
        </w:rPr>
        <w:t>hombre</w:t>
      </w:r>
      <w:r>
        <w:rPr>
          <w:color w:val="231F20"/>
          <w:spacing w:val="-18"/>
          <w:w w:val="105"/>
        </w:rPr>
        <w:t> </w:t>
      </w:r>
      <w:r>
        <w:rPr>
          <w:color w:val="231F20"/>
          <w:w w:val="105"/>
        </w:rPr>
        <w:t>migrante</w:t>
      </w:r>
      <w:r>
        <w:rPr>
          <w:color w:val="231F20"/>
          <w:spacing w:val="-18"/>
          <w:w w:val="105"/>
        </w:rPr>
        <w:t> </w:t>
      </w:r>
      <w:r>
        <w:rPr>
          <w:color w:val="231F20"/>
          <w:w w:val="105"/>
        </w:rPr>
        <w:t>y</w:t>
      </w:r>
      <w:r>
        <w:rPr>
          <w:color w:val="231F20"/>
          <w:spacing w:val="-18"/>
          <w:w w:val="105"/>
        </w:rPr>
        <w:t> </w:t>
      </w:r>
      <w:r>
        <w:rPr>
          <w:color w:val="231F20"/>
          <w:w w:val="105"/>
        </w:rPr>
        <w:t>mujer</w:t>
      </w:r>
      <w:r>
        <w:rPr>
          <w:color w:val="231F20"/>
          <w:spacing w:val="-18"/>
          <w:w w:val="105"/>
        </w:rPr>
        <w:t> </w:t>
      </w:r>
      <w:r>
        <w:rPr>
          <w:color w:val="231F20"/>
          <w:w w:val="105"/>
        </w:rPr>
        <w:t>que</w:t>
      </w:r>
      <w:r>
        <w:rPr>
          <w:color w:val="231F20"/>
          <w:spacing w:val="-18"/>
          <w:w w:val="105"/>
        </w:rPr>
        <w:t> </w:t>
      </w:r>
      <w:r>
        <w:rPr>
          <w:color w:val="231F20"/>
          <w:w w:val="105"/>
        </w:rPr>
        <w:t>espera,</w:t>
      </w:r>
      <w:r>
        <w:rPr>
          <w:color w:val="231F20"/>
          <w:spacing w:val="-23"/>
          <w:w w:val="105"/>
        </w:rPr>
        <w:t> </w:t>
      </w:r>
      <w:r>
        <w:rPr>
          <w:color w:val="231F20"/>
          <w:w w:val="105"/>
        </w:rPr>
        <w:t>la</w:t>
      </w:r>
      <w:r>
        <w:rPr>
          <w:color w:val="231F20"/>
          <w:spacing w:val="-18"/>
          <w:w w:val="105"/>
        </w:rPr>
        <w:t> </w:t>
      </w:r>
      <w:r>
        <w:rPr>
          <w:color w:val="231F20"/>
          <w:w w:val="105"/>
        </w:rPr>
        <w:t>mayoría</w:t>
      </w:r>
      <w:r>
        <w:rPr>
          <w:color w:val="231F20"/>
          <w:spacing w:val="-18"/>
          <w:w w:val="105"/>
        </w:rPr>
        <w:t> </w:t>
      </w:r>
      <w:r>
        <w:rPr>
          <w:color w:val="231F20"/>
          <w:w w:val="105"/>
        </w:rPr>
        <w:t>son</w:t>
      </w:r>
      <w:r>
        <w:rPr>
          <w:color w:val="231F20"/>
          <w:spacing w:val="-18"/>
          <w:w w:val="105"/>
        </w:rPr>
        <w:t> </w:t>
      </w:r>
      <w:r>
        <w:rPr>
          <w:color w:val="231F20"/>
          <w:w w:val="105"/>
        </w:rPr>
        <w:t>jóvenes</w:t>
      </w:r>
    </w:p>
    <w:p>
      <w:pPr>
        <w:spacing w:after="0" w:line="261" w:lineRule="auto"/>
        <w:jc w:val="right"/>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46696" from="15pt,-71.68644pt" to="0pt,-71.68644pt" stroked="true" strokeweight=".25pt" strokecolor="#000000">
            <w10:wrap type="none"/>
          </v:line>
        </w:pict>
      </w:r>
      <w:r>
        <w:rPr/>
        <w:pict>
          <v:line style="position:absolute;mso-position-horizontal-relative:page;mso-position-vertical-relative:paragraph;z-index:46720" from="508.890015pt,-71.68644pt" to="523.890015pt,-71.68644pt" stroked="true" strokeweight=".25pt" strokecolor="#000000">
            <w10:wrap type="none"/>
          </v:line>
        </w:pict>
      </w:r>
      <w:r>
        <w:rPr>
          <w:color w:val="231F20"/>
          <w:w w:val="105"/>
        </w:rPr>
        <w:t>de</w:t>
      </w:r>
      <w:r>
        <w:rPr>
          <w:color w:val="231F20"/>
          <w:spacing w:val="-8"/>
          <w:w w:val="105"/>
        </w:rPr>
        <w:t> </w:t>
      </w:r>
      <w:r>
        <w:rPr>
          <w:color w:val="231F20"/>
          <w:w w:val="105"/>
        </w:rPr>
        <w:t>entre</w:t>
      </w:r>
      <w:r>
        <w:rPr>
          <w:color w:val="231F20"/>
          <w:spacing w:val="-8"/>
          <w:w w:val="105"/>
        </w:rPr>
        <w:t> </w:t>
      </w:r>
      <w:r>
        <w:rPr>
          <w:color w:val="231F20"/>
          <w:w w:val="105"/>
        </w:rPr>
        <w:t>31</w:t>
      </w:r>
      <w:r>
        <w:rPr>
          <w:color w:val="231F20"/>
          <w:spacing w:val="-8"/>
          <w:w w:val="105"/>
        </w:rPr>
        <w:t> </w:t>
      </w:r>
      <w:r>
        <w:rPr>
          <w:color w:val="231F20"/>
          <w:w w:val="105"/>
        </w:rPr>
        <w:t>y</w:t>
      </w:r>
      <w:r>
        <w:rPr>
          <w:color w:val="231F20"/>
          <w:spacing w:val="-8"/>
          <w:w w:val="105"/>
        </w:rPr>
        <w:t> </w:t>
      </w:r>
      <w:r>
        <w:rPr>
          <w:color w:val="231F20"/>
          <w:w w:val="105"/>
        </w:rPr>
        <w:t>38</w:t>
      </w:r>
      <w:r>
        <w:rPr>
          <w:color w:val="231F20"/>
          <w:spacing w:val="-8"/>
          <w:w w:val="105"/>
        </w:rPr>
        <w:t> </w:t>
      </w:r>
      <w:r>
        <w:rPr>
          <w:color w:val="231F20"/>
          <w:w w:val="105"/>
        </w:rPr>
        <w:t>años</w:t>
      </w:r>
      <w:r>
        <w:rPr>
          <w:color w:val="231F20"/>
          <w:spacing w:val="-8"/>
          <w:w w:val="105"/>
        </w:rPr>
        <w:t> </w:t>
      </w:r>
      <w:r>
        <w:rPr>
          <w:color w:val="231F20"/>
          <w:w w:val="105"/>
        </w:rPr>
        <w:t>y</w:t>
      </w:r>
      <w:r>
        <w:rPr>
          <w:color w:val="231F20"/>
          <w:spacing w:val="-8"/>
          <w:w w:val="105"/>
        </w:rPr>
        <w:t> </w:t>
      </w:r>
      <w:r>
        <w:rPr>
          <w:color w:val="231F20"/>
          <w:w w:val="105"/>
        </w:rPr>
        <w:t>sólo</w:t>
      </w:r>
      <w:r>
        <w:rPr>
          <w:color w:val="231F20"/>
          <w:spacing w:val="-8"/>
          <w:w w:val="105"/>
        </w:rPr>
        <w:t> </w:t>
      </w:r>
      <w:r>
        <w:rPr>
          <w:color w:val="231F20"/>
          <w:w w:val="105"/>
        </w:rPr>
        <w:t>lagunas</w:t>
      </w:r>
      <w:r>
        <w:rPr>
          <w:color w:val="231F20"/>
          <w:spacing w:val="-8"/>
          <w:w w:val="105"/>
        </w:rPr>
        <w:t> </w:t>
      </w:r>
      <w:r>
        <w:rPr>
          <w:color w:val="231F20"/>
          <w:w w:val="105"/>
        </w:rPr>
        <w:t>mujeres</w:t>
      </w:r>
      <w:r>
        <w:rPr>
          <w:color w:val="231F20"/>
          <w:spacing w:val="-8"/>
          <w:w w:val="105"/>
        </w:rPr>
        <w:t> </w:t>
      </w:r>
      <w:r>
        <w:rPr>
          <w:color w:val="231F20"/>
          <w:w w:val="105"/>
        </w:rPr>
        <w:t>tienen</w:t>
      </w:r>
      <w:r>
        <w:rPr>
          <w:color w:val="231F20"/>
          <w:spacing w:val="-8"/>
          <w:w w:val="105"/>
        </w:rPr>
        <w:t> </w:t>
      </w:r>
      <w:r>
        <w:rPr>
          <w:color w:val="231F20"/>
          <w:w w:val="105"/>
        </w:rPr>
        <w:t>entre</w:t>
      </w:r>
      <w:r>
        <w:rPr>
          <w:color w:val="231F20"/>
          <w:spacing w:val="-8"/>
          <w:w w:val="105"/>
        </w:rPr>
        <w:t> </w:t>
      </w:r>
      <w:r>
        <w:rPr>
          <w:color w:val="231F20"/>
          <w:w w:val="105"/>
        </w:rPr>
        <w:t>41</w:t>
      </w:r>
      <w:r>
        <w:rPr>
          <w:color w:val="231F20"/>
          <w:spacing w:val="-8"/>
          <w:w w:val="105"/>
        </w:rPr>
        <w:t> </w:t>
      </w:r>
      <w:r>
        <w:rPr>
          <w:color w:val="231F20"/>
          <w:w w:val="105"/>
        </w:rPr>
        <w:t>y</w:t>
      </w:r>
      <w:r>
        <w:rPr>
          <w:color w:val="231F20"/>
          <w:spacing w:val="-8"/>
          <w:w w:val="105"/>
        </w:rPr>
        <w:t> </w:t>
      </w:r>
      <w:r>
        <w:rPr>
          <w:color w:val="231F20"/>
          <w:w w:val="105"/>
        </w:rPr>
        <w:t>52</w:t>
      </w:r>
      <w:r>
        <w:rPr>
          <w:color w:val="231F20"/>
          <w:spacing w:val="-8"/>
          <w:w w:val="105"/>
        </w:rPr>
        <w:t> </w:t>
      </w:r>
      <w:r>
        <w:rPr>
          <w:color w:val="231F20"/>
          <w:w w:val="105"/>
        </w:rPr>
        <w:t>años. Los</w:t>
      </w:r>
      <w:r>
        <w:rPr>
          <w:color w:val="231F20"/>
          <w:spacing w:val="-26"/>
          <w:w w:val="105"/>
        </w:rPr>
        <w:t> </w:t>
      </w:r>
      <w:r>
        <w:rPr>
          <w:color w:val="231F20"/>
          <w:w w:val="105"/>
        </w:rPr>
        <w:t>hombres</w:t>
      </w:r>
      <w:r>
        <w:rPr>
          <w:color w:val="231F20"/>
          <w:spacing w:val="-26"/>
          <w:w w:val="105"/>
        </w:rPr>
        <w:t> </w:t>
      </w:r>
      <w:r>
        <w:rPr>
          <w:color w:val="231F20"/>
          <w:w w:val="105"/>
        </w:rPr>
        <w:t>han</w:t>
      </w:r>
      <w:r>
        <w:rPr>
          <w:color w:val="231F20"/>
          <w:spacing w:val="-26"/>
          <w:w w:val="105"/>
        </w:rPr>
        <w:t> </w:t>
      </w:r>
      <w:r>
        <w:rPr>
          <w:color w:val="231F20"/>
          <w:w w:val="105"/>
        </w:rPr>
        <w:t>cruzado</w:t>
      </w:r>
      <w:r>
        <w:rPr>
          <w:color w:val="231F20"/>
          <w:spacing w:val="-26"/>
          <w:w w:val="105"/>
        </w:rPr>
        <w:t> </w:t>
      </w:r>
      <w:r>
        <w:rPr>
          <w:color w:val="231F20"/>
          <w:w w:val="105"/>
        </w:rPr>
        <w:t>la</w:t>
      </w:r>
      <w:r>
        <w:rPr>
          <w:color w:val="231F20"/>
          <w:spacing w:val="-26"/>
          <w:w w:val="105"/>
        </w:rPr>
        <w:t> </w:t>
      </w:r>
      <w:r>
        <w:rPr>
          <w:color w:val="231F20"/>
          <w:w w:val="105"/>
        </w:rPr>
        <w:t>frontera</w:t>
      </w:r>
      <w:r>
        <w:rPr>
          <w:color w:val="231F20"/>
          <w:spacing w:val="-26"/>
          <w:w w:val="105"/>
        </w:rPr>
        <w:t> </w:t>
      </w:r>
      <w:r>
        <w:rPr>
          <w:color w:val="231F20"/>
          <w:w w:val="105"/>
        </w:rPr>
        <w:t>entre</w:t>
      </w:r>
      <w:r>
        <w:rPr>
          <w:color w:val="231F20"/>
          <w:spacing w:val="-26"/>
          <w:w w:val="105"/>
        </w:rPr>
        <w:t> </w:t>
      </w:r>
      <w:r>
        <w:rPr>
          <w:color w:val="231F20"/>
          <w:w w:val="105"/>
        </w:rPr>
        <w:t>4</w:t>
      </w:r>
      <w:r>
        <w:rPr>
          <w:color w:val="231F20"/>
          <w:spacing w:val="-26"/>
          <w:w w:val="105"/>
        </w:rPr>
        <w:t> </w:t>
      </w:r>
      <w:r>
        <w:rPr>
          <w:color w:val="231F20"/>
          <w:w w:val="105"/>
        </w:rPr>
        <w:t>y</w:t>
      </w:r>
      <w:r>
        <w:rPr>
          <w:color w:val="231F20"/>
          <w:spacing w:val="-26"/>
          <w:w w:val="105"/>
        </w:rPr>
        <w:t> </w:t>
      </w:r>
      <w:r>
        <w:rPr>
          <w:color w:val="231F20"/>
          <w:w w:val="105"/>
        </w:rPr>
        <w:t>12</w:t>
      </w:r>
      <w:r>
        <w:rPr>
          <w:color w:val="231F20"/>
          <w:spacing w:val="-26"/>
          <w:w w:val="105"/>
        </w:rPr>
        <w:t> </w:t>
      </w:r>
      <w:r>
        <w:rPr>
          <w:color w:val="231F20"/>
          <w:w w:val="105"/>
        </w:rPr>
        <w:t>veces</w:t>
      </w:r>
      <w:r>
        <w:rPr>
          <w:color w:val="231F20"/>
          <w:spacing w:val="-26"/>
          <w:w w:val="105"/>
        </w:rPr>
        <w:t> </w:t>
      </w:r>
      <w:r>
        <w:rPr>
          <w:color w:val="231F20"/>
          <w:w w:val="105"/>
        </w:rPr>
        <w:t>(12</w:t>
      </w:r>
      <w:r>
        <w:rPr>
          <w:color w:val="231F20"/>
          <w:spacing w:val="-26"/>
          <w:w w:val="105"/>
        </w:rPr>
        <w:t> </w:t>
      </w:r>
      <w:r>
        <w:rPr>
          <w:color w:val="231F20"/>
          <w:w w:val="105"/>
        </w:rPr>
        <w:t>veces</w:t>
      </w:r>
      <w:r>
        <w:rPr>
          <w:color w:val="231F20"/>
          <w:spacing w:val="-26"/>
          <w:w w:val="105"/>
        </w:rPr>
        <w:t> </w:t>
      </w:r>
      <w:r>
        <w:rPr>
          <w:color w:val="231F20"/>
          <w:w w:val="105"/>
        </w:rPr>
        <w:t>es</w:t>
      </w:r>
      <w:r>
        <w:rPr>
          <w:color w:val="231F20"/>
          <w:spacing w:val="-26"/>
          <w:w w:val="105"/>
        </w:rPr>
        <w:t> </w:t>
      </w:r>
      <w:r>
        <w:rPr>
          <w:color w:val="231F20"/>
          <w:w w:val="105"/>
        </w:rPr>
        <w:t>caso único).</w:t>
      </w:r>
      <w:r>
        <w:rPr>
          <w:color w:val="231F20"/>
          <w:spacing w:val="-12"/>
          <w:w w:val="105"/>
        </w:rPr>
        <w:t> </w:t>
      </w:r>
      <w:r>
        <w:rPr>
          <w:color w:val="231F20"/>
          <w:w w:val="105"/>
        </w:rPr>
        <w:t>El</w:t>
      </w:r>
      <w:r>
        <w:rPr>
          <w:color w:val="231F20"/>
          <w:spacing w:val="-6"/>
          <w:w w:val="105"/>
        </w:rPr>
        <w:t> </w:t>
      </w:r>
      <w:r>
        <w:rPr>
          <w:color w:val="231F20"/>
          <w:w w:val="105"/>
        </w:rPr>
        <w:t>cruce</w:t>
      </w:r>
      <w:r>
        <w:rPr>
          <w:color w:val="231F20"/>
          <w:spacing w:val="-6"/>
          <w:w w:val="105"/>
        </w:rPr>
        <w:t> </w:t>
      </w:r>
      <w:r>
        <w:rPr>
          <w:color w:val="231F20"/>
          <w:w w:val="105"/>
        </w:rPr>
        <w:t>más</w:t>
      </w:r>
      <w:r>
        <w:rPr>
          <w:color w:val="231F20"/>
          <w:spacing w:val="-6"/>
          <w:w w:val="105"/>
        </w:rPr>
        <w:t> </w:t>
      </w:r>
      <w:r>
        <w:rPr>
          <w:color w:val="231F20"/>
          <w:w w:val="105"/>
        </w:rPr>
        <w:t>antiguo</w:t>
      </w:r>
      <w:r>
        <w:rPr>
          <w:color w:val="231F20"/>
          <w:spacing w:val="-6"/>
          <w:w w:val="105"/>
        </w:rPr>
        <w:t> </w:t>
      </w:r>
      <w:r>
        <w:rPr>
          <w:color w:val="231F20"/>
          <w:w w:val="105"/>
        </w:rPr>
        <w:t>ocurrió</w:t>
      </w:r>
      <w:r>
        <w:rPr>
          <w:color w:val="231F20"/>
          <w:spacing w:val="-6"/>
          <w:w w:val="105"/>
        </w:rPr>
        <w:t> </w:t>
      </w:r>
      <w:r>
        <w:rPr>
          <w:color w:val="231F20"/>
          <w:w w:val="105"/>
        </w:rPr>
        <w:t>en</w:t>
      </w:r>
      <w:r>
        <w:rPr>
          <w:color w:val="231F20"/>
          <w:spacing w:val="-6"/>
          <w:w w:val="105"/>
        </w:rPr>
        <w:t> </w:t>
      </w:r>
      <w:r>
        <w:rPr>
          <w:color w:val="231F20"/>
          <w:w w:val="105"/>
        </w:rPr>
        <w:t>1989</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más</w:t>
      </w:r>
      <w:r>
        <w:rPr>
          <w:color w:val="231F20"/>
          <w:spacing w:val="-6"/>
          <w:w w:val="105"/>
        </w:rPr>
        <w:t> </w:t>
      </w:r>
      <w:r>
        <w:rPr>
          <w:color w:val="231F20"/>
          <w:w w:val="105"/>
        </w:rPr>
        <w:t>reciente</w:t>
      </w:r>
      <w:r>
        <w:rPr>
          <w:color w:val="231F20"/>
          <w:spacing w:val="-6"/>
          <w:w w:val="105"/>
        </w:rPr>
        <w:t> </w:t>
      </w:r>
      <w:r>
        <w:rPr>
          <w:color w:val="231F20"/>
          <w:w w:val="105"/>
        </w:rPr>
        <w:t>en</w:t>
      </w:r>
      <w:r>
        <w:rPr>
          <w:color w:val="231F20"/>
          <w:spacing w:val="-6"/>
          <w:w w:val="105"/>
        </w:rPr>
        <w:t> </w:t>
      </w:r>
      <w:r>
        <w:rPr>
          <w:color w:val="231F20"/>
          <w:w w:val="105"/>
        </w:rPr>
        <w:t>2013. Las</w:t>
      </w:r>
      <w:r>
        <w:rPr>
          <w:color w:val="231F20"/>
          <w:spacing w:val="-9"/>
          <w:w w:val="105"/>
        </w:rPr>
        <w:t> </w:t>
      </w:r>
      <w:r>
        <w:rPr>
          <w:color w:val="231F20"/>
          <w:w w:val="105"/>
        </w:rPr>
        <w:t>estancias</w:t>
      </w:r>
      <w:r>
        <w:rPr>
          <w:color w:val="231F20"/>
          <w:spacing w:val="-9"/>
          <w:w w:val="105"/>
        </w:rPr>
        <w:t> </w:t>
      </w:r>
      <w:r>
        <w:rPr>
          <w:color w:val="231F20"/>
          <w:w w:val="105"/>
        </w:rPr>
        <w:t>en</w:t>
      </w:r>
      <w:r>
        <w:rPr>
          <w:color w:val="231F20"/>
          <w:spacing w:val="-9"/>
          <w:w w:val="105"/>
        </w:rPr>
        <w:t> </w:t>
      </w:r>
      <w:r>
        <w:rPr>
          <w:color w:val="231F20"/>
          <w:w w:val="105"/>
        </w:rPr>
        <w:t>Estados</w:t>
      </w:r>
      <w:r>
        <w:rPr>
          <w:color w:val="231F20"/>
          <w:spacing w:val="-9"/>
          <w:w w:val="105"/>
        </w:rPr>
        <w:t> </w:t>
      </w:r>
      <w:r>
        <w:rPr>
          <w:color w:val="231F20"/>
          <w:w w:val="105"/>
        </w:rPr>
        <w:t>Unidos</w:t>
      </w:r>
      <w:r>
        <w:rPr>
          <w:color w:val="231F20"/>
          <w:spacing w:val="-9"/>
          <w:w w:val="105"/>
        </w:rPr>
        <w:t> </w:t>
      </w:r>
      <w:r>
        <w:rPr>
          <w:color w:val="231F20"/>
          <w:w w:val="105"/>
        </w:rPr>
        <w:t>se</w:t>
      </w:r>
      <w:r>
        <w:rPr>
          <w:color w:val="231F20"/>
          <w:spacing w:val="-9"/>
          <w:w w:val="105"/>
        </w:rPr>
        <w:t> </w:t>
      </w:r>
      <w:r>
        <w:rPr>
          <w:color w:val="231F20"/>
          <w:w w:val="105"/>
        </w:rPr>
        <w:t>determinan</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tiempo</w:t>
      </w:r>
      <w:r>
        <w:rPr>
          <w:color w:val="231F20"/>
          <w:spacing w:val="-9"/>
          <w:w w:val="105"/>
        </w:rPr>
        <w:t> </w:t>
      </w:r>
      <w:r>
        <w:rPr>
          <w:color w:val="231F20"/>
          <w:w w:val="105"/>
        </w:rPr>
        <w:t>planeado para</w:t>
      </w:r>
      <w:r>
        <w:rPr>
          <w:color w:val="231F20"/>
          <w:spacing w:val="-30"/>
          <w:w w:val="105"/>
        </w:rPr>
        <w:t> </w:t>
      </w:r>
      <w:r>
        <w:rPr>
          <w:color w:val="231F20"/>
          <w:w w:val="105"/>
        </w:rPr>
        <w:t>conseguir</w:t>
      </w:r>
      <w:r>
        <w:rPr>
          <w:color w:val="231F20"/>
          <w:spacing w:val="-30"/>
          <w:w w:val="105"/>
        </w:rPr>
        <w:t> </w:t>
      </w:r>
      <w:r>
        <w:rPr>
          <w:color w:val="231F20"/>
          <w:w w:val="105"/>
        </w:rPr>
        <w:t>una</w:t>
      </w:r>
      <w:r>
        <w:rPr>
          <w:color w:val="231F20"/>
          <w:spacing w:val="-30"/>
          <w:w w:val="105"/>
        </w:rPr>
        <w:t> </w:t>
      </w:r>
      <w:r>
        <w:rPr>
          <w:color w:val="231F20"/>
          <w:w w:val="105"/>
        </w:rPr>
        <w:t>meta.</w:t>
      </w:r>
      <w:r>
        <w:rPr>
          <w:color w:val="231F20"/>
          <w:spacing w:val="-34"/>
          <w:w w:val="105"/>
        </w:rPr>
        <w:t> </w:t>
      </w:r>
      <w:r>
        <w:rPr>
          <w:color w:val="231F20"/>
          <w:w w:val="105"/>
        </w:rPr>
        <w:t>Las</w:t>
      </w:r>
      <w:r>
        <w:rPr>
          <w:color w:val="231F20"/>
          <w:spacing w:val="-30"/>
          <w:w w:val="105"/>
        </w:rPr>
        <w:t> </w:t>
      </w:r>
      <w:r>
        <w:rPr>
          <w:color w:val="231F20"/>
          <w:w w:val="105"/>
        </w:rPr>
        <w:t>más</w:t>
      </w:r>
      <w:r>
        <w:rPr>
          <w:color w:val="231F20"/>
          <w:spacing w:val="-30"/>
          <w:w w:val="105"/>
        </w:rPr>
        <w:t> </w:t>
      </w:r>
      <w:r>
        <w:rPr>
          <w:color w:val="231F20"/>
          <w:w w:val="105"/>
        </w:rPr>
        <w:t>largas</w:t>
      </w:r>
      <w:r>
        <w:rPr>
          <w:color w:val="231F20"/>
          <w:spacing w:val="-30"/>
          <w:w w:val="105"/>
        </w:rPr>
        <w:t> </w:t>
      </w:r>
      <w:r>
        <w:rPr>
          <w:color w:val="231F20"/>
          <w:w w:val="105"/>
        </w:rPr>
        <w:t>se</w:t>
      </w:r>
      <w:r>
        <w:rPr>
          <w:color w:val="231F20"/>
          <w:spacing w:val="-30"/>
          <w:w w:val="105"/>
        </w:rPr>
        <w:t> </w:t>
      </w:r>
      <w:r>
        <w:rPr>
          <w:color w:val="231F20"/>
          <w:w w:val="105"/>
        </w:rPr>
        <w:t>asocian</w:t>
      </w:r>
      <w:r>
        <w:rPr>
          <w:color w:val="231F20"/>
          <w:spacing w:val="-30"/>
          <w:w w:val="105"/>
        </w:rPr>
        <w:t> </w:t>
      </w:r>
      <w:r>
        <w:rPr>
          <w:color w:val="231F20"/>
          <w:w w:val="105"/>
        </w:rPr>
        <w:t>a</w:t>
      </w:r>
      <w:r>
        <w:rPr>
          <w:color w:val="231F20"/>
          <w:spacing w:val="-30"/>
          <w:w w:val="105"/>
        </w:rPr>
        <w:t> </w:t>
      </w:r>
      <w:r>
        <w:rPr>
          <w:color w:val="231F20"/>
          <w:w w:val="105"/>
        </w:rPr>
        <w:t>comprar</w:t>
      </w:r>
      <w:r>
        <w:rPr>
          <w:color w:val="231F20"/>
          <w:spacing w:val="-30"/>
          <w:w w:val="105"/>
        </w:rPr>
        <w:t> </w:t>
      </w:r>
      <w:r>
        <w:rPr>
          <w:color w:val="231F20"/>
          <w:w w:val="105"/>
        </w:rPr>
        <w:t>un</w:t>
      </w:r>
      <w:r>
        <w:rPr>
          <w:color w:val="231F20"/>
          <w:spacing w:val="-30"/>
          <w:w w:val="105"/>
        </w:rPr>
        <w:t> </w:t>
      </w:r>
      <w:r>
        <w:rPr>
          <w:color w:val="231F20"/>
          <w:w w:val="105"/>
        </w:rPr>
        <w:t>vehícu- lo o construir una casa, aunque frecuentemente también con el</w:t>
      </w:r>
      <w:r>
        <w:rPr>
          <w:color w:val="231F20"/>
          <w:spacing w:val="-31"/>
          <w:w w:val="105"/>
        </w:rPr>
        <w:t> </w:t>
      </w:r>
      <w:r>
        <w:rPr>
          <w:color w:val="231F20"/>
          <w:w w:val="105"/>
        </w:rPr>
        <w:t>tamaño de</w:t>
      </w:r>
      <w:r>
        <w:rPr>
          <w:color w:val="231F20"/>
          <w:spacing w:val="-22"/>
          <w:w w:val="105"/>
        </w:rPr>
        <w:t> </w:t>
      </w:r>
      <w:r>
        <w:rPr>
          <w:color w:val="231F20"/>
          <w:w w:val="105"/>
        </w:rPr>
        <w:t>la</w:t>
      </w:r>
      <w:r>
        <w:rPr>
          <w:color w:val="231F20"/>
          <w:spacing w:val="-22"/>
          <w:w w:val="105"/>
        </w:rPr>
        <w:t> </w:t>
      </w:r>
      <w:r>
        <w:rPr>
          <w:color w:val="231F20"/>
          <w:w w:val="105"/>
        </w:rPr>
        <w:t>deuda</w:t>
      </w:r>
      <w:r>
        <w:rPr>
          <w:color w:val="231F20"/>
          <w:spacing w:val="-22"/>
          <w:w w:val="10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w w:val="105"/>
        </w:rPr>
        <w:t>tiempo</w:t>
      </w:r>
      <w:r>
        <w:rPr>
          <w:color w:val="231F20"/>
          <w:spacing w:val="-22"/>
          <w:w w:val="105"/>
        </w:rPr>
        <w:t> </w:t>
      </w:r>
      <w:r>
        <w:rPr>
          <w:color w:val="231F20"/>
          <w:w w:val="105"/>
        </w:rPr>
        <w:t>de</w:t>
      </w:r>
      <w:r>
        <w:rPr>
          <w:color w:val="231F20"/>
          <w:spacing w:val="-22"/>
          <w:w w:val="105"/>
        </w:rPr>
        <w:t> </w:t>
      </w:r>
      <w:r>
        <w:rPr>
          <w:color w:val="231F20"/>
          <w:w w:val="105"/>
        </w:rPr>
        <w:t>pago;</w:t>
      </w:r>
      <w:r>
        <w:rPr>
          <w:color w:val="231F20"/>
          <w:spacing w:val="-22"/>
          <w:w w:val="105"/>
        </w:rPr>
        <w:t> </w:t>
      </w:r>
      <w:r>
        <w:rPr>
          <w:color w:val="231F20"/>
          <w:w w:val="105"/>
        </w:rPr>
        <w:t>así,</w:t>
      </w:r>
      <w:r>
        <w:rPr>
          <w:color w:val="231F20"/>
          <w:spacing w:val="-26"/>
          <w:w w:val="105"/>
        </w:rPr>
        <w:t> </w:t>
      </w:r>
      <w:r>
        <w:rPr>
          <w:color w:val="231F20"/>
          <w:w w:val="105"/>
        </w:rPr>
        <w:t>las</w:t>
      </w:r>
      <w:r>
        <w:rPr>
          <w:color w:val="231F20"/>
          <w:spacing w:val="-22"/>
          <w:w w:val="105"/>
        </w:rPr>
        <w:t> </w:t>
      </w:r>
      <w:r>
        <w:rPr>
          <w:color w:val="231F20"/>
          <w:w w:val="105"/>
        </w:rPr>
        <w:t>estancias</w:t>
      </w:r>
      <w:r>
        <w:rPr>
          <w:color w:val="231F20"/>
          <w:spacing w:val="-22"/>
          <w:w w:val="105"/>
        </w:rPr>
        <w:t> </w:t>
      </w:r>
      <w:r>
        <w:rPr>
          <w:color w:val="231F20"/>
          <w:w w:val="105"/>
        </w:rPr>
        <w:t>más</w:t>
      </w:r>
      <w:r>
        <w:rPr>
          <w:color w:val="231F20"/>
          <w:spacing w:val="-22"/>
          <w:w w:val="105"/>
        </w:rPr>
        <w:t> </w:t>
      </w:r>
      <w:r>
        <w:rPr>
          <w:color w:val="231F20"/>
          <w:w w:val="105"/>
        </w:rPr>
        <w:t>largas</w:t>
      </w:r>
      <w:r>
        <w:rPr>
          <w:color w:val="231F20"/>
          <w:spacing w:val="-22"/>
          <w:w w:val="105"/>
        </w:rPr>
        <w:t> </w:t>
      </w:r>
      <w:r>
        <w:rPr>
          <w:color w:val="231F20"/>
          <w:w w:val="105"/>
        </w:rPr>
        <w:t>en</w:t>
      </w:r>
      <w:r>
        <w:rPr>
          <w:color w:val="231F20"/>
          <w:spacing w:val="-22"/>
          <w:w w:val="105"/>
        </w:rPr>
        <w:t> </w:t>
      </w:r>
      <w:r>
        <w:rPr>
          <w:color w:val="231F20"/>
          <w:w w:val="105"/>
        </w:rPr>
        <w:t>Estados Unidos</w:t>
      </w:r>
      <w:r>
        <w:rPr>
          <w:color w:val="231F20"/>
          <w:spacing w:val="-26"/>
          <w:w w:val="105"/>
        </w:rPr>
        <w:t> </w:t>
      </w:r>
      <w:r>
        <w:rPr>
          <w:color w:val="231F20"/>
          <w:w w:val="105"/>
        </w:rPr>
        <w:t>fueron</w:t>
      </w:r>
      <w:r>
        <w:rPr>
          <w:color w:val="231F20"/>
          <w:spacing w:val="-26"/>
          <w:w w:val="105"/>
        </w:rPr>
        <w:t> </w:t>
      </w:r>
      <w:r>
        <w:rPr>
          <w:color w:val="231F20"/>
          <w:w w:val="105"/>
        </w:rPr>
        <w:t>de</w:t>
      </w:r>
      <w:r>
        <w:rPr>
          <w:color w:val="231F20"/>
          <w:spacing w:val="-26"/>
          <w:w w:val="105"/>
        </w:rPr>
        <w:t> </w:t>
      </w:r>
      <w:r>
        <w:rPr>
          <w:color w:val="231F20"/>
          <w:w w:val="105"/>
        </w:rPr>
        <w:t>4</w:t>
      </w:r>
      <w:r>
        <w:rPr>
          <w:color w:val="231F20"/>
          <w:spacing w:val="-26"/>
          <w:w w:val="105"/>
        </w:rPr>
        <w:t> </w:t>
      </w:r>
      <w:r>
        <w:rPr>
          <w:color w:val="231F20"/>
          <w:w w:val="105"/>
        </w:rPr>
        <w:t>y</w:t>
      </w:r>
      <w:r>
        <w:rPr>
          <w:color w:val="231F20"/>
          <w:spacing w:val="-26"/>
          <w:w w:val="105"/>
        </w:rPr>
        <w:t> </w:t>
      </w:r>
      <w:r>
        <w:rPr>
          <w:color w:val="231F20"/>
          <w:w w:val="105"/>
        </w:rPr>
        <w:t>6</w:t>
      </w:r>
      <w:r>
        <w:rPr>
          <w:color w:val="231F20"/>
          <w:spacing w:val="-26"/>
          <w:w w:val="105"/>
        </w:rPr>
        <w:t> </w:t>
      </w:r>
      <w:r>
        <w:rPr>
          <w:color w:val="231F20"/>
          <w:w w:val="105"/>
        </w:rPr>
        <w:t>años,</w:t>
      </w:r>
      <w:r>
        <w:rPr>
          <w:color w:val="231F20"/>
          <w:spacing w:val="-30"/>
          <w:w w:val="105"/>
        </w:rPr>
        <w:t> </w:t>
      </w:r>
      <w:r>
        <w:rPr>
          <w:color w:val="231F20"/>
          <w:w w:val="105"/>
        </w:rPr>
        <w:t>y</w:t>
      </w:r>
      <w:r>
        <w:rPr>
          <w:color w:val="231F20"/>
          <w:spacing w:val="-26"/>
          <w:w w:val="105"/>
        </w:rPr>
        <w:t> </w:t>
      </w:r>
      <w:r>
        <w:rPr>
          <w:color w:val="231F20"/>
          <w:w w:val="105"/>
        </w:rPr>
        <w:t>las</w:t>
      </w:r>
      <w:r>
        <w:rPr>
          <w:color w:val="231F20"/>
          <w:spacing w:val="-26"/>
          <w:w w:val="105"/>
        </w:rPr>
        <w:t> </w:t>
      </w:r>
      <w:r>
        <w:rPr>
          <w:color w:val="231F20"/>
          <w:w w:val="105"/>
        </w:rPr>
        <w:t>más</w:t>
      </w:r>
      <w:r>
        <w:rPr>
          <w:color w:val="231F20"/>
          <w:spacing w:val="-26"/>
          <w:w w:val="105"/>
        </w:rPr>
        <w:t> </w:t>
      </w:r>
      <w:r>
        <w:rPr>
          <w:color w:val="231F20"/>
          <w:w w:val="105"/>
        </w:rPr>
        <w:t>cortas</w:t>
      </w:r>
      <w:r>
        <w:rPr>
          <w:color w:val="231F20"/>
          <w:spacing w:val="-26"/>
          <w:w w:val="105"/>
        </w:rPr>
        <w:t> </w:t>
      </w:r>
      <w:r>
        <w:rPr>
          <w:color w:val="231F20"/>
          <w:w w:val="105"/>
        </w:rPr>
        <w:t>de</w:t>
      </w:r>
      <w:r>
        <w:rPr>
          <w:color w:val="231F20"/>
          <w:spacing w:val="-26"/>
          <w:w w:val="105"/>
        </w:rPr>
        <w:t> </w:t>
      </w:r>
      <w:r>
        <w:rPr>
          <w:color w:val="231F20"/>
          <w:w w:val="105"/>
        </w:rPr>
        <w:t>8</w:t>
      </w:r>
      <w:r>
        <w:rPr>
          <w:color w:val="231F20"/>
          <w:spacing w:val="-26"/>
          <w:w w:val="105"/>
        </w:rPr>
        <w:t> </w:t>
      </w:r>
      <w:r>
        <w:rPr>
          <w:color w:val="231F20"/>
          <w:w w:val="105"/>
        </w:rPr>
        <w:t>meses</w:t>
      </w:r>
      <w:r>
        <w:rPr>
          <w:color w:val="231F20"/>
          <w:spacing w:val="-26"/>
          <w:w w:val="105"/>
        </w:rPr>
        <w:t> </w:t>
      </w:r>
      <w:r>
        <w:rPr>
          <w:color w:val="231F20"/>
          <w:w w:val="105"/>
        </w:rPr>
        <w:t>y</w:t>
      </w:r>
      <w:r>
        <w:rPr>
          <w:color w:val="231F20"/>
          <w:spacing w:val="-26"/>
          <w:w w:val="105"/>
        </w:rPr>
        <w:t> </w:t>
      </w:r>
      <w:r>
        <w:rPr>
          <w:color w:val="231F20"/>
          <w:w w:val="105"/>
        </w:rPr>
        <w:t>dos</w:t>
      </w:r>
      <w:r>
        <w:rPr>
          <w:color w:val="231F20"/>
          <w:spacing w:val="-26"/>
          <w:w w:val="105"/>
        </w:rPr>
        <w:t> </w:t>
      </w:r>
      <w:r>
        <w:rPr>
          <w:color w:val="231F20"/>
          <w:w w:val="105"/>
        </w:rPr>
        <w:t>años.</w:t>
      </w:r>
      <w:r>
        <w:rPr>
          <w:color w:val="231F20"/>
          <w:spacing w:val="-30"/>
          <w:w w:val="105"/>
        </w:rPr>
        <w:t> </w:t>
      </w:r>
      <w:r>
        <w:rPr>
          <w:color w:val="231F20"/>
          <w:w w:val="105"/>
        </w:rPr>
        <w:t>Res- pecto</w:t>
      </w:r>
      <w:r>
        <w:rPr>
          <w:color w:val="231F20"/>
          <w:spacing w:val="-7"/>
          <w:w w:val="105"/>
        </w:rPr>
        <w:t> </w:t>
      </w:r>
      <w:r>
        <w:rPr>
          <w:color w:val="231F20"/>
          <w:w w:val="105"/>
        </w:rPr>
        <w:t>a</w:t>
      </w:r>
      <w:r>
        <w:rPr>
          <w:color w:val="231F20"/>
          <w:spacing w:val="-7"/>
          <w:w w:val="105"/>
        </w:rPr>
        <w:t> </w:t>
      </w:r>
      <w:r>
        <w:rPr>
          <w:color w:val="231F20"/>
          <w:w w:val="105"/>
        </w:rPr>
        <w:t>las</w:t>
      </w:r>
      <w:r>
        <w:rPr>
          <w:color w:val="231F20"/>
          <w:spacing w:val="-7"/>
          <w:w w:val="105"/>
        </w:rPr>
        <w:t> </w:t>
      </w:r>
      <w:r>
        <w:rPr>
          <w:color w:val="231F20"/>
          <w:w w:val="105"/>
        </w:rPr>
        <w:t>estancias</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localidades,</w:t>
      </w:r>
      <w:r>
        <w:rPr>
          <w:color w:val="231F20"/>
          <w:spacing w:val="-13"/>
          <w:w w:val="105"/>
        </w:rPr>
        <w:t> </w:t>
      </w:r>
      <w:r>
        <w:rPr>
          <w:color w:val="231F20"/>
          <w:w w:val="105"/>
        </w:rPr>
        <w:t>la</w:t>
      </w:r>
      <w:r>
        <w:rPr>
          <w:color w:val="231F20"/>
          <w:spacing w:val="-7"/>
          <w:w w:val="105"/>
        </w:rPr>
        <w:t> </w:t>
      </w:r>
      <w:r>
        <w:rPr>
          <w:color w:val="231F20"/>
          <w:w w:val="105"/>
        </w:rPr>
        <w:t>mayor</w:t>
      </w:r>
      <w:r>
        <w:rPr>
          <w:color w:val="231F20"/>
          <w:spacing w:val="-7"/>
          <w:w w:val="105"/>
        </w:rPr>
        <w:t> </w:t>
      </w:r>
      <w:r>
        <w:rPr>
          <w:color w:val="231F20"/>
          <w:w w:val="105"/>
        </w:rPr>
        <w:t>ha</w:t>
      </w:r>
      <w:r>
        <w:rPr>
          <w:color w:val="231F20"/>
          <w:spacing w:val="-7"/>
          <w:w w:val="105"/>
        </w:rPr>
        <w:t> </w:t>
      </w:r>
      <w:r>
        <w:rPr>
          <w:color w:val="231F20"/>
          <w:w w:val="105"/>
        </w:rPr>
        <w:t>sido</w:t>
      </w:r>
      <w:r>
        <w:rPr>
          <w:color w:val="231F20"/>
          <w:spacing w:val="-7"/>
          <w:w w:val="105"/>
        </w:rPr>
        <w:t> </w:t>
      </w:r>
      <w:r>
        <w:rPr>
          <w:color w:val="231F20"/>
          <w:w w:val="105"/>
        </w:rPr>
        <w:t>de</w:t>
      </w:r>
      <w:r>
        <w:rPr>
          <w:color w:val="231F20"/>
          <w:spacing w:val="-7"/>
          <w:w w:val="105"/>
        </w:rPr>
        <w:t> </w:t>
      </w:r>
      <w:r>
        <w:rPr>
          <w:color w:val="231F20"/>
          <w:w w:val="105"/>
        </w:rPr>
        <w:t>2</w:t>
      </w:r>
      <w:r>
        <w:rPr>
          <w:color w:val="231F20"/>
          <w:spacing w:val="-7"/>
          <w:w w:val="105"/>
        </w:rPr>
        <w:t> </w:t>
      </w:r>
      <w:r>
        <w:rPr>
          <w:color w:val="231F20"/>
          <w:w w:val="105"/>
        </w:rPr>
        <w:t>años</w:t>
      </w:r>
      <w:r>
        <w:rPr>
          <w:color w:val="231F20"/>
          <w:spacing w:val="-7"/>
          <w:w w:val="105"/>
        </w:rPr>
        <w:t> </w:t>
      </w:r>
      <w:r>
        <w:rPr>
          <w:color w:val="231F20"/>
          <w:w w:val="105"/>
        </w:rPr>
        <w:t>y</w:t>
      </w:r>
      <w:r>
        <w:rPr>
          <w:color w:val="231F20"/>
          <w:spacing w:val="-7"/>
          <w:w w:val="105"/>
        </w:rPr>
        <w:t> </w:t>
      </w:r>
      <w:r>
        <w:rPr>
          <w:color w:val="231F20"/>
          <w:w w:val="105"/>
        </w:rPr>
        <w:t>la más</w:t>
      </w:r>
      <w:r>
        <w:rPr>
          <w:color w:val="231F20"/>
          <w:spacing w:val="-26"/>
          <w:w w:val="105"/>
        </w:rPr>
        <w:t> </w:t>
      </w:r>
      <w:r>
        <w:rPr>
          <w:color w:val="231F20"/>
          <w:w w:val="105"/>
        </w:rPr>
        <w:t>corta</w:t>
      </w:r>
      <w:r>
        <w:rPr>
          <w:color w:val="231F20"/>
          <w:spacing w:val="-26"/>
          <w:w w:val="105"/>
        </w:rPr>
        <w:t> </w:t>
      </w:r>
      <w:r>
        <w:rPr>
          <w:color w:val="231F20"/>
          <w:w w:val="105"/>
        </w:rPr>
        <w:t>de</w:t>
      </w:r>
      <w:r>
        <w:rPr>
          <w:color w:val="231F20"/>
          <w:spacing w:val="-26"/>
          <w:w w:val="105"/>
        </w:rPr>
        <w:t> </w:t>
      </w:r>
      <w:r>
        <w:rPr>
          <w:color w:val="231F20"/>
          <w:w w:val="105"/>
        </w:rPr>
        <w:t>2</w:t>
      </w:r>
      <w:r>
        <w:rPr>
          <w:color w:val="231F20"/>
          <w:spacing w:val="-26"/>
          <w:w w:val="105"/>
        </w:rPr>
        <w:t> </w:t>
      </w:r>
      <w:r>
        <w:rPr>
          <w:color w:val="231F20"/>
          <w:w w:val="105"/>
        </w:rPr>
        <w:t>meses;</w:t>
      </w:r>
      <w:r>
        <w:rPr>
          <w:color w:val="231F20"/>
          <w:spacing w:val="-26"/>
          <w:w w:val="105"/>
        </w:rPr>
        <w:t> </w:t>
      </w:r>
      <w:r>
        <w:rPr>
          <w:color w:val="231F20"/>
          <w:w w:val="105"/>
        </w:rPr>
        <w:t>la</w:t>
      </w:r>
      <w:r>
        <w:rPr>
          <w:color w:val="231F20"/>
          <w:spacing w:val="-26"/>
          <w:w w:val="105"/>
        </w:rPr>
        <w:t> </w:t>
      </w:r>
      <w:r>
        <w:rPr>
          <w:color w:val="231F20"/>
          <w:w w:val="105"/>
        </w:rPr>
        <w:t>duración</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estancia</w:t>
      </w:r>
      <w:r>
        <w:rPr>
          <w:color w:val="231F20"/>
          <w:spacing w:val="-26"/>
          <w:w w:val="105"/>
        </w:rPr>
        <w:t> </w:t>
      </w:r>
      <w:r>
        <w:rPr>
          <w:color w:val="231F20"/>
          <w:w w:val="105"/>
        </w:rPr>
        <w:t>en</w:t>
      </w:r>
      <w:r>
        <w:rPr>
          <w:color w:val="231F20"/>
          <w:spacing w:val="-26"/>
          <w:w w:val="105"/>
        </w:rPr>
        <w:t> </w:t>
      </w:r>
      <w:r>
        <w:rPr>
          <w:color w:val="231F20"/>
          <w:w w:val="105"/>
        </w:rPr>
        <w:t>Estados</w:t>
      </w:r>
      <w:r>
        <w:rPr>
          <w:color w:val="231F20"/>
          <w:spacing w:val="-26"/>
          <w:w w:val="105"/>
        </w:rPr>
        <w:t> </w:t>
      </w:r>
      <w:r>
        <w:rPr>
          <w:color w:val="231F20"/>
          <w:w w:val="105"/>
        </w:rPr>
        <w:t>Unidos</w:t>
      </w:r>
      <w:r>
        <w:rPr>
          <w:color w:val="231F20"/>
          <w:spacing w:val="-26"/>
          <w:w w:val="105"/>
        </w:rPr>
        <w:t> </w:t>
      </w:r>
      <w:r>
        <w:rPr>
          <w:color w:val="231F20"/>
          <w:w w:val="105"/>
        </w:rPr>
        <w:t>no</w:t>
      </w:r>
      <w:r>
        <w:rPr>
          <w:color w:val="231F20"/>
          <w:spacing w:val="-26"/>
          <w:w w:val="105"/>
        </w:rPr>
        <w:t> </w:t>
      </w:r>
      <w:r>
        <w:rPr>
          <w:color w:val="231F20"/>
          <w:w w:val="105"/>
        </w:rPr>
        <w:t>se corresponde</w:t>
      </w:r>
      <w:r>
        <w:rPr>
          <w:color w:val="231F20"/>
          <w:spacing w:val="-13"/>
          <w:w w:val="105"/>
        </w:rPr>
        <w:t> </w:t>
      </w:r>
      <w:r>
        <w:rPr>
          <w:color w:val="231F20"/>
          <w:w w:val="105"/>
        </w:rPr>
        <w:t>con</w:t>
      </w:r>
      <w:r>
        <w:rPr>
          <w:color w:val="231F20"/>
          <w:spacing w:val="-13"/>
          <w:w w:val="105"/>
        </w:rPr>
        <w:t> </w:t>
      </w:r>
      <w:r>
        <w:rPr>
          <w:color w:val="231F20"/>
          <w:w w:val="105"/>
        </w:rPr>
        <w:t>los</w:t>
      </w:r>
      <w:r>
        <w:rPr>
          <w:color w:val="231F20"/>
          <w:spacing w:val="-13"/>
          <w:w w:val="105"/>
        </w:rPr>
        <w:t> </w:t>
      </w:r>
      <w:r>
        <w:rPr>
          <w:color w:val="231F20"/>
          <w:w w:val="105"/>
        </w:rPr>
        <w:t>logros</w:t>
      </w:r>
      <w:r>
        <w:rPr>
          <w:color w:val="231F20"/>
          <w:spacing w:val="-13"/>
          <w:w w:val="105"/>
        </w:rPr>
        <w:t> </w:t>
      </w:r>
      <w:r>
        <w:rPr>
          <w:color w:val="231F20"/>
          <w:w w:val="105"/>
        </w:rPr>
        <w:t>o</w:t>
      </w:r>
      <w:r>
        <w:rPr>
          <w:color w:val="231F20"/>
          <w:spacing w:val="-13"/>
          <w:w w:val="105"/>
        </w:rPr>
        <w:t> </w:t>
      </w:r>
      <w:r>
        <w:rPr>
          <w:color w:val="231F20"/>
          <w:w w:val="105"/>
        </w:rPr>
        <w:t>beneficios</w:t>
      </w:r>
      <w:r>
        <w:rPr>
          <w:color w:val="231F20"/>
          <w:spacing w:val="-13"/>
          <w:w w:val="105"/>
        </w:rPr>
        <w:t> </w:t>
      </w:r>
      <w:r>
        <w:rPr>
          <w:color w:val="231F20"/>
          <w:w w:val="105"/>
        </w:rPr>
        <w:t>materiales.</w:t>
      </w:r>
    </w:p>
    <w:p>
      <w:pPr>
        <w:pStyle w:val="BodyText"/>
        <w:spacing w:line="261" w:lineRule="auto" w:before="1"/>
        <w:ind w:left="1723" w:right="1828" w:firstLine="567"/>
        <w:jc w:val="both"/>
      </w:pPr>
      <w:r>
        <w:rPr>
          <w:color w:val="231F20"/>
          <w:w w:val="105"/>
        </w:rPr>
        <w:t>Las razones que sostienen las idas al norte buscan solucionar</w:t>
      </w:r>
      <w:r>
        <w:rPr>
          <w:color w:val="231F20"/>
          <w:spacing w:val="-19"/>
          <w:w w:val="105"/>
        </w:rPr>
        <w:t> </w:t>
      </w:r>
      <w:r>
        <w:rPr>
          <w:color w:val="231F20"/>
          <w:w w:val="105"/>
        </w:rPr>
        <w:t>un problema, una faltante o sencillamente completar el patrimonio.</w:t>
      </w:r>
      <w:r>
        <w:rPr>
          <w:color w:val="231F20"/>
          <w:spacing w:val="-19"/>
          <w:w w:val="105"/>
        </w:rPr>
        <w:t> </w:t>
      </w:r>
      <w:r>
        <w:rPr>
          <w:color w:val="231F20"/>
          <w:w w:val="105"/>
        </w:rPr>
        <w:t>Dichas </w:t>
      </w:r>
      <w:r>
        <w:rPr>
          <w:color w:val="231F20"/>
          <w:spacing w:val="-3"/>
          <w:w w:val="105"/>
        </w:rPr>
        <w:t>razones</w:t>
      </w:r>
      <w:r>
        <w:rPr>
          <w:color w:val="231F20"/>
          <w:spacing w:val="-19"/>
          <w:w w:val="105"/>
        </w:rPr>
        <w:t> </w:t>
      </w:r>
      <w:r>
        <w:rPr>
          <w:color w:val="231F20"/>
          <w:spacing w:val="-3"/>
          <w:w w:val="105"/>
        </w:rPr>
        <w:t>toman</w:t>
      </w:r>
      <w:r>
        <w:rPr>
          <w:color w:val="231F20"/>
          <w:spacing w:val="-19"/>
          <w:w w:val="105"/>
        </w:rPr>
        <w:t> </w:t>
      </w:r>
      <w:r>
        <w:rPr>
          <w:color w:val="231F20"/>
          <w:spacing w:val="-3"/>
          <w:w w:val="105"/>
        </w:rPr>
        <w:t>distintos</w:t>
      </w:r>
      <w:r>
        <w:rPr>
          <w:color w:val="231F20"/>
          <w:spacing w:val="-19"/>
          <w:w w:val="105"/>
        </w:rPr>
        <w:t> </w:t>
      </w:r>
      <w:r>
        <w:rPr>
          <w:color w:val="231F20"/>
          <w:spacing w:val="-3"/>
          <w:w w:val="105"/>
        </w:rPr>
        <w:t>tintes</w:t>
      </w:r>
      <w:r>
        <w:rPr>
          <w:color w:val="231F20"/>
          <w:spacing w:val="-19"/>
          <w:w w:val="105"/>
        </w:rPr>
        <w:t> </w:t>
      </w:r>
      <w:r>
        <w:rPr>
          <w:color w:val="231F20"/>
          <w:spacing w:val="-3"/>
          <w:w w:val="105"/>
        </w:rPr>
        <w:t>como</w:t>
      </w:r>
      <w:r>
        <w:rPr>
          <w:color w:val="231F20"/>
          <w:spacing w:val="-19"/>
          <w:w w:val="105"/>
        </w:rPr>
        <w:t> </w:t>
      </w:r>
      <w:r>
        <w:rPr>
          <w:color w:val="231F20"/>
          <w:w w:val="105"/>
        </w:rPr>
        <w:t>el</w:t>
      </w:r>
      <w:r>
        <w:rPr>
          <w:color w:val="231F20"/>
          <w:spacing w:val="-19"/>
          <w:w w:val="105"/>
        </w:rPr>
        <w:t> </w:t>
      </w:r>
      <w:r>
        <w:rPr>
          <w:rFonts w:ascii="Arial" w:hAnsi="Arial"/>
          <w:color w:val="231F20"/>
          <w:spacing w:val="-3"/>
          <w:w w:val="105"/>
        </w:rPr>
        <w:t>económico</w:t>
      </w:r>
      <w:r>
        <w:rPr>
          <w:color w:val="231F20"/>
          <w:spacing w:val="-3"/>
          <w:w w:val="105"/>
        </w:rPr>
        <w:t>:</w:t>
      </w:r>
      <w:r>
        <w:rPr>
          <w:color w:val="231F20"/>
          <w:spacing w:val="-19"/>
          <w:w w:val="105"/>
        </w:rPr>
        <w:t> </w:t>
      </w:r>
      <w:r>
        <w:rPr>
          <w:color w:val="231F20"/>
          <w:w w:val="105"/>
        </w:rPr>
        <w:t>“me</w:t>
      </w:r>
      <w:r>
        <w:rPr>
          <w:color w:val="231F20"/>
          <w:spacing w:val="-19"/>
          <w:w w:val="105"/>
        </w:rPr>
        <w:t> </w:t>
      </w:r>
      <w:r>
        <w:rPr>
          <w:color w:val="231F20"/>
          <w:spacing w:val="-3"/>
          <w:w w:val="105"/>
        </w:rPr>
        <w:t>quede</w:t>
      </w:r>
      <w:r>
        <w:rPr>
          <w:color w:val="231F20"/>
          <w:spacing w:val="-19"/>
          <w:w w:val="105"/>
        </w:rPr>
        <w:t> </w:t>
      </w:r>
      <w:r>
        <w:rPr>
          <w:color w:val="231F20"/>
          <w:w w:val="105"/>
        </w:rPr>
        <w:t>sin</w:t>
      </w:r>
      <w:r>
        <w:rPr>
          <w:color w:val="231F20"/>
          <w:spacing w:val="-19"/>
          <w:w w:val="105"/>
        </w:rPr>
        <w:t> </w:t>
      </w:r>
      <w:r>
        <w:rPr>
          <w:color w:val="231F20"/>
          <w:spacing w:val="-6"/>
          <w:w w:val="105"/>
        </w:rPr>
        <w:t>trabajo”, </w:t>
      </w:r>
      <w:r>
        <w:rPr>
          <w:color w:val="231F20"/>
          <w:w w:val="105"/>
        </w:rPr>
        <w:t>“no</w:t>
      </w:r>
      <w:r>
        <w:rPr>
          <w:color w:val="231F20"/>
          <w:spacing w:val="-5"/>
          <w:w w:val="105"/>
        </w:rPr>
        <w:t> </w:t>
      </w:r>
      <w:r>
        <w:rPr>
          <w:color w:val="231F20"/>
          <w:w w:val="105"/>
        </w:rPr>
        <w:t>me</w:t>
      </w:r>
      <w:r>
        <w:rPr>
          <w:color w:val="231F20"/>
          <w:spacing w:val="-5"/>
          <w:w w:val="105"/>
        </w:rPr>
        <w:t> </w:t>
      </w:r>
      <w:r>
        <w:rPr>
          <w:color w:val="231F20"/>
          <w:w w:val="105"/>
        </w:rPr>
        <w:t>alcanzaba</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ganaba</w:t>
      </w:r>
      <w:r>
        <w:rPr>
          <w:color w:val="231F20"/>
          <w:spacing w:val="-5"/>
          <w:w w:val="105"/>
        </w:rPr>
        <w:t> aquí”,</w:t>
      </w:r>
      <w:r>
        <w:rPr>
          <w:color w:val="231F20"/>
          <w:spacing w:val="-11"/>
          <w:w w:val="105"/>
        </w:rPr>
        <w:t> </w:t>
      </w:r>
      <w:r>
        <w:rPr>
          <w:color w:val="231F20"/>
          <w:w w:val="105"/>
        </w:rPr>
        <w:t>“estamos</w:t>
      </w:r>
      <w:r>
        <w:rPr>
          <w:color w:val="231F20"/>
          <w:spacing w:val="-5"/>
          <w:w w:val="105"/>
        </w:rPr>
        <w:t> </w:t>
      </w:r>
      <w:r>
        <w:rPr>
          <w:color w:val="231F20"/>
          <w:w w:val="105"/>
        </w:rPr>
        <w:t>muy</w:t>
      </w:r>
      <w:r>
        <w:rPr>
          <w:color w:val="231F20"/>
          <w:spacing w:val="-5"/>
          <w:w w:val="105"/>
        </w:rPr>
        <w:t> </w:t>
      </w:r>
      <w:r>
        <w:rPr>
          <w:color w:val="231F20"/>
          <w:spacing w:val="-3"/>
          <w:w w:val="105"/>
        </w:rPr>
        <w:t>endeudados”,</w:t>
      </w:r>
      <w:r>
        <w:rPr>
          <w:color w:val="231F20"/>
          <w:spacing w:val="-11"/>
          <w:w w:val="105"/>
        </w:rPr>
        <w:t> </w:t>
      </w:r>
      <w:r>
        <w:rPr>
          <w:color w:val="231F20"/>
          <w:w w:val="105"/>
        </w:rPr>
        <w:t>“no tenía nada de ahorros”; </w:t>
      </w:r>
      <w:r>
        <w:rPr>
          <w:rFonts w:ascii="Arial" w:hAnsi="Arial"/>
          <w:color w:val="231F20"/>
          <w:w w:val="105"/>
        </w:rPr>
        <w:t>el social</w:t>
      </w:r>
      <w:r>
        <w:rPr>
          <w:color w:val="231F20"/>
          <w:w w:val="105"/>
        </w:rPr>
        <w:t>: “para no quedarse </w:t>
      </w:r>
      <w:r>
        <w:rPr>
          <w:color w:val="231F20"/>
          <w:spacing w:val="-5"/>
          <w:w w:val="105"/>
        </w:rPr>
        <w:t>atrás”, </w:t>
      </w:r>
      <w:r>
        <w:rPr>
          <w:color w:val="231F20"/>
          <w:w w:val="105"/>
        </w:rPr>
        <w:t>“ya todos</w:t>
      </w:r>
      <w:r>
        <w:rPr>
          <w:color w:val="231F20"/>
          <w:spacing w:val="-32"/>
          <w:w w:val="105"/>
        </w:rPr>
        <w:t> </w:t>
      </w:r>
      <w:r>
        <w:rPr>
          <w:color w:val="231F20"/>
          <w:w w:val="105"/>
        </w:rPr>
        <w:t>se habían</w:t>
      </w:r>
      <w:r>
        <w:rPr>
          <w:color w:val="231F20"/>
          <w:spacing w:val="-27"/>
          <w:w w:val="105"/>
        </w:rPr>
        <w:t> </w:t>
      </w:r>
      <w:r>
        <w:rPr>
          <w:color w:val="231F20"/>
          <w:spacing w:val="-6"/>
          <w:w w:val="105"/>
        </w:rPr>
        <w:t>ido”,</w:t>
      </w:r>
      <w:r>
        <w:rPr>
          <w:color w:val="231F20"/>
          <w:spacing w:val="-32"/>
          <w:w w:val="105"/>
        </w:rPr>
        <w:t> </w:t>
      </w:r>
      <w:r>
        <w:rPr>
          <w:color w:val="231F20"/>
          <w:w w:val="105"/>
        </w:rPr>
        <w:t>“construir</w:t>
      </w:r>
      <w:r>
        <w:rPr>
          <w:color w:val="231F20"/>
          <w:spacing w:val="-27"/>
          <w:w w:val="105"/>
        </w:rPr>
        <w:t> </w:t>
      </w:r>
      <w:r>
        <w:rPr>
          <w:color w:val="231F20"/>
          <w:w w:val="105"/>
        </w:rPr>
        <w:t>mi</w:t>
      </w:r>
      <w:r>
        <w:rPr>
          <w:color w:val="231F20"/>
          <w:spacing w:val="-27"/>
          <w:w w:val="105"/>
        </w:rPr>
        <w:t> </w:t>
      </w:r>
      <w:r>
        <w:rPr>
          <w:color w:val="231F20"/>
          <w:spacing w:val="-6"/>
          <w:w w:val="105"/>
        </w:rPr>
        <w:t>casa”,</w:t>
      </w:r>
      <w:r>
        <w:rPr>
          <w:color w:val="231F20"/>
          <w:spacing w:val="-32"/>
          <w:w w:val="105"/>
        </w:rPr>
        <w:t> </w:t>
      </w:r>
      <w:r>
        <w:rPr>
          <w:color w:val="231F20"/>
          <w:w w:val="105"/>
        </w:rPr>
        <w:t>“no</w:t>
      </w:r>
      <w:r>
        <w:rPr>
          <w:color w:val="231F20"/>
          <w:spacing w:val="-27"/>
          <w:w w:val="105"/>
        </w:rPr>
        <w:t> </w:t>
      </w:r>
      <w:r>
        <w:rPr>
          <w:color w:val="231F20"/>
          <w:w w:val="105"/>
        </w:rPr>
        <w:t>me</w:t>
      </w:r>
      <w:r>
        <w:rPr>
          <w:color w:val="231F20"/>
          <w:spacing w:val="-27"/>
          <w:w w:val="105"/>
        </w:rPr>
        <w:t> </w:t>
      </w:r>
      <w:r>
        <w:rPr>
          <w:color w:val="231F20"/>
          <w:w w:val="105"/>
        </w:rPr>
        <w:t>alcanzaba</w:t>
      </w:r>
      <w:r>
        <w:rPr>
          <w:color w:val="231F20"/>
          <w:spacing w:val="-27"/>
          <w:w w:val="105"/>
        </w:rPr>
        <w:t> </w:t>
      </w:r>
      <w:r>
        <w:rPr>
          <w:color w:val="231F20"/>
          <w:w w:val="105"/>
        </w:rPr>
        <w:t>para</w:t>
      </w:r>
      <w:r>
        <w:rPr>
          <w:color w:val="231F20"/>
          <w:spacing w:val="-27"/>
          <w:w w:val="105"/>
        </w:rPr>
        <w:t> </w:t>
      </w:r>
      <w:r>
        <w:rPr>
          <w:color w:val="231F20"/>
          <w:w w:val="105"/>
        </w:rPr>
        <w:t>amueblar</w:t>
      </w:r>
      <w:r>
        <w:rPr>
          <w:color w:val="231F20"/>
          <w:spacing w:val="-27"/>
          <w:w w:val="105"/>
        </w:rPr>
        <w:t> </w:t>
      </w:r>
      <w:r>
        <w:rPr>
          <w:color w:val="231F20"/>
          <w:w w:val="105"/>
        </w:rPr>
        <w:t>mi</w:t>
      </w:r>
      <w:r>
        <w:rPr>
          <w:color w:val="231F20"/>
          <w:spacing w:val="-27"/>
          <w:w w:val="105"/>
        </w:rPr>
        <w:t> </w:t>
      </w:r>
      <w:r>
        <w:rPr>
          <w:color w:val="231F20"/>
          <w:spacing w:val="-6"/>
          <w:w w:val="105"/>
        </w:rPr>
        <w:t>casa”, </w:t>
      </w:r>
      <w:r>
        <w:rPr>
          <w:color w:val="231F20"/>
          <w:w w:val="105"/>
        </w:rPr>
        <w:t>“tener un carro para </w:t>
      </w:r>
      <w:r>
        <w:rPr>
          <w:color w:val="231F20"/>
          <w:spacing w:val="-3"/>
          <w:w w:val="105"/>
        </w:rPr>
        <w:t>moverme”, </w:t>
      </w:r>
      <w:r>
        <w:rPr>
          <w:color w:val="231F20"/>
          <w:w w:val="105"/>
        </w:rPr>
        <w:t>“no tenemos </w:t>
      </w:r>
      <w:r>
        <w:rPr>
          <w:color w:val="231F20"/>
          <w:spacing w:val="-6"/>
          <w:w w:val="105"/>
        </w:rPr>
        <w:t>nada”, </w:t>
      </w:r>
      <w:r>
        <w:rPr>
          <w:color w:val="231F20"/>
          <w:w w:val="105"/>
        </w:rPr>
        <w:t>(hablando de no te- ner</w:t>
      </w:r>
      <w:r>
        <w:rPr>
          <w:color w:val="231F20"/>
          <w:spacing w:val="-21"/>
          <w:w w:val="105"/>
        </w:rPr>
        <w:t> </w:t>
      </w:r>
      <w:r>
        <w:rPr>
          <w:color w:val="231F20"/>
          <w:w w:val="105"/>
        </w:rPr>
        <w:t>casa</w:t>
      </w:r>
      <w:r>
        <w:rPr>
          <w:color w:val="231F20"/>
          <w:spacing w:val="-21"/>
          <w:w w:val="105"/>
        </w:rPr>
        <w:t> </w:t>
      </w:r>
      <w:r>
        <w:rPr>
          <w:color w:val="231F20"/>
          <w:w w:val="105"/>
        </w:rPr>
        <w:t>propia),</w:t>
      </w:r>
      <w:r>
        <w:rPr>
          <w:color w:val="231F20"/>
          <w:spacing w:val="-26"/>
          <w:w w:val="105"/>
        </w:rPr>
        <w:t> </w:t>
      </w:r>
      <w:r>
        <w:rPr>
          <w:color w:val="231F20"/>
          <w:w w:val="105"/>
        </w:rPr>
        <w:t>“allá</w:t>
      </w:r>
      <w:r>
        <w:rPr>
          <w:color w:val="231F20"/>
          <w:spacing w:val="-21"/>
          <w:w w:val="105"/>
        </w:rPr>
        <w:t> </w:t>
      </w:r>
      <w:r>
        <w:rPr>
          <w:color w:val="231F20"/>
          <w:w w:val="105"/>
        </w:rPr>
        <w:t>en</w:t>
      </w:r>
      <w:r>
        <w:rPr>
          <w:color w:val="231F20"/>
          <w:spacing w:val="-21"/>
          <w:w w:val="105"/>
        </w:rPr>
        <w:t> </w:t>
      </w:r>
      <w:r>
        <w:rPr>
          <w:color w:val="231F20"/>
          <w:w w:val="105"/>
        </w:rPr>
        <w:t>Estados</w:t>
      </w:r>
      <w:r>
        <w:rPr>
          <w:color w:val="231F20"/>
          <w:spacing w:val="-21"/>
          <w:w w:val="105"/>
        </w:rPr>
        <w:t> </w:t>
      </w:r>
      <w:r>
        <w:rPr>
          <w:color w:val="231F20"/>
          <w:w w:val="105"/>
        </w:rPr>
        <w:t>Unidos</w:t>
      </w:r>
      <w:r>
        <w:rPr>
          <w:color w:val="231F20"/>
          <w:spacing w:val="-21"/>
          <w:w w:val="105"/>
        </w:rPr>
        <w:t> </w:t>
      </w:r>
      <w:r>
        <w:rPr>
          <w:color w:val="231F20"/>
          <w:w w:val="105"/>
        </w:rPr>
        <w:t>es</w:t>
      </w:r>
      <w:r>
        <w:rPr>
          <w:color w:val="231F20"/>
          <w:spacing w:val="-21"/>
          <w:w w:val="105"/>
        </w:rPr>
        <w:t> </w:t>
      </w:r>
      <w:r>
        <w:rPr>
          <w:color w:val="231F20"/>
          <w:w w:val="105"/>
        </w:rPr>
        <w:t>más</w:t>
      </w:r>
      <w:r>
        <w:rPr>
          <w:color w:val="231F20"/>
          <w:spacing w:val="-21"/>
          <w:w w:val="105"/>
        </w:rPr>
        <w:t> </w:t>
      </w:r>
      <w:r>
        <w:rPr>
          <w:color w:val="231F20"/>
          <w:w w:val="105"/>
        </w:rPr>
        <w:t>fácil</w:t>
      </w:r>
      <w:r>
        <w:rPr>
          <w:color w:val="231F20"/>
          <w:spacing w:val="-21"/>
          <w:w w:val="105"/>
        </w:rPr>
        <w:t> </w:t>
      </w:r>
      <w:r>
        <w:rPr>
          <w:color w:val="231F20"/>
          <w:w w:val="105"/>
        </w:rPr>
        <w:t>conseguir</w:t>
      </w:r>
      <w:r>
        <w:rPr>
          <w:color w:val="231F20"/>
          <w:spacing w:val="-21"/>
          <w:w w:val="105"/>
        </w:rPr>
        <w:t> </w:t>
      </w:r>
      <w:r>
        <w:rPr>
          <w:color w:val="231F20"/>
          <w:w w:val="105"/>
        </w:rPr>
        <w:t>trabajo</w:t>
      </w:r>
      <w:r>
        <w:rPr>
          <w:color w:val="231F20"/>
          <w:spacing w:val="-21"/>
          <w:w w:val="105"/>
        </w:rPr>
        <w:t> </w:t>
      </w:r>
      <w:r>
        <w:rPr>
          <w:color w:val="231F20"/>
          <w:w w:val="105"/>
        </w:rPr>
        <w:t>y dinero</w:t>
      </w:r>
      <w:r>
        <w:rPr>
          <w:color w:val="231F20"/>
          <w:spacing w:val="-22"/>
          <w:w w:val="105"/>
        </w:rPr>
        <w:t> </w:t>
      </w:r>
      <w:r>
        <w:rPr>
          <w:color w:val="231F20"/>
          <w:w w:val="105"/>
        </w:rPr>
        <w:t>(la</w:t>
      </w:r>
      <w:r>
        <w:rPr>
          <w:color w:val="231F20"/>
          <w:spacing w:val="-22"/>
          <w:w w:val="105"/>
        </w:rPr>
        <w:t> </w:t>
      </w:r>
      <w:r>
        <w:rPr>
          <w:color w:val="231F20"/>
          <w:w w:val="105"/>
        </w:rPr>
        <w:t>vida</w:t>
      </w:r>
      <w:r>
        <w:rPr>
          <w:color w:val="231F20"/>
          <w:spacing w:val="-22"/>
          <w:w w:val="105"/>
        </w:rPr>
        <w:t> </w:t>
      </w:r>
      <w:r>
        <w:rPr>
          <w:color w:val="231F20"/>
          <w:w w:val="105"/>
        </w:rPr>
        <w:t>es</w:t>
      </w:r>
      <w:r>
        <w:rPr>
          <w:color w:val="231F20"/>
          <w:spacing w:val="-22"/>
          <w:w w:val="105"/>
        </w:rPr>
        <w:t> </w:t>
      </w:r>
      <w:r>
        <w:rPr>
          <w:color w:val="231F20"/>
          <w:w w:val="105"/>
        </w:rPr>
        <w:t>más</w:t>
      </w:r>
      <w:r>
        <w:rPr>
          <w:color w:val="231F20"/>
          <w:spacing w:val="-22"/>
          <w:w w:val="105"/>
        </w:rPr>
        <w:t> </w:t>
      </w:r>
      <w:r>
        <w:rPr>
          <w:color w:val="231F20"/>
          <w:spacing w:val="-4"/>
          <w:w w:val="105"/>
        </w:rPr>
        <w:t>ligera)”,</w:t>
      </w:r>
      <w:r>
        <w:rPr>
          <w:color w:val="231F20"/>
          <w:spacing w:val="-27"/>
          <w:w w:val="105"/>
        </w:rPr>
        <w:t> </w:t>
      </w:r>
      <w:r>
        <w:rPr>
          <w:color w:val="231F20"/>
          <w:w w:val="105"/>
        </w:rPr>
        <w:t>“hay</w:t>
      </w:r>
      <w:r>
        <w:rPr>
          <w:color w:val="231F20"/>
          <w:spacing w:val="-22"/>
          <w:w w:val="105"/>
        </w:rPr>
        <w:t> </w:t>
      </w:r>
      <w:r>
        <w:rPr>
          <w:color w:val="231F20"/>
          <w:w w:val="105"/>
        </w:rPr>
        <w:t>que</w:t>
      </w:r>
      <w:r>
        <w:rPr>
          <w:color w:val="231F20"/>
          <w:spacing w:val="-22"/>
          <w:w w:val="105"/>
        </w:rPr>
        <w:t> </w:t>
      </w:r>
      <w:r>
        <w:rPr>
          <w:color w:val="231F20"/>
          <w:w w:val="105"/>
        </w:rPr>
        <w:t>ambicionar</w:t>
      </w:r>
      <w:r>
        <w:rPr>
          <w:color w:val="231F20"/>
          <w:spacing w:val="-22"/>
          <w:w w:val="105"/>
        </w:rPr>
        <w:t> </w:t>
      </w:r>
      <w:r>
        <w:rPr>
          <w:color w:val="231F20"/>
          <w:w w:val="105"/>
        </w:rPr>
        <w:t>siempre</w:t>
      </w:r>
      <w:r>
        <w:rPr>
          <w:color w:val="231F20"/>
          <w:spacing w:val="-22"/>
          <w:w w:val="105"/>
        </w:rPr>
        <w:t> </w:t>
      </w:r>
      <w:r>
        <w:rPr>
          <w:color w:val="231F20"/>
          <w:w w:val="105"/>
        </w:rPr>
        <w:t>a</w:t>
      </w:r>
      <w:r>
        <w:rPr>
          <w:color w:val="231F20"/>
          <w:spacing w:val="-22"/>
          <w:w w:val="105"/>
        </w:rPr>
        <w:t> </w:t>
      </w:r>
      <w:r>
        <w:rPr>
          <w:color w:val="231F20"/>
          <w:w w:val="105"/>
        </w:rPr>
        <w:t>tener</w:t>
      </w:r>
      <w:r>
        <w:rPr>
          <w:color w:val="231F20"/>
          <w:spacing w:val="-22"/>
          <w:w w:val="105"/>
        </w:rPr>
        <w:t> </w:t>
      </w:r>
      <w:r>
        <w:rPr>
          <w:color w:val="231F20"/>
          <w:w w:val="105"/>
        </w:rPr>
        <w:t>más”; </w:t>
      </w:r>
      <w:r>
        <w:rPr>
          <w:rFonts w:ascii="Arial" w:hAnsi="Arial"/>
          <w:color w:val="231F20"/>
          <w:w w:val="105"/>
        </w:rPr>
        <w:t>obligaciones</w:t>
      </w:r>
      <w:r>
        <w:rPr>
          <w:rFonts w:ascii="Arial" w:hAnsi="Arial"/>
          <w:color w:val="231F20"/>
          <w:spacing w:val="-13"/>
          <w:w w:val="105"/>
        </w:rPr>
        <w:t> </w:t>
      </w:r>
      <w:r>
        <w:rPr>
          <w:rFonts w:ascii="Arial" w:hAnsi="Arial"/>
          <w:color w:val="231F20"/>
          <w:w w:val="105"/>
        </w:rPr>
        <w:t>de</w:t>
      </w:r>
      <w:r>
        <w:rPr>
          <w:rFonts w:ascii="Arial" w:hAnsi="Arial"/>
          <w:color w:val="231F20"/>
          <w:spacing w:val="-13"/>
          <w:w w:val="105"/>
        </w:rPr>
        <w:t> </w:t>
      </w:r>
      <w:r>
        <w:rPr>
          <w:rFonts w:ascii="Arial" w:hAnsi="Arial"/>
          <w:color w:val="231F20"/>
          <w:w w:val="105"/>
        </w:rPr>
        <w:t>género</w:t>
      </w:r>
      <w:r>
        <w:rPr>
          <w:color w:val="231F20"/>
          <w:w w:val="105"/>
        </w:rPr>
        <w:t>:</w:t>
      </w:r>
      <w:r>
        <w:rPr>
          <w:color w:val="231F20"/>
          <w:spacing w:val="-11"/>
          <w:w w:val="105"/>
        </w:rPr>
        <w:t> </w:t>
      </w:r>
      <w:r>
        <w:rPr>
          <w:color w:val="231F20"/>
          <w:w w:val="105"/>
        </w:rPr>
        <w:t>“mi</w:t>
      </w:r>
      <w:r>
        <w:rPr>
          <w:color w:val="231F20"/>
          <w:spacing w:val="-11"/>
          <w:w w:val="105"/>
        </w:rPr>
        <w:t> </w:t>
      </w:r>
      <w:r>
        <w:rPr>
          <w:color w:val="231F20"/>
          <w:w w:val="105"/>
        </w:rPr>
        <w:t>esposa</w:t>
      </w:r>
      <w:r>
        <w:rPr>
          <w:color w:val="231F20"/>
          <w:spacing w:val="-11"/>
          <w:w w:val="105"/>
        </w:rPr>
        <w:t> </w:t>
      </w:r>
      <w:r>
        <w:rPr>
          <w:color w:val="231F20"/>
          <w:w w:val="105"/>
        </w:rPr>
        <w:t>gana</w:t>
      </w:r>
      <w:r>
        <w:rPr>
          <w:color w:val="231F20"/>
          <w:spacing w:val="-11"/>
          <w:w w:val="105"/>
        </w:rPr>
        <w:t> </w:t>
      </w:r>
      <w:r>
        <w:rPr>
          <w:color w:val="231F20"/>
          <w:w w:val="105"/>
        </w:rPr>
        <w:t>más</w:t>
      </w:r>
      <w:r>
        <w:rPr>
          <w:color w:val="231F20"/>
          <w:spacing w:val="-11"/>
          <w:w w:val="105"/>
        </w:rPr>
        <w:t> </w:t>
      </w:r>
      <w:r>
        <w:rPr>
          <w:color w:val="231F20"/>
          <w:w w:val="105"/>
        </w:rPr>
        <w:t>y</w:t>
      </w:r>
      <w:r>
        <w:rPr>
          <w:color w:val="231F20"/>
          <w:spacing w:val="-11"/>
          <w:w w:val="105"/>
        </w:rPr>
        <w:t> </w:t>
      </w:r>
      <w:r>
        <w:rPr>
          <w:color w:val="231F20"/>
          <w:w w:val="105"/>
        </w:rPr>
        <w:t>siento</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estoy</w:t>
      </w:r>
      <w:r>
        <w:rPr>
          <w:color w:val="231F20"/>
          <w:spacing w:val="-11"/>
          <w:w w:val="105"/>
        </w:rPr>
        <w:t> </w:t>
      </w:r>
      <w:r>
        <w:rPr>
          <w:color w:val="231F20"/>
          <w:w w:val="105"/>
        </w:rPr>
        <w:t>a</w:t>
      </w:r>
      <w:r>
        <w:rPr>
          <w:color w:val="231F20"/>
          <w:spacing w:val="-11"/>
          <w:w w:val="105"/>
        </w:rPr>
        <w:t> </w:t>
      </w:r>
      <w:r>
        <w:rPr>
          <w:color w:val="231F20"/>
          <w:w w:val="105"/>
        </w:rPr>
        <w:t>la altura de mi </w:t>
      </w:r>
      <w:r>
        <w:rPr>
          <w:color w:val="231F20"/>
          <w:spacing w:val="-4"/>
          <w:w w:val="105"/>
        </w:rPr>
        <w:t>esposa”, </w:t>
      </w:r>
      <w:r>
        <w:rPr>
          <w:color w:val="231F20"/>
          <w:spacing w:val="-3"/>
          <w:w w:val="105"/>
        </w:rPr>
        <w:t>“es </w:t>
      </w:r>
      <w:r>
        <w:rPr>
          <w:color w:val="231F20"/>
          <w:w w:val="105"/>
        </w:rPr>
        <w:t>mi responsabilidad aportar al patrimonio de la </w:t>
      </w:r>
      <w:r>
        <w:rPr>
          <w:color w:val="231F20"/>
          <w:spacing w:val="-4"/>
          <w:w w:val="105"/>
        </w:rPr>
        <w:t>familia”,</w:t>
      </w:r>
      <w:r>
        <w:rPr>
          <w:color w:val="231F20"/>
          <w:spacing w:val="-17"/>
          <w:w w:val="105"/>
        </w:rPr>
        <w:t> </w:t>
      </w:r>
      <w:r>
        <w:rPr>
          <w:color w:val="231F20"/>
          <w:w w:val="105"/>
        </w:rPr>
        <w:t>“quiero</w:t>
      </w:r>
      <w:r>
        <w:rPr>
          <w:color w:val="231F20"/>
          <w:spacing w:val="-10"/>
          <w:w w:val="105"/>
        </w:rPr>
        <w:t> </w:t>
      </w:r>
      <w:r>
        <w:rPr>
          <w:color w:val="231F20"/>
          <w:w w:val="105"/>
        </w:rPr>
        <w:t>lo</w:t>
      </w:r>
      <w:r>
        <w:rPr>
          <w:color w:val="231F20"/>
          <w:spacing w:val="-10"/>
          <w:w w:val="105"/>
        </w:rPr>
        <w:t> </w:t>
      </w:r>
      <w:r>
        <w:rPr>
          <w:color w:val="231F20"/>
          <w:w w:val="105"/>
        </w:rPr>
        <w:t>mejor</w:t>
      </w:r>
      <w:r>
        <w:rPr>
          <w:color w:val="231F20"/>
          <w:spacing w:val="-10"/>
          <w:w w:val="105"/>
        </w:rPr>
        <w:t> </w:t>
      </w:r>
      <w:r>
        <w:rPr>
          <w:color w:val="231F20"/>
          <w:w w:val="105"/>
        </w:rPr>
        <w:t>para</w:t>
      </w:r>
      <w:r>
        <w:rPr>
          <w:color w:val="231F20"/>
          <w:spacing w:val="-10"/>
          <w:w w:val="105"/>
        </w:rPr>
        <w:t> </w:t>
      </w:r>
      <w:r>
        <w:rPr>
          <w:color w:val="231F20"/>
          <w:w w:val="105"/>
        </w:rPr>
        <w:t>mi</w:t>
      </w:r>
      <w:r>
        <w:rPr>
          <w:color w:val="231F20"/>
          <w:spacing w:val="-10"/>
          <w:w w:val="105"/>
        </w:rPr>
        <w:t> </w:t>
      </w:r>
      <w:r>
        <w:rPr>
          <w:color w:val="231F20"/>
          <w:spacing w:val="-4"/>
          <w:w w:val="105"/>
        </w:rPr>
        <w:t>familia”,</w:t>
      </w:r>
      <w:r>
        <w:rPr>
          <w:color w:val="231F20"/>
          <w:spacing w:val="-17"/>
          <w:w w:val="105"/>
        </w:rPr>
        <w:t> </w:t>
      </w:r>
      <w:r>
        <w:rPr>
          <w:color w:val="231F20"/>
          <w:w w:val="105"/>
        </w:rPr>
        <w:t>“mi</w:t>
      </w:r>
      <w:r>
        <w:rPr>
          <w:color w:val="231F20"/>
          <w:spacing w:val="-10"/>
          <w:w w:val="105"/>
        </w:rPr>
        <w:t> </w:t>
      </w:r>
      <w:r>
        <w:rPr>
          <w:color w:val="231F20"/>
          <w:w w:val="105"/>
        </w:rPr>
        <w:t>padre</w:t>
      </w:r>
      <w:r>
        <w:rPr>
          <w:color w:val="231F20"/>
          <w:spacing w:val="-10"/>
          <w:w w:val="105"/>
        </w:rPr>
        <w:t> </w:t>
      </w:r>
      <w:r>
        <w:rPr>
          <w:color w:val="231F20"/>
          <w:w w:val="105"/>
        </w:rPr>
        <w:t>está</w:t>
      </w:r>
      <w:r>
        <w:rPr>
          <w:color w:val="231F20"/>
          <w:spacing w:val="-10"/>
          <w:w w:val="105"/>
        </w:rPr>
        <w:t> </w:t>
      </w:r>
      <w:r>
        <w:rPr>
          <w:color w:val="231F20"/>
          <w:w w:val="105"/>
        </w:rPr>
        <w:t>viejo</w:t>
      </w:r>
      <w:r>
        <w:rPr>
          <w:color w:val="231F20"/>
          <w:spacing w:val="-10"/>
          <w:w w:val="105"/>
        </w:rPr>
        <w:t> </w:t>
      </w:r>
      <w:r>
        <w:rPr>
          <w:color w:val="231F20"/>
          <w:w w:val="105"/>
        </w:rPr>
        <w:t>y</w:t>
      </w:r>
      <w:r>
        <w:rPr>
          <w:color w:val="231F20"/>
          <w:spacing w:val="-10"/>
          <w:w w:val="105"/>
        </w:rPr>
        <w:t> </w:t>
      </w:r>
      <w:r>
        <w:rPr>
          <w:color w:val="231F20"/>
          <w:spacing w:val="-3"/>
          <w:w w:val="105"/>
        </w:rPr>
        <w:t>enfermo”, </w:t>
      </w:r>
      <w:r>
        <w:rPr>
          <w:color w:val="231F20"/>
          <w:w w:val="105"/>
        </w:rPr>
        <w:t>“me duele que mi esposa no tenga su casa propia” e </w:t>
      </w:r>
      <w:r>
        <w:rPr>
          <w:rFonts w:ascii="Arial" w:hAnsi="Arial"/>
          <w:color w:val="231F20"/>
          <w:w w:val="105"/>
        </w:rPr>
        <w:t>intenciones indi- viduales</w:t>
      </w:r>
      <w:r>
        <w:rPr>
          <w:color w:val="231F20"/>
          <w:w w:val="105"/>
        </w:rPr>
        <w:t>: “quería salir de aquí, ver más allá de lo que </w:t>
      </w:r>
      <w:r>
        <w:rPr>
          <w:color w:val="231F20"/>
          <w:spacing w:val="-3"/>
          <w:w w:val="105"/>
        </w:rPr>
        <w:t>conozco”, </w:t>
      </w:r>
      <w:r>
        <w:rPr>
          <w:color w:val="231F20"/>
          <w:w w:val="105"/>
        </w:rPr>
        <w:t>“quería cambiar de </w:t>
      </w:r>
      <w:r>
        <w:rPr>
          <w:color w:val="231F20"/>
          <w:spacing w:val="-4"/>
          <w:w w:val="105"/>
        </w:rPr>
        <w:t>rutina”, </w:t>
      </w:r>
      <w:r>
        <w:rPr>
          <w:color w:val="231F20"/>
          <w:w w:val="105"/>
        </w:rPr>
        <w:t>“se me presentó la </w:t>
      </w:r>
      <w:r>
        <w:rPr>
          <w:color w:val="231F20"/>
          <w:spacing w:val="-3"/>
          <w:w w:val="105"/>
        </w:rPr>
        <w:t>oportunidad”, </w:t>
      </w:r>
      <w:r>
        <w:rPr>
          <w:color w:val="231F20"/>
          <w:w w:val="105"/>
        </w:rPr>
        <w:t>“pues quería volver a</w:t>
      </w:r>
      <w:r>
        <w:rPr>
          <w:color w:val="231F20"/>
          <w:spacing w:val="-14"/>
          <w:w w:val="105"/>
        </w:rPr>
        <w:t> </w:t>
      </w:r>
      <w:r>
        <w:rPr>
          <w:color w:val="231F20"/>
          <w:w w:val="105"/>
        </w:rPr>
        <w:t>sentir</w:t>
      </w:r>
      <w:r>
        <w:rPr>
          <w:color w:val="231F20"/>
          <w:spacing w:val="-14"/>
          <w:w w:val="105"/>
        </w:rPr>
        <w:t> </w:t>
      </w:r>
      <w:r>
        <w:rPr>
          <w:color w:val="231F20"/>
          <w:w w:val="105"/>
        </w:rPr>
        <w:t>mi</w:t>
      </w:r>
      <w:r>
        <w:rPr>
          <w:color w:val="231F20"/>
          <w:spacing w:val="-14"/>
          <w:w w:val="105"/>
        </w:rPr>
        <w:t> </w:t>
      </w:r>
      <w:r>
        <w:rPr>
          <w:color w:val="231F20"/>
          <w:spacing w:val="-4"/>
          <w:w w:val="105"/>
        </w:rPr>
        <w:t>soltería”,</w:t>
      </w:r>
      <w:r>
        <w:rPr>
          <w:color w:val="231F20"/>
          <w:spacing w:val="-20"/>
          <w:w w:val="105"/>
        </w:rPr>
        <w:t> </w:t>
      </w:r>
      <w:r>
        <w:rPr>
          <w:color w:val="231F20"/>
          <w:w w:val="105"/>
        </w:rPr>
        <w:t>“yo</w:t>
      </w:r>
      <w:r>
        <w:rPr>
          <w:color w:val="231F20"/>
          <w:spacing w:val="-14"/>
          <w:w w:val="105"/>
        </w:rPr>
        <w:t> </w:t>
      </w:r>
      <w:r>
        <w:rPr>
          <w:color w:val="231F20"/>
          <w:w w:val="105"/>
        </w:rPr>
        <w:t>me</w:t>
      </w:r>
      <w:r>
        <w:rPr>
          <w:color w:val="231F20"/>
          <w:spacing w:val="-14"/>
          <w:w w:val="105"/>
        </w:rPr>
        <w:t> </w:t>
      </w:r>
      <w:r>
        <w:rPr>
          <w:color w:val="231F20"/>
          <w:w w:val="105"/>
        </w:rPr>
        <w:t>voy,</w:t>
      </w:r>
      <w:r>
        <w:rPr>
          <w:color w:val="231F20"/>
          <w:spacing w:val="-20"/>
          <w:w w:val="105"/>
        </w:rPr>
        <w:t> </w:t>
      </w:r>
      <w:r>
        <w:rPr>
          <w:color w:val="231F20"/>
          <w:w w:val="105"/>
        </w:rPr>
        <w:t>ahí</w:t>
      </w:r>
      <w:r>
        <w:rPr>
          <w:color w:val="231F20"/>
          <w:spacing w:val="-14"/>
          <w:w w:val="105"/>
        </w:rPr>
        <w:t> </w:t>
      </w:r>
      <w:r>
        <w:rPr>
          <w:color w:val="231F20"/>
          <w:w w:val="105"/>
        </w:rPr>
        <w:t>ella</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spacing w:val="-3"/>
          <w:w w:val="105"/>
        </w:rPr>
        <w:t>encargue”.</w:t>
      </w:r>
    </w:p>
    <w:p>
      <w:pPr>
        <w:pStyle w:val="BodyText"/>
        <w:spacing w:line="261" w:lineRule="auto" w:before="1"/>
        <w:ind w:left="1723" w:right="1828" w:firstLine="567"/>
        <w:jc w:val="both"/>
      </w:pPr>
      <w:r>
        <w:rPr>
          <w:color w:val="231F20"/>
        </w:rPr>
        <w:t>Los estados de </w:t>
      </w:r>
      <w:r>
        <w:rPr>
          <w:color w:val="231F20"/>
          <w:spacing w:val="-5"/>
        </w:rPr>
        <w:t>Texas </w:t>
      </w:r>
      <w:r>
        <w:rPr>
          <w:color w:val="231F20"/>
        </w:rPr>
        <w:t>y California, los más prósperos en agricultura, ofrecen fuentes de empleo por excelencia, lo cual los convierte en exce- lentes zonas para emigrar. Dichas experiencias laborales se extienden a la ciudad y el campo, siempre supeditadas a los vínculos familiares y de amistades que ayudan a colocarse. Estos vínculos regulan los regresos    a la misma o a otras ciudades del estado de </w:t>
      </w:r>
      <w:r>
        <w:rPr>
          <w:color w:val="231F20"/>
          <w:spacing w:val="-5"/>
        </w:rPr>
        <w:t>Texas </w:t>
      </w:r>
      <w:r>
        <w:rPr>
          <w:color w:val="231F20"/>
        </w:rPr>
        <w:t>o California. En este sentido sobresalen las ciudades de Dallas, </w:t>
      </w:r>
      <w:r>
        <w:rPr>
          <w:color w:val="231F20"/>
          <w:spacing w:val="-3"/>
        </w:rPr>
        <w:t>Wakoo, </w:t>
      </w:r>
      <w:r>
        <w:rPr>
          <w:color w:val="231F20"/>
          <w:spacing w:val="-4"/>
        </w:rPr>
        <w:t>Fort </w:t>
      </w:r>
      <w:r>
        <w:rPr>
          <w:color w:val="231F20"/>
        </w:rPr>
        <w:t>Worth, Houston, Austin y Lubbock, así como Chicago, San Diego y Los Ángeles, ciudades de otros estados. En este punto es importante señalar que los empleos desempeñados fueron como capataces en ranchos especializados en producción agrícola, forestal y vitivinícola, en las zonas semiurbanas, y en las zonas urbanas su desempeño se centró en rastros, empacadoras de carne de pollo y bovino, en estancos de comida rápida, en restaurantes, en hoteles y supermercados como </w:t>
      </w:r>
      <w:r>
        <w:rPr>
          <w:rFonts w:ascii="Arial" w:hAnsi="Arial"/>
          <w:i/>
          <w:color w:val="231F20"/>
        </w:rPr>
        <w:t>managers </w:t>
      </w:r>
      <w:r>
        <w:rPr>
          <w:color w:val="231F20"/>
        </w:rPr>
        <w:t>en servicios de limpieza, así como en jardinería especializada y </w:t>
      </w:r>
      <w:r>
        <w:rPr>
          <w:color w:val="231F20"/>
          <w:spacing w:val="50"/>
        </w:rPr>
        <w:t> </w:t>
      </w:r>
      <w:r>
        <w:rPr>
          <w:color w:val="231F20"/>
        </w:rPr>
        <w:t>albañilería.</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3512" from="131.551193pt,3.703715pt" to="131.551193pt,39.506114pt" stroked="true" strokeweight=".35pt" strokecolor="#231f20">
            <w10:wrap type="none"/>
          </v:line>
        </w:pict>
      </w:r>
      <w:r>
        <w:rPr/>
        <w:pict>
          <v:line style="position:absolute;mso-position-horizontal-relative:page;mso-position-vertical-relative:paragraph;z-index:-443440" from="15pt,39.505917pt" to="0pt,39.505917pt" stroked="true" strokeweight=".25pt" strokecolor="#000000">
            <w10:wrap type="none"/>
          </v:line>
        </w:pict>
      </w:r>
      <w:r>
        <w:rPr/>
        <w:pict>
          <v:line style="position:absolute;mso-position-horizontal-relative:page;mso-position-vertical-relative:paragraph;z-index:46768" from="508.890015pt,39.505917pt" to="523.890015pt,39.505917pt" stroked="true" strokeweight=".25pt" strokecolor="#000000">
            <w10:wrap type="none"/>
          </v:line>
        </w:pict>
      </w:r>
      <w:r>
        <w:rPr>
          <w:rFonts w:ascii="Arial" w:hAnsi="Arial"/>
          <w:color w:val="414042"/>
          <w:w w:val="105"/>
          <w:position w:val="-5"/>
          <w:sz w:val="20"/>
        </w:rPr>
        <w:t>404</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679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6816" from="15pt,-28.286539pt" to="0pt,-28.286539pt" stroked="true" strokeweight=".25pt" strokecolor="#000000">
            <w10:wrap type="none"/>
          </v:line>
        </w:pict>
      </w:r>
      <w:r>
        <w:rPr/>
        <w:pict>
          <v:line style="position:absolute;mso-position-horizontal-relative:page;mso-position-vertical-relative:paragraph;z-index:46840" from="508.890015pt,-28.286539pt" to="523.890015pt,-28.286539pt" stroked="true" strokeweight=".25pt" strokecolor="#000000">
            <w10:wrap type="none"/>
          </v:line>
        </w:pict>
      </w:r>
      <w:r>
        <w:rPr>
          <w:rFonts w:ascii="Arial"/>
          <w:color w:val="414042"/>
          <w:sz w:val="20"/>
        </w:rPr>
        <w:t>405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15"/>
        <w:jc w:val="both"/>
      </w:pPr>
      <w:r>
        <w:rPr>
          <w:color w:val="231F20"/>
          <w:spacing w:val="-6"/>
          <w:w w:val="105"/>
        </w:rPr>
        <w:t>Por</w:t>
      </w:r>
      <w:r>
        <w:rPr>
          <w:color w:val="231F20"/>
          <w:spacing w:val="-15"/>
          <w:w w:val="105"/>
        </w:rPr>
        <w:t> </w:t>
      </w:r>
      <w:r>
        <w:rPr>
          <w:color w:val="231F20"/>
          <w:w w:val="105"/>
        </w:rPr>
        <w:t>el</w:t>
      </w:r>
      <w:r>
        <w:rPr>
          <w:color w:val="231F20"/>
          <w:spacing w:val="-15"/>
          <w:w w:val="105"/>
        </w:rPr>
        <w:t> </w:t>
      </w:r>
      <w:r>
        <w:rPr>
          <w:color w:val="231F20"/>
          <w:w w:val="105"/>
        </w:rPr>
        <w:t>contrario,</w:t>
      </w:r>
      <w:r>
        <w:rPr>
          <w:color w:val="231F20"/>
          <w:spacing w:val="-20"/>
          <w:w w:val="105"/>
        </w:rPr>
        <w:t> </w:t>
      </w:r>
      <w:r>
        <w:rPr>
          <w:color w:val="231F20"/>
          <w:w w:val="105"/>
        </w:rPr>
        <w:t>las</w:t>
      </w:r>
      <w:r>
        <w:rPr>
          <w:color w:val="231F20"/>
          <w:spacing w:val="-15"/>
          <w:w w:val="105"/>
        </w:rPr>
        <w:t> </w:t>
      </w:r>
      <w:r>
        <w:rPr>
          <w:color w:val="231F20"/>
          <w:w w:val="105"/>
        </w:rPr>
        <w:t>opciones</w:t>
      </w:r>
      <w:r>
        <w:rPr>
          <w:color w:val="231F20"/>
          <w:spacing w:val="-15"/>
          <w:w w:val="105"/>
        </w:rPr>
        <w:t> </w:t>
      </w:r>
      <w:r>
        <w:rPr>
          <w:color w:val="231F20"/>
          <w:w w:val="105"/>
        </w:rPr>
        <w:t>laborales</w:t>
      </w:r>
      <w:r>
        <w:rPr>
          <w:color w:val="231F20"/>
          <w:spacing w:val="-15"/>
          <w:w w:val="105"/>
        </w:rPr>
        <w:t> </w:t>
      </w:r>
      <w:r>
        <w:rPr>
          <w:color w:val="231F20"/>
          <w:w w:val="105"/>
        </w:rPr>
        <w:t>que</w:t>
      </w:r>
      <w:r>
        <w:rPr>
          <w:color w:val="231F20"/>
          <w:spacing w:val="-15"/>
          <w:w w:val="105"/>
        </w:rPr>
        <w:t> </w:t>
      </w:r>
      <w:r>
        <w:rPr>
          <w:color w:val="231F20"/>
          <w:w w:val="105"/>
        </w:rPr>
        <w:t>existen</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localidades</w:t>
      </w:r>
      <w:r>
        <w:rPr>
          <w:color w:val="231F20"/>
          <w:spacing w:val="-15"/>
          <w:w w:val="105"/>
        </w:rPr>
        <w:t> </w:t>
      </w:r>
      <w:r>
        <w:rPr>
          <w:color w:val="231F20"/>
          <w:w w:val="105"/>
        </w:rPr>
        <w:t>de retorno</w:t>
      </w:r>
      <w:r>
        <w:rPr>
          <w:color w:val="231F20"/>
          <w:spacing w:val="-19"/>
          <w:w w:val="105"/>
        </w:rPr>
        <w:t> </w:t>
      </w:r>
      <w:r>
        <w:rPr>
          <w:color w:val="231F20"/>
          <w:w w:val="105"/>
        </w:rPr>
        <w:t>no</w:t>
      </w:r>
      <w:r>
        <w:rPr>
          <w:color w:val="231F20"/>
          <w:spacing w:val="-19"/>
          <w:w w:val="105"/>
        </w:rPr>
        <w:t> </w:t>
      </w:r>
      <w:r>
        <w:rPr>
          <w:color w:val="231F20"/>
          <w:w w:val="105"/>
        </w:rPr>
        <w:t>siempre</w:t>
      </w:r>
      <w:r>
        <w:rPr>
          <w:color w:val="231F20"/>
          <w:spacing w:val="-19"/>
          <w:w w:val="105"/>
        </w:rPr>
        <w:t> </w:t>
      </w:r>
      <w:r>
        <w:rPr>
          <w:color w:val="231F20"/>
          <w:w w:val="105"/>
        </w:rPr>
        <w:t>se</w:t>
      </w:r>
      <w:r>
        <w:rPr>
          <w:color w:val="231F20"/>
          <w:spacing w:val="-19"/>
          <w:w w:val="105"/>
        </w:rPr>
        <w:t> </w:t>
      </w:r>
      <w:r>
        <w:rPr>
          <w:color w:val="231F20"/>
          <w:w w:val="105"/>
        </w:rPr>
        <w:t>adecuan</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necesidades</w:t>
      </w:r>
      <w:r>
        <w:rPr>
          <w:color w:val="231F20"/>
          <w:spacing w:val="-19"/>
          <w:w w:val="105"/>
        </w:rPr>
        <w:t> </w:t>
      </w:r>
      <w:r>
        <w:rPr>
          <w:color w:val="231F20"/>
          <w:w w:val="105"/>
        </w:rPr>
        <w:t>de</w:t>
      </w:r>
      <w:r>
        <w:rPr>
          <w:color w:val="231F20"/>
          <w:spacing w:val="-19"/>
          <w:w w:val="105"/>
        </w:rPr>
        <w:t> </w:t>
      </w:r>
      <w:r>
        <w:rPr>
          <w:color w:val="231F20"/>
          <w:w w:val="105"/>
        </w:rPr>
        <w:t>estos</w:t>
      </w:r>
      <w:r>
        <w:rPr>
          <w:color w:val="231F20"/>
          <w:spacing w:val="-19"/>
          <w:w w:val="105"/>
        </w:rPr>
        <w:t> </w:t>
      </w:r>
      <w:r>
        <w:rPr>
          <w:color w:val="231F20"/>
          <w:w w:val="105"/>
        </w:rPr>
        <w:t>hombres.</w:t>
      </w:r>
      <w:r>
        <w:rPr>
          <w:color w:val="231F20"/>
          <w:spacing w:val="-23"/>
          <w:w w:val="105"/>
        </w:rPr>
        <w:t> </w:t>
      </w:r>
      <w:r>
        <w:rPr>
          <w:color w:val="231F20"/>
          <w:spacing w:val="-6"/>
          <w:w w:val="105"/>
        </w:rPr>
        <w:t>Por </w:t>
      </w:r>
      <w:r>
        <w:rPr>
          <w:color w:val="231F20"/>
          <w:w w:val="105"/>
        </w:rPr>
        <w:t>ejemplo la agricultura se toma como una opción para ocupar el tiempo, sin embargo es más atractiva cuando se combina con la cría y</w:t>
      </w:r>
      <w:r>
        <w:rPr>
          <w:color w:val="231F20"/>
          <w:spacing w:val="-25"/>
          <w:w w:val="105"/>
        </w:rPr>
        <w:t> </w:t>
      </w:r>
      <w:r>
        <w:rPr>
          <w:color w:val="231F20"/>
          <w:w w:val="105"/>
        </w:rPr>
        <w:t>engorda de</w:t>
      </w:r>
      <w:r>
        <w:rPr>
          <w:color w:val="231F20"/>
          <w:spacing w:val="-18"/>
          <w:w w:val="105"/>
        </w:rPr>
        <w:t> </w:t>
      </w:r>
      <w:r>
        <w:rPr>
          <w:color w:val="231F20"/>
          <w:w w:val="105"/>
        </w:rPr>
        <w:t>ganado,</w:t>
      </w:r>
      <w:r>
        <w:rPr>
          <w:color w:val="231F20"/>
          <w:spacing w:val="-24"/>
          <w:w w:val="105"/>
        </w:rPr>
        <w:t> </w:t>
      </w:r>
      <w:r>
        <w:rPr>
          <w:color w:val="231F20"/>
          <w:w w:val="105"/>
        </w:rPr>
        <w:t>un</w:t>
      </w:r>
      <w:r>
        <w:rPr>
          <w:color w:val="231F20"/>
          <w:spacing w:val="-18"/>
          <w:w w:val="105"/>
        </w:rPr>
        <w:t> </w:t>
      </w:r>
      <w:r>
        <w:rPr>
          <w:color w:val="231F20"/>
          <w:w w:val="105"/>
        </w:rPr>
        <w:t>negocio</w:t>
      </w:r>
      <w:r>
        <w:rPr>
          <w:color w:val="231F20"/>
          <w:spacing w:val="-18"/>
          <w:w w:val="105"/>
        </w:rPr>
        <w:t> </w:t>
      </w:r>
      <w:r>
        <w:rPr>
          <w:color w:val="231F20"/>
          <w:w w:val="105"/>
        </w:rPr>
        <w:t>propio</w:t>
      </w:r>
      <w:r>
        <w:rPr>
          <w:color w:val="231F20"/>
          <w:spacing w:val="-18"/>
          <w:w w:val="105"/>
        </w:rPr>
        <w:t> </w:t>
      </w:r>
      <w:r>
        <w:rPr>
          <w:color w:val="231F20"/>
          <w:w w:val="105"/>
        </w:rPr>
        <w:t>talleres</w:t>
      </w:r>
      <w:r>
        <w:rPr>
          <w:color w:val="231F20"/>
          <w:spacing w:val="-18"/>
          <w:w w:val="105"/>
        </w:rPr>
        <w:t> </w:t>
      </w:r>
      <w:r>
        <w:rPr>
          <w:color w:val="231F20"/>
          <w:w w:val="105"/>
        </w:rPr>
        <w:t>especializados</w:t>
      </w:r>
      <w:r>
        <w:rPr>
          <w:color w:val="231F20"/>
          <w:spacing w:val="-18"/>
          <w:w w:val="105"/>
        </w:rPr>
        <w:t> </w:t>
      </w:r>
      <w:r>
        <w:rPr>
          <w:color w:val="231F20"/>
          <w:w w:val="105"/>
        </w:rPr>
        <w:t>de</w:t>
      </w:r>
      <w:r>
        <w:rPr>
          <w:color w:val="231F20"/>
          <w:spacing w:val="-18"/>
          <w:w w:val="105"/>
        </w:rPr>
        <w:t> </w:t>
      </w:r>
      <w:r>
        <w:rPr>
          <w:color w:val="231F20"/>
          <w:w w:val="105"/>
        </w:rPr>
        <w:t>carpintería,</w:t>
      </w:r>
      <w:r>
        <w:rPr>
          <w:color w:val="231F20"/>
          <w:spacing w:val="-24"/>
          <w:w w:val="105"/>
        </w:rPr>
        <w:t> </w:t>
      </w:r>
      <w:r>
        <w:rPr>
          <w:color w:val="231F20"/>
          <w:w w:val="105"/>
        </w:rPr>
        <w:t>ser- vicio de mecánica para autos y motocicletas o de jardinería semi-espe- cializada,</w:t>
      </w:r>
      <w:r>
        <w:rPr>
          <w:color w:val="231F20"/>
          <w:spacing w:val="-27"/>
          <w:w w:val="105"/>
        </w:rPr>
        <w:t> </w:t>
      </w:r>
      <w:r>
        <w:rPr>
          <w:color w:val="231F20"/>
          <w:w w:val="105"/>
        </w:rPr>
        <w:t>convirtiéndose</w:t>
      </w:r>
      <w:r>
        <w:rPr>
          <w:color w:val="231F20"/>
          <w:spacing w:val="-22"/>
          <w:w w:val="105"/>
        </w:rPr>
        <w:t> </w:t>
      </w:r>
      <w:r>
        <w:rPr>
          <w:color w:val="231F20"/>
          <w:w w:val="105"/>
        </w:rPr>
        <w:t>en</w:t>
      </w:r>
      <w:r>
        <w:rPr>
          <w:color w:val="231F20"/>
          <w:spacing w:val="-22"/>
          <w:w w:val="105"/>
        </w:rPr>
        <w:t> </w:t>
      </w:r>
      <w:r>
        <w:rPr>
          <w:color w:val="231F20"/>
          <w:w w:val="105"/>
        </w:rPr>
        <w:t>verdaderas</w:t>
      </w:r>
      <w:r>
        <w:rPr>
          <w:color w:val="231F20"/>
          <w:spacing w:val="-22"/>
          <w:w w:val="105"/>
        </w:rPr>
        <w:t> </w:t>
      </w:r>
      <w:r>
        <w:rPr>
          <w:color w:val="231F20"/>
          <w:w w:val="105"/>
        </w:rPr>
        <w:t>oportunidades</w:t>
      </w:r>
      <w:r>
        <w:rPr>
          <w:color w:val="231F20"/>
          <w:spacing w:val="-22"/>
          <w:w w:val="105"/>
        </w:rPr>
        <w:t> </w:t>
      </w:r>
      <w:r>
        <w:rPr>
          <w:color w:val="231F20"/>
          <w:w w:val="105"/>
        </w:rPr>
        <w:t>para</w:t>
      </w:r>
      <w:r>
        <w:rPr>
          <w:color w:val="231F20"/>
          <w:spacing w:val="-22"/>
          <w:w w:val="105"/>
        </w:rPr>
        <w:t> </w:t>
      </w:r>
      <w:r>
        <w:rPr>
          <w:color w:val="231F20"/>
          <w:w w:val="105"/>
        </w:rPr>
        <w:t>quedarse.</w:t>
      </w:r>
    </w:p>
    <w:p>
      <w:pPr>
        <w:pStyle w:val="BodyText"/>
        <w:spacing w:line="261" w:lineRule="auto" w:before="1"/>
        <w:ind w:left="1837" w:right="1721" w:firstLine="567"/>
        <w:jc w:val="both"/>
      </w:pPr>
      <w:r>
        <w:rPr>
          <w:color w:val="231F20"/>
          <w:w w:val="105"/>
        </w:rPr>
        <w:t>Estas</w:t>
      </w:r>
      <w:r>
        <w:rPr>
          <w:color w:val="231F20"/>
          <w:spacing w:val="-23"/>
          <w:w w:val="105"/>
        </w:rPr>
        <w:t> </w:t>
      </w:r>
      <w:r>
        <w:rPr>
          <w:color w:val="231F20"/>
          <w:w w:val="105"/>
        </w:rPr>
        <w:t>oportunidades</w:t>
      </w:r>
      <w:r>
        <w:rPr>
          <w:color w:val="231F20"/>
          <w:spacing w:val="-23"/>
          <w:w w:val="105"/>
        </w:rPr>
        <w:t> </w:t>
      </w:r>
      <w:r>
        <w:rPr>
          <w:color w:val="231F20"/>
          <w:w w:val="105"/>
        </w:rPr>
        <w:t>laborales,</w:t>
      </w:r>
      <w:r>
        <w:rPr>
          <w:color w:val="231F20"/>
          <w:spacing w:val="-28"/>
          <w:w w:val="105"/>
        </w:rPr>
        <w:t> </w:t>
      </w:r>
      <w:r>
        <w:rPr>
          <w:color w:val="231F20"/>
          <w:spacing w:val="-3"/>
          <w:w w:val="105"/>
        </w:rPr>
        <w:t>siempre</w:t>
      </w:r>
      <w:r>
        <w:rPr>
          <w:color w:val="231F20"/>
          <w:spacing w:val="-23"/>
          <w:w w:val="105"/>
        </w:rPr>
        <w:t> </w:t>
      </w:r>
      <w:r>
        <w:rPr>
          <w:color w:val="231F20"/>
          <w:w w:val="105"/>
        </w:rPr>
        <w:t>dependientes</w:t>
      </w:r>
      <w:r>
        <w:rPr>
          <w:color w:val="231F20"/>
          <w:spacing w:val="-23"/>
          <w:w w:val="105"/>
        </w:rPr>
        <w:t> </w:t>
      </w:r>
      <w:r>
        <w:rPr>
          <w:color w:val="231F20"/>
          <w:w w:val="105"/>
        </w:rPr>
        <w:t>del</w:t>
      </w:r>
      <w:r>
        <w:rPr>
          <w:color w:val="231F20"/>
          <w:spacing w:val="-23"/>
          <w:w w:val="105"/>
        </w:rPr>
        <w:t> </w:t>
      </w:r>
      <w:r>
        <w:rPr>
          <w:color w:val="231F20"/>
          <w:spacing w:val="-3"/>
          <w:w w:val="105"/>
        </w:rPr>
        <w:t>contexto </w:t>
      </w:r>
      <w:r>
        <w:rPr>
          <w:color w:val="231F20"/>
          <w:w w:val="105"/>
        </w:rPr>
        <w:t>local, se traducen en </w:t>
      </w:r>
      <w:r>
        <w:rPr>
          <w:color w:val="231F20"/>
          <w:spacing w:val="-2"/>
          <w:w w:val="105"/>
        </w:rPr>
        <w:t>tranquilidad </w:t>
      </w:r>
      <w:r>
        <w:rPr>
          <w:color w:val="231F20"/>
          <w:w w:val="105"/>
        </w:rPr>
        <w:t>emocional y económica para los mi- grantes</w:t>
      </w:r>
      <w:r>
        <w:rPr>
          <w:color w:val="231F20"/>
          <w:spacing w:val="-23"/>
          <w:w w:val="105"/>
        </w:rPr>
        <w:t> </w:t>
      </w:r>
      <w:r>
        <w:rPr>
          <w:color w:val="231F20"/>
          <w:w w:val="105"/>
        </w:rPr>
        <w:t>y</w:t>
      </w:r>
      <w:r>
        <w:rPr>
          <w:color w:val="231F20"/>
          <w:spacing w:val="-23"/>
          <w:w w:val="105"/>
        </w:rPr>
        <w:t> </w:t>
      </w:r>
      <w:r>
        <w:rPr>
          <w:color w:val="231F20"/>
          <w:w w:val="105"/>
        </w:rPr>
        <w:t>sus</w:t>
      </w:r>
      <w:r>
        <w:rPr>
          <w:color w:val="231F20"/>
          <w:spacing w:val="-23"/>
          <w:w w:val="105"/>
        </w:rPr>
        <w:t> </w:t>
      </w:r>
      <w:r>
        <w:rPr>
          <w:color w:val="231F20"/>
          <w:w w:val="105"/>
        </w:rPr>
        <w:t>familias.</w:t>
      </w:r>
      <w:r>
        <w:rPr>
          <w:color w:val="231F20"/>
          <w:spacing w:val="-28"/>
          <w:w w:val="105"/>
        </w:rPr>
        <w:t> </w:t>
      </w:r>
      <w:r>
        <w:rPr>
          <w:color w:val="231F20"/>
          <w:w w:val="105"/>
        </w:rPr>
        <w:t>En</w:t>
      </w:r>
      <w:r>
        <w:rPr>
          <w:color w:val="231F20"/>
          <w:spacing w:val="-23"/>
          <w:w w:val="105"/>
        </w:rPr>
        <w:t> </w:t>
      </w:r>
      <w:r>
        <w:rPr>
          <w:color w:val="231F20"/>
          <w:w w:val="105"/>
        </w:rPr>
        <w:t>este</w:t>
      </w:r>
      <w:r>
        <w:rPr>
          <w:color w:val="231F20"/>
          <w:spacing w:val="-23"/>
          <w:w w:val="105"/>
        </w:rPr>
        <w:t> </w:t>
      </w:r>
      <w:r>
        <w:rPr>
          <w:color w:val="231F20"/>
          <w:spacing w:val="-3"/>
          <w:w w:val="105"/>
        </w:rPr>
        <w:t>orden,</w:t>
      </w:r>
      <w:r>
        <w:rPr>
          <w:color w:val="231F20"/>
          <w:spacing w:val="-28"/>
          <w:w w:val="105"/>
        </w:rPr>
        <w:t> </w:t>
      </w:r>
      <w:r>
        <w:rPr>
          <w:color w:val="231F20"/>
          <w:w w:val="105"/>
        </w:rPr>
        <w:t>las</w:t>
      </w:r>
      <w:r>
        <w:rPr>
          <w:color w:val="231F20"/>
          <w:spacing w:val="-23"/>
          <w:w w:val="105"/>
        </w:rPr>
        <w:t> </w:t>
      </w:r>
      <w:r>
        <w:rPr>
          <w:color w:val="231F20"/>
          <w:w w:val="105"/>
        </w:rPr>
        <w:t>ocupaciones</w:t>
      </w:r>
      <w:r>
        <w:rPr>
          <w:color w:val="231F20"/>
          <w:spacing w:val="-23"/>
          <w:w w:val="105"/>
        </w:rPr>
        <w:t> </w:t>
      </w:r>
      <w:r>
        <w:rPr>
          <w:color w:val="231F20"/>
          <w:w w:val="105"/>
        </w:rPr>
        <w:t>donde</w:t>
      </w:r>
      <w:r>
        <w:rPr>
          <w:color w:val="231F20"/>
          <w:spacing w:val="-23"/>
          <w:w w:val="105"/>
        </w:rPr>
        <w:t> </w:t>
      </w:r>
      <w:r>
        <w:rPr>
          <w:color w:val="231F20"/>
          <w:w w:val="105"/>
        </w:rPr>
        <w:t>están</w:t>
      </w:r>
      <w:r>
        <w:rPr>
          <w:color w:val="231F20"/>
          <w:spacing w:val="-23"/>
          <w:w w:val="105"/>
        </w:rPr>
        <w:t> </w:t>
      </w:r>
      <w:r>
        <w:rPr>
          <w:color w:val="231F20"/>
          <w:spacing w:val="-3"/>
          <w:w w:val="105"/>
        </w:rPr>
        <w:t>inser- </w:t>
      </w:r>
      <w:r>
        <w:rPr>
          <w:color w:val="231F20"/>
          <w:w w:val="105"/>
        </w:rPr>
        <w:t>tados</w:t>
      </w:r>
      <w:r>
        <w:rPr>
          <w:color w:val="231F20"/>
          <w:spacing w:val="-9"/>
          <w:w w:val="105"/>
        </w:rPr>
        <w:t> </w:t>
      </w:r>
      <w:r>
        <w:rPr>
          <w:color w:val="231F20"/>
          <w:w w:val="105"/>
        </w:rPr>
        <w:t>la</w:t>
      </w:r>
      <w:r>
        <w:rPr>
          <w:color w:val="231F20"/>
          <w:spacing w:val="-9"/>
          <w:w w:val="105"/>
        </w:rPr>
        <w:t> </w:t>
      </w:r>
      <w:r>
        <w:rPr>
          <w:color w:val="231F20"/>
          <w:w w:val="105"/>
        </w:rPr>
        <w:t>mayoría</w:t>
      </w:r>
      <w:r>
        <w:rPr>
          <w:color w:val="231F20"/>
          <w:spacing w:val="-9"/>
          <w:w w:val="105"/>
        </w:rPr>
        <w:t> </w:t>
      </w:r>
      <w:r>
        <w:rPr>
          <w:color w:val="231F20"/>
          <w:w w:val="105"/>
        </w:rPr>
        <w:t>de</w:t>
      </w:r>
      <w:r>
        <w:rPr>
          <w:color w:val="231F20"/>
          <w:spacing w:val="-9"/>
          <w:w w:val="105"/>
        </w:rPr>
        <w:t> </w:t>
      </w:r>
      <w:r>
        <w:rPr>
          <w:color w:val="231F20"/>
          <w:w w:val="105"/>
        </w:rPr>
        <w:t>estos</w:t>
      </w:r>
      <w:r>
        <w:rPr>
          <w:color w:val="231F20"/>
          <w:spacing w:val="-9"/>
          <w:w w:val="105"/>
        </w:rPr>
        <w:t> </w:t>
      </w:r>
      <w:r>
        <w:rPr>
          <w:color w:val="231F20"/>
          <w:spacing w:val="-3"/>
          <w:w w:val="105"/>
        </w:rPr>
        <w:t>hombres</w:t>
      </w:r>
      <w:r>
        <w:rPr>
          <w:color w:val="231F20"/>
          <w:spacing w:val="-9"/>
          <w:w w:val="105"/>
        </w:rPr>
        <w:t> </w:t>
      </w:r>
      <w:r>
        <w:rPr>
          <w:color w:val="231F20"/>
          <w:w w:val="105"/>
        </w:rPr>
        <w:t>es</w:t>
      </w:r>
      <w:r>
        <w:rPr>
          <w:color w:val="231F20"/>
          <w:spacing w:val="-9"/>
          <w:w w:val="105"/>
        </w:rPr>
        <w:t> </w:t>
      </w:r>
      <w:r>
        <w:rPr>
          <w:color w:val="231F20"/>
          <w:w w:val="105"/>
        </w:rPr>
        <w:t>el</w:t>
      </w:r>
      <w:r>
        <w:rPr>
          <w:color w:val="231F20"/>
          <w:spacing w:val="-9"/>
          <w:w w:val="105"/>
        </w:rPr>
        <w:t> </w:t>
      </w:r>
      <w:r>
        <w:rPr>
          <w:color w:val="231F20"/>
          <w:w w:val="105"/>
        </w:rPr>
        <w:t>servicio</w:t>
      </w:r>
      <w:r>
        <w:rPr>
          <w:color w:val="231F20"/>
          <w:spacing w:val="-9"/>
          <w:w w:val="105"/>
        </w:rPr>
        <w:t> </w:t>
      </w:r>
      <w:r>
        <w:rPr>
          <w:color w:val="231F20"/>
          <w:w w:val="105"/>
        </w:rPr>
        <w:t>de</w:t>
      </w:r>
      <w:r>
        <w:rPr>
          <w:color w:val="231F20"/>
          <w:spacing w:val="-9"/>
          <w:w w:val="105"/>
        </w:rPr>
        <w:t> </w:t>
      </w:r>
      <w:r>
        <w:rPr>
          <w:color w:val="231F20"/>
          <w:w w:val="105"/>
        </w:rPr>
        <w:t>taxis</w:t>
      </w:r>
      <w:r>
        <w:rPr>
          <w:color w:val="231F20"/>
          <w:spacing w:val="-9"/>
          <w:w w:val="105"/>
        </w:rPr>
        <w:t> </w:t>
      </w:r>
      <w:r>
        <w:rPr>
          <w:color w:val="231F20"/>
          <w:spacing w:val="-3"/>
          <w:w w:val="105"/>
        </w:rPr>
        <w:t>(propietarios</w:t>
      </w:r>
      <w:r>
        <w:rPr>
          <w:color w:val="231F20"/>
          <w:spacing w:val="-9"/>
          <w:w w:val="105"/>
        </w:rPr>
        <w:t> </w:t>
      </w:r>
      <w:r>
        <w:rPr>
          <w:color w:val="231F20"/>
          <w:w w:val="105"/>
        </w:rPr>
        <w:t>o </w:t>
      </w:r>
      <w:r>
        <w:rPr>
          <w:color w:val="231F20"/>
          <w:spacing w:val="-3"/>
          <w:w w:val="105"/>
        </w:rPr>
        <w:t>trabajadores),</w:t>
      </w:r>
      <w:r>
        <w:rPr>
          <w:color w:val="231F20"/>
          <w:spacing w:val="-20"/>
          <w:w w:val="105"/>
        </w:rPr>
        <w:t> </w:t>
      </w:r>
      <w:r>
        <w:rPr>
          <w:color w:val="231F20"/>
          <w:spacing w:val="-3"/>
          <w:w w:val="105"/>
        </w:rPr>
        <w:t>pero</w:t>
      </w:r>
      <w:r>
        <w:rPr>
          <w:color w:val="231F20"/>
          <w:spacing w:val="-16"/>
          <w:w w:val="105"/>
        </w:rPr>
        <w:t> </w:t>
      </w:r>
      <w:r>
        <w:rPr>
          <w:color w:val="231F20"/>
          <w:w w:val="105"/>
        </w:rPr>
        <w:t>dadas</w:t>
      </w:r>
      <w:r>
        <w:rPr>
          <w:color w:val="231F20"/>
          <w:spacing w:val="-16"/>
          <w:w w:val="105"/>
        </w:rPr>
        <w:t> </w:t>
      </w:r>
      <w:r>
        <w:rPr>
          <w:color w:val="231F20"/>
          <w:w w:val="105"/>
        </w:rPr>
        <w:t>las</w:t>
      </w:r>
      <w:r>
        <w:rPr>
          <w:color w:val="231F20"/>
          <w:spacing w:val="-16"/>
          <w:w w:val="105"/>
        </w:rPr>
        <w:t> </w:t>
      </w:r>
      <w:r>
        <w:rPr>
          <w:color w:val="231F20"/>
          <w:w w:val="105"/>
        </w:rPr>
        <w:t>exigencia</w:t>
      </w:r>
      <w:r>
        <w:rPr>
          <w:color w:val="231F20"/>
          <w:spacing w:val="-16"/>
          <w:w w:val="105"/>
        </w:rPr>
        <w:t> </w:t>
      </w:r>
      <w:r>
        <w:rPr>
          <w:color w:val="231F20"/>
          <w:w w:val="105"/>
        </w:rPr>
        <w:t>de</w:t>
      </w:r>
      <w:r>
        <w:rPr>
          <w:color w:val="231F20"/>
          <w:spacing w:val="-16"/>
          <w:w w:val="105"/>
        </w:rPr>
        <w:t> </w:t>
      </w:r>
      <w:r>
        <w:rPr>
          <w:color w:val="231F20"/>
          <w:w w:val="105"/>
        </w:rPr>
        <w:t>este</w:t>
      </w:r>
      <w:r>
        <w:rPr>
          <w:color w:val="231F20"/>
          <w:spacing w:val="-16"/>
          <w:w w:val="105"/>
        </w:rPr>
        <w:t> </w:t>
      </w:r>
      <w:r>
        <w:rPr>
          <w:color w:val="231F20"/>
          <w:w w:val="105"/>
        </w:rPr>
        <w:t>servicio</w:t>
      </w:r>
      <w:r>
        <w:rPr>
          <w:color w:val="231F20"/>
          <w:spacing w:val="-16"/>
          <w:w w:val="105"/>
        </w:rPr>
        <w:t> </w:t>
      </w:r>
      <w:r>
        <w:rPr>
          <w:color w:val="231F20"/>
          <w:w w:val="105"/>
        </w:rPr>
        <w:t>sus</w:t>
      </w:r>
      <w:r>
        <w:rPr>
          <w:color w:val="231F20"/>
          <w:spacing w:val="-16"/>
          <w:w w:val="105"/>
        </w:rPr>
        <w:t> </w:t>
      </w:r>
      <w:r>
        <w:rPr>
          <w:color w:val="231F20"/>
          <w:w w:val="105"/>
        </w:rPr>
        <w:t>tiempos</w:t>
      </w:r>
      <w:r>
        <w:rPr>
          <w:color w:val="231F20"/>
          <w:spacing w:val="-16"/>
          <w:w w:val="105"/>
        </w:rPr>
        <w:t> </w:t>
      </w:r>
      <w:r>
        <w:rPr>
          <w:color w:val="231F20"/>
          <w:spacing w:val="-2"/>
          <w:w w:val="105"/>
        </w:rPr>
        <w:t>con </w:t>
      </w:r>
      <w:r>
        <w:rPr>
          <w:color w:val="231F20"/>
          <w:w w:val="105"/>
        </w:rPr>
        <w:t>la</w:t>
      </w:r>
      <w:r>
        <w:rPr>
          <w:color w:val="231F20"/>
          <w:spacing w:val="-21"/>
          <w:w w:val="105"/>
        </w:rPr>
        <w:t> </w:t>
      </w:r>
      <w:r>
        <w:rPr>
          <w:color w:val="231F20"/>
          <w:w w:val="105"/>
        </w:rPr>
        <w:t>familia</w:t>
      </w:r>
      <w:r>
        <w:rPr>
          <w:color w:val="231F20"/>
          <w:spacing w:val="-21"/>
          <w:w w:val="105"/>
        </w:rPr>
        <w:t> </w:t>
      </w:r>
      <w:r>
        <w:rPr>
          <w:color w:val="231F20"/>
          <w:w w:val="105"/>
        </w:rPr>
        <w:t>son</w:t>
      </w:r>
      <w:r>
        <w:rPr>
          <w:color w:val="231F20"/>
          <w:spacing w:val="-21"/>
          <w:w w:val="105"/>
        </w:rPr>
        <w:t> </w:t>
      </w:r>
      <w:r>
        <w:rPr>
          <w:color w:val="231F20"/>
          <w:w w:val="105"/>
        </w:rPr>
        <w:t>limitados,</w:t>
      </w:r>
      <w:r>
        <w:rPr>
          <w:color w:val="231F20"/>
          <w:spacing w:val="-27"/>
          <w:w w:val="105"/>
        </w:rPr>
        <w:t> </w:t>
      </w:r>
      <w:r>
        <w:rPr>
          <w:color w:val="231F20"/>
          <w:w w:val="105"/>
        </w:rPr>
        <w:t>aunque</w:t>
      </w:r>
      <w:r>
        <w:rPr>
          <w:color w:val="231F20"/>
          <w:spacing w:val="-21"/>
          <w:w w:val="105"/>
        </w:rPr>
        <w:t> </w:t>
      </w:r>
      <w:r>
        <w:rPr>
          <w:color w:val="231F20"/>
          <w:w w:val="105"/>
        </w:rPr>
        <w:t>en</w:t>
      </w:r>
      <w:r>
        <w:rPr>
          <w:color w:val="231F20"/>
          <w:spacing w:val="-21"/>
          <w:w w:val="105"/>
        </w:rPr>
        <w:t> </w:t>
      </w:r>
      <w:r>
        <w:rPr>
          <w:color w:val="231F20"/>
          <w:w w:val="105"/>
        </w:rPr>
        <w:t>su</w:t>
      </w:r>
      <w:r>
        <w:rPr>
          <w:color w:val="231F20"/>
          <w:spacing w:val="-21"/>
          <w:w w:val="105"/>
        </w:rPr>
        <w:t> </w:t>
      </w:r>
      <w:r>
        <w:rPr>
          <w:color w:val="231F20"/>
          <w:w w:val="105"/>
        </w:rPr>
        <w:t>imaginario</w:t>
      </w:r>
      <w:r>
        <w:rPr>
          <w:color w:val="231F20"/>
          <w:spacing w:val="-21"/>
          <w:w w:val="105"/>
        </w:rPr>
        <w:t> </w:t>
      </w:r>
      <w:r>
        <w:rPr>
          <w:color w:val="231F20"/>
          <w:w w:val="105"/>
        </w:rPr>
        <w:t>de</w:t>
      </w:r>
      <w:r>
        <w:rPr>
          <w:color w:val="231F20"/>
          <w:spacing w:val="-21"/>
          <w:w w:val="105"/>
        </w:rPr>
        <w:t> </w:t>
      </w:r>
      <w:r>
        <w:rPr>
          <w:color w:val="231F20"/>
          <w:spacing w:val="-3"/>
          <w:w w:val="105"/>
        </w:rPr>
        <w:t>retornados</w:t>
      </w:r>
      <w:r>
        <w:rPr>
          <w:color w:val="231F20"/>
          <w:spacing w:val="-21"/>
          <w:w w:val="105"/>
        </w:rPr>
        <w:t> </w:t>
      </w:r>
      <w:r>
        <w:rPr>
          <w:color w:val="231F20"/>
          <w:w w:val="105"/>
        </w:rPr>
        <w:t>lo</w:t>
      </w:r>
      <w:r>
        <w:rPr>
          <w:color w:val="231F20"/>
          <w:spacing w:val="-21"/>
          <w:w w:val="105"/>
        </w:rPr>
        <w:t> </w:t>
      </w:r>
      <w:r>
        <w:rPr>
          <w:color w:val="231F20"/>
          <w:spacing w:val="-3"/>
          <w:w w:val="105"/>
        </w:rPr>
        <w:t>primor- </w:t>
      </w:r>
      <w:r>
        <w:rPr>
          <w:color w:val="231F20"/>
          <w:w w:val="105"/>
        </w:rPr>
        <w:t>dial</w:t>
      </w:r>
      <w:r>
        <w:rPr>
          <w:color w:val="231F20"/>
          <w:spacing w:val="-22"/>
          <w:w w:val="105"/>
        </w:rPr>
        <w:t> </w:t>
      </w:r>
      <w:r>
        <w:rPr>
          <w:color w:val="231F20"/>
          <w:w w:val="105"/>
        </w:rPr>
        <w:t>es</w:t>
      </w:r>
      <w:r>
        <w:rPr>
          <w:color w:val="231F20"/>
          <w:spacing w:val="-22"/>
          <w:w w:val="105"/>
        </w:rPr>
        <w:t> </w:t>
      </w:r>
      <w:r>
        <w:rPr>
          <w:color w:val="231F20"/>
          <w:w w:val="105"/>
        </w:rPr>
        <w:t>cuidar</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familia,</w:t>
      </w:r>
      <w:r>
        <w:rPr>
          <w:color w:val="231F20"/>
          <w:spacing w:val="-26"/>
          <w:w w:val="105"/>
        </w:rPr>
        <w:t> </w:t>
      </w:r>
      <w:r>
        <w:rPr>
          <w:color w:val="231F20"/>
          <w:w w:val="105"/>
        </w:rPr>
        <w:t>cubrir</w:t>
      </w:r>
      <w:r>
        <w:rPr>
          <w:color w:val="231F20"/>
          <w:spacing w:val="-22"/>
          <w:w w:val="105"/>
        </w:rPr>
        <w:t> </w:t>
      </w:r>
      <w:r>
        <w:rPr>
          <w:color w:val="231F20"/>
          <w:w w:val="105"/>
        </w:rPr>
        <w:t>los</w:t>
      </w:r>
      <w:r>
        <w:rPr>
          <w:color w:val="231F20"/>
          <w:spacing w:val="-22"/>
          <w:w w:val="105"/>
        </w:rPr>
        <w:t> </w:t>
      </w:r>
      <w:r>
        <w:rPr>
          <w:color w:val="231F20"/>
          <w:w w:val="105"/>
        </w:rPr>
        <w:t>gastos</w:t>
      </w:r>
      <w:r>
        <w:rPr>
          <w:color w:val="231F20"/>
          <w:spacing w:val="-22"/>
          <w:w w:val="105"/>
        </w:rPr>
        <w:t> </w:t>
      </w:r>
      <w:r>
        <w:rPr>
          <w:color w:val="231F20"/>
          <w:w w:val="105"/>
        </w:rPr>
        <w:t>del</w:t>
      </w:r>
      <w:r>
        <w:rPr>
          <w:color w:val="231F20"/>
          <w:spacing w:val="-22"/>
          <w:w w:val="105"/>
        </w:rPr>
        <w:t> </w:t>
      </w:r>
      <w:r>
        <w:rPr>
          <w:color w:val="231F20"/>
          <w:w w:val="105"/>
        </w:rPr>
        <w:t>hogar</w:t>
      </w:r>
      <w:r>
        <w:rPr>
          <w:color w:val="231F20"/>
          <w:spacing w:val="-22"/>
          <w:w w:val="105"/>
        </w:rPr>
        <w:t> </w:t>
      </w:r>
      <w:r>
        <w:rPr>
          <w:color w:val="231F20"/>
          <w:w w:val="105"/>
        </w:rPr>
        <w:t>y</w:t>
      </w:r>
      <w:r>
        <w:rPr>
          <w:color w:val="231F20"/>
          <w:spacing w:val="-22"/>
          <w:w w:val="105"/>
        </w:rPr>
        <w:t> </w:t>
      </w:r>
      <w:r>
        <w:rPr>
          <w:color w:val="231F20"/>
          <w:w w:val="105"/>
        </w:rPr>
        <w:t>sentirse</w:t>
      </w:r>
      <w:r>
        <w:rPr>
          <w:color w:val="231F20"/>
          <w:spacing w:val="-22"/>
          <w:w w:val="105"/>
        </w:rPr>
        <w:t> </w:t>
      </w:r>
      <w:r>
        <w:rPr>
          <w:color w:val="231F20"/>
          <w:spacing w:val="-3"/>
          <w:w w:val="105"/>
        </w:rPr>
        <w:t>libres.</w:t>
      </w:r>
    </w:p>
    <w:p>
      <w:pPr>
        <w:pStyle w:val="BodyText"/>
        <w:spacing w:line="261" w:lineRule="auto" w:before="1"/>
        <w:ind w:left="1837" w:right="1716" w:firstLine="567"/>
        <w:jc w:val="both"/>
      </w:pPr>
      <w:r>
        <w:rPr>
          <w:color w:val="231F20"/>
          <w:w w:val="105"/>
        </w:rPr>
        <w:t>En</w:t>
      </w:r>
      <w:r>
        <w:rPr>
          <w:color w:val="231F20"/>
          <w:spacing w:val="-11"/>
          <w:w w:val="105"/>
        </w:rPr>
        <w:t> </w:t>
      </w:r>
      <w:r>
        <w:rPr>
          <w:color w:val="231F20"/>
          <w:w w:val="105"/>
        </w:rPr>
        <w:t>esta</w:t>
      </w:r>
      <w:r>
        <w:rPr>
          <w:color w:val="231F20"/>
          <w:spacing w:val="-11"/>
          <w:w w:val="105"/>
        </w:rPr>
        <w:t> </w:t>
      </w:r>
      <w:r>
        <w:rPr>
          <w:color w:val="231F20"/>
          <w:w w:val="105"/>
        </w:rPr>
        <w:t>línea</w:t>
      </w:r>
      <w:r>
        <w:rPr>
          <w:color w:val="231F20"/>
          <w:spacing w:val="-11"/>
          <w:w w:val="105"/>
        </w:rPr>
        <w:t> </w:t>
      </w:r>
      <w:r>
        <w:rPr>
          <w:color w:val="231F20"/>
          <w:w w:val="105"/>
        </w:rPr>
        <w:t>las</w:t>
      </w:r>
      <w:r>
        <w:rPr>
          <w:color w:val="231F20"/>
          <w:spacing w:val="-11"/>
          <w:w w:val="105"/>
        </w:rPr>
        <w:t> </w:t>
      </w:r>
      <w:r>
        <w:rPr>
          <w:color w:val="231F20"/>
          <w:w w:val="105"/>
        </w:rPr>
        <w:t>necesidades</w:t>
      </w:r>
      <w:r>
        <w:rPr>
          <w:color w:val="231F20"/>
          <w:spacing w:val="-11"/>
          <w:w w:val="105"/>
        </w:rPr>
        <w:t> </w:t>
      </w:r>
      <w:r>
        <w:rPr>
          <w:color w:val="231F20"/>
          <w:w w:val="105"/>
        </w:rPr>
        <w:t>que</w:t>
      </w:r>
      <w:r>
        <w:rPr>
          <w:color w:val="231F20"/>
          <w:spacing w:val="-11"/>
          <w:w w:val="105"/>
        </w:rPr>
        <w:t> </w:t>
      </w:r>
      <w:r>
        <w:rPr>
          <w:color w:val="231F20"/>
          <w:w w:val="105"/>
        </w:rPr>
        <w:t>deben</w:t>
      </w:r>
      <w:r>
        <w:rPr>
          <w:color w:val="231F20"/>
          <w:spacing w:val="-11"/>
          <w:w w:val="105"/>
        </w:rPr>
        <w:t> </w:t>
      </w:r>
      <w:r>
        <w:rPr>
          <w:color w:val="231F20"/>
          <w:w w:val="105"/>
        </w:rPr>
        <w:t>cumplir</w:t>
      </w:r>
      <w:r>
        <w:rPr>
          <w:color w:val="231F20"/>
          <w:spacing w:val="-11"/>
          <w:w w:val="105"/>
        </w:rPr>
        <w:t> </w:t>
      </w:r>
      <w:r>
        <w:rPr>
          <w:color w:val="231F20"/>
          <w:w w:val="105"/>
        </w:rPr>
        <w:t>al</w:t>
      </w:r>
      <w:r>
        <w:rPr>
          <w:color w:val="231F20"/>
          <w:spacing w:val="-11"/>
          <w:w w:val="105"/>
        </w:rPr>
        <w:t> </w:t>
      </w:r>
      <w:r>
        <w:rPr>
          <w:color w:val="231F20"/>
          <w:w w:val="105"/>
        </w:rPr>
        <w:t>interior</w:t>
      </w:r>
      <w:r>
        <w:rPr>
          <w:color w:val="231F20"/>
          <w:spacing w:val="-11"/>
          <w:w w:val="105"/>
        </w:rPr>
        <w:t> </w:t>
      </w:r>
      <w:r>
        <w:rPr>
          <w:color w:val="231F20"/>
          <w:w w:val="105"/>
        </w:rPr>
        <w:t>de</w:t>
      </w:r>
      <w:r>
        <w:rPr>
          <w:color w:val="231F20"/>
          <w:spacing w:val="-11"/>
          <w:w w:val="105"/>
        </w:rPr>
        <w:t> </w:t>
      </w:r>
      <w:r>
        <w:rPr>
          <w:color w:val="231F20"/>
          <w:w w:val="105"/>
        </w:rPr>
        <w:t>sus grupos familiares son la educación y el tratamiento de enfermedades como</w:t>
      </w:r>
      <w:r>
        <w:rPr>
          <w:color w:val="231F20"/>
          <w:spacing w:val="-4"/>
          <w:w w:val="105"/>
        </w:rPr>
        <w:t> </w:t>
      </w:r>
      <w:r>
        <w:rPr>
          <w:color w:val="231F20"/>
          <w:w w:val="105"/>
        </w:rPr>
        <w:t>diabetes,</w:t>
      </w:r>
      <w:r>
        <w:rPr>
          <w:color w:val="231F20"/>
          <w:spacing w:val="-10"/>
          <w:w w:val="105"/>
        </w:rPr>
        <w:t> </w:t>
      </w:r>
      <w:r>
        <w:rPr>
          <w:color w:val="231F20"/>
          <w:w w:val="105"/>
        </w:rPr>
        <w:t>obesidad</w:t>
      </w:r>
      <w:r>
        <w:rPr>
          <w:color w:val="231F20"/>
          <w:spacing w:val="-4"/>
          <w:w w:val="105"/>
        </w:rPr>
        <w:t> </w:t>
      </w:r>
      <w:r>
        <w:rPr>
          <w:color w:val="231F20"/>
          <w:w w:val="105"/>
        </w:rPr>
        <w:t>y</w:t>
      </w:r>
      <w:r>
        <w:rPr>
          <w:color w:val="231F20"/>
          <w:spacing w:val="-4"/>
          <w:w w:val="105"/>
        </w:rPr>
        <w:t> </w:t>
      </w:r>
      <w:r>
        <w:rPr>
          <w:color w:val="231F20"/>
          <w:w w:val="105"/>
        </w:rPr>
        <w:t>alergias.</w:t>
      </w:r>
      <w:r>
        <w:rPr>
          <w:color w:val="231F20"/>
          <w:spacing w:val="-10"/>
          <w:w w:val="105"/>
        </w:rPr>
        <w:t> </w:t>
      </w:r>
      <w:r>
        <w:rPr>
          <w:color w:val="231F20"/>
          <w:w w:val="105"/>
        </w:rPr>
        <w:t>Hasta</w:t>
      </w:r>
      <w:r>
        <w:rPr>
          <w:color w:val="231F20"/>
          <w:spacing w:val="-4"/>
          <w:w w:val="105"/>
        </w:rPr>
        <w:t> </w:t>
      </w:r>
      <w:r>
        <w:rPr>
          <w:color w:val="231F20"/>
          <w:w w:val="105"/>
        </w:rPr>
        <w:t>el</w:t>
      </w:r>
      <w:r>
        <w:rPr>
          <w:color w:val="231F20"/>
          <w:spacing w:val="-4"/>
          <w:w w:val="105"/>
        </w:rPr>
        <w:t> </w:t>
      </w:r>
      <w:r>
        <w:rPr>
          <w:color w:val="231F20"/>
          <w:w w:val="105"/>
        </w:rPr>
        <w:t>momento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entrevista, las</w:t>
      </w:r>
      <w:r>
        <w:rPr>
          <w:color w:val="231F20"/>
          <w:spacing w:val="-11"/>
          <w:w w:val="105"/>
        </w:rPr>
        <w:t> </w:t>
      </w:r>
      <w:r>
        <w:rPr>
          <w:color w:val="231F20"/>
          <w:w w:val="105"/>
        </w:rPr>
        <w:t>necesidades</w:t>
      </w:r>
      <w:r>
        <w:rPr>
          <w:color w:val="231F20"/>
          <w:spacing w:val="-11"/>
          <w:w w:val="105"/>
        </w:rPr>
        <w:t> </w:t>
      </w:r>
      <w:r>
        <w:rPr>
          <w:color w:val="231F20"/>
          <w:w w:val="105"/>
        </w:rPr>
        <w:t>que</w:t>
      </w:r>
      <w:r>
        <w:rPr>
          <w:color w:val="231F20"/>
          <w:spacing w:val="-11"/>
          <w:w w:val="105"/>
        </w:rPr>
        <w:t> </w:t>
      </w:r>
      <w:r>
        <w:rPr>
          <w:color w:val="231F20"/>
          <w:w w:val="105"/>
        </w:rPr>
        <w:t>han</w:t>
      </w:r>
      <w:r>
        <w:rPr>
          <w:color w:val="231F20"/>
          <w:spacing w:val="-11"/>
          <w:w w:val="105"/>
        </w:rPr>
        <w:t> </w:t>
      </w:r>
      <w:r>
        <w:rPr>
          <w:color w:val="231F20"/>
          <w:w w:val="105"/>
        </w:rPr>
        <w:t>solucionado</w:t>
      </w:r>
      <w:r>
        <w:rPr>
          <w:color w:val="231F20"/>
          <w:spacing w:val="-11"/>
          <w:w w:val="105"/>
        </w:rPr>
        <w:t> </w:t>
      </w:r>
      <w:r>
        <w:rPr>
          <w:color w:val="231F20"/>
          <w:w w:val="105"/>
        </w:rPr>
        <w:t>son:</w:t>
      </w:r>
      <w:r>
        <w:rPr>
          <w:color w:val="231F20"/>
          <w:spacing w:val="-11"/>
          <w:w w:val="105"/>
        </w:rPr>
        <w:t> </w:t>
      </w:r>
      <w:r>
        <w:rPr>
          <w:color w:val="231F20"/>
          <w:w w:val="105"/>
        </w:rPr>
        <w:t>construcción</w:t>
      </w:r>
      <w:r>
        <w:rPr>
          <w:color w:val="231F20"/>
          <w:spacing w:val="-11"/>
          <w:w w:val="105"/>
        </w:rPr>
        <w:t> </w:t>
      </w:r>
      <w:r>
        <w:rPr>
          <w:color w:val="231F20"/>
          <w:w w:val="105"/>
        </w:rPr>
        <w:t>y</w:t>
      </w:r>
      <w:r>
        <w:rPr>
          <w:color w:val="231F20"/>
          <w:spacing w:val="-11"/>
          <w:w w:val="105"/>
        </w:rPr>
        <w:t> </w:t>
      </w:r>
      <w:r>
        <w:rPr>
          <w:color w:val="231F20"/>
          <w:w w:val="105"/>
        </w:rPr>
        <w:t>equipamiento de</w:t>
      </w:r>
      <w:r>
        <w:rPr>
          <w:color w:val="231F20"/>
          <w:spacing w:val="-5"/>
          <w:w w:val="105"/>
        </w:rPr>
        <w:t> </w:t>
      </w:r>
      <w:r>
        <w:rPr>
          <w:color w:val="231F20"/>
          <w:w w:val="105"/>
        </w:rPr>
        <w:t>la</w:t>
      </w:r>
      <w:r>
        <w:rPr>
          <w:color w:val="231F20"/>
          <w:spacing w:val="-5"/>
          <w:w w:val="105"/>
        </w:rPr>
        <w:t> </w:t>
      </w:r>
      <w:r>
        <w:rPr>
          <w:color w:val="231F20"/>
          <w:w w:val="105"/>
        </w:rPr>
        <w:t>vivienda,</w:t>
      </w:r>
      <w:r>
        <w:rPr>
          <w:color w:val="231F20"/>
          <w:spacing w:val="-11"/>
          <w:w w:val="105"/>
        </w:rPr>
        <w:t> </w:t>
      </w:r>
      <w:r>
        <w:rPr>
          <w:color w:val="231F20"/>
          <w:w w:val="105"/>
        </w:rPr>
        <w:t>compra</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vehículo</w:t>
      </w:r>
      <w:r>
        <w:rPr>
          <w:color w:val="231F20"/>
          <w:spacing w:val="-5"/>
          <w:w w:val="105"/>
        </w:rPr>
        <w:t> </w:t>
      </w:r>
      <w:r>
        <w:rPr>
          <w:color w:val="231F20"/>
          <w:w w:val="105"/>
        </w:rPr>
        <w:t>para</w:t>
      </w:r>
      <w:r>
        <w:rPr>
          <w:color w:val="231F20"/>
          <w:spacing w:val="-5"/>
          <w:w w:val="105"/>
        </w:rPr>
        <w:t> </w:t>
      </w:r>
      <w:r>
        <w:rPr>
          <w:color w:val="231F20"/>
          <w:w w:val="105"/>
        </w:rPr>
        <w:t>servicio</w:t>
      </w:r>
      <w:r>
        <w:rPr>
          <w:color w:val="231F20"/>
          <w:spacing w:val="-5"/>
          <w:w w:val="105"/>
        </w:rPr>
        <w:t> </w:t>
      </w:r>
      <w:r>
        <w:rPr>
          <w:color w:val="231F20"/>
          <w:w w:val="105"/>
        </w:rPr>
        <w:t>de</w:t>
      </w:r>
      <w:r>
        <w:rPr>
          <w:color w:val="231F20"/>
          <w:spacing w:val="-5"/>
          <w:w w:val="105"/>
        </w:rPr>
        <w:t> </w:t>
      </w:r>
      <w:r>
        <w:rPr>
          <w:color w:val="231F20"/>
          <w:w w:val="105"/>
        </w:rPr>
        <w:t>taxi</w:t>
      </w:r>
      <w:r>
        <w:rPr>
          <w:color w:val="231F20"/>
          <w:spacing w:val="-5"/>
          <w:w w:val="105"/>
        </w:rPr>
        <w:t> </w:t>
      </w:r>
      <w:r>
        <w:rPr>
          <w:color w:val="231F20"/>
          <w:w w:val="105"/>
        </w:rPr>
        <w:t>o</w:t>
      </w:r>
      <w:r>
        <w:rPr>
          <w:color w:val="231F20"/>
          <w:spacing w:val="-5"/>
          <w:w w:val="105"/>
        </w:rPr>
        <w:t> </w:t>
      </w:r>
      <w:r>
        <w:rPr>
          <w:color w:val="231F20"/>
          <w:w w:val="105"/>
        </w:rPr>
        <w:t>uso</w:t>
      </w:r>
      <w:r>
        <w:rPr>
          <w:color w:val="231F20"/>
          <w:spacing w:val="-5"/>
          <w:w w:val="105"/>
        </w:rPr>
        <w:t> </w:t>
      </w:r>
      <w:r>
        <w:rPr>
          <w:color w:val="231F20"/>
          <w:w w:val="105"/>
        </w:rPr>
        <w:t>perso- nal,</w:t>
      </w:r>
      <w:r>
        <w:rPr>
          <w:color w:val="231F20"/>
          <w:spacing w:val="-20"/>
          <w:w w:val="105"/>
        </w:rPr>
        <w:t> </w:t>
      </w:r>
      <w:r>
        <w:rPr>
          <w:color w:val="231F20"/>
          <w:w w:val="105"/>
        </w:rPr>
        <w:t>compra</w:t>
      </w:r>
      <w:r>
        <w:rPr>
          <w:color w:val="231F20"/>
          <w:spacing w:val="-16"/>
          <w:w w:val="105"/>
        </w:rPr>
        <w:t> </w:t>
      </w:r>
      <w:r>
        <w:rPr>
          <w:color w:val="231F20"/>
          <w:w w:val="105"/>
        </w:rPr>
        <w:t>de</w:t>
      </w:r>
      <w:r>
        <w:rPr>
          <w:color w:val="231F20"/>
          <w:spacing w:val="-16"/>
          <w:w w:val="105"/>
        </w:rPr>
        <w:t> </w:t>
      </w:r>
      <w:r>
        <w:rPr>
          <w:color w:val="231F20"/>
          <w:w w:val="105"/>
        </w:rPr>
        <w:t>tierras.</w:t>
      </w:r>
      <w:r>
        <w:rPr>
          <w:color w:val="231F20"/>
          <w:spacing w:val="-20"/>
          <w:w w:val="105"/>
        </w:rPr>
        <w:t> </w:t>
      </w:r>
      <w:r>
        <w:rPr>
          <w:color w:val="231F20"/>
          <w:spacing w:val="-4"/>
          <w:w w:val="105"/>
        </w:rPr>
        <w:t>Para</w:t>
      </w:r>
      <w:r>
        <w:rPr>
          <w:color w:val="231F20"/>
          <w:spacing w:val="-16"/>
          <w:w w:val="105"/>
        </w:rPr>
        <w:t> </w:t>
      </w:r>
      <w:r>
        <w:rPr>
          <w:color w:val="231F20"/>
          <w:w w:val="105"/>
        </w:rPr>
        <w:t>algunas</w:t>
      </w:r>
      <w:r>
        <w:rPr>
          <w:color w:val="231F20"/>
          <w:spacing w:val="-16"/>
          <w:w w:val="105"/>
        </w:rPr>
        <w:t> </w:t>
      </w:r>
      <w:r>
        <w:rPr>
          <w:color w:val="231F20"/>
          <w:w w:val="105"/>
        </w:rPr>
        <w:t>parejas</w:t>
      </w:r>
      <w:r>
        <w:rPr>
          <w:color w:val="231F20"/>
          <w:spacing w:val="-16"/>
          <w:w w:val="105"/>
        </w:rPr>
        <w:t> </w:t>
      </w:r>
      <w:r>
        <w:rPr>
          <w:color w:val="231F20"/>
          <w:w w:val="105"/>
        </w:rPr>
        <w:t>parecía</w:t>
      </w:r>
      <w:r>
        <w:rPr>
          <w:color w:val="231F20"/>
          <w:spacing w:val="-16"/>
          <w:w w:val="105"/>
        </w:rPr>
        <w:t> </w:t>
      </w:r>
      <w:r>
        <w:rPr>
          <w:color w:val="231F20"/>
          <w:w w:val="105"/>
        </w:rPr>
        <w:t>adecuado</w:t>
      </w:r>
      <w:r>
        <w:rPr>
          <w:color w:val="231F20"/>
          <w:spacing w:val="-16"/>
          <w:w w:val="105"/>
        </w:rPr>
        <w:t> </w:t>
      </w:r>
      <w:r>
        <w:rPr>
          <w:color w:val="231F20"/>
          <w:w w:val="105"/>
        </w:rPr>
        <w:t>no</w:t>
      </w:r>
      <w:r>
        <w:rPr>
          <w:color w:val="231F20"/>
          <w:spacing w:val="-16"/>
          <w:w w:val="105"/>
        </w:rPr>
        <w:t> </w:t>
      </w:r>
      <w:r>
        <w:rPr>
          <w:color w:val="231F20"/>
          <w:w w:val="105"/>
        </w:rPr>
        <w:t>volver a emprender idas al norte, para otros, la posibilidad de partir es</w:t>
      </w:r>
      <w:r>
        <w:rPr>
          <w:color w:val="231F20"/>
          <w:spacing w:val="-38"/>
          <w:w w:val="105"/>
        </w:rPr>
        <w:t> </w:t>
      </w:r>
      <w:r>
        <w:rPr>
          <w:color w:val="231F20"/>
          <w:w w:val="105"/>
        </w:rPr>
        <w:t>latente, especialmente</w:t>
      </w:r>
      <w:r>
        <w:rPr>
          <w:color w:val="231F20"/>
          <w:spacing w:val="-9"/>
          <w:w w:val="105"/>
        </w:rPr>
        <w:t> </w:t>
      </w:r>
      <w:r>
        <w:rPr>
          <w:color w:val="231F20"/>
          <w:w w:val="105"/>
        </w:rPr>
        <w:t>en</w:t>
      </w:r>
      <w:r>
        <w:rPr>
          <w:color w:val="231F20"/>
          <w:spacing w:val="-9"/>
          <w:w w:val="105"/>
        </w:rPr>
        <w:t> </w:t>
      </w:r>
      <w:r>
        <w:rPr>
          <w:color w:val="231F20"/>
          <w:w w:val="105"/>
        </w:rPr>
        <w:t>momentos</w:t>
      </w:r>
      <w:r>
        <w:rPr>
          <w:color w:val="231F20"/>
          <w:spacing w:val="-9"/>
          <w:w w:val="105"/>
        </w:rPr>
        <w:t> </w:t>
      </w:r>
      <w:r>
        <w:rPr>
          <w:color w:val="231F20"/>
          <w:w w:val="105"/>
        </w:rPr>
        <w:t>álgidos</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relaciones</w:t>
      </w:r>
      <w:r>
        <w:rPr>
          <w:color w:val="231F20"/>
          <w:spacing w:val="-9"/>
          <w:w w:val="105"/>
        </w:rPr>
        <w:t> </w:t>
      </w:r>
      <w:r>
        <w:rPr>
          <w:color w:val="231F20"/>
          <w:w w:val="105"/>
        </w:rPr>
        <w:t>afectivas</w:t>
      </w:r>
      <w:r>
        <w:rPr>
          <w:color w:val="231F20"/>
          <w:spacing w:val="-9"/>
          <w:w w:val="105"/>
        </w:rPr>
        <w:t> </w:t>
      </w:r>
      <w:r>
        <w:rPr>
          <w:color w:val="231F20"/>
          <w:w w:val="105"/>
        </w:rPr>
        <w:t>o</w:t>
      </w:r>
      <w:r>
        <w:rPr>
          <w:color w:val="231F20"/>
          <w:spacing w:val="-9"/>
          <w:w w:val="105"/>
        </w:rPr>
        <w:t> </w:t>
      </w:r>
      <w:r>
        <w:rPr>
          <w:color w:val="231F20"/>
          <w:w w:val="105"/>
        </w:rPr>
        <w:t>la</w:t>
      </w:r>
      <w:r>
        <w:rPr>
          <w:color w:val="231F20"/>
          <w:spacing w:val="-9"/>
          <w:w w:val="105"/>
        </w:rPr>
        <w:t> </w:t>
      </w:r>
      <w:r>
        <w:rPr>
          <w:color w:val="231F20"/>
          <w:w w:val="105"/>
        </w:rPr>
        <w:t>es- treches</w:t>
      </w:r>
      <w:r>
        <w:rPr>
          <w:color w:val="231F20"/>
          <w:spacing w:val="-40"/>
          <w:w w:val="105"/>
        </w:rPr>
        <w:t> </w:t>
      </w:r>
      <w:r>
        <w:rPr>
          <w:color w:val="231F20"/>
          <w:w w:val="105"/>
        </w:rPr>
        <w:t>económica</w:t>
      </w:r>
    </w:p>
    <w:p>
      <w:pPr>
        <w:pStyle w:val="BodyText"/>
        <w:rPr>
          <w:sz w:val="20"/>
        </w:rPr>
      </w:pPr>
    </w:p>
    <w:p>
      <w:pPr>
        <w:pStyle w:val="BodyText"/>
        <w:spacing w:before="9"/>
        <w:rPr>
          <w:sz w:val="20"/>
        </w:rPr>
      </w:pPr>
    </w:p>
    <w:p>
      <w:pPr>
        <w:pStyle w:val="Heading3"/>
      </w:pPr>
      <w:r>
        <w:rPr>
          <w:color w:val="231F20"/>
        </w:rPr>
        <w:t>Lo emocional en la historia de la migración a Estados Unidos</w:t>
      </w:r>
    </w:p>
    <w:p>
      <w:pPr>
        <w:pStyle w:val="BodyText"/>
        <w:rPr>
          <w:rFonts w:ascii="Arial"/>
          <w:b/>
          <w:sz w:val="22"/>
        </w:rPr>
      </w:pPr>
    </w:p>
    <w:p>
      <w:pPr>
        <w:pStyle w:val="BodyText"/>
        <w:spacing w:line="261" w:lineRule="auto" w:before="163"/>
        <w:ind w:left="1837" w:right="1715"/>
        <w:jc w:val="both"/>
      </w:pPr>
      <w:r>
        <w:rPr>
          <w:color w:val="231F20"/>
          <w:spacing w:val="-4"/>
          <w:w w:val="105"/>
        </w:rPr>
        <w:t>Para </w:t>
      </w:r>
      <w:r>
        <w:rPr>
          <w:color w:val="231F20"/>
          <w:w w:val="105"/>
        </w:rPr>
        <w:t>no pocas familias mexicanas la experiencia emocional en la mi- gración es ya muy lejana. Más que componentes de la vida cotidiana, migración</w:t>
      </w:r>
      <w:r>
        <w:rPr>
          <w:color w:val="231F20"/>
          <w:spacing w:val="-15"/>
          <w:w w:val="105"/>
        </w:rPr>
        <w:t> </w:t>
      </w:r>
      <w:r>
        <w:rPr>
          <w:color w:val="231F20"/>
          <w:w w:val="105"/>
        </w:rPr>
        <w:t>y</w:t>
      </w:r>
      <w:r>
        <w:rPr>
          <w:color w:val="231F20"/>
          <w:spacing w:val="-15"/>
          <w:w w:val="105"/>
        </w:rPr>
        <w:t> </w:t>
      </w:r>
      <w:r>
        <w:rPr>
          <w:color w:val="231F20"/>
          <w:w w:val="105"/>
        </w:rPr>
        <w:t>emociones</w:t>
      </w:r>
      <w:r>
        <w:rPr>
          <w:color w:val="231F20"/>
          <w:spacing w:val="-15"/>
          <w:w w:val="105"/>
        </w:rPr>
        <w:t> </w:t>
      </w:r>
      <w:r>
        <w:rPr>
          <w:color w:val="231F20"/>
          <w:w w:val="105"/>
        </w:rPr>
        <w:t>son</w:t>
      </w:r>
      <w:r>
        <w:rPr>
          <w:color w:val="231F20"/>
          <w:spacing w:val="-15"/>
          <w:w w:val="105"/>
        </w:rPr>
        <w:t> </w:t>
      </w:r>
      <w:r>
        <w:rPr>
          <w:color w:val="231F20"/>
          <w:w w:val="105"/>
        </w:rPr>
        <w:t>prácticas</w:t>
      </w:r>
      <w:r>
        <w:rPr>
          <w:color w:val="231F20"/>
          <w:spacing w:val="-15"/>
          <w:w w:val="105"/>
        </w:rPr>
        <w:t> </w:t>
      </w:r>
      <w:r>
        <w:rPr>
          <w:color w:val="231F20"/>
          <w:w w:val="105"/>
        </w:rPr>
        <w:t>complejas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realidad</w:t>
      </w:r>
      <w:r>
        <w:rPr>
          <w:color w:val="231F20"/>
          <w:spacing w:val="-15"/>
          <w:w w:val="105"/>
        </w:rPr>
        <w:t> </w:t>
      </w:r>
      <w:r>
        <w:rPr>
          <w:color w:val="231F20"/>
          <w:w w:val="105"/>
        </w:rPr>
        <w:t>cotidiana, pues</w:t>
      </w:r>
      <w:r>
        <w:rPr>
          <w:color w:val="231F20"/>
          <w:spacing w:val="-20"/>
          <w:w w:val="105"/>
        </w:rPr>
        <w:t> </w:t>
      </w:r>
      <w:r>
        <w:rPr>
          <w:color w:val="231F20"/>
          <w:w w:val="105"/>
        </w:rPr>
        <w:t>trastocan</w:t>
      </w:r>
      <w:r>
        <w:rPr>
          <w:color w:val="231F20"/>
          <w:spacing w:val="-20"/>
          <w:w w:val="105"/>
        </w:rPr>
        <w:t> </w:t>
      </w:r>
      <w:r>
        <w:rPr>
          <w:color w:val="231F20"/>
          <w:w w:val="105"/>
        </w:rPr>
        <w:t>el</w:t>
      </w:r>
      <w:r>
        <w:rPr>
          <w:color w:val="231F20"/>
          <w:spacing w:val="-20"/>
          <w:w w:val="105"/>
        </w:rPr>
        <w:t> </w:t>
      </w:r>
      <w:r>
        <w:rPr>
          <w:color w:val="231F20"/>
          <w:w w:val="105"/>
        </w:rPr>
        <w:t>sexo,</w:t>
      </w:r>
      <w:r>
        <w:rPr>
          <w:color w:val="231F20"/>
          <w:spacing w:val="-25"/>
          <w:w w:val="105"/>
        </w:rPr>
        <w:t> </w:t>
      </w:r>
      <w:r>
        <w:rPr>
          <w:color w:val="231F20"/>
          <w:w w:val="105"/>
        </w:rPr>
        <w:t>la</w:t>
      </w:r>
      <w:r>
        <w:rPr>
          <w:color w:val="231F20"/>
          <w:spacing w:val="-20"/>
          <w:w w:val="105"/>
        </w:rPr>
        <w:t> </w:t>
      </w:r>
      <w:r>
        <w:rPr>
          <w:color w:val="231F20"/>
          <w:w w:val="105"/>
        </w:rPr>
        <w:t>generación</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contexto.</w:t>
      </w:r>
    </w:p>
    <w:p>
      <w:pPr>
        <w:pStyle w:val="BodyText"/>
        <w:spacing w:line="261" w:lineRule="auto" w:before="1"/>
        <w:ind w:left="1837" w:right="1715" w:firstLine="567"/>
        <w:jc w:val="both"/>
      </w:pPr>
      <w:r>
        <w:rPr>
          <w:color w:val="231F20"/>
        </w:rPr>
        <w:t>La relación laboral entre México y el estado de </w:t>
      </w:r>
      <w:r>
        <w:rPr>
          <w:color w:val="231F20"/>
          <w:spacing w:val="-5"/>
        </w:rPr>
        <w:t>Texas </w:t>
      </w:r>
      <w:r>
        <w:rPr>
          <w:color w:val="231F20"/>
        </w:rPr>
        <w:t>es histórica, siendo el </w:t>
      </w:r>
      <w:r>
        <w:rPr>
          <w:color w:val="231F20"/>
          <w:spacing w:val="-3"/>
        </w:rPr>
        <w:t>Programa </w:t>
      </w:r>
      <w:r>
        <w:rPr>
          <w:color w:val="231F20"/>
        </w:rPr>
        <w:t>Bracero (1942-1964) su momento más álgido. Du- rante este periodo el valor de lo emocional no pasó de ser un episodio     en la vida de las familias y las</w:t>
      </w:r>
      <w:r>
        <w:rPr>
          <w:color w:val="231F20"/>
          <w:spacing w:val="4"/>
        </w:rPr>
        <w:t> </w:t>
      </w:r>
      <w:r>
        <w:rPr>
          <w:color w:val="231F20"/>
        </w:rPr>
        <w:t>personas.</w:t>
      </w:r>
    </w:p>
    <w:p>
      <w:pPr>
        <w:pStyle w:val="BodyText"/>
        <w:spacing w:line="261" w:lineRule="auto" w:before="1"/>
        <w:ind w:left="1837" w:right="1716" w:firstLine="567"/>
        <w:jc w:val="both"/>
      </w:pPr>
      <w:r>
        <w:rPr/>
        <w:pict>
          <v:line style="position:absolute;mso-position-horizontal-relative:page;mso-position-vertical-relative:paragraph;z-index:-443320" from="15pt,163.33989pt" to="0pt,163.33989pt" stroked="true" strokeweight=".25pt" strokecolor="#000000">
            <w10:wrap type="none"/>
          </v:line>
        </w:pict>
      </w:r>
      <w:r>
        <w:rPr/>
        <w:pict>
          <v:line style="position:absolute;mso-position-horizontal-relative:page;mso-position-vertical-relative:paragraph;z-index:46888" from="508.890015pt,163.33989pt" to="523.890015pt,163.33989pt" stroked="true" strokeweight=".25pt" strokecolor="#000000">
            <w10:wrap type="none"/>
          </v:line>
        </w:pict>
      </w:r>
      <w:r>
        <w:rPr>
          <w:color w:val="231F20"/>
          <w:w w:val="105"/>
        </w:rPr>
        <w:t>Este</w:t>
      </w:r>
      <w:r>
        <w:rPr>
          <w:color w:val="231F20"/>
          <w:spacing w:val="-8"/>
          <w:w w:val="105"/>
        </w:rPr>
        <w:t> </w:t>
      </w:r>
      <w:r>
        <w:rPr>
          <w:color w:val="231F20"/>
          <w:spacing w:val="-3"/>
          <w:w w:val="105"/>
        </w:rPr>
        <w:t>Programa</w:t>
      </w:r>
      <w:r>
        <w:rPr>
          <w:color w:val="231F20"/>
          <w:spacing w:val="-8"/>
          <w:w w:val="105"/>
        </w:rPr>
        <w:t> </w:t>
      </w:r>
      <w:r>
        <w:rPr>
          <w:color w:val="231F20"/>
          <w:w w:val="105"/>
        </w:rPr>
        <w:t>(1942-1964)</w:t>
      </w:r>
      <w:r>
        <w:rPr>
          <w:color w:val="231F20"/>
          <w:spacing w:val="-8"/>
          <w:w w:val="105"/>
        </w:rPr>
        <w:t> </w:t>
      </w:r>
      <w:r>
        <w:rPr>
          <w:color w:val="231F20"/>
          <w:w w:val="105"/>
        </w:rPr>
        <w:t>abrió</w:t>
      </w:r>
      <w:r>
        <w:rPr>
          <w:color w:val="231F20"/>
          <w:spacing w:val="-8"/>
          <w:w w:val="105"/>
        </w:rPr>
        <w:t> </w:t>
      </w:r>
      <w:r>
        <w:rPr>
          <w:color w:val="231F20"/>
          <w:w w:val="105"/>
        </w:rPr>
        <w:t>la</w:t>
      </w:r>
      <w:r>
        <w:rPr>
          <w:color w:val="231F20"/>
          <w:spacing w:val="-8"/>
          <w:w w:val="105"/>
        </w:rPr>
        <w:t> </w:t>
      </w:r>
      <w:r>
        <w:rPr>
          <w:color w:val="231F20"/>
          <w:w w:val="105"/>
        </w:rPr>
        <w:t>posibilidad</w:t>
      </w:r>
      <w:r>
        <w:rPr>
          <w:color w:val="231F20"/>
          <w:spacing w:val="-8"/>
          <w:w w:val="105"/>
        </w:rPr>
        <w:t> </w:t>
      </w:r>
      <w:r>
        <w:rPr>
          <w:color w:val="231F20"/>
          <w:w w:val="105"/>
        </w:rPr>
        <w:t>para</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cam- pesinos,</w:t>
      </w:r>
      <w:r>
        <w:rPr>
          <w:color w:val="231F20"/>
          <w:spacing w:val="-30"/>
          <w:w w:val="105"/>
        </w:rPr>
        <w:t> </w:t>
      </w:r>
      <w:r>
        <w:rPr>
          <w:color w:val="231F20"/>
          <w:w w:val="105"/>
        </w:rPr>
        <w:t>empobrecidos</w:t>
      </w:r>
      <w:r>
        <w:rPr>
          <w:color w:val="231F20"/>
          <w:spacing w:val="-25"/>
          <w:w w:val="105"/>
        </w:rPr>
        <w:t> </w:t>
      </w:r>
      <w:r>
        <w:rPr>
          <w:color w:val="231F20"/>
          <w:w w:val="105"/>
        </w:rPr>
        <w:t>por</w:t>
      </w:r>
      <w:r>
        <w:rPr>
          <w:color w:val="231F20"/>
          <w:spacing w:val="-25"/>
          <w:w w:val="105"/>
        </w:rPr>
        <w:t> </w:t>
      </w:r>
      <w:r>
        <w:rPr>
          <w:color w:val="231F20"/>
          <w:w w:val="105"/>
        </w:rPr>
        <w:t>lealtades</w:t>
      </w:r>
      <w:r>
        <w:rPr>
          <w:color w:val="231F20"/>
          <w:spacing w:val="-25"/>
          <w:w w:val="105"/>
        </w:rPr>
        <w:t> </w:t>
      </w:r>
      <w:r>
        <w:rPr>
          <w:color w:val="231F20"/>
          <w:w w:val="105"/>
        </w:rPr>
        <w:t>a</w:t>
      </w:r>
      <w:r>
        <w:rPr>
          <w:color w:val="231F20"/>
          <w:spacing w:val="-25"/>
          <w:w w:val="105"/>
        </w:rPr>
        <w:t> </w:t>
      </w:r>
      <w:r>
        <w:rPr>
          <w:color w:val="231F20"/>
          <w:w w:val="105"/>
        </w:rPr>
        <w:t>su</w:t>
      </w:r>
      <w:r>
        <w:rPr>
          <w:color w:val="231F20"/>
          <w:spacing w:val="-25"/>
          <w:w w:val="105"/>
        </w:rPr>
        <w:t> </w:t>
      </w:r>
      <w:r>
        <w:rPr>
          <w:color w:val="231F20"/>
          <w:w w:val="105"/>
        </w:rPr>
        <w:t>historia</w:t>
      </w:r>
      <w:r>
        <w:rPr>
          <w:color w:val="231F20"/>
          <w:spacing w:val="-25"/>
          <w:w w:val="105"/>
        </w:rPr>
        <w:t> </w:t>
      </w:r>
      <w:r>
        <w:rPr>
          <w:color w:val="231F20"/>
          <w:w w:val="105"/>
        </w:rPr>
        <w:t>familiar,</w:t>
      </w:r>
      <w:r>
        <w:rPr>
          <w:color w:val="231F20"/>
          <w:spacing w:val="-30"/>
          <w:w w:val="105"/>
        </w:rPr>
        <w:t> </w:t>
      </w:r>
      <w:r>
        <w:rPr>
          <w:color w:val="231F20"/>
          <w:w w:val="105"/>
        </w:rPr>
        <w:t>recuperaran</w:t>
      </w:r>
      <w:r>
        <w:rPr>
          <w:color w:val="231F20"/>
          <w:spacing w:val="-25"/>
          <w:w w:val="105"/>
        </w:rPr>
        <w:t> </w:t>
      </w:r>
      <w:r>
        <w:rPr>
          <w:color w:val="231F20"/>
          <w:w w:val="105"/>
        </w:rPr>
        <w:t>el valor</w:t>
      </w:r>
      <w:r>
        <w:rPr>
          <w:color w:val="231F20"/>
          <w:spacing w:val="-13"/>
          <w:w w:val="105"/>
        </w:rPr>
        <w:t> </w:t>
      </w:r>
      <w:r>
        <w:rPr>
          <w:color w:val="231F20"/>
          <w:w w:val="105"/>
        </w:rPr>
        <w:t>por</w:t>
      </w:r>
      <w:r>
        <w:rPr>
          <w:color w:val="231F20"/>
          <w:spacing w:val="-13"/>
          <w:w w:val="105"/>
        </w:rPr>
        <w:t> </w:t>
      </w:r>
      <w:r>
        <w:rPr>
          <w:color w:val="231F20"/>
          <w:w w:val="105"/>
        </w:rPr>
        <w:t>sí</w:t>
      </w:r>
      <w:r>
        <w:rPr>
          <w:color w:val="231F20"/>
          <w:spacing w:val="-13"/>
          <w:w w:val="105"/>
        </w:rPr>
        <w:t> </w:t>
      </w:r>
      <w:r>
        <w:rPr>
          <w:color w:val="231F20"/>
          <w:w w:val="105"/>
        </w:rPr>
        <w:t>mismos</w:t>
      </w:r>
      <w:r>
        <w:rPr>
          <w:color w:val="231F20"/>
          <w:spacing w:val="-13"/>
          <w:w w:val="105"/>
        </w:rPr>
        <w:t> </w:t>
      </w:r>
      <w:r>
        <w:rPr>
          <w:color w:val="231F20"/>
          <w:w w:val="105"/>
        </w:rPr>
        <w:t>al</w:t>
      </w:r>
      <w:r>
        <w:rPr>
          <w:color w:val="231F20"/>
          <w:spacing w:val="-13"/>
          <w:w w:val="105"/>
        </w:rPr>
        <w:t> </w:t>
      </w:r>
      <w:r>
        <w:rPr>
          <w:color w:val="231F20"/>
          <w:w w:val="105"/>
        </w:rPr>
        <w:t>ser</w:t>
      </w:r>
      <w:r>
        <w:rPr>
          <w:color w:val="231F20"/>
          <w:spacing w:val="-13"/>
          <w:w w:val="105"/>
        </w:rPr>
        <w:t> </w:t>
      </w:r>
      <w:r>
        <w:rPr>
          <w:color w:val="231F20"/>
          <w:w w:val="105"/>
        </w:rPr>
        <w:t>contratados</w:t>
      </w:r>
      <w:r>
        <w:rPr>
          <w:color w:val="231F20"/>
          <w:spacing w:val="-13"/>
          <w:w w:val="105"/>
        </w:rPr>
        <w:t> </w:t>
      </w:r>
      <w:r>
        <w:rPr>
          <w:color w:val="231F20"/>
          <w:w w:val="105"/>
        </w:rPr>
        <w:t>y</w:t>
      </w:r>
      <w:r>
        <w:rPr>
          <w:color w:val="231F20"/>
          <w:spacing w:val="-13"/>
          <w:w w:val="105"/>
        </w:rPr>
        <w:t> </w:t>
      </w:r>
      <w:r>
        <w:rPr>
          <w:color w:val="231F20"/>
          <w:w w:val="105"/>
        </w:rPr>
        <w:t>llevados</w:t>
      </w:r>
      <w:r>
        <w:rPr>
          <w:color w:val="231F20"/>
          <w:spacing w:val="-13"/>
          <w:w w:val="105"/>
        </w:rPr>
        <w:t> </w:t>
      </w:r>
      <w:r>
        <w:rPr>
          <w:color w:val="231F20"/>
          <w:w w:val="105"/>
        </w:rPr>
        <w:t>a</w:t>
      </w:r>
      <w:r>
        <w:rPr>
          <w:color w:val="231F20"/>
          <w:spacing w:val="-13"/>
          <w:w w:val="105"/>
        </w:rPr>
        <w:t> </w:t>
      </w:r>
      <w:r>
        <w:rPr>
          <w:color w:val="231F20"/>
          <w:w w:val="105"/>
        </w:rPr>
        <w:t>lugares</w:t>
      </w:r>
      <w:r>
        <w:rPr>
          <w:color w:val="231F20"/>
          <w:spacing w:val="-13"/>
          <w:w w:val="105"/>
        </w:rPr>
        <w:t> </w:t>
      </w:r>
      <w:r>
        <w:rPr>
          <w:color w:val="231F20"/>
          <w:w w:val="105"/>
        </w:rPr>
        <w:t>no</w:t>
      </w:r>
      <w:r>
        <w:rPr>
          <w:color w:val="231F20"/>
          <w:spacing w:val="-13"/>
          <w:w w:val="105"/>
        </w:rPr>
        <w:t> </w:t>
      </w:r>
      <w:r>
        <w:rPr>
          <w:color w:val="231F20"/>
          <w:w w:val="105"/>
        </w:rPr>
        <w:t>existentes en su tierra. Gracias a ello, un amplio grupo de campesinos mexicanos pudo cumplir el papel de proveedores, del cual emanaba su reconoci- miento de hombre en el grupo familiar y frente a la sociedad. Con la experiencia </w:t>
      </w:r>
      <w:r>
        <w:rPr>
          <w:color w:val="231F20"/>
          <w:spacing w:val="-3"/>
          <w:w w:val="105"/>
        </w:rPr>
        <w:t>“Braceros”, </w:t>
      </w:r>
      <w:r>
        <w:rPr>
          <w:color w:val="231F20"/>
          <w:w w:val="105"/>
        </w:rPr>
        <w:t>muchos hombres pudieron introducir </w:t>
      </w:r>
      <w:r>
        <w:rPr>
          <w:color w:val="231F20"/>
          <w:spacing w:val="38"/>
          <w:w w:val="105"/>
        </w:rPr>
        <w:t> </w:t>
      </w:r>
      <w:r>
        <w:rPr>
          <w:color w:val="231F20"/>
          <w:w w:val="105"/>
        </w:rPr>
        <w:t>cambios,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5"/>
        <w:jc w:val="both"/>
      </w:pPr>
      <w:r>
        <w:rPr/>
        <w:pict>
          <v:line style="position:absolute;mso-position-horizontal-relative:page;mso-position-vertical-relative:paragraph;z-index:46936" from="15pt,-71.68644pt" to="0pt,-71.68644pt" stroked="true" strokeweight=".25pt" strokecolor="#000000">
            <w10:wrap type="none"/>
          </v:line>
        </w:pict>
      </w:r>
      <w:r>
        <w:rPr/>
        <w:pict>
          <v:line style="position:absolute;mso-position-horizontal-relative:page;mso-position-vertical-relative:paragraph;z-index:46960" from="508.890015pt,-71.68644pt" to="523.890015pt,-71.68644pt" stroked="true" strokeweight=".25pt" strokecolor="#000000">
            <w10:wrap type="none"/>
          </v:line>
        </w:pict>
      </w:r>
      <w:r>
        <w:rPr>
          <w:color w:val="231F20"/>
          <w:w w:val="105"/>
        </w:rPr>
        <w:t>así como progresar personal y familiarmente en un México rural empo- brecido.</w:t>
      </w:r>
      <w:r>
        <w:rPr>
          <w:color w:val="231F20"/>
          <w:spacing w:val="-21"/>
          <w:w w:val="105"/>
        </w:rPr>
        <w:t> </w:t>
      </w:r>
      <w:r>
        <w:rPr>
          <w:color w:val="231F20"/>
          <w:w w:val="105"/>
        </w:rPr>
        <w:t>Las</w:t>
      </w:r>
      <w:r>
        <w:rPr>
          <w:color w:val="231F20"/>
          <w:spacing w:val="-16"/>
          <w:w w:val="105"/>
        </w:rPr>
        <w:t> </w:t>
      </w:r>
      <w:r>
        <w:rPr>
          <w:color w:val="231F20"/>
          <w:w w:val="105"/>
        </w:rPr>
        <w:t>bondades</w:t>
      </w:r>
      <w:r>
        <w:rPr>
          <w:color w:val="231F20"/>
          <w:spacing w:val="-16"/>
          <w:w w:val="105"/>
        </w:rPr>
        <w:t> </w:t>
      </w:r>
      <w:r>
        <w:rPr>
          <w:color w:val="231F20"/>
          <w:w w:val="105"/>
        </w:rPr>
        <w:t>económicas</w:t>
      </w:r>
      <w:r>
        <w:rPr>
          <w:color w:val="231F20"/>
          <w:spacing w:val="-16"/>
          <w:w w:val="105"/>
        </w:rPr>
        <w:t> </w:t>
      </w:r>
      <w:r>
        <w:rPr>
          <w:color w:val="231F20"/>
          <w:w w:val="105"/>
        </w:rPr>
        <w:t>existieron</w:t>
      </w:r>
      <w:r>
        <w:rPr>
          <w:color w:val="231F20"/>
          <w:spacing w:val="-16"/>
          <w:w w:val="105"/>
        </w:rPr>
        <w:t> </w:t>
      </w:r>
      <w:r>
        <w:rPr>
          <w:color w:val="231F20"/>
          <w:w w:val="105"/>
        </w:rPr>
        <w:t>y</w:t>
      </w:r>
      <w:r>
        <w:rPr>
          <w:color w:val="231F20"/>
          <w:spacing w:val="-16"/>
          <w:w w:val="105"/>
        </w:rPr>
        <w:t> </w:t>
      </w:r>
      <w:r>
        <w:rPr>
          <w:color w:val="231F20"/>
          <w:w w:val="105"/>
        </w:rPr>
        <w:t>su</w:t>
      </w:r>
      <w:r>
        <w:rPr>
          <w:color w:val="231F20"/>
          <w:spacing w:val="-16"/>
          <w:w w:val="105"/>
        </w:rPr>
        <w:t> </w:t>
      </w:r>
      <w:r>
        <w:rPr>
          <w:color w:val="231F20"/>
          <w:w w:val="105"/>
        </w:rPr>
        <w:t>aprovechamiento</w:t>
      </w:r>
      <w:r>
        <w:rPr>
          <w:color w:val="231F20"/>
          <w:spacing w:val="-16"/>
          <w:w w:val="105"/>
        </w:rPr>
        <w:t> </w:t>
      </w:r>
      <w:r>
        <w:rPr>
          <w:color w:val="231F20"/>
          <w:w w:val="105"/>
        </w:rPr>
        <w:t>fue responsabilidad</w:t>
      </w:r>
      <w:r>
        <w:rPr>
          <w:color w:val="231F20"/>
          <w:spacing w:val="-19"/>
          <w:w w:val="105"/>
        </w:rPr>
        <w:t> </w:t>
      </w:r>
      <w:r>
        <w:rPr>
          <w:color w:val="231F20"/>
          <w:w w:val="105"/>
        </w:rPr>
        <w:t>de</w:t>
      </w:r>
      <w:r>
        <w:rPr>
          <w:color w:val="231F20"/>
          <w:spacing w:val="-19"/>
          <w:w w:val="105"/>
        </w:rPr>
        <w:t> </w:t>
      </w:r>
      <w:r>
        <w:rPr>
          <w:color w:val="231F20"/>
          <w:w w:val="105"/>
        </w:rPr>
        <w:t>cada</w:t>
      </w:r>
      <w:r>
        <w:rPr>
          <w:color w:val="231F20"/>
          <w:spacing w:val="-19"/>
          <w:w w:val="105"/>
        </w:rPr>
        <w:t> </w:t>
      </w:r>
      <w:r>
        <w:rPr>
          <w:color w:val="231F20"/>
          <w:w w:val="105"/>
        </w:rPr>
        <w:t>campesino.</w:t>
      </w:r>
    </w:p>
    <w:p>
      <w:pPr>
        <w:pStyle w:val="BodyText"/>
        <w:spacing w:line="261" w:lineRule="auto" w:before="1"/>
        <w:ind w:left="1723" w:right="1828" w:firstLine="567"/>
        <w:jc w:val="both"/>
      </w:pPr>
      <w:r>
        <w:rPr>
          <w:color w:val="231F20"/>
          <w:spacing w:val="-6"/>
          <w:w w:val="105"/>
        </w:rPr>
        <w:t>Por </w:t>
      </w:r>
      <w:r>
        <w:rPr>
          <w:color w:val="231F20"/>
          <w:w w:val="105"/>
        </w:rPr>
        <w:t>otro lado, se buscó construir un estereotipo de migrante obe- diente,</w:t>
      </w:r>
      <w:r>
        <w:rPr>
          <w:color w:val="231F20"/>
          <w:spacing w:val="-10"/>
          <w:w w:val="105"/>
        </w:rPr>
        <w:t> </w:t>
      </w:r>
      <w:r>
        <w:rPr>
          <w:color w:val="231F20"/>
          <w:w w:val="105"/>
        </w:rPr>
        <w:t>trabajador</w:t>
      </w:r>
      <w:r>
        <w:rPr>
          <w:color w:val="231F20"/>
          <w:spacing w:val="-4"/>
          <w:w w:val="105"/>
        </w:rPr>
        <w:t> </w:t>
      </w:r>
      <w:r>
        <w:rPr>
          <w:color w:val="231F20"/>
          <w:w w:val="105"/>
        </w:rPr>
        <w:t>y</w:t>
      </w:r>
      <w:r>
        <w:rPr>
          <w:color w:val="231F20"/>
          <w:spacing w:val="-4"/>
          <w:w w:val="105"/>
        </w:rPr>
        <w:t> </w:t>
      </w:r>
      <w:r>
        <w:rPr>
          <w:color w:val="231F20"/>
          <w:w w:val="105"/>
        </w:rPr>
        <w:t>valiente</w:t>
      </w:r>
      <w:r>
        <w:rPr>
          <w:color w:val="231F20"/>
          <w:spacing w:val="-4"/>
          <w:w w:val="105"/>
        </w:rPr>
        <w:t> </w:t>
      </w:r>
      <w:r>
        <w:rPr>
          <w:color w:val="231F20"/>
          <w:w w:val="105"/>
        </w:rPr>
        <w:t>dando</w:t>
      </w:r>
      <w:r>
        <w:rPr>
          <w:color w:val="231F20"/>
          <w:spacing w:val="-4"/>
          <w:w w:val="105"/>
        </w:rPr>
        <w:t> </w:t>
      </w:r>
      <w:r>
        <w:rPr>
          <w:color w:val="231F20"/>
          <w:w w:val="105"/>
        </w:rPr>
        <w:t>lugar</w:t>
      </w:r>
      <w:r>
        <w:rPr>
          <w:color w:val="231F20"/>
          <w:spacing w:val="-4"/>
          <w:w w:val="105"/>
        </w:rPr>
        <w:t> </w:t>
      </w:r>
      <w:r>
        <w:rPr>
          <w:color w:val="231F20"/>
          <w:w w:val="105"/>
        </w:rPr>
        <w:t>a</w:t>
      </w:r>
      <w:r>
        <w:rPr>
          <w:color w:val="231F20"/>
          <w:spacing w:val="-4"/>
          <w:w w:val="105"/>
        </w:rPr>
        <w:t> </w:t>
      </w:r>
      <w:r>
        <w:rPr>
          <w:color w:val="231F20"/>
          <w:w w:val="105"/>
        </w:rPr>
        <w:t>una</w:t>
      </w:r>
      <w:r>
        <w:rPr>
          <w:color w:val="231F20"/>
          <w:spacing w:val="-4"/>
          <w:w w:val="105"/>
        </w:rPr>
        <w:t> </w:t>
      </w:r>
      <w:r>
        <w:rPr>
          <w:color w:val="231F20"/>
          <w:w w:val="105"/>
        </w:rPr>
        <w:t>dualidad:</w:t>
      </w:r>
      <w:r>
        <w:rPr>
          <w:color w:val="231F20"/>
          <w:spacing w:val="-4"/>
          <w:w w:val="105"/>
        </w:rPr>
        <w:t> </w:t>
      </w:r>
      <w:r>
        <w:rPr>
          <w:color w:val="231F20"/>
          <w:w w:val="105"/>
        </w:rPr>
        <w:t>sumisión</w:t>
      </w:r>
      <w:r>
        <w:rPr>
          <w:color w:val="231F20"/>
          <w:spacing w:val="-4"/>
          <w:w w:val="105"/>
        </w:rPr>
        <w:t> </w:t>
      </w:r>
      <w:r>
        <w:rPr>
          <w:color w:val="231F20"/>
          <w:w w:val="105"/>
        </w:rPr>
        <w:t>y</w:t>
      </w:r>
      <w:r>
        <w:rPr>
          <w:color w:val="231F20"/>
          <w:spacing w:val="-4"/>
          <w:w w:val="105"/>
        </w:rPr>
        <w:t> </w:t>
      </w:r>
      <w:r>
        <w:rPr>
          <w:color w:val="231F20"/>
          <w:w w:val="105"/>
        </w:rPr>
        <w:t>vir- tud, esto implicaba “no </w:t>
      </w:r>
      <w:r>
        <w:rPr>
          <w:color w:val="231F20"/>
          <w:spacing w:val="-3"/>
          <w:w w:val="105"/>
        </w:rPr>
        <w:t>quejarse”, </w:t>
      </w:r>
      <w:r>
        <w:rPr>
          <w:color w:val="231F20"/>
          <w:w w:val="105"/>
        </w:rPr>
        <w:t>“aguantarse, negar, no dar importan- cia”</w:t>
      </w:r>
      <w:r>
        <w:rPr>
          <w:color w:val="231F20"/>
          <w:spacing w:val="-19"/>
          <w:w w:val="105"/>
        </w:rPr>
        <w:t> </w:t>
      </w:r>
      <w:r>
        <w:rPr>
          <w:color w:val="231F20"/>
          <w:w w:val="105"/>
        </w:rPr>
        <w:t>a</w:t>
      </w:r>
      <w:r>
        <w:rPr>
          <w:color w:val="231F20"/>
          <w:spacing w:val="-19"/>
          <w:w w:val="105"/>
        </w:rPr>
        <w:t> </w:t>
      </w:r>
      <w:r>
        <w:rPr>
          <w:color w:val="231F20"/>
          <w:w w:val="105"/>
        </w:rPr>
        <w:t>cualquier</w:t>
      </w:r>
      <w:r>
        <w:rPr>
          <w:color w:val="231F20"/>
          <w:spacing w:val="-19"/>
          <w:w w:val="105"/>
        </w:rPr>
        <w:t> </w:t>
      </w:r>
      <w:r>
        <w:rPr>
          <w:color w:val="231F20"/>
          <w:w w:val="105"/>
        </w:rPr>
        <w:t>sentimiento</w:t>
      </w:r>
      <w:r>
        <w:rPr>
          <w:color w:val="231F20"/>
          <w:spacing w:val="-19"/>
          <w:w w:val="105"/>
        </w:rPr>
        <w:t> </w:t>
      </w:r>
      <w:r>
        <w:rPr>
          <w:color w:val="231F20"/>
          <w:w w:val="105"/>
        </w:rPr>
        <w:t>de</w:t>
      </w:r>
      <w:r>
        <w:rPr>
          <w:color w:val="231F20"/>
          <w:spacing w:val="-19"/>
          <w:w w:val="105"/>
        </w:rPr>
        <w:t> </w:t>
      </w:r>
      <w:r>
        <w:rPr>
          <w:color w:val="231F20"/>
          <w:w w:val="105"/>
        </w:rPr>
        <w:t>inestabilidad</w:t>
      </w:r>
      <w:r>
        <w:rPr>
          <w:color w:val="231F20"/>
          <w:spacing w:val="-19"/>
          <w:w w:val="105"/>
        </w:rPr>
        <w:t> </w:t>
      </w:r>
      <w:r>
        <w:rPr>
          <w:color w:val="231F20"/>
          <w:w w:val="105"/>
        </w:rPr>
        <w:t>emocional.</w:t>
      </w:r>
      <w:r>
        <w:rPr>
          <w:color w:val="231F20"/>
          <w:spacing w:val="-24"/>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balanza</w:t>
      </w:r>
      <w:r>
        <w:rPr>
          <w:color w:val="231F20"/>
          <w:spacing w:val="-19"/>
          <w:w w:val="105"/>
        </w:rPr>
        <w:t> </w:t>
      </w:r>
      <w:r>
        <w:rPr>
          <w:color w:val="231F20"/>
          <w:w w:val="105"/>
        </w:rPr>
        <w:t>de los</w:t>
      </w:r>
      <w:r>
        <w:rPr>
          <w:color w:val="231F20"/>
          <w:spacing w:val="-14"/>
          <w:w w:val="105"/>
        </w:rPr>
        <w:t> </w:t>
      </w:r>
      <w:r>
        <w:rPr>
          <w:color w:val="231F20"/>
          <w:w w:val="105"/>
        </w:rPr>
        <w:t>hechos,</w:t>
      </w:r>
      <w:r>
        <w:rPr>
          <w:color w:val="231F20"/>
          <w:spacing w:val="-18"/>
          <w:w w:val="105"/>
        </w:rPr>
        <w:t> </w:t>
      </w:r>
      <w:r>
        <w:rPr>
          <w:color w:val="231F20"/>
          <w:w w:val="105"/>
        </w:rPr>
        <w:t>los</w:t>
      </w:r>
      <w:r>
        <w:rPr>
          <w:color w:val="231F20"/>
          <w:spacing w:val="-14"/>
          <w:w w:val="105"/>
        </w:rPr>
        <w:t> </w:t>
      </w:r>
      <w:r>
        <w:rPr>
          <w:color w:val="231F20"/>
          <w:w w:val="105"/>
        </w:rPr>
        <w:t>adjetivos</w:t>
      </w:r>
      <w:r>
        <w:rPr>
          <w:color w:val="231F20"/>
          <w:spacing w:val="-14"/>
          <w:w w:val="105"/>
        </w:rPr>
        <w:t> </w:t>
      </w:r>
      <w:r>
        <w:rPr>
          <w:color w:val="231F20"/>
          <w:w w:val="105"/>
        </w:rPr>
        <w:t>calificativos</w:t>
      </w:r>
      <w:r>
        <w:rPr>
          <w:color w:val="231F20"/>
          <w:spacing w:val="-14"/>
          <w:w w:val="105"/>
        </w:rPr>
        <w:t> </w:t>
      </w:r>
      <w:r>
        <w:rPr>
          <w:color w:val="231F20"/>
          <w:w w:val="105"/>
        </w:rPr>
        <w:t>contrarrestaban</w:t>
      </w:r>
      <w:r>
        <w:rPr>
          <w:color w:val="231F20"/>
          <w:spacing w:val="-14"/>
          <w:w w:val="105"/>
        </w:rPr>
        <w:t> </w:t>
      </w:r>
      <w:r>
        <w:rPr>
          <w:color w:val="231F20"/>
          <w:w w:val="105"/>
        </w:rPr>
        <w:t>el</w:t>
      </w:r>
      <w:r>
        <w:rPr>
          <w:color w:val="231F20"/>
          <w:spacing w:val="-14"/>
          <w:w w:val="105"/>
        </w:rPr>
        <w:t> </w:t>
      </w:r>
      <w:r>
        <w:rPr>
          <w:color w:val="231F20"/>
          <w:w w:val="105"/>
        </w:rPr>
        <w:t>efecto</w:t>
      </w:r>
      <w:r>
        <w:rPr>
          <w:color w:val="231F20"/>
          <w:spacing w:val="-14"/>
          <w:w w:val="105"/>
        </w:rPr>
        <w:t> </w:t>
      </w:r>
      <w:r>
        <w:rPr>
          <w:color w:val="231F20"/>
          <w:w w:val="105"/>
        </w:rPr>
        <w:t>negativo, para,</w:t>
      </w:r>
      <w:r>
        <w:rPr>
          <w:color w:val="231F20"/>
          <w:spacing w:val="-12"/>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w w:val="105"/>
        </w:rPr>
        <w:t>contrario,</w:t>
      </w:r>
      <w:r>
        <w:rPr>
          <w:color w:val="231F20"/>
          <w:spacing w:val="-12"/>
          <w:w w:val="105"/>
        </w:rPr>
        <w:t> </w:t>
      </w:r>
      <w:r>
        <w:rPr>
          <w:color w:val="231F20"/>
          <w:w w:val="105"/>
        </w:rPr>
        <w:t>enaltecer</w:t>
      </w:r>
      <w:r>
        <w:rPr>
          <w:color w:val="231F20"/>
          <w:spacing w:val="-7"/>
          <w:w w:val="105"/>
        </w:rPr>
        <w:t> </w:t>
      </w:r>
      <w:r>
        <w:rPr>
          <w:color w:val="231F20"/>
          <w:w w:val="105"/>
        </w:rPr>
        <w:t>la</w:t>
      </w:r>
      <w:r>
        <w:rPr>
          <w:color w:val="231F20"/>
          <w:spacing w:val="-7"/>
          <w:w w:val="105"/>
        </w:rPr>
        <w:t> </w:t>
      </w:r>
      <w:r>
        <w:rPr>
          <w:color w:val="231F20"/>
          <w:w w:val="105"/>
        </w:rPr>
        <w:t>imagen</w:t>
      </w:r>
      <w:r>
        <w:rPr>
          <w:color w:val="231F20"/>
          <w:spacing w:val="-7"/>
          <w:w w:val="105"/>
        </w:rPr>
        <w:t> </w:t>
      </w:r>
      <w:r>
        <w:rPr>
          <w:color w:val="231F20"/>
          <w:w w:val="105"/>
        </w:rPr>
        <w:t>masculina</w:t>
      </w:r>
      <w:r>
        <w:rPr>
          <w:color w:val="231F20"/>
          <w:spacing w:val="-7"/>
          <w:w w:val="105"/>
        </w:rPr>
        <w:t> </w:t>
      </w:r>
      <w:r>
        <w:rPr>
          <w:color w:val="231F20"/>
          <w:w w:val="105"/>
        </w:rPr>
        <w:t>del</w:t>
      </w:r>
      <w:r>
        <w:rPr>
          <w:color w:val="231F20"/>
          <w:spacing w:val="-7"/>
          <w:w w:val="105"/>
        </w:rPr>
        <w:t> </w:t>
      </w:r>
      <w:r>
        <w:rPr>
          <w:color w:val="231F20"/>
          <w:w w:val="105"/>
        </w:rPr>
        <w:t>campesino</w:t>
      </w:r>
      <w:r>
        <w:rPr>
          <w:color w:val="231F20"/>
          <w:spacing w:val="-7"/>
          <w:w w:val="105"/>
        </w:rPr>
        <w:t> </w:t>
      </w:r>
      <w:r>
        <w:rPr>
          <w:color w:val="231F20"/>
          <w:w w:val="105"/>
        </w:rPr>
        <w:t>ha- ciendo</w:t>
      </w:r>
      <w:r>
        <w:rPr>
          <w:color w:val="231F20"/>
          <w:spacing w:val="-14"/>
          <w:w w:val="105"/>
        </w:rPr>
        <w:t> </w:t>
      </w:r>
      <w:r>
        <w:rPr>
          <w:color w:val="231F20"/>
          <w:w w:val="105"/>
        </w:rPr>
        <w:t>fluir</w:t>
      </w:r>
      <w:r>
        <w:rPr>
          <w:color w:val="231F20"/>
          <w:spacing w:val="-14"/>
          <w:w w:val="105"/>
        </w:rPr>
        <w:t> </w:t>
      </w:r>
      <w:r>
        <w:rPr>
          <w:color w:val="231F20"/>
          <w:w w:val="105"/>
        </w:rPr>
        <w:t>emociones</w:t>
      </w:r>
      <w:r>
        <w:rPr>
          <w:color w:val="231F20"/>
          <w:spacing w:val="-14"/>
          <w:w w:val="105"/>
        </w:rPr>
        <w:t> </w:t>
      </w:r>
      <w:r>
        <w:rPr>
          <w:color w:val="231F20"/>
          <w:w w:val="105"/>
        </w:rPr>
        <w:t>favorables.</w:t>
      </w:r>
      <w:r>
        <w:rPr>
          <w:color w:val="231F20"/>
          <w:spacing w:val="-18"/>
          <w:w w:val="105"/>
        </w:rPr>
        <w:t> </w:t>
      </w:r>
      <w:r>
        <w:rPr>
          <w:color w:val="231F20"/>
          <w:w w:val="105"/>
        </w:rPr>
        <w:t>Las</w:t>
      </w:r>
      <w:r>
        <w:rPr>
          <w:color w:val="231F20"/>
          <w:spacing w:val="-14"/>
          <w:w w:val="105"/>
        </w:rPr>
        <w:t> </w:t>
      </w:r>
      <w:r>
        <w:rPr>
          <w:color w:val="231F20"/>
          <w:w w:val="105"/>
        </w:rPr>
        <w:t>mujeres</w:t>
      </w:r>
      <w:r>
        <w:rPr>
          <w:color w:val="231F20"/>
          <w:spacing w:val="-14"/>
          <w:w w:val="105"/>
        </w:rPr>
        <w:t> </w:t>
      </w:r>
      <w:r>
        <w:rPr>
          <w:color w:val="231F20"/>
          <w:w w:val="105"/>
        </w:rPr>
        <w:t>desde</w:t>
      </w:r>
      <w:r>
        <w:rPr>
          <w:color w:val="231F20"/>
          <w:spacing w:val="-14"/>
          <w:w w:val="105"/>
        </w:rPr>
        <w:t> </w:t>
      </w:r>
      <w:r>
        <w:rPr>
          <w:color w:val="231F20"/>
          <w:w w:val="105"/>
        </w:rPr>
        <w:t>su</w:t>
      </w:r>
      <w:r>
        <w:rPr>
          <w:color w:val="231F20"/>
          <w:spacing w:val="-14"/>
          <w:w w:val="105"/>
        </w:rPr>
        <w:t> </w:t>
      </w:r>
      <w:r>
        <w:rPr>
          <w:color w:val="231F20"/>
          <w:w w:val="105"/>
        </w:rPr>
        <w:t>propio</w:t>
      </w:r>
      <w:r>
        <w:rPr>
          <w:color w:val="231F20"/>
          <w:spacing w:val="-14"/>
          <w:w w:val="105"/>
        </w:rPr>
        <w:t> </w:t>
      </w:r>
      <w:r>
        <w:rPr>
          <w:color w:val="231F20"/>
          <w:w w:val="105"/>
        </w:rPr>
        <w:t>espacio de</w:t>
      </w:r>
      <w:r>
        <w:rPr>
          <w:color w:val="231F20"/>
          <w:spacing w:val="-9"/>
          <w:w w:val="105"/>
        </w:rPr>
        <w:t> </w:t>
      </w:r>
      <w:r>
        <w:rPr>
          <w:color w:val="231F20"/>
          <w:w w:val="105"/>
        </w:rPr>
        <w:t>acción</w:t>
      </w:r>
      <w:r>
        <w:rPr>
          <w:color w:val="231F20"/>
          <w:spacing w:val="-9"/>
          <w:w w:val="105"/>
        </w:rPr>
        <w:t> </w:t>
      </w:r>
      <w:r>
        <w:rPr>
          <w:color w:val="231F20"/>
          <w:w w:val="105"/>
        </w:rPr>
        <w:t>cotidiana</w:t>
      </w:r>
      <w:r>
        <w:rPr>
          <w:color w:val="231F20"/>
          <w:spacing w:val="-9"/>
          <w:w w:val="105"/>
        </w:rPr>
        <w:t> </w:t>
      </w:r>
      <w:r>
        <w:rPr>
          <w:color w:val="231F20"/>
          <w:w w:val="105"/>
        </w:rPr>
        <w:t>aprendieron</w:t>
      </w:r>
      <w:r>
        <w:rPr>
          <w:color w:val="231F20"/>
          <w:spacing w:val="-9"/>
          <w:w w:val="105"/>
        </w:rPr>
        <w:t> </w:t>
      </w:r>
      <w:r>
        <w:rPr>
          <w:color w:val="231F20"/>
          <w:w w:val="105"/>
        </w:rPr>
        <w:t>también</w:t>
      </w:r>
      <w:r>
        <w:rPr>
          <w:color w:val="231F20"/>
          <w:spacing w:val="-9"/>
          <w:w w:val="105"/>
        </w:rPr>
        <w:t> </w:t>
      </w:r>
      <w:r>
        <w:rPr>
          <w:color w:val="231F20"/>
          <w:w w:val="105"/>
        </w:rPr>
        <w:t>a</w:t>
      </w:r>
      <w:r>
        <w:rPr>
          <w:color w:val="231F20"/>
          <w:spacing w:val="-9"/>
          <w:w w:val="105"/>
        </w:rPr>
        <w:t> </w:t>
      </w:r>
      <w:r>
        <w:rPr>
          <w:color w:val="231F20"/>
          <w:w w:val="105"/>
        </w:rPr>
        <w:t>silenciar</w:t>
      </w:r>
      <w:r>
        <w:rPr>
          <w:color w:val="231F20"/>
          <w:spacing w:val="-9"/>
          <w:w w:val="105"/>
        </w:rPr>
        <w:t> </w:t>
      </w:r>
      <w:r>
        <w:rPr>
          <w:color w:val="231F20"/>
          <w:w w:val="105"/>
        </w:rPr>
        <w:t>e</w:t>
      </w:r>
      <w:r>
        <w:rPr>
          <w:color w:val="231F20"/>
          <w:spacing w:val="-9"/>
          <w:w w:val="105"/>
        </w:rPr>
        <w:t> </w:t>
      </w:r>
      <w:r>
        <w:rPr>
          <w:color w:val="231F20"/>
          <w:w w:val="105"/>
        </w:rPr>
        <w:t>integrar</w:t>
      </w:r>
      <w:r>
        <w:rPr>
          <w:color w:val="231F20"/>
          <w:spacing w:val="-9"/>
          <w:w w:val="105"/>
        </w:rPr>
        <w:t> </w:t>
      </w:r>
      <w:r>
        <w:rPr>
          <w:color w:val="231F20"/>
          <w:w w:val="105"/>
        </w:rPr>
        <w:t>dentro</w:t>
      </w:r>
      <w:r>
        <w:rPr>
          <w:color w:val="231F20"/>
          <w:spacing w:val="-9"/>
          <w:w w:val="105"/>
        </w:rPr>
        <w:t> </w:t>
      </w:r>
      <w:r>
        <w:rPr>
          <w:color w:val="231F20"/>
          <w:w w:val="105"/>
        </w:rPr>
        <w:t>de la</w:t>
      </w:r>
      <w:r>
        <w:rPr>
          <w:color w:val="231F20"/>
          <w:spacing w:val="-17"/>
          <w:w w:val="105"/>
        </w:rPr>
        <w:t> </w:t>
      </w:r>
      <w:r>
        <w:rPr>
          <w:color w:val="231F20"/>
          <w:w w:val="105"/>
        </w:rPr>
        <w:t>normalidad,</w:t>
      </w:r>
      <w:r>
        <w:rPr>
          <w:color w:val="231F20"/>
          <w:spacing w:val="-22"/>
          <w:w w:val="105"/>
        </w:rPr>
        <w:t> </w:t>
      </w:r>
      <w:r>
        <w:rPr>
          <w:color w:val="231F20"/>
          <w:w w:val="105"/>
        </w:rPr>
        <w:t>emociones</w:t>
      </w:r>
      <w:r>
        <w:rPr>
          <w:color w:val="231F20"/>
          <w:spacing w:val="-17"/>
          <w:w w:val="105"/>
        </w:rPr>
        <w:t> </w:t>
      </w:r>
      <w:r>
        <w:rPr>
          <w:color w:val="231F20"/>
          <w:w w:val="105"/>
        </w:rPr>
        <w:t>emanadas</w:t>
      </w:r>
      <w:r>
        <w:rPr>
          <w:color w:val="231F20"/>
          <w:spacing w:val="-17"/>
          <w:w w:val="105"/>
        </w:rPr>
        <w:t> </w:t>
      </w:r>
      <w:r>
        <w:rPr>
          <w:color w:val="231F20"/>
          <w:w w:val="105"/>
        </w:rPr>
        <w:t>desde</w:t>
      </w:r>
      <w:r>
        <w:rPr>
          <w:color w:val="231F20"/>
          <w:spacing w:val="-17"/>
          <w:w w:val="105"/>
        </w:rPr>
        <w:t> </w:t>
      </w:r>
      <w:r>
        <w:rPr>
          <w:color w:val="231F20"/>
          <w:w w:val="105"/>
        </w:rPr>
        <w:t>su</w:t>
      </w:r>
      <w:r>
        <w:rPr>
          <w:color w:val="231F20"/>
          <w:spacing w:val="-17"/>
          <w:w w:val="105"/>
        </w:rPr>
        <w:t> </w:t>
      </w:r>
      <w:r>
        <w:rPr>
          <w:color w:val="231F20"/>
          <w:w w:val="105"/>
        </w:rPr>
        <w:t>condición</w:t>
      </w:r>
      <w:r>
        <w:rPr>
          <w:color w:val="231F20"/>
          <w:spacing w:val="-17"/>
          <w:w w:val="105"/>
        </w:rPr>
        <w:t> </w:t>
      </w:r>
      <w:r>
        <w:rPr>
          <w:color w:val="231F20"/>
          <w:w w:val="105"/>
        </w:rPr>
        <w:t>de</w:t>
      </w:r>
      <w:r>
        <w:rPr>
          <w:color w:val="231F20"/>
          <w:spacing w:val="-17"/>
          <w:w w:val="105"/>
        </w:rPr>
        <w:t> </w:t>
      </w:r>
      <w:r>
        <w:rPr>
          <w:color w:val="231F20"/>
          <w:w w:val="105"/>
        </w:rPr>
        <w:t>madres,</w:t>
      </w:r>
      <w:r>
        <w:rPr>
          <w:color w:val="231F20"/>
          <w:spacing w:val="-22"/>
          <w:w w:val="105"/>
        </w:rPr>
        <w:t> </w:t>
      </w:r>
      <w:r>
        <w:rPr>
          <w:color w:val="231F20"/>
          <w:w w:val="105"/>
        </w:rPr>
        <w:t>es- </w:t>
      </w:r>
      <w:r>
        <w:rPr>
          <w:color w:val="231F20"/>
        </w:rPr>
        <w:t>posas, novias, hermanas,</w:t>
      </w:r>
      <w:r>
        <w:rPr>
          <w:color w:val="231F20"/>
          <w:spacing w:val="-9"/>
        </w:rPr>
        <w:t> </w:t>
      </w:r>
      <w:r>
        <w:rPr>
          <w:color w:val="231F20"/>
        </w:rPr>
        <w:t>etcétera.</w:t>
      </w:r>
    </w:p>
    <w:p>
      <w:pPr>
        <w:pStyle w:val="BodyText"/>
        <w:spacing w:line="261" w:lineRule="auto" w:before="1"/>
        <w:ind w:left="1723" w:right="1834" w:firstLine="567"/>
        <w:jc w:val="both"/>
      </w:pPr>
      <w:r>
        <w:rPr>
          <w:color w:val="231F20"/>
          <w:w w:val="105"/>
        </w:rPr>
        <w:t>La vida emocional de los migrantes no es un hecho aislado, está íntimamente conectada con otros procesos relacionales a la diferencia de ser hombre o mujer. Lo afectivo y lo económico logran maniatar a hombres y mujeres para seguir un comportamiento que mantiene o re- tiene</w:t>
      </w:r>
      <w:r>
        <w:rPr>
          <w:color w:val="231F20"/>
          <w:spacing w:val="-19"/>
          <w:w w:val="105"/>
        </w:rPr>
        <w:t> </w:t>
      </w:r>
      <w:r>
        <w:rPr>
          <w:color w:val="231F20"/>
          <w:w w:val="105"/>
        </w:rPr>
        <w:t>ciertos</w:t>
      </w:r>
      <w:r>
        <w:rPr>
          <w:color w:val="231F20"/>
          <w:spacing w:val="-19"/>
          <w:w w:val="105"/>
        </w:rPr>
        <w:t> </w:t>
      </w:r>
      <w:r>
        <w:rPr>
          <w:color w:val="231F20"/>
          <w:w w:val="105"/>
        </w:rPr>
        <w:t>mandatos</w:t>
      </w:r>
      <w:r>
        <w:rPr>
          <w:color w:val="231F20"/>
          <w:spacing w:val="-19"/>
          <w:w w:val="105"/>
        </w:rPr>
        <w:t> </w:t>
      </w:r>
      <w:r>
        <w:rPr>
          <w:color w:val="231F20"/>
          <w:w w:val="105"/>
        </w:rPr>
        <w:t>sociales.</w:t>
      </w:r>
      <w:r>
        <w:rPr>
          <w:color w:val="231F20"/>
          <w:spacing w:val="-24"/>
          <w:w w:val="105"/>
        </w:rPr>
        <w:t> </w:t>
      </w:r>
      <w:r>
        <w:rPr>
          <w:color w:val="231F20"/>
          <w:w w:val="105"/>
        </w:rPr>
        <w:t>Desde</w:t>
      </w:r>
      <w:r>
        <w:rPr>
          <w:color w:val="231F20"/>
          <w:spacing w:val="-19"/>
          <w:w w:val="105"/>
        </w:rPr>
        <w:t> </w:t>
      </w:r>
      <w:r>
        <w:rPr>
          <w:color w:val="231F20"/>
          <w:w w:val="105"/>
        </w:rPr>
        <w:t>la</w:t>
      </w:r>
      <w:r>
        <w:rPr>
          <w:color w:val="231F20"/>
          <w:spacing w:val="-19"/>
          <w:w w:val="105"/>
        </w:rPr>
        <w:t> </w:t>
      </w:r>
      <w:r>
        <w:rPr>
          <w:color w:val="231F20"/>
          <w:w w:val="105"/>
        </w:rPr>
        <w:t>mirada</w:t>
      </w:r>
      <w:r>
        <w:rPr>
          <w:color w:val="231F20"/>
          <w:spacing w:val="-19"/>
          <w:w w:val="105"/>
        </w:rPr>
        <w:t> </w:t>
      </w:r>
      <w:r>
        <w:rPr>
          <w:color w:val="231F20"/>
          <w:w w:val="105"/>
        </w:rPr>
        <w:t>de</w:t>
      </w:r>
      <w:r>
        <w:rPr>
          <w:color w:val="231F20"/>
          <w:spacing w:val="-19"/>
          <w:w w:val="105"/>
        </w:rPr>
        <w:t> </w:t>
      </w:r>
      <w:r>
        <w:rPr>
          <w:color w:val="231F20"/>
          <w:w w:val="105"/>
        </w:rPr>
        <w:t>género,</w:t>
      </w:r>
      <w:r>
        <w:rPr>
          <w:color w:val="231F20"/>
          <w:spacing w:val="-24"/>
          <w:w w:val="105"/>
        </w:rPr>
        <w:t> </w:t>
      </w:r>
      <w:r>
        <w:rPr>
          <w:color w:val="231F20"/>
          <w:w w:val="105"/>
        </w:rPr>
        <w:t>lo</w:t>
      </w:r>
      <w:r>
        <w:rPr>
          <w:color w:val="231F20"/>
          <w:spacing w:val="-19"/>
          <w:w w:val="105"/>
        </w:rPr>
        <w:t> </w:t>
      </w:r>
      <w:r>
        <w:rPr>
          <w:color w:val="231F20"/>
          <w:w w:val="105"/>
        </w:rPr>
        <w:t>afectivo</w:t>
      </w:r>
      <w:r>
        <w:rPr>
          <w:color w:val="231F20"/>
          <w:spacing w:val="-19"/>
          <w:w w:val="105"/>
        </w:rPr>
        <w:t> </w:t>
      </w:r>
      <w:r>
        <w:rPr>
          <w:color w:val="231F20"/>
          <w:w w:val="105"/>
        </w:rPr>
        <w:t>y lo</w:t>
      </w:r>
      <w:r>
        <w:rPr>
          <w:color w:val="231F20"/>
          <w:spacing w:val="-26"/>
          <w:w w:val="105"/>
        </w:rPr>
        <w:t> </w:t>
      </w:r>
      <w:r>
        <w:rPr>
          <w:color w:val="231F20"/>
          <w:w w:val="105"/>
        </w:rPr>
        <w:t>económico</w:t>
      </w:r>
      <w:r>
        <w:rPr>
          <w:color w:val="231F20"/>
          <w:spacing w:val="-26"/>
          <w:w w:val="105"/>
        </w:rPr>
        <w:t> </w:t>
      </w:r>
      <w:r>
        <w:rPr>
          <w:color w:val="231F20"/>
          <w:w w:val="105"/>
        </w:rPr>
        <w:t>vislumbran</w:t>
      </w:r>
      <w:r>
        <w:rPr>
          <w:color w:val="231F20"/>
          <w:spacing w:val="-26"/>
          <w:w w:val="105"/>
        </w:rPr>
        <w:t> </w:t>
      </w:r>
      <w:r>
        <w:rPr>
          <w:color w:val="231F20"/>
          <w:w w:val="105"/>
        </w:rPr>
        <w:t>los</w:t>
      </w:r>
      <w:r>
        <w:rPr>
          <w:color w:val="231F20"/>
          <w:spacing w:val="-26"/>
          <w:w w:val="105"/>
        </w:rPr>
        <w:t> </w:t>
      </w:r>
      <w:r>
        <w:rPr>
          <w:color w:val="231F20"/>
          <w:w w:val="105"/>
        </w:rPr>
        <w:t>escenarios</w:t>
      </w:r>
      <w:r>
        <w:rPr>
          <w:color w:val="231F20"/>
          <w:spacing w:val="-26"/>
          <w:w w:val="105"/>
        </w:rPr>
        <w:t> </w:t>
      </w:r>
      <w:r>
        <w:rPr>
          <w:color w:val="231F20"/>
          <w:w w:val="105"/>
        </w:rPr>
        <w:t>donde</w:t>
      </w:r>
      <w:r>
        <w:rPr>
          <w:color w:val="231F20"/>
          <w:spacing w:val="-26"/>
          <w:w w:val="105"/>
        </w:rPr>
        <w:t> </w:t>
      </w:r>
      <w:r>
        <w:rPr>
          <w:color w:val="231F20"/>
          <w:w w:val="105"/>
        </w:rPr>
        <w:t>surgen,</w:t>
      </w:r>
      <w:r>
        <w:rPr>
          <w:color w:val="231F20"/>
          <w:spacing w:val="-31"/>
          <w:w w:val="105"/>
        </w:rPr>
        <w:t> </w:t>
      </w:r>
      <w:r>
        <w:rPr>
          <w:color w:val="231F20"/>
          <w:w w:val="105"/>
        </w:rPr>
        <w:t>se</w:t>
      </w:r>
      <w:r>
        <w:rPr>
          <w:color w:val="231F20"/>
          <w:spacing w:val="-26"/>
          <w:w w:val="105"/>
        </w:rPr>
        <w:t> </w:t>
      </w:r>
      <w:r>
        <w:rPr>
          <w:color w:val="231F20"/>
          <w:w w:val="105"/>
        </w:rPr>
        <w:t>desarrollan,</w:t>
      </w:r>
      <w:r>
        <w:rPr>
          <w:color w:val="231F20"/>
          <w:spacing w:val="-31"/>
          <w:w w:val="105"/>
        </w:rPr>
        <w:t> </w:t>
      </w:r>
      <w:r>
        <w:rPr>
          <w:color w:val="231F20"/>
          <w:w w:val="105"/>
        </w:rPr>
        <w:t>se mantienen,</w:t>
      </w:r>
      <w:r>
        <w:rPr>
          <w:color w:val="231F20"/>
          <w:spacing w:val="-33"/>
          <w:w w:val="105"/>
        </w:rPr>
        <w:t> </w:t>
      </w:r>
      <w:r>
        <w:rPr>
          <w:color w:val="231F20"/>
          <w:w w:val="105"/>
        </w:rPr>
        <w:t>se</w:t>
      </w:r>
      <w:r>
        <w:rPr>
          <w:color w:val="231F20"/>
          <w:spacing w:val="-28"/>
          <w:w w:val="105"/>
        </w:rPr>
        <w:t> </w:t>
      </w:r>
      <w:r>
        <w:rPr>
          <w:color w:val="231F20"/>
          <w:w w:val="105"/>
        </w:rPr>
        <w:t>fracturan</w:t>
      </w:r>
      <w:r>
        <w:rPr>
          <w:color w:val="231F20"/>
          <w:spacing w:val="-28"/>
          <w:w w:val="105"/>
        </w:rPr>
        <w:t> </w:t>
      </w:r>
      <w:r>
        <w:rPr>
          <w:color w:val="231F20"/>
          <w:w w:val="105"/>
        </w:rPr>
        <w:t>o</w:t>
      </w:r>
      <w:r>
        <w:rPr>
          <w:color w:val="231F20"/>
          <w:spacing w:val="-28"/>
          <w:w w:val="105"/>
        </w:rPr>
        <w:t> </w:t>
      </w:r>
      <w:r>
        <w:rPr>
          <w:color w:val="231F20"/>
          <w:w w:val="105"/>
        </w:rPr>
        <w:t>se</w:t>
      </w:r>
      <w:r>
        <w:rPr>
          <w:color w:val="231F20"/>
          <w:spacing w:val="-28"/>
          <w:w w:val="105"/>
        </w:rPr>
        <w:t> </w:t>
      </w:r>
      <w:r>
        <w:rPr>
          <w:color w:val="231F20"/>
          <w:w w:val="105"/>
        </w:rPr>
        <w:t>reconstruyen</w:t>
      </w:r>
      <w:r>
        <w:rPr>
          <w:color w:val="231F20"/>
          <w:spacing w:val="-28"/>
          <w:w w:val="105"/>
        </w:rPr>
        <w:t> </w:t>
      </w:r>
      <w:r>
        <w:rPr>
          <w:color w:val="231F20"/>
          <w:w w:val="105"/>
        </w:rPr>
        <w:t>las</w:t>
      </w:r>
      <w:r>
        <w:rPr>
          <w:color w:val="231F20"/>
          <w:spacing w:val="-28"/>
          <w:w w:val="105"/>
        </w:rPr>
        <w:t> </w:t>
      </w:r>
      <w:r>
        <w:rPr>
          <w:color w:val="231F20"/>
          <w:w w:val="105"/>
        </w:rPr>
        <w:t>relaciones</w:t>
      </w:r>
      <w:r>
        <w:rPr>
          <w:color w:val="231F20"/>
          <w:spacing w:val="-28"/>
          <w:w w:val="105"/>
        </w:rPr>
        <w:t> </w:t>
      </w:r>
      <w:r>
        <w:rPr>
          <w:color w:val="231F20"/>
          <w:w w:val="105"/>
        </w:rPr>
        <w:t>de</w:t>
      </w:r>
      <w:r>
        <w:rPr>
          <w:color w:val="231F20"/>
          <w:spacing w:val="-28"/>
          <w:w w:val="105"/>
        </w:rPr>
        <w:t> </w:t>
      </w:r>
      <w:r>
        <w:rPr>
          <w:color w:val="231F20"/>
          <w:w w:val="105"/>
        </w:rPr>
        <w:t>pareja</w:t>
      </w:r>
      <w:r>
        <w:rPr>
          <w:color w:val="231F20"/>
          <w:spacing w:val="-28"/>
          <w:w w:val="105"/>
        </w:rPr>
        <w:t> </w:t>
      </w:r>
      <w:r>
        <w:rPr>
          <w:color w:val="231F20"/>
          <w:w w:val="105"/>
        </w:rPr>
        <w:t>duran- te</w:t>
      </w:r>
      <w:r>
        <w:rPr>
          <w:color w:val="231F20"/>
          <w:spacing w:val="-15"/>
          <w:w w:val="105"/>
        </w:rPr>
        <w:t> </w:t>
      </w:r>
      <w:r>
        <w:rPr>
          <w:color w:val="231F20"/>
          <w:w w:val="105"/>
        </w:rPr>
        <w:t>los</w:t>
      </w:r>
      <w:r>
        <w:rPr>
          <w:color w:val="231F20"/>
          <w:spacing w:val="-15"/>
          <w:w w:val="105"/>
        </w:rPr>
        <w:t> </w:t>
      </w:r>
      <w:r>
        <w:rPr>
          <w:color w:val="231F20"/>
          <w:w w:val="105"/>
        </w:rPr>
        <w:t>ires</w:t>
      </w:r>
      <w:r>
        <w:rPr>
          <w:color w:val="231F20"/>
          <w:spacing w:val="-15"/>
          <w:w w:val="105"/>
        </w:rPr>
        <w:t> </w:t>
      </w:r>
      <w:r>
        <w:rPr>
          <w:color w:val="231F20"/>
          <w:w w:val="105"/>
        </w:rPr>
        <w:t>y</w:t>
      </w:r>
      <w:r>
        <w:rPr>
          <w:color w:val="231F20"/>
          <w:spacing w:val="-15"/>
          <w:w w:val="105"/>
        </w:rPr>
        <w:t> </w:t>
      </w:r>
      <w:r>
        <w:rPr>
          <w:color w:val="231F20"/>
          <w:w w:val="105"/>
        </w:rPr>
        <w:t>venires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hombres</w:t>
      </w:r>
      <w:r>
        <w:rPr>
          <w:color w:val="231F20"/>
          <w:spacing w:val="-15"/>
          <w:w w:val="105"/>
        </w:rPr>
        <w:t> </w:t>
      </w:r>
      <w:r>
        <w:rPr>
          <w:color w:val="231F20"/>
          <w:w w:val="105"/>
        </w:rPr>
        <w:t>al</w:t>
      </w:r>
      <w:r>
        <w:rPr>
          <w:color w:val="231F20"/>
          <w:spacing w:val="-15"/>
          <w:w w:val="105"/>
        </w:rPr>
        <w:t> </w:t>
      </w:r>
      <w:r>
        <w:rPr>
          <w:color w:val="231F20"/>
          <w:w w:val="105"/>
        </w:rPr>
        <w:t>norte.</w:t>
      </w:r>
    </w:p>
    <w:p>
      <w:pPr>
        <w:pStyle w:val="BodyText"/>
        <w:spacing w:line="261" w:lineRule="auto" w:before="1"/>
        <w:ind w:left="1723" w:right="1829" w:firstLine="567"/>
        <w:jc w:val="both"/>
      </w:pPr>
      <w:r>
        <w:rPr>
          <w:color w:val="231F20"/>
          <w:w w:val="105"/>
        </w:rPr>
        <w:t>El</w:t>
      </w:r>
      <w:r>
        <w:rPr>
          <w:color w:val="231F20"/>
          <w:spacing w:val="-24"/>
          <w:w w:val="105"/>
        </w:rPr>
        <w:t> </w:t>
      </w:r>
      <w:r>
        <w:rPr>
          <w:color w:val="231F20"/>
          <w:w w:val="105"/>
        </w:rPr>
        <w:t>entorno</w:t>
      </w:r>
      <w:r>
        <w:rPr>
          <w:color w:val="231F20"/>
          <w:spacing w:val="-24"/>
          <w:w w:val="105"/>
        </w:rPr>
        <w:t> </w:t>
      </w:r>
      <w:r>
        <w:rPr>
          <w:color w:val="231F20"/>
          <w:w w:val="105"/>
        </w:rPr>
        <w:t>social</w:t>
      </w:r>
      <w:r>
        <w:rPr>
          <w:color w:val="231F20"/>
          <w:spacing w:val="-24"/>
          <w:w w:val="105"/>
        </w:rPr>
        <w:t> </w:t>
      </w:r>
      <w:r>
        <w:rPr>
          <w:color w:val="231F20"/>
          <w:w w:val="105"/>
        </w:rPr>
        <w:t>y</w:t>
      </w:r>
      <w:r>
        <w:rPr>
          <w:color w:val="231F20"/>
          <w:spacing w:val="-24"/>
          <w:w w:val="105"/>
        </w:rPr>
        <w:t> </w:t>
      </w:r>
      <w:r>
        <w:rPr>
          <w:color w:val="231F20"/>
          <w:w w:val="105"/>
        </w:rPr>
        <w:t>de</w:t>
      </w:r>
      <w:r>
        <w:rPr>
          <w:color w:val="231F20"/>
          <w:spacing w:val="-24"/>
          <w:w w:val="105"/>
        </w:rPr>
        <w:t> </w:t>
      </w:r>
      <w:r>
        <w:rPr>
          <w:color w:val="231F20"/>
          <w:w w:val="105"/>
        </w:rPr>
        <w:t>residencia,</w:t>
      </w:r>
      <w:r>
        <w:rPr>
          <w:color w:val="231F20"/>
          <w:spacing w:val="-29"/>
          <w:w w:val="105"/>
        </w:rPr>
        <w:t> </w:t>
      </w:r>
      <w:r>
        <w:rPr>
          <w:color w:val="231F20"/>
          <w:w w:val="105"/>
        </w:rPr>
        <w:t>lugares</w:t>
      </w:r>
      <w:r>
        <w:rPr>
          <w:color w:val="231F20"/>
          <w:spacing w:val="-24"/>
          <w:w w:val="105"/>
        </w:rPr>
        <w:t> </w:t>
      </w:r>
      <w:r>
        <w:rPr>
          <w:color w:val="231F20"/>
          <w:w w:val="105"/>
        </w:rPr>
        <w:t>de</w:t>
      </w:r>
      <w:r>
        <w:rPr>
          <w:color w:val="231F20"/>
          <w:spacing w:val="-24"/>
          <w:w w:val="105"/>
        </w:rPr>
        <w:t> </w:t>
      </w:r>
      <w:r>
        <w:rPr>
          <w:color w:val="231F20"/>
          <w:w w:val="105"/>
        </w:rPr>
        <w:t>trabajo,</w:t>
      </w:r>
      <w:r>
        <w:rPr>
          <w:color w:val="231F20"/>
          <w:spacing w:val="-29"/>
          <w:w w:val="105"/>
        </w:rPr>
        <w:t> </w:t>
      </w:r>
      <w:r>
        <w:rPr>
          <w:color w:val="231F20"/>
          <w:w w:val="105"/>
        </w:rPr>
        <w:t>de</w:t>
      </w:r>
      <w:r>
        <w:rPr>
          <w:color w:val="231F20"/>
          <w:spacing w:val="-24"/>
          <w:w w:val="105"/>
        </w:rPr>
        <w:t> </w:t>
      </w:r>
      <w:r>
        <w:rPr>
          <w:color w:val="231F20"/>
          <w:w w:val="105"/>
        </w:rPr>
        <w:t>distracción, las</w:t>
      </w:r>
      <w:r>
        <w:rPr>
          <w:color w:val="231F20"/>
          <w:spacing w:val="-11"/>
          <w:w w:val="105"/>
        </w:rPr>
        <w:t> </w:t>
      </w:r>
      <w:r>
        <w:rPr>
          <w:color w:val="231F20"/>
          <w:w w:val="105"/>
        </w:rPr>
        <w:t>relaciones</w:t>
      </w:r>
      <w:r>
        <w:rPr>
          <w:color w:val="231F20"/>
          <w:spacing w:val="-11"/>
          <w:w w:val="105"/>
        </w:rPr>
        <w:t> </w:t>
      </w:r>
      <w:r>
        <w:rPr>
          <w:color w:val="231F20"/>
          <w:w w:val="105"/>
        </w:rPr>
        <w:t>amistosas</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confianza,</w:t>
      </w:r>
      <w:r>
        <w:rPr>
          <w:color w:val="231F20"/>
          <w:spacing w:val="-16"/>
          <w:w w:val="105"/>
        </w:rPr>
        <w:t> </w:t>
      </w:r>
      <w:r>
        <w:rPr>
          <w:color w:val="231F20"/>
          <w:w w:val="105"/>
        </w:rPr>
        <w:t>componen</w:t>
      </w:r>
      <w:r>
        <w:rPr>
          <w:color w:val="231F20"/>
          <w:spacing w:val="-11"/>
          <w:w w:val="105"/>
        </w:rPr>
        <w:t> </w:t>
      </w:r>
      <w:r>
        <w:rPr>
          <w:color w:val="231F20"/>
          <w:w w:val="105"/>
        </w:rPr>
        <w:t>cada</w:t>
      </w:r>
      <w:r>
        <w:rPr>
          <w:color w:val="231F20"/>
          <w:spacing w:val="-11"/>
          <w:w w:val="105"/>
        </w:rPr>
        <w:t> </w:t>
      </w:r>
      <w:r>
        <w:rPr>
          <w:color w:val="231F20"/>
          <w:w w:val="105"/>
        </w:rPr>
        <w:t>universo</w:t>
      </w:r>
      <w:r>
        <w:rPr>
          <w:color w:val="231F20"/>
          <w:spacing w:val="-11"/>
          <w:w w:val="105"/>
        </w:rPr>
        <w:t> </w:t>
      </w:r>
      <w:r>
        <w:rPr>
          <w:color w:val="231F20"/>
          <w:w w:val="105"/>
        </w:rPr>
        <w:t>emo- cional. Dichos componentes funcionan en sentido dual para las</w:t>
      </w:r>
      <w:r>
        <w:rPr>
          <w:color w:val="231F20"/>
          <w:spacing w:val="-34"/>
          <w:w w:val="105"/>
        </w:rPr>
        <w:t> </w:t>
      </w:r>
      <w:r>
        <w:rPr>
          <w:color w:val="231F20"/>
          <w:w w:val="105"/>
        </w:rPr>
        <w:t>relacio- nes</w:t>
      </w:r>
      <w:r>
        <w:rPr>
          <w:color w:val="231F20"/>
          <w:spacing w:val="-31"/>
          <w:w w:val="105"/>
        </w:rPr>
        <w:t> </w:t>
      </w:r>
      <w:r>
        <w:rPr>
          <w:color w:val="231F20"/>
          <w:w w:val="105"/>
        </w:rPr>
        <w:t>afectivas</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w w:val="105"/>
        </w:rPr>
        <w:t>parejas:</w:t>
      </w:r>
      <w:r>
        <w:rPr>
          <w:color w:val="231F20"/>
          <w:spacing w:val="-31"/>
          <w:w w:val="105"/>
        </w:rPr>
        <w:t> </w:t>
      </w:r>
      <w:r>
        <w:rPr>
          <w:color w:val="231F20"/>
          <w:w w:val="105"/>
        </w:rPr>
        <w:t>reprimirlas</w:t>
      </w:r>
      <w:r>
        <w:rPr>
          <w:color w:val="231F20"/>
          <w:spacing w:val="-31"/>
          <w:w w:val="105"/>
        </w:rPr>
        <w:t> </w:t>
      </w:r>
      <w:r>
        <w:rPr>
          <w:color w:val="231F20"/>
          <w:w w:val="105"/>
        </w:rPr>
        <w:t>o</w:t>
      </w:r>
      <w:r>
        <w:rPr>
          <w:color w:val="231F20"/>
          <w:spacing w:val="-31"/>
          <w:w w:val="105"/>
        </w:rPr>
        <w:t> </w:t>
      </w:r>
      <w:r>
        <w:rPr>
          <w:color w:val="231F20"/>
          <w:w w:val="105"/>
        </w:rPr>
        <w:t>exaltarlas.</w:t>
      </w:r>
    </w:p>
    <w:p>
      <w:pPr>
        <w:pStyle w:val="BodyText"/>
        <w:rPr>
          <w:sz w:val="20"/>
        </w:rPr>
      </w:pPr>
    </w:p>
    <w:p>
      <w:pPr>
        <w:pStyle w:val="BodyText"/>
        <w:spacing w:before="9"/>
        <w:rPr>
          <w:sz w:val="20"/>
        </w:rPr>
      </w:pPr>
    </w:p>
    <w:p>
      <w:pPr>
        <w:pStyle w:val="Heading3"/>
        <w:ind w:left="1723"/>
      </w:pPr>
      <w:r>
        <w:rPr>
          <w:color w:val="231F20"/>
        </w:rPr>
        <w:t>La emoción de la migración o la emoción en la migración</w:t>
      </w:r>
    </w:p>
    <w:p>
      <w:pPr>
        <w:pStyle w:val="BodyText"/>
        <w:rPr>
          <w:rFonts w:ascii="Arial"/>
          <w:b/>
          <w:sz w:val="22"/>
        </w:rPr>
      </w:pPr>
    </w:p>
    <w:p>
      <w:pPr>
        <w:pStyle w:val="BodyText"/>
        <w:spacing w:line="261" w:lineRule="auto" w:before="163"/>
        <w:ind w:left="1723" w:right="1828"/>
        <w:jc w:val="right"/>
      </w:pPr>
      <w:r>
        <w:rPr>
          <w:color w:val="231F20"/>
          <w:spacing w:val="-6"/>
          <w:w w:val="105"/>
        </w:rPr>
        <w:t>Por</w:t>
      </w:r>
      <w:r>
        <w:rPr>
          <w:color w:val="231F20"/>
          <w:spacing w:val="-16"/>
          <w:w w:val="105"/>
        </w:rPr>
        <w:t> </w:t>
      </w:r>
      <w:r>
        <w:rPr>
          <w:color w:val="231F20"/>
          <w:w w:val="105"/>
        </w:rPr>
        <w:t>sus</w:t>
      </w:r>
      <w:r>
        <w:rPr>
          <w:color w:val="231F20"/>
          <w:spacing w:val="-16"/>
          <w:w w:val="105"/>
        </w:rPr>
        <w:t> </w:t>
      </w:r>
      <w:r>
        <w:rPr>
          <w:color w:val="231F20"/>
          <w:w w:val="105"/>
        </w:rPr>
        <w:t>distintas</w:t>
      </w:r>
      <w:r>
        <w:rPr>
          <w:color w:val="231F20"/>
          <w:spacing w:val="-16"/>
          <w:w w:val="105"/>
        </w:rPr>
        <w:t> </w:t>
      </w:r>
      <w:r>
        <w:rPr>
          <w:color w:val="231F20"/>
          <w:w w:val="105"/>
        </w:rPr>
        <w:t>connotaciones,</w:t>
      </w:r>
      <w:r>
        <w:rPr>
          <w:color w:val="231F20"/>
          <w:spacing w:val="-21"/>
          <w:w w:val="105"/>
        </w:rPr>
        <w:t> </w:t>
      </w:r>
      <w:r>
        <w:rPr>
          <w:color w:val="231F20"/>
          <w:w w:val="105"/>
        </w:rPr>
        <w:t>proponemos</w:t>
      </w:r>
      <w:r>
        <w:rPr>
          <w:color w:val="231F20"/>
          <w:spacing w:val="-16"/>
          <w:w w:val="105"/>
        </w:rPr>
        <w:t> </w:t>
      </w:r>
      <w:r>
        <w:rPr>
          <w:color w:val="231F20"/>
          <w:w w:val="105"/>
        </w:rPr>
        <w:t>dos</w:t>
      </w:r>
      <w:r>
        <w:rPr>
          <w:color w:val="231F20"/>
          <w:spacing w:val="-16"/>
          <w:w w:val="105"/>
        </w:rPr>
        <w:t> </w:t>
      </w:r>
      <w:r>
        <w:rPr>
          <w:color w:val="231F20"/>
          <w:w w:val="105"/>
        </w:rPr>
        <w:t>modos</w:t>
      </w:r>
      <w:r>
        <w:rPr>
          <w:color w:val="231F20"/>
          <w:spacing w:val="-16"/>
          <w:w w:val="105"/>
        </w:rPr>
        <w:t> </w:t>
      </w:r>
      <w:r>
        <w:rPr>
          <w:color w:val="231F20"/>
          <w:w w:val="105"/>
        </w:rPr>
        <w:t>de</w:t>
      </w:r>
      <w:r>
        <w:rPr>
          <w:color w:val="231F20"/>
          <w:spacing w:val="-16"/>
          <w:w w:val="105"/>
        </w:rPr>
        <w:t> </w:t>
      </w:r>
      <w:r>
        <w:rPr>
          <w:color w:val="231F20"/>
          <w:w w:val="105"/>
        </w:rPr>
        <w:t>narrar</w:t>
      </w:r>
      <w:r>
        <w:rPr>
          <w:color w:val="231F20"/>
          <w:spacing w:val="-16"/>
          <w:w w:val="105"/>
        </w:rPr>
        <w:t> </w:t>
      </w:r>
      <w:r>
        <w:rPr>
          <w:color w:val="231F20"/>
          <w:w w:val="105"/>
        </w:rPr>
        <w:t>la</w:t>
      </w:r>
      <w:r>
        <w:rPr>
          <w:color w:val="231F20"/>
          <w:spacing w:val="-16"/>
          <w:w w:val="105"/>
        </w:rPr>
        <w:t> </w:t>
      </w:r>
      <w:r>
        <w:rPr>
          <w:color w:val="231F20"/>
          <w:w w:val="105"/>
        </w:rPr>
        <w:t>re-</w:t>
      </w:r>
      <w:r>
        <w:rPr>
          <w:color w:val="231F20"/>
          <w:w w:val="96"/>
        </w:rPr>
        <w:t> </w:t>
      </w:r>
      <w:r>
        <w:rPr>
          <w:color w:val="231F20"/>
          <w:w w:val="105"/>
        </w:rPr>
        <w:t>lación</w:t>
      </w:r>
      <w:r>
        <w:rPr>
          <w:color w:val="231F20"/>
          <w:spacing w:val="-20"/>
          <w:w w:val="105"/>
        </w:rPr>
        <w:t> </w:t>
      </w:r>
      <w:r>
        <w:rPr>
          <w:color w:val="231F20"/>
          <w:w w:val="105"/>
        </w:rPr>
        <w:t>migración-</w:t>
      </w:r>
      <w:r>
        <w:rPr>
          <w:color w:val="231F20"/>
          <w:spacing w:val="-20"/>
          <w:w w:val="105"/>
        </w:rPr>
        <w:t> </w:t>
      </w:r>
      <w:r>
        <w:rPr>
          <w:color w:val="231F20"/>
          <w:w w:val="105"/>
        </w:rPr>
        <w:t>emociones:</w:t>
      </w:r>
      <w:r>
        <w:rPr>
          <w:color w:val="231F20"/>
          <w:spacing w:val="-20"/>
          <w:w w:val="105"/>
        </w:rPr>
        <w:t> </w:t>
      </w:r>
      <w:r>
        <w:rPr>
          <w:color w:val="231F20"/>
          <w:w w:val="105"/>
        </w:rPr>
        <w:t>migración</w:t>
      </w:r>
      <w:r>
        <w:rPr>
          <w:color w:val="231F20"/>
          <w:spacing w:val="-20"/>
          <w:w w:val="105"/>
        </w:rPr>
        <w:t> </w:t>
      </w:r>
      <w:r>
        <w:rPr>
          <w:color w:val="231F20"/>
          <w:w w:val="105"/>
        </w:rPr>
        <w:t>con</w:t>
      </w:r>
      <w:r>
        <w:rPr>
          <w:color w:val="231F20"/>
          <w:spacing w:val="-20"/>
          <w:w w:val="105"/>
        </w:rPr>
        <w:t> </w:t>
      </w:r>
      <w:r>
        <w:rPr>
          <w:color w:val="231F20"/>
          <w:w w:val="105"/>
        </w:rPr>
        <w:t>emociones,</w:t>
      </w:r>
      <w:r>
        <w:rPr>
          <w:color w:val="231F20"/>
          <w:spacing w:val="-25"/>
          <w:w w:val="105"/>
        </w:rPr>
        <w:t> </w:t>
      </w:r>
      <w:r>
        <w:rPr>
          <w:color w:val="231F20"/>
          <w:w w:val="105"/>
        </w:rPr>
        <w:t>y</w:t>
      </w:r>
      <w:r>
        <w:rPr>
          <w:color w:val="231F20"/>
          <w:spacing w:val="-20"/>
          <w:w w:val="105"/>
        </w:rPr>
        <w:t> </w:t>
      </w:r>
      <w:r>
        <w:rPr>
          <w:color w:val="231F20"/>
          <w:w w:val="105"/>
        </w:rPr>
        <w:t>emociones</w:t>
      </w:r>
      <w:r>
        <w:rPr>
          <w:color w:val="231F20"/>
          <w:spacing w:val="-20"/>
          <w:w w:val="105"/>
        </w:rPr>
        <w:t> </w:t>
      </w:r>
      <w:r>
        <w:rPr>
          <w:color w:val="231F20"/>
          <w:w w:val="105"/>
        </w:rPr>
        <w:t>en</w:t>
      </w:r>
      <w:r>
        <w:rPr>
          <w:color w:val="231F20"/>
          <w:w w:val="103"/>
        </w:rPr>
        <w:t> </w:t>
      </w:r>
      <w:r>
        <w:rPr>
          <w:color w:val="231F20"/>
          <w:w w:val="105"/>
        </w:rPr>
        <w:t>la</w:t>
      </w:r>
      <w:r>
        <w:rPr>
          <w:color w:val="231F20"/>
          <w:spacing w:val="-13"/>
          <w:w w:val="105"/>
        </w:rPr>
        <w:t> </w:t>
      </w:r>
      <w:r>
        <w:rPr>
          <w:color w:val="231F20"/>
          <w:w w:val="105"/>
        </w:rPr>
        <w:t>migración,</w:t>
      </w:r>
      <w:r>
        <w:rPr>
          <w:color w:val="231F20"/>
          <w:spacing w:val="-18"/>
          <w:w w:val="105"/>
        </w:rPr>
        <w:t> </w:t>
      </w:r>
      <w:r>
        <w:rPr>
          <w:color w:val="231F20"/>
          <w:w w:val="105"/>
        </w:rPr>
        <w:t>ambas</w:t>
      </w:r>
      <w:r>
        <w:rPr>
          <w:color w:val="231F20"/>
          <w:spacing w:val="-13"/>
          <w:w w:val="105"/>
        </w:rPr>
        <w:t> </w:t>
      </w:r>
      <w:r>
        <w:rPr>
          <w:color w:val="231F20"/>
          <w:w w:val="105"/>
        </w:rPr>
        <w:t>parecen</w:t>
      </w:r>
      <w:r>
        <w:rPr>
          <w:color w:val="231F20"/>
          <w:spacing w:val="-13"/>
          <w:w w:val="105"/>
        </w:rPr>
        <w:t> </w:t>
      </w:r>
      <w:r>
        <w:rPr>
          <w:color w:val="231F20"/>
          <w:w w:val="105"/>
        </w:rPr>
        <w:t>sinónimos,</w:t>
      </w:r>
      <w:r>
        <w:rPr>
          <w:color w:val="231F20"/>
          <w:spacing w:val="-18"/>
          <w:w w:val="105"/>
        </w:rPr>
        <w:t> </w:t>
      </w:r>
      <w:r>
        <w:rPr>
          <w:color w:val="231F20"/>
          <w:w w:val="105"/>
        </w:rPr>
        <w:t>sin</w:t>
      </w:r>
      <w:r>
        <w:rPr>
          <w:color w:val="231F20"/>
          <w:spacing w:val="-13"/>
          <w:w w:val="105"/>
        </w:rPr>
        <w:t> </w:t>
      </w:r>
      <w:r>
        <w:rPr>
          <w:color w:val="231F20"/>
          <w:w w:val="105"/>
        </w:rPr>
        <w:t>que</w:t>
      </w:r>
      <w:r>
        <w:rPr>
          <w:color w:val="231F20"/>
          <w:spacing w:val="-13"/>
          <w:w w:val="105"/>
        </w:rPr>
        <w:t> </w:t>
      </w:r>
      <w:r>
        <w:rPr>
          <w:color w:val="231F20"/>
          <w:w w:val="105"/>
        </w:rPr>
        <w:t>ello</w:t>
      </w:r>
      <w:r>
        <w:rPr>
          <w:color w:val="231F20"/>
          <w:spacing w:val="-13"/>
          <w:w w:val="105"/>
        </w:rPr>
        <w:t> </w:t>
      </w:r>
      <w:r>
        <w:rPr>
          <w:color w:val="231F20"/>
          <w:w w:val="105"/>
        </w:rPr>
        <w:t>sea</w:t>
      </w:r>
      <w:r>
        <w:rPr>
          <w:color w:val="231F20"/>
          <w:spacing w:val="-13"/>
          <w:w w:val="105"/>
        </w:rPr>
        <w:t> </w:t>
      </w:r>
      <w:r>
        <w:rPr>
          <w:color w:val="231F20"/>
          <w:w w:val="105"/>
        </w:rPr>
        <w:t>así,</w:t>
      </w:r>
      <w:r>
        <w:rPr>
          <w:color w:val="231F20"/>
          <w:spacing w:val="-18"/>
          <w:w w:val="105"/>
        </w:rPr>
        <w:t> </w:t>
      </w:r>
      <w:r>
        <w:rPr>
          <w:color w:val="231F20"/>
          <w:w w:val="105"/>
        </w:rPr>
        <w:t>ambas</w:t>
      </w:r>
      <w:r>
        <w:rPr>
          <w:color w:val="231F20"/>
          <w:spacing w:val="-13"/>
          <w:w w:val="105"/>
        </w:rPr>
        <w:t> </w:t>
      </w:r>
      <w:r>
        <w:rPr>
          <w:color w:val="231F20"/>
          <w:w w:val="105"/>
        </w:rPr>
        <w:t>son</w:t>
      </w:r>
      <w:r>
        <w:rPr>
          <w:color w:val="231F20"/>
          <w:w w:val="101"/>
        </w:rPr>
        <w:t> </w:t>
      </w:r>
      <w:r>
        <w:rPr>
          <w:color w:val="231F20"/>
          <w:w w:val="105"/>
        </w:rPr>
        <w:t>prácticas que se determinan mutuamente. La primera exige</w:t>
      </w:r>
      <w:r>
        <w:rPr>
          <w:color w:val="231F20"/>
          <w:spacing w:val="11"/>
          <w:w w:val="105"/>
        </w:rPr>
        <w:t> </w:t>
      </w:r>
      <w:r>
        <w:rPr>
          <w:color w:val="231F20"/>
          <w:w w:val="105"/>
        </w:rPr>
        <w:t>como</w:t>
      </w:r>
      <w:r>
        <w:rPr>
          <w:color w:val="231F20"/>
          <w:spacing w:val="2"/>
          <w:w w:val="105"/>
        </w:rPr>
        <w:t> </w:t>
      </w:r>
      <w:r>
        <w:rPr>
          <w:color w:val="231F20"/>
          <w:w w:val="105"/>
        </w:rPr>
        <w:t>con-</w:t>
      </w:r>
      <w:r>
        <w:rPr>
          <w:color w:val="231F20"/>
          <w:w w:val="96"/>
        </w:rPr>
        <w:t> </w:t>
      </w:r>
      <w:r>
        <w:rPr>
          <w:color w:val="231F20"/>
          <w:w w:val="105"/>
        </w:rPr>
        <w:t>dición la existencia de la migración, para hacer emanar o</w:t>
      </w:r>
      <w:r>
        <w:rPr>
          <w:color w:val="231F20"/>
          <w:spacing w:val="-1"/>
          <w:w w:val="105"/>
        </w:rPr>
        <w:t> </w:t>
      </w:r>
      <w:r>
        <w:rPr>
          <w:color w:val="231F20"/>
          <w:w w:val="105"/>
        </w:rPr>
        <w:t>dejar florecer</w:t>
      </w:r>
      <w:r>
        <w:rPr>
          <w:color w:val="231F20"/>
          <w:w w:val="103"/>
        </w:rPr>
        <w:t> </w:t>
      </w:r>
      <w:r>
        <w:rPr>
          <w:color w:val="231F20"/>
          <w:w w:val="105"/>
        </w:rPr>
        <w:t>el</w:t>
      </w:r>
      <w:r>
        <w:rPr>
          <w:color w:val="231F20"/>
          <w:spacing w:val="-13"/>
          <w:w w:val="105"/>
        </w:rPr>
        <w:t> </w:t>
      </w:r>
      <w:r>
        <w:rPr>
          <w:color w:val="231F20"/>
          <w:w w:val="105"/>
        </w:rPr>
        <w:t>complejo</w:t>
      </w:r>
      <w:r>
        <w:rPr>
          <w:color w:val="231F20"/>
          <w:spacing w:val="-13"/>
          <w:w w:val="105"/>
        </w:rPr>
        <w:t> </w:t>
      </w:r>
      <w:r>
        <w:rPr>
          <w:color w:val="231F20"/>
          <w:w w:val="105"/>
        </w:rPr>
        <w:t>de</w:t>
      </w:r>
      <w:r>
        <w:rPr>
          <w:color w:val="231F20"/>
          <w:spacing w:val="-13"/>
          <w:w w:val="105"/>
        </w:rPr>
        <w:t> </w:t>
      </w:r>
      <w:r>
        <w:rPr>
          <w:color w:val="231F20"/>
          <w:w w:val="105"/>
        </w:rPr>
        <w:t>emociones.</w:t>
      </w:r>
      <w:r>
        <w:rPr>
          <w:color w:val="231F20"/>
          <w:spacing w:val="-19"/>
          <w:w w:val="105"/>
        </w:rPr>
        <w:t> </w:t>
      </w:r>
      <w:r>
        <w:rPr>
          <w:color w:val="231F20"/>
          <w:spacing w:val="-6"/>
          <w:w w:val="105"/>
        </w:rPr>
        <w:t>Por</w:t>
      </w:r>
      <w:r>
        <w:rPr>
          <w:color w:val="231F20"/>
          <w:spacing w:val="-13"/>
          <w:w w:val="105"/>
        </w:rPr>
        <w:t> </w:t>
      </w:r>
      <w:r>
        <w:rPr>
          <w:color w:val="231F20"/>
          <w:w w:val="105"/>
        </w:rPr>
        <w:t>mucho,</w:t>
      </w:r>
      <w:r>
        <w:rPr>
          <w:color w:val="231F20"/>
          <w:spacing w:val="-19"/>
          <w:w w:val="105"/>
        </w:rPr>
        <w:t> </w:t>
      </w:r>
      <w:r>
        <w:rPr>
          <w:color w:val="231F20"/>
          <w:w w:val="105"/>
        </w:rPr>
        <w:t>la</w:t>
      </w:r>
      <w:r>
        <w:rPr>
          <w:color w:val="231F20"/>
          <w:spacing w:val="-13"/>
          <w:w w:val="105"/>
        </w:rPr>
        <w:t> </w:t>
      </w:r>
      <w:r>
        <w:rPr>
          <w:color w:val="231F20"/>
          <w:w w:val="105"/>
        </w:rPr>
        <w:t>migración</w:t>
      </w:r>
      <w:r>
        <w:rPr>
          <w:color w:val="231F20"/>
          <w:spacing w:val="-13"/>
          <w:w w:val="105"/>
        </w:rPr>
        <w:t> </w:t>
      </w:r>
      <w:r>
        <w:rPr>
          <w:color w:val="231F20"/>
          <w:w w:val="105"/>
        </w:rPr>
        <w:t>se</w:t>
      </w:r>
      <w:r>
        <w:rPr>
          <w:color w:val="231F20"/>
          <w:spacing w:val="-13"/>
          <w:w w:val="105"/>
        </w:rPr>
        <w:t> </w:t>
      </w:r>
      <w:r>
        <w:rPr>
          <w:color w:val="231F20"/>
          <w:w w:val="105"/>
        </w:rPr>
        <w:t>pone</w:t>
      </w:r>
      <w:r>
        <w:rPr>
          <w:color w:val="231F20"/>
          <w:spacing w:val="-13"/>
          <w:w w:val="105"/>
        </w:rPr>
        <w:t> </w:t>
      </w:r>
      <w:r>
        <w:rPr>
          <w:color w:val="231F20"/>
          <w:w w:val="105"/>
        </w:rPr>
        <w:t>como</w:t>
      </w:r>
      <w:r>
        <w:rPr>
          <w:color w:val="231F20"/>
          <w:spacing w:val="-13"/>
          <w:w w:val="105"/>
        </w:rPr>
        <w:t> </w:t>
      </w:r>
      <w:r>
        <w:rPr>
          <w:color w:val="231F20"/>
          <w:w w:val="105"/>
        </w:rPr>
        <w:t>esce-</w:t>
      </w:r>
      <w:r>
        <w:rPr>
          <w:color w:val="231F20"/>
          <w:w w:val="96"/>
        </w:rPr>
        <w:t> </w:t>
      </w:r>
      <w:r>
        <w:rPr>
          <w:color w:val="231F20"/>
          <w:w w:val="105"/>
        </w:rPr>
        <w:t>nario</w:t>
      </w:r>
      <w:r>
        <w:rPr>
          <w:color w:val="231F20"/>
          <w:spacing w:val="-8"/>
          <w:w w:val="105"/>
        </w:rPr>
        <w:t> </w:t>
      </w:r>
      <w:r>
        <w:rPr>
          <w:color w:val="231F20"/>
          <w:w w:val="105"/>
        </w:rPr>
        <w:t>para</w:t>
      </w:r>
      <w:r>
        <w:rPr>
          <w:color w:val="231F20"/>
          <w:spacing w:val="-8"/>
          <w:w w:val="105"/>
        </w:rPr>
        <w:t> </w:t>
      </w:r>
      <w:r>
        <w:rPr>
          <w:color w:val="231F20"/>
          <w:w w:val="105"/>
        </w:rPr>
        <w:t>lanzarse</w:t>
      </w:r>
      <w:r>
        <w:rPr>
          <w:color w:val="231F20"/>
          <w:spacing w:val="-8"/>
          <w:w w:val="105"/>
        </w:rPr>
        <w:t> </w:t>
      </w:r>
      <w:r>
        <w:rPr>
          <w:color w:val="231F20"/>
          <w:w w:val="105"/>
        </w:rPr>
        <w:t>y</w:t>
      </w:r>
      <w:r>
        <w:rPr>
          <w:color w:val="231F20"/>
          <w:spacing w:val="-8"/>
          <w:w w:val="105"/>
        </w:rPr>
        <w:t> </w:t>
      </w:r>
      <w:r>
        <w:rPr>
          <w:color w:val="231F20"/>
          <w:w w:val="105"/>
        </w:rPr>
        <w:t>dejar</w:t>
      </w:r>
      <w:r>
        <w:rPr>
          <w:color w:val="231F20"/>
          <w:spacing w:val="-8"/>
          <w:w w:val="105"/>
        </w:rPr>
        <w:t> </w:t>
      </w:r>
      <w:r>
        <w:rPr>
          <w:color w:val="231F20"/>
          <w:w w:val="105"/>
        </w:rPr>
        <w:t>que</w:t>
      </w:r>
      <w:r>
        <w:rPr>
          <w:color w:val="231F20"/>
          <w:spacing w:val="-8"/>
          <w:w w:val="105"/>
        </w:rPr>
        <w:t> </w:t>
      </w:r>
      <w:r>
        <w:rPr>
          <w:color w:val="231F20"/>
          <w:w w:val="105"/>
        </w:rPr>
        <w:t>todo</w:t>
      </w:r>
      <w:r>
        <w:rPr>
          <w:color w:val="231F20"/>
          <w:spacing w:val="-8"/>
          <w:w w:val="105"/>
        </w:rPr>
        <w:t> </w:t>
      </w:r>
      <w:r>
        <w:rPr>
          <w:color w:val="231F20"/>
          <w:w w:val="105"/>
        </w:rPr>
        <w:t>ocurra</w:t>
      </w:r>
      <w:r>
        <w:rPr>
          <w:color w:val="231F20"/>
          <w:spacing w:val="-8"/>
          <w:w w:val="105"/>
        </w:rPr>
        <w:t> </w:t>
      </w:r>
      <w:r>
        <w:rPr>
          <w:color w:val="231F20"/>
          <w:w w:val="105"/>
        </w:rPr>
        <w:t>y</w:t>
      </w:r>
      <w:r>
        <w:rPr>
          <w:color w:val="231F20"/>
          <w:spacing w:val="-8"/>
          <w:w w:val="105"/>
        </w:rPr>
        <w:t> </w:t>
      </w:r>
      <w:r>
        <w:rPr>
          <w:color w:val="231F20"/>
          <w:w w:val="105"/>
        </w:rPr>
        <w:t>que</w:t>
      </w:r>
      <w:r>
        <w:rPr>
          <w:color w:val="231F20"/>
          <w:spacing w:val="-8"/>
          <w:w w:val="105"/>
        </w:rPr>
        <w:t> </w:t>
      </w:r>
      <w:r>
        <w:rPr>
          <w:color w:val="231F20"/>
          <w:w w:val="105"/>
        </w:rPr>
        <w:t>todo</w:t>
      </w:r>
      <w:r>
        <w:rPr>
          <w:color w:val="231F20"/>
          <w:spacing w:val="-8"/>
          <w:w w:val="105"/>
        </w:rPr>
        <w:t> </w:t>
      </w:r>
      <w:r>
        <w:rPr>
          <w:color w:val="231F20"/>
          <w:w w:val="105"/>
        </w:rPr>
        <w:t>se</w:t>
      </w:r>
      <w:r>
        <w:rPr>
          <w:color w:val="231F20"/>
          <w:spacing w:val="-8"/>
          <w:w w:val="105"/>
        </w:rPr>
        <w:t> </w:t>
      </w:r>
      <w:r>
        <w:rPr>
          <w:color w:val="231F20"/>
          <w:w w:val="105"/>
        </w:rPr>
        <w:t>viva</w:t>
      </w:r>
      <w:r>
        <w:rPr>
          <w:color w:val="231F20"/>
          <w:spacing w:val="-8"/>
          <w:w w:val="105"/>
        </w:rPr>
        <w:t> </w:t>
      </w:r>
      <w:r>
        <w:rPr>
          <w:color w:val="231F20"/>
          <w:w w:val="105"/>
        </w:rPr>
        <w:t>dentro</w:t>
      </w:r>
      <w:r>
        <w:rPr>
          <w:color w:val="231F20"/>
          <w:spacing w:val="-8"/>
          <w:w w:val="105"/>
        </w:rPr>
        <w:t> </w:t>
      </w:r>
      <w:r>
        <w:rPr>
          <w:color w:val="231F20"/>
          <w:w w:val="105"/>
        </w:rPr>
        <w:t>de</w:t>
      </w:r>
      <w:r>
        <w:rPr>
          <w:color w:val="231F20"/>
          <w:w w:val="108"/>
        </w:rPr>
        <w:t> </w:t>
      </w:r>
      <w:r>
        <w:rPr>
          <w:color w:val="231F20"/>
          <w:w w:val="105"/>
        </w:rPr>
        <w:t>las</w:t>
      </w:r>
      <w:r>
        <w:rPr>
          <w:color w:val="231F20"/>
          <w:spacing w:val="-30"/>
          <w:w w:val="105"/>
        </w:rPr>
        <w:t> </w:t>
      </w:r>
      <w:r>
        <w:rPr>
          <w:color w:val="231F20"/>
          <w:w w:val="105"/>
        </w:rPr>
        <w:t>consecuencias</w:t>
      </w:r>
      <w:r>
        <w:rPr>
          <w:color w:val="231F20"/>
          <w:spacing w:val="-30"/>
          <w:w w:val="105"/>
        </w:rPr>
        <w:t> </w:t>
      </w:r>
      <w:r>
        <w:rPr>
          <w:color w:val="231F20"/>
          <w:w w:val="105"/>
        </w:rPr>
        <w:t>de</w:t>
      </w:r>
      <w:r>
        <w:rPr>
          <w:color w:val="231F20"/>
          <w:spacing w:val="-30"/>
          <w:w w:val="105"/>
        </w:rPr>
        <w:t> </w:t>
      </w:r>
      <w:r>
        <w:rPr>
          <w:color w:val="231F20"/>
          <w:w w:val="105"/>
        </w:rPr>
        <w:t>una</w:t>
      </w:r>
      <w:r>
        <w:rPr>
          <w:color w:val="231F20"/>
          <w:spacing w:val="-30"/>
          <w:w w:val="105"/>
        </w:rPr>
        <w:t> </w:t>
      </w:r>
      <w:r>
        <w:rPr>
          <w:color w:val="231F20"/>
          <w:w w:val="105"/>
        </w:rPr>
        <w:t>decisión</w:t>
      </w:r>
      <w:r>
        <w:rPr>
          <w:color w:val="231F20"/>
          <w:spacing w:val="-30"/>
          <w:w w:val="105"/>
        </w:rPr>
        <w:t> </w:t>
      </w:r>
      <w:r>
        <w:rPr>
          <w:color w:val="231F20"/>
          <w:w w:val="105"/>
        </w:rPr>
        <w:t>personal.</w:t>
      </w:r>
      <w:r>
        <w:rPr>
          <w:color w:val="231F20"/>
          <w:spacing w:val="-34"/>
          <w:w w:val="105"/>
        </w:rPr>
        <w:t> </w:t>
      </w:r>
      <w:r>
        <w:rPr>
          <w:color w:val="231F20"/>
          <w:w w:val="105"/>
        </w:rPr>
        <w:t>Cierto,</w:t>
      </w:r>
      <w:r>
        <w:rPr>
          <w:color w:val="231F20"/>
          <w:spacing w:val="-34"/>
          <w:w w:val="105"/>
        </w:rPr>
        <w:t> </w:t>
      </w:r>
      <w:r>
        <w:rPr>
          <w:color w:val="231F20"/>
          <w:w w:val="105"/>
        </w:rPr>
        <w:t>los</w:t>
      </w:r>
      <w:r>
        <w:rPr>
          <w:color w:val="231F20"/>
          <w:spacing w:val="-30"/>
          <w:w w:val="105"/>
        </w:rPr>
        <w:t> </w:t>
      </w:r>
      <w:r>
        <w:rPr>
          <w:color w:val="231F20"/>
          <w:w w:val="105"/>
        </w:rPr>
        <w:t>hombres</w:t>
      </w:r>
      <w:r>
        <w:rPr>
          <w:color w:val="231F20"/>
          <w:spacing w:val="-30"/>
          <w:w w:val="105"/>
        </w:rPr>
        <w:t> </w:t>
      </w:r>
      <w:r>
        <w:rPr>
          <w:color w:val="231F20"/>
          <w:w w:val="105"/>
        </w:rPr>
        <w:t>siempre</w:t>
      </w:r>
      <w:r>
        <w:rPr>
          <w:color w:val="231F20"/>
          <w:w w:val="102"/>
        </w:rPr>
        <w:t> </w:t>
      </w:r>
      <w:r>
        <w:rPr>
          <w:color w:val="231F20"/>
          <w:w w:val="105"/>
        </w:rPr>
        <w:t>están</w:t>
      </w:r>
      <w:r>
        <w:rPr>
          <w:color w:val="231F20"/>
          <w:spacing w:val="-10"/>
          <w:w w:val="105"/>
        </w:rPr>
        <w:t> </w:t>
      </w:r>
      <w:r>
        <w:rPr>
          <w:color w:val="231F20"/>
          <w:w w:val="105"/>
        </w:rPr>
        <w:t>dispuestos</w:t>
      </w:r>
      <w:r>
        <w:rPr>
          <w:color w:val="231F20"/>
          <w:spacing w:val="-10"/>
          <w:w w:val="105"/>
        </w:rPr>
        <w:t> </w:t>
      </w:r>
      <w:r>
        <w:rPr>
          <w:color w:val="231F20"/>
          <w:w w:val="105"/>
        </w:rPr>
        <w:t>a</w:t>
      </w:r>
      <w:r>
        <w:rPr>
          <w:color w:val="231F20"/>
          <w:spacing w:val="-10"/>
          <w:w w:val="105"/>
        </w:rPr>
        <w:t> </w:t>
      </w:r>
      <w:r>
        <w:rPr>
          <w:color w:val="231F20"/>
          <w:spacing w:val="-3"/>
          <w:w w:val="105"/>
        </w:rPr>
        <w:t>“probarse”,</w:t>
      </w:r>
      <w:r>
        <w:rPr>
          <w:color w:val="231F20"/>
          <w:spacing w:val="-14"/>
          <w:w w:val="105"/>
        </w:rPr>
        <w:t> </w:t>
      </w:r>
      <w:r>
        <w:rPr>
          <w:color w:val="231F20"/>
          <w:w w:val="105"/>
        </w:rPr>
        <w:t>ser</w:t>
      </w:r>
      <w:r>
        <w:rPr>
          <w:color w:val="231F20"/>
          <w:spacing w:val="-10"/>
          <w:w w:val="105"/>
        </w:rPr>
        <w:t> </w:t>
      </w:r>
      <w:r>
        <w:rPr>
          <w:color w:val="231F20"/>
          <w:w w:val="105"/>
        </w:rPr>
        <w:t>lo</w:t>
      </w:r>
      <w:r>
        <w:rPr>
          <w:color w:val="231F20"/>
          <w:spacing w:val="-10"/>
          <w:w w:val="105"/>
        </w:rPr>
        <w:t> </w:t>
      </w:r>
      <w:r>
        <w:rPr>
          <w:color w:val="231F20"/>
          <w:w w:val="105"/>
        </w:rPr>
        <w:t>más</w:t>
      </w:r>
      <w:r>
        <w:rPr>
          <w:color w:val="231F20"/>
          <w:spacing w:val="-10"/>
          <w:w w:val="105"/>
        </w:rPr>
        <w:t> </w:t>
      </w:r>
      <w:r>
        <w:rPr>
          <w:color w:val="231F20"/>
          <w:w w:val="105"/>
        </w:rPr>
        <w:t>“auténticos”</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experiencia</w:t>
      </w:r>
      <w:r>
        <w:rPr>
          <w:color w:val="231F20"/>
          <w:w w:val="103"/>
        </w:rPr>
        <w:t> </w:t>
      </w:r>
      <w:r>
        <w:rPr>
          <w:color w:val="231F20"/>
          <w:w w:val="105"/>
        </w:rPr>
        <w:t>de valentía o cobardía, es decir, van dispuestos a vivir su</w:t>
      </w:r>
      <w:r>
        <w:rPr>
          <w:color w:val="231F20"/>
          <w:spacing w:val="4"/>
          <w:w w:val="105"/>
        </w:rPr>
        <w:t> </w:t>
      </w:r>
      <w:r>
        <w:rPr>
          <w:color w:val="231F20"/>
          <w:w w:val="105"/>
        </w:rPr>
        <w:t>propia</w:t>
      </w:r>
      <w:r>
        <w:rPr>
          <w:color w:val="231F20"/>
          <w:spacing w:val="6"/>
          <w:w w:val="105"/>
        </w:rPr>
        <w:t> </w:t>
      </w:r>
      <w:r>
        <w:rPr>
          <w:color w:val="231F20"/>
          <w:w w:val="105"/>
        </w:rPr>
        <w:t>expe-</w:t>
      </w:r>
      <w:r>
        <w:rPr>
          <w:color w:val="231F20"/>
          <w:w w:val="96"/>
        </w:rPr>
        <w:t> </w:t>
      </w:r>
      <w:r>
        <w:rPr>
          <w:color w:val="231F20"/>
          <w:w w:val="105"/>
        </w:rPr>
        <w:t>riencia</w:t>
      </w:r>
      <w:r>
        <w:rPr>
          <w:color w:val="231F20"/>
          <w:spacing w:val="-20"/>
          <w:w w:val="105"/>
        </w:rPr>
        <w:t> </w:t>
      </w:r>
      <w:r>
        <w:rPr>
          <w:color w:val="231F20"/>
          <w:spacing w:val="-3"/>
          <w:w w:val="105"/>
        </w:rPr>
        <w:t>“que</w:t>
      </w:r>
      <w:r>
        <w:rPr>
          <w:color w:val="231F20"/>
          <w:spacing w:val="-20"/>
          <w:w w:val="105"/>
        </w:rPr>
        <w:t> </w:t>
      </w:r>
      <w:r>
        <w:rPr>
          <w:color w:val="231F20"/>
          <w:w w:val="105"/>
        </w:rPr>
        <w:t>nadie</w:t>
      </w:r>
      <w:r>
        <w:rPr>
          <w:color w:val="231F20"/>
          <w:spacing w:val="-20"/>
          <w:w w:val="105"/>
        </w:rPr>
        <w:t> </w:t>
      </w:r>
      <w:r>
        <w:rPr>
          <w:color w:val="231F20"/>
          <w:w w:val="105"/>
        </w:rPr>
        <w:t>les</w:t>
      </w:r>
      <w:r>
        <w:rPr>
          <w:color w:val="231F20"/>
          <w:spacing w:val="-20"/>
          <w:w w:val="105"/>
        </w:rPr>
        <w:t> </w:t>
      </w:r>
      <w:r>
        <w:rPr>
          <w:color w:val="231F20"/>
          <w:spacing w:val="-4"/>
          <w:w w:val="105"/>
        </w:rPr>
        <w:t>cuente”,</w:t>
      </w:r>
      <w:r>
        <w:rPr>
          <w:color w:val="231F20"/>
          <w:spacing w:val="-26"/>
          <w:w w:val="105"/>
        </w:rPr>
        <w:t> </w:t>
      </w:r>
      <w:r>
        <w:rPr>
          <w:color w:val="231F20"/>
          <w:w w:val="105"/>
        </w:rPr>
        <w:t>buscando</w:t>
      </w:r>
      <w:r>
        <w:rPr>
          <w:color w:val="231F20"/>
          <w:spacing w:val="-20"/>
          <w:w w:val="105"/>
        </w:rPr>
        <w:t> </w:t>
      </w:r>
      <w:r>
        <w:rPr>
          <w:color w:val="231F20"/>
          <w:w w:val="105"/>
        </w:rPr>
        <w:t>respetar</w:t>
      </w:r>
      <w:r>
        <w:rPr>
          <w:color w:val="231F20"/>
          <w:spacing w:val="-20"/>
          <w:w w:val="105"/>
        </w:rPr>
        <w:t> </w:t>
      </w:r>
      <w:r>
        <w:rPr>
          <w:color w:val="231F20"/>
          <w:w w:val="105"/>
        </w:rPr>
        <w:t>la</w:t>
      </w:r>
      <w:r>
        <w:rPr>
          <w:color w:val="231F20"/>
          <w:spacing w:val="-20"/>
          <w:w w:val="105"/>
        </w:rPr>
        <w:t> </w:t>
      </w:r>
      <w:r>
        <w:rPr>
          <w:color w:val="231F20"/>
          <w:w w:val="105"/>
        </w:rPr>
        <w:t>experiencia</w:t>
      </w:r>
      <w:r>
        <w:rPr>
          <w:color w:val="231F20"/>
          <w:spacing w:val="-20"/>
          <w:w w:val="105"/>
        </w:rPr>
        <w:t> </w:t>
      </w:r>
      <w:r>
        <w:rPr>
          <w:color w:val="231F20"/>
          <w:w w:val="105"/>
        </w:rPr>
        <w:t>de</w:t>
      </w:r>
      <w:r>
        <w:rPr>
          <w:color w:val="231F20"/>
          <w:spacing w:val="-20"/>
          <w:w w:val="105"/>
        </w:rPr>
        <w:t> </w:t>
      </w:r>
      <w:r>
        <w:rPr>
          <w:color w:val="231F20"/>
          <w:w w:val="105"/>
        </w:rPr>
        <w:t>otros.</w:t>
      </w:r>
      <w:r>
        <w:rPr>
          <w:color w:val="231F20"/>
          <w:w w:val="98"/>
        </w:rPr>
        <w:t> </w:t>
      </w:r>
      <w:r>
        <w:rPr>
          <w:color w:val="231F20"/>
          <w:w w:val="105"/>
        </w:rPr>
        <w:t>El fatalismo es sostener el argumento de no haber otra</w:t>
      </w:r>
      <w:r>
        <w:rPr>
          <w:color w:val="231F20"/>
          <w:spacing w:val="-10"/>
          <w:w w:val="105"/>
        </w:rPr>
        <w:t> </w:t>
      </w:r>
      <w:r>
        <w:rPr>
          <w:color w:val="231F20"/>
          <w:w w:val="105"/>
        </w:rPr>
        <w:t>opción</w:t>
      </w:r>
      <w:r>
        <w:rPr>
          <w:color w:val="231F20"/>
          <w:spacing w:val="-1"/>
          <w:w w:val="105"/>
        </w:rPr>
        <w:t> </w:t>
      </w:r>
      <w:r>
        <w:rPr>
          <w:color w:val="231F20"/>
          <w:w w:val="105"/>
        </w:rPr>
        <w:t>“si</w:t>
      </w:r>
      <w:r>
        <w:rPr>
          <w:color w:val="231F20"/>
          <w:w w:val="101"/>
        </w:rPr>
        <w:t> </w:t>
      </w:r>
      <w:r>
        <w:rPr>
          <w:color w:val="231F20"/>
          <w:w w:val="105"/>
        </w:rPr>
        <w:t>quieren hacer </w:t>
      </w:r>
      <w:r>
        <w:rPr>
          <w:color w:val="231F20"/>
          <w:spacing w:val="-5"/>
          <w:w w:val="105"/>
        </w:rPr>
        <w:t>algo”, </w:t>
      </w:r>
      <w:r>
        <w:rPr>
          <w:color w:val="231F20"/>
          <w:w w:val="105"/>
        </w:rPr>
        <w:t>o “para tener algo hay que </w:t>
      </w:r>
      <w:r>
        <w:rPr>
          <w:color w:val="231F20"/>
          <w:spacing w:val="-3"/>
          <w:w w:val="105"/>
        </w:rPr>
        <w:t>sufrir”. </w:t>
      </w:r>
      <w:r>
        <w:rPr>
          <w:color w:val="231F20"/>
          <w:spacing w:val="-5"/>
          <w:w w:val="105"/>
        </w:rPr>
        <w:t>Todas </w:t>
      </w:r>
      <w:r>
        <w:rPr>
          <w:color w:val="231F20"/>
          <w:w w:val="105"/>
        </w:rPr>
        <w:t>son</w:t>
      </w:r>
      <w:r>
        <w:rPr>
          <w:color w:val="231F20"/>
          <w:spacing w:val="-26"/>
          <w:w w:val="105"/>
        </w:rPr>
        <w:t> </w:t>
      </w:r>
      <w:r>
        <w:rPr>
          <w:color w:val="231F20"/>
          <w:w w:val="105"/>
        </w:rPr>
        <w:t>frases</w:t>
      </w:r>
    </w:p>
    <w:p>
      <w:pPr>
        <w:pStyle w:val="BodyText"/>
        <w:rPr>
          <w:sz w:val="20"/>
        </w:rPr>
      </w:pPr>
    </w:p>
    <w:p>
      <w:pPr>
        <w:pStyle w:val="BodyText"/>
        <w:rPr>
          <w:sz w:val="20"/>
        </w:rPr>
      </w:pPr>
    </w:p>
    <w:p>
      <w:pPr>
        <w:pStyle w:val="BodyText"/>
        <w:spacing w:before="11"/>
        <w:rPr>
          <w:sz w:val="17"/>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3272" from="131.551193pt,3.703715pt" to="131.551193pt,39.506114pt" stroked="true" strokeweight=".35pt" strokecolor="#231f20">
            <w10:wrap type="none"/>
          </v:line>
        </w:pict>
      </w:r>
      <w:r>
        <w:rPr/>
        <w:pict>
          <v:line style="position:absolute;mso-position-horizontal-relative:page;mso-position-vertical-relative:paragraph;z-index:-443200" from="15pt,39.505917pt" to="0pt,39.505917pt" stroked="true" strokeweight=".25pt" strokecolor="#000000">
            <w10:wrap type="none"/>
          </v:line>
        </w:pict>
      </w:r>
      <w:r>
        <w:rPr/>
        <w:pict>
          <v:line style="position:absolute;mso-position-horizontal-relative:page;mso-position-vertical-relative:paragraph;z-index:47008" from="508.890015pt,39.505917pt" to="523.890015pt,39.505917pt" stroked="true" strokeweight=".25pt" strokecolor="#000000">
            <w10:wrap type="none"/>
          </v:line>
        </w:pict>
      </w:r>
      <w:r>
        <w:rPr>
          <w:rFonts w:ascii="Arial" w:hAnsi="Arial"/>
          <w:color w:val="414042"/>
          <w:w w:val="105"/>
          <w:position w:val="-5"/>
          <w:sz w:val="20"/>
        </w:rPr>
        <w:t>406</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703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7056" from="15pt,-28.286539pt" to="0pt,-28.286539pt" stroked="true" strokeweight=".25pt" strokecolor="#000000">
            <w10:wrap type="none"/>
          </v:line>
        </w:pict>
      </w:r>
      <w:r>
        <w:rPr/>
        <w:pict>
          <v:line style="position:absolute;mso-position-horizontal-relative:page;mso-position-vertical-relative:paragraph;z-index:47080" from="508.890015pt,-28.286539pt" to="523.890015pt,-28.286539pt" stroked="true" strokeweight=".25pt" strokecolor="#000000">
            <w10:wrap type="none"/>
          </v:line>
        </w:pict>
      </w:r>
      <w:r>
        <w:rPr>
          <w:rFonts w:ascii="Arial"/>
          <w:color w:val="414042"/>
          <w:sz w:val="20"/>
        </w:rPr>
        <w:t>407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rPr>
        <w:t>que aceptan la vida tal y como viene, sin grandes recriminaciones a sus gobiernos y menos a sus patrones, quienes gracias ellos pueden alimen- tar a los suyos.</w:t>
      </w:r>
    </w:p>
    <w:p>
      <w:pPr>
        <w:pStyle w:val="BodyText"/>
        <w:spacing w:line="261" w:lineRule="auto" w:before="1"/>
        <w:ind w:left="1837" w:right="1717" w:firstLine="567"/>
        <w:jc w:val="both"/>
      </w:pPr>
      <w:r>
        <w:rPr>
          <w:color w:val="231F20"/>
          <w:w w:val="105"/>
        </w:rPr>
        <w:t>En</w:t>
      </w:r>
      <w:r>
        <w:rPr>
          <w:color w:val="231F20"/>
          <w:spacing w:val="-11"/>
          <w:w w:val="105"/>
        </w:rPr>
        <w:t> </w:t>
      </w:r>
      <w:r>
        <w:rPr>
          <w:color w:val="231F20"/>
          <w:spacing w:val="-3"/>
          <w:w w:val="105"/>
        </w:rPr>
        <w:t>este</w:t>
      </w:r>
      <w:r>
        <w:rPr>
          <w:color w:val="231F20"/>
          <w:spacing w:val="-11"/>
          <w:w w:val="105"/>
        </w:rPr>
        <w:t> </w:t>
      </w:r>
      <w:r>
        <w:rPr>
          <w:color w:val="231F20"/>
          <w:spacing w:val="-3"/>
          <w:w w:val="105"/>
        </w:rPr>
        <w:t>tipo</w:t>
      </w:r>
      <w:r>
        <w:rPr>
          <w:color w:val="231F20"/>
          <w:spacing w:val="-11"/>
          <w:w w:val="105"/>
        </w:rPr>
        <w:t> </w:t>
      </w:r>
      <w:r>
        <w:rPr>
          <w:color w:val="231F20"/>
          <w:w w:val="105"/>
        </w:rPr>
        <w:t>y</w:t>
      </w:r>
      <w:r>
        <w:rPr>
          <w:color w:val="231F20"/>
          <w:spacing w:val="-11"/>
          <w:w w:val="105"/>
        </w:rPr>
        <w:t> </w:t>
      </w:r>
      <w:r>
        <w:rPr>
          <w:color w:val="231F20"/>
          <w:w w:val="105"/>
        </w:rPr>
        <w:t>con</w:t>
      </w:r>
      <w:r>
        <w:rPr>
          <w:color w:val="231F20"/>
          <w:spacing w:val="-11"/>
          <w:w w:val="105"/>
        </w:rPr>
        <w:t> </w:t>
      </w:r>
      <w:r>
        <w:rPr>
          <w:color w:val="231F20"/>
          <w:spacing w:val="-3"/>
          <w:w w:val="105"/>
        </w:rPr>
        <w:t>esta</w:t>
      </w:r>
      <w:r>
        <w:rPr>
          <w:color w:val="231F20"/>
          <w:spacing w:val="-11"/>
          <w:w w:val="105"/>
        </w:rPr>
        <w:t> </w:t>
      </w:r>
      <w:r>
        <w:rPr>
          <w:color w:val="231F20"/>
          <w:spacing w:val="-3"/>
          <w:w w:val="105"/>
        </w:rPr>
        <w:t>migración,</w:t>
      </w:r>
      <w:r>
        <w:rPr>
          <w:color w:val="231F20"/>
          <w:spacing w:val="-18"/>
          <w:w w:val="105"/>
        </w:rPr>
        <w:t> </w:t>
      </w:r>
      <w:r>
        <w:rPr>
          <w:color w:val="231F20"/>
          <w:w w:val="105"/>
        </w:rPr>
        <w:t>la</w:t>
      </w:r>
      <w:r>
        <w:rPr>
          <w:color w:val="231F20"/>
          <w:spacing w:val="-11"/>
          <w:w w:val="105"/>
        </w:rPr>
        <w:t> </w:t>
      </w:r>
      <w:r>
        <w:rPr>
          <w:color w:val="231F20"/>
          <w:spacing w:val="-4"/>
          <w:w w:val="105"/>
        </w:rPr>
        <w:t>frontera</w:t>
      </w:r>
      <w:r>
        <w:rPr>
          <w:color w:val="231F20"/>
          <w:spacing w:val="-11"/>
          <w:w w:val="105"/>
        </w:rPr>
        <w:t> </w:t>
      </w:r>
      <w:r>
        <w:rPr>
          <w:color w:val="231F20"/>
          <w:spacing w:val="-4"/>
          <w:w w:val="105"/>
        </w:rPr>
        <w:t>representa</w:t>
      </w:r>
      <w:r>
        <w:rPr>
          <w:color w:val="231F20"/>
          <w:spacing w:val="-11"/>
          <w:w w:val="105"/>
        </w:rPr>
        <w:t> </w:t>
      </w:r>
      <w:r>
        <w:rPr>
          <w:color w:val="231F20"/>
          <w:w w:val="105"/>
        </w:rPr>
        <w:t>el</w:t>
      </w:r>
      <w:r>
        <w:rPr>
          <w:color w:val="231F20"/>
          <w:spacing w:val="-11"/>
          <w:w w:val="105"/>
        </w:rPr>
        <w:t> </w:t>
      </w:r>
      <w:r>
        <w:rPr>
          <w:color w:val="231F20"/>
          <w:spacing w:val="-3"/>
          <w:w w:val="105"/>
        </w:rPr>
        <w:t>portal</w:t>
      </w:r>
      <w:r>
        <w:rPr>
          <w:color w:val="231F20"/>
          <w:spacing w:val="-11"/>
          <w:w w:val="105"/>
        </w:rPr>
        <w:t> </w:t>
      </w:r>
      <w:r>
        <w:rPr>
          <w:color w:val="231F20"/>
          <w:spacing w:val="-3"/>
          <w:w w:val="105"/>
        </w:rPr>
        <w:t>de entrada </w:t>
      </w:r>
      <w:r>
        <w:rPr>
          <w:color w:val="231F20"/>
          <w:w w:val="105"/>
        </w:rPr>
        <w:t>que hay que </w:t>
      </w:r>
      <w:r>
        <w:rPr>
          <w:color w:val="231F20"/>
          <w:spacing w:val="-3"/>
          <w:w w:val="105"/>
        </w:rPr>
        <w:t>cruzar </w:t>
      </w:r>
      <w:r>
        <w:rPr>
          <w:color w:val="231F20"/>
          <w:w w:val="105"/>
        </w:rPr>
        <w:t>a </w:t>
      </w:r>
      <w:r>
        <w:rPr>
          <w:color w:val="231F20"/>
          <w:spacing w:val="-3"/>
          <w:w w:val="105"/>
        </w:rPr>
        <w:t>veces </w:t>
      </w:r>
      <w:r>
        <w:rPr>
          <w:color w:val="231F20"/>
          <w:w w:val="105"/>
        </w:rPr>
        <w:t>con </w:t>
      </w:r>
      <w:r>
        <w:rPr>
          <w:color w:val="231F20"/>
          <w:spacing w:val="-3"/>
          <w:w w:val="105"/>
        </w:rPr>
        <w:t>mucha suerte, </w:t>
      </w:r>
      <w:r>
        <w:rPr>
          <w:color w:val="231F20"/>
          <w:w w:val="105"/>
        </w:rPr>
        <w:t>a </w:t>
      </w:r>
      <w:r>
        <w:rPr>
          <w:color w:val="231F20"/>
          <w:spacing w:val="-3"/>
          <w:w w:val="105"/>
        </w:rPr>
        <w:t>veces </w:t>
      </w:r>
      <w:r>
        <w:rPr>
          <w:color w:val="231F20"/>
          <w:w w:val="105"/>
        </w:rPr>
        <w:t>con difi- </w:t>
      </w:r>
      <w:r>
        <w:rPr>
          <w:color w:val="231F20"/>
          <w:spacing w:val="-3"/>
          <w:w w:val="105"/>
        </w:rPr>
        <w:t>cultades.</w:t>
      </w:r>
      <w:r>
        <w:rPr>
          <w:color w:val="231F20"/>
          <w:spacing w:val="-17"/>
          <w:w w:val="105"/>
        </w:rPr>
        <w:t> </w:t>
      </w:r>
      <w:r>
        <w:rPr>
          <w:color w:val="231F20"/>
          <w:w w:val="105"/>
        </w:rPr>
        <w:t>A</w:t>
      </w:r>
      <w:r>
        <w:rPr>
          <w:color w:val="231F20"/>
          <w:spacing w:val="-12"/>
          <w:w w:val="105"/>
        </w:rPr>
        <w:t> </w:t>
      </w:r>
      <w:r>
        <w:rPr>
          <w:color w:val="231F20"/>
          <w:w w:val="105"/>
        </w:rPr>
        <w:t>la</w:t>
      </w:r>
      <w:r>
        <w:rPr>
          <w:color w:val="231F20"/>
          <w:spacing w:val="-8"/>
          <w:w w:val="105"/>
        </w:rPr>
        <w:t> </w:t>
      </w:r>
      <w:r>
        <w:rPr>
          <w:color w:val="231F20"/>
          <w:spacing w:val="-4"/>
          <w:w w:val="105"/>
        </w:rPr>
        <w:t>frontera</w:t>
      </w:r>
      <w:r>
        <w:rPr>
          <w:color w:val="231F20"/>
          <w:spacing w:val="-8"/>
          <w:w w:val="105"/>
        </w:rPr>
        <w:t> </w:t>
      </w:r>
      <w:r>
        <w:rPr>
          <w:color w:val="231F20"/>
          <w:w w:val="105"/>
        </w:rPr>
        <w:t>se</w:t>
      </w:r>
      <w:r>
        <w:rPr>
          <w:color w:val="231F20"/>
          <w:spacing w:val="-8"/>
          <w:w w:val="105"/>
        </w:rPr>
        <w:t> </w:t>
      </w:r>
      <w:r>
        <w:rPr>
          <w:color w:val="231F20"/>
          <w:w w:val="105"/>
        </w:rPr>
        <w:t>le</w:t>
      </w:r>
      <w:r>
        <w:rPr>
          <w:color w:val="231F20"/>
          <w:spacing w:val="-8"/>
          <w:w w:val="105"/>
        </w:rPr>
        <w:t> </w:t>
      </w:r>
      <w:r>
        <w:rPr>
          <w:color w:val="231F20"/>
          <w:spacing w:val="-3"/>
          <w:w w:val="105"/>
        </w:rPr>
        <w:t>respeta</w:t>
      </w:r>
      <w:r>
        <w:rPr>
          <w:color w:val="231F20"/>
          <w:spacing w:val="-8"/>
          <w:w w:val="105"/>
        </w:rPr>
        <w:t> </w:t>
      </w:r>
      <w:r>
        <w:rPr>
          <w:color w:val="231F20"/>
          <w:w w:val="105"/>
        </w:rPr>
        <w:t>y</w:t>
      </w:r>
      <w:r>
        <w:rPr>
          <w:color w:val="231F20"/>
          <w:spacing w:val="-8"/>
          <w:w w:val="105"/>
        </w:rPr>
        <w:t> </w:t>
      </w:r>
      <w:r>
        <w:rPr>
          <w:color w:val="231F20"/>
          <w:w w:val="105"/>
        </w:rPr>
        <w:t>se</w:t>
      </w:r>
      <w:r>
        <w:rPr>
          <w:color w:val="231F20"/>
          <w:spacing w:val="-8"/>
          <w:w w:val="105"/>
        </w:rPr>
        <w:t> </w:t>
      </w:r>
      <w:r>
        <w:rPr>
          <w:color w:val="231F20"/>
          <w:w w:val="105"/>
        </w:rPr>
        <w:t>le</w:t>
      </w:r>
      <w:r>
        <w:rPr>
          <w:color w:val="231F20"/>
          <w:spacing w:val="-8"/>
          <w:w w:val="105"/>
        </w:rPr>
        <w:t> </w:t>
      </w:r>
      <w:r>
        <w:rPr>
          <w:color w:val="231F20"/>
          <w:spacing w:val="-3"/>
          <w:w w:val="105"/>
        </w:rPr>
        <w:t>agradece</w:t>
      </w:r>
      <w:r>
        <w:rPr>
          <w:color w:val="231F20"/>
          <w:spacing w:val="-8"/>
          <w:w w:val="105"/>
        </w:rPr>
        <w:t> </w:t>
      </w:r>
      <w:r>
        <w:rPr>
          <w:color w:val="231F20"/>
          <w:spacing w:val="-3"/>
          <w:w w:val="105"/>
        </w:rPr>
        <w:t>seguir</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spacing w:val="-3"/>
          <w:w w:val="105"/>
        </w:rPr>
        <w:t>vida,</w:t>
      </w:r>
      <w:r>
        <w:rPr>
          <w:color w:val="231F20"/>
          <w:spacing w:val="-13"/>
          <w:w w:val="105"/>
        </w:rPr>
        <w:t> </w:t>
      </w:r>
      <w:r>
        <w:rPr>
          <w:color w:val="231F20"/>
          <w:spacing w:val="-3"/>
          <w:w w:val="105"/>
        </w:rPr>
        <w:t>no </w:t>
      </w:r>
      <w:r>
        <w:rPr>
          <w:color w:val="231F20"/>
          <w:w w:val="105"/>
        </w:rPr>
        <w:t>hay</w:t>
      </w:r>
      <w:r>
        <w:rPr>
          <w:color w:val="231F20"/>
          <w:spacing w:val="-26"/>
          <w:w w:val="105"/>
        </w:rPr>
        <w:t> </w:t>
      </w:r>
      <w:r>
        <w:rPr>
          <w:color w:val="231F20"/>
          <w:w w:val="105"/>
        </w:rPr>
        <w:t>que</w:t>
      </w:r>
      <w:r>
        <w:rPr>
          <w:color w:val="231F20"/>
          <w:spacing w:val="-26"/>
          <w:w w:val="105"/>
        </w:rPr>
        <w:t> </w:t>
      </w:r>
      <w:r>
        <w:rPr>
          <w:color w:val="231F20"/>
          <w:spacing w:val="-3"/>
          <w:w w:val="105"/>
        </w:rPr>
        <w:t>burlarla,</w:t>
      </w:r>
      <w:r>
        <w:rPr>
          <w:color w:val="231F20"/>
          <w:spacing w:val="-31"/>
          <w:w w:val="105"/>
        </w:rPr>
        <w:t> </w:t>
      </w:r>
      <w:r>
        <w:rPr>
          <w:color w:val="231F20"/>
          <w:spacing w:val="-3"/>
          <w:w w:val="105"/>
        </w:rPr>
        <w:t>como</w:t>
      </w:r>
      <w:r>
        <w:rPr>
          <w:color w:val="231F20"/>
          <w:spacing w:val="-26"/>
          <w:w w:val="105"/>
        </w:rPr>
        <w:t> </w:t>
      </w:r>
      <w:r>
        <w:rPr>
          <w:color w:val="231F20"/>
          <w:spacing w:val="-3"/>
          <w:w w:val="105"/>
        </w:rPr>
        <w:t>dicen</w:t>
      </w:r>
      <w:r>
        <w:rPr>
          <w:color w:val="231F20"/>
          <w:spacing w:val="-26"/>
          <w:w w:val="105"/>
        </w:rPr>
        <w:t> </w:t>
      </w:r>
      <w:r>
        <w:rPr>
          <w:color w:val="231F20"/>
          <w:spacing w:val="-3"/>
          <w:w w:val="105"/>
        </w:rPr>
        <w:t>haberlo</w:t>
      </w:r>
      <w:r>
        <w:rPr>
          <w:color w:val="231F20"/>
          <w:spacing w:val="-26"/>
          <w:w w:val="105"/>
        </w:rPr>
        <w:t> </w:t>
      </w:r>
      <w:r>
        <w:rPr>
          <w:color w:val="231F20"/>
          <w:spacing w:val="-3"/>
          <w:w w:val="105"/>
        </w:rPr>
        <w:t>hechos</w:t>
      </w:r>
      <w:r>
        <w:rPr>
          <w:color w:val="231F20"/>
          <w:spacing w:val="-26"/>
          <w:w w:val="105"/>
        </w:rPr>
        <w:t> </w:t>
      </w:r>
      <w:r>
        <w:rPr>
          <w:color w:val="231F20"/>
          <w:w w:val="105"/>
        </w:rPr>
        <w:t>sus</w:t>
      </w:r>
      <w:r>
        <w:rPr>
          <w:color w:val="231F20"/>
          <w:spacing w:val="-26"/>
          <w:w w:val="105"/>
        </w:rPr>
        <w:t> </w:t>
      </w:r>
      <w:r>
        <w:rPr>
          <w:color w:val="231F20"/>
          <w:spacing w:val="-3"/>
          <w:w w:val="105"/>
        </w:rPr>
        <w:t>antecesores,</w:t>
      </w:r>
      <w:r>
        <w:rPr>
          <w:color w:val="231F20"/>
          <w:spacing w:val="-31"/>
          <w:w w:val="105"/>
        </w:rPr>
        <w:t> </w:t>
      </w:r>
      <w:r>
        <w:rPr>
          <w:color w:val="231F20"/>
          <w:w w:val="105"/>
        </w:rPr>
        <w:t>al</w:t>
      </w:r>
      <w:r>
        <w:rPr>
          <w:color w:val="231F20"/>
          <w:spacing w:val="-26"/>
          <w:w w:val="105"/>
        </w:rPr>
        <w:t> </w:t>
      </w:r>
      <w:r>
        <w:rPr>
          <w:color w:val="231F20"/>
          <w:spacing w:val="-3"/>
          <w:w w:val="105"/>
        </w:rPr>
        <w:t>hablar</w:t>
      </w:r>
      <w:r>
        <w:rPr>
          <w:color w:val="231F20"/>
          <w:spacing w:val="-26"/>
          <w:w w:val="105"/>
        </w:rPr>
        <w:t> </w:t>
      </w:r>
      <w:r>
        <w:rPr>
          <w:color w:val="231F20"/>
          <w:spacing w:val="-3"/>
          <w:w w:val="105"/>
        </w:rPr>
        <w:t>de burlar</w:t>
      </w:r>
      <w:r>
        <w:rPr>
          <w:color w:val="231F20"/>
          <w:spacing w:val="-17"/>
          <w:w w:val="105"/>
        </w:rPr>
        <w:t> </w:t>
      </w:r>
      <w:r>
        <w:rPr>
          <w:color w:val="231F20"/>
          <w:w w:val="105"/>
        </w:rPr>
        <w:t>la</w:t>
      </w:r>
      <w:r>
        <w:rPr>
          <w:color w:val="231F20"/>
          <w:spacing w:val="-17"/>
          <w:w w:val="105"/>
        </w:rPr>
        <w:t> </w:t>
      </w:r>
      <w:r>
        <w:rPr>
          <w:color w:val="231F20"/>
          <w:spacing w:val="-3"/>
          <w:w w:val="105"/>
        </w:rPr>
        <w:t>migra</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spacing w:val="-3"/>
          <w:w w:val="105"/>
        </w:rPr>
        <w:t>setentas</w:t>
      </w:r>
      <w:r>
        <w:rPr>
          <w:color w:val="231F20"/>
          <w:spacing w:val="-17"/>
          <w:w w:val="105"/>
        </w:rPr>
        <w:t> </w:t>
      </w:r>
      <w:r>
        <w:rPr>
          <w:color w:val="231F20"/>
          <w:w w:val="105"/>
        </w:rPr>
        <w:t>y</w:t>
      </w:r>
      <w:r>
        <w:rPr>
          <w:color w:val="231F20"/>
          <w:spacing w:val="-17"/>
          <w:w w:val="105"/>
        </w:rPr>
        <w:t> </w:t>
      </w:r>
      <w:r>
        <w:rPr>
          <w:color w:val="231F20"/>
          <w:spacing w:val="-3"/>
          <w:w w:val="105"/>
        </w:rPr>
        <w:t>ochentas.</w:t>
      </w:r>
      <w:r>
        <w:rPr>
          <w:color w:val="231F20"/>
          <w:spacing w:val="-21"/>
          <w:w w:val="105"/>
        </w:rPr>
        <w:t> </w:t>
      </w:r>
      <w:r>
        <w:rPr>
          <w:color w:val="231F20"/>
          <w:w w:val="105"/>
        </w:rPr>
        <w:t>Esa</w:t>
      </w:r>
      <w:r>
        <w:rPr>
          <w:color w:val="231F20"/>
          <w:spacing w:val="-17"/>
          <w:w w:val="105"/>
        </w:rPr>
        <w:t> </w:t>
      </w:r>
      <w:r>
        <w:rPr>
          <w:color w:val="231F20"/>
          <w:spacing w:val="-4"/>
          <w:w w:val="105"/>
        </w:rPr>
        <w:t>frontera</w:t>
      </w:r>
      <w:r>
        <w:rPr>
          <w:color w:val="231F20"/>
          <w:spacing w:val="-17"/>
          <w:w w:val="105"/>
        </w:rPr>
        <w:t> </w:t>
      </w:r>
      <w:r>
        <w:rPr>
          <w:color w:val="231F20"/>
          <w:spacing w:val="-3"/>
          <w:w w:val="105"/>
        </w:rPr>
        <w:t>amable</w:t>
      </w:r>
      <w:r>
        <w:rPr>
          <w:color w:val="231F20"/>
          <w:spacing w:val="-17"/>
          <w:w w:val="105"/>
        </w:rPr>
        <w:t> </w:t>
      </w:r>
      <w:r>
        <w:rPr>
          <w:color w:val="231F20"/>
          <w:w w:val="105"/>
        </w:rPr>
        <w:t>o</w:t>
      </w:r>
      <w:r>
        <w:rPr>
          <w:color w:val="231F20"/>
          <w:spacing w:val="-17"/>
          <w:w w:val="105"/>
        </w:rPr>
        <w:t> </w:t>
      </w:r>
      <w:r>
        <w:rPr>
          <w:color w:val="231F20"/>
          <w:spacing w:val="-4"/>
          <w:w w:val="105"/>
        </w:rPr>
        <w:t>agresiva </w:t>
      </w:r>
      <w:r>
        <w:rPr>
          <w:color w:val="231F20"/>
          <w:w w:val="105"/>
        </w:rPr>
        <w:t>e</w:t>
      </w:r>
      <w:r>
        <w:rPr>
          <w:color w:val="231F20"/>
          <w:spacing w:val="-6"/>
          <w:w w:val="105"/>
        </w:rPr>
        <w:t> </w:t>
      </w:r>
      <w:r>
        <w:rPr>
          <w:color w:val="231F20"/>
          <w:spacing w:val="-3"/>
          <w:w w:val="105"/>
        </w:rPr>
        <w:t>impredecible,</w:t>
      </w:r>
      <w:r>
        <w:rPr>
          <w:color w:val="231F20"/>
          <w:spacing w:val="-11"/>
          <w:w w:val="105"/>
        </w:rPr>
        <w:t> </w:t>
      </w:r>
      <w:r>
        <w:rPr>
          <w:color w:val="231F20"/>
          <w:w w:val="105"/>
        </w:rPr>
        <w:t>es</w:t>
      </w:r>
      <w:r>
        <w:rPr>
          <w:color w:val="231F20"/>
          <w:spacing w:val="-6"/>
          <w:w w:val="105"/>
        </w:rPr>
        <w:t> </w:t>
      </w:r>
      <w:r>
        <w:rPr>
          <w:color w:val="231F20"/>
          <w:w w:val="105"/>
        </w:rPr>
        <w:t>un</w:t>
      </w:r>
      <w:r>
        <w:rPr>
          <w:color w:val="231F20"/>
          <w:spacing w:val="-6"/>
          <w:w w:val="105"/>
        </w:rPr>
        <w:t> </w:t>
      </w:r>
      <w:r>
        <w:rPr>
          <w:color w:val="231F20"/>
          <w:spacing w:val="-3"/>
          <w:w w:val="105"/>
        </w:rPr>
        <w:t>portal</w:t>
      </w:r>
      <w:r>
        <w:rPr>
          <w:color w:val="231F20"/>
          <w:spacing w:val="-6"/>
          <w:w w:val="105"/>
        </w:rPr>
        <w:t> </w:t>
      </w:r>
      <w:r>
        <w:rPr>
          <w:color w:val="231F20"/>
          <w:w w:val="105"/>
        </w:rPr>
        <w:t>de</w:t>
      </w:r>
      <w:r>
        <w:rPr>
          <w:color w:val="231F20"/>
          <w:spacing w:val="-6"/>
          <w:w w:val="105"/>
        </w:rPr>
        <w:t> </w:t>
      </w:r>
      <w:r>
        <w:rPr>
          <w:color w:val="231F20"/>
          <w:spacing w:val="-3"/>
          <w:w w:val="105"/>
        </w:rPr>
        <w:t>entrada</w:t>
      </w:r>
      <w:r>
        <w:rPr>
          <w:color w:val="231F20"/>
          <w:spacing w:val="-6"/>
          <w:w w:val="105"/>
        </w:rPr>
        <w:t> </w:t>
      </w:r>
      <w:r>
        <w:rPr>
          <w:color w:val="231F20"/>
          <w:w w:val="105"/>
        </w:rPr>
        <w:t>al</w:t>
      </w:r>
      <w:r>
        <w:rPr>
          <w:color w:val="231F20"/>
          <w:spacing w:val="-6"/>
          <w:w w:val="105"/>
        </w:rPr>
        <w:t> </w:t>
      </w:r>
      <w:r>
        <w:rPr>
          <w:color w:val="231F20"/>
          <w:spacing w:val="-4"/>
          <w:w w:val="105"/>
        </w:rPr>
        <w:t>trabajo,</w:t>
      </w:r>
      <w:r>
        <w:rPr>
          <w:color w:val="231F20"/>
          <w:spacing w:val="-11"/>
          <w:w w:val="105"/>
        </w:rPr>
        <w:t> </w:t>
      </w:r>
      <w:r>
        <w:rPr>
          <w:color w:val="231F20"/>
          <w:w w:val="105"/>
        </w:rPr>
        <w:t>al</w:t>
      </w:r>
      <w:r>
        <w:rPr>
          <w:color w:val="231F20"/>
          <w:spacing w:val="-6"/>
          <w:w w:val="105"/>
        </w:rPr>
        <w:t> </w:t>
      </w:r>
      <w:r>
        <w:rPr>
          <w:color w:val="231F20"/>
          <w:spacing w:val="-3"/>
          <w:w w:val="105"/>
        </w:rPr>
        <w:t>éxito,</w:t>
      </w:r>
      <w:r>
        <w:rPr>
          <w:color w:val="231F20"/>
          <w:spacing w:val="-11"/>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spacing w:val="-3"/>
          <w:w w:val="105"/>
        </w:rPr>
        <w:t>mejora</w:t>
      </w:r>
      <w:r>
        <w:rPr>
          <w:color w:val="231F20"/>
          <w:spacing w:val="-6"/>
          <w:w w:val="105"/>
        </w:rPr>
        <w:t> </w:t>
      </w:r>
      <w:r>
        <w:rPr>
          <w:color w:val="231F20"/>
          <w:spacing w:val="-3"/>
          <w:w w:val="105"/>
        </w:rPr>
        <w:t>de condiciones </w:t>
      </w:r>
      <w:r>
        <w:rPr>
          <w:color w:val="231F20"/>
          <w:w w:val="105"/>
        </w:rPr>
        <w:t>de </w:t>
      </w:r>
      <w:r>
        <w:rPr>
          <w:color w:val="231F20"/>
          <w:spacing w:val="-3"/>
          <w:w w:val="105"/>
        </w:rPr>
        <w:t>vida </w:t>
      </w:r>
      <w:r>
        <w:rPr>
          <w:color w:val="231F20"/>
          <w:w w:val="105"/>
        </w:rPr>
        <w:t>de </w:t>
      </w:r>
      <w:r>
        <w:rPr>
          <w:color w:val="231F20"/>
          <w:spacing w:val="-3"/>
          <w:w w:val="105"/>
        </w:rPr>
        <w:t>todos </w:t>
      </w:r>
      <w:r>
        <w:rPr>
          <w:color w:val="231F20"/>
          <w:w w:val="105"/>
        </w:rPr>
        <w:t>los que </w:t>
      </w:r>
      <w:r>
        <w:rPr>
          <w:color w:val="231F20"/>
          <w:spacing w:val="-3"/>
          <w:w w:val="105"/>
        </w:rPr>
        <w:t>están </w:t>
      </w:r>
      <w:r>
        <w:rPr>
          <w:color w:val="231F20"/>
          <w:spacing w:val="-4"/>
          <w:w w:val="105"/>
        </w:rPr>
        <w:t>atrás </w:t>
      </w:r>
      <w:r>
        <w:rPr>
          <w:color w:val="231F20"/>
          <w:w w:val="105"/>
        </w:rPr>
        <w:t>del </w:t>
      </w:r>
      <w:r>
        <w:rPr>
          <w:color w:val="231F20"/>
          <w:spacing w:val="-3"/>
          <w:w w:val="105"/>
        </w:rPr>
        <w:t>migrante. </w:t>
      </w:r>
      <w:r>
        <w:rPr>
          <w:color w:val="231F20"/>
          <w:w w:val="105"/>
        </w:rPr>
        <w:t>Se </w:t>
      </w:r>
      <w:r>
        <w:rPr>
          <w:color w:val="231F20"/>
          <w:spacing w:val="-3"/>
          <w:w w:val="105"/>
        </w:rPr>
        <w:t>abre para</w:t>
      </w:r>
      <w:r>
        <w:rPr>
          <w:color w:val="231F20"/>
          <w:spacing w:val="-18"/>
          <w:w w:val="105"/>
        </w:rPr>
        <w:t> </w:t>
      </w:r>
      <w:r>
        <w:rPr>
          <w:color w:val="231F20"/>
          <w:spacing w:val="-3"/>
          <w:w w:val="105"/>
        </w:rPr>
        <w:t>entrar</w:t>
      </w:r>
      <w:r>
        <w:rPr>
          <w:color w:val="231F20"/>
          <w:spacing w:val="-18"/>
          <w:w w:val="105"/>
        </w:rPr>
        <w:t> </w:t>
      </w:r>
      <w:r>
        <w:rPr>
          <w:color w:val="231F20"/>
          <w:w w:val="105"/>
        </w:rPr>
        <w:t>a</w:t>
      </w:r>
      <w:r>
        <w:rPr>
          <w:color w:val="231F20"/>
          <w:spacing w:val="-18"/>
          <w:w w:val="105"/>
        </w:rPr>
        <w:t> </w:t>
      </w:r>
      <w:r>
        <w:rPr>
          <w:color w:val="231F20"/>
          <w:w w:val="105"/>
        </w:rPr>
        <w:t>una</w:t>
      </w:r>
      <w:r>
        <w:rPr>
          <w:color w:val="231F20"/>
          <w:spacing w:val="-18"/>
          <w:w w:val="105"/>
        </w:rPr>
        <w:t> </w:t>
      </w:r>
      <w:r>
        <w:rPr>
          <w:color w:val="231F20"/>
          <w:spacing w:val="-3"/>
          <w:w w:val="105"/>
        </w:rPr>
        <w:t>amplia</w:t>
      </w:r>
      <w:r>
        <w:rPr>
          <w:color w:val="231F20"/>
          <w:spacing w:val="-18"/>
          <w:w w:val="105"/>
        </w:rPr>
        <w:t> </w:t>
      </w:r>
      <w:r>
        <w:rPr>
          <w:color w:val="231F20"/>
          <w:spacing w:val="-3"/>
          <w:w w:val="105"/>
        </w:rPr>
        <w:t>variedad</w:t>
      </w:r>
      <w:r>
        <w:rPr>
          <w:color w:val="231F20"/>
          <w:spacing w:val="-18"/>
          <w:w w:val="105"/>
        </w:rPr>
        <w:t> </w:t>
      </w:r>
      <w:r>
        <w:rPr>
          <w:color w:val="231F20"/>
          <w:w w:val="105"/>
        </w:rPr>
        <w:t>de</w:t>
      </w:r>
      <w:r>
        <w:rPr>
          <w:color w:val="231F20"/>
          <w:spacing w:val="-18"/>
          <w:w w:val="105"/>
        </w:rPr>
        <w:t> </w:t>
      </w:r>
      <w:r>
        <w:rPr>
          <w:color w:val="231F20"/>
          <w:spacing w:val="-3"/>
          <w:w w:val="105"/>
        </w:rPr>
        <w:t>lugares</w:t>
      </w:r>
      <w:r>
        <w:rPr>
          <w:color w:val="231F20"/>
          <w:spacing w:val="-18"/>
          <w:w w:val="105"/>
        </w:rPr>
        <w:t> </w:t>
      </w:r>
      <w:r>
        <w:rPr>
          <w:color w:val="231F20"/>
          <w:spacing w:val="-3"/>
          <w:w w:val="105"/>
        </w:rPr>
        <w:t>comunes,</w:t>
      </w:r>
      <w:r>
        <w:rPr>
          <w:color w:val="231F20"/>
          <w:spacing w:val="-23"/>
          <w:w w:val="105"/>
        </w:rPr>
        <w:t> </w:t>
      </w:r>
      <w:r>
        <w:rPr>
          <w:color w:val="231F20"/>
          <w:spacing w:val="-3"/>
          <w:w w:val="105"/>
        </w:rPr>
        <w:t>ciudades,</w:t>
      </w:r>
      <w:r>
        <w:rPr>
          <w:color w:val="231F20"/>
          <w:spacing w:val="-23"/>
          <w:w w:val="105"/>
        </w:rPr>
        <w:t> </w:t>
      </w:r>
      <w:r>
        <w:rPr>
          <w:color w:val="231F20"/>
          <w:spacing w:val="-4"/>
          <w:w w:val="105"/>
        </w:rPr>
        <w:t>culturas </w:t>
      </w:r>
      <w:r>
        <w:rPr>
          <w:color w:val="231F20"/>
          <w:w w:val="105"/>
        </w:rPr>
        <w:t>(al</w:t>
      </w:r>
      <w:r>
        <w:rPr>
          <w:color w:val="231F20"/>
          <w:spacing w:val="-20"/>
          <w:w w:val="105"/>
        </w:rPr>
        <w:t> </w:t>
      </w:r>
      <w:r>
        <w:rPr>
          <w:color w:val="231F20"/>
          <w:w w:val="105"/>
        </w:rPr>
        <w:t>ser</w:t>
      </w:r>
      <w:r>
        <w:rPr>
          <w:color w:val="231F20"/>
          <w:spacing w:val="-20"/>
          <w:w w:val="105"/>
        </w:rPr>
        <w:t> </w:t>
      </w:r>
      <w:r>
        <w:rPr>
          <w:color w:val="231F20"/>
          <w:spacing w:val="-3"/>
          <w:w w:val="105"/>
        </w:rPr>
        <w:t>Estados</w:t>
      </w:r>
      <w:r>
        <w:rPr>
          <w:color w:val="231F20"/>
          <w:spacing w:val="-20"/>
          <w:w w:val="105"/>
        </w:rPr>
        <w:t> </w:t>
      </w:r>
      <w:r>
        <w:rPr>
          <w:color w:val="231F20"/>
          <w:spacing w:val="-3"/>
          <w:w w:val="105"/>
        </w:rPr>
        <w:t>Unidos</w:t>
      </w:r>
      <w:r>
        <w:rPr>
          <w:color w:val="231F20"/>
          <w:spacing w:val="-20"/>
          <w:w w:val="105"/>
        </w:rPr>
        <w:t> </w:t>
      </w:r>
      <w:r>
        <w:rPr>
          <w:color w:val="231F20"/>
          <w:w w:val="105"/>
        </w:rPr>
        <w:t>un</w:t>
      </w:r>
      <w:r>
        <w:rPr>
          <w:color w:val="231F20"/>
          <w:spacing w:val="-20"/>
          <w:w w:val="105"/>
        </w:rPr>
        <w:t> </w:t>
      </w:r>
      <w:r>
        <w:rPr>
          <w:color w:val="231F20"/>
          <w:spacing w:val="-3"/>
          <w:w w:val="105"/>
        </w:rPr>
        <w:t>mosaico</w:t>
      </w:r>
      <w:r>
        <w:rPr>
          <w:color w:val="231F20"/>
          <w:spacing w:val="-20"/>
          <w:w w:val="105"/>
        </w:rPr>
        <w:t> </w:t>
      </w:r>
      <w:r>
        <w:rPr>
          <w:color w:val="231F20"/>
          <w:w w:val="105"/>
        </w:rPr>
        <w:t>de</w:t>
      </w:r>
      <w:r>
        <w:rPr>
          <w:color w:val="231F20"/>
          <w:spacing w:val="-20"/>
          <w:w w:val="105"/>
        </w:rPr>
        <w:t> </w:t>
      </w:r>
      <w:r>
        <w:rPr>
          <w:color w:val="231F20"/>
          <w:spacing w:val="-3"/>
          <w:w w:val="105"/>
        </w:rPr>
        <w:t>razas</w:t>
      </w:r>
      <w:r>
        <w:rPr>
          <w:color w:val="231F20"/>
          <w:spacing w:val="-20"/>
          <w:w w:val="105"/>
        </w:rPr>
        <w:t> </w:t>
      </w:r>
      <w:r>
        <w:rPr>
          <w:color w:val="231F20"/>
          <w:w w:val="105"/>
        </w:rPr>
        <w:t>con</w:t>
      </w:r>
      <w:r>
        <w:rPr>
          <w:color w:val="231F20"/>
          <w:spacing w:val="-20"/>
          <w:w w:val="105"/>
        </w:rPr>
        <w:t> </w:t>
      </w:r>
      <w:r>
        <w:rPr>
          <w:color w:val="231F20"/>
          <w:w w:val="105"/>
        </w:rPr>
        <w:t>sus</w:t>
      </w:r>
      <w:r>
        <w:rPr>
          <w:color w:val="231F20"/>
          <w:spacing w:val="-20"/>
          <w:w w:val="105"/>
        </w:rPr>
        <w:t> </w:t>
      </w:r>
      <w:r>
        <w:rPr>
          <w:color w:val="231F20"/>
          <w:spacing w:val="-3"/>
          <w:w w:val="105"/>
        </w:rPr>
        <w:t>respectivas</w:t>
      </w:r>
      <w:r>
        <w:rPr>
          <w:color w:val="231F20"/>
          <w:spacing w:val="-20"/>
          <w:w w:val="105"/>
        </w:rPr>
        <w:t> </w:t>
      </w:r>
      <w:r>
        <w:rPr>
          <w:color w:val="231F20"/>
          <w:spacing w:val="-4"/>
          <w:w w:val="105"/>
        </w:rPr>
        <w:t>culturas), </w:t>
      </w:r>
      <w:r>
        <w:rPr>
          <w:color w:val="231F20"/>
          <w:w w:val="105"/>
        </w:rPr>
        <w:t>de</w:t>
      </w:r>
      <w:r>
        <w:rPr>
          <w:color w:val="231F20"/>
          <w:spacing w:val="-24"/>
          <w:w w:val="105"/>
        </w:rPr>
        <w:t> </w:t>
      </w:r>
      <w:r>
        <w:rPr>
          <w:color w:val="231F20"/>
          <w:spacing w:val="-3"/>
          <w:w w:val="105"/>
        </w:rPr>
        <w:t>creencias</w:t>
      </w:r>
      <w:r>
        <w:rPr>
          <w:color w:val="231F20"/>
          <w:spacing w:val="-24"/>
          <w:w w:val="105"/>
        </w:rPr>
        <w:t> </w:t>
      </w:r>
      <w:r>
        <w:rPr>
          <w:color w:val="231F20"/>
          <w:spacing w:val="-3"/>
          <w:w w:val="105"/>
        </w:rPr>
        <w:t>sobre</w:t>
      </w:r>
      <w:r>
        <w:rPr>
          <w:color w:val="231F20"/>
          <w:spacing w:val="-24"/>
          <w:w w:val="105"/>
        </w:rPr>
        <w:t> </w:t>
      </w:r>
      <w:r>
        <w:rPr>
          <w:color w:val="231F20"/>
          <w:w w:val="105"/>
        </w:rPr>
        <w:t>el</w:t>
      </w:r>
      <w:r>
        <w:rPr>
          <w:color w:val="231F20"/>
          <w:spacing w:val="-24"/>
          <w:w w:val="105"/>
        </w:rPr>
        <w:t> </w:t>
      </w:r>
      <w:r>
        <w:rPr>
          <w:color w:val="231F20"/>
          <w:spacing w:val="-3"/>
          <w:w w:val="105"/>
        </w:rPr>
        <w:t>desarrollo</w:t>
      </w:r>
      <w:r>
        <w:rPr>
          <w:color w:val="231F20"/>
          <w:spacing w:val="-24"/>
          <w:w w:val="105"/>
        </w:rPr>
        <w:t> </w:t>
      </w:r>
      <w:r>
        <w:rPr>
          <w:color w:val="231F20"/>
          <w:w w:val="105"/>
        </w:rPr>
        <w:t>o</w:t>
      </w:r>
      <w:r>
        <w:rPr>
          <w:color w:val="231F20"/>
          <w:spacing w:val="-24"/>
          <w:w w:val="105"/>
        </w:rPr>
        <w:t> </w:t>
      </w:r>
      <w:r>
        <w:rPr>
          <w:color w:val="231F20"/>
          <w:w w:val="105"/>
        </w:rPr>
        <w:t>el</w:t>
      </w:r>
      <w:r>
        <w:rPr>
          <w:color w:val="231F20"/>
          <w:spacing w:val="-24"/>
          <w:w w:val="105"/>
        </w:rPr>
        <w:t> </w:t>
      </w:r>
      <w:r>
        <w:rPr>
          <w:color w:val="231F20"/>
          <w:spacing w:val="-4"/>
          <w:w w:val="105"/>
        </w:rPr>
        <w:t>progreso.</w:t>
      </w:r>
      <w:r>
        <w:rPr>
          <w:color w:val="231F20"/>
          <w:spacing w:val="-30"/>
          <w:w w:val="105"/>
        </w:rPr>
        <w:t> </w:t>
      </w:r>
      <w:r>
        <w:rPr>
          <w:color w:val="231F20"/>
          <w:spacing w:val="-3"/>
          <w:w w:val="105"/>
        </w:rPr>
        <w:t>Los</w:t>
      </w:r>
      <w:r>
        <w:rPr>
          <w:color w:val="231F20"/>
          <w:spacing w:val="-24"/>
          <w:w w:val="105"/>
        </w:rPr>
        <w:t> </w:t>
      </w:r>
      <w:r>
        <w:rPr>
          <w:color w:val="231F20"/>
          <w:spacing w:val="-3"/>
          <w:w w:val="105"/>
        </w:rPr>
        <w:t>migrantes</w:t>
      </w:r>
      <w:r>
        <w:rPr>
          <w:color w:val="231F20"/>
          <w:spacing w:val="-24"/>
          <w:w w:val="105"/>
        </w:rPr>
        <w:t> </w:t>
      </w:r>
      <w:r>
        <w:rPr>
          <w:color w:val="231F20"/>
          <w:spacing w:val="-3"/>
          <w:w w:val="105"/>
        </w:rPr>
        <w:t>identifican</w:t>
      </w:r>
      <w:r>
        <w:rPr>
          <w:color w:val="231F20"/>
          <w:spacing w:val="-24"/>
          <w:w w:val="105"/>
        </w:rPr>
        <w:t> </w:t>
      </w:r>
      <w:r>
        <w:rPr>
          <w:color w:val="231F20"/>
          <w:spacing w:val="-3"/>
          <w:w w:val="105"/>
        </w:rPr>
        <w:t>en </w:t>
      </w:r>
      <w:r>
        <w:rPr>
          <w:color w:val="231F20"/>
          <w:w w:val="105"/>
        </w:rPr>
        <w:t>el</w:t>
      </w:r>
      <w:r>
        <w:rPr>
          <w:color w:val="231F20"/>
          <w:spacing w:val="-16"/>
          <w:w w:val="105"/>
        </w:rPr>
        <w:t> </w:t>
      </w:r>
      <w:r>
        <w:rPr>
          <w:color w:val="231F20"/>
          <w:spacing w:val="-3"/>
          <w:w w:val="105"/>
        </w:rPr>
        <w:t>cruce</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4"/>
          <w:w w:val="105"/>
        </w:rPr>
        <w:t>frontera</w:t>
      </w:r>
      <w:r>
        <w:rPr>
          <w:color w:val="231F20"/>
          <w:spacing w:val="31"/>
          <w:w w:val="105"/>
        </w:rPr>
        <w:t> </w:t>
      </w:r>
      <w:r>
        <w:rPr>
          <w:color w:val="231F20"/>
          <w:spacing w:val="-3"/>
          <w:w w:val="105"/>
        </w:rPr>
        <w:t>emociones</w:t>
      </w:r>
      <w:r>
        <w:rPr>
          <w:color w:val="231F20"/>
          <w:spacing w:val="-16"/>
          <w:w w:val="105"/>
        </w:rPr>
        <w:t> </w:t>
      </w:r>
      <w:r>
        <w:rPr>
          <w:color w:val="231F20"/>
          <w:spacing w:val="-3"/>
          <w:w w:val="105"/>
        </w:rPr>
        <w:t>distintas</w:t>
      </w:r>
      <w:r>
        <w:rPr>
          <w:color w:val="231F20"/>
          <w:spacing w:val="-16"/>
          <w:w w:val="105"/>
        </w:rPr>
        <w:t> </w:t>
      </w:r>
      <w:r>
        <w:rPr>
          <w:color w:val="231F20"/>
          <w:w w:val="105"/>
        </w:rPr>
        <w:t>a</w:t>
      </w:r>
      <w:r>
        <w:rPr>
          <w:color w:val="231F20"/>
          <w:spacing w:val="-16"/>
          <w:w w:val="105"/>
        </w:rPr>
        <w:t> </w:t>
      </w:r>
      <w:r>
        <w:rPr>
          <w:color w:val="231F20"/>
          <w:spacing w:val="-3"/>
          <w:w w:val="105"/>
        </w:rPr>
        <w:t>otros</w:t>
      </w:r>
      <w:r>
        <w:rPr>
          <w:color w:val="231F20"/>
          <w:spacing w:val="-16"/>
          <w:w w:val="105"/>
        </w:rPr>
        <w:t> </w:t>
      </w:r>
      <w:r>
        <w:rPr>
          <w:color w:val="231F20"/>
          <w:spacing w:val="-3"/>
          <w:w w:val="105"/>
        </w:rPr>
        <w:t>momentos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vida.</w:t>
      </w:r>
    </w:p>
    <w:p>
      <w:pPr>
        <w:pStyle w:val="BodyText"/>
        <w:spacing w:line="261" w:lineRule="auto" w:before="1"/>
        <w:ind w:left="1837" w:right="1715" w:firstLine="567"/>
        <w:jc w:val="right"/>
      </w:pPr>
      <w:r>
        <w:rPr>
          <w:color w:val="231F20"/>
          <w:w w:val="105"/>
        </w:rPr>
        <w:t>En el cotidiano de dicha frontera geográfica se tejen</w:t>
      </w:r>
      <w:r>
        <w:rPr>
          <w:color w:val="231F20"/>
          <w:spacing w:val="17"/>
          <w:w w:val="105"/>
        </w:rPr>
        <w:t> </w:t>
      </w:r>
      <w:r>
        <w:rPr>
          <w:color w:val="231F20"/>
          <w:w w:val="105"/>
        </w:rPr>
        <w:t>historias</w:t>
      </w:r>
      <w:r>
        <w:rPr>
          <w:color w:val="231F20"/>
          <w:spacing w:val="7"/>
          <w:w w:val="105"/>
        </w:rPr>
        <w:t> </w:t>
      </w:r>
      <w:r>
        <w:rPr>
          <w:color w:val="231F20"/>
          <w:w w:val="105"/>
        </w:rPr>
        <w:t>de</w:t>
      </w:r>
      <w:r>
        <w:rPr>
          <w:color w:val="231F20"/>
          <w:w w:val="108"/>
        </w:rPr>
        <w:t> </w:t>
      </w:r>
      <w:r>
        <w:rPr>
          <w:color w:val="231F20"/>
          <w:w w:val="105"/>
        </w:rPr>
        <w:t>amor</w:t>
      </w:r>
      <w:r>
        <w:rPr>
          <w:color w:val="231F20"/>
          <w:spacing w:val="-19"/>
          <w:w w:val="105"/>
        </w:rPr>
        <w:t> </w:t>
      </w:r>
      <w:r>
        <w:rPr>
          <w:color w:val="231F20"/>
          <w:w w:val="105"/>
        </w:rPr>
        <w:t>y</w:t>
      </w:r>
      <w:r>
        <w:rPr>
          <w:color w:val="231F20"/>
          <w:spacing w:val="-19"/>
          <w:w w:val="105"/>
        </w:rPr>
        <w:t> </w:t>
      </w:r>
      <w:r>
        <w:rPr>
          <w:color w:val="231F20"/>
          <w:w w:val="105"/>
        </w:rPr>
        <w:t>desamor.</w:t>
      </w:r>
      <w:r>
        <w:rPr>
          <w:color w:val="231F20"/>
          <w:spacing w:val="-24"/>
          <w:w w:val="105"/>
        </w:rPr>
        <w:t> </w:t>
      </w:r>
      <w:r>
        <w:rPr>
          <w:color w:val="231F20"/>
          <w:spacing w:val="-6"/>
          <w:w w:val="105"/>
        </w:rPr>
        <w:t>Por</w:t>
      </w:r>
      <w:r>
        <w:rPr>
          <w:color w:val="231F20"/>
          <w:spacing w:val="-19"/>
          <w:w w:val="105"/>
        </w:rPr>
        <w:t> </w:t>
      </w:r>
      <w:r>
        <w:rPr>
          <w:color w:val="231F20"/>
          <w:w w:val="105"/>
        </w:rPr>
        <w:t>amor</w:t>
      </w:r>
      <w:r>
        <w:rPr>
          <w:color w:val="231F20"/>
          <w:spacing w:val="-19"/>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w w:val="105"/>
        </w:rPr>
        <w:t>padres,</w:t>
      </w:r>
      <w:r>
        <w:rPr>
          <w:color w:val="231F20"/>
          <w:spacing w:val="-24"/>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w w:val="105"/>
        </w:rPr>
        <w:t>hijos,</w:t>
      </w:r>
      <w:r>
        <w:rPr>
          <w:color w:val="231F20"/>
          <w:spacing w:val="-24"/>
          <w:w w:val="105"/>
        </w:rPr>
        <w:t> </w:t>
      </w:r>
      <w:r>
        <w:rPr>
          <w:color w:val="231F20"/>
          <w:w w:val="105"/>
        </w:rPr>
        <w:t>los</w:t>
      </w:r>
      <w:r>
        <w:rPr>
          <w:color w:val="231F20"/>
          <w:spacing w:val="-19"/>
          <w:w w:val="105"/>
        </w:rPr>
        <w:t> </w:t>
      </w:r>
      <w:r>
        <w:rPr>
          <w:color w:val="231F20"/>
          <w:w w:val="105"/>
        </w:rPr>
        <w:t>cruces</w:t>
      </w:r>
      <w:r>
        <w:rPr>
          <w:color w:val="231F20"/>
          <w:spacing w:val="-19"/>
          <w:w w:val="105"/>
        </w:rPr>
        <w:t> </w:t>
      </w:r>
      <w:r>
        <w:rPr>
          <w:color w:val="231F20"/>
          <w:w w:val="105"/>
        </w:rPr>
        <w:t>de</w:t>
      </w:r>
      <w:r>
        <w:rPr>
          <w:color w:val="231F20"/>
          <w:spacing w:val="-19"/>
          <w:w w:val="105"/>
        </w:rPr>
        <w:t> </w:t>
      </w:r>
      <w:r>
        <w:rPr>
          <w:color w:val="231F20"/>
          <w:w w:val="105"/>
        </w:rPr>
        <w:t>frontera</w:t>
      </w:r>
      <w:r>
        <w:rPr>
          <w:color w:val="231F20"/>
          <w:w w:val="96"/>
        </w:rPr>
        <w:t> </w:t>
      </w:r>
      <w:r>
        <w:rPr>
          <w:color w:val="231F20"/>
          <w:w w:val="105"/>
        </w:rPr>
        <w:t>se tornan actos heroicos, que ponen en juego la honra y la</w:t>
      </w:r>
      <w:r>
        <w:rPr>
          <w:color w:val="231F20"/>
          <w:spacing w:val="41"/>
          <w:w w:val="105"/>
        </w:rPr>
        <w:t> </w:t>
      </w:r>
      <w:r>
        <w:rPr>
          <w:color w:val="231F20"/>
          <w:w w:val="105"/>
        </w:rPr>
        <w:t>vida.</w:t>
      </w:r>
      <w:r>
        <w:rPr>
          <w:color w:val="231F20"/>
          <w:spacing w:val="8"/>
          <w:w w:val="105"/>
        </w:rPr>
        <w:t> </w:t>
      </w:r>
      <w:r>
        <w:rPr>
          <w:color w:val="231F20"/>
          <w:w w:val="105"/>
        </w:rPr>
        <w:t>Sólo</w:t>
      </w:r>
      <w:r>
        <w:rPr>
          <w:color w:val="231F20"/>
          <w:w w:val="101"/>
        </w:rPr>
        <w:t> </w:t>
      </w:r>
      <w:r>
        <w:rPr>
          <w:color w:val="231F20"/>
          <w:w w:val="105"/>
        </w:rPr>
        <w:t>cruzando la frontera se forjan dos territorios gestores de una</w:t>
      </w:r>
      <w:r>
        <w:rPr>
          <w:color w:val="231F20"/>
          <w:spacing w:val="-6"/>
          <w:w w:val="105"/>
        </w:rPr>
        <w:t> </w:t>
      </w:r>
      <w:r>
        <w:rPr>
          <w:color w:val="231F20"/>
          <w:w w:val="105"/>
        </w:rPr>
        <w:t>vida</w:t>
      </w:r>
      <w:r>
        <w:rPr>
          <w:color w:val="231F20"/>
          <w:spacing w:val="-1"/>
          <w:w w:val="105"/>
        </w:rPr>
        <w:t> </w:t>
      </w:r>
      <w:r>
        <w:rPr>
          <w:color w:val="231F20"/>
          <w:w w:val="105"/>
        </w:rPr>
        <w:t>emo-</w:t>
      </w:r>
      <w:r>
        <w:rPr>
          <w:color w:val="231F20"/>
          <w:w w:val="96"/>
        </w:rPr>
        <w:t> </w:t>
      </w:r>
      <w:r>
        <w:rPr>
          <w:color w:val="231F20"/>
          <w:w w:val="105"/>
        </w:rPr>
        <w:t>cionalmente distinta para los que se quedan y los que se van. Y</w:t>
      </w:r>
      <w:r>
        <w:rPr>
          <w:color w:val="231F20"/>
          <w:spacing w:val="33"/>
          <w:w w:val="105"/>
        </w:rPr>
        <w:t> </w:t>
      </w:r>
      <w:r>
        <w:rPr>
          <w:color w:val="231F20"/>
          <w:w w:val="105"/>
        </w:rPr>
        <w:t>lo</w:t>
      </w:r>
      <w:r>
        <w:rPr>
          <w:color w:val="231F20"/>
          <w:spacing w:val="3"/>
          <w:w w:val="105"/>
        </w:rPr>
        <w:t> </w:t>
      </w:r>
      <w:r>
        <w:rPr>
          <w:color w:val="231F20"/>
          <w:w w:val="105"/>
        </w:rPr>
        <w:t>que</w:t>
      </w:r>
      <w:r>
        <w:rPr>
          <w:color w:val="231F20"/>
          <w:w w:val="107"/>
        </w:rPr>
        <w:t> </w:t>
      </w:r>
      <w:r>
        <w:rPr>
          <w:color w:val="231F20"/>
          <w:w w:val="105"/>
        </w:rPr>
        <w:t>ocurre</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realidad,</w:t>
      </w:r>
      <w:r>
        <w:rPr>
          <w:color w:val="231F20"/>
          <w:spacing w:val="-30"/>
          <w:w w:val="105"/>
        </w:rPr>
        <w:t> </w:t>
      </w:r>
      <w:r>
        <w:rPr>
          <w:color w:val="231F20"/>
          <w:w w:val="105"/>
        </w:rPr>
        <w:t>es</w:t>
      </w:r>
      <w:r>
        <w:rPr>
          <w:color w:val="231F20"/>
          <w:spacing w:val="-26"/>
          <w:w w:val="105"/>
        </w:rPr>
        <w:t> </w:t>
      </w:r>
      <w:r>
        <w:rPr>
          <w:color w:val="231F20"/>
          <w:w w:val="105"/>
        </w:rPr>
        <w:t>más</w:t>
      </w:r>
      <w:r>
        <w:rPr>
          <w:color w:val="231F20"/>
          <w:spacing w:val="-26"/>
          <w:w w:val="105"/>
        </w:rPr>
        <w:t> </w:t>
      </w:r>
      <w:r>
        <w:rPr>
          <w:color w:val="231F20"/>
          <w:w w:val="105"/>
        </w:rPr>
        <w:t>grande</w:t>
      </w:r>
      <w:r>
        <w:rPr>
          <w:color w:val="231F20"/>
          <w:spacing w:val="-26"/>
          <w:w w:val="105"/>
        </w:rPr>
        <w:t> </w:t>
      </w:r>
      <w:r>
        <w:rPr>
          <w:color w:val="231F20"/>
          <w:w w:val="105"/>
        </w:rPr>
        <w:t>de</w:t>
      </w:r>
      <w:r>
        <w:rPr>
          <w:color w:val="231F20"/>
          <w:spacing w:val="-26"/>
          <w:w w:val="105"/>
        </w:rPr>
        <w:t> </w:t>
      </w:r>
      <w:r>
        <w:rPr>
          <w:color w:val="231F20"/>
          <w:w w:val="105"/>
        </w:rPr>
        <w:t>lo</w:t>
      </w:r>
      <w:r>
        <w:rPr>
          <w:color w:val="231F20"/>
          <w:spacing w:val="-26"/>
          <w:w w:val="105"/>
        </w:rPr>
        <w:t> </w:t>
      </w:r>
      <w:r>
        <w:rPr>
          <w:color w:val="231F20"/>
          <w:w w:val="105"/>
        </w:rPr>
        <w:t>que</w:t>
      </w:r>
      <w:r>
        <w:rPr>
          <w:color w:val="231F20"/>
          <w:spacing w:val="-26"/>
          <w:w w:val="105"/>
        </w:rPr>
        <w:t> </w:t>
      </w:r>
      <w:r>
        <w:rPr>
          <w:color w:val="231F20"/>
          <w:w w:val="105"/>
        </w:rPr>
        <w:t>la</w:t>
      </w:r>
      <w:r>
        <w:rPr>
          <w:color w:val="231F20"/>
          <w:spacing w:val="-26"/>
          <w:w w:val="105"/>
        </w:rPr>
        <w:t> </w:t>
      </w:r>
      <w:r>
        <w:rPr>
          <w:color w:val="231F20"/>
          <w:w w:val="105"/>
        </w:rPr>
        <w:t>teoría</w:t>
      </w:r>
      <w:r>
        <w:rPr>
          <w:color w:val="231F20"/>
          <w:spacing w:val="-26"/>
          <w:w w:val="105"/>
        </w:rPr>
        <w:t> </w:t>
      </w:r>
      <w:r>
        <w:rPr>
          <w:color w:val="231F20"/>
          <w:w w:val="105"/>
        </w:rPr>
        <w:t>alcanza</w:t>
      </w:r>
      <w:r>
        <w:rPr>
          <w:color w:val="231F20"/>
          <w:spacing w:val="-26"/>
          <w:w w:val="105"/>
        </w:rPr>
        <w:t> </w:t>
      </w:r>
      <w:r>
        <w:rPr>
          <w:color w:val="231F20"/>
          <w:w w:val="105"/>
        </w:rPr>
        <w:t>a</w:t>
      </w:r>
      <w:r>
        <w:rPr>
          <w:color w:val="231F20"/>
          <w:spacing w:val="-26"/>
          <w:w w:val="105"/>
        </w:rPr>
        <w:t> </w:t>
      </w:r>
      <w:r>
        <w:rPr>
          <w:color w:val="231F20"/>
          <w:w w:val="105"/>
        </w:rPr>
        <w:t>explicar.</w:t>
      </w:r>
    </w:p>
    <w:p>
      <w:pPr>
        <w:pStyle w:val="BodyText"/>
        <w:spacing w:line="261" w:lineRule="auto" w:before="1"/>
        <w:ind w:left="1837" w:right="1716" w:firstLine="567"/>
        <w:jc w:val="both"/>
      </w:pPr>
      <w:r>
        <w:rPr>
          <w:color w:val="231F20"/>
          <w:w w:val="105"/>
        </w:rPr>
        <w:t>La</w:t>
      </w:r>
      <w:r>
        <w:rPr>
          <w:color w:val="231F20"/>
          <w:spacing w:val="-6"/>
          <w:w w:val="105"/>
        </w:rPr>
        <w:t> </w:t>
      </w:r>
      <w:r>
        <w:rPr>
          <w:color w:val="231F20"/>
          <w:w w:val="105"/>
        </w:rPr>
        <w:t>irregularidad</w:t>
      </w:r>
      <w:r>
        <w:rPr>
          <w:color w:val="231F20"/>
          <w:spacing w:val="-6"/>
          <w:w w:val="105"/>
        </w:rPr>
        <w:t> </w:t>
      </w:r>
      <w:r>
        <w:rPr>
          <w:color w:val="231F20"/>
          <w:w w:val="105"/>
        </w:rPr>
        <w:t>en</w:t>
      </w:r>
      <w:r>
        <w:rPr>
          <w:color w:val="231F20"/>
          <w:spacing w:val="-6"/>
          <w:w w:val="105"/>
        </w:rPr>
        <w:t> </w:t>
      </w:r>
      <w:r>
        <w:rPr>
          <w:color w:val="231F20"/>
          <w:w w:val="105"/>
        </w:rPr>
        <w:t>que</w:t>
      </w:r>
      <w:r>
        <w:rPr>
          <w:color w:val="231F20"/>
          <w:spacing w:val="-6"/>
          <w:w w:val="105"/>
        </w:rPr>
        <w:t> </w:t>
      </w:r>
      <w:r>
        <w:rPr>
          <w:color w:val="231F20"/>
          <w:w w:val="105"/>
        </w:rPr>
        <w:t>ocurren</w:t>
      </w:r>
      <w:r>
        <w:rPr>
          <w:color w:val="231F20"/>
          <w:spacing w:val="-6"/>
          <w:w w:val="105"/>
        </w:rPr>
        <w:t> </w:t>
      </w:r>
      <w:r>
        <w:rPr>
          <w:color w:val="231F20"/>
          <w:w w:val="105"/>
        </w:rPr>
        <w:t>estas</w:t>
      </w:r>
      <w:r>
        <w:rPr>
          <w:color w:val="231F20"/>
          <w:spacing w:val="-6"/>
          <w:w w:val="105"/>
        </w:rPr>
        <w:t> </w:t>
      </w:r>
      <w:r>
        <w:rPr>
          <w:color w:val="231F20"/>
          <w:w w:val="105"/>
        </w:rPr>
        <w:t>migraciones</w:t>
      </w:r>
      <w:r>
        <w:rPr>
          <w:color w:val="231F20"/>
          <w:spacing w:val="-6"/>
          <w:w w:val="105"/>
        </w:rPr>
        <w:t> </w:t>
      </w:r>
      <w:r>
        <w:rPr>
          <w:color w:val="231F20"/>
          <w:w w:val="105"/>
        </w:rPr>
        <w:t>es</w:t>
      </w:r>
      <w:r>
        <w:rPr>
          <w:color w:val="231F20"/>
          <w:spacing w:val="-6"/>
          <w:w w:val="105"/>
        </w:rPr>
        <w:t> </w:t>
      </w:r>
      <w:r>
        <w:rPr>
          <w:color w:val="231F20"/>
          <w:w w:val="105"/>
        </w:rPr>
        <w:t>campo</w:t>
      </w:r>
      <w:r>
        <w:rPr>
          <w:color w:val="231F20"/>
          <w:spacing w:val="-6"/>
          <w:w w:val="105"/>
        </w:rPr>
        <w:t> </w:t>
      </w:r>
      <w:r>
        <w:rPr>
          <w:color w:val="231F20"/>
          <w:w w:val="105"/>
        </w:rPr>
        <w:t>fértil para</w:t>
      </w:r>
      <w:r>
        <w:rPr>
          <w:color w:val="231F20"/>
          <w:spacing w:val="-18"/>
          <w:w w:val="105"/>
        </w:rPr>
        <w:t> </w:t>
      </w:r>
      <w:r>
        <w:rPr>
          <w:color w:val="231F20"/>
          <w:w w:val="105"/>
        </w:rPr>
        <w:t>las</w:t>
      </w:r>
      <w:r>
        <w:rPr>
          <w:color w:val="231F20"/>
          <w:spacing w:val="-18"/>
          <w:w w:val="105"/>
        </w:rPr>
        <w:t> </w:t>
      </w:r>
      <w:r>
        <w:rPr>
          <w:color w:val="231F20"/>
          <w:w w:val="105"/>
        </w:rPr>
        <w:t>emociones</w:t>
      </w:r>
      <w:r>
        <w:rPr>
          <w:color w:val="231F20"/>
          <w:spacing w:val="-18"/>
          <w:w w:val="105"/>
        </w:rPr>
        <w:t> </w:t>
      </w:r>
      <w:r>
        <w:rPr>
          <w:color w:val="231F20"/>
          <w:w w:val="105"/>
        </w:rPr>
        <w:t>y</w:t>
      </w:r>
      <w:r>
        <w:rPr>
          <w:color w:val="231F20"/>
          <w:spacing w:val="-18"/>
          <w:w w:val="105"/>
        </w:rPr>
        <w:t> </w:t>
      </w:r>
      <w:r>
        <w:rPr>
          <w:color w:val="231F20"/>
          <w:w w:val="105"/>
        </w:rPr>
        <w:t>actitudes</w:t>
      </w:r>
      <w:r>
        <w:rPr>
          <w:color w:val="231F20"/>
          <w:spacing w:val="-18"/>
          <w:w w:val="105"/>
        </w:rPr>
        <w:t> </w:t>
      </w:r>
      <w:r>
        <w:rPr>
          <w:color w:val="231F20"/>
          <w:w w:val="105"/>
        </w:rPr>
        <w:t>que</w:t>
      </w:r>
      <w:r>
        <w:rPr>
          <w:color w:val="231F20"/>
          <w:spacing w:val="-18"/>
          <w:w w:val="105"/>
        </w:rPr>
        <w:t> </w:t>
      </w:r>
      <w:r>
        <w:rPr>
          <w:color w:val="231F20"/>
          <w:w w:val="105"/>
        </w:rPr>
        <w:t>laceran</w:t>
      </w:r>
      <w:r>
        <w:rPr>
          <w:color w:val="231F20"/>
          <w:spacing w:val="-18"/>
          <w:w w:val="105"/>
        </w:rPr>
        <w:t> </w:t>
      </w:r>
      <w:r>
        <w:rPr>
          <w:color w:val="231F20"/>
          <w:w w:val="105"/>
        </w:rPr>
        <w:t>la</w:t>
      </w:r>
      <w:r>
        <w:rPr>
          <w:color w:val="231F20"/>
          <w:spacing w:val="-18"/>
          <w:w w:val="105"/>
        </w:rPr>
        <w:t> </w:t>
      </w:r>
      <w:r>
        <w:rPr>
          <w:color w:val="231F20"/>
          <w:w w:val="105"/>
        </w:rPr>
        <w:t>psique</w:t>
      </w:r>
      <w:r>
        <w:rPr>
          <w:color w:val="231F20"/>
          <w:spacing w:val="-18"/>
          <w:w w:val="105"/>
        </w:rPr>
        <w:t> </w:t>
      </w:r>
      <w:r>
        <w:rPr>
          <w:color w:val="231F20"/>
          <w:w w:val="105"/>
        </w:rPr>
        <w:t>del</w:t>
      </w:r>
      <w:r>
        <w:rPr>
          <w:color w:val="231F20"/>
          <w:spacing w:val="-18"/>
          <w:w w:val="105"/>
        </w:rPr>
        <w:t> </w:t>
      </w:r>
      <w:r>
        <w:rPr>
          <w:color w:val="231F20"/>
          <w:w w:val="105"/>
        </w:rPr>
        <w:t>migrante,</w:t>
      </w:r>
      <w:r>
        <w:rPr>
          <w:color w:val="231F20"/>
          <w:spacing w:val="-23"/>
          <w:w w:val="105"/>
        </w:rPr>
        <w:t> </w:t>
      </w:r>
      <w:r>
        <w:rPr>
          <w:color w:val="231F20"/>
          <w:w w:val="105"/>
        </w:rPr>
        <w:t>ejem- plos</w:t>
      </w:r>
      <w:r>
        <w:rPr>
          <w:color w:val="231F20"/>
          <w:spacing w:val="-5"/>
          <w:w w:val="105"/>
        </w:rPr>
        <w:t> </w:t>
      </w:r>
      <w:r>
        <w:rPr>
          <w:color w:val="231F20"/>
          <w:w w:val="105"/>
        </w:rPr>
        <w:t>claros</w:t>
      </w:r>
      <w:r>
        <w:rPr>
          <w:color w:val="231F20"/>
          <w:spacing w:val="-5"/>
          <w:w w:val="105"/>
        </w:rPr>
        <w:t> </w:t>
      </w:r>
      <w:r>
        <w:rPr>
          <w:color w:val="231F20"/>
          <w:w w:val="105"/>
        </w:rPr>
        <w:t>son</w:t>
      </w:r>
      <w:r>
        <w:rPr>
          <w:color w:val="231F20"/>
          <w:spacing w:val="-5"/>
          <w:w w:val="105"/>
        </w:rPr>
        <w:t> </w:t>
      </w:r>
      <w:r>
        <w:rPr>
          <w:color w:val="231F20"/>
          <w:w w:val="105"/>
        </w:rPr>
        <w:t>el</w:t>
      </w:r>
      <w:r>
        <w:rPr>
          <w:color w:val="231F20"/>
          <w:spacing w:val="-5"/>
          <w:w w:val="105"/>
        </w:rPr>
        <w:t> </w:t>
      </w:r>
      <w:r>
        <w:rPr>
          <w:color w:val="231F20"/>
          <w:w w:val="105"/>
        </w:rPr>
        <w:t>miedo,</w:t>
      </w:r>
      <w:r>
        <w:rPr>
          <w:color w:val="231F20"/>
          <w:spacing w:val="-10"/>
          <w:w w:val="105"/>
        </w:rPr>
        <w:t> </w:t>
      </w:r>
      <w:r>
        <w:rPr>
          <w:color w:val="231F20"/>
          <w:w w:val="105"/>
        </w:rPr>
        <w:t>la</w:t>
      </w:r>
      <w:r>
        <w:rPr>
          <w:color w:val="231F20"/>
          <w:spacing w:val="-5"/>
          <w:w w:val="105"/>
        </w:rPr>
        <w:t> </w:t>
      </w:r>
      <w:r>
        <w:rPr>
          <w:color w:val="231F20"/>
          <w:w w:val="105"/>
        </w:rPr>
        <w:t>desconfianza</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incertidumbre.</w:t>
      </w:r>
      <w:r>
        <w:rPr>
          <w:color w:val="231F20"/>
          <w:spacing w:val="-10"/>
          <w:w w:val="105"/>
        </w:rPr>
        <w:t> </w:t>
      </w:r>
      <w:r>
        <w:rPr>
          <w:color w:val="231F20"/>
          <w:w w:val="105"/>
        </w:rPr>
        <w:t>Cada</w:t>
      </w:r>
      <w:r>
        <w:rPr>
          <w:color w:val="231F20"/>
          <w:spacing w:val="-5"/>
          <w:w w:val="105"/>
        </w:rPr>
        <w:t> </w:t>
      </w:r>
      <w:r>
        <w:rPr>
          <w:color w:val="231F20"/>
          <w:w w:val="105"/>
        </w:rPr>
        <w:t>ida</w:t>
      </w:r>
      <w:r>
        <w:rPr>
          <w:color w:val="231F20"/>
          <w:spacing w:val="-5"/>
          <w:w w:val="105"/>
        </w:rPr>
        <w:t> </w:t>
      </w:r>
      <w:r>
        <w:rPr>
          <w:color w:val="231F20"/>
          <w:w w:val="105"/>
        </w:rPr>
        <w:t>y cada</w:t>
      </w:r>
      <w:r>
        <w:rPr>
          <w:color w:val="231F20"/>
          <w:spacing w:val="-20"/>
          <w:w w:val="105"/>
        </w:rPr>
        <w:t> </w:t>
      </w:r>
      <w:r>
        <w:rPr>
          <w:color w:val="231F20"/>
          <w:w w:val="105"/>
        </w:rPr>
        <w:t>regreso</w:t>
      </w:r>
      <w:r>
        <w:rPr>
          <w:color w:val="231F20"/>
          <w:spacing w:val="-20"/>
          <w:w w:val="105"/>
        </w:rPr>
        <w:t> </w:t>
      </w:r>
      <w:r>
        <w:rPr>
          <w:color w:val="231F20"/>
          <w:w w:val="105"/>
        </w:rPr>
        <w:t>ponen</w:t>
      </w:r>
      <w:r>
        <w:rPr>
          <w:color w:val="231F20"/>
          <w:spacing w:val="-20"/>
          <w:w w:val="105"/>
        </w:rPr>
        <w:t> </w:t>
      </w:r>
      <w:r>
        <w:rPr>
          <w:color w:val="231F20"/>
          <w:w w:val="105"/>
        </w:rPr>
        <w:t>en</w:t>
      </w:r>
      <w:r>
        <w:rPr>
          <w:color w:val="231F20"/>
          <w:spacing w:val="-20"/>
          <w:w w:val="105"/>
        </w:rPr>
        <w:t> </w:t>
      </w:r>
      <w:r>
        <w:rPr>
          <w:color w:val="231F20"/>
          <w:w w:val="105"/>
        </w:rPr>
        <w:t>una</w:t>
      </w:r>
      <w:r>
        <w:rPr>
          <w:color w:val="231F20"/>
          <w:spacing w:val="-20"/>
          <w:w w:val="105"/>
        </w:rPr>
        <w:t> </w:t>
      </w:r>
      <w:r>
        <w:rPr>
          <w:color w:val="231F20"/>
          <w:w w:val="105"/>
        </w:rPr>
        <w:t>encrucijada</w:t>
      </w:r>
      <w:r>
        <w:rPr>
          <w:color w:val="231F20"/>
          <w:spacing w:val="-20"/>
          <w:w w:val="105"/>
        </w:rPr>
        <w:t> </w:t>
      </w:r>
      <w:r>
        <w:rPr>
          <w:color w:val="231F20"/>
          <w:w w:val="105"/>
        </w:rPr>
        <w:t>emocional</w:t>
      </w:r>
      <w:r>
        <w:rPr>
          <w:color w:val="231F20"/>
          <w:spacing w:val="-20"/>
          <w:w w:val="105"/>
        </w:rPr>
        <w:t> </w:t>
      </w:r>
      <w:r>
        <w:rPr>
          <w:color w:val="231F20"/>
          <w:w w:val="105"/>
        </w:rPr>
        <w:t>a</w:t>
      </w:r>
      <w:r>
        <w:rPr>
          <w:color w:val="231F20"/>
          <w:spacing w:val="-20"/>
          <w:w w:val="105"/>
        </w:rPr>
        <w:t> </w:t>
      </w:r>
      <w:r>
        <w:rPr>
          <w:color w:val="231F20"/>
          <w:w w:val="105"/>
        </w:rPr>
        <w:t>hombres</w:t>
      </w:r>
      <w:r>
        <w:rPr>
          <w:color w:val="231F20"/>
          <w:spacing w:val="-20"/>
          <w:w w:val="105"/>
        </w:rPr>
        <w:t> </w:t>
      </w:r>
      <w:r>
        <w:rPr>
          <w:color w:val="231F20"/>
          <w:w w:val="105"/>
        </w:rPr>
        <w:t>y</w:t>
      </w:r>
      <w:r>
        <w:rPr>
          <w:color w:val="231F20"/>
          <w:spacing w:val="-20"/>
          <w:w w:val="105"/>
        </w:rPr>
        <w:t> </w:t>
      </w:r>
      <w:r>
        <w:rPr>
          <w:color w:val="231F20"/>
          <w:w w:val="105"/>
        </w:rPr>
        <w:t>mujeres, pues</w:t>
      </w:r>
      <w:r>
        <w:rPr>
          <w:color w:val="231F20"/>
          <w:spacing w:val="-31"/>
          <w:w w:val="105"/>
        </w:rPr>
        <w:t> </w:t>
      </w:r>
      <w:r>
        <w:rPr>
          <w:color w:val="231F20"/>
          <w:w w:val="105"/>
        </w:rPr>
        <w:t>desearían</w:t>
      </w:r>
      <w:r>
        <w:rPr>
          <w:color w:val="231F20"/>
          <w:spacing w:val="-31"/>
          <w:w w:val="105"/>
        </w:rPr>
        <w:t> </w:t>
      </w:r>
      <w:r>
        <w:rPr>
          <w:color w:val="231F20"/>
          <w:w w:val="105"/>
        </w:rPr>
        <w:t>ser</w:t>
      </w:r>
      <w:r>
        <w:rPr>
          <w:color w:val="231F20"/>
          <w:spacing w:val="-31"/>
          <w:w w:val="105"/>
        </w:rPr>
        <w:t> </w:t>
      </w:r>
      <w:r>
        <w:rPr>
          <w:color w:val="231F20"/>
          <w:w w:val="105"/>
        </w:rPr>
        <w:t>asertivos</w:t>
      </w:r>
      <w:r>
        <w:rPr>
          <w:color w:val="231F20"/>
          <w:spacing w:val="-31"/>
          <w:w w:val="105"/>
        </w:rPr>
        <w:t> </w:t>
      </w:r>
      <w:r>
        <w:rPr>
          <w:color w:val="231F20"/>
          <w:w w:val="105"/>
        </w:rPr>
        <w:t>y</w:t>
      </w:r>
      <w:r>
        <w:rPr>
          <w:color w:val="231F20"/>
          <w:spacing w:val="-31"/>
          <w:w w:val="105"/>
        </w:rPr>
        <w:t> </w:t>
      </w:r>
      <w:r>
        <w:rPr>
          <w:color w:val="231F20"/>
          <w:w w:val="105"/>
        </w:rPr>
        <w:t>no</w:t>
      </w:r>
      <w:r>
        <w:rPr>
          <w:color w:val="231F20"/>
          <w:spacing w:val="-31"/>
          <w:w w:val="105"/>
        </w:rPr>
        <w:t> </w:t>
      </w:r>
      <w:r>
        <w:rPr>
          <w:color w:val="231F20"/>
          <w:w w:val="105"/>
        </w:rPr>
        <w:t>equivocarse.</w:t>
      </w:r>
      <w:r>
        <w:rPr>
          <w:color w:val="231F20"/>
          <w:spacing w:val="-35"/>
          <w:w w:val="105"/>
        </w:rPr>
        <w:t> </w:t>
      </w:r>
      <w:r>
        <w:rPr>
          <w:color w:val="231F20"/>
          <w:w w:val="105"/>
        </w:rPr>
        <w:t>Las</w:t>
      </w:r>
      <w:r>
        <w:rPr>
          <w:color w:val="231F20"/>
          <w:spacing w:val="-31"/>
          <w:w w:val="105"/>
        </w:rPr>
        <w:t> </w:t>
      </w:r>
      <w:r>
        <w:rPr>
          <w:color w:val="231F20"/>
          <w:w w:val="105"/>
        </w:rPr>
        <w:t>primeras</w:t>
      </w:r>
      <w:r>
        <w:rPr>
          <w:color w:val="231F20"/>
          <w:spacing w:val="-31"/>
          <w:w w:val="105"/>
        </w:rPr>
        <w:t> </w:t>
      </w:r>
      <w:r>
        <w:rPr>
          <w:color w:val="231F20"/>
          <w:w w:val="105"/>
        </w:rPr>
        <w:t>idas</w:t>
      </w:r>
      <w:r>
        <w:rPr>
          <w:color w:val="231F20"/>
          <w:spacing w:val="-31"/>
          <w:w w:val="105"/>
        </w:rPr>
        <w:t> </w:t>
      </w:r>
      <w:r>
        <w:rPr>
          <w:color w:val="231F20"/>
          <w:w w:val="105"/>
        </w:rPr>
        <w:t>se</w:t>
      </w:r>
      <w:r>
        <w:rPr>
          <w:color w:val="231F20"/>
          <w:spacing w:val="-31"/>
          <w:w w:val="105"/>
        </w:rPr>
        <w:t> </w:t>
      </w:r>
      <w:r>
        <w:rPr>
          <w:color w:val="231F20"/>
          <w:w w:val="105"/>
        </w:rPr>
        <w:t>viven sin</w:t>
      </w:r>
      <w:r>
        <w:rPr>
          <w:color w:val="231F20"/>
          <w:spacing w:val="-7"/>
          <w:w w:val="105"/>
        </w:rPr>
        <w:t> </w:t>
      </w:r>
      <w:r>
        <w:rPr>
          <w:color w:val="231F20"/>
          <w:w w:val="105"/>
        </w:rPr>
        <w:t>conciencia</w:t>
      </w:r>
      <w:r>
        <w:rPr>
          <w:color w:val="231F20"/>
          <w:spacing w:val="-7"/>
          <w:w w:val="105"/>
        </w:rPr>
        <w:t> </w:t>
      </w:r>
      <w:r>
        <w:rPr>
          <w:color w:val="231F20"/>
          <w:w w:val="105"/>
        </w:rPr>
        <w:t>moral</w:t>
      </w:r>
      <w:r>
        <w:rPr>
          <w:color w:val="231F20"/>
          <w:spacing w:val="-7"/>
          <w:w w:val="105"/>
        </w:rPr>
        <w:t> </w:t>
      </w:r>
      <w:r>
        <w:rPr>
          <w:color w:val="231F20"/>
          <w:w w:val="105"/>
        </w:rPr>
        <w:t>(bueno</w:t>
      </w:r>
      <w:r>
        <w:rPr>
          <w:color w:val="231F20"/>
          <w:spacing w:val="-7"/>
          <w:w w:val="105"/>
        </w:rPr>
        <w:t> </w:t>
      </w:r>
      <w:r>
        <w:rPr>
          <w:color w:val="231F20"/>
          <w:w w:val="105"/>
        </w:rPr>
        <w:t>o</w:t>
      </w:r>
      <w:r>
        <w:rPr>
          <w:color w:val="231F20"/>
          <w:spacing w:val="-7"/>
          <w:w w:val="105"/>
        </w:rPr>
        <w:t> </w:t>
      </w:r>
      <w:r>
        <w:rPr>
          <w:color w:val="231F20"/>
          <w:w w:val="105"/>
        </w:rPr>
        <w:t>malo),</w:t>
      </w:r>
      <w:r>
        <w:rPr>
          <w:color w:val="231F20"/>
          <w:spacing w:val="-12"/>
          <w:w w:val="105"/>
        </w:rPr>
        <w:t> </w:t>
      </w:r>
      <w:r>
        <w:rPr>
          <w:color w:val="231F20"/>
          <w:w w:val="105"/>
        </w:rPr>
        <w:t>vacío</w:t>
      </w:r>
      <w:r>
        <w:rPr>
          <w:color w:val="231F20"/>
          <w:spacing w:val="-7"/>
          <w:w w:val="105"/>
        </w:rPr>
        <w:t> </w:t>
      </w:r>
      <w:r>
        <w:rPr>
          <w:color w:val="231F20"/>
          <w:w w:val="105"/>
        </w:rPr>
        <w:t>de</w:t>
      </w:r>
      <w:r>
        <w:rPr>
          <w:color w:val="231F20"/>
          <w:spacing w:val="-7"/>
          <w:w w:val="105"/>
        </w:rPr>
        <w:t> </w:t>
      </w:r>
      <w:r>
        <w:rPr>
          <w:color w:val="231F20"/>
          <w:w w:val="105"/>
        </w:rPr>
        <w:t>información,</w:t>
      </w:r>
      <w:r>
        <w:rPr>
          <w:color w:val="231F20"/>
          <w:spacing w:val="-12"/>
          <w:w w:val="105"/>
        </w:rPr>
        <w:t> </w:t>
      </w:r>
      <w:r>
        <w:rPr>
          <w:color w:val="231F20"/>
          <w:w w:val="105"/>
        </w:rPr>
        <w:t>cosa</w:t>
      </w:r>
      <w:r>
        <w:rPr>
          <w:color w:val="231F20"/>
          <w:spacing w:val="-7"/>
          <w:w w:val="105"/>
        </w:rPr>
        <w:t> </w:t>
      </w:r>
      <w:r>
        <w:rPr>
          <w:color w:val="231F20"/>
          <w:w w:val="105"/>
        </w:rPr>
        <w:t>que</w:t>
      </w:r>
      <w:r>
        <w:rPr>
          <w:color w:val="231F20"/>
          <w:spacing w:val="-7"/>
          <w:w w:val="105"/>
        </w:rPr>
        <w:t> </w:t>
      </w:r>
      <w:r>
        <w:rPr>
          <w:color w:val="231F20"/>
          <w:w w:val="105"/>
        </w:rPr>
        <w:t>no ocurre</w:t>
      </w:r>
      <w:r>
        <w:rPr>
          <w:color w:val="231F20"/>
          <w:spacing w:val="-21"/>
          <w:w w:val="105"/>
        </w:rPr>
        <w:t> </w:t>
      </w:r>
      <w:r>
        <w:rPr>
          <w:color w:val="231F20"/>
          <w:w w:val="105"/>
        </w:rPr>
        <w:t>en</w:t>
      </w:r>
      <w:r>
        <w:rPr>
          <w:color w:val="231F20"/>
          <w:spacing w:val="-21"/>
          <w:w w:val="105"/>
        </w:rPr>
        <w:t> </w:t>
      </w:r>
      <w:r>
        <w:rPr>
          <w:color w:val="231F20"/>
          <w:w w:val="105"/>
        </w:rPr>
        <w:t>las</w:t>
      </w:r>
      <w:r>
        <w:rPr>
          <w:color w:val="231F20"/>
          <w:spacing w:val="-21"/>
          <w:w w:val="105"/>
        </w:rPr>
        <w:t> </w:t>
      </w:r>
      <w:r>
        <w:rPr>
          <w:color w:val="231F20"/>
          <w:w w:val="105"/>
        </w:rPr>
        <w:t>posteriores</w:t>
      </w:r>
      <w:r>
        <w:rPr>
          <w:color w:val="231F20"/>
          <w:spacing w:val="-21"/>
          <w:w w:val="105"/>
        </w:rPr>
        <w:t> </w:t>
      </w:r>
      <w:r>
        <w:rPr>
          <w:color w:val="231F20"/>
          <w:w w:val="105"/>
        </w:rPr>
        <w:t>salidas</w:t>
      </w:r>
      <w:r>
        <w:rPr>
          <w:color w:val="231F20"/>
          <w:spacing w:val="-21"/>
          <w:w w:val="105"/>
        </w:rPr>
        <w:t> </w:t>
      </w:r>
      <w:r>
        <w:rPr>
          <w:color w:val="231F20"/>
          <w:w w:val="105"/>
        </w:rPr>
        <w:t>donde</w:t>
      </w:r>
      <w:r>
        <w:rPr>
          <w:color w:val="231F20"/>
          <w:spacing w:val="-21"/>
          <w:w w:val="105"/>
        </w:rPr>
        <w:t> </w:t>
      </w:r>
      <w:r>
        <w:rPr>
          <w:color w:val="231F20"/>
          <w:w w:val="105"/>
        </w:rPr>
        <w:t>las</w:t>
      </w:r>
      <w:r>
        <w:rPr>
          <w:color w:val="231F20"/>
          <w:spacing w:val="-21"/>
          <w:w w:val="105"/>
        </w:rPr>
        <w:t> </w:t>
      </w:r>
      <w:r>
        <w:rPr>
          <w:color w:val="231F20"/>
          <w:w w:val="105"/>
        </w:rPr>
        <w:t>mismas</w:t>
      </w:r>
      <w:r>
        <w:rPr>
          <w:color w:val="231F20"/>
          <w:spacing w:val="-21"/>
          <w:w w:val="105"/>
        </w:rPr>
        <w:t> </w:t>
      </w:r>
      <w:r>
        <w:rPr>
          <w:color w:val="231F20"/>
          <w:w w:val="105"/>
        </w:rPr>
        <w:t>experiencias</w:t>
      </w:r>
      <w:r>
        <w:rPr>
          <w:color w:val="231F20"/>
          <w:spacing w:val="-21"/>
          <w:w w:val="105"/>
        </w:rPr>
        <w:t> </w:t>
      </w:r>
      <w:r>
        <w:rPr>
          <w:color w:val="231F20"/>
          <w:w w:val="105"/>
        </w:rPr>
        <w:t>pueden ser</w:t>
      </w:r>
      <w:r>
        <w:rPr>
          <w:color w:val="231F20"/>
          <w:spacing w:val="-7"/>
          <w:w w:val="105"/>
        </w:rPr>
        <w:t> </w:t>
      </w:r>
      <w:r>
        <w:rPr>
          <w:color w:val="231F20"/>
          <w:w w:val="105"/>
        </w:rPr>
        <w:t>de</w:t>
      </w:r>
      <w:r>
        <w:rPr>
          <w:color w:val="231F20"/>
          <w:spacing w:val="-7"/>
          <w:w w:val="105"/>
        </w:rPr>
        <w:t> </w:t>
      </w:r>
      <w:r>
        <w:rPr>
          <w:color w:val="231F20"/>
          <w:w w:val="105"/>
        </w:rPr>
        <w:t>utilidad</w:t>
      </w:r>
      <w:r>
        <w:rPr>
          <w:color w:val="231F20"/>
          <w:spacing w:val="-7"/>
          <w:w w:val="105"/>
        </w:rPr>
        <w:t> </w:t>
      </w:r>
      <w:r>
        <w:rPr>
          <w:color w:val="231F20"/>
          <w:w w:val="105"/>
        </w:rPr>
        <w:t>para</w:t>
      </w:r>
      <w:r>
        <w:rPr>
          <w:color w:val="231F20"/>
          <w:spacing w:val="-7"/>
          <w:w w:val="105"/>
        </w:rPr>
        <w:t> </w:t>
      </w:r>
      <w:r>
        <w:rPr>
          <w:color w:val="231F20"/>
          <w:w w:val="105"/>
        </w:rPr>
        <w:t>pasarla</w:t>
      </w:r>
      <w:r>
        <w:rPr>
          <w:color w:val="231F20"/>
          <w:spacing w:val="-7"/>
          <w:w w:val="105"/>
        </w:rPr>
        <w:t> </w:t>
      </w:r>
      <w:r>
        <w:rPr>
          <w:color w:val="231F20"/>
          <w:w w:val="105"/>
        </w:rPr>
        <w:t>mejor</w:t>
      </w:r>
      <w:r>
        <w:rPr>
          <w:color w:val="231F20"/>
          <w:spacing w:val="-7"/>
          <w:w w:val="105"/>
        </w:rPr>
        <w:t> </w:t>
      </w:r>
      <w:r>
        <w:rPr>
          <w:color w:val="231F20"/>
          <w:w w:val="105"/>
        </w:rPr>
        <w:t>o</w:t>
      </w:r>
      <w:r>
        <w:rPr>
          <w:color w:val="231F20"/>
          <w:spacing w:val="-7"/>
          <w:w w:val="105"/>
        </w:rPr>
        <w:t> </w:t>
      </w:r>
      <w:r>
        <w:rPr>
          <w:color w:val="231F20"/>
          <w:spacing w:val="-3"/>
          <w:w w:val="105"/>
        </w:rPr>
        <w:t>peor.</w:t>
      </w:r>
    </w:p>
    <w:p>
      <w:pPr>
        <w:pStyle w:val="BodyText"/>
        <w:spacing w:line="261" w:lineRule="auto" w:before="1"/>
        <w:ind w:left="1837" w:right="1714" w:firstLine="567"/>
        <w:jc w:val="both"/>
      </w:pPr>
      <w:r>
        <w:rPr>
          <w:color w:val="231F20"/>
          <w:w w:val="105"/>
        </w:rPr>
        <w:t>En otras palabras, es en la narración de las experiencias de vida donde</w:t>
      </w:r>
      <w:r>
        <w:rPr>
          <w:color w:val="231F20"/>
          <w:spacing w:val="-10"/>
          <w:w w:val="105"/>
        </w:rPr>
        <w:t> </w:t>
      </w:r>
      <w:r>
        <w:rPr>
          <w:color w:val="231F20"/>
          <w:w w:val="105"/>
        </w:rPr>
        <w:t>los</w:t>
      </w:r>
      <w:r>
        <w:rPr>
          <w:color w:val="231F20"/>
          <w:spacing w:val="-10"/>
          <w:w w:val="105"/>
        </w:rPr>
        <w:t> </w:t>
      </w:r>
      <w:r>
        <w:rPr>
          <w:color w:val="231F20"/>
          <w:w w:val="105"/>
        </w:rPr>
        <w:t>migrantes</w:t>
      </w:r>
      <w:r>
        <w:rPr>
          <w:color w:val="231F20"/>
          <w:spacing w:val="-10"/>
          <w:w w:val="105"/>
        </w:rPr>
        <w:t> </w:t>
      </w:r>
      <w:r>
        <w:rPr>
          <w:color w:val="231F20"/>
          <w:w w:val="105"/>
        </w:rPr>
        <w:t>son</w:t>
      </w:r>
      <w:r>
        <w:rPr>
          <w:color w:val="231F20"/>
          <w:spacing w:val="-10"/>
          <w:w w:val="105"/>
        </w:rPr>
        <w:t> </w:t>
      </w:r>
      <w:r>
        <w:rPr>
          <w:color w:val="231F20"/>
          <w:w w:val="105"/>
        </w:rPr>
        <w:t>conscientes</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han</w:t>
      </w:r>
      <w:r>
        <w:rPr>
          <w:color w:val="231F20"/>
          <w:spacing w:val="-10"/>
          <w:w w:val="105"/>
        </w:rPr>
        <w:t> </w:t>
      </w:r>
      <w:r>
        <w:rPr>
          <w:color w:val="231F20"/>
          <w:w w:val="105"/>
        </w:rPr>
        <w:t>expuesto</w:t>
      </w:r>
      <w:r>
        <w:rPr>
          <w:color w:val="231F20"/>
          <w:spacing w:val="-10"/>
          <w:w w:val="105"/>
        </w:rPr>
        <w:t> </w:t>
      </w:r>
      <w:r>
        <w:rPr>
          <w:color w:val="231F20"/>
          <w:w w:val="105"/>
        </w:rPr>
        <w:t>la</w:t>
      </w:r>
      <w:r>
        <w:rPr>
          <w:color w:val="231F20"/>
          <w:spacing w:val="-10"/>
          <w:w w:val="105"/>
        </w:rPr>
        <w:t> </w:t>
      </w:r>
      <w:r>
        <w:rPr>
          <w:color w:val="231F20"/>
          <w:w w:val="105"/>
        </w:rPr>
        <w:t>vida,</w:t>
      </w:r>
      <w:r>
        <w:rPr>
          <w:color w:val="231F20"/>
          <w:spacing w:val="-16"/>
          <w:w w:val="105"/>
        </w:rPr>
        <w:t> </w:t>
      </w:r>
      <w:r>
        <w:rPr>
          <w:color w:val="231F20"/>
          <w:w w:val="105"/>
        </w:rPr>
        <w:t>pues cuesta reconocer el dolor al que han sometido su cuerpo y la vida en momentos</w:t>
      </w:r>
      <w:r>
        <w:rPr>
          <w:color w:val="231F20"/>
          <w:spacing w:val="-12"/>
          <w:w w:val="105"/>
        </w:rPr>
        <w:t> </w:t>
      </w:r>
      <w:r>
        <w:rPr>
          <w:color w:val="231F20"/>
          <w:w w:val="105"/>
        </w:rPr>
        <w:t>tan</w:t>
      </w:r>
      <w:r>
        <w:rPr>
          <w:color w:val="231F20"/>
          <w:spacing w:val="-12"/>
          <w:w w:val="105"/>
        </w:rPr>
        <w:t> </w:t>
      </w:r>
      <w:r>
        <w:rPr>
          <w:color w:val="231F20"/>
          <w:w w:val="105"/>
        </w:rPr>
        <w:t>particulares.</w:t>
      </w:r>
      <w:r>
        <w:rPr>
          <w:color w:val="231F20"/>
          <w:spacing w:val="-16"/>
          <w:w w:val="105"/>
        </w:rPr>
        <w:t> </w:t>
      </w:r>
      <w:r>
        <w:rPr>
          <w:color w:val="231F20"/>
          <w:w w:val="105"/>
        </w:rPr>
        <w:t>Entre</w:t>
      </w:r>
      <w:r>
        <w:rPr>
          <w:color w:val="231F20"/>
          <w:spacing w:val="-12"/>
          <w:w w:val="105"/>
        </w:rPr>
        <w:t> </w:t>
      </w:r>
      <w:r>
        <w:rPr>
          <w:color w:val="231F20"/>
          <w:w w:val="105"/>
        </w:rPr>
        <w:t>esas</w:t>
      </w:r>
      <w:r>
        <w:rPr>
          <w:color w:val="231F20"/>
          <w:spacing w:val="-12"/>
          <w:w w:val="105"/>
        </w:rPr>
        <w:t> </w:t>
      </w:r>
      <w:r>
        <w:rPr>
          <w:color w:val="231F20"/>
          <w:w w:val="105"/>
        </w:rPr>
        <w:t>experiencias</w:t>
      </w:r>
      <w:r>
        <w:rPr>
          <w:color w:val="231F20"/>
          <w:spacing w:val="-12"/>
          <w:w w:val="105"/>
        </w:rPr>
        <w:t> </w:t>
      </w:r>
      <w:r>
        <w:rPr>
          <w:color w:val="231F20"/>
          <w:w w:val="105"/>
        </w:rPr>
        <w:t>sobresale</w:t>
      </w:r>
      <w:r>
        <w:rPr>
          <w:color w:val="231F20"/>
          <w:spacing w:val="-12"/>
          <w:w w:val="105"/>
        </w:rPr>
        <w:t> </w:t>
      </w:r>
      <w:r>
        <w:rPr>
          <w:color w:val="231F20"/>
          <w:w w:val="105"/>
        </w:rPr>
        <w:t>“caminar por</w:t>
      </w:r>
      <w:r>
        <w:rPr>
          <w:color w:val="231F20"/>
          <w:spacing w:val="-8"/>
          <w:w w:val="105"/>
        </w:rPr>
        <w:t> </w:t>
      </w:r>
      <w:r>
        <w:rPr>
          <w:color w:val="231F20"/>
          <w:w w:val="105"/>
        </w:rPr>
        <w:t>el</w:t>
      </w:r>
      <w:r>
        <w:rPr>
          <w:color w:val="231F20"/>
          <w:spacing w:val="-8"/>
          <w:w w:val="105"/>
        </w:rPr>
        <w:t> </w:t>
      </w:r>
      <w:r>
        <w:rPr>
          <w:color w:val="231F20"/>
          <w:w w:val="105"/>
        </w:rPr>
        <w:t>túnel</w:t>
      </w:r>
      <w:r>
        <w:rPr>
          <w:color w:val="231F20"/>
          <w:spacing w:val="-8"/>
          <w:w w:val="105"/>
        </w:rPr>
        <w:t> </w:t>
      </w:r>
      <w:r>
        <w:rPr>
          <w:color w:val="231F20"/>
          <w:w w:val="105"/>
        </w:rPr>
        <w:t>de</w:t>
      </w:r>
      <w:r>
        <w:rPr>
          <w:color w:val="231F20"/>
          <w:spacing w:val="-8"/>
          <w:w w:val="105"/>
        </w:rPr>
        <w:t> </w:t>
      </w:r>
      <w:r>
        <w:rPr>
          <w:color w:val="231F20"/>
          <w:w w:val="105"/>
        </w:rPr>
        <w:t>drenaje</w:t>
      </w:r>
      <w:r>
        <w:rPr>
          <w:color w:val="231F20"/>
          <w:spacing w:val="-8"/>
          <w:w w:val="105"/>
        </w:rPr>
        <w:t> </w:t>
      </w:r>
      <w:r>
        <w:rPr>
          <w:color w:val="231F20"/>
          <w:w w:val="105"/>
        </w:rPr>
        <w:t>para</w:t>
      </w:r>
      <w:r>
        <w:rPr>
          <w:color w:val="231F20"/>
          <w:spacing w:val="-8"/>
          <w:w w:val="105"/>
        </w:rPr>
        <w:t> </w:t>
      </w:r>
      <w:r>
        <w:rPr>
          <w:color w:val="231F20"/>
          <w:w w:val="105"/>
        </w:rPr>
        <w:t>salir</w:t>
      </w:r>
      <w:r>
        <w:rPr>
          <w:color w:val="231F20"/>
          <w:spacing w:val="-8"/>
          <w:w w:val="105"/>
        </w:rPr>
        <w:t> </w:t>
      </w:r>
      <w:r>
        <w:rPr>
          <w:color w:val="231F20"/>
          <w:spacing w:val="-3"/>
          <w:w w:val="105"/>
        </w:rPr>
        <w:t>apestosos”,</w:t>
      </w:r>
      <w:r>
        <w:rPr>
          <w:color w:val="231F20"/>
          <w:spacing w:val="-15"/>
          <w:w w:val="105"/>
        </w:rPr>
        <w:t> </w:t>
      </w:r>
      <w:r>
        <w:rPr>
          <w:color w:val="231F20"/>
          <w:w w:val="105"/>
        </w:rPr>
        <w:t>“estar</w:t>
      </w:r>
      <w:r>
        <w:rPr>
          <w:color w:val="231F20"/>
          <w:spacing w:val="-8"/>
          <w:w w:val="105"/>
        </w:rPr>
        <w:t> </w:t>
      </w:r>
      <w:r>
        <w:rPr>
          <w:color w:val="231F20"/>
          <w:w w:val="105"/>
        </w:rPr>
        <w:t>a</w:t>
      </w:r>
      <w:r>
        <w:rPr>
          <w:color w:val="231F20"/>
          <w:spacing w:val="-8"/>
          <w:w w:val="105"/>
        </w:rPr>
        <w:t> </w:t>
      </w:r>
      <w:r>
        <w:rPr>
          <w:color w:val="231F20"/>
          <w:w w:val="105"/>
        </w:rPr>
        <w:t>punto</w:t>
      </w:r>
      <w:r>
        <w:rPr>
          <w:color w:val="231F20"/>
          <w:spacing w:val="-8"/>
          <w:w w:val="105"/>
        </w:rPr>
        <w:t> </w:t>
      </w:r>
      <w:r>
        <w:rPr>
          <w:color w:val="231F20"/>
          <w:w w:val="105"/>
        </w:rPr>
        <w:t>de</w:t>
      </w:r>
      <w:r>
        <w:rPr>
          <w:color w:val="231F20"/>
          <w:spacing w:val="-8"/>
          <w:w w:val="105"/>
        </w:rPr>
        <w:t> </w:t>
      </w:r>
      <w:r>
        <w:rPr>
          <w:color w:val="231F20"/>
          <w:w w:val="105"/>
        </w:rPr>
        <w:t>ahogarse en el río Bravo, al soltarse del </w:t>
      </w:r>
      <w:r>
        <w:rPr>
          <w:color w:val="231F20"/>
          <w:spacing w:val="-6"/>
          <w:w w:val="105"/>
        </w:rPr>
        <w:t>guía”, </w:t>
      </w:r>
      <w:r>
        <w:rPr>
          <w:color w:val="231F20"/>
          <w:w w:val="105"/>
        </w:rPr>
        <w:t>“ahogarse en arena debido a que el helicóptero de la patrulla fronteriza los orilló al peligro del </w:t>
      </w:r>
      <w:r>
        <w:rPr>
          <w:color w:val="231F20"/>
          <w:spacing w:val="-3"/>
          <w:w w:val="105"/>
        </w:rPr>
        <w:t>desierto”, </w:t>
      </w:r>
      <w:r>
        <w:rPr>
          <w:color w:val="231F20"/>
          <w:w w:val="105"/>
        </w:rPr>
        <w:t>“chocar</w:t>
      </w:r>
      <w:r>
        <w:rPr>
          <w:color w:val="231F20"/>
          <w:spacing w:val="-22"/>
          <w:w w:val="105"/>
        </w:rPr>
        <w:t> </w:t>
      </w:r>
      <w:r>
        <w:rPr>
          <w:color w:val="231F20"/>
          <w:w w:val="105"/>
        </w:rPr>
        <w:t>con</w:t>
      </w:r>
      <w:r>
        <w:rPr>
          <w:color w:val="231F20"/>
          <w:spacing w:val="-22"/>
          <w:w w:val="105"/>
        </w:rPr>
        <w:t> </w:t>
      </w:r>
      <w:r>
        <w:rPr>
          <w:color w:val="231F20"/>
          <w:w w:val="105"/>
        </w:rPr>
        <w:t>los</w:t>
      </w:r>
      <w:r>
        <w:rPr>
          <w:color w:val="231F20"/>
          <w:spacing w:val="-22"/>
          <w:w w:val="105"/>
        </w:rPr>
        <w:t> </w:t>
      </w:r>
      <w:r>
        <w:rPr>
          <w:color w:val="231F20"/>
          <w:w w:val="105"/>
        </w:rPr>
        <w:t>cables</w:t>
      </w:r>
      <w:r>
        <w:rPr>
          <w:color w:val="231F20"/>
          <w:spacing w:val="-22"/>
          <w:w w:val="105"/>
        </w:rPr>
        <w:t> </w:t>
      </w:r>
      <w:r>
        <w:rPr>
          <w:color w:val="231F20"/>
          <w:w w:val="105"/>
        </w:rPr>
        <w:t>de</w:t>
      </w:r>
      <w:r>
        <w:rPr>
          <w:color w:val="231F20"/>
          <w:spacing w:val="-22"/>
          <w:w w:val="105"/>
        </w:rPr>
        <w:t> </w:t>
      </w:r>
      <w:r>
        <w:rPr>
          <w:color w:val="231F20"/>
          <w:w w:val="105"/>
        </w:rPr>
        <w:t>alta</w:t>
      </w:r>
      <w:r>
        <w:rPr>
          <w:color w:val="231F20"/>
          <w:spacing w:val="-22"/>
          <w:w w:val="105"/>
        </w:rPr>
        <w:t> </w:t>
      </w:r>
      <w:r>
        <w:rPr>
          <w:color w:val="231F20"/>
          <w:w w:val="105"/>
        </w:rPr>
        <w:t>tensión</w:t>
      </w:r>
      <w:r>
        <w:rPr>
          <w:color w:val="231F20"/>
          <w:spacing w:val="-22"/>
          <w:w w:val="105"/>
        </w:rPr>
        <w:t> </w:t>
      </w:r>
      <w:r>
        <w:rPr>
          <w:color w:val="231F20"/>
          <w:w w:val="105"/>
        </w:rPr>
        <w:t>vencidos</w:t>
      </w:r>
      <w:r>
        <w:rPr>
          <w:color w:val="231F20"/>
          <w:spacing w:val="-22"/>
          <w:w w:val="105"/>
        </w:rPr>
        <w:t> </w:t>
      </w:r>
      <w:r>
        <w:rPr>
          <w:color w:val="231F20"/>
          <w:w w:val="105"/>
        </w:rPr>
        <w:t>por</w:t>
      </w:r>
      <w:r>
        <w:rPr>
          <w:color w:val="231F20"/>
          <w:spacing w:val="-22"/>
          <w:w w:val="105"/>
        </w:rPr>
        <w:t> </w:t>
      </w:r>
      <w:r>
        <w:rPr>
          <w:color w:val="231F20"/>
          <w:w w:val="105"/>
        </w:rPr>
        <w:t>el</w:t>
      </w:r>
      <w:r>
        <w:rPr>
          <w:color w:val="231F20"/>
          <w:spacing w:val="-22"/>
          <w:w w:val="105"/>
        </w:rPr>
        <w:t> </w:t>
      </w:r>
      <w:r>
        <w:rPr>
          <w:color w:val="231F20"/>
          <w:spacing w:val="-3"/>
          <w:w w:val="105"/>
        </w:rPr>
        <w:t>cansancio”,</w:t>
      </w:r>
      <w:r>
        <w:rPr>
          <w:color w:val="231F20"/>
          <w:spacing w:val="-27"/>
          <w:w w:val="105"/>
        </w:rPr>
        <w:t> </w:t>
      </w:r>
      <w:r>
        <w:rPr>
          <w:color w:val="231F20"/>
          <w:w w:val="105"/>
        </w:rPr>
        <w:t>“estar</w:t>
      </w:r>
      <w:r>
        <w:rPr>
          <w:color w:val="231F20"/>
          <w:spacing w:val="-22"/>
          <w:w w:val="105"/>
        </w:rPr>
        <w:t> </w:t>
      </w:r>
      <w:r>
        <w:rPr>
          <w:color w:val="231F20"/>
          <w:w w:val="105"/>
        </w:rPr>
        <w:t>a punto de </w:t>
      </w:r>
      <w:r>
        <w:rPr>
          <w:color w:val="231F20"/>
          <w:spacing w:val="-3"/>
          <w:w w:val="105"/>
        </w:rPr>
        <w:t>despeñarse”, </w:t>
      </w:r>
      <w:r>
        <w:rPr>
          <w:color w:val="231F20"/>
          <w:w w:val="105"/>
        </w:rPr>
        <w:t>“estar a punto de morir de hipotermia, “perderse en</w:t>
      </w:r>
      <w:r>
        <w:rPr>
          <w:color w:val="231F20"/>
          <w:spacing w:val="-12"/>
          <w:w w:val="105"/>
        </w:rPr>
        <w:t> </w:t>
      </w:r>
      <w:r>
        <w:rPr>
          <w:color w:val="231F20"/>
          <w:w w:val="105"/>
        </w:rPr>
        <w:t>el</w:t>
      </w:r>
      <w:r>
        <w:rPr>
          <w:color w:val="231F20"/>
          <w:spacing w:val="-12"/>
          <w:w w:val="105"/>
        </w:rPr>
        <w:t> </w:t>
      </w:r>
      <w:r>
        <w:rPr>
          <w:color w:val="231F20"/>
          <w:w w:val="105"/>
        </w:rPr>
        <w:t>camino</w:t>
      </w:r>
      <w:r>
        <w:rPr>
          <w:color w:val="231F20"/>
          <w:spacing w:val="-12"/>
          <w:w w:val="105"/>
        </w:rPr>
        <w:t> </w:t>
      </w:r>
      <w:r>
        <w:rPr>
          <w:color w:val="231F20"/>
          <w:w w:val="105"/>
        </w:rPr>
        <w:t>por</w:t>
      </w:r>
      <w:r>
        <w:rPr>
          <w:color w:val="231F20"/>
          <w:spacing w:val="-12"/>
          <w:w w:val="105"/>
        </w:rPr>
        <w:t> </w:t>
      </w:r>
      <w:r>
        <w:rPr>
          <w:color w:val="231F20"/>
          <w:w w:val="105"/>
        </w:rPr>
        <w:t>una</w:t>
      </w:r>
      <w:r>
        <w:rPr>
          <w:color w:val="231F20"/>
          <w:spacing w:val="-12"/>
          <w:w w:val="105"/>
        </w:rPr>
        <w:t> </w:t>
      </w:r>
      <w:r>
        <w:rPr>
          <w:color w:val="231F20"/>
          <w:w w:val="105"/>
        </w:rPr>
        <w:t>redada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patrulla</w:t>
      </w:r>
      <w:r>
        <w:rPr>
          <w:color w:val="231F20"/>
          <w:spacing w:val="-12"/>
          <w:w w:val="105"/>
        </w:rPr>
        <w:t> </w:t>
      </w:r>
      <w:r>
        <w:rPr>
          <w:color w:val="231F20"/>
          <w:w w:val="105"/>
        </w:rPr>
        <w:t>fronteriza”</w:t>
      </w:r>
      <w:r>
        <w:rPr>
          <w:color w:val="231F20"/>
          <w:spacing w:val="-12"/>
          <w:w w:val="105"/>
        </w:rPr>
        <w:t> </w:t>
      </w:r>
      <w:r>
        <w:rPr>
          <w:color w:val="231F20"/>
          <w:w w:val="105"/>
        </w:rPr>
        <w:t>o</w:t>
      </w:r>
      <w:r>
        <w:rPr>
          <w:color w:val="231F20"/>
          <w:spacing w:val="-12"/>
          <w:w w:val="105"/>
        </w:rPr>
        <w:t> </w:t>
      </w:r>
      <w:r>
        <w:rPr>
          <w:color w:val="231F20"/>
          <w:w w:val="105"/>
        </w:rPr>
        <w:t>“estar</w:t>
      </w:r>
      <w:r>
        <w:rPr>
          <w:color w:val="231F20"/>
          <w:spacing w:val="-12"/>
          <w:w w:val="105"/>
        </w:rPr>
        <w:t> </w:t>
      </w:r>
      <w:r>
        <w:rPr>
          <w:color w:val="231F20"/>
          <w:w w:val="105"/>
        </w:rPr>
        <w:t>a</w:t>
      </w:r>
      <w:r>
        <w:rPr>
          <w:color w:val="231F20"/>
          <w:spacing w:val="-12"/>
          <w:w w:val="105"/>
        </w:rPr>
        <w:t> </w:t>
      </w:r>
      <w:r>
        <w:rPr>
          <w:color w:val="231F20"/>
          <w:w w:val="105"/>
        </w:rPr>
        <w:t>punto</w:t>
      </w:r>
      <w:r>
        <w:rPr>
          <w:color w:val="231F20"/>
          <w:spacing w:val="-12"/>
          <w:w w:val="105"/>
        </w:rPr>
        <w:t> </w:t>
      </w:r>
      <w:r>
        <w:rPr>
          <w:color w:val="231F20"/>
          <w:w w:val="105"/>
        </w:rPr>
        <w:t>de asfixiarse</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cajuela</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spacing w:val="-5"/>
          <w:w w:val="105"/>
        </w:rPr>
        <w:t>auto”.</w:t>
      </w:r>
    </w:p>
    <w:p>
      <w:pPr>
        <w:pStyle w:val="BodyText"/>
        <w:spacing w:line="261" w:lineRule="auto" w:before="1"/>
        <w:ind w:left="1837" w:right="1721" w:firstLine="567"/>
        <w:jc w:val="both"/>
      </w:pPr>
      <w:r>
        <w:rPr/>
        <w:pict>
          <v:line style="position:absolute;mso-position-horizontal-relative:page;mso-position-vertical-relative:paragraph;z-index:-443080" from="15pt,115.890587pt" to="0pt,115.890587pt" stroked="true" strokeweight=".25pt" strokecolor="#000000">
            <w10:wrap type="none"/>
          </v:line>
        </w:pict>
      </w:r>
      <w:r>
        <w:rPr/>
        <w:pict>
          <v:line style="position:absolute;mso-position-horizontal-relative:page;mso-position-vertical-relative:paragraph;z-index:47128" from="508.890015pt,115.890587pt" to="523.890015pt,115.890587pt" stroked="true" strokeweight=".25pt" strokecolor="#000000">
            <w10:wrap type="none"/>
          </v:line>
        </w:pict>
      </w:r>
      <w:r>
        <w:rPr>
          <w:color w:val="231F20"/>
        </w:rPr>
        <w:t>Por lo anterior, pensar en las emociones que produce la migración permite entender las vivencias cotidianas, así como la estructura de las relaciones  humanas, conyugales, familiares  y  colectivas, que  tienen  los</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28"/>
        <w:jc w:val="both"/>
      </w:pPr>
      <w:r>
        <w:rPr/>
        <w:pict>
          <v:line style="position:absolute;mso-position-horizontal-relative:page;mso-position-vertical-relative:paragraph;z-index:47176" from="15pt,-71.68644pt" to="0pt,-71.68644pt" stroked="true" strokeweight=".25pt" strokecolor="#000000">
            <w10:wrap type="none"/>
          </v:line>
        </w:pict>
      </w:r>
      <w:r>
        <w:rPr/>
        <w:pict>
          <v:line style="position:absolute;mso-position-horizontal-relative:page;mso-position-vertical-relative:paragraph;z-index:47200" from="508.890015pt,-71.68644pt" to="523.890015pt,-71.68644pt" stroked="true" strokeweight=".25pt" strokecolor="#000000">
            <w10:wrap type="none"/>
          </v:line>
        </w:pict>
      </w:r>
      <w:r>
        <w:rPr>
          <w:color w:val="231F20"/>
          <w:w w:val="105"/>
        </w:rPr>
        <w:t>migrantes. Estos hombres y mujeres transitan por sus propias</w:t>
      </w:r>
      <w:r>
        <w:rPr>
          <w:color w:val="231F20"/>
          <w:spacing w:val="-10"/>
          <w:w w:val="105"/>
        </w:rPr>
        <w:t> </w:t>
      </w:r>
      <w:r>
        <w:rPr>
          <w:color w:val="231F20"/>
          <w:w w:val="105"/>
        </w:rPr>
        <w:t>alegrías, tristezas</w:t>
      </w:r>
      <w:r>
        <w:rPr>
          <w:color w:val="231F20"/>
          <w:spacing w:val="-15"/>
          <w:w w:val="105"/>
        </w:rPr>
        <w:t> </w:t>
      </w:r>
      <w:r>
        <w:rPr>
          <w:color w:val="231F20"/>
          <w:w w:val="105"/>
        </w:rPr>
        <w:t>y</w:t>
      </w:r>
      <w:r>
        <w:rPr>
          <w:color w:val="231F20"/>
          <w:spacing w:val="-15"/>
          <w:w w:val="105"/>
        </w:rPr>
        <w:t> </w:t>
      </w:r>
      <w:r>
        <w:rPr>
          <w:color w:val="231F20"/>
          <w:w w:val="105"/>
        </w:rPr>
        <w:t>penas,</w:t>
      </w:r>
      <w:r>
        <w:rPr>
          <w:color w:val="231F20"/>
          <w:spacing w:val="-19"/>
          <w:w w:val="105"/>
        </w:rPr>
        <w:t> </w:t>
      </w:r>
      <w:r>
        <w:rPr>
          <w:color w:val="231F20"/>
          <w:w w:val="105"/>
        </w:rPr>
        <w:t>y</w:t>
      </w:r>
      <w:r>
        <w:rPr>
          <w:color w:val="231F20"/>
          <w:spacing w:val="-15"/>
          <w:w w:val="105"/>
        </w:rPr>
        <w:t> </w:t>
      </w:r>
      <w:r>
        <w:rPr>
          <w:color w:val="231F20"/>
          <w:w w:val="105"/>
        </w:rPr>
        <w:t>ciertas</w:t>
      </w:r>
      <w:r>
        <w:rPr>
          <w:color w:val="231F20"/>
          <w:spacing w:val="-15"/>
          <w:w w:val="105"/>
        </w:rPr>
        <w:t> </w:t>
      </w:r>
      <w:r>
        <w:rPr>
          <w:color w:val="231F20"/>
          <w:w w:val="105"/>
        </w:rPr>
        <w:t>veces</w:t>
      </w:r>
      <w:r>
        <w:rPr>
          <w:color w:val="231F20"/>
          <w:spacing w:val="-15"/>
          <w:w w:val="105"/>
        </w:rPr>
        <w:t> </w:t>
      </w:r>
      <w:r>
        <w:rPr>
          <w:color w:val="231F20"/>
          <w:w w:val="105"/>
        </w:rPr>
        <w:t>logran</w:t>
      </w:r>
      <w:r>
        <w:rPr>
          <w:color w:val="231F20"/>
          <w:spacing w:val="-15"/>
          <w:w w:val="105"/>
        </w:rPr>
        <w:t> </w:t>
      </w:r>
      <w:r>
        <w:rPr>
          <w:color w:val="231F20"/>
          <w:w w:val="105"/>
        </w:rPr>
        <w:t>mantenerse</w:t>
      </w:r>
      <w:r>
        <w:rPr>
          <w:color w:val="231F20"/>
          <w:spacing w:val="-15"/>
          <w:w w:val="105"/>
        </w:rPr>
        <w:t> </w:t>
      </w:r>
      <w:r>
        <w:rPr>
          <w:color w:val="231F20"/>
          <w:w w:val="105"/>
        </w:rPr>
        <w:t>sólidos</w:t>
      </w:r>
      <w:r>
        <w:rPr>
          <w:color w:val="231F20"/>
          <w:spacing w:val="-15"/>
          <w:w w:val="105"/>
        </w:rPr>
        <w:t> </w:t>
      </w:r>
      <w:r>
        <w:rPr>
          <w:color w:val="231F20"/>
          <w:w w:val="105"/>
        </w:rPr>
        <w:t>y</w:t>
      </w:r>
      <w:r>
        <w:rPr>
          <w:color w:val="231F20"/>
          <w:spacing w:val="-15"/>
          <w:w w:val="105"/>
        </w:rPr>
        <w:t> </w:t>
      </w:r>
      <w:r>
        <w:rPr>
          <w:color w:val="231F20"/>
          <w:w w:val="105"/>
        </w:rPr>
        <w:t>felices,</w:t>
      </w:r>
      <w:r>
        <w:rPr>
          <w:color w:val="231F20"/>
          <w:spacing w:val="-19"/>
          <w:w w:val="105"/>
        </w:rPr>
        <w:t> </w:t>
      </w:r>
      <w:r>
        <w:rPr>
          <w:color w:val="231F20"/>
          <w:w w:val="105"/>
        </w:rPr>
        <w:t>en sintonía</w:t>
      </w:r>
      <w:r>
        <w:rPr>
          <w:color w:val="231F20"/>
          <w:spacing w:val="-22"/>
          <w:w w:val="105"/>
        </w:rPr>
        <w:t> </w:t>
      </w:r>
      <w:r>
        <w:rPr>
          <w:color w:val="231F20"/>
          <w:w w:val="105"/>
        </w:rPr>
        <w:t>con</w:t>
      </w:r>
      <w:r>
        <w:rPr>
          <w:color w:val="231F20"/>
          <w:spacing w:val="-22"/>
          <w:w w:val="105"/>
        </w:rPr>
        <w:t> </w:t>
      </w:r>
      <w:r>
        <w:rPr>
          <w:color w:val="231F20"/>
          <w:w w:val="105"/>
        </w:rPr>
        <w:t>una</w:t>
      </w:r>
      <w:r>
        <w:rPr>
          <w:color w:val="231F20"/>
          <w:spacing w:val="-22"/>
          <w:w w:val="105"/>
        </w:rPr>
        <w:t> </w:t>
      </w:r>
      <w:r>
        <w:rPr>
          <w:color w:val="231F20"/>
          <w:w w:val="105"/>
        </w:rPr>
        <w:t>tranquilidad.</w:t>
      </w:r>
      <w:r>
        <w:rPr>
          <w:color w:val="231F20"/>
          <w:spacing w:val="-27"/>
          <w:w w:val="105"/>
        </w:rPr>
        <w:t> </w:t>
      </w:r>
      <w:r>
        <w:rPr>
          <w:color w:val="231F20"/>
          <w:w w:val="105"/>
        </w:rPr>
        <w:t>Otras</w:t>
      </w:r>
      <w:r>
        <w:rPr>
          <w:color w:val="231F20"/>
          <w:spacing w:val="-22"/>
          <w:w w:val="105"/>
        </w:rPr>
        <w:t> </w:t>
      </w:r>
      <w:r>
        <w:rPr>
          <w:color w:val="231F20"/>
          <w:w w:val="105"/>
        </w:rPr>
        <w:t>veces,</w:t>
      </w:r>
      <w:r>
        <w:rPr>
          <w:color w:val="231F20"/>
          <w:spacing w:val="-27"/>
          <w:w w:val="105"/>
        </w:rPr>
        <w:t> </w:t>
      </w:r>
      <w:r>
        <w:rPr>
          <w:color w:val="231F20"/>
          <w:w w:val="105"/>
        </w:rPr>
        <w:t>suelen</w:t>
      </w:r>
      <w:r>
        <w:rPr>
          <w:color w:val="231F20"/>
          <w:spacing w:val="-22"/>
          <w:w w:val="105"/>
        </w:rPr>
        <w:t> </w:t>
      </w:r>
      <w:r>
        <w:rPr>
          <w:color w:val="231F20"/>
          <w:w w:val="105"/>
        </w:rPr>
        <w:t>confundirse</w:t>
      </w:r>
      <w:r>
        <w:rPr>
          <w:color w:val="231F20"/>
          <w:spacing w:val="-22"/>
          <w:w w:val="105"/>
        </w:rPr>
        <w:t> </w:t>
      </w:r>
      <w:r>
        <w:rPr>
          <w:color w:val="231F20"/>
          <w:w w:val="105"/>
        </w:rPr>
        <w:t>bajo</w:t>
      </w:r>
      <w:r>
        <w:rPr>
          <w:color w:val="231F20"/>
          <w:spacing w:val="-22"/>
          <w:w w:val="105"/>
        </w:rPr>
        <w:t> </w:t>
      </w:r>
      <w:r>
        <w:rPr>
          <w:color w:val="231F20"/>
          <w:w w:val="105"/>
        </w:rPr>
        <w:t>la</w:t>
      </w:r>
      <w:r>
        <w:rPr>
          <w:color w:val="231F20"/>
          <w:spacing w:val="-22"/>
          <w:w w:val="105"/>
        </w:rPr>
        <w:t> </w:t>
      </w:r>
      <w:r>
        <w:rPr>
          <w:color w:val="231F20"/>
          <w:w w:val="105"/>
        </w:rPr>
        <w:t>ex- periencia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alegría,</w:t>
      </w:r>
      <w:r>
        <w:rPr>
          <w:color w:val="231F20"/>
          <w:spacing w:val="-21"/>
          <w:w w:val="105"/>
        </w:rPr>
        <w:t> </w:t>
      </w:r>
      <w:r>
        <w:rPr>
          <w:color w:val="231F20"/>
          <w:w w:val="105"/>
        </w:rPr>
        <w:t>el</w:t>
      </w:r>
      <w:r>
        <w:rPr>
          <w:color w:val="231F20"/>
          <w:spacing w:val="-16"/>
          <w:w w:val="105"/>
        </w:rPr>
        <w:t> </w:t>
      </w:r>
      <w:r>
        <w:rPr>
          <w:color w:val="231F20"/>
          <w:w w:val="105"/>
        </w:rPr>
        <w:t>sufrimiento</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tristeza.</w:t>
      </w:r>
    </w:p>
    <w:p>
      <w:pPr>
        <w:pStyle w:val="BodyText"/>
        <w:spacing w:line="261" w:lineRule="auto" w:before="1"/>
        <w:ind w:left="1723" w:right="1828" w:firstLine="567"/>
        <w:jc w:val="both"/>
      </w:pPr>
      <w:r>
        <w:rPr>
          <w:color w:val="231F20"/>
          <w:w w:val="105"/>
        </w:rPr>
        <w:t>Desde un rincón geográfico los migrantes viven la zozobra de la distancia con la familia y con la pareja, así como la preocupación de mantener el trabajo, lograr que el dinero alcance para ellos y evitar </w:t>
      </w:r>
      <w:r>
        <w:rPr>
          <w:color w:val="231F20"/>
          <w:spacing w:val="2"/>
          <w:w w:val="105"/>
        </w:rPr>
        <w:t>ser </w:t>
      </w:r>
      <w:r>
        <w:rPr>
          <w:color w:val="231F20"/>
          <w:w w:val="105"/>
        </w:rPr>
        <w:t>deportados.</w:t>
      </w:r>
      <w:r>
        <w:rPr>
          <w:color w:val="231F20"/>
          <w:spacing w:val="-9"/>
          <w:w w:val="105"/>
        </w:rPr>
        <w:t> </w:t>
      </w:r>
      <w:r>
        <w:rPr>
          <w:color w:val="231F20"/>
          <w:w w:val="105"/>
        </w:rPr>
        <w:t>De</w:t>
      </w:r>
      <w:r>
        <w:rPr>
          <w:color w:val="231F20"/>
          <w:spacing w:val="-6"/>
          <w:w w:val="105"/>
        </w:rPr>
        <w:t> </w:t>
      </w:r>
      <w:r>
        <w:rPr>
          <w:color w:val="231F20"/>
          <w:w w:val="105"/>
        </w:rPr>
        <w:t>igual</w:t>
      </w:r>
      <w:r>
        <w:rPr>
          <w:color w:val="231F20"/>
          <w:spacing w:val="-6"/>
          <w:w w:val="105"/>
        </w:rPr>
        <w:t> </w:t>
      </w:r>
      <w:r>
        <w:rPr>
          <w:color w:val="231F20"/>
          <w:w w:val="105"/>
        </w:rPr>
        <w:t>forma,</w:t>
      </w:r>
      <w:r>
        <w:rPr>
          <w:color w:val="231F20"/>
          <w:spacing w:val="-11"/>
          <w:w w:val="105"/>
        </w:rPr>
        <w:t> </w:t>
      </w:r>
      <w:r>
        <w:rPr>
          <w:color w:val="231F20"/>
          <w:w w:val="105"/>
        </w:rPr>
        <w:t>son</w:t>
      </w:r>
      <w:r>
        <w:rPr>
          <w:color w:val="231F20"/>
          <w:spacing w:val="-6"/>
          <w:w w:val="105"/>
        </w:rPr>
        <w:t> </w:t>
      </w:r>
      <w:r>
        <w:rPr>
          <w:color w:val="231F20"/>
          <w:w w:val="105"/>
        </w:rPr>
        <w:t>perturbados</w:t>
      </w:r>
      <w:r>
        <w:rPr>
          <w:color w:val="231F20"/>
          <w:spacing w:val="-6"/>
          <w:w w:val="105"/>
        </w:rPr>
        <w:t> </w:t>
      </w:r>
      <w:r>
        <w:rPr>
          <w:color w:val="231F20"/>
          <w:w w:val="105"/>
        </w:rPr>
        <w:t>por</w:t>
      </w:r>
      <w:r>
        <w:rPr>
          <w:color w:val="231F20"/>
          <w:spacing w:val="-6"/>
          <w:w w:val="105"/>
        </w:rPr>
        <w:t> </w:t>
      </w:r>
      <w:r>
        <w:rPr>
          <w:color w:val="231F20"/>
          <w:w w:val="105"/>
        </w:rPr>
        <w:t>las</w:t>
      </w:r>
      <w:r>
        <w:rPr>
          <w:color w:val="231F20"/>
          <w:spacing w:val="-6"/>
          <w:w w:val="105"/>
        </w:rPr>
        <w:t> </w:t>
      </w:r>
      <w:r>
        <w:rPr>
          <w:color w:val="231F20"/>
          <w:w w:val="105"/>
        </w:rPr>
        <w:t>dudas</w:t>
      </w:r>
      <w:r>
        <w:rPr>
          <w:color w:val="231F20"/>
          <w:spacing w:val="-6"/>
          <w:w w:val="105"/>
        </w:rPr>
        <w:t> </w:t>
      </w:r>
      <w:r>
        <w:rPr>
          <w:color w:val="231F20"/>
          <w:w w:val="105"/>
        </w:rPr>
        <w:t>de</w:t>
      </w:r>
      <w:r>
        <w:rPr>
          <w:color w:val="231F20"/>
          <w:spacing w:val="-6"/>
          <w:w w:val="105"/>
        </w:rPr>
        <w:t> </w:t>
      </w:r>
      <w:r>
        <w:rPr>
          <w:color w:val="231F20"/>
          <w:w w:val="105"/>
        </w:rPr>
        <w:t>estar</w:t>
      </w:r>
      <w:r>
        <w:rPr>
          <w:color w:val="231F20"/>
          <w:spacing w:val="-6"/>
          <w:w w:val="105"/>
        </w:rPr>
        <w:t> </w:t>
      </w:r>
      <w:r>
        <w:rPr>
          <w:color w:val="231F20"/>
          <w:w w:val="105"/>
        </w:rPr>
        <w:t>ha- ciendo lo correcto lejos de la familia, de la fidelidad de su compañera, de</w:t>
      </w:r>
      <w:r>
        <w:rPr>
          <w:color w:val="231F20"/>
          <w:spacing w:val="-10"/>
          <w:w w:val="105"/>
        </w:rPr>
        <w:t> </w:t>
      </w:r>
      <w:r>
        <w:rPr>
          <w:color w:val="231F20"/>
          <w:w w:val="105"/>
        </w:rPr>
        <w:t>la</w:t>
      </w:r>
      <w:r>
        <w:rPr>
          <w:color w:val="231F20"/>
          <w:spacing w:val="-10"/>
          <w:w w:val="105"/>
        </w:rPr>
        <w:t> </w:t>
      </w:r>
      <w:r>
        <w:rPr>
          <w:color w:val="231F20"/>
          <w:w w:val="105"/>
        </w:rPr>
        <w:t>amistad</w:t>
      </w:r>
      <w:r>
        <w:rPr>
          <w:color w:val="231F20"/>
          <w:spacing w:val="-10"/>
          <w:w w:val="105"/>
        </w:rPr>
        <w:t> </w:t>
      </w:r>
      <w:r>
        <w:rPr>
          <w:color w:val="231F20"/>
          <w:w w:val="105"/>
        </w:rPr>
        <w:t>verdadera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compañeros</w:t>
      </w:r>
      <w:r>
        <w:rPr>
          <w:color w:val="231F20"/>
          <w:spacing w:val="-10"/>
          <w:w w:val="105"/>
        </w:rPr>
        <w:t> </w:t>
      </w:r>
      <w:r>
        <w:rPr>
          <w:color w:val="231F20"/>
          <w:w w:val="105"/>
        </w:rPr>
        <w:t>de</w:t>
      </w:r>
      <w:r>
        <w:rPr>
          <w:color w:val="231F20"/>
          <w:spacing w:val="-10"/>
          <w:w w:val="105"/>
        </w:rPr>
        <w:t> </w:t>
      </w:r>
      <w:r>
        <w:rPr>
          <w:color w:val="231F20"/>
          <w:w w:val="105"/>
        </w:rPr>
        <w:t>trabajo</w:t>
      </w:r>
      <w:r>
        <w:rPr>
          <w:color w:val="231F20"/>
          <w:spacing w:val="-10"/>
          <w:w w:val="105"/>
        </w:rPr>
        <w:t> </w:t>
      </w:r>
      <w:r>
        <w:rPr>
          <w:color w:val="231F20"/>
          <w:w w:val="105"/>
        </w:rPr>
        <w:t>y</w:t>
      </w:r>
      <w:r>
        <w:rPr>
          <w:color w:val="231F20"/>
          <w:spacing w:val="-10"/>
          <w:w w:val="105"/>
        </w:rPr>
        <w:t> </w:t>
      </w:r>
      <w:r>
        <w:rPr>
          <w:color w:val="231F20"/>
          <w:w w:val="105"/>
        </w:rPr>
        <w:t>los</w:t>
      </w:r>
      <w:r>
        <w:rPr>
          <w:color w:val="231F20"/>
          <w:spacing w:val="-10"/>
          <w:w w:val="105"/>
        </w:rPr>
        <w:t> </w:t>
      </w:r>
      <w:r>
        <w:rPr>
          <w:color w:val="231F20"/>
          <w:w w:val="105"/>
        </w:rPr>
        <w:t>amigos,</w:t>
      </w:r>
      <w:r>
        <w:rPr>
          <w:color w:val="231F20"/>
          <w:spacing w:val="-16"/>
          <w:w w:val="105"/>
        </w:rPr>
        <w:t> </w:t>
      </w:r>
      <w:r>
        <w:rPr>
          <w:color w:val="231F20"/>
          <w:w w:val="105"/>
        </w:rPr>
        <w:t>en- tre otras. En otro orden, la incertidumbre cotidiano respecto a lo</w:t>
      </w:r>
      <w:r>
        <w:rPr>
          <w:color w:val="231F20"/>
          <w:spacing w:val="-20"/>
          <w:w w:val="105"/>
        </w:rPr>
        <w:t> </w:t>
      </w:r>
      <w:r>
        <w:rPr>
          <w:color w:val="231F20"/>
          <w:w w:val="105"/>
        </w:rPr>
        <w:t>laboral y la seguridad en el trabajo, produce en las mujeres de los migrantes emociones como la angustia, tristeza, miedo (a la infidelidad del espo- so),</w:t>
      </w:r>
      <w:r>
        <w:rPr>
          <w:color w:val="231F20"/>
          <w:spacing w:val="-12"/>
          <w:w w:val="105"/>
        </w:rPr>
        <w:t> </w:t>
      </w:r>
      <w:r>
        <w:rPr>
          <w:color w:val="231F20"/>
          <w:w w:val="105"/>
        </w:rPr>
        <w:t>valor,</w:t>
      </w:r>
      <w:r>
        <w:rPr>
          <w:color w:val="231F20"/>
          <w:spacing w:val="-12"/>
          <w:w w:val="105"/>
        </w:rPr>
        <w:t> </w:t>
      </w:r>
      <w:r>
        <w:rPr>
          <w:color w:val="231F20"/>
          <w:w w:val="105"/>
        </w:rPr>
        <w:t>preocupación</w:t>
      </w:r>
      <w:r>
        <w:rPr>
          <w:color w:val="231F20"/>
          <w:spacing w:val="-7"/>
          <w:w w:val="105"/>
        </w:rPr>
        <w:t> </w:t>
      </w:r>
      <w:r>
        <w:rPr>
          <w:color w:val="231F20"/>
          <w:w w:val="105"/>
        </w:rPr>
        <w:t>(pues</w:t>
      </w:r>
      <w:r>
        <w:rPr>
          <w:color w:val="231F20"/>
          <w:spacing w:val="-7"/>
          <w:w w:val="105"/>
        </w:rPr>
        <w:t> </w:t>
      </w:r>
      <w:r>
        <w:rPr>
          <w:color w:val="231F20"/>
          <w:w w:val="105"/>
        </w:rPr>
        <w:t>aunque</w:t>
      </w:r>
      <w:r>
        <w:rPr>
          <w:color w:val="231F20"/>
          <w:spacing w:val="-7"/>
          <w:w w:val="105"/>
        </w:rPr>
        <w:t> </w:t>
      </w:r>
      <w:r>
        <w:rPr>
          <w:color w:val="231F20"/>
          <w:w w:val="105"/>
        </w:rPr>
        <w:t>hablan</w:t>
      </w:r>
      <w:r>
        <w:rPr>
          <w:color w:val="231F20"/>
          <w:spacing w:val="-7"/>
          <w:w w:val="105"/>
        </w:rPr>
        <w:t> </w:t>
      </w:r>
      <w:r>
        <w:rPr>
          <w:color w:val="231F20"/>
          <w:w w:val="105"/>
        </w:rPr>
        <w:t>vía</w:t>
      </w:r>
      <w:r>
        <w:rPr>
          <w:color w:val="231F20"/>
          <w:spacing w:val="-7"/>
          <w:w w:val="105"/>
        </w:rPr>
        <w:t> </w:t>
      </w:r>
      <w:r>
        <w:rPr>
          <w:color w:val="231F20"/>
          <w:w w:val="105"/>
        </w:rPr>
        <w:t>telefónica,</w:t>
      </w:r>
      <w:r>
        <w:rPr>
          <w:color w:val="231F20"/>
          <w:spacing w:val="-12"/>
          <w:w w:val="105"/>
        </w:rPr>
        <w:t> </w:t>
      </w:r>
      <w:r>
        <w:rPr>
          <w:color w:val="231F20"/>
          <w:w w:val="105"/>
        </w:rPr>
        <w:t>no</w:t>
      </w:r>
      <w:r>
        <w:rPr>
          <w:color w:val="231F20"/>
          <w:spacing w:val="-7"/>
          <w:w w:val="105"/>
        </w:rPr>
        <w:t> </w:t>
      </w:r>
      <w:r>
        <w:rPr>
          <w:color w:val="231F20"/>
          <w:w w:val="105"/>
        </w:rPr>
        <w:t>pueden verlos</w:t>
      </w:r>
      <w:r>
        <w:rPr>
          <w:color w:val="231F20"/>
          <w:spacing w:val="-6"/>
          <w:w w:val="105"/>
        </w:rPr>
        <w:t> </w:t>
      </w:r>
      <w:r>
        <w:rPr>
          <w:color w:val="231F20"/>
          <w:w w:val="105"/>
        </w:rPr>
        <w:t>físicamente).</w:t>
      </w:r>
      <w:r>
        <w:rPr>
          <w:color w:val="231F20"/>
          <w:spacing w:val="-10"/>
          <w:w w:val="105"/>
        </w:rPr>
        <w:t> </w:t>
      </w:r>
      <w:r>
        <w:rPr>
          <w:color w:val="231F20"/>
          <w:w w:val="105"/>
        </w:rPr>
        <w:t>Las</w:t>
      </w:r>
      <w:r>
        <w:rPr>
          <w:color w:val="231F20"/>
          <w:spacing w:val="-6"/>
          <w:w w:val="105"/>
        </w:rPr>
        <w:t> </w:t>
      </w:r>
      <w:r>
        <w:rPr>
          <w:color w:val="231F20"/>
          <w:w w:val="105"/>
        </w:rPr>
        <w:t>personas</w:t>
      </w:r>
      <w:r>
        <w:rPr>
          <w:color w:val="231F20"/>
          <w:spacing w:val="-6"/>
          <w:w w:val="105"/>
        </w:rPr>
        <w:t> </w:t>
      </w:r>
      <w:r>
        <w:rPr>
          <w:color w:val="231F20"/>
          <w:w w:val="105"/>
        </w:rPr>
        <w:t>se</w:t>
      </w:r>
      <w:r>
        <w:rPr>
          <w:color w:val="231F20"/>
          <w:spacing w:val="-6"/>
          <w:w w:val="105"/>
        </w:rPr>
        <w:t> </w:t>
      </w:r>
      <w:r>
        <w:rPr>
          <w:color w:val="231F20"/>
          <w:w w:val="105"/>
        </w:rPr>
        <w:t>confrontan</w:t>
      </w:r>
      <w:r>
        <w:rPr>
          <w:color w:val="231F20"/>
          <w:spacing w:val="-6"/>
          <w:w w:val="105"/>
        </w:rPr>
        <w:t> </w:t>
      </w:r>
      <w:r>
        <w:rPr>
          <w:color w:val="231F20"/>
          <w:w w:val="105"/>
        </w:rPr>
        <w:t>en</w:t>
      </w:r>
      <w:r>
        <w:rPr>
          <w:color w:val="231F20"/>
          <w:spacing w:val="-6"/>
          <w:w w:val="105"/>
        </w:rPr>
        <w:t> </w:t>
      </w:r>
      <w:r>
        <w:rPr>
          <w:color w:val="231F20"/>
          <w:w w:val="105"/>
        </w:rPr>
        <w:t>sus</w:t>
      </w:r>
      <w:r>
        <w:rPr>
          <w:color w:val="231F20"/>
          <w:spacing w:val="-6"/>
          <w:w w:val="105"/>
        </w:rPr>
        <w:t> </w:t>
      </w:r>
      <w:r>
        <w:rPr>
          <w:color w:val="231F20"/>
          <w:w w:val="105"/>
        </w:rPr>
        <w:t>acciones</w:t>
      </w:r>
      <w:r>
        <w:rPr>
          <w:color w:val="231F20"/>
          <w:spacing w:val="-6"/>
          <w:w w:val="105"/>
        </w:rPr>
        <w:t> </w:t>
      </w:r>
      <w:r>
        <w:rPr>
          <w:color w:val="231F20"/>
          <w:w w:val="105"/>
        </w:rPr>
        <w:t>y</w:t>
      </w:r>
      <w:r>
        <w:rPr>
          <w:color w:val="231F20"/>
          <w:spacing w:val="-6"/>
          <w:w w:val="105"/>
        </w:rPr>
        <w:t> </w:t>
      </w:r>
      <w:r>
        <w:rPr>
          <w:color w:val="231F20"/>
          <w:w w:val="105"/>
        </w:rPr>
        <w:t>pen- samientos,</w:t>
      </w:r>
      <w:r>
        <w:rPr>
          <w:color w:val="231F20"/>
          <w:spacing w:val="-17"/>
          <w:w w:val="105"/>
        </w:rPr>
        <w:t> </w:t>
      </w:r>
      <w:r>
        <w:rPr>
          <w:color w:val="231F20"/>
          <w:w w:val="105"/>
        </w:rPr>
        <w:t>y</w:t>
      </w:r>
      <w:r>
        <w:rPr>
          <w:color w:val="231F20"/>
          <w:spacing w:val="-12"/>
          <w:w w:val="105"/>
        </w:rPr>
        <w:t> </w:t>
      </w:r>
      <w:r>
        <w:rPr>
          <w:color w:val="231F20"/>
          <w:w w:val="105"/>
        </w:rPr>
        <w:t>por</w:t>
      </w:r>
      <w:r>
        <w:rPr>
          <w:color w:val="231F20"/>
          <w:spacing w:val="-12"/>
          <w:w w:val="105"/>
        </w:rPr>
        <w:t> </w:t>
      </w:r>
      <w:r>
        <w:rPr>
          <w:color w:val="231F20"/>
          <w:w w:val="105"/>
        </w:rPr>
        <w:t>ende,</w:t>
      </w:r>
      <w:r>
        <w:rPr>
          <w:color w:val="231F20"/>
          <w:spacing w:val="-17"/>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sentimientos,</w:t>
      </w:r>
      <w:r>
        <w:rPr>
          <w:color w:val="231F20"/>
          <w:spacing w:val="-17"/>
          <w:w w:val="105"/>
        </w:rPr>
        <w:t> </w:t>
      </w:r>
      <w:r>
        <w:rPr>
          <w:color w:val="231F20"/>
          <w:w w:val="105"/>
        </w:rPr>
        <w:t>es</w:t>
      </w:r>
      <w:r>
        <w:rPr>
          <w:color w:val="231F20"/>
          <w:spacing w:val="-12"/>
          <w:w w:val="105"/>
        </w:rPr>
        <w:t> </w:t>
      </w:r>
      <w:r>
        <w:rPr>
          <w:color w:val="231F20"/>
          <w:w w:val="105"/>
        </w:rPr>
        <w:t>decir,</w:t>
      </w:r>
      <w:r>
        <w:rPr>
          <w:color w:val="231F20"/>
          <w:spacing w:val="-17"/>
          <w:w w:val="105"/>
        </w:rPr>
        <w:t> </w:t>
      </w:r>
      <w:r>
        <w:rPr>
          <w:color w:val="231F20"/>
          <w:w w:val="105"/>
        </w:rPr>
        <w:t>son</w:t>
      </w:r>
      <w:r>
        <w:rPr>
          <w:color w:val="231F20"/>
          <w:spacing w:val="-12"/>
          <w:w w:val="105"/>
        </w:rPr>
        <w:t> </w:t>
      </w:r>
      <w:r>
        <w:rPr>
          <w:color w:val="231F20"/>
          <w:w w:val="105"/>
        </w:rPr>
        <w:t>conscientes</w:t>
      </w:r>
      <w:r>
        <w:rPr>
          <w:color w:val="231F20"/>
          <w:spacing w:val="-12"/>
          <w:w w:val="105"/>
        </w:rPr>
        <w:t> </w:t>
      </w:r>
      <w:r>
        <w:rPr>
          <w:color w:val="231F20"/>
          <w:w w:val="105"/>
        </w:rPr>
        <w:t>de la</w:t>
      </w:r>
      <w:r>
        <w:rPr>
          <w:color w:val="231F20"/>
          <w:spacing w:val="-7"/>
          <w:w w:val="105"/>
        </w:rPr>
        <w:t> </w:t>
      </w:r>
      <w:r>
        <w:rPr>
          <w:color w:val="231F20"/>
          <w:w w:val="105"/>
        </w:rPr>
        <w:t>extrema</w:t>
      </w:r>
      <w:r>
        <w:rPr>
          <w:color w:val="231F20"/>
          <w:spacing w:val="-7"/>
          <w:w w:val="105"/>
        </w:rPr>
        <w:t> </w:t>
      </w:r>
      <w:r>
        <w:rPr>
          <w:color w:val="231F20"/>
          <w:w w:val="105"/>
        </w:rPr>
        <w:t>peligrosidad</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frontera</w:t>
      </w:r>
      <w:r>
        <w:rPr>
          <w:color w:val="231F20"/>
          <w:spacing w:val="-7"/>
          <w:w w:val="105"/>
        </w:rPr>
        <w:t> </w:t>
      </w:r>
      <w:r>
        <w:rPr>
          <w:color w:val="231F20"/>
          <w:w w:val="105"/>
        </w:rPr>
        <w:t>y</w:t>
      </w:r>
      <w:r>
        <w:rPr>
          <w:color w:val="231F20"/>
          <w:spacing w:val="-7"/>
          <w:w w:val="105"/>
        </w:rPr>
        <w:t> </w:t>
      </w:r>
      <w:r>
        <w:rPr>
          <w:color w:val="231F20"/>
          <w:w w:val="105"/>
        </w:rPr>
        <w:t>sin</w:t>
      </w:r>
      <w:r>
        <w:rPr>
          <w:color w:val="231F20"/>
          <w:spacing w:val="-7"/>
          <w:w w:val="105"/>
        </w:rPr>
        <w:t> </w:t>
      </w:r>
      <w:r>
        <w:rPr>
          <w:color w:val="231F20"/>
          <w:w w:val="105"/>
        </w:rPr>
        <w:t>embargo,</w:t>
      </w:r>
      <w:r>
        <w:rPr>
          <w:color w:val="231F20"/>
          <w:spacing w:val="-13"/>
          <w:w w:val="105"/>
        </w:rPr>
        <w:t> </w:t>
      </w:r>
      <w:r>
        <w:rPr>
          <w:color w:val="231F20"/>
          <w:w w:val="105"/>
        </w:rPr>
        <w:t>se</w:t>
      </w:r>
      <w:r>
        <w:rPr>
          <w:color w:val="231F20"/>
          <w:spacing w:val="-7"/>
          <w:w w:val="105"/>
        </w:rPr>
        <w:t> </w:t>
      </w:r>
      <w:r>
        <w:rPr>
          <w:color w:val="231F20"/>
          <w:w w:val="105"/>
        </w:rPr>
        <w:t>entregan</w:t>
      </w:r>
      <w:r>
        <w:rPr>
          <w:color w:val="231F20"/>
          <w:spacing w:val="-7"/>
          <w:w w:val="105"/>
        </w:rPr>
        <w:t> </w:t>
      </w:r>
      <w:r>
        <w:rPr>
          <w:color w:val="231F20"/>
          <w:w w:val="105"/>
        </w:rPr>
        <w:t>a</w:t>
      </w:r>
      <w:r>
        <w:rPr>
          <w:color w:val="231F20"/>
          <w:spacing w:val="-7"/>
          <w:w w:val="105"/>
        </w:rPr>
        <w:t> </w:t>
      </w:r>
      <w:r>
        <w:rPr>
          <w:color w:val="231F20"/>
          <w:w w:val="105"/>
        </w:rPr>
        <w:t>ella. Precisamente,</w:t>
      </w:r>
      <w:r>
        <w:rPr>
          <w:color w:val="231F20"/>
          <w:spacing w:val="-24"/>
          <w:w w:val="105"/>
        </w:rPr>
        <w:t> </w:t>
      </w:r>
      <w:r>
        <w:rPr>
          <w:color w:val="231F20"/>
          <w:w w:val="105"/>
        </w:rPr>
        <w:t>esta</w:t>
      </w:r>
      <w:r>
        <w:rPr>
          <w:color w:val="231F20"/>
          <w:spacing w:val="-19"/>
          <w:w w:val="105"/>
        </w:rPr>
        <w:t> </w:t>
      </w:r>
      <w:r>
        <w:rPr>
          <w:color w:val="231F20"/>
          <w:w w:val="105"/>
        </w:rPr>
        <w:t>frontera</w:t>
      </w:r>
      <w:r>
        <w:rPr>
          <w:color w:val="231F20"/>
          <w:spacing w:val="-19"/>
          <w:w w:val="105"/>
        </w:rPr>
        <w:t> </w:t>
      </w:r>
      <w:r>
        <w:rPr>
          <w:color w:val="231F20"/>
          <w:w w:val="105"/>
        </w:rPr>
        <w:t>es</w:t>
      </w:r>
      <w:r>
        <w:rPr>
          <w:color w:val="231F20"/>
          <w:spacing w:val="-19"/>
          <w:w w:val="105"/>
        </w:rPr>
        <w:t> </w:t>
      </w:r>
      <w:r>
        <w:rPr>
          <w:color w:val="231F20"/>
          <w:w w:val="105"/>
        </w:rPr>
        <w:t>depositaria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tres</w:t>
      </w:r>
      <w:r>
        <w:rPr>
          <w:color w:val="231F20"/>
          <w:spacing w:val="-19"/>
          <w:w w:val="105"/>
        </w:rPr>
        <w:t> </w:t>
      </w:r>
      <w:r>
        <w:rPr>
          <w:color w:val="231F20"/>
          <w:w w:val="105"/>
        </w:rPr>
        <w:t>peligros</w:t>
      </w:r>
      <w:r>
        <w:rPr>
          <w:color w:val="231F20"/>
          <w:spacing w:val="-19"/>
          <w:w w:val="105"/>
        </w:rPr>
        <w:t> </w:t>
      </w:r>
      <w:r>
        <w:rPr>
          <w:color w:val="231F20"/>
          <w:w w:val="105"/>
        </w:rPr>
        <w:t>más</w:t>
      </w:r>
      <w:r>
        <w:rPr>
          <w:color w:val="231F20"/>
          <w:spacing w:val="-19"/>
          <w:w w:val="105"/>
        </w:rPr>
        <w:t> </w:t>
      </w:r>
      <w:r>
        <w:rPr>
          <w:color w:val="231F20"/>
          <w:w w:val="105"/>
        </w:rPr>
        <w:t>signi- ficativos</w:t>
      </w:r>
      <w:r>
        <w:rPr>
          <w:color w:val="231F20"/>
          <w:spacing w:val="-26"/>
          <w:w w:val="105"/>
        </w:rPr>
        <w:t> </w:t>
      </w:r>
      <w:r>
        <w:rPr>
          <w:color w:val="231F20"/>
          <w:w w:val="105"/>
        </w:rPr>
        <w:t>para</w:t>
      </w:r>
      <w:r>
        <w:rPr>
          <w:color w:val="231F20"/>
          <w:spacing w:val="-26"/>
          <w:w w:val="105"/>
        </w:rPr>
        <w:t> </w:t>
      </w:r>
      <w:r>
        <w:rPr>
          <w:color w:val="231F20"/>
          <w:w w:val="105"/>
        </w:rPr>
        <w:t>estos</w:t>
      </w:r>
      <w:r>
        <w:rPr>
          <w:color w:val="231F20"/>
          <w:spacing w:val="-26"/>
          <w:w w:val="105"/>
        </w:rPr>
        <w:t> </w:t>
      </w:r>
      <w:r>
        <w:rPr>
          <w:color w:val="231F20"/>
          <w:w w:val="105"/>
        </w:rPr>
        <w:t>migrantes:</w:t>
      </w:r>
      <w:r>
        <w:rPr>
          <w:color w:val="231F20"/>
          <w:spacing w:val="-26"/>
          <w:w w:val="105"/>
        </w:rPr>
        <w:t> </w:t>
      </w:r>
      <w:r>
        <w:rPr>
          <w:color w:val="231F20"/>
          <w:w w:val="105"/>
        </w:rPr>
        <w:t>el</w:t>
      </w:r>
      <w:r>
        <w:rPr>
          <w:color w:val="231F20"/>
          <w:spacing w:val="-26"/>
          <w:w w:val="105"/>
        </w:rPr>
        <w:t> </w:t>
      </w:r>
      <w:r>
        <w:rPr>
          <w:color w:val="231F20"/>
          <w:w w:val="105"/>
        </w:rPr>
        <w:t>físico-geográfico</w:t>
      </w:r>
      <w:r>
        <w:rPr>
          <w:color w:val="231F20"/>
          <w:spacing w:val="-26"/>
          <w:w w:val="105"/>
        </w:rPr>
        <w:t> </w:t>
      </w:r>
      <w:r>
        <w:rPr>
          <w:color w:val="231F20"/>
          <w:w w:val="105"/>
        </w:rPr>
        <w:t>(el</w:t>
      </w:r>
      <w:r>
        <w:rPr>
          <w:color w:val="231F20"/>
          <w:spacing w:val="-26"/>
          <w:w w:val="105"/>
        </w:rPr>
        <w:t> </w:t>
      </w:r>
      <w:r>
        <w:rPr>
          <w:color w:val="231F20"/>
          <w:w w:val="105"/>
        </w:rPr>
        <w:t>extenso</w:t>
      </w:r>
      <w:r>
        <w:rPr>
          <w:color w:val="231F20"/>
          <w:spacing w:val="-26"/>
          <w:w w:val="105"/>
        </w:rPr>
        <w:t> </w:t>
      </w:r>
      <w:r>
        <w:rPr>
          <w:color w:val="231F20"/>
          <w:w w:val="105"/>
        </w:rPr>
        <w:t>desierto,</w:t>
      </w:r>
      <w:r>
        <w:rPr>
          <w:color w:val="231F20"/>
          <w:spacing w:val="-30"/>
          <w:w w:val="105"/>
        </w:rPr>
        <w:t> </w:t>
      </w:r>
      <w:r>
        <w:rPr>
          <w:color w:val="231F20"/>
          <w:w w:val="105"/>
        </w:rPr>
        <w:t>el río</w:t>
      </w:r>
      <w:r>
        <w:rPr>
          <w:color w:val="231F20"/>
          <w:spacing w:val="-23"/>
          <w:w w:val="105"/>
        </w:rPr>
        <w:t> </w:t>
      </w:r>
      <w:r>
        <w:rPr>
          <w:color w:val="231F20"/>
          <w:w w:val="105"/>
        </w:rPr>
        <w:t>Bravo</w:t>
      </w:r>
      <w:r>
        <w:rPr>
          <w:color w:val="231F20"/>
          <w:spacing w:val="-23"/>
          <w:w w:val="105"/>
        </w:rPr>
        <w:t> </w:t>
      </w:r>
      <w:r>
        <w:rPr>
          <w:color w:val="231F20"/>
          <w:w w:val="105"/>
        </w:rPr>
        <w:t>y</w:t>
      </w:r>
      <w:r>
        <w:rPr>
          <w:color w:val="231F20"/>
          <w:spacing w:val="-23"/>
          <w:w w:val="105"/>
        </w:rPr>
        <w:t> </w:t>
      </w:r>
      <w:r>
        <w:rPr>
          <w:color w:val="231F20"/>
          <w:w w:val="105"/>
        </w:rPr>
        <w:t>sus</w:t>
      </w:r>
      <w:r>
        <w:rPr>
          <w:color w:val="231F20"/>
          <w:spacing w:val="-23"/>
          <w:w w:val="105"/>
        </w:rPr>
        <w:t> </w:t>
      </w:r>
      <w:r>
        <w:rPr>
          <w:color w:val="231F20"/>
          <w:w w:val="105"/>
        </w:rPr>
        <w:t>“traiciones”),</w:t>
      </w:r>
      <w:r>
        <w:rPr>
          <w:color w:val="231F20"/>
          <w:spacing w:val="-27"/>
          <w:w w:val="105"/>
        </w:rPr>
        <w:t> </w:t>
      </w:r>
      <w:r>
        <w:rPr>
          <w:color w:val="231F20"/>
          <w:w w:val="105"/>
        </w:rPr>
        <w:t>los</w:t>
      </w:r>
      <w:r>
        <w:rPr>
          <w:color w:val="231F20"/>
          <w:spacing w:val="-23"/>
          <w:w w:val="105"/>
        </w:rPr>
        <w:t> </w:t>
      </w:r>
      <w:r>
        <w:rPr>
          <w:color w:val="231F20"/>
          <w:w w:val="105"/>
        </w:rPr>
        <w:t>sociales</w:t>
      </w:r>
      <w:r>
        <w:rPr>
          <w:color w:val="231F20"/>
          <w:spacing w:val="-23"/>
          <w:w w:val="105"/>
        </w:rPr>
        <w:t> </w:t>
      </w:r>
      <w:r>
        <w:rPr>
          <w:color w:val="231F20"/>
          <w:w w:val="105"/>
        </w:rPr>
        <w:t>(el</w:t>
      </w:r>
      <w:r>
        <w:rPr>
          <w:color w:val="231F20"/>
          <w:spacing w:val="-23"/>
          <w:w w:val="105"/>
        </w:rPr>
        <w:t> </w:t>
      </w:r>
      <w:r>
        <w:rPr>
          <w:color w:val="231F20"/>
          <w:w w:val="105"/>
        </w:rPr>
        <w:t>agradecimiento</w:t>
      </w:r>
      <w:r>
        <w:rPr>
          <w:color w:val="231F20"/>
          <w:spacing w:val="-23"/>
          <w:w w:val="105"/>
        </w:rPr>
        <w:t> </w:t>
      </w:r>
      <w:r>
        <w:rPr>
          <w:color w:val="231F20"/>
          <w:w w:val="105"/>
        </w:rPr>
        <w:t>o</w:t>
      </w:r>
      <w:r>
        <w:rPr>
          <w:color w:val="231F20"/>
          <w:spacing w:val="-23"/>
          <w:w w:val="105"/>
        </w:rPr>
        <w:t> </w:t>
      </w:r>
      <w:r>
        <w:rPr>
          <w:color w:val="231F20"/>
          <w:w w:val="105"/>
        </w:rPr>
        <w:t>la</w:t>
      </w:r>
      <w:r>
        <w:rPr>
          <w:color w:val="231F20"/>
          <w:spacing w:val="-23"/>
          <w:w w:val="105"/>
        </w:rPr>
        <w:t> </w:t>
      </w:r>
      <w:r>
        <w:rPr>
          <w:color w:val="231F20"/>
          <w:w w:val="105"/>
        </w:rPr>
        <w:t>consigna al</w:t>
      </w:r>
      <w:r>
        <w:rPr>
          <w:color w:val="231F20"/>
          <w:spacing w:val="-13"/>
          <w:w w:val="105"/>
        </w:rPr>
        <w:t> </w:t>
      </w:r>
      <w:r>
        <w:rPr>
          <w:color w:val="231F20"/>
          <w:w w:val="105"/>
        </w:rPr>
        <w:t>guía,</w:t>
      </w:r>
      <w:r>
        <w:rPr>
          <w:color w:val="231F20"/>
          <w:spacing w:val="-18"/>
          <w:w w:val="105"/>
        </w:rPr>
        <w:t> </w:t>
      </w:r>
      <w:r>
        <w:rPr>
          <w:color w:val="231F20"/>
          <w:w w:val="105"/>
        </w:rPr>
        <w:t>coyote,</w:t>
      </w:r>
      <w:r>
        <w:rPr>
          <w:color w:val="231F20"/>
          <w:spacing w:val="-18"/>
          <w:w w:val="105"/>
        </w:rPr>
        <w:t> </w:t>
      </w:r>
      <w:r>
        <w:rPr>
          <w:color w:val="231F20"/>
          <w:w w:val="105"/>
        </w:rPr>
        <w:t>o</w:t>
      </w:r>
      <w:r>
        <w:rPr>
          <w:color w:val="231F20"/>
          <w:spacing w:val="-13"/>
          <w:w w:val="105"/>
        </w:rPr>
        <w:t> </w:t>
      </w:r>
      <w:r>
        <w:rPr>
          <w:color w:val="231F20"/>
          <w:w w:val="105"/>
        </w:rPr>
        <w:t>los</w:t>
      </w:r>
      <w:r>
        <w:rPr>
          <w:color w:val="231F20"/>
          <w:spacing w:val="-13"/>
          <w:w w:val="105"/>
        </w:rPr>
        <w:t> </w:t>
      </w:r>
      <w:r>
        <w:rPr>
          <w:color w:val="231F20"/>
          <w:w w:val="105"/>
        </w:rPr>
        <w:t>asaltos</w:t>
      </w:r>
      <w:r>
        <w:rPr>
          <w:color w:val="231F20"/>
          <w:spacing w:val="-13"/>
          <w:w w:val="105"/>
        </w:rPr>
        <w:t> </w:t>
      </w:r>
      <w:r>
        <w:rPr>
          <w:color w:val="231F20"/>
          <w:w w:val="105"/>
        </w:rPr>
        <w:t>por</w:t>
      </w:r>
      <w:r>
        <w:rPr>
          <w:color w:val="231F20"/>
          <w:spacing w:val="-13"/>
          <w:w w:val="105"/>
        </w:rPr>
        <w:t> </w:t>
      </w:r>
      <w:r>
        <w:rPr>
          <w:color w:val="231F20"/>
          <w:w w:val="105"/>
        </w:rPr>
        <w:t>bandas</w:t>
      </w:r>
      <w:r>
        <w:rPr>
          <w:color w:val="231F20"/>
          <w:spacing w:val="-13"/>
          <w:w w:val="105"/>
        </w:rPr>
        <w:t> </w:t>
      </w:r>
      <w:r>
        <w:rPr>
          <w:color w:val="231F20"/>
          <w:w w:val="105"/>
        </w:rPr>
        <w:t>de</w:t>
      </w:r>
      <w:r>
        <w:rPr>
          <w:color w:val="231F20"/>
          <w:spacing w:val="-13"/>
          <w:w w:val="105"/>
        </w:rPr>
        <w:t> </w:t>
      </w:r>
      <w:r>
        <w:rPr>
          <w:color w:val="231F20"/>
          <w:w w:val="105"/>
        </w:rPr>
        <w:t>delincuentes,</w:t>
      </w:r>
      <w:r>
        <w:rPr>
          <w:color w:val="231F20"/>
          <w:spacing w:val="-18"/>
          <w:w w:val="105"/>
        </w:rPr>
        <w:t> </w:t>
      </w:r>
      <w:r>
        <w:rPr>
          <w:color w:val="231F20"/>
          <w:w w:val="105"/>
        </w:rPr>
        <w:t>las</w:t>
      </w:r>
      <w:r>
        <w:rPr>
          <w:color w:val="231F20"/>
          <w:spacing w:val="-13"/>
          <w:w w:val="105"/>
        </w:rPr>
        <w:t> </w:t>
      </w:r>
      <w:r>
        <w:rPr>
          <w:color w:val="231F20"/>
          <w:w w:val="105"/>
        </w:rPr>
        <w:t>agresiones por racismo y odios de los americanos) y el de protección fronteriza (la patrulla</w:t>
      </w:r>
      <w:r>
        <w:rPr>
          <w:color w:val="231F20"/>
          <w:spacing w:val="-8"/>
          <w:w w:val="105"/>
        </w:rPr>
        <w:t> </w:t>
      </w:r>
      <w:r>
        <w:rPr>
          <w:color w:val="231F20"/>
          <w:w w:val="105"/>
        </w:rPr>
        <w:t>fronteriza,</w:t>
      </w:r>
      <w:r>
        <w:rPr>
          <w:color w:val="231F20"/>
          <w:spacing w:val="-14"/>
          <w:w w:val="105"/>
        </w:rPr>
        <w:t> </w:t>
      </w:r>
      <w:r>
        <w:rPr>
          <w:color w:val="231F20"/>
          <w:w w:val="105"/>
        </w:rPr>
        <w:t>que</w:t>
      </w:r>
      <w:r>
        <w:rPr>
          <w:color w:val="231F20"/>
          <w:spacing w:val="-8"/>
          <w:w w:val="105"/>
        </w:rPr>
        <w:t> </w:t>
      </w:r>
      <w:r>
        <w:rPr>
          <w:color w:val="231F20"/>
          <w:w w:val="105"/>
        </w:rPr>
        <w:t>incluso</w:t>
      </w:r>
      <w:r>
        <w:rPr>
          <w:color w:val="231F20"/>
          <w:spacing w:val="-8"/>
          <w:w w:val="105"/>
        </w:rPr>
        <w:t> </w:t>
      </w:r>
      <w:r>
        <w:rPr>
          <w:color w:val="231F20"/>
          <w:w w:val="105"/>
        </w:rPr>
        <w:t>ésta</w:t>
      </w:r>
      <w:r>
        <w:rPr>
          <w:color w:val="231F20"/>
          <w:spacing w:val="-8"/>
          <w:w w:val="105"/>
        </w:rPr>
        <w:t> </w:t>
      </w:r>
      <w:r>
        <w:rPr>
          <w:color w:val="231F20"/>
          <w:w w:val="105"/>
        </w:rPr>
        <w:t>puede</w:t>
      </w:r>
      <w:r>
        <w:rPr>
          <w:color w:val="231F20"/>
          <w:spacing w:val="-8"/>
          <w:w w:val="105"/>
        </w:rPr>
        <w:t> </w:t>
      </w:r>
      <w:r>
        <w:rPr>
          <w:color w:val="231F20"/>
          <w:w w:val="105"/>
        </w:rPr>
        <w:t>ser</w:t>
      </w:r>
      <w:r>
        <w:rPr>
          <w:color w:val="231F20"/>
          <w:spacing w:val="-8"/>
          <w:w w:val="105"/>
        </w:rPr>
        <w:t> </w:t>
      </w:r>
      <w:r>
        <w:rPr>
          <w:color w:val="231F20"/>
          <w:w w:val="105"/>
        </w:rPr>
        <w:t>considerada</w:t>
      </w:r>
      <w:r>
        <w:rPr>
          <w:color w:val="231F20"/>
          <w:spacing w:val="-8"/>
          <w:w w:val="105"/>
        </w:rPr>
        <w:t> </w:t>
      </w:r>
      <w:r>
        <w:rPr>
          <w:color w:val="231F20"/>
          <w:w w:val="105"/>
        </w:rPr>
        <w:t>un</w:t>
      </w:r>
      <w:r>
        <w:rPr>
          <w:color w:val="231F20"/>
          <w:spacing w:val="-8"/>
          <w:w w:val="105"/>
        </w:rPr>
        <w:t> </w:t>
      </w:r>
      <w:r>
        <w:rPr>
          <w:color w:val="231F20"/>
          <w:w w:val="105"/>
        </w:rPr>
        <w:t>elemento para</w:t>
      </w:r>
      <w:r>
        <w:rPr>
          <w:color w:val="231F20"/>
          <w:spacing w:val="-15"/>
          <w:w w:val="105"/>
        </w:rPr>
        <w:t> </w:t>
      </w:r>
      <w:r>
        <w:rPr>
          <w:color w:val="231F20"/>
          <w:w w:val="105"/>
        </w:rPr>
        <w:t>la</w:t>
      </w:r>
      <w:r>
        <w:rPr>
          <w:color w:val="231F20"/>
          <w:spacing w:val="-15"/>
          <w:w w:val="105"/>
        </w:rPr>
        <w:t> </w:t>
      </w:r>
      <w:r>
        <w:rPr>
          <w:color w:val="231F20"/>
          <w:w w:val="105"/>
        </w:rPr>
        <w:t>salvación</w:t>
      </w:r>
      <w:r>
        <w:rPr>
          <w:color w:val="231F20"/>
          <w:spacing w:val="-15"/>
          <w:w w:val="105"/>
        </w:rPr>
        <w:t> </w:t>
      </w:r>
      <w:r>
        <w:rPr>
          <w:color w:val="231F20"/>
          <w:w w:val="105"/>
        </w:rPr>
        <w:t>cuando</w:t>
      </w:r>
      <w:r>
        <w:rPr>
          <w:color w:val="231F20"/>
          <w:spacing w:val="-15"/>
          <w:w w:val="105"/>
        </w:rPr>
        <w:t> </w:t>
      </w:r>
      <w:r>
        <w:rPr>
          <w:color w:val="231F20"/>
          <w:w w:val="105"/>
        </w:rPr>
        <w:t>se</w:t>
      </w:r>
      <w:r>
        <w:rPr>
          <w:color w:val="231F20"/>
          <w:spacing w:val="-15"/>
          <w:w w:val="105"/>
        </w:rPr>
        <w:t> </w:t>
      </w:r>
      <w:r>
        <w:rPr>
          <w:color w:val="231F20"/>
          <w:w w:val="105"/>
        </w:rPr>
        <w:t>han</w:t>
      </w:r>
      <w:r>
        <w:rPr>
          <w:color w:val="231F20"/>
          <w:spacing w:val="-15"/>
          <w:w w:val="105"/>
        </w:rPr>
        <w:t> </w:t>
      </w:r>
      <w:r>
        <w:rPr>
          <w:color w:val="231F20"/>
          <w:w w:val="105"/>
        </w:rPr>
        <w:t>perdido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desierto).</w:t>
      </w:r>
    </w:p>
    <w:p>
      <w:pPr>
        <w:pStyle w:val="BodyText"/>
        <w:spacing w:line="261" w:lineRule="auto" w:before="1"/>
        <w:ind w:left="1723" w:right="1834" w:firstLine="567"/>
        <w:jc w:val="both"/>
      </w:pPr>
      <w:r>
        <w:rPr>
          <w:color w:val="231F20"/>
          <w:w w:val="105"/>
        </w:rPr>
        <w:t>La migración deriva de decisiones individuales aunque éstas no dejan</w:t>
      </w:r>
      <w:r>
        <w:rPr>
          <w:color w:val="231F20"/>
          <w:spacing w:val="-27"/>
          <w:w w:val="105"/>
        </w:rPr>
        <w:t> </w:t>
      </w:r>
      <w:r>
        <w:rPr>
          <w:color w:val="231F20"/>
          <w:w w:val="105"/>
        </w:rPr>
        <w:t>de</w:t>
      </w:r>
      <w:r>
        <w:rPr>
          <w:color w:val="231F20"/>
          <w:spacing w:val="-27"/>
          <w:w w:val="105"/>
        </w:rPr>
        <w:t> </w:t>
      </w:r>
      <w:r>
        <w:rPr>
          <w:color w:val="231F20"/>
          <w:w w:val="105"/>
        </w:rPr>
        <w:t>estar</w:t>
      </w:r>
      <w:r>
        <w:rPr>
          <w:color w:val="231F20"/>
          <w:spacing w:val="-27"/>
          <w:w w:val="105"/>
        </w:rPr>
        <w:t> </w:t>
      </w:r>
      <w:r>
        <w:rPr>
          <w:color w:val="231F20"/>
          <w:w w:val="105"/>
        </w:rPr>
        <w:t>permeadas</w:t>
      </w:r>
      <w:r>
        <w:rPr>
          <w:color w:val="231F20"/>
          <w:spacing w:val="-27"/>
          <w:w w:val="105"/>
        </w:rPr>
        <w:t> </w:t>
      </w:r>
      <w:r>
        <w:rPr>
          <w:color w:val="231F20"/>
          <w:w w:val="105"/>
        </w:rPr>
        <w:t>por</w:t>
      </w:r>
      <w:r>
        <w:rPr>
          <w:color w:val="231F20"/>
          <w:spacing w:val="-27"/>
          <w:w w:val="105"/>
        </w:rPr>
        <w:t> </w:t>
      </w:r>
      <w:r>
        <w:rPr>
          <w:color w:val="231F20"/>
          <w:w w:val="105"/>
        </w:rPr>
        <w:t>las</w:t>
      </w:r>
      <w:r>
        <w:rPr>
          <w:color w:val="231F20"/>
          <w:spacing w:val="-27"/>
          <w:w w:val="105"/>
        </w:rPr>
        <w:t> </w:t>
      </w:r>
      <w:r>
        <w:rPr>
          <w:color w:val="231F20"/>
          <w:w w:val="105"/>
        </w:rPr>
        <w:t>necesidades</w:t>
      </w:r>
      <w:r>
        <w:rPr>
          <w:color w:val="231F20"/>
          <w:spacing w:val="-27"/>
          <w:w w:val="105"/>
        </w:rPr>
        <w:t> </w:t>
      </w:r>
      <w:r>
        <w:rPr>
          <w:color w:val="231F20"/>
          <w:w w:val="105"/>
        </w:rPr>
        <w:t>y</w:t>
      </w:r>
      <w:r>
        <w:rPr>
          <w:color w:val="231F20"/>
          <w:spacing w:val="-27"/>
          <w:w w:val="105"/>
        </w:rPr>
        <w:t> </w:t>
      </w:r>
      <w:r>
        <w:rPr>
          <w:color w:val="231F20"/>
          <w:w w:val="105"/>
        </w:rPr>
        <w:t>opiniones</w:t>
      </w:r>
      <w:r>
        <w:rPr>
          <w:color w:val="231F20"/>
          <w:spacing w:val="-27"/>
          <w:w w:val="105"/>
        </w:rPr>
        <w:t> </w:t>
      </w:r>
      <w:r>
        <w:rPr>
          <w:color w:val="231F20"/>
          <w:w w:val="105"/>
        </w:rPr>
        <w:t>colectivas.</w:t>
      </w:r>
      <w:r>
        <w:rPr>
          <w:color w:val="231F20"/>
          <w:spacing w:val="-31"/>
          <w:w w:val="105"/>
        </w:rPr>
        <w:t> </w:t>
      </w:r>
      <w:r>
        <w:rPr>
          <w:color w:val="231F20"/>
          <w:w w:val="105"/>
        </w:rPr>
        <w:t>De ahí</w:t>
      </w:r>
      <w:r>
        <w:rPr>
          <w:color w:val="231F20"/>
          <w:spacing w:val="-22"/>
          <w:w w:val="105"/>
        </w:rPr>
        <w:t> </w:t>
      </w:r>
      <w:r>
        <w:rPr>
          <w:color w:val="231F20"/>
          <w:w w:val="105"/>
        </w:rPr>
        <w:t>que</w:t>
      </w:r>
      <w:r>
        <w:rPr>
          <w:color w:val="231F20"/>
          <w:spacing w:val="-22"/>
          <w:w w:val="105"/>
        </w:rPr>
        <w:t> </w:t>
      </w:r>
      <w:r>
        <w:rPr>
          <w:color w:val="231F20"/>
          <w:w w:val="105"/>
        </w:rPr>
        <w:t>al</w:t>
      </w:r>
      <w:r>
        <w:rPr>
          <w:color w:val="231F20"/>
          <w:spacing w:val="-22"/>
          <w:w w:val="105"/>
        </w:rPr>
        <w:t> </w:t>
      </w:r>
      <w:r>
        <w:rPr>
          <w:color w:val="231F20"/>
          <w:w w:val="105"/>
        </w:rPr>
        <w:t>cruzar</w:t>
      </w:r>
      <w:r>
        <w:rPr>
          <w:color w:val="231F20"/>
          <w:spacing w:val="-22"/>
          <w:w w:val="105"/>
        </w:rPr>
        <w:t> </w:t>
      </w:r>
      <w:r>
        <w:rPr>
          <w:color w:val="231F20"/>
          <w:w w:val="105"/>
        </w:rPr>
        <w:t>la</w:t>
      </w:r>
      <w:r>
        <w:rPr>
          <w:color w:val="231F20"/>
          <w:spacing w:val="-22"/>
          <w:w w:val="105"/>
        </w:rPr>
        <w:t> </w:t>
      </w:r>
      <w:r>
        <w:rPr>
          <w:color w:val="231F20"/>
          <w:w w:val="105"/>
        </w:rPr>
        <w:t>frontera</w:t>
      </w:r>
      <w:r>
        <w:rPr>
          <w:color w:val="231F20"/>
          <w:spacing w:val="-22"/>
          <w:w w:val="105"/>
        </w:rPr>
        <w:t> </w:t>
      </w:r>
      <w:r>
        <w:rPr>
          <w:color w:val="231F20"/>
          <w:w w:val="105"/>
        </w:rPr>
        <w:t>no</w:t>
      </w:r>
      <w:r>
        <w:rPr>
          <w:color w:val="231F20"/>
          <w:spacing w:val="-22"/>
          <w:w w:val="105"/>
        </w:rPr>
        <w:t> </w:t>
      </w:r>
      <w:r>
        <w:rPr>
          <w:color w:val="231F20"/>
          <w:w w:val="105"/>
        </w:rPr>
        <w:t>tengan</w:t>
      </w:r>
      <w:r>
        <w:rPr>
          <w:color w:val="231F20"/>
          <w:spacing w:val="-22"/>
          <w:w w:val="105"/>
        </w:rPr>
        <w:t> </w:t>
      </w:r>
      <w:r>
        <w:rPr>
          <w:color w:val="231F20"/>
          <w:w w:val="105"/>
        </w:rPr>
        <w:t>permiso</w:t>
      </w:r>
      <w:r>
        <w:rPr>
          <w:color w:val="231F20"/>
          <w:spacing w:val="-22"/>
          <w:w w:val="105"/>
        </w:rPr>
        <w:t> </w:t>
      </w:r>
      <w:r>
        <w:rPr>
          <w:color w:val="231F20"/>
          <w:w w:val="105"/>
        </w:rPr>
        <w:t>para</w:t>
      </w:r>
      <w:r>
        <w:rPr>
          <w:color w:val="231F20"/>
          <w:spacing w:val="-22"/>
          <w:w w:val="105"/>
        </w:rPr>
        <w:t> </w:t>
      </w:r>
      <w:r>
        <w:rPr>
          <w:color w:val="231F20"/>
          <w:w w:val="105"/>
        </w:rPr>
        <w:t>arrepentirse,</w:t>
      </w:r>
      <w:r>
        <w:rPr>
          <w:color w:val="231F20"/>
          <w:spacing w:val="-27"/>
          <w:w w:val="105"/>
        </w:rPr>
        <w:t> </w:t>
      </w:r>
      <w:r>
        <w:rPr>
          <w:color w:val="231F20"/>
          <w:w w:val="105"/>
        </w:rPr>
        <w:t>dudarlo o desistir, pues en tanto decisión personal el peso del cuestionamiento social puede ser más cruel. Especialmente en aquellas salidas que no parecen</w:t>
      </w:r>
      <w:r>
        <w:rPr>
          <w:color w:val="231F20"/>
          <w:spacing w:val="-21"/>
          <w:w w:val="105"/>
        </w:rPr>
        <w:t> </w:t>
      </w:r>
      <w:r>
        <w:rPr>
          <w:color w:val="231F20"/>
          <w:w w:val="105"/>
        </w:rPr>
        <w:t>tener</w:t>
      </w:r>
      <w:r>
        <w:rPr>
          <w:color w:val="231F20"/>
          <w:spacing w:val="-21"/>
          <w:w w:val="105"/>
        </w:rPr>
        <w:t> </w:t>
      </w:r>
      <w:r>
        <w:rPr>
          <w:color w:val="231F20"/>
          <w:w w:val="105"/>
        </w:rPr>
        <w:t>sólidas</w:t>
      </w:r>
      <w:r>
        <w:rPr>
          <w:color w:val="231F20"/>
          <w:spacing w:val="-21"/>
          <w:w w:val="105"/>
        </w:rPr>
        <w:t> </w:t>
      </w:r>
      <w:r>
        <w:rPr>
          <w:color w:val="231F20"/>
          <w:w w:val="105"/>
        </w:rPr>
        <w:t>justificaciones</w:t>
      </w:r>
      <w:r>
        <w:rPr>
          <w:color w:val="231F20"/>
          <w:spacing w:val="-21"/>
          <w:w w:val="105"/>
        </w:rPr>
        <w:t> </w:t>
      </w:r>
      <w:r>
        <w:rPr>
          <w:color w:val="231F20"/>
          <w:w w:val="105"/>
        </w:rPr>
        <w:t>y</w:t>
      </w:r>
      <w:r>
        <w:rPr>
          <w:color w:val="231F20"/>
          <w:spacing w:val="-21"/>
          <w:w w:val="105"/>
        </w:rPr>
        <w:t> </w:t>
      </w:r>
      <w:r>
        <w:rPr>
          <w:color w:val="231F20"/>
          <w:w w:val="105"/>
        </w:rPr>
        <w:t>no</w:t>
      </w:r>
      <w:r>
        <w:rPr>
          <w:color w:val="231F20"/>
          <w:spacing w:val="-21"/>
          <w:w w:val="105"/>
        </w:rPr>
        <w:t> </w:t>
      </w:r>
      <w:r>
        <w:rPr>
          <w:color w:val="231F20"/>
          <w:w w:val="105"/>
        </w:rPr>
        <w:t>reciben</w:t>
      </w:r>
      <w:r>
        <w:rPr>
          <w:color w:val="231F20"/>
          <w:spacing w:val="-21"/>
          <w:w w:val="105"/>
        </w:rPr>
        <w:t> </w:t>
      </w:r>
      <w:r>
        <w:rPr>
          <w:color w:val="231F20"/>
          <w:w w:val="105"/>
        </w:rPr>
        <w:t>el</w:t>
      </w:r>
      <w:r>
        <w:rPr>
          <w:color w:val="231F20"/>
          <w:spacing w:val="-21"/>
          <w:w w:val="105"/>
        </w:rPr>
        <w:t> </w:t>
      </w:r>
      <w:r>
        <w:rPr>
          <w:color w:val="231F20"/>
          <w:w w:val="105"/>
        </w:rPr>
        <w:t>respaldo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pareja y</w:t>
      </w:r>
      <w:r>
        <w:rPr>
          <w:color w:val="231F20"/>
          <w:spacing w:val="-17"/>
          <w:w w:val="105"/>
        </w:rPr>
        <w:t> </w:t>
      </w:r>
      <w:r>
        <w:rPr>
          <w:color w:val="231F20"/>
          <w:w w:val="105"/>
        </w:rPr>
        <w:t>la</w:t>
      </w:r>
      <w:r>
        <w:rPr>
          <w:color w:val="231F20"/>
          <w:spacing w:val="-17"/>
          <w:w w:val="105"/>
        </w:rPr>
        <w:t> </w:t>
      </w:r>
      <w:r>
        <w:rPr>
          <w:color w:val="231F20"/>
          <w:w w:val="105"/>
        </w:rPr>
        <w:t>familia,</w:t>
      </w:r>
      <w:r>
        <w:rPr>
          <w:color w:val="231F20"/>
          <w:spacing w:val="-22"/>
          <w:w w:val="105"/>
        </w:rPr>
        <w:t> </w:t>
      </w:r>
      <w:r>
        <w:rPr>
          <w:color w:val="231F20"/>
          <w:w w:val="105"/>
        </w:rPr>
        <w:t>aunque</w:t>
      </w:r>
      <w:r>
        <w:rPr>
          <w:color w:val="231F20"/>
          <w:spacing w:val="-17"/>
          <w:w w:val="105"/>
        </w:rPr>
        <w:t> </w:t>
      </w:r>
      <w:r>
        <w:rPr>
          <w:color w:val="231F20"/>
          <w:w w:val="105"/>
        </w:rPr>
        <w:t>la</w:t>
      </w:r>
      <w:r>
        <w:rPr>
          <w:color w:val="231F20"/>
          <w:spacing w:val="-17"/>
          <w:w w:val="105"/>
        </w:rPr>
        <w:t> </w:t>
      </w:r>
      <w:r>
        <w:rPr>
          <w:color w:val="231F20"/>
          <w:w w:val="105"/>
        </w:rPr>
        <w:t>capacidad</w:t>
      </w:r>
      <w:r>
        <w:rPr>
          <w:color w:val="231F20"/>
          <w:spacing w:val="-17"/>
          <w:w w:val="105"/>
        </w:rPr>
        <w:t> </w:t>
      </w:r>
      <w:r>
        <w:rPr>
          <w:color w:val="231F20"/>
          <w:w w:val="105"/>
        </w:rPr>
        <w:t>física</w:t>
      </w:r>
      <w:r>
        <w:rPr>
          <w:color w:val="231F20"/>
          <w:spacing w:val="-17"/>
          <w:w w:val="105"/>
        </w:rPr>
        <w:t> </w:t>
      </w:r>
      <w:r>
        <w:rPr>
          <w:color w:val="231F20"/>
          <w:w w:val="105"/>
        </w:rPr>
        <w:t>y</w:t>
      </w:r>
      <w:r>
        <w:rPr>
          <w:color w:val="231F20"/>
          <w:spacing w:val="-17"/>
          <w:w w:val="105"/>
        </w:rPr>
        <w:t> </w:t>
      </w:r>
      <w:r>
        <w:rPr>
          <w:color w:val="231F20"/>
          <w:w w:val="105"/>
        </w:rPr>
        <w:t>emocional</w:t>
      </w:r>
      <w:r>
        <w:rPr>
          <w:color w:val="231F20"/>
          <w:spacing w:val="-17"/>
          <w:w w:val="105"/>
        </w:rPr>
        <w:t> </w:t>
      </w:r>
      <w:r>
        <w:rPr>
          <w:color w:val="231F20"/>
          <w:w w:val="105"/>
        </w:rPr>
        <w:t>del</w:t>
      </w:r>
      <w:r>
        <w:rPr>
          <w:color w:val="231F20"/>
          <w:spacing w:val="-17"/>
          <w:w w:val="105"/>
        </w:rPr>
        <w:t> </w:t>
      </w:r>
      <w:r>
        <w:rPr>
          <w:color w:val="231F20"/>
          <w:w w:val="105"/>
        </w:rPr>
        <w:t>migrante</w:t>
      </w:r>
      <w:r>
        <w:rPr>
          <w:color w:val="231F20"/>
          <w:spacing w:val="-17"/>
          <w:w w:val="105"/>
        </w:rPr>
        <w:t> </w:t>
      </w:r>
      <w:r>
        <w:rPr>
          <w:color w:val="231F20"/>
          <w:w w:val="105"/>
        </w:rPr>
        <w:t>ponga</w:t>
      </w:r>
      <w:r>
        <w:rPr>
          <w:color w:val="231F20"/>
          <w:spacing w:val="-17"/>
          <w:w w:val="105"/>
        </w:rPr>
        <w:t> </w:t>
      </w:r>
      <w:r>
        <w:rPr>
          <w:color w:val="231F20"/>
          <w:w w:val="105"/>
        </w:rPr>
        <w:t>a su</w:t>
      </w:r>
      <w:r>
        <w:rPr>
          <w:color w:val="231F20"/>
          <w:spacing w:val="-15"/>
          <w:w w:val="105"/>
        </w:rPr>
        <w:t> </w:t>
      </w:r>
      <w:r>
        <w:rPr>
          <w:color w:val="231F20"/>
          <w:w w:val="105"/>
        </w:rPr>
        <w:t>servicio</w:t>
      </w:r>
      <w:r>
        <w:rPr>
          <w:color w:val="231F20"/>
          <w:spacing w:val="-15"/>
          <w:w w:val="105"/>
        </w:rPr>
        <w:t> </w:t>
      </w:r>
      <w:r>
        <w:rPr>
          <w:color w:val="231F20"/>
          <w:w w:val="105"/>
        </w:rPr>
        <w:t>exacerbando</w:t>
      </w:r>
      <w:r>
        <w:rPr>
          <w:color w:val="231F20"/>
          <w:spacing w:val="-15"/>
          <w:w w:val="105"/>
        </w:rPr>
        <w:t> </w:t>
      </w:r>
      <w:r>
        <w:rPr>
          <w:color w:val="231F20"/>
          <w:spacing w:val="-3"/>
          <w:w w:val="105"/>
        </w:rPr>
        <w:t>“el</w:t>
      </w:r>
      <w:r>
        <w:rPr>
          <w:color w:val="231F20"/>
          <w:spacing w:val="-15"/>
          <w:w w:val="105"/>
        </w:rPr>
        <w:t> </w:t>
      </w:r>
      <w:r>
        <w:rPr>
          <w:color w:val="231F20"/>
          <w:w w:val="105"/>
        </w:rPr>
        <w:t>yo</w:t>
      </w:r>
      <w:r>
        <w:rPr>
          <w:color w:val="231F20"/>
          <w:spacing w:val="-15"/>
          <w:w w:val="105"/>
        </w:rPr>
        <w:t> </w:t>
      </w:r>
      <w:r>
        <w:rPr>
          <w:color w:val="231F20"/>
          <w:w w:val="105"/>
        </w:rPr>
        <w:t>voy</w:t>
      </w:r>
      <w:r>
        <w:rPr>
          <w:color w:val="231F20"/>
          <w:spacing w:val="-15"/>
          <w:w w:val="105"/>
        </w:rPr>
        <w:t> </w:t>
      </w:r>
      <w:r>
        <w:rPr>
          <w:color w:val="231F20"/>
          <w:w w:val="105"/>
        </w:rPr>
        <w:t>a</w:t>
      </w:r>
      <w:r>
        <w:rPr>
          <w:color w:val="231F20"/>
          <w:spacing w:val="-15"/>
          <w:w w:val="105"/>
        </w:rPr>
        <w:t> </w:t>
      </w:r>
      <w:r>
        <w:rPr>
          <w:color w:val="231F20"/>
          <w:spacing w:val="-3"/>
          <w:w w:val="105"/>
        </w:rPr>
        <w:t>lograrlo”,</w:t>
      </w:r>
      <w:r>
        <w:rPr>
          <w:color w:val="231F20"/>
          <w:spacing w:val="-20"/>
          <w:w w:val="105"/>
        </w:rPr>
        <w:t> </w:t>
      </w:r>
      <w:r>
        <w:rPr>
          <w:color w:val="231F20"/>
          <w:w w:val="105"/>
        </w:rPr>
        <w:t>“yo</w:t>
      </w:r>
      <w:r>
        <w:rPr>
          <w:color w:val="231F20"/>
          <w:spacing w:val="-15"/>
          <w:w w:val="105"/>
        </w:rPr>
        <w:t> </w:t>
      </w:r>
      <w:r>
        <w:rPr>
          <w:color w:val="231F20"/>
          <w:w w:val="105"/>
        </w:rPr>
        <w:t>voy</w:t>
      </w:r>
      <w:r>
        <w:rPr>
          <w:color w:val="231F20"/>
          <w:spacing w:val="-15"/>
          <w:w w:val="105"/>
        </w:rPr>
        <w:t> </w:t>
      </w:r>
      <w:r>
        <w:rPr>
          <w:color w:val="231F20"/>
          <w:w w:val="105"/>
        </w:rPr>
        <w:t>a</w:t>
      </w:r>
      <w:r>
        <w:rPr>
          <w:color w:val="231F20"/>
          <w:spacing w:val="-15"/>
          <w:w w:val="105"/>
        </w:rPr>
        <w:t> </w:t>
      </w:r>
      <w:r>
        <w:rPr>
          <w:color w:val="231F20"/>
          <w:spacing w:val="-3"/>
          <w:w w:val="105"/>
        </w:rPr>
        <w:t>pasar”.</w:t>
      </w:r>
    </w:p>
    <w:p>
      <w:pPr>
        <w:pStyle w:val="BodyText"/>
        <w:spacing w:line="261" w:lineRule="auto" w:before="1"/>
        <w:ind w:left="1723" w:right="1835" w:firstLine="567"/>
        <w:jc w:val="both"/>
      </w:pPr>
      <w:r>
        <w:rPr>
          <w:color w:val="231F20"/>
          <w:w w:val="105"/>
        </w:rPr>
        <w:t>Si</w:t>
      </w:r>
      <w:r>
        <w:rPr>
          <w:color w:val="231F20"/>
          <w:spacing w:val="-22"/>
          <w:w w:val="105"/>
        </w:rPr>
        <w:t> </w:t>
      </w:r>
      <w:r>
        <w:rPr>
          <w:color w:val="231F20"/>
          <w:w w:val="105"/>
        </w:rPr>
        <w:t>bien,</w:t>
      </w:r>
      <w:r>
        <w:rPr>
          <w:color w:val="231F20"/>
          <w:spacing w:val="-27"/>
          <w:w w:val="105"/>
        </w:rPr>
        <w:t> </w:t>
      </w:r>
      <w:r>
        <w:rPr>
          <w:color w:val="231F20"/>
          <w:w w:val="105"/>
        </w:rPr>
        <w:t>se</w:t>
      </w:r>
      <w:r>
        <w:rPr>
          <w:color w:val="231F20"/>
          <w:spacing w:val="-22"/>
          <w:w w:val="105"/>
        </w:rPr>
        <w:t> </w:t>
      </w:r>
      <w:r>
        <w:rPr>
          <w:color w:val="231F20"/>
          <w:w w:val="105"/>
        </w:rPr>
        <w:t>expande</w:t>
      </w:r>
      <w:r>
        <w:rPr>
          <w:color w:val="231F20"/>
          <w:spacing w:val="-22"/>
          <w:w w:val="105"/>
        </w:rPr>
        <w:t> </w:t>
      </w:r>
      <w:r>
        <w:rPr>
          <w:color w:val="231F20"/>
          <w:w w:val="105"/>
        </w:rPr>
        <w:t>al</w:t>
      </w:r>
      <w:r>
        <w:rPr>
          <w:color w:val="231F20"/>
          <w:spacing w:val="-22"/>
          <w:w w:val="105"/>
        </w:rPr>
        <w:t> </w:t>
      </w:r>
      <w:r>
        <w:rPr>
          <w:color w:val="231F20"/>
          <w:w w:val="105"/>
        </w:rPr>
        <w:t>cuerpo</w:t>
      </w:r>
      <w:r>
        <w:rPr>
          <w:color w:val="231F20"/>
          <w:spacing w:val="-22"/>
          <w:w w:val="105"/>
        </w:rPr>
        <w:t> </w:t>
      </w:r>
      <w:r>
        <w:rPr>
          <w:color w:val="231F20"/>
          <w:w w:val="105"/>
        </w:rPr>
        <w:t>y</w:t>
      </w:r>
      <w:r>
        <w:rPr>
          <w:color w:val="231F20"/>
          <w:spacing w:val="-22"/>
          <w:w w:val="105"/>
        </w:rPr>
        <w:t> </w:t>
      </w:r>
      <w:r>
        <w:rPr>
          <w:color w:val="231F20"/>
          <w:w w:val="105"/>
        </w:rPr>
        <w:t>mente</w:t>
      </w:r>
      <w:r>
        <w:rPr>
          <w:color w:val="231F20"/>
          <w:spacing w:val="-22"/>
          <w:w w:val="105"/>
        </w:rPr>
        <w:t> </w:t>
      </w:r>
      <w:r>
        <w:rPr>
          <w:color w:val="231F20"/>
          <w:w w:val="105"/>
        </w:rPr>
        <w:t>la</w:t>
      </w:r>
      <w:r>
        <w:rPr>
          <w:color w:val="231F20"/>
          <w:spacing w:val="-22"/>
          <w:w w:val="105"/>
        </w:rPr>
        <w:t> </w:t>
      </w:r>
      <w:r>
        <w:rPr>
          <w:color w:val="231F20"/>
          <w:w w:val="105"/>
        </w:rPr>
        <w:t>confianza</w:t>
      </w:r>
      <w:r>
        <w:rPr>
          <w:color w:val="231F20"/>
          <w:spacing w:val="-22"/>
          <w:w w:val="105"/>
        </w:rPr>
        <w:t> </w:t>
      </w:r>
      <w:r>
        <w:rPr>
          <w:color w:val="231F20"/>
          <w:w w:val="105"/>
        </w:rPr>
        <w:t>de</w:t>
      </w:r>
      <w:r>
        <w:rPr>
          <w:color w:val="231F20"/>
          <w:spacing w:val="-22"/>
          <w:w w:val="105"/>
        </w:rPr>
        <w:t> </w:t>
      </w:r>
      <w:r>
        <w:rPr>
          <w:color w:val="231F20"/>
          <w:w w:val="105"/>
        </w:rPr>
        <w:t>pasar</w:t>
      </w:r>
      <w:r>
        <w:rPr>
          <w:color w:val="231F20"/>
          <w:spacing w:val="-22"/>
          <w:w w:val="105"/>
        </w:rPr>
        <w:t> </w:t>
      </w:r>
      <w:r>
        <w:rPr>
          <w:color w:val="231F20"/>
          <w:w w:val="105"/>
        </w:rPr>
        <w:t>la</w:t>
      </w:r>
      <w:r>
        <w:rPr>
          <w:color w:val="231F20"/>
          <w:spacing w:val="-22"/>
          <w:w w:val="105"/>
        </w:rPr>
        <w:t> </w:t>
      </w:r>
      <w:r>
        <w:rPr>
          <w:color w:val="231F20"/>
          <w:w w:val="105"/>
        </w:rPr>
        <w:t>fron- tera</w:t>
      </w:r>
      <w:r>
        <w:rPr>
          <w:color w:val="231F20"/>
          <w:spacing w:val="-13"/>
          <w:w w:val="105"/>
        </w:rPr>
        <w:t> </w:t>
      </w:r>
      <w:r>
        <w:rPr>
          <w:color w:val="231F20"/>
          <w:w w:val="105"/>
        </w:rPr>
        <w:t>sin</w:t>
      </w:r>
      <w:r>
        <w:rPr>
          <w:color w:val="231F20"/>
          <w:spacing w:val="-13"/>
          <w:w w:val="105"/>
        </w:rPr>
        <w:t> </w:t>
      </w:r>
      <w:r>
        <w:rPr>
          <w:color w:val="231F20"/>
          <w:w w:val="105"/>
        </w:rPr>
        <w:t>contratiempos,</w:t>
      </w:r>
      <w:r>
        <w:rPr>
          <w:color w:val="231F20"/>
          <w:spacing w:val="-19"/>
          <w:w w:val="105"/>
        </w:rPr>
        <w:t> </w:t>
      </w:r>
      <w:r>
        <w:rPr>
          <w:color w:val="231F20"/>
          <w:w w:val="105"/>
        </w:rPr>
        <w:t>siempre</w:t>
      </w:r>
      <w:r>
        <w:rPr>
          <w:color w:val="231F20"/>
          <w:spacing w:val="-13"/>
          <w:w w:val="105"/>
        </w:rPr>
        <w:t> </w:t>
      </w:r>
      <w:r>
        <w:rPr>
          <w:color w:val="231F20"/>
          <w:w w:val="105"/>
        </w:rPr>
        <w:t>aflora</w:t>
      </w:r>
      <w:r>
        <w:rPr>
          <w:color w:val="231F20"/>
          <w:spacing w:val="-13"/>
          <w:w w:val="105"/>
        </w:rPr>
        <w:t> </w:t>
      </w:r>
      <w:r>
        <w:rPr>
          <w:color w:val="231F20"/>
          <w:w w:val="105"/>
        </w:rPr>
        <w:t>miedo</w:t>
      </w:r>
      <w:r>
        <w:rPr>
          <w:color w:val="231F20"/>
          <w:spacing w:val="-13"/>
          <w:w w:val="105"/>
        </w:rPr>
        <w:t> </w:t>
      </w:r>
      <w:r>
        <w:rPr>
          <w:color w:val="231F20"/>
          <w:w w:val="105"/>
        </w:rPr>
        <w:t>al</w:t>
      </w:r>
      <w:r>
        <w:rPr>
          <w:color w:val="231F20"/>
          <w:spacing w:val="-13"/>
          <w:w w:val="105"/>
        </w:rPr>
        <w:t> </w:t>
      </w:r>
      <w:r>
        <w:rPr>
          <w:color w:val="231F20"/>
          <w:w w:val="105"/>
        </w:rPr>
        <w:t>“¿y</w:t>
      </w:r>
      <w:r>
        <w:rPr>
          <w:color w:val="231F20"/>
          <w:spacing w:val="-13"/>
          <w:w w:val="105"/>
        </w:rPr>
        <w:t> </w:t>
      </w:r>
      <w:r>
        <w:rPr>
          <w:color w:val="231F20"/>
          <w:w w:val="105"/>
        </w:rPr>
        <w:t>si</w:t>
      </w:r>
      <w:r>
        <w:rPr>
          <w:color w:val="231F20"/>
          <w:spacing w:val="-13"/>
          <w:w w:val="105"/>
        </w:rPr>
        <w:t> </w:t>
      </w:r>
      <w:r>
        <w:rPr>
          <w:color w:val="231F20"/>
          <w:w w:val="105"/>
        </w:rPr>
        <w:t>algo</w:t>
      </w:r>
      <w:r>
        <w:rPr>
          <w:color w:val="231F20"/>
          <w:spacing w:val="-13"/>
          <w:w w:val="105"/>
        </w:rPr>
        <w:t> </w:t>
      </w:r>
      <w:r>
        <w:rPr>
          <w:color w:val="231F20"/>
          <w:w w:val="105"/>
        </w:rPr>
        <w:t>me</w:t>
      </w:r>
      <w:r>
        <w:rPr>
          <w:color w:val="231F20"/>
          <w:spacing w:val="-13"/>
          <w:w w:val="105"/>
        </w:rPr>
        <w:t> </w:t>
      </w:r>
      <w:r>
        <w:rPr>
          <w:color w:val="231F20"/>
          <w:spacing w:val="-4"/>
          <w:w w:val="105"/>
        </w:rPr>
        <w:t>pasa?”,</w:t>
      </w:r>
      <w:r>
        <w:rPr>
          <w:color w:val="231F20"/>
          <w:spacing w:val="-19"/>
          <w:w w:val="105"/>
        </w:rPr>
        <w:t> </w:t>
      </w:r>
      <w:r>
        <w:rPr>
          <w:color w:val="231F20"/>
          <w:w w:val="105"/>
        </w:rPr>
        <w:t>di- cho</w:t>
      </w:r>
      <w:r>
        <w:rPr>
          <w:color w:val="231F20"/>
          <w:spacing w:val="-17"/>
          <w:w w:val="105"/>
        </w:rPr>
        <w:t> </w:t>
      </w:r>
      <w:r>
        <w:rPr>
          <w:color w:val="231F20"/>
          <w:w w:val="105"/>
        </w:rPr>
        <w:t>temor,</w:t>
      </w:r>
      <w:r>
        <w:rPr>
          <w:color w:val="231F20"/>
          <w:spacing w:val="-22"/>
          <w:w w:val="105"/>
        </w:rPr>
        <w:t> </w:t>
      </w:r>
      <w:r>
        <w:rPr>
          <w:color w:val="231F20"/>
          <w:w w:val="105"/>
        </w:rPr>
        <w:t>en</w:t>
      </w:r>
      <w:r>
        <w:rPr>
          <w:color w:val="231F20"/>
          <w:spacing w:val="-17"/>
          <w:w w:val="105"/>
        </w:rPr>
        <w:t> </w:t>
      </w:r>
      <w:r>
        <w:rPr>
          <w:color w:val="231F20"/>
          <w:w w:val="105"/>
        </w:rPr>
        <w:t>sus</w:t>
      </w:r>
      <w:r>
        <w:rPr>
          <w:color w:val="231F20"/>
          <w:spacing w:val="-17"/>
          <w:w w:val="105"/>
        </w:rPr>
        <w:t> </w:t>
      </w:r>
      <w:r>
        <w:rPr>
          <w:color w:val="231F20"/>
          <w:w w:val="105"/>
        </w:rPr>
        <w:t>distintos</w:t>
      </w:r>
      <w:r>
        <w:rPr>
          <w:color w:val="231F20"/>
          <w:spacing w:val="-17"/>
          <w:w w:val="105"/>
        </w:rPr>
        <w:t> </w:t>
      </w:r>
      <w:r>
        <w:rPr>
          <w:color w:val="231F20"/>
          <w:w w:val="105"/>
        </w:rPr>
        <w:t>grados,</w:t>
      </w:r>
      <w:r>
        <w:rPr>
          <w:color w:val="231F20"/>
          <w:spacing w:val="-22"/>
          <w:w w:val="105"/>
        </w:rPr>
        <w:t> </w:t>
      </w:r>
      <w:r>
        <w:rPr>
          <w:color w:val="231F20"/>
          <w:w w:val="105"/>
        </w:rPr>
        <w:t>caracteriza</w:t>
      </w:r>
      <w:r>
        <w:rPr>
          <w:color w:val="231F20"/>
          <w:spacing w:val="-17"/>
          <w:w w:val="105"/>
        </w:rPr>
        <w:t> </w:t>
      </w:r>
      <w:r>
        <w:rPr>
          <w:color w:val="231F20"/>
          <w:w w:val="105"/>
        </w:rPr>
        <w:t>las</w:t>
      </w:r>
      <w:r>
        <w:rPr>
          <w:color w:val="231F20"/>
          <w:spacing w:val="-17"/>
          <w:w w:val="105"/>
        </w:rPr>
        <w:t> </w:t>
      </w:r>
      <w:r>
        <w:rPr>
          <w:color w:val="231F20"/>
          <w:w w:val="105"/>
        </w:rPr>
        <w:t>experiencias</w:t>
      </w:r>
      <w:r>
        <w:rPr>
          <w:color w:val="231F20"/>
          <w:spacing w:val="-17"/>
          <w:w w:val="105"/>
        </w:rPr>
        <w:t> </w:t>
      </w:r>
      <w:r>
        <w:rPr>
          <w:color w:val="231F20"/>
          <w:w w:val="105"/>
        </w:rPr>
        <w:t>de</w:t>
      </w:r>
      <w:r>
        <w:rPr>
          <w:color w:val="231F20"/>
          <w:spacing w:val="-17"/>
          <w:w w:val="105"/>
        </w:rPr>
        <w:t> </w:t>
      </w:r>
      <w:r>
        <w:rPr>
          <w:color w:val="231F20"/>
          <w:w w:val="105"/>
        </w:rPr>
        <w:t>todos los</w:t>
      </w:r>
      <w:r>
        <w:rPr>
          <w:color w:val="231F20"/>
          <w:spacing w:val="-19"/>
          <w:w w:val="105"/>
        </w:rPr>
        <w:t> </w:t>
      </w:r>
      <w:r>
        <w:rPr>
          <w:color w:val="231F20"/>
          <w:w w:val="105"/>
        </w:rPr>
        <w:t>varones</w:t>
      </w:r>
      <w:r>
        <w:rPr>
          <w:color w:val="231F20"/>
          <w:spacing w:val="-19"/>
          <w:w w:val="105"/>
        </w:rPr>
        <w:t> </w:t>
      </w:r>
      <w:r>
        <w:rPr>
          <w:color w:val="231F20"/>
          <w:w w:val="105"/>
        </w:rPr>
        <w:t>en</w:t>
      </w:r>
      <w:r>
        <w:rPr>
          <w:color w:val="231F20"/>
          <w:spacing w:val="-19"/>
          <w:w w:val="105"/>
        </w:rPr>
        <w:t> </w:t>
      </w:r>
      <w:r>
        <w:rPr>
          <w:color w:val="231F20"/>
          <w:w w:val="105"/>
        </w:rPr>
        <w:t>cualquiera</w:t>
      </w:r>
      <w:r>
        <w:rPr>
          <w:color w:val="231F20"/>
          <w:spacing w:val="-19"/>
          <w:w w:val="105"/>
        </w:rPr>
        <w:t> </w:t>
      </w:r>
      <w:r>
        <w:rPr>
          <w:color w:val="231F20"/>
          <w:w w:val="105"/>
        </w:rPr>
        <w:t>de</w:t>
      </w:r>
      <w:r>
        <w:rPr>
          <w:color w:val="231F20"/>
          <w:spacing w:val="-19"/>
          <w:w w:val="105"/>
        </w:rPr>
        <w:t> </w:t>
      </w:r>
      <w:r>
        <w:rPr>
          <w:color w:val="231F20"/>
          <w:w w:val="105"/>
        </w:rPr>
        <w:t>sus</w:t>
      </w:r>
      <w:r>
        <w:rPr>
          <w:color w:val="231F20"/>
          <w:spacing w:val="-19"/>
          <w:w w:val="105"/>
        </w:rPr>
        <w:t> </w:t>
      </w:r>
      <w:r>
        <w:rPr>
          <w:color w:val="231F20"/>
          <w:w w:val="105"/>
        </w:rPr>
        <w:t>intentos</w:t>
      </w:r>
      <w:r>
        <w:rPr>
          <w:color w:val="231F20"/>
          <w:spacing w:val="-19"/>
          <w:w w:val="105"/>
        </w:rPr>
        <w:t> </w:t>
      </w:r>
      <w:r>
        <w:rPr>
          <w:color w:val="231F20"/>
          <w:w w:val="105"/>
        </w:rPr>
        <w:t>por</w:t>
      </w:r>
      <w:r>
        <w:rPr>
          <w:color w:val="231F20"/>
          <w:spacing w:val="-19"/>
          <w:w w:val="105"/>
        </w:rPr>
        <w:t> </w:t>
      </w:r>
      <w:r>
        <w:rPr>
          <w:color w:val="231F20"/>
          <w:w w:val="105"/>
        </w:rPr>
        <w:t>cruzar</w:t>
      </w:r>
      <w:r>
        <w:rPr>
          <w:color w:val="231F20"/>
          <w:spacing w:val="-19"/>
          <w:w w:val="105"/>
        </w:rPr>
        <w:t> </w:t>
      </w:r>
      <w:r>
        <w:rPr>
          <w:color w:val="231F20"/>
          <w:w w:val="105"/>
        </w:rPr>
        <w:t>la</w:t>
      </w:r>
      <w:r>
        <w:rPr>
          <w:color w:val="231F20"/>
          <w:spacing w:val="-19"/>
          <w:w w:val="105"/>
        </w:rPr>
        <w:t> </w:t>
      </w:r>
      <w:r>
        <w:rPr>
          <w:color w:val="231F20"/>
          <w:w w:val="105"/>
        </w:rPr>
        <w:t>frontera</w:t>
      </w:r>
    </w:p>
    <w:p>
      <w:pPr>
        <w:pStyle w:val="BodyText"/>
        <w:spacing w:line="261" w:lineRule="auto" w:before="1"/>
        <w:ind w:left="1723" w:right="1828" w:firstLine="567"/>
        <w:jc w:val="both"/>
      </w:pPr>
      <w:r>
        <w:rPr>
          <w:color w:val="231F20"/>
          <w:w w:val="105"/>
        </w:rPr>
        <w:t>Las</w:t>
      </w:r>
      <w:r>
        <w:rPr>
          <w:color w:val="231F20"/>
          <w:spacing w:val="-9"/>
          <w:w w:val="105"/>
        </w:rPr>
        <w:t> </w:t>
      </w:r>
      <w:r>
        <w:rPr>
          <w:color w:val="231F20"/>
          <w:w w:val="105"/>
        </w:rPr>
        <w:t>buenas</w:t>
      </w:r>
      <w:r>
        <w:rPr>
          <w:color w:val="231F20"/>
          <w:spacing w:val="-9"/>
          <w:w w:val="105"/>
        </w:rPr>
        <w:t> </w:t>
      </w:r>
      <w:r>
        <w:rPr>
          <w:color w:val="231F20"/>
          <w:w w:val="105"/>
        </w:rPr>
        <w:t>intenciones</w:t>
      </w:r>
      <w:r>
        <w:rPr>
          <w:color w:val="231F20"/>
          <w:spacing w:val="-9"/>
          <w:w w:val="105"/>
        </w:rPr>
        <w:t> </w:t>
      </w:r>
      <w:r>
        <w:rPr>
          <w:color w:val="231F20"/>
          <w:w w:val="105"/>
        </w:rPr>
        <w:t>y</w:t>
      </w:r>
      <w:r>
        <w:rPr>
          <w:color w:val="231F20"/>
          <w:spacing w:val="-9"/>
          <w:w w:val="105"/>
        </w:rPr>
        <w:t> </w:t>
      </w:r>
      <w:r>
        <w:rPr>
          <w:color w:val="231F20"/>
          <w:w w:val="105"/>
        </w:rPr>
        <w:t>motivaciones</w:t>
      </w:r>
      <w:r>
        <w:rPr>
          <w:color w:val="231F20"/>
          <w:spacing w:val="-9"/>
          <w:w w:val="105"/>
        </w:rPr>
        <w:t> </w:t>
      </w:r>
      <w:r>
        <w:rPr>
          <w:color w:val="231F20"/>
          <w:w w:val="105"/>
        </w:rPr>
        <w:t>parecen</w:t>
      </w:r>
      <w:r>
        <w:rPr>
          <w:color w:val="231F20"/>
          <w:spacing w:val="-9"/>
          <w:w w:val="105"/>
        </w:rPr>
        <w:t> </w:t>
      </w:r>
      <w:r>
        <w:rPr>
          <w:color w:val="231F20"/>
          <w:w w:val="105"/>
        </w:rPr>
        <w:t>ir</w:t>
      </w:r>
      <w:r>
        <w:rPr>
          <w:color w:val="231F20"/>
          <w:spacing w:val="-9"/>
          <w:w w:val="105"/>
        </w:rPr>
        <w:t> </w:t>
      </w:r>
      <w:r>
        <w:rPr>
          <w:color w:val="231F20"/>
          <w:w w:val="105"/>
        </w:rPr>
        <w:t>siempre</w:t>
      </w:r>
      <w:r>
        <w:rPr>
          <w:color w:val="231F20"/>
          <w:spacing w:val="-9"/>
          <w:w w:val="105"/>
        </w:rPr>
        <w:t> </w:t>
      </w:r>
      <w:r>
        <w:rPr>
          <w:color w:val="231F20"/>
          <w:w w:val="105"/>
        </w:rPr>
        <w:t>juntas, es en éstas donde los migrantes se reconocen como fuertes para vivir cualquier</w:t>
      </w:r>
      <w:r>
        <w:rPr>
          <w:color w:val="231F20"/>
          <w:spacing w:val="-14"/>
          <w:w w:val="105"/>
        </w:rPr>
        <w:t> </w:t>
      </w:r>
      <w:r>
        <w:rPr>
          <w:color w:val="231F20"/>
          <w:w w:val="105"/>
        </w:rPr>
        <w:t>tipo</w:t>
      </w:r>
      <w:r>
        <w:rPr>
          <w:color w:val="231F20"/>
          <w:spacing w:val="-14"/>
          <w:w w:val="105"/>
        </w:rPr>
        <w:t> </w:t>
      </w:r>
      <w:r>
        <w:rPr>
          <w:color w:val="231F20"/>
          <w:w w:val="105"/>
        </w:rPr>
        <w:t>de</w:t>
      </w:r>
      <w:r>
        <w:rPr>
          <w:color w:val="231F20"/>
          <w:spacing w:val="-14"/>
          <w:w w:val="105"/>
        </w:rPr>
        <w:t> </w:t>
      </w:r>
      <w:r>
        <w:rPr>
          <w:color w:val="231F20"/>
          <w:w w:val="105"/>
        </w:rPr>
        <w:t>emoción.</w:t>
      </w:r>
      <w:r>
        <w:rPr>
          <w:color w:val="231F20"/>
          <w:spacing w:val="-19"/>
          <w:w w:val="105"/>
        </w:rPr>
        <w:t> </w:t>
      </w:r>
      <w:r>
        <w:rPr>
          <w:color w:val="231F20"/>
          <w:w w:val="105"/>
        </w:rPr>
        <w:t>Sin</w:t>
      </w:r>
      <w:r>
        <w:rPr>
          <w:color w:val="231F20"/>
          <w:spacing w:val="-14"/>
          <w:w w:val="105"/>
        </w:rPr>
        <w:t> </w:t>
      </w:r>
      <w:r>
        <w:rPr>
          <w:color w:val="231F20"/>
          <w:w w:val="105"/>
        </w:rPr>
        <w:t>embargo,</w:t>
      </w:r>
      <w:r>
        <w:rPr>
          <w:color w:val="231F20"/>
          <w:spacing w:val="-19"/>
          <w:w w:val="105"/>
        </w:rPr>
        <w:t> </w:t>
      </w:r>
      <w:r>
        <w:rPr>
          <w:color w:val="231F20"/>
          <w:w w:val="105"/>
        </w:rPr>
        <w:t>nada</w:t>
      </w:r>
      <w:r>
        <w:rPr>
          <w:color w:val="231F20"/>
          <w:spacing w:val="-14"/>
          <w:w w:val="105"/>
        </w:rPr>
        <w:t> </w:t>
      </w:r>
      <w:r>
        <w:rPr>
          <w:color w:val="231F20"/>
          <w:w w:val="105"/>
        </w:rPr>
        <w:t>se</w:t>
      </w:r>
      <w:r>
        <w:rPr>
          <w:color w:val="231F20"/>
          <w:spacing w:val="-14"/>
          <w:w w:val="105"/>
        </w:rPr>
        <w:t> </w:t>
      </w:r>
      <w:r>
        <w:rPr>
          <w:color w:val="231F20"/>
          <w:w w:val="105"/>
        </w:rPr>
        <w:t>define</w:t>
      </w:r>
      <w:r>
        <w:rPr>
          <w:color w:val="231F20"/>
          <w:spacing w:val="-14"/>
          <w:w w:val="105"/>
        </w:rPr>
        <w:t> </w:t>
      </w:r>
      <w:r>
        <w:rPr>
          <w:color w:val="231F20"/>
          <w:w w:val="105"/>
        </w:rPr>
        <w:t>hasta</w:t>
      </w:r>
      <w:r>
        <w:rPr>
          <w:color w:val="231F20"/>
          <w:spacing w:val="-14"/>
          <w:w w:val="105"/>
        </w:rPr>
        <w:t> </w:t>
      </w:r>
      <w:r>
        <w:rPr>
          <w:color w:val="231F20"/>
          <w:w w:val="105"/>
        </w:rPr>
        <w:t>la</w:t>
      </w:r>
      <w:r>
        <w:rPr>
          <w:color w:val="231F20"/>
          <w:spacing w:val="-14"/>
          <w:w w:val="105"/>
        </w:rPr>
        <w:t> </w:t>
      </w:r>
      <w:r>
        <w:rPr>
          <w:color w:val="231F20"/>
          <w:w w:val="105"/>
        </w:rPr>
        <w:t>concre- ción del cruce. En respuesta a ello, su espiritualidad los sujeta a la “vo- luntad de Dios” o “si Dios quiere” o “primeramente </w:t>
      </w:r>
      <w:r>
        <w:rPr>
          <w:color w:val="231F20"/>
          <w:spacing w:val="-5"/>
          <w:w w:val="105"/>
        </w:rPr>
        <w:t>Dios”, </w:t>
      </w:r>
      <w:r>
        <w:rPr>
          <w:color w:val="231F20"/>
          <w:w w:val="105"/>
        </w:rPr>
        <w:t>es decir, apa- rece como determinador de un todo en la frontera. El esfuerzo físico</w:t>
      </w:r>
      <w:r>
        <w:rPr>
          <w:color w:val="231F20"/>
          <w:spacing w:val="-5"/>
          <w:w w:val="105"/>
        </w:rPr>
        <w:t> </w:t>
      </w:r>
      <w:r>
        <w:rPr>
          <w:color w:val="231F20"/>
          <w:w w:val="105"/>
        </w:rPr>
        <w:t>es</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3032" from="131.551193pt,3.703715pt" to="131.551193pt,39.506114pt" stroked="true" strokeweight=".35pt" strokecolor="#231f20">
            <w10:wrap type="none"/>
          </v:line>
        </w:pict>
      </w:r>
      <w:r>
        <w:rPr/>
        <w:pict>
          <v:line style="position:absolute;mso-position-horizontal-relative:page;mso-position-vertical-relative:paragraph;z-index:-442960" from="15pt,39.505917pt" to="0pt,39.505917pt" stroked="true" strokeweight=".25pt" strokecolor="#000000">
            <w10:wrap type="none"/>
          </v:line>
        </w:pict>
      </w:r>
      <w:r>
        <w:rPr/>
        <w:pict>
          <v:line style="position:absolute;mso-position-horizontal-relative:page;mso-position-vertical-relative:paragraph;z-index:47248" from="508.890015pt,39.505917pt" to="523.890015pt,39.505917pt" stroked="true" strokeweight=".25pt" strokecolor="#000000">
            <w10:wrap type="none"/>
          </v:line>
        </w:pict>
      </w:r>
      <w:r>
        <w:rPr>
          <w:rFonts w:ascii="Arial" w:hAnsi="Arial"/>
          <w:color w:val="414042"/>
          <w:w w:val="105"/>
          <w:position w:val="-5"/>
          <w:sz w:val="20"/>
        </w:rPr>
        <w:t>408</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727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7296" from="15pt,-28.286539pt" to="0pt,-28.286539pt" stroked="true" strokeweight=".25pt" strokecolor="#000000">
            <w10:wrap type="none"/>
          </v:line>
        </w:pict>
      </w:r>
      <w:r>
        <w:rPr/>
        <w:pict>
          <v:line style="position:absolute;mso-position-horizontal-relative:page;mso-position-vertical-relative:paragraph;z-index:47320" from="508.890015pt,-28.286539pt" to="523.890015pt,-28.286539pt" stroked="true" strokeweight=".25pt" strokecolor="#000000">
            <w10:wrap type="none"/>
          </v:line>
        </w:pict>
      </w:r>
      <w:r>
        <w:rPr>
          <w:rFonts w:ascii="Arial"/>
          <w:color w:val="414042"/>
          <w:sz w:val="20"/>
        </w:rPr>
        <w:t>409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15"/>
        <w:jc w:val="both"/>
      </w:pPr>
      <w:r>
        <w:rPr>
          <w:color w:val="231F20"/>
          <w:w w:val="105"/>
        </w:rPr>
        <w:t>propiedad del migrante, y Dios, como figura suprema, está presente</w:t>
      </w:r>
      <w:r>
        <w:rPr>
          <w:color w:val="231F20"/>
          <w:spacing w:val="-20"/>
          <w:w w:val="105"/>
        </w:rPr>
        <w:t> </w:t>
      </w:r>
      <w:r>
        <w:rPr>
          <w:color w:val="231F20"/>
          <w:w w:val="105"/>
        </w:rPr>
        <w:t>en momentos</w:t>
      </w:r>
      <w:r>
        <w:rPr>
          <w:color w:val="231F20"/>
          <w:spacing w:val="-17"/>
          <w:w w:val="105"/>
        </w:rPr>
        <w:t> </w:t>
      </w:r>
      <w:r>
        <w:rPr>
          <w:color w:val="231F20"/>
          <w:w w:val="105"/>
        </w:rPr>
        <w:t>que</w:t>
      </w:r>
      <w:r>
        <w:rPr>
          <w:color w:val="231F20"/>
          <w:spacing w:val="-17"/>
          <w:w w:val="105"/>
        </w:rPr>
        <w:t> </w:t>
      </w:r>
      <w:r>
        <w:rPr>
          <w:color w:val="231F20"/>
          <w:w w:val="105"/>
        </w:rPr>
        <w:t>representan</w:t>
      </w:r>
      <w:r>
        <w:rPr>
          <w:color w:val="231F20"/>
          <w:spacing w:val="-17"/>
          <w:w w:val="105"/>
        </w:rPr>
        <w:t> </w:t>
      </w:r>
      <w:r>
        <w:rPr>
          <w:color w:val="231F20"/>
          <w:w w:val="105"/>
        </w:rPr>
        <w:t>retos,</w:t>
      </w:r>
      <w:r>
        <w:rPr>
          <w:color w:val="231F20"/>
          <w:spacing w:val="-23"/>
          <w:w w:val="105"/>
        </w:rPr>
        <w:t> </w:t>
      </w:r>
      <w:r>
        <w:rPr>
          <w:color w:val="231F20"/>
          <w:w w:val="105"/>
        </w:rPr>
        <w:t>peligros.</w:t>
      </w:r>
      <w:r>
        <w:rPr>
          <w:color w:val="231F20"/>
          <w:spacing w:val="-23"/>
          <w:w w:val="105"/>
        </w:rPr>
        <w:t> </w:t>
      </w:r>
      <w:r>
        <w:rPr>
          <w:color w:val="231F20"/>
          <w:w w:val="105"/>
        </w:rPr>
        <w:t>Suponen</w:t>
      </w:r>
      <w:r>
        <w:rPr>
          <w:color w:val="231F20"/>
          <w:spacing w:val="-17"/>
          <w:w w:val="105"/>
        </w:rPr>
        <w:t> </w:t>
      </w:r>
      <w:r>
        <w:rPr>
          <w:color w:val="231F20"/>
          <w:w w:val="105"/>
        </w:rPr>
        <w:t>que</w:t>
      </w:r>
      <w:r>
        <w:rPr>
          <w:color w:val="231F20"/>
          <w:spacing w:val="-17"/>
          <w:w w:val="105"/>
        </w:rPr>
        <w:t> </w:t>
      </w:r>
      <w:r>
        <w:rPr>
          <w:color w:val="231F20"/>
          <w:w w:val="105"/>
        </w:rPr>
        <w:t>hay</w:t>
      </w:r>
      <w:r>
        <w:rPr>
          <w:color w:val="231F20"/>
          <w:spacing w:val="-17"/>
          <w:w w:val="105"/>
        </w:rPr>
        <w:t> </w:t>
      </w:r>
      <w:r>
        <w:rPr>
          <w:color w:val="231F20"/>
          <w:w w:val="105"/>
        </w:rPr>
        <w:t>una</w:t>
      </w:r>
      <w:r>
        <w:rPr>
          <w:color w:val="231F20"/>
          <w:spacing w:val="-17"/>
          <w:w w:val="105"/>
        </w:rPr>
        <w:t> </w:t>
      </w:r>
      <w:r>
        <w:rPr>
          <w:color w:val="231F20"/>
          <w:w w:val="105"/>
        </w:rPr>
        <w:t>fuerza divina</w:t>
      </w:r>
      <w:r>
        <w:rPr>
          <w:color w:val="231F20"/>
          <w:spacing w:val="-17"/>
          <w:w w:val="105"/>
        </w:rPr>
        <w:t> </w:t>
      </w:r>
      <w:r>
        <w:rPr>
          <w:color w:val="231F20"/>
          <w:w w:val="105"/>
        </w:rPr>
        <w:t>por</w:t>
      </w:r>
      <w:r>
        <w:rPr>
          <w:color w:val="231F20"/>
          <w:spacing w:val="-17"/>
          <w:w w:val="105"/>
        </w:rPr>
        <w:t> </w:t>
      </w:r>
      <w:r>
        <w:rPr>
          <w:color w:val="231F20"/>
          <w:w w:val="105"/>
        </w:rPr>
        <w:t>encima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voluntad</w:t>
      </w:r>
      <w:r>
        <w:rPr>
          <w:color w:val="231F20"/>
          <w:spacing w:val="-17"/>
          <w:w w:val="105"/>
        </w:rPr>
        <w:t> </w:t>
      </w:r>
      <w:r>
        <w:rPr>
          <w:color w:val="231F20"/>
          <w:w w:val="105"/>
        </w:rPr>
        <w:t>humana,</w:t>
      </w:r>
      <w:r>
        <w:rPr>
          <w:color w:val="231F20"/>
          <w:spacing w:val="-22"/>
          <w:w w:val="105"/>
        </w:rPr>
        <w:t> </w:t>
      </w:r>
      <w:r>
        <w:rPr>
          <w:color w:val="231F20"/>
          <w:w w:val="105"/>
        </w:rPr>
        <w:t>de</w:t>
      </w:r>
      <w:r>
        <w:rPr>
          <w:color w:val="231F20"/>
          <w:spacing w:val="-17"/>
          <w:w w:val="105"/>
        </w:rPr>
        <w:t> </w:t>
      </w:r>
      <w:r>
        <w:rPr>
          <w:color w:val="231F20"/>
          <w:w w:val="105"/>
        </w:rPr>
        <w:t>ahí</w:t>
      </w:r>
      <w:r>
        <w:rPr>
          <w:color w:val="231F20"/>
          <w:spacing w:val="-17"/>
          <w:w w:val="105"/>
        </w:rPr>
        <w:t> </w:t>
      </w:r>
      <w:r>
        <w:rPr>
          <w:color w:val="231F20"/>
          <w:w w:val="105"/>
        </w:rPr>
        <w:t>la</w:t>
      </w:r>
      <w:r>
        <w:rPr>
          <w:color w:val="231F20"/>
          <w:spacing w:val="-17"/>
          <w:w w:val="105"/>
        </w:rPr>
        <w:t> </w:t>
      </w:r>
      <w:r>
        <w:rPr>
          <w:color w:val="231F20"/>
          <w:w w:val="105"/>
        </w:rPr>
        <w:t>frase,</w:t>
      </w:r>
      <w:r>
        <w:rPr>
          <w:color w:val="231F20"/>
          <w:spacing w:val="-23"/>
          <w:w w:val="105"/>
        </w:rPr>
        <w:t> </w:t>
      </w:r>
      <w:r>
        <w:rPr>
          <w:color w:val="231F20"/>
          <w:w w:val="105"/>
        </w:rPr>
        <w:t>si</w:t>
      </w:r>
      <w:r>
        <w:rPr>
          <w:color w:val="231F20"/>
          <w:spacing w:val="-17"/>
          <w:w w:val="105"/>
        </w:rPr>
        <w:t> </w:t>
      </w:r>
      <w:r>
        <w:rPr>
          <w:color w:val="231F20"/>
          <w:w w:val="105"/>
        </w:rPr>
        <w:t>“Dios</w:t>
      </w:r>
      <w:r>
        <w:rPr>
          <w:color w:val="231F20"/>
          <w:spacing w:val="-17"/>
          <w:w w:val="105"/>
        </w:rPr>
        <w:t> </w:t>
      </w:r>
      <w:r>
        <w:rPr>
          <w:color w:val="231F20"/>
          <w:spacing w:val="-4"/>
          <w:w w:val="105"/>
        </w:rPr>
        <w:t>quiere”, </w:t>
      </w:r>
      <w:r>
        <w:rPr>
          <w:color w:val="231F20"/>
          <w:w w:val="105"/>
        </w:rPr>
        <w:t>o</w:t>
      </w:r>
      <w:r>
        <w:rPr>
          <w:color w:val="231F20"/>
          <w:spacing w:val="-14"/>
          <w:w w:val="105"/>
        </w:rPr>
        <w:t> </w:t>
      </w:r>
      <w:r>
        <w:rPr>
          <w:color w:val="231F20"/>
          <w:w w:val="105"/>
        </w:rPr>
        <w:t>“gracias</w:t>
      </w:r>
      <w:r>
        <w:rPr>
          <w:color w:val="231F20"/>
          <w:spacing w:val="-14"/>
          <w:w w:val="105"/>
        </w:rPr>
        <w:t> </w:t>
      </w:r>
      <w:r>
        <w:rPr>
          <w:color w:val="231F20"/>
          <w:w w:val="105"/>
        </w:rPr>
        <w:t>a</w:t>
      </w:r>
      <w:r>
        <w:rPr>
          <w:color w:val="231F20"/>
          <w:spacing w:val="-14"/>
          <w:w w:val="105"/>
        </w:rPr>
        <w:t> </w:t>
      </w:r>
      <w:r>
        <w:rPr>
          <w:color w:val="231F20"/>
          <w:w w:val="105"/>
        </w:rPr>
        <w:t>Dios</w:t>
      </w:r>
      <w:r>
        <w:rPr>
          <w:color w:val="231F20"/>
          <w:spacing w:val="-14"/>
          <w:w w:val="105"/>
        </w:rPr>
        <w:t> </w:t>
      </w:r>
      <w:r>
        <w:rPr>
          <w:color w:val="231F20"/>
          <w:w w:val="105"/>
        </w:rPr>
        <w:t>todo</w:t>
      </w:r>
      <w:r>
        <w:rPr>
          <w:color w:val="231F20"/>
          <w:spacing w:val="-14"/>
          <w:w w:val="105"/>
        </w:rPr>
        <w:t> </w:t>
      </w:r>
      <w:r>
        <w:rPr>
          <w:color w:val="231F20"/>
          <w:w w:val="105"/>
        </w:rPr>
        <w:t>salió</w:t>
      </w:r>
      <w:r>
        <w:rPr>
          <w:color w:val="231F20"/>
          <w:spacing w:val="-14"/>
          <w:w w:val="105"/>
        </w:rPr>
        <w:t> </w:t>
      </w:r>
      <w:r>
        <w:rPr>
          <w:color w:val="231F20"/>
          <w:spacing w:val="-5"/>
          <w:w w:val="105"/>
        </w:rPr>
        <w:t>bien”.</w:t>
      </w:r>
      <w:r>
        <w:rPr>
          <w:color w:val="231F20"/>
          <w:spacing w:val="-19"/>
          <w:w w:val="105"/>
        </w:rPr>
        <w:t> </w:t>
      </w:r>
      <w:r>
        <w:rPr>
          <w:color w:val="231F20"/>
          <w:w w:val="105"/>
        </w:rPr>
        <w:t>En</w:t>
      </w:r>
      <w:r>
        <w:rPr>
          <w:color w:val="231F20"/>
          <w:spacing w:val="-14"/>
          <w:w w:val="105"/>
        </w:rPr>
        <w:t> </w:t>
      </w:r>
      <w:r>
        <w:rPr>
          <w:color w:val="231F20"/>
          <w:w w:val="105"/>
        </w:rPr>
        <w:t>efecto,</w:t>
      </w:r>
      <w:r>
        <w:rPr>
          <w:color w:val="231F20"/>
          <w:spacing w:val="-19"/>
          <w:w w:val="105"/>
        </w:rPr>
        <w:t> </w:t>
      </w:r>
      <w:r>
        <w:rPr>
          <w:color w:val="231F20"/>
          <w:w w:val="105"/>
        </w:rPr>
        <w:t>es</w:t>
      </w:r>
      <w:r>
        <w:rPr>
          <w:color w:val="231F20"/>
          <w:spacing w:val="-14"/>
          <w:w w:val="105"/>
        </w:rPr>
        <w:t> </w:t>
      </w:r>
      <w:r>
        <w:rPr>
          <w:color w:val="231F20"/>
          <w:w w:val="105"/>
        </w:rPr>
        <w:t>quizá</w:t>
      </w:r>
      <w:r>
        <w:rPr>
          <w:color w:val="231F20"/>
          <w:spacing w:val="-14"/>
          <w:w w:val="105"/>
        </w:rPr>
        <w:t> </w:t>
      </w:r>
      <w:r>
        <w:rPr>
          <w:color w:val="231F20"/>
          <w:w w:val="105"/>
        </w:rPr>
        <w:t>esa</w:t>
      </w:r>
      <w:r>
        <w:rPr>
          <w:color w:val="231F20"/>
          <w:spacing w:val="-14"/>
          <w:w w:val="105"/>
        </w:rPr>
        <w:t> </w:t>
      </w:r>
      <w:r>
        <w:rPr>
          <w:color w:val="231F20"/>
          <w:w w:val="105"/>
        </w:rPr>
        <w:t>fuerza</w:t>
      </w:r>
      <w:r>
        <w:rPr>
          <w:color w:val="231F20"/>
          <w:spacing w:val="-14"/>
          <w:w w:val="105"/>
        </w:rPr>
        <w:t> </w:t>
      </w:r>
      <w:r>
        <w:rPr>
          <w:color w:val="231F20"/>
          <w:w w:val="105"/>
        </w:rPr>
        <w:t>divina</w:t>
      </w:r>
      <w:r>
        <w:rPr>
          <w:color w:val="231F20"/>
          <w:spacing w:val="-14"/>
          <w:w w:val="105"/>
        </w:rPr>
        <w:t> </w:t>
      </w:r>
      <w:r>
        <w:rPr>
          <w:color w:val="231F20"/>
          <w:w w:val="105"/>
        </w:rPr>
        <w:t>la que</w:t>
      </w:r>
      <w:r>
        <w:rPr>
          <w:color w:val="231F20"/>
          <w:spacing w:val="-10"/>
          <w:w w:val="105"/>
        </w:rPr>
        <w:t> </w:t>
      </w:r>
      <w:r>
        <w:rPr>
          <w:color w:val="231F20"/>
          <w:w w:val="105"/>
        </w:rPr>
        <w:t>explica</w:t>
      </w:r>
      <w:r>
        <w:rPr>
          <w:color w:val="231F20"/>
          <w:spacing w:val="-10"/>
          <w:w w:val="105"/>
        </w:rPr>
        <w:t> </w:t>
      </w:r>
      <w:r>
        <w:rPr>
          <w:color w:val="231F20"/>
          <w:w w:val="105"/>
        </w:rPr>
        <w:t>cómo</w:t>
      </w:r>
      <w:r>
        <w:rPr>
          <w:color w:val="231F20"/>
          <w:spacing w:val="-10"/>
          <w:w w:val="105"/>
        </w:rPr>
        <w:t> </w:t>
      </w:r>
      <w:r>
        <w:rPr>
          <w:color w:val="231F20"/>
          <w:w w:val="105"/>
        </w:rPr>
        <w:t>es</w:t>
      </w:r>
      <w:r>
        <w:rPr>
          <w:color w:val="231F20"/>
          <w:spacing w:val="-10"/>
          <w:w w:val="105"/>
        </w:rPr>
        <w:t> </w:t>
      </w:r>
      <w:r>
        <w:rPr>
          <w:color w:val="231F20"/>
          <w:w w:val="105"/>
        </w:rPr>
        <w:t>que</w:t>
      </w:r>
      <w:r>
        <w:rPr>
          <w:color w:val="231F20"/>
          <w:spacing w:val="-10"/>
          <w:w w:val="105"/>
        </w:rPr>
        <w:t> </w:t>
      </w:r>
      <w:r>
        <w:rPr>
          <w:color w:val="231F20"/>
          <w:w w:val="105"/>
        </w:rPr>
        <w:t>caminan</w:t>
      </w:r>
      <w:r>
        <w:rPr>
          <w:color w:val="231F20"/>
          <w:spacing w:val="-10"/>
          <w:w w:val="105"/>
        </w:rPr>
        <w:t> </w:t>
      </w:r>
      <w:r>
        <w:rPr>
          <w:color w:val="231F20"/>
          <w:w w:val="105"/>
        </w:rPr>
        <w:t>hasta</w:t>
      </w:r>
      <w:r>
        <w:rPr>
          <w:color w:val="231F20"/>
          <w:spacing w:val="-10"/>
          <w:w w:val="105"/>
        </w:rPr>
        <w:t> </w:t>
      </w:r>
      <w:r>
        <w:rPr>
          <w:color w:val="231F20"/>
          <w:w w:val="105"/>
        </w:rPr>
        <w:t>48</w:t>
      </w:r>
      <w:r>
        <w:rPr>
          <w:color w:val="231F20"/>
          <w:spacing w:val="-10"/>
          <w:w w:val="105"/>
        </w:rPr>
        <w:t> </w:t>
      </w:r>
      <w:r>
        <w:rPr>
          <w:color w:val="231F20"/>
          <w:w w:val="105"/>
        </w:rPr>
        <w:t>horas</w:t>
      </w:r>
      <w:r>
        <w:rPr>
          <w:color w:val="231F20"/>
          <w:spacing w:val="-10"/>
          <w:w w:val="105"/>
        </w:rPr>
        <w:t> </w:t>
      </w:r>
      <w:r>
        <w:rPr>
          <w:color w:val="231F20"/>
          <w:w w:val="105"/>
        </w:rPr>
        <w:t>en</w:t>
      </w:r>
      <w:r>
        <w:rPr>
          <w:color w:val="231F20"/>
          <w:spacing w:val="-10"/>
          <w:w w:val="105"/>
        </w:rPr>
        <w:t> </w:t>
      </w:r>
      <w:r>
        <w:rPr>
          <w:color w:val="231F20"/>
          <w:w w:val="105"/>
        </w:rPr>
        <w:t>frío</w:t>
      </w:r>
      <w:r>
        <w:rPr>
          <w:color w:val="231F20"/>
          <w:spacing w:val="-10"/>
          <w:w w:val="105"/>
        </w:rPr>
        <w:t> </w:t>
      </w:r>
      <w:r>
        <w:rPr>
          <w:color w:val="231F20"/>
          <w:w w:val="105"/>
        </w:rPr>
        <w:t>o</w:t>
      </w:r>
      <w:r>
        <w:rPr>
          <w:color w:val="231F20"/>
          <w:spacing w:val="-10"/>
          <w:w w:val="105"/>
        </w:rPr>
        <w:t> </w:t>
      </w:r>
      <w:r>
        <w:rPr>
          <w:color w:val="231F20"/>
          <w:w w:val="105"/>
        </w:rPr>
        <w:t>calor,</w:t>
      </w:r>
      <w:r>
        <w:rPr>
          <w:color w:val="231F20"/>
          <w:spacing w:val="-16"/>
          <w:w w:val="105"/>
        </w:rPr>
        <w:t> </w:t>
      </w:r>
      <w:r>
        <w:rPr>
          <w:color w:val="231F20"/>
          <w:w w:val="105"/>
        </w:rPr>
        <w:t>con</w:t>
      </w:r>
      <w:r>
        <w:rPr>
          <w:color w:val="231F20"/>
          <w:spacing w:val="-10"/>
          <w:w w:val="105"/>
        </w:rPr>
        <w:t> </w:t>
      </w:r>
      <w:r>
        <w:rPr>
          <w:color w:val="231F20"/>
          <w:w w:val="105"/>
        </w:rPr>
        <w:t>llu- via</w:t>
      </w:r>
      <w:r>
        <w:rPr>
          <w:color w:val="231F20"/>
          <w:spacing w:val="-22"/>
          <w:w w:val="105"/>
        </w:rPr>
        <w:t> </w:t>
      </w:r>
      <w:r>
        <w:rPr>
          <w:color w:val="231F20"/>
          <w:w w:val="105"/>
        </w:rPr>
        <w:t>o</w:t>
      </w:r>
      <w:r>
        <w:rPr>
          <w:color w:val="231F20"/>
          <w:spacing w:val="-22"/>
          <w:w w:val="105"/>
        </w:rPr>
        <w:t> </w:t>
      </w:r>
      <w:r>
        <w:rPr>
          <w:color w:val="231F20"/>
          <w:w w:val="105"/>
        </w:rPr>
        <w:t>con</w:t>
      </w:r>
      <w:r>
        <w:rPr>
          <w:color w:val="231F20"/>
          <w:spacing w:val="-22"/>
          <w:w w:val="105"/>
        </w:rPr>
        <w:t> </w:t>
      </w:r>
      <w:r>
        <w:rPr>
          <w:color w:val="231F20"/>
          <w:w w:val="105"/>
        </w:rPr>
        <w:t>heladas.</w:t>
      </w:r>
      <w:r>
        <w:rPr>
          <w:color w:val="231F20"/>
          <w:spacing w:val="-26"/>
          <w:w w:val="105"/>
        </w:rPr>
        <w:t> </w:t>
      </w:r>
      <w:r>
        <w:rPr>
          <w:color w:val="231F20"/>
          <w:w w:val="105"/>
        </w:rPr>
        <w:t>Es</w:t>
      </w:r>
      <w:r>
        <w:rPr>
          <w:color w:val="231F20"/>
          <w:spacing w:val="-22"/>
          <w:w w:val="105"/>
        </w:rPr>
        <w:t> </w:t>
      </w:r>
      <w:r>
        <w:rPr>
          <w:color w:val="231F20"/>
          <w:w w:val="105"/>
        </w:rPr>
        <w:t>esperanza,</w:t>
      </w:r>
      <w:r>
        <w:rPr>
          <w:color w:val="231F20"/>
          <w:spacing w:val="-26"/>
          <w:w w:val="105"/>
        </w:rPr>
        <w:t> </w:t>
      </w:r>
      <w:r>
        <w:rPr>
          <w:color w:val="231F20"/>
          <w:w w:val="105"/>
        </w:rPr>
        <w:t>es</w:t>
      </w:r>
      <w:r>
        <w:rPr>
          <w:color w:val="231F20"/>
          <w:spacing w:val="-22"/>
          <w:w w:val="105"/>
        </w:rPr>
        <w:t> </w:t>
      </w:r>
      <w:r>
        <w:rPr>
          <w:color w:val="231F20"/>
          <w:w w:val="105"/>
        </w:rPr>
        <w:t>ánimo.</w:t>
      </w:r>
      <w:r>
        <w:rPr>
          <w:color w:val="231F20"/>
          <w:spacing w:val="-26"/>
          <w:w w:val="105"/>
        </w:rPr>
        <w:t> </w:t>
      </w:r>
      <w:r>
        <w:rPr>
          <w:color w:val="231F20"/>
          <w:w w:val="105"/>
        </w:rPr>
        <w:t>Esa</w:t>
      </w:r>
      <w:r>
        <w:rPr>
          <w:color w:val="231F20"/>
          <w:spacing w:val="-22"/>
          <w:w w:val="105"/>
        </w:rPr>
        <w:t> </w:t>
      </w:r>
      <w:r>
        <w:rPr>
          <w:color w:val="231F20"/>
          <w:w w:val="105"/>
        </w:rPr>
        <w:t>fuerza</w:t>
      </w:r>
      <w:r>
        <w:rPr>
          <w:color w:val="231F20"/>
          <w:spacing w:val="-22"/>
          <w:w w:val="105"/>
        </w:rPr>
        <w:t> </w:t>
      </w:r>
      <w:r>
        <w:rPr>
          <w:color w:val="231F20"/>
          <w:w w:val="105"/>
        </w:rPr>
        <w:t>suprema,</w:t>
      </w:r>
      <w:r>
        <w:rPr>
          <w:color w:val="231F20"/>
          <w:spacing w:val="-26"/>
          <w:w w:val="105"/>
        </w:rPr>
        <w:t> </w:t>
      </w:r>
      <w:r>
        <w:rPr>
          <w:color w:val="231F20"/>
          <w:w w:val="105"/>
        </w:rPr>
        <w:t>dispone que</w:t>
      </w:r>
      <w:r>
        <w:rPr>
          <w:color w:val="231F20"/>
          <w:spacing w:val="-10"/>
          <w:w w:val="105"/>
        </w:rPr>
        <w:t> </w:t>
      </w:r>
      <w:r>
        <w:rPr>
          <w:color w:val="231F20"/>
          <w:w w:val="105"/>
        </w:rPr>
        <w:t>se</w:t>
      </w:r>
      <w:r>
        <w:rPr>
          <w:color w:val="231F20"/>
          <w:spacing w:val="-10"/>
          <w:w w:val="105"/>
        </w:rPr>
        <w:t> </w:t>
      </w:r>
      <w:r>
        <w:rPr>
          <w:color w:val="231F20"/>
          <w:w w:val="105"/>
        </w:rPr>
        <w:t>logren</w:t>
      </w:r>
      <w:r>
        <w:rPr>
          <w:color w:val="231F20"/>
          <w:spacing w:val="-10"/>
          <w:w w:val="105"/>
        </w:rPr>
        <w:t> </w:t>
      </w:r>
      <w:r>
        <w:rPr>
          <w:color w:val="231F20"/>
          <w:w w:val="105"/>
        </w:rPr>
        <w:t>o</w:t>
      </w:r>
      <w:r>
        <w:rPr>
          <w:color w:val="231F20"/>
          <w:spacing w:val="-10"/>
          <w:w w:val="105"/>
        </w:rPr>
        <w:t> </w:t>
      </w:r>
      <w:r>
        <w:rPr>
          <w:color w:val="231F20"/>
          <w:w w:val="105"/>
        </w:rPr>
        <w:t>no</w:t>
      </w:r>
      <w:r>
        <w:rPr>
          <w:color w:val="231F20"/>
          <w:spacing w:val="-10"/>
          <w:w w:val="105"/>
        </w:rPr>
        <w:t> </w:t>
      </w:r>
      <w:r>
        <w:rPr>
          <w:color w:val="231F20"/>
          <w:w w:val="105"/>
        </w:rPr>
        <w:t>los</w:t>
      </w:r>
      <w:r>
        <w:rPr>
          <w:color w:val="231F20"/>
          <w:spacing w:val="-10"/>
          <w:w w:val="105"/>
        </w:rPr>
        <w:t> </w:t>
      </w:r>
      <w:r>
        <w:rPr>
          <w:color w:val="231F20"/>
          <w:w w:val="105"/>
        </w:rPr>
        <w:t>planes</w:t>
      </w:r>
      <w:r>
        <w:rPr>
          <w:color w:val="231F20"/>
          <w:spacing w:val="-10"/>
          <w:w w:val="105"/>
        </w:rPr>
        <w:t> </w:t>
      </w:r>
      <w:r>
        <w:rPr>
          <w:color w:val="231F20"/>
          <w:w w:val="105"/>
        </w:rPr>
        <w:t>del</w:t>
      </w:r>
      <w:r>
        <w:rPr>
          <w:color w:val="231F20"/>
          <w:spacing w:val="-10"/>
          <w:w w:val="105"/>
        </w:rPr>
        <w:t> </w:t>
      </w:r>
      <w:r>
        <w:rPr>
          <w:color w:val="231F20"/>
          <w:w w:val="105"/>
        </w:rPr>
        <w:t>hombre,</w:t>
      </w:r>
      <w:r>
        <w:rPr>
          <w:color w:val="231F20"/>
          <w:spacing w:val="-17"/>
          <w:w w:val="105"/>
        </w:rPr>
        <w:t> </w:t>
      </w:r>
      <w:r>
        <w:rPr>
          <w:color w:val="231F20"/>
          <w:w w:val="105"/>
        </w:rPr>
        <w:t>él</w:t>
      </w:r>
      <w:r>
        <w:rPr>
          <w:color w:val="231F20"/>
          <w:spacing w:val="-10"/>
          <w:w w:val="105"/>
        </w:rPr>
        <w:t> </w:t>
      </w:r>
      <w:r>
        <w:rPr>
          <w:color w:val="231F20"/>
          <w:w w:val="105"/>
        </w:rPr>
        <w:t>que</w:t>
      </w:r>
      <w:r>
        <w:rPr>
          <w:color w:val="231F20"/>
          <w:spacing w:val="-10"/>
          <w:w w:val="105"/>
        </w:rPr>
        <w:t> </w:t>
      </w:r>
      <w:r>
        <w:rPr>
          <w:color w:val="231F20"/>
          <w:w w:val="105"/>
        </w:rPr>
        <w:t>reconoce</w:t>
      </w:r>
      <w:r>
        <w:rPr>
          <w:color w:val="231F20"/>
          <w:spacing w:val="-10"/>
          <w:w w:val="105"/>
        </w:rPr>
        <w:t> </w:t>
      </w:r>
      <w:r>
        <w:rPr>
          <w:color w:val="231F20"/>
          <w:w w:val="105"/>
        </w:rPr>
        <w:t>sus</w:t>
      </w:r>
      <w:r>
        <w:rPr>
          <w:color w:val="231F20"/>
          <w:spacing w:val="-10"/>
          <w:w w:val="105"/>
        </w:rPr>
        <w:t> </w:t>
      </w:r>
      <w:r>
        <w:rPr>
          <w:color w:val="231F20"/>
          <w:w w:val="105"/>
        </w:rPr>
        <w:t>limitacio- nes,</w:t>
      </w:r>
      <w:r>
        <w:rPr>
          <w:color w:val="231F20"/>
          <w:spacing w:val="-29"/>
          <w:w w:val="105"/>
        </w:rPr>
        <w:t> </w:t>
      </w:r>
      <w:r>
        <w:rPr>
          <w:color w:val="231F20"/>
          <w:w w:val="105"/>
        </w:rPr>
        <w:t>no</w:t>
      </w:r>
      <w:r>
        <w:rPr>
          <w:color w:val="231F20"/>
          <w:spacing w:val="-23"/>
          <w:w w:val="105"/>
        </w:rPr>
        <w:t> </w:t>
      </w:r>
      <w:r>
        <w:rPr>
          <w:color w:val="231F20"/>
          <w:w w:val="105"/>
        </w:rPr>
        <w:t>todo</w:t>
      </w:r>
      <w:r>
        <w:rPr>
          <w:color w:val="231F20"/>
          <w:spacing w:val="-23"/>
          <w:w w:val="105"/>
        </w:rPr>
        <w:t> </w:t>
      </w:r>
      <w:r>
        <w:rPr>
          <w:color w:val="231F20"/>
          <w:w w:val="105"/>
        </w:rPr>
        <w:t>lo</w:t>
      </w:r>
      <w:r>
        <w:rPr>
          <w:color w:val="231F20"/>
          <w:spacing w:val="-23"/>
          <w:w w:val="105"/>
        </w:rPr>
        <w:t> </w:t>
      </w:r>
      <w:r>
        <w:rPr>
          <w:color w:val="231F20"/>
          <w:w w:val="105"/>
        </w:rPr>
        <w:t>puede</w:t>
      </w:r>
      <w:r>
        <w:rPr>
          <w:color w:val="231F20"/>
          <w:spacing w:val="-23"/>
          <w:w w:val="105"/>
        </w:rPr>
        <w:t> </w:t>
      </w:r>
      <w:r>
        <w:rPr>
          <w:color w:val="231F20"/>
          <w:w w:val="105"/>
        </w:rPr>
        <w:t>resolver</w:t>
      </w:r>
      <w:r>
        <w:rPr>
          <w:color w:val="231F20"/>
          <w:spacing w:val="-23"/>
          <w:w w:val="105"/>
        </w:rPr>
        <w:t> </w:t>
      </w:r>
      <w:r>
        <w:rPr>
          <w:color w:val="231F20"/>
          <w:w w:val="105"/>
        </w:rPr>
        <w:t>por</w:t>
      </w:r>
      <w:r>
        <w:rPr>
          <w:color w:val="231F20"/>
          <w:spacing w:val="-23"/>
          <w:w w:val="105"/>
        </w:rPr>
        <w:t> </w:t>
      </w:r>
      <w:r>
        <w:rPr>
          <w:color w:val="231F20"/>
          <w:w w:val="105"/>
        </w:rPr>
        <w:t>sí</w:t>
      </w:r>
      <w:r>
        <w:rPr>
          <w:color w:val="231F20"/>
          <w:spacing w:val="-23"/>
          <w:w w:val="105"/>
        </w:rPr>
        <w:t> </w:t>
      </w:r>
      <w:r>
        <w:rPr>
          <w:color w:val="231F20"/>
          <w:w w:val="105"/>
        </w:rPr>
        <w:t>mismo.</w:t>
      </w:r>
      <w:r>
        <w:rPr>
          <w:color w:val="231F20"/>
          <w:spacing w:val="-29"/>
          <w:w w:val="105"/>
        </w:rPr>
        <w:t> </w:t>
      </w:r>
      <w:r>
        <w:rPr>
          <w:color w:val="231F20"/>
          <w:w w:val="105"/>
        </w:rPr>
        <w:t>Es</w:t>
      </w:r>
      <w:r>
        <w:rPr>
          <w:color w:val="231F20"/>
          <w:spacing w:val="-23"/>
          <w:w w:val="105"/>
        </w:rPr>
        <w:t> </w:t>
      </w:r>
      <w:r>
        <w:rPr>
          <w:color w:val="231F20"/>
          <w:w w:val="105"/>
        </w:rPr>
        <w:t>Dios</w:t>
      </w:r>
      <w:r>
        <w:rPr>
          <w:color w:val="231F20"/>
          <w:spacing w:val="-23"/>
          <w:w w:val="105"/>
        </w:rPr>
        <w:t> </w:t>
      </w:r>
      <w:r>
        <w:rPr>
          <w:color w:val="231F20"/>
          <w:w w:val="105"/>
        </w:rPr>
        <w:t>precisamente</w:t>
      </w:r>
      <w:r>
        <w:rPr>
          <w:color w:val="231F20"/>
          <w:spacing w:val="-23"/>
          <w:w w:val="105"/>
        </w:rPr>
        <w:t> </w:t>
      </w:r>
      <w:r>
        <w:rPr>
          <w:color w:val="231F20"/>
          <w:w w:val="105"/>
        </w:rPr>
        <w:t>la</w:t>
      </w:r>
      <w:r>
        <w:rPr>
          <w:color w:val="231F20"/>
          <w:spacing w:val="-23"/>
          <w:w w:val="105"/>
        </w:rPr>
        <w:t> </w:t>
      </w:r>
      <w:r>
        <w:rPr>
          <w:color w:val="231F20"/>
          <w:w w:val="105"/>
        </w:rPr>
        <w:t>vida o</w:t>
      </w:r>
      <w:r>
        <w:rPr>
          <w:color w:val="231F20"/>
          <w:spacing w:val="-8"/>
          <w:w w:val="105"/>
        </w:rPr>
        <w:t> </w:t>
      </w:r>
      <w:r>
        <w:rPr>
          <w:color w:val="231F20"/>
          <w:w w:val="105"/>
        </w:rPr>
        <w:t>la</w:t>
      </w:r>
      <w:r>
        <w:rPr>
          <w:color w:val="231F20"/>
          <w:spacing w:val="-8"/>
          <w:w w:val="105"/>
        </w:rPr>
        <w:t> </w:t>
      </w:r>
      <w:r>
        <w:rPr>
          <w:color w:val="231F20"/>
          <w:w w:val="105"/>
        </w:rPr>
        <w:t>muerte</w:t>
      </w:r>
      <w:r>
        <w:rPr>
          <w:color w:val="231F20"/>
          <w:spacing w:val="-8"/>
          <w:w w:val="105"/>
        </w:rPr>
        <w:t> </w:t>
      </w:r>
      <w:r>
        <w:rPr>
          <w:color w:val="231F20"/>
          <w:w w:val="105"/>
        </w:rPr>
        <w:t>para</w:t>
      </w:r>
      <w:r>
        <w:rPr>
          <w:color w:val="231F20"/>
          <w:spacing w:val="-8"/>
          <w:w w:val="105"/>
        </w:rPr>
        <w:t> </w:t>
      </w:r>
      <w:r>
        <w:rPr>
          <w:color w:val="231F20"/>
          <w:w w:val="105"/>
        </w:rPr>
        <w:t>estos</w:t>
      </w:r>
      <w:r>
        <w:rPr>
          <w:color w:val="231F20"/>
          <w:spacing w:val="-8"/>
          <w:w w:val="105"/>
        </w:rPr>
        <w:t> </w:t>
      </w:r>
      <w:r>
        <w:rPr>
          <w:color w:val="231F20"/>
          <w:w w:val="105"/>
        </w:rPr>
        <w:t>valientes</w:t>
      </w:r>
      <w:r>
        <w:rPr>
          <w:color w:val="231F20"/>
          <w:spacing w:val="-8"/>
          <w:w w:val="105"/>
        </w:rPr>
        <w:t> </w:t>
      </w:r>
      <w:r>
        <w:rPr>
          <w:color w:val="231F20"/>
          <w:w w:val="105"/>
        </w:rPr>
        <w:t>migrantes.</w:t>
      </w:r>
      <w:r>
        <w:rPr>
          <w:color w:val="231F20"/>
          <w:spacing w:val="-13"/>
          <w:w w:val="105"/>
        </w:rPr>
        <w:t> </w:t>
      </w:r>
      <w:r>
        <w:rPr>
          <w:color w:val="231F20"/>
          <w:w w:val="105"/>
        </w:rPr>
        <w:t>Dicha</w:t>
      </w:r>
      <w:r>
        <w:rPr>
          <w:color w:val="231F20"/>
          <w:spacing w:val="-8"/>
          <w:w w:val="105"/>
        </w:rPr>
        <w:t> </w:t>
      </w:r>
      <w:r>
        <w:rPr>
          <w:color w:val="231F20"/>
          <w:w w:val="105"/>
        </w:rPr>
        <w:t>armonización</w:t>
      </w:r>
      <w:r>
        <w:rPr>
          <w:color w:val="231F20"/>
          <w:spacing w:val="-8"/>
          <w:w w:val="105"/>
        </w:rPr>
        <w:t> </w:t>
      </w:r>
      <w:r>
        <w:rPr>
          <w:color w:val="231F20"/>
          <w:w w:val="105"/>
        </w:rPr>
        <w:t>entre</w:t>
      </w:r>
      <w:r>
        <w:rPr>
          <w:color w:val="231F20"/>
          <w:spacing w:val="-8"/>
          <w:w w:val="105"/>
        </w:rPr>
        <w:t> </w:t>
      </w:r>
      <w:r>
        <w:rPr>
          <w:color w:val="231F20"/>
          <w:w w:val="105"/>
        </w:rPr>
        <w:t>lo humano,</w:t>
      </w:r>
      <w:r>
        <w:rPr>
          <w:color w:val="231F20"/>
          <w:spacing w:val="-24"/>
          <w:w w:val="105"/>
        </w:rPr>
        <w:t> </w:t>
      </w:r>
      <w:r>
        <w:rPr>
          <w:color w:val="231F20"/>
          <w:w w:val="105"/>
        </w:rPr>
        <w:t>como</w:t>
      </w:r>
      <w:r>
        <w:rPr>
          <w:color w:val="231F20"/>
          <w:spacing w:val="-18"/>
          <w:w w:val="105"/>
        </w:rPr>
        <w:t> </w:t>
      </w:r>
      <w:r>
        <w:rPr>
          <w:color w:val="231F20"/>
          <w:w w:val="105"/>
        </w:rPr>
        <w:t>lo</w:t>
      </w:r>
      <w:r>
        <w:rPr>
          <w:color w:val="231F20"/>
          <w:spacing w:val="-18"/>
          <w:w w:val="105"/>
        </w:rPr>
        <w:t> </w:t>
      </w:r>
      <w:r>
        <w:rPr>
          <w:color w:val="231F20"/>
          <w:w w:val="105"/>
        </w:rPr>
        <w:t>vulnerable,</w:t>
      </w:r>
      <w:r>
        <w:rPr>
          <w:color w:val="231F20"/>
          <w:spacing w:val="-24"/>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divinidad,</w:t>
      </w:r>
      <w:r>
        <w:rPr>
          <w:color w:val="231F20"/>
          <w:spacing w:val="-24"/>
          <w:w w:val="105"/>
        </w:rPr>
        <w:t> </w:t>
      </w:r>
      <w:r>
        <w:rPr>
          <w:color w:val="231F20"/>
          <w:w w:val="105"/>
        </w:rPr>
        <w:t>como</w:t>
      </w:r>
      <w:r>
        <w:rPr>
          <w:color w:val="231F20"/>
          <w:spacing w:val="-18"/>
          <w:w w:val="105"/>
        </w:rPr>
        <w:t> </w:t>
      </w:r>
      <w:r>
        <w:rPr>
          <w:color w:val="231F20"/>
          <w:w w:val="105"/>
        </w:rPr>
        <w:t>lo</w:t>
      </w:r>
      <w:r>
        <w:rPr>
          <w:color w:val="231F20"/>
          <w:spacing w:val="-18"/>
          <w:w w:val="105"/>
        </w:rPr>
        <w:t> </w:t>
      </w:r>
      <w:r>
        <w:rPr>
          <w:color w:val="231F20"/>
          <w:w w:val="105"/>
        </w:rPr>
        <w:t>supremo,</w:t>
      </w:r>
      <w:r>
        <w:rPr>
          <w:color w:val="231F20"/>
          <w:spacing w:val="-24"/>
          <w:w w:val="105"/>
        </w:rPr>
        <w:t> </w:t>
      </w:r>
      <w:r>
        <w:rPr>
          <w:color w:val="231F20"/>
          <w:w w:val="105"/>
        </w:rPr>
        <w:t>ha</w:t>
      </w:r>
      <w:r>
        <w:rPr>
          <w:color w:val="231F20"/>
          <w:spacing w:val="-18"/>
          <w:w w:val="105"/>
        </w:rPr>
        <w:t> </w:t>
      </w:r>
      <w:r>
        <w:rPr>
          <w:color w:val="231F20"/>
          <w:w w:val="105"/>
        </w:rPr>
        <w:t>ganado a</w:t>
      </w:r>
      <w:r>
        <w:rPr>
          <w:color w:val="231F20"/>
          <w:spacing w:val="-15"/>
          <w:w w:val="105"/>
        </w:rPr>
        <w:t> </w:t>
      </w:r>
      <w:r>
        <w:rPr>
          <w:color w:val="231F20"/>
          <w:w w:val="105"/>
        </w:rPr>
        <w:t>todo</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significa</w:t>
      </w:r>
      <w:r>
        <w:rPr>
          <w:color w:val="231F20"/>
          <w:spacing w:val="-15"/>
          <w:w w:val="105"/>
        </w:rPr>
        <w:t> </w:t>
      </w:r>
      <w:r>
        <w:rPr>
          <w:color w:val="231F20"/>
          <w:w w:val="105"/>
        </w:rPr>
        <w:t>peligro.</w:t>
      </w:r>
      <w:r>
        <w:rPr>
          <w:color w:val="231F20"/>
          <w:spacing w:val="-25"/>
          <w:w w:val="105"/>
        </w:rPr>
        <w:t> </w:t>
      </w:r>
      <w:r>
        <w:rPr>
          <w:color w:val="231F20"/>
          <w:w w:val="105"/>
        </w:rPr>
        <w:t>Así</w:t>
      </w:r>
      <w:r>
        <w:rPr>
          <w:color w:val="231F20"/>
          <w:spacing w:val="-15"/>
          <w:w w:val="105"/>
        </w:rPr>
        <w:t> </w:t>
      </w:r>
      <w:r>
        <w:rPr>
          <w:color w:val="231F20"/>
          <w:w w:val="105"/>
        </w:rPr>
        <w:t>se</w:t>
      </w:r>
      <w:r>
        <w:rPr>
          <w:color w:val="231F20"/>
          <w:spacing w:val="-15"/>
          <w:w w:val="105"/>
        </w:rPr>
        <w:t> </w:t>
      </w:r>
      <w:r>
        <w:rPr>
          <w:color w:val="231F20"/>
          <w:w w:val="105"/>
        </w:rPr>
        <w:t>logran</w:t>
      </w:r>
      <w:r>
        <w:rPr>
          <w:color w:val="231F20"/>
          <w:spacing w:val="-15"/>
          <w:w w:val="105"/>
        </w:rPr>
        <w:t> </w:t>
      </w:r>
      <w:r>
        <w:rPr>
          <w:color w:val="231F20"/>
          <w:w w:val="105"/>
        </w:rPr>
        <w:t>los</w:t>
      </w:r>
      <w:r>
        <w:rPr>
          <w:color w:val="231F20"/>
          <w:spacing w:val="-15"/>
          <w:w w:val="105"/>
        </w:rPr>
        <w:t> </w:t>
      </w:r>
      <w:r>
        <w:rPr>
          <w:color w:val="231F20"/>
          <w:w w:val="105"/>
        </w:rPr>
        <w:t>cruces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frontera</w:t>
      </w:r>
      <w:r>
        <w:rPr>
          <w:color w:val="231F20"/>
          <w:spacing w:val="-15"/>
          <w:w w:val="105"/>
        </w:rPr>
        <w:t> </w:t>
      </w:r>
      <w:r>
        <w:rPr>
          <w:color w:val="231F20"/>
          <w:w w:val="105"/>
        </w:rPr>
        <w:t>bajo condición</w:t>
      </w:r>
      <w:r>
        <w:rPr>
          <w:color w:val="231F20"/>
          <w:spacing w:val="-24"/>
          <w:w w:val="105"/>
        </w:rPr>
        <w:t> </w:t>
      </w:r>
      <w:r>
        <w:rPr>
          <w:color w:val="231F20"/>
          <w:w w:val="105"/>
        </w:rPr>
        <w:t>clandestina.</w:t>
      </w:r>
    </w:p>
    <w:p>
      <w:pPr>
        <w:pStyle w:val="BodyText"/>
        <w:spacing w:line="261" w:lineRule="auto" w:before="1"/>
        <w:ind w:left="1837" w:right="1720" w:firstLine="567"/>
        <w:jc w:val="both"/>
      </w:pPr>
      <w:r>
        <w:rPr>
          <w:color w:val="231F20"/>
          <w:w w:val="105"/>
        </w:rPr>
        <w:t>El</w:t>
      </w:r>
      <w:r>
        <w:rPr>
          <w:color w:val="231F20"/>
          <w:spacing w:val="-5"/>
          <w:w w:val="105"/>
        </w:rPr>
        <w:t> </w:t>
      </w:r>
      <w:r>
        <w:rPr>
          <w:color w:val="231F20"/>
          <w:w w:val="105"/>
        </w:rPr>
        <w:t>logro</w:t>
      </w:r>
      <w:r>
        <w:rPr>
          <w:color w:val="231F20"/>
          <w:spacing w:val="-5"/>
          <w:w w:val="105"/>
        </w:rPr>
        <w:t> </w:t>
      </w:r>
      <w:r>
        <w:rPr>
          <w:color w:val="231F20"/>
          <w:w w:val="105"/>
        </w:rPr>
        <w:t>del</w:t>
      </w:r>
      <w:r>
        <w:rPr>
          <w:color w:val="231F20"/>
          <w:spacing w:val="-5"/>
          <w:w w:val="105"/>
        </w:rPr>
        <w:t> </w:t>
      </w:r>
      <w:r>
        <w:rPr>
          <w:color w:val="231F20"/>
          <w:w w:val="105"/>
        </w:rPr>
        <w:t>cruce</w:t>
      </w:r>
      <w:r>
        <w:rPr>
          <w:color w:val="231F20"/>
          <w:spacing w:val="-5"/>
          <w:w w:val="105"/>
        </w:rPr>
        <w:t> </w:t>
      </w:r>
      <w:r>
        <w:rPr>
          <w:color w:val="231F20"/>
          <w:w w:val="105"/>
        </w:rPr>
        <w:t>es</w:t>
      </w:r>
      <w:r>
        <w:rPr>
          <w:color w:val="231F20"/>
          <w:spacing w:val="-5"/>
          <w:w w:val="105"/>
        </w:rPr>
        <w:t> </w:t>
      </w:r>
      <w:r>
        <w:rPr>
          <w:color w:val="231F20"/>
          <w:w w:val="105"/>
        </w:rPr>
        <w:t>uno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episodios</w:t>
      </w:r>
      <w:r>
        <w:rPr>
          <w:color w:val="231F20"/>
          <w:spacing w:val="-5"/>
          <w:w w:val="105"/>
        </w:rPr>
        <w:t> </w:t>
      </w:r>
      <w:r>
        <w:rPr>
          <w:color w:val="231F20"/>
          <w:w w:val="105"/>
        </w:rPr>
        <w:t>de</w:t>
      </w:r>
      <w:r>
        <w:rPr>
          <w:color w:val="231F20"/>
          <w:spacing w:val="-5"/>
          <w:w w:val="105"/>
        </w:rPr>
        <w:t> </w:t>
      </w:r>
      <w:r>
        <w:rPr>
          <w:color w:val="231F20"/>
          <w:w w:val="105"/>
        </w:rPr>
        <w:t>mayor</w:t>
      </w:r>
      <w:r>
        <w:rPr>
          <w:color w:val="231F20"/>
          <w:spacing w:val="-5"/>
          <w:w w:val="105"/>
        </w:rPr>
        <w:t> </w:t>
      </w:r>
      <w:r>
        <w:rPr>
          <w:color w:val="231F20"/>
          <w:w w:val="105"/>
        </w:rPr>
        <w:t>exaltación</w:t>
      </w:r>
      <w:r>
        <w:rPr>
          <w:color w:val="231F20"/>
          <w:spacing w:val="-5"/>
          <w:w w:val="105"/>
        </w:rPr>
        <w:t> </w:t>
      </w:r>
      <w:r>
        <w:rPr>
          <w:color w:val="231F20"/>
          <w:w w:val="105"/>
        </w:rPr>
        <w:t>de la</w:t>
      </w:r>
      <w:r>
        <w:rPr>
          <w:color w:val="231F20"/>
          <w:spacing w:val="-15"/>
          <w:w w:val="105"/>
        </w:rPr>
        <w:t> </w:t>
      </w:r>
      <w:r>
        <w:rPr>
          <w:color w:val="231F20"/>
          <w:w w:val="105"/>
        </w:rPr>
        <w:t>condición</w:t>
      </w:r>
      <w:r>
        <w:rPr>
          <w:color w:val="231F20"/>
          <w:spacing w:val="-15"/>
          <w:w w:val="105"/>
        </w:rPr>
        <w:t> </w:t>
      </w:r>
      <w:r>
        <w:rPr>
          <w:color w:val="231F20"/>
          <w:w w:val="105"/>
        </w:rPr>
        <w:t>emocional</w:t>
      </w:r>
      <w:r>
        <w:rPr>
          <w:color w:val="231F20"/>
          <w:spacing w:val="-15"/>
          <w:w w:val="105"/>
        </w:rPr>
        <w:t> </w:t>
      </w:r>
      <w:r>
        <w:rPr>
          <w:color w:val="231F20"/>
          <w:w w:val="105"/>
        </w:rPr>
        <w:t>del</w:t>
      </w:r>
      <w:r>
        <w:rPr>
          <w:color w:val="231F20"/>
          <w:spacing w:val="-15"/>
          <w:w w:val="105"/>
        </w:rPr>
        <w:t> </w:t>
      </w:r>
      <w:r>
        <w:rPr>
          <w:color w:val="231F20"/>
          <w:w w:val="105"/>
        </w:rPr>
        <w:t>migrante</w:t>
      </w:r>
      <w:r>
        <w:rPr>
          <w:color w:val="231F20"/>
          <w:spacing w:val="-15"/>
          <w:w w:val="105"/>
        </w:rPr>
        <w:t> </w:t>
      </w:r>
      <w:r>
        <w:rPr>
          <w:color w:val="231F20"/>
          <w:w w:val="105"/>
        </w:rPr>
        <w:t>no</w:t>
      </w:r>
      <w:r>
        <w:rPr>
          <w:color w:val="231F20"/>
          <w:spacing w:val="-15"/>
          <w:w w:val="105"/>
        </w:rPr>
        <w:t> </w:t>
      </w:r>
      <w:r>
        <w:rPr>
          <w:color w:val="231F20"/>
          <w:w w:val="105"/>
        </w:rPr>
        <w:t>documentado.</w:t>
      </w:r>
      <w:r>
        <w:rPr>
          <w:color w:val="231F20"/>
          <w:spacing w:val="-21"/>
          <w:w w:val="105"/>
        </w:rPr>
        <w:t> </w:t>
      </w:r>
      <w:r>
        <w:rPr>
          <w:color w:val="231F20"/>
          <w:w w:val="105"/>
        </w:rPr>
        <w:t>Existe</w:t>
      </w:r>
      <w:r>
        <w:rPr>
          <w:color w:val="231F20"/>
          <w:spacing w:val="-15"/>
          <w:w w:val="105"/>
        </w:rPr>
        <w:t> </w:t>
      </w:r>
      <w:r>
        <w:rPr>
          <w:color w:val="231F20"/>
          <w:w w:val="105"/>
        </w:rPr>
        <w:t>la</w:t>
      </w:r>
      <w:r>
        <w:rPr>
          <w:color w:val="231F20"/>
          <w:spacing w:val="-15"/>
          <w:w w:val="105"/>
        </w:rPr>
        <w:t> </w:t>
      </w:r>
      <w:r>
        <w:rPr>
          <w:color w:val="231F20"/>
          <w:w w:val="105"/>
        </w:rPr>
        <w:t>creencia de que el despegue del migrante comienza con el logro del cruce, no puede ser de otra manera, quien logra cruzar la frontera logra ganar la batalla,</w:t>
      </w:r>
      <w:r>
        <w:rPr>
          <w:color w:val="231F20"/>
          <w:spacing w:val="-15"/>
          <w:w w:val="105"/>
        </w:rPr>
        <w:t> </w:t>
      </w:r>
      <w:r>
        <w:rPr>
          <w:color w:val="231F20"/>
          <w:w w:val="105"/>
        </w:rPr>
        <w:t>un</w:t>
      </w:r>
      <w:r>
        <w:rPr>
          <w:color w:val="231F20"/>
          <w:spacing w:val="-9"/>
          <w:w w:val="105"/>
        </w:rPr>
        <w:t> </w:t>
      </w:r>
      <w:r>
        <w:rPr>
          <w:color w:val="231F20"/>
          <w:w w:val="105"/>
        </w:rPr>
        <w:t>nuevo</w:t>
      </w:r>
      <w:r>
        <w:rPr>
          <w:color w:val="231F20"/>
          <w:spacing w:val="-9"/>
          <w:w w:val="105"/>
        </w:rPr>
        <w:t> </w:t>
      </w:r>
      <w:r>
        <w:rPr>
          <w:color w:val="231F20"/>
          <w:w w:val="105"/>
        </w:rPr>
        <w:t>comenzar,</w:t>
      </w:r>
      <w:r>
        <w:rPr>
          <w:color w:val="231F20"/>
          <w:spacing w:val="-15"/>
          <w:w w:val="105"/>
        </w:rPr>
        <w:t> </w:t>
      </w:r>
      <w:r>
        <w:rPr>
          <w:color w:val="231F20"/>
          <w:w w:val="105"/>
        </w:rPr>
        <w:t>un</w:t>
      </w:r>
      <w:r>
        <w:rPr>
          <w:color w:val="231F20"/>
          <w:spacing w:val="-9"/>
          <w:w w:val="105"/>
        </w:rPr>
        <w:t> </w:t>
      </w:r>
      <w:r>
        <w:rPr>
          <w:color w:val="231F20"/>
          <w:w w:val="105"/>
        </w:rPr>
        <w:t>halo</w:t>
      </w:r>
      <w:r>
        <w:rPr>
          <w:color w:val="231F20"/>
          <w:spacing w:val="-9"/>
          <w:w w:val="105"/>
        </w:rPr>
        <w:t> </w:t>
      </w:r>
      <w:r>
        <w:rPr>
          <w:color w:val="231F20"/>
          <w:w w:val="105"/>
        </w:rPr>
        <w:t>de</w:t>
      </w:r>
      <w:r>
        <w:rPr>
          <w:color w:val="231F20"/>
          <w:spacing w:val="-9"/>
          <w:w w:val="105"/>
        </w:rPr>
        <w:t> </w:t>
      </w:r>
      <w:r>
        <w:rPr>
          <w:color w:val="231F20"/>
          <w:w w:val="105"/>
        </w:rPr>
        <w:t>esperanza</w:t>
      </w:r>
      <w:r>
        <w:rPr>
          <w:color w:val="231F20"/>
          <w:spacing w:val="-9"/>
          <w:w w:val="105"/>
        </w:rPr>
        <w:t> </w:t>
      </w:r>
      <w:r>
        <w:rPr>
          <w:color w:val="231F20"/>
          <w:w w:val="105"/>
        </w:rPr>
        <w:t>y</w:t>
      </w:r>
      <w:r>
        <w:rPr>
          <w:color w:val="231F20"/>
          <w:spacing w:val="-9"/>
          <w:w w:val="105"/>
        </w:rPr>
        <w:t> </w:t>
      </w:r>
      <w:r>
        <w:rPr>
          <w:color w:val="231F20"/>
          <w:w w:val="105"/>
        </w:rPr>
        <w:t>posible</w:t>
      </w:r>
      <w:r>
        <w:rPr>
          <w:color w:val="231F20"/>
          <w:spacing w:val="-9"/>
          <w:w w:val="105"/>
        </w:rPr>
        <w:t> </w:t>
      </w:r>
      <w:r>
        <w:rPr>
          <w:color w:val="231F20"/>
          <w:w w:val="105"/>
        </w:rPr>
        <w:t>realidad</w:t>
      </w:r>
      <w:r>
        <w:rPr>
          <w:color w:val="231F20"/>
          <w:spacing w:val="-9"/>
          <w:w w:val="105"/>
        </w:rPr>
        <w:t> </w:t>
      </w:r>
      <w:r>
        <w:rPr>
          <w:color w:val="231F20"/>
          <w:w w:val="105"/>
        </w:rPr>
        <w:t>de lo que se puede lograr; “ahora sí, de aquí para </w:t>
      </w:r>
      <w:r>
        <w:rPr>
          <w:color w:val="231F20"/>
          <w:spacing w:val="-3"/>
          <w:w w:val="105"/>
        </w:rPr>
        <w:t>adelante”, </w:t>
      </w:r>
      <w:r>
        <w:rPr>
          <w:color w:val="231F20"/>
          <w:w w:val="105"/>
        </w:rPr>
        <w:t>“ahora sí, mi mala suerte quedó </w:t>
      </w:r>
      <w:r>
        <w:rPr>
          <w:color w:val="231F20"/>
          <w:spacing w:val="-5"/>
          <w:w w:val="105"/>
        </w:rPr>
        <w:t>atrás”, </w:t>
      </w:r>
      <w:r>
        <w:rPr>
          <w:color w:val="231F20"/>
          <w:w w:val="105"/>
        </w:rPr>
        <w:t>“parece que todo </w:t>
      </w:r>
      <w:r>
        <w:rPr>
          <w:color w:val="231F20"/>
          <w:spacing w:val="-5"/>
          <w:w w:val="105"/>
        </w:rPr>
        <w:t>fluirá”. </w:t>
      </w:r>
      <w:r>
        <w:rPr>
          <w:color w:val="231F20"/>
          <w:w w:val="105"/>
        </w:rPr>
        <w:t>Cruzada la frontera todo lo que viene parece menor. Reaparece Dios como alegría, el Dios de</w:t>
      </w:r>
      <w:r>
        <w:rPr>
          <w:color w:val="231F20"/>
          <w:spacing w:val="-10"/>
          <w:w w:val="105"/>
        </w:rPr>
        <w:t> </w:t>
      </w:r>
      <w:r>
        <w:rPr>
          <w:color w:val="231F20"/>
          <w:w w:val="105"/>
        </w:rPr>
        <w:t>la</w:t>
      </w:r>
      <w:r>
        <w:rPr>
          <w:color w:val="231F20"/>
          <w:spacing w:val="-10"/>
          <w:w w:val="105"/>
        </w:rPr>
        <w:t> </w:t>
      </w:r>
      <w:r>
        <w:rPr>
          <w:color w:val="231F20"/>
          <w:w w:val="105"/>
        </w:rPr>
        <w:t>vida</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agradecimiento.</w:t>
      </w:r>
    </w:p>
    <w:p>
      <w:pPr>
        <w:pStyle w:val="BodyText"/>
        <w:spacing w:line="261" w:lineRule="auto" w:before="1"/>
        <w:ind w:left="1837" w:right="1720" w:firstLine="567"/>
        <w:jc w:val="both"/>
      </w:pPr>
      <w:r>
        <w:rPr>
          <w:w w:val="105"/>
        </w:rPr>
        <w:t>Las</w:t>
      </w:r>
      <w:r>
        <w:rPr>
          <w:spacing w:val="-19"/>
          <w:w w:val="105"/>
        </w:rPr>
        <w:t> </w:t>
      </w:r>
      <w:r>
        <w:rPr>
          <w:w w:val="105"/>
        </w:rPr>
        <w:t>emociones</w:t>
      </w:r>
      <w:r>
        <w:rPr>
          <w:spacing w:val="-19"/>
          <w:w w:val="105"/>
        </w:rPr>
        <w:t> </w:t>
      </w:r>
      <w:r>
        <w:rPr>
          <w:w w:val="105"/>
        </w:rPr>
        <w:t>que</w:t>
      </w:r>
      <w:r>
        <w:rPr>
          <w:spacing w:val="-19"/>
          <w:w w:val="105"/>
        </w:rPr>
        <w:t> </w:t>
      </w:r>
      <w:r>
        <w:rPr>
          <w:w w:val="105"/>
        </w:rPr>
        <w:t>motivan</w:t>
      </w:r>
      <w:r>
        <w:rPr>
          <w:spacing w:val="-19"/>
          <w:w w:val="105"/>
        </w:rPr>
        <w:t> </w:t>
      </w:r>
      <w:r>
        <w:rPr>
          <w:w w:val="105"/>
        </w:rPr>
        <w:t>y</w:t>
      </w:r>
      <w:r>
        <w:rPr>
          <w:spacing w:val="-19"/>
          <w:w w:val="105"/>
        </w:rPr>
        <w:t> </w:t>
      </w:r>
      <w:r>
        <w:rPr>
          <w:w w:val="105"/>
        </w:rPr>
        <w:t>hasta</w:t>
      </w:r>
      <w:r>
        <w:rPr>
          <w:spacing w:val="-19"/>
          <w:w w:val="105"/>
        </w:rPr>
        <w:t> </w:t>
      </w:r>
      <w:r>
        <w:rPr>
          <w:w w:val="105"/>
        </w:rPr>
        <w:t>enaltecen</w:t>
      </w:r>
      <w:r>
        <w:rPr>
          <w:spacing w:val="-19"/>
          <w:w w:val="105"/>
        </w:rPr>
        <w:t> </w:t>
      </w:r>
      <w:r>
        <w:rPr>
          <w:w w:val="105"/>
        </w:rPr>
        <w:t>la</w:t>
      </w:r>
      <w:r>
        <w:rPr>
          <w:spacing w:val="-19"/>
          <w:w w:val="105"/>
        </w:rPr>
        <w:t> </w:t>
      </w:r>
      <w:r>
        <w:rPr>
          <w:w w:val="105"/>
        </w:rPr>
        <w:t>figura</w:t>
      </w:r>
      <w:r>
        <w:rPr>
          <w:spacing w:val="-19"/>
          <w:w w:val="105"/>
        </w:rPr>
        <w:t> </w:t>
      </w:r>
      <w:r>
        <w:rPr>
          <w:w w:val="105"/>
        </w:rPr>
        <w:t>del</w:t>
      </w:r>
      <w:r>
        <w:rPr>
          <w:spacing w:val="-19"/>
          <w:w w:val="105"/>
        </w:rPr>
        <w:t> </w:t>
      </w:r>
      <w:r>
        <w:rPr>
          <w:w w:val="105"/>
        </w:rPr>
        <w:t>migran- te no documentado están en lo positivo, más que en lo negativo. Esto parece lógico, sin embargo, sólo es así en lo positivo: llegar al destino establecido. Ello implica, eliminar o no hacer consciente aquellas emo- ciones que debilitan, pues representan obstáculos, llámese culpa, mie- do, </w:t>
      </w:r>
      <w:r>
        <w:rPr>
          <w:color w:val="231F20"/>
          <w:w w:val="105"/>
        </w:rPr>
        <w:t>lamento, reproche. El migrante mide su grandeza en función a un reconocimiento</w:t>
      </w:r>
      <w:r>
        <w:rPr>
          <w:color w:val="231F20"/>
          <w:spacing w:val="-16"/>
          <w:w w:val="105"/>
        </w:rPr>
        <w:t> </w:t>
      </w:r>
      <w:r>
        <w:rPr>
          <w:color w:val="231F20"/>
          <w:w w:val="105"/>
        </w:rPr>
        <w:t>de</w:t>
      </w:r>
      <w:r>
        <w:rPr>
          <w:color w:val="231F20"/>
          <w:spacing w:val="-16"/>
          <w:w w:val="105"/>
        </w:rPr>
        <w:t> </w:t>
      </w:r>
      <w:r>
        <w:rPr>
          <w:color w:val="231F20"/>
          <w:w w:val="105"/>
        </w:rPr>
        <w:t>ser</w:t>
      </w:r>
      <w:r>
        <w:rPr>
          <w:color w:val="231F20"/>
          <w:spacing w:val="-16"/>
          <w:w w:val="105"/>
        </w:rPr>
        <w:t> </w:t>
      </w:r>
      <w:r>
        <w:rPr>
          <w:color w:val="231F20"/>
          <w:w w:val="105"/>
        </w:rPr>
        <w:t>hombre.</w:t>
      </w:r>
      <w:r>
        <w:rPr>
          <w:color w:val="231F20"/>
          <w:spacing w:val="-22"/>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lógica</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cultura</w:t>
      </w:r>
      <w:r>
        <w:rPr>
          <w:color w:val="231F20"/>
          <w:spacing w:val="-16"/>
          <w:w w:val="105"/>
        </w:rPr>
        <w:t> </w:t>
      </w:r>
      <w:r>
        <w:rPr>
          <w:color w:val="231F20"/>
          <w:w w:val="105"/>
        </w:rPr>
        <w:t>conservadora se exige el ocultamiento de los sentimientos de dolor, la impotencia, el miedo y la debilidad, sentimientos interpretados como obstáculos para pasar, en cambio se fortalecen emociones que sirven de empuje y mo- tivación para llegar al final. Prevalece la mentalidad del “yo </w:t>
      </w:r>
      <w:r>
        <w:rPr>
          <w:color w:val="231F20"/>
          <w:spacing w:val="-4"/>
          <w:w w:val="105"/>
        </w:rPr>
        <w:t>puedo”, </w:t>
      </w:r>
      <w:r>
        <w:rPr>
          <w:color w:val="231F20"/>
          <w:w w:val="105"/>
        </w:rPr>
        <w:t>“yo tengo que </w:t>
      </w:r>
      <w:r>
        <w:rPr>
          <w:color w:val="231F20"/>
          <w:spacing w:val="-3"/>
          <w:w w:val="105"/>
        </w:rPr>
        <w:t>pasar”, </w:t>
      </w:r>
      <w:r>
        <w:rPr>
          <w:color w:val="231F20"/>
          <w:w w:val="105"/>
        </w:rPr>
        <w:t>sin lugar para la duda. Si en un inicio experimentan emociones</w:t>
      </w:r>
      <w:r>
        <w:rPr>
          <w:color w:val="231F20"/>
          <w:spacing w:val="-17"/>
          <w:w w:val="105"/>
        </w:rPr>
        <w:t> </w:t>
      </w:r>
      <w:r>
        <w:rPr>
          <w:color w:val="231F20"/>
          <w:w w:val="105"/>
        </w:rPr>
        <w:t>que</w:t>
      </w:r>
      <w:r>
        <w:rPr>
          <w:color w:val="231F20"/>
          <w:spacing w:val="-17"/>
          <w:w w:val="105"/>
        </w:rPr>
        <w:t> </w:t>
      </w:r>
      <w:r>
        <w:rPr>
          <w:color w:val="231F20"/>
          <w:w w:val="105"/>
        </w:rPr>
        <w:t>limitan,</w:t>
      </w:r>
      <w:r>
        <w:rPr>
          <w:color w:val="231F20"/>
          <w:spacing w:val="-23"/>
          <w:w w:val="105"/>
        </w:rPr>
        <w:t> </w:t>
      </w:r>
      <w:r>
        <w:rPr>
          <w:color w:val="231F20"/>
          <w:w w:val="105"/>
        </w:rPr>
        <w:t>llámese</w:t>
      </w:r>
      <w:r>
        <w:rPr>
          <w:color w:val="231F20"/>
          <w:spacing w:val="-17"/>
          <w:w w:val="105"/>
        </w:rPr>
        <w:t> </w:t>
      </w:r>
      <w:r>
        <w:rPr>
          <w:color w:val="231F20"/>
          <w:w w:val="105"/>
        </w:rPr>
        <w:t>miedo,</w:t>
      </w:r>
      <w:r>
        <w:rPr>
          <w:color w:val="231F20"/>
          <w:spacing w:val="-23"/>
          <w:w w:val="105"/>
        </w:rPr>
        <w:t> </w:t>
      </w:r>
      <w:r>
        <w:rPr>
          <w:color w:val="231F20"/>
          <w:w w:val="105"/>
        </w:rPr>
        <w:t>culpa,</w:t>
      </w:r>
      <w:r>
        <w:rPr>
          <w:color w:val="231F20"/>
          <w:spacing w:val="-23"/>
          <w:w w:val="105"/>
        </w:rPr>
        <w:t> </w:t>
      </w:r>
      <w:r>
        <w:rPr>
          <w:color w:val="231F20"/>
          <w:w w:val="105"/>
        </w:rPr>
        <w:t>reproche,</w:t>
      </w:r>
      <w:r>
        <w:rPr>
          <w:color w:val="231F20"/>
          <w:spacing w:val="-23"/>
          <w:w w:val="105"/>
        </w:rPr>
        <w:t> </w:t>
      </w:r>
      <w:r>
        <w:rPr>
          <w:color w:val="231F20"/>
          <w:w w:val="105"/>
        </w:rPr>
        <w:t>etc.,</w:t>
      </w:r>
      <w:r>
        <w:rPr>
          <w:color w:val="231F20"/>
          <w:spacing w:val="19"/>
          <w:w w:val="105"/>
        </w:rPr>
        <w:t> </w:t>
      </w:r>
      <w:r>
        <w:rPr>
          <w:color w:val="231F20"/>
          <w:w w:val="105"/>
        </w:rPr>
        <w:t>hay</w:t>
      </w:r>
      <w:r>
        <w:rPr>
          <w:color w:val="231F20"/>
          <w:spacing w:val="-17"/>
          <w:w w:val="105"/>
        </w:rPr>
        <w:t> </w:t>
      </w:r>
      <w:r>
        <w:rPr>
          <w:color w:val="231F20"/>
          <w:w w:val="105"/>
        </w:rPr>
        <w:t>un</w:t>
      </w:r>
      <w:r>
        <w:rPr>
          <w:color w:val="231F20"/>
          <w:spacing w:val="-17"/>
          <w:w w:val="105"/>
        </w:rPr>
        <w:t> </w:t>
      </w:r>
      <w:r>
        <w:rPr>
          <w:color w:val="231F20"/>
          <w:w w:val="105"/>
        </w:rPr>
        <w:t>mo- mento</w:t>
      </w:r>
      <w:r>
        <w:rPr>
          <w:color w:val="231F20"/>
          <w:spacing w:val="-6"/>
          <w:w w:val="105"/>
        </w:rPr>
        <w:t> </w:t>
      </w:r>
      <w:r>
        <w:rPr>
          <w:color w:val="231F20"/>
          <w:w w:val="105"/>
        </w:rPr>
        <w:t>en</w:t>
      </w:r>
      <w:r>
        <w:rPr>
          <w:color w:val="231F20"/>
          <w:spacing w:val="-6"/>
          <w:w w:val="105"/>
        </w:rPr>
        <w:t> </w:t>
      </w:r>
      <w:r>
        <w:rPr>
          <w:color w:val="231F20"/>
          <w:w w:val="105"/>
        </w:rPr>
        <w:t>que</w:t>
      </w:r>
      <w:r>
        <w:rPr>
          <w:color w:val="231F20"/>
          <w:spacing w:val="-6"/>
          <w:w w:val="105"/>
        </w:rPr>
        <w:t> </w:t>
      </w:r>
      <w:r>
        <w:rPr>
          <w:color w:val="231F20"/>
          <w:w w:val="105"/>
        </w:rPr>
        <w:t>todo</w:t>
      </w:r>
      <w:r>
        <w:rPr>
          <w:color w:val="231F20"/>
          <w:spacing w:val="-6"/>
          <w:w w:val="105"/>
        </w:rPr>
        <w:t> </w:t>
      </w:r>
      <w:r>
        <w:rPr>
          <w:color w:val="231F20"/>
          <w:w w:val="105"/>
        </w:rPr>
        <w:t>eso</w:t>
      </w:r>
      <w:r>
        <w:rPr>
          <w:color w:val="231F20"/>
          <w:spacing w:val="-6"/>
          <w:w w:val="105"/>
        </w:rPr>
        <w:t> </w:t>
      </w:r>
      <w:r>
        <w:rPr>
          <w:color w:val="231F20"/>
          <w:w w:val="105"/>
        </w:rPr>
        <w:t>se</w:t>
      </w:r>
      <w:r>
        <w:rPr>
          <w:color w:val="231F20"/>
          <w:spacing w:val="-6"/>
          <w:w w:val="105"/>
        </w:rPr>
        <w:t> </w:t>
      </w:r>
      <w:r>
        <w:rPr>
          <w:color w:val="231F20"/>
          <w:w w:val="105"/>
        </w:rPr>
        <w:t>acaba</w:t>
      </w:r>
      <w:r>
        <w:rPr>
          <w:color w:val="231F20"/>
          <w:spacing w:val="-6"/>
          <w:w w:val="105"/>
        </w:rPr>
        <w:t> </w:t>
      </w:r>
      <w:r>
        <w:rPr>
          <w:color w:val="231F20"/>
          <w:w w:val="105"/>
        </w:rPr>
        <w:t>y</w:t>
      </w:r>
      <w:r>
        <w:rPr>
          <w:color w:val="231F20"/>
          <w:spacing w:val="-6"/>
          <w:w w:val="105"/>
        </w:rPr>
        <w:t> </w:t>
      </w:r>
      <w:r>
        <w:rPr>
          <w:color w:val="231F20"/>
          <w:w w:val="105"/>
        </w:rPr>
        <w:t>salen</w:t>
      </w:r>
      <w:r>
        <w:rPr>
          <w:color w:val="231F20"/>
          <w:spacing w:val="-6"/>
          <w:w w:val="105"/>
        </w:rPr>
        <w:t> </w:t>
      </w:r>
      <w:r>
        <w:rPr>
          <w:color w:val="231F20"/>
          <w:w w:val="105"/>
        </w:rPr>
        <w:t>a</w:t>
      </w:r>
      <w:r>
        <w:rPr>
          <w:color w:val="231F20"/>
          <w:spacing w:val="-6"/>
          <w:w w:val="105"/>
        </w:rPr>
        <w:t> </w:t>
      </w:r>
      <w:r>
        <w:rPr>
          <w:color w:val="231F20"/>
          <w:w w:val="105"/>
        </w:rPr>
        <w:t>relucir</w:t>
      </w:r>
      <w:r>
        <w:rPr>
          <w:color w:val="231F20"/>
          <w:spacing w:val="-6"/>
          <w:w w:val="105"/>
        </w:rPr>
        <w:t> </w:t>
      </w:r>
      <w:r>
        <w:rPr>
          <w:color w:val="231F20"/>
          <w:w w:val="105"/>
        </w:rPr>
        <w:t>los</w:t>
      </w:r>
      <w:r>
        <w:rPr>
          <w:color w:val="231F20"/>
          <w:spacing w:val="-6"/>
          <w:w w:val="105"/>
        </w:rPr>
        <w:t> </w:t>
      </w:r>
      <w:r>
        <w:rPr>
          <w:color w:val="231F20"/>
          <w:w w:val="105"/>
        </w:rPr>
        <w:t>rasgos</w:t>
      </w:r>
      <w:r>
        <w:rPr>
          <w:color w:val="231F20"/>
          <w:spacing w:val="-6"/>
          <w:w w:val="105"/>
        </w:rPr>
        <w:t> </w:t>
      </w:r>
      <w:r>
        <w:rPr>
          <w:color w:val="231F20"/>
          <w:w w:val="105"/>
        </w:rPr>
        <w:t>más</w:t>
      </w:r>
      <w:r>
        <w:rPr>
          <w:color w:val="231F20"/>
          <w:spacing w:val="-6"/>
          <w:w w:val="105"/>
        </w:rPr>
        <w:t> </w:t>
      </w:r>
      <w:r>
        <w:rPr>
          <w:color w:val="231F20"/>
          <w:w w:val="105"/>
        </w:rPr>
        <w:t>repre- sentativos</w:t>
      </w:r>
      <w:r>
        <w:rPr>
          <w:color w:val="231F20"/>
          <w:spacing w:val="-21"/>
          <w:w w:val="105"/>
        </w:rPr>
        <w:t> </w:t>
      </w:r>
      <w:r>
        <w:rPr>
          <w:color w:val="231F20"/>
          <w:w w:val="105"/>
        </w:rPr>
        <w:t>de</w:t>
      </w:r>
      <w:r>
        <w:rPr>
          <w:color w:val="231F20"/>
          <w:spacing w:val="-21"/>
          <w:w w:val="105"/>
        </w:rPr>
        <w:t> </w:t>
      </w:r>
      <w:r>
        <w:rPr>
          <w:color w:val="231F20"/>
          <w:w w:val="105"/>
        </w:rPr>
        <w:t>ser</w:t>
      </w:r>
      <w:r>
        <w:rPr>
          <w:color w:val="231F20"/>
          <w:spacing w:val="-21"/>
          <w:w w:val="105"/>
        </w:rPr>
        <w:t> </w:t>
      </w:r>
      <w:r>
        <w:rPr>
          <w:color w:val="231F20"/>
          <w:w w:val="105"/>
        </w:rPr>
        <w:t>hombre.</w:t>
      </w:r>
    </w:p>
    <w:p>
      <w:pPr>
        <w:pStyle w:val="BodyText"/>
        <w:spacing w:line="261" w:lineRule="auto" w:before="1"/>
        <w:ind w:left="1837" w:right="1714" w:firstLine="567"/>
        <w:jc w:val="both"/>
      </w:pPr>
      <w:r>
        <w:rPr/>
        <w:pict>
          <v:line style="position:absolute;mso-position-horizontal-relative:page;mso-position-vertical-relative:paragraph;z-index:-442840" from="15pt,154.887589pt" to="0pt,154.887589pt" stroked="true" strokeweight=".25pt" strokecolor="#000000">
            <w10:wrap type="none"/>
          </v:line>
        </w:pict>
      </w:r>
      <w:r>
        <w:rPr/>
        <w:pict>
          <v:line style="position:absolute;mso-position-horizontal-relative:page;mso-position-vertical-relative:paragraph;z-index:47368" from="508.890015pt,154.887589pt" to="523.890015pt,154.887589pt" stroked="true" strokeweight=".25pt" strokecolor="#000000">
            <w10:wrap type="none"/>
          </v:line>
        </w:pict>
      </w:r>
      <w:r>
        <w:rPr>
          <w:color w:val="231F20"/>
          <w:w w:val="105"/>
        </w:rPr>
        <w:t>Como algo </w:t>
      </w:r>
      <w:r>
        <w:rPr>
          <w:color w:val="231F20"/>
          <w:spacing w:val="-3"/>
          <w:w w:val="105"/>
        </w:rPr>
        <w:t>propio </w:t>
      </w:r>
      <w:r>
        <w:rPr>
          <w:color w:val="231F20"/>
          <w:w w:val="105"/>
        </w:rPr>
        <w:t>de la </w:t>
      </w:r>
      <w:r>
        <w:rPr>
          <w:color w:val="231F20"/>
          <w:spacing w:val="-3"/>
          <w:w w:val="105"/>
        </w:rPr>
        <w:t>naturaleza </w:t>
      </w:r>
      <w:r>
        <w:rPr>
          <w:color w:val="231F20"/>
          <w:w w:val="105"/>
        </w:rPr>
        <w:t>humana, </w:t>
      </w:r>
      <w:r>
        <w:rPr>
          <w:color w:val="231F20"/>
          <w:spacing w:val="-3"/>
          <w:w w:val="105"/>
        </w:rPr>
        <w:t>aparece </w:t>
      </w:r>
      <w:r>
        <w:rPr>
          <w:color w:val="231F20"/>
          <w:w w:val="105"/>
        </w:rPr>
        <w:t>la contradic- ción, </w:t>
      </w:r>
      <w:r>
        <w:rPr>
          <w:color w:val="231F20"/>
          <w:spacing w:val="-3"/>
          <w:w w:val="105"/>
        </w:rPr>
        <w:t>representada </w:t>
      </w:r>
      <w:r>
        <w:rPr>
          <w:color w:val="231F20"/>
          <w:w w:val="105"/>
        </w:rPr>
        <w:t>por aquello que se acepta y aquello que se </w:t>
      </w:r>
      <w:r>
        <w:rPr>
          <w:color w:val="231F20"/>
          <w:spacing w:val="-3"/>
          <w:w w:val="105"/>
        </w:rPr>
        <w:t>rechaza,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gusta</w:t>
      </w:r>
      <w:r>
        <w:rPr>
          <w:color w:val="231F20"/>
          <w:spacing w:val="-16"/>
          <w:w w:val="105"/>
        </w:rPr>
        <w:t> </w:t>
      </w:r>
      <w:r>
        <w:rPr>
          <w:color w:val="231F20"/>
          <w:w w:val="105"/>
        </w:rPr>
        <w:t>y</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disgusta,</w:t>
      </w:r>
      <w:r>
        <w:rPr>
          <w:color w:val="231F20"/>
          <w:spacing w:val="-21"/>
          <w:w w:val="105"/>
        </w:rPr>
        <w:t> </w:t>
      </w:r>
      <w:r>
        <w:rPr>
          <w:color w:val="231F20"/>
          <w:w w:val="105"/>
        </w:rPr>
        <w:t>dejando</w:t>
      </w:r>
      <w:r>
        <w:rPr>
          <w:color w:val="231F20"/>
          <w:spacing w:val="-16"/>
          <w:w w:val="105"/>
        </w:rPr>
        <w:t> </w:t>
      </w:r>
      <w:r>
        <w:rPr>
          <w:color w:val="231F20"/>
          <w:w w:val="105"/>
        </w:rPr>
        <w:t>ver</w:t>
      </w:r>
      <w:r>
        <w:rPr>
          <w:color w:val="231F20"/>
          <w:spacing w:val="-16"/>
          <w:w w:val="105"/>
        </w:rPr>
        <w:t> </w:t>
      </w:r>
      <w:r>
        <w:rPr>
          <w:color w:val="231F20"/>
          <w:w w:val="105"/>
        </w:rPr>
        <w:t>que</w:t>
      </w:r>
      <w:r>
        <w:rPr>
          <w:color w:val="231F20"/>
          <w:spacing w:val="-16"/>
          <w:w w:val="105"/>
        </w:rPr>
        <w:t> </w:t>
      </w:r>
      <w:r>
        <w:rPr>
          <w:color w:val="231F20"/>
          <w:w w:val="105"/>
        </w:rPr>
        <w:t>pudo</w:t>
      </w:r>
      <w:r>
        <w:rPr>
          <w:color w:val="231F20"/>
          <w:spacing w:val="-16"/>
          <w:w w:val="105"/>
        </w:rPr>
        <w:t> </w:t>
      </w:r>
      <w:r>
        <w:rPr>
          <w:color w:val="231F20"/>
          <w:w w:val="105"/>
        </w:rPr>
        <w:t>ser</w:t>
      </w:r>
      <w:r>
        <w:rPr>
          <w:color w:val="231F20"/>
          <w:spacing w:val="-16"/>
          <w:w w:val="105"/>
        </w:rPr>
        <w:t> </w:t>
      </w:r>
      <w:r>
        <w:rPr>
          <w:color w:val="231F20"/>
          <w:w w:val="105"/>
        </w:rPr>
        <w:t>de</w:t>
      </w:r>
      <w:r>
        <w:rPr>
          <w:color w:val="231F20"/>
          <w:spacing w:val="-16"/>
          <w:w w:val="105"/>
        </w:rPr>
        <w:t> </w:t>
      </w:r>
      <w:r>
        <w:rPr>
          <w:color w:val="231F20"/>
          <w:w w:val="105"/>
        </w:rPr>
        <w:t>otra</w:t>
      </w:r>
      <w:r>
        <w:rPr>
          <w:color w:val="231F20"/>
          <w:spacing w:val="-16"/>
          <w:w w:val="105"/>
        </w:rPr>
        <w:t> </w:t>
      </w:r>
      <w:r>
        <w:rPr>
          <w:color w:val="231F20"/>
          <w:spacing w:val="-3"/>
          <w:w w:val="105"/>
        </w:rPr>
        <w:t>manera. </w:t>
      </w:r>
      <w:r>
        <w:rPr>
          <w:color w:val="231F20"/>
          <w:w w:val="105"/>
        </w:rPr>
        <w:t>Se</w:t>
      </w:r>
      <w:r>
        <w:rPr>
          <w:color w:val="231F20"/>
          <w:spacing w:val="-15"/>
          <w:w w:val="105"/>
        </w:rPr>
        <w:t> </w:t>
      </w:r>
      <w:r>
        <w:rPr>
          <w:color w:val="231F20"/>
          <w:w w:val="105"/>
        </w:rPr>
        <w:t>experimenta</w:t>
      </w:r>
      <w:r>
        <w:rPr>
          <w:color w:val="231F20"/>
          <w:spacing w:val="-15"/>
          <w:w w:val="105"/>
        </w:rPr>
        <w:t> </w:t>
      </w:r>
      <w:r>
        <w:rPr>
          <w:color w:val="231F20"/>
          <w:w w:val="105"/>
        </w:rPr>
        <w:t>el</w:t>
      </w:r>
      <w:r>
        <w:rPr>
          <w:color w:val="231F20"/>
          <w:spacing w:val="-15"/>
          <w:w w:val="105"/>
        </w:rPr>
        <w:t> </w:t>
      </w:r>
      <w:r>
        <w:rPr>
          <w:color w:val="231F20"/>
          <w:spacing w:val="-3"/>
          <w:w w:val="105"/>
        </w:rPr>
        <w:t>auto-reproche</w:t>
      </w:r>
      <w:r>
        <w:rPr>
          <w:color w:val="231F20"/>
          <w:spacing w:val="-15"/>
          <w:w w:val="105"/>
        </w:rPr>
        <w:t> </w:t>
      </w:r>
      <w:r>
        <w:rPr>
          <w:color w:val="231F20"/>
          <w:w w:val="105"/>
        </w:rPr>
        <w:t>por</w:t>
      </w:r>
      <w:r>
        <w:rPr>
          <w:color w:val="231F20"/>
          <w:spacing w:val="-15"/>
          <w:w w:val="105"/>
        </w:rPr>
        <w:t> </w:t>
      </w:r>
      <w:r>
        <w:rPr>
          <w:color w:val="231F20"/>
          <w:w w:val="105"/>
        </w:rPr>
        <w:t>exponerse</w:t>
      </w:r>
      <w:r>
        <w:rPr>
          <w:color w:val="231F20"/>
          <w:spacing w:val="-15"/>
          <w:w w:val="105"/>
        </w:rPr>
        <w:t> </w:t>
      </w:r>
      <w:r>
        <w:rPr>
          <w:color w:val="231F20"/>
          <w:w w:val="105"/>
        </w:rPr>
        <w:t>al</w:t>
      </w:r>
      <w:r>
        <w:rPr>
          <w:color w:val="231F20"/>
          <w:spacing w:val="-15"/>
          <w:w w:val="105"/>
        </w:rPr>
        <w:t> </w:t>
      </w:r>
      <w:r>
        <w:rPr>
          <w:color w:val="231F20"/>
          <w:spacing w:val="-3"/>
          <w:w w:val="105"/>
        </w:rPr>
        <w:t>peligro</w:t>
      </w:r>
      <w:r>
        <w:rPr>
          <w:color w:val="231F20"/>
          <w:spacing w:val="-15"/>
          <w:w w:val="105"/>
        </w:rPr>
        <w:t> </w:t>
      </w:r>
      <w:r>
        <w:rPr>
          <w:color w:val="231F20"/>
          <w:w w:val="105"/>
        </w:rPr>
        <w:t>“por</w:t>
      </w:r>
      <w:r>
        <w:rPr>
          <w:color w:val="231F20"/>
          <w:spacing w:val="-15"/>
          <w:w w:val="105"/>
        </w:rPr>
        <w:t> </w:t>
      </w:r>
      <w:r>
        <w:rPr>
          <w:color w:val="231F20"/>
          <w:w w:val="105"/>
        </w:rPr>
        <w:t>tan</w:t>
      </w:r>
      <w:r>
        <w:rPr>
          <w:color w:val="231F20"/>
          <w:spacing w:val="-15"/>
          <w:w w:val="105"/>
        </w:rPr>
        <w:t> </w:t>
      </w:r>
      <w:r>
        <w:rPr>
          <w:color w:val="231F20"/>
          <w:spacing w:val="-6"/>
          <w:w w:val="105"/>
        </w:rPr>
        <w:t>poco”, </w:t>
      </w:r>
      <w:r>
        <w:rPr>
          <w:color w:val="231F20"/>
          <w:w w:val="105"/>
        </w:rPr>
        <w:t>“no habiendo </w:t>
      </w:r>
      <w:r>
        <w:rPr>
          <w:color w:val="231F20"/>
          <w:spacing w:val="-5"/>
          <w:w w:val="105"/>
        </w:rPr>
        <w:t>necesidad”. </w:t>
      </w:r>
      <w:r>
        <w:rPr>
          <w:color w:val="231F20"/>
          <w:w w:val="105"/>
        </w:rPr>
        <w:t>El </w:t>
      </w:r>
      <w:r>
        <w:rPr>
          <w:color w:val="231F20"/>
          <w:spacing w:val="-3"/>
          <w:w w:val="105"/>
        </w:rPr>
        <w:t>auto-reproche </w:t>
      </w:r>
      <w:r>
        <w:rPr>
          <w:color w:val="231F20"/>
          <w:w w:val="105"/>
        </w:rPr>
        <w:t>suele ser </w:t>
      </w:r>
      <w:r>
        <w:rPr>
          <w:color w:val="231F20"/>
          <w:spacing w:val="-3"/>
          <w:w w:val="105"/>
        </w:rPr>
        <w:t>proactivo, </w:t>
      </w:r>
      <w:r>
        <w:rPr>
          <w:color w:val="231F20"/>
          <w:spacing w:val="-2"/>
          <w:w w:val="105"/>
        </w:rPr>
        <w:t>cuando </w:t>
      </w:r>
      <w:r>
        <w:rPr>
          <w:color w:val="231F20"/>
          <w:w w:val="105"/>
        </w:rPr>
        <w:t>fluye</w:t>
      </w:r>
      <w:r>
        <w:rPr>
          <w:color w:val="231F20"/>
          <w:spacing w:val="-30"/>
          <w:w w:val="105"/>
        </w:rPr>
        <w:t> </w:t>
      </w:r>
      <w:r>
        <w:rPr>
          <w:color w:val="231F20"/>
          <w:w w:val="105"/>
        </w:rPr>
        <w:t>hacia</w:t>
      </w:r>
      <w:r>
        <w:rPr>
          <w:color w:val="231F20"/>
          <w:spacing w:val="-30"/>
          <w:w w:val="105"/>
        </w:rPr>
        <w:t> </w:t>
      </w:r>
      <w:r>
        <w:rPr>
          <w:color w:val="231F20"/>
          <w:w w:val="105"/>
        </w:rPr>
        <w:t>una</w:t>
      </w:r>
      <w:r>
        <w:rPr>
          <w:color w:val="231F20"/>
          <w:spacing w:val="-30"/>
          <w:w w:val="105"/>
        </w:rPr>
        <w:t> </w:t>
      </w:r>
      <w:r>
        <w:rPr>
          <w:color w:val="231F20"/>
          <w:w w:val="105"/>
        </w:rPr>
        <w:t>toma</w:t>
      </w:r>
      <w:r>
        <w:rPr>
          <w:color w:val="231F20"/>
          <w:spacing w:val="-30"/>
          <w:w w:val="105"/>
        </w:rPr>
        <w:t> </w:t>
      </w:r>
      <w:r>
        <w:rPr>
          <w:color w:val="231F20"/>
          <w:w w:val="105"/>
        </w:rPr>
        <w:t>de</w:t>
      </w:r>
      <w:r>
        <w:rPr>
          <w:color w:val="231F20"/>
          <w:spacing w:val="-30"/>
          <w:w w:val="105"/>
        </w:rPr>
        <w:t> </w:t>
      </w:r>
      <w:r>
        <w:rPr>
          <w:color w:val="231F20"/>
          <w:w w:val="105"/>
        </w:rPr>
        <w:t>consciencia</w:t>
      </w:r>
      <w:r>
        <w:rPr>
          <w:color w:val="231F20"/>
          <w:spacing w:val="-30"/>
          <w:w w:val="105"/>
        </w:rPr>
        <w:t> </w:t>
      </w:r>
      <w:r>
        <w:rPr>
          <w:color w:val="231F20"/>
          <w:spacing w:val="-3"/>
          <w:w w:val="105"/>
        </w:rPr>
        <w:t>sobre</w:t>
      </w:r>
      <w:r>
        <w:rPr>
          <w:color w:val="231F20"/>
          <w:spacing w:val="-30"/>
          <w:w w:val="105"/>
        </w:rPr>
        <w:t> </w:t>
      </w:r>
      <w:r>
        <w:rPr>
          <w:color w:val="231F20"/>
          <w:w w:val="105"/>
        </w:rPr>
        <w:t>las</w:t>
      </w:r>
      <w:r>
        <w:rPr>
          <w:color w:val="231F20"/>
          <w:spacing w:val="-30"/>
          <w:w w:val="105"/>
        </w:rPr>
        <w:t> </w:t>
      </w:r>
      <w:r>
        <w:rPr>
          <w:color w:val="231F20"/>
          <w:w w:val="105"/>
        </w:rPr>
        <w:t>consecuencias</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deci-</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0"/>
        <w:jc w:val="both"/>
      </w:pPr>
      <w:r>
        <w:rPr/>
        <w:pict>
          <v:line style="position:absolute;mso-position-horizontal-relative:page;mso-position-vertical-relative:paragraph;z-index:47416" from="15pt,-71.68644pt" to="0pt,-71.68644pt" stroked="true" strokeweight=".25pt" strokecolor="#000000">
            <w10:wrap type="none"/>
          </v:line>
        </w:pict>
      </w:r>
      <w:r>
        <w:rPr/>
        <w:pict>
          <v:line style="position:absolute;mso-position-horizontal-relative:page;mso-position-vertical-relative:paragraph;z-index:47440" from="508.890015pt,-71.68644pt" to="523.890015pt,-71.68644pt" stroked="true" strokeweight=".25pt" strokecolor="#000000">
            <w10:wrap type="none"/>
          </v:line>
        </w:pict>
      </w:r>
      <w:r>
        <w:rPr>
          <w:color w:val="231F20"/>
          <w:w w:val="105"/>
        </w:rPr>
        <w:t>siones</w:t>
      </w:r>
      <w:r>
        <w:rPr>
          <w:color w:val="231F20"/>
          <w:spacing w:val="-6"/>
          <w:w w:val="105"/>
        </w:rPr>
        <w:t> </w:t>
      </w:r>
      <w:r>
        <w:rPr>
          <w:color w:val="231F20"/>
          <w:w w:val="105"/>
        </w:rPr>
        <w:t>y</w:t>
      </w:r>
      <w:r>
        <w:rPr>
          <w:color w:val="231F20"/>
          <w:spacing w:val="-6"/>
          <w:w w:val="105"/>
        </w:rPr>
        <w:t> </w:t>
      </w:r>
      <w:r>
        <w:rPr>
          <w:color w:val="231F20"/>
          <w:w w:val="105"/>
        </w:rPr>
        <w:t>se</w:t>
      </w:r>
      <w:r>
        <w:rPr>
          <w:color w:val="231F20"/>
          <w:spacing w:val="-6"/>
          <w:w w:val="105"/>
        </w:rPr>
        <w:t> </w:t>
      </w:r>
      <w:r>
        <w:rPr>
          <w:color w:val="231F20"/>
          <w:w w:val="105"/>
        </w:rPr>
        <w:t>asume</w:t>
      </w:r>
      <w:r>
        <w:rPr>
          <w:color w:val="231F20"/>
          <w:spacing w:val="-6"/>
          <w:w w:val="105"/>
        </w:rPr>
        <w:t> </w:t>
      </w:r>
      <w:r>
        <w:rPr>
          <w:color w:val="231F20"/>
          <w:w w:val="105"/>
        </w:rPr>
        <w:t>la</w:t>
      </w:r>
      <w:r>
        <w:rPr>
          <w:color w:val="231F20"/>
          <w:spacing w:val="-6"/>
          <w:w w:val="105"/>
        </w:rPr>
        <w:t> </w:t>
      </w:r>
      <w:r>
        <w:rPr>
          <w:color w:val="231F20"/>
          <w:spacing w:val="-3"/>
          <w:w w:val="105"/>
        </w:rPr>
        <w:t>responsabilidad</w:t>
      </w:r>
      <w:r>
        <w:rPr>
          <w:color w:val="231F20"/>
          <w:spacing w:val="-6"/>
          <w:w w:val="105"/>
        </w:rPr>
        <w:t> </w:t>
      </w:r>
      <w:r>
        <w:rPr>
          <w:color w:val="231F20"/>
          <w:w w:val="105"/>
        </w:rPr>
        <w:t>de</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de</w:t>
      </w:r>
      <w:r>
        <w:rPr>
          <w:color w:val="231F20"/>
          <w:spacing w:val="-6"/>
          <w:w w:val="105"/>
        </w:rPr>
        <w:t> </w:t>
      </w:r>
      <w:r>
        <w:rPr>
          <w:color w:val="231F20"/>
          <w:w w:val="105"/>
        </w:rPr>
        <w:t>ello</w:t>
      </w:r>
      <w:r>
        <w:rPr>
          <w:color w:val="231F20"/>
          <w:spacing w:val="-6"/>
          <w:w w:val="105"/>
        </w:rPr>
        <w:t> </w:t>
      </w:r>
      <w:r>
        <w:rPr>
          <w:color w:val="231F20"/>
          <w:w w:val="105"/>
        </w:rPr>
        <w:t>deriva,</w:t>
      </w:r>
      <w:r>
        <w:rPr>
          <w:color w:val="231F20"/>
          <w:spacing w:val="-11"/>
          <w:w w:val="105"/>
        </w:rPr>
        <w:t> </w:t>
      </w:r>
      <w:r>
        <w:rPr>
          <w:color w:val="231F20"/>
          <w:w w:val="105"/>
        </w:rPr>
        <w:t>especial- mente</w:t>
      </w:r>
      <w:r>
        <w:rPr>
          <w:color w:val="231F20"/>
          <w:spacing w:val="-21"/>
          <w:w w:val="105"/>
        </w:rPr>
        <w:t> </w:t>
      </w:r>
      <w:r>
        <w:rPr>
          <w:color w:val="231F20"/>
          <w:w w:val="105"/>
        </w:rPr>
        <w:t>si</w:t>
      </w:r>
      <w:r>
        <w:rPr>
          <w:color w:val="231F20"/>
          <w:spacing w:val="-21"/>
          <w:w w:val="105"/>
        </w:rPr>
        <w:t> </w:t>
      </w:r>
      <w:r>
        <w:rPr>
          <w:color w:val="231F20"/>
          <w:spacing w:val="-3"/>
          <w:w w:val="105"/>
        </w:rPr>
        <w:t>recaen</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familia,</w:t>
      </w:r>
      <w:r>
        <w:rPr>
          <w:color w:val="231F20"/>
          <w:spacing w:val="-26"/>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hijos</w:t>
      </w:r>
      <w:r>
        <w:rPr>
          <w:color w:val="231F20"/>
          <w:spacing w:val="-21"/>
          <w:w w:val="105"/>
        </w:rPr>
        <w:t> </w:t>
      </w:r>
      <w:r>
        <w:rPr>
          <w:color w:val="231F20"/>
          <w:w w:val="105"/>
        </w:rPr>
        <w:t>e</w:t>
      </w:r>
      <w:r>
        <w:rPr>
          <w:color w:val="231F20"/>
          <w:spacing w:val="-21"/>
          <w:w w:val="105"/>
        </w:rPr>
        <w:t> </w:t>
      </w:r>
      <w:r>
        <w:rPr>
          <w:color w:val="231F20"/>
          <w:w w:val="105"/>
        </w:rPr>
        <w:t>hijas,</w:t>
      </w:r>
      <w:r>
        <w:rPr>
          <w:color w:val="231F20"/>
          <w:spacing w:val="-26"/>
          <w:w w:val="105"/>
        </w:rPr>
        <w:t> </w:t>
      </w:r>
      <w:r>
        <w:rPr>
          <w:color w:val="231F20"/>
          <w:w w:val="105"/>
        </w:rPr>
        <w:t>“ya</w:t>
      </w:r>
      <w:r>
        <w:rPr>
          <w:color w:val="231F20"/>
          <w:spacing w:val="-21"/>
          <w:w w:val="105"/>
        </w:rPr>
        <w:t> </w:t>
      </w:r>
      <w:r>
        <w:rPr>
          <w:color w:val="231F20"/>
          <w:w w:val="105"/>
        </w:rPr>
        <w:t>no</w:t>
      </w:r>
      <w:r>
        <w:rPr>
          <w:color w:val="231F20"/>
          <w:spacing w:val="-21"/>
          <w:w w:val="105"/>
        </w:rPr>
        <w:t> </w:t>
      </w:r>
      <w:r>
        <w:rPr>
          <w:color w:val="231F20"/>
          <w:w w:val="105"/>
        </w:rPr>
        <w:t>voy</w:t>
      </w:r>
      <w:r>
        <w:rPr>
          <w:color w:val="231F20"/>
          <w:spacing w:val="-21"/>
          <w:w w:val="105"/>
        </w:rPr>
        <w:t> </w:t>
      </w:r>
      <w:r>
        <w:rPr>
          <w:color w:val="231F20"/>
          <w:w w:val="105"/>
        </w:rPr>
        <w:t>a</w:t>
      </w:r>
      <w:r>
        <w:rPr>
          <w:color w:val="231F20"/>
          <w:spacing w:val="-21"/>
          <w:w w:val="105"/>
        </w:rPr>
        <w:t> </w:t>
      </w:r>
      <w:r>
        <w:rPr>
          <w:color w:val="231F20"/>
          <w:spacing w:val="-3"/>
          <w:w w:val="105"/>
        </w:rPr>
        <w:t>exponerme, </w:t>
      </w:r>
      <w:r>
        <w:rPr>
          <w:color w:val="231F20"/>
          <w:w w:val="105"/>
        </w:rPr>
        <w:t>me</w:t>
      </w:r>
      <w:r>
        <w:rPr>
          <w:color w:val="231F20"/>
          <w:spacing w:val="-22"/>
          <w:w w:val="105"/>
        </w:rPr>
        <w:t> </w:t>
      </w:r>
      <w:r>
        <w:rPr>
          <w:color w:val="231F20"/>
          <w:w w:val="105"/>
        </w:rPr>
        <w:t>tengo</w:t>
      </w:r>
      <w:r>
        <w:rPr>
          <w:color w:val="231F20"/>
          <w:spacing w:val="-22"/>
          <w:w w:val="105"/>
        </w:rPr>
        <w:t> </w:t>
      </w:r>
      <w:r>
        <w:rPr>
          <w:color w:val="231F20"/>
          <w:w w:val="105"/>
        </w:rPr>
        <w:t>que</w:t>
      </w:r>
      <w:r>
        <w:rPr>
          <w:color w:val="231F20"/>
          <w:spacing w:val="-22"/>
          <w:w w:val="105"/>
        </w:rPr>
        <w:t> </w:t>
      </w:r>
      <w:r>
        <w:rPr>
          <w:color w:val="231F20"/>
          <w:spacing w:val="-4"/>
          <w:w w:val="105"/>
        </w:rPr>
        <w:t>cuidar,</w:t>
      </w:r>
      <w:r>
        <w:rPr>
          <w:color w:val="231F20"/>
          <w:spacing w:val="-27"/>
          <w:w w:val="105"/>
        </w:rPr>
        <w:t> </w:t>
      </w:r>
      <w:r>
        <w:rPr>
          <w:color w:val="231F20"/>
          <w:w w:val="105"/>
        </w:rPr>
        <w:t>pues</w:t>
      </w:r>
      <w:r>
        <w:rPr>
          <w:color w:val="231F20"/>
          <w:spacing w:val="-22"/>
          <w:w w:val="105"/>
        </w:rPr>
        <w:t> </w:t>
      </w:r>
      <w:r>
        <w:rPr>
          <w:color w:val="231F20"/>
          <w:w w:val="105"/>
        </w:rPr>
        <w:t>ya</w:t>
      </w:r>
      <w:r>
        <w:rPr>
          <w:color w:val="231F20"/>
          <w:spacing w:val="-22"/>
          <w:w w:val="105"/>
        </w:rPr>
        <w:t> </w:t>
      </w:r>
      <w:r>
        <w:rPr>
          <w:color w:val="231F20"/>
          <w:w w:val="105"/>
        </w:rPr>
        <w:t>no</w:t>
      </w:r>
      <w:r>
        <w:rPr>
          <w:color w:val="231F20"/>
          <w:spacing w:val="-22"/>
          <w:w w:val="105"/>
        </w:rPr>
        <w:t> </w:t>
      </w:r>
      <w:r>
        <w:rPr>
          <w:color w:val="231F20"/>
          <w:w w:val="105"/>
        </w:rPr>
        <w:t>soy</w:t>
      </w:r>
      <w:r>
        <w:rPr>
          <w:color w:val="231F20"/>
          <w:spacing w:val="-22"/>
          <w:w w:val="105"/>
        </w:rPr>
        <w:t> </w:t>
      </w:r>
      <w:r>
        <w:rPr>
          <w:color w:val="231F20"/>
          <w:w w:val="105"/>
        </w:rPr>
        <w:t>solo,</w:t>
      </w:r>
      <w:r>
        <w:rPr>
          <w:color w:val="231F20"/>
          <w:spacing w:val="-27"/>
          <w:w w:val="105"/>
        </w:rPr>
        <w:t> </w:t>
      </w:r>
      <w:r>
        <w:rPr>
          <w:color w:val="231F20"/>
          <w:w w:val="105"/>
        </w:rPr>
        <w:t>están</w:t>
      </w:r>
      <w:r>
        <w:rPr>
          <w:color w:val="231F20"/>
          <w:spacing w:val="-22"/>
          <w:w w:val="105"/>
        </w:rPr>
        <w:t> </w:t>
      </w:r>
      <w:r>
        <w:rPr>
          <w:color w:val="231F20"/>
          <w:w w:val="105"/>
        </w:rPr>
        <w:t>mis</w:t>
      </w:r>
      <w:r>
        <w:rPr>
          <w:color w:val="231F20"/>
          <w:spacing w:val="-22"/>
          <w:w w:val="105"/>
        </w:rPr>
        <w:t> </w:t>
      </w:r>
      <w:r>
        <w:rPr>
          <w:color w:val="231F20"/>
          <w:w w:val="105"/>
        </w:rPr>
        <w:t>hijos,</w:t>
      </w:r>
      <w:r>
        <w:rPr>
          <w:color w:val="231F20"/>
          <w:spacing w:val="-27"/>
          <w:w w:val="105"/>
        </w:rPr>
        <w:t> </w:t>
      </w:r>
      <w:r>
        <w:rPr>
          <w:color w:val="231F20"/>
          <w:w w:val="105"/>
        </w:rPr>
        <w:t>mi</w:t>
      </w:r>
      <w:r>
        <w:rPr>
          <w:color w:val="231F20"/>
          <w:spacing w:val="-22"/>
          <w:w w:val="105"/>
        </w:rPr>
        <w:t> </w:t>
      </w:r>
      <w:r>
        <w:rPr>
          <w:color w:val="231F20"/>
          <w:spacing w:val="-6"/>
          <w:w w:val="105"/>
        </w:rPr>
        <w:t>esposa”.</w:t>
      </w:r>
    </w:p>
    <w:p>
      <w:pPr>
        <w:pStyle w:val="BodyText"/>
        <w:spacing w:line="261" w:lineRule="auto" w:before="1"/>
        <w:ind w:left="1723" w:right="1828" w:firstLine="567"/>
        <w:jc w:val="both"/>
      </w:pPr>
      <w:r>
        <w:rPr>
          <w:color w:val="231F20"/>
          <w:w w:val="105"/>
        </w:rPr>
        <w:t>Otras veces el </w:t>
      </w:r>
      <w:r>
        <w:rPr>
          <w:color w:val="231F20"/>
          <w:spacing w:val="-3"/>
          <w:w w:val="105"/>
        </w:rPr>
        <w:t>auto-reproche </w:t>
      </w:r>
      <w:r>
        <w:rPr>
          <w:color w:val="231F20"/>
          <w:w w:val="105"/>
        </w:rPr>
        <w:t>viene de haber </w:t>
      </w:r>
      <w:r>
        <w:rPr>
          <w:color w:val="231F20"/>
          <w:spacing w:val="-2"/>
          <w:w w:val="105"/>
        </w:rPr>
        <w:t>errado </w:t>
      </w:r>
      <w:r>
        <w:rPr>
          <w:color w:val="231F20"/>
          <w:w w:val="105"/>
        </w:rPr>
        <w:t>en su intento por aspirar a ser </w:t>
      </w:r>
      <w:r>
        <w:rPr>
          <w:color w:val="231F20"/>
          <w:spacing w:val="-3"/>
          <w:w w:val="105"/>
        </w:rPr>
        <w:t>diferente </w:t>
      </w:r>
      <w:r>
        <w:rPr>
          <w:color w:val="231F20"/>
          <w:w w:val="105"/>
        </w:rPr>
        <w:t>o mejor que los </w:t>
      </w:r>
      <w:r>
        <w:rPr>
          <w:color w:val="231F20"/>
          <w:spacing w:val="-7"/>
          <w:w w:val="105"/>
        </w:rPr>
        <w:t>“otros”, </w:t>
      </w:r>
      <w:r>
        <w:rPr>
          <w:color w:val="231F20"/>
          <w:w w:val="105"/>
        </w:rPr>
        <w:t>sea la misma familia, sean</w:t>
      </w:r>
      <w:r>
        <w:rPr>
          <w:color w:val="231F20"/>
          <w:spacing w:val="-21"/>
          <w:w w:val="105"/>
        </w:rPr>
        <w:t> </w:t>
      </w:r>
      <w:r>
        <w:rPr>
          <w:color w:val="231F20"/>
          <w:w w:val="105"/>
        </w:rPr>
        <w:t>el</w:t>
      </w:r>
      <w:r>
        <w:rPr>
          <w:color w:val="231F20"/>
          <w:spacing w:val="-21"/>
          <w:w w:val="105"/>
        </w:rPr>
        <w:t> </w:t>
      </w:r>
      <w:r>
        <w:rPr>
          <w:color w:val="231F20"/>
          <w:w w:val="105"/>
        </w:rPr>
        <w:t>común</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spacing w:val="-3"/>
          <w:w w:val="105"/>
        </w:rPr>
        <w:t>seres</w:t>
      </w:r>
      <w:r>
        <w:rPr>
          <w:color w:val="231F20"/>
          <w:spacing w:val="-21"/>
          <w:w w:val="105"/>
        </w:rPr>
        <w:t> </w:t>
      </w:r>
      <w:r>
        <w:rPr>
          <w:color w:val="231F20"/>
          <w:w w:val="105"/>
        </w:rPr>
        <w:t>humanos</w:t>
      </w:r>
      <w:r>
        <w:rPr>
          <w:color w:val="231F20"/>
          <w:spacing w:val="-21"/>
          <w:w w:val="105"/>
        </w:rPr>
        <w:t> </w:t>
      </w:r>
      <w:r>
        <w:rPr>
          <w:color w:val="231F20"/>
          <w:w w:val="105"/>
        </w:rPr>
        <w:t>en</w:t>
      </w:r>
      <w:r>
        <w:rPr>
          <w:color w:val="231F20"/>
          <w:spacing w:val="-21"/>
          <w:w w:val="105"/>
        </w:rPr>
        <w:t> </w:t>
      </w:r>
      <w:r>
        <w:rPr>
          <w:color w:val="231F20"/>
          <w:w w:val="105"/>
        </w:rPr>
        <w:t>su</w:t>
      </w:r>
      <w:r>
        <w:rPr>
          <w:color w:val="231F20"/>
          <w:spacing w:val="-21"/>
          <w:w w:val="105"/>
        </w:rPr>
        <w:t> </w:t>
      </w:r>
      <w:r>
        <w:rPr>
          <w:color w:val="231F20"/>
          <w:w w:val="105"/>
        </w:rPr>
        <w:t>decisión</w:t>
      </w:r>
      <w:r>
        <w:rPr>
          <w:color w:val="231F20"/>
          <w:spacing w:val="-21"/>
          <w:w w:val="105"/>
        </w:rPr>
        <w:t> </w:t>
      </w:r>
      <w:r>
        <w:rPr>
          <w:color w:val="231F20"/>
          <w:w w:val="105"/>
        </w:rPr>
        <w:t>de</w:t>
      </w:r>
      <w:r>
        <w:rPr>
          <w:color w:val="231F20"/>
          <w:spacing w:val="-21"/>
          <w:w w:val="105"/>
        </w:rPr>
        <w:t> </w:t>
      </w:r>
      <w:r>
        <w:rPr>
          <w:color w:val="231F20"/>
          <w:w w:val="105"/>
        </w:rPr>
        <w:t>caminar</w:t>
      </w:r>
      <w:r>
        <w:rPr>
          <w:color w:val="231F20"/>
          <w:spacing w:val="-21"/>
          <w:w w:val="105"/>
        </w:rPr>
        <w:t> </w:t>
      </w:r>
      <w:r>
        <w:rPr>
          <w:color w:val="231F20"/>
          <w:w w:val="105"/>
        </w:rPr>
        <w:t>la</w:t>
      </w:r>
      <w:r>
        <w:rPr>
          <w:color w:val="231F20"/>
          <w:spacing w:val="-21"/>
          <w:w w:val="105"/>
        </w:rPr>
        <w:t> </w:t>
      </w:r>
      <w:r>
        <w:rPr>
          <w:color w:val="231F20"/>
          <w:w w:val="105"/>
        </w:rPr>
        <w:t>migra- ción.</w:t>
      </w:r>
      <w:r>
        <w:rPr>
          <w:color w:val="231F20"/>
          <w:spacing w:val="-31"/>
          <w:w w:val="105"/>
        </w:rPr>
        <w:t> </w:t>
      </w:r>
      <w:r>
        <w:rPr>
          <w:color w:val="231F20"/>
          <w:w w:val="105"/>
        </w:rPr>
        <w:t>Darse</w:t>
      </w:r>
      <w:r>
        <w:rPr>
          <w:color w:val="231F20"/>
          <w:spacing w:val="-26"/>
          <w:w w:val="105"/>
        </w:rPr>
        <w:t> </w:t>
      </w:r>
      <w:r>
        <w:rPr>
          <w:color w:val="231F20"/>
          <w:w w:val="105"/>
        </w:rPr>
        <w:t>cuenta</w:t>
      </w:r>
      <w:r>
        <w:rPr>
          <w:color w:val="231F20"/>
          <w:spacing w:val="-26"/>
          <w:w w:val="105"/>
        </w:rPr>
        <w:t> </w:t>
      </w:r>
      <w:r>
        <w:rPr>
          <w:color w:val="231F20"/>
          <w:w w:val="105"/>
        </w:rPr>
        <w:t>que</w:t>
      </w:r>
      <w:r>
        <w:rPr>
          <w:color w:val="231F20"/>
          <w:spacing w:val="-26"/>
          <w:w w:val="105"/>
        </w:rPr>
        <w:t> </w:t>
      </w:r>
      <w:r>
        <w:rPr>
          <w:color w:val="231F20"/>
          <w:w w:val="105"/>
        </w:rPr>
        <w:t>en</w:t>
      </w:r>
      <w:r>
        <w:rPr>
          <w:color w:val="231F20"/>
          <w:spacing w:val="-26"/>
          <w:w w:val="105"/>
        </w:rPr>
        <w:t> </w:t>
      </w:r>
      <w:r>
        <w:rPr>
          <w:color w:val="231F20"/>
          <w:w w:val="105"/>
        </w:rPr>
        <w:t>este</w:t>
      </w:r>
      <w:r>
        <w:rPr>
          <w:color w:val="231F20"/>
          <w:spacing w:val="-26"/>
          <w:w w:val="105"/>
        </w:rPr>
        <w:t> </w:t>
      </w:r>
      <w:r>
        <w:rPr>
          <w:color w:val="231F20"/>
          <w:w w:val="105"/>
        </w:rPr>
        <w:t>camino</w:t>
      </w:r>
      <w:r>
        <w:rPr>
          <w:color w:val="231F20"/>
          <w:spacing w:val="-26"/>
          <w:w w:val="105"/>
        </w:rPr>
        <w:t> </w:t>
      </w:r>
      <w:r>
        <w:rPr>
          <w:color w:val="231F20"/>
          <w:w w:val="105"/>
        </w:rPr>
        <w:t>elegido</w:t>
      </w:r>
      <w:r>
        <w:rPr>
          <w:color w:val="231F20"/>
          <w:spacing w:val="-26"/>
          <w:w w:val="105"/>
        </w:rPr>
        <w:t> </w:t>
      </w:r>
      <w:r>
        <w:rPr>
          <w:color w:val="231F20"/>
          <w:w w:val="105"/>
        </w:rPr>
        <w:t>nadie</w:t>
      </w:r>
      <w:r>
        <w:rPr>
          <w:color w:val="231F20"/>
          <w:spacing w:val="-26"/>
          <w:w w:val="105"/>
        </w:rPr>
        <w:t> </w:t>
      </w:r>
      <w:r>
        <w:rPr>
          <w:color w:val="231F20"/>
          <w:w w:val="105"/>
        </w:rPr>
        <w:t>puede</w:t>
      </w:r>
      <w:r>
        <w:rPr>
          <w:color w:val="231F20"/>
          <w:spacing w:val="-26"/>
          <w:w w:val="105"/>
        </w:rPr>
        <w:t> </w:t>
      </w:r>
      <w:r>
        <w:rPr>
          <w:color w:val="231F20"/>
          <w:w w:val="105"/>
        </w:rPr>
        <w:t>ser</w:t>
      </w:r>
      <w:r>
        <w:rPr>
          <w:color w:val="231F20"/>
          <w:spacing w:val="-26"/>
          <w:w w:val="105"/>
        </w:rPr>
        <w:t> </w:t>
      </w:r>
      <w:r>
        <w:rPr>
          <w:color w:val="231F20"/>
          <w:spacing w:val="-3"/>
          <w:w w:val="105"/>
        </w:rPr>
        <w:t>diferente, </w:t>
      </w:r>
      <w:r>
        <w:rPr>
          <w:color w:val="231F20"/>
          <w:w w:val="105"/>
        </w:rPr>
        <w:t>aunque</w:t>
      </w:r>
      <w:r>
        <w:rPr>
          <w:color w:val="231F20"/>
          <w:spacing w:val="-24"/>
          <w:w w:val="105"/>
        </w:rPr>
        <w:t> </w:t>
      </w:r>
      <w:r>
        <w:rPr>
          <w:color w:val="231F20"/>
          <w:w w:val="105"/>
        </w:rPr>
        <w:t>haya</w:t>
      </w:r>
      <w:r>
        <w:rPr>
          <w:color w:val="231F20"/>
          <w:spacing w:val="-24"/>
          <w:w w:val="105"/>
        </w:rPr>
        <w:t> </w:t>
      </w:r>
      <w:r>
        <w:rPr>
          <w:color w:val="231F20"/>
          <w:spacing w:val="-3"/>
          <w:w w:val="105"/>
        </w:rPr>
        <w:t>factores</w:t>
      </w:r>
      <w:r>
        <w:rPr>
          <w:color w:val="231F20"/>
          <w:spacing w:val="-24"/>
          <w:w w:val="105"/>
        </w:rPr>
        <w:t> </w:t>
      </w:r>
      <w:r>
        <w:rPr>
          <w:color w:val="231F20"/>
          <w:w w:val="105"/>
        </w:rPr>
        <w:t>como</w:t>
      </w:r>
      <w:r>
        <w:rPr>
          <w:color w:val="231F20"/>
          <w:spacing w:val="-24"/>
          <w:w w:val="105"/>
        </w:rPr>
        <w:t> </w:t>
      </w:r>
      <w:r>
        <w:rPr>
          <w:color w:val="231F20"/>
          <w:w w:val="105"/>
        </w:rPr>
        <w:t>el</w:t>
      </w:r>
      <w:r>
        <w:rPr>
          <w:color w:val="231F20"/>
          <w:spacing w:val="-24"/>
          <w:w w:val="105"/>
        </w:rPr>
        <w:t> </w:t>
      </w:r>
      <w:r>
        <w:rPr>
          <w:color w:val="231F20"/>
          <w:w w:val="105"/>
        </w:rPr>
        <w:t>nivel</w:t>
      </w:r>
      <w:r>
        <w:rPr>
          <w:color w:val="231F20"/>
          <w:spacing w:val="-24"/>
          <w:w w:val="105"/>
        </w:rPr>
        <w:t> </w:t>
      </w:r>
      <w:r>
        <w:rPr>
          <w:color w:val="231F20"/>
          <w:spacing w:val="-2"/>
          <w:w w:val="105"/>
        </w:rPr>
        <w:t>educativo</w:t>
      </w:r>
      <w:r>
        <w:rPr>
          <w:color w:val="231F20"/>
          <w:spacing w:val="-24"/>
          <w:w w:val="105"/>
        </w:rPr>
        <w:t> </w:t>
      </w:r>
      <w:r>
        <w:rPr>
          <w:color w:val="231F20"/>
          <w:w w:val="105"/>
        </w:rPr>
        <w:t>superior</w:t>
      </w:r>
      <w:r>
        <w:rPr>
          <w:color w:val="231F20"/>
          <w:spacing w:val="-24"/>
          <w:w w:val="105"/>
        </w:rPr>
        <w:t> </w:t>
      </w:r>
      <w:r>
        <w:rPr>
          <w:color w:val="231F20"/>
          <w:w w:val="105"/>
        </w:rPr>
        <w:t>o</w:t>
      </w:r>
      <w:r>
        <w:rPr>
          <w:color w:val="231F20"/>
          <w:spacing w:val="-24"/>
          <w:w w:val="105"/>
        </w:rPr>
        <w:t> </w:t>
      </w:r>
      <w:r>
        <w:rPr>
          <w:color w:val="231F20"/>
          <w:w w:val="105"/>
        </w:rPr>
        <w:t>la</w:t>
      </w:r>
      <w:r>
        <w:rPr>
          <w:color w:val="231F20"/>
          <w:spacing w:val="-24"/>
          <w:w w:val="105"/>
        </w:rPr>
        <w:t> </w:t>
      </w:r>
      <w:r>
        <w:rPr>
          <w:color w:val="231F20"/>
          <w:spacing w:val="-3"/>
          <w:w w:val="105"/>
        </w:rPr>
        <w:t>carrera</w:t>
      </w:r>
      <w:r>
        <w:rPr>
          <w:color w:val="231F20"/>
          <w:spacing w:val="-24"/>
          <w:w w:val="105"/>
        </w:rPr>
        <w:t> </w:t>
      </w:r>
      <w:r>
        <w:rPr>
          <w:color w:val="231F20"/>
          <w:spacing w:val="-3"/>
          <w:w w:val="105"/>
        </w:rPr>
        <w:t>univer- </w:t>
      </w:r>
      <w:r>
        <w:rPr>
          <w:color w:val="231F20"/>
          <w:w w:val="105"/>
        </w:rPr>
        <w:t>sitaria</w:t>
      </w:r>
      <w:r>
        <w:rPr>
          <w:color w:val="231F20"/>
          <w:spacing w:val="-19"/>
          <w:w w:val="105"/>
        </w:rPr>
        <w:t> </w:t>
      </w:r>
      <w:r>
        <w:rPr>
          <w:color w:val="231F20"/>
          <w:w w:val="105"/>
        </w:rPr>
        <w:t>que</w:t>
      </w:r>
      <w:r>
        <w:rPr>
          <w:color w:val="231F20"/>
          <w:spacing w:val="-19"/>
          <w:w w:val="105"/>
        </w:rPr>
        <w:t> </w:t>
      </w:r>
      <w:r>
        <w:rPr>
          <w:color w:val="231F20"/>
          <w:w w:val="105"/>
        </w:rPr>
        <w:t>quieran</w:t>
      </w:r>
      <w:r>
        <w:rPr>
          <w:color w:val="231F20"/>
          <w:spacing w:val="-19"/>
          <w:w w:val="105"/>
        </w:rPr>
        <w:t> </w:t>
      </w:r>
      <w:r>
        <w:rPr>
          <w:color w:val="231F20"/>
          <w:w w:val="105"/>
        </w:rPr>
        <w:t>hacerlo</w:t>
      </w:r>
      <w:r>
        <w:rPr>
          <w:color w:val="231F20"/>
          <w:spacing w:val="-19"/>
          <w:w w:val="105"/>
        </w:rPr>
        <w:t> </w:t>
      </w:r>
      <w:r>
        <w:rPr>
          <w:color w:val="231F20"/>
          <w:w w:val="105"/>
        </w:rPr>
        <w:t>evidente.</w:t>
      </w:r>
      <w:r>
        <w:rPr>
          <w:color w:val="231F20"/>
          <w:spacing w:val="-27"/>
          <w:w w:val="105"/>
        </w:rPr>
        <w:t> </w:t>
      </w:r>
      <w:r>
        <w:rPr>
          <w:color w:val="231F20"/>
          <w:w w:val="105"/>
        </w:rPr>
        <w:t>Y</w:t>
      </w:r>
      <w:r>
        <w:rPr>
          <w:color w:val="231F20"/>
          <w:spacing w:val="-23"/>
          <w:w w:val="105"/>
        </w:rPr>
        <w:t> </w:t>
      </w:r>
      <w:r>
        <w:rPr>
          <w:color w:val="231F20"/>
          <w:w w:val="105"/>
        </w:rPr>
        <w:t>es</w:t>
      </w:r>
      <w:r>
        <w:rPr>
          <w:color w:val="231F20"/>
          <w:spacing w:val="-19"/>
          <w:w w:val="105"/>
        </w:rPr>
        <w:t> </w:t>
      </w:r>
      <w:r>
        <w:rPr>
          <w:color w:val="231F20"/>
          <w:w w:val="105"/>
        </w:rPr>
        <w:t>que</w:t>
      </w:r>
      <w:r>
        <w:rPr>
          <w:color w:val="231F20"/>
          <w:spacing w:val="-19"/>
          <w:w w:val="105"/>
        </w:rPr>
        <w:t> </w:t>
      </w:r>
      <w:r>
        <w:rPr>
          <w:color w:val="231F20"/>
          <w:w w:val="105"/>
        </w:rPr>
        <w:t>el</w:t>
      </w:r>
      <w:r>
        <w:rPr>
          <w:color w:val="231F20"/>
          <w:spacing w:val="-19"/>
          <w:w w:val="105"/>
        </w:rPr>
        <w:t> </w:t>
      </w:r>
      <w:r>
        <w:rPr>
          <w:color w:val="231F20"/>
          <w:w w:val="105"/>
        </w:rPr>
        <w:t>alto</w:t>
      </w:r>
      <w:r>
        <w:rPr>
          <w:color w:val="231F20"/>
          <w:spacing w:val="-19"/>
          <w:w w:val="105"/>
        </w:rPr>
        <w:t> </w:t>
      </w:r>
      <w:r>
        <w:rPr>
          <w:color w:val="231F20"/>
          <w:w w:val="105"/>
        </w:rPr>
        <w:t>nivel</w:t>
      </w:r>
      <w:r>
        <w:rPr>
          <w:color w:val="231F20"/>
          <w:spacing w:val="-19"/>
          <w:w w:val="105"/>
        </w:rPr>
        <w:t> </w:t>
      </w:r>
      <w:r>
        <w:rPr>
          <w:color w:val="231F20"/>
          <w:w w:val="105"/>
        </w:rPr>
        <w:t>de</w:t>
      </w:r>
      <w:r>
        <w:rPr>
          <w:color w:val="231F20"/>
          <w:spacing w:val="-19"/>
          <w:w w:val="105"/>
        </w:rPr>
        <w:t> </w:t>
      </w:r>
      <w:r>
        <w:rPr>
          <w:color w:val="231F20"/>
          <w:w w:val="105"/>
        </w:rPr>
        <w:t>estudios</w:t>
      </w:r>
      <w:r>
        <w:rPr>
          <w:color w:val="231F20"/>
          <w:spacing w:val="-19"/>
          <w:w w:val="105"/>
        </w:rPr>
        <w:t> </w:t>
      </w:r>
      <w:r>
        <w:rPr>
          <w:color w:val="231F20"/>
          <w:w w:val="105"/>
        </w:rPr>
        <w:t>de algunos</w:t>
      </w:r>
      <w:r>
        <w:rPr>
          <w:color w:val="231F20"/>
          <w:spacing w:val="-12"/>
          <w:w w:val="105"/>
        </w:rPr>
        <w:t> </w:t>
      </w:r>
      <w:r>
        <w:rPr>
          <w:color w:val="231F20"/>
          <w:w w:val="105"/>
        </w:rPr>
        <w:t>de</w:t>
      </w:r>
      <w:r>
        <w:rPr>
          <w:color w:val="231F20"/>
          <w:spacing w:val="-12"/>
          <w:w w:val="105"/>
        </w:rPr>
        <w:t> </w:t>
      </w:r>
      <w:r>
        <w:rPr>
          <w:color w:val="231F20"/>
          <w:w w:val="105"/>
        </w:rPr>
        <w:t>estos</w:t>
      </w:r>
      <w:r>
        <w:rPr>
          <w:color w:val="231F20"/>
          <w:spacing w:val="-12"/>
          <w:w w:val="105"/>
        </w:rPr>
        <w:t> </w:t>
      </w:r>
      <w:r>
        <w:rPr>
          <w:color w:val="231F20"/>
          <w:w w:val="105"/>
        </w:rPr>
        <w:t>migrantes</w:t>
      </w:r>
      <w:r>
        <w:rPr>
          <w:color w:val="231F20"/>
          <w:spacing w:val="-12"/>
          <w:w w:val="105"/>
        </w:rPr>
        <w:t> </w:t>
      </w:r>
      <w:r>
        <w:rPr>
          <w:color w:val="231F20"/>
          <w:w w:val="105"/>
        </w:rPr>
        <w:t>insiste</w:t>
      </w:r>
      <w:r>
        <w:rPr>
          <w:color w:val="231F20"/>
          <w:spacing w:val="-12"/>
          <w:w w:val="105"/>
        </w:rPr>
        <w:t> </w:t>
      </w:r>
      <w:r>
        <w:rPr>
          <w:color w:val="231F20"/>
          <w:w w:val="105"/>
        </w:rPr>
        <w:t>en</w:t>
      </w:r>
      <w:r>
        <w:rPr>
          <w:color w:val="231F20"/>
          <w:spacing w:val="-12"/>
          <w:w w:val="105"/>
        </w:rPr>
        <w:t> </w:t>
      </w:r>
      <w:r>
        <w:rPr>
          <w:color w:val="231F20"/>
          <w:w w:val="105"/>
        </w:rPr>
        <w:t>verse</w:t>
      </w:r>
      <w:r>
        <w:rPr>
          <w:color w:val="231F20"/>
          <w:spacing w:val="-12"/>
          <w:w w:val="105"/>
        </w:rPr>
        <w:t> </w:t>
      </w:r>
      <w:r>
        <w:rPr>
          <w:color w:val="231F20"/>
          <w:w w:val="105"/>
        </w:rPr>
        <w:t>como</w:t>
      </w:r>
      <w:r>
        <w:rPr>
          <w:color w:val="231F20"/>
          <w:spacing w:val="-12"/>
          <w:w w:val="105"/>
        </w:rPr>
        <w:t> </w:t>
      </w:r>
      <w:r>
        <w:rPr>
          <w:color w:val="231F20"/>
          <w:spacing w:val="-3"/>
          <w:w w:val="105"/>
        </w:rPr>
        <w:t>diferencia,</w:t>
      </w:r>
      <w:r>
        <w:rPr>
          <w:color w:val="231F20"/>
          <w:spacing w:val="-17"/>
          <w:w w:val="105"/>
        </w:rPr>
        <w:t> </w:t>
      </w:r>
      <w:r>
        <w:rPr>
          <w:color w:val="231F20"/>
          <w:w w:val="105"/>
        </w:rPr>
        <w:t>sin</w:t>
      </w:r>
      <w:r>
        <w:rPr>
          <w:color w:val="231F20"/>
          <w:spacing w:val="-12"/>
          <w:w w:val="105"/>
        </w:rPr>
        <w:t> </w:t>
      </w:r>
      <w:r>
        <w:rPr>
          <w:color w:val="231F20"/>
          <w:spacing w:val="-3"/>
          <w:w w:val="105"/>
        </w:rPr>
        <w:t>embar- </w:t>
      </w:r>
      <w:r>
        <w:rPr>
          <w:color w:val="231F20"/>
          <w:spacing w:val="-2"/>
          <w:w w:val="105"/>
        </w:rPr>
        <w:t>go,</w:t>
      </w:r>
      <w:r>
        <w:rPr>
          <w:color w:val="231F20"/>
          <w:spacing w:val="-29"/>
          <w:w w:val="105"/>
        </w:rPr>
        <w:t> </w:t>
      </w:r>
      <w:r>
        <w:rPr>
          <w:color w:val="231F20"/>
          <w:spacing w:val="-3"/>
          <w:w w:val="105"/>
        </w:rPr>
        <w:t>dentro</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flujos</w:t>
      </w:r>
      <w:r>
        <w:rPr>
          <w:color w:val="231F20"/>
          <w:spacing w:val="-25"/>
          <w:w w:val="105"/>
        </w:rPr>
        <w:t> </w:t>
      </w:r>
      <w:r>
        <w:rPr>
          <w:color w:val="231F20"/>
          <w:spacing w:val="-3"/>
          <w:w w:val="105"/>
        </w:rPr>
        <w:t>migratorios,</w:t>
      </w:r>
      <w:r>
        <w:rPr>
          <w:color w:val="231F20"/>
          <w:spacing w:val="-29"/>
          <w:w w:val="105"/>
        </w:rPr>
        <w:t> </w:t>
      </w:r>
      <w:r>
        <w:rPr>
          <w:color w:val="231F20"/>
          <w:w w:val="105"/>
        </w:rPr>
        <w:t>es</w:t>
      </w:r>
      <w:r>
        <w:rPr>
          <w:color w:val="231F20"/>
          <w:spacing w:val="-25"/>
          <w:w w:val="105"/>
        </w:rPr>
        <w:t> </w:t>
      </w:r>
      <w:r>
        <w:rPr>
          <w:color w:val="231F20"/>
          <w:w w:val="105"/>
        </w:rPr>
        <w:t>apenas</w:t>
      </w:r>
      <w:r>
        <w:rPr>
          <w:color w:val="231F20"/>
          <w:spacing w:val="-25"/>
          <w:w w:val="105"/>
        </w:rPr>
        <w:t> </w:t>
      </w:r>
      <w:r>
        <w:rPr>
          <w:color w:val="231F20"/>
          <w:w w:val="105"/>
        </w:rPr>
        <w:t>una</w:t>
      </w:r>
      <w:r>
        <w:rPr>
          <w:color w:val="231F20"/>
          <w:spacing w:val="-25"/>
          <w:w w:val="105"/>
        </w:rPr>
        <w:t> </w:t>
      </w:r>
      <w:r>
        <w:rPr>
          <w:color w:val="231F20"/>
          <w:w w:val="105"/>
        </w:rPr>
        <w:t>característica</w:t>
      </w:r>
      <w:r>
        <w:rPr>
          <w:color w:val="231F20"/>
          <w:spacing w:val="-25"/>
          <w:w w:val="105"/>
        </w:rPr>
        <w:t> </w:t>
      </w:r>
      <w:r>
        <w:rPr>
          <w:color w:val="231F20"/>
          <w:w w:val="105"/>
        </w:rPr>
        <w:t>que</w:t>
      </w:r>
      <w:r>
        <w:rPr>
          <w:color w:val="231F20"/>
          <w:spacing w:val="-25"/>
          <w:w w:val="105"/>
        </w:rPr>
        <w:t> </w:t>
      </w:r>
      <w:r>
        <w:rPr>
          <w:color w:val="231F20"/>
          <w:w w:val="105"/>
        </w:rPr>
        <w:t>pue- de</w:t>
      </w:r>
      <w:r>
        <w:rPr>
          <w:color w:val="231F20"/>
          <w:spacing w:val="-17"/>
          <w:w w:val="105"/>
        </w:rPr>
        <w:t> </w:t>
      </w:r>
      <w:r>
        <w:rPr>
          <w:color w:val="231F20"/>
          <w:w w:val="105"/>
        </w:rPr>
        <w:t>ser</w:t>
      </w:r>
      <w:r>
        <w:rPr>
          <w:color w:val="231F20"/>
          <w:spacing w:val="-17"/>
          <w:w w:val="105"/>
        </w:rPr>
        <w:t> </w:t>
      </w:r>
      <w:r>
        <w:rPr>
          <w:color w:val="231F20"/>
          <w:spacing w:val="-3"/>
          <w:w w:val="105"/>
        </w:rPr>
        <w:t>diferencia</w:t>
      </w:r>
      <w:r>
        <w:rPr>
          <w:color w:val="231F20"/>
          <w:spacing w:val="-17"/>
          <w:w w:val="105"/>
        </w:rPr>
        <w:t> </w:t>
      </w:r>
      <w:r>
        <w:rPr>
          <w:color w:val="231F20"/>
          <w:spacing w:val="-3"/>
          <w:w w:val="105"/>
        </w:rPr>
        <w:t>frente</w:t>
      </w:r>
      <w:r>
        <w:rPr>
          <w:color w:val="231F20"/>
          <w:spacing w:val="-17"/>
          <w:w w:val="105"/>
        </w:rPr>
        <w:t> </w:t>
      </w:r>
      <w:r>
        <w:rPr>
          <w:color w:val="231F20"/>
          <w:w w:val="105"/>
        </w:rPr>
        <w:t>a</w:t>
      </w:r>
      <w:r>
        <w:rPr>
          <w:color w:val="231F20"/>
          <w:spacing w:val="-17"/>
          <w:w w:val="105"/>
        </w:rPr>
        <w:t> </w:t>
      </w:r>
      <w:r>
        <w:rPr>
          <w:color w:val="231F20"/>
          <w:w w:val="105"/>
        </w:rPr>
        <w:t>las</w:t>
      </w:r>
      <w:r>
        <w:rPr>
          <w:color w:val="231F20"/>
          <w:spacing w:val="-17"/>
          <w:w w:val="105"/>
        </w:rPr>
        <w:t> </w:t>
      </w:r>
      <w:r>
        <w:rPr>
          <w:color w:val="231F20"/>
          <w:w w:val="105"/>
        </w:rPr>
        <w:t>migraciones</w:t>
      </w:r>
      <w:r>
        <w:rPr>
          <w:color w:val="231F20"/>
          <w:spacing w:val="-17"/>
          <w:w w:val="105"/>
        </w:rPr>
        <w:t> </w:t>
      </w:r>
      <w:r>
        <w:rPr>
          <w:color w:val="231F20"/>
          <w:w w:val="105"/>
        </w:rPr>
        <w:t>de</w:t>
      </w:r>
      <w:r>
        <w:rPr>
          <w:color w:val="231F20"/>
          <w:spacing w:val="-17"/>
          <w:w w:val="105"/>
        </w:rPr>
        <w:t> </w:t>
      </w:r>
      <w:r>
        <w:rPr>
          <w:color w:val="231F20"/>
          <w:spacing w:val="-3"/>
          <w:w w:val="105"/>
        </w:rPr>
        <w:t>otros</w:t>
      </w:r>
      <w:r>
        <w:rPr>
          <w:color w:val="231F20"/>
          <w:spacing w:val="-17"/>
          <w:w w:val="105"/>
        </w:rPr>
        <w:t> </w:t>
      </w:r>
      <w:r>
        <w:rPr>
          <w:color w:val="231F20"/>
          <w:w w:val="105"/>
        </w:rPr>
        <w:t>tiempos.</w:t>
      </w:r>
      <w:r>
        <w:rPr>
          <w:color w:val="231F20"/>
          <w:spacing w:val="-22"/>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caso, el</w:t>
      </w:r>
      <w:r>
        <w:rPr>
          <w:color w:val="231F20"/>
          <w:spacing w:val="-13"/>
          <w:w w:val="105"/>
        </w:rPr>
        <w:t> </w:t>
      </w:r>
      <w:r>
        <w:rPr>
          <w:color w:val="231F20"/>
          <w:spacing w:val="-3"/>
          <w:w w:val="105"/>
        </w:rPr>
        <w:t>auto-reproche</w:t>
      </w:r>
      <w:r>
        <w:rPr>
          <w:color w:val="231F20"/>
          <w:spacing w:val="-13"/>
          <w:w w:val="105"/>
        </w:rPr>
        <w:t> </w:t>
      </w:r>
      <w:r>
        <w:rPr>
          <w:color w:val="231F20"/>
          <w:w w:val="105"/>
        </w:rPr>
        <w:t>viene</w:t>
      </w:r>
      <w:r>
        <w:rPr>
          <w:color w:val="231F20"/>
          <w:spacing w:val="-13"/>
          <w:w w:val="105"/>
        </w:rPr>
        <w:t> </w:t>
      </w:r>
      <w:r>
        <w:rPr>
          <w:color w:val="231F20"/>
          <w:w w:val="105"/>
        </w:rPr>
        <w:t>de</w:t>
      </w:r>
      <w:r>
        <w:rPr>
          <w:color w:val="231F20"/>
          <w:spacing w:val="-13"/>
          <w:w w:val="105"/>
        </w:rPr>
        <w:t> </w:t>
      </w:r>
      <w:r>
        <w:rPr>
          <w:color w:val="231F20"/>
          <w:w w:val="105"/>
        </w:rPr>
        <w:t>aquellos</w:t>
      </w:r>
      <w:r>
        <w:rPr>
          <w:color w:val="231F20"/>
          <w:spacing w:val="-13"/>
          <w:w w:val="105"/>
        </w:rPr>
        <w:t> </w:t>
      </w:r>
      <w:r>
        <w:rPr>
          <w:color w:val="231F20"/>
          <w:w w:val="105"/>
        </w:rPr>
        <w:t>que</w:t>
      </w:r>
      <w:r>
        <w:rPr>
          <w:color w:val="231F20"/>
          <w:spacing w:val="-13"/>
          <w:w w:val="105"/>
        </w:rPr>
        <w:t> </w:t>
      </w:r>
      <w:r>
        <w:rPr>
          <w:color w:val="231F20"/>
          <w:w w:val="105"/>
        </w:rPr>
        <w:t>por</w:t>
      </w:r>
      <w:r>
        <w:rPr>
          <w:color w:val="231F20"/>
          <w:spacing w:val="-13"/>
          <w:w w:val="105"/>
        </w:rPr>
        <w:t> </w:t>
      </w:r>
      <w:r>
        <w:rPr>
          <w:color w:val="231F20"/>
          <w:w w:val="105"/>
        </w:rPr>
        <w:t>haber</w:t>
      </w:r>
      <w:r>
        <w:rPr>
          <w:color w:val="231F20"/>
          <w:spacing w:val="-13"/>
          <w:w w:val="105"/>
        </w:rPr>
        <w:t> </w:t>
      </w:r>
      <w:r>
        <w:rPr>
          <w:color w:val="231F20"/>
          <w:w w:val="105"/>
        </w:rPr>
        <w:t>ido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universidad</w:t>
      </w:r>
      <w:r>
        <w:rPr>
          <w:color w:val="231F20"/>
          <w:spacing w:val="-13"/>
          <w:w w:val="105"/>
        </w:rPr>
        <w:t> </w:t>
      </w:r>
      <w:r>
        <w:rPr>
          <w:color w:val="231F20"/>
          <w:w w:val="105"/>
        </w:rPr>
        <w:t>no se </w:t>
      </w:r>
      <w:r>
        <w:rPr>
          <w:color w:val="231F20"/>
          <w:spacing w:val="-2"/>
          <w:w w:val="105"/>
        </w:rPr>
        <w:t>consideran </w:t>
      </w:r>
      <w:r>
        <w:rPr>
          <w:color w:val="231F20"/>
          <w:w w:val="105"/>
        </w:rPr>
        <w:t>dignos de este tipo de migración y menos de tener como </w:t>
      </w:r>
      <w:r>
        <w:rPr>
          <w:color w:val="231F20"/>
          <w:spacing w:val="-3"/>
          <w:w w:val="105"/>
        </w:rPr>
        <w:t>compañeros </w:t>
      </w:r>
      <w:r>
        <w:rPr>
          <w:color w:val="231F20"/>
          <w:w w:val="105"/>
        </w:rPr>
        <w:t>de viaje a los albañiles, </w:t>
      </w:r>
      <w:r>
        <w:rPr>
          <w:color w:val="231F20"/>
          <w:spacing w:val="-3"/>
          <w:w w:val="105"/>
        </w:rPr>
        <w:t>obreros, agricultores. </w:t>
      </w:r>
      <w:r>
        <w:rPr>
          <w:color w:val="231F20"/>
          <w:w w:val="105"/>
        </w:rPr>
        <w:t>Sin </w:t>
      </w:r>
      <w:r>
        <w:rPr>
          <w:color w:val="231F20"/>
          <w:spacing w:val="-3"/>
          <w:w w:val="105"/>
        </w:rPr>
        <w:t>embargo, </w:t>
      </w:r>
      <w:r>
        <w:rPr>
          <w:color w:val="231F20"/>
          <w:w w:val="105"/>
        </w:rPr>
        <w:t>aunque</w:t>
      </w:r>
      <w:r>
        <w:rPr>
          <w:color w:val="231F20"/>
          <w:spacing w:val="-22"/>
          <w:w w:val="105"/>
        </w:rPr>
        <w:t> </w:t>
      </w:r>
      <w:r>
        <w:rPr>
          <w:color w:val="231F20"/>
          <w:w w:val="105"/>
        </w:rPr>
        <w:t>se</w:t>
      </w:r>
      <w:r>
        <w:rPr>
          <w:color w:val="231F20"/>
          <w:spacing w:val="-22"/>
          <w:w w:val="105"/>
        </w:rPr>
        <w:t> </w:t>
      </w:r>
      <w:r>
        <w:rPr>
          <w:color w:val="231F20"/>
          <w:spacing w:val="-3"/>
          <w:w w:val="105"/>
        </w:rPr>
        <w:t>crean</w:t>
      </w:r>
      <w:r>
        <w:rPr>
          <w:color w:val="231F20"/>
          <w:spacing w:val="-22"/>
          <w:w w:val="105"/>
        </w:rPr>
        <w:t> </w:t>
      </w:r>
      <w:r>
        <w:rPr>
          <w:color w:val="231F20"/>
          <w:spacing w:val="-3"/>
          <w:w w:val="105"/>
        </w:rPr>
        <w:t>diferentes</w:t>
      </w:r>
      <w:r>
        <w:rPr>
          <w:color w:val="231F20"/>
          <w:spacing w:val="-22"/>
          <w:w w:val="105"/>
        </w:rPr>
        <w:t> </w:t>
      </w:r>
      <w:r>
        <w:rPr>
          <w:color w:val="231F20"/>
          <w:w w:val="105"/>
        </w:rPr>
        <w:t>todos</w:t>
      </w:r>
      <w:r>
        <w:rPr>
          <w:color w:val="231F20"/>
          <w:spacing w:val="-22"/>
          <w:w w:val="105"/>
        </w:rPr>
        <w:t> </w:t>
      </w:r>
      <w:r>
        <w:rPr>
          <w:color w:val="231F20"/>
          <w:w w:val="105"/>
        </w:rPr>
        <w:t>son</w:t>
      </w:r>
      <w:r>
        <w:rPr>
          <w:color w:val="231F20"/>
          <w:spacing w:val="-22"/>
          <w:w w:val="105"/>
        </w:rPr>
        <w:t> </w:t>
      </w:r>
      <w:r>
        <w:rPr>
          <w:color w:val="231F20"/>
          <w:w w:val="105"/>
        </w:rPr>
        <w:t>iguales,</w:t>
      </w:r>
      <w:r>
        <w:rPr>
          <w:color w:val="231F20"/>
          <w:spacing w:val="-26"/>
          <w:w w:val="105"/>
        </w:rPr>
        <w:t> </w:t>
      </w:r>
      <w:r>
        <w:rPr>
          <w:color w:val="231F20"/>
          <w:w w:val="105"/>
        </w:rPr>
        <w:t>todos</w:t>
      </w:r>
      <w:r>
        <w:rPr>
          <w:color w:val="231F20"/>
          <w:spacing w:val="-22"/>
          <w:w w:val="105"/>
        </w:rPr>
        <w:t> </w:t>
      </w:r>
      <w:r>
        <w:rPr>
          <w:color w:val="231F20"/>
          <w:spacing w:val="-3"/>
          <w:w w:val="105"/>
        </w:rPr>
        <w:t>resuenan</w:t>
      </w:r>
      <w:r>
        <w:rPr>
          <w:color w:val="231F20"/>
          <w:spacing w:val="-22"/>
          <w:w w:val="105"/>
        </w:rPr>
        <w:t> </w:t>
      </w:r>
      <w:r>
        <w:rPr>
          <w:color w:val="231F20"/>
          <w:w w:val="105"/>
        </w:rPr>
        <w:t>en</w:t>
      </w:r>
      <w:r>
        <w:rPr>
          <w:color w:val="231F20"/>
          <w:spacing w:val="-22"/>
          <w:w w:val="105"/>
        </w:rPr>
        <w:t> </w:t>
      </w:r>
      <w:r>
        <w:rPr>
          <w:color w:val="231F20"/>
          <w:w w:val="105"/>
        </w:rPr>
        <w:t>sus</w:t>
      </w:r>
      <w:r>
        <w:rPr>
          <w:color w:val="231F20"/>
          <w:spacing w:val="-22"/>
          <w:w w:val="105"/>
        </w:rPr>
        <w:t> </w:t>
      </w:r>
      <w:r>
        <w:rPr>
          <w:color w:val="231F20"/>
          <w:w w:val="105"/>
        </w:rPr>
        <w:t>his- torias</w:t>
      </w:r>
      <w:r>
        <w:rPr>
          <w:color w:val="231F20"/>
          <w:spacing w:val="-29"/>
          <w:w w:val="105"/>
        </w:rPr>
        <w:t> </w:t>
      </w:r>
      <w:r>
        <w:rPr>
          <w:color w:val="231F20"/>
          <w:w w:val="105"/>
        </w:rPr>
        <w:t>y</w:t>
      </w:r>
      <w:r>
        <w:rPr>
          <w:color w:val="231F20"/>
          <w:spacing w:val="-29"/>
          <w:w w:val="105"/>
        </w:rPr>
        <w:t> </w:t>
      </w:r>
      <w:r>
        <w:rPr>
          <w:color w:val="231F20"/>
          <w:w w:val="105"/>
        </w:rPr>
        <w:t>necesidad</w:t>
      </w:r>
      <w:r>
        <w:rPr>
          <w:color w:val="231F20"/>
          <w:spacing w:val="-29"/>
          <w:w w:val="105"/>
        </w:rPr>
        <w:t> </w:t>
      </w:r>
      <w:r>
        <w:rPr>
          <w:color w:val="231F20"/>
          <w:w w:val="105"/>
        </w:rPr>
        <w:t>de</w:t>
      </w:r>
      <w:r>
        <w:rPr>
          <w:color w:val="231F20"/>
          <w:spacing w:val="-29"/>
          <w:w w:val="105"/>
        </w:rPr>
        <w:t> </w:t>
      </w:r>
      <w:r>
        <w:rPr>
          <w:color w:val="231F20"/>
          <w:w w:val="105"/>
        </w:rPr>
        <w:t>cruzar</w:t>
      </w:r>
      <w:r>
        <w:rPr>
          <w:color w:val="231F20"/>
          <w:spacing w:val="-29"/>
          <w:w w:val="105"/>
        </w:rPr>
        <w:t> </w:t>
      </w:r>
      <w:r>
        <w:rPr>
          <w:color w:val="231F20"/>
          <w:w w:val="105"/>
        </w:rPr>
        <w:t>la</w:t>
      </w:r>
      <w:r>
        <w:rPr>
          <w:color w:val="231F20"/>
          <w:spacing w:val="-29"/>
          <w:w w:val="105"/>
        </w:rPr>
        <w:t> </w:t>
      </w:r>
      <w:r>
        <w:rPr>
          <w:color w:val="231F20"/>
          <w:spacing w:val="-3"/>
          <w:w w:val="105"/>
        </w:rPr>
        <w:t>frontera,</w:t>
      </w:r>
      <w:r>
        <w:rPr>
          <w:color w:val="231F20"/>
          <w:spacing w:val="-33"/>
          <w:w w:val="105"/>
        </w:rPr>
        <w:t> </w:t>
      </w:r>
      <w:r>
        <w:rPr>
          <w:color w:val="231F20"/>
          <w:w w:val="105"/>
        </w:rPr>
        <w:t>de</w:t>
      </w:r>
      <w:r>
        <w:rPr>
          <w:color w:val="231F20"/>
          <w:spacing w:val="-29"/>
          <w:w w:val="105"/>
        </w:rPr>
        <w:t> </w:t>
      </w:r>
      <w:r>
        <w:rPr>
          <w:color w:val="231F20"/>
          <w:w w:val="105"/>
        </w:rPr>
        <w:t>estar</w:t>
      </w:r>
      <w:r>
        <w:rPr>
          <w:color w:val="231F20"/>
          <w:spacing w:val="-29"/>
          <w:w w:val="105"/>
        </w:rPr>
        <w:t> </w:t>
      </w:r>
      <w:r>
        <w:rPr>
          <w:color w:val="231F20"/>
          <w:w w:val="105"/>
        </w:rPr>
        <w:t>en</w:t>
      </w:r>
      <w:r>
        <w:rPr>
          <w:color w:val="231F20"/>
          <w:spacing w:val="-29"/>
          <w:w w:val="105"/>
        </w:rPr>
        <w:t> </w:t>
      </w:r>
      <w:r>
        <w:rPr>
          <w:color w:val="231F20"/>
          <w:w w:val="105"/>
        </w:rPr>
        <w:t>Estados</w:t>
      </w:r>
      <w:r>
        <w:rPr>
          <w:color w:val="231F20"/>
          <w:spacing w:val="-29"/>
          <w:w w:val="105"/>
        </w:rPr>
        <w:t> </w:t>
      </w:r>
      <w:r>
        <w:rPr>
          <w:color w:val="231F20"/>
          <w:w w:val="105"/>
        </w:rPr>
        <w:t>Unidos.</w:t>
      </w:r>
    </w:p>
    <w:p>
      <w:pPr>
        <w:pStyle w:val="BodyText"/>
        <w:spacing w:line="261" w:lineRule="auto" w:before="1"/>
        <w:ind w:left="1723" w:right="1834" w:firstLine="567"/>
        <w:jc w:val="both"/>
      </w:pPr>
      <w:r>
        <w:rPr>
          <w:color w:val="231F20"/>
          <w:w w:val="105"/>
        </w:rPr>
        <w:t>En</w:t>
      </w:r>
      <w:r>
        <w:rPr>
          <w:color w:val="231F20"/>
          <w:spacing w:val="-5"/>
          <w:w w:val="105"/>
        </w:rPr>
        <w:t> </w:t>
      </w:r>
      <w:r>
        <w:rPr>
          <w:color w:val="231F20"/>
          <w:w w:val="105"/>
        </w:rPr>
        <w:t>esta</w:t>
      </w:r>
      <w:r>
        <w:rPr>
          <w:color w:val="231F20"/>
          <w:spacing w:val="-5"/>
          <w:w w:val="105"/>
        </w:rPr>
        <w:t> </w:t>
      </w:r>
      <w:r>
        <w:rPr>
          <w:color w:val="231F20"/>
          <w:w w:val="105"/>
        </w:rPr>
        <w:t>etapa,</w:t>
      </w:r>
      <w:r>
        <w:rPr>
          <w:color w:val="231F20"/>
          <w:spacing w:val="-10"/>
          <w:w w:val="105"/>
        </w:rPr>
        <w:t> </w:t>
      </w:r>
      <w:r>
        <w:rPr>
          <w:color w:val="231F20"/>
          <w:w w:val="105"/>
        </w:rPr>
        <w:t>los</w:t>
      </w:r>
      <w:r>
        <w:rPr>
          <w:color w:val="231F20"/>
          <w:spacing w:val="-5"/>
          <w:w w:val="105"/>
        </w:rPr>
        <w:t> </w:t>
      </w:r>
      <w:r>
        <w:rPr>
          <w:color w:val="231F20"/>
          <w:w w:val="105"/>
        </w:rPr>
        <w:t>hombres</w:t>
      </w:r>
      <w:r>
        <w:rPr>
          <w:color w:val="231F20"/>
          <w:spacing w:val="-5"/>
          <w:w w:val="105"/>
        </w:rPr>
        <w:t> </w:t>
      </w:r>
      <w:r>
        <w:rPr>
          <w:color w:val="231F20"/>
          <w:w w:val="105"/>
        </w:rPr>
        <w:t>no</w:t>
      </w:r>
      <w:r>
        <w:rPr>
          <w:color w:val="231F20"/>
          <w:spacing w:val="-5"/>
          <w:w w:val="105"/>
        </w:rPr>
        <w:t> </w:t>
      </w:r>
      <w:r>
        <w:rPr>
          <w:color w:val="231F20"/>
          <w:w w:val="105"/>
        </w:rPr>
        <w:t>pueden</w:t>
      </w:r>
      <w:r>
        <w:rPr>
          <w:color w:val="231F20"/>
          <w:spacing w:val="-5"/>
          <w:w w:val="105"/>
        </w:rPr>
        <w:t> </w:t>
      </w:r>
      <w:r>
        <w:rPr>
          <w:color w:val="231F20"/>
          <w:w w:val="105"/>
        </w:rPr>
        <w:t>ocuparse</w:t>
      </w:r>
      <w:r>
        <w:rPr>
          <w:color w:val="231F20"/>
          <w:spacing w:val="-5"/>
          <w:w w:val="105"/>
        </w:rPr>
        <w:t> </w:t>
      </w:r>
      <w:r>
        <w:rPr>
          <w:color w:val="231F20"/>
          <w:w w:val="105"/>
        </w:rPr>
        <w:t>de</w:t>
      </w:r>
      <w:r>
        <w:rPr>
          <w:color w:val="231F20"/>
          <w:spacing w:val="-5"/>
          <w:w w:val="105"/>
        </w:rPr>
        <w:t> </w:t>
      </w:r>
      <w:r>
        <w:rPr>
          <w:color w:val="231F20"/>
          <w:w w:val="105"/>
        </w:rPr>
        <w:t>sus</w:t>
      </w:r>
      <w:r>
        <w:rPr>
          <w:color w:val="231F20"/>
          <w:spacing w:val="-5"/>
          <w:w w:val="105"/>
        </w:rPr>
        <w:t> </w:t>
      </w:r>
      <w:r>
        <w:rPr>
          <w:color w:val="231F20"/>
          <w:w w:val="105"/>
        </w:rPr>
        <w:t>procesos emocionales pues deben ocuparse de lo operativo del cruce de la fron- tera. En este sentido, las mujeres viven el duelo de la migración,</w:t>
      </w:r>
      <w:r>
        <w:rPr>
          <w:color w:val="231F20"/>
          <w:spacing w:val="-40"/>
          <w:w w:val="105"/>
        </w:rPr>
        <w:t> </w:t>
      </w:r>
      <w:r>
        <w:rPr>
          <w:color w:val="231F20"/>
          <w:w w:val="105"/>
        </w:rPr>
        <w:t>donde por</w:t>
      </w:r>
      <w:r>
        <w:rPr>
          <w:color w:val="231F20"/>
          <w:spacing w:val="-7"/>
          <w:w w:val="105"/>
        </w:rPr>
        <w:t> </w:t>
      </w:r>
      <w:r>
        <w:rPr>
          <w:color w:val="231F20"/>
          <w:w w:val="105"/>
        </w:rPr>
        <w:t>supuesto</w:t>
      </w:r>
      <w:r>
        <w:rPr>
          <w:color w:val="231F20"/>
          <w:spacing w:val="-7"/>
          <w:w w:val="105"/>
        </w:rPr>
        <w:t> </w:t>
      </w:r>
      <w:r>
        <w:rPr>
          <w:color w:val="231F20"/>
          <w:w w:val="105"/>
        </w:rPr>
        <w:t>no</w:t>
      </w:r>
      <w:r>
        <w:rPr>
          <w:color w:val="231F20"/>
          <w:spacing w:val="-7"/>
          <w:w w:val="105"/>
        </w:rPr>
        <w:t> </w:t>
      </w:r>
      <w:r>
        <w:rPr>
          <w:color w:val="231F20"/>
          <w:w w:val="105"/>
        </w:rPr>
        <w:t>la</w:t>
      </w:r>
      <w:r>
        <w:rPr>
          <w:color w:val="231F20"/>
          <w:spacing w:val="-7"/>
          <w:w w:val="105"/>
        </w:rPr>
        <w:t> </w:t>
      </w:r>
      <w:r>
        <w:rPr>
          <w:color w:val="231F20"/>
          <w:w w:val="105"/>
        </w:rPr>
        <w:t>pasan</w:t>
      </w:r>
      <w:r>
        <w:rPr>
          <w:color w:val="231F20"/>
          <w:spacing w:val="-7"/>
          <w:w w:val="105"/>
        </w:rPr>
        <w:t> </w:t>
      </w:r>
      <w:r>
        <w:rPr>
          <w:color w:val="231F20"/>
          <w:w w:val="105"/>
        </w:rPr>
        <w:t>bien</w:t>
      </w:r>
      <w:r>
        <w:rPr>
          <w:color w:val="231F20"/>
          <w:spacing w:val="-7"/>
          <w:w w:val="105"/>
        </w:rPr>
        <w:t> </w:t>
      </w:r>
      <w:r>
        <w:rPr>
          <w:color w:val="231F20"/>
          <w:w w:val="105"/>
        </w:rPr>
        <w:t>debido</w:t>
      </w:r>
      <w:r>
        <w:rPr>
          <w:color w:val="231F20"/>
          <w:spacing w:val="-7"/>
          <w:w w:val="105"/>
        </w:rPr>
        <w:t> </w:t>
      </w:r>
      <w:r>
        <w:rPr>
          <w:color w:val="231F20"/>
          <w:w w:val="105"/>
        </w:rPr>
        <w:t>a</w:t>
      </w:r>
      <w:r>
        <w:rPr>
          <w:color w:val="231F20"/>
          <w:spacing w:val="-7"/>
          <w:w w:val="105"/>
        </w:rPr>
        <w:t> </w:t>
      </w:r>
      <w:r>
        <w:rPr>
          <w:color w:val="231F20"/>
          <w:w w:val="105"/>
        </w:rPr>
        <w:t>su</w:t>
      </w:r>
      <w:r>
        <w:rPr>
          <w:color w:val="231F20"/>
          <w:spacing w:val="-7"/>
          <w:w w:val="105"/>
        </w:rPr>
        <w:t> </w:t>
      </w:r>
      <w:r>
        <w:rPr>
          <w:color w:val="231F20"/>
          <w:w w:val="105"/>
        </w:rPr>
        <w:t>condición</w:t>
      </w:r>
      <w:r>
        <w:rPr>
          <w:color w:val="231F20"/>
          <w:spacing w:val="-7"/>
          <w:w w:val="105"/>
        </w:rPr>
        <w:t> </w:t>
      </w:r>
      <w:r>
        <w:rPr>
          <w:color w:val="231F20"/>
          <w:w w:val="105"/>
        </w:rPr>
        <w:t>humana</w:t>
      </w:r>
      <w:r>
        <w:rPr>
          <w:color w:val="231F20"/>
          <w:spacing w:val="-7"/>
          <w:w w:val="105"/>
        </w:rPr>
        <w:t> </w:t>
      </w:r>
      <w:r>
        <w:rPr>
          <w:color w:val="231F20"/>
          <w:w w:val="105"/>
        </w:rPr>
        <w:t>y</w:t>
      </w:r>
      <w:r>
        <w:rPr>
          <w:color w:val="231F20"/>
          <w:spacing w:val="-7"/>
          <w:w w:val="105"/>
        </w:rPr>
        <w:t> </w:t>
      </w:r>
      <w:r>
        <w:rPr>
          <w:color w:val="231F20"/>
          <w:w w:val="105"/>
        </w:rPr>
        <w:t>a</w:t>
      </w:r>
      <w:r>
        <w:rPr>
          <w:color w:val="231F20"/>
          <w:spacing w:val="-7"/>
          <w:w w:val="105"/>
        </w:rPr>
        <w:t> </w:t>
      </w:r>
      <w:r>
        <w:rPr>
          <w:color w:val="231F20"/>
          <w:w w:val="105"/>
        </w:rPr>
        <w:t>su</w:t>
      </w:r>
      <w:r>
        <w:rPr>
          <w:color w:val="231F20"/>
          <w:spacing w:val="-7"/>
          <w:w w:val="105"/>
        </w:rPr>
        <w:t> </w:t>
      </w:r>
      <w:r>
        <w:rPr>
          <w:color w:val="231F20"/>
          <w:w w:val="105"/>
        </w:rPr>
        <w:t>pa- pel social. Es como si todo se parara y nada ocurriera hasta saber que lograron cruzar la frontera, entonces literalmente </w:t>
      </w:r>
      <w:r>
        <w:rPr>
          <w:color w:val="231F20"/>
          <w:spacing w:val="-3"/>
          <w:w w:val="105"/>
        </w:rPr>
        <w:t>“resucitan”, </w:t>
      </w:r>
      <w:r>
        <w:rPr>
          <w:color w:val="231F20"/>
          <w:w w:val="105"/>
        </w:rPr>
        <w:t>les vuelve </w:t>
      </w:r>
      <w:r>
        <w:rPr>
          <w:color w:val="231F20"/>
          <w:spacing w:val="-3"/>
          <w:w w:val="105"/>
        </w:rPr>
        <w:t>“el </w:t>
      </w:r>
      <w:r>
        <w:rPr>
          <w:color w:val="231F20"/>
          <w:w w:val="105"/>
        </w:rPr>
        <w:t>alma al</w:t>
      </w:r>
      <w:r>
        <w:rPr>
          <w:color w:val="231F20"/>
          <w:spacing w:val="-17"/>
          <w:w w:val="105"/>
        </w:rPr>
        <w:t> </w:t>
      </w:r>
      <w:r>
        <w:rPr>
          <w:color w:val="231F20"/>
          <w:spacing w:val="-4"/>
          <w:w w:val="105"/>
        </w:rPr>
        <w:t>cuerpo”.</w:t>
      </w:r>
    </w:p>
    <w:p>
      <w:pPr>
        <w:pStyle w:val="BodyText"/>
        <w:spacing w:line="261" w:lineRule="auto" w:before="1"/>
        <w:ind w:left="1723" w:right="1828" w:firstLine="567"/>
        <w:jc w:val="both"/>
      </w:pPr>
      <w:r>
        <w:rPr>
          <w:color w:val="231F20"/>
          <w:w w:val="105"/>
        </w:rPr>
        <w:t>Los</w:t>
      </w:r>
      <w:r>
        <w:rPr>
          <w:color w:val="231F20"/>
          <w:spacing w:val="-18"/>
          <w:w w:val="105"/>
        </w:rPr>
        <w:t> </w:t>
      </w:r>
      <w:r>
        <w:rPr>
          <w:color w:val="231F20"/>
          <w:w w:val="105"/>
        </w:rPr>
        <w:t>migrantes</w:t>
      </w:r>
      <w:r>
        <w:rPr>
          <w:color w:val="231F20"/>
          <w:spacing w:val="-18"/>
          <w:w w:val="105"/>
        </w:rPr>
        <w:t> </w:t>
      </w:r>
      <w:r>
        <w:rPr>
          <w:color w:val="231F20"/>
          <w:w w:val="105"/>
        </w:rPr>
        <w:t>quedan</w:t>
      </w:r>
      <w:r>
        <w:rPr>
          <w:color w:val="231F20"/>
          <w:spacing w:val="-18"/>
          <w:w w:val="105"/>
        </w:rPr>
        <w:t> </w:t>
      </w:r>
      <w:r>
        <w:rPr>
          <w:color w:val="231F20"/>
          <w:w w:val="105"/>
        </w:rPr>
        <w:t>bajo</w:t>
      </w:r>
      <w:r>
        <w:rPr>
          <w:color w:val="231F20"/>
          <w:spacing w:val="-18"/>
          <w:w w:val="105"/>
        </w:rPr>
        <w:t> </w:t>
      </w:r>
      <w:r>
        <w:rPr>
          <w:color w:val="231F20"/>
          <w:w w:val="105"/>
        </w:rPr>
        <w:t>tutela</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guías,</w:t>
      </w:r>
      <w:r>
        <w:rPr>
          <w:color w:val="231F20"/>
          <w:spacing w:val="-22"/>
          <w:w w:val="105"/>
        </w:rPr>
        <w:t> </w:t>
      </w:r>
      <w:r>
        <w:rPr>
          <w:color w:val="231F20"/>
          <w:w w:val="105"/>
        </w:rPr>
        <w:t>en</w:t>
      </w:r>
      <w:r>
        <w:rPr>
          <w:color w:val="231F20"/>
          <w:spacing w:val="-18"/>
          <w:w w:val="105"/>
        </w:rPr>
        <w:t> </w:t>
      </w:r>
      <w:r>
        <w:rPr>
          <w:color w:val="231F20"/>
          <w:w w:val="105"/>
        </w:rPr>
        <w:t>ellos</w:t>
      </w:r>
      <w:r>
        <w:rPr>
          <w:color w:val="231F20"/>
          <w:spacing w:val="-18"/>
          <w:w w:val="105"/>
        </w:rPr>
        <w:t> </w:t>
      </w:r>
      <w:r>
        <w:rPr>
          <w:color w:val="231F20"/>
          <w:w w:val="105"/>
        </w:rPr>
        <w:t>confían</w:t>
      </w:r>
      <w:r>
        <w:rPr>
          <w:color w:val="231F20"/>
          <w:spacing w:val="-18"/>
          <w:w w:val="105"/>
        </w:rPr>
        <w:t> </w:t>
      </w:r>
      <w:r>
        <w:rPr>
          <w:color w:val="231F20"/>
          <w:w w:val="105"/>
        </w:rPr>
        <w:t>sus destinos, sus vidas, lo cual es duro, pues implica discrecionalidad en</w:t>
      </w:r>
      <w:r>
        <w:rPr>
          <w:color w:val="231F20"/>
          <w:spacing w:val="-20"/>
          <w:w w:val="105"/>
        </w:rPr>
        <w:t> </w:t>
      </w:r>
      <w:r>
        <w:rPr>
          <w:color w:val="231F20"/>
          <w:w w:val="105"/>
        </w:rPr>
        <w:t>el manejo del cruce, ya que la familia no necesariamente recibe informa- ción. Es decir, este proceso puede compararse con un secuestro, pues existen tres posibles desenlaces: pasar y ser liberado en la ciudad de destino,</w:t>
      </w:r>
      <w:r>
        <w:rPr>
          <w:color w:val="231F20"/>
          <w:spacing w:val="-20"/>
          <w:w w:val="105"/>
        </w:rPr>
        <w:t> </w:t>
      </w:r>
      <w:r>
        <w:rPr>
          <w:color w:val="231F20"/>
          <w:w w:val="105"/>
        </w:rPr>
        <w:t>ser</w:t>
      </w:r>
      <w:r>
        <w:rPr>
          <w:color w:val="231F20"/>
          <w:spacing w:val="-14"/>
          <w:w w:val="105"/>
        </w:rPr>
        <w:t> </w:t>
      </w:r>
      <w:r>
        <w:rPr>
          <w:color w:val="231F20"/>
          <w:w w:val="105"/>
        </w:rPr>
        <w:t>capturados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patrulla</w:t>
      </w:r>
      <w:r>
        <w:rPr>
          <w:color w:val="231F20"/>
          <w:spacing w:val="-14"/>
          <w:w w:val="105"/>
        </w:rPr>
        <w:t> </w:t>
      </w:r>
      <w:r>
        <w:rPr>
          <w:color w:val="231F20"/>
          <w:w w:val="105"/>
        </w:rPr>
        <w:t>fronteriza</w:t>
      </w:r>
      <w:r>
        <w:rPr>
          <w:color w:val="231F20"/>
          <w:spacing w:val="-14"/>
          <w:w w:val="105"/>
        </w:rPr>
        <w:t> </w:t>
      </w:r>
      <w:r>
        <w:rPr>
          <w:color w:val="231F20"/>
          <w:w w:val="105"/>
        </w:rPr>
        <w:t>o</w:t>
      </w:r>
      <w:r>
        <w:rPr>
          <w:color w:val="231F20"/>
          <w:spacing w:val="-14"/>
          <w:w w:val="105"/>
        </w:rPr>
        <w:t> </w:t>
      </w:r>
      <w:r>
        <w:rPr>
          <w:color w:val="231F20"/>
          <w:w w:val="105"/>
        </w:rPr>
        <w:t>desistir</w:t>
      </w:r>
      <w:r>
        <w:rPr>
          <w:color w:val="231F20"/>
          <w:spacing w:val="-14"/>
          <w:w w:val="105"/>
        </w:rPr>
        <w:t> </w:t>
      </w:r>
      <w:r>
        <w:rPr>
          <w:color w:val="231F20"/>
          <w:w w:val="105"/>
        </w:rPr>
        <w:t>del</w:t>
      </w:r>
      <w:r>
        <w:rPr>
          <w:color w:val="231F20"/>
          <w:spacing w:val="-14"/>
          <w:w w:val="105"/>
        </w:rPr>
        <w:t> </w:t>
      </w:r>
      <w:r>
        <w:rPr>
          <w:color w:val="231F20"/>
          <w:w w:val="105"/>
        </w:rPr>
        <w:t>grupo</w:t>
      </w:r>
      <w:r>
        <w:rPr>
          <w:color w:val="231F20"/>
          <w:spacing w:val="-14"/>
          <w:w w:val="105"/>
        </w:rPr>
        <w:t> </w:t>
      </w:r>
      <w:r>
        <w:rPr>
          <w:color w:val="231F20"/>
          <w:w w:val="105"/>
        </w:rPr>
        <w:t>has- ta</w:t>
      </w:r>
      <w:r>
        <w:rPr>
          <w:color w:val="231F20"/>
          <w:spacing w:val="-15"/>
          <w:w w:val="105"/>
        </w:rPr>
        <w:t> </w:t>
      </w:r>
      <w:r>
        <w:rPr>
          <w:color w:val="231F20"/>
          <w:w w:val="105"/>
        </w:rPr>
        <w:t>un</w:t>
      </w:r>
      <w:r>
        <w:rPr>
          <w:color w:val="231F20"/>
          <w:spacing w:val="-15"/>
          <w:w w:val="105"/>
        </w:rPr>
        <w:t> </w:t>
      </w:r>
      <w:r>
        <w:rPr>
          <w:color w:val="231F20"/>
          <w:w w:val="105"/>
        </w:rPr>
        <w:t>nuevo</w:t>
      </w:r>
      <w:r>
        <w:rPr>
          <w:color w:val="231F20"/>
          <w:spacing w:val="-15"/>
          <w:w w:val="105"/>
        </w:rPr>
        <w:t> </w:t>
      </w:r>
      <w:r>
        <w:rPr>
          <w:color w:val="231F20"/>
          <w:w w:val="105"/>
        </w:rPr>
        <w:t>intento.</w:t>
      </w:r>
      <w:r>
        <w:rPr>
          <w:color w:val="231F20"/>
          <w:spacing w:val="-21"/>
          <w:w w:val="105"/>
        </w:rPr>
        <w:t> </w:t>
      </w:r>
      <w:r>
        <w:rPr>
          <w:color w:val="231F20"/>
          <w:w w:val="105"/>
        </w:rPr>
        <w:t>La</w:t>
      </w:r>
      <w:r>
        <w:rPr>
          <w:color w:val="231F20"/>
          <w:spacing w:val="-15"/>
          <w:w w:val="105"/>
        </w:rPr>
        <w:t> </w:t>
      </w:r>
      <w:r>
        <w:rPr>
          <w:color w:val="231F20"/>
          <w:w w:val="105"/>
        </w:rPr>
        <w:t>información</w:t>
      </w:r>
      <w:r>
        <w:rPr>
          <w:color w:val="231F20"/>
          <w:spacing w:val="-15"/>
          <w:w w:val="105"/>
        </w:rPr>
        <w:t> </w:t>
      </w:r>
      <w:r>
        <w:rPr>
          <w:color w:val="231F20"/>
          <w:w w:val="105"/>
        </w:rPr>
        <w:t>del</w:t>
      </w:r>
      <w:r>
        <w:rPr>
          <w:color w:val="231F20"/>
          <w:spacing w:val="-15"/>
          <w:w w:val="105"/>
        </w:rPr>
        <w:t> </w:t>
      </w:r>
      <w:r>
        <w:rPr>
          <w:color w:val="231F20"/>
          <w:w w:val="105"/>
        </w:rPr>
        <w:t>cruce</w:t>
      </w:r>
      <w:r>
        <w:rPr>
          <w:color w:val="231F20"/>
          <w:spacing w:val="-15"/>
          <w:w w:val="105"/>
        </w:rPr>
        <w:t> </w:t>
      </w:r>
      <w:r>
        <w:rPr>
          <w:color w:val="231F20"/>
          <w:w w:val="105"/>
        </w:rPr>
        <w:t>fluye</w:t>
      </w:r>
      <w:r>
        <w:rPr>
          <w:color w:val="231F20"/>
          <w:spacing w:val="-15"/>
          <w:w w:val="105"/>
        </w:rPr>
        <w:t> </w:t>
      </w:r>
      <w:r>
        <w:rPr>
          <w:color w:val="231F20"/>
          <w:w w:val="105"/>
        </w:rPr>
        <w:t>sólo</w:t>
      </w:r>
      <w:r>
        <w:rPr>
          <w:color w:val="231F20"/>
          <w:spacing w:val="-15"/>
          <w:w w:val="105"/>
        </w:rPr>
        <w:t> </w:t>
      </w:r>
      <w:r>
        <w:rPr>
          <w:color w:val="231F20"/>
          <w:w w:val="105"/>
        </w:rPr>
        <w:t>a</w:t>
      </w:r>
      <w:r>
        <w:rPr>
          <w:color w:val="231F20"/>
          <w:spacing w:val="-15"/>
          <w:w w:val="105"/>
        </w:rPr>
        <w:t> </w:t>
      </w:r>
      <w:r>
        <w:rPr>
          <w:color w:val="231F20"/>
          <w:w w:val="105"/>
        </w:rPr>
        <w:t>través</w:t>
      </w:r>
      <w:r>
        <w:rPr>
          <w:color w:val="231F20"/>
          <w:spacing w:val="-15"/>
          <w:w w:val="105"/>
        </w:rPr>
        <w:t> </w:t>
      </w:r>
      <w:r>
        <w:rPr>
          <w:color w:val="231F20"/>
          <w:w w:val="105"/>
        </w:rPr>
        <w:t>del</w:t>
      </w:r>
      <w:r>
        <w:rPr>
          <w:color w:val="231F20"/>
          <w:spacing w:val="-15"/>
          <w:w w:val="105"/>
        </w:rPr>
        <w:t> </w:t>
      </w:r>
      <w:r>
        <w:rPr>
          <w:color w:val="231F20"/>
          <w:w w:val="105"/>
        </w:rPr>
        <w:t>guía, mientras esto ocurre las mujeres quedan expuestas al estrés e incerti- dumbre sobre el ¿qué estará pasando?, ¿cómo le estará yendo? ¿o ya habrá</w:t>
      </w:r>
      <w:r>
        <w:rPr>
          <w:color w:val="231F20"/>
          <w:spacing w:val="-4"/>
          <w:w w:val="105"/>
        </w:rPr>
        <w:t> </w:t>
      </w:r>
      <w:r>
        <w:rPr>
          <w:color w:val="231F20"/>
          <w:w w:val="105"/>
        </w:rPr>
        <w:t>pasado?</w:t>
      </w:r>
      <w:r>
        <w:rPr>
          <w:color w:val="231F20"/>
          <w:spacing w:val="-4"/>
          <w:w w:val="105"/>
        </w:rPr>
        <w:t> </w:t>
      </w:r>
      <w:r>
        <w:rPr>
          <w:color w:val="231F20"/>
          <w:w w:val="105"/>
        </w:rPr>
        <w:t>El</w:t>
      </w:r>
      <w:r>
        <w:rPr>
          <w:color w:val="231F20"/>
          <w:spacing w:val="-4"/>
          <w:w w:val="105"/>
        </w:rPr>
        <w:t> </w:t>
      </w:r>
      <w:r>
        <w:rPr>
          <w:color w:val="231F20"/>
          <w:w w:val="105"/>
        </w:rPr>
        <w:t>miedo</w:t>
      </w:r>
      <w:r>
        <w:rPr>
          <w:color w:val="231F20"/>
          <w:spacing w:val="-4"/>
          <w:w w:val="105"/>
        </w:rPr>
        <w:t> </w:t>
      </w:r>
      <w:r>
        <w:rPr>
          <w:color w:val="231F20"/>
          <w:w w:val="105"/>
        </w:rPr>
        <w:t>de</w:t>
      </w:r>
      <w:r>
        <w:rPr>
          <w:color w:val="231F20"/>
          <w:spacing w:val="-4"/>
          <w:w w:val="105"/>
        </w:rPr>
        <w:t> </w:t>
      </w:r>
      <w:r>
        <w:rPr>
          <w:color w:val="231F20"/>
          <w:w w:val="105"/>
        </w:rPr>
        <w:t>que</w:t>
      </w:r>
      <w:r>
        <w:rPr>
          <w:color w:val="231F20"/>
          <w:spacing w:val="-4"/>
          <w:w w:val="105"/>
        </w:rPr>
        <w:t> </w:t>
      </w:r>
      <w:r>
        <w:rPr>
          <w:color w:val="231F20"/>
          <w:w w:val="105"/>
        </w:rPr>
        <w:t>les</w:t>
      </w:r>
      <w:r>
        <w:rPr>
          <w:color w:val="231F20"/>
          <w:spacing w:val="-4"/>
          <w:w w:val="105"/>
        </w:rPr>
        <w:t> </w:t>
      </w:r>
      <w:r>
        <w:rPr>
          <w:color w:val="231F20"/>
          <w:w w:val="105"/>
        </w:rPr>
        <w:t>ocurra</w:t>
      </w:r>
      <w:r>
        <w:rPr>
          <w:color w:val="231F20"/>
          <w:spacing w:val="-4"/>
          <w:w w:val="105"/>
        </w:rPr>
        <w:t> </w:t>
      </w:r>
      <w:r>
        <w:rPr>
          <w:color w:val="231F20"/>
          <w:w w:val="105"/>
        </w:rPr>
        <w:t>algo</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camino,</w:t>
      </w:r>
      <w:r>
        <w:rPr>
          <w:color w:val="231F20"/>
          <w:spacing w:val="-10"/>
          <w:w w:val="105"/>
        </w:rPr>
        <w:t> </w:t>
      </w:r>
      <w:r>
        <w:rPr>
          <w:color w:val="231F20"/>
          <w:w w:val="105"/>
        </w:rPr>
        <w:t>de</w:t>
      </w:r>
      <w:r>
        <w:rPr>
          <w:color w:val="231F20"/>
          <w:spacing w:val="-4"/>
          <w:w w:val="105"/>
        </w:rPr>
        <w:t> </w:t>
      </w:r>
      <w:r>
        <w:rPr>
          <w:color w:val="231F20"/>
          <w:w w:val="105"/>
        </w:rPr>
        <w:t>no</w:t>
      </w:r>
      <w:r>
        <w:rPr>
          <w:color w:val="231F20"/>
          <w:spacing w:val="-4"/>
          <w:w w:val="105"/>
        </w:rPr>
        <w:t> </w:t>
      </w:r>
      <w:r>
        <w:rPr>
          <w:color w:val="231F20"/>
          <w:w w:val="105"/>
        </w:rPr>
        <w:t>pa- </w:t>
      </w:r>
      <w:r>
        <w:rPr>
          <w:color w:val="231F20"/>
          <w:spacing w:val="-3"/>
          <w:w w:val="105"/>
        </w:rPr>
        <w:t>sar,</w:t>
      </w:r>
      <w:r>
        <w:rPr>
          <w:color w:val="231F20"/>
          <w:spacing w:val="-27"/>
          <w:w w:val="105"/>
        </w:rPr>
        <w:t> </w:t>
      </w:r>
      <w:r>
        <w:rPr>
          <w:color w:val="231F20"/>
          <w:w w:val="105"/>
        </w:rPr>
        <w:t>de</w:t>
      </w:r>
      <w:r>
        <w:rPr>
          <w:color w:val="231F20"/>
          <w:spacing w:val="-22"/>
          <w:w w:val="105"/>
        </w:rPr>
        <w:t> </w:t>
      </w:r>
      <w:r>
        <w:rPr>
          <w:color w:val="231F20"/>
          <w:w w:val="105"/>
        </w:rPr>
        <w:t>no</w:t>
      </w:r>
      <w:r>
        <w:rPr>
          <w:color w:val="231F20"/>
          <w:spacing w:val="-22"/>
          <w:w w:val="105"/>
        </w:rPr>
        <w:t> </w:t>
      </w:r>
      <w:r>
        <w:rPr>
          <w:color w:val="231F20"/>
          <w:w w:val="105"/>
        </w:rPr>
        <w:t>encontrar</w:t>
      </w:r>
      <w:r>
        <w:rPr>
          <w:color w:val="231F20"/>
          <w:spacing w:val="-22"/>
          <w:w w:val="105"/>
        </w:rPr>
        <w:t> </w:t>
      </w:r>
      <w:r>
        <w:rPr>
          <w:color w:val="231F20"/>
          <w:w w:val="105"/>
        </w:rPr>
        <w:t>trabajo,</w:t>
      </w:r>
      <w:r>
        <w:rPr>
          <w:color w:val="231F20"/>
          <w:spacing w:val="-27"/>
          <w:w w:val="105"/>
        </w:rPr>
        <w:t> </w:t>
      </w:r>
      <w:r>
        <w:rPr>
          <w:color w:val="231F20"/>
          <w:w w:val="105"/>
        </w:rPr>
        <w:t>de</w:t>
      </w:r>
      <w:r>
        <w:rPr>
          <w:color w:val="231F20"/>
          <w:spacing w:val="-22"/>
          <w:w w:val="105"/>
        </w:rPr>
        <w:t> </w:t>
      </w:r>
      <w:r>
        <w:rPr>
          <w:color w:val="231F20"/>
          <w:w w:val="105"/>
        </w:rPr>
        <w:t>que</w:t>
      </w:r>
      <w:r>
        <w:rPr>
          <w:color w:val="231F20"/>
          <w:spacing w:val="-22"/>
          <w:w w:val="105"/>
        </w:rPr>
        <w:t> </w:t>
      </w:r>
      <w:r>
        <w:rPr>
          <w:color w:val="231F20"/>
          <w:w w:val="105"/>
        </w:rPr>
        <w:t>los</w:t>
      </w:r>
      <w:r>
        <w:rPr>
          <w:color w:val="231F20"/>
          <w:spacing w:val="-22"/>
          <w:w w:val="105"/>
        </w:rPr>
        <w:t> </w:t>
      </w:r>
      <w:r>
        <w:rPr>
          <w:color w:val="231F20"/>
          <w:w w:val="105"/>
        </w:rPr>
        <w:t>agarren,</w:t>
      </w:r>
      <w:r>
        <w:rPr>
          <w:color w:val="231F20"/>
          <w:spacing w:val="-27"/>
          <w:w w:val="105"/>
        </w:rPr>
        <w:t> </w:t>
      </w:r>
      <w:r>
        <w:rPr>
          <w:color w:val="231F20"/>
          <w:w w:val="105"/>
        </w:rPr>
        <w:t>se</w:t>
      </w:r>
      <w:r>
        <w:rPr>
          <w:color w:val="231F20"/>
          <w:spacing w:val="-22"/>
          <w:w w:val="105"/>
        </w:rPr>
        <w:t> </w:t>
      </w:r>
      <w:r>
        <w:rPr>
          <w:color w:val="231F20"/>
          <w:w w:val="105"/>
        </w:rPr>
        <w:t>instala</w:t>
      </w:r>
      <w:r>
        <w:rPr>
          <w:color w:val="231F20"/>
          <w:spacing w:val="-22"/>
          <w:w w:val="105"/>
        </w:rPr>
        <w:t> </w:t>
      </w:r>
      <w:r>
        <w:rPr>
          <w:color w:val="231F20"/>
          <w:w w:val="105"/>
        </w:rPr>
        <w:t>como</w:t>
      </w:r>
      <w:r>
        <w:rPr>
          <w:color w:val="231F20"/>
          <w:spacing w:val="-22"/>
          <w:w w:val="105"/>
        </w:rPr>
        <w:t> </w:t>
      </w:r>
      <w:r>
        <w:rPr>
          <w:color w:val="231F20"/>
          <w:w w:val="105"/>
        </w:rPr>
        <w:t>parte</w:t>
      </w:r>
      <w:r>
        <w:rPr>
          <w:color w:val="231F20"/>
          <w:spacing w:val="-22"/>
          <w:w w:val="105"/>
        </w:rPr>
        <w:t> </w:t>
      </w:r>
      <w:r>
        <w:rPr>
          <w:color w:val="231F20"/>
          <w:w w:val="105"/>
        </w:rPr>
        <w:t>del funcionamiento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vida</w:t>
      </w:r>
      <w:r>
        <w:rPr>
          <w:color w:val="231F20"/>
          <w:spacing w:val="-19"/>
          <w:w w:val="105"/>
        </w:rPr>
        <w:t> </w:t>
      </w:r>
      <w:r>
        <w:rPr>
          <w:color w:val="231F20"/>
          <w:w w:val="105"/>
        </w:rPr>
        <w:t>en</w:t>
      </w:r>
      <w:r>
        <w:rPr>
          <w:color w:val="231F20"/>
          <w:spacing w:val="-19"/>
          <w:w w:val="105"/>
        </w:rPr>
        <w:t> </w:t>
      </w:r>
      <w:r>
        <w:rPr>
          <w:color w:val="231F20"/>
          <w:w w:val="105"/>
        </w:rPr>
        <w:t>ese</w:t>
      </w:r>
      <w:r>
        <w:rPr>
          <w:color w:val="231F20"/>
          <w:spacing w:val="-19"/>
          <w:w w:val="105"/>
        </w:rPr>
        <w:t> </w:t>
      </w:r>
      <w:r>
        <w:rPr>
          <w:color w:val="231F20"/>
          <w:w w:val="105"/>
        </w:rPr>
        <w:t>momento.</w:t>
      </w:r>
      <w:r>
        <w:rPr>
          <w:color w:val="231F20"/>
          <w:spacing w:val="-24"/>
          <w:w w:val="105"/>
        </w:rPr>
        <w:t> </w:t>
      </w:r>
      <w:r>
        <w:rPr>
          <w:color w:val="231F20"/>
          <w:w w:val="105"/>
        </w:rPr>
        <w:t>No</w:t>
      </w:r>
      <w:r>
        <w:rPr>
          <w:color w:val="231F20"/>
          <w:spacing w:val="-19"/>
          <w:w w:val="105"/>
        </w:rPr>
        <w:t> </w:t>
      </w:r>
      <w:r>
        <w:rPr>
          <w:color w:val="231F20"/>
          <w:w w:val="105"/>
        </w:rPr>
        <w:t>obstante,</w:t>
      </w:r>
      <w:r>
        <w:rPr>
          <w:color w:val="231F20"/>
          <w:spacing w:val="-24"/>
          <w:w w:val="105"/>
        </w:rPr>
        <w:t> </w:t>
      </w:r>
      <w:r>
        <w:rPr>
          <w:color w:val="231F20"/>
          <w:w w:val="105"/>
        </w:rPr>
        <w:t>también</w:t>
      </w:r>
      <w:r>
        <w:rPr>
          <w:color w:val="231F20"/>
          <w:spacing w:val="-19"/>
          <w:w w:val="105"/>
        </w:rPr>
        <w:t> </w:t>
      </w:r>
      <w:r>
        <w:rPr>
          <w:color w:val="231F20"/>
          <w:w w:val="105"/>
        </w:rPr>
        <w:t>hay</w:t>
      </w:r>
      <w:r>
        <w:rPr>
          <w:color w:val="231F20"/>
          <w:spacing w:val="-19"/>
          <w:w w:val="105"/>
        </w:rPr>
        <w:t> </w:t>
      </w:r>
      <w:r>
        <w:rPr>
          <w:color w:val="231F20"/>
          <w:w w:val="105"/>
        </w:rPr>
        <w:t>lu- gar</w:t>
      </w:r>
      <w:r>
        <w:rPr>
          <w:color w:val="231F20"/>
          <w:spacing w:val="-13"/>
          <w:w w:val="105"/>
        </w:rPr>
        <w:t> </w:t>
      </w:r>
      <w:r>
        <w:rPr>
          <w:color w:val="231F20"/>
          <w:w w:val="105"/>
        </w:rPr>
        <w:t>para</w:t>
      </w:r>
      <w:r>
        <w:rPr>
          <w:color w:val="231F20"/>
          <w:spacing w:val="-13"/>
          <w:w w:val="105"/>
        </w:rPr>
        <w:t> </w:t>
      </w:r>
      <w:r>
        <w:rPr>
          <w:color w:val="231F20"/>
          <w:w w:val="105"/>
        </w:rPr>
        <w:t>la</w:t>
      </w:r>
      <w:r>
        <w:rPr>
          <w:color w:val="231F20"/>
          <w:spacing w:val="-13"/>
          <w:w w:val="105"/>
        </w:rPr>
        <w:t> </w:t>
      </w:r>
      <w:r>
        <w:rPr>
          <w:color w:val="231F20"/>
          <w:w w:val="105"/>
        </w:rPr>
        <w:t>esperanza</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cruce</w:t>
      </w:r>
      <w:r>
        <w:rPr>
          <w:color w:val="231F20"/>
          <w:spacing w:val="-13"/>
          <w:w w:val="105"/>
        </w:rPr>
        <w:t> </w:t>
      </w:r>
      <w:r>
        <w:rPr>
          <w:color w:val="231F20"/>
          <w:w w:val="105"/>
        </w:rPr>
        <w:t>sea</w:t>
      </w:r>
      <w:r>
        <w:rPr>
          <w:color w:val="231F20"/>
          <w:spacing w:val="-13"/>
          <w:w w:val="105"/>
        </w:rPr>
        <w:t> </w:t>
      </w:r>
      <w:r>
        <w:rPr>
          <w:color w:val="231F20"/>
          <w:w w:val="105"/>
        </w:rPr>
        <w:t>bien</w:t>
      </w:r>
      <w:r>
        <w:rPr>
          <w:color w:val="231F20"/>
          <w:spacing w:val="-13"/>
          <w:w w:val="105"/>
        </w:rPr>
        <w:t> </w:t>
      </w:r>
      <w:r>
        <w:rPr>
          <w:color w:val="231F20"/>
          <w:w w:val="105"/>
        </w:rPr>
        <w:t>logrado.</w:t>
      </w:r>
      <w:r>
        <w:rPr>
          <w:color w:val="231F20"/>
          <w:spacing w:val="-18"/>
          <w:w w:val="105"/>
        </w:rPr>
        <w:t> </w:t>
      </w:r>
      <w:r>
        <w:rPr>
          <w:color w:val="231F20"/>
          <w:w w:val="105"/>
        </w:rPr>
        <w:t>Como</w:t>
      </w:r>
      <w:r>
        <w:rPr>
          <w:color w:val="231F20"/>
          <w:spacing w:val="-13"/>
          <w:w w:val="105"/>
        </w:rPr>
        <w:t> </w:t>
      </w:r>
      <w:r>
        <w:rPr>
          <w:color w:val="231F20"/>
          <w:w w:val="105"/>
        </w:rPr>
        <w:t>podemos </w:t>
      </w:r>
      <w:r>
        <w:rPr>
          <w:color w:val="231F20"/>
          <w:spacing w:val="-3"/>
          <w:w w:val="105"/>
        </w:rPr>
        <w:t>leer,</w:t>
      </w:r>
      <w:r>
        <w:rPr>
          <w:color w:val="231F20"/>
          <w:spacing w:val="-9"/>
          <w:w w:val="105"/>
        </w:rPr>
        <w:t> </w:t>
      </w:r>
      <w:r>
        <w:rPr>
          <w:color w:val="231F20"/>
          <w:w w:val="105"/>
        </w:rPr>
        <w:t>la</w:t>
      </w:r>
      <w:r>
        <w:rPr>
          <w:color w:val="231F20"/>
          <w:spacing w:val="-4"/>
          <w:w w:val="105"/>
        </w:rPr>
        <w:t> </w:t>
      </w:r>
      <w:r>
        <w:rPr>
          <w:color w:val="231F20"/>
          <w:w w:val="105"/>
        </w:rPr>
        <w:t>gestión</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emociones</w:t>
      </w:r>
      <w:r>
        <w:rPr>
          <w:color w:val="231F20"/>
          <w:spacing w:val="-4"/>
          <w:w w:val="105"/>
        </w:rPr>
        <w:t> </w:t>
      </w:r>
      <w:r>
        <w:rPr>
          <w:color w:val="231F20"/>
          <w:w w:val="105"/>
        </w:rPr>
        <w:t>es</w:t>
      </w:r>
      <w:r>
        <w:rPr>
          <w:color w:val="231F20"/>
          <w:spacing w:val="-4"/>
          <w:w w:val="105"/>
        </w:rPr>
        <w:t> </w:t>
      </w:r>
      <w:r>
        <w:rPr>
          <w:color w:val="231F20"/>
          <w:w w:val="105"/>
        </w:rPr>
        <w:t>una</w:t>
      </w:r>
      <w:r>
        <w:rPr>
          <w:color w:val="231F20"/>
          <w:spacing w:val="-4"/>
          <w:w w:val="105"/>
        </w:rPr>
        <w:t> </w:t>
      </w:r>
      <w:r>
        <w:rPr>
          <w:color w:val="231F20"/>
          <w:w w:val="105"/>
        </w:rPr>
        <w:t>constante,</w:t>
      </w:r>
      <w:r>
        <w:rPr>
          <w:color w:val="231F20"/>
          <w:spacing w:val="-9"/>
          <w:w w:val="105"/>
        </w:rPr>
        <w:t> </w:t>
      </w:r>
      <w:r>
        <w:rPr>
          <w:color w:val="231F20"/>
          <w:w w:val="105"/>
        </w:rPr>
        <w:t>hablo</w:t>
      </w:r>
      <w:r>
        <w:rPr>
          <w:color w:val="231F20"/>
          <w:spacing w:val="-4"/>
          <w:w w:val="105"/>
        </w:rPr>
        <w:t> </w:t>
      </w:r>
      <w:r>
        <w:rPr>
          <w:color w:val="231F20"/>
          <w:w w:val="105"/>
        </w:rPr>
        <w:t>de</w:t>
      </w:r>
      <w:r>
        <w:rPr>
          <w:color w:val="231F20"/>
          <w:spacing w:val="-4"/>
          <w:w w:val="105"/>
        </w:rPr>
        <w:t> </w:t>
      </w:r>
      <w:r>
        <w:rPr>
          <w:color w:val="231F20"/>
          <w:w w:val="105"/>
        </w:rPr>
        <w:t>gestión</w:t>
      </w:r>
      <w:r>
        <w:rPr>
          <w:color w:val="231F20"/>
          <w:spacing w:val="-4"/>
          <w:w w:val="105"/>
        </w:rPr>
        <w:t> </w:t>
      </w:r>
      <w:r>
        <w:rPr>
          <w:color w:val="231F20"/>
          <w:w w:val="105"/>
        </w:rPr>
        <w:t>no porque</w:t>
      </w:r>
      <w:r>
        <w:rPr>
          <w:color w:val="231F20"/>
          <w:spacing w:val="-9"/>
          <w:w w:val="105"/>
        </w:rPr>
        <w:t> </w:t>
      </w:r>
      <w:r>
        <w:rPr>
          <w:color w:val="231F20"/>
          <w:w w:val="105"/>
        </w:rPr>
        <w:t>las</w:t>
      </w:r>
      <w:r>
        <w:rPr>
          <w:color w:val="231F20"/>
          <w:spacing w:val="-9"/>
          <w:w w:val="105"/>
        </w:rPr>
        <w:t> </w:t>
      </w:r>
      <w:r>
        <w:rPr>
          <w:color w:val="231F20"/>
          <w:w w:val="105"/>
        </w:rPr>
        <w:t>personas</w:t>
      </w:r>
      <w:r>
        <w:rPr>
          <w:color w:val="231F20"/>
          <w:spacing w:val="-9"/>
          <w:w w:val="105"/>
        </w:rPr>
        <w:t> </w:t>
      </w:r>
      <w:r>
        <w:rPr>
          <w:color w:val="231F20"/>
          <w:w w:val="105"/>
        </w:rPr>
        <w:t>hagan</w:t>
      </w:r>
      <w:r>
        <w:rPr>
          <w:color w:val="231F20"/>
          <w:spacing w:val="-9"/>
          <w:w w:val="105"/>
        </w:rPr>
        <w:t> </w:t>
      </w:r>
      <w:r>
        <w:rPr>
          <w:color w:val="231F20"/>
          <w:w w:val="105"/>
        </w:rPr>
        <w:t>que</w:t>
      </w:r>
      <w:r>
        <w:rPr>
          <w:color w:val="231F20"/>
          <w:spacing w:val="-9"/>
          <w:w w:val="105"/>
        </w:rPr>
        <w:t> </w:t>
      </w:r>
      <w:r>
        <w:rPr>
          <w:color w:val="231F20"/>
          <w:w w:val="105"/>
        </w:rPr>
        <w:t>éstas</w:t>
      </w:r>
      <w:r>
        <w:rPr>
          <w:color w:val="231F20"/>
          <w:spacing w:val="-9"/>
          <w:w w:val="105"/>
        </w:rPr>
        <w:t> </w:t>
      </w:r>
      <w:r>
        <w:rPr>
          <w:color w:val="231F20"/>
          <w:w w:val="105"/>
        </w:rPr>
        <w:t>emerjan,</w:t>
      </w:r>
      <w:r>
        <w:rPr>
          <w:color w:val="231F20"/>
          <w:spacing w:val="-15"/>
          <w:w w:val="105"/>
        </w:rPr>
        <w:t> </w:t>
      </w:r>
      <w:r>
        <w:rPr>
          <w:color w:val="231F20"/>
          <w:w w:val="105"/>
        </w:rPr>
        <w:t>sino</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forma</w:t>
      </w:r>
      <w:r>
        <w:rPr>
          <w:color w:val="231F20"/>
          <w:spacing w:val="-9"/>
          <w:w w:val="105"/>
        </w:rPr>
        <w:t> </w:t>
      </w:r>
      <w:r>
        <w:rPr>
          <w:color w:val="231F20"/>
          <w:w w:val="105"/>
        </w:rPr>
        <w:t>en</w:t>
      </w:r>
      <w:r>
        <w:rPr>
          <w:color w:val="231F20"/>
          <w:spacing w:val="-9"/>
          <w:w w:val="105"/>
        </w:rPr>
        <w:t> </w:t>
      </w:r>
      <w:r>
        <w:rPr>
          <w:color w:val="231F20"/>
          <w:w w:val="105"/>
        </w:rPr>
        <w:t>que deben</w:t>
      </w:r>
      <w:r>
        <w:rPr>
          <w:color w:val="231F20"/>
          <w:spacing w:val="-27"/>
          <w:w w:val="105"/>
        </w:rPr>
        <w:t> </w:t>
      </w:r>
      <w:r>
        <w:rPr>
          <w:color w:val="231F20"/>
          <w:w w:val="105"/>
        </w:rPr>
        <w:t>ser</w:t>
      </w:r>
      <w:r>
        <w:rPr>
          <w:color w:val="231F20"/>
          <w:spacing w:val="-27"/>
          <w:w w:val="105"/>
        </w:rPr>
        <w:t> </w:t>
      </w:r>
      <w:r>
        <w:rPr>
          <w:color w:val="231F20"/>
          <w:w w:val="105"/>
        </w:rPr>
        <w:t>vividas,</w:t>
      </w:r>
      <w:r>
        <w:rPr>
          <w:color w:val="231F20"/>
          <w:spacing w:val="-31"/>
          <w:w w:val="105"/>
        </w:rPr>
        <w:t> </w:t>
      </w:r>
      <w:r>
        <w:rPr>
          <w:color w:val="231F20"/>
          <w:w w:val="105"/>
        </w:rPr>
        <w:t>incorporadas,</w:t>
      </w:r>
      <w:r>
        <w:rPr>
          <w:color w:val="231F20"/>
          <w:spacing w:val="-31"/>
          <w:w w:val="105"/>
        </w:rPr>
        <w:t> </w:t>
      </w:r>
      <w:r>
        <w:rPr>
          <w:color w:val="231F20"/>
          <w:w w:val="105"/>
        </w:rPr>
        <w:t>vistas</w:t>
      </w:r>
      <w:r>
        <w:rPr>
          <w:color w:val="231F20"/>
          <w:spacing w:val="-27"/>
          <w:w w:val="105"/>
        </w:rPr>
        <w:t> </w:t>
      </w:r>
      <w:r>
        <w:rPr>
          <w:color w:val="231F20"/>
          <w:w w:val="105"/>
        </w:rPr>
        <w:t>o</w:t>
      </w:r>
      <w:r>
        <w:rPr>
          <w:color w:val="231F20"/>
          <w:spacing w:val="-27"/>
          <w:w w:val="105"/>
        </w:rPr>
        <w:t> </w:t>
      </w:r>
      <w:r>
        <w:rPr>
          <w:color w:val="231F20"/>
          <w:w w:val="105"/>
        </w:rPr>
        <w:t>negadas.</w:t>
      </w:r>
    </w:p>
    <w:p>
      <w:pPr>
        <w:pStyle w:val="BodyText"/>
        <w:spacing w:line="261" w:lineRule="auto" w:before="1"/>
        <w:ind w:left="1723" w:right="1835" w:firstLine="567"/>
        <w:jc w:val="both"/>
      </w:pPr>
      <w:r>
        <w:rPr>
          <w:color w:val="231F20"/>
          <w:spacing w:val="-6"/>
          <w:w w:val="105"/>
        </w:rPr>
        <w:t>Por</w:t>
      </w:r>
      <w:r>
        <w:rPr>
          <w:color w:val="231F20"/>
          <w:spacing w:val="-13"/>
          <w:w w:val="105"/>
        </w:rPr>
        <w:t> </w:t>
      </w:r>
      <w:r>
        <w:rPr>
          <w:color w:val="231F20"/>
          <w:w w:val="105"/>
        </w:rPr>
        <w:t>otro</w:t>
      </w:r>
      <w:r>
        <w:rPr>
          <w:color w:val="231F20"/>
          <w:spacing w:val="-13"/>
          <w:w w:val="105"/>
        </w:rPr>
        <w:t> </w:t>
      </w:r>
      <w:r>
        <w:rPr>
          <w:color w:val="231F20"/>
          <w:w w:val="105"/>
        </w:rPr>
        <w:t>lado,</w:t>
      </w:r>
      <w:r>
        <w:rPr>
          <w:color w:val="231F20"/>
          <w:spacing w:val="-18"/>
          <w:w w:val="105"/>
        </w:rPr>
        <w:t> </w:t>
      </w:r>
      <w:r>
        <w:rPr>
          <w:color w:val="231F20"/>
          <w:w w:val="105"/>
        </w:rPr>
        <w:t>resulta</w:t>
      </w:r>
      <w:r>
        <w:rPr>
          <w:color w:val="231F20"/>
          <w:spacing w:val="-13"/>
          <w:w w:val="105"/>
        </w:rPr>
        <w:t> </w:t>
      </w:r>
      <w:r>
        <w:rPr>
          <w:color w:val="231F20"/>
          <w:w w:val="105"/>
        </w:rPr>
        <w:t>muy</w:t>
      </w:r>
      <w:r>
        <w:rPr>
          <w:color w:val="231F20"/>
          <w:spacing w:val="-13"/>
          <w:w w:val="105"/>
        </w:rPr>
        <w:t> </w:t>
      </w:r>
      <w:r>
        <w:rPr>
          <w:color w:val="231F20"/>
          <w:w w:val="105"/>
        </w:rPr>
        <w:t>importante</w:t>
      </w:r>
      <w:r>
        <w:rPr>
          <w:color w:val="231F20"/>
          <w:spacing w:val="-13"/>
          <w:w w:val="105"/>
        </w:rPr>
        <w:t> </w:t>
      </w:r>
      <w:r>
        <w:rPr>
          <w:color w:val="231F20"/>
          <w:w w:val="105"/>
        </w:rPr>
        <w:t>mencionar</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idas</w:t>
      </w:r>
      <w:r>
        <w:rPr>
          <w:color w:val="231F20"/>
          <w:spacing w:val="-13"/>
          <w:w w:val="105"/>
        </w:rPr>
        <w:t> </w:t>
      </w:r>
      <w:r>
        <w:rPr>
          <w:color w:val="231F20"/>
          <w:w w:val="105"/>
        </w:rPr>
        <w:t>a</w:t>
      </w:r>
      <w:r>
        <w:rPr>
          <w:color w:val="231F20"/>
          <w:spacing w:val="-13"/>
          <w:w w:val="105"/>
        </w:rPr>
        <w:t> </w:t>
      </w:r>
      <w:r>
        <w:rPr>
          <w:color w:val="231F20"/>
          <w:w w:val="105"/>
        </w:rPr>
        <w:t>Es- tados</w:t>
      </w:r>
      <w:r>
        <w:rPr>
          <w:color w:val="231F20"/>
          <w:spacing w:val="-14"/>
          <w:w w:val="105"/>
        </w:rPr>
        <w:t> </w:t>
      </w:r>
      <w:r>
        <w:rPr>
          <w:color w:val="231F20"/>
          <w:w w:val="105"/>
        </w:rPr>
        <w:t>Unidos</w:t>
      </w:r>
      <w:r>
        <w:rPr>
          <w:color w:val="231F20"/>
          <w:spacing w:val="-14"/>
          <w:w w:val="105"/>
        </w:rPr>
        <w:t> </w:t>
      </w:r>
      <w:r>
        <w:rPr>
          <w:color w:val="231F20"/>
          <w:w w:val="105"/>
        </w:rPr>
        <w:t>son</w:t>
      </w:r>
      <w:r>
        <w:rPr>
          <w:color w:val="231F20"/>
          <w:spacing w:val="-14"/>
          <w:w w:val="105"/>
        </w:rPr>
        <w:t> </w:t>
      </w:r>
      <w:r>
        <w:rPr>
          <w:color w:val="231F20"/>
          <w:w w:val="105"/>
        </w:rPr>
        <w:t>momentos</w:t>
      </w:r>
      <w:r>
        <w:rPr>
          <w:color w:val="231F20"/>
          <w:spacing w:val="-14"/>
          <w:w w:val="105"/>
        </w:rPr>
        <w:t> </w:t>
      </w:r>
      <w:r>
        <w:rPr>
          <w:color w:val="231F20"/>
          <w:w w:val="105"/>
        </w:rPr>
        <w:t>de</w:t>
      </w:r>
      <w:r>
        <w:rPr>
          <w:color w:val="231F20"/>
          <w:spacing w:val="-14"/>
          <w:w w:val="105"/>
        </w:rPr>
        <w:t> </w:t>
      </w:r>
      <w:r>
        <w:rPr>
          <w:color w:val="231F20"/>
          <w:w w:val="105"/>
        </w:rPr>
        <w:t>alta</w:t>
      </w:r>
      <w:r>
        <w:rPr>
          <w:color w:val="231F20"/>
          <w:spacing w:val="-14"/>
          <w:w w:val="105"/>
        </w:rPr>
        <w:t> </w:t>
      </w:r>
      <w:r>
        <w:rPr>
          <w:color w:val="231F20"/>
          <w:w w:val="105"/>
        </w:rPr>
        <w:t>tensión</w:t>
      </w:r>
      <w:r>
        <w:rPr>
          <w:color w:val="231F20"/>
          <w:spacing w:val="-14"/>
          <w:w w:val="105"/>
        </w:rPr>
        <w:t> </w:t>
      </w:r>
      <w:r>
        <w:rPr>
          <w:color w:val="231F20"/>
          <w:w w:val="105"/>
        </w:rPr>
        <w:t>o</w:t>
      </w:r>
      <w:r>
        <w:rPr>
          <w:color w:val="231F20"/>
          <w:spacing w:val="-14"/>
          <w:w w:val="105"/>
        </w:rPr>
        <w:t> </w:t>
      </w:r>
      <w:r>
        <w:rPr>
          <w:color w:val="231F20"/>
          <w:w w:val="105"/>
        </w:rPr>
        <w:t>conflictos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diferencia</w:t>
      </w:r>
    </w:p>
    <w:p>
      <w:pPr>
        <w:pStyle w:val="BodyText"/>
        <w:rPr>
          <w:sz w:val="20"/>
        </w:rPr>
      </w:pPr>
    </w:p>
    <w:p>
      <w:pPr>
        <w:pStyle w:val="BodyText"/>
        <w:rPr>
          <w:sz w:val="20"/>
        </w:rPr>
      </w:pPr>
    </w:p>
    <w:p>
      <w:pPr>
        <w:pStyle w:val="BodyText"/>
        <w:rPr>
          <w:sz w:val="26"/>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2792" from="131.551193pt,3.703715pt" to="131.551193pt,39.506114pt" stroked="true" strokeweight=".35pt" strokecolor="#231f20">
            <w10:wrap type="none"/>
          </v:line>
        </w:pict>
      </w:r>
      <w:r>
        <w:rPr/>
        <w:pict>
          <v:line style="position:absolute;mso-position-horizontal-relative:page;mso-position-vertical-relative:paragraph;z-index:-442720" from="15pt,39.505917pt" to="0pt,39.505917pt" stroked="true" strokeweight=".25pt" strokecolor="#000000">
            <w10:wrap type="none"/>
          </v:line>
        </w:pict>
      </w:r>
      <w:r>
        <w:rPr/>
        <w:pict>
          <v:line style="position:absolute;mso-position-horizontal-relative:page;mso-position-vertical-relative:paragraph;z-index:47488" from="508.890015pt,39.505917pt" to="523.890015pt,39.505917pt" stroked="true" strokeweight=".25pt" strokecolor="#000000">
            <w10:wrap type="none"/>
          </v:line>
        </w:pict>
      </w:r>
      <w:r>
        <w:rPr>
          <w:rFonts w:ascii="Arial" w:hAnsi="Arial"/>
          <w:color w:val="414042"/>
          <w:w w:val="105"/>
          <w:position w:val="-5"/>
          <w:sz w:val="20"/>
        </w:rPr>
        <w:t>410</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751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7536" from="15pt,-28.286539pt" to="0pt,-28.286539pt" stroked="true" strokeweight=".25pt" strokecolor="#000000">
            <w10:wrap type="none"/>
          </v:line>
        </w:pict>
      </w:r>
      <w:r>
        <w:rPr/>
        <w:pict>
          <v:line style="position:absolute;mso-position-horizontal-relative:page;mso-position-vertical-relative:paragraph;z-index:47560" from="508.890015pt,-28.286539pt" to="523.890015pt,-28.286539pt" stroked="true" strokeweight=".25pt" strokecolor="#000000">
            <w10:wrap type="none"/>
          </v:line>
        </w:pict>
      </w:r>
      <w:r>
        <w:rPr>
          <w:rFonts w:ascii="Arial"/>
          <w:color w:val="414042"/>
          <w:sz w:val="20"/>
        </w:rPr>
        <w:t>411</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w w:val="105"/>
        </w:rPr>
        <w:t>de</w:t>
      </w:r>
      <w:r>
        <w:rPr>
          <w:color w:val="231F20"/>
          <w:spacing w:val="-10"/>
          <w:w w:val="105"/>
        </w:rPr>
        <w:t> </w:t>
      </w:r>
      <w:r>
        <w:rPr>
          <w:color w:val="231F20"/>
          <w:w w:val="105"/>
        </w:rPr>
        <w:t>percepción</w:t>
      </w:r>
      <w:r>
        <w:rPr>
          <w:color w:val="231F20"/>
          <w:spacing w:val="-10"/>
          <w:w w:val="105"/>
        </w:rPr>
        <w:t> </w:t>
      </w:r>
      <w:r>
        <w:rPr>
          <w:color w:val="231F20"/>
          <w:w w:val="105"/>
        </w:rPr>
        <w:t>y/o</w:t>
      </w:r>
      <w:r>
        <w:rPr>
          <w:color w:val="231F20"/>
          <w:spacing w:val="-10"/>
          <w:w w:val="105"/>
        </w:rPr>
        <w:t> </w:t>
      </w:r>
      <w:r>
        <w:rPr>
          <w:color w:val="231F20"/>
          <w:w w:val="105"/>
        </w:rPr>
        <w:t>justificación</w:t>
      </w:r>
      <w:r>
        <w:rPr>
          <w:color w:val="231F20"/>
          <w:spacing w:val="-10"/>
          <w:w w:val="105"/>
        </w:rPr>
        <w:t> </w:t>
      </w:r>
      <w:r>
        <w:rPr>
          <w:color w:val="231F20"/>
          <w:w w:val="105"/>
        </w:rPr>
        <w:t>de</w:t>
      </w:r>
      <w:r>
        <w:rPr>
          <w:color w:val="231F20"/>
          <w:spacing w:val="-10"/>
          <w:w w:val="105"/>
        </w:rPr>
        <w:t> </w:t>
      </w:r>
      <w:r>
        <w:rPr>
          <w:color w:val="231F20"/>
          <w:w w:val="105"/>
        </w:rPr>
        <w:t>éstas.</w:t>
      </w:r>
      <w:r>
        <w:rPr>
          <w:color w:val="231F20"/>
          <w:spacing w:val="-15"/>
          <w:w w:val="105"/>
        </w:rPr>
        <w:t> </w:t>
      </w:r>
      <w:r>
        <w:rPr>
          <w:color w:val="231F20"/>
          <w:w w:val="105"/>
        </w:rPr>
        <w:t>Los</w:t>
      </w:r>
      <w:r>
        <w:rPr>
          <w:color w:val="231F20"/>
          <w:spacing w:val="-10"/>
          <w:w w:val="105"/>
        </w:rPr>
        <w:t> </w:t>
      </w:r>
      <w:r>
        <w:rPr>
          <w:color w:val="231F20"/>
          <w:w w:val="105"/>
        </w:rPr>
        <w:t>desacuerdos</w:t>
      </w:r>
      <w:r>
        <w:rPr>
          <w:color w:val="231F20"/>
          <w:spacing w:val="-10"/>
          <w:w w:val="105"/>
        </w:rPr>
        <w:t> </w:t>
      </w:r>
      <w:r>
        <w:rPr>
          <w:color w:val="231F20"/>
          <w:w w:val="105"/>
        </w:rPr>
        <w:t>frente</w:t>
      </w:r>
      <w:r>
        <w:rPr>
          <w:color w:val="231F20"/>
          <w:spacing w:val="-10"/>
          <w:w w:val="105"/>
        </w:rPr>
        <w:t> </w:t>
      </w:r>
      <w:r>
        <w:rPr>
          <w:color w:val="231F20"/>
          <w:w w:val="105"/>
        </w:rPr>
        <w:t>a</w:t>
      </w:r>
      <w:r>
        <w:rPr>
          <w:color w:val="231F20"/>
          <w:spacing w:val="-10"/>
          <w:w w:val="105"/>
        </w:rPr>
        <w:t> </w:t>
      </w:r>
      <w:r>
        <w:rPr>
          <w:color w:val="231F20"/>
          <w:w w:val="105"/>
        </w:rPr>
        <w:t>estas idas asoman en todos los casos. Y es que los intereses de ellos</w:t>
      </w:r>
      <w:r>
        <w:rPr>
          <w:color w:val="231F20"/>
          <w:spacing w:val="-25"/>
          <w:w w:val="105"/>
        </w:rPr>
        <w:t> </w:t>
      </w:r>
      <w:r>
        <w:rPr>
          <w:color w:val="231F20"/>
          <w:w w:val="105"/>
        </w:rPr>
        <w:t>suelen anteponerse</w:t>
      </w:r>
      <w:r>
        <w:rPr>
          <w:color w:val="231F20"/>
          <w:spacing w:val="-19"/>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w w:val="105"/>
        </w:rPr>
        <w:t>de</w:t>
      </w:r>
      <w:r>
        <w:rPr>
          <w:color w:val="231F20"/>
          <w:spacing w:val="-19"/>
          <w:w w:val="105"/>
        </w:rPr>
        <w:t> </w:t>
      </w:r>
      <w:r>
        <w:rPr>
          <w:color w:val="231F20"/>
          <w:w w:val="105"/>
        </w:rPr>
        <w:t>ellas,</w:t>
      </w:r>
      <w:r>
        <w:rPr>
          <w:color w:val="231F20"/>
          <w:spacing w:val="-24"/>
          <w:w w:val="105"/>
        </w:rPr>
        <w:t> </w:t>
      </w:r>
      <w:r>
        <w:rPr>
          <w:color w:val="231F20"/>
          <w:w w:val="105"/>
        </w:rPr>
        <w:t>mientras</w:t>
      </w:r>
      <w:r>
        <w:rPr>
          <w:color w:val="231F20"/>
          <w:spacing w:val="-19"/>
          <w:w w:val="105"/>
        </w:rPr>
        <w:t> </w:t>
      </w:r>
      <w:r>
        <w:rPr>
          <w:color w:val="231F20"/>
          <w:w w:val="105"/>
        </w:rPr>
        <w:t>las</w:t>
      </w:r>
      <w:r>
        <w:rPr>
          <w:color w:val="231F20"/>
          <w:spacing w:val="-19"/>
          <w:w w:val="105"/>
        </w:rPr>
        <w:t> </w:t>
      </w:r>
      <w:r>
        <w:rPr>
          <w:color w:val="231F20"/>
          <w:w w:val="105"/>
        </w:rPr>
        <w:t>idas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hombres</w:t>
      </w:r>
      <w:r>
        <w:rPr>
          <w:color w:val="231F20"/>
          <w:spacing w:val="-19"/>
          <w:w w:val="105"/>
        </w:rPr>
        <w:t> </w:t>
      </w:r>
      <w:r>
        <w:rPr>
          <w:color w:val="231F20"/>
          <w:w w:val="105"/>
        </w:rPr>
        <w:t>llevan</w:t>
      </w:r>
      <w:r>
        <w:rPr>
          <w:color w:val="231F20"/>
          <w:spacing w:val="-19"/>
          <w:w w:val="105"/>
        </w:rPr>
        <w:t> </w:t>
      </w:r>
      <w:r>
        <w:rPr>
          <w:color w:val="231F20"/>
          <w:w w:val="105"/>
        </w:rPr>
        <w:t>como argumento</w:t>
      </w:r>
      <w:r>
        <w:rPr>
          <w:color w:val="231F20"/>
          <w:spacing w:val="-4"/>
          <w:w w:val="105"/>
        </w:rPr>
        <w:t> </w:t>
      </w:r>
      <w:r>
        <w:rPr>
          <w:color w:val="231F20"/>
          <w:w w:val="105"/>
        </w:rPr>
        <w:t>el</w:t>
      </w:r>
      <w:r>
        <w:rPr>
          <w:color w:val="231F20"/>
          <w:spacing w:val="-4"/>
          <w:w w:val="105"/>
        </w:rPr>
        <w:t> </w:t>
      </w:r>
      <w:r>
        <w:rPr>
          <w:color w:val="231F20"/>
          <w:w w:val="105"/>
        </w:rPr>
        <w:t>bienestar</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familia,</w:t>
      </w:r>
      <w:r>
        <w:rPr>
          <w:color w:val="231F20"/>
          <w:spacing w:val="-10"/>
          <w:w w:val="105"/>
        </w:rPr>
        <w:t> </w:t>
      </w:r>
      <w:r>
        <w:rPr>
          <w:color w:val="231F20"/>
          <w:w w:val="105"/>
        </w:rPr>
        <w:t>a</w:t>
      </w:r>
      <w:r>
        <w:rPr>
          <w:color w:val="231F20"/>
          <w:spacing w:val="-4"/>
          <w:w w:val="105"/>
        </w:rPr>
        <w:t> </w:t>
      </w:r>
      <w:r>
        <w:rPr>
          <w:color w:val="231F20"/>
          <w:w w:val="105"/>
        </w:rPr>
        <w:t>través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gestión</w:t>
      </w:r>
      <w:r>
        <w:rPr>
          <w:color w:val="231F20"/>
          <w:spacing w:val="-4"/>
          <w:w w:val="105"/>
        </w:rPr>
        <w:t> </w:t>
      </w:r>
      <w:r>
        <w:rPr>
          <w:color w:val="231F20"/>
          <w:w w:val="105"/>
        </w:rPr>
        <w:t>de</w:t>
      </w:r>
      <w:r>
        <w:rPr>
          <w:color w:val="231F20"/>
          <w:spacing w:val="-4"/>
          <w:w w:val="105"/>
        </w:rPr>
        <w:t> </w:t>
      </w:r>
      <w:r>
        <w:rPr>
          <w:color w:val="231F20"/>
          <w:w w:val="105"/>
        </w:rPr>
        <w:t>lo</w:t>
      </w:r>
      <w:r>
        <w:rPr>
          <w:color w:val="231F20"/>
          <w:spacing w:val="-4"/>
          <w:w w:val="105"/>
        </w:rPr>
        <w:t> </w:t>
      </w:r>
      <w:r>
        <w:rPr>
          <w:color w:val="231F20"/>
          <w:w w:val="105"/>
        </w:rPr>
        <w:t>econó- mico, para ellas resulta más fácil gestionar lo económico en las</w:t>
      </w:r>
      <w:r>
        <w:rPr>
          <w:color w:val="231F20"/>
          <w:spacing w:val="-33"/>
          <w:w w:val="105"/>
        </w:rPr>
        <w:t> </w:t>
      </w:r>
      <w:r>
        <w:rPr>
          <w:color w:val="231F20"/>
          <w:w w:val="105"/>
        </w:rPr>
        <w:t>propias localidades,</w:t>
      </w:r>
      <w:r>
        <w:rPr>
          <w:color w:val="231F20"/>
          <w:spacing w:val="-17"/>
          <w:w w:val="105"/>
        </w:rPr>
        <w:t> </w:t>
      </w:r>
      <w:r>
        <w:rPr>
          <w:color w:val="231F20"/>
          <w:w w:val="105"/>
        </w:rPr>
        <w:t>sin</w:t>
      </w:r>
      <w:r>
        <w:rPr>
          <w:color w:val="231F20"/>
          <w:spacing w:val="-12"/>
          <w:w w:val="105"/>
        </w:rPr>
        <w:t> </w:t>
      </w:r>
      <w:r>
        <w:rPr>
          <w:color w:val="231F20"/>
          <w:w w:val="105"/>
        </w:rPr>
        <w:t>tener</w:t>
      </w:r>
      <w:r>
        <w:rPr>
          <w:color w:val="231F20"/>
          <w:spacing w:val="-12"/>
          <w:w w:val="105"/>
        </w:rPr>
        <w:t> </w:t>
      </w:r>
      <w:r>
        <w:rPr>
          <w:color w:val="231F20"/>
          <w:w w:val="105"/>
        </w:rPr>
        <w:t>que</w:t>
      </w:r>
      <w:r>
        <w:rPr>
          <w:color w:val="231F20"/>
          <w:spacing w:val="-12"/>
          <w:w w:val="105"/>
        </w:rPr>
        <w:t> </w:t>
      </w:r>
      <w:r>
        <w:rPr>
          <w:color w:val="231F20"/>
          <w:w w:val="105"/>
        </w:rPr>
        <w:t>separarse,</w:t>
      </w:r>
      <w:r>
        <w:rPr>
          <w:color w:val="231F20"/>
          <w:spacing w:val="-17"/>
          <w:w w:val="105"/>
        </w:rPr>
        <w:t> </w:t>
      </w:r>
      <w:r>
        <w:rPr>
          <w:color w:val="231F20"/>
          <w:w w:val="105"/>
        </w:rPr>
        <w:t>en</w:t>
      </w:r>
      <w:r>
        <w:rPr>
          <w:color w:val="231F20"/>
          <w:spacing w:val="-12"/>
          <w:w w:val="105"/>
        </w:rPr>
        <w:t> </w:t>
      </w:r>
      <w:r>
        <w:rPr>
          <w:color w:val="231F20"/>
          <w:w w:val="105"/>
        </w:rPr>
        <w:t>cambio,</w:t>
      </w:r>
      <w:r>
        <w:rPr>
          <w:color w:val="231F20"/>
          <w:spacing w:val="-17"/>
          <w:w w:val="105"/>
        </w:rPr>
        <w:t> </w:t>
      </w:r>
      <w:r>
        <w:rPr>
          <w:color w:val="231F20"/>
          <w:w w:val="105"/>
        </w:rPr>
        <w:t>si</w:t>
      </w:r>
      <w:r>
        <w:rPr>
          <w:color w:val="231F20"/>
          <w:spacing w:val="-12"/>
          <w:w w:val="105"/>
        </w:rPr>
        <w:t> </w:t>
      </w:r>
      <w:r>
        <w:rPr>
          <w:color w:val="231F20"/>
          <w:w w:val="105"/>
        </w:rPr>
        <w:t>ellos</w:t>
      </w:r>
      <w:r>
        <w:rPr>
          <w:color w:val="231F20"/>
          <w:spacing w:val="-12"/>
          <w:w w:val="105"/>
        </w:rPr>
        <w:t> </w:t>
      </w:r>
      <w:r>
        <w:rPr>
          <w:color w:val="231F20"/>
          <w:w w:val="105"/>
        </w:rPr>
        <w:t>se</w:t>
      </w:r>
      <w:r>
        <w:rPr>
          <w:color w:val="231F20"/>
          <w:spacing w:val="-12"/>
          <w:w w:val="105"/>
        </w:rPr>
        <w:t> </w:t>
      </w:r>
      <w:r>
        <w:rPr>
          <w:color w:val="231F20"/>
          <w:w w:val="105"/>
        </w:rPr>
        <w:t>van,</w:t>
      </w:r>
      <w:r>
        <w:rPr>
          <w:color w:val="231F20"/>
          <w:spacing w:val="-17"/>
          <w:w w:val="105"/>
        </w:rPr>
        <w:t> </w:t>
      </w:r>
      <w:r>
        <w:rPr>
          <w:color w:val="231F20"/>
          <w:w w:val="105"/>
        </w:rPr>
        <w:t>se</w:t>
      </w:r>
      <w:r>
        <w:rPr>
          <w:color w:val="231F20"/>
          <w:spacing w:val="-12"/>
          <w:w w:val="105"/>
        </w:rPr>
        <w:t> </w:t>
      </w:r>
      <w:r>
        <w:rPr>
          <w:color w:val="231F20"/>
          <w:w w:val="105"/>
        </w:rPr>
        <w:t>com- plica</w:t>
      </w:r>
      <w:r>
        <w:rPr>
          <w:color w:val="231F20"/>
          <w:spacing w:val="-17"/>
          <w:w w:val="105"/>
        </w:rPr>
        <w:t> </w:t>
      </w:r>
      <w:r>
        <w:rPr>
          <w:color w:val="231F20"/>
          <w:w w:val="105"/>
        </w:rPr>
        <w:t>la</w:t>
      </w:r>
      <w:r>
        <w:rPr>
          <w:color w:val="231F20"/>
          <w:spacing w:val="-17"/>
          <w:w w:val="105"/>
        </w:rPr>
        <w:t> </w:t>
      </w:r>
      <w:r>
        <w:rPr>
          <w:color w:val="231F20"/>
          <w:w w:val="105"/>
        </w:rPr>
        <w:t>gestión</w:t>
      </w:r>
      <w:r>
        <w:rPr>
          <w:color w:val="231F20"/>
          <w:spacing w:val="-17"/>
          <w:w w:val="105"/>
        </w:rPr>
        <w:t> </w:t>
      </w:r>
      <w:r>
        <w:rPr>
          <w:color w:val="231F20"/>
          <w:w w:val="105"/>
        </w:rPr>
        <w:t>de</w:t>
      </w:r>
      <w:r>
        <w:rPr>
          <w:color w:val="231F20"/>
          <w:spacing w:val="-17"/>
          <w:w w:val="105"/>
        </w:rPr>
        <w:t> </w:t>
      </w:r>
      <w:r>
        <w:rPr>
          <w:color w:val="231F20"/>
          <w:w w:val="105"/>
        </w:rPr>
        <w:t>lo</w:t>
      </w:r>
      <w:r>
        <w:rPr>
          <w:color w:val="231F20"/>
          <w:spacing w:val="-17"/>
          <w:w w:val="105"/>
        </w:rPr>
        <w:t> </w:t>
      </w:r>
      <w:r>
        <w:rPr>
          <w:color w:val="231F20"/>
          <w:w w:val="105"/>
        </w:rPr>
        <w:t>emocional.</w:t>
      </w:r>
      <w:r>
        <w:rPr>
          <w:color w:val="231F20"/>
          <w:spacing w:val="-23"/>
          <w:w w:val="105"/>
        </w:rPr>
        <w:t> </w:t>
      </w:r>
      <w:r>
        <w:rPr>
          <w:color w:val="231F20"/>
          <w:w w:val="105"/>
        </w:rPr>
        <w:t>Muy</w:t>
      </w:r>
      <w:r>
        <w:rPr>
          <w:color w:val="231F20"/>
          <w:spacing w:val="-17"/>
          <w:w w:val="105"/>
        </w:rPr>
        <w:t> </w:t>
      </w:r>
      <w:r>
        <w:rPr>
          <w:color w:val="231F20"/>
          <w:w w:val="105"/>
        </w:rPr>
        <w:t>a</w:t>
      </w:r>
      <w:r>
        <w:rPr>
          <w:color w:val="231F20"/>
          <w:spacing w:val="-17"/>
          <w:w w:val="105"/>
        </w:rPr>
        <w:t> </w:t>
      </w:r>
      <w:r>
        <w:rPr>
          <w:color w:val="231F20"/>
          <w:w w:val="105"/>
        </w:rPr>
        <w:t>menudo</w:t>
      </w:r>
      <w:r>
        <w:rPr>
          <w:color w:val="231F20"/>
          <w:spacing w:val="-17"/>
          <w:w w:val="105"/>
        </w:rPr>
        <w:t> </w:t>
      </w:r>
      <w:r>
        <w:rPr>
          <w:color w:val="231F20"/>
          <w:w w:val="105"/>
        </w:rPr>
        <w:t>sucede</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verdadero dilema ya no de pareja, sino de la condición humana es la inclinación de</w:t>
      </w:r>
      <w:r>
        <w:rPr>
          <w:color w:val="231F20"/>
          <w:spacing w:val="-6"/>
          <w:w w:val="105"/>
        </w:rPr>
        <w:t> </w:t>
      </w:r>
      <w:r>
        <w:rPr>
          <w:color w:val="231F20"/>
          <w:w w:val="105"/>
        </w:rPr>
        <w:t>la</w:t>
      </w:r>
      <w:r>
        <w:rPr>
          <w:color w:val="231F20"/>
          <w:spacing w:val="-6"/>
          <w:w w:val="105"/>
        </w:rPr>
        <w:t> </w:t>
      </w:r>
      <w:r>
        <w:rPr>
          <w:color w:val="231F20"/>
          <w:w w:val="105"/>
        </w:rPr>
        <w:t>balanza</w:t>
      </w:r>
      <w:r>
        <w:rPr>
          <w:color w:val="231F20"/>
          <w:spacing w:val="-6"/>
          <w:w w:val="105"/>
        </w:rPr>
        <w:t> </w:t>
      </w:r>
      <w:r>
        <w:rPr>
          <w:color w:val="231F20"/>
          <w:w w:val="105"/>
        </w:rPr>
        <w:t>en</w:t>
      </w:r>
      <w:r>
        <w:rPr>
          <w:color w:val="231F20"/>
          <w:spacing w:val="-6"/>
          <w:w w:val="105"/>
        </w:rPr>
        <w:t> </w:t>
      </w:r>
      <w:r>
        <w:rPr>
          <w:color w:val="231F20"/>
          <w:w w:val="105"/>
        </w:rPr>
        <w:t>favor</w:t>
      </w:r>
      <w:r>
        <w:rPr>
          <w:color w:val="231F20"/>
          <w:spacing w:val="-6"/>
          <w:w w:val="105"/>
        </w:rPr>
        <w:t> </w:t>
      </w:r>
      <w:r>
        <w:rPr>
          <w:color w:val="231F20"/>
          <w:w w:val="105"/>
        </w:rPr>
        <w:t>de</w:t>
      </w:r>
      <w:r>
        <w:rPr>
          <w:color w:val="231F20"/>
          <w:spacing w:val="-6"/>
          <w:w w:val="105"/>
        </w:rPr>
        <w:t> </w:t>
      </w:r>
      <w:r>
        <w:rPr>
          <w:color w:val="231F20"/>
          <w:w w:val="105"/>
        </w:rPr>
        <w:t>lo</w:t>
      </w:r>
      <w:r>
        <w:rPr>
          <w:color w:val="231F20"/>
          <w:spacing w:val="-6"/>
          <w:w w:val="105"/>
        </w:rPr>
        <w:t> </w:t>
      </w:r>
      <w:r>
        <w:rPr>
          <w:color w:val="231F20"/>
          <w:w w:val="105"/>
        </w:rPr>
        <w:t>económico</w:t>
      </w:r>
      <w:r>
        <w:rPr>
          <w:color w:val="231F20"/>
          <w:spacing w:val="-6"/>
          <w:w w:val="105"/>
        </w:rPr>
        <w:t> </w:t>
      </w:r>
      <w:r>
        <w:rPr>
          <w:color w:val="231F20"/>
          <w:w w:val="105"/>
        </w:rPr>
        <w:t>sobre</w:t>
      </w:r>
      <w:r>
        <w:rPr>
          <w:color w:val="231F20"/>
          <w:spacing w:val="-6"/>
          <w:w w:val="105"/>
        </w:rPr>
        <w:t> </w:t>
      </w:r>
      <w:r>
        <w:rPr>
          <w:color w:val="231F20"/>
          <w:w w:val="105"/>
        </w:rPr>
        <w:t>lo</w:t>
      </w:r>
      <w:r>
        <w:rPr>
          <w:color w:val="231F20"/>
          <w:spacing w:val="-6"/>
          <w:w w:val="105"/>
        </w:rPr>
        <w:t> </w:t>
      </w:r>
      <w:r>
        <w:rPr>
          <w:color w:val="231F20"/>
          <w:w w:val="105"/>
        </w:rPr>
        <w:t>emocional</w:t>
      </w:r>
      <w:r>
        <w:rPr>
          <w:color w:val="231F20"/>
          <w:spacing w:val="-6"/>
          <w:w w:val="105"/>
        </w:rPr>
        <w:t> </w:t>
      </w:r>
      <w:r>
        <w:rPr>
          <w:color w:val="231F20"/>
          <w:w w:val="105"/>
        </w:rPr>
        <w:t>y</w:t>
      </w:r>
      <w:r>
        <w:rPr>
          <w:color w:val="231F20"/>
          <w:spacing w:val="-6"/>
          <w:w w:val="105"/>
        </w:rPr>
        <w:t> </w:t>
      </w:r>
      <w:r>
        <w:rPr>
          <w:color w:val="231F20"/>
          <w:w w:val="105"/>
        </w:rPr>
        <w:t>a</w:t>
      </w:r>
      <w:r>
        <w:rPr>
          <w:color w:val="231F20"/>
          <w:spacing w:val="-6"/>
          <w:w w:val="105"/>
        </w:rPr>
        <w:t> </w:t>
      </w:r>
      <w:r>
        <w:rPr>
          <w:color w:val="231F20"/>
          <w:w w:val="105"/>
        </w:rPr>
        <w:t>larga,</w:t>
      </w:r>
      <w:r>
        <w:rPr>
          <w:color w:val="231F20"/>
          <w:spacing w:val="-12"/>
          <w:w w:val="105"/>
        </w:rPr>
        <w:t> </w:t>
      </w:r>
      <w:r>
        <w:rPr>
          <w:color w:val="231F20"/>
          <w:w w:val="105"/>
        </w:rPr>
        <w:t>no siempre</w:t>
      </w:r>
      <w:r>
        <w:rPr>
          <w:color w:val="231F20"/>
          <w:spacing w:val="-15"/>
          <w:w w:val="105"/>
        </w:rPr>
        <w:t> </w:t>
      </w:r>
      <w:r>
        <w:rPr>
          <w:color w:val="231F20"/>
          <w:w w:val="105"/>
        </w:rPr>
        <w:t>es</w:t>
      </w:r>
      <w:r>
        <w:rPr>
          <w:color w:val="231F20"/>
          <w:spacing w:val="-15"/>
          <w:w w:val="105"/>
        </w:rPr>
        <w:t> </w:t>
      </w:r>
      <w:r>
        <w:rPr>
          <w:color w:val="231F20"/>
          <w:w w:val="105"/>
        </w:rPr>
        <w:t>la</w:t>
      </w:r>
      <w:r>
        <w:rPr>
          <w:color w:val="231F20"/>
          <w:spacing w:val="-15"/>
          <w:w w:val="105"/>
        </w:rPr>
        <w:t> </w:t>
      </w:r>
      <w:r>
        <w:rPr>
          <w:color w:val="231F20"/>
          <w:w w:val="105"/>
        </w:rPr>
        <w:t>mejor</w:t>
      </w:r>
      <w:r>
        <w:rPr>
          <w:color w:val="231F20"/>
          <w:spacing w:val="-15"/>
          <w:w w:val="105"/>
        </w:rPr>
        <w:t> </w:t>
      </w:r>
      <w:r>
        <w:rPr>
          <w:color w:val="231F20"/>
          <w:w w:val="105"/>
        </w:rPr>
        <w:t>solución</w:t>
      </w:r>
      <w:r>
        <w:rPr>
          <w:color w:val="231F20"/>
          <w:spacing w:val="-15"/>
          <w:w w:val="105"/>
        </w:rPr>
        <w:t> </w:t>
      </w:r>
      <w:r>
        <w:rPr>
          <w:color w:val="231F20"/>
          <w:w w:val="105"/>
        </w:rPr>
        <w:t>pues</w:t>
      </w:r>
      <w:r>
        <w:rPr>
          <w:color w:val="231F20"/>
          <w:spacing w:val="-15"/>
          <w:w w:val="105"/>
        </w:rPr>
        <w:t> </w:t>
      </w:r>
      <w:r>
        <w:rPr>
          <w:color w:val="231F20"/>
          <w:w w:val="105"/>
        </w:rPr>
        <w:t>alguien</w:t>
      </w:r>
      <w:r>
        <w:rPr>
          <w:color w:val="231F20"/>
          <w:spacing w:val="-15"/>
          <w:w w:val="105"/>
        </w:rPr>
        <w:t> </w:t>
      </w:r>
      <w:r>
        <w:rPr>
          <w:color w:val="231F20"/>
          <w:w w:val="105"/>
        </w:rPr>
        <w:t>sale</w:t>
      </w:r>
      <w:r>
        <w:rPr>
          <w:color w:val="231F20"/>
          <w:spacing w:val="-15"/>
          <w:w w:val="105"/>
        </w:rPr>
        <w:t> </w:t>
      </w:r>
      <w:r>
        <w:rPr>
          <w:color w:val="231F20"/>
          <w:w w:val="105"/>
        </w:rPr>
        <w:t>herido.</w:t>
      </w:r>
    </w:p>
    <w:p>
      <w:pPr>
        <w:pStyle w:val="BodyText"/>
        <w:spacing w:line="261" w:lineRule="auto" w:before="1"/>
        <w:ind w:left="1837" w:right="1715" w:firstLine="567"/>
        <w:jc w:val="both"/>
      </w:pPr>
      <w:r>
        <w:rPr>
          <w:color w:val="231F20"/>
          <w:w w:val="105"/>
        </w:rPr>
        <w:t>Desde</w:t>
      </w:r>
      <w:r>
        <w:rPr>
          <w:color w:val="231F20"/>
          <w:spacing w:val="-10"/>
          <w:w w:val="105"/>
        </w:rPr>
        <w:t> </w:t>
      </w:r>
      <w:r>
        <w:rPr>
          <w:color w:val="231F20"/>
          <w:w w:val="105"/>
        </w:rPr>
        <w:t>la</w:t>
      </w:r>
      <w:r>
        <w:rPr>
          <w:color w:val="231F20"/>
          <w:spacing w:val="-10"/>
          <w:w w:val="105"/>
        </w:rPr>
        <w:t> </w:t>
      </w:r>
      <w:r>
        <w:rPr>
          <w:color w:val="231F20"/>
          <w:w w:val="105"/>
        </w:rPr>
        <w:t>óptica</w:t>
      </w:r>
      <w:r>
        <w:rPr>
          <w:color w:val="231F20"/>
          <w:spacing w:val="-10"/>
          <w:w w:val="105"/>
        </w:rPr>
        <w:t> </w:t>
      </w:r>
      <w:r>
        <w:rPr>
          <w:color w:val="231F20"/>
          <w:w w:val="105"/>
        </w:rPr>
        <w:t>de</w:t>
      </w:r>
      <w:r>
        <w:rPr>
          <w:color w:val="231F20"/>
          <w:spacing w:val="-10"/>
          <w:w w:val="105"/>
        </w:rPr>
        <w:t> </w:t>
      </w:r>
      <w:r>
        <w:rPr>
          <w:color w:val="231F20"/>
          <w:w w:val="105"/>
        </w:rPr>
        <w:t>estos</w:t>
      </w:r>
      <w:r>
        <w:rPr>
          <w:color w:val="231F20"/>
          <w:spacing w:val="-10"/>
          <w:w w:val="105"/>
        </w:rPr>
        <w:t> </w:t>
      </w:r>
      <w:r>
        <w:rPr>
          <w:color w:val="231F20"/>
          <w:w w:val="105"/>
        </w:rPr>
        <w:t>hombres:</w:t>
      </w:r>
      <w:r>
        <w:rPr>
          <w:color w:val="231F20"/>
          <w:spacing w:val="-10"/>
          <w:w w:val="105"/>
        </w:rPr>
        <w:t> </w:t>
      </w:r>
      <w:r>
        <w:rPr>
          <w:color w:val="231F20"/>
          <w:w w:val="105"/>
        </w:rPr>
        <w:t>“para</w:t>
      </w:r>
      <w:r>
        <w:rPr>
          <w:color w:val="231F20"/>
          <w:spacing w:val="-10"/>
          <w:w w:val="105"/>
        </w:rPr>
        <w:t> </w:t>
      </w:r>
      <w:r>
        <w:rPr>
          <w:color w:val="231F20"/>
          <w:w w:val="105"/>
        </w:rPr>
        <w:t>tener</w:t>
      </w:r>
      <w:r>
        <w:rPr>
          <w:color w:val="231F20"/>
          <w:spacing w:val="-10"/>
          <w:w w:val="105"/>
        </w:rPr>
        <w:t> </w:t>
      </w:r>
      <w:r>
        <w:rPr>
          <w:color w:val="231F20"/>
          <w:w w:val="105"/>
        </w:rPr>
        <w:t>algo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vida,</w:t>
      </w:r>
      <w:r>
        <w:rPr>
          <w:color w:val="231F20"/>
          <w:spacing w:val="-16"/>
          <w:w w:val="105"/>
        </w:rPr>
        <w:t> </w:t>
      </w:r>
      <w:r>
        <w:rPr>
          <w:color w:val="231F20"/>
          <w:w w:val="105"/>
        </w:rPr>
        <w:t>hay que sacrificar </w:t>
      </w:r>
      <w:r>
        <w:rPr>
          <w:color w:val="231F20"/>
          <w:spacing w:val="-5"/>
          <w:w w:val="105"/>
        </w:rPr>
        <w:t>algo”, </w:t>
      </w:r>
      <w:r>
        <w:rPr>
          <w:color w:val="231F20"/>
          <w:w w:val="105"/>
        </w:rPr>
        <w:t>es decir, el sacrificio de la vida en pareja que ellos plantean como opción es un sacrificio compartido, donde ambos</w:t>
      </w:r>
      <w:r>
        <w:rPr>
          <w:color w:val="231F20"/>
          <w:spacing w:val="-37"/>
          <w:w w:val="105"/>
        </w:rPr>
        <w:t> </w:t>
      </w:r>
      <w:r>
        <w:rPr>
          <w:color w:val="231F20"/>
          <w:w w:val="105"/>
        </w:rPr>
        <w:t>ganan o pagan las consecuencias que esto implica. Argumento que para</w:t>
      </w:r>
      <w:r>
        <w:rPr>
          <w:color w:val="231F20"/>
          <w:spacing w:val="-30"/>
          <w:w w:val="105"/>
        </w:rPr>
        <w:t> </w:t>
      </w:r>
      <w:r>
        <w:rPr>
          <w:color w:val="231F20"/>
          <w:w w:val="105"/>
        </w:rPr>
        <w:t>ellas no</w:t>
      </w:r>
      <w:r>
        <w:rPr>
          <w:color w:val="231F20"/>
          <w:spacing w:val="-4"/>
          <w:w w:val="105"/>
        </w:rPr>
        <w:t> </w:t>
      </w:r>
      <w:r>
        <w:rPr>
          <w:color w:val="231F20"/>
          <w:w w:val="105"/>
        </w:rPr>
        <w:t>encaja</w:t>
      </w:r>
      <w:r>
        <w:rPr>
          <w:color w:val="231F20"/>
          <w:spacing w:val="-4"/>
          <w:w w:val="105"/>
        </w:rPr>
        <w:t> </w:t>
      </w:r>
      <w:r>
        <w:rPr>
          <w:color w:val="231F20"/>
          <w:w w:val="105"/>
        </w:rPr>
        <w:t>en</w:t>
      </w:r>
      <w:r>
        <w:rPr>
          <w:color w:val="231F20"/>
          <w:spacing w:val="-4"/>
          <w:w w:val="105"/>
        </w:rPr>
        <w:t> </w:t>
      </w:r>
      <w:r>
        <w:rPr>
          <w:color w:val="231F20"/>
          <w:w w:val="105"/>
        </w:rPr>
        <w:t>su</w:t>
      </w:r>
      <w:r>
        <w:rPr>
          <w:color w:val="231F20"/>
          <w:spacing w:val="-4"/>
          <w:w w:val="105"/>
        </w:rPr>
        <w:t> </w:t>
      </w:r>
      <w:r>
        <w:rPr>
          <w:color w:val="231F20"/>
          <w:w w:val="105"/>
        </w:rPr>
        <w:t>forma</w:t>
      </w:r>
      <w:r>
        <w:rPr>
          <w:color w:val="231F20"/>
          <w:spacing w:val="-4"/>
          <w:w w:val="105"/>
        </w:rPr>
        <w:t> </w:t>
      </w:r>
      <w:r>
        <w:rPr>
          <w:color w:val="231F20"/>
          <w:w w:val="105"/>
        </w:rPr>
        <w:t>de</w:t>
      </w:r>
      <w:r>
        <w:rPr>
          <w:color w:val="231F20"/>
          <w:spacing w:val="-4"/>
          <w:w w:val="105"/>
        </w:rPr>
        <w:t> </w:t>
      </w:r>
      <w:r>
        <w:rPr>
          <w:color w:val="231F20"/>
          <w:w w:val="105"/>
        </w:rPr>
        <w:t>vivir</w:t>
      </w:r>
      <w:r>
        <w:rPr>
          <w:color w:val="231F20"/>
          <w:spacing w:val="-4"/>
          <w:w w:val="105"/>
        </w:rPr>
        <w:t> </w:t>
      </w:r>
      <w:r>
        <w:rPr>
          <w:color w:val="231F20"/>
          <w:w w:val="105"/>
        </w:rPr>
        <w:t>en</w:t>
      </w:r>
      <w:r>
        <w:rPr>
          <w:color w:val="231F20"/>
          <w:spacing w:val="-4"/>
          <w:w w:val="105"/>
        </w:rPr>
        <w:t> </w:t>
      </w:r>
      <w:r>
        <w:rPr>
          <w:color w:val="231F20"/>
          <w:w w:val="105"/>
        </w:rPr>
        <w:t>pareja</w:t>
      </w:r>
      <w:r>
        <w:rPr>
          <w:color w:val="231F20"/>
          <w:spacing w:val="-4"/>
          <w:w w:val="105"/>
        </w:rPr>
        <w:t> </w:t>
      </w:r>
      <w:r>
        <w:rPr>
          <w:color w:val="231F20"/>
          <w:w w:val="105"/>
        </w:rPr>
        <w:t>ni</w:t>
      </w:r>
      <w:r>
        <w:rPr>
          <w:color w:val="231F20"/>
          <w:spacing w:val="-4"/>
          <w:w w:val="105"/>
        </w:rPr>
        <w:t> </w:t>
      </w:r>
      <w:r>
        <w:rPr>
          <w:color w:val="231F20"/>
          <w:w w:val="105"/>
        </w:rPr>
        <w:t>en</w:t>
      </w:r>
      <w:r>
        <w:rPr>
          <w:color w:val="231F20"/>
          <w:spacing w:val="-4"/>
          <w:w w:val="105"/>
        </w:rPr>
        <w:t> </w:t>
      </w:r>
      <w:r>
        <w:rPr>
          <w:color w:val="231F20"/>
          <w:w w:val="105"/>
        </w:rPr>
        <w:t>su</w:t>
      </w:r>
      <w:r>
        <w:rPr>
          <w:color w:val="231F20"/>
          <w:spacing w:val="-4"/>
          <w:w w:val="105"/>
        </w:rPr>
        <w:t> </w:t>
      </w:r>
      <w:r>
        <w:rPr>
          <w:color w:val="231F20"/>
          <w:w w:val="105"/>
        </w:rPr>
        <w:t>forma</w:t>
      </w:r>
      <w:r>
        <w:rPr>
          <w:color w:val="231F20"/>
          <w:spacing w:val="-4"/>
          <w:w w:val="105"/>
        </w:rPr>
        <w:t> </w:t>
      </w:r>
      <w:r>
        <w:rPr>
          <w:color w:val="231F20"/>
          <w:w w:val="105"/>
        </w:rPr>
        <w:t>de</w:t>
      </w:r>
      <w:r>
        <w:rPr>
          <w:color w:val="231F20"/>
          <w:spacing w:val="-4"/>
          <w:w w:val="105"/>
        </w:rPr>
        <w:t> </w:t>
      </w:r>
      <w:r>
        <w:rPr>
          <w:color w:val="231F20"/>
          <w:w w:val="105"/>
        </w:rPr>
        <w:t>solucionar</w:t>
      </w:r>
      <w:r>
        <w:rPr>
          <w:color w:val="231F20"/>
          <w:spacing w:val="-4"/>
          <w:w w:val="105"/>
        </w:rPr>
        <w:t> </w:t>
      </w:r>
      <w:r>
        <w:rPr>
          <w:color w:val="231F20"/>
          <w:w w:val="105"/>
        </w:rPr>
        <w:t>el problema económico.</w:t>
      </w:r>
      <w:r>
        <w:rPr>
          <w:color w:val="231F20"/>
          <w:spacing w:val="-41"/>
          <w:w w:val="105"/>
        </w:rPr>
        <w:t> </w:t>
      </w:r>
      <w:r>
        <w:rPr>
          <w:color w:val="231F20"/>
          <w:w w:val="105"/>
        </w:rPr>
        <w:t>En el modelo de ellas lo primero es lo emocional, estar en equilibrio,</w:t>
      </w:r>
      <w:r>
        <w:rPr>
          <w:color w:val="231F20"/>
          <w:spacing w:val="-41"/>
          <w:w w:val="105"/>
        </w:rPr>
        <w:t> </w:t>
      </w:r>
      <w:r>
        <w:rPr>
          <w:color w:val="231F20"/>
          <w:w w:val="105"/>
        </w:rPr>
        <w:t>poniendo a lo económico como algo de fácil acceso. </w:t>
      </w:r>
      <w:r>
        <w:rPr>
          <w:color w:val="231F20"/>
          <w:spacing w:val="-6"/>
          <w:w w:val="105"/>
        </w:rPr>
        <w:t>Por </w:t>
      </w:r>
      <w:r>
        <w:rPr>
          <w:color w:val="231F20"/>
          <w:w w:val="105"/>
        </w:rPr>
        <w:t>ello, mientras menos emigren más felices pueden ser: </w:t>
      </w:r>
      <w:r>
        <w:rPr>
          <w:color w:val="231F20"/>
          <w:spacing w:val="-3"/>
          <w:w w:val="105"/>
        </w:rPr>
        <w:t>“el </w:t>
      </w:r>
      <w:r>
        <w:rPr>
          <w:color w:val="231F20"/>
          <w:w w:val="105"/>
        </w:rPr>
        <w:t>dinero no es</w:t>
      </w:r>
      <w:r>
        <w:rPr>
          <w:color w:val="231F20"/>
          <w:spacing w:val="-7"/>
          <w:w w:val="105"/>
        </w:rPr>
        <w:t> </w:t>
      </w:r>
      <w:r>
        <w:rPr>
          <w:color w:val="231F20"/>
          <w:w w:val="105"/>
        </w:rPr>
        <w:t>la</w:t>
      </w:r>
      <w:r>
        <w:rPr>
          <w:color w:val="231F20"/>
          <w:spacing w:val="-7"/>
          <w:w w:val="105"/>
        </w:rPr>
        <w:t> </w:t>
      </w:r>
      <w:r>
        <w:rPr>
          <w:color w:val="231F20"/>
          <w:w w:val="105"/>
        </w:rPr>
        <w:t>felicidad”</w:t>
      </w:r>
      <w:r>
        <w:rPr>
          <w:color w:val="231F20"/>
          <w:spacing w:val="-7"/>
          <w:w w:val="105"/>
        </w:rPr>
        <w:t> </w:t>
      </w:r>
      <w:r>
        <w:rPr>
          <w:color w:val="231F20"/>
          <w:w w:val="105"/>
        </w:rPr>
        <w:t>sostienen</w:t>
      </w:r>
      <w:r>
        <w:rPr>
          <w:color w:val="231F20"/>
          <w:spacing w:val="-7"/>
          <w:w w:val="105"/>
        </w:rPr>
        <w:t> </w:t>
      </w:r>
      <w:r>
        <w:rPr>
          <w:color w:val="231F20"/>
          <w:w w:val="105"/>
        </w:rPr>
        <w:t>ellas.</w:t>
      </w:r>
      <w:r>
        <w:rPr>
          <w:color w:val="231F20"/>
          <w:spacing w:val="-16"/>
          <w:w w:val="105"/>
        </w:rPr>
        <w:t> </w:t>
      </w:r>
      <w:r>
        <w:rPr>
          <w:color w:val="231F20"/>
          <w:w w:val="105"/>
        </w:rPr>
        <w:t>A</w:t>
      </w:r>
      <w:r>
        <w:rPr>
          <w:color w:val="231F20"/>
          <w:spacing w:val="-11"/>
          <w:w w:val="105"/>
        </w:rPr>
        <w:t> </w:t>
      </w:r>
      <w:r>
        <w:rPr>
          <w:color w:val="231F20"/>
          <w:w w:val="105"/>
        </w:rPr>
        <w:t>los</w:t>
      </w:r>
      <w:r>
        <w:rPr>
          <w:color w:val="231F20"/>
          <w:spacing w:val="-7"/>
          <w:w w:val="105"/>
        </w:rPr>
        <w:t> </w:t>
      </w:r>
      <w:r>
        <w:rPr>
          <w:color w:val="231F20"/>
          <w:w w:val="105"/>
        </w:rPr>
        <w:t>hombres</w:t>
      </w:r>
      <w:r>
        <w:rPr>
          <w:color w:val="231F20"/>
          <w:spacing w:val="-7"/>
          <w:w w:val="105"/>
        </w:rPr>
        <w:t> </w:t>
      </w:r>
      <w:r>
        <w:rPr>
          <w:color w:val="231F20"/>
          <w:w w:val="105"/>
        </w:rPr>
        <w:t>les</w:t>
      </w:r>
      <w:r>
        <w:rPr>
          <w:color w:val="231F20"/>
          <w:spacing w:val="-7"/>
          <w:w w:val="105"/>
        </w:rPr>
        <w:t> </w:t>
      </w:r>
      <w:r>
        <w:rPr>
          <w:color w:val="231F20"/>
          <w:w w:val="105"/>
        </w:rPr>
        <w:t>convence</w:t>
      </w:r>
      <w:r>
        <w:rPr>
          <w:color w:val="231F20"/>
          <w:spacing w:val="-7"/>
          <w:w w:val="105"/>
        </w:rPr>
        <w:t> </w:t>
      </w:r>
      <w:r>
        <w:rPr>
          <w:color w:val="231F20"/>
          <w:w w:val="105"/>
        </w:rPr>
        <w:t>lo</w:t>
      </w:r>
      <w:r>
        <w:rPr>
          <w:color w:val="231F20"/>
          <w:spacing w:val="-7"/>
          <w:w w:val="105"/>
        </w:rPr>
        <w:t> </w:t>
      </w:r>
      <w:r>
        <w:rPr>
          <w:color w:val="231F20"/>
          <w:w w:val="105"/>
        </w:rPr>
        <w:t>contrario, para</w:t>
      </w:r>
      <w:r>
        <w:rPr>
          <w:color w:val="231F20"/>
          <w:spacing w:val="-19"/>
          <w:w w:val="105"/>
        </w:rPr>
        <w:t> </w:t>
      </w:r>
      <w:r>
        <w:rPr>
          <w:color w:val="231F20"/>
          <w:w w:val="105"/>
        </w:rPr>
        <w:t>ellos</w:t>
      </w:r>
      <w:r>
        <w:rPr>
          <w:color w:val="231F20"/>
          <w:spacing w:val="-19"/>
          <w:w w:val="105"/>
        </w:rPr>
        <w:t> </w:t>
      </w:r>
      <w:r>
        <w:rPr>
          <w:color w:val="231F20"/>
          <w:w w:val="105"/>
        </w:rPr>
        <w:t>esto</w:t>
      </w:r>
      <w:r>
        <w:rPr>
          <w:color w:val="231F20"/>
          <w:spacing w:val="-19"/>
          <w:w w:val="105"/>
        </w:rPr>
        <w:t> </w:t>
      </w:r>
      <w:r>
        <w:rPr>
          <w:color w:val="231F20"/>
          <w:w w:val="105"/>
        </w:rPr>
        <w:t>es</w:t>
      </w:r>
      <w:r>
        <w:rPr>
          <w:color w:val="231F20"/>
          <w:spacing w:val="-19"/>
          <w:w w:val="105"/>
        </w:rPr>
        <w:t> </w:t>
      </w:r>
      <w:r>
        <w:rPr>
          <w:color w:val="231F20"/>
          <w:w w:val="105"/>
        </w:rPr>
        <w:t>parte</w:t>
      </w:r>
      <w:r>
        <w:rPr>
          <w:color w:val="231F20"/>
          <w:spacing w:val="-19"/>
          <w:w w:val="105"/>
        </w:rPr>
        <w:t> </w:t>
      </w:r>
      <w:r>
        <w:rPr>
          <w:color w:val="231F20"/>
          <w:w w:val="105"/>
        </w:rPr>
        <w:t>del</w:t>
      </w:r>
      <w:r>
        <w:rPr>
          <w:color w:val="231F20"/>
          <w:spacing w:val="-19"/>
          <w:w w:val="105"/>
        </w:rPr>
        <w:t> </w:t>
      </w:r>
      <w:r>
        <w:rPr>
          <w:color w:val="231F20"/>
          <w:w w:val="105"/>
        </w:rPr>
        <w:t>funcionamiento</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parejas</w:t>
      </w:r>
      <w:r>
        <w:rPr>
          <w:color w:val="231F20"/>
          <w:spacing w:val="-19"/>
          <w:w w:val="105"/>
        </w:rPr>
        <w:t> </w:t>
      </w:r>
      <w:r>
        <w:rPr>
          <w:color w:val="231F20"/>
          <w:w w:val="105"/>
        </w:rPr>
        <w:t>en</w:t>
      </w:r>
      <w:r>
        <w:rPr>
          <w:color w:val="231F20"/>
          <w:spacing w:val="-19"/>
          <w:w w:val="105"/>
        </w:rPr>
        <w:t> </w:t>
      </w:r>
      <w:r>
        <w:rPr>
          <w:color w:val="231F20"/>
          <w:w w:val="105"/>
        </w:rPr>
        <w:t>un</w:t>
      </w:r>
      <w:r>
        <w:rPr>
          <w:color w:val="231F20"/>
          <w:spacing w:val="-19"/>
          <w:w w:val="105"/>
        </w:rPr>
        <w:t> </w:t>
      </w:r>
      <w:r>
        <w:rPr>
          <w:color w:val="231F20"/>
          <w:w w:val="105"/>
        </w:rPr>
        <w:t>contexto con larga historia</w:t>
      </w:r>
      <w:r>
        <w:rPr>
          <w:color w:val="231F20"/>
          <w:spacing w:val="-43"/>
          <w:w w:val="105"/>
        </w:rPr>
        <w:t> </w:t>
      </w:r>
      <w:r>
        <w:rPr>
          <w:color w:val="231F20"/>
          <w:w w:val="105"/>
        </w:rPr>
        <w:t>migratoria.</w:t>
      </w:r>
    </w:p>
    <w:p>
      <w:pPr>
        <w:pStyle w:val="BodyText"/>
        <w:spacing w:line="261" w:lineRule="auto" w:before="1"/>
        <w:ind w:left="1837" w:right="1714" w:firstLine="567"/>
        <w:jc w:val="both"/>
      </w:pPr>
      <w:r>
        <w:rPr>
          <w:color w:val="231F20"/>
          <w:w w:val="105"/>
        </w:rPr>
        <w:t>Lo</w:t>
      </w:r>
      <w:r>
        <w:rPr>
          <w:color w:val="231F20"/>
          <w:spacing w:val="-7"/>
          <w:w w:val="105"/>
        </w:rPr>
        <w:t> </w:t>
      </w:r>
      <w:r>
        <w:rPr>
          <w:color w:val="231F20"/>
          <w:w w:val="105"/>
        </w:rPr>
        <w:t>deseable</w:t>
      </w:r>
      <w:r>
        <w:rPr>
          <w:color w:val="231F20"/>
          <w:spacing w:val="-7"/>
          <w:w w:val="105"/>
        </w:rPr>
        <w:t> </w:t>
      </w:r>
      <w:r>
        <w:rPr>
          <w:color w:val="231F20"/>
          <w:w w:val="105"/>
        </w:rPr>
        <w:t>para</w:t>
      </w:r>
      <w:r>
        <w:rPr>
          <w:color w:val="231F20"/>
          <w:spacing w:val="-7"/>
          <w:w w:val="105"/>
        </w:rPr>
        <w:t> </w:t>
      </w:r>
      <w:r>
        <w:rPr>
          <w:color w:val="231F20"/>
          <w:w w:val="105"/>
        </w:rPr>
        <w:t>todas</w:t>
      </w:r>
      <w:r>
        <w:rPr>
          <w:color w:val="231F20"/>
          <w:spacing w:val="-7"/>
          <w:w w:val="105"/>
        </w:rPr>
        <w:t> </w:t>
      </w:r>
      <w:r>
        <w:rPr>
          <w:color w:val="231F20"/>
          <w:w w:val="105"/>
        </w:rPr>
        <w:t>las</w:t>
      </w:r>
      <w:r>
        <w:rPr>
          <w:color w:val="231F20"/>
          <w:spacing w:val="-7"/>
          <w:w w:val="105"/>
        </w:rPr>
        <w:t> </w:t>
      </w:r>
      <w:r>
        <w:rPr>
          <w:color w:val="231F20"/>
          <w:w w:val="105"/>
        </w:rPr>
        <w:t>mujeres</w:t>
      </w:r>
      <w:r>
        <w:rPr>
          <w:color w:val="231F20"/>
          <w:spacing w:val="-7"/>
          <w:w w:val="105"/>
        </w:rPr>
        <w:t> </w:t>
      </w:r>
      <w:r>
        <w:rPr>
          <w:color w:val="231F20"/>
          <w:w w:val="105"/>
        </w:rPr>
        <w:t>es</w:t>
      </w:r>
      <w:r>
        <w:rPr>
          <w:color w:val="231F20"/>
          <w:spacing w:val="-7"/>
          <w:w w:val="105"/>
        </w:rPr>
        <w:t> </w:t>
      </w:r>
      <w:r>
        <w:rPr>
          <w:color w:val="231F20"/>
          <w:w w:val="105"/>
        </w:rPr>
        <w:t>que</w:t>
      </w:r>
      <w:r>
        <w:rPr>
          <w:color w:val="231F20"/>
          <w:spacing w:val="-7"/>
          <w:w w:val="105"/>
        </w:rPr>
        <w:t> </w:t>
      </w:r>
      <w:r>
        <w:rPr>
          <w:color w:val="231F20"/>
          <w:w w:val="105"/>
        </w:rPr>
        <w:t>los</w:t>
      </w:r>
      <w:r>
        <w:rPr>
          <w:color w:val="231F20"/>
          <w:spacing w:val="-7"/>
          <w:w w:val="105"/>
        </w:rPr>
        <w:t> </w:t>
      </w:r>
      <w:r>
        <w:rPr>
          <w:color w:val="231F20"/>
          <w:w w:val="105"/>
        </w:rPr>
        <w:t>hombres</w:t>
      </w:r>
      <w:r>
        <w:rPr>
          <w:color w:val="231F20"/>
          <w:spacing w:val="-7"/>
          <w:w w:val="105"/>
        </w:rPr>
        <w:t> </w:t>
      </w:r>
      <w:r>
        <w:rPr>
          <w:color w:val="231F20"/>
          <w:w w:val="105"/>
        </w:rPr>
        <w:t>no</w:t>
      </w:r>
      <w:r>
        <w:rPr>
          <w:color w:val="231F20"/>
          <w:spacing w:val="-7"/>
          <w:w w:val="105"/>
        </w:rPr>
        <w:t> </w:t>
      </w:r>
      <w:r>
        <w:rPr>
          <w:color w:val="231F20"/>
          <w:w w:val="105"/>
        </w:rPr>
        <w:t>se</w:t>
      </w:r>
      <w:r>
        <w:rPr>
          <w:color w:val="231F20"/>
          <w:spacing w:val="-7"/>
          <w:w w:val="105"/>
        </w:rPr>
        <w:t> </w:t>
      </w:r>
      <w:r>
        <w:rPr>
          <w:color w:val="231F20"/>
          <w:w w:val="105"/>
        </w:rPr>
        <w:t>va- yan, que se revalorice el ideal de “coincidir bajo el mismo techo y en </w:t>
      </w:r>
      <w:r>
        <w:rPr>
          <w:color w:val="231F20"/>
          <w:spacing w:val="-4"/>
          <w:w w:val="105"/>
        </w:rPr>
        <w:t>familia”,</w:t>
      </w:r>
      <w:r>
        <w:rPr>
          <w:color w:val="231F20"/>
          <w:spacing w:val="-17"/>
          <w:w w:val="105"/>
        </w:rPr>
        <w:t> </w:t>
      </w:r>
      <w:r>
        <w:rPr>
          <w:color w:val="231F20"/>
          <w:w w:val="105"/>
        </w:rPr>
        <w:t>es</w:t>
      </w:r>
      <w:r>
        <w:rPr>
          <w:color w:val="231F20"/>
          <w:spacing w:val="-11"/>
          <w:w w:val="105"/>
        </w:rPr>
        <w:t> </w:t>
      </w:r>
      <w:r>
        <w:rPr>
          <w:color w:val="231F20"/>
          <w:w w:val="105"/>
        </w:rPr>
        <w:t>decir</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w w:val="105"/>
        </w:rPr>
        <w:t>hombres</w:t>
      </w:r>
      <w:r>
        <w:rPr>
          <w:color w:val="231F20"/>
          <w:spacing w:val="-11"/>
          <w:w w:val="105"/>
        </w:rPr>
        <w:t> </w:t>
      </w:r>
      <w:r>
        <w:rPr>
          <w:color w:val="231F20"/>
          <w:w w:val="105"/>
        </w:rPr>
        <w:t>regresen</w:t>
      </w:r>
      <w:r>
        <w:rPr>
          <w:color w:val="231F20"/>
          <w:spacing w:val="-11"/>
          <w:w w:val="105"/>
        </w:rPr>
        <w:t> </w:t>
      </w:r>
      <w:r>
        <w:rPr>
          <w:color w:val="231F20"/>
          <w:w w:val="105"/>
        </w:rPr>
        <w:t>al</w:t>
      </w:r>
      <w:r>
        <w:rPr>
          <w:color w:val="231F20"/>
          <w:spacing w:val="-11"/>
          <w:w w:val="105"/>
        </w:rPr>
        <w:t> </w:t>
      </w:r>
      <w:r>
        <w:rPr>
          <w:color w:val="231F20"/>
          <w:w w:val="105"/>
        </w:rPr>
        <w:t>rol</w:t>
      </w:r>
      <w:r>
        <w:rPr>
          <w:color w:val="231F20"/>
          <w:spacing w:val="-11"/>
          <w:w w:val="105"/>
        </w:rPr>
        <w:t> </w:t>
      </w:r>
      <w:r>
        <w:rPr>
          <w:color w:val="231F20"/>
          <w:w w:val="105"/>
        </w:rPr>
        <w:t>tradicional</w:t>
      </w:r>
      <w:r>
        <w:rPr>
          <w:color w:val="231F20"/>
          <w:spacing w:val="-11"/>
          <w:w w:val="105"/>
        </w:rPr>
        <w:t> </w:t>
      </w:r>
      <w:r>
        <w:rPr>
          <w:color w:val="231F20"/>
          <w:w w:val="105"/>
        </w:rPr>
        <w:t>donde</w:t>
      </w:r>
      <w:r>
        <w:rPr>
          <w:color w:val="231F20"/>
          <w:spacing w:val="-11"/>
          <w:w w:val="105"/>
        </w:rPr>
        <w:t> </w:t>
      </w:r>
      <w:r>
        <w:rPr>
          <w:color w:val="231F20"/>
          <w:w w:val="105"/>
        </w:rPr>
        <w:t>ellos, a</w:t>
      </w:r>
      <w:r>
        <w:rPr>
          <w:color w:val="231F20"/>
          <w:spacing w:val="-8"/>
          <w:w w:val="105"/>
        </w:rPr>
        <w:t> </w:t>
      </w:r>
      <w:r>
        <w:rPr>
          <w:color w:val="231F20"/>
          <w:w w:val="105"/>
        </w:rPr>
        <w:t>base</w:t>
      </w:r>
      <w:r>
        <w:rPr>
          <w:color w:val="231F20"/>
          <w:spacing w:val="-8"/>
          <w:w w:val="105"/>
        </w:rPr>
        <w:t> </w:t>
      </w:r>
      <w:r>
        <w:rPr>
          <w:color w:val="231F20"/>
          <w:w w:val="105"/>
        </w:rPr>
        <w:t>de</w:t>
      </w:r>
      <w:r>
        <w:rPr>
          <w:color w:val="231F20"/>
          <w:spacing w:val="-8"/>
          <w:w w:val="105"/>
        </w:rPr>
        <w:t> </w:t>
      </w:r>
      <w:r>
        <w:rPr>
          <w:color w:val="231F20"/>
          <w:w w:val="105"/>
        </w:rPr>
        <w:t>quedarse</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comunidad,</w:t>
      </w:r>
      <w:r>
        <w:rPr>
          <w:color w:val="231F20"/>
          <w:spacing w:val="-14"/>
          <w:w w:val="105"/>
        </w:rPr>
        <w:t> </w:t>
      </w:r>
      <w:r>
        <w:rPr>
          <w:color w:val="231F20"/>
          <w:w w:val="105"/>
        </w:rPr>
        <w:t>proveían</w:t>
      </w:r>
      <w:r>
        <w:rPr>
          <w:color w:val="231F20"/>
          <w:spacing w:val="-8"/>
          <w:w w:val="105"/>
        </w:rPr>
        <w:t> </w:t>
      </w:r>
      <w:r>
        <w:rPr>
          <w:color w:val="231F20"/>
          <w:w w:val="105"/>
        </w:rPr>
        <w:t>de</w:t>
      </w:r>
      <w:r>
        <w:rPr>
          <w:color w:val="231F20"/>
          <w:spacing w:val="-8"/>
          <w:w w:val="105"/>
        </w:rPr>
        <w:t> </w:t>
      </w:r>
      <w:r>
        <w:rPr>
          <w:color w:val="231F20"/>
          <w:w w:val="105"/>
        </w:rPr>
        <w:t>afectos</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mujer</w:t>
      </w:r>
      <w:r>
        <w:rPr>
          <w:color w:val="231F20"/>
          <w:spacing w:val="-8"/>
          <w:w w:val="105"/>
        </w:rPr>
        <w:t> </w:t>
      </w:r>
      <w:r>
        <w:rPr>
          <w:color w:val="231F20"/>
          <w:w w:val="105"/>
        </w:rPr>
        <w:t>y</w:t>
      </w:r>
      <w:r>
        <w:rPr>
          <w:color w:val="231F20"/>
          <w:spacing w:val="-8"/>
          <w:w w:val="105"/>
        </w:rPr>
        <w:t> </w:t>
      </w:r>
      <w:r>
        <w:rPr>
          <w:color w:val="231F20"/>
          <w:w w:val="105"/>
        </w:rPr>
        <w:t>a los</w:t>
      </w:r>
      <w:r>
        <w:rPr>
          <w:color w:val="231F20"/>
          <w:spacing w:val="-20"/>
          <w:w w:val="105"/>
        </w:rPr>
        <w:t> </w:t>
      </w:r>
      <w:r>
        <w:rPr>
          <w:color w:val="231F20"/>
          <w:w w:val="105"/>
        </w:rPr>
        <w:t>hijos,</w:t>
      </w:r>
      <w:r>
        <w:rPr>
          <w:color w:val="231F20"/>
          <w:spacing w:val="-25"/>
          <w:w w:val="105"/>
        </w:rPr>
        <w:t> </w:t>
      </w:r>
      <w:r>
        <w:rPr>
          <w:color w:val="231F20"/>
          <w:w w:val="105"/>
        </w:rPr>
        <w:t>y</w:t>
      </w:r>
      <w:r>
        <w:rPr>
          <w:color w:val="231F20"/>
          <w:spacing w:val="-20"/>
          <w:w w:val="105"/>
        </w:rPr>
        <w:t> </w:t>
      </w:r>
      <w:r>
        <w:rPr>
          <w:color w:val="231F20"/>
          <w:w w:val="105"/>
        </w:rPr>
        <w:t>así</w:t>
      </w:r>
      <w:r>
        <w:rPr>
          <w:color w:val="231F20"/>
          <w:spacing w:val="-20"/>
          <w:w w:val="105"/>
        </w:rPr>
        <w:t> </w:t>
      </w:r>
      <w:r>
        <w:rPr>
          <w:color w:val="231F20"/>
          <w:w w:val="105"/>
        </w:rPr>
        <w:t>daban</w:t>
      </w:r>
      <w:r>
        <w:rPr>
          <w:color w:val="231F20"/>
          <w:spacing w:val="-20"/>
          <w:w w:val="105"/>
        </w:rPr>
        <w:t> </w:t>
      </w:r>
      <w:r>
        <w:rPr>
          <w:color w:val="231F20"/>
          <w:w w:val="105"/>
        </w:rPr>
        <w:t>fe</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promesa</w:t>
      </w:r>
      <w:r>
        <w:rPr>
          <w:color w:val="231F20"/>
          <w:spacing w:val="-20"/>
          <w:w w:val="105"/>
        </w:rPr>
        <w:t> </w:t>
      </w:r>
      <w:r>
        <w:rPr>
          <w:color w:val="231F20"/>
          <w:w w:val="105"/>
        </w:rPr>
        <w:t>que</w:t>
      </w:r>
      <w:r>
        <w:rPr>
          <w:color w:val="231F20"/>
          <w:spacing w:val="-20"/>
          <w:w w:val="105"/>
        </w:rPr>
        <w:t> </w:t>
      </w:r>
      <w:r>
        <w:rPr>
          <w:color w:val="231F20"/>
          <w:w w:val="105"/>
        </w:rPr>
        <w:t>quedo</w:t>
      </w:r>
      <w:r>
        <w:rPr>
          <w:color w:val="231F20"/>
          <w:spacing w:val="-20"/>
          <w:w w:val="105"/>
        </w:rPr>
        <w:t> </w:t>
      </w:r>
      <w:r>
        <w:rPr>
          <w:color w:val="231F20"/>
          <w:w w:val="105"/>
        </w:rPr>
        <w:t>frente</w:t>
      </w:r>
      <w:r>
        <w:rPr>
          <w:color w:val="231F20"/>
          <w:spacing w:val="-20"/>
          <w:w w:val="105"/>
        </w:rPr>
        <w:t> </w:t>
      </w:r>
      <w:r>
        <w:rPr>
          <w:color w:val="231F20"/>
          <w:w w:val="105"/>
        </w:rPr>
        <w:t>al</w:t>
      </w:r>
      <w:r>
        <w:rPr>
          <w:color w:val="231F20"/>
          <w:spacing w:val="-20"/>
          <w:w w:val="105"/>
        </w:rPr>
        <w:t> </w:t>
      </w:r>
      <w:r>
        <w:rPr>
          <w:color w:val="231F20"/>
          <w:w w:val="105"/>
        </w:rPr>
        <w:t>cura</w:t>
      </w:r>
      <w:r>
        <w:rPr>
          <w:color w:val="231F20"/>
          <w:spacing w:val="-20"/>
          <w:w w:val="105"/>
        </w:rPr>
        <w:t> </w:t>
      </w:r>
      <w:r>
        <w:rPr>
          <w:color w:val="231F20"/>
          <w:w w:val="105"/>
        </w:rPr>
        <w:t>de</w:t>
      </w:r>
      <w:r>
        <w:rPr>
          <w:color w:val="231F20"/>
          <w:spacing w:val="-20"/>
          <w:w w:val="105"/>
        </w:rPr>
        <w:t> </w:t>
      </w:r>
      <w:r>
        <w:rPr>
          <w:color w:val="231F20"/>
          <w:w w:val="105"/>
        </w:rPr>
        <w:t>“juntos en la abundancia y en la </w:t>
      </w:r>
      <w:r>
        <w:rPr>
          <w:color w:val="231F20"/>
          <w:spacing w:val="-4"/>
          <w:w w:val="105"/>
        </w:rPr>
        <w:t>carencia”. </w:t>
      </w:r>
      <w:r>
        <w:rPr>
          <w:color w:val="231F20"/>
          <w:w w:val="105"/>
        </w:rPr>
        <w:t>Como leemos, es un mecanismo</w:t>
      </w:r>
      <w:r>
        <w:rPr>
          <w:color w:val="231F20"/>
          <w:spacing w:val="-19"/>
          <w:w w:val="105"/>
        </w:rPr>
        <w:t> </w:t>
      </w:r>
      <w:r>
        <w:rPr>
          <w:color w:val="231F20"/>
          <w:w w:val="105"/>
        </w:rPr>
        <w:t>de retención</w:t>
      </w:r>
      <w:r>
        <w:rPr>
          <w:color w:val="231F20"/>
          <w:spacing w:val="-8"/>
          <w:w w:val="105"/>
        </w:rPr>
        <w:t> </w:t>
      </w:r>
      <w:r>
        <w:rPr>
          <w:color w:val="231F20"/>
          <w:w w:val="105"/>
        </w:rPr>
        <w:t>para</w:t>
      </w:r>
      <w:r>
        <w:rPr>
          <w:color w:val="231F20"/>
          <w:spacing w:val="-8"/>
          <w:w w:val="105"/>
        </w:rPr>
        <w:t> </w:t>
      </w:r>
      <w:r>
        <w:rPr>
          <w:color w:val="231F20"/>
          <w:w w:val="105"/>
        </w:rPr>
        <w:t>parar</w:t>
      </w:r>
      <w:r>
        <w:rPr>
          <w:color w:val="231F20"/>
          <w:spacing w:val="-8"/>
          <w:w w:val="105"/>
        </w:rPr>
        <w:t> </w:t>
      </w:r>
      <w:r>
        <w:rPr>
          <w:color w:val="231F20"/>
          <w:w w:val="105"/>
        </w:rPr>
        <w:t>las</w:t>
      </w:r>
      <w:r>
        <w:rPr>
          <w:color w:val="231F20"/>
          <w:spacing w:val="-8"/>
          <w:w w:val="105"/>
        </w:rPr>
        <w:t> </w:t>
      </w:r>
      <w:r>
        <w:rPr>
          <w:color w:val="231F20"/>
          <w:w w:val="105"/>
        </w:rPr>
        <w:t>frecuentes</w:t>
      </w:r>
      <w:r>
        <w:rPr>
          <w:color w:val="231F20"/>
          <w:spacing w:val="-8"/>
          <w:w w:val="105"/>
        </w:rPr>
        <w:t> </w:t>
      </w:r>
      <w:r>
        <w:rPr>
          <w:color w:val="231F20"/>
          <w:w w:val="105"/>
        </w:rPr>
        <w:t>idas</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hombres</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desamparo emocional</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son</w:t>
      </w:r>
      <w:r>
        <w:rPr>
          <w:color w:val="231F20"/>
          <w:spacing w:val="-20"/>
          <w:w w:val="105"/>
        </w:rPr>
        <w:t> </w:t>
      </w:r>
      <w:r>
        <w:rPr>
          <w:color w:val="231F20"/>
          <w:w w:val="105"/>
        </w:rPr>
        <w:t>objeto</w:t>
      </w:r>
      <w:r>
        <w:rPr>
          <w:color w:val="231F20"/>
          <w:spacing w:val="-20"/>
          <w:w w:val="105"/>
        </w:rPr>
        <w:t> </w:t>
      </w:r>
      <w:r>
        <w:rPr>
          <w:color w:val="231F20"/>
          <w:w w:val="105"/>
        </w:rPr>
        <w:t>las</w:t>
      </w:r>
      <w:r>
        <w:rPr>
          <w:color w:val="231F20"/>
          <w:spacing w:val="-20"/>
          <w:w w:val="105"/>
        </w:rPr>
        <w:t> </w:t>
      </w:r>
      <w:r>
        <w:rPr>
          <w:color w:val="231F20"/>
          <w:w w:val="105"/>
        </w:rPr>
        <w:t>mujeres</w:t>
      </w:r>
      <w:r>
        <w:rPr>
          <w:color w:val="231F20"/>
          <w:spacing w:val="-20"/>
          <w:w w:val="105"/>
        </w:rPr>
        <w:t> </w:t>
      </w:r>
      <w:r>
        <w:rPr>
          <w:color w:val="231F20"/>
          <w:w w:val="105"/>
        </w:rPr>
        <w:t>al</w:t>
      </w:r>
      <w:r>
        <w:rPr>
          <w:color w:val="231F20"/>
          <w:spacing w:val="-20"/>
          <w:w w:val="105"/>
        </w:rPr>
        <w:t> </w:t>
      </w:r>
      <w:r>
        <w:rPr>
          <w:color w:val="231F20"/>
          <w:w w:val="105"/>
        </w:rPr>
        <w:t>quedarse.</w:t>
      </w:r>
      <w:r>
        <w:rPr>
          <w:color w:val="231F20"/>
          <w:spacing w:val="-29"/>
          <w:w w:val="105"/>
        </w:rPr>
        <w:t> </w:t>
      </w:r>
      <w:r>
        <w:rPr>
          <w:color w:val="231F20"/>
          <w:w w:val="105"/>
        </w:rPr>
        <w:t>Testimonios</w:t>
      </w:r>
      <w:r>
        <w:rPr>
          <w:color w:val="231F20"/>
          <w:spacing w:val="-20"/>
          <w:w w:val="105"/>
        </w:rPr>
        <w:t> </w:t>
      </w:r>
      <w:r>
        <w:rPr>
          <w:color w:val="231F20"/>
          <w:w w:val="105"/>
        </w:rPr>
        <w:t>como “prefiero comer frijoles con chile pero que esté él con </w:t>
      </w:r>
      <w:r>
        <w:rPr>
          <w:color w:val="231F20"/>
          <w:spacing w:val="-3"/>
          <w:w w:val="105"/>
        </w:rPr>
        <w:t>nosotros”, </w:t>
      </w:r>
      <w:r>
        <w:rPr>
          <w:color w:val="231F20"/>
          <w:w w:val="105"/>
        </w:rPr>
        <w:t>“la</w:t>
      </w:r>
      <w:r>
        <w:rPr>
          <w:color w:val="231F20"/>
          <w:spacing w:val="-35"/>
          <w:w w:val="105"/>
        </w:rPr>
        <w:t> </w:t>
      </w:r>
      <w:r>
        <w:rPr>
          <w:color w:val="231F20"/>
          <w:w w:val="105"/>
        </w:rPr>
        <w:t>vida no</w:t>
      </w:r>
      <w:r>
        <w:rPr>
          <w:color w:val="231F20"/>
          <w:spacing w:val="-7"/>
          <w:w w:val="105"/>
        </w:rPr>
        <w:t> </w:t>
      </w:r>
      <w:r>
        <w:rPr>
          <w:color w:val="231F20"/>
          <w:w w:val="105"/>
        </w:rPr>
        <w:t>me</w:t>
      </w:r>
      <w:r>
        <w:rPr>
          <w:color w:val="231F20"/>
          <w:spacing w:val="-7"/>
          <w:w w:val="105"/>
        </w:rPr>
        <w:t> </w:t>
      </w:r>
      <w:r>
        <w:rPr>
          <w:color w:val="231F20"/>
          <w:w w:val="105"/>
        </w:rPr>
        <w:t>sabe</w:t>
      </w:r>
      <w:r>
        <w:rPr>
          <w:color w:val="231F20"/>
          <w:spacing w:val="-7"/>
          <w:w w:val="105"/>
        </w:rPr>
        <w:t> </w:t>
      </w:r>
      <w:r>
        <w:rPr>
          <w:color w:val="231F20"/>
          <w:w w:val="105"/>
        </w:rPr>
        <w:t>sin</w:t>
      </w:r>
      <w:r>
        <w:rPr>
          <w:color w:val="231F20"/>
          <w:spacing w:val="-7"/>
          <w:w w:val="105"/>
        </w:rPr>
        <w:t> él”,</w:t>
      </w:r>
      <w:r>
        <w:rPr>
          <w:color w:val="231F20"/>
          <w:spacing w:val="-13"/>
          <w:w w:val="105"/>
        </w:rPr>
        <w:t> </w:t>
      </w:r>
      <w:r>
        <w:rPr>
          <w:color w:val="231F20"/>
          <w:w w:val="105"/>
        </w:rPr>
        <w:t>reflejan</w:t>
      </w:r>
      <w:r>
        <w:rPr>
          <w:color w:val="231F20"/>
          <w:spacing w:val="-7"/>
          <w:w w:val="105"/>
        </w:rPr>
        <w:t> </w:t>
      </w:r>
      <w:r>
        <w:rPr>
          <w:color w:val="231F20"/>
          <w:w w:val="105"/>
        </w:rPr>
        <w:t>la</w:t>
      </w:r>
      <w:r>
        <w:rPr>
          <w:color w:val="231F20"/>
          <w:spacing w:val="-7"/>
          <w:w w:val="105"/>
        </w:rPr>
        <w:t> </w:t>
      </w:r>
      <w:r>
        <w:rPr>
          <w:color w:val="231F20"/>
          <w:w w:val="105"/>
        </w:rPr>
        <w:t>profunda</w:t>
      </w:r>
      <w:r>
        <w:rPr>
          <w:color w:val="231F20"/>
          <w:spacing w:val="-7"/>
          <w:w w:val="105"/>
        </w:rPr>
        <w:t> </w:t>
      </w:r>
      <w:r>
        <w:rPr>
          <w:color w:val="231F20"/>
          <w:w w:val="105"/>
        </w:rPr>
        <w:t>dependencia</w:t>
      </w:r>
      <w:r>
        <w:rPr>
          <w:color w:val="231F20"/>
          <w:spacing w:val="-7"/>
          <w:w w:val="105"/>
        </w:rPr>
        <w:t> </w:t>
      </w:r>
      <w:r>
        <w:rPr>
          <w:color w:val="231F20"/>
          <w:w w:val="105"/>
        </w:rPr>
        <w:t>y</w:t>
      </w:r>
      <w:r>
        <w:rPr>
          <w:color w:val="231F20"/>
          <w:spacing w:val="-7"/>
          <w:w w:val="105"/>
        </w:rPr>
        <w:t> </w:t>
      </w:r>
      <w:r>
        <w:rPr>
          <w:color w:val="231F20"/>
          <w:w w:val="105"/>
        </w:rPr>
        <w:t>desamparo</w:t>
      </w:r>
      <w:r>
        <w:rPr>
          <w:color w:val="231F20"/>
          <w:spacing w:val="-7"/>
          <w:w w:val="105"/>
        </w:rPr>
        <w:t> </w:t>
      </w:r>
      <w:r>
        <w:rPr>
          <w:color w:val="231F20"/>
          <w:w w:val="105"/>
        </w:rPr>
        <w:t>emo- cional</w:t>
      </w:r>
      <w:r>
        <w:rPr>
          <w:color w:val="231F20"/>
          <w:spacing w:val="-17"/>
          <w:w w:val="105"/>
        </w:rPr>
        <w:t> </w:t>
      </w:r>
      <w:r>
        <w:rPr>
          <w:color w:val="231F20"/>
          <w:w w:val="105"/>
        </w:rPr>
        <w:t>de</w:t>
      </w:r>
      <w:r>
        <w:rPr>
          <w:color w:val="231F20"/>
          <w:spacing w:val="-17"/>
          <w:w w:val="105"/>
        </w:rPr>
        <w:t> </w:t>
      </w:r>
      <w:r>
        <w:rPr>
          <w:color w:val="231F20"/>
          <w:w w:val="105"/>
        </w:rPr>
        <w:t>estas</w:t>
      </w:r>
      <w:r>
        <w:rPr>
          <w:color w:val="231F20"/>
          <w:spacing w:val="-17"/>
          <w:w w:val="105"/>
        </w:rPr>
        <w:t> </w:t>
      </w:r>
      <w:r>
        <w:rPr>
          <w:color w:val="231F20"/>
          <w:w w:val="105"/>
        </w:rPr>
        <w:t>mujeres</w:t>
      </w:r>
      <w:r>
        <w:rPr>
          <w:color w:val="231F20"/>
          <w:spacing w:val="-17"/>
          <w:w w:val="105"/>
        </w:rPr>
        <w:t> </w:t>
      </w:r>
      <w:r>
        <w:rPr>
          <w:color w:val="231F20"/>
          <w:w w:val="105"/>
        </w:rPr>
        <w:t>por</w:t>
      </w:r>
      <w:r>
        <w:rPr>
          <w:color w:val="231F20"/>
          <w:spacing w:val="-17"/>
          <w:w w:val="105"/>
        </w:rPr>
        <w:t> </w:t>
      </w:r>
      <w:r>
        <w:rPr>
          <w:color w:val="231F20"/>
          <w:w w:val="105"/>
        </w:rPr>
        <w:t>la</w:t>
      </w:r>
      <w:r>
        <w:rPr>
          <w:color w:val="231F20"/>
          <w:spacing w:val="-17"/>
          <w:w w:val="105"/>
        </w:rPr>
        <w:t> </w:t>
      </w:r>
      <w:r>
        <w:rPr>
          <w:color w:val="231F20"/>
          <w:w w:val="105"/>
        </w:rPr>
        <w:t>ausencia</w:t>
      </w:r>
      <w:r>
        <w:rPr>
          <w:color w:val="231F20"/>
          <w:spacing w:val="-17"/>
          <w:w w:val="105"/>
        </w:rPr>
        <w:t> </w:t>
      </w:r>
      <w:r>
        <w:rPr>
          <w:color w:val="231F20"/>
          <w:w w:val="105"/>
        </w:rPr>
        <w:t>del</w:t>
      </w:r>
      <w:r>
        <w:rPr>
          <w:color w:val="231F20"/>
          <w:spacing w:val="-17"/>
          <w:w w:val="105"/>
        </w:rPr>
        <w:t> </w:t>
      </w:r>
      <w:r>
        <w:rPr>
          <w:color w:val="231F20"/>
          <w:w w:val="105"/>
        </w:rPr>
        <w:t>hombre.</w:t>
      </w:r>
    </w:p>
    <w:p>
      <w:pPr>
        <w:pStyle w:val="BodyText"/>
        <w:rPr>
          <w:sz w:val="20"/>
        </w:rPr>
      </w:pPr>
    </w:p>
    <w:p>
      <w:pPr>
        <w:pStyle w:val="BodyText"/>
        <w:spacing w:before="9"/>
        <w:rPr>
          <w:sz w:val="20"/>
        </w:rPr>
      </w:pPr>
    </w:p>
    <w:p>
      <w:pPr>
        <w:pStyle w:val="Heading3"/>
      </w:pPr>
      <w:r>
        <w:rPr>
          <w:color w:val="231F20"/>
        </w:rPr>
        <w:t>Lo emocional al centro de las idas y regresos</w:t>
      </w:r>
    </w:p>
    <w:p>
      <w:pPr>
        <w:pStyle w:val="BodyText"/>
        <w:rPr>
          <w:rFonts w:ascii="Arial"/>
          <w:b/>
          <w:sz w:val="22"/>
        </w:rPr>
      </w:pPr>
    </w:p>
    <w:p>
      <w:pPr>
        <w:pStyle w:val="BodyText"/>
        <w:spacing w:line="261" w:lineRule="auto" w:before="163"/>
        <w:ind w:left="1837" w:right="1721"/>
        <w:jc w:val="both"/>
      </w:pPr>
      <w:r>
        <w:rPr/>
        <w:pict>
          <v:line style="position:absolute;mso-position-horizontal-relative:page;mso-position-vertical-relative:paragraph;z-index:-442600" from="15pt,158.431885pt" to="0pt,158.431885pt" stroked="true" strokeweight=".25pt" strokecolor="#000000">
            <w10:wrap type="none"/>
          </v:line>
        </w:pict>
      </w:r>
      <w:r>
        <w:rPr/>
        <w:pict>
          <v:line style="position:absolute;mso-position-horizontal-relative:page;mso-position-vertical-relative:paragraph;z-index:47608" from="508.890015pt,158.431885pt" to="523.890015pt,158.431885pt" stroked="true" strokeweight=".25pt" strokecolor="#000000">
            <w10:wrap type="none"/>
          </v:line>
        </w:pict>
      </w:r>
      <w:r>
        <w:rPr>
          <w:color w:val="231F20"/>
          <w:w w:val="105"/>
        </w:rPr>
        <w:t>Profundas,</w:t>
      </w:r>
      <w:r>
        <w:rPr>
          <w:color w:val="231F20"/>
          <w:spacing w:val="-17"/>
          <w:w w:val="105"/>
        </w:rPr>
        <w:t> </w:t>
      </w:r>
      <w:r>
        <w:rPr>
          <w:color w:val="231F20"/>
          <w:w w:val="105"/>
        </w:rPr>
        <w:t>verdaderas</w:t>
      </w:r>
      <w:r>
        <w:rPr>
          <w:color w:val="231F20"/>
          <w:spacing w:val="-13"/>
          <w:w w:val="105"/>
        </w:rPr>
        <w:t> </w:t>
      </w:r>
      <w:r>
        <w:rPr>
          <w:color w:val="231F20"/>
          <w:w w:val="105"/>
        </w:rPr>
        <w:t>y</w:t>
      </w:r>
      <w:r>
        <w:rPr>
          <w:color w:val="231F20"/>
          <w:spacing w:val="-13"/>
          <w:w w:val="105"/>
        </w:rPr>
        <w:t> </w:t>
      </w:r>
      <w:r>
        <w:rPr>
          <w:color w:val="231F20"/>
          <w:w w:val="105"/>
        </w:rPr>
        <w:t>variadas</w:t>
      </w:r>
      <w:r>
        <w:rPr>
          <w:color w:val="231F20"/>
          <w:spacing w:val="-13"/>
          <w:w w:val="105"/>
        </w:rPr>
        <w:t> </w:t>
      </w:r>
      <w:r>
        <w:rPr>
          <w:color w:val="231F20"/>
          <w:w w:val="105"/>
        </w:rPr>
        <w:t>son</w:t>
      </w:r>
      <w:r>
        <w:rPr>
          <w:color w:val="231F20"/>
          <w:spacing w:val="-13"/>
          <w:w w:val="105"/>
        </w:rPr>
        <w:t> </w:t>
      </w:r>
      <w:r>
        <w:rPr>
          <w:color w:val="231F20"/>
          <w:w w:val="105"/>
        </w:rPr>
        <w:t>las</w:t>
      </w:r>
      <w:r>
        <w:rPr>
          <w:color w:val="231F20"/>
          <w:spacing w:val="-13"/>
          <w:w w:val="105"/>
        </w:rPr>
        <w:t> </w:t>
      </w:r>
      <w:r>
        <w:rPr>
          <w:color w:val="231F20"/>
          <w:w w:val="105"/>
        </w:rPr>
        <w:t>razones</w:t>
      </w:r>
      <w:r>
        <w:rPr>
          <w:color w:val="231F20"/>
          <w:spacing w:val="-13"/>
          <w:w w:val="105"/>
        </w:rPr>
        <w:t> </w:t>
      </w:r>
      <w:r>
        <w:rPr>
          <w:color w:val="231F20"/>
          <w:w w:val="105"/>
        </w:rPr>
        <w:t>que</w:t>
      </w:r>
      <w:r>
        <w:rPr>
          <w:color w:val="231F20"/>
          <w:spacing w:val="-13"/>
          <w:w w:val="105"/>
        </w:rPr>
        <w:t> </w:t>
      </w:r>
      <w:r>
        <w:rPr>
          <w:color w:val="231F20"/>
          <w:w w:val="105"/>
        </w:rPr>
        <w:t>soportan</w:t>
      </w:r>
      <w:r>
        <w:rPr>
          <w:color w:val="231F20"/>
          <w:spacing w:val="-13"/>
          <w:w w:val="105"/>
        </w:rPr>
        <w:t> </w:t>
      </w:r>
      <w:r>
        <w:rPr>
          <w:color w:val="231F20"/>
          <w:w w:val="105"/>
        </w:rPr>
        <w:t>las</w:t>
      </w:r>
      <w:r>
        <w:rPr>
          <w:color w:val="231F20"/>
          <w:spacing w:val="-13"/>
          <w:w w:val="105"/>
        </w:rPr>
        <w:t> </w:t>
      </w:r>
      <w:r>
        <w:rPr>
          <w:color w:val="231F20"/>
          <w:w w:val="105"/>
        </w:rPr>
        <w:t>idas y</w:t>
      </w:r>
      <w:r>
        <w:rPr>
          <w:color w:val="231F20"/>
          <w:spacing w:val="-14"/>
          <w:w w:val="105"/>
        </w:rPr>
        <w:t> </w:t>
      </w:r>
      <w:r>
        <w:rPr>
          <w:color w:val="231F20"/>
          <w:w w:val="105"/>
        </w:rPr>
        <w:t>consecuentemente</w:t>
      </w:r>
      <w:r>
        <w:rPr>
          <w:color w:val="231F20"/>
          <w:spacing w:val="-14"/>
          <w:w w:val="105"/>
        </w:rPr>
        <w:t> </w:t>
      </w:r>
      <w:r>
        <w:rPr>
          <w:color w:val="231F20"/>
          <w:w w:val="105"/>
        </w:rPr>
        <w:t>los</w:t>
      </w:r>
      <w:r>
        <w:rPr>
          <w:color w:val="231F20"/>
          <w:spacing w:val="-14"/>
          <w:w w:val="105"/>
        </w:rPr>
        <w:t> </w:t>
      </w:r>
      <w:r>
        <w:rPr>
          <w:color w:val="231F20"/>
          <w:w w:val="105"/>
        </w:rPr>
        <w:t>regresos.</w:t>
      </w:r>
      <w:r>
        <w:rPr>
          <w:color w:val="231F20"/>
          <w:spacing w:val="-20"/>
          <w:w w:val="105"/>
        </w:rPr>
        <w:t> </w:t>
      </w:r>
      <w:r>
        <w:rPr>
          <w:color w:val="231F20"/>
          <w:w w:val="105"/>
        </w:rPr>
        <w:t>Ida</w:t>
      </w:r>
      <w:r>
        <w:rPr>
          <w:color w:val="231F20"/>
          <w:spacing w:val="-14"/>
          <w:w w:val="105"/>
        </w:rPr>
        <w:t> </w:t>
      </w:r>
      <w:r>
        <w:rPr>
          <w:color w:val="231F20"/>
          <w:w w:val="105"/>
        </w:rPr>
        <w:t>y</w:t>
      </w:r>
      <w:r>
        <w:rPr>
          <w:color w:val="231F20"/>
          <w:spacing w:val="-14"/>
          <w:w w:val="105"/>
        </w:rPr>
        <w:t> </w:t>
      </w:r>
      <w:r>
        <w:rPr>
          <w:color w:val="231F20"/>
          <w:w w:val="105"/>
        </w:rPr>
        <w:t>regreso</w:t>
      </w:r>
      <w:r>
        <w:rPr>
          <w:color w:val="231F20"/>
          <w:spacing w:val="-14"/>
          <w:w w:val="105"/>
        </w:rPr>
        <w:t> </w:t>
      </w:r>
      <w:r>
        <w:rPr>
          <w:color w:val="231F20"/>
          <w:w w:val="105"/>
        </w:rPr>
        <w:t>se</w:t>
      </w:r>
      <w:r>
        <w:rPr>
          <w:color w:val="231F20"/>
          <w:spacing w:val="-14"/>
          <w:w w:val="105"/>
        </w:rPr>
        <w:t> </w:t>
      </w:r>
      <w:r>
        <w:rPr>
          <w:color w:val="231F20"/>
          <w:w w:val="105"/>
        </w:rPr>
        <w:t>sitúan</w:t>
      </w:r>
      <w:r>
        <w:rPr>
          <w:color w:val="231F20"/>
          <w:spacing w:val="-14"/>
          <w:w w:val="105"/>
        </w:rPr>
        <w:t> </w:t>
      </w:r>
      <w:r>
        <w:rPr>
          <w:color w:val="231F20"/>
          <w:w w:val="105"/>
        </w:rPr>
        <w:t>como</w:t>
      </w:r>
      <w:r>
        <w:rPr>
          <w:color w:val="231F20"/>
          <w:spacing w:val="-14"/>
          <w:w w:val="105"/>
        </w:rPr>
        <w:t> </w:t>
      </w:r>
      <w:r>
        <w:rPr>
          <w:color w:val="231F20"/>
          <w:w w:val="105"/>
        </w:rPr>
        <w:t>eventos duales,</w:t>
      </w:r>
      <w:r>
        <w:rPr>
          <w:color w:val="231F20"/>
          <w:spacing w:val="-26"/>
          <w:w w:val="105"/>
        </w:rPr>
        <w:t> </w:t>
      </w:r>
      <w:r>
        <w:rPr>
          <w:color w:val="231F20"/>
          <w:w w:val="105"/>
        </w:rPr>
        <w:t>dolor</w:t>
      </w:r>
      <w:r>
        <w:rPr>
          <w:color w:val="231F20"/>
          <w:spacing w:val="-21"/>
          <w:w w:val="105"/>
        </w:rPr>
        <w:t> </w:t>
      </w:r>
      <w:r>
        <w:rPr>
          <w:color w:val="231F20"/>
          <w:w w:val="105"/>
        </w:rPr>
        <w:t>y</w:t>
      </w:r>
      <w:r>
        <w:rPr>
          <w:color w:val="231F20"/>
          <w:spacing w:val="-21"/>
          <w:w w:val="105"/>
        </w:rPr>
        <w:t> </w:t>
      </w:r>
      <w:r>
        <w:rPr>
          <w:color w:val="231F20"/>
          <w:w w:val="105"/>
        </w:rPr>
        <w:t>alegría,</w:t>
      </w:r>
      <w:r>
        <w:rPr>
          <w:color w:val="231F20"/>
          <w:spacing w:val="-26"/>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las</w:t>
      </w:r>
      <w:r>
        <w:rPr>
          <w:color w:val="231F20"/>
          <w:spacing w:val="-21"/>
          <w:w w:val="105"/>
        </w:rPr>
        <w:t> </w:t>
      </w:r>
      <w:r>
        <w:rPr>
          <w:color w:val="231F20"/>
          <w:w w:val="105"/>
        </w:rPr>
        <w:t>idas</w:t>
      </w:r>
      <w:r>
        <w:rPr>
          <w:color w:val="231F20"/>
          <w:spacing w:val="-21"/>
          <w:w w:val="105"/>
        </w:rPr>
        <w:t> </w:t>
      </w:r>
      <w:r>
        <w:rPr>
          <w:color w:val="231F20"/>
          <w:w w:val="105"/>
        </w:rPr>
        <w:t>desunen</w:t>
      </w:r>
      <w:r>
        <w:rPr>
          <w:color w:val="231F20"/>
          <w:spacing w:val="-21"/>
          <w:w w:val="105"/>
        </w:rPr>
        <w:t> </w:t>
      </w:r>
      <w:r>
        <w:rPr>
          <w:color w:val="231F20"/>
          <w:w w:val="105"/>
        </w:rPr>
        <w:t>lo</w:t>
      </w:r>
      <w:r>
        <w:rPr>
          <w:color w:val="231F20"/>
          <w:spacing w:val="-21"/>
          <w:w w:val="105"/>
        </w:rPr>
        <w:t> </w:t>
      </w:r>
      <w:r>
        <w:rPr>
          <w:color w:val="231F20"/>
          <w:w w:val="105"/>
        </w:rPr>
        <w:t>une</w:t>
      </w:r>
      <w:r>
        <w:rPr>
          <w:color w:val="231F20"/>
          <w:spacing w:val="-21"/>
          <w:w w:val="105"/>
        </w:rPr>
        <w:t> </w:t>
      </w:r>
      <w:r>
        <w:rPr>
          <w:color w:val="231F20"/>
          <w:w w:val="105"/>
        </w:rPr>
        <w:t>el</w:t>
      </w:r>
      <w:r>
        <w:rPr>
          <w:color w:val="231F20"/>
          <w:spacing w:val="-21"/>
          <w:w w:val="105"/>
        </w:rPr>
        <w:t> </w:t>
      </w:r>
      <w:r>
        <w:rPr>
          <w:color w:val="231F20"/>
          <w:w w:val="105"/>
        </w:rPr>
        <w:t>regreso.</w:t>
      </w:r>
      <w:r>
        <w:rPr>
          <w:color w:val="231F20"/>
          <w:spacing w:val="-26"/>
          <w:w w:val="105"/>
        </w:rPr>
        <w:t> </w:t>
      </w:r>
      <w:r>
        <w:rPr>
          <w:color w:val="231F20"/>
          <w:w w:val="105"/>
        </w:rPr>
        <w:t>Las</w:t>
      </w:r>
      <w:r>
        <w:rPr>
          <w:color w:val="231F20"/>
          <w:spacing w:val="-21"/>
          <w:w w:val="105"/>
        </w:rPr>
        <w:t> </w:t>
      </w:r>
      <w:r>
        <w:rPr>
          <w:color w:val="231F20"/>
          <w:w w:val="105"/>
        </w:rPr>
        <w:t>idas descompensan,</w:t>
      </w:r>
      <w:r>
        <w:rPr>
          <w:color w:val="231F20"/>
          <w:spacing w:val="-36"/>
          <w:w w:val="105"/>
        </w:rPr>
        <w:t> </w:t>
      </w:r>
      <w:r>
        <w:rPr>
          <w:color w:val="231F20"/>
          <w:w w:val="105"/>
        </w:rPr>
        <w:t>los</w:t>
      </w:r>
      <w:r>
        <w:rPr>
          <w:color w:val="231F20"/>
          <w:spacing w:val="-31"/>
          <w:w w:val="105"/>
        </w:rPr>
        <w:t> </w:t>
      </w:r>
      <w:r>
        <w:rPr>
          <w:color w:val="231F20"/>
          <w:w w:val="105"/>
        </w:rPr>
        <w:t>regresos</w:t>
      </w:r>
      <w:r>
        <w:rPr>
          <w:color w:val="231F20"/>
          <w:spacing w:val="-31"/>
          <w:w w:val="105"/>
        </w:rPr>
        <w:t> </w:t>
      </w:r>
      <w:r>
        <w:rPr>
          <w:color w:val="231F20"/>
          <w:w w:val="105"/>
        </w:rPr>
        <w:t>restablecen</w:t>
      </w:r>
      <w:r>
        <w:rPr>
          <w:color w:val="231F20"/>
          <w:spacing w:val="-31"/>
          <w:w w:val="105"/>
        </w:rPr>
        <w:t> </w:t>
      </w:r>
      <w:r>
        <w:rPr>
          <w:color w:val="231F20"/>
          <w:w w:val="105"/>
        </w:rPr>
        <w:t>o</w:t>
      </w:r>
      <w:r>
        <w:rPr>
          <w:color w:val="231F20"/>
          <w:spacing w:val="-31"/>
          <w:w w:val="105"/>
        </w:rPr>
        <w:t> </w:t>
      </w:r>
      <w:r>
        <w:rPr>
          <w:color w:val="231F20"/>
          <w:w w:val="105"/>
        </w:rPr>
        <w:t>compensan</w:t>
      </w:r>
      <w:r>
        <w:rPr>
          <w:color w:val="231F20"/>
          <w:spacing w:val="-31"/>
          <w:w w:val="105"/>
        </w:rPr>
        <w:t> </w:t>
      </w:r>
      <w:r>
        <w:rPr>
          <w:color w:val="231F20"/>
          <w:w w:val="105"/>
        </w:rPr>
        <w:t>en</w:t>
      </w:r>
      <w:r>
        <w:rPr>
          <w:color w:val="231F20"/>
          <w:spacing w:val="-31"/>
          <w:w w:val="105"/>
        </w:rPr>
        <w:t> </w:t>
      </w:r>
      <w:r>
        <w:rPr>
          <w:color w:val="231F20"/>
          <w:w w:val="105"/>
        </w:rPr>
        <w:t>su</w:t>
      </w:r>
      <w:r>
        <w:rPr>
          <w:color w:val="231F20"/>
          <w:spacing w:val="-31"/>
          <w:w w:val="105"/>
        </w:rPr>
        <w:t> </w:t>
      </w:r>
      <w:r>
        <w:rPr>
          <w:color w:val="231F20"/>
          <w:w w:val="105"/>
        </w:rPr>
        <w:t>sentido</w:t>
      </w:r>
      <w:r>
        <w:rPr>
          <w:color w:val="231F20"/>
          <w:spacing w:val="-31"/>
          <w:w w:val="105"/>
        </w:rPr>
        <w:t> </w:t>
      </w:r>
      <w:r>
        <w:rPr>
          <w:color w:val="231F20"/>
          <w:w w:val="105"/>
        </w:rPr>
        <w:t>am- plio.</w:t>
      </w:r>
      <w:r>
        <w:rPr>
          <w:color w:val="231F20"/>
          <w:spacing w:val="-13"/>
          <w:w w:val="105"/>
        </w:rPr>
        <w:t> </w:t>
      </w:r>
      <w:r>
        <w:rPr>
          <w:color w:val="231F20"/>
          <w:w w:val="105"/>
        </w:rPr>
        <w:t>Las</w:t>
      </w:r>
      <w:r>
        <w:rPr>
          <w:color w:val="231F20"/>
          <w:spacing w:val="-8"/>
          <w:w w:val="105"/>
        </w:rPr>
        <w:t> </w:t>
      </w:r>
      <w:r>
        <w:rPr>
          <w:color w:val="231F20"/>
          <w:w w:val="105"/>
        </w:rPr>
        <w:t>idas</w:t>
      </w:r>
      <w:r>
        <w:rPr>
          <w:color w:val="231F20"/>
          <w:spacing w:val="-8"/>
          <w:w w:val="105"/>
        </w:rPr>
        <w:t> </w:t>
      </w:r>
      <w:r>
        <w:rPr>
          <w:color w:val="231F20"/>
          <w:w w:val="105"/>
        </w:rPr>
        <w:t>causan</w:t>
      </w:r>
      <w:r>
        <w:rPr>
          <w:color w:val="231F20"/>
          <w:spacing w:val="-8"/>
          <w:w w:val="105"/>
        </w:rPr>
        <w:t> </w:t>
      </w:r>
      <w:r>
        <w:rPr>
          <w:color w:val="231F20"/>
          <w:w w:val="105"/>
        </w:rPr>
        <w:t>dolor,</w:t>
      </w:r>
      <w:r>
        <w:rPr>
          <w:color w:val="231F20"/>
          <w:spacing w:val="-13"/>
          <w:w w:val="105"/>
        </w:rPr>
        <w:t> </w:t>
      </w:r>
      <w:r>
        <w:rPr>
          <w:color w:val="231F20"/>
          <w:w w:val="105"/>
        </w:rPr>
        <w:t>pues</w:t>
      </w:r>
      <w:r>
        <w:rPr>
          <w:color w:val="231F20"/>
          <w:spacing w:val="-8"/>
          <w:w w:val="105"/>
        </w:rPr>
        <w:t> </w:t>
      </w:r>
      <w:r>
        <w:rPr>
          <w:color w:val="231F20"/>
          <w:w w:val="105"/>
        </w:rPr>
        <w:t>su</w:t>
      </w:r>
      <w:r>
        <w:rPr>
          <w:color w:val="231F20"/>
          <w:spacing w:val="-8"/>
          <w:w w:val="105"/>
        </w:rPr>
        <w:t> </w:t>
      </w:r>
      <w:r>
        <w:rPr>
          <w:color w:val="231F20"/>
          <w:w w:val="105"/>
        </w:rPr>
        <w:t>ocurrencia</w:t>
      </w:r>
      <w:r>
        <w:rPr>
          <w:color w:val="231F20"/>
          <w:spacing w:val="-8"/>
          <w:w w:val="105"/>
        </w:rPr>
        <w:t> </w:t>
      </w:r>
      <w:r>
        <w:rPr>
          <w:color w:val="231F20"/>
          <w:w w:val="105"/>
        </w:rPr>
        <w:t>implica</w:t>
      </w:r>
      <w:r>
        <w:rPr>
          <w:color w:val="231F20"/>
          <w:spacing w:val="-8"/>
          <w:w w:val="105"/>
        </w:rPr>
        <w:t> </w:t>
      </w:r>
      <w:r>
        <w:rPr>
          <w:color w:val="231F20"/>
          <w:w w:val="105"/>
        </w:rPr>
        <w:t>partir</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familia en</w:t>
      </w:r>
      <w:r>
        <w:rPr>
          <w:color w:val="231F20"/>
          <w:spacing w:val="-24"/>
          <w:w w:val="105"/>
        </w:rPr>
        <w:t> </w:t>
      </w:r>
      <w:r>
        <w:rPr>
          <w:color w:val="231F20"/>
          <w:w w:val="105"/>
        </w:rPr>
        <w:t>dos,</w:t>
      </w:r>
      <w:r>
        <w:rPr>
          <w:color w:val="231F20"/>
          <w:spacing w:val="-29"/>
          <w:w w:val="105"/>
        </w:rPr>
        <w:t> </w:t>
      </w:r>
      <w:r>
        <w:rPr>
          <w:color w:val="231F20"/>
          <w:w w:val="105"/>
        </w:rPr>
        <w:t>geográfica</w:t>
      </w:r>
      <w:r>
        <w:rPr>
          <w:color w:val="231F20"/>
          <w:spacing w:val="-24"/>
          <w:w w:val="105"/>
        </w:rPr>
        <w:t> </w:t>
      </w:r>
      <w:r>
        <w:rPr>
          <w:color w:val="231F20"/>
          <w:w w:val="105"/>
        </w:rPr>
        <w:t>y</w:t>
      </w:r>
      <w:r>
        <w:rPr>
          <w:color w:val="231F20"/>
          <w:spacing w:val="-24"/>
          <w:w w:val="105"/>
        </w:rPr>
        <w:t> </w:t>
      </w:r>
      <w:r>
        <w:rPr>
          <w:color w:val="231F20"/>
          <w:w w:val="105"/>
        </w:rPr>
        <w:t>emocionalmente;</w:t>
      </w:r>
      <w:r>
        <w:rPr>
          <w:color w:val="231F20"/>
          <w:spacing w:val="-24"/>
          <w:w w:val="105"/>
        </w:rPr>
        <w:t> </w:t>
      </w:r>
      <w:r>
        <w:rPr>
          <w:color w:val="231F20"/>
          <w:w w:val="105"/>
        </w:rPr>
        <w:t>sin</w:t>
      </w:r>
      <w:r>
        <w:rPr>
          <w:color w:val="231F20"/>
          <w:spacing w:val="-24"/>
          <w:w w:val="105"/>
        </w:rPr>
        <w:t> </w:t>
      </w:r>
      <w:r>
        <w:rPr>
          <w:color w:val="231F20"/>
          <w:w w:val="105"/>
        </w:rPr>
        <w:t>embargo,</w:t>
      </w:r>
      <w:r>
        <w:rPr>
          <w:color w:val="231F20"/>
          <w:spacing w:val="8"/>
          <w:w w:val="105"/>
        </w:rPr>
        <w:t> </w:t>
      </w:r>
      <w:r>
        <w:rPr>
          <w:color w:val="231F20"/>
          <w:w w:val="105"/>
        </w:rPr>
        <w:t>el</w:t>
      </w:r>
      <w:r>
        <w:rPr>
          <w:color w:val="231F20"/>
          <w:spacing w:val="-24"/>
          <w:w w:val="105"/>
        </w:rPr>
        <w:t> </w:t>
      </w:r>
      <w:r>
        <w:rPr>
          <w:color w:val="231F20"/>
          <w:w w:val="105"/>
        </w:rPr>
        <w:t>regreso</w:t>
      </w:r>
      <w:r>
        <w:rPr>
          <w:color w:val="231F20"/>
          <w:spacing w:val="-24"/>
          <w:w w:val="105"/>
        </w:rPr>
        <w:t> </w:t>
      </w:r>
      <w:r>
        <w:rPr>
          <w:color w:val="231F20"/>
          <w:w w:val="105"/>
        </w:rPr>
        <w:t>se</w:t>
      </w:r>
      <w:r>
        <w:rPr>
          <w:color w:val="231F20"/>
          <w:spacing w:val="-24"/>
          <w:w w:val="105"/>
        </w:rPr>
        <w:t> </w:t>
      </w:r>
      <w:r>
        <w:rPr>
          <w:color w:val="231F20"/>
          <w:w w:val="105"/>
        </w:rPr>
        <w:t>vive</w:t>
      </w:r>
      <w:r>
        <w:rPr>
          <w:color w:val="231F20"/>
          <w:spacing w:val="-24"/>
          <w:w w:val="105"/>
        </w:rPr>
        <w:t> </w:t>
      </w:r>
      <w:r>
        <w:rPr>
          <w:color w:val="231F20"/>
          <w:w w:val="105"/>
        </w:rPr>
        <w:t>en</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516" w:right="1829"/>
        <w:jc w:val="right"/>
      </w:pPr>
      <w:r>
        <w:rPr/>
        <w:pict>
          <v:line style="position:absolute;mso-position-horizontal-relative:page;mso-position-vertical-relative:paragraph;z-index:47656" from="15pt,-71.68644pt" to="0pt,-71.68644pt" stroked="true" strokeweight=".25pt" strokecolor="#000000">
            <w10:wrap type="none"/>
          </v:line>
        </w:pict>
      </w:r>
      <w:r>
        <w:rPr/>
        <w:pict>
          <v:line style="position:absolute;mso-position-horizontal-relative:page;mso-position-vertical-relative:paragraph;z-index:47680" from="508.890015pt,-71.68644pt" to="523.890015pt,-71.68644pt" stroked="true" strokeweight=".25pt" strokecolor="#000000">
            <w10:wrap type="none"/>
          </v:line>
        </w:pict>
      </w:r>
      <w:r>
        <w:rPr>
          <w:color w:val="231F20"/>
          <w:w w:val="105"/>
        </w:rPr>
        <w:t>la</w:t>
      </w:r>
      <w:r>
        <w:rPr>
          <w:color w:val="231F20"/>
          <w:spacing w:val="-12"/>
          <w:w w:val="105"/>
        </w:rPr>
        <w:t> </w:t>
      </w:r>
      <w:r>
        <w:rPr>
          <w:color w:val="231F20"/>
          <w:w w:val="105"/>
        </w:rPr>
        <w:t>alegría,</w:t>
      </w:r>
      <w:r>
        <w:rPr>
          <w:color w:val="231F20"/>
          <w:spacing w:val="-17"/>
          <w:w w:val="105"/>
        </w:rPr>
        <w:t> </w:t>
      </w:r>
      <w:r>
        <w:rPr>
          <w:color w:val="231F20"/>
          <w:w w:val="105"/>
        </w:rPr>
        <w:t>el</w:t>
      </w:r>
      <w:r>
        <w:rPr>
          <w:color w:val="231F20"/>
          <w:spacing w:val="-12"/>
          <w:w w:val="105"/>
        </w:rPr>
        <w:t> </w:t>
      </w:r>
      <w:r>
        <w:rPr>
          <w:color w:val="231F20"/>
          <w:w w:val="105"/>
        </w:rPr>
        <w:t>regocijo</w:t>
      </w:r>
      <w:r>
        <w:rPr>
          <w:color w:val="231F20"/>
          <w:spacing w:val="-12"/>
          <w:w w:val="105"/>
        </w:rPr>
        <w:t> </w:t>
      </w:r>
      <w:r>
        <w:rPr>
          <w:color w:val="231F20"/>
          <w:w w:val="105"/>
        </w:rPr>
        <w:t>individual</w:t>
      </w:r>
      <w:r>
        <w:rPr>
          <w:color w:val="231F20"/>
          <w:spacing w:val="-12"/>
          <w:w w:val="105"/>
        </w:rPr>
        <w:t> </w:t>
      </w:r>
      <w:r>
        <w:rPr>
          <w:color w:val="231F20"/>
          <w:w w:val="105"/>
        </w:rPr>
        <w:t>y</w:t>
      </w:r>
      <w:r>
        <w:rPr>
          <w:color w:val="231F20"/>
          <w:spacing w:val="-12"/>
          <w:w w:val="105"/>
        </w:rPr>
        <w:t> </w:t>
      </w:r>
      <w:r>
        <w:rPr>
          <w:color w:val="231F20"/>
          <w:w w:val="105"/>
        </w:rPr>
        <w:t>familiar.</w:t>
      </w:r>
      <w:r>
        <w:rPr>
          <w:color w:val="231F20"/>
          <w:spacing w:val="-17"/>
          <w:w w:val="105"/>
        </w:rPr>
        <w:t> </w:t>
      </w:r>
      <w:r>
        <w:rPr>
          <w:color w:val="231F20"/>
          <w:spacing w:val="-4"/>
          <w:w w:val="105"/>
        </w:rPr>
        <w:t>Para</w:t>
      </w:r>
      <w:r>
        <w:rPr>
          <w:color w:val="231F20"/>
          <w:spacing w:val="-12"/>
          <w:w w:val="105"/>
        </w:rPr>
        <w:t> </w:t>
      </w:r>
      <w:r>
        <w:rPr>
          <w:color w:val="231F20"/>
          <w:w w:val="105"/>
        </w:rPr>
        <w:t>la</w:t>
      </w:r>
      <w:r>
        <w:rPr>
          <w:color w:val="231F20"/>
          <w:spacing w:val="-12"/>
          <w:w w:val="105"/>
        </w:rPr>
        <w:t> </w:t>
      </w:r>
      <w:r>
        <w:rPr>
          <w:color w:val="231F20"/>
          <w:w w:val="105"/>
        </w:rPr>
        <w:t>mayoría</w:t>
      </w:r>
      <w:r>
        <w:rPr>
          <w:color w:val="231F20"/>
          <w:spacing w:val="-12"/>
          <w:w w:val="105"/>
        </w:rPr>
        <w:t> </w:t>
      </w:r>
      <w:r>
        <w:rPr>
          <w:color w:val="231F20"/>
          <w:w w:val="105"/>
        </w:rPr>
        <w:t>de</w:t>
      </w:r>
      <w:r>
        <w:rPr>
          <w:color w:val="231F20"/>
          <w:spacing w:val="-12"/>
          <w:w w:val="105"/>
        </w:rPr>
        <w:t> </w:t>
      </w:r>
      <w:r>
        <w:rPr>
          <w:color w:val="231F20"/>
          <w:w w:val="105"/>
        </w:rPr>
        <w:t>estas</w:t>
      </w:r>
      <w:r>
        <w:rPr>
          <w:color w:val="231F20"/>
          <w:spacing w:val="-12"/>
          <w:w w:val="105"/>
        </w:rPr>
        <w:t> </w:t>
      </w:r>
      <w:r>
        <w:rPr>
          <w:color w:val="231F20"/>
          <w:w w:val="105"/>
        </w:rPr>
        <w:t>pare-</w:t>
      </w:r>
      <w:r>
        <w:rPr>
          <w:color w:val="231F20"/>
          <w:w w:val="96"/>
        </w:rPr>
        <w:t> </w:t>
      </w:r>
      <w:r>
        <w:rPr>
          <w:color w:val="231F20"/>
          <w:w w:val="105"/>
        </w:rPr>
        <w:t>jas,</w:t>
      </w:r>
      <w:r>
        <w:rPr>
          <w:color w:val="231F20"/>
          <w:spacing w:val="-19"/>
          <w:w w:val="105"/>
        </w:rPr>
        <w:t> </w:t>
      </w:r>
      <w:r>
        <w:rPr>
          <w:color w:val="231F20"/>
          <w:w w:val="105"/>
        </w:rPr>
        <w:t>las</w:t>
      </w:r>
      <w:r>
        <w:rPr>
          <w:color w:val="231F20"/>
          <w:spacing w:val="-14"/>
          <w:w w:val="105"/>
        </w:rPr>
        <w:t> </w:t>
      </w:r>
      <w:r>
        <w:rPr>
          <w:color w:val="231F20"/>
          <w:w w:val="105"/>
        </w:rPr>
        <w:t>idas</w:t>
      </w:r>
      <w:r>
        <w:rPr>
          <w:color w:val="231F20"/>
          <w:spacing w:val="-14"/>
          <w:w w:val="105"/>
        </w:rPr>
        <w:t> </w:t>
      </w:r>
      <w:r>
        <w:rPr>
          <w:color w:val="231F20"/>
          <w:w w:val="105"/>
        </w:rPr>
        <w:t>no</w:t>
      </w:r>
      <w:r>
        <w:rPr>
          <w:color w:val="231F20"/>
          <w:spacing w:val="-14"/>
          <w:w w:val="105"/>
        </w:rPr>
        <w:t> </w:t>
      </w:r>
      <w:r>
        <w:rPr>
          <w:color w:val="231F20"/>
          <w:w w:val="105"/>
        </w:rPr>
        <w:t>encajan</w:t>
      </w:r>
      <w:r>
        <w:rPr>
          <w:color w:val="231F20"/>
          <w:spacing w:val="-14"/>
          <w:w w:val="105"/>
        </w:rPr>
        <w:t> </w:t>
      </w:r>
      <w:r>
        <w:rPr>
          <w:color w:val="231F20"/>
          <w:w w:val="105"/>
        </w:rPr>
        <w:t>dentro</w:t>
      </w:r>
      <w:r>
        <w:rPr>
          <w:color w:val="231F20"/>
          <w:spacing w:val="-14"/>
          <w:w w:val="105"/>
        </w:rPr>
        <w:t> </w:t>
      </w:r>
      <w:r>
        <w:rPr>
          <w:color w:val="231F20"/>
          <w:w w:val="105"/>
        </w:rPr>
        <w:t>del</w:t>
      </w:r>
      <w:r>
        <w:rPr>
          <w:color w:val="231F20"/>
          <w:spacing w:val="-14"/>
          <w:w w:val="105"/>
        </w:rPr>
        <w:t> </w:t>
      </w:r>
      <w:r>
        <w:rPr>
          <w:color w:val="231F20"/>
          <w:w w:val="105"/>
        </w:rPr>
        <w:t>plan</w:t>
      </w:r>
      <w:r>
        <w:rPr>
          <w:color w:val="231F20"/>
          <w:spacing w:val="-14"/>
          <w:w w:val="105"/>
        </w:rPr>
        <w:t> </w:t>
      </w:r>
      <w:r>
        <w:rPr>
          <w:color w:val="231F20"/>
          <w:w w:val="105"/>
        </w:rPr>
        <w:t>de</w:t>
      </w:r>
      <w:r>
        <w:rPr>
          <w:color w:val="231F20"/>
          <w:spacing w:val="-14"/>
          <w:w w:val="105"/>
        </w:rPr>
        <w:t> </w:t>
      </w:r>
      <w:r>
        <w:rPr>
          <w:color w:val="231F20"/>
          <w:w w:val="105"/>
        </w:rPr>
        <w:t>vida,</w:t>
      </w:r>
      <w:r>
        <w:rPr>
          <w:color w:val="231F20"/>
          <w:spacing w:val="-19"/>
          <w:w w:val="105"/>
        </w:rPr>
        <w:t> </w:t>
      </w:r>
      <w:r>
        <w:rPr>
          <w:color w:val="231F20"/>
          <w:w w:val="105"/>
        </w:rPr>
        <w:t>pero</w:t>
      </w:r>
      <w:r>
        <w:rPr>
          <w:color w:val="231F20"/>
          <w:spacing w:val="-14"/>
          <w:w w:val="105"/>
        </w:rPr>
        <w:t> </w:t>
      </w:r>
      <w:r>
        <w:rPr>
          <w:color w:val="231F20"/>
          <w:w w:val="105"/>
        </w:rPr>
        <w:t>cuando</w:t>
      </w:r>
      <w:r>
        <w:rPr>
          <w:color w:val="231F20"/>
          <w:spacing w:val="-14"/>
          <w:w w:val="105"/>
        </w:rPr>
        <w:t> </w:t>
      </w:r>
      <w:r>
        <w:rPr>
          <w:color w:val="231F20"/>
          <w:w w:val="105"/>
        </w:rPr>
        <w:t>éstas</w:t>
      </w:r>
      <w:r>
        <w:rPr>
          <w:color w:val="231F20"/>
          <w:spacing w:val="-14"/>
          <w:w w:val="105"/>
        </w:rPr>
        <w:t> </w:t>
      </w:r>
      <w:r>
        <w:rPr>
          <w:color w:val="231F20"/>
          <w:w w:val="105"/>
        </w:rPr>
        <w:t>suce-</w:t>
      </w:r>
      <w:r>
        <w:rPr>
          <w:color w:val="231F20"/>
          <w:w w:val="96"/>
        </w:rPr>
        <w:t> </w:t>
      </w:r>
      <w:r>
        <w:rPr>
          <w:color w:val="231F20"/>
          <w:w w:val="105"/>
        </w:rPr>
        <w:t>den</w:t>
      </w:r>
      <w:r>
        <w:rPr>
          <w:color w:val="231F20"/>
          <w:spacing w:val="-25"/>
          <w:w w:val="105"/>
        </w:rPr>
        <w:t> </w:t>
      </w:r>
      <w:r>
        <w:rPr>
          <w:color w:val="231F20"/>
          <w:w w:val="105"/>
        </w:rPr>
        <w:t>suelen</w:t>
      </w:r>
      <w:r>
        <w:rPr>
          <w:color w:val="231F20"/>
          <w:spacing w:val="-25"/>
          <w:w w:val="105"/>
        </w:rPr>
        <w:t> </w:t>
      </w:r>
      <w:r>
        <w:rPr>
          <w:color w:val="231F20"/>
          <w:w w:val="105"/>
        </w:rPr>
        <w:t>tomarse</w:t>
      </w:r>
      <w:r>
        <w:rPr>
          <w:color w:val="231F20"/>
          <w:spacing w:val="-25"/>
          <w:w w:val="105"/>
        </w:rPr>
        <w:t> </w:t>
      </w:r>
      <w:r>
        <w:rPr>
          <w:color w:val="231F20"/>
          <w:w w:val="105"/>
        </w:rPr>
        <w:t>como</w:t>
      </w:r>
      <w:r>
        <w:rPr>
          <w:color w:val="231F20"/>
          <w:spacing w:val="-25"/>
          <w:w w:val="105"/>
        </w:rPr>
        <w:t> </w:t>
      </w:r>
      <w:r>
        <w:rPr>
          <w:color w:val="231F20"/>
          <w:w w:val="105"/>
        </w:rPr>
        <w:t>puerta</w:t>
      </w:r>
      <w:r>
        <w:rPr>
          <w:color w:val="231F20"/>
          <w:spacing w:val="-25"/>
          <w:w w:val="105"/>
        </w:rPr>
        <w:t> </w:t>
      </w:r>
      <w:r>
        <w:rPr>
          <w:color w:val="231F20"/>
          <w:w w:val="105"/>
        </w:rPr>
        <w:t>de</w:t>
      </w:r>
      <w:r>
        <w:rPr>
          <w:color w:val="231F20"/>
          <w:spacing w:val="-25"/>
          <w:w w:val="105"/>
        </w:rPr>
        <w:t> </w:t>
      </w:r>
      <w:r>
        <w:rPr>
          <w:color w:val="231F20"/>
          <w:w w:val="105"/>
        </w:rPr>
        <w:t>salida</w:t>
      </w:r>
      <w:r>
        <w:rPr>
          <w:color w:val="231F20"/>
          <w:spacing w:val="-25"/>
          <w:w w:val="105"/>
        </w:rPr>
        <w:t> </w:t>
      </w:r>
      <w:r>
        <w:rPr>
          <w:color w:val="231F20"/>
          <w:w w:val="105"/>
        </w:rPr>
        <w:t>a</w:t>
      </w:r>
      <w:r>
        <w:rPr>
          <w:color w:val="231F20"/>
          <w:spacing w:val="-25"/>
          <w:w w:val="105"/>
        </w:rPr>
        <w:t> </w:t>
      </w:r>
      <w:r>
        <w:rPr>
          <w:color w:val="231F20"/>
          <w:w w:val="105"/>
        </w:rPr>
        <w:t>una</w:t>
      </w:r>
      <w:r>
        <w:rPr>
          <w:color w:val="231F20"/>
          <w:spacing w:val="-25"/>
          <w:w w:val="105"/>
        </w:rPr>
        <w:t> </w:t>
      </w:r>
      <w:r>
        <w:rPr>
          <w:color w:val="231F20"/>
          <w:w w:val="105"/>
        </w:rPr>
        <w:t>emergencia</w:t>
      </w:r>
      <w:r>
        <w:rPr>
          <w:color w:val="231F20"/>
          <w:spacing w:val="-25"/>
          <w:w w:val="105"/>
        </w:rPr>
        <w:t> </w:t>
      </w:r>
      <w:r>
        <w:rPr>
          <w:color w:val="231F20"/>
          <w:w w:val="105"/>
        </w:rPr>
        <w:t>económica.</w:t>
      </w:r>
    </w:p>
    <w:p>
      <w:pPr>
        <w:pStyle w:val="BodyText"/>
        <w:spacing w:line="261" w:lineRule="auto" w:before="1"/>
        <w:ind w:left="1723" w:right="1834" w:firstLine="567"/>
        <w:jc w:val="both"/>
      </w:pP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práctica,</w:t>
      </w:r>
      <w:r>
        <w:rPr>
          <w:color w:val="231F20"/>
          <w:spacing w:val="-33"/>
          <w:w w:val="105"/>
        </w:rPr>
        <w:t> </w:t>
      </w:r>
      <w:r>
        <w:rPr>
          <w:color w:val="231F20"/>
          <w:w w:val="105"/>
        </w:rPr>
        <w:t>las</w:t>
      </w:r>
      <w:r>
        <w:rPr>
          <w:color w:val="231F20"/>
          <w:spacing w:val="-29"/>
          <w:w w:val="105"/>
        </w:rPr>
        <w:t> </w:t>
      </w:r>
      <w:r>
        <w:rPr>
          <w:color w:val="231F20"/>
          <w:w w:val="105"/>
        </w:rPr>
        <w:t>idas</w:t>
      </w:r>
      <w:r>
        <w:rPr>
          <w:color w:val="231F20"/>
          <w:spacing w:val="-29"/>
          <w:w w:val="105"/>
        </w:rPr>
        <w:t> </w:t>
      </w:r>
      <w:r>
        <w:rPr>
          <w:color w:val="231F20"/>
          <w:w w:val="105"/>
        </w:rPr>
        <w:t>y</w:t>
      </w:r>
      <w:r>
        <w:rPr>
          <w:color w:val="231F20"/>
          <w:spacing w:val="-29"/>
          <w:w w:val="105"/>
        </w:rPr>
        <w:t> </w:t>
      </w:r>
      <w:r>
        <w:rPr>
          <w:color w:val="231F20"/>
          <w:w w:val="105"/>
        </w:rPr>
        <w:t>regresos</w:t>
      </w:r>
      <w:r>
        <w:rPr>
          <w:color w:val="231F20"/>
          <w:spacing w:val="-29"/>
          <w:w w:val="105"/>
        </w:rPr>
        <w:t> </w:t>
      </w:r>
      <w:r>
        <w:rPr>
          <w:color w:val="231F20"/>
          <w:w w:val="105"/>
        </w:rPr>
        <w:t>son</w:t>
      </w:r>
      <w:r>
        <w:rPr>
          <w:color w:val="231F20"/>
          <w:spacing w:val="-29"/>
          <w:w w:val="105"/>
        </w:rPr>
        <w:t> </w:t>
      </w:r>
      <w:r>
        <w:rPr>
          <w:color w:val="231F20"/>
          <w:w w:val="105"/>
        </w:rPr>
        <w:t>episodios</w:t>
      </w:r>
      <w:r>
        <w:rPr>
          <w:color w:val="231F20"/>
          <w:spacing w:val="-29"/>
          <w:w w:val="105"/>
        </w:rPr>
        <w:t> </w:t>
      </w:r>
      <w:r>
        <w:rPr>
          <w:color w:val="231F20"/>
          <w:w w:val="105"/>
        </w:rPr>
        <w:t>que</w:t>
      </w:r>
      <w:r>
        <w:rPr>
          <w:color w:val="231F20"/>
          <w:spacing w:val="-29"/>
          <w:w w:val="105"/>
        </w:rPr>
        <w:t> </w:t>
      </w:r>
      <w:r>
        <w:rPr>
          <w:color w:val="231F20"/>
          <w:w w:val="105"/>
        </w:rPr>
        <w:t>interfieren</w:t>
      </w:r>
      <w:r>
        <w:rPr>
          <w:color w:val="231F20"/>
          <w:spacing w:val="-29"/>
          <w:w w:val="105"/>
        </w:rPr>
        <w:t> </w:t>
      </w:r>
      <w:r>
        <w:rPr>
          <w:color w:val="231F20"/>
          <w:w w:val="105"/>
        </w:rPr>
        <w:t>para bien o para mal en la relación de pareja. Las consecuencias se pagan mutuamente,</w:t>
      </w:r>
      <w:r>
        <w:rPr>
          <w:color w:val="231F20"/>
          <w:spacing w:val="-22"/>
          <w:w w:val="105"/>
        </w:rPr>
        <w:t> </w:t>
      </w:r>
      <w:r>
        <w:rPr>
          <w:color w:val="231F20"/>
          <w:w w:val="105"/>
        </w:rPr>
        <w:t>tanto</w:t>
      </w:r>
      <w:r>
        <w:rPr>
          <w:color w:val="231F20"/>
          <w:spacing w:val="-15"/>
          <w:w w:val="105"/>
        </w:rPr>
        <w:t> </w:t>
      </w:r>
      <w:r>
        <w:rPr>
          <w:color w:val="231F20"/>
          <w:w w:val="105"/>
        </w:rPr>
        <w:t>en</w:t>
      </w:r>
      <w:r>
        <w:rPr>
          <w:color w:val="231F20"/>
          <w:spacing w:val="-15"/>
          <w:w w:val="105"/>
        </w:rPr>
        <w:t> </w:t>
      </w:r>
      <w:r>
        <w:rPr>
          <w:color w:val="231F20"/>
          <w:w w:val="105"/>
        </w:rPr>
        <w:t>lo</w:t>
      </w:r>
      <w:r>
        <w:rPr>
          <w:color w:val="231F20"/>
          <w:spacing w:val="-15"/>
          <w:w w:val="105"/>
        </w:rPr>
        <w:t> </w:t>
      </w:r>
      <w:r>
        <w:rPr>
          <w:color w:val="231F20"/>
          <w:w w:val="105"/>
        </w:rPr>
        <w:t>bueno</w:t>
      </w:r>
      <w:r>
        <w:rPr>
          <w:color w:val="231F20"/>
          <w:spacing w:val="-15"/>
          <w:w w:val="105"/>
        </w:rPr>
        <w:t> </w:t>
      </w:r>
      <w:r>
        <w:rPr>
          <w:color w:val="231F20"/>
          <w:w w:val="105"/>
        </w:rPr>
        <w:t>como</w:t>
      </w:r>
      <w:r>
        <w:rPr>
          <w:color w:val="231F20"/>
          <w:spacing w:val="-15"/>
          <w:w w:val="105"/>
        </w:rPr>
        <w:t> </w:t>
      </w:r>
      <w:r>
        <w:rPr>
          <w:color w:val="231F20"/>
          <w:w w:val="105"/>
        </w:rPr>
        <w:t>en</w:t>
      </w:r>
      <w:r>
        <w:rPr>
          <w:color w:val="231F20"/>
          <w:spacing w:val="-15"/>
          <w:w w:val="105"/>
        </w:rPr>
        <w:t> </w:t>
      </w:r>
      <w:r>
        <w:rPr>
          <w:color w:val="231F20"/>
          <w:w w:val="105"/>
        </w:rPr>
        <w:t>lo</w:t>
      </w:r>
      <w:r>
        <w:rPr>
          <w:color w:val="231F20"/>
          <w:spacing w:val="-15"/>
          <w:w w:val="105"/>
        </w:rPr>
        <w:t> </w:t>
      </w:r>
      <w:r>
        <w:rPr>
          <w:color w:val="231F20"/>
          <w:w w:val="105"/>
        </w:rPr>
        <w:t>malo:</w:t>
      </w:r>
      <w:r>
        <w:rPr>
          <w:color w:val="231F20"/>
          <w:spacing w:val="-15"/>
          <w:w w:val="105"/>
        </w:rPr>
        <w:t> </w:t>
      </w:r>
      <w:r>
        <w:rPr>
          <w:color w:val="231F20"/>
          <w:w w:val="105"/>
        </w:rPr>
        <w:t>en</w:t>
      </w:r>
      <w:r>
        <w:rPr>
          <w:color w:val="231F20"/>
          <w:spacing w:val="-15"/>
          <w:w w:val="105"/>
        </w:rPr>
        <w:t> </w:t>
      </w:r>
      <w:r>
        <w:rPr>
          <w:color w:val="231F20"/>
          <w:w w:val="105"/>
        </w:rPr>
        <w:t>lo</w:t>
      </w:r>
      <w:r>
        <w:rPr>
          <w:color w:val="231F20"/>
          <w:spacing w:val="-15"/>
          <w:w w:val="105"/>
        </w:rPr>
        <w:t> </w:t>
      </w:r>
      <w:r>
        <w:rPr>
          <w:color w:val="231F20"/>
          <w:w w:val="105"/>
        </w:rPr>
        <w:t>positivo</w:t>
      </w:r>
      <w:r>
        <w:rPr>
          <w:color w:val="231F20"/>
          <w:spacing w:val="-15"/>
          <w:w w:val="105"/>
        </w:rPr>
        <w:t> </w:t>
      </w:r>
      <w:r>
        <w:rPr>
          <w:color w:val="231F20"/>
          <w:w w:val="105"/>
        </w:rPr>
        <w:t>a</w:t>
      </w:r>
      <w:r>
        <w:rPr>
          <w:color w:val="231F20"/>
          <w:spacing w:val="-15"/>
          <w:w w:val="105"/>
        </w:rPr>
        <w:t> </w:t>
      </w:r>
      <w:r>
        <w:rPr>
          <w:color w:val="231F20"/>
          <w:w w:val="105"/>
        </w:rPr>
        <w:t>manera de</w:t>
      </w:r>
      <w:r>
        <w:rPr>
          <w:color w:val="231F20"/>
          <w:spacing w:val="-21"/>
          <w:w w:val="105"/>
        </w:rPr>
        <w:t> </w:t>
      </w:r>
      <w:r>
        <w:rPr>
          <w:color w:val="231F20"/>
          <w:w w:val="105"/>
        </w:rPr>
        <w:t>logros</w:t>
      </w:r>
      <w:r>
        <w:rPr>
          <w:color w:val="231F20"/>
          <w:spacing w:val="-21"/>
          <w:w w:val="105"/>
        </w:rPr>
        <w:t> </w:t>
      </w:r>
      <w:r>
        <w:rPr>
          <w:color w:val="231F20"/>
          <w:w w:val="105"/>
        </w:rPr>
        <w:t>y</w:t>
      </w:r>
      <w:r>
        <w:rPr>
          <w:color w:val="231F20"/>
          <w:spacing w:val="-21"/>
          <w:w w:val="105"/>
        </w:rPr>
        <w:t> </w:t>
      </w:r>
      <w:r>
        <w:rPr>
          <w:color w:val="231F20"/>
          <w:w w:val="105"/>
        </w:rPr>
        <w:t>ascensos</w:t>
      </w:r>
      <w:r>
        <w:rPr>
          <w:color w:val="231F20"/>
          <w:spacing w:val="-21"/>
          <w:w w:val="105"/>
        </w:rPr>
        <w:t> </w:t>
      </w:r>
      <w:r>
        <w:rPr>
          <w:color w:val="231F20"/>
          <w:w w:val="105"/>
        </w:rPr>
        <w:t>económicos,</w:t>
      </w:r>
      <w:r>
        <w:rPr>
          <w:color w:val="231F20"/>
          <w:spacing w:val="-26"/>
          <w:w w:val="105"/>
        </w:rPr>
        <w:t> </w:t>
      </w:r>
      <w:r>
        <w:rPr>
          <w:color w:val="231F20"/>
          <w:w w:val="105"/>
        </w:rPr>
        <w:t>ahorro</w:t>
      </w:r>
      <w:r>
        <w:rPr>
          <w:color w:val="231F20"/>
          <w:spacing w:val="-21"/>
          <w:w w:val="105"/>
        </w:rPr>
        <w:t> </w:t>
      </w:r>
      <w:r>
        <w:rPr>
          <w:color w:val="231F20"/>
          <w:w w:val="105"/>
        </w:rPr>
        <w:t>de</w:t>
      </w:r>
      <w:r>
        <w:rPr>
          <w:color w:val="231F20"/>
          <w:spacing w:val="-21"/>
          <w:w w:val="105"/>
        </w:rPr>
        <w:t> </w:t>
      </w:r>
      <w:r>
        <w:rPr>
          <w:color w:val="231F20"/>
          <w:w w:val="105"/>
        </w:rPr>
        <w:t>dinero,</w:t>
      </w:r>
      <w:r>
        <w:rPr>
          <w:color w:val="231F20"/>
          <w:spacing w:val="12"/>
          <w:w w:val="105"/>
        </w:rPr>
        <w:t> </w:t>
      </w:r>
      <w:r>
        <w:rPr>
          <w:color w:val="231F20"/>
          <w:w w:val="105"/>
        </w:rPr>
        <w:t>inversión</w:t>
      </w:r>
      <w:r>
        <w:rPr>
          <w:color w:val="231F20"/>
          <w:spacing w:val="-21"/>
          <w:w w:val="105"/>
        </w:rPr>
        <w:t> </w:t>
      </w:r>
      <w:r>
        <w:rPr>
          <w:color w:val="231F20"/>
          <w:w w:val="105"/>
        </w:rPr>
        <w:t>a</w:t>
      </w:r>
      <w:r>
        <w:rPr>
          <w:color w:val="231F20"/>
          <w:spacing w:val="-21"/>
          <w:w w:val="105"/>
        </w:rPr>
        <w:t> </w:t>
      </w:r>
      <w:r>
        <w:rPr>
          <w:color w:val="231F20"/>
          <w:w w:val="105"/>
        </w:rPr>
        <w:t>distintas escalas;</w:t>
      </w:r>
      <w:r>
        <w:rPr>
          <w:color w:val="231F20"/>
          <w:spacing w:val="-9"/>
          <w:w w:val="105"/>
        </w:rPr>
        <w:t> </w:t>
      </w:r>
      <w:r>
        <w:rPr>
          <w:color w:val="231F20"/>
          <w:w w:val="105"/>
        </w:rPr>
        <w:t>mientras</w:t>
      </w:r>
      <w:r>
        <w:rPr>
          <w:color w:val="231F20"/>
          <w:spacing w:val="-9"/>
          <w:w w:val="105"/>
        </w:rPr>
        <w:t> </w:t>
      </w:r>
      <w:r>
        <w:rPr>
          <w:color w:val="231F20"/>
          <w:w w:val="105"/>
        </w:rPr>
        <w:t>que</w:t>
      </w:r>
      <w:r>
        <w:rPr>
          <w:color w:val="231F20"/>
          <w:spacing w:val="-9"/>
          <w:w w:val="105"/>
        </w:rPr>
        <w:t> </w:t>
      </w:r>
      <w:r>
        <w:rPr>
          <w:color w:val="231F20"/>
          <w:w w:val="105"/>
        </w:rPr>
        <w:t>en</w:t>
      </w:r>
      <w:r>
        <w:rPr>
          <w:color w:val="231F20"/>
          <w:spacing w:val="-9"/>
          <w:w w:val="105"/>
        </w:rPr>
        <w:t> </w:t>
      </w:r>
      <w:r>
        <w:rPr>
          <w:color w:val="231F20"/>
          <w:w w:val="105"/>
        </w:rPr>
        <w:t>lo</w:t>
      </w:r>
      <w:r>
        <w:rPr>
          <w:color w:val="231F20"/>
          <w:spacing w:val="-9"/>
          <w:w w:val="105"/>
        </w:rPr>
        <w:t> </w:t>
      </w:r>
      <w:r>
        <w:rPr>
          <w:color w:val="231F20"/>
          <w:w w:val="105"/>
        </w:rPr>
        <w:t>negativo</w:t>
      </w:r>
      <w:r>
        <w:rPr>
          <w:color w:val="231F20"/>
          <w:spacing w:val="-9"/>
          <w:w w:val="105"/>
        </w:rPr>
        <w:t> </w:t>
      </w:r>
      <w:r>
        <w:rPr>
          <w:color w:val="231F20"/>
          <w:w w:val="105"/>
        </w:rPr>
        <w:t>casi</w:t>
      </w:r>
      <w:r>
        <w:rPr>
          <w:color w:val="231F20"/>
          <w:spacing w:val="-9"/>
          <w:w w:val="105"/>
        </w:rPr>
        <w:t> </w:t>
      </w:r>
      <w:r>
        <w:rPr>
          <w:color w:val="231F20"/>
          <w:w w:val="105"/>
        </w:rPr>
        <w:t>siempre</w:t>
      </w:r>
      <w:r>
        <w:rPr>
          <w:color w:val="231F20"/>
          <w:spacing w:val="-9"/>
          <w:w w:val="105"/>
        </w:rPr>
        <w:t> </w:t>
      </w:r>
      <w:r>
        <w:rPr>
          <w:color w:val="231F20"/>
          <w:w w:val="105"/>
        </w:rPr>
        <w:t>recae</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cambios de comportamiento de los integrantes de la familia, conflictos o malos entendidos</w:t>
      </w:r>
      <w:r>
        <w:rPr>
          <w:color w:val="231F20"/>
          <w:spacing w:val="-5"/>
          <w:w w:val="105"/>
        </w:rPr>
        <w:t> </w:t>
      </w:r>
      <w:r>
        <w:rPr>
          <w:color w:val="231F20"/>
          <w:w w:val="105"/>
        </w:rPr>
        <w:t>entre</w:t>
      </w:r>
      <w:r>
        <w:rPr>
          <w:color w:val="231F20"/>
          <w:spacing w:val="-5"/>
          <w:w w:val="105"/>
        </w:rPr>
        <w:t> </w:t>
      </w:r>
      <w:r>
        <w:rPr>
          <w:color w:val="231F20"/>
          <w:w w:val="105"/>
        </w:rPr>
        <w:t>los</w:t>
      </w:r>
      <w:r>
        <w:rPr>
          <w:color w:val="231F20"/>
          <w:spacing w:val="-5"/>
          <w:w w:val="105"/>
        </w:rPr>
        <w:t> </w:t>
      </w:r>
      <w:r>
        <w:rPr>
          <w:color w:val="231F20"/>
          <w:w w:val="105"/>
        </w:rPr>
        <w:t>matrimonios,</w:t>
      </w:r>
      <w:r>
        <w:rPr>
          <w:color w:val="231F20"/>
          <w:spacing w:val="-9"/>
          <w:w w:val="105"/>
        </w:rPr>
        <w:t> </w:t>
      </w:r>
      <w:r>
        <w:rPr>
          <w:color w:val="231F20"/>
          <w:spacing w:val="-4"/>
          <w:w w:val="105"/>
        </w:rPr>
        <w:t>y,</w:t>
      </w:r>
      <w:r>
        <w:rPr>
          <w:color w:val="231F20"/>
          <w:spacing w:val="-9"/>
          <w:w w:val="105"/>
        </w:rPr>
        <w:t> </w:t>
      </w:r>
      <w:r>
        <w:rPr>
          <w:color w:val="231F20"/>
          <w:w w:val="105"/>
        </w:rPr>
        <w:t>ciertas</w:t>
      </w:r>
      <w:r>
        <w:rPr>
          <w:color w:val="231F20"/>
          <w:spacing w:val="-5"/>
          <w:w w:val="105"/>
        </w:rPr>
        <w:t> </w:t>
      </w:r>
      <w:r>
        <w:rPr>
          <w:color w:val="231F20"/>
          <w:w w:val="105"/>
        </w:rPr>
        <w:t>veces,</w:t>
      </w:r>
      <w:r>
        <w:rPr>
          <w:color w:val="231F20"/>
          <w:spacing w:val="-9"/>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enfriamientos de</w:t>
      </w:r>
      <w:r>
        <w:rPr>
          <w:color w:val="231F20"/>
          <w:spacing w:val="-26"/>
          <w:w w:val="105"/>
        </w:rPr>
        <w:t> </w:t>
      </w:r>
      <w:r>
        <w:rPr>
          <w:color w:val="231F20"/>
          <w:w w:val="105"/>
        </w:rPr>
        <w:t>las</w:t>
      </w:r>
      <w:r>
        <w:rPr>
          <w:color w:val="231F20"/>
          <w:spacing w:val="-26"/>
          <w:w w:val="105"/>
        </w:rPr>
        <w:t> </w:t>
      </w:r>
      <w:r>
        <w:rPr>
          <w:color w:val="231F20"/>
          <w:w w:val="105"/>
        </w:rPr>
        <w:t>relaciones</w:t>
      </w:r>
      <w:r>
        <w:rPr>
          <w:color w:val="231F20"/>
          <w:spacing w:val="-26"/>
          <w:w w:val="105"/>
        </w:rPr>
        <w:t> </w:t>
      </w:r>
      <w:r>
        <w:rPr>
          <w:color w:val="231F20"/>
          <w:w w:val="105"/>
        </w:rPr>
        <w:t>sentimentales</w:t>
      </w:r>
      <w:r>
        <w:rPr>
          <w:color w:val="231F20"/>
          <w:spacing w:val="-26"/>
          <w:w w:val="105"/>
        </w:rPr>
        <w:t> </w:t>
      </w:r>
      <w:r>
        <w:rPr>
          <w:color w:val="231F20"/>
          <w:w w:val="105"/>
        </w:rPr>
        <w:t>entre</w:t>
      </w:r>
      <w:r>
        <w:rPr>
          <w:color w:val="231F20"/>
          <w:spacing w:val="-26"/>
          <w:w w:val="105"/>
        </w:rPr>
        <w:t> </w:t>
      </w:r>
      <w:r>
        <w:rPr>
          <w:color w:val="231F20"/>
          <w:w w:val="105"/>
        </w:rPr>
        <w:t>la</w:t>
      </w:r>
      <w:r>
        <w:rPr>
          <w:color w:val="231F20"/>
          <w:spacing w:val="-26"/>
          <w:w w:val="105"/>
        </w:rPr>
        <w:t> </w:t>
      </w:r>
      <w:r>
        <w:rPr>
          <w:color w:val="231F20"/>
          <w:w w:val="105"/>
        </w:rPr>
        <w:t>pareja.</w:t>
      </w:r>
    </w:p>
    <w:p>
      <w:pPr>
        <w:pStyle w:val="BodyText"/>
        <w:spacing w:line="261" w:lineRule="auto" w:before="1"/>
        <w:ind w:left="1723" w:right="1830" w:firstLine="567"/>
        <w:jc w:val="both"/>
      </w:pPr>
      <w:r>
        <w:rPr>
          <w:color w:val="231F20"/>
          <w:spacing w:val="-3"/>
          <w:w w:val="105"/>
        </w:rPr>
        <w:t>Otras</w:t>
      </w:r>
      <w:r>
        <w:rPr>
          <w:color w:val="231F20"/>
          <w:spacing w:val="-25"/>
          <w:w w:val="105"/>
        </w:rPr>
        <w:t> </w:t>
      </w:r>
      <w:r>
        <w:rPr>
          <w:color w:val="231F20"/>
          <w:spacing w:val="-3"/>
          <w:w w:val="105"/>
        </w:rPr>
        <w:t>veces,</w:t>
      </w:r>
      <w:r>
        <w:rPr>
          <w:color w:val="231F20"/>
          <w:spacing w:val="-29"/>
          <w:w w:val="105"/>
        </w:rPr>
        <w:t> </w:t>
      </w:r>
      <w:r>
        <w:rPr>
          <w:color w:val="231F20"/>
          <w:w w:val="105"/>
        </w:rPr>
        <w:t>el</w:t>
      </w:r>
      <w:r>
        <w:rPr>
          <w:color w:val="231F20"/>
          <w:spacing w:val="-25"/>
          <w:w w:val="105"/>
        </w:rPr>
        <w:t> </w:t>
      </w:r>
      <w:r>
        <w:rPr>
          <w:color w:val="231F20"/>
          <w:spacing w:val="-3"/>
          <w:w w:val="105"/>
        </w:rPr>
        <w:t>acierto</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spacing w:val="-3"/>
          <w:w w:val="105"/>
        </w:rPr>
        <w:t>idas</w:t>
      </w:r>
      <w:r>
        <w:rPr>
          <w:color w:val="231F20"/>
          <w:spacing w:val="-25"/>
          <w:w w:val="105"/>
        </w:rPr>
        <w:t> </w:t>
      </w:r>
      <w:r>
        <w:rPr>
          <w:color w:val="231F20"/>
          <w:w w:val="105"/>
        </w:rPr>
        <w:t>es</w:t>
      </w:r>
      <w:r>
        <w:rPr>
          <w:color w:val="231F20"/>
          <w:spacing w:val="-25"/>
          <w:w w:val="105"/>
        </w:rPr>
        <w:t> </w:t>
      </w:r>
      <w:r>
        <w:rPr>
          <w:color w:val="231F20"/>
          <w:spacing w:val="-3"/>
          <w:w w:val="105"/>
        </w:rPr>
        <w:t>ayudar</w:t>
      </w:r>
      <w:r>
        <w:rPr>
          <w:color w:val="231F20"/>
          <w:spacing w:val="-25"/>
          <w:w w:val="105"/>
        </w:rPr>
        <w:t> </w:t>
      </w:r>
      <w:r>
        <w:rPr>
          <w:color w:val="231F20"/>
          <w:w w:val="105"/>
        </w:rPr>
        <w:t>a</w:t>
      </w:r>
      <w:r>
        <w:rPr>
          <w:color w:val="231F20"/>
          <w:spacing w:val="-25"/>
          <w:w w:val="105"/>
        </w:rPr>
        <w:t> </w:t>
      </w:r>
      <w:r>
        <w:rPr>
          <w:color w:val="231F20"/>
          <w:w w:val="105"/>
        </w:rPr>
        <w:t>ver</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spacing w:val="-3"/>
          <w:w w:val="105"/>
        </w:rPr>
        <w:t>pareja</w:t>
      </w:r>
      <w:r>
        <w:rPr>
          <w:color w:val="231F20"/>
          <w:spacing w:val="-25"/>
          <w:w w:val="105"/>
        </w:rPr>
        <w:t> </w:t>
      </w:r>
      <w:r>
        <w:rPr>
          <w:color w:val="231F20"/>
          <w:w w:val="105"/>
        </w:rPr>
        <w:t>a</w:t>
      </w:r>
      <w:r>
        <w:rPr>
          <w:color w:val="231F20"/>
          <w:spacing w:val="-25"/>
          <w:w w:val="105"/>
        </w:rPr>
        <w:t> </w:t>
      </w:r>
      <w:r>
        <w:rPr>
          <w:color w:val="231F20"/>
          <w:spacing w:val="-3"/>
          <w:w w:val="105"/>
        </w:rPr>
        <w:t>actua- lizarse</w:t>
      </w:r>
      <w:r>
        <w:rPr>
          <w:color w:val="231F20"/>
          <w:spacing w:val="-23"/>
          <w:w w:val="105"/>
        </w:rPr>
        <w:t> </w:t>
      </w:r>
      <w:r>
        <w:rPr>
          <w:color w:val="231F20"/>
          <w:w w:val="105"/>
        </w:rPr>
        <w:t>(la</w:t>
      </w:r>
      <w:r>
        <w:rPr>
          <w:color w:val="231F20"/>
          <w:spacing w:val="-23"/>
          <w:w w:val="105"/>
        </w:rPr>
        <w:t> </w:t>
      </w:r>
      <w:r>
        <w:rPr>
          <w:color w:val="231F20"/>
          <w:spacing w:val="-3"/>
          <w:w w:val="105"/>
        </w:rPr>
        <w:t>pareja</w:t>
      </w:r>
      <w:r>
        <w:rPr>
          <w:color w:val="231F20"/>
          <w:spacing w:val="-23"/>
          <w:w w:val="105"/>
        </w:rPr>
        <w:t> </w:t>
      </w:r>
      <w:r>
        <w:rPr>
          <w:color w:val="231F20"/>
          <w:spacing w:val="-4"/>
          <w:w w:val="105"/>
        </w:rPr>
        <w:t>raras</w:t>
      </w:r>
      <w:r>
        <w:rPr>
          <w:color w:val="231F20"/>
          <w:spacing w:val="-23"/>
          <w:w w:val="105"/>
        </w:rPr>
        <w:t> </w:t>
      </w:r>
      <w:r>
        <w:rPr>
          <w:color w:val="231F20"/>
          <w:spacing w:val="-3"/>
          <w:w w:val="105"/>
        </w:rPr>
        <w:t>veces</w:t>
      </w:r>
      <w:r>
        <w:rPr>
          <w:color w:val="231F20"/>
          <w:spacing w:val="-23"/>
          <w:w w:val="105"/>
        </w:rPr>
        <w:t> </w:t>
      </w:r>
      <w:r>
        <w:rPr>
          <w:color w:val="231F20"/>
          <w:w w:val="105"/>
        </w:rPr>
        <w:t>se</w:t>
      </w:r>
      <w:r>
        <w:rPr>
          <w:color w:val="231F20"/>
          <w:spacing w:val="-23"/>
          <w:w w:val="105"/>
        </w:rPr>
        <w:t> </w:t>
      </w:r>
      <w:r>
        <w:rPr>
          <w:color w:val="231F20"/>
          <w:spacing w:val="-3"/>
          <w:w w:val="105"/>
        </w:rPr>
        <w:t>actualiza),</w:t>
      </w:r>
      <w:r>
        <w:rPr>
          <w:color w:val="231F20"/>
          <w:spacing w:val="-27"/>
          <w:w w:val="105"/>
        </w:rPr>
        <w:t> </w:t>
      </w:r>
      <w:r>
        <w:rPr>
          <w:color w:val="231F20"/>
          <w:w w:val="105"/>
        </w:rPr>
        <w:t>es</w:t>
      </w:r>
      <w:r>
        <w:rPr>
          <w:color w:val="231F20"/>
          <w:spacing w:val="-23"/>
          <w:w w:val="105"/>
        </w:rPr>
        <w:t> </w:t>
      </w:r>
      <w:r>
        <w:rPr>
          <w:color w:val="231F20"/>
          <w:spacing w:val="-5"/>
          <w:w w:val="105"/>
        </w:rPr>
        <w:t>decir,</w:t>
      </w:r>
      <w:r>
        <w:rPr>
          <w:color w:val="231F20"/>
          <w:spacing w:val="-27"/>
          <w:w w:val="105"/>
        </w:rPr>
        <w:t> </w:t>
      </w:r>
      <w:r>
        <w:rPr>
          <w:color w:val="231F20"/>
          <w:spacing w:val="-3"/>
          <w:w w:val="105"/>
        </w:rPr>
        <w:t>sufrir</w:t>
      </w:r>
      <w:r>
        <w:rPr>
          <w:color w:val="231F20"/>
          <w:spacing w:val="-23"/>
          <w:w w:val="105"/>
        </w:rPr>
        <w:t> </w:t>
      </w:r>
      <w:r>
        <w:rPr>
          <w:color w:val="231F20"/>
          <w:spacing w:val="-3"/>
          <w:w w:val="105"/>
        </w:rPr>
        <w:t>frente</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spacing w:val="-3"/>
          <w:w w:val="105"/>
        </w:rPr>
        <w:t>ausen- </w:t>
      </w:r>
      <w:r>
        <w:rPr>
          <w:color w:val="231F20"/>
          <w:w w:val="105"/>
        </w:rPr>
        <w:t>cia</w:t>
      </w:r>
      <w:r>
        <w:rPr>
          <w:color w:val="231F20"/>
          <w:spacing w:val="-12"/>
          <w:w w:val="105"/>
        </w:rPr>
        <w:t> </w:t>
      </w:r>
      <w:r>
        <w:rPr>
          <w:color w:val="231F20"/>
          <w:w w:val="105"/>
        </w:rPr>
        <w:t>del</w:t>
      </w:r>
      <w:r>
        <w:rPr>
          <w:color w:val="231F20"/>
          <w:spacing w:val="-12"/>
          <w:w w:val="105"/>
        </w:rPr>
        <w:t> </w:t>
      </w:r>
      <w:r>
        <w:rPr>
          <w:color w:val="231F20"/>
          <w:spacing w:val="-3"/>
          <w:w w:val="105"/>
        </w:rPr>
        <w:t>hombre</w:t>
      </w:r>
      <w:r>
        <w:rPr>
          <w:color w:val="231F20"/>
          <w:spacing w:val="-12"/>
          <w:w w:val="105"/>
        </w:rPr>
        <w:t> </w:t>
      </w:r>
      <w:r>
        <w:rPr>
          <w:color w:val="231F20"/>
          <w:spacing w:val="-3"/>
          <w:w w:val="105"/>
        </w:rPr>
        <w:t>radica</w:t>
      </w:r>
      <w:r>
        <w:rPr>
          <w:color w:val="231F20"/>
          <w:spacing w:val="-12"/>
          <w:w w:val="105"/>
        </w:rPr>
        <w:t> </w:t>
      </w:r>
      <w:r>
        <w:rPr>
          <w:color w:val="231F20"/>
          <w:spacing w:val="-3"/>
          <w:w w:val="105"/>
        </w:rPr>
        <w:t>precisamente</w:t>
      </w:r>
      <w:r>
        <w:rPr>
          <w:color w:val="231F20"/>
          <w:spacing w:val="-12"/>
          <w:w w:val="105"/>
        </w:rPr>
        <w:t> </w:t>
      </w:r>
      <w:r>
        <w:rPr>
          <w:color w:val="231F20"/>
          <w:w w:val="105"/>
        </w:rPr>
        <w:t>en</w:t>
      </w:r>
      <w:r>
        <w:rPr>
          <w:color w:val="231F20"/>
          <w:spacing w:val="-12"/>
          <w:w w:val="105"/>
        </w:rPr>
        <w:t> </w:t>
      </w:r>
      <w:r>
        <w:rPr>
          <w:color w:val="231F20"/>
          <w:spacing w:val="-3"/>
          <w:w w:val="105"/>
        </w:rPr>
        <w:t>preservar</w:t>
      </w:r>
      <w:r>
        <w:rPr>
          <w:color w:val="231F20"/>
          <w:spacing w:val="-12"/>
          <w:w w:val="105"/>
        </w:rPr>
        <w:t> </w:t>
      </w:r>
      <w:r>
        <w:rPr>
          <w:color w:val="231F20"/>
          <w:w w:val="105"/>
        </w:rPr>
        <w:t>la</w:t>
      </w:r>
      <w:r>
        <w:rPr>
          <w:color w:val="231F20"/>
          <w:spacing w:val="-12"/>
          <w:w w:val="105"/>
        </w:rPr>
        <w:t> </w:t>
      </w:r>
      <w:r>
        <w:rPr>
          <w:color w:val="231F20"/>
          <w:spacing w:val="-3"/>
          <w:w w:val="105"/>
        </w:rPr>
        <w:t>nostalgia</w:t>
      </w:r>
      <w:r>
        <w:rPr>
          <w:color w:val="231F20"/>
          <w:spacing w:val="-12"/>
          <w:w w:val="105"/>
        </w:rPr>
        <w:t> </w:t>
      </w:r>
      <w:r>
        <w:rPr>
          <w:color w:val="231F20"/>
          <w:w w:val="105"/>
        </w:rPr>
        <w:t>de</w:t>
      </w:r>
      <w:r>
        <w:rPr>
          <w:color w:val="231F20"/>
          <w:spacing w:val="-12"/>
          <w:w w:val="105"/>
        </w:rPr>
        <w:t> </w:t>
      </w:r>
      <w:r>
        <w:rPr>
          <w:color w:val="231F20"/>
          <w:spacing w:val="-3"/>
          <w:w w:val="105"/>
        </w:rPr>
        <w:t>aquellos tiempos</w:t>
      </w:r>
      <w:r>
        <w:rPr>
          <w:color w:val="231F20"/>
          <w:spacing w:val="-13"/>
          <w:w w:val="105"/>
        </w:rPr>
        <w:t> </w:t>
      </w:r>
      <w:r>
        <w:rPr>
          <w:color w:val="231F20"/>
          <w:w w:val="105"/>
        </w:rPr>
        <w:t>en</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spacing w:val="-4"/>
          <w:w w:val="105"/>
        </w:rPr>
        <w:t>enamoraron,</w:t>
      </w:r>
      <w:r>
        <w:rPr>
          <w:color w:val="231F20"/>
          <w:spacing w:val="-19"/>
          <w:w w:val="105"/>
        </w:rPr>
        <w:t> </w:t>
      </w:r>
      <w:r>
        <w:rPr>
          <w:color w:val="231F20"/>
          <w:w w:val="105"/>
        </w:rPr>
        <w:t>se</w:t>
      </w:r>
      <w:r>
        <w:rPr>
          <w:color w:val="231F20"/>
          <w:spacing w:val="-13"/>
          <w:w w:val="105"/>
        </w:rPr>
        <w:t> </w:t>
      </w:r>
      <w:r>
        <w:rPr>
          <w:color w:val="231F20"/>
          <w:spacing w:val="-3"/>
          <w:w w:val="105"/>
        </w:rPr>
        <w:t>casaron</w:t>
      </w:r>
      <w:r>
        <w:rPr>
          <w:color w:val="231F20"/>
          <w:spacing w:val="-13"/>
          <w:w w:val="105"/>
        </w:rPr>
        <w:t> </w:t>
      </w:r>
      <w:r>
        <w:rPr>
          <w:color w:val="231F20"/>
          <w:w w:val="105"/>
        </w:rPr>
        <w:t>y</w:t>
      </w:r>
      <w:r>
        <w:rPr>
          <w:color w:val="231F20"/>
          <w:spacing w:val="-13"/>
          <w:w w:val="105"/>
        </w:rPr>
        <w:t> </w:t>
      </w:r>
      <w:r>
        <w:rPr>
          <w:color w:val="231F20"/>
          <w:w w:val="105"/>
        </w:rPr>
        <w:t>se</w:t>
      </w:r>
      <w:r>
        <w:rPr>
          <w:color w:val="231F20"/>
          <w:spacing w:val="-13"/>
          <w:w w:val="105"/>
        </w:rPr>
        <w:t> </w:t>
      </w:r>
      <w:r>
        <w:rPr>
          <w:color w:val="231F20"/>
          <w:spacing w:val="-4"/>
          <w:w w:val="105"/>
        </w:rPr>
        <w:t>prometieron</w:t>
      </w:r>
      <w:r>
        <w:rPr>
          <w:color w:val="231F20"/>
          <w:spacing w:val="-13"/>
          <w:w w:val="105"/>
        </w:rPr>
        <w:t> </w:t>
      </w:r>
      <w:r>
        <w:rPr>
          <w:color w:val="231F20"/>
          <w:spacing w:val="-3"/>
          <w:w w:val="105"/>
        </w:rPr>
        <w:t>amor</w:t>
      </w:r>
      <w:r>
        <w:rPr>
          <w:color w:val="231F20"/>
          <w:spacing w:val="-13"/>
          <w:w w:val="105"/>
        </w:rPr>
        <w:t> </w:t>
      </w:r>
      <w:r>
        <w:rPr>
          <w:color w:val="231F20"/>
          <w:spacing w:val="-3"/>
          <w:w w:val="105"/>
        </w:rPr>
        <w:t>eterno </w:t>
      </w:r>
      <w:r>
        <w:rPr>
          <w:color w:val="231F20"/>
          <w:w w:val="105"/>
        </w:rPr>
        <w:t>y </w:t>
      </w:r>
      <w:r>
        <w:rPr>
          <w:color w:val="231F20"/>
          <w:spacing w:val="-3"/>
          <w:w w:val="105"/>
        </w:rPr>
        <w:t>vivir “juntos” toda </w:t>
      </w:r>
      <w:r>
        <w:rPr>
          <w:color w:val="231F20"/>
          <w:w w:val="105"/>
        </w:rPr>
        <w:t>la </w:t>
      </w:r>
      <w:r>
        <w:rPr>
          <w:color w:val="231F20"/>
          <w:spacing w:val="-3"/>
          <w:w w:val="105"/>
        </w:rPr>
        <w:t>vida. Esto implica retos, cambiar </w:t>
      </w:r>
      <w:r>
        <w:rPr>
          <w:color w:val="231F20"/>
          <w:w w:val="105"/>
        </w:rPr>
        <w:t>de </w:t>
      </w:r>
      <w:r>
        <w:rPr>
          <w:color w:val="231F20"/>
          <w:spacing w:val="-3"/>
          <w:w w:val="105"/>
        </w:rPr>
        <w:t>percepción </w:t>
      </w:r>
      <w:r>
        <w:rPr>
          <w:color w:val="231F20"/>
          <w:w w:val="105"/>
        </w:rPr>
        <w:t>so- </w:t>
      </w:r>
      <w:r>
        <w:rPr>
          <w:color w:val="231F20"/>
          <w:spacing w:val="-3"/>
          <w:w w:val="105"/>
        </w:rPr>
        <w:t>bre</w:t>
      </w:r>
      <w:r>
        <w:rPr>
          <w:color w:val="231F20"/>
          <w:spacing w:val="-15"/>
          <w:w w:val="105"/>
        </w:rPr>
        <w:t> </w:t>
      </w:r>
      <w:r>
        <w:rPr>
          <w:color w:val="231F20"/>
          <w:w w:val="105"/>
        </w:rPr>
        <w:t>la</w:t>
      </w:r>
      <w:r>
        <w:rPr>
          <w:color w:val="231F20"/>
          <w:spacing w:val="-15"/>
          <w:w w:val="105"/>
        </w:rPr>
        <w:t> </w:t>
      </w:r>
      <w:r>
        <w:rPr>
          <w:color w:val="231F20"/>
          <w:spacing w:val="-3"/>
          <w:w w:val="105"/>
        </w:rPr>
        <w:t>vida</w:t>
      </w:r>
      <w:r>
        <w:rPr>
          <w:color w:val="231F20"/>
          <w:spacing w:val="-14"/>
          <w:w w:val="105"/>
        </w:rPr>
        <w:t> </w:t>
      </w:r>
      <w:r>
        <w:rPr>
          <w:color w:val="231F20"/>
          <w:w w:val="105"/>
        </w:rPr>
        <w:t>en</w:t>
      </w:r>
      <w:r>
        <w:rPr>
          <w:color w:val="231F20"/>
          <w:spacing w:val="-14"/>
          <w:w w:val="105"/>
        </w:rPr>
        <w:t> </w:t>
      </w:r>
      <w:r>
        <w:rPr>
          <w:color w:val="231F20"/>
          <w:spacing w:val="-3"/>
          <w:w w:val="105"/>
        </w:rPr>
        <w:t>pareja</w:t>
      </w:r>
      <w:r>
        <w:rPr>
          <w:color w:val="231F20"/>
          <w:spacing w:val="-15"/>
          <w:w w:val="105"/>
        </w:rPr>
        <w:t> </w:t>
      </w:r>
      <w:r>
        <w:rPr>
          <w:color w:val="231F20"/>
          <w:w w:val="105"/>
        </w:rPr>
        <w:t>y</w:t>
      </w:r>
      <w:r>
        <w:rPr>
          <w:color w:val="231F20"/>
          <w:spacing w:val="-15"/>
          <w:w w:val="105"/>
        </w:rPr>
        <w:t> </w:t>
      </w:r>
      <w:r>
        <w:rPr>
          <w:color w:val="231F20"/>
          <w:spacing w:val="-3"/>
          <w:w w:val="105"/>
        </w:rPr>
        <w:t>hasta</w:t>
      </w:r>
      <w:r>
        <w:rPr>
          <w:color w:val="231F20"/>
          <w:spacing w:val="-14"/>
          <w:w w:val="105"/>
        </w:rPr>
        <w:t> </w:t>
      </w:r>
      <w:r>
        <w:rPr>
          <w:color w:val="231F20"/>
          <w:spacing w:val="-3"/>
          <w:w w:val="105"/>
        </w:rPr>
        <w:t>aprender</w:t>
      </w:r>
      <w:r>
        <w:rPr>
          <w:color w:val="231F20"/>
          <w:spacing w:val="-15"/>
          <w:w w:val="105"/>
        </w:rPr>
        <w:t> </w:t>
      </w:r>
      <w:r>
        <w:rPr>
          <w:color w:val="231F20"/>
          <w:w w:val="105"/>
        </w:rPr>
        <w:t>a</w:t>
      </w:r>
      <w:r>
        <w:rPr>
          <w:color w:val="231F20"/>
          <w:spacing w:val="-15"/>
          <w:w w:val="105"/>
        </w:rPr>
        <w:t> </w:t>
      </w:r>
      <w:r>
        <w:rPr>
          <w:color w:val="231F20"/>
          <w:w w:val="105"/>
        </w:rPr>
        <w:t>ser</w:t>
      </w:r>
      <w:r>
        <w:rPr>
          <w:color w:val="231F20"/>
          <w:spacing w:val="-15"/>
          <w:w w:val="105"/>
        </w:rPr>
        <w:t> </w:t>
      </w:r>
      <w:r>
        <w:rPr>
          <w:color w:val="231F20"/>
          <w:spacing w:val="-3"/>
          <w:w w:val="105"/>
        </w:rPr>
        <w:t>pareja</w:t>
      </w:r>
      <w:r>
        <w:rPr>
          <w:color w:val="231F20"/>
          <w:spacing w:val="-15"/>
          <w:w w:val="105"/>
        </w:rPr>
        <w:t> </w:t>
      </w:r>
      <w:r>
        <w:rPr>
          <w:color w:val="231F20"/>
          <w:w w:val="105"/>
        </w:rPr>
        <w:t>de</w:t>
      </w:r>
      <w:r>
        <w:rPr>
          <w:color w:val="231F20"/>
          <w:spacing w:val="-15"/>
          <w:w w:val="105"/>
        </w:rPr>
        <w:t> </w:t>
      </w:r>
      <w:r>
        <w:rPr>
          <w:color w:val="231F20"/>
          <w:spacing w:val="-3"/>
          <w:w w:val="105"/>
        </w:rPr>
        <w:t>otra</w:t>
      </w:r>
      <w:r>
        <w:rPr>
          <w:color w:val="231F20"/>
          <w:spacing w:val="-14"/>
          <w:w w:val="105"/>
        </w:rPr>
        <w:t> </w:t>
      </w:r>
      <w:r>
        <w:rPr>
          <w:color w:val="231F20"/>
          <w:spacing w:val="-3"/>
          <w:w w:val="105"/>
        </w:rPr>
        <w:t>manera</w:t>
      </w:r>
      <w:r>
        <w:rPr>
          <w:color w:val="231F20"/>
          <w:spacing w:val="-15"/>
          <w:w w:val="105"/>
        </w:rPr>
        <w:t> </w:t>
      </w:r>
      <w:r>
        <w:rPr>
          <w:color w:val="231F20"/>
          <w:w w:val="105"/>
        </w:rPr>
        <w:t>y</w:t>
      </w:r>
      <w:r>
        <w:rPr>
          <w:color w:val="231F20"/>
          <w:spacing w:val="-15"/>
          <w:w w:val="105"/>
        </w:rPr>
        <w:t> </w:t>
      </w:r>
      <w:r>
        <w:rPr>
          <w:color w:val="231F20"/>
          <w:w w:val="105"/>
        </w:rPr>
        <w:t>no</w:t>
      </w:r>
      <w:r>
        <w:rPr>
          <w:color w:val="231F20"/>
          <w:spacing w:val="-15"/>
          <w:w w:val="105"/>
        </w:rPr>
        <w:t> </w:t>
      </w:r>
      <w:r>
        <w:rPr>
          <w:color w:val="231F20"/>
          <w:spacing w:val="-3"/>
          <w:w w:val="105"/>
        </w:rPr>
        <w:t>en </w:t>
      </w:r>
      <w:r>
        <w:rPr>
          <w:color w:val="231F20"/>
          <w:w w:val="105"/>
        </w:rPr>
        <w:t>su</w:t>
      </w:r>
      <w:r>
        <w:rPr>
          <w:color w:val="231F20"/>
          <w:spacing w:val="-19"/>
          <w:w w:val="105"/>
        </w:rPr>
        <w:t> </w:t>
      </w:r>
      <w:r>
        <w:rPr>
          <w:color w:val="231F20"/>
          <w:spacing w:val="-3"/>
          <w:w w:val="105"/>
        </w:rPr>
        <w:t>forma</w:t>
      </w:r>
      <w:r>
        <w:rPr>
          <w:color w:val="231F20"/>
          <w:spacing w:val="-19"/>
          <w:w w:val="105"/>
        </w:rPr>
        <w:t> </w:t>
      </w:r>
      <w:r>
        <w:rPr>
          <w:color w:val="231F20"/>
          <w:spacing w:val="-3"/>
          <w:w w:val="105"/>
        </w:rPr>
        <w:t>tradicional.</w:t>
      </w:r>
      <w:r>
        <w:rPr>
          <w:color w:val="231F20"/>
          <w:spacing w:val="-23"/>
          <w:w w:val="105"/>
        </w:rPr>
        <w:t> </w:t>
      </w:r>
      <w:r>
        <w:rPr>
          <w:color w:val="231F20"/>
          <w:spacing w:val="-3"/>
          <w:w w:val="105"/>
        </w:rPr>
        <w:t>Los</w:t>
      </w:r>
      <w:r>
        <w:rPr>
          <w:color w:val="231F20"/>
          <w:spacing w:val="-19"/>
          <w:w w:val="105"/>
        </w:rPr>
        <w:t> </w:t>
      </w:r>
      <w:r>
        <w:rPr>
          <w:color w:val="231F20"/>
          <w:spacing w:val="-3"/>
          <w:w w:val="105"/>
        </w:rPr>
        <w:t>hombres</w:t>
      </w:r>
      <w:r>
        <w:rPr>
          <w:color w:val="231F20"/>
          <w:spacing w:val="-19"/>
          <w:w w:val="105"/>
        </w:rPr>
        <w:t> </w:t>
      </w:r>
      <w:r>
        <w:rPr>
          <w:color w:val="231F20"/>
          <w:w w:val="105"/>
        </w:rPr>
        <w:t>se</w:t>
      </w:r>
      <w:r>
        <w:rPr>
          <w:color w:val="231F20"/>
          <w:spacing w:val="-19"/>
          <w:w w:val="105"/>
        </w:rPr>
        <w:t> </w:t>
      </w:r>
      <w:r>
        <w:rPr>
          <w:color w:val="231F20"/>
          <w:spacing w:val="-3"/>
          <w:w w:val="105"/>
        </w:rPr>
        <w:t>sinceran</w:t>
      </w:r>
      <w:r>
        <w:rPr>
          <w:color w:val="231F20"/>
          <w:spacing w:val="-19"/>
          <w:w w:val="105"/>
        </w:rPr>
        <w:t> </w:t>
      </w:r>
      <w:r>
        <w:rPr>
          <w:color w:val="231F20"/>
          <w:w w:val="105"/>
        </w:rPr>
        <w:t>y</w:t>
      </w:r>
      <w:r>
        <w:rPr>
          <w:color w:val="231F20"/>
          <w:spacing w:val="-19"/>
          <w:w w:val="105"/>
        </w:rPr>
        <w:t> </w:t>
      </w:r>
      <w:r>
        <w:rPr>
          <w:color w:val="231F20"/>
          <w:spacing w:val="-3"/>
          <w:w w:val="105"/>
        </w:rPr>
        <w:t>reconocen</w:t>
      </w:r>
      <w:r>
        <w:rPr>
          <w:color w:val="231F20"/>
          <w:spacing w:val="-19"/>
          <w:w w:val="105"/>
        </w:rPr>
        <w:t> </w:t>
      </w:r>
      <w:r>
        <w:rPr>
          <w:color w:val="231F20"/>
          <w:spacing w:val="-3"/>
          <w:w w:val="105"/>
        </w:rPr>
        <w:t>entrar</w:t>
      </w:r>
      <w:r>
        <w:rPr>
          <w:color w:val="231F20"/>
          <w:spacing w:val="-19"/>
          <w:w w:val="105"/>
        </w:rPr>
        <w:t> </w:t>
      </w:r>
      <w:r>
        <w:rPr>
          <w:color w:val="231F20"/>
          <w:w w:val="105"/>
        </w:rPr>
        <w:t>en</w:t>
      </w:r>
      <w:r>
        <w:rPr>
          <w:color w:val="231F20"/>
          <w:spacing w:val="-19"/>
          <w:w w:val="105"/>
        </w:rPr>
        <w:t> </w:t>
      </w:r>
      <w:r>
        <w:rPr>
          <w:color w:val="231F20"/>
          <w:spacing w:val="-3"/>
          <w:w w:val="105"/>
        </w:rPr>
        <w:t>crisis emocional</w:t>
      </w:r>
      <w:r>
        <w:rPr>
          <w:color w:val="231F20"/>
          <w:spacing w:val="-11"/>
          <w:w w:val="105"/>
        </w:rPr>
        <w:t> </w:t>
      </w:r>
      <w:r>
        <w:rPr>
          <w:color w:val="231F20"/>
          <w:spacing w:val="-3"/>
          <w:w w:val="105"/>
        </w:rPr>
        <w:t>durante</w:t>
      </w:r>
      <w:r>
        <w:rPr>
          <w:color w:val="231F20"/>
          <w:spacing w:val="-11"/>
          <w:w w:val="105"/>
        </w:rPr>
        <w:t> </w:t>
      </w:r>
      <w:r>
        <w:rPr>
          <w:color w:val="231F20"/>
          <w:w w:val="105"/>
        </w:rPr>
        <w:t>las</w:t>
      </w:r>
      <w:r>
        <w:rPr>
          <w:color w:val="231F20"/>
          <w:spacing w:val="-11"/>
          <w:w w:val="105"/>
        </w:rPr>
        <w:t> </w:t>
      </w:r>
      <w:r>
        <w:rPr>
          <w:color w:val="231F20"/>
          <w:spacing w:val="-3"/>
          <w:w w:val="105"/>
        </w:rPr>
        <w:t>idas</w:t>
      </w:r>
      <w:r>
        <w:rPr>
          <w:color w:val="231F20"/>
          <w:spacing w:val="-11"/>
          <w:w w:val="105"/>
        </w:rPr>
        <w:t> </w:t>
      </w:r>
      <w:r>
        <w:rPr>
          <w:color w:val="231F20"/>
          <w:w w:val="105"/>
        </w:rPr>
        <w:t>de</w:t>
      </w:r>
      <w:r>
        <w:rPr>
          <w:color w:val="231F20"/>
          <w:spacing w:val="-11"/>
          <w:w w:val="105"/>
        </w:rPr>
        <w:t> </w:t>
      </w:r>
      <w:r>
        <w:rPr>
          <w:color w:val="231F20"/>
          <w:spacing w:val="-3"/>
          <w:w w:val="105"/>
        </w:rPr>
        <w:t>casa,</w:t>
      </w:r>
      <w:r>
        <w:rPr>
          <w:color w:val="231F20"/>
          <w:spacing w:val="-17"/>
          <w:w w:val="105"/>
        </w:rPr>
        <w:t> </w:t>
      </w:r>
      <w:r>
        <w:rPr>
          <w:color w:val="231F20"/>
          <w:spacing w:val="-3"/>
          <w:w w:val="105"/>
        </w:rPr>
        <w:t>experimentan</w:t>
      </w:r>
      <w:r>
        <w:rPr>
          <w:color w:val="231F20"/>
          <w:spacing w:val="-11"/>
          <w:w w:val="105"/>
        </w:rPr>
        <w:t> </w:t>
      </w:r>
      <w:r>
        <w:rPr>
          <w:color w:val="231F20"/>
          <w:spacing w:val="-3"/>
          <w:w w:val="105"/>
        </w:rPr>
        <w:t>tristeza,</w:t>
      </w:r>
      <w:r>
        <w:rPr>
          <w:color w:val="231F20"/>
          <w:spacing w:val="-17"/>
          <w:w w:val="105"/>
        </w:rPr>
        <w:t> </w:t>
      </w:r>
      <w:r>
        <w:rPr>
          <w:color w:val="231F20"/>
          <w:spacing w:val="-3"/>
          <w:w w:val="105"/>
        </w:rPr>
        <w:t>lloran,</w:t>
      </w:r>
      <w:r>
        <w:rPr>
          <w:color w:val="231F20"/>
          <w:spacing w:val="-17"/>
          <w:w w:val="105"/>
        </w:rPr>
        <w:t> </w:t>
      </w:r>
      <w:r>
        <w:rPr>
          <w:color w:val="231F20"/>
          <w:spacing w:val="-3"/>
          <w:w w:val="105"/>
        </w:rPr>
        <w:t>sienten soledad, aunque estén </w:t>
      </w:r>
      <w:r>
        <w:rPr>
          <w:color w:val="231F20"/>
          <w:w w:val="105"/>
        </w:rPr>
        <w:t>en un </w:t>
      </w:r>
      <w:r>
        <w:rPr>
          <w:color w:val="231F20"/>
          <w:spacing w:val="-3"/>
          <w:w w:val="105"/>
        </w:rPr>
        <w:t>círculo social afectivo </w:t>
      </w:r>
      <w:r>
        <w:rPr>
          <w:color w:val="231F20"/>
          <w:w w:val="105"/>
        </w:rPr>
        <w:t>muy </w:t>
      </w:r>
      <w:r>
        <w:rPr>
          <w:color w:val="231F20"/>
          <w:spacing w:val="-3"/>
          <w:w w:val="105"/>
        </w:rPr>
        <w:t>cercano (familia </w:t>
      </w:r>
      <w:r>
        <w:rPr>
          <w:color w:val="231F20"/>
          <w:w w:val="105"/>
        </w:rPr>
        <w:t>del</w:t>
      </w:r>
      <w:r>
        <w:rPr>
          <w:color w:val="231F20"/>
          <w:spacing w:val="-9"/>
          <w:w w:val="105"/>
        </w:rPr>
        <w:t> </w:t>
      </w:r>
      <w:r>
        <w:rPr>
          <w:color w:val="231F20"/>
          <w:spacing w:val="-3"/>
          <w:w w:val="105"/>
        </w:rPr>
        <w:t>hombre</w:t>
      </w:r>
      <w:r>
        <w:rPr>
          <w:color w:val="231F20"/>
          <w:spacing w:val="-9"/>
          <w:w w:val="105"/>
        </w:rPr>
        <w:t> </w:t>
      </w:r>
      <w:r>
        <w:rPr>
          <w:color w:val="231F20"/>
          <w:w w:val="105"/>
        </w:rPr>
        <w: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3"/>
          <w:w w:val="105"/>
        </w:rPr>
        <w:t>esposa),</w:t>
      </w:r>
      <w:r>
        <w:rPr>
          <w:color w:val="231F20"/>
          <w:spacing w:val="-14"/>
          <w:w w:val="105"/>
        </w:rPr>
        <w:t> </w:t>
      </w:r>
      <w:r>
        <w:rPr>
          <w:color w:val="231F20"/>
          <w:w w:val="105"/>
        </w:rPr>
        <w:t>se</w:t>
      </w:r>
      <w:r>
        <w:rPr>
          <w:color w:val="231F20"/>
          <w:spacing w:val="-9"/>
          <w:w w:val="105"/>
        </w:rPr>
        <w:t> </w:t>
      </w:r>
      <w:r>
        <w:rPr>
          <w:color w:val="231F20"/>
          <w:spacing w:val="-3"/>
          <w:w w:val="105"/>
        </w:rPr>
        <w:t>distancian</w:t>
      </w:r>
      <w:r>
        <w:rPr>
          <w:color w:val="231F20"/>
          <w:spacing w:val="-9"/>
          <w:w w:val="105"/>
        </w:rPr>
        <w:t> </w:t>
      </w:r>
      <w:r>
        <w:rPr>
          <w:color w:val="231F20"/>
          <w:w w:val="105"/>
        </w:rPr>
        <w:t>del</w:t>
      </w:r>
      <w:r>
        <w:rPr>
          <w:color w:val="231F20"/>
          <w:spacing w:val="-9"/>
          <w:w w:val="105"/>
        </w:rPr>
        <w:t> </w:t>
      </w:r>
      <w:r>
        <w:rPr>
          <w:color w:val="231F20"/>
          <w:spacing w:val="-3"/>
          <w:w w:val="105"/>
        </w:rPr>
        <w:t>círculo</w:t>
      </w:r>
      <w:r>
        <w:rPr>
          <w:color w:val="231F20"/>
          <w:spacing w:val="-9"/>
          <w:w w:val="105"/>
        </w:rPr>
        <w:t> </w:t>
      </w:r>
      <w:r>
        <w:rPr>
          <w:color w:val="231F20"/>
          <w:spacing w:val="-3"/>
          <w:w w:val="105"/>
        </w:rPr>
        <w:t>social,</w:t>
      </w:r>
      <w:r>
        <w:rPr>
          <w:color w:val="231F20"/>
          <w:spacing w:val="-14"/>
          <w:w w:val="105"/>
        </w:rPr>
        <w:t> </w:t>
      </w:r>
      <w:r>
        <w:rPr>
          <w:color w:val="231F20"/>
          <w:w w:val="105"/>
        </w:rPr>
        <w:t>se</w:t>
      </w:r>
      <w:r>
        <w:rPr>
          <w:color w:val="231F20"/>
          <w:spacing w:val="-9"/>
          <w:w w:val="105"/>
        </w:rPr>
        <w:t> </w:t>
      </w:r>
      <w:r>
        <w:rPr>
          <w:color w:val="231F20"/>
          <w:spacing w:val="-4"/>
          <w:w w:val="105"/>
        </w:rPr>
        <w:t>encierran. </w:t>
      </w:r>
      <w:r>
        <w:rPr>
          <w:color w:val="231F20"/>
          <w:spacing w:val="-7"/>
          <w:w w:val="105"/>
        </w:rPr>
        <w:t>Por</w:t>
      </w:r>
      <w:r>
        <w:rPr>
          <w:color w:val="231F20"/>
          <w:spacing w:val="-21"/>
          <w:w w:val="105"/>
        </w:rPr>
        <w:t> </w:t>
      </w:r>
      <w:r>
        <w:rPr>
          <w:color w:val="231F20"/>
          <w:w w:val="105"/>
        </w:rPr>
        <w:t>dar</w:t>
      </w:r>
      <w:r>
        <w:rPr>
          <w:color w:val="231F20"/>
          <w:spacing w:val="-21"/>
          <w:w w:val="105"/>
        </w:rPr>
        <w:t> </w:t>
      </w:r>
      <w:r>
        <w:rPr>
          <w:color w:val="231F20"/>
          <w:spacing w:val="-3"/>
          <w:w w:val="105"/>
        </w:rPr>
        <w:t>vida</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spacing w:val="-3"/>
          <w:w w:val="105"/>
        </w:rPr>
        <w:t>creencia</w:t>
      </w:r>
      <w:r>
        <w:rPr>
          <w:color w:val="231F20"/>
          <w:spacing w:val="-21"/>
          <w:w w:val="105"/>
        </w:rPr>
        <w:t> </w:t>
      </w:r>
      <w:r>
        <w:rPr>
          <w:color w:val="231F20"/>
          <w:w w:val="105"/>
        </w:rPr>
        <w:t>de</w:t>
      </w:r>
      <w:r>
        <w:rPr>
          <w:color w:val="231F20"/>
          <w:spacing w:val="-21"/>
          <w:w w:val="105"/>
        </w:rPr>
        <w:t> </w:t>
      </w:r>
      <w:r>
        <w:rPr>
          <w:color w:val="231F20"/>
          <w:w w:val="105"/>
        </w:rPr>
        <w:t>que</w:t>
      </w:r>
      <w:r>
        <w:rPr>
          <w:color w:val="231F20"/>
          <w:spacing w:val="-21"/>
          <w:w w:val="105"/>
        </w:rPr>
        <w:t> </w:t>
      </w:r>
      <w:r>
        <w:rPr>
          <w:color w:val="231F20"/>
          <w:w w:val="105"/>
        </w:rPr>
        <w:t>los</w:t>
      </w:r>
      <w:r>
        <w:rPr>
          <w:color w:val="231F20"/>
          <w:spacing w:val="-21"/>
          <w:w w:val="105"/>
        </w:rPr>
        <w:t> </w:t>
      </w:r>
      <w:r>
        <w:rPr>
          <w:color w:val="231F20"/>
          <w:spacing w:val="-3"/>
          <w:w w:val="105"/>
        </w:rPr>
        <w:t>hombres</w:t>
      </w:r>
      <w:r>
        <w:rPr>
          <w:color w:val="231F20"/>
          <w:spacing w:val="-21"/>
          <w:w w:val="105"/>
        </w:rPr>
        <w:t> </w:t>
      </w:r>
      <w:r>
        <w:rPr>
          <w:color w:val="231F20"/>
          <w:w w:val="105"/>
        </w:rPr>
        <w:t>“no</w:t>
      </w:r>
      <w:r>
        <w:rPr>
          <w:color w:val="231F20"/>
          <w:spacing w:val="-21"/>
          <w:w w:val="105"/>
        </w:rPr>
        <w:t> </w:t>
      </w:r>
      <w:r>
        <w:rPr>
          <w:color w:val="231F20"/>
          <w:spacing w:val="-6"/>
          <w:w w:val="105"/>
        </w:rPr>
        <w:t>lloran”,</w:t>
      </w:r>
      <w:r>
        <w:rPr>
          <w:color w:val="231F20"/>
          <w:spacing w:val="-27"/>
          <w:w w:val="105"/>
        </w:rPr>
        <w:t> </w:t>
      </w:r>
      <w:r>
        <w:rPr>
          <w:color w:val="231F20"/>
          <w:spacing w:val="-3"/>
          <w:w w:val="105"/>
        </w:rPr>
        <w:t>“los</w:t>
      </w:r>
      <w:r>
        <w:rPr>
          <w:color w:val="231F20"/>
          <w:spacing w:val="-21"/>
          <w:w w:val="105"/>
        </w:rPr>
        <w:t> </w:t>
      </w:r>
      <w:r>
        <w:rPr>
          <w:color w:val="231F20"/>
          <w:spacing w:val="-3"/>
          <w:w w:val="105"/>
        </w:rPr>
        <w:t>hombres</w:t>
      </w:r>
      <w:r>
        <w:rPr>
          <w:color w:val="231F20"/>
          <w:spacing w:val="-21"/>
          <w:w w:val="105"/>
        </w:rPr>
        <w:t> </w:t>
      </w:r>
      <w:r>
        <w:rPr>
          <w:color w:val="231F20"/>
          <w:spacing w:val="-3"/>
          <w:w w:val="105"/>
        </w:rPr>
        <w:t>son </w:t>
      </w:r>
      <w:r>
        <w:rPr>
          <w:color w:val="231F20"/>
          <w:spacing w:val="-6"/>
          <w:w w:val="105"/>
        </w:rPr>
        <w:t>fuertes”, </w:t>
      </w:r>
      <w:r>
        <w:rPr>
          <w:color w:val="231F20"/>
          <w:w w:val="105"/>
        </w:rPr>
        <w:t>se ve un </w:t>
      </w:r>
      <w:r>
        <w:rPr>
          <w:color w:val="231F20"/>
          <w:spacing w:val="-3"/>
          <w:w w:val="105"/>
        </w:rPr>
        <w:t>bloqueo emocional </w:t>
      </w:r>
      <w:r>
        <w:rPr>
          <w:color w:val="231F20"/>
          <w:w w:val="105"/>
        </w:rPr>
        <w:t>y </w:t>
      </w:r>
      <w:r>
        <w:rPr>
          <w:color w:val="231F20"/>
          <w:spacing w:val="-3"/>
          <w:w w:val="105"/>
        </w:rPr>
        <w:t>ninguno </w:t>
      </w:r>
      <w:r>
        <w:rPr>
          <w:color w:val="231F20"/>
          <w:w w:val="105"/>
        </w:rPr>
        <w:t>de </w:t>
      </w:r>
      <w:r>
        <w:rPr>
          <w:color w:val="231F20"/>
          <w:spacing w:val="-3"/>
          <w:w w:val="105"/>
        </w:rPr>
        <w:t>ellos </w:t>
      </w:r>
      <w:r>
        <w:rPr>
          <w:color w:val="231F20"/>
          <w:w w:val="105"/>
        </w:rPr>
        <w:t>se </w:t>
      </w:r>
      <w:r>
        <w:rPr>
          <w:color w:val="231F20"/>
          <w:spacing w:val="-3"/>
          <w:w w:val="105"/>
        </w:rPr>
        <w:t>siente digno </w:t>
      </w:r>
      <w:r>
        <w:rPr>
          <w:color w:val="231F20"/>
          <w:w w:val="105"/>
        </w:rPr>
        <w:t>del</w:t>
      </w:r>
      <w:r>
        <w:rPr>
          <w:color w:val="231F20"/>
          <w:spacing w:val="-9"/>
          <w:w w:val="105"/>
        </w:rPr>
        <w:t> </w:t>
      </w:r>
      <w:r>
        <w:rPr>
          <w:color w:val="231F20"/>
          <w:spacing w:val="-3"/>
          <w:w w:val="105"/>
        </w:rPr>
        <w:t>dolor</w:t>
      </w:r>
      <w:r>
        <w:rPr>
          <w:color w:val="231F20"/>
          <w:spacing w:val="-9"/>
          <w:w w:val="105"/>
        </w:rPr>
        <w:t> </w:t>
      </w:r>
      <w:r>
        <w:rPr>
          <w:color w:val="231F20"/>
          <w:w w:val="105"/>
        </w:rPr>
        <w:t>o</w:t>
      </w:r>
      <w:r>
        <w:rPr>
          <w:color w:val="231F20"/>
          <w:spacing w:val="-9"/>
          <w:w w:val="105"/>
        </w:rPr>
        <w:t> </w:t>
      </w:r>
      <w:r>
        <w:rPr>
          <w:color w:val="231F20"/>
          <w:w w:val="105"/>
        </w:rPr>
        <w:t>de</w:t>
      </w:r>
      <w:r>
        <w:rPr>
          <w:color w:val="231F20"/>
          <w:spacing w:val="-9"/>
          <w:w w:val="105"/>
        </w:rPr>
        <w:t> </w:t>
      </w:r>
      <w:r>
        <w:rPr>
          <w:color w:val="231F20"/>
          <w:spacing w:val="-3"/>
          <w:w w:val="105"/>
        </w:rPr>
        <w:t>sufrimiento.</w:t>
      </w:r>
      <w:r>
        <w:rPr>
          <w:color w:val="231F20"/>
          <w:spacing w:val="-16"/>
          <w:w w:val="105"/>
        </w:rPr>
        <w:t> </w:t>
      </w:r>
      <w:r>
        <w:rPr>
          <w:color w:val="231F20"/>
          <w:spacing w:val="-3"/>
          <w:w w:val="105"/>
        </w:rPr>
        <w:t>Dolor</w:t>
      </w:r>
      <w:r>
        <w:rPr>
          <w:color w:val="231F20"/>
          <w:spacing w:val="-9"/>
          <w:w w:val="105"/>
        </w:rPr>
        <w:t> </w:t>
      </w:r>
      <w:r>
        <w:rPr>
          <w:color w:val="231F20"/>
          <w:w w:val="105"/>
        </w:rPr>
        <w:t>y</w:t>
      </w:r>
      <w:r>
        <w:rPr>
          <w:color w:val="231F20"/>
          <w:spacing w:val="-9"/>
          <w:w w:val="105"/>
        </w:rPr>
        <w:t> </w:t>
      </w:r>
      <w:r>
        <w:rPr>
          <w:color w:val="231F20"/>
          <w:spacing w:val="-3"/>
          <w:w w:val="105"/>
        </w:rPr>
        <w:t>sufrimiento</w:t>
      </w:r>
      <w:r>
        <w:rPr>
          <w:color w:val="231F20"/>
          <w:spacing w:val="-9"/>
          <w:w w:val="105"/>
        </w:rPr>
        <w:t> </w:t>
      </w:r>
      <w:r>
        <w:rPr>
          <w:color w:val="231F20"/>
          <w:spacing w:val="-3"/>
          <w:w w:val="105"/>
        </w:rPr>
        <w:t>pueden</w:t>
      </w:r>
      <w:r>
        <w:rPr>
          <w:color w:val="231F20"/>
          <w:spacing w:val="-9"/>
          <w:w w:val="105"/>
        </w:rPr>
        <w:t> </w:t>
      </w:r>
      <w:r>
        <w:rPr>
          <w:color w:val="231F20"/>
          <w:w w:val="105"/>
        </w:rPr>
        <w:t>ser</w:t>
      </w:r>
      <w:r>
        <w:rPr>
          <w:color w:val="231F20"/>
          <w:spacing w:val="-9"/>
          <w:w w:val="105"/>
        </w:rPr>
        <w:t> </w:t>
      </w:r>
      <w:r>
        <w:rPr>
          <w:color w:val="231F20"/>
          <w:spacing w:val="-3"/>
          <w:w w:val="105"/>
        </w:rPr>
        <w:t>correspondien- tes; dolor </w:t>
      </w:r>
      <w:r>
        <w:rPr>
          <w:color w:val="231F20"/>
          <w:w w:val="105"/>
        </w:rPr>
        <w:t>se </w:t>
      </w:r>
      <w:r>
        <w:rPr>
          <w:color w:val="231F20"/>
          <w:spacing w:val="-3"/>
          <w:w w:val="105"/>
        </w:rPr>
        <w:t>experimenta cuando </w:t>
      </w:r>
      <w:r>
        <w:rPr>
          <w:color w:val="231F20"/>
          <w:w w:val="105"/>
        </w:rPr>
        <w:t>lo que se ama </w:t>
      </w:r>
      <w:r>
        <w:rPr>
          <w:color w:val="231F20"/>
          <w:spacing w:val="-3"/>
          <w:w w:val="105"/>
        </w:rPr>
        <w:t>está </w:t>
      </w:r>
      <w:r>
        <w:rPr>
          <w:color w:val="231F20"/>
          <w:w w:val="105"/>
        </w:rPr>
        <w:t>en </w:t>
      </w:r>
      <w:r>
        <w:rPr>
          <w:color w:val="231F20"/>
          <w:spacing w:val="-3"/>
          <w:w w:val="105"/>
        </w:rPr>
        <w:t>otra </w:t>
      </w:r>
      <w:r>
        <w:rPr>
          <w:color w:val="231F20"/>
          <w:spacing w:val="-4"/>
          <w:w w:val="105"/>
        </w:rPr>
        <w:t>geografía. </w:t>
      </w:r>
      <w:r>
        <w:rPr>
          <w:color w:val="231F20"/>
          <w:spacing w:val="-3"/>
          <w:w w:val="105"/>
        </w:rPr>
        <w:t>Sufrimiento</w:t>
      </w:r>
      <w:r>
        <w:rPr>
          <w:color w:val="231F20"/>
          <w:spacing w:val="-24"/>
          <w:w w:val="105"/>
        </w:rPr>
        <w:t> </w:t>
      </w:r>
      <w:r>
        <w:rPr>
          <w:color w:val="231F20"/>
          <w:w w:val="105"/>
        </w:rPr>
        <w:t>por</w:t>
      </w:r>
      <w:r>
        <w:rPr>
          <w:color w:val="231F20"/>
          <w:spacing w:val="-24"/>
          <w:w w:val="105"/>
        </w:rPr>
        <w:t> </w:t>
      </w:r>
      <w:r>
        <w:rPr>
          <w:color w:val="231F20"/>
          <w:w w:val="105"/>
        </w:rPr>
        <w:t>el</w:t>
      </w:r>
      <w:r>
        <w:rPr>
          <w:color w:val="231F20"/>
          <w:spacing w:val="-24"/>
          <w:w w:val="105"/>
        </w:rPr>
        <w:t> </w:t>
      </w:r>
      <w:r>
        <w:rPr>
          <w:color w:val="231F20"/>
          <w:spacing w:val="-4"/>
          <w:w w:val="105"/>
        </w:rPr>
        <w:t>contrario,</w:t>
      </w:r>
      <w:r>
        <w:rPr>
          <w:color w:val="231F20"/>
          <w:spacing w:val="-30"/>
          <w:w w:val="105"/>
        </w:rPr>
        <w:t> </w:t>
      </w:r>
      <w:r>
        <w:rPr>
          <w:color w:val="231F20"/>
          <w:w w:val="105"/>
        </w:rPr>
        <w:t>es</w:t>
      </w:r>
      <w:r>
        <w:rPr>
          <w:color w:val="231F20"/>
          <w:spacing w:val="-24"/>
          <w:w w:val="105"/>
        </w:rPr>
        <w:t> </w:t>
      </w:r>
      <w:r>
        <w:rPr>
          <w:color w:val="231F20"/>
          <w:spacing w:val="-3"/>
          <w:w w:val="105"/>
        </w:rPr>
        <w:t>todo</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spacing w:val="-3"/>
          <w:w w:val="105"/>
        </w:rPr>
        <w:t>estos</w:t>
      </w:r>
      <w:r>
        <w:rPr>
          <w:color w:val="231F20"/>
          <w:spacing w:val="-24"/>
          <w:w w:val="105"/>
        </w:rPr>
        <w:t> </w:t>
      </w:r>
      <w:r>
        <w:rPr>
          <w:color w:val="231F20"/>
          <w:spacing w:val="-3"/>
          <w:w w:val="105"/>
        </w:rPr>
        <w:t>hombres</w:t>
      </w:r>
      <w:r>
        <w:rPr>
          <w:color w:val="231F20"/>
          <w:spacing w:val="-24"/>
          <w:w w:val="105"/>
        </w:rPr>
        <w:t> </w:t>
      </w:r>
      <w:r>
        <w:rPr>
          <w:color w:val="231F20"/>
          <w:w w:val="105"/>
        </w:rPr>
        <w:t>y</w:t>
      </w:r>
      <w:r>
        <w:rPr>
          <w:color w:val="231F20"/>
          <w:spacing w:val="-24"/>
          <w:w w:val="105"/>
        </w:rPr>
        <w:t> </w:t>
      </w:r>
      <w:r>
        <w:rPr>
          <w:color w:val="231F20"/>
          <w:spacing w:val="-3"/>
          <w:w w:val="105"/>
        </w:rPr>
        <w:t>mujeres</w:t>
      </w:r>
      <w:r>
        <w:rPr>
          <w:color w:val="231F20"/>
          <w:spacing w:val="-24"/>
          <w:w w:val="105"/>
        </w:rPr>
        <w:t> </w:t>
      </w:r>
      <w:r>
        <w:rPr>
          <w:color w:val="231F20"/>
          <w:spacing w:val="-3"/>
          <w:w w:val="105"/>
        </w:rPr>
        <w:t>hacen para</w:t>
      </w:r>
      <w:r>
        <w:rPr>
          <w:color w:val="231F20"/>
          <w:spacing w:val="-16"/>
          <w:w w:val="105"/>
        </w:rPr>
        <w:t> </w:t>
      </w:r>
      <w:r>
        <w:rPr>
          <w:color w:val="231F20"/>
          <w:spacing w:val="-3"/>
          <w:w w:val="105"/>
        </w:rPr>
        <w:t>evitar</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spacing w:val="-3"/>
          <w:w w:val="105"/>
        </w:rPr>
        <w:t>dolor</w:t>
      </w:r>
      <w:r>
        <w:rPr>
          <w:color w:val="231F20"/>
          <w:spacing w:val="-16"/>
          <w:w w:val="105"/>
        </w:rPr>
        <w:t> </w:t>
      </w:r>
      <w:r>
        <w:rPr>
          <w:color w:val="231F20"/>
          <w:w w:val="105"/>
        </w:rPr>
        <w:t>se</w:t>
      </w:r>
      <w:r>
        <w:rPr>
          <w:color w:val="231F20"/>
          <w:spacing w:val="-16"/>
          <w:w w:val="105"/>
        </w:rPr>
        <w:t> </w:t>
      </w:r>
      <w:r>
        <w:rPr>
          <w:color w:val="231F20"/>
          <w:spacing w:val="-3"/>
          <w:w w:val="105"/>
        </w:rPr>
        <w:t>declare,</w:t>
      </w:r>
      <w:r>
        <w:rPr>
          <w:color w:val="231F20"/>
          <w:spacing w:val="-22"/>
          <w:w w:val="105"/>
        </w:rPr>
        <w:t> </w:t>
      </w:r>
      <w:r>
        <w:rPr>
          <w:color w:val="231F20"/>
          <w:spacing w:val="-3"/>
          <w:w w:val="105"/>
        </w:rPr>
        <w:t>rompan</w:t>
      </w:r>
      <w:r>
        <w:rPr>
          <w:color w:val="231F20"/>
          <w:spacing w:val="-16"/>
          <w:w w:val="105"/>
        </w:rPr>
        <w:t> </w:t>
      </w:r>
      <w:r>
        <w:rPr>
          <w:color w:val="231F20"/>
          <w:w w:val="105"/>
        </w:rPr>
        <w:t>en</w:t>
      </w:r>
      <w:r>
        <w:rPr>
          <w:color w:val="231F20"/>
          <w:spacing w:val="-16"/>
          <w:w w:val="105"/>
        </w:rPr>
        <w:t> </w:t>
      </w:r>
      <w:r>
        <w:rPr>
          <w:color w:val="231F20"/>
          <w:spacing w:val="-3"/>
          <w:w w:val="105"/>
        </w:rPr>
        <w:t>lágrimas</w:t>
      </w:r>
      <w:r>
        <w:rPr>
          <w:color w:val="231F20"/>
          <w:spacing w:val="-16"/>
          <w:w w:val="105"/>
        </w:rPr>
        <w:t> </w:t>
      </w:r>
      <w:r>
        <w:rPr>
          <w:color w:val="231F20"/>
          <w:w w:val="105"/>
        </w:rPr>
        <w:t>y</w:t>
      </w:r>
      <w:r>
        <w:rPr>
          <w:color w:val="231F20"/>
          <w:spacing w:val="-16"/>
          <w:w w:val="105"/>
        </w:rPr>
        <w:t> </w:t>
      </w:r>
      <w:r>
        <w:rPr>
          <w:color w:val="231F20"/>
          <w:w w:val="105"/>
        </w:rPr>
        <w:t>se</w:t>
      </w:r>
      <w:r>
        <w:rPr>
          <w:color w:val="231F20"/>
          <w:spacing w:val="-16"/>
          <w:w w:val="105"/>
        </w:rPr>
        <w:t> </w:t>
      </w:r>
      <w:r>
        <w:rPr>
          <w:color w:val="231F20"/>
          <w:spacing w:val="-3"/>
          <w:w w:val="105"/>
        </w:rPr>
        <w:t>liberen.</w:t>
      </w:r>
      <w:r>
        <w:rPr>
          <w:color w:val="231F20"/>
          <w:spacing w:val="-22"/>
          <w:w w:val="105"/>
        </w:rPr>
        <w:t> </w:t>
      </w:r>
      <w:r>
        <w:rPr>
          <w:color w:val="231F20"/>
          <w:spacing w:val="-7"/>
          <w:w w:val="105"/>
        </w:rPr>
        <w:t>Por</w:t>
      </w:r>
      <w:r>
        <w:rPr>
          <w:color w:val="231F20"/>
          <w:spacing w:val="-16"/>
          <w:w w:val="105"/>
        </w:rPr>
        <w:t> </w:t>
      </w:r>
      <w:r>
        <w:rPr>
          <w:color w:val="231F20"/>
          <w:spacing w:val="-3"/>
          <w:w w:val="105"/>
        </w:rPr>
        <w:t>lo </w:t>
      </w:r>
      <w:r>
        <w:rPr>
          <w:color w:val="231F20"/>
          <w:spacing w:val="-4"/>
          <w:w w:val="105"/>
        </w:rPr>
        <w:t>anterior, </w:t>
      </w:r>
      <w:r>
        <w:rPr>
          <w:color w:val="231F20"/>
          <w:w w:val="105"/>
        </w:rPr>
        <w:t>al </w:t>
      </w:r>
      <w:r>
        <w:rPr>
          <w:color w:val="231F20"/>
          <w:spacing w:val="-3"/>
          <w:w w:val="105"/>
        </w:rPr>
        <w:t>llegar </w:t>
      </w:r>
      <w:r>
        <w:rPr>
          <w:color w:val="231F20"/>
          <w:w w:val="105"/>
        </w:rPr>
        <w:t>el </w:t>
      </w:r>
      <w:r>
        <w:rPr>
          <w:color w:val="231F20"/>
          <w:spacing w:val="-3"/>
          <w:w w:val="105"/>
        </w:rPr>
        <w:t>sufrimiento </w:t>
      </w:r>
      <w:r>
        <w:rPr>
          <w:color w:val="231F20"/>
          <w:w w:val="105"/>
        </w:rPr>
        <w:t>y el </w:t>
      </w:r>
      <w:r>
        <w:rPr>
          <w:color w:val="231F20"/>
          <w:spacing w:val="-3"/>
          <w:w w:val="105"/>
        </w:rPr>
        <w:t>dolor </w:t>
      </w:r>
      <w:r>
        <w:rPr>
          <w:color w:val="231F20"/>
          <w:w w:val="105"/>
        </w:rPr>
        <w:t>se </w:t>
      </w:r>
      <w:r>
        <w:rPr>
          <w:color w:val="231F20"/>
          <w:spacing w:val="-3"/>
          <w:w w:val="105"/>
        </w:rPr>
        <w:t>someten, </w:t>
      </w:r>
      <w:r>
        <w:rPr>
          <w:color w:val="231F20"/>
          <w:w w:val="105"/>
        </w:rPr>
        <w:t>se </w:t>
      </w:r>
      <w:r>
        <w:rPr>
          <w:color w:val="231F20"/>
          <w:spacing w:val="-3"/>
          <w:w w:val="105"/>
        </w:rPr>
        <w:t>sienten débiles, vulnerables</w:t>
      </w:r>
      <w:r>
        <w:rPr>
          <w:color w:val="231F20"/>
          <w:spacing w:val="-30"/>
          <w:w w:val="105"/>
        </w:rPr>
        <w:t> </w:t>
      </w:r>
      <w:r>
        <w:rPr>
          <w:color w:val="231F20"/>
          <w:w w:val="105"/>
        </w:rPr>
        <w:t>y</w:t>
      </w:r>
      <w:r>
        <w:rPr>
          <w:color w:val="231F20"/>
          <w:spacing w:val="-29"/>
          <w:w w:val="105"/>
        </w:rPr>
        <w:t> </w:t>
      </w:r>
      <w:r>
        <w:rPr>
          <w:color w:val="231F20"/>
          <w:w w:val="105"/>
        </w:rPr>
        <w:t>su</w:t>
      </w:r>
      <w:r>
        <w:rPr>
          <w:color w:val="231F20"/>
          <w:spacing w:val="-29"/>
          <w:w w:val="105"/>
        </w:rPr>
        <w:t> </w:t>
      </w:r>
      <w:r>
        <w:rPr>
          <w:color w:val="231F20"/>
          <w:spacing w:val="-3"/>
          <w:w w:val="105"/>
        </w:rPr>
        <w:t>respuesta</w:t>
      </w:r>
      <w:r>
        <w:rPr>
          <w:color w:val="231F20"/>
          <w:spacing w:val="-29"/>
          <w:w w:val="105"/>
        </w:rPr>
        <w:t> </w:t>
      </w:r>
      <w:r>
        <w:rPr>
          <w:color w:val="231F20"/>
          <w:w w:val="105"/>
        </w:rPr>
        <w:t>es</w:t>
      </w:r>
      <w:r>
        <w:rPr>
          <w:color w:val="231F20"/>
          <w:spacing w:val="-29"/>
          <w:w w:val="105"/>
        </w:rPr>
        <w:t> </w:t>
      </w:r>
      <w:r>
        <w:rPr>
          <w:color w:val="231F20"/>
          <w:spacing w:val="-3"/>
          <w:w w:val="105"/>
        </w:rPr>
        <w:t>siempre</w:t>
      </w:r>
      <w:r>
        <w:rPr>
          <w:color w:val="231F20"/>
          <w:spacing w:val="-29"/>
          <w:w w:val="105"/>
        </w:rPr>
        <w:t> </w:t>
      </w:r>
      <w:r>
        <w:rPr>
          <w:color w:val="231F20"/>
          <w:spacing w:val="-6"/>
          <w:w w:val="105"/>
        </w:rPr>
        <w:t>“aguantarse”,</w:t>
      </w:r>
      <w:r>
        <w:rPr>
          <w:color w:val="231F20"/>
          <w:spacing w:val="-34"/>
          <w:w w:val="105"/>
        </w:rPr>
        <w:t> </w:t>
      </w:r>
      <w:r>
        <w:rPr>
          <w:color w:val="231F20"/>
          <w:spacing w:val="-6"/>
          <w:w w:val="105"/>
        </w:rPr>
        <w:t>“contenerse”,</w:t>
      </w:r>
      <w:r>
        <w:rPr>
          <w:color w:val="231F20"/>
          <w:spacing w:val="-34"/>
          <w:w w:val="105"/>
        </w:rPr>
        <w:t> </w:t>
      </w:r>
      <w:r>
        <w:rPr>
          <w:color w:val="231F20"/>
          <w:spacing w:val="-4"/>
          <w:w w:val="105"/>
        </w:rPr>
        <w:t>repetirse </w:t>
      </w:r>
      <w:r>
        <w:rPr>
          <w:color w:val="231F20"/>
          <w:w w:val="105"/>
        </w:rPr>
        <w:t>que </w:t>
      </w:r>
      <w:r>
        <w:rPr>
          <w:color w:val="231F20"/>
          <w:spacing w:val="-5"/>
          <w:w w:val="105"/>
        </w:rPr>
        <w:t>“que </w:t>
      </w:r>
      <w:r>
        <w:rPr>
          <w:color w:val="231F20"/>
          <w:w w:val="105"/>
        </w:rPr>
        <w:t>van a </w:t>
      </w:r>
      <w:r>
        <w:rPr>
          <w:color w:val="231F20"/>
          <w:spacing w:val="-3"/>
          <w:w w:val="105"/>
        </w:rPr>
        <w:t>pensar </w:t>
      </w:r>
      <w:r>
        <w:rPr>
          <w:color w:val="231F20"/>
          <w:w w:val="105"/>
        </w:rPr>
        <w:t>de </w:t>
      </w:r>
      <w:r>
        <w:rPr>
          <w:color w:val="231F20"/>
          <w:spacing w:val="-8"/>
          <w:w w:val="105"/>
        </w:rPr>
        <w:t>uno”, </w:t>
      </w:r>
      <w:r>
        <w:rPr>
          <w:color w:val="231F20"/>
          <w:spacing w:val="-3"/>
          <w:w w:val="105"/>
        </w:rPr>
        <w:t>“mejor </w:t>
      </w:r>
      <w:r>
        <w:rPr>
          <w:color w:val="231F20"/>
          <w:w w:val="105"/>
        </w:rPr>
        <w:t>que </w:t>
      </w:r>
      <w:r>
        <w:rPr>
          <w:color w:val="231F20"/>
          <w:spacing w:val="-3"/>
          <w:w w:val="105"/>
        </w:rPr>
        <w:t>todos piensen </w:t>
      </w:r>
      <w:r>
        <w:rPr>
          <w:color w:val="231F20"/>
          <w:w w:val="105"/>
        </w:rPr>
        <w:t>que acá me </w:t>
      </w:r>
      <w:r>
        <w:rPr>
          <w:color w:val="231F20"/>
          <w:spacing w:val="-3"/>
          <w:w w:val="105"/>
        </w:rPr>
        <w:t>la paso</w:t>
      </w:r>
      <w:r>
        <w:rPr>
          <w:color w:val="231F20"/>
          <w:spacing w:val="-10"/>
          <w:w w:val="105"/>
        </w:rPr>
        <w:t> </w:t>
      </w:r>
      <w:r>
        <w:rPr>
          <w:color w:val="231F20"/>
          <w:w w:val="105"/>
        </w:rPr>
        <w:t>a</w:t>
      </w:r>
      <w:r>
        <w:rPr>
          <w:color w:val="231F20"/>
          <w:spacing w:val="-10"/>
          <w:w w:val="105"/>
        </w:rPr>
        <w:t> </w:t>
      </w:r>
      <w:r>
        <w:rPr>
          <w:color w:val="231F20"/>
          <w:spacing w:val="-3"/>
          <w:w w:val="105"/>
        </w:rPr>
        <w:t>toda</w:t>
      </w:r>
      <w:r>
        <w:rPr>
          <w:color w:val="231F20"/>
          <w:spacing w:val="-10"/>
          <w:w w:val="105"/>
        </w:rPr>
        <w:t> </w:t>
      </w:r>
      <w:r>
        <w:rPr>
          <w:color w:val="231F20"/>
          <w:spacing w:val="-7"/>
          <w:w w:val="105"/>
        </w:rPr>
        <w:t>madre”,</w:t>
      </w:r>
      <w:r>
        <w:rPr>
          <w:color w:val="231F20"/>
          <w:spacing w:val="-16"/>
          <w:w w:val="105"/>
        </w:rPr>
        <w:t> </w:t>
      </w:r>
      <w:r>
        <w:rPr>
          <w:color w:val="231F20"/>
          <w:spacing w:val="-5"/>
          <w:w w:val="105"/>
        </w:rPr>
        <w:t>“que</w:t>
      </w:r>
      <w:r>
        <w:rPr>
          <w:color w:val="231F20"/>
          <w:spacing w:val="-10"/>
          <w:w w:val="105"/>
        </w:rPr>
        <w:t> </w:t>
      </w:r>
      <w:r>
        <w:rPr>
          <w:color w:val="231F20"/>
          <w:w w:val="105"/>
        </w:rPr>
        <w:t>me</w:t>
      </w:r>
      <w:r>
        <w:rPr>
          <w:color w:val="231F20"/>
          <w:spacing w:val="-10"/>
          <w:w w:val="105"/>
        </w:rPr>
        <w:t> </w:t>
      </w:r>
      <w:r>
        <w:rPr>
          <w:color w:val="231F20"/>
          <w:spacing w:val="-3"/>
          <w:w w:val="105"/>
        </w:rPr>
        <w:t>dejen</w:t>
      </w:r>
      <w:r>
        <w:rPr>
          <w:color w:val="231F20"/>
          <w:spacing w:val="-10"/>
          <w:w w:val="105"/>
        </w:rPr>
        <w:t> </w:t>
      </w:r>
      <w:r>
        <w:rPr>
          <w:color w:val="231F20"/>
          <w:spacing w:val="-3"/>
          <w:w w:val="105"/>
        </w:rPr>
        <w:t>estar</w:t>
      </w:r>
      <w:r>
        <w:rPr>
          <w:color w:val="231F20"/>
          <w:spacing w:val="-10"/>
          <w:w w:val="105"/>
        </w:rPr>
        <w:t> </w:t>
      </w:r>
      <w:r>
        <w:rPr>
          <w:color w:val="231F20"/>
          <w:spacing w:val="-7"/>
          <w:w w:val="105"/>
        </w:rPr>
        <w:t>solo”,</w:t>
      </w:r>
      <w:r>
        <w:rPr>
          <w:color w:val="231F20"/>
          <w:spacing w:val="-16"/>
          <w:w w:val="105"/>
        </w:rPr>
        <w:t> </w:t>
      </w:r>
      <w:r>
        <w:rPr>
          <w:color w:val="231F20"/>
          <w:spacing w:val="-3"/>
          <w:w w:val="105"/>
        </w:rPr>
        <w:t>entre</w:t>
      </w:r>
      <w:r>
        <w:rPr>
          <w:color w:val="231F20"/>
          <w:spacing w:val="-10"/>
          <w:w w:val="105"/>
        </w:rPr>
        <w:t> </w:t>
      </w:r>
      <w:r>
        <w:rPr>
          <w:color w:val="231F20"/>
          <w:spacing w:val="-4"/>
          <w:w w:val="105"/>
        </w:rPr>
        <w:t>otros.</w:t>
      </w:r>
    </w:p>
    <w:p>
      <w:pPr>
        <w:pStyle w:val="BodyText"/>
        <w:spacing w:line="261" w:lineRule="auto" w:before="1"/>
        <w:ind w:left="1723" w:right="1828" w:firstLine="567"/>
        <w:jc w:val="both"/>
      </w:pPr>
      <w:r>
        <w:rPr>
          <w:color w:val="231F20"/>
          <w:w w:val="105"/>
        </w:rPr>
        <w:t>Las</w:t>
      </w:r>
      <w:r>
        <w:rPr>
          <w:color w:val="231F20"/>
          <w:spacing w:val="-23"/>
          <w:w w:val="105"/>
        </w:rPr>
        <w:t> </w:t>
      </w:r>
      <w:r>
        <w:rPr>
          <w:color w:val="231F20"/>
          <w:w w:val="105"/>
        </w:rPr>
        <w:t>mujeres,</w:t>
      </w:r>
      <w:r>
        <w:rPr>
          <w:color w:val="231F20"/>
          <w:spacing w:val="-28"/>
          <w:w w:val="105"/>
        </w:rPr>
        <w:t> </w:t>
      </w:r>
      <w:r>
        <w:rPr>
          <w:color w:val="231F20"/>
          <w:w w:val="105"/>
        </w:rPr>
        <w:t>por</w:t>
      </w:r>
      <w:r>
        <w:rPr>
          <w:color w:val="231F20"/>
          <w:spacing w:val="-23"/>
          <w:w w:val="105"/>
        </w:rPr>
        <w:t> </w:t>
      </w:r>
      <w:r>
        <w:rPr>
          <w:color w:val="231F20"/>
          <w:w w:val="105"/>
        </w:rPr>
        <w:t>su</w:t>
      </w:r>
      <w:r>
        <w:rPr>
          <w:color w:val="231F20"/>
          <w:spacing w:val="-23"/>
          <w:w w:val="105"/>
        </w:rPr>
        <w:t> </w:t>
      </w:r>
      <w:r>
        <w:rPr>
          <w:color w:val="231F20"/>
          <w:w w:val="105"/>
        </w:rPr>
        <w:t>lado,</w:t>
      </w:r>
      <w:r>
        <w:rPr>
          <w:color w:val="231F20"/>
          <w:spacing w:val="-28"/>
          <w:w w:val="105"/>
        </w:rPr>
        <w:t> </w:t>
      </w:r>
      <w:r>
        <w:rPr>
          <w:color w:val="231F20"/>
          <w:w w:val="105"/>
        </w:rPr>
        <w:t>se</w:t>
      </w:r>
      <w:r>
        <w:rPr>
          <w:color w:val="231F20"/>
          <w:spacing w:val="-23"/>
          <w:w w:val="105"/>
        </w:rPr>
        <w:t> </w:t>
      </w:r>
      <w:r>
        <w:rPr>
          <w:color w:val="231F20"/>
          <w:w w:val="105"/>
        </w:rPr>
        <w:t>ponen</w:t>
      </w:r>
      <w:r>
        <w:rPr>
          <w:color w:val="231F20"/>
          <w:spacing w:val="-23"/>
          <w:w w:val="105"/>
        </w:rPr>
        <w:t> </w:t>
      </w:r>
      <w:r>
        <w:rPr>
          <w:color w:val="231F20"/>
          <w:w w:val="105"/>
        </w:rPr>
        <w:t>tristes,</w:t>
      </w:r>
      <w:r>
        <w:rPr>
          <w:color w:val="231F20"/>
          <w:spacing w:val="-28"/>
          <w:w w:val="105"/>
        </w:rPr>
        <w:t> </w:t>
      </w:r>
      <w:r>
        <w:rPr>
          <w:color w:val="231F20"/>
          <w:w w:val="105"/>
        </w:rPr>
        <w:t>se</w:t>
      </w:r>
      <w:r>
        <w:rPr>
          <w:color w:val="231F20"/>
          <w:spacing w:val="-23"/>
          <w:w w:val="105"/>
        </w:rPr>
        <w:t> </w:t>
      </w:r>
      <w:r>
        <w:rPr>
          <w:color w:val="231F20"/>
          <w:w w:val="105"/>
        </w:rPr>
        <w:t>enojan</w:t>
      </w:r>
      <w:r>
        <w:rPr>
          <w:color w:val="231F20"/>
          <w:spacing w:val="-23"/>
          <w:w w:val="105"/>
        </w:rPr>
        <w:t> </w:t>
      </w:r>
      <w:r>
        <w:rPr>
          <w:color w:val="231F20"/>
          <w:w w:val="105"/>
        </w:rPr>
        <w:t>por</w:t>
      </w:r>
      <w:r>
        <w:rPr>
          <w:color w:val="231F20"/>
          <w:spacing w:val="-23"/>
          <w:w w:val="105"/>
        </w:rPr>
        <w:t> </w:t>
      </w:r>
      <w:r>
        <w:rPr>
          <w:color w:val="231F20"/>
          <w:w w:val="105"/>
        </w:rPr>
        <w:t>y</w:t>
      </w:r>
      <w:r>
        <w:rPr>
          <w:color w:val="231F20"/>
          <w:spacing w:val="-23"/>
          <w:w w:val="105"/>
        </w:rPr>
        <w:t> </w:t>
      </w:r>
      <w:r>
        <w:rPr>
          <w:color w:val="231F20"/>
          <w:w w:val="105"/>
        </w:rPr>
        <w:t>con</w:t>
      </w:r>
      <w:r>
        <w:rPr>
          <w:color w:val="231F20"/>
          <w:spacing w:val="-23"/>
          <w:w w:val="105"/>
        </w:rPr>
        <w:t> </w:t>
      </w:r>
      <w:r>
        <w:rPr>
          <w:color w:val="231F20"/>
          <w:w w:val="105"/>
        </w:rPr>
        <w:t>todo, la</w:t>
      </w:r>
      <w:r>
        <w:rPr>
          <w:color w:val="231F20"/>
          <w:spacing w:val="-16"/>
          <w:w w:val="105"/>
        </w:rPr>
        <w:t> </w:t>
      </w:r>
      <w:r>
        <w:rPr>
          <w:color w:val="231F20"/>
          <w:w w:val="105"/>
        </w:rPr>
        <w:t>virtud</w:t>
      </w:r>
      <w:r>
        <w:rPr>
          <w:color w:val="231F20"/>
          <w:spacing w:val="-16"/>
          <w:w w:val="105"/>
        </w:rPr>
        <w:t> </w:t>
      </w:r>
      <w:r>
        <w:rPr>
          <w:color w:val="231F20"/>
          <w:w w:val="105"/>
        </w:rPr>
        <w:t>de</w:t>
      </w:r>
      <w:r>
        <w:rPr>
          <w:color w:val="231F20"/>
          <w:spacing w:val="-16"/>
          <w:w w:val="105"/>
        </w:rPr>
        <w:t> </w:t>
      </w:r>
      <w:r>
        <w:rPr>
          <w:color w:val="231F20"/>
          <w:w w:val="105"/>
        </w:rPr>
        <w:t>ellas</w:t>
      </w:r>
      <w:r>
        <w:rPr>
          <w:color w:val="231F20"/>
          <w:spacing w:val="-16"/>
          <w:w w:val="105"/>
        </w:rPr>
        <w:t> </w:t>
      </w:r>
      <w:r>
        <w:rPr>
          <w:color w:val="231F20"/>
          <w:w w:val="105"/>
        </w:rPr>
        <w:t>es</w:t>
      </w:r>
      <w:r>
        <w:rPr>
          <w:color w:val="231F20"/>
          <w:spacing w:val="-16"/>
          <w:w w:val="105"/>
        </w:rPr>
        <w:t> </w:t>
      </w:r>
      <w:r>
        <w:rPr>
          <w:color w:val="231F20"/>
          <w:w w:val="105"/>
        </w:rPr>
        <w:t>llorar,</w:t>
      </w:r>
      <w:r>
        <w:rPr>
          <w:color w:val="231F20"/>
          <w:spacing w:val="-22"/>
          <w:w w:val="105"/>
        </w:rPr>
        <w:t> </w:t>
      </w:r>
      <w:r>
        <w:rPr>
          <w:color w:val="231F20"/>
          <w:w w:val="105"/>
        </w:rPr>
        <w:t>desahogar,</w:t>
      </w:r>
      <w:r>
        <w:rPr>
          <w:color w:val="231F20"/>
          <w:spacing w:val="-22"/>
          <w:w w:val="105"/>
        </w:rPr>
        <w:t> </w:t>
      </w:r>
      <w:r>
        <w:rPr>
          <w:color w:val="231F20"/>
          <w:w w:val="105"/>
        </w:rPr>
        <w:t>pensar</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beneficios</w:t>
      </w:r>
      <w:r>
        <w:rPr>
          <w:color w:val="231F20"/>
          <w:spacing w:val="-16"/>
          <w:w w:val="105"/>
        </w:rPr>
        <w:t> </w:t>
      </w:r>
      <w:r>
        <w:rPr>
          <w:color w:val="231F20"/>
          <w:w w:val="105"/>
        </w:rPr>
        <w:t>como</w:t>
      </w:r>
      <w:r>
        <w:rPr>
          <w:color w:val="231F20"/>
          <w:spacing w:val="-16"/>
          <w:w w:val="105"/>
        </w:rPr>
        <w:t> </w:t>
      </w:r>
      <w:r>
        <w:rPr>
          <w:color w:val="231F20"/>
          <w:w w:val="105"/>
        </w:rPr>
        <w:t>una manera</w:t>
      </w:r>
      <w:r>
        <w:rPr>
          <w:color w:val="231F20"/>
          <w:spacing w:val="-6"/>
          <w:w w:val="105"/>
        </w:rPr>
        <w:t> </w:t>
      </w:r>
      <w:r>
        <w:rPr>
          <w:color w:val="231F20"/>
          <w:w w:val="105"/>
        </w:rPr>
        <w:t>de</w:t>
      </w:r>
      <w:r>
        <w:rPr>
          <w:color w:val="231F20"/>
          <w:spacing w:val="-6"/>
          <w:w w:val="105"/>
        </w:rPr>
        <w:t> </w:t>
      </w:r>
      <w:r>
        <w:rPr>
          <w:color w:val="231F20"/>
          <w:w w:val="105"/>
        </w:rPr>
        <w:t>asumir</w:t>
      </w:r>
      <w:r>
        <w:rPr>
          <w:color w:val="231F20"/>
          <w:spacing w:val="-6"/>
          <w:w w:val="105"/>
        </w:rPr>
        <w:t> </w:t>
      </w:r>
      <w:r>
        <w:rPr>
          <w:color w:val="231F20"/>
          <w:w w:val="105"/>
        </w:rPr>
        <w:t>la</w:t>
      </w:r>
      <w:r>
        <w:rPr>
          <w:color w:val="231F20"/>
          <w:spacing w:val="-6"/>
          <w:w w:val="105"/>
        </w:rPr>
        <w:t> </w:t>
      </w:r>
      <w:r>
        <w:rPr>
          <w:color w:val="231F20"/>
          <w:w w:val="105"/>
        </w:rPr>
        <w:t>responsabilidad</w:t>
      </w:r>
      <w:r>
        <w:rPr>
          <w:color w:val="231F20"/>
          <w:spacing w:val="-6"/>
          <w:w w:val="105"/>
        </w:rPr>
        <w:t> </w:t>
      </w:r>
      <w:r>
        <w:rPr>
          <w:color w:val="231F20"/>
          <w:w w:val="105"/>
        </w:rPr>
        <w:t>de</w:t>
      </w:r>
      <w:r>
        <w:rPr>
          <w:color w:val="231F20"/>
          <w:spacing w:val="-6"/>
          <w:w w:val="105"/>
        </w:rPr>
        <w:t> </w:t>
      </w:r>
      <w:r>
        <w:rPr>
          <w:color w:val="231F20"/>
          <w:w w:val="105"/>
        </w:rPr>
        <w:t>sus</w:t>
      </w:r>
      <w:r>
        <w:rPr>
          <w:color w:val="231F20"/>
          <w:spacing w:val="-6"/>
          <w:w w:val="105"/>
        </w:rPr>
        <w:t> </w:t>
      </w:r>
      <w:r>
        <w:rPr>
          <w:color w:val="231F20"/>
          <w:w w:val="105"/>
        </w:rPr>
        <w:t>decisiones</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migración del</w:t>
      </w:r>
      <w:r>
        <w:rPr>
          <w:color w:val="231F20"/>
          <w:spacing w:val="-16"/>
          <w:w w:val="105"/>
        </w:rPr>
        <w:t> </w:t>
      </w:r>
      <w:r>
        <w:rPr>
          <w:color w:val="231F20"/>
          <w:w w:val="105"/>
        </w:rPr>
        <w:t>hombre.</w:t>
      </w:r>
      <w:r>
        <w:rPr>
          <w:color w:val="231F20"/>
          <w:spacing w:val="-22"/>
          <w:w w:val="105"/>
        </w:rPr>
        <w:t> </w:t>
      </w:r>
      <w:r>
        <w:rPr>
          <w:color w:val="231F20"/>
          <w:w w:val="105"/>
        </w:rPr>
        <w:t>Reelaboran</w:t>
      </w:r>
      <w:r>
        <w:rPr>
          <w:color w:val="231F20"/>
          <w:spacing w:val="-16"/>
          <w:w w:val="105"/>
        </w:rPr>
        <w:t> </w:t>
      </w:r>
      <w:r>
        <w:rPr>
          <w:color w:val="231F20"/>
          <w:w w:val="105"/>
        </w:rPr>
        <w:t>el</w:t>
      </w:r>
      <w:r>
        <w:rPr>
          <w:color w:val="231F20"/>
          <w:spacing w:val="-16"/>
          <w:w w:val="105"/>
        </w:rPr>
        <w:t> </w:t>
      </w:r>
      <w:r>
        <w:rPr>
          <w:color w:val="231F20"/>
          <w:w w:val="105"/>
        </w:rPr>
        <w:t>dolor</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sufrimiento</w:t>
      </w:r>
      <w:r>
        <w:rPr>
          <w:color w:val="231F20"/>
          <w:spacing w:val="-16"/>
          <w:w w:val="105"/>
        </w:rPr>
        <w:t> </w:t>
      </w:r>
      <w:r>
        <w:rPr>
          <w:color w:val="231F20"/>
          <w:w w:val="105"/>
        </w:rPr>
        <w:t>para</w:t>
      </w:r>
      <w:r>
        <w:rPr>
          <w:color w:val="231F20"/>
          <w:spacing w:val="-16"/>
          <w:w w:val="105"/>
        </w:rPr>
        <w:t> </w:t>
      </w:r>
      <w:r>
        <w:rPr>
          <w:color w:val="231F20"/>
          <w:w w:val="105"/>
        </w:rPr>
        <w:t>resurgir</w:t>
      </w:r>
      <w:r>
        <w:rPr>
          <w:color w:val="231F20"/>
          <w:spacing w:val="-16"/>
          <w:w w:val="105"/>
        </w:rPr>
        <w:t> </w:t>
      </w:r>
      <w:r>
        <w:rPr>
          <w:color w:val="231F20"/>
          <w:w w:val="105"/>
        </w:rPr>
        <w:t>en</w:t>
      </w:r>
      <w:r>
        <w:rPr>
          <w:color w:val="231F20"/>
          <w:spacing w:val="-16"/>
          <w:w w:val="105"/>
        </w:rPr>
        <w:t> </w:t>
      </w:r>
      <w:r>
        <w:rPr>
          <w:color w:val="231F20"/>
          <w:w w:val="105"/>
        </w:rPr>
        <w:t>su</w:t>
      </w:r>
      <w:r>
        <w:rPr>
          <w:color w:val="231F20"/>
          <w:spacing w:val="-16"/>
          <w:w w:val="105"/>
        </w:rPr>
        <w:t> </w:t>
      </w:r>
      <w:r>
        <w:rPr>
          <w:color w:val="231F20"/>
          <w:w w:val="105"/>
        </w:rPr>
        <w:t>fuer- za</w:t>
      </w:r>
      <w:r>
        <w:rPr>
          <w:color w:val="231F20"/>
          <w:spacing w:val="-8"/>
          <w:w w:val="105"/>
        </w:rPr>
        <w:t> </w:t>
      </w:r>
      <w:r>
        <w:rPr>
          <w:color w:val="231F20"/>
          <w:w w:val="105"/>
        </w:rPr>
        <w:t>y</w:t>
      </w:r>
      <w:r>
        <w:rPr>
          <w:color w:val="231F20"/>
          <w:spacing w:val="-8"/>
          <w:w w:val="105"/>
        </w:rPr>
        <w:t> </w:t>
      </w:r>
      <w:r>
        <w:rPr>
          <w:color w:val="231F20"/>
          <w:w w:val="105"/>
        </w:rPr>
        <w:t>mostrarse</w:t>
      </w:r>
      <w:r>
        <w:rPr>
          <w:color w:val="231F20"/>
          <w:spacing w:val="-8"/>
          <w:w w:val="105"/>
        </w:rPr>
        <w:t> </w:t>
      </w:r>
      <w:r>
        <w:rPr>
          <w:color w:val="231F20"/>
          <w:w w:val="105"/>
        </w:rPr>
        <w:t>fortalecidas</w:t>
      </w:r>
      <w:r>
        <w:rPr>
          <w:color w:val="231F20"/>
          <w:spacing w:val="-8"/>
          <w:w w:val="105"/>
        </w:rPr>
        <w:t> </w:t>
      </w:r>
      <w:r>
        <w:rPr>
          <w:color w:val="231F20"/>
          <w:w w:val="105"/>
        </w:rPr>
        <w:t>frente</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demás</w:t>
      </w:r>
      <w:r>
        <w:rPr>
          <w:color w:val="231F20"/>
          <w:spacing w:val="-8"/>
          <w:w w:val="105"/>
        </w:rPr>
        <w:t> </w:t>
      </w:r>
      <w:r>
        <w:rPr>
          <w:color w:val="231F20"/>
          <w:w w:val="105"/>
        </w:rPr>
        <w:t>y</w:t>
      </w:r>
      <w:r>
        <w:rPr>
          <w:color w:val="231F20"/>
          <w:spacing w:val="-8"/>
          <w:w w:val="105"/>
        </w:rPr>
        <w:t> </w:t>
      </w:r>
      <w:r>
        <w:rPr>
          <w:color w:val="231F20"/>
          <w:w w:val="105"/>
        </w:rPr>
        <w:t>principalmente</w:t>
      </w:r>
      <w:r>
        <w:rPr>
          <w:color w:val="231F20"/>
          <w:spacing w:val="-8"/>
          <w:w w:val="105"/>
        </w:rPr>
        <w:t> </w:t>
      </w:r>
      <w:r>
        <w:rPr>
          <w:color w:val="231F20"/>
          <w:w w:val="105"/>
        </w:rPr>
        <w:t>para</w:t>
      </w:r>
      <w:r>
        <w:rPr>
          <w:color w:val="231F20"/>
          <w:spacing w:val="-8"/>
          <w:w w:val="105"/>
        </w:rPr>
        <w:t> </w:t>
      </w:r>
      <w:r>
        <w:rPr>
          <w:color w:val="231F20"/>
          <w:w w:val="105"/>
        </w:rPr>
        <w:t>los hijos.</w:t>
      </w:r>
      <w:r>
        <w:rPr>
          <w:color w:val="231F20"/>
          <w:spacing w:val="-9"/>
          <w:w w:val="105"/>
        </w:rPr>
        <w:t> </w:t>
      </w:r>
      <w:r>
        <w:rPr>
          <w:color w:val="231F20"/>
          <w:w w:val="105"/>
        </w:rPr>
        <w:t>Las</w:t>
      </w:r>
      <w:r>
        <w:rPr>
          <w:color w:val="231F20"/>
          <w:spacing w:val="-32"/>
          <w:w w:val="105"/>
        </w:rPr>
        <w:t> </w:t>
      </w:r>
      <w:r>
        <w:rPr>
          <w:color w:val="231F20"/>
          <w:w w:val="105"/>
        </w:rPr>
        <w:t>idas</w:t>
      </w:r>
      <w:r>
        <w:rPr>
          <w:color w:val="231F20"/>
          <w:spacing w:val="-32"/>
          <w:w w:val="105"/>
        </w:rPr>
        <w:t> </w:t>
      </w:r>
      <w:r>
        <w:rPr>
          <w:color w:val="231F20"/>
          <w:w w:val="105"/>
        </w:rPr>
        <w:t>y</w:t>
      </w:r>
      <w:r>
        <w:rPr>
          <w:color w:val="231F20"/>
          <w:spacing w:val="-32"/>
          <w:w w:val="105"/>
        </w:rPr>
        <w:t> </w:t>
      </w:r>
      <w:r>
        <w:rPr>
          <w:color w:val="231F20"/>
          <w:w w:val="105"/>
        </w:rPr>
        <w:t>las</w:t>
      </w:r>
      <w:r>
        <w:rPr>
          <w:color w:val="231F20"/>
          <w:spacing w:val="-32"/>
          <w:w w:val="105"/>
        </w:rPr>
        <w:t> </w:t>
      </w:r>
      <w:r>
        <w:rPr>
          <w:color w:val="231F20"/>
          <w:w w:val="105"/>
        </w:rPr>
        <w:t>quedadas</w:t>
      </w:r>
      <w:r>
        <w:rPr>
          <w:color w:val="231F20"/>
          <w:spacing w:val="-32"/>
          <w:w w:val="105"/>
        </w:rPr>
        <w:t> </w:t>
      </w:r>
      <w:r>
        <w:rPr>
          <w:color w:val="231F20"/>
          <w:w w:val="105"/>
        </w:rPr>
        <w:t>diseñan</w:t>
      </w:r>
      <w:r>
        <w:rPr>
          <w:color w:val="231F20"/>
          <w:spacing w:val="-32"/>
          <w:w w:val="105"/>
        </w:rPr>
        <w:t> </w:t>
      </w:r>
      <w:r>
        <w:rPr>
          <w:color w:val="231F20"/>
          <w:w w:val="105"/>
        </w:rPr>
        <w:t>la</w:t>
      </w:r>
      <w:r>
        <w:rPr>
          <w:color w:val="231F20"/>
          <w:spacing w:val="-32"/>
          <w:w w:val="105"/>
        </w:rPr>
        <w:t> </w:t>
      </w:r>
      <w:r>
        <w:rPr>
          <w:color w:val="231F20"/>
          <w:w w:val="105"/>
        </w:rPr>
        <w:t>imagen</w:t>
      </w:r>
      <w:r>
        <w:rPr>
          <w:color w:val="231F20"/>
          <w:spacing w:val="-32"/>
          <w:w w:val="105"/>
        </w:rPr>
        <w:t> </w:t>
      </w:r>
      <w:r>
        <w:rPr>
          <w:color w:val="231F20"/>
          <w:w w:val="105"/>
        </w:rPr>
        <w:t>estereotipada</w:t>
      </w:r>
      <w:r>
        <w:rPr>
          <w:color w:val="231F20"/>
          <w:spacing w:val="-32"/>
          <w:w w:val="105"/>
        </w:rPr>
        <w:t> </w:t>
      </w:r>
      <w:r>
        <w:rPr>
          <w:color w:val="231F20"/>
          <w:w w:val="105"/>
        </w:rPr>
        <w:t>y</w:t>
      </w:r>
      <w:r>
        <w:rPr>
          <w:color w:val="231F20"/>
          <w:spacing w:val="-32"/>
          <w:w w:val="105"/>
        </w:rPr>
        <w:t> </w:t>
      </w:r>
      <w:r>
        <w:rPr>
          <w:color w:val="231F20"/>
          <w:w w:val="105"/>
        </w:rPr>
        <w:t>enalteci- da</w:t>
      </w:r>
      <w:r>
        <w:rPr>
          <w:color w:val="231F20"/>
          <w:spacing w:val="-19"/>
          <w:w w:val="105"/>
        </w:rPr>
        <w:t> </w:t>
      </w:r>
      <w:r>
        <w:rPr>
          <w:color w:val="231F20"/>
          <w:w w:val="105"/>
        </w:rPr>
        <w:t>del</w:t>
      </w:r>
      <w:r>
        <w:rPr>
          <w:color w:val="231F20"/>
          <w:spacing w:val="-19"/>
          <w:w w:val="105"/>
        </w:rPr>
        <w:t> </w:t>
      </w:r>
      <w:r>
        <w:rPr>
          <w:color w:val="231F20"/>
          <w:w w:val="105"/>
        </w:rPr>
        <w:t>hombre</w:t>
      </w:r>
      <w:r>
        <w:rPr>
          <w:color w:val="231F20"/>
          <w:spacing w:val="-19"/>
          <w:w w:val="105"/>
        </w:rPr>
        <w:t> </w:t>
      </w:r>
      <w:r>
        <w:rPr>
          <w:color w:val="231F20"/>
          <w:w w:val="105"/>
        </w:rPr>
        <w:t>de</w:t>
      </w:r>
      <w:r>
        <w:rPr>
          <w:color w:val="231F20"/>
          <w:spacing w:val="-19"/>
          <w:w w:val="105"/>
        </w:rPr>
        <w:t> </w:t>
      </w:r>
      <w:r>
        <w:rPr>
          <w:color w:val="231F20"/>
          <w:w w:val="105"/>
        </w:rPr>
        <w:t>valor,</w:t>
      </w:r>
      <w:r>
        <w:rPr>
          <w:color w:val="231F20"/>
          <w:spacing w:val="-25"/>
          <w:w w:val="105"/>
        </w:rPr>
        <w:t> </w:t>
      </w:r>
      <w:r>
        <w:rPr>
          <w:color w:val="231F20"/>
          <w:w w:val="105"/>
        </w:rPr>
        <w:t>del</w:t>
      </w:r>
      <w:r>
        <w:rPr>
          <w:color w:val="231F20"/>
          <w:spacing w:val="-19"/>
          <w:w w:val="105"/>
        </w:rPr>
        <w:t> </w:t>
      </w:r>
      <w:r>
        <w:rPr>
          <w:color w:val="231F20"/>
          <w:w w:val="105"/>
        </w:rPr>
        <w:t>valiente,</w:t>
      </w:r>
      <w:r>
        <w:rPr>
          <w:color w:val="231F20"/>
          <w:spacing w:val="-25"/>
          <w:w w:val="105"/>
        </w:rPr>
        <w:t> </w:t>
      </w:r>
      <w:r>
        <w:rPr>
          <w:color w:val="231F20"/>
          <w:w w:val="105"/>
        </w:rPr>
        <w:t>aguantador,</w:t>
      </w:r>
      <w:r>
        <w:rPr>
          <w:color w:val="231F20"/>
          <w:spacing w:val="-25"/>
          <w:w w:val="105"/>
        </w:rPr>
        <w:t> </w:t>
      </w:r>
      <w:r>
        <w:rPr>
          <w:color w:val="231F20"/>
          <w:w w:val="105"/>
        </w:rPr>
        <w:t>proveedor</w:t>
      </w:r>
      <w:r>
        <w:rPr>
          <w:color w:val="231F20"/>
          <w:spacing w:val="-19"/>
          <w:w w:val="105"/>
        </w:rPr>
        <w:t> </w:t>
      </w:r>
      <w:r>
        <w:rPr>
          <w:color w:val="231F20"/>
          <w:w w:val="105"/>
        </w:rPr>
        <w:t>y</w:t>
      </w:r>
      <w:r>
        <w:rPr>
          <w:color w:val="231F20"/>
          <w:spacing w:val="-19"/>
          <w:w w:val="105"/>
        </w:rPr>
        <w:t> </w:t>
      </w:r>
      <w:r>
        <w:rPr>
          <w:color w:val="231F20"/>
          <w:w w:val="105"/>
        </w:rPr>
        <w:t>trabajador. Ocurre del lado de las mujeres, una reconfiguración de las emociones traducidas</w:t>
      </w:r>
      <w:r>
        <w:rPr>
          <w:color w:val="231F20"/>
          <w:spacing w:val="-15"/>
          <w:w w:val="105"/>
        </w:rPr>
        <w:t> </w:t>
      </w:r>
      <w:r>
        <w:rPr>
          <w:color w:val="231F20"/>
          <w:w w:val="105"/>
        </w:rPr>
        <w:t>en</w:t>
      </w:r>
      <w:r>
        <w:rPr>
          <w:color w:val="231F20"/>
          <w:spacing w:val="-15"/>
          <w:w w:val="105"/>
        </w:rPr>
        <w:t> </w:t>
      </w:r>
      <w:r>
        <w:rPr>
          <w:color w:val="231F20"/>
          <w:w w:val="105"/>
        </w:rPr>
        <w:t>adjetivos</w:t>
      </w:r>
      <w:r>
        <w:rPr>
          <w:color w:val="231F20"/>
          <w:spacing w:val="-15"/>
          <w:w w:val="105"/>
        </w:rPr>
        <w:t> </w:t>
      </w:r>
      <w:r>
        <w:rPr>
          <w:color w:val="231F20"/>
          <w:w w:val="105"/>
        </w:rPr>
        <w:t>calificados</w:t>
      </w:r>
      <w:r>
        <w:rPr>
          <w:color w:val="231F20"/>
          <w:spacing w:val="-15"/>
          <w:w w:val="105"/>
        </w:rPr>
        <w:t> </w:t>
      </w:r>
      <w:r>
        <w:rPr>
          <w:color w:val="231F20"/>
          <w:w w:val="105"/>
        </w:rPr>
        <w:t>positivos:</w:t>
      </w:r>
      <w:r>
        <w:rPr>
          <w:color w:val="231F20"/>
          <w:spacing w:val="-15"/>
          <w:w w:val="105"/>
        </w:rPr>
        <w:t> </w:t>
      </w:r>
      <w:r>
        <w:rPr>
          <w:color w:val="231F20"/>
          <w:w w:val="105"/>
        </w:rPr>
        <w:t>la</w:t>
      </w:r>
      <w:r>
        <w:rPr>
          <w:color w:val="231F20"/>
          <w:spacing w:val="-15"/>
          <w:w w:val="105"/>
        </w:rPr>
        <w:t> </w:t>
      </w:r>
      <w:r>
        <w:rPr>
          <w:color w:val="231F20"/>
          <w:w w:val="105"/>
        </w:rPr>
        <w:t>aguantadora,</w:t>
      </w:r>
      <w:r>
        <w:rPr>
          <w:color w:val="231F20"/>
          <w:spacing w:val="-21"/>
          <w:w w:val="105"/>
        </w:rPr>
        <w:t> </w:t>
      </w:r>
      <w:r>
        <w:rPr>
          <w:color w:val="231F20"/>
          <w:w w:val="105"/>
        </w:rPr>
        <w:t>la</w:t>
      </w:r>
      <w:r>
        <w:rPr>
          <w:color w:val="231F20"/>
          <w:spacing w:val="-15"/>
          <w:w w:val="105"/>
        </w:rPr>
        <w:t> </w:t>
      </w:r>
      <w:r>
        <w:rPr>
          <w:color w:val="231F20"/>
          <w:w w:val="105"/>
        </w:rPr>
        <w:t>fuerte,</w:t>
      </w:r>
      <w:r>
        <w:rPr>
          <w:color w:val="231F20"/>
          <w:spacing w:val="-21"/>
          <w:w w:val="105"/>
        </w:rPr>
        <w:t> </w:t>
      </w:r>
      <w:r>
        <w:rPr>
          <w:color w:val="231F20"/>
          <w:w w:val="105"/>
        </w:rPr>
        <w:t>la sufrida,</w:t>
      </w:r>
      <w:r>
        <w:rPr>
          <w:color w:val="231F20"/>
          <w:spacing w:val="-17"/>
          <w:w w:val="105"/>
        </w:rPr>
        <w:t> </w:t>
      </w:r>
      <w:r>
        <w:rPr>
          <w:color w:val="231F20"/>
          <w:w w:val="105"/>
        </w:rPr>
        <w:t>en</w:t>
      </w:r>
      <w:r>
        <w:rPr>
          <w:color w:val="231F20"/>
          <w:spacing w:val="-12"/>
          <w:w w:val="105"/>
        </w:rPr>
        <w:t> </w:t>
      </w:r>
      <w:r>
        <w:rPr>
          <w:color w:val="231F20"/>
          <w:w w:val="105"/>
        </w:rPr>
        <w:t>ellos</w:t>
      </w:r>
      <w:r>
        <w:rPr>
          <w:color w:val="231F20"/>
          <w:spacing w:val="-12"/>
          <w:w w:val="105"/>
        </w:rPr>
        <w:t> </w:t>
      </w:r>
      <w:r>
        <w:rPr>
          <w:color w:val="231F20"/>
          <w:w w:val="105"/>
        </w:rPr>
        <w:t>se</w:t>
      </w:r>
      <w:r>
        <w:rPr>
          <w:color w:val="231F20"/>
          <w:spacing w:val="-12"/>
          <w:w w:val="105"/>
        </w:rPr>
        <w:t> </w:t>
      </w:r>
      <w:r>
        <w:rPr>
          <w:color w:val="231F20"/>
          <w:w w:val="105"/>
        </w:rPr>
        <w:t>reconoce</w:t>
      </w:r>
      <w:r>
        <w:rPr>
          <w:color w:val="231F20"/>
          <w:spacing w:val="-12"/>
          <w:w w:val="105"/>
        </w:rPr>
        <w:t> </w:t>
      </w:r>
      <w:r>
        <w:rPr>
          <w:color w:val="231F20"/>
          <w:w w:val="105"/>
        </w:rPr>
        <w:t>la</w:t>
      </w:r>
      <w:r>
        <w:rPr>
          <w:color w:val="231F20"/>
          <w:spacing w:val="-12"/>
          <w:w w:val="105"/>
        </w:rPr>
        <w:t> </w:t>
      </w:r>
      <w:r>
        <w:rPr>
          <w:color w:val="231F20"/>
          <w:w w:val="105"/>
        </w:rPr>
        <w:t>fuerza</w:t>
      </w:r>
      <w:r>
        <w:rPr>
          <w:color w:val="231F20"/>
          <w:spacing w:val="-12"/>
          <w:w w:val="105"/>
        </w:rPr>
        <w:t> </w:t>
      </w:r>
      <w:r>
        <w:rPr>
          <w:color w:val="231F20"/>
          <w:w w:val="105"/>
        </w:rPr>
        <w:t>interna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mujeres</w:t>
      </w:r>
      <w:r>
        <w:rPr>
          <w:color w:val="231F20"/>
          <w:spacing w:val="-12"/>
          <w:w w:val="105"/>
        </w:rPr>
        <w:t> </w:t>
      </w:r>
      <w:r>
        <w:rPr>
          <w:color w:val="231F20"/>
          <w:w w:val="105"/>
        </w:rPr>
        <w:t>para</w:t>
      </w:r>
      <w:r>
        <w:rPr>
          <w:color w:val="231F20"/>
          <w:spacing w:val="-12"/>
          <w:w w:val="105"/>
        </w:rPr>
        <w:t> </w:t>
      </w:r>
      <w:r>
        <w:rPr>
          <w:color w:val="231F20"/>
          <w:w w:val="105"/>
        </w:rPr>
        <w:t>tomar</w:t>
      </w:r>
    </w:p>
    <w:p>
      <w:pPr>
        <w:pStyle w:val="BodyText"/>
        <w:rPr>
          <w:sz w:val="20"/>
        </w:rPr>
      </w:pPr>
    </w:p>
    <w:p>
      <w:pPr>
        <w:pStyle w:val="BodyText"/>
        <w:rPr>
          <w:sz w:val="20"/>
        </w:rPr>
      </w:pPr>
    </w:p>
    <w:p>
      <w:pPr>
        <w:pStyle w:val="BodyText"/>
        <w:rPr>
          <w:sz w:val="20"/>
        </w:rPr>
      </w:pPr>
    </w:p>
    <w:p>
      <w:pPr>
        <w:pStyle w:val="BodyText"/>
        <w:rPr>
          <w:sz w:val="29"/>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2552" from="131.551193pt,3.703715pt" to="131.551193pt,39.506114pt" stroked="true" strokeweight=".35pt" strokecolor="#231f20">
            <w10:wrap type="none"/>
          </v:line>
        </w:pict>
      </w:r>
      <w:r>
        <w:rPr/>
        <w:pict>
          <v:line style="position:absolute;mso-position-horizontal-relative:page;mso-position-vertical-relative:paragraph;z-index:-442480" from="15pt,39.505917pt" to="0pt,39.505917pt" stroked="true" strokeweight=".25pt" strokecolor="#000000">
            <w10:wrap type="none"/>
          </v:line>
        </w:pict>
      </w:r>
      <w:r>
        <w:rPr/>
        <w:pict>
          <v:line style="position:absolute;mso-position-horizontal-relative:page;mso-position-vertical-relative:paragraph;z-index:47728" from="508.890015pt,39.505917pt" to="523.890015pt,39.505917pt" stroked="true" strokeweight=".25pt" strokecolor="#000000">
            <w10:wrap type="none"/>
          </v:line>
        </w:pict>
      </w:r>
      <w:r>
        <w:rPr>
          <w:rFonts w:ascii="Arial" w:hAnsi="Arial"/>
          <w:color w:val="414042"/>
          <w:w w:val="105"/>
          <w:position w:val="-5"/>
          <w:sz w:val="20"/>
        </w:rPr>
        <w:t>412</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775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7776" from="15pt,-28.286539pt" to="0pt,-28.286539pt" stroked="true" strokeweight=".25pt" strokecolor="#000000">
            <w10:wrap type="none"/>
          </v:line>
        </w:pict>
      </w:r>
      <w:r>
        <w:rPr/>
        <w:pict>
          <v:line style="position:absolute;mso-position-horizontal-relative:page;mso-position-vertical-relative:paragraph;z-index:47800" from="508.890015pt,-28.286539pt" to="523.890015pt,-28.286539pt" stroked="true" strokeweight=".25pt" strokecolor="#000000">
            <w10:wrap type="none"/>
          </v:line>
        </w:pict>
      </w:r>
      <w:r>
        <w:rPr>
          <w:rFonts w:ascii="Arial"/>
          <w:color w:val="414042"/>
          <w:sz w:val="20"/>
        </w:rPr>
        <w:t>413</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15"/>
      </w:pPr>
      <w:r>
        <w:rPr>
          <w:color w:val="231F20"/>
          <w:w w:val="105"/>
        </w:rPr>
        <w:t>una</w:t>
      </w:r>
      <w:r>
        <w:rPr>
          <w:color w:val="231F20"/>
          <w:spacing w:val="-9"/>
          <w:w w:val="105"/>
        </w:rPr>
        <w:t> </w:t>
      </w:r>
      <w:r>
        <w:rPr>
          <w:color w:val="231F20"/>
          <w:w w:val="105"/>
        </w:rPr>
        <w:t>decisión</w:t>
      </w:r>
      <w:r>
        <w:rPr>
          <w:color w:val="231F20"/>
          <w:spacing w:val="-9"/>
          <w:w w:val="105"/>
        </w:rPr>
        <w:t> </w:t>
      </w:r>
      <w:r>
        <w:rPr>
          <w:color w:val="231F20"/>
          <w:w w:val="105"/>
        </w:rPr>
        <w:t>planeada</w:t>
      </w:r>
      <w:r>
        <w:rPr>
          <w:color w:val="231F20"/>
          <w:spacing w:val="-9"/>
          <w:w w:val="105"/>
        </w:rPr>
        <w:t> </w:t>
      </w:r>
      <w:r>
        <w:rPr>
          <w:color w:val="231F20"/>
          <w:w w:val="105"/>
        </w:rPr>
        <w:t>o</w:t>
      </w:r>
      <w:r>
        <w:rPr>
          <w:color w:val="231F20"/>
          <w:spacing w:val="-9"/>
          <w:w w:val="105"/>
        </w:rPr>
        <w:t> </w:t>
      </w:r>
      <w:r>
        <w:rPr>
          <w:color w:val="231F20"/>
          <w:w w:val="105"/>
        </w:rPr>
        <w:t>inesperada</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hombres</w:t>
      </w:r>
      <w:r>
        <w:rPr>
          <w:color w:val="231F20"/>
          <w:spacing w:val="-9"/>
          <w:w w:val="105"/>
        </w:rPr>
        <w:t> </w:t>
      </w:r>
      <w:r>
        <w:rPr>
          <w:color w:val="231F20"/>
          <w:w w:val="105"/>
        </w:rPr>
        <w:t>en</w:t>
      </w:r>
      <w:r>
        <w:rPr>
          <w:color w:val="231F20"/>
          <w:spacing w:val="-9"/>
          <w:w w:val="105"/>
        </w:rPr>
        <w:t> </w:t>
      </w:r>
      <w:r>
        <w:rPr>
          <w:color w:val="231F20"/>
          <w:w w:val="105"/>
        </w:rPr>
        <w:t>relación</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mi- gración</w:t>
      </w:r>
      <w:r>
        <w:rPr>
          <w:color w:val="231F20"/>
          <w:spacing w:val="-23"/>
          <w:w w:val="105"/>
        </w:rPr>
        <w:t> </w:t>
      </w:r>
      <w:r>
        <w:rPr>
          <w:color w:val="231F20"/>
          <w:w w:val="105"/>
        </w:rPr>
        <w:t>recurrente.</w:t>
      </w:r>
    </w:p>
    <w:p>
      <w:pPr>
        <w:pStyle w:val="BodyText"/>
        <w:spacing w:line="261" w:lineRule="auto" w:before="1"/>
        <w:ind w:left="1837" w:right="1721" w:firstLine="567"/>
        <w:jc w:val="both"/>
      </w:pPr>
      <w:r>
        <w:rPr>
          <w:color w:val="231F20"/>
          <w:w w:val="105"/>
        </w:rPr>
        <w:t>Fuertes</w:t>
      </w:r>
      <w:r>
        <w:rPr>
          <w:color w:val="231F20"/>
          <w:spacing w:val="-18"/>
          <w:w w:val="105"/>
        </w:rPr>
        <w:t> </w:t>
      </w:r>
      <w:r>
        <w:rPr>
          <w:color w:val="231F20"/>
          <w:w w:val="105"/>
        </w:rPr>
        <w:t>y</w:t>
      </w:r>
      <w:r>
        <w:rPr>
          <w:color w:val="231F20"/>
          <w:spacing w:val="-18"/>
          <w:w w:val="105"/>
        </w:rPr>
        <w:t> </w:t>
      </w:r>
      <w:r>
        <w:rPr>
          <w:color w:val="231F20"/>
          <w:w w:val="105"/>
        </w:rPr>
        <w:t>reales</w:t>
      </w:r>
      <w:r>
        <w:rPr>
          <w:color w:val="231F20"/>
          <w:spacing w:val="-18"/>
          <w:w w:val="105"/>
        </w:rPr>
        <w:t> </w:t>
      </w:r>
      <w:r>
        <w:rPr>
          <w:color w:val="231F20"/>
          <w:w w:val="105"/>
        </w:rPr>
        <w:t>son</w:t>
      </w:r>
      <w:r>
        <w:rPr>
          <w:color w:val="231F20"/>
          <w:spacing w:val="-18"/>
          <w:w w:val="105"/>
        </w:rPr>
        <w:t> </w:t>
      </w:r>
      <w:r>
        <w:rPr>
          <w:color w:val="231F20"/>
          <w:w w:val="105"/>
        </w:rPr>
        <w:t>las</w:t>
      </w:r>
      <w:r>
        <w:rPr>
          <w:color w:val="231F20"/>
          <w:spacing w:val="-18"/>
          <w:w w:val="105"/>
        </w:rPr>
        <w:t> </w:t>
      </w:r>
      <w:r>
        <w:rPr>
          <w:color w:val="231F20"/>
          <w:w w:val="105"/>
        </w:rPr>
        <w:t>perturbaciones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hombres</w:t>
      </w:r>
      <w:r>
        <w:rPr>
          <w:color w:val="231F20"/>
          <w:spacing w:val="-18"/>
          <w:w w:val="105"/>
        </w:rPr>
        <w:t> </w:t>
      </w:r>
      <w:r>
        <w:rPr>
          <w:color w:val="231F20"/>
          <w:w w:val="105"/>
        </w:rPr>
        <w:t>al</w:t>
      </w:r>
      <w:r>
        <w:rPr>
          <w:color w:val="231F20"/>
          <w:spacing w:val="-18"/>
          <w:w w:val="105"/>
        </w:rPr>
        <w:t> </w:t>
      </w:r>
      <w:r>
        <w:rPr>
          <w:color w:val="231F20"/>
          <w:w w:val="105"/>
        </w:rPr>
        <w:t>paso</w:t>
      </w:r>
      <w:r>
        <w:rPr>
          <w:color w:val="231F20"/>
          <w:spacing w:val="-18"/>
          <w:w w:val="105"/>
        </w:rPr>
        <w:t> </w:t>
      </w:r>
      <w:r>
        <w:rPr>
          <w:color w:val="231F20"/>
          <w:w w:val="105"/>
        </w:rPr>
        <w:t>del tiempo. Aunque lo quieran evitar, no pensando, doblando las jornadas de trabajo, encerrándose en su espacio, evitando lugares de diversión social,</w:t>
      </w:r>
      <w:r>
        <w:rPr>
          <w:color w:val="231F20"/>
          <w:spacing w:val="-16"/>
          <w:w w:val="105"/>
        </w:rPr>
        <w:t> </w:t>
      </w:r>
      <w:r>
        <w:rPr>
          <w:color w:val="231F20"/>
          <w:w w:val="105"/>
        </w:rPr>
        <w:t>más</w:t>
      </w:r>
      <w:r>
        <w:rPr>
          <w:color w:val="231F20"/>
          <w:spacing w:val="-11"/>
          <w:w w:val="105"/>
        </w:rPr>
        <w:t> </w:t>
      </w:r>
      <w:r>
        <w:rPr>
          <w:color w:val="231F20"/>
          <w:w w:val="105"/>
        </w:rPr>
        <w:t>de</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quisieran,</w:t>
      </w:r>
      <w:r>
        <w:rPr>
          <w:color w:val="231F20"/>
          <w:spacing w:val="-16"/>
          <w:w w:val="105"/>
        </w:rPr>
        <w:t> </w:t>
      </w:r>
      <w:r>
        <w:rPr>
          <w:color w:val="231F20"/>
          <w:w w:val="105"/>
        </w:rPr>
        <w:t>algunos</w:t>
      </w:r>
      <w:r>
        <w:rPr>
          <w:color w:val="231F20"/>
          <w:spacing w:val="-11"/>
          <w:w w:val="105"/>
        </w:rPr>
        <w:t> </w:t>
      </w:r>
      <w:r>
        <w:rPr>
          <w:color w:val="231F20"/>
          <w:w w:val="105"/>
        </w:rPr>
        <w:t>hombres</w:t>
      </w:r>
      <w:r>
        <w:rPr>
          <w:color w:val="231F20"/>
          <w:spacing w:val="-11"/>
          <w:w w:val="105"/>
        </w:rPr>
        <w:t> </w:t>
      </w:r>
      <w:r>
        <w:rPr>
          <w:color w:val="231F20"/>
          <w:w w:val="105"/>
        </w:rPr>
        <w:t>viven</w:t>
      </w:r>
      <w:r>
        <w:rPr>
          <w:color w:val="231F20"/>
          <w:spacing w:val="-11"/>
          <w:w w:val="105"/>
        </w:rPr>
        <w:t> </w:t>
      </w:r>
      <w:r>
        <w:rPr>
          <w:color w:val="231F20"/>
          <w:w w:val="105"/>
        </w:rPr>
        <w:t>bajo</w:t>
      </w:r>
      <w:r>
        <w:rPr>
          <w:color w:val="231F20"/>
          <w:spacing w:val="-11"/>
          <w:w w:val="105"/>
        </w:rPr>
        <w:t> </w:t>
      </w:r>
      <w:r>
        <w:rPr>
          <w:color w:val="231F20"/>
          <w:w w:val="105"/>
        </w:rPr>
        <w:t>el</w:t>
      </w:r>
      <w:r>
        <w:rPr>
          <w:color w:val="231F20"/>
          <w:spacing w:val="-11"/>
          <w:w w:val="105"/>
        </w:rPr>
        <w:t> </w:t>
      </w:r>
      <w:r>
        <w:rPr>
          <w:color w:val="231F20"/>
          <w:w w:val="105"/>
        </w:rPr>
        <w:t>temor</w:t>
      </w:r>
      <w:r>
        <w:rPr>
          <w:color w:val="231F20"/>
          <w:spacing w:val="-11"/>
          <w:w w:val="105"/>
        </w:rPr>
        <w:t> </w:t>
      </w:r>
      <w:r>
        <w:rPr>
          <w:color w:val="231F20"/>
          <w:w w:val="105"/>
        </w:rPr>
        <w:t>de las</w:t>
      </w:r>
      <w:r>
        <w:rPr>
          <w:color w:val="231F20"/>
          <w:spacing w:val="-5"/>
          <w:w w:val="105"/>
        </w:rPr>
        <w:t> </w:t>
      </w:r>
      <w:r>
        <w:rPr>
          <w:color w:val="231F20"/>
          <w:w w:val="105"/>
        </w:rPr>
        <w:t>“traiciones</w:t>
      </w:r>
      <w:r>
        <w:rPr>
          <w:color w:val="231F20"/>
          <w:spacing w:val="-5"/>
          <w:w w:val="105"/>
        </w:rPr>
        <w:t> </w:t>
      </w:r>
      <w:r>
        <w:rPr>
          <w:color w:val="231F20"/>
          <w:spacing w:val="-3"/>
          <w:w w:val="105"/>
        </w:rPr>
        <w:t>femeninas”,</w:t>
      </w:r>
      <w:r>
        <w:rPr>
          <w:color w:val="231F20"/>
          <w:spacing w:val="-11"/>
          <w:w w:val="105"/>
        </w:rPr>
        <w:t> </w:t>
      </w:r>
      <w:r>
        <w:rPr>
          <w:color w:val="231F20"/>
          <w:w w:val="105"/>
        </w:rPr>
        <w:t>de</w:t>
      </w:r>
      <w:r>
        <w:rPr>
          <w:color w:val="231F20"/>
          <w:spacing w:val="-5"/>
          <w:w w:val="105"/>
        </w:rPr>
        <w:t> </w:t>
      </w:r>
      <w:r>
        <w:rPr>
          <w:color w:val="231F20"/>
          <w:w w:val="105"/>
        </w:rPr>
        <w:t>si</w:t>
      </w:r>
      <w:r>
        <w:rPr>
          <w:color w:val="231F20"/>
          <w:spacing w:val="-5"/>
          <w:w w:val="105"/>
        </w:rPr>
        <w:t> </w:t>
      </w:r>
      <w:r>
        <w:rPr>
          <w:color w:val="231F20"/>
          <w:w w:val="105"/>
        </w:rPr>
        <w:t>“alguien</w:t>
      </w:r>
      <w:r>
        <w:rPr>
          <w:color w:val="231F20"/>
          <w:spacing w:val="-5"/>
          <w:w w:val="105"/>
        </w:rPr>
        <w:t> </w:t>
      </w:r>
      <w:r>
        <w:rPr>
          <w:color w:val="231F20"/>
          <w:w w:val="105"/>
        </w:rPr>
        <w:t>se</w:t>
      </w:r>
      <w:r>
        <w:rPr>
          <w:color w:val="231F20"/>
          <w:spacing w:val="-5"/>
          <w:w w:val="105"/>
        </w:rPr>
        <w:t> </w:t>
      </w:r>
      <w:r>
        <w:rPr>
          <w:color w:val="231F20"/>
          <w:w w:val="105"/>
        </w:rPr>
        <w:t>cruza</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camino</w:t>
      </w:r>
      <w:r>
        <w:rPr>
          <w:color w:val="231F20"/>
          <w:spacing w:val="-5"/>
          <w:w w:val="105"/>
        </w:rPr>
        <w:t> </w:t>
      </w:r>
      <w:r>
        <w:rPr>
          <w:color w:val="231F20"/>
          <w:w w:val="105"/>
        </w:rPr>
        <w:t>de</w:t>
      </w:r>
      <w:r>
        <w:rPr>
          <w:color w:val="231F20"/>
          <w:spacing w:val="-5"/>
          <w:w w:val="105"/>
        </w:rPr>
        <w:t> </w:t>
      </w:r>
      <w:r>
        <w:rPr>
          <w:color w:val="231F20"/>
          <w:w w:val="105"/>
        </w:rPr>
        <w:t>ella</w:t>
      </w:r>
      <w:r>
        <w:rPr>
          <w:color w:val="231F20"/>
          <w:spacing w:val="-5"/>
          <w:w w:val="105"/>
        </w:rPr>
        <w:t> </w:t>
      </w:r>
      <w:r>
        <w:rPr>
          <w:color w:val="231F20"/>
          <w:w w:val="105"/>
        </w:rPr>
        <w:t>y por necesidad se van con </w:t>
      </w:r>
      <w:r>
        <w:rPr>
          <w:color w:val="231F20"/>
          <w:spacing w:val="-7"/>
          <w:w w:val="105"/>
        </w:rPr>
        <w:t>él”, </w:t>
      </w:r>
      <w:r>
        <w:rPr>
          <w:color w:val="231F20"/>
          <w:spacing w:val="-3"/>
          <w:w w:val="105"/>
        </w:rPr>
        <w:t>“de </w:t>
      </w:r>
      <w:r>
        <w:rPr>
          <w:color w:val="231F20"/>
          <w:w w:val="105"/>
        </w:rPr>
        <w:t>no estar cuando ella lo </w:t>
      </w:r>
      <w:r>
        <w:rPr>
          <w:color w:val="231F20"/>
          <w:spacing w:val="-3"/>
          <w:w w:val="105"/>
        </w:rPr>
        <w:t>necesite”,</w:t>
      </w:r>
      <w:r>
        <w:rPr>
          <w:color w:val="231F20"/>
          <w:spacing w:val="-32"/>
          <w:w w:val="105"/>
        </w:rPr>
        <w:t> </w:t>
      </w:r>
      <w:r>
        <w:rPr>
          <w:color w:val="231F20"/>
          <w:spacing w:val="-3"/>
          <w:w w:val="105"/>
        </w:rPr>
        <w:t>“que </w:t>
      </w:r>
      <w:r>
        <w:rPr>
          <w:color w:val="231F20"/>
          <w:w w:val="105"/>
        </w:rPr>
        <w:t>le jueguen </w:t>
      </w:r>
      <w:r>
        <w:rPr>
          <w:color w:val="231F20"/>
          <w:spacing w:val="-4"/>
          <w:w w:val="105"/>
        </w:rPr>
        <w:t>chueco”, </w:t>
      </w:r>
      <w:r>
        <w:rPr>
          <w:color w:val="231F20"/>
          <w:w w:val="105"/>
        </w:rPr>
        <w:t>especialmente ante los chismes y dudas sobre las mujeres</w:t>
      </w:r>
      <w:r>
        <w:rPr>
          <w:color w:val="231F20"/>
          <w:spacing w:val="-8"/>
          <w:w w:val="105"/>
        </w:rPr>
        <w:t> </w:t>
      </w:r>
      <w:r>
        <w:rPr>
          <w:color w:val="231F20"/>
          <w:w w:val="105"/>
        </w:rPr>
        <w:t>que</w:t>
      </w:r>
      <w:r>
        <w:rPr>
          <w:color w:val="231F20"/>
          <w:spacing w:val="-8"/>
          <w:w w:val="105"/>
        </w:rPr>
        <w:t> </w:t>
      </w:r>
      <w:r>
        <w:rPr>
          <w:color w:val="231F20"/>
          <w:w w:val="105"/>
        </w:rPr>
        <w:t>circulan</w:t>
      </w:r>
      <w:r>
        <w:rPr>
          <w:color w:val="231F20"/>
          <w:spacing w:val="-8"/>
          <w:w w:val="105"/>
        </w:rPr>
        <w:t> </w:t>
      </w:r>
      <w:r>
        <w:rPr>
          <w:color w:val="231F20"/>
          <w:w w:val="105"/>
        </w:rPr>
        <w:t>de</w:t>
      </w:r>
      <w:r>
        <w:rPr>
          <w:color w:val="231F20"/>
          <w:spacing w:val="-8"/>
          <w:w w:val="105"/>
        </w:rPr>
        <w:t> </w:t>
      </w:r>
      <w:r>
        <w:rPr>
          <w:color w:val="231F20"/>
          <w:w w:val="105"/>
        </w:rPr>
        <w:t>lado</w:t>
      </w:r>
      <w:r>
        <w:rPr>
          <w:color w:val="231F20"/>
          <w:spacing w:val="-8"/>
          <w:w w:val="105"/>
        </w:rPr>
        <w:t> </w:t>
      </w:r>
      <w:r>
        <w:rPr>
          <w:color w:val="231F20"/>
          <w:w w:val="105"/>
        </w:rPr>
        <w:t>a</w:t>
      </w:r>
      <w:r>
        <w:rPr>
          <w:color w:val="231F20"/>
          <w:spacing w:val="-8"/>
          <w:w w:val="105"/>
        </w:rPr>
        <w:t> </w:t>
      </w:r>
      <w:r>
        <w:rPr>
          <w:color w:val="231F20"/>
          <w:w w:val="105"/>
        </w:rPr>
        <w:t>lado.</w:t>
      </w:r>
      <w:r>
        <w:rPr>
          <w:color w:val="231F20"/>
          <w:spacing w:val="-14"/>
          <w:w w:val="105"/>
        </w:rPr>
        <w:t> </w:t>
      </w:r>
      <w:r>
        <w:rPr>
          <w:color w:val="231F20"/>
          <w:w w:val="105"/>
        </w:rPr>
        <w:t>Ese</w:t>
      </w:r>
      <w:r>
        <w:rPr>
          <w:color w:val="231F20"/>
          <w:spacing w:val="-8"/>
          <w:w w:val="105"/>
        </w:rPr>
        <w:t> </w:t>
      </w:r>
      <w:r>
        <w:rPr>
          <w:color w:val="231F20"/>
          <w:w w:val="105"/>
        </w:rPr>
        <w:t>miedo</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infidelidad</w:t>
      </w:r>
      <w:r>
        <w:rPr>
          <w:color w:val="231F20"/>
          <w:spacing w:val="-8"/>
          <w:w w:val="105"/>
        </w:rPr>
        <w:t> </w:t>
      </w:r>
      <w:r>
        <w:rPr>
          <w:color w:val="231F20"/>
          <w:w w:val="105"/>
        </w:rPr>
        <w:t>afectaba el ego masculino. Y por el lado de él, ese “uno no es de palo” habla de las muchas tentaciones que son reales para ellos y que es tan fácil de caer</w:t>
      </w:r>
      <w:r>
        <w:rPr>
          <w:color w:val="231F20"/>
          <w:spacing w:val="-23"/>
          <w:w w:val="105"/>
        </w:rPr>
        <w:t> </w:t>
      </w:r>
      <w:r>
        <w:rPr>
          <w:color w:val="231F20"/>
          <w:w w:val="105"/>
        </w:rPr>
        <w:t>y</w:t>
      </w:r>
      <w:r>
        <w:rPr>
          <w:color w:val="231F20"/>
          <w:spacing w:val="-23"/>
          <w:w w:val="105"/>
        </w:rPr>
        <w:t> </w:t>
      </w:r>
      <w:r>
        <w:rPr>
          <w:color w:val="231F20"/>
          <w:w w:val="105"/>
        </w:rPr>
        <w:t>“enrolarse</w:t>
      </w:r>
      <w:r>
        <w:rPr>
          <w:color w:val="231F20"/>
          <w:spacing w:val="-23"/>
          <w:w w:val="105"/>
        </w:rPr>
        <w:t> </w:t>
      </w:r>
      <w:r>
        <w:rPr>
          <w:color w:val="231F20"/>
          <w:w w:val="105"/>
        </w:rPr>
        <w:t>en</w:t>
      </w:r>
      <w:r>
        <w:rPr>
          <w:color w:val="231F20"/>
          <w:spacing w:val="-23"/>
          <w:w w:val="105"/>
        </w:rPr>
        <w:t> </w:t>
      </w:r>
      <w:r>
        <w:rPr>
          <w:color w:val="231F20"/>
          <w:w w:val="105"/>
        </w:rPr>
        <w:t>otra</w:t>
      </w:r>
      <w:r>
        <w:rPr>
          <w:color w:val="231F20"/>
          <w:spacing w:val="-23"/>
          <w:w w:val="105"/>
        </w:rPr>
        <w:t> </w:t>
      </w:r>
      <w:r>
        <w:rPr>
          <w:color w:val="231F20"/>
          <w:spacing w:val="-3"/>
          <w:w w:val="105"/>
        </w:rPr>
        <w:t>relación”.</w:t>
      </w:r>
      <w:r>
        <w:rPr>
          <w:color w:val="231F20"/>
          <w:spacing w:val="-28"/>
          <w:w w:val="105"/>
        </w:rPr>
        <w:t> </w:t>
      </w:r>
      <w:r>
        <w:rPr>
          <w:color w:val="231F20"/>
          <w:w w:val="105"/>
        </w:rPr>
        <w:t>Esas</w:t>
      </w:r>
      <w:r>
        <w:rPr>
          <w:color w:val="231F20"/>
          <w:spacing w:val="-23"/>
          <w:w w:val="105"/>
        </w:rPr>
        <w:t> </w:t>
      </w:r>
      <w:r>
        <w:rPr>
          <w:color w:val="231F20"/>
          <w:w w:val="105"/>
        </w:rPr>
        <w:t>malas</w:t>
      </w:r>
      <w:r>
        <w:rPr>
          <w:color w:val="231F20"/>
          <w:spacing w:val="-23"/>
          <w:w w:val="105"/>
        </w:rPr>
        <w:t> </w:t>
      </w:r>
      <w:r>
        <w:rPr>
          <w:color w:val="231F20"/>
          <w:w w:val="105"/>
        </w:rPr>
        <w:t>creencias</w:t>
      </w:r>
      <w:r>
        <w:rPr>
          <w:color w:val="231F20"/>
          <w:spacing w:val="-23"/>
          <w:w w:val="105"/>
        </w:rPr>
        <w:t> </w:t>
      </w:r>
      <w:r>
        <w:rPr>
          <w:color w:val="231F20"/>
          <w:w w:val="105"/>
        </w:rPr>
        <w:t>los</w:t>
      </w:r>
      <w:r>
        <w:rPr>
          <w:color w:val="231F20"/>
          <w:spacing w:val="-23"/>
          <w:w w:val="105"/>
        </w:rPr>
        <w:t> </w:t>
      </w:r>
      <w:r>
        <w:rPr>
          <w:color w:val="231F20"/>
          <w:w w:val="105"/>
        </w:rPr>
        <w:t>empujan</w:t>
      </w:r>
      <w:r>
        <w:rPr>
          <w:color w:val="231F20"/>
          <w:spacing w:val="-23"/>
          <w:w w:val="105"/>
        </w:rPr>
        <w:t> </w:t>
      </w:r>
      <w:r>
        <w:rPr>
          <w:color w:val="231F20"/>
          <w:w w:val="105"/>
        </w:rPr>
        <w:t>a</w:t>
      </w:r>
      <w:r>
        <w:rPr>
          <w:color w:val="231F20"/>
          <w:spacing w:val="-23"/>
          <w:w w:val="105"/>
        </w:rPr>
        <w:t> </w:t>
      </w:r>
      <w:r>
        <w:rPr>
          <w:color w:val="231F20"/>
          <w:w w:val="105"/>
        </w:rPr>
        <w:t>la desconfianza,</w:t>
      </w:r>
      <w:r>
        <w:rPr>
          <w:color w:val="231F20"/>
          <w:spacing w:val="-10"/>
          <w:w w:val="105"/>
        </w:rPr>
        <w:t> </w:t>
      </w:r>
      <w:r>
        <w:rPr>
          <w:color w:val="231F20"/>
          <w:w w:val="105"/>
        </w:rPr>
        <w:t>las</w:t>
      </w:r>
      <w:r>
        <w:rPr>
          <w:color w:val="231F20"/>
          <w:spacing w:val="-5"/>
          <w:w w:val="105"/>
        </w:rPr>
        <w:t> </w:t>
      </w:r>
      <w:r>
        <w:rPr>
          <w:color w:val="231F20"/>
          <w:w w:val="105"/>
        </w:rPr>
        <w:t>rupturas</w:t>
      </w:r>
      <w:r>
        <w:rPr>
          <w:color w:val="231F20"/>
          <w:spacing w:val="-5"/>
          <w:w w:val="105"/>
        </w:rPr>
        <w:t> </w:t>
      </w:r>
      <w:r>
        <w:rPr>
          <w:color w:val="231F20"/>
          <w:w w:val="105"/>
        </w:rPr>
        <w:t>y</w:t>
      </w:r>
      <w:r>
        <w:rPr>
          <w:color w:val="231F20"/>
          <w:spacing w:val="-5"/>
          <w:w w:val="105"/>
        </w:rPr>
        <w:t> </w:t>
      </w:r>
      <w:r>
        <w:rPr>
          <w:color w:val="231F20"/>
          <w:w w:val="105"/>
        </w:rPr>
        <w:t>conflictos</w:t>
      </w:r>
      <w:r>
        <w:rPr>
          <w:color w:val="231F20"/>
          <w:spacing w:val="-5"/>
          <w:w w:val="105"/>
        </w:rPr>
        <w:t> </w:t>
      </w:r>
      <w:r>
        <w:rPr>
          <w:color w:val="231F20"/>
          <w:w w:val="105"/>
        </w:rPr>
        <w:t>de</w:t>
      </w:r>
      <w:r>
        <w:rPr>
          <w:color w:val="231F20"/>
          <w:spacing w:val="-5"/>
          <w:w w:val="105"/>
        </w:rPr>
        <w:t> </w:t>
      </w:r>
      <w:r>
        <w:rPr>
          <w:color w:val="231F20"/>
          <w:w w:val="105"/>
        </w:rPr>
        <w:t>manera</w:t>
      </w:r>
      <w:r>
        <w:rPr>
          <w:color w:val="231F20"/>
          <w:spacing w:val="-5"/>
          <w:w w:val="105"/>
        </w:rPr>
        <w:t> </w:t>
      </w:r>
      <w:r>
        <w:rPr>
          <w:color w:val="231F20"/>
          <w:w w:val="105"/>
        </w:rPr>
        <w:t>cíclica.</w:t>
      </w:r>
      <w:r>
        <w:rPr>
          <w:color w:val="231F20"/>
          <w:spacing w:val="-10"/>
          <w:w w:val="105"/>
        </w:rPr>
        <w:t> </w:t>
      </w:r>
      <w:r>
        <w:rPr>
          <w:color w:val="231F20"/>
          <w:w w:val="105"/>
        </w:rPr>
        <w:t>Los</w:t>
      </w:r>
      <w:r>
        <w:rPr>
          <w:color w:val="231F20"/>
          <w:spacing w:val="-5"/>
          <w:w w:val="105"/>
        </w:rPr>
        <w:t> </w:t>
      </w:r>
      <w:r>
        <w:rPr>
          <w:color w:val="231F20"/>
          <w:w w:val="105"/>
        </w:rPr>
        <w:t>lapsos</w:t>
      </w:r>
      <w:r>
        <w:rPr>
          <w:color w:val="231F20"/>
          <w:spacing w:val="-5"/>
          <w:w w:val="105"/>
        </w:rPr>
        <w:t> </w:t>
      </w:r>
      <w:r>
        <w:rPr>
          <w:color w:val="231F20"/>
          <w:w w:val="105"/>
        </w:rPr>
        <w:t>de tristeza y sentimiento de soledad son interpretados, dentro del cuadro de</w:t>
      </w:r>
      <w:r>
        <w:rPr>
          <w:color w:val="231F20"/>
          <w:spacing w:val="-21"/>
          <w:w w:val="105"/>
        </w:rPr>
        <w:t> </w:t>
      </w:r>
      <w:r>
        <w:rPr>
          <w:color w:val="231F20"/>
          <w:w w:val="105"/>
        </w:rPr>
        <w:t>la</w:t>
      </w:r>
      <w:r>
        <w:rPr>
          <w:color w:val="231F20"/>
          <w:spacing w:val="-21"/>
          <w:w w:val="105"/>
        </w:rPr>
        <w:t> </w:t>
      </w:r>
      <w:r>
        <w:rPr>
          <w:color w:val="231F20"/>
          <w:w w:val="105"/>
        </w:rPr>
        <w:t>normalidad,</w:t>
      </w:r>
      <w:r>
        <w:rPr>
          <w:color w:val="231F20"/>
          <w:spacing w:val="-26"/>
          <w:w w:val="105"/>
        </w:rPr>
        <w:t> </w:t>
      </w:r>
      <w:r>
        <w:rPr>
          <w:color w:val="231F20"/>
          <w:w w:val="105"/>
        </w:rPr>
        <w:t>como</w:t>
      </w:r>
      <w:r>
        <w:rPr>
          <w:color w:val="231F20"/>
          <w:spacing w:val="-21"/>
          <w:w w:val="105"/>
        </w:rPr>
        <w:t> </w:t>
      </w:r>
      <w:r>
        <w:rPr>
          <w:color w:val="231F20"/>
          <w:w w:val="105"/>
        </w:rPr>
        <w:t>hechos</w:t>
      </w:r>
      <w:r>
        <w:rPr>
          <w:color w:val="231F20"/>
          <w:spacing w:val="-21"/>
          <w:w w:val="105"/>
        </w:rPr>
        <w:t> </w:t>
      </w:r>
      <w:r>
        <w:rPr>
          <w:color w:val="231F20"/>
          <w:w w:val="105"/>
        </w:rPr>
        <w:t>pasajeros</w:t>
      </w:r>
      <w:r>
        <w:rPr>
          <w:color w:val="231F20"/>
          <w:spacing w:val="-21"/>
          <w:w w:val="105"/>
        </w:rPr>
        <w:t> </w:t>
      </w:r>
      <w:r>
        <w:rPr>
          <w:color w:val="231F20"/>
          <w:w w:val="105"/>
        </w:rPr>
        <w:t>sin</w:t>
      </w:r>
      <w:r>
        <w:rPr>
          <w:color w:val="231F20"/>
          <w:spacing w:val="-21"/>
          <w:w w:val="105"/>
        </w:rPr>
        <w:t> </w:t>
      </w:r>
      <w:r>
        <w:rPr>
          <w:color w:val="231F20"/>
          <w:w w:val="105"/>
        </w:rPr>
        <w:t>repercusiones.</w:t>
      </w:r>
    </w:p>
    <w:p>
      <w:pPr>
        <w:pStyle w:val="BodyText"/>
        <w:spacing w:line="261" w:lineRule="auto" w:before="1"/>
        <w:ind w:left="1837" w:right="1716" w:firstLine="567"/>
        <w:jc w:val="both"/>
      </w:pPr>
      <w:r>
        <w:rPr>
          <w:color w:val="231F20"/>
          <w:w w:val="105"/>
        </w:rPr>
        <w:t>Cierto,</w:t>
      </w:r>
      <w:r>
        <w:rPr>
          <w:color w:val="231F20"/>
          <w:spacing w:val="-11"/>
          <w:w w:val="105"/>
        </w:rPr>
        <w:t> </w:t>
      </w:r>
      <w:r>
        <w:rPr>
          <w:color w:val="231F20"/>
          <w:w w:val="105"/>
        </w:rPr>
        <w:t>es</w:t>
      </w:r>
      <w:r>
        <w:rPr>
          <w:color w:val="231F20"/>
          <w:spacing w:val="-6"/>
          <w:w w:val="105"/>
        </w:rPr>
        <w:t> </w:t>
      </w:r>
      <w:r>
        <w:rPr>
          <w:color w:val="231F20"/>
          <w:w w:val="105"/>
        </w:rPr>
        <w:t>difícil</w:t>
      </w:r>
      <w:r>
        <w:rPr>
          <w:color w:val="231F20"/>
          <w:spacing w:val="-6"/>
          <w:w w:val="105"/>
        </w:rPr>
        <w:t> </w:t>
      </w:r>
      <w:r>
        <w:rPr>
          <w:color w:val="231F20"/>
          <w:w w:val="105"/>
        </w:rPr>
        <w:t>la</w:t>
      </w:r>
      <w:r>
        <w:rPr>
          <w:color w:val="231F20"/>
          <w:spacing w:val="-6"/>
          <w:w w:val="105"/>
        </w:rPr>
        <w:t> </w:t>
      </w:r>
      <w:r>
        <w:rPr>
          <w:color w:val="231F20"/>
          <w:w w:val="105"/>
        </w:rPr>
        <w:t>gestión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vida</w:t>
      </w:r>
      <w:r>
        <w:rPr>
          <w:color w:val="231F20"/>
          <w:spacing w:val="-6"/>
          <w:w w:val="105"/>
        </w:rPr>
        <w:t> </w:t>
      </w:r>
      <w:r>
        <w:rPr>
          <w:color w:val="231F20"/>
          <w:w w:val="105"/>
        </w:rPr>
        <w:t>emocional</w:t>
      </w:r>
      <w:r>
        <w:rPr>
          <w:color w:val="231F20"/>
          <w:spacing w:val="-6"/>
          <w:w w:val="105"/>
        </w:rPr>
        <w:t> </w:t>
      </w:r>
      <w:r>
        <w:rPr>
          <w:color w:val="231F20"/>
          <w:w w:val="105"/>
        </w:rPr>
        <w:t>durante</w:t>
      </w:r>
      <w:r>
        <w:rPr>
          <w:color w:val="231F20"/>
          <w:spacing w:val="-6"/>
          <w:w w:val="105"/>
        </w:rPr>
        <w:t> </w:t>
      </w:r>
      <w:r>
        <w:rPr>
          <w:color w:val="231F20"/>
          <w:w w:val="105"/>
        </w:rPr>
        <w:t>las</w:t>
      </w:r>
      <w:r>
        <w:rPr>
          <w:color w:val="231F20"/>
          <w:spacing w:val="-6"/>
          <w:w w:val="105"/>
        </w:rPr>
        <w:t> </w:t>
      </w:r>
      <w:r>
        <w:rPr>
          <w:color w:val="231F20"/>
          <w:w w:val="105"/>
        </w:rPr>
        <w:t>idas</w:t>
      </w:r>
      <w:r>
        <w:rPr>
          <w:color w:val="231F20"/>
          <w:spacing w:val="-6"/>
          <w:w w:val="105"/>
        </w:rPr>
        <w:t> </w:t>
      </w:r>
      <w:r>
        <w:rPr>
          <w:color w:val="231F20"/>
          <w:w w:val="105"/>
        </w:rPr>
        <w:t>al norte</w:t>
      </w:r>
      <w:r>
        <w:rPr>
          <w:color w:val="231F20"/>
          <w:spacing w:val="-10"/>
          <w:w w:val="105"/>
        </w:rPr>
        <w:t> </w:t>
      </w:r>
      <w:r>
        <w:rPr>
          <w:color w:val="231F20"/>
          <w:w w:val="105"/>
        </w:rPr>
        <w:t>pero</w:t>
      </w:r>
      <w:r>
        <w:rPr>
          <w:color w:val="231F20"/>
          <w:spacing w:val="-10"/>
          <w:w w:val="105"/>
        </w:rPr>
        <w:t> </w:t>
      </w:r>
      <w:r>
        <w:rPr>
          <w:color w:val="231F20"/>
          <w:w w:val="105"/>
        </w:rPr>
        <w:t>pueden</w:t>
      </w:r>
      <w:r>
        <w:rPr>
          <w:color w:val="231F20"/>
          <w:spacing w:val="-10"/>
          <w:w w:val="105"/>
        </w:rPr>
        <w:t> </w:t>
      </w:r>
      <w:r>
        <w:rPr>
          <w:color w:val="231F20"/>
          <w:w w:val="105"/>
        </w:rPr>
        <w:t>valerse</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viejas</w:t>
      </w:r>
      <w:r>
        <w:rPr>
          <w:color w:val="231F20"/>
          <w:spacing w:val="-10"/>
          <w:w w:val="105"/>
        </w:rPr>
        <w:t> </w:t>
      </w:r>
      <w:r>
        <w:rPr>
          <w:color w:val="231F20"/>
          <w:w w:val="105"/>
        </w:rPr>
        <w:t>y</w:t>
      </w:r>
      <w:r>
        <w:rPr>
          <w:color w:val="231F20"/>
          <w:spacing w:val="-10"/>
          <w:w w:val="105"/>
        </w:rPr>
        <w:t> </w:t>
      </w:r>
      <w:r>
        <w:rPr>
          <w:color w:val="231F20"/>
          <w:w w:val="105"/>
        </w:rPr>
        <w:t>nuevas</w:t>
      </w:r>
      <w:r>
        <w:rPr>
          <w:color w:val="231F20"/>
          <w:spacing w:val="-10"/>
          <w:w w:val="105"/>
        </w:rPr>
        <w:t> </w:t>
      </w:r>
      <w:r>
        <w:rPr>
          <w:color w:val="231F20"/>
          <w:w w:val="105"/>
        </w:rPr>
        <w:t>tecnologías</w:t>
      </w:r>
      <w:r>
        <w:rPr>
          <w:color w:val="231F20"/>
          <w:spacing w:val="-10"/>
          <w:w w:val="105"/>
        </w:rPr>
        <w:t> </w:t>
      </w:r>
      <w:r>
        <w:rPr>
          <w:color w:val="231F20"/>
          <w:w w:val="105"/>
        </w:rPr>
        <w:t>para</w:t>
      </w:r>
      <w:r>
        <w:rPr>
          <w:color w:val="231F20"/>
          <w:spacing w:val="-10"/>
          <w:w w:val="105"/>
        </w:rPr>
        <w:t> </w:t>
      </w:r>
      <w:r>
        <w:rPr>
          <w:color w:val="231F20"/>
          <w:w w:val="105"/>
        </w:rPr>
        <w:t>man- tener comunicación y por lo menos no dejar que el vínculo se pierda. Los</w:t>
      </w:r>
      <w:r>
        <w:rPr>
          <w:color w:val="231F20"/>
          <w:spacing w:val="-21"/>
          <w:w w:val="105"/>
        </w:rPr>
        <w:t> </w:t>
      </w:r>
      <w:r>
        <w:rPr>
          <w:color w:val="231F20"/>
          <w:w w:val="105"/>
        </w:rPr>
        <w:t>medios</w:t>
      </w:r>
      <w:r>
        <w:rPr>
          <w:color w:val="231F20"/>
          <w:spacing w:val="-21"/>
          <w:w w:val="105"/>
        </w:rPr>
        <w:t> </w:t>
      </w:r>
      <w:r>
        <w:rPr>
          <w:color w:val="231F20"/>
          <w:w w:val="105"/>
        </w:rPr>
        <w:t>clásicos</w:t>
      </w:r>
      <w:r>
        <w:rPr>
          <w:color w:val="231F20"/>
          <w:spacing w:val="-21"/>
          <w:w w:val="105"/>
        </w:rPr>
        <w:t> </w:t>
      </w:r>
      <w:r>
        <w:rPr>
          <w:color w:val="231F20"/>
          <w:w w:val="105"/>
        </w:rPr>
        <w:t>como</w:t>
      </w:r>
      <w:r>
        <w:rPr>
          <w:color w:val="231F20"/>
          <w:spacing w:val="-21"/>
          <w:w w:val="105"/>
        </w:rPr>
        <w:t> </w:t>
      </w:r>
      <w:r>
        <w:rPr>
          <w:color w:val="231F20"/>
          <w:w w:val="105"/>
        </w:rPr>
        <w:t>la</w:t>
      </w:r>
      <w:r>
        <w:rPr>
          <w:color w:val="231F20"/>
          <w:spacing w:val="-21"/>
          <w:w w:val="105"/>
        </w:rPr>
        <w:t> </w:t>
      </w:r>
      <w:r>
        <w:rPr>
          <w:color w:val="231F20"/>
          <w:w w:val="105"/>
        </w:rPr>
        <w:t>carta,</w:t>
      </w:r>
      <w:r>
        <w:rPr>
          <w:color w:val="231F20"/>
          <w:spacing w:val="-25"/>
          <w:w w:val="105"/>
        </w:rPr>
        <w:t> </w:t>
      </w:r>
      <w:r>
        <w:rPr>
          <w:color w:val="231F20"/>
          <w:w w:val="105"/>
        </w:rPr>
        <w:t>la</w:t>
      </w:r>
      <w:r>
        <w:rPr>
          <w:color w:val="231F20"/>
          <w:spacing w:val="-21"/>
          <w:w w:val="105"/>
        </w:rPr>
        <w:t> </w:t>
      </w:r>
      <w:r>
        <w:rPr>
          <w:color w:val="231F20"/>
          <w:w w:val="105"/>
        </w:rPr>
        <w:t>postal,</w:t>
      </w:r>
      <w:r>
        <w:rPr>
          <w:color w:val="231F20"/>
          <w:spacing w:val="-25"/>
          <w:w w:val="105"/>
        </w:rPr>
        <w:t> </w:t>
      </w:r>
      <w:r>
        <w:rPr>
          <w:color w:val="231F20"/>
          <w:w w:val="105"/>
        </w:rPr>
        <w:t>las</w:t>
      </w:r>
      <w:r>
        <w:rPr>
          <w:color w:val="231F20"/>
          <w:spacing w:val="-21"/>
          <w:w w:val="105"/>
        </w:rPr>
        <w:t> </w:t>
      </w:r>
      <w:r>
        <w:rPr>
          <w:color w:val="231F20"/>
          <w:w w:val="105"/>
        </w:rPr>
        <w:t>fotografías</w:t>
      </w:r>
      <w:r>
        <w:rPr>
          <w:color w:val="231F20"/>
          <w:spacing w:val="-21"/>
          <w:w w:val="105"/>
        </w:rPr>
        <w:t> </w:t>
      </w:r>
      <w:r>
        <w:rPr>
          <w:color w:val="231F20"/>
          <w:w w:val="105"/>
        </w:rPr>
        <w:t>impresas,</w:t>
      </w:r>
      <w:r>
        <w:rPr>
          <w:color w:val="231F20"/>
          <w:spacing w:val="-25"/>
          <w:w w:val="105"/>
        </w:rPr>
        <w:t> </w:t>
      </w:r>
      <w:r>
        <w:rPr>
          <w:color w:val="231F20"/>
          <w:w w:val="105"/>
        </w:rPr>
        <w:t>lla- madas a la caseta telefónica pública, los regalos en especie, a lo más actualizado:</w:t>
      </w:r>
      <w:r>
        <w:rPr>
          <w:color w:val="231F20"/>
          <w:spacing w:val="-29"/>
          <w:w w:val="105"/>
        </w:rPr>
        <w:t> </w:t>
      </w:r>
      <w:r>
        <w:rPr>
          <w:color w:val="231F20"/>
          <w:w w:val="105"/>
        </w:rPr>
        <w:t>skype,</w:t>
      </w:r>
      <w:r>
        <w:rPr>
          <w:color w:val="231F20"/>
          <w:spacing w:val="-32"/>
          <w:w w:val="105"/>
        </w:rPr>
        <w:t> </w:t>
      </w:r>
      <w:r>
        <w:rPr>
          <w:color w:val="231F20"/>
          <w:w w:val="105"/>
        </w:rPr>
        <w:t>celular,</w:t>
      </w:r>
      <w:r>
        <w:rPr>
          <w:color w:val="231F20"/>
          <w:spacing w:val="-32"/>
          <w:w w:val="105"/>
        </w:rPr>
        <w:t> </w:t>
      </w:r>
      <w:r>
        <w:rPr>
          <w:color w:val="231F20"/>
          <w:w w:val="105"/>
        </w:rPr>
        <w:t>redes</w:t>
      </w:r>
      <w:r>
        <w:rPr>
          <w:color w:val="231F20"/>
          <w:spacing w:val="-29"/>
          <w:w w:val="105"/>
        </w:rPr>
        <w:t> </w:t>
      </w:r>
      <w:r>
        <w:rPr>
          <w:color w:val="231F20"/>
          <w:w w:val="105"/>
        </w:rPr>
        <w:t>sociales</w:t>
      </w:r>
      <w:r>
        <w:rPr>
          <w:color w:val="231F20"/>
          <w:spacing w:val="-29"/>
          <w:w w:val="105"/>
        </w:rPr>
        <w:t> </w:t>
      </w:r>
      <w:r>
        <w:rPr>
          <w:color w:val="231F20"/>
          <w:w w:val="105"/>
        </w:rPr>
        <w:t>(Facebook),</w:t>
      </w:r>
      <w:r>
        <w:rPr>
          <w:color w:val="231F20"/>
          <w:spacing w:val="-32"/>
          <w:w w:val="105"/>
        </w:rPr>
        <w:t> </w:t>
      </w:r>
      <w:r>
        <w:rPr>
          <w:color w:val="231F20"/>
          <w:w w:val="105"/>
        </w:rPr>
        <w:t>sitios</w:t>
      </w:r>
      <w:r>
        <w:rPr>
          <w:color w:val="231F20"/>
          <w:spacing w:val="-29"/>
          <w:w w:val="105"/>
        </w:rPr>
        <w:t> </w:t>
      </w:r>
      <w:r>
        <w:rPr>
          <w:color w:val="231F20"/>
          <w:w w:val="105"/>
        </w:rPr>
        <w:t>de</w:t>
      </w:r>
      <w:r>
        <w:rPr>
          <w:color w:val="231F20"/>
          <w:spacing w:val="-29"/>
          <w:w w:val="105"/>
        </w:rPr>
        <w:t> </w:t>
      </w:r>
      <w:r>
        <w:rPr>
          <w:color w:val="231F20"/>
          <w:w w:val="105"/>
        </w:rPr>
        <w:t>paisanos donde publican eventos del municipio y del pueblo, las ligas de fútbol, los vínculos afectivos son alimentados por los diálogos cotidianos, las llamadas,</w:t>
      </w:r>
      <w:r>
        <w:rPr>
          <w:color w:val="231F20"/>
          <w:spacing w:val="-27"/>
          <w:w w:val="105"/>
        </w:rPr>
        <w:t> </w:t>
      </w:r>
      <w:r>
        <w:rPr>
          <w:color w:val="231F20"/>
          <w:w w:val="105"/>
        </w:rPr>
        <w:t>el</w:t>
      </w:r>
      <w:r>
        <w:rPr>
          <w:color w:val="231F20"/>
          <w:spacing w:val="-23"/>
          <w:w w:val="105"/>
        </w:rPr>
        <w:t> </w:t>
      </w:r>
      <w:r>
        <w:rPr>
          <w:color w:val="231F20"/>
          <w:w w:val="105"/>
        </w:rPr>
        <w:t>envío</w:t>
      </w:r>
      <w:r>
        <w:rPr>
          <w:color w:val="231F20"/>
          <w:spacing w:val="-23"/>
          <w:w w:val="105"/>
        </w:rPr>
        <w:t> </w:t>
      </w:r>
      <w:r>
        <w:rPr>
          <w:color w:val="231F20"/>
          <w:w w:val="105"/>
        </w:rPr>
        <w:t>de</w:t>
      </w:r>
      <w:r>
        <w:rPr>
          <w:color w:val="231F20"/>
          <w:spacing w:val="-23"/>
          <w:w w:val="105"/>
        </w:rPr>
        <w:t> </w:t>
      </w:r>
      <w:r>
        <w:rPr>
          <w:color w:val="231F20"/>
          <w:w w:val="105"/>
        </w:rPr>
        <w:t>cartas</w:t>
      </w:r>
      <w:r>
        <w:rPr>
          <w:color w:val="231F20"/>
          <w:spacing w:val="-23"/>
          <w:w w:val="105"/>
        </w:rPr>
        <w:t> </w:t>
      </w:r>
      <w:r>
        <w:rPr>
          <w:color w:val="231F20"/>
          <w:w w:val="105"/>
        </w:rPr>
        <w:t>o</w:t>
      </w:r>
      <w:r>
        <w:rPr>
          <w:color w:val="231F20"/>
          <w:spacing w:val="-23"/>
          <w:w w:val="105"/>
        </w:rPr>
        <w:t> </w:t>
      </w:r>
      <w:r>
        <w:rPr>
          <w:color w:val="231F20"/>
          <w:w w:val="105"/>
        </w:rPr>
        <w:t>postales.</w:t>
      </w:r>
    </w:p>
    <w:p>
      <w:pPr>
        <w:pStyle w:val="BodyText"/>
        <w:spacing w:line="261" w:lineRule="auto" w:before="1"/>
        <w:ind w:left="1837" w:right="1721" w:firstLine="567"/>
        <w:jc w:val="both"/>
      </w:pPr>
      <w:r>
        <w:rPr>
          <w:color w:val="231F20"/>
          <w:w w:val="105"/>
        </w:rPr>
        <w:t>Ensayar</w:t>
      </w:r>
      <w:r>
        <w:rPr>
          <w:color w:val="231F20"/>
          <w:spacing w:val="-5"/>
          <w:w w:val="105"/>
        </w:rPr>
        <w:t> </w:t>
      </w:r>
      <w:r>
        <w:rPr>
          <w:color w:val="231F20"/>
          <w:w w:val="105"/>
        </w:rPr>
        <w:t>todo</w:t>
      </w:r>
      <w:r>
        <w:rPr>
          <w:color w:val="231F20"/>
          <w:spacing w:val="-5"/>
          <w:w w:val="105"/>
        </w:rPr>
        <w:t> </w:t>
      </w:r>
      <w:r>
        <w:rPr>
          <w:color w:val="231F20"/>
          <w:w w:val="105"/>
        </w:rPr>
        <w:t>esto</w:t>
      </w:r>
      <w:r>
        <w:rPr>
          <w:color w:val="231F20"/>
          <w:spacing w:val="-5"/>
          <w:w w:val="105"/>
        </w:rPr>
        <w:t> </w:t>
      </w:r>
      <w:r>
        <w:rPr>
          <w:color w:val="231F20"/>
          <w:w w:val="105"/>
        </w:rPr>
        <w:t>es</w:t>
      </w:r>
      <w:r>
        <w:rPr>
          <w:color w:val="231F20"/>
          <w:spacing w:val="-5"/>
          <w:w w:val="105"/>
        </w:rPr>
        <w:t> </w:t>
      </w:r>
      <w:r>
        <w:rPr>
          <w:color w:val="231F20"/>
          <w:w w:val="105"/>
        </w:rPr>
        <w:t>un</w:t>
      </w:r>
      <w:r>
        <w:rPr>
          <w:color w:val="231F20"/>
          <w:spacing w:val="-5"/>
          <w:w w:val="105"/>
        </w:rPr>
        <w:t> </w:t>
      </w:r>
      <w:r>
        <w:rPr>
          <w:color w:val="231F20"/>
          <w:w w:val="105"/>
        </w:rPr>
        <w:t>recurso,</w:t>
      </w:r>
      <w:r>
        <w:rPr>
          <w:color w:val="231F20"/>
          <w:spacing w:val="-10"/>
          <w:w w:val="105"/>
        </w:rPr>
        <w:t> </w:t>
      </w:r>
      <w:r>
        <w:rPr>
          <w:color w:val="231F20"/>
          <w:w w:val="105"/>
        </w:rPr>
        <w:t>pero</w:t>
      </w:r>
      <w:r>
        <w:rPr>
          <w:color w:val="231F20"/>
          <w:spacing w:val="-5"/>
          <w:w w:val="105"/>
        </w:rPr>
        <w:t> </w:t>
      </w:r>
      <w:r>
        <w:rPr>
          <w:color w:val="231F20"/>
          <w:w w:val="105"/>
        </w:rPr>
        <w:t>sólo</w:t>
      </w:r>
      <w:r>
        <w:rPr>
          <w:color w:val="231F20"/>
          <w:spacing w:val="-5"/>
          <w:w w:val="105"/>
        </w:rPr>
        <w:t> </w:t>
      </w:r>
      <w:r>
        <w:rPr>
          <w:color w:val="231F20"/>
          <w:w w:val="105"/>
        </w:rPr>
        <w:t>el</w:t>
      </w:r>
      <w:r>
        <w:rPr>
          <w:color w:val="231F20"/>
          <w:spacing w:val="-5"/>
          <w:w w:val="105"/>
        </w:rPr>
        <w:t> </w:t>
      </w:r>
      <w:r>
        <w:rPr>
          <w:color w:val="231F20"/>
          <w:w w:val="105"/>
        </w:rPr>
        <w:t>regreso</w:t>
      </w:r>
      <w:r>
        <w:rPr>
          <w:color w:val="231F20"/>
          <w:spacing w:val="-5"/>
          <w:w w:val="105"/>
        </w:rPr>
        <w:t> </w:t>
      </w:r>
      <w:r>
        <w:rPr>
          <w:color w:val="231F20"/>
          <w:w w:val="105"/>
        </w:rPr>
        <w:t>permite</w:t>
      </w:r>
      <w:r>
        <w:rPr>
          <w:color w:val="231F20"/>
          <w:spacing w:val="-5"/>
          <w:w w:val="105"/>
        </w:rPr>
        <w:t> </w:t>
      </w:r>
      <w:r>
        <w:rPr>
          <w:color w:val="231F20"/>
          <w:w w:val="105"/>
        </w:rPr>
        <w:t>po- ner</w:t>
      </w:r>
      <w:r>
        <w:rPr>
          <w:color w:val="231F20"/>
          <w:spacing w:val="-18"/>
          <w:w w:val="105"/>
        </w:rPr>
        <w:t> </w:t>
      </w:r>
      <w:r>
        <w:rPr>
          <w:color w:val="231F20"/>
          <w:w w:val="105"/>
        </w:rPr>
        <w:t>orden</w:t>
      </w:r>
      <w:r>
        <w:rPr>
          <w:color w:val="231F20"/>
          <w:spacing w:val="-18"/>
          <w:w w:val="105"/>
        </w:rPr>
        <w:t> </w:t>
      </w:r>
      <w:r>
        <w:rPr>
          <w:color w:val="231F20"/>
          <w:w w:val="105"/>
        </w:rPr>
        <w:t>en</w:t>
      </w:r>
      <w:r>
        <w:rPr>
          <w:color w:val="231F20"/>
          <w:spacing w:val="-18"/>
          <w:w w:val="105"/>
        </w:rPr>
        <w:t> </w:t>
      </w:r>
      <w:r>
        <w:rPr>
          <w:color w:val="231F20"/>
          <w:w w:val="105"/>
        </w:rPr>
        <w:t>esas</w:t>
      </w:r>
      <w:r>
        <w:rPr>
          <w:color w:val="231F20"/>
          <w:spacing w:val="-18"/>
          <w:w w:val="105"/>
        </w:rPr>
        <w:t> </w:t>
      </w:r>
      <w:r>
        <w:rPr>
          <w:color w:val="231F20"/>
          <w:w w:val="105"/>
        </w:rPr>
        <w:t>emociones</w:t>
      </w:r>
      <w:r>
        <w:rPr>
          <w:color w:val="231F20"/>
          <w:spacing w:val="-18"/>
          <w:w w:val="105"/>
        </w:rPr>
        <w:t> </w:t>
      </w:r>
      <w:r>
        <w:rPr>
          <w:color w:val="231F20"/>
          <w:w w:val="105"/>
        </w:rPr>
        <w:t>y</w:t>
      </w:r>
      <w:r>
        <w:rPr>
          <w:color w:val="231F20"/>
          <w:spacing w:val="-18"/>
          <w:w w:val="105"/>
        </w:rPr>
        <w:t> </w:t>
      </w:r>
      <w:r>
        <w:rPr>
          <w:color w:val="231F20"/>
          <w:w w:val="105"/>
        </w:rPr>
        <w:t>sacar</w:t>
      </w:r>
      <w:r>
        <w:rPr>
          <w:color w:val="231F20"/>
          <w:spacing w:val="-18"/>
          <w:w w:val="105"/>
        </w:rPr>
        <w:t> </w:t>
      </w:r>
      <w:r>
        <w:rPr>
          <w:color w:val="231F20"/>
          <w:w w:val="105"/>
        </w:rPr>
        <w:t>a</w:t>
      </w:r>
      <w:r>
        <w:rPr>
          <w:color w:val="231F20"/>
          <w:spacing w:val="-18"/>
          <w:w w:val="105"/>
        </w:rPr>
        <w:t> </w:t>
      </w:r>
      <w:r>
        <w:rPr>
          <w:color w:val="231F20"/>
          <w:w w:val="105"/>
        </w:rPr>
        <w:t>flote</w:t>
      </w:r>
      <w:r>
        <w:rPr>
          <w:color w:val="231F20"/>
          <w:spacing w:val="-18"/>
          <w:w w:val="105"/>
        </w:rPr>
        <w:t> </w:t>
      </w:r>
      <w:r>
        <w:rPr>
          <w:color w:val="231F20"/>
          <w:w w:val="105"/>
        </w:rPr>
        <w:t>las</w:t>
      </w:r>
      <w:r>
        <w:rPr>
          <w:color w:val="231F20"/>
          <w:spacing w:val="-18"/>
          <w:w w:val="105"/>
        </w:rPr>
        <w:t> </w:t>
      </w:r>
      <w:r>
        <w:rPr>
          <w:color w:val="231F20"/>
          <w:w w:val="105"/>
        </w:rPr>
        <w:t>relaciones</w:t>
      </w:r>
      <w:r>
        <w:rPr>
          <w:color w:val="231F20"/>
          <w:spacing w:val="-18"/>
          <w:w w:val="105"/>
        </w:rPr>
        <w:t> </w:t>
      </w:r>
      <w:r>
        <w:rPr>
          <w:color w:val="231F20"/>
          <w:w w:val="105"/>
        </w:rPr>
        <w:t>de</w:t>
      </w:r>
      <w:r>
        <w:rPr>
          <w:color w:val="231F20"/>
          <w:spacing w:val="-18"/>
          <w:w w:val="105"/>
        </w:rPr>
        <w:t> </w:t>
      </w:r>
      <w:r>
        <w:rPr>
          <w:color w:val="231F20"/>
          <w:w w:val="105"/>
        </w:rPr>
        <w:t>pareja</w:t>
      </w:r>
      <w:r>
        <w:rPr>
          <w:color w:val="231F20"/>
          <w:spacing w:val="-18"/>
          <w:w w:val="105"/>
        </w:rPr>
        <w:t> </w:t>
      </w:r>
      <w:r>
        <w:rPr>
          <w:color w:val="231F20"/>
          <w:w w:val="105"/>
        </w:rPr>
        <w:t>que por</w:t>
      </w:r>
      <w:r>
        <w:rPr>
          <w:color w:val="231F20"/>
          <w:spacing w:val="-17"/>
          <w:w w:val="105"/>
        </w:rPr>
        <w:t> </w:t>
      </w:r>
      <w:r>
        <w:rPr>
          <w:color w:val="231F20"/>
          <w:w w:val="105"/>
        </w:rPr>
        <w:t>momentos</w:t>
      </w:r>
      <w:r>
        <w:rPr>
          <w:color w:val="231F20"/>
          <w:spacing w:val="-17"/>
          <w:w w:val="105"/>
        </w:rPr>
        <w:t> </w:t>
      </w:r>
      <w:r>
        <w:rPr>
          <w:color w:val="231F20"/>
          <w:w w:val="105"/>
        </w:rPr>
        <w:t>parecen</w:t>
      </w:r>
      <w:r>
        <w:rPr>
          <w:color w:val="231F20"/>
          <w:spacing w:val="-17"/>
          <w:w w:val="105"/>
        </w:rPr>
        <w:t> </w:t>
      </w:r>
      <w:r>
        <w:rPr>
          <w:color w:val="231F20"/>
          <w:w w:val="105"/>
        </w:rPr>
        <w:t>languidecer.</w:t>
      </w:r>
      <w:r>
        <w:rPr>
          <w:color w:val="231F20"/>
          <w:spacing w:val="-22"/>
          <w:w w:val="105"/>
        </w:rPr>
        <w:t> </w:t>
      </w:r>
      <w:r>
        <w:rPr>
          <w:color w:val="231F20"/>
          <w:w w:val="105"/>
        </w:rPr>
        <w:t>Se</w:t>
      </w:r>
      <w:r>
        <w:rPr>
          <w:color w:val="231F20"/>
          <w:spacing w:val="-17"/>
          <w:w w:val="105"/>
        </w:rPr>
        <w:t> </w:t>
      </w:r>
      <w:r>
        <w:rPr>
          <w:color w:val="231F20"/>
          <w:w w:val="105"/>
        </w:rPr>
        <w:t>sueña</w:t>
      </w:r>
      <w:r>
        <w:rPr>
          <w:color w:val="231F20"/>
          <w:spacing w:val="-17"/>
          <w:w w:val="105"/>
        </w:rPr>
        <w:t> </w:t>
      </w:r>
      <w:r>
        <w:rPr>
          <w:color w:val="231F20"/>
          <w:w w:val="105"/>
        </w:rPr>
        <w:t>casi</w:t>
      </w:r>
      <w:r>
        <w:rPr>
          <w:color w:val="231F20"/>
          <w:spacing w:val="-17"/>
          <w:w w:val="105"/>
        </w:rPr>
        <w:t> </w:t>
      </w:r>
      <w:r>
        <w:rPr>
          <w:color w:val="231F20"/>
          <w:w w:val="105"/>
        </w:rPr>
        <w:t>todos</w:t>
      </w:r>
      <w:r>
        <w:rPr>
          <w:color w:val="231F20"/>
          <w:spacing w:val="-17"/>
          <w:w w:val="105"/>
        </w:rPr>
        <w:t> </w:t>
      </w:r>
      <w:r>
        <w:rPr>
          <w:color w:val="231F20"/>
          <w:w w:val="105"/>
        </w:rPr>
        <w:t>los</w:t>
      </w:r>
      <w:r>
        <w:rPr>
          <w:color w:val="231F20"/>
          <w:spacing w:val="-17"/>
          <w:w w:val="105"/>
        </w:rPr>
        <w:t> </w:t>
      </w:r>
      <w:r>
        <w:rPr>
          <w:color w:val="231F20"/>
          <w:w w:val="105"/>
        </w:rPr>
        <w:t>días</w:t>
      </w:r>
      <w:r>
        <w:rPr>
          <w:color w:val="231F20"/>
          <w:spacing w:val="-17"/>
          <w:w w:val="105"/>
        </w:rPr>
        <w:t> </w:t>
      </w:r>
      <w:r>
        <w:rPr>
          <w:color w:val="231F20"/>
          <w:w w:val="105"/>
        </w:rPr>
        <w:t>en</w:t>
      </w:r>
      <w:r>
        <w:rPr>
          <w:color w:val="231F20"/>
          <w:spacing w:val="-17"/>
          <w:w w:val="105"/>
        </w:rPr>
        <w:t> </w:t>
      </w:r>
      <w:r>
        <w:rPr>
          <w:color w:val="231F20"/>
          <w:w w:val="105"/>
        </w:rPr>
        <w:t>que ocurra el reencuentro familiar, “la urgencia de vivir juntos marido y mu- </w:t>
      </w:r>
      <w:r>
        <w:rPr>
          <w:color w:val="231F20"/>
          <w:spacing w:val="-5"/>
          <w:w w:val="105"/>
        </w:rPr>
        <w:t>jer”.</w:t>
      </w:r>
      <w:r>
        <w:rPr>
          <w:color w:val="231F20"/>
          <w:spacing w:val="-34"/>
          <w:w w:val="105"/>
        </w:rPr>
        <w:t> </w:t>
      </w:r>
      <w:r>
        <w:rPr>
          <w:color w:val="231F20"/>
          <w:w w:val="105"/>
        </w:rPr>
        <w:t>Esto</w:t>
      </w:r>
      <w:r>
        <w:rPr>
          <w:color w:val="231F20"/>
          <w:spacing w:val="-29"/>
          <w:w w:val="105"/>
        </w:rPr>
        <w:t> </w:t>
      </w:r>
      <w:r>
        <w:rPr>
          <w:color w:val="231F20"/>
          <w:w w:val="105"/>
        </w:rPr>
        <w:t>representa</w:t>
      </w:r>
      <w:r>
        <w:rPr>
          <w:color w:val="231F20"/>
          <w:spacing w:val="-29"/>
          <w:w w:val="105"/>
        </w:rPr>
        <w:t> </w:t>
      </w:r>
      <w:r>
        <w:rPr>
          <w:color w:val="231F20"/>
          <w:w w:val="105"/>
        </w:rPr>
        <w:t>la</w:t>
      </w:r>
      <w:r>
        <w:rPr>
          <w:color w:val="231F20"/>
          <w:spacing w:val="-29"/>
          <w:w w:val="105"/>
        </w:rPr>
        <w:t> </w:t>
      </w:r>
      <w:r>
        <w:rPr>
          <w:color w:val="231F20"/>
          <w:w w:val="105"/>
        </w:rPr>
        <w:t>salud</w:t>
      </w:r>
      <w:r>
        <w:rPr>
          <w:color w:val="231F20"/>
          <w:spacing w:val="-29"/>
          <w:w w:val="105"/>
        </w:rPr>
        <w:t> </w:t>
      </w:r>
      <w:r>
        <w:rPr>
          <w:color w:val="231F20"/>
          <w:w w:val="105"/>
        </w:rPr>
        <w:t>emocional</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pareja,</w:t>
      </w:r>
      <w:r>
        <w:rPr>
          <w:color w:val="231F20"/>
          <w:spacing w:val="-34"/>
          <w:w w:val="105"/>
        </w:rPr>
        <w:t> </w:t>
      </w:r>
      <w:r>
        <w:rPr>
          <w:color w:val="231F20"/>
          <w:w w:val="105"/>
        </w:rPr>
        <w:t>materializar</w:t>
      </w:r>
      <w:r>
        <w:rPr>
          <w:color w:val="231F20"/>
          <w:spacing w:val="-29"/>
          <w:w w:val="105"/>
        </w:rPr>
        <w:t> </w:t>
      </w:r>
      <w:r>
        <w:rPr>
          <w:color w:val="231F20"/>
          <w:w w:val="105"/>
        </w:rPr>
        <w:t>la</w:t>
      </w:r>
      <w:r>
        <w:rPr>
          <w:color w:val="231F20"/>
          <w:spacing w:val="-29"/>
          <w:w w:val="105"/>
        </w:rPr>
        <w:t> </w:t>
      </w:r>
      <w:r>
        <w:rPr>
          <w:color w:val="231F20"/>
          <w:w w:val="105"/>
        </w:rPr>
        <w:t>recon- ciliación marital, encontrar un refugio psicológico-afectivo. </w:t>
      </w:r>
      <w:r>
        <w:rPr>
          <w:color w:val="231F20"/>
          <w:spacing w:val="-6"/>
          <w:w w:val="105"/>
        </w:rPr>
        <w:t>Por </w:t>
      </w:r>
      <w:r>
        <w:rPr>
          <w:color w:val="231F20"/>
          <w:w w:val="105"/>
        </w:rPr>
        <w:t>ello,</w:t>
      </w:r>
      <w:r>
        <w:rPr>
          <w:color w:val="231F20"/>
          <w:spacing w:val="-34"/>
          <w:w w:val="105"/>
        </w:rPr>
        <w:t> </w:t>
      </w:r>
      <w:r>
        <w:rPr>
          <w:color w:val="231F20"/>
          <w:w w:val="105"/>
        </w:rPr>
        <w:t>casi siempre el retorno al espacio de origen busca establecer el equilibrio entre</w:t>
      </w:r>
      <w:r>
        <w:rPr>
          <w:color w:val="231F20"/>
          <w:spacing w:val="-9"/>
          <w:w w:val="105"/>
        </w:rPr>
        <w:t> </w:t>
      </w:r>
      <w:r>
        <w:rPr>
          <w:color w:val="231F20"/>
          <w:w w:val="105"/>
        </w:rPr>
        <w:t>lo</w:t>
      </w:r>
      <w:r>
        <w:rPr>
          <w:color w:val="231F20"/>
          <w:spacing w:val="-9"/>
          <w:w w:val="105"/>
        </w:rPr>
        <w:t> </w:t>
      </w:r>
      <w:r>
        <w:rPr>
          <w:color w:val="231F20"/>
          <w:w w:val="105"/>
        </w:rPr>
        <w:t>laboral</w:t>
      </w:r>
      <w:r>
        <w:rPr>
          <w:color w:val="231F20"/>
          <w:spacing w:val="-9"/>
          <w:w w:val="105"/>
        </w:rPr>
        <w:t> </w:t>
      </w:r>
      <w:r>
        <w:rPr>
          <w:color w:val="231F20"/>
          <w:w w:val="105"/>
        </w:rPr>
        <w:t>y</w:t>
      </w:r>
      <w:r>
        <w:rPr>
          <w:color w:val="231F20"/>
          <w:spacing w:val="-9"/>
          <w:w w:val="105"/>
        </w:rPr>
        <w:t> </w:t>
      </w:r>
      <w:r>
        <w:rPr>
          <w:color w:val="231F20"/>
          <w:w w:val="105"/>
        </w:rPr>
        <w:t>lo</w:t>
      </w:r>
      <w:r>
        <w:rPr>
          <w:color w:val="231F20"/>
          <w:spacing w:val="-9"/>
          <w:w w:val="105"/>
        </w:rPr>
        <w:t> </w:t>
      </w:r>
      <w:r>
        <w:rPr>
          <w:color w:val="231F20"/>
          <w:w w:val="105"/>
        </w:rPr>
        <w:t>emocional,</w:t>
      </w:r>
      <w:r>
        <w:rPr>
          <w:color w:val="231F20"/>
          <w:spacing w:val="-14"/>
          <w:w w:val="105"/>
        </w:rPr>
        <w:t> </w:t>
      </w:r>
      <w:r>
        <w:rPr>
          <w:color w:val="231F20"/>
          <w:w w:val="105"/>
        </w:rPr>
        <w:t>la</w:t>
      </w:r>
      <w:r>
        <w:rPr>
          <w:color w:val="231F20"/>
          <w:spacing w:val="-9"/>
          <w:w w:val="105"/>
        </w:rPr>
        <w:t> </w:t>
      </w:r>
      <w:r>
        <w:rPr>
          <w:color w:val="231F20"/>
          <w:w w:val="105"/>
        </w:rPr>
        <w:t>seguridad.</w:t>
      </w:r>
    </w:p>
    <w:p>
      <w:pPr>
        <w:pStyle w:val="BodyText"/>
        <w:spacing w:line="261" w:lineRule="auto" w:before="1"/>
        <w:ind w:left="1837" w:right="1715" w:firstLine="567"/>
        <w:jc w:val="both"/>
      </w:pPr>
      <w:r>
        <w:rPr/>
        <w:pict>
          <v:line style="position:absolute;mso-position-horizontal-relative:page;mso-position-vertical-relative:paragraph;z-index:-442360" from="15pt,193.884598pt" to="0pt,193.884598pt" stroked="true" strokeweight=".25pt" strokecolor="#000000">
            <w10:wrap type="none"/>
          </v:line>
        </w:pict>
      </w:r>
      <w:r>
        <w:rPr/>
        <w:pict>
          <v:line style="position:absolute;mso-position-horizontal-relative:page;mso-position-vertical-relative:paragraph;z-index:47848" from="508.890015pt,193.884598pt" to="523.890015pt,193.884598pt" stroked="true" strokeweight=".25pt" strokecolor="#000000">
            <w10:wrap type="none"/>
          </v:line>
        </w:pict>
      </w:r>
      <w:r>
        <w:rPr>
          <w:color w:val="231F20"/>
          <w:w w:val="105"/>
        </w:rPr>
        <w:t>Como</w:t>
      </w:r>
      <w:r>
        <w:rPr>
          <w:color w:val="231F20"/>
          <w:spacing w:val="-17"/>
          <w:w w:val="105"/>
        </w:rPr>
        <w:t> </w:t>
      </w:r>
      <w:r>
        <w:rPr>
          <w:color w:val="231F20"/>
          <w:w w:val="105"/>
        </w:rPr>
        <w:t>se</w:t>
      </w:r>
      <w:r>
        <w:rPr>
          <w:color w:val="231F20"/>
          <w:spacing w:val="-17"/>
          <w:w w:val="105"/>
        </w:rPr>
        <w:t> </w:t>
      </w:r>
      <w:r>
        <w:rPr>
          <w:color w:val="231F20"/>
          <w:w w:val="105"/>
        </w:rPr>
        <w:t>dijo</w:t>
      </w:r>
      <w:r>
        <w:rPr>
          <w:color w:val="231F20"/>
          <w:spacing w:val="-17"/>
          <w:w w:val="105"/>
        </w:rPr>
        <w:t> </w:t>
      </w:r>
      <w:r>
        <w:rPr>
          <w:color w:val="231F20"/>
          <w:w w:val="105"/>
        </w:rPr>
        <w:t>en</w:t>
      </w:r>
      <w:r>
        <w:rPr>
          <w:color w:val="231F20"/>
          <w:spacing w:val="-17"/>
          <w:w w:val="105"/>
        </w:rPr>
        <w:t> </w:t>
      </w:r>
      <w:r>
        <w:rPr>
          <w:color w:val="231F20"/>
          <w:w w:val="105"/>
        </w:rPr>
        <w:t>párrafos</w:t>
      </w:r>
      <w:r>
        <w:rPr>
          <w:color w:val="231F20"/>
          <w:spacing w:val="-17"/>
          <w:w w:val="105"/>
        </w:rPr>
        <w:t> </w:t>
      </w:r>
      <w:r>
        <w:rPr>
          <w:color w:val="231F20"/>
          <w:w w:val="105"/>
        </w:rPr>
        <w:t>anteriores,</w:t>
      </w:r>
      <w:r>
        <w:rPr>
          <w:color w:val="231F20"/>
          <w:spacing w:val="-22"/>
          <w:w w:val="105"/>
        </w:rPr>
        <w:t> </w:t>
      </w:r>
      <w:r>
        <w:rPr>
          <w:color w:val="231F20"/>
          <w:w w:val="105"/>
        </w:rPr>
        <w:t>mientras</w:t>
      </w:r>
      <w:r>
        <w:rPr>
          <w:color w:val="231F20"/>
          <w:spacing w:val="-17"/>
          <w:w w:val="105"/>
        </w:rPr>
        <w:t> </w:t>
      </w:r>
      <w:r>
        <w:rPr>
          <w:color w:val="231F20"/>
          <w:w w:val="105"/>
        </w:rPr>
        <w:t>las</w:t>
      </w:r>
      <w:r>
        <w:rPr>
          <w:color w:val="231F20"/>
          <w:spacing w:val="-17"/>
          <w:w w:val="105"/>
        </w:rPr>
        <w:t> </w:t>
      </w:r>
      <w:r>
        <w:rPr>
          <w:color w:val="231F20"/>
          <w:w w:val="105"/>
        </w:rPr>
        <w:t>idas</w:t>
      </w:r>
      <w:r>
        <w:rPr>
          <w:color w:val="231F20"/>
          <w:spacing w:val="-17"/>
          <w:w w:val="105"/>
        </w:rPr>
        <w:t> </w:t>
      </w:r>
      <w:r>
        <w:rPr>
          <w:color w:val="231F20"/>
          <w:w w:val="105"/>
        </w:rPr>
        <w:t>son</w:t>
      </w:r>
      <w:r>
        <w:rPr>
          <w:color w:val="231F20"/>
          <w:spacing w:val="-17"/>
          <w:w w:val="105"/>
        </w:rPr>
        <w:t> </w:t>
      </w:r>
      <w:r>
        <w:rPr>
          <w:color w:val="231F20"/>
          <w:w w:val="105"/>
        </w:rPr>
        <w:t>tiempos que pueden volver a las relaciones de pareja, líquidas, los regresos las recuperan,</w:t>
      </w:r>
      <w:r>
        <w:rPr>
          <w:color w:val="231F20"/>
          <w:spacing w:val="-24"/>
          <w:w w:val="105"/>
        </w:rPr>
        <w:t> </w:t>
      </w:r>
      <w:r>
        <w:rPr>
          <w:color w:val="231F20"/>
          <w:w w:val="105"/>
        </w:rPr>
        <w:t>las</w:t>
      </w:r>
      <w:r>
        <w:rPr>
          <w:color w:val="231F20"/>
          <w:spacing w:val="-19"/>
          <w:w w:val="105"/>
        </w:rPr>
        <w:t> </w:t>
      </w:r>
      <w:r>
        <w:rPr>
          <w:color w:val="231F20"/>
          <w:w w:val="105"/>
        </w:rPr>
        <w:t>muestran</w:t>
      </w:r>
      <w:r>
        <w:rPr>
          <w:color w:val="231F20"/>
          <w:spacing w:val="-19"/>
          <w:w w:val="105"/>
        </w:rPr>
        <w:t> </w:t>
      </w:r>
      <w:r>
        <w:rPr>
          <w:color w:val="231F20"/>
          <w:w w:val="105"/>
        </w:rPr>
        <w:t>social</w:t>
      </w:r>
      <w:r>
        <w:rPr>
          <w:color w:val="231F20"/>
          <w:spacing w:val="-19"/>
          <w:w w:val="105"/>
        </w:rPr>
        <w:t> </w:t>
      </w:r>
      <w:r>
        <w:rPr>
          <w:color w:val="231F20"/>
          <w:w w:val="105"/>
        </w:rPr>
        <w:t>y</w:t>
      </w:r>
      <w:r>
        <w:rPr>
          <w:color w:val="231F20"/>
          <w:spacing w:val="-19"/>
          <w:w w:val="105"/>
        </w:rPr>
        <w:t> </w:t>
      </w:r>
      <w:r>
        <w:rPr>
          <w:color w:val="231F20"/>
          <w:w w:val="105"/>
        </w:rPr>
        <w:t>afectivamente</w:t>
      </w:r>
      <w:r>
        <w:rPr>
          <w:color w:val="231F20"/>
          <w:spacing w:val="-19"/>
          <w:w w:val="105"/>
        </w:rPr>
        <w:t> </w:t>
      </w:r>
      <w:r>
        <w:rPr>
          <w:color w:val="231F20"/>
          <w:w w:val="105"/>
        </w:rPr>
        <w:t>sólidas.</w:t>
      </w:r>
      <w:r>
        <w:rPr>
          <w:color w:val="231F20"/>
          <w:spacing w:val="-24"/>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caminar</w:t>
      </w:r>
      <w:r>
        <w:rPr>
          <w:color w:val="231F20"/>
          <w:spacing w:val="-19"/>
          <w:w w:val="105"/>
        </w:rPr>
        <w:t> </w:t>
      </w:r>
      <w:r>
        <w:rPr>
          <w:color w:val="231F20"/>
          <w:w w:val="105"/>
        </w:rPr>
        <w:t>de esta investigación nuestro límite fue no identificar el paro de estas</w:t>
      </w:r>
      <w:r>
        <w:rPr>
          <w:color w:val="231F20"/>
          <w:spacing w:val="-24"/>
          <w:w w:val="105"/>
        </w:rPr>
        <w:t> </w:t>
      </w:r>
      <w:r>
        <w:rPr>
          <w:color w:val="231F20"/>
          <w:w w:val="105"/>
        </w:rPr>
        <w:t>idas, pues</w:t>
      </w:r>
      <w:r>
        <w:rPr>
          <w:color w:val="231F20"/>
          <w:spacing w:val="-7"/>
          <w:w w:val="105"/>
        </w:rPr>
        <w:t> </w:t>
      </w:r>
      <w:r>
        <w:rPr>
          <w:color w:val="231F20"/>
          <w:w w:val="105"/>
        </w:rPr>
        <w:t>mientras</w:t>
      </w:r>
      <w:r>
        <w:rPr>
          <w:color w:val="231F20"/>
          <w:spacing w:val="-7"/>
          <w:w w:val="105"/>
        </w:rPr>
        <w:t> </w:t>
      </w:r>
      <w:r>
        <w:rPr>
          <w:color w:val="231F20"/>
          <w:w w:val="105"/>
        </w:rPr>
        <w:t>sean</w:t>
      </w:r>
      <w:r>
        <w:rPr>
          <w:color w:val="231F20"/>
          <w:spacing w:val="-7"/>
          <w:w w:val="105"/>
        </w:rPr>
        <w:t> </w:t>
      </w:r>
      <w:r>
        <w:rPr>
          <w:color w:val="231F20"/>
          <w:w w:val="105"/>
        </w:rPr>
        <w:t>decisiones</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personas,</w:t>
      </w:r>
      <w:r>
        <w:rPr>
          <w:color w:val="231F20"/>
          <w:spacing w:val="-12"/>
          <w:w w:val="105"/>
        </w:rPr>
        <w:t> </w:t>
      </w:r>
      <w:r>
        <w:rPr>
          <w:color w:val="231F20"/>
          <w:w w:val="105"/>
        </w:rPr>
        <w:t>su</w:t>
      </w:r>
      <w:r>
        <w:rPr>
          <w:color w:val="231F20"/>
          <w:spacing w:val="-7"/>
          <w:w w:val="105"/>
        </w:rPr>
        <w:t> </w:t>
      </w:r>
      <w:r>
        <w:rPr>
          <w:color w:val="231F20"/>
          <w:w w:val="105"/>
        </w:rPr>
        <w:t>probabilidad</w:t>
      </w:r>
      <w:r>
        <w:rPr>
          <w:color w:val="231F20"/>
          <w:spacing w:val="-7"/>
          <w:w w:val="105"/>
        </w:rPr>
        <w:t> </w:t>
      </w:r>
      <w:r>
        <w:rPr>
          <w:color w:val="231F20"/>
          <w:w w:val="105"/>
        </w:rPr>
        <w:t>de</w:t>
      </w:r>
      <w:r>
        <w:rPr>
          <w:color w:val="231F20"/>
          <w:spacing w:val="-7"/>
          <w:w w:val="105"/>
        </w:rPr>
        <w:t> </w:t>
      </w:r>
      <w:r>
        <w:rPr>
          <w:color w:val="231F20"/>
          <w:w w:val="105"/>
        </w:rPr>
        <w:t>que continúen es segura. Máxime si el regreso a los pueblos de origen no exige</w:t>
      </w:r>
      <w:r>
        <w:rPr>
          <w:color w:val="231F20"/>
          <w:spacing w:val="-10"/>
          <w:w w:val="105"/>
        </w:rPr>
        <w:t> </w:t>
      </w:r>
      <w:r>
        <w:rPr>
          <w:color w:val="231F20"/>
          <w:w w:val="105"/>
        </w:rPr>
        <w:t>salir</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redes</w:t>
      </w:r>
      <w:r>
        <w:rPr>
          <w:color w:val="231F20"/>
          <w:spacing w:val="-10"/>
          <w:w w:val="105"/>
        </w:rPr>
        <w:t> </w:t>
      </w:r>
      <w:r>
        <w:rPr>
          <w:color w:val="231F20"/>
          <w:w w:val="105"/>
        </w:rPr>
        <w:t>sociales</w:t>
      </w:r>
      <w:r>
        <w:rPr>
          <w:color w:val="231F20"/>
          <w:spacing w:val="-10"/>
          <w:w w:val="105"/>
        </w:rPr>
        <w:t> </w:t>
      </w:r>
      <w:r>
        <w:rPr>
          <w:color w:val="231F20"/>
          <w:w w:val="105"/>
        </w:rPr>
        <w:t>construidas</w:t>
      </w:r>
      <w:r>
        <w:rPr>
          <w:color w:val="231F20"/>
          <w:spacing w:val="-10"/>
          <w:w w:val="105"/>
        </w:rPr>
        <w:t> </w:t>
      </w:r>
      <w:r>
        <w:rPr>
          <w:color w:val="231F20"/>
          <w:w w:val="105"/>
        </w:rPr>
        <w:t>antes</w:t>
      </w:r>
      <w:r>
        <w:rPr>
          <w:color w:val="231F20"/>
          <w:spacing w:val="-10"/>
          <w:w w:val="105"/>
        </w:rPr>
        <w:t> </w:t>
      </w:r>
      <w:r>
        <w:rPr>
          <w:color w:val="231F20"/>
          <w:w w:val="105"/>
        </w:rPr>
        <w:t>y</w:t>
      </w:r>
      <w:r>
        <w:rPr>
          <w:color w:val="231F20"/>
          <w:spacing w:val="-10"/>
          <w:w w:val="105"/>
        </w:rPr>
        <w:t> </w:t>
      </w:r>
      <w:r>
        <w:rPr>
          <w:color w:val="231F20"/>
          <w:w w:val="105"/>
        </w:rPr>
        <w:t>durante</w:t>
      </w:r>
      <w:r>
        <w:rPr>
          <w:color w:val="231F20"/>
          <w:spacing w:val="-10"/>
          <w:w w:val="105"/>
        </w:rPr>
        <w:t> </w:t>
      </w:r>
      <w:r>
        <w:rPr>
          <w:color w:val="231F20"/>
          <w:w w:val="105"/>
        </w:rPr>
        <w:t>las</w:t>
      </w:r>
      <w:r>
        <w:rPr>
          <w:color w:val="231F20"/>
          <w:spacing w:val="-10"/>
          <w:w w:val="105"/>
        </w:rPr>
        <w:t> </w:t>
      </w:r>
      <w:r>
        <w:rPr>
          <w:color w:val="231F20"/>
          <w:w w:val="105"/>
        </w:rPr>
        <w:t>diferen- tes idas, como tampoco exige cortar lazos con las comunidades en los lugares  de</w:t>
      </w:r>
      <w:r>
        <w:rPr>
          <w:color w:val="231F20"/>
          <w:spacing w:val="-36"/>
          <w:w w:val="105"/>
        </w:rPr>
        <w:t> </w:t>
      </w:r>
      <w:r>
        <w:rPr>
          <w:color w:val="231F20"/>
          <w:w w:val="105"/>
        </w:rPr>
        <w:t>destino.</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90"/>
        <w:ind w:left="1723"/>
      </w:pPr>
      <w:r>
        <w:rPr/>
        <w:pict>
          <v:line style="position:absolute;mso-position-horizontal-relative:page;mso-position-vertical-relative:paragraph;z-index:47896" from="15pt,-62.04826pt" to="0pt,-62.04826pt" stroked="true" strokeweight=".25pt" strokecolor="#000000">
            <w10:wrap type="none"/>
          </v:line>
        </w:pict>
      </w:r>
      <w:r>
        <w:rPr/>
        <w:pict>
          <v:line style="position:absolute;mso-position-horizontal-relative:page;mso-position-vertical-relative:paragraph;z-index:47920" from="508.890015pt,-62.04826pt" to="523.890015pt,-62.04826pt" stroked="true" strokeweight=".25pt" strokecolor="#000000">
            <w10:wrap type="none"/>
          </v:line>
        </w:pict>
      </w:r>
      <w:r>
        <w:rPr>
          <w:color w:val="231F20"/>
        </w:rPr>
        <w:t>Dimensión social y corporal de emociones en la migración</w:t>
      </w:r>
    </w:p>
    <w:p>
      <w:pPr>
        <w:pStyle w:val="BodyText"/>
        <w:rPr>
          <w:rFonts w:ascii="Arial"/>
          <w:b/>
          <w:sz w:val="22"/>
        </w:rPr>
      </w:pPr>
    </w:p>
    <w:p>
      <w:pPr>
        <w:pStyle w:val="BodyText"/>
        <w:spacing w:line="261" w:lineRule="auto" w:before="163"/>
        <w:ind w:left="1723" w:right="1834"/>
        <w:jc w:val="both"/>
      </w:pPr>
      <w:r>
        <w:rPr>
          <w:color w:val="231F20"/>
          <w:w w:val="105"/>
        </w:rPr>
        <w:t>La relación cuerpo y emociones está muy presente en las migraciones de las personas. Podríamos llamarle a este apartado sociología de los cuerpos</w:t>
      </w:r>
      <w:r>
        <w:rPr>
          <w:color w:val="231F20"/>
          <w:spacing w:val="-20"/>
          <w:w w:val="105"/>
        </w:rPr>
        <w:t> </w:t>
      </w:r>
      <w:r>
        <w:rPr>
          <w:color w:val="231F20"/>
          <w:w w:val="105"/>
        </w:rPr>
        <w:t>migrantes</w:t>
      </w:r>
      <w:r>
        <w:rPr>
          <w:color w:val="231F20"/>
          <w:spacing w:val="-20"/>
          <w:w w:val="105"/>
        </w:rPr>
        <w:t> </w:t>
      </w:r>
      <w:r>
        <w:rPr>
          <w:color w:val="231F20"/>
          <w:w w:val="105"/>
        </w:rPr>
        <w:t>y</w:t>
      </w:r>
      <w:r>
        <w:rPr>
          <w:color w:val="231F20"/>
          <w:spacing w:val="-20"/>
          <w:w w:val="105"/>
        </w:rPr>
        <w:t> </w:t>
      </w:r>
      <w:r>
        <w:rPr>
          <w:color w:val="231F20"/>
          <w:w w:val="105"/>
        </w:rPr>
        <w:t>quizá</w:t>
      </w:r>
      <w:r>
        <w:rPr>
          <w:color w:val="231F20"/>
          <w:spacing w:val="-20"/>
          <w:w w:val="105"/>
        </w:rPr>
        <w:t> </w:t>
      </w:r>
      <w:r>
        <w:rPr>
          <w:color w:val="231F20"/>
          <w:w w:val="105"/>
        </w:rPr>
        <w:t>tampoco</w:t>
      </w:r>
      <w:r>
        <w:rPr>
          <w:color w:val="231F20"/>
          <w:spacing w:val="-20"/>
          <w:w w:val="105"/>
        </w:rPr>
        <w:t> </w:t>
      </w:r>
      <w:r>
        <w:rPr>
          <w:color w:val="231F20"/>
          <w:w w:val="105"/>
        </w:rPr>
        <w:t>tendríamos</w:t>
      </w:r>
      <w:r>
        <w:rPr>
          <w:color w:val="231F20"/>
          <w:spacing w:val="-20"/>
          <w:w w:val="105"/>
        </w:rPr>
        <w:t> </w:t>
      </w:r>
      <w:r>
        <w:rPr>
          <w:color w:val="231F20"/>
          <w:w w:val="105"/>
        </w:rPr>
        <w:t>suficiente</w:t>
      </w:r>
      <w:r>
        <w:rPr>
          <w:color w:val="231F20"/>
          <w:spacing w:val="-20"/>
          <w:w w:val="105"/>
        </w:rPr>
        <w:t> </w:t>
      </w:r>
      <w:r>
        <w:rPr>
          <w:color w:val="231F20"/>
          <w:w w:val="105"/>
        </w:rPr>
        <w:t>teoría</w:t>
      </w:r>
      <w:r>
        <w:rPr>
          <w:color w:val="231F20"/>
          <w:spacing w:val="-20"/>
          <w:w w:val="105"/>
        </w:rPr>
        <w:t> </w:t>
      </w:r>
      <w:r>
        <w:rPr>
          <w:color w:val="231F20"/>
          <w:w w:val="105"/>
        </w:rPr>
        <w:t>para</w:t>
      </w:r>
      <w:r>
        <w:rPr>
          <w:color w:val="231F20"/>
          <w:spacing w:val="-20"/>
          <w:w w:val="105"/>
        </w:rPr>
        <w:t> </w:t>
      </w:r>
      <w:r>
        <w:rPr>
          <w:color w:val="231F20"/>
          <w:w w:val="105"/>
        </w:rPr>
        <w:t>ex- plicar</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realidad</w:t>
      </w:r>
      <w:r>
        <w:rPr>
          <w:color w:val="231F20"/>
          <w:spacing w:val="-18"/>
          <w:w w:val="105"/>
        </w:rPr>
        <w:t> </w:t>
      </w:r>
      <w:r>
        <w:rPr>
          <w:color w:val="231F20"/>
          <w:w w:val="105"/>
        </w:rPr>
        <w:t>registra.</w:t>
      </w:r>
      <w:r>
        <w:rPr>
          <w:color w:val="231F20"/>
          <w:spacing w:val="-24"/>
          <w:w w:val="105"/>
        </w:rPr>
        <w:t> </w:t>
      </w:r>
      <w:r>
        <w:rPr>
          <w:color w:val="231F20"/>
          <w:w w:val="105"/>
        </w:rPr>
        <w:t>Cierto,</w:t>
      </w:r>
      <w:r>
        <w:rPr>
          <w:color w:val="231F20"/>
          <w:spacing w:val="-24"/>
          <w:w w:val="105"/>
        </w:rPr>
        <w:t> </w:t>
      </w:r>
      <w:r>
        <w:rPr>
          <w:color w:val="231F20"/>
          <w:w w:val="105"/>
        </w:rPr>
        <w:t>la</w:t>
      </w:r>
      <w:r>
        <w:rPr>
          <w:color w:val="231F20"/>
          <w:spacing w:val="-18"/>
          <w:w w:val="105"/>
        </w:rPr>
        <w:t> </w:t>
      </w:r>
      <w:r>
        <w:rPr>
          <w:color w:val="231F20"/>
          <w:w w:val="105"/>
        </w:rPr>
        <w:t>migración</w:t>
      </w:r>
      <w:r>
        <w:rPr>
          <w:color w:val="231F20"/>
          <w:spacing w:val="-18"/>
          <w:w w:val="105"/>
        </w:rPr>
        <w:t> </w:t>
      </w:r>
      <w:r>
        <w:rPr>
          <w:color w:val="231F20"/>
          <w:w w:val="105"/>
        </w:rPr>
        <w:t>hace</w:t>
      </w:r>
      <w:r>
        <w:rPr>
          <w:color w:val="231F20"/>
          <w:spacing w:val="-18"/>
          <w:w w:val="105"/>
        </w:rPr>
        <w:t> </w:t>
      </w:r>
      <w:r>
        <w:rPr>
          <w:color w:val="231F20"/>
          <w:w w:val="105"/>
        </w:rPr>
        <w:t>ver</w:t>
      </w:r>
      <w:r>
        <w:rPr>
          <w:color w:val="231F20"/>
          <w:spacing w:val="-18"/>
          <w:w w:val="105"/>
        </w:rPr>
        <w:t> </w:t>
      </w:r>
      <w:r>
        <w:rPr>
          <w:color w:val="231F20"/>
          <w:w w:val="105"/>
        </w:rPr>
        <w:t>diferente</w:t>
      </w:r>
      <w:r>
        <w:rPr>
          <w:color w:val="231F20"/>
          <w:spacing w:val="-18"/>
          <w:w w:val="105"/>
        </w:rPr>
        <w:t> </w:t>
      </w:r>
      <w:r>
        <w:rPr>
          <w:color w:val="231F20"/>
          <w:w w:val="105"/>
        </w:rPr>
        <w:t>al cuerpo</w:t>
      </w:r>
      <w:r>
        <w:rPr>
          <w:color w:val="231F20"/>
          <w:spacing w:val="-11"/>
          <w:w w:val="105"/>
        </w:rPr>
        <w:t> </w:t>
      </w:r>
      <w:r>
        <w:rPr>
          <w:color w:val="231F20"/>
          <w:w w:val="105"/>
        </w:rPr>
        <w:t>y</w:t>
      </w:r>
      <w:r>
        <w:rPr>
          <w:color w:val="231F20"/>
          <w:spacing w:val="-11"/>
          <w:w w:val="105"/>
        </w:rPr>
        <w:t> </w:t>
      </w:r>
      <w:r>
        <w:rPr>
          <w:color w:val="231F20"/>
          <w:w w:val="105"/>
        </w:rPr>
        <w:t>establecer</w:t>
      </w:r>
      <w:r>
        <w:rPr>
          <w:color w:val="231F20"/>
          <w:spacing w:val="-11"/>
          <w:w w:val="105"/>
        </w:rPr>
        <w:t> </w:t>
      </w:r>
      <w:r>
        <w:rPr>
          <w:color w:val="231F20"/>
          <w:w w:val="105"/>
        </w:rPr>
        <w:t>una</w:t>
      </w:r>
      <w:r>
        <w:rPr>
          <w:color w:val="231F20"/>
          <w:spacing w:val="-11"/>
          <w:w w:val="105"/>
        </w:rPr>
        <w:t> </w:t>
      </w:r>
      <w:r>
        <w:rPr>
          <w:color w:val="231F20"/>
          <w:w w:val="105"/>
        </w:rPr>
        <w:t>relación</w:t>
      </w:r>
      <w:r>
        <w:rPr>
          <w:color w:val="231F20"/>
          <w:spacing w:val="-11"/>
          <w:w w:val="105"/>
        </w:rPr>
        <w:t> </w:t>
      </w:r>
      <w:r>
        <w:rPr>
          <w:color w:val="231F20"/>
          <w:w w:val="105"/>
        </w:rPr>
        <w:t>diferente</w:t>
      </w:r>
      <w:r>
        <w:rPr>
          <w:color w:val="231F20"/>
          <w:spacing w:val="-11"/>
          <w:w w:val="105"/>
        </w:rPr>
        <w:t> </w:t>
      </w:r>
      <w:r>
        <w:rPr>
          <w:color w:val="231F20"/>
          <w:w w:val="105"/>
        </w:rPr>
        <w:t>con</w:t>
      </w:r>
      <w:r>
        <w:rPr>
          <w:color w:val="231F20"/>
          <w:spacing w:val="-11"/>
          <w:w w:val="105"/>
        </w:rPr>
        <w:t> </w:t>
      </w:r>
      <w:r>
        <w:rPr>
          <w:color w:val="231F20"/>
          <w:w w:val="105"/>
        </w:rPr>
        <w:t>lo</w:t>
      </w:r>
      <w:r>
        <w:rPr>
          <w:color w:val="231F20"/>
          <w:spacing w:val="-11"/>
          <w:w w:val="105"/>
        </w:rPr>
        <w:t> </w:t>
      </w:r>
      <w:r>
        <w:rPr>
          <w:color w:val="231F20"/>
          <w:w w:val="105"/>
        </w:rPr>
        <w:t>emocional.</w:t>
      </w:r>
    </w:p>
    <w:p>
      <w:pPr>
        <w:pStyle w:val="BodyText"/>
        <w:spacing w:line="261" w:lineRule="auto" w:before="1"/>
        <w:ind w:left="1723" w:right="1834" w:firstLine="567"/>
        <w:jc w:val="both"/>
      </w:pPr>
      <w:r>
        <w:rPr>
          <w:color w:val="231F20"/>
          <w:w w:val="105"/>
        </w:rPr>
        <w:t>Hablando</w:t>
      </w:r>
      <w:r>
        <w:rPr>
          <w:color w:val="231F20"/>
          <w:spacing w:val="-17"/>
          <w:w w:val="105"/>
        </w:rPr>
        <w:t> </w:t>
      </w:r>
      <w:r>
        <w:rPr>
          <w:color w:val="231F20"/>
          <w:w w:val="105"/>
        </w:rPr>
        <w:t>desde</w:t>
      </w:r>
      <w:r>
        <w:rPr>
          <w:color w:val="231F20"/>
          <w:spacing w:val="-17"/>
          <w:w w:val="105"/>
        </w:rPr>
        <w:t> </w:t>
      </w:r>
      <w:r>
        <w:rPr>
          <w:color w:val="231F20"/>
          <w:w w:val="105"/>
        </w:rPr>
        <w:t>las</w:t>
      </w:r>
      <w:r>
        <w:rPr>
          <w:color w:val="231F20"/>
          <w:spacing w:val="-17"/>
          <w:w w:val="105"/>
        </w:rPr>
        <w:t> </w:t>
      </w:r>
      <w:r>
        <w:rPr>
          <w:color w:val="231F20"/>
          <w:w w:val="105"/>
        </w:rPr>
        <w:t>localidades,</w:t>
      </w:r>
      <w:r>
        <w:rPr>
          <w:color w:val="231F20"/>
          <w:spacing w:val="-22"/>
          <w:w w:val="105"/>
        </w:rPr>
        <w:t> </w:t>
      </w:r>
      <w:r>
        <w:rPr>
          <w:color w:val="231F20"/>
          <w:w w:val="105"/>
        </w:rPr>
        <w:t>espacio</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mujeres,</w:t>
      </w:r>
      <w:r>
        <w:rPr>
          <w:color w:val="231F20"/>
          <w:spacing w:val="-22"/>
          <w:w w:val="105"/>
        </w:rPr>
        <w:t> </w:t>
      </w:r>
      <w:r>
        <w:rPr>
          <w:color w:val="231F20"/>
          <w:w w:val="105"/>
        </w:rPr>
        <w:t>el</w:t>
      </w:r>
      <w:r>
        <w:rPr>
          <w:color w:val="231F20"/>
          <w:spacing w:val="-17"/>
          <w:w w:val="105"/>
        </w:rPr>
        <w:t> </w:t>
      </w:r>
      <w:r>
        <w:rPr>
          <w:color w:val="231F20"/>
          <w:w w:val="105"/>
        </w:rPr>
        <w:t>cuerpo es</w:t>
      </w:r>
      <w:r>
        <w:rPr>
          <w:color w:val="231F20"/>
          <w:spacing w:val="-15"/>
          <w:w w:val="105"/>
        </w:rPr>
        <w:t> </w:t>
      </w:r>
      <w:r>
        <w:rPr>
          <w:color w:val="231F20"/>
          <w:w w:val="105"/>
        </w:rPr>
        <w:t>el</w:t>
      </w:r>
      <w:r>
        <w:rPr>
          <w:color w:val="231F20"/>
          <w:spacing w:val="-15"/>
          <w:w w:val="105"/>
        </w:rPr>
        <w:t> </w:t>
      </w:r>
      <w:r>
        <w:rPr>
          <w:color w:val="231F20"/>
          <w:w w:val="105"/>
        </w:rPr>
        <w:t>primer</w:t>
      </w:r>
      <w:r>
        <w:rPr>
          <w:color w:val="231F20"/>
          <w:spacing w:val="-15"/>
          <w:w w:val="105"/>
        </w:rPr>
        <w:t> </w:t>
      </w:r>
      <w:r>
        <w:rPr>
          <w:color w:val="231F20"/>
          <w:w w:val="105"/>
        </w:rPr>
        <w:t>plano</w:t>
      </w:r>
      <w:r>
        <w:rPr>
          <w:color w:val="231F20"/>
          <w:spacing w:val="-15"/>
          <w:w w:val="105"/>
        </w:rPr>
        <w:t> </w:t>
      </w:r>
      <w:r>
        <w:rPr>
          <w:color w:val="231F20"/>
          <w:w w:val="105"/>
        </w:rPr>
        <w:t>sobre</w:t>
      </w:r>
      <w:r>
        <w:rPr>
          <w:color w:val="231F20"/>
          <w:spacing w:val="-15"/>
          <w:w w:val="105"/>
        </w:rPr>
        <w:t> </w:t>
      </w:r>
      <w:r>
        <w:rPr>
          <w:color w:val="231F20"/>
          <w:w w:val="105"/>
        </w:rPr>
        <w:t>el</w:t>
      </w:r>
      <w:r>
        <w:rPr>
          <w:color w:val="231F20"/>
          <w:spacing w:val="-15"/>
          <w:w w:val="105"/>
        </w:rPr>
        <w:t> </w:t>
      </w:r>
      <w:r>
        <w:rPr>
          <w:color w:val="231F20"/>
          <w:w w:val="105"/>
        </w:rPr>
        <w:t>cual</w:t>
      </w:r>
      <w:r>
        <w:rPr>
          <w:color w:val="231F20"/>
          <w:spacing w:val="-15"/>
          <w:w w:val="105"/>
        </w:rPr>
        <w:t> </w:t>
      </w:r>
      <w:r>
        <w:rPr>
          <w:color w:val="231F20"/>
          <w:w w:val="105"/>
        </w:rPr>
        <w:t>se</w:t>
      </w:r>
      <w:r>
        <w:rPr>
          <w:color w:val="231F20"/>
          <w:spacing w:val="-15"/>
          <w:w w:val="105"/>
        </w:rPr>
        <w:t> </w:t>
      </w:r>
      <w:r>
        <w:rPr>
          <w:color w:val="231F20"/>
          <w:w w:val="105"/>
        </w:rPr>
        <w:t>representan</w:t>
      </w:r>
      <w:r>
        <w:rPr>
          <w:color w:val="231F20"/>
          <w:spacing w:val="-15"/>
          <w:w w:val="105"/>
        </w:rPr>
        <w:t> </w:t>
      </w:r>
      <w:r>
        <w:rPr>
          <w:color w:val="231F20"/>
          <w:w w:val="105"/>
        </w:rPr>
        <w:t>los</w:t>
      </w:r>
      <w:r>
        <w:rPr>
          <w:color w:val="231F20"/>
          <w:spacing w:val="-15"/>
          <w:w w:val="105"/>
        </w:rPr>
        <w:t> </w:t>
      </w:r>
      <w:r>
        <w:rPr>
          <w:color w:val="231F20"/>
          <w:w w:val="105"/>
        </w:rPr>
        <w:t>estragos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ausen- cia de uno en la vida del otro. Se observan cambios en los cuerpos de ellas</w:t>
      </w:r>
      <w:r>
        <w:rPr>
          <w:color w:val="231F20"/>
          <w:spacing w:val="-22"/>
          <w:w w:val="105"/>
        </w:rPr>
        <w:t> </w:t>
      </w:r>
      <w:r>
        <w:rPr>
          <w:color w:val="231F20"/>
          <w:w w:val="105"/>
        </w:rPr>
        <w:t>durante</w:t>
      </w:r>
      <w:r>
        <w:rPr>
          <w:color w:val="231F20"/>
          <w:spacing w:val="-22"/>
          <w:w w:val="105"/>
        </w:rPr>
        <w:t> </w:t>
      </w:r>
      <w:r>
        <w:rPr>
          <w:color w:val="231F20"/>
          <w:w w:val="105"/>
        </w:rPr>
        <w:t>los</w:t>
      </w:r>
      <w:r>
        <w:rPr>
          <w:color w:val="231F20"/>
          <w:spacing w:val="-22"/>
          <w:w w:val="105"/>
        </w:rPr>
        <w:t> </w:t>
      </w:r>
      <w:r>
        <w:rPr>
          <w:color w:val="231F20"/>
          <w:w w:val="105"/>
        </w:rPr>
        <w:t>primeros</w:t>
      </w:r>
      <w:r>
        <w:rPr>
          <w:color w:val="231F20"/>
          <w:spacing w:val="-22"/>
          <w:w w:val="105"/>
        </w:rPr>
        <w:t> </w:t>
      </w:r>
      <w:r>
        <w:rPr>
          <w:color w:val="231F20"/>
          <w:w w:val="105"/>
        </w:rPr>
        <w:t>meses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migración,</w:t>
      </w:r>
      <w:r>
        <w:rPr>
          <w:color w:val="231F20"/>
          <w:spacing w:val="11"/>
          <w:w w:val="105"/>
        </w:rPr>
        <w:t> </w:t>
      </w:r>
      <w:r>
        <w:rPr>
          <w:color w:val="231F20"/>
          <w:w w:val="105"/>
        </w:rPr>
        <w:t>que</w:t>
      </w:r>
      <w:r>
        <w:rPr>
          <w:color w:val="231F20"/>
          <w:spacing w:val="-22"/>
          <w:w w:val="105"/>
        </w:rPr>
        <w:t> </w:t>
      </w:r>
      <w:r>
        <w:rPr>
          <w:color w:val="231F20"/>
          <w:w w:val="105"/>
        </w:rPr>
        <w:t>consisten</w:t>
      </w:r>
      <w:r>
        <w:rPr>
          <w:color w:val="231F20"/>
          <w:spacing w:val="-22"/>
          <w:w w:val="105"/>
        </w:rPr>
        <w:t> </w:t>
      </w:r>
      <w:r>
        <w:rPr>
          <w:color w:val="231F20"/>
          <w:w w:val="105"/>
        </w:rPr>
        <w:t>en</w:t>
      </w:r>
      <w:r>
        <w:rPr>
          <w:color w:val="231F20"/>
          <w:spacing w:val="-22"/>
          <w:w w:val="105"/>
        </w:rPr>
        <w:t> </w:t>
      </w:r>
      <w:r>
        <w:rPr>
          <w:color w:val="231F20"/>
          <w:w w:val="105"/>
        </w:rPr>
        <w:t>cam- bios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apetito,</w:t>
      </w:r>
      <w:r>
        <w:rPr>
          <w:color w:val="231F20"/>
          <w:spacing w:val="-18"/>
          <w:w w:val="105"/>
        </w:rPr>
        <w:t> </w:t>
      </w:r>
      <w:r>
        <w:rPr>
          <w:color w:val="231F20"/>
          <w:w w:val="105"/>
        </w:rPr>
        <w:t>cuya</w:t>
      </w:r>
      <w:r>
        <w:rPr>
          <w:color w:val="231F20"/>
          <w:spacing w:val="-11"/>
          <w:w w:val="105"/>
        </w:rPr>
        <w:t> </w:t>
      </w:r>
      <w:r>
        <w:rPr>
          <w:color w:val="231F20"/>
          <w:w w:val="105"/>
        </w:rPr>
        <w:t>lectura</w:t>
      </w:r>
      <w:r>
        <w:rPr>
          <w:color w:val="231F20"/>
          <w:spacing w:val="-11"/>
          <w:w w:val="105"/>
        </w:rPr>
        <w:t> </w:t>
      </w:r>
      <w:r>
        <w:rPr>
          <w:color w:val="231F20"/>
          <w:w w:val="105"/>
        </w:rPr>
        <w:t>es</w:t>
      </w:r>
      <w:r>
        <w:rPr>
          <w:color w:val="231F20"/>
          <w:spacing w:val="-11"/>
          <w:w w:val="105"/>
        </w:rPr>
        <w:t> </w:t>
      </w:r>
      <w:r>
        <w:rPr>
          <w:color w:val="231F20"/>
          <w:w w:val="105"/>
        </w:rPr>
        <w:t>baja</w:t>
      </w:r>
      <w:r>
        <w:rPr>
          <w:color w:val="231F20"/>
          <w:spacing w:val="-11"/>
          <w:w w:val="105"/>
        </w:rPr>
        <w:t> </w:t>
      </w:r>
      <w:r>
        <w:rPr>
          <w:color w:val="231F20"/>
          <w:w w:val="105"/>
        </w:rPr>
        <w:t>o</w:t>
      </w:r>
      <w:r>
        <w:rPr>
          <w:color w:val="231F20"/>
          <w:spacing w:val="-11"/>
          <w:w w:val="105"/>
        </w:rPr>
        <w:t> </w:t>
      </w:r>
      <w:r>
        <w:rPr>
          <w:color w:val="231F20"/>
          <w:w w:val="105"/>
        </w:rPr>
        <w:t>aumento</w:t>
      </w:r>
      <w:r>
        <w:rPr>
          <w:color w:val="231F20"/>
          <w:spacing w:val="-11"/>
          <w:w w:val="105"/>
        </w:rPr>
        <w:t> </w:t>
      </w:r>
      <w:r>
        <w:rPr>
          <w:color w:val="231F20"/>
          <w:w w:val="105"/>
        </w:rPr>
        <w:t>de</w:t>
      </w:r>
      <w:r>
        <w:rPr>
          <w:color w:val="231F20"/>
          <w:spacing w:val="-11"/>
          <w:w w:val="105"/>
        </w:rPr>
        <w:t> </w:t>
      </w:r>
      <w:r>
        <w:rPr>
          <w:color w:val="231F20"/>
          <w:w w:val="105"/>
        </w:rPr>
        <w:t>peso.</w:t>
      </w:r>
      <w:r>
        <w:rPr>
          <w:color w:val="231F20"/>
          <w:spacing w:val="-18"/>
          <w:w w:val="105"/>
        </w:rPr>
        <w:t> </w:t>
      </w:r>
      <w:r>
        <w:rPr>
          <w:color w:val="231F20"/>
          <w:w w:val="105"/>
        </w:rPr>
        <w:t>Son</w:t>
      </w:r>
      <w:r>
        <w:rPr>
          <w:color w:val="231F20"/>
          <w:spacing w:val="-11"/>
          <w:w w:val="105"/>
        </w:rPr>
        <w:t> </w:t>
      </w:r>
      <w:r>
        <w:rPr>
          <w:color w:val="231F20"/>
          <w:w w:val="105"/>
        </w:rPr>
        <w:t>cambios asociados a procesos biológicos y emocionales. Es probable que más que</w:t>
      </w:r>
      <w:r>
        <w:rPr>
          <w:color w:val="231F20"/>
          <w:spacing w:val="-10"/>
          <w:w w:val="105"/>
        </w:rPr>
        <w:t> </w:t>
      </w:r>
      <w:r>
        <w:rPr>
          <w:color w:val="231F20"/>
          <w:w w:val="105"/>
        </w:rPr>
        <w:t>biológico</w:t>
      </w:r>
      <w:r>
        <w:rPr>
          <w:color w:val="231F20"/>
          <w:spacing w:val="-10"/>
          <w:w w:val="105"/>
        </w:rPr>
        <w:t> </w:t>
      </w:r>
      <w:r>
        <w:rPr>
          <w:color w:val="231F20"/>
          <w:w w:val="105"/>
        </w:rPr>
        <w:t>es</w:t>
      </w:r>
      <w:r>
        <w:rPr>
          <w:color w:val="231F20"/>
          <w:spacing w:val="-10"/>
          <w:w w:val="105"/>
        </w:rPr>
        <w:t> </w:t>
      </w:r>
      <w:r>
        <w:rPr>
          <w:color w:val="231F20"/>
          <w:w w:val="105"/>
        </w:rPr>
        <w:t>emocional</w:t>
      </w:r>
      <w:r>
        <w:rPr>
          <w:color w:val="231F20"/>
          <w:spacing w:val="-10"/>
          <w:w w:val="105"/>
        </w:rPr>
        <w:t> </w:t>
      </w:r>
      <w:r>
        <w:rPr>
          <w:color w:val="231F20"/>
          <w:w w:val="105"/>
        </w:rPr>
        <w:t>pues</w:t>
      </w:r>
      <w:r>
        <w:rPr>
          <w:color w:val="231F20"/>
          <w:spacing w:val="-10"/>
          <w:w w:val="105"/>
        </w:rPr>
        <w:t> </w:t>
      </w:r>
      <w:r>
        <w:rPr>
          <w:color w:val="231F20"/>
          <w:w w:val="105"/>
        </w:rPr>
        <w:t>los</w:t>
      </w:r>
      <w:r>
        <w:rPr>
          <w:color w:val="231F20"/>
          <w:spacing w:val="-10"/>
          <w:w w:val="105"/>
        </w:rPr>
        <w:t> </w:t>
      </w:r>
      <w:r>
        <w:rPr>
          <w:color w:val="231F20"/>
          <w:w w:val="105"/>
        </w:rPr>
        <w:t>cambios</w:t>
      </w:r>
      <w:r>
        <w:rPr>
          <w:color w:val="231F20"/>
          <w:spacing w:val="-10"/>
          <w:w w:val="105"/>
        </w:rPr>
        <w:t> </w:t>
      </w:r>
      <w:r>
        <w:rPr>
          <w:color w:val="231F20"/>
          <w:w w:val="105"/>
        </w:rPr>
        <w:t>más</w:t>
      </w:r>
      <w:r>
        <w:rPr>
          <w:color w:val="231F20"/>
          <w:spacing w:val="-10"/>
          <w:w w:val="105"/>
        </w:rPr>
        <w:t> </w:t>
      </w:r>
      <w:r>
        <w:rPr>
          <w:color w:val="231F20"/>
          <w:w w:val="105"/>
        </w:rPr>
        <w:t>evidentes</w:t>
      </w:r>
      <w:r>
        <w:rPr>
          <w:color w:val="231F20"/>
          <w:spacing w:val="-10"/>
          <w:w w:val="105"/>
        </w:rPr>
        <w:t> </w:t>
      </w:r>
      <w:r>
        <w:rPr>
          <w:color w:val="231F20"/>
          <w:w w:val="105"/>
        </w:rPr>
        <w:t>ocurren</w:t>
      </w:r>
      <w:r>
        <w:rPr>
          <w:color w:val="231F20"/>
          <w:spacing w:val="-10"/>
          <w:w w:val="105"/>
        </w:rPr>
        <w:t> </w:t>
      </w:r>
      <w:r>
        <w:rPr>
          <w:color w:val="231F20"/>
          <w:w w:val="105"/>
        </w:rPr>
        <w:t>en momentos buenos o malos en la relación con la pareja. La distancia</w:t>
      </w:r>
      <w:r>
        <w:rPr>
          <w:color w:val="231F20"/>
          <w:spacing w:val="-15"/>
          <w:w w:val="105"/>
        </w:rPr>
        <w:t> </w:t>
      </w:r>
      <w:r>
        <w:rPr>
          <w:color w:val="231F20"/>
          <w:w w:val="105"/>
        </w:rPr>
        <w:t>no parece ser un buen aliado en el manejo de la relación en la pareja.</w:t>
      </w:r>
      <w:r>
        <w:rPr>
          <w:color w:val="231F20"/>
          <w:spacing w:val="-41"/>
          <w:w w:val="105"/>
        </w:rPr>
        <w:t> </w:t>
      </w:r>
      <w:r>
        <w:rPr>
          <w:color w:val="231F20"/>
          <w:w w:val="105"/>
        </w:rPr>
        <w:t>Hay enojos,</w:t>
      </w:r>
      <w:r>
        <w:rPr>
          <w:color w:val="231F20"/>
          <w:spacing w:val="-12"/>
          <w:w w:val="105"/>
        </w:rPr>
        <w:t> </w:t>
      </w:r>
      <w:r>
        <w:rPr>
          <w:color w:val="231F20"/>
          <w:w w:val="105"/>
        </w:rPr>
        <w:t>discusiones</w:t>
      </w:r>
      <w:r>
        <w:rPr>
          <w:color w:val="231F20"/>
          <w:spacing w:val="-6"/>
          <w:w w:val="105"/>
        </w:rPr>
        <w:t> </w:t>
      </w:r>
      <w:r>
        <w:rPr>
          <w:color w:val="231F20"/>
          <w:w w:val="105"/>
        </w:rPr>
        <w:t>por</w:t>
      </w:r>
      <w:r>
        <w:rPr>
          <w:color w:val="231F20"/>
          <w:spacing w:val="-6"/>
          <w:w w:val="105"/>
        </w:rPr>
        <w:t> </w:t>
      </w:r>
      <w:r>
        <w:rPr>
          <w:color w:val="231F20"/>
          <w:w w:val="105"/>
        </w:rPr>
        <w:t>teléfono,</w:t>
      </w:r>
      <w:r>
        <w:rPr>
          <w:color w:val="231F20"/>
          <w:spacing w:val="-12"/>
          <w:w w:val="105"/>
        </w:rPr>
        <w:t> </w:t>
      </w:r>
      <w:r>
        <w:rPr>
          <w:color w:val="231F20"/>
          <w:w w:val="105"/>
        </w:rPr>
        <w:t>malos</w:t>
      </w:r>
      <w:r>
        <w:rPr>
          <w:color w:val="231F20"/>
          <w:spacing w:val="-6"/>
          <w:w w:val="105"/>
        </w:rPr>
        <w:t> </w:t>
      </w:r>
      <w:r>
        <w:rPr>
          <w:color w:val="231F20"/>
          <w:w w:val="105"/>
        </w:rPr>
        <w:t>entendidos,</w:t>
      </w:r>
      <w:r>
        <w:rPr>
          <w:color w:val="231F20"/>
          <w:spacing w:val="-12"/>
          <w:w w:val="105"/>
        </w:rPr>
        <w:t> </w:t>
      </w:r>
      <w:r>
        <w:rPr>
          <w:color w:val="231F20"/>
          <w:w w:val="105"/>
        </w:rPr>
        <w:t>ausencia</w:t>
      </w:r>
      <w:r>
        <w:rPr>
          <w:color w:val="231F20"/>
          <w:spacing w:val="-6"/>
          <w:w w:val="105"/>
        </w:rPr>
        <w:t> </w:t>
      </w:r>
      <w:r>
        <w:rPr>
          <w:color w:val="231F20"/>
          <w:w w:val="105"/>
        </w:rPr>
        <w:t>de</w:t>
      </w:r>
      <w:r>
        <w:rPr>
          <w:color w:val="231F20"/>
          <w:spacing w:val="-6"/>
          <w:w w:val="105"/>
        </w:rPr>
        <w:t> </w:t>
      </w:r>
      <w:r>
        <w:rPr>
          <w:color w:val="231F20"/>
          <w:w w:val="105"/>
        </w:rPr>
        <w:t>comu- nicación</w:t>
      </w:r>
      <w:r>
        <w:rPr>
          <w:color w:val="231F20"/>
          <w:spacing w:val="-26"/>
          <w:w w:val="105"/>
        </w:rPr>
        <w:t> </w:t>
      </w:r>
      <w:r>
        <w:rPr>
          <w:color w:val="231F20"/>
          <w:w w:val="105"/>
        </w:rPr>
        <w:t>(incomunicarse</w:t>
      </w:r>
      <w:r>
        <w:rPr>
          <w:color w:val="231F20"/>
          <w:spacing w:val="-26"/>
          <w:w w:val="105"/>
        </w:rPr>
        <w:t> </w:t>
      </w:r>
      <w:r>
        <w:rPr>
          <w:color w:val="231F20"/>
          <w:w w:val="105"/>
        </w:rPr>
        <w:t>o</w:t>
      </w:r>
      <w:r>
        <w:rPr>
          <w:color w:val="231F20"/>
          <w:spacing w:val="-26"/>
          <w:w w:val="105"/>
        </w:rPr>
        <w:t> </w:t>
      </w:r>
      <w:r>
        <w:rPr>
          <w:color w:val="231F20"/>
          <w:w w:val="105"/>
        </w:rPr>
        <w:t>interrupción</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comunicación),</w:t>
      </w:r>
      <w:r>
        <w:rPr>
          <w:color w:val="231F20"/>
          <w:spacing w:val="-31"/>
          <w:w w:val="105"/>
        </w:rPr>
        <w:t> </w:t>
      </w:r>
      <w:r>
        <w:rPr>
          <w:color w:val="231F20"/>
          <w:w w:val="105"/>
        </w:rPr>
        <w:t>tristeza,</w:t>
      </w:r>
      <w:r>
        <w:rPr>
          <w:color w:val="231F20"/>
          <w:spacing w:val="2"/>
          <w:w w:val="105"/>
        </w:rPr>
        <w:t> </w:t>
      </w:r>
      <w:r>
        <w:rPr>
          <w:color w:val="231F20"/>
          <w:w w:val="105"/>
        </w:rPr>
        <w:t>que las mujeres recogen con más ahínco repercutiendo en la </w:t>
      </w:r>
      <w:r>
        <w:rPr>
          <w:color w:val="231F20"/>
          <w:spacing w:val="24"/>
          <w:w w:val="105"/>
        </w:rPr>
        <w:t> </w:t>
      </w:r>
      <w:r>
        <w:rPr>
          <w:color w:val="231F20"/>
          <w:w w:val="105"/>
        </w:rPr>
        <w:t>alimentación</w:t>
      </w:r>
    </w:p>
    <w:p>
      <w:pPr>
        <w:pStyle w:val="BodyText"/>
        <w:spacing w:line="261" w:lineRule="auto" w:before="1"/>
        <w:ind w:left="1723" w:right="1834"/>
        <w:jc w:val="both"/>
      </w:pPr>
      <w:r>
        <w:rPr>
          <w:color w:val="231F20"/>
          <w:w w:val="105"/>
        </w:rPr>
        <w:t>-dejar</w:t>
      </w:r>
      <w:r>
        <w:rPr>
          <w:color w:val="231F20"/>
          <w:spacing w:val="-7"/>
          <w:w w:val="105"/>
        </w:rPr>
        <w:t> </w:t>
      </w:r>
      <w:r>
        <w:rPr>
          <w:color w:val="231F20"/>
          <w:w w:val="105"/>
        </w:rPr>
        <w:t>de</w:t>
      </w:r>
      <w:r>
        <w:rPr>
          <w:color w:val="231F20"/>
          <w:spacing w:val="-7"/>
          <w:w w:val="105"/>
        </w:rPr>
        <w:t> </w:t>
      </w:r>
      <w:r>
        <w:rPr>
          <w:color w:val="231F20"/>
          <w:w w:val="105"/>
        </w:rPr>
        <w:t>comer</w:t>
      </w:r>
      <w:r>
        <w:rPr>
          <w:color w:val="231F20"/>
          <w:spacing w:val="-7"/>
          <w:w w:val="105"/>
        </w:rPr>
        <w:t> </w:t>
      </w:r>
      <w:r>
        <w:rPr>
          <w:color w:val="231F20"/>
          <w:w w:val="105"/>
        </w:rPr>
        <w:t>o</w:t>
      </w:r>
      <w:r>
        <w:rPr>
          <w:color w:val="231F20"/>
          <w:spacing w:val="-7"/>
          <w:w w:val="105"/>
        </w:rPr>
        <w:t> </w:t>
      </w:r>
      <w:r>
        <w:rPr>
          <w:color w:val="231F20"/>
          <w:w w:val="105"/>
        </w:rPr>
        <w:t>comer</w:t>
      </w:r>
      <w:r>
        <w:rPr>
          <w:color w:val="231F20"/>
          <w:spacing w:val="-7"/>
          <w:w w:val="105"/>
        </w:rPr>
        <w:t> </w:t>
      </w:r>
      <w:r>
        <w:rPr>
          <w:color w:val="231F20"/>
          <w:w w:val="105"/>
        </w:rPr>
        <w:t>en</w:t>
      </w:r>
      <w:r>
        <w:rPr>
          <w:color w:val="231F20"/>
          <w:spacing w:val="-7"/>
          <w:w w:val="105"/>
        </w:rPr>
        <w:t> </w:t>
      </w:r>
      <w:r>
        <w:rPr>
          <w:color w:val="231F20"/>
          <w:w w:val="105"/>
        </w:rPr>
        <w:t>demasía-,</w:t>
      </w:r>
      <w:r>
        <w:rPr>
          <w:color w:val="231F20"/>
          <w:spacing w:val="-12"/>
          <w:w w:val="105"/>
        </w:rPr>
        <w:t> </w:t>
      </w:r>
      <w:r>
        <w:rPr>
          <w:color w:val="231F20"/>
          <w:w w:val="105"/>
        </w:rPr>
        <w:t>y</w:t>
      </w:r>
      <w:r>
        <w:rPr>
          <w:color w:val="231F20"/>
          <w:spacing w:val="-7"/>
          <w:w w:val="105"/>
        </w:rPr>
        <w:t> </w:t>
      </w:r>
      <w:r>
        <w:rPr>
          <w:color w:val="231F20"/>
          <w:w w:val="105"/>
        </w:rPr>
        <w:t>en</w:t>
      </w:r>
      <w:r>
        <w:rPr>
          <w:color w:val="231F20"/>
          <w:spacing w:val="-7"/>
          <w:w w:val="105"/>
        </w:rPr>
        <w:t> </w:t>
      </w:r>
      <w:r>
        <w:rPr>
          <w:color w:val="231F20"/>
          <w:w w:val="105"/>
        </w:rPr>
        <w:t>problemas</w:t>
      </w:r>
      <w:r>
        <w:rPr>
          <w:color w:val="231F20"/>
          <w:spacing w:val="-7"/>
          <w:w w:val="105"/>
        </w:rPr>
        <w:t> </w:t>
      </w:r>
      <w:r>
        <w:rPr>
          <w:color w:val="231F20"/>
          <w:w w:val="105"/>
        </w:rPr>
        <w:t>de</w:t>
      </w:r>
      <w:r>
        <w:rPr>
          <w:color w:val="231F20"/>
          <w:spacing w:val="-7"/>
          <w:w w:val="105"/>
        </w:rPr>
        <w:t> </w:t>
      </w:r>
      <w:r>
        <w:rPr>
          <w:color w:val="231F20"/>
          <w:w w:val="105"/>
        </w:rPr>
        <w:t>sueño,</w:t>
      </w:r>
      <w:r>
        <w:rPr>
          <w:color w:val="231F20"/>
          <w:spacing w:val="-12"/>
          <w:w w:val="105"/>
        </w:rPr>
        <w:t> </w:t>
      </w:r>
      <w:r>
        <w:rPr>
          <w:color w:val="231F20"/>
          <w:w w:val="105"/>
        </w:rPr>
        <w:t>sin</w:t>
      </w:r>
      <w:r>
        <w:rPr>
          <w:color w:val="231F20"/>
          <w:spacing w:val="-7"/>
          <w:w w:val="105"/>
        </w:rPr>
        <w:t> </w:t>
      </w:r>
      <w:r>
        <w:rPr>
          <w:color w:val="231F20"/>
          <w:w w:val="105"/>
        </w:rPr>
        <w:t>lle- gar</w:t>
      </w:r>
      <w:r>
        <w:rPr>
          <w:color w:val="231F20"/>
          <w:spacing w:val="-7"/>
          <w:w w:val="105"/>
        </w:rPr>
        <w:t> </w:t>
      </w:r>
      <w:r>
        <w:rPr>
          <w:color w:val="231F20"/>
          <w:w w:val="105"/>
        </w:rPr>
        <w:t>a</w:t>
      </w:r>
      <w:r>
        <w:rPr>
          <w:color w:val="231F20"/>
          <w:spacing w:val="-7"/>
          <w:w w:val="105"/>
        </w:rPr>
        <w:t> </w:t>
      </w:r>
      <w:r>
        <w:rPr>
          <w:color w:val="231F20"/>
          <w:w w:val="105"/>
        </w:rPr>
        <w:t>hablar</w:t>
      </w:r>
      <w:r>
        <w:rPr>
          <w:color w:val="231F20"/>
          <w:spacing w:val="-7"/>
          <w:w w:val="105"/>
        </w:rPr>
        <w:t> </w:t>
      </w:r>
      <w:r>
        <w:rPr>
          <w:color w:val="231F20"/>
          <w:w w:val="105"/>
        </w:rPr>
        <w:t>de</w:t>
      </w:r>
      <w:r>
        <w:rPr>
          <w:color w:val="231F20"/>
          <w:spacing w:val="-7"/>
          <w:w w:val="105"/>
        </w:rPr>
        <w:t> </w:t>
      </w:r>
      <w:r>
        <w:rPr>
          <w:color w:val="231F20"/>
          <w:w w:val="105"/>
        </w:rPr>
        <w:t>insomnio.</w:t>
      </w:r>
      <w:r>
        <w:rPr>
          <w:color w:val="231F20"/>
          <w:spacing w:val="-14"/>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mundo</w:t>
      </w:r>
      <w:r>
        <w:rPr>
          <w:color w:val="231F20"/>
          <w:spacing w:val="-7"/>
          <w:w w:val="105"/>
        </w:rPr>
        <w:t> </w:t>
      </w:r>
      <w:r>
        <w:rPr>
          <w:color w:val="231F20"/>
          <w:w w:val="105"/>
        </w:rPr>
        <w:t>femenino</w:t>
      </w:r>
      <w:r>
        <w:rPr>
          <w:color w:val="231F20"/>
          <w:spacing w:val="-7"/>
          <w:w w:val="105"/>
        </w:rPr>
        <w:t> </w:t>
      </w:r>
      <w:r>
        <w:rPr>
          <w:color w:val="231F20"/>
          <w:w w:val="105"/>
        </w:rPr>
        <w:t>se</w:t>
      </w:r>
      <w:r>
        <w:rPr>
          <w:color w:val="231F20"/>
          <w:spacing w:val="-7"/>
          <w:w w:val="105"/>
        </w:rPr>
        <w:t> </w:t>
      </w:r>
      <w:r>
        <w:rPr>
          <w:color w:val="231F20"/>
          <w:w w:val="105"/>
        </w:rPr>
        <w:t>sabe</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con- texto</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relaciones</w:t>
      </w:r>
      <w:r>
        <w:rPr>
          <w:color w:val="231F20"/>
          <w:spacing w:val="-27"/>
          <w:w w:val="105"/>
        </w:rPr>
        <w:t> </w:t>
      </w:r>
      <w:r>
        <w:rPr>
          <w:color w:val="231F20"/>
          <w:w w:val="105"/>
        </w:rPr>
        <w:t>a</w:t>
      </w:r>
      <w:r>
        <w:rPr>
          <w:color w:val="231F20"/>
          <w:spacing w:val="-27"/>
          <w:w w:val="105"/>
        </w:rPr>
        <w:t> </w:t>
      </w:r>
      <w:r>
        <w:rPr>
          <w:color w:val="231F20"/>
          <w:w w:val="105"/>
        </w:rPr>
        <w:t>distancia,</w:t>
      </w:r>
      <w:r>
        <w:rPr>
          <w:color w:val="231F20"/>
          <w:spacing w:val="-32"/>
          <w:w w:val="105"/>
        </w:rPr>
        <w:t> </w:t>
      </w:r>
      <w:r>
        <w:rPr>
          <w:color w:val="231F20"/>
          <w:w w:val="105"/>
        </w:rPr>
        <w:t>mediadas</w:t>
      </w:r>
      <w:r>
        <w:rPr>
          <w:color w:val="231F20"/>
          <w:spacing w:val="-27"/>
          <w:w w:val="105"/>
        </w:rPr>
        <w:t> </w:t>
      </w:r>
      <w:r>
        <w:rPr>
          <w:color w:val="231F20"/>
          <w:w w:val="105"/>
        </w:rPr>
        <w:t>por</w:t>
      </w:r>
      <w:r>
        <w:rPr>
          <w:color w:val="231F20"/>
          <w:spacing w:val="-27"/>
          <w:w w:val="105"/>
        </w:rPr>
        <w:t> </w:t>
      </w:r>
      <w:r>
        <w:rPr>
          <w:color w:val="231F20"/>
          <w:w w:val="105"/>
        </w:rPr>
        <w:t>la</w:t>
      </w:r>
      <w:r>
        <w:rPr>
          <w:color w:val="231F20"/>
          <w:spacing w:val="-27"/>
          <w:w w:val="105"/>
        </w:rPr>
        <w:t> </w:t>
      </w:r>
      <w:r>
        <w:rPr>
          <w:color w:val="231F20"/>
          <w:w w:val="105"/>
        </w:rPr>
        <w:t>migración,</w:t>
      </w:r>
      <w:r>
        <w:rPr>
          <w:color w:val="231F20"/>
          <w:spacing w:val="-32"/>
          <w:w w:val="105"/>
        </w:rPr>
        <w:t> </w:t>
      </w:r>
      <w:r>
        <w:rPr>
          <w:color w:val="231F20"/>
          <w:w w:val="105"/>
        </w:rPr>
        <w:t>una</w:t>
      </w:r>
      <w:r>
        <w:rPr>
          <w:color w:val="231F20"/>
          <w:spacing w:val="-27"/>
          <w:w w:val="105"/>
        </w:rPr>
        <w:t> </w:t>
      </w:r>
      <w:r>
        <w:rPr>
          <w:color w:val="231F20"/>
          <w:w w:val="105"/>
        </w:rPr>
        <w:t>lectura de</w:t>
      </w:r>
      <w:r>
        <w:rPr>
          <w:color w:val="231F20"/>
          <w:spacing w:val="-4"/>
          <w:w w:val="105"/>
        </w:rPr>
        <w:t> </w:t>
      </w:r>
      <w:r>
        <w:rPr>
          <w:color w:val="231F20"/>
          <w:w w:val="105"/>
        </w:rPr>
        <w:t>la</w:t>
      </w:r>
      <w:r>
        <w:rPr>
          <w:color w:val="231F20"/>
          <w:spacing w:val="-4"/>
          <w:w w:val="105"/>
        </w:rPr>
        <w:t> </w:t>
      </w:r>
      <w:r>
        <w:rPr>
          <w:color w:val="231F20"/>
          <w:w w:val="105"/>
        </w:rPr>
        <w:t>baja</w:t>
      </w:r>
      <w:r>
        <w:rPr>
          <w:color w:val="231F20"/>
          <w:spacing w:val="-4"/>
          <w:w w:val="105"/>
        </w:rPr>
        <w:t> </w:t>
      </w:r>
      <w:r>
        <w:rPr>
          <w:color w:val="231F20"/>
          <w:w w:val="105"/>
        </w:rPr>
        <w:t>de</w:t>
      </w:r>
      <w:r>
        <w:rPr>
          <w:color w:val="231F20"/>
          <w:spacing w:val="-4"/>
          <w:w w:val="105"/>
        </w:rPr>
        <w:t> </w:t>
      </w:r>
      <w:r>
        <w:rPr>
          <w:color w:val="231F20"/>
          <w:w w:val="105"/>
        </w:rPr>
        <w:t>peso</w:t>
      </w:r>
      <w:r>
        <w:rPr>
          <w:color w:val="231F20"/>
          <w:spacing w:val="-4"/>
          <w:w w:val="105"/>
        </w:rPr>
        <w:t> </w:t>
      </w:r>
      <w:r>
        <w:rPr>
          <w:color w:val="231F20"/>
          <w:w w:val="105"/>
        </w:rPr>
        <w:t>se</w:t>
      </w:r>
      <w:r>
        <w:rPr>
          <w:color w:val="231F20"/>
          <w:spacing w:val="-4"/>
          <w:w w:val="105"/>
        </w:rPr>
        <w:t> </w:t>
      </w:r>
      <w:r>
        <w:rPr>
          <w:color w:val="231F20"/>
          <w:w w:val="105"/>
        </w:rPr>
        <w:t>debe</w:t>
      </w:r>
      <w:r>
        <w:rPr>
          <w:color w:val="231F20"/>
          <w:spacing w:val="-4"/>
          <w:w w:val="105"/>
        </w:rPr>
        <w:t> </w:t>
      </w:r>
      <w:r>
        <w:rPr>
          <w:color w:val="231F20"/>
          <w:w w:val="105"/>
        </w:rPr>
        <w:t>a</w:t>
      </w:r>
      <w:r>
        <w:rPr>
          <w:color w:val="231F20"/>
          <w:spacing w:val="-4"/>
          <w:w w:val="105"/>
        </w:rPr>
        <w:t> </w:t>
      </w:r>
      <w:r>
        <w:rPr>
          <w:color w:val="231F20"/>
          <w:w w:val="105"/>
        </w:rPr>
        <w:t>que</w:t>
      </w:r>
      <w:r>
        <w:rPr>
          <w:color w:val="231F20"/>
          <w:spacing w:val="-4"/>
          <w:w w:val="105"/>
        </w:rPr>
        <w:t> </w:t>
      </w:r>
      <w:r>
        <w:rPr>
          <w:color w:val="231F20"/>
          <w:w w:val="105"/>
        </w:rPr>
        <w:t>“algo</w:t>
      </w:r>
      <w:r>
        <w:rPr>
          <w:color w:val="231F20"/>
          <w:spacing w:val="-4"/>
          <w:w w:val="105"/>
        </w:rPr>
        <w:t> </w:t>
      </w:r>
      <w:r>
        <w:rPr>
          <w:color w:val="231F20"/>
          <w:w w:val="105"/>
        </w:rPr>
        <w:t>anda</w:t>
      </w:r>
      <w:r>
        <w:rPr>
          <w:color w:val="231F20"/>
          <w:spacing w:val="-4"/>
          <w:w w:val="105"/>
        </w:rPr>
        <w:t> </w:t>
      </w:r>
      <w:r>
        <w:rPr>
          <w:color w:val="231F20"/>
          <w:w w:val="105"/>
        </w:rPr>
        <w:t>mal”</w:t>
      </w:r>
      <w:r>
        <w:rPr>
          <w:color w:val="231F20"/>
          <w:spacing w:val="-4"/>
          <w:w w:val="105"/>
        </w:rPr>
        <w:t> </w:t>
      </w:r>
      <w:r>
        <w:rPr>
          <w:color w:val="231F20"/>
          <w:w w:val="105"/>
        </w:rPr>
        <w:t>con</w:t>
      </w:r>
      <w:r>
        <w:rPr>
          <w:color w:val="231F20"/>
          <w:spacing w:val="-4"/>
          <w:w w:val="105"/>
        </w:rPr>
        <w:t> </w:t>
      </w:r>
      <w:r>
        <w:rPr>
          <w:color w:val="231F20"/>
          <w:w w:val="105"/>
        </w:rPr>
        <w:t>el</w:t>
      </w:r>
      <w:r>
        <w:rPr>
          <w:color w:val="231F20"/>
          <w:spacing w:val="-4"/>
          <w:w w:val="105"/>
        </w:rPr>
        <w:t> </w:t>
      </w:r>
      <w:r>
        <w:rPr>
          <w:color w:val="231F20"/>
          <w:w w:val="105"/>
        </w:rPr>
        <w:t>hombre,</w:t>
      </w:r>
      <w:r>
        <w:rPr>
          <w:color w:val="231F20"/>
          <w:spacing w:val="-10"/>
          <w:w w:val="105"/>
        </w:rPr>
        <w:t> </w:t>
      </w:r>
      <w:r>
        <w:rPr>
          <w:color w:val="231F20"/>
          <w:w w:val="105"/>
        </w:rPr>
        <w:t>“anda con</w:t>
      </w:r>
      <w:r>
        <w:rPr>
          <w:color w:val="231F20"/>
          <w:spacing w:val="-9"/>
          <w:w w:val="105"/>
        </w:rPr>
        <w:t> </w:t>
      </w:r>
      <w:r>
        <w:rPr>
          <w:color w:val="231F20"/>
          <w:w w:val="105"/>
        </w:rPr>
        <w:t>otra”</w:t>
      </w:r>
      <w:r>
        <w:rPr>
          <w:color w:val="231F20"/>
          <w:spacing w:val="-9"/>
          <w:w w:val="105"/>
        </w:rPr>
        <w:t> </w:t>
      </w:r>
      <w:r>
        <w:rPr>
          <w:color w:val="231F20"/>
          <w:w w:val="105"/>
        </w:rPr>
        <w:t>o</w:t>
      </w:r>
      <w:r>
        <w:rPr>
          <w:color w:val="231F20"/>
          <w:spacing w:val="-9"/>
          <w:w w:val="105"/>
        </w:rPr>
        <w:t> </w:t>
      </w:r>
      <w:r>
        <w:rPr>
          <w:color w:val="231F20"/>
          <w:w w:val="105"/>
        </w:rPr>
        <w:t>“ya</w:t>
      </w:r>
      <w:r>
        <w:rPr>
          <w:color w:val="231F20"/>
          <w:spacing w:val="-9"/>
          <w:w w:val="105"/>
        </w:rPr>
        <w:t> </w:t>
      </w:r>
      <w:r>
        <w:rPr>
          <w:color w:val="231F20"/>
          <w:w w:val="105"/>
        </w:rPr>
        <w:t>no</w:t>
      </w:r>
      <w:r>
        <w:rPr>
          <w:color w:val="231F20"/>
          <w:spacing w:val="-9"/>
          <w:w w:val="105"/>
        </w:rPr>
        <w:t> </w:t>
      </w:r>
      <w:r>
        <w:rPr>
          <w:color w:val="231F20"/>
          <w:w w:val="105"/>
        </w:rPr>
        <w:t>quiere</w:t>
      </w:r>
      <w:r>
        <w:rPr>
          <w:color w:val="231F20"/>
          <w:spacing w:val="-9"/>
          <w:w w:val="105"/>
        </w:rPr>
        <w:t> </w:t>
      </w:r>
      <w:r>
        <w:rPr>
          <w:color w:val="231F20"/>
          <w:spacing w:val="-3"/>
          <w:w w:val="105"/>
        </w:rPr>
        <w:t>regresar”.</w:t>
      </w:r>
      <w:r>
        <w:rPr>
          <w:color w:val="231F20"/>
          <w:spacing w:val="-15"/>
          <w:w w:val="105"/>
        </w:rPr>
        <w:t> </w:t>
      </w:r>
      <w:r>
        <w:rPr>
          <w:color w:val="231F20"/>
          <w:spacing w:val="-6"/>
          <w:w w:val="105"/>
        </w:rPr>
        <w:t>Por</w:t>
      </w:r>
      <w:r>
        <w:rPr>
          <w:color w:val="231F20"/>
          <w:spacing w:val="-9"/>
          <w:w w:val="105"/>
        </w:rPr>
        <w:t> </w:t>
      </w:r>
      <w:r>
        <w:rPr>
          <w:color w:val="231F20"/>
          <w:w w:val="105"/>
        </w:rPr>
        <w:t>el</w:t>
      </w:r>
      <w:r>
        <w:rPr>
          <w:color w:val="231F20"/>
          <w:spacing w:val="-9"/>
          <w:w w:val="105"/>
        </w:rPr>
        <w:t> </w:t>
      </w:r>
      <w:r>
        <w:rPr>
          <w:color w:val="231F20"/>
          <w:w w:val="105"/>
        </w:rPr>
        <w:t>contrario,</w:t>
      </w:r>
      <w:r>
        <w:rPr>
          <w:color w:val="231F20"/>
          <w:spacing w:val="-15"/>
          <w:w w:val="105"/>
        </w:rPr>
        <w:t> </w:t>
      </w:r>
      <w:r>
        <w:rPr>
          <w:color w:val="231F20"/>
          <w:w w:val="105"/>
        </w:rPr>
        <w:t>un</w:t>
      </w:r>
      <w:r>
        <w:rPr>
          <w:color w:val="231F20"/>
          <w:spacing w:val="-9"/>
          <w:w w:val="105"/>
        </w:rPr>
        <w:t> </w:t>
      </w:r>
      <w:r>
        <w:rPr>
          <w:color w:val="231F20"/>
          <w:w w:val="105"/>
        </w:rPr>
        <w:t>aumento</w:t>
      </w:r>
      <w:r>
        <w:rPr>
          <w:color w:val="231F20"/>
          <w:spacing w:val="-9"/>
          <w:w w:val="105"/>
        </w:rPr>
        <w:t> </w:t>
      </w:r>
      <w:r>
        <w:rPr>
          <w:color w:val="231F20"/>
          <w:w w:val="105"/>
        </w:rPr>
        <w:t>de</w:t>
      </w:r>
      <w:r>
        <w:rPr>
          <w:color w:val="231F20"/>
          <w:spacing w:val="-9"/>
          <w:w w:val="105"/>
        </w:rPr>
        <w:t> </w:t>
      </w:r>
      <w:r>
        <w:rPr>
          <w:color w:val="231F20"/>
          <w:w w:val="105"/>
        </w:rPr>
        <w:t>peso se interpreta como “todo anda </w:t>
      </w:r>
      <w:r>
        <w:rPr>
          <w:color w:val="231F20"/>
          <w:spacing w:val="-5"/>
          <w:w w:val="105"/>
        </w:rPr>
        <w:t>bien”, </w:t>
      </w:r>
      <w:r>
        <w:rPr>
          <w:color w:val="231F20"/>
          <w:w w:val="105"/>
        </w:rPr>
        <w:t>“todo está en </w:t>
      </w:r>
      <w:r>
        <w:rPr>
          <w:color w:val="231F20"/>
          <w:spacing w:val="-5"/>
          <w:w w:val="105"/>
        </w:rPr>
        <w:t>orden”. </w:t>
      </w:r>
      <w:r>
        <w:rPr>
          <w:color w:val="231F20"/>
          <w:w w:val="105"/>
        </w:rPr>
        <w:t>El cuerpo</w:t>
      </w:r>
      <w:r>
        <w:rPr>
          <w:color w:val="231F20"/>
          <w:spacing w:val="-22"/>
          <w:w w:val="105"/>
        </w:rPr>
        <w:t> </w:t>
      </w:r>
      <w:r>
        <w:rPr>
          <w:color w:val="231F20"/>
          <w:w w:val="105"/>
        </w:rPr>
        <w:t>pa- rece</w:t>
      </w:r>
      <w:r>
        <w:rPr>
          <w:color w:val="231F20"/>
          <w:spacing w:val="-23"/>
          <w:w w:val="105"/>
        </w:rPr>
        <w:t> </w:t>
      </w:r>
      <w:r>
        <w:rPr>
          <w:color w:val="231F20"/>
          <w:w w:val="105"/>
        </w:rPr>
        <w:t>recuperar</w:t>
      </w:r>
      <w:r>
        <w:rPr>
          <w:color w:val="231F20"/>
          <w:spacing w:val="-23"/>
          <w:w w:val="105"/>
        </w:rPr>
        <w:t> </w:t>
      </w:r>
      <w:r>
        <w:rPr>
          <w:color w:val="231F20"/>
          <w:w w:val="105"/>
        </w:rPr>
        <w:t>su</w:t>
      </w:r>
      <w:r>
        <w:rPr>
          <w:color w:val="231F20"/>
          <w:spacing w:val="-23"/>
          <w:w w:val="105"/>
        </w:rPr>
        <w:t> </w:t>
      </w:r>
      <w:r>
        <w:rPr>
          <w:color w:val="231F20"/>
          <w:w w:val="105"/>
        </w:rPr>
        <w:t>“normalidad”</w:t>
      </w:r>
      <w:r>
        <w:rPr>
          <w:color w:val="231F20"/>
          <w:spacing w:val="-23"/>
          <w:w w:val="105"/>
        </w:rPr>
        <w:t> </w:t>
      </w:r>
      <w:r>
        <w:rPr>
          <w:color w:val="231F20"/>
          <w:w w:val="105"/>
        </w:rPr>
        <w:t>al</w:t>
      </w:r>
      <w:r>
        <w:rPr>
          <w:color w:val="231F20"/>
          <w:spacing w:val="-23"/>
          <w:w w:val="105"/>
        </w:rPr>
        <w:t> </w:t>
      </w:r>
      <w:r>
        <w:rPr>
          <w:color w:val="231F20"/>
          <w:w w:val="105"/>
        </w:rPr>
        <w:t>superar</w:t>
      </w:r>
      <w:r>
        <w:rPr>
          <w:color w:val="231F20"/>
          <w:spacing w:val="-23"/>
          <w:w w:val="105"/>
        </w:rPr>
        <w:t> </w:t>
      </w:r>
      <w:r>
        <w:rPr>
          <w:color w:val="231F20"/>
          <w:w w:val="105"/>
        </w:rPr>
        <w:t>una</w:t>
      </w:r>
      <w:r>
        <w:rPr>
          <w:color w:val="231F20"/>
          <w:spacing w:val="-23"/>
          <w:w w:val="105"/>
        </w:rPr>
        <w:t> </w:t>
      </w:r>
      <w:r>
        <w:rPr>
          <w:color w:val="231F20"/>
          <w:w w:val="105"/>
        </w:rPr>
        <w:t>situación</w:t>
      </w:r>
      <w:r>
        <w:rPr>
          <w:color w:val="231F20"/>
          <w:spacing w:val="-23"/>
          <w:w w:val="105"/>
        </w:rPr>
        <w:t> </w:t>
      </w:r>
      <w:r>
        <w:rPr>
          <w:color w:val="231F20"/>
          <w:w w:val="105"/>
        </w:rPr>
        <w:t>que</w:t>
      </w:r>
      <w:r>
        <w:rPr>
          <w:color w:val="231F20"/>
          <w:spacing w:val="-23"/>
          <w:w w:val="105"/>
        </w:rPr>
        <w:t> </w:t>
      </w:r>
      <w:r>
        <w:rPr>
          <w:color w:val="231F20"/>
          <w:w w:val="105"/>
        </w:rPr>
        <w:t>ha</w:t>
      </w:r>
      <w:r>
        <w:rPr>
          <w:color w:val="231F20"/>
          <w:spacing w:val="-23"/>
          <w:w w:val="105"/>
        </w:rPr>
        <w:t> </w:t>
      </w:r>
      <w:r>
        <w:rPr>
          <w:color w:val="231F20"/>
          <w:w w:val="105"/>
        </w:rPr>
        <w:t>generado desequilibrio.</w:t>
      </w:r>
      <w:r>
        <w:rPr>
          <w:color w:val="231F20"/>
          <w:spacing w:val="-24"/>
          <w:w w:val="105"/>
        </w:rPr>
        <w:t> </w:t>
      </w:r>
      <w:r>
        <w:rPr>
          <w:color w:val="231F20"/>
          <w:w w:val="105"/>
        </w:rPr>
        <w:t>Esos</w:t>
      </w:r>
      <w:r>
        <w:rPr>
          <w:color w:val="231F20"/>
          <w:spacing w:val="-19"/>
          <w:w w:val="105"/>
        </w:rPr>
        <w:t> </w:t>
      </w:r>
      <w:r>
        <w:rPr>
          <w:color w:val="231F20"/>
          <w:w w:val="105"/>
        </w:rPr>
        <w:t>altibajos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cuerpo,</w:t>
      </w:r>
      <w:r>
        <w:rPr>
          <w:color w:val="231F20"/>
          <w:spacing w:val="-24"/>
          <w:w w:val="105"/>
        </w:rPr>
        <w:t> </w:t>
      </w:r>
      <w:r>
        <w:rPr>
          <w:color w:val="231F20"/>
          <w:w w:val="105"/>
        </w:rPr>
        <w:t>a</w:t>
      </w:r>
      <w:r>
        <w:rPr>
          <w:color w:val="231F20"/>
          <w:spacing w:val="-19"/>
          <w:w w:val="105"/>
        </w:rPr>
        <w:t> </w:t>
      </w:r>
      <w:r>
        <w:rPr>
          <w:color w:val="231F20"/>
          <w:w w:val="105"/>
        </w:rPr>
        <w:t>raíz</w:t>
      </w:r>
      <w:r>
        <w:rPr>
          <w:color w:val="231F20"/>
          <w:spacing w:val="-19"/>
          <w:w w:val="105"/>
        </w:rPr>
        <w:t> </w:t>
      </w:r>
      <w:r>
        <w:rPr>
          <w:color w:val="231F20"/>
          <w:w w:val="105"/>
        </w:rPr>
        <w:t>de</w:t>
      </w:r>
      <w:r>
        <w:rPr>
          <w:color w:val="231F20"/>
          <w:spacing w:val="-19"/>
          <w:w w:val="105"/>
        </w:rPr>
        <w:t> </w:t>
      </w:r>
      <w:r>
        <w:rPr>
          <w:color w:val="231F20"/>
          <w:w w:val="105"/>
        </w:rPr>
        <w:t>algo</w:t>
      </w:r>
      <w:r>
        <w:rPr>
          <w:color w:val="231F20"/>
          <w:spacing w:val="-19"/>
          <w:w w:val="105"/>
        </w:rPr>
        <w:t> </w:t>
      </w:r>
      <w:r>
        <w:rPr>
          <w:color w:val="231F20"/>
          <w:w w:val="105"/>
        </w:rPr>
        <w:t>emocional,</w:t>
      </w:r>
      <w:r>
        <w:rPr>
          <w:color w:val="231F20"/>
          <w:spacing w:val="-24"/>
          <w:w w:val="105"/>
        </w:rPr>
        <w:t> </w:t>
      </w:r>
      <w:r>
        <w:rPr>
          <w:color w:val="231F20"/>
          <w:w w:val="105"/>
        </w:rPr>
        <w:t>pare- cen</w:t>
      </w:r>
      <w:r>
        <w:rPr>
          <w:color w:val="231F20"/>
          <w:spacing w:val="-7"/>
          <w:w w:val="105"/>
        </w:rPr>
        <w:t> </w:t>
      </w:r>
      <w:r>
        <w:rPr>
          <w:color w:val="231F20"/>
          <w:w w:val="105"/>
        </w:rPr>
        <w:t>cíclicos</w:t>
      </w:r>
      <w:r>
        <w:rPr>
          <w:color w:val="231F20"/>
          <w:spacing w:val="-7"/>
          <w:w w:val="105"/>
        </w:rPr>
        <w:t> </w:t>
      </w:r>
      <w:r>
        <w:rPr>
          <w:color w:val="231F20"/>
          <w:w w:val="105"/>
        </w:rPr>
        <w:t>y</w:t>
      </w:r>
      <w:r>
        <w:rPr>
          <w:color w:val="231F20"/>
          <w:spacing w:val="-7"/>
          <w:w w:val="105"/>
        </w:rPr>
        <w:t> </w:t>
      </w:r>
      <w:r>
        <w:rPr>
          <w:color w:val="231F20"/>
          <w:w w:val="105"/>
        </w:rPr>
        <w:t>sólo</w:t>
      </w:r>
      <w:r>
        <w:rPr>
          <w:color w:val="231F20"/>
          <w:spacing w:val="-7"/>
          <w:w w:val="105"/>
        </w:rPr>
        <w:t> </w:t>
      </w:r>
      <w:r>
        <w:rPr>
          <w:color w:val="231F20"/>
          <w:w w:val="105"/>
        </w:rPr>
        <w:t>los</w:t>
      </w:r>
      <w:r>
        <w:rPr>
          <w:color w:val="231F20"/>
          <w:spacing w:val="-7"/>
          <w:w w:val="105"/>
        </w:rPr>
        <w:t> </w:t>
      </w:r>
      <w:r>
        <w:rPr>
          <w:color w:val="231F20"/>
          <w:w w:val="105"/>
        </w:rPr>
        <w:t>regresos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hombres</w:t>
      </w:r>
      <w:r>
        <w:rPr>
          <w:color w:val="231F20"/>
          <w:spacing w:val="-7"/>
          <w:w w:val="105"/>
        </w:rPr>
        <w:t> </w:t>
      </w:r>
      <w:r>
        <w:rPr>
          <w:color w:val="231F20"/>
          <w:w w:val="105"/>
        </w:rPr>
        <w:t>parecen</w:t>
      </w:r>
      <w:r>
        <w:rPr>
          <w:color w:val="231F20"/>
          <w:spacing w:val="-7"/>
          <w:w w:val="105"/>
        </w:rPr>
        <w:t> </w:t>
      </w:r>
      <w:r>
        <w:rPr>
          <w:color w:val="231F20"/>
          <w:w w:val="105"/>
        </w:rPr>
        <w:t>poner</w:t>
      </w:r>
      <w:r>
        <w:rPr>
          <w:color w:val="231F20"/>
          <w:spacing w:val="-7"/>
          <w:w w:val="105"/>
        </w:rPr>
        <w:t> </w:t>
      </w:r>
      <w:r>
        <w:rPr>
          <w:color w:val="231F20"/>
          <w:w w:val="105"/>
        </w:rPr>
        <w:t>en</w:t>
      </w:r>
      <w:r>
        <w:rPr>
          <w:color w:val="231F20"/>
          <w:spacing w:val="-7"/>
          <w:w w:val="105"/>
        </w:rPr>
        <w:t> </w:t>
      </w:r>
      <w:r>
        <w:rPr>
          <w:color w:val="231F20"/>
          <w:w w:val="105"/>
        </w:rPr>
        <w:t>orden la</w:t>
      </w:r>
      <w:r>
        <w:rPr>
          <w:color w:val="231F20"/>
          <w:spacing w:val="-15"/>
          <w:w w:val="105"/>
        </w:rPr>
        <w:t> </w:t>
      </w:r>
      <w:r>
        <w:rPr>
          <w:color w:val="231F20"/>
          <w:w w:val="105"/>
        </w:rPr>
        <w:t>relación</w:t>
      </w:r>
      <w:r>
        <w:rPr>
          <w:color w:val="231F20"/>
          <w:spacing w:val="-15"/>
          <w:w w:val="105"/>
        </w:rPr>
        <w:t> </w:t>
      </w:r>
      <w:r>
        <w:rPr>
          <w:color w:val="231F20"/>
          <w:w w:val="105"/>
        </w:rPr>
        <w:t>entre</w:t>
      </w:r>
      <w:r>
        <w:rPr>
          <w:color w:val="231F20"/>
          <w:spacing w:val="-15"/>
          <w:w w:val="105"/>
        </w:rPr>
        <w:t> </w:t>
      </w:r>
      <w:r>
        <w:rPr>
          <w:color w:val="231F20"/>
          <w:w w:val="105"/>
        </w:rPr>
        <w:t>cuerpo</w:t>
      </w:r>
      <w:r>
        <w:rPr>
          <w:color w:val="231F20"/>
          <w:spacing w:val="-15"/>
          <w:w w:val="105"/>
        </w:rPr>
        <w:t> </w:t>
      </w:r>
      <w:r>
        <w:rPr>
          <w:color w:val="231F20"/>
          <w:w w:val="105"/>
        </w:rPr>
        <w:t>y</w:t>
      </w:r>
      <w:r>
        <w:rPr>
          <w:color w:val="231F20"/>
          <w:spacing w:val="-15"/>
          <w:w w:val="105"/>
        </w:rPr>
        <w:t> </w:t>
      </w:r>
      <w:r>
        <w:rPr>
          <w:color w:val="231F20"/>
          <w:w w:val="105"/>
        </w:rPr>
        <w:t>emociones.</w:t>
      </w:r>
    </w:p>
    <w:p>
      <w:pPr>
        <w:pStyle w:val="BodyText"/>
        <w:spacing w:line="261" w:lineRule="auto" w:before="1"/>
        <w:ind w:left="1723" w:right="1830" w:firstLine="567"/>
        <w:jc w:val="both"/>
      </w:pPr>
      <w:r>
        <w:rPr>
          <w:color w:val="231F20"/>
          <w:w w:val="105"/>
        </w:rPr>
        <w:t>Una</w:t>
      </w:r>
      <w:r>
        <w:rPr>
          <w:color w:val="231F20"/>
          <w:spacing w:val="-25"/>
          <w:w w:val="105"/>
        </w:rPr>
        <w:t> </w:t>
      </w:r>
      <w:r>
        <w:rPr>
          <w:color w:val="231F20"/>
          <w:w w:val="105"/>
        </w:rPr>
        <w:t>constante</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relación</w:t>
      </w:r>
      <w:r>
        <w:rPr>
          <w:color w:val="231F20"/>
          <w:spacing w:val="-25"/>
          <w:w w:val="105"/>
        </w:rPr>
        <w:t> </w:t>
      </w:r>
      <w:r>
        <w:rPr>
          <w:color w:val="231F20"/>
          <w:w w:val="105"/>
        </w:rPr>
        <w:t>cuerpo-emociones</w:t>
      </w:r>
      <w:r>
        <w:rPr>
          <w:color w:val="231F20"/>
          <w:spacing w:val="-25"/>
          <w:w w:val="105"/>
        </w:rPr>
        <w:t> </w:t>
      </w:r>
      <w:r>
        <w:rPr>
          <w:color w:val="231F20"/>
          <w:w w:val="105"/>
        </w:rPr>
        <w:t>está</w:t>
      </w:r>
      <w:r>
        <w:rPr>
          <w:color w:val="231F20"/>
          <w:spacing w:val="-25"/>
          <w:w w:val="105"/>
        </w:rPr>
        <w:t> </w:t>
      </w:r>
      <w:r>
        <w:rPr>
          <w:color w:val="231F20"/>
          <w:w w:val="105"/>
        </w:rPr>
        <w:t>vinculado</w:t>
      </w:r>
      <w:r>
        <w:rPr>
          <w:color w:val="231F20"/>
          <w:spacing w:val="-25"/>
          <w:w w:val="105"/>
        </w:rPr>
        <w:t> </w:t>
      </w:r>
      <w:r>
        <w:rPr>
          <w:color w:val="231F20"/>
          <w:w w:val="105"/>
        </w:rPr>
        <w:t>con enfermedades</w:t>
      </w:r>
      <w:r>
        <w:rPr>
          <w:color w:val="231F20"/>
          <w:spacing w:val="-6"/>
          <w:w w:val="105"/>
        </w:rPr>
        <w:t> </w:t>
      </w:r>
      <w:r>
        <w:rPr>
          <w:color w:val="231F20"/>
          <w:w w:val="105"/>
        </w:rPr>
        <w:t>del</w:t>
      </w:r>
      <w:r>
        <w:rPr>
          <w:color w:val="231F20"/>
          <w:spacing w:val="-6"/>
          <w:w w:val="105"/>
        </w:rPr>
        <w:t> </w:t>
      </w:r>
      <w:r>
        <w:rPr>
          <w:color w:val="231F20"/>
          <w:w w:val="105"/>
        </w:rPr>
        <w:t>término</w:t>
      </w:r>
      <w:r>
        <w:rPr>
          <w:color w:val="231F20"/>
          <w:spacing w:val="-6"/>
          <w:w w:val="105"/>
        </w:rPr>
        <w:t> </w:t>
      </w:r>
      <w:r>
        <w:rPr>
          <w:color w:val="231F20"/>
          <w:w w:val="105"/>
        </w:rPr>
        <w:t>“itis”:</w:t>
      </w:r>
      <w:r>
        <w:rPr>
          <w:color w:val="231F20"/>
          <w:spacing w:val="-6"/>
          <w:w w:val="105"/>
        </w:rPr>
        <w:t> </w:t>
      </w:r>
      <w:r>
        <w:rPr>
          <w:color w:val="231F20"/>
          <w:w w:val="105"/>
        </w:rPr>
        <w:t>gastritis,</w:t>
      </w:r>
      <w:r>
        <w:rPr>
          <w:color w:val="231F20"/>
          <w:spacing w:val="-12"/>
          <w:w w:val="105"/>
        </w:rPr>
        <w:t> </w:t>
      </w:r>
      <w:r>
        <w:rPr>
          <w:color w:val="231F20"/>
          <w:w w:val="105"/>
        </w:rPr>
        <w:t>colitis,</w:t>
      </w:r>
      <w:r>
        <w:rPr>
          <w:color w:val="231F20"/>
          <w:spacing w:val="-12"/>
          <w:w w:val="105"/>
        </w:rPr>
        <w:t> </w:t>
      </w:r>
      <w:r>
        <w:rPr>
          <w:color w:val="231F20"/>
          <w:w w:val="105"/>
        </w:rPr>
        <w:t>esofagitis,</w:t>
      </w:r>
      <w:r>
        <w:rPr>
          <w:color w:val="231F20"/>
          <w:spacing w:val="-12"/>
          <w:w w:val="105"/>
        </w:rPr>
        <w:t> </w:t>
      </w:r>
      <w:r>
        <w:rPr>
          <w:color w:val="231F20"/>
          <w:w w:val="105"/>
        </w:rPr>
        <w:t>posiblemen- te por asuntos no resueltos desde lo emocional no sólo con la pareja, pero</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relacionan</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ausencia</w:t>
      </w:r>
      <w:r>
        <w:rPr>
          <w:color w:val="231F20"/>
          <w:spacing w:val="-8"/>
          <w:w w:val="105"/>
        </w:rPr>
        <w:t> </w:t>
      </w:r>
      <w:r>
        <w:rPr>
          <w:color w:val="231F20"/>
          <w:w w:val="105"/>
        </w:rPr>
        <w:t>de</w:t>
      </w:r>
      <w:r>
        <w:rPr>
          <w:color w:val="231F20"/>
          <w:spacing w:val="-8"/>
          <w:w w:val="105"/>
        </w:rPr>
        <w:t> </w:t>
      </w:r>
      <w:r>
        <w:rPr>
          <w:color w:val="231F20"/>
          <w:w w:val="105"/>
        </w:rPr>
        <w:t>ésta.</w:t>
      </w:r>
      <w:r>
        <w:rPr>
          <w:color w:val="231F20"/>
          <w:spacing w:val="-13"/>
          <w:w w:val="105"/>
        </w:rPr>
        <w:t> </w:t>
      </w:r>
      <w:r>
        <w:rPr>
          <w:color w:val="231F20"/>
          <w:w w:val="105"/>
        </w:rPr>
        <w:t>Narran</w:t>
      </w:r>
      <w:r>
        <w:rPr>
          <w:color w:val="231F20"/>
          <w:spacing w:val="-8"/>
          <w:w w:val="105"/>
        </w:rPr>
        <w:t> </w:t>
      </w:r>
      <w:r>
        <w:rPr>
          <w:color w:val="231F20"/>
          <w:w w:val="105"/>
        </w:rPr>
        <w:t>ellas,</w:t>
      </w:r>
      <w:r>
        <w:rPr>
          <w:color w:val="231F20"/>
          <w:spacing w:val="-13"/>
          <w:w w:val="105"/>
        </w:rPr>
        <w:t> </w:t>
      </w:r>
      <w:r>
        <w:rPr>
          <w:color w:val="231F20"/>
          <w:w w:val="105"/>
        </w:rPr>
        <w:t>“cada</w:t>
      </w:r>
      <w:r>
        <w:rPr>
          <w:color w:val="231F20"/>
          <w:spacing w:val="-8"/>
          <w:w w:val="105"/>
        </w:rPr>
        <w:t> </w:t>
      </w:r>
      <w:r>
        <w:rPr>
          <w:color w:val="231F20"/>
          <w:w w:val="105"/>
        </w:rPr>
        <w:t>que ya</w:t>
      </w:r>
      <w:r>
        <w:rPr>
          <w:color w:val="231F20"/>
          <w:spacing w:val="-15"/>
          <w:w w:val="105"/>
        </w:rPr>
        <w:t> </w:t>
      </w:r>
      <w:r>
        <w:rPr>
          <w:color w:val="231F20"/>
          <w:w w:val="105"/>
        </w:rPr>
        <w:t>escucho</w:t>
      </w:r>
      <w:r>
        <w:rPr>
          <w:color w:val="231F20"/>
          <w:spacing w:val="-15"/>
          <w:w w:val="105"/>
        </w:rPr>
        <w:t> </w:t>
      </w:r>
      <w:r>
        <w:rPr>
          <w:color w:val="231F20"/>
          <w:w w:val="105"/>
        </w:rPr>
        <w:t>el</w:t>
      </w:r>
      <w:r>
        <w:rPr>
          <w:color w:val="231F20"/>
          <w:spacing w:val="-15"/>
          <w:w w:val="105"/>
        </w:rPr>
        <w:t> </w:t>
      </w:r>
      <w:r>
        <w:rPr>
          <w:color w:val="231F20"/>
          <w:w w:val="105"/>
        </w:rPr>
        <w:t>me</w:t>
      </w:r>
      <w:r>
        <w:rPr>
          <w:color w:val="231F20"/>
          <w:spacing w:val="-15"/>
          <w:w w:val="105"/>
        </w:rPr>
        <w:t> </w:t>
      </w:r>
      <w:r>
        <w:rPr>
          <w:color w:val="231F20"/>
          <w:w w:val="105"/>
        </w:rPr>
        <w:t>voy</w:t>
      </w:r>
      <w:r>
        <w:rPr>
          <w:color w:val="231F20"/>
          <w:spacing w:val="-15"/>
          <w:w w:val="105"/>
        </w:rPr>
        <w:t> </w:t>
      </w:r>
      <w:r>
        <w:rPr>
          <w:color w:val="231F20"/>
          <w:w w:val="105"/>
        </w:rPr>
        <w:t>a</w:t>
      </w:r>
      <w:r>
        <w:rPr>
          <w:color w:val="231F20"/>
          <w:spacing w:val="-15"/>
          <w:w w:val="105"/>
        </w:rPr>
        <w:t> </w:t>
      </w:r>
      <w:r>
        <w:rPr>
          <w:color w:val="231F20"/>
          <w:w w:val="105"/>
        </w:rPr>
        <w:t>Estados</w:t>
      </w:r>
      <w:r>
        <w:rPr>
          <w:color w:val="231F20"/>
          <w:spacing w:val="-15"/>
          <w:w w:val="105"/>
        </w:rPr>
        <w:t> </w:t>
      </w:r>
      <w:r>
        <w:rPr>
          <w:color w:val="231F20"/>
          <w:w w:val="105"/>
        </w:rPr>
        <w:t>Unidos</w:t>
      </w:r>
      <w:r>
        <w:rPr>
          <w:color w:val="231F20"/>
          <w:spacing w:val="-15"/>
          <w:w w:val="105"/>
        </w:rPr>
        <w:t> </w:t>
      </w:r>
      <w:r>
        <w:rPr>
          <w:color w:val="231F20"/>
          <w:w w:val="105"/>
        </w:rPr>
        <w:t>tal</w:t>
      </w:r>
      <w:r>
        <w:rPr>
          <w:color w:val="231F20"/>
          <w:spacing w:val="-15"/>
          <w:w w:val="105"/>
        </w:rPr>
        <w:t> </w:t>
      </w:r>
      <w:r>
        <w:rPr>
          <w:color w:val="231F20"/>
          <w:w w:val="105"/>
        </w:rPr>
        <w:t>día,</w:t>
      </w:r>
      <w:r>
        <w:rPr>
          <w:color w:val="231F20"/>
          <w:spacing w:val="-19"/>
          <w:w w:val="105"/>
        </w:rPr>
        <w:t> </w:t>
      </w:r>
      <w:r>
        <w:rPr>
          <w:color w:val="231F20"/>
          <w:w w:val="105"/>
        </w:rPr>
        <w:t>se</w:t>
      </w:r>
      <w:r>
        <w:rPr>
          <w:color w:val="231F20"/>
          <w:spacing w:val="-15"/>
          <w:w w:val="105"/>
        </w:rPr>
        <w:t> </w:t>
      </w:r>
      <w:r>
        <w:rPr>
          <w:color w:val="231F20"/>
          <w:w w:val="105"/>
        </w:rPr>
        <w:t>me</w:t>
      </w:r>
      <w:r>
        <w:rPr>
          <w:color w:val="231F20"/>
          <w:spacing w:val="-15"/>
          <w:w w:val="105"/>
        </w:rPr>
        <w:t> </w:t>
      </w:r>
      <w:r>
        <w:rPr>
          <w:color w:val="231F20"/>
          <w:w w:val="105"/>
        </w:rPr>
        <w:t>hace</w:t>
      </w:r>
      <w:r>
        <w:rPr>
          <w:color w:val="231F20"/>
          <w:spacing w:val="-15"/>
          <w:w w:val="105"/>
        </w:rPr>
        <w:t> </w:t>
      </w:r>
      <w:r>
        <w:rPr>
          <w:color w:val="231F20"/>
          <w:w w:val="105"/>
        </w:rPr>
        <w:t>agua</w:t>
      </w:r>
      <w:r>
        <w:rPr>
          <w:color w:val="231F20"/>
          <w:spacing w:val="-15"/>
          <w:w w:val="105"/>
        </w:rPr>
        <w:t> </w:t>
      </w:r>
      <w:r>
        <w:rPr>
          <w:color w:val="231F20"/>
          <w:w w:val="105"/>
        </w:rPr>
        <w:t>el</w:t>
      </w:r>
      <w:r>
        <w:rPr>
          <w:color w:val="231F20"/>
          <w:spacing w:val="-15"/>
          <w:w w:val="105"/>
        </w:rPr>
        <w:t> </w:t>
      </w:r>
      <w:r>
        <w:rPr>
          <w:color w:val="231F20"/>
          <w:w w:val="105"/>
        </w:rPr>
        <w:t>estó- </w:t>
      </w:r>
      <w:r>
        <w:rPr>
          <w:color w:val="231F20"/>
          <w:spacing w:val="-5"/>
          <w:w w:val="105"/>
        </w:rPr>
        <w:t>mago”, </w:t>
      </w:r>
      <w:r>
        <w:rPr>
          <w:color w:val="231F20"/>
          <w:w w:val="105"/>
        </w:rPr>
        <w:t>“ya no estoy bien, se me amarga el día y la </w:t>
      </w:r>
      <w:r>
        <w:rPr>
          <w:color w:val="231F20"/>
          <w:spacing w:val="-4"/>
          <w:w w:val="105"/>
        </w:rPr>
        <w:t>noche”. </w:t>
      </w:r>
      <w:r>
        <w:rPr>
          <w:color w:val="231F20"/>
          <w:w w:val="105"/>
        </w:rPr>
        <w:t>Habla de lo difícil</w:t>
      </w:r>
      <w:r>
        <w:rPr>
          <w:color w:val="231F20"/>
          <w:spacing w:val="-14"/>
          <w:w w:val="105"/>
        </w:rPr>
        <w:t> </w:t>
      </w:r>
      <w:r>
        <w:rPr>
          <w:color w:val="231F20"/>
          <w:w w:val="105"/>
        </w:rPr>
        <w:t>que</w:t>
      </w:r>
      <w:r>
        <w:rPr>
          <w:color w:val="231F20"/>
          <w:spacing w:val="-14"/>
          <w:w w:val="105"/>
        </w:rPr>
        <w:t> </w:t>
      </w:r>
      <w:r>
        <w:rPr>
          <w:color w:val="231F20"/>
          <w:w w:val="105"/>
        </w:rPr>
        <w:t>es</w:t>
      </w:r>
      <w:r>
        <w:rPr>
          <w:color w:val="231F20"/>
          <w:spacing w:val="-14"/>
          <w:w w:val="105"/>
        </w:rPr>
        <w:t> </w:t>
      </w:r>
      <w:r>
        <w:rPr>
          <w:color w:val="231F20"/>
          <w:w w:val="105"/>
        </w:rPr>
        <w:t>llevar</w:t>
      </w:r>
      <w:r>
        <w:rPr>
          <w:color w:val="231F20"/>
          <w:spacing w:val="-14"/>
          <w:w w:val="105"/>
        </w:rPr>
        <w:t> </w:t>
      </w:r>
      <w:r>
        <w:rPr>
          <w:color w:val="231F20"/>
          <w:w w:val="105"/>
        </w:rPr>
        <w:t>la</w:t>
      </w:r>
      <w:r>
        <w:rPr>
          <w:color w:val="231F20"/>
          <w:spacing w:val="-14"/>
          <w:w w:val="105"/>
        </w:rPr>
        <w:t> </w:t>
      </w:r>
      <w:r>
        <w:rPr>
          <w:color w:val="231F20"/>
          <w:w w:val="105"/>
        </w:rPr>
        <w:t>vida</w:t>
      </w:r>
      <w:r>
        <w:rPr>
          <w:color w:val="231F20"/>
          <w:spacing w:val="-14"/>
          <w:w w:val="105"/>
        </w:rPr>
        <w:t> </w:t>
      </w:r>
      <w:r>
        <w:rPr>
          <w:color w:val="231F20"/>
          <w:w w:val="105"/>
        </w:rPr>
        <w:t>con</w:t>
      </w:r>
      <w:r>
        <w:rPr>
          <w:color w:val="231F20"/>
          <w:spacing w:val="-14"/>
          <w:w w:val="105"/>
        </w:rPr>
        <w:t> </w:t>
      </w:r>
      <w:r>
        <w:rPr>
          <w:color w:val="231F20"/>
          <w:w w:val="105"/>
        </w:rPr>
        <w:t>un</w:t>
      </w:r>
      <w:r>
        <w:rPr>
          <w:color w:val="231F20"/>
          <w:spacing w:val="-14"/>
          <w:w w:val="105"/>
        </w:rPr>
        <w:t> </w:t>
      </w:r>
      <w:r>
        <w:rPr>
          <w:color w:val="231F20"/>
          <w:w w:val="105"/>
        </w:rPr>
        <w:t>esposo</w:t>
      </w:r>
      <w:r>
        <w:rPr>
          <w:color w:val="231F20"/>
          <w:spacing w:val="-14"/>
          <w:w w:val="105"/>
        </w:rPr>
        <w:t> </w:t>
      </w:r>
      <w:r>
        <w:rPr>
          <w:color w:val="231F20"/>
          <w:w w:val="105"/>
        </w:rPr>
        <w:t>migrante,</w:t>
      </w:r>
      <w:r>
        <w:rPr>
          <w:color w:val="231F20"/>
          <w:spacing w:val="-21"/>
          <w:w w:val="105"/>
        </w:rPr>
        <w:t> </w:t>
      </w:r>
      <w:r>
        <w:rPr>
          <w:color w:val="231F20"/>
          <w:w w:val="105"/>
        </w:rPr>
        <w:t>sobre</w:t>
      </w:r>
      <w:r>
        <w:rPr>
          <w:color w:val="231F20"/>
          <w:spacing w:val="-14"/>
          <w:w w:val="105"/>
        </w:rPr>
        <w:t> </w:t>
      </w:r>
      <w:r>
        <w:rPr>
          <w:color w:val="231F20"/>
          <w:w w:val="105"/>
        </w:rPr>
        <w:t>todo</w:t>
      </w:r>
      <w:r>
        <w:rPr>
          <w:color w:val="231F20"/>
          <w:spacing w:val="-14"/>
          <w:w w:val="105"/>
        </w:rPr>
        <w:t> </w:t>
      </w:r>
      <w:r>
        <w:rPr>
          <w:color w:val="231F20"/>
          <w:w w:val="105"/>
        </w:rPr>
        <w:t>con</w:t>
      </w:r>
      <w:r>
        <w:rPr>
          <w:color w:val="231F20"/>
          <w:spacing w:val="-14"/>
          <w:w w:val="105"/>
        </w:rPr>
        <w:t> </w:t>
      </w:r>
      <w:r>
        <w:rPr>
          <w:color w:val="231F20"/>
          <w:w w:val="105"/>
        </w:rPr>
        <w:t>aque- llos</w:t>
      </w:r>
      <w:r>
        <w:rPr>
          <w:color w:val="231F20"/>
          <w:spacing w:val="-16"/>
          <w:w w:val="105"/>
        </w:rPr>
        <w:t> </w:t>
      </w:r>
      <w:r>
        <w:rPr>
          <w:color w:val="231F20"/>
          <w:w w:val="105"/>
        </w:rPr>
        <w:t>que</w:t>
      </w:r>
      <w:r>
        <w:rPr>
          <w:color w:val="231F20"/>
          <w:spacing w:val="-16"/>
          <w:w w:val="105"/>
        </w:rPr>
        <w:t> </w:t>
      </w:r>
      <w:r>
        <w:rPr>
          <w:color w:val="231F20"/>
          <w:w w:val="105"/>
        </w:rPr>
        <w:t>son</w:t>
      </w:r>
      <w:r>
        <w:rPr>
          <w:color w:val="231F20"/>
          <w:spacing w:val="-16"/>
          <w:w w:val="105"/>
        </w:rPr>
        <w:t> </w:t>
      </w:r>
      <w:r>
        <w:rPr>
          <w:color w:val="231F20"/>
          <w:w w:val="105"/>
        </w:rPr>
        <w:t>reincidentes,</w:t>
      </w:r>
      <w:r>
        <w:rPr>
          <w:color w:val="231F20"/>
          <w:spacing w:val="-21"/>
          <w:w w:val="105"/>
        </w:rPr>
        <w:t> </w:t>
      </w:r>
      <w:r>
        <w:rPr>
          <w:color w:val="231F20"/>
          <w:w w:val="105"/>
        </w:rPr>
        <w:t>su</w:t>
      </w:r>
      <w:r>
        <w:rPr>
          <w:color w:val="231F20"/>
          <w:spacing w:val="-16"/>
          <w:w w:val="105"/>
        </w:rPr>
        <w:t> </w:t>
      </w:r>
      <w:r>
        <w:rPr>
          <w:color w:val="231F20"/>
          <w:w w:val="105"/>
        </w:rPr>
        <w:t>gran</w:t>
      </w:r>
      <w:r>
        <w:rPr>
          <w:color w:val="231F20"/>
          <w:spacing w:val="-16"/>
          <w:w w:val="105"/>
        </w:rPr>
        <w:t> </w:t>
      </w:r>
      <w:r>
        <w:rPr>
          <w:color w:val="231F20"/>
          <w:w w:val="105"/>
        </w:rPr>
        <w:t>sorpresa</w:t>
      </w:r>
      <w:r>
        <w:rPr>
          <w:color w:val="231F20"/>
          <w:spacing w:val="-16"/>
          <w:w w:val="105"/>
        </w:rPr>
        <w:t> </w:t>
      </w:r>
      <w:r>
        <w:rPr>
          <w:color w:val="231F20"/>
          <w:w w:val="105"/>
        </w:rPr>
        <w:t>es</w:t>
      </w:r>
      <w:r>
        <w:rPr>
          <w:color w:val="231F20"/>
          <w:spacing w:val="-16"/>
          <w:w w:val="105"/>
        </w:rPr>
        <w:t> </w:t>
      </w:r>
      <w:r>
        <w:rPr>
          <w:color w:val="231F20"/>
          <w:w w:val="105"/>
        </w:rPr>
        <w:t>exponerse</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posibilidad de</w:t>
      </w:r>
      <w:r>
        <w:rPr>
          <w:color w:val="231F20"/>
          <w:spacing w:val="-18"/>
          <w:w w:val="105"/>
        </w:rPr>
        <w:t> </w:t>
      </w:r>
      <w:r>
        <w:rPr>
          <w:color w:val="231F20"/>
          <w:w w:val="105"/>
        </w:rPr>
        <w:t>volver</w:t>
      </w:r>
      <w:r>
        <w:rPr>
          <w:color w:val="231F20"/>
          <w:spacing w:val="-18"/>
          <w:w w:val="105"/>
        </w:rPr>
        <w:t> </w:t>
      </w:r>
      <w:r>
        <w:rPr>
          <w:color w:val="231F20"/>
          <w:w w:val="105"/>
        </w:rPr>
        <w:t>a</w:t>
      </w:r>
      <w:r>
        <w:rPr>
          <w:color w:val="231F20"/>
          <w:spacing w:val="-18"/>
          <w:w w:val="105"/>
        </w:rPr>
        <w:t> </w:t>
      </w:r>
      <w:r>
        <w:rPr>
          <w:color w:val="231F20"/>
          <w:w w:val="105"/>
        </w:rPr>
        <w:t>verse</w:t>
      </w:r>
      <w:r>
        <w:rPr>
          <w:color w:val="231F20"/>
          <w:spacing w:val="-18"/>
          <w:w w:val="105"/>
        </w:rPr>
        <w:t> </w:t>
      </w:r>
      <w:r>
        <w:rPr>
          <w:color w:val="231F20"/>
          <w:w w:val="105"/>
        </w:rPr>
        <w:t>solas,</w:t>
      </w:r>
      <w:r>
        <w:rPr>
          <w:color w:val="231F20"/>
          <w:spacing w:val="-22"/>
          <w:w w:val="105"/>
        </w:rPr>
        <w:t> </w:t>
      </w:r>
      <w:r>
        <w:rPr>
          <w:color w:val="231F20"/>
          <w:w w:val="105"/>
        </w:rPr>
        <w:t>sin</w:t>
      </w:r>
      <w:r>
        <w:rPr>
          <w:color w:val="231F20"/>
          <w:spacing w:val="-18"/>
          <w:w w:val="105"/>
        </w:rPr>
        <w:t> </w:t>
      </w:r>
      <w:r>
        <w:rPr>
          <w:color w:val="231F20"/>
          <w:w w:val="105"/>
        </w:rPr>
        <w:t>el</w:t>
      </w:r>
      <w:r>
        <w:rPr>
          <w:color w:val="231F20"/>
          <w:spacing w:val="-18"/>
          <w:w w:val="105"/>
        </w:rPr>
        <w:t> </w:t>
      </w:r>
      <w:r>
        <w:rPr>
          <w:color w:val="231F20"/>
          <w:w w:val="105"/>
        </w:rPr>
        <w:t>esposo.</w:t>
      </w:r>
      <w:r>
        <w:rPr>
          <w:color w:val="231F20"/>
          <w:spacing w:val="-22"/>
          <w:w w:val="105"/>
        </w:rPr>
        <w:t> </w:t>
      </w:r>
      <w:r>
        <w:rPr>
          <w:color w:val="231F20"/>
          <w:w w:val="105"/>
        </w:rPr>
        <w:t>Lanzando</w:t>
      </w:r>
      <w:r>
        <w:rPr>
          <w:color w:val="231F20"/>
          <w:spacing w:val="-18"/>
          <w:w w:val="105"/>
        </w:rPr>
        <w:t> </w:t>
      </w:r>
      <w:r>
        <w:rPr>
          <w:color w:val="231F20"/>
          <w:w w:val="105"/>
        </w:rPr>
        <w:t>preguntas</w:t>
      </w:r>
      <w:r>
        <w:rPr>
          <w:color w:val="231F20"/>
          <w:spacing w:val="-18"/>
          <w:w w:val="105"/>
        </w:rPr>
        <w:t> </w:t>
      </w:r>
      <w:r>
        <w:rPr>
          <w:color w:val="231F20"/>
          <w:w w:val="105"/>
        </w:rPr>
        <w:t>que</w:t>
      </w:r>
      <w:r>
        <w:rPr>
          <w:color w:val="231F20"/>
          <w:spacing w:val="-18"/>
          <w:w w:val="105"/>
        </w:rPr>
        <w:t> </w:t>
      </w:r>
      <w:r>
        <w:rPr>
          <w:color w:val="231F20"/>
          <w:w w:val="105"/>
        </w:rPr>
        <w:t>obtienen medias</w:t>
      </w:r>
      <w:r>
        <w:rPr>
          <w:color w:val="231F20"/>
          <w:spacing w:val="-37"/>
          <w:w w:val="105"/>
        </w:rPr>
        <w:t> </w:t>
      </w:r>
      <w:r>
        <w:rPr>
          <w:color w:val="231F20"/>
          <w:w w:val="105"/>
        </w:rPr>
        <w:t>respuestas:</w:t>
      </w:r>
      <w:r>
        <w:rPr>
          <w:color w:val="231F20"/>
          <w:spacing w:val="-37"/>
          <w:w w:val="105"/>
        </w:rPr>
        <w:t> </w:t>
      </w:r>
      <w:r>
        <w:rPr>
          <w:color w:val="231F20"/>
          <w:w w:val="105"/>
        </w:rPr>
        <w:t>¿qué?,</w:t>
      </w:r>
      <w:r>
        <w:rPr>
          <w:color w:val="231F20"/>
          <w:spacing w:val="-40"/>
          <w:w w:val="105"/>
        </w:rPr>
        <w:t> </w:t>
      </w:r>
      <w:r>
        <w:rPr>
          <w:color w:val="231F20"/>
          <w:w w:val="105"/>
        </w:rPr>
        <w:t>¿cómo</w:t>
      </w:r>
      <w:r>
        <w:rPr>
          <w:color w:val="231F20"/>
          <w:spacing w:val="-37"/>
          <w:w w:val="105"/>
        </w:rPr>
        <w:t> </w:t>
      </w:r>
      <w:r>
        <w:rPr>
          <w:color w:val="231F20"/>
          <w:w w:val="105"/>
        </w:rPr>
        <w:t>qué</w:t>
      </w:r>
      <w:r>
        <w:rPr>
          <w:color w:val="231F20"/>
          <w:spacing w:val="-37"/>
          <w:w w:val="105"/>
        </w:rPr>
        <w:t> </w:t>
      </w:r>
      <w:r>
        <w:rPr>
          <w:color w:val="231F20"/>
          <w:w w:val="105"/>
        </w:rPr>
        <w:t>te</w:t>
      </w:r>
      <w:r>
        <w:rPr>
          <w:color w:val="231F20"/>
          <w:spacing w:val="-37"/>
          <w:w w:val="105"/>
        </w:rPr>
        <w:t> </w:t>
      </w:r>
      <w:r>
        <w:rPr>
          <w:color w:val="231F20"/>
          <w:w w:val="105"/>
        </w:rPr>
        <w:t>vas?,</w:t>
      </w:r>
      <w:r>
        <w:rPr>
          <w:color w:val="231F20"/>
          <w:spacing w:val="-40"/>
          <w:w w:val="105"/>
        </w:rPr>
        <w:t> </w:t>
      </w:r>
      <w:r>
        <w:rPr>
          <w:color w:val="231F20"/>
          <w:w w:val="105"/>
        </w:rPr>
        <w:t>¿cuándo</w:t>
      </w:r>
      <w:r>
        <w:rPr>
          <w:color w:val="231F20"/>
          <w:spacing w:val="-37"/>
          <w:w w:val="105"/>
        </w:rPr>
        <w:t> </w:t>
      </w:r>
      <w:r>
        <w:rPr>
          <w:color w:val="231F20"/>
          <w:w w:val="105"/>
        </w:rPr>
        <w:t>lo</w:t>
      </w:r>
      <w:r>
        <w:rPr>
          <w:color w:val="231F20"/>
          <w:spacing w:val="-37"/>
          <w:w w:val="105"/>
        </w:rPr>
        <w:t> </w:t>
      </w:r>
      <w:r>
        <w:rPr>
          <w:color w:val="231F20"/>
          <w:w w:val="105"/>
        </w:rPr>
        <w:t>decidiste?,</w:t>
      </w:r>
      <w:r>
        <w:rPr>
          <w:color w:val="231F20"/>
          <w:spacing w:val="-40"/>
          <w:w w:val="105"/>
        </w:rPr>
        <w:t> </w:t>
      </w:r>
      <w:r>
        <w:rPr>
          <w:color w:val="231F20"/>
          <w:w w:val="105"/>
        </w:rPr>
        <w:t>¿no me</w:t>
      </w:r>
      <w:r>
        <w:rPr>
          <w:color w:val="231F20"/>
          <w:spacing w:val="-13"/>
          <w:w w:val="105"/>
        </w:rPr>
        <w:t> </w:t>
      </w:r>
      <w:r>
        <w:rPr>
          <w:color w:val="231F20"/>
          <w:w w:val="105"/>
        </w:rPr>
        <w:t>dijiste</w:t>
      </w:r>
      <w:r>
        <w:rPr>
          <w:color w:val="231F20"/>
          <w:spacing w:val="-13"/>
          <w:w w:val="105"/>
        </w:rPr>
        <w:t> </w:t>
      </w:r>
      <w:r>
        <w:rPr>
          <w:color w:val="231F20"/>
          <w:w w:val="105"/>
        </w:rPr>
        <w:t>que</w:t>
      </w:r>
      <w:r>
        <w:rPr>
          <w:color w:val="231F20"/>
          <w:spacing w:val="-13"/>
          <w:w w:val="105"/>
        </w:rPr>
        <w:t> </w:t>
      </w:r>
      <w:r>
        <w:rPr>
          <w:color w:val="231F20"/>
          <w:w w:val="105"/>
        </w:rPr>
        <w:t>te</w:t>
      </w:r>
      <w:r>
        <w:rPr>
          <w:color w:val="231F20"/>
          <w:spacing w:val="-13"/>
          <w:w w:val="105"/>
        </w:rPr>
        <w:t> </w:t>
      </w:r>
      <w:r>
        <w:rPr>
          <w:color w:val="231F20"/>
          <w:w w:val="105"/>
        </w:rPr>
        <w:t>ibas?</w:t>
      </w:r>
    </w:p>
    <w:p>
      <w:pPr>
        <w:pStyle w:val="BodyText"/>
        <w:spacing w:line="261" w:lineRule="auto" w:before="1"/>
        <w:ind w:left="1723" w:right="1834" w:firstLine="567"/>
        <w:jc w:val="both"/>
      </w:pPr>
      <w:r>
        <w:rPr>
          <w:color w:val="231F20"/>
          <w:w w:val="105"/>
        </w:rPr>
        <w:t>De</w:t>
      </w:r>
      <w:r>
        <w:rPr>
          <w:color w:val="231F20"/>
          <w:spacing w:val="-28"/>
          <w:w w:val="105"/>
        </w:rPr>
        <w:t> </w:t>
      </w:r>
      <w:r>
        <w:rPr>
          <w:color w:val="231F20"/>
          <w:w w:val="105"/>
        </w:rPr>
        <w:t>estas</w:t>
      </w:r>
      <w:r>
        <w:rPr>
          <w:color w:val="231F20"/>
          <w:spacing w:val="-28"/>
          <w:w w:val="105"/>
        </w:rPr>
        <w:t> </w:t>
      </w:r>
      <w:r>
        <w:rPr>
          <w:color w:val="231F20"/>
          <w:w w:val="105"/>
        </w:rPr>
        <w:t>variaciones</w:t>
      </w:r>
      <w:r>
        <w:rPr>
          <w:color w:val="231F20"/>
          <w:spacing w:val="-28"/>
          <w:w w:val="105"/>
        </w:rPr>
        <w:t> </w:t>
      </w:r>
      <w:r>
        <w:rPr>
          <w:color w:val="231F20"/>
          <w:w w:val="105"/>
        </w:rPr>
        <w:t>corpo-emocionales</w:t>
      </w:r>
      <w:r>
        <w:rPr>
          <w:color w:val="231F20"/>
          <w:spacing w:val="-28"/>
          <w:w w:val="105"/>
        </w:rPr>
        <w:t> </w:t>
      </w:r>
      <w:r>
        <w:rPr>
          <w:color w:val="231F20"/>
          <w:w w:val="105"/>
        </w:rPr>
        <w:t>es</w:t>
      </w:r>
      <w:r>
        <w:rPr>
          <w:color w:val="231F20"/>
          <w:spacing w:val="-28"/>
          <w:w w:val="105"/>
        </w:rPr>
        <w:t> </w:t>
      </w:r>
      <w:r>
        <w:rPr>
          <w:color w:val="231F20"/>
          <w:w w:val="105"/>
        </w:rPr>
        <w:t>posible</w:t>
      </w:r>
      <w:r>
        <w:rPr>
          <w:color w:val="231F20"/>
          <w:spacing w:val="-28"/>
          <w:w w:val="105"/>
        </w:rPr>
        <w:t> </w:t>
      </w:r>
      <w:r>
        <w:rPr>
          <w:color w:val="231F20"/>
          <w:w w:val="105"/>
        </w:rPr>
        <w:t>deducir</w:t>
      </w:r>
      <w:r>
        <w:rPr>
          <w:color w:val="231F20"/>
          <w:spacing w:val="-28"/>
          <w:w w:val="105"/>
        </w:rPr>
        <w:t> </w:t>
      </w:r>
      <w:r>
        <w:rPr>
          <w:color w:val="231F20"/>
          <w:w w:val="105"/>
        </w:rPr>
        <w:t>la</w:t>
      </w:r>
      <w:r>
        <w:rPr>
          <w:color w:val="231F20"/>
          <w:spacing w:val="-28"/>
          <w:w w:val="105"/>
        </w:rPr>
        <w:t> </w:t>
      </w:r>
      <w:r>
        <w:rPr>
          <w:color w:val="231F20"/>
          <w:w w:val="105"/>
        </w:rPr>
        <w:t>poca atención</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w w:val="105"/>
        </w:rPr>
        <w:t>cuidado</w:t>
      </w:r>
      <w:r>
        <w:rPr>
          <w:color w:val="231F20"/>
          <w:spacing w:val="-6"/>
          <w:w w:val="105"/>
        </w:rPr>
        <w:t> </w:t>
      </w:r>
      <w:r>
        <w:rPr>
          <w:color w:val="231F20"/>
          <w:w w:val="105"/>
        </w:rPr>
        <w:t>del</w:t>
      </w:r>
      <w:r>
        <w:rPr>
          <w:color w:val="231F20"/>
          <w:spacing w:val="-6"/>
          <w:w w:val="105"/>
        </w:rPr>
        <w:t> </w:t>
      </w:r>
      <w:r>
        <w:rPr>
          <w:color w:val="231F20"/>
          <w:w w:val="105"/>
        </w:rPr>
        <w:t>cuerpo</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arreglo</w:t>
      </w:r>
      <w:r>
        <w:rPr>
          <w:color w:val="231F20"/>
          <w:spacing w:val="-6"/>
          <w:w w:val="105"/>
        </w:rPr>
        <w:t> </w:t>
      </w:r>
      <w:r>
        <w:rPr>
          <w:color w:val="231F20"/>
          <w:w w:val="105"/>
        </w:rPr>
        <w:t>personal.</w:t>
      </w:r>
      <w:r>
        <w:rPr>
          <w:color w:val="231F20"/>
          <w:spacing w:val="-12"/>
          <w:w w:val="105"/>
        </w:rPr>
        <w:t> </w:t>
      </w:r>
      <w:r>
        <w:rPr>
          <w:color w:val="231F20"/>
          <w:w w:val="105"/>
        </w:rPr>
        <w:t>En</w:t>
      </w:r>
      <w:r>
        <w:rPr>
          <w:color w:val="231F20"/>
          <w:spacing w:val="-6"/>
          <w:w w:val="105"/>
        </w:rPr>
        <w:t> </w:t>
      </w:r>
      <w:r>
        <w:rPr>
          <w:color w:val="231F20"/>
          <w:w w:val="105"/>
        </w:rPr>
        <w:t>cada</w:t>
      </w:r>
      <w:r>
        <w:rPr>
          <w:color w:val="231F20"/>
          <w:spacing w:val="-6"/>
          <w:w w:val="105"/>
        </w:rPr>
        <w:t> </w:t>
      </w:r>
      <w:r>
        <w:rPr>
          <w:color w:val="231F20"/>
          <w:w w:val="105"/>
        </w:rPr>
        <w:t>ida,</w:t>
      </w:r>
      <w:r>
        <w:rPr>
          <w:color w:val="231F20"/>
          <w:spacing w:val="-12"/>
          <w:w w:val="105"/>
        </w:rPr>
        <w:t> </w:t>
      </w:r>
      <w:r>
        <w:rPr>
          <w:color w:val="231F20"/>
          <w:w w:val="105"/>
        </w:rPr>
        <w:t>la</w:t>
      </w:r>
    </w:p>
    <w:p>
      <w:pPr>
        <w:pStyle w:val="BodyText"/>
        <w:rPr>
          <w:sz w:val="20"/>
        </w:rPr>
      </w:pPr>
    </w:p>
    <w:p>
      <w:pPr>
        <w:pStyle w:val="BodyText"/>
        <w:rPr>
          <w:sz w:val="20"/>
        </w:rPr>
      </w:pPr>
    </w:p>
    <w:p>
      <w:pPr>
        <w:pStyle w:val="BodyText"/>
        <w:spacing w:before="3"/>
        <w:rPr>
          <w:sz w:val="19"/>
        </w:rPr>
      </w:pPr>
    </w:p>
    <w:p>
      <w:pPr>
        <w:tabs>
          <w:tab w:pos="2937" w:val="left" w:leader="none"/>
        </w:tabs>
        <w:spacing w:before="0"/>
        <w:ind w:left="1832" w:right="0" w:firstLine="0"/>
        <w:jc w:val="left"/>
        <w:rPr>
          <w:rFonts w:ascii="Calibri" w:hAnsi="Calibri"/>
          <w:sz w:val="15"/>
        </w:rPr>
      </w:pPr>
      <w:r>
        <w:rPr/>
        <w:pict>
          <v:line style="position:absolute;mso-position-horizontal-relative:page;mso-position-vertical-relative:paragraph;z-index:-442312" from="131.551193pt,.203715pt" to="131.551193pt,36.006114pt" stroked="true" strokeweight=".35pt" strokecolor="#231f20">
            <w10:wrap type="none"/>
          </v:line>
        </w:pict>
      </w:r>
      <w:r>
        <w:rPr/>
        <w:pict>
          <v:line style="position:absolute;mso-position-horizontal-relative:page;mso-position-vertical-relative:paragraph;z-index:-442240" from="15pt,36.005917pt" to="0pt,36.005917pt" stroked="true" strokeweight=".25pt" strokecolor="#000000">
            <w10:wrap type="none"/>
          </v:line>
        </w:pict>
      </w:r>
      <w:r>
        <w:rPr/>
        <w:pict>
          <v:line style="position:absolute;mso-position-horizontal-relative:page;mso-position-vertical-relative:paragraph;z-index:47968" from="508.890015pt,36.005917pt" to="523.890015pt,36.005917pt" stroked="true" strokeweight=".25pt" strokecolor="#000000">
            <w10:wrap type="none"/>
          </v:line>
        </w:pict>
      </w:r>
      <w:r>
        <w:rPr>
          <w:rFonts w:ascii="Arial" w:hAnsi="Arial"/>
          <w:color w:val="414042"/>
          <w:w w:val="105"/>
          <w:position w:val="-5"/>
          <w:sz w:val="20"/>
        </w:rPr>
        <w:t>414</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799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8016" from="15pt,-28.286539pt" to="0pt,-28.286539pt" stroked="true" strokeweight=".25pt" strokecolor="#000000">
            <w10:wrap type="none"/>
          </v:line>
        </w:pict>
      </w:r>
      <w:r>
        <w:rPr/>
        <w:pict>
          <v:line style="position:absolute;mso-position-horizontal-relative:page;mso-position-vertical-relative:paragraph;z-index:48040" from="508.890015pt,-28.286539pt" to="523.890015pt,-28.286539pt" stroked="true" strokeweight=".25pt" strokecolor="#000000">
            <w10:wrap type="none"/>
          </v:line>
        </w:pict>
      </w:r>
      <w:r>
        <w:rPr>
          <w:rFonts w:ascii="Arial"/>
          <w:color w:val="414042"/>
          <w:sz w:val="20"/>
        </w:rPr>
        <w:t>415</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1"/>
        <w:jc w:val="both"/>
      </w:pPr>
      <w:r>
        <w:rPr>
          <w:color w:val="231F20"/>
        </w:rPr>
        <w:t>mujer queda al cuidado de la honra del hombre al evitar habladurías o chismes. Se enaltece la creencia de que los cuerpos de las mujeres sólo pueden ser expuestos a los ojos del esposo, eso implica no usar ropas pegadas al cuerpo, colores llamativos o ciertos modelos (con escote o faldas cortas). Las mujeres pueden no seguir esos lineamientos masculi- nos, sin embargo, las consecuencias siempre se extienden a ambos con- yugues, socialmente ella es mal juzgada y pasa de boca en boca median- te los chismes y habladurías. Las respuestas de ellas van desde el poco interés por el arreglo del cuerpo,  “andar en pants” y espaciar las salidas   a eventos sociales o lugares públicos. Haciendo común la idea del “para que me arreglo si nadie me </w:t>
      </w:r>
      <w:r>
        <w:rPr>
          <w:color w:val="231F20"/>
          <w:spacing w:val="-7"/>
        </w:rPr>
        <w:t>ve”, </w:t>
      </w:r>
      <w:r>
        <w:rPr>
          <w:color w:val="231F20"/>
        </w:rPr>
        <w:t>podemos observar como aún es vigente  la idea del esposo como un  </w:t>
      </w:r>
      <w:r>
        <w:rPr>
          <w:color w:val="231F20"/>
          <w:spacing w:val="13"/>
        </w:rPr>
        <w:t> </w:t>
      </w:r>
      <w:r>
        <w:rPr>
          <w:color w:val="231F20"/>
        </w:rPr>
        <w:t>todo.</w:t>
      </w:r>
    </w:p>
    <w:p>
      <w:pPr>
        <w:pStyle w:val="BodyText"/>
        <w:spacing w:line="261" w:lineRule="auto" w:before="1"/>
        <w:ind w:left="1837" w:right="1715" w:firstLine="567"/>
        <w:jc w:val="both"/>
      </w:pPr>
      <w:r>
        <w:rPr>
          <w:color w:val="231F20"/>
          <w:w w:val="105"/>
        </w:rPr>
        <w:t>Los</w:t>
      </w:r>
      <w:r>
        <w:rPr>
          <w:color w:val="231F20"/>
          <w:spacing w:val="-20"/>
          <w:w w:val="105"/>
        </w:rPr>
        <w:t> </w:t>
      </w:r>
      <w:r>
        <w:rPr>
          <w:color w:val="231F20"/>
          <w:w w:val="105"/>
        </w:rPr>
        <w:t>cuerpos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hijos</w:t>
      </w:r>
      <w:r>
        <w:rPr>
          <w:color w:val="231F20"/>
          <w:spacing w:val="-20"/>
          <w:w w:val="105"/>
        </w:rPr>
        <w:t> </w:t>
      </w:r>
      <w:r>
        <w:rPr>
          <w:color w:val="231F20"/>
          <w:w w:val="105"/>
        </w:rPr>
        <w:t>e</w:t>
      </w:r>
      <w:r>
        <w:rPr>
          <w:color w:val="231F20"/>
          <w:spacing w:val="-20"/>
          <w:w w:val="105"/>
        </w:rPr>
        <w:t> </w:t>
      </w:r>
      <w:r>
        <w:rPr>
          <w:color w:val="231F20"/>
          <w:w w:val="105"/>
        </w:rPr>
        <w:t>hijas</w:t>
      </w:r>
      <w:r>
        <w:rPr>
          <w:color w:val="231F20"/>
          <w:spacing w:val="-20"/>
          <w:w w:val="105"/>
        </w:rPr>
        <w:t> </w:t>
      </w:r>
      <w:r>
        <w:rPr>
          <w:color w:val="231F20"/>
          <w:w w:val="105"/>
        </w:rPr>
        <w:t>son</w:t>
      </w:r>
      <w:r>
        <w:rPr>
          <w:color w:val="231F20"/>
          <w:spacing w:val="-20"/>
          <w:w w:val="105"/>
        </w:rPr>
        <w:t> </w:t>
      </w:r>
      <w:r>
        <w:rPr>
          <w:color w:val="231F20"/>
          <w:w w:val="105"/>
        </w:rPr>
        <w:t>todavía</w:t>
      </w:r>
      <w:r>
        <w:rPr>
          <w:color w:val="231F20"/>
          <w:spacing w:val="-20"/>
          <w:w w:val="105"/>
        </w:rPr>
        <w:t> </w:t>
      </w:r>
      <w:r>
        <w:rPr>
          <w:color w:val="231F20"/>
          <w:w w:val="105"/>
        </w:rPr>
        <w:t>los</w:t>
      </w:r>
      <w:r>
        <w:rPr>
          <w:color w:val="231F20"/>
          <w:spacing w:val="-20"/>
          <w:w w:val="105"/>
        </w:rPr>
        <w:t> </w:t>
      </w:r>
      <w:r>
        <w:rPr>
          <w:color w:val="231F20"/>
          <w:w w:val="105"/>
        </w:rPr>
        <w:t>más</w:t>
      </w:r>
      <w:r>
        <w:rPr>
          <w:color w:val="231F20"/>
          <w:spacing w:val="-20"/>
          <w:w w:val="105"/>
        </w:rPr>
        <w:t> </w:t>
      </w:r>
      <w:r>
        <w:rPr>
          <w:color w:val="231F20"/>
          <w:w w:val="105"/>
        </w:rPr>
        <w:t>débiles,</w:t>
      </w:r>
      <w:r>
        <w:rPr>
          <w:color w:val="231F20"/>
          <w:spacing w:val="-25"/>
          <w:w w:val="105"/>
        </w:rPr>
        <w:t> </w:t>
      </w:r>
      <w:r>
        <w:rPr>
          <w:color w:val="231F20"/>
          <w:w w:val="105"/>
        </w:rPr>
        <w:t>suelen enfermarse,</w:t>
      </w:r>
      <w:r>
        <w:rPr>
          <w:color w:val="231F20"/>
          <w:spacing w:val="-3"/>
          <w:w w:val="105"/>
        </w:rPr>
        <w:t> </w:t>
      </w:r>
      <w:r>
        <w:rPr>
          <w:color w:val="231F20"/>
          <w:w w:val="105"/>
        </w:rPr>
        <w:t>recaer</w:t>
      </w:r>
      <w:r>
        <w:rPr>
          <w:color w:val="231F20"/>
          <w:spacing w:val="-29"/>
          <w:w w:val="105"/>
        </w:rPr>
        <w:t> </w:t>
      </w:r>
      <w:r>
        <w:rPr>
          <w:color w:val="231F20"/>
          <w:w w:val="105"/>
        </w:rPr>
        <w:t>o</w:t>
      </w:r>
      <w:r>
        <w:rPr>
          <w:color w:val="231F20"/>
          <w:spacing w:val="-29"/>
          <w:w w:val="105"/>
        </w:rPr>
        <w:t> </w:t>
      </w:r>
      <w:r>
        <w:rPr>
          <w:color w:val="231F20"/>
          <w:w w:val="105"/>
        </w:rPr>
        <w:t>sufrir</w:t>
      </w:r>
      <w:r>
        <w:rPr>
          <w:color w:val="231F20"/>
          <w:spacing w:val="-29"/>
          <w:w w:val="105"/>
        </w:rPr>
        <w:t> </w:t>
      </w:r>
      <w:r>
        <w:rPr>
          <w:color w:val="231F20"/>
          <w:w w:val="105"/>
        </w:rPr>
        <w:t>accidentes:</w:t>
      </w:r>
      <w:r>
        <w:rPr>
          <w:color w:val="231F20"/>
          <w:spacing w:val="-29"/>
          <w:w w:val="105"/>
        </w:rPr>
        <w:t> </w:t>
      </w:r>
      <w:r>
        <w:rPr>
          <w:color w:val="231F20"/>
          <w:w w:val="105"/>
        </w:rPr>
        <w:t>tirarse</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azotea,</w:t>
      </w:r>
      <w:r>
        <w:rPr>
          <w:color w:val="231F20"/>
          <w:spacing w:val="-34"/>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bicicleta, de</w:t>
      </w:r>
      <w:r>
        <w:rPr>
          <w:color w:val="231F20"/>
          <w:spacing w:val="-29"/>
          <w:w w:val="105"/>
        </w:rPr>
        <w:t> </w:t>
      </w:r>
      <w:r>
        <w:rPr>
          <w:color w:val="231F20"/>
          <w:w w:val="105"/>
        </w:rPr>
        <w:t>las</w:t>
      </w:r>
      <w:r>
        <w:rPr>
          <w:color w:val="231F20"/>
          <w:spacing w:val="-29"/>
          <w:w w:val="105"/>
        </w:rPr>
        <w:t> </w:t>
      </w:r>
      <w:r>
        <w:rPr>
          <w:color w:val="231F20"/>
          <w:w w:val="105"/>
        </w:rPr>
        <w:t>escaleras</w:t>
      </w:r>
      <w:r>
        <w:rPr>
          <w:color w:val="231F20"/>
          <w:spacing w:val="-29"/>
          <w:w w:val="105"/>
        </w:rPr>
        <w:t> </w:t>
      </w:r>
      <w:r>
        <w:rPr>
          <w:color w:val="231F20"/>
          <w:w w:val="105"/>
        </w:rPr>
        <w:t>o</w:t>
      </w:r>
      <w:r>
        <w:rPr>
          <w:color w:val="231F20"/>
          <w:spacing w:val="-29"/>
          <w:w w:val="105"/>
        </w:rPr>
        <w:t> </w:t>
      </w:r>
      <w:r>
        <w:rPr>
          <w:color w:val="231F20"/>
          <w:w w:val="105"/>
        </w:rPr>
        <w:t>pelear</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escuela,</w:t>
      </w:r>
      <w:r>
        <w:rPr>
          <w:color w:val="231F20"/>
          <w:spacing w:val="-34"/>
          <w:w w:val="105"/>
        </w:rPr>
        <w:t> </w:t>
      </w:r>
      <w:r>
        <w:rPr>
          <w:color w:val="231F20"/>
          <w:w w:val="105"/>
        </w:rPr>
        <w:t>conductas</w:t>
      </w:r>
      <w:r>
        <w:rPr>
          <w:color w:val="231F20"/>
          <w:spacing w:val="-29"/>
          <w:w w:val="105"/>
        </w:rPr>
        <w:t> </w:t>
      </w:r>
      <w:r>
        <w:rPr>
          <w:color w:val="231F20"/>
          <w:w w:val="105"/>
        </w:rPr>
        <w:t>no</w:t>
      </w:r>
      <w:r>
        <w:rPr>
          <w:color w:val="231F20"/>
          <w:spacing w:val="-29"/>
          <w:w w:val="105"/>
        </w:rPr>
        <w:t> </w:t>
      </w:r>
      <w:r>
        <w:rPr>
          <w:color w:val="231F20"/>
          <w:w w:val="105"/>
        </w:rPr>
        <w:t>deseadas</w:t>
      </w:r>
      <w:r>
        <w:rPr>
          <w:color w:val="231F20"/>
          <w:spacing w:val="1"/>
          <w:w w:val="105"/>
        </w:rPr>
        <w:t> </w:t>
      </w:r>
      <w:r>
        <w:rPr>
          <w:color w:val="231F20"/>
          <w:w w:val="105"/>
        </w:rPr>
        <w:t>que</w:t>
      </w:r>
      <w:r>
        <w:rPr>
          <w:color w:val="231F20"/>
          <w:spacing w:val="-29"/>
          <w:w w:val="105"/>
        </w:rPr>
        <w:t> </w:t>
      </w:r>
      <w:r>
        <w:rPr>
          <w:color w:val="231F20"/>
          <w:w w:val="105"/>
        </w:rPr>
        <w:t>al</w:t>
      </w:r>
      <w:r>
        <w:rPr>
          <w:color w:val="231F20"/>
          <w:spacing w:val="-29"/>
          <w:w w:val="105"/>
        </w:rPr>
        <w:t> </w:t>
      </w:r>
      <w:r>
        <w:rPr>
          <w:color w:val="231F20"/>
          <w:w w:val="105"/>
        </w:rPr>
        <w:t>ser escuchadas</w:t>
      </w:r>
      <w:r>
        <w:rPr>
          <w:color w:val="231F20"/>
          <w:spacing w:val="-19"/>
          <w:w w:val="105"/>
        </w:rPr>
        <w:t> </w:t>
      </w:r>
      <w:r>
        <w:rPr>
          <w:color w:val="231F20"/>
          <w:w w:val="105"/>
        </w:rPr>
        <w:t>por</w:t>
      </w:r>
      <w:r>
        <w:rPr>
          <w:color w:val="231F20"/>
          <w:spacing w:val="-19"/>
          <w:w w:val="105"/>
        </w:rPr>
        <w:t> </w:t>
      </w:r>
      <w:r>
        <w:rPr>
          <w:color w:val="231F20"/>
          <w:w w:val="105"/>
        </w:rPr>
        <w:t>el</w:t>
      </w:r>
      <w:r>
        <w:rPr>
          <w:color w:val="231F20"/>
          <w:spacing w:val="-19"/>
          <w:w w:val="105"/>
        </w:rPr>
        <w:t> </w:t>
      </w:r>
      <w:r>
        <w:rPr>
          <w:color w:val="231F20"/>
          <w:w w:val="105"/>
        </w:rPr>
        <w:t>migrante,</w:t>
      </w:r>
      <w:r>
        <w:rPr>
          <w:color w:val="231F20"/>
          <w:spacing w:val="-24"/>
          <w:w w:val="105"/>
        </w:rPr>
        <w:t> </w:t>
      </w:r>
      <w:r>
        <w:rPr>
          <w:color w:val="231F20"/>
          <w:w w:val="105"/>
        </w:rPr>
        <w:t>ya</w:t>
      </w:r>
      <w:r>
        <w:rPr>
          <w:color w:val="231F20"/>
          <w:spacing w:val="-19"/>
          <w:w w:val="105"/>
        </w:rPr>
        <w:t> </w:t>
      </w:r>
      <w:r>
        <w:rPr>
          <w:color w:val="231F20"/>
          <w:w w:val="105"/>
        </w:rPr>
        <w:t>en</w:t>
      </w:r>
      <w:r>
        <w:rPr>
          <w:color w:val="231F20"/>
          <w:spacing w:val="18"/>
          <w:w w:val="105"/>
        </w:rPr>
        <w:t> </w:t>
      </w:r>
      <w:r>
        <w:rPr>
          <w:color w:val="231F20"/>
          <w:spacing w:val="-4"/>
          <w:w w:val="105"/>
        </w:rPr>
        <w:t>Texas,</w:t>
      </w:r>
      <w:r>
        <w:rPr>
          <w:color w:val="231F20"/>
          <w:spacing w:val="-24"/>
          <w:w w:val="105"/>
        </w:rPr>
        <w:t> </w:t>
      </w:r>
      <w:r>
        <w:rPr>
          <w:color w:val="231F20"/>
          <w:w w:val="105"/>
        </w:rPr>
        <w:t>le</w:t>
      </w:r>
      <w:r>
        <w:rPr>
          <w:color w:val="231F20"/>
          <w:spacing w:val="-19"/>
          <w:w w:val="105"/>
        </w:rPr>
        <w:t> </w:t>
      </w:r>
      <w:r>
        <w:rPr>
          <w:color w:val="231F20"/>
          <w:w w:val="105"/>
        </w:rPr>
        <w:t>producen</w:t>
      </w:r>
      <w:r>
        <w:rPr>
          <w:color w:val="231F20"/>
          <w:spacing w:val="-19"/>
          <w:w w:val="105"/>
        </w:rPr>
        <w:t> </w:t>
      </w:r>
      <w:r>
        <w:rPr>
          <w:color w:val="231F20"/>
          <w:w w:val="105"/>
        </w:rPr>
        <w:t>culpa.</w:t>
      </w:r>
    </w:p>
    <w:p>
      <w:pPr>
        <w:pStyle w:val="BodyText"/>
        <w:spacing w:line="261" w:lineRule="auto" w:before="1"/>
        <w:ind w:left="1837" w:right="1721" w:firstLine="567"/>
        <w:jc w:val="both"/>
      </w:pPr>
      <w:r>
        <w:rPr>
          <w:color w:val="231F20"/>
          <w:w w:val="105"/>
        </w:rPr>
        <w:t>Es decir, provocan arrepentimiento y no estar </w:t>
      </w:r>
      <w:r>
        <w:rPr>
          <w:color w:val="231F20"/>
          <w:spacing w:val="-3"/>
          <w:w w:val="105"/>
        </w:rPr>
        <w:t>“tranquilo”. </w:t>
      </w:r>
      <w:r>
        <w:rPr>
          <w:color w:val="231F20"/>
          <w:w w:val="105"/>
        </w:rPr>
        <w:t>En este orden, parece que lo más efectivo para evitar que los padres reinicien en la migración es que los niños soliciten que los padres estén juntos y no</w:t>
      </w:r>
      <w:r>
        <w:rPr>
          <w:color w:val="231F20"/>
          <w:spacing w:val="-24"/>
          <w:w w:val="105"/>
        </w:rPr>
        <w:t> </w:t>
      </w:r>
      <w:r>
        <w:rPr>
          <w:color w:val="231F20"/>
          <w:w w:val="105"/>
        </w:rPr>
        <w:t>separados.</w:t>
      </w:r>
      <w:r>
        <w:rPr>
          <w:color w:val="231F20"/>
          <w:spacing w:val="-28"/>
          <w:w w:val="105"/>
        </w:rPr>
        <w:t> </w:t>
      </w:r>
      <w:r>
        <w:rPr>
          <w:color w:val="231F20"/>
          <w:w w:val="105"/>
        </w:rPr>
        <w:t>Ciertas</w:t>
      </w:r>
      <w:r>
        <w:rPr>
          <w:color w:val="231F20"/>
          <w:spacing w:val="-24"/>
          <w:w w:val="105"/>
        </w:rPr>
        <w:t> </w:t>
      </w:r>
      <w:r>
        <w:rPr>
          <w:color w:val="231F20"/>
          <w:w w:val="105"/>
        </w:rPr>
        <w:t>veces,</w:t>
      </w:r>
      <w:r>
        <w:rPr>
          <w:color w:val="231F20"/>
          <w:spacing w:val="-28"/>
          <w:w w:val="105"/>
        </w:rPr>
        <w:t> </w:t>
      </w:r>
      <w:r>
        <w:rPr>
          <w:color w:val="231F20"/>
          <w:w w:val="105"/>
        </w:rPr>
        <w:t>las</w:t>
      </w:r>
      <w:r>
        <w:rPr>
          <w:color w:val="231F20"/>
          <w:spacing w:val="-24"/>
          <w:w w:val="105"/>
        </w:rPr>
        <w:t> </w:t>
      </w:r>
      <w:r>
        <w:rPr>
          <w:color w:val="231F20"/>
          <w:w w:val="105"/>
        </w:rPr>
        <w:t>enfermedades</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niños</w:t>
      </w:r>
      <w:r>
        <w:rPr>
          <w:color w:val="231F20"/>
          <w:spacing w:val="-24"/>
          <w:w w:val="105"/>
        </w:rPr>
        <w:t> </w:t>
      </w:r>
      <w:r>
        <w:rPr>
          <w:color w:val="231F20"/>
          <w:w w:val="105"/>
        </w:rPr>
        <w:t>son</w:t>
      </w:r>
      <w:r>
        <w:rPr>
          <w:color w:val="231F20"/>
          <w:spacing w:val="-24"/>
          <w:w w:val="105"/>
        </w:rPr>
        <w:t> </w:t>
      </w:r>
      <w:r>
        <w:rPr>
          <w:color w:val="231F20"/>
          <w:w w:val="105"/>
        </w:rPr>
        <w:t>un</w:t>
      </w:r>
      <w:r>
        <w:rPr>
          <w:color w:val="231F20"/>
          <w:spacing w:val="-24"/>
          <w:w w:val="105"/>
        </w:rPr>
        <w:t> </w:t>
      </w:r>
      <w:r>
        <w:rPr>
          <w:color w:val="231F20"/>
          <w:w w:val="105"/>
        </w:rPr>
        <w:t>argu- mento</w:t>
      </w:r>
      <w:r>
        <w:rPr>
          <w:color w:val="231F20"/>
          <w:spacing w:val="-13"/>
          <w:w w:val="105"/>
        </w:rPr>
        <w:t> </w:t>
      </w:r>
      <w:r>
        <w:rPr>
          <w:color w:val="231F20"/>
          <w:w w:val="105"/>
        </w:rPr>
        <w:t>para</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mujeres</w:t>
      </w:r>
      <w:r>
        <w:rPr>
          <w:color w:val="231F20"/>
          <w:spacing w:val="-13"/>
          <w:w w:val="105"/>
        </w:rPr>
        <w:t> </w:t>
      </w:r>
      <w:r>
        <w:rPr>
          <w:color w:val="231F20"/>
          <w:w w:val="105"/>
        </w:rPr>
        <w:t>también</w:t>
      </w:r>
      <w:r>
        <w:rPr>
          <w:color w:val="231F20"/>
          <w:spacing w:val="-13"/>
          <w:w w:val="105"/>
        </w:rPr>
        <w:t> </w:t>
      </w:r>
      <w:r>
        <w:rPr>
          <w:color w:val="231F20"/>
          <w:w w:val="105"/>
        </w:rPr>
        <w:t>soliciten</w:t>
      </w:r>
      <w:r>
        <w:rPr>
          <w:color w:val="231F20"/>
          <w:spacing w:val="-13"/>
          <w:w w:val="105"/>
        </w:rPr>
        <w:t> </w:t>
      </w:r>
      <w:r>
        <w:rPr>
          <w:color w:val="231F20"/>
          <w:w w:val="105"/>
        </w:rPr>
        <w:t>el</w:t>
      </w:r>
      <w:r>
        <w:rPr>
          <w:color w:val="231F20"/>
          <w:spacing w:val="-13"/>
          <w:w w:val="105"/>
        </w:rPr>
        <w:t> </w:t>
      </w:r>
      <w:r>
        <w:rPr>
          <w:color w:val="231F20"/>
          <w:w w:val="105"/>
        </w:rPr>
        <w:t>regreso</w:t>
      </w:r>
      <w:r>
        <w:rPr>
          <w:color w:val="231F20"/>
          <w:spacing w:val="-13"/>
          <w:w w:val="105"/>
        </w:rPr>
        <w:t> </w:t>
      </w:r>
      <w:r>
        <w:rPr>
          <w:color w:val="231F20"/>
          <w:w w:val="105"/>
        </w:rPr>
        <w:t>del</w:t>
      </w:r>
      <w:r>
        <w:rPr>
          <w:color w:val="231F20"/>
          <w:spacing w:val="-13"/>
          <w:w w:val="105"/>
        </w:rPr>
        <w:t> </w:t>
      </w:r>
      <w:r>
        <w:rPr>
          <w:color w:val="231F20"/>
          <w:w w:val="105"/>
        </w:rPr>
        <w:t>esposo.</w:t>
      </w:r>
    </w:p>
    <w:p>
      <w:pPr>
        <w:pStyle w:val="BodyText"/>
        <w:spacing w:line="261" w:lineRule="auto" w:before="1"/>
        <w:ind w:left="1837" w:right="1720" w:firstLine="567"/>
        <w:jc w:val="both"/>
      </w:pPr>
      <w:r>
        <w:rPr>
          <w:color w:val="231F20"/>
          <w:w w:val="105"/>
        </w:rPr>
        <w:t>En suma, lo que podemos decir es que quizás ambos conyugues tienen asuntos emocionales que no resolvieron en su propia historia y por</w:t>
      </w:r>
      <w:r>
        <w:rPr>
          <w:color w:val="231F20"/>
          <w:spacing w:val="-23"/>
          <w:w w:val="105"/>
        </w:rPr>
        <w:t> </w:t>
      </w:r>
      <w:r>
        <w:rPr>
          <w:color w:val="231F20"/>
          <w:w w:val="105"/>
        </w:rPr>
        <w:t>ello</w:t>
      </w:r>
      <w:r>
        <w:rPr>
          <w:color w:val="231F20"/>
          <w:spacing w:val="-23"/>
          <w:w w:val="105"/>
        </w:rPr>
        <w:t> </w:t>
      </w:r>
      <w:r>
        <w:rPr>
          <w:color w:val="231F20"/>
          <w:w w:val="105"/>
        </w:rPr>
        <w:t>es</w:t>
      </w:r>
      <w:r>
        <w:rPr>
          <w:color w:val="231F20"/>
          <w:spacing w:val="-23"/>
          <w:w w:val="105"/>
        </w:rPr>
        <w:t> </w:t>
      </w:r>
      <w:r>
        <w:rPr>
          <w:color w:val="231F20"/>
          <w:w w:val="105"/>
        </w:rPr>
        <w:t>tan</w:t>
      </w:r>
      <w:r>
        <w:rPr>
          <w:color w:val="231F20"/>
          <w:spacing w:val="-23"/>
          <w:w w:val="105"/>
        </w:rPr>
        <w:t> </w:t>
      </w:r>
      <w:r>
        <w:rPr>
          <w:color w:val="231F20"/>
          <w:w w:val="105"/>
        </w:rPr>
        <w:t>dolorosa</w:t>
      </w:r>
      <w:r>
        <w:rPr>
          <w:color w:val="231F20"/>
          <w:spacing w:val="-23"/>
          <w:w w:val="105"/>
        </w:rPr>
        <w:t> </w:t>
      </w:r>
      <w:r>
        <w:rPr>
          <w:color w:val="231F20"/>
          <w:w w:val="105"/>
        </w:rPr>
        <w:t>la</w:t>
      </w:r>
      <w:r>
        <w:rPr>
          <w:color w:val="231F20"/>
          <w:spacing w:val="-23"/>
          <w:w w:val="105"/>
        </w:rPr>
        <w:t> </w:t>
      </w:r>
      <w:r>
        <w:rPr>
          <w:color w:val="231F20"/>
          <w:w w:val="105"/>
        </w:rPr>
        <w:t>ausencia</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hombres.</w:t>
      </w:r>
      <w:r>
        <w:rPr>
          <w:color w:val="231F20"/>
          <w:spacing w:val="-29"/>
          <w:w w:val="105"/>
        </w:rPr>
        <w:t> </w:t>
      </w:r>
      <w:r>
        <w:rPr>
          <w:color w:val="231F20"/>
          <w:w w:val="105"/>
        </w:rPr>
        <w:t>Son</w:t>
      </w:r>
      <w:r>
        <w:rPr>
          <w:color w:val="231F20"/>
          <w:spacing w:val="-23"/>
          <w:w w:val="105"/>
        </w:rPr>
        <w:t> </w:t>
      </w:r>
      <w:r>
        <w:rPr>
          <w:color w:val="231F20"/>
          <w:w w:val="105"/>
        </w:rPr>
        <w:t>muy</w:t>
      </w:r>
      <w:r>
        <w:rPr>
          <w:color w:val="231F20"/>
          <w:spacing w:val="-23"/>
          <w:w w:val="105"/>
        </w:rPr>
        <w:t> </w:t>
      </w:r>
      <w:r>
        <w:rPr>
          <w:color w:val="231F20"/>
          <w:w w:val="105"/>
        </w:rPr>
        <w:t>pocas</w:t>
      </w:r>
      <w:r>
        <w:rPr>
          <w:color w:val="231F20"/>
          <w:spacing w:val="-23"/>
          <w:w w:val="105"/>
        </w:rPr>
        <w:t> </w:t>
      </w:r>
      <w:r>
        <w:rPr>
          <w:color w:val="231F20"/>
          <w:w w:val="105"/>
        </w:rPr>
        <w:t>(dos) las</w:t>
      </w:r>
      <w:r>
        <w:rPr>
          <w:color w:val="231F20"/>
          <w:spacing w:val="-21"/>
          <w:w w:val="105"/>
        </w:rPr>
        <w:t> </w:t>
      </w:r>
      <w:r>
        <w:rPr>
          <w:color w:val="231F20"/>
          <w:w w:val="105"/>
        </w:rPr>
        <w:t>mujeres</w:t>
      </w:r>
      <w:r>
        <w:rPr>
          <w:color w:val="231F20"/>
          <w:spacing w:val="-21"/>
          <w:w w:val="105"/>
        </w:rPr>
        <w:t> </w:t>
      </w:r>
      <w:r>
        <w:rPr>
          <w:color w:val="231F20"/>
          <w:w w:val="105"/>
        </w:rPr>
        <w:t>en</w:t>
      </w:r>
      <w:r>
        <w:rPr>
          <w:color w:val="231F20"/>
          <w:spacing w:val="-21"/>
          <w:w w:val="105"/>
        </w:rPr>
        <w:t> </w:t>
      </w:r>
      <w:r>
        <w:rPr>
          <w:color w:val="231F20"/>
          <w:w w:val="105"/>
        </w:rPr>
        <w:t>cuya</w:t>
      </w:r>
      <w:r>
        <w:rPr>
          <w:color w:val="231F20"/>
          <w:spacing w:val="-21"/>
          <w:w w:val="105"/>
        </w:rPr>
        <w:t> </w:t>
      </w:r>
      <w:r>
        <w:rPr>
          <w:color w:val="231F20"/>
          <w:w w:val="105"/>
        </w:rPr>
        <w:t>historia</w:t>
      </w:r>
      <w:r>
        <w:rPr>
          <w:color w:val="231F20"/>
          <w:spacing w:val="-21"/>
          <w:w w:val="105"/>
        </w:rPr>
        <w:t> </w:t>
      </w:r>
      <w:r>
        <w:rPr>
          <w:color w:val="231F20"/>
          <w:w w:val="105"/>
        </w:rPr>
        <w:t>familiar</w:t>
      </w:r>
      <w:r>
        <w:rPr>
          <w:color w:val="231F20"/>
          <w:spacing w:val="-21"/>
          <w:w w:val="105"/>
        </w:rPr>
        <w:t> </w:t>
      </w:r>
      <w:r>
        <w:rPr>
          <w:color w:val="231F20"/>
          <w:w w:val="105"/>
        </w:rPr>
        <w:t>los</w:t>
      </w:r>
      <w:r>
        <w:rPr>
          <w:color w:val="231F20"/>
          <w:spacing w:val="-21"/>
          <w:w w:val="105"/>
        </w:rPr>
        <w:t> </w:t>
      </w:r>
      <w:r>
        <w:rPr>
          <w:color w:val="231F20"/>
          <w:w w:val="105"/>
        </w:rPr>
        <w:t>padres</w:t>
      </w:r>
      <w:r>
        <w:rPr>
          <w:color w:val="231F20"/>
          <w:spacing w:val="-21"/>
          <w:w w:val="105"/>
        </w:rPr>
        <w:t> </w:t>
      </w:r>
      <w:r>
        <w:rPr>
          <w:color w:val="231F20"/>
          <w:w w:val="105"/>
        </w:rPr>
        <w:t>son</w:t>
      </w:r>
      <w:r>
        <w:rPr>
          <w:color w:val="231F20"/>
          <w:spacing w:val="-21"/>
          <w:w w:val="105"/>
        </w:rPr>
        <w:t> </w:t>
      </w:r>
      <w:r>
        <w:rPr>
          <w:color w:val="231F20"/>
          <w:w w:val="105"/>
        </w:rPr>
        <w:t>migrantes,</w:t>
      </w:r>
      <w:r>
        <w:rPr>
          <w:color w:val="231F20"/>
          <w:spacing w:val="-26"/>
          <w:w w:val="105"/>
        </w:rPr>
        <w:t> </w:t>
      </w:r>
      <w:r>
        <w:rPr>
          <w:color w:val="231F20"/>
          <w:w w:val="105"/>
        </w:rPr>
        <w:t>el</w:t>
      </w:r>
      <w:r>
        <w:rPr>
          <w:color w:val="231F20"/>
          <w:spacing w:val="-20"/>
          <w:w w:val="105"/>
        </w:rPr>
        <w:t> </w:t>
      </w:r>
      <w:r>
        <w:rPr>
          <w:color w:val="231F20"/>
          <w:w w:val="105"/>
        </w:rPr>
        <w:t>resto</w:t>
      </w:r>
      <w:r>
        <w:rPr>
          <w:color w:val="231F20"/>
          <w:spacing w:val="-21"/>
          <w:w w:val="105"/>
        </w:rPr>
        <w:t> </w:t>
      </w:r>
      <w:r>
        <w:rPr>
          <w:color w:val="231F20"/>
          <w:w w:val="105"/>
        </w:rPr>
        <w:t>no tiene</w:t>
      </w:r>
      <w:r>
        <w:rPr>
          <w:color w:val="231F20"/>
          <w:spacing w:val="-21"/>
          <w:w w:val="105"/>
        </w:rPr>
        <w:t> </w:t>
      </w:r>
      <w:r>
        <w:rPr>
          <w:color w:val="231F20"/>
          <w:w w:val="105"/>
        </w:rPr>
        <w:t>ninguna</w:t>
      </w:r>
      <w:r>
        <w:rPr>
          <w:color w:val="231F20"/>
          <w:spacing w:val="-21"/>
          <w:w w:val="105"/>
        </w:rPr>
        <w:t> </w:t>
      </w:r>
      <w:r>
        <w:rPr>
          <w:color w:val="231F20"/>
          <w:w w:val="105"/>
        </w:rPr>
        <w:t>relación</w:t>
      </w:r>
      <w:r>
        <w:rPr>
          <w:color w:val="231F20"/>
          <w:spacing w:val="-21"/>
          <w:w w:val="105"/>
        </w:rPr>
        <w:t> </w:t>
      </w:r>
      <w:r>
        <w:rPr>
          <w:color w:val="231F20"/>
          <w:w w:val="105"/>
        </w:rPr>
        <w:t>con</w:t>
      </w:r>
      <w:r>
        <w:rPr>
          <w:color w:val="231F20"/>
          <w:spacing w:val="-21"/>
          <w:w w:val="105"/>
        </w:rPr>
        <w:t> </w:t>
      </w:r>
      <w:r>
        <w:rPr>
          <w:color w:val="231F20"/>
          <w:w w:val="105"/>
        </w:rPr>
        <w:t>la</w:t>
      </w:r>
      <w:r>
        <w:rPr>
          <w:color w:val="231F20"/>
          <w:spacing w:val="-21"/>
          <w:w w:val="105"/>
        </w:rPr>
        <w:t> </w:t>
      </w:r>
      <w:r>
        <w:rPr>
          <w:color w:val="231F20"/>
          <w:w w:val="105"/>
        </w:rPr>
        <w:t>migración.</w:t>
      </w:r>
      <w:r>
        <w:rPr>
          <w:color w:val="231F20"/>
          <w:spacing w:val="-26"/>
          <w:w w:val="105"/>
        </w:rPr>
        <w:t> </w:t>
      </w:r>
      <w:r>
        <w:rPr>
          <w:color w:val="231F20"/>
          <w:w w:val="105"/>
        </w:rPr>
        <w:t>Casi</w:t>
      </w:r>
      <w:r>
        <w:rPr>
          <w:color w:val="231F20"/>
          <w:spacing w:val="-21"/>
          <w:w w:val="105"/>
        </w:rPr>
        <w:t> </w:t>
      </w:r>
      <w:r>
        <w:rPr>
          <w:color w:val="231F20"/>
          <w:w w:val="105"/>
        </w:rPr>
        <w:t>siempre</w:t>
      </w:r>
      <w:r>
        <w:rPr>
          <w:color w:val="231F20"/>
          <w:spacing w:val="-21"/>
          <w:w w:val="105"/>
        </w:rPr>
        <w:t> </w:t>
      </w:r>
      <w:r>
        <w:rPr>
          <w:color w:val="231F20"/>
          <w:w w:val="105"/>
        </w:rPr>
        <w:t>para</w:t>
      </w:r>
      <w:r>
        <w:rPr>
          <w:color w:val="231F20"/>
          <w:spacing w:val="-21"/>
          <w:w w:val="105"/>
        </w:rPr>
        <w:t> </w:t>
      </w:r>
      <w:r>
        <w:rPr>
          <w:color w:val="231F20"/>
          <w:w w:val="105"/>
        </w:rPr>
        <w:t>no</w:t>
      </w:r>
      <w:r>
        <w:rPr>
          <w:color w:val="231F20"/>
          <w:spacing w:val="-21"/>
          <w:w w:val="105"/>
        </w:rPr>
        <w:t> </w:t>
      </w:r>
      <w:r>
        <w:rPr>
          <w:color w:val="231F20"/>
          <w:w w:val="105"/>
        </w:rPr>
        <w:t>someterse o lacerarse por su condición de mujeres de hombre migrante, ellas tie- nen como estrategia no caer en el fatalismo, sino poner a la migración del</w:t>
      </w:r>
      <w:r>
        <w:rPr>
          <w:color w:val="231F20"/>
          <w:spacing w:val="-12"/>
          <w:w w:val="105"/>
        </w:rPr>
        <w:t> </w:t>
      </w:r>
      <w:r>
        <w:rPr>
          <w:color w:val="231F20"/>
          <w:w w:val="105"/>
        </w:rPr>
        <w:t>hombre</w:t>
      </w:r>
      <w:r>
        <w:rPr>
          <w:color w:val="231F20"/>
          <w:spacing w:val="-12"/>
          <w:w w:val="105"/>
        </w:rPr>
        <w:t> </w:t>
      </w:r>
      <w:r>
        <w:rPr>
          <w:color w:val="231F20"/>
          <w:w w:val="105"/>
        </w:rPr>
        <w:t>como</w:t>
      </w:r>
      <w:r>
        <w:rPr>
          <w:color w:val="231F20"/>
          <w:spacing w:val="-12"/>
          <w:w w:val="105"/>
        </w:rPr>
        <w:t> </w:t>
      </w:r>
      <w:r>
        <w:rPr>
          <w:color w:val="231F20"/>
          <w:w w:val="105"/>
        </w:rPr>
        <w:t>un</w:t>
      </w:r>
      <w:r>
        <w:rPr>
          <w:color w:val="231F20"/>
          <w:spacing w:val="-12"/>
          <w:w w:val="105"/>
        </w:rPr>
        <w:t> </w:t>
      </w:r>
      <w:r>
        <w:rPr>
          <w:color w:val="231F20"/>
          <w:w w:val="105"/>
        </w:rPr>
        <w:t>episodio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vida</w:t>
      </w:r>
      <w:r>
        <w:rPr>
          <w:color w:val="231F20"/>
          <w:spacing w:val="-12"/>
          <w:w w:val="105"/>
        </w:rPr>
        <w:t> </w:t>
      </w:r>
      <w:r>
        <w:rPr>
          <w:color w:val="231F20"/>
          <w:w w:val="105"/>
        </w:rPr>
        <w:t>de</w:t>
      </w:r>
      <w:r>
        <w:rPr>
          <w:color w:val="231F20"/>
          <w:spacing w:val="-12"/>
          <w:w w:val="105"/>
        </w:rPr>
        <w:t> </w:t>
      </w:r>
      <w:r>
        <w:rPr>
          <w:color w:val="231F20"/>
          <w:w w:val="105"/>
        </w:rPr>
        <w:t>pareja,</w:t>
      </w:r>
      <w:r>
        <w:rPr>
          <w:color w:val="231F20"/>
          <w:spacing w:val="-18"/>
          <w:w w:val="105"/>
        </w:rPr>
        <w:t> </w:t>
      </w:r>
      <w:r>
        <w:rPr>
          <w:color w:val="231F20"/>
          <w:w w:val="105"/>
        </w:rPr>
        <w:t>como</w:t>
      </w:r>
      <w:r>
        <w:rPr>
          <w:color w:val="231F20"/>
          <w:spacing w:val="-12"/>
          <w:w w:val="105"/>
        </w:rPr>
        <w:t> </w:t>
      </w:r>
      <w:r>
        <w:rPr>
          <w:color w:val="231F20"/>
          <w:w w:val="105"/>
        </w:rPr>
        <w:t>una</w:t>
      </w:r>
      <w:r>
        <w:rPr>
          <w:color w:val="231F20"/>
          <w:spacing w:val="-12"/>
          <w:w w:val="105"/>
        </w:rPr>
        <w:t> </w:t>
      </w:r>
      <w:r>
        <w:rPr>
          <w:color w:val="231F20"/>
          <w:w w:val="105"/>
        </w:rPr>
        <w:t>manera</w:t>
      </w:r>
      <w:r>
        <w:rPr>
          <w:color w:val="231F20"/>
          <w:spacing w:val="-12"/>
          <w:w w:val="105"/>
        </w:rPr>
        <w:t> </w:t>
      </w:r>
      <w:r>
        <w:rPr>
          <w:color w:val="231F20"/>
          <w:w w:val="105"/>
        </w:rPr>
        <w:t>de dar</w:t>
      </w:r>
      <w:r>
        <w:rPr>
          <w:color w:val="231F20"/>
          <w:spacing w:val="-18"/>
          <w:w w:val="105"/>
        </w:rPr>
        <w:t> </w:t>
      </w:r>
      <w:r>
        <w:rPr>
          <w:color w:val="231F20"/>
          <w:w w:val="105"/>
        </w:rPr>
        <w:t>valor</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relación,</w:t>
      </w:r>
      <w:r>
        <w:rPr>
          <w:color w:val="231F20"/>
          <w:spacing w:val="-24"/>
          <w:w w:val="105"/>
        </w:rPr>
        <w:t> </w:t>
      </w:r>
      <w:r>
        <w:rPr>
          <w:color w:val="231F20"/>
          <w:w w:val="105"/>
        </w:rPr>
        <w:t>como</w:t>
      </w:r>
      <w:r>
        <w:rPr>
          <w:color w:val="231F20"/>
          <w:spacing w:val="-18"/>
          <w:w w:val="105"/>
        </w:rPr>
        <w:t> </w:t>
      </w:r>
      <w:r>
        <w:rPr>
          <w:color w:val="231F20"/>
          <w:w w:val="105"/>
        </w:rPr>
        <w:t>una</w:t>
      </w:r>
      <w:r>
        <w:rPr>
          <w:color w:val="231F20"/>
          <w:spacing w:val="-18"/>
          <w:w w:val="105"/>
        </w:rPr>
        <w:t> </w:t>
      </w:r>
      <w:r>
        <w:rPr>
          <w:color w:val="231F20"/>
          <w:w w:val="105"/>
        </w:rPr>
        <w:t>medida</w:t>
      </w:r>
      <w:r>
        <w:rPr>
          <w:color w:val="231F20"/>
          <w:spacing w:val="-18"/>
          <w:w w:val="105"/>
        </w:rPr>
        <w:t> </w:t>
      </w:r>
      <w:r>
        <w:rPr>
          <w:color w:val="231F20"/>
          <w:w w:val="105"/>
        </w:rPr>
        <w:t>temporal,</w:t>
      </w:r>
      <w:r>
        <w:rPr>
          <w:color w:val="231F20"/>
          <w:spacing w:val="-24"/>
          <w:w w:val="105"/>
        </w:rPr>
        <w:t> </w:t>
      </w:r>
      <w:r>
        <w:rPr>
          <w:color w:val="231F20"/>
          <w:w w:val="105"/>
        </w:rPr>
        <w:t>poniendo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balan- za</w:t>
      </w:r>
      <w:r>
        <w:rPr>
          <w:color w:val="231F20"/>
          <w:spacing w:val="-18"/>
          <w:w w:val="105"/>
        </w:rPr>
        <w:t> </w:t>
      </w:r>
      <w:r>
        <w:rPr>
          <w:color w:val="231F20"/>
          <w:w w:val="105"/>
        </w:rPr>
        <w:t>los</w:t>
      </w:r>
      <w:r>
        <w:rPr>
          <w:color w:val="231F20"/>
          <w:spacing w:val="-18"/>
          <w:w w:val="105"/>
        </w:rPr>
        <w:t> </w:t>
      </w:r>
      <w:r>
        <w:rPr>
          <w:color w:val="231F20"/>
          <w:w w:val="105"/>
        </w:rPr>
        <w:t>beneficios</w:t>
      </w:r>
      <w:r>
        <w:rPr>
          <w:color w:val="231F20"/>
          <w:spacing w:val="-18"/>
          <w:w w:val="105"/>
        </w:rPr>
        <w:t> </w:t>
      </w:r>
      <w:r>
        <w:rPr>
          <w:color w:val="231F20"/>
          <w:w w:val="105"/>
        </w:rPr>
        <w:t>materiales,</w:t>
      </w:r>
      <w:r>
        <w:rPr>
          <w:color w:val="231F20"/>
          <w:spacing w:val="-22"/>
          <w:w w:val="105"/>
        </w:rPr>
        <w:t> </w:t>
      </w:r>
      <w:r>
        <w:rPr>
          <w:color w:val="231F20"/>
          <w:w w:val="105"/>
        </w:rPr>
        <w:t>salir</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color w:val="231F20"/>
          <w:w w:val="105"/>
        </w:rPr>
        <w:t>deuda,</w:t>
      </w:r>
      <w:r>
        <w:rPr>
          <w:color w:val="231F20"/>
          <w:spacing w:val="-22"/>
          <w:w w:val="105"/>
        </w:rPr>
        <w:t> </w:t>
      </w:r>
      <w:r>
        <w:rPr>
          <w:color w:val="231F20"/>
          <w:w w:val="105"/>
        </w:rPr>
        <w:t>mantener</w:t>
      </w:r>
      <w:r>
        <w:rPr>
          <w:color w:val="231F20"/>
          <w:spacing w:val="-18"/>
          <w:w w:val="105"/>
        </w:rPr>
        <w:t> </w:t>
      </w:r>
      <w:r>
        <w:rPr>
          <w:color w:val="231F20"/>
          <w:w w:val="105"/>
        </w:rPr>
        <w:t>una</w:t>
      </w:r>
      <w:r>
        <w:rPr>
          <w:color w:val="231F20"/>
          <w:spacing w:val="-18"/>
          <w:w w:val="105"/>
        </w:rPr>
        <w:t> </w:t>
      </w:r>
      <w:r>
        <w:rPr>
          <w:color w:val="231F20"/>
          <w:w w:val="105"/>
        </w:rPr>
        <w:t>solvencia económica</w:t>
      </w:r>
      <w:r>
        <w:rPr>
          <w:color w:val="231F20"/>
          <w:spacing w:val="-27"/>
          <w:w w:val="105"/>
        </w:rPr>
        <w:t> </w:t>
      </w:r>
      <w:r>
        <w:rPr>
          <w:color w:val="231F20"/>
          <w:w w:val="105"/>
        </w:rPr>
        <w:t>o</w:t>
      </w:r>
      <w:r>
        <w:rPr>
          <w:color w:val="231F20"/>
          <w:spacing w:val="-27"/>
          <w:w w:val="105"/>
        </w:rPr>
        <w:t> </w:t>
      </w:r>
      <w:r>
        <w:rPr>
          <w:color w:val="231F20"/>
          <w:w w:val="105"/>
        </w:rPr>
        <w:t>solventar</w:t>
      </w:r>
      <w:r>
        <w:rPr>
          <w:color w:val="231F20"/>
          <w:spacing w:val="-27"/>
          <w:w w:val="105"/>
        </w:rPr>
        <w:t> </w:t>
      </w:r>
      <w:r>
        <w:rPr>
          <w:color w:val="231F20"/>
          <w:w w:val="105"/>
        </w:rPr>
        <w:t>grandes</w:t>
      </w:r>
      <w:r>
        <w:rPr>
          <w:color w:val="231F20"/>
          <w:spacing w:val="-27"/>
          <w:w w:val="105"/>
        </w:rPr>
        <w:t> </w:t>
      </w:r>
      <w:r>
        <w:rPr>
          <w:color w:val="231F20"/>
          <w:w w:val="105"/>
        </w:rPr>
        <w:t>gastos</w:t>
      </w:r>
      <w:r>
        <w:rPr>
          <w:color w:val="231F20"/>
          <w:spacing w:val="-27"/>
          <w:w w:val="105"/>
        </w:rPr>
        <w:t> </w:t>
      </w:r>
      <w:r>
        <w:rPr>
          <w:color w:val="231F20"/>
          <w:w w:val="105"/>
        </w:rPr>
        <w:t>familiares.</w:t>
      </w:r>
    </w:p>
    <w:p>
      <w:pPr>
        <w:pStyle w:val="BodyText"/>
        <w:spacing w:line="261" w:lineRule="auto" w:before="1"/>
        <w:ind w:left="1837" w:right="1715" w:firstLine="567"/>
        <w:jc w:val="both"/>
      </w:pPr>
      <w:r>
        <w:rPr>
          <w:color w:val="231F20"/>
          <w:spacing w:val="-6"/>
          <w:w w:val="105"/>
        </w:rPr>
        <w:t>Por </w:t>
      </w:r>
      <w:r>
        <w:rPr>
          <w:color w:val="231F20"/>
          <w:w w:val="105"/>
        </w:rPr>
        <w:t>otro lado, los hombres “ya no se quieren </w:t>
      </w:r>
      <w:r>
        <w:rPr>
          <w:color w:val="231F20"/>
          <w:spacing w:val="-3"/>
          <w:w w:val="105"/>
        </w:rPr>
        <w:t>estar”, </w:t>
      </w:r>
      <w:r>
        <w:rPr>
          <w:color w:val="231F20"/>
          <w:w w:val="105"/>
        </w:rPr>
        <w:t>y se “sienten mal</w:t>
      </w:r>
      <w:r>
        <w:rPr>
          <w:color w:val="231F20"/>
          <w:spacing w:val="-24"/>
          <w:w w:val="105"/>
        </w:rPr>
        <w:t> </w:t>
      </w:r>
      <w:r>
        <w:rPr>
          <w:color w:val="231F20"/>
          <w:w w:val="105"/>
        </w:rPr>
        <w:t>de</w:t>
      </w:r>
      <w:r>
        <w:rPr>
          <w:color w:val="231F20"/>
          <w:spacing w:val="-24"/>
          <w:w w:val="105"/>
        </w:rPr>
        <w:t> </w:t>
      </w:r>
      <w:r>
        <w:rPr>
          <w:color w:val="231F20"/>
          <w:w w:val="105"/>
        </w:rPr>
        <w:t>estar</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spacing w:val="-6"/>
          <w:w w:val="105"/>
        </w:rPr>
        <w:t>casa”,</w:t>
      </w:r>
      <w:r>
        <w:rPr>
          <w:color w:val="231F20"/>
          <w:spacing w:val="-29"/>
          <w:w w:val="105"/>
        </w:rPr>
        <w:t> </w:t>
      </w:r>
      <w:r>
        <w:rPr>
          <w:color w:val="231F20"/>
          <w:w w:val="105"/>
        </w:rPr>
        <w:t>pues</w:t>
      </w:r>
      <w:r>
        <w:rPr>
          <w:color w:val="231F20"/>
          <w:spacing w:val="-24"/>
          <w:w w:val="105"/>
        </w:rPr>
        <w:t> </w:t>
      </w:r>
      <w:r>
        <w:rPr>
          <w:color w:val="231F20"/>
          <w:w w:val="105"/>
        </w:rPr>
        <w:t>mientras</w:t>
      </w:r>
      <w:r>
        <w:rPr>
          <w:color w:val="231F20"/>
          <w:spacing w:val="-24"/>
          <w:w w:val="105"/>
        </w:rPr>
        <w:t> </w:t>
      </w:r>
      <w:r>
        <w:rPr>
          <w:color w:val="231F20"/>
          <w:w w:val="105"/>
        </w:rPr>
        <w:t>están</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localidad</w:t>
      </w:r>
      <w:r>
        <w:rPr>
          <w:color w:val="231F20"/>
          <w:spacing w:val="-24"/>
          <w:w w:val="105"/>
        </w:rPr>
        <w:t> </w:t>
      </w:r>
      <w:r>
        <w:rPr>
          <w:color w:val="231F20"/>
          <w:w w:val="105"/>
        </w:rPr>
        <w:t>reciben</w:t>
      </w:r>
      <w:r>
        <w:rPr>
          <w:color w:val="231F20"/>
          <w:spacing w:val="-24"/>
          <w:w w:val="105"/>
        </w:rPr>
        <w:t> </w:t>
      </w:r>
      <w:r>
        <w:rPr>
          <w:color w:val="231F20"/>
          <w:w w:val="105"/>
        </w:rPr>
        <w:t>infor- mación</w:t>
      </w:r>
      <w:r>
        <w:rPr>
          <w:color w:val="231F20"/>
          <w:spacing w:val="-24"/>
          <w:w w:val="105"/>
        </w:rPr>
        <w:t> </w:t>
      </w:r>
      <w:r>
        <w:rPr>
          <w:color w:val="231F20"/>
          <w:w w:val="105"/>
        </w:rPr>
        <w:t>que</w:t>
      </w:r>
      <w:r>
        <w:rPr>
          <w:color w:val="231F20"/>
          <w:spacing w:val="-24"/>
          <w:w w:val="105"/>
        </w:rPr>
        <w:t> </w:t>
      </w:r>
      <w:r>
        <w:rPr>
          <w:color w:val="231F20"/>
          <w:w w:val="105"/>
        </w:rPr>
        <w:t>los</w:t>
      </w:r>
      <w:r>
        <w:rPr>
          <w:color w:val="231F20"/>
          <w:spacing w:val="-24"/>
          <w:w w:val="105"/>
        </w:rPr>
        <w:t> </w:t>
      </w:r>
      <w:r>
        <w:rPr>
          <w:color w:val="231F20"/>
          <w:w w:val="105"/>
        </w:rPr>
        <w:t>alienta</w:t>
      </w:r>
      <w:r>
        <w:rPr>
          <w:color w:val="231F20"/>
          <w:spacing w:val="-24"/>
          <w:w w:val="105"/>
        </w:rPr>
        <w:t> </w:t>
      </w:r>
      <w:r>
        <w:rPr>
          <w:color w:val="231F20"/>
          <w:w w:val="105"/>
        </w:rPr>
        <w:t>a</w:t>
      </w:r>
      <w:r>
        <w:rPr>
          <w:color w:val="231F20"/>
          <w:spacing w:val="-24"/>
          <w:w w:val="105"/>
        </w:rPr>
        <w:t> </w:t>
      </w:r>
      <w:r>
        <w:rPr>
          <w:color w:val="231F20"/>
          <w:w w:val="105"/>
        </w:rPr>
        <w:t>seguir</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migración,</w:t>
      </w:r>
      <w:r>
        <w:rPr>
          <w:color w:val="231F20"/>
          <w:spacing w:val="-30"/>
          <w:w w:val="105"/>
        </w:rPr>
        <w:t> </w:t>
      </w:r>
      <w:r>
        <w:rPr>
          <w:color w:val="231F20"/>
          <w:w w:val="105"/>
        </w:rPr>
        <w:t>es</w:t>
      </w:r>
      <w:r>
        <w:rPr>
          <w:color w:val="231F20"/>
          <w:spacing w:val="-24"/>
          <w:w w:val="105"/>
        </w:rPr>
        <w:t> </w:t>
      </w:r>
      <w:r>
        <w:rPr>
          <w:color w:val="231F20"/>
          <w:w w:val="105"/>
        </w:rPr>
        <w:t>decir,</w:t>
      </w:r>
      <w:r>
        <w:rPr>
          <w:color w:val="231F20"/>
          <w:spacing w:val="-30"/>
          <w:w w:val="105"/>
        </w:rPr>
        <w:t> </w:t>
      </w:r>
      <w:r>
        <w:rPr>
          <w:color w:val="231F20"/>
          <w:w w:val="105"/>
        </w:rPr>
        <w:t>suponen</w:t>
      </w:r>
      <w:r>
        <w:rPr>
          <w:color w:val="231F20"/>
          <w:spacing w:val="-24"/>
          <w:w w:val="105"/>
        </w:rPr>
        <w:t> </w:t>
      </w:r>
      <w:r>
        <w:rPr>
          <w:color w:val="231F20"/>
          <w:w w:val="105"/>
        </w:rPr>
        <w:t>que</w:t>
      </w:r>
      <w:r>
        <w:rPr>
          <w:color w:val="231F20"/>
          <w:spacing w:val="-24"/>
          <w:w w:val="105"/>
        </w:rPr>
        <w:t> </w:t>
      </w:r>
      <w:r>
        <w:rPr>
          <w:color w:val="231F20"/>
          <w:w w:val="105"/>
        </w:rPr>
        <w:t>es- tar</w:t>
      </w:r>
      <w:r>
        <w:rPr>
          <w:color w:val="231F20"/>
          <w:spacing w:val="-22"/>
          <w:w w:val="105"/>
        </w:rPr>
        <w:t> </w:t>
      </w:r>
      <w:r>
        <w:rPr>
          <w:color w:val="231F20"/>
          <w:w w:val="105"/>
        </w:rPr>
        <w:t>en</w:t>
      </w:r>
      <w:r>
        <w:rPr>
          <w:color w:val="231F20"/>
          <w:spacing w:val="-22"/>
          <w:w w:val="105"/>
        </w:rPr>
        <w:t> </w:t>
      </w:r>
      <w:r>
        <w:rPr>
          <w:color w:val="231F20"/>
          <w:w w:val="105"/>
        </w:rPr>
        <w:t>casa</w:t>
      </w:r>
      <w:r>
        <w:rPr>
          <w:color w:val="231F20"/>
          <w:spacing w:val="-22"/>
          <w:w w:val="105"/>
        </w:rPr>
        <w:t> </w:t>
      </w:r>
      <w:r>
        <w:rPr>
          <w:color w:val="231F20"/>
          <w:w w:val="105"/>
        </w:rPr>
        <w:t>es</w:t>
      </w:r>
      <w:r>
        <w:rPr>
          <w:color w:val="231F20"/>
          <w:spacing w:val="-22"/>
          <w:w w:val="105"/>
        </w:rPr>
        <w:t> </w:t>
      </w:r>
      <w:r>
        <w:rPr>
          <w:color w:val="231F20"/>
          <w:w w:val="105"/>
        </w:rPr>
        <w:t>tiempo</w:t>
      </w:r>
      <w:r>
        <w:rPr>
          <w:color w:val="231F20"/>
          <w:spacing w:val="-22"/>
          <w:w w:val="105"/>
        </w:rPr>
        <w:t> </w:t>
      </w:r>
      <w:r>
        <w:rPr>
          <w:color w:val="231F20"/>
          <w:w w:val="105"/>
        </w:rPr>
        <w:t>perdido,</w:t>
      </w:r>
      <w:r>
        <w:rPr>
          <w:color w:val="231F20"/>
          <w:spacing w:val="-28"/>
          <w:w w:val="105"/>
        </w:rPr>
        <w:t> </w:t>
      </w:r>
      <w:r>
        <w:rPr>
          <w:color w:val="231F20"/>
          <w:w w:val="105"/>
        </w:rPr>
        <w:t>ya</w:t>
      </w:r>
      <w:r>
        <w:rPr>
          <w:color w:val="231F20"/>
          <w:spacing w:val="-22"/>
          <w:w w:val="105"/>
        </w:rPr>
        <w:t> </w:t>
      </w:r>
      <w:r>
        <w:rPr>
          <w:color w:val="231F20"/>
          <w:w w:val="105"/>
        </w:rPr>
        <w:t>que</w:t>
      </w:r>
      <w:r>
        <w:rPr>
          <w:color w:val="231F20"/>
          <w:spacing w:val="-22"/>
          <w:w w:val="105"/>
        </w:rPr>
        <w:t> </w:t>
      </w:r>
      <w:r>
        <w:rPr>
          <w:color w:val="231F20"/>
          <w:w w:val="105"/>
        </w:rPr>
        <w:t>podrían</w:t>
      </w:r>
      <w:r>
        <w:rPr>
          <w:color w:val="231F20"/>
          <w:spacing w:val="-22"/>
          <w:w w:val="105"/>
        </w:rPr>
        <w:t> </w:t>
      </w:r>
      <w:r>
        <w:rPr>
          <w:color w:val="231F20"/>
          <w:w w:val="105"/>
        </w:rPr>
        <w:t>estar</w:t>
      </w:r>
      <w:r>
        <w:rPr>
          <w:color w:val="231F20"/>
          <w:spacing w:val="-22"/>
          <w:w w:val="105"/>
        </w:rPr>
        <w:t> </w:t>
      </w:r>
      <w:r>
        <w:rPr>
          <w:color w:val="231F20"/>
          <w:w w:val="105"/>
        </w:rPr>
        <w:t>allá</w:t>
      </w:r>
      <w:r>
        <w:rPr>
          <w:color w:val="231F20"/>
          <w:spacing w:val="-22"/>
          <w:w w:val="105"/>
        </w:rPr>
        <w:t> </w:t>
      </w:r>
      <w:r>
        <w:rPr>
          <w:color w:val="231F20"/>
          <w:w w:val="105"/>
        </w:rPr>
        <w:t>ganando</w:t>
      </w:r>
      <w:r>
        <w:rPr>
          <w:color w:val="231F20"/>
          <w:spacing w:val="-22"/>
          <w:w w:val="105"/>
        </w:rPr>
        <w:t> </w:t>
      </w:r>
      <w:r>
        <w:rPr>
          <w:color w:val="231F20"/>
          <w:w w:val="105"/>
        </w:rPr>
        <w:t>dólares. Contra</w:t>
      </w:r>
      <w:r>
        <w:rPr>
          <w:color w:val="231F20"/>
          <w:spacing w:val="-30"/>
          <w:w w:val="105"/>
        </w:rPr>
        <w:t> </w:t>
      </w:r>
      <w:r>
        <w:rPr>
          <w:color w:val="231F20"/>
          <w:w w:val="105"/>
        </w:rPr>
        <w:t>esto,</w:t>
      </w:r>
      <w:r>
        <w:rPr>
          <w:color w:val="231F20"/>
          <w:spacing w:val="-34"/>
          <w:w w:val="105"/>
        </w:rPr>
        <w:t> </w:t>
      </w:r>
      <w:r>
        <w:rPr>
          <w:color w:val="231F20"/>
          <w:w w:val="105"/>
        </w:rPr>
        <w:t>las</w:t>
      </w:r>
      <w:r>
        <w:rPr>
          <w:color w:val="231F20"/>
          <w:spacing w:val="-30"/>
          <w:w w:val="105"/>
        </w:rPr>
        <w:t> </w:t>
      </w:r>
      <w:r>
        <w:rPr>
          <w:color w:val="231F20"/>
          <w:w w:val="105"/>
        </w:rPr>
        <w:t>mujeres</w:t>
      </w:r>
      <w:r>
        <w:rPr>
          <w:color w:val="231F20"/>
          <w:spacing w:val="-30"/>
          <w:w w:val="105"/>
        </w:rPr>
        <w:t> </w:t>
      </w:r>
      <w:r>
        <w:rPr>
          <w:color w:val="231F20"/>
          <w:w w:val="105"/>
        </w:rPr>
        <w:t>no</w:t>
      </w:r>
      <w:r>
        <w:rPr>
          <w:color w:val="231F20"/>
          <w:spacing w:val="-30"/>
          <w:w w:val="105"/>
        </w:rPr>
        <w:t> </w:t>
      </w:r>
      <w:r>
        <w:rPr>
          <w:color w:val="231F20"/>
          <w:w w:val="105"/>
        </w:rPr>
        <w:t>tienen</w:t>
      </w:r>
      <w:r>
        <w:rPr>
          <w:color w:val="231F20"/>
          <w:spacing w:val="-30"/>
          <w:w w:val="105"/>
        </w:rPr>
        <w:t> </w:t>
      </w:r>
      <w:r>
        <w:rPr>
          <w:color w:val="231F20"/>
          <w:w w:val="105"/>
        </w:rPr>
        <w:t>más</w:t>
      </w:r>
      <w:r>
        <w:rPr>
          <w:color w:val="231F20"/>
          <w:spacing w:val="-30"/>
          <w:w w:val="105"/>
        </w:rPr>
        <w:t> </w:t>
      </w:r>
      <w:r>
        <w:rPr>
          <w:color w:val="231F20"/>
          <w:w w:val="105"/>
        </w:rPr>
        <w:t>que</w:t>
      </w:r>
      <w:r>
        <w:rPr>
          <w:color w:val="231F20"/>
          <w:spacing w:val="-30"/>
          <w:w w:val="105"/>
        </w:rPr>
        <w:t> </w:t>
      </w:r>
      <w:r>
        <w:rPr>
          <w:color w:val="231F20"/>
          <w:w w:val="105"/>
        </w:rPr>
        <w:t>guardar</w:t>
      </w:r>
      <w:r>
        <w:rPr>
          <w:color w:val="231F20"/>
          <w:spacing w:val="-30"/>
          <w:w w:val="105"/>
        </w:rPr>
        <w:t> </w:t>
      </w:r>
      <w:r>
        <w:rPr>
          <w:color w:val="231F20"/>
          <w:w w:val="105"/>
        </w:rPr>
        <w:t>cierta</w:t>
      </w:r>
      <w:r>
        <w:rPr>
          <w:color w:val="231F20"/>
          <w:spacing w:val="-30"/>
          <w:w w:val="105"/>
        </w:rPr>
        <w:t> </w:t>
      </w:r>
      <w:r>
        <w:rPr>
          <w:color w:val="231F20"/>
          <w:w w:val="105"/>
        </w:rPr>
        <w:t>resignación.</w:t>
      </w:r>
      <w:r>
        <w:rPr>
          <w:color w:val="231F20"/>
          <w:spacing w:val="-34"/>
          <w:w w:val="105"/>
        </w:rPr>
        <w:t> </w:t>
      </w:r>
      <w:r>
        <w:rPr>
          <w:color w:val="231F20"/>
          <w:w w:val="105"/>
        </w:rPr>
        <w:t>En otras</w:t>
      </w:r>
      <w:r>
        <w:rPr>
          <w:color w:val="231F20"/>
          <w:spacing w:val="-23"/>
          <w:w w:val="105"/>
        </w:rPr>
        <w:t> </w:t>
      </w:r>
      <w:r>
        <w:rPr>
          <w:color w:val="231F20"/>
          <w:w w:val="105"/>
        </w:rPr>
        <w:t>palabras,</w:t>
      </w:r>
      <w:r>
        <w:rPr>
          <w:color w:val="231F20"/>
          <w:spacing w:val="-27"/>
          <w:w w:val="105"/>
        </w:rPr>
        <w:t> </w:t>
      </w:r>
      <w:r>
        <w:rPr>
          <w:color w:val="231F20"/>
          <w:w w:val="105"/>
        </w:rPr>
        <w:t>ante</w:t>
      </w:r>
      <w:r>
        <w:rPr>
          <w:color w:val="231F20"/>
          <w:spacing w:val="-23"/>
          <w:w w:val="105"/>
        </w:rPr>
        <w:t> </w:t>
      </w:r>
      <w:r>
        <w:rPr>
          <w:color w:val="231F20"/>
          <w:w w:val="105"/>
        </w:rPr>
        <w:t>este</w:t>
      </w:r>
      <w:r>
        <w:rPr>
          <w:color w:val="231F20"/>
          <w:spacing w:val="-23"/>
          <w:w w:val="105"/>
        </w:rPr>
        <w:t> </w:t>
      </w:r>
      <w:r>
        <w:rPr>
          <w:color w:val="231F20"/>
          <w:w w:val="105"/>
        </w:rPr>
        <w:t>diseño</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14"/>
          <w:w w:val="105"/>
        </w:rPr>
        <w:t> </w:t>
      </w:r>
      <w:r>
        <w:rPr>
          <w:color w:val="231F20"/>
          <w:w w:val="105"/>
        </w:rPr>
        <w:t>idas,</w:t>
      </w:r>
      <w:r>
        <w:rPr>
          <w:color w:val="231F20"/>
          <w:spacing w:val="-27"/>
          <w:w w:val="105"/>
        </w:rPr>
        <w:t> </w:t>
      </w:r>
      <w:r>
        <w:rPr>
          <w:color w:val="231F20"/>
          <w:w w:val="105"/>
        </w:rPr>
        <w:t>las</w:t>
      </w:r>
      <w:r>
        <w:rPr>
          <w:color w:val="231F20"/>
          <w:spacing w:val="-23"/>
          <w:w w:val="105"/>
        </w:rPr>
        <w:t> </w:t>
      </w:r>
      <w:r>
        <w:rPr>
          <w:color w:val="231F20"/>
          <w:w w:val="105"/>
        </w:rPr>
        <w:t>mujeres</w:t>
      </w:r>
      <w:r>
        <w:rPr>
          <w:color w:val="231F20"/>
          <w:spacing w:val="-23"/>
          <w:w w:val="105"/>
        </w:rPr>
        <w:t> </w:t>
      </w:r>
      <w:r>
        <w:rPr>
          <w:color w:val="231F20"/>
          <w:w w:val="105"/>
        </w:rPr>
        <w:t>parecen</w:t>
      </w:r>
      <w:r>
        <w:rPr>
          <w:color w:val="231F20"/>
          <w:spacing w:val="-23"/>
          <w:w w:val="105"/>
        </w:rPr>
        <w:t> </w:t>
      </w:r>
      <w:r>
        <w:rPr>
          <w:color w:val="231F20"/>
          <w:w w:val="105"/>
        </w:rPr>
        <w:t>aceptar y dejar a nivel de personal la decisión quedarse en familia o seguir los circuitos</w:t>
      </w:r>
      <w:r>
        <w:rPr>
          <w:color w:val="231F20"/>
          <w:spacing w:val="-25"/>
          <w:w w:val="105"/>
        </w:rPr>
        <w:t> </w:t>
      </w:r>
      <w:r>
        <w:rPr>
          <w:color w:val="231F20"/>
          <w:w w:val="105"/>
        </w:rPr>
        <w:t>migratorios.</w:t>
      </w:r>
    </w:p>
    <w:p>
      <w:pPr>
        <w:pStyle w:val="BodyText"/>
        <w:spacing w:line="261" w:lineRule="auto" w:before="1"/>
        <w:ind w:left="1837" w:right="1721" w:firstLine="567"/>
        <w:jc w:val="both"/>
      </w:pPr>
      <w:r>
        <w:rPr/>
        <w:pict>
          <v:line style="position:absolute;mso-position-horizontal-relative:page;mso-position-vertical-relative:paragraph;z-index:-442120" from="15pt,102.891586pt" to="0pt,102.891586pt" stroked="true" strokeweight=".25pt" strokecolor="#000000">
            <w10:wrap type="none"/>
          </v:line>
        </w:pict>
      </w:r>
      <w:r>
        <w:rPr/>
        <w:pict>
          <v:line style="position:absolute;mso-position-horizontal-relative:page;mso-position-vertical-relative:paragraph;z-index:48088" from="508.890015pt,102.891586pt" to="523.890015pt,102.891586pt" stroked="true" strokeweight=".25pt" strokecolor="#000000">
            <w10:wrap type="none"/>
          </v:line>
        </w:pict>
      </w:r>
      <w:r>
        <w:rPr>
          <w:color w:val="231F20"/>
          <w:w w:val="105"/>
        </w:rPr>
        <w:t>Las estancias cortas en Estados Unidos revelan la dificultad</w:t>
      </w:r>
      <w:r>
        <w:rPr>
          <w:color w:val="231F20"/>
          <w:spacing w:val="-9"/>
          <w:w w:val="105"/>
        </w:rPr>
        <w:t> </w:t>
      </w:r>
      <w:r>
        <w:rPr>
          <w:color w:val="231F20"/>
          <w:w w:val="105"/>
        </w:rPr>
        <w:t>para gestionar</w:t>
      </w:r>
      <w:r>
        <w:rPr>
          <w:color w:val="231F20"/>
          <w:spacing w:val="-13"/>
          <w:w w:val="105"/>
        </w:rPr>
        <w:t> </w:t>
      </w:r>
      <w:r>
        <w:rPr>
          <w:color w:val="231F20"/>
          <w:w w:val="105"/>
        </w:rPr>
        <w:t>los</w:t>
      </w:r>
      <w:r>
        <w:rPr>
          <w:color w:val="231F20"/>
          <w:spacing w:val="-13"/>
          <w:w w:val="105"/>
        </w:rPr>
        <w:t> </w:t>
      </w:r>
      <w:r>
        <w:rPr>
          <w:color w:val="231F20"/>
          <w:w w:val="105"/>
        </w:rPr>
        <w:t>estados</w:t>
      </w:r>
      <w:r>
        <w:rPr>
          <w:color w:val="231F20"/>
          <w:spacing w:val="-13"/>
          <w:w w:val="105"/>
        </w:rPr>
        <w:t> </w:t>
      </w:r>
      <w:r>
        <w:rPr>
          <w:color w:val="231F20"/>
          <w:w w:val="105"/>
        </w:rPr>
        <w:t>emocionales,</w:t>
      </w:r>
      <w:r>
        <w:rPr>
          <w:color w:val="231F20"/>
          <w:spacing w:val="-18"/>
          <w:w w:val="105"/>
        </w:rPr>
        <w:t> </w:t>
      </w:r>
      <w:r>
        <w:rPr>
          <w:color w:val="231F20"/>
          <w:w w:val="105"/>
        </w:rPr>
        <w:t>pues</w:t>
      </w:r>
      <w:r>
        <w:rPr>
          <w:color w:val="231F20"/>
          <w:spacing w:val="-13"/>
          <w:w w:val="105"/>
        </w:rPr>
        <w:t> </w:t>
      </w:r>
      <w:r>
        <w:rPr>
          <w:color w:val="231F20"/>
          <w:w w:val="105"/>
        </w:rPr>
        <w:t>dicen</w:t>
      </w:r>
      <w:r>
        <w:rPr>
          <w:color w:val="231F20"/>
          <w:spacing w:val="-13"/>
          <w:w w:val="105"/>
        </w:rPr>
        <w:t> </w:t>
      </w:r>
      <w:r>
        <w:rPr>
          <w:color w:val="231F20"/>
          <w:w w:val="105"/>
        </w:rPr>
        <w:t>ellos</w:t>
      </w:r>
      <w:r>
        <w:rPr>
          <w:color w:val="231F20"/>
          <w:spacing w:val="-13"/>
          <w:w w:val="105"/>
        </w:rPr>
        <w:t> </w:t>
      </w:r>
      <w:r>
        <w:rPr>
          <w:color w:val="231F20"/>
          <w:w w:val="105"/>
        </w:rPr>
        <w:t>“cuando</w:t>
      </w:r>
      <w:r>
        <w:rPr>
          <w:color w:val="231F20"/>
          <w:spacing w:val="-13"/>
          <w:w w:val="105"/>
        </w:rPr>
        <w:t> </w:t>
      </w:r>
      <w:r>
        <w:rPr>
          <w:color w:val="231F20"/>
          <w:w w:val="105"/>
        </w:rPr>
        <w:t>aminora</w:t>
      </w:r>
      <w:r>
        <w:rPr>
          <w:color w:val="231F20"/>
          <w:spacing w:val="-13"/>
          <w:w w:val="105"/>
        </w:rPr>
        <w:t> </w:t>
      </w:r>
      <w:r>
        <w:rPr>
          <w:color w:val="231F20"/>
          <w:w w:val="105"/>
        </w:rPr>
        <w:t>el</w:t>
      </w:r>
    </w:p>
    <w:p>
      <w:pPr>
        <w:spacing w:after="0" w:line="261" w:lineRule="auto"/>
        <w:jc w:val="both"/>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BodyText"/>
        <w:spacing w:line="261" w:lineRule="auto"/>
        <w:ind w:left="1723" w:right="1834"/>
        <w:jc w:val="both"/>
      </w:pPr>
      <w:r>
        <w:rPr/>
        <w:pict>
          <v:line style="position:absolute;mso-position-horizontal-relative:page;mso-position-vertical-relative:paragraph;z-index:48136" from="15pt,-71.68644pt" to="0pt,-71.68644pt" stroked="true" strokeweight=".25pt" strokecolor="#000000">
            <w10:wrap type="none"/>
          </v:line>
        </w:pict>
      </w:r>
      <w:r>
        <w:rPr/>
        <w:pict>
          <v:line style="position:absolute;mso-position-horizontal-relative:page;mso-position-vertical-relative:paragraph;z-index:48160" from="508.890015pt,-71.68644pt" to="523.890015pt,-71.68644pt" stroked="true" strokeweight=".25pt" strokecolor="#000000">
            <w10:wrap type="none"/>
          </v:line>
        </w:pict>
      </w:r>
      <w:r>
        <w:rPr>
          <w:color w:val="231F20"/>
          <w:w w:val="105"/>
        </w:rPr>
        <w:t>ánimo,</w:t>
      </w:r>
      <w:r>
        <w:rPr>
          <w:color w:val="231F20"/>
          <w:spacing w:val="-31"/>
          <w:w w:val="105"/>
        </w:rPr>
        <w:t> </w:t>
      </w:r>
      <w:r>
        <w:rPr>
          <w:color w:val="231F20"/>
          <w:w w:val="105"/>
        </w:rPr>
        <w:t>y</w:t>
      </w:r>
      <w:r>
        <w:rPr>
          <w:color w:val="231F20"/>
          <w:spacing w:val="-26"/>
          <w:w w:val="105"/>
        </w:rPr>
        <w:t> </w:t>
      </w:r>
      <w:r>
        <w:rPr>
          <w:color w:val="231F20"/>
          <w:w w:val="105"/>
        </w:rPr>
        <w:t>aumenta</w:t>
      </w:r>
      <w:r>
        <w:rPr>
          <w:color w:val="231F20"/>
          <w:spacing w:val="-26"/>
          <w:w w:val="105"/>
        </w:rPr>
        <w:t> </w:t>
      </w:r>
      <w:r>
        <w:rPr>
          <w:color w:val="231F20"/>
          <w:w w:val="105"/>
        </w:rPr>
        <w:t>la</w:t>
      </w:r>
      <w:r>
        <w:rPr>
          <w:color w:val="231F20"/>
          <w:spacing w:val="-26"/>
          <w:w w:val="105"/>
        </w:rPr>
        <w:t> </w:t>
      </w:r>
      <w:r>
        <w:rPr>
          <w:color w:val="231F20"/>
          <w:w w:val="105"/>
        </w:rPr>
        <w:t>tristeza”</w:t>
      </w:r>
      <w:r>
        <w:rPr>
          <w:color w:val="231F20"/>
          <w:spacing w:val="-26"/>
          <w:w w:val="105"/>
        </w:rPr>
        <w:t> </w:t>
      </w:r>
      <w:r>
        <w:rPr>
          <w:color w:val="231F20"/>
          <w:w w:val="105"/>
        </w:rPr>
        <w:t>la</w:t>
      </w:r>
      <w:r>
        <w:rPr>
          <w:color w:val="231F20"/>
          <w:spacing w:val="-26"/>
          <w:w w:val="105"/>
        </w:rPr>
        <w:t> </w:t>
      </w:r>
      <w:r>
        <w:rPr>
          <w:color w:val="231F20"/>
          <w:w w:val="105"/>
        </w:rPr>
        <w:t>necesidad</w:t>
      </w:r>
      <w:r>
        <w:rPr>
          <w:color w:val="231F20"/>
          <w:spacing w:val="-26"/>
          <w:w w:val="105"/>
        </w:rPr>
        <w:t> </w:t>
      </w:r>
      <w:r>
        <w:rPr>
          <w:color w:val="231F20"/>
          <w:w w:val="105"/>
        </w:rPr>
        <w:t>del</w:t>
      </w:r>
      <w:r>
        <w:rPr>
          <w:color w:val="231F20"/>
          <w:spacing w:val="-26"/>
          <w:w w:val="105"/>
        </w:rPr>
        <w:t> </w:t>
      </w:r>
      <w:r>
        <w:rPr>
          <w:color w:val="231F20"/>
          <w:w w:val="105"/>
        </w:rPr>
        <w:t>contacto</w:t>
      </w:r>
      <w:r>
        <w:rPr>
          <w:color w:val="231F20"/>
          <w:spacing w:val="-26"/>
          <w:w w:val="105"/>
        </w:rPr>
        <w:t> </w:t>
      </w:r>
      <w:r>
        <w:rPr>
          <w:color w:val="231F20"/>
          <w:w w:val="105"/>
        </w:rPr>
        <w:t>afectivo,</w:t>
      </w:r>
      <w:r>
        <w:rPr>
          <w:color w:val="231F20"/>
          <w:spacing w:val="-31"/>
          <w:w w:val="105"/>
        </w:rPr>
        <w:t> </w:t>
      </w:r>
      <w:r>
        <w:rPr>
          <w:color w:val="231F20"/>
          <w:w w:val="105"/>
        </w:rPr>
        <w:t>la</w:t>
      </w:r>
      <w:r>
        <w:rPr>
          <w:color w:val="231F20"/>
          <w:spacing w:val="-26"/>
          <w:w w:val="105"/>
        </w:rPr>
        <w:t> </w:t>
      </w:r>
      <w:r>
        <w:rPr>
          <w:color w:val="231F20"/>
          <w:w w:val="105"/>
        </w:rPr>
        <w:t>nostal- gia</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regreso</w:t>
      </w:r>
      <w:r>
        <w:rPr>
          <w:color w:val="231F20"/>
          <w:spacing w:val="-5"/>
          <w:w w:val="105"/>
        </w:rPr>
        <w:t> </w:t>
      </w:r>
      <w:r>
        <w:rPr>
          <w:color w:val="231F20"/>
          <w:w w:val="105"/>
        </w:rPr>
        <w:t>propician</w:t>
      </w:r>
      <w:r>
        <w:rPr>
          <w:color w:val="231F20"/>
          <w:spacing w:val="-5"/>
          <w:w w:val="105"/>
        </w:rPr>
        <w:t> </w:t>
      </w:r>
      <w:r>
        <w:rPr>
          <w:color w:val="231F20"/>
          <w:w w:val="105"/>
        </w:rPr>
        <w:t>retornos</w:t>
      </w:r>
      <w:r>
        <w:rPr>
          <w:color w:val="231F20"/>
          <w:spacing w:val="-5"/>
          <w:w w:val="105"/>
        </w:rPr>
        <w:t> </w:t>
      </w:r>
      <w:r>
        <w:rPr>
          <w:color w:val="231F20"/>
          <w:w w:val="105"/>
        </w:rPr>
        <w:t>precipitados</w:t>
      </w:r>
      <w:r>
        <w:rPr>
          <w:color w:val="231F20"/>
          <w:spacing w:val="-5"/>
          <w:w w:val="105"/>
        </w:rPr>
        <w:t> </w:t>
      </w:r>
      <w:r>
        <w:rPr>
          <w:color w:val="231F20"/>
          <w:w w:val="105"/>
        </w:rPr>
        <w:t>a</w:t>
      </w:r>
      <w:r>
        <w:rPr>
          <w:color w:val="231F20"/>
          <w:spacing w:val="-5"/>
          <w:w w:val="105"/>
        </w:rPr>
        <w:t> </w:t>
      </w:r>
      <w:r>
        <w:rPr>
          <w:color w:val="231F20"/>
          <w:w w:val="105"/>
        </w:rPr>
        <w:t>México,</w:t>
      </w:r>
      <w:r>
        <w:rPr>
          <w:color w:val="231F20"/>
          <w:spacing w:val="-11"/>
          <w:w w:val="105"/>
        </w:rPr>
        <w:t> </w:t>
      </w:r>
      <w:r>
        <w:rPr>
          <w:color w:val="231F20"/>
          <w:w w:val="105"/>
        </w:rPr>
        <w:t>dejando</w:t>
      </w:r>
      <w:r>
        <w:rPr>
          <w:color w:val="231F20"/>
          <w:spacing w:val="-5"/>
          <w:w w:val="105"/>
        </w:rPr>
        <w:t> </w:t>
      </w:r>
      <w:r>
        <w:rPr>
          <w:color w:val="231F20"/>
          <w:w w:val="105"/>
        </w:rPr>
        <w:t>suel- tos</w:t>
      </w:r>
      <w:r>
        <w:rPr>
          <w:color w:val="231F20"/>
          <w:spacing w:val="-5"/>
          <w:w w:val="105"/>
        </w:rPr>
        <w:t> </w:t>
      </w:r>
      <w:r>
        <w:rPr>
          <w:color w:val="231F20"/>
          <w:w w:val="105"/>
        </w:rPr>
        <w:t>los</w:t>
      </w:r>
      <w:r>
        <w:rPr>
          <w:color w:val="231F20"/>
          <w:spacing w:val="-5"/>
          <w:w w:val="105"/>
        </w:rPr>
        <w:t> </w:t>
      </w:r>
      <w:r>
        <w:rPr>
          <w:color w:val="231F20"/>
          <w:w w:val="105"/>
        </w:rPr>
        <w:t>compromisos</w:t>
      </w:r>
      <w:r>
        <w:rPr>
          <w:color w:val="231F20"/>
          <w:spacing w:val="-5"/>
          <w:w w:val="105"/>
        </w:rPr>
        <w:t> </w:t>
      </w:r>
      <w:r>
        <w:rPr>
          <w:color w:val="231F20"/>
          <w:w w:val="105"/>
        </w:rPr>
        <w:t>de</w:t>
      </w:r>
      <w:r>
        <w:rPr>
          <w:color w:val="231F20"/>
          <w:spacing w:val="-5"/>
          <w:w w:val="105"/>
        </w:rPr>
        <w:t> </w:t>
      </w:r>
      <w:r>
        <w:rPr>
          <w:color w:val="231F20"/>
          <w:w w:val="105"/>
        </w:rPr>
        <w:t>trabajo,</w:t>
      </w:r>
      <w:r>
        <w:rPr>
          <w:color w:val="231F20"/>
          <w:spacing w:val="-12"/>
          <w:w w:val="105"/>
        </w:rPr>
        <w:t> </w:t>
      </w:r>
      <w:r>
        <w:rPr>
          <w:color w:val="231F20"/>
          <w:w w:val="105"/>
        </w:rPr>
        <w:t>el</w:t>
      </w:r>
      <w:r>
        <w:rPr>
          <w:color w:val="231F20"/>
          <w:spacing w:val="-5"/>
          <w:w w:val="105"/>
        </w:rPr>
        <w:t> </w:t>
      </w:r>
      <w:r>
        <w:rPr>
          <w:color w:val="231F20"/>
          <w:w w:val="105"/>
        </w:rPr>
        <w:t>pago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renta,</w:t>
      </w:r>
      <w:r>
        <w:rPr>
          <w:color w:val="231F20"/>
          <w:spacing w:val="-12"/>
          <w:w w:val="105"/>
        </w:rPr>
        <w:t> </w:t>
      </w:r>
      <w:r>
        <w:rPr>
          <w:color w:val="231F20"/>
          <w:w w:val="105"/>
        </w:rPr>
        <w:t>etc.</w:t>
      </w:r>
      <w:r>
        <w:rPr>
          <w:color w:val="231F20"/>
          <w:spacing w:val="-12"/>
          <w:w w:val="105"/>
        </w:rPr>
        <w:t> </w:t>
      </w:r>
      <w:r>
        <w:rPr>
          <w:color w:val="231F20"/>
          <w:w w:val="105"/>
        </w:rPr>
        <w:t>No</w:t>
      </w:r>
      <w:r>
        <w:rPr>
          <w:color w:val="231F20"/>
          <w:spacing w:val="-5"/>
          <w:w w:val="105"/>
        </w:rPr>
        <w:t> </w:t>
      </w:r>
      <w:r>
        <w:rPr>
          <w:color w:val="231F20"/>
          <w:w w:val="105"/>
        </w:rPr>
        <w:t>obstante,</w:t>
      </w:r>
      <w:r>
        <w:rPr>
          <w:color w:val="231F20"/>
          <w:spacing w:val="-12"/>
          <w:w w:val="105"/>
        </w:rPr>
        <w:t> </w:t>
      </w:r>
      <w:r>
        <w:rPr>
          <w:color w:val="231F20"/>
          <w:w w:val="105"/>
        </w:rPr>
        <w:t>el regreso</w:t>
      </w:r>
      <w:r>
        <w:rPr>
          <w:color w:val="231F20"/>
          <w:spacing w:val="-15"/>
          <w:w w:val="105"/>
        </w:rPr>
        <w:t> </w:t>
      </w:r>
      <w:r>
        <w:rPr>
          <w:color w:val="231F20"/>
          <w:w w:val="105"/>
        </w:rPr>
        <w:t>a</w:t>
      </w:r>
      <w:r>
        <w:rPr>
          <w:color w:val="231F20"/>
          <w:spacing w:val="-15"/>
          <w:w w:val="105"/>
        </w:rPr>
        <w:t> </w:t>
      </w:r>
      <w:r>
        <w:rPr>
          <w:color w:val="231F20"/>
          <w:w w:val="105"/>
        </w:rPr>
        <w:t>casa</w:t>
      </w:r>
      <w:r>
        <w:rPr>
          <w:color w:val="231F20"/>
          <w:spacing w:val="-15"/>
          <w:w w:val="105"/>
        </w:rPr>
        <w:t> </w:t>
      </w:r>
      <w:r>
        <w:rPr>
          <w:color w:val="231F20"/>
          <w:w w:val="105"/>
        </w:rPr>
        <w:t>parece</w:t>
      </w:r>
      <w:r>
        <w:rPr>
          <w:color w:val="231F20"/>
          <w:spacing w:val="-15"/>
          <w:w w:val="105"/>
        </w:rPr>
        <w:t> </w:t>
      </w:r>
      <w:r>
        <w:rPr>
          <w:color w:val="231F20"/>
          <w:w w:val="105"/>
        </w:rPr>
        <w:t>devolver</w:t>
      </w:r>
      <w:r>
        <w:rPr>
          <w:color w:val="231F20"/>
          <w:spacing w:val="-15"/>
          <w:w w:val="105"/>
        </w:rPr>
        <w:t> </w:t>
      </w:r>
      <w:r>
        <w:rPr>
          <w:color w:val="231F20"/>
          <w:w w:val="105"/>
        </w:rPr>
        <w:t>la</w:t>
      </w:r>
      <w:r>
        <w:rPr>
          <w:color w:val="231F20"/>
          <w:spacing w:val="-15"/>
          <w:w w:val="105"/>
        </w:rPr>
        <w:t> </w:t>
      </w:r>
      <w:r>
        <w:rPr>
          <w:color w:val="231F20"/>
          <w:w w:val="105"/>
        </w:rPr>
        <w:t>alegría,</w:t>
      </w:r>
      <w:r>
        <w:rPr>
          <w:color w:val="231F20"/>
          <w:spacing w:val="-20"/>
          <w:w w:val="105"/>
        </w:rPr>
        <w:t> </w:t>
      </w:r>
      <w:r>
        <w:rPr>
          <w:color w:val="231F20"/>
          <w:w w:val="105"/>
        </w:rPr>
        <w:t>la</w:t>
      </w:r>
      <w:r>
        <w:rPr>
          <w:color w:val="231F20"/>
          <w:spacing w:val="-15"/>
          <w:w w:val="105"/>
        </w:rPr>
        <w:t> </w:t>
      </w:r>
      <w:r>
        <w:rPr>
          <w:color w:val="231F20"/>
          <w:w w:val="105"/>
        </w:rPr>
        <w:t>felicidad,</w:t>
      </w:r>
      <w:r>
        <w:rPr>
          <w:color w:val="231F20"/>
          <w:spacing w:val="-20"/>
          <w:w w:val="105"/>
        </w:rPr>
        <w:t> </w:t>
      </w:r>
      <w:r>
        <w:rPr>
          <w:color w:val="231F20"/>
          <w:w w:val="105"/>
        </w:rPr>
        <w:t>la</w:t>
      </w:r>
      <w:r>
        <w:rPr>
          <w:color w:val="231F20"/>
          <w:spacing w:val="-15"/>
          <w:w w:val="105"/>
        </w:rPr>
        <w:t> </w:t>
      </w:r>
      <w:r>
        <w:rPr>
          <w:color w:val="231F20"/>
          <w:w w:val="105"/>
        </w:rPr>
        <w:t>tranquilidad</w:t>
      </w:r>
      <w:r>
        <w:rPr>
          <w:color w:val="231F20"/>
          <w:spacing w:val="-15"/>
          <w:w w:val="105"/>
        </w:rPr>
        <w:t> </w:t>
      </w:r>
      <w:r>
        <w:rPr>
          <w:color w:val="231F20"/>
          <w:w w:val="105"/>
        </w:rPr>
        <w:t>y</w:t>
      </w:r>
      <w:r>
        <w:rPr>
          <w:color w:val="231F20"/>
          <w:spacing w:val="-15"/>
          <w:w w:val="105"/>
        </w:rPr>
        <w:t> </w:t>
      </w:r>
      <w:r>
        <w:rPr>
          <w:color w:val="231F20"/>
          <w:w w:val="105"/>
        </w:rPr>
        <w:t>la seguridad</w:t>
      </w:r>
      <w:r>
        <w:rPr>
          <w:color w:val="231F20"/>
          <w:spacing w:val="-9"/>
          <w:w w:val="105"/>
        </w:rPr>
        <w:t> </w:t>
      </w:r>
      <w:r>
        <w:rPr>
          <w:color w:val="231F20"/>
          <w:w w:val="105"/>
        </w:rPr>
        <w:t>emocional.</w:t>
      </w:r>
    </w:p>
    <w:p>
      <w:pPr>
        <w:pStyle w:val="BodyText"/>
        <w:rPr>
          <w:sz w:val="20"/>
        </w:rPr>
      </w:pPr>
    </w:p>
    <w:p>
      <w:pPr>
        <w:pStyle w:val="BodyText"/>
        <w:spacing w:before="9"/>
        <w:rPr>
          <w:sz w:val="20"/>
        </w:rPr>
      </w:pPr>
    </w:p>
    <w:p>
      <w:pPr>
        <w:pStyle w:val="Heading3"/>
        <w:ind w:left="1723"/>
      </w:pPr>
      <w:r>
        <w:rPr>
          <w:color w:val="231F20"/>
        </w:rPr>
        <w:t>A manera de conclusión</w:t>
      </w:r>
    </w:p>
    <w:p>
      <w:pPr>
        <w:pStyle w:val="BodyText"/>
        <w:rPr>
          <w:rFonts w:ascii="Arial"/>
          <w:b/>
          <w:sz w:val="22"/>
        </w:rPr>
      </w:pPr>
    </w:p>
    <w:p>
      <w:pPr>
        <w:pStyle w:val="BodyText"/>
        <w:spacing w:line="261" w:lineRule="auto" w:before="163"/>
        <w:ind w:left="1723" w:right="1829"/>
        <w:jc w:val="both"/>
      </w:pPr>
      <w:r>
        <w:rPr>
          <w:color w:val="231F20"/>
          <w:w w:val="105"/>
        </w:rPr>
        <w:t>Reconocemos</w:t>
      </w:r>
      <w:r>
        <w:rPr>
          <w:color w:val="231F20"/>
          <w:spacing w:val="-24"/>
          <w:w w:val="105"/>
        </w:rPr>
        <w:t> </w:t>
      </w:r>
      <w:r>
        <w:rPr>
          <w:color w:val="231F20"/>
          <w:w w:val="105"/>
        </w:rPr>
        <w:t>que</w:t>
      </w:r>
      <w:r>
        <w:rPr>
          <w:color w:val="231F20"/>
          <w:spacing w:val="-24"/>
          <w:w w:val="105"/>
        </w:rPr>
        <w:t> </w:t>
      </w:r>
      <w:r>
        <w:rPr>
          <w:color w:val="231F20"/>
          <w:w w:val="105"/>
        </w:rPr>
        <w:t>la</w:t>
      </w:r>
      <w:r>
        <w:rPr>
          <w:color w:val="231F20"/>
          <w:spacing w:val="-24"/>
          <w:w w:val="105"/>
        </w:rPr>
        <w:t> </w:t>
      </w:r>
      <w:r>
        <w:rPr>
          <w:color w:val="231F20"/>
          <w:w w:val="105"/>
        </w:rPr>
        <w:t>teoría</w:t>
      </w:r>
      <w:r>
        <w:rPr>
          <w:color w:val="231F20"/>
          <w:spacing w:val="-24"/>
          <w:w w:val="105"/>
        </w:rPr>
        <w:t> </w:t>
      </w:r>
      <w:r>
        <w:rPr>
          <w:color w:val="231F20"/>
          <w:w w:val="105"/>
        </w:rPr>
        <w:t>sobre</w:t>
      </w:r>
      <w:r>
        <w:rPr>
          <w:color w:val="231F20"/>
          <w:spacing w:val="-24"/>
          <w:w w:val="105"/>
        </w:rPr>
        <w:t> </w:t>
      </w:r>
      <w:r>
        <w:rPr>
          <w:color w:val="231F20"/>
          <w:w w:val="105"/>
        </w:rPr>
        <w:t>emociones</w:t>
      </w:r>
      <w:r>
        <w:rPr>
          <w:color w:val="231F20"/>
          <w:spacing w:val="-24"/>
          <w:w w:val="105"/>
        </w:rPr>
        <w:t> </w:t>
      </w:r>
      <w:r>
        <w:rPr>
          <w:color w:val="231F20"/>
          <w:w w:val="105"/>
        </w:rPr>
        <w:t>y</w:t>
      </w:r>
      <w:r>
        <w:rPr>
          <w:color w:val="231F20"/>
          <w:spacing w:val="-24"/>
          <w:w w:val="105"/>
        </w:rPr>
        <w:t> </w:t>
      </w:r>
      <w:r>
        <w:rPr>
          <w:color w:val="231F20"/>
          <w:w w:val="105"/>
        </w:rPr>
        <w:t>migración</w:t>
      </w:r>
      <w:r>
        <w:rPr>
          <w:color w:val="231F20"/>
          <w:spacing w:val="-24"/>
          <w:w w:val="105"/>
        </w:rPr>
        <w:t> </w:t>
      </w:r>
      <w:r>
        <w:rPr>
          <w:color w:val="231F20"/>
          <w:w w:val="105"/>
        </w:rPr>
        <w:t>(idas</w:t>
      </w:r>
      <w:r>
        <w:rPr>
          <w:color w:val="231F20"/>
          <w:spacing w:val="-24"/>
          <w:w w:val="105"/>
        </w:rPr>
        <w:t> </w:t>
      </w:r>
      <w:r>
        <w:rPr>
          <w:color w:val="231F20"/>
          <w:w w:val="105"/>
        </w:rPr>
        <w:t>y</w:t>
      </w:r>
      <w:r>
        <w:rPr>
          <w:color w:val="231F20"/>
          <w:spacing w:val="-24"/>
          <w:w w:val="105"/>
        </w:rPr>
        <w:t> </w:t>
      </w:r>
      <w:r>
        <w:rPr>
          <w:color w:val="231F20"/>
          <w:w w:val="105"/>
        </w:rPr>
        <w:t>venires) </w:t>
      </w:r>
      <w:r>
        <w:rPr>
          <w:w w:val="105"/>
        </w:rPr>
        <w:t>languidece ante la intensidad y amplitud de emociones personales, por lo</w:t>
      </w:r>
      <w:r>
        <w:rPr>
          <w:spacing w:val="-18"/>
          <w:w w:val="105"/>
        </w:rPr>
        <w:t> </w:t>
      </w:r>
      <w:r>
        <w:rPr>
          <w:w w:val="105"/>
        </w:rPr>
        <w:t>que</w:t>
      </w:r>
      <w:r>
        <w:rPr>
          <w:spacing w:val="-18"/>
          <w:w w:val="105"/>
        </w:rPr>
        <w:t> </w:t>
      </w:r>
      <w:r>
        <w:rPr>
          <w:color w:val="231F20"/>
          <w:w w:val="105"/>
        </w:rPr>
        <w:t>no</w:t>
      </w:r>
      <w:r>
        <w:rPr>
          <w:color w:val="231F20"/>
          <w:spacing w:val="-18"/>
          <w:w w:val="105"/>
        </w:rPr>
        <w:t> </w:t>
      </w:r>
      <w:r>
        <w:rPr>
          <w:color w:val="231F20"/>
          <w:w w:val="105"/>
        </w:rPr>
        <w:t>es</w:t>
      </w:r>
      <w:r>
        <w:rPr>
          <w:color w:val="231F20"/>
          <w:spacing w:val="-18"/>
          <w:w w:val="105"/>
        </w:rPr>
        <w:t> </w:t>
      </w:r>
      <w:r>
        <w:rPr>
          <w:color w:val="231F20"/>
          <w:w w:val="105"/>
        </w:rPr>
        <w:t>un</w:t>
      </w:r>
      <w:r>
        <w:rPr>
          <w:color w:val="231F20"/>
          <w:spacing w:val="-18"/>
          <w:w w:val="105"/>
        </w:rPr>
        <w:t> </w:t>
      </w:r>
      <w:r>
        <w:rPr>
          <w:color w:val="231F20"/>
          <w:w w:val="105"/>
        </w:rPr>
        <w:t>asunto</w:t>
      </w:r>
      <w:r>
        <w:rPr>
          <w:color w:val="231F20"/>
          <w:spacing w:val="-18"/>
          <w:w w:val="105"/>
        </w:rPr>
        <w:t> </w:t>
      </w:r>
      <w:r>
        <w:rPr>
          <w:color w:val="231F20"/>
          <w:w w:val="105"/>
        </w:rPr>
        <w:t>menor</w:t>
      </w:r>
      <w:r>
        <w:rPr>
          <w:color w:val="231F20"/>
          <w:spacing w:val="-18"/>
          <w:w w:val="105"/>
        </w:rPr>
        <w:t> </w:t>
      </w:r>
      <w:r>
        <w:rPr>
          <w:color w:val="231F20"/>
          <w:w w:val="105"/>
        </w:rPr>
        <w:t>dentro</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problemas</w:t>
      </w:r>
      <w:r>
        <w:rPr>
          <w:color w:val="231F20"/>
          <w:spacing w:val="-18"/>
          <w:w w:val="105"/>
        </w:rPr>
        <w:t> </w:t>
      </w:r>
      <w:r>
        <w:rPr>
          <w:color w:val="231F20"/>
          <w:w w:val="105"/>
        </w:rPr>
        <w:t>sociales.</w:t>
      </w:r>
      <w:r>
        <w:rPr>
          <w:color w:val="231F20"/>
          <w:spacing w:val="-23"/>
          <w:w w:val="105"/>
        </w:rPr>
        <w:t> </w:t>
      </w:r>
      <w:r>
        <w:rPr>
          <w:color w:val="231F20"/>
          <w:w w:val="105"/>
        </w:rPr>
        <w:t>Es</w:t>
      </w:r>
      <w:r>
        <w:rPr>
          <w:color w:val="231F20"/>
          <w:spacing w:val="-18"/>
          <w:w w:val="105"/>
        </w:rPr>
        <w:t> </w:t>
      </w:r>
      <w:r>
        <w:rPr>
          <w:color w:val="231F20"/>
          <w:w w:val="105"/>
        </w:rPr>
        <w:t>decir, en la medida en que lo emocional se integre como una herramienta de investigación</w:t>
      </w:r>
      <w:r>
        <w:rPr>
          <w:color w:val="231F20"/>
          <w:spacing w:val="-10"/>
          <w:w w:val="105"/>
        </w:rPr>
        <w:t> </w:t>
      </w:r>
      <w:r>
        <w:rPr>
          <w:color w:val="231F20"/>
          <w:w w:val="105"/>
        </w:rPr>
        <w:t>y</w:t>
      </w:r>
      <w:r>
        <w:rPr>
          <w:color w:val="231F20"/>
          <w:spacing w:val="-10"/>
          <w:w w:val="105"/>
        </w:rPr>
        <w:t> </w:t>
      </w:r>
      <w:r>
        <w:rPr>
          <w:color w:val="231F20"/>
          <w:w w:val="105"/>
        </w:rPr>
        <w:t>comprensión</w:t>
      </w:r>
      <w:r>
        <w:rPr>
          <w:color w:val="231F20"/>
          <w:spacing w:val="-10"/>
          <w:w w:val="105"/>
        </w:rPr>
        <w:t> </w:t>
      </w:r>
      <w:r>
        <w:rPr>
          <w:color w:val="231F20"/>
          <w:w w:val="105"/>
        </w:rPr>
        <w:t>del</w:t>
      </w:r>
      <w:r>
        <w:rPr>
          <w:color w:val="231F20"/>
          <w:spacing w:val="-10"/>
          <w:w w:val="105"/>
        </w:rPr>
        <w:t> </w:t>
      </w:r>
      <w:r>
        <w:rPr>
          <w:color w:val="231F20"/>
          <w:w w:val="105"/>
        </w:rPr>
        <w:t>fenómeno</w:t>
      </w:r>
      <w:r>
        <w:rPr>
          <w:color w:val="231F20"/>
          <w:spacing w:val="-10"/>
          <w:w w:val="105"/>
        </w:rPr>
        <w:t> </w:t>
      </w:r>
      <w:r>
        <w:rPr>
          <w:color w:val="231F20"/>
          <w:w w:val="105"/>
        </w:rPr>
        <w:t>migratorio</w:t>
      </w:r>
      <w:r>
        <w:rPr>
          <w:color w:val="231F20"/>
          <w:spacing w:val="-10"/>
          <w:w w:val="105"/>
        </w:rPr>
        <w:t> </w:t>
      </w:r>
      <w:r>
        <w:rPr>
          <w:color w:val="231F20"/>
          <w:w w:val="105"/>
        </w:rPr>
        <w:t>habrá</w:t>
      </w:r>
      <w:r>
        <w:rPr>
          <w:color w:val="231F20"/>
          <w:spacing w:val="-10"/>
          <w:w w:val="105"/>
        </w:rPr>
        <w:t> </w:t>
      </w:r>
      <w:r>
        <w:rPr>
          <w:color w:val="231F20"/>
          <w:w w:val="105"/>
        </w:rPr>
        <w:t>otra</w:t>
      </w:r>
      <w:r>
        <w:rPr>
          <w:color w:val="231F20"/>
          <w:spacing w:val="-10"/>
          <w:w w:val="105"/>
        </w:rPr>
        <w:t> </w:t>
      </w:r>
      <w:r>
        <w:rPr>
          <w:color w:val="231F20"/>
          <w:w w:val="105"/>
        </w:rPr>
        <w:t>lectura de</w:t>
      </w:r>
      <w:r>
        <w:rPr>
          <w:color w:val="231F20"/>
          <w:spacing w:val="-16"/>
          <w:w w:val="105"/>
        </w:rPr>
        <w:t> </w:t>
      </w:r>
      <w:r>
        <w:rPr>
          <w:color w:val="231F20"/>
          <w:w w:val="105"/>
        </w:rPr>
        <w:t>las</w:t>
      </w:r>
      <w:r>
        <w:rPr>
          <w:color w:val="231F20"/>
          <w:spacing w:val="-16"/>
          <w:w w:val="105"/>
        </w:rPr>
        <w:t> </w:t>
      </w:r>
      <w:r>
        <w:rPr>
          <w:color w:val="231F20"/>
          <w:w w:val="105"/>
        </w:rPr>
        <w:t>relaciones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pareja</w:t>
      </w:r>
      <w:r>
        <w:rPr>
          <w:color w:val="231F20"/>
          <w:spacing w:val="-16"/>
          <w:w w:val="105"/>
        </w:rPr>
        <w:t> </w:t>
      </w:r>
      <w:r>
        <w:rPr>
          <w:color w:val="231F20"/>
          <w:w w:val="105"/>
        </w:rPr>
        <w:t>con</w:t>
      </w:r>
      <w:r>
        <w:rPr>
          <w:color w:val="231F20"/>
          <w:spacing w:val="-16"/>
          <w:w w:val="105"/>
        </w:rPr>
        <w:t> </w:t>
      </w:r>
      <w:r>
        <w:rPr>
          <w:color w:val="231F20"/>
          <w:w w:val="105"/>
        </w:rPr>
        <w:t>migración</w:t>
      </w:r>
      <w:r>
        <w:rPr>
          <w:color w:val="231F20"/>
          <w:spacing w:val="-16"/>
          <w:w w:val="105"/>
        </w:rPr>
        <w:t> </w:t>
      </w:r>
      <w:r>
        <w:rPr>
          <w:color w:val="231F20"/>
          <w:w w:val="105"/>
        </w:rPr>
        <w:t>masculina,</w:t>
      </w:r>
      <w:r>
        <w:rPr>
          <w:color w:val="231F20"/>
          <w:spacing w:val="-21"/>
          <w:w w:val="105"/>
        </w:rPr>
        <w:t> </w:t>
      </w:r>
      <w:r>
        <w:rPr>
          <w:color w:val="231F20"/>
          <w:w w:val="105"/>
        </w:rPr>
        <w:t>pues</w:t>
      </w:r>
      <w:r>
        <w:rPr>
          <w:color w:val="231F20"/>
          <w:spacing w:val="-16"/>
          <w:w w:val="105"/>
        </w:rPr>
        <w:t> </w:t>
      </w:r>
      <w:r>
        <w:rPr>
          <w:color w:val="231F20"/>
          <w:w w:val="105"/>
        </w:rPr>
        <w:t>se</w:t>
      </w:r>
      <w:r>
        <w:rPr>
          <w:color w:val="231F20"/>
          <w:spacing w:val="-16"/>
          <w:w w:val="105"/>
        </w:rPr>
        <w:t> </w:t>
      </w:r>
      <w:r>
        <w:rPr>
          <w:color w:val="231F20"/>
          <w:w w:val="105"/>
        </w:rPr>
        <w:t>integran variables</w:t>
      </w:r>
      <w:r>
        <w:rPr>
          <w:color w:val="231F20"/>
          <w:spacing w:val="-12"/>
          <w:w w:val="105"/>
        </w:rPr>
        <w:t> </w:t>
      </w:r>
      <w:r>
        <w:rPr>
          <w:color w:val="231F20"/>
          <w:w w:val="105"/>
        </w:rPr>
        <w:t>como</w:t>
      </w:r>
      <w:r>
        <w:rPr>
          <w:color w:val="231F20"/>
          <w:spacing w:val="-12"/>
          <w:w w:val="105"/>
        </w:rPr>
        <w:t> </w:t>
      </w:r>
      <w:r>
        <w:rPr>
          <w:color w:val="231F20"/>
          <w:w w:val="105"/>
        </w:rPr>
        <w:t>el</w:t>
      </w:r>
      <w:r>
        <w:rPr>
          <w:color w:val="231F20"/>
          <w:spacing w:val="-12"/>
          <w:w w:val="105"/>
        </w:rPr>
        <w:t> </w:t>
      </w:r>
      <w:r>
        <w:rPr>
          <w:color w:val="231F20"/>
          <w:w w:val="105"/>
        </w:rPr>
        <w:t>género,</w:t>
      </w:r>
      <w:r>
        <w:rPr>
          <w:color w:val="231F20"/>
          <w:spacing w:val="-17"/>
          <w:w w:val="105"/>
        </w:rPr>
        <w:t> </w:t>
      </w:r>
      <w:r>
        <w:rPr>
          <w:color w:val="231F20"/>
          <w:w w:val="105"/>
        </w:rPr>
        <w:t>el</w:t>
      </w:r>
      <w:r>
        <w:rPr>
          <w:color w:val="231F20"/>
          <w:spacing w:val="-12"/>
          <w:w w:val="105"/>
        </w:rPr>
        <w:t> </w:t>
      </w:r>
      <w:r>
        <w:rPr>
          <w:color w:val="231F20"/>
          <w:w w:val="105"/>
        </w:rPr>
        <w:t>espacio</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vivencia</w:t>
      </w:r>
      <w:r>
        <w:rPr>
          <w:color w:val="231F20"/>
          <w:spacing w:val="-12"/>
          <w:w w:val="105"/>
        </w:rPr>
        <w:t> </w:t>
      </w:r>
      <w:r>
        <w:rPr>
          <w:color w:val="231F20"/>
          <w:w w:val="105"/>
        </w:rPr>
        <w:t>emocional</w:t>
      </w:r>
      <w:r>
        <w:rPr>
          <w:color w:val="231F20"/>
          <w:spacing w:val="-12"/>
          <w:w w:val="105"/>
        </w:rPr>
        <w:t> </w:t>
      </w:r>
      <w:r>
        <w:rPr>
          <w:color w:val="231F20"/>
          <w:w w:val="105"/>
        </w:rPr>
        <w:t>como</w:t>
      </w:r>
      <w:r>
        <w:rPr>
          <w:color w:val="231F20"/>
          <w:spacing w:val="-12"/>
          <w:w w:val="105"/>
        </w:rPr>
        <w:t> </w:t>
      </w:r>
      <w:r>
        <w:rPr>
          <w:color w:val="231F20"/>
          <w:w w:val="105"/>
        </w:rPr>
        <w:t>reali- dad de lo</w:t>
      </w:r>
      <w:r>
        <w:rPr>
          <w:color w:val="231F20"/>
          <w:spacing w:val="14"/>
          <w:w w:val="105"/>
        </w:rPr>
        <w:t> </w:t>
      </w:r>
      <w:r>
        <w:rPr>
          <w:color w:val="231F20"/>
          <w:w w:val="105"/>
        </w:rPr>
        <w:t>cotidiano.</w:t>
      </w:r>
    </w:p>
    <w:p>
      <w:pPr>
        <w:pStyle w:val="BodyText"/>
        <w:spacing w:line="261" w:lineRule="auto" w:before="1"/>
        <w:ind w:left="1723" w:right="1828" w:firstLine="567"/>
        <w:jc w:val="both"/>
      </w:pPr>
      <w:r>
        <w:rPr>
          <w:color w:val="231F20"/>
          <w:spacing w:val="-6"/>
          <w:w w:val="105"/>
        </w:rPr>
        <w:t>Por </w:t>
      </w:r>
      <w:r>
        <w:rPr>
          <w:color w:val="231F20"/>
          <w:w w:val="105"/>
        </w:rPr>
        <w:t>un lado, este trabajo recoge la experiencia de las emociones como un primer intento de explicar el lugar de lo emocional dentro de estos</w:t>
      </w:r>
      <w:r>
        <w:rPr>
          <w:color w:val="231F20"/>
          <w:spacing w:val="-16"/>
          <w:w w:val="105"/>
        </w:rPr>
        <w:t> </w:t>
      </w:r>
      <w:r>
        <w:rPr>
          <w:color w:val="231F20"/>
          <w:w w:val="105"/>
        </w:rPr>
        <w:t>procesos</w:t>
      </w:r>
      <w:r>
        <w:rPr>
          <w:color w:val="231F20"/>
          <w:spacing w:val="-16"/>
          <w:w w:val="105"/>
        </w:rPr>
        <w:t> </w:t>
      </w:r>
      <w:r>
        <w:rPr>
          <w:color w:val="231F20"/>
          <w:w w:val="105"/>
        </w:rPr>
        <w:t>de</w:t>
      </w:r>
      <w:r>
        <w:rPr>
          <w:color w:val="231F20"/>
          <w:spacing w:val="-16"/>
          <w:w w:val="105"/>
        </w:rPr>
        <w:t> </w:t>
      </w:r>
      <w:r>
        <w:rPr>
          <w:color w:val="231F20"/>
          <w:w w:val="105"/>
        </w:rPr>
        <w:t>circulación</w:t>
      </w:r>
      <w:r>
        <w:rPr>
          <w:color w:val="231F20"/>
          <w:spacing w:val="-16"/>
          <w:w w:val="105"/>
        </w:rPr>
        <w:t> </w:t>
      </w:r>
      <w:r>
        <w:rPr>
          <w:color w:val="231F20"/>
          <w:w w:val="105"/>
        </w:rPr>
        <w:t>laboral</w:t>
      </w:r>
      <w:r>
        <w:rPr>
          <w:color w:val="231F20"/>
          <w:spacing w:val="-16"/>
          <w:w w:val="105"/>
        </w:rPr>
        <w:t> </w:t>
      </w:r>
      <w:r>
        <w:rPr>
          <w:color w:val="231F20"/>
          <w:w w:val="105"/>
        </w:rPr>
        <w:t>entre</w:t>
      </w:r>
      <w:r>
        <w:rPr>
          <w:color w:val="231F20"/>
          <w:spacing w:val="-16"/>
          <w:w w:val="105"/>
        </w:rPr>
        <w:t> </w:t>
      </w:r>
      <w:r>
        <w:rPr>
          <w:color w:val="231F20"/>
          <w:w w:val="105"/>
        </w:rPr>
        <w:t>México</w:t>
      </w:r>
      <w:r>
        <w:rPr>
          <w:color w:val="231F20"/>
          <w:spacing w:val="-16"/>
          <w:w w:val="105"/>
        </w:rPr>
        <w:t> </w:t>
      </w:r>
      <w:r>
        <w:rPr>
          <w:color w:val="231F20"/>
          <w:w w:val="105"/>
        </w:rPr>
        <w:t>y</w:t>
      </w:r>
      <w:r>
        <w:rPr>
          <w:color w:val="231F20"/>
          <w:spacing w:val="-16"/>
          <w:w w:val="105"/>
        </w:rPr>
        <w:t> </w:t>
      </w:r>
      <w:r>
        <w:rPr>
          <w:color w:val="231F20"/>
          <w:w w:val="105"/>
        </w:rPr>
        <w:t>Estados</w:t>
      </w:r>
      <w:r>
        <w:rPr>
          <w:color w:val="231F20"/>
          <w:spacing w:val="-16"/>
          <w:w w:val="105"/>
        </w:rPr>
        <w:t> </w:t>
      </w:r>
      <w:r>
        <w:rPr>
          <w:color w:val="231F20"/>
          <w:w w:val="105"/>
        </w:rPr>
        <w:t>Unidos,</w:t>
      </w:r>
      <w:r>
        <w:rPr>
          <w:color w:val="231F20"/>
          <w:spacing w:val="-20"/>
          <w:w w:val="105"/>
        </w:rPr>
        <w:t> </w:t>
      </w:r>
      <w:r>
        <w:rPr>
          <w:color w:val="231F20"/>
          <w:w w:val="105"/>
        </w:rPr>
        <w:t>en particular, de los mexiquenses en el estado de </w:t>
      </w:r>
      <w:r>
        <w:rPr>
          <w:color w:val="231F20"/>
          <w:spacing w:val="-4"/>
          <w:w w:val="105"/>
        </w:rPr>
        <w:t>Texas. </w:t>
      </w:r>
      <w:r>
        <w:rPr>
          <w:color w:val="231F20"/>
          <w:w w:val="105"/>
        </w:rPr>
        <w:t>Concluimos que las idas y venires persisten como eventos de movilidad transnacional. En</w:t>
      </w:r>
      <w:r>
        <w:rPr>
          <w:color w:val="231F20"/>
          <w:spacing w:val="-17"/>
          <w:w w:val="105"/>
        </w:rPr>
        <w:t> </w:t>
      </w:r>
      <w:r>
        <w:rPr>
          <w:color w:val="231F20"/>
          <w:w w:val="105"/>
        </w:rPr>
        <w:t>resumen,</w:t>
      </w:r>
      <w:r>
        <w:rPr>
          <w:color w:val="231F20"/>
          <w:spacing w:val="-21"/>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estudio</w:t>
      </w:r>
      <w:r>
        <w:rPr>
          <w:color w:val="231F20"/>
          <w:spacing w:val="-17"/>
          <w:w w:val="105"/>
        </w:rPr>
        <w:t> </w:t>
      </w:r>
      <w:r>
        <w:rPr>
          <w:color w:val="231F20"/>
          <w:w w:val="105"/>
        </w:rPr>
        <w:t>las</w:t>
      </w:r>
      <w:r>
        <w:rPr>
          <w:color w:val="231F20"/>
          <w:spacing w:val="-17"/>
          <w:w w:val="105"/>
        </w:rPr>
        <w:t> </w:t>
      </w:r>
      <w:r>
        <w:rPr>
          <w:color w:val="231F20"/>
          <w:w w:val="105"/>
        </w:rPr>
        <w:t>diferentes</w:t>
      </w:r>
      <w:r>
        <w:rPr>
          <w:color w:val="231F20"/>
          <w:spacing w:val="-17"/>
          <w:w w:val="105"/>
        </w:rPr>
        <w:t> </w:t>
      </w:r>
      <w:r>
        <w:rPr>
          <w:color w:val="231F20"/>
          <w:w w:val="105"/>
        </w:rPr>
        <w:t>idas</w:t>
      </w:r>
      <w:r>
        <w:rPr>
          <w:color w:val="231F20"/>
          <w:spacing w:val="-17"/>
          <w:w w:val="105"/>
        </w:rPr>
        <w:t> </w:t>
      </w:r>
      <w:r>
        <w:rPr>
          <w:color w:val="231F20"/>
          <w:w w:val="105"/>
        </w:rPr>
        <w:t>y</w:t>
      </w:r>
      <w:r>
        <w:rPr>
          <w:color w:val="231F20"/>
          <w:spacing w:val="-17"/>
          <w:w w:val="105"/>
        </w:rPr>
        <w:t> </w:t>
      </w:r>
      <w:r>
        <w:rPr>
          <w:color w:val="231F20"/>
          <w:w w:val="105"/>
        </w:rPr>
        <w:t>venires</w:t>
      </w:r>
      <w:r>
        <w:rPr>
          <w:color w:val="231F20"/>
          <w:spacing w:val="-17"/>
          <w:w w:val="105"/>
        </w:rPr>
        <w:t> </w:t>
      </w:r>
      <w:r>
        <w:rPr>
          <w:color w:val="231F20"/>
          <w:w w:val="105"/>
        </w:rPr>
        <w:t>se</w:t>
      </w:r>
      <w:r>
        <w:rPr>
          <w:color w:val="231F20"/>
          <w:spacing w:val="-17"/>
          <w:w w:val="105"/>
        </w:rPr>
        <w:t> </w:t>
      </w:r>
      <w:r>
        <w:rPr>
          <w:color w:val="231F20"/>
          <w:w w:val="105"/>
        </w:rPr>
        <w:t>presentaron acotados</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variabilidad</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tiempos</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ciudades</w:t>
      </w:r>
      <w:r>
        <w:rPr>
          <w:color w:val="231F20"/>
          <w:spacing w:val="-18"/>
          <w:w w:val="105"/>
        </w:rPr>
        <w:t> </w:t>
      </w:r>
      <w:r>
        <w:rPr>
          <w:color w:val="231F20"/>
          <w:w w:val="105"/>
        </w:rPr>
        <w:t>de</w:t>
      </w:r>
      <w:r>
        <w:rPr>
          <w:color w:val="231F20"/>
          <w:spacing w:val="-18"/>
          <w:w w:val="105"/>
        </w:rPr>
        <w:t> </w:t>
      </w:r>
      <w:r>
        <w:rPr>
          <w:color w:val="231F20"/>
          <w:w w:val="105"/>
        </w:rPr>
        <w:t>destino</w:t>
      </w:r>
      <w:r>
        <w:rPr>
          <w:color w:val="231F20"/>
          <w:spacing w:val="-18"/>
          <w:w w:val="105"/>
        </w:rPr>
        <w:t> </w:t>
      </w:r>
      <w:r>
        <w:rPr>
          <w:color w:val="231F20"/>
          <w:w w:val="105"/>
        </w:rPr>
        <w:t>y</w:t>
      </w:r>
      <w:r>
        <w:rPr>
          <w:color w:val="231F20"/>
          <w:spacing w:val="-18"/>
          <w:w w:val="105"/>
        </w:rPr>
        <w:t> </w:t>
      </w:r>
      <w:r>
        <w:rPr>
          <w:color w:val="231F20"/>
          <w:w w:val="105"/>
        </w:rPr>
        <w:t>las localidades</w:t>
      </w:r>
      <w:r>
        <w:rPr>
          <w:color w:val="231F20"/>
          <w:spacing w:val="-12"/>
          <w:w w:val="105"/>
        </w:rPr>
        <w:t> </w:t>
      </w:r>
      <w:r>
        <w:rPr>
          <w:color w:val="231F20"/>
          <w:w w:val="105"/>
        </w:rPr>
        <w:t>de</w:t>
      </w:r>
      <w:r>
        <w:rPr>
          <w:color w:val="231F20"/>
          <w:spacing w:val="-12"/>
          <w:w w:val="105"/>
        </w:rPr>
        <w:t> </w:t>
      </w:r>
      <w:r>
        <w:rPr>
          <w:color w:val="231F20"/>
          <w:w w:val="105"/>
        </w:rPr>
        <w:t>origen,</w:t>
      </w:r>
      <w:r>
        <w:rPr>
          <w:color w:val="231F20"/>
          <w:spacing w:val="-17"/>
          <w:w w:val="105"/>
        </w:rPr>
        <w:t> </w:t>
      </w:r>
      <w:r>
        <w:rPr>
          <w:color w:val="231F20"/>
          <w:w w:val="105"/>
        </w:rPr>
        <w:t>los</w:t>
      </w:r>
      <w:r>
        <w:rPr>
          <w:color w:val="231F20"/>
          <w:spacing w:val="-12"/>
          <w:w w:val="105"/>
        </w:rPr>
        <w:t> </w:t>
      </w:r>
      <w:r>
        <w:rPr>
          <w:color w:val="231F20"/>
          <w:w w:val="105"/>
        </w:rPr>
        <w:t>espaciamientos</w:t>
      </w:r>
      <w:r>
        <w:rPr>
          <w:color w:val="231F20"/>
          <w:spacing w:val="-12"/>
          <w:w w:val="105"/>
        </w:rPr>
        <w:t> </w:t>
      </w:r>
      <w:r>
        <w:rPr>
          <w:color w:val="231F20"/>
          <w:w w:val="105"/>
        </w:rPr>
        <w:t>y</w:t>
      </w:r>
      <w:r>
        <w:rPr>
          <w:color w:val="231F20"/>
          <w:spacing w:val="-12"/>
          <w:w w:val="105"/>
        </w:rPr>
        <w:t> </w:t>
      </w:r>
      <w:r>
        <w:rPr>
          <w:color w:val="231F20"/>
          <w:w w:val="105"/>
        </w:rPr>
        <w:t>destinos.</w:t>
      </w:r>
      <w:r>
        <w:rPr>
          <w:color w:val="231F20"/>
          <w:spacing w:val="-17"/>
          <w:w w:val="105"/>
        </w:rPr>
        <w:t> </w:t>
      </w:r>
      <w:r>
        <w:rPr>
          <w:color w:val="231F20"/>
          <w:w w:val="105"/>
        </w:rPr>
        <w:t>En</w:t>
      </w:r>
      <w:r>
        <w:rPr>
          <w:color w:val="231F20"/>
          <w:spacing w:val="-12"/>
          <w:w w:val="105"/>
        </w:rPr>
        <w:t> </w:t>
      </w:r>
      <w:r>
        <w:rPr>
          <w:color w:val="231F20"/>
          <w:w w:val="105"/>
        </w:rPr>
        <w:t>otras</w:t>
      </w:r>
      <w:r>
        <w:rPr>
          <w:color w:val="231F20"/>
          <w:spacing w:val="-12"/>
          <w:w w:val="105"/>
        </w:rPr>
        <w:t> </w:t>
      </w:r>
      <w:r>
        <w:rPr>
          <w:color w:val="231F20"/>
          <w:w w:val="105"/>
        </w:rPr>
        <w:t>palabras, la</w:t>
      </w:r>
      <w:r>
        <w:rPr>
          <w:color w:val="231F20"/>
          <w:spacing w:val="-23"/>
          <w:w w:val="105"/>
        </w:rPr>
        <w:t> </w:t>
      </w:r>
      <w:r>
        <w:rPr>
          <w:color w:val="231F20"/>
          <w:w w:val="105"/>
        </w:rPr>
        <w:t>ocurrencia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migración</w:t>
      </w:r>
      <w:r>
        <w:rPr>
          <w:color w:val="231F20"/>
          <w:spacing w:val="-23"/>
          <w:w w:val="105"/>
        </w:rPr>
        <w:t> </w:t>
      </w:r>
      <w:r>
        <w:rPr>
          <w:color w:val="231F20"/>
          <w:w w:val="105"/>
        </w:rPr>
        <w:t>va</w:t>
      </w:r>
      <w:r>
        <w:rPr>
          <w:color w:val="231F20"/>
          <w:spacing w:val="-23"/>
          <w:w w:val="105"/>
        </w:rPr>
        <w:t> </w:t>
      </w:r>
      <w:r>
        <w:rPr>
          <w:color w:val="231F20"/>
          <w:w w:val="105"/>
        </w:rPr>
        <w:t>más</w:t>
      </w:r>
      <w:r>
        <w:rPr>
          <w:color w:val="231F20"/>
          <w:spacing w:val="-23"/>
          <w:w w:val="105"/>
        </w:rPr>
        <w:t> </w:t>
      </w:r>
      <w:r>
        <w:rPr>
          <w:color w:val="231F20"/>
          <w:w w:val="105"/>
        </w:rPr>
        <w:t>allá</w:t>
      </w:r>
      <w:r>
        <w:rPr>
          <w:color w:val="231F20"/>
          <w:spacing w:val="-23"/>
          <w:w w:val="105"/>
        </w:rPr>
        <w:t> </w:t>
      </w:r>
      <w:r>
        <w:rPr>
          <w:color w:val="231F20"/>
          <w:w w:val="105"/>
        </w:rPr>
        <w:t>de</w:t>
      </w:r>
      <w:r>
        <w:rPr>
          <w:color w:val="231F20"/>
          <w:spacing w:val="-23"/>
          <w:w w:val="105"/>
        </w:rPr>
        <w:t> </w:t>
      </w:r>
      <w:r>
        <w:rPr>
          <w:color w:val="231F20"/>
          <w:w w:val="105"/>
        </w:rPr>
        <w:t>lo</w:t>
      </w:r>
      <w:r>
        <w:rPr>
          <w:color w:val="231F20"/>
          <w:spacing w:val="-23"/>
          <w:w w:val="105"/>
        </w:rPr>
        <w:t> </w:t>
      </w:r>
      <w:r>
        <w:rPr>
          <w:color w:val="231F20"/>
          <w:w w:val="105"/>
        </w:rPr>
        <w:t>económico.</w:t>
      </w:r>
      <w:r>
        <w:rPr>
          <w:color w:val="231F20"/>
          <w:spacing w:val="-28"/>
          <w:w w:val="105"/>
        </w:rPr>
        <w:t> </w:t>
      </w:r>
      <w:r>
        <w:rPr>
          <w:color w:val="231F20"/>
          <w:w w:val="105"/>
        </w:rPr>
        <w:t>Su</w:t>
      </w:r>
      <w:r>
        <w:rPr>
          <w:color w:val="231F20"/>
          <w:spacing w:val="-23"/>
          <w:w w:val="105"/>
        </w:rPr>
        <w:t> </w:t>
      </w:r>
      <w:r>
        <w:rPr>
          <w:color w:val="231F20"/>
          <w:w w:val="105"/>
        </w:rPr>
        <w:t>explicación es</w:t>
      </w:r>
      <w:r>
        <w:rPr>
          <w:color w:val="231F20"/>
          <w:spacing w:val="-5"/>
          <w:w w:val="105"/>
        </w:rPr>
        <w:t> </w:t>
      </w:r>
      <w:r>
        <w:rPr>
          <w:color w:val="231F20"/>
          <w:w w:val="105"/>
        </w:rPr>
        <w:t>que</w:t>
      </w:r>
      <w:r>
        <w:rPr>
          <w:color w:val="231F20"/>
          <w:spacing w:val="-5"/>
          <w:w w:val="105"/>
        </w:rPr>
        <w:t> </w:t>
      </w:r>
      <w:r>
        <w:rPr>
          <w:color w:val="231F20"/>
          <w:w w:val="105"/>
        </w:rPr>
        <w:t>hay</w:t>
      </w:r>
      <w:r>
        <w:rPr>
          <w:color w:val="231F20"/>
          <w:spacing w:val="-5"/>
          <w:w w:val="105"/>
        </w:rPr>
        <w:t> </w:t>
      </w:r>
      <w:r>
        <w:rPr>
          <w:color w:val="231F20"/>
          <w:w w:val="105"/>
        </w:rPr>
        <w:t>un</w:t>
      </w:r>
      <w:r>
        <w:rPr>
          <w:color w:val="231F20"/>
          <w:spacing w:val="-5"/>
          <w:w w:val="105"/>
        </w:rPr>
        <w:t> </w:t>
      </w:r>
      <w:r>
        <w:rPr>
          <w:color w:val="231F20"/>
          <w:w w:val="105"/>
        </w:rPr>
        <w:t>entrelazamiento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objetivos</w:t>
      </w:r>
      <w:r>
        <w:rPr>
          <w:color w:val="231F20"/>
          <w:spacing w:val="-5"/>
          <w:w w:val="105"/>
        </w:rPr>
        <w:t> </w:t>
      </w:r>
      <w:r>
        <w:rPr>
          <w:color w:val="231F20"/>
          <w:w w:val="105"/>
        </w:rPr>
        <w:t>y</w:t>
      </w:r>
      <w:r>
        <w:rPr>
          <w:color w:val="231F20"/>
          <w:spacing w:val="-5"/>
          <w:w w:val="105"/>
        </w:rPr>
        <w:t> </w:t>
      </w:r>
      <w:r>
        <w:rPr>
          <w:color w:val="231F20"/>
          <w:w w:val="105"/>
        </w:rPr>
        <w:t>proyectos</w:t>
      </w:r>
      <w:r>
        <w:rPr>
          <w:color w:val="231F20"/>
          <w:spacing w:val="-5"/>
          <w:w w:val="105"/>
        </w:rPr>
        <w:t> </w:t>
      </w:r>
      <w:r>
        <w:rPr>
          <w:color w:val="231F20"/>
          <w:w w:val="105"/>
        </w:rPr>
        <w:t>personales, los</w:t>
      </w:r>
      <w:r>
        <w:rPr>
          <w:color w:val="231F20"/>
          <w:spacing w:val="-7"/>
          <w:w w:val="105"/>
        </w:rPr>
        <w:t> </w:t>
      </w:r>
      <w:r>
        <w:rPr>
          <w:color w:val="231F20"/>
          <w:w w:val="105"/>
        </w:rPr>
        <w:t>ciclos</w:t>
      </w:r>
      <w:r>
        <w:rPr>
          <w:color w:val="231F20"/>
          <w:spacing w:val="-7"/>
          <w:w w:val="105"/>
        </w:rPr>
        <w:t> </w:t>
      </w:r>
      <w:r>
        <w:rPr>
          <w:color w:val="231F20"/>
          <w:w w:val="105"/>
        </w:rPr>
        <w:t>de</w:t>
      </w:r>
      <w:r>
        <w:rPr>
          <w:color w:val="231F20"/>
          <w:spacing w:val="-7"/>
          <w:w w:val="105"/>
        </w:rPr>
        <w:t> </w:t>
      </w:r>
      <w:r>
        <w:rPr>
          <w:color w:val="231F20"/>
          <w:w w:val="105"/>
        </w:rPr>
        <w:t>vida</w:t>
      </w:r>
      <w:r>
        <w:rPr>
          <w:color w:val="231F20"/>
          <w:spacing w:val="-7"/>
          <w:w w:val="105"/>
        </w:rPr>
        <w:t> </w:t>
      </w:r>
      <w:r>
        <w:rPr>
          <w:color w:val="231F20"/>
          <w:w w:val="105"/>
        </w:rPr>
        <w:t>productiva,</w:t>
      </w:r>
      <w:r>
        <w:rPr>
          <w:color w:val="231F20"/>
          <w:spacing w:val="-12"/>
          <w:w w:val="105"/>
        </w:rPr>
        <w:t> </w:t>
      </w:r>
      <w:r>
        <w:rPr>
          <w:color w:val="231F20"/>
          <w:w w:val="105"/>
        </w:rPr>
        <w:t>así</w:t>
      </w:r>
      <w:r>
        <w:rPr>
          <w:color w:val="231F20"/>
          <w:spacing w:val="-7"/>
          <w:w w:val="105"/>
        </w:rPr>
        <w:t> </w:t>
      </w:r>
      <w:r>
        <w:rPr>
          <w:color w:val="231F20"/>
          <w:w w:val="105"/>
        </w:rPr>
        <w:t>como</w:t>
      </w:r>
      <w:r>
        <w:rPr>
          <w:color w:val="231F20"/>
          <w:spacing w:val="-7"/>
          <w:w w:val="105"/>
        </w:rPr>
        <w:t> </w:t>
      </w:r>
      <w:r>
        <w:rPr>
          <w:color w:val="231F20"/>
          <w:w w:val="105"/>
        </w:rPr>
        <w:t>la</w:t>
      </w:r>
      <w:r>
        <w:rPr>
          <w:color w:val="231F20"/>
          <w:spacing w:val="-7"/>
          <w:w w:val="105"/>
        </w:rPr>
        <w:t> </w:t>
      </w:r>
      <w:r>
        <w:rPr>
          <w:color w:val="231F20"/>
          <w:w w:val="105"/>
        </w:rPr>
        <w:t>necesidad</w:t>
      </w:r>
      <w:r>
        <w:rPr>
          <w:color w:val="231F20"/>
          <w:spacing w:val="-7"/>
          <w:w w:val="105"/>
        </w:rPr>
        <w:t> </w:t>
      </w:r>
      <w:r>
        <w:rPr>
          <w:color w:val="231F20"/>
          <w:w w:val="105"/>
        </w:rPr>
        <w:t>de</w:t>
      </w:r>
      <w:r>
        <w:rPr>
          <w:color w:val="231F20"/>
          <w:spacing w:val="-7"/>
          <w:w w:val="105"/>
        </w:rPr>
        <w:t> </w:t>
      </w:r>
      <w:r>
        <w:rPr>
          <w:color w:val="231F20"/>
          <w:w w:val="105"/>
        </w:rPr>
        <w:t>estar</w:t>
      </w:r>
      <w:r>
        <w:rPr>
          <w:color w:val="231F20"/>
          <w:spacing w:val="-7"/>
          <w:w w:val="105"/>
        </w:rPr>
        <w:t> </w:t>
      </w:r>
      <w:r>
        <w:rPr>
          <w:color w:val="231F20"/>
          <w:w w:val="105"/>
        </w:rPr>
        <w:t>en</w:t>
      </w:r>
      <w:r>
        <w:rPr>
          <w:color w:val="231F20"/>
          <w:spacing w:val="-7"/>
          <w:w w:val="105"/>
        </w:rPr>
        <w:t> </w:t>
      </w:r>
      <w:r>
        <w:rPr>
          <w:color w:val="231F20"/>
          <w:w w:val="105"/>
        </w:rPr>
        <w:t>otro</w:t>
      </w:r>
      <w:r>
        <w:rPr>
          <w:color w:val="231F20"/>
          <w:spacing w:val="-7"/>
          <w:w w:val="105"/>
        </w:rPr>
        <w:t> </w:t>
      </w:r>
      <w:r>
        <w:rPr>
          <w:color w:val="231F20"/>
          <w:w w:val="105"/>
        </w:rPr>
        <w:t>es- pacio</w:t>
      </w:r>
      <w:r>
        <w:rPr>
          <w:color w:val="231F20"/>
          <w:spacing w:val="-7"/>
          <w:w w:val="105"/>
        </w:rPr>
        <w:t> </w:t>
      </w:r>
      <w:r>
        <w:rPr>
          <w:color w:val="231F20"/>
          <w:w w:val="105"/>
        </w:rPr>
        <w:t>que</w:t>
      </w:r>
      <w:r>
        <w:rPr>
          <w:color w:val="231F20"/>
          <w:spacing w:val="-7"/>
          <w:w w:val="105"/>
        </w:rPr>
        <w:t> </w:t>
      </w:r>
      <w:r>
        <w:rPr>
          <w:color w:val="231F20"/>
          <w:w w:val="105"/>
        </w:rPr>
        <w:t>aparte</w:t>
      </w:r>
      <w:r>
        <w:rPr>
          <w:color w:val="231F20"/>
          <w:spacing w:val="-7"/>
          <w:w w:val="105"/>
        </w:rPr>
        <w:t> </w:t>
      </w:r>
      <w:r>
        <w:rPr>
          <w:color w:val="231F20"/>
          <w:w w:val="105"/>
        </w:rPr>
        <w:t>al</w:t>
      </w:r>
      <w:r>
        <w:rPr>
          <w:color w:val="231F20"/>
          <w:spacing w:val="-7"/>
          <w:w w:val="105"/>
        </w:rPr>
        <w:t> </w:t>
      </w:r>
      <w:r>
        <w:rPr>
          <w:color w:val="231F20"/>
          <w:w w:val="105"/>
        </w:rPr>
        <w:t>individuo</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realidad</w:t>
      </w:r>
      <w:r>
        <w:rPr>
          <w:color w:val="231F20"/>
          <w:spacing w:val="-7"/>
          <w:w w:val="105"/>
        </w:rPr>
        <w:t> </w:t>
      </w:r>
      <w:r>
        <w:rPr>
          <w:color w:val="231F20"/>
          <w:w w:val="105"/>
        </w:rPr>
        <w:t>cotidiana.</w:t>
      </w:r>
    </w:p>
    <w:p>
      <w:pPr>
        <w:pStyle w:val="BodyText"/>
        <w:spacing w:line="261" w:lineRule="auto" w:before="1"/>
        <w:ind w:left="1723" w:right="1835" w:firstLine="567"/>
        <w:jc w:val="both"/>
      </w:pPr>
      <w:r>
        <w:rPr>
          <w:color w:val="231F20"/>
          <w:w w:val="105"/>
        </w:rPr>
        <w:t>Derivado de lo anterior, el ir y venir de Estados Unidos no</w:t>
      </w:r>
      <w:r>
        <w:rPr>
          <w:color w:val="231F20"/>
          <w:spacing w:val="-16"/>
          <w:w w:val="105"/>
        </w:rPr>
        <w:t> </w:t>
      </w:r>
      <w:r>
        <w:rPr>
          <w:color w:val="231F20"/>
          <w:w w:val="105"/>
        </w:rPr>
        <w:t>corres- ponde a una clara programación de cuando “ir y regresar” o al cumpli- miento de metas, por el contrario, responde a un cambio, a una</w:t>
      </w:r>
      <w:r>
        <w:rPr>
          <w:color w:val="231F20"/>
          <w:spacing w:val="-28"/>
          <w:w w:val="105"/>
        </w:rPr>
        <w:t> </w:t>
      </w:r>
      <w:r>
        <w:rPr>
          <w:color w:val="231F20"/>
          <w:w w:val="105"/>
        </w:rPr>
        <w:t>oportu- nidad, a un deseo imperante como respuesta al “shock” de estar aquí</w:t>
      </w:r>
      <w:r>
        <w:rPr>
          <w:color w:val="231F20"/>
          <w:spacing w:val="-22"/>
          <w:w w:val="105"/>
        </w:rPr>
        <w:t> </w:t>
      </w:r>
      <w:r>
        <w:rPr>
          <w:color w:val="231F20"/>
          <w:w w:val="105"/>
        </w:rPr>
        <w:t>o allá,</w:t>
      </w:r>
      <w:r>
        <w:rPr>
          <w:color w:val="231F20"/>
          <w:spacing w:val="-19"/>
          <w:w w:val="105"/>
        </w:rPr>
        <w:t> </w:t>
      </w:r>
      <w:r>
        <w:rPr>
          <w:color w:val="231F20"/>
          <w:w w:val="105"/>
        </w:rPr>
        <w:t>o</w:t>
      </w:r>
      <w:r>
        <w:rPr>
          <w:color w:val="231F20"/>
          <w:spacing w:val="-14"/>
          <w:w w:val="105"/>
        </w:rPr>
        <w:t> </w:t>
      </w:r>
      <w:r>
        <w:rPr>
          <w:color w:val="231F20"/>
          <w:w w:val="105"/>
        </w:rPr>
        <w:t>como</w:t>
      </w:r>
      <w:r>
        <w:rPr>
          <w:color w:val="231F20"/>
          <w:spacing w:val="-14"/>
          <w:w w:val="105"/>
        </w:rPr>
        <w:t> </w:t>
      </w:r>
      <w:r>
        <w:rPr>
          <w:color w:val="231F20"/>
          <w:w w:val="105"/>
        </w:rPr>
        <w:t>un</w:t>
      </w:r>
      <w:r>
        <w:rPr>
          <w:color w:val="231F20"/>
          <w:spacing w:val="-14"/>
          <w:w w:val="105"/>
        </w:rPr>
        <w:t> </w:t>
      </w:r>
      <w:r>
        <w:rPr>
          <w:color w:val="231F20"/>
          <w:w w:val="105"/>
        </w:rPr>
        <w:t>deseo</w:t>
      </w:r>
      <w:r>
        <w:rPr>
          <w:color w:val="231F20"/>
          <w:spacing w:val="-14"/>
          <w:w w:val="105"/>
        </w:rPr>
        <w:t> </w:t>
      </w:r>
      <w:r>
        <w:rPr>
          <w:color w:val="231F20"/>
          <w:w w:val="105"/>
        </w:rPr>
        <w:t>por</w:t>
      </w:r>
      <w:r>
        <w:rPr>
          <w:color w:val="231F20"/>
          <w:spacing w:val="-14"/>
          <w:w w:val="105"/>
        </w:rPr>
        <w:t> </w:t>
      </w:r>
      <w:r>
        <w:rPr>
          <w:color w:val="231F20"/>
          <w:w w:val="105"/>
        </w:rPr>
        <w:t>experimentar</w:t>
      </w:r>
      <w:r>
        <w:rPr>
          <w:color w:val="231F20"/>
          <w:spacing w:val="-14"/>
          <w:w w:val="105"/>
        </w:rPr>
        <w:t> </w:t>
      </w:r>
      <w:r>
        <w:rPr>
          <w:color w:val="231F20"/>
          <w:w w:val="105"/>
        </w:rPr>
        <w:t>emociones</w:t>
      </w:r>
      <w:r>
        <w:rPr>
          <w:color w:val="231F20"/>
          <w:spacing w:val="-14"/>
          <w:w w:val="105"/>
        </w:rPr>
        <w:t> </w:t>
      </w:r>
      <w:r>
        <w:rPr>
          <w:color w:val="231F20"/>
          <w:w w:val="105"/>
        </w:rPr>
        <w:t>altas.</w:t>
      </w:r>
    </w:p>
    <w:p>
      <w:pPr>
        <w:pStyle w:val="BodyText"/>
        <w:spacing w:line="261" w:lineRule="auto" w:before="1"/>
        <w:ind w:left="1723" w:right="1835" w:firstLine="567"/>
        <w:jc w:val="right"/>
      </w:pPr>
      <w:r>
        <w:rPr>
          <w:color w:val="231F20"/>
        </w:rPr>
        <w:t>El ángulo emocional ha sido tomado dentro de los estudios de mi-</w:t>
      </w:r>
      <w:r>
        <w:rPr>
          <w:color w:val="231F20"/>
          <w:w w:val="96"/>
        </w:rPr>
        <w:t> </w:t>
      </w:r>
      <w:r>
        <w:rPr>
          <w:color w:val="231F20"/>
        </w:rPr>
        <w:t>gración como una consecuencia y no como una causa, razón por la cual</w:t>
      </w:r>
      <w:r>
        <w:rPr>
          <w:color w:val="231F20"/>
          <w:w w:val="101"/>
        </w:rPr>
        <w:t> </w:t>
      </w:r>
      <w:r>
        <w:rPr>
          <w:color w:val="231F20"/>
        </w:rPr>
        <w:t>hasta ahora buscándose buscan razones externas al individuo, sin embar-</w:t>
      </w:r>
      <w:r>
        <w:rPr>
          <w:color w:val="231F20"/>
          <w:w w:val="96"/>
        </w:rPr>
        <w:t> </w:t>
      </w:r>
      <w:r>
        <w:rPr>
          <w:color w:val="231F20"/>
        </w:rPr>
        <w:t>go, lo emocional no sólo determina las idas y venidas, sino también la es-</w:t>
      </w:r>
      <w:r>
        <w:rPr>
          <w:color w:val="231F20"/>
          <w:w w:val="96"/>
        </w:rPr>
        <w:t> </w:t>
      </w:r>
      <w:r>
        <w:rPr>
          <w:color w:val="231F20"/>
        </w:rPr>
        <w:t>tructura de las relaciones de las parejas durante las idas de los   hombres.</w:t>
      </w:r>
    </w:p>
    <w:p>
      <w:pPr>
        <w:pStyle w:val="BodyText"/>
        <w:spacing w:line="261" w:lineRule="auto" w:before="1"/>
        <w:ind w:left="1723" w:right="1834" w:firstLine="567"/>
        <w:jc w:val="both"/>
      </w:pPr>
      <w:r>
        <w:rPr>
          <w:color w:val="231F20"/>
          <w:w w:val="105"/>
        </w:rPr>
        <w:t>La</w:t>
      </w:r>
      <w:r>
        <w:rPr>
          <w:color w:val="231F20"/>
          <w:spacing w:val="-28"/>
          <w:w w:val="105"/>
        </w:rPr>
        <w:t> </w:t>
      </w:r>
      <w:r>
        <w:rPr>
          <w:color w:val="231F20"/>
          <w:w w:val="105"/>
        </w:rPr>
        <w:t>vida</w:t>
      </w:r>
      <w:r>
        <w:rPr>
          <w:color w:val="231F20"/>
          <w:spacing w:val="-28"/>
          <w:w w:val="105"/>
        </w:rPr>
        <w:t> </w:t>
      </w:r>
      <w:r>
        <w:rPr>
          <w:color w:val="231F20"/>
          <w:w w:val="105"/>
        </w:rPr>
        <w:t>emocional</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migrantes</w:t>
      </w:r>
      <w:r>
        <w:rPr>
          <w:color w:val="231F20"/>
          <w:spacing w:val="-28"/>
          <w:w w:val="105"/>
        </w:rPr>
        <w:t> </w:t>
      </w:r>
      <w:r>
        <w:rPr>
          <w:color w:val="231F20"/>
          <w:w w:val="105"/>
        </w:rPr>
        <w:t>se</w:t>
      </w:r>
      <w:r>
        <w:rPr>
          <w:color w:val="231F20"/>
          <w:spacing w:val="-28"/>
          <w:w w:val="105"/>
        </w:rPr>
        <w:t> </w:t>
      </w:r>
      <w:r>
        <w:rPr>
          <w:color w:val="231F20"/>
          <w:w w:val="105"/>
        </w:rPr>
        <w:t>reduce</w:t>
      </w:r>
      <w:r>
        <w:rPr>
          <w:color w:val="231F20"/>
          <w:spacing w:val="-28"/>
          <w:w w:val="105"/>
        </w:rPr>
        <w:t> </w:t>
      </w:r>
      <w:r>
        <w:rPr>
          <w:color w:val="231F20"/>
          <w:w w:val="105"/>
        </w:rPr>
        <w:t>al</w:t>
      </w:r>
      <w:r>
        <w:rPr>
          <w:color w:val="231F20"/>
          <w:spacing w:val="-28"/>
          <w:w w:val="105"/>
        </w:rPr>
        <w:t> </w:t>
      </w:r>
      <w:r>
        <w:rPr>
          <w:color w:val="231F20"/>
          <w:w w:val="105"/>
        </w:rPr>
        <w:t>“estar</w:t>
      </w:r>
      <w:r>
        <w:rPr>
          <w:color w:val="231F20"/>
          <w:spacing w:val="-28"/>
          <w:w w:val="105"/>
        </w:rPr>
        <w:t> </w:t>
      </w:r>
      <w:r>
        <w:rPr>
          <w:color w:val="231F20"/>
          <w:w w:val="105"/>
        </w:rPr>
        <w:t>bien”</w:t>
      </w:r>
      <w:r>
        <w:rPr>
          <w:color w:val="231F20"/>
          <w:spacing w:val="-28"/>
          <w:w w:val="105"/>
        </w:rPr>
        <w:t> </w:t>
      </w:r>
      <w:r>
        <w:rPr>
          <w:color w:val="231F20"/>
          <w:w w:val="105"/>
        </w:rPr>
        <w:t>o</w:t>
      </w:r>
      <w:r>
        <w:rPr>
          <w:color w:val="231F20"/>
          <w:spacing w:val="-28"/>
          <w:w w:val="105"/>
        </w:rPr>
        <w:t> </w:t>
      </w:r>
      <w:r>
        <w:rPr>
          <w:color w:val="231F20"/>
          <w:w w:val="105"/>
        </w:rPr>
        <w:t>“estar </w:t>
      </w:r>
      <w:r>
        <w:rPr>
          <w:color w:val="231F20"/>
          <w:spacing w:val="-6"/>
          <w:w w:val="105"/>
        </w:rPr>
        <w:t>mal”,</w:t>
      </w:r>
      <w:r>
        <w:rPr>
          <w:color w:val="231F20"/>
          <w:spacing w:val="-30"/>
          <w:w w:val="105"/>
        </w:rPr>
        <w:t> </w:t>
      </w:r>
      <w:r>
        <w:rPr>
          <w:color w:val="231F20"/>
          <w:w w:val="105"/>
        </w:rPr>
        <w:t>estados</w:t>
      </w:r>
      <w:r>
        <w:rPr>
          <w:color w:val="231F20"/>
          <w:spacing w:val="-25"/>
          <w:w w:val="105"/>
        </w:rPr>
        <w:t> </w:t>
      </w:r>
      <w:r>
        <w:rPr>
          <w:color w:val="231F20"/>
          <w:w w:val="105"/>
        </w:rPr>
        <w:t>que</w:t>
      </w:r>
      <w:r>
        <w:rPr>
          <w:color w:val="231F20"/>
          <w:spacing w:val="-25"/>
          <w:w w:val="105"/>
        </w:rPr>
        <w:t> </w:t>
      </w:r>
      <w:r>
        <w:rPr>
          <w:color w:val="231F20"/>
          <w:w w:val="105"/>
        </w:rPr>
        <w:t>sirven</w:t>
      </w:r>
      <w:r>
        <w:rPr>
          <w:color w:val="231F20"/>
          <w:spacing w:val="-25"/>
          <w:w w:val="105"/>
        </w:rPr>
        <w:t> </w:t>
      </w:r>
      <w:r>
        <w:rPr>
          <w:color w:val="231F20"/>
          <w:w w:val="105"/>
        </w:rPr>
        <w:t>como</w:t>
      </w:r>
      <w:r>
        <w:rPr>
          <w:color w:val="231F20"/>
          <w:spacing w:val="-25"/>
          <w:w w:val="105"/>
        </w:rPr>
        <w:t> </w:t>
      </w:r>
      <w:r>
        <w:rPr>
          <w:color w:val="231F20"/>
          <w:w w:val="105"/>
        </w:rPr>
        <w:t>detonadores</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salidas</w:t>
      </w:r>
      <w:r>
        <w:rPr>
          <w:color w:val="231F20"/>
          <w:spacing w:val="-25"/>
          <w:w w:val="105"/>
        </w:rPr>
        <w:t> </w:t>
      </w:r>
      <w:r>
        <w:rPr>
          <w:color w:val="231F20"/>
          <w:w w:val="105"/>
        </w:rPr>
        <w:t>de</w:t>
      </w:r>
      <w:r>
        <w:rPr>
          <w:color w:val="231F20"/>
          <w:spacing w:val="-25"/>
          <w:w w:val="105"/>
        </w:rPr>
        <w:t> </w:t>
      </w:r>
      <w:r>
        <w:rPr>
          <w:color w:val="231F20"/>
          <w:w w:val="105"/>
        </w:rPr>
        <w:t>emergencia entre</w:t>
      </w:r>
      <w:r>
        <w:rPr>
          <w:color w:val="231F20"/>
          <w:spacing w:val="-9"/>
          <w:w w:val="105"/>
        </w:rPr>
        <w:t> </w:t>
      </w:r>
      <w:r>
        <w:rPr>
          <w:color w:val="231F20"/>
          <w:w w:val="105"/>
        </w:rPr>
        <w:t>uno</w:t>
      </w:r>
      <w:r>
        <w:rPr>
          <w:color w:val="231F20"/>
          <w:spacing w:val="-9"/>
          <w:w w:val="105"/>
        </w:rPr>
        <w:t> </w:t>
      </w:r>
      <w:r>
        <w:rPr>
          <w:color w:val="231F20"/>
          <w:w w:val="105"/>
        </w:rPr>
        <w:t>y</w:t>
      </w:r>
      <w:r>
        <w:rPr>
          <w:color w:val="231F20"/>
          <w:spacing w:val="-9"/>
          <w:w w:val="105"/>
        </w:rPr>
        <w:t> </w:t>
      </w:r>
      <w:r>
        <w:rPr>
          <w:color w:val="231F20"/>
          <w:w w:val="105"/>
        </w:rPr>
        <w:t>otro</w:t>
      </w:r>
      <w:r>
        <w:rPr>
          <w:color w:val="231F20"/>
          <w:spacing w:val="-9"/>
          <w:w w:val="105"/>
        </w:rPr>
        <w:t> </w:t>
      </w:r>
      <w:r>
        <w:rPr>
          <w:color w:val="231F20"/>
          <w:w w:val="105"/>
        </w:rPr>
        <w:t>país.</w:t>
      </w:r>
      <w:r>
        <w:rPr>
          <w:color w:val="231F20"/>
          <w:spacing w:val="-15"/>
          <w:w w:val="105"/>
        </w:rPr>
        <w:t> </w:t>
      </w:r>
      <w:r>
        <w:rPr>
          <w:color w:val="231F20"/>
          <w:w w:val="105"/>
        </w:rPr>
        <w:t>Su</w:t>
      </w:r>
      <w:r>
        <w:rPr>
          <w:color w:val="231F20"/>
          <w:spacing w:val="-9"/>
          <w:w w:val="105"/>
        </w:rPr>
        <w:t> </w:t>
      </w:r>
      <w:r>
        <w:rPr>
          <w:color w:val="231F20"/>
          <w:w w:val="105"/>
        </w:rPr>
        <w:t>objetivo</w:t>
      </w:r>
      <w:r>
        <w:rPr>
          <w:color w:val="231F20"/>
          <w:spacing w:val="-9"/>
          <w:w w:val="105"/>
        </w:rPr>
        <w:t> </w:t>
      </w:r>
      <w:r>
        <w:rPr>
          <w:color w:val="231F20"/>
          <w:w w:val="105"/>
        </w:rPr>
        <w:t>de</w:t>
      </w:r>
      <w:r>
        <w:rPr>
          <w:color w:val="231F20"/>
          <w:spacing w:val="-9"/>
          <w:w w:val="105"/>
        </w:rPr>
        <w:t> </w:t>
      </w:r>
      <w:r>
        <w:rPr>
          <w:color w:val="231F20"/>
          <w:w w:val="105"/>
        </w:rPr>
        <w:t>estar</w:t>
      </w:r>
      <w:r>
        <w:rPr>
          <w:color w:val="231F20"/>
          <w:spacing w:val="-9"/>
          <w:w w:val="105"/>
        </w:rPr>
        <w:t> </w:t>
      </w:r>
      <w:r>
        <w:rPr>
          <w:color w:val="231F20"/>
          <w:w w:val="105"/>
        </w:rPr>
        <w:t>en</w:t>
      </w:r>
      <w:r>
        <w:rPr>
          <w:color w:val="231F20"/>
          <w:spacing w:val="-9"/>
          <w:w w:val="105"/>
        </w:rPr>
        <w:t> </w:t>
      </w:r>
      <w:r>
        <w:rPr>
          <w:color w:val="231F20"/>
          <w:w w:val="105"/>
        </w:rPr>
        <w:t>uno</w:t>
      </w:r>
      <w:r>
        <w:rPr>
          <w:color w:val="231F20"/>
          <w:spacing w:val="-9"/>
          <w:w w:val="105"/>
        </w:rPr>
        <w:t> </w:t>
      </w:r>
      <w:r>
        <w:rPr>
          <w:color w:val="231F20"/>
          <w:w w:val="105"/>
        </w:rPr>
        <w:t>u</w:t>
      </w:r>
      <w:r>
        <w:rPr>
          <w:color w:val="231F20"/>
          <w:spacing w:val="-9"/>
          <w:w w:val="105"/>
        </w:rPr>
        <w:t> </w:t>
      </w:r>
      <w:r>
        <w:rPr>
          <w:color w:val="231F20"/>
          <w:w w:val="105"/>
        </w:rPr>
        <w:t>otro</w:t>
      </w:r>
      <w:r>
        <w:rPr>
          <w:color w:val="231F20"/>
          <w:spacing w:val="-9"/>
          <w:w w:val="105"/>
        </w:rPr>
        <w:t> </w:t>
      </w:r>
      <w:r>
        <w:rPr>
          <w:color w:val="231F20"/>
          <w:w w:val="105"/>
        </w:rPr>
        <w:t>país</w:t>
      </w:r>
      <w:r>
        <w:rPr>
          <w:color w:val="231F20"/>
          <w:spacing w:val="-9"/>
          <w:w w:val="105"/>
        </w:rPr>
        <w:t> </w:t>
      </w:r>
      <w:r>
        <w:rPr>
          <w:color w:val="231F20"/>
          <w:w w:val="105"/>
        </w:rPr>
        <w:t>responde</w:t>
      </w:r>
      <w:r>
        <w:rPr>
          <w:color w:val="231F20"/>
          <w:spacing w:val="-9"/>
          <w:w w:val="105"/>
        </w:rPr>
        <w:t> </w:t>
      </w:r>
      <w:r>
        <w:rPr>
          <w:color w:val="231F20"/>
          <w:w w:val="105"/>
        </w:rPr>
        <w:t>a</w:t>
      </w:r>
    </w:p>
    <w:p>
      <w:pPr>
        <w:pStyle w:val="BodyText"/>
        <w:rPr>
          <w:sz w:val="20"/>
        </w:rPr>
      </w:pPr>
    </w:p>
    <w:p>
      <w:pPr>
        <w:pStyle w:val="BodyText"/>
        <w:rPr>
          <w:sz w:val="20"/>
        </w:rPr>
      </w:pPr>
    </w:p>
    <w:p>
      <w:pPr>
        <w:pStyle w:val="BodyText"/>
        <w:rPr>
          <w:sz w:val="18"/>
        </w:rPr>
      </w:pPr>
    </w:p>
    <w:p>
      <w:pPr>
        <w:tabs>
          <w:tab w:pos="2937" w:val="left" w:leader="none"/>
        </w:tabs>
        <w:spacing w:before="70"/>
        <w:ind w:left="1832" w:right="0" w:firstLine="0"/>
        <w:jc w:val="left"/>
        <w:rPr>
          <w:rFonts w:ascii="Calibri" w:hAnsi="Calibri"/>
          <w:sz w:val="15"/>
        </w:rPr>
      </w:pPr>
      <w:r>
        <w:rPr/>
        <w:pict>
          <v:line style="position:absolute;mso-position-horizontal-relative:page;mso-position-vertical-relative:paragraph;z-index:-442072" from="131.551193pt,3.703715pt" to="131.551193pt,39.506114pt" stroked="true" strokeweight=".35pt" strokecolor="#231f20">
            <w10:wrap type="none"/>
          </v:line>
        </w:pict>
      </w:r>
      <w:r>
        <w:rPr/>
        <w:pict>
          <v:line style="position:absolute;mso-position-horizontal-relative:page;mso-position-vertical-relative:paragraph;z-index:-442000" from="15pt,39.505917pt" to="0pt,39.505917pt" stroked="true" strokeweight=".25pt" strokecolor="#000000">
            <w10:wrap type="none"/>
          </v:line>
        </w:pict>
      </w:r>
      <w:r>
        <w:rPr/>
        <w:pict>
          <v:line style="position:absolute;mso-position-horizontal-relative:page;mso-position-vertical-relative:paragraph;z-index:48208" from="508.890015pt,39.505917pt" to="523.890015pt,39.505917pt" stroked="true" strokeweight=".25pt" strokecolor="#000000">
            <w10:wrap type="none"/>
          </v:line>
        </w:pict>
      </w:r>
      <w:r>
        <w:rPr>
          <w:rFonts w:ascii="Arial" w:hAnsi="Arial"/>
          <w:color w:val="414042"/>
          <w:w w:val="105"/>
          <w:position w:val="-5"/>
          <w:sz w:val="20"/>
        </w:rPr>
        <w:t>416</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pgSz w:w="10480" w:h="14730"/>
          <w:pgMar w:header="0" w:footer="103" w:top="300" w:bottom="30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823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8256" from="15pt,-28.286539pt" to="0pt,-28.286539pt" stroked="true" strokeweight=".25pt" strokecolor="#000000">
            <w10:wrap type="none"/>
          </v:line>
        </w:pict>
      </w:r>
      <w:r>
        <w:rPr/>
        <w:pict>
          <v:line style="position:absolute;mso-position-horizontal-relative:page;mso-position-vertical-relative:paragraph;z-index:48280" from="508.890015pt,-28.286539pt" to="523.890015pt,-28.286539pt" stroked="true" strokeweight=".25pt" strokecolor="#000000">
            <w10:wrap type="none"/>
          </v:line>
        </w:pict>
      </w:r>
      <w:r>
        <w:rPr>
          <w:rFonts w:ascii="Arial"/>
          <w:color w:val="414042"/>
          <w:sz w:val="20"/>
        </w:rPr>
        <w:t>417</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pStyle w:val="BodyText"/>
        <w:spacing w:line="261" w:lineRule="auto" w:before="61"/>
        <w:ind w:left="1837" w:right="1720"/>
        <w:jc w:val="both"/>
      </w:pPr>
      <w:r>
        <w:rPr>
          <w:color w:val="231F20"/>
          <w:w w:val="105"/>
        </w:rPr>
        <w:t>la</w:t>
      </w:r>
      <w:r>
        <w:rPr>
          <w:color w:val="231F20"/>
          <w:spacing w:val="-12"/>
          <w:w w:val="105"/>
        </w:rPr>
        <w:t> </w:t>
      </w:r>
      <w:r>
        <w:rPr>
          <w:color w:val="231F20"/>
          <w:w w:val="105"/>
        </w:rPr>
        <w:t>necesidad</w:t>
      </w:r>
      <w:r>
        <w:rPr>
          <w:color w:val="231F20"/>
          <w:spacing w:val="-12"/>
          <w:w w:val="105"/>
        </w:rPr>
        <w:t> </w:t>
      </w:r>
      <w:r>
        <w:rPr>
          <w:color w:val="231F20"/>
          <w:w w:val="105"/>
        </w:rPr>
        <w:t>de</w:t>
      </w:r>
      <w:r>
        <w:rPr>
          <w:color w:val="231F20"/>
          <w:spacing w:val="-12"/>
          <w:w w:val="105"/>
        </w:rPr>
        <w:t> </w:t>
      </w:r>
      <w:r>
        <w:rPr>
          <w:color w:val="231F20"/>
          <w:w w:val="105"/>
        </w:rPr>
        <w:t>establecer</w:t>
      </w:r>
      <w:r>
        <w:rPr>
          <w:color w:val="231F20"/>
          <w:spacing w:val="-12"/>
          <w:w w:val="105"/>
        </w:rPr>
        <w:t> </w:t>
      </w:r>
      <w:r>
        <w:rPr>
          <w:color w:val="231F20"/>
          <w:w w:val="105"/>
        </w:rPr>
        <w:t>un</w:t>
      </w:r>
      <w:r>
        <w:rPr>
          <w:color w:val="231F20"/>
          <w:spacing w:val="-12"/>
          <w:w w:val="105"/>
        </w:rPr>
        <w:t> </w:t>
      </w:r>
      <w:r>
        <w:rPr>
          <w:color w:val="231F20"/>
          <w:w w:val="105"/>
        </w:rPr>
        <w:t>equilibrio</w:t>
      </w:r>
      <w:r>
        <w:rPr>
          <w:color w:val="231F20"/>
          <w:spacing w:val="-12"/>
          <w:w w:val="105"/>
        </w:rPr>
        <w:t> </w:t>
      </w:r>
      <w:r>
        <w:rPr>
          <w:color w:val="231F20"/>
          <w:w w:val="105"/>
        </w:rPr>
        <w:t>emocional</w:t>
      </w:r>
      <w:r>
        <w:rPr>
          <w:color w:val="231F20"/>
          <w:spacing w:val="-12"/>
          <w:w w:val="105"/>
        </w:rPr>
        <w:t> </w:t>
      </w:r>
      <w:r>
        <w:rPr>
          <w:color w:val="231F20"/>
          <w:w w:val="105"/>
        </w:rPr>
        <w:t>personal.</w:t>
      </w:r>
      <w:r>
        <w:rPr>
          <w:color w:val="231F20"/>
          <w:spacing w:val="-18"/>
          <w:w w:val="105"/>
        </w:rPr>
        <w:t> </w:t>
      </w:r>
      <w:r>
        <w:rPr>
          <w:color w:val="231F20"/>
          <w:w w:val="105"/>
        </w:rPr>
        <w:t>Cuando</w:t>
      </w:r>
      <w:r>
        <w:rPr>
          <w:color w:val="231F20"/>
          <w:spacing w:val="-12"/>
          <w:w w:val="105"/>
        </w:rPr>
        <w:t> </w:t>
      </w:r>
      <w:r>
        <w:rPr>
          <w:color w:val="231F20"/>
          <w:w w:val="105"/>
        </w:rPr>
        <w:t>ya no</w:t>
      </w:r>
      <w:r>
        <w:rPr>
          <w:color w:val="231F20"/>
          <w:spacing w:val="-9"/>
          <w:w w:val="105"/>
        </w:rPr>
        <w:t> </w:t>
      </w:r>
      <w:r>
        <w:rPr>
          <w:color w:val="231F20"/>
          <w:w w:val="105"/>
        </w:rPr>
        <w:t>se</w:t>
      </w:r>
      <w:r>
        <w:rPr>
          <w:color w:val="231F20"/>
          <w:spacing w:val="-9"/>
          <w:w w:val="105"/>
        </w:rPr>
        <w:t> </w:t>
      </w:r>
      <w:r>
        <w:rPr>
          <w:color w:val="231F20"/>
          <w:w w:val="105"/>
        </w:rPr>
        <w:t>hallan</w:t>
      </w:r>
      <w:r>
        <w:rPr>
          <w:color w:val="231F20"/>
          <w:spacing w:val="-9"/>
          <w:w w:val="105"/>
        </w:rPr>
        <w:t> </w:t>
      </w:r>
      <w:r>
        <w:rPr>
          <w:color w:val="231F20"/>
          <w:w w:val="105"/>
        </w:rPr>
        <w:t>o</w:t>
      </w:r>
      <w:r>
        <w:rPr>
          <w:color w:val="231F20"/>
          <w:spacing w:val="-9"/>
          <w:w w:val="105"/>
        </w:rPr>
        <w:t> </w:t>
      </w:r>
      <w:r>
        <w:rPr>
          <w:color w:val="231F20"/>
          <w:w w:val="105"/>
        </w:rPr>
        <w:t>sienten</w:t>
      </w:r>
      <w:r>
        <w:rPr>
          <w:color w:val="231F20"/>
          <w:spacing w:val="-9"/>
          <w:w w:val="105"/>
        </w:rPr>
        <w:t> </w:t>
      </w:r>
      <w:r>
        <w:rPr>
          <w:color w:val="231F20"/>
          <w:w w:val="105"/>
        </w:rPr>
        <w:t>bien</w:t>
      </w:r>
      <w:r>
        <w:rPr>
          <w:color w:val="231F20"/>
          <w:spacing w:val="-9"/>
          <w:w w:val="105"/>
        </w:rPr>
        <w:t> </w:t>
      </w:r>
      <w:r>
        <w:rPr>
          <w:color w:val="231F20"/>
          <w:w w:val="105"/>
        </w:rPr>
        <w:t>en</w:t>
      </w:r>
      <w:r>
        <w:rPr>
          <w:color w:val="231F20"/>
          <w:spacing w:val="-9"/>
          <w:w w:val="105"/>
        </w:rPr>
        <w:t> </w:t>
      </w:r>
      <w:r>
        <w:rPr>
          <w:color w:val="231F20"/>
          <w:w w:val="105"/>
        </w:rPr>
        <w:t>Estados</w:t>
      </w:r>
      <w:r>
        <w:rPr>
          <w:color w:val="231F20"/>
          <w:spacing w:val="-9"/>
          <w:w w:val="105"/>
        </w:rPr>
        <w:t> </w:t>
      </w:r>
      <w:r>
        <w:rPr>
          <w:color w:val="231F20"/>
          <w:w w:val="105"/>
        </w:rPr>
        <w:t>Unidos</w:t>
      </w:r>
      <w:r>
        <w:rPr>
          <w:color w:val="231F20"/>
          <w:spacing w:val="-9"/>
          <w:w w:val="105"/>
        </w:rPr>
        <w:t> </w:t>
      </w:r>
      <w:r>
        <w:rPr>
          <w:color w:val="231F20"/>
          <w:w w:val="105"/>
        </w:rPr>
        <w:t>abandonan</w:t>
      </w:r>
      <w:r>
        <w:rPr>
          <w:color w:val="231F20"/>
          <w:spacing w:val="-9"/>
          <w:w w:val="105"/>
        </w:rPr>
        <w:t> </w:t>
      </w:r>
      <w:r>
        <w:rPr>
          <w:color w:val="231F20"/>
          <w:w w:val="105"/>
        </w:rPr>
        <w:t>o</w:t>
      </w:r>
      <w:r>
        <w:rPr>
          <w:color w:val="231F20"/>
          <w:spacing w:val="-9"/>
          <w:w w:val="105"/>
        </w:rPr>
        <w:t> </w:t>
      </w:r>
      <w:r>
        <w:rPr>
          <w:color w:val="231F20"/>
          <w:w w:val="105"/>
        </w:rPr>
        <w:t>suspenden todo para regresar a México y viceversa, de ese modo, los dos países funcionan</w:t>
      </w:r>
      <w:r>
        <w:rPr>
          <w:color w:val="231F20"/>
          <w:spacing w:val="-16"/>
          <w:w w:val="105"/>
        </w:rPr>
        <w:t> </w:t>
      </w:r>
      <w:r>
        <w:rPr>
          <w:color w:val="231F20"/>
          <w:w w:val="105"/>
        </w:rPr>
        <w:t>como</w:t>
      </w:r>
      <w:r>
        <w:rPr>
          <w:color w:val="231F20"/>
          <w:spacing w:val="-16"/>
          <w:w w:val="105"/>
        </w:rPr>
        <w:t> </w:t>
      </w:r>
      <w:r>
        <w:rPr>
          <w:color w:val="231F20"/>
          <w:w w:val="105"/>
        </w:rPr>
        <w:t>lugares</w:t>
      </w:r>
      <w:r>
        <w:rPr>
          <w:color w:val="231F20"/>
          <w:spacing w:val="-16"/>
          <w:w w:val="105"/>
        </w:rPr>
        <w:t> </w:t>
      </w:r>
      <w:r>
        <w:rPr>
          <w:color w:val="231F20"/>
          <w:w w:val="105"/>
        </w:rPr>
        <w:t>de</w:t>
      </w:r>
      <w:r>
        <w:rPr>
          <w:color w:val="231F20"/>
          <w:spacing w:val="-16"/>
          <w:w w:val="105"/>
        </w:rPr>
        <w:t> </w:t>
      </w:r>
      <w:r>
        <w:rPr>
          <w:color w:val="231F20"/>
          <w:w w:val="105"/>
        </w:rPr>
        <w:t>refugio,</w:t>
      </w:r>
      <w:r>
        <w:rPr>
          <w:color w:val="231F20"/>
          <w:spacing w:val="-21"/>
          <w:w w:val="105"/>
        </w:rPr>
        <w:t> </w:t>
      </w:r>
      <w:r>
        <w:rPr>
          <w:color w:val="231F20"/>
          <w:w w:val="105"/>
        </w:rPr>
        <w:t>sanación</w:t>
      </w:r>
      <w:r>
        <w:rPr>
          <w:color w:val="231F20"/>
          <w:spacing w:val="-16"/>
          <w:w w:val="105"/>
        </w:rPr>
        <w:t> </w:t>
      </w:r>
      <w:r>
        <w:rPr>
          <w:color w:val="231F20"/>
          <w:w w:val="105"/>
        </w:rPr>
        <w:t>o</w:t>
      </w:r>
      <w:r>
        <w:rPr>
          <w:color w:val="231F20"/>
          <w:spacing w:val="-16"/>
          <w:w w:val="105"/>
        </w:rPr>
        <w:t> </w:t>
      </w:r>
      <w:r>
        <w:rPr>
          <w:color w:val="231F20"/>
          <w:w w:val="105"/>
        </w:rPr>
        <w:t>hartazgo</w:t>
      </w:r>
      <w:r>
        <w:rPr>
          <w:color w:val="231F20"/>
          <w:spacing w:val="-16"/>
          <w:w w:val="105"/>
        </w:rPr>
        <w:t> </w:t>
      </w:r>
      <w:r>
        <w:rPr>
          <w:color w:val="231F20"/>
          <w:w w:val="105"/>
        </w:rPr>
        <w:t>emocional.</w:t>
      </w:r>
    </w:p>
    <w:p>
      <w:pPr>
        <w:pStyle w:val="BodyText"/>
        <w:spacing w:line="261" w:lineRule="auto" w:before="1"/>
        <w:ind w:left="1837" w:right="1715" w:firstLine="567"/>
        <w:jc w:val="right"/>
      </w:pPr>
      <w:r>
        <w:rPr>
          <w:color w:val="231F20"/>
          <w:w w:val="105"/>
        </w:rPr>
        <w:t>En</w:t>
      </w:r>
      <w:r>
        <w:rPr>
          <w:color w:val="231F20"/>
          <w:spacing w:val="-6"/>
          <w:w w:val="105"/>
        </w:rPr>
        <w:t> </w:t>
      </w:r>
      <w:r>
        <w:rPr>
          <w:color w:val="231F20"/>
          <w:w w:val="105"/>
        </w:rPr>
        <w:t>suma,</w:t>
      </w:r>
      <w:r>
        <w:rPr>
          <w:color w:val="231F20"/>
          <w:spacing w:val="-10"/>
          <w:w w:val="105"/>
        </w:rPr>
        <w:t> </w:t>
      </w:r>
      <w:r>
        <w:rPr>
          <w:color w:val="231F20"/>
          <w:w w:val="105"/>
        </w:rPr>
        <w:t>estas</w:t>
      </w:r>
      <w:r>
        <w:rPr>
          <w:color w:val="231F20"/>
          <w:spacing w:val="-6"/>
          <w:w w:val="105"/>
        </w:rPr>
        <w:t> </w:t>
      </w:r>
      <w:r>
        <w:rPr>
          <w:color w:val="231F20"/>
          <w:w w:val="105"/>
        </w:rPr>
        <w:t>idas</w:t>
      </w:r>
      <w:r>
        <w:rPr>
          <w:color w:val="231F20"/>
          <w:spacing w:val="-6"/>
          <w:w w:val="105"/>
        </w:rPr>
        <w:t> </w:t>
      </w:r>
      <w:r>
        <w:rPr>
          <w:color w:val="231F20"/>
          <w:w w:val="105"/>
        </w:rPr>
        <w:t>y</w:t>
      </w:r>
      <w:r>
        <w:rPr>
          <w:color w:val="231F20"/>
          <w:spacing w:val="-6"/>
          <w:w w:val="105"/>
        </w:rPr>
        <w:t> </w:t>
      </w:r>
      <w:r>
        <w:rPr>
          <w:color w:val="231F20"/>
          <w:w w:val="105"/>
        </w:rPr>
        <w:t>venires</w:t>
      </w:r>
      <w:r>
        <w:rPr>
          <w:color w:val="231F20"/>
          <w:spacing w:val="-6"/>
          <w:w w:val="105"/>
        </w:rPr>
        <w:t> </w:t>
      </w:r>
      <w:r>
        <w:rPr>
          <w:color w:val="231F20"/>
          <w:w w:val="105"/>
        </w:rPr>
        <w:t>desestabilizan</w:t>
      </w:r>
      <w:r>
        <w:rPr>
          <w:color w:val="231F20"/>
          <w:spacing w:val="-6"/>
          <w:w w:val="105"/>
        </w:rPr>
        <w:t> </w:t>
      </w:r>
      <w:r>
        <w:rPr>
          <w:color w:val="231F20"/>
          <w:w w:val="105"/>
        </w:rPr>
        <w:t>las</w:t>
      </w:r>
      <w:r>
        <w:rPr>
          <w:color w:val="231F20"/>
          <w:spacing w:val="-6"/>
          <w:w w:val="105"/>
        </w:rPr>
        <w:t> </w:t>
      </w:r>
      <w:r>
        <w:rPr>
          <w:color w:val="231F20"/>
          <w:w w:val="105"/>
        </w:rPr>
        <w:t>estructuras</w:t>
      </w:r>
      <w:r>
        <w:rPr>
          <w:color w:val="231F20"/>
          <w:spacing w:val="-6"/>
          <w:w w:val="105"/>
        </w:rPr>
        <w:t> </w:t>
      </w:r>
      <w:r>
        <w:rPr>
          <w:color w:val="231F20"/>
          <w:w w:val="105"/>
        </w:rPr>
        <w:t>de</w:t>
      </w:r>
      <w:r>
        <w:rPr>
          <w:color w:val="231F20"/>
          <w:spacing w:val="-6"/>
          <w:w w:val="105"/>
        </w:rPr>
        <w:t> </w:t>
      </w:r>
      <w:r>
        <w:rPr>
          <w:color w:val="231F20"/>
          <w:w w:val="105"/>
        </w:rPr>
        <w:t>la</w:t>
      </w:r>
      <w:r>
        <w:rPr>
          <w:color w:val="231F20"/>
          <w:w w:val="100"/>
        </w:rPr>
        <w:t> </w:t>
      </w:r>
      <w:r>
        <w:rPr>
          <w:color w:val="231F20"/>
          <w:w w:val="105"/>
        </w:rPr>
        <w:t>vida</w:t>
      </w:r>
      <w:r>
        <w:rPr>
          <w:color w:val="231F20"/>
          <w:spacing w:val="-9"/>
          <w:w w:val="105"/>
        </w:rPr>
        <w:t> </w:t>
      </w:r>
      <w:r>
        <w:rPr>
          <w:color w:val="231F20"/>
          <w:w w:val="105"/>
        </w:rPr>
        <w:t>privada</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pareja</w:t>
      </w:r>
      <w:r>
        <w:rPr>
          <w:color w:val="231F20"/>
          <w:spacing w:val="-9"/>
          <w:w w:val="105"/>
        </w:rPr>
        <w:t> </w:t>
      </w:r>
      <w:r>
        <w:rPr>
          <w:color w:val="231F20"/>
          <w:w w:val="105"/>
        </w:rPr>
        <w:t>de</w:t>
      </w:r>
      <w:r>
        <w:rPr>
          <w:color w:val="231F20"/>
          <w:spacing w:val="-9"/>
          <w:w w:val="105"/>
        </w:rPr>
        <w:t> </w:t>
      </w:r>
      <w:r>
        <w:rPr>
          <w:color w:val="231F20"/>
          <w:w w:val="105"/>
        </w:rPr>
        <w:t>estas</w:t>
      </w:r>
      <w:r>
        <w:rPr>
          <w:color w:val="231F20"/>
          <w:spacing w:val="-9"/>
          <w:w w:val="105"/>
        </w:rPr>
        <w:t> </w:t>
      </w:r>
      <w:r>
        <w:rPr>
          <w:color w:val="231F20"/>
          <w:w w:val="105"/>
        </w:rPr>
        <w:t>sociedades</w:t>
      </w:r>
      <w:r>
        <w:rPr>
          <w:color w:val="231F20"/>
          <w:spacing w:val="-9"/>
          <w:w w:val="105"/>
        </w:rPr>
        <w:t> </w:t>
      </w:r>
      <w:r>
        <w:rPr>
          <w:color w:val="231F20"/>
          <w:w w:val="105"/>
        </w:rPr>
        <w:t>del</w:t>
      </w:r>
      <w:r>
        <w:rPr>
          <w:color w:val="231F20"/>
          <w:spacing w:val="-9"/>
          <w:w w:val="105"/>
        </w:rPr>
        <w:t> </w:t>
      </w:r>
      <w:r>
        <w:rPr>
          <w:color w:val="231F20"/>
          <w:w w:val="105"/>
        </w:rPr>
        <w:t>medio</w:t>
      </w:r>
      <w:r>
        <w:rPr>
          <w:color w:val="231F20"/>
          <w:spacing w:val="-9"/>
          <w:w w:val="105"/>
        </w:rPr>
        <w:t> </w:t>
      </w:r>
      <w:r>
        <w:rPr>
          <w:color w:val="231F20"/>
          <w:w w:val="105"/>
        </w:rPr>
        <w:t>rural,</w:t>
      </w:r>
      <w:r>
        <w:rPr>
          <w:color w:val="231F20"/>
          <w:spacing w:val="-14"/>
          <w:w w:val="105"/>
        </w:rPr>
        <w:t> </w:t>
      </w:r>
      <w:r>
        <w:rPr>
          <w:color w:val="231F20"/>
          <w:w w:val="105"/>
        </w:rPr>
        <w:t>empezan-</w:t>
      </w:r>
      <w:r>
        <w:rPr>
          <w:color w:val="231F20"/>
          <w:w w:val="96"/>
        </w:rPr>
        <w:t> </w:t>
      </w:r>
      <w:r>
        <w:rPr>
          <w:color w:val="231F20"/>
          <w:w w:val="105"/>
        </w:rPr>
        <w:t>do</w:t>
      </w:r>
      <w:r>
        <w:rPr>
          <w:color w:val="231F20"/>
          <w:spacing w:val="-21"/>
          <w:w w:val="105"/>
        </w:rPr>
        <w:t> </w:t>
      </w:r>
      <w:r>
        <w:rPr>
          <w:color w:val="231F20"/>
          <w:w w:val="105"/>
        </w:rPr>
        <w:t>por</w:t>
      </w:r>
      <w:r>
        <w:rPr>
          <w:color w:val="231F20"/>
          <w:spacing w:val="-21"/>
          <w:w w:val="105"/>
        </w:rPr>
        <w:t> </w:t>
      </w:r>
      <w:r>
        <w:rPr>
          <w:color w:val="231F20"/>
          <w:w w:val="105"/>
        </w:rPr>
        <w:t>desestructurar</w:t>
      </w:r>
      <w:r>
        <w:rPr>
          <w:color w:val="231F20"/>
          <w:spacing w:val="-21"/>
          <w:w w:val="105"/>
        </w:rPr>
        <w:t> </w:t>
      </w:r>
      <w:r>
        <w:rPr>
          <w:color w:val="231F20"/>
          <w:w w:val="105"/>
        </w:rPr>
        <w:t>las</w:t>
      </w:r>
      <w:r>
        <w:rPr>
          <w:color w:val="231F20"/>
          <w:spacing w:val="-21"/>
          <w:w w:val="105"/>
        </w:rPr>
        <w:t> </w:t>
      </w:r>
      <w:r>
        <w:rPr>
          <w:color w:val="231F20"/>
          <w:w w:val="105"/>
        </w:rPr>
        <w:t>creencias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vida</w:t>
      </w:r>
      <w:r>
        <w:rPr>
          <w:color w:val="231F20"/>
          <w:spacing w:val="-21"/>
          <w:w w:val="105"/>
        </w:rPr>
        <w:t> </w:t>
      </w:r>
      <w:r>
        <w:rPr>
          <w:color w:val="231F20"/>
          <w:w w:val="105"/>
        </w:rPr>
        <w:t>en</w:t>
      </w:r>
      <w:r>
        <w:rPr>
          <w:color w:val="231F20"/>
          <w:spacing w:val="-21"/>
          <w:w w:val="105"/>
        </w:rPr>
        <w:t> </w:t>
      </w:r>
      <w:r>
        <w:rPr>
          <w:color w:val="231F20"/>
          <w:w w:val="105"/>
        </w:rPr>
        <w:t>pareja</w:t>
      </w:r>
      <w:r>
        <w:rPr>
          <w:color w:val="231F20"/>
          <w:spacing w:val="-21"/>
          <w:w w:val="105"/>
        </w:rPr>
        <w:t> </w:t>
      </w:r>
      <w:r>
        <w:rPr>
          <w:color w:val="231F20"/>
          <w:w w:val="105"/>
        </w:rPr>
        <w:t>(creer</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vida</w:t>
      </w:r>
      <w:r>
        <w:rPr>
          <w:color w:val="231F20"/>
          <w:w w:val="103"/>
        </w:rPr>
        <w:t> </w:t>
      </w:r>
      <w:r>
        <w:rPr>
          <w:color w:val="231F20"/>
          <w:w w:val="105"/>
        </w:rPr>
        <w:t>de pareja consistía en vivir juntos hasta que la muerte los</w:t>
      </w:r>
      <w:r>
        <w:rPr>
          <w:color w:val="231F20"/>
          <w:spacing w:val="35"/>
          <w:w w:val="105"/>
        </w:rPr>
        <w:t> </w:t>
      </w:r>
      <w:r>
        <w:rPr>
          <w:color w:val="231F20"/>
          <w:w w:val="105"/>
        </w:rPr>
        <w:t>separase)</w:t>
      </w:r>
      <w:r>
        <w:rPr>
          <w:color w:val="231F20"/>
          <w:spacing w:val="8"/>
          <w:w w:val="105"/>
        </w:rPr>
        <w:t> </w:t>
      </w:r>
      <w:r>
        <w:rPr>
          <w:color w:val="231F20"/>
          <w:w w:val="105"/>
        </w:rPr>
        <w:t>o</w:t>
      </w:r>
      <w:r>
        <w:rPr>
          <w:color w:val="231F20"/>
          <w:w w:val="109"/>
        </w:rPr>
        <w:t> </w:t>
      </w:r>
      <w:r>
        <w:rPr>
          <w:color w:val="231F20"/>
          <w:w w:val="105"/>
        </w:rPr>
        <w:t>enfrentándolas</w:t>
      </w:r>
      <w:r>
        <w:rPr>
          <w:color w:val="231F20"/>
          <w:spacing w:val="-19"/>
          <w:w w:val="105"/>
        </w:rPr>
        <w:t> </w:t>
      </w:r>
      <w:r>
        <w:rPr>
          <w:color w:val="231F20"/>
          <w:w w:val="105"/>
        </w:rPr>
        <w:t>a</w:t>
      </w:r>
      <w:r>
        <w:rPr>
          <w:color w:val="231F20"/>
          <w:spacing w:val="-19"/>
          <w:w w:val="105"/>
        </w:rPr>
        <w:t> </w:t>
      </w:r>
      <w:r>
        <w:rPr>
          <w:color w:val="231F20"/>
          <w:w w:val="105"/>
        </w:rPr>
        <w:t>nuevos</w:t>
      </w:r>
      <w:r>
        <w:rPr>
          <w:color w:val="231F20"/>
          <w:spacing w:val="-19"/>
          <w:w w:val="105"/>
        </w:rPr>
        <w:t> </w:t>
      </w:r>
      <w:r>
        <w:rPr>
          <w:color w:val="231F20"/>
          <w:w w:val="105"/>
        </w:rPr>
        <w:t>retos</w:t>
      </w:r>
      <w:r>
        <w:rPr>
          <w:color w:val="231F20"/>
          <w:spacing w:val="-19"/>
          <w:w w:val="105"/>
        </w:rPr>
        <w:t> </w:t>
      </w:r>
      <w:r>
        <w:rPr>
          <w:color w:val="231F20"/>
          <w:w w:val="105"/>
        </w:rPr>
        <w:t>de</w:t>
      </w:r>
      <w:r>
        <w:rPr>
          <w:color w:val="231F20"/>
          <w:spacing w:val="-19"/>
          <w:w w:val="105"/>
        </w:rPr>
        <w:t> </w:t>
      </w:r>
      <w:r>
        <w:rPr>
          <w:color w:val="231F20"/>
          <w:w w:val="105"/>
        </w:rPr>
        <w:t>vivir</w:t>
      </w:r>
      <w:r>
        <w:rPr>
          <w:color w:val="231F20"/>
          <w:spacing w:val="-19"/>
          <w:w w:val="105"/>
        </w:rPr>
        <w:t> </w:t>
      </w:r>
      <w:r>
        <w:rPr>
          <w:color w:val="231F20"/>
          <w:w w:val="105"/>
        </w:rPr>
        <w:t>en</w:t>
      </w:r>
      <w:r>
        <w:rPr>
          <w:color w:val="231F20"/>
          <w:spacing w:val="-19"/>
          <w:w w:val="105"/>
        </w:rPr>
        <w:t> </w:t>
      </w:r>
      <w:r>
        <w:rPr>
          <w:color w:val="231F20"/>
          <w:w w:val="105"/>
        </w:rPr>
        <w:t>pareja</w:t>
      </w:r>
      <w:r>
        <w:rPr>
          <w:color w:val="231F20"/>
          <w:spacing w:val="-19"/>
          <w:w w:val="105"/>
        </w:rPr>
        <w:t> </w:t>
      </w:r>
      <w:r>
        <w:rPr>
          <w:color w:val="231F20"/>
          <w:w w:val="105"/>
        </w:rPr>
        <w:t>,</w:t>
      </w:r>
      <w:r>
        <w:rPr>
          <w:color w:val="231F20"/>
          <w:spacing w:val="-25"/>
          <w:w w:val="105"/>
        </w:rPr>
        <w:t> </w:t>
      </w:r>
      <w:r>
        <w:rPr>
          <w:color w:val="231F20"/>
          <w:w w:val="105"/>
        </w:rPr>
        <w:t>pero</w:t>
      </w:r>
      <w:r>
        <w:rPr>
          <w:color w:val="231F20"/>
          <w:spacing w:val="-19"/>
          <w:w w:val="105"/>
        </w:rPr>
        <w:t> </w:t>
      </w:r>
      <w:r>
        <w:rPr>
          <w:color w:val="231F20"/>
          <w:w w:val="105"/>
        </w:rPr>
        <w:t>con</w:t>
      </w:r>
      <w:r>
        <w:rPr>
          <w:color w:val="231F20"/>
          <w:spacing w:val="-19"/>
          <w:w w:val="105"/>
        </w:rPr>
        <w:t> </w:t>
      </w:r>
      <w:r>
        <w:rPr>
          <w:color w:val="231F20"/>
          <w:w w:val="105"/>
        </w:rPr>
        <w:t>la</w:t>
      </w:r>
      <w:r>
        <w:rPr>
          <w:color w:val="231F20"/>
          <w:spacing w:val="-19"/>
          <w:w w:val="105"/>
        </w:rPr>
        <w:t> </w:t>
      </w:r>
      <w:r>
        <w:rPr>
          <w:color w:val="231F20"/>
          <w:w w:val="105"/>
        </w:rPr>
        <w:t>primacía</w:t>
      </w:r>
      <w:r>
        <w:rPr>
          <w:color w:val="231F20"/>
          <w:spacing w:val="-19"/>
          <w:w w:val="105"/>
        </w:rPr>
        <w:t> </w:t>
      </w:r>
      <w:r>
        <w:rPr>
          <w:color w:val="231F20"/>
          <w:w w:val="105"/>
        </w:rPr>
        <w:t>de</w:t>
      </w:r>
      <w:r>
        <w:rPr>
          <w:color w:val="231F20"/>
          <w:w w:val="108"/>
        </w:rPr>
        <w:t> </w:t>
      </w:r>
      <w:r>
        <w:rPr>
          <w:color w:val="231F20"/>
          <w:w w:val="105"/>
        </w:rPr>
        <w:t>lo</w:t>
      </w:r>
      <w:r>
        <w:rPr>
          <w:color w:val="231F20"/>
          <w:spacing w:val="-12"/>
          <w:w w:val="105"/>
        </w:rPr>
        <w:t> </w:t>
      </w:r>
      <w:r>
        <w:rPr>
          <w:color w:val="231F20"/>
          <w:w w:val="105"/>
        </w:rPr>
        <w:t>emocional.</w:t>
      </w:r>
      <w:r>
        <w:rPr>
          <w:color w:val="231F20"/>
          <w:spacing w:val="-17"/>
          <w:w w:val="105"/>
        </w:rPr>
        <w:t> </w:t>
      </w:r>
      <w:r>
        <w:rPr>
          <w:color w:val="231F20"/>
          <w:w w:val="105"/>
        </w:rPr>
        <w:t>La</w:t>
      </w:r>
      <w:r>
        <w:rPr>
          <w:color w:val="231F20"/>
          <w:spacing w:val="-12"/>
          <w:w w:val="105"/>
        </w:rPr>
        <w:t> </w:t>
      </w:r>
      <w:r>
        <w:rPr>
          <w:color w:val="231F20"/>
          <w:w w:val="105"/>
        </w:rPr>
        <w:t>mayoría</w:t>
      </w:r>
      <w:r>
        <w:rPr>
          <w:color w:val="231F20"/>
          <w:spacing w:val="-12"/>
          <w:w w:val="105"/>
        </w:rPr>
        <w:t> </w:t>
      </w:r>
      <w:r>
        <w:rPr>
          <w:color w:val="231F20"/>
          <w:w w:val="105"/>
        </w:rPr>
        <w:t>busca</w:t>
      </w:r>
      <w:r>
        <w:rPr>
          <w:color w:val="231F20"/>
          <w:spacing w:val="-12"/>
          <w:w w:val="105"/>
        </w:rPr>
        <w:t> </w:t>
      </w:r>
      <w:r>
        <w:rPr>
          <w:color w:val="231F20"/>
          <w:w w:val="105"/>
        </w:rPr>
        <w:t>lo</w:t>
      </w:r>
      <w:r>
        <w:rPr>
          <w:color w:val="231F20"/>
          <w:spacing w:val="-12"/>
          <w:w w:val="105"/>
        </w:rPr>
        <w:t> </w:t>
      </w:r>
      <w:r>
        <w:rPr>
          <w:color w:val="231F20"/>
          <w:w w:val="105"/>
        </w:rPr>
        <w:t>bueno:</w:t>
      </w:r>
      <w:r>
        <w:rPr>
          <w:color w:val="231F20"/>
          <w:spacing w:val="-12"/>
          <w:w w:val="105"/>
        </w:rPr>
        <w:t> </w:t>
      </w:r>
      <w:r>
        <w:rPr>
          <w:color w:val="231F20"/>
          <w:w w:val="105"/>
        </w:rPr>
        <w:t>la</w:t>
      </w:r>
      <w:r>
        <w:rPr>
          <w:color w:val="231F20"/>
          <w:spacing w:val="-12"/>
          <w:w w:val="105"/>
        </w:rPr>
        <w:t> </w:t>
      </w:r>
      <w:r>
        <w:rPr>
          <w:color w:val="231F20"/>
          <w:w w:val="105"/>
        </w:rPr>
        <w:t>buena</w:t>
      </w:r>
      <w:r>
        <w:rPr>
          <w:color w:val="231F20"/>
          <w:spacing w:val="-12"/>
          <w:w w:val="105"/>
        </w:rPr>
        <w:t> </w:t>
      </w:r>
      <w:r>
        <w:rPr>
          <w:color w:val="231F20"/>
          <w:w w:val="105"/>
        </w:rPr>
        <w:t>salud,</w:t>
      </w:r>
      <w:r>
        <w:rPr>
          <w:color w:val="231F20"/>
          <w:spacing w:val="-17"/>
          <w:w w:val="105"/>
        </w:rPr>
        <w:t> </w:t>
      </w:r>
      <w:r>
        <w:rPr>
          <w:color w:val="231F20"/>
          <w:w w:val="105"/>
        </w:rPr>
        <w:t>las</w:t>
      </w:r>
      <w:r>
        <w:rPr>
          <w:color w:val="231F20"/>
          <w:spacing w:val="-12"/>
          <w:w w:val="105"/>
        </w:rPr>
        <w:t> </w:t>
      </w:r>
      <w:r>
        <w:rPr>
          <w:color w:val="231F20"/>
          <w:w w:val="105"/>
        </w:rPr>
        <w:t>buenas</w:t>
      </w:r>
      <w:r>
        <w:rPr>
          <w:color w:val="231F20"/>
          <w:spacing w:val="-12"/>
          <w:w w:val="105"/>
        </w:rPr>
        <w:t> </w:t>
      </w:r>
      <w:r>
        <w:rPr>
          <w:color w:val="231F20"/>
          <w:w w:val="105"/>
        </w:rPr>
        <w:t>re-</w:t>
      </w:r>
      <w:r>
        <w:rPr>
          <w:color w:val="231F20"/>
          <w:w w:val="96"/>
        </w:rPr>
        <w:t> </w:t>
      </w:r>
      <w:r>
        <w:rPr>
          <w:color w:val="231F20"/>
          <w:w w:val="105"/>
        </w:rPr>
        <w:t>laciones, seguridad económica, plenitud, aunque como en</w:t>
      </w:r>
      <w:r>
        <w:rPr>
          <w:color w:val="231F20"/>
          <w:spacing w:val="19"/>
          <w:w w:val="105"/>
        </w:rPr>
        <w:t> </w:t>
      </w:r>
      <w:r>
        <w:rPr>
          <w:color w:val="231F20"/>
          <w:w w:val="105"/>
        </w:rPr>
        <w:t>todo</w:t>
      </w:r>
      <w:r>
        <w:rPr>
          <w:color w:val="231F20"/>
          <w:spacing w:val="5"/>
          <w:w w:val="105"/>
        </w:rPr>
        <w:t> </w:t>
      </w:r>
      <w:r>
        <w:rPr>
          <w:color w:val="231F20"/>
          <w:w w:val="105"/>
        </w:rPr>
        <w:t>estado</w:t>
      </w:r>
      <w:r>
        <w:rPr>
          <w:color w:val="231F20"/>
          <w:w w:val="103"/>
        </w:rPr>
        <w:t> </w:t>
      </w:r>
      <w:r>
        <w:rPr>
          <w:color w:val="231F20"/>
          <w:w w:val="105"/>
        </w:rPr>
        <w:t>ideal</w:t>
      </w:r>
      <w:r>
        <w:rPr>
          <w:color w:val="231F20"/>
          <w:spacing w:val="39"/>
          <w:w w:val="105"/>
        </w:rPr>
        <w:t> </w:t>
      </w:r>
      <w:r>
        <w:rPr>
          <w:color w:val="231F20"/>
          <w:w w:val="105"/>
        </w:rPr>
        <w:t>viven</w:t>
      </w:r>
      <w:r>
        <w:rPr>
          <w:color w:val="231F20"/>
          <w:spacing w:val="-10"/>
          <w:w w:val="105"/>
        </w:rPr>
        <w:t> </w:t>
      </w:r>
      <w:r>
        <w:rPr>
          <w:color w:val="231F20"/>
          <w:w w:val="105"/>
        </w:rPr>
        <w:t>con</w:t>
      </w:r>
      <w:r>
        <w:rPr>
          <w:color w:val="231F20"/>
          <w:spacing w:val="-10"/>
          <w:w w:val="105"/>
        </w:rPr>
        <w:t> </w:t>
      </w:r>
      <w:r>
        <w:rPr>
          <w:color w:val="231F20"/>
          <w:w w:val="105"/>
        </w:rPr>
        <w:t>culpa,</w:t>
      </w:r>
      <w:r>
        <w:rPr>
          <w:color w:val="231F20"/>
          <w:spacing w:val="-16"/>
          <w:w w:val="105"/>
        </w:rPr>
        <w:t> </w:t>
      </w:r>
      <w:r>
        <w:rPr>
          <w:color w:val="231F20"/>
          <w:w w:val="105"/>
        </w:rPr>
        <w:t>deslealtades</w:t>
      </w:r>
      <w:r>
        <w:rPr>
          <w:color w:val="231F20"/>
          <w:spacing w:val="-10"/>
          <w:w w:val="105"/>
        </w:rPr>
        <w:t> </w:t>
      </w:r>
      <w:r>
        <w:rPr>
          <w:color w:val="231F20"/>
          <w:w w:val="105"/>
        </w:rPr>
        <w:t>y</w:t>
      </w:r>
      <w:r>
        <w:rPr>
          <w:color w:val="231F20"/>
          <w:spacing w:val="-10"/>
          <w:w w:val="105"/>
        </w:rPr>
        <w:t> </w:t>
      </w:r>
      <w:r>
        <w:rPr>
          <w:color w:val="231F20"/>
          <w:w w:val="105"/>
        </w:rPr>
        <w:t>poca</w:t>
      </w:r>
      <w:r>
        <w:rPr>
          <w:color w:val="231F20"/>
          <w:spacing w:val="-10"/>
          <w:w w:val="105"/>
        </w:rPr>
        <w:t> </w:t>
      </w:r>
      <w:r>
        <w:rPr>
          <w:color w:val="231F20"/>
          <w:w w:val="105"/>
        </w:rPr>
        <w:t>gratitud</w:t>
      </w:r>
      <w:r>
        <w:rPr>
          <w:color w:val="231F20"/>
          <w:spacing w:val="-10"/>
          <w:w w:val="105"/>
        </w:rPr>
        <w:t> </w:t>
      </w:r>
      <w:r>
        <w:rPr>
          <w:color w:val="231F20"/>
          <w:w w:val="105"/>
        </w:rPr>
        <w:t>por</w:t>
      </w:r>
      <w:r>
        <w:rPr>
          <w:color w:val="231F20"/>
          <w:spacing w:val="-10"/>
          <w:w w:val="105"/>
        </w:rPr>
        <w:t> </w:t>
      </w:r>
      <w:r>
        <w:rPr>
          <w:color w:val="231F20"/>
          <w:w w:val="105"/>
        </w:rPr>
        <w:t>todo</w:t>
      </w:r>
      <w:r>
        <w:rPr>
          <w:color w:val="231F20"/>
          <w:spacing w:val="-10"/>
          <w:w w:val="105"/>
        </w:rPr>
        <w:t> </w:t>
      </w:r>
      <w:r>
        <w:rPr>
          <w:color w:val="231F20"/>
          <w:w w:val="105"/>
        </w:rPr>
        <w:t>aquello</w:t>
      </w:r>
      <w:r>
        <w:rPr>
          <w:color w:val="231F20"/>
          <w:spacing w:val="-10"/>
          <w:w w:val="105"/>
        </w:rPr>
        <w:t> </w:t>
      </w:r>
      <w:r>
        <w:rPr>
          <w:color w:val="231F20"/>
          <w:w w:val="105"/>
        </w:rPr>
        <w:t>que</w:t>
      </w:r>
      <w:r>
        <w:rPr>
          <w:color w:val="231F20"/>
          <w:w w:val="107"/>
        </w:rPr>
        <w:t> </w:t>
      </w:r>
      <w:r>
        <w:rPr>
          <w:color w:val="231F20"/>
          <w:w w:val="105"/>
        </w:rPr>
        <w:t>lograron,</w:t>
      </w:r>
      <w:r>
        <w:rPr>
          <w:color w:val="231F20"/>
          <w:spacing w:val="-16"/>
          <w:w w:val="105"/>
        </w:rPr>
        <w:t> </w:t>
      </w:r>
      <w:r>
        <w:rPr>
          <w:color w:val="231F20"/>
          <w:w w:val="105"/>
        </w:rPr>
        <w:t>es</w:t>
      </w:r>
      <w:r>
        <w:rPr>
          <w:color w:val="231F20"/>
          <w:spacing w:val="-10"/>
          <w:w w:val="105"/>
        </w:rPr>
        <w:t> </w:t>
      </w:r>
      <w:r>
        <w:rPr>
          <w:color w:val="231F20"/>
          <w:w w:val="105"/>
        </w:rPr>
        <w:t>decir</w:t>
      </w:r>
      <w:r>
        <w:rPr>
          <w:color w:val="231F20"/>
          <w:spacing w:val="-10"/>
          <w:w w:val="105"/>
        </w:rPr>
        <w:t> </w:t>
      </w:r>
      <w:r>
        <w:rPr>
          <w:color w:val="231F20"/>
          <w:w w:val="105"/>
        </w:rPr>
        <w:t>sienten</w:t>
      </w:r>
      <w:r>
        <w:rPr>
          <w:color w:val="231F20"/>
          <w:spacing w:val="-10"/>
          <w:w w:val="105"/>
        </w:rPr>
        <w:t> </w:t>
      </w:r>
      <w:r>
        <w:rPr>
          <w:color w:val="231F20"/>
          <w:w w:val="105"/>
        </w:rPr>
        <w:t>que</w:t>
      </w:r>
      <w:r>
        <w:rPr>
          <w:color w:val="231F20"/>
          <w:spacing w:val="-10"/>
          <w:w w:val="105"/>
        </w:rPr>
        <w:t> </w:t>
      </w:r>
      <w:r>
        <w:rPr>
          <w:color w:val="231F20"/>
          <w:w w:val="105"/>
        </w:rPr>
        <w:t>han</w:t>
      </w:r>
      <w:r>
        <w:rPr>
          <w:color w:val="231F20"/>
          <w:spacing w:val="-10"/>
          <w:w w:val="105"/>
        </w:rPr>
        <w:t> </w:t>
      </w:r>
      <w:r>
        <w:rPr>
          <w:color w:val="231F20"/>
          <w:w w:val="105"/>
        </w:rPr>
        <w:t>pagado</w:t>
      </w:r>
      <w:r>
        <w:rPr>
          <w:color w:val="231F20"/>
          <w:spacing w:val="-10"/>
          <w:w w:val="105"/>
        </w:rPr>
        <w:t> </w:t>
      </w:r>
      <w:r>
        <w:rPr>
          <w:color w:val="231F20"/>
          <w:w w:val="105"/>
        </w:rPr>
        <w:t>un</w:t>
      </w:r>
      <w:r>
        <w:rPr>
          <w:color w:val="231F20"/>
          <w:spacing w:val="-10"/>
          <w:w w:val="105"/>
        </w:rPr>
        <w:t> </w:t>
      </w:r>
      <w:r>
        <w:rPr>
          <w:color w:val="231F20"/>
          <w:w w:val="105"/>
        </w:rPr>
        <w:t>costo</w:t>
      </w:r>
      <w:r>
        <w:rPr>
          <w:color w:val="231F20"/>
          <w:spacing w:val="-10"/>
          <w:w w:val="105"/>
        </w:rPr>
        <w:t> </w:t>
      </w:r>
      <w:r>
        <w:rPr>
          <w:color w:val="231F20"/>
          <w:w w:val="105"/>
        </w:rPr>
        <w:t>emocional</w:t>
      </w:r>
      <w:r>
        <w:rPr>
          <w:color w:val="231F20"/>
          <w:spacing w:val="-10"/>
          <w:w w:val="105"/>
        </w:rPr>
        <w:t> </w:t>
      </w:r>
      <w:r>
        <w:rPr>
          <w:color w:val="231F20"/>
          <w:w w:val="105"/>
        </w:rPr>
        <w:t>muy</w:t>
      </w:r>
      <w:r>
        <w:rPr>
          <w:color w:val="231F20"/>
          <w:spacing w:val="-10"/>
          <w:w w:val="105"/>
        </w:rPr>
        <w:t> </w:t>
      </w:r>
      <w:r>
        <w:rPr>
          <w:color w:val="231F20"/>
          <w:w w:val="105"/>
        </w:rPr>
        <w:t>alto.</w:t>
      </w:r>
      <w:r>
        <w:rPr>
          <w:color w:val="231F20"/>
          <w:w w:val="93"/>
        </w:rPr>
        <w:t> </w:t>
      </w:r>
      <w:r>
        <w:rPr>
          <w:color w:val="231F20"/>
          <w:w w:val="105"/>
        </w:rPr>
        <w:t>En</w:t>
      </w:r>
      <w:r>
        <w:rPr>
          <w:color w:val="231F20"/>
          <w:spacing w:val="-14"/>
          <w:w w:val="105"/>
        </w:rPr>
        <w:t> </w:t>
      </w:r>
      <w:r>
        <w:rPr>
          <w:color w:val="231F20"/>
          <w:w w:val="105"/>
        </w:rPr>
        <w:t>pocas</w:t>
      </w:r>
      <w:r>
        <w:rPr>
          <w:color w:val="231F20"/>
          <w:spacing w:val="-14"/>
          <w:w w:val="105"/>
        </w:rPr>
        <w:t> </w:t>
      </w:r>
      <w:r>
        <w:rPr>
          <w:color w:val="231F20"/>
          <w:w w:val="105"/>
        </w:rPr>
        <w:t>palabras,</w:t>
      </w:r>
      <w:r>
        <w:rPr>
          <w:color w:val="231F20"/>
          <w:spacing w:val="-19"/>
          <w:w w:val="105"/>
        </w:rPr>
        <w:t> </w:t>
      </w:r>
      <w:r>
        <w:rPr>
          <w:color w:val="231F20"/>
          <w:w w:val="105"/>
        </w:rPr>
        <w:t>aunque</w:t>
      </w:r>
      <w:r>
        <w:rPr>
          <w:color w:val="231F20"/>
          <w:spacing w:val="-14"/>
          <w:w w:val="105"/>
        </w:rPr>
        <w:t> </w:t>
      </w:r>
      <w:r>
        <w:rPr>
          <w:color w:val="231F20"/>
          <w:w w:val="105"/>
        </w:rPr>
        <w:t>estas</w:t>
      </w:r>
      <w:r>
        <w:rPr>
          <w:color w:val="231F20"/>
          <w:spacing w:val="-14"/>
          <w:w w:val="105"/>
        </w:rPr>
        <w:t> </w:t>
      </w:r>
      <w:r>
        <w:rPr>
          <w:color w:val="231F20"/>
          <w:w w:val="105"/>
        </w:rPr>
        <w:t>parejas</w:t>
      </w:r>
      <w:r>
        <w:rPr>
          <w:color w:val="231F20"/>
          <w:spacing w:val="-14"/>
          <w:w w:val="105"/>
        </w:rPr>
        <w:t> </w:t>
      </w:r>
      <w:r>
        <w:rPr>
          <w:color w:val="231F20"/>
          <w:w w:val="105"/>
        </w:rPr>
        <w:t>no</w:t>
      </w:r>
      <w:r>
        <w:rPr>
          <w:color w:val="231F20"/>
          <w:spacing w:val="-14"/>
          <w:w w:val="105"/>
        </w:rPr>
        <w:t> </w:t>
      </w:r>
      <w:r>
        <w:rPr>
          <w:color w:val="231F20"/>
          <w:w w:val="105"/>
        </w:rPr>
        <w:t>lo</w:t>
      </w:r>
      <w:r>
        <w:rPr>
          <w:color w:val="231F20"/>
          <w:spacing w:val="-14"/>
          <w:w w:val="105"/>
        </w:rPr>
        <w:t> </w:t>
      </w:r>
      <w:r>
        <w:rPr>
          <w:color w:val="231F20"/>
          <w:w w:val="105"/>
        </w:rPr>
        <w:t>quieran</w:t>
      </w:r>
      <w:r>
        <w:rPr>
          <w:color w:val="231F20"/>
          <w:spacing w:val="-14"/>
          <w:w w:val="105"/>
        </w:rPr>
        <w:t> </w:t>
      </w:r>
      <w:r>
        <w:rPr>
          <w:color w:val="231F20"/>
          <w:w w:val="105"/>
        </w:rPr>
        <w:t>reconocer,</w:t>
      </w:r>
    </w:p>
    <w:p>
      <w:pPr>
        <w:pStyle w:val="BodyText"/>
        <w:spacing w:line="261" w:lineRule="auto" w:before="1"/>
        <w:ind w:left="1837" w:right="1721"/>
        <w:jc w:val="both"/>
      </w:pPr>
      <w:r>
        <w:rPr>
          <w:color w:val="231F20"/>
          <w:w w:val="105"/>
        </w:rPr>
        <w:t>sus</w:t>
      </w:r>
      <w:r>
        <w:rPr>
          <w:color w:val="231F20"/>
          <w:spacing w:val="-25"/>
          <w:w w:val="105"/>
        </w:rPr>
        <w:t> </w:t>
      </w:r>
      <w:r>
        <w:rPr>
          <w:color w:val="231F20"/>
          <w:w w:val="105"/>
        </w:rPr>
        <w:t>hombres</w:t>
      </w:r>
      <w:r>
        <w:rPr>
          <w:color w:val="231F20"/>
          <w:spacing w:val="-25"/>
          <w:w w:val="105"/>
        </w:rPr>
        <w:t> </w:t>
      </w:r>
      <w:r>
        <w:rPr>
          <w:color w:val="231F20"/>
          <w:w w:val="105"/>
        </w:rPr>
        <w:t>se</w:t>
      </w:r>
      <w:r>
        <w:rPr>
          <w:color w:val="231F20"/>
          <w:spacing w:val="-25"/>
          <w:w w:val="105"/>
        </w:rPr>
        <w:t> </w:t>
      </w:r>
      <w:r>
        <w:rPr>
          <w:color w:val="231F20"/>
          <w:w w:val="105"/>
        </w:rPr>
        <w:t>han</w:t>
      </w:r>
      <w:r>
        <w:rPr>
          <w:color w:val="231F20"/>
          <w:spacing w:val="-25"/>
          <w:w w:val="105"/>
        </w:rPr>
        <w:t> </w:t>
      </w:r>
      <w:r>
        <w:rPr>
          <w:color w:val="231F20"/>
          <w:w w:val="105"/>
        </w:rPr>
        <w:t>convertido</w:t>
      </w:r>
      <w:r>
        <w:rPr>
          <w:color w:val="231F20"/>
          <w:spacing w:val="-25"/>
          <w:w w:val="105"/>
        </w:rPr>
        <w:t> </w:t>
      </w:r>
      <w:r>
        <w:rPr>
          <w:color w:val="231F20"/>
          <w:w w:val="105"/>
        </w:rPr>
        <w:t>en</w:t>
      </w:r>
      <w:r>
        <w:rPr>
          <w:color w:val="231F20"/>
          <w:spacing w:val="-25"/>
          <w:w w:val="105"/>
        </w:rPr>
        <w:t> </w:t>
      </w:r>
      <w:r>
        <w:rPr>
          <w:color w:val="231F20"/>
          <w:w w:val="105"/>
        </w:rPr>
        <w:t>viajeros</w:t>
      </w:r>
      <w:r>
        <w:rPr>
          <w:color w:val="231F20"/>
          <w:spacing w:val="-25"/>
          <w:w w:val="105"/>
        </w:rPr>
        <w:t> </w:t>
      </w:r>
      <w:r>
        <w:rPr>
          <w:color w:val="231F20"/>
          <w:w w:val="105"/>
        </w:rPr>
        <w:t>frecuentes,</w:t>
      </w:r>
      <w:r>
        <w:rPr>
          <w:color w:val="231F20"/>
          <w:spacing w:val="-29"/>
          <w:w w:val="105"/>
        </w:rPr>
        <w:t> </w:t>
      </w:r>
      <w:r>
        <w:rPr>
          <w:color w:val="231F20"/>
          <w:w w:val="105"/>
        </w:rPr>
        <w:t>desafiantes</w:t>
      </w:r>
      <w:r>
        <w:rPr>
          <w:color w:val="231F20"/>
          <w:spacing w:val="-25"/>
          <w:w w:val="105"/>
        </w:rPr>
        <w:t> </w:t>
      </w:r>
      <w:r>
        <w:rPr>
          <w:color w:val="231F20"/>
          <w:w w:val="105"/>
        </w:rPr>
        <w:t>de</w:t>
      </w:r>
      <w:r>
        <w:rPr>
          <w:color w:val="231F20"/>
          <w:spacing w:val="-25"/>
          <w:w w:val="105"/>
        </w:rPr>
        <w:t> </w:t>
      </w:r>
      <w:r>
        <w:rPr>
          <w:color w:val="231F20"/>
          <w:w w:val="105"/>
        </w:rPr>
        <w:t>los peligros,</w:t>
      </w:r>
      <w:r>
        <w:rPr>
          <w:color w:val="231F20"/>
          <w:spacing w:val="-27"/>
          <w:w w:val="105"/>
        </w:rPr>
        <w:t> </w:t>
      </w:r>
      <w:r>
        <w:rPr>
          <w:color w:val="231F20"/>
          <w:w w:val="105"/>
        </w:rPr>
        <w:t>en</w:t>
      </w:r>
      <w:r>
        <w:rPr>
          <w:color w:val="231F20"/>
          <w:spacing w:val="-21"/>
          <w:w w:val="105"/>
        </w:rPr>
        <w:t> </w:t>
      </w:r>
      <w:r>
        <w:rPr>
          <w:color w:val="231F20"/>
          <w:w w:val="105"/>
        </w:rPr>
        <w:t>cada</w:t>
      </w:r>
      <w:r>
        <w:rPr>
          <w:color w:val="231F20"/>
          <w:spacing w:val="-21"/>
          <w:w w:val="105"/>
        </w:rPr>
        <w:t> </w:t>
      </w:r>
      <w:r>
        <w:rPr>
          <w:color w:val="231F20"/>
          <w:w w:val="105"/>
        </w:rPr>
        <w:t>viaje</w:t>
      </w:r>
      <w:r>
        <w:rPr>
          <w:color w:val="231F20"/>
          <w:spacing w:val="-21"/>
          <w:w w:val="105"/>
        </w:rPr>
        <w:t> </w:t>
      </w:r>
      <w:r>
        <w:rPr>
          <w:color w:val="231F20"/>
          <w:w w:val="105"/>
        </w:rPr>
        <w:t>acumulan</w:t>
      </w:r>
      <w:r>
        <w:rPr>
          <w:color w:val="231F20"/>
          <w:spacing w:val="-21"/>
          <w:w w:val="105"/>
        </w:rPr>
        <w:t> </w:t>
      </w:r>
      <w:r>
        <w:rPr>
          <w:color w:val="231F20"/>
          <w:w w:val="105"/>
        </w:rPr>
        <w:t>lo</w:t>
      </w:r>
      <w:r>
        <w:rPr>
          <w:color w:val="231F20"/>
          <w:spacing w:val="-21"/>
          <w:w w:val="105"/>
        </w:rPr>
        <w:t> </w:t>
      </w:r>
      <w:r>
        <w:rPr>
          <w:color w:val="231F20"/>
          <w:w w:val="105"/>
        </w:rPr>
        <w:t>que</w:t>
      </w:r>
      <w:r>
        <w:rPr>
          <w:color w:val="231F20"/>
          <w:spacing w:val="-21"/>
          <w:w w:val="105"/>
        </w:rPr>
        <w:t> </w:t>
      </w:r>
      <w:r>
        <w:rPr>
          <w:color w:val="231F20"/>
          <w:w w:val="105"/>
        </w:rPr>
        <w:t>pueden,</w:t>
      </w:r>
      <w:r>
        <w:rPr>
          <w:color w:val="231F20"/>
          <w:spacing w:val="-27"/>
          <w:w w:val="105"/>
        </w:rPr>
        <w:t> </w:t>
      </w:r>
      <w:r>
        <w:rPr>
          <w:color w:val="231F20"/>
          <w:w w:val="105"/>
        </w:rPr>
        <w:t>su</w:t>
      </w:r>
      <w:r>
        <w:rPr>
          <w:color w:val="231F20"/>
          <w:spacing w:val="-21"/>
          <w:w w:val="105"/>
        </w:rPr>
        <w:t> </w:t>
      </w:r>
      <w:r>
        <w:rPr>
          <w:color w:val="231F20"/>
          <w:w w:val="105"/>
        </w:rPr>
        <w:t>anhelo</w:t>
      </w:r>
      <w:r>
        <w:rPr>
          <w:color w:val="231F20"/>
          <w:spacing w:val="-21"/>
          <w:w w:val="105"/>
        </w:rPr>
        <w:t> </w:t>
      </w:r>
      <w:r>
        <w:rPr>
          <w:color w:val="231F20"/>
          <w:w w:val="105"/>
        </w:rPr>
        <w:t>es</w:t>
      </w:r>
      <w:r>
        <w:rPr>
          <w:color w:val="231F20"/>
          <w:spacing w:val="-21"/>
          <w:w w:val="105"/>
        </w:rPr>
        <w:t> </w:t>
      </w:r>
      <w:r>
        <w:rPr>
          <w:color w:val="231F20"/>
          <w:w w:val="105"/>
        </w:rPr>
        <w:t>hacer</w:t>
      </w:r>
      <w:r>
        <w:rPr>
          <w:color w:val="231F20"/>
          <w:spacing w:val="-21"/>
          <w:w w:val="105"/>
        </w:rPr>
        <w:t> </w:t>
      </w:r>
      <w:r>
        <w:rPr>
          <w:color w:val="231F20"/>
          <w:w w:val="105"/>
        </w:rPr>
        <w:t>cada vez</w:t>
      </w:r>
      <w:r>
        <w:rPr>
          <w:color w:val="231F20"/>
          <w:spacing w:val="-23"/>
          <w:w w:val="105"/>
        </w:rPr>
        <w:t> </w:t>
      </w:r>
      <w:r>
        <w:rPr>
          <w:color w:val="231F20"/>
          <w:w w:val="105"/>
        </w:rPr>
        <w:t>más,</w:t>
      </w:r>
      <w:r>
        <w:rPr>
          <w:color w:val="231F20"/>
          <w:spacing w:val="-28"/>
          <w:w w:val="105"/>
        </w:rPr>
        <w:t> </w:t>
      </w:r>
      <w:r>
        <w:rPr>
          <w:color w:val="231F20"/>
          <w:w w:val="105"/>
        </w:rPr>
        <w:t>acumulan</w:t>
      </w:r>
      <w:r>
        <w:rPr>
          <w:color w:val="231F20"/>
          <w:spacing w:val="-23"/>
          <w:w w:val="105"/>
        </w:rPr>
        <w:t> </w:t>
      </w:r>
      <w:r>
        <w:rPr>
          <w:color w:val="231F20"/>
          <w:w w:val="105"/>
        </w:rPr>
        <w:t>experiencia,</w:t>
      </w:r>
      <w:r>
        <w:rPr>
          <w:color w:val="231F20"/>
          <w:spacing w:val="-28"/>
          <w:w w:val="105"/>
        </w:rPr>
        <w:t> </w:t>
      </w:r>
      <w:r>
        <w:rPr>
          <w:color w:val="231F20"/>
          <w:w w:val="105"/>
        </w:rPr>
        <w:t>bienes</w:t>
      </w:r>
      <w:r>
        <w:rPr>
          <w:color w:val="231F20"/>
          <w:spacing w:val="-23"/>
          <w:w w:val="105"/>
        </w:rPr>
        <w:t> </w:t>
      </w:r>
      <w:r>
        <w:rPr>
          <w:color w:val="231F20"/>
          <w:w w:val="105"/>
        </w:rPr>
        <w:t>y</w:t>
      </w:r>
      <w:r>
        <w:rPr>
          <w:color w:val="231F20"/>
          <w:spacing w:val="-23"/>
          <w:w w:val="105"/>
        </w:rPr>
        <w:t> </w:t>
      </w:r>
      <w:r>
        <w:rPr>
          <w:color w:val="231F20"/>
          <w:w w:val="105"/>
        </w:rPr>
        <w:t>se</w:t>
      </w:r>
      <w:r>
        <w:rPr>
          <w:color w:val="231F20"/>
          <w:spacing w:val="-23"/>
          <w:w w:val="105"/>
        </w:rPr>
        <w:t> </w:t>
      </w:r>
      <w:r>
        <w:rPr>
          <w:color w:val="231F20"/>
          <w:w w:val="105"/>
        </w:rPr>
        <w:t>enorgullecen</w:t>
      </w:r>
      <w:r>
        <w:rPr>
          <w:color w:val="231F20"/>
          <w:spacing w:val="-23"/>
          <w:w w:val="105"/>
        </w:rPr>
        <w:t> </w:t>
      </w:r>
      <w:r>
        <w:rPr>
          <w:color w:val="231F20"/>
          <w:w w:val="105"/>
        </w:rPr>
        <w:t>de</w:t>
      </w:r>
      <w:r>
        <w:rPr>
          <w:color w:val="231F20"/>
          <w:spacing w:val="-23"/>
          <w:w w:val="105"/>
        </w:rPr>
        <w:t> </w:t>
      </w:r>
      <w:r>
        <w:rPr>
          <w:color w:val="231F20"/>
          <w:w w:val="105"/>
        </w:rPr>
        <w:t>ello.</w:t>
      </w:r>
      <w:r>
        <w:rPr>
          <w:color w:val="231F20"/>
          <w:spacing w:val="-28"/>
          <w:w w:val="105"/>
        </w:rPr>
        <w:t> </w:t>
      </w:r>
      <w:r>
        <w:rPr>
          <w:color w:val="231F20"/>
          <w:w w:val="105"/>
        </w:rPr>
        <w:t>Sus</w:t>
      </w:r>
      <w:r>
        <w:rPr>
          <w:color w:val="231F20"/>
          <w:spacing w:val="-23"/>
          <w:w w:val="105"/>
        </w:rPr>
        <w:t> </w:t>
      </w:r>
      <w:r>
        <w:rPr>
          <w:color w:val="231F20"/>
          <w:w w:val="105"/>
        </w:rPr>
        <w:t>re- gresos</w:t>
      </w:r>
      <w:r>
        <w:rPr>
          <w:color w:val="231F20"/>
          <w:spacing w:val="-22"/>
          <w:w w:val="105"/>
        </w:rPr>
        <w:t> </w:t>
      </w:r>
      <w:r>
        <w:rPr>
          <w:color w:val="231F20"/>
          <w:w w:val="105"/>
        </w:rPr>
        <w:t>a</w:t>
      </w:r>
      <w:r>
        <w:rPr>
          <w:color w:val="231F20"/>
          <w:spacing w:val="-22"/>
          <w:w w:val="105"/>
        </w:rPr>
        <w:t> </w:t>
      </w:r>
      <w:r>
        <w:rPr>
          <w:color w:val="231F20"/>
          <w:w w:val="105"/>
        </w:rPr>
        <w:t>las</w:t>
      </w:r>
      <w:r>
        <w:rPr>
          <w:color w:val="231F20"/>
          <w:spacing w:val="-22"/>
          <w:w w:val="105"/>
        </w:rPr>
        <w:t> </w:t>
      </w:r>
      <w:r>
        <w:rPr>
          <w:color w:val="231F20"/>
          <w:w w:val="105"/>
        </w:rPr>
        <w:t>localidades</w:t>
      </w:r>
      <w:r>
        <w:rPr>
          <w:color w:val="231F20"/>
          <w:spacing w:val="-22"/>
          <w:w w:val="105"/>
        </w:rPr>
        <w:t> </w:t>
      </w:r>
      <w:r>
        <w:rPr>
          <w:color w:val="231F20"/>
          <w:w w:val="105"/>
        </w:rPr>
        <w:t>de</w:t>
      </w:r>
      <w:r>
        <w:rPr>
          <w:color w:val="231F20"/>
          <w:spacing w:val="-22"/>
          <w:w w:val="105"/>
        </w:rPr>
        <w:t> </w:t>
      </w:r>
      <w:r>
        <w:rPr>
          <w:color w:val="231F20"/>
          <w:w w:val="105"/>
        </w:rPr>
        <w:t>origen</w:t>
      </w:r>
      <w:r>
        <w:rPr>
          <w:color w:val="231F20"/>
          <w:spacing w:val="-22"/>
          <w:w w:val="105"/>
        </w:rPr>
        <w:t> </w:t>
      </w:r>
      <w:r>
        <w:rPr>
          <w:color w:val="231F20"/>
          <w:w w:val="105"/>
        </w:rPr>
        <w:t>casi</w:t>
      </w:r>
      <w:r>
        <w:rPr>
          <w:color w:val="231F20"/>
          <w:spacing w:val="-22"/>
          <w:w w:val="105"/>
        </w:rPr>
        <w:t> </w:t>
      </w:r>
      <w:r>
        <w:rPr>
          <w:color w:val="231F20"/>
          <w:w w:val="105"/>
        </w:rPr>
        <w:t>siempre</w:t>
      </w:r>
      <w:r>
        <w:rPr>
          <w:color w:val="231F20"/>
          <w:spacing w:val="-22"/>
          <w:w w:val="105"/>
        </w:rPr>
        <w:t> </w:t>
      </w:r>
      <w:r>
        <w:rPr>
          <w:color w:val="231F20"/>
          <w:w w:val="105"/>
        </w:rPr>
        <w:t>son</w:t>
      </w:r>
      <w:r>
        <w:rPr>
          <w:color w:val="231F20"/>
          <w:spacing w:val="-22"/>
          <w:w w:val="105"/>
        </w:rPr>
        <w:t> </w:t>
      </w:r>
      <w:r>
        <w:rPr>
          <w:color w:val="231F20"/>
          <w:w w:val="105"/>
        </w:rPr>
        <w:t>para</w:t>
      </w:r>
      <w:r>
        <w:rPr>
          <w:color w:val="231F20"/>
          <w:spacing w:val="-22"/>
          <w:w w:val="105"/>
        </w:rPr>
        <w:t> </w:t>
      </w:r>
      <w:r>
        <w:rPr>
          <w:color w:val="231F20"/>
          <w:w w:val="105"/>
        </w:rPr>
        <w:t>recompensar</w:t>
      </w:r>
      <w:r>
        <w:rPr>
          <w:color w:val="231F20"/>
          <w:spacing w:val="15"/>
          <w:w w:val="105"/>
        </w:rPr>
        <w:t> </w:t>
      </w:r>
      <w:r>
        <w:rPr>
          <w:color w:val="231F20"/>
          <w:w w:val="105"/>
        </w:rPr>
        <w:t>lo emocional con lo económico, esto compaginado con su presencia. La idea</w:t>
      </w:r>
      <w:r>
        <w:rPr>
          <w:color w:val="231F20"/>
          <w:spacing w:val="-16"/>
          <w:w w:val="105"/>
        </w:rPr>
        <w:t> </w:t>
      </w:r>
      <w:r>
        <w:rPr>
          <w:color w:val="231F20"/>
          <w:w w:val="105"/>
        </w:rPr>
        <w:t>más</w:t>
      </w:r>
      <w:r>
        <w:rPr>
          <w:color w:val="231F20"/>
          <w:spacing w:val="-16"/>
          <w:w w:val="105"/>
        </w:rPr>
        <w:t> </w:t>
      </w:r>
      <w:r>
        <w:rPr>
          <w:color w:val="231F20"/>
          <w:w w:val="105"/>
        </w:rPr>
        <w:t>frecuente</w:t>
      </w:r>
      <w:r>
        <w:rPr>
          <w:color w:val="231F20"/>
          <w:spacing w:val="-16"/>
          <w:w w:val="105"/>
        </w:rPr>
        <w:t> </w:t>
      </w:r>
      <w:r>
        <w:rPr>
          <w:color w:val="231F20"/>
          <w:w w:val="105"/>
        </w:rPr>
        <w:t>es</w:t>
      </w:r>
      <w:r>
        <w:rPr>
          <w:color w:val="231F20"/>
          <w:spacing w:val="-16"/>
          <w:w w:val="105"/>
        </w:rPr>
        <w:t> </w:t>
      </w:r>
      <w:r>
        <w:rPr>
          <w:color w:val="231F20"/>
          <w:w w:val="105"/>
        </w:rPr>
        <w:t>gastar</w:t>
      </w:r>
      <w:r>
        <w:rPr>
          <w:color w:val="231F20"/>
          <w:spacing w:val="-16"/>
          <w:w w:val="105"/>
        </w:rPr>
        <w:t> </w:t>
      </w:r>
      <w:r>
        <w:rPr>
          <w:color w:val="231F20"/>
          <w:w w:val="105"/>
        </w:rPr>
        <w:t>o</w:t>
      </w:r>
      <w:r>
        <w:rPr>
          <w:color w:val="231F20"/>
          <w:spacing w:val="-16"/>
          <w:w w:val="105"/>
        </w:rPr>
        <w:t> </w:t>
      </w:r>
      <w:r>
        <w:rPr>
          <w:color w:val="231F20"/>
          <w:w w:val="105"/>
        </w:rPr>
        <w:t>invertir</w:t>
      </w:r>
      <w:r>
        <w:rPr>
          <w:color w:val="231F20"/>
          <w:spacing w:val="-16"/>
          <w:w w:val="105"/>
        </w:rPr>
        <w:t> </w:t>
      </w:r>
      <w:r>
        <w:rPr>
          <w:color w:val="231F20"/>
          <w:w w:val="105"/>
        </w:rPr>
        <w:t>el</w:t>
      </w:r>
      <w:r>
        <w:rPr>
          <w:color w:val="231F20"/>
          <w:spacing w:val="-16"/>
          <w:w w:val="105"/>
        </w:rPr>
        <w:t> </w:t>
      </w:r>
      <w:r>
        <w:rPr>
          <w:color w:val="231F20"/>
          <w:w w:val="105"/>
        </w:rPr>
        <w:t>dinero</w:t>
      </w:r>
      <w:r>
        <w:rPr>
          <w:color w:val="231F20"/>
          <w:spacing w:val="-16"/>
          <w:w w:val="105"/>
        </w:rPr>
        <w:t> </w:t>
      </w:r>
      <w:r>
        <w:rPr>
          <w:color w:val="231F20"/>
          <w:w w:val="105"/>
        </w:rPr>
        <w:t>ahorrado</w:t>
      </w:r>
      <w:r>
        <w:rPr>
          <w:color w:val="231F20"/>
          <w:spacing w:val="-16"/>
          <w:w w:val="105"/>
        </w:rPr>
        <w:t> </w:t>
      </w:r>
      <w:r>
        <w:rPr>
          <w:color w:val="231F20"/>
          <w:w w:val="105"/>
        </w:rPr>
        <w:t>en</w:t>
      </w:r>
      <w:r>
        <w:rPr>
          <w:color w:val="231F20"/>
          <w:spacing w:val="-16"/>
          <w:w w:val="105"/>
        </w:rPr>
        <w:t> </w:t>
      </w:r>
      <w:r>
        <w:rPr>
          <w:color w:val="231F20"/>
          <w:w w:val="105"/>
        </w:rPr>
        <w:t>aquello</w:t>
      </w:r>
      <w:r>
        <w:rPr>
          <w:color w:val="231F20"/>
          <w:spacing w:val="-16"/>
          <w:w w:val="105"/>
        </w:rPr>
        <w:t> </w:t>
      </w:r>
      <w:r>
        <w:rPr>
          <w:color w:val="231F20"/>
          <w:w w:val="105"/>
        </w:rPr>
        <w:t>que promete ser una fuente de empleo mientras toman decisiones sobre</w:t>
      </w:r>
      <w:r>
        <w:rPr>
          <w:color w:val="231F20"/>
          <w:spacing w:val="-32"/>
          <w:w w:val="105"/>
        </w:rPr>
        <w:t> </w:t>
      </w:r>
      <w:r>
        <w:rPr>
          <w:color w:val="231F20"/>
          <w:w w:val="105"/>
        </w:rPr>
        <w:t>su estancia</w:t>
      </w:r>
      <w:r>
        <w:rPr>
          <w:color w:val="231F20"/>
          <w:spacing w:val="-33"/>
          <w:w w:val="105"/>
        </w:rPr>
        <w:t> </w:t>
      </w:r>
      <w:r>
        <w:rPr>
          <w:color w:val="231F20"/>
          <w:w w:val="105"/>
        </w:rPr>
        <w:t>en</w:t>
      </w:r>
      <w:r>
        <w:rPr>
          <w:color w:val="231F20"/>
          <w:spacing w:val="-33"/>
          <w:w w:val="105"/>
        </w:rPr>
        <w:t> </w:t>
      </w:r>
      <w:r>
        <w:rPr>
          <w:color w:val="231F20"/>
          <w:w w:val="105"/>
        </w:rPr>
        <w:t>casa.</w:t>
      </w:r>
      <w:r>
        <w:rPr>
          <w:color w:val="231F20"/>
          <w:spacing w:val="-36"/>
          <w:w w:val="105"/>
        </w:rPr>
        <w:t> </w:t>
      </w:r>
      <w:r>
        <w:rPr>
          <w:color w:val="231F20"/>
          <w:w w:val="105"/>
        </w:rPr>
        <w:t>Lo</w:t>
      </w:r>
      <w:r>
        <w:rPr>
          <w:color w:val="231F20"/>
          <w:spacing w:val="-33"/>
          <w:w w:val="105"/>
        </w:rPr>
        <w:t> </w:t>
      </w:r>
      <w:r>
        <w:rPr>
          <w:color w:val="231F20"/>
          <w:w w:val="105"/>
        </w:rPr>
        <w:t>cierto</w:t>
      </w:r>
      <w:r>
        <w:rPr>
          <w:color w:val="231F20"/>
          <w:spacing w:val="-33"/>
          <w:w w:val="105"/>
        </w:rPr>
        <w:t> </w:t>
      </w:r>
      <w:r>
        <w:rPr>
          <w:color w:val="231F20"/>
          <w:w w:val="105"/>
        </w:rPr>
        <w:t>es</w:t>
      </w:r>
      <w:r>
        <w:rPr>
          <w:color w:val="231F20"/>
          <w:spacing w:val="-33"/>
          <w:w w:val="105"/>
        </w:rPr>
        <w:t> </w:t>
      </w:r>
      <w:r>
        <w:rPr>
          <w:color w:val="231F20"/>
          <w:w w:val="105"/>
        </w:rPr>
        <w:t>que</w:t>
      </w:r>
      <w:r>
        <w:rPr>
          <w:color w:val="231F20"/>
          <w:spacing w:val="-33"/>
          <w:w w:val="105"/>
        </w:rPr>
        <w:t> </w:t>
      </w:r>
      <w:r>
        <w:rPr>
          <w:color w:val="231F20"/>
          <w:w w:val="105"/>
        </w:rPr>
        <w:t>estas</w:t>
      </w:r>
      <w:r>
        <w:rPr>
          <w:color w:val="231F20"/>
          <w:spacing w:val="-33"/>
          <w:w w:val="105"/>
        </w:rPr>
        <w:t> </w:t>
      </w:r>
      <w:r>
        <w:rPr>
          <w:color w:val="231F20"/>
          <w:w w:val="105"/>
        </w:rPr>
        <w:t>parejas</w:t>
      </w:r>
      <w:r>
        <w:rPr>
          <w:color w:val="231F20"/>
          <w:spacing w:val="-33"/>
          <w:w w:val="105"/>
        </w:rPr>
        <w:t> </w:t>
      </w:r>
      <w:r>
        <w:rPr>
          <w:color w:val="231F20"/>
          <w:w w:val="105"/>
        </w:rPr>
        <w:t>han</w:t>
      </w:r>
      <w:r>
        <w:rPr>
          <w:color w:val="231F20"/>
          <w:spacing w:val="-33"/>
          <w:w w:val="105"/>
        </w:rPr>
        <w:t> </w:t>
      </w:r>
      <w:r>
        <w:rPr>
          <w:color w:val="231F20"/>
          <w:w w:val="105"/>
        </w:rPr>
        <w:t>desterritorializado</w:t>
      </w:r>
      <w:r>
        <w:rPr>
          <w:color w:val="231F20"/>
          <w:spacing w:val="-33"/>
          <w:w w:val="105"/>
        </w:rPr>
        <w:t> </w:t>
      </w:r>
      <w:r>
        <w:rPr>
          <w:color w:val="231F20"/>
          <w:w w:val="105"/>
        </w:rPr>
        <w:t>las relaciones</w:t>
      </w:r>
      <w:r>
        <w:rPr>
          <w:color w:val="231F20"/>
          <w:spacing w:val="-7"/>
          <w:w w:val="105"/>
        </w:rPr>
        <w:t> </w:t>
      </w:r>
      <w:r>
        <w:rPr>
          <w:color w:val="231F20"/>
          <w:w w:val="105"/>
        </w:rPr>
        <w:t>de</w:t>
      </w:r>
      <w:r>
        <w:rPr>
          <w:color w:val="231F20"/>
          <w:spacing w:val="-7"/>
          <w:w w:val="105"/>
        </w:rPr>
        <w:t> </w:t>
      </w:r>
      <w:r>
        <w:rPr>
          <w:color w:val="231F20"/>
          <w:w w:val="105"/>
        </w:rPr>
        <w:t>pareja.</w:t>
      </w:r>
      <w:r>
        <w:rPr>
          <w:color w:val="231F20"/>
          <w:spacing w:val="-13"/>
          <w:w w:val="105"/>
        </w:rPr>
        <w:t> </w:t>
      </w:r>
      <w:r>
        <w:rPr>
          <w:color w:val="231F20"/>
          <w:w w:val="105"/>
        </w:rPr>
        <w:t>Eso</w:t>
      </w:r>
      <w:r>
        <w:rPr>
          <w:color w:val="231F20"/>
          <w:spacing w:val="-7"/>
          <w:w w:val="105"/>
        </w:rPr>
        <w:t> </w:t>
      </w:r>
      <w:r>
        <w:rPr>
          <w:color w:val="231F20"/>
          <w:w w:val="105"/>
        </w:rPr>
        <w:t>quiere</w:t>
      </w:r>
      <w:r>
        <w:rPr>
          <w:color w:val="231F20"/>
          <w:spacing w:val="-7"/>
          <w:w w:val="105"/>
        </w:rPr>
        <w:t> </w:t>
      </w:r>
      <w:r>
        <w:rPr>
          <w:color w:val="231F20"/>
          <w:w w:val="105"/>
        </w:rPr>
        <w:t>decir</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comunidad,</w:t>
      </w:r>
      <w:r>
        <w:rPr>
          <w:color w:val="231F20"/>
          <w:spacing w:val="-13"/>
          <w:w w:val="105"/>
        </w:rPr>
        <w:t> </w:t>
      </w:r>
      <w:r>
        <w:rPr>
          <w:color w:val="231F20"/>
          <w:w w:val="105"/>
        </w:rPr>
        <w:t>y</w:t>
      </w:r>
      <w:r>
        <w:rPr>
          <w:color w:val="231F20"/>
          <w:spacing w:val="-7"/>
          <w:w w:val="105"/>
        </w:rPr>
        <w:t> </w:t>
      </w:r>
      <w:r>
        <w:rPr>
          <w:color w:val="231F20"/>
          <w:w w:val="105"/>
        </w:rPr>
        <w:t>en</w:t>
      </w:r>
      <w:r>
        <w:rPr>
          <w:color w:val="231F20"/>
          <w:spacing w:val="-7"/>
          <w:w w:val="105"/>
        </w:rPr>
        <w:t> </w:t>
      </w:r>
      <w:r>
        <w:rPr>
          <w:color w:val="231F20"/>
          <w:w w:val="105"/>
        </w:rPr>
        <w:t>particular la</w:t>
      </w:r>
      <w:r>
        <w:rPr>
          <w:color w:val="231F20"/>
          <w:spacing w:val="-16"/>
          <w:w w:val="105"/>
        </w:rPr>
        <w:t> </w:t>
      </w:r>
      <w:r>
        <w:rPr>
          <w:color w:val="231F20"/>
          <w:w w:val="105"/>
        </w:rPr>
        <w:t>vivienda,</w:t>
      </w:r>
      <w:r>
        <w:rPr>
          <w:color w:val="231F20"/>
          <w:spacing w:val="-22"/>
          <w:w w:val="105"/>
        </w:rPr>
        <w:t> </w:t>
      </w:r>
      <w:r>
        <w:rPr>
          <w:color w:val="231F20"/>
          <w:w w:val="105"/>
        </w:rPr>
        <w:t>dejó</w:t>
      </w:r>
      <w:r>
        <w:rPr>
          <w:color w:val="231F20"/>
          <w:spacing w:val="-16"/>
          <w:w w:val="105"/>
        </w:rPr>
        <w:t> </w:t>
      </w:r>
      <w:r>
        <w:rPr>
          <w:color w:val="231F20"/>
          <w:w w:val="105"/>
        </w:rPr>
        <w:t>de</w:t>
      </w:r>
      <w:r>
        <w:rPr>
          <w:color w:val="231F20"/>
          <w:spacing w:val="-16"/>
          <w:w w:val="105"/>
        </w:rPr>
        <w:t> </w:t>
      </w:r>
      <w:r>
        <w:rPr>
          <w:color w:val="231F20"/>
          <w:w w:val="105"/>
        </w:rPr>
        <w:t>ser</w:t>
      </w:r>
      <w:r>
        <w:rPr>
          <w:color w:val="231F20"/>
          <w:spacing w:val="-16"/>
          <w:w w:val="105"/>
        </w:rPr>
        <w:t> </w:t>
      </w:r>
      <w:r>
        <w:rPr>
          <w:color w:val="231F20"/>
          <w:w w:val="105"/>
        </w:rPr>
        <w:t>el</w:t>
      </w:r>
      <w:r>
        <w:rPr>
          <w:color w:val="231F20"/>
          <w:spacing w:val="-16"/>
          <w:w w:val="105"/>
        </w:rPr>
        <w:t> </w:t>
      </w:r>
      <w:r>
        <w:rPr>
          <w:color w:val="231F20"/>
          <w:w w:val="105"/>
        </w:rPr>
        <w:t>espacio</w:t>
      </w:r>
      <w:r>
        <w:rPr>
          <w:color w:val="231F20"/>
          <w:spacing w:val="-16"/>
          <w:w w:val="105"/>
        </w:rPr>
        <w:t> </w:t>
      </w:r>
      <w:r>
        <w:rPr>
          <w:color w:val="231F20"/>
          <w:w w:val="105"/>
        </w:rPr>
        <w:t>de</w:t>
      </w:r>
      <w:r>
        <w:rPr>
          <w:color w:val="231F20"/>
          <w:spacing w:val="-16"/>
          <w:w w:val="105"/>
        </w:rPr>
        <w:t> </w:t>
      </w:r>
      <w:r>
        <w:rPr>
          <w:color w:val="231F20"/>
          <w:w w:val="105"/>
        </w:rPr>
        <w:t>desarrollo</w:t>
      </w:r>
      <w:r>
        <w:rPr>
          <w:color w:val="231F20"/>
          <w:spacing w:val="-16"/>
          <w:w w:val="105"/>
        </w:rPr>
        <w:t> </w:t>
      </w:r>
      <w:r>
        <w:rPr>
          <w:color w:val="231F20"/>
          <w:w w:val="105"/>
        </w:rPr>
        <w:t>y</w:t>
      </w:r>
      <w:r>
        <w:rPr>
          <w:color w:val="231F20"/>
          <w:spacing w:val="-16"/>
          <w:w w:val="105"/>
        </w:rPr>
        <w:t> </w:t>
      </w:r>
      <w:r>
        <w:rPr>
          <w:color w:val="231F20"/>
          <w:w w:val="105"/>
        </w:rPr>
        <w:t>experiencia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sen- timientos</w:t>
      </w:r>
      <w:r>
        <w:rPr>
          <w:color w:val="231F20"/>
          <w:spacing w:val="-29"/>
          <w:w w:val="105"/>
        </w:rPr>
        <w:t> </w:t>
      </w:r>
      <w:r>
        <w:rPr>
          <w:color w:val="231F20"/>
          <w:w w:val="105"/>
        </w:rPr>
        <w:t>y</w:t>
      </w:r>
      <w:r>
        <w:rPr>
          <w:color w:val="231F20"/>
          <w:spacing w:val="-29"/>
          <w:w w:val="105"/>
        </w:rPr>
        <w:t> </w:t>
      </w:r>
      <w:r>
        <w:rPr>
          <w:color w:val="231F20"/>
          <w:w w:val="105"/>
        </w:rPr>
        <w:t>las</w:t>
      </w:r>
      <w:r>
        <w:rPr>
          <w:color w:val="231F20"/>
          <w:spacing w:val="-29"/>
          <w:w w:val="105"/>
        </w:rPr>
        <w:t> </w:t>
      </w:r>
      <w:r>
        <w:rPr>
          <w:color w:val="231F20"/>
          <w:w w:val="105"/>
        </w:rPr>
        <w:t>relaciones.</w:t>
      </w:r>
    </w:p>
    <w:p>
      <w:pPr>
        <w:pStyle w:val="BodyText"/>
        <w:rPr>
          <w:sz w:val="20"/>
        </w:rPr>
      </w:pPr>
    </w:p>
    <w:p>
      <w:pPr>
        <w:pStyle w:val="BodyText"/>
        <w:spacing w:before="9"/>
        <w:rPr>
          <w:sz w:val="20"/>
        </w:rPr>
      </w:pPr>
    </w:p>
    <w:p>
      <w:pPr>
        <w:pStyle w:val="Heading3"/>
      </w:pPr>
      <w:r>
        <w:rPr>
          <w:color w:val="231F20"/>
        </w:rPr>
        <w:t>Bibliografía</w:t>
      </w:r>
    </w:p>
    <w:p>
      <w:pPr>
        <w:pStyle w:val="BodyText"/>
        <w:rPr>
          <w:rFonts w:ascii="Arial"/>
          <w:b/>
          <w:sz w:val="22"/>
        </w:rPr>
      </w:pPr>
    </w:p>
    <w:p>
      <w:pPr>
        <w:pStyle w:val="BodyText"/>
        <w:spacing w:before="163"/>
        <w:ind w:left="1837"/>
        <w:jc w:val="both"/>
      </w:pPr>
      <w:r>
        <w:rPr>
          <w:color w:val="231F20"/>
        </w:rPr>
        <w:t>Anderson, Kay y Smith, Susan, (2001), “Editorial: Emotional Geographies”,</w:t>
      </w:r>
    </w:p>
    <w:p>
      <w:pPr>
        <w:spacing w:before="19"/>
        <w:ind w:left="2574" w:right="0" w:firstLine="0"/>
        <w:jc w:val="left"/>
        <w:rPr>
          <w:sz w:val="21"/>
        </w:rPr>
      </w:pPr>
      <w:r>
        <w:rPr>
          <w:rFonts w:ascii="Arial" w:hAnsi="Arial"/>
          <w:i/>
          <w:color w:val="231F20"/>
          <w:w w:val="105"/>
          <w:sz w:val="21"/>
        </w:rPr>
        <w:t>Transactions of the institute of British Geographers</w:t>
      </w:r>
      <w:r>
        <w:rPr>
          <w:color w:val="231F20"/>
          <w:w w:val="105"/>
          <w:sz w:val="21"/>
        </w:rPr>
        <w:t>, núm. 26.</w:t>
      </w:r>
    </w:p>
    <w:p>
      <w:pPr>
        <w:spacing w:line="261" w:lineRule="auto" w:before="22"/>
        <w:ind w:left="2574" w:right="1715" w:hanging="738"/>
        <w:jc w:val="both"/>
        <w:rPr>
          <w:sz w:val="21"/>
        </w:rPr>
      </w:pPr>
      <w:r>
        <w:rPr>
          <w:color w:val="231F20"/>
          <w:sz w:val="21"/>
        </w:rPr>
        <w:t>Ariza, Marina, (2000), “Género y migración femenina: dimensiones ana- líticas y desafíos metodológicos”, en Dalia Barrera y Cristina Oe- hmichen (coords.) </w:t>
      </w:r>
      <w:r>
        <w:rPr>
          <w:rFonts w:ascii="Arial" w:hAnsi="Arial"/>
          <w:i/>
          <w:color w:val="231F20"/>
          <w:sz w:val="21"/>
        </w:rPr>
        <w:t>Migración y relaciones de género en México</w:t>
      </w:r>
      <w:r>
        <w:rPr>
          <w:color w:val="231F20"/>
          <w:sz w:val="21"/>
        </w:rPr>
        <w:t>, México: </w:t>
      </w:r>
      <w:r>
        <w:rPr>
          <w:color w:val="231F20"/>
          <w:sz w:val="17"/>
        </w:rPr>
        <w:t>GIMTRAP</w:t>
      </w:r>
      <w:r>
        <w:rPr>
          <w:color w:val="231F20"/>
          <w:sz w:val="21"/>
        </w:rPr>
        <w:t>/</w:t>
      </w:r>
      <w:r>
        <w:rPr>
          <w:color w:val="231F20"/>
          <w:sz w:val="17"/>
        </w:rPr>
        <w:t>IIA</w:t>
      </w:r>
      <w:r>
        <w:rPr>
          <w:color w:val="231F20"/>
          <w:sz w:val="21"/>
        </w:rPr>
        <w:t>/</w:t>
      </w:r>
      <w:r>
        <w:rPr>
          <w:color w:val="231F20"/>
          <w:sz w:val="17"/>
        </w:rPr>
        <w:t>UNAM</w:t>
      </w:r>
      <w:r>
        <w:rPr>
          <w:color w:val="231F20"/>
          <w:sz w:val="21"/>
        </w:rPr>
        <w:t>.</w:t>
      </w:r>
    </w:p>
    <w:p>
      <w:pPr>
        <w:spacing w:line="259" w:lineRule="auto" w:before="1"/>
        <w:ind w:left="2574" w:right="1721" w:hanging="738"/>
        <w:jc w:val="both"/>
        <w:rPr>
          <w:sz w:val="21"/>
        </w:rPr>
      </w:pPr>
      <w:r>
        <w:rPr>
          <w:color w:val="231F20"/>
          <w:w w:val="105"/>
          <w:sz w:val="21"/>
        </w:rPr>
        <w:t>Ariza, Marina y D’Aubeterre, María Eugenia, (2009), “Contigo en la dis- tancia.</w:t>
      </w:r>
      <w:r>
        <w:rPr>
          <w:color w:val="231F20"/>
          <w:spacing w:val="-26"/>
          <w:w w:val="105"/>
          <w:sz w:val="21"/>
        </w:rPr>
        <w:t> </w:t>
      </w:r>
      <w:r>
        <w:rPr>
          <w:color w:val="231F20"/>
          <w:w w:val="105"/>
          <w:sz w:val="21"/>
        </w:rPr>
        <w:t>Dimensiones</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la</w:t>
      </w:r>
      <w:r>
        <w:rPr>
          <w:color w:val="231F20"/>
          <w:spacing w:val="-21"/>
          <w:w w:val="105"/>
          <w:sz w:val="21"/>
        </w:rPr>
        <w:t> </w:t>
      </w:r>
      <w:r>
        <w:rPr>
          <w:color w:val="231F20"/>
          <w:w w:val="105"/>
          <w:sz w:val="21"/>
        </w:rPr>
        <w:t>conyugalidad</w:t>
      </w:r>
      <w:r>
        <w:rPr>
          <w:color w:val="231F20"/>
          <w:spacing w:val="-21"/>
          <w:w w:val="105"/>
          <w:sz w:val="21"/>
        </w:rPr>
        <w:t> </w:t>
      </w:r>
      <w:r>
        <w:rPr>
          <w:color w:val="231F20"/>
          <w:w w:val="105"/>
          <w:sz w:val="21"/>
        </w:rPr>
        <w:t>en</w:t>
      </w:r>
      <w:r>
        <w:rPr>
          <w:color w:val="231F20"/>
          <w:spacing w:val="-21"/>
          <w:w w:val="105"/>
          <w:sz w:val="21"/>
        </w:rPr>
        <w:t> </w:t>
      </w:r>
      <w:r>
        <w:rPr>
          <w:color w:val="231F20"/>
          <w:w w:val="105"/>
          <w:sz w:val="21"/>
        </w:rPr>
        <w:t>migrantes</w:t>
      </w:r>
      <w:r>
        <w:rPr>
          <w:color w:val="231F20"/>
          <w:spacing w:val="-21"/>
          <w:w w:val="105"/>
          <w:sz w:val="21"/>
        </w:rPr>
        <w:t> </w:t>
      </w:r>
      <w:r>
        <w:rPr>
          <w:color w:val="231F20"/>
          <w:w w:val="105"/>
          <w:sz w:val="21"/>
        </w:rPr>
        <w:t>mexicanos internos</w:t>
      </w:r>
      <w:r>
        <w:rPr>
          <w:color w:val="231F20"/>
          <w:spacing w:val="-20"/>
          <w:w w:val="105"/>
          <w:sz w:val="21"/>
        </w:rPr>
        <w:t> </w:t>
      </w:r>
      <w:r>
        <w:rPr>
          <w:color w:val="231F20"/>
          <w:w w:val="105"/>
          <w:sz w:val="21"/>
        </w:rPr>
        <w:t>e</w:t>
      </w:r>
      <w:r>
        <w:rPr>
          <w:color w:val="231F20"/>
          <w:spacing w:val="-20"/>
          <w:w w:val="105"/>
          <w:sz w:val="21"/>
        </w:rPr>
        <w:t> </w:t>
      </w:r>
      <w:r>
        <w:rPr>
          <w:color w:val="231F20"/>
          <w:w w:val="105"/>
          <w:sz w:val="21"/>
        </w:rPr>
        <w:t>internacionales”,</w:t>
      </w:r>
      <w:r>
        <w:rPr>
          <w:color w:val="231F20"/>
          <w:spacing w:val="-23"/>
          <w:w w:val="105"/>
          <w:sz w:val="21"/>
        </w:rPr>
        <w:t> </w:t>
      </w:r>
      <w:r>
        <w:rPr>
          <w:color w:val="231F20"/>
          <w:w w:val="105"/>
          <w:sz w:val="21"/>
        </w:rPr>
        <w:t>en</w:t>
      </w:r>
      <w:r>
        <w:rPr>
          <w:color w:val="231F20"/>
          <w:spacing w:val="-20"/>
          <w:w w:val="105"/>
          <w:sz w:val="21"/>
        </w:rPr>
        <w:t> </w:t>
      </w:r>
      <w:r>
        <w:rPr>
          <w:color w:val="231F20"/>
          <w:w w:val="105"/>
          <w:sz w:val="21"/>
        </w:rPr>
        <w:t>Cecilia</w:t>
      </w:r>
      <w:r>
        <w:rPr>
          <w:color w:val="231F20"/>
          <w:spacing w:val="-20"/>
          <w:w w:val="105"/>
          <w:sz w:val="21"/>
        </w:rPr>
        <w:t> </w:t>
      </w:r>
      <w:r>
        <w:rPr>
          <w:color w:val="231F20"/>
          <w:w w:val="105"/>
          <w:sz w:val="21"/>
        </w:rPr>
        <w:t>Rabell</w:t>
      </w:r>
      <w:r>
        <w:rPr>
          <w:color w:val="231F20"/>
          <w:spacing w:val="-20"/>
          <w:w w:val="105"/>
          <w:sz w:val="21"/>
        </w:rPr>
        <w:t> </w:t>
      </w:r>
      <w:r>
        <w:rPr>
          <w:color w:val="231F20"/>
          <w:w w:val="105"/>
          <w:sz w:val="21"/>
        </w:rPr>
        <w:t>(coord.),</w:t>
      </w:r>
      <w:r>
        <w:rPr>
          <w:color w:val="231F20"/>
          <w:spacing w:val="-23"/>
          <w:w w:val="105"/>
          <w:sz w:val="21"/>
        </w:rPr>
        <w:t> </w:t>
      </w:r>
      <w:r>
        <w:rPr>
          <w:rFonts w:ascii="Arial" w:hAnsi="Arial"/>
          <w:i/>
          <w:color w:val="231F20"/>
          <w:spacing w:val="-4"/>
          <w:w w:val="105"/>
          <w:sz w:val="21"/>
        </w:rPr>
        <w:t>Tramas</w:t>
      </w:r>
      <w:r>
        <w:rPr>
          <w:rFonts w:ascii="Arial" w:hAnsi="Arial"/>
          <w:i/>
          <w:color w:val="231F20"/>
          <w:spacing w:val="-22"/>
          <w:w w:val="105"/>
          <w:sz w:val="21"/>
        </w:rPr>
        <w:t> </w:t>
      </w:r>
      <w:r>
        <w:rPr>
          <w:rFonts w:ascii="Arial" w:hAnsi="Arial"/>
          <w:i/>
          <w:color w:val="231F20"/>
          <w:w w:val="105"/>
          <w:sz w:val="21"/>
        </w:rPr>
        <w:t>fa- </w:t>
      </w:r>
      <w:r>
        <w:rPr>
          <w:rFonts w:ascii="Arial" w:hAnsi="Arial"/>
          <w:i/>
          <w:color w:val="231F20"/>
          <w:w w:val="105"/>
          <w:sz w:val="21"/>
        </w:rPr>
        <w:t>miliares</w:t>
      </w:r>
      <w:r>
        <w:rPr>
          <w:rFonts w:ascii="Arial" w:hAnsi="Arial"/>
          <w:i/>
          <w:color w:val="231F20"/>
          <w:spacing w:val="-26"/>
          <w:w w:val="105"/>
          <w:sz w:val="21"/>
        </w:rPr>
        <w:t> </w:t>
      </w:r>
      <w:r>
        <w:rPr>
          <w:rFonts w:ascii="Arial" w:hAnsi="Arial"/>
          <w:i/>
          <w:color w:val="231F20"/>
          <w:w w:val="105"/>
          <w:sz w:val="21"/>
        </w:rPr>
        <w:t>en</w:t>
      </w:r>
      <w:r>
        <w:rPr>
          <w:rFonts w:ascii="Arial" w:hAnsi="Arial"/>
          <w:i/>
          <w:color w:val="231F20"/>
          <w:spacing w:val="-26"/>
          <w:w w:val="105"/>
          <w:sz w:val="21"/>
        </w:rPr>
        <w:t> </w:t>
      </w:r>
      <w:r>
        <w:rPr>
          <w:rFonts w:ascii="Arial" w:hAnsi="Arial"/>
          <w:i/>
          <w:color w:val="231F20"/>
          <w:w w:val="105"/>
          <w:sz w:val="21"/>
        </w:rPr>
        <w:t>el</w:t>
      </w:r>
      <w:r>
        <w:rPr>
          <w:rFonts w:ascii="Arial" w:hAnsi="Arial"/>
          <w:i/>
          <w:color w:val="231F20"/>
          <w:spacing w:val="-26"/>
          <w:w w:val="105"/>
          <w:sz w:val="21"/>
        </w:rPr>
        <w:t> </w:t>
      </w:r>
      <w:r>
        <w:rPr>
          <w:rFonts w:ascii="Arial" w:hAnsi="Arial"/>
          <w:i/>
          <w:color w:val="231F20"/>
          <w:w w:val="105"/>
          <w:sz w:val="21"/>
        </w:rPr>
        <w:t>México</w:t>
      </w:r>
      <w:r>
        <w:rPr>
          <w:rFonts w:ascii="Arial" w:hAnsi="Arial"/>
          <w:i/>
          <w:color w:val="231F20"/>
          <w:spacing w:val="-26"/>
          <w:w w:val="105"/>
          <w:sz w:val="21"/>
        </w:rPr>
        <w:t> </w:t>
      </w:r>
      <w:r>
        <w:rPr>
          <w:rFonts w:ascii="Arial" w:hAnsi="Arial"/>
          <w:i/>
          <w:color w:val="231F20"/>
          <w:w w:val="105"/>
          <w:sz w:val="21"/>
        </w:rPr>
        <w:t>Contemporáneo</w:t>
      </w:r>
      <w:r>
        <w:rPr>
          <w:color w:val="231F20"/>
          <w:w w:val="105"/>
          <w:sz w:val="21"/>
        </w:rPr>
        <w:t>,</w:t>
      </w:r>
      <w:r>
        <w:rPr>
          <w:color w:val="231F20"/>
          <w:spacing w:val="-28"/>
          <w:w w:val="105"/>
          <w:sz w:val="21"/>
        </w:rPr>
        <w:t> </w:t>
      </w:r>
      <w:r>
        <w:rPr>
          <w:color w:val="231F20"/>
          <w:w w:val="105"/>
          <w:sz w:val="21"/>
        </w:rPr>
        <w:t>México:</w:t>
      </w:r>
      <w:r>
        <w:rPr>
          <w:color w:val="231F20"/>
          <w:spacing w:val="-24"/>
          <w:w w:val="105"/>
          <w:sz w:val="21"/>
        </w:rPr>
        <w:t> </w:t>
      </w:r>
      <w:r>
        <w:rPr>
          <w:color w:val="231F20"/>
          <w:w w:val="105"/>
          <w:sz w:val="17"/>
        </w:rPr>
        <w:t>IIS</w:t>
      </w:r>
      <w:r>
        <w:rPr>
          <w:color w:val="231F20"/>
          <w:w w:val="105"/>
          <w:sz w:val="21"/>
        </w:rPr>
        <w:t>/</w:t>
      </w:r>
      <w:r>
        <w:rPr>
          <w:color w:val="231F20"/>
          <w:w w:val="105"/>
          <w:sz w:val="17"/>
        </w:rPr>
        <w:t>UNAM</w:t>
      </w:r>
      <w:r>
        <w:rPr>
          <w:color w:val="231F20"/>
          <w:w w:val="105"/>
          <w:sz w:val="21"/>
        </w:rPr>
        <w:t>.</w:t>
      </w:r>
    </w:p>
    <w:p>
      <w:pPr>
        <w:spacing w:line="259" w:lineRule="auto" w:before="3"/>
        <w:ind w:left="2574" w:right="1721" w:hanging="738"/>
        <w:jc w:val="both"/>
        <w:rPr>
          <w:sz w:val="21"/>
        </w:rPr>
      </w:pPr>
      <w:r>
        <w:rPr/>
        <w:pict>
          <v:line style="position:absolute;mso-position-horizontal-relative:page;mso-position-vertical-relative:paragraph;z-index:-441880" from="15pt,111.432892pt" to="0pt,111.432892pt" stroked="true" strokeweight=".25pt" strokecolor="#000000">
            <w10:wrap type="none"/>
          </v:line>
        </w:pict>
      </w:r>
      <w:r>
        <w:rPr/>
        <w:pict>
          <v:line style="position:absolute;mso-position-horizontal-relative:page;mso-position-vertical-relative:paragraph;z-index:48328" from="508.890015pt,111.432892pt" to="523.890015pt,111.432892pt" stroked="true" strokeweight=".25pt" strokecolor="#000000">
            <w10:wrap type="none"/>
          </v:line>
        </w:pict>
      </w:r>
      <w:r>
        <w:rPr>
          <w:color w:val="231F20"/>
          <w:w w:val="105"/>
          <w:sz w:val="21"/>
        </w:rPr>
        <w:t>Castillo, José, (1997), </w:t>
      </w:r>
      <w:r>
        <w:rPr>
          <w:color w:val="231F20"/>
          <w:spacing w:val="-3"/>
          <w:w w:val="105"/>
          <w:sz w:val="21"/>
        </w:rPr>
        <w:t>“Teorías </w:t>
      </w:r>
      <w:r>
        <w:rPr>
          <w:color w:val="231F20"/>
          <w:w w:val="105"/>
          <w:sz w:val="21"/>
        </w:rPr>
        <w:t>de la migración de </w:t>
      </w:r>
      <w:r>
        <w:rPr>
          <w:color w:val="231F20"/>
          <w:spacing w:val="-4"/>
          <w:w w:val="105"/>
          <w:sz w:val="21"/>
        </w:rPr>
        <w:t>retorno”, </w:t>
      </w:r>
      <w:r>
        <w:rPr>
          <w:color w:val="231F20"/>
          <w:w w:val="105"/>
          <w:sz w:val="21"/>
        </w:rPr>
        <w:t>en Antonio Izquierdo</w:t>
      </w:r>
      <w:r>
        <w:rPr>
          <w:color w:val="231F20"/>
          <w:spacing w:val="-9"/>
          <w:w w:val="105"/>
          <w:sz w:val="21"/>
        </w:rPr>
        <w:t> </w:t>
      </w:r>
      <w:r>
        <w:rPr>
          <w:color w:val="231F20"/>
          <w:w w:val="105"/>
          <w:sz w:val="21"/>
        </w:rPr>
        <w:t>y</w:t>
      </w:r>
      <w:r>
        <w:rPr>
          <w:color w:val="231F20"/>
          <w:spacing w:val="-9"/>
          <w:w w:val="105"/>
          <w:sz w:val="21"/>
        </w:rPr>
        <w:t> </w:t>
      </w:r>
      <w:r>
        <w:rPr>
          <w:color w:val="231F20"/>
          <w:w w:val="105"/>
          <w:sz w:val="21"/>
        </w:rPr>
        <w:t>Gabriel</w:t>
      </w:r>
      <w:r>
        <w:rPr>
          <w:color w:val="231F20"/>
          <w:spacing w:val="-12"/>
          <w:w w:val="105"/>
          <w:sz w:val="21"/>
        </w:rPr>
        <w:t> </w:t>
      </w:r>
      <w:r>
        <w:rPr>
          <w:color w:val="231F20"/>
          <w:w w:val="105"/>
          <w:sz w:val="21"/>
        </w:rPr>
        <w:t>Álvarez</w:t>
      </w:r>
      <w:r>
        <w:rPr>
          <w:color w:val="231F20"/>
          <w:spacing w:val="-9"/>
          <w:w w:val="105"/>
          <w:sz w:val="21"/>
        </w:rPr>
        <w:t> </w:t>
      </w:r>
      <w:r>
        <w:rPr>
          <w:color w:val="231F20"/>
          <w:w w:val="105"/>
          <w:sz w:val="21"/>
        </w:rPr>
        <w:t>(coords.),</w:t>
      </w:r>
      <w:r>
        <w:rPr>
          <w:color w:val="231F20"/>
          <w:spacing w:val="-13"/>
          <w:w w:val="105"/>
          <w:sz w:val="21"/>
        </w:rPr>
        <w:t> </w:t>
      </w:r>
      <w:r>
        <w:rPr>
          <w:rFonts w:ascii="Arial" w:hAnsi="Arial"/>
          <w:i/>
          <w:color w:val="231F20"/>
          <w:w w:val="105"/>
          <w:sz w:val="21"/>
        </w:rPr>
        <w:t>Políticas</w:t>
      </w:r>
      <w:r>
        <w:rPr>
          <w:rFonts w:ascii="Arial" w:hAnsi="Arial"/>
          <w:i/>
          <w:color w:val="231F20"/>
          <w:spacing w:val="-11"/>
          <w:w w:val="105"/>
          <w:sz w:val="21"/>
        </w:rPr>
        <w:t> </w:t>
      </w:r>
      <w:r>
        <w:rPr>
          <w:rFonts w:ascii="Arial" w:hAnsi="Arial"/>
          <w:i/>
          <w:color w:val="231F20"/>
          <w:w w:val="105"/>
          <w:sz w:val="21"/>
        </w:rPr>
        <w:t>de</w:t>
      </w:r>
      <w:r>
        <w:rPr>
          <w:rFonts w:ascii="Arial" w:hAnsi="Arial"/>
          <w:i/>
          <w:color w:val="231F20"/>
          <w:spacing w:val="-11"/>
          <w:w w:val="105"/>
          <w:sz w:val="21"/>
        </w:rPr>
        <w:t> </w:t>
      </w:r>
      <w:r>
        <w:rPr>
          <w:rFonts w:ascii="Arial" w:hAnsi="Arial"/>
          <w:i/>
          <w:color w:val="231F20"/>
          <w:w w:val="105"/>
          <w:sz w:val="21"/>
        </w:rPr>
        <w:t>retorno</w:t>
      </w:r>
      <w:r>
        <w:rPr>
          <w:rFonts w:ascii="Arial" w:hAnsi="Arial"/>
          <w:i/>
          <w:color w:val="231F20"/>
          <w:spacing w:val="-11"/>
          <w:w w:val="105"/>
          <w:sz w:val="21"/>
        </w:rPr>
        <w:t> </w:t>
      </w:r>
      <w:r>
        <w:rPr>
          <w:rFonts w:ascii="Arial" w:hAnsi="Arial"/>
          <w:i/>
          <w:color w:val="231F20"/>
          <w:w w:val="105"/>
          <w:sz w:val="21"/>
        </w:rPr>
        <w:t>de</w:t>
      </w:r>
      <w:r>
        <w:rPr>
          <w:rFonts w:ascii="Arial" w:hAnsi="Arial"/>
          <w:i/>
          <w:color w:val="231F20"/>
          <w:spacing w:val="-11"/>
          <w:w w:val="105"/>
          <w:sz w:val="21"/>
        </w:rPr>
        <w:t> </w:t>
      </w:r>
      <w:r>
        <w:rPr>
          <w:rFonts w:ascii="Arial" w:hAnsi="Arial"/>
          <w:i/>
          <w:color w:val="231F20"/>
          <w:w w:val="105"/>
          <w:sz w:val="21"/>
        </w:rPr>
        <w:t>mi- </w:t>
      </w:r>
      <w:r>
        <w:rPr>
          <w:rFonts w:ascii="Arial" w:hAnsi="Arial"/>
          <w:i/>
          <w:color w:val="231F20"/>
          <w:w w:val="105"/>
          <w:sz w:val="21"/>
        </w:rPr>
        <w:t>grantes</w:t>
      </w:r>
      <w:r>
        <w:rPr>
          <w:color w:val="231F20"/>
          <w:w w:val="105"/>
          <w:sz w:val="21"/>
        </w:rPr>
        <w:t>,</w:t>
      </w:r>
      <w:r>
        <w:rPr>
          <w:color w:val="231F20"/>
          <w:spacing w:val="-27"/>
          <w:w w:val="105"/>
          <w:sz w:val="21"/>
        </w:rPr>
        <w:t> </w:t>
      </w:r>
      <w:r>
        <w:rPr>
          <w:color w:val="231F20"/>
          <w:w w:val="105"/>
          <w:sz w:val="21"/>
        </w:rPr>
        <w:t>Madrid:</w:t>
      </w:r>
      <w:r>
        <w:rPr>
          <w:color w:val="231F20"/>
          <w:spacing w:val="-23"/>
          <w:w w:val="105"/>
          <w:sz w:val="21"/>
        </w:rPr>
        <w:t> </w:t>
      </w:r>
      <w:r>
        <w:rPr>
          <w:color w:val="231F20"/>
          <w:w w:val="105"/>
          <w:sz w:val="17"/>
        </w:rPr>
        <w:t>UCM</w:t>
      </w:r>
      <w:r>
        <w:rPr>
          <w:color w:val="231F20"/>
          <w:w w:val="105"/>
          <w:sz w:val="21"/>
        </w:rPr>
        <w:t>.</w:t>
      </w:r>
    </w:p>
    <w:p>
      <w:pPr>
        <w:spacing w:after="0" w:line="259" w:lineRule="auto"/>
        <w:jc w:val="both"/>
        <w:rPr>
          <w:sz w:val="21"/>
        </w:rPr>
        <w:sectPr>
          <w:type w:val="continuous"/>
          <w:pgSz w:w="10480" w:h="14730"/>
          <w:pgMar w:top="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BodyText"/>
        <w:spacing w:line="259" w:lineRule="auto"/>
        <w:ind w:left="2432" w:right="1806" w:hanging="738"/>
        <w:jc w:val="both"/>
      </w:pPr>
      <w:r>
        <w:rPr/>
        <w:pict>
          <v:line style="position:absolute;mso-position-horizontal-relative:page;mso-position-vertical-relative:paragraph;z-index:48376" from="15pt,-71.51725pt" to="0pt,-71.51725pt" stroked="true" strokeweight=".25pt" strokecolor="#000000">
            <w10:wrap type="none"/>
          </v:line>
        </w:pict>
      </w:r>
      <w:r>
        <w:rPr/>
        <w:pict>
          <v:line style="position:absolute;mso-position-horizontal-relative:page;mso-position-vertical-relative:paragraph;z-index:48400" from="508.890015pt,-71.51725pt" to="523.890015pt,-71.51725pt" stroked="true" strokeweight=".25pt" strokecolor="#000000">
            <w10:wrap type="none"/>
          </v:line>
        </w:pict>
      </w:r>
      <w:r>
        <w:rPr>
          <w:color w:val="231F20"/>
        </w:rPr>
        <w:t>Davidson, Joyce, Bondi, Liz y Smith, Mick (eds.), (2005), </w:t>
      </w:r>
      <w:r>
        <w:rPr>
          <w:rFonts w:ascii="Arial" w:hAnsi="Arial"/>
          <w:i/>
          <w:color w:val="231F20"/>
        </w:rPr>
        <w:t>Emotional Geo- </w:t>
      </w:r>
      <w:r>
        <w:rPr>
          <w:rFonts w:ascii="Arial" w:hAnsi="Arial"/>
          <w:i/>
          <w:color w:val="231F20"/>
        </w:rPr>
        <w:t>graphies</w:t>
      </w:r>
      <w:r>
        <w:rPr>
          <w:color w:val="231F20"/>
        </w:rPr>
        <w:t>, Edimburgo: Queen’s University/Canada and Liz Bondi/ Edinburgh</w:t>
      </w:r>
      <w:r>
        <w:rPr>
          <w:color w:val="231F20"/>
          <w:spacing w:val="53"/>
        </w:rPr>
        <w:t> </w:t>
      </w:r>
      <w:r>
        <w:rPr>
          <w:color w:val="231F20"/>
        </w:rPr>
        <w:t>University.</w:t>
      </w:r>
    </w:p>
    <w:p>
      <w:pPr>
        <w:spacing w:line="261" w:lineRule="auto" w:before="0"/>
        <w:ind w:left="2432" w:right="1802" w:hanging="737"/>
        <w:jc w:val="both"/>
        <w:rPr>
          <w:sz w:val="21"/>
        </w:rPr>
      </w:pPr>
      <w:r>
        <w:rPr>
          <w:color w:val="231F20"/>
          <w:spacing w:val="-5"/>
          <w:w w:val="105"/>
          <w:sz w:val="21"/>
        </w:rPr>
        <w:t>D’Aubeterre,</w:t>
      </w:r>
      <w:r>
        <w:rPr>
          <w:color w:val="231F20"/>
          <w:spacing w:val="-10"/>
          <w:w w:val="105"/>
          <w:sz w:val="21"/>
        </w:rPr>
        <w:t> </w:t>
      </w:r>
      <w:r>
        <w:rPr>
          <w:color w:val="231F20"/>
          <w:spacing w:val="-4"/>
          <w:w w:val="105"/>
          <w:sz w:val="21"/>
        </w:rPr>
        <w:t>María</w:t>
      </w:r>
      <w:r>
        <w:rPr>
          <w:color w:val="231F20"/>
          <w:spacing w:val="-5"/>
          <w:w w:val="105"/>
          <w:sz w:val="21"/>
        </w:rPr>
        <w:t> </w:t>
      </w:r>
      <w:r>
        <w:rPr>
          <w:color w:val="231F20"/>
          <w:spacing w:val="-4"/>
          <w:w w:val="105"/>
          <w:sz w:val="21"/>
        </w:rPr>
        <w:t>Eugenia,</w:t>
      </w:r>
      <w:r>
        <w:rPr>
          <w:color w:val="231F20"/>
          <w:spacing w:val="-10"/>
          <w:w w:val="105"/>
          <w:sz w:val="21"/>
        </w:rPr>
        <w:t> </w:t>
      </w:r>
      <w:r>
        <w:rPr>
          <w:color w:val="231F20"/>
          <w:spacing w:val="-4"/>
          <w:w w:val="105"/>
          <w:sz w:val="21"/>
        </w:rPr>
        <w:t>(2000),</w:t>
      </w:r>
      <w:r>
        <w:rPr>
          <w:color w:val="231F20"/>
          <w:spacing w:val="-10"/>
          <w:w w:val="105"/>
          <w:sz w:val="21"/>
        </w:rPr>
        <w:t> </w:t>
      </w:r>
      <w:r>
        <w:rPr>
          <w:rFonts w:ascii="Arial" w:hAnsi="Arial"/>
          <w:i/>
          <w:color w:val="231F20"/>
          <w:w w:val="105"/>
          <w:sz w:val="21"/>
        </w:rPr>
        <w:t>El</w:t>
      </w:r>
      <w:r>
        <w:rPr>
          <w:rFonts w:ascii="Arial" w:hAnsi="Arial"/>
          <w:i/>
          <w:color w:val="231F20"/>
          <w:spacing w:val="-8"/>
          <w:w w:val="105"/>
          <w:sz w:val="21"/>
        </w:rPr>
        <w:t> </w:t>
      </w:r>
      <w:r>
        <w:rPr>
          <w:rFonts w:ascii="Arial" w:hAnsi="Arial"/>
          <w:i/>
          <w:color w:val="231F20"/>
          <w:spacing w:val="-6"/>
          <w:w w:val="105"/>
          <w:sz w:val="21"/>
        </w:rPr>
        <w:t>Pago</w:t>
      </w:r>
      <w:r>
        <w:rPr>
          <w:rFonts w:ascii="Arial" w:hAnsi="Arial"/>
          <w:i/>
          <w:color w:val="231F20"/>
          <w:spacing w:val="-8"/>
          <w:w w:val="105"/>
          <w:sz w:val="21"/>
        </w:rPr>
        <w:t> </w:t>
      </w:r>
      <w:r>
        <w:rPr>
          <w:rFonts w:ascii="Arial" w:hAnsi="Arial"/>
          <w:i/>
          <w:color w:val="231F20"/>
          <w:w w:val="105"/>
          <w:sz w:val="21"/>
        </w:rPr>
        <w:t>de</w:t>
      </w:r>
      <w:r>
        <w:rPr>
          <w:rFonts w:ascii="Arial" w:hAnsi="Arial"/>
          <w:i/>
          <w:color w:val="231F20"/>
          <w:spacing w:val="-8"/>
          <w:w w:val="105"/>
          <w:sz w:val="21"/>
        </w:rPr>
        <w:t> </w:t>
      </w:r>
      <w:r>
        <w:rPr>
          <w:rFonts w:ascii="Arial" w:hAnsi="Arial"/>
          <w:i/>
          <w:color w:val="231F20"/>
          <w:w w:val="105"/>
          <w:sz w:val="21"/>
        </w:rPr>
        <w:t>la</w:t>
      </w:r>
      <w:r>
        <w:rPr>
          <w:rFonts w:ascii="Arial" w:hAnsi="Arial"/>
          <w:i/>
          <w:color w:val="231F20"/>
          <w:spacing w:val="-8"/>
          <w:w w:val="105"/>
          <w:sz w:val="21"/>
        </w:rPr>
        <w:t> </w:t>
      </w:r>
      <w:r>
        <w:rPr>
          <w:rFonts w:ascii="Arial" w:hAnsi="Arial"/>
          <w:i/>
          <w:color w:val="231F20"/>
          <w:spacing w:val="-4"/>
          <w:w w:val="105"/>
          <w:sz w:val="21"/>
        </w:rPr>
        <w:t>Novia.</w:t>
      </w:r>
      <w:r>
        <w:rPr>
          <w:rFonts w:ascii="Arial" w:hAnsi="Arial"/>
          <w:i/>
          <w:color w:val="231F20"/>
          <w:spacing w:val="-13"/>
          <w:w w:val="105"/>
          <w:sz w:val="21"/>
        </w:rPr>
        <w:t> </w:t>
      </w:r>
      <w:r>
        <w:rPr>
          <w:rFonts w:ascii="Arial" w:hAnsi="Arial"/>
          <w:i/>
          <w:color w:val="231F20"/>
          <w:spacing w:val="-4"/>
          <w:w w:val="105"/>
          <w:sz w:val="21"/>
        </w:rPr>
        <w:t>Matrimonio,</w:t>
      </w:r>
      <w:r>
        <w:rPr>
          <w:rFonts w:ascii="Arial" w:hAnsi="Arial"/>
          <w:i/>
          <w:color w:val="231F20"/>
          <w:spacing w:val="-13"/>
          <w:w w:val="105"/>
          <w:sz w:val="21"/>
        </w:rPr>
        <w:t> </w:t>
      </w:r>
      <w:r>
        <w:rPr>
          <w:rFonts w:ascii="Arial" w:hAnsi="Arial"/>
          <w:i/>
          <w:color w:val="231F20"/>
          <w:spacing w:val="-4"/>
          <w:w w:val="105"/>
          <w:sz w:val="21"/>
        </w:rPr>
        <w:t>vida </w:t>
      </w:r>
      <w:r>
        <w:rPr>
          <w:rFonts w:ascii="Arial" w:hAnsi="Arial"/>
          <w:i/>
          <w:color w:val="231F20"/>
          <w:spacing w:val="-4"/>
          <w:w w:val="105"/>
          <w:sz w:val="21"/>
        </w:rPr>
        <w:t>conyugal </w:t>
      </w:r>
      <w:r>
        <w:rPr>
          <w:rFonts w:ascii="Arial" w:hAnsi="Arial"/>
          <w:i/>
          <w:color w:val="231F20"/>
          <w:w w:val="105"/>
          <w:sz w:val="21"/>
        </w:rPr>
        <w:t>y </w:t>
      </w:r>
      <w:r>
        <w:rPr>
          <w:rFonts w:ascii="Arial" w:hAnsi="Arial"/>
          <w:i/>
          <w:color w:val="231F20"/>
          <w:spacing w:val="-4"/>
          <w:w w:val="105"/>
          <w:sz w:val="21"/>
        </w:rPr>
        <w:t>prácticas transnacionales </w:t>
      </w:r>
      <w:r>
        <w:rPr>
          <w:rFonts w:ascii="Arial" w:hAnsi="Arial"/>
          <w:i/>
          <w:color w:val="231F20"/>
          <w:w w:val="105"/>
          <w:sz w:val="21"/>
        </w:rPr>
        <w:t>en </w:t>
      </w:r>
      <w:r>
        <w:rPr>
          <w:rFonts w:ascii="Arial" w:hAnsi="Arial"/>
          <w:i/>
          <w:color w:val="231F20"/>
          <w:spacing w:val="-3"/>
          <w:w w:val="105"/>
          <w:sz w:val="21"/>
        </w:rPr>
        <w:t>San </w:t>
      </w:r>
      <w:r>
        <w:rPr>
          <w:rFonts w:ascii="Arial" w:hAnsi="Arial"/>
          <w:i/>
          <w:color w:val="231F20"/>
          <w:spacing w:val="-4"/>
          <w:w w:val="105"/>
          <w:sz w:val="21"/>
        </w:rPr>
        <w:t>Miguel Acuexcomac</w:t>
      </w:r>
      <w:r>
        <w:rPr>
          <w:color w:val="231F20"/>
          <w:spacing w:val="-4"/>
          <w:w w:val="105"/>
          <w:sz w:val="21"/>
        </w:rPr>
        <w:t>. Zamora,</w:t>
      </w:r>
      <w:r>
        <w:rPr>
          <w:color w:val="231F20"/>
          <w:spacing w:val="-27"/>
          <w:w w:val="105"/>
          <w:sz w:val="21"/>
        </w:rPr>
        <w:t> </w:t>
      </w:r>
      <w:r>
        <w:rPr>
          <w:color w:val="231F20"/>
          <w:spacing w:val="-4"/>
          <w:w w:val="105"/>
          <w:sz w:val="21"/>
        </w:rPr>
        <w:t>México:</w:t>
      </w:r>
      <w:r>
        <w:rPr>
          <w:color w:val="231F20"/>
          <w:spacing w:val="-23"/>
          <w:w w:val="105"/>
          <w:sz w:val="21"/>
        </w:rPr>
        <w:t> </w:t>
      </w:r>
      <w:r>
        <w:rPr>
          <w:color w:val="231F20"/>
          <w:spacing w:val="-4"/>
          <w:w w:val="105"/>
          <w:sz w:val="17"/>
        </w:rPr>
        <w:t>COLMICH</w:t>
      </w:r>
      <w:r>
        <w:rPr>
          <w:color w:val="231F20"/>
          <w:spacing w:val="-4"/>
          <w:w w:val="105"/>
          <w:sz w:val="21"/>
        </w:rPr>
        <w:t>/</w:t>
      </w:r>
      <w:r>
        <w:rPr>
          <w:color w:val="231F20"/>
          <w:spacing w:val="-4"/>
          <w:w w:val="105"/>
          <w:sz w:val="17"/>
        </w:rPr>
        <w:t>BUAP</w:t>
      </w:r>
      <w:r>
        <w:rPr>
          <w:color w:val="231F20"/>
          <w:spacing w:val="-4"/>
          <w:w w:val="105"/>
          <w:sz w:val="21"/>
        </w:rPr>
        <w:t>/Instituto</w:t>
      </w:r>
      <w:r>
        <w:rPr>
          <w:color w:val="231F20"/>
          <w:spacing w:val="-23"/>
          <w:w w:val="105"/>
          <w:sz w:val="21"/>
        </w:rPr>
        <w:t> </w:t>
      </w:r>
      <w:r>
        <w:rPr>
          <w:color w:val="231F20"/>
          <w:w w:val="105"/>
          <w:sz w:val="21"/>
        </w:rPr>
        <w:t>de</w:t>
      </w:r>
      <w:r>
        <w:rPr>
          <w:color w:val="231F20"/>
          <w:spacing w:val="-23"/>
          <w:w w:val="105"/>
          <w:sz w:val="21"/>
        </w:rPr>
        <w:t> </w:t>
      </w:r>
      <w:r>
        <w:rPr>
          <w:color w:val="231F20"/>
          <w:spacing w:val="-4"/>
          <w:w w:val="105"/>
          <w:sz w:val="21"/>
        </w:rPr>
        <w:t>Ciencias</w:t>
      </w:r>
      <w:r>
        <w:rPr>
          <w:color w:val="231F20"/>
          <w:spacing w:val="-23"/>
          <w:w w:val="105"/>
          <w:sz w:val="21"/>
        </w:rPr>
        <w:t> </w:t>
      </w:r>
      <w:r>
        <w:rPr>
          <w:color w:val="231F20"/>
          <w:spacing w:val="-4"/>
          <w:w w:val="105"/>
          <w:sz w:val="21"/>
        </w:rPr>
        <w:t>Sociales</w:t>
      </w:r>
      <w:r>
        <w:rPr>
          <w:color w:val="231F20"/>
          <w:spacing w:val="-23"/>
          <w:w w:val="105"/>
          <w:sz w:val="21"/>
        </w:rPr>
        <w:t> </w:t>
      </w:r>
      <w:r>
        <w:rPr>
          <w:color w:val="231F20"/>
          <w:w w:val="105"/>
          <w:sz w:val="21"/>
        </w:rPr>
        <w:t>y</w:t>
      </w:r>
      <w:r>
        <w:rPr>
          <w:color w:val="231F20"/>
          <w:spacing w:val="-23"/>
          <w:w w:val="105"/>
          <w:sz w:val="21"/>
        </w:rPr>
        <w:t> </w:t>
      </w:r>
      <w:r>
        <w:rPr>
          <w:color w:val="231F20"/>
          <w:spacing w:val="-3"/>
          <w:w w:val="105"/>
          <w:sz w:val="21"/>
        </w:rPr>
        <w:t>Hu- </w:t>
      </w:r>
      <w:r>
        <w:rPr>
          <w:color w:val="231F20"/>
          <w:spacing w:val="-4"/>
          <w:w w:val="105"/>
          <w:sz w:val="21"/>
        </w:rPr>
        <w:t>manidades.</w:t>
      </w:r>
    </w:p>
    <w:p>
      <w:pPr>
        <w:spacing w:line="261" w:lineRule="auto" w:before="1"/>
        <w:ind w:left="2432" w:right="1800" w:hanging="738"/>
        <w:jc w:val="both"/>
        <w:rPr>
          <w:sz w:val="21"/>
        </w:rPr>
      </w:pPr>
      <w:r>
        <w:rPr>
          <w:color w:val="231F20"/>
          <w:sz w:val="21"/>
        </w:rPr>
        <w:t>Ekman, </w:t>
      </w:r>
      <w:r>
        <w:rPr>
          <w:color w:val="231F20"/>
          <w:spacing w:val="-3"/>
          <w:sz w:val="21"/>
        </w:rPr>
        <w:t>Paul, </w:t>
      </w:r>
      <w:r>
        <w:rPr>
          <w:color w:val="231F20"/>
          <w:sz w:val="21"/>
        </w:rPr>
        <w:t>(1989), </w:t>
      </w:r>
      <w:r>
        <w:rPr>
          <w:color w:val="231F20"/>
          <w:spacing w:val="-3"/>
          <w:sz w:val="21"/>
        </w:rPr>
        <w:t>“L’expression </w:t>
      </w:r>
      <w:r>
        <w:rPr>
          <w:color w:val="231F20"/>
          <w:sz w:val="21"/>
        </w:rPr>
        <w:t>des </w:t>
      </w:r>
      <w:r>
        <w:rPr>
          <w:color w:val="231F20"/>
          <w:spacing w:val="-3"/>
          <w:sz w:val="21"/>
        </w:rPr>
        <w:t>émotions”, </w:t>
      </w:r>
      <w:r>
        <w:rPr>
          <w:color w:val="231F20"/>
          <w:sz w:val="21"/>
        </w:rPr>
        <w:t>en Bernard Rimé y</w:t>
      </w:r>
      <w:r>
        <w:rPr>
          <w:color w:val="231F20"/>
          <w:spacing w:val="-33"/>
          <w:sz w:val="21"/>
        </w:rPr>
        <w:t> </w:t>
      </w:r>
      <w:r>
        <w:rPr>
          <w:color w:val="231F20"/>
          <w:sz w:val="21"/>
        </w:rPr>
        <w:t>Klaus Scherer (coords.) </w:t>
      </w:r>
      <w:r>
        <w:rPr>
          <w:rFonts w:ascii="Arial" w:hAnsi="Arial"/>
          <w:i/>
          <w:color w:val="231F20"/>
          <w:sz w:val="21"/>
        </w:rPr>
        <w:t>Les émotions. </w:t>
      </w:r>
      <w:r>
        <w:rPr>
          <w:rFonts w:ascii="Arial" w:hAnsi="Arial"/>
          <w:i/>
          <w:color w:val="231F20"/>
          <w:spacing w:val="-3"/>
          <w:sz w:val="21"/>
        </w:rPr>
        <w:t>Textes </w:t>
      </w:r>
      <w:r>
        <w:rPr>
          <w:rFonts w:ascii="Arial" w:hAnsi="Arial"/>
          <w:i/>
          <w:color w:val="231F20"/>
          <w:sz w:val="21"/>
        </w:rPr>
        <w:t>de base en Psychologie</w:t>
      </w:r>
      <w:r>
        <w:rPr>
          <w:color w:val="231F20"/>
          <w:sz w:val="21"/>
        </w:rPr>
        <w:t>, París: Delachaux et</w:t>
      </w:r>
      <w:r>
        <w:rPr>
          <w:color w:val="231F20"/>
          <w:spacing w:val="5"/>
          <w:sz w:val="21"/>
        </w:rPr>
        <w:t> </w:t>
      </w:r>
      <w:r>
        <w:rPr>
          <w:color w:val="231F20"/>
          <w:sz w:val="21"/>
        </w:rPr>
        <w:t>Niestle.</w:t>
      </w:r>
    </w:p>
    <w:p>
      <w:pPr>
        <w:pStyle w:val="BodyText"/>
        <w:spacing w:line="259" w:lineRule="auto"/>
        <w:ind w:left="2432" w:right="1807" w:hanging="737"/>
        <w:jc w:val="both"/>
      </w:pPr>
      <w:r>
        <w:rPr>
          <w:color w:val="231F20"/>
        </w:rPr>
        <w:t>Elster, Joan, (1996), “Rationality and the Emotions </w:t>
      </w:r>
      <w:r>
        <w:rPr>
          <w:color w:val="231F20"/>
          <w:spacing w:val="-3"/>
        </w:rPr>
        <w:t>(Controversy)”, </w:t>
      </w:r>
      <w:r>
        <w:rPr>
          <w:rFonts w:ascii="Arial" w:hAnsi="Arial"/>
          <w:i/>
          <w:color w:val="231F20"/>
        </w:rPr>
        <w:t>The</w:t>
      </w:r>
      <w:r>
        <w:rPr>
          <w:rFonts w:ascii="Arial" w:hAnsi="Arial"/>
          <w:i/>
          <w:color w:val="231F20"/>
          <w:spacing w:val="-37"/>
        </w:rPr>
        <w:t> </w:t>
      </w:r>
      <w:r>
        <w:rPr>
          <w:rFonts w:ascii="Arial" w:hAnsi="Arial"/>
          <w:i/>
          <w:color w:val="231F20"/>
        </w:rPr>
        <w:t>Eco- </w:t>
      </w:r>
      <w:r>
        <w:rPr>
          <w:rFonts w:ascii="Arial" w:hAnsi="Arial"/>
          <w:i/>
          <w:color w:val="231F20"/>
        </w:rPr>
        <w:t>nomic Journal</w:t>
      </w:r>
      <w:r>
        <w:rPr>
          <w:color w:val="231F20"/>
        </w:rPr>
        <w:t>, vol. 106, núm.</w:t>
      </w:r>
      <w:r>
        <w:rPr>
          <w:color w:val="231F20"/>
          <w:spacing w:val="42"/>
        </w:rPr>
        <w:t> </w:t>
      </w:r>
      <w:r>
        <w:rPr>
          <w:color w:val="231F20"/>
        </w:rPr>
        <w:t>438.</w:t>
      </w:r>
    </w:p>
    <w:p>
      <w:pPr>
        <w:tabs>
          <w:tab w:pos="2535" w:val="left" w:leader="none"/>
        </w:tabs>
        <w:spacing w:line="259" w:lineRule="auto" w:before="0"/>
        <w:ind w:left="2432" w:right="1807" w:hanging="738"/>
        <w:jc w:val="both"/>
        <w:rPr>
          <w:sz w:val="21"/>
        </w:rPr>
      </w:pPr>
      <w:r>
        <w:rPr>
          <w:color w:val="231F20"/>
          <w:w w:val="94"/>
          <w:sz w:val="21"/>
          <w:u w:val="single" w:color="221E1F"/>
        </w:rPr>
        <w:t> </w:t>
      </w:r>
      <w:r>
        <w:rPr>
          <w:color w:val="231F20"/>
          <w:sz w:val="21"/>
          <w:u w:val="single" w:color="221E1F"/>
        </w:rPr>
        <w:tab/>
        <w:tab/>
      </w:r>
      <w:r>
        <w:rPr>
          <w:color w:val="231F20"/>
          <w:spacing w:val="15"/>
          <w:sz w:val="21"/>
        </w:rPr>
        <w:t> </w:t>
      </w:r>
      <w:r>
        <w:rPr>
          <w:color w:val="231F20"/>
          <w:w w:val="105"/>
          <w:sz w:val="21"/>
        </w:rPr>
        <w:t>(1998),</w:t>
      </w:r>
      <w:r>
        <w:rPr>
          <w:color w:val="231F20"/>
          <w:spacing w:val="-11"/>
          <w:w w:val="105"/>
          <w:sz w:val="21"/>
        </w:rPr>
        <w:t> </w:t>
      </w:r>
      <w:r>
        <w:rPr>
          <w:color w:val="231F20"/>
          <w:w w:val="105"/>
          <w:sz w:val="21"/>
        </w:rPr>
        <w:t>“Emotions</w:t>
      </w:r>
      <w:r>
        <w:rPr>
          <w:color w:val="231F20"/>
          <w:spacing w:val="-6"/>
          <w:w w:val="105"/>
          <w:sz w:val="21"/>
        </w:rPr>
        <w:t> </w:t>
      </w:r>
      <w:r>
        <w:rPr>
          <w:color w:val="231F20"/>
          <w:w w:val="105"/>
          <w:sz w:val="21"/>
        </w:rPr>
        <w:t>and</w:t>
      </w:r>
      <w:r>
        <w:rPr>
          <w:color w:val="231F20"/>
          <w:spacing w:val="-6"/>
          <w:w w:val="105"/>
          <w:sz w:val="21"/>
        </w:rPr>
        <w:t> </w:t>
      </w:r>
      <w:r>
        <w:rPr>
          <w:color w:val="231F20"/>
          <w:w w:val="105"/>
          <w:sz w:val="21"/>
        </w:rPr>
        <w:t>Economic</w:t>
      </w:r>
      <w:r>
        <w:rPr>
          <w:color w:val="231F20"/>
          <w:spacing w:val="-9"/>
          <w:w w:val="105"/>
          <w:sz w:val="21"/>
        </w:rPr>
        <w:t> </w:t>
      </w:r>
      <w:r>
        <w:rPr>
          <w:color w:val="231F20"/>
          <w:spacing w:val="-4"/>
          <w:w w:val="105"/>
          <w:sz w:val="21"/>
        </w:rPr>
        <w:t>Theory”,</w:t>
      </w:r>
      <w:r>
        <w:rPr>
          <w:color w:val="231F20"/>
          <w:spacing w:val="-11"/>
          <w:w w:val="105"/>
          <w:sz w:val="21"/>
        </w:rPr>
        <w:t> </w:t>
      </w:r>
      <w:r>
        <w:rPr>
          <w:rFonts w:ascii="Arial" w:hAnsi="Arial"/>
          <w:i/>
          <w:color w:val="231F20"/>
          <w:w w:val="105"/>
          <w:sz w:val="21"/>
        </w:rPr>
        <w:t>Journal</w:t>
      </w:r>
      <w:r>
        <w:rPr>
          <w:rFonts w:ascii="Arial" w:hAnsi="Arial"/>
          <w:i/>
          <w:color w:val="231F20"/>
          <w:spacing w:val="-9"/>
          <w:w w:val="105"/>
          <w:sz w:val="21"/>
        </w:rPr>
        <w:t> </w:t>
      </w:r>
      <w:r>
        <w:rPr>
          <w:rFonts w:ascii="Arial" w:hAnsi="Arial"/>
          <w:i/>
          <w:color w:val="231F20"/>
          <w:w w:val="105"/>
          <w:sz w:val="21"/>
        </w:rPr>
        <w:t>of</w:t>
      </w:r>
      <w:r>
        <w:rPr>
          <w:rFonts w:ascii="Arial" w:hAnsi="Arial"/>
          <w:i/>
          <w:color w:val="231F20"/>
          <w:spacing w:val="-5"/>
          <w:w w:val="105"/>
          <w:sz w:val="21"/>
        </w:rPr>
        <w:t> </w:t>
      </w:r>
      <w:r>
        <w:rPr>
          <w:rFonts w:ascii="Arial" w:hAnsi="Arial"/>
          <w:i/>
          <w:color w:val="231F20"/>
          <w:w w:val="105"/>
          <w:sz w:val="21"/>
        </w:rPr>
        <w:t>Economic</w:t>
      </w:r>
      <w:r>
        <w:rPr>
          <w:rFonts w:ascii="Arial" w:hAnsi="Arial"/>
          <w:i/>
          <w:color w:val="231F20"/>
          <w:w w:val="101"/>
          <w:sz w:val="21"/>
        </w:rPr>
        <w:t> </w:t>
      </w:r>
      <w:r>
        <w:rPr>
          <w:rFonts w:ascii="Arial" w:hAnsi="Arial"/>
          <w:i/>
          <w:color w:val="231F20"/>
          <w:w w:val="105"/>
          <w:sz w:val="21"/>
        </w:rPr>
        <w:t>Literature</w:t>
      </w:r>
      <w:r>
        <w:rPr>
          <w:color w:val="231F20"/>
          <w:w w:val="105"/>
          <w:sz w:val="21"/>
        </w:rPr>
        <w:t>,</w:t>
      </w:r>
      <w:r>
        <w:rPr>
          <w:color w:val="231F20"/>
          <w:spacing w:val="-31"/>
          <w:w w:val="105"/>
          <w:sz w:val="21"/>
        </w:rPr>
        <w:t> </w:t>
      </w:r>
      <w:r>
        <w:rPr>
          <w:color w:val="231F20"/>
          <w:w w:val="105"/>
          <w:sz w:val="21"/>
        </w:rPr>
        <w:t>vol.</w:t>
      </w:r>
      <w:r>
        <w:rPr>
          <w:color w:val="231F20"/>
          <w:spacing w:val="-31"/>
          <w:w w:val="105"/>
          <w:sz w:val="21"/>
        </w:rPr>
        <w:t> </w:t>
      </w:r>
      <w:r>
        <w:rPr>
          <w:color w:val="231F20"/>
          <w:w w:val="105"/>
          <w:sz w:val="21"/>
        </w:rPr>
        <w:t>36,</w:t>
      </w:r>
      <w:r>
        <w:rPr>
          <w:color w:val="231F20"/>
          <w:spacing w:val="-31"/>
          <w:w w:val="105"/>
          <w:sz w:val="21"/>
        </w:rPr>
        <w:t> </w:t>
      </w:r>
      <w:r>
        <w:rPr>
          <w:color w:val="231F20"/>
          <w:w w:val="105"/>
          <w:sz w:val="21"/>
        </w:rPr>
        <w:t>núm.</w:t>
      </w:r>
      <w:r>
        <w:rPr>
          <w:color w:val="231F20"/>
          <w:spacing w:val="-31"/>
          <w:w w:val="105"/>
          <w:sz w:val="21"/>
        </w:rPr>
        <w:t> </w:t>
      </w:r>
      <w:r>
        <w:rPr>
          <w:color w:val="231F20"/>
          <w:w w:val="105"/>
          <w:sz w:val="21"/>
        </w:rPr>
        <w:t>1.</w:t>
      </w:r>
    </w:p>
    <w:p>
      <w:pPr>
        <w:spacing w:line="259" w:lineRule="auto" w:before="3"/>
        <w:ind w:left="2432" w:right="1802" w:hanging="738"/>
        <w:jc w:val="both"/>
        <w:rPr>
          <w:sz w:val="21"/>
        </w:rPr>
      </w:pPr>
      <w:r>
        <w:rPr>
          <w:color w:val="231F20"/>
          <w:sz w:val="21"/>
        </w:rPr>
        <w:t>Fagetti, Antonella, (2000), “Mujeres abandonadas: Desafíos y  vivencias”, en Dalia Barrera y Christina Oehmichen (eds.), </w:t>
      </w:r>
      <w:r>
        <w:rPr>
          <w:rFonts w:ascii="Arial" w:hAnsi="Arial"/>
          <w:i/>
          <w:color w:val="231F20"/>
          <w:sz w:val="21"/>
        </w:rPr>
        <w:t>Migración y relacio- </w:t>
      </w:r>
      <w:r>
        <w:rPr>
          <w:rFonts w:ascii="Arial" w:hAnsi="Arial"/>
          <w:i/>
          <w:color w:val="231F20"/>
          <w:sz w:val="21"/>
        </w:rPr>
        <w:t>nes de género en México</w:t>
      </w:r>
      <w:r>
        <w:rPr>
          <w:color w:val="231F20"/>
          <w:sz w:val="21"/>
        </w:rPr>
        <w:t>, México:  </w:t>
      </w:r>
      <w:r>
        <w:rPr>
          <w:color w:val="231F20"/>
          <w:sz w:val="17"/>
        </w:rPr>
        <w:t>GIMTRAP</w:t>
      </w:r>
      <w:r>
        <w:rPr>
          <w:color w:val="231F20"/>
          <w:sz w:val="21"/>
        </w:rPr>
        <w:t>/</w:t>
      </w:r>
      <w:r>
        <w:rPr>
          <w:color w:val="231F20"/>
          <w:sz w:val="17"/>
        </w:rPr>
        <w:t>UNAM</w:t>
      </w:r>
      <w:r>
        <w:rPr>
          <w:color w:val="231F20"/>
          <w:sz w:val="21"/>
        </w:rPr>
        <w:t>/</w:t>
      </w:r>
      <w:r>
        <w:rPr>
          <w:color w:val="231F20"/>
          <w:sz w:val="17"/>
        </w:rPr>
        <w:t>IIA</w:t>
      </w:r>
      <w:r>
        <w:rPr>
          <w:color w:val="231F20"/>
          <w:sz w:val="21"/>
        </w:rPr>
        <w:t>.</w:t>
      </w:r>
    </w:p>
    <w:p>
      <w:pPr>
        <w:spacing w:line="259" w:lineRule="auto" w:before="0"/>
        <w:ind w:left="2432" w:right="1807" w:hanging="738"/>
        <w:jc w:val="both"/>
        <w:rPr>
          <w:sz w:val="21"/>
        </w:rPr>
      </w:pPr>
      <w:r>
        <w:rPr>
          <w:color w:val="231F20"/>
          <w:spacing w:val="-3"/>
          <w:w w:val="105"/>
          <w:sz w:val="21"/>
        </w:rPr>
        <w:t>Kemper,</w:t>
      </w:r>
      <w:r>
        <w:rPr>
          <w:color w:val="231F20"/>
          <w:spacing w:val="-38"/>
          <w:w w:val="105"/>
          <w:sz w:val="21"/>
        </w:rPr>
        <w:t> </w:t>
      </w:r>
      <w:r>
        <w:rPr>
          <w:color w:val="231F20"/>
          <w:w w:val="105"/>
          <w:sz w:val="21"/>
        </w:rPr>
        <w:t>Theodore,</w:t>
      </w:r>
      <w:r>
        <w:rPr>
          <w:color w:val="231F20"/>
          <w:spacing w:val="-34"/>
          <w:w w:val="105"/>
          <w:sz w:val="21"/>
        </w:rPr>
        <w:t> </w:t>
      </w:r>
      <w:r>
        <w:rPr>
          <w:color w:val="231F20"/>
          <w:w w:val="105"/>
          <w:sz w:val="21"/>
        </w:rPr>
        <w:t>(1991),</w:t>
      </w:r>
      <w:r>
        <w:rPr>
          <w:color w:val="231F20"/>
          <w:spacing w:val="-34"/>
          <w:w w:val="105"/>
          <w:sz w:val="21"/>
        </w:rPr>
        <w:t> </w:t>
      </w:r>
      <w:r>
        <w:rPr>
          <w:color w:val="231F20"/>
          <w:w w:val="105"/>
          <w:sz w:val="21"/>
        </w:rPr>
        <w:t>“Predicting</w:t>
      </w:r>
      <w:r>
        <w:rPr>
          <w:color w:val="231F20"/>
          <w:spacing w:val="-30"/>
          <w:w w:val="105"/>
          <w:sz w:val="21"/>
        </w:rPr>
        <w:t> </w:t>
      </w:r>
      <w:r>
        <w:rPr>
          <w:color w:val="231F20"/>
          <w:w w:val="105"/>
          <w:sz w:val="21"/>
        </w:rPr>
        <w:t>emotions</w:t>
      </w:r>
      <w:r>
        <w:rPr>
          <w:color w:val="231F20"/>
          <w:spacing w:val="-30"/>
          <w:w w:val="105"/>
          <w:sz w:val="21"/>
        </w:rPr>
        <w:t> </w:t>
      </w:r>
      <w:r>
        <w:rPr>
          <w:color w:val="231F20"/>
          <w:w w:val="105"/>
          <w:sz w:val="21"/>
        </w:rPr>
        <w:t>from</w:t>
      </w:r>
      <w:r>
        <w:rPr>
          <w:color w:val="231F20"/>
          <w:spacing w:val="-30"/>
          <w:w w:val="105"/>
          <w:sz w:val="21"/>
        </w:rPr>
        <w:t> </w:t>
      </w:r>
      <w:r>
        <w:rPr>
          <w:color w:val="231F20"/>
          <w:w w:val="105"/>
          <w:sz w:val="21"/>
        </w:rPr>
        <w:t>social</w:t>
      </w:r>
      <w:r>
        <w:rPr>
          <w:color w:val="231F20"/>
          <w:spacing w:val="-30"/>
          <w:w w:val="105"/>
          <w:sz w:val="21"/>
        </w:rPr>
        <w:t> </w:t>
      </w:r>
      <w:r>
        <w:rPr>
          <w:color w:val="231F20"/>
          <w:spacing w:val="-3"/>
          <w:w w:val="105"/>
          <w:sz w:val="21"/>
        </w:rPr>
        <w:t>relations”,</w:t>
      </w:r>
      <w:r>
        <w:rPr>
          <w:color w:val="231F20"/>
          <w:spacing w:val="-34"/>
          <w:w w:val="105"/>
          <w:sz w:val="21"/>
        </w:rPr>
        <w:t> </w:t>
      </w:r>
      <w:r>
        <w:rPr>
          <w:rFonts w:ascii="Arial" w:hAnsi="Arial"/>
          <w:i/>
          <w:color w:val="231F20"/>
          <w:w w:val="105"/>
          <w:sz w:val="21"/>
        </w:rPr>
        <w:t>So- </w:t>
      </w:r>
      <w:r>
        <w:rPr>
          <w:rFonts w:ascii="Arial" w:hAnsi="Arial"/>
          <w:i/>
          <w:color w:val="231F20"/>
          <w:w w:val="105"/>
          <w:sz w:val="21"/>
        </w:rPr>
        <w:t>cial</w:t>
      </w:r>
      <w:r>
        <w:rPr>
          <w:rFonts w:ascii="Arial" w:hAnsi="Arial"/>
          <w:i/>
          <w:color w:val="231F20"/>
          <w:spacing w:val="-31"/>
          <w:w w:val="105"/>
          <w:sz w:val="21"/>
        </w:rPr>
        <w:t> </w:t>
      </w:r>
      <w:r>
        <w:rPr>
          <w:rFonts w:ascii="Arial" w:hAnsi="Arial"/>
          <w:i/>
          <w:color w:val="231F20"/>
          <w:w w:val="105"/>
          <w:sz w:val="21"/>
        </w:rPr>
        <w:t>Psychology</w:t>
      </w:r>
      <w:r>
        <w:rPr>
          <w:rFonts w:ascii="Arial" w:hAnsi="Arial"/>
          <w:i/>
          <w:color w:val="231F20"/>
          <w:spacing w:val="-31"/>
          <w:w w:val="105"/>
          <w:sz w:val="21"/>
        </w:rPr>
        <w:t> </w:t>
      </w:r>
      <w:r>
        <w:rPr>
          <w:rFonts w:ascii="Arial" w:hAnsi="Arial"/>
          <w:i/>
          <w:color w:val="231F20"/>
          <w:w w:val="105"/>
          <w:sz w:val="21"/>
        </w:rPr>
        <w:t>Quarterly</w:t>
      </w:r>
      <w:r>
        <w:rPr>
          <w:color w:val="231F20"/>
          <w:w w:val="105"/>
          <w:sz w:val="21"/>
        </w:rPr>
        <w:t>,</w:t>
      </w:r>
      <w:r>
        <w:rPr>
          <w:color w:val="231F20"/>
          <w:spacing w:val="-32"/>
          <w:w w:val="105"/>
          <w:sz w:val="21"/>
        </w:rPr>
        <w:t> </w:t>
      </w:r>
      <w:r>
        <w:rPr>
          <w:color w:val="231F20"/>
          <w:w w:val="105"/>
          <w:sz w:val="21"/>
        </w:rPr>
        <w:t>vol.</w:t>
      </w:r>
      <w:r>
        <w:rPr>
          <w:color w:val="231F20"/>
          <w:spacing w:val="-32"/>
          <w:w w:val="105"/>
          <w:sz w:val="21"/>
        </w:rPr>
        <w:t> </w:t>
      </w:r>
      <w:r>
        <w:rPr>
          <w:color w:val="231F20"/>
          <w:w w:val="105"/>
          <w:sz w:val="21"/>
        </w:rPr>
        <w:t>54,</w:t>
      </w:r>
      <w:r>
        <w:rPr>
          <w:color w:val="231F20"/>
          <w:spacing w:val="-32"/>
          <w:w w:val="105"/>
          <w:sz w:val="21"/>
        </w:rPr>
        <w:t> </w:t>
      </w:r>
      <w:r>
        <w:rPr>
          <w:color w:val="231F20"/>
          <w:w w:val="105"/>
          <w:sz w:val="21"/>
        </w:rPr>
        <w:t>núm.</w:t>
      </w:r>
      <w:r>
        <w:rPr>
          <w:color w:val="231F20"/>
          <w:spacing w:val="-32"/>
          <w:w w:val="105"/>
          <w:sz w:val="21"/>
        </w:rPr>
        <w:t> </w:t>
      </w:r>
      <w:r>
        <w:rPr>
          <w:color w:val="231F20"/>
          <w:w w:val="105"/>
          <w:sz w:val="21"/>
        </w:rPr>
        <w:t>4.</w:t>
      </w:r>
    </w:p>
    <w:p>
      <w:pPr>
        <w:tabs>
          <w:tab w:pos="2535" w:val="left" w:leader="none"/>
        </w:tabs>
        <w:spacing w:line="261" w:lineRule="auto" w:before="3"/>
        <w:ind w:left="2432" w:right="1800" w:hanging="738"/>
        <w:jc w:val="both"/>
        <w:rPr>
          <w:sz w:val="21"/>
        </w:rPr>
      </w:pPr>
      <w:r>
        <w:rPr>
          <w:color w:val="231F20"/>
          <w:w w:val="94"/>
          <w:sz w:val="21"/>
          <w:u w:val="single" w:color="221E1F"/>
        </w:rPr>
        <w:t> </w:t>
      </w:r>
      <w:r>
        <w:rPr>
          <w:color w:val="231F20"/>
          <w:sz w:val="21"/>
          <w:u w:val="single" w:color="221E1F"/>
        </w:rPr>
        <w:tab/>
        <w:tab/>
      </w:r>
      <w:r>
        <w:rPr>
          <w:color w:val="231F20"/>
          <w:spacing w:val="-4"/>
          <w:sz w:val="21"/>
        </w:rPr>
        <w:t> </w:t>
      </w:r>
      <w:r>
        <w:rPr>
          <w:color w:val="231F20"/>
          <w:w w:val="105"/>
          <w:sz w:val="21"/>
        </w:rPr>
        <w:t>(1987),</w:t>
      </w:r>
      <w:r>
        <w:rPr>
          <w:color w:val="231F20"/>
          <w:spacing w:val="-22"/>
          <w:w w:val="105"/>
          <w:sz w:val="21"/>
        </w:rPr>
        <w:t> </w:t>
      </w:r>
      <w:r>
        <w:rPr>
          <w:color w:val="231F20"/>
          <w:w w:val="105"/>
          <w:sz w:val="21"/>
        </w:rPr>
        <w:t>“How</w:t>
      </w:r>
      <w:r>
        <w:rPr>
          <w:color w:val="231F20"/>
          <w:spacing w:val="-17"/>
          <w:w w:val="105"/>
          <w:sz w:val="21"/>
        </w:rPr>
        <w:t> </w:t>
      </w:r>
      <w:r>
        <w:rPr>
          <w:color w:val="231F20"/>
          <w:w w:val="105"/>
          <w:sz w:val="21"/>
        </w:rPr>
        <w:t>many</w:t>
      </w:r>
      <w:r>
        <w:rPr>
          <w:color w:val="231F20"/>
          <w:spacing w:val="-17"/>
          <w:w w:val="105"/>
          <w:sz w:val="21"/>
        </w:rPr>
        <w:t> </w:t>
      </w:r>
      <w:r>
        <w:rPr>
          <w:color w:val="231F20"/>
          <w:w w:val="105"/>
          <w:sz w:val="21"/>
        </w:rPr>
        <w:t>emotions</w:t>
      </w:r>
      <w:r>
        <w:rPr>
          <w:color w:val="231F20"/>
          <w:spacing w:val="-17"/>
          <w:w w:val="105"/>
          <w:sz w:val="21"/>
        </w:rPr>
        <w:t> </w:t>
      </w:r>
      <w:r>
        <w:rPr>
          <w:color w:val="231F20"/>
          <w:w w:val="105"/>
          <w:sz w:val="21"/>
        </w:rPr>
        <w:t>are</w:t>
      </w:r>
      <w:r>
        <w:rPr>
          <w:color w:val="231F20"/>
          <w:spacing w:val="-17"/>
          <w:w w:val="105"/>
          <w:sz w:val="21"/>
        </w:rPr>
        <w:t> </w:t>
      </w:r>
      <w:r>
        <w:rPr>
          <w:color w:val="231F20"/>
          <w:w w:val="105"/>
          <w:sz w:val="21"/>
        </w:rPr>
        <w:t>there?</w:t>
      </w:r>
      <w:r>
        <w:rPr>
          <w:color w:val="231F20"/>
          <w:spacing w:val="-19"/>
          <w:w w:val="105"/>
          <w:sz w:val="21"/>
        </w:rPr>
        <w:t> </w:t>
      </w:r>
      <w:r>
        <w:rPr>
          <w:color w:val="231F20"/>
          <w:w w:val="105"/>
          <w:sz w:val="21"/>
        </w:rPr>
        <w:t>Wedding</w:t>
      </w:r>
      <w:r>
        <w:rPr>
          <w:color w:val="231F20"/>
          <w:spacing w:val="-17"/>
          <w:w w:val="105"/>
          <w:sz w:val="21"/>
        </w:rPr>
        <w:t> </w:t>
      </w:r>
      <w:r>
        <w:rPr>
          <w:color w:val="231F20"/>
          <w:w w:val="105"/>
          <w:sz w:val="21"/>
        </w:rPr>
        <w:t>the</w:t>
      </w:r>
      <w:r>
        <w:rPr>
          <w:color w:val="231F20"/>
          <w:spacing w:val="-17"/>
          <w:w w:val="105"/>
          <w:sz w:val="21"/>
        </w:rPr>
        <w:t> </w:t>
      </w:r>
      <w:r>
        <w:rPr>
          <w:color w:val="231F20"/>
          <w:w w:val="105"/>
          <w:sz w:val="21"/>
        </w:rPr>
        <w:t>social</w:t>
      </w:r>
      <w:r>
        <w:rPr>
          <w:color w:val="231F20"/>
          <w:spacing w:val="-17"/>
          <w:w w:val="105"/>
          <w:sz w:val="21"/>
        </w:rPr>
        <w:t> </w:t>
      </w:r>
      <w:r>
        <w:rPr>
          <w:color w:val="231F20"/>
          <w:w w:val="105"/>
          <w:sz w:val="21"/>
        </w:rPr>
        <w:t>and</w:t>
      </w:r>
      <w:r>
        <w:rPr>
          <w:color w:val="231F20"/>
          <w:w w:val="105"/>
          <w:sz w:val="21"/>
        </w:rPr>
        <w:t> </w:t>
      </w:r>
      <w:r>
        <w:rPr>
          <w:color w:val="231F20"/>
          <w:w w:val="105"/>
          <w:sz w:val="21"/>
        </w:rPr>
        <w:t>the autonomic </w:t>
      </w:r>
      <w:r>
        <w:rPr>
          <w:color w:val="231F20"/>
          <w:spacing w:val="-3"/>
          <w:w w:val="105"/>
          <w:sz w:val="21"/>
        </w:rPr>
        <w:t>components”, </w:t>
      </w:r>
      <w:r>
        <w:rPr>
          <w:rFonts w:ascii="Arial" w:hAnsi="Arial"/>
          <w:i/>
          <w:color w:val="231F20"/>
          <w:w w:val="105"/>
          <w:sz w:val="21"/>
        </w:rPr>
        <w:t>American Journal of Sociology</w:t>
      </w:r>
      <w:r>
        <w:rPr>
          <w:color w:val="231F20"/>
          <w:w w:val="105"/>
          <w:sz w:val="21"/>
        </w:rPr>
        <w:t>, vol. 93,</w:t>
      </w:r>
      <w:r>
        <w:rPr>
          <w:color w:val="231F20"/>
          <w:spacing w:val="-24"/>
          <w:w w:val="105"/>
          <w:sz w:val="21"/>
        </w:rPr>
        <w:t> </w:t>
      </w:r>
      <w:r>
        <w:rPr>
          <w:color w:val="231F20"/>
          <w:w w:val="105"/>
          <w:sz w:val="21"/>
        </w:rPr>
        <w:t>núm.</w:t>
      </w:r>
      <w:r>
        <w:rPr>
          <w:color w:val="231F20"/>
          <w:spacing w:val="-24"/>
          <w:w w:val="105"/>
          <w:sz w:val="21"/>
        </w:rPr>
        <w:t> </w:t>
      </w:r>
      <w:r>
        <w:rPr>
          <w:color w:val="231F20"/>
          <w:w w:val="105"/>
          <w:sz w:val="21"/>
        </w:rPr>
        <w:t>2.</w:t>
      </w:r>
    </w:p>
    <w:p>
      <w:pPr>
        <w:spacing w:line="259" w:lineRule="auto" w:before="0"/>
        <w:ind w:left="2432" w:right="1807" w:hanging="738"/>
        <w:jc w:val="both"/>
        <w:rPr>
          <w:sz w:val="21"/>
        </w:rPr>
      </w:pPr>
      <w:r>
        <w:rPr>
          <w:color w:val="231F20"/>
          <w:sz w:val="21"/>
        </w:rPr>
        <w:t>López, Gustavo, (1986), </w:t>
      </w:r>
      <w:r>
        <w:rPr>
          <w:rFonts w:ascii="Arial" w:hAnsi="Arial"/>
          <w:i/>
          <w:color w:val="231F20"/>
          <w:sz w:val="21"/>
        </w:rPr>
        <w:t>La casa dividida: un estudio de caso sobre migra- </w:t>
      </w:r>
      <w:r>
        <w:rPr>
          <w:rFonts w:ascii="Arial" w:hAnsi="Arial"/>
          <w:i/>
          <w:color w:val="231F20"/>
          <w:sz w:val="21"/>
        </w:rPr>
        <w:t>ción a Estados Unidos en un pueblo Michoacano, Zamora,</w:t>
      </w:r>
      <w:r>
        <w:rPr>
          <w:rFonts w:ascii="Arial" w:hAnsi="Arial"/>
          <w:i/>
          <w:color w:val="231F20"/>
          <w:spacing w:val="-28"/>
          <w:sz w:val="21"/>
        </w:rPr>
        <w:t> </w:t>
      </w:r>
      <w:r>
        <w:rPr>
          <w:rFonts w:ascii="Arial" w:hAnsi="Arial"/>
          <w:i/>
          <w:color w:val="231F20"/>
          <w:sz w:val="21"/>
        </w:rPr>
        <w:t>Michoa- cán</w:t>
      </w:r>
      <w:r>
        <w:rPr>
          <w:color w:val="231F20"/>
          <w:sz w:val="21"/>
        </w:rPr>
        <w:t>, Zamora, México:</w:t>
      </w:r>
      <w:r>
        <w:rPr>
          <w:color w:val="231F20"/>
          <w:spacing w:val="8"/>
          <w:sz w:val="21"/>
        </w:rPr>
        <w:t> </w:t>
      </w:r>
      <w:r>
        <w:rPr>
          <w:color w:val="231F20"/>
          <w:spacing w:val="-3"/>
          <w:sz w:val="17"/>
        </w:rPr>
        <w:t>COLMICH</w:t>
      </w:r>
      <w:r>
        <w:rPr>
          <w:color w:val="231F20"/>
          <w:spacing w:val="-3"/>
          <w:sz w:val="21"/>
        </w:rPr>
        <w:t>.</w:t>
      </w:r>
    </w:p>
    <w:p>
      <w:pPr>
        <w:pStyle w:val="BodyText"/>
        <w:spacing w:line="259" w:lineRule="auto" w:before="3"/>
        <w:ind w:left="2432" w:right="1807" w:hanging="738"/>
        <w:jc w:val="both"/>
      </w:pPr>
      <w:r>
        <w:rPr>
          <w:color w:val="231F20"/>
          <w:w w:val="105"/>
        </w:rPr>
        <w:t>Maier,</w:t>
      </w:r>
      <w:r>
        <w:rPr>
          <w:color w:val="231F20"/>
          <w:spacing w:val="-31"/>
          <w:w w:val="105"/>
        </w:rPr>
        <w:t> </w:t>
      </w:r>
      <w:r>
        <w:rPr>
          <w:color w:val="231F20"/>
          <w:w w:val="105"/>
        </w:rPr>
        <w:t>Elizabeth,</w:t>
      </w:r>
      <w:r>
        <w:rPr>
          <w:color w:val="231F20"/>
          <w:spacing w:val="-31"/>
          <w:w w:val="105"/>
        </w:rPr>
        <w:t> </w:t>
      </w:r>
      <w:r>
        <w:rPr>
          <w:color w:val="231F20"/>
          <w:w w:val="105"/>
        </w:rPr>
        <w:t>(2006),</w:t>
      </w:r>
      <w:r>
        <w:rPr>
          <w:color w:val="231F20"/>
          <w:spacing w:val="-31"/>
          <w:w w:val="105"/>
        </w:rPr>
        <w:t> </w:t>
      </w:r>
      <w:r>
        <w:rPr>
          <w:color w:val="231F20"/>
          <w:w w:val="105"/>
        </w:rPr>
        <w:t>“Tránsitos</w:t>
      </w:r>
      <w:r>
        <w:rPr>
          <w:color w:val="231F20"/>
          <w:spacing w:val="-27"/>
          <w:w w:val="105"/>
        </w:rPr>
        <w:t> </w:t>
      </w:r>
      <w:r>
        <w:rPr>
          <w:color w:val="231F20"/>
          <w:w w:val="105"/>
        </w:rPr>
        <w:t>territoriales</w:t>
      </w:r>
      <w:r>
        <w:rPr>
          <w:color w:val="231F20"/>
          <w:spacing w:val="-27"/>
          <w:w w:val="105"/>
        </w:rPr>
        <w:t> </w:t>
      </w:r>
      <w:r>
        <w:rPr>
          <w:color w:val="231F20"/>
          <w:w w:val="105"/>
        </w:rPr>
        <w:t>e</w:t>
      </w:r>
      <w:r>
        <w:rPr>
          <w:color w:val="231F20"/>
          <w:spacing w:val="-27"/>
          <w:w w:val="105"/>
        </w:rPr>
        <w:t> </w:t>
      </w:r>
      <w:r>
        <w:rPr>
          <w:color w:val="231F20"/>
          <w:w w:val="105"/>
        </w:rPr>
        <w:t>identidad</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mujeres indígenas</w:t>
      </w:r>
      <w:r>
        <w:rPr>
          <w:color w:val="231F20"/>
          <w:spacing w:val="-26"/>
          <w:w w:val="105"/>
        </w:rPr>
        <w:t> </w:t>
      </w:r>
      <w:r>
        <w:rPr>
          <w:color w:val="231F20"/>
          <w:spacing w:val="-3"/>
          <w:w w:val="105"/>
        </w:rPr>
        <w:t>migrantes”,</w:t>
      </w:r>
      <w:r>
        <w:rPr>
          <w:color w:val="231F20"/>
          <w:spacing w:val="-30"/>
          <w:w w:val="105"/>
        </w:rPr>
        <w:t> </w:t>
      </w:r>
      <w:r>
        <w:rPr>
          <w:rFonts w:ascii="Arial" w:hAnsi="Arial"/>
          <w:i/>
          <w:color w:val="231F20"/>
          <w:w w:val="105"/>
        </w:rPr>
        <w:t>Papeles</w:t>
      </w:r>
      <w:r>
        <w:rPr>
          <w:rFonts w:ascii="Arial" w:hAnsi="Arial"/>
          <w:i/>
          <w:color w:val="231F20"/>
          <w:spacing w:val="-28"/>
          <w:w w:val="105"/>
        </w:rPr>
        <w:t> </w:t>
      </w:r>
      <w:r>
        <w:rPr>
          <w:rFonts w:ascii="Arial" w:hAnsi="Arial"/>
          <w:i/>
          <w:color w:val="231F20"/>
          <w:w w:val="105"/>
        </w:rPr>
        <w:t>de</w:t>
      </w:r>
      <w:r>
        <w:rPr>
          <w:rFonts w:ascii="Arial" w:hAnsi="Arial"/>
          <w:i/>
          <w:color w:val="231F20"/>
          <w:spacing w:val="-28"/>
          <w:w w:val="105"/>
        </w:rPr>
        <w:t> </w:t>
      </w:r>
      <w:r>
        <w:rPr>
          <w:rFonts w:ascii="Arial" w:hAnsi="Arial"/>
          <w:i/>
          <w:color w:val="231F20"/>
          <w:w w:val="105"/>
        </w:rPr>
        <w:t>Población</w:t>
      </w:r>
      <w:r>
        <w:rPr>
          <w:color w:val="231F20"/>
          <w:w w:val="105"/>
        </w:rPr>
        <w:t>,</w:t>
      </w:r>
      <w:r>
        <w:rPr>
          <w:color w:val="231F20"/>
          <w:spacing w:val="-30"/>
          <w:w w:val="105"/>
        </w:rPr>
        <w:t> </w:t>
      </w:r>
      <w:r>
        <w:rPr>
          <w:color w:val="231F20"/>
          <w:w w:val="105"/>
        </w:rPr>
        <w:t>vol.</w:t>
      </w:r>
      <w:r>
        <w:rPr>
          <w:color w:val="231F20"/>
          <w:spacing w:val="-30"/>
          <w:w w:val="105"/>
        </w:rPr>
        <w:t> </w:t>
      </w:r>
      <w:r>
        <w:rPr>
          <w:color w:val="231F20"/>
          <w:w w:val="105"/>
        </w:rPr>
        <w:t>12,</w:t>
      </w:r>
      <w:r>
        <w:rPr>
          <w:color w:val="231F20"/>
          <w:spacing w:val="-30"/>
          <w:w w:val="105"/>
        </w:rPr>
        <w:t> </w:t>
      </w:r>
      <w:r>
        <w:rPr>
          <w:color w:val="231F20"/>
          <w:w w:val="105"/>
        </w:rPr>
        <w:t>núm.</w:t>
      </w:r>
      <w:r>
        <w:rPr>
          <w:color w:val="231F20"/>
          <w:spacing w:val="-30"/>
          <w:w w:val="105"/>
        </w:rPr>
        <w:t> </w:t>
      </w:r>
      <w:r>
        <w:rPr>
          <w:color w:val="231F20"/>
          <w:w w:val="105"/>
        </w:rPr>
        <w:t>47.</w:t>
      </w:r>
    </w:p>
    <w:p>
      <w:pPr>
        <w:pStyle w:val="BodyText"/>
        <w:spacing w:line="261" w:lineRule="auto" w:before="3"/>
        <w:ind w:left="1723" w:right="1800"/>
        <w:jc w:val="right"/>
      </w:pPr>
      <w:r>
        <w:rPr>
          <w:color w:val="231F20"/>
          <w:spacing w:val="-4"/>
          <w:w w:val="105"/>
        </w:rPr>
        <w:t>Monk, Janice </w:t>
      </w:r>
      <w:r>
        <w:rPr>
          <w:color w:val="231F20"/>
          <w:w w:val="105"/>
        </w:rPr>
        <w:t>y </w:t>
      </w:r>
      <w:r>
        <w:rPr>
          <w:color w:val="231F20"/>
          <w:spacing w:val="-4"/>
          <w:w w:val="105"/>
        </w:rPr>
        <w:t>Ramón, María Dolores, (1987), “Geografía</w:t>
      </w:r>
      <w:r>
        <w:rPr>
          <w:color w:val="231F20"/>
          <w:spacing w:val="41"/>
          <w:w w:val="105"/>
        </w:rPr>
        <w:t> </w:t>
      </w:r>
      <w:r>
        <w:rPr>
          <w:color w:val="231F20"/>
          <w:spacing w:val="-4"/>
          <w:w w:val="105"/>
        </w:rPr>
        <w:t>feminista:</w:t>
      </w:r>
      <w:r>
        <w:rPr>
          <w:color w:val="231F20"/>
          <w:spacing w:val="11"/>
          <w:w w:val="105"/>
        </w:rPr>
        <w:t> </w:t>
      </w:r>
      <w:r>
        <w:rPr>
          <w:color w:val="231F20"/>
          <w:spacing w:val="-4"/>
          <w:w w:val="105"/>
        </w:rPr>
        <w:t>una</w:t>
      </w:r>
      <w:r>
        <w:rPr>
          <w:color w:val="231F20"/>
          <w:spacing w:val="-4"/>
          <w:w w:val="101"/>
        </w:rPr>
        <w:t> </w:t>
      </w:r>
      <w:r>
        <w:rPr>
          <w:color w:val="231F20"/>
          <w:spacing w:val="-4"/>
          <w:w w:val="105"/>
        </w:rPr>
        <w:t>perspectiva</w:t>
      </w:r>
      <w:r>
        <w:rPr>
          <w:color w:val="231F20"/>
          <w:spacing w:val="-39"/>
          <w:w w:val="105"/>
        </w:rPr>
        <w:t> </w:t>
      </w:r>
      <w:r>
        <w:rPr>
          <w:color w:val="231F20"/>
          <w:spacing w:val="-6"/>
          <w:w w:val="105"/>
        </w:rPr>
        <w:t>internacional”,</w:t>
      </w:r>
      <w:r>
        <w:rPr>
          <w:color w:val="231F20"/>
          <w:spacing w:val="-43"/>
          <w:w w:val="105"/>
        </w:rPr>
        <w:t> </w:t>
      </w:r>
      <w:r>
        <w:rPr>
          <w:rFonts w:ascii="Arial" w:hAnsi="Arial"/>
          <w:i/>
          <w:color w:val="231F20"/>
          <w:spacing w:val="-4"/>
          <w:w w:val="105"/>
        </w:rPr>
        <w:t>Documents</w:t>
      </w:r>
      <w:r>
        <w:rPr>
          <w:rFonts w:ascii="Arial" w:hAnsi="Arial"/>
          <w:i/>
          <w:color w:val="231F20"/>
          <w:spacing w:val="-42"/>
          <w:w w:val="105"/>
        </w:rPr>
        <w:t> </w:t>
      </w:r>
      <w:r>
        <w:rPr>
          <w:rFonts w:ascii="Arial" w:hAnsi="Arial"/>
          <w:i/>
          <w:color w:val="231F20"/>
          <w:spacing w:val="-5"/>
          <w:w w:val="105"/>
        </w:rPr>
        <w:t>d’analisi</w:t>
      </w:r>
      <w:r>
        <w:rPr>
          <w:rFonts w:ascii="Arial" w:hAnsi="Arial"/>
          <w:i/>
          <w:color w:val="231F20"/>
          <w:spacing w:val="-42"/>
          <w:w w:val="105"/>
        </w:rPr>
        <w:t> </w:t>
      </w:r>
      <w:r>
        <w:rPr>
          <w:rFonts w:ascii="Arial" w:hAnsi="Arial"/>
          <w:i/>
          <w:color w:val="231F20"/>
          <w:spacing w:val="-4"/>
          <w:w w:val="105"/>
        </w:rPr>
        <w:t>Geografica</w:t>
      </w:r>
      <w:r>
        <w:rPr>
          <w:color w:val="231F20"/>
          <w:spacing w:val="-4"/>
          <w:w w:val="105"/>
        </w:rPr>
        <w:t>,</w:t>
      </w:r>
      <w:r>
        <w:rPr>
          <w:color w:val="231F20"/>
          <w:spacing w:val="-43"/>
          <w:w w:val="105"/>
        </w:rPr>
        <w:t> </w:t>
      </w:r>
      <w:r>
        <w:rPr>
          <w:color w:val="231F20"/>
          <w:spacing w:val="-3"/>
          <w:w w:val="105"/>
        </w:rPr>
        <w:t>núm.</w:t>
      </w:r>
      <w:r>
        <w:rPr>
          <w:color w:val="231F20"/>
          <w:spacing w:val="-43"/>
          <w:w w:val="105"/>
        </w:rPr>
        <w:t> </w:t>
      </w:r>
      <w:r>
        <w:rPr>
          <w:color w:val="231F20"/>
          <w:spacing w:val="-4"/>
          <w:w w:val="105"/>
        </w:rPr>
        <w:t>10.</w:t>
      </w:r>
      <w:r>
        <w:rPr>
          <w:color w:val="231F20"/>
          <w:spacing w:val="-4"/>
          <w:w w:val="102"/>
        </w:rPr>
        <w:t> </w:t>
      </w:r>
      <w:r>
        <w:rPr>
          <w:color w:val="231F20"/>
          <w:spacing w:val="-4"/>
          <w:w w:val="105"/>
        </w:rPr>
        <w:t>Mummer,</w:t>
      </w:r>
      <w:r>
        <w:rPr>
          <w:color w:val="231F20"/>
          <w:spacing w:val="-20"/>
          <w:w w:val="105"/>
        </w:rPr>
        <w:t> </w:t>
      </w:r>
      <w:r>
        <w:rPr>
          <w:color w:val="231F20"/>
          <w:w w:val="105"/>
        </w:rPr>
        <w:t>Gail,</w:t>
      </w:r>
      <w:r>
        <w:rPr>
          <w:color w:val="231F20"/>
          <w:spacing w:val="-20"/>
          <w:w w:val="105"/>
        </w:rPr>
        <w:t> </w:t>
      </w:r>
      <w:r>
        <w:rPr>
          <w:color w:val="231F20"/>
          <w:w w:val="105"/>
        </w:rPr>
        <w:t>(1988),</w:t>
      </w:r>
      <w:r>
        <w:rPr>
          <w:color w:val="231F20"/>
          <w:spacing w:val="-20"/>
          <w:w w:val="105"/>
        </w:rPr>
        <w:t> </w:t>
      </w:r>
      <w:r>
        <w:rPr>
          <w:color w:val="231F20"/>
          <w:spacing w:val="-3"/>
          <w:w w:val="105"/>
        </w:rPr>
        <w:t>“Mujeres</w:t>
      </w:r>
      <w:r>
        <w:rPr>
          <w:color w:val="231F20"/>
          <w:spacing w:val="-16"/>
          <w:w w:val="105"/>
        </w:rPr>
        <w:t> </w:t>
      </w:r>
      <w:r>
        <w:rPr>
          <w:color w:val="231F20"/>
          <w:w w:val="105"/>
        </w:rPr>
        <w:t>de</w:t>
      </w:r>
      <w:r>
        <w:rPr>
          <w:color w:val="231F20"/>
          <w:spacing w:val="-16"/>
          <w:w w:val="105"/>
        </w:rPr>
        <w:t> </w:t>
      </w:r>
      <w:r>
        <w:rPr>
          <w:color w:val="231F20"/>
          <w:w w:val="105"/>
        </w:rPr>
        <w:t>migrantes</w:t>
      </w:r>
      <w:r>
        <w:rPr>
          <w:color w:val="231F20"/>
          <w:spacing w:val="-16"/>
          <w:w w:val="105"/>
        </w:rPr>
        <w:t> </w:t>
      </w:r>
      <w:r>
        <w:rPr>
          <w:color w:val="231F20"/>
          <w:w w:val="105"/>
        </w:rPr>
        <w:t>y</w:t>
      </w:r>
      <w:r>
        <w:rPr>
          <w:color w:val="231F20"/>
          <w:spacing w:val="-16"/>
          <w:w w:val="105"/>
        </w:rPr>
        <w:t> </w:t>
      </w:r>
      <w:r>
        <w:rPr>
          <w:color w:val="231F20"/>
          <w:spacing w:val="-3"/>
          <w:w w:val="105"/>
        </w:rPr>
        <w:t>mujeres</w:t>
      </w:r>
      <w:r>
        <w:rPr>
          <w:color w:val="231F20"/>
          <w:spacing w:val="-16"/>
          <w:w w:val="105"/>
        </w:rPr>
        <w:t> </w:t>
      </w:r>
      <w:r>
        <w:rPr>
          <w:color w:val="231F20"/>
          <w:w w:val="105"/>
        </w:rPr>
        <w:t>migrantes</w:t>
      </w:r>
      <w:r>
        <w:rPr>
          <w:color w:val="231F20"/>
          <w:spacing w:val="-16"/>
          <w:w w:val="105"/>
        </w:rPr>
        <w:t> </w:t>
      </w:r>
      <w:r>
        <w:rPr>
          <w:color w:val="231F20"/>
          <w:w w:val="105"/>
        </w:rPr>
        <w:t>de</w:t>
      </w:r>
      <w:r>
        <w:rPr>
          <w:color w:val="231F20"/>
          <w:spacing w:val="-16"/>
          <w:w w:val="105"/>
        </w:rPr>
        <w:t> </w:t>
      </w:r>
      <w:r>
        <w:rPr>
          <w:color w:val="231F20"/>
          <w:w w:val="105"/>
        </w:rPr>
        <w:t>Mi-</w:t>
      </w:r>
      <w:r>
        <w:rPr>
          <w:color w:val="231F20"/>
          <w:w w:val="96"/>
        </w:rPr>
        <w:t> </w:t>
      </w:r>
      <w:r>
        <w:rPr>
          <w:color w:val="231F20"/>
          <w:w w:val="105"/>
        </w:rPr>
        <w:t>choacán:</w:t>
      </w:r>
      <w:r>
        <w:rPr>
          <w:color w:val="231F20"/>
          <w:spacing w:val="-33"/>
          <w:w w:val="105"/>
        </w:rPr>
        <w:t> </w:t>
      </w:r>
      <w:r>
        <w:rPr>
          <w:color w:val="231F20"/>
          <w:w w:val="105"/>
        </w:rPr>
        <w:t>nuevos</w:t>
      </w:r>
      <w:r>
        <w:rPr>
          <w:color w:val="231F20"/>
          <w:spacing w:val="-33"/>
          <w:w w:val="105"/>
        </w:rPr>
        <w:t> </w:t>
      </w:r>
      <w:r>
        <w:rPr>
          <w:color w:val="231F20"/>
          <w:w w:val="105"/>
        </w:rPr>
        <w:t>papeles</w:t>
      </w:r>
      <w:r>
        <w:rPr>
          <w:color w:val="231F20"/>
          <w:spacing w:val="-33"/>
          <w:w w:val="105"/>
        </w:rPr>
        <w:t> </w:t>
      </w:r>
      <w:r>
        <w:rPr>
          <w:color w:val="231F20"/>
          <w:w w:val="105"/>
        </w:rPr>
        <w:t>para</w:t>
      </w:r>
      <w:r>
        <w:rPr>
          <w:color w:val="231F20"/>
          <w:spacing w:val="-33"/>
          <w:w w:val="105"/>
        </w:rPr>
        <w:t> </w:t>
      </w:r>
      <w:r>
        <w:rPr>
          <w:color w:val="231F20"/>
          <w:w w:val="105"/>
        </w:rPr>
        <w:t>las</w:t>
      </w:r>
      <w:r>
        <w:rPr>
          <w:color w:val="231F20"/>
          <w:spacing w:val="-33"/>
          <w:w w:val="105"/>
        </w:rPr>
        <w:t> </w:t>
      </w:r>
      <w:r>
        <w:rPr>
          <w:color w:val="231F20"/>
          <w:w w:val="105"/>
        </w:rPr>
        <w:t>que</w:t>
      </w:r>
      <w:r>
        <w:rPr>
          <w:color w:val="231F20"/>
          <w:spacing w:val="-33"/>
          <w:w w:val="105"/>
        </w:rPr>
        <w:t> </w:t>
      </w:r>
      <w:r>
        <w:rPr>
          <w:color w:val="231F20"/>
          <w:w w:val="105"/>
        </w:rPr>
        <w:t>se</w:t>
      </w:r>
      <w:r>
        <w:rPr>
          <w:color w:val="231F20"/>
          <w:spacing w:val="-33"/>
          <w:w w:val="105"/>
        </w:rPr>
        <w:t> </w:t>
      </w:r>
      <w:r>
        <w:rPr>
          <w:color w:val="231F20"/>
          <w:w w:val="105"/>
        </w:rPr>
        <w:t>quedan</w:t>
      </w:r>
      <w:r>
        <w:rPr>
          <w:color w:val="231F20"/>
          <w:spacing w:val="-33"/>
          <w:w w:val="105"/>
        </w:rPr>
        <w:t> </w:t>
      </w:r>
      <w:r>
        <w:rPr>
          <w:color w:val="231F20"/>
          <w:w w:val="105"/>
        </w:rPr>
        <w:t>y</w:t>
      </w:r>
      <w:r>
        <w:rPr>
          <w:color w:val="231F20"/>
          <w:spacing w:val="-33"/>
          <w:w w:val="105"/>
        </w:rPr>
        <w:t> </w:t>
      </w:r>
      <w:r>
        <w:rPr>
          <w:color w:val="231F20"/>
          <w:w w:val="105"/>
        </w:rPr>
        <w:t>las</w:t>
      </w:r>
      <w:r>
        <w:rPr>
          <w:color w:val="231F20"/>
          <w:spacing w:val="-33"/>
          <w:w w:val="105"/>
        </w:rPr>
        <w:t> </w:t>
      </w:r>
      <w:r>
        <w:rPr>
          <w:color w:val="231F20"/>
          <w:w w:val="105"/>
        </w:rPr>
        <w:t>que</w:t>
      </w:r>
      <w:r>
        <w:rPr>
          <w:color w:val="231F20"/>
          <w:spacing w:val="-33"/>
          <w:w w:val="105"/>
        </w:rPr>
        <w:t> </w:t>
      </w:r>
      <w:r>
        <w:rPr>
          <w:color w:val="231F20"/>
          <w:w w:val="105"/>
        </w:rPr>
        <w:t>se</w:t>
      </w:r>
      <w:r>
        <w:rPr>
          <w:color w:val="231F20"/>
          <w:spacing w:val="-33"/>
          <w:w w:val="105"/>
        </w:rPr>
        <w:t> </w:t>
      </w:r>
      <w:r>
        <w:rPr>
          <w:color w:val="231F20"/>
          <w:spacing w:val="-7"/>
          <w:w w:val="105"/>
        </w:rPr>
        <w:t>van”,</w:t>
      </w:r>
    </w:p>
    <w:p>
      <w:pPr>
        <w:spacing w:line="259" w:lineRule="auto" w:before="0"/>
        <w:ind w:left="2432" w:right="1806" w:firstLine="0"/>
        <w:jc w:val="both"/>
        <w:rPr>
          <w:sz w:val="21"/>
        </w:rPr>
      </w:pPr>
      <w:r>
        <w:rPr>
          <w:color w:val="231F20"/>
          <w:w w:val="105"/>
          <w:sz w:val="21"/>
        </w:rPr>
        <w:t>en</w:t>
      </w:r>
      <w:r>
        <w:rPr>
          <w:color w:val="231F20"/>
          <w:spacing w:val="-21"/>
          <w:w w:val="105"/>
          <w:sz w:val="21"/>
        </w:rPr>
        <w:t> </w:t>
      </w:r>
      <w:r>
        <w:rPr>
          <w:color w:val="231F20"/>
          <w:spacing w:val="-6"/>
          <w:w w:val="105"/>
          <w:sz w:val="21"/>
        </w:rPr>
        <w:t>Tomás</w:t>
      </w:r>
      <w:r>
        <w:rPr>
          <w:color w:val="231F20"/>
          <w:spacing w:val="-18"/>
          <w:w w:val="105"/>
          <w:sz w:val="21"/>
        </w:rPr>
        <w:t> </w:t>
      </w:r>
      <w:r>
        <w:rPr>
          <w:color w:val="231F20"/>
          <w:spacing w:val="-3"/>
          <w:w w:val="105"/>
          <w:sz w:val="21"/>
        </w:rPr>
        <w:t>Calvo</w:t>
      </w:r>
      <w:r>
        <w:rPr>
          <w:color w:val="231F20"/>
          <w:spacing w:val="-18"/>
          <w:w w:val="105"/>
          <w:sz w:val="21"/>
        </w:rPr>
        <w:t> </w:t>
      </w:r>
      <w:r>
        <w:rPr>
          <w:color w:val="231F20"/>
          <w:w w:val="105"/>
          <w:sz w:val="21"/>
        </w:rPr>
        <w:t>y</w:t>
      </w:r>
      <w:r>
        <w:rPr>
          <w:color w:val="231F20"/>
          <w:spacing w:val="-18"/>
          <w:w w:val="105"/>
          <w:sz w:val="21"/>
        </w:rPr>
        <w:t> </w:t>
      </w:r>
      <w:r>
        <w:rPr>
          <w:color w:val="231F20"/>
          <w:w w:val="105"/>
          <w:sz w:val="21"/>
        </w:rPr>
        <w:t>Gustavo</w:t>
      </w:r>
      <w:r>
        <w:rPr>
          <w:color w:val="231F20"/>
          <w:spacing w:val="-18"/>
          <w:w w:val="105"/>
          <w:sz w:val="21"/>
        </w:rPr>
        <w:t> </w:t>
      </w:r>
      <w:r>
        <w:rPr>
          <w:color w:val="231F20"/>
          <w:spacing w:val="-3"/>
          <w:w w:val="105"/>
          <w:sz w:val="21"/>
        </w:rPr>
        <w:t>López</w:t>
      </w:r>
      <w:r>
        <w:rPr>
          <w:color w:val="231F20"/>
          <w:spacing w:val="-18"/>
          <w:w w:val="105"/>
          <w:sz w:val="21"/>
        </w:rPr>
        <w:t> </w:t>
      </w:r>
      <w:r>
        <w:rPr>
          <w:color w:val="231F20"/>
          <w:spacing w:val="-3"/>
          <w:w w:val="105"/>
          <w:sz w:val="21"/>
        </w:rPr>
        <w:t>(coord.),</w:t>
      </w:r>
      <w:r>
        <w:rPr>
          <w:color w:val="231F20"/>
          <w:spacing w:val="-22"/>
          <w:w w:val="105"/>
          <w:sz w:val="21"/>
        </w:rPr>
        <w:t> </w:t>
      </w:r>
      <w:r>
        <w:rPr>
          <w:rFonts w:ascii="Arial" w:hAnsi="Arial"/>
          <w:i/>
          <w:color w:val="231F20"/>
          <w:w w:val="105"/>
          <w:sz w:val="21"/>
        </w:rPr>
        <w:t>Movimientos</w:t>
      </w:r>
      <w:r>
        <w:rPr>
          <w:rFonts w:ascii="Arial" w:hAnsi="Arial"/>
          <w:i/>
          <w:color w:val="231F20"/>
          <w:spacing w:val="-21"/>
          <w:w w:val="105"/>
          <w:sz w:val="21"/>
        </w:rPr>
        <w:t> </w:t>
      </w:r>
      <w:r>
        <w:rPr>
          <w:rFonts w:ascii="Arial" w:hAnsi="Arial"/>
          <w:i/>
          <w:color w:val="231F20"/>
          <w:w w:val="105"/>
          <w:sz w:val="21"/>
        </w:rPr>
        <w:t>de</w:t>
      </w:r>
      <w:r>
        <w:rPr>
          <w:rFonts w:ascii="Arial" w:hAnsi="Arial"/>
          <w:i/>
          <w:color w:val="231F20"/>
          <w:spacing w:val="-21"/>
          <w:w w:val="105"/>
          <w:sz w:val="21"/>
        </w:rPr>
        <w:t> </w:t>
      </w:r>
      <w:r>
        <w:rPr>
          <w:rFonts w:ascii="Arial" w:hAnsi="Arial"/>
          <w:i/>
          <w:color w:val="231F20"/>
          <w:w w:val="105"/>
          <w:sz w:val="21"/>
        </w:rPr>
        <w:t>pobla- </w:t>
      </w:r>
      <w:r>
        <w:rPr>
          <w:rFonts w:ascii="Arial" w:hAnsi="Arial"/>
          <w:i/>
          <w:color w:val="231F20"/>
          <w:w w:val="105"/>
          <w:sz w:val="21"/>
        </w:rPr>
        <w:t>ción</w:t>
      </w:r>
      <w:r>
        <w:rPr>
          <w:rFonts w:ascii="Arial" w:hAnsi="Arial"/>
          <w:i/>
          <w:color w:val="231F20"/>
          <w:spacing w:val="-14"/>
          <w:w w:val="105"/>
          <w:sz w:val="21"/>
        </w:rPr>
        <w:t> </w:t>
      </w:r>
      <w:r>
        <w:rPr>
          <w:rFonts w:ascii="Arial" w:hAnsi="Arial"/>
          <w:i/>
          <w:color w:val="231F20"/>
          <w:w w:val="105"/>
          <w:sz w:val="21"/>
        </w:rPr>
        <w:t>en</w:t>
      </w:r>
      <w:r>
        <w:rPr>
          <w:rFonts w:ascii="Arial" w:hAnsi="Arial"/>
          <w:i/>
          <w:color w:val="231F20"/>
          <w:spacing w:val="-14"/>
          <w:w w:val="105"/>
          <w:sz w:val="21"/>
        </w:rPr>
        <w:t> </w:t>
      </w:r>
      <w:r>
        <w:rPr>
          <w:rFonts w:ascii="Arial" w:hAnsi="Arial"/>
          <w:i/>
          <w:color w:val="231F20"/>
          <w:w w:val="105"/>
          <w:sz w:val="21"/>
        </w:rPr>
        <w:t>el</w:t>
      </w:r>
      <w:r>
        <w:rPr>
          <w:rFonts w:ascii="Arial" w:hAnsi="Arial"/>
          <w:i/>
          <w:color w:val="231F20"/>
          <w:spacing w:val="-14"/>
          <w:w w:val="105"/>
          <w:sz w:val="21"/>
        </w:rPr>
        <w:t> </w:t>
      </w:r>
      <w:r>
        <w:rPr>
          <w:rFonts w:ascii="Arial" w:hAnsi="Arial"/>
          <w:i/>
          <w:color w:val="231F20"/>
          <w:w w:val="105"/>
          <w:sz w:val="21"/>
        </w:rPr>
        <w:t>occidente</w:t>
      </w:r>
      <w:r>
        <w:rPr>
          <w:rFonts w:ascii="Arial" w:hAnsi="Arial"/>
          <w:i/>
          <w:color w:val="231F20"/>
          <w:spacing w:val="-14"/>
          <w:w w:val="105"/>
          <w:sz w:val="21"/>
        </w:rPr>
        <w:t> </w:t>
      </w:r>
      <w:r>
        <w:rPr>
          <w:rFonts w:ascii="Arial" w:hAnsi="Arial"/>
          <w:i/>
          <w:color w:val="231F20"/>
          <w:w w:val="105"/>
          <w:sz w:val="21"/>
        </w:rPr>
        <w:t>de</w:t>
      </w:r>
      <w:r>
        <w:rPr>
          <w:rFonts w:ascii="Arial" w:hAnsi="Arial"/>
          <w:i/>
          <w:color w:val="231F20"/>
          <w:spacing w:val="-14"/>
          <w:w w:val="105"/>
          <w:sz w:val="21"/>
        </w:rPr>
        <w:t> </w:t>
      </w:r>
      <w:r>
        <w:rPr>
          <w:rFonts w:ascii="Arial" w:hAnsi="Arial"/>
          <w:i/>
          <w:color w:val="231F20"/>
          <w:w w:val="105"/>
          <w:sz w:val="21"/>
        </w:rPr>
        <w:t>México</w:t>
      </w:r>
      <w:r>
        <w:rPr>
          <w:color w:val="231F20"/>
          <w:w w:val="105"/>
          <w:sz w:val="21"/>
        </w:rPr>
        <w:t>,</w:t>
      </w:r>
      <w:r>
        <w:rPr>
          <w:color w:val="231F20"/>
          <w:spacing w:val="-16"/>
          <w:w w:val="105"/>
          <w:sz w:val="21"/>
        </w:rPr>
        <w:t> </w:t>
      </w:r>
      <w:r>
        <w:rPr>
          <w:color w:val="231F20"/>
          <w:spacing w:val="-3"/>
          <w:w w:val="105"/>
          <w:sz w:val="21"/>
        </w:rPr>
        <w:t>Zamora,</w:t>
      </w:r>
      <w:r>
        <w:rPr>
          <w:color w:val="231F20"/>
          <w:spacing w:val="-16"/>
          <w:w w:val="105"/>
          <w:sz w:val="21"/>
        </w:rPr>
        <w:t> </w:t>
      </w:r>
      <w:r>
        <w:rPr>
          <w:color w:val="231F20"/>
          <w:w w:val="105"/>
          <w:sz w:val="21"/>
        </w:rPr>
        <w:t>México:</w:t>
      </w:r>
      <w:r>
        <w:rPr>
          <w:color w:val="231F20"/>
          <w:spacing w:val="-11"/>
          <w:w w:val="105"/>
          <w:sz w:val="21"/>
        </w:rPr>
        <w:t> </w:t>
      </w:r>
      <w:r>
        <w:rPr>
          <w:color w:val="231F20"/>
          <w:spacing w:val="-3"/>
          <w:w w:val="105"/>
          <w:sz w:val="17"/>
        </w:rPr>
        <w:t>COLMICH</w:t>
      </w:r>
      <w:r>
        <w:rPr>
          <w:color w:val="231F20"/>
          <w:spacing w:val="-3"/>
          <w:w w:val="105"/>
          <w:sz w:val="21"/>
        </w:rPr>
        <w:t>/Centre </w:t>
      </w:r>
      <w:r>
        <w:rPr>
          <w:color w:val="231F20"/>
          <w:spacing w:val="-4"/>
          <w:w w:val="105"/>
          <w:sz w:val="21"/>
        </w:rPr>
        <w:t>d’études</w:t>
      </w:r>
      <w:r>
        <w:rPr>
          <w:color w:val="231F20"/>
          <w:spacing w:val="-35"/>
          <w:w w:val="105"/>
          <w:sz w:val="21"/>
        </w:rPr>
        <w:t> </w:t>
      </w:r>
      <w:r>
        <w:rPr>
          <w:color w:val="231F20"/>
          <w:w w:val="105"/>
          <w:sz w:val="21"/>
        </w:rPr>
        <w:t>Mexicaines</w:t>
      </w:r>
      <w:r>
        <w:rPr>
          <w:color w:val="231F20"/>
          <w:spacing w:val="-35"/>
          <w:w w:val="105"/>
          <w:sz w:val="21"/>
        </w:rPr>
        <w:t> </w:t>
      </w:r>
      <w:r>
        <w:rPr>
          <w:color w:val="231F20"/>
          <w:w w:val="105"/>
          <w:sz w:val="21"/>
        </w:rPr>
        <w:t>et</w:t>
      </w:r>
      <w:r>
        <w:rPr>
          <w:color w:val="231F20"/>
          <w:spacing w:val="-35"/>
          <w:w w:val="105"/>
          <w:sz w:val="21"/>
        </w:rPr>
        <w:t> </w:t>
      </w:r>
      <w:r>
        <w:rPr>
          <w:color w:val="231F20"/>
          <w:spacing w:val="-3"/>
          <w:w w:val="105"/>
          <w:sz w:val="21"/>
        </w:rPr>
        <w:t>centroamericaines.</w:t>
      </w:r>
    </w:p>
    <w:p>
      <w:pPr>
        <w:spacing w:line="259" w:lineRule="auto" w:before="0"/>
        <w:ind w:left="2432" w:right="1806" w:hanging="737"/>
        <w:jc w:val="both"/>
        <w:rPr>
          <w:sz w:val="21"/>
        </w:rPr>
      </w:pPr>
      <w:r>
        <w:rPr>
          <w:color w:val="231F20"/>
          <w:w w:val="105"/>
          <w:sz w:val="21"/>
        </w:rPr>
        <w:t>Orellana,</w:t>
      </w:r>
      <w:r>
        <w:rPr>
          <w:color w:val="231F20"/>
          <w:spacing w:val="-34"/>
          <w:w w:val="105"/>
          <w:sz w:val="21"/>
        </w:rPr>
        <w:t> </w:t>
      </w:r>
      <w:r>
        <w:rPr>
          <w:color w:val="231F20"/>
          <w:w w:val="105"/>
          <w:sz w:val="21"/>
        </w:rPr>
        <w:t>Nancy,</w:t>
      </w:r>
      <w:r>
        <w:rPr>
          <w:color w:val="231F20"/>
          <w:spacing w:val="-34"/>
          <w:w w:val="105"/>
          <w:sz w:val="21"/>
        </w:rPr>
        <w:t> </w:t>
      </w:r>
      <w:r>
        <w:rPr>
          <w:color w:val="231F20"/>
          <w:w w:val="105"/>
          <w:sz w:val="21"/>
        </w:rPr>
        <w:t>(2002),</w:t>
      </w:r>
      <w:r>
        <w:rPr>
          <w:color w:val="231F20"/>
          <w:spacing w:val="-34"/>
          <w:w w:val="105"/>
          <w:sz w:val="21"/>
        </w:rPr>
        <w:t> </w:t>
      </w:r>
      <w:r>
        <w:rPr>
          <w:rFonts w:ascii="Arial" w:hAnsi="Arial"/>
          <w:i/>
          <w:color w:val="231F20"/>
          <w:w w:val="105"/>
          <w:sz w:val="21"/>
        </w:rPr>
        <w:t>Procesos</w:t>
      </w:r>
      <w:r>
        <w:rPr>
          <w:rFonts w:ascii="Arial" w:hAnsi="Arial"/>
          <w:i/>
          <w:color w:val="231F20"/>
          <w:spacing w:val="-34"/>
          <w:w w:val="105"/>
          <w:sz w:val="21"/>
        </w:rPr>
        <w:t> </w:t>
      </w:r>
      <w:r>
        <w:rPr>
          <w:rFonts w:ascii="Arial" w:hAnsi="Arial"/>
          <w:i/>
          <w:color w:val="231F20"/>
          <w:w w:val="105"/>
          <w:sz w:val="21"/>
        </w:rPr>
        <w:t>migratorios,</w:t>
      </w:r>
      <w:r>
        <w:rPr>
          <w:rFonts w:ascii="Arial" w:hAnsi="Arial"/>
          <w:i/>
          <w:color w:val="231F20"/>
          <w:spacing w:val="-37"/>
          <w:w w:val="105"/>
          <w:sz w:val="21"/>
        </w:rPr>
        <w:t> </w:t>
      </w:r>
      <w:r>
        <w:rPr>
          <w:rFonts w:ascii="Arial" w:hAnsi="Arial"/>
          <w:i/>
          <w:color w:val="231F20"/>
          <w:w w:val="105"/>
          <w:sz w:val="21"/>
        </w:rPr>
        <w:t>equidad</w:t>
      </w:r>
      <w:r>
        <w:rPr>
          <w:rFonts w:ascii="Arial" w:hAnsi="Arial"/>
          <w:i/>
          <w:color w:val="231F20"/>
          <w:spacing w:val="-34"/>
          <w:w w:val="105"/>
          <w:sz w:val="21"/>
        </w:rPr>
        <w:t> </w:t>
      </w:r>
      <w:r>
        <w:rPr>
          <w:rFonts w:ascii="Arial" w:hAnsi="Arial"/>
          <w:i/>
          <w:color w:val="231F20"/>
          <w:w w:val="105"/>
          <w:sz w:val="21"/>
        </w:rPr>
        <w:t>de</w:t>
      </w:r>
      <w:r>
        <w:rPr>
          <w:rFonts w:ascii="Arial" w:hAnsi="Arial"/>
          <w:i/>
          <w:color w:val="231F20"/>
          <w:spacing w:val="-34"/>
          <w:w w:val="105"/>
          <w:sz w:val="21"/>
        </w:rPr>
        <w:t> </w:t>
      </w:r>
      <w:r>
        <w:rPr>
          <w:rFonts w:ascii="Arial" w:hAnsi="Arial"/>
          <w:i/>
          <w:color w:val="231F20"/>
          <w:w w:val="105"/>
          <w:sz w:val="21"/>
        </w:rPr>
        <w:t>género</w:t>
      </w:r>
      <w:r>
        <w:rPr>
          <w:rFonts w:ascii="Arial" w:hAnsi="Arial"/>
          <w:i/>
          <w:color w:val="231F20"/>
          <w:spacing w:val="-34"/>
          <w:w w:val="105"/>
          <w:sz w:val="21"/>
        </w:rPr>
        <w:t> </w:t>
      </w:r>
      <w:r>
        <w:rPr>
          <w:rFonts w:ascii="Arial" w:hAnsi="Arial"/>
          <w:i/>
          <w:color w:val="231F20"/>
          <w:w w:val="105"/>
          <w:sz w:val="21"/>
        </w:rPr>
        <w:t>y</w:t>
      </w:r>
      <w:r>
        <w:rPr>
          <w:rFonts w:ascii="Arial" w:hAnsi="Arial"/>
          <w:i/>
          <w:color w:val="231F20"/>
          <w:spacing w:val="-34"/>
          <w:w w:val="105"/>
          <w:sz w:val="21"/>
        </w:rPr>
        <w:t> </w:t>
      </w:r>
      <w:r>
        <w:rPr>
          <w:rFonts w:ascii="Arial" w:hAnsi="Arial"/>
          <w:i/>
          <w:color w:val="231F20"/>
          <w:w w:val="105"/>
          <w:sz w:val="21"/>
        </w:rPr>
        <w:t>desa- </w:t>
      </w:r>
      <w:r>
        <w:rPr>
          <w:rFonts w:ascii="Arial" w:hAnsi="Arial"/>
          <w:i/>
          <w:color w:val="231F20"/>
          <w:w w:val="105"/>
          <w:sz w:val="21"/>
        </w:rPr>
        <w:t>rrollo</w:t>
      </w:r>
      <w:r>
        <w:rPr>
          <w:rFonts w:ascii="Arial" w:hAnsi="Arial"/>
          <w:i/>
          <w:color w:val="231F20"/>
          <w:spacing w:val="-7"/>
          <w:w w:val="105"/>
          <w:sz w:val="21"/>
        </w:rPr>
        <w:t> </w:t>
      </w:r>
      <w:r>
        <w:rPr>
          <w:rFonts w:ascii="Arial" w:hAnsi="Arial"/>
          <w:i/>
          <w:color w:val="231F20"/>
          <w:w w:val="105"/>
          <w:sz w:val="21"/>
        </w:rPr>
        <w:t>humano:</w:t>
      </w:r>
      <w:r>
        <w:rPr>
          <w:rFonts w:ascii="Arial" w:hAnsi="Arial"/>
          <w:i/>
          <w:color w:val="231F20"/>
          <w:spacing w:val="-7"/>
          <w:w w:val="105"/>
          <w:sz w:val="21"/>
        </w:rPr>
        <w:t> </w:t>
      </w:r>
      <w:r>
        <w:rPr>
          <w:rFonts w:ascii="Arial" w:hAnsi="Arial"/>
          <w:i/>
          <w:color w:val="231F20"/>
          <w:w w:val="105"/>
          <w:sz w:val="21"/>
        </w:rPr>
        <w:t>mujeres</w:t>
      </w:r>
      <w:r>
        <w:rPr>
          <w:rFonts w:ascii="Arial" w:hAnsi="Arial"/>
          <w:i/>
          <w:color w:val="231F20"/>
          <w:spacing w:val="-7"/>
          <w:w w:val="105"/>
          <w:sz w:val="21"/>
        </w:rPr>
        <w:t> </w:t>
      </w:r>
      <w:r>
        <w:rPr>
          <w:rFonts w:ascii="Arial" w:hAnsi="Arial"/>
          <w:i/>
          <w:color w:val="231F20"/>
          <w:w w:val="105"/>
          <w:sz w:val="21"/>
        </w:rPr>
        <w:t>y</w:t>
      </w:r>
      <w:r>
        <w:rPr>
          <w:rFonts w:ascii="Arial" w:hAnsi="Arial"/>
          <w:i/>
          <w:color w:val="231F20"/>
          <w:spacing w:val="-7"/>
          <w:w w:val="105"/>
          <w:sz w:val="21"/>
        </w:rPr>
        <w:t> </w:t>
      </w:r>
      <w:r>
        <w:rPr>
          <w:rFonts w:ascii="Arial" w:hAnsi="Arial"/>
          <w:i/>
          <w:color w:val="231F20"/>
          <w:w w:val="105"/>
          <w:sz w:val="21"/>
        </w:rPr>
        <w:t>migración</w:t>
      </w:r>
      <w:r>
        <w:rPr>
          <w:rFonts w:ascii="Arial" w:hAnsi="Arial"/>
          <w:i/>
          <w:color w:val="231F20"/>
          <w:spacing w:val="-7"/>
          <w:w w:val="105"/>
          <w:sz w:val="21"/>
        </w:rPr>
        <w:t> </w:t>
      </w:r>
      <w:r>
        <w:rPr>
          <w:rFonts w:ascii="Arial" w:hAnsi="Arial"/>
          <w:i/>
          <w:color w:val="231F20"/>
          <w:w w:val="105"/>
          <w:sz w:val="21"/>
        </w:rPr>
        <w:t>masculina</w:t>
      </w:r>
      <w:r>
        <w:rPr>
          <w:rFonts w:ascii="Arial" w:hAnsi="Arial"/>
          <w:i/>
          <w:color w:val="231F20"/>
          <w:spacing w:val="-7"/>
          <w:w w:val="105"/>
          <w:sz w:val="21"/>
        </w:rPr>
        <w:t> </w:t>
      </w:r>
      <w:r>
        <w:rPr>
          <w:rFonts w:ascii="Arial" w:hAnsi="Arial"/>
          <w:i/>
          <w:color w:val="231F20"/>
          <w:w w:val="105"/>
          <w:sz w:val="21"/>
        </w:rPr>
        <w:t>a</w:t>
      </w:r>
      <w:r>
        <w:rPr>
          <w:rFonts w:ascii="Arial" w:hAnsi="Arial"/>
          <w:i/>
          <w:color w:val="231F20"/>
          <w:spacing w:val="-7"/>
          <w:w w:val="105"/>
          <w:sz w:val="21"/>
        </w:rPr>
        <w:t> </w:t>
      </w:r>
      <w:r>
        <w:rPr>
          <w:rFonts w:ascii="Arial" w:hAnsi="Arial"/>
          <w:i/>
          <w:color w:val="231F20"/>
          <w:w w:val="105"/>
          <w:sz w:val="21"/>
        </w:rPr>
        <w:t>Estados</w:t>
      </w:r>
      <w:r>
        <w:rPr>
          <w:rFonts w:ascii="Arial" w:hAnsi="Arial"/>
          <w:i/>
          <w:color w:val="231F20"/>
          <w:spacing w:val="-7"/>
          <w:w w:val="105"/>
          <w:sz w:val="21"/>
        </w:rPr>
        <w:t> </w:t>
      </w:r>
      <w:r>
        <w:rPr>
          <w:rFonts w:ascii="Arial" w:hAnsi="Arial"/>
          <w:i/>
          <w:color w:val="231F20"/>
          <w:w w:val="105"/>
          <w:sz w:val="21"/>
        </w:rPr>
        <w:t>Unidos en</w:t>
      </w:r>
      <w:r>
        <w:rPr>
          <w:rFonts w:ascii="Arial" w:hAnsi="Arial"/>
          <w:i/>
          <w:color w:val="231F20"/>
          <w:spacing w:val="-39"/>
          <w:w w:val="105"/>
          <w:sz w:val="21"/>
        </w:rPr>
        <w:t> </w:t>
      </w:r>
      <w:r>
        <w:rPr>
          <w:rFonts w:ascii="Arial" w:hAnsi="Arial"/>
          <w:i/>
          <w:color w:val="231F20"/>
          <w:w w:val="105"/>
          <w:sz w:val="21"/>
        </w:rPr>
        <w:t>San</w:t>
      </w:r>
      <w:r>
        <w:rPr>
          <w:rFonts w:ascii="Arial" w:hAnsi="Arial"/>
          <w:i/>
          <w:color w:val="231F20"/>
          <w:spacing w:val="-39"/>
          <w:w w:val="105"/>
          <w:sz w:val="21"/>
        </w:rPr>
        <w:t> </w:t>
      </w:r>
      <w:r>
        <w:rPr>
          <w:rFonts w:ascii="Arial" w:hAnsi="Arial"/>
          <w:i/>
          <w:color w:val="231F20"/>
          <w:w w:val="105"/>
          <w:sz w:val="21"/>
        </w:rPr>
        <w:t>Lucas</w:t>
      </w:r>
      <w:r>
        <w:rPr>
          <w:rFonts w:ascii="Arial" w:hAnsi="Arial"/>
          <w:i/>
          <w:color w:val="231F20"/>
          <w:spacing w:val="-39"/>
          <w:w w:val="105"/>
          <w:sz w:val="21"/>
        </w:rPr>
        <w:t> </w:t>
      </w:r>
      <w:r>
        <w:rPr>
          <w:rFonts w:ascii="Arial" w:hAnsi="Arial"/>
          <w:i/>
          <w:color w:val="231F20"/>
          <w:w w:val="105"/>
          <w:sz w:val="21"/>
        </w:rPr>
        <w:t>Quivini</w:t>
      </w:r>
      <w:r>
        <w:rPr>
          <w:color w:val="231F20"/>
          <w:w w:val="105"/>
          <w:sz w:val="21"/>
        </w:rPr>
        <w:t>,</w:t>
      </w:r>
      <w:r>
        <w:rPr>
          <w:color w:val="231F20"/>
          <w:spacing w:val="-37"/>
          <w:w w:val="105"/>
          <w:sz w:val="21"/>
        </w:rPr>
        <w:t> </w:t>
      </w:r>
      <w:r>
        <w:rPr>
          <w:rFonts w:ascii="Arial" w:hAnsi="Arial"/>
          <w:i/>
          <w:color w:val="231F20"/>
          <w:w w:val="105"/>
          <w:sz w:val="21"/>
        </w:rPr>
        <w:t>Oaxaca</w:t>
      </w:r>
      <w:r>
        <w:rPr>
          <w:rFonts w:ascii="Arial" w:hAnsi="Arial"/>
          <w:i/>
          <w:color w:val="231F20"/>
          <w:spacing w:val="-39"/>
          <w:w w:val="105"/>
          <w:sz w:val="21"/>
        </w:rPr>
        <w:t> </w:t>
      </w:r>
      <w:r>
        <w:rPr>
          <w:color w:val="231F20"/>
          <w:spacing w:val="-4"/>
          <w:w w:val="105"/>
          <w:sz w:val="21"/>
        </w:rPr>
        <w:t>(Tesis</w:t>
      </w:r>
      <w:r>
        <w:rPr>
          <w:color w:val="231F20"/>
          <w:spacing w:val="-37"/>
          <w:w w:val="105"/>
          <w:sz w:val="21"/>
        </w:rPr>
        <w:t> </w:t>
      </w:r>
      <w:r>
        <w:rPr>
          <w:color w:val="231F20"/>
          <w:w w:val="105"/>
          <w:sz w:val="21"/>
        </w:rPr>
        <w:t>de</w:t>
      </w:r>
      <w:r>
        <w:rPr>
          <w:color w:val="231F20"/>
          <w:spacing w:val="-37"/>
          <w:w w:val="105"/>
          <w:sz w:val="21"/>
        </w:rPr>
        <w:t> </w:t>
      </w:r>
      <w:r>
        <w:rPr>
          <w:color w:val="231F20"/>
          <w:w w:val="105"/>
          <w:sz w:val="21"/>
        </w:rPr>
        <w:t>maestría),</w:t>
      </w:r>
      <w:r>
        <w:rPr>
          <w:color w:val="231F20"/>
          <w:spacing w:val="-40"/>
          <w:w w:val="105"/>
          <w:sz w:val="21"/>
        </w:rPr>
        <w:t> </w:t>
      </w:r>
      <w:r>
        <w:rPr>
          <w:color w:val="231F20"/>
          <w:w w:val="105"/>
          <w:sz w:val="21"/>
        </w:rPr>
        <w:t>Colegio</w:t>
      </w:r>
      <w:r>
        <w:rPr>
          <w:color w:val="231F20"/>
          <w:spacing w:val="-37"/>
          <w:w w:val="105"/>
          <w:sz w:val="21"/>
        </w:rPr>
        <w:t> </w:t>
      </w:r>
      <w:r>
        <w:rPr>
          <w:color w:val="231F20"/>
          <w:w w:val="105"/>
          <w:sz w:val="21"/>
        </w:rPr>
        <w:t>de</w:t>
      </w:r>
      <w:r>
        <w:rPr>
          <w:color w:val="231F20"/>
          <w:spacing w:val="-37"/>
          <w:w w:val="105"/>
          <w:sz w:val="21"/>
        </w:rPr>
        <w:t> </w:t>
      </w:r>
      <w:r>
        <w:rPr>
          <w:color w:val="231F20"/>
          <w:spacing w:val="-4"/>
          <w:w w:val="105"/>
          <w:sz w:val="21"/>
        </w:rPr>
        <w:t>Post- </w:t>
      </w:r>
      <w:r>
        <w:rPr>
          <w:color w:val="231F20"/>
          <w:w w:val="105"/>
          <w:sz w:val="21"/>
        </w:rPr>
        <w:t>graduados,</w:t>
      </w:r>
      <w:r>
        <w:rPr>
          <w:color w:val="231F20"/>
          <w:spacing w:val="-44"/>
          <w:w w:val="105"/>
          <w:sz w:val="21"/>
        </w:rPr>
        <w:t> </w:t>
      </w:r>
      <w:r>
        <w:rPr>
          <w:color w:val="231F20"/>
          <w:spacing w:val="-4"/>
          <w:w w:val="105"/>
          <w:sz w:val="21"/>
        </w:rPr>
        <w:t>Texcoco,</w:t>
      </w:r>
      <w:r>
        <w:rPr>
          <w:color w:val="231F20"/>
          <w:spacing w:val="-42"/>
          <w:w w:val="105"/>
          <w:sz w:val="21"/>
        </w:rPr>
        <w:t> </w:t>
      </w:r>
      <w:r>
        <w:rPr>
          <w:color w:val="231F20"/>
          <w:w w:val="105"/>
          <w:sz w:val="21"/>
        </w:rPr>
        <w:t>México.</w:t>
      </w:r>
    </w:p>
    <w:p>
      <w:pPr>
        <w:spacing w:line="261" w:lineRule="auto" w:before="3"/>
        <w:ind w:left="2432" w:right="1800" w:hanging="738"/>
        <w:jc w:val="both"/>
        <w:rPr>
          <w:sz w:val="21"/>
        </w:rPr>
      </w:pPr>
      <w:r>
        <w:rPr>
          <w:color w:val="231F20"/>
          <w:sz w:val="21"/>
        </w:rPr>
        <w:t>Ramos Tovar, Elena, (2012), “Dolor y gozo: la estructura psíquica de las familias transnacionales, </w:t>
      </w:r>
      <w:r>
        <w:rPr>
          <w:rFonts w:ascii="Arial" w:hAnsi="Arial"/>
          <w:i/>
          <w:color w:val="231F20"/>
          <w:sz w:val="21"/>
        </w:rPr>
        <w:t>Revista Migración y desarrollo</w:t>
      </w:r>
      <w:r>
        <w:rPr>
          <w:color w:val="231F20"/>
          <w:sz w:val="21"/>
        </w:rPr>
        <w:t>, núm. 10, vol. 18.</w:t>
      </w:r>
    </w:p>
    <w:p>
      <w:pPr>
        <w:pStyle w:val="BodyText"/>
        <w:rPr>
          <w:sz w:val="20"/>
        </w:rPr>
      </w:pPr>
    </w:p>
    <w:p>
      <w:pPr>
        <w:pStyle w:val="BodyText"/>
        <w:rPr>
          <w:sz w:val="20"/>
        </w:rPr>
      </w:pPr>
    </w:p>
    <w:p>
      <w:pPr>
        <w:pStyle w:val="BodyText"/>
        <w:rPr>
          <w:sz w:val="20"/>
        </w:rPr>
      </w:pPr>
    </w:p>
    <w:p>
      <w:pPr>
        <w:pStyle w:val="BodyText"/>
        <w:spacing w:before="10"/>
        <w:rPr>
          <w:sz w:val="28"/>
        </w:rPr>
      </w:pPr>
    </w:p>
    <w:p>
      <w:pPr>
        <w:tabs>
          <w:tab w:pos="2937" w:val="left" w:leader="none"/>
        </w:tabs>
        <w:spacing w:before="71"/>
        <w:ind w:left="1832" w:right="0" w:firstLine="0"/>
        <w:jc w:val="left"/>
        <w:rPr>
          <w:rFonts w:ascii="Calibri" w:hAnsi="Calibri"/>
          <w:sz w:val="15"/>
        </w:rPr>
      </w:pPr>
      <w:r>
        <w:rPr/>
        <w:pict>
          <v:line style="position:absolute;mso-position-horizontal-relative:page;mso-position-vertical-relative:paragraph;z-index:-441832" from="131.551193pt,3.753715pt" to="131.551193pt,39.556114pt" stroked="true" strokeweight=".35pt" strokecolor="#231f20">
            <w10:wrap type="none"/>
          </v:line>
        </w:pict>
      </w:r>
      <w:r>
        <w:rPr/>
        <w:pict>
          <v:line style="position:absolute;mso-position-horizontal-relative:page;mso-position-vertical-relative:paragraph;z-index:-441760" from="15pt,39.555916pt" to="0pt,39.555916pt" stroked="true" strokeweight=".25pt" strokecolor="#000000">
            <w10:wrap type="none"/>
          </v:line>
        </w:pict>
      </w:r>
      <w:r>
        <w:rPr/>
        <w:pict>
          <v:line style="position:absolute;mso-position-horizontal-relative:page;mso-position-vertical-relative:paragraph;z-index:48448" from="508.890015pt,39.555916pt" to="523.890015pt,39.555916pt" stroked="true" strokeweight=".25pt" strokecolor="#000000">
            <w10:wrap type="none"/>
          </v:line>
        </w:pict>
      </w:r>
      <w:r>
        <w:rPr>
          <w:rFonts w:ascii="Arial" w:hAnsi="Arial"/>
          <w:color w:val="414042"/>
          <w:w w:val="105"/>
          <w:position w:val="-5"/>
          <w:sz w:val="20"/>
        </w:rPr>
        <w:t>418</w:t>
        <w:tab/>
      </w:r>
      <w:r>
        <w:rPr>
          <w:rFonts w:ascii="Calibri" w:hAnsi="Calibri"/>
          <w:color w:val="6D6E71"/>
          <w:w w:val="105"/>
          <w:sz w:val="15"/>
        </w:rPr>
        <w:t>Fabiana Sánchez</w:t>
      </w:r>
      <w:r>
        <w:rPr>
          <w:rFonts w:ascii="Calibri" w:hAnsi="Calibri"/>
          <w:color w:val="6D6E71"/>
          <w:spacing w:val="-25"/>
          <w:w w:val="105"/>
          <w:sz w:val="15"/>
        </w:rPr>
        <w:t> </w:t>
      </w:r>
      <w:r>
        <w:rPr>
          <w:rFonts w:ascii="Calibri" w:hAnsi="Calibri"/>
          <w:color w:val="6D6E71"/>
          <w:w w:val="105"/>
          <w:sz w:val="15"/>
        </w:rPr>
        <w:t>Plata</w:t>
      </w:r>
    </w:p>
    <w:p>
      <w:pPr>
        <w:spacing w:after="0"/>
        <w:jc w:val="left"/>
        <w:rPr>
          <w:rFonts w:ascii="Calibri" w:hAnsi="Calibri"/>
          <w:sz w:val="15"/>
        </w:rPr>
        <w:sectPr>
          <w:pgSz w:w="10480" w:h="14730"/>
          <w:pgMar w:header="0" w:footer="103" w:top="300" w:bottom="300" w:left="0" w:right="0"/>
        </w:sectPr>
      </w:pPr>
    </w:p>
    <w:p>
      <w:pPr>
        <w:pStyle w:val="BodyText"/>
        <w:rPr>
          <w:rFonts w:ascii="Calibri"/>
          <w:sz w:val="20"/>
        </w:rPr>
      </w:pPr>
    </w:p>
    <w:p>
      <w:pPr>
        <w:pStyle w:val="BodyText"/>
        <w:rPr>
          <w:rFonts w:ascii="Calibri"/>
          <w:sz w:val="20"/>
        </w:rPr>
      </w:pPr>
    </w:p>
    <w:p>
      <w:pPr>
        <w:spacing w:after="0"/>
        <w:rPr>
          <w:rFonts w:ascii="Calibri"/>
          <w:sz w:val="20"/>
        </w:rPr>
        <w:sectPr>
          <w:footerReference w:type="default" r:id="rId388"/>
          <w:pgSz w:w="10480" w:h="14730"/>
          <w:pgMar w:footer="223" w:header="0" w:top="300" w:bottom="420" w:left="0" w:right="0"/>
        </w:sectPr>
      </w:pPr>
    </w:p>
    <w:p>
      <w:pPr>
        <w:pStyle w:val="BodyText"/>
        <w:spacing w:before="1"/>
        <w:rPr>
          <w:rFonts w:ascii="Calibri"/>
          <w:sz w:val="16"/>
        </w:rPr>
      </w:pPr>
    </w:p>
    <w:p>
      <w:pPr>
        <w:spacing w:line="180" w:lineRule="exact" w:before="0"/>
        <w:ind w:left="4324" w:right="-11" w:hanging="501"/>
        <w:jc w:val="left"/>
        <w:rPr>
          <w:rFonts w:ascii="Lucida Sans Unicode" w:hAnsi="Lucida Sans Unicode"/>
          <w:sz w:val="14"/>
        </w:rPr>
      </w:pPr>
      <w:r>
        <w:rPr/>
        <w:pict>
          <v:line style="position:absolute;mso-position-horizontal-relative:page;mso-position-vertical-relative:paragraph;z-index:48472" from="405.061005pt,-28.381052pt" to="405.061005pt,6.484822pt" stroked="true" strokeweight=".35pt" strokecolor="#231f20">
            <w10:wrap type="none"/>
          </v:line>
        </w:pict>
      </w:r>
      <w:r>
        <w:rPr>
          <w:rFonts w:ascii="Lucida Sans Unicode" w:hAnsi="Lucida Sans Unicode"/>
          <w:color w:val="6D6E71"/>
          <w:sz w:val="14"/>
        </w:rPr>
        <w:t>Lo emocionaL en eL vaivén de Los migrantes no autorizados deL noroeste deL estado de méxico a estados unidos</w:t>
      </w:r>
    </w:p>
    <w:p>
      <w:pPr>
        <w:pStyle w:val="BodyText"/>
        <w:spacing w:before="10"/>
        <w:rPr>
          <w:rFonts w:ascii="Lucida Sans Unicode"/>
          <w:sz w:val="12"/>
        </w:rPr>
      </w:pPr>
      <w:r>
        <w:rPr/>
        <w:br w:type="column"/>
      </w:r>
      <w:r>
        <w:rPr>
          <w:rFonts w:ascii="Lucida Sans Unicode"/>
          <w:sz w:val="12"/>
        </w:rPr>
      </w:r>
    </w:p>
    <w:p>
      <w:pPr>
        <w:spacing w:before="0"/>
        <w:ind w:left="338" w:right="0" w:firstLine="0"/>
        <w:jc w:val="left"/>
        <w:rPr>
          <w:rFonts w:ascii="Arial"/>
          <w:sz w:val="20"/>
        </w:rPr>
      </w:pPr>
      <w:r>
        <w:rPr/>
        <w:pict>
          <v:line style="position:absolute;mso-position-horizontal-relative:page;mso-position-vertical-relative:paragraph;z-index:48496" from="15pt,-28.286539pt" to="0pt,-28.286539pt" stroked="true" strokeweight=".25pt" strokecolor="#000000">
            <w10:wrap type="none"/>
          </v:line>
        </w:pict>
      </w:r>
      <w:r>
        <w:rPr/>
        <w:pict>
          <v:line style="position:absolute;mso-position-horizontal-relative:page;mso-position-vertical-relative:paragraph;z-index:48520" from="508.890015pt,-28.286539pt" to="523.890015pt,-28.286539pt" stroked="true" strokeweight=".25pt" strokecolor="#000000">
            <w10:wrap type="none"/>
          </v:line>
        </w:pict>
      </w:r>
      <w:r>
        <w:rPr>
          <w:rFonts w:ascii="Arial"/>
          <w:color w:val="414042"/>
          <w:sz w:val="20"/>
        </w:rPr>
        <w:t>419</w:t>
      </w:r>
    </w:p>
    <w:p>
      <w:pPr>
        <w:spacing w:after="0"/>
        <w:jc w:val="left"/>
        <w:rPr>
          <w:rFonts w:ascii="Arial"/>
          <w:sz w:val="20"/>
        </w:rPr>
        <w:sectPr>
          <w:type w:val="continuous"/>
          <w:pgSz w:w="10480" w:h="14730"/>
          <w:pgMar w:top="0" w:bottom="0" w:left="0" w:right="0"/>
          <w:cols w:num="2" w:equalWidth="0">
            <w:col w:w="7981" w:space="40"/>
            <w:col w:w="2459"/>
          </w:cols>
        </w:sectPr>
      </w:pPr>
    </w:p>
    <w:p>
      <w:pPr>
        <w:pStyle w:val="BodyText"/>
        <w:rPr>
          <w:rFonts w:ascii="Arial"/>
          <w:sz w:val="20"/>
        </w:rPr>
      </w:pPr>
    </w:p>
    <w:p>
      <w:pPr>
        <w:pStyle w:val="BodyText"/>
        <w:spacing w:before="8"/>
        <w:rPr>
          <w:rFonts w:ascii="Arial"/>
          <w:sz w:val="18"/>
        </w:rPr>
      </w:pPr>
    </w:p>
    <w:p>
      <w:pPr>
        <w:spacing w:line="261" w:lineRule="auto" w:before="61"/>
        <w:ind w:left="2574" w:right="1715" w:hanging="738"/>
        <w:jc w:val="both"/>
        <w:rPr>
          <w:sz w:val="21"/>
        </w:rPr>
      </w:pPr>
      <w:r>
        <w:rPr>
          <w:color w:val="231F20"/>
          <w:sz w:val="21"/>
        </w:rPr>
        <w:t>Sánchez, Fabiana, (2004), “Migración y remesas: dos aliados del empo- deramiento individual de las mujeres de la Charca, Atoyac, </w:t>
      </w:r>
      <w:r>
        <w:rPr>
          <w:color w:val="231F20"/>
          <w:spacing w:val="-3"/>
          <w:sz w:val="21"/>
        </w:rPr>
        <w:t>Vera- </w:t>
      </w:r>
      <w:r>
        <w:rPr>
          <w:color w:val="231F20"/>
          <w:spacing w:val="-5"/>
          <w:sz w:val="21"/>
        </w:rPr>
        <w:t>cruz”, </w:t>
      </w:r>
      <w:r>
        <w:rPr>
          <w:color w:val="231F20"/>
          <w:sz w:val="21"/>
        </w:rPr>
        <w:t>en Emma Zapata y Blanca Suárez (coords.), R</w:t>
      </w:r>
      <w:r>
        <w:rPr>
          <w:rFonts w:ascii="Arial" w:hAnsi="Arial"/>
          <w:i/>
          <w:color w:val="231F20"/>
          <w:sz w:val="21"/>
        </w:rPr>
        <w:t>emesas, mila- </w:t>
      </w:r>
      <w:r>
        <w:rPr>
          <w:rFonts w:ascii="Arial" w:hAnsi="Arial"/>
          <w:i/>
          <w:color w:val="231F20"/>
          <w:sz w:val="21"/>
        </w:rPr>
        <w:t>gros y mucho más realizan las mujeres indígenas y campesinas</w:t>
      </w:r>
      <w:r>
        <w:rPr>
          <w:color w:val="231F20"/>
          <w:sz w:val="21"/>
        </w:rPr>
        <w:t>, México: Serie </w:t>
      </w:r>
      <w:r>
        <w:rPr>
          <w:color w:val="231F20"/>
          <w:sz w:val="17"/>
        </w:rPr>
        <w:t>PEMSAG</w:t>
      </w:r>
      <w:r>
        <w:rPr>
          <w:color w:val="231F20"/>
          <w:sz w:val="21"/>
        </w:rPr>
        <w:t>/</w:t>
      </w:r>
      <w:r>
        <w:rPr>
          <w:color w:val="231F20"/>
          <w:sz w:val="17"/>
        </w:rPr>
        <w:t>GIMTRAP</w:t>
      </w:r>
      <w:r>
        <w:rPr>
          <w:color w:val="231F20"/>
          <w:sz w:val="21"/>
        </w:rPr>
        <w:t>.</w:t>
      </w:r>
    </w:p>
    <w:p>
      <w:pPr>
        <w:pStyle w:val="BodyText"/>
        <w:spacing w:line="259" w:lineRule="auto" w:before="1"/>
        <w:ind w:left="2574" w:right="1721" w:hanging="738"/>
        <w:jc w:val="both"/>
      </w:pPr>
      <w:r>
        <w:rPr>
          <w:color w:val="231F20"/>
        </w:rPr>
        <w:t>Sánchez, Fabiana y Vizcarra, Ivonne, (2009), “Tres generaciones de mi- grantes transnacionales del valle de Solís, Estado de México”, </w:t>
      </w:r>
      <w:r>
        <w:rPr>
          <w:rFonts w:ascii="Arial" w:hAnsi="Arial"/>
          <w:i/>
          <w:color w:val="231F20"/>
        </w:rPr>
        <w:t>Pa- </w:t>
      </w:r>
      <w:r>
        <w:rPr>
          <w:rFonts w:ascii="Arial" w:hAnsi="Arial"/>
          <w:i/>
          <w:color w:val="231F20"/>
        </w:rPr>
        <w:t>peles de población</w:t>
      </w:r>
      <w:r>
        <w:rPr>
          <w:color w:val="231F20"/>
        </w:rPr>
        <w:t>, vol. 15, núm.  62.</w:t>
      </w:r>
    </w:p>
    <w:p>
      <w:pPr>
        <w:pStyle w:val="BodyText"/>
        <w:tabs>
          <w:tab w:pos="2677" w:val="left" w:leader="none"/>
        </w:tabs>
        <w:spacing w:line="261" w:lineRule="auto" w:before="3"/>
        <w:ind w:left="2574" w:right="1715" w:hanging="738"/>
        <w:jc w:val="both"/>
      </w:pPr>
      <w:r>
        <w:rPr>
          <w:w w:val="94"/>
          <w:u w:val="single"/>
        </w:rPr>
        <w:t> </w:t>
      </w:r>
      <w:r>
        <w:rPr>
          <w:u w:val="single"/>
        </w:rPr>
        <w:tab/>
        <w:tab/>
      </w:r>
      <w:r>
        <w:rPr>
          <w:spacing w:val="14"/>
        </w:rPr>
        <w:t> </w:t>
      </w:r>
      <w:r>
        <w:rPr>
          <w:w w:val="105"/>
        </w:rPr>
        <w:t>(2012), </w:t>
      </w:r>
      <w:r>
        <w:rPr>
          <w:spacing w:val="-4"/>
          <w:w w:val="105"/>
        </w:rPr>
        <w:t>“Así </w:t>
      </w:r>
      <w:r>
        <w:rPr>
          <w:w w:val="105"/>
        </w:rPr>
        <w:t>construí ‘mi’ casa: entre relaciones de género</w:t>
      </w:r>
      <w:r>
        <w:rPr>
          <w:spacing w:val="-1"/>
          <w:w w:val="105"/>
        </w:rPr>
        <w:t> </w:t>
      </w:r>
      <w:r>
        <w:rPr>
          <w:w w:val="105"/>
        </w:rPr>
        <w:t>y el</w:t>
      </w:r>
      <w:r>
        <w:rPr>
          <w:w w:val="105"/>
        </w:rPr>
        <w:t> </w:t>
      </w:r>
      <w:r>
        <w:rPr>
          <w:w w:val="105"/>
        </w:rPr>
        <w:t>(otro)</w:t>
      </w:r>
      <w:r>
        <w:rPr>
          <w:spacing w:val="-9"/>
          <w:w w:val="105"/>
        </w:rPr>
        <w:t> </w:t>
      </w:r>
      <w:r>
        <w:rPr>
          <w:w w:val="105"/>
        </w:rPr>
        <w:t>sueño</w:t>
      </w:r>
      <w:r>
        <w:rPr>
          <w:spacing w:val="-9"/>
          <w:w w:val="105"/>
        </w:rPr>
        <w:t> </w:t>
      </w:r>
      <w:r>
        <w:rPr>
          <w:w w:val="105"/>
        </w:rPr>
        <w:t>americano</w:t>
      </w:r>
      <w:r>
        <w:rPr>
          <w:spacing w:val="-9"/>
          <w:w w:val="105"/>
        </w:rPr>
        <w:t> </w:t>
      </w:r>
      <w:r>
        <w:rPr>
          <w:w w:val="105"/>
        </w:rPr>
        <w:t>de</w:t>
      </w:r>
      <w:r>
        <w:rPr>
          <w:spacing w:val="-9"/>
          <w:w w:val="105"/>
        </w:rPr>
        <w:t> </w:t>
      </w:r>
      <w:r>
        <w:rPr>
          <w:w w:val="105"/>
        </w:rPr>
        <w:t>las</w:t>
      </w:r>
      <w:r>
        <w:rPr>
          <w:spacing w:val="-9"/>
          <w:w w:val="105"/>
        </w:rPr>
        <w:t> </w:t>
      </w:r>
      <w:r>
        <w:rPr>
          <w:w w:val="105"/>
        </w:rPr>
        <w:t>parejas</w:t>
      </w:r>
      <w:r>
        <w:rPr>
          <w:spacing w:val="-9"/>
          <w:w w:val="105"/>
        </w:rPr>
        <w:t> </w:t>
      </w:r>
      <w:r>
        <w:rPr>
          <w:w w:val="105"/>
        </w:rPr>
        <w:t>de</w:t>
      </w:r>
      <w:r>
        <w:rPr>
          <w:spacing w:val="-9"/>
          <w:w w:val="105"/>
        </w:rPr>
        <w:t> </w:t>
      </w:r>
      <w:r>
        <w:rPr>
          <w:w w:val="105"/>
        </w:rPr>
        <w:t>migrantes</w:t>
      </w:r>
      <w:r>
        <w:rPr>
          <w:spacing w:val="-9"/>
          <w:w w:val="105"/>
        </w:rPr>
        <w:t> </w:t>
      </w:r>
      <w:r>
        <w:rPr>
          <w:spacing w:val="-3"/>
          <w:w w:val="105"/>
        </w:rPr>
        <w:t>mexicanos”, </w:t>
      </w:r>
      <w:r>
        <w:rPr>
          <w:rFonts w:ascii="Arial" w:hAnsi="Arial"/>
          <w:i/>
          <w:w w:val="105"/>
        </w:rPr>
        <w:t>Alteridades</w:t>
      </w:r>
      <w:r>
        <w:rPr>
          <w:w w:val="105"/>
        </w:rPr>
        <w:t>,</w:t>
      </w:r>
      <w:r>
        <w:rPr>
          <w:spacing w:val="-25"/>
          <w:w w:val="105"/>
        </w:rPr>
        <w:t> </w:t>
      </w:r>
      <w:r>
        <w:rPr>
          <w:w w:val="105"/>
        </w:rPr>
        <w:t>vol.</w:t>
      </w:r>
      <w:r>
        <w:rPr>
          <w:spacing w:val="-25"/>
          <w:w w:val="105"/>
        </w:rPr>
        <w:t> </w:t>
      </w:r>
      <w:r>
        <w:rPr>
          <w:w w:val="105"/>
        </w:rPr>
        <w:t>22,</w:t>
      </w:r>
      <w:r>
        <w:rPr>
          <w:spacing w:val="-25"/>
          <w:w w:val="105"/>
        </w:rPr>
        <w:t> </w:t>
      </w:r>
      <w:r>
        <w:rPr>
          <w:w w:val="105"/>
        </w:rPr>
        <w:t>núm.</w:t>
      </w:r>
      <w:r>
        <w:rPr>
          <w:spacing w:val="-25"/>
          <w:w w:val="105"/>
        </w:rPr>
        <w:t> </w:t>
      </w:r>
      <w:r>
        <w:rPr>
          <w:w w:val="105"/>
        </w:rPr>
        <w:t>44.</w:t>
      </w:r>
    </w:p>
    <w:p>
      <w:pPr>
        <w:spacing w:line="259" w:lineRule="auto" w:before="0"/>
        <w:ind w:left="2574" w:right="1721" w:hanging="738"/>
        <w:jc w:val="both"/>
        <w:rPr>
          <w:sz w:val="21"/>
        </w:rPr>
      </w:pPr>
      <w:r>
        <w:rPr>
          <w:sz w:val="21"/>
        </w:rPr>
        <w:t>Soto, Paula, (2013), “Repensar las prácticas espaciales. Rupturas y conti- nuidades en la experiencia cotidiana de mujeres urbanas de la Ciudad de México”, </w:t>
      </w:r>
      <w:r>
        <w:rPr>
          <w:rFonts w:ascii="Arial" w:hAnsi="Arial"/>
          <w:i/>
          <w:sz w:val="21"/>
        </w:rPr>
        <w:t>Revista Latino-Americana de Geografía e Gê- </w:t>
      </w:r>
      <w:r>
        <w:rPr>
          <w:rFonts w:ascii="Arial" w:hAnsi="Arial"/>
          <w:i/>
          <w:sz w:val="21"/>
        </w:rPr>
        <w:t>nero</w:t>
      </w:r>
      <w:r>
        <w:rPr>
          <w:sz w:val="21"/>
        </w:rPr>
        <w:t>, vol. 4, núm. 2.</w:t>
      </w:r>
    </w:p>
    <w:p>
      <w:pPr>
        <w:spacing w:after="0" w:line="259" w:lineRule="auto"/>
        <w:jc w:val="both"/>
        <w:rPr>
          <w:sz w:val="21"/>
        </w:rPr>
        <w:sectPr>
          <w:type w:val="continuous"/>
          <w:pgSz w:w="10480" w:h="14730"/>
          <w:pgMar w:top="0" w:bottom="0" w:left="0" w:right="0"/>
        </w:sectPr>
      </w:pPr>
    </w:p>
    <w:p>
      <w:pPr>
        <w:pStyle w:val="BodyText"/>
        <w:spacing w:before="4"/>
        <w:rPr>
          <w:rFonts w:ascii="Times New Roman"/>
          <w:sz w:val="17"/>
        </w:rPr>
      </w:pPr>
    </w:p>
    <w:p>
      <w:pPr>
        <w:spacing w:after="0"/>
        <w:rPr>
          <w:rFonts w:ascii="Times New Roman"/>
          <w:sz w:val="17"/>
        </w:rPr>
        <w:sectPr>
          <w:headerReference w:type="default" r:id="rId389"/>
          <w:footerReference w:type="default" r:id="rId390"/>
          <w:pgSz w:w="10480" w:h="14730"/>
          <w:pgMar w:header="0" w:footer="223" w:top="42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9"/>
        </w:rPr>
      </w:pPr>
    </w:p>
    <w:p>
      <w:pPr>
        <w:spacing w:line="249" w:lineRule="auto" w:before="71"/>
        <w:ind w:left="3116" w:right="3001" w:firstLine="0"/>
        <w:jc w:val="center"/>
        <w:rPr>
          <w:rFonts w:ascii="Times New Roman" w:hAnsi="Times New Roman"/>
          <w:i/>
          <w:sz w:val="18"/>
        </w:rPr>
      </w:pPr>
      <w:r>
        <w:rPr>
          <w:rFonts w:ascii="Times New Roman" w:hAnsi="Times New Roman"/>
          <w:i/>
          <w:color w:val="58595B"/>
          <w:sz w:val="18"/>
        </w:rPr>
        <w:t>Continuidades y cambios en las migraciones de México a </w:t>
      </w:r>
      <w:r>
        <w:rPr>
          <w:rFonts w:ascii="Times New Roman" w:hAnsi="Times New Roman"/>
          <w:i/>
          <w:color w:val="58595B"/>
          <w:sz w:val="18"/>
        </w:rPr>
        <w:t>Estados Unidos. Tendencias en la circulación, experiencias y resignificaciones de la migración y el retorno en el Estado de México</w:t>
      </w:r>
    </w:p>
    <w:p>
      <w:pPr>
        <w:pStyle w:val="BodyText"/>
        <w:spacing w:before="11"/>
        <w:rPr>
          <w:rFonts w:ascii="Times New Roman"/>
          <w:i/>
          <w:sz w:val="15"/>
        </w:rPr>
      </w:pPr>
    </w:p>
    <w:p>
      <w:pPr>
        <w:spacing w:line="271" w:lineRule="auto" w:before="0"/>
        <w:ind w:left="3073" w:right="2956" w:firstLine="0"/>
        <w:jc w:val="both"/>
        <w:rPr>
          <w:rFonts w:ascii="Arial" w:hAnsi="Arial"/>
          <w:sz w:val="17"/>
        </w:rPr>
      </w:pPr>
      <w:r>
        <w:rPr>
          <w:rFonts w:ascii="Arial" w:hAnsi="Arial"/>
          <w:color w:val="231F20"/>
          <w:sz w:val="17"/>
        </w:rPr>
        <w:t>coordinado por Jorge Olvera García y Norma Baca Tavira, se</w:t>
      </w:r>
      <w:r>
        <w:rPr>
          <w:rFonts w:ascii="Arial" w:hAnsi="Arial"/>
          <w:color w:val="231F20"/>
          <w:spacing w:val="-7"/>
          <w:sz w:val="17"/>
        </w:rPr>
        <w:t> </w:t>
      </w:r>
      <w:r>
        <w:rPr>
          <w:rFonts w:ascii="Arial" w:hAnsi="Arial"/>
          <w:color w:val="231F20"/>
          <w:sz w:val="17"/>
        </w:rPr>
        <w:t>terminó</w:t>
      </w:r>
      <w:r>
        <w:rPr>
          <w:rFonts w:ascii="Arial" w:hAnsi="Arial"/>
          <w:color w:val="231F20"/>
          <w:spacing w:val="-7"/>
          <w:sz w:val="17"/>
        </w:rPr>
        <w:t> </w:t>
      </w:r>
      <w:r>
        <w:rPr>
          <w:rFonts w:ascii="Arial" w:hAnsi="Arial"/>
          <w:color w:val="231F20"/>
          <w:sz w:val="17"/>
        </w:rPr>
        <w:t>de</w:t>
      </w:r>
      <w:r>
        <w:rPr>
          <w:rFonts w:ascii="Arial" w:hAnsi="Arial"/>
          <w:color w:val="231F20"/>
          <w:spacing w:val="-7"/>
          <w:sz w:val="17"/>
        </w:rPr>
        <w:t> </w:t>
      </w:r>
      <w:r>
        <w:rPr>
          <w:rFonts w:ascii="Arial" w:hAnsi="Arial"/>
          <w:color w:val="231F20"/>
          <w:sz w:val="17"/>
        </w:rPr>
        <w:t>imprimir</w:t>
      </w:r>
      <w:r>
        <w:rPr>
          <w:rFonts w:ascii="Arial" w:hAnsi="Arial"/>
          <w:color w:val="231F20"/>
          <w:spacing w:val="-7"/>
          <w:sz w:val="17"/>
        </w:rPr>
        <w:t> </w:t>
      </w:r>
      <w:r>
        <w:rPr>
          <w:rFonts w:ascii="Arial" w:hAnsi="Arial"/>
          <w:color w:val="231F20"/>
          <w:sz w:val="17"/>
        </w:rPr>
        <w:t>en</w:t>
      </w:r>
      <w:r>
        <w:rPr>
          <w:rFonts w:ascii="Arial" w:hAnsi="Arial"/>
          <w:color w:val="231F20"/>
          <w:spacing w:val="-7"/>
          <w:sz w:val="17"/>
        </w:rPr>
        <w:t> </w:t>
      </w:r>
      <w:r>
        <w:rPr>
          <w:rFonts w:ascii="Arial" w:hAnsi="Arial"/>
          <w:color w:val="231F20"/>
          <w:sz w:val="17"/>
        </w:rPr>
        <w:t>agosto</w:t>
      </w:r>
      <w:r>
        <w:rPr>
          <w:rFonts w:ascii="Arial" w:hAnsi="Arial"/>
          <w:color w:val="231F20"/>
          <w:spacing w:val="-7"/>
          <w:sz w:val="17"/>
        </w:rPr>
        <w:t> </w:t>
      </w:r>
      <w:r>
        <w:rPr>
          <w:rFonts w:ascii="Arial" w:hAnsi="Arial"/>
          <w:color w:val="231F20"/>
          <w:sz w:val="17"/>
        </w:rPr>
        <w:t>de</w:t>
      </w:r>
      <w:r>
        <w:rPr>
          <w:rFonts w:ascii="Arial" w:hAnsi="Arial"/>
          <w:color w:val="231F20"/>
          <w:spacing w:val="-7"/>
          <w:sz w:val="17"/>
        </w:rPr>
        <w:t> </w:t>
      </w:r>
      <w:r>
        <w:rPr>
          <w:rFonts w:ascii="Arial" w:hAnsi="Arial"/>
          <w:color w:val="231F20"/>
          <w:sz w:val="17"/>
        </w:rPr>
        <w:t>2016,</w:t>
      </w:r>
      <w:r>
        <w:rPr>
          <w:rFonts w:ascii="Arial" w:hAnsi="Arial"/>
          <w:color w:val="231F20"/>
          <w:spacing w:val="-7"/>
          <w:sz w:val="17"/>
        </w:rPr>
        <w:t> </w:t>
      </w:r>
      <w:r>
        <w:rPr>
          <w:rFonts w:ascii="Arial" w:hAnsi="Arial"/>
          <w:color w:val="231F20"/>
          <w:sz w:val="17"/>
        </w:rPr>
        <w:t>en</w:t>
      </w:r>
      <w:r>
        <w:rPr>
          <w:rFonts w:ascii="Arial" w:hAnsi="Arial"/>
          <w:color w:val="231F20"/>
          <w:spacing w:val="-7"/>
          <w:sz w:val="17"/>
        </w:rPr>
        <w:t> </w:t>
      </w:r>
      <w:r>
        <w:rPr>
          <w:rFonts w:ascii="Arial" w:hAnsi="Arial"/>
          <w:color w:val="231F20"/>
          <w:sz w:val="17"/>
        </w:rPr>
        <w:t>los</w:t>
      </w:r>
      <w:r>
        <w:rPr>
          <w:rFonts w:ascii="Arial" w:hAnsi="Arial"/>
          <w:color w:val="231F20"/>
          <w:spacing w:val="-7"/>
          <w:sz w:val="17"/>
        </w:rPr>
        <w:t> </w:t>
      </w:r>
      <w:r>
        <w:rPr>
          <w:rFonts w:ascii="Arial" w:hAnsi="Arial"/>
          <w:color w:val="231F20"/>
          <w:sz w:val="17"/>
        </w:rPr>
        <w:t>talleres</w:t>
      </w:r>
      <w:r>
        <w:rPr>
          <w:rFonts w:ascii="Arial" w:hAnsi="Arial"/>
          <w:color w:val="231F20"/>
          <w:spacing w:val="-7"/>
          <w:sz w:val="17"/>
        </w:rPr>
        <w:t> </w:t>
      </w:r>
      <w:r>
        <w:rPr>
          <w:rFonts w:ascii="Arial" w:hAnsi="Arial"/>
          <w:color w:val="231F20"/>
          <w:sz w:val="17"/>
        </w:rPr>
        <w:t>de Editorial</w:t>
      </w:r>
      <w:r>
        <w:rPr>
          <w:rFonts w:ascii="Arial" w:hAnsi="Arial"/>
          <w:color w:val="231F20"/>
          <w:spacing w:val="-35"/>
          <w:sz w:val="17"/>
        </w:rPr>
        <w:t> </w:t>
      </w:r>
      <w:r>
        <w:rPr>
          <w:rFonts w:ascii="Arial" w:hAnsi="Arial"/>
          <w:color w:val="231F20"/>
          <w:sz w:val="16"/>
        </w:rPr>
        <w:t>CIGOME</w:t>
      </w:r>
      <w:r>
        <w:rPr>
          <w:rFonts w:ascii="Arial" w:hAnsi="Arial"/>
          <w:color w:val="231F20"/>
          <w:sz w:val="17"/>
        </w:rPr>
        <w:t>,</w:t>
      </w:r>
      <w:r>
        <w:rPr>
          <w:rFonts w:ascii="Arial" w:hAnsi="Arial"/>
          <w:color w:val="231F20"/>
          <w:spacing w:val="-35"/>
          <w:sz w:val="17"/>
        </w:rPr>
        <w:t> </w:t>
      </w:r>
      <w:r>
        <w:rPr>
          <w:rFonts w:ascii="Arial" w:hAnsi="Arial"/>
          <w:color w:val="231F20"/>
          <w:sz w:val="17"/>
        </w:rPr>
        <w:t>S.A.</w:t>
      </w:r>
      <w:r>
        <w:rPr>
          <w:rFonts w:ascii="Arial" w:hAnsi="Arial"/>
          <w:color w:val="231F20"/>
          <w:spacing w:val="-35"/>
          <w:sz w:val="17"/>
        </w:rPr>
        <w:t> </w:t>
      </w:r>
      <w:r>
        <w:rPr>
          <w:rFonts w:ascii="Arial" w:hAnsi="Arial"/>
          <w:color w:val="231F20"/>
          <w:sz w:val="17"/>
        </w:rPr>
        <w:t>de</w:t>
      </w:r>
      <w:r>
        <w:rPr>
          <w:rFonts w:ascii="Arial" w:hAnsi="Arial"/>
          <w:color w:val="231F20"/>
          <w:spacing w:val="-35"/>
          <w:sz w:val="17"/>
        </w:rPr>
        <w:t> </w:t>
      </w:r>
      <w:r>
        <w:rPr>
          <w:rFonts w:ascii="Arial" w:hAnsi="Arial"/>
          <w:color w:val="231F20"/>
          <w:spacing w:val="-6"/>
          <w:sz w:val="17"/>
        </w:rPr>
        <w:t>C.V.,</w:t>
      </w:r>
      <w:r>
        <w:rPr>
          <w:rFonts w:ascii="Arial" w:hAnsi="Arial"/>
          <w:color w:val="231F20"/>
          <w:spacing w:val="-35"/>
          <w:sz w:val="17"/>
        </w:rPr>
        <w:t> </w:t>
      </w:r>
      <w:r>
        <w:rPr>
          <w:rFonts w:ascii="Arial" w:hAnsi="Arial"/>
          <w:color w:val="231F20"/>
          <w:sz w:val="17"/>
        </w:rPr>
        <w:t>Vialidad</w:t>
      </w:r>
      <w:r>
        <w:rPr>
          <w:rFonts w:ascii="Arial" w:hAnsi="Arial"/>
          <w:color w:val="231F20"/>
          <w:spacing w:val="-35"/>
          <w:sz w:val="17"/>
        </w:rPr>
        <w:t> </w:t>
      </w:r>
      <w:r>
        <w:rPr>
          <w:rFonts w:ascii="Arial" w:hAnsi="Arial"/>
          <w:color w:val="231F20"/>
          <w:sz w:val="17"/>
        </w:rPr>
        <w:t>Alfredo</w:t>
      </w:r>
      <w:r>
        <w:rPr>
          <w:rFonts w:ascii="Arial" w:hAnsi="Arial"/>
          <w:color w:val="231F20"/>
          <w:spacing w:val="-35"/>
          <w:sz w:val="17"/>
        </w:rPr>
        <w:t> </w:t>
      </w:r>
      <w:r>
        <w:rPr>
          <w:rFonts w:ascii="Arial" w:hAnsi="Arial"/>
          <w:color w:val="231F20"/>
          <w:sz w:val="17"/>
        </w:rPr>
        <w:t>del</w:t>
      </w:r>
      <w:r>
        <w:rPr>
          <w:rFonts w:ascii="Arial" w:hAnsi="Arial"/>
          <w:color w:val="231F20"/>
          <w:spacing w:val="-35"/>
          <w:sz w:val="17"/>
        </w:rPr>
        <w:t> </w:t>
      </w:r>
      <w:r>
        <w:rPr>
          <w:rFonts w:ascii="Arial" w:hAnsi="Arial"/>
          <w:color w:val="231F20"/>
          <w:sz w:val="17"/>
        </w:rPr>
        <w:t>Mazo</w:t>
      </w:r>
      <w:r>
        <w:rPr>
          <w:rFonts w:ascii="Arial" w:hAnsi="Arial"/>
          <w:color w:val="231F20"/>
          <w:spacing w:val="-35"/>
          <w:sz w:val="17"/>
        </w:rPr>
        <w:t> </w:t>
      </w:r>
      <w:r>
        <w:rPr>
          <w:rFonts w:ascii="Arial" w:hAnsi="Arial"/>
          <w:color w:val="231F20"/>
          <w:sz w:val="17"/>
        </w:rPr>
        <w:t>núm. 1524,</w:t>
      </w:r>
      <w:r>
        <w:rPr>
          <w:rFonts w:ascii="Arial" w:hAnsi="Arial"/>
          <w:color w:val="231F20"/>
          <w:spacing w:val="-34"/>
          <w:sz w:val="17"/>
        </w:rPr>
        <w:t> </w:t>
      </w:r>
      <w:r>
        <w:rPr>
          <w:rFonts w:ascii="Arial" w:hAnsi="Arial"/>
          <w:color w:val="231F20"/>
          <w:sz w:val="17"/>
        </w:rPr>
        <w:t>ex.</w:t>
      </w:r>
      <w:r>
        <w:rPr>
          <w:rFonts w:ascii="Arial" w:hAnsi="Arial"/>
          <w:color w:val="231F20"/>
          <w:spacing w:val="-34"/>
          <w:sz w:val="17"/>
        </w:rPr>
        <w:t> </w:t>
      </w:r>
      <w:r>
        <w:rPr>
          <w:rFonts w:ascii="Arial" w:hAnsi="Arial"/>
          <w:color w:val="231F20"/>
          <w:sz w:val="17"/>
        </w:rPr>
        <w:t>Hacienda</w:t>
      </w:r>
      <w:r>
        <w:rPr>
          <w:rFonts w:ascii="Arial" w:hAnsi="Arial"/>
          <w:color w:val="231F20"/>
          <w:spacing w:val="-34"/>
          <w:sz w:val="17"/>
        </w:rPr>
        <w:t> </w:t>
      </w:r>
      <w:r>
        <w:rPr>
          <w:rFonts w:ascii="Arial" w:hAnsi="Arial"/>
          <w:color w:val="231F20"/>
          <w:sz w:val="17"/>
        </w:rPr>
        <w:t>La</w:t>
      </w:r>
      <w:r>
        <w:rPr>
          <w:rFonts w:ascii="Arial" w:hAnsi="Arial"/>
          <w:color w:val="231F20"/>
          <w:spacing w:val="-34"/>
          <w:sz w:val="17"/>
        </w:rPr>
        <w:t> </w:t>
      </w:r>
      <w:r>
        <w:rPr>
          <w:rFonts w:ascii="Arial" w:hAnsi="Arial"/>
          <w:color w:val="231F20"/>
          <w:sz w:val="17"/>
        </w:rPr>
        <w:t>Magdalena</w:t>
      </w:r>
      <w:r>
        <w:rPr>
          <w:rFonts w:ascii="Arial" w:hAnsi="Arial"/>
          <w:color w:val="231F20"/>
          <w:spacing w:val="-34"/>
          <w:sz w:val="17"/>
        </w:rPr>
        <w:t> </w:t>
      </w:r>
      <w:r>
        <w:rPr>
          <w:rFonts w:ascii="Arial" w:hAnsi="Arial"/>
          <w:color w:val="231F20"/>
          <w:spacing w:val="-8"/>
          <w:sz w:val="17"/>
        </w:rPr>
        <w:t>C.P.</w:t>
      </w:r>
      <w:r>
        <w:rPr>
          <w:rFonts w:ascii="Arial" w:hAnsi="Arial"/>
          <w:color w:val="231F20"/>
          <w:spacing w:val="-34"/>
          <w:sz w:val="17"/>
        </w:rPr>
        <w:t> </w:t>
      </w:r>
      <w:r>
        <w:rPr>
          <w:rFonts w:ascii="Arial" w:hAnsi="Arial"/>
          <w:color w:val="231F20"/>
          <w:sz w:val="17"/>
        </w:rPr>
        <w:t>50010,</w:t>
      </w:r>
      <w:r>
        <w:rPr>
          <w:rFonts w:ascii="Arial" w:hAnsi="Arial"/>
          <w:color w:val="231F20"/>
          <w:spacing w:val="-34"/>
          <w:sz w:val="17"/>
        </w:rPr>
        <w:t> </w:t>
      </w:r>
      <w:r>
        <w:rPr>
          <w:rFonts w:ascii="Arial" w:hAnsi="Arial"/>
          <w:color w:val="231F20"/>
          <w:spacing w:val="-5"/>
          <w:sz w:val="17"/>
        </w:rPr>
        <w:t>Toluca,</w:t>
      </w:r>
      <w:r>
        <w:rPr>
          <w:rFonts w:ascii="Arial" w:hAnsi="Arial"/>
          <w:color w:val="231F20"/>
          <w:spacing w:val="-34"/>
          <w:sz w:val="17"/>
        </w:rPr>
        <w:t> </w:t>
      </w:r>
      <w:r>
        <w:rPr>
          <w:rFonts w:ascii="Arial" w:hAnsi="Arial"/>
          <w:color w:val="231F20"/>
          <w:sz w:val="17"/>
        </w:rPr>
        <w:t>México. Su</w:t>
      </w:r>
      <w:r>
        <w:rPr>
          <w:rFonts w:ascii="Arial" w:hAnsi="Arial"/>
          <w:color w:val="231F20"/>
          <w:spacing w:val="-17"/>
          <w:sz w:val="17"/>
        </w:rPr>
        <w:t> </w:t>
      </w:r>
      <w:r>
        <w:rPr>
          <w:rFonts w:ascii="Arial" w:hAnsi="Arial"/>
          <w:color w:val="231F20"/>
          <w:sz w:val="17"/>
        </w:rPr>
        <w:t>edición</w:t>
      </w:r>
      <w:r>
        <w:rPr>
          <w:rFonts w:ascii="Arial" w:hAnsi="Arial"/>
          <w:color w:val="231F20"/>
          <w:spacing w:val="-17"/>
          <w:sz w:val="17"/>
        </w:rPr>
        <w:t> </w:t>
      </w:r>
      <w:r>
        <w:rPr>
          <w:rFonts w:ascii="Arial" w:hAnsi="Arial"/>
          <w:color w:val="231F20"/>
          <w:sz w:val="17"/>
        </w:rPr>
        <w:t>consta</w:t>
      </w:r>
      <w:r>
        <w:rPr>
          <w:rFonts w:ascii="Arial" w:hAnsi="Arial"/>
          <w:color w:val="231F20"/>
          <w:spacing w:val="-17"/>
          <w:sz w:val="17"/>
        </w:rPr>
        <w:t> </w:t>
      </w:r>
      <w:r>
        <w:rPr>
          <w:rFonts w:ascii="Arial" w:hAnsi="Arial"/>
          <w:color w:val="231F20"/>
          <w:sz w:val="17"/>
        </w:rPr>
        <w:t>de</w:t>
      </w:r>
      <w:r>
        <w:rPr>
          <w:rFonts w:ascii="Arial" w:hAnsi="Arial"/>
          <w:color w:val="231F20"/>
          <w:spacing w:val="-17"/>
          <w:sz w:val="17"/>
        </w:rPr>
        <w:t> </w:t>
      </w:r>
      <w:r>
        <w:rPr>
          <w:rFonts w:ascii="Arial" w:hAnsi="Arial"/>
          <w:color w:val="231F20"/>
          <w:sz w:val="17"/>
        </w:rPr>
        <w:t>500</w:t>
      </w:r>
      <w:r>
        <w:rPr>
          <w:rFonts w:ascii="Arial" w:hAnsi="Arial"/>
          <w:color w:val="231F20"/>
          <w:spacing w:val="-17"/>
          <w:sz w:val="17"/>
        </w:rPr>
        <w:t> </w:t>
      </w:r>
      <w:r>
        <w:rPr>
          <w:rFonts w:ascii="Arial" w:hAnsi="Arial"/>
          <w:color w:val="231F20"/>
          <w:sz w:val="17"/>
        </w:rPr>
        <w:t>ejemplares.</w:t>
      </w:r>
    </w:p>
    <w:p>
      <w:pPr>
        <w:pStyle w:val="BodyText"/>
        <w:spacing w:before="1"/>
        <w:rPr>
          <w:rFonts w:ascii="Arial"/>
          <w:sz w:val="19"/>
        </w:rPr>
      </w:pPr>
    </w:p>
    <w:p>
      <w:pPr>
        <w:spacing w:line="271" w:lineRule="auto" w:before="0"/>
        <w:ind w:left="3449" w:right="3334" w:firstLine="0"/>
        <w:jc w:val="center"/>
        <w:rPr>
          <w:rFonts w:ascii="Arial" w:hAnsi="Arial"/>
          <w:sz w:val="17"/>
        </w:rPr>
      </w:pPr>
      <w:r>
        <w:rPr>
          <w:rFonts w:ascii="Arial" w:hAnsi="Arial"/>
          <w:color w:val="231F20"/>
          <w:w w:val="95"/>
          <w:sz w:val="17"/>
        </w:rPr>
        <w:t>Coordinación editorial: Patricia Vega Villavicencio </w:t>
      </w:r>
      <w:r>
        <w:rPr>
          <w:rFonts w:ascii="Arial" w:hAnsi="Arial"/>
          <w:color w:val="231F20"/>
          <w:sz w:val="17"/>
        </w:rPr>
        <w:t>Diseño de forros: Nancy Huerta Vázquez </w:t>
      </w:r>
      <w:r>
        <w:rPr>
          <w:rFonts w:ascii="Arial" w:hAnsi="Arial"/>
          <w:color w:val="231F20"/>
          <w:w w:val="95"/>
          <w:sz w:val="17"/>
        </w:rPr>
        <w:t>Formación: Cristina Mireles Arriaga</w:t>
      </w:r>
    </w:p>
    <w:p>
      <w:pPr>
        <w:spacing w:line="271" w:lineRule="auto" w:before="0"/>
        <w:ind w:left="2989" w:right="2874" w:firstLine="0"/>
        <w:jc w:val="center"/>
        <w:rPr>
          <w:rFonts w:ascii="Arial" w:hAnsi="Arial"/>
          <w:sz w:val="17"/>
        </w:rPr>
      </w:pPr>
      <w:r>
        <w:rPr>
          <w:rFonts w:ascii="Arial" w:hAnsi="Arial"/>
          <w:color w:val="231F20"/>
          <w:sz w:val="17"/>
        </w:rPr>
        <w:t>Corrección:</w:t>
      </w:r>
      <w:r>
        <w:rPr>
          <w:rFonts w:ascii="Arial" w:hAnsi="Arial"/>
          <w:color w:val="231F20"/>
          <w:spacing w:val="-23"/>
          <w:sz w:val="17"/>
        </w:rPr>
        <w:t> </w:t>
      </w:r>
      <w:r>
        <w:rPr>
          <w:rFonts w:ascii="Arial" w:hAnsi="Arial"/>
          <w:color w:val="231F20"/>
          <w:spacing w:val="-4"/>
          <w:sz w:val="17"/>
        </w:rPr>
        <w:t>Tomás</w:t>
      </w:r>
      <w:r>
        <w:rPr>
          <w:rFonts w:ascii="Arial" w:hAnsi="Arial"/>
          <w:color w:val="231F20"/>
          <w:spacing w:val="-23"/>
          <w:sz w:val="17"/>
        </w:rPr>
        <w:t> </w:t>
      </w:r>
      <w:r>
        <w:rPr>
          <w:rFonts w:ascii="Arial" w:hAnsi="Arial"/>
          <w:color w:val="231F20"/>
          <w:sz w:val="17"/>
        </w:rPr>
        <w:t>Fuentes</w:t>
      </w:r>
      <w:r>
        <w:rPr>
          <w:rFonts w:ascii="Arial" w:hAnsi="Arial"/>
          <w:color w:val="231F20"/>
          <w:spacing w:val="-23"/>
          <w:sz w:val="17"/>
        </w:rPr>
        <w:t> </w:t>
      </w:r>
      <w:r>
        <w:rPr>
          <w:rFonts w:ascii="Arial" w:hAnsi="Arial"/>
          <w:color w:val="231F20"/>
          <w:sz w:val="17"/>
        </w:rPr>
        <w:t>Estrada</w:t>
      </w:r>
      <w:r>
        <w:rPr>
          <w:rFonts w:ascii="Arial" w:hAnsi="Arial"/>
          <w:color w:val="231F20"/>
          <w:spacing w:val="-23"/>
          <w:sz w:val="17"/>
        </w:rPr>
        <w:t> </w:t>
      </w:r>
      <w:r>
        <w:rPr>
          <w:rFonts w:ascii="Arial" w:hAnsi="Arial"/>
          <w:color w:val="231F20"/>
          <w:sz w:val="17"/>
        </w:rPr>
        <w:t>y</w:t>
      </w:r>
      <w:r>
        <w:rPr>
          <w:rFonts w:ascii="Arial" w:hAnsi="Arial"/>
          <w:color w:val="231F20"/>
          <w:spacing w:val="-23"/>
          <w:sz w:val="17"/>
        </w:rPr>
        <w:t> </w:t>
      </w:r>
      <w:r>
        <w:rPr>
          <w:rFonts w:ascii="Arial" w:hAnsi="Arial"/>
          <w:color w:val="231F20"/>
          <w:sz w:val="17"/>
        </w:rPr>
        <w:t>María</w:t>
      </w:r>
      <w:r>
        <w:rPr>
          <w:rFonts w:ascii="Arial" w:hAnsi="Arial"/>
          <w:color w:val="231F20"/>
          <w:spacing w:val="-23"/>
          <w:sz w:val="17"/>
        </w:rPr>
        <w:t> </w:t>
      </w:r>
      <w:r>
        <w:rPr>
          <w:rFonts w:ascii="Arial" w:hAnsi="Arial"/>
          <w:color w:val="231F20"/>
          <w:sz w:val="17"/>
        </w:rPr>
        <w:t>de</w:t>
      </w:r>
      <w:r>
        <w:rPr>
          <w:rFonts w:ascii="Arial" w:hAnsi="Arial"/>
          <w:color w:val="231F20"/>
          <w:spacing w:val="-23"/>
          <w:sz w:val="17"/>
        </w:rPr>
        <w:t> </w:t>
      </w:r>
      <w:r>
        <w:rPr>
          <w:rFonts w:ascii="Arial" w:hAnsi="Arial"/>
          <w:color w:val="231F20"/>
          <w:sz w:val="17"/>
        </w:rPr>
        <w:t>los</w:t>
      </w:r>
      <w:r>
        <w:rPr>
          <w:rFonts w:ascii="Arial" w:hAnsi="Arial"/>
          <w:color w:val="231F20"/>
          <w:spacing w:val="-23"/>
          <w:sz w:val="17"/>
        </w:rPr>
        <w:t> </w:t>
      </w:r>
      <w:r>
        <w:rPr>
          <w:rFonts w:ascii="Arial" w:hAnsi="Arial"/>
          <w:color w:val="231F20"/>
          <w:sz w:val="17"/>
        </w:rPr>
        <w:t>Angeles</w:t>
      </w:r>
      <w:r>
        <w:rPr>
          <w:rFonts w:ascii="Arial" w:hAnsi="Arial"/>
          <w:color w:val="231F20"/>
          <w:w w:val="94"/>
          <w:sz w:val="17"/>
        </w:rPr>
        <w:t> </w:t>
      </w:r>
      <w:r>
        <w:rPr>
          <w:rFonts w:ascii="Arial" w:hAnsi="Arial"/>
          <w:color w:val="231F20"/>
          <w:w w:val="95"/>
          <w:sz w:val="17"/>
        </w:rPr>
        <w:t>García</w:t>
      </w:r>
      <w:r>
        <w:rPr>
          <w:rFonts w:ascii="Arial" w:hAnsi="Arial"/>
          <w:color w:val="231F20"/>
          <w:spacing w:val="-1"/>
          <w:w w:val="95"/>
          <w:sz w:val="17"/>
        </w:rPr>
        <w:t> </w:t>
      </w:r>
      <w:r>
        <w:rPr>
          <w:rFonts w:ascii="Arial" w:hAnsi="Arial"/>
          <w:color w:val="231F20"/>
          <w:w w:val="95"/>
          <w:sz w:val="17"/>
        </w:rPr>
        <w:t>Moreno</w:t>
      </w:r>
    </w:p>
    <w:p>
      <w:pPr>
        <w:spacing w:after="0" w:line="271" w:lineRule="auto"/>
        <w:jc w:val="center"/>
        <w:rPr>
          <w:rFonts w:ascii="Arial" w:hAnsi="Arial"/>
          <w:sz w:val="17"/>
        </w:rPr>
        <w:sectPr>
          <w:pgSz w:w="10480" w:h="14730"/>
          <w:pgMar w:header="0" w:footer="223" w:top="420" w:bottom="420" w:left="0" w:right="0"/>
        </w:sectPr>
      </w:pPr>
    </w:p>
    <w:p>
      <w:pPr>
        <w:pStyle w:val="BodyText"/>
        <w:spacing w:before="4"/>
        <w:rPr>
          <w:rFonts w:ascii="Times New Roman"/>
          <w:sz w:val="17"/>
        </w:rPr>
      </w:pPr>
    </w:p>
    <w:sectPr>
      <w:pgSz w:w="10480" w:h="14730"/>
      <w:pgMar w:header="0" w:footer="223" w:top="420" w:bottom="4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Arial">
    <w:altName w:val="Arial"/>
    <w:charset w:val="0"/>
    <w:family w:val="swiss"/>
    <w:pitch w:val="variable"/>
  </w:font>
  <w:font w:name="Microsoft Sans Serif">
    <w:altName w:val="Microsoft Sans Serif"/>
    <w:charset w:val="0"/>
    <w:family w:val="swiss"/>
    <w:pitch w:val="variable"/>
  </w:font>
  <w:font w:name="Calibri">
    <w:altName w:val="Calibri"/>
    <w:charset w:val="0"/>
    <w:family w:val="swiss"/>
    <w:pitch w:val="variable"/>
  </w:font>
  <w:font w:name="Lucida Sans Unicode">
    <w:altName w:val="Lucida Sans Unicode"/>
    <w:charset w:val="0"/>
    <w:family w:val="swiss"/>
    <w:pitch w:val="variable"/>
  </w:font>
  <w:font w:name="Palatino Linotype">
    <w:altName w:val="Palatino Linotype"/>
    <w:charset w:val="0"/>
    <w:family w:val="roman"/>
    <w:pitch w:val="variable"/>
  </w:font>
  <w:font w:name="Symbol">
    <w:altName w:val="Symbol"/>
    <w:charset w:val="2"/>
    <w:family w:val="roman"/>
    <w:pitch w:val="variable"/>
  </w:font>
  <w:font w:name="Cambria Math">
    <w:altName w:val="Cambria Math"/>
    <w:charset w:val="0"/>
    <w:family w:val="roman"/>
    <w:pitch w:val="variable"/>
  </w:font>
  <w:font w:name="Tahoma">
    <w:altName w:val="Tahoma"/>
    <w:charset w:val="0"/>
    <w:family w:val="swiss"/>
    <w:pitch w:val="variable"/>
  </w:font>
  <w:font w:name="Verdana">
    <w:altName w:val="Verdana"/>
    <w:charset w:val="0"/>
    <w:family w:val="swiss"/>
    <w:pitch w:val="variable"/>
  </w:font>
  <w:font w:name="Comic Sans MS">
    <w:altName w:val="Comic Sans MS"/>
    <w:charset w:val="0"/>
    <w:family w:val="script"/>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9064" from="21pt,721.487793pt" to="21pt,736.487793pt" stroked="true" strokeweight=".25pt" strokecolor="#000000">
          <w10:wrap type="none"/>
        </v:line>
      </w:pict>
    </w:r>
    <w:r>
      <w:rPr/>
      <w:pict>
        <v:line style="position:absolute;mso-position-horizontal-relative:page;mso-position-vertical-relative:page;z-index:-489040" from="502.890015pt,721.487793pt" to="502.890015pt,736.487793pt" stroked="true" strokeweight=".25pt" strokecolor="#000000">
          <w10:wrap type="none"/>
        </v:line>
      </w:pict>
    </w:r>
    <w:r>
      <w:rPr/>
      <w:pict>
        <v:line style="position:absolute;mso-position-horizontal-relative:page;mso-position-vertical-relative:page;z-index:-489016" from="15pt,715.487793pt" to="0pt,715.487793pt" stroked="true" strokeweight=".25pt" strokecolor="#000000">
          <w10:wrap type="none"/>
        </v:line>
      </w:pict>
    </w:r>
    <w:r>
      <w:rPr/>
      <w:pict>
        <v:line style="position:absolute;mso-position-horizontal-relative:page;mso-position-vertical-relative:page;z-index:-488992" from="508.890015pt,715.487793pt" to="523.890015pt,715.487793pt" stroked="true" strokeweight=".25pt" strokecolor="#000000">
          <w10:wrap type="none"/>
        </v:lin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056" from="21pt,721.487793pt" to="21pt,736.487793pt" stroked="true" strokeweight=".25pt" strokecolor="#000000">
          <w10:wrap type="none"/>
        </v:line>
      </w:pict>
    </w:r>
    <w:r>
      <w:rPr/>
      <w:pict>
        <v:line style="position:absolute;mso-position-horizontal-relative:page;mso-position-vertical-relative:page;z-index:-488032" from="502.890015pt,721.487793pt" to="502.890015pt,736.487793pt" stroked="true" strokeweight=".25pt" strokecolor="#000000">
          <w10:wrap type="none"/>
        </v:line>
      </w:pict>
    </w:r>
    <w:r>
      <w:rPr/>
      <w:pict>
        <v:line style="position:absolute;mso-position-horizontal-relative:page;mso-position-vertical-relative:page;z-index:-488008" from="15pt,715.487793pt" to="0pt,715.487793pt" stroked="true" strokeweight=".25pt" strokecolor="#000000">
          <w10:wrap type="none"/>
        </v:line>
      </w:pict>
    </w:r>
    <w:r>
      <w:rPr/>
      <w:pict>
        <v:line style="position:absolute;mso-position-horizontal-relative:page;mso-position-vertical-relative:page;z-index:-487984" from="508.890015pt,715.487793pt" to="523.890015pt,715.487793pt" stroked="true" strokeweight=".25pt" strokecolor="#000000">
          <w10:wrap type="none"/>
        </v:lin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960" from="21pt,721.487793pt" to="21pt,736.487793pt" stroked="true" strokeweight=".25pt" strokecolor="#000000">
          <w10:wrap type="none"/>
        </v:line>
      </w:pict>
    </w:r>
    <w:r>
      <w:rPr/>
      <w:pict>
        <v:line style="position:absolute;mso-position-horizontal-relative:page;mso-position-vertical-relative:page;z-index:-487936" from="502.890015pt,721.487793pt" to="502.890015pt,736.487793pt" stroked="true" strokeweight=".25pt" strokecolor="#000000">
          <w10:wrap type="none"/>
        </v:line>
      </w:pict>
    </w:r>
    <w:r>
      <w:rPr/>
      <w:pict>
        <v:line style="position:absolute;mso-position-horizontal-relative:page;mso-position-vertical-relative:page;z-index:-487912" from="15pt,715.487793pt" to="0pt,715.487793pt" stroked="true" strokeweight=".25pt" strokecolor="#000000">
          <w10:wrap type="none"/>
        </v:line>
      </w:pict>
    </w:r>
    <w:r>
      <w:rPr/>
      <w:pict>
        <v:line style="position:absolute;mso-position-horizontal-relative:page;mso-position-vertical-relative:page;z-index:-487888" from="508.890015pt,715.487793pt" to="523.890015pt,715.487793pt" stroked="true" strokeweight=".25pt" strokecolor="#000000">
          <w10:wrap type="none"/>
        </v:lin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864" from="21pt,721.487793pt" to="21pt,736.487793pt" stroked="true" strokeweight=".25pt" strokecolor="#000000">
          <w10:wrap type="none"/>
        </v:line>
      </w:pict>
    </w:r>
    <w:r>
      <w:rPr/>
      <w:pict>
        <v:line style="position:absolute;mso-position-horizontal-relative:page;mso-position-vertical-relative:page;z-index:-487840" from="502.890015pt,721.487793pt" to="502.890015pt,736.487793pt" stroked="true" strokeweight=".25pt" strokecolor="#000000">
          <w10:wrap type="none"/>
        </v:lin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672" from="21pt,721.487793pt" to="21pt,736.487793pt" stroked="true" strokeweight=".25pt" strokecolor="#000000">
          <w10:wrap type="none"/>
        </v:line>
      </w:pict>
    </w:r>
    <w:r>
      <w:rPr/>
      <w:pict>
        <v:line style="position:absolute;mso-position-horizontal-relative:page;mso-position-vertical-relative:page;z-index:-487648" from="502.890015pt,721.487793pt" to="502.890015pt,736.487793pt" stroked="true" strokeweight=".25pt" strokecolor="#000000">
          <w10:wrap type="none"/>
        </v:line>
      </w:pict>
    </w:r>
    <w:r>
      <w:rPr/>
      <w:pict>
        <v:line style="position:absolute;mso-position-horizontal-relative:page;mso-position-vertical-relative:page;z-index:-487624" from="15pt,715.487793pt" to="0pt,715.487793pt" stroked="true" strokeweight=".25pt" strokecolor="#000000">
          <w10:wrap type="none"/>
        </v:line>
      </w:pict>
    </w:r>
    <w:r>
      <w:rPr/>
      <w:pict>
        <v:line style="position:absolute;mso-position-horizontal-relative:page;mso-position-vertical-relative:page;z-index:-487600" from="508.890015pt,715.487793pt" to="523.890015pt,715.487793pt" stroked="true" strokeweight=".25pt" strokecolor="#000000">
          <w10:wrap type="none"/>
        </v:lin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576" from="21pt,721.487793pt" to="21pt,736.487793pt" stroked="true" strokeweight=".25pt" strokecolor="#000000">
          <w10:wrap type="none"/>
        </v:line>
      </w:pict>
    </w:r>
    <w:r>
      <w:rPr/>
      <w:pict>
        <v:line style="position:absolute;mso-position-horizontal-relative:page;mso-position-vertical-relative:page;z-index:-487552" from="502.890015pt,721.487793pt" to="502.890015pt,736.487793pt" stroked="true" strokeweight=".25pt" strokecolor="#000000">
          <w10:wrap type="none"/>
        </v:line>
      </w:pict>
    </w:r>
    <w:r>
      <w:rPr/>
      <w:pict>
        <v:line style="position:absolute;mso-position-horizontal-relative:page;mso-position-vertical-relative:page;z-index:-487528" from="15pt,715.487793pt" to="0pt,715.487793pt" stroked="true" strokeweight=".25pt" strokecolor="#000000">
          <w10:wrap type="none"/>
        </v:line>
      </w:pict>
    </w:r>
    <w:r>
      <w:rPr/>
      <w:pict>
        <v:line style="position:absolute;mso-position-horizontal-relative:page;mso-position-vertical-relative:page;z-index:-487504" from="508.890015pt,715.487793pt" to="523.890015pt,715.487793pt" stroked="true" strokeweight=".25pt" strokecolor="#000000">
          <w10:wrap type="none"/>
        </v:lin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480" from="21pt,721.487793pt" to="21pt,736.487793pt" stroked="true" strokeweight=".25pt" strokecolor="#000000">
          <w10:wrap type="none"/>
        </v:line>
      </w:pict>
    </w:r>
    <w:r>
      <w:rPr/>
      <w:pict>
        <v:line style="position:absolute;mso-position-horizontal-relative:page;mso-position-vertical-relative:page;z-index:-487456" from="502.890015pt,721.487793pt" to="502.890015pt,736.487793pt" stroked="true" strokeweight=".25pt" strokecolor="#000000">
          <w10:wrap type="none"/>
        </v:lin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384" from="21pt,721.487793pt" to="21pt,736.487793pt" stroked="true" strokeweight=".25pt" strokecolor="#000000">
          <w10:wrap type="none"/>
        </v:line>
      </w:pict>
    </w:r>
    <w:r>
      <w:rPr/>
      <w:pict>
        <v:line style="position:absolute;mso-position-horizontal-relative:page;mso-position-vertical-relative:page;z-index:-487360" from="502.890015pt,721.487793pt" to="502.890015pt,736.487793pt" stroked="true" strokeweight=".25pt" strokecolor="#000000">
          <w10:wrap type="none"/>
        </v:line>
      </w:pict>
    </w:r>
    <w:r>
      <w:rPr/>
      <w:pict>
        <v:line style="position:absolute;mso-position-horizontal-relative:page;mso-position-vertical-relative:page;z-index:-487336" from="15pt,715.487793pt" to="0pt,715.487793pt" stroked="true" strokeweight=".25pt" strokecolor="#000000">
          <w10:wrap type="none"/>
        </v:line>
      </w:pict>
    </w:r>
    <w:r>
      <w:rPr/>
      <w:pict>
        <v:line style="position:absolute;mso-position-horizontal-relative:page;mso-position-vertical-relative:page;z-index:-487312" from="508.890015pt,715.487793pt" to="523.890015pt,715.487793pt" stroked="true" strokeweight=".25pt" strokecolor="#000000">
          <w10:wrap type="none"/>
        </v:lin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192" from="21pt,721.487793pt" to="21pt,736.487793pt" stroked="true" strokeweight=".25pt" strokecolor="#000000">
          <w10:wrap type="none"/>
        </v:line>
      </w:pict>
    </w:r>
    <w:r>
      <w:rPr/>
      <w:pict>
        <v:line style="position:absolute;mso-position-horizontal-relative:page;mso-position-vertical-relative:page;z-index:-487168" from="502.890015pt,721.487793pt" to="502.890015pt,736.487793pt" stroked="true" strokeweight=".25pt" strokecolor="#000000">
          <w10:wrap type="none"/>
        </v:line>
      </w:pict>
    </w:r>
    <w:r>
      <w:rPr/>
      <w:pict>
        <v:line style="position:absolute;mso-position-horizontal-relative:page;mso-position-vertical-relative:page;z-index:-487144" from="15pt,715.487793pt" to="0pt,715.487793pt" stroked="true" strokeweight=".25pt" strokecolor="#000000">
          <w10:wrap type="none"/>
        </v:line>
      </w:pict>
    </w:r>
    <w:r>
      <w:rPr/>
      <w:pict>
        <v:line style="position:absolute;mso-position-horizontal-relative:page;mso-position-vertical-relative:page;z-index:-487120" from="508.890015pt,715.487793pt" to="523.890015pt,715.487793pt" stroked="true" strokeweight=".25pt" strokecolor="#000000">
          <w10:wrap type="none"/>
        </v:lin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096" from="21pt,721.487793pt" to="21pt,736.487793pt" stroked="true" strokeweight=".25pt" strokecolor="#000000">
          <w10:wrap type="none"/>
        </v:line>
      </w:pict>
    </w:r>
    <w:r>
      <w:rPr/>
      <w:pict>
        <v:line style="position:absolute;mso-position-horizontal-relative:page;mso-position-vertical-relative:page;z-index:-487072" from="502.890015pt,721.487793pt" to="502.890015pt,736.487793pt" stroked="true" strokeweight=".25pt" strokecolor="#000000">
          <w10:wrap type="none"/>
        </v:line>
      </w:pict>
    </w:r>
    <w:r>
      <w:rPr/>
      <w:pict>
        <v:line style="position:absolute;mso-position-horizontal-relative:page;mso-position-vertical-relative:page;z-index:-487048" from="15pt,715.487793pt" to="0pt,715.487793pt" stroked="true" strokeweight=".25pt" strokecolor="#000000">
          <w10:wrap type="none"/>
        </v:line>
      </w:pict>
    </w:r>
    <w:r>
      <w:rPr/>
      <w:pict>
        <v:line style="position:absolute;mso-position-horizontal-relative:page;mso-position-vertical-relative:page;z-index:-487024" from="508.890015pt,715.487793pt" to="523.890015pt,715.487793pt" stroked="true" strokeweight=".25pt" strokecolor="#000000">
          <w10:wrap type="none"/>
        </v:lin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000" from="21pt,721.487793pt" to="21pt,736.487793pt" stroked="true" strokeweight=".25pt" strokecolor="#000000">
          <w10:wrap type="none"/>
        </v:line>
      </w:pict>
    </w:r>
    <w:r>
      <w:rPr/>
      <w:pict>
        <v:line style="position:absolute;mso-position-horizontal-relative:page;mso-position-vertical-relative:page;z-index:-486976" from="502.890015pt,721.487793pt" to="502.890015pt,736.487793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968" from="21pt,721.487793pt" to="21pt,736.487793pt" stroked="true" strokeweight=".25pt" strokecolor="#000000">
          <w10:wrap type="none"/>
        </v:line>
      </w:pict>
    </w:r>
    <w:r>
      <w:rPr/>
      <w:pict>
        <v:line style="position:absolute;mso-position-horizontal-relative:page;mso-position-vertical-relative:page;z-index:-488944" from="502.890015pt,721.487793pt" to="502.890015pt,736.487793pt" stroked="true" strokeweight=".25pt" strokecolor="#000000">
          <w10:wrap type="none"/>
        </v:line>
      </w:pict>
    </w:r>
    <w:r>
      <w:rPr/>
      <w:pict>
        <v:line style="position:absolute;mso-position-horizontal-relative:page;mso-position-vertical-relative:page;z-index:-488920" from="15pt,715.487793pt" to="0pt,715.487793pt" stroked="true" strokeweight=".25pt" strokecolor="#000000">
          <w10:wrap type="none"/>
        </v:line>
      </w:pict>
    </w:r>
    <w:r>
      <w:rPr/>
      <w:pict>
        <v:line style="position:absolute;mso-position-horizontal-relative:page;mso-position-vertical-relative:page;z-index:-488896" from="508.890015pt,715.487793pt" to="523.890015pt,715.487793pt" stroked="true" strokeweight=".25pt" strokecolor="#000000">
          <w10:wrap type="none"/>
        </v:lin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904" from="21pt,721.487793pt" to="21pt,736.487793pt" stroked="true" strokeweight=".25pt" strokecolor="#000000">
          <w10:wrap type="none"/>
        </v:line>
      </w:pict>
    </w:r>
    <w:r>
      <w:rPr/>
      <w:pict>
        <v:line style="position:absolute;mso-position-horizontal-relative:page;mso-position-vertical-relative:page;z-index:-486880" from="502.890015pt,721.487793pt" to="502.890015pt,736.487793pt" stroked="true" strokeweight=".25pt" strokecolor="#000000">
          <w10:wrap type="none"/>
        </v:line>
      </w:pict>
    </w:r>
    <w:r>
      <w:rPr/>
      <w:pict>
        <v:line style="position:absolute;mso-position-horizontal-relative:page;mso-position-vertical-relative:page;z-index:-486856" from="15pt,715.487793pt" to="0pt,715.487793pt" stroked="true" strokeweight=".25pt" strokecolor="#000000">
          <w10:wrap type="none"/>
        </v:line>
      </w:pict>
    </w:r>
    <w:r>
      <w:rPr/>
      <w:pict>
        <v:line style="position:absolute;mso-position-horizontal-relative:page;mso-position-vertical-relative:page;z-index:-486832" from="508.890015pt,715.487793pt" to="523.890015pt,715.487793pt" stroked="true" strokeweight=".25pt" strokecolor="#000000">
          <w10:wrap type="none"/>
        </v:lin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712" from="21pt,721.487793pt" to="21pt,736.487793pt" stroked="true" strokeweight=".25pt" strokecolor="#000000">
          <w10:wrap type="none"/>
        </v:line>
      </w:pict>
    </w:r>
    <w:r>
      <w:rPr/>
      <w:pict>
        <v:line style="position:absolute;mso-position-horizontal-relative:page;mso-position-vertical-relative:page;z-index:-486688" from="502.890015pt,721.487793pt" to="502.890015pt,736.487793pt" stroked="true" strokeweight=".25pt" strokecolor="#000000">
          <w10:wrap type="none"/>
        </v:line>
      </w:pict>
    </w:r>
    <w:r>
      <w:rPr/>
      <w:pict>
        <v:line style="position:absolute;mso-position-horizontal-relative:page;mso-position-vertical-relative:page;z-index:-486664" from="15pt,715.487793pt" to="0pt,715.487793pt" stroked="true" strokeweight=".25pt" strokecolor="#000000">
          <w10:wrap type="none"/>
        </v:line>
      </w:pict>
    </w:r>
    <w:r>
      <w:rPr/>
      <w:pict>
        <v:line style="position:absolute;mso-position-horizontal-relative:page;mso-position-vertical-relative:page;z-index:-486640" from="508.890015pt,715.487793pt" to="523.890015pt,715.487793pt" stroked="true" strokeweight=".25pt" strokecolor="#000000">
          <w10:wrap type="none"/>
        </v:lin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520" from="21pt,721.487793pt" to="21pt,736.487793pt" stroked="true" strokeweight=".25pt" strokecolor="#000000">
          <w10:wrap type="none"/>
        </v:line>
      </w:pict>
    </w:r>
    <w:r>
      <w:rPr/>
      <w:pict>
        <v:line style="position:absolute;mso-position-horizontal-relative:page;mso-position-vertical-relative:page;z-index:-486496" from="502.890015pt,721.487793pt" to="502.890015pt,736.487793pt" stroked="true" strokeweight=".25pt" strokecolor="#000000">
          <w10:wrap type="none"/>
        </v:line>
      </w:pict>
    </w:r>
    <w:r>
      <w:rPr/>
      <w:pict>
        <v:line style="position:absolute;mso-position-horizontal-relative:page;mso-position-vertical-relative:page;z-index:-486472" from="15pt,715.487793pt" to="0pt,715.487793pt" stroked="true" strokeweight=".25pt" strokecolor="#000000">
          <w10:wrap type="none"/>
        </v:line>
      </w:pict>
    </w:r>
    <w:r>
      <w:rPr/>
      <w:pict>
        <v:line style="position:absolute;mso-position-horizontal-relative:page;mso-position-vertical-relative:page;z-index:-486448" from="508.890015pt,715.487793pt" to="523.890015pt,715.487793pt" stroked="true" strokeweight=".25pt" strokecolor="#000000">
          <w10:wrap type="none"/>
        </v:lin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424" from="21pt,721.487793pt" to="21pt,736.487793pt" stroked="true" strokeweight=".25pt" strokecolor="#000000">
          <w10:wrap type="none"/>
        </v:line>
      </w:pict>
    </w:r>
    <w:r>
      <w:rPr/>
      <w:pict>
        <v:line style="position:absolute;mso-position-horizontal-relative:page;mso-position-vertical-relative:page;z-index:-486400" from="502.890015pt,721.487793pt" to="502.890015pt,736.487793pt" stroked="true" strokeweight=".25pt" strokecolor="#000000">
          <w10:wrap type="none"/>
        </v:line>
      </w:pict>
    </w:r>
    <w:r>
      <w:rPr/>
      <w:pict>
        <v:line style="position:absolute;mso-position-horizontal-relative:page;mso-position-vertical-relative:page;z-index:-486376" from="15pt,715.487793pt" to="0pt,715.487793pt" stroked="true" strokeweight=".25pt" strokecolor="#000000">
          <w10:wrap type="none"/>
        </v:line>
      </w:pict>
    </w:r>
    <w:r>
      <w:rPr/>
      <w:pict>
        <v:line style="position:absolute;mso-position-horizontal-relative:page;mso-position-vertical-relative:page;z-index:-486352" from="508.890015pt,715.487793pt" to="523.890015pt,715.487793pt" stroked="true" strokeweight=".25pt" strokecolor="#000000">
          <w10:wrap type="none"/>
        </v:lin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328" from="21pt,721.487793pt" to="21pt,736.487793pt" stroked="true" strokeweight=".25pt" strokecolor="#000000">
          <w10:wrap type="none"/>
        </v:line>
      </w:pict>
    </w:r>
    <w:r>
      <w:rPr/>
      <w:pict>
        <v:line style="position:absolute;mso-position-horizontal-relative:page;mso-position-vertical-relative:page;z-index:-486304" from="502.890015pt,721.487793pt" to="502.890015pt,736.487793pt" stroked="true" strokeweight=".25pt" strokecolor="#000000">
          <w10:wrap type="none"/>
        </v:lin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136" from="21pt,721.487793pt" to="21pt,736.487793pt" stroked="true" strokeweight=".25pt" strokecolor="#000000">
          <w10:wrap type="none"/>
        </v:line>
      </w:pict>
    </w:r>
    <w:r>
      <w:rPr/>
      <w:pict>
        <v:line style="position:absolute;mso-position-horizontal-relative:page;mso-position-vertical-relative:page;z-index:-486112" from="502.890015pt,721.487793pt" to="502.890015pt,736.487793pt" stroked="true" strokeweight=".25pt" strokecolor="#000000">
          <w10:wrap type="none"/>
        </v:line>
      </w:pict>
    </w:r>
    <w:r>
      <w:rPr/>
      <w:pict>
        <v:line style="position:absolute;mso-position-horizontal-relative:page;mso-position-vertical-relative:page;z-index:-486088" from="15pt,715.487793pt" to="0pt,715.487793pt" stroked="true" strokeweight=".25pt" strokecolor="#000000">
          <w10:wrap type="none"/>
        </v:line>
      </w:pict>
    </w:r>
    <w:r>
      <w:rPr/>
      <w:pict>
        <v:line style="position:absolute;mso-position-horizontal-relative:page;mso-position-vertical-relative:page;z-index:-486064" from="508.890015pt,715.487793pt" to="523.890015pt,715.487793pt" stroked="true" strokeweight=".25pt" strokecolor="#000000">
          <w10:wrap type="none"/>
        </v:lin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040" from="21pt,721.487793pt" to="21pt,736.487793pt" stroked="true" strokeweight=".25pt" strokecolor="#000000">
          <w10:wrap type="none"/>
        </v:line>
      </w:pict>
    </w:r>
    <w:r>
      <w:rPr/>
      <w:pict>
        <v:line style="position:absolute;mso-position-horizontal-relative:page;mso-position-vertical-relative:page;z-index:-486016" from="502.890015pt,721.487793pt" to="502.890015pt,736.487793pt" stroked="true" strokeweight=".25pt" strokecolor="#000000">
          <w10:wrap type="none"/>
        </v:line>
      </w:pict>
    </w:r>
    <w:r>
      <w:rPr/>
      <w:pict>
        <v:line style="position:absolute;mso-position-horizontal-relative:page;mso-position-vertical-relative:page;z-index:-485992" from="15pt,715.487793pt" to="0pt,715.487793pt" stroked="true" strokeweight=".25pt" strokecolor="#000000">
          <w10:wrap type="none"/>
        </v:line>
      </w:pict>
    </w:r>
    <w:r>
      <w:rPr/>
      <w:pict>
        <v:line style="position:absolute;mso-position-horizontal-relative:page;mso-position-vertical-relative:page;z-index:-485968" from="508.890015pt,715.487793pt" to="523.890015pt,715.487793pt" stroked="true" strokeweight=".25pt" strokecolor="#000000">
          <w10:wrap type="none"/>
        </v:lin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944" from="21pt,721.487793pt" to="21pt,736.487793pt" stroked="true" strokeweight=".25pt" strokecolor="#000000">
          <w10:wrap type="none"/>
        </v:line>
      </w:pict>
    </w:r>
    <w:r>
      <w:rPr/>
      <w:pict>
        <v:line style="position:absolute;mso-position-horizontal-relative:page;mso-position-vertical-relative:page;z-index:-485920" from="502.890015pt,721.487793pt" to="502.890015pt,736.487793pt" stroked="true" strokeweight=".25pt" strokecolor="#000000">
          <w10:wrap type="none"/>
        </v:lin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752" from="21pt,721.487793pt" to="21pt,736.487793pt" stroked="true" strokeweight=".25pt" strokecolor="#000000">
          <w10:wrap type="none"/>
        </v:line>
      </w:pict>
    </w:r>
    <w:r>
      <w:rPr/>
      <w:pict>
        <v:line style="position:absolute;mso-position-horizontal-relative:page;mso-position-vertical-relative:page;z-index:-485728" from="502.890015pt,721.487793pt" to="502.890015pt,736.487793pt" stroked="true" strokeweight=".25pt" strokecolor="#000000">
          <w10:wrap type="none"/>
        </v:line>
      </w:pict>
    </w:r>
    <w:r>
      <w:rPr/>
      <w:pict>
        <v:line style="position:absolute;mso-position-horizontal-relative:page;mso-position-vertical-relative:page;z-index:-485704" from="15pt,715.487793pt" to="0pt,715.487793pt" stroked="true" strokeweight=".25pt" strokecolor="#000000">
          <w10:wrap type="none"/>
        </v:line>
      </w:pict>
    </w:r>
    <w:r>
      <w:rPr/>
      <w:pict>
        <v:line style="position:absolute;mso-position-horizontal-relative:page;mso-position-vertical-relative:page;z-index:-485680" from="508.890015pt,715.487793pt" to="523.890015pt,715.487793pt" stroked="true" strokeweight=".25pt" strokecolor="#000000">
          <w10:wrap type="none"/>
        </v:lin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656" from="21pt,721.487793pt" to="21pt,736.487793pt" stroked="true" strokeweight=".25pt" strokecolor="#000000">
          <w10:wrap type="none"/>
        </v:line>
      </w:pict>
    </w:r>
    <w:r>
      <w:rPr/>
      <w:pict>
        <v:line style="position:absolute;mso-position-horizontal-relative:page;mso-position-vertical-relative:page;z-index:-485632" from="502.890015pt,721.487793pt" to="502.890015pt,736.487793pt" stroked="true" strokeweight=".25pt" strokecolor="#000000">
          <w10:wrap type="none"/>
        </v:line>
      </w:pict>
    </w:r>
    <w:r>
      <w:rPr/>
      <w:pict>
        <v:line style="position:absolute;mso-position-horizontal-relative:page;mso-position-vertical-relative:page;z-index:-485608" from="15pt,715.487793pt" to="0pt,715.487793pt" stroked="true" strokeweight=".25pt" strokecolor="#000000">
          <w10:wrap type="none"/>
        </v:line>
      </w:pict>
    </w:r>
    <w:r>
      <w:rPr/>
      <w:pict>
        <v:line style="position:absolute;mso-position-horizontal-relative:page;mso-position-vertical-relative:page;z-index:-485584" from="508.890015pt,715.487793pt" to="523.890015pt,715.487793pt" stroked="true" strokeweight=".25pt" strokecolor="#000000">
          <w10:wrap type="none"/>
        </v:lin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872" from="21pt,721.487793pt" to="21pt,736.487793pt" stroked="true" strokeweight=".25pt" strokecolor="#000000">
          <w10:wrap type="none"/>
        </v:line>
      </w:pict>
    </w:r>
    <w:r>
      <w:rPr/>
      <w:pict>
        <v:line style="position:absolute;mso-position-horizontal-relative:page;mso-position-vertical-relative:page;z-index:-488848" from="502.890015pt,721.487793pt" to="502.890015pt,736.487793pt" stroked="true" strokeweight=".25pt" strokecolor="#000000">
          <w10:wrap type="none"/>
        </v:line>
      </w:pict>
    </w:r>
    <w:r>
      <w:rPr/>
      <w:pict>
        <v:line style="position:absolute;mso-position-horizontal-relative:page;mso-position-vertical-relative:page;z-index:-488824" from="15pt,715.487793pt" to="0pt,715.487793pt" stroked="true" strokeweight=".25pt" strokecolor="#000000">
          <w10:wrap type="none"/>
        </v:line>
      </w:pict>
    </w:r>
    <w:r>
      <w:rPr/>
      <w:pict>
        <v:line style="position:absolute;mso-position-horizontal-relative:page;mso-position-vertical-relative:page;z-index:-488800" from="508.890015pt,715.487793pt" to="523.890015pt,715.487793pt" stroked="true" strokeweight=".25pt" strokecolor="#000000">
          <w10:wrap type="none"/>
        </v:lin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560" from="21pt,721.487793pt" to="21pt,736.487793pt" stroked="true" strokeweight=".25pt" strokecolor="#000000">
          <w10:wrap type="none"/>
        </v:line>
      </w:pict>
    </w:r>
    <w:r>
      <w:rPr/>
      <w:pict>
        <v:line style="position:absolute;mso-position-horizontal-relative:page;mso-position-vertical-relative:page;z-index:-485536" from="502.890015pt,721.487793pt" to="502.890015pt,736.487793pt" stroked="true" strokeweight=".25pt" strokecolor="#000000">
          <w10:wrap type="none"/>
        </v:lin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464" from="21pt,721.487793pt" to="21pt,736.487793pt" stroked="true" strokeweight=".25pt" strokecolor="#000000">
          <w10:wrap type="none"/>
        </v:line>
      </w:pict>
    </w:r>
    <w:r>
      <w:rPr/>
      <w:pict>
        <v:line style="position:absolute;mso-position-horizontal-relative:page;mso-position-vertical-relative:page;z-index:-485440" from="502.890015pt,721.487793pt" to="502.890015pt,736.487793pt" stroked="true" strokeweight=".25pt" strokecolor="#000000">
          <w10:wrap type="none"/>
        </v:line>
      </w:pict>
    </w:r>
    <w:r>
      <w:rPr/>
      <w:pict>
        <v:line style="position:absolute;mso-position-horizontal-relative:page;mso-position-vertical-relative:page;z-index:-485416" from="15pt,715.487793pt" to="0pt,715.487793pt" stroked="true" strokeweight=".25pt" strokecolor="#000000">
          <w10:wrap type="none"/>
        </v:line>
      </w:pict>
    </w:r>
    <w:r>
      <w:rPr/>
      <w:pict>
        <v:line style="position:absolute;mso-position-horizontal-relative:page;mso-position-vertical-relative:page;z-index:-485392" from="508.890015pt,715.487793pt" to="523.890015pt,715.487793pt" stroked="true" strokeweight=".25pt" strokecolor="#000000">
          <w10:wrap type="none"/>
        </v:lin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272" from="21pt,721.487793pt" to="21pt,736.487793pt" stroked="true" strokeweight=".25pt" strokecolor="#000000">
          <w10:wrap type="none"/>
        </v:line>
      </w:pict>
    </w:r>
    <w:r>
      <w:rPr/>
      <w:pict>
        <v:line style="position:absolute;mso-position-horizontal-relative:page;mso-position-vertical-relative:page;z-index:-485248" from="502.890015pt,721.487793pt" to="502.890015pt,736.487793pt" stroked="true" strokeweight=".25pt" strokecolor="#000000">
          <w10:wrap type="none"/>
        </v:line>
      </w:pict>
    </w:r>
    <w:r>
      <w:rPr/>
      <w:pict>
        <v:line style="position:absolute;mso-position-horizontal-relative:page;mso-position-vertical-relative:page;z-index:-485224" from="15pt,715.487793pt" to="0pt,715.487793pt" stroked="true" strokeweight=".25pt" strokecolor="#000000">
          <w10:wrap type="none"/>
        </v:line>
      </w:pict>
    </w:r>
    <w:r>
      <w:rPr/>
      <w:pict>
        <v:line style="position:absolute;mso-position-horizontal-relative:page;mso-position-vertical-relative:page;z-index:-485200" from="508.890015pt,715.487793pt" to="523.890015pt,715.487793pt" stroked="true" strokeweight=".25pt" strokecolor="#000000">
          <w10:wrap type="none"/>
        </v:lin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176" from="21pt,721.487793pt" to="21pt,736.487793pt" stroked="true" strokeweight=".25pt" strokecolor="#000000">
          <w10:wrap type="none"/>
        </v:line>
      </w:pict>
    </w:r>
    <w:r>
      <w:rPr/>
      <w:pict>
        <v:line style="position:absolute;mso-position-horizontal-relative:page;mso-position-vertical-relative:page;z-index:-485152" from="502.890015pt,721.487793pt" to="502.890015pt,736.487793pt" stroked="true" strokeweight=".25pt" strokecolor="#000000">
          <w10:wrap type="none"/>
        </v:line>
      </w:pict>
    </w:r>
    <w:r>
      <w:rPr/>
      <w:pict>
        <v:line style="position:absolute;mso-position-horizontal-relative:page;mso-position-vertical-relative:page;z-index:-485128" from="15pt,715.487793pt" to="0pt,715.487793pt" stroked="true" strokeweight=".25pt" strokecolor="#000000">
          <w10:wrap type="none"/>
        </v:line>
      </w:pict>
    </w:r>
    <w:r>
      <w:rPr/>
      <w:pict>
        <v:line style="position:absolute;mso-position-horizontal-relative:page;mso-position-vertical-relative:page;z-index:-485104" from="508.890015pt,715.487793pt" to="523.890015pt,715.487793pt" stroked="true" strokeweight=".25pt" strokecolor="#000000">
          <w10:wrap type="none"/>
        </v:lin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080" from="21pt,721.487793pt" to="21pt,736.487793pt" stroked="true" strokeweight=".25pt" strokecolor="#000000">
          <w10:wrap type="none"/>
        </v:line>
      </w:pict>
    </w:r>
    <w:r>
      <w:rPr/>
      <w:pict>
        <v:line style="position:absolute;mso-position-horizontal-relative:page;mso-position-vertical-relative:page;z-index:-485056" from="502.890015pt,721.487793pt" to="502.890015pt,736.487793pt" stroked="true" strokeweight=".25pt" strokecolor="#000000">
          <w10:wrap type="none"/>
        </v:lin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888" from="21pt,721.487793pt" to="21pt,736.487793pt" stroked="true" strokeweight=".25pt" strokecolor="#000000">
          <w10:wrap type="none"/>
        </v:line>
      </w:pict>
    </w:r>
    <w:r>
      <w:rPr/>
      <w:pict>
        <v:line style="position:absolute;mso-position-horizontal-relative:page;mso-position-vertical-relative:page;z-index:-484864" from="502.890015pt,721.487793pt" to="502.890015pt,736.487793pt" stroked="true" strokeweight=".25pt" strokecolor="#000000">
          <w10:wrap type="none"/>
        </v:line>
      </w:pict>
    </w:r>
    <w:r>
      <w:rPr/>
      <w:pict>
        <v:line style="position:absolute;mso-position-horizontal-relative:page;mso-position-vertical-relative:page;z-index:-484840" from="15pt,715.487793pt" to="0pt,715.487793pt" stroked="true" strokeweight=".25pt" strokecolor="#000000">
          <w10:wrap type="none"/>
        </v:line>
      </w:pict>
    </w:r>
    <w:r>
      <w:rPr/>
      <w:pict>
        <v:line style="position:absolute;mso-position-horizontal-relative:page;mso-position-vertical-relative:page;z-index:-484816" from="508.890015pt,715.487793pt" to="523.890015pt,715.487793pt" stroked="true" strokeweight=".25pt" strokecolor="#000000">
          <w10:wrap type="none"/>
        </v:lin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792" from="21pt,721.487793pt" to="21pt,736.487793pt" stroked="true" strokeweight=".25pt" strokecolor="#000000">
          <w10:wrap type="none"/>
        </v:line>
      </w:pict>
    </w:r>
    <w:r>
      <w:rPr/>
      <w:pict>
        <v:line style="position:absolute;mso-position-horizontal-relative:page;mso-position-vertical-relative:page;z-index:-484768" from="502.890015pt,721.487793pt" to="502.890015pt,736.487793pt" stroked="true" strokeweight=".25pt" strokecolor="#000000">
          <w10:wrap type="none"/>
        </v:line>
      </w:pict>
    </w:r>
    <w:r>
      <w:rPr/>
      <w:pict>
        <v:line style="position:absolute;mso-position-horizontal-relative:page;mso-position-vertical-relative:page;z-index:-484744" from="15pt,715.487793pt" to="0pt,715.487793pt" stroked="true" strokeweight=".25pt" strokecolor="#000000">
          <w10:wrap type="none"/>
        </v:line>
      </w:pict>
    </w:r>
    <w:r>
      <w:rPr/>
      <w:pict>
        <v:line style="position:absolute;mso-position-horizontal-relative:page;mso-position-vertical-relative:page;z-index:-484720" from="508.890015pt,715.487793pt" to="523.890015pt,715.487793pt" stroked="true" strokeweight=".25pt" strokecolor="#000000">
          <w10:wrap type="none"/>
        </v:lin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696" from="21pt,721.487793pt" to="21pt,736.487793pt" stroked="true" strokeweight=".25pt" strokecolor="#000000">
          <w10:wrap type="none"/>
        </v:line>
      </w:pict>
    </w:r>
    <w:r>
      <w:rPr/>
      <w:pict>
        <v:line style="position:absolute;mso-position-horizontal-relative:page;mso-position-vertical-relative:page;z-index:-484672" from="502.890015pt,721.487793pt" to="502.890015pt,736.487793pt" stroked="true" strokeweight=".25pt" strokecolor="#000000">
          <w10:wrap type="none"/>
        </v:lin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504" from="21pt,721.487793pt" to="21pt,736.487793pt" stroked="true" strokeweight=".25pt" strokecolor="#000000">
          <w10:wrap type="none"/>
        </v:line>
      </w:pict>
    </w:r>
    <w:r>
      <w:rPr/>
      <w:pict>
        <v:line style="position:absolute;mso-position-horizontal-relative:page;mso-position-vertical-relative:page;z-index:-484480" from="502.890015pt,721.487793pt" to="502.890015pt,736.487793pt" stroked="true" strokeweight=".25pt" strokecolor="#000000">
          <w10:wrap type="none"/>
        </v:lin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360" from="21pt,721.487793pt" to="21pt,736.487793pt" stroked="true" strokeweight=".25pt" strokecolor="#000000">
          <w10:wrap type="none"/>
        </v:line>
      </w:pict>
    </w:r>
    <w:r>
      <w:rPr/>
      <w:pict>
        <v:line style="position:absolute;mso-position-horizontal-relative:page;mso-position-vertical-relative:page;z-index:-484336" from="502.890015pt,721.487793pt" to="502.890015pt,736.487793pt" stroked="true" strokeweight=".25pt" strokecolor="#000000">
          <w10:wrap type="none"/>
        </v:line>
      </w:pict>
    </w:r>
    <w:r>
      <w:rPr/>
      <w:pict>
        <v:line style="position:absolute;mso-position-horizontal-relative:page;mso-position-vertical-relative:page;z-index:-484312" from="15pt,715.487793pt" to="0pt,715.487793pt" stroked="true" strokeweight=".25pt" strokecolor="#000000">
          <w10:wrap type="none"/>
        </v:line>
      </w:pict>
    </w:r>
    <w:r>
      <w:rPr/>
      <w:pict>
        <v:line style="position:absolute;mso-position-horizontal-relative:page;mso-position-vertical-relative:page;z-index:-484288" from="508.890015pt,715.487793pt" to="523.890015pt,715.487793pt" stroked="true" strokeweight=".25pt" strokecolor="#000000">
          <w10:wrap type="none"/>
        </v:lin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776" from="21pt,721.487793pt" to="21pt,736.487793pt" stroked="true" strokeweight=".25pt" strokecolor="#000000">
          <w10:wrap type="none"/>
        </v:line>
      </w:pict>
    </w:r>
    <w:r>
      <w:rPr/>
      <w:pict>
        <v:line style="position:absolute;mso-position-horizontal-relative:page;mso-position-vertical-relative:page;z-index:-488752" from="502.890015pt,721.487793pt" to="502.890015pt,736.487793pt" stroked="true" strokeweight=".25pt" strokecolor="#000000">
          <w10:wrap type="none"/>
        </v:line>
      </w:pict>
    </w:r>
    <w:r>
      <w:rPr/>
      <w:pict>
        <v:line style="position:absolute;mso-position-horizontal-relative:page;mso-position-vertical-relative:page;z-index:-488728" from="15pt,715.487793pt" to="0pt,715.487793pt" stroked="true" strokeweight=".25pt" strokecolor="#000000">
          <w10:wrap type="none"/>
        </v:line>
      </w:pict>
    </w:r>
    <w:r>
      <w:rPr/>
      <w:pict>
        <v:line style="position:absolute;mso-position-horizontal-relative:page;mso-position-vertical-relative:page;z-index:-488704" from="508.890015pt,715.487793pt" to="523.890015pt,715.487793pt" stroked="true" strokeweight=".25pt" strokecolor="#000000">
          <w10:wrap type="none"/>
        </v:lin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264" from="21pt,721.487793pt" to="21pt,736.487793pt" stroked="true" strokeweight=".25pt" strokecolor="#000000">
          <w10:wrap type="none"/>
        </v:line>
      </w:pict>
    </w:r>
    <w:r>
      <w:rPr/>
      <w:pict>
        <v:line style="position:absolute;mso-position-horizontal-relative:page;mso-position-vertical-relative:page;z-index:-484240" from="502.890015pt,721.487793pt" to="502.890015pt,736.487793pt" stroked="true" strokeweight=".25pt" strokecolor="#000000">
          <w10:wrap type="none"/>
        </v:line>
      </w:pict>
    </w:r>
    <w:r>
      <w:rPr/>
      <w:pict>
        <v:line style="position:absolute;mso-position-horizontal-relative:page;mso-position-vertical-relative:page;z-index:-484216" from="15pt,715.487793pt" to="0pt,715.487793pt" stroked="true" strokeweight=".25pt" strokecolor="#000000">
          <w10:wrap type="none"/>
        </v:line>
      </w:pict>
    </w:r>
    <w:r>
      <w:rPr/>
      <w:pict>
        <v:line style="position:absolute;mso-position-horizontal-relative:page;mso-position-vertical-relative:page;z-index:-484192" from="508.890015pt,715.487793pt" to="523.890015pt,715.487793pt" stroked="true" strokeweight=".25pt" strokecolor="#000000">
          <w10:wrap type="none"/>
        </v:lin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168" from="21pt,721.487793pt" to="21pt,736.487793pt" stroked="true" strokeweight=".25pt" strokecolor="#000000">
          <w10:wrap type="none"/>
        </v:line>
      </w:pict>
    </w:r>
    <w:r>
      <w:rPr/>
      <w:pict>
        <v:line style="position:absolute;mso-position-horizontal-relative:page;mso-position-vertical-relative:page;z-index:-484144" from="502.890015pt,721.487793pt" to="502.890015pt,736.487793pt" stroked="true" strokeweight=".25pt" strokecolor="#000000">
          <w10:wrap type="none"/>
        </v:lin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072" from="21pt,721.487793pt" to="21pt,736.487793pt" stroked="true" strokeweight=".25pt" strokecolor="#000000">
          <w10:wrap type="none"/>
        </v:line>
      </w:pict>
    </w:r>
    <w:r>
      <w:rPr/>
      <w:pict>
        <v:line style="position:absolute;mso-position-horizontal-relative:page;mso-position-vertical-relative:page;z-index:-484048" from="502.890015pt,721.487793pt" to="502.890015pt,736.487793pt" stroked="true" strokeweight=".25pt" strokecolor="#000000">
          <w10:wrap type="none"/>
        </v:line>
      </w:pict>
    </w:r>
    <w:r>
      <w:rPr/>
      <w:pict>
        <v:line style="position:absolute;mso-position-horizontal-relative:page;mso-position-vertical-relative:page;z-index:-484024" from="131.551193pt,679.685547pt" to="131.551193pt,715.487946pt" stroked="true" strokeweight=".35pt" strokecolor="#231f20">
          <w10:wrap type="none"/>
        </v:line>
      </w:pict>
    </w:r>
    <w:r>
      <w:rPr/>
      <w:pict>
        <v:line style="position:absolute;mso-position-horizontal-relative:page;mso-position-vertical-relative:page;z-index:-484000" from="15pt,715.487793pt" to="0pt,715.487793pt" stroked="true" strokeweight=".25pt" strokecolor="#000000">
          <w10:wrap type="none"/>
        </v:line>
      </w:pict>
    </w:r>
    <w:r>
      <w:rPr/>
      <w:pict>
        <v:line style="position:absolute;mso-position-horizontal-relative:page;mso-position-vertical-relative:page;z-index:-483976" from="508.890015pt,715.487793pt" to="523.890015pt,715.487793pt" stroked="true" strokeweight=".25pt" strokecolor="#000000">
          <w10:wrap type="none"/>
        </v:line>
      </w:pict>
    </w:r>
    <w:r>
      <w:rPr/>
      <w:pict>
        <v:shape style="position:absolute;margin-left:145.858307pt;margin-top:679.968933pt;width:156.65pt;height:9.5pt;mso-position-horizontal-relative:page;mso-position-vertical-relative:page;z-index:-483952" type="#_x0000_t202" filled="false" stroked="false">
          <v:textbox inset="0,0,0,0">
            <w:txbxContent>
              <w:p>
                <w:pPr>
                  <w:spacing w:line="173" w:lineRule="exact" w:before="0"/>
                  <w:ind w:left="20" w:right="0" w:firstLine="0"/>
                  <w:jc w:val="left"/>
                  <w:rPr>
                    <w:rFonts w:ascii="Calibri" w:hAnsi="Calibri"/>
                    <w:sz w:val="15"/>
                  </w:rPr>
                </w:pPr>
                <w:r>
                  <w:rPr>
                    <w:rFonts w:ascii="Calibri" w:hAnsi="Calibri"/>
                    <w:color w:val="6D6E71"/>
                    <w:sz w:val="15"/>
                  </w:rPr>
                  <w:t>Andrea Bautista León y Mauricio Rodríguez  Abreu</w:t>
                </w:r>
              </w:p>
            </w:txbxContent>
          </v:textbox>
          <w10:wrap type="none"/>
        </v:shape>
      </w:pict>
    </w:r>
    <w:r>
      <w:rPr/>
      <w:pict>
        <v:shape style="position:absolute;margin-left:90.604897pt;margin-top:681.364929pt;width:18.7pt;height:12pt;mso-position-horizontal-relative:page;mso-position-vertical-relative:page;z-index:-483928" type="#_x0000_t202" filled="false" stroked="false">
          <v:textbox inset="0,0,0,0">
            <w:txbxContent>
              <w:p>
                <w:pPr>
                  <w:spacing w:line="209" w:lineRule="exact" w:before="0"/>
                  <w:ind w:left="20" w:right="0" w:firstLine="0"/>
                  <w:jc w:val="left"/>
                  <w:rPr>
                    <w:rFonts w:ascii="Arial"/>
                    <w:sz w:val="20"/>
                  </w:rPr>
                </w:pPr>
                <w:r>
                  <w:rPr>
                    <w:rFonts w:ascii="Arial"/>
                    <w:color w:val="414042"/>
                    <w:sz w:val="20"/>
                  </w:rPr>
                  <w:t>270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904" from="21pt,721.487793pt" to="21pt,736.487793pt" stroked="true" strokeweight=".25pt" strokecolor="#000000">
          <w10:wrap type="none"/>
        </v:line>
      </w:pict>
    </w:r>
    <w:r>
      <w:rPr/>
      <w:pict>
        <v:line style="position:absolute;mso-position-horizontal-relative:page;mso-position-vertical-relative:page;z-index:-483880" from="502.890015pt,721.487793pt" to="502.890015pt,736.487793pt" stroked="true" strokeweight=".25pt" strokecolor="#000000">
          <w10:wrap type="none"/>
        </v:lin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760" from="21pt,721.487793pt" to="21pt,736.487793pt" stroked="true" strokeweight=".25pt" strokecolor="#000000">
          <w10:wrap type="none"/>
        </v:line>
      </w:pict>
    </w:r>
    <w:r>
      <w:rPr/>
      <w:pict>
        <v:line style="position:absolute;mso-position-horizontal-relative:page;mso-position-vertical-relative:page;z-index:-483736" from="502.890015pt,721.487793pt" to="502.890015pt,736.487793pt" stroked="true" strokeweight=".25pt" strokecolor="#000000">
          <w10:wrap type="none"/>
        </v:line>
      </w:pict>
    </w:r>
    <w:r>
      <w:rPr/>
      <w:pict>
        <v:line style="position:absolute;mso-position-horizontal-relative:page;mso-position-vertical-relative:page;z-index:-483712" from="15pt,715.487793pt" to="0pt,715.487793pt" stroked="true" strokeweight=".25pt" strokecolor="#000000">
          <w10:wrap type="none"/>
        </v:line>
      </w:pict>
    </w:r>
    <w:r>
      <w:rPr/>
      <w:pict>
        <v:line style="position:absolute;mso-position-horizontal-relative:page;mso-position-vertical-relative:page;z-index:-483688" from="508.890015pt,715.487793pt" to="523.890015pt,715.487793pt" stroked="true" strokeweight=".25pt" strokecolor="#000000">
          <w10:wrap type="none"/>
        </v:lin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664" from="21pt,721.487793pt" to="21pt,736.487793pt" stroked="true" strokeweight=".25pt" strokecolor="#000000">
          <w10:wrap type="none"/>
        </v:line>
      </w:pict>
    </w:r>
    <w:r>
      <w:rPr/>
      <w:pict>
        <v:line style="position:absolute;mso-position-horizontal-relative:page;mso-position-vertical-relative:page;z-index:-483640" from="502.890015pt,721.487793pt" to="502.890015pt,736.487793pt" stroked="true" strokeweight=".25pt" strokecolor="#000000">
          <w10:wrap type="none"/>
        </v:line>
      </w:pict>
    </w:r>
    <w:r>
      <w:rPr/>
      <w:pict>
        <v:line style="position:absolute;mso-position-horizontal-relative:page;mso-position-vertical-relative:page;z-index:-483616" from="15pt,715.487793pt" to="0pt,715.487793pt" stroked="true" strokeweight=".25pt" strokecolor="#000000">
          <w10:wrap type="none"/>
        </v:line>
      </w:pict>
    </w:r>
    <w:r>
      <w:rPr/>
      <w:pict>
        <v:line style="position:absolute;mso-position-horizontal-relative:page;mso-position-vertical-relative:page;z-index:-483592" from="508.890015pt,715.487793pt" to="523.890015pt,715.487793pt" stroked="true" strokeweight=".25pt" strokecolor="#000000">
          <w10:wrap type="none"/>
        </v:lin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568" from="21pt,721.487793pt" to="21pt,736.487793pt" stroked="true" strokeweight=".25pt" strokecolor="#000000">
          <w10:wrap type="none"/>
        </v:line>
      </w:pict>
    </w:r>
    <w:r>
      <w:rPr/>
      <w:pict>
        <v:line style="position:absolute;mso-position-horizontal-relative:page;mso-position-vertical-relative:page;z-index:-483544" from="502.890015pt,721.487793pt" to="502.890015pt,736.487793pt" stroked="true" strokeweight=".25pt" strokecolor="#000000">
          <w10:wrap type="none"/>
        </v:lin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472" from="21pt,721.487793pt" to="21pt,736.487793pt" stroked="true" strokeweight=".25pt" strokecolor="#000000">
          <w10:wrap type="none"/>
        </v:line>
      </w:pict>
    </w:r>
    <w:r>
      <w:rPr/>
      <w:pict>
        <v:line style="position:absolute;mso-position-horizontal-relative:page;mso-position-vertical-relative:page;z-index:-483448" from="502.890015pt,721.487793pt" to="502.890015pt,736.487793pt" stroked="true" strokeweight=".25pt" strokecolor="#000000">
          <w10:wrap type="none"/>
        </v:line>
      </w:pict>
    </w:r>
    <w:r>
      <w:rPr/>
      <w:pict>
        <v:line style="position:absolute;mso-position-horizontal-relative:page;mso-position-vertical-relative:page;z-index:-483424" from="15pt,715.487793pt" to="0pt,715.487793pt" stroked="true" strokeweight=".25pt" strokecolor="#000000">
          <w10:wrap type="none"/>
        </v:line>
      </w:pict>
    </w:r>
    <w:r>
      <w:rPr/>
      <w:pict>
        <v:line style="position:absolute;mso-position-horizontal-relative:page;mso-position-vertical-relative:page;z-index:-483400" from="508.890015pt,715.487793pt" to="523.890015pt,715.487793pt" stroked="true" strokeweight=".25pt" strokecolor="#000000">
          <w10:wrap type="none"/>
        </v:lin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280" from="21pt,721.487793pt" to="21pt,736.487793pt" stroked="true" strokeweight=".25pt" strokecolor="#000000">
          <w10:wrap type="none"/>
        </v:line>
      </w:pict>
    </w:r>
    <w:r>
      <w:rPr/>
      <w:pict>
        <v:line style="position:absolute;mso-position-horizontal-relative:page;mso-position-vertical-relative:page;z-index:-483256" from="502.890015pt,721.487793pt" to="502.890015pt,736.487793pt" stroked="true" strokeweight=".25pt" strokecolor="#000000">
          <w10:wrap type="none"/>
        </v:line>
      </w:pict>
    </w:r>
    <w:r>
      <w:rPr/>
      <w:pict>
        <v:line style="position:absolute;mso-position-horizontal-relative:page;mso-position-vertical-relative:page;z-index:-483232" from="15pt,715.487793pt" to="0pt,715.487793pt" stroked="true" strokeweight=".25pt" strokecolor="#000000">
          <w10:wrap type="none"/>
        </v:line>
      </w:pict>
    </w:r>
    <w:r>
      <w:rPr/>
      <w:pict>
        <v:line style="position:absolute;mso-position-horizontal-relative:page;mso-position-vertical-relative:page;z-index:-483208" from="508.890015pt,715.487793pt" to="523.890015pt,715.487793pt" stroked="true" strokeweight=".25pt" strokecolor="#000000">
          <w10:wrap type="none"/>
        </v:lin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184" from="21pt,721.487793pt" to="21pt,736.487793pt" stroked="true" strokeweight=".25pt" strokecolor="#000000">
          <w10:wrap type="none"/>
        </v:line>
      </w:pict>
    </w:r>
    <w:r>
      <w:rPr/>
      <w:pict>
        <v:line style="position:absolute;mso-position-horizontal-relative:page;mso-position-vertical-relative:page;z-index:-483160" from="502.890015pt,721.487793pt" to="502.890015pt,736.487793pt" stroked="true" strokeweight=".25pt" strokecolor="#000000">
          <w10:wrap type="none"/>
        </v:line>
      </w:pict>
    </w:r>
    <w:r>
      <w:rPr/>
      <w:pict>
        <v:line style="position:absolute;mso-position-horizontal-relative:page;mso-position-vertical-relative:page;z-index:-483136" from="15pt,715.487793pt" to="0pt,715.487793pt" stroked="true" strokeweight=".25pt" strokecolor="#000000">
          <w10:wrap type="none"/>
        </v:line>
      </w:pict>
    </w:r>
    <w:r>
      <w:rPr/>
      <w:pict>
        <v:line style="position:absolute;mso-position-horizontal-relative:page;mso-position-vertical-relative:page;z-index:-483112" from="508.890015pt,715.487793pt" to="523.890015pt,715.487793pt" stroked="true" strokeweight=".25pt" strokecolor="#000000">
          <w10:wrap type="none"/>
        </v:lin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680" from="21pt,721.487793pt" to="21pt,736.487793pt" stroked="true" strokeweight=".25pt" strokecolor="#000000">
          <w10:wrap type="none"/>
        </v:line>
      </w:pict>
    </w:r>
    <w:r>
      <w:rPr/>
      <w:pict>
        <v:line style="position:absolute;mso-position-horizontal-relative:page;mso-position-vertical-relative:page;z-index:-488656" from="502.890015pt,721.487793pt" to="502.890015pt,736.487793pt" stroked="true" strokeweight=".25pt" strokecolor="#000000">
          <w10:wrap type="none"/>
        </v:lin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088" from="21pt,721.487793pt" to="21pt,736.487793pt" stroked="true" strokeweight=".25pt" strokecolor="#000000">
          <w10:wrap type="none"/>
        </v:line>
      </w:pict>
    </w:r>
    <w:r>
      <w:rPr/>
      <w:pict>
        <v:line style="position:absolute;mso-position-horizontal-relative:page;mso-position-vertical-relative:page;z-index:-483064" from="502.890015pt,721.487793pt" to="502.890015pt,736.487793pt" stroked="true" strokeweight=".25pt" strokecolor="#000000">
          <w10:wrap type="none"/>
        </v:lin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992" from="21pt,721.487793pt" to="21pt,736.487793pt" stroked="true" strokeweight=".25pt" strokecolor="#000000">
          <w10:wrap type="none"/>
        </v:line>
      </w:pict>
    </w:r>
    <w:r>
      <w:rPr/>
      <w:pict>
        <v:line style="position:absolute;mso-position-horizontal-relative:page;mso-position-vertical-relative:page;z-index:-482968" from="502.890015pt,721.487793pt" to="502.890015pt,736.487793pt" stroked="true" strokeweight=".25pt" strokecolor="#000000">
          <w10:wrap type="none"/>
        </v:line>
      </w:pict>
    </w:r>
    <w:r>
      <w:rPr/>
      <w:pict>
        <v:line style="position:absolute;mso-position-horizontal-relative:page;mso-position-vertical-relative:page;z-index:-482944" from="15pt,715.487793pt" to="0pt,715.487793pt" stroked="true" strokeweight=".25pt" strokecolor="#000000">
          <w10:wrap type="none"/>
        </v:line>
      </w:pict>
    </w:r>
    <w:r>
      <w:rPr/>
      <w:pict>
        <v:line style="position:absolute;mso-position-horizontal-relative:page;mso-position-vertical-relative:page;z-index:-482920" from="508.890015pt,715.487793pt" to="523.890015pt,715.487793pt" stroked="true" strokeweight=".25pt" strokecolor="#000000">
          <w10:wrap type="none"/>
        </v:lin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800" from="21pt,721.487793pt" to="21pt,736.487793pt" stroked="true" strokeweight=".25pt" strokecolor="#000000">
          <w10:wrap type="none"/>
        </v:line>
      </w:pict>
    </w:r>
    <w:r>
      <w:rPr/>
      <w:pict>
        <v:line style="position:absolute;mso-position-horizontal-relative:page;mso-position-vertical-relative:page;z-index:-482776" from="502.890015pt,721.487793pt" to="502.890015pt,736.487793pt" stroked="true" strokeweight=".25pt" strokecolor="#000000">
          <w10:wrap type="none"/>
        </v:line>
      </w:pict>
    </w:r>
    <w:r>
      <w:rPr/>
      <w:pict>
        <v:line style="position:absolute;mso-position-horizontal-relative:page;mso-position-vertical-relative:page;z-index:-482752" from="15pt,715.487793pt" to="0pt,715.487793pt" stroked="true" strokeweight=".25pt" strokecolor="#000000">
          <w10:wrap type="none"/>
        </v:line>
      </w:pict>
    </w:r>
    <w:r>
      <w:rPr/>
      <w:pict>
        <v:line style="position:absolute;mso-position-horizontal-relative:page;mso-position-vertical-relative:page;z-index:-482728" from="508.890015pt,715.487793pt" to="523.890015pt,715.487793pt" stroked="true" strokeweight=".25pt" strokecolor="#000000">
          <w10:wrap type="none"/>
        </v:lin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704" from="21pt,721.487793pt" to="21pt,736.487793pt" stroked="true" strokeweight=".25pt" strokecolor="#000000">
          <w10:wrap type="none"/>
        </v:line>
      </w:pict>
    </w:r>
    <w:r>
      <w:rPr/>
      <w:pict>
        <v:line style="position:absolute;mso-position-horizontal-relative:page;mso-position-vertical-relative:page;z-index:-482680" from="502.890015pt,721.487793pt" to="502.890015pt,736.487793pt" stroked="true" strokeweight=".25pt" strokecolor="#000000">
          <w10:wrap type="none"/>
        </v:line>
      </w:pict>
    </w:r>
    <w:r>
      <w:rPr/>
      <w:pict>
        <v:line style="position:absolute;mso-position-horizontal-relative:page;mso-position-vertical-relative:page;z-index:-482656" from="15pt,715.487793pt" to="0pt,715.487793pt" stroked="true" strokeweight=".25pt" strokecolor="#000000">
          <w10:wrap type="none"/>
        </v:line>
      </w:pict>
    </w:r>
    <w:r>
      <w:rPr/>
      <w:pict>
        <v:line style="position:absolute;mso-position-horizontal-relative:page;mso-position-vertical-relative:page;z-index:-482632" from="508.890015pt,715.487793pt" to="523.890015pt,715.487793pt" stroked="true" strokeweight=".25pt" strokecolor="#000000">
          <w10:wrap type="none"/>
        </v:lin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608" from="21pt,721.487793pt" to="21pt,736.487793pt" stroked="true" strokeweight=".25pt" strokecolor="#000000">
          <w10:wrap type="none"/>
        </v:line>
      </w:pict>
    </w:r>
    <w:r>
      <w:rPr/>
      <w:pict>
        <v:line style="position:absolute;mso-position-horizontal-relative:page;mso-position-vertical-relative:page;z-index:-482584" from="502.890015pt,721.487793pt" to="502.890015pt,736.487793pt" stroked="true" strokeweight=".25pt" strokecolor="#000000">
          <w10:wrap type="none"/>
        </v:lin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512" from="21pt,721.487793pt" to="21pt,736.487793pt" stroked="true" strokeweight=".25pt" strokecolor="#000000">
          <w10:wrap type="none"/>
        </v:line>
      </w:pict>
    </w:r>
    <w:r>
      <w:rPr/>
      <w:pict>
        <v:line style="position:absolute;mso-position-horizontal-relative:page;mso-position-vertical-relative:page;z-index:-482488" from="502.890015pt,721.487793pt" to="502.890015pt,736.487793pt" stroked="true" strokeweight=".25pt" strokecolor="#000000">
          <w10:wrap type="none"/>
        </v:line>
      </w:pict>
    </w:r>
    <w:r>
      <w:rPr/>
      <w:pict>
        <v:line style="position:absolute;mso-position-horizontal-relative:page;mso-position-vertical-relative:page;z-index:-482464" from="15pt,715.487793pt" to="0pt,715.487793pt" stroked="true" strokeweight=".25pt" strokecolor="#000000">
          <w10:wrap type="none"/>
        </v:line>
      </w:pict>
    </w:r>
    <w:r>
      <w:rPr/>
      <w:pict>
        <v:line style="position:absolute;mso-position-horizontal-relative:page;mso-position-vertical-relative:page;z-index:-482440" from="508.890015pt,715.487793pt" to="523.890015pt,715.487793pt" stroked="true" strokeweight=".25pt" strokecolor="#000000">
          <w10:wrap type="none"/>
        </v:lin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320" from="21pt,721.487793pt" to="21pt,736.487793pt" stroked="true" strokeweight=".25pt" strokecolor="#000000">
          <w10:wrap type="none"/>
        </v:line>
      </w:pict>
    </w:r>
    <w:r>
      <w:rPr/>
      <w:pict>
        <v:line style="position:absolute;mso-position-horizontal-relative:page;mso-position-vertical-relative:page;z-index:-482296" from="502.890015pt,721.487793pt" to="502.890015pt,736.487793pt" stroked="true" strokeweight=".25pt" strokecolor="#000000">
          <w10:wrap type="none"/>
        </v:line>
      </w:pict>
    </w:r>
    <w:r>
      <w:rPr/>
      <w:pict>
        <v:line style="position:absolute;mso-position-horizontal-relative:page;mso-position-vertical-relative:page;z-index:-482272" from="15pt,715.487793pt" to="0pt,715.487793pt" stroked="true" strokeweight=".25pt" strokecolor="#000000">
          <w10:wrap type="none"/>
        </v:line>
      </w:pict>
    </w:r>
    <w:r>
      <w:rPr/>
      <w:pict>
        <v:line style="position:absolute;mso-position-horizontal-relative:page;mso-position-vertical-relative:page;z-index:-482248" from="508.890015pt,715.487793pt" to="523.890015pt,715.487793pt" stroked="true" strokeweight=".25pt" strokecolor="#000000">
          <w10:wrap type="none"/>
        </v:lin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224" from="21pt,721.487793pt" to="21pt,736.487793pt" stroked="true" strokeweight=".25pt" strokecolor="#000000">
          <w10:wrap type="none"/>
        </v:line>
      </w:pict>
    </w:r>
    <w:r>
      <w:rPr/>
      <w:pict>
        <v:line style="position:absolute;mso-position-horizontal-relative:page;mso-position-vertical-relative:page;z-index:-482200" from="502.890015pt,721.487793pt" to="502.890015pt,736.487793pt" stroked="true" strokeweight=".25pt" strokecolor="#000000">
          <w10:wrap type="none"/>
        </v:line>
      </w:pict>
    </w:r>
    <w:r>
      <w:rPr/>
      <w:pict>
        <v:line style="position:absolute;mso-position-horizontal-relative:page;mso-position-vertical-relative:page;z-index:-482176" from="15pt,715.487793pt" to="0pt,715.487793pt" stroked="true" strokeweight=".25pt" strokecolor="#000000">
          <w10:wrap type="none"/>
        </v:line>
      </w:pict>
    </w:r>
    <w:r>
      <w:rPr/>
      <w:pict>
        <v:line style="position:absolute;mso-position-horizontal-relative:page;mso-position-vertical-relative:page;z-index:-482152" from="508.890015pt,715.487793pt" to="523.890015pt,715.487793pt" stroked="true" strokeweight=".25pt" strokecolor="#000000">
          <w10:wrap type="none"/>
        </v:lin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128" from="21pt,721.487793pt" to="21pt,736.487793pt" stroked="true" strokeweight=".25pt" strokecolor="#000000">
          <w10:wrap type="none"/>
        </v:line>
      </w:pict>
    </w:r>
    <w:r>
      <w:rPr/>
      <w:pict>
        <v:line style="position:absolute;mso-position-horizontal-relative:page;mso-position-vertical-relative:page;z-index:-482104" from="502.890015pt,721.487793pt" to="502.890015pt,736.487793pt" stroked="true" strokeweight=".25pt" strokecolor="#000000">
          <w10:wrap type="none"/>
        </v:lin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936" from="21pt,721.487793pt" to="21pt,736.487793pt" stroked="true" strokeweight=".25pt" strokecolor="#000000">
          <w10:wrap type="none"/>
        </v:line>
      </w:pict>
    </w:r>
    <w:r>
      <w:rPr/>
      <w:pict>
        <v:line style="position:absolute;mso-position-horizontal-relative:page;mso-position-vertical-relative:page;z-index:-481912" from="502.890015pt,721.487793pt" to="502.890015pt,736.487793pt" stroked="true" strokeweight=".25pt" strokecolor="#000000">
          <w10:wrap type="none"/>
        </v:line>
      </w:pict>
    </w:r>
    <w:r>
      <w:rPr/>
      <w:pict>
        <v:line style="position:absolute;mso-position-horizontal-relative:page;mso-position-vertical-relative:page;z-index:-481888" from="15pt,715.487793pt" to="0pt,715.487793pt" stroked="true" strokeweight=".25pt" strokecolor="#000000">
          <w10:wrap type="none"/>
        </v:line>
      </w:pict>
    </w:r>
    <w:r>
      <w:rPr/>
      <w:pict>
        <v:line style="position:absolute;mso-position-horizontal-relative:page;mso-position-vertical-relative:page;z-index:-481864" from="508.890015pt,715.487793pt" to="523.890015pt,715.487793pt" stroked="true" strokeweight=".25pt" strokecolor="#000000">
          <w10:wrap type="none"/>
        </v:lin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488" from="21pt,721.487793pt" to="21pt,736.487793pt" stroked="true" strokeweight=".25pt" strokecolor="#000000">
          <w10:wrap type="none"/>
        </v:line>
      </w:pict>
    </w:r>
    <w:r>
      <w:rPr/>
      <w:pict>
        <v:line style="position:absolute;mso-position-horizontal-relative:page;mso-position-vertical-relative:page;z-index:-488464" from="502.890015pt,721.487793pt" to="502.890015pt,736.487793pt" stroked="true" strokeweight=".25pt" strokecolor="#000000">
          <w10:wrap type="none"/>
        </v:lin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840" from="21pt,721.487793pt" to="21pt,736.487793pt" stroked="true" strokeweight=".25pt" strokecolor="#000000">
          <w10:wrap type="none"/>
        </v:line>
      </w:pict>
    </w:r>
    <w:r>
      <w:rPr/>
      <w:pict>
        <v:line style="position:absolute;mso-position-horizontal-relative:page;mso-position-vertical-relative:page;z-index:-481816" from="502.890015pt,721.487793pt" to="502.890015pt,736.487793pt" stroked="true" strokeweight=".25pt" strokecolor="#000000">
          <w10:wrap type="none"/>
        </v:line>
      </w:pict>
    </w:r>
    <w:r>
      <w:rPr/>
      <w:pict>
        <v:line style="position:absolute;mso-position-horizontal-relative:page;mso-position-vertical-relative:page;z-index:-481792" from="15pt,715.487793pt" to="0pt,715.487793pt" stroked="true" strokeweight=".25pt" strokecolor="#000000">
          <w10:wrap type="none"/>
        </v:line>
      </w:pict>
    </w:r>
    <w:r>
      <w:rPr/>
      <w:pict>
        <v:line style="position:absolute;mso-position-horizontal-relative:page;mso-position-vertical-relative:page;z-index:-481768" from="508.890015pt,715.487793pt" to="523.890015pt,715.487793pt" stroked="true" strokeweight=".25pt" strokecolor="#000000">
          <w10:wrap type="none"/>
        </v:lin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744" from="21pt,721.487793pt" to="21pt,736.487793pt" stroked="true" strokeweight=".25pt" strokecolor="#000000">
          <w10:wrap type="none"/>
        </v:line>
      </w:pict>
    </w:r>
    <w:r>
      <w:rPr/>
      <w:pict>
        <v:line style="position:absolute;mso-position-horizontal-relative:page;mso-position-vertical-relative:page;z-index:-481720" from="502.890015pt,721.487793pt" to="502.890015pt,736.487793pt" stroked="true" strokeweight=".25pt" strokecolor="#000000">
          <w10:wrap type="none"/>
        </v:lin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648" from="21pt,721.487793pt" to="21pt,736.487793pt" stroked="true" strokeweight=".25pt" strokecolor="#000000">
          <w10:wrap type="none"/>
        </v:line>
      </w:pict>
    </w:r>
    <w:r>
      <w:rPr/>
      <w:pict>
        <v:line style="position:absolute;mso-position-horizontal-relative:page;mso-position-vertical-relative:page;z-index:-481624" from="502.890015pt,721.487793pt" to="502.890015pt,736.487793pt" stroked="true" strokeweight=".25pt" strokecolor="#000000">
          <w10:wrap type="none"/>
        </v:line>
      </w:pict>
    </w:r>
    <w:r>
      <w:rPr/>
      <w:pict>
        <v:line style="position:absolute;mso-position-horizontal-relative:page;mso-position-vertical-relative:page;z-index:-481600" from="15pt,715.487793pt" to="0pt,715.487793pt" stroked="true" strokeweight=".25pt" strokecolor="#000000">
          <w10:wrap type="none"/>
        </v:line>
      </w:pict>
    </w:r>
    <w:r>
      <w:rPr/>
      <w:pict>
        <v:line style="position:absolute;mso-position-horizontal-relative:page;mso-position-vertical-relative:page;z-index:-481576" from="508.890015pt,715.487793pt" to="523.890015pt,715.487793pt" stroked="true" strokeweight=".25pt" strokecolor="#000000">
          <w10:wrap type="none"/>
        </v:lin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456" from="21pt,721.487793pt" to="21pt,736.487793pt" stroked="true" strokeweight=".25pt" strokecolor="#000000">
          <w10:wrap type="none"/>
        </v:line>
      </w:pict>
    </w:r>
    <w:r>
      <w:rPr/>
      <w:pict>
        <v:line style="position:absolute;mso-position-horizontal-relative:page;mso-position-vertical-relative:page;z-index:-481432" from="502.890015pt,721.487793pt" to="502.890015pt,736.487793pt" stroked="true" strokeweight=".25pt" strokecolor="#000000">
          <w10:wrap type="none"/>
        </v:line>
      </w:pict>
    </w:r>
    <w:r>
      <w:rPr/>
      <w:pict>
        <v:line style="position:absolute;mso-position-horizontal-relative:page;mso-position-vertical-relative:page;z-index:-481408" from="15pt,715.487793pt" to="0pt,715.487793pt" stroked="true" strokeweight=".25pt" strokecolor="#000000">
          <w10:wrap type="none"/>
        </v:line>
      </w:pict>
    </w:r>
    <w:r>
      <w:rPr/>
      <w:pict>
        <v:line style="position:absolute;mso-position-horizontal-relative:page;mso-position-vertical-relative:page;z-index:-481384" from="508.890015pt,715.487793pt" to="523.890015pt,715.487793pt" stroked="true" strokeweight=".25pt" strokecolor="#000000">
          <w10:wrap type="none"/>
        </v:lin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360" from="21pt,721.487793pt" to="21pt,736.487793pt" stroked="true" strokeweight=".25pt" strokecolor="#000000">
          <w10:wrap type="none"/>
        </v:line>
      </w:pict>
    </w:r>
    <w:r>
      <w:rPr/>
      <w:pict>
        <v:line style="position:absolute;mso-position-horizontal-relative:page;mso-position-vertical-relative:page;z-index:-481336" from="502.890015pt,721.487793pt" to="502.890015pt,736.487793pt" stroked="true" strokeweight=".25pt" strokecolor="#000000">
          <w10:wrap type="none"/>
        </v:line>
      </w:pict>
    </w:r>
    <w:r>
      <w:rPr/>
      <w:pict>
        <v:line style="position:absolute;mso-position-horizontal-relative:page;mso-position-vertical-relative:page;z-index:-481312" from="15pt,715.487793pt" to="0pt,715.487793pt" stroked="true" strokeweight=".25pt" strokecolor="#000000">
          <w10:wrap type="none"/>
        </v:line>
      </w:pict>
    </w:r>
    <w:r>
      <w:rPr/>
      <w:pict>
        <v:line style="position:absolute;mso-position-horizontal-relative:page;mso-position-vertical-relative:page;z-index:-481288" from="508.890015pt,715.487793pt" to="523.890015pt,715.487793pt" stroked="true" strokeweight=".25pt" strokecolor="#000000">
          <w10:wrap type="none"/>
        </v:lin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264" from="21pt,721.487793pt" to="21pt,736.487793pt" stroked="true" strokeweight=".25pt" strokecolor="#000000">
          <w10:wrap type="none"/>
        </v:line>
      </w:pict>
    </w:r>
    <w:r>
      <w:rPr/>
      <w:pict>
        <v:line style="position:absolute;mso-position-horizontal-relative:page;mso-position-vertical-relative:page;z-index:-481240" from="502.890015pt,721.487793pt" to="502.890015pt,736.487793pt" stroked="true" strokeweight=".25pt" strokecolor="#000000">
          <w10:wrap type="none"/>
        </v:lin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168" from="21pt,721.487793pt" to="21pt,736.487793pt" stroked="true" strokeweight=".25pt" strokecolor="#000000">
          <w10:wrap type="none"/>
        </v:line>
      </w:pict>
    </w:r>
    <w:r>
      <w:rPr/>
      <w:pict>
        <v:line style="position:absolute;mso-position-horizontal-relative:page;mso-position-vertical-relative:page;z-index:-481144" from="502.890015pt,721.487793pt" to="502.890015pt,736.487793pt" stroked="true" strokeweight=".25pt" strokecolor="#000000">
          <w10:wrap type="none"/>
        </v:line>
      </w:pict>
    </w:r>
    <w:r>
      <w:rPr/>
      <w:pict>
        <v:line style="position:absolute;mso-position-horizontal-relative:page;mso-position-vertical-relative:page;z-index:-481120" from="15pt,715.487793pt" to="0pt,715.487793pt" stroked="true" strokeweight=".25pt" strokecolor="#000000">
          <w10:wrap type="none"/>
        </v:line>
      </w:pict>
    </w:r>
    <w:r>
      <w:rPr/>
      <w:pict>
        <v:line style="position:absolute;mso-position-horizontal-relative:page;mso-position-vertical-relative:page;z-index:-481096" from="508.890015pt,715.487793pt" to="523.890015pt,715.487793pt" stroked="true" strokeweight=".25pt" strokecolor="#000000">
          <w10:wrap type="none"/>
        </v:lin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0976" from="21pt,721.487793pt" to="21pt,736.487793pt" stroked="true" strokeweight=".25pt" strokecolor="#000000">
          <w10:wrap type="none"/>
        </v:line>
      </w:pict>
    </w:r>
    <w:r>
      <w:rPr/>
      <w:pict>
        <v:line style="position:absolute;mso-position-horizontal-relative:page;mso-position-vertical-relative:page;z-index:-480952" from="502.890015pt,721.487793pt" to="502.890015pt,736.487793pt" stroked="true" strokeweight=".25pt" strokecolor="#000000">
          <w10:wrap type="none"/>
        </v:line>
      </w:pict>
    </w:r>
    <w:r>
      <w:rPr/>
      <w:pict>
        <v:line style="position:absolute;mso-position-horizontal-relative:page;mso-position-vertical-relative:page;z-index:-480928" from="15pt,715.487793pt" to="0pt,715.487793pt" stroked="true" strokeweight=".25pt" strokecolor="#000000">
          <w10:wrap type="none"/>
        </v:line>
      </w:pict>
    </w:r>
    <w:r>
      <w:rPr/>
      <w:pict>
        <v:line style="position:absolute;mso-position-horizontal-relative:page;mso-position-vertical-relative:page;z-index:-480904" from="508.890015pt,715.487793pt" to="523.890015pt,715.487793pt" stroked="true" strokeweight=".25pt" strokecolor="#000000">
          <w10:wrap type="none"/>
        </v:lin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440" from="21pt,721.487793pt" to="21pt,736.487793pt" stroked="true" strokeweight=".25pt" strokecolor="#000000">
          <w10:wrap type="none"/>
        </v:line>
      </w:pict>
    </w:r>
    <w:r>
      <w:rPr/>
      <w:pict>
        <v:line style="position:absolute;mso-position-horizontal-relative:page;mso-position-vertical-relative:page;z-index:-488416" from="502.890015pt,721.487793pt" to="502.890015pt,736.487793pt" stroked="true" strokeweight=".25pt" strokecolor="#000000">
          <w10:wrap type="none"/>
        </v:line>
      </w:pict>
    </w:r>
    <w:r>
      <w:rPr/>
      <w:pict>
        <v:line style="position:absolute;mso-position-horizontal-relative:page;mso-position-vertical-relative:page;z-index:-488392" from="15pt,715.487793pt" to="0pt,715.487793pt" stroked="true" strokeweight=".25pt" strokecolor="#000000">
          <w10:wrap type="none"/>
        </v:line>
      </w:pict>
    </w:r>
    <w:r>
      <w:rPr/>
      <w:pict>
        <v:line style="position:absolute;mso-position-horizontal-relative:page;mso-position-vertical-relative:page;z-index:-488368" from="508.890015pt,715.487793pt" to="523.890015pt,715.487793pt" stroked="true" strokeweight=".25pt" strokecolor="#000000">
          <w10:wrap type="none"/>
        </v:lin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344" from="21pt,721.487793pt" to="21pt,736.487793pt" stroked="true" strokeweight=".25pt" strokecolor="#000000">
          <w10:wrap type="none"/>
        </v:line>
      </w:pict>
    </w:r>
    <w:r>
      <w:rPr/>
      <w:pict>
        <v:line style="position:absolute;mso-position-horizontal-relative:page;mso-position-vertical-relative:page;z-index:-488320" from="502.890015pt,721.487793pt" to="502.890015pt,736.487793pt" stroked="true" strokeweight=".25pt" strokecolor="#000000">
          <w10:wrap type="none"/>
        </v:line>
      </w:pict>
    </w:r>
    <w:r>
      <w:rPr/>
      <w:pict>
        <v:line style="position:absolute;mso-position-horizontal-relative:page;mso-position-vertical-relative:page;z-index:-488296" from="15pt,715.487793pt" to="0pt,715.487793pt" stroked="true" strokeweight=".25pt" strokecolor="#000000">
          <w10:wrap type="none"/>
        </v:line>
      </w:pict>
    </w:r>
    <w:r>
      <w:rPr/>
      <w:pict>
        <v:line style="position:absolute;mso-position-horizontal-relative:page;mso-position-vertical-relative:page;z-index:-488272" from="508.890015pt,715.487793pt" to="523.890015pt,715.487793pt" stroked="true" strokeweight=".25pt" strokecolor="#000000">
          <w10:wrap type="none"/>
        </v:lin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248" from="21pt,721.487793pt" to="21pt,736.487793pt" stroked="true" strokeweight=".25pt" strokecolor="#000000">
          <w10:wrap type="none"/>
        </v:line>
      </w:pict>
    </w:r>
    <w:r>
      <w:rPr/>
      <w:pict>
        <v:line style="position:absolute;mso-position-horizontal-relative:page;mso-position-vertical-relative:page;z-index:-488224" from="502.890015pt,721.487793pt" to="502.890015pt,736.487793pt" stroked="true" strokeweight=".25pt" strokecolor="#000000">
          <w10:wrap type="none"/>
        </v:lin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9160" from="21pt,14.999776pt" to="21pt,-.000224pt" stroked="true" strokeweight=".25pt" strokecolor="#000000">
          <w10:wrap type="none"/>
        </v:line>
      </w:pict>
    </w:r>
    <w:r>
      <w:rPr/>
      <w:pict>
        <v:line style="position:absolute;mso-position-horizontal-relative:page;mso-position-vertical-relative:page;z-index:-489136" from="502.890015pt,14.999776pt" to="502.890015pt,-.000224pt" stroked="true" strokeweight=".25pt" strokecolor="#000000">
          <w10:wrap type="none"/>
        </v:line>
      </w:pict>
    </w:r>
    <w:r>
      <w:rPr/>
      <w:pict>
        <v:line style="position:absolute;mso-position-horizontal-relative:page;mso-position-vertical-relative:page;z-index:-489112" from="15pt,20.999777pt" to="0pt,20.999777pt" stroked="true" strokeweight=".25pt" strokecolor="#000000">
          <w10:wrap type="none"/>
        </v:line>
      </w:pict>
    </w:r>
    <w:r>
      <w:rPr/>
      <w:pict>
        <v:line style="position:absolute;mso-position-horizontal-relative:page;mso-position-vertical-relative:page;z-index:-489088" from="508.890015pt,20.999777pt" to="523.890015pt,20.999777pt" stroked="true" strokeweight=".25pt" strokecolor="#000000">
          <w10:wrap type="none"/>
        </v:lin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952" from="21pt,14.999776pt" to="21pt,-.000224pt" stroked="true" strokeweight=".25pt" strokecolor="#000000">
          <w10:wrap type="none"/>
        </v:line>
      </w:pict>
    </w:r>
    <w:r>
      <w:rPr/>
      <w:pict>
        <v:line style="position:absolute;mso-position-horizontal-relative:page;mso-position-vertical-relative:page;z-index:-486928" from="502.890015pt,14.999776pt" to="502.890015pt,-.000224pt" stroked="true" strokeweight=".25pt" strokecolor="#000000">
          <w10:wrap type="none"/>
        </v:lin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808" from="21pt,14.999776pt" to="21pt,-.000224pt" stroked="true" strokeweight=".25pt" strokecolor="#000000">
          <w10:wrap type="none"/>
        </v:line>
      </w:pict>
    </w:r>
    <w:r>
      <w:rPr/>
      <w:pict>
        <v:line style="position:absolute;mso-position-horizontal-relative:page;mso-position-vertical-relative:page;z-index:-486784" from="502.890015pt,14.999776pt" to="502.890015pt,-.000224pt" stroked="true" strokeweight=".25pt" strokecolor="#000000">
          <w10:wrap type="none"/>
        </v:line>
      </w:pict>
    </w:r>
    <w:r>
      <w:rPr/>
      <w:pict>
        <v:line style="position:absolute;mso-position-horizontal-relative:page;mso-position-vertical-relative:page;z-index:-486760" from="15pt,20.999777pt" to="0pt,20.999777pt" stroked="true" strokeweight=".25pt" strokecolor="#000000">
          <w10:wrap type="none"/>
        </v:line>
      </w:pict>
    </w:r>
    <w:r>
      <w:rPr/>
      <w:pict>
        <v:line style="position:absolute;mso-position-horizontal-relative:page;mso-position-vertical-relative:page;z-index:-486736" from="508.890015pt,20.999777pt" to="523.890015pt,20.999777pt" stroked="true" strokeweight=".25pt" strokecolor="#000000">
          <w10:wrap type="none"/>
        </v:lin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616" from="21pt,14.999776pt" to="21pt,-.000224pt" stroked="true" strokeweight=".25pt" strokecolor="#000000">
          <w10:wrap type="none"/>
        </v:line>
      </w:pict>
    </w:r>
    <w:r>
      <w:rPr/>
      <w:pict>
        <v:line style="position:absolute;mso-position-horizontal-relative:page;mso-position-vertical-relative:page;z-index:-486592" from="502.890015pt,14.999776pt" to="502.890015pt,-.000224pt" stroked="true" strokeweight=".25pt" strokecolor="#000000">
          <w10:wrap type="none"/>
        </v:line>
      </w:pict>
    </w:r>
    <w:r>
      <w:rPr/>
      <w:pict>
        <v:line style="position:absolute;mso-position-horizontal-relative:page;mso-position-vertical-relative:page;z-index:-486568" from="15pt,20.999777pt" to="0pt,20.999777pt" stroked="true" strokeweight=".25pt" strokecolor="#000000">
          <w10:wrap type="none"/>
        </v:line>
      </w:pict>
    </w:r>
    <w:r>
      <w:rPr/>
      <w:pict>
        <v:line style="position:absolute;mso-position-horizontal-relative:page;mso-position-vertical-relative:page;z-index:-486544" from="508.890015pt,20.999777pt" to="523.890015pt,20.999777pt" stroked="true" strokeweight=".25pt" strokecolor="#000000">
          <w10:wrap type="none"/>
        </v:lin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280" from="21pt,14.999776pt" to="21pt,-.000224pt" stroked="true" strokeweight=".25pt" strokecolor="#000000">
          <w10:wrap type="none"/>
        </v:line>
      </w:pict>
    </w:r>
    <w:r>
      <w:rPr/>
      <w:pict>
        <v:line style="position:absolute;mso-position-horizontal-relative:page;mso-position-vertical-relative:page;z-index:-486256" from="502.890015pt,14.999776pt" to="502.890015pt,-.000224pt" stroked="true" strokeweight=".25pt" strokecolor="#000000">
          <w10:wrap type="none"/>
        </v:lin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6232" from="21pt,14.999776pt" to="21pt,-.000224pt" stroked="true" strokeweight=".25pt" strokecolor="#000000">
          <w10:wrap type="none"/>
        </v:line>
      </w:pict>
    </w:r>
    <w:r>
      <w:rPr/>
      <w:pict>
        <v:line style="position:absolute;mso-position-horizontal-relative:page;mso-position-vertical-relative:page;z-index:-486208" from="502.890015pt,14.999776pt" to="502.890015pt,-.000224pt" stroked="true" strokeweight=".25pt" strokecolor="#000000">
          <w10:wrap type="none"/>
        </v:line>
      </w:pict>
    </w:r>
    <w:r>
      <w:rPr/>
      <w:pict>
        <v:line style="position:absolute;mso-position-horizontal-relative:page;mso-position-vertical-relative:page;z-index:-486184" from="15pt,20.999777pt" to="0pt,20.999777pt" stroked="true" strokeweight=".25pt" strokecolor="#000000">
          <w10:wrap type="none"/>
        </v:line>
      </w:pict>
    </w:r>
    <w:r>
      <w:rPr/>
      <w:pict>
        <v:line style="position:absolute;mso-position-horizontal-relative:page;mso-position-vertical-relative:page;z-index:-486160" from="508.890015pt,20.999777pt" to="523.890015pt,20.999777pt" stroked="true" strokeweight=".25pt" strokecolor="#000000">
          <w10:wrap type="none"/>
        </v:lin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896" from="21pt,14.999776pt" to="21pt,-.000224pt" stroked="true" strokeweight=".25pt" strokecolor="#000000">
          <w10:wrap type="none"/>
        </v:line>
      </w:pict>
    </w:r>
    <w:r>
      <w:rPr/>
      <w:pict>
        <v:line style="position:absolute;mso-position-horizontal-relative:page;mso-position-vertical-relative:page;z-index:-485872" from="502.890015pt,14.999776pt" to="502.890015pt,-.000224pt" stroked="true" strokeweight=".25pt" strokecolor="#000000">
          <w10:wrap type="none"/>
        </v:lin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848" from="21pt,14.999776pt" to="21pt,-.000224pt" stroked="true" strokeweight=".25pt" strokecolor="#000000">
          <w10:wrap type="none"/>
        </v:line>
      </w:pict>
    </w:r>
    <w:r>
      <w:rPr/>
      <w:pict>
        <v:line style="position:absolute;mso-position-horizontal-relative:page;mso-position-vertical-relative:page;z-index:-485824" from="502.890015pt,14.999776pt" to="502.890015pt,-.000224pt" stroked="true" strokeweight=".25pt" strokecolor="#000000">
          <w10:wrap type="none"/>
        </v:line>
      </w:pict>
    </w:r>
    <w:r>
      <w:rPr/>
      <w:pict>
        <v:line style="position:absolute;mso-position-horizontal-relative:page;mso-position-vertical-relative:page;z-index:-485800" from="15pt,20.999777pt" to="0pt,20.999777pt" stroked="true" strokeweight=".25pt" strokecolor="#000000">
          <w10:wrap type="none"/>
        </v:line>
      </w:pict>
    </w:r>
    <w:r>
      <w:rPr/>
      <w:pict>
        <v:line style="position:absolute;mso-position-horizontal-relative:page;mso-position-vertical-relative:page;z-index:-485776" from="508.890015pt,20.999777pt" to="523.890015pt,20.999777pt" stroked="true" strokeweight=".25pt" strokecolor="#000000">
          <w10:wrap type="none"/>
        </v:lin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512" from="21pt,14.999776pt" to="21pt,-.000224pt" stroked="true" strokeweight=".25pt" strokecolor="#000000">
          <w10:wrap type="none"/>
        </v:line>
      </w:pict>
    </w:r>
    <w:r>
      <w:rPr/>
      <w:pict>
        <v:line style="position:absolute;mso-position-horizontal-relative:page;mso-position-vertical-relative:page;z-index:-485488" from="502.890015pt,14.999776pt" to="502.890015pt,-.000224pt" stroked="true" strokeweight=".25pt" strokecolor="#000000">
          <w10:wrap type="none"/>
        </v:lin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368" from="21pt,14.999776pt" to="21pt,-.000224pt" stroked="true" strokeweight=".25pt" strokecolor="#000000">
          <w10:wrap type="none"/>
        </v:line>
      </w:pict>
    </w:r>
    <w:r>
      <w:rPr/>
      <w:pict>
        <v:line style="position:absolute;mso-position-horizontal-relative:page;mso-position-vertical-relative:page;z-index:-485344" from="502.890015pt,14.999776pt" to="502.890015pt,-.000224pt" stroked="true" strokeweight=".25pt" strokecolor="#000000">
          <w10:wrap type="none"/>
        </v:line>
      </w:pict>
    </w:r>
    <w:r>
      <w:rPr/>
      <w:pict>
        <v:line style="position:absolute;mso-position-horizontal-relative:page;mso-position-vertical-relative:page;z-index:-485320" from="15pt,20.999777pt" to="0pt,20.999777pt" stroked="true" strokeweight=".25pt" strokecolor="#000000">
          <w10:wrap type="none"/>
        </v:line>
      </w:pict>
    </w:r>
    <w:r>
      <w:rPr/>
      <w:pict>
        <v:line style="position:absolute;mso-position-horizontal-relative:page;mso-position-vertical-relative:page;z-index:-485296" from="508.890015pt,20.999777pt" to="523.890015pt,20.999777pt" stroked="true" strokeweight=".25pt" strokecolor="#000000">
          <w10:wrap type="none"/>
        </v:lin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5032" from="21pt,14.999776pt" to="21pt,-.000224pt" stroked="true" strokeweight=".25pt" strokecolor="#000000">
          <w10:wrap type="none"/>
        </v:line>
      </w:pict>
    </w:r>
    <w:r>
      <w:rPr/>
      <w:pict>
        <v:line style="position:absolute;mso-position-horizontal-relative:page;mso-position-vertical-relative:page;z-index:-485008" from="502.890015pt,14.999776pt" to="502.890015pt,-.000224pt" stroked="true" strokeweight=".25pt" strokecolor="#000000">
          <w10:wrap type="none"/>
        </v:lin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632" from="21pt,14.999776pt" to="21pt,-.000224pt" stroked="true" strokeweight=".25pt" strokecolor="#000000">
          <w10:wrap type="none"/>
        </v:line>
      </w:pict>
    </w:r>
    <w:r>
      <w:rPr/>
      <w:pict>
        <v:line style="position:absolute;mso-position-horizontal-relative:page;mso-position-vertical-relative:page;z-index:-488608" from="502.890015pt,14.999776pt" to="502.890015pt,-.000224pt" stroked="true" strokeweight=".25pt" strokecolor="#000000">
          <w10:wrap type="none"/>
        </v:lin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984" from="21pt,14.999776pt" to="21pt,-.000224pt" stroked="true" strokeweight=".25pt" strokecolor="#000000">
          <w10:wrap type="none"/>
        </v:line>
      </w:pict>
    </w:r>
    <w:r>
      <w:rPr/>
      <w:pict>
        <v:line style="position:absolute;mso-position-horizontal-relative:page;mso-position-vertical-relative:page;z-index:-484960" from="502.890015pt,14.999776pt" to="502.890015pt,-.000224pt" stroked="true" strokeweight=".25pt" strokecolor="#000000">
          <w10:wrap type="none"/>
        </v:line>
      </w:pict>
    </w:r>
    <w:r>
      <w:rPr/>
      <w:pict>
        <v:line style="position:absolute;mso-position-horizontal-relative:page;mso-position-vertical-relative:page;z-index:-484936" from="15pt,20.999777pt" to="0pt,20.999777pt" stroked="true" strokeweight=".25pt" strokecolor="#000000">
          <w10:wrap type="none"/>
        </v:line>
      </w:pict>
    </w:r>
    <w:r>
      <w:rPr/>
      <w:pict>
        <v:line style="position:absolute;mso-position-horizontal-relative:page;mso-position-vertical-relative:page;z-index:-484912" from="508.890015pt,20.999777pt" to="523.890015pt,20.999777pt" stroked="true" strokeweight=".25pt" strokecolor="#000000">
          <w10:wrap type="none"/>
        </v:lin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648" from="21pt,14.999776pt" to="21pt,-.000224pt" stroked="true" strokeweight=".25pt" strokecolor="#000000">
          <w10:wrap type="none"/>
        </v:line>
      </w:pict>
    </w:r>
    <w:r>
      <w:rPr/>
      <w:pict>
        <v:line style="position:absolute;mso-position-horizontal-relative:page;mso-position-vertical-relative:page;z-index:-484624" from="502.890015pt,14.999776pt" to="502.890015pt,-.000224pt" stroked="true" strokeweight=".25pt" strokecolor="#000000">
          <w10:wrap type="none"/>
        </v:lin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600" from="21pt,14.999776pt" to="21pt,-.000224pt" stroked="true" strokeweight=".25pt" strokecolor="#000000">
          <w10:wrap type="none"/>
        </v:line>
      </w:pict>
    </w:r>
    <w:r>
      <w:rPr/>
      <w:pict>
        <v:line style="position:absolute;mso-position-horizontal-relative:page;mso-position-vertical-relative:page;z-index:-484576" from="502.890015pt,14.999776pt" to="502.890015pt,-.000224pt" stroked="true" strokeweight=".25pt" strokecolor="#000000">
          <w10:wrap type="none"/>
        </v:line>
      </w:pict>
    </w:r>
    <w:r>
      <w:rPr/>
      <w:pict>
        <v:line style="position:absolute;mso-position-horizontal-relative:page;mso-position-vertical-relative:page;z-index:-484552" from="15pt,20.999777pt" to="0pt,20.999777pt" stroked="true" strokeweight=".25pt" strokecolor="#000000">
          <w10:wrap type="none"/>
        </v:line>
      </w:pict>
    </w:r>
    <w:r>
      <w:rPr/>
      <w:pict>
        <v:line style="position:absolute;mso-position-horizontal-relative:page;mso-position-vertical-relative:page;z-index:-484528" from="508.890015pt,20.999777pt" to="523.890015pt,20.999777pt" stroked="true" strokeweight=".25pt" strokecolor="#000000">
          <w10:wrap type="none"/>
        </v:lin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456" from="21pt,14.999776pt" to="21pt,-.000224pt" stroked="true" strokeweight=".25pt" strokecolor="#000000">
          <w10:wrap type="none"/>
        </v:line>
      </w:pict>
    </w:r>
    <w:r>
      <w:rPr/>
      <w:pict>
        <v:line style="position:absolute;mso-position-horizontal-relative:page;mso-position-vertical-relative:page;z-index:-484432" from="502.890015pt,14.999776pt" to="502.890015pt,-.000224pt" stroked="true" strokeweight=".25pt" strokecolor="#000000">
          <w10:wrap type="none"/>
        </v:line>
      </w:pict>
    </w:r>
    <w:r>
      <w:rPr/>
      <w:pict>
        <v:line style="position:absolute;mso-position-horizontal-relative:page;mso-position-vertical-relative:page;z-index:-484408" from="15pt,20.999777pt" to="0pt,20.999777pt" stroked="true" strokeweight=".25pt" strokecolor="#000000">
          <w10:wrap type="none"/>
        </v:line>
      </w:pict>
    </w:r>
    <w:r>
      <w:rPr/>
      <w:pict>
        <v:line style="position:absolute;mso-position-horizontal-relative:page;mso-position-vertical-relative:page;z-index:-484384" from="508.890015pt,20.999777pt" to="523.890015pt,20.999777pt" stroked="true" strokeweight=".25pt" strokecolor="#000000">
          <w10:wrap type="none"/>
        </v:lin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4120" from="21pt,14.999776pt" to="21pt,-.000224pt" stroked="true" strokeweight=".25pt" strokecolor="#000000">
          <w10:wrap type="none"/>
        </v:line>
      </w:pict>
    </w:r>
    <w:r>
      <w:rPr/>
      <w:pict>
        <v:line style="position:absolute;mso-position-horizontal-relative:page;mso-position-vertical-relative:page;z-index:-484096" from="502.890015pt,14.999776pt" to="502.890015pt,-.000224pt" stroked="true" strokeweight=".25pt" strokecolor="#000000">
          <w10:wrap type="none"/>
        </v:lin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856" from="21pt,14.999776pt" to="21pt,-.000224pt" stroked="true" strokeweight=".25pt" strokecolor="#000000">
          <w10:wrap type="none"/>
        </v:line>
      </w:pict>
    </w:r>
    <w:r>
      <w:rPr/>
      <w:pict>
        <v:line style="position:absolute;mso-position-horizontal-relative:page;mso-position-vertical-relative:page;z-index:-483832" from="502.890015pt,14.999776pt" to="502.890015pt,-.000224pt" stroked="true" strokeweight=".25pt" strokecolor="#000000">
          <w10:wrap type="none"/>
        </v:line>
      </w:pict>
    </w:r>
    <w:r>
      <w:rPr/>
      <w:pict>
        <v:line style="position:absolute;mso-position-horizontal-relative:page;mso-position-vertical-relative:page;z-index:-483808" from="15pt,20.999777pt" to="0pt,20.999777pt" stroked="true" strokeweight=".25pt" strokecolor="#000000">
          <w10:wrap type="none"/>
        </v:line>
      </w:pict>
    </w:r>
    <w:r>
      <w:rPr/>
      <w:pict>
        <v:line style="position:absolute;mso-position-horizontal-relative:page;mso-position-vertical-relative:page;z-index:-483784" from="508.890015pt,20.999777pt" to="523.890015pt,20.999777pt" stroked="true" strokeweight=".25pt" strokecolor="#000000">
          <w10:wrap type="none"/>
        </v:lin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520" from="21pt,14.999776pt" to="21pt,-.000224pt" stroked="true" strokeweight=".25pt" strokecolor="#000000">
          <w10:wrap type="none"/>
        </v:line>
      </w:pict>
    </w:r>
    <w:r>
      <w:rPr/>
      <w:pict>
        <v:line style="position:absolute;mso-position-horizontal-relative:page;mso-position-vertical-relative:page;z-index:-483496" from="502.890015pt,14.999776pt" to="502.890015pt,-.000224pt" stroked="true" strokeweight=".25pt" strokecolor="#000000">
          <w10:wrap type="none"/>
        </v:lin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376" from="21pt,14.999776pt" to="21pt,-.000224pt" stroked="true" strokeweight=".25pt" strokecolor="#000000">
          <w10:wrap type="none"/>
        </v:line>
      </w:pict>
    </w:r>
    <w:r>
      <w:rPr/>
      <w:pict>
        <v:line style="position:absolute;mso-position-horizontal-relative:page;mso-position-vertical-relative:page;z-index:-483352" from="502.890015pt,14.999776pt" to="502.890015pt,-.000224pt" stroked="true" strokeweight=".25pt" strokecolor="#000000">
          <w10:wrap type="none"/>
        </v:line>
      </w:pict>
    </w:r>
    <w:r>
      <w:rPr/>
      <w:pict>
        <v:line style="position:absolute;mso-position-horizontal-relative:page;mso-position-vertical-relative:page;z-index:-483328" from="15pt,20.999777pt" to="0pt,20.999777pt" stroked="true" strokeweight=".25pt" strokecolor="#000000">
          <w10:wrap type="none"/>
        </v:line>
      </w:pict>
    </w:r>
    <w:r>
      <w:rPr/>
      <w:pict>
        <v:line style="position:absolute;mso-position-horizontal-relative:page;mso-position-vertical-relative:page;z-index:-483304" from="508.890015pt,20.999777pt" to="523.890015pt,20.999777pt" stroked="true" strokeweight=".25pt" strokecolor="#000000">
          <w10:wrap type="none"/>
        </v:lin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3040" from="21pt,14.999776pt" to="21pt,-.000224pt" stroked="true" strokeweight=".25pt" strokecolor="#000000">
          <w10:wrap type="none"/>
        </v:line>
      </w:pict>
    </w:r>
    <w:r>
      <w:rPr/>
      <w:pict>
        <v:line style="position:absolute;mso-position-horizontal-relative:page;mso-position-vertical-relative:page;z-index:-483016" from="502.890015pt,14.999776pt" to="502.890015pt,-.000224pt" stroked="true" strokeweight=".25pt" strokecolor="#000000">
          <w10:wrap type="none"/>
        </v:lin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896" from="21pt,14.999776pt" to="21pt,-.000224pt" stroked="true" strokeweight=".25pt" strokecolor="#000000">
          <w10:wrap type="none"/>
        </v:line>
      </w:pict>
    </w:r>
    <w:r>
      <w:rPr/>
      <w:pict>
        <v:line style="position:absolute;mso-position-horizontal-relative:page;mso-position-vertical-relative:page;z-index:-482872" from="502.890015pt,14.999776pt" to="502.890015pt,-.000224pt" stroked="true" strokeweight=".25pt" strokecolor="#000000">
          <w10:wrap type="none"/>
        </v:line>
      </w:pict>
    </w:r>
    <w:r>
      <w:rPr/>
      <w:pict>
        <v:line style="position:absolute;mso-position-horizontal-relative:page;mso-position-vertical-relative:page;z-index:-482848" from="15pt,20.999777pt" to="0pt,20.999777pt" stroked="true" strokeweight=".25pt" strokecolor="#000000">
          <w10:wrap type="none"/>
        </v:line>
      </w:pict>
    </w:r>
    <w:r>
      <w:rPr/>
      <w:pict>
        <v:line style="position:absolute;mso-position-horizontal-relative:page;mso-position-vertical-relative:page;z-index:-482824" from="508.890015pt,20.999777pt" to="523.890015pt,20.999777pt" stroked="true" strokeweight=".25pt" strokecolor="#000000">
          <w10:wrap type="none"/>
        </v:lin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584" from="21pt,14.999776pt" to="21pt,-.000224pt" stroked="true" strokeweight=".25pt" strokecolor="#000000">
          <w10:wrap type="none"/>
        </v:line>
      </w:pict>
    </w:r>
    <w:r>
      <w:rPr/>
      <w:pict>
        <v:line style="position:absolute;mso-position-horizontal-relative:page;mso-position-vertical-relative:page;z-index:-488560" from="502.890015pt,14.999776pt" to="502.890015pt,-.000224pt" stroked="true" strokeweight=".25pt" strokecolor="#000000">
          <w10:wrap type="none"/>
        </v:line>
      </w:pict>
    </w:r>
    <w:r>
      <w:rPr/>
      <w:pict>
        <v:line style="position:absolute;mso-position-horizontal-relative:page;mso-position-vertical-relative:page;z-index:-488536" from="15pt,20.999777pt" to="0pt,20.999777pt" stroked="true" strokeweight=".25pt" strokecolor="#000000">
          <w10:wrap type="none"/>
        </v:line>
      </w:pict>
    </w:r>
    <w:r>
      <w:rPr/>
      <w:pict>
        <v:line style="position:absolute;mso-position-horizontal-relative:page;mso-position-vertical-relative:page;z-index:-488512" from="508.890015pt,20.999777pt" to="523.890015pt,20.999777pt" stroked="true" strokeweight=".25pt" strokecolor="#000000">
          <w10:wrap type="none"/>
        </v:lin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560" from="21pt,14.999776pt" to="21pt,-.000224pt" stroked="true" strokeweight=".25pt" strokecolor="#000000">
          <w10:wrap type="none"/>
        </v:line>
      </w:pict>
    </w:r>
    <w:r>
      <w:rPr/>
      <w:pict>
        <v:line style="position:absolute;mso-position-horizontal-relative:page;mso-position-vertical-relative:page;z-index:-482536" from="502.890015pt,14.999776pt" to="502.890015pt,-.000224pt" stroked="true" strokeweight=".25pt" strokecolor="#000000">
          <w10:wrap type="none"/>
        </v:lin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416" from="21pt,14.999776pt" to="21pt,-.000224pt" stroked="true" strokeweight=".25pt" strokecolor="#000000">
          <w10:wrap type="none"/>
        </v:line>
      </w:pict>
    </w:r>
    <w:r>
      <w:rPr/>
      <w:pict>
        <v:line style="position:absolute;mso-position-horizontal-relative:page;mso-position-vertical-relative:page;z-index:-482392" from="502.890015pt,14.999776pt" to="502.890015pt,-.000224pt" stroked="true" strokeweight=".25pt" strokecolor="#000000">
          <w10:wrap type="none"/>
        </v:line>
      </w:pict>
    </w:r>
    <w:r>
      <w:rPr/>
      <w:pict>
        <v:line style="position:absolute;mso-position-horizontal-relative:page;mso-position-vertical-relative:page;z-index:-482368" from="15pt,20.999777pt" to="0pt,20.999777pt" stroked="true" strokeweight=".25pt" strokecolor="#000000">
          <w10:wrap type="none"/>
        </v:line>
      </w:pict>
    </w:r>
    <w:r>
      <w:rPr/>
      <w:pict>
        <v:line style="position:absolute;mso-position-horizontal-relative:page;mso-position-vertical-relative:page;z-index:-482344" from="508.890015pt,20.999777pt" to="523.890015pt,20.999777pt" stroked="true" strokeweight=".25pt" strokecolor="#000000">
          <w10:wrap type="none"/>
        </v:lin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080" from="21pt,14.999776pt" to="21pt,-.000224pt" stroked="true" strokeweight=".25pt" strokecolor="#000000">
          <w10:wrap type="none"/>
        </v:line>
      </w:pict>
    </w:r>
    <w:r>
      <w:rPr/>
      <w:pict>
        <v:line style="position:absolute;mso-position-horizontal-relative:page;mso-position-vertical-relative:page;z-index:-482056" from="502.890015pt,14.999776pt" to="502.890015pt,-.000224pt" stroked="true" strokeweight=".25pt" strokecolor="#000000">
          <w10:wrap type="none"/>
        </v:lin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2032" from="21pt,14.999776pt" to="21pt,-.000224pt" stroked="true" strokeweight=".25pt" strokecolor="#000000">
          <w10:wrap type="none"/>
        </v:line>
      </w:pict>
    </w:r>
    <w:r>
      <w:rPr/>
      <w:pict>
        <v:line style="position:absolute;mso-position-horizontal-relative:page;mso-position-vertical-relative:page;z-index:-482008" from="502.890015pt,14.999776pt" to="502.890015pt,-.000224pt" stroked="true" strokeweight=".25pt" strokecolor="#000000">
          <w10:wrap type="none"/>
        </v:line>
      </w:pict>
    </w:r>
    <w:r>
      <w:rPr/>
      <w:pict>
        <v:line style="position:absolute;mso-position-horizontal-relative:page;mso-position-vertical-relative:page;z-index:-481984" from="15pt,20.999777pt" to="0pt,20.999777pt" stroked="true" strokeweight=".25pt" strokecolor="#000000">
          <w10:wrap type="none"/>
        </v:line>
      </w:pict>
    </w:r>
    <w:r>
      <w:rPr/>
      <w:pict>
        <v:line style="position:absolute;mso-position-horizontal-relative:page;mso-position-vertical-relative:page;z-index:-481960" from="508.890015pt,20.999777pt" to="523.890015pt,20.999777pt" stroked="true" strokeweight=".25pt" strokecolor="#000000">
          <w10:wrap type="none"/>
        </v:lin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696" from="21pt,14.999776pt" to="21pt,-.000224pt" stroked="true" strokeweight=".25pt" strokecolor="#000000">
          <w10:wrap type="none"/>
        </v:line>
      </w:pict>
    </w:r>
    <w:r>
      <w:rPr/>
      <w:pict>
        <v:line style="position:absolute;mso-position-horizontal-relative:page;mso-position-vertical-relative:page;z-index:-481672" from="502.890015pt,14.999776pt" to="502.890015pt,-.000224pt" stroked="true" strokeweight=".25pt" strokecolor="#000000">
          <w10:wrap type="none"/>
        </v:lin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552" from="21pt,14.999776pt" to="21pt,-.000224pt" stroked="true" strokeweight=".25pt" strokecolor="#000000">
          <w10:wrap type="none"/>
        </v:line>
      </w:pict>
    </w:r>
    <w:r>
      <w:rPr/>
      <w:pict>
        <v:line style="position:absolute;mso-position-horizontal-relative:page;mso-position-vertical-relative:page;z-index:-481528" from="502.890015pt,14.999776pt" to="502.890015pt,-.000224pt" stroked="true" strokeweight=".25pt" strokecolor="#000000">
          <w10:wrap type="none"/>
        </v:line>
      </w:pict>
    </w:r>
    <w:r>
      <w:rPr/>
      <w:pict>
        <v:line style="position:absolute;mso-position-horizontal-relative:page;mso-position-vertical-relative:page;z-index:-481504" from="15pt,20.999777pt" to="0pt,20.999777pt" stroked="true" strokeweight=".25pt" strokecolor="#000000">
          <w10:wrap type="none"/>
        </v:line>
      </w:pict>
    </w:r>
    <w:r>
      <w:rPr/>
      <w:pict>
        <v:line style="position:absolute;mso-position-horizontal-relative:page;mso-position-vertical-relative:page;z-index:-481480" from="508.890015pt,20.999777pt" to="523.890015pt,20.999777pt" stroked="true" strokeweight=".25pt" strokecolor="#000000">
          <w10:wrap type="none"/>
        </v:lin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216" from="21pt,14.999776pt" to="21pt,-.000224pt" stroked="true" strokeweight=".25pt" strokecolor="#000000">
          <w10:wrap type="none"/>
        </v:line>
      </w:pict>
    </w:r>
    <w:r>
      <w:rPr/>
      <w:pict>
        <v:line style="position:absolute;mso-position-horizontal-relative:page;mso-position-vertical-relative:page;z-index:-481192" from="502.890015pt,14.999776pt" to="502.890015pt,-.000224pt" stroked="true" strokeweight=".25pt" strokecolor="#000000">
          <w10:wrap type="none"/>
        </v:lin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1072" from="21pt,14.999776pt" to="21pt,-.000224pt" stroked="true" strokeweight=".25pt" strokecolor="#000000">
          <w10:wrap type="none"/>
        </v:line>
      </w:pict>
    </w:r>
    <w:r>
      <w:rPr/>
      <w:pict>
        <v:line style="position:absolute;mso-position-horizontal-relative:page;mso-position-vertical-relative:page;z-index:-481048" from="502.890015pt,14.999776pt" to="502.890015pt,-.000224pt" stroked="true" strokeweight=".25pt" strokecolor="#000000">
          <w10:wrap type="none"/>
        </v:line>
      </w:pict>
    </w:r>
    <w:r>
      <w:rPr/>
      <w:pict>
        <v:line style="position:absolute;mso-position-horizontal-relative:page;mso-position-vertical-relative:page;z-index:-481024" from="15pt,20.999777pt" to="0pt,20.999777pt" stroked="true" strokeweight=".25pt" strokecolor="#000000">
          <w10:wrap type="none"/>
        </v:line>
      </w:pict>
    </w:r>
    <w:r>
      <w:rPr/>
      <w:pict>
        <v:line style="position:absolute;mso-position-horizontal-relative:page;mso-position-vertical-relative:page;z-index:-481000" from="508.890015pt,20.999777pt" to="523.890015pt,20.999777pt" stroked="true" strokeweight=".25pt" strokecolor="#000000">
          <w10:wrap type="none"/>
        </v:lin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200" from="21pt,14.999776pt" to="21pt,-.000224pt" stroked="true" strokeweight=".25pt" strokecolor="#000000">
          <w10:wrap type="none"/>
        </v:line>
      </w:pict>
    </w:r>
    <w:r>
      <w:rPr/>
      <w:pict>
        <v:line style="position:absolute;mso-position-horizontal-relative:page;mso-position-vertical-relative:page;z-index:-488176" from="502.890015pt,14.999776pt" to="502.890015pt,-.000224pt" stroked="true" strokeweight=".25pt" strokecolor="#000000">
          <w10:wrap type="none"/>
        </v:lin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8152" from="21pt,14.999776pt" to="21pt,-.000224pt" stroked="true" strokeweight=".25pt" strokecolor="#000000">
          <w10:wrap type="none"/>
        </v:line>
      </w:pict>
    </w:r>
    <w:r>
      <w:rPr/>
      <w:pict>
        <v:line style="position:absolute;mso-position-horizontal-relative:page;mso-position-vertical-relative:page;z-index:-488128" from="502.890015pt,14.999776pt" to="502.890015pt,-.000224pt" stroked="true" strokeweight=".25pt" strokecolor="#000000">
          <w10:wrap type="none"/>
        </v:line>
      </w:pict>
    </w:r>
    <w:r>
      <w:rPr/>
      <w:pict>
        <v:line style="position:absolute;mso-position-horizontal-relative:page;mso-position-vertical-relative:page;z-index:-488104" from="15pt,20.999777pt" to="0pt,20.999777pt" stroked="true" strokeweight=".25pt" strokecolor="#000000">
          <w10:wrap type="none"/>
        </v:line>
      </w:pict>
    </w:r>
    <w:r>
      <w:rPr/>
      <w:pict>
        <v:line style="position:absolute;mso-position-horizontal-relative:page;mso-position-vertical-relative:page;z-index:-488080" from="508.890015pt,20.999777pt" to="523.890015pt,20.999777pt" stroked="true" strokeweight=".25pt" strokecolor="#000000">
          <w10:wrap type="none"/>
        </v:lin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816" from="21pt,14.999776pt" to="21pt,-.000224pt" stroked="true" strokeweight=".25pt" strokecolor="#000000">
          <w10:wrap type="none"/>
        </v:line>
      </w:pict>
    </w:r>
    <w:r>
      <w:rPr/>
      <w:pict>
        <v:line style="position:absolute;mso-position-horizontal-relative:page;mso-position-vertical-relative:page;z-index:-487792" from="502.890015pt,14.999776pt" to="502.890015pt,-.000224pt" stroked="true" strokeweight=".25pt" strokecolor="#000000">
          <w10:wrap type="none"/>
        </v:lin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768" from="21pt,14.999776pt" to="21pt,-.000224pt" stroked="true" strokeweight=".25pt" strokecolor="#000000">
          <w10:wrap type="none"/>
        </v:line>
      </w:pict>
    </w:r>
    <w:r>
      <w:rPr/>
      <w:pict>
        <v:line style="position:absolute;mso-position-horizontal-relative:page;mso-position-vertical-relative:page;z-index:-487744" from="502.890015pt,14.999776pt" to="502.890015pt,-.000224pt" stroked="true" strokeweight=".25pt" strokecolor="#000000">
          <w10:wrap type="none"/>
        </v:line>
      </w:pict>
    </w:r>
    <w:r>
      <w:rPr/>
      <w:pict>
        <v:line style="position:absolute;mso-position-horizontal-relative:page;mso-position-vertical-relative:page;z-index:-487720" from="15pt,20.999777pt" to="0pt,20.999777pt" stroked="true" strokeweight=".25pt" strokecolor="#000000">
          <w10:wrap type="none"/>
        </v:line>
      </w:pict>
    </w:r>
    <w:r>
      <w:rPr/>
      <w:pict>
        <v:line style="position:absolute;mso-position-horizontal-relative:page;mso-position-vertical-relative:page;z-index:-487696" from="508.890015pt,20.999777pt" to="523.890015pt,20.999777pt" stroked="true" strokeweight=".25pt" strokecolor="#000000">
          <w10:wrap type="none"/>
        </v:lin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432" from="21pt,14.999776pt" to="21pt,-.000224pt" stroked="true" strokeweight=".25pt" strokecolor="#000000">
          <w10:wrap type="none"/>
        </v:line>
      </w:pict>
    </w:r>
    <w:r>
      <w:rPr/>
      <w:pict>
        <v:line style="position:absolute;mso-position-horizontal-relative:page;mso-position-vertical-relative:page;z-index:-487408" from="502.890015pt,14.999776pt" to="502.890015pt,-.000224pt" stroked="true" strokeweight=".25pt" strokecolor="#000000">
          <w10:wrap type="none"/>
        </v:lin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87288" from="21pt,14.999776pt" to="21pt,-.000224pt" stroked="true" strokeweight=".25pt" strokecolor="#000000">
          <w10:wrap type="none"/>
        </v:line>
      </w:pict>
    </w:r>
    <w:r>
      <w:rPr/>
      <w:pict>
        <v:line style="position:absolute;mso-position-horizontal-relative:page;mso-position-vertical-relative:page;z-index:-487264" from="502.890015pt,14.999776pt" to="502.890015pt,-.000224pt" stroked="true" strokeweight=".25pt" strokecolor="#000000">
          <w10:wrap type="none"/>
        </v:line>
      </w:pict>
    </w:r>
    <w:r>
      <w:rPr/>
      <w:pict>
        <v:line style="position:absolute;mso-position-horizontal-relative:page;mso-position-vertical-relative:page;z-index:-487240" from="15pt,20.999777pt" to="0pt,20.999777pt" stroked="true" strokeweight=".25pt" strokecolor="#000000">
          <w10:wrap type="none"/>
        </v:line>
      </w:pict>
    </w:r>
    <w:r>
      <w:rPr/>
      <w:pict>
        <v:line style="position:absolute;mso-position-horizontal-relative:page;mso-position-vertical-relative:page;z-index:-487216" from="508.890015pt,20.999777pt" to="523.890015pt,20.999777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decimal"/>
      <w:lvlText w:val="%1."/>
      <w:lvlJc w:val="left"/>
      <w:pPr>
        <w:ind w:left="3047" w:hanging="360"/>
        <w:jc w:val="left"/>
      </w:pPr>
      <w:rPr>
        <w:rFonts w:hint="default" w:ascii="Microsoft Sans Serif" w:hAnsi="Microsoft Sans Serif" w:eastAsia="Microsoft Sans Serif" w:cs="Microsoft Sans Serif"/>
        <w:color w:val="231F20"/>
        <w:w w:val="93"/>
        <w:sz w:val="21"/>
        <w:szCs w:val="21"/>
      </w:rPr>
    </w:lvl>
    <w:lvl w:ilvl="1">
      <w:start w:val="1"/>
      <w:numFmt w:val="bullet"/>
      <w:lvlText w:val="•"/>
      <w:lvlJc w:val="left"/>
      <w:pPr>
        <w:ind w:left="3783" w:hanging="360"/>
      </w:pPr>
      <w:rPr>
        <w:rFonts w:hint="default"/>
      </w:rPr>
    </w:lvl>
    <w:lvl w:ilvl="2">
      <w:start w:val="1"/>
      <w:numFmt w:val="bullet"/>
      <w:lvlText w:val="•"/>
      <w:lvlJc w:val="left"/>
      <w:pPr>
        <w:ind w:left="4527" w:hanging="360"/>
      </w:pPr>
      <w:rPr>
        <w:rFonts w:hint="default"/>
      </w:rPr>
    </w:lvl>
    <w:lvl w:ilvl="3">
      <w:start w:val="1"/>
      <w:numFmt w:val="bullet"/>
      <w:lvlText w:val="•"/>
      <w:lvlJc w:val="left"/>
      <w:pPr>
        <w:ind w:left="5271" w:hanging="360"/>
      </w:pPr>
      <w:rPr>
        <w:rFonts w:hint="default"/>
      </w:rPr>
    </w:lvl>
    <w:lvl w:ilvl="4">
      <w:start w:val="1"/>
      <w:numFmt w:val="bullet"/>
      <w:lvlText w:val="•"/>
      <w:lvlJc w:val="left"/>
      <w:pPr>
        <w:ind w:left="6015" w:hanging="360"/>
      </w:pPr>
      <w:rPr>
        <w:rFonts w:hint="default"/>
      </w:rPr>
    </w:lvl>
    <w:lvl w:ilvl="5">
      <w:start w:val="1"/>
      <w:numFmt w:val="bullet"/>
      <w:lvlText w:val="•"/>
      <w:lvlJc w:val="left"/>
      <w:pPr>
        <w:ind w:left="6758" w:hanging="360"/>
      </w:pPr>
      <w:rPr>
        <w:rFonts w:hint="default"/>
      </w:rPr>
    </w:lvl>
    <w:lvl w:ilvl="6">
      <w:start w:val="1"/>
      <w:numFmt w:val="bullet"/>
      <w:lvlText w:val="•"/>
      <w:lvlJc w:val="left"/>
      <w:pPr>
        <w:ind w:left="7502" w:hanging="360"/>
      </w:pPr>
      <w:rPr>
        <w:rFonts w:hint="default"/>
      </w:rPr>
    </w:lvl>
    <w:lvl w:ilvl="7">
      <w:start w:val="1"/>
      <w:numFmt w:val="bullet"/>
      <w:lvlText w:val="•"/>
      <w:lvlJc w:val="left"/>
      <w:pPr>
        <w:ind w:left="8246" w:hanging="360"/>
      </w:pPr>
      <w:rPr>
        <w:rFonts w:hint="default"/>
      </w:rPr>
    </w:lvl>
    <w:lvl w:ilvl="8">
      <w:start w:val="1"/>
      <w:numFmt w:val="bullet"/>
      <w:lvlText w:val="•"/>
      <w:lvlJc w:val="left"/>
      <w:pPr>
        <w:ind w:left="8990" w:hanging="360"/>
      </w:pPr>
      <w:rPr>
        <w:rFonts w:hint="default"/>
      </w:rPr>
    </w:lvl>
  </w:abstractNum>
  <w:abstractNum w:abstractNumId="7">
    <w:multiLevelType w:val="hybridMultilevel"/>
    <w:lvl w:ilvl="0">
      <w:start w:val="1"/>
      <w:numFmt w:val="bullet"/>
      <w:lvlText w:val="•"/>
      <w:lvlJc w:val="left"/>
      <w:pPr>
        <w:ind w:left="3047" w:hanging="360"/>
      </w:pPr>
      <w:rPr>
        <w:rFonts w:hint="default" w:ascii="Microsoft Sans Serif" w:hAnsi="Microsoft Sans Serif" w:eastAsia="Microsoft Sans Serif" w:cs="Microsoft Sans Serif"/>
        <w:color w:val="231F20"/>
        <w:w w:val="142"/>
        <w:sz w:val="16"/>
        <w:szCs w:val="16"/>
      </w:rPr>
    </w:lvl>
    <w:lvl w:ilvl="1">
      <w:start w:val="1"/>
      <w:numFmt w:val="bullet"/>
      <w:lvlText w:val="•"/>
      <w:lvlJc w:val="left"/>
      <w:pPr>
        <w:ind w:left="3783" w:hanging="360"/>
      </w:pPr>
      <w:rPr>
        <w:rFonts w:hint="default"/>
      </w:rPr>
    </w:lvl>
    <w:lvl w:ilvl="2">
      <w:start w:val="1"/>
      <w:numFmt w:val="bullet"/>
      <w:lvlText w:val="•"/>
      <w:lvlJc w:val="left"/>
      <w:pPr>
        <w:ind w:left="4527" w:hanging="360"/>
      </w:pPr>
      <w:rPr>
        <w:rFonts w:hint="default"/>
      </w:rPr>
    </w:lvl>
    <w:lvl w:ilvl="3">
      <w:start w:val="1"/>
      <w:numFmt w:val="bullet"/>
      <w:lvlText w:val="•"/>
      <w:lvlJc w:val="left"/>
      <w:pPr>
        <w:ind w:left="5271" w:hanging="360"/>
      </w:pPr>
      <w:rPr>
        <w:rFonts w:hint="default"/>
      </w:rPr>
    </w:lvl>
    <w:lvl w:ilvl="4">
      <w:start w:val="1"/>
      <w:numFmt w:val="bullet"/>
      <w:lvlText w:val="•"/>
      <w:lvlJc w:val="left"/>
      <w:pPr>
        <w:ind w:left="6015" w:hanging="360"/>
      </w:pPr>
      <w:rPr>
        <w:rFonts w:hint="default"/>
      </w:rPr>
    </w:lvl>
    <w:lvl w:ilvl="5">
      <w:start w:val="1"/>
      <w:numFmt w:val="bullet"/>
      <w:lvlText w:val="•"/>
      <w:lvlJc w:val="left"/>
      <w:pPr>
        <w:ind w:left="6758" w:hanging="360"/>
      </w:pPr>
      <w:rPr>
        <w:rFonts w:hint="default"/>
      </w:rPr>
    </w:lvl>
    <w:lvl w:ilvl="6">
      <w:start w:val="1"/>
      <w:numFmt w:val="bullet"/>
      <w:lvlText w:val="•"/>
      <w:lvlJc w:val="left"/>
      <w:pPr>
        <w:ind w:left="7502" w:hanging="360"/>
      </w:pPr>
      <w:rPr>
        <w:rFonts w:hint="default"/>
      </w:rPr>
    </w:lvl>
    <w:lvl w:ilvl="7">
      <w:start w:val="1"/>
      <w:numFmt w:val="bullet"/>
      <w:lvlText w:val="•"/>
      <w:lvlJc w:val="left"/>
      <w:pPr>
        <w:ind w:left="8246" w:hanging="360"/>
      </w:pPr>
      <w:rPr>
        <w:rFonts w:hint="default"/>
      </w:rPr>
    </w:lvl>
    <w:lvl w:ilvl="8">
      <w:start w:val="1"/>
      <w:numFmt w:val="bullet"/>
      <w:lvlText w:val="•"/>
      <w:lvlJc w:val="left"/>
      <w:pPr>
        <w:ind w:left="8990" w:hanging="360"/>
      </w:pPr>
      <w:rPr>
        <w:rFonts w:hint="default"/>
      </w:rPr>
    </w:lvl>
  </w:abstractNum>
  <w:abstractNum w:abstractNumId="6">
    <w:multiLevelType w:val="hybridMultilevel"/>
    <w:lvl w:ilvl="0">
      <w:start w:val="1"/>
      <w:numFmt w:val="decimal"/>
      <w:lvlText w:val="%1."/>
      <w:lvlJc w:val="left"/>
      <w:pPr>
        <w:ind w:left="2934" w:hanging="360"/>
        <w:jc w:val="left"/>
      </w:pPr>
      <w:rPr>
        <w:rFonts w:hint="default" w:ascii="Microsoft Sans Serif" w:hAnsi="Microsoft Sans Serif" w:eastAsia="Microsoft Sans Serif" w:cs="Microsoft Sans Serif"/>
        <w:color w:val="231F20"/>
        <w:w w:val="93"/>
        <w:sz w:val="21"/>
        <w:szCs w:val="21"/>
      </w:rPr>
    </w:lvl>
    <w:lvl w:ilvl="1">
      <w:start w:val="1"/>
      <w:numFmt w:val="bullet"/>
      <w:lvlText w:val="•"/>
      <w:lvlJc w:val="left"/>
      <w:pPr>
        <w:ind w:left="3693" w:hanging="360"/>
      </w:pPr>
      <w:rPr>
        <w:rFonts w:hint="default"/>
      </w:rPr>
    </w:lvl>
    <w:lvl w:ilvl="2">
      <w:start w:val="1"/>
      <w:numFmt w:val="bullet"/>
      <w:lvlText w:val="•"/>
      <w:lvlJc w:val="left"/>
      <w:pPr>
        <w:ind w:left="4447" w:hanging="360"/>
      </w:pPr>
      <w:rPr>
        <w:rFonts w:hint="default"/>
      </w:rPr>
    </w:lvl>
    <w:lvl w:ilvl="3">
      <w:start w:val="1"/>
      <w:numFmt w:val="bullet"/>
      <w:lvlText w:val="•"/>
      <w:lvlJc w:val="left"/>
      <w:pPr>
        <w:ind w:left="5201" w:hanging="360"/>
      </w:pPr>
      <w:rPr>
        <w:rFonts w:hint="default"/>
      </w:rPr>
    </w:lvl>
    <w:lvl w:ilvl="4">
      <w:start w:val="1"/>
      <w:numFmt w:val="bullet"/>
      <w:lvlText w:val="•"/>
      <w:lvlJc w:val="left"/>
      <w:pPr>
        <w:ind w:left="5955" w:hanging="360"/>
      </w:pPr>
      <w:rPr>
        <w:rFonts w:hint="default"/>
      </w:rPr>
    </w:lvl>
    <w:lvl w:ilvl="5">
      <w:start w:val="1"/>
      <w:numFmt w:val="bullet"/>
      <w:lvlText w:val="•"/>
      <w:lvlJc w:val="left"/>
      <w:pPr>
        <w:ind w:left="6708" w:hanging="360"/>
      </w:pPr>
      <w:rPr>
        <w:rFonts w:hint="default"/>
      </w:rPr>
    </w:lvl>
    <w:lvl w:ilvl="6">
      <w:start w:val="1"/>
      <w:numFmt w:val="bullet"/>
      <w:lvlText w:val="•"/>
      <w:lvlJc w:val="left"/>
      <w:pPr>
        <w:ind w:left="7462" w:hanging="360"/>
      </w:pPr>
      <w:rPr>
        <w:rFonts w:hint="default"/>
      </w:rPr>
    </w:lvl>
    <w:lvl w:ilvl="7">
      <w:start w:val="1"/>
      <w:numFmt w:val="bullet"/>
      <w:lvlText w:val="•"/>
      <w:lvlJc w:val="left"/>
      <w:pPr>
        <w:ind w:left="8216" w:hanging="360"/>
      </w:pPr>
      <w:rPr>
        <w:rFonts w:hint="default"/>
      </w:rPr>
    </w:lvl>
    <w:lvl w:ilvl="8">
      <w:start w:val="1"/>
      <w:numFmt w:val="bullet"/>
      <w:lvlText w:val="•"/>
      <w:lvlJc w:val="left"/>
      <w:pPr>
        <w:ind w:left="8970" w:hanging="360"/>
      </w:pPr>
      <w:rPr>
        <w:rFonts w:hint="default"/>
      </w:rPr>
    </w:lvl>
  </w:abstractNum>
  <w:abstractNum w:abstractNumId="5">
    <w:multiLevelType w:val="hybridMultilevel"/>
    <w:lvl w:ilvl="0">
      <w:start w:val="1"/>
      <w:numFmt w:val="lowerLetter"/>
      <w:lvlText w:val="%1."/>
      <w:lvlJc w:val="left"/>
      <w:pPr>
        <w:ind w:left="2934" w:hanging="360"/>
        <w:jc w:val="left"/>
      </w:pPr>
      <w:rPr>
        <w:rFonts w:hint="default" w:ascii="Microsoft Sans Serif" w:hAnsi="Microsoft Sans Serif" w:eastAsia="Microsoft Sans Serif" w:cs="Microsoft Sans Serif"/>
        <w:color w:val="231F20"/>
        <w:w w:val="93"/>
        <w:sz w:val="21"/>
        <w:szCs w:val="21"/>
      </w:rPr>
    </w:lvl>
    <w:lvl w:ilvl="1">
      <w:start w:val="1"/>
      <w:numFmt w:val="bullet"/>
      <w:lvlText w:val="•"/>
      <w:lvlJc w:val="left"/>
      <w:pPr>
        <w:ind w:left="3693" w:hanging="360"/>
      </w:pPr>
      <w:rPr>
        <w:rFonts w:hint="default"/>
      </w:rPr>
    </w:lvl>
    <w:lvl w:ilvl="2">
      <w:start w:val="1"/>
      <w:numFmt w:val="bullet"/>
      <w:lvlText w:val="•"/>
      <w:lvlJc w:val="left"/>
      <w:pPr>
        <w:ind w:left="4447" w:hanging="360"/>
      </w:pPr>
      <w:rPr>
        <w:rFonts w:hint="default"/>
      </w:rPr>
    </w:lvl>
    <w:lvl w:ilvl="3">
      <w:start w:val="1"/>
      <w:numFmt w:val="bullet"/>
      <w:lvlText w:val="•"/>
      <w:lvlJc w:val="left"/>
      <w:pPr>
        <w:ind w:left="5201" w:hanging="360"/>
      </w:pPr>
      <w:rPr>
        <w:rFonts w:hint="default"/>
      </w:rPr>
    </w:lvl>
    <w:lvl w:ilvl="4">
      <w:start w:val="1"/>
      <w:numFmt w:val="bullet"/>
      <w:lvlText w:val="•"/>
      <w:lvlJc w:val="left"/>
      <w:pPr>
        <w:ind w:left="5955" w:hanging="360"/>
      </w:pPr>
      <w:rPr>
        <w:rFonts w:hint="default"/>
      </w:rPr>
    </w:lvl>
    <w:lvl w:ilvl="5">
      <w:start w:val="1"/>
      <w:numFmt w:val="bullet"/>
      <w:lvlText w:val="•"/>
      <w:lvlJc w:val="left"/>
      <w:pPr>
        <w:ind w:left="6708" w:hanging="360"/>
      </w:pPr>
      <w:rPr>
        <w:rFonts w:hint="default"/>
      </w:rPr>
    </w:lvl>
    <w:lvl w:ilvl="6">
      <w:start w:val="1"/>
      <w:numFmt w:val="bullet"/>
      <w:lvlText w:val="•"/>
      <w:lvlJc w:val="left"/>
      <w:pPr>
        <w:ind w:left="7462" w:hanging="360"/>
      </w:pPr>
      <w:rPr>
        <w:rFonts w:hint="default"/>
      </w:rPr>
    </w:lvl>
    <w:lvl w:ilvl="7">
      <w:start w:val="1"/>
      <w:numFmt w:val="bullet"/>
      <w:lvlText w:val="•"/>
      <w:lvlJc w:val="left"/>
      <w:pPr>
        <w:ind w:left="8216" w:hanging="360"/>
      </w:pPr>
      <w:rPr>
        <w:rFonts w:hint="default"/>
      </w:rPr>
    </w:lvl>
    <w:lvl w:ilvl="8">
      <w:start w:val="1"/>
      <w:numFmt w:val="bullet"/>
      <w:lvlText w:val="•"/>
      <w:lvlJc w:val="left"/>
      <w:pPr>
        <w:ind w:left="8970" w:hanging="360"/>
      </w:pPr>
      <w:rPr>
        <w:rFonts w:hint="default"/>
      </w:rPr>
    </w:lvl>
  </w:abstractNum>
  <w:abstractNum w:abstractNumId="4">
    <w:multiLevelType w:val="hybridMultilevel"/>
    <w:lvl w:ilvl="0">
      <w:start w:val="1"/>
      <w:numFmt w:val="bullet"/>
      <w:lvlText w:val="•"/>
      <w:lvlJc w:val="left"/>
      <w:pPr>
        <w:ind w:left="2934" w:hanging="360"/>
      </w:pPr>
      <w:rPr>
        <w:rFonts w:hint="default" w:ascii="Microsoft Sans Serif" w:hAnsi="Microsoft Sans Serif" w:eastAsia="Microsoft Sans Serif" w:cs="Microsoft Sans Serif"/>
        <w:color w:val="231F20"/>
        <w:w w:val="142"/>
        <w:sz w:val="16"/>
        <w:szCs w:val="16"/>
      </w:rPr>
    </w:lvl>
    <w:lvl w:ilvl="1">
      <w:start w:val="1"/>
      <w:numFmt w:val="bullet"/>
      <w:lvlText w:val="•"/>
      <w:lvlJc w:val="left"/>
      <w:pPr>
        <w:ind w:left="3693" w:hanging="360"/>
      </w:pPr>
      <w:rPr>
        <w:rFonts w:hint="default"/>
      </w:rPr>
    </w:lvl>
    <w:lvl w:ilvl="2">
      <w:start w:val="1"/>
      <w:numFmt w:val="bullet"/>
      <w:lvlText w:val="•"/>
      <w:lvlJc w:val="left"/>
      <w:pPr>
        <w:ind w:left="4447" w:hanging="360"/>
      </w:pPr>
      <w:rPr>
        <w:rFonts w:hint="default"/>
      </w:rPr>
    </w:lvl>
    <w:lvl w:ilvl="3">
      <w:start w:val="1"/>
      <w:numFmt w:val="bullet"/>
      <w:lvlText w:val="•"/>
      <w:lvlJc w:val="left"/>
      <w:pPr>
        <w:ind w:left="5201" w:hanging="360"/>
      </w:pPr>
      <w:rPr>
        <w:rFonts w:hint="default"/>
      </w:rPr>
    </w:lvl>
    <w:lvl w:ilvl="4">
      <w:start w:val="1"/>
      <w:numFmt w:val="bullet"/>
      <w:lvlText w:val="•"/>
      <w:lvlJc w:val="left"/>
      <w:pPr>
        <w:ind w:left="5955" w:hanging="360"/>
      </w:pPr>
      <w:rPr>
        <w:rFonts w:hint="default"/>
      </w:rPr>
    </w:lvl>
    <w:lvl w:ilvl="5">
      <w:start w:val="1"/>
      <w:numFmt w:val="bullet"/>
      <w:lvlText w:val="•"/>
      <w:lvlJc w:val="left"/>
      <w:pPr>
        <w:ind w:left="6708" w:hanging="360"/>
      </w:pPr>
      <w:rPr>
        <w:rFonts w:hint="default"/>
      </w:rPr>
    </w:lvl>
    <w:lvl w:ilvl="6">
      <w:start w:val="1"/>
      <w:numFmt w:val="bullet"/>
      <w:lvlText w:val="•"/>
      <w:lvlJc w:val="left"/>
      <w:pPr>
        <w:ind w:left="7462" w:hanging="360"/>
      </w:pPr>
      <w:rPr>
        <w:rFonts w:hint="default"/>
      </w:rPr>
    </w:lvl>
    <w:lvl w:ilvl="7">
      <w:start w:val="1"/>
      <w:numFmt w:val="bullet"/>
      <w:lvlText w:val="•"/>
      <w:lvlJc w:val="left"/>
      <w:pPr>
        <w:ind w:left="8216" w:hanging="360"/>
      </w:pPr>
      <w:rPr>
        <w:rFonts w:hint="default"/>
      </w:rPr>
    </w:lvl>
    <w:lvl w:ilvl="8">
      <w:start w:val="1"/>
      <w:numFmt w:val="bullet"/>
      <w:lvlText w:val="•"/>
      <w:lvlJc w:val="left"/>
      <w:pPr>
        <w:ind w:left="8970" w:hanging="360"/>
      </w:pPr>
      <w:rPr>
        <w:rFonts w:hint="default"/>
      </w:rPr>
    </w:lvl>
  </w:abstractNum>
  <w:abstractNum w:abstractNumId="2">
    <w:multiLevelType w:val="hybridMultilevel"/>
    <w:lvl w:ilvl="0">
      <w:start w:val="1"/>
      <w:numFmt w:val="bullet"/>
      <w:lvlText w:val="•"/>
      <w:lvlJc w:val="left"/>
      <w:pPr>
        <w:ind w:left="3047" w:hanging="360"/>
      </w:pPr>
      <w:rPr>
        <w:rFonts w:hint="default" w:ascii="Microsoft Sans Serif" w:hAnsi="Microsoft Sans Serif" w:eastAsia="Microsoft Sans Serif" w:cs="Microsoft Sans Serif"/>
        <w:color w:val="231F20"/>
        <w:w w:val="142"/>
        <w:sz w:val="16"/>
        <w:szCs w:val="16"/>
      </w:rPr>
    </w:lvl>
    <w:lvl w:ilvl="1">
      <w:start w:val="1"/>
      <w:numFmt w:val="bullet"/>
      <w:lvlText w:val="•"/>
      <w:lvlJc w:val="left"/>
      <w:pPr>
        <w:ind w:left="3783" w:hanging="360"/>
      </w:pPr>
      <w:rPr>
        <w:rFonts w:hint="default"/>
      </w:rPr>
    </w:lvl>
    <w:lvl w:ilvl="2">
      <w:start w:val="1"/>
      <w:numFmt w:val="bullet"/>
      <w:lvlText w:val="•"/>
      <w:lvlJc w:val="left"/>
      <w:pPr>
        <w:ind w:left="4527" w:hanging="360"/>
      </w:pPr>
      <w:rPr>
        <w:rFonts w:hint="default"/>
      </w:rPr>
    </w:lvl>
    <w:lvl w:ilvl="3">
      <w:start w:val="1"/>
      <w:numFmt w:val="bullet"/>
      <w:lvlText w:val="•"/>
      <w:lvlJc w:val="left"/>
      <w:pPr>
        <w:ind w:left="5271" w:hanging="360"/>
      </w:pPr>
      <w:rPr>
        <w:rFonts w:hint="default"/>
      </w:rPr>
    </w:lvl>
    <w:lvl w:ilvl="4">
      <w:start w:val="1"/>
      <w:numFmt w:val="bullet"/>
      <w:lvlText w:val="•"/>
      <w:lvlJc w:val="left"/>
      <w:pPr>
        <w:ind w:left="6015" w:hanging="360"/>
      </w:pPr>
      <w:rPr>
        <w:rFonts w:hint="default"/>
      </w:rPr>
    </w:lvl>
    <w:lvl w:ilvl="5">
      <w:start w:val="1"/>
      <w:numFmt w:val="bullet"/>
      <w:lvlText w:val="•"/>
      <w:lvlJc w:val="left"/>
      <w:pPr>
        <w:ind w:left="6758" w:hanging="360"/>
      </w:pPr>
      <w:rPr>
        <w:rFonts w:hint="default"/>
      </w:rPr>
    </w:lvl>
    <w:lvl w:ilvl="6">
      <w:start w:val="1"/>
      <w:numFmt w:val="bullet"/>
      <w:lvlText w:val="•"/>
      <w:lvlJc w:val="left"/>
      <w:pPr>
        <w:ind w:left="7502" w:hanging="360"/>
      </w:pPr>
      <w:rPr>
        <w:rFonts w:hint="default"/>
      </w:rPr>
    </w:lvl>
    <w:lvl w:ilvl="7">
      <w:start w:val="1"/>
      <w:numFmt w:val="bullet"/>
      <w:lvlText w:val="•"/>
      <w:lvlJc w:val="left"/>
      <w:pPr>
        <w:ind w:left="8246" w:hanging="360"/>
      </w:pPr>
      <w:rPr>
        <w:rFonts w:hint="default"/>
      </w:rPr>
    </w:lvl>
    <w:lvl w:ilvl="8">
      <w:start w:val="1"/>
      <w:numFmt w:val="bullet"/>
      <w:lvlText w:val="•"/>
      <w:lvlJc w:val="left"/>
      <w:pPr>
        <w:ind w:left="8990" w:hanging="360"/>
      </w:pPr>
      <w:rPr>
        <w:rFonts w:hint="default"/>
      </w:rPr>
    </w:lvl>
  </w:abstractNum>
  <w:abstractNum w:abstractNumId="1">
    <w:multiLevelType w:val="hybridMultilevel"/>
    <w:lvl w:ilvl="0">
      <w:start w:val="1"/>
      <w:numFmt w:val="bullet"/>
      <w:lvlText w:val="•"/>
      <w:lvlJc w:val="left"/>
      <w:pPr>
        <w:ind w:left="2891" w:hanging="360"/>
      </w:pPr>
      <w:rPr>
        <w:rFonts w:hint="default" w:ascii="Microsoft Sans Serif" w:hAnsi="Microsoft Sans Serif" w:eastAsia="Microsoft Sans Serif" w:cs="Microsoft Sans Serif"/>
        <w:color w:val="231F20"/>
        <w:w w:val="142"/>
        <w:sz w:val="16"/>
        <w:szCs w:val="16"/>
      </w:rPr>
    </w:lvl>
    <w:lvl w:ilvl="1">
      <w:start w:val="1"/>
      <w:numFmt w:val="bullet"/>
      <w:lvlText w:val="•"/>
      <w:lvlJc w:val="left"/>
      <w:pPr>
        <w:ind w:left="3657" w:hanging="360"/>
      </w:pPr>
      <w:rPr>
        <w:rFonts w:hint="default"/>
      </w:rPr>
    </w:lvl>
    <w:lvl w:ilvl="2">
      <w:start w:val="1"/>
      <w:numFmt w:val="bullet"/>
      <w:lvlText w:val="•"/>
      <w:lvlJc w:val="left"/>
      <w:pPr>
        <w:ind w:left="4415" w:hanging="360"/>
      </w:pPr>
      <w:rPr>
        <w:rFonts w:hint="default"/>
      </w:rPr>
    </w:lvl>
    <w:lvl w:ilvl="3">
      <w:start w:val="1"/>
      <w:numFmt w:val="bullet"/>
      <w:lvlText w:val="•"/>
      <w:lvlJc w:val="left"/>
      <w:pPr>
        <w:ind w:left="5173" w:hanging="360"/>
      </w:pPr>
      <w:rPr>
        <w:rFonts w:hint="default"/>
      </w:rPr>
    </w:lvl>
    <w:lvl w:ilvl="4">
      <w:start w:val="1"/>
      <w:numFmt w:val="bullet"/>
      <w:lvlText w:val="•"/>
      <w:lvlJc w:val="left"/>
      <w:pPr>
        <w:ind w:left="5931" w:hanging="360"/>
      </w:pPr>
      <w:rPr>
        <w:rFonts w:hint="default"/>
      </w:rPr>
    </w:lvl>
    <w:lvl w:ilvl="5">
      <w:start w:val="1"/>
      <w:numFmt w:val="bullet"/>
      <w:lvlText w:val="•"/>
      <w:lvlJc w:val="left"/>
      <w:pPr>
        <w:ind w:left="6688" w:hanging="360"/>
      </w:pPr>
      <w:rPr>
        <w:rFonts w:hint="default"/>
      </w:rPr>
    </w:lvl>
    <w:lvl w:ilvl="6">
      <w:start w:val="1"/>
      <w:numFmt w:val="bullet"/>
      <w:lvlText w:val="•"/>
      <w:lvlJc w:val="left"/>
      <w:pPr>
        <w:ind w:left="7446" w:hanging="360"/>
      </w:pPr>
      <w:rPr>
        <w:rFonts w:hint="default"/>
      </w:rPr>
    </w:lvl>
    <w:lvl w:ilvl="7">
      <w:start w:val="1"/>
      <w:numFmt w:val="bullet"/>
      <w:lvlText w:val="•"/>
      <w:lvlJc w:val="left"/>
      <w:pPr>
        <w:ind w:left="8204" w:hanging="360"/>
      </w:pPr>
      <w:rPr>
        <w:rFonts w:hint="default"/>
      </w:rPr>
    </w:lvl>
    <w:lvl w:ilvl="8">
      <w:start w:val="1"/>
      <w:numFmt w:val="bullet"/>
      <w:lvlText w:val="•"/>
      <w:lvlJc w:val="left"/>
      <w:pPr>
        <w:ind w:left="8962" w:hanging="360"/>
      </w:pPr>
      <w:rPr>
        <w:rFonts w:hint="default"/>
      </w:rPr>
    </w:lvl>
  </w:abstractNum>
  <w:abstractNum w:abstractNumId="0">
    <w:multiLevelType w:val="hybridMultilevel"/>
    <w:lvl w:ilvl="0">
      <w:start w:val="1"/>
      <w:numFmt w:val="bullet"/>
      <w:lvlText w:val="•"/>
      <w:lvlJc w:val="left"/>
      <w:pPr>
        <w:ind w:left="3047" w:hanging="360"/>
      </w:pPr>
      <w:rPr>
        <w:rFonts w:hint="default" w:ascii="Microsoft Sans Serif" w:hAnsi="Microsoft Sans Serif" w:eastAsia="Microsoft Sans Serif" w:cs="Microsoft Sans Serif"/>
        <w:color w:val="231F20"/>
        <w:w w:val="142"/>
        <w:sz w:val="16"/>
        <w:szCs w:val="16"/>
      </w:rPr>
    </w:lvl>
    <w:lvl w:ilvl="1">
      <w:start w:val="1"/>
      <w:numFmt w:val="bullet"/>
      <w:lvlText w:val="•"/>
      <w:lvlJc w:val="left"/>
      <w:pPr>
        <w:ind w:left="3783" w:hanging="360"/>
      </w:pPr>
      <w:rPr>
        <w:rFonts w:hint="default"/>
      </w:rPr>
    </w:lvl>
    <w:lvl w:ilvl="2">
      <w:start w:val="1"/>
      <w:numFmt w:val="bullet"/>
      <w:lvlText w:val="•"/>
      <w:lvlJc w:val="left"/>
      <w:pPr>
        <w:ind w:left="4527" w:hanging="360"/>
      </w:pPr>
      <w:rPr>
        <w:rFonts w:hint="default"/>
      </w:rPr>
    </w:lvl>
    <w:lvl w:ilvl="3">
      <w:start w:val="1"/>
      <w:numFmt w:val="bullet"/>
      <w:lvlText w:val="•"/>
      <w:lvlJc w:val="left"/>
      <w:pPr>
        <w:ind w:left="5271" w:hanging="360"/>
      </w:pPr>
      <w:rPr>
        <w:rFonts w:hint="default"/>
      </w:rPr>
    </w:lvl>
    <w:lvl w:ilvl="4">
      <w:start w:val="1"/>
      <w:numFmt w:val="bullet"/>
      <w:lvlText w:val="•"/>
      <w:lvlJc w:val="left"/>
      <w:pPr>
        <w:ind w:left="6015" w:hanging="360"/>
      </w:pPr>
      <w:rPr>
        <w:rFonts w:hint="default"/>
      </w:rPr>
    </w:lvl>
    <w:lvl w:ilvl="5">
      <w:start w:val="1"/>
      <w:numFmt w:val="bullet"/>
      <w:lvlText w:val="•"/>
      <w:lvlJc w:val="left"/>
      <w:pPr>
        <w:ind w:left="6758" w:hanging="360"/>
      </w:pPr>
      <w:rPr>
        <w:rFonts w:hint="default"/>
      </w:rPr>
    </w:lvl>
    <w:lvl w:ilvl="6">
      <w:start w:val="1"/>
      <w:numFmt w:val="bullet"/>
      <w:lvlText w:val="•"/>
      <w:lvlJc w:val="left"/>
      <w:pPr>
        <w:ind w:left="7502" w:hanging="360"/>
      </w:pPr>
      <w:rPr>
        <w:rFonts w:hint="default"/>
      </w:rPr>
    </w:lvl>
    <w:lvl w:ilvl="7">
      <w:start w:val="1"/>
      <w:numFmt w:val="bullet"/>
      <w:lvlText w:val="•"/>
      <w:lvlJc w:val="left"/>
      <w:pPr>
        <w:ind w:left="8246" w:hanging="360"/>
      </w:pPr>
      <w:rPr>
        <w:rFonts w:hint="default"/>
      </w:rPr>
    </w:lvl>
    <w:lvl w:ilvl="8">
      <w:start w:val="1"/>
      <w:numFmt w:val="bullet"/>
      <w:lvlText w:val="•"/>
      <w:lvlJc w:val="left"/>
      <w:pPr>
        <w:ind w:left="8990" w:hanging="360"/>
      </w:pPr>
      <w:rPr>
        <w:rFonts w:hint="default"/>
      </w:rPr>
    </w:lvl>
  </w:abstractNum>
  <w:abstractNum w:abstractNumId="10">
    <w:multiLevelType w:val="hybridMultilevel"/>
    <w:lvl w:ilvl="0">
      <w:start w:val="1"/>
      <w:numFmt w:val="lowerLetter"/>
      <w:lvlText w:val="%1)"/>
      <w:lvlJc w:val="left"/>
      <w:pPr>
        <w:ind w:left="2064" w:hanging="228"/>
        <w:jc w:val="right"/>
      </w:pPr>
      <w:rPr>
        <w:rFonts w:hint="default" w:ascii="Arial" w:hAnsi="Arial" w:eastAsia="Arial" w:cs="Arial"/>
        <w:i/>
        <w:color w:val="231F20"/>
        <w:w w:val="93"/>
        <w:sz w:val="21"/>
        <w:szCs w:val="21"/>
      </w:rPr>
    </w:lvl>
    <w:lvl w:ilvl="1">
      <w:start w:val="1"/>
      <w:numFmt w:val="bullet"/>
      <w:lvlText w:val="•"/>
      <w:lvlJc w:val="left"/>
      <w:pPr>
        <w:ind w:left="2901" w:hanging="228"/>
      </w:pPr>
      <w:rPr>
        <w:rFonts w:hint="default"/>
      </w:rPr>
    </w:lvl>
    <w:lvl w:ilvl="2">
      <w:start w:val="1"/>
      <w:numFmt w:val="bullet"/>
      <w:lvlText w:val="•"/>
      <w:lvlJc w:val="left"/>
      <w:pPr>
        <w:ind w:left="3743" w:hanging="228"/>
      </w:pPr>
      <w:rPr>
        <w:rFonts w:hint="default"/>
      </w:rPr>
    </w:lvl>
    <w:lvl w:ilvl="3">
      <w:start w:val="1"/>
      <w:numFmt w:val="bullet"/>
      <w:lvlText w:val="•"/>
      <w:lvlJc w:val="left"/>
      <w:pPr>
        <w:ind w:left="4585" w:hanging="228"/>
      </w:pPr>
      <w:rPr>
        <w:rFonts w:hint="default"/>
      </w:rPr>
    </w:lvl>
    <w:lvl w:ilvl="4">
      <w:start w:val="1"/>
      <w:numFmt w:val="bullet"/>
      <w:lvlText w:val="•"/>
      <w:lvlJc w:val="left"/>
      <w:pPr>
        <w:ind w:left="5427" w:hanging="228"/>
      </w:pPr>
      <w:rPr>
        <w:rFonts w:hint="default"/>
      </w:rPr>
    </w:lvl>
    <w:lvl w:ilvl="5">
      <w:start w:val="1"/>
      <w:numFmt w:val="bullet"/>
      <w:lvlText w:val="•"/>
      <w:lvlJc w:val="left"/>
      <w:pPr>
        <w:ind w:left="6268" w:hanging="228"/>
      </w:pPr>
      <w:rPr>
        <w:rFonts w:hint="default"/>
      </w:rPr>
    </w:lvl>
    <w:lvl w:ilvl="6">
      <w:start w:val="1"/>
      <w:numFmt w:val="bullet"/>
      <w:lvlText w:val="•"/>
      <w:lvlJc w:val="left"/>
      <w:pPr>
        <w:ind w:left="7110" w:hanging="228"/>
      </w:pPr>
      <w:rPr>
        <w:rFonts w:hint="default"/>
      </w:rPr>
    </w:lvl>
    <w:lvl w:ilvl="7">
      <w:start w:val="1"/>
      <w:numFmt w:val="bullet"/>
      <w:lvlText w:val="•"/>
      <w:lvlJc w:val="left"/>
      <w:pPr>
        <w:ind w:left="7952" w:hanging="228"/>
      </w:pPr>
      <w:rPr>
        <w:rFonts w:hint="default"/>
      </w:rPr>
    </w:lvl>
    <w:lvl w:ilvl="8">
      <w:start w:val="1"/>
      <w:numFmt w:val="bullet"/>
      <w:lvlText w:val="•"/>
      <w:lvlJc w:val="left"/>
      <w:pPr>
        <w:ind w:left="8794" w:hanging="228"/>
      </w:pPr>
      <w:rPr>
        <w:rFonts w:hint="default"/>
      </w:rPr>
    </w:lvl>
  </w:abstractNum>
  <w:abstractNum w:abstractNumId="9">
    <w:multiLevelType w:val="hybridMultilevel"/>
    <w:lvl w:ilvl="0">
      <w:start w:val="1"/>
      <w:numFmt w:val="decimal"/>
      <w:lvlText w:val="%1."/>
      <w:lvlJc w:val="left"/>
      <w:pPr>
        <w:ind w:left="2905" w:hanging="360"/>
        <w:jc w:val="left"/>
      </w:pPr>
      <w:rPr>
        <w:rFonts w:hint="default" w:ascii="Microsoft Sans Serif" w:hAnsi="Microsoft Sans Serif" w:eastAsia="Microsoft Sans Serif" w:cs="Microsoft Sans Serif"/>
        <w:color w:val="231F20"/>
        <w:w w:val="93"/>
        <w:sz w:val="21"/>
        <w:szCs w:val="21"/>
      </w:rPr>
    </w:lvl>
    <w:lvl w:ilvl="1">
      <w:start w:val="1"/>
      <w:numFmt w:val="bullet"/>
      <w:lvlText w:val="•"/>
      <w:lvlJc w:val="left"/>
      <w:pPr>
        <w:ind w:left="3657" w:hanging="360"/>
      </w:pPr>
      <w:rPr>
        <w:rFonts w:hint="default"/>
      </w:rPr>
    </w:lvl>
    <w:lvl w:ilvl="2">
      <w:start w:val="1"/>
      <w:numFmt w:val="bullet"/>
      <w:lvlText w:val="•"/>
      <w:lvlJc w:val="left"/>
      <w:pPr>
        <w:ind w:left="4415" w:hanging="360"/>
      </w:pPr>
      <w:rPr>
        <w:rFonts w:hint="default"/>
      </w:rPr>
    </w:lvl>
    <w:lvl w:ilvl="3">
      <w:start w:val="1"/>
      <w:numFmt w:val="bullet"/>
      <w:lvlText w:val="•"/>
      <w:lvlJc w:val="left"/>
      <w:pPr>
        <w:ind w:left="5173" w:hanging="360"/>
      </w:pPr>
      <w:rPr>
        <w:rFonts w:hint="default"/>
      </w:rPr>
    </w:lvl>
    <w:lvl w:ilvl="4">
      <w:start w:val="1"/>
      <w:numFmt w:val="bullet"/>
      <w:lvlText w:val="•"/>
      <w:lvlJc w:val="left"/>
      <w:pPr>
        <w:ind w:left="5931" w:hanging="360"/>
      </w:pPr>
      <w:rPr>
        <w:rFonts w:hint="default"/>
      </w:rPr>
    </w:lvl>
    <w:lvl w:ilvl="5">
      <w:start w:val="1"/>
      <w:numFmt w:val="bullet"/>
      <w:lvlText w:val="•"/>
      <w:lvlJc w:val="left"/>
      <w:pPr>
        <w:ind w:left="6688" w:hanging="360"/>
      </w:pPr>
      <w:rPr>
        <w:rFonts w:hint="default"/>
      </w:rPr>
    </w:lvl>
    <w:lvl w:ilvl="6">
      <w:start w:val="1"/>
      <w:numFmt w:val="bullet"/>
      <w:lvlText w:val="•"/>
      <w:lvlJc w:val="left"/>
      <w:pPr>
        <w:ind w:left="7446" w:hanging="360"/>
      </w:pPr>
      <w:rPr>
        <w:rFonts w:hint="default"/>
      </w:rPr>
    </w:lvl>
    <w:lvl w:ilvl="7">
      <w:start w:val="1"/>
      <w:numFmt w:val="bullet"/>
      <w:lvlText w:val="•"/>
      <w:lvlJc w:val="left"/>
      <w:pPr>
        <w:ind w:left="8204" w:hanging="360"/>
      </w:pPr>
      <w:rPr>
        <w:rFonts w:hint="default"/>
      </w:rPr>
    </w:lvl>
    <w:lvl w:ilvl="8">
      <w:start w:val="1"/>
      <w:numFmt w:val="bullet"/>
      <w:lvlText w:val="•"/>
      <w:lvlJc w:val="left"/>
      <w:pPr>
        <w:ind w:left="8962" w:hanging="360"/>
      </w:pPr>
      <w:rPr>
        <w:rFonts w:hint="default"/>
      </w:rPr>
    </w:lvl>
  </w:abstractNum>
  <w:abstractNum w:abstractNumId="3">
    <w:multiLevelType w:val="hybridMultilevel"/>
    <w:lvl w:ilvl="0">
      <w:start w:val="1"/>
      <w:numFmt w:val="bullet"/>
      <w:lvlText w:val="•"/>
      <w:lvlJc w:val="left"/>
      <w:pPr>
        <w:ind w:left="2934" w:hanging="360"/>
      </w:pPr>
      <w:rPr>
        <w:rFonts w:hint="default" w:ascii="Microsoft Sans Serif" w:hAnsi="Microsoft Sans Serif" w:eastAsia="Microsoft Sans Serif" w:cs="Microsoft Sans Serif"/>
        <w:color w:val="231F20"/>
        <w:w w:val="142"/>
        <w:sz w:val="16"/>
        <w:szCs w:val="16"/>
      </w:rPr>
    </w:lvl>
    <w:lvl w:ilvl="1">
      <w:start w:val="1"/>
      <w:numFmt w:val="bullet"/>
      <w:lvlText w:val="•"/>
      <w:lvlJc w:val="left"/>
      <w:pPr>
        <w:ind w:left="3693" w:hanging="360"/>
      </w:pPr>
      <w:rPr>
        <w:rFonts w:hint="default"/>
      </w:rPr>
    </w:lvl>
    <w:lvl w:ilvl="2">
      <w:start w:val="1"/>
      <w:numFmt w:val="bullet"/>
      <w:lvlText w:val="•"/>
      <w:lvlJc w:val="left"/>
      <w:pPr>
        <w:ind w:left="4447" w:hanging="360"/>
      </w:pPr>
      <w:rPr>
        <w:rFonts w:hint="default"/>
      </w:rPr>
    </w:lvl>
    <w:lvl w:ilvl="3">
      <w:start w:val="1"/>
      <w:numFmt w:val="bullet"/>
      <w:lvlText w:val="•"/>
      <w:lvlJc w:val="left"/>
      <w:pPr>
        <w:ind w:left="5201" w:hanging="360"/>
      </w:pPr>
      <w:rPr>
        <w:rFonts w:hint="default"/>
      </w:rPr>
    </w:lvl>
    <w:lvl w:ilvl="4">
      <w:start w:val="1"/>
      <w:numFmt w:val="bullet"/>
      <w:lvlText w:val="•"/>
      <w:lvlJc w:val="left"/>
      <w:pPr>
        <w:ind w:left="5955" w:hanging="360"/>
      </w:pPr>
      <w:rPr>
        <w:rFonts w:hint="default"/>
      </w:rPr>
    </w:lvl>
    <w:lvl w:ilvl="5">
      <w:start w:val="1"/>
      <w:numFmt w:val="bullet"/>
      <w:lvlText w:val="•"/>
      <w:lvlJc w:val="left"/>
      <w:pPr>
        <w:ind w:left="6708" w:hanging="360"/>
      </w:pPr>
      <w:rPr>
        <w:rFonts w:hint="default"/>
      </w:rPr>
    </w:lvl>
    <w:lvl w:ilvl="6">
      <w:start w:val="1"/>
      <w:numFmt w:val="bullet"/>
      <w:lvlText w:val="•"/>
      <w:lvlJc w:val="left"/>
      <w:pPr>
        <w:ind w:left="7462" w:hanging="360"/>
      </w:pPr>
      <w:rPr>
        <w:rFonts w:hint="default"/>
      </w:rPr>
    </w:lvl>
    <w:lvl w:ilvl="7">
      <w:start w:val="1"/>
      <w:numFmt w:val="bullet"/>
      <w:lvlText w:val="•"/>
      <w:lvlJc w:val="left"/>
      <w:pPr>
        <w:ind w:left="8216" w:hanging="360"/>
      </w:pPr>
      <w:rPr>
        <w:rFonts w:hint="default"/>
      </w:rPr>
    </w:lvl>
    <w:lvl w:ilvl="8">
      <w:start w:val="1"/>
      <w:numFmt w:val="bullet"/>
      <w:lvlText w:val="•"/>
      <w:lvlJc w:val="left"/>
      <w:pPr>
        <w:ind w:left="8970" w:hanging="360"/>
      </w:pPr>
      <w:rPr>
        <w:rFonts w:hint="default"/>
      </w:rPr>
    </w:lvl>
  </w:abstractNum>
  <w:num w:numId="9">
    <w:abstractNumId w:val="8"/>
  </w:num>
  <w:num w:numId="8">
    <w:abstractNumId w:val="7"/>
  </w:num>
  <w:num w:numId="7">
    <w:abstractNumId w:val="6"/>
  </w:num>
  <w:num w:numId="6">
    <w:abstractNumId w:val="5"/>
  </w:num>
  <w:num w:numId="5">
    <w:abstractNumId w:val="4"/>
  </w:num>
  <w:num w:numId="3">
    <w:abstractNumId w:val="2"/>
  </w:num>
  <w:num w:numId="2">
    <w:abstractNumId w:val="1"/>
  </w:num>
  <w:num w:numId="1">
    <w:abstractNumId w:val="0"/>
  </w:num>
  <w:num w:numId="11">
    <w:abstractNumId w:val="10"/>
  </w:num>
  <w:num w:numId="10">
    <w:abstractNumId w:val="9"/>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Microsoft Sans Serif" w:hAnsi="Microsoft Sans Serif" w:eastAsia="Microsoft Sans Serif" w:cs="Microsoft Sans Serif"/>
    </w:rPr>
  </w:style>
  <w:style w:styleId="TOC1" w:type="paragraph">
    <w:name w:val="TOC 1"/>
    <w:basedOn w:val="Normal"/>
    <w:uiPriority w:val="1"/>
    <w:qFormat/>
    <w:pPr>
      <w:spacing w:before="58" w:line="264" w:lineRule="exact"/>
      <w:ind w:left="2744"/>
    </w:pPr>
    <w:rPr>
      <w:rFonts w:ascii="Calibri" w:hAnsi="Calibri" w:eastAsia="Calibri" w:cs="Calibri"/>
      <w:sz w:val="22"/>
      <w:szCs w:val="22"/>
    </w:rPr>
  </w:style>
  <w:style w:styleId="TOC2" w:type="paragraph">
    <w:name w:val="TOC 2"/>
    <w:basedOn w:val="Normal"/>
    <w:uiPriority w:val="1"/>
    <w:qFormat/>
    <w:pPr>
      <w:spacing w:before="679"/>
      <w:ind w:left="2752" w:right="2804"/>
      <w:jc w:val="center"/>
    </w:pPr>
    <w:rPr>
      <w:rFonts w:ascii="Lucida Sans Unicode" w:hAnsi="Lucida Sans Unicode" w:eastAsia="Lucida Sans Unicode" w:cs="Lucida Sans Unicode"/>
      <w:sz w:val="20"/>
      <w:szCs w:val="20"/>
    </w:rPr>
  </w:style>
  <w:style w:styleId="TOC3" w:type="paragraph">
    <w:name w:val="TOC 3"/>
    <w:basedOn w:val="Normal"/>
    <w:uiPriority w:val="1"/>
    <w:qFormat/>
    <w:pPr>
      <w:spacing w:before="633"/>
      <w:ind w:left="3281" w:right="3334"/>
      <w:jc w:val="center"/>
    </w:pPr>
    <w:rPr>
      <w:rFonts w:ascii="Lucida Sans Unicode" w:hAnsi="Lucida Sans Unicode" w:eastAsia="Lucida Sans Unicode" w:cs="Lucida Sans Unicode"/>
      <w:sz w:val="20"/>
      <w:szCs w:val="20"/>
    </w:rPr>
  </w:style>
  <w:style w:styleId="BodyText" w:type="paragraph">
    <w:name w:val="Body Text"/>
    <w:basedOn w:val="Normal"/>
    <w:uiPriority w:val="1"/>
    <w:qFormat/>
    <w:pPr/>
    <w:rPr>
      <w:rFonts w:ascii="Microsoft Sans Serif" w:hAnsi="Microsoft Sans Serif" w:eastAsia="Microsoft Sans Serif" w:cs="Microsoft Sans Serif"/>
      <w:sz w:val="21"/>
      <w:szCs w:val="21"/>
    </w:rPr>
  </w:style>
  <w:style w:styleId="Heading1" w:type="paragraph">
    <w:name w:val="Heading 1"/>
    <w:basedOn w:val="Normal"/>
    <w:uiPriority w:val="1"/>
    <w:qFormat/>
    <w:pPr>
      <w:spacing w:before="43"/>
      <w:ind w:left="2433" w:right="1683"/>
      <w:outlineLvl w:val="1"/>
    </w:pPr>
    <w:rPr>
      <w:rFonts w:ascii="Arial" w:hAnsi="Arial" w:eastAsia="Arial" w:cs="Arial"/>
      <w:b/>
      <w:bCs/>
      <w:sz w:val="28"/>
      <w:szCs w:val="28"/>
    </w:rPr>
  </w:style>
  <w:style w:styleId="Heading2" w:type="paragraph">
    <w:name w:val="Heading 2"/>
    <w:basedOn w:val="Normal"/>
    <w:uiPriority w:val="1"/>
    <w:qFormat/>
    <w:pPr>
      <w:outlineLvl w:val="2"/>
    </w:pPr>
    <w:rPr>
      <w:rFonts w:ascii="Lucida Sans Unicode" w:hAnsi="Lucida Sans Unicode" w:eastAsia="Lucida Sans Unicode" w:cs="Lucida Sans Unicode"/>
      <w:sz w:val="24"/>
      <w:szCs w:val="24"/>
    </w:rPr>
  </w:style>
  <w:style w:styleId="Heading3" w:type="paragraph">
    <w:name w:val="Heading 3"/>
    <w:basedOn w:val="Normal"/>
    <w:uiPriority w:val="1"/>
    <w:qFormat/>
    <w:pPr>
      <w:ind w:left="1837"/>
      <w:jc w:val="both"/>
      <w:outlineLvl w:val="3"/>
    </w:pPr>
    <w:rPr>
      <w:rFonts w:ascii="Arial" w:hAnsi="Arial" w:eastAsia="Arial" w:cs="Arial"/>
      <w:b/>
      <w:bCs/>
      <w:sz w:val="22"/>
      <w:szCs w:val="22"/>
    </w:rPr>
  </w:style>
  <w:style w:styleId="Heading4" w:type="paragraph">
    <w:name w:val="Heading 4"/>
    <w:basedOn w:val="Normal"/>
    <w:uiPriority w:val="1"/>
    <w:qFormat/>
    <w:pPr>
      <w:ind w:left="5691"/>
      <w:outlineLvl w:val="4"/>
    </w:pPr>
    <w:rPr>
      <w:rFonts w:ascii="Calibri" w:hAnsi="Calibri" w:eastAsia="Calibri" w:cs="Calibri"/>
      <w:sz w:val="22"/>
      <w:szCs w:val="22"/>
    </w:rPr>
  </w:style>
  <w:style w:styleId="ListParagraph" w:type="paragraph">
    <w:name w:val="List Paragraph"/>
    <w:basedOn w:val="Normal"/>
    <w:uiPriority w:val="1"/>
    <w:qFormat/>
    <w:pPr>
      <w:spacing w:before="171"/>
      <w:ind w:left="3047" w:hanging="360"/>
      <w:jc w:val="both"/>
    </w:pPr>
    <w:rPr>
      <w:rFonts w:ascii="Microsoft Sans Serif" w:hAnsi="Microsoft Sans Serif" w:eastAsia="Microsoft Sans Serif" w:cs="Microsoft Sans Serif"/>
    </w:rPr>
  </w:style>
  <w:style w:styleId="TableParagraph" w:type="paragraph">
    <w:name w:val="Table Paragraph"/>
    <w:basedOn w:val="Normal"/>
    <w:uiPriority w:val="1"/>
    <w:qFormat/>
    <w:pPr>
      <w:spacing w:before="91"/>
    </w:pPr>
    <w:rPr>
      <w:rFonts w:ascii="Microsoft Sans Serif" w:hAnsi="Microsoft Sans Serif" w:eastAsia="Microsoft Sans Serif" w:cs="Microsoft Sans Serif"/>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hyperlink" Target="http://www.uaemex.mx/" TargetMode="External"/><Relationship Id="rId21" Type="http://schemas.openxmlformats.org/officeDocument/2006/relationships/footer" Target="footer4.xml"/><Relationship Id="rId22" Type="http://schemas.openxmlformats.org/officeDocument/2006/relationships/footer" Target="footer5.xml"/><Relationship Id="rId23" Type="http://schemas.openxmlformats.org/officeDocument/2006/relationships/header" Target="header2.xml"/><Relationship Id="rId24" Type="http://schemas.openxmlformats.org/officeDocument/2006/relationships/header" Target="header3.xml"/><Relationship Id="rId25" Type="http://schemas.openxmlformats.org/officeDocument/2006/relationships/hyperlink" Target="http://www.dof.gob.mx/" TargetMode="External"/><Relationship Id="rId26" Type="http://schemas.openxmlformats.org/officeDocument/2006/relationships/footer" Target="footer6.xml"/><Relationship Id="rId27" Type="http://schemas.openxmlformats.org/officeDocument/2006/relationships/image" Target="media/image12.png"/><Relationship Id="rId28" Type="http://schemas.openxmlformats.org/officeDocument/2006/relationships/footer" Target="footer7.xml"/><Relationship Id="rId29" Type="http://schemas.openxmlformats.org/officeDocument/2006/relationships/image" Target="media/image13.png"/><Relationship Id="rId30" Type="http://schemas.openxmlformats.org/officeDocument/2006/relationships/hyperlink" Target="mailto:jorgeolverag@uaemex.mx" TargetMode="External"/><Relationship Id="rId31" Type="http://schemas.openxmlformats.org/officeDocument/2006/relationships/hyperlink" Target="mailto:ag@uaemex.mx" TargetMode="External"/><Relationship Id="rId32" Type="http://schemas.openxmlformats.org/officeDocument/2006/relationships/footer" Target="footer8.xml"/><Relationship Id="rId33" Type="http://schemas.openxmlformats.org/officeDocument/2006/relationships/footer" Target="footer9.xml"/><Relationship Id="rId34" Type="http://schemas.openxmlformats.org/officeDocument/2006/relationships/header" Target="header4.xml"/><Relationship Id="rId35" Type="http://schemas.openxmlformats.org/officeDocument/2006/relationships/hyperlink" Target="http://www.diputados.gob/" TargetMode="External"/><Relationship Id="rId36" Type="http://schemas.openxmlformats.org/officeDocument/2006/relationships/hyperlink" Target="http://pnd.gob.mx/" TargetMode="External"/><Relationship Id="rId37" Type="http://schemas.openxmlformats.org/officeDocument/2006/relationships/hyperlink" Target="http://diputados.gob.mx/Leyes-" TargetMode="External"/><Relationship Id="rId38" Type="http://schemas.openxmlformats.org/officeDocument/2006/relationships/hyperlink" Target="http://www.hrw.org/sites/default/files/" TargetMode="External"/><Relationship Id="rId39" Type="http://schemas.openxmlformats.org/officeDocument/2006/relationships/header" Target="header5.xml"/><Relationship Id="rId40" Type="http://schemas.openxmlformats.org/officeDocument/2006/relationships/hyperlink" Target="http://www.pudh.unam.mx/repositorio/Report_on_" TargetMode="External"/><Relationship Id="rId41" Type="http://schemas.openxmlformats.org/officeDocument/2006/relationships/hyperlink" Target="http://www/" TargetMode="External"/><Relationship Id="rId42" Type="http://schemas.openxmlformats.org/officeDocument/2006/relationships/hyperlink" Target="http://digitalcommons.unl.edu/" TargetMode="External"/><Relationship Id="rId43" Type="http://schemas.openxmlformats.org/officeDocument/2006/relationships/footer" Target="footer10.xml"/><Relationship Id="rId44" Type="http://schemas.openxmlformats.org/officeDocument/2006/relationships/hyperlink" Target="mailto:harriett.romo@utsa.edu" TargetMode="External"/><Relationship Id="rId45" Type="http://schemas.openxmlformats.org/officeDocument/2006/relationships/hyperlink" Target="mailto:janeth.martinez@utsa.edu" TargetMode="External"/><Relationship Id="rId46" Type="http://schemas.openxmlformats.org/officeDocument/2006/relationships/hyperlink" Target="mailto:chistina.lopez@utsa.edu" TargetMode="External"/><Relationship Id="rId47" Type="http://schemas.openxmlformats.org/officeDocument/2006/relationships/footer" Target="footer11.xml"/><Relationship Id="rId48" Type="http://schemas.openxmlformats.org/officeDocument/2006/relationships/footer" Target="footer12.xml"/><Relationship Id="rId49" Type="http://schemas.openxmlformats.org/officeDocument/2006/relationships/header" Target="header6.xml"/><Relationship Id="rId50" Type="http://schemas.openxmlformats.org/officeDocument/2006/relationships/hyperlink" Target="http://www.pewhispanic.org/2012/08/20/hispanic-student-" TargetMode="External"/><Relationship Id="rId51" Type="http://schemas.openxmlformats.org/officeDocument/2006/relationships/hyperlink" Target="http://www.pewresearch.org/fact-" TargetMode="External"/><Relationship Id="rId52" Type="http://schemas.openxmlformats.org/officeDocument/2006/relationships/hyperlink" Target="http://www.pewresearch.org/fact-tank/2015/01/20/hispanics-to-" TargetMode="External"/><Relationship Id="rId53" Type="http://schemas.openxmlformats.org/officeDocument/2006/relationships/hyperlink" Target="http://nces.ed.gov/pubs2015/2015144.pdf" TargetMode="External"/><Relationship Id="rId54" Type="http://schemas.openxmlformats.org/officeDocument/2006/relationships/header" Target="header7.xml"/><Relationship Id="rId55" Type="http://schemas.openxmlformats.org/officeDocument/2006/relationships/hyperlink" Target="http://unitedwedream.org/about/projects/" TargetMode="External"/><Relationship Id="rId56" Type="http://schemas.openxmlformats.org/officeDocument/2006/relationships/hyperlink" Target="http://www.dhs.gov/sites/default/files/publica-" TargetMode="External"/><Relationship Id="rId57" Type="http://schemas.openxmlformats.org/officeDocument/2006/relationships/hyperlink" Target="http://www.uscis.gov/sites/" TargetMode="External"/><Relationship Id="rId58" Type="http://schemas.openxmlformats.org/officeDocument/2006/relationships/hyperlink" Target="http://www.ice.gov/removal-statistics" TargetMode="External"/><Relationship Id="rId59" Type="http://schemas.openxmlformats.org/officeDocument/2006/relationships/hyperlink" Target="http://www.migrationpolicy.org/article/frequently-requested-statistics-" TargetMode="External"/><Relationship Id="rId60" Type="http://schemas.openxmlformats.org/officeDocument/2006/relationships/footer" Target="footer13.xml"/><Relationship Id="rId61" Type="http://schemas.openxmlformats.org/officeDocument/2006/relationships/hyperlink" Target="mailto:mlmr71@hotmail.com" TargetMode="External"/><Relationship Id="rId62" Type="http://schemas.openxmlformats.org/officeDocument/2006/relationships/hyperlink" Target="mailto:solaramx@yahoo.com.mx" TargetMode="External"/><Relationship Id="rId63" Type="http://schemas.openxmlformats.org/officeDocument/2006/relationships/footer" Target="footer14.xml"/><Relationship Id="rId64" Type="http://schemas.openxmlformats.org/officeDocument/2006/relationships/footer" Target="footer15.xml"/><Relationship Id="rId65" Type="http://schemas.openxmlformats.org/officeDocument/2006/relationships/header" Target="header8.xml"/><Relationship Id="rId66" Type="http://schemas.openxmlformats.org/officeDocument/2006/relationships/hyperlink" Target="http://observatoriocolef.org/_" TargetMode="External"/><Relationship Id="rId67" Type="http://schemas.openxmlformats.org/officeDocument/2006/relationships/hyperlink" Target="http://www.corteidh.or.cr/docs/opi-" TargetMode="External"/><Relationship Id="rId68" Type="http://schemas.openxmlformats.org/officeDocument/2006/relationships/hyperlink" Target="http://www.codhem.org.mx/LocalUser/codhem.org/difus/" TargetMode="External"/><Relationship Id="rId69" Type="http://schemas.openxmlformats.org/officeDocument/2006/relationships/hyperlink" Target="http://www.dof.gob.mx/nota_detalle.php?codigo=5374143&amp;amp;fe-" TargetMode="External"/><Relationship Id="rId70" Type="http://schemas.openxmlformats.org/officeDocument/2006/relationships/hyperlink" Target="http://www.cespi.it/PDF/Libia-D%C3%25B-" TargetMode="External"/><Relationship Id="rId71" Type="http://schemas.openxmlformats.org/officeDocument/2006/relationships/hyperlink" Target="http://www.edomex.gob.mx/portal/" TargetMode="External"/><Relationship Id="rId72" Type="http://schemas.openxmlformats.org/officeDocument/2006/relationships/hyperlink" Target="http://www.politicamigratoria.gob/" TargetMode="External"/><Relationship Id="rId73" Type="http://schemas.openxmlformats.org/officeDocument/2006/relationships/hyperlink" Target="http://www.oas.org/es/cidh/migrantes/docs/pdf/Informe-Migrantes-" TargetMode="External"/><Relationship Id="rId74" Type="http://schemas.openxmlformats.org/officeDocument/2006/relationships/hyperlink" Target="http://www.iom.int/jahia/webdav/site/myjahiasite/sha-" TargetMode="External"/><Relationship Id="rId75" Type="http://schemas.openxmlformats.org/officeDocument/2006/relationships/hyperlink" Target="http://www.un.org/es/documents/ag/" TargetMode="External"/><Relationship Id="rId76" Type="http://schemas.openxmlformats.org/officeDocument/2006/relationships/hyperlink" Target="http://www.unicef.org/ecuador/convencion_2.pdf" TargetMode="External"/><Relationship Id="rId77" Type="http://schemas.openxmlformats.org/officeDocument/2006/relationships/hyperlink" Target="http://www.ohchr.org/SP/ProfessionalInterest/" TargetMode="External"/><Relationship Id="rId78" Type="http://schemas.openxmlformats.org/officeDocument/2006/relationships/hyperlink" Target="http://www.unodc.org/documents/gsh/pdfs/2014_GLOBAL_" TargetMode="External"/><Relationship Id="rId79" Type="http://schemas.openxmlformats.org/officeDocument/2006/relationships/hyperlink" Target="http://www.sdpnoticias.com/nacional/2015/06/12/aumenta-ro-" TargetMode="External"/><Relationship Id="rId80" Type="http://schemas.openxmlformats.org/officeDocument/2006/relationships/footer" Target="footer16.xml"/><Relationship Id="rId81" Type="http://schemas.openxmlformats.org/officeDocument/2006/relationships/hyperlink" Target="http://www.amij.org.mx/protocolos/" TargetMode="External"/><Relationship Id="rId82" Type="http://schemas.openxmlformats.org/officeDocument/2006/relationships/header" Target="header9.xml"/><Relationship Id="rId83" Type="http://schemas.openxmlformats.org/officeDocument/2006/relationships/footer" Target="footer17.xml"/><Relationship Id="rId84" Type="http://schemas.openxmlformats.org/officeDocument/2006/relationships/hyperlink" Target="mailto:saraimirandaj@gmail.com" TargetMode="External"/><Relationship Id="rId85" Type="http://schemas.openxmlformats.org/officeDocument/2006/relationships/footer" Target="footer18.xml"/><Relationship Id="rId86" Type="http://schemas.openxmlformats.org/officeDocument/2006/relationships/footer" Target="footer19.xml"/><Relationship Id="rId87" Type="http://schemas.openxmlformats.org/officeDocument/2006/relationships/header" Target="header10.xml"/><Relationship Id="rId88" Type="http://schemas.openxmlformats.org/officeDocument/2006/relationships/image" Target="media/image14.png"/><Relationship Id="rId89" Type="http://schemas.openxmlformats.org/officeDocument/2006/relationships/image" Target="media/image15.png"/><Relationship Id="rId90" Type="http://schemas.openxmlformats.org/officeDocument/2006/relationships/image" Target="media/image16.png"/><Relationship Id="rId91" Type="http://schemas.openxmlformats.org/officeDocument/2006/relationships/hyperlink" Target="http://www.conapo.gob.mx/" TargetMode="External"/><Relationship Id="rId92" Type="http://schemas.openxmlformats.org/officeDocument/2006/relationships/hyperlink" Target="http://www.ilo.org/santiago/sala-de-prensa/" TargetMode="External"/><Relationship Id="rId93" Type="http://schemas.openxmlformats.org/officeDocument/2006/relationships/hyperlink" Target="http://sedagro.edomex.gob.mx/agroestadisticas" TargetMode="External"/><Relationship Id="rId94" Type="http://schemas.openxmlformats.org/officeDocument/2006/relationships/hyperlink" Target="http://sedagro.edomex/" TargetMode="External"/><Relationship Id="rId95" Type="http://schemas.openxmlformats.org/officeDocument/2006/relationships/footer" Target="footer20.xml"/><Relationship Id="rId96" Type="http://schemas.openxmlformats.org/officeDocument/2006/relationships/header" Target="header11.xml"/><Relationship Id="rId97" Type="http://schemas.openxmlformats.org/officeDocument/2006/relationships/footer" Target="footer21.xml"/><Relationship Id="rId98" Type="http://schemas.openxmlformats.org/officeDocument/2006/relationships/image" Target="media/image17.png"/><Relationship Id="rId99" Type="http://schemas.openxmlformats.org/officeDocument/2006/relationships/header" Target="header12.xml"/><Relationship Id="rId100" Type="http://schemas.openxmlformats.org/officeDocument/2006/relationships/footer" Target="footer22.xml"/><Relationship Id="rId101" Type="http://schemas.openxmlformats.org/officeDocument/2006/relationships/image" Target="media/image18.png"/><Relationship Id="rId102" Type="http://schemas.openxmlformats.org/officeDocument/2006/relationships/hyperlink" Target="mailto:rivesanl@colmex.mx" TargetMode="External"/><Relationship Id="rId103" Type="http://schemas.openxmlformats.org/officeDocument/2006/relationships/hyperlink" Target="mailto:anl@colmex.mx" TargetMode="External"/><Relationship Id="rId104" Type="http://schemas.openxmlformats.org/officeDocument/2006/relationships/footer" Target="footer23.xml"/><Relationship Id="rId105" Type="http://schemas.openxmlformats.org/officeDocument/2006/relationships/footer" Target="footer24.xml"/><Relationship Id="rId106" Type="http://schemas.openxmlformats.org/officeDocument/2006/relationships/header" Target="header13.xml"/><Relationship Id="rId107" Type="http://schemas.openxmlformats.org/officeDocument/2006/relationships/header" Target="header14.xml"/><Relationship Id="rId108" Type="http://schemas.openxmlformats.org/officeDocument/2006/relationships/footer" Target="footer25.xml"/><Relationship Id="rId109" Type="http://schemas.openxmlformats.org/officeDocument/2006/relationships/hyperlink" Target="mailto:ileana.14@hotmail.com" TargetMode="External"/><Relationship Id="rId110" Type="http://schemas.openxmlformats.org/officeDocument/2006/relationships/hyperlink" Target="mailto:normabacat@gmail.com" TargetMode="External"/><Relationship Id="rId111" Type="http://schemas.openxmlformats.org/officeDocument/2006/relationships/hyperlink" Target="mailto:itzelina_hl@yahoo.com.mx" TargetMode="External"/><Relationship Id="rId112" Type="http://schemas.openxmlformats.org/officeDocument/2006/relationships/footer" Target="footer26.xml"/><Relationship Id="rId113" Type="http://schemas.openxmlformats.org/officeDocument/2006/relationships/footer" Target="footer27.xml"/><Relationship Id="rId114" Type="http://schemas.openxmlformats.org/officeDocument/2006/relationships/header" Target="header15.xml"/><Relationship Id="rId115" Type="http://schemas.openxmlformats.org/officeDocument/2006/relationships/image" Target="media/image19.png"/><Relationship Id="rId116" Type="http://schemas.openxmlformats.org/officeDocument/2006/relationships/image" Target="media/image20.png"/><Relationship Id="rId117" Type="http://schemas.openxmlformats.org/officeDocument/2006/relationships/image" Target="media/image21.png"/><Relationship Id="rId118" Type="http://schemas.openxmlformats.org/officeDocument/2006/relationships/image" Target="media/image22.png"/><Relationship Id="rId119" Type="http://schemas.openxmlformats.org/officeDocument/2006/relationships/image" Target="media/image23.png"/><Relationship Id="rId120" Type="http://schemas.openxmlformats.org/officeDocument/2006/relationships/image" Target="media/image24.png"/><Relationship Id="rId121" Type="http://schemas.openxmlformats.org/officeDocument/2006/relationships/image" Target="media/image25.png"/><Relationship Id="rId122" Type="http://schemas.openxmlformats.org/officeDocument/2006/relationships/image" Target="media/image26.png"/><Relationship Id="rId123" Type="http://schemas.openxmlformats.org/officeDocument/2006/relationships/image" Target="media/image27.png"/><Relationship Id="rId124" Type="http://schemas.openxmlformats.org/officeDocument/2006/relationships/image" Target="media/image28.png"/><Relationship Id="rId125" Type="http://schemas.openxmlformats.org/officeDocument/2006/relationships/image" Target="media/image29.png"/><Relationship Id="rId126" Type="http://schemas.openxmlformats.org/officeDocument/2006/relationships/image" Target="media/image30.png"/><Relationship Id="rId127" Type="http://schemas.openxmlformats.org/officeDocument/2006/relationships/image" Target="media/image31.png"/><Relationship Id="rId128" Type="http://schemas.openxmlformats.org/officeDocument/2006/relationships/image" Target="media/image32.png"/><Relationship Id="rId129" Type="http://schemas.openxmlformats.org/officeDocument/2006/relationships/image" Target="media/image33.png"/><Relationship Id="rId130" Type="http://schemas.openxmlformats.org/officeDocument/2006/relationships/image" Target="media/image34.png"/><Relationship Id="rId131" Type="http://schemas.openxmlformats.org/officeDocument/2006/relationships/image" Target="media/image35.png"/><Relationship Id="rId132" Type="http://schemas.openxmlformats.org/officeDocument/2006/relationships/image" Target="media/image36.png"/><Relationship Id="rId133" Type="http://schemas.openxmlformats.org/officeDocument/2006/relationships/image" Target="media/image37.png"/><Relationship Id="rId134" Type="http://schemas.openxmlformats.org/officeDocument/2006/relationships/image" Target="media/image38.png"/><Relationship Id="rId135" Type="http://schemas.openxmlformats.org/officeDocument/2006/relationships/image" Target="media/image39.png"/><Relationship Id="rId136" Type="http://schemas.openxmlformats.org/officeDocument/2006/relationships/image" Target="media/image40.png"/><Relationship Id="rId137" Type="http://schemas.openxmlformats.org/officeDocument/2006/relationships/image" Target="media/image41.png"/><Relationship Id="rId138" Type="http://schemas.openxmlformats.org/officeDocument/2006/relationships/image" Target="media/image42.png"/><Relationship Id="rId139" Type="http://schemas.openxmlformats.org/officeDocument/2006/relationships/image" Target="media/image43.png"/><Relationship Id="rId140" Type="http://schemas.openxmlformats.org/officeDocument/2006/relationships/image" Target="media/image44.png"/><Relationship Id="rId141" Type="http://schemas.openxmlformats.org/officeDocument/2006/relationships/image" Target="media/image45.png"/><Relationship Id="rId142" Type="http://schemas.openxmlformats.org/officeDocument/2006/relationships/image" Target="media/image46.png"/><Relationship Id="rId143" Type="http://schemas.openxmlformats.org/officeDocument/2006/relationships/image" Target="media/image47.png"/><Relationship Id="rId144" Type="http://schemas.openxmlformats.org/officeDocument/2006/relationships/image" Target="media/image48.png"/><Relationship Id="rId145" Type="http://schemas.openxmlformats.org/officeDocument/2006/relationships/hyperlink" Target="http://www.jornada.unam/" TargetMode="External"/><Relationship Id="rId146" Type="http://schemas.openxmlformats.org/officeDocument/2006/relationships/hyperlink" Target="http://www.colef.mx/emif/bases_metodologicas.php" TargetMode="External"/><Relationship Id="rId147" Type="http://schemas.openxmlformats.org/officeDocument/2006/relationships/hyperlink" Target="http://www.180.com.uy/" TargetMode="External"/><Relationship Id="rId148" Type="http://schemas.openxmlformats.org/officeDocument/2006/relationships/header" Target="header16.xml"/><Relationship Id="rId149" Type="http://schemas.openxmlformats.org/officeDocument/2006/relationships/hyperlink" Target="http://www.cbp.gov/linkhandler/cgov/border_security/bor-" TargetMode="External"/><Relationship Id="rId150" Type="http://schemas.openxmlformats.org/officeDocument/2006/relationships/footer" Target="footer28.xml"/><Relationship Id="rId151" Type="http://schemas.openxmlformats.org/officeDocument/2006/relationships/hyperlink" Target="mailto:suarezgam@hotmail.com" TargetMode="External"/><Relationship Id="rId152" Type="http://schemas.openxmlformats.org/officeDocument/2006/relationships/footer" Target="footer29.xml"/><Relationship Id="rId153" Type="http://schemas.openxmlformats.org/officeDocument/2006/relationships/footer" Target="footer30.xml"/><Relationship Id="rId154" Type="http://schemas.openxmlformats.org/officeDocument/2006/relationships/header" Target="header17.xml"/><Relationship Id="rId155" Type="http://schemas.openxmlformats.org/officeDocument/2006/relationships/image" Target="media/image49.png"/><Relationship Id="rId156" Type="http://schemas.openxmlformats.org/officeDocument/2006/relationships/image" Target="media/image50.png"/><Relationship Id="rId157" Type="http://schemas.openxmlformats.org/officeDocument/2006/relationships/image" Target="media/image51.png"/><Relationship Id="rId158" Type="http://schemas.openxmlformats.org/officeDocument/2006/relationships/image" Target="media/image52.png"/><Relationship Id="rId159" Type="http://schemas.openxmlformats.org/officeDocument/2006/relationships/image" Target="media/image53.png"/><Relationship Id="rId160" Type="http://schemas.openxmlformats.org/officeDocument/2006/relationships/image" Target="media/image54.png"/><Relationship Id="rId161" Type="http://schemas.openxmlformats.org/officeDocument/2006/relationships/image" Target="media/image55.png"/><Relationship Id="rId162" Type="http://schemas.openxmlformats.org/officeDocument/2006/relationships/image" Target="media/image56.png"/><Relationship Id="rId163" Type="http://schemas.openxmlformats.org/officeDocument/2006/relationships/image" Target="media/image57.png"/><Relationship Id="rId164" Type="http://schemas.openxmlformats.org/officeDocument/2006/relationships/image" Target="media/image58.png"/><Relationship Id="rId165" Type="http://schemas.openxmlformats.org/officeDocument/2006/relationships/image" Target="media/image59.png"/><Relationship Id="rId166" Type="http://schemas.openxmlformats.org/officeDocument/2006/relationships/image" Target="media/image60.png"/><Relationship Id="rId167" Type="http://schemas.openxmlformats.org/officeDocument/2006/relationships/image" Target="media/image61.png"/><Relationship Id="rId168" Type="http://schemas.openxmlformats.org/officeDocument/2006/relationships/image" Target="media/image62.png"/><Relationship Id="rId169" Type="http://schemas.openxmlformats.org/officeDocument/2006/relationships/image" Target="media/image63.png"/><Relationship Id="rId170" Type="http://schemas.openxmlformats.org/officeDocument/2006/relationships/image" Target="media/image64.png"/><Relationship Id="rId171" Type="http://schemas.openxmlformats.org/officeDocument/2006/relationships/image" Target="media/image65.png"/><Relationship Id="rId172" Type="http://schemas.openxmlformats.org/officeDocument/2006/relationships/image" Target="media/image66.png"/><Relationship Id="rId173" Type="http://schemas.openxmlformats.org/officeDocument/2006/relationships/image" Target="media/image67.png"/><Relationship Id="rId174" Type="http://schemas.openxmlformats.org/officeDocument/2006/relationships/image" Target="media/image68.png"/><Relationship Id="rId175" Type="http://schemas.openxmlformats.org/officeDocument/2006/relationships/image" Target="media/image69.png"/><Relationship Id="rId176" Type="http://schemas.openxmlformats.org/officeDocument/2006/relationships/image" Target="media/image70.png"/><Relationship Id="rId177" Type="http://schemas.openxmlformats.org/officeDocument/2006/relationships/image" Target="media/image71.png"/><Relationship Id="rId178" Type="http://schemas.openxmlformats.org/officeDocument/2006/relationships/image" Target="media/image72.png"/><Relationship Id="rId179" Type="http://schemas.openxmlformats.org/officeDocument/2006/relationships/image" Target="media/image73.png"/><Relationship Id="rId180" Type="http://schemas.openxmlformats.org/officeDocument/2006/relationships/image" Target="media/image74.png"/><Relationship Id="rId181" Type="http://schemas.openxmlformats.org/officeDocument/2006/relationships/image" Target="media/image75.png"/><Relationship Id="rId182" Type="http://schemas.openxmlformats.org/officeDocument/2006/relationships/image" Target="media/image76.png"/><Relationship Id="rId183" Type="http://schemas.openxmlformats.org/officeDocument/2006/relationships/image" Target="media/image77.png"/><Relationship Id="rId184" Type="http://schemas.openxmlformats.org/officeDocument/2006/relationships/image" Target="media/image78.png"/><Relationship Id="rId185" Type="http://schemas.openxmlformats.org/officeDocument/2006/relationships/image" Target="media/image79.png"/><Relationship Id="rId186" Type="http://schemas.openxmlformats.org/officeDocument/2006/relationships/image" Target="media/image80.png"/><Relationship Id="rId187" Type="http://schemas.openxmlformats.org/officeDocument/2006/relationships/image" Target="media/image81.png"/><Relationship Id="rId188" Type="http://schemas.openxmlformats.org/officeDocument/2006/relationships/image" Target="media/image82.png"/><Relationship Id="rId189" Type="http://schemas.openxmlformats.org/officeDocument/2006/relationships/image" Target="media/image83.png"/><Relationship Id="rId190" Type="http://schemas.openxmlformats.org/officeDocument/2006/relationships/image" Target="media/image84.png"/><Relationship Id="rId191" Type="http://schemas.openxmlformats.org/officeDocument/2006/relationships/image" Target="media/image85.png"/><Relationship Id="rId192" Type="http://schemas.openxmlformats.org/officeDocument/2006/relationships/image" Target="media/image86.png"/><Relationship Id="rId193" Type="http://schemas.openxmlformats.org/officeDocument/2006/relationships/image" Target="media/image87.png"/><Relationship Id="rId194" Type="http://schemas.openxmlformats.org/officeDocument/2006/relationships/image" Target="media/image88.png"/><Relationship Id="rId195" Type="http://schemas.openxmlformats.org/officeDocument/2006/relationships/image" Target="media/image89.png"/><Relationship Id="rId196" Type="http://schemas.openxmlformats.org/officeDocument/2006/relationships/image" Target="media/image90.png"/><Relationship Id="rId197" Type="http://schemas.openxmlformats.org/officeDocument/2006/relationships/image" Target="media/image91.png"/><Relationship Id="rId198" Type="http://schemas.openxmlformats.org/officeDocument/2006/relationships/image" Target="media/image92.png"/><Relationship Id="rId199" Type="http://schemas.openxmlformats.org/officeDocument/2006/relationships/image" Target="media/image93.png"/><Relationship Id="rId200" Type="http://schemas.openxmlformats.org/officeDocument/2006/relationships/image" Target="media/image94.png"/><Relationship Id="rId201" Type="http://schemas.openxmlformats.org/officeDocument/2006/relationships/image" Target="media/image95.png"/><Relationship Id="rId202" Type="http://schemas.openxmlformats.org/officeDocument/2006/relationships/image" Target="media/image96.png"/><Relationship Id="rId203" Type="http://schemas.openxmlformats.org/officeDocument/2006/relationships/image" Target="media/image97.png"/><Relationship Id="rId204" Type="http://schemas.openxmlformats.org/officeDocument/2006/relationships/image" Target="media/image98.png"/><Relationship Id="rId205" Type="http://schemas.openxmlformats.org/officeDocument/2006/relationships/image" Target="media/image99.png"/><Relationship Id="rId206" Type="http://schemas.openxmlformats.org/officeDocument/2006/relationships/image" Target="media/image100.png"/><Relationship Id="rId207" Type="http://schemas.openxmlformats.org/officeDocument/2006/relationships/image" Target="media/image101.png"/><Relationship Id="rId208" Type="http://schemas.openxmlformats.org/officeDocument/2006/relationships/image" Target="media/image102.png"/><Relationship Id="rId209" Type="http://schemas.openxmlformats.org/officeDocument/2006/relationships/image" Target="media/image103.png"/><Relationship Id="rId210" Type="http://schemas.openxmlformats.org/officeDocument/2006/relationships/image" Target="media/image104.png"/><Relationship Id="rId211" Type="http://schemas.openxmlformats.org/officeDocument/2006/relationships/image" Target="media/image105.png"/><Relationship Id="rId212" Type="http://schemas.openxmlformats.org/officeDocument/2006/relationships/image" Target="media/image106.png"/><Relationship Id="rId213" Type="http://schemas.openxmlformats.org/officeDocument/2006/relationships/image" Target="media/image107.png"/><Relationship Id="rId214" Type="http://schemas.openxmlformats.org/officeDocument/2006/relationships/image" Target="media/image108.png"/><Relationship Id="rId215" Type="http://schemas.openxmlformats.org/officeDocument/2006/relationships/image" Target="media/image109.png"/><Relationship Id="rId216" Type="http://schemas.openxmlformats.org/officeDocument/2006/relationships/image" Target="media/image110.png"/><Relationship Id="rId217" Type="http://schemas.openxmlformats.org/officeDocument/2006/relationships/image" Target="media/image111.png"/><Relationship Id="rId218" Type="http://schemas.openxmlformats.org/officeDocument/2006/relationships/image" Target="media/image112.png"/><Relationship Id="rId219" Type="http://schemas.openxmlformats.org/officeDocument/2006/relationships/image" Target="media/image113.png"/><Relationship Id="rId220" Type="http://schemas.openxmlformats.org/officeDocument/2006/relationships/image" Target="media/image114.png"/><Relationship Id="rId221" Type="http://schemas.openxmlformats.org/officeDocument/2006/relationships/image" Target="media/image115.png"/><Relationship Id="rId222" Type="http://schemas.openxmlformats.org/officeDocument/2006/relationships/image" Target="media/image116.png"/><Relationship Id="rId223" Type="http://schemas.openxmlformats.org/officeDocument/2006/relationships/image" Target="media/image117.png"/><Relationship Id="rId224" Type="http://schemas.openxmlformats.org/officeDocument/2006/relationships/image" Target="media/image118.png"/><Relationship Id="rId225" Type="http://schemas.openxmlformats.org/officeDocument/2006/relationships/image" Target="media/image119.png"/><Relationship Id="rId226" Type="http://schemas.openxmlformats.org/officeDocument/2006/relationships/image" Target="media/image120.png"/><Relationship Id="rId227" Type="http://schemas.openxmlformats.org/officeDocument/2006/relationships/image" Target="media/image121.png"/><Relationship Id="rId228" Type="http://schemas.openxmlformats.org/officeDocument/2006/relationships/image" Target="media/image122.png"/><Relationship Id="rId229" Type="http://schemas.openxmlformats.org/officeDocument/2006/relationships/image" Target="media/image123.png"/><Relationship Id="rId230" Type="http://schemas.openxmlformats.org/officeDocument/2006/relationships/image" Target="media/image124.png"/><Relationship Id="rId231" Type="http://schemas.openxmlformats.org/officeDocument/2006/relationships/image" Target="media/image125.png"/><Relationship Id="rId232" Type="http://schemas.openxmlformats.org/officeDocument/2006/relationships/image" Target="media/image126.png"/><Relationship Id="rId233" Type="http://schemas.openxmlformats.org/officeDocument/2006/relationships/image" Target="media/image127.png"/><Relationship Id="rId234" Type="http://schemas.openxmlformats.org/officeDocument/2006/relationships/image" Target="media/image128.png"/><Relationship Id="rId235" Type="http://schemas.openxmlformats.org/officeDocument/2006/relationships/image" Target="media/image129.png"/><Relationship Id="rId236" Type="http://schemas.openxmlformats.org/officeDocument/2006/relationships/image" Target="media/image130.png"/><Relationship Id="rId237" Type="http://schemas.openxmlformats.org/officeDocument/2006/relationships/image" Target="media/image131.png"/><Relationship Id="rId238" Type="http://schemas.openxmlformats.org/officeDocument/2006/relationships/image" Target="media/image132.png"/><Relationship Id="rId239" Type="http://schemas.openxmlformats.org/officeDocument/2006/relationships/image" Target="media/image133.png"/><Relationship Id="rId240" Type="http://schemas.openxmlformats.org/officeDocument/2006/relationships/image" Target="media/image134.png"/><Relationship Id="rId241" Type="http://schemas.openxmlformats.org/officeDocument/2006/relationships/image" Target="media/image135.png"/><Relationship Id="rId242" Type="http://schemas.openxmlformats.org/officeDocument/2006/relationships/image" Target="media/image136.png"/><Relationship Id="rId243" Type="http://schemas.openxmlformats.org/officeDocument/2006/relationships/image" Target="media/image137.png"/><Relationship Id="rId244" Type="http://schemas.openxmlformats.org/officeDocument/2006/relationships/image" Target="media/image138.png"/><Relationship Id="rId245" Type="http://schemas.openxmlformats.org/officeDocument/2006/relationships/image" Target="media/image139.png"/><Relationship Id="rId246" Type="http://schemas.openxmlformats.org/officeDocument/2006/relationships/image" Target="media/image140.png"/><Relationship Id="rId247" Type="http://schemas.openxmlformats.org/officeDocument/2006/relationships/image" Target="media/image141.png"/><Relationship Id="rId248" Type="http://schemas.openxmlformats.org/officeDocument/2006/relationships/image" Target="media/image142.png"/><Relationship Id="rId249" Type="http://schemas.openxmlformats.org/officeDocument/2006/relationships/image" Target="media/image143.png"/><Relationship Id="rId250" Type="http://schemas.openxmlformats.org/officeDocument/2006/relationships/image" Target="media/image144.png"/><Relationship Id="rId251" Type="http://schemas.openxmlformats.org/officeDocument/2006/relationships/image" Target="media/image145.png"/><Relationship Id="rId252" Type="http://schemas.openxmlformats.org/officeDocument/2006/relationships/image" Target="media/image146.png"/><Relationship Id="rId253" Type="http://schemas.openxmlformats.org/officeDocument/2006/relationships/image" Target="media/image147.png"/><Relationship Id="rId254" Type="http://schemas.openxmlformats.org/officeDocument/2006/relationships/image" Target="media/image148.png"/><Relationship Id="rId255" Type="http://schemas.openxmlformats.org/officeDocument/2006/relationships/image" Target="media/image149.png"/><Relationship Id="rId256" Type="http://schemas.openxmlformats.org/officeDocument/2006/relationships/image" Target="media/image150.png"/><Relationship Id="rId257" Type="http://schemas.openxmlformats.org/officeDocument/2006/relationships/image" Target="media/image151.png"/><Relationship Id="rId258" Type="http://schemas.openxmlformats.org/officeDocument/2006/relationships/image" Target="media/image152.png"/><Relationship Id="rId259" Type="http://schemas.openxmlformats.org/officeDocument/2006/relationships/image" Target="media/image153.png"/><Relationship Id="rId260" Type="http://schemas.openxmlformats.org/officeDocument/2006/relationships/image" Target="media/image154.png"/><Relationship Id="rId261" Type="http://schemas.openxmlformats.org/officeDocument/2006/relationships/image" Target="media/image155.png"/><Relationship Id="rId262" Type="http://schemas.openxmlformats.org/officeDocument/2006/relationships/image" Target="media/image156.png"/><Relationship Id="rId263" Type="http://schemas.openxmlformats.org/officeDocument/2006/relationships/image" Target="media/image157.png"/><Relationship Id="rId264" Type="http://schemas.openxmlformats.org/officeDocument/2006/relationships/image" Target="media/image158.png"/><Relationship Id="rId265" Type="http://schemas.openxmlformats.org/officeDocument/2006/relationships/image" Target="media/image159.png"/><Relationship Id="rId266" Type="http://schemas.openxmlformats.org/officeDocument/2006/relationships/image" Target="media/image160.png"/><Relationship Id="rId267" Type="http://schemas.openxmlformats.org/officeDocument/2006/relationships/image" Target="media/image161.png"/><Relationship Id="rId268" Type="http://schemas.openxmlformats.org/officeDocument/2006/relationships/image" Target="media/image162.png"/><Relationship Id="rId269" Type="http://schemas.openxmlformats.org/officeDocument/2006/relationships/image" Target="media/image163.png"/><Relationship Id="rId270" Type="http://schemas.openxmlformats.org/officeDocument/2006/relationships/image" Target="media/image164.png"/><Relationship Id="rId271" Type="http://schemas.openxmlformats.org/officeDocument/2006/relationships/image" Target="media/image165.png"/><Relationship Id="rId272" Type="http://schemas.openxmlformats.org/officeDocument/2006/relationships/image" Target="media/image166.png"/><Relationship Id="rId273" Type="http://schemas.openxmlformats.org/officeDocument/2006/relationships/image" Target="media/image167.png"/><Relationship Id="rId274" Type="http://schemas.openxmlformats.org/officeDocument/2006/relationships/image" Target="media/image168.png"/><Relationship Id="rId275" Type="http://schemas.openxmlformats.org/officeDocument/2006/relationships/image" Target="media/image169.png"/><Relationship Id="rId276" Type="http://schemas.openxmlformats.org/officeDocument/2006/relationships/image" Target="media/image170.png"/><Relationship Id="rId277" Type="http://schemas.openxmlformats.org/officeDocument/2006/relationships/image" Target="media/image171.png"/><Relationship Id="rId278" Type="http://schemas.openxmlformats.org/officeDocument/2006/relationships/image" Target="media/image172.png"/><Relationship Id="rId279" Type="http://schemas.openxmlformats.org/officeDocument/2006/relationships/image" Target="media/image173.png"/><Relationship Id="rId280" Type="http://schemas.openxmlformats.org/officeDocument/2006/relationships/image" Target="media/image174.png"/><Relationship Id="rId281" Type="http://schemas.openxmlformats.org/officeDocument/2006/relationships/image" Target="media/image175.png"/><Relationship Id="rId282" Type="http://schemas.openxmlformats.org/officeDocument/2006/relationships/image" Target="media/image176.png"/><Relationship Id="rId283" Type="http://schemas.openxmlformats.org/officeDocument/2006/relationships/image" Target="media/image177.png"/><Relationship Id="rId284" Type="http://schemas.openxmlformats.org/officeDocument/2006/relationships/image" Target="media/image178.png"/><Relationship Id="rId285" Type="http://schemas.openxmlformats.org/officeDocument/2006/relationships/image" Target="media/image179.png"/><Relationship Id="rId286" Type="http://schemas.openxmlformats.org/officeDocument/2006/relationships/image" Target="media/image180.png"/><Relationship Id="rId287" Type="http://schemas.openxmlformats.org/officeDocument/2006/relationships/image" Target="media/image181.png"/><Relationship Id="rId288" Type="http://schemas.openxmlformats.org/officeDocument/2006/relationships/hyperlink" Target="http://www.portal.conapo.gob.mx/index.php?option=com_" TargetMode="External"/><Relationship Id="rId289" Type="http://schemas.openxmlformats.org/officeDocument/2006/relationships/hyperlink" Target="http://www.gfmd.org/docs/mexico-2010" TargetMode="External"/><Relationship Id="rId290" Type="http://schemas.openxmlformats.org/officeDocument/2006/relationships/footer" Target="footer31.xml"/><Relationship Id="rId291" Type="http://schemas.openxmlformats.org/officeDocument/2006/relationships/header" Target="header18.xml"/><Relationship Id="rId292" Type="http://schemas.openxmlformats.org/officeDocument/2006/relationships/footer" Target="footer32.xml"/><Relationship Id="rId293" Type="http://schemas.openxmlformats.org/officeDocument/2006/relationships/hyperlink" Target="mailto:patricianicolasf@comunidad.unam.mx" TargetMode="External"/><Relationship Id="rId294" Type="http://schemas.openxmlformats.org/officeDocument/2006/relationships/footer" Target="footer33.xml"/><Relationship Id="rId295" Type="http://schemas.openxmlformats.org/officeDocument/2006/relationships/footer" Target="footer34.xml"/><Relationship Id="rId296" Type="http://schemas.openxmlformats.org/officeDocument/2006/relationships/header" Target="header19.xml"/><Relationship Id="rId297" Type="http://schemas.openxmlformats.org/officeDocument/2006/relationships/hyperlink" Target="http://www.colef.mx/sepmig/?p=3660" TargetMode="External"/><Relationship Id="rId298" Type="http://schemas.openxmlformats.org/officeDocument/2006/relationships/hyperlink" Target="http://oim.org.mx/hechos-y-cifras-2" TargetMode="External"/><Relationship Id="rId299" Type="http://schemas.openxmlformats.org/officeDocument/2006/relationships/header" Target="header20.xml"/><Relationship Id="rId300" Type="http://schemas.openxmlformats.org/officeDocument/2006/relationships/footer" Target="footer35.xml"/><Relationship Id="rId301" Type="http://schemas.openxmlformats.org/officeDocument/2006/relationships/hyperlink" Target="mailto:rnt13@hotmail.com" TargetMode="External"/><Relationship Id="rId302" Type="http://schemas.openxmlformats.org/officeDocument/2006/relationships/footer" Target="footer36.xml"/><Relationship Id="rId303" Type="http://schemas.openxmlformats.org/officeDocument/2006/relationships/footer" Target="footer37.xml"/><Relationship Id="rId304" Type="http://schemas.openxmlformats.org/officeDocument/2006/relationships/header" Target="header21.xml"/><Relationship Id="rId305" Type="http://schemas.openxmlformats.org/officeDocument/2006/relationships/image" Target="media/image182.png"/><Relationship Id="rId306" Type="http://schemas.openxmlformats.org/officeDocument/2006/relationships/image" Target="media/image183.png"/><Relationship Id="rId307" Type="http://schemas.openxmlformats.org/officeDocument/2006/relationships/image" Target="media/image184.png"/><Relationship Id="rId308" Type="http://schemas.openxmlformats.org/officeDocument/2006/relationships/hyperlink" Target="http://www.elperiodico.com/es/" TargetMode="External"/><Relationship Id="rId309" Type="http://schemas.openxmlformats.org/officeDocument/2006/relationships/hyperlink" Target="http://elmanana.com.mx/noticia/56802/Son-" TargetMode="External"/><Relationship Id="rId310" Type="http://schemas.openxmlformats.org/officeDocument/2006/relationships/hyperlink" Target="http://www.ellatinoarkansas.com/content3.cfm?Ar-" TargetMode="External"/><Relationship Id="rId311" Type="http://schemas.openxmlformats.org/officeDocument/2006/relationships/header" Target="header22.xml"/><Relationship Id="rId312" Type="http://schemas.openxmlformats.org/officeDocument/2006/relationships/hyperlink" Target="http://www.proceso.com.mx/?p=273157" TargetMode="External"/><Relationship Id="rId313" Type="http://schemas.openxmlformats.org/officeDocument/2006/relationships/footer" Target="footer38.xml"/><Relationship Id="rId314" Type="http://schemas.openxmlformats.org/officeDocument/2006/relationships/image" Target="media/image185.png"/><Relationship Id="rId315" Type="http://schemas.openxmlformats.org/officeDocument/2006/relationships/header" Target="header23.xml"/><Relationship Id="rId316" Type="http://schemas.openxmlformats.org/officeDocument/2006/relationships/footer" Target="footer39.xml"/><Relationship Id="rId317" Type="http://schemas.openxmlformats.org/officeDocument/2006/relationships/image" Target="media/image186.png"/><Relationship Id="rId318" Type="http://schemas.openxmlformats.org/officeDocument/2006/relationships/hyperlink" Target="mailto:andrea.btst@gmail.com" TargetMode="External"/><Relationship Id="rId319" Type="http://schemas.openxmlformats.org/officeDocument/2006/relationships/hyperlink" Target="mailto:mrabreu22@gmail.com" TargetMode="External"/><Relationship Id="rId320" Type="http://schemas.openxmlformats.org/officeDocument/2006/relationships/footer" Target="footer40.xml"/><Relationship Id="rId321" Type="http://schemas.openxmlformats.org/officeDocument/2006/relationships/footer" Target="footer41.xml"/><Relationship Id="rId322" Type="http://schemas.openxmlformats.org/officeDocument/2006/relationships/header" Target="header24.xml"/><Relationship Id="rId323" Type="http://schemas.openxmlformats.org/officeDocument/2006/relationships/footer" Target="footer42.xml"/><Relationship Id="rId324" Type="http://schemas.openxmlformats.org/officeDocument/2006/relationships/footer" Target="footer43.xml"/><Relationship Id="rId325" Type="http://schemas.openxmlformats.org/officeDocument/2006/relationships/image" Target="media/image187.png"/><Relationship Id="rId326" Type="http://schemas.openxmlformats.org/officeDocument/2006/relationships/hyperlink" Target="http://www.colef.mx/emif" TargetMode="External"/><Relationship Id="rId327" Type="http://schemas.openxmlformats.org/officeDocument/2006/relationships/hyperlink" Target="http://www.conapo.gob/" TargetMode="External"/><Relationship Id="rId328" Type="http://schemas.openxmlformats.org/officeDocument/2006/relationships/header" Target="header25.xml"/><Relationship Id="rId329" Type="http://schemas.openxmlformats.org/officeDocument/2006/relationships/footer" Target="footer44.xml"/><Relationship Id="rId330" Type="http://schemas.openxmlformats.org/officeDocument/2006/relationships/hyperlink" Target="mailto:herreratapia2001@yahoo.com.mx" TargetMode="External"/><Relationship Id="rId331" Type="http://schemas.openxmlformats.org/officeDocument/2006/relationships/hyperlink" Target="mailto:arc_1222@hotmail.com" TargetMode="External"/><Relationship Id="rId332" Type="http://schemas.openxmlformats.org/officeDocument/2006/relationships/footer" Target="footer45.xml"/><Relationship Id="rId333" Type="http://schemas.openxmlformats.org/officeDocument/2006/relationships/footer" Target="footer46.xml"/><Relationship Id="rId334" Type="http://schemas.openxmlformats.org/officeDocument/2006/relationships/header" Target="header26.xml"/><Relationship Id="rId335" Type="http://schemas.openxmlformats.org/officeDocument/2006/relationships/hyperlink" Target="http://portal2/" TargetMode="External"/><Relationship Id="rId336" Type="http://schemas.openxmlformats.org/officeDocument/2006/relationships/hyperlink" Target="http://www.inegi.org/" TargetMode="External"/><Relationship Id="rId337" Type="http://schemas.openxmlformats.org/officeDocument/2006/relationships/footer" Target="footer47.xml"/><Relationship Id="rId338" Type="http://schemas.openxmlformats.org/officeDocument/2006/relationships/header" Target="header27.xml"/><Relationship Id="rId339" Type="http://schemas.openxmlformats.org/officeDocument/2006/relationships/footer" Target="footer48.xml"/><Relationship Id="rId340" Type="http://schemas.openxmlformats.org/officeDocument/2006/relationships/hyperlink" Target="mailto:zoraronzon@hotmail.com" TargetMode="External"/><Relationship Id="rId341" Type="http://schemas.openxmlformats.org/officeDocument/2006/relationships/hyperlink" Target="mailto:promanreyes@yahoo.com.mx" TargetMode="External"/><Relationship Id="rId342" Type="http://schemas.openxmlformats.org/officeDocument/2006/relationships/footer" Target="footer49.xml"/><Relationship Id="rId343" Type="http://schemas.openxmlformats.org/officeDocument/2006/relationships/footer" Target="footer50.xml"/><Relationship Id="rId344" Type="http://schemas.openxmlformats.org/officeDocument/2006/relationships/header" Target="header28.xml"/><Relationship Id="rId345" Type="http://schemas.openxmlformats.org/officeDocument/2006/relationships/footer" Target="footer51.xml"/><Relationship Id="rId346" Type="http://schemas.openxmlformats.org/officeDocument/2006/relationships/header" Target="header29.xml"/><Relationship Id="rId347" Type="http://schemas.openxmlformats.org/officeDocument/2006/relationships/footer" Target="footer52.xml"/><Relationship Id="rId348" Type="http://schemas.openxmlformats.org/officeDocument/2006/relationships/hyperlink" Target="mailto:macedo.g.daniela@outlook.com" TargetMode="External"/><Relationship Id="rId349" Type="http://schemas.openxmlformats.org/officeDocument/2006/relationships/hyperlink" Target="mailto:griverah@uaemex.mx" TargetMode="External"/><Relationship Id="rId350" Type="http://schemas.openxmlformats.org/officeDocument/2006/relationships/hyperlink" Target="mailto:ah@uaemex.mx" TargetMode="External"/><Relationship Id="rId351" Type="http://schemas.openxmlformats.org/officeDocument/2006/relationships/footer" Target="footer53.xml"/><Relationship Id="rId352" Type="http://schemas.openxmlformats.org/officeDocument/2006/relationships/footer" Target="footer54.xml"/><Relationship Id="rId353" Type="http://schemas.openxmlformats.org/officeDocument/2006/relationships/header" Target="header30.xml"/><Relationship Id="rId354" Type="http://schemas.openxmlformats.org/officeDocument/2006/relationships/image" Target="media/image188.png"/><Relationship Id="rId355" Type="http://schemas.openxmlformats.org/officeDocument/2006/relationships/hyperlink" Target="http://www.sagarpa.gob.mx/quienesomos/datosabiertos/siap/Paginas/estadistica.aspx" TargetMode="External"/><Relationship Id="rId356" Type="http://schemas.openxmlformats.org/officeDocument/2006/relationships/hyperlink" Target="http://www3.inegi.org.mx/" TargetMode="External"/><Relationship Id="rId357" Type="http://schemas.openxmlformats.org/officeDocument/2006/relationships/hyperlink" Target="http://www.inegi.org.mx/sistemas/consul-" TargetMode="External"/><Relationship Id="rId358" Type="http://schemas.openxmlformats.org/officeDocument/2006/relationships/hyperlink" Target="http://www.sagarpa.gob.mx/quienesomos/dato-" TargetMode="External"/><Relationship Id="rId359" Type="http://schemas.openxmlformats.org/officeDocument/2006/relationships/hyperlink" Target="http://www.sagarpa.gob.mx/quienesomos/datosabiertos/" TargetMode="External"/><Relationship Id="rId360" Type="http://schemas.openxmlformats.org/officeDocument/2006/relationships/hyperlink" Target="http://www.sagarpa.gob.mx/quienesomos/datosabiertos/siap/" TargetMode="External"/><Relationship Id="rId361" Type="http://schemas.openxmlformats.org/officeDocument/2006/relationships/footer" Target="footer55.xml"/><Relationship Id="rId362" Type="http://schemas.openxmlformats.org/officeDocument/2006/relationships/hyperlink" Target="http://app1.semarnat.gob.mx/dgeia/in-" TargetMode="External"/><Relationship Id="rId363" Type="http://schemas.openxmlformats.org/officeDocument/2006/relationships/header" Target="header31.xml"/><Relationship Id="rId364" Type="http://schemas.openxmlformats.org/officeDocument/2006/relationships/footer" Target="footer56.xml"/><Relationship Id="rId365" Type="http://schemas.openxmlformats.org/officeDocument/2006/relationships/image" Target="media/image189.png"/><Relationship Id="rId366" Type="http://schemas.openxmlformats.org/officeDocument/2006/relationships/image" Target="media/image190.png"/><Relationship Id="rId367" Type="http://schemas.openxmlformats.org/officeDocument/2006/relationships/hyperlink" Target="mailto:marthasidury.christiansen@utsa.edu" TargetMode="External"/><Relationship Id="rId368" Type="http://schemas.openxmlformats.org/officeDocument/2006/relationships/footer" Target="footer57.xml"/><Relationship Id="rId369" Type="http://schemas.openxmlformats.org/officeDocument/2006/relationships/footer" Target="footer58.xml"/><Relationship Id="rId370" Type="http://schemas.openxmlformats.org/officeDocument/2006/relationships/header" Target="header32.xml"/><Relationship Id="rId371" Type="http://schemas.openxmlformats.org/officeDocument/2006/relationships/hyperlink" Target="http://www.languageatinternet.org/" TargetMode="External"/><Relationship Id="rId372" Type="http://schemas.openxmlformats.org/officeDocument/2006/relationships/hyperlink" Target="http://doi.org/10.1080/17439884" TargetMode="External"/><Relationship Id="rId373" Type="http://schemas.openxmlformats.org/officeDocument/2006/relationships/hyperlink" Target="http://www.pewinternet.org/fact-sheets/social-networking-" TargetMode="External"/><Relationship Id="rId374" Type="http://schemas.openxmlformats.org/officeDocument/2006/relationships/header" Target="header33.xml"/><Relationship Id="rId375" Type="http://schemas.openxmlformats.org/officeDocument/2006/relationships/hyperlink" Target="http://doi/" TargetMode="External"/><Relationship Id="rId376" Type="http://schemas.openxmlformats.org/officeDocument/2006/relationships/footer" Target="footer59.xml"/><Relationship Id="rId377" Type="http://schemas.openxmlformats.org/officeDocument/2006/relationships/hyperlink" Target="mailto:alzarur@yahoo.com.mx" TargetMode="External"/><Relationship Id="rId378" Type="http://schemas.openxmlformats.org/officeDocument/2006/relationships/footer" Target="footer60.xml"/><Relationship Id="rId379" Type="http://schemas.openxmlformats.org/officeDocument/2006/relationships/footer" Target="footer61.xml"/><Relationship Id="rId380" Type="http://schemas.openxmlformats.org/officeDocument/2006/relationships/header" Target="header34.xml"/><Relationship Id="rId381" Type="http://schemas.openxmlformats.org/officeDocument/2006/relationships/footer" Target="footer62.xml"/><Relationship Id="rId382" Type="http://schemas.openxmlformats.org/officeDocument/2006/relationships/header" Target="header35.xml"/><Relationship Id="rId383" Type="http://schemas.openxmlformats.org/officeDocument/2006/relationships/footer" Target="footer63.xml"/><Relationship Id="rId384" Type="http://schemas.openxmlformats.org/officeDocument/2006/relationships/hyperlink" Target="mailto:fabysa26@yahoo.com" TargetMode="External"/><Relationship Id="rId385" Type="http://schemas.openxmlformats.org/officeDocument/2006/relationships/footer" Target="footer64.xml"/><Relationship Id="rId386" Type="http://schemas.openxmlformats.org/officeDocument/2006/relationships/footer" Target="footer65.xml"/><Relationship Id="rId387" Type="http://schemas.openxmlformats.org/officeDocument/2006/relationships/header" Target="header36.xml"/><Relationship Id="rId388" Type="http://schemas.openxmlformats.org/officeDocument/2006/relationships/footer" Target="footer66.xml"/><Relationship Id="rId389" Type="http://schemas.openxmlformats.org/officeDocument/2006/relationships/header" Target="header37.xml"/><Relationship Id="rId390" Type="http://schemas.openxmlformats.org/officeDocument/2006/relationships/footer" Target="footer67.xml"/><Relationship Id="rId39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2017-05-24T03:03:53Z</dcterms:created>
  <dcterms:modified xsi:type="dcterms:W3CDTF">2017-05-24T03:03:53Z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2016-08-26T00:00:00Z</vt:filetime>
  </property>
  <property fmtid="{D5CDD505-2E9C-101B-9397-08002B2CF9AE}" pid="3" name="Creator">
    <vt:lpwstr>Adobe InDesign CS6 (Macintosh)</vt:lpwstr>
  </property>
  <property fmtid="{D5CDD505-2E9C-101B-9397-08002B2CF9AE}" pid="4" name="LastSaved">
    <vt:filetime>2017-05-24T00:00:00Z</vt:filetime>
  </property>
</Properties>
</file>